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451" w:rsidRDefault="00673451" w:rsidP="00673451">
      <w:pPr>
        <w:pStyle w:val="Portada1"/>
      </w:pPr>
      <w:bookmarkStart w:id="0" w:name="_GoBack"/>
      <w:bookmarkEnd w:id="0"/>
      <w:r>
        <w:t>TRIBUNAL CONSTITUCIONAL</w:t>
      </w:r>
    </w:p>
    <w:p w:rsidR="005728DD" w:rsidRDefault="005728DD" w:rsidP="00673451">
      <w:pPr>
        <w:pStyle w:val="Portada1"/>
      </w:pPr>
    </w:p>
    <w:p w:rsidR="00673451" w:rsidRDefault="00673451" w:rsidP="00673451">
      <w:pPr>
        <w:pStyle w:val="Portada2"/>
      </w:pPr>
      <w:r>
        <w:t>SECRETARÍA GENERAL</w:t>
      </w:r>
    </w:p>
    <w:p w:rsidR="00673451" w:rsidRDefault="00673451" w:rsidP="00673451">
      <w:pPr>
        <w:pStyle w:val="Portada2"/>
      </w:pPr>
    </w:p>
    <w:p w:rsidR="00673451" w:rsidRDefault="00673451" w:rsidP="00673451">
      <w:pPr>
        <w:pStyle w:val="Portada2"/>
      </w:pPr>
    </w:p>
    <w:p w:rsidR="00673451" w:rsidRDefault="00673451" w:rsidP="00673451">
      <w:pPr>
        <w:pStyle w:val="Portada2"/>
      </w:pPr>
    </w:p>
    <w:p w:rsidR="00673451" w:rsidRDefault="00673451" w:rsidP="00673451">
      <w:pPr>
        <w:pStyle w:val="Portada2"/>
      </w:pPr>
    </w:p>
    <w:p w:rsidR="00673451" w:rsidRDefault="00673451" w:rsidP="00673451">
      <w:pPr>
        <w:pStyle w:val="Portada2"/>
      </w:pPr>
    </w:p>
    <w:p w:rsidR="00673451" w:rsidRDefault="00673451" w:rsidP="00673451">
      <w:pPr>
        <w:pStyle w:val="Portada2"/>
      </w:pPr>
    </w:p>
    <w:p w:rsidR="00673451" w:rsidRDefault="00673451" w:rsidP="00673451">
      <w:pPr>
        <w:pStyle w:val="Portada2"/>
      </w:pPr>
    </w:p>
    <w:p w:rsidR="00673451" w:rsidRDefault="00673451" w:rsidP="00673451">
      <w:pPr>
        <w:pStyle w:val="Portada2"/>
      </w:pPr>
    </w:p>
    <w:p w:rsidR="00673451" w:rsidRDefault="00673451" w:rsidP="00673451">
      <w:pPr>
        <w:pStyle w:val="PortadaPrincipal"/>
      </w:pPr>
      <w:r>
        <w:t>JURISPRUDENCIA</w:t>
      </w:r>
    </w:p>
    <w:p w:rsidR="00673451" w:rsidRDefault="00673451" w:rsidP="00673451">
      <w:pPr>
        <w:pStyle w:val="PortadaPrincipal"/>
      </w:pPr>
      <w:r>
        <w:t>CONSTITUCIONAL</w:t>
      </w:r>
    </w:p>
    <w:p w:rsidR="00673451" w:rsidRDefault="00673451" w:rsidP="00673451">
      <w:pPr>
        <w:pStyle w:val="PortadaPrincipal"/>
      </w:pPr>
    </w:p>
    <w:p w:rsidR="00673451" w:rsidRPr="00673451" w:rsidRDefault="00673451" w:rsidP="00673451">
      <w:pPr>
        <w:pStyle w:val="Portada1"/>
        <w:rPr>
          <w:b/>
        </w:rPr>
      </w:pPr>
      <w:r w:rsidRPr="00673451">
        <w:rPr>
          <w:b/>
        </w:rPr>
        <w:t>TOMO CENTÉSIMO OCTAVO</w:t>
      </w:r>
    </w:p>
    <w:p w:rsidR="00673451" w:rsidRPr="00673451" w:rsidRDefault="00673451" w:rsidP="00673451">
      <w:pPr>
        <w:pStyle w:val="Portada1"/>
        <w:rPr>
          <w:b/>
        </w:rPr>
      </w:pPr>
      <w:r w:rsidRPr="00673451">
        <w:rPr>
          <w:b/>
        </w:rPr>
        <w:t>(enero - junio 2021)</w:t>
      </w:r>
    </w:p>
    <w:p w:rsidR="00673451" w:rsidRDefault="00673451" w:rsidP="00673451">
      <w:pPr>
        <w:pStyle w:val="Portada1"/>
      </w:pPr>
    </w:p>
    <w:p w:rsidR="00673451" w:rsidRDefault="00673451" w:rsidP="00673451">
      <w:pPr>
        <w:pStyle w:val="Portada1"/>
      </w:pPr>
    </w:p>
    <w:p w:rsidR="00673451" w:rsidRDefault="00673451" w:rsidP="00673451">
      <w:pPr>
        <w:pStyle w:val="Portada1"/>
      </w:pPr>
    </w:p>
    <w:p w:rsidR="00673451" w:rsidRDefault="00673451" w:rsidP="00673451">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673451" w:rsidRDefault="00673451" w:rsidP="00673451">
      <w:pPr>
        <w:pStyle w:val="Portada1"/>
      </w:pPr>
    </w:p>
    <w:p w:rsidR="00673451" w:rsidRDefault="00673451" w:rsidP="00673451">
      <w:pPr>
        <w:pStyle w:val="Portada1"/>
      </w:pPr>
    </w:p>
    <w:p w:rsidR="00673451" w:rsidRDefault="00673451" w:rsidP="00673451">
      <w:pPr>
        <w:pStyle w:val="Portada1"/>
      </w:pPr>
    </w:p>
    <w:p w:rsidR="00673451" w:rsidRDefault="00673451" w:rsidP="00673451">
      <w:pPr>
        <w:pStyle w:val="Portada1"/>
      </w:pPr>
    </w:p>
    <w:p w:rsidR="00673451" w:rsidRDefault="00673451" w:rsidP="00673451">
      <w:pPr>
        <w:pStyle w:val="Portada1"/>
      </w:pPr>
    </w:p>
    <w:p w:rsidR="00673451" w:rsidRDefault="00673451" w:rsidP="00673451">
      <w:pPr>
        <w:pStyle w:val="Portada2"/>
      </w:pPr>
      <w:r>
        <w:t>MADRID 2021</w:t>
      </w:r>
    </w:p>
    <w:p w:rsidR="00253E9C" w:rsidRDefault="00253E9C">
      <w:pPr>
        <w:spacing w:after="0" w:line="360" w:lineRule="auto"/>
        <w:ind w:firstLine="851"/>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253E9C" w:rsidRDefault="00253E9C" w:rsidP="00253E9C">
      <w:pPr>
        <w:pStyle w:val="CabeceraApartadoDerecha"/>
      </w:pPr>
      <w:r>
        <w:lastRenderedPageBreak/>
        <w:t>CONTENIDO</w:t>
      </w:r>
    </w:p>
    <w:p w:rsidR="005728DD" w:rsidRDefault="005728DD" w:rsidP="00253E9C">
      <w:pPr>
        <w:pStyle w:val="CabeceraApartadoDerecha"/>
      </w:pPr>
    </w:p>
    <w:p w:rsidR="00253E9C" w:rsidRDefault="00253E9C" w:rsidP="00253E9C">
      <w:pPr>
        <w:pStyle w:val="EntradandiceSumario"/>
        <w:keepNext w:val="0"/>
      </w:pPr>
      <w:r>
        <w:t>1. SENTENCIAS: STC 1/2021 A STC 138/2021</w:t>
      </w:r>
      <w:r>
        <w:tab/>
      </w:r>
      <w:r>
        <w:tab/>
      </w:r>
      <w:r>
        <w:fldChar w:fldCharType="begin"/>
      </w:r>
      <w:r>
        <w:instrText xml:space="preserve"> PAGEREF SUMARIOSENTENCIAS \h </w:instrText>
      </w:r>
      <w:r>
        <w:fldChar w:fldCharType="separate"/>
      </w:r>
      <w:r w:rsidR="00D03E93">
        <w:rPr>
          <w:noProof/>
        </w:rPr>
        <w:t>3</w:t>
      </w:r>
      <w:r>
        <w:fldChar w:fldCharType="end"/>
      </w:r>
    </w:p>
    <w:p w:rsidR="00253E9C" w:rsidRDefault="00253E9C" w:rsidP="00253E9C">
      <w:pPr>
        <w:pStyle w:val="EntradandiceSumario"/>
        <w:keepNext w:val="0"/>
      </w:pPr>
    </w:p>
    <w:p w:rsidR="00253E9C" w:rsidRDefault="00253E9C" w:rsidP="00253E9C">
      <w:pPr>
        <w:pStyle w:val="EntradandiceSumario"/>
        <w:keepNext w:val="0"/>
      </w:pPr>
      <w:bookmarkStart w:id="1" w:name="SUMARIOSINDICES"/>
      <w:r>
        <w:t>2. AUTOS: ATC 1/2021 A ATC 70/2021</w:t>
      </w:r>
      <w:r>
        <w:tab/>
      </w:r>
      <w:r>
        <w:tab/>
      </w:r>
      <w:r>
        <w:fldChar w:fldCharType="begin"/>
      </w:r>
      <w:r>
        <w:instrText xml:space="preserve"> PAGEREF SUMARIOSAUTOS \h </w:instrText>
      </w:r>
      <w:r>
        <w:fldChar w:fldCharType="separate"/>
      </w:r>
      <w:r w:rsidR="00D03E93">
        <w:rPr>
          <w:noProof/>
        </w:rPr>
        <w:t>31</w:t>
      </w:r>
      <w:r>
        <w:fldChar w:fldCharType="end"/>
      </w:r>
    </w:p>
    <w:bookmarkEnd w:id="1"/>
    <w:p w:rsidR="00253E9C" w:rsidRDefault="00253E9C" w:rsidP="00253E9C">
      <w:pPr>
        <w:pStyle w:val="EntradandiceSumario"/>
        <w:keepNext w:val="0"/>
      </w:pPr>
    </w:p>
    <w:p w:rsidR="00253E9C" w:rsidRDefault="00253E9C" w:rsidP="00253E9C">
      <w:pPr>
        <w:pStyle w:val="EntradandiceSumario"/>
        <w:keepNext w:val="0"/>
      </w:pPr>
      <w:r>
        <w:t>3. ÍNDICE DE DISPOSICIONES CON FUERZA DE LEY IMPUGNADAS:</w:t>
      </w:r>
    </w:p>
    <w:p w:rsidR="00253E9C" w:rsidRDefault="00253E9C" w:rsidP="00253E9C">
      <w:pPr>
        <w:pStyle w:val="EntradandiceSumario"/>
        <w:keepNext w:val="0"/>
      </w:pPr>
    </w:p>
    <w:p w:rsidR="00253E9C" w:rsidRDefault="00253E9C" w:rsidP="00253E9C">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D03E93">
        <w:rPr>
          <w:noProof/>
        </w:rPr>
        <w:t>3947</w:t>
      </w:r>
      <w:r>
        <w:fldChar w:fldCharType="end"/>
      </w:r>
    </w:p>
    <w:p w:rsidR="00253E9C" w:rsidRDefault="00253E9C" w:rsidP="00253E9C">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D03E93">
        <w:rPr>
          <w:noProof/>
        </w:rPr>
        <w:t>3951</w:t>
      </w:r>
      <w:r>
        <w:fldChar w:fldCharType="end"/>
      </w:r>
    </w:p>
    <w:p w:rsidR="00253E9C" w:rsidRDefault="00253E9C" w:rsidP="00253E9C"/>
    <w:p w:rsidR="00253E9C" w:rsidRDefault="00253E9C" w:rsidP="00253E9C">
      <w:pPr>
        <w:pStyle w:val="EntradandiceSumario"/>
        <w:keepNext w:val="0"/>
      </w:pPr>
      <w:r>
        <w:t>4. ÍNDICE DE DISPOSICIONES GENERALES Y RESOLUCIONES IMPUGNADAS:</w:t>
      </w:r>
    </w:p>
    <w:p w:rsidR="00253E9C" w:rsidRDefault="00253E9C" w:rsidP="00253E9C">
      <w:pPr>
        <w:pStyle w:val="EntradandiceSumario"/>
        <w:keepNext w:val="0"/>
      </w:pPr>
    </w:p>
    <w:p w:rsidR="00253E9C" w:rsidRDefault="00253E9C" w:rsidP="00253E9C">
      <w:pPr>
        <w:pStyle w:val="EntradandiceSumarioNivel2"/>
        <w:keepNext w:val="0"/>
      </w:pPr>
      <w:r>
        <w:t>A) Disposiciones del Estado</w:t>
      </w:r>
      <w:r>
        <w:tab/>
      </w:r>
      <w:r>
        <w:tab/>
      </w:r>
      <w:r>
        <w:fldChar w:fldCharType="begin"/>
      </w:r>
      <w:r>
        <w:instrText xml:space="preserve"> PAGEREF INDICE22803 \h </w:instrText>
      </w:r>
      <w:r>
        <w:fldChar w:fldCharType="separate"/>
      </w:r>
      <w:r w:rsidR="00D03E93">
        <w:rPr>
          <w:noProof/>
        </w:rPr>
        <w:t>3958</w:t>
      </w:r>
      <w:r>
        <w:fldChar w:fldCharType="end"/>
      </w:r>
    </w:p>
    <w:p w:rsidR="00253E9C" w:rsidRDefault="00253E9C" w:rsidP="00253E9C">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D03E93">
        <w:rPr>
          <w:noProof/>
        </w:rPr>
        <w:t>3959</w:t>
      </w:r>
      <w:r>
        <w:fldChar w:fldCharType="end"/>
      </w:r>
    </w:p>
    <w:p w:rsidR="00253E9C" w:rsidRDefault="00253E9C" w:rsidP="00253E9C"/>
    <w:p w:rsidR="00253E9C" w:rsidRDefault="00253E9C" w:rsidP="00253E9C">
      <w:pPr>
        <w:pStyle w:val="EntradandiceSumario"/>
        <w:keepNext w:val="0"/>
      </w:pPr>
      <w:r>
        <w:t>5. ÍNDICE DE DISPOSICIONES CITADAS:</w:t>
      </w:r>
    </w:p>
    <w:p w:rsidR="00253E9C" w:rsidRDefault="00253E9C" w:rsidP="00253E9C">
      <w:pPr>
        <w:pStyle w:val="EntradandiceSumario"/>
        <w:keepNext w:val="0"/>
      </w:pPr>
    </w:p>
    <w:p w:rsidR="00253E9C" w:rsidRDefault="00253E9C" w:rsidP="00253E9C">
      <w:pPr>
        <w:pStyle w:val="EntradandiceSumarioNivel2"/>
        <w:keepNext w:val="0"/>
      </w:pPr>
      <w:r>
        <w:t>A) Constitución</w:t>
      </w:r>
      <w:r>
        <w:tab/>
      </w:r>
      <w:r>
        <w:tab/>
      </w:r>
      <w:r>
        <w:fldChar w:fldCharType="begin"/>
      </w:r>
      <w:r>
        <w:instrText xml:space="preserve"> PAGEREF INDICE22804 \h </w:instrText>
      </w:r>
      <w:r>
        <w:fldChar w:fldCharType="separate"/>
      </w:r>
      <w:r w:rsidR="00D03E93">
        <w:rPr>
          <w:noProof/>
        </w:rPr>
        <w:t>3963</w:t>
      </w:r>
      <w:r>
        <w:fldChar w:fldCharType="end"/>
      </w:r>
    </w:p>
    <w:p w:rsidR="00253E9C" w:rsidRDefault="00253E9C" w:rsidP="00253E9C">
      <w:pPr>
        <w:pStyle w:val="EntradandiceSumarioNivel2"/>
        <w:keepNext w:val="0"/>
      </w:pPr>
      <w:r>
        <w:t>B) Tribunal Constitucional</w:t>
      </w:r>
      <w:r>
        <w:tab/>
      </w:r>
      <w:r>
        <w:tab/>
      </w:r>
      <w:r>
        <w:fldChar w:fldCharType="begin"/>
      </w:r>
      <w:r>
        <w:instrText xml:space="preserve"> PAGEREF INDICE22843 \h </w:instrText>
      </w:r>
      <w:r>
        <w:fldChar w:fldCharType="separate"/>
      </w:r>
      <w:r w:rsidR="00D03E93">
        <w:rPr>
          <w:noProof/>
        </w:rPr>
        <w:t>3971</w:t>
      </w:r>
      <w:r>
        <w:fldChar w:fldCharType="end"/>
      </w:r>
    </w:p>
    <w:p w:rsidR="00253E9C" w:rsidRDefault="00253E9C" w:rsidP="00253E9C">
      <w:pPr>
        <w:pStyle w:val="EntradandiceSumarioNivel2"/>
        <w:keepNext w:val="0"/>
      </w:pPr>
      <w:r>
        <w:t>C) Cortes Generales</w:t>
      </w:r>
      <w:r>
        <w:tab/>
      </w:r>
      <w:r>
        <w:tab/>
      </w:r>
      <w:r>
        <w:fldChar w:fldCharType="begin"/>
      </w:r>
      <w:r>
        <w:instrText xml:space="preserve"> PAGEREF INDICE22844 \h </w:instrText>
      </w:r>
      <w:r>
        <w:fldChar w:fldCharType="separate"/>
      </w:r>
      <w:r w:rsidR="00D03E93">
        <w:rPr>
          <w:noProof/>
        </w:rPr>
        <w:t>3976</w:t>
      </w:r>
      <w:r>
        <w:fldChar w:fldCharType="end"/>
      </w:r>
    </w:p>
    <w:p w:rsidR="00253E9C" w:rsidRDefault="00253E9C" w:rsidP="00253E9C">
      <w:pPr>
        <w:pStyle w:val="EntradandiceSumarioNivel2"/>
        <w:keepNext w:val="0"/>
      </w:pPr>
      <w:r>
        <w:t>D) Leyes Orgánicas</w:t>
      </w:r>
      <w:r>
        <w:tab/>
      </w:r>
      <w:r>
        <w:tab/>
      </w:r>
      <w:r>
        <w:fldChar w:fldCharType="begin"/>
      </w:r>
      <w:r>
        <w:instrText xml:space="preserve"> PAGEREF INDICE22845 \h </w:instrText>
      </w:r>
      <w:r>
        <w:fldChar w:fldCharType="separate"/>
      </w:r>
      <w:r w:rsidR="00D03E93">
        <w:rPr>
          <w:noProof/>
        </w:rPr>
        <w:t>3977</w:t>
      </w:r>
      <w:r>
        <w:fldChar w:fldCharType="end"/>
      </w:r>
    </w:p>
    <w:p w:rsidR="00253E9C" w:rsidRDefault="00253E9C" w:rsidP="00253E9C">
      <w:pPr>
        <w:pStyle w:val="EntradandiceSumarioNivel2"/>
        <w:keepNext w:val="0"/>
      </w:pPr>
      <w:r>
        <w:t>E) Leyes de las Cortes Generales</w:t>
      </w:r>
      <w:r>
        <w:tab/>
      </w:r>
      <w:r>
        <w:tab/>
      </w:r>
      <w:r>
        <w:fldChar w:fldCharType="begin"/>
      </w:r>
      <w:r>
        <w:instrText xml:space="preserve"> PAGEREF INDICE22846 \h </w:instrText>
      </w:r>
      <w:r>
        <w:fldChar w:fldCharType="separate"/>
      </w:r>
      <w:r w:rsidR="00D03E93">
        <w:rPr>
          <w:noProof/>
        </w:rPr>
        <w:t>3988</w:t>
      </w:r>
      <w:r>
        <w:fldChar w:fldCharType="end"/>
      </w:r>
    </w:p>
    <w:p w:rsidR="00253E9C" w:rsidRDefault="00253E9C" w:rsidP="00253E9C">
      <w:pPr>
        <w:pStyle w:val="EntradandiceSumarioNivel2"/>
        <w:keepNext w:val="0"/>
      </w:pPr>
      <w:r>
        <w:t>F) Reales Decretos Legislativos</w:t>
      </w:r>
      <w:r>
        <w:tab/>
      </w:r>
      <w:r>
        <w:tab/>
      </w:r>
      <w:r>
        <w:fldChar w:fldCharType="begin"/>
      </w:r>
      <w:r>
        <w:instrText xml:space="preserve"> PAGEREF INDICE22847 \h </w:instrText>
      </w:r>
      <w:r>
        <w:fldChar w:fldCharType="separate"/>
      </w:r>
      <w:r w:rsidR="00D03E93">
        <w:rPr>
          <w:noProof/>
        </w:rPr>
        <w:t>4012</w:t>
      </w:r>
      <w:r>
        <w:fldChar w:fldCharType="end"/>
      </w:r>
    </w:p>
    <w:p w:rsidR="00253E9C" w:rsidRDefault="00253E9C" w:rsidP="00253E9C">
      <w:pPr>
        <w:pStyle w:val="EntradandiceSumarioNivel2"/>
        <w:keepNext w:val="0"/>
      </w:pPr>
      <w:r>
        <w:t>G) Reales Decretos-leyes</w:t>
      </w:r>
      <w:r>
        <w:tab/>
      </w:r>
      <w:r>
        <w:tab/>
      </w:r>
      <w:r>
        <w:fldChar w:fldCharType="begin"/>
      </w:r>
      <w:r>
        <w:instrText xml:space="preserve"> PAGEREF INDICE22848 \h </w:instrText>
      </w:r>
      <w:r>
        <w:fldChar w:fldCharType="separate"/>
      </w:r>
      <w:r w:rsidR="00D03E93">
        <w:rPr>
          <w:noProof/>
        </w:rPr>
        <w:t>4015</w:t>
      </w:r>
      <w:r>
        <w:fldChar w:fldCharType="end"/>
      </w:r>
    </w:p>
    <w:p w:rsidR="00253E9C" w:rsidRDefault="00253E9C" w:rsidP="00253E9C">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D03E93">
        <w:rPr>
          <w:noProof/>
        </w:rPr>
        <w:t>4018</w:t>
      </w:r>
      <w:r>
        <w:fldChar w:fldCharType="end"/>
      </w:r>
    </w:p>
    <w:p w:rsidR="00253E9C" w:rsidRDefault="00253E9C" w:rsidP="00253E9C">
      <w:pPr>
        <w:pStyle w:val="EntradandiceSumarioNivel2"/>
        <w:keepNext w:val="0"/>
      </w:pPr>
      <w:r>
        <w:t>I) Legislación preconstitucional</w:t>
      </w:r>
      <w:r>
        <w:tab/>
      </w:r>
      <w:r>
        <w:tab/>
      </w:r>
      <w:r>
        <w:fldChar w:fldCharType="begin"/>
      </w:r>
      <w:r>
        <w:instrText xml:space="preserve"> PAGEREF INDICE22850 \h </w:instrText>
      </w:r>
      <w:r>
        <w:fldChar w:fldCharType="separate"/>
      </w:r>
      <w:r w:rsidR="00D03E93">
        <w:rPr>
          <w:noProof/>
        </w:rPr>
        <w:t>4027</w:t>
      </w:r>
      <w:r>
        <w:fldChar w:fldCharType="end"/>
      </w:r>
    </w:p>
    <w:p w:rsidR="00253E9C" w:rsidRDefault="00253E9C" w:rsidP="00253E9C">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D03E93">
        <w:rPr>
          <w:noProof/>
        </w:rPr>
        <w:t>4032</w:t>
      </w:r>
      <w:r>
        <w:fldChar w:fldCharType="end"/>
      </w:r>
    </w:p>
    <w:p w:rsidR="00253E9C" w:rsidRDefault="00253E9C" w:rsidP="00253E9C">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D03E93">
        <w:rPr>
          <w:noProof/>
        </w:rPr>
        <w:t>4062</w:t>
      </w:r>
      <w:r>
        <w:fldChar w:fldCharType="end"/>
      </w:r>
    </w:p>
    <w:p w:rsidR="00253E9C" w:rsidRDefault="00253E9C" w:rsidP="00253E9C">
      <w:pPr>
        <w:pStyle w:val="EntradandiceSumarioNivel2"/>
        <w:keepNext w:val="0"/>
      </w:pPr>
      <w:r>
        <w:t>M) Unión Europea</w:t>
      </w:r>
      <w:r>
        <w:tab/>
      </w:r>
      <w:r>
        <w:tab/>
      </w:r>
      <w:r>
        <w:fldChar w:fldCharType="begin"/>
      </w:r>
      <w:r>
        <w:instrText xml:space="preserve"> PAGEREF INDICE22871 \h </w:instrText>
      </w:r>
      <w:r>
        <w:fldChar w:fldCharType="separate"/>
      </w:r>
      <w:r w:rsidR="00D03E93">
        <w:rPr>
          <w:noProof/>
        </w:rPr>
        <w:t>4064</w:t>
      </w:r>
      <w:r>
        <w:fldChar w:fldCharType="end"/>
      </w:r>
    </w:p>
    <w:p w:rsidR="00253E9C" w:rsidRDefault="00253E9C" w:rsidP="00253E9C">
      <w:pPr>
        <w:pStyle w:val="EntradandiceSumarioNivel2"/>
        <w:keepNext w:val="0"/>
      </w:pPr>
      <w:r>
        <w:t>N) Consejo de Europa</w:t>
      </w:r>
      <w:r>
        <w:tab/>
      </w:r>
      <w:r>
        <w:tab/>
      </w:r>
      <w:r>
        <w:fldChar w:fldCharType="begin"/>
      </w:r>
      <w:r>
        <w:instrText xml:space="preserve"> PAGEREF INDICE27994 \h </w:instrText>
      </w:r>
      <w:r>
        <w:fldChar w:fldCharType="separate"/>
      </w:r>
      <w:r w:rsidR="00D03E93">
        <w:rPr>
          <w:noProof/>
        </w:rPr>
        <w:t>4067</w:t>
      </w:r>
      <w:r>
        <w:fldChar w:fldCharType="end"/>
      </w:r>
    </w:p>
    <w:p w:rsidR="00253E9C" w:rsidRDefault="00253E9C" w:rsidP="00253E9C">
      <w:pPr>
        <w:pStyle w:val="EntradandiceSumarioNivel2"/>
        <w:keepNext w:val="0"/>
      </w:pPr>
      <w:r>
        <w:t>Ñ) Legislación extranjera</w:t>
      </w:r>
      <w:r>
        <w:tab/>
      </w:r>
      <w:r>
        <w:tab/>
      </w:r>
      <w:r>
        <w:fldChar w:fldCharType="begin"/>
      </w:r>
      <w:r>
        <w:instrText xml:space="preserve"> PAGEREF INDICE22872 \h </w:instrText>
      </w:r>
      <w:r>
        <w:fldChar w:fldCharType="separate"/>
      </w:r>
      <w:r w:rsidR="00D03E93">
        <w:rPr>
          <w:noProof/>
        </w:rPr>
        <w:t>4069</w:t>
      </w:r>
      <w:r>
        <w:fldChar w:fldCharType="end"/>
      </w:r>
    </w:p>
    <w:p w:rsidR="00253E9C" w:rsidRDefault="00253E9C" w:rsidP="00253E9C"/>
    <w:p w:rsidR="00253E9C" w:rsidRDefault="00253E9C" w:rsidP="00253E9C">
      <w:pPr>
        <w:pStyle w:val="EntradandiceSumario"/>
        <w:keepNext w:val="0"/>
      </w:pPr>
      <w:r>
        <w:t>6. ÍNDICE DE RESOLUCIONES DE OTROS TRIBUNALES CITADAS:</w:t>
      </w:r>
    </w:p>
    <w:p w:rsidR="00253E9C" w:rsidRDefault="00253E9C" w:rsidP="00253E9C">
      <w:pPr>
        <w:pStyle w:val="EntradandiceSumario"/>
        <w:keepNext w:val="0"/>
      </w:pPr>
    </w:p>
    <w:p w:rsidR="00253E9C" w:rsidRDefault="00253E9C" w:rsidP="00253E9C">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D03E93">
        <w:rPr>
          <w:noProof/>
        </w:rPr>
        <w:t>4070</w:t>
      </w:r>
      <w:r>
        <w:fldChar w:fldCharType="end"/>
      </w:r>
    </w:p>
    <w:p w:rsidR="00253E9C" w:rsidRDefault="00253E9C" w:rsidP="00253E9C">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D03E93">
        <w:rPr>
          <w:noProof/>
        </w:rPr>
        <w:t>4095</w:t>
      </w:r>
      <w:r>
        <w:fldChar w:fldCharType="end"/>
      </w:r>
    </w:p>
    <w:p w:rsidR="00253E9C" w:rsidRDefault="00253E9C" w:rsidP="00253E9C">
      <w:pPr>
        <w:pStyle w:val="EntradandiceSumarioNivel2"/>
        <w:keepNext w:val="0"/>
      </w:pPr>
      <w:r>
        <w:t>C) Tribunal Supremo</w:t>
      </w:r>
      <w:r>
        <w:tab/>
      </w:r>
      <w:r>
        <w:tab/>
      </w:r>
      <w:r>
        <w:fldChar w:fldCharType="begin"/>
      </w:r>
      <w:r>
        <w:instrText xml:space="preserve"> PAGEREF INDICE22925 \h </w:instrText>
      </w:r>
      <w:r>
        <w:fldChar w:fldCharType="separate"/>
      </w:r>
      <w:r w:rsidR="00D03E93">
        <w:rPr>
          <w:noProof/>
        </w:rPr>
        <w:t>4099</w:t>
      </w:r>
      <w:r>
        <w:fldChar w:fldCharType="end"/>
      </w:r>
    </w:p>
    <w:p w:rsidR="00253E9C" w:rsidRDefault="00253E9C" w:rsidP="00253E9C">
      <w:pPr>
        <w:pStyle w:val="EntradandiceSumarioNivel2"/>
        <w:keepNext w:val="0"/>
      </w:pPr>
      <w:r>
        <w:t>D) Otros Tribunales</w:t>
      </w:r>
      <w:r>
        <w:tab/>
      </w:r>
      <w:r>
        <w:tab/>
      </w:r>
      <w:r>
        <w:fldChar w:fldCharType="begin"/>
      </w:r>
      <w:r>
        <w:instrText xml:space="preserve"> PAGEREF INDICE22926 \h </w:instrText>
      </w:r>
      <w:r>
        <w:fldChar w:fldCharType="separate"/>
      </w:r>
      <w:r w:rsidR="00D03E93">
        <w:rPr>
          <w:noProof/>
        </w:rPr>
        <w:t>4102</w:t>
      </w:r>
      <w:r>
        <w:fldChar w:fldCharType="end"/>
      </w:r>
    </w:p>
    <w:p w:rsidR="00253E9C" w:rsidRDefault="00253E9C" w:rsidP="00253E9C"/>
    <w:p w:rsidR="00253E9C" w:rsidRDefault="00253E9C" w:rsidP="00253E9C">
      <w:pPr>
        <w:pStyle w:val="EntradandiceSumario"/>
        <w:keepNext w:val="0"/>
      </w:pPr>
      <w:r>
        <w:t>7. ÍNDICE ANALÍTICO</w:t>
      </w:r>
      <w:r>
        <w:tab/>
      </w:r>
      <w:r>
        <w:tab/>
      </w:r>
      <w:r>
        <w:fldChar w:fldCharType="begin"/>
      </w:r>
      <w:r>
        <w:instrText xml:space="preserve"> PAGEREF INDICE5ALFABETICO \h </w:instrText>
      </w:r>
      <w:r>
        <w:fldChar w:fldCharType="separate"/>
      </w:r>
      <w:r w:rsidR="00D03E93">
        <w:rPr>
          <w:noProof/>
        </w:rPr>
        <w:t>4103</w:t>
      </w:r>
      <w:r>
        <w:fldChar w:fldCharType="end"/>
      </w:r>
    </w:p>
    <w:p w:rsidR="00253E9C" w:rsidRDefault="00253E9C" w:rsidP="00253E9C"/>
    <w:p w:rsidR="00253E9C" w:rsidRDefault="00253E9C" w:rsidP="00253E9C">
      <w:pPr>
        <w:pStyle w:val="EntradandiceSumario"/>
        <w:keepNext w:val="0"/>
      </w:pPr>
      <w:r>
        <w:t>8. ABREVIATURAS Y ACRÓNIMOS</w:t>
      </w:r>
      <w:r>
        <w:tab/>
      </w:r>
      <w:r>
        <w:tab/>
      </w:r>
      <w:r>
        <w:fldChar w:fldCharType="begin"/>
      </w:r>
      <w:r>
        <w:instrText xml:space="preserve"> PAGEREF ACRONIMOS \h </w:instrText>
      </w:r>
      <w:r>
        <w:fldChar w:fldCharType="separate"/>
      </w:r>
      <w:r w:rsidR="00D03E93">
        <w:rPr>
          <w:noProof/>
        </w:rPr>
        <w:t>4121</w:t>
      </w:r>
      <w:r>
        <w:fldChar w:fldCharType="end"/>
      </w:r>
    </w:p>
    <w:p w:rsidR="00253E9C" w:rsidRDefault="00253E9C">
      <w:pPr>
        <w:spacing w:after="0" w:line="360" w:lineRule="auto"/>
        <w:ind w:firstLine="851"/>
        <w:jc w:val="both"/>
        <w:rPr>
          <w:rFonts w:ascii="Times New Roman" w:eastAsia="Times New Roman" w:hAnsi="Times New Roman" w:cs="Times New Roman"/>
          <w:sz w:val="24"/>
          <w:szCs w:val="24"/>
          <w:lang w:eastAsia="es-ES"/>
        </w:rPr>
      </w:pPr>
      <w:r>
        <w:br w:type="page"/>
      </w:r>
    </w:p>
    <w:p w:rsidR="00253E9C" w:rsidRDefault="00253E9C" w:rsidP="00253E9C">
      <w:pPr>
        <w:pStyle w:val="EntradandiceSumario"/>
        <w:keepNext w:val="0"/>
      </w:pPr>
    </w:p>
    <w:p w:rsidR="00253E9C" w:rsidRDefault="00253E9C" w:rsidP="00253E9C"/>
    <w:p w:rsidR="00253E9C" w:rsidRDefault="00253E9C" w:rsidP="00253E9C"/>
    <w:p w:rsidR="00253E9C" w:rsidRDefault="00253E9C" w:rsidP="00253E9C">
      <w:pPr>
        <w:pStyle w:val="Ttulondice"/>
      </w:pPr>
      <w:bookmarkStart w:id="2" w:name="SUMARIOSENTENCIAS"/>
      <w:r>
        <w:t>1. SENTENCIAS: STC 1/2021 A STC 138/2021</w:t>
      </w:r>
    </w:p>
    <w:bookmarkEnd w:id="2"/>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EntradandiceSentencia"/>
      </w:pPr>
      <w:r>
        <w:t>Sala Segunda. Sentencia 1/2021,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1343-2018. </w:t>
      </w:r>
      <w:r w:rsidRPr="00253E9C">
        <w:rPr>
          <w:rStyle w:val="TextoNormalCursivaCaracter"/>
        </w:rPr>
        <w:t xml:space="preserve"> Supuesta discriminación por razón de raza: denegación de la pensión de viudedad consecuencia de la inexistencia de unión matrimonial reconocida por el ordenamiento español (STEDH de 8 de diciembre de 2009, asunto Muñoz Díaz c. España). Voto particular.</w:t>
      </w:r>
      <w:r>
        <w:tab/>
      </w:r>
      <w:r>
        <w:tab/>
      </w:r>
      <w:r>
        <w:fldChar w:fldCharType="begin"/>
      </w:r>
      <w:r>
        <w:instrText xml:space="preserve"> PAGEREF SENTENCIA_2021_1 \h </w:instrText>
      </w:r>
      <w:r>
        <w:fldChar w:fldCharType="separate"/>
      </w:r>
      <w:r w:rsidR="00D03E93">
        <w:rPr>
          <w:noProof/>
        </w:rPr>
        <w:t>41</w:t>
      </w:r>
      <w:r>
        <w:fldChar w:fldCharType="end"/>
      </w:r>
    </w:p>
    <w:p w:rsidR="005728DD" w:rsidRDefault="005728DD" w:rsidP="00253E9C"/>
    <w:p w:rsidR="00253E9C" w:rsidRDefault="00253E9C" w:rsidP="00253E9C">
      <w:pPr>
        <w:pStyle w:val="EntradandiceSentencia"/>
      </w:pPr>
      <w:r>
        <w:t>Sala Segunda. Sentencia 2/2021,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6379-2018. </w:t>
      </w:r>
      <w:r w:rsidRPr="00253E9C">
        <w:rPr>
          <w:rStyle w:val="TextoNormalCursivaCaracter"/>
        </w:rPr>
        <w:t xml:space="preserve"> Vulneración del derecho a la igualdad en relación con el derecho a la creación de centros docentes: nulidad de los preceptos reglamentarios que limitan el disfrute de becas a los alumnos matriculados en universidad públicas integrantes del sistema universitario valenciano (STC 191/2020). Voto particular.</w:t>
      </w:r>
      <w:r>
        <w:tab/>
      </w:r>
      <w:r>
        <w:tab/>
      </w:r>
      <w:r>
        <w:fldChar w:fldCharType="begin"/>
      </w:r>
      <w:r>
        <w:instrText xml:space="preserve"> PAGEREF SENTENCIA_2021_2 \h </w:instrText>
      </w:r>
      <w:r>
        <w:fldChar w:fldCharType="separate"/>
      </w:r>
      <w:r w:rsidR="00D03E93">
        <w:rPr>
          <w:noProof/>
        </w:rPr>
        <w:t>71</w:t>
      </w:r>
      <w:r>
        <w:fldChar w:fldCharType="end"/>
      </w:r>
    </w:p>
    <w:p w:rsidR="00253E9C" w:rsidRDefault="00253E9C" w:rsidP="00253E9C"/>
    <w:p w:rsidR="00253E9C" w:rsidRDefault="00253E9C" w:rsidP="00253E9C">
      <w:pPr>
        <w:pStyle w:val="EntradandiceSentencia"/>
      </w:pPr>
      <w:r>
        <w:t>Sala Segunda. Sentencia 3/2021,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469-2019. </w:t>
      </w:r>
      <w:r w:rsidRPr="00253E9C">
        <w:rPr>
          <w:rStyle w:val="TextoNormalCursivaCaracter"/>
        </w:rPr>
        <w:t xml:space="preserve"> Vulneración del derecho a un proceso con todas las garantías: resoluciones judiciales que, al anular la revisión de la incorrecta indicación de recursos y declarar la firmeza de la sentencia condenatoria, impiden el ejercicio del derecho a la segunda instancia penal.</w:t>
      </w:r>
      <w:r>
        <w:tab/>
      </w:r>
      <w:r>
        <w:tab/>
      </w:r>
      <w:r>
        <w:fldChar w:fldCharType="begin"/>
      </w:r>
      <w:r>
        <w:instrText xml:space="preserve"> PAGEREF SENTENCIA_2021_3 \h </w:instrText>
      </w:r>
      <w:r>
        <w:fldChar w:fldCharType="separate"/>
      </w:r>
      <w:r w:rsidR="00D03E93">
        <w:rPr>
          <w:noProof/>
        </w:rPr>
        <w:t>97</w:t>
      </w:r>
      <w:r>
        <w:fldChar w:fldCharType="end"/>
      </w:r>
    </w:p>
    <w:p w:rsidR="00253E9C" w:rsidRDefault="00253E9C" w:rsidP="00253E9C"/>
    <w:p w:rsidR="00253E9C" w:rsidRDefault="00253E9C" w:rsidP="00253E9C">
      <w:pPr>
        <w:pStyle w:val="EntradandiceSentencia"/>
      </w:pPr>
      <w:r>
        <w:t>Sala Segunda. Sentencia 4/2021,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514-2019. </w:t>
      </w:r>
      <w:r w:rsidRPr="00253E9C">
        <w:rPr>
          <w:rStyle w:val="TextoNormalCursivaCaracter"/>
        </w:rPr>
        <w:t xml:space="preserve"> Vulneración del derecho a un proceso con todas las garantías: resoluciones judiciales que, al anular la revisión de la incorrecta </w:t>
      </w:r>
      <w:r w:rsidRPr="00253E9C">
        <w:rPr>
          <w:rStyle w:val="TextoNormalCursivaCaracter"/>
        </w:rPr>
        <w:lastRenderedPageBreak/>
        <w:t>indicación de recursos y declarar la firmeza de la sentencia condenatoria, impiden el ejercicio del derecho a la segunda instancia penal.</w:t>
      </w:r>
      <w:r>
        <w:tab/>
      </w:r>
      <w:r>
        <w:tab/>
      </w:r>
      <w:r>
        <w:fldChar w:fldCharType="begin"/>
      </w:r>
      <w:r>
        <w:instrText xml:space="preserve"> PAGEREF SENTENCIA_2021_4 \h </w:instrText>
      </w:r>
      <w:r>
        <w:fldChar w:fldCharType="separate"/>
      </w:r>
      <w:r w:rsidR="00D03E93">
        <w:rPr>
          <w:noProof/>
        </w:rPr>
        <w:t>105</w:t>
      </w:r>
      <w:r>
        <w:fldChar w:fldCharType="end"/>
      </w:r>
    </w:p>
    <w:p w:rsidR="00253E9C" w:rsidRDefault="00253E9C" w:rsidP="00253E9C"/>
    <w:p w:rsidR="00253E9C" w:rsidRDefault="00253E9C" w:rsidP="00253E9C">
      <w:pPr>
        <w:pStyle w:val="EntradandiceSentencia"/>
      </w:pPr>
      <w:r>
        <w:t>Sala Segunda. Sentencia 5/2021,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1331-2019. </w:t>
      </w:r>
      <w:r w:rsidRPr="00253E9C">
        <w:rPr>
          <w:rStyle w:val="TextoNormalCursivaCaracter"/>
        </w:rPr>
        <w:t xml:space="preserve"> Supuesta vulneración de las libertades de expresión e información y de los derechos a la igualdad y de defensa: improcedencia de la invocación de derechos fundamentales de quienes actúan en el desempeño de funciones públicas.</w:t>
      </w:r>
      <w:r>
        <w:tab/>
      </w:r>
      <w:r>
        <w:tab/>
      </w:r>
      <w:r>
        <w:fldChar w:fldCharType="begin"/>
      </w:r>
      <w:r>
        <w:instrText xml:space="preserve"> PAGEREF SENTENCIA_2021_5 \h </w:instrText>
      </w:r>
      <w:r>
        <w:fldChar w:fldCharType="separate"/>
      </w:r>
      <w:r w:rsidR="00D03E93">
        <w:rPr>
          <w:noProof/>
        </w:rPr>
        <w:t>112</w:t>
      </w:r>
      <w:r>
        <w:fldChar w:fldCharType="end"/>
      </w:r>
    </w:p>
    <w:p w:rsidR="00253E9C" w:rsidRDefault="00253E9C" w:rsidP="00253E9C"/>
    <w:p w:rsidR="00253E9C" w:rsidRDefault="00253E9C" w:rsidP="00253E9C">
      <w:pPr>
        <w:pStyle w:val="EntradandiceSentencia"/>
      </w:pPr>
      <w:r>
        <w:t>Sala Primera. Sentencia 6/2021,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2578-2019. </w:t>
      </w:r>
      <w:r w:rsidRPr="00253E9C">
        <w:rPr>
          <w:rStyle w:val="TextoNormalCursivaCaracter"/>
        </w:rPr>
        <w:t xml:space="preserve"> Vulneración del derecho a la igualdad en relación con el derecho a la creación de centros docentes: nulidad de los preceptos reglamentarios que limitan el disfrute de becas a los alumnos matriculados en universidad públicas integrantes del sistema universitario valenciano (STC 191/2020). Voto particular.</w:t>
      </w:r>
      <w:r>
        <w:tab/>
      </w:r>
      <w:r>
        <w:tab/>
      </w:r>
      <w:r>
        <w:fldChar w:fldCharType="begin"/>
      </w:r>
      <w:r>
        <w:instrText xml:space="preserve"> PAGEREF SENTENCIA_2021_6 \h </w:instrText>
      </w:r>
      <w:r>
        <w:fldChar w:fldCharType="separate"/>
      </w:r>
      <w:r w:rsidR="00D03E93">
        <w:rPr>
          <w:noProof/>
        </w:rPr>
        <w:t>147</w:t>
      </w:r>
      <w:r>
        <w:fldChar w:fldCharType="end"/>
      </w:r>
    </w:p>
    <w:p w:rsidR="00253E9C" w:rsidRDefault="00253E9C" w:rsidP="00253E9C"/>
    <w:p w:rsidR="00253E9C" w:rsidRDefault="00253E9C" w:rsidP="00253E9C">
      <w:pPr>
        <w:pStyle w:val="EntradandiceSentencia"/>
      </w:pPr>
      <w:r>
        <w:t>Sala Segunda. Sentencia 7/2021,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4217-2019. </w:t>
      </w:r>
      <w:r w:rsidRPr="00253E9C">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SENTENCIA_2021_7 \h </w:instrText>
      </w:r>
      <w:r>
        <w:fldChar w:fldCharType="separate"/>
      </w:r>
      <w:r w:rsidR="00D03E93">
        <w:rPr>
          <w:noProof/>
        </w:rPr>
        <w:t>166</w:t>
      </w:r>
      <w:r>
        <w:fldChar w:fldCharType="end"/>
      </w:r>
    </w:p>
    <w:p w:rsidR="00253E9C" w:rsidRDefault="00253E9C" w:rsidP="00253E9C"/>
    <w:p w:rsidR="00253E9C" w:rsidRDefault="00253E9C" w:rsidP="00253E9C">
      <w:pPr>
        <w:pStyle w:val="EntradandiceSentencia"/>
      </w:pPr>
      <w:r>
        <w:t>Sala Primera. Sentencia 8/2021,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4319-2019. </w:t>
      </w:r>
      <w:r w:rsidRPr="00253E9C">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SENTENCIA_2021_8 \h </w:instrText>
      </w:r>
      <w:r>
        <w:fldChar w:fldCharType="separate"/>
      </w:r>
      <w:r w:rsidR="00D03E93">
        <w:rPr>
          <w:noProof/>
        </w:rPr>
        <w:t>172</w:t>
      </w:r>
      <w:r>
        <w:fldChar w:fldCharType="end"/>
      </w:r>
    </w:p>
    <w:p w:rsidR="00253E9C" w:rsidRDefault="00253E9C" w:rsidP="00253E9C"/>
    <w:p w:rsidR="00253E9C" w:rsidRDefault="00253E9C" w:rsidP="00253E9C">
      <w:pPr>
        <w:pStyle w:val="EntradandiceSentencia"/>
      </w:pPr>
      <w:r>
        <w:t>Sala Primera. Sentencia 9/2021,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6090-2019.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w:t>
      </w:r>
      <w:r w:rsidRPr="00253E9C">
        <w:rPr>
          <w:rStyle w:val="TextoNormalCursivaCaracter"/>
        </w:rPr>
        <w:lastRenderedPageBreak/>
        <w:t>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SENTENCIA_2021_9 \h </w:instrText>
      </w:r>
      <w:r>
        <w:fldChar w:fldCharType="separate"/>
      </w:r>
      <w:r w:rsidR="00D03E93">
        <w:rPr>
          <w:noProof/>
        </w:rPr>
        <w:t>183</w:t>
      </w:r>
      <w:r>
        <w:fldChar w:fldCharType="end"/>
      </w:r>
    </w:p>
    <w:p w:rsidR="00253E9C" w:rsidRDefault="00253E9C" w:rsidP="00253E9C"/>
    <w:p w:rsidR="00253E9C" w:rsidRDefault="00253E9C" w:rsidP="00253E9C">
      <w:pPr>
        <w:pStyle w:val="EntradandiceSentencia"/>
      </w:pPr>
      <w:r>
        <w:t>Sala Primera. Sentencia 10/2021,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6091-2019.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SENTENCIA_2021_10 \h </w:instrText>
      </w:r>
      <w:r>
        <w:fldChar w:fldCharType="separate"/>
      </w:r>
      <w:r w:rsidR="00D03E93">
        <w:rPr>
          <w:noProof/>
        </w:rPr>
        <w:t>188</w:t>
      </w:r>
      <w:r>
        <w:fldChar w:fldCharType="end"/>
      </w:r>
    </w:p>
    <w:p w:rsidR="00253E9C" w:rsidRDefault="00253E9C" w:rsidP="00253E9C"/>
    <w:p w:rsidR="00253E9C" w:rsidRDefault="00253E9C" w:rsidP="00253E9C">
      <w:pPr>
        <w:pStyle w:val="EntradandiceSentencia"/>
      </w:pPr>
      <w:r>
        <w:t>Sala Segunda. Sentencia 11/2021,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248-2020. </w:t>
      </w:r>
      <w:r w:rsidRPr="00253E9C">
        <w:rPr>
          <w:rStyle w:val="TextoNormalCursivaCaracter"/>
        </w:rPr>
        <w:t xml:space="preserve"> Vulneración del derecho a la tutela judicial efectiva (acceso al recurso): resoluciones judiciales que inadmiten, sin causa legal para ello, un recurso de casación basado en infracción de normas autonómicas (SSTC 128/2018 y 98/2020). Votos particulares.</w:t>
      </w:r>
      <w:r>
        <w:tab/>
      </w:r>
      <w:r>
        <w:tab/>
      </w:r>
      <w:r>
        <w:fldChar w:fldCharType="begin"/>
      </w:r>
      <w:r>
        <w:instrText xml:space="preserve"> PAGEREF SENTENCIA_2021_11 \h </w:instrText>
      </w:r>
      <w:r>
        <w:fldChar w:fldCharType="separate"/>
      </w:r>
      <w:r w:rsidR="00D03E93">
        <w:rPr>
          <w:noProof/>
        </w:rPr>
        <w:t>193</w:t>
      </w:r>
      <w:r>
        <w:fldChar w:fldCharType="end"/>
      </w:r>
    </w:p>
    <w:p w:rsidR="00253E9C" w:rsidRDefault="00253E9C" w:rsidP="00253E9C"/>
    <w:p w:rsidR="00253E9C" w:rsidRDefault="00253E9C" w:rsidP="00253E9C">
      <w:pPr>
        <w:pStyle w:val="EntradandiceSentencia"/>
      </w:pPr>
      <w:r>
        <w:t>Sala Primera. Sentencia 12/2021, de 25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1588-2020. </w:t>
      </w:r>
      <w:r w:rsidRPr="00253E9C">
        <w:rPr>
          <w:rStyle w:val="TextoNormalCursivaCaracter"/>
        </w:rPr>
        <w:t xml:space="preserve"> Vulneración del derecho a la tutela judicial efectiva (motivación): ausencia de control judicial de las cláusulas abusivas que desconoce la primacía del Derecho de la Unión Europea y la jurisprudencia del Tribunal de Justicia (STC 31/2019).</w:t>
      </w:r>
      <w:r>
        <w:tab/>
      </w:r>
      <w:r>
        <w:tab/>
      </w:r>
      <w:r>
        <w:fldChar w:fldCharType="begin"/>
      </w:r>
      <w:r>
        <w:instrText xml:space="preserve"> PAGEREF SENTENCIA_2021_12 \h </w:instrText>
      </w:r>
      <w:r>
        <w:fldChar w:fldCharType="separate"/>
      </w:r>
      <w:r w:rsidR="00D03E93">
        <w:rPr>
          <w:noProof/>
        </w:rPr>
        <w:t>200</w:t>
      </w:r>
      <w:r>
        <w:fldChar w:fldCharType="end"/>
      </w:r>
    </w:p>
    <w:p w:rsidR="00253E9C" w:rsidRDefault="00253E9C" w:rsidP="00253E9C"/>
    <w:p w:rsidR="00253E9C" w:rsidRDefault="00253E9C" w:rsidP="00253E9C">
      <w:pPr>
        <w:pStyle w:val="EntradandiceSentencia"/>
      </w:pPr>
      <w:r>
        <w:t>Pleno. Sentencia 13/2021, de 28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3848-2015. </w:t>
      </w:r>
      <w:r w:rsidRPr="00253E9C">
        <w:rPr>
          <w:rStyle w:val="TextoNormalCursivaCaracter"/>
        </w:rPr>
        <w:t xml:space="preserve"> Dignidad de la persona y principios de seguridad jurídica y de sometimiento de la acción de la administración al control judicial; derechos a la integridad física, intimidad, libertad de expresión e información, reunión, tutela judicial: interpretación conforme con la Constitución de los preceptos que tipifican, como infracción grave el uso de imágenes o datos personales o profesionales de autoridades o miembros de las fuerzas y cuerpos de seguridad, como infracción leve la ocupación de inmuebles contra la voluntad de su titular y de vías públicas, y del régimen especial de rechazo en frontera para Ceuta y Melilla. Votos particulares.</w:t>
      </w:r>
      <w:r>
        <w:tab/>
      </w:r>
      <w:r>
        <w:tab/>
      </w:r>
      <w:r>
        <w:fldChar w:fldCharType="begin"/>
      </w:r>
      <w:r>
        <w:instrText xml:space="preserve"> PAGEREF SENTENCIA_2021_13 \h </w:instrText>
      </w:r>
      <w:r>
        <w:fldChar w:fldCharType="separate"/>
      </w:r>
      <w:r w:rsidR="00D03E93">
        <w:rPr>
          <w:noProof/>
        </w:rPr>
        <w:t>211</w:t>
      </w:r>
      <w:r>
        <w:fldChar w:fldCharType="end"/>
      </w:r>
    </w:p>
    <w:p w:rsidR="00253E9C" w:rsidRDefault="00253E9C" w:rsidP="00253E9C"/>
    <w:p w:rsidR="00253E9C" w:rsidRDefault="00253E9C" w:rsidP="00253E9C">
      <w:pPr>
        <w:pStyle w:val="EntradandiceSentencia"/>
      </w:pPr>
      <w:r>
        <w:lastRenderedPageBreak/>
        <w:t>Pleno. Sentencia 14/2021, de 28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Cuestión de inconstitucionalidad 1478-2020. </w:t>
      </w:r>
      <w:r w:rsidRPr="00253E9C">
        <w:rPr>
          <w:rStyle w:val="TextoNormalCursivaCaracter"/>
        </w:rPr>
        <w:t xml:space="preserve"> Principios de legalidad penal (taxatividad) y seguridad jurídica: constitucionalidad del precepto legal que tipifica como infracción el incumplimiento de todas las normas obligatorias de la ley que no sea constitutiva de delito. Votos particulares.</w:t>
      </w:r>
      <w:r>
        <w:tab/>
      </w:r>
      <w:r>
        <w:tab/>
      </w:r>
      <w:r>
        <w:fldChar w:fldCharType="begin"/>
      </w:r>
      <w:r>
        <w:instrText xml:space="preserve"> PAGEREF SENTENCIA_2021_14 \h </w:instrText>
      </w:r>
      <w:r>
        <w:fldChar w:fldCharType="separate"/>
      </w:r>
      <w:r w:rsidR="00D03E93">
        <w:rPr>
          <w:noProof/>
        </w:rPr>
        <w:t>253</w:t>
      </w:r>
      <w:r>
        <w:fldChar w:fldCharType="end"/>
      </w:r>
    </w:p>
    <w:p w:rsidR="00253E9C" w:rsidRDefault="00253E9C" w:rsidP="00253E9C"/>
    <w:p w:rsidR="00253E9C" w:rsidRDefault="00253E9C" w:rsidP="00253E9C">
      <w:pPr>
        <w:pStyle w:val="EntradandiceSentencia"/>
      </w:pPr>
      <w:r>
        <w:t>Pleno. Sentencia 15/2021, de 28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Cuestión de inconstitucionalidad 1772-2020. </w:t>
      </w:r>
      <w:r w:rsidRPr="00253E9C">
        <w:rPr>
          <w:rStyle w:val="TextoNormalCursivaCaracter"/>
        </w:rPr>
        <w:t xml:space="preserve"> Competencias sobre legislación procesal: nulidad del precepto legal autonómico que establece la acción pública en vía jurisdiccional.</w:t>
      </w:r>
      <w:r>
        <w:tab/>
      </w:r>
      <w:r>
        <w:tab/>
      </w:r>
      <w:r>
        <w:fldChar w:fldCharType="begin"/>
      </w:r>
      <w:r>
        <w:instrText xml:space="preserve"> PAGEREF SENTENCIA_2021_15 \h </w:instrText>
      </w:r>
      <w:r>
        <w:fldChar w:fldCharType="separate"/>
      </w:r>
      <w:r w:rsidR="00D03E93">
        <w:rPr>
          <w:noProof/>
        </w:rPr>
        <w:t>305</w:t>
      </w:r>
      <w:r>
        <w:fldChar w:fldCharType="end"/>
      </w:r>
    </w:p>
    <w:p w:rsidR="00253E9C" w:rsidRDefault="00253E9C" w:rsidP="00253E9C"/>
    <w:p w:rsidR="00253E9C" w:rsidRDefault="00253E9C" w:rsidP="00253E9C">
      <w:pPr>
        <w:pStyle w:val="EntradandiceSentencia"/>
      </w:pPr>
      <w:r>
        <w:t>Pleno. Sentencia 16/2021, de 28 de enero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2577-2020. </w:t>
      </w:r>
      <w:r w:rsidRPr="00253E9C">
        <w:rPr>
          <w:rStyle w:val="TextoNormalCursivaCaracter"/>
        </w:rPr>
        <w:t xml:space="preserve"> Límites de los decretos-leyes: nulidad parcial de los preceptos que tipifican como supuesto de incumplimiento de la función social de la propiedad de la vivienda su desocupación permanente y establecen medidas coactivas para su cumplimiento (STC 93/2015).</w:t>
      </w:r>
      <w:r>
        <w:tab/>
      </w:r>
      <w:r>
        <w:tab/>
      </w:r>
      <w:r>
        <w:fldChar w:fldCharType="begin"/>
      </w:r>
      <w:r>
        <w:instrText xml:space="preserve"> PAGEREF SENTENCIA_2021_16 \h </w:instrText>
      </w:r>
      <w:r>
        <w:fldChar w:fldCharType="separate"/>
      </w:r>
      <w:r w:rsidR="00D03E93">
        <w:rPr>
          <w:noProof/>
        </w:rPr>
        <w:t>325</w:t>
      </w:r>
      <w:r>
        <w:fldChar w:fldCharType="end"/>
      </w:r>
    </w:p>
    <w:p w:rsidR="00253E9C" w:rsidRDefault="00253E9C" w:rsidP="00253E9C"/>
    <w:p w:rsidR="00253E9C" w:rsidRDefault="00253E9C" w:rsidP="00253E9C">
      <w:pPr>
        <w:pStyle w:val="EntradandiceSentencia"/>
      </w:pPr>
      <w:r>
        <w:t>Sala Primera. Sentencia 17/2021,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3956-2018. </w:t>
      </w:r>
      <w:r w:rsidRPr="00253E9C">
        <w:rPr>
          <w:rStyle w:val="TextoNormalCursivaCaracter"/>
        </w:rPr>
        <w:t xml:space="preserve"> Vulneración del derecho a la tutela judicial efectiva (resolución fundada en Derecho): sentencia que, ignorando los límites propios de la acción de anulación del laudo, la convierte en un recurso ordinario que permite la revisión de todo lo actuado.</w:t>
      </w:r>
      <w:r>
        <w:tab/>
      </w:r>
      <w:r>
        <w:tab/>
      </w:r>
      <w:r>
        <w:fldChar w:fldCharType="begin"/>
      </w:r>
      <w:r>
        <w:instrText xml:space="preserve"> PAGEREF SENTENCIA_2021_17 \h </w:instrText>
      </w:r>
      <w:r>
        <w:fldChar w:fldCharType="separate"/>
      </w:r>
      <w:r w:rsidR="00D03E93">
        <w:rPr>
          <w:noProof/>
        </w:rPr>
        <w:t>377</w:t>
      </w:r>
      <w:r>
        <w:fldChar w:fldCharType="end"/>
      </w:r>
    </w:p>
    <w:p w:rsidR="00253E9C" w:rsidRDefault="00253E9C" w:rsidP="00253E9C"/>
    <w:p w:rsidR="00253E9C" w:rsidRDefault="00253E9C" w:rsidP="00253E9C">
      <w:pPr>
        <w:pStyle w:val="EntradandiceSentencia"/>
      </w:pPr>
      <w:r>
        <w:t>Sala Segunda. Sentencia 18/2021,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3966-2018. </w:t>
      </w:r>
      <w:r w:rsidRPr="00253E9C">
        <w:rPr>
          <w:rStyle w:val="TextoNormalCursivaCaracter"/>
        </w:rPr>
        <w:t xml:space="preserve"> Supuesta vulneración de los derechos a la tutela judicial efectiva, a un proceso con todas las garantías y a la presunción de inocencia: condena en casación que no llevó a cabo una modificación del relato de hechos probados ni una nueva valoración de la prueba y que hace uso de la teoría del incremento del riesgo como modelo de imputación del resultado en los casos de imprudencias médicas. Voto particular.</w:t>
      </w:r>
      <w:r>
        <w:tab/>
      </w:r>
      <w:r>
        <w:tab/>
      </w:r>
      <w:r>
        <w:fldChar w:fldCharType="begin"/>
      </w:r>
      <w:r>
        <w:instrText xml:space="preserve"> PAGEREF SENTENCIA_2021_18 \h </w:instrText>
      </w:r>
      <w:r>
        <w:fldChar w:fldCharType="separate"/>
      </w:r>
      <w:r w:rsidR="00D03E93">
        <w:rPr>
          <w:noProof/>
        </w:rPr>
        <w:t>399</w:t>
      </w:r>
      <w:r>
        <w:fldChar w:fldCharType="end"/>
      </w:r>
    </w:p>
    <w:p w:rsidR="00253E9C" w:rsidRDefault="00253E9C" w:rsidP="00253E9C"/>
    <w:p w:rsidR="00253E9C" w:rsidRDefault="00253E9C" w:rsidP="00253E9C">
      <w:pPr>
        <w:pStyle w:val="EntradandiceSentencia"/>
      </w:pPr>
      <w:r>
        <w:t>Sala Primera. Sentencia 19/2021,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6348-2018. </w:t>
      </w:r>
      <w:r w:rsidRPr="00253E9C">
        <w:rPr>
          <w:rStyle w:val="TextoNormalCursivaCaracter"/>
        </w:rPr>
        <w:t xml:space="preserve"> Vulneración del derecho a la igualdad en relación con el derecho a la creación de centros docentes: nulidad de los preceptos </w:t>
      </w:r>
      <w:r w:rsidRPr="00253E9C">
        <w:rPr>
          <w:rStyle w:val="TextoNormalCursivaCaracter"/>
        </w:rPr>
        <w:lastRenderedPageBreak/>
        <w:t>reglamentarios que limitan el disfrute de becas a los alumnos matriculados en universidades públicas integrantes del sistema universitario valenciano (STC 191/2020). Voto particular.</w:t>
      </w:r>
      <w:r>
        <w:tab/>
      </w:r>
      <w:r>
        <w:tab/>
      </w:r>
      <w:r>
        <w:fldChar w:fldCharType="begin"/>
      </w:r>
      <w:r>
        <w:instrText xml:space="preserve"> PAGEREF SENTENCIA_2021_19 \h </w:instrText>
      </w:r>
      <w:r>
        <w:fldChar w:fldCharType="separate"/>
      </w:r>
      <w:r w:rsidR="00D03E93">
        <w:rPr>
          <w:noProof/>
        </w:rPr>
        <w:t>431</w:t>
      </w:r>
      <w:r>
        <w:fldChar w:fldCharType="end"/>
      </w:r>
    </w:p>
    <w:p w:rsidR="00253E9C" w:rsidRDefault="00253E9C" w:rsidP="00253E9C"/>
    <w:p w:rsidR="00253E9C" w:rsidRDefault="00253E9C" w:rsidP="00253E9C">
      <w:pPr>
        <w:pStyle w:val="EntradandiceSentencia"/>
      </w:pPr>
      <w:r>
        <w:t>Sala Segunda. Sentencia 20/2021,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6839-2018. </w:t>
      </w:r>
      <w:r w:rsidRPr="00253E9C">
        <w:rPr>
          <w:rStyle w:val="TextoNormalCursivaCaracter"/>
        </w:rPr>
        <w:t xml:space="preserve"> Vulneración del derecho a la tutela judicial sin indefensión: emplazamiento mediante edictos sin apurar las posibilidades de comunicación personal (STC 62/2020).</w:t>
      </w:r>
      <w:r>
        <w:tab/>
      </w:r>
      <w:r>
        <w:tab/>
      </w:r>
      <w:r>
        <w:fldChar w:fldCharType="begin"/>
      </w:r>
      <w:r>
        <w:instrText xml:space="preserve"> PAGEREF SENTENCIA_2021_20 \h </w:instrText>
      </w:r>
      <w:r>
        <w:fldChar w:fldCharType="separate"/>
      </w:r>
      <w:r w:rsidR="00D03E93">
        <w:rPr>
          <w:noProof/>
        </w:rPr>
        <w:t>449</w:t>
      </w:r>
      <w:r>
        <w:fldChar w:fldCharType="end"/>
      </w:r>
    </w:p>
    <w:p w:rsidR="00253E9C" w:rsidRDefault="00253E9C" w:rsidP="00253E9C"/>
    <w:p w:rsidR="00253E9C" w:rsidRDefault="00253E9C" w:rsidP="00253E9C">
      <w:pPr>
        <w:pStyle w:val="EntradandiceSentencia"/>
      </w:pPr>
      <w:r>
        <w:t>Sala Primera. Sentencia 21/2021,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2914-2019. </w:t>
      </w:r>
      <w:r w:rsidRPr="00253E9C">
        <w:rPr>
          <w:rStyle w:val="TextoNormalCursivaCaracter"/>
        </w:rPr>
        <w:t xml:space="preserve"> Vulneración de los derechos a la defensa y a la presunción de inocencia: sanción disciplinaria impuesta con infracción del derecho de no autoincriminación por las declaraciones prestadas como testigo en un juicio verbal civil.</w:t>
      </w:r>
      <w:r>
        <w:tab/>
      </w:r>
      <w:r>
        <w:tab/>
      </w:r>
      <w:r>
        <w:fldChar w:fldCharType="begin"/>
      </w:r>
      <w:r>
        <w:instrText xml:space="preserve"> PAGEREF SENTENCIA_2021_21 \h </w:instrText>
      </w:r>
      <w:r>
        <w:fldChar w:fldCharType="separate"/>
      </w:r>
      <w:r w:rsidR="00D03E93">
        <w:rPr>
          <w:noProof/>
        </w:rPr>
        <w:t>459</w:t>
      </w:r>
      <w:r>
        <w:fldChar w:fldCharType="end"/>
      </w:r>
    </w:p>
    <w:p w:rsidR="00253E9C" w:rsidRDefault="00253E9C" w:rsidP="00253E9C"/>
    <w:p w:rsidR="00253E9C" w:rsidRDefault="00253E9C" w:rsidP="00253E9C">
      <w:pPr>
        <w:pStyle w:val="EntradandiceSentencia"/>
      </w:pPr>
      <w:r>
        <w:t>Sala Segunda. Sentencia 22/2021,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3917-2019. </w:t>
      </w:r>
      <w:r w:rsidRPr="00253E9C">
        <w:rPr>
          <w:rStyle w:val="TextoNormalCursivaCaracter"/>
        </w:rPr>
        <w:t xml:space="preserve"> Supuesta vulneración de los derechos a un proceso con todas las garantías y a la presunción de inocencia: condena en casación que no infringió los principios de inmediación ni acusatorio. Voto particular.</w:t>
      </w:r>
      <w:r>
        <w:tab/>
      </w:r>
      <w:r>
        <w:tab/>
      </w:r>
      <w:r>
        <w:fldChar w:fldCharType="begin"/>
      </w:r>
      <w:r>
        <w:instrText xml:space="preserve"> PAGEREF SENTENCIA_2021_22 \h </w:instrText>
      </w:r>
      <w:r>
        <w:fldChar w:fldCharType="separate"/>
      </w:r>
      <w:r w:rsidR="00D03E93">
        <w:rPr>
          <w:noProof/>
        </w:rPr>
        <w:t>481</w:t>
      </w:r>
      <w:r>
        <w:fldChar w:fldCharType="end"/>
      </w:r>
    </w:p>
    <w:p w:rsidR="00253E9C" w:rsidRDefault="00253E9C" w:rsidP="00253E9C"/>
    <w:p w:rsidR="00253E9C" w:rsidRDefault="00253E9C" w:rsidP="00253E9C">
      <w:pPr>
        <w:pStyle w:val="EntradandiceSentencia"/>
      </w:pPr>
      <w:r>
        <w:t>Sala Primera. Sentencia 23/2021,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3995-2019. </w:t>
      </w:r>
      <w:r w:rsidRPr="00253E9C">
        <w:rPr>
          <w:rStyle w:val="TextoNormalCursivaCaracter"/>
        </w:rPr>
        <w:t xml:space="preserve"> Vulneración del derecho a la tutela judicial efectiva (acceso a la jurisdicción): resolución judicial que, al aplicar el precepto legal anulado por la STC 15/2020, de 28 de enero, deniega la revisión judicial de los decretos de los letrados de la administración de justicia (STC 17/2020).</w:t>
      </w:r>
      <w:r>
        <w:tab/>
      </w:r>
      <w:r>
        <w:tab/>
      </w:r>
      <w:r>
        <w:fldChar w:fldCharType="begin"/>
      </w:r>
      <w:r>
        <w:instrText xml:space="preserve"> PAGEREF SENTENCIA_2021_23 \h </w:instrText>
      </w:r>
      <w:r>
        <w:fldChar w:fldCharType="separate"/>
      </w:r>
      <w:r w:rsidR="00D03E93">
        <w:rPr>
          <w:noProof/>
        </w:rPr>
        <w:t>528</w:t>
      </w:r>
      <w:r>
        <w:fldChar w:fldCharType="end"/>
      </w:r>
    </w:p>
    <w:p w:rsidR="00253E9C" w:rsidRDefault="00253E9C" w:rsidP="00253E9C"/>
    <w:p w:rsidR="00253E9C" w:rsidRDefault="00253E9C" w:rsidP="00253E9C">
      <w:pPr>
        <w:pStyle w:val="EntradandiceSentencia"/>
      </w:pPr>
      <w:r>
        <w:t>Sala Primera. Sentencia 24/2021,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5564-2019. </w:t>
      </w:r>
      <w:r w:rsidRPr="00253E9C">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SENTENCIA_2021_24 \h </w:instrText>
      </w:r>
      <w:r>
        <w:fldChar w:fldCharType="separate"/>
      </w:r>
      <w:r w:rsidR="00D03E93">
        <w:rPr>
          <w:noProof/>
        </w:rPr>
        <w:t>535</w:t>
      </w:r>
      <w:r>
        <w:fldChar w:fldCharType="end"/>
      </w:r>
    </w:p>
    <w:p w:rsidR="00253E9C" w:rsidRDefault="00253E9C" w:rsidP="00253E9C"/>
    <w:p w:rsidR="00253E9C" w:rsidRDefault="00253E9C" w:rsidP="00253E9C">
      <w:pPr>
        <w:pStyle w:val="EntradandiceSentencia"/>
      </w:pPr>
      <w:r>
        <w:lastRenderedPageBreak/>
        <w:t>Sala Segunda. Sentencia 25/2021,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5857-2019.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SENTENCIA_2021_25 \h </w:instrText>
      </w:r>
      <w:r>
        <w:fldChar w:fldCharType="separate"/>
      </w:r>
      <w:r w:rsidR="00D03E93">
        <w:rPr>
          <w:noProof/>
        </w:rPr>
        <w:t>545</w:t>
      </w:r>
      <w:r>
        <w:fldChar w:fldCharType="end"/>
      </w:r>
    </w:p>
    <w:p w:rsidR="00253E9C" w:rsidRDefault="00253E9C" w:rsidP="00253E9C"/>
    <w:p w:rsidR="00253E9C" w:rsidRDefault="00253E9C" w:rsidP="00253E9C">
      <w:pPr>
        <w:pStyle w:val="EntradandiceSentencia"/>
      </w:pPr>
      <w:r>
        <w:t>Sala Segunda. Sentencia 26/2021,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6079-2019.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SENTENCIA_2021_26 \h </w:instrText>
      </w:r>
      <w:r>
        <w:fldChar w:fldCharType="separate"/>
      </w:r>
      <w:r w:rsidR="00D03E93">
        <w:rPr>
          <w:noProof/>
        </w:rPr>
        <w:t>554</w:t>
      </w:r>
      <w:r>
        <w:fldChar w:fldCharType="end"/>
      </w:r>
    </w:p>
    <w:p w:rsidR="00253E9C" w:rsidRDefault="00253E9C" w:rsidP="00253E9C"/>
    <w:p w:rsidR="00253E9C" w:rsidRDefault="00253E9C" w:rsidP="00253E9C">
      <w:pPr>
        <w:pStyle w:val="EntradandiceSentencia"/>
      </w:pPr>
      <w:r>
        <w:t>Sala Segunda. Sentencia 27/2021,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6087-2019.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SENTENCIA_2021_27 \h </w:instrText>
      </w:r>
      <w:r>
        <w:fldChar w:fldCharType="separate"/>
      </w:r>
      <w:r w:rsidR="00D03E93">
        <w:rPr>
          <w:noProof/>
        </w:rPr>
        <w:t>563</w:t>
      </w:r>
      <w:r>
        <w:fldChar w:fldCharType="end"/>
      </w:r>
    </w:p>
    <w:p w:rsidR="00253E9C" w:rsidRDefault="00253E9C" w:rsidP="00253E9C"/>
    <w:p w:rsidR="00253E9C" w:rsidRDefault="00253E9C" w:rsidP="00253E9C">
      <w:pPr>
        <w:pStyle w:val="EntradandiceSentencia"/>
      </w:pPr>
      <w:r>
        <w:t>Sala Segunda. Sentencia 28/2021,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6093-2019.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SENTENCIA_2021_28 \h </w:instrText>
      </w:r>
      <w:r>
        <w:fldChar w:fldCharType="separate"/>
      </w:r>
      <w:r w:rsidR="00D03E93">
        <w:rPr>
          <w:noProof/>
        </w:rPr>
        <w:t>571</w:t>
      </w:r>
      <w:r>
        <w:fldChar w:fldCharType="end"/>
      </w:r>
    </w:p>
    <w:p w:rsidR="00253E9C" w:rsidRDefault="00253E9C" w:rsidP="00253E9C"/>
    <w:p w:rsidR="00253E9C" w:rsidRDefault="00253E9C" w:rsidP="00253E9C">
      <w:pPr>
        <w:pStyle w:val="EntradandiceSentencia"/>
      </w:pPr>
      <w:r>
        <w:lastRenderedPageBreak/>
        <w:t>Sala Segunda. Sentencia 29/2021,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7447-2019. </w:t>
      </w:r>
      <w:r w:rsidRPr="00253E9C">
        <w:rPr>
          <w:rStyle w:val="TextoNormalCursivaCaracter"/>
        </w:rPr>
        <w:t xml:space="preserve"> Vulneración del derecho a la tutela judicial efectiva en relación con los derechos a la asistencia jurídica gratuita y a la asistencia letrada: resoluciones judiciales que supeditaron la intervención como acusación particular a la utilización de la defensa y representación de alguna de aquellas otras previamente personadas.</w:t>
      </w:r>
      <w:r>
        <w:tab/>
      </w:r>
      <w:r>
        <w:tab/>
      </w:r>
      <w:r>
        <w:fldChar w:fldCharType="begin"/>
      </w:r>
      <w:r>
        <w:instrText xml:space="preserve"> PAGEREF SENTENCIA_2021_29 \h </w:instrText>
      </w:r>
      <w:r>
        <w:fldChar w:fldCharType="separate"/>
      </w:r>
      <w:r w:rsidR="00D03E93">
        <w:rPr>
          <w:noProof/>
        </w:rPr>
        <w:t>580</w:t>
      </w:r>
      <w:r>
        <w:fldChar w:fldCharType="end"/>
      </w:r>
    </w:p>
    <w:p w:rsidR="00253E9C" w:rsidRDefault="00253E9C" w:rsidP="00253E9C"/>
    <w:p w:rsidR="00253E9C" w:rsidRDefault="00253E9C" w:rsidP="00253E9C">
      <w:pPr>
        <w:pStyle w:val="EntradandiceSentencia"/>
      </w:pPr>
      <w:r>
        <w:t>Sala Primera. Sentencia 30/2021,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7501-2019.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SENTENCIA_2021_30 \h </w:instrText>
      </w:r>
      <w:r>
        <w:fldChar w:fldCharType="separate"/>
      </w:r>
      <w:r w:rsidR="00D03E93">
        <w:rPr>
          <w:noProof/>
        </w:rPr>
        <w:t>594</w:t>
      </w:r>
      <w:r>
        <w:fldChar w:fldCharType="end"/>
      </w:r>
    </w:p>
    <w:p w:rsidR="00253E9C" w:rsidRDefault="00253E9C" w:rsidP="00253E9C"/>
    <w:p w:rsidR="00253E9C" w:rsidRDefault="00253E9C" w:rsidP="00253E9C">
      <w:pPr>
        <w:pStyle w:val="EntradandiceSentencia"/>
      </w:pPr>
      <w:r>
        <w:t>Sala Primera. Sentencia 31/2021,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7506-2019.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SENTENCIA_2021_31 \h </w:instrText>
      </w:r>
      <w:r>
        <w:fldChar w:fldCharType="separate"/>
      </w:r>
      <w:r w:rsidR="00D03E93">
        <w:rPr>
          <w:noProof/>
        </w:rPr>
        <w:t>599</w:t>
      </w:r>
      <w:r>
        <w:fldChar w:fldCharType="end"/>
      </w:r>
    </w:p>
    <w:p w:rsidR="00253E9C" w:rsidRDefault="00253E9C" w:rsidP="00253E9C"/>
    <w:p w:rsidR="00253E9C" w:rsidRDefault="00253E9C" w:rsidP="00253E9C">
      <w:pPr>
        <w:pStyle w:val="EntradandiceSentencia"/>
      </w:pPr>
      <w:r>
        <w:t>Sala Primera. Sentencia 32/2021,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183-2020.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SENTENCIA_2021_32 \h </w:instrText>
      </w:r>
      <w:r>
        <w:fldChar w:fldCharType="separate"/>
      </w:r>
      <w:r w:rsidR="00D03E93">
        <w:rPr>
          <w:noProof/>
        </w:rPr>
        <w:t>604</w:t>
      </w:r>
      <w:r>
        <w:fldChar w:fldCharType="end"/>
      </w:r>
    </w:p>
    <w:p w:rsidR="00253E9C" w:rsidRDefault="00253E9C" w:rsidP="00253E9C"/>
    <w:p w:rsidR="00253E9C" w:rsidRDefault="00253E9C" w:rsidP="00253E9C">
      <w:pPr>
        <w:pStyle w:val="EntradandiceSentencia"/>
      </w:pPr>
      <w:r>
        <w:t>Sala Segunda. Sentencia 33/2021, de 15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446-2020. </w:t>
      </w:r>
      <w:r w:rsidRPr="00253E9C">
        <w:rPr>
          <w:rStyle w:val="TextoNormalCursivaCaracter"/>
        </w:rPr>
        <w:t xml:space="preserve"> Vulneración del derecho a la tutela judicial efectiva: STC 40/2020 [inadecuada utilización de la dirección electrónica habilitada </w:t>
      </w:r>
      <w:r w:rsidRPr="00253E9C">
        <w:rPr>
          <w:rStyle w:val="TextoNormalCursivaCaracter"/>
        </w:rPr>
        <w:lastRenderedPageBreak/>
        <w:t>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SENTENCIA_2021_33 \h </w:instrText>
      </w:r>
      <w:r>
        <w:fldChar w:fldCharType="separate"/>
      </w:r>
      <w:r w:rsidR="00D03E93">
        <w:rPr>
          <w:noProof/>
        </w:rPr>
        <w:t>611</w:t>
      </w:r>
      <w:r>
        <w:fldChar w:fldCharType="end"/>
      </w:r>
    </w:p>
    <w:p w:rsidR="00253E9C" w:rsidRDefault="00253E9C" w:rsidP="00253E9C"/>
    <w:p w:rsidR="00253E9C" w:rsidRDefault="00253E9C" w:rsidP="00253E9C">
      <w:pPr>
        <w:pStyle w:val="EntradandiceSentencia"/>
      </w:pPr>
      <w:r>
        <w:t>Pleno. Sentencia 34/2021, de 17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1640-2020. </w:t>
      </w:r>
      <w:r w:rsidRPr="00253E9C">
        <w:rPr>
          <w:rStyle w:val="TextoNormalCursivaCaracter"/>
        </w:rPr>
        <w:t xml:space="preserve"> Supuesta vulneración de los derechos a la tutela judicial efectiva (resolución fundada en Derecho), al juez ordinario predeterminado por la ley y a la doble instancia penal: competencia objetiva de la Sala de lo Penal del Tribunal Supremo para la investigación y enjuiciamiento de la causa que tiene incuestionable base legal explícita; limitación fundada del derecho a la doble instancia cuando la resolución ha sido dictada por el órgano jurisdiccional superior en todos los órdenes.</w:t>
      </w:r>
      <w:r>
        <w:tab/>
      </w:r>
      <w:r>
        <w:tab/>
      </w:r>
      <w:r>
        <w:fldChar w:fldCharType="begin"/>
      </w:r>
      <w:r>
        <w:instrText xml:space="preserve"> PAGEREF SENTENCIA_2021_34 \h </w:instrText>
      </w:r>
      <w:r>
        <w:fldChar w:fldCharType="separate"/>
      </w:r>
      <w:r w:rsidR="00D03E93">
        <w:rPr>
          <w:noProof/>
        </w:rPr>
        <w:t>621</w:t>
      </w:r>
      <w:r>
        <w:fldChar w:fldCharType="end"/>
      </w:r>
    </w:p>
    <w:p w:rsidR="00253E9C" w:rsidRDefault="00253E9C" w:rsidP="00253E9C"/>
    <w:p w:rsidR="00253E9C" w:rsidRDefault="00253E9C" w:rsidP="00253E9C">
      <w:pPr>
        <w:pStyle w:val="EntradandiceSentencia"/>
      </w:pPr>
      <w:r>
        <w:t>Pleno. Sentencia 35/2021, de 18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1265-2018. </w:t>
      </w:r>
      <w:r w:rsidRPr="00253E9C">
        <w:rPr>
          <w:rStyle w:val="TextoNormalCursivaCaracter"/>
        </w:rPr>
        <w:t xml:space="preserve"> Vulneración de los derechos a la defensa y a un proceso con todas las garantías: privación del derecho a la última palabra, a cuyo ejercicio no se había renunciado expresamente; matización de la doctrina de la STC 258/2007, de 18 de diciembre.</w:t>
      </w:r>
      <w:r>
        <w:tab/>
      </w:r>
      <w:r>
        <w:tab/>
      </w:r>
      <w:r>
        <w:fldChar w:fldCharType="begin"/>
      </w:r>
      <w:r>
        <w:instrText xml:space="preserve"> PAGEREF SENTENCIA_2021_35 \h </w:instrText>
      </w:r>
      <w:r>
        <w:fldChar w:fldCharType="separate"/>
      </w:r>
      <w:r w:rsidR="00D03E93">
        <w:rPr>
          <w:noProof/>
        </w:rPr>
        <w:t>657</w:t>
      </w:r>
      <w:r>
        <w:fldChar w:fldCharType="end"/>
      </w:r>
    </w:p>
    <w:p w:rsidR="00253E9C" w:rsidRDefault="00253E9C" w:rsidP="00253E9C"/>
    <w:p w:rsidR="00253E9C" w:rsidRDefault="00253E9C" w:rsidP="00253E9C">
      <w:pPr>
        <w:pStyle w:val="EntradandiceSentencia"/>
      </w:pPr>
      <w:r>
        <w:t>Pleno. Sentencia 36/2021, de 18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Conflicto positivo de competencia 4088-2019. </w:t>
      </w:r>
      <w:r w:rsidRPr="00253E9C">
        <w:rPr>
          <w:rStyle w:val="TextoNormalCursivaCaracter"/>
        </w:rPr>
        <w:t xml:space="preserve"> Competencias en materia de relaciones internacionales y protección de menores: nulidad de diversos preceptos de la Ley 54/2007, de 28 de diciembre, de adopción internacional, y de su Reglamento de desarrollo, que atribuyen funciones estrictamente ejecutivas a la administración del Estado. Voto particular.</w:t>
      </w:r>
      <w:r>
        <w:tab/>
      </w:r>
      <w:r>
        <w:tab/>
      </w:r>
      <w:r>
        <w:fldChar w:fldCharType="begin"/>
      </w:r>
      <w:r>
        <w:instrText xml:space="preserve"> PAGEREF SENTENCIA_2021_36 \h </w:instrText>
      </w:r>
      <w:r>
        <w:fldChar w:fldCharType="separate"/>
      </w:r>
      <w:r w:rsidR="00D03E93">
        <w:rPr>
          <w:noProof/>
        </w:rPr>
        <w:t>694</w:t>
      </w:r>
      <w:r>
        <w:fldChar w:fldCharType="end"/>
      </w:r>
    </w:p>
    <w:p w:rsidR="00253E9C" w:rsidRDefault="00253E9C" w:rsidP="00253E9C"/>
    <w:p w:rsidR="00253E9C" w:rsidRDefault="00253E9C" w:rsidP="00253E9C">
      <w:pPr>
        <w:pStyle w:val="EntradandiceSentencia"/>
      </w:pPr>
      <w:r>
        <w:t>Pleno. Sentencia 37/2021, de 18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Conflicto positivo de competencia 4709-2019. </w:t>
      </w:r>
      <w:r w:rsidRPr="00253E9C">
        <w:rPr>
          <w:rStyle w:val="TextoNormalCursivaCaracter"/>
        </w:rPr>
        <w:t xml:space="preserve"> Potestad de autoorganización y autonomía parlamentaria, derechos históricos de los territorios forales y régimen de cooficialidad lingüística: nulidad del precepto reglamentario que prevé la incorporación de los datos suministrados por los órganos legislativos a la base nacional de subvenciones.</w:t>
      </w:r>
      <w:r>
        <w:tab/>
      </w:r>
      <w:r>
        <w:tab/>
      </w:r>
      <w:r>
        <w:fldChar w:fldCharType="begin"/>
      </w:r>
      <w:r>
        <w:instrText xml:space="preserve"> PAGEREF SENTENCIA_2021_37 \h </w:instrText>
      </w:r>
      <w:r>
        <w:fldChar w:fldCharType="separate"/>
      </w:r>
      <w:r w:rsidR="00D03E93">
        <w:rPr>
          <w:noProof/>
        </w:rPr>
        <w:t>739</w:t>
      </w:r>
      <w:r>
        <w:fldChar w:fldCharType="end"/>
      </w:r>
    </w:p>
    <w:p w:rsidR="00253E9C" w:rsidRDefault="00253E9C" w:rsidP="00253E9C"/>
    <w:p w:rsidR="00253E9C" w:rsidRDefault="00253E9C" w:rsidP="00253E9C">
      <w:pPr>
        <w:pStyle w:val="EntradandiceSentencia"/>
      </w:pPr>
      <w:r>
        <w:lastRenderedPageBreak/>
        <w:t>Pleno. Sentencia 38/2021, de 18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3681-2020. </w:t>
      </w:r>
      <w:r w:rsidRPr="00253E9C">
        <w:rPr>
          <w:rStyle w:val="TextoNormalCursivaCaracter"/>
        </w:rPr>
        <w:t xml:space="preserve"> Competencias sobre función pública: pruebas de acceso restringidas que contravienen las bases estatales en la materia (STC 38/2004).</w:t>
      </w:r>
      <w:r>
        <w:tab/>
      </w:r>
      <w:r>
        <w:tab/>
      </w:r>
      <w:r>
        <w:fldChar w:fldCharType="begin"/>
      </w:r>
      <w:r>
        <w:instrText xml:space="preserve"> PAGEREF SENTENCIA_2021_38 \h </w:instrText>
      </w:r>
      <w:r>
        <w:fldChar w:fldCharType="separate"/>
      </w:r>
      <w:r w:rsidR="00D03E93">
        <w:rPr>
          <w:noProof/>
        </w:rPr>
        <w:t>762</w:t>
      </w:r>
      <w:r>
        <w:fldChar w:fldCharType="end"/>
      </w:r>
    </w:p>
    <w:p w:rsidR="00253E9C" w:rsidRDefault="00253E9C" w:rsidP="00253E9C"/>
    <w:p w:rsidR="00253E9C" w:rsidRDefault="00253E9C" w:rsidP="00253E9C">
      <w:pPr>
        <w:pStyle w:val="EntradandiceSentencia"/>
      </w:pPr>
      <w:r>
        <w:t>Pleno. Sentencia 39/2021, de 18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Conflicto positivo de competencia 4491-2020. </w:t>
      </w:r>
      <w:r w:rsidRPr="00253E9C">
        <w:rPr>
          <w:rStyle w:val="TextoNormalCursivaCaracter"/>
        </w:rPr>
        <w:t xml:space="preserve"> Competencias sobre legislación laboral: nulidad del precepto reglamentario que presupone la reserva de potestades de ejecución a un órgano estatal.</w:t>
      </w:r>
      <w:r>
        <w:tab/>
      </w:r>
      <w:r>
        <w:tab/>
      </w:r>
      <w:r>
        <w:fldChar w:fldCharType="begin"/>
      </w:r>
      <w:r>
        <w:instrText xml:space="preserve"> PAGEREF SENTENCIA_2021_39 \h </w:instrText>
      </w:r>
      <w:r>
        <w:fldChar w:fldCharType="separate"/>
      </w:r>
      <w:r w:rsidR="00D03E93">
        <w:rPr>
          <w:noProof/>
        </w:rPr>
        <w:t>779</w:t>
      </w:r>
      <w:r>
        <w:fldChar w:fldCharType="end"/>
      </w:r>
    </w:p>
    <w:p w:rsidR="00253E9C" w:rsidRDefault="00253E9C" w:rsidP="00253E9C"/>
    <w:p w:rsidR="00253E9C" w:rsidRDefault="00253E9C" w:rsidP="00253E9C">
      <w:pPr>
        <w:pStyle w:val="EntradandiceSentencia"/>
      </w:pPr>
      <w:r>
        <w:t>Pleno. Sentencia 40/2021, de 18 de febrero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4649-2020. </w:t>
      </w:r>
      <w:r w:rsidRPr="00253E9C">
        <w:rPr>
          <w:rStyle w:val="TextoNormalCursivaCaracter"/>
        </w:rPr>
        <w:t xml:space="preserve"> Límites materiales de los decretos leyes: justificación suficiente de la concurrencia del presupuesto habilitante de la extraordinaria y urgente necesidad en la reforma de la participación de los entes locales en fondos de titularidad autonómica.</w:t>
      </w:r>
      <w:r>
        <w:tab/>
      </w:r>
      <w:r>
        <w:tab/>
      </w:r>
      <w:r>
        <w:fldChar w:fldCharType="begin"/>
      </w:r>
      <w:r>
        <w:instrText xml:space="preserve"> PAGEREF SENTENCIA_2021_40 \h </w:instrText>
      </w:r>
      <w:r>
        <w:fldChar w:fldCharType="separate"/>
      </w:r>
      <w:r w:rsidR="00D03E93">
        <w:rPr>
          <w:noProof/>
        </w:rPr>
        <w:t>792</w:t>
      </w:r>
      <w:r>
        <w:fldChar w:fldCharType="end"/>
      </w:r>
    </w:p>
    <w:p w:rsidR="00253E9C" w:rsidRDefault="00253E9C" w:rsidP="00253E9C"/>
    <w:p w:rsidR="00253E9C" w:rsidRDefault="00253E9C" w:rsidP="00253E9C">
      <w:pPr>
        <w:pStyle w:val="EntradandiceSentencia"/>
      </w:pPr>
      <w:r>
        <w:t>Sala Segunda. Sentencia 41/2021,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1128-2018. </w:t>
      </w:r>
      <w:r w:rsidRPr="00253E9C">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SENTENCIA_2021_41 \h </w:instrText>
      </w:r>
      <w:r>
        <w:fldChar w:fldCharType="separate"/>
      </w:r>
      <w:r w:rsidR="00D03E93">
        <w:rPr>
          <w:noProof/>
        </w:rPr>
        <w:t>812</w:t>
      </w:r>
      <w:r>
        <w:fldChar w:fldCharType="end"/>
      </w:r>
    </w:p>
    <w:p w:rsidR="00253E9C" w:rsidRDefault="00253E9C" w:rsidP="00253E9C"/>
    <w:p w:rsidR="00253E9C" w:rsidRDefault="00253E9C" w:rsidP="00253E9C">
      <w:pPr>
        <w:pStyle w:val="EntradandiceSentencia"/>
      </w:pPr>
      <w:r>
        <w:t>Sala Segunda. Sentencia 42/2021,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1575-2019. </w:t>
      </w:r>
      <w:r w:rsidRPr="00253E9C">
        <w:rPr>
          <w:rStyle w:val="TextoNormalCursivaCaracter"/>
        </w:rPr>
        <w:t xml:space="preserve"> Vulneración del derecho a la igualdad en relación con el derecho a la creación de centros docentes: nulidad de los preceptos reglamentarios que limitan el disfrute de becas a los alumnos matriculados en universidades públicas integrantes del sistema universitario valenciano (STC 191/2020) y de las resoluciones judiciales que afirmaron su legalidad. Voto particular.</w:t>
      </w:r>
      <w:r>
        <w:tab/>
      </w:r>
      <w:r>
        <w:tab/>
      </w:r>
      <w:r>
        <w:fldChar w:fldCharType="begin"/>
      </w:r>
      <w:r>
        <w:instrText xml:space="preserve"> PAGEREF SENTENCIA_2021_42 \h </w:instrText>
      </w:r>
      <w:r>
        <w:fldChar w:fldCharType="separate"/>
      </w:r>
      <w:r w:rsidR="00D03E93">
        <w:rPr>
          <w:noProof/>
        </w:rPr>
        <w:t>822</w:t>
      </w:r>
      <w:r>
        <w:fldChar w:fldCharType="end"/>
      </w:r>
    </w:p>
    <w:p w:rsidR="00253E9C" w:rsidRDefault="00253E9C" w:rsidP="00253E9C"/>
    <w:p w:rsidR="00253E9C" w:rsidRDefault="00253E9C" w:rsidP="00253E9C">
      <w:pPr>
        <w:pStyle w:val="EntradandiceSentencia"/>
      </w:pPr>
      <w:r>
        <w:t>Sala Segunda. Sentencia 43/2021,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1963-2019. </w:t>
      </w:r>
      <w:r w:rsidRPr="00253E9C">
        <w:rPr>
          <w:rStyle w:val="TextoNormalCursivaCaracter"/>
        </w:rPr>
        <w:t xml:space="preserve"> Vulneración del derecho a la tutela judicial sin indefensión: emplazamiento mediante edictos llevado a cabo sin apurar previamente las posibilidades de averiguación del domicilio efectivo (STC 122/2013).</w:t>
      </w:r>
      <w:r>
        <w:tab/>
      </w:r>
      <w:r>
        <w:tab/>
      </w:r>
      <w:r>
        <w:fldChar w:fldCharType="begin"/>
      </w:r>
      <w:r>
        <w:instrText xml:space="preserve"> PAGEREF SENTENCIA_2021_43 \h </w:instrText>
      </w:r>
      <w:r>
        <w:fldChar w:fldCharType="separate"/>
      </w:r>
      <w:r w:rsidR="00D03E93">
        <w:rPr>
          <w:noProof/>
        </w:rPr>
        <w:t>842</w:t>
      </w:r>
      <w:r>
        <w:fldChar w:fldCharType="end"/>
      </w:r>
    </w:p>
    <w:p w:rsidR="00253E9C" w:rsidRDefault="00253E9C" w:rsidP="00253E9C"/>
    <w:p w:rsidR="00253E9C" w:rsidRDefault="00253E9C" w:rsidP="00253E9C">
      <w:pPr>
        <w:pStyle w:val="EntradandiceSentencia"/>
      </w:pPr>
      <w:r>
        <w:t>Sala Segunda. Sentencia 44/2021,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2535-2019.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SENTENCIA_2021_44 \h </w:instrText>
      </w:r>
      <w:r>
        <w:fldChar w:fldCharType="separate"/>
      </w:r>
      <w:r w:rsidR="00D03E93">
        <w:rPr>
          <w:noProof/>
        </w:rPr>
        <w:t>855</w:t>
      </w:r>
      <w:r>
        <w:fldChar w:fldCharType="end"/>
      </w:r>
    </w:p>
    <w:p w:rsidR="00253E9C" w:rsidRDefault="00253E9C" w:rsidP="00253E9C"/>
    <w:p w:rsidR="00253E9C" w:rsidRDefault="00253E9C" w:rsidP="00253E9C">
      <w:pPr>
        <w:pStyle w:val="EntradandiceSentencia"/>
      </w:pPr>
      <w:r>
        <w:t>Sala Segunda. Sentencia 45/2021,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2537-2019.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SENTENCIA_2021_45 \h </w:instrText>
      </w:r>
      <w:r>
        <w:fldChar w:fldCharType="separate"/>
      </w:r>
      <w:r w:rsidR="00D03E93">
        <w:rPr>
          <w:noProof/>
        </w:rPr>
        <w:t>861</w:t>
      </w:r>
      <w:r>
        <w:fldChar w:fldCharType="end"/>
      </w:r>
    </w:p>
    <w:p w:rsidR="00253E9C" w:rsidRDefault="00253E9C" w:rsidP="00253E9C"/>
    <w:p w:rsidR="00253E9C" w:rsidRDefault="00253E9C" w:rsidP="00253E9C">
      <w:pPr>
        <w:pStyle w:val="EntradandiceSentencia"/>
      </w:pPr>
      <w:r>
        <w:t>Sala Segunda. Sentencia 46/2021,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3057-2019.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SENTENCIA_2021_46 \h </w:instrText>
      </w:r>
      <w:r>
        <w:fldChar w:fldCharType="separate"/>
      </w:r>
      <w:r w:rsidR="00D03E93">
        <w:rPr>
          <w:noProof/>
        </w:rPr>
        <w:t>867</w:t>
      </w:r>
      <w:r>
        <w:fldChar w:fldCharType="end"/>
      </w:r>
    </w:p>
    <w:p w:rsidR="00253E9C" w:rsidRDefault="00253E9C" w:rsidP="00253E9C"/>
    <w:p w:rsidR="00253E9C" w:rsidRDefault="00253E9C" w:rsidP="00253E9C">
      <w:pPr>
        <w:pStyle w:val="EntradandiceSentencia"/>
      </w:pPr>
      <w:r>
        <w:t>Sala Segunda. Sentencia 47/2021,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3068-2019.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SENTENCIA_2021_47 \h </w:instrText>
      </w:r>
      <w:r>
        <w:fldChar w:fldCharType="separate"/>
      </w:r>
      <w:r w:rsidR="00D03E93">
        <w:rPr>
          <w:noProof/>
        </w:rPr>
        <w:t>877</w:t>
      </w:r>
      <w:r>
        <w:fldChar w:fldCharType="end"/>
      </w:r>
    </w:p>
    <w:p w:rsidR="00253E9C" w:rsidRDefault="00253E9C" w:rsidP="00253E9C"/>
    <w:p w:rsidR="00253E9C" w:rsidRDefault="00253E9C" w:rsidP="00253E9C">
      <w:pPr>
        <w:pStyle w:val="EntradandiceSentencia"/>
      </w:pPr>
      <w:r>
        <w:lastRenderedPageBreak/>
        <w:t>Sala Segunda. Sentencia 48/2021,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3507-2019. </w:t>
      </w:r>
      <w:r w:rsidRPr="00253E9C">
        <w:rPr>
          <w:rStyle w:val="TextoNormalCursivaCaracter"/>
        </w:rPr>
        <w:t xml:space="preserve"> Vulneración del derecho a la tutela judicial sin indefensión: STC 47/2019 (inadecuada utilización de medios telemáticos para llevar a efecto el primer emplazamiento de la ejecutada).</w:t>
      </w:r>
      <w:r>
        <w:tab/>
      </w:r>
      <w:r>
        <w:tab/>
      </w:r>
      <w:r>
        <w:fldChar w:fldCharType="begin"/>
      </w:r>
      <w:r>
        <w:instrText xml:space="preserve"> PAGEREF SENTENCIA_2021_48 \h </w:instrText>
      </w:r>
      <w:r>
        <w:fldChar w:fldCharType="separate"/>
      </w:r>
      <w:r w:rsidR="00D03E93">
        <w:rPr>
          <w:noProof/>
        </w:rPr>
        <w:t>887</w:t>
      </w:r>
      <w:r>
        <w:fldChar w:fldCharType="end"/>
      </w:r>
    </w:p>
    <w:p w:rsidR="00253E9C" w:rsidRDefault="00253E9C" w:rsidP="00253E9C"/>
    <w:p w:rsidR="00253E9C" w:rsidRDefault="00253E9C" w:rsidP="00253E9C">
      <w:pPr>
        <w:pStyle w:val="EntradandiceSentencia"/>
      </w:pPr>
      <w:r>
        <w:t>Sala Segunda. Sentencia 49/2021,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3547-2019.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SENTENCIA_2021_49 \h </w:instrText>
      </w:r>
      <w:r>
        <w:fldChar w:fldCharType="separate"/>
      </w:r>
      <w:r w:rsidR="00D03E93">
        <w:rPr>
          <w:noProof/>
        </w:rPr>
        <w:t>897</w:t>
      </w:r>
      <w:r>
        <w:fldChar w:fldCharType="end"/>
      </w:r>
    </w:p>
    <w:p w:rsidR="00253E9C" w:rsidRDefault="00253E9C" w:rsidP="00253E9C"/>
    <w:p w:rsidR="00253E9C" w:rsidRDefault="00253E9C" w:rsidP="00253E9C">
      <w:pPr>
        <w:pStyle w:val="EntradandiceSentencia"/>
      </w:pPr>
      <w:r>
        <w:t>Sala Segunda. Sentencia 50/2021, de 3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7580-2019. </w:t>
      </w:r>
      <w:r w:rsidRPr="00253E9C">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SENTENCIA_2021_50 \h </w:instrText>
      </w:r>
      <w:r>
        <w:fldChar w:fldCharType="separate"/>
      </w:r>
      <w:r w:rsidR="00D03E93">
        <w:rPr>
          <w:noProof/>
        </w:rPr>
        <w:t>905</w:t>
      </w:r>
      <w:r>
        <w:fldChar w:fldCharType="end"/>
      </w:r>
    </w:p>
    <w:p w:rsidR="00253E9C" w:rsidRDefault="00253E9C" w:rsidP="00253E9C"/>
    <w:p w:rsidR="00253E9C" w:rsidRDefault="00253E9C" w:rsidP="00253E9C">
      <w:pPr>
        <w:pStyle w:val="EntradandiceSentencia"/>
      </w:pPr>
      <w:r>
        <w:t>Sala Primera. Sentencia 51/2021,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2950-2018. </w:t>
      </w:r>
      <w:r w:rsidRPr="00253E9C">
        <w:rPr>
          <w:rStyle w:val="TextoNormalCursivaCaracter"/>
        </w:rPr>
        <w:t xml:space="preserve"> Vulneración de los derechos a la igualdad y no discriminación por razón de discapacidad, a un proceso con todas las garantías, a la presunción de inocencia y a la legalidad sancionadora (principio de culpabilidad): resoluciones que no toman adecuadamente en consideración la discapacidad aducida ni la petición de ajustes razonables en el puesto de trabajo.</w:t>
      </w:r>
      <w:r>
        <w:tab/>
      </w:r>
      <w:r>
        <w:tab/>
      </w:r>
      <w:r>
        <w:fldChar w:fldCharType="begin"/>
      </w:r>
      <w:r>
        <w:instrText xml:space="preserve"> PAGEREF SENTENCIA_2021_51 \h </w:instrText>
      </w:r>
      <w:r>
        <w:fldChar w:fldCharType="separate"/>
      </w:r>
      <w:r w:rsidR="00D03E93">
        <w:rPr>
          <w:noProof/>
        </w:rPr>
        <w:t>912</w:t>
      </w:r>
      <w:r>
        <w:fldChar w:fldCharType="end"/>
      </w:r>
    </w:p>
    <w:p w:rsidR="00253E9C" w:rsidRDefault="00253E9C" w:rsidP="00253E9C"/>
    <w:p w:rsidR="00253E9C" w:rsidRDefault="00253E9C" w:rsidP="00253E9C">
      <w:pPr>
        <w:pStyle w:val="EntradandiceSentencia"/>
      </w:pPr>
      <w:r>
        <w:t>Sala Primera. Sentencia 52/2021,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5565-2018. </w:t>
      </w:r>
      <w:r w:rsidRPr="00253E9C">
        <w:rPr>
          <w:rStyle w:val="TextoNormalCursivaCaracter"/>
        </w:rPr>
        <w:t xml:space="preserve"> Alegada vulneración del derecho a la tutela judicial sin indefensión: inadmisión, por prematuro, del recurso de amparo.</w:t>
      </w:r>
      <w:r>
        <w:tab/>
      </w:r>
      <w:r>
        <w:tab/>
      </w:r>
      <w:r>
        <w:fldChar w:fldCharType="begin"/>
      </w:r>
      <w:r>
        <w:instrText xml:space="preserve"> PAGEREF SENTENCIA_2021_52 \h </w:instrText>
      </w:r>
      <w:r>
        <w:fldChar w:fldCharType="separate"/>
      </w:r>
      <w:r w:rsidR="00D03E93">
        <w:rPr>
          <w:noProof/>
        </w:rPr>
        <w:t>946</w:t>
      </w:r>
      <w:r>
        <w:fldChar w:fldCharType="end"/>
      </w:r>
    </w:p>
    <w:p w:rsidR="00253E9C" w:rsidRDefault="00253E9C" w:rsidP="00253E9C"/>
    <w:p w:rsidR="00253E9C" w:rsidRDefault="00253E9C" w:rsidP="00253E9C">
      <w:pPr>
        <w:pStyle w:val="EntradandiceSentencia"/>
      </w:pPr>
      <w:r>
        <w:lastRenderedPageBreak/>
        <w:t>Sala Primera. Sentencia 53/2021,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6546-2018. </w:t>
      </w:r>
      <w:r w:rsidRPr="00253E9C">
        <w:rPr>
          <w:rStyle w:val="TextoNormalCursivaCaracter"/>
        </w:rPr>
        <w:t xml:space="preserve"> Vulneración del derecho al ejercicio del cargo público representativo en conexión con el derecho de los ciudadanos a la participación: inadmisión de una iniciativa parlamentaria fundada en el veto presupuestario gubernamental cuya suficiencia y razonabilidad no examinó la mesa de la cámara (SSTC 223/2006 y 242/2006).</w:t>
      </w:r>
      <w:r>
        <w:tab/>
      </w:r>
      <w:r>
        <w:tab/>
      </w:r>
      <w:r>
        <w:fldChar w:fldCharType="begin"/>
      </w:r>
      <w:r>
        <w:instrText xml:space="preserve"> PAGEREF SENTENCIA_2021_53 \h </w:instrText>
      </w:r>
      <w:r>
        <w:fldChar w:fldCharType="separate"/>
      </w:r>
      <w:r w:rsidR="00D03E93">
        <w:rPr>
          <w:noProof/>
        </w:rPr>
        <w:t>960</w:t>
      </w:r>
      <w:r>
        <w:fldChar w:fldCharType="end"/>
      </w:r>
    </w:p>
    <w:p w:rsidR="00253E9C" w:rsidRDefault="00253E9C" w:rsidP="00253E9C"/>
    <w:p w:rsidR="00253E9C" w:rsidRDefault="00253E9C" w:rsidP="00253E9C">
      <w:pPr>
        <w:pStyle w:val="EntradandiceSentencia"/>
      </w:pPr>
      <w:r>
        <w:t>Sala Primera. Sentencia 54/2021,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1728-2019. </w:t>
      </w:r>
      <w:r w:rsidRPr="00253E9C">
        <w:rPr>
          <w:rStyle w:val="TextoNormalCursivaCaracter"/>
        </w:rPr>
        <w:t xml:space="preserve"> Vulneración del derecho a la tutela judicial efectiva (acceso a la jurisdicción): resolución que, al aplicar el precepto legal anulado por la STC 15/2020, de 28 de enero, deniega la revisión judicial del decreto de la letrada de la administración de justicia (STC 17/2020).</w:t>
      </w:r>
      <w:r>
        <w:tab/>
      </w:r>
      <w:r>
        <w:tab/>
      </w:r>
      <w:r>
        <w:fldChar w:fldCharType="begin"/>
      </w:r>
      <w:r>
        <w:instrText xml:space="preserve"> PAGEREF SENTENCIA_2021_54 \h </w:instrText>
      </w:r>
      <w:r>
        <w:fldChar w:fldCharType="separate"/>
      </w:r>
      <w:r w:rsidR="00D03E93">
        <w:rPr>
          <w:noProof/>
        </w:rPr>
        <w:t>980</w:t>
      </w:r>
      <w:r>
        <w:fldChar w:fldCharType="end"/>
      </w:r>
    </w:p>
    <w:p w:rsidR="00253E9C" w:rsidRDefault="00253E9C" w:rsidP="00253E9C"/>
    <w:p w:rsidR="00253E9C" w:rsidRDefault="00253E9C" w:rsidP="00253E9C">
      <w:pPr>
        <w:pStyle w:val="EntradandiceSentencia"/>
      </w:pPr>
      <w:r>
        <w:t>Sala Segunda. Sentencia 55/2021,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2563-2019. </w:t>
      </w:r>
      <w:r w:rsidRPr="00253E9C">
        <w:rPr>
          <w:rStyle w:val="TextoNormalCursivaCaracter"/>
        </w:rPr>
        <w:t xml:space="preserve"> Vulneración del derecho a la tutela judicial efectiva (motivación): irrazonable negativa judicial a proceder al archivo del proceso de anulación del laudo, instado por las partes tras alcanzar un acuerdo extrajudicial (STC 46/2020).</w:t>
      </w:r>
      <w:r>
        <w:tab/>
      </w:r>
      <w:r>
        <w:tab/>
      </w:r>
      <w:r>
        <w:fldChar w:fldCharType="begin"/>
      </w:r>
      <w:r>
        <w:instrText xml:space="preserve"> PAGEREF SENTENCIA_2021_55 \h </w:instrText>
      </w:r>
      <w:r>
        <w:fldChar w:fldCharType="separate"/>
      </w:r>
      <w:r w:rsidR="00D03E93">
        <w:rPr>
          <w:noProof/>
        </w:rPr>
        <w:t>988</w:t>
      </w:r>
      <w:r>
        <w:fldChar w:fldCharType="end"/>
      </w:r>
    </w:p>
    <w:p w:rsidR="00253E9C" w:rsidRDefault="00253E9C" w:rsidP="00253E9C"/>
    <w:p w:rsidR="00253E9C" w:rsidRDefault="00253E9C" w:rsidP="00253E9C">
      <w:pPr>
        <w:pStyle w:val="EntradandiceSentencia"/>
      </w:pPr>
      <w:r>
        <w:t>Sala Primera. Sentencia 56/2021,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Recursos de amparo 3546-2019, 3560-2019 (acumulados).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SENTENCIA_2021_56 \h </w:instrText>
      </w:r>
      <w:r>
        <w:fldChar w:fldCharType="separate"/>
      </w:r>
      <w:r w:rsidR="00D03E93">
        <w:rPr>
          <w:noProof/>
        </w:rPr>
        <w:t>1004</w:t>
      </w:r>
      <w:r>
        <w:fldChar w:fldCharType="end"/>
      </w:r>
    </w:p>
    <w:p w:rsidR="00253E9C" w:rsidRDefault="00253E9C" w:rsidP="00253E9C"/>
    <w:p w:rsidR="00253E9C" w:rsidRDefault="00253E9C" w:rsidP="00253E9C">
      <w:pPr>
        <w:pStyle w:val="EntradandiceSentencia"/>
      </w:pPr>
      <w:r>
        <w:t>Sala Primera. Sentencia 57/2021,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5866-2019. </w:t>
      </w:r>
      <w:r w:rsidRPr="00253E9C">
        <w:rPr>
          <w:rStyle w:val="TextoNormalCursivaCaracter"/>
        </w:rPr>
        <w:t xml:space="preserve"> Vulneración del derecho a la tutela judicial efectiva (acceso a la jurisdicción): resolución que, en aplicación del precepto legal anulado por la STC 151/2020, de 22 de octubre, impide la revisión judicial del decreto de la letrada de la administración de justicia.</w:t>
      </w:r>
      <w:r>
        <w:tab/>
      </w:r>
      <w:r>
        <w:tab/>
      </w:r>
      <w:r>
        <w:fldChar w:fldCharType="begin"/>
      </w:r>
      <w:r>
        <w:instrText xml:space="preserve"> PAGEREF SENTENCIA_2021_57 \h </w:instrText>
      </w:r>
      <w:r>
        <w:fldChar w:fldCharType="separate"/>
      </w:r>
      <w:r w:rsidR="00D03E93">
        <w:rPr>
          <w:noProof/>
        </w:rPr>
        <w:t>1012</w:t>
      </w:r>
      <w:r>
        <w:fldChar w:fldCharType="end"/>
      </w:r>
    </w:p>
    <w:p w:rsidR="00253E9C" w:rsidRDefault="00253E9C" w:rsidP="00253E9C"/>
    <w:p w:rsidR="00253E9C" w:rsidRDefault="00253E9C" w:rsidP="00253E9C">
      <w:pPr>
        <w:pStyle w:val="EntradandiceSentencia"/>
      </w:pPr>
      <w:r>
        <w:lastRenderedPageBreak/>
        <w:t>Sala Segunda. Sentencia 58/2021,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6502-2019.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SENTENCIA_2021_58 \h </w:instrText>
      </w:r>
      <w:r>
        <w:fldChar w:fldCharType="separate"/>
      </w:r>
      <w:r w:rsidR="00D03E93">
        <w:rPr>
          <w:noProof/>
        </w:rPr>
        <w:t>1019</w:t>
      </w:r>
      <w:r>
        <w:fldChar w:fldCharType="end"/>
      </w:r>
    </w:p>
    <w:p w:rsidR="00253E9C" w:rsidRDefault="00253E9C" w:rsidP="00253E9C"/>
    <w:p w:rsidR="00253E9C" w:rsidRDefault="00253E9C" w:rsidP="00253E9C">
      <w:pPr>
        <w:pStyle w:val="EntradandiceSentencia"/>
      </w:pPr>
      <w:r>
        <w:t>Sala Segunda. Sentencia 59/2021,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6503-2019.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SENTENCIA_2021_59 \h </w:instrText>
      </w:r>
      <w:r>
        <w:fldChar w:fldCharType="separate"/>
      </w:r>
      <w:r w:rsidR="00D03E93">
        <w:rPr>
          <w:noProof/>
        </w:rPr>
        <w:t>1029</w:t>
      </w:r>
      <w:r>
        <w:fldChar w:fldCharType="end"/>
      </w:r>
    </w:p>
    <w:p w:rsidR="00253E9C" w:rsidRDefault="00253E9C" w:rsidP="00253E9C"/>
    <w:p w:rsidR="00253E9C" w:rsidRDefault="00253E9C" w:rsidP="00253E9C">
      <w:pPr>
        <w:pStyle w:val="EntradandiceSentencia"/>
      </w:pPr>
      <w:r>
        <w:t>Sala Segunda. Sentencia 60/2021,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6820-2019. </w:t>
      </w:r>
      <w:r w:rsidRPr="00253E9C">
        <w:rPr>
          <w:rStyle w:val="TextoNormalCursivaCaracter"/>
        </w:rPr>
        <w:t xml:space="preserve"> Vulneración del derecho a la tutela judicial sin indefensión: emplazamiento mediante edictos sin agotar las posibilidades de comunicación personal (STC 62/2020).</w:t>
      </w:r>
      <w:r>
        <w:tab/>
      </w:r>
      <w:r>
        <w:tab/>
      </w:r>
      <w:r>
        <w:fldChar w:fldCharType="begin"/>
      </w:r>
      <w:r>
        <w:instrText xml:space="preserve"> PAGEREF SENTENCIA_2021_60 \h </w:instrText>
      </w:r>
      <w:r>
        <w:fldChar w:fldCharType="separate"/>
      </w:r>
      <w:r w:rsidR="00D03E93">
        <w:rPr>
          <w:noProof/>
        </w:rPr>
        <w:t>1039</w:t>
      </w:r>
      <w:r>
        <w:fldChar w:fldCharType="end"/>
      </w:r>
    </w:p>
    <w:p w:rsidR="00253E9C" w:rsidRDefault="00253E9C" w:rsidP="00253E9C"/>
    <w:p w:rsidR="00253E9C" w:rsidRDefault="00253E9C" w:rsidP="00253E9C">
      <w:pPr>
        <w:pStyle w:val="EntradandiceSentencia"/>
      </w:pPr>
      <w:r>
        <w:t>Sala Primera. Sentencia 61/2021,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6838-2019. </w:t>
      </w:r>
      <w:r w:rsidRPr="00253E9C">
        <w:rPr>
          <w:rStyle w:val="TextoNormalCursivaCaracter"/>
        </w:rPr>
        <w:t xml:space="preserve"> Vulneración del derecho a la tutela judicial efectiva (motivación): resolución judicial que desestima una pretensión indemnizatoria pese a reconocer la vulneración de los derechos fundamentales de la trabajadora cuyo ordenador fue objeto de monitorización. Voto particular.</w:t>
      </w:r>
      <w:r>
        <w:tab/>
      </w:r>
      <w:r>
        <w:tab/>
      </w:r>
      <w:r>
        <w:fldChar w:fldCharType="begin"/>
      </w:r>
      <w:r>
        <w:instrText xml:space="preserve"> PAGEREF SENTENCIA_2021_61 \h </w:instrText>
      </w:r>
      <w:r>
        <w:fldChar w:fldCharType="separate"/>
      </w:r>
      <w:r w:rsidR="00D03E93">
        <w:rPr>
          <w:noProof/>
        </w:rPr>
        <w:t>1045</w:t>
      </w:r>
      <w:r>
        <w:fldChar w:fldCharType="end"/>
      </w:r>
    </w:p>
    <w:p w:rsidR="00253E9C" w:rsidRDefault="00253E9C" w:rsidP="00253E9C"/>
    <w:p w:rsidR="00253E9C" w:rsidRDefault="00253E9C" w:rsidP="00253E9C">
      <w:pPr>
        <w:pStyle w:val="EntradandiceSentencia"/>
      </w:pPr>
      <w:r>
        <w:t>Sala Primera. Sentencia 62/2021,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7505-2019.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SENTENCIA_2021_62 \h </w:instrText>
      </w:r>
      <w:r>
        <w:fldChar w:fldCharType="separate"/>
      </w:r>
      <w:r w:rsidR="00D03E93">
        <w:rPr>
          <w:noProof/>
        </w:rPr>
        <w:t>1072</w:t>
      </w:r>
      <w:r>
        <w:fldChar w:fldCharType="end"/>
      </w:r>
    </w:p>
    <w:p w:rsidR="00253E9C" w:rsidRDefault="00253E9C" w:rsidP="00253E9C"/>
    <w:p w:rsidR="00253E9C" w:rsidRDefault="00253E9C" w:rsidP="00253E9C">
      <w:pPr>
        <w:pStyle w:val="EntradandiceSentencia"/>
      </w:pPr>
      <w:r>
        <w:t>Sala Segunda. Sentencia 63/2021,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729-2020. </w:t>
      </w:r>
      <w:r w:rsidRPr="00253E9C">
        <w:rPr>
          <w:rStyle w:val="TextoNormalCursivaCaracter"/>
        </w:rPr>
        <w:t xml:space="preserve"> Vulneración del derecho a la tutela judicial efectiva (acceso a la jurisdicción): resoluciones que, desatendiendo el Derecho transitorio y aplicando al caso el régimen de notificaciones a través de la sede electrónica, declararon la extemporaneidad del recurso de alzada en vía administrativa.</w:t>
      </w:r>
      <w:r>
        <w:tab/>
      </w:r>
      <w:r>
        <w:tab/>
      </w:r>
      <w:r>
        <w:fldChar w:fldCharType="begin"/>
      </w:r>
      <w:r>
        <w:instrText xml:space="preserve"> PAGEREF SENTENCIA_2021_63 \h </w:instrText>
      </w:r>
      <w:r>
        <w:fldChar w:fldCharType="separate"/>
      </w:r>
      <w:r w:rsidR="00D03E93">
        <w:rPr>
          <w:noProof/>
        </w:rPr>
        <w:t>1079</w:t>
      </w:r>
      <w:r>
        <w:fldChar w:fldCharType="end"/>
      </w:r>
    </w:p>
    <w:p w:rsidR="00253E9C" w:rsidRDefault="00253E9C" w:rsidP="00253E9C"/>
    <w:p w:rsidR="00253E9C" w:rsidRDefault="00253E9C" w:rsidP="00253E9C">
      <w:pPr>
        <w:pStyle w:val="EntradandiceSentencia"/>
      </w:pPr>
      <w:r>
        <w:t>Sala Primera. Sentencia 64/2021,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862-2020. </w:t>
      </w:r>
      <w:r w:rsidRPr="00253E9C">
        <w:rPr>
          <w:rStyle w:val="TextoNormalCursivaCaracter"/>
        </w:rPr>
        <w:t xml:space="preserve"> Vulneración del derecho a la tutela judicial sin indefensión: inadecuada utilización de la dirección electrónica habilitada como cauce de comunicación del primer emplazamiento procesal (STC 40/2020).</w:t>
      </w:r>
      <w:r>
        <w:tab/>
      </w:r>
      <w:r>
        <w:tab/>
      </w:r>
      <w:r>
        <w:fldChar w:fldCharType="begin"/>
      </w:r>
      <w:r>
        <w:instrText xml:space="preserve"> PAGEREF SENTENCIA_2021_64 \h </w:instrText>
      </w:r>
      <w:r>
        <w:fldChar w:fldCharType="separate"/>
      </w:r>
      <w:r w:rsidR="00D03E93">
        <w:rPr>
          <w:noProof/>
        </w:rPr>
        <w:t>1096</w:t>
      </w:r>
      <w:r>
        <w:fldChar w:fldCharType="end"/>
      </w:r>
    </w:p>
    <w:p w:rsidR="00253E9C" w:rsidRDefault="00253E9C" w:rsidP="00253E9C"/>
    <w:p w:rsidR="00253E9C" w:rsidRDefault="00253E9C" w:rsidP="00253E9C">
      <w:pPr>
        <w:pStyle w:val="EntradandiceSentencia"/>
      </w:pPr>
      <w:r>
        <w:t>Sala Segunda. Sentencia 65/2021,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976-2020. </w:t>
      </w:r>
      <w:r w:rsidRPr="00253E9C">
        <w:rPr>
          <w:rStyle w:val="TextoNormalCursivaCaracter"/>
        </w:rPr>
        <w:t xml:space="preserve"> Vulneración del derecho a la tutela judicial efectiva (motivación): irrazonable extensión de la noción de orden público (SSTC 46/2020 y 17/2021).</w:t>
      </w:r>
      <w:r>
        <w:tab/>
      </w:r>
      <w:r>
        <w:tab/>
      </w:r>
      <w:r>
        <w:fldChar w:fldCharType="begin"/>
      </w:r>
      <w:r>
        <w:instrText xml:space="preserve"> PAGEREF SENTENCIA_2021_65 \h </w:instrText>
      </w:r>
      <w:r>
        <w:fldChar w:fldCharType="separate"/>
      </w:r>
      <w:r w:rsidR="00D03E93">
        <w:rPr>
          <w:noProof/>
        </w:rPr>
        <w:t>1106</w:t>
      </w:r>
      <w:r>
        <w:fldChar w:fldCharType="end"/>
      </w:r>
    </w:p>
    <w:p w:rsidR="00253E9C" w:rsidRDefault="00253E9C" w:rsidP="00253E9C"/>
    <w:p w:rsidR="00253E9C" w:rsidRDefault="00253E9C" w:rsidP="00253E9C">
      <w:pPr>
        <w:pStyle w:val="EntradandiceSentencia"/>
      </w:pPr>
      <w:r>
        <w:t>Sala Segunda. Sentencia 66/2021, de 15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980-2020. </w:t>
      </w:r>
      <w:r w:rsidRPr="00253E9C">
        <w:rPr>
          <w:rStyle w:val="TextoNormalCursivaCaracter"/>
        </w:rPr>
        <w:t xml:space="preserve"> Supuesta vulneración del derecho al ejercicio del cargo público representativo: discrepancias jurídicas acerca del titular de la presidencia de la Generalitat de Cataluña que no perturban las funciones representativas de los parlamentarios.</w:t>
      </w:r>
      <w:r>
        <w:tab/>
      </w:r>
      <w:r>
        <w:tab/>
      </w:r>
      <w:r>
        <w:fldChar w:fldCharType="begin"/>
      </w:r>
      <w:r>
        <w:instrText xml:space="preserve"> PAGEREF SENTENCIA_2021_66 \h </w:instrText>
      </w:r>
      <w:r>
        <w:fldChar w:fldCharType="separate"/>
      </w:r>
      <w:r w:rsidR="00D03E93">
        <w:rPr>
          <w:noProof/>
        </w:rPr>
        <w:t>1122</w:t>
      </w:r>
      <w:r>
        <w:fldChar w:fldCharType="end"/>
      </w:r>
    </w:p>
    <w:p w:rsidR="00253E9C" w:rsidRDefault="00253E9C" w:rsidP="00253E9C"/>
    <w:p w:rsidR="00253E9C" w:rsidRDefault="00253E9C" w:rsidP="00253E9C">
      <w:pPr>
        <w:pStyle w:val="EntradandiceSentencia"/>
      </w:pPr>
      <w:r>
        <w:t>Pleno. Sentencia 67/2021, de 17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1447-2020. </w:t>
      </w:r>
      <w:r w:rsidRPr="00253E9C">
        <w:rPr>
          <w:rStyle w:val="TextoNormalCursivaCaracter"/>
        </w:rPr>
        <w:t xml:space="preserve"> Supuesta vulneración de los derechos a la tutela judicial efectiva (motivación) y a la presunción de inocencia: condena impuesta existiendo prueba documental suficientemente valorada por la resolución judicial; motivación adecuada de la cuota diaria de la pena de multa impuesta (STC 34/2021).</w:t>
      </w:r>
      <w:r>
        <w:tab/>
      </w:r>
      <w:r>
        <w:tab/>
      </w:r>
      <w:r>
        <w:fldChar w:fldCharType="begin"/>
      </w:r>
      <w:r>
        <w:instrText xml:space="preserve"> PAGEREF SENTENCIA_2021_67 \h </w:instrText>
      </w:r>
      <w:r>
        <w:fldChar w:fldCharType="separate"/>
      </w:r>
      <w:r w:rsidR="00D03E93">
        <w:rPr>
          <w:noProof/>
        </w:rPr>
        <w:t>1144</w:t>
      </w:r>
      <w:r>
        <w:fldChar w:fldCharType="end"/>
      </w:r>
    </w:p>
    <w:p w:rsidR="00253E9C" w:rsidRDefault="00253E9C" w:rsidP="00253E9C"/>
    <w:p w:rsidR="00253E9C" w:rsidRDefault="00253E9C" w:rsidP="00253E9C">
      <w:pPr>
        <w:pStyle w:val="EntradandiceSentencia"/>
      </w:pPr>
      <w:r>
        <w:t>Pleno. Sentencia 68/2021, de 18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4261-2018. </w:t>
      </w:r>
      <w:r w:rsidRPr="00253E9C">
        <w:rPr>
          <w:rStyle w:val="TextoNormalCursivaCaracter"/>
        </w:rPr>
        <w:t xml:space="preserve"> Competencias en materia de contratación pública: nulidad parcial de los preceptos legales estatales relativos al </w:t>
      </w:r>
      <w:r w:rsidRPr="00253E9C">
        <w:rPr>
          <w:rStyle w:val="TextoNormalCursivaCaracter"/>
        </w:rPr>
        <w:lastRenderedPageBreak/>
        <w:t>órgano competente para resolver, en el ámbito autonómico, el recurso especial en materia de contratación; eficacia de las clasificaciones de empresas, e inserción en una sola plataforma electrónica del perfil de contratante de las entidades locales; interpretación conforme con la Constitución de distintos preceptos legales y apreciación de diversos supuestos de disconformidad con el orden constitucional de distribución de competencias.</w:t>
      </w:r>
      <w:r>
        <w:tab/>
      </w:r>
      <w:r>
        <w:tab/>
      </w:r>
      <w:r>
        <w:fldChar w:fldCharType="begin"/>
      </w:r>
      <w:r>
        <w:instrText xml:space="preserve"> PAGEREF SENTENCIA_2021_68 \h </w:instrText>
      </w:r>
      <w:r>
        <w:fldChar w:fldCharType="separate"/>
      </w:r>
      <w:r w:rsidR="00D03E93">
        <w:rPr>
          <w:noProof/>
        </w:rPr>
        <w:t>1165</w:t>
      </w:r>
      <w:r>
        <w:fldChar w:fldCharType="end"/>
      </w:r>
    </w:p>
    <w:p w:rsidR="00253E9C" w:rsidRDefault="00253E9C" w:rsidP="00253E9C"/>
    <w:p w:rsidR="00253E9C" w:rsidRDefault="00253E9C" w:rsidP="00253E9C">
      <w:pPr>
        <w:pStyle w:val="EntradandiceSentencia"/>
      </w:pPr>
      <w:r>
        <w:t>Pleno. Sentencia 69/2021, de 18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6238-2019. </w:t>
      </w:r>
      <w:r w:rsidRPr="00253E9C">
        <w:rPr>
          <w:rStyle w:val="TextoNormalCursivaCaracter"/>
        </w:rPr>
        <w:t xml:space="preserve"> Supuesta vulneración de los derechos al ejercicio del cargo público representativo y a la tutela judicial: resoluciones parlamentarias que aplican, motivadamente y sin afectar al grupo parlamentario, la previsión legal de suspensión automática del cargo parlamentario (STC 97/2020).</w:t>
      </w:r>
      <w:r>
        <w:tab/>
      </w:r>
      <w:r>
        <w:tab/>
      </w:r>
      <w:r>
        <w:fldChar w:fldCharType="begin"/>
      </w:r>
      <w:r>
        <w:instrText xml:space="preserve"> PAGEREF SENTENCIA_2021_69 \h </w:instrText>
      </w:r>
      <w:r>
        <w:fldChar w:fldCharType="separate"/>
      </w:r>
      <w:r w:rsidR="00D03E93">
        <w:rPr>
          <w:noProof/>
        </w:rPr>
        <w:t>1256</w:t>
      </w:r>
      <w:r>
        <w:fldChar w:fldCharType="end"/>
      </w:r>
    </w:p>
    <w:p w:rsidR="00253E9C" w:rsidRDefault="00253E9C" w:rsidP="00253E9C"/>
    <w:p w:rsidR="00253E9C" w:rsidRDefault="00253E9C" w:rsidP="00253E9C">
      <w:pPr>
        <w:pStyle w:val="EntradandiceSentencia"/>
      </w:pPr>
      <w:r>
        <w:t>Pleno. Sentencia 70/2021, de 18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6711-2019. </w:t>
      </w:r>
      <w:r w:rsidRPr="00253E9C">
        <w:rPr>
          <w:rStyle w:val="TextoNormalCursivaCaracter"/>
        </w:rPr>
        <w:t xml:space="preserve"> Supuesta vulneración de los derechos al ejercicio del cargo público representativo y a un proceso con todas las garantías: resoluciones judiciales que parten de una adecuada comprensión de la prerrogativa de inmunidad parlamentaria; improcedencia de extrapolar la doctrina de la STJUE de 19 de diciembre 2019.</w:t>
      </w:r>
      <w:r>
        <w:tab/>
      </w:r>
      <w:r>
        <w:tab/>
      </w:r>
      <w:r>
        <w:fldChar w:fldCharType="begin"/>
      </w:r>
      <w:r>
        <w:instrText xml:space="preserve"> PAGEREF SENTENCIA_2021_70 \h </w:instrText>
      </w:r>
      <w:r>
        <w:fldChar w:fldCharType="separate"/>
      </w:r>
      <w:r w:rsidR="00D03E93">
        <w:rPr>
          <w:noProof/>
        </w:rPr>
        <w:t>1296</w:t>
      </w:r>
      <w:r>
        <w:fldChar w:fldCharType="end"/>
      </w:r>
    </w:p>
    <w:p w:rsidR="00253E9C" w:rsidRDefault="00253E9C" w:rsidP="00253E9C"/>
    <w:p w:rsidR="00253E9C" w:rsidRDefault="00253E9C" w:rsidP="00253E9C">
      <w:pPr>
        <w:pStyle w:val="EntradandiceSentencia"/>
      </w:pPr>
      <w:r>
        <w:t>Pleno. Sentencia 71/2021, de 18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6720-2019. </w:t>
      </w:r>
      <w:r w:rsidRPr="00253E9C">
        <w:rPr>
          <w:rStyle w:val="TextoNormalCursivaCaracter"/>
        </w:rPr>
        <w:t xml:space="preserve"> Supuesta vulneración de los derechos al ejercicio del cargo público representativo y a un proceso con todas las garantías: resoluciones judiciales que parten de una adecuada comprensión de la prerrogativa de inmunidad parlamentaria; improcedencia de extrapolar la doctrina de la STJUE de 19 de diciembre 2019.</w:t>
      </w:r>
      <w:r>
        <w:tab/>
      </w:r>
      <w:r>
        <w:tab/>
      </w:r>
      <w:r>
        <w:fldChar w:fldCharType="begin"/>
      </w:r>
      <w:r>
        <w:instrText xml:space="preserve"> PAGEREF SENTENCIA_2021_71 \h </w:instrText>
      </w:r>
      <w:r>
        <w:fldChar w:fldCharType="separate"/>
      </w:r>
      <w:r w:rsidR="00D03E93">
        <w:rPr>
          <w:noProof/>
        </w:rPr>
        <w:t>1331</w:t>
      </w:r>
      <w:r>
        <w:fldChar w:fldCharType="end"/>
      </w:r>
    </w:p>
    <w:p w:rsidR="00253E9C" w:rsidRDefault="00253E9C" w:rsidP="00253E9C"/>
    <w:p w:rsidR="00253E9C" w:rsidRDefault="00253E9C" w:rsidP="00253E9C">
      <w:pPr>
        <w:pStyle w:val="EntradandiceSentencia"/>
      </w:pPr>
      <w:r>
        <w:t>Pleno. Sentencia 72/2021, de 18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6835-2019. </w:t>
      </w:r>
      <w:r w:rsidRPr="00253E9C">
        <w:rPr>
          <w:rStyle w:val="TextoNormalCursivaCaracter"/>
        </w:rPr>
        <w:t xml:space="preserve"> Competencias sobre legislación civil, mercantil y procesal, ordenación del crédito y de la economía: nulidad parcial de los preceptos legales autonómicos relativos al documento justificativo de la contratación y clausulado de los contratos y de contratos de tracto continuado; nulidad del precepto legal sobre titulización de créditos y, por conexión o consecuencia, de la tipificación como infracción administrativa de la no comunicación de cesión de créditos a fondos de titulización.</w:t>
      </w:r>
      <w:r>
        <w:tab/>
      </w:r>
      <w:r>
        <w:tab/>
      </w:r>
      <w:r>
        <w:fldChar w:fldCharType="begin"/>
      </w:r>
      <w:r>
        <w:instrText xml:space="preserve"> PAGEREF SENTENCIA_2021_72 \h </w:instrText>
      </w:r>
      <w:r>
        <w:fldChar w:fldCharType="separate"/>
      </w:r>
      <w:r w:rsidR="00D03E93">
        <w:rPr>
          <w:noProof/>
        </w:rPr>
        <w:t>1364</w:t>
      </w:r>
      <w:r>
        <w:fldChar w:fldCharType="end"/>
      </w:r>
    </w:p>
    <w:p w:rsidR="00253E9C" w:rsidRDefault="00253E9C" w:rsidP="00253E9C"/>
    <w:p w:rsidR="00253E9C" w:rsidRDefault="00253E9C" w:rsidP="00253E9C">
      <w:pPr>
        <w:pStyle w:val="EntradandiceSentencia"/>
      </w:pPr>
      <w:r>
        <w:lastRenderedPageBreak/>
        <w:t>Pleno. Sentencia 73/2021, de 18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7439-2019. </w:t>
      </w:r>
      <w:r w:rsidRPr="00253E9C">
        <w:rPr>
          <w:rStyle w:val="TextoNormalCursivaCaracter"/>
        </w:rPr>
        <w:t xml:space="preserve"> Vulneración del derecho a la libertad personal: órgano judicial que dejó transcurrir un tiempo desproporcionadamente largo antes de pronunciarse sobre la libertad del interesado y que, cuando lo hizo, inadmitió la solicitud de habeas corpus por motivos atinentes al fondo (STC 95/2012); planteamiento facultativo del incidente de nulidad de actuaciones cuando la demanda de amparo alegue vulneración del derecho a la libertad personal en procedimientos de habeas corpus. Votos particulares.</w:t>
      </w:r>
      <w:r>
        <w:tab/>
      </w:r>
      <w:r>
        <w:tab/>
      </w:r>
      <w:r>
        <w:fldChar w:fldCharType="begin"/>
      </w:r>
      <w:r>
        <w:instrText xml:space="preserve"> PAGEREF SENTENCIA_2021_73 \h </w:instrText>
      </w:r>
      <w:r>
        <w:fldChar w:fldCharType="separate"/>
      </w:r>
      <w:r w:rsidR="00D03E93">
        <w:rPr>
          <w:noProof/>
        </w:rPr>
        <w:t>1387</w:t>
      </w:r>
      <w:r>
        <w:fldChar w:fldCharType="end"/>
      </w:r>
    </w:p>
    <w:p w:rsidR="00253E9C" w:rsidRDefault="00253E9C" w:rsidP="00253E9C"/>
    <w:p w:rsidR="00253E9C" w:rsidRDefault="00253E9C" w:rsidP="00253E9C">
      <w:pPr>
        <w:pStyle w:val="EntradandiceSentencia"/>
      </w:pPr>
      <w:r>
        <w:t>Pleno. Sentencia 74/2021, de 18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440-2020. </w:t>
      </w:r>
      <w:r w:rsidRPr="00253E9C">
        <w:rPr>
          <w:rStyle w:val="TextoNormalCursivaCaracter"/>
        </w:rPr>
        <w:t xml:space="preserve"> Competencias sobre ordenación de la economía: nulidad del precepto legal autonómico que, al definir el concepto de “vino” entra en contradicción insalvable con la normativa básica estatal.</w:t>
      </w:r>
      <w:r>
        <w:tab/>
      </w:r>
      <w:r>
        <w:tab/>
      </w:r>
      <w:r>
        <w:fldChar w:fldCharType="begin"/>
      </w:r>
      <w:r>
        <w:instrText xml:space="preserve"> PAGEREF SENTENCIA_2021_74 \h </w:instrText>
      </w:r>
      <w:r>
        <w:fldChar w:fldCharType="separate"/>
      </w:r>
      <w:r w:rsidR="00D03E93">
        <w:rPr>
          <w:noProof/>
        </w:rPr>
        <w:t>1421</w:t>
      </w:r>
      <w:r>
        <w:fldChar w:fldCharType="end"/>
      </w:r>
    </w:p>
    <w:p w:rsidR="00253E9C" w:rsidRDefault="00253E9C" w:rsidP="00253E9C"/>
    <w:p w:rsidR="00253E9C" w:rsidRDefault="00253E9C" w:rsidP="00253E9C">
      <w:pPr>
        <w:pStyle w:val="EntradandiceSentencia"/>
      </w:pPr>
      <w:r>
        <w:t>Pleno. Sentencia 75/2021, de 18 de marzo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4911-2020. </w:t>
      </w:r>
      <w:r w:rsidRPr="00253E9C">
        <w:rPr>
          <w:rStyle w:val="TextoNormalCursivaCaracter"/>
        </w:rPr>
        <w:t xml:space="preserve"> Régimen lingüístico: constitucionalidad del precepto que permite el uso del bable/asturiano en las actuaciones parlamentarias. Votos particulares.</w:t>
      </w:r>
      <w:r>
        <w:tab/>
      </w:r>
      <w:r>
        <w:tab/>
      </w:r>
      <w:r>
        <w:fldChar w:fldCharType="begin"/>
      </w:r>
      <w:r>
        <w:instrText xml:space="preserve"> PAGEREF SENTENCIA_2021_75 \h </w:instrText>
      </w:r>
      <w:r>
        <w:fldChar w:fldCharType="separate"/>
      </w:r>
      <w:r w:rsidR="00D03E93">
        <w:rPr>
          <w:noProof/>
        </w:rPr>
        <w:t>1430</w:t>
      </w:r>
      <w:r>
        <w:fldChar w:fldCharType="end"/>
      </w:r>
    </w:p>
    <w:p w:rsidR="00253E9C" w:rsidRDefault="00253E9C" w:rsidP="00253E9C"/>
    <w:p w:rsidR="00253E9C" w:rsidRDefault="00253E9C" w:rsidP="00253E9C">
      <w:pPr>
        <w:pStyle w:val="EntradandiceSentencia"/>
      </w:pPr>
      <w:r>
        <w:t>Sala Primera. Sentencia 76/2021, de 15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electoral 2117-2021. </w:t>
      </w:r>
      <w:r w:rsidRPr="00253E9C">
        <w:rPr>
          <w:rStyle w:val="TextoNormalCursivaCaracter"/>
        </w:rPr>
        <w:t xml:space="preserve"> Supuesta vulneración del derecho de acceso a los cargos públicos en condiciones de igualdad: exclusión de las listas electorales de quienes no ostentaban la condición de electores. Votos particulares.</w:t>
      </w:r>
      <w:r>
        <w:tab/>
      </w:r>
      <w:r>
        <w:tab/>
      </w:r>
      <w:r>
        <w:fldChar w:fldCharType="begin"/>
      </w:r>
      <w:r>
        <w:instrText xml:space="preserve"> PAGEREF SENTENCIA_2021_76 \h </w:instrText>
      </w:r>
      <w:r>
        <w:fldChar w:fldCharType="separate"/>
      </w:r>
      <w:r w:rsidR="00D03E93">
        <w:rPr>
          <w:noProof/>
        </w:rPr>
        <w:t>1450</w:t>
      </w:r>
      <w:r>
        <w:fldChar w:fldCharType="end"/>
      </w:r>
    </w:p>
    <w:p w:rsidR="00253E9C" w:rsidRDefault="00253E9C" w:rsidP="00253E9C"/>
    <w:p w:rsidR="00253E9C" w:rsidRDefault="00253E9C" w:rsidP="00253E9C">
      <w:pPr>
        <w:pStyle w:val="EntradandiceSentencia"/>
      </w:pPr>
      <w:r>
        <w:t>Sala Primera. Sentencia 77/2021,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6510-2018. </w:t>
      </w:r>
      <w:r w:rsidRPr="00253E9C">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SENTENCIA_2021_77 \h </w:instrText>
      </w:r>
      <w:r>
        <w:fldChar w:fldCharType="separate"/>
      </w:r>
      <w:r w:rsidR="00D03E93">
        <w:rPr>
          <w:noProof/>
        </w:rPr>
        <w:t>1492</w:t>
      </w:r>
      <w:r>
        <w:fldChar w:fldCharType="end"/>
      </w:r>
    </w:p>
    <w:p w:rsidR="00253E9C" w:rsidRDefault="00253E9C" w:rsidP="00253E9C"/>
    <w:p w:rsidR="00253E9C" w:rsidRDefault="00253E9C" w:rsidP="00253E9C">
      <w:pPr>
        <w:pStyle w:val="EntradandiceSentencia"/>
      </w:pPr>
      <w:r>
        <w:lastRenderedPageBreak/>
        <w:t>Sala Segunda. Sentencia 78/2021,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541-2019. </w:t>
      </w:r>
      <w:r w:rsidRPr="00253E9C">
        <w:rPr>
          <w:rStyle w:val="TextoNormalCursivaCaracter"/>
        </w:rPr>
        <w:t xml:space="preserve"> Vulneración del derecho a la legalidad penal: condena impuesta por el incumplimiento de una medida adoptada en un proceso penal que se había sobreseído.</w:t>
      </w:r>
      <w:r>
        <w:tab/>
      </w:r>
      <w:r>
        <w:tab/>
      </w:r>
      <w:r>
        <w:fldChar w:fldCharType="begin"/>
      </w:r>
      <w:r>
        <w:instrText xml:space="preserve"> PAGEREF SENTENCIA_2021_78 \h </w:instrText>
      </w:r>
      <w:r>
        <w:fldChar w:fldCharType="separate"/>
      </w:r>
      <w:r w:rsidR="00D03E93">
        <w:rPr>
          <w:noProof/>
        </w:rPr>
        <w:t>1500</w:t>
      </w:r>
      <w:r>
        <w:fldChar w:fldCharType="end"/>
      </w:r>
    </w:p>
    <w:p w:rsidR="00253E9C" w:rsidRDefault="00253E9C" w:rsidP="00253E9C"/>
    <w:p w:rsidR="00253E9C" w:rsidRDefault="00253E9C" w:rsidP="00253E9C">
      <w:pPr>
        <w:pStyle w:val="EntradandiceSentencia"/>
      </w:pPr>
      <w:r>
        <w:t>Sala Segunda. Sentencia 79/2021,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1468-2019. </w:t>
      </w:r>
      <w:r w:rsidRPr="00253E9C">
        <w:rPr>
          <w:rStyle w:val="TextoNormalCursivaCaracter"/>
        </w:rPr>
        <w:t xml:space="preserve"> Vulneración del derecho a la tutela judicial sin indefensión: notificaciones practicadas tras la sustitución, no comunicada a los colegios profesionales radicados fuera de Aragón, del sistema Lexnet por Avantius.</w:t>
      </w:r>
      <w:r>
        <w:tab/>
      </w:r>
      <w:r>
        <w:tab/>
      </w:r>
      <w:r>
        <w:fldChar w:fldCharType="begin"/>
      </w:r>
      <w:r>
        <w:instrText xml:space="preserve"> PAGEREF SENTENCIA_2021_79 \h </w:instrText>
      </w:r>
      <w:r>
        <w:fldChar w:fldCharType="separate"/>
      </w:r>
      <w:r w:rsidR="00D03E93">
        <w:rPr>
          <w:noProof/>
        </w:rPr>
        <w:t>1523</w:t>
      </w:r>
      <w:r>
        <w:fldChar w:fldCharType="end"/>
      </w:r>
    </w:p>
    <w:p w:rsidR="00253E9C" w:rsidRDefault="00253E9C" w:rsidP="00253E9C"/>
    <w:p w:rsidR="00253E9C" w:rsidRDefault="00253E9C" w:rsidP="00253E9C">
      <w:pPr>
        <w:pStyle w:val="EntradandiceSentencia"/>
      </w:pPr>
      <w:r>
        <w:t>Sala Primera. Sentencia 80/2021,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1692-2019. </w:t>
      </w:r>
      <w:r w:rsidRPr="00253E9C">
        <w:rPr>
          <w:rStyle w:val="TextoNormalCursivaCaracter"/>
        </w:rPr>
        <w:t xml:space="preserve"> Vulneración del derecho a la libertad personal en relación con el derecho a la tutela judicial efectiva: medida cautelar adoptada sin poner de manifiesto las actuaciones esenciales del expediente (STC 83/2019).</w:t>
      </w:r>
      <w:r>
        <w:tab/>
      </w:r>
      <w:r>
        <w:tab/>
      </w:r>
      <w:r>
        <w:fldChar w:fldCharType="begin"/>
      </w:r>
      <w:r>
        <w:instrText xml:space="preserve"> PAGEREF SENTENCIA_2021_80 \h </w:instrText>
      </w:r>
      <w:r>
        <w:fldChar w:fldCharType="separate"/>
      </w:r>
      <w:r w:rsidR="00D03E93">
        <w:rPr>
          <w:noProof/>
        </w:rPr>
        <w:t>1535</w:t>
      </w:r>
      <w:r>
        <w:fldChar w:fldCharType="end"/>
      </w:r>
    </w:p>
    <w:p w:rsidR="00253E9C" w:rsidRDefault="00253E9C" w:rsidP="00253E9C"/>
    <w:p w:rsidR="00253E9C" w:rsidRDefault="00253E9C" w:rsidP="00253E9C">
      <w:pPr>
        <w:pStyle w:val="EntradandiceSentencia"/>
      </w:pPr>
      <w:r>
        <w:t>Sala Segunda. Sentencia 81/2021,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3826-2019. </w:t>
      </w:r>
      <w:r w:rsidRPr="00253E9C">
        <w:rPr>
          <w:rStyle w:val="TextoNormalCursivaCaracter"/>
        </w:rPr>
        <w:t xml:space="preserve"> Supuesta vulneración de los derechos a la educación, igualdad y no discriminación, integridad física y moral y a no padecer indefensión: medida preventiva de suspensión de asistencia al centro escolar, en tanto se procedía a la emisión de un diagnóstico médico, adoptada con ponderación del interés superior del menor. Voto particular.</w:t>
      </w:r>
      <w:r>
        <w:tab/>
      </w:r>
      <w:r>
        <w:tab/>
      </w:r>
      <w:r>
        <w:fldChar w:fldCharType="begin"/>
      </w:r>
      <w:r>
        <w:instrText xml:space="preserve"> PAGEREF SENTENCIA_2021_81 \h </w:instrText>
      </w:r>
      <w:r>
        <w:fldChar w:fldCharType="separate"/>
      </w:r>
      <w:r w:rsidR="00D03E93">
        <w:rPr>
          <w:noProof/>
        </w:rPr>
        <w:t>1552</w:t>
      </w:r>
      <w:r>
        <w:fldChar w:fldCharType="end"/>
      </w:r>
    </w:p>
    <w:p w:rsidR="00253E9C" w:rsidRDefault="00253E9C" w:rsidP="00253E9C"/>
    <w:p w:rsidR="00253E9C" w:rsidRDefault="00253E9C" w:rsidP="00253E9C">
      <w:pPr>
        <w:pStyle w:val="EntradandiceSentencia"/>
      </w:pPr>
      <w:r>
        <w:t>Sala Segunda. Sentencia 82/2021,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4513-2019. </w:t>
      </w:r>
      <w:r w:rsidRPr="00253E9C">
        <w:rPr>
          <w:rStyle w:val="TextoNormalCursivaCaracter"/>
        </w:rPr>
        <w:t xml:space="preserve"> Vulneración del derecho a la tutela judicial sin indefensión: emplazamiento mediante edictos de la demandada, sin agotar las posibilidades de notificación personal (STC 30/2014).</w:t>
      </w:r>
      <w:r>
        <w:tab/>
      </w:r>
      <w:r>
        <w:tab/>
      </w:r>
      <w:r>
        <w:fldChar w:fldCharType="begin"/>
      </w:r>
      <w:r>
        <w:instrText xml:space="preserve"> PAGEREF SENTENCIA_2021_82 \h </w:instrText>
      </w:r>
      <w:r>
        <w:fldChar w:fldCharType="separate"/>
      </w:r>
      <w:r w:rsidR="00D03E93">
        <w:rPr>
          <w:noProof/>
        </w:rPr>
        <w:t>1585</w:t>
      </w:r>
      <w:r>
        <w:fldChar w:fldCharType="end"/>
      </w:r>
    </w:p>
    <w:p w:rsidR="00253E9C" w:rsidRDefault="00253E9C" w:rsidP="00253E9C"/>
    <w:p w:rsidR="00253E9C" w:rsidRDefault="00253E9C" w:rsidP="00253E9C">
      <w:pPr>
        <w:pStyle w:val="EntradandiceSentencia"/>
      </w:pPr>
      <w:r>
        <w:t>Sala Primera. Sentencia 83/2021,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4575-2019. </w:t>
      </w:r>
      <w:r w:rsidRPr="00253E9C">
        <w:rPr>
          <w:rStyle w:val="TextoNormalCursivaCaracter"/>
        </w:rPr>
        <w:t xml:space="preserve"> Vulneración del derecho a la presunción de inocencia: STC 125/2019 (denegación de indemnización resultante de la aplicación del precepto legal anulado por la STC 85/2019, de 19 de junio).</w:t>
      </w:r>
      <w:r>
        <w:tab/>
      </w:r>
      <w:r>
        <w:tab/>
      </w:r>
      <w:r>
        <w:fldChar w:fldCharType="begin"/>
      </w:r>
      <w:r>
        <w:instrText xml:space="preserve"> PAGEREF SENTENCIA_2021_83 \h </w:instrText>
      </w:r>
      <w:r>
        <w:fldChar w:fldCharType="separate"/>
      </w:r>
      <w:r w:rsidR="00D03E93">
        <w:rPr>
          <w:noProof/>
        </w:rPr>
        <w:t>1596</w:t>
      </w:r>
      <w:r>
        <w:fldChar w:fldCharType="end"/>
      </w:r>
    </w:p>
    <w:p w:rsidR="00253E9C" w:rsidRDefault="00253E9C" w:rsidP="00253E9C"/>
    <w:p w:rsidR="00253E9C" w:rsidRDefault="00253E9C" w:rsidP="00253E9C">
      <w:pPr>
        <w:pStyle w:val="EntradandiceSentencia"/>
      </w:pPr>
      <w:r>
        <w:lastRenderedPageBreak/>
        <w:t>Sala Segunda. Sentencia 84/2021,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5128-2019.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SENTENCIA_2021_84 \h </w:instrText>
      </w:r>
      <w:r>
        <w:fldChar w:fldCharType="separate"/>
      </w:r>
      <w:r w:rsidR="00D03E93">
        <w:rPr>
          <w:noProof/>
        </w:rPr>
        <w:t>1601</w:t>
      </w:r>
      <w:r>
        <w:fldChar w:fldCharType="end"/>
      </w:r>
    </w:p>
    <w:p w:rsidR="00253E9C" w:rsidRDefault="00253E9C" w:rsidP="00253E9C"/>
    <w:p w:rsidR="00253E9C" w:rsidRDefault="00253E9C" w:rsidP="00253E9C">
      <w:pPr>
        <w:pStyle w:val="EntradandiceSentencia"/>
      </w:pPr>
      <w:r>
        <w:t>Sala Segunda. Sentencia 85/2021,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7132-2019.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SENTENCIA_2021_85 \h </w:instrText>
      </w:r>
      <w:r>
        <w:fldChar w:fldCharType="separate"/>
      </w:r>
      <w:r w:rsidR="00D03E93">
        <w:rPr>
          <w:noProof/>
        </w:rPr>
        <w:t>1607</w:t>
      </w:r>
      <w:r>
        <w:fldChar w:fldCharType="end"/>
      </w:r>
    </w:p>
    <w:p w:rsidR="00253E9C" w:rsidRDefault="00253E9C" w:rsidP="00253E9C"/>
    <w:p w:rsidR="00253E9C" w:rsidRDefault="00253E9C" w:rsidP="00253E9C">
      <w:pPr>
        <w:pStyle w:val="EntradandiceSentencia"/>
      </w:pPr>
      <w:r>
        <w:t>Sala Segunda. Sentencia 86/2021,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7508-2019.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SENTENCIA_2021_86 \h </w:instrText>
      </w:r>
      <w:r>
        <w:fldChar w:fldCharType="separate"/>
      </w:r>
      <w:r w:rsidR="00D03E93">
        <w:rPr>
          <w:noProof/>
        </w:rPr>
        <w:t>1615</w:t>
      </w:r>
      <w:r>
        <w:fldChar w:fldCharType="end"/>
      </w:r>
    </w:p>
    <w:p w:rsidR="00253E9C" w:rsidRDefault="00253E9C" w:rsidP="00253E9C"/>
    <w:p w:rsidR="00253E9C" w:rsidRDefault="00253E9C" w:rsidP="00253E9C">
      <w:pPr>
        <w:pStyle w:val="EntradandiceSentencia"/>
      </w:pPr>
      <w:r>
        <w:t>Sala Segunda. Sentencia 87/2021,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1004-2020. </w:t>
      </w:r>
      <w:r w:rsidRPr="00253E9C">
        <w:rPr>
          <w:rStyle w:val="TextoNormalCursivaCaracter"/>
        </w:rPr>
        <w:t xml:space="preserve"> Vulneración del derecho a la tutela judicial sin indefensión: emplazamiento mediante edictos llevado a cabo sin apurar previamente las posibilidades de averiguación del domicilio efectivo (STC 122/2013).</w:t>
      </w:r>
      <w:r>
        <w:tab/>
      </w:r>
      <w:r>
        <w:tab/>
      </w:r>
      <w:r>
        <w:fldChar w:fldCharType="begin"/>
      </w:r>
      <w:r>
        <w:instrText xml:space="preserve"> PAGEREF SENTENCIA_2021_87 \h </w:instrText>
      </w:r>
      <w:r>
        <w:fldChar w:fldCharType="separate"/>
      </w:r>
      <w:r w:rsidR="00D03E93">
        <w:rPr>
          <w:noProof/>
        </w:rPr>
        <w:t>1621</w:t>
      </w:r>
      <w:r>
        <w:fldChar w:fldCharType="end"/>
      </w:r>
    </w:p>
    <w:p w:rsidR="00253E9C" w:rsidRDefault="00253E9C" w:rsidP="00253E9C"/>
    <w:p w:rsidR="00253E9C" w:rsidRDefault="00253E9C" w:rsidP="00253E9C">
      <w:pPr>
        <w:pStyle w:val="EntradandiceSentencia"/>
      </w:pPr>
      <w:r>
        <w:t>Sala Segunda. Sentencia 88/2021,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1683-2020. </w:t>
      </w:r>
      <w:r w:rsidRPr="00253E9C">
        <w:rPr>
          <w:rStyle w:val="TextoNormalCursivaCaracter"/>
        </w:rPr>
        <w:t xml:space="preserve"> Vulneración del derecho a la tutela judicial efectiva (motivación): resolución judicial que desatiende el previo reconocimiento por sentencia de la titularidad dominical de un bien, que se retrotrae a un momento anterior a la entrada en vigor de la Ley de costas.</w:t>
      </w:r>
      <w:r>
        <w:tab/>
      </w:r>
      <w:r>
        <w:tab/>
      </w:r>
      <w:r>
        <w:fldChar w:fldCharType="begin"/>
      </w:r>
      <w:r>
        <w:instrText xml:space="preserve"> PAGEREF SENTENCIA_2021_88 \h </w:instrText>
      </w:r>
      <w:r>
        <w:fldChar w:fldCharType="separate"/>
      </w:r>
      <w:r w:rsidR="00D03E93">
        <w:rPr>
          <w:noProof/>
        </w:rPr>
        <w:t>1631</w:t>
      </w:r>
      <w:r>
        <w:fldChar w:fldCharType="end"/>
      </w:r>
    </w:p>
    <w:p w:rsidR="00253E9C" w:rsidRDefault="00253E9C" w:rsidP="00253E9C"/>
    <w:p w:rsidR="00253E9C" w:rsidRDefault="00253E9C" w:rsidP="00253E9C">
      <w:pPr>
        <w:pStyle w:val="EntradandiceSentencia"/>
      </w:pPr>
      <w:r>
        <w:t>Sala Segunda. Sentencia 89/2021, de 19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1914-2020. </w:t>
      </w:r>
      <w:r w:rsidRPr="00253E9C">
        <w:rPr>
          <w:rStyle w:val="TextoNormalCursivaCaracter"/>
        </w:rPr>
        <w:t xml:space="preserve"> Vulneración del derecho a la tutela judicial sin indefensión: STC 47/2019 (inadecuada utilización de la dirección electrónica habilitada como cauce de comunicación del primer emplazamiento procesal).</w:t>
      </w:r>
      <w:r>
        <w:tab/>
      </w:r>
      <w:r>
        <w:tab/>
      </w:r>
      <w:r>
        <w:fldChar w:fldCharType="begin"/>
      </w:r>
      <w:r>
        <w:instrText xml:space="preserve"> PAGEREF SENTENCIA_2021_89 \h </w:instrText>
      </w:r>
      <w:r>
        <w:fldChar w:fldCharType="separate"/>
      </w:r>
      <w:r w:rsidR="00D03E93">
        <w:rPr>
          <w:noProof/>
        </w:rPr>
        <w:t>1656</w:t>
      </w:r>
      <w:r>
        <w:fldChar w:fldCharType="end"/>
      </w:r>
    </w:p>
    <w:p w:rsidR="00253E9C" w:rsidRDefault="00253E9C" w:rsidP="00253E9C"/>
    <w:p w:rsidR="00253E9C" w:rsidRDefault="00253E9C" w:rsidP="00253E9C">
      <w:pPr>
        <w:pStyle w:val="EntradandiceSentencia"/>
      </w:pPr>
      <w:r>
        <w:t>Pleno. Sentencia 90/2021, de 22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6240-2019. </w:t>
      </w:r>
      <w:r w:rsidRPr="00253E9C">
        <w:rPr>
          <w:rStyle w:val="TextoNormalCursivaCaracter"/>
        </w:rPr>
        <w:t xml:space="preserve"> Supuesta vulneración de los derechos al ejercicio del cargo público representativo y a la tutela judicial: STC 69/2021 (resoluciones parlamentarias que aplican, motivadamente y sin afectar al grupo parlamentario, la previsión legal de suspensión automática del cargo representativo).</w:t>
      </w:r>
      <w:r>
        <w:tab/>
      </w:r>
      <w:r>
        <w:tab/>
      </w:r>
      <w:r>
        <w:fldChar w:fldCharType="begin"/>
      </w:r>
      <w:r>
        <w:instrText xml:space="preserve"> PAGEREF SENTENCIA_2021_90 \h </w:instrText>
      </w:r>
      <w:r>
        <w:fldChar w:fldCharType="separate"/>
      </w:r>
      <w:r w:rsidR="00D03E93">
        <w:rPr>
          <w:noProof/>
        </w:rPr>
        <w:t>1663</w:t>
      </w:r>
      <w:r>
        <w:fldChar w:fldCharType="end"/>
      </w:r>
    </w:p>
    <w:p w:rsidR="00253E9C" w:rsidRDefault="00253E9C" w:rsidP="00253E9C"/>
    <w:p w:rsidR="00253E9C" w:rsidRDefault="00253E9C" w:rsidP="00253E9C">
      <w:pPr>
        <w:pStyle w:val="EntradandiceSentencia"/>
      </w:pPr>
      <w:r>
        <w:t>Pleno. Sentencia 91/2021, de 22 de abril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1403-2020. </w:t>
      </w:r>
      <w:r w:rsidRPr="00253E9C">
        <w:rPr>
          <w:rStyle w:val="TextoNormalCursivaCaracter"/>
        </w:rPr>
        <w:t xml:space="preserve"> Supuesta vulneración de los derechos al juez ordinario predeterminado por la ley y de defensa, a un proceso con todas las garantías y a la presunción de inocencia, a la tutela judicial efectiva y a la legalidad penal: resolución judicial dictada en causa especial en cuya tramitación se preservaron las garantías procesales y en la que se impuso una pena que no puede considerarse desproporcionada o que desaliente el ejercicio de otros derechos fundamentales. Voto particular.</w:t>
      </w:r>
      <w:r>
        <w:tab/>
      </w:r>
      <w:r>
        <w:tab/>
      </w:r>
      <w:r>
        <w:fldChar w:fldCharType="begin"/>
      </w:r>
      <w:r>
        <w:instrText xml:space="preserve"> PAGEREF SENTENCIA_2021_91 \h </w:instrText>
      </w:r>
      <w:r>
        <w:fldChar w:fldCharType="separate"/>
      </w:r>
      <w:r w:rsidR="00D03E93">
        <w:rPr>
          <w:noProof/>
        </w:rPr>
        <w:t>1695</w:t>
      </w:r>
      <w:r>
        <w:fldChar w:fldCharType="end"/>
      </w:r>
    </w:p>
    <w:p w:rsidR="00253E9C" w:rsidRDefault="00253E9C" w:rsidP="00253E9C"/>
    <w:p w:rsidR="00253E9C" w:rsidRDefault="00253E9C" w:rsidP="00253E9C">
      <w:pPr>
        <w:pStyle w:val="EntradandiceSentencia"/>
      </w:pPr>
      <w:r>
        <w:t>Sala Primera. Sentencia 92/2021,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1944-2019. </w:t>
      </w:r>
      <w:r w:rsidRPr="00253E9C">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SENTENCIA_2021_92 \h </w:instrText>
      </w:r>
      <w:r>
        <w:fldChar w:fldCharType="separate"/>
      </w:r>
      <w:r w:rsidR="00D03E93">
        <w:rPr>
          <w:noProof/>
        </w:rPr>
        <w:t>1969</w:t>
      </w:r>
      <w:r>
        <w:fldChar w:fldCharType="end"/>
      </w:r>
    </w:p>
    <w:p w:rsidR="00253E9C" w:rsidRDefault="00253E9C" w:rsidP="00253E9C"/>
    <w:p w:rsidR="00253E9C" w:rsidRDefault="00253E9C" w:rsidP="00253E9C">
      <w:pPr>
        <w:pStyle w:val="EntradandiceSentencia"/>
      </w:pPr>
      <w:r>
        <w:t>Sala Primera. Sentencia 93/2021,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3223-2019. </w:t>
      </w:r>
      <w:r w:rsidRPr="00253E9C">
        <w:rPr>
          <w:rStyle w:val="TextoNormalCursivaCaracter"/>
        </w:rPr>
        <w:t xml:space="preserve"> Supuesta vulneración del derecho a la libertad de expresión: mensajes difundidos a través de una red social en los que tilda de asesino y se expresa alivio por la muerte de un torero en el curso de la lidia. Voto particular.</w:t>
      </w:r>
      <w:r>
        <w:tab/>
      </w:r>
      <w:r>
        <w:tab/>
      </w:r>
      <w:r>
        <w:fldChar w:fldCharType="begin"/>
      </w:r>
      <w:r>
        <w:instrText xml:space="preserve"> PAGEREF SENTENCIA_2021_93 \h </w:instrText>
      </w:r>
      <w:r>
        <w:fldChar w:fldCharType="separate"/>
      </w:r>
      <w:r w:rsidR="00D03E93">
        <w:rPr>
          <w:noProof/>
        </w:rPr>
        <w:t>1976</w:t>
      </w:r>
      <w:r>
        <w:fldChar w:fldCharType="end"/>
      </w:r>
    </w:p>
    <w:p w:rsidR="00253E9C" w:rsidRDefault="00253E9C" w:rsidP="00253E9C"/>
    <w:p w:rsidR="00253E9C" w:rsidRDefault="00253E9C" w:rsidP="00253E9C">
      <w:pPr>
        <w:pStyle w:val="EntradandiceSentencia"/>
      </w:pPr>
      <w:r>
        <w:lastRenderedPageBreak/>
        <w:t>Sala Segunda. Sentencia 94/2021,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3987-2019. </w:t>
      </w:r>
      <w:r w:rsidRPr="00253E9C">
        <w:rPr>
          <w:rStyle w:val="TextoNormalCursivaCaracter"/>
        </w:rPr>
        <w:t xml:space="preserve"> Vulneración del derecho a la tutela judicial sin indefensión: emplazamiento mediante edictos sin agotar las posibilidades de comunicación personal (STC 62/2020).</w:t>
      </w:r>
      <w:r>
        <w:tab/>
      </w:r>
      <w:r>
        <w:tab/>
      </w:r>
      <w:r>
        <w:fldChar w:fldCharType="begin"/>
      </w:r>
      <w:r>
        <w:instrText xml:space="preserve"> PAGEREF SENTENCIA_2021_94 \h </w:instrText>
      </w:r>
      <w:r>
        <w:fldChar w:fldCharType="separate"/>
      </w:r>
      <w:r w:rsidR="00D03E93">
        <w:rPr>
          <w:noProof/>
        </w:rPr>
        <w:t>2001</w:t>
      </w:r>
      <w:r>
        <w:fldChar w:fldCharType="end"/>
      </w:r>
    </w:p>
    <w:p w:rsidR="00253E9C" w:rsidRDefault="00253E9C" w:rsidP="00253E9C"/>
    <w:p w:rsidR="00253E9C" w:rsidRDefault="00253E9C" w:rsidP="00253E9C">
      <w:pPr>
        <w:pStyle w:val="EntradandiceSentencia"/>
      </w:pPr>
      <w:r>
        <w:t>Sala Segunda. Sentencia 95/2021,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5050-2019. </w:t>
      </w:r>
      <w:r w:rsidRPr="00253E9C">
        <w:rPr>
          <w:rStyle w:val="TextoNormalCursivaCaracter"/>
        </w:rPr>
        <w:t xml:space="preserve"> Vulneración del derecho a la tutela judicial efectiva (motivación): tasación de las costas que ignora la declaración del proceso como de cuantía indeterminada.</w:t>
      </w:r>
      <w:r>
        <w:tab/>
      </w:r>
      <w:r>
        <w:tab/>
      </w:r>
      <w:r>
        <w:fldChar w:fldCharType="begin"/>
      </w:r>
      <w:r>
        <w:instrText xml:space="preserve"> PAGEREF SENTENCIA_2021_95 \h </w:instrText>
      </w:r>
      <w:r>
        <w:fldChar w:fldCharType="separate"/>
      </w:r>
      <w:r w:rsidR="00D03E93">
        <w:rPr>
          <w:noProof/>
        </w:rPr>
        <w:t>2009</w:t>
      </w:r>
      <w:r>
        <w:fldChar w:fldCharType="end"/>
      </w:r>
    </w:p>
    <w:p w:rsidR="00253E9C" w:rsidRDefault="00253E9C" w:rsidP="00253E9C"/>
    <w:p w:rsidR="00253E9C" w:rsidRDefault="00253E9C" w:rsidP="00253E9C">
      <w:pPr>
        <w:pStyle w:val="EntradandiceSentencia"/>
      </w:pPr>
      <w:r>
        <w:t>Sala Segunda. Sentencia 96/2021,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5527-2019. </w:t>
      </w:r>
      <w:r w:rsidRPr="00253E9C">
        <w:rPr>
          <w:rStyle w:val="TextoNormalCursivaCaracter"/>
        </w:rPr>
        <w:t xml:space="preserve"> Vulneración del derecho a la tutela judicial efectiva (acceso al recurso legal): inadmisión de recurso de apelación por extemporáneo sin tener en cuenta la aclaración del fallo (STC 105/2006).</w:t>
      </w:r>
      <w:r>
        <w:tab/>
      </w:r>
      <w:r>
        <w:tab/>
      </w:r>
      <w:r>
        <w:fldChar w:fldCharType="begin"/>
      </w:r>
      <w:r>
        <w:instrText xml:space="preserve"> PAGEREF SENTENCIA_2021_96 \h </w:instrText>
      </w:r>
      <w:r>
        <w:fldChar w:fldCharType="separate"/>
      </w:r>
      <w:r w:rsidR="00D03E93">
        <w:rPr>
          <w:noProof/>
        </w:rPr>
        <w:t>2024</w:t>
      </w:r>
      <w:r>
        <w:fldChar w:fldCharType="end"/>
      </w:r>
    </w:p>
    <w:p w:rsidR="00253E9C" w:rsidRDefault="00253E9C" w:rsidP="00253E9C"/>
    <w:p w:rsidR="00253E9C" w:rsidRDefault="00253E9C" w:rsidP="00253E9C">
      <w:pPr>
        <w:pStyle w:val="EntradandiceSentencia"/>
      </w:pPr>
      <w:r>
        <w:t>Sala Segunda. Sentencia 97/2021,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6802-2019. </w:t>
      </w:r>
      <w:r w:rsidRPr="00253E9C">
        <w:rPr>
          <w:rStyle w:val="TextoNormalCursivaCaracter"/>
        </w:rPr>
        <w:t xml:space="preserve"> Vulneración del derecho a la tutela judicial sin indefensión: emplazamiento mediante edictos de la demandada, sin agotar las posibilidades de notificación personal (STC 30/2014).</w:t>
      </w:r>
      <w:r>
        <w:tab/>
      </w:r>
      <w:r>
        <w:tab/>
      </w:r>
      <w:r>
        <w:fldChar w:fldCharType="begin"/>
      </w:r>
      <w:r>
        <w:instrText xml:space="preserve"> PAGEREF SENTENCIA_2021_97 \h </w:instrText>
      </w:r>
      <w:r>
        <w:fldChar w:fldCharType="separate"/>
      </w:r>
      <w:r w:rsidR="00D03E93">
        <w:rPr>
          <w:noProof/>
        </w:rPr>
        <w:t>2030</w:t>
      </w:r>
      <w:r>
        <w:fldChar w:fldCharType="end"/>
      </w:r>
    </w:p>
    <w:p w:rsidR="00253E9C" w:rsidRDefault="00253E9C" w:rsidP="00253E9C"/>
    <w:p w:rsidR="00253E9C" w:rsidRDefault="00253E9C" w:rsidP="00253E9C">
      <w:pPr>
        <w:pStyle w:val="EntradandiceSentencia"/>
      </w:pPr>
      <w:r>
        <w:t>Sala Segunda. Sentencia 98/2021,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7028-2019. </w:t>
      </w:r>
      <w:r w:rsidRPr="00253E9C">
        <w:rPr>
          <w:rStyle w:val="TextoNormalCursivaCaracter"/>
        </w:rPr>
        <w:t xml:space="preserve"> Vulneración de los derechos a la igualdad y a la presunción de inocencia: STC 125/2019 (denegación de indemnización resultante de la aplicación del precepto legal anulado por la STC 85/2019, de junio).</w:t>
      </w:r>
      <w:r>
        <w:tab/>
      </w:r>
      <w:r>
        <w:tab/>
      </w:r>
      <w:r>
        <w:fldChar w:fldCharType="begin"/>
      </w:r>
      <w:r>
        <w:instrText xml:space="preserve"> PAGEREF SENTENCIA_2021_98 \h </w:instrText>
      </w:r>
      <w:r>
        <w:fldChar w:fldCharType="separate"/>
      </w:r>
      <w:r w:rsidR="00D03E93">
        <w:rPr>
          <w:noProof/>
        </w:rPr>
        <w:t>2041</w:t>
      </w:r>
      <w:r>
        <w:fldChar w:fldCharType="end"/>
      </w:r>
    </w:p>
    <w:p w:rsidR="00253E9C" w:rsidRDefault="00253E9C" w:rsidP="00253E9C"/>
    <w:p w:rsidR="00253E9C" w:rsidRDefault="00253E9C" w:rsidP="00253E9C">
      <w:pPr>
        <w:pStyle w:val="EntradandiceSentencia"/>
      </w:pPr>
      <w:r>
        <w:t>Sala Primera. Sentencia 99/2021,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7436-2019. </w:t>
      </w:r>
      <w:r w:rsidRPr="00253E9C">
        <w:rPr>
          <w:rStyle w:val="TextoNormalCursivaCaracter"/>
        </w:rPr>
        <w:t xml:space="preserve"> Supuesta vulneración de los derechos a la intimidad, secreto de las comunicaciones y a la presunción de inocencia: captación y grabación de comunicaciones orales mantenidas en el interior de sendos vehículos que se prolongó por espacio de tres meses.</w:t>
      </w:r>
      <w:r>
        <w:tab/>
      </w:r>
      <w:r>
        <w:tab/>
      </w:r>
      <w:r>
        <w:fldChar w:fldCharType="begin"/>
      </w:r>
      <w:r>
        <w:instrText xml:space="preserve"> PAGEREF SENTENCIA_2021_99 \h </w:instrText>
      </w:r>
      <w:r>
        <w:fldChar w:fldCharType="separate"/>
      </w:r>
      <w:r w:rsidR="00D03E93">
        <w:rPr>
          <w:noProof/>
        </w:rPr>
        <w:t>2049</w:t>
      </w:r>
      <w:r>
        <w:fldChar w:fldCharType="end"/>
      </w:r>
    </w:p>
    <w:p w:rsidR="00253E9C" w:rsidRDefault="00253E9C" w:rsidP="00253E9C"/>
    <w:p w:rsidR="00253E9C" w:rsidRDefault="00253E9C" w:rsidP="00253E9C">
      <w:pPr>
        <w:pStyle w:val="EntradandiceSentencia"/>
      </w:pPr>
      <w:r>
        <w:lastRenderedPageBreak/>
        <w:t>Sala Segunda. Sentencia 100/2021,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7528-2019.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SENTENCIA_2021_100 \h </w:instrText>
      </w:r>
      <w:r>
        <w:fldChar w:fldCharType="separate"/>
      </w:r>
      <w:r w:rsidR="00D03E93">
        <w:rPr>
          <w:noProof/>
        </w:rPr>
        <w:t>2084</w:t>
      </w:r>
      <w:r>
        <w:fldChar w:fldCharType="end"/>
      </w:r>
    </w:p>
    <w:p w:rsidR="00253E9C" w:rsidRDefault="00253E9C" w:rsidP="00253E9C"/>
    <w:p w:rsidR="00253E9C" w:rsidRDefault="00253E9C" w:rsidP="00253E9C">
      <w:pPr>
        <w:pStyle w:val="EntradandiceSentencia"/>
      </w:pPr>
      <w:r>
        <w:t>Sala Segunda. Sentencia 101/2021,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63-2020. </w:t>
      </w:r>
      <w:r w:rsidRPr="00253E9C">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SENTENCIA_2021_101 \h </w:instrText>
      </w:r>
      <w:r>
        <w:fldChar w:fldCharType="separate"/>
      </w:r>
      <w:r w:rsidR="00D03E93">
        <w:rPr>
          <w:noProof/>
        </w:rPr>
        <w:t>2092</w:t>
      </w:r>
      <w:r>
        <w:fldChar w:fldCharType="end"/>
      </w:r>
    </w:p>
    <w:p w:rsidR="00253E9C" w:rsidRDefault="00253E9C" w:rsidP="00253E9C"/>
    <w:p w:rsidR="00253E9C" w:rsidRDefault="00253E9C" w:rsidP="00253E9C">
      <w:pPr>
        <w:pStyle w:val="EntradandiceSentencia"/>
      </w:pPr>
      <w:r>
        <w:t>Sala Primera. Sentencia 102/2021,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501-2020. </w:t>
      </w:r>
      <w:r w:rsidRPr="00253E9C">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w:t>
      </w:r>
      <w:r>
        <w:tab/>
      </w:r>
      <w:r>
        <w:tab/>
      </w:r>
      <w:r>
        <w:fldChar w:fldCharType="begin"/>
      </w:r>
      <w:r>
        <w:instrText xml:space="preserve"> PAGEREF SENTENCIA_2021_102 \h </w:instrText>
      </w:r>
      <w:r>
        <w:fldChar w:fldCharType="separate"/>
      </w:r>
      <w:r w:rsidR="00D03E93">
        <w:rPr>
          <w:noProof/>
        </w:rPr>
        <w:t>2102</w:t>
      </w:r>
      <w:r>
        <w:fldChar w:fldCharType="end"/>
      </w:r>
    </w:p>
    <w:p w:rsidR="00253E9C" w:rsidRDefault="00253E9C" w:rsidP="00253E9C"/>
    <w:p w:rsidR="00253E9C" w:rsidRDefault="00253E9C" w:rsidP="00253E9C">
      <w:pPr>
        <w:pStyle w:val="EntradandiceSentencia"/>
      </w:pPr>
      <w:r>
        <w:t>Sala Primera. Sentencia 103/2021,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Recursos de amparo 691-2020, 693-2020 (acumulados).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SENTENCIA_2021_103 \h </w:instrText>
      </w:r>
      <w:r>
        <w:fldChar w:fldCharType="separate"/>
      </w:r>
      <w:r w:rsidR="00D03E93">
        <w:rPr>
          <w:noProof/>
        </w:rPr>
        <w:t>2112</w:t>
      </w:r>
      <w:r>
        <w:fldChar w:fldCharType="end"/>
      </w:r>
    </w:p>
    <w:p w:rsidR="00253E9C" w:rsidRDefault="00253E9C" w:rsidP="00253E9C"/>
    <w:p w:rsidR="00253E9C" w:rsidRDefault="00253E9C" w:rsidP="00253E9C">
      <w:pPr>
        <w:pStyle w:val="EntradandiceSentencia"/>
      </w:pPr>
      <w:r>
        <w:t>Sala Segunda. Sentencia 104/2021, de 10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764-2020. </w:t>
      </w:r>
      <w:r w:rsidRPr="00253E9C">
        <w:rPr>
          <w:rStyle w:val="TextoNormalCursivaCaracter"/>
        </w:rPr>
        <w:t xml:space="preserve"> Vulneración del derecho a la tutela judicial efectiva (acceso al recurso legal): inadmisión del incidente de nulidad de actuaciones fundada en la procedencia del recurso de casación para la unificación de doctrina sin estar acreditada la concurrencia de identidad de situaciones fácticas entre la sentencia que se pretendía controvertir y otra dictada por este Tribunal Constitucional en cuya doctrina se fundamenta la impugnación.</w:t>
      </w:r>
      <w:r>
        <w:tab/>
      </w:r>
      <w:r>
        <w:tab/>
      </w:r>
      <w:r>
        <w:fldChar w:fldCharType="begin"/>
      </w:r>
      <w:r>
        <w:instrText xml:space="preserve"> PAGEREF SENTENCIA_2021_104 \h </w:instrText>
      </w:r>
      <w:r>
        <w:fldChar w:fldCharType="separate"/>
      </w:r>
      <w:r w:rsidR="00D03E93">
        <w:rPr>
          <w:noProof/>
        </w:rPr>
        <w:t>2119</w:t>
      </w:r>
      <w:r>
        <w:fldChar w:fldCharType="end"/>
      </w:r>
    </w:p>
    <w:p w:rsidR="00253E9C" w:rsidRDefault="00253E9C" w:rsidP="00253E9C"/>
    <w:p w:rsidR="00253E9C" w:rsidRDefault="00253E9C" w:rsidP="00253E9C">
      <w:pPr>
        <w:pStyle w:val="EntradandiceSentencia"/>
      </w:pPr>
      <w:r>
        <w:t>Pleno. Sentencia 105/2021, de 11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6239-2019. </w:t>
      </w:r>
      <w:r w:rsidRPr="00253E9C">
        <w:rPr>
          <w:rStyle w:val="TextoNormalCursivaCaracter"/>
        </w:rPr>
        <w:t xml:space="preserve"> Supuesta vulneración de los derechos al ejercicio del cargo público representativo y a la tutela judicial: STC 69/2021 (resoluciones parlamentarias que aplican, motivadamente y sin afectar al grupo parlamentario, la previsión legal de suspensión automática del cargo parlamentario).</w:t>
      </w:r>
      <w:r>
        <w:tab/>
      </w:r>
      <w:r>
        <w:tab/>
      </w:r>
      <w:r>
        <w:fldChar w:fldCharType="begin"/>
      </w:r>
      <w:r>
        <w:instrText xml:space="preserve"> PAGEREF SENTENCIA_2021_105 \h </w:instrText>
      </w:r>
      <w:r>
        <w:fldChar w:fldCharType="separate"/>
      </w:r>
      <w:r w:rsidR="00D03E93">
        <w:rPr>
          <w:noProof/>
        </w:rPr>
        <w:t>2139</w:t>
      </w:r>
      <w:r>
        <w:fldChar w:fldCharType="end"/>
      </w:r>
    </w:p>
    <w:p w:rsidR="00253E9C" w:rsidRDefault="00253E9C" w:rsidP="00253E9C"/>
    <w:p w:rsidR="00253E9C" w:rsidRDefault="00253E9C" w:rsidP="00253E9C">
      <w:pPr>
        <w:pStyle w:val="EntradandiceSentencia"/>
      </w:pPr>
      <w:r>
        <w:t>Pleno. Sentencia 106/2021, de 11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1407-2020. </w:t>
      </w:r>
      <w:r w:rsidRPr="00253E9C">
        <w:rPr>
          <w:rStyle w:val="TextoNormalCursivaCaracter"/>
        </w:rPr>
        <w:t xml:space="preserve"> Supuesta vulneración de los derechos al juez ordinario predeterminado por la ley y de defensa, a no padecer discriminación por razón de la lengua, a un proceso con todas las garantías y a la presunción de inocencia, a la tutela judicial efectiva y a la legalidad penal: resolución judicial dictada en causa especial en cuya tramitación se preservaron las garantías procesales y en la que se impuso una pena que no puede considerarse desproporcionada o que desaliente el ejercicio de otros derechos fundamentales. Voto particular.</w:t>
      </w:r>
      <w:r>
        <w:tab/>
      </w:r>
      <w:r>
        <w:tab/>
      </w:r>
      <w:r>
        <w:fldChar w:fldCharType="begin"/>
      </w:r>
      <w:r>
        <w:instrText xml:space="preserve"> PAGEREF SENTENCIA_2021_106 \h </w:instrText>
      </w:r>
      <w:r>
        <w:fldChar w:fldCharType="separate"/>
      </w:r>
      <w:r w:rsidR="00D03E93">
        <w:rPr>
          <w:noProof/>
        </w:rPr>
        <w:t>2171</w:t>
      </w:r>
      <w:r>
        <w:fldChar w:fldCharType="end"/>
      </w:r>
    </w:p>
    <w:p w:rsidR="00253E9C" w:rsidRDefault="00253E9C" w:rsidP="00253E9C"/>
    <w:p w:rsidR="00253E9C" w:rsidRDefault="00253E9C" w:rsidP="00253E9C">
      <w:pPr>
        <w:pStyle w:val="EntradandiceSentencia"/>
      </w:pPr>
      <w:r>
        <w:t>Pleno. Sentencia 107/2021, de 13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2670-2017. </w:t>
      </w:r>
      <w:r w:rsidRPr="00253E9C">
        <w:rPr>
          <w:rStyle w:val="TextoNormalCursivaCaracter"/>
        </w:rPr>
        <w:t xml:space="preserve"> Alegada vulneración de los derechos a la presunción de inocencia, legalidad penal, segunda instancia y tutela judicial efectiva en relación con el derecho a la igualdad; supuesta vulneración de los derechos a un proceso con todas las garantías y a la prueba: inadmisión parcial del recurso de amparo; denegación de prueba testifical y documental cuya relevancia en términos de defensa no se acredita.</w:t>
      </w:r>
      <w:r>
        <w:tab/>
      </w:r>
      <w:r>
        <w:tab/>
      </w:r>
      <w:r>
        <w:fldChar w:fldCharType="begin"/>
      </w:r>
      <w:r>
        <w:instrText xml:space="preserve"> PAGEREF SENTENCIA_2021_107 \h </w:instrText>
      </w:r>
      <w:r>
        <w:fldChar w:fldCharType="separate"/>
      </w:r>
      <w:r w:rsidR="00D03E93">
        <w:rPr>
          <w:noProof/>
        </w:rPr>
        <w:t>2443</w:t>
      </w:r>
      <w:r>
        <w:fldChar w:fldCharType="end"/>
      </w:r>
    </w:p>
    <w:p w:rsidR="00253E9C" w:rsidRDefault="00253E9C" w:rsidP="00253E9C"/>
    <w:p w:rsidR="00253E9C" w:rsidRDefault="00253E9C" w:rsidP="00253E9C">
      <w:pPr>
        <w:pStyle w:val="EntradandiceSentencia"/>
      </w:pPr>
      <w:r>
        <w:t>Pleno. Sentencia 108/2021, de 13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4062-2019. </w:t>
      </w:r>
      <w:r w:rsidRPr="00253E9C">
        <w:rPr>
          <w:rStyle w:val="TextoNormalCursivaCaracter"/>
        </w:rPr>
        <w:t xml:space="preserve"> Principio de reserva de jurisdicción; derecho a la tutela judicial efectiva e intangibilidad de las sentencias, derechos al honor, intimidad y propia imagen, a la protección de datos y a la presunción de inocencia; garantías del proceso penal: interpretación conforme con la Constitución de los preceptos legales que establecen el deber de colaboración de los poderes públicos navarros en la realización del “derecho a la verdad” y definen las funciones que puede desempeñar la Comisión de Reconocimiento y Reparación en la averiguación, documentación y acreditación de hechos (STC 83/2020). Voto particular.</w:t>
      </w:r>
      <w:r>
        <w:tab/>
      </w:r>
      <w:r>
        <w:tab/>
      </w:r>
      <w:r>
        <w:fldChar w:fldCharType="begin"/>
      </w:r>
      <w:r>
        <w:instrText xml:space="preserve"> PAGEREF SENTENCIA_2021_108 \h </w:instrText>
      </w:r>
      <w:r>
        <w:fldChar w:fldCharType="separate"/>
      </w:r>
      <w:r w:rsidR="00D03E93">
        <w:rPr>
          <w:noProof/>
        </w:rPr>
        <w:t>2466</w:t>
      </w:r>
      <w:r>
        <w:fldChar w:fldCharType="end"/>
      </w:r>
    </w:p>
    <w:p w:rsidR="00253E9C" w:rsidRDefault="00253E9C" w:rsidP="00253E9C"/>
    <w:p w:rsidR="00253E9C" w:rsidRDefault="00253E9C" w:rsidP="00253E9C">
      <w:pPr>
        <w:pStyle w:val="EntradandiceSentencia"/>
      </w:pPr>
      <w:r>
        <w:lastRenderedPageBreak/>
        <w:t>Pleno. Sentencia 109/2021, de 13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Cuestión de inconstitucionalidad 5150-2019. </w:t>
      </w:r>
      <w:r w:rsidRPr="00253E9C">
        <w:rPr>
          <w:rStyle w:val="TextoNormalCursivaCaracter"/>
        </w:rPr>
        <w:t xml:space="preserve"> Límites materiales de las leyes de presupuestos: nulidad del precepto legal que establece un complemento específico para los puestos de jefatura de servicio o sección de personal estatutario facultativo del sistema sanitario público de la Comunidad Valenciana.</w:t>
      </w:r>
      <w:r>
        <w:tab/>
      </w:r>
      <w:r>
        <w:tab/>
      </w:r>
      <w:r>
        <w:fldChar w:fldCharType="begin"/>
      </w:r>
      <w:r>
        <w:instrText xml:space="preserve"> PAGEREF SENTENCIA_2021_109 \h </w:instrText>
      </w:r>
      <w:r>
        <w:fldChar w:fldCharType="separate"/>
      </w:r>
      <w:r w:rsidR="00D03E93">
        <w:rPr>
          <w:noProof/>
        </w:rPr>
        <w:t>2492</w:t>
      </w:r>
      <w:r>
        <w:fldChar w:fldCharType="end"/>
      </w:r>
    </w:p>
    <w:p w:rsidR="00253E9C" w:rsidRDefault="00253E9C" w:rsidP="00253E9C"/>
    <w:p w:rsidR="00253E9C" w:rsidRDefault="00253E9C" w:rsidP="00253E9C">
      <w:pPr>
        <w:pStyle w:val="EntradandiceSentencia"/>
      </w:pPr>
      <w:r>
        <w:t>Pleno. Sentencia 110/2021, de 13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1813-2020. </w:t>
      </w:r>
      <w:r w:rsidRPr="00253E9C">
        <w:rPr>
          <w:rStyle w:val="TextoNormalCursivaCaracter"/>
        </w:rPr>
        <w:t xml:space="preserve"> Límites materiales de los decretos leyes: nulidad del precepto que modifica la composición de la Comisión Delegada del Gobierno para Asuntos de Inteligencia. Voto particular.</w:t>
      </w:r>
      <w:r>
        <w:tab/>
      </w:r>
      <w:r>
        <w:tab/>
      </w:r>
      <w:r>
        <w:fldChar w:fldCharType="begin"/>
      </w:r>
      <w:r>
        <w:instrText xml:space="preserve"> PAGEREF SENTENCIA_2021_110 \h </w:instrText>
      </w:r>
      <w:r>
        <w:fldChar w:fldCharType="separate"/>
      </w:r>
      <w:r w:rsidR="00D03E93">
        <w:rPr>
          <w:noProof/>
        </w:rPr>
        <w:t>2513</w:t>
      </w:r>
      <w:r>
        <w:fldChar w:fldCharType="end"/>
      </w:r>
    </w:p>
    <w:p w:rsidR="00253E9C" w:rsidRDefault="00253E9C" w:rsidP="00253E9C"/>
    <w:p w:rsidR="00253E9C" w:rsidRDefault="00253E9C" w:rsidP="00253E9C">
      <w:pPr>
        <w:pStyle w:val="EntradandiceSentencia"/>
      </w:pPr>
      <w:r>
        <w:t>Pleno. Sentencia 111/2021, de 13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2295-2020. </w:t>
      </w:r>
      <w:r w:rsidRPr="00253E9C">
        <w:rPr>
          <w:rStyle w:val="TextoNormalCursivaCaracter"/>
        </w:rPr>
        <w:t xml:space="preserve"> Límites materiales de los decretos leyes: nulidad de los preceptos que modifican el régimen de gestión de clases pasivas. Voto particular.</w:t>
      </w:r>
      <w:r>
        <w:tab/>
      </w:r>
      <w:r>
        <w:tab/>
      </w:r>
      <w:r>
        <w:fldChar w:fldCharType="begin"/>
      </w:r>
      <w:r>
        <w:instrText xml:space="preserve"> PAGEREF SENTENCIA_2021_111 \h </w:instrText>
      </w:r>
      <w:r>
        <w:fldChar w:fldCharType="separate"/>
      </w:r>
      <w:r w:rsidR="00D03E93">
        <w:rPr>
          <w:noProof/>
        </w:rPr>
        <w:t>2541</w:t>
      </w:r>
      <w:r>
        <w:fldChar w:fldCharType="end"/>
      </w:r>
    </w:p>
    <w:p w:rsidR="00253E9C" w:rsidRDefault="00253E9C" w:rsidP="00253E9C"/>
    <w:p w:rsidR="00253E9C" w:rsidRDefault="00253E9C" w:rsidP="00253E9C">
      <w:pPr>
        <w:pStyle w:val="EntradandiceSentencia"/>
      </w:pPr>
      <w:r>
        <w:t>Pleno. Sentencia 112/2021, de 13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5178-2020. </w:t>
      </w:r>
      <w:r w:rsidRPr="00253E9C">
        <w:rPr>
          <w:rStyle w:val="TextoNormalCursivaCaracter"/>
        </w:rPr>
        <w:t xml:space="preserve"> Competencias sobre condiciones básicas de igualdad, Derecho civil, ordenación general de la economía; principio de seguridad jurídica, derecho de propiedad y libertad de empresa: constitucionalidad de los preceptos legales autonómicos que limitan la explotación agrícola del suelo ubicado en el ámbito territorial de aplicación de la ley.</w:t>
      </w:r>
      <w:r>
        <w:tab/>
      </w:r>
      <w:r>
        <w:tab/>
      </w:r>
      <w:r>
        <w:fldChar w:fldCharType="begin"/>
      </w:r>
      <w:r>
        <w:instrText xml:space="preserve"> PAGEREF SENTENCIA_2021_112 \h </w:instrText>
      </w:r>
      <w:r>
        <w:fldChar w:fldCharType="separate"/>
      </w:r>
      <w:r w:rsidR="00D03E93">
        <w:rPr>
          <w:noProof/>
        </w:rPr>
        <w:t>2569</w:t>
      </w:r>
      <w:r>
        <w:fldChar w:fldCharType="end"/>
      </w:r>
    </w:p>
    <w:p w:rsidR="00253E9C" w:rsidRDefault="00253E9C" w:rsidP="00253E9C"/>
    <w:p w:rsidR="00253E9C" w:rsidRDefault="00253E9C" w:rsidP="00253E9C">
      <w:pPr>
        <w:pStyle w:val="EntradandiceSentencia"/>
      </w:pPr>
      <w:r>
        <w:t>Sala Segunda. Sentencia 113/2021, de 31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3533-2018. </w:t>
      </w:r>
      <w:r w:rsidRPr="00253E9C">
        <w:rPr>
          <w:rStyle w:val="TextoNormalCursivaCaracter"/>
        </w:rPr>
        <w:t xml:space="preserve"> Vulneración del derecho a la tutela judicial efectiva (motivación): resoluciones judiciales que ordenan el desalojo de la vivienda sin observar el deber de motivación reforzada al no ponderar la afectación a los menores y personas con discapacidad. Voto particular.</w:t>
      </w:r>
      <w:r>
        <w:tab/>
      </w:r>
      <w:r>
        <w:tab/>
      </w:r>
      <w:r>
        <w:fldChar w:fldCharType="begin"/>
      </w:r>
      <w:r>
        <w:instrText xml:space="preserve"> PAGEREF SENTENCIA_2021_113 \h </w:instrText>
      </w:r>
      <w:r>
        <w:fldChar w:fldCharType="separate"/>
      </w:r>
      <w:r w:rsidR="00D03E93">
        <w:rPr>
          <w:noProof/>
        </w:rPr>
        <w:t>2612</w:t>
      </w:r>
      <w:r>
        <w:fldChar w:fldCharType="end"/>
      </w:r>
    </w:p>
    <w:p w:rsidR="00253E9C" w:rsidRDefault="00253E9C" w:rsidP="00253E9C"/>
    <w:p w:rsidR="00253E9C" w:rsidRDefault="00253E9C" w:rsidP="00253E9C">
      <w:pPr>
        <w:pStyle w:val="EntradandiceSentencia"/>
      </w:pPr>
      <w:r>
        <w:t>Sala Segunda. Sentencia 114/2021, de 31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3820-2019. </w:t>
      </w:r>
      <w:r w:rsidRPr="00253E9C">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SENTENCIA_2021_114 \h </w:instrText>
      </w:r>
      <w:r>
        <w:fldChar w:fldCharType="separate"/>
      </w:r>
      <w:r w:rsidR="00D03E93">
        <w:rPr>
          <w:noProof/>
        </w:rPr>
        <w:t>2629</w:t>
      </w:r>
      <w:r>
        <w:fldChar w:fldCharType="end"/>
      </w:r>
    </w:p>
    <w:p w:rsidR="00253E9C" w:rsidRDefault="00253E9C" w:rsidP="00253E9C"/>
    <w:p w:rsidR="00253E9C" w:rsidRDefault="00253E9C" w:rsidP="00253E9C">
      <w:pPr>
        <w:pStyle w:val="EntradandiceSentencia"/>
      </w:pPr>
      <w:r>
        <w:t>Sala Segunda. Sentencia 115/2021, de 31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6089-2019.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SENTENCIA_2021_115 \h </w:instrText>
      </w:r>
      <w:r>
        <w:fldChar w:fldCharType="separate"/>
      </w:r>
      <w:r w:rsidR="00D03E93">
        <w:rPr>
          <w:noProof/>
        </w:rPr>
        <w:t>2636</w:t>
      </w:r>
      <w:r>
        <w:fldChar w:fldCharType="end"/>
      </w:r>
    </w:p>
    <w:p w:rsidR="00253E9C" w:rsidRDefault="00253E9C" w:rsidP="00253E9C"/>
    <w:p w:rsidR="00253E9C" w:rsidRDefault="00253E9C" w:rsidP="00253E9C">
      <w:pPr>
        <w:pStyle w:val="EntradandiceSentencia"/>
      </w:pPr>
      <w:r>
        <w:t>Sala Segunda. Sentencia 116/2021, de 31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1619-2020. </w:t>
      </w:r>
      <w:r w:rsidRPr="00253E9C">
        <w:rPr>
          <w:rStyle w:val="TextoNormalCursivaCaracter"/>
        </w:rPr>
        <w:t xml:space="preserve"> Supuesta vulneración del derecho a la tutela judicial sin indefensión: entidad mercantil que se desentiende de la suerte de un procedimiento de ejecución y de la convocatoria de una subasta de la que tenía fehaciente conocimiento.</w:t>
      </w:r>
      <w:r>
        <w:tab/>
      </w:r>
      <w:r>
        <w:tab/>
      </w:r>
      <w:r>
        <w:fldChar w:fldCharType="begin"/>
      </w:r>
      <w:r>
        <w:instrText xml:space="preserve"> PAGEREF SENTENCIA_2021_116 \h </w:instrText>
      </w:r>
      <w:r>
        <w:fldChar w:fldCharType="separate"/>
      </w:r>
      <w:r w:rsidR="00D03E93">
        <w:rPr>
          <w:noProof/>
        </w:rPr>
        <w:t>2645</w:t>
      </w:r>
      <w:r>
        <w:fldChar w:fldCharType="end"/>
      </w:r>
    </w:p>
    <w:p w:rsidR="00253E9C" w:rsidRDefault="00253E9C" w:rsidP="00253E9C"/>
    <w:p w:rsidR="00253E9C" w:rsidRDefault="00253E9C" w:rsidP="00253E9C">
      <w:pPr>
        <w:pStyle w:val="EntradandiceSentencia"/>
      </w:pPr>
      <w:r>
        <w:t>Sala Segunda. Sentencia 117/2021, de 31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1687-2020. </w:t>
      </w:r>
      <w:r w:rsidRPr="00253E9C">
        <w:rPr>
          <w:rStyle w:val="TextoNormalCursivaCaracter"/>
        </w:rPr>
        <w:t xml:space="preserve"> Vulneración del derecho a la tutela judicial sin indefensión: emplazamiento mediante edictos de la demandada sin agotar las posibilidades de notificación personal (STC 119/2020).</w:t>
      </w:r>
      <w:r>
        <w:tab/>
      </w:r>
      <w:r>
        <w:tab/>
      </w:r>
      <w:r>
        <w:fldChar w:fldCharType="begin"/>
      </w:r>
      <w:r>
        <w:instrText xml:space="preserve"> PAGEREF SENTENCIA_2021_117 \h </w:instrText>
      </w:r>
      <w:r>
        <w:fldChar w:fldCharType="separate"/>
      </w:r>
      <w:r w:rsidR="00D03E93">
        <w:rPr>
          <w:noProof/>
        </w:rPr>
        <w:t>2655</w:t>
      </w:r>
      <w:r>
        <w:fldChar w:fldCharType="end"/>
      </w:r>
    </w:p>
    <w:p w:rsidR="00253E9C" w:rsidRDefault="00253E9C" w:rsidP="00253E9C"/>
    <w:p w:rsidR="00253E9C" w:rsidRDefault="00253E9C" w:rsidP="00253E9C">
      <w:pPr>
        <w:pStyle w:val="EntradandiceSentencia"/>
      </w:pPr>
      <w:r>
        <w:t>Sala Primera. Sentencia 118/2021, de 31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2726-2020. </w:t>
      </w:r>
      <w:r w:rsidRPr="00253E9C">
        <w:rPr>
          <w:rStyle w:val="TextoNormalCursivaCaracter"/>
        </w:rPr>
        <w:t xml:space="preserve"> Vulneración del derecho a la tutela judicial sin indefensión: emplazamiento mediante edictos de la demandada sin agotar las posibilidades de notificación personal (STC 122/2013).</w:t>
      </w:r>
      <w:r>
        <w:tab/>
      </w:r>
      <w:r>
        <w:tab/>
      </w:r>
      <w:r>
        <w:fldChar w:fldCharType="begin"/>
      </w:r>
      <w:r>
        <w:instrText xml:space="preserve"> PAGEREF SENTENCIA_2021_118 \h </w:instrText>
      </w:r>
      <w:r>
        <w:fldChar w:fldCharType="separate"/>
      </w:r>
      <w:r w:rsidR="00D03E93">
        <w:rPr>
          <w:noProof/>
        </w:rPr>
        <w:t>2666</w:t>
      </w:r>
      <w:r>
        <w:fldChar w:fldCharType="end"/>
      </w:r>
    </w:p>
    <w:p w:rsidR="00253E9C" w:rsidRDefault="00253E9C" w:rsidP="00253E9C"/>
    <w:p w:rsidR="00253E9C" w:rsidRDefault="00253E9C" w:rsidP="00253E9C">
      <w:pPr>
        <w:pStyle w:val="EntradandiceSentencia"/>
      </w:pPr>
      <w:r>
        <w:t>Sala Primera. Sentencia 119/2021, de 31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3199-2020. </w:t>
      </w:r>
      <w:r w:rsidRPr="00253E9C">
        <w:rPr>
          <w:rStyle w:val="TextoNormalCursivaCaracter"/>
        </w:rPr>
        <w:t xml:space="preserve"> Vulneración del derecho a no padecer discriminación por razón de sexo: resolución judicial que no pondera las circunstancias personales de quien impugna una modificación de jornada de trabajo que incide sobre el disfrute de la reducción que tiene reconocida por cuidado de hijos.</w:t>
      </w:r>
      <w:r>
        <w:tab/>
      </w:r>
      <w:r>
        <w:tab/>
      </w:r>
      <w:r>
        <w:fldChar w:fldCharType="begin"/>
      </w:r>
      <w:r>
        <w:instrText xml:space="preserve"> PAGEREF SENTENCIA_2021_119 \h </w:instrText>
      </w:r>
      <w:r>
        <w:fldChar w:fldCharType="separate"/>
      </w:r>
      <w:r w:rsidR="00D03E93">
        <w:rPr>
          <w:noProof/>
        </w:rPr>
        <w:t>2674</w:t>
      </w:r>
      <w:r>
        <w:fldChar w:fldCharType="end"/>
      </w:r>
    </w:p>
    <w:p w:rsidR="00253E9C" w:rsidRDefault="00253E9C" w:rsidP="00253E9C"/>
    <w:p w:rsidR="00253E9C" w:rsidRDefault="00253E9C" w:rsidP="00253E9C">
      <w:pPr>
        <w:pStyle w:val="EntradandiceSentencia"/>
      </w:pPr>
      <w:r>
        <w:lastRenderedPageBreak/>
        <w:t>Sala Segunda. Sentencia 120/2021, de 31 de mayo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3368-2020. </w:t>
      </w:r>
      <w:r w:rsidRPr="00253E9C">
        <w:rPr>
          <w:rStyle w:val="TextoNormalCursivaCaracter"/>
        </w:rPr>
        <w:t xml:space="preserve"> Supuesta vulneración de los derechos a la tutela judicial efectiva (resolución jurídicamente fundada) y a un proceso con todas las garantías: inexistencia del privilegio de inmunidad absoluta de jurisdicción.</w:t>
      </w:r>
      <w:r>
        <w:tab/>
      </w:r>
      <w:r>
        <w:tab/>
      </w:r>
      <w:r>
        <w:fldChar w:fldCharType="begin"/>
      </w:r>
      <w:r>
        <w:instrText xml:space="preserve"> PAGEREF SENTENCIA_2021_120 \h </w:instrText>
      </w:r>
      <w:r>
        <w:fldChar w:fldCharType="separate"/>
      </w:r>
      <w:r w:rsidR="00D03E93">
        <w:rPr>
          <w:noProof/>
        </w:rPr>
        <w:t>2692</w:t>
      </w:r>
      <w:r>
        <w:fldChar w:fldCharType="end"/>
      </w:r>
    </w:p>
    <w:p w:rsidR="00253E9C" w:rsidRDefault="00253E9C" w:rsidP="00253E9C"/>
    <w:p w:rsidR="00253E9C" w:rsidRDefault="00253E9C" w:rsidP="00253E9C">
      <w:pPr>
        <w:pStyle w:val="EntradandiceSentencia"/>
      </w:pPr>
      <w:r>
        <w:t>Pleno. Sentencia 121/2021, de 2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1406-2020. </w:t>
      </w:r>
      <w:r w:rsidRPr="00253E9C">
        <w:rPr>
          <w:rStyle w:val="TextoNormalCursivaCaracter"/>
        </w:rPr>
        <w:t xml:space="preserve"> Supuesta vulneración de los derechos a la tutela judicial efectiva, al juez imparcial y ordinario predeterminado por la ley, de defensa, a no padecer discriminación por razón de la lengua, a un proceso con todas las garantías, de presunción de inocencia y a la legalidad penal: sentencia dictada en causa especial en cuya tramitación se observaron las garantías procesales y en la que se impuso una pena que no puede considerarse desproporcionada o que desaliente el ejercicio de otros derechos fundamentales. Voto particular.</w:t>
      </w:r>
      <w:r>
        <w:tab/>
      </w:r>
      <w:r>
        <w:tab/>
      </w:r>
      <w:r>
        <w:fldChar w:fldCharType="begin"/>
      </w:r>
      <w:r>
        <w:instrText xml:space="preserve"> PAGEREF SENTENCIA_2021_121 \h </w:instrText>
      </w:r>
      <w:r>
        <w:fldChar w:fldCharType="separate"/>
      </w:r>
      <w:r w:rsidR="00D03E93">
        <w:rPr>
          <w:noProof/>
        </w:rPr>
        <w:t>2711</w:t>
      </w:r>
      <w:r>
        <w:fldChar w:fldCharType="end"/>
      </w:r>
    </w:p>
    <w:p w:rsidR="00253E9C" w:rsidRDefault="00253E9C" w:rsidP="00253E9C"/>
    <w:p w:rsidR="00253E9C" w:rsidRDefault="00253E9C" w:rsidP="00253E9C">
      <w:pPr>
        <w:pStyle w:val="EntradandiceSentencia"/>
      </w:pPr>
      <w:r>
        <w:t>Pleno. Sentencia 122/2021, de 2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1474-2020. </w:t>
      </w:r>
      <w:r w:rsidRPr="00253E9C">
        <w:rPr>
          <w:rStyle w:val="TextoNormalCursivaCaracter"/>
        </w:rPr>
        <w:t xml:space="preserve"> Supuesta vulneración de los derechos a la tutela judicial efectiva, al juez imparcial y ordinario predeterminado por la ley, de reunión y a la legalidad penal: sentencia dictada en causa especial en cuya tramitación se observaron las garantías procesales y en la que se impuso una pena que no puede considerarse desproporcionada o que desaliente el ejercicio de otros derechos fundamentales. Voto particular.</w:t>
      </w:r>
      <w:r>
        <w:tab/>
      </w:r>
      <w:r>
        <w:tab/>
      </w:r>
      <w:r>
        <w:fldChar w:fldCharType="begin"/>
      </w:r>
      <w:r>
        <w:instrText xml:space="preserve"> PAGEREF SENTENCIA_2021_122 \h </w:instrText>
      </w:r>
      <w:r>
        <w:fldChar w:fldCharType="separate"/>
      </w:r>
      <w:r w:rsidR="00D03E93">
        <w:rPr>
          <w:noProof/>
        </w:rPr>
        <w:t>2986</w:t>
      </w:r>
      <w:r>
        <w:fldChar w:fldCharType="end"/>
      </w:r>
    </w:p>
    <w:p w:rsidR="00253E9C" w:rsidRDefault="00253E9C" w:rsidP="00253E9C"/>
    <w:p w:rsidR="00253E9C" w:rsidRDefault="00253E9C" w:rsidP="00253E9C">
      <w:pPr>
        <w:pStyle w:val="EntradandiceSentencia"/>
      </w:pPr>
      <w:r>
        <w:t>Pleno. Sentencia 123/2021, de 3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Cuestión de inconstitucionalidad 1514-2020. </w:t>
      </w:r>
      <w:r w:rsidRPr="00253E9C">
        <w:rPr>
          <w:rStyle w:val="TextoNormalCursivaCaracter"/>
        </w:rPr>
        <w:t xml:space="preserve"> Competencias en materia de protección ambiental: constitucionalidad del precepto legal autonómico que exceptúa de evaluación ambiental estratégica los estudios de detalle.</w:t>
      </w:r>
      <w:r>
        <w:tab/>
      </w:r>
      <w:r>
        <w:tab/>
      </w:r>
      <w:r>
        <w:fldChar w:fldCharType="begin"/>
      </w:r>
      <w:r>
        <w:instrText xml:space="preserve"> PAGEREF SENTENCIA_2021_123 \h </w:instrText>
      </w:r>
      <w:r>
        <w:fldChar w:fldCharType="separate"/>
      </w:r>
      <w:r w:rsidR="00D03E93">
        <w:rPr>
          <w:noProof/>
        </w:rPr>
        <w:t>3230</w:t>
      </w:r>
      <w:r>
        <w:fldChar w:fldCharType="end"/>
      </w:r>
    </w:p>
    <w:p w:rsidR="00253E9C" w:rsidRDefault="00253E9C" w:rsidP="00253E9C"/>
    <w:p w:rsidR="00253E9C" w:rsidRDefault="00253E9C" w:rsidP="00253E9C">
      <w:pPr>
        <w:pStyle w:val="EntradandiceSentencia"/>
      </w:pPr>
      <w:r>
        <w:t>Pleno. Sentencia 124/2021, de 3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2035-2020. </w:t>
      </w:r>
      <w:r w:rsidRPr="00253E9C">
        <w:rPr>
          <w:rStyle w:val="TextoNormalCursivaCaracter"/>
        </w:rPr>
        <w:t xml:space="preserve"> Límites materiales de los decretos leyes: extinción del proceso cuyo objeto ha sido anulado por la sentencia 110/2021, de 13 de mayo. Voto particular.</w:t>
      </w:r>
      <w:r>
        <w:tab/>
      </w:r>
      <w:r>
        <w:tab/>
      </w:r>
      <w:r>
        <w:fldChar w:fldCharType="begin"/>
      </w:r>
      <w:r>
        <w:instrText xml:space="preserve"> PAGEREF SENTENCIA_2021_124 \h </w:instrText>
      </w:r>
      <w:r>
        <w:fldChar w:fldCharType="separate"/>
      </w:r>
      <w:r w:rsidR="00D03E93">
        <w:rPr>
          <w:noProof/>
        </w:rPr>
        <w:t>3261</w:t>
      </w:r>
      <w:r>
        <w:fldChar w:fldCharType="end"/>
      </w:r>
    </w:p>
    <w:p w:rsidR="00253E9C" w:rsidRDefault="00253E9C" w:rsidP="00253E9C"/>
    <w:p w:rsidR="00253E9C" w:rsidRDefault="00253E9C" w:rsidP="00253E9C">
      <w:pPr>
        <w:pStyle w:val="EntradandiceSentencia"/>
      </w:pPr>
      <w:r>
        <w:lastRenderedPageBreak/>
        <w:t>Pleno. Sentencia 125/2021, de 3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4192-2020. </w:t>
      </w:r>
      <w:r w:rsidRPr="00253E9C">
        <w:rPr>
          <w:rStyle w:val="TextoNormalCursivaCaracter"/>
        </w:rPr>
        <w:t xml:space="preserve"> Límites de la potestad tributaria de las comunidades autónomas: constitucionalidad de la regulación del impuesto sobre estancias en establecimientos turísticos.</w:t>
      </w:r>
      <w:r>
        <w:tab/>
      </w:r>
      <w:r>
        <w:tab/>
      </w:r>
      <w:r>
        <w:fldChar w:fldCharType="begin"/>
      </w:r>
      <w:r>
        <w:instrText xml:space="preserve"> PAGEREF SENTENCIA_2021_125 \h </w:instrText>
      </w:r>
      <w:r>
        <w:fldChar w:fldCharType="separate"/>
      </w:r>
      <w:r w:rsidR="00D03E93">
        <w:rPr>
          <w:noProof/>
        </w:rPr>
        <w:t>3274</w:t>
      </w:r>
      <w:r>
        <w:fldChar w:fldCharType="end"/>
      </w:r>
    </w:p>
    <w:p w:rsidR="00253E9C" w:rsidRDefault="00253E9C" w:rsidP="00253E9C"/>
    <w:p w:rsidR="00253E9C" w:rsidRDefault="00253E9C" w:rsidP="00253E9C">
      <w:pPr>
        <w:pStyle w:val="EntradandiceSentencia"/>
      </w:pPr>
      <w:r>
        <w:t>Pleno. Sentencia 126/2021, de 3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Cuestión de inconstitucionalidad 5246-2020. </w:t>
      </w:r>
      <w:r w:rsidRPr="00253E9C">
        <w:rPr>
          <w:rStyle w:val="TextoNormalCursivaCaracter"/>
        </w:rPr>
        <w:t xml:space="preserve"> Principio de legalidad penal (taxatividad) en relación con el derecho a la participación política: interpretación conforme del precepto legal que prevé la imposición de la pena de inhabilitación especial para el derecho de sufragio pasivo.</w:t>
      </w:r>
      <w:r>
        <w:tab/>
      </w:r>
      <w:r>
        <w:tab/>
      </w:r>
      <w:r>
        <w:fldChar w:fldCharType="begin"/>
      </w:r>
      <w:r>
        <w:instrText xml:space="preserve"> PAGEREF SENTENCIA_2021_126 \h </w:instrText>
      </w:r>
      <w:r>
        <w:fldChar w:fldCharType="separate"/>
      </w:r>
      <w:r w:rsidR="00D03E93">
        <w:rPr>
          <w:noProof/>
        </w:rPr>
        <w:t>3310</w:t>
      </w:r>
      <w:r>
        <w:fldChar w:fldCharType="end"/>
      </w:r>
    </w:p>
    <w:p w:rsidR="00253E9C" w:rsidRDefault="00253E9C" w:rsidP="00253E9C"/>
    <w:p w:rsidR="00253E9C" w:rsidRDefault="00253E9C" w:rsidP="00253E9C">
      <w:pPr>
        <w:pStyle w:val="EntradandiceSentencia"/>
      </w:pPr>
      <w:r>
        <w:t>Sala Primera. Sentencia 127/2021, de 21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4163-2019. </w:t>
      </w:r>
      <w:r w:rsidRPr="00253E9C">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SENTENCIA_2021_127 \h </w:instrText>
      </w:r>
      <w:r>
        <w:fldChar w:fldCharType="separate"/>
      </w:r>
      <w:r w:rsidR="00D03E93">
        <w:rPr>
          <w:noProof/>
        </w:rPr>
        <w:t>3335</w:t>
      </w:r>
      <w:r>
        <w:fldChar w:fldCharType="end"/>
      </w:r>
    </w:p>
    <w:p w:rsidR="00253E9C" w:rsidRDefault="00253E9C" w:rsidP="00253E9C"/>
    <w:p w:rsidR="00253E9C" w:rsidRDefault="00253E9C" w:rsidP="00253E9C">
      <w:pPr>
        <w:pStyle w:val="EntradandiceSentencia"/>
      </w:pPr>
      <w:r>
        <w:t>Sala Primera. Sentencia 128/2021, de 21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7161-2019. </w:t>
      </w:r>
      <w:r w:rsidRPr="00253E9C">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SENTENCIA_2021_128 \h </w:instrText>
      </w:r>
      <w:r>
        <w:fldChar w:fldCharType="separate"/>
      </w:r>
      <w:r w:rsidR="00D03E93">
        <w:rPr>
          <w:noProof/>
        </w:rPr>
        <w:t>3341</w:t>
      </w:r>
      <w:r>
        <w:fldChar w:fldCharType="end"/>
      </w:r>
    </w:p>
    <w:p w:rsidR="00253E9C" w:rsidRDefault="00253E9C" w:rsidP="00253E9C"/>
    <w:p w:rsidR="00253E9C" w:rsidRDefault="00253E9C" w:rsidP="00253E9C">
      <w:pPr>
        <w:pStyle w:val="EntradandiceSentencia"/>
      </w:pPr>
      <w:r>
        <w:t>Sala Primera. Sentencia 129/2021, de 21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7583-2019. </w:t>
      </w:r>
      <w:r w:rsidRPr="00253E9C">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SENTENCIA_2021_129 \h </w:instrText>
      </w:r>
      <w:r>
        <w:fldChar w:fldCharType="separate"/>
      </w:r>
      <w:r w:rsidR="00D03E93">
        <w:rPr>
          <w:noProof/>
        </w:rPr>
        <w:t>3347</w:t>
      </w:r>
      <w:r>
        <w:fldChar w:fldCharType="end"/>
      </w:r>
    </w:p>
    <w:p w:rsidR="00253E9C" w:rsidRDefault="00253E9C" w:rsidP="00253E9C"/>
    <w:p w:rsidR="00253E9C" w:rsidRDefault="00253E9C" w:rsidP="00253E9C">
      <w:pPr>
        <w:pStyle w:val="EntradandiceSentencia"/>
      </w:pPr>
      <w:r>
        <w:lastRenderedPageBreak/>
        <w:t>Sala Primera. Sentencia 130/2021, de 21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872-2020. </w:t>
      </w:r>
      <w:r w:rsidRPr="00253E9C">
        <w:rPr>
          <w:rStyle w:val="TextoNormalCursivaCaracter"/>
        </w:rPr>
        <w:t xml:space="preserve"> Supuesta vulneración de los derechos a la tutela judicial efectiva y a libertad sindical en relación con el derecho de huelga: calificación de huelga abusiva resultante de la negativa de los cinco comités de huelga actuantes a constituir una comisión negociadora con composición ajustada a la normativa reguladora.</w:t>
      </w:r>
      <w:r>
        <w:tab/>
      </w:r>
      <w:r>
        <w:tab/>
      </w:r>
      <w:r>
        <w:fldChar w:fldCharType="begin"/>
      </w:r>
      <w:r>
        <w:instrText xml:space="preserve"> PAGEREF SENTENCIA_2021_130 \h </w:instrText>
      </w:r>
      <w:r>
        <w:fldChar w:fldCharType="separate"/>
      </w:r>
      <w:r w:rsidR="00D03E93">
        <w:rPr>
          <w:noProof/>
        </w:rPr>
        <w:t>3352</w:t>
      </w:r>
      <w:r>
        <w:fldChar w:fldCharType="end"/>
      </w:r>
    </w:p>
    <w:p w:rsidR="00253E9C" w:rsidRDefault="00253E9C" w:rsidP="00253E9C"/>
    <w:p w:rsidR="00253E9C" w:rsidRDefault="00253E9C" w:rsidP="00253E9C">
      <w:pPr>
        <w:pStyle w:val="EntradandiceSentencia"/>
      </w:pPr>
      <w:r>
        <w:t>Sala Primera. Sentencia 131/2021, de 21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1921-2020. </w:t>
      </w:r>
      <w:r w:rsidRPr="00253E9C">
        <w:rPr>
          <w:rStyle w:val="TextoNormalCursivaCaracter"/>
        </w:rPr>
        <w:t xml:space="preserve"> Supuesta vulneración del derecho a la tutela judicial efectiva: pretendida vertiente negativa del derecho de acceso al proceso del poseedor con título inscrito llamado a la ejecución.</w:t>
      </w:r>
      <w:r>
        <w:tab/>
      </w:r>
      <w:r>
        <w:tab/>
      </w:r>
      <w:r>
        <w:fldChar w:fldCharType="begin"/>
      </w:r>
      <w:r>
        <w:instrText xml:space="preserve"> PAGEREF SENTENCIA_2021_131 \h </w:instrText>
      </w:r>
      <w:r>
        <w:fldChar w:fldCharType="separate"/>
      </w:r>
      <w:r w:rsidR="00D03E93">
        <w:rPr>
          <w:noProof/>
        </w:rPr>
        <w:t>3380</w:t>
      </w:r>
      <w:r>
        <w:fldChar w:fldCharType="end"/>
      </w:r>
    </w:p>
    <w:p w:rsidR="00253E9C" w:rsidRDefault="00253E9C" w:rsidP="00253E9C"/>
    <w:p w:rsidR="00253E9C" w:rsidRDefault="00253E9C" w:rsidP="00253E9C">
      <w:pPr>
        <w:pStyle w:val="EntradandiceSentencia"/>
      </w:pPr>
      <w:r>
        <w:t>Sala Primera. Sentencia 132/2021, de 21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4265-2020. </w:t>
      </w:r>
      <w:r w:rsidRPr="00253E9C">
        <w:rPr>
          <w:rStyle w:val="TextoNormalCursivaCaracter"/>
        </w:rPr>
        <w:t xml:space="preserve"> Vulneración de los derechos a la tutela judicial efectiva (reformatio in peius) y a un proceso con todas las garantías: sentencia que agrava la condena impuesta fundándose en la existencia de un error, padecido en la primera instancia, en la aplicación de la ley y sin que mediara petición al respecto de las partes acusadoras.</w:t>
      </w:r>
      <w:r>
        <w:tab/>
      </w:r>
      <w:r>
        <w:tab/>
      </w:r>
      <w:r>
        <w:fldChar w:fldCharType="begin"/>
      </w:r>
      <w:r>
        <w:instrText xml:space="preserve"> PAGEREF SENTENCIA_2021_132 \h </w:instrText>
      </w:r>
      <w:r>
        <w:fldChar w:fldCharType="separate"/>
      </w:r>
      <w:r w:rsidR="00D03E93">
        <w:rPr>
          <w:noProof/>
        </w:rPr>
        <w:t>3390</w:t>
      </w:r>
      <w:r>
        <w:fldChar w:fldCharType="end"/>
      </w:r>
    </w:p>
    <w:p w:rsidR="00253E9C" w:rsidRDefault="00253E9C" w:rsidP="00253E9C"/>
    <w:p w:rsidR="00253E9C" w:rsidRDefault="00253E9C" w:rsidP="00253E9C">
      <w:pPr>
        <w:pStyle w:val="EntradandiceSentencia"/>
      </w:pPr>
      <w:r>
        <w:t>Pleno. Sentencia 133/2021, de 24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Recursos de amparo 4037-2015, 4098-2015 (acumulados). </w:t>
      </w:r>
      <w:r w:rsidRPr="00253E9C">
        <w:rPr>
          <w:rStyle w:val="TextoNormalCursivaCaracter"/>
        </w:rPr>
        <w:t xml:space="preserve"> Supuesta vulneración de los derechos a la libertad de expresión, de reunión y manifestación, de participación política, a la tutela judicial efectiva, a un proceso con todas las garantías y a la legalidad penal: concentración frente a la sede del Parlamento de Cataluña con la que se trataba de impedir el debate y aprobación de los presupuestos de la Generalitat. Votos particulares.</w:t>
      </w:r>
      <w:r>
        <w:tab/>
      </w:r>
      <w:r>
        <w:tab/>
      </w:r>
      <w:r>
        <w:fldChar w:fldCharType="begin"/>
      </w:r>
      <w:r>
        <w:instrText xml:space="preserve"> PAGEREF SENTENCIA_2021_133 \h </w:instrText>
      </w:r>
      <w:r>
        <w:fldChar w:fldCharType="separate"/>
      </w:r>
      <w:r w:rsidR="00D03E93">
        <w:rPr>
          <w:noProof/>
        </w:rPr>
        <w:t>3405</w:t>
      </w:r>
      <w:r>
        <w:fldChar w:fldCharType="end"/>
      </w:r>
    </w:p>
    <w:p w:rsidR="00253E9C" w:rsidRDefault="00253E9C" w:rsidP="00253E9C"/>
    <w:p w:rsidR="00253E9C" w:rsidRDefault="00253E9C" w:rsidP="00253E9C">
      <w:pPr>
        <w:pStyle w:val="EntradandiceSentencia"/>
      </w:pPr>
      <w:r>
        <w:t>Pleno. Sentencia 134/2021, de 24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3883-2018. </w:t>
      </w:r>
      <w:r w:rsidRPr="00253E9C">
        <w:rPr>
          <w:rStyle w:val="TextoNormalCursivaCaracter"/>
        </w:rPr>
        <w:t xml:space="preserve"> Límites materiales de los decretos leyes: nulidad de los preceptos legales que detallan o precisan aspectos de la regulación preexistente y que permiten la sustitución del Senado por el Congreso en la elección de los miembros del consejo de administración de la Corporación de Radio y Televisión Española. Votos particulares.</w:t>
      </w:r>
      <w:r>
        <w:tab/>
      </w:r>
      <w:r>
        <w:tab/>
      </w:r>
      <w:r>
        <w:fldChar w:fldCharType="begin"/>
      </w:r>
      <w:r>
        <w:instrText xml:space="preserve"> PAGEREF SENTENCIA_2021_134 \h </w:instrText>
      </w:r>
      <w:r>
        <w:fldChar w:fldCharType="separate"/>
      </w:r>
      <w:r w:rsidR="00D03E93">
        <w:rPr>
          <w:noProof/>
        </w:rPr>
        <w:t>3490</w:t>
      </w:r>
      <w:r>
        <w:fldChar w:fldCharType="end"/>
      </w:r>
    </w:p>
    <w:p w:rsidR="00253E9C" w:rsidRDefault="00253E9C" w:rsidP="00253E9C"/>
    <w:p w:rsidR="00253E9C" w:rsidRDefault="00253E9C" w:rsidP="00253E9C">
      <w:pPr>
        <w:pStyle w:val="EntradandiceSentencia"/>
      </w:pPr>
      <w:r>
        <w:lastRenderedPageBreak/>
        <w:t>Pleno. Sentencia 135/2021, de 24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inconstitucionalidad 4090-2019. </w:t>
      </w:r>
      <w:r w:rsidRPr="00253E9C">
        <w:rPr>
          <w:rStyle w:val="TextoNormalCursivaCaracter"/>
        </w:rPr>
        <w:t xml:space="preserve"> Principio de reserva de jurisdicción; derecho a la tutela judicial efectiva e intangibilidad de las sentencias, derechos al honor, intimidad y propia imagen, a la protección de datos y a la presunción de inocencia; garantías del proceso penal: STC 108/2021 [interpretación conforme con la Constitución de los preceptos legales que establecen el deber de colaboración de los poderes públicos navarros en la realización del “derecho a la verdad” y definen las funciones que puede desempeñar la Comisión de Reconocimiento y Reparación en la averiguación, documentación y acreditación de hechos (STC 83/2020)]. Voto particular.</w:t>
      </w:r>
      <w:r>
        <w:tab/>
      </w:r>
      <w:r>
        <w:tab/>
      </w:r>
      <w:r>
        <w:fldChar w:fldCharType="begin"/>
      </w:r>
      <w:r>
        <w:instrText xml:space="preserve"> PAGEREF SENTENCIA_2021_135 \h </w:instrText>
      </w:r>
      <w:r>
        <w:fldChar w:fldCharType="separate"/>
      </w:r>
      <w:r w:rsidR="00D03E93">
        <w:rPr>
          <w:noProof/>
        </w:rPr>
        <w:t>3528</w:t>
      </w:r>
      <w:r>
        <w:fldChar w:fldCharType="end"/>
      </w:r>
    </w:p>
    <w:p w:rsidR="00253E9C" w:rsidRDefault="00253E9C" w:rsidP="00253E9C"/>
    <w:p w:rsidR="00253E9C" w:rsidRDefault="00253E9C" w:rsidP="00253E9C">
      <w:pPr>
        <w:pStyle w:val="EntradandiceSentencia"/>
      </w:pPr>
      <w:r>
        <w:t>Sala Segunda. Sentencia 136/2021, de 29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2606-2018. </w:t>
      </w:r>
      <w:r w:rsidRPr="00253E9C">
        <w:rPr>
          <w:rStyle w:val="TextoNormalCursivaCaracter"/>
        </w:rPr>
        <w:t xml:space="preserve"> Vulneración del derecho a la tutela judicial efectiva (acceso a la jurisdicción): resolución que, aplicando el precepto legal anulado por la STC 151/2020, de 22 de octubre, impide la revisión judicial del decreto del letrado de la administración de justicia.</w:t>
      </w:r>
      <w:r>
        <w:tab/>
      </w:r>
      <w:r>
        <w:tab/>
      </w:r>
      <w:r>
        <w:fldChar w:fldCharType="begin"/>
      </w:r>
      <w:r>
        <w:instrText xml:space="preserve"> PAGEREF SENTENCIA_2021_136 \h </w:instrText>
      </w:r>
      <w:r>
        <w:fldChar w:fldCharType="separate"/>
      </w:r>
      <w:r w:rsidR="00D03E93">
        <w:rPr>
          <w:noProof/>
        </w:rPr>
        <w:t>3544</w:t>
      </w:r>
      <w:r>
        <w:fldChar w:fldCharType="end"/>
      </w:r>
    </w:p>
    <w:p w:rsidR="00253E9C" w:rsidRDefault="00253E9C" w:rsidP="00253E9C"/>
    <w:p w:rsidR="00253E9C" w:rsidRDefault="00253E9C" w:rsidP="00253E9C">
      <w:pPr>
        <w:pStyle w:val="EntradandiceSentencia"/>
      </w:pPr>
      <w:r>
        <w:t>Sala Segunda. Sentencia 137/2021, de 29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202-2019. </w:t>
      </w:r>
      <w:r w:rsidRPr="00253E9C">
        <w:rPr>
          <w:rStyle w:val="TextoNormalCursivaCaracter"/>
        </w:rPr>
        <w:t xml:space="preserve"> Supuesta vulneración de los derechos al ejercicio del cargo representativo y a la participación política: denegación del uso de una sala del Congreso para la celebración de un encuentro interparlamentario de apoyo al Sáhara occidental.</w:t>
      </w:r>
      <w:r>
        <w:tab/>
      </w:r>
      <w:r>
        <w:tab/>
      </w:r>
      <w:r>
        <w:fldChar w:fldCharType="begin"/>
      </w:r>
      <w:r>
        <w:instrText xml:space="preserve"> PAGEREF SENTENCIA_2021_137 \h </w:instrText>
      </w:r>
      <w:r>
        <w:fldChar w:fldCharType="separate"/>
      </w:r>
      <w:r w:rsidR="00D03E93">
        <w:rPr>
          <w:noProof/>
        </w:rPr>
        <w:t>3548</w:t>
      </w:r>
      <w:r>
        <w:fldChar w:fldCharType="end"/>
      </w:r>
    </w:p>
    <w:p w:rsidR="00253E9C" w:rsidRDefault="00253E9C" w:rsidP="00253E9C"/>
    <w:p w:rsidR="00253E9C" w:rsidRDefault="00253E9C" w:rsidP="00253E9C">
      <w:pPr>
        <w:pStyle w:val="EntradandiceSentencia"/>
      </w:pPr>
      <w:r>
        <w:t>Sala Segunda. Sentencia 138/2021, de 29 de junio de 2021</w:t>
      </w:r>
    </w:p>
    <w:p w:rsidR="00253E9C" w:rsidRDefault="00253E9C" w:rsidP="00253E9C">
      <w:pPr>
        <w:pStyle w:val="EntradandiceSentencia"/>
      </w:pPr>
    </w:p>
    <w:p w:rsidR="00253E9C" w:rsidRDefault="00253E9C" w:rsidP="00253E9C">
      <w:pPr>
        <w:pStyle w:val="EntradaSumario"/>
      </w:pPr>
      <w:r w:rsidRPr="00253E9C">
        <w:rPr>
          <w:rStyle w:val="TextoNormalCaracter"/>
        </w:rPr>
        <w:t xml:space="preserve">Recurso de amparo 6915-2019. </w:t>
      </w:r>
      <w:r w:rsidRPr="00253E9C">
        <w:rPr>
          <w:rStyle w:val="TextoNormalCursivaCaracter"/>
        </w:rPr>
        <w:t xml:space="preserve"> Vulneración del derecho a la igualdad en relación con el derecho a la creación de centros docentes: nulidad de los preceptos reglamentarios que limitan el disfrute de becas a los alumnos matriculados en universidades públicas integrantes del sistema universitario valenciano (STC 191/2020). Voto particular.</w:t>
      </w:r>
      <w:r>
        <w:tab/>
      </w:r>
      <w:r>
        <w:tab/>
      </w:r>
      <w:r>
        <w:fldChar w:fldCharType="begin"/>
      </w:r>
      <w:r>
        <w:instrText xml:space="preserve"> PAGEREF SENTENCIA_2021_138 \h </w:instrText>
      </w:r>
      <w:r>
        <w:fldChar w:fldCharType="separate"/>
      </w:r>
      <w:r w:rsidR="00D03E93">
        <w:rPr>
          <w:noProof/>
        </w:rPr>
        <w:t>3568</w:t>
      </w:r>
      <w:r>
        <w:fldChar w:fldCharType="end"/>
      </w:r>
    </w:p>
    <w:p w:rsidR="00253E9C" w:rsidRDefault="00253E9C">
      <w:pPr>
        <w:spacing w:after="0" w:line="360" w:lineRule="auto"/>
        <w:ind w:firstLine="851"/>
        <w:jc w:val="both"/>
      </w:pPr>
      <w:r>
        <w:br w:type="page"/>
      </w:r>
    </w:p>
    <w:p w:rsidR="00253E9C" w:rsidRDefault="00253E9C" w:rsidP="00253E9C"/>
    <w:p w:rsidR="00253E9C" w:rsidRDefault="00253E9C" w:rsidP="00253E9C"/>
    <w:p w:rsidR="00253E9C" w:rsidRDefault="00253E9C" w:rsidP="00253E9C"/>
    <w:p w:rsidR="00253E9C" w:rsidRDefault="00253E9C" w:rsidP="00253E9C">
      <w:pPr>
        <w:pStyle w:val="Ttulondice"/>
      </w:pPr>
      <w:bookmarkStart w:id="3" w:name="SUMARIOSAUTOS"/>
      <w:r>
        <w:t>2. AUTOS: ATC 1/2021 A ATC 70/2021</w:t>
      </w:r>
    </w:p>
    <w:bookmarkEnd w:id="3"/>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Ttulondice"/>
      </w:pPr>
    </w:p>
    <w:p w:rsidR="00253E9C" w:rsidRDefault="00253E9C" w:rsidP="00253E9C">
      <w:pPr>
        <w:pStyle w:val="EntradandiceAuto"/>
      </w:pPr>
      <w:r>
        <w:t>Sala Segunda. Auto 1/2021, de 25 de enero de 2021. Deniega la suspensión y ordena la anotación preventiva de la demanda en el recurso de amparo 7502-2019, promovido por Penrei Inversiones, S.L., en pleito civil.</w:t>
      </w:r>
      <w:r>
        <w:tab/>
      </w:r>
      <w:r>
        <w:tab/>
      </w:r>
      <w:r>
        <w:fldChar w:fldCharType="begin"/>
      </w:r>
      <w:r>
        <w:instrText xml:space="preserve"> PAGEREF AUTO_2021_1 \h </w:instrText>
      </w:r>
      <w:r>
        <w:fldChar w:fldCharType="separate"/>
      </w:r>
      <w:r w:rsidR="00D03E93">
        <w:rPr>
          <w:noProof/>
        </w:rPr>
        <w:t>3594</w:t>
      </w:r>
      <w:r>
        <w:fldChar w:fldCharType="end"/>
      </w:r>
    </w:p>
    <w:p w:rsidR="005728DD" w:rsidRDefault="005728DD" w:rsidP="00253E9C"/>
    <w:p w:rsidR="00253E9C" w:rsidRDefault="00253E9C" w:rsidP="00253E9C">
      <w:pPr>
        <w:pStyle w:val="EntradandiceAuto"/>
      </w:pPr>
      <w:r>
        <w:t>Sala Segunda. Auto 2/2021, de 25 de enero de 2021. Deniega la suspensión y ordena la anotación preventiva de la demanda en el recurso de amparo 7512-2019, promovido por Euroinversiones Inmobiliarias Costa Sur, S.L., en pleito civil.</w:t>
      </w:r>
      <w:r>
        <w:tab/>
      </w:r>
      <w:r>
        <w:tab/>
      </w:r>
      <w:r>
        <w:fldChar w:fldCharType="begin"/>
      </w:r>
      <w:r>
        <w:instrText xml:space="preserve"> PAGEREF AUTO_2021_2 \h </w:instrText>
      </w:r>
      <w:r>
        <w:fldChar w:fldCharType="separate"/>
      </w:r>
      <w:r w:rsidR="00D03E93">
        <w:rPr>
          <w:noProof/>
        </w:rPr>
        <w:t>3601</w:t>
      </w:r>
      <w:r>
        <w:fldChar w:fldCharType="end"/>
      </w:r>
    </w:p>
    <w:p w:rsidR="00253E9C" w:rsidRDefault="00253E9C" w:rsidP="00253E9C"/>
    <w:p w:rsidR="00253E9C" w:rsidRDefault="00253E9C" w:rsidP="00253E9C">
      <w:pPr>
        <w:pStyle w:val="EntradandiceAuto"/>
      </w:pPr>
      <w:r>
        <w:t>Sala Segunda. Auto 3/2021, de 25 de enero de 2021. Deniega la suspensión y ordena la anotación preventiva de la demanda en el recurso de amparo 7528-2019, promovido por Euroinversiones Inmobiliarias Costa Sur, S.L., en pleito civil.</w:t>
      </w:r>
      <w:r>
        <w:tab/>
      </w:r>
      <w:r>
        <w:tab/>
      </w:r>
      <w:r>
        <w:fldChar w:fldCharType="begin"/>
      </w:r>
      <w:r>
        <w:instrText xml:space="preserve"> PAGEREF AUTO_2021_3 \h </w:instrText>
      </w:r>
      <w:r>
        <w:fldChar w:fldCharType="separate"/>
      </w:r>
      <w:r w:rsidR="00D03E93">
        <w:rPr>
          <w:noProof/>
        </w:rPr>
        <w:t>3608</w:t>
      </w:r>
      <w:r>
        <w:fldChar w:fldCharType="end"/>
      </w:r>
    </w:p>
    <w:p w:rsidR="00253E9C" w:rsidRDefault="00253E9C" w:rsidP="00253E9C"/>
    <w:p w:rsidR="00253E9C" w:rsidRDefault="00253E9C" w:rsidP="00253E9C">
      <w:pPr>
        <w:pStyle w:val="EntradandiceAuto"/>
      </w:pPr>
      <w:r>
        <w:t>Pleno. Auto 4/2021, de 27 de enero de 2021. Desestima el recurso de súplica interpuesto en relación con el ATC 146/2020, de 17 de noviembre, por el que se deniega la suspensión en el recurso de amparo 4586-2020, promovido por don Joaquim Torra i Pla en causa penal. Voto particular.</w:t>
      </w:r>
      <w:r>
        <w:tab/>
      </w:r>
      <w:r>
        <w:tab/>
      </w:r>
      <w:r>
        <w:fldChar w:fldCharType="begin"/>
      </w:r>
      <w:r>
        <w:instrText xml:space="preserve"> PAGEREF AUTO_2021_4 \h </w:instrText>
      </w:r>
      <w:r>
        <w:fldChar w:fldCharType="separate"/>
      </w:r>
      <w:r w:rsidR="00D03E93">
        <w:rPr>
          <w:noProof/>
        </w:rPr>
        <w:t>3613</w:t>
      </w:r>
      <w:r>
        <w:fldChar w:fldCharType="end"/>
      </w:r>
    </w:p>
    <w:p w:rsidR="00253E9C" w:rsidRDefault="00253E9C" w:rsidP="00253E9C"/>
    <w:p w:rsidR="00253E9C" w:rsidRDefault="00253E9C" w:rsidP="00253E9C">
      <w:pPr>
        <w:pStyle w:val="EntradandiceAuto"/>
      </w:pPr>
      <w:r>
        <w:t>Pleno. Auto 5/2021, de 27 de enero de 2021. Inadmite a trámite la cuestión de inconstitucionalidad 4836-2020, planteada por el Juzgado de lo Contencioso-Administrativo núm. 1 de Santander en relación con la disposición adicional undécima de la Ley del Parlamento de Cantabria 9/2010, de 23 de diciembre, de personal estatutario de instituciones sanitarias de la Comunidad Autónoma de Cantabria.</w:t>
      </w:r>
      <w:r>
        <w:tab/>
      </w:r>
      <w:r>
        <w:tab/>
      </w:r>
      <w:r>
        <w:fldChar w:fldCharType="begin"/>
      </w:r>
      <w:r>
        <w:instrText xml:space="preserve"> PAGEREF AUTO_2021_5 \h </w:instrText>
      </w:r>
      <w:r>
        <w:fldChar w:fldCharType="separate"/>
      </w:r>
      <w:r w:rsidR="00D03E93">
        <w:rPr>
          <w:noProof/>
        </w:rPr>
        <w:t>3633</w:t>
      </w:r>
      <w:r>
        <w:fldChar w:fldCharType="end"/>
      </w:r>
    </w:p>
    <w:p w:rsidR="00253E9C" w:rsidRDefault="00253E9C" w:rsidP="00253E9C"/>
    <w:p w:rsidR="00253E9C" w:rsidRDefault="00253E9C" w:rsidP="00253E9C">
      <w:pPr>
        <w:pStyle w:val="EntradandiceAuto"/>
      </w:pPr>
      <w:r>
        <w:lastRenderedPageBreak/>
        <w:t>Pleno. Auto 6/2021, de 27 de enero de 2021. Inadmite a trámite la cuestión de inconstitucionalidad 4837-2020, planteada por el Juzgado de lo Contencioso-Administrativo núm. 1 de Santander, en relación con la disposición adicional undécima de la Ley del Parlamento de Cantabria 9/2010, de 23 de diciembre, de personal estatutario de instituciones sanitarias de la Comunidad Autónoma de Cantabria.</w:t>
      </w:r>
      <w:r>
        <w:tab/>
      </w:r>
      <w:r>
        <w:tab/>
      </w:r>
      <w:r>
        <w:fldChar w:fldCharType="begin"/>
      </w:r>
      <w:r>
        <w:instrText xml:space="preserve"> PAGEREF AUTO_2021_6 \h </w:instrText>
      </w:r>
      <w:r>
        <w:fldChar w:fldCharType="separate"/>
      </w:r>
      <w:r w:rsidR="00D03E93">
        <w:rPr>
          <w:noProof/>
        </w:rPr>
        <w:t>3638</w:t>
      </w:r>
      <w:r>
        <w:fldChar w:fldCharType="end"/>
      </w:r>
    </w:p>
    <w:p w:rsidR="00253E9C" w:rsidRDefault="00253E9C" w:rsidP="00253E9C"/>
    <w:p w:rsidR="00253E9C" w:rsidRDefault="00253E9C" w:rsidP="00253E9C">
      <w:pPr>
        <w:pStyle w:val="EntradandiceAuto"/>
      </w:pPr>
      <w:r>
        <w:t>Pleno. Auto 7/2021, de 27 de enero de 2021. Inadmite a trámite el recurso de inconstitucionalidad 5739-2020, interpuesto por más de cincuenta diputados del Grupo Parlamentario Popular contra la disposición transitoria de la Ley 2/2020, de 27 de julio por la que se modifica el art. 324 de la Ley de enjuiciamiento criminal.</w:t>
      </w:r>
      <w:r>
        <w:tab/>
      </w:r>
      <w:r>
        <w:tab/>
      </w:r>
      <w:r>
        <w:fldChar w:fldCharType="begin"/>
      </w:r>
      <w:r>
        <w:instrText xml:space="preserve"> PAGEREF AUTO_2021_7 \h </w:instrText>
      </w:r>
      <w:r>
        <w:fldChar w:fldCharType="separate"/>
      </w:r>
      <w:r w:rsidR="00D03E93">
        <w:rPr>
          <w:noProof/>
        </w:rPr>
        <w:t>3643</w:t>
      </w:r>
      <w:r>
        <w:fldChar w:fldCharType="end"/>
      </w:r>
    </w:p>
    <w:p w:rsidR="00253E9C" w:rsidRDefault="00253E9C" w:rsidP="00253E9C"/>
    <w:p w:rsidR="00253E9C" w:rsidRDefault="00253E9C" w:rsidP="00253E9C">
      <w:pPr>
        <w:pStyle w:val="EntradandiceAuto"/>
      </w:pPr>
      <w:r>
        <w:t>Pleno. Auto 8/2021, de 28 de enero de 2021. Inadmite a trámite el conflicto negativo de competencia 5646-2020, planteado por Salto del Edo, S.L., en relación con un expediente de evaluación simplificada de impacto ambiental de obras.</w:t>
      </w:r>
      <w:r>
        <w:tab/>
      </w:r>
      <w:r>
        <w:tab/>
      </w:r>
      <w:r>
        <w:fldChar w:fldCharType="begin"/>
      </w:r>
      <w:r>
        <w:instrText xml:space="preserve"> PAGEREF AUTO_2021_8 \h </w:instrText>
      </w:r>
      <w:r>
        <w:fldChar w:fldCharType="separate"/>
      </w:r>
      <w:r w:rsidR="00D03E93">
        <w:rPr>
          <w:noProof/>
        </w:rPr>
        <w:t>3647</w:t>
      </w:r>
      <w:r>
        <w:fldChar w:fldCharType="end"/>
      </w:r>
    </w:p>
    <w:p w:rsidR="00253E9C" w:rsidRDefault="00253E9C" w:rsidP="00253E9C"/>
    <w:p w:rsidR="00253E9C" w:rsidRDefault="00253E9C" w:rsidP="00253E9C">
      <w:pPr>
        <w:pStyle w:val="EntradandiceAuto"/>
      </w:pPr>
      <w:r>
        <w:t>Sección Tercera. Auto 9/2021, de 9 de febrero de 2021. Acepta una abstención en el recurso de amparo 4964-2020, promovido por don Jesús María Calderón González en proceso contencioso-administrativo.</w:t>
      </w:r>
      <w:r>
        <w:tab/>
      </w:r>
      <w:r>
        <w:tab/>
      </w:r>
      <w:r>
        <w:fldChar w:fldCharType="begin"/>
      </w:r>
      <w:r>
        <w:instrText xml:space="preserve"> PAGEREF AUTO_2021_9 \h </w:instrText>
      </w:r>
      <w:r>
        <w:fldChar w:fldCharType="separate"/>
      </w:r>
      <w:r w:rsidR="00D03E93">
        <w:rPr>
          <w:noProof/>
        </w:rPr>
        <w:t>3651</w:t>
      </w:r>
      <w:r>
        <w:fldChar w:fldCharType="end"/>
      </w:r>
    </w:p>
    <w:p w:rsidR="00253E9C" w:rsidRDefault="00253E9C" w:rsidP="00253E9C"/>
    <w:p w:rsidR="00253E9C" w:rsidRDefault="00253E9C" w:rsidP="00253E9C">
      <w:pPr>
        <w:pStyle w:val="EntradandiceAuto"/>
      </w:pPr>
      <w:r>
        <w:t>Sala Primera. Auto 10/2021, de 15 de febrero de 2021. Deniega la suspensión en el recurso de amparo 7436-2019, promovido por don Jenri Ramírez Rosario, en causa penal.</w:t>
      </w:r>
      <w:r>
        <w:tab/>
      </w:r>
      <w:r>
        <w:tab/>
      </w:r>
      <w:r>
        <w:fldChar w:fldCharType="begin"/>
      </w:r>
      <w:r>
        <w:instrText xml:space="preserve"> PAGEREF AUTO_2021_10 \h </w:instrText>
      </w:r>
      <w:r>
        <w:fldChar w:fldCharType="separate"/>
      </w:r>
      <w:r w:rsidR="00D03E93">
        <w:rPr>
          <w:noProof/>
        </w:rPr>
        <w:t>3653</w:t>
      </w:r>
      <w:r>
        <w:fldChar w:fldCharType="end"/>
      </w:r>
    </w:p>
    <w:p w:rsidR="00253E9C" w:rsidRDefault="00253E9C" w:rsidP="00253E9C"/>
    <w:p w:rsidR="00253E9C" w:rsidRDefault="00253E9C" w:rsidP="00253E9C">
      <w:pPr>
        <w:pStyle w:val="EntradandiceAuto"/>
      </w:pPr>
      <w:r>
        <w:t>Sala Primera. Auto 11/2021, de 15 de febrero de 2021. Deniega la suspensión y ordena la anotación preventiva de la demanda en el recurso de amparo 7505-2019, promovido por Euroinversiones Inmobiliarias Costa Sur, S.L., en pleito civil.</w:t>
      </w:r>
      <w:r>
        <w:tab/>
      </w:r>
      <w:r>
        <w:tab/>
      </w:r>
      <w:r>
        <w:fldChar w:fldCharType="begin"/>
      </w:r>
      <w:r>
        <w:instrText xml:space="preserve"> PAGEREF AUTO_2021_11 \h </w:instrText>
      </w:r>
      <w:r>
        <w:fldChar w:fldCharType="separate"/>
      </w:r>
      <w:r w:rsidR="00D03E93">
        <w:rPr>
          <w:noProof/>
        </w:rPr>
        <w:t>3659</w:t>
      </w:r>
      <w:r>
        <w:fldChar w:fldCharType="end"/>
      </w:r>
    </w:p>
    <w:p w:rsidR="00253E9C" w:rsidRDefault="00253E9C" w:rsidP="00253E9C"/>
    <w:p w:rsidR="00253E9C" w:rsidRDefault="00253E9C" w:rsidP="00253E9C">
      <w:pPr>
        <w:pStyle w:val="EntradandiceAuto"/>
      </w:pPr>
      <w:r>
        <w:t>Sala Primera. Auto 12/2021, de 15 de febrero de 2021. Deniega la suspensión y ordena la anotación preventiva de la demanda en el recurso de amparo 7579-2019, promovido por Euroinversiones Inmobiliarias Costa Sur, S.L., en pleito civil.</w:t>
      </w:r>
      <w:r>
        <w:tab/>
      </w:r>
      <w:r>
        <w:tab/>
      </w:r>
      <w:r>
        <w:fldChar w:fldCharType="begin"/>
      </w:r>
      <w:r>
        <w:instrText xml:space="preserve"> PAGEREF AUTO_2021_12 \h </w:instrText>
      </w:r>
      <w:r>
        <w:fldChar w:fldCharType="separate"/>
      </w:r>
      <w:r w:rsidR="00D03E93">
        <w:rPr>
          <w:noProof/>
        </w:rPr>
        <w:t>3664</w:t>
      </w:r>
      <w:r>
        <w:fldChar w:fldCharType="end"/>
      </w:r>
    </w:p>
    <w:p w:rsidR="00253E9C" w:rsidRDefault="00253E9C" w:rsidP="00253E9C"/>
    <w:p w:rsidR="00253E9C" w:rsidRDefault="00253E9C" w:rsidP="00253E9C">
      <w:pPr>
        <w:pStyle w:val="EntradandiceAuto"/>
      </w:pPr>
      <w:r>
        <w:t>Sala Primera. Auto 13/2021, de 15 de febrero de 2021. Acuerda la acumulación del recurso de amparo 693-2020 al 691-2020, promovidos ambos en pleito civil.</w:t>
      </w:r>
      <w:r>
        <w:tab/>
      </w:r>
      <w:r>
        <w:tab/>
      </w:r>
      <w:r>
        <w:fldChar w:fldCharType="begin"/>
      </w:r>
      <w:r>
        <w:instrText xml:space="preserve"> PAGEREF AUTO_2021_13 \h </w:instrText>
      </w:r>
      <w:r>
        <w:fldChar w:fldCharType="separate"/>
      </w:r>
      <w:r w:rsidR="00D03E93">
        <w:rPr>
          <w:noProof/>
        </w:rPr>
        <w:t>3669</w:t>
      </w:r>
      <w:r>
        <w:fldChar w:fldCharType="end"/>
      </w:r>
    </w:p>
    <w:p w:rsidR="00253E9C" w:rsidRDefault="00253E9C" w:rsidP="00253E9C"/>
    <w:p w:rsidR="00253E9C" w:rsidRDefault="00253E9C" w:rsidP="00253E9C">
      <w:pPr>
        <w:pStyle w:val="EntradandiceAuto"/>
      </w:pPr>
      <w:r>
        <w:t>Sala Primera. Auto 14/2021, de 15 de febrero de 2021. Deniega la suspensión en el recurso de amparo 3199-2020, promovido por doña Iris Martín Varela, en litigio social.</w:t>
      </w:r>
      <w:r>
        <w:tab/>
      </w:r>
      <w:r>
        <w:tab/>
      </w:r>
      <w:r>
        <w:fldChar w:fldCharType="begin"/>
      </w:r>
      <w:r>
        <w:instrText xml:space="preserve"> PAGEREF AUTO_2021_14 \h </w:instrText>
      </w:r>
      <w:r>
        <w:fldChar w:fldCharType="separate"/>
      </w:r>
      <w:r w:rsidR="00D03E93">
        <w:rPr>
          <w:noProof/>
        </w:rPr>
        <w:t>3671</w:t>
      </w:r>
      <w:r>
        <w:fldChar w:fldCharType="end"/>
      </w:r>
    </w:p>
    <w:p w:rsidR="00253E9C" w:rsidRDefault="00253E9C" w:rsidP="00253E9C"/>
    <w:p w:rsidR="00253E9C" w:rsidRDefault="00253E9C" w:rsidP="00253E9C">
      <w:pPr>
        <w:pStyle w:val="EntradandiceAuto"/>
      </w:pPr>
      <w:r>
        <w:t>Sala Primera. Auto 15/2021, de 15 de febrero de 2021. Acuerda la suspensión parcial en el recurso de amparo 4265-2020, promovido por doña Rachida Kaouay, en causa penal.</w:t>
      </w:r>
      <w:r>
        <w:tab/>
      </w:r>
      <w:r>
        <w:tab/>
      </w:r>
      <w:r>
        <w:fldChar w:fldCharType="begin"/>
      </w:r>
      <w:r>
        <w:instrText xml:space="preserve"> PAGEREF AUTO_2021_15 \h </w:instrText>
      </w:r>
      <w:r>
        <w:fldChar w:fldCharType="separate"/>
      </w:r>
      <w:r w:rsidR="00D03E93">
        <w:rPr>
          <w:noProof/>
        </w:rPr>
        <w:t>3678</w:t>
      </w:r>
      <w:r>
        <w:fldChar w:fldCharType="end"/>
      </w:r>
    </w:p>
    <w:p w:rsidR="00253E9C" w:rsidRDefault="00253E9C" w:rsidP="00253E9C"/>
    <w:p w:rsidR="00253E9C" w:rsidRDefault="00253E9C" w:rsidP="00253E9C">
      <w:pPr>
        <w:pStyle w:val="EntradandiceAuto"/>
      </w:pPr>
      <w:r>
        <w:t>Sala Segunda. Auto 16/2021, de 15 de febrero de 2021. Desestima solicitud de revisión de diligencia de ordenación dictada en el recurso de amparo 5513-2020, promovido por don Carles Puigdemont Casamajó y don Antoni Comín i Oliveres, en proceso contencioso-administrativo.</w:t>
      </w:r>
      <w:r>
        <w:tab/>
      </w:r>
      <w:r>
        <w:tab/>
      </w:r>
      <w:r>
        <w:fldChar w:fldCharType="begin"/>
      </w:r>
      <w:r>
        <w:instrText xml:space="preserve"> PAGEREF AUTO_2021_16 \h </w:instrText>
      </w:r>
      <w:r>
        <w:fldChar w:fldCharType="separate"/>
      </w:r>
      <w:r w:rsidR="00D03E93">
        <w:rPr>
          <w:noProof/>
        </w:rPr>
        <w:t>3682</w:t>
      </w:r>
      <w:r>
        <w:fldChar w:fldCharType="end"/>
      </w:r>
    </w:p>
    <w:p w:rsidR="00253E9C" w:rsidRDefault="00253E9C" w:rsidP="00253E9C"/>
    <w:p w:rsidR="00253E9C" w:rsidRDefault="00253E9C" w:rsidP="00253E9C">
      <w:pPr>
        <w:pStyle w:val="EntradandiceAuto"/>
      </w:pPr>
      <w:r>
        <w:t>Pleno. Auto 17/2021, de 16 de febrero de 2021. Acepta una abstención y archiva la recusación en el recurso de amparo 5382-2019, promovido por don Carles Puigdemont i Casamajó en causa penal.</w:t>
      </w:r>
      <w:r>
        <w:tab/>
      </w:r>
      <w:r>
        <w:tab/>
      </w:r>
      <w:r>
        <w:fldChar w:fldCharType="begin"/>
      </w:r>
      <w:r>
        <w:instrText xml:space="preserve"> PAGEREF AUTO_2021_17 \h </w:instrText>
      </w:r>
      <w:r>
        <w:fldChar w:fldCharType="separate"/>
      </w:r>
      <w:r w:rsidR="00D03E93">
        <w:rPr>
          <w:noProof/>
        </w:rPr>
        <w:t>3688</w:t>
      </w:r>
      <w:r>
        <w:fldChar w:fldCharType="end"/>
      </w:r>
    </w:p>
    <w:p w:rsidR="00253E9C" w:rsidRDefault="00253E9C" w:rsidP="00253E9C"/>
    <w:p w:rsidR="00253E9C" w:rsidRDefault="00253E9C" w:rsidP="00253E9C">
      <w:pPr>
        <w:pStyle w:val="EntradandiceAuto"/>
      </w:pPr>
      <w:r>
        <w:t>Pleno. Auto 18/2021, de 16 de febrero de 2021. Extiende la abstención acordada en el auto 17/2021 a varios recursos de amparo.</w:t>
      </w:r>
      <w:r>
        <w:tab/>
      </w:r>
      <w:r>
        <w:tab/>
      </w:r>
      <w:r>
        <w:fldChar w:fldCharType="begin"/>
      </w:r>
      <w:r>
        <w:instrText xml:space="preserve"> PAGEREF AUTO_2021_18 \h </w:instrText>
      </w:r>
      <w:r>
        <w:fldChar w:fldCharType="separate"/>
      </w:r>
      <w:r w:rsidR="00D03E93">
        <w:rPr>
          <w:noProof/>
        </w:rPr>
        <w:t>3691</w:t>
      </w:r>
      <w:r>
        <w:fldChar w:fldCharType="end"/>
      </w:r>
    </w:p>
    <w:p w:rsidR="00253E9C" w:rsidRDefault="00253E9C" w:rsidP="00253E9C"/>
    <w:p w:rsidR="00253E9C" w:rsidRDefault="00253E9C" w:rsidP="00253E9C">
      <w:pPr>
        <w:pStyle w:val="EntradandiceAuto"/>
      </w:pPr>
      <w:r>
        <w:t>Sección Primera. Auto 19/2021, de 16 de febrero de 2021. Acepta una abstención en el recurso de amparo 5584-2020, promovido por Ferbell Terranova, S.L., en proceso contencioso-administrativo.</w:t>
      </w:r>
      <w:r>
        <w:tab/>
      </w:r>
      <w:r>
        <w:tab/>
      </w:r>
      <w:r>
        <w:fldChar w:fldCharType="begin"/>
      </w:r>
      <w:r>
        <w:instrText xml:space="preserve"> PAGEREF AUTO_2021_19 \h </w:instrText>
      </w:r>
      <w:r>
        <w:fldChar w:fldCharType="separate"/>
      </w:r>
      <w:r w:rsidR="00D03E93">
        <w:rPr>
          <w:noProof/>
        </w:rPr>
        <w:t>3693</w:t>
      </w:r>
      <w:r>
        <w:fldChar w:fldCharType="end"/>
      </w:r>
    </w:p>
    <w:p w:rsidR="00253E9C" w:rsidRDefault="00253E9C" w:rsidP="00253E9C"/>
    <w:p w:rsidR="00253E9C" w:rsidRDefault="00253E9C" w:rsidP="00253E9C">
      <w:pPr>
        <w:pStyle w:val="EntradandiceAuto"/>
      </w:pPr>
      <w:r>
        <w:t>Sección Primera. Auto 20/2021, de 22 de febrero de 2021. Acepta una abstención en el recurso de amparo 3816-2020, promovido por don Ikram Benhaddi, en causa penal.</w:t>
      </w:r>
      <w:r>
        <w:tab/>
      </w:r>
      <w:r>
        <w:tab/>
      </w:r>
      <w:r>
        <w:fldChar w:fldCharType="begin"/>
      </w:r>
      <w:r>
        <w:instrText xml:space="preserve"> PAGEREF AUTO_2021_20 \h </w:instrText>
      </w:r>
      <w:r>
        <w:fldChar w:fldCharType="separate"/>
      </w:r>
      <w:r w:rsidR="00D03E93">
        <w:rPr>
          <w:noProof/>
        </w:rPr>
        <w:t>3694</w:t>
      </w:r>
      <w:r>
        <w:fldChar w:fldCharType="end"/>
      </w:r>
    </w:p>
    <w:p w:rsidR="00253E9C" w:rsidRDefault="00253E9C" w:rsidP="00253E9C"/>
    <w:p w:rsidR="00253E9C" w:rsidRDefault="00253E9C" w:rsidP="00253E9C">
      <w:pPr>
        <w:pStyle w:val="EntradandiceAuto"/>
      </w:pPr>
      <w:r>
        <w:t>Sala Segunda. Auto 21/2021, de 3 de marzo de 2021. Desestima el recurso de súplica interpuesto en relación con la atribución de la ponencia de admisión del recurso de amparo 5202-2018, promovido por don Julián Casado Asenjo, en pleito civil.</w:t>
      </w:r>
      <w:r>
        <w:tab/>
      </w:r>
      <w:r>
        <w:tab/>
      </w:r>
      <w:r>
        <w:fldChar w:fldCharType="begin"/>
      </w:r>
      <w:r>
        <w:instrText xml:space="preserve"> PAGEREF AUTO_2021_21 \h </w:instrText>
      </w:r>
      <w:r>
        <w:fldChar w:fldCharType="separate"/>
      </w:r>
      <w:r w:rsidR="00D03E93">
        <w:rPr>
          <w:noProof/>
        </w:rPr>
        <w:t>3695</w:t>
      </w:r>
      <w:r>
        <w:fldChar w:fldCharType="end"/>
      </w:r>
    </w:p>
    <w:p w:rsidR="00253E9C" w:rsidRDefault="00253E9C" w:rsidP="00253E9C"/>
    <w:p w:rsidR="00253E9C" w:rsidRDefault="00253E9C" w:rsidP="00253E9C">
      <w:pPr>
        <w:pStyle w:val="EntradandiceAuto"/>
      </w:pPr>
      <w:r>
        <w:t>Sección Cuarta. Auto 22/2021, de 4 de marzo de 2021. Acepta una abstención y designa nuevo magistrado ponente en el recurso de amparo 1212-2021, promovido por don Carles Puigdemont i Casamajó y don Antoni Comín i Oliveres, en causa penal.</w:t>
      </w:r>
      <w:r>
        <w:tab/>
      </w:r>
      <w:r>
        <w:tab/>
      </w:r>
      <w:r>
        <w:fldChar w:fldCharType="begin"/>
      </w:r>
      <w:r>
        <w:instrText xml:space="preserve"> PAGEREF AUTO_2021_22 \h </w:instrText>
      </w:r>
      <w:r>
        <w:fldChar w:fldCharType="separate"/>
      </w:r>
      <w:r w:rsidR="00D03E93">
        <w:rPr>
          <w:noProof/>
        </w:rPr>
        <w:t>3697</w:t>
      </w:r>
      <w:r>
        <w:fldChar w:fldCharType="end"/>
      </w:r>
    </w:p>
    <w:p w:rsidR="00253E9C" w:rsidRDefault="00253E9C" w:rsidP="00253E9C"/>
    <w:p w:rsidR="00253E9C" w:rsidRDefault="00253E9C" w:rsidP="00253E9C">
      <w:pPr>
        <w:pStyle w:val="EntradandiceAuto"/>
      </w:pPr>
      <w:r>
        <w:t>Sección Tercera. Auto 23/2021, de 10 de marzo de 2021. Desestima el recurso de súplica interpuesto por el Ministerio Fiscal sobre inadmisión del recurso de amparo 6435-2018, promovido por la comunidad de regantes Santa María Magdalena en proceso contencioso-administrativo.</w:t>
      </w:r>
      <w:r>
        <w:tab/>
      </w:r>
      <w:r>
        <w:tab/>
      </w:r>
      <w:r>
        <w:fldChar w:fldCharType="begin"/>
      </w:r>
      <w:r>
        <w:instrText xml:space="preserve"> PAGEREF AUTO_2021_23 \h </w:instrText>
      </w:r>
      <w:r>
        <w:fldChar w:fldCharType="separate"/>
      </w:r>
      <w:r w:rsidR="00D03E93">
        <w:rPr>
          <w:noProof/>
        </w:rPr>
        <w:t>3699</w:t>
      </w:r>
      <w:r>
        <w:fldChar w:fldCharType="end"/>
      </w:r>
    </w:p>
    <w:p w:rsidR="00253E9C" w:rsidRDefault="00253E9C" w:rsidP="00253E9C"/>
    <w:p w:rsidR="00253E9C" w:rsidRDefault="00253E9C" w:rsidP="00253E9C">
      <w:pPr>
        <w:pStyle w:val="EntradandiceAuto"/>
      </w:pPr>
      <w:r>
        <w:lastRenderedPageBreak/>
        <w:t>Sección Tercera. Auto 24/2021, de 10 de marzo de 2021. Estima el recurso de súplica interpuesto por el Ministerio Fiscal y ordena la retroacción de actuaciones para que se dicte providencia sobre admisibilidad del recurso de amparo 4886-2019, promovido por doña María Mercedes Rivero Bartolomé, en pleito civil.</w:t>
      </w:r>
      <w:r>
        <w:tab/>
      </w:r>
      <w:r>
        <w:tab/>
      </w:r>
      <w:r>
        <w:fldChar w:fldCharType="begin"/>
      </w:r>
      <w:r>
        <w:instrText xml:space="preserve"> PAGEREF AUTO_2021_24 \h </w:instrText>
      </w:r>
      <w:r>
        <w:fldChar w:fldCharType="separate"/>
      </w:r>
      <w:r w:rsidR="00D03E93">
        <w:rPr>
          <w:noProof/>
        </w:rPr>
        <w:t>3703</w:t>
      </w:r>
      <w:r>
        <w:fldChar w:fldCharType="end"/>
      </w:r>
    </w:p>
    <w:p w:rsidR="00253E9C" w:rsidRDefault="00253E9C" w:rsidP="00253E9C"/>
    <w:p w:rsidR="00253E9C" w:rsidRDefault="00253E9C" w:rsidP="00253E9C">
      <w:pPr>
        <w:pStyle w:val="EntradandiceAuto"/>
      </w:pPr>
      <w:r>
        <w:t>Sala Primera. Auto 25/2021, de 15 de marzo de 2021. Acuerda la acumulación del recurso de amparo 3546-2019 al 3560-2019, promovidos ambos en pleito civil.</w:t>
      </w:r>
      <w:r>
        <w:tab/>
      </w:r>
      <w:r>
        <w:tab/>
      </w:r>
      <w:r>
        <w:fldChar w:fldCharType="begin"/>
      </w:r>
      <w:r>
        <w:instrText xml:space="preserve"> PAGEREF AUTO_2021_25 \h </w:instrText>
      </w:r>
      <w:r>
        <w:fldChar w:fldCharType="separate"/>
      </w:r>
      <w:r w:rsidR="00D03E93">
        <w:rPr>
          <w:noProof/>
        </w:rPr>
        <w:t>3705</w:t>
      </w:r>
      <w:r>
        <w:fldChar w:fldCharType="end"/>
      </w:r>
    </w:p>
    <w:p w:rsidR="00253E9C" w:rsidRDefault="00253E9C" w:rsidP="00253E9C"/>
    <w:p w:rsidR="00253E9C" w:rsidRDefault="00253E9C" w:rsidP="00253E9C">
      <w:pPr>
        <w:pStyle w:val="EntradandiceAuto"/>
      </w:pPr>
      <w:r>
        <w:t>Sala Primera. Auto 26/2021, de 15 de marzo de 2021. Rectifica un error material padecido en la sentencia 31/2021, de 15 de febrero, dictada en el recurso de amparo 7506-2019, promovido por la entidad Euroinversiones Inmobiliarias Costa Sur, S.L., en pleito civil.</w:t>
      </w:r>
      <w:r>
        <w:tab/>
      </w:r>
      <w:r>
        <w:tab/>
      </w:r>
      <w:r>
        <w:fldChar w:fldCharType="begin"/>
      </w:r>
      <w:r>
        <w:instrText xml:space="preserve"> PAGEREF AUTO_2021_26 \h </w:instrText>
      </w:r>
      <w:r>
        <w:fldChar w:fldCharType="separate"/>
      </w:r>
      <w:r w:rsidR="00D03E93">
        <w:rPr>
          <w:noProof/>
        </w:rPr>
        <w:t>3707</w:t>
      </w:r>
      <w:r>
        <w:fldChar w:fldCharType="end"/>
      </w:r>
    </w:p>
    <w:p w:rsidR="00253E9C" w:rsidRDefault="00253E9C" w:rsidP="00253E9C"/>
    <w:p w:rsidR="00253E9C" w:rsidRDefault="00253E9C" w:rsidP="00253E9C">
      <w:pPr>
        <w:pStyle w:val="EntradandiceAuto"/>
      </w:pPr>
      <w:r>
        <w:t>Sala Primera. Auto 27/2021, de 15 de marzo de 2021. Acuerda la suspensión en el recurso de amparo 2228-2020, promovido por don Cristóbal Francisco Ripollés Paús, en causa penal.</w:t>
      </w:r>
      <w:r>
        <w:tab/>
      </w:r>
      <w:r>
        <w:tab/>
      </w:r>
      <w:r>
        <w:fldChar w:fldCharType="begin"/>
      </w:r>
      <w:r>
        <w:instrText xml:space="preserve"> PAGEREF AUTO_2021_27 \h </w:instrText>
      </w:r>
      <w:r>
        <w:fldChar w:fldCharType="separate"/>
      </w:r>
      <w:r w:rsidR="00D03E93">
        <w:rPr>
          <w:noProof/>
        </w:rPr>
        <w:t>3709</w:t>
      </w:r>
      <w:r>
        <w:fldChar w:fldCharType="end"/>
      </w:r>
    </w:p>
    <w:p w:rsidR="00253E9C" w:rsidRDefault="00253E9C" w:rsidP="00253E9C"/>
    <w:p w:rsidR="00253E9C" w:rsidRDefault="00253E9C" w:rsidP="00253E9C">
      <w:pPr>
        <w:pStyle w:val="EntradandiceAuto"/>
      </w:pPr>
      <w:r>
        <w:t>Pleno. Auto 28/2021, de 16 de marzo de 2021. Desestima el recurso de súplica interpuesto en relación con el ATC 89/2020, de 9 de septiembre, por el que se deniega la suspensión en el recurso de amparo 64-2020, promovido por don Carles Puigdemont i Casamajó y don Antoni Comín i Oliveres, en causa penal.</w:t>
      </w:r>
      <w:r>
        <w:tab/>
      </w:r>
      <w:r>
        <w:tab/>
      </w:r>
      <w:r>
        <w:fldChar w:fldCharType="begin"/>
      </w:r>
      <w:r>
        <w:instrText xml:space="preserve"> PAGEREF AUTO_2021_28 \h </w:instrText>
      </w:r>
      <w:r>
        <w:fldChar w:fldCharType="separate"/>
      </w:r>
      <w:r w:rsidR="00D03E93">
        <w:rPr>
          <w:noProof/>
        </w:rPr>
        <w:t>3713</w:t>
      </w:r>
      <w:r>
        <w:fldChar w:fldCharType="end"/>
      </w:r>
    </w:p>
    <w:p w:rsidR="00253E9C" w:rsidRDefault="00253E9C" w:rsidP="00253E9C"/>
    <w:p w:rsidR="00253E9C" w:rsidRDefault="00253E9C" w:rsidP="00253E9C">
      <w:pPr>
        <w:pStyle w:val="EntradandiceAuto"/>
      </w:pPr>
      <w:r>
        <w:t>Pleno. Auto 29/2021, de 16 de marzo de 2021. Deniega la suspensión en el recurso de amparo 1403-2020, promovido por don Jordi Turull i Negre, en causa penal.</w:t>
      </w:r>
      <w:r>
        <w:tab/>
      </w:r>
      <w:r>
        <w:tab/>
      </w:r>
      <w:r>
        <w:fldChar w:fldCharType="begin"/>
      </w:r>
      <w:r>
        <w:instrText xml:space="preserve"> PAGEREF AUTO_2021_29 \h </w:instrText>
      </w:r>
      <w:r>
        <w:fldChar w:fldCharType="separate"/>
      </w:r>
      <w:r w:rsidR="00D03E93">
        <w:rPr>
          <w:noProof/>
        </w:rPr>
        <w:t>3730</w:t>
      </w:r>
      <w:r>
        <w:fldChar w:fldCharType="end"/>
      </w:r>
    </w:p>
    <w:p w:rsidR="00253E9C" w:rsidRDefault="00253E9C" w:rsidP="00253E9C"/>
    <w:p w:rsidR="00253E9C" w:rsidRDefault="00253E9C" w:rsidP="00253E9C">
      <w:pPr>
        <w:pStyle w:val="EntradandiceAuto"/>
      </w:pPr>
      <w:r>
        <w:t>Pleno. Auto 30/2021, de 16 de marzo de 2021. Deniega la suspensión en el recurso de amparo 1406-2020, promovido por don Jordi Sánchez i Picanyol, en causa penal.</w:t>
      </w:r>
      <w:r>
        <w:tab/>
      </w:r>
      <w:r>
        <w:tab/>
      </w:r>
      <w:r>
        <w:fldChar w:fldCharType="begin"/>
      </w:r>
      <w:r>
        <w:instrText xml:space="preserve"> PAGEREF AUTO_2021_30 \h </w:instrText>
      </w:r>
      <w:r>
        <w:fldChar w:fldCharType="separate"/>
      </w:r>
      <w:r w:rsidR="00D03E93">
        <w:rPr>
          <w:noProof/>
        </w:rPr>
        <w:t>3737</w:t>
      </w:r>
      <w:r>
        <w:fldChar w:fldCharType="end"/>
      </w:r>
    </w:p>
    <w:p w:rsidR="00253E9C" w:rsidRDefault="00253E9C" w:rsidP="00253E9C"/>
    <w:p w:rsidR="00253E9C" w:rsidRDefault="00253E9C" w:rsidP="00253E9C">
      <w:pPr>
        <w:pStyle w:val="EntradandiceAuto"/>
      </w:pPr>
      <w:r>
        <w:t>Pleno. Auto 31/2021, de 16 de marzo de 2021. Deniega la suspensión en el recurso de amparo 1407-2020, promovido por don Josep Rull i Andreu, en causa penal.</w:t>
      </w:r>
      <w:r>
        <w:tab/>
      </w:r>
      <w:r>
        <w:tab/>
      </w:r>
      <w:r>
        <w:fldChar w:fldCharType="begin"/>
      </w:r>
      <w:r>
        <w:instrText xml:space="preserve"> PAGEREF AUTO_2021_31 \h </w:instrText>
      </w:r>
      <w:r>
        <w:fldChar w:fldCharType="separate"/>
      </w:r>
      <w:r w:rsidR="00D03E93">
        <w:rPr>
          <w:noProof/>
        </w:rPr>
        <w:t>3743</w:t>
      </w:r>
      <w:r>
        <w:fldChar w:fldCharType="end"/>
      </w:r>
    </w:p>
    <w:p w:rsidR="00253E9C" w:rsidRDefault="00253E9C" w:rsidP="00253E9C"/>
    <w:p w:rsidR="00253E9C" w:rsidRDefault="00253E9C" w:rsidP="00253E9C">
      <w:pPr>
        <w:pStyle w:val="EntradandiceAuto"/>
      </w:pPr>
      <w:r>
        <w:t>Pleno. Auto 32/2021, de 16 de marzo de 2021. Deniega la suspensión en el recurso de amparo 1638-2020, promovido por don Joaquim Forn i Chiariello, en causa penal.</w:t>
      </w:r>
      <w:r>
        <w:tab/>
      </w:r>
      <w:r>
        <w:tab/>
      </w:r>
      <w:r>
        <w:fldChar w:fldCharType="begin"/>
      </w:r>
      <w:r>
        <w:instrText xml:space="preserve"> PAGEREF AUTO_2021_32 \h </w:instrText>
      </w:r>
      <w:r>
        <w:fldChar w:fldCharType="separate"/>
      </w:r>
      <w:r w:rsidR="00D03E93">
        <w:rPr>
          <w:noProof/>
        </w:rPr>
        <w:t>3750</w:t>
      </w:r>
      <w:r>
        <w:fldChar w:fldCharType="end"/>
      </w:r>
    </w:p>
    <w:p w:rsidR="00253E9C" w:rsidRDefault="00253E9C" w:rsidP="00253E9C"/>
    <w:p w:rsidR="00253E9C" w:rsidRDefault="00253E9C" w:rsidP="00253E9C">
      <w:pPr>
        <w:pStyle w:val="EntradandiceAuto"/>
      </w:pPr>
      <w:r>
        <w:t xml:space="preserve">Pleno. Auto 33/2021, de 16 de marzo de 2021. Inadmite a trámite el recurso de inconstitucionalidad 4868-2020, interpuesto por cincuenta diputados de los grupos parlamentarios Confederal de Unidas Podemos-En Comú Podem-Galicia en Común, Republicano y Euskal Herria Bildu, en relación con el Decreto-ley del </w:t>
      </w:r>
      <w:r>
        <w:lastRenderedPageBreak/>
        <w:t>Gobierno de Murcia 3/2020, de 23 de abril, de mitigación del impacto socioeconómico del COVID-19 en el área de vivienda e infraestructuras; el acuerdo de convalidación adoptado por el pleno de la Asamblea Regional de Murcia de 6 de mayo de 2020 y la Ley de la Asamblea Regional de Murcia 2/2020, de 27 de julio, de mitigación del impacto socioeconómico del COVID-19 en el área de vivienda e infraestructuras.</w:t>
      </w:r>
      <w:r>
        <w:tab/>
      </w:r>
      <w:r>
        <w:tab/>
      </w:r>
      <w:r>
        <w:fldChar w:fldCharType="begin"/>
      </w:r>
      <w:r>
        <w:instrText xml:space="preserve"> PAGEREF AUTO_2021_33 \h </w:instrText>
      </w:r>
      <w:r>
        <w:fldChar w:fldCharType="separate"/>
      </w:r>
      <w:r w:rsidR="00D03E93">
        <w:rPr>
          <w:noProof/>
        </w:rPr>
        <w:t>3756</w:t>
      </w:r>
      <w:r>
        <w:fldChar w:fldCharType="end"/>
      </w:r>
    </w:p>
    <w:p w:rsidR="00253E9C" w:rsidRDefault="00253E9C" w:rsidP="00253E9C"/>
    <w:p w:rsidR="00253E9C" w:rsidRDefault="00253E9C" w:rsidP="00253E9C">
      <w:pPr>
        <w:pStyle w:val="EntradandiceAuto"/>
      </w:pPr>
      <w:r>
        <w:t>Pleno. Auto 34/2021, de 16 de marzo de 2021. Inadmite a trámite el recurso de inconstitucionalidad 4870-2020, interpuesto por cincuenta diputados de los grupos parlamentarios Confederal de Unidas Podemos-En Comú Podem-Galicia en Común, del Republicano y Euskal Herria Bildu, en relación con el Decreto-ley del Gobierno de Murcia 5/2020, de 7 de mayo, de mitigación del impacto socioeconómico del COVID-19 en el área de medio ambiente, y la Ley de la Asamblea Regional de Murcia 5/2020, de 3 de agosto, de mitigación del impacto socioeconómico del COVID-19 en el área de medio ambiente.</w:t>
      </w:r>
      <w:r>
        <w:tab/>
      </w:r>
      <w:r>
        <w:tab/>
      </w:r>
      <w:r>
        <w:fldChar w:fldCharType="begin"/>
      </w:r>
      <w:r>
        <w:instrText xml:space="preserve"> PAGEREF AUTO_2021_34 \h </w:instrText>
      </w:r>
      <w:r>
        <w:fldChar w:fldCharType="separate"/>
      </w:r>
      <w:r w:rsidR="00D03E93">
        <w:rPr>
          <w:noProof/>
        </w:rPr>
        <w:t>3760</w:t>
      </w:r>
      <w:r>
        <w:fldChar w:fldCharType="end"/>
      </w:r>
    </w:p>
    <w:p w:rsidR="00253E9C" w:rsidRDefault="00253E9C" w:rsidP="00253E9C"/>
    <w:p w:rsidR="00253E9C" w:rsidRDefault="00253E9C" w:rsidP="00253E9C">
      <w:pPr>
        <w:pStyle w:val="EntradandiceAuto"/>
      </w:pPr>
      <w:r>
        <w:t>Sección Primera. Auto 35/2021, de 24 de marzo de 2021. Desestima el recurso de súplica interpuesto por el Ministerio Fiscal sobre inadmisión del recurso de amparo 4519-2020, promovido por doña Juana Pulido Palomo y don Francisco Collado Cuenca, en pleito civil.</w:t>
      </w:r>
      <w:r>
        <w:tab/>
      </w:r>
      <w:r>
        <w:tab/>
      </w:r>
      <w:r>
        <w:fldChar w:fldCharType="begin"/>
      </w:r>
      <w:r>
        <w:instrText xml:space="preserve"> PAGEREF AUTO_2021_35 \h </w:instrText>
      </w:r>
      <w:r>
        <w:fldChar w:fldCharType="separate"/>
      </w:r>
      <w:r w:rsidR="00D03E93">
        <w:rPr>
          <w:noProof/>
        </w:rPr>
        <w:t>3764</w:t>
      </w:r>
      <w:r>
        <w:fldChar w:fldCharType="end"/>
      </w:r>
    </w:p>
    <w:p w:rsidR="00253E9C" w:rsidRDefault="00253E9C" w:rsidP="00253E9C"/>
    <w:p w:rsidR="00253E9C" w:rsidRDefault="00253E9C" w:rsidP="00253E9C">
      <w:pPr>
        <w:pStyle w:val="EntradandiceAuto"/>
      </w:pPr>
      <w:r>
        <w:t>Sección Primera. Auto 36/2021, de 5 de abril de 2021. Estima el recurso de súplica interpuesto por el Ministerio Fiscal y ordena la retroacción de actuaciones para que se dicte providencia sobre admisibilidad del recurso de amparo 5368-2020, promovido por Euroinversiones Inmobiliarias Costa Sur, S.L., en pleito civil.</w:t>
      </w:r>
      <w:r>
        <w:tab/>
      </w:r>
      <w:r>
        <w:tab/>
      </w:r>
      <w:r>
        <w:fldChar w:fldCharType="begin"/>
      </w:r>
      <w:r>
        <w:instrText xml:space="preserve"> PAGEREF AUTO_2021_36 \h </w:instrText>
      </w:r>
      <w:r>
        <w:fldChar w:fldCharType="separate"/>
      </w:r>
      <w:r w:rsidR="00D03E93">
        <w:rPr>
          <w:noProof/>
        </w:rPr>
        <w:t>3771</w:t>
      </w:r>
      <w:r>
        <w:fldChar w:fldCharType="end"/>
      </w:r>
    </w:p>
    <w:p w:rsidR="00253E9C" w:rsidRDefault="00253E9C" w:rsidP="00253E9C"/>
    <w:p w:rsidR="00253E9C" w:rsidRDefault="00253E9C" w:rsidP="00253E9C">
      <w:pPr>
        <w:pStyle w:val="EntradandiceAuto"/>
      </w:pPr>
      <w:r>
        <w:t>Sala Primera. Auto 37/2021, de 19 de abril de 2021. Deniega la aclaración de la sentencia 51/2021, de 15 de marzo, dictada en el recurso de amparo 2950-2018, promovido por don A.M.Z., en proceso contencioso-administrativo.</w:t>
      </w:r>
      <w:r>
        <w:tab/>
      </w:r>
      <w:r>
        <w:tab/>
      </w:r>
      <w:r>
        <w:fldChar w:fldCharType="begin"/>
      </w:r>
      <w:r>
        <w:instrText xml:space="preserve"> PAGEREF AUTO_2021_37 \h </w:instrText>
      </w:r>
      <w:r>
        <w:fldChar w:fldCharType="separate"/>
      </w:r>
      <w:r w:rsidR="00D03E93">
        <w:rPr>
          <w:noProof/>
        </w:rPr>
        <w:t>3778</w:t>
      </w:r>
      <w:r>
        <w:fldChar w:fldCharType="end"/>
      </w:r>
    </w:p>
    <w:p w:rsidR="00253E9C" w:rsidRDefault="00253E9C" w:rsidP="00253E9C"/>
    <w:p w:rsidR="00253E9C" w:rsidRDefault="00253E9C" w:rsidP="00253E9C">
      <w:pPr>
        <w:pStyle w:val="EntradandiceAuto"/>
      </w:pPr>
      <w:r>
        <w:t>Sala Primera. Auto 38/2021, de 19 de abril de 2021. Acuerda el desistimiento y archivo de las actuaciones en el recurso de amparo 6579-2019, promovido por doña Katiuska Ordóñez Veloz, en pleito civil.</w:t>
      </w:r>
      <w:r>
        <w:tab/>
      </w:r>
      <w:r>
        <w:tab/>
      </w:r>
      <w:r>
        <w:fldChar w:fldCharType="begin"/>
      </w:r>
      <w:r>
        <w:instrText xml:space="preserve"> PAGEREF AUTO_2021_38 \h </w:instrText>
      </w:r>
      <w:r>
        <w:fldChar w:fldCharType="separate"/>
      </w:r>
      <w:r w:rsidR="00D03E93">
        <w:rPr>
          <w:noProof/>
        </w:rPr>
        <w:t>3780</w:t>
      </w:r>
      <w:r>
        <w:fldChar w:fldCharType="end"/>
      </w:r>
    </w:p>
    <w:p w:rsidR="00253E9C" w:rsidRDefault="00253E9C" w:rsidP="00253E9C"/>
    <w:p w:rsidR="00253E9C" w:rsidRDefault="00253E9C" w:rsidP="00253E9C">
      <w:pPr>
        <w:pStyle w:val="EntradandiceAuto"/>
      </w:pPr>
      <w:r>
        <w:t>Sala Segunda. Auto 39/2021, de 19 de abril de 2021. Deniega la suspensión en el recurso de amparo 7621-2019, promovido por don Miguel Abellán Martínez, en causa penal.</w:t>
      </w:r>
      <w:r>
        <w:tab/>
      </w:r>
      <w:r>
        <w:tab/>
      </w:r>
      <w:r>
        <w:fldChar w:fldCharType="begin"/>
      </w:r>
      <w:r>
        <w:instrText xml:space="preserve"> PAGEREF AUTO_2021_39 \h </w:instrText>
      </w:r>
      <w:r>
        <w:fldChar w:fldCharType="separate"/>
      </w:r>
      <w:r w:rsidR="00D03E93">
        <w:rPr>
          <w:noProof/>
        </w:rPr>
        <w:t>3783</w:t>
      </w:r>
      <w:r>
        <w:fldChar w:fldCharType="end"/>
      </w:r>
    </w:p>
    <w:p w:rsidR="00253E9C" w:rsidRDefault="00253E9C" w:rsidP="00253E9C"/>
    <w:p w:rsidR="00253E9C" w:rsidRDefault="00253E9C" w:rsidP="00253E9C">
      <w:pPr>
        <w:pStyle w:val="EntradandiceAuto"/>
      </w:pPr>
      <w:r>
        <w:t>Sala Segunda. Auto 40/2021, de 19 de abril de 2021. Acuerda la suspensión en el recurso de amparo 1060-2020, promovido por doña Denize Lanes Da Silva, en proceso contencioso-administrativo.</w:t>
      </w:r>
      <w:r>
        <w:tab/>
      </w:r>
      <w:r>
        <w:tab/>
      </w:r>
      <w:r>
        <w:fldChar w:fldCharType="begin"/>
      </w:r>
      <w:r>
        <w:instrText xml:space="preserve"> PAGEREF AUTO_2021_40 \h </w:instrText>
      </w:r>
      <w:r>
        <w:fldChar w:fldCharType="separate"/>
      </w:r>
      <w:r w:rsidR="00D03E93">
        <w:rPr>
          <w:noProof/>
        </w:rPr>
        <w:t>3786</w:t>
      </w:r>
      <w:r>
        <w:fldChar w:fldCharType="end"/>
      </w:r>
    </w:p>
    <w:p w:rsidR="00253E9C" w:rsidRDefault="00253E9C" w:rsidP="00253E9C"/>
    <w:p w:rsidR="00253E9C" w:rsidRDefault="00253E9C" w:rsidP="00253E9C">
      <w:pPr>
        <w:pStyle w:val="EntradandiceAuto"/>
      </w:pPr>
      <w:r>
        <w:lastRenderedPageBreak/>
        <w:t>Sala Primera. Auto 41/2021, de 19 de abril de 2021. Acuerda la suspensión parcial en el recurso de amparo 4055-2020, promovido por don Ildefonso García Fernández, en causa penal.</w:t>
      </w:r>
      <w:r>
        <w:tab/>
      </w:r>
      <w:r>
        <w:tab/>
      </w:r>
      <w:r>
        <w:fldChar w:fldCharType="begin"/>
      </w:r>
      <w:r>
        <w:instrText xml:space="preserve"> PAGEREF AUTO_2021_41 \h </w:instrText>
      </w:r>
      <w:r>
        <w:fldChar w:fldCharType="separate"/>
      </w:r>
      <w:r w:rsidR="00D03E93">
        <w:rPr>
          <w:noProof/>
        </w:rPr>
        <w:t>3789</w:t>
      </w:r>
      <w:r>
        <w:fldChar w:fldCharType="end"/>
      </w:r>
    </w:p>
    <w:p w:rsidR="00253E9C" w:rsidRDefault="00253E9C" w:rsidP="00253E9C"/>
    <w:p w:rsidR="00253E9C" w:rsidRDefault="00253E9C" w:rsidP="00253E9C">
      <w:pPr>
        <w:pStyle w:val="EntradandiceAuto"/>
      </w:pPr>
      <w:r>
        <w:t>Sala Segunda. Auto 42/2021, de 19 de abril de 2021. Deniega la suspensión en el recurso de amparo 4885-2020, promovido por el Grupo Mixto en el Parlamento Vasco y doña Amaia Martínez Grisaleña, en proceso parlamentario.</w:t>
      </w:r>
      <w:r>
        <w:tab/>
      </w:r>
      <w:r>
        <w:tab/>
      </w:r>
      <w:r>
        <w:fldChar w:fldCharType="begin"/>
      </w:r>
      <w:r>
        <w:instrText xml:space="preserve"> PAGEREF AUTO_2021_42 \h </w:instrText>
      </w:r>
      <w:r>
        <w:fldChar w:fldCharType="separate"/>
      </w:r>
      <w:r w:rsidR="00D03E93">
        <w:rPr>
          <w:noProof/>
        </w:rPr>
        <w:t>3793</w:t>
      </w:r>
      <w:r>
        <w:fldChar w:fldCharType="end"/>
      </w:r>
    </w:p>
    <w:p w:rsidR="00253E9C" w:rsidRDefault="00253E9C" w:rsidP="00253E9C"/>
    <w:p w:rsidR="00253E9C" w:rsidRDefault="00253E9C" w:rsidP="00253E9C">
      <w:pPr>
        <w:pStyle w:val="EntradandiceAuto"/>
      </w:pPr>
      <w:r>
        <w:t>Sala Segunda. Auto 43/2021, de 19 de abril de 2021. Deniega la aclaración del auto 16/2021, de 15 de febrero, dictado en el recurso de amparo 5513-2020, promovido por don Carles Puigdemont Casamajó y don Antoni Comín i Oliveres, en proceso contencioso-administrativo.</w:t>
      </w:r>
      <w:r>
        <w:tab/>
      </w:r>
      <w:r>
        <w:tab/>
      </w:r>
      <w:r>
        <w:fldChar w:fldCharType="begin"/>
      </w:r>
      <w:r>
        <w:instrText xml:space="preserve"> PAGEREF AUTO_2021_43 \h </w:instrText>
      </w:r>
      <w:r>
        <w:fldChar w:fldCharType="separate"/>
      </w:r>
      <w:r w:rsidR="00D03E93">
        <w:rPr>
          <w:noProof/>
        </w:rPr>
        <w:t>3799</w:t>
      </w:r>
      <w:r>
        <w:fldChar w:fldCharType="end"/>
      </w:r>
    </w:p>
    <w:p w:rsidR="00253E9C" w:rsidRDefault="00253E9C" w:rsidP="00253E9C"/>
    <w:p w:rsidR="00253E9C" w:rsidRDefault="00253E9C" w:rsidP="00253E9C">
      <w:pPr>
        <w:pStyle w:val="EntradandiceAuto"/>
      </w:pPr>
      <w:r>
        <w:t>Sala Segunda. Auto 44/2021, de 19 de abril de 2021. Acuerda la suspensión en el recurso de amparo 5789-2020, promovido por doña María Jesús Meneses Sigüenza, en pleito civil.</w:t>
      </w:r>
      <w:r>
        <w:tab/>
      </w:r>
      <w:r>
        <w:tab/>
      </w:r>
      <w:r>
        <w:fldChar w:fldCharType="begin"/>
      </w:r>
      <w:r>
        <w:instrText xml:space="preserve"> PAGEREF AUTO_2021_44 \h </w:instrText>
      </w:r>
      <w:r>
        <w:fldChar w:fldCharType="separate"/>
      </w:r>
      <w:r w:rsidR="00D03E93">
        <w:rPr>
          <w:noProof/>
        </w:rPr>
        <w:t>3802</w:t>
      </w:r>
      <w:r>
        <w:fldChar w:fldCharType="end"/>
      </w:r>
    </w:p>
    <w:p w:rsidR="00253E9C" w:rsidRDefault="00253E9C" w:rsidP="00253E9C"/>
    <w:p w:rsidR="00253E9C" w:rsidRDefault="00253E9C" w:rsidP="00253E9C">
      <w:pPr>
        <w:pStyle w:val="EntradandiceAuto"/>
      </w:pPr>
      <w:r>
        <w:t>Sección Segunda. Auto 45/2021, de 20 de abril de 2021. Estima el recurso de súplica interpuesto por el Ministerio Fiscal e inadmite el recurso de amparo 4818-2020, promovido por doña Adela Gómez Alonso, en litigio social.</w:t>
      </w:r>
      <w:r>
        <w:tab/>
      </w:r>
      <w:r>
        <w:tab/>
      </w:r>
      <w:r>
        <w:fldChar w:fldCharType="begin"/>
      </w:r>
      <w:r>
        <w:instrText xml:space="preserve"> PAGEREF AUTO_2021_45 \h </w:instrText>
      </w:r>
      <w:r>
        <w:fldChar w:fldCharType="separate"/>
      </w:r>
      <w:r w:rsidR="00D03E93">
        <w:rPr>
          <w:noProof/>
        </w:rPr>
        <w:t>3805</w:t>
      </w:r>
      <w:r>
        <w:fldChar w:fldCharType="end"/>
      </w:r>
    </w:p>
    <w:p w:rsidR="00253E9C" w:rsidRDefault="00253E9C" w:rsidP="00253E9C"/>
    <w:p w:rsidR="00253E9C" w:rsidRDefault="00253E9C" w:rsidP="00253E9C">
      <w:pPr>
        <w:pStyle w:val="EntradandiceAuto"/>
      </w:pPr>
      <w:r>
        <w:t>Pleno. Auto 46/2021, de 20 de abril de 2021. Deniega la suspensión cautelar en el recurso de amparo 1293-2021, promovido por el sindicato UGT-Madrid, en proceso contencioso-administrativo.</w:t>
      </w:r>
      <w:r>
        <w:tab/>
      </w:r>
      <w:r>
        <w:tab/>
      </w:r>
      <w:r>
        <w:fldChar w:fldCharType="begin"/>
      </w:r>
      <w:r>
        <w:instrText xml:space="preserve"> PAGEREF AUTO_2021_46 \h </w:instrText>
      </w:r>
      <w:r>
        <w:fldChar w:fldCharType="separate"/>
      </w:r>
      <w:r w:rsidR="00D03E93">
        <w:rPr>
          <w:noProof/>
        </w:rPr>
        <w:t>3812</w:t>
      </w:r>
      <w:r>
        <w:fldChar w:fldCharType="end"/>
      </w:r>
    </w:p>
    <w:p w:rsidR="00253E9C" w:rsidRDefault="00253E9C" w:rsidP="00253E9C"/>
    <w:p w:rsidR="00253E9C" w:rsidRDefault="00253E9C" w:rsidP="00253E9C">
      <w:pPr>
        <w:pStyle w:val="EntradandiceAuto"/>
      </w:pPr>
      <w:r>
        <w:t>Pleno. Auto 47/2021, de 21 de abril de 2021. Deniega la aclaración de la sentencia 68/2021, de 18 de marzo, dictada en el recurso de inconstitucionalidad 4261-2018, interpuesto por el Gobierno de Aragón en relación con diversos preceptos de la Ley 9/2017, de 8 de noviembre, de contratos del sector público, por la que se transponen al ordenamiento jurídico español las Directivas del Parlamento Europeo y del Consejo 2014/23/UE y 2014/24/UE, de 26 de febrero de 2014.</w:t>
      </w:r>
      <w:r>
        <w:tab/>
      </w:r>
      <w:r>
        <w:tab/>
      </w:r>
      <w:r>
        <w:fldChar w:fldCharType="begin"/>
      </w:r>
      <w:r>
        <w:instrText xml:space="preserve"> PAGEREF AUTO_2021_47 \h </w:instrText>
      </w:r>
      <w:r>
        <w:fldChar w:fldCharType="separate"/>
      </w:r>
      <w:r w:rsidR="00D03E93">
        <w:rPr>
          <w:noProof/>
        </w:rPr>
        <w:t>3818</w:t>
      </w:r>
      <w:r>
        <w:fldChar w:fldCharType="end"/>
      </w:r>
    </w:p>
    <w:p w:rsidR="00253E9C" w:rsidRDefault="00253E9C" w:rsidP="00253E9C"/>
    <w:p w:rsidR="00253E9C" w:rsidRDefault="00253E9C" w:rsidP="00253E9C">
      <w:pPr>
        <w:pStyle w:val="EntradandiceAuto"/>
      </w:pPr>
      <w:r>
        <w:t>Pleno. Auto 48/2021, de 21 de abril de 2021. Acepta una abstención y archiva diversas solicitudes de recusación en distintos procesos de amparo promovidos en causas penales.</w:t>
      </w:r>
      <w:r>
        <w:tab/>
      </w:r>
      <w:r>
        <w:tab/>
      </w:r>
      <w:r>
        <w:fldChar w:fldCharType="begin"/>
      </w:r>
      <w:r>
        <w:instrText xml:space="preserve"> PAGEREF AUTO_2021_48 \h </w:instrText>
      </w:r>
      <w:r>
        <w:fldChar w:fldCharType="separate"/>
      </w:r>
      <w:r w:rsidR="00D03E93">
        <w:rPr>
          <w:noProof/>
        </w:rPr>
        <w:t>3821</w:t>
      </w:r>
      <w:r>
        <w:fldChar w:fldCharType="end"/>
      </w:r>
    </w:p>
    <w:p w:rsidR="00253E9C" w:rsidRDefault="00253E9C" w:rsidP="00253E9C"/>
    <w:p w:rsidR="00253E9C" w:rsidRDefault="00253E9C" w:rsidP="00253E9C">
      <w:pPr>
        <w:pStyle w:val="EntradandiceAuto"/>
      </w:pPr>
      <w:r>
        <w:t>Pleno. Auto 49/2021, de 21 de abril de 2021. Deniega la aclaración del auto 18/2021, de 16 de febrero, que extiende la abstención acordada en el auto 17/2021 a varios recursos de amparo promovidos en causas penales.</w:t>
      </w:r>
      <w:r>
        <w:tab/>
      </w:r>
      <w:r>
        <w:tab/>
      </w:r>
      <w:r>
        <w:fldChar w:fldCharType="begin"/>
      </w:r>
      <w:r>
        <w:instrText xml:space="preserve"> PAGEREF AUTO_2021_49 \h </w:instrText>
      </w:r>
      <w:r>
        <w:fldChar w:fldCharType="separate"/>
      </w:r>
      <w:r w:rsidR="00D03E93">
        <w:rPr>
          <w:noProof/>
        </w:rPr>
        <w:t>3828</w:t>
      </w:r>
      <w:r>
        <w:fldChar w:fldCharType="end"/>
      </w:r>
    </w:p>
    <w:p w:rsidR="00253E9C" w:rsidRDefault="00253E9C" w:rsidP="00253E9C"/>
    <w:p w:rsidR="00253E9C" w:rsidRDefault="00253E9C" w:rsidP="00253E9C">
      <w:pPr>
        <w:pStyle w:val="EntradandiceAuto"/>
      </w:pPr>
      <w:r>
        <w:lastRenderedPageBreak/>
        <w:t>Pleno. Auto 50/2021, de 21 de abril de 2021. Deniega la aclaración del auto 18/2021, de 16 de febrero, que extiende la abstención acordada en el auto 17/2021 a varios recursos de amparo promovidos en causas penales.</w:t>
      </w:r>
      <w:r>
        <w:tab/>
      </w:r>
      <w:r>
        <w:tab/>
      </w:r>
      <w:r>
        <w:fldChar w:fldCharType="begin"/>
      </w:r>
      <w:r>
        <w:instrText xml:space="preserve"> PAGEREF AUTO_2021_50 \h </w:instrText>
      </w:r>
      <w:r>
        <w:fldChar w:fldCharType="separate"/>
      </w:r>
      <w:r w:rsidR="00D03E93">
        <w:rPr>
          <w:noProof/>
        </w:rPr>
        <w:t>3831</w:t>
      </w:r>
      <w:r>
        <w:fldChar w:fldCharType="end"/>
      </w:r>
    </w:p>
    <w:p w:rsidR="00253E9C" w:rsidRDefault="00253E9C" w:rsidP="00253E9C"/>
    <w:p w:rsidR="00253E9C" w:rsidRDefault="00253E9C" w:rsidP="00253E9C">
      <w:pPr>
        <w:pStyle w:val="EntradandiceAuto"/>
      </w:pPr>
      <w:r>
        <w:t>Pleno. Auto 51/2021, de 22 de abril de 2021. Mantiene la suspensión acordada en el conflicto positivo de competencia 6201-2020, planteado por el Gobierno de la Nación en relación con diversos apartados del Decreto del presidente de la Comunidad Autónoma de Canarias 87/2020, de 9 de diciembre, por el que se establece el cierre perimetral de la Comunidad Autónoma en aplicación del Real Decreto 926/2020, de 25 de octubre, por el que se declara el estado de alarma, para contener la propagación de infecciones causadas por el SARS-CoV-2.</w:t>
      </w:r>
      <w:r>
        <w:tab/>
      </w:r>
      <w:r>
        <w:tab/>
      </w:r>
      <w:r>
        <w:fldChar w:fldCharType="begin"/>
      </w:r>
      <w:r>
        <w:instrText xml:space="preserve"> PAGEREF AUTO_2021_51 \h </w:instrText>
      </w:r>
      <w:r>
        <w:fldChar w:fldCharType="separate"/>
      </w:r>
      <w:r w:rsidR="00D03E93">
        <w:rPr>
          <w:noProof/>
        </w:rPr>
        <w:t>3834</w:t>
      </w:r>
      <w:r>
        <w:fldChar w:fldCharType="end"/>
      </w:r>
    </w:p>
    <w:p w:rsidR="00253E9C" w:rsidRDefault="00253E9C" w:rsidP="00253E9C"/>
    <w:p w:rsidR="00253E9C" w:rsidRDefault="00253E9C" w:rsidP="00253E9C">
      <w:pPr>
        <w:pStyle w:val="EntradandiceAuto"/>
      </w:pPr>
      <w:r>
        <w:t>Pleno. Auto 52/2021, de 22 de abril de 2021. Deniega la suspensión en el recurso de amparo 1294-2021, promovido por la Unión Sindical de Madrid del sindicato Comisiones Obreras, en proceso contencioso-administrativo.</w:t>
      </w:r>
      <w:r>
        <w:tab/>
      </w:r>
      <w:r>
        <w:tab/>
      </w:r>
      <w:r>
        <w:fldChar w:fldCharType="begin"/>
      </w:r>
      <w:r>
        <w:instrText xml:space="preserve"> PAGEREF AUTO_2021_52 \h </w:instrText>
      </w:r>
      <w:r>
        <w:fldChar w:fldCharType="separate"/>
      </w:r>
      <w:r w:rsidR="00D03E93">
        <w:rPr>
          <w:noProof/>
        </w:rPr>
        <w:t>3851</w:t>
      </w:r>
      <w:r>
        <w:fldChar w:fldCharType="end"/>
      </w:r>
    </w:p>
    <w:p w:rsidR="00253E9C" w:rsidRDefault="00253E9C" w:rsidP="00253E9C"/>
    <w:p w:rsidR="00253E9C" w:rsidRDefault="00253E9C" w:rsidP="00253E9C">
      <w:pPr>
        <w:pStyle w:val="EntradandiceAuto"/>
      </w:pPr>
      <w:r>
        <w:t>Sección Segunda. Auto 53/2021, de 28 de abril de 2021. Acepta una abstención en el recurso de amparo 3123-2020, promovido por don José Manuel Ramírez Sineiro, en pleito civil.</w:t>
      </w:r>
      <w:r>
        <w:tab/>
      </w:r>
      <w:r>
        <w:tab/>
      </w:r>
      <w:r>
        <w:fldChar w:fldCharType="begin"/>
      </w:r>
      <w:r>
        <w:instrText xml:space="preserve"> PAGEREF AUTO_2021_53 \h </w:instrText>
      </w:r>
      <w:r>
        <w:fldChar w:fldCharType="separate"/>
      </w:r>
      <w:r w:rsidR="00D03E93">
        <w:rPr>
          <w:noProof/>
        </w:rPr>
        <w:t>3858</w:t>
      </w:r>
      <w:r>
        <w:fldChar w:fldCharType="end"/>
      </w:r>
    </w:p>
    <w:p w:rsidR="00253E9C" w:rsidRDefault="00253E9C" w:rsidP="00253E9C"/>
    <w:p w:rsidR="00253E9C" w:rsidRDefault="00253E9C" w:rsidP="00253E9C">
      <w:pPr>
        <w:pStyle w:val="EntradandiceAuto"/>
      </w:pPr>
      <w:r>
        <w:t>Sección Cuarta. Auto 54/2021, de 29 de abril de 2021. Desestima el recurso de súplica interpuesto por el Ministerio Fiscal sobre inadmisión del recurso de amparo 5983-2020, promovido por don Miguel Alejandro Hernández Díaz, en proceso contencioso-administrativo.</w:t>
      </w:r>
      <w:r>
        <w:tab/>
      </w:r>
      <w:r>
        <w:tab/>
      </w:r>
      <w:r>
        <w:fldChar w:fldCharType="begin"/>
      </w:r>
      <w:r>
        <w:instrText xml:space="preserve"> PAGEREF AUTO_2021_54 \h </w:instrText>
      </w:r>
      <w:r>
        <w:fldChar w:fldCharType="separate"/>
      </w:r>
      <w:r w:rsidR="00D03E93">
        <w:rPr>
          <w:noProof/>
        </w:rPr>
        <w:t>3859</w:t>
      </w:r>
      <w:r>
        <w:fldChar w:fldCharType="end"/>
      </w:r>
    </w:p>
    <w:p w:rsidR="00253E9C" w:rsidRDefault="00253E9C" w:rsidP="00253E9C"/>
    <w:p w:rsidR="00253E9C" w:rsidRDefault="00253E9C" w:rsidP="00253E9C">
      <w:pPr>
        <w:pStyle w:val="EntradandiceAuto"/>
      </w:pPr>
      <w:r>
        <w:t>Sala Segunda. Auto 55/2021, de 10 de mayo de 2021. Acuerda la suspensión en el recurso de amparo 5467-2019, promovido por don Víctor Hugo Sánchez Mina, en proceso contencioso-administrativo.</w:t>
      </w:r>
      <w:r>
        <w:tab/>
      </w:r>
      <w:r>
        <w:tab/>
      </w:r>
      <w:r>
        <w:fldChar w:fldCharType="begin"/>
      </w:r>
      <w:r>
        <w:instrText xml:space="preserve"> PAGEREF AUTO_2021_55 \h </w:instrText>
      </w:r>
      <w:r>
        <w:fldChar w:fldCharType="separate"/>
      </w:r>
      <w:r w:rsidR="00D03E93">
        <w:rPr>
          <w:noProof/>
        </w:rPr>
        <w:t>3862</w:t>
      </w:r>
      <w:r>
        <w:fldChar w:fldCharType="end"/>
      </w:r>
    </w:p>
    <w:p w:rsidR="00253E9C" w:rsidRDefault="00253E9C" w:rsidP="00253E9C"/>
    <w:p w:rsidR="00253E9C" w:rsidRDefault="00253E9C" w:rsidP="00253E9C">
      <w:pPr>
        <w:pStyle w:val="EntradandiceAuto"/>
      </w:pPr>
      <w:r>
        <w:t>Sala Segunda. Auto 56/2021, de 10 de mayo de 2021. Deniega la suspensión en el recurso de amparo 1264-2020, promovido por don Hassan Ashini, en procedimiento penitenciario.</w:t>
      </w:r>
      <w:r>
        <w:tab/>
      </w:r>
      <w:r>
        <w:tab/>
      </w:r>
      <w:r>
        <w:fldChar w:fldCharType="begin"/>
      </w:r>
      <w:r>
        <w:instrText xml:space="preserve"> PAGEREF AUTO_2021_56 \h </w:instrText>
      </w:r>
      <w:r>
        <w:fldChar w:fldCharType="separate"/>
      </w:r>
      <w:r w:rsidR="00D03E93">
        <w:rPr>
          <w:noProof/>
        </w:rPr>
        <w:t>3865</w:t>
      </w:r>
      <w:r>
        <w:fldChar w:fldCharType="end"/>
      </w:r>
    </w:p>
    <w:p w:rsidR="00253E9C" w:rsidRDefault="00253E9C" w:rsidP="00253E9C"/>
    <w:p w:rsidR="00253E9C" w:rsidRDefault="00253E9C" w:rsidP="00253E9C">
      <w:pPr>
        <w:pStyle w:val="EntradandiceAuto"/>
      </w:pPr>
      <w:r>
        <w:t>Sala Primera. Auto 57/2021, de 10 de mayo de 2021. Estima el incidente de ejecución de la STC 12/2021, de 25 de enero, dictada en el recurso de amparo promovido por doña Ana Isabel Pérez Cordido en procedimiento de ejecución de títulos judiciales, y anula un auto de un juzgado de primera instancia de A Coruña.</w:t>
      </w:r>
      <w:r>
        <w:tab/>
      </w:r>
      <w:r>
        <w:tab/>
      </w:r>
      <w:r>
        <w:fldChar w:fldCharType="begin"/>
      </w:r>
      <w:r>
        <w:instrText xml:space="preserve"> PAGEREF AUTO_2021_57 \h </w:instrText>
      </w:r>
      <w:r>
        <w:fldChar w:fldCharType="separate"/>
      </w:r>
      <w:r w:rsidR="00D03E93">
        <w:rPr>
          <w:noProof/>
        </w:rPr>
        <w:t>3870</w:t>
      </w:r>
      <w:r>
        <w:fldChar w:fldCharType="end"/>
      </w:r>
    </w:p>
    <w:p w:rsidR="00253E9C" w:rsidRDefault="00253E9C" w:rsidP="00253E9C"/>
    <w:p w:rsidR="00253E9C" w:rsidRDefault="00253E9C" w:rsidP="00253E9C">
      <w:pPr>
        <w:pStyle w:val="EntradandiceAuto"/>
      </w:pPr>
      <w:r>
        <w:t xml:space="preserve">Pleno. Auto 58/2021, de 11 de mayo de 2021. Desestima el recurso de súplica en relación con el ATC 33/2021, de 16 de marzo, que inadmitió el recurso de inconstitucionalidad 4868-2020, interpuesto por cincuenta diputados de los grupos </w:t>
      </w:r>
      <w:r>
        <w:lastRenderedPageBreak/>
        <w:t>parlamentarios Confederal de Unidas Podemos-En Comú Podem-Galicia en Común, Republicano y Euskal Herria Bildu, en relación con el Decreto-ley del Gobierno de Murcia 3/2020, de 23 de abril, el acuerdo de convalidación y la Ley de la Asamblea Regional de Murcia 2/2020, de 27 de julio.</w:t>
      </w:r>
      <w:r>
        <w:tab/>
      </w:r>
      <w:r>
        <w:tab/>
      </w:r>
      <w:r>
        <w:fldChar w:fldCharType="begin"/>
      </w:r>
      <w:r>
        <w:instrText xml:space="preserve"> PAGEREF AUTO_2021_58 \h </w:instrText>
      </w:r>
      <w:r>
        <w:fldChar w:fldCharType="separate"/>
      </w:r>
      <w:r w:rsidR="00D03E93">
        <w:rPr>
          <w:noProof/>
        </w:rPr>
        <w:t>3878</w:t>
      </w:r>
      <w:r>
        <w:fldChar w:fldCharType="end"/>
      </w:r>
    </w:p>
    <w:p w:rsidR="00253E9C" w:rsidRDefault="00253E9C" w:rsidP="00253E9C"/>
    <w:p w:rsidR="00253E9C" w:rsidRDefault="00253E9C" w:rsidP="00253E9C">
      <w:pPr>
        <w:pStyle w:val="EntradandiceAuto"/>
      </w:pPr>
      <w:r>
        <w:t>Pleno. Auto 59/2021, de 11 de mayo de 2021. Desestima el recurso de súplica en relación con el ATC 34/2021, de 16 de marzo, que inadmitió el recurso de inconstitucionalidad 4870-2020, interpuesto por cincuenta diputados de los grupos parlamentarios Confederal de Unidas Podemos-En Comú Podem-Galicia en Común,  Republicano y Euskal Herria Bildu, en relación con el Decreto-ley del Gobierno de Murcia 5/2020, de 7 de mayo, y la Ley de la Asamblea Regional de Murcia 5/2020, de 3 de agosto.</w:t>
      </w:r>
      <w:r>
        <w:tab/>
      </w:r>
      <w:r>
        <w:tab/>
      </w:r>
      <w:r>
        <w:fldChar w:fldCharType="begin"/>
      </w:r>
      <w:r>
        <w:instrText xml:space="preserve"> PAGEREF AUTO_2021_59 \h </w:instrText>
      </w:r>
      <w:r>
        <w:fldChar w:fldCharType="separate"/>
      </w:r>
      <w:r w:rsidR="00D03E93">
        <w:rPr>
          <w:noProof/>
        </w:rPr>
        <w:t>3887</w:t>
      </w:r>
      <w:r>
        <w:fldChar w:fldCharType="end"/>
      </w:r>
    </w:p>
    <w:p w:rsidR="00253E9C" w:rsidRDefault="00253E9C" w:rsidP="00253E9C"/>
    <w:p w:rsidR="00253E9C" w:rsidRDefault="00253E9C" w:rsidP="00253E9C">
      <w:pPr>
        <w:pStyle w:val="EntradandiceAuto"/>
      </w:pPr>
      <w:r>
        <w:t>Sección Cuarta. Auto 60/2021, de 12 de mayo de 2021. Estima el recurso de súplica interpuesto por el Ministerio Fiscal y ordena la retroacción de actuaciones para que se dicte providencia sobre admisibilidad del recurso de amparo 2465-2020, promovido por doña Aicha Elena Hammadi Zaba, en proceso contencioso-administrativo.</w:t>
      </w:r>
      <w:r>
        <w:tab/>
      </w:r>
      <w:r>
        <w:tab/>
      </w:r>
      <w:r>
        <w:fldChar w:fldCharType="begin"/>
      </w:r>
      <w:r>
        <w:instrText xml:space="preserve"> PAGEREF AUTO_2021_60 \h </w:instrText>
      </w:r>
      <w:r>
        <w:fldChar w:fldCharType="separate"/>
      </w:r>
      <w:r w:rsidR="00D03E93">
        <w:rPr>
          <w:noProof/>
        </w:rPr>
        <w:t>3896</w:t>
      </w:r>
      <w:r>
        <w:fldChar w:fldCharType="end"/>
      </w:r>
    </w:p>
    <w:p w:rsidR="00253E9C" w:rsidRDefault="00253E9C" w:rsidP="00253E9C"/>
    <w:p w:rsidR="00253E9C" w:rsidRDefault="00253E9C" w:rsidP="00253E9C">
      <w:pPr>
        <w:pStyle w:val="EntradandiceAuto"/>
      </w:pPr>
      <w:r>
        <w:t>Sección Cuarta. Auto 61/2021, de 12 de mayo de 2021. Estima el recurso de súplica interpuesto por el Ministerio Fiscal y ordena la retroacción de actuaciones para que se dicte providencia sobre admisibilidad del recurso de amparo 3751-2020, promovido por doña Nieves Casañas Morales, en proceso penal.</w:t>
      </w:r>
      <w:r>
        <w:tab/>
      </w:r>
      <w:r>
        <w:tab/>
      </w:r>
      <w:r>
        <w:fldChar w:fldCharType="begin"/>
      </w:r>
      <w:r>
        <w:instrText xml:space="preserve"> PAGEREF AUTO_2021_61 \h </w:instrText>
      </w:r>
      <w:r>
        <w:fldChar w:fldCharType="separate"/>
      </w:r>
      <w:r w:rsidR="00D03E93">
        <w:rPr>
          <w:noProof/>
        </w:rPr>
        <w:t>3899</w:t>
      </w:r>
      <w:r>
        <w:fldChar w:fldCharType="end"/>
      </w:r>
    </w:p>
    <w:p w:rsidR="00253E9C" w:rsidRDefault="00253E9C" w:rsidP="00253E9C"/>
    <w:p w:rsidR="00253E9C" w:rsidRDefault="00253E9C" w:rsidP="00253E9C">
      <w:pPr>
        <w:pStyle w:val="EntradandiceAuto"/>
      </w:pPr>
      <w:r>
        <w:t>Sección Tercera. Auto 62/2021, de 18 de mayo de 2021. Estima el recurso de súplica interpuesto por el Ayuntamiento de Villanueva de Sijena en relación con la exigencia de comparecer representado por procurador en el recurso de amparo 3444-2020, promovido por Don Lluis Puig Gordi, en causa penal.</w:t>
      </w:r>
      <w:r>
        <w:tab/>
      </w:r>
      <w:r>
        <w:tab/>
      </w:r>
      <w:r>
        <w:fldChar w:fldCharType="begin"/>
      </w:r>
      <w:r>
        <w:instrText xml:space="preserve"> PAGEREF AUTO_2021_62 \h </w:instrText>
      </w:r>
      <w:r>
        <w:fldChar w:fldCharType="separate"/>
      </w:r>
      <w:r w:rsidR="00D03E93">
        <w:rPr>
          <w:noProof/>
        </w:rPr>
        <w:t>3902</w:t>
      </w:r>
      <w:r>
        <w:fldChar w:fldCharType="end"/>
      </w:r>
    </w:p>
    <w:p w:rsidR="00253E9C" w:rsidRDefault="00253E9C" w:rsidP="00253E9C"/>
    <w:p w:rsidR="00253E9C" w:rsidRDefault="00253E9C" w:rsidP="00253E9C">
      <w:pPr>
        <w:pStyle w:val="EntradandiceAuto"/>
      </w:pPr>
      <w:r>
        <w:t>Sala Primera. Auto 63/2021, de 31 de mayo de 2021. Acuerda el desistimiento y archivo de las actuaciones en el recurso de amparo 249-2020, promovido por la Generalitat de Cataluña, en proceso contencioso-administrativo.</w:t>
      </w:r>
      <w:r>
        <w:tab/>
      </w:r>
      <w:r>
        <w:tab/>
      </w:r>
      <w:r>
        <w:fldChar w:fldCharType="begin"/>
      </w:r>
      <w:r>
        <w:instrText xml:space="preserve"> PAGEREF AUTO_2021_63 \h </w:instrText>
      </w:r>
      <w:r>
        <w:fldChar w:fldCharType="separate"/>
      </w:r>
      <w:r w:rsidR="00D03E93">
        <w:rPr>
          <w:noProof/>
        </w:rPr>
        <w:t>3905</w:t>
      </w:r>
      <w:r>
        <w:fldChar w:fldCharType="end"/>
      </w:r>
    </w:p>
    <w:p w:rsidR="00253E9C" w:rsidRDefault="00253E9C" w:rsidP="00253E9C"/>
    <w:p w:rsidR="00253E9C" w:rsidRDefault="00253E9C" w:rsidP="00253E9C">
      <w:pPr>
        <w:pStyle w:val="EntradandiceAuto"/>
      </w:pPr>
      <w:r>
        <w:t>Sección Segunda. Auto 64/2021, de 31 de mayo de 2021. Estima el recurso de súplica interpuesto por el Ministerio Fiscal y ordena la retroacción de actuaciones para que se dicte providencia sobre admisibilidad del recurso de amparo 4796-2020, promovido por doña Carmen Baena Salamanca, en pleito civil.</w:t>
      </w:r>
      <w:r>
        <w:tab/>
      </w:r>
      <w:r>
        <w:tab/>
      </w:r>
      <w:r>
        <w:fldChar w:fldCharType="begin"/>
      </w:r>
      <w:r>
        <w:instrText xml:space="preserve"> PAGEREF AUTO_2021_64 \h </w:instrText>
      </w:r>
      <w:r>
        <w:fldChar w:fldCharType="separate"/>
      </w:r>
      <w:r w:rsidR="00D03E93">
        <w:rPr>
          <w:noProof/>
        </w:rPr>
        <w:t>3907</w:t>
      </w:r>
      <w:r>
        <w:fldChar w:fldCharType="end"/>
      </w:r>
    </w:p>
    <w:p w:rsidR="00253E9C" w:rsidRDefault="00253E9C" w:rsidP="00253E9C"/>
    <w:p w:rsidR="00253E9C" w:rsidRDefault="00253E9C" w:rsidP="00253E9C">
      <w:pPr>
        <w:pStyle w:val="EntradandiceAuto"/>
      </w:pPr>
      <w:r>
        <w:t xml:space="preserve">Pleno. Auto 65/2021, de 1 de junio de 2021. Inadmite a trámite la cuestión de inconstitucionalidad 1431-2021, planteada por el Juzgado Contencioso-Administrativo núm. 3 de Palma de Mallorca en relación con la disposición transitoria </w:t>
      </w:r>
      <w:r>
        <w:lastRenderedPageBreak/>
        <w:t>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w:t>
      </w:r>
      <w:r>
        <w:tab/>
      </w:r>
      <w:r>
        <w:tab/>
      </w:r>
      <w:r>
        <w:fldChar w:fldCharType="begin"/>
      </w:r>
      <w:r>
        <w:instrText xml:space="preserve"> PAGEREF AUTO_2021_65 \h </w:instrText>
      </w:r>
      <w:r>
        <w:fldChar w:fldCharType="separate"/>
      </w:r>
      <w:r w:rsidR="00D03E93">
        <w:rPr>
          <w:noProof/>
        </w:rPr>
        <w:t>3909</w:t>
      </w:r>
      <w:r>
        <w:fldChar w:fldCharType="end"/>
      </w:r>
    </w:p>
    <w:p w:rsidR="00253E9C" w:rsidRDefault="00253E9C" w:rsidP="00253E9C"/>
    <w:p w:rsidR="00253E9C" w:rsidRDefault="00253E9C" w:rsidP="00253E9C">
      <w:pPr>
        <w:pStyle w:val="EntradandiceAuto"/>
      </w:pPr>
      <w:r>
        <w:t>Sala Primera. Auto 66/2021, de 21 de junio de 2021. Deniega la suspensión y la anotación preventiva de la demanda en el recurso de amparo 5872-2020, promovido por Viviendas Chimenea II de Águilas, Sociedad Cooperativa, en pleito civil.</w:t>
      </w:r>
      <w:r>
        <w:tab/>
      </w:r>
      <w:r>
        <w:tab/>
      </w:r>
      <w:r>
        <w:fldChar w:fldCharType="begin"/>
      </w:r>
      <w:r>
        <w:instrText xml:space="preserve"> PAGEREF AUTO_2021_66 \h </w:instrText>
      </w:r>
      <w:r>
        <w:fldChar w:fldCharType="separate"/>
      </w:r>
      <w:r w:rsidR="00D03E93">
        <w:rPr>
          <w:noProof/>
        </w:rPr>
        <w:t>3919</w:t>
      </w:r>
      <w:r>
        <w:fldChar w:fldCharType="end"/>
      </w:r>
    </w:p>
    <w:p w:rsidR="00253E9C" w:rsidRDefault="00253E9C" w:rsidP="00253E9C"/>
    <w:p w:rsidR="00253E9C" w:rsidRDefault="00253E9C" w:rsidP="00253E9C">
      <w:pPr>
        <w:pStyle w:val="EntradandiceAuto"/>
      </w:pPr>
      <w:r>
        <w:t>Sala Primera. Auto 67/2021, de 21 de junio de 2021. Deniega la suspensión en el recurso de amparo 6513-2020, promovido por doña María Teresa Rodríguez Vázquez y otros en proceso parlamentario.</w:t>
      </w:r>
      <w:r>
        <w:tab/>
      </w:r>
      <w:r>
        <w:tab/>
      </w:r>
      <w:r>
        <w:fldChar w:fldCharType="begin"/>
      </w:r>
      <w:r>
        <w:instrText xml:space="preserve"> PAGEREF AUTO_2021_67 \h </w:instrText>
      </w:r>
      <w:r>
        <w:fldChar w:fldCharType="separate"/>
      </w:r>
      <w:r w:rsidR="00D03E93">
        <w:rPr>
          <w:noProof/>
        </w:rPr>
        <w:t>3925</w:t>
      </w:r>
      <w:r>
        <w:fldChar w:fldCharType="end"/>
      </w:r>
    </w:p>
    <w:p w:rsidR="00253E9C" w:rsidRDefault="00253E9C" w:rsidP="00253E9C"/>
    <w:p w:rsidR="00253E9C" w:rsidRDefault="00253E9C" w:rsidP="00253E9C">
      <w:pPr>
        <w:pStyle w:val="EntradandiceAuto"/>
      </w:pPr>
      <w:r>
        <w:t>Pleno. Auto 68/2021, de 24 de junio de 2021. Acuerda el desistimiento en el recurso de inconstitucionalidad 1998-2020, planteado por el presidente del Gobierno en relación con diversos preceptos del Decreto-ley 2/2020, de 9 de marzo, de mejora y simplificación de la regulación para el fomento de la actividad productiva de Andalucía.</w:t>
      </w:r>
      <w:r>
        <w:tab/>
      </w:r>
      <w:r>
        <w:tab/>
      </w:r>
      <w:r>
        <w:fldChar w:fldCharType="begin"/>
      </w:r>
      <w:r>
        <w:instrText xml:space="preserve"> PAGEREF AUTO_2021_68 \h </w:instrText>
      </w:r>
      <w:r>
        <w:fldChar w:fldCharType="separate"/>
      </w:r>
      <w:r w:rsidR="00D03E93">
        <w:rPr>
          <w:noProof/>
        </w:rPr>
        <w:t>3937</w:t>
      </w:r>
      <w:r>
        <w:fldChar w:fldCharType="end"/>
      </w:r>
    </w:p>
    <w:p w:rsidR="00253E9C" w:rsidRDefault="00253E9C" w:rsidP="00253E9C"/>
    <w:p w:rsidR="00253E9C" w:rsidRDefault="00253E9C" w:rsidP="00253E9C">
      <w:pPr>
        <w:pStyle w:val="EntradandiceAuto"/>
      </w:pPr>
      <w:r>
        <w:t>Pleno. Auto 69/2021, de 24 de junio de 2021. Inadmite la recusación formulada en el recurso de amparo núm. 5840-2020, promovido por don Joaquim Torra i Pla en causa penal.</w:t>
      </w:r>
      <w:r>
        <w:tab/>
      </w:r>
      <w:r>
        <w:tab/>
      </w:r>
      <w:r>
        <w:fldChar w:fldCharType="begin"/>
      </w:r>
      <w:r>
        <w:instrText xml:space="preserve"> PAGEREF AUTO_2021_69 \h </w:instrText>
      </w:r>
      <w:r>
        <w:fldChar w:fldCharType="separate"/>
      </w:r>
      <w:r w:rsidR="00D03E93">
        <w:rPr>
          <w:noProof/>
        </w:rPr>
        <w:t>3940</w:t>
      </w:r>
      <w:r>
        <w:fldChar w:fldCharType="end"/>
      </w:r>
    </w:p>
    <w:p w:rsidR="00253E9C" w:rsidRDefault="00253E9C" w:rsidP="00253E9C"/>
    <w:p w:rsidR="00253E9C" w:rsidRDefault="00253E9C" w:rsidP="00253E9C">
      <w:pPr>
        <w:pStyle w:val="EntradandiceAuto"/>
      </w:pPr>
      <w:r>
        <w:t>Sección Primera. Auto 70/2021, de 29 de junio de 2021. Desestima el recurso de súplica interpuesto por el Ministerio Fiscal frente a la providencia de inadmisión del recurso de amparo 636-2021, promovido por don Christian Sánchez Escuder en causa penal.</w:t>
      </w:r>
      <w:r>
        <w:tab/>
      </w:r>
      <w:r>
        <w:tab/>
      </w:r>
      <w:r>
        <w:fldChar w:fldCharType="begin"/>
      </w:r>
      <w:r>
        <w:instrText xml:space="preserve"> PAGEREF AUTO_2021_70 \h </w:instrText>
      </w:r>
      <w:r>
        <w:fldChar w:fldCharType="separate"/>
      </w:r>
      <w:r w:rsidR="00D03E93">
        <w:rPr>
          <w:noProof/>
        </w:rPr>
        <w:t>3944</w:t>
      </w:r>
      <w:r>
        <w:fldChar w:fldCharType="end"/>
      </w:r>
    </w:p>
    <w:p w:rsidR="00253E9C" w:rsidRDefault="00253E9C">
      <w:pPr>
        <w:spacing w:after="0" w:line="360" w:lineRule="auto"/>
        <w:ind w:firstLine="851"/>
        <w:jc w:val="both"/>
      </w:pPr>
      <w:r>
        <w:br w:type="page"/>
      </w:r>
    </w:p>
    <w:p w:rsidR="00253E9C" w:rsidRDefault="00253E9C" w:rsidP="005728DD"/>
    <w:p w:rsidR="00253E9C" w:rsidRDefault="00253E9C" w:rsidP="005728DD"/>
    <w:p w:rsidR="005728DD" w:rsidRDefault="005728DD" w:rsidP="005728DD"/>
    <w:p w:rsidR="005728DD" w:rsidRDefault="005728DD" w:rsidP="005728DD"/>
    <w:p w:rsidR="005728DD" w:rsidRDefault="005728DD" w:rsidP="005728DD"/>
    <w:p w:rsidR="005728DD" w:rsidRDefault="005728DD" w:rsidP="005728DD"/>
    <w:p w:rsidR="005728DD" w:rsidRDefault="005728DD" w:rsidP="005728DD"/>
    <w:p w:rsidR="005728DD" w:rsidRDefault="005728DD" w:rsidP="005728DD"/>
    <w:p w:rsidR="005728DD" w:rsidRDefault="005728DD" w:rsidP="005728DD">
      <w:pPr>
        <w:pStyle w:val="CabeceraApartado"/>
      </w:pPr>
      <w:r>
        <w:t>SENTENCIAS</w:t>
      </w:r>
    </w:p>
    <w:p w:rsidR="005728DD" w:rsidRDefault="005728DD">
      <w:pPr>
        <w:spacing w:after="0" w:line="360" w:lineRule="auto"/>
        <w:ind w:firstLine="851"/>
        <w:jc w:val="both"/>
        <w:rPr>
          <w:rFonts w:ascii="Times New Roman" w:eastAsia="Times New Roman" w:hAnsi="Times New Roman" w:cs="Times New Roman"/>
          <w:sz w:val="48"/>
          <w:szCs w:val="24"/>
          <w:lang w:eastAsia="es-ES"/>
        </w:rPr>
      </w:pPr>
      <w:r>
        <w:br w:type="page"/>
      </w:r>
    </w:p>
    <w:p w:rsidR="005728DD" w:rsidRDefault="005728DD" w:rsidP="005728DD">
      <w:pPr>
        <w:pStyle w:val="TtuloResolucin"/>
      </w:pPr>
      <w:bookmarkStart w:id="4" w:name="SENTENCIA_2021_1"/>
      <w:r>
        <w:lastRenderedPageBreak/>
        <w:t>SENTENCIA 1/2021, de 25 de enero de 2021</w:t>
      </w:r>
    </w:p>
    <w:bookmarkEnd w:id="4"/>
    <w:p w:rsidR="005728DD" w:rsidRDefault="005728DD" w:rsidP="005728DD">
      <w:pPr>
        <w:pStyle w:val="TtuloResolucin"/>
      </w:pPr>
      <w:r>
        <w:t>Sala Segunda</w:t>
      </w:r>
    </w:p>
    <w:p w:rsidR="005728DD" w:rsidRDefault="005728DD" w:rsidP="005728DD">
      <w:pPr>
        <w:pStyle w:val="TtuloBOE"/>
      </w:pPr>
      <w:r>
        <w:t>(BOE núm. 46, de 23 de febrero de 2021)</w:t>
      </w:r>
    </w:p>
    <w:p w:rsidR="005728DD" w:rsidRDefault="005728DD" w:rsidP="005728DD">
      <w:pPr>
        <w:pStyle w:val="TextoNormalCentrado"/>
      </w:pPr>
      <w:r>
        <w:t>ECLI:ES:TC:2021:1</w:t>
      </w:r>
    </w:p>
    <w:p w:rsidR="005728DD" w:rsidRDefault="005728DD" w:rsidP="005728DD">
      <w:pPr>
        <w:pStyle w:val="TextoNormalCentrado"/>
      </w:pPr>
    </w:p>
    <w:p w:rsidR="005728DD" w:rsidRDefault="005728DD" w:rsidP="005728DD">
      <w:pPr>
        <w:pStyle w:val="SntesisDescriptiva"/>
      </w:pPr>
      <w:r>
        <w:t>Recurso de amparo 1343-2018. Promovido por doña Joaquina Cortés Cortés en relación con la sentencia de la Sala de lo Social del Tribunal Supremo que desestimó su demanda de reconocimiento de pensión de viudedad.</w:t>
      </w:r>
    </w:p>
    <w:p w:rsidR="005728DD" w:rsidRDefault="005728DD" w:rsidP="005728DD">
      <w:pPr>
        <w:pStyle w:val="SntesisDescriptiva"/>
      </w:pPr>
    </w:p>
    <w:p w:rsidR="005728DD" w:rsidRDefault="005728DD" w:rsidP="005728DD">
      <w:pPr>
        <w:pStyle w:val="SntesisAnaltica"/>
      </w:pPr>
      <w:r>
        <w:t>Supuesta discriminación por razón de raza: denegación de la pensión de viudedad consecuencia de la inexistencia de unión matrimonial reconocida por el ordenamiento español (STEDH de 8 de diciembre de 2009, asunto Muñoz Díaz c. España). Voto particular.</w:t>
      </w:r>
    </w:p>
    <w:p w:rsidR="005728DD" w:rsidRDefault="005728DD" w:rsidP="005728DD">
      <w:pPr>
        <w:pStyle w:val="SntesisAnaltica"/>
      </w:pPr>
    </w:p>
    <w:p w:rsidR="005728DD" w:rsidRDefault="005728DD" w:rsidP="005728DD">
      <w:pPr>
        <w:pStyle w:val="Extracto"/>
      </w:pPr>
      <w:r>
        <w:t>1.</w:t>
      </w:r>
      <w:r>
        <w:tab/>
        <w:t>La virtualidad del art. 14 CE no se agota en la cláusula general de igualdad;  también se refiere a la prohibición de una serie no cerrada de supuestos concretos de discriminación que incluye una explícita prohibición de determinadas diferencias históricamente muy arraigadas y que han situado, tanto por la acción de los poderes públicos como por la práctica social, a sectores de la población en posiciones desventajosas y contrarias a la dignidad de la persona que reconoce el art. 10.1 CE (SSTC 75/1983, 128/1987, 166/1988 y 145/1991) [FJ 3].</w:t>
      </w:r>
    </w:p>
    <w:p w:rsidR="005728DD" w:rsidRDefault="005728DD" w:rsidP="005728DD">
      <w:pPr>
        <w:pStyle w:val="Extracto"/>
      </w:pPr>
    </w:p>
    <w:p w:rsidR="005728DD" w:rsidRDefault="005728DD" w:rsidP="005728DD">
      <w:pPr>
        <w:pStyle w:val="Extracto"/>
      </w:pPr>
      <w:r>
        <w:t>2.</w:t>
      </w:r>
      <w:r>
        <w:tab/>
        <w:t>Los motivos de discriminación que el art. 14 CE prohíbe pueden ser utilizados excepcionalmente como criterio de diferenciación jurídica (en relación con la raza, STC 13/2001), si bien en tales supuestos, el canon de control, al enjuiciar la legitimidad de la diferencia y las exigencias de proporcionalidad, resulta mucho más estricto, así como más rigurosa la carga de acreditar el carácter justificado de la diferenciación (SSTC 75/1983, 209/1988, 229/1992 y126/1997) [FJ 3].</w:t>
      </w:r>
    </w:p>
    <w:p w:rsidR="005728DD" w:rsidRDefault="005728DD" w:rsidP="005728DD">
      <w:pPr>
        <w:pStyle w:val="Extracto"/>
      </w:pPr>
    </w:p>
    <w:p w:rsidR="005728DD" w:rsidRDefault="005728DD" w:rsidP="005728DD">
      <w:pPr>
        <w:pStyle w:val="Extracto"/>
      </w:pPr>
      <w:r>
        <w:t>3.</w:t>
      </w:r>
      <w:r>
        <w:tab/>
        <w:t>El legislador dispone de un amplio margen de libertad en la configuración del sistema de Seguridad Social y, por ende, no supone una discriminación por razones sociales que el legislador limite la prestación de viudedad a los supuestos de convivencia matrimonial, excluyendo otras uniones o formas de convivencia [FJ 4].</w:t>
      </w:r>
    </w:p>
    <w:p w:rsidR="005728DD" w:rsidRDefault="005728DD" w:rsidP="005728DD">
      <w:pPr>
        <w:pStyle w:val="Extracto"/>
      </w:pPr>
    </w:p>
    <w:p w:rsidR="005728DD" w:rsidRDefault="005728DD" w:rsidP="005728DD">
      <w:pPr>
        <w:pStyle w:val="Extracto"/>
      </w:pPr>
      <w:r>
        <w:t>4.</w:t>
      </w:r>
      <w:r>
        <w:tab/>
        <w:t>Ninguna vulneración del art. 14 CE se deriva de que haya en la norma una asociación entre el reconocimiento de la prestación de Seguridad Social y la concurrencia de un vínculo matrimonial reconocido por el ordenamiento jurídico, no siéndolo el matrimonio gitano (STC 184/1990) [FJ 4].</w:t>
      </w:r>
    </w:p>
    <w:p w:rsidR="005728DD" w:rsidRDefault="005728DD" w:rsidP="005728DD">
      <w:pPr>
        <w:pStyle w:val="Extracto"/>
      </w:pPr>
    </w:p>
    <w:p w:rsidR="005728DD" w:rsidRDefault="005728DD" w:rsidP="005728DD">
      <w:pPr>
        <w:pStyle w:val="Extracto"/>
      </w:pPr>
      <w:r>
        <w:t>5.</w:t>
      </w:r>
      <w:r>
        <w:tab/>
        <w:t>El art. 14 CE no ampara lo que se ha denominado “discriminación por indiferenciación”, ni consagra un derecho a la desigualdad de trato (STC 117/2006) [FJ 5].</w:t>
      </w:r>
    </w:p>
    <w:p w:rsidR="005728DD" w:rsidRDefault="005728DD" w:rsidP="005728DD">
      <w:pPr>
        <w:pStyle w:val="Extracto"/>
      </w:pPr>
    </w:p>
    <w:p w:rsidR="005728DD" w:rsidRDefault="005728DD" w:rsidP="005728DD">
      <w:pPr>
        <w:pStyle w:val="Extracto"/>
      </w:pPr>
      <w:r>
        <w:t>6.</w:t>
      </w:r>
      <w:r>
        <w:tab/>
        <w:t xml:space="preserve">No es posible atender a la buena fe como canon de proporcionalidad en el juicio de la posible lesión del art. 14 CE -como hiciera en su día el Tribunal Europeo de Derechos Humanos en el asunto </w:t>
      </w:r>
      <w:r w:rsidRPr="005728DD">
        <w:rPr>
          <w:i/>
        </w:rPr>
        <w:t>Muñoz Díaz c. España</w:t>
      </w:r>
      <w:r>
        <w:t xml:space="preserve">-, a quien es plenamente conocedor de la falta de validez de su matrimonio celebrado por un rito no reconocido por nuestro ordenamiento jurídico, y no formaliza la relación </w:t>
      </w:r>
      <w:r w:rsidRPr="005728DD">
        <w:rPr>
          <w:i/>
        </w:rPr>
        <w:t xml:space="preserve">more uxorio </w:t>
      </w:r>
      <w:r>
        <w:t>en el modo exigido por la legislación para el reconocimiento del derecho a la prestación de viudedad por el sistema nacional de Seguridad Social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1343-2018, promovido a instancia de doña Joaquina Cortés Cortés, representada por el procurador de los tribunales don Antonio Luis Roncero Contreras y asistida por el letrado don Juan Pablo Mola García Galán, contra la sentencia núm. 58/2018, de fecha 25 de enero, dictada por el Pleno de la Sala de lo Social del Tribunal Supremo en el recurso de casación para la unificación de doctrina núm. 2401-2016, que revocó la sentencia dictada por el Tribunal Superior de Justicia de Andalucía (Granada), de 20 de abril de 2016, en recurso de suplicación núm. 2843-2015, a su vez revocatoria de la de 13 de octubre de 2015 del Juzgado de lo Social núm. 4 de Jaén en autos núm. 679-2014, en materia de seguridad social. Ha comparecido el Instituto Nacional de la Seguridad Social (INSS), representado por la letrada de la administración de la Seguridad Social.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En fecha 13 de marzo de 2018 tuvo entrada en este tribunal la demanda de amparo presentada por el procurador de los tribunales don Antonio Luis Roncero Contreras, en nombre y representación de doña Joaquina Cortés Cortés, contra la sentencia núm. 58/2018, de fecha 25 de enero de 2018, dictada por el Pleno de la Sala de lo Social del Tribunal Supremo en el recurso de casación para unificación de doctrina núm. 2401-2016, por posible vulneración del art. 14 CE.</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en los que se fundamenta la demanda son, en esencia, los siguientes:</w:t>
      </w:r>
    </w:p>
    <w:p w:rsidR="005728DD" w:rsidRDefault="005728DD" w:rsidP="005728DD">
      <w:pPr>
        <w:pStyle w:val="TextoNormal"/>
      </w:pPr>
    </w:p>
    <w:p w:rsidR="005728DD" w:rsidRDefault="005728DD" w:rsidP="005728DD">
      <w:pPr>
        <w:pStyle w:val="TextoNormal"/>
      </w:pPr>
      <w:r>
        <w:t>a) Con fecha de 14 de noviembre de 2014, la demandante de amparo interpuso demanda contra el Instituto Nacional de la Seguridad Social (en adelante, INSS), solicitando el reconocimiento de su derecho a la pensión de viudedad, que el INSS le había denegado tras el fallecimiento de la persona que con ella convivía.</w:t>
      </w:r>
    </w:p>
    <w:p w:rsidR="005728DD" w:rsidRDefault="005728DD" w:rsidP="005728DD">
      <w:pPr>
        <w:pStyle w:val="TextoNormal"/>
      </w:pPr>
    </w:p>
    <w:p w:rsidR="005728DD" w:rsidRDefault="005728DD" w:rsidP="005728DD">
      <w:pPr>
        <w:pStyle w:val="TextoNormal"/>
      </w:pPr>
      <w:r>
        <w:t xml:space="preserve">b) El Juzgado de lo Social núm. 4 de Jaén dictó sentencia desestimatoria el 13 de octubre de 2015. Considera probado que: (i) por resolución del INSS de 12 de septiembre de 2014, se deniega la pensión de viudedad pretendida por la recurrente en amparo, por no haberse constituido formalmente el vínculo como pareja de hecho con el causante al menos dos años </w:t>
      </w:r>
      <w:r>
        <w:lastRenderedPageBreak/>
        <w:t>antes del fallecimiento, de acuerdo a lo dispuesto por el art.174.3 de la Ley general de la Seguridad Social (LGSS); (ii) el día 18 de mayo de 1994, la recurrente celebró con el fallecido matrimonio conforme a las usos y costumbres gitanos y convivió con él al menos durante los quince años anteriores al fallecimiento; (iii) no consta inscripción de la unión como pareja de hecho; (iv) fruto de su unión nacieron cinco hijos, apareciendo los padres en las respectivas inscripciones de nacimiento como solteros. Así, en uno de los casos, figuraba como observación en la inscripción del nacimiento que los padres lo reconocían “como hijo natural declarando formalmente y bajo su responsabilidad que al tiempo de la concepción del mismo tenían capacidad legal para contraer matrimonio con dispensa o sin ella”. En otra de las inscripciones se indicaba que el matrimonio de los padres no existía y que la hija inscrita era “hija extramatrimonial”; y, finalmente, en la inscripción de otra de las hijas se señalaba que el matrimonio no existía, pero que los padres declarantes “reconocen en este acto a la inscrita como hija suya”; (v) del mismo modo, en el libro de familia en el que la recurrente y el fallecido contaban figuraban como “solteros”.</w:t>
      </w:r>
    </w:p>
    <w:p w:rsidR="005728DD" w:rsidRDefault="005728DD" w:rsidP="005728DD">
      <w:pPr>
        <w:pStyle w:val="TextoNormal"/>
      </w:pPr>
    </w:p>
    <w:p w:rsidR="005728DD" w:rsidRDefault="005728DD" w:rsidP="005728DD">
      <w:pPr>
        <w:pStyle w:val="TextoNormal"/>
      </w:pPr>
      <w:r>
        <w:t xml:space="preserve">Para alcanzar este fallo, la resolución se apoya en la sentencia de 8 de diciembre de 2009 del Tribunal Europeo de Derechos Humanos, asunto </w:t>
      </w:r>
      <w:r w:rsidRPr="005728DD">
        <w:rPr>
          <w:i/>
        </w:rPr>
        <w:t>Muñoz Díaz c. España</w:t>
      </w:r>
      <w:r>
        <w:t>, en la que se analiza la posible discriminación por la denegación del derecho a percibir pensión de viudedad basado en la pertenencia de la interesada a la etnia gitana.</w:t>
      </w:r>
    </w:p>
    <w:p w:rsidR="005728DD" w:rsidRDefault="005728DD" w:rsidP="005728DD">
      <w:pPr>
        <w:pStyle w:val="TextoNormal"/>
      </w:pPr>
    </w:p>
    <w:p w:rsidR="005728DD" w:rsidRDefault="005728DD" w:rsidP="005728DD">
      <w:pPr>
        <w:pStyle w:val="TextoNormal"/>
      </w:pPr>
      <w:r>
        <w:t>Destaca el juzgador que en aquella sentencia del Tribunal Europeo de Derechos Humanos fue decisivo que la convicción de la demandante de su condición de mujer casada con todos los efectos inherentes a este estado se viera reforzada por la actitud de las autoridades públicas, generándose una expectativa legítima a ser considerada como esposa del fallecido, por lo que la denegación del reconocimiento de la condición de cónyuge, al objeto de obtener una pensión de viudedad, se contradecía con la aceptación y declaración previas de dicha condición por parte de la administración. Para el órgano judicial, en aquel caso, la negativa al reconocimiento del derecho de aquella demandante a percibir una pensión de viudedad, constituía una diferencia de trato en relación con el ofrecido por la ley u otorgado por la jurisprudencia en otras situaciones equivalentes en cuanto al parámetro de la buena fe, como aquellos en los que existe un convencimiento de la existencia de un matrimonio nulo o como el de la situación examinada en la STC 199/2004, de 15 noviembre, que concernía a la no formalización, por razones de conciencia, de un matrimonio canónico.</w:t>
      </w:r>
    </w:p>
    <w:p w:rsidR="005728DD" w:rsidRDefault="005728DD" w:rsidP="005728DD">
      <w:pPr>
        <w:pStyle w:val="TextoNormal"/>
      </w:pPr>
    </w:p>
    <w:p w:rsidR="005728DD" w:rsidRDefault="005728DD" w:rsidP="005728DD">
      <w:pPr>
        <w:pStyle w:val="TextoNormal"/>
      </w:pPr>
      <w:r>
        <w:t xml:space="preserve">A tenor de esa doctrina, concluye el órgano judicial que en esta ocasión no puede apreciarse buena fe, “en cuanto a la validez y eficacia del matrimonio que esta contrajo por el rito gitano, pues las autoridades españolas nunca reconocieron ni la validez, ni la apariencia de validez de ese matrimonio, pues en la documental aportada, tanto la actora como el padre de sus hijos aparecen como solteros y todos los hijos como nacidos fuera del matrimonio; así consta en el hecho probado sexto. Su situación, por tanto, es muy diferente a la que fue analizada por el Tribunal Europeo de Derechos Humanos en el asunto </w:t>
      </w:r>
      <w:r w:rsidRPr="005728DD">
        <w:rPr>
          <w:i/>
        </w:rPr>
        <w:t>Muñoz Díaz c. España</w:t>
      </w:r>
      <w:r>
        <w:t>”.</w:t>
      </w:r>
    </w:p>
    <w:p w:rsidR="005728DD" w:rsidRDefault="005728DD" w:rsidP="005728DD">
      <w:pPr>
        <w:pStyle w:val="TextoNormal"/>
      </w:pPr>
    </w:p>
    <w:p w:rsidR="005728DD" w:rsidRDefault="005728DD" w:rsidP="005728DD">
      <w:pPr>
        <w:pStyle w:val="TextoNormal"/>
      </w:pPr>
      <w:r>
        <w:t xml:space="preserve">Por lo demás, en relación con la pretensión subsidiaria de la pensión por su acreditada convivencia </w:t>
      </w:r>
      <w:r w:rsidRPr="005728DD">
        <w:rPr>
          <w:i/>
        </w:rPr>
        <w:t>more uxorio</w:t>
      </w:r>
      <w:r>
        <w:t xml:space="preserve"> con el causante, la sentencia razona que, en el caso de las parejas de hecho, tras la reforma llevada a cabo por la Ley 40/2007, para causar derecho a percibir la pensión de viudedad es requisito constitutivo la inscripción de la pareja en la forma establecida en el art. 174.3 LGSS, requisito que no fue satisfecho por la demandante. Entiende </w:t>
      </w:r>
      <w:r>
        <w:lastRenderedPageBreak/>
        <w:t>el juzgador que, si bien la aspiración de esa norma es la de adaptar la legislación sobre Seguridad Social a las nuevas realidades familiares, ello no significa que se extienda la pensión de viudedad de forma incondicionada, ni que establezca un régimen de reconocimiento análogo al correspondiente a los supuestos de matrimonio. Antes bien, del texto legal se infiere sin dificultad que el legislador distingue claramente dos situaciones. A saber: de un lado, las uniones de hecho objeto de protección y, de otro, las características de la convivencia requerida para lucrarla. Dos requisitos que tienen carácter dispar, cumplen funciones diversas y operan en distintos planos jurídicos (ámbito subjetivo de la protección, por un lado, y requisitos de acceso a la prestación, por otro), de suerte que cabe distinguir entre la prueba de la convivencia —que ha de ser estable, ininterrumpida y con duración no inferior a cinco años— y la prueba de la existencia de una unión que pueda considerarse pareja de hecho a los exclusivos efectos del reconocimiento de la pensión, sin que en esto último baste acreditar aquella convivencia, porque se exige también que la pareja haya accedido a los registros públicos indicados en la norma o se haya constituido mediante documento público, lo que en esta ocasión, termina la sentencia, no se cumple. Por todo ello, se desestima la demanda.</w:t>
      </w:r>
    </w:p>
    <w:p w:rsidR="005728DD" w:rsidRDefault="005728DD" w:rsidP="005728DD">
      <w:pPr>
        <w:pStyle w:val="TextoNormal"/>
      </w:pPr>
    </w:p>
    <w:p w:rsidR="005728DD" w:rsidRDefault="005728DD" w:rsidP="005728DD">
      <w:pPr>
        <w:pStyle w:val="TextoNormal"/>
      </w:pPr>
      <w:r>
        <w:t>c) Interpuesto recurso de suplicación, la Sala de lo Social del Tribunal Superior de Justicia de Andalucía (Granada) dictó sentencia con fecha de 20 de abril de 2016, revocando la de instancia y reconociendo el derecho de la demandante de amparo a la pensión de viudedad.</w:t>
      </w:r>
    </w:p>
    <w:p w:rsidR="005728DD" w:rsidRDefault="005728DD" w:rsidP="005728DD">
      <w:pPr>
        <w:pStyle w:val="TextoNormal"/>
      </w:pPr>
    </w:p>
    <w:p w:rsidR="005728DD" w:rsidRDefault="005728DD" w:rsidP="005728DD">
      <w:pPr>
        <w:pStyle w:val="TextoNormal"/>
      </w:pPr>
      <w:r>
        <w:t>Para la Sala, aunque en el libro de familia figuren como solteros la actora y el causante, tal dato no resulta suficiente para desvirtuar su buena fe respecto a la validez y eficacia de su matrimonio contraído bajo el rito gitano, ya que en la inscripción de nacimiento de los hijos, el progenitor que la solicitaba realizó su reconocimiento de filiación como hijos naturales, al no estar inscrito previamente el matrimonio civil o canónico, efectuando la inscripción un funcionario encargado del registro y existiendo libro de familia, lo que evidenciaría una clara intención frente a los organismos públicos de ser entendidos como una unión. Una pareja que, por lo demás, convivió como matrimonio al menos durante los últimos quince años y que celebró su unión conyugal en el seno de una realidad social y cultural muy distinta a la actual, cuando la actora no contaba siquiera con la edad de quince años, teniendo, además, cinco hijos en común.</w:t>
      </w:r>
    </w:p>
    <w:p w:rsidR="005728DD" w:rsidRDefault="005728DD" w:rsidP="005728DD">
      <w:pPr>
        <w:pStyle w:val="TextoNormal"/>
      </w:pPr>
    </w:p>
    <w:p w:rsidR="005728DD" w:rsidRDefault="005728DD" w:rsidP="005728DD">
      <w:pPr>
        <w:pStyle w:val="TextoNormal"/>
      </w:pPr>
      <w:r>
        <w:t>A la vista de todo ello, el órgano judicial entiende que no es posible apreciar que dolosamente se fingieran como matrimonio en su entorno familiar y social durante tanto tiempo con la finalidad de tener derecho en el futuro a cobrar una pensión, por lo que denegarla supondría una discriminación por razones étnicas y culturales. En consecuencia, estima el recurso y revoca la resolución de instancia, declarando el derecho de la actora a percibir la pensión de viudedad en la cuantía legal y desde la fecha reglamentaria.</w:t>
      </w:r>
    </w:p>
    <w:p w:rsidR="005728DD" w:rsidRDefault="005728DD" w:rsidP="005728DD">
      <w:pPr>
        <w:pStyle w:val="TextoNormal"/>
      </w:pPr>
    </w:p>
    <w:p w:rsidR="005728DD" w:rsidRDefault="005728DD" w:rsidP="005728DD">
      <w:pPr>
        <w:pStyle w:val="TextoNormal"/>
      </w:pPr>
      <w:r>
        <w:t>d) El INSS y la Tesorería General de la Seguridad Social (en adelante, TGSS) formalizaron recurso de casación para la unificación de doctrina. El Pleno de la Sala de lo Social del Tribunal Supremo con fecha de 25 de enero de 2018, dictó sentencia anulando la resolución recurrida y, consiguientemente, desestimando la demanda.</w:t>
      </w:r>
    </w:p>
    <w:p w:rsidR="005728DD" w:rsidRDefault="005728DD" w:rsidP="005728DD">
      <w:pPr>
        <w:pStyle w:val="TextoNormal"/>
      </w:pPr>
    </w:p>
    <w:p w:rsidR="005728DD" w:rsidRDefault="005728DD" w:rsidP="005728DD">
      <w:pPr>
        <w:pStyle w:val="TextoNormal"/>
      </w:pPr>
      <w:r>
        <w:t xml:space="preserve">Subraya el Tribunal Supremo que la norma de cuya interpretación se trata, el art. 174.3 LGSS, no ofrece la claridad que es siempre deseable en cualquier disposición legal, pero </w:t>
      </w:r>
      <w:r>
        <w:lastRenderedPageBreak/>
        <w:t>ese innegable defecto de técnica legislativa no obsta que los términos en que se expresa muestren la voluntad del legislador de establecer una prueba tasada sobre la constitución de la pareja estable, dotándola de la fehaciencia que ofrece la inscripción en el registro específico o el otorgamiento de escritura pública. Advierte que, frente a los cauces legales previstos, el libro de familia es un documento público que acredita el matrimonio y la filiación (matrimonial, no matrimonial o adoptiva), pero no la existencia de pareja de hecho. Y, siendo así, y no habiéndose cumplido en el caso de autos los requisitos legales, no cabe alcanzar conclusión distinta a la de la instancia, así como tampoco con base en la STEDH de 8 de diciembre de 2009, pues contempla un supuesto anterior a la promulgación de la Ley 40/2007, que además tuvo como presupuesto la buena fe de la demandante y su legítima confianza en los plenos efectos del “matrimonio gitano”, especialmente por el reconocimiento de la unión conyugal que hizo la administración en determinados documentos oficiales, lo que, sin embargo, no acontece en el supuesto enjuiciado.</w:t>
      </w:r>
    </w:p>
    <w:p w:rsidR="005728DD" w:rsidRDefault="005728DD" w:rsidP="005728DD">
      <w:pPr>
        <w:pStyle w:val="TextoNormal"/>
      </w:pPr>
    </w:p>
    <w:p w:rsidR="005728DD" w:rsidRDefault="005728DD" w:rsidP="005728DD">
      <w:pPr>
        <w:pStyle w:val="TextoNormal"/>
      </w:pPr>
      <w:r>
        <w:t>Por tanto, partiendo de que el Tribunal Europeo de Derechos Humanos no atribuyó eficacia jurídica alguna al “matrimonio gitano”, sino a la expectativa generada y a la comprensible buena fe que se advertía, que era en definitiva lo que justificaba otorgar el mismo trato favorable dado por el ordenamiento jurídico a supuestos similares, en el presente caso debe aplicarse la doctrina contenida en la STC 69/2007, de 16 de abril, según la cual el art. 14 CE no alcanza a dar cobertura a la llamada discriminación por indiferenciación, al no consagrar ese derecho fundamental un derecho subjetivo al trato normativo desigual.</w:t>
      </w:r>
    </w:p>
    <w:p w:rsidR="005728DD" w:rsidRDefault="005728DD" w:rsidP="005728DD">
      <w:pPr>
        <w:pStyle w:val="TextoNormal"/>
      </w:pPr>
    </w:p>
    <w:p w:rsidR="005728DD" w:rsidRDefault="005728DD" w:rsidP="005728DD">
      <w:pPr>
        <w:pStyle w:val="TextoNormal"/>
      </w:pPr>
      <w:r>
        <w:t>En definitiva, para la Sala, la pertenencia a una minoría étnica, según aquella sentencia del Tribunal Europeo de Derechos Humanos, no sería lo decisivo en la aplicación o interpretación de la norma, sino la concurrencia o no de buena fe. Y el supuesto enjuiciado resulta bien diverso al de aquel pronunciamiento, aunque medien coincidencia en el colectivo afectado e identidad en la prestación solicitada, “pues lo aducido no es —ni podría serlo— buena fe en la creencia de eficaz vínculo matrimonial a los efectos del derecho español, porque en la documentación oficial —Libro de Familia e inscripciones de nacimiento— se hace constar expresamente su cualidad de solteros e hijos extramatrimoniales. Es más, tan siquiera se reclama el derecho por el mismo título que en el supuesto enjuiciado por el Tribunal Europeo, siendo así que en aquel caso se invocaba —no podía ser de otra manera, dado que el fallecimiento había sido anterior a la Ley 40/2007— la existencia de matrimonio, y en el proceso ahora enjuiciado el título que se invoca es el de pareja de hecho”.</w:t>
      </w:r>
    </w:p>
    <w:p w:rsidR="005728DD" w:rsidRDefault="005728DD" w:rsidP="005728DD">
      <w:pPr>
        <w:pStyle w:val="TextoNormal"/>
      </w:pPr>
    </w:p>
    <w:p w:rsidR="005728DD" w:rsidRDefault="005728DD" w:rsidP="005728DD">
      <w:pPr>
        <w:pStyle w:val="TextoNormal"/>
      </w:pPr>
      <w:r>
        <w:t xml:space="preserve">Y añade a renglón seguido que: (i) la respetabilidad atribuible a la unión por el rito gitano no justifica hacer una equiparación a la inscripción registral o documentación pública de la pareja de hecho, de naturaleza constitutiva; (ii) la regulación contenida en el art. 174.3 LGSS de 1994 es neutral desde la perspectiva racial, al carecer por completo de cualquier tipo de connotación étnica; (iii) el art. 14 CE no consagra un derecho subjetivo al trato normativo desigual; (iv) admitir la solución pretendida por la demandante comportaría hacer de peor condición a quienes por razones ideológicas, tan respetables como las culturales, no se han constituido como pareja de hecho en la forma legalmente prescrita y a los que, no infrecuentemente, les ha sido también denegada la prestación de viudedad; (v) la vulnerabilidad de las múltiples minorías étnicas y culturales existentes no puede conllevar excepcionar la aplicación de la ley en los múltiples aspectos en que pudiera reflejarse su diversidad étnico/cultural so pena de comprometer gravemente la seguridad jurídica y la uniformidad normativa, </w:t>
      </w:r>
      <w:r>
        <w:lastRenderedPageBreak/>
        <w:t>como evidencia la propia doctrina del Tribunal Europeo de Derechos Humanos en el asunt</w:t>
      </w:r>
      <w:r w:rsidRPr="005728DD">
        <w:rPr>
          <w:i/>
        </w:rPr>
        <w:t>o Muñoz Díaz c. Espa</w:t>
      </w:r>
      <w:r>
        <w:t>ña.</w:t>
      </w:r>
    </w:p>
    <w:p w:rsidR="005728DD" w:rsidRDefault="005728DD" w:rsidP="005728DD">
      <w:pPr>
        <w:pStyle w:val="TextoNormal"/>
      </w:pPr>
    </w:p>
    <w:p w:rsidR="005728DD" w:rsidRDefault="005728DD" w:rsidP="005728DD">
      <w:pPr>
        <w:pStyle w:val="TextoNormal"/>
      </w:pPr>
      <w:r>
        <w:t>Por todo ello, el Tribunal Supremo revoca la sentencia recurrida y desestima la demanda formulada.</w:t>
      </w:r>
    </w:p>
    <w:p w:rsidR="005728DD" w:rsidRDefault="005728DD" w:rsidP="005728DD">
      <w:pPr>
        <w:pStyle w:val="TextoNormal"/>
      </w:pPr>
    </w:p>
    <w:p w:rsidR="005728DD" w:rsidRDefault="005728DD" w:rsidP="005728DD">
      <w:pPr>
        <w:pStyle w:val="TextoNormal"/>
      </w:pPr>
      <w:r>
        <w:t xml:space="preserve">Conviene resaltar que esta sentencia cuenta con un voto particular discrepante, en el que las magistradas que lo emiten subrayan la ausencia de analogía entre el supuesto sometido a la valoración del Tribunal Supremo y el resuelto por el Tribunal Europeo de Derechos Humanos en el asunto </w:t>
      </w:r>
      <w:r w:rsidRPr="005728DD">
        <w:rPr>
          <w:i/>
        </w:rPr>
        <w:t>Muñoz Díaz c. España</w:t>
      </w:r>
      <w:r>
        <w:t>. Así, en primer lugar, destacan que en este último supuesto se partía del reconocimiento por las autoridades españolas de la relación existente entre la demandante y el fallecido y, sin embargo, en el caso de doña Joaquina Cortés ello no ha sucedido. Por consiguiente, el asunto se ciñe a resolver la posibilidad de acceso a la pensión de viudedad como pareja de hecho de quien ha estado unida al causante en virtud de un rito matrimonial gitano y a la interpretación que debe hacerse de lo dispuesto en el art. 174.3 LGSS aplicable al caso. Es más, dado que en este caso no se suscita duda sobre la concurrencia del requisito de la convivencia, hay que ceñir el problema al análisis de la falta de inscripción de la pareja en alguno de los registros establecidos al efecto o a la constancia de su constitución en documento público. Y es en este punto donde, en opinión de las magistradas discrepantes, conviene preguntarse si, pese a la neutralidad de la regla del art. 174.3 LGSS, el colectivo de raza gitana puede verse particularmente afectado debido a las características de sus tradiciones, de suerte que pueda identificarse una discriminación indirecta. Concluyen que exigirles su acreditación como pareja en la forma legalmente admitida, es una medida redundante e innecesaria, porque la especial realidad fáctica de este grupo étnico ofrece mayores garantías que esa situación de pareja existe mientras perdura la convivencia, superando el test de satisfacción de la finalidad buscada por la norma.</w:t>
      </w:r>
    </w:p>
    <w:p w:rsidR="005728DD" w:rsidRDefault="005728DD" w:rsidP="005728DD">
      <w:pPr>
        <w:pStyle w:val="TextoNormal"/>
      </w:pPr>
    </w:p>
    <w:p w:rsidR="005728DD" w:rsidRDefault="005728DD" w:rsidP="005728DD">
      <w:pPr>
        <w:pStyle w:val="TextoNormal"/>
      </w:pPr>
      <w:r>
        <w:t>En definitiva, según se expone en el voto particular, aunque no cabe inaplicar la norma al colectivo gitano, una interpretación conforme al respeto a las minorías étnicas, sí permite flexibilizar su interpretación cuando se den las circunstancias que permitan afirmar que el mantenimiento de la convivencia ha sido real, efectivo y con indiscutible carácter de pareja unida maritalmente.</w:t>
      </w:r>
    </w:p>
    <w:p w:rsidR="005728DD" w:rsidRDefault="005728DD" w:rsidP="005728DD">
      <w:pPr>
        <w:pStyle w:val="TextoNormal"/>
      </w:pPr>
    </w:p>
    <w:p w:rsidR="005728DD" w:rsidRDefault="005728DD" w:rsidP="005728DD">
      <w:pPr>
        <w:pStyle w:val="TextoNormal"/>
      </w:pPr>
      <w:r w:rsidRPr="005728DD">
        <w:rPr>
          <w:rStyle w:val="NumeroAFNegritaCaracter"/>
        </w:rPr>
        <w:t>3</w:t>
      </w:r>
      <w:r>
        <w:t>. El recurso de amparo se dirige contra la sentencia indicada en el encabezamiento de esta resolución, dictada por el Pleno de la Sala de lo Social del Tribunal Supremo, por entender que vulnera el derecho a no sufrir discriminación racial/étnica (art. 14 CE).</w:t>
      </w:r>
    </w:p>
    <w:p w:rsidR="005728DD" w:rsidRDefault="005728DD" w:rsidP="005728DD">
      <w:pPr>
        <w:pStyle w:val="TextoNormal"/>
      </w:pPr>
    </w:p>
    <w:p w:rsidR="005728DD" w:rsidRDefault="005728DD" w:rsidP="005728DD">
      <w:pPr>
        <w:pStyle w:val="TextoNormal"/>
      </w:pPr>
      <w:r>
        <w:t xml:space="preserve">La actora, partiendo de la reiteradamente citada STEDH de 8 de diciembre de 2009, asunto </w:t>
      </w:r>
      <w:r w:rsidRPr="005728DD">
        <w:rPr>
          <w:i/>
        </w:rPr>
        <w:t>Muñoz Díaz c. España</w:t>
      </w:r>
      <w:r>
        <w:t>, defiende que se ha producido una vulneración del derecho a la igualdad y no discriminación, pues ambos miembros del matrimonio, contraído por el rito gitano, actuaron con buena fe y con la creencia de la plena validez de su matrimonio así contraído. Denegarle la pensión de viudedad, a pesar de la convicción de la recurrente en cuanto a su condición de mujer casada con todos los efectos inherentes a este estado, supone sustraerle un derecho que, sin embargo, ha sido tutelado por este tribunal en situaciones equiparables (así por ejemplo, en la STC 199/2004, de 15 de noviembre).</w:t>
      </w:r>
    </w:p>
    <w:p w:rsidR="005728DD" w:rsidRDefault="005728DD" w:rsidP="005728DD">
      <w:pPr>
        <w:pStyle w:val="TextoNormal"/>
      </w:pPr>
    </w:p>
    <w:p w:rsidR="005728DD" w:rsidRDefault="005728DD" w:rsidP="005728DD">
      <w:pPr>
        <w:pStyle w:val="TextoNormal"/>
      </w:pPr>
      <w:r>
        <w:t xml:space="preserve">Subsidiariamente, prosigue, si no se estimase concurrente el derecho de percepción de la pensión con base en el matrimonio de referencia, existiría en todo caso el mismo derecho al </w:t>
      </w:r>
      <w:r>
        <w:lastRenderedPageBreak/>
        <w:t xml:space="preserve">haberse acreditado una convivencia </w:t>
      </w:r>
      <w:r w:rsidRPr="005728DD">
        <w:rPr>
          <w:i/>
        </w:rPr>
        <w:t>more uxorio</w:t>
      </w:r>
      <w:r>
        <w:t xml:space="preserve"> con el fallecido, consolidada a lo largo de los años, de forma pública, creándose así, en suma, una comunidad de vida amplia, de intereses y fines, en el núcleo del mismo hogar y por un periodo superior a los diez años, tal como consta reflejado en documentos obrantes en las actuaciones.</w:t>
      </w:r>
    </w:p>
    <w:p w:rsidR="005728DD" w:rsidRDefault="005728DD" w:rsidP="005728DD">
      <w:pPr>
        <w:pStyle w:val="TextoNormal"/>
      </w:pPr>
    </w:p>
    <w:p w:rsidR="005728DD" w:rsidRDefault="005728DD" w:rsidP="005728DD">
      <w:pPr>
        <w:pStyle w:val="TextoNormal"/>
      </w:pPr>
      <w:r>
        <w:t xml:space="preserve">Por ello, respecto a esta pretensión subsidiaria, subraya la recurrente que, como se dijera en el voto particular formulado a la sentencia recurrida, se ha incurrido en una discriminación de carácter indirecto. Esto es, que la neutralidad de la regla legal sobre la constitución de parejas de hecho, como presupuesto del acceso a la pensión, puede afectar particularmente al colectivo gitano, debido a las particulares características de sus tradiciones. Incide en que no debe olvidarse que el propio Tribunal Europeo de Derechos Humanos ha señalado que, como resultado de su historia turbulenta y de su constante desarraigo, los gitanos se han convertido en una minoría especialmente desfavorecida y vulnerable, y que, por lo tanto, necesitan de una protección especial, prestando singular atención a sus necesidades y a su estilo de vida diferente, tanto en el marco normativo pertinente, como en las decisiones de los casos concretos (SSTEDH de 27 mayo 2004, asunto </w:t>
      </w:r>
      <w:r w:rsidRPr="005728DD">
        <w:rPr>
          <w:i/>
        </w:rPr>
        <w:t>Connors c. Reino Unido</w:t>
      </w:r>
      <w:r>
        <w:t xml:space="preserve">, y de 9 enero 2013, asunto </w:t>
      </w:r>
      <w:r w:rsidRPr="005728DD">
        <w:rPr>
          <w:i/>
        </w:rPr>
        <w:t>Horváth y Kiss c. Hungría</w:t>
      </w:r>
      <w:r>
        <w:t>).</w:t>
      </w:r>
    </w:p>
    <w:p w:rsidR="005728DD" w:rsidRDefault="005728DD" w:rsidP="005728DD">
      <w:pPr>
        <w:pStyle w:val="TextoNormal"/>
      </w:pPr>
    </w:p>
    <w:p w:rsidR="005728DD" w:rsidRDefault="005728DD" w:rsidP="005728DD">
      <w:pPr>
        <w:pStyle w:val="TextoNormal"/>
      </w:pPr>
      <w:r>
        <w:t>Con cita del voto particular emitido en la sentencia del Tribunal Supremo al que ya se ha hecho referencia, subraya que, dado el fuerte arraigo de sus tradiciones y la sólida estructura de la comunidad gitana, intensamente ligada a la familia y al parentesco, no debe hacerse caso omiso al hecho de que, a partir de la unión de la pareja mediante el rito propio de su cultura y acreditada indubitadamente la convivencia permanente desde ese momento hasta el fallecimiento del causante, es obvio que los convivientes gitanos mantienen la convicción de que su relación de pareja se desarrolla como la de cualquier otro matrimonio, con independencia de la ineficacia jurídica de aquel rito. De este modo, la buena fe, considerada por el Tribunal Europeo de Derechos Humanos en la sentencia de 8 de diciembre de 2009, debería ser también ahora apreciada, sin exigir que la existencia de la pareja de hecho se acredite mediante su inscripción en el registro pertinente. Ese elemento resultaría, a su juicio, redundante e innecesario, en la medida en que para la pareja gitana la aceptación de la llamada “ley gitana” les convierte, a su entender y al del resto de la comunidad en la que desarrollan su vida, en una unidad matrimonial no cuestionada.</w:t>
      </w:r>
    </w:p>
    <w:p w:rsidR="005728DD" w:rsidRDefault="005728DD" w:rsidP="005728DD">
      <w:pPr>
        <w:pStyle w:val="TextoNormal"/>
      </w:pPr>
    </w:p>
    <w:p w:rsidR="005728DD" w:rsidRDefault="005728DD" w:rsidP="005728DD">
      <w:pPr>
        <w:pStyle w:val="TextoNormal"/>
      </w:pPr>
      <w:r>
        <w:t>En suma, la demandante de amparo concluye en los mismos términos que el voto particular de la sentencia impugnada. Esto es, que, mientras que la regla del art. 174.3 LGSS tiende a constatar la verdadera existencia de la pareja de hecho, la especial realidad fáctica de este grupo étnico ofrece garantías de que esa situación de pareja existe, en tanto que perdura la convivencia entre sus dos componentes, superándose con ello el test necesario de satisfacción de la finalidad a la que se orienta aquella norma que regula la formalización de las uniones de hecho. Cuando menos, afirma, debería ser así estimado en los casos en que, como el de autos, se dan las circunstancias que permiten acreditar que el mantenimiento de la convivencia ha sido real, efectivo y con indiscutible vocación de pareja unida maritalmente.</w:t>
      </w:r>
    </w:p>
    <w:p w:rsidR="005728DD" w:rsidRDefault="005728DD" w:rsidP="005728DD">
      <w:pPr>
        <w:pStyle w:val="TextoNormal"/>
      </w:pPr>
    </w:p>
    <w:p w:rsidR="005728DD" w:rsidRDefault="005728DD" w:rsidP="005728DD">
      <w:pPr>
        <w:pStyle w:val="TextoNormal"/>
      </w:pPr>
      <w:r>
        <w:t>En virtud de todo ello, solicita la declaración de nulidad de la sentencia de 25 de enero de 2018, dictada por el Pleno de la Sala de lo Social del Tribunal Supremo, al haber vulnerado el art. 14 CE, declarando, en consecuencia, su derecho a percibir la prestación por viudedad que le ha sido denegada.</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la Sección Cuarta de la Sala Segunda de este Tribunal, de 14 de enero de 2019, se acordó admitir a trámite el recurso, apreciando que existe especial trascendencia constitucional (art. 50.1 de la Ley Orgánica del Tribunal Constitucional) porque puede dar ocasión al tribunal para aclarar o cambiar su doctrina, como consecuencia de un proceso de reflexión interna [STC 155/2009, FJ 2 b)]. Asimismo, se acordó recabar certificación o fotocopia adverada de las correspondientes actuaciones al Tribunal Supremo, al Tribunal Superior de Justicia de Andalucía (Granada) y al Juzgado de lo Social núm. 4 de Jaén, solicitando de este último que emplazara a los que fueron parte en el procedimiento del que trae origen este recurso, salvo a la parte recurrente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que tuvo entrada el día 5 de febrero de 2019 en el registro general de este tribunal, se personó en el recurso de amparo la letrada de la administración de la Seguridad Social, en nombre y representación del INSS, solicitando que se le tuviera por parte en el proceso constitucional y que se entendieran con ella las sucesivas diligencias.</w:t>
      </w:r>
    </w:p>
    <w:p w:rsidR="005728DD" w:rsidRDefault="005728DD" w:rsidP="005728DD">
      <w:pPr>
        <w:pStyle w:val="TextoNormal"/>
      </w:pPr>
    </w:p>
    <w:p w:rsidR="005728DD" w:rsidRDefault="005728DD" w:rsidP="005728DD">
      <w:pPr>
        <w:pStyle w:val="TextoNormal"/>
      </w:pPr>
      <w:r w:rsidRPr="005728DD">
        <w:rPr>
          <w:rStyle w:val="NumeroAFNegritaCaracter"/>
        </w:rPr>
        <w:t>6</w:t>
      </w:r>
      <w:r>
        <w:t>. Cumplido lo ordenado en la providencia mencionada, en fecha 20 de febrero de 2019 se dictó diligencia de ordenación acordando tener por personada y parte en el procedimiento a la representación del INSS y, a tenor de lo dispuesto en el art. 52.1 LOTC, dar vista de todas las actuaciones al Ministerio Fiscal y a las partes personadas, por plazo común de veinte días, para que dentro de él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22 de marzo de 2019, la letrada de la administración de la Seguridad Social, en representación del INSS, presentó sus alegaciones, defendiendo que el recurso no podía prosperar.</w:t>
      </w:r>
    </w:p>
    <w:p w:rsidR="005728DD" w:rsidRDefault="005728DD" w:rsidP="005728DD">
      <w:pPr>
        <w:pStyle w:val="TextoNormal"/>
      </w:pPr>
    </w:p>
    <w:p w:rsidR="005728DD" w:rsidRDefault="005728DD" w:rsidP="005728DD">
      <w:pPr>
        <w:pStyle w:val="TextoNormal"/>
      </w:pPr>
      <w:r>
        <w:t xml:space="preserve">Después de hacer referencia a la normativa rectora en materia de pensión de viudedad y a los argumentos que sostuvo el INSS en el proceso o las propias resoluciones judiciales en su fundamentación jurídica, aduce que: (i) los criterios del Tribunal Supremo en orden al deber de cumplimiento del requisito de inscripción de la pareja de hecho en el correspondiente registro han sido ratificados por el Tribunal Constitucional en varias sentencias (cita las SSTC 40/2014, de 11 de marzo; 45/2014, de 7 de abril, y 60/2014, de 5 de mayo), no resultando contraria al art. 14 CE la exigencia que prescriben, pues no carece de una finalidad constitucionalmente legitima en tanto que atiende a constatar, a través de un medio idóneo, necesario y proporcionado, el compromiso de convivencia entre las miembros de una pareja de hecho, permitiendo identificar así una concreta situación de necesidad merecedora de protección a través de la pensión de viudedad del sistema de Seguridad Social; (ii) la regulación contenida en el art. 174.3 LGSS-1994 resulta neutral desde la perspectiva racial; (iii) según la doctrina constitucional, el art. 14 CE no integra la prohibición de discriminación por indiferenciación, al no consagrar un derecho a la desigualdad de trato; (iv) como señala el Tribunal Supremo en la sentencia recurrida, admitir la solución pretendida por la demandante de amparo comportaría hacer de peor condición a quienes por razones ideológicas, no se han constituido como pareja de hecho en la forma legalmente prescrita; (v) incluso en la jurisprudencia del Tribunal Europeo de Derechos Humanos, se advierte que la ponderación de los intereses en juego no prevalece ni merece primacía sobre la aplicación de la norma, ya que de otro modo se comprometería gravemente la seguridad jurídica </w:t>
      </w:r>
      <w:r>
        <w:lastRenderedPageBreak/>
        <w:t xml:space="preserve">y la uniformidad en la aplicación de la ley, lo que sería contrario al art. 9.1 CE; (vi) nada ha impedido a la Sra. Cortés cumplir con los requisitos legalmente establecidos para acceder a la prestación solicitada, pues no existe en ellos vulneración de los principios de igualdad, libertad de pensamiento o de expresión, sino todo lo contrario, al garantizarse a su través, precisamente, el principio de legalidad y a un trato igual a todos los destinatarios de la norma; (vii) la sentencia recurrida se ajusta plenamente a todos los principios enunciados, más aún si se atiende a que la STEDH en el asunto </w:t>
      </w:r>
      <w:r w:rsidRPr="005728DD">
        <w:rPr>
          <w:i/>
        </w:rPr>
        <w:t>Muñoz Díaz c. España</w:t>
      </w:r>
      <w:r>
        <w:t xml:space="preserve"> no coincide en sus presupuestos con lo que se controvierte en el caso de autos, al no apreciarse esta vez la convicción de buena fe en relación con la validez del matrimonio celebrado conforme a los usos y costumbres gitanos (lo acreditaría el hecho probado que describe que en el propio libro de familia, del que eran titulares el causante y la actora, estos figuraban como solteros, y que así lo reconocían en las inscripciones del nacimiento de diversos hijos, sin que ese documento, por lo demás y como es sabido, tenga valor de atribución o reconocimiento de la existencia de una pareja de hecho formalizada).</w:t>
      </w:r>
    </w:p>
    <w:p w:rsidR="005728DD" w:rsidRDefault="005728DD" w:rsidP="005728DD">
      <w:pPr>
        <w:pStyle w:val="TextoNormal"/>
      </w:pPr>
    </w:p>
    <w:p w:rsidR="005728DD" w:rsidRDefault="005728DD" w:rsidP="005728DD">
      <w:pPr>
        <w:pStyle w:val="TextoNormal"/>
      </w:pPr>
      <w:r>
        <w:t>A tenor de esas bases, concluye el escrito, no se producen las vulneraciones denunciadas del art. 14 CE.</w:t>
      </w:r>
    </w:p>
    <w:p w:rsidR="005728DD" w:rsidRDefault="005728DD" w:rsidP="005728DD">
      <w:pPr>
        <w:pStyle w:val="TextoNormal"/>
      </w:pPr>
    </w:p>
    <w:p w:rsidR="005728DD" w:rsidRDefault="005728DD" w:rsidP="005728DD">
      <w:pPr>
        <w:pStyle w:val="TextoNormal"/>
      </w:pPr>
      <w:r w:rsidRPr="005728DD">
        <w:rPr>
          <w:rStyle w:val="NumeroAFNegritaCaracter"/>
        </w:rPr>
        <w:t>8</w:t>
      </w:r>
      <w:r>
        <w:t>. El día 22 de marzo de 2019 evacuó el trámite de alegaciones el Ministerio Fiscal, interesando la desestimación de la demanda de amparo.</w:t>
      </w:r>
    </w:p>
    <w:p w:rsidR="005728DD" w:rsidRDefault="005728DD" w:rsidP="005728DD">
      <w:pPr>
        <w:pStyle w:val="TextoNormal"/>
      </w:pPr>
    </w:p>
    <w:p w:rsidR="005728DD" w:rsidRDefault="005728DD" w:rsidP="005728DD">
      <w:pPr>
        <w:pStyle w:val="TextoNormal"/>
      </w:pPr>
      <w:r>
        <w:t>Sostiene, como hiciera también la letrada de la administración de la Seguridad Social, que no se produjo la alegada discriminación por razón de etnia o raza. España, recuerda, considera matrimonio valido el celebrado según las normas del Código civil, que son aplicables a cualquier persona. La legislación española, añade después, no reconoce al llamado matrimonio gitano validez como tal matrimonio, según resulta de los arts. 49 al 52 del código civil, y no existe tampoco un concordato o convenio con los representantes del pueblo gitano equivalente a los celebrados con los representantes de las confesiones religiosas a cuyas ceremonias matrimoniales se les otorga la cualidad de forma valida de prestar el consentimiento en nuestro ordenamiento jurídico.</w:t>
      </w:r>
    </w:p>
    <w:p w:rsidR="005728DD" w:rsidRDefault="005728DD" w:rsidP="005728DD">
      <w:pPr>
        <w:pStyle w:val="TextoNormal"/>
      </w:pPr>
    </w:p>
    <w:p w:rsidR="005728DD" w:rsidRDefault="005728DD" w:rsidP="005728DD">
      <w:pPr>
        <w:pStyle w:val="TextoNormal"/>
      </w:pPr>
      <w:r>
        <w:t xml:space="preserve">Tras realizar un recorrido normativo y jurisprudencial, afirma que la doctrina constitucional española se ha pronunciado en la STC 69/2007, de 16 de abril, FJ 3 y 4 (e indirectamente en la STC 194/2014, de 1 de diciembre), considerando que no existe discriminación por el hecho de no conceder validez al matrimonio gitano, siendo que la propia doctrina del Tribunal Europeo de Derechos Humanos dispuso, en la misma STEDH de 8 de diciembre de 2009, asunto </w:t>
      </w:r>
      <w:r w:rsidRPr="005728DD">
        <w:rPr>
          <w:i/>
        </w:rPr>
        <w:t>Muñoz Díaz c. España</w:t>
      </w:r>
      <w:r>
        <w:t>, más allá de los efectos que atribuyó a la buena fe de la demandante en la solución del caso, que el no reconocimiento de efectos civiles al matrimonio gitano no supone una discriminación del art. 14 CEDH (prohibición de discriminación en el goce de derechos y libertades) en relación con el art. 12 del mismo (derecho a casarse y formar una familia), pues afirmó que el Convenio europeo de derechos humanos (CEDH) garantiza el derecho fundamental de casarse y fundar una familia, pero que el ejercicio de tal derecho se rige por las leyes nacionales de los Estados contratantes, sin que el hecho de que las uniones gitanas no produzcan efectos civiles en el sentido deseado por la demandante constituya, entonces, una discriminación prohibida por el art.14 CEDH. Por tanto, a su juicio, esa queja, relativa al matrimonio y su validez a los efectos de la pensión de jubilación, carecería manifiestamente de fundamento.</w:t>
      </w:r>
    </w:p>
    <w:p w:rsidR="005728DD" w:rsidRDefault="005728DD" w:rsidP="005728DD">
      <w:pPr>
        <w:pStyle w:val="TextoNormal"/>
      </w:pPr>
    </w:p>
    <w:p w:rsidR="005728DD" w:rsidRDefault="005728DD" w:rsidP="005728DD">
      <w:pPr>
        <w:pStyle w:val="TextoNormal"/>
      </w:pPr>
      <w:r>
        <w:lastRenderedPageBreak/>
        <w:t xml:space="preserve">Tampoco advierte lesión alguna en relación con la denuncia subsidiaria que formula la demanda, esto es, descarta que suponga discriminación que no se reconozca la prestación de Seguridad Social solicitada con base en la convivencia </w:t>
      </w:r>
      <w:r w:rsidRPr="005728DD">
        <w:rPr>
          <w:i/>
        </w:rPr>
        <w:t>more uxorio</w:t>
      </w:r>
      <w:r>
        <w:t>. Y es que, recuerda, la doctrina constitucional española considera que la inscripción en el registro de parejas de hecho o la formalización mediante escritura pública es un requisito constitutivo de la situación jurídica de pareja de hecho, al que en este caso no se dio satisfacción (cita las SSTC 40/2014, de 11 de marzo; 45/2014, de 7 de abril, y 60/2014, de 5 de mayo). En definitiva, todos los españoles que quieran que su unión de tipo marital tenga el reconocimiento de la administración pública a los efectos de tener derecho a la pensión de viudedad y no estén dispuestos a celebrar un matrimonio civil, o a prestar su consentimiento matrimonial en una de las formas religiosas reconocidas por el Estado, deben inscribirse en un registro de parejas de hecho o constituir formalmente su relación de pareja mediante documento público. Un requisito que estima neutral, pues se exige a todas las uniones de tipo marital que quieran constituirse como pareja de hecho a dichos efectos, sean gitanas o no, y cuya dificultad de cumplimiento en caso de pertenencia a la etnia gitana se podría considerar equivalente a la de la inscripción del nacimiento de los hijos comunes en el registro civil, cosa esta última que, sin embargo, sí hicieron los padres.</w:t>
      </w:r>
    </w:p>
    <w:p w:rsidR="005728DD" w:rsidRDefault="005728DD" w:rsidP="005728DD">
      <w:pPr>
        <w:pStyle w:val="TextoNormal"/>
      </w:pPr>
    </w:p>
    <w:p w:rsidR="005728DD" w:rsidRDefault="005728DD" w:rsidP="005728DD">
      <w:pPr>
        <w:pStyle w:val="TextoNormal"/>
      </w:pPr>
      <w:r>
        <w:t>Añade que a la vista del motivo por el que se ha apreciado la especial trascendencia constitucional, tal vez quepa decir que, como interpretación jurisprudencial que es, la doctrina constitucional respecto a naturaleza del requisito de formalización podría modificarse atendiendo a la peculiaridad del pueblo gitano. Subraya en ese sentido que, de producirse esa cambio de criterio, habida cuenta de que el rito gitano matrimonial tradicional incluye una prueba de virginidad que se realiza a la novia, lo que a su parecer resultaría un supuesto claro de discriminación por razón de sexo, sería necesario evitar un resultado en el que se pudiera hacer distinción entre una pareja de hecho gitana que se haya casado por el rito gitano y otra pareja de hecho gitana que tenga los mismos valores de su cultura en cuanto a la importancia de los lazos familiares, y demás vinculados a la relación matrimonial, pero que no estuviera dispuesta a aceptar la prueba de virginidad, no celebrase por consiguiente el rito gitano y viviese maritalmente pero sin celebrar una boda gitana. En otro caso, a la primera pareja, que habría celebrado un rito contrario a la igualdad entre hombres y mujeres, se les premiaría concediéndoles las prestaciones contempladas para las parejas de hecho sin necesidad de ir al registro correspondiente o al notario, mientras que a la segunda pareja que pertenece a la misma minoría discriminada (y seguramente lo estará en mayor medida pues lo sufrirá incluso dentro de su comunidad) se le obligaría a efectuar esa inscripción. No evitar ese resultado podría desestimular que las mujeres gitanas se aproximen al estándar de igualdad con los hombres que constitucionalmente se establece para todas las mujeres, al proscribir nuestra Constitución la discriminación por razón de sexo.</w:t>
      </w:r>
    </w:p>
    <w:p w:rsidR="005728DD" w:rsidRDefault="005728DD" w:rsidP="005728DD">
      <w:pPr>
        <w:pStyle w:val="TextoNormal"/>
      </w:pPr>
    </w:p>
    <w:p w:rsidR="005728DD" w:rsidRDefault="005728DD" w:rsidP="005728DD">
      <w:pPr>
        <w:pStyle w:val="TextoNormal"/>
      </w:pPr>
      <w:r>
        <w:t xml:space="preserve">Finalmente, en lo relativo a la aplicación al caso de la doctrina de la STEDH del asunto </w:t>
      </w:r>
      <w:r w:rsidRPr="005728DD">
        <w:rPr>
          <w:i/>
        </w:rPr>
        <w:t>Muñoz Díaz c. España</w:t>
      </w:r>
      <w:r>
        <w:t xml:space="preserve">, subraya que esta resolución no estableció la existencia de una discriminación por no haberse dado validez al matrimonio gitano, ni tampoco por no haberse reconocido la condición de unión de hecho en aquel supuesto, sino porque no se tuvo en cuenta la buena fe de la demandante. En el presente caso habría a su parecer, sin embargo, una diferencia decisiva y relevante, pues la buena fe no va referida en aquel pronunciamiento solo a la existencia y realidad del matrimonio gitano sino, antes bien, a la validez o eficacia del mismo frente a las autoridades del Estado. Y estas, en aquella ocasión, crearon </w:t>
      </w:r>
      <w:r>
        <w:lastRenderedPageBreak/>
        <w:t>con su actuación una expectativa razonable de obtener las mismas prestaciones que un matrimonio civil o religioso válidamente celebrado, lo que es bien distinto a lo acontecido en el caso ahora enjuiciado en el que la recurrente fue calificada como “soltera”, su matrimonio como “no existente” y sus hijos como “naturales o extramatrimoniales”. Por consiguiente, concluye, a diferencia de lo que se apreciara en aquella Sentencia del Tribunal Europeo de Derechos Humanos, no se puede considerar que el Estado haya creado en la demandante una expectativa razonable de tener derecho a la pensión de viudedad, ni que haya tampoco incurrido en un abuso o una diferencia de trato injustificada al proceder a la denegación de la misma. Una argumentación prácticamente idéntica, estimando que no concurre la buena fe, se contiene en la STC 194/2014, de 1 de diciembre, respecto de un matrimonio islámico no inscrito.</w:t>
      </w:r>
    </w:p>
    <w:p w:rsidR="005728DD" w:rsidRDefault="005728DD" w:rsidP="005728DD">
      <w:pPr>
        <w:pStyle w:val="TextoNormal"/>
      </w:pPr>
    </w:p>
    <w:p w:rsidR="005728DD" w:rsidRDefault="005728DD" w:rsidP="005728DD">
      <w:pPr>
        <w:pStyle w:val="TextoNormal"/>
      </w:pPr>
      <w:r>
        <w:t>Con base en todo lo expuesto, solicita en su escrito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La recurrente en amparo no formuló alegaciones, según deja constancia la diligencia de la Secretaría de Justicia de este tribunal, de 28 de marzo de 2019.</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21 de enero de 2021, se señaló para la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w:t>
      </w:r>
      <w:r>
        <w:t>.</w:t>
      </w:r>
    </w:p>
    <w:p w:rsidR="005728DD" w:rsidRDefault="005728DD" w:rsidP="005728DD">
      <w:pPr>
        <w:pStyle w:val="TextoNormal"/>
      </w:pPr>
    </w:p>
    <w:p w:rsidR="005728DD" w:rsidRDefault="005728DD" w:rsidP="005728DD">
      <w:pPr>
        <w:pStyle w:val="TextoNormal"/>
      </w:pPr>
      <w:r>
        <w:t>Es objeto del presente recurso de amparo la sentencia núm. 58/2018, de fecha 25 de enero, dictada por el Pleno de la Sala de lo Social del Tribunal Supremo en el recurso de casación para la unificación de doctrina núm. 2401-2016, que revocó la sentencia dictada por el Tribunal Superior de Justicia de Andalucía (Granada), de 20 de abril de 2016, recurso de suplicación núm. 2843-2015, a su vez revocatoria de la de 13 de octubre de 2015 del Juzgado de lo Social núm. 4 de Jaén en autos núm. 679-2014, en materia de pensión de viudedad.</w:t>
      </w:r>
    </w:p>
    <w:p w:rsidR="005728DD" w:rsidRDefault="005728DD" w:rsidP="005728DD">
      <w:pPr>
        <w:pStyle w:val="TextoNormal"/>
      </w:pPr>
    </w:p>
    <w:p w:rsidR="005728DD" w:rsidRDefault="005728DD" w:rsidP="005728DD">
      <w:pPr>
        <w:pStyle w:val="TextoNormal"/>
      </w:pPr>
      <w:r>
        <w:t xml:space="preserve">A juicio de la recurrente, aquella sentencia habría vulnerado el art. 14 CE, toda vez que, de acuerdo con el derecho a no sufrir discriminación racial/étnica, amparado por ese precepto constitucional, partiendo de la STEDH de 8 de diciembre de 2009, asunto </w:t>
      </w:r>
      <w:r w:rsidRPr="005728DD">
        <w:rPr>
          <w:i/>
        </w:rPr>
        <w:t>Muñoz Díaz c. España</w:t>
      </w:r>
      <w:r>
        <w:t xml:space="preserve"> y del criterio de buena fe en ella acogido, también concurrente en el presente, debería habérsele concedido la pensión de viudedad solicitada. En tal sentido declara que tenía la convicción de que tenía la condición de mujer casada con todos los efectos inherentes a este estado civil, en atención al propio actuar de la administración, no siendo su situación, por lo demás, diferente a otros casos en los que este tribunal ha considerado que existía tal derecho. Asimismo, de modo subsidiario, entiende que debería haber obtenido ese reconocimiento a la pensión por su convivencia </w:t>
      </w:r>
      <w:r w:rsidRPr="005728DD">
        <w:rPr>
          <w:i/>
        </w:rPr>
        <w:t>more uxorio</w:t>
      </w:r>
      <w:r>
        <w:t xml:space="preserve">, a fin de evitar una discriminación indirecta por la aplicación neutra de una norma sobre la formalización de parejas de hecho que podría objetivamente perjudicar al colectivo gitano (art. 14 CE). Advierte que se trata de una minoría especialmente desfavorecida y vulnerable que precisa de una protección especial, por lo que debería reconocerse su derecho a la pensión, toda vez que el vínculo </w:t>
      </w:r>
      <w:r>
        <w:lastRenderedPageBreak/>
        <w:t>con el fallecido se desarrolló en régimen vivencial de coexistencia diaria, estable, con permanencia temporal consolidada a lo largo de los años, practicada de forma extensa y pública, con acreditadas actuaciones conjuntas de los interesados y creándose una comunidad de vida amplia, de intereses y fines, en el núcleo del mismo hogar y por un periodo superior a diez años, tal y como consta reflejado en las actuaciones.</w:t>
      </w:r>
    </w:p>
    <w:p w:rsidR="005728DD" w:rsidRDefault="005728DD" w:rsidP="005728DD">
      <w:pPr>
        <w:pStyle w:val="TextoNormal"/>
      </w:pPr>
    </w:p>
    <w:p w:rsidR="005728DD" w:rsidRDefault="005728DD" w:rsidP="005728DD">
      <w:pPr>
        <w:pStyle w:val="TextoNormal"/>
      </w:pPr>
      <w:r>
        <w:t>Por su parte, el Ministerio Fiscal y el INSS interesan la desestimación del recurso. Consideran, en síntesis, que los criterios aplicados por el Tribunal Supremo en orden al requisito del matrimonio o de la formalización de la pareja de hecho no lesionan el art. 14 CE. La regulación contenida en el art. 174.3 LGSS de 1994 resulta neutral desde la perspectiva racial, al margen de que no existe un derecho a la desigualdad de trato y, en fin, que la sentencia del Tribunal Europeo de Derechos Humanos de reiterada cita, no es trasladable al caso de autos. Añade el fiscal, que existen razones de seguridad jurídica para que, en caso de alterarse la jurisprudencia existente en este Tribunal Constitucional sobre la materia controvertida, se evite un resultado en el que se pudiera hacer distinción entre una pareja de hecho gitana que se haya casado por el rito gitano y otra pareja de hecho gitana que tenga los mismos valores de su cultura en cuanto a la importancia de los lazos familiares, y demás vinculados a la relación matrimonial, pero que no estuviera dispuesta a aceptar partes del ritual matrimonial gitano que pueden suponer una contravención de derechos fundamentales y que, por ello, no lo celebrase, pues podría hacerse de peor condición a esta última si la primera obtuviese el reconocimiento de la pensión de viudedad sin cumplir los requisitos legalmente establecidos y a la segunda se le obligase a darles plena satisfacción.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Los precedentes: la sentencia del Tribunal Europeo de Derechos Humanos Muñoz Díaz c. España</w:t>
      </w:r>
      <w:r>
        <w:t>.</w:t>
      </w:r>
    </w:p>
    <w:p w:rsidR="005728DD" w:rsidRDefault="005728DD" w:rsidP="005728DD">
      <w:pPr>
        <w:pStyle w:val="TextoNormal"/>
      </w:pPr>
    </w:p>
    <w:p w:rsidR="005728DD" w:rsidRDefault="005728DD" w:rsidP="005728DD">
      <w:pPr>
        <w:pStyle w:val="TextoNormal"/>
      </w:pPr>
      <w:r>
        <w:t>Antes de entrar en el análisis de fondo, hemos de efectuar una serie de consideraciones respecto a las referencias jurisprudenciales de las que debe partirse:</w:t>
      </w:r>
    </w:p>
    <w:p w:rsidR="005728DD" w:rsidRDefault="005728DD" w:rsidP="005728DD">
      <w:pPr>
        <w:pStyle w:val="TextoNormal"/>
      </w:pPr>
    </w:p>
    <w:p w:rsidR="005728DD" w:rsidRDefault="005728DD" w:rsidP="005728DD">
      <w:pPr>
        <w:pStyle w:val="TextoNormal"/>
      </w:pPr>
      <w:r>
        <w:t xml:space="preserve">(i) La reiterada invocación que tanto las partes, como las resoluciones judiciales que se han dictado en este procedimiento, hacen de la STEDH de 8 de diciembre de 2009, asunto </w:t>
      </w:r>
      <w:r w:rsidRPr="005728DD">
        <w:rPr>
          <w:i/>
        </w:rPr>
        <w:t>Muñoz Díaz c. España</w:t>
      </w:r>
      <w:r>
        <w:t xml:space="preserve">, obliga a examinarla, a fin y efecto de comprobar si se trata de casos iguales o, por el contrario el asunto </w:t>
      </w:r>
      <w:r w:rsidRPr="005728DD">
        <w:rPr>
          <w:i/>
        </w:rPr>
        <w:t>Muñoz Díaz c. España</w:t>
      </w:r>
      <w:r>
        <w:t xml:space="preserve"> difiere del presente caso.</w:t>
      </w:r>
    </w:p>
    <w:p w:rsidR="005728DD" w:rsidRDefault="005728DD" w:rsidP="005728DD">
      <w:pPr>
        <w:pStyle w:val="TextoNormal"/>
      </w:pPr>
    </w:p>
    <w:p w:rsidR="005728DD" w:rsidRDefault="005728DD" w:rsidP="005728DD">
      <w:pPr>
        <w:pStyle w:val="TextoNormal"/>
      </w:pPr>
      <w:r>
        <w:t xml:space="preserve">En el asunto </w:t>
      </w:r>
      <w:r w:rsidRPr="005728DD">
        <w:rPr>
          <w:i/>
        </w:rPr>
        <w:t>Muñoz Díaz c. España</w:t>
      </w:r>
      <w:r>
        <w:t>, la demandante era de etnia gitana, de nacionalidad española. Se opuso a la denegación de la prestación de viudedad tras el fallecimiento de la persona con la que convivía, también gitano de nacionalidad española. Dicha denegación estuvo motivada en el hecho de que no estuvieran formalmente casados según la legislación española. No se planteaba en aquel caso, por lógicos motivos de secuencia normativa, la aplicabilidad al caso de la regulación hoy existente sobre la constitución y derechos de seguridad social asociados en favor de las parejas de hecho. Ya que la legislación vigente en el momento de producirse la muerte del compañero de la señora Muñoz Díaz exigía vínculo matrimonial.</w:t>
      </w:r>
    </w:p>
    <w:p w:rsidR="005728DD" w:rsidRDefault="005728DD" w:rsidP="005728DD">
      <w:pPr>
        <w:pStyle w:val="TextoNormal"/>
      </w:pPr>
    </w:p>
    <w:p w:rsidR="005728DD" w:rsidRDefault="005728DD" w:rsidP="005728DD">
      <w:pPr>
        <w:pStyle w:val="TextoNormal"/>
      </w:pPr>
      <w:r>
        <w:t xml:space="preserve">Para una correcta comparación entre ambos casos, en el asunto </w:t>
      </w:r>
      <w:r w:rsidRPr="005728DD">
        <w:rPr>
          <w:i/>
        </w:rPr>
        <w:t>Muñoz Díaz</w:t>
      </w:r>
      <w:r>
        <w:t xml:space="preserve"> c. España la entonces demandante y su compañero, ambos de etnia gitana, se casaron según los rituales propios de su comunidad; tuvieron seis hijos, que fueron inscritos en el correspondiente libro de familia. Se le reconoció, asimismo, la condición de familia numerosa de primera </w:t>
      </w:r>
      <w:r>
        <w:lastRenderedPageBreak/>
        <w:t>categoría, para lo que en aquel momento se requería la condición de cónyuges; vivieron juntos desde la fecha de su matrimonio hasta el fallecimiento del varón, quien estaba afiliado a la Seguridad Social, cotizó durante diecinueve años, tres meses y ocho días, y tenía una cartilla en la que figuraban a su cargo la demandante, como esposa, y sus seis hijos.</w:t>
      </w:r>
    </w:p>
    <w:p w:rsidR="005728DD" w:rsidRDefault="005728DD" w:rsidP="005728DD">
      <w:pPr>
        <w:pStyle w:val="TextoNormal"/>
      </w:pPr>
    </w:p>
    <w:p w:rsidR="005728DD" w:rsidRDefault="005728DD" w:rsidP="005728DD">
      <w:pPr>
        <w:pStyle w:val="TextoNormal"/>
      </w:pPr>
      <w:r>
        <w:t>A la vista de ello, la sentencia del Tribunal Europeo de Derechos Humanos declaró que las autoridades nacionales no negaban que la demandante estuviera convencida de buena fe de la realidad de su matrimonio y más cuando le entregaron diversos documentos oficiales que declaraban su condición de esposa del fallecido, ni podía desatenderse como relevante la fuerza de las creencias colectivas de una comunidad culturalmente bien definida.</w:t>
      </w:r>
    </w:p>
    <w:p w:rsidR="005728DD" w:rsidRDefault="005728DD" w:rsidP="005728DD">
      <w:pPr>
        <w:pStyle w:val="TextoNormal"/>
      </w:pPr>
    </w:p>
    <w:p w:rsidR="005728DD" w:rsidRDefault="005728DD" w:rsidP="005728DD">
      <w:pPr>
        <w:pStyle w:val="TextoNormal"/>
      </w:pPr>
      <w:r>
        <w:t xml:space="preserve">Sin embargo, el Tribunal Europeo de Derechos Humanos sostuvo que la pertenencia a dicha minoría no eximía del deber de respetar las leyes reguladoras del matrimonio, si bien puso de manifiesto la vulnerabilidad de la etnia gitana, entendiendo que por el hecho de constituir una minoría, las autoridades deben mostrar una especial atención a sus necesidades y a su propio modo de vida, lo anterior se concretó exclusivamente </w:t>
      </w:r>
      <w:r w:rsidRPr="005728DD">
        <w:rPr>
          <w:i/>
        </w:rPr>
        <w:t>ad casum</w:t>
      </w:r>
      <w:r>
        <w:t>, respecto a la convicción de la demandante en cuanto a su condición de mujer casada con todos los efectos inherentes. Para el Tribunal Europeo de Derechos Humanos, tal convicción fue indiscutiblemente reforzada por la actitud de las autoridades, que le reconocieron la condición de esposa, especialmente, el documento de afiliación al sistema de Seguridad Social, con lo que creó una apariencia que produjo la buena fe de la demandante respecto a la validez de su matrimonio, confirmado con el reconocimiento oficial de ese estado por las autoridades, lo que justifica que la interesada tuviera la legítima expectativa de ser considerada esposa del fallecido, de formar junto a él “una pareja casada reconocida”, de modo que debía reconocérsele su condición de cónyuge al objeto de obtener una pensión de viudedad. En resumen, las autoridades públicas le indujeron, a través de los actos que se han detallado antes, a creer de buena fe que su matrimonio era válido y, por tanto, que tendría derecho a acreditar la pensión de viudedad como cónyuge a la muerte de su compañero, único supuesto que según la legislación vigente en aquel momento, permitía lucrar la pensión de viudedad.</w:t>
      </w:r>
    </w:p>
    <w:p w:rsidR="005728DD" w:rsidRDefault="005728DD" w:rsidP="005728DD">
      <w:pPr>
        <w:pStyle w:val="TextoNormal"/>
      </w:pPr>
    </w:p>
    <w:p w:rsidR="005728DD" w:rsidRDefault="005728DD" w:rsidP="005728DD">
      <w:pPr>
        <w:pStyle w:val="TextoNormal"/>
      </w:pPr>
      <w:r>
        <w:t xml:space="preserve">En definitiva, como la propia sentencia del Tribunal Europeo de Derechos Humanos subraya al acoger la queja relativa al art. 14 del Convenio Europeo de Derechos Humanos, en relación con el art. 1 del Protocolo núm. 1, fueron las circunstancias específicas del caso las que permitieron la apreciación de desproporción en el trato que la sentencia declaraba. La buena fe de la demandante constituyó, por tanto, el fundamento, la </w:t>
      </w:r>
      <w:r w:rsidRPr="005728DD">
        <w:rPr>
          <w:i/>
        </w:rPr>
        <w:t>ratio decidendi</w:t>
      </w:r>
      <w:r>
        <w:t xml:space="preserve"> del pronunciamiento. Tanto es así que, por el contrario, el Tribunal Europeo de Derechos Humanos rechaza la queja relativa a la vulneración del art. 14 CEDH en relación con el art. 12 CEDH, y entiende que el hecho de que las uniones gitanas no produzcan efectos civiles en el sentido deseado por la demandante no constituye una discriminación prohibida.</w:t>
      </w:r>
    </w:p>
    <w:p w:rsidR="005728DD" w:rsidRDefault="005728DD" w:rsidP="005728DD">
      <w:pPr>
        <w:pStyle w:val="TextoNormal"/>
      </w:pPr>
    </w:p>
    <w:p w:rsidR="005728DD" w:rsidRDefault="005728DD" w:rsidP="005728DD">
      <w:pPr>
        <w:pStyle w:val="TextoNormal"/>
      </w:pPr>
      <w:r>
        <w:t xml:space="preserve">(ii) Como dice la STC 69/2007, de 16 de abril, no puede atraerse a esta tipología de casos, la solución de la STC 199/2004, de 15 de noviembre, puesto que, a diferencia de lo que ahora acontece, en la vía judicial se partió allí, en todo momento, de la apariencia de un matrimonio válidamente celebrado de acuerdo con nuestro ordenamiento jurídico. En el presente caso, por el contrario, como ha sido destacado en los antecedentes, la denegación de la prestación viene dada por la inexistencia de un vínculo matrimonial válido en Derecho y por la falta de formalización de una pareja de hecho de acuerdo con lo prescrito en la ley, al carecer las uniones celebradas conforme a los usos y costumbres de la etnia gitana de la </w:t>
      </w:r>
      <w:r>
        <w:lastRenderedPageBreak/>
        <w:t xml:space="preserve">consideración de matrimonio en nuestro ordenamiento jurídico y no haberse constituido tampoco la unión convivencial conforme exige la normativa vigente para acceder a la prestación solicitada. Por tanto, hay que descartar la identidad de supuestos, y, en consecuencia, no resulta aplicable al presente caso la doctrina de la STC 199/2004, de 15 de noviembre, como tampoco, ya se ha visto, la de la sentencia del Tribunal Europeo de Derechos Humanos pronunciada en el asunto </w:t>
      </w:r>
      <w:r w:rsidRPr="005728DD">
        <w:rPr>
          <w:i/>
        </w:rPr>
        <w:t>Muñoz Díaz c. España</w:t>
      </w:r>
      <w:r>
        <w:t>.</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Derecho a no ser discriminado</w:t>
      </w:r>
      <w:r>
        <w:t>.</w:t>
      </w:r>
    </w:p>
    <w:p w:rsidR="005728DD" w:rsidRDefault="005728DD" w:rsidP="005728DD">
      <w:pPr>
        <w:pStyle w:val="TextoNormal"/>
      </w:pPr>
    </w:p>
    <w:p w:rsidR="005728DD" w:rsidRDefault="005728DD" w:rsidP="005728DD">
      <w:pPr>
        <w:pStyle w:val="TextoNormal"/>
      </w:pPr>
      <w:r>
        <w:t>Teniendo en cuenta todo lo anterior y entrando en el fondo del análisis de la cuestión suscitada, es de destacar, en primer lugar y en relación con el derecho a no ser discriminado, que el Pleno de este tribunal ha reiterado de manera consolidada y constante que la virtualidad del art. 14 CE no se agota en la cláusula general de igualdad, sino que contiene, además, una prohibición explícita de que se dispense un trato discriminatorio con fundamento en los concretos motivos o razones que dicho precepto prevé (STC 39/2002, de 14 de febrero, FJ 4; como antes en las SSTC 200/2001, de 4 de octubre, FJ 4, y 69/2007, de 16 de abril, FJ 3, entre otras).</w:t>
      </w:r>
    </w:p>
    <w:p w:rsidR="005728DD" w:rsidRDefault="005728DD" w:rsidP="005728DD">
      <w:pPr>
        <w:pStyle w:val="TextoNormal"/>
      </w:pPr>
    </w:p>
    <w:p w:rsidR="005728DD" w:rsidRDefault="005728DD" w:rsidP="005728DD">
      <w:pPr>
        <w:pStyle w:val="TextoNormal"/>
      </w:pPr>
      <w:r>
        <w:t>Desde la STC 22/1981, de 2 de julio, recogiendo la doctrina del Tribunal Europeo de Derechos Humanos en relación con el art. 14 CEDH, este tribunal ha declarado que el principio de igualdad no implica en todos los casos un tratamiento legal equivalente,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w:t>
      </w:r>
    </w:p>
    <w:p w:rsidR="005728DD" w:rsidRDefault="005728DD" w:rsidP="005728DD">
      <w:pPr>
        <w:pStyle w:val="TextoNormal"/>
      </w:pPr>
    </w:p>
    <w:p w:rsidR="005728DD" w:rsidRDefault="005728DD" w:rsidP="005728DD">
      <w:pPr>
        <w:pStyle w:val="TextoNormal"/>
      </w:pPr>
      <w:r>
        <w:t>Lo que prohíbe el principio de igualdad es, en suma, las desigualdades artificiosas o injustificadas, por no venir fundadas en criterios objetivos y razonables, según criterios o juicios de valor generalmente aceptados. Para que sea constitucionalmente lícita la diferencia de trato, es necesario que las consecuencias jurídicas que se deriven de la distinción sean proporcionadas a la finalidad perseguida, de modo que se eviten resultados excesivamente gravosos o desmedidos. En resumen, el principio de igualdad, no solo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005728DD" w:rsidRDefault="005728DD" w:rsidP="005728DD">
      <w:pPr>
        <w:pStyle w:val="TextoNormal"/>
      </w:pPr>
    </w:p>
    <w:p w:rsidR="005728DD" w:rsidRDefault="005728DD" w:rsidP="005728DD">
      <w:pPr>
        <w:pStyle w:val="TextoNormal"/>
      </w:pPr>
      <w:r>
        <w:t xml:space="preserve">La virtualidad del art. 14 CE no se agota, sin embargo, en la cláusula general de igualdad con la que se inicia su contenido. A continuación, el precepto constitucional se refiere a la prohibición de una serie de motivos o razones concretos de discriminación. Esta referencia no implica el establecimiento de una lista cerrada de supuestos de discriminación (STC </w:t>
      </w:r>
      <w:r>
        <w:lastRenderedPageBreak/>
        <w:t>75/1983, de 3 de agosto, FJ 6), sino que representa una explícita prohibición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w:t>
      </w:r>
    </w:p>
    <w:p w:rsidR="005728DD" w:rsidRDefault="005728DD" w:rsidP="005728DD">
      <w:pPr>
        <w:pStyle w:val="TextoNormal"/>
      </w:pPr>
    </w:p>
    <w:p w:rsidR="005728DD" w:rsidRDefault="005728DD" w:rsidP="005728DD">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2,y 176/1993, de 27 de mayo, FJ 2).</w:t>
      </w:r>
    </w:p>
    <w:p w:rsidR="005728DD" w:rsidRDefault="005728DD" w:rsidP="005728DD">
      <w:pPr>
        <w:pStyle w:val="TextoNormal"/>
      </w:pPr>
    </w:p>
    <w:p w:rsidR="005728DD" w:rsidRDefault="005728DD" w:rsidP="005728DD">
      <w:pPr>
        <w:pStyle w:val="TextoNormal"/>
      </w:pPr>
      <w:r>
        <w:t>No obstante, este tribunal ha admitido también que los motivos de discriminación que dicho precepto constitucional prohíbe puedan ser utilizados excepcionalmente como criterio de diferenciación jurídica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 (SSTC 126/1997, de 3 de julio, FJ 8, con cita de las SSTC 229/1992, de 14 de diciembre, FJ 4; 75/1983, de 3 de agosto, FFJJ 6 y 7, y 209/1988, de 10 de noviembre, FJ 6).</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anterior doctrina</w:t>
      </w:r>
      <w:r>
        <w:t>.</w:t>
      </w:r>
    </w:p>
    <w:p w:rsidR="005728DD" w:rsidRDefault="005728DD" w:rsidP="005728DD">
      <w:pPr>
        <w:pStyle w:val="TextoNormal"/>
      </w:pPr>
    </w:p>
    <w:p w:rsidR="005728DD" w:rsidRDefault="005728DD" w:rsidP="005728DD">
      <w:pPr>
        <w:pStyle w:val="TextoNormal"/>
      </w:pPr>
      <w:r>
        <w:t>De acuerdo con los anteriores criterios, debe considerarse que un perjuicio que pudiera quedar asociado a la pertenencia a una etnia como la gitana, constitutiva de una minoría que precisa una especial atención a sus necesidades y a su propio modo de vida, podría encuadrarse en la prohibición de discriminación contenida en el segundo inciso del art. 14 CE. Es prueba de ello, la propia STC 69/2007, de 16 de abril.</w:t>
      </w:r>
    </w:p>
    <w:p w:rsidR="005728DD" w:rsidRDefault="005728DD" w:rsidP="005728DD">
      <w:pPr>
        <w:pStyle w:val="TextoNormal"/>
      </w:pPr>
    </w:p>
    <w:p w:rsidR="005728DD" w:rsidRDefault="005728DD" w:rsidP="005728DD">
      <w:pPr>
        <w:pStyle w:val="TextoNormal"/>
      </w:pPr>
      <w:r>
        <w:t>Por lo que se refiere a la concurrencia de un matrimonio válido como presupuesto legal para acceder a la prestación de viudedad, el Pleno de este tribunal ha reiterado en diversas resoluciones que tienen su origen en la STC 184/1990, de 15 de noviembre, que no supone una discriminación por razones sociales que el legislador limite la prestación de viudedad a los supuestos de convivencia matrimonial, excluyendo otras uniones o formas de convivencia. A esos efectos, se debe recordar que el legislador dispone de un amplio margen de libertad en la configuración del sistema de Seguridad Social y en la apreciación de las circunstancias socioeconómicas de cada momento a la hora de administrar recursos limitados para atender a un gran número de necesidades sociales, habida cuenta de que el derecho a la pensión de viudedad no está estrictamente condicionado en el régimen contributivo a la existencia de una real situación de necesidad o de dependencia económica por parte del cónyuge supérstite, ni a que este se viera incapacitado para el trabajo y a cargo del fallecido.</w:t>
      </w:r>
    </w:p>
    <w:p w:rsidR="005728DD" w:rsidRDefault="005728DD" w:rsidP="005728DD">
      <w:pPr>
        <w:pStyle w:val="TextoNormal"/>
      </w:pPr>
    </w:p>
    <w:p w:rsidR="005728DD" w:rsidRDefault="005728DD" w:rsidP="005728DD">
      <w:pPr>
        <w:pStyle w:val="TextoNormal"/>
      </w:pPr>
      <w:r>
        <w:lastRenderedPageBreak/>
        <w:t>En cualquier caso, este tribunal ha hecho especial hincapié en que el art. 14 CE no impide al legislador extender la prestación de viudedad a otras uniones diferentes, ni encuentra obstáculos en los arts. 32 y 39 CE, ya que la opción de requerir la existencia de un previo vínculo matrimonial para tener derecho a una pensión de supervivencia no es la única constitucionalmente posible. (SSTC 184/1990, de 15 de noviembre; 29/1991, 30/1991, 31/1991, 35/1991 y 38/1991, de 14 de febrero, y 77/1991, de 11 de abril, FJ 3, en todas ellas), como ha ocurrido tras la reforma llevada a cabo por la Ley 40/2007, de 4 de diciembre, de medidas en materia de Seguridad Social.</w:t>
      </w:r>
    </w:p>
    <w:p w:rsidR="005728DD" w:rsidRDefault="005728DD" w:rsidP="005728DD">
      <w:pPr>
        <w:pStyle w:val="TextoNormal"/>
      </w:pPr>
    </w:p>
    <w:p w:rsidR="005728DD" w:rsidRDefault="005728DD" w:rsidP="005728DD">
      <w:pPr>
        <w:pStyle w:val="TextoNormal"/>
      </w:pPr>
      <w:r>
        <w:t xml:space="preserve">La jurisprudencia constitucional ha interpretado el art. 32 CE otorgándole un doble contenido, de modo que el matrimonio, en la Constitución española, es una institución garantizada y, simultáneamente, un derecho constitucional (STC 184/1990, de 15 de noviembre, FJ 3), correspondiendo el desarrollo de su régimen jurídico al legislador que en cualquier caso debe respetar su contenido esencial, por mandato constitucional </w:t>
      </w:r>
      <w:r w:rsidRPr="005728DD">
        <w:rPr>
          <w:i/>
        </w:rPr>
        <w:t>ex</w:t>
      </w:r>
      <w:r>
        <w:t xml:space="preserve"> art. 32.2 CE (STC 198/2012, de 6 de noviembre, FJ 7).</w:t>
      </w:r>
    </w:p>
    <w:p w:rsidR="005728DD" w:rsidRDefault="005728DD" w:rsidP="005728DD">
      <w:pPr>
        <w:pStyle w:val="TextoNormal"/>
      </w:pPr>
    </w:p>
    <w:p w:rsidR="005728DD" w:rsidRDefault="005728DD" w:rsidP="005728DD">
      <w:pPr>
        <w:pStyle w:val="TextoNormal"/>
      </w:pPr>
      <w:r>
        <w:t>Respecto a la segunda vertiente, el derecho a contraer matrimonio, o a no contraerlo, “se limita a asegurar la capacidad de elección, a impedir el mandato o la imposibilidad absoluta, pero no a asegurar a quien la ejercita en un determinado sentido los mismos efectos que se atribuyen a quien lo hace en otro”, añadiendo que “pese a la identidad de los sujetos titulares de la libertad, el contenido de la libertad positiva y negativa no (tiene) por qué ser homogéneo, y que el legislador ordinario (puede) atribuir […] consecuencias a una y a otra manifestación”, de manera “que la primera se constituya en un auténtico derecho subjetivo, mientras que la segunda no sea más que una mera libertad jurídica, integrada en el mismo derecho fundamental, y cuyo contenido se ciñe a la posibilidad de optar o a la existencia de una alternativa de acción”.</w:t>
      </w:r>
    </w:p>
    <w:p w:rsidR="005728DD" w:rsidRDefault="005728DD" w:rsidP="005728DD">
      <w:pPr>
        <w:pStyle w:val="TextoNormal"/>
      </w:pPr>
    </w:p>
    <w:p w:rsidR="005728DD" w:rsidRDefault="005728DD" w:rsidP="005728DD">
      <w:pPr>
        <w:pStyle w:val="TextoNormal"/>
      </w:pPr>
      <w:r>
        <w:t xml:space="preserve">Por tanto, este tribunal ha asumido la existencia de dos regímenes diferenciados por voluntad del legislador, el del matrimonio y el de la convivencia </w:t>
      </w:r>
      <w:r w:rsidRPr="005728DD">
        <w:rPr>
          <w:i/>
        </w:rPr>
        <w:t>more uxorio</w:t>
      </w:r>
      <w:r>
        <w:t xml:space="preserve">, que son reflejo de la capacidad de elección de las personas respecto del ejercicio de su derecho a contraer matrimonio, señalando que la convivencia </w:t>
      </w:r>
      <w:r w:rsidRPr="005728DD">
        <w:rPr>
          <w:i/>
        </w:rPr>
        <w:t>more uxorio</w:t>
      </w:r>
      <w:r>
        <w:t>, “ni es una institución jurídicamente garantizada ni hay un derecho constitucional expreso a su establecimiento” (ATC 204/2003, de 16 de junio de 2003, FJ 3). Por ello, el legislador puede diferenciar respecto de las consecuencias que se derivan de la opción, por uno u otro régimen (por todas, STC 66/1994, de 28 de febrero, FJ 2).</w:t>
      </w:r>
    </w:p>
    <w:p w:rsidR="005728DD" w:rsidRDefault="005728DD" w:rsidP="005728DD">
      <w:pPr>
        <w:pStyle w:val="TextoNormal"/>
      </w:pPr>
    </w:p>
    <w:p w:rsidR="005728DD" w:rsidRDefault="005728DD" w:rsidP="005728DD">
      <w:pPr>
        <w:pStyle w:val="TextoNormal"/>
      </w:pPr>
      <w:r>
        <w:t>En atención a ello, partiendo de que era constitucionalmente posible limitar la prestación de viudedad a los supuestos de vínculo matrimonial, también en la STC 69/2007, de 16 de abril, FJ 4 que debían entenderse como tales exclusivamente las formas matrimoniales legalmente reconocidas. Y con base en ello, como quiera que la unión celebrada conforme a los usos y costumbre gitanos no ha sido reconocida por el legislador como una de las formas válidas para contraer matrimonio con efectos de validez civil, no será posible afirmar, que suponga una discriminación directa basada en motivos sociales o étnicos el hecho de que no se reconozca dicha prestación si no consta vínculo matrimonial con el causante en alguna de las formas reconocidas legalmente.</w:t>
      </w:r>
    </w:p>
    <w:p w:rsidR="005728DD" w:rsidRDefault="005728DD" w:rsidP="005728DD">
      <w:pPr>
        <w:pStyle w:val="TextoNormal"/>
      </w:pPr>
    </w:p>
    <w:p w:rsidR="005728DD" w:rsidRDefault="005728DD" w:rsidP="005728DD">
      <w:pPr>
        <w:pStyle w:val="TextoNormal"/>
      </w:pPr>
      <w:r>
        <w:t xml:space="preserve">No hay, por consiguiente, motivo para cambiar nuestro criterio en lo relativo al cauce matrimonial como modo de acceso a la pensión de viudedad, ya que por las razones antes </w:t>
      </w:r>
      <w:r>
        <w:lastRenderedPageBreak/>
        <w:t>resumidas y ampliamente expuestas desde la citada STC 184/1990 y en las restantes resoluciones que a ella se remiten, ninguna vulneración del art. 14 CE desde esta concreta perspectiva se deriva de que haya en la norma una asociación entre el reconocimiento de la prestación de Seguridad Social y la concurrencia de un vínculo matrimonial reconocido por el ordenamiento jurídico, no siéndolo el matrimonio gitano.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Discriminación por motivos raciales o étnicos</w:t>
      </w:r>
      <w:r>
        <w:t>.</w:t>
      </w:r>
    </w:p>
    <w:p w:rsidR="005728DD" w:rsidRDefault="005728DD" w:rsidP="005728DD">
      <w:pPr>
        <w:pStyle w:val="TextoNormal"/>
      </w:pPr>
    </w:p>
    <w:p w:rsidR="005728DD" w:rsidRDefault="005728DD" w:rsidP="005728DD">
      <w:pPr>
        <w:pStyle w:val="TextoNormal"/>
      </w:pPr>
      <w:r>
        <w:t>En segundo término, en relación con la pretensión subsidiaria de la demanda, debe afirmarse que tampoco se puede apreciar la existencia de un trato discriminatorio directo por motivos raciales o étnicos derivado de que no se haya equiparado la unión de la recurrente conforme a los usos y costumbre gitanos con las uniones de hecho debidamente formalizadas, pues es doctrina de este tribunal que la inscripción en el registro administrativo de parejas de hecho o la formalización mediante escritura pública es un requisito constitutivo de dicha situación jurídica (SSTC 40/2014, de 11 de marzo; 45/2014, de 7 de abril, y 60/2014, de 5 de mayo).</w:t>
      </w:r>
    </w:p>
    <w:p w:rsidR="005728DD" w:rsidRDefault="005728DD" w:rsidP="005728DD">
      <w:pPr>
        <w:pStyle w:val="TextoNormal"/>
      </w:pPr>
    </w:p>
    <w:p w:rsidR="005728DD" w:rsidRDefault="005728DD" w:rsidP="005728DD">
      <w:pPr>
        <w:pStyle w:val="TextoNormal"/>
      </w:pPr>
      <w:r>
        <w:t xml:space="preserve">En efecto, la Ley 40/2007, de 4 de diciembre, de medidas en materia de Seguridad Social, dio una nueva redacción al art. 174 LGSS. En su apartado tercero estableció los requisitos que deben cumplir las parejas de hecho para tener acceso a la pensión de viudedad. Así, además de las exigencias de alta, cotización y situación de dependencia económica, estableció dos requisitos simultáneos para que el miembro supérstite de la pareja de hecho pudiera obtener la pensión de viudedad: (i) de un lado, la convivencia estable y notoria con carácter inmediato al fallecimiento del causante y con una duración ininterrumpida no inferior a cinco años (a acreditar mediante el correspondiente certificado de empadronamiento); y (ii) de otro, la publicidad de la situación de convivencia </w:t>
      </w:r>
      <w:r w:rsidRPr="005728DD">
        <w:rPr>
          <w:i/>
        </w:rPr>
        <w:t>more uxorio</w:t>
      </w:r>
      <w:r>
        <w:t>, imponiendo como requisito, con carácter constitutivo y antelación mínima de dos años al fallecimiento, la inscripción en el registro de parejas de hecho (en alguno de los registros específicos existentes en las comunidades autónomas o ayuntamientos del lugar de residencia) o su constitución en documento público.</w:t>
      </w:r>
    </w:p>
    <w:p w:rsidR="005728DD" w:rsidRDefault="005728DD" w:rsidP="005728DD">
      <w:pPr>
        <w:pStyle w:val="TextoNormal"/>
      </w:pPr>
    </w:p>
    <w:p w:rsidR="005728DD" w:rsidRDefault="005728DD" w:rsidP="005728DD">
      <w:pPr>
        <w:pStyle w:val="TextoNormal"/>
      </w:pPr>
      <w:r>
        <w:t xml:space="preserve">Como ha señalado el Tribunal Supremo y recuerdan las partes personadas en este proceso constitucional, la solución por la que optó el legislador no consiste en una exigencia probatoria duplicada sobre un mismo extremo, la existencia de la pareja de hecho, sino que el nuevo art. 174.3 LGSS estableció dos exigencias diferentes: la material, esto es, la convivencia como pareja de hecho estable durante un período mínimo de cinco años inmediatamente anteriores a la fecha de fallecimiento del causante; y la formal, </w:t>
      </w:r>
      <w:r w:rsidRPr="005728DD">
        <w:rPr>
          <w:i/>
        </w:rPr>
        <w:t>ad solemnitatem</w:t>
      </w:r>
      <w:r>
        <w:t>, es decir, la verificación de que la pareja se había constituido como tal ante el Derecho y dotada de “análoga relación de afectividad a la conyugal” con dos años de antelación al hecho causante. De este modo, la pensión de viudedad que la norma vino a recoger no era en favor de todas las parejas de hecho con cinco años de convivencia acreditada, sino en exclusivo beneficio de las parejas registradas además al menos dos años antes del fallecimiento del causante (o que hubieran formalizado su relación en documento público en iguales términos temporales) y que asimismo cumplieran el aludido requisito de convivencia.</w:t>
      </w:r>
    </w:p>
    <w:p w:rsidR="005728DD" w:rsidRDefault="005728DD" w:rsidP="005728DD">
      <w:pPr>
        <w:pStyle w:val="TextoNormal"/>
      </w:pPr>
    </w:p>
    <w:p w:rsidR="005728DD" w:rsidRDefault="005728DD" w:rsidP="005728DD">
      <w:pPr>
        <w:pStyle w:val="TextoNormal"/>
      </w:pPr>
      <w:r>
        <w:t>La STC 40/2014, de 11 de marzo, regula los requisitos de acceso de las parejas de hecho a una prestación contributiva de la Seguridad Social, que deben ser iguales para todos los que actualicen la contingencia correspondiente.</w:t>
      </w:r>
    </w:p>
    <w:p w:rsidR="005728DD" w:rsidRDefault="005728DD" w:rsidP="005728DD">
      <w:pPr>
        <w:pStyle w:val="TextoNormal"/>
      </w:pPr>
    </w:p>
    <w:p w:rsidR="005728DD" w:rsidRDefault="005728DD" w:rsidP="005728DD">
      <w:pPr>
        <w:pStyle w:val="TextoNormal"/>
      </w:pPr>
      <w:r>
        <w:t xml:space="preserve">En la STC 45/2014, de 7 de abril, por su parte, se destaca que no es que a unas parejas de hecho se les reconozca el derecho a la prestación y a otras no, sino que unas no tienen la consideración de pareja de hecho y otras sí. Quiere ello decir que, a los efectos de la ley, no son parejas estables amparadas por su regulación las que no reúnan esos precisos requisitos, lo que supone una opción adoptada por el legislador a la hora de acotar el supuesto de hecho regulado “que no resulta </w:t>
      </w:r>
      <w:r w:rsidRPr="005728DD">
        <w:rPr>
          <w:i/>
        </w:rPr>
        <w:t>prima facie</w:t>
      </w:r>
      <w:r>
        <w:t xml:space="preserve"> arbitraria o irracional”. En efecto, al igual que reconocimos en la STC 93/2013, de 23 de abril, FJ 7, añadíamos que el legislador puede establecer regímenes de convivencia </w:t>
      </w:r>
      <w:r w:rsidRPr="005728DD">
        <w:rPr>
          <w:i/>
        </w:rPr>
        <w:t>more uxorio</w:t>
      </w:r>
      <w:r>
        <w:t xml:space="preserve"> con un reconocimiento jurídico diferenciado al del matrimonio, estableciendo ciertas condiciones para su efectivo reconocimiento y atribuyéndole determinadas consecuencias, por lo que el reconocimiento de esas realidades familiares no impone al legislador otorgar un idéntico tratamiento a la convivencia </w:t>
      </w:r>
      <w:r w:rsidRPr="005728DD">
        <w:rPr>
          <w:i/>
        </w:rPr>
        <w:t>more uxorio</w:t>
      </w:r>
      <w:r>
        <w:t xml:space="preserve"> acreditada y a la no acreditada, o a la que se verifique por medio de los mecanismos probatorios legalmente contemplados frente a la que carece de ellos, pues no es irrazonable definir a aquéllos como los que garantizan que la atribución de derechos asociada cumplirá las exigencias de la seguridad jurídica.</w:t>
      </w:r>
    </w:p>
    <w:p w:rsidR="005728DD" w:rsidRDefault="005728DD" w:rsidP="005728DD">
      <w:pPr>
        <w:pStyle w:val="TextoNormal"/>
      </w:pPr>
    </w:p>
    <w:p w:rsidR="005728DD" w:rsidRDefault="005728DD" w:rsidP="005728DD">
      <w:pPr>
        <w:pStyle w:val="TextoNormal"/>
      </w:pPr>
      <w:r>
        <w:t xml:space="preserve">En consecuencia, el apartado cuarto del art. 174.3 LGSS, en su inciso “[l]a existencia de la pareja de hecho se acreditará mediante certificación de la inscripción en alguno de los registros específicos existentes en las comunidades autónomas o ayuntamientos del lugar de residencia o mediante documento público en el que conste la constitución de dicha pareja”, no vulnera el art. 14 CE. Y la exigencia de la constitución formal, </w:t>
      </w:r>
      <w:r w:rsidRPr="005728DD">
        <w:rPr>
          <w:i/>
        </w:rPr>
        <w:t>ad solemnitatem</w:t>
      </w:r>
      <w:r>
        <w:t>, de la pareja de hecho con la antelación mínima a la fecha del fallecimiento del causante de la pensión exigida en el párrafo cuarto del art. 174.3 LGSS no carece de una finalidad constitucionalmente legítima, porque busca atender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w:t>
      </w:r>
    </w:p>
    <w:p w:rsidR="005728DD" w:rsidRDefault="005728DD" w:rsidP="005728DD">
      <w:pPr>
        <w:pStyle w:val="TextoNormal"/>
      </w:pPr>
    </w:p>
    <w:p w:rsidR="005728DD" w:rsidRDefault="005728DD" w:rsidP="005728DD">
      <w:pPr>
        <w:pStyle w:val="TextoNormal"/>
      </w:pPr>
      <w:r>
        <w:t>Por todo ello, no resulta contraria al art. 14 CE la interpretación realizada en el proceso, de suerte que la pretensión de la demandante de que su unión no formalizada reciba el mismo trato que el otorgado a la relación de convivencia no matrimonial debidamente constituida no puede prosperar, no siendo contraria la diferencia de trato a la prohibición de discriminación.</w:t>
      </w:r>
    </w:p>
    <w:p w:rsidR="005728DD" w:rsidRDefault="005728DD" w:rsidP="005728DD">
      <w:pPr>
        <w:pStyle w:val="TextoNormal"/>
      </w:pPr>
    </w:p>
    <w:p w:rsidR="005728DD" w:rsidRDefault="005728DD" w:rsidP="005728DD">
      <w:pPr>
        <w:pStyle w:val="TextoNormal"/>
      </w:pPr>
      <w:r>
        <w:t>Por lo demás, como se añade en la STC 60/2014, de 5 de mayo, y ya se adelantaba en el segundo fundamento jurídico de la presente resolución, no puede apreciarse la vulneración del art. 14 CE por traslación de lo mantenido en la STC 199/2004, de 15 de noviembre, en la que estimamos la vulneración del derecho a la igualdad ante la ley como consecuencia de la denegación de una pensión de viudedad por falta de inscripción en el registro civil de un matrimonio canónico. Resulta inadmisible esa pretensión de proyección de tal doctrina al presente proceso constitucional, en tanto que supondría identificar dos realidades jurídicas (matrimonio y convivencia extramatrimonial) que no resultan equivalentes y que están sometidas a un diverso régimen jurídico en materia de pensión de viudedad.</w:t>
      </w:r>
    </w:p>
    <w:p w:rsidR="005728DD" w:rsidRDefault="005728DD" w:rsidP="005728DD">
      <w:pPr>
        <w:pStyle w:val="TextoNormal"/>
      </w:pPr>
    </w:p>
    <w:p w:rsidR="005728DD" w:rsidRDefault="005728DD" w:rsidP="005728DD">
      <w:pPr>
        <w:pStyle w:val="TextoNormal"/>
      </w:pPr>
      <w:r>
        <w:t xml:space="preserve">Por consiguiente, la desestimación de la pretensión de la demandante de amparo apreciada por la Sala de lo Social del Tribunal Supremo en su sentencia de 25 de enero de 2018, no supone una discriminación directa en función del trato recibido por la unión convivencial </w:t>
      </w:r>
      <w:r>
        <w:lastRenderedPageBreak/>
        <w:t xml:space="preserve">no formalizada. Dicho en otros términos, lo que en el pasado daba fundamento a denegar la pensión por falta de matrimonio, no podría mantenerse en la actual realidad normativa al haberse extendido el derecho a otras uniones. Pero si no se produce una constitución en forma por los cauces previstos, el resultado final para un régimen de unión de convivencia </w:t>
      </w:r>
      <w:r w:rsidRPr="005728DD">
        <w:rPr>
          <w:i/>
        </w:rPr>
        <w:t>more uxorio</w:t>
      </w:r>
      <w:r>
        <w:t xml:space="preserve"> es equivalente al que se daba en el pasado en los supuestos de falta de vínculo matrimonial, puesto que la no satisfacción del requisito obsta el acceso a la cobertura social pretendida.</w:t>
      </w:r>
    </w:p>
    <w:p w:rsidR="005728DD" w:rsidRDefault="005728DD" w:rsidP="005728DD">
      <w:pPr>
        <w:pStyle w:val="TextoNormal"/>
      </w:pPr>
    </w:p>
    <w:p w:rsidR="005728DD" w:rsidRDefault="005728DD" w:rsidP="005728DD">
      <w:pPr>
        <w:pStyle w:val="TextoNormal"/>
      </w:pPr>
      <w:r>
        <w:t>En síntesis, no amparando el art. 14 CE lo que se ha denominado “discriminación por indiferenciación”, al no consagrar aquella previsión constitucional un derecho a la desigualdad de trato por no existir ningún derecho subjetivo al trato normativo desigual (por todas, STC 117/2006, de 24 de abril, FJ 2), y al no existir tampoco una razón diferenciadora en la denegación o reconocimiento del derecho fundada en motivos étnicos, no puede prosperar la denuncia formulada desde el prisma de la discriminación directa (art. 14 CE).</w:t>
      </w:r>
    </w:p>
    <w:p w:rsidR="005728DD" w:rsidRDefault="005728DD" w:rsidP="005728DD">
      <w:pPr>
        <w:pStyle w:val="TextoNormal"/>
      </w:pPr>
    </w:p>
    <w:p w:rsidR="005728DD" w:rsidRDefault="005728DD" w:rsidP="005728DD">
      <w:pPr>
        <w:pStyle w:val="TextoNormal"/>
      </w:pPr>
      <w:r>
        <w:t>Como han señalado el Ministerio Fiscal y el INSS, no concurre en el presente caso una forma de discriminación directa de la etnia gitana, sino la consecuencia ordinaria de la propia decisión personal, libre y voluntaria, de no acceder a alguna de aquellas fórmulas de constitución en Derecho del vínculo, las cuales ni en sus formas civiles ni en las formas confesionales reconocidas legalmente están condicionadas a la pertenencia a una raza, con exclusión de las demás, ni toman siquiera como presupuesto las tradiciones, usos o costumbres de una determinada etnia en detrimento de otras.</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Exclusión de la concurrencia de discriminación indirecta</w:t>
      </w:r>
      <w:r>
        <w:t>.</w:t>
      </w:r>
    </w:p>
    <w:p w:rsidR="005728DD" w:rsidRDefault="005728DD" w:rsidP="005728DD">
      <w:pPr>
        <w:pStyle w:val="TextoNormal"/>
      </w:pPr>
    </w:p>
    <w:p w:rsidR="005728DD" w:rsidRDefault="005728DD" w:rsidP="005728DD">
      <w:pPr>
        <w:pStyle w:val="TextoNormal"/>
      </w:pPr>
      <w:r>
        <w:t>Tampoco podría prosperar la denuncia por discriminación indirecta que la demanda apunta cuando, con cita del voto particular formulado en la sentencia recurrida, subraya que en la neutralidad de la aplicación de la regla de formalización de la pareja de hecho puede verse afectado singularmente el colectivo gitano, debido a las características de sus tradiciones.</w:t>
      </w:r>
    </w:p>
    <w:p w:rsidR="005728DD" w:rsidRDefault="005728DD" w:rsidP="005728DD">
      <w:pPr>
        <w:pStyle w:val="TextoNormal"/>
      </w:pPr>
    </w:p>
    <w:p w:rsidR="005728DD" w:rsidRDefault="005728DD" w:rsidP="005728DD">
      <w:pPr>
        <w:pStyle w:val="TextoNormal"/>
      </w:pPr>
      <w:r>
        <w:t>Aduce la demandante para justificar su pretensión que los gitanos se han convertido en una minoría especialmente desfavorecida y vulnerable, que, por lo tanto, necesitan una protección especial, y que, visto el fuerte arraigo de sus tradiciones y de la sólida estructuración de la comunidad gitana, intensamente ligada a la familia y al parentesco, no es posible desatender que la unión de la pareja mediante el rito propio de su cultura, sumada a la larga convivencia acreditada, ofrece sobradas garantías de que esa situación de pareja existe en tanto que perdura la convivencia entre sus dos componentes, superándose así el test necesario de satisfacción de la finalidad a la que se orienta la norma que obliga, con carácter general, a formalizar por alguna de las vías ya descritas la unión de hecho para acceder a la pensión de viudedad.</w:t>
      </w:r>
    </w:p>
    <w:p w:rsidR="005728DD" w:rsidRDefault="005728DD" w:rsidP="005728DD">
      <w:pPr>
        <w:pStyle w:val="TextoNormal"/>
      </w:pPr>
    </w:p>
    <w:p w:rsidR="005728DD" w:rsidRDefault="005728DD" w:rsidP="005728DD">
      <w:pPr>
        <w:pStyle w:val="TextoNormal"/>
      </w:pPr>
      <w:r>
        <w:t xml:space="preserve">Desde la STC 145/1991, de 1 de julio, este tribunal incluye en la prohibición de discriminación del art. 14 CE tanto la discriminación directa como la discriminación indirecta. Esta vertiente indirecta de la discriminación ha sido definida, en esencia, con ocasión de discriminaciones por razón de sexo, aunque ya en la sentencia citada, 145/1991 de 1 de julio, FJ 2, se extendió a otras discriminaciones “por características personales”, por lo que resulta posible como hipótesis apreciar su concurrencia en relación con otros factores de </w:t>
      </w:r>
      <w:r>
        <w:lastRenderedPageBreak/>
        <w:t>discriminación constitucionalmente prohibidos, entre los que cabe incluir también el étnico o racial que nos ocupa.</w:t>
      </w:r>
    </w:p>
    <w:p w:rsidR="005728DD" w:rsidRDefault="005728DD" w:rsidP="005728DD">
      <w:pPr>
        <w:pStyle w:val="TextoNormal"/>
      </w:pPr>
    </w:p>
    <w:p w:rsidR="005728DD" w:rsidRDefault="005728DD" w:rsidP="005728DD">
      <w:pPr>
        <w:pStyle w:val="TextoNormal"/>
      </w:pPr>
      <w:r>
        <w:t>Por su importancia en la solución del caso, es también relevante resaltar que la discriminación indirecta puede darse no solo cuando exista “una norma” formalmente neutra y directamente no discriminatoria que produzca, en cambio, efectos desfavorables en el grupo caracterizado por el factor protegido, sino, asimismo, cuando se haya dado “una interpretación o aplicación de la misma” que ocasione aquel impacto o resultado adverso (STC 240/1999, de 20 de diciembre, FJ 6, por todas).</w:t>
      </w:r>
    </w:p>
    <w:p w:rsidR="005728DD" w:rsidRDefault="005728DD" w:rsidP="005728DD">
      <w:pPr>
        <w:pStyle w:val="TextoNormal"/>
      </w:pPr>
    </w:p>
    <w:p w:rsidR="005728DD" w:rsidRDefault="005728DD" w:rsidP="005728DD">
      <w:pPr>
        <w:pStyle w:val="TextoNormal"/>
      </w:pPr>
      <w:r>
        <w:t>La prohibición de discriminación indirecta acoge el concepto elaborado en origen por la jurisprudencia del Tribunal de Justicia de la Unión Europea. Esa vertiente de la prohibición de discriminación objeta aquellos tratamientos formalmente neutros y directamente no discriminatorios de los que se derive, sin embargo, un impacto o resultado adverso sobre los miembros de un colectivo protegido, esto es, los casos en los que dicho grupo (aquí, según la demanda, los gitanos que siguen el rito de su cultura y no formalizan la relación convivencial por los cauces legalmente previstos) sufre consecuencias desiguales perjudiciales, motivadas por el impacto diferenciado y desfavorable de tratamientos formalmente iguales o incluso de tratamientos que —descontextualizados del impacto adverso que ocasionan— podrían considerarse razonablemente desiguales.</w:t>
      </w:r>
    </w:p>
    <w:p w:rsidR="005728DD" w:rsidRDefault="005728DD" w:rsidP="005728DD">
      <w:pPr>
        <w:pStyle w:val="TextoNormal"/>
      </w:pPr>
    </w:p>
    <w:p w:rsidR="005728DD" w:rsidRDefault="005728DD" w:rsidP="005728DD">
      <w:pPr>
        <w:pStyle w:val="TextoNormal"/>
      </w:pPr>
      <w:r>
        <w:t>Se ha dicho ya que no existe una formal desigualdad de trato en la norma. Los preceptos rectores del reconocimiento de la pensión de viudedad no diferencian en función de razones étnicas, de suerte que, en una idéntica situación de no formalización de la relación de hecho, lo mismo que a la unidad convivencial de la etnia gitana, se le denegaría también la pensión a cualquier otra convivencia de pareja, al no concurrir en ninguno de los dos casos los requisitos imprescindibles para el acrecimiento de la prestación. Ahora bien, la aproximación al contraste de situaciones que fundamenta la queja desde la perspectiva de la discriminación directa no colma el mandato constitucional de prohibición de discriminación. Por el contrario, la vulneración del derecho fundamental también debería declararse si la interpretación de la norma, aun formalmente neutra en el trato a unos y otros, ocasionara en lo que ahora importa, en los convivientes de la etnia gitana, un impacto o resultado adverso.</w:t>
      </w:r>
    </w:p>
    <w:p w:rsidR="005728DD" w:rsidRDefault="005728DD" w:rsidP="005728DD">
      <w:pPr>
        <w:pStyle w:val="TextoNormal"/>
      </w:pPr>
    </w:p>
    <w:p w:rsidR="005728DD" w:rsidRDefault="005728DD" w:rsidP="005728DD">
      <w:pPr>
        <w:pStyle w:val="TextoNormal"/>
      </w:pPr>
      <w:r>
        <w:t>Pues bien, la interpretación que realiza la resolución impugnada, formalmente neutra, no discrimina de modo indirecto a la recurrente en amparo. En efecto, no se advierte un perjuicio reflejo, mediato o indirecto, que revele que las disposiciones controvertidas produzcan particulares efectos desfavorables para los miembros de la etnia gitana respecto de otros colectivos que, por las razones que en cada caso concurran (por ejemplo ideológicas), opten por la no formalización de su vínculo. Y es que ni las normas se definen o articulan por referencia a un factor étnico (discriminación directa), ya se ha dicho, ni tampoco tienen un impacto mayor u objetivamente significativo y de más alcance en relación con los miembros de las uniones convivenciales de la etnia gitana.</w:t>
      </w:r>
    </w:p>
    <w:p w:rsidR="005728DD" w:rsidRDefault="005728DD" w:rsidP="005728DD">
      <w:pPr>
        <w:pStyle w:val="TextoNormal"/>
      </w:pPr>
    </w:p>
    <w:p w:rsidR="005728DD" w:rsidRDefault="005728DD" w:rsidP="005728DD">
      <w:pPr>
        <w:pStyle w:val="TextoNormal"/>
      </w:pPr>
      <w:r>
        <w:t xml:space="preserve">Los argumentos que se aducen, relativos a la protección que precisa la comunidad gitana o al fuerte arraigo de sus tradiciones y a las garantías que, en su cultura y contexto comunitario, se otorga a la relación así nacida, se refieren a la hipótesis ya descartada de la discriminación directa, no así a la que ahora abordamos, y no solo ya por ausencia de datos que permitan acreditar otro resultado en función de evidencias estadísticas (por todas, SSTC </w:t>
      </w:r>
      <w:r>
        <w:lastRenderedPageBreak/>
        <w:t>253/2004, de 22 de diciembre, FJ 7, y 91/2019, de 3 de julio, FJ 10), sino porque ni se justifica ni, antes incluso que eso, cabe advertir fundamento objetivo alguno de la existencia de un perjuicio mayor y verdaderamente desfavorable en la norma o en su aplicación, desde una perspectiva cualitativa o cuantitativa, en razón de pertenecer a esa minoría frente al que puede acarrear para cualquier otro colectivo que opte por la no formalización de sus relaciones de convivencia o por una formalización que carezca de validez civil.</w:t>
      </w:r>
    </w:p>
    <w:p w:rsidR="005728DD" w:rsidRDefault="005728DD" w:rsidP="005728DD">
      <w:pPr>
        <w:pStyle w:val="TextoNormal"/>
      </w:pPr>
    </w:p>
    <w:p w:rsidR="005728DD" w:rsidRDefault="005728DD" w:rsidP="005728DD">
      <w:pPr>
        <w:pStyle w:val="TextoNormal"/>
      </w:pPr>
      <w:r>
        <w:t>Ha de insistirse, entonces, en que el ordenamiento jurídico no solo garantiza una forma de acceso civil al vínculo matrimonial con una escrupulosa neutralidad desde el punto de vista racial, sino que, incluso cuando se ha optado por dotar de efectos en materia de prestaciones de seguridad social a otras formas de convivencia, tampoco es posible apreciar connotaciones de exclusión étnica alguna o prejuicios particularmente relevantes y característicos, cualitativos o cuantitativos, que diferencien y generen un mayor impacto o un impacto adverso singularizado, a los miembros de la etnia gitana en caso de incumplimiento de los requisitos y de no reconocimiento consiguiente de la pensión.</w:t>
      </w:r>
    </w:p>
    <w:p w:rsidR="005728DD" w:rsidRDefault="005728DD" w:rsidP="005728DD">
      <w:pPr>
        <w:pStyle w:val="TextoNormal"/>
      </w:pPr>
    </w:p>
    <w:p w:rsidR="005728DD" w:rsidRDefault="005728DD" w:rsidP="005728DD">
      <w:pPr>
        <w:pStyle w:val="TextoNormal"/>
      </w:pPr>
      <w:r>
        <w:t>En síntesis, sin perjuicio de que el legislador pudiera, en atención a las singularidades que plantea la etnia gitana, desarrollar una regulación legal en la que, preservando los derechos y valores constitucionales, se establecieran las condiciones materiales y formales en que las uniones celebradas conforme a los ritos y usos gitanos pudieran contar con plenos efectos civiles, no se advierte en la actual realidad normativa en la interpretación efectuada por la resolución recurrida, ni desde el prisma de la discriminación directa ni desde el propio de la indirecta, un trato discriminatorio por razones étnicas o raciales.</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Diferencias con la STEDH asunto Muñoz Díaz c. España, de 8 de diciembre de</w:t>
      </w:r>
      <w:r>
        <w:t xml:space="preserve"> 2009.</w:t>
      </w:r>
    </w:p>
    <w:p w:rsidR="005728DD" w:rsidRDefault="005728DD" w:rsidP="005728DD">
      <w:pPr>
        <w:pStyle w:val="TextoNormal"/>
      </w:pPr>
    </w:p>
    <w:p w:rsidR="005728DD" w:rsidRDefault="005728DD" w:rsidP="005728DD">
      <w:pPr>
        <w:pStyle w:val="TextoNormal"/>
      </w:pPr>
      <w:r>
        <w:t>Resta por analizar si el matrimonio de la recurrente resulta comparable y merece igual trato que el contraído conforme al rito gitano por la Sra. Muñoz Díaz, a la que este Tribunal Constitucional desestimó el recurso de amparo interpuesto, invocando el principio de no discriminación por motivos raciales o étnicos en la STC 69/2007, de 16 de abril, si bien después el Tribunal Europeo de Derechos Humanos en su sentencia de 8 de diciembre de 2009 estimó su recurso al entender que había resultado vulnerado el art.14 CEDH en relación con el art. 1 del Protocolo núm. 1 y el art. 1 del Protocolo núm. 12.</w:t>
      </w:r>
    </w:p>
    <w:p w:rsidR="005728DD" w:rsidRDefault="005728DD" w:rsidP="005728DD">
      <w:pPr>
        <w:pStyle w:val="TextoNormal"/>
      </w:pPr>
    </w:p>
    <w:p w:rsidR="005728DD" w:rsidRDefault="005728DD" w:rsidP="005728DD">
      <w:pPr>
        <w:pStyle w:val="TextoNormal"/>
      </w:pPr>
      <w:r>
        <w:t xml:space="preserve">Más allá de que no hay por lo común dos casos iguales y de que siempre los perfiles casuísticos introducen alguna diferencia en el supuesto que sea objeto de enjuiciamiento y es sometido con otros a contraste, es lo cierto que los criterios tomados en consideración por el Tribunal Europeo de Derechos Humanos en aquella sentencia no concurren en el presente caso. Así, aunque en efecto la entonces demandante y su compañero de vida, como ocurre en esta ocasión, pertenecían a la comunidad gitana, se casaron según los rituales propios de su comunidad, tuvieron varios hijos, contaban con libro de familia y vivieron juntos durante un largo período de tiempo, desde la fecha de su matrimonio hasta el fallecimiento, lo cierto es que en el supuesto ahora analizado la demandante carecía de elementos objetivos en que fundar la convicción sobre la validez de su matrimonio y que su unión como convivientes tampoco estaba formalizada, ya que había excluido de forma voluntaria la utilización de cualquiera de las formas que le hubieran permitido lucrar la pensión de viudedad. Todo ello, sin perjuicio, claro está, de la fuerza de las creencias colectivas de una </w:t>
      </w:r>
      <w:r>
        <w:lastRenderedPageBreak/>
        <w:t>comunidad culturalmente bien definida, esto es, la idea de que el matrimonio contraído según sus propios ritos y tradiciones, es válido para dicha comunidad, aunque no lo sea para las autoridades nacionales que ciertamente no le otorgan validez civil.</w:t>
      </w:r>
    </w:p>
    <w:p w:rsidR="005728DD" w:rsidRDefault="005728DD" w:rsidP="005728DD">
      <w:pPr>
        <w:pStyle w:val="TextoNormal"/>
      </w:pPr>
    </w:p>
    <w:p w:rsidR="005728DD" w:rsidRDefault="005728DD" w:rsidP="005728DD">
      <w:pPr>
        <w:pStyle w:val="TextoNormal"/>
      </w:pPr>
      <w:r>
        <w:t xml:space="preserve">Por otro lado, conviene subrayar que a diferencia del supuesto que examinamos en la STC 194/2014, de 1 de diciembre, en relación con un matrimonio contraído por el rito islámico carente de validez y eficacia para el ordenamiento jurídico español, no hay constancia alguna de que la administración reconociera la existencia y validez del matrimonio de la recurrente, sino que, por el contrario, en la documentación obrante en las actuaciones consta que el estado civil de la pretendida causante de la pensión de viudedad era soltera y extramatrimoniales los hijos habidos en común. Tampoco existen indicios de que administración alguna le hubiera reconocido los efectos propios de una persona con vínculo matrimonial. Por ello, como ya hemos adelantado en el fundamento jurídico 2 de la presente resolución, en esta ocasión no es posible atender a la buena fe de la demandante de amparo como canon de proporcionalidad en el juicio de la posible lesión del art. 14 CE, como hiciera en su día el Tribunal Europeo de Derechos Humanos en el asunto </w:t>
      </w:r>
      <w:r w:rsidRPr="005728DD">
        <w:rPr>
          <w:i/>
        </w:rPr>
        <w:t>Muñoz Díaz c. España</w:t>
      </w:r>
      <w:r>
        <w:t xml:space="preserve">, pues la recurrente en amparo Sra. Cortés Cortés era plenamente conocedora de la falta de validez de su matrimonio, al haberse celebrado por un rito no reconocido por nuestro ordenamiento jurídico y tampoco formalizó en momento alguno su relación </w:t>
      </w:r>
      <w:r w:rsidRPr="005728DD">
        <w:rPr>
          <w:i/>
        </w:rPr>
        <w:t>more uxorio</w:t>
      </w:r>
      <w:r>
        <w:t xml:space="preserve"> en el modo exigido por la legislación para el reconocimiento de su derecho a la prestación de viudedad por el sistema nacional de Seguridad Social.</w:t>
      </w:r>
    </w:p>
    <w:p w:rsidR="005728DD" w:rsidRDefault="005728DD" w:rsidP="005728DD">
      <w:pPr>
        <w:pStyle w:val="TextoNormal"/>
      </w:pPr>
    </w:p>
    <w:p w:rsidR="005728DD" w:rsidRDefault="005728DD" w:rsidP="005728DD">
      <w:pPr>
        <w:pStyle w:val="TextoNormal"/>
      </w:pPr>
      <w:r>
        <w:t>En definitiva, este tribunal comparte el criterio expresado por el Ministerio Fiscal y por el INSS, no observando vulneración del art. 14 CE en la sentencia de la Sala de lo Social del Tribunal Supremo, de fecha de 25 de enero de 2018, que ha sido impugnada.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la presente demanda de amparo promovida por doña Joaquina Cortés Cortés.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Juan Antonio Xiol Ríos a la sentencia dictada en el recurso de amparo núm. 1343-2018</w:t>
      </w:r>
    </w:p>
    <w:p w:rsidR="005728DD" w:rsidRDefault="005728DD" w:rsidP="005728DD">
      <w:pPr>
        <w:pStyle w:val="TextoNormalNegritaCentrado"/>
        <w:keepNext/>
      </w:pPr>
    </w:p>
    <w:p w:rsidR="005728DD" w:rsidRDefault="005728DD" w:rsidP="005728DD">
      <w:pPr>
        <w:pStyle w:val="TextoNormal"/>
      </w:pPr>
      <w:r>
        <w:t>Con el máximo respeto a la opinión mayoritaria de mis compañeros de Sala en la que se sustenta la sentencia, manifiesto mi discrepancia con la parte sustancial de la fundamentación jurídica y con el fallo. Considero que hubiera debido otorgarse el amparo a la demandante por vulneración de su derecho a no ser discriminada por razones de pertenencia a una minoría nacional (art. 14 CE).</w:t>
      </w:r>
    </w:p>
    <w:p w:rsidR="005728DD" w:rsidRDefault="005728DD" w:rsidP="005728DD">
      <w:pPr>
        <w:pStyle w:val="TextoNormal"/>
      </w:pPr>
    </w:p>
    <w:p w:rsidR="005728DD" w:rsidRDefault="005728DD" w:rsidP="005728DD">
      <w:pPr>
        <w:pStyle w:val="TextoNormal"/>
      </w:pPr>
      <w:r>
        <w:t xml:space="preserve">Estoy en desacuerdo con la argumentación y con la conclusión de que no existe una discriminación indirecta por razones de pertenencia a una minoría nacional en el trato normativo, administrativo y judicial dispensado a las uniones de vida celebradas conforme a las </w:t>
      </w:r>
      <w:r>
        <w:lastRenderedPageBreak/>
        <w:t xml:space="preserve">tradiciones culturales del pueblo romaní a los efectos de lucrar la prestación por viudedad. Mi desacuerdo se refiere también al restringido alcance que se reconoce a la STEDH de 8 de diciembre de 2009, asunto </w:t>
      </w:r>
      <w:r w:rsidRPr="005728DD">
        <w:rPr>
          <w:i/>
        </w:rPr>
        <w:t>Muñoz Díaz c. España</w:t>
      </w:r>
      <w:r>
        <w:t>.</w:t>
      </w:r>
    </w:p>
    <w:p w:rsidR="005728DD" w:rsidRDefault="005728DD" w:rsidP="005728DD">
      <w:pPr>
        <w:pStyle w:val="TextoNormal"/>
      </w:pPr>
    </w:p>
    <w:p w:rsidR="005728DD" w:rsidRDefault="005728DD" w:rsidP="005728DD">
      <w:pPr>
        <w:pStyle w:val="TextoNormal"/>
      </w:pPr>
      <w:r w:rsidRPr="005728DD">
        <w:rPr>
          <w:i/>
        </w:rPr>
        <w:t>I. La pertenencia a una minoría nacional y el origen étnico como criterios de prohibición de trato discriminatorio</w:t>
      </w:r>
      <w:r>
        <w:t>.</w:t>
      </w:r>
    </w:p>
    <w:p w:rsidR="005728DD" w:rsidRDefault="005728DD" w:rsidP="005728DD">
      <w:pPr>
        <w:pStyle w:val="TextoNormal"/>
      </w:pPr>
    </w:p>
    <w:p w:rsidR="005728DD" w:rsidRDefault="005728DD" w:rsidP="005728DD">
      <w:pPr>
        <w:pStyle w:val="TextoNormal"/>
      </w:pPr>
      <w:r>
        <w:t>1. El art. 14 CE, al establecer los criterios de prohibición de trato discriminatorio, no se refiere expresamente a la pertenencia a una minoría nacional o al origen étnico, a diferencia de lo que se hace tanto en el art. 14 CEDH y en el art. 1.1 del Protocolo núm. 12 CEDH como en el art. 21.1 Carta de los derechos fundamentales de la Unión Europea. Sin embargo, la cláusula “cualquier otra condición o circunstancia personal o social” permite englobar criterios de dicha naturaleza dentro de la prohibición antidiscriminatoria constitucionalmente protegida si no se estima posible una interpretación más actualizada y flexible del concepto de raza que, manteniendo la intención originaria de prohibir cualquier discriminación por el color de la piel o por cualquier rasgo morfológico de las personas humanas, así como por la pertenencia a grupos caracterizados por tales rasgos, integre los antes expresados criterios con la suficiente amplitud y, al propio tiempo, eluda el riesgo de aceptar la raza como criterio tipológico, pues la centralidad de tal concepto en el texto de la Constitución para identificar discriminaciones de la índole de las que estamos examinando pudiera considerarse como una anacronía que inevitablemente evoca la teoría de la existencia de razas humanas, hoy rechazada con abrumadora mayoría en el mundo científico y del pensamiento.</w:t>
      </w:r>
    </w:p>
    <w:p w:rsidR="005728DD" w:rsidRDefault="005728DD" w:rsidP="005728DD">
      <w:pPr>
        <w:pStyle w:val="TextoNormal"/>
      </w:pPr>
    </w:p>
    <w:p w:rsidR="005728DD" w:rsidRDefault="005728DD" w:rsidP="005728DD">
      <w:pPr>
        <w:pStyle w:val="TextoNormal"/>
      </w:pPr>
      <w:r>
        <w:t>En el ámbito regional europeo de los derechos humanos va consolidándose la idea de que el pueblo romaní constituye una minoría nacional. Así, en el Convenio-marco para la protección de las minorías nacionales (núm. 157 del Consejo de Europa), hecho en Estrasburgo el 1 de febrero de 1995 (“BOE” núm. 20, de 23 de enero de 1998), que representa el texto fundamental sobre el respeto a los derechos de estas minorías, diversos Estados parte, como Alemania o Macedonia del Norte, hicieron una declaración expresa de reconocimiento de sus nacionales de origen romaní como minoría a los efectos del Convenio. Del mismo modo, el Tribunal Europeo de Derechos Humanos, en la ya citada sentencia de 8 de diciembre de 2009, aceptó la aplicación de las normas de este convenio sobre minorías nacionales en el enjuiciamiento de la denegación de una pensión de viudedad a una mujer perteneciente a la comunidad romaní española.</w:t>
      </w:r>
    </w:p>
    <w:p w:rsidR="005728DD" w:rsidRDefault="005728DD" w:rsidP="005728DD">
      <w:pPr>
        <w:pStyle w:val="TextoNormal"/>
      </w:pPr>
    </w:p>
    <w:p w:rsidR="005728DD" w:rsidRDefault="005728DD" w:rsidP="005728DD">
      <w:pPr>
        <w:pStyle w:val="TextoNormal"/>
      </w:pPr>
      <w:r>
        <w:t>No está, pues, controvertido que el pueblo romaní constituye una minoría discriminada y que, por tanto, resultan de aplicación a sus miembros las normativas antidiscriminatorias que, al margen de la prohibición general de discriminación reconocida en los textos fundamentales de derechos humanos (art. 27 del Pacto internacional de derechos civiles y políticos; art. 14 y Protocolo núm. 12 CEDH; arts. 20 a 22 de la Carta de los derechos fundamentales de la Unión Europea), aparecen desarrolladas, en el ámbito internacional, en el Convenio internacional sobre eliminación de todas las formas de discriminación racial, aprobado por la Asamblea General de las Naciones Unidas el 21 de diciembre de 1965 (“BOE” núm. 118, de 17 de mayo de 1969), y, en el ámbito europeo, en el ya citado Convenio-marco para la protección de las Minorías Nacionales de 1995 y en la Directiva 2000/43/CE del Consejo de 29 de junio de 2000, relativa a la aplicación del principio de igualdad de trato de las personas independientemente de su origen racial o étnico (“DOCE” L 180, de 19 de julio de 2000).</w:t>
      </w:r>
    </w:p>
    <w:p w:rsidR="005728DD" w:rsidRDefault="005728DD" w:rsidP="005728DD">
      <w:pPr>
        <w:pStyle w:val="TextoNormal"/>
      </w:pPr>
    </w:p>
    <w:p w:rsidR="005728DD" w:rsidRDefault="005728DD" w:rsidP="005728DD">
      <w:pPr>
        <w:pStyle w:val="TextoNormal"/>
      </w:pPr>
      <w:r>
        <w:t>2. Este cuerpo normativo y la jurisprudencia que emana de los tribunales encargados de su interpretación y aplicación se constituyen —a los efectos de la obligación de interpretación conforme de las normas relativas a los derechos fundamentales y a las libertades que la Constitución reconoce con los tratados y acuerdos internacionales sobre estas materias ratificados por España (art. 10.2 CE)— como elementos referenciales del juicio de constitucionalidad que, desde la perspectiva del art. 14 CE, hay que desarrollar en relación con las resoluciones impugnadas.</w:t>
      </w:r>
    </w:p>
    <w:p w:rsidR="005728DD" w:rsidRDefault="005728DD" w:rsidP="005728DD">
      <w:pPr>
        <w:pStyle w:val="TextoNormal"/>
      </w:pPr>
    </w:p>
    <w:p w:rsidR="005728DD" w:rsidRDefault="005728DD" w:rsidP="005728DD">
      <w:pPr>
        <w:pStyle w:val="TextoNormal"/>
      </w:pPr>
      <w:r>
        <w:t>Considero necesario destacar determinados aspectos de estas regulaciones que son relevantes para este caso. En primer lugar, la importancia que se reconoce al reconocimiento de las singularidades culturales y la prohibición de políticas de asimilación. Así, el art. 5 del Convenio-marco para la protección de las Minorías Nacionales de 1995, establece, en el apartado primero, que “las partes se comprometen a promover las condiciones necesarias para permitir a las personas pertenecientes a minorías nacionales mantener y desarrollar su cultura, así como preservar los elementos esenciales de su identidad, a saber, su religión, lengua, tradiciones y patrimonio cultural”; y, en el apartado segundo, que “sin perjuicio de las medidas adoptadas de conformidad con su política general de integración, las partes se abstendrán de toda política o práctica encaminada a la asimilación contra su voluntad de personas pertenecientes a minorías nacionales y protegerán a esas personas contra toda acción destinada a dicha asimilación”.</w:t>
      </w:r>
    </w:p>
    <w:p w:rsidR="005728DD" w:rsidRDefault="005728DD" w:rsidP="005728DD">
      <w:pPr>
        <w:pStyle w:val="TextoNormal"/>
      </w:pPr>
    </w:p>
    <w:p w:rsidR="005728DD" w:rsidRDefault="005728DD" w:rsidP="005728DD">
      <w:pPr>
        <w:pStyle w:val="TextoNormal"/>
      </w:pPr>
      <w:r>
        <w:t>En estos textos se hace hincapié en la aplicación de estas políticas antidiscriminatorias a los derechos económicos y, singularmente, a los que reconozca el sector público en materia de protección social y de seguridad social [art. 5 e) del Convenio internacional sobre eliminación de todas las formas de discriminación racial; y art. 1.3 de la Directiva 2000/43/CE].</w:t>
      </w:r>
    </w:p>
    <w:p w:rsidR="005728DD" w:rsidRDefault="005728DD" w:rsidP="005728DD">
      <w:pPr>
        <w:pStyle w:val="TextoNormal"/>
      </w:pPr>
    </w:p>
    <w:p w:rsidR="005728DD" w:rsidRDefault="005728DD" w:rsidP="005728DD">
      <w:pPr>
        <w:pStyle w:val="TextoNormal"/>
      </w:pPr>
      <w:r w:rsidRPr="005728DD">
        <w:rPr>
          <w:i/>
        </w:rPr>
        <w:t>II. La prohibición de discriminación indirecta por pertenencia a una minoría nacional o por razones de origen étnico</w:t>
      </w:r>
      <w:r>
        <w:t>.</w:t>
      </w:r>
    </w:p>
    <w:p w:rsidR="005728DD" w:rsidRDefault="005728DD" w:rsidP="005728DD">
      <w:pPr>
        <w:pStyle w:val="TextoNormal"/>
      </w:pPr>
    </w:p>
    <w:p w:rsidR="005728DD" w:rsidRDefault="005728DD" w:rsidP="005728DD">
      <w:pPr>
        <w:pStyle w:val="TextoNormal"/>
      </w:pPr>
      <w:r>
        <w:t>3. La jurisprudencia constitucional española se ha pronunciado en diversas ocasiones sobre la prohibición del trato discriminatorio indirecto —en la mayoría de los casos por motivos de género— definiendo como tal la existencia de una norma o su interpretación o aplicación que, aunque sea formal o aparentemente neutra desde la perspectiva de los criterios de prohibición de trato discriminatorio, supone, por las diversas circunstancias de hecho concurrentes en el caso, un impacto adverso en miembros de determinados grupos discriminados que carece de justificación al no fundarse en una exigencia objetiva e indispensable para la consecución de un objetivo legítimo o por no resultar idónea para el logro de tal objetivo (así, STC 110/2015, de 28 de mayo, FJ 6).</w:t>
      </w:r>
    </w:p>
    <w:p w:rsidR="005728DD" w:rsidRDefault="005728DD" w:rsidP="005728DD">
      <w:pPr>
        <w:pStyle w:val="TextoNormal"/>
      </w:pPr>
    </w:p>
    <w:p w:rsidR="005728DD" w:rsidRDefault="005728DD" w:rsidP="005728DD">
      <w:pPr>
        <w:pStyle w:val="TextoNormal"/>
      </w:pPr>
      <w:r>
        <w:t>La discriminación indirecta por pertenencia a una minoría nacional o por razones de origen étnico aparece también definida en el art. 2 de la citada Directiva 2000/43/CE cuando afirma que “existirá discriminación indirecta cuando una disposición, criterio o práctica aparentemente neutros sitúe a personas de un origen racial o étnico concreto en desventaja particular con respecto a otras personas, salvo que dicha disposición, criterio o práctica pueda justificarse objetivamente con una finalidad legítima y salvo que los medios para la consecución de esta finalidad sean adecuados y necesarios”.</w:t>
      </w:r>
    </w:p>
    <w:p w:rsidR="005728DD" w:rsidRDefault="005728DD" w:rsidP="005728DD">
      <w:pPr>
        <w:pStyle w:val="TextoNormal"/>
      </w:pPr>
    </w:p>
    <w:p w:rsidR="005728DD" w:rsidRDefault="005728DD" w:rsidP="005728DD">
      <w:pPr>
        <w:pStyle w:val="TextoNormal"/>
      </w:pPr>
      <w:r>
        <w:lastRenderedPageBreak/>
        <w:t>No siendo objetable la posibilidad de discriminación indirecta por estos motivos, no existe obstáculo alguno a la aplicación del parámetro de control desarrollado de manera amplia en la jurisprudencia constitucional de nuestro país —también en la del Tribunal Europeo de Derechos Humanos y del Tribunal de Justicia de la Unión Europea— en relación con la discriminación por motivos de género (así, por ejemplo, SSTC 110/2015, de 28 de mayo, FFJJ 6 a 8, o 91/2019, de 3 de julio, FJ 4). Conforme a este parámetro, para poder establecer que se ha producido un trato discriminatorio indirecto resulta preciso, partiendo de la existencia de una norma o práctica judicial o administrativa formalmente neutra desde la perspectiva del criterio antidiscriminatorio, en primer lugar, determinar la existencia de una desventaja particular para el grupo formado por ciudadanos de la minoría nacional o grupo étnico de referencia para, posteriormente, comprobar si esa diferencia de trato responde a una medida de política social legítima, justificada por razones objetivas, ajenas a toda discriminación por estos motivos, adecuada para alcanzar la finalidad perseguida y que no exceda de lo que es necesario a tal fin.</w:t>
      </w:r>
    </w:p>
    <w:p w:rsidR="005728DD" w:rsidRDefault="005728DD" w:rsidP="005728DD">
      <w:pPr>
        <w:pStyle w:val="TextoNormal"/>
      </w:pPr>
    </w:p>
    <w:p w:rsidR="005728DD" w:rsidRDefault="005728DD" w:rsidP="005728DD">
      <w:pPr>
        <w:pStyle w:val="TextoNormal"/>
      </w:pPr>
      <w:r>
        <w:t>4. La única resolución en la que el Tribunal se ha pronunciado sobre la discriminación indirecta por pertenencia a una minoría nacional o por razones de origen étnico es la STC 69/2007, de 16 de abril. Esta sentencia versa, como ocurre en el caso enjuiciado, sobre la denegación de una prestación de viudedad fundada en la negativa a equiparar una unión de vida celebrada conforme a las tradiciones culturales del pueblo romaní con las uniones matrimoniales reconocidas estatalmente. En aquel caso el Tribunal concluyó que no se había producido un trato discriminatorio indirecto. Aquella decisión, sin embargo, no fue compartida por el Tribunal Europeo de Derechos Humanos, que en la ya citada STEDH de 8 de diciembre de 2009 concluyó que sí había existido una vulneración del art. 14 CEDH, en relación con el art. 1 del Protocolo núm. 1 del CEDH.</w:t>
      </w:r>
    </w:p>
    <w:p w:rsidR="005728DD" w:rsidRDefault="005728DD" w:rsidP="005728DD">
      <w:pPr>
        <w:pStyle w:val="TextoNormal"/>
      </w:pPr>
    </w:p>
    <w:p w:rsidR="005728DD" w:rsidRDefault="005728DD" w:rsidP="005728DD">
      <w:pPr>
        <w:pStyle w:val="TextoNormal"/>
      </w:pPr>
      <w:r>
        <w:t>La opinión mayoritaria en la que se sustenta la sentencia defiende de manera extensa que los supuestos enjuiciados en aquel caso y en el presente tienen contextos normativos y objetos diferentes, cosa que imposibilita alcanzar la misma conclusión. En aquel caso —se argumenta— la normativa reguladora de la prestación de jubilación quedaba restringida a las uniones matrimoniales registradas. Por consiguiente, el análisis del posible trato discriminatorio indirecto se hacía comparando estas uniones matrimoniales con las uniones de vida celebradas conforme a las tradiciones culturales del pueblo romaní. En el presente caso —se concluye— la reforma operada por la Ley 40/2007, de 4 de diciembre, de medidas en materia de Seguridad Social, admite la generación del derecho a pensión en las uniones de vida no matrimoniales registradas, por lo que la comparación se produce entre la unión de vida registrada y la unión de vida no registrada, por más que esta se haya celebrado conforme a las tradiciones culturales del pueblo romaní.</w:t>
      </w:r>
    </w:p>
    <w:p w:rsidR="005728DD" w:rsidRDefault="005728DD" w:rsidP="005728DD">
      <w:pPr>
        <w:pStyle w:val="TextoNormal"/>
      </w:pPr>
    </w:p>
    <w:p w:rsidR="005728DD" w:rsidRDefault="005728DD" w:rsidP="005728DD">
      <w:pPr>
        <w:pStyle w:val="TextoNormal"/>
      </w:pPr>
      <w:r>
        <w:t xml:space="preserve">Se me hace difícil aceptar que —sin incurrir en el vicio lógico de la distinción irrelevante— estas diferencias impidan aplicar a este caso las razones operativas en que se apoya la citada STEDH de 8 de diciembre de 2009, partiendo del principio de protección de las minorías nacionales y culturales e incluyendo el principio de la buena fe de la demandante como elemento significativo en el juicio de proporcionalidad sobre una posible lesión del art. 14 CE. Considero, por las razones que desarrollaré a continuación, en línea con el voto particular formulado por dos de las magistradas de la Sala de lo Social del Tribunal Supremo a la sentencia impugnada en este recurso de amparo —cuya fundamentada opinión comparto—, que en este caso se ha producido una discriminación indirecta por pertenencia a </w:t>
      </w:r>
      <w:r>
        <w:lastRenderedPageBreak/>
        <w:t>una minoría nacional por el diferente tratamiento dispensado para lucrar la prestación de viudedad, por una parte, a las uniones de vida celebradas conforme a las tradiciones culturales del pueblo romaní y, por otra, a las uniones de vida no matrimoniales que hayan resultado inscritas en alguno de los registros específicos existentes en las comunidades autónomas o ayuntamientos del lugar de residencia o formalizadas mediante documento público en el que conste la constitución de dicha unión de vida.</w:t>
      </w:r>
    </w:p>
    <w:p w:rsidR="005728DD" w:rsidRDefault="005728DD" w:rsidP="005728DD">
      <w:pPr>
        <w:pStyle w:val="TextoNormal"/>
      </w:pPr>
    </w:p>
    <w:p w:rsidR="005728DD" w:rsidRDefault="005728DD" w:rsidP="005728DD">
      <w:pPr>
        <w:pStyle w:val="TextoNormal"/>
      </w:pPr>
      <w:r w:rsidRPr="005728DD">
        <w:rPr>
          <w:i/>
        </w:rPr>
        <w:t>III. La discriminación indirecta por pertenencia a una minoría nacional o por razones de origen étnico por la denegación de la prestación de viudedad a las uniones de vida celebradas conforme a las tradiciones culturales del pueblo romaní</w:t>
      </w:r>
      <w:r>
        <w:t>.</w:t>
      </w:r>
    </w:p>
    <w:p w:rsidR="005728DD" w:rsidRDefault="005728DD" w:rsidP="005728DD">
      <w:pPr>
        <w:pStyle w:val="TextoNormal"/>
      </w:pPr>
    </w:p>
    <w:p w:rsidR="005728DD" w:rsidRDefault="005728DD" w:rsidP="005728DD">
      <w:pPr>
        <w:pStyle w:val="TextoNormal"/>
      </w:pPr>
      <w:r>
        <w:t>5. La opinión mayoritaria en la que se sustenta la sentencia argumenta que la norma reguladora de la prestación de viudedad y su interpretación y aplicación en las resoluciones impugnadas no suponen una discriminación indirecta por pertenencia a una minoría nacional o por razones de origen étnico. Dicha opinión se funda en que no concurre el presupuesto para la existencia de este tipo de discriminación, a saber, la existencia de un perjuicio que revele efectos desfavorables para los miembros del pueblo romaní respecto de otros colectivos que opten por la no formalización de su unión de vida —bien sea a través de uniones matrimoniales registradas o uniones de vida inscritas en registros públicos—. Se argumenta que la aplicación que se ha realizado de la normativa vigente no tiene un impacto mayor u objetivamente significativo y de más alcance en relación con los miembros de las uniones de vida celebradas conforme a las tradiciones culturales del pueblo romaní.</w:t>
      </w:r>
    </w:p>
    <w:p w:rsidR="005728DD" w:rsidRDefault="005728DD" w:rsidP="005728DD">
      <w:pPr>
        <w:pStyle w:val="TextoNormal"/>
      </w:pPr>
    </w:p>
    <w:p w:rsidR="005728DD" w:rsidRDefault="005728DD" w:rsidP="005728DD">
      <w:pPr>
        <w:pStyle w:val="TextoNormal"/>
      </w:pPr>
      <w:r>
        <w:t>Discrepo de esta afirmación. La jurisprudencia constitucional ha establecido, que, para determinar de la existencia de efectos desfavorables para un grupo formado mayoritariamente por personas integradas en el criterio de prohibición de trato discriminatorio, “la incorporación de la discriminación indirecta como contenido proscrito por el art. 14 CE repercute en la forma de abordar el análisis de este tipo de discriminaciones, pues deberá atenderse necesariamente a los datos revelados por la estadística (STC 128/1987, de 14 de julio, FJ 6), ya sean datos estadísticos aportados por el órgano judicial promotor de la respectiva cuestión de inconstitucionalidad o datos estadísticos actualizados de oficio por el tribunal (STC 253/2004, FJ 8)” (STC 91/2019, de 3 de julio, FJ 4).</w:t>
      </w:r>
    </w:p>
    <w:p w:rsidR="005728DD" w:rsidRDefault="005728DD" w:rsidP="005728DD">
      <w:pPr>
        <w:pStyle w:val="TextoNormal"/>
      </w:pPr>
    </w:p>
    <w:p w:rsidR="005728DD" w:rsidRDefault="005728DD" w:rsidP="005728DD">
      <w:pPr>
        <w:pStyle w:val="TextoNormal"/>
      </w:pPr>
      <w:r>
        <w:t>6. Ante la falta de datos estadísticos más precisos —explicable por la prohibición del uso de datos identificativos de la pertenencia a una minoría nacional o al origen étnico en los censos de población—, diferentes estudios estiman que los miembros del pueblo romaní residentes en España serían entre 650 000 a 800 000 personas, lo que representaría en torno al 1,57 por 100 de la población española [datos elaborados por el Consejo de Europa y utilizados por la Comisión europea en el documento “Un marco europeo de estrategias nacionales de inclusión de los gitanos hasta 2020”, de 5 de abril de 2011, COM(2011) 173 final]. Estos datos se elevan de 725 000 a 750 000 e incluso hasta un millón en la Estrategia nacional para la inclusión social de la población gitana en España 2012-2020, aprobada por acuerdo del Consejo de Ministros el 2 de marzo de 2012. El “Estudio comparado sobre la situación de la población gitana en España en relación al empleo y la pobreza”, elaborado en 2019 por Iseak y la Fundación Secretariado Gitano, se llegan a manejar cifras que oscilarían entre las 800 000 y 1 500 000 personas.</w:t>
      </w:r>
    </w:p>
    <w:p w:rsidR="005728DD" w:rsidRDefault="005728DD" w:rsidP="005728DD">
      <w:pPr>
        <w:pStyle w:val="TextoNormal"/>
      </w:pPr>
    </w:p>
    <w:p w:rsidR="005728DD" w:rsidRDefault="005728DD" w:rsidP="005728DD">
      <w:pPr>
        <w:pStyle w:val="TextoNormal"/>
      </w:pPr>
      <w:r>
        <w:lastRenderedPageBreak/>
        <w:t>No menos complejo es establecer los datos sobre la situación de estado civil en la comunidad romaní. En el trabajo “Diagnóstico social de la comunidad gitana en España. Un análisis contrastado de la encuesta del Centro de Investigaciones Sociológicas  a hogares de población gitana 2007”, publicado por el Ministerio de Sanidad, Política Social e Igualdad en el año 2011, se afirma que el porcentaje de familias romaníes compuestas de manera nuclear por un matrimonio —con o sin hijos— es del 64,1 por 100, frente al de la población general, que es del 54,7 por 100; y que la unión de vida por su rito cultural tradicional de forma exclusiva está presente en un 28 por 100 de las personas casadas de esta comunidad, mientras que el resto formaliza esta unión de manera combinada con la religiosa o la civil. Se señala, significativamente, que, atendiendo a la proporción por grupos de edad de miembros de la comunidad con uniones de vida celebradas conforme a sus tradiciones no registradas, podría estar aumentando la proporción de quienes se deciden por uniones tradicionales no inscritas. Por contraposición, en la población general, según datos aportados por el instituto Nacional de Estadística respecto de 2001, solo un 6 por 100 de las uniones censadas en España eran de hecho frente a las que estaban formalmente registradas como matrimonio; y en la población general se ha mantenido en torno al 15 por 100 el número de parejas que optan por uniones de vida frente al 85 por 100 que lo hacen por el matrimonio entre los años 2014 a 2019, según la “Encuesta continua de hogares” del Instituto Nacional de Empleo.</w:t>
      </w:r>
    </w:p>
    <w:p w:rsidR="005728DD" w:rsidRDefault="005728DD" w:rsidP="005728DD">
      <w:pPr>
        <w:pStyle w:val="TextoNormal"/>
      </w:pPr>
    </w:p>
    <w:p w:rsidR="005728DD" w:rsidRDefault="005728DD" w:rsidP="005728DD">
      <w:pPr>
        <w:pStyle w:val="TextoNormal"/>
      </w:pPr>
      <w:r>
        <w:t>Con una prevalencia de estas características de las uniones de vida celebradas conforme a las tradiciones culturales del pueblo romaní no inscritas en registros específicos habilitados al efecto o formalizadas mediante documento público, no puedo compartir la opinión —salvo que se acepte como criterio inspirador un positivismo formalista estricto— de que la neutralidad de la mera exigencia de la inscripción o formalización pública de estas uniones no implica para la comunidad romaní, en mayor proporción que para la población general, un perjuicio cuantitativo derivado de la imposición de un requisito adicional para acceder a la prestación de viudedad consistente en realizar actos de formalización para completar la tradicional unión de vida universal y ancestralmente reconocida. Antes bien, estimo que la argumentación contraria se impone de manera concluyente.</w:t>
      </w:r>
    </w:p>
    <w:p w:rsidR="005728DD" w:rsidRDefault="005728DD" w:rsidP="005728DD">
      <w:pPr>
        <w:pStyle w:val="TextoNormal"/>
      </w:pPr>
    </w:p>
    <w:p w:rsidR="005728DD" w:rsidRDefault="005728DD" w:rsidP="005728DD">
      <w:pPr>
        <w:pStyle w:val="TextoNormal"/>
      </w:pPr>
      <w:r>
        <w:t>7. Cualitativamente, este prejuicio también aparece especialmente como relevante para los miembros de esta minoría nacional derivado de la doble circunstancia de que, por un lado, la pensión de viudedad se constituye como una prestación contributiva que se vincula a periodos de cotización no despreciables (alta o situación asimilada al alta de 500 días dentro de un período ininterrumpido de cinco años inmediatamente anteriores al fallecimiento o quince años a lo largo de toda la vida laboral); y, por otro, que, de acuerdo con el ya citado “Estudio comparado sobre la situación de la población gitana en España en relación al empleo y la pobreza” (2019), la comunidad romaní presenta un desempleo de larga duración que afecta al 70 por 100  de las mujeres y al 76 por 100 de los varones, con una cronicidad —más de cuatro años desempleados— que afecta al 30 por 100 de ellas y al 42 por 100 de ellos, con una incidencia notablemente superior a la de la población general; pues las probabilidades de tener un empleo de la población general es del 63,1 por 100, mientras que la de la población gitana es del 29,9 por 100.</w:t>
      </w:r>
    </w:p>
    <w:p w:rsidR="005728DD" w:rsidRDefault="005728DD" w:rsidP="005728DD">
      <w:pPr>
        <w:pStyle w:val="TextoNormal"/>
      </w:pPr>
    </w:p>
    <w:p w:rsidR="005728DD" w:rsidRDefault="005728DD" w:rsidP="005728DD">
      <w:pPr>
        <w:pStyle w:val="TextoNormal"/>
      </w:pPr>
      <w:r>
        <w:t xml:space="preserve">Parece que en un contexto de tan alta incidencia de desempleo y de muy larga duración en la comunidad romaní que, a su vez, se convierte en una seria dificultad para el cumplimiento de los requisitos temporales de cotización para lucrar esta prestación de viudedad, </w:t>
      </w:r>
      <w:r>
        <w:lastRenderedPageBreak/>
        <w:t>impedir su acceso a los miembros de esta minoría que pueden reunir este requisito por establecer una unión de vida conforme a sus tradiciones culturales sin inscripción formal en registros específicos supone también desde esta perspectiva un perjuicio cualitativo relevante en relación con la población general.</w:t>
      </w:r>
    </w:p>
    <w:p w:rsidR="005728DD" w:rsidRDefault="005728DD" w:rsidP="005728DD">
      <w:pPr>
        <w:pStyle w:val="TextoNormal"/>
      </w:pPr>
    </w:p>
    <w:p w:rsidR="005728DD" w:rsidRDefault="005728DD" w:rsidP="005728DD">
      <w:pPr>
        <w:pStyle w:val="TextoNormal"/>
      </w:pPr>
      <w:r>
        <w:t>8. Antes de formular una conclusión sobre la existencia de efectos desfavorables para los miembros del pueblo romaní respecto de otros colectivos que opten por la no formalización de su unión de vida, no puedo dejar de referirme al hecho de que del perjuicio que origina este tratamiento podría derivarse un cierto sesgo de discriminación indirecta por motivos de género, el cual suscitaría la duda sobre si la situación creada envuelve una dimensión de discriminación interseccional. Según datos oficiales correspondientes al Anuario de 2019 del Ministerio de Trabajo y Economía Social, de las 1 625 640 personas que cobran la pensión de viudedad, 61 911 son varones y 1 563 712 son mujeres. Esta situación se ve acrecentada por la singular circunstancia de que en la comunidad romaní, según los datos aportado en el ya citado trabajo “Diagnóstico social de la comunidad gitana en España. Un análisis contrastado de la encuesta del Centro de Investigaciones Sociológicas a hogares de población gitana 2007”, el sustentador principal de la familia nuclear compuesta por un matrimonio con o sin hijos es el varón en el 83 por 100 de los casos.</w:t>
      </w:r>
    </w:p>
    <w:p w:rsidR="005728DD" w:rsidRDefault="005728DD" w:rsidP="005728DD">
      <w:pPr>
        <w:pStyle w:val="TextoNormal"/>
      </w:pPr>
    </w:p>
    <w:p w:rsidR="005728DD" w:rsidRDefault="005728DD" w:rsidP="005728DD">
      <w:pPr>
        <w:pStyle w:val="TextoNormal"/>
      </w:pPr>
      <w:r>
        <w:t>En conclusión, creo que las cifras expuestas ponen de manifiesto que sí existen efectos desfavorables para los miembros del pueblo romaní respecto de otros colectivos que opten por la no formalización de su unión de vida —bien sea a través de uniones matrimoniales registradas o uniones de vida inscritas en registros públicos— en cuanto al cumplimiento de este requisito para la obtención de la pensión de viudedad.</w:t>
      </w:r>
    </w:p>
    <w:p w:rsidR="005728DD" w:rsidRDefault="005728DD" w:rsidP="005728DD">
      <w:pPr>
        <w:pStyle w:val="TextoNormal"/>
      </w:pPr>
    </w:p>
    <w:p w:rsidR="005728DD" w:rsidRDefault="005728DD" w:rsidP="005728DD">
      <w:pPr>
        <w:pStyle w:val="TextoNormal"/>
      </w:pPr>
      <w:r>
        <w:t>9. Una vez constatada la aparente neutralidad de la exigencia controvertida y demostrado que genera unos efectos desfavorables estadísticamente significativos a los miembros de la minoría romaní, especialmente a las mujeres de esta comunidad, la conclusión sobre la existencia de un trato discriminatorio indirecto quedaría acreditada, en los términos ya expuestos, si esa diferencia de trato no responde a una medida de política social legítima, justificada por razones objetivas, ajenas a toda discriminación por estos motivos, adecuada para alcanzar la finalidad perseguida y que no exceda de lo que es necesario a tal fin.</w:t>
      </w:r>
    </w:p>
    <w:p w:rsidR="005728DD" w:rsidRDefault="005728DD" w:rsidP="005728DD">
      <w:pPr>
        <w:pStyle w:val="TextoNormal"/>
      </w:pPr>
    </w:p>
    <w:p w:rsidR="005728DD" w:rsidRDefault="005728DD" w:rsidP="005728DD">
      <w:pPr>
        <w:pStyle w:val="TextoNormal"/>
      </w:pPr>
      <w:r>
        <w:t>A estos efectos, creo que no es preciso un desarrollo más extenso que el expuesto sobre esta cuestión en el voto particular formulado a la sentencia de casación impugnada, cuando las magistradas disidentes señalan que, tomando como punto de partida consideraciones antropológicas referidas a esta comunidad, la unión de vida celebrada conforme a sus tradiciones culturales, con independencia de su ineficacia jurídica, tiene un indubitado valor comunitario que hace redundante e innecesaria la común exigencia para la población general del cumplimiento de las formalidades de su inscripción en registros específicos. En última instancia, si la regla de la exigencia de inscripción se vincula como medio probatorio para acreditar la existencia de una unión de vida, la realidad cultural de la comunidad romaní respecto de este tipo de uniones supera la satisfacción de la finalidad buscada con dicha exigencia, convirtiéndola en desproporcionada desde la perspectiva de la prohibición de discriminación.</w:t>
      </w:r>
    </w:p>
    <w:p w:rsidR="005728DD" w:rsidRDefault="005728DD" w:rsidP="005728DD">
      <w:pPr>
        <w:pStyle w:val="TextoNormal"/>
      </w:pPr>
    </w:p>
    <w:p w:rsidR="005728DD" w:rsidRDefault="005728DD" w:rsidP="005728DD">
      <w:pPr>
        <w:pStyle w:val="TextoNormal"/>
      </w:pPr>
      <w:r>
        <w:t xml:space="preserve">Por tanto, creo que conforme a parámetros asumidos como estándares por la jurisprudencia constitucional, por la del Tribunal Europeo de Derechos Humanos y por la del Tribunal </w:t>
      </w:r>
      <w:r>
        <w:lastRenderedPageBreak/>
        <w:t>de Justicia de la Unión Europea en relación con la verificación de que se ha producido una discriminación indirecta, el caso enjuiciado en el presente recurso de amparo reúne todas las características necesarias: (i) el tratamiento dispensado a la demandante de amparo es formalmente neutro desde la perspectiva de cualquier criterio discriminatorio prohibido; (ii) este tratamiento supone una desventaja particular estadísticamente significativa tanto desde una perspectiva cuantitativa como cualitativa para los miembros de la comunidad romaní que, de conformidad con ancestrales tradiciones culturales, acceden a la conformación de uniones de vida al margen de formalidades legales en un porcentaje importante, con una especial afectación a las mujeres, en tanto que son las mayoritariamente potenciales beneficiarias de esta prestación de viudedad; y (iii) la exigencia controvertida de la inscripción de la unión de vida en un registro específico o mediante la formalización de un documento público, que es por completo ajena a su tradición cultural, cumple una finalidad de garantía que, aun siendo legítima, queda satisfecha, incluso en mayor medida, por los elementos que comporta la solidez de la tradición cultural de la unión de vida celebrada conforme al rito romaní.</w:t>
      </w:r>
    </w:p>
    <w:p w:rsidR="005728DD" w:rsidRDefault="005728DD" w:rsidP="005728DD">
      <w:pPr>
        <w:pStyle w:val="TextoNormal"/>
      </w:pPr>
    </w:p>
    <w:p w:rsidR="005728DD" w:rsidRDefault="005728DD" w:rsidP="005728DD">
      <w:pPr>
        <w:pStyle w:val="TextoNormal"/>
      </w:pPr>
      <w:r>
        <w:t>10. Al margen de lo expuesto, en línea con la jurisprudencia establecida en la citada STEDH de 8 de diciembre de 2009, también defendí en la deliberación que no cabía excluir la concurrencia de la buena fe de la demandante de amparo como elemento relevante del juicio de proporcionalidad de la posible lesión del principio de no discriminación.</w:t>
      </w:r>
    </w:p>
    <w:p w:rsidR="005728DD" w:rsidRDefault="005728DD" w:rsidP="005728DD">
      <w:pPr>
        <w:pStyle w:val="TextoNormal"/>
      </w:pPr>
    </w:p>
    <w:p w:rsidR="005728DD" w:rsidRDefault="005728DD" w:rsidP="005728DD">
      <w:pPr>
        <w:pStyle w:val="TextoNormal"/>
      </w:pPr>
      <w:r>
        <w:t>Debo hacer explícita también aquí mi opinión en el sentido de que en dicha resolución se destacaron como circunstancias determinantes para valorar la buena fe de la demandante no solo los actos más o menos concluyentes de la administración pública que pudieran haber generado una expectativa legítima sobre la validez de su unión de vida —lo que hubiera podido ser aplicado en hipótesis a cualquier otra persona que no formara parte de la comunidad romaní— sino, específicamente, aquellos vinculados a su pertenencia a esta minoría nacional. Así, el Tribunal Europeo de Derechos Humanos toma en consideración su pertenencia a una comunidad en el seno de la cual la validez de la unión de vida según sus propios ritos y tradiciones no ha sido nunca discutida ni considerada contraria al orden público por las autoridades nacionales, destacando “que la fuerza de las creencias colectivas de una comunidad culturalmente bien definida no puede ser ignorada” (§ 59), a partir de lo cual se enfatiza la necesidad del respecto a las minorías (§ 60 y 61) y se recuerda que, conforme al Convenio-marco para la protección de las minorías nacionales, los Estados están obligados a tener debidamente en cuenta las condiciones específicas de las personas pertenecientes a minorías nacionales (§ 64).</w:t>
      </w:r>
    </w:p>
    <w:p w:rsidR="005728DD" w:rsidRDefault="005728DD" w:rsidP="005728DD">
      <w:pPr>
        <w:pStyle w:val="TextoNormal"/>
      </w:pPr>
    </w:p>
    <w:p w:rsidR="005728DD" w:rsidRDefault="005728DD" w:rsidP="005728DD">
      <w:pPr>
        <w:pStyle w:val="TextoNormal"/>
      </w:pPr>
      <w:r>
        <w:t xml:space="preserve">Por otra parte, en el presente caso, al igual que en el supuesto enjuiciado en la STEDH de 8 de diciembre de 2009, concurre la circunstancia de que la demandante celebró su unión de vida en el año 1974. Este aspecto también fue ponderado en aquella ocasión, en la que se destacó que entonces solo era posible en España, excepto previa declaración de apostasía, casarse de acuerdo con el rito del derecho canónico de la Iglesia católica (§ 57). El hecho de que con posterioridad existiera la posibilidad de formalizar la unión como un matrimonio civil registrado o conforme a cualquiera de las celebraciones religiosas con validez estatal o incluso mediante la formalidad de la mera inscripción en un registro específico de uniones de vida no impide apreciar la existencia de un trato discriminatorio por pertenencia a una minoría nacional. Como también advierte el Tribunal Europeo de Derechos Humanos en aquella resolución, aceptar esta tesis supondría una modificación de los elementos litigiosos </w:t>
      </w:r>
      <w:r>
        <w:lastRenderedPageBreak/>
        <w:t>que vaciaría de contenido la prohibición de discriminación (§ 70). Por mi parte, no puedo dejar de mostrar mi recelo frente a un argumento que ofrece el riesgo de poder ser instrumentado en otros contextos para defender planteamientos de asimilación alejados de los postulados constitucionales sobre protección de las minorías.</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 w:name="SENTENCIA_2021_2"/>
      <w:r>
        <w:lastRenderedPageBreak/>
        <w:t>SENTENCIA 2/2021, de 25 de enero de 2021</w:t>
      </w:r>
    </w:p>
    <w:bookmarkEnd w:id="5"/>
    <w:p w:rsidR="005728DD" w:rsidRDefault="005728DD" w:rsidP="005728DD">
      <w:pPr>
        <w:pStyle w:val="TtuloResolucin"/>
      </w:pPr>
      <w:r>
        <w:t>Sala Segunda</w:t>
      </w:r>
    </w:p>
    <w:p w:rsidR="005728DD" w:rsidRDefault="005728DD" w:rsidP="005728DD">
      <w:pPr>
        <w:pStyle w:val="TtuloBOE"/>
      </w:pPr>
      <w:r>
        <w:t>(BOE núm. 46, de 23 de febrero de 2021)</w:t>
      </w:r>
    </w:p>
    <w:p w:rsidR="005728DD" w:rsidRDefault="005728DD" w:rsidP="005728DD">
      <w:pPr>
        <w:pStyle w:val="TextoNormalCentrado"/>
      </w:pPr>
      <w:r>
        <w:t>ECLI:ES:TC:2021:2</w:t>
      </w:r>
    </w:p>
    <w:p w:rsidR="005728DD" w:rsidRDefault="005728DD" w:rsidP="005728DD">
      <w:pPr>
        <w:pStyle w:val="TextoNormalCentrado"/>
      </w:pPr>
    </w:p>
    <w:p w:rsidR="005728DD" w:rsidRDefault="005728DD" w:rsidP="005728DD">
      <w:pPr>
        <w:pStyle w:val="SntesisDescriptiva"/>
      </w:pPr>
      <w:r>
        <w:t>Recurso de amparo 6379-2018. Promovido por la Universidad Católica de Valencia San Vicente Mártir en relación con la Orden de la Consellería de Educación, Investigación, Cultura y Deporte 23/2016, de 10 de junio,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 y las resoluciones dictadas por las salas de lo contencioso-administrativo del Tribunal Supremo y del Tribunal Superior de Justicia de la Comunidad Valenciana desestimando la impugnación de dicha orden.</w:t>
      </w:r>
    </w:p>
    <w:p w:rsidR="005728DD" w:rsidRDefault="005728DD" w:rsidP="005728DD">
      <w:pPr>
        <w:pStyle w:val="SntesisDescriptiva"/>
      </w:pPr>
    </w:p>
    <w:p w:rsidR="005728DD" w:rsidRDefault="005728DD" w:rsidP="005728DD">
      <w:pPr>
        <w:pStyle w:val="SntesisAnaltica"/>
      </w:pPr>
      <w:r>
        <w:t>Vulneración del derecho a la igualdad en relación con el derecho a la creación de centros docentes: nulidad de los preceptos reglamentarios que limitan el disfrute de becas a los alumnos matriculados en universidad públicas integrantes del sistema universitario valenciano (STC 191/2020). Voto particular.</w:t>
      </w:r>
    </w:p>
    <w:p w:rsidR="005728DD" w:rsidRDefault="005728DD" w:rsidP="005728DD">
      <w:pPr>
        <w:pStyle w:val="SntesisAnaltica"/>
      </w:pPr>
    </w:p>
    <w:p w:rsidR="005728DD" w:rsidRDefault="005728DD" w:rsidP="005728DD">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6379-2018, promovido por la Universidad Católica de Valencia San Vicente Mártir, contra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w:t>
      </w:r>
      <w:r>
        <w:lastRenderedPageBreak/>
        <w:t>Comunitat Valenciana (ISEACV); asimismo, contra la sentencia 1016/2017, de 8 de noviembre, dictada por la Sección Quinta de la Sala de lo Contencioso-Administrativo del Tribunal Superior de Justicia de la Comunidad Valenciana, recaída en el procedimiento de protección de derechos fundamentales núm. 457-2016, que ha desestimado el recurso contencioso-administrativo interpuesto por aquella universidad contra determinados preceptos de la citada orden; y, finalmente, contra las providencias, de 7 de junio y de 29 de octubre de 2018, de la Sección Primera de la Sala de lo Contencioso-Administrativo del Tribunal Supremo, que, respectivamente, han inadmitido a trámite, el recurso de casación preparado por la demandante contra la precedente sentencia, y el incidente extraordinario de nulidad de actuaciones, promovido contra esta última resolución. Ha sido parte la Generalitat Valenciana.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de este tribunal el día 30 de noviembre de 2018, la procuradora de los tribunales doña Ana Lázaro Gogorza, en nombre y representación de la Universidad Católica de Valencia San Vicente Mártir, defendida por el letrado don Gonzalo Fernández de Arévalo, interpuso recurso de amparo contra la orden de la Generalitat Valenciana y contra las resoluciones judiciales que se citan en el encabezamiento, por vulneración de sus derechos fundamentales a la igualdad ante la ley, a la educación, a la libertad religiosa y a la tutela judicial efectiva.</w:t>
      </w:r>
    </w:p>
    <w:p w:rsidR="005728DD" w:rsidRDefault="005728DD" w:rsidP="005728DD">
      <w:pPr>
        <w:pStyle w:val="TextoNormal"/>
      </w:pPr>
    </w:p>
    <w:p w:rsidR="005728DD" w:rsidRDefault="005728DD" w:rsidP="005728DD">
      <w:pPr>
        <w:pStyle w:val="TextoNormal"/>
      </w:pPr>
      <w:r w:rsidRPr="005728DD">
        <w:rPr>
          <w:rStyle w:val="NumeroAFNegritaCaracter"/>
        </w:rPr>
        <w:t>2</w:t>
      </w:r>
      <w:r>
        <w:t>. La demanda trae causa de los siguientes hechos:</w:t>
      </w:r>
    </w:p>
    <w:p w:rsidR="005728DD" w:rsidRDefault="005728DD" w:rsidP="005728DD">
      <w:pPr>
        <w:pStyle w:val="TextoNormal"/>
      </w:pPr>
    </w:p>
    <w:p w:rsidR="005728DD" w:rsidRDefault="005728DD" w:rsidP="005728DD">
      <w:pPr>
        <w:pStyle w:val="TextoNormal"/>
      </w:pPr>
      <w:r>
        <w:t>a) En el “Diario Oficial de la Comunidad Valenciana” núm. 7805, del día 14 de junio de 2016, apareció publicada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 (en lo sucesivo, la Orden 23/2016).</w:t>
      </w:r>
    </w:p>
    <w:p w:rsidR="005728DD" w:rsidRDefault="005728DD" w:rsidP="005728DD">
      <w:pPr>
        <w:pStyle w:val="TextoNormal"/>
      </w:pPr>
    </w:p>
    <w:p w:rsidR="005728DD" w:rsidRDefault="005728DD" w:rsidP="005728DD">
      <w:pPr>
        <w:pStyle w:val="TextoNormal"/>
      </w:pPr>
      <w:r>
        <w:t>En lo que se refiere a este procedimiento de amparo, los arts. 1 y 2 de la indicada Orden 23/2016, regulan (i) el “objeto y financiación” de las convocatorias de becas para la promoción de la excelencia académica para los alumnos que hubieran concluido sus estudios en las universidades públicas de la Comunidad Valenciana, así como para los que hubieran cursado estudios de enseñanzas artísticas superiores en centros de titularidad pública adscritos al Instituto Superior de Enseñanzas Artísticas de la citada Comunidad; y (ii) bajo la rúbrica “personas beneficiarias” de aquellas becas los alumnos de postgrado de las enseñanzas universitarias anteriormente descritas, que hubieran cursado sus estudios en las citadas universidades públicas y centros adscritos. (iii) Igualmente, en el art. 4 se establecen los “requisitos de las personas beneficiarias”, así como en los arts. 6 y 7 se dispone, respectivamente, el régimen jurídico del sistema de valoración de las becas y la comisión técnica encargada de comprobar el cumplimiento de los requisitos de los solicitantes, así como de la valoración de la afinidad de los cursos o másteres solicitados con los estudios realizados.</w:t>
      </w:r>
    </w:p>
    <w:p w:rsidR="005728DD" w:rsidRDefault="005728DD" w:rsidP="005728DD">
      <w:pPr>
        <w:pStyle w:val="TextoNormal"/>
      </w:pPr>
    </w:p>
    <w:p w:rsidR="005728DD" w:rsidRDefault="005728DD" w:rsidP="005728DD">
      <w:pPr>
        <w:pStyle w:val="TextoNormal"/>
      </w:pPr>
      <w:r>
        <w:t>b) No estando conforme con la anterior disposición general, la representación procesal de la Universidad Católica de Valencia San Vicente Mártir, interpuso recurso contencioso-administrativo contra la Orden 23/2016, a través del procedimiento especial de protección en defensa de los derechos fundamentales, cuyo conocimiento correspondió a la Sección Quinta de la Sala de lo Contencioso-Administrativo del Tribunal Superior de Justicia de la Comunidad Valenciana, que quedó registrado con el núm. 457-2016 de los de su clase. En su recurso, la parte se quejaba de la eventual vulneración del principio de igualdad ante la ley (art. 14 CE), al haber excluido de esta convocatoria de becas a los alumnos de postgrado que hubieran cursado sus estudios en las universidades privadas de la Comunidad Autónoma Valenciana, sin que se hubiera justificado el cambio operado, frente a la anterior normativa que no contenía esta discriminación. Igualmente, se alegaba en el escrito de interposición del recurso la afectación de los derechos, a la libertad de enseñanza y educación (art. 27 CE) y, con relación a la propia demandante, que es una universidad de la Iglesia católica, a la libertad religiosa (art. 16 CE).</w:t>
      </w:r>
    </w:p>
    <w:p w:rsidR="005728DD" w:rsidRDefault="005728DD" w:rsidP="005728DD">
      <w:pPr>
        <w:pStyle w:val="TextoNormal"/>
      </w:pPr>
    </w:p>
    <w:p w:rsidR="005728DD" w:rsidRDefault="005728DD" w:rsidP="005728DD">
      <w:pPr>
        <w:pStyle w:val="TextoNormal"/>
      </w:pPr>
      <w:r>
        <w:t>Por medio de auto de 7 de septiembre de 2016, la Sala de instancia delimitó el objeto del recurso, de tal manera que excluyó de su conocimiento las alegadas vulneraciones de los derechos a la libertad de enseñanza y educación y a la libertad religiosa, restando como único objeto de su enjuiciamiento la del principio de igualdad ante la ley (art. 14 CE). Recurrido en reposición, tanto por la entidad educativa ahora demandante de amparo, como por la Generalitat Valenciana, que se había personado como parte demandada en el procedimiento, la Sala dictó nuevo auto de 28 de octubre de 2016, por el que confirmó el anterior de 7 de septiembre, desestimando ambos recursos. En consecuencia, la demanda del recurso contencioso-administrativo se refirió en exclusiva a la infracción de su derecho a la igualdad ante la ley (art. 14 CE).</w:t>
      </w:r>
    </w:p>
    <w:p w:rsidR="005728DD" w:rsidRDefault="005728DD" w:rsidP="005728DD">
      <w:pPr>
        <w:pStyle w:val="TextoNormal"/>
      </w:pPr>
    </w:p>
    <w:p w:rsidR="005728DD" w:rsidRDefault="005728DD" w:rsidP="005728DD">
      <w:pPr>
        <w:pStyle w:val="TextoNormal"/>
      </w:pPr>
      <w:r>
        <w:t>Finalmente, la Sala dictó la sentencia 1016/2017, de 8 de noviembre, por la que desestimó el recurso.</w:t>
      </w:r>
    </w:p>
    <w:p w:rsidR="005728DD" w:rsidRDefault="005728DD" w:rsidP="005728DD">
      <w:pPr>
        <w:pStyle w:val="TextoNormal"/>
      </w:pPr>
    </w:p>
    <w:p w:rsidR="005728DD" w:rsidRDefault="005728DD" w:rsidP="005728DD">
      <w:pPr>
        <w:pStyle w:val="TextoNormal"/>
      </w:pPr>
      <w:r>
        <w:t xml:space="preserve">En su resolución, la Sala no llegó a abordar la cuestión de fondo suscitada por la demandante, esto es la denunciada vulneración del principio de igualdad ante la ley, sino que, apreciando la falta de la legitimación </w:t>
      </w:r>
      <w:r w:rsidRPr="005728DD">
        <w:rPr>
          <w:i/>
        </w:rPr>
        <w:t>ad causam</w:t>
      </w:r>
      <w:r>
        <w:t>, que había propuesto la Generalitat Valenciana, entendió que la universidad recurrente no era la titular de los derechos a la reclamación de las becas. A tal efecto, señala que “no se trata de cantidades que la administración facilite a los centros universitarios públicos o privados, sino que se trata de cantidades que la administración proporciona a los propios alumnos […] la Universidad carece de la facultad de representación de sus alumnos, ya que el objeto debatido es un derecho que se ostenta con carácter personal y, dependiendo del tipo de beca de que se trate, por una serie de circunstancias que deben concurrir en el solicitante también de forma personal, no por el mero hecho de ser alumno universitario, siendo este el requisito que constituye —exclusivamente— el punto de partida o la determinación subjetiva general del destinatario de aquéllas, nunca el beneficiario concreto por el mero hecho de serlo”.</w:t>
      </w:r>
    </w:p>
    <w:p w:rsidR="005728DD" w:rsidRDefault="005728DD" w:rsidP="005728DD">
      <w:pPr>
        <w:pStyle w:val="TextoNormal"/>
      </w:pPr>
    </w:p>
    <w:p w:rsidR="005728DD" w:rsidRDefault="005728DD" w:rsidP="005728DD">
      <w:pPr>
        <w:pStyle w:val="TextoNormal"/>
      </w:pPr>
      <w:r>
        <w:t xml:space="preserve">c) Contra la anterior sentencia, la universidad preparó recurso de casación, que la Sala de instancia tuvo por preparado en virtud de auto de 24 de enero de 2018, pero la providencia de 7 de junio siguiente, de la Sección Primera de la Sala de lo Contencioso-Administrativo del Tribunal Supremo, acordó inadmitir a trámite el recurso “por incumplimiento de las </w:t>
      </w:r>
      <w:r>
        <w:lastRenderedPageBreak/>
        <w:t>exigencias que el artículo 89.2 de la LJCA impone para el escrito de preparación; en particular, por falta de fundamentación suficiente de la concurrencia de alguno o algunos de los supuestos que, con arreglo a los apartados 2 y 3 del artículo 88, permiten apreciar el interés casacional objetivo y la conveniencia de un pronunciamiento de la Sala de lo Contencioso-Administrativo del Tribunal Supremo; todo ello conforme al artículo 90.4 b) de la LJCA en relación con el artículo 89.2 f) del mismo texto legal”.</w:t>
      </w:r>
    </w:p>
    <w:p w:rsidR="005728DD" w:rsidRDefault="005728DD" w:rsidP="005728DD">
      <w:pPr>
        <w:pStyle w:val="TextoNormal"/>
      </w:pPr>
    </w:p>
    <w:p w:rsidR="005728DD" w:rsidRDefault="005728DD" w:rsidP="005728DD">
      <w:pPr>
        <w:pStyle w:val="TextoNormal"/>
      </w:pPr>
      <w:r>
        <w:t>d) La Universidad promovió incidente extraordinario de nulidad de actuaciones contra la anterior providencia. En su escrito alegó, como nueva vulneración de derechos fundamentales, las de sus derechos a la tutela judicial efectiva y a un proceso con todas las garantías, en la medida en que, a su juicio, el Tribunal Supremo “habría incurrido en error” pues, señala que había formalizado dos escritos de preparación de recurso de casación “análogos”, el de autos y otro anterior, así como que la impugnación lo era también contra “dos sentencias análogas” y, sin embargo, a su entender, ambos pronunciamientos de inadmisión se habían apoyado en “motivaciones contradictorias”. Igualmente, reiteraba en el escrito las ya alegadas vulneraciones al principio de igualdad ante la ley, a la libertad de enseñanza y educación y a la libertad religiosa.</w:t>
      </w:r>
    </w:p>
    <w:p w:rsidR="005728DD" w:rsidRDefault="005728DD" w:rsidP="005728DD">
      <w:pPr>
        <w:pStyle w:val="TextoNormal"/>
      </w:pPr>
    </w:p>
    <w:p w:rsidR="005728DD" w:rsidRDefault="005728DD" w:rsidP="005728DD">
      <w:pPr>
        <w:pStyle w:val="TextoNormal"/>
      </w:pPr>
      <w:r>
        <w:t>e) La providencia de 29 de octubre de 2018, dictada por la Sección Primera de la Sala de lo Contencioso-Administrativo del Tribunal Supremo, inadmitió a trámite el incidente de nulidad de actuaciones.</w:t>
      </w:r>
    </w:p>
    <w:p w:rsidR="005728DD" w:rsidRDefault="005728DD" w:rsidP="005728DD">
      <w:pPr>
        <w:pStyle w:val="TextoNormal"/>
      </w:pPr>
    </w:p>
    <w:p w:rsidR="005728DD" w:rsidRDefault="005728DD" w:rsidP="005728DD">
      <w:pPr>
        <w:pStyle w:val="TextoNormal"/>
      </w:pPr>
      <w:r>
        <w:t>En su resolución, el Tribunal Supremo detalla las razones por las que entiende que procede la inadmisión del recurso. A tal fin, con apoyo en la propia jurisprudencia de la Sala [cita al respecto el ATS de 1 de febrero de 2017 (recurso de queja núm. 98-2016)], destaca que la parte ha incumplido el requisito del art. 89.2 f) de la Ley de la jurisdicción contencioso-administrativa (LJCA), en aplicación del art. 90.4 b) LJCA. Añade que, aunque la recurrente ha invocado hasta varios supuestos de interés casacional objetivo, “en los tres casos se trata de alegaciones genéricas, que no profundizan en la argumentación y que no lo vinculan con el debate procesal concreto, indicando cuál sería la cuestión de interés casacional objetivo sobre la que este tribunal estaría llamado a pronunciarse”, lo que no queda desvirtuado en el escrito planteando el incidente de nulidad de actuaciones.</w:t>
      </w:r>
    </w:p>
    <w:p w:rsidR="005728DD" w:rsidRDefault="005728DD" w:rsidP="005728DD">
      <w:pPr>
        <w:pStyle w:val="TextoNormal"/>
      </w:pPr>
    </w:p>
    <w:p w:rsidR="005728DD" w:rsidRDefault="005728DD" w:rsidP="005728DD">
      <w:pPr>
        <w:pStyle w:val="TextoNormal"/>
      </w:pPr>
      <w:r>
        <w:t>También rechaza la providencia que hayan existido dos situaciones análogas a las que la Sala les haya dado una solución “dispar”, pues considera que la recurrente “no tiene en consideración que los escritos de preparación en los recursos de casación núms. 5930-2017 y 1477-2018 [en realidad, se refiere al 1472-2018] son diferentes”, aparte de que, en el primero de los señalados, que es el que la recurrente ofreció como término de comparación, el incidente de nulidad de actuaciones también fue inadmitido a trámite por providencia de 20 de julio de 2018.</w:t>
      </w:r>
    </w:p>
    <w:p w:rsidR="005728DD" w:rsidRDefault="005728DD" w:rsidP="005728DD">
      <w:pPr>
        <w:pStyle w:val="TextoNormal"/>
      </w:pPr>
    </w:p>
    <w:p w:rsidR="005728DD" w:rsidRDefault="005728DD" w:rsidP="005728DD">
      <w:pPr>
        <w:pStyle w:val="TextoNormal"/>
      </w:pPr>
      <w:r>
        <w:t>Por último, la providencia descarta la vulneración del derecho a la tutela judicial efectiva pues entiende que los argumentos de la recurrente “constituyen una mera discrepancia con el sustento jurídico de la providencia que se impugna”, sin que se haya de volver a examinar en este trámite lo que ya fue enjuiciado y resuelto por la providencia de inadmisión del recurso de casación.</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La demanda de amparo identifica la disposición general administrativa y las resoluciones judiciales recurridas, haciendo una pormenorizada descripción de los antecedentes del caso, entre los que cita expresamente diferentes pasajes del dictamen núm. 280-2016 del Consejo Consultivo de la Generalitat Valenciana para el apoyo de sus pretensiones. Tales quejas las centra, de modo esencial, en la eventual discriminación sufrida por la recurrente y por el resto de las universidades privadas católicas de la Comunidad Valenciana, así como por los alumnos de las mismas, por haber quedado excluidas de la convocatoria de becas de la Generalitat Valenciana.</w:t>
      </w:r>
    </w:p>
    <w:p w:rsidR="005728DD" w:rsidRDefault="005728DD" w:rsidP="005728DD">
      <w:pPr>
        <w:pStyle w:val="TextoNormal"/>
      </w:pPr>
    </w:p>
    <w:p w:rsidR="005728DD" w:rsidRDefault="005728DD" w:rsidP="005728DD">
      <w:pPr>
        <w:pStyle w:val="TextoNormal"/>
      </w:pPr>
      <w:r>
        <w:t>A tal fin, sustenta su recurso en la alegada vulneración de los siguientes derechos fundamentales:</w:t>
      </w:r>
    </w:p>
    <w:p w:rsidR="005728DD" w:rsidRDefault="005728DD" w:rsidP="005728DD">
      <w:pPr>
        <w:pStyle w:val="TextoNormal"/>
      </w:pPr>
    </w:p>
    <w:p w:rsidR="005728DD" w:rsidRDefault="005728DD" w:rsidP="005728DD">
      <w:pPr>
        <w:pStyle w:val="TextoNormal"/>
      </w:pPr>
      <w:r>
        <w:t>a) En primer lugar, denuncia la infracción de su derecho a la igualdad ante la ley, que imputa directamente a la Orden 23/2016. Señala, al respecto, que la orden recurrida establece un trato desigual de la recurrente con respecto a las universidades públicas de la Comunidad Valenciana, pues, a su entender, introduce una diferencia “arbitraria”, al excluir a las universidades privadas ubicadas en este territorio autonómico del régimen de concesión de becas a postgrados. Agrega que, a pesar de las condiciones idénticas de renta de los estudiantes, se les trata de manera diferente, en función del tipo de centro en el que quieren cursar sus estudios.</w:t>
      </w:r>
    </w:p>
    <w:p w:rsidR="005728DD" w:rsidRDefault="005728DD" w:rsidP="005728DD">
      <w:pPr>
        <w:pStyle w:val="TextoNormal"/>
      </w:pPr>
    </w:p>
    <w:p w:rsidR="005728DD" w:rsidRDefault="005728DD" w:rsidP="005728DD">
      <w:pPr>
        <w:pStyle w:val="TextoNormal"/>
      </w:pPr>
      <w:r>
        <w:t>A su juicio, no hay razón que justifique objetiva y razonadamente esa discriminación, pues, tanto las universidades públicas como las privadas, forman parte del sistema universitario valenciano, de conformidad con lo que establece el art. 2 de la Ley 4/2007, de 9 de febrero, de coordinación del sistema universitario valenciano. Además, la administración de la comunidad autónoma no invoca ninguna finalidad constitucionalmente legítima, ni existe proporcionalidad en la medida, habiéndose cambiado repentinamente el criterio, sin que se haya aportado, tampoco, justificación alguna.</w:t>
      </w:r>
    </w:p>
    <w:p w:rsidR="005728DD" w:rsidRDefault="005728DD" w:rsidP="005728DD">
      <w:pPr>
        <w:pStyle w:val="TextoNormal"/>
      </w:pPr>
    </w:p>
    <w:p w:rsidR="005728DD" w:rsidRDefault="005728DD" w:rsidP="005728DD">
      <w:pPr>
        <w:pStyle w:val="TextoNormal"/>
      </w:pPr>
      <w:r>
        <w:t>Argumenta que el derecho a la beca puede depender de criterios objetivos como el rendimiento académico o la renta personal o familiar, pero no puede depender del tipo de centro o ideario del centro en que se cursa, dato este frente al cual la administración debe permanecer neutral. Una vez adoptada la decisión de puesta en marcha de un programa de becas, no se puede hacer distinción por universidades en las que se estudia. La Orden 23/2016 establece una distinción entre universidades públicas y privadas donde la ley reguladora no lo hace. Ni la Ley Orgánica 6/2001, de 21 de diciembre, de universidades (art. 45.4), ni tampoco la Ley 4/2007 valenciana (art. 2) diferencian entre universidades públicas y privadas, a efectos de obtención de becas.</w:t>
      </w:r>
    </w:p>
    <w:p w:rsidR="005728DD" w:rsidRDefault="005728DD" w:rsidP="005728DD">
      <w:pPr>
        <w:pStyle w:val="TextoNormal"/>
      </w:pPr>
    </w:p>
    <w:p w:rsidR="005728DD" w:rsidRDefault="005728DD" w:rsidP="005728DD">
      <w:pPr>
        <w:pStyle w:val="TextoNormal"/>
      </w:pPr>
      <w:r>
        <w:t>En la misma línea, la norma reglamentaria estatal que detalla el régimen de becas, el Real Decreto 1721/2007, de 21 de diciembre, que tiene carácter de normativa básica según su disposición final primera, no introduce diferenciación alguna entre universidades públicas y privadas. Al igual que tampoco lo hace el Real Decreto 595/2015, de 3 de julio, de umbrales de renta y patrimonio familiar para el curso académico 2015-2016, que incluye a las universidades privadas en el ámbito de las becas de matrícula.</w:t>
      </w:r>
    </w:p>
    <w:p w:rsidR="005728DD" w:rsidRDefault="005728DD" w:rsidP="005728DD">
      <w:pPr>
        <w:pStyle w:val="TextoNormal"/>
      </w:pPr>
    </w:p>
    <w:p w:rsidR="005728DD" w:rsidRDefault="005728DD" w:rsidP="005728DD">
      <w:pPr>
        <w:pStyle w:val="TextoNormal"/>
      </w:pPr>
      <w:r>
        <w:t xml:space="preserve">El propio Consejo Consultivo de la Generalitat, en su dictamen 280/2016 fue, a su entender, muy claro en sus observaciones al art. 2 del proyecto de la Orden 23/2016, en el </w:t>
      </w:r>
      <w:r>
        <w:lastRenderedPageBreak/>
        <w:t>sentido de apreciar una diferencia de trato que recomendaba cambiar, por una serie de motivos: (i) por coherencia interna y seguridad jurídica; (ii) por ser contrario al art. 45.2 Ley Orgánica de universidades (LOU), que no excluye a las universidades privadas del ámbito de aplicación de las becas universitarias; (iii) por no ser conforme al sentido de las becas señalado por la STC 188/2001, de 20 de septiembre; y (iv) por incidir en la igualdad jurídica de los estudiantes, al impedirles que, por sus condiciones socioeconómicas, fueran a universidades privadas. Según refiere, el dictamen reconocería que el proyecto de orden afecta a la esfera de intereses legítimos de las universidades privadas de la Comunidad Valenciana, tratándose de una afectación inmediata y real. De hecho, los pagos de las becas son librados por la administración directamente a las universidades y no a los alumnos.</w:t>
      </w:r>
    </w:p>
    <w:p w:rsidR="005728DD" w:rsidRDefault="005728DD" w:rsidP="005728DD">
      <w:pPr>
        <w:pStyle w:val="TextoNormal"/>
      </w:pPr>
    </w:p>
    <w:p w:rsidR="005728DD" w:rsidRDefault="005728DD" w:rsidP="005728DD">
      <w:pPr>
        <w:pStyle w:val="TextoNormal"/>
      </w:pPr>
      <w:r>
        <w:t>En el parecer de la entidad recurrente, la orden impugnada supone, además, el incumplimiento de un tratado internacional, como es el del Acuerdo entre España y la Santa Sede sobre enseñanza y asuntos culturales de 3 de enero de 1979, que, en su art. 10.2 dispone que “los alumnos de estas universidades [de la Iglesia católica] gozarán de los mismos beneficios en materia de sanidad, seguridad escolar, ayudas al estudio y a la investigación y demás modalidades de protección al estudiante que se establezcan para los alumnos de las universidades del Estado”.</w:t>
      </w:r>
    </w:p>
    <w:p w:rsidR="005728DD" w:rsidRDefault="005728DD" w:rsidP="005728DD">
      <w:pPr>
        <w:pStyle w:val="TextoNormal"/>
      </w:pPr>
    </w:p>
    <w:p w:rsidR="005728DD" w:rsidRDefault="005728DD" w:rsidP="005728DD">
      <w:pPr>
        <w:pStyle w:val="TextoNormal"/>
      </w:pPr>
      <w:r>
        <w:t>Finalmente, alega que la orden es contraria, también, al Derecho de la Unión Europea, si bien no especifica el sentido de esta contravención.</w:t>
      </w:r>
    </w:p>
    <w:p w:rsidR="005728DD" w:rsidRDefault="005728DD" w:rsidP="005728DD">
      <w:pPr>
        <w:pStyle w:val="TextoNormal"/>
      </w:pPr>
    </w:p>
    <w:p w:rsidR="005728DD" w:rsidRDefault="005728DD" w:rsidP="005728DD">
      <w:pPr>
        <w:pStyle w:val="TextoNormal"/>
      </w:pPr>
      <w:r>
        <w:t>b) A continuación, denuncia la vulneración del derecho a la educación (art. 27 CE), pues sostiene que las becas son un elemento nuclear del sistema educativo, que incide, por tanto, en este derecho fundamental. El régimen de las becas es desarrollo del art. 27 CE.</w:t>
      </w:r>
    </w:p>
    <w:p w:rsidR="005728DD" w:rsidRDefault="005728DD" w:rsidP="005728DD">
      <w:pPr>
        <w:pStyle w:val="TextoNormal"/>
      </w:pPr>
    </w:p>
    <w:p w:rsidR="005728DD" w:rsidRDefault="005728DD" w:rsidP="005728DD">
      <w:pPr>
        <w:pStyle w:val="TextoNormal"/>
      </w:pPr>
      <w:r>
        <w:t>Alega que, en el caso de autos, la orden ha privado de la posibilidad de obtener una beca a quienes, reuniendo las condiciones objetivas para obtenerla, se han visto privados de ella por haber estudiado en una universidad privada. En este sentido, la disposición general impugnada discrimina a las universidades por su ideario e impide a los alumnos que elijan libremente la Universidad San Vicente Mártir para cursar sus estudios, forzándoles a elegir una universidad pública para continuar sus estudios si desean obtener una beca. Además, hay titulaciones que solo se imparten en las universidades privadas con sede en la Comunidad Valenciana, por lo que a los alumnos se les impedirá elegir, no sólo dónde estudiar, sino también qué estudiar.</w:t>
      </w:r>
    </w:p>
    <w:p w:rsidR="005728DD" w:rsidRDefault="005728DD" w:rsidP="005728DD">
      <w:pPr>
        <w:pStyle w:val="TextoNormal"/>
      </w:pPr>
    </w:p>
    <w:p w:rsidR="005728DD" w:rsidRDefault="005728DD" w:rsidP="005728DD">
      <w:pPr>
        <w:pStyle w:val="TextoNormal"/>
      </w:pPr>
      <w:r>
        <w:t>Reitera que el derecho a obtener una beca se puede hacer depender de criterios objetivos, pero no arbitrarios, y que la administración debe ser neutral en esta materia. Además, el art. 45.4 Ley Orgánica 6/2001, de universidades, dispone, en relación con el sistema público de becas y ayudas al estudio, que la ley se refiere, tanto a las universidades públicas, como a las privadas o de iniciativa social.</w:t>
      </w:r>
    </w:p>
    <w:p w:rsidR="005728DD" w:rsidRDefault="005728DD" w:rsidP="005728DD">
      <w:pPr>
        <w:pStyle w:val="TextoNormal"/>
      </w:pPr>
    </w:p>
    <w:p w:rsidR="005728DD" w:rsidRDefault="005728DD" w:rsidP="005728DD">
      <w:pPr>
        <w:pStyle w:val="TextoNormal"/>
      </w:pPr>
      <w:r>
        <w:t>Por último, sostiene que la orden impugnada lesiona el principio de confianza legítima por el cambio repentino que introdujo en esta materia, sin ninguna medida transitoria para paliar su impacto y sin modificación previa de la normativa orgánica de la legislación para darle cobertura.</w:t>
      </w:r>
    </w:p>
    <w:p w:rsidR="005728DD" w:rsidRDefault="005728DD" w:rsidP="005728DD">
      <w:pPr>
        <w:pStyle w:val="TextoNormal"/>
      </w:pPr>
    </w:p>
    <w:p w:rsidR="005728DD" w:rsidRDefault="005728DD" w:rsidP="005728DD">
      <w:pPr>
        <w:pStyle w:val="TextoNormal"/>
      </w:pPr>
      <w:r>
        <w:lastRenderedPageBreak/>
        <w:t>c) Seguidamente, alega vulneración del derecho a la libertad religiosa (art. 16 CE) porque, conforme determina el art. 2 de la Ley 4/2007, de 9 de febrero, de coordinación del sistema universitario valenciano, que regula dicho sistema universitario, las dos únicas universidades privadas que prestan servicio en la Comunidad son la ahora recurrente y la Universidad Cardenal Herrera-CEU, ambas de ideario católico, por lo que la orden impugnada discrimina, también, por el carácter de pertenecientes a la religión católica de ambas.</w:t>
      </w:r>
    </w:p>
    <w:p w:rsidR="005728DD" w:rsidRDefault="005728DD" w:rsidP="005728DD">
      <w:pPr>
        <w:pStyle w:val="TextoNormal"/>
      </w:pPr>
    </w:p>
    <w:p w:rsidR="005728DD" w:rsidRDefault="005728DD" w:rsidP="005728DD">
      <w:pPr>
        <w:pStyle w:val="TextoNormal"/>
      </w:pPr>
      <w:r>
        <w:t>Agrega que, igualmente, se lesiona la libertad religiosa de quienes deseen estudiar en la universidad ahora demandante y necesiten una beca para sufragar sus estudios, así como de los alumnos que ya estudian en esta universidad y precisan de una beca para continuarlos.</w:t>
      </w:r>
    </w:p>
    <w:p w:rsidR="005728DD" w:rsidRDefault="005728DD" w:rsidP="005728DD">
      <w:pPr>
        <w:pStyle w:val="TextoNormal"/>
      </w:pPr>
    </w:p>
    <w:p w:rsidR="005728DD" w:rsidRDefault="005728DD" w:rsidP="005728DD">
      <w:pPr>
        <w:pStyle w:val="TextoNormal"/>
      </w:pPr>
      <w:r>
        <w:t>La demanda insiste en la eventual vulneración del art. 10.3 del Acuerdo con la Santa Sede anteriormente citado.</w:t>
      </w:r>
    </w:p>
    <w:p w:rsidR="005728DD" w:rsidRDefault="005728DD" w:rsidP="005728DD">
      <w:pPr>
        <w:pStyle w:val="TextoNormal"/>
      </w:pPr>
    </w:p>
    <w:p w:rsidR="005728DD" w:rsidRDefault="005728DD" w:rsidP="005728DD">
      <w:pPr>
        <w:pStyle w:val="TextoNormal"/>
      </w:pPr>
      <w:r>
        <w:t>d) Finalmente, el recurso se queja de la vulneración del derecho reconocido en el art. 24 CE (sin mayor especificación, aunque por el desarrollo de la argumentación, se refiere a la tutela judicial efectiva del art. 24.1 CE).</w:t>
      </w:r>
    </w:p>
    <w:p w:rsidR="005728DD" w:rsidRDefault="005728DD" w:rsidP="005728DD">
      <w:pPr>
        <w:pStyle w:val="TextoNormal"/>
      </w:pPr>
    </w:p>
    <w:p w:rsidR="005728DD" w:rsidRDefault="005728DD" w:rsidP="005728DD">
      <w:pPr>
        <w:pStyle w:val="TextoNormal"/>
      </w:pPr>
      <w:r>
        <w:t>Destaca, al respecto, que “las lesiones producidas por la orden” no sólo no han sido remediadas por los órganos judiciales (Tribunal Superior de Justicia de la Comunidad Valenciana y Tribunal Supremo), sino que, además, le han ocasionado la vulneración de sus derechos del art. 24 CE.</w:t>
      </w:r>
    </w:p>
    <w:p w:rsidR="005728DD" w:rsidRDefault="005728DD" w:rsidP="005728DD">
      <w:pPr>
        <w:pStyle w:val="TextoNormal"/>
      </w:pPr>
    </w:p>
    <w:p w:rsidR="005728DD" w:rsidRDefault="005728DD" w:rsidP="005728DD">
      <w:pPr>
        <w:pStyle w:val="TextoNormal"/>
      </w:pPr>
      <w:r>
        <w:t>Según refiere, la sentencia del Tribunal Superior de Justicia de la Comunidad Valenciana no ha entrado en el fondo del análisis de la Orden 23/2016, por falta de legitimación, dado que sólo habrían podido recurrirla los alumnos de la universidad pero no la propia entidad universitaria recurrente que “representa a más de 13.000 estudiantes”.</w:t>
      </w:r>
    </w:p>
    <w:p w:rsidR="005728DD" w:rsidRDefault="005728DD" w:rsidP="005728DD">
      <w:pPr>
        <w:pStyle w:val="TextoNormal"/>
      </w:pPr>
    </w:p>
    <w:p w:rsidR="005728DD" w:rsidRDefault="005728DD" w:rsidP="005728DD">
      <w:pPr>
        <w:pStyle w:val="TextoNormal"/>
      </w:pPr>
      <w:r>
        <w:t>Además, sostiene que el Tribunal Supremo ha dictado una providencia de inadmisión del recurso de casación preparado por la actora “con una motivación ilógica e irrazonable […] ya que sólo puede deberse a un error en el que, ante dos cuestiones totalmente equivalentes, se den motivaciones contradictorias” denegándosele su derecho a la doble instancia y al examen de su recurso.</w:t>
      </w:r>
    </w:p>
    <w:p w:rsidR="005728DD" w:rsidRDefault="005728DD" w:rsidP="005728DD">
      <w:pPr>
        <w:pStyle w:val="TextoNormal"/>
      </w:pPr>
    </w:p>
    <w:p w:rsidR="005728DD" w:rsidRDefault="005728DD" w:rsidP="005728DD">
      <w:pPr>
        <w:pStyle w:val="TextoNormal"/>
      </w:pPr>
      <w:r>
        <w:t>Se alega que, en supuestos de hecho sustancialmente idénticos (recursos de casación contra dos sentencias del Tribunal Superior de Justicia de la Comunidad Valenciana, que se referían a dos regulaciones autonómicas sobre becas universitarias, una para cursar estudios universitarios de grado y otra para postgrado), interpuestos por los mismos motivos, la Sala de lo Contencioso-Administrativo del Tribunal Supremo ha dado distintas respuestas, pues una de ellas ha inadmitido a trámite el recurso de casación porque considera que no se ha superado el juicio de relevancia, y la otra por no haber fundamentado con rigor los motivos de interés casacional objetivo.</w:t>
      </w:r>
    </w:p>
    <w:p w:rsidR="005728DD" w:rsidRDefault="005728DD" w:rsidP="005728DD">
      <w:pPr>
        <w:pStyle w:val="TextoNormal"/>
      </w:pPr>
    </w:p>
    <w:p w:rsidR="005728DD" w:rsidRDefault="005728DD" w:rsidP="005728DD">
      <w:pPr>
        <w:pStyle w:val="TextoNormal"/>
      </w:pPr>
      <w:r>
        <w:t>Para sustentar este planteamiento, la demanda invoca la STC 40/2002, de 14 de febrero, con el argumento de que la providencia de inadmisión del recurso de casación le ha generado una nueva lesión de su derecho a la tutela judicial efectiva que le ha privado del derecho a que se examine su recurso, al haberle impedido impugnar una sentencia desfavorable a sus derechos.</w:t>
      </w:r>
    </w:p>
    <w:p w:rsidR="005728DD" w:rsidRDefault="005728DD" w:rsidP="005728DD">
      <w:pPr>
        <w:pStyle w:val="TextoNormal"/>
      </w:pPr>
    </w:p>
    <w:p w:rsidR="005728DD" w:rsidRDefault="005728DD" w:rsidP="005728DD">
      <w:pPr>
        <w:pStyle w:val="TextoNormal"/>
      </w:pPr>
      <w:r>
        <w:t>La demanda justifica la especial trascendencia constitucional del recurso en siete motivos que, resumidamente, se detallan, a continuación: (i) Si es posible la exclusión de determinados beneficios sociales al alumnado, en función de la titularidad, pública o privada, de la correspondiente universidad, teniendo en cuenta que el sistema universitario autonómico integra a todas, sin distinción de titularidades; (ii) facultades del legislador para discriminar el trato a las universidades en función de su ideario o titularidad, que afectan al alumnado de aquellas, a la hora de fijar los beneficiarios del sistema de becas y si las competencias autonómicas tienen el alcance necesario para acordar la solución que se considere más idónea en cada una de las comunidades autónomas; (iii) Si la administración autonómica tiene facultades para discriminar en función de la titularidad de la universidad correspondiente, cuando estas figuran integradas en un sistema universitario único y la ley autonómica no establece distinción alguna; (iv) alcance de los derechos del alumnado de universidades privadas cuando las leyes prevén becas a su favor; (v) si resulta discriminatorio que los solicitantes de becas que hayan sido alumnos de las universidades privadas y que cumplan los requisitos objetivos de renta para su obtención, no puedan acceder a las mismas por ser estudiantes de una universidad no pública; (vi) alcance representativo que tengan los órganos de gobierno de las universidades privadas para recurrir, a favor de sus alumnos, una disposición normativa que pueda afectarles a éstos; y (vii) la denegación por parte del Tribunal Supremo del “conocimiento de un asunto mediante el dictado de una resolución con motivación de inadmisión totalmente distinta, ante procedimientos y recursos análogos, privándole de su derecho al recurso y a la doble instancia, así como vaciando de contenido y considerando una mera formalidad el incidente de nulidad” previsto en la ley.</w:t>
      </w:r>
    </w:p>
    <w:p w:rsidR="005728DD" w:rsidRDefault="005728DD" w:rsidP="005728DD">
      <w:pPr>
        <w:pStyle w:val="TextoNormal"/>
      </w:pPr>
    </w:p>
    <w:p w:rsidR="005728DD" w:rsidRDefault="005728DD" w:rsidP="005728DD">
      <w:pPr>
        <w:pStyle w:val="TextoNormal"/>
      </w:pPr>
      <w:r w:rsidRPr="005728DD">
        <w:rPr>
          <w:rStyle w:val="NumeroAFNegritaCaracter"/>
        </w:rPr>
        <w:t>4</w:t>
      </w:r>
      <w:r>
        <w:t>. Por medio de providencia de 16 de septiembre de 2019, la Sección Cuarta de este tribunal acordó admitir a trámite el recurso de amparo apreciando que en el mismo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w:t>
      </w:r>
    </w:p>
    <w:p w:rsidR="005728DD" w:rsidRDefault="005728DD" w:rsidP="005728DD">
      <w:pPr>
        <w:pStyle w:val="TextoNormal"/>
      </w:pPr>
    </w:p>
    <w:p w:rsidR="005728DD" w:rsidRDefault="005728DD" w:rsidP="005728DD">
      <w:pPr>
        <w:pStyle w:val="TextoNormal"/>
      </w:pPr>
      <w:r>
        <w:t>En la misma providencia se ordenaba enviar atenta comunicación a la Sección Primera de la Sala de lo Contencioso-Administrativo del Tribunal Supremo para que remitiera certificación o copia adverada de las actuaciones correspondientes al recurso de casación núm. 1472-2018. Igualmente, se acordó dirigir idéntica comunicación a la Sección Quinta de la misma Sala del Tribunal Superior de Justicia de la Comunidad Valenciana, a fin de que, en el plazo de diez días, remitiera certificación o copia adverada de las actuaciones correspondientes al recurso núm. 457-2016, debiendo emplazarse, para que, en el plazo de diez días, pudieran comparecer en el recurso de amparo quiénes hubieran sido parte en el procedimiento, excepto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5</w:t>
      </w:r>
      <w:r>
        <w:t>. En fecha 23 de octubre de 2019 tuvo entrada en el registro de este tribunal escrito presentado por la señora letrada de la Generalitat Valenciana doña Beatriz Moreno Pérez, en la representación que ostenta, solicitando que se le tuviera por comparecida y parte en las actuaciones.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Por diligencia de ordenación de 19 de noviembre de 2019, la secretaría de justicia de la Sala Segunda tuvo por personada y parte en el procedimiento a la señora letrada de la Generalitat Valenciana, acordándose entender con ella las sucesivas actuaciones. Asimismo, se tuvo por designada a la procuradora de los tribunales doña Rosa Sorribes Calle.</w:t>
      </w:r>
    </w:p>
    <w:p w:rsidR="005728DD" w:rsidRDefault="005728DD" w:rsidP="005728DD">
      <w:pPr>
        <w:pStyle w:val="TextoNormal"/>
      </w:pPr>
    </w:p>
    <w:p w:rsidR="005728DD" w:rsidRDefault="005728DD" w:rsidP="005728DD">
      <w:pPr>
        <w:pStyle w:val="TextoNormal"/>
      </w:pPr>
      <w:r>
        <w:t>Igualmente, de conformidad con lo dispuesto en el art. 52.1 LOTC, se dispuso dar vista de las actuaciones a las partes personadas y al Ministerio Fiscal, por plazo común de veinte días, para que pudieran presentar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2 de diciembre de 2019, la letrada de los servicios jurídicos de la Generalitat Valenciana presentó escrito de alegaciones en el registro de este tribunal solicitando la desestimación del recurso de amparo.</w:t>
      </w:r>
    </w:p>
    <w:p w:rsidR="005728DD" w:rsidRDefault="005728DD" w:rsidP="005728DD">
      <w:pPr>
        <w:pStyle w:val="TextoNormal"/>
      </w:pPr>
    </w:p>
    <w:p w:rsidR="005728DD" w:rsidRDefault="005728DD" w:rsidP="005728DD">
      <w:pPr>
        <w:pStyle w:val="TextoNormal"/>
      </w:pPr>
      <w:r>
        <w:t>La argumentación que, al respecto, sostiene la administración autonómica puede resumirse en los siguientes apartados:</w:t>
      </w:r>
    </w:p>
    <w:p w:rsidR="005728DD" w:rsidRDefault="005728DD" w:rsidP="005728DD">
      <w:pPr>
        <w:pStyle w:val="TextoNormal"/>
      </w:pPr>
    </w:p>
    <w:p w:rsidR="005728DD" w:rsidRDefault="005728DD" w:rsidP="005728DD">
      <w:pPr>
        <w:pStyle w:val="TextoNormal"/>
      </w:pPr>
      <w:r>
        <w:t>A) Después de hacer una delimitación del objeto del recurso, en única referencia a las resoluciones judiciales impugnadas, pero no así a la Orden 23/2016, y de exponer, de modo detallado los antecedentes del presente recurso de amparo, dedica el apartado tercero de sus alegaciones a impugnar, las que, de contrario, ha sostenido la demandante de amparo.</w:t>
      </w:r>
    </w:p>
    <w:p w:rsidR="005728DD" w:rsidRDefault="005728DD" w:rsidP="005728DD">
      <w:pPr>
        <w:pStyle w:val="TextoNormal"/>
      </w:pPr>
    </w:p>
    <w:p w:rsidR="005728DD" w:rsidRDefault="005728DD" w:rsidP="005728DD">
      <w:pPr>
        <w:pStyle w:val="TextoNormal"/>
      </w:pPr>
      <w:r>
        <w:t>En este sentido, comienza destacando que “no se puede aceptar lo alegado respecto a que la Administración autonómica ha ‘confesado’ que su objetivo es ‘</w:t>
      </w:r>
      <w:r w:rsidRPr="005728DD">
        <w:rPr>
          <w:i/>
        </w:rPr>
        <w:t>acabar con las becas destinadas al alumnado de esta universidad por entender que la misma y su alumnado son, dada su ideología católica, discriminables por la administración autonómica frente a las universidades de naturaleza pública</w:t>
      </w:r>
      <w:r>
        <w:t>’” (en cursiva, en el texto), pues, “frente a estas gratuitas afirmaciones” entiende que la Orden 23/2016 “no contiene ninguna referencia a ninguna concreta universidad, ni a ninguna ideología”. La orden únicamente prevé becas para el alumnado de las universidades públicas valencianas, sin que haga referencia alguna a la demandante, ni a su alumnado, ni tampoco a su ideario católico, por lo que, a su parecer, “son del todo insostenibles e inaceptables estas gratuitas afirmaciones”.</w:t>
      </w:r>
    </w:p>
    <w:p w:rsidR="005728DD" w:rsidRDefault="005728DD" w:rsidP="005728DD">
      <w:pPr>
        <w:pStyle w:val="TextoNormal"/>
      </w:pPr>
    </w:p>
    <w:p w:rsidR="005728DD" w:rsidRDefault="005728DD" w:rsidP="005728DD">
      <w:pPr>
        <w:pStyle w:val="TextoNormal"/>
      </w:pPr>
      <w:r>
        <w:t>B) Seguidamente, pone de manifiesto que el auto de la Sala de lo Contencioso-Administrativo del Tribunal Superior de Justicia Valenciano de 7 de septiembre de 2016 delimitó el objeto del recurso, que circunscribió a la posible vulneración del principio de igualdad ante la ley, descartando el resto de las denuncias formuladas (libertad religiosa y derecho a la educación). Además, la posterior sentencia de 8 de noviembre de 2017 rechazó, no sólo las cuestiones de legalidad ordinaria suscitadas, sino también la del principio de igualdad “porque la orden impugnada ‘</w:t>
      </w:r>
      <w:r w:rsidRPr="005728DD">
        <w:rPr>
          <w:i/>
        </w:rPr>
        <w:t>no vulnera el derecho a la igualdad de la demandante que no se ve afectada en modo alguno por la misma, reguladora de los derechos de los alumnos</w:t>
      </w:r>
      <w:r>
        <w:t>’” (en cursiva, en el texto). También alega que el Tribunal Supremo se ha pronunciado en repetidas ocasiones sobre este tema “con idéntico planteamiento” de inadmisión de los recursos de casación formalizados por la demandante. Por todo ello, concluye en este extremo con la afirmación de que lo único que hace la parte es discrepar de la tesis de los órganos judiciales sobre la reclamación formulada.</w:t>
      </w:r>
    </w:p>
    <w:p w:rsidR="005728DD" w:rsidRDefault="005728DD" w:rsidP="005728DD">
      <w:pPr>
        <w:pStyle w:val="TextoNormal"/>
      </w:pPr>
    </w:p>
    <w:p w:rsidR="005728DD" w:rsidRDefault="005728DD" w:rsidP="005728DD">
      <w:pPr>
        <w:pStyle w:val="TextoNormal"/>
      </w:pPr>
      <w:r>
        <w:t xml:space="preserve">C) A continuación, se pronuncia sobre la denunciada vulneración del derecho a la tutela judicial efectiva proponiendo su desestimación. Agrega que, respecto de la providencia de </w:t>
      </w:r>
      <w:r>
        <w:lastRenderedPageBreak/>
        <w:t>inadmisión del recurso de casación, el Tribunal Supremo ha emitido este pronunciamiento “que se deriva de la aplicación razonada de una causa legal que prevé esta consecuencia”, por lo que entiende que no es, ni arbitraria, ni manifiestamente irrazonable, ni incursa en error patente, como tampoco el resultado de una interpretación rigorista, formalista o desproporcionada, “siendo además una decisión que afecta a cuestiones de estricta legalidad ordinaria”. En apoyo de esta pretensión cita textualmente la STC 112/2019, de 3 de diciembre, FJ 4 a), así como el pasaje de la providencia de 29 de octubre de 2019 del Tribunal Supremo, que inadmitió el incidente de nulidad de actuaciones, relativo a que no se vulneró el derecho a la tutela judicial efectiva de la recurrente.</w:t>
      </w:r>
    </w:p>
    <w:p w:rsidR="005728DD" w:rsidRDefault="005728DD" w:rsidP="005728DD">
      <w:pPr>
        <w:pStyle w:val="TextoNormal"/>
      </w:pPr>
    </w:p>
    <w:p w:rsidR="005728DD" w:rsidRDefault="005728DD" w:rsidP="005728DD">
      <w:pPr>
        <w:pStyle w:val="TextoNormal"/>
      </w:pPr>
      <w:r>
        <w:t>D) En el siguiente apartado, la letrada de la Generalitat impugna la queja por alegada vulneración del principio de igualdad ante la ley apoyándose en la sentencia del Tribunal Superior de Justicia de la Comunidad Valenciana, que apreció la falta de legitimación de la universidad recurrente por no ser la titular del derecho a obtener las becas, que corresponden a los alumnos que las soliciten.</w:t>
      </w:r>
    </w:p>
    <w:p w:rsidR="005728DD" w:rsidRDefault="005728DD" w:rsidP="005728DD">
      <w:pPr>
        <w:pStyle w:val="TextoNormal"/>
      </w:pPr>
    </w:p>
    <w:p w:rsidR="005728DD" w:rsidRDefault="005728DD" w:rsidP="005728DD">
      <w:pPr>
        <w:pStyle w:val="TextoNormal"/>
      </w:pPr>
      <w:r>
        <w:t>Además, a su entender, existen razones objetivas que justificarían el trato diferenciado que la orden dispensa a los alumnos solicitantes de las becas, según provengan de universidades públicas o privadas:</w:t>
      </w:r>
    </w:p>
    <w:p w:rsidR="005728DD" w:rsidRDefault="005728DD" w:rsidP="005728DD">
      <w:pPr>
        <w:pStyle w:val="TextoNormal"/>
      </w:pPr>
    </w:p>
    <w:p w:rsidR="005728DD" w:rsidRDefault="005728DD" w:rsidP="005728DD">
      <w:pPr>
        <w:pStyle w:val="TextoNormal"/>
      </w:pPr>
      <w:r>
        <w:t>a) Que las becas ofertadas por la Comunidad Valenciana serían complementarias de las que integran el sistema general de becas del Estado previsto en la normativa básica estatal, “situándonos ante una actuación de fomento propia del Consell, prevista y regulada en su normativa, concretamente en el Decreto 40/2002 del Consell”. Se trata de una actuación que no se sustenta en lo dispuesto por los RRDD 1721/2007, 595/2015 y 293/2016. Tales normas estatales y el sistema de becas que aquí se regula “son exigencia del artículo 45 de la Ley Orgánica 6/2001, de 21 de diciembre, de universidades […] en la redacción dada por la Ley Orgánica 4/2007, de 12 de abril”.</w:t>
      </w:r>
    </w:p>
    <w:p w:rsidR="005728DD" w:rsidRDefault="005728DD" w:rsidP="005728DD">
      <w:pPr>
        <w:pStyle w:val="TextoNormal"/>
      </w:pPr>
    </w:p>
    <w:p w:rsidR="005728DD" w:rsidRDefault="005728DD" w:rsidP="005728DD">
      <w:pPr>
        <w:pStyle w:val="TextoNormal"/>
      </w:pPr>
      <w:r>
        <w:t>b) Que los alumnos y sus familias, en cada caso, “son los que optan por acudir a las universidades privadas” y estos lo hacen, bien porque “pudiendo acceder a la pública, optan libremente por otro modelo; bien porque no han alcanzado la nota de corte necesaria; bien por otros motivos personales; y, en todo caso, porque se está en disposición de costear los gastos que ello supone”. A juicio de esta parte, “existen, pues, razones objetivas que justifican que, al alumno que ha superado la nota de corte establecida y ha accedido a la universidad pública, se le pueda dar un trato diferenciado, respecto a aquel que no ha alcanzado esta nota”. Según refiere, los principios de igualdad, mérito y capacidad justificarían este trato diferenciado.</w:t>
      </w:r>
    </w:p>
    <w:p w:rsidR="005728DD" w:rsidRDefault="005728DD" w:rsidP="005728DD">
      <w:pPr>
        <w:pStyle w:val="TextoNormal"/>
      </w:pPr>
    </w:p>
    <w:p w:rsidR="005728DD" w:rsidRDefault="005728DD" w:rsidP="005728DD">
      <w:pPr>
        <w:pStyle w:val="TextoNormal"/>
      </w:pPr>
      <w:r>
        <w:t>Además, la universidad pública “es la única que garantiza el acceso a todo tipo de alumnado, independientemente de sus condiciones económicas” y alude, al respecto, al contenido del art. 45.4 LOU, en relación con el art. 81 LOU, para señalar que son las comunidades autónomas las que fijan los precios públicos de los estudios oficiales impartidos por las universidades públicas, frente a las privadas, cuyos costes los establecen libremente estas últimas, dependiendo de sus necesidades financieras y del estado del mercado. Tal circunstancia determina que, en las universidades privadas, al ser los precios libres, las becas estén desvinculadas del objeto y finalidad fijados en el citado art. 45.4 LOU.</w:t>
      </w:r>
    </w:p>
    <w:p w:rsidR="005728DD" w:rsidRDefault="005728DD" w:rsidP="005728DD">
      <w:pPr>
        <w:pStyle w:val="TextoNormal"/>
      </w:pPr>
    </w:p>
    <w:p w:rsidR="005728DD" w:rsidRDefault="005728DD" w:rsidP="005728DD">
      <w:pPr>
        <w:pStyle w:val="TextoNormal"/>
      </w:pPr>
      <w:r>
        <w:lastRenderedPageBreak/>
        <w:t>c) Que el alumnado de la universidad recurrente tiene a su disposición un sistema de “becas complementarias”, que se suman al sistema básico de becas del Estado. Pues, en relación con las primeras, la propia Universidad San Vicente Mártir pone a disposición de su alumnado distintas becas y ayudas que, en el año 2016 y, según la propia web de esta universidad, estaban dotadas con un total de 5,4 millones de euros, que “complementan las becas del Estado” y que no están a disposición de los alumnos de las universidades públicas.</w:t>
      </w:r>
    </w:p>
    <w:p w:rsidR="005728DD" w:rsidRDefault="005728DD" w:rsidP="005728DD">
      <w:pPr>
        <w:pStyle w:val="TextoNormal"/>
      </w:pPr>
    </w:p>
    <w:p w:rsidR="005728DD" w:rsidRDefault="005728DD" w:rsidP="005728DD">
      <w:pPr>
        <w:pStyle w:val="TextoNormal"/>
      </w:pPr>
      <w:r>
        <w:t>d) Que, en la medida en que las tasas de acceso a la universidad privada son mucho mayores que las de las universidades públicas, es “evidente” que “quien opta por acudir a la universidad privada, sea por el motivo que sea, es porque dispone de recursos económicos para ello”. En el parecer de la letrada de la Generalitat el importe de las tasas puede ser determinante para la selección de sus estudios para un alumno de la universidad pública, mientras que para un alumno de la privada dicho importe no condiciona su opción a realizar unos determinados estudios, por lo que la eventual ayuda económica para su abono tampoco sería determinante para ello.</w:t>
      </w:r>
    </w:p>
    <w:p w:rsidR="005728DD" w:rsidRDefault="005728DD" w:rsidP="005728DD">
      <w:pPr>
        <w:pStyle w:val="TextoNormal"/>
      </w:pPr>
    </w:p>
    <w:p w:rsidR="005728DD" w:rsidRDefault="005728DD" w:rsidP="005728DD">
      <w:pPr>
        <w:pStyle w:val="TextoNormal"/>
      </w:pPr>
      <w:r>
        <w:t>E) Respecto de la queja por vulneración del derecho a la educación (art. 27 CE), la letrada de la Generalitat rechaza que el derecho a obtener una beca sea un elemento nuclear de aquel derecho fundamental y cita, al respecto, diferentes sentencias de este tribunal en apoyo de su tesis (SSTC 188/2001, de 20 de septiembre, y 95/2016, de 12 de mayo). El derecho a la beca tiene, pues, una configuración legal “cuya materialización, además, requiere la aprobación de normas reglamentarias”. Menciona, también, las SSTC 86/1985, de 10 de julio; 214/1994, de 14 de julio, y reitera la cita de la STC 188/2001.</w:t>
      </w:r>
    </w:p>
    <w:p w:rsidR="005728DD" w:rsidRDefault="005728DD" w:rsidP="005728DD">
      <w:pPr>
        <w:pStyle w:val="TextoNormal"/>
      </w:pPr>
    </w:p>
    <w:p w:rsidR="005728DD" w:rsidRDefault="005728DD" w:rsidP="005728DD">
      <w:pPr>
        <w:pStyle w:val="TextoNormal"/>
      </w:pPr>
      <w:r>
        <w:t>Insiste en que forma parte esencial del sistema educativo, “dirigido a dotar de la máxima efectividad” al derecho a la educación, pero no forma parte del contenido esencial de este derecho fundamental (menciona, expresamente, diferentes pasajes de las SSTC 212/2005, de 21 de julio; 25/2015, de 19 de febrero, y la antes citada 95/2016).</w:t>
      </w:r>
    </w:p>
    <w:p w:rsidR="005728DD" w:rsidRDefault="005728DD" w:rsidP="005728DD">
      <w:pPr>
        <w:pStyle w:val="TextoNormal"/>
      </w:pPr>
    </w:p>
    <w:p w:rsidR="005728DD" w:rsidRDefault="005728DD" w:rsidP="005728DD">
      <w:pPr>
        <w:pStyle w:val="TextoNormal"/>
      </w:pPr>
      <w:r>
        <w:t>F) Por último, en relación con la denunciada vulneración del derecho a la libertad religiosa (art. 16 CE), la letrada de la Generalitat señala que la orden prevé becas para el alumnado matriculado en universidades públicas valencianas y, también, para los de las universidades privadas cuando la concreta convocatoria lo contemple y ello sin hacer expresa referencia a la universidad recurrente, ni a su alumnado, ni a su ideario católico. Con apoyo en el auto de 7 de septiembre de 2016, que excluyó del conocimiento del recurso contencioso-administrativo la queja por infracción de este derecho fundamental, defiende la Generalitat que, ni siquiera a nivel indiciario, puede estimarse comprometido este derecho porque, en ningún momento, el carácter de universidad católica ha guardado relación alguna con la decisión adoptada por la administración. Las becas a las que se refiere el recurso “de ningún modo inciden o afectan a la libertad ideológica y religiosa”, por lo que tampoco cabe apreciar lesión de este derecho fundamental.</w:t>
      </w:r>
    </w:p>
    <w:p w:rsidR="005728DD" w:rsidRDefault="005728DD" w:rsidP="005728DD">
      <w:pPr>
        <w:pStyle w:val="TextoNormal"/>
      </w:pPr>
    </w:p>
    <w:p w:rsidR="005728DD" w:rsidRDefault="005728DD" w:rsidP="005728DD">
      <w:pPr>
        <w:pStyle w:val="TextoNormal"/>
      </w:pPr>
      <w:r w:rsidRPr="005728DD">
        <w:rPr>
          <w:rStyle w:val="NumeroAFNegritaCaracter"/>
        </w:rPr>
        <w:t>8</w:t>
      </w:r>
      <w:r>
        <w:t>. El día 23 de diciembre de 2019, la universidad demandante de amparo presentó sus alegaciones en el registro de este tribunal, limitándose a reiterar sus pretensiones desarrolladas en el escrito de demanda.</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9</w:t>
      </w:r>
      <w:r>
        <w:t>. Posteriormente, en fecha 27 de diciembre de 2019, tuvieron entrada en el registro de este tribunal las alegaciones del Ministerio Fiscal, en las que solicitó la estimación del recurso de amparo por entender que los arts. 1.1 y 2 de la Orden 23/2016 han vulnerado el derecho fundamental de la demandante a la igualdad ante la ley y el restablecimiento en su derecho, extendiendo la declaración de nulidad a las resoluciones judiciales igualmente impugnadas, que confirmaron la adecuación a derecho de la disposición general aprobada por la Generalitat valenciana.</w:t>
      </w:r>
    </w:p>
    <w:p w:rsidR="005728DD" w:rsidRDefault="005728DD" w:rsidP="005728DD">
      <w:pPr>
        <w:pStyle w:val="TextoNormal"/>
      </w:pPr>
    </w:p>
    <w:p w:rsidR="005728DD" w:rsidRDefault="005728DD" w:rsidP="005728DD">
      <w:pPr>
        <w:pStyle w:val="TextoNormal"/>
      </w:pPr>
      <w:r>
        <w:t>Los argumentos del Ministerio Fiscal quedan resumidos en los siguientes apartados:</w:t>
      </w:r>
    </w:p>
    <w:p w:rsidR="005728DD" w:rsidRDefault="005728DD" w:rsidP="005728DD">
      <w:pPr>
        <w:pStyle w:val="TextoNormal"/>
      </w:pPr>
    </w:p>
    <w:p w:rsidR="005728DD" w:rsidRDefault="005728DD" w:rsidP="005728DD">
      <w:pPr>
        <w:pStyle w:val="TextoNormal"/>
      </w:pPr>
      <w:r>
        <w:t>A) Primeramente, el fiscal, hace una detallada exposición de los antecedentes del recurso. Comienza su argumentación jurídica con la delimitación del objeto del mismo, señalando que son objeto de impugnación los arts. 1.1 y 2 de la Orden 23/2016, la sentencia de 8 de noviembre de 2017, dictada por la Sección Quinta de la Sala de lo Contencioso-Administrativo del Tribunal Superior de Justicia de la Comunidad Valenciana, así como las providencias de 7 de junio y de 28 de octubre de 2018, de la Sección Primera de la Sala de lo Contencioso-Administrativo del Tribunal Supremo.</w:t>
      </w:r>
    </w:p>
    <w:p w:rsidR="005728DD" w:rsidRDefault="005728DD" w:rsidP="005728DD">
      <w:pPr>
        <w:pStyle w:val="TextoNormal"/>
      </w:pPr>
    </w:p>
    <w:p w:rsidR="005728DD" w:rsidRDefault="005728DD" w:rsidP="005728DD">
      <w:pPr>
        <w:pStyle w:val="TextoNormal"/>
      </w:pPr>
      <w:r>
        <w:t>Igualmente, expone resumidamente las quejas formuladas en la demanda, que se refieren a las eventuales vulneraciones de los derechos a la igualdad ante la ley, a la libertad de enseñanza, a la libertad religiosa y, por último, a la tutela judicial efectiva y a un proceso con todas las garantías, que refiere exclusivamente a las resoluciones dictadas por el Tribunal Supremo.</w:t>
      </w:r>
    </w:p>
    <w:p w:rsidR="005728DD" w:rsidRDefault="005728DD" w:rsidP="005728DD">
      <w:pPr>
        <w:pStyle w:val="TextoNormal"/>
      </w:pPr>
    </w:p>
    <w:p w:rsidR="005728DD" w:rsidRDefault="005728DD" w:rsidP="005728DD">
      <w:pPr>
        <w:pStyle w:val="TextoNormal"/>
      </w:pPr>
      <w:r>
        <w:t>B) A continuación, realiza una serie de consideraciones previas al análisis de las cuestiones de fondo suscitadas por la demanda, señalando, al respecto, que, en lo que respecta a las vulneraciones que la actora ha imputado a los arts. 1.1 y 2 de la Orden 23/2016, todas ellas se refieren a una misma lesión, la de la desigualdad de trato entre las universidades públicas y las privadas, si bien señala que la denuncia del art. 14 CE se expresa “de dos maneras distintas”: (i) como mera desigualdad “sobre la base de que la legislación básica del Estado no ampara una diferencia de trato entre unas y otras universidades”, y (ii) “con un discurso de discriminación por razones religiosas, al amparo de los arts. 16.1 y 27.1 CE, sobre la base de que la universidad recurrente ha sido discriminada, aún más que por su carácter de universidad privada, por su naturaleza de universidad privada de ideario católico”.</w:t>
      </w:r>
    </w:p>
    <w:p w:rsidR="005728DD" w:rsidRDefault="005728DD" w:rsidP="005728DD">
      <w:pPr>
        <w:pStyle w:val="TextoNormal"/>
      </w:pPr>
    </w:p>
    <w:p w:rsidR="005728DD" w:rsidRDefault="005728DD" w:rsidP="005728DD">
      <w:pPr>
        <w:pStyle w:val="TextoNormal"/>
      </w:pPr>
      <w:r>
        <w:t>Por su parte, respecto de las resoluciones judiciales dictadas por el Tribunal Supremo (providencias de 7 de junio y de 28 de octubre de 2018), destaca que se invoca por la demandante la vulneración de su derecho a la tutela judicial efectiva, en la medida en que aquellas le habrían privado de una sentencia sobre el fondo, dictada en el trámite de casación, impidiéndole, además, el acceso efectivo a la doble instancia.</w:t>
      </w:r>
    </w:p>
    <w:p w:rsidR="005728DD" w:rsidRDefault="005728DD" w:rsidP="005728DD">
      <w:pPr>
        <w:pStyle w:val="TextoNormal"/>
      </w:pPr>
    </w:p>
    <w:p w:rsidR="005728DD" w:rsidRDefault="005728DD" w:rsidP="005728DD">
      <w:pPr>
        <w:pStyle w:val="TextoNormal"/>
      </w:pPr>
      <w:r>
        <w:t xml:space="preserve">Como segunda consideración previa, aborda el fiscal el orden de prelación de las quejas formuladas en la demanda, que identifica como recurso mixto, por alegar vulneraciones imputables a una actuación administrativa y a resoluciones judiciales. Por ello, con apoyo en los argumentos de que debe comenzarse por aquella de las pretensiones que pueda alcanzar la mayor retroacción, a fin de asegurar la más amplia tutela de los derechos fundamentales de la recurrente, que, en el caso de autos, es la que, además, supone la apreciación de la especial trascendencia constitucional de este recurso, termina sosteniendo que comenzará </w:t>
      </w:r>
      <w:r>
        <w:lastRenderedPageBreak/>
        <w:t>dicho estudio por el análisis de la expresada infracción del art. 14 CE, para luego continuar con el resto de las invocadas por la parte, si hubiere sido desestimada aquella.</w:t>
      </w:r>
    </w:p>
    <w:p w:rsidR="005728DD" w:rsidRDefault="005728DD" w:rsidP="005728DD">
      <w:pPr>
        <w:pStyle w:val="TextoNormal"/>
      </w:pPr>
    </w:p>
    <w:p w:rsidR="005728DD" w:rsidRDefault="005728DD" w:rsidP="005728DD">
      <w:pPr>
        <w:pStyle w:val="TextoNormal"/>
      </w:pPr>
      <w:r>
        <w:t xml:space="preserve">Como tercera consideración previa, el fiscal aborda el análisis de la legitimación </w:t>
      </w:r>
      <w:r w:rsidRPr="005728DD">
        <w:rPr>
          <w:i/>
        </w:rPr>
        <w:t>ad causam</w:t>
      </w:r>
      <w:r>
        <w:t xml:space="preserve"> de la Universidad San Vicente Mártir y llega a la conclusión de que, aunque el recurso de amparo está dirigido fundamentalmente a la defensa de un interés propio y no de un derecho ajeno, “eso no implica que carezca de legitimación quien posee un interés legítimo [art. 162.1 b) CE], concepto este último que no puede ser confundido con la posesión de la titularidad del derecho”. En consecuencia, entiende que la demandante tiene un interés legítimo propio, conectado con los derechos fundamentales que invoca, pues además de la imposibilidad de que los alumnos de las universidades privadas puedan acceder al sistema de las becas y el perjuicio que tal actuación administrativa les suponga, “puede constituir un elemento disuasorio para la matriculación de determinados estudiantes, con el consiguiente perjuicio en el ámbito económico y la correlativa incertidumbre sobre su supervivencia futura, a cuya afectación habría que sumar, por no ser en absoluto desdeñable, la correlativa limitación de su libertad de enseñanza”. Además, agrega el fiscal que “no es descartable que una universidad privada pudiera actuar por sus alumnos, a tenor de que éstos, más allá de ser meros receptores de la educación que se imparte, se integran en los organismos universitarios” (arts. 15.2 y 16.3 LOU).</w:t>
      </w:r>
    </w:p>
    <w:p w:rsidR="005728DD" w:rsidRDefault="005728DD" w:rsidP="005728DD">
      <w:pPr>
        <w:pStyle w:val="TextoNormal"/>
      </w:pPr>
    </w:p>
    <w:p w:rsidR="005728DD" w:rsidRDefault="005728DD" w:rsidP="005728DD">
      <w:pPr>
        <w:pStyle w:val="TextoNormal"/>
      </w:pPr>
      <w:r>
        <w:t>Finalmente, como cuarta cuestión previa, el fiscal aborda la problemática de si una disposición reglamentaria como la Orden 23/2016 es susceptible de recurso de amparo, pues el control de legalidad de aquella corresponde a la jurisdicción contencioso-administrativa (art. 106 CE) y que el Tribunal Constitucional “carece de atribuciones para valorar en abstracto el ajuste constitucional de los reglamentos (art. 161 CE)”. Sin embargo, con apoyo en el art. 43 LOTC, entiende que tal afirmación “no ha de impedir que se entienda que […] los reglamentos son disposiciones emanadas del poder público” y, por tanto, susceptibles de impugnación en amparo si se considera que el origen de la vulneración de los derechos fundamentales se localiza en aquellas. Por ello, con cita de las SSTC 57/2004, de 19 de abril, FJ 2; 192/1991, de 14 de octubre, FJ 2; 189/1987, de 24 de noviembre, FJ 3, y 141/1985, de 22 de octubre, FJ 2, llega a la conclusión de que sí es posible la impugnación en el caso de autos de la Orden 23/2016.</w:t>
      </w:r>
    </w:p>
    <w:p w:rsidR="005728DD" w:rsidRDefault="005728DD" w:rsidP="005728DD">
      <w:pPr>
        <w:pStyle w:val="TextoNormal"/>
      </w:pPr>
    </w:p>
    <w:p w:rsidR="005728DD" w:rsidRDefault="005728DD" w:rsidP="005728DD">
      <w:pPr>
        <w:pStyle w:val="TextoNormal"/>
      </w:pPr>
      <w:r>
        <w:t>C) Comienza el análisis de la queja sobre el art. 14 CE, haciendo una exposición de la doctrina de este tribunal sobre el derecho a la igualdad ante la ley, de una parte, y el principio de no discriminación, por otra, haciendo expresa como detallada cita para ambos de la STC 91/2019, de 3 de abril, FJ 4.</w:t>
      </w:r>
    </w:p>
    <w:p w:rsidR="005728DD" w:rsidRDefault="005728DD" w:rsidP="005728DD">
      <w:pPr>
        <w:pStyle w:val="TextoNormal"/>
      </w:pPr>
    </w:p>
    <w:p w:rsidR="005728DD" w:rsidRDefault="005728DD" w:rsidP="005728DD">
      <w:pPr>
        <w:pStyle w:val="TextoNormal"/>
      </w:pPr>
      <w:r>
        <w:t>En relación con el caso de autos el fiscal aborda el análisis de la queja desde tres aspectos:</w:t>
      </w:r>
    </w:p>
    <w:p w:rsidR="005728DD" w:rsidRDefault="005728DD" w:rsidP="005728DD">
      <w:pPr>
        <w:pStyle w:val="TextoNormal"/>
      </w:pPr>
    </w:p>
    <w:p w:rsidR="005728DD" w:rsidRDefault="005728DD" w:rsidP="005728DD">
      <w:pPr>
        <w:pStyle w:val="TextoNormal"/>
      </w:pPr>
      <w:r>
        <w:t xml:space="preserve">a) El régimen jurídico establecido: La cuestión, según el fiscal, estriba en determinar si el régimen jurídico de funcionamiento es o no el mismo para las universidades públicas y las privadas. Entiende, al respecto, que “el servicio público de la educación superior” es prestado en igualdad de condiciones y de exigencias por parte de los dos tipos de universidades. Con apoyo en la STC 176/2015, de 22 de julio, FJ 2, señala que las universidades privadas, una vez cumplidos los requisitos previos (RD 420/2015, de 29 de mayo), después de haber sido reconocidas por ley (ley de creación si se trata de una universidad pública y ley de reconocimiento, si se trata de una privada) y aprobados sus títulos como oficiales, </w:t>
      </w:r>
      <w:r>
        <w:lastRenderedPageBreak/>
        <w:t>“pasan a formar parte de las instituciones prestadoras del servicio público de la educación superior”. Además, una vez en funcionamiento, tanto las universidades públicas como las privadas, “han de someter las titulaciones que quieran impartir al mismo procedimiento de aprobación” y el acceso a las mismas como alumnos, solo es posible con el cumplimiento de los mismos requisitos académicos, superación del bachillerato más las pruebas de acceso.</w:t>
      </w:r>
    </w:p>
    <w:p w:rsidR="005728DD" w:rsidRDefault="005728DD" w:rsidP="005728DD">
      <w:pPr>
        <w:pStyle w:val="TextoNormal"/>
      </w:pPr>
    </w:p>
    <w:p w:rsidR="005728DD" w:rsidRDefault="005728DD" w:rsidP="005728DD">
      <w:pPr>
        <w:pStyle w:val="TextoNormal"/>
      </w:pPr>
      <w:r>
        <w:t>En el caso concreto de la Comunidad Valenciana, el fiscal destaca que el art. 2.1 de la Ley 4/2007, de 9 de febrero, de coordinación del sistema universitario valenciano, proclama la igualdad entre todas las universidades valencianas, entre las que incluye la universidad recurrente.</w:t>
      </w:r>
    </w:p>
    <w:p w:rsidR="005728DD" w:rsidRDefault="005728DD" w:rsidP="005728DD">
      <w:pPr>
        <w:pStyle w:val="TextoNormal"/>
      </w:pPr>
    </w:p>
    <w:p w:rsidR="005728DD" w:rsidRDefault="005728DD" w:rsidP="005728DD">
      <w:pPr>
        <w:pStyle w:val="TextoNormal"/>
      </w:pPr>
      <w:r>
        <w:t>b) A continuación, hace una exposición más detenida del segundo de los ejes de su razonamiento, que tiene que ver con la relevancia constitucional de las becas universitarias y la conexión del derecho de acceso a las mismas con el derecho fundamental a la educación (art. 27 CE). A tal efecto, señala que, aunque no exista en el art. 27 CE una referencia expresa a un sistema de prestaciones públicas de apoyo al derecho de todos los ciudadanos a la educación, este tribunal “ha señalado que este precepto incorpora, junto a su contenido primario de derecho a la libertad, una dimensión prestacional, en cuya virtud los poderes públicos habrán de procurar la efectividad de tal derecho”. Con cita de la STC 188/2001, de 20 de septiembre, FJ 5, destaca que “las becas y ayudas a la enseñanza postobligatoria son un elemento esencial del derecho a la educación que se sustenta en un doble principio: han de compensar las condiciones socioeconómicas desfavorables de sus beneficiarios y deben otorgarse en función de la capacidad y rendimiento escolar (art. 63.1 de la Ley Orgánica de ordenación general del sistema educativo), por lo que el derecho a las becas o ayudas, como resultado de la obligación de los poderes públicos de garantizar el derecho de todos a la educación, se ordena a asegurar su efectividad”. Y, en segundo término, que “los poderes públicos deben establecer un programa de ayudas al estudio que garantice a los ciudadanos con menos recursos económicos el acceso a la educación, pudiendo incluir dentro de ese programa de ayudas ‘prestaciones económicas en forma de becas’”.</w:t>
      </w:r>
    </w:p>
    <w:p w:rsidR="005728DD" w:rsidRDefault="005728DD" w:rsidP="005728DD">
      <w:pPr>
        <w:pStyle w:val="TextoNormal"/>
      </w:pPr>
    </w:p>
    <w:p w:rsidR="005728DD" w:rsidRDefault="005728DD" w:rsidP="005728DD">
      <w:pPr>
        <w:pStyle w:val="TextoNormal"/>
      </w:pPr>
      <w:r>
        <w:t>c) Seguidamente, el fiscal hace una detenida exposición de las normativas estatal y autonómica de desarrollo de los apartados primero y quinto del art. 27 CE (derecho de todos a la educación y deber de los poderes públicos de garantizar este derecho a todas las personas), de tal manera que, íntimamente conectado al reconocimiento del derecho a la educación, hay una dimensión prestacional, “en cuya virtud los poderes públicos habrán de procurar la efectividad del derecho”. Cita, al respecto, el art. 149.1.30 CE, en cuanto regla competencial sobre la que “se basa la competencia exclusiva (del Estado) en esta materia”.</w:t>
      </w:r>
    </w:p>
    <w:p w:rsidR="005728DD" w:rsidRDefault="005728DD" w:rsidP="005728DD">
      <w:pPr>
        <w:pStyle w:val="TextoNormal"/>
      </w:pPr>
    </w:p>
    <w:p w:rsidR="005728DD" w:rsidRDefault="005728DD" w:rsidP="005728DD">
      <w:pPr>
        <w:pStyle w:val="TextoNormal"/>
      </w:pPr>
      <w:r>
        <w:t>A continuación, con mención de la STC 188/2001, desarrolla una exposición de toda la legislación básica estatal en materia de becas y ayudas al estudio, con citas del art. 45.1 LOU (Ley Orgánica 6/2001) y 83.3 de la Ley Orgánica de educación (Ley Orgánica 2/2006), para, a continuación, hacer mención a la normativa reglamentaria estatal que resulta aplicable en materia de becas, que es la del Real Decreto 1721/2007, de 21 de diciembre, por el que se establece el régimen de becas y ayudas al estudio personalizadas.</w:t>
      </w:r>
    </w:p>
    <w:p w:rsidR="005728DD" w:rsidRDefault="005728DD" w:rsidP="005728DD">
      <w:pPr>
        <w:pStyle w:val="TextoNormal"/>
      </w:pPr>
    </w:p>
    <w:p w:rsidR="005728DD" w:rsidRDefault="005728DD" w:rsidP="005728DD">
      <w:pPr>
        <w:pStyle w:val="TextoNormal"/>
      </w:pPr>
      <w:r>
        <w:t xml:space="preserve">En un apartado posterior, el fiscal hace mención a la normativa autonómica en materia de ayudas al estudio, de la que hace un documentado como extenso estudio histórico que se inicia con la cita del art. 35 de la Ley Orgánica 5/1982, de 1 de julio, reguladora del Estatuto </w:t>
      </w:r>
      <w:r>
        <w:lastRenderedPageBreak/>
        <w:t>de Autonomía de la Comunidad Valenciana, pasa por el Decreto 53-2004, de 16 de abril, que reconoció a la universidad ahora recurrente, el precedente Decreto 40/2002, de 5 de marzo, modificado por los posteriores Decretos 88/2006, de 16 de junio, y 180/2016, de 2 de diciembre, de medidas de apoyo a los estudiantes universitarios valencianos, que no establecía distinción alguna en función de la titularidad pública o privada de las universidades, hasta finalizar con la cita del art. 2.1 de la Ley 4/2007, de 9 de febrero, de coordinación del sistema universitario valenciano, que, asimismo, tampoco establece distingos entre las universidades de titularidad pública y las privadas.</w:t>
      </w:r>
    </w:p>
    <w:p w:rsidR="005728DD" w:rsidRDefault="005728DD" w:rsidP="005728DD">
      <w:pPr>
        <w:pStyle w:val="TextoNormal"/>
      </w:pPr>
    </w:p>
    <w:p w:rsidR="005728DD" w:rsidRDefault="005728DD" w:rsidP="005728DD">
      <w:pPr>
        <w:pStyle w:val="TextoNormal"/>
      </w:pPr>
      <w:r>
        <w:t>Señala el fiscal que, frente a toda la normativa anterior, la Orden 23/2016 es la que ha establecido “un criterio adverso a la equiparación de las universidades públicas y privadas”, junto a otras órdenes, que, en la misma materia de ayudas o becas al estudio pero referidas a distintos aspectos, han seguido semejante planteamiento. Después, desarrolla una amplia argumentación en relación con la distribución competencial en materia de prestaciones económicas al estudio entre la normativa básica estatal y la autonómica para concluir que la primera “ha dejado un escaso margen de desarrollo” a la segunda, “pero esta ordenación básica tan detallada se justifica por la finalidad que estas normas persiguen: que la regulación del sistema de becas se realice sin menoscabo de la garantía de la igualdad en la obtención de las ayudas en todo el territorio nacional”. Por todo ello, finaliza señalando que “es posible descartar que la normativa básica estatal, constituida tanto por las leyes orgánicas como por los reales decretos citados, constituya una garantía mínima que puede ser ampliada o completada por las comunidades autónomas con cargo a sus propios fondos”.</w:t>
      </w:r>
    </w:p>
    <w:p w:rsidR="005728DD" w:rsidRDefault="005728DD" w:rsidP="005728DD">
      <w:pPr>
        <w:pStyle w:val="TextoNormal"/>
      </w:pPr>
    </w:p>
    <w:p w:rsidR="005728DD" w:rsidRDefault="005728DD" w:rsidP="005728DD">
      <w:pPr>
        <w:pStyle w:val="TextoNormal"/>
      </w:pPr>
      <w:r>
        <w:t>De lo expuesto, el fiscal deduce que, conforme a la doctrina de este tribunal (STC 188/2001) “las becas y ayudas en la enseñanza postobligatoria son ‘un elemento esencial del derecho a la educación que se sustenta en un doble principio: han de compensar las condiciones socioeconómicas desfavorables de sus beneficiarios y deben otorgarse en función de la capacidad y rendimiento escolar (art. 63.1 LOGSE)”’. Además, señala que las universidades públicas y privadas “son, a efectos jurídicos, iguales en lo sustancial, con lo que, con carácter particular, la universidad privada aquí recurrente es, a esos efectos jurídicos, igual a las universidades públicas de la Comunidad Valenciana, que son aquellas con las que ha de ser comparada”. De igual modo, el fiscal entiende, también, que la competencia exclusiva del Estado para la regulación de las normas básicas del art. 27 CE, entre las cuales se encuentran las ayudas en forma de becas, ha establecido que no exista una diferencia entre universidades públicas y privadas, de tal manera que, por tener esta normativa básica carácter vinculante para la Comunidad Autónoma valenciana, debe ser respetada.</w:t>
      </w:r>
    </w:p>
    <w:p w:rsidR="005728DD" w:rsidRDefault="005728DD" w:rsidP="005728DD">
      <w:pPr>
        <w:pStyle w:val="TextoNormal"/>
      </w:pPr>
    </w:p>
    <w:p w:rsidR="005728DD" w:rsidRDefault="005728DD" w:rsidP="005728DD">
      <w:pPr>
        <w:pStyle w:val="TextoNormal"/>
      </w:pPr>
      <w:r>
        <w:t>Según refiere, la Orden 23/2016 “viene a considerar a las universidades privadas como secundarias respecto de las universidades de titularidad pública”, porque el acceso a las becas establecido en aquella únicamente se concede a los solicitantes que hayan cursado sus estudios en universidades públicas de la comunidad autónoma, pero no a los que procedan de las privadas. Entiende, por ello, que hay un trato desigual de unas frente a otras, sin que exista una justificación razonable, además de oponerse a la normativa básica del Estado, que no establece tal tipo de distinción.</w:t>
      </w:r>
    </w:p>
    <w:p w:rsidR="005728DD" w:rsidRDefault="005728DD" w:rsidP="005728DD">
      <w:pPr>
        <w:pStyle w:val="TextoNormal"/>
      </w:pPr>
    </w:p>
    <w:p w:rsidR="005728DD" w:rsidRDefault="005728DD" w:rsidP="005728DD">
      <w:pPr>
        <w:pStyle w:val="TextoNormal"/>
      </w:pPr>
      <w:r>
        <w:t xml:space="preserve">En relación con la universidad recurrente destaca, además, que la Orden 23/2016 ha “desconocido por completo la existencia de un tratado internacional” suscrito por España con la </w:t>
      </w:r>
      <w:r>
        <w:lastRenderedPageBreak/>
        <w:t>Santa Sede, en referencia a los Acuerdos jurídicos entre la Iglesia católica y el Estado español de 3 de enero de 1979. Señala, con apoyo en el art. 10.3 de dichos Acuerdos, que “se trata de una norma integrada en el ordenamiento jurídico nacional (SSTC 66/1982, de 12 de noviembre, FJ 5, y 187/1991, de 3 de octubre, FJ 1), cuyo alcance se circunscribe a las universidades de la Iglesia, y limita las legítimas facultades de diseño de la política universitaria en cuanto al reparto de fondos públicos de ayudas para estudiantes”.</w:t>
      </w:r>
    </w:p>
    <w:p w:rsidR="005728DD" w:rsidRDefault="005728DD" w:rsidP="005728DD">
      <w:pPr>
        <w:pStyle w:val="TextoNormal"/>
      </w:pPr>
    </w:p>
    <w:p w:rsidR="005728DD" w:rsidRDefault="005728DD" w:rsidP="005728DD">
      <w:pPr>
        <w:pStyle w:val="TextoNormal"/>
      </w:pPr>
      <w:r>
        <w:t>Por todo ello, concluye sus alegaciones propugnando la estimación del recurso de amparo por entender vulnerado el derecho a la igualdad ante la ley de la recurrente recurrente. Señala, también, que la anulación de los preceptos de la Orden 23/2016, debe extenderse también a las resoluciones judiciales que han sido impugnadas, sin que sea preciso el análisis de las demás lesiones de derechos fundamentales denunciadas.</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21 de enero de 2021, se señaló para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Pretensiones de las partes</w:t>
      </w:r>
      <w:r>
        <w:t>.</w:t>
      </w:r>
    </w:p>
    <w:p w:rsidR="005728DD" w:rsidRDefault="005728DD" w:rsidP="005728DD">
      <w:pPr>
        <w:pStyle w:val="TextoNormal"/>
      </w:pPr>
    </w:p>
    <w:p w:rsidR="005728DD" w:rsidRDefault="005728DD" w:rsidP="005728DD">
      <w:pPr>
        <w:pStyle w:val="TextoNormal"/>
      </w:pPr>
      <w:r>
        <w:t>El presente recurso de amparo se dirige, de una parte, contra una disposición general administrativa, y, de otro lado, impugna también diversas resoluciones judiciales, alegando la vulneración autónoma de derechos fundamentales por parte de algunas de estas últimas.</w:t>
      </w:r>
    </w:p>
    <w:p w:rsidR="005728DD" w:rsidRDefault="005728DD" w:rsidP="005728DD">
      <w:pPr>
        <w:pStyle w:val="TextoNormal"/>
      </w:pPr>
    </w:p>
    <w:p w:rsidR="005728DD" w:rsidRDefault="005728DD" w:rsidP="005728DD">
      <w:pPr>
        <w:pStyle w:val="TextoNormal"/>
      </w:pPr>
      <w:r>
        <w:t>En efecto, primeramente, la demanda denuncia las infracciones, del principio de igualdad ante la ley, del derecho a la libertad de enseñanza y educación y de la libertad religiosa, que refiere a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w:t>
      </w:r>
    </w:p>
    <w:p w:rsidR="005728DD" w:rsidRDefault="005728DD" w:rsidP="005728DD">
      <w:pPr>
        <w:pStyle w:val="TextoNormal"/>
      </w:pPr>
    </w:p>
    <w:p w:rsidR="005728DD" w:rsidRDefault="005728DD" w:rsidP="005728DD">
      <w:pPr>
        <w:pStyle w:val="TextoNormal"/>
      </w:pPr>
      <w:r>
        <w:t xml:space="preserve">Asimismo, invoca la vulneración del derecho a la tutela judicial efectiva respecto de la sentencia núm. 1016/2017, de 8 de noviembre, de la Sección Quinta de la Sala de lo Contencioso-Administrativo del Tribunal Superior de Justicia de la Comunidad Valenciana, que desestimó el recurso contencioso-administrativo interpuesto por la ahora demandante de amparo contra la anterior orden, por entender que esta carece de </w:t>
      </w:r>
      <w:r w:rsidRPr="005728DD">
        <w:rPr>
          <w:i/>
        </w:rPr>
        <w:t>legitimatio ad causam</w:t>
      </w:r>
      <w:r>
        <w:t xml:space="preserve"> para pretender la anulación de aquella disposición.</w:t>
      </w:r>
    </w:p>
    <w:p w:rsidR="005728DD" w:rsidRDefault="005728DD" w:rsidP="005728DD">
      <w:pPr>
        <w:pStyle w:val="TextoNormal"/>
      </w:pPr>
    </w:p>
    <w:p w:rsidR="005728DD" w:rsidRDefault="005728DD" w:rsidP="005728DD">
      <w:pPr>
        <w:pStyle w:val="TextoNormal"/>
      </w:pPr>
      <w:r>
        <w:t>Por último, también dirige su queja, por eventual vulneración del derecho a la tutela judicial efectiva, que imputa directamente a las providencias de 7 de junio y de 29 de octubre de 2018, de la Sección Primera de la Sala de lo Contencioso-Administrativo del Tribunal Supremo, que, respectivamente, han inadmitido a trámite, el recurso de casación preparado por la demandante contra la precedente sentencia, y el incidente extraordinario de nulidad de actuaciones, promovido contra esta última resolución.</w:t>
      </w:r>
    </w:p>
    <w:p w:rsidR="005728DD" w:rsidRDefault="005728DD" w:rsidP="005728DD">
      <w:pPr>
        <w:pStyle w:val="TextoNormal"/>
      </w:pPr>
    </w:p>
    <w:p w:rsidR="005728DD" w:rsidRDefault="005728DD" w:rsidP="005728DD">
      <w:pPr>
        <w:pStyle w:val="TextoNormal"/>
      </w:pPr>
      <w:r>
        <w:lastRenderedPageBreak/>
        <w:t>En el suplico de su demanda, la actora solicita la estimación del recurso por vulneración de los derechos fundamentales invocados y la nulidad de la disposición general y de las resoluciones judiciales impugnadas.</w:t>
      </w:r>
    </w:p>
    <w:p w:rsidR="005728DD" w:rsidRDefault="005728DD" w:rsidP="005728DD">
      <w:pPr>
        <w:pStyle w:val="TextoNormal"/>
      </w:pPr>
    </w:p>
    <w:p w:rsidR="005728DD" w:rsidRDefault="005728DD" w:rsidP="005728DD">
      <w:pPr>
        <w:pStyle w:val="TextoNormal"/>
      </w:pPr>
      <w:r>
        <w:t>El Ministerio Fiscal solicita, también, la estimación del recurso y la anulación de los arts. 1.1 y 2 de la Orden 23/2016 y de las resoluciones judiciales impugnadas, si bien limita sus alegaciones a la apreciación de la denunciada vulneración del principio de igualdad ante la ley, sin que, a su criterio, merezca extender su argumentación al resto de vulneraciones de derechos fundamentales alegados.</w:t>
      </w:r>
    </w:p>
    <w:p w:rsidR="005728DD" w:rsidRDefault="005728DD" w:rsidP="005728DD">
      <w:pPr>
        <w:pStyle w:val="TextoNormal"/>
      </w:pPr>
    </w:p>
    <w:p w:rsidR="005728DD" w:rsidRDefault="005728DD" w:rsidP="005728DD">
      <w:pPr>
        <w:pStyle w:val="TextoNormal"/>
      </w:pPr>
      <w:r>
        <w:t>Por último, la representación de la Generalitat Valenciana solicita, por el contrario, la desestimación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objeto del recurso</w:t>
      </w:r>
      <w:r>
        <w:t>.</w:t>
      </w:r>
    </w:p>
    <w:p w:rsidR="005728DD" w:rsidRDefault="005728DD" w:rsidP="005728DD">
      <w:pPr>
        <w:pStyle w:val="TextoNormal"/>
      </w:pPr>
    </w:p>
    <w:p w:rsidR="005728DD" w:rsidRDefault="005728DD" w:rsidP="005728DD">
      <w:pPr>
        <w:pStyle w:val="TextoNormal"/>
      </w:pPr>
      <w:r>
        <w:t>A) Como ya hemos anticipado en el fundamento jurídico anterior, la demanda impugna, tanto actuaciones administrativas como resoluciones judiciales, por lo que, como bien dice el Ministerio Fiscal, tiene el carácter de recurso “mixto”. En tales situaciones, la doctrina de este tribunal (por todas, la STC 56/2019, de 6 de mayo, a cuyo fundamento jurídico 2 nos remitimos) ha declarado que el enjuiciamiento de este tipo de recursos debe atender, primeramente, al análisis de las quejas que conlleven la más amplia tutela de los derechos del recurrente y que supongan la mayor retroacción de las actuaciones, a lo que, además se une, en el caso presente, la lesión que ha reconocido especial trascendencia constitucional a este recurso de amparo, como es, en el caso de autos, la denunciada vulneración del principio de igualdad ante la ley que, según alega la universidad recurrente, es originaria y directamente imputable a la Orden 23/2016 de la Generalitat Valenciana. Según se explica en la demanda, sería esta disposición general la que ha excluido a la entidad recurrente, en cuanto universidad de titularidad privada que es, de la convocatoria de becas y ayudas al estudio universitario de postgrado que habría establecido la Generalitat valenciana, sin que haya sido aportada ninguna justificación razonable.</w:t>
      </w:r>
    </w:p>
    <w:p w:rsidR="005728DD" w:rsidRDefault="005728DD" w:rsidP="005728DD">
      <w:pPr>
        <w:pStyle w:val="TextoNormal"/>
      </w:pPr>
    </w:p>
    <w:p w:rsidR="005728DD" w:rsidRDefault="005728DD" w:rsidP="005728DD">
      <w:pPr>
        <w:pStyle w:val="TextoNormal"/>
      </w:pPr>
      <w:r>
        <w:t>En consecuencia, comenzaremos el enjuiciamiento de las pretensiones de amparo de la demanda por la de la invocada infracción del derecho a la igualdad ante la ley, que la actora imputa, primera y directamente, a la Orden 23/2016 de la Generalitat Valenciana en su conjunto.</w:t>
      </w:r>
    </w:p>
    <w:p w:rsidR="005728DD" w:rsidRDefault="005728DD" w:rsidP="005728DD">
      <w:pPr>
        <w:pStyle w:val="TextoNormal"/>
      </w:pPr>
    </w:p>
    <w:p w:rsidR="005728DD" w:rsidRDefault="005728DD" w:rsidP="005728DD">
      <w:pPr>
        <w:pStyle w:val="TextoNormal"/>
      </w:pPr>
      <w:r>
        <w:t xml:space="preserve">B) A lo anterior, debemos añadir que la pretensión principal de la demandante de amparo, relativa a la denunciada vulneración del principio de igualdad ante la ley, presenta singularidades propias que es preciso poner de manifiesto para delimitar correctamente el objeto de este recurso, toda vez que, a diferencia de otras disposiciones generales de la Generalitat valenciana sobre convocatorias de becas y ayudas al estudio, coetáneas a la ahora impugnada, la Orden 23/2016 [derogada por la posterior Orden 24/2017, de 21 de junio (“Diario Oficial de la Generalitat Valenciana” núm. 8069, del 23 de junio)] presenta las siguientes características propias: (i) se dirige a un determinado sector del alumnado universitario, concretamente a los estudiantes de postgrado que hayan finalizado, “con excelencia académica”, sus estudios superiores o de enseñanzas artísticas en universidades públicas o en centros de titularidad pública adscritos al Instituto Superior de Enseñanzas Artísticas de la </w:t>
      </w:r>
      <w:r>
        <w:lastRenderedPageBreak/>
        <w:t>Comunidad Valenciana y deseen cursar estudios de formación o másteres afines a los estudios ya realizados; y (ii) que la eventual desigualdad de tratamiento, causada por la titularidad pública o privada del centro universitario, habría que localizarla, no en la institución universitaria en la que el solicitante de la beca fuera a realizar dichos estudios de postgrado, sino en la universidad o centro universitario de procedencia, en donde cursó los anteriores que sean afines a los que desee realizar.</w:t>
      </w:r>
    </w:p>
    <w:p w:rsidR="005728DD" w:rsidRDefault="005728DD" w:rsidP="005728DD">
      <w:pPr>
        <w:pStyle w:val="TextoNormal"/>
      </w:pPr>
    </w:p>
    <w:p w:rsidR="005728DD" w:rsidRDefault="005728DD" w:rsidP="005728DD">
      <w:pPr>
        <w:pStyle w:val="TextoNormal"/>
      </w:pPr>
      <w:r>
        <w:t>Es decir, según prescriben los arts. 1, 2 y 4 de la Orden 23/2016, que son los que, respectivamente, delimitan los ámbitos objetivo y subjetivo de la convocatoria de ayudas al estudio que regula esta disposición, el posible factor discriminatorio de la titularidad pública o privada de la institución universitaria no tomaría como referencia el centro universitario de destino, en el que fuera a realizar sus estudios de postgrado el solicitante, sino en la universidad de procedencia, esto es en la que hubiera finalizado sus estudios universitarios afines a los de postgrado que ahora pretenda realizar el solicitante de la beca.</w:t>
      </w:r>
    </w:p>
    <w:p w:rsidR="005728DD" w:rsidRDefault="005728DD" w:rsidP="005728DD">
      <w:pPr>
        <w:pStyle w:val="TextoNormal"/>
      </w:pPr>
    </w:p>
    <w:p w:rsidR="005728DD" w:rsidRDefault="005728DD" w:rsidP="005728DD">
      <w:pPr>
        <w:pStyle w:val="TextoNormal"/>
      </w:pPr>
      <w:r>
        <w:t>Por tanto, para enjuiciar la queja que denuncia la Universidad San Vicente Mártir, debe tenerse en cuenta que, a la hora de otorgar las ayudas al estudio, esta orden no distingue entre universidades públicas o privadas en que vayan a realizarse los estudios de postgrado, pues este no es el presupuesto indispensable para su concesión al solicitante, sino que lo que se tiene en cuenta es si el postulante de la beca proviene de un centro universitario público o privado de la Comunidad Valenciana. El art. 3.1 de la Orden 23/2016 dispone, al respecto, que “[l]a beca consistirá en la exención del pago de matrícula en un curso de formación o máster, afín a los estudios realizados por el alumnado, impartido en instituciones públicas o privadas, nacionales o internacionales”.</w:t>
      </w:r>
    </w:p>
    <w:p w:rsidR="005728DD" w:rsidRDefault="005728DD" w:rsidP="005728DD">
      <w:pPr>
        <w:pStyle w:val="TextoNormal"/>
      </w:pPr>
    </w:p>
    <w:p w:rsidR="005728DD" w:rsidRDefault="005728DD" w:rsidP="005728DD">
      <w:pPr>
        <w:pStyle w:val="TextoNormal"/>
      </w:pPr>
      <w:r>
        <w:t xml:space="preserve">En consecuencia, deben ser rechazados </w:t>
      </w:r>
      <w:r w:rsidRPr="005728DD">
        <w:rPr>
          <w:i/>
        </w:rPr>
        <w:t>ab initio</w:t>
      </w:r>
      <w:r>
        <w:t xml:space="preserve"> todos aquellos argumentos que se sustenten en el denunciado tratamiento discriminatorio que pudiera padecer la Universidad San Vicente Mártir por haber quedado excluida de la relación de centros universitarios que fueran a impartir formación superior complementaria o másteres a futuros alumnos, solicitantes de becas y ayudas económicas, que desearan matricularse en sus programas formativos, pues en tales casos, si la institución universitaria de procedencia era de titularidad pública, la Orden 23/2016 no impediría que aquéllos pudieran matricularse en programas de postgrado de la universidad demandante.</w:t>
      </w:r>
    </w:p>
    <w:p w:rsidR="005728DD" w:rsidRDefault="005728DD" w:rsidP="005728DD">
      <w:pPr>
        <w:pStyle w:val="TextoNormal"/>
      </w:pPr>
    </w:p>
    <w:p w:rsidR="005728DD" w:rsidRDefault="005728DD" w:rsidP="005728DD">
      <w:pPr>
        <w:pStyle w:val="TextoNormal"/>
      </w:pPr>
      <w:r>
        <w:t>C) Finalmente, para completar esta delimitación del objeto del recurso, deben:</w:t>
      </w:r>
    </w:p>
    <w:p w:rsidR="005728DD" w:rsidRDefault="005728DD" w:rsidP="005728DD">
      <w:pPr>
        <w:pStyle w:val="TextoNormal"/>
      </w:pPr>
    </w:p>
    <w:p w:rsidR="005728DD" w:rsidRDefault="005728DD" w:rsidP="005728DD">
      <w:pPr>
        <w:pStyle w:val="TextoNormal"/>
      </w:pPr>
      <w:r>
        <w:t>a) En primer lugar, quedan incluidos aquellos preceptos de la Orden 23/2016 que hagan referencia a la titularidad pública de las universidades valencianas. Por tanto, la demanda alcanza a todos los que incluyan tal titularidad “pública” en sus contenidos. Tales son los casos del art. 6, que regula el “sistema de valoración” académica de los solicitantes de las becas, y del art. 7, que se refiere a la “Comisión técnica” que cada universidad debe constituir para comprobar la excelencia académica y la afinidad de los estudios de postgrado que los solicitantes de la beca se propongan realizar.</w:t>
      </w:r>
    </w:p>
    <w:p w:rsidR="005728DD" w:rsidRDefault="005728DD" w:rsidP="005728DD">
      <w:pPr>
        <w:pStyle w:val="TextoNormal"/>
      </w:pPr>
    </w:p>
    <w:p w:rsidR="005728DD" w:rsidRDefault="005728DD" w:rsidP="005728DD">
      <w:pPr>
        <w:pStyle w:val="TextoNormal"/>
      </w:pPr>
      <w:r>
        <w:t xml:space="preserve">b) Y, en segundo término, deben, en cambio, quedar excluidos, por falta de carga argumental específica de impugnación en la demanda, los preceptos de la Orden 23/2016 que regulen las convocatorias de becas que se refieran a solicitantes que hayan finalizado sus estudios de enseñanzas artísticas superiores en los centros de titularidad pública adscritos al </w:t>
      </w:r>
      <w:r>
        <w:lastRenderedPageBreak/>
        <w:t>Instituto Superior de Enseñanzas Artísticas de la Comunitat Valenciana, dado que este tipo de enseñanzas superiores posee una normativa propia (las enseñanzas artísticas superiores tienen su régimen jurídico específico, previsto en la Ley 8/2007, de 2 de marzo de la Comunidad Valenciana y en las normas reglamentarias de desarrollo), a las que no se ha referido la demanda para justificar una eventual discriminación de trato.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establecida por la STC 191/2020, de 17 de diciembre</w:t>
      </w:r>
      <w:r>
        <w:t>.</w:t>
      </w:r>
    </w:p>
    <w:p w:rsidR="005728DD" w:rsidRDefault="005728DD" w:rsidP="005728DD">
      <w:pPr>
        <w:pStyle w:val="TextoNormal"/>
      </w:pPr>
    </w:p>
    <w:p w:rsidR="005728DD" w:rsidRDefault="005728DD" w:rsidP="005728DD">
      <w:pPr>
        <w:pStyle w:val="TextoNormal"/>
      </w:pPr>
      <w:r>
        <w:t>A) Recientemente, el Pleno de este tribunal ha dictado la STC 191/2020, de 17 de diciembre, que ha resuelto el recurso de amparo núm. 5099-2018, promovido por la Universidad Católica de Valencia San Vicente Mártir, contra otra orden (la Orden 21/2016, de 10 de junio), de la Consellería de Educación, Investigación, Cultura y Deporte, de la Comunidad Autónoma Valenciana por la que, al igual que en el presente supuesto, se establecían las bases reguladoras para la concesión de las becas para la realización de estudios universitarios en las universidades de la Comunitat Valenciana. Igualmente, aquel recurso de amparo iba, como el presente, dirigido contra una sentencia (en aquel caso, la sentencia de 31 de mayo de 2017), dictada por la Sección Quinta de la Sala de lo Contencioso-Administrativo del Tribunal Superior de Justicia de la Comunidad Valenciana, en un procedimiento de protección de derechos fundamentales, así como contra dos providencias de la Sala de lo Contencioso-Administrativo del Tribunal Supremo, que, respectivamente, habían inadmitido a trámite el recurso de casación y el incidente de nulidad de actuaciones opuesto por la ahora demandante contra esta última.</w:t>
      </w:r>
    </w:p>
    <w:p w:rsidR="005728DD" w:rsidRDefault="005728DD" w:rsidP="005728DD">
      <w:pPr>
        <w:pStyle w:val="TextoNormal"/>
      </w:pPr>
    </w:p>
    <w:p w:rsidR="005728DD" w:rsidRDefault="005728DD" w:rsidP="005728DD">
      <w:pPr>
        <w:pStyle w:val="TextoNormal"/>
      </w:pPr>
      <w:r>
        <w:t>En el anterior recurso de amparo al igual que en el presente, la misma demandante invocaba la vulneración de sus derechos fundamentales, a la igualdad ante la ley, a la libertad religiosa y a la educación (arts. 14, 16 y 27 CE), que imputaba a la orden de la consellería de referencia, así como a las resoluciones judiciales sucesivas, que no habrían subsanado estas vulneraciones, incurriendo, además, en la infracción del derecho de la universidad recurrente a la tutela judicial efectiva (artículo 24.1 CE).</w:t>
      </w:r>
    </w:p>
    <w:p w:rsidR="005728DD" w:rsidRDefault="005728DD" w:rsidP="005728DD">
      <w:pPr>
        <w:pStyle w:val="TextoNormal"/>
      </w:pPr>
    </w:p>
    <w:p w:rsidR="005728DD" w:rsidRDefault="005728DD" w:rsidP="005728DD">
      <w:pPr>
        <w:pStyle w:val="TextoNormal"/>
      </w:pPr>
      <w:r>
        <w:t>En consecuencia y para la resolución de este recurso de amparo, será de aplicación lo declarado y dispuesto en la anterior sentencia del Pleno de este tribunal.</w:t>
      </w:r>
    </w:p>
    <w:p w:rsidR="005728DD" w:rsidRDefault="005728DD" w:rsidP="005728DD">
      <w:pPr>
        <w:pStyle w:val="TextoNormal"/>
      </w:pPr>
    </w:p>
    <w:p w:rsidR="005728DD" w:rsidRDefault="005728DD" w:rsidP="005728DD">
      <w:pPr>
        <w:pStyle w:val="TextoNormal"/>
      </w:pPr>
      <w:r>
        <w:t>B) A semejanza del precedente citado, se suscitan una serie de cuestiones previas que la STC 191/2020, de 17 de diciembre, ha resuelto:</w:t>
      </w:r>
    </w:p>
    <w:p w:rsidR="005728DD" w:rsidRDefault="005728DD" w:rsidP="005728DD">
      <w:pPr>
        <w:pStyle w:val="TextoNormal"/>
      </w:pPr>
    </w:p>
    <w:p w:rsidR="005728DD" w:rsidRDefault="005728DD" w:rsidP="005728DD">
      <w:pPr>
        <w:pStyle w:val="TextoNormal"/>
      </w:pPr>
      <w:r>
        <w:t xml:space="preserve">a) En primer lugar, por lo que atañe a la legitimación </w:t>
      </w:r>
      <w:r w:rsidRPr="005728DD">
        <w:rPr>
          <w:i/>
        </w:rPr>
        <w:t>ad causam</w:t>
      </w:r>
      <w:r>
        <w:t>, aceptada por el Ministerio Fiscal pero objetada por la letrada de la comunidad autónoma, debemos ahora reconocerla a la recurrente, como así lo ha hecho este tribunal en la STC 191/2020.</w:t>
      </w:r>
    </w:p>
    <w:p w:rsidR="005728DD" w:rsidRDefault="005728DD" w:rsidP="005728DD">
      <w:pPr>
        <w:pStyle w:val="TextoNormal"/>
      </w:pPr>
    </w:p>
    <w:p w:rsidR="005728DD" w:rsidRDefault="005728DD" w:rsidP="005728DD">
      <w:pPr>
        <w:pStyle w:val="TextoNormal"/>
      </w:pPr>
      <w:r>
        <w:t>El tribunal ha declarado:</w:t>
      </w:r>
    </w:p>
    <w:p w:rsidR="005728DD" w:rsidRDefault="005728DD" w:rsidP="005728DD">
      <w:pPr>
        <w:pStyle w:val="TextoNormal"/>
      </w:pPr>
    </w:p>
    <w:p w:rsidR="005728DD" w:rsidRDefault="005728DD" w:rsidP="005728DD">
      <w:pPr>
        <w:pStyle w:val="TextoNormal"/>
      </w:pPr>
      <w:r>
        <w:t xml:space="preserve">“Es cierto que el objeto de la orden es el de establecer las bases por las que han de regirse las convocatorias de becas para la realización de estudios universitarios en las universidades que integran el sistema universitario valenciano, y que los destinatarios de las becas son los alumnos, no las universidades. Pero ello no nos puede llevar a la conclusión de que, como afirma el letrado de la Generalitat, la universidad no es titular de los derechos alegados. Si bien los destinatarios de las becas son los alumnos, se produce la exclusión, en la orden, </w:t>
      </w:r>
      <w:r>
        <w:lastRenderedPageBreak/>
        <w:t>tanto de los estudiantes como de los estudios de las universidades privadas, y no son sino estudiantes y estudios los que conforman dicha universidad. La desigualdad, justificada o no, se refiere en última instancia a la universidad privada, creada conforme al artículo 27.6 CE. Atendiendo a la queja de la vulneración del artículo 14 CE ha de tenerse en cuenta que la causa de la exclusión del sistema de becas radica en este caso concreto en que estudios y estudiantes lo sea exclusivamente, de la universidad privada.</w:t>
      </w:r>
    </w:p>
    <w:p w:rsidR="005728DD" w:rsidRDefault="005728DD" w:rsidP="005728DD">
      <w:pPr>
        <w:pStyle w:val="TextoNormal"/>
      </w:pPr>
    </w:p>
    <w:p w:rsidR="005728DD" w:rsidRDefault="005728DD" w:rsidP="005728DD">
      <w:pPr>
        <w:pStyle w:val="TextoNormal"/>
      </w:pPr>
      <w:r>
        <w:t>En definitiva, la exclusión de los estudiantes de las universidades privadas del régimen de becas previsto en la orden concierne, tanto al derecho del titular de la universidad a crear instituciones educativas (artículo 27.6 CE), como al de los estudiantes matriculados en dicha universidad (artículo 27.5 CE). Naturalmente, en este proceso corresponde determinar únicamente si el primero ha sido vulnerado; sin perder de vista que ambos están en ‘interacción’ (en un sentido similar, STC 74/2018, de 5 de julio, FJ 5, en un recurso de amparo en que recurre una asociación de padres las ayudas destinadas a un centro docente)” [fundamento jurídico 2 a)].</w:t>
      </w:r>
    </w:p>
    <w:p w:rsidR="005728DD" w:rsidRDefault="005728DD" w:rsidP="005728DD">
      <w:pPr>
        <w:pStyle w:val="TextoNormal"/>
      </w:pPr>
    </w:p>
    <w:p w:rsidR="005728DD" w:rsidRDefault="005728DD" w:rsidP="005728DD">
      <w:pPr>
        <w:pStyle w:val="TextoNormal"/>
      </w:pPr>
      <w:r>
        <w:t>En el caso de autos, como bien dice el Ministerio Fiscal, la universidad demandante tiene un interés legítimo propio, conectado con los derechos fundamentales que invoca, no tanto ya por el efecto desalentador que, para los estudiantes pueda suponer la imposibilidad de obtener una beca para cursar estudios de postgrado en aquella, al ser rechazado únicamente por la razón de haber realizado los estudios precedentes en una universidad privada, sino porque, además, la propia universidad recurrente queda excluida de una vía de financiación de sus actividades, como es la procedente de las ayudas económicas que reciban sus posibles alumnos para sufragar sus estudios. En el caso de autos, la beca eventualmente concedida permitiría cubrir el total importe de la matrícula de postgrado que fuera a cursar el alumno en la universidad “San Vicente Mártir”, toda vez que la citada beca consiste “en la exención del pago de matrícula en un curso de formación o máster, afín a los estudios realizados por el alumno […]” (art. 3.1 de la Orden 23/2016).</w:t>
      </w:r>
    </w:p>
    <w:p w:rsidR="005728DD" w:rsidRDefault="005728DD" w:rsidP="005728DD">
      <w:pPr>
        <w:pStyle w:val="TextoNormal"/>
      </w:pPr>
    </w:p>
    <w:p w:rsidR="005728DD" w:rsidRDefault="005728DD" w:rsidP="005728DD">
      <w:pPr>
        <w:pStyle w:val="TextoNormal"/>
      </w:pPr>
      <w:r>
        <w:t>b) Una segunda cuestión previa, a la que, también se han referido el Ministerio Fiscal y la letrada de la comunidad autónoma en sus respectivas alegaciones, es la posibilidad de que, por la vía del recurso de amparo, pueda ser impugnada directamente una disposición general como es la Orden 23/2016.</w:t>
      </w:r>
    </w:p>
    <w:p w:rsidR="005728DD" w:rsidRDefault="005728DD" w:rsidP="005728DD">
      <w:pPr>
        <w:pStyle w:val="TextoNormal"/>
      </w:pPr>
    </w:p>
    <w:p w:rsidR="005728DD" w:rsidRDefault="005728DD" w:rsidP="005728DD">
      <w:pPr>
        <w:pStyle w:val="TextoNormal"/>
      </w:pPr>
      <w:r>
        <w:t>La STC 191/2020, de reiterada cita, ha declarado al respecto:</w:t>
      </w:r>
    </w:p>
    <w:p w:rsidR="005728DD" w:rsidRDefault="005728DD" w:rsidP="005728DD">
      <w:pPr>
        <w:pStyle w:val="TextoNormal"/>
      </w:pPr>
    </w:p>
    <w:p w:rsidR="005728DD" w:rsidRDefault="005728DD" w:rsidP="005728DD">
      <w:pPr>
        <w:pStyle w:val="TextoNormal"/>
      </w:pPr>
      <w:r>
        <w:t xml:space="preserve">“En relación con la posibilidad de impugnar directamente en amparo una disposición de carácter general debe afirmarse, de acuerdo con lo manifestado por el Ministerio Fiscal, que en casos como el que ahora se analiza, este tribunal ha admitido esta impugnación directa. Ya en la STC 9/1986, de 21 de enero, FJ 1, a la vista de la impugnación en amparo de una disposición de carácter general, dijimos que ‘la índole simplemente impeditiva de la disposición atacada permite imputarle directamente, sin necesidad de acto alguno de aplicación, la lesión que se pretende haber sufrido’. Este criterio se ha reiterado posteriormente, por ejemplo, en la STC 121/1997, de 1 de julio, FJ 5, donde afirmamos que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w:t>
      </w:r>
      <w:r>
        <w:lastRenderedPageBreak/>
        <w:t>directa pueda violar un derecho fundamental... lo que, en definitiva, posibilita y obliga al enjuiciamiento de la norma en cuestión desde la señalada perspectiva constitucional’. Criterio reiterado en la STC 57/2004, de 19 de abril, FJ 2” [fundamento jurídico 2 b)].</w:t>
      </w:r>
    </w:p>
    <w:p w:rsidR="005728DD" w:rsidRDefault="005728DD" w:rsidP="005728DD">
      <w:pPr>
        <w:pStyle w:val="TextoNormal"/>
      </w:pPr>
    </w:p>
    <w:p w:rsidR="005728DD" w:rsidRDefault="005728DD" w:rsidP="005728DD">
      <w:pPr>
        <w:pStyle w:val="TextoNormal"/>
      </w:pPr>
      <w:r>
        <w:t>Al igual que en el precedente citado, la exclusión de los estudiantes de postgrado, que aspiren a la obtención de las becas a la que se refiere la Orden 23/2016, deriva directamente de la propia disposición general de referencia, toda vez que son los arts. 2 a) y 4.1 a) de aquella, relativos al régimen jurídico de los beneficiarios de las mismas, los que disponen aquella exclusión, toda vez que, si bien en el caso de autos, la orden no impide el disfrute de la misma a la hora de cursar aquellos estudios en la universidad recurrente como en cualquiera otra, en los términos que hemos destacado en el fundamento jurídico 2 B) de esta sentencia, sí excluye del acceso a las mismas a los estudiantes que hayan cursado sus estudios anteriores en un centro universitario que no pertenezca a alguna de las universidades públicas o centros de titularidad pública de la Comunitat Valenciana.</w:t>
      </w:r>
    </w:p>
    <w:p w:rsidR="005728DD" w:rsidRDefault="005728DD" w:rsidP="005728DD">
      <w:pPr>
        <w:pStyle w:val="TextoNormal"/>
      </w:pPr>
    </w:p>
    <w:p w:rsidR="005728DD" w:rsidRDefault="005728DD" w:rsidP="005728DD">
      <w:pPr>
        <w:pStyle w:val="TextoNormal"/>
      </w:pPr>
      <w:r>
        <w:t>C) Como en la STC 191/2020, la demanda de amparo alega, entre las razones esgrimidas para fundamentar el recurso de amparo y para sustentar la vulneración de los artículos 14 y 27 CE, que la universidad creada de acuerdo con el artículo 27.6 CE lo ha sido en régimen de igualdad conforme a la legislación vigente y que la orden establece una desigualdad de trato contraria a lo dispuesto en la legislación básica.</w:t>
      </w:r>
    </w:p>
    <w:p w:rsidR="005728DD" w:rsidRDefault="005728DD" w:rsidP="005728DD">
      <w:pPr>
        <w:pStyle w:val="TextoNormal"/>
      </w:pPr>
    </w:p>
    <w:p w:rsidR="005728DD" w:rsidRDefault="005728DD" w:rsidP="005728DD">
      <w:pPr>
        <w:pStyle w:val="TextoNormal"/>
      </w:pPr>
      <w:r>
        <w:t>Por ello, es de aplicación al presente recurso la doctrina establecida en la citada STC 191/2020, que, en síntesis, reproducimos a continuación:</w:t>
      </w:r>
    </w:p>
    <w:p w:rsidR="005728DD" w:rsidRDefault="005728DD" w:rsidP="005728DD">
      <w:pPr>
        <w:pStyle w:val="TextoNormal"/>
      </w:pPr>
    </w:p>
    <w:p w:rsidR="005728DD" w:rsidRDefault="005728DD" w:rsidP="005728DD">
      <w:pPr>
        <w:pStyle w:val="TextoNormal"/>
      </w:pPr>
      <w:r>
        <w:t>a) La vulneración alegada del art. 14 CE se refiere a una concreta regulación del sistema de becas y ayudas para la realización de estudios universitarios, de tal manera que “habremos de examinar si, como consecuencia de dicha medida normativa, se ha introducido una diferencia de trato entre las universidades públicas y privadas; si las situaciones que se traen a comparación en el presente recurso de amparo pueden considerarse iguales y, en caso de que así sea, debemos examinar las razones alegadas por la administración para justificar la diferencia de trato y determinar si impiden apreciar la vulneración del citado precepto constitucional (en este sentido, STC 5/2007, de 15 de enero, FJ 3). Además, para atender a la justificación de la diferenciación, hemos de tener en cuenta su proyección en el derecho a la educación” (STC 191/2020, FJ 5).</w:t>
      </w:r>
    </w:p>
    <w:p w:rsidR="005728DD" w:rsidRDefault="005728DD" w:rsidP="005728DD">
      <w:pPr>
        <w:pStyle w:val="TextoNormal"/>
      </w:pPr>
    </w:p>
    <w:p w:rsidR="005728DD" w:rsidRDefault="005728DD" w:rsidP="005728DD">
      <w:pPr>
        <w:pStyle w:val="TextoNormal"/>
      </w:pPr>
      <w:r>
        <w:t>Pues bien, en relación con este aspecto, la demanda, a pesar de ir dirigida contra la totalidad de la Orden 23/2016, centra, principalmente, el objeto de su impugnación en los arts. 1, 2 a) y 4.1 a) de aquella, que son los que establecen, de una parte el “objeto y financiación” de las becas de postgrado que vayan a ser objeto de sucesivas convocatorias para su concesión; y, de otro lado, las “personas beneficiarias” y los “requisitos de las personas beneficiarias” de las mismas, limitando, de modo exclusivo, la concesión de dichas ayudas económicas al estudio a favor de los alumnos que procedan de centros universitarios dependientes de universidades públicas de la Comunitat Valenciana.</w:t>
      </w:r>
    </w:p>
    <w:p w:rsidR="005728DD" w:rsidRDefault="005728DD" w:rsidP="005728DD">
      <w:pPr>
        <w:pStyle w:val="TextoNormal"/>
      </w:pPr>
    </w:p>
    <w:p w:rsidR="005728DD" w:rsidRDefault="005728DD" w:rsidP="005728DD">
      <w:pPr>
        <w:pStyle w:val="TextoNormal"/>
      </w:pPr>
      <w:r>
        <w:t>Igualmente, como hemos anticipado, la impugnación, por discriminatoria, afecta a los preceptos de la Orden 23/2016, que aludan a la titularidad “pública” de las universidades que se hace en los arts. 6.1 (sistema de valoración) y 7 (comisión técnica) de la Orden 23/2016.</w:t>
      </w:r>
    </w:p>
    <w:p w:rsidR="005728DD" w:rsidRDefault="005728DD" w:rsidP="005728DD">
      <w:pPr>
        <w:pStyle w:val="TextoNormal"/>
      </w:pPr>
    </w:p>
    <w:p w:rsidR="005728DD" w:rsidRDefault="005728DD" w:rsidP="005728DD">
      <w:pPr>
        <w:pStyle w:val="TextoNormal"/>
      </w:pPr>
      <w:r>
        <w:t xml:space="preserve">De la aplicación de aquellos apartados se deriva, pues, que los únicos beneficiarios de dicho sistema son los alumnos que, previamente, hayan cursado sus estudios universitarios afines a los de postgrado en centros universitarios de titularidad pública o adscritos a las universidades públicas de la Comunidad Valenciana, quedando excluidos, a </w:t>
      </w:r>
      <w:r w:rsidRPr="005728DD">
        <w:rPr>
          <w:i/>
        </w:rPr>
        <w:t>sensu contrario</w:t>
      </w:r>
      <w:r>
        <w:t>, los que hayan cursado tales estudios previos en universidades privadas.</w:t>
      </w:r>
    </w:p>
    <w:p w:rsidR="005728DD" w:rsidRDefault="005728DD" w:rsidP="005728DD">
      <w:pPr>
        <w:pStyle w:val="TextoNormal"/>
      </w:pPr>
    </w:p>
    <w:p w:rsidR="005728DD" w:rsidRDefault="005728DD" w:rsidP="005728DD">
      <w:pPr>
        <w:pStyle w:val="TextoNormal"/>
      </w:pPr>
      <w:r>
        <w:t>b) “Afirmada, [por tanto] la diferencia de trato entre las universidades públicas y privadas, por la exclusión de las becas reguladas en la orden de los alumnos y de las enseñanzas de las universidades privadas, en este caso concreto, hay un término de comparación válido, tal y como aduce el Ministerio Fiscal” [STC 191/2020, FJ 5 b)].</w:t>
      </w:r>
    </w:p>
    <w:p w:rsidR="005728DD" w:rsidRDefault="005728DD" w:rsidP="005728DD">
      <w:pPr>
        <w:pStyle w:val="TextoNormal"/>
      </w:pPr>
    </w:p>
    <w:p w:rsidR="005728DD" w:rsidRDefault="005728DD" w:rsidP="005728DD">
      <w:pPr>
        <w:pStyle w:val="TextoNormal"/>
      </w:pPr>
      <w:r>
        <w:t>Varias son las razones que, según la repetida STC 191/2020, sirven de fundamento a este término de comparación válido:</w:t>
      </w:r>
    </w:p>
    <w:p w:rsidR="005728DD" w:rsidRDefault="005728DD" w:rsidP="005728DD">
      <w:pPr>
        <w:pStyle w:val="TextoNormal"/>
      </w:pPr>
    </w:p>
    <w:p w:rsidR="005728DD" w:rsidRDefault="005728DD" w:rsidP="005728DD">
      <w:pPr>
        <w:pStyle w:val="TextoNormal"/>
      </w:pPr>
      <w:r>
        <w:t>(i) «En primer lugar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(artículo 1.1 LOU). Por su parte, el artículo 2 de la Ley 4/2007, de 9 de febrero, de coordinación del sistema universitario valenciano, determina que éste está formado por las universidades de titularidad pública y las de titularidad privada, entre las que se encuentra la Universidad Católica de Valencia San Vicente Mártir [artículo 2.1.b) de la ley], ahora recurrente en amparo.</w:t>
      </w:r>
    </w:p>
    <w:p w:rsidR="005728DD" w:rsidRDefault="005728DD" w:rsidP="005728DD">
      <w:pPr>
        <w:pStyle w:val="TextoNormal"/>
      </w:pPr>
    </w:p>
    <w:p w:rsidR="005728DD" w:rsidRDefault="005728DD" w:rsidP="005728DD">
      <w:pPr>
        <w:pStyle w:val="TextoNormal"/>
      </w:pPr>
      <w:r>
        <w:t>Al respecto, este tribunal ha afirmado que “todas las universidades sin distinción, también por tanto las de titularidad privada (artículo 3.2 LOU), realizan un ‘servicio público de educación superior’ a través de las funciones que les asigna la Ley Orgánica de Universidades en su artículo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artículo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(artículo 4.4 LOU)’” (entre otras, SSTC 176/2015, de 22 de julio, FJ 2, y 74/2019, de 22 de mayo, FJ 4).</w:t>
      </w:r>
    </w:p>
    <w:p w:rsidR="005728DD" w:rsidRDefault="005728DD" w:rsidP="005728DD">
      <w:pPr>
        <w:pStyle w:val="TextoNormal"/>
      </w:pPr>
    </w:p>
    <w:p w:rsidR="005728DD" w:rsidRDefault="005728DD" w:rsidP="005728DD">
      <w:pPr>
        <w:pStyle w:val="TextoNormal"/>
      </w:pPr>
      <w:r>
        <w:t xml:space="preserve">A ello ha de añadirse, como indica el Ministerio Fiscal, que las universidades públicas y privadas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(Real Decreto 1393/2007, de 29 de octubre, por el que se establece la ordenación de las enseñanzas universitarias oficiales); y el acceso a las universidades, tanto públicas como privadas, tiene una base común (Real </w:t>
      </w:r>
      <w:r>
        <w:lastRenderedPageBreak/>
        <w:t>Decreto 412/2014, de 6 de junio, por el que se establece la normativa básica de los procedimientos de admisión a las enseñanzas universitarias oficiales de grado)» [fundamento jurídico 5 b)].</w:t>
      </w:r>
    </w:p>
    <w:p w:rsidR="005728DD" w:rsidRDefault="005728DD" w:rsidP="005728DD">
      <w:pPr>
        <w:pStyle w:val="TextoNormal"/>
      </w:pPr>
    </w:p>
    <w:p w:rsidR="005728DD" w:rsidRDefault="005728DD" w:rsidP="005728DD">
      <w:pPr>
        <w:pStyle w:val="TextoNormal"/>
      </w:pPr>
      <w:r>
        <w:t>(ii) La legislación orgánica, a la hora de configurar las becas y ayudas al estudio (artículo 45 LOU) no ha establecido distinción entre los alumnos matriculados en las universidades públicas y privadas ni en relación con las enseñanzas que imparten las mismas.</w:t>
      </w:r>
    </w:p>
    <w:p w:rsidR="005728DD" w:rsidRDefault="005728DD" w:rsidP="005728DD">
      <w:pPr>
        <w:pStyle w:val="TextoNormal"/>
      </w:pPr>
    </w:p>
    <w:p w:rsidR="005728DD" w:rsidRDefault="005728DD" w:rsidP="005728DD">
      <w:pPr>
        <w:pStyle w:val="TextoNormal"/>
      </w:pPr>
      <w:r>
        <w:t>Así, se dispone que el objetivo del sistema general de becas y ayudas al estudio es garantizar las condiciones de igualdad en el ejercicio del derecho a la educación (artículo 45.1 LOU); y que el desarrollo de dicho sistema corresponde a las comunidades autónomas (artículo 45.2 LOU). Además, en el apartado 4 del artículo 45 LOU se determina, sin distinción entre los estudios en las universidades públicas y privadas, que, con objeto de que nadie quede excluido del estudio en la universidad por razones económicas, el Gobierno y las comunidades autónomas, así como las propias universidades, instrumentarán una política de becas, ayudas y créditos para el alumnado” [fundamento jurídico 5 b)].</w:t>
      </w:r>
    </w:p>
    <w:p w:rsidR="005728DD" w:rsidRDefault="005728DD" w:rsidP="005728DD">
      <w:pPr>
        <w:pStyle w:val="TextoNormal"/>
      </w:pPr>
    </w:p>
    <w:p w:rsidR="005728DD" w:rsidRDefault="005728DD" w:rsidP="005728DD">
      <w:pPr>
        <w:pStyle w:val="TextoNormal"/>
      </w:pPr>
      <w:r>
        <w:t>(iii) Tampoco, en la regulación del sistema de becas establecido por la normativa de la Comunitat Valenciana “se establece esta distinción entre universidades públicas y privadas […] El preámbulo del Decreto 88/2006, de 16 de junio, por el que se modifica el Decreto 40/2002, de medidas de apoyo a los estudiantes universitarios en la Comunitat Valenciana, señala como fin del mismo adecuar la tradicional convocatoria de becas para la realización de estudios universitarios, permitiendo a los alumnos que cursan sus estudios en las universidades privadas de la Comunitat Valenciana beneficiarse de la cuantía equivalente al importe de la actividad docente de la tasa o precio público por servicios académicos universitarios, previéndose, entre las ayudas que establece el artículo 2, las ayudas de matrícula en universidades privadas; y, como uno de los requisitos de las ayudas el de “cursar estudios conducentes a la obtención de títulos oficiales en universidades o centros adscritos a universidades públicas, competencia de la Generalitat”, sin diferenciar entre universidades públicas y privadas, regulación que se mantuvo tras la última modificación realizada por el Decreto 180/2016, de 2 de diciembre” [fundamento jurídico 5 b)].</w:t>
      </w:r>
    </w:p>
    <w:p w:rsidR="005728DD" w:rsidRDefault="005728DD" w:rsidP="005728DD">
      <w:pPr>
        <w:pStyle w:val="TextoNormal"/>
      </w:pPr>
    </w:p>
    <w:p w:rsidR="005728DD" w:rsidRDefault="005728DD" w:rsidP="005728DD">
      <w:pPr>
        <w:pStyle w:val="TextoNormal"/>
      </w:pPr>
      <w:r>
        <w:t>c) En cuanto a la justificación del trato dispar, ni del tenor de la disposición objeto del presente recurso, ni de la exposición de motivos de la misma es posible encontrar una finalidad que justifique el establecimiento del tratamiento diferenciado al que se ha hecho referencia entre las universidades públicas y las universidades privadas. En el preámbulo de esta disposición general únicamente se menciona “el carácter de subvención” de las becas, cuyas bases se establecen en la misma y se hace referencia a la normativa, tanto estatal como autonómica, relativa al régimen jurídico de las subvenciones, pero no se aporta ninguna justificación específica del trato discriminatorio deparado a los alumnos que hayan cursado estudios precedentes en universidades privadas y pretendan continuarlos en otros centros universitarios sirviéndose de las ayudas económicas que la Orden 23/2016 prevé.</w:t>
      </w:r>
    </w:p>
    <w:p w:rsidR="005728DD" w:rsidRDefault="005728DD" w:rsidP="005728DD">
      <w:pPr>
        <w:pStyle w:val="TextoNormal"/>
      </w:pPr>
    </w:p>
    <w:p w:rsidR="005728DD" w:rsidRDefault="005728DD" w:rsidP="005728DD">
      <w:pPr>
        <w:pStyle w:val="TextoNormal"/>
      </w:pPr>
      <w:r>
        <w:t>Tampoco, en las alegaciones ofrecidas por los servicios jurídicos de la Comunitat Valenciana se justifica tal trato discriminatorio. En este sentido, la letrada de la Comunitat se limita a reproducir los que ya destacó en el recurso de amparo interpuesto contra la Orden 21/2016, que hemos recogido con detalle en los antecedentes y que fueron, también, rechazados por la STC 191/2020, al declarar:</w:t>
      </w:r>
    </w:p>
    <w:p w:rsidR="005728DD" w:rsidRDefault="005728DD" w:rsidP="005728DD">
      <w:pPr>
        <w:pStyle w:val="TextoNormal"/>
      </w:pPr>
    </w:p>
    <w:p w:rsidR="005728DD" w:rsidRDefault="005728DD" w:rsidP="005728DD">
      <w:pPr>
        <w:pStyle w:val="TextoNormal"/>
      </w:pPr>
      <w:r>
        <w:t>“[A]unque se pudiera considerar, tal y como alega el representante de la Generalitat, que las comunidades autónomas puedan establecer otras modalidades de ayudas con cargo a su presupuesto, no pueden hacerlo distinguiendo sin justificación y al margen de la legislación vigente, que no diferencia entre universidades públicas y privadas. El tribunal ha entendido que el poder de gastar no es un título atributivo de competencias (STC 13/1992, de 6 de febrero, FJ 5) sino que el poder de gastar y subvencionar va unido a la competencia de la materia sobre la que se incide, esto es, que la subvención no es concepto que delimite competencias, atrayendo toda regulación que, desde uno u otro aspecto, tenga conexión con aquélla (STC 38/1992, de 30 de junio, FJ 5). De esta manera, y conforme al régimen de distribución de competencias en materia de educación (entre otras STC 188/2001, 20 de septiembre), el sistema de ayudas que establezca la comunidad autónoma no puede desconocer lo dispuesto por el legislador estatal, y en concreto el mandato de igualdad en las ayudas. Al respecto, afirmó este tribunal que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188/2001, de 20 de septiembre, FJ 4). Tampoco puede la Orden 21/2016 contener una diferencia entre los estudios de las universidades públicas y privadas donde el legislador estatal, al establecer el derecho a la becas, no establece dicha diferencia” [fundamento jurídico 5 c)].</w:t>
      </w:r>
    </w:p>
    <w:p w:rsidR="005728DD" w:rsidRDefault="005728DD" w:rsidP="005728DD">
      <w:pPr>
        <w:pStyle w:val="TextoNormal"/>
      </w:pPr>
    </w:p>
    <w:p w:rsidR="005728DD" w:rsidRDefault="005728DD" w:rsidP="005728DD">
      <w:pPr>
        <w:pStyle w:val="TextoNormal"/>
      </w:pPr>
      <w:r>
        <w:t>“[L]a orden valenciana no se acomoda ni a la Ley de la Comunidad Autónoma 4/2007, de 9 de febrero, que no establece diferencias entre las universidades públicas y privadas en cuanto a que todas forman parte del sistema universitario valenciano, ni tampoco, al propio Decreto 40/2002, que estableció el sistema de becas y ayudas en esta comunidad autónoma y que incluye, como se puso de relieve anteriormente, a las universidades privadas en dicho sistema y ‘no puede el reglamento excluir del goce de un derecho a aquellos a quienes la ley no excluyó. El juicio sobre la licitud constitucional de las diferencias establecidas por una norma reglamentaria requiere así, necesariamente, y sólo desde esta perspectiva, un juicio de legalidad’ (STC 209/1987, de 22 de diciembre, FJ 3)” [fundamento jurídico 5 c)].</w:t>
      </w:r>
    </w:p>
    <w:p w:rsidR="005728DD" w:rsidRDefault="005728DD" w:rsidP="005728DD">
      <w:pPr>
        <w:pStyle w:val="TextoNormal"/>
      </w:pPr>
    </w:p>
    <w:p w:rsidR="005728DD" w:rsidRDefault="005728DD" w:rsidP="005728DD">
      <w:pPr>
        <w:pStyle w:val="TextoNormal"/>
      </w:pPr>
      <w:r>
        <w:t>El resto de las razones aducidas tampoco pueden sustentar la diferencia de trato. Los requisitos de mérito y capacidad para aspirar a las becas están ya previstos en el art. 6.1 de la Orden, así como en las normas que desarrollan el artículo 27.5 CE, sin que por lo tanto pueda justificar una diferencia de trato entre las universidades públicas y privadas.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Alcance del amparo</w:t>
      </w:r>
      <w:r>
        <w:t>.</w:t>
      </w:r>
    </w:p>
    <w:p w:rsidR="005728DD" w:rsidRDefault="005728DD" w:rsidP="005728DD">
      <w:pPr>
        <w:pStyle w:val="TextoNormal"/>
      </w:pPr>
    </w:p>
    <w:p w:rsidR="005728DD" w:rsidRDefault="005728DD" w:rsidP="005728DD">
      <w:pPr>
        <w:pStyle w:val="TextoNormal"/>
      </w:pPr>
      <w:r>
        <w:t>Al igual que lo declarado en la STC 191/2020, procede estimar el recurso de amparo, toda vez que el régimen de becas establecido en la Orden 23/2016 “introduce una diferencia entre las universidades del sistema universitario valenciano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w:t>
      </w:r>
      <w:r>
        <w:lastRenderedPageBreak/>
        <w:t>ciones educativas (artículo 27.6 CE) como al derecho de los estudiantes a la educación (artículo 27.1 CE; en un sentido similar, STC 74/2018, de 5 de julio, FJ 5), teniendo en cuenta la relación existente entre los mismos, pues no pueden entenderse los derechos educativos de los estudiantes sin la referencia a las instituciones educativas en las que cursan sus estudios, ni los derechos educativos de las instituciones educativas, en este caso, de la universidad, sin atender a los estudiantes que conforman la comunidad universitaria” (fundamento jurídico 6).</w:t>
      </w:r>
    </w:p>
    <w:p w:rsidR="005728DD" w:rsidRDefault="005728DD" w:rsidP="005728DD">
      <w:pPr>
        <w:pStyle w:val="TextoNormal"/>
      </w:pPr>
    </w:p>
    <w:p w:rsidR="005728DD" w:rsidRDefault="005728DD" w:rsidP="005728DD">
      <w:pPr>
        <w:pStyle w:val="TextoNormal"/>
      </w:pPr>
      <w:r>
        <w:t>Los derechos fundamentales de la recurrente, reconocidos en los arts. 14 y 27 CE, quedarán restablecidos con la declaración de nulidad del término “públicas” incluido en los arts. 1.1, 2 a), 4.1 a), 6.1 y 7 de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w:t>
      </w:r>
    </w:p>
    <w:p w:rsidR="005728DD" w:rsidRDefault="005728DD" w:rsidP="005728DD">
      <w:pPr>
        <w:pStyle w:val="TextoNormal"/>
      </w:pPr>
    </w:p>
    <w:p w:rsidR="005728DD" w:rsidRDefault="005728DD" w:rsidP="005728DD">
      <w:pPr>
        <w:pStyle w:val="TextoNormal"/>
      </w:pPr>
      <w:r>
        <w:t>“Por último,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 (STC 191/2020, FJ 6).</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5728DD" w:rsidRDefault="005728DD" w:rsidP="005728DD">
      <w:pPr>
        <w:pStyle w:val="TextoNormal"/>
      </w:pPr>
    </w:p>
    <w:p w:rsidR="005728DD" w:rsidRDefault="005728DD" w:rsidP="005728DD">
      <w:pPr>
        <w:pStyle w:val="TextoNormal"/>
      </w:pPr>
      <w:r>
        <w:t>1º Declarar que ha sido vulnerado su derecho fundamental a la igualdad (artículo 14 CE), en relación con su derecho fundamental a la creación de centros docentes (apartado 6 del artículo 27 CE).</w:t>
      </w:r>
    </w:p>
    <w:p w:rsidR="005728DD" w:rsidRDefault="005728DD" w:rsidP="005728DD">
      <w:pPr>
        <w:pStyle w:val="TextoNormal"/>
      </w:pPr>
    </w:p>
    <w:p w:rsidR="005728DD" w:rsidRDefault="005728DD" w:rsidP="005728DD">
      <w:pPr>
        <w:pStyle w:val="TextoNormal"/>
      </w:pPr>
      <w:r>
        <w:t>2º Restablecerla en sus derechos y, en consecuencia, declarar la nulidad del término “públicas”, incluido en los arts. 1.1, 2 a), 4.1 a), 6.1 y 7 de la Orden 23/2016, de 10 de junio, de la Consellería de Educación, Investigación, Cultura y Deporte de la Generalitat Valenciana, “por la que se establecen las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 (ISEACV)”.</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rsidP="005728DD">
      <w:pPr>
        <w:pStyle w:val="ParrafoNormal"/>
      </w:pPr>
    </w:p>
    <w:p w:rsidR="005728DD" w:rsidRDefault="005728DD" w:rsidP="005728DD">
      <w:pPr>
        <w:pStyle w:val="TextoNormalNegritaCentrado"/>
        <w:keepNext/>
      </w:pPr>
      <w:r>
        <w:lastRenderedPageBreak/>
        <w:t>Voto particular que formula el magistrado don Juan Antonio Xiol Ríos a la sentencia dictada en el recurso de amparo número 6379-2018</w:t>
      </w:r>
    </w:p>
    <w:p w:rsidR="005728DD" w:rsidRDefault="005728DD" w:rsidP="005728DD">
      <w:pPr>
        <w:pStyle w:val="TextoNormalNegritaCentrado"/>
        <w:keepNext/>
      </w:pPr>
    </w:p>
    <w:p w:rsidR="005728DD" w:rsidRDefault="005728DD" w:rsidP="005728DD">
      <w:pPr>
        <w:pStyle w:val="TextoNormal"/>
      </w:pPr>
      <w:r>
        <w:t>Con el máximo respeto a la opinión mayoritaria de mis compañeros de Sala en la que se sustenta la sentencia, manifiesto mi discrepancia con su fundamentación y su fallo, que considero que debió de ser desestimatorio por las razones que ya expuse en el voto particular conjunto que formulé a la STC 191/2020, de 17 de diciembre, al que me remito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 w:name="SENTENCIA_2021_3"/>
      <w:r>
        <w:lastRenderedPageBreak/>
        <w:t>SENTENCIA 3/2021, de 25 de enero de 2021</w:t>
      </w:r>
    </w:p>
    <w:bookmarkEnd w:id="6"/>
    <w:p w:rsidR="005728DD" w:rsidRDefault="005728DD" w:rsidP="005728DD">
      <w:pPr>
        <w:pStyle w:val="TtuloResolucin"/>
      </w:pPr>
      <w:r>
        <w:t>Sala Segunda</w:t>
      </w:r>
    </w:p>
    <w:p w:rsidR="005728DD" w:rsidRDefault="005728DD" w:rsidP="005728DD">
      <w:pPr>
        <w:pStyle w:val="TtuloBOE"/>
      </w:pPr>
      <w:r>
        <w:t>(BOE núm. 46, de 23 de febrero de 2021)</w:t>
      </w:r>
    </w:p>
    <w:p w:rsidR="005728DD" w:rsidRDefault="005728DD" w:rsidP="005728DD">
      <w:pPr>
        <w:pStyle w:val="TextoNormalCentrado"/>
      </w:pPr>
      <w:r>
        <w:t>ECLI:ES:TC:2021:3</w:t>
      </w:r>
    </w:p>
    <w:p w:rsidR="005728DD" w:rsidRDefault="005728DD" w:rsidP="005728DD">
      <w:pPr>
        <w:pStyle w:val="TextoNormalCentrado"/>
      </w:pPr>
    </w:p>
    <w:p w:rsidR="005728DD" w:rsidRDefault="005728DD" w:rsidP="005728DD">
      <w:pPr>
        <w:pStyle w:val="SntesisDescriptiva"/>
      </w:pPr>
      <w:r>
        <w:t>Recurso de amparo 469-2019. Promovido por don Radostin Mitkov Mitev respecto de las resoluciones de la Sala de lo Civil y de lo Penal del Tribunal Superior de Justicia de las Illes Balears que inadmitieron el recurso de apelación presentado frente a la sentencia condenatoria dictada por la Audiencia Provincial.</w:t>
      </w:r>
    </w:p>
    <w:p w:rsidR="005728DD" w:rsidRDefault="005728DD" w:rsidP="005728DD">
      <w:pPr>
        <w:pStyle w:val="SntesisDescriptiva"/>
      </w:pPr>
    </w:p>
    <w:p w:rsidR="005728DD" w:rsidRDefault="005728DD" w:rsidP="005728DD">
      <w:pPr>
        <w:pStyle w:val="SntesisAnaltica"/>
      </w:pPr>
      <w:r>
        <w:t>Vulneración del derecho a un proceso con todas las garantías: resoluciones judiciales que, al anular la revisión de la incorrecta indicación de recursos y declarar la firmeza de la sentencia condenatoria, impiden el ejercicio del derecho a la segunda instancia penal.</w:t>
      </w:r>
    </w:p>
    <w:p w:rsidR="005728DD" w:rsidRDefault="005728DD" w:rsidP="005728DD">
      <w:pPr>
        <w:pStyle w:val="SntesisAnaltica"/>
      </w:pPr>
    </w:p>
    <w:p w:rsidR="005728DD" w:rsidRDefault="005728DD" w:rsidP="005728DD">
      <w:pPr>
        <w:pStyle w:val="Extracto"/>
      </w:pPr>
      <w:r>
        <w:t>1.</w:t>
      </w:r>
      <w:r>
        <w:tab/>
        <w:t>Jurisprudencia constitucional sobre el derecho a la doble instancia penal revisora de una declaración de culpabilidad y sobre la errónea indicación de recursos en una resolución judicial (SSTC 7/2015, 194/2015 y 124/2019) [FJ 3].</w:t>
      </w:r>
    </w:p>
    <w:p w:rsidR="005728DD" w:rsidRDefault="005728DD" w:rsidP="005728DD">
      <w:pPr>
        <w:pStyle w:val="Extracto"/>
      </w:pPr>
    </w:p>
    <w:p w:rsidR="005728DD" w:rsidRDefault="005728DD" w:rsidP="005728DD">
      <w:pPr>
        <w:pStyle w:val="Extracto"/>
      </w:pPr>
      <w:r>
        <w:t>2.</w:t>
      </w:r>
      <w:r>
        <w:tab/>
        <w:t>El derecho a la doble instancia penal revisora de una declaración de culpabilidad, aunque no esté expresamente recogido en el art. 24.2 CE, es una de las garantías del proceso penal, que también está reconocido tanto en el art. 14.5 del Pacto internacional de derechos civiles y políticos de 1966, como en el art. 2.1 del Protocolo núm. 7 del Convenio europeo para la protección de los derechos humanos y de las libertades fundamentales [FJ 3].</w:t>
      </w:r>
    </w:p>
    <w:p w:rsidR="005728DD" w:rsidRDefault="005728DD" w:rsidP="005728DD">
      <w:pPr>
        <w:pStyle w:val="Extracto"/>
      </w:pPr>
    </w:p>
    <w:p w:rsidR="005728DD" w:rsidRDefault="005728DD" w:rsidP="005728DD">
      <w:pPr>
        <w:pStyle w:val="Extracto"/>
      </w:pPr>
      <w:r>
        <w:t>3.</w:t>
      </w:r>
      <w:r>
        <w:tab/>
        <w:t xml:space="preserve">El derecho a la doble instancia penal revisora de una declaración de culpabilidad, en tanto que garantía constitucionalizada, tiene en el ámbito sancionador y respecto de sentencias condenatorias un diferente alcance que el derecho al recurso en otros órdenes jurisdiccionales no sancionatorios, siendo más cercano al derecho de acceso a la jurisdicción en la medida en que incluye también la utilización del principio </w:t>
      </w:r>
      <w:r w:rsidRPr="005728DD">
        <w:rPr>
          <w:i/>
        </w:rPr>
        <w:t>pro actione [</w:t>
      </w:r>
      <w:r>
        <w:t>FJ 3].</w:t>
      </w:r>
    </w:p>
    <w:p w:rsidR="005728DD" w:rsidRDefault="005728DD" w:rsidP="005728DD">
      <w:pPr>
        <w:pStyle w:val="Extracto"/>
      </w:pPr>
    </w:p>
    <w:p w:rsidR="005728DD" w:rsidRDefault="005728DD" w:rsidP="005728DD">
      <w:pPr>
        <w:pStyle w:val="Extracto"/>
      </w:pPr>
      <w:r>
        <w:t>4.</w:t>
      </w:r>
      <w:r>
        <w:tab/>
        <w:t>Quedan constitucionalmente proscritas aquellas decisiones judiciales impeditivas de una efectiva revisión de una declaración de culpabilidad que por su rigorismo, por su formalismo excesivo o por cualquier otra razón revelen una clara desproporción entre los fines que se intentan preservar y los intereses que se sacrifican o que supongan interpretaciones o aplicaciones de las reglas disciplinadoras de los requisitos y formas de las secuencias procesales en sentidos que, aunque puedan aparecer acomodados al tenor literal del texto en que se encierra la norma, son contrarios al espíritu y a la finalidad de esta [FJ 3].</w:t>
      </w:r>
    </w:p>
    <w:p w:rsidR="005728DD" w:rsidRDefault="005728DD" w:rsidP="005728DD">
      <w:pPr>
        <w:pStyle w:val="Extracto"/>
      </w:pPr>
    </w:p>
    <w:p w:rsidR="005728DD" w:rsidRDefault="005728DD" w:rsidP="005728DD">
      <w:pPr>
        <w:pStyle w:val="Extracto"/>
      </w:pPr>
      <w:r>
        <w:t>5.</w:t>
      </w:r>
      <w:r>
        <w:tab/>
        <w:t xml:space="preserve">La instrucción o información errónea acerca de los recursos facilitada por los órganos judiciales, dada la </w:t>
      </w:r>
      <w:r w:rsidRPr="005728DD">
        <w:rPr>
          <w:i/>
        </w:rPr>
        <w:t>auctoritas</w:t>
      </w:r>
      <w:r>
        <w:t xml:space="preserve"> que corresponde a quien la hizo constar, es susceptible de inducir a un error a la parte litigante, que hay que considerar en todo caso excusable dada la autoridad que necesariamente ha de merecer la decisión judicial, ya que si se han ofrecido indicaciones equivocadas sobre los recursos utilizables, el interesado, aun estando asistido por expertos en la materia, podría entender por la autoridad inherente a la decisión judicial, que tales indicaciones </w:t>
      </w:r>
      <w:r>
        <w:lastRenderedPageBreak/>
        <w:t>fueran ciertas y obrar en consecuencia (SSTC 112/2009,  47/2014 o 60/2017) [FJ 3].</w:t>
      </w:r>
    </w:p>
    <w:p w:rsidR="005728DD" w:rsidRDefault="005728DD" w:rsidP="005728DD">
      <w:pPr>
        <w:pStyle w:val="Extracto"/>
      </w:pPr>
    </w:p>
    <w:p w:rsidR="005728DD" w:rsidRDefault="005728DD" w:rsidP="005728DD">
      <w:pPr>
        <w:pStyle w:val="Extracto"/>
      </w:pPr>
      <w:r>
        <w:t>6.</w:t>
      </w:r>
      <w:r>
        <w:tab/>
        <w:t xml:space="preserve">Desde la perspectiva del derecho a un proceso con todas garantías (art. 24.2 CE), en su concreta dimensión del derecho a una segunda instancia penal revisora de una declaración de culpabilidad, es preciso que en vía judicial se pondere adecuadamente, por las exigencias propias del principio </w:t>
      </w:r>
      <w:r w:rsidRPr="005728DD">
        <w:rPr>
          <w:i/>
        </w:rPr>
        <w:t xml:space="preserve">pro actione </w:t>
      </w:r>
      <w:r>
        <w:t>aplicable a este derecho, la circunstancia de que la vía legal impugnatoria seleccionada por el condenado sea el resultado de haber seguido las indicaciones contenidas en la resolución condenatoria con el fin de que no quede frustrada la efectividad de este derecho cuando dicha indicación pudiera haber resultado errónea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469-2019, promovido por don Radostin Mitkov Mitev, representado por el procurador de los tribunales don Pedro Antonio González Sánchez y bajo la dirección del letrado don Carlos Enrique Portalo Prada, contra el auto de la Sala de lo Civil y de lo Penal del Tribunal Superior de Justicia de las Illes Balears de 26 de octubre de 2018, por el que se desestima el incidente de nulidad de actuaciones formulado contra el auto de 1 de octubre de 2018, pronunciado en el rollo de apelación 7-2018. Ha comparecido don Rusi Ventsislavov Ivanov, representado por el procurador de los tribunales don José Francisco Rodríguez Rincón y bajo la dirección del letrado don Ignacio Gonzalo Márquez Díaz.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Don Radostin Mitkov Mitev, representado por el procurador de los tribunales don Pedro Antonio González Sánchez y bajo la dirección del letrado don Carlos Enrique Portalo Prada, interpuso demanda de amparo contra las resoluciones judiciales que se citan en el encabezamiento mediante escrito registrado en este tribunal el 22 de enero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lastRenderedPageBreak/>
        <w:t>a) El recurrente fue condenado por sentencia de la Sección Segunda de la Audiencia Provincial de Palma de Mallorca 359/2017, de 1 de septiembre de 2017, dictada en el rollo de sala núm. 45-2017. En el pie de recurso se establece que “contra esta sentencia cabe recurso de casación”.</w:t>
      </w:r>
    </w:p>
    <w:p w:rsidR="005728DD" w:rsidRDefault="005728DD" w:rsidP="005728DD">
      <w:pPr>
        <w:pStyle w:val="TextoNormal"/>
      </w:pPr>
    </w:p>
    <w:p w:rsidR="005728DD" w:rsidRDefault="005728DD" w:rsidP="005728DD">
      <w:pPr>
        <w:pStyle w:val="TextoNormal"/>
      </w:pPr>
      <w:r>
        <w:t xml:space="preserve">b) El recurrente, mediante escrito de 11 de septiembre de 2017, solicitó tener por preparado recurso de casación contra dicha sentencia, a lo que se accedió por auto de la Sección Segunda de la Audiencia Provincial de Palma de Mallorca de 23 de octubre de 2017, siendo tramitado con el núm. 10750-2017 por la Sala de lo Penal del Tribunal Supremo, quien, admitiendo la causa de oposición alegada por el Ministerio Fiscal, por sentencia 187/2018, de 17 de abril de 2018, declaró no haber lugar al recurso con el argumento de que “tratándose de una sentencia dictada en primera instancia por una Audiencia Provincial, el recurso procedente sería el de apelación ante la Sala de lo Civil y lo Penal del Tribunal Superior de Justicia, de conformidad con lo dispuesto en el art. 486 </w:t>
      </w:r>
      <w:r w:rsidRPr="005728DD">
        <w:rPr>
          <w:i/>
        </w:rPr>
        <w:t>ter</w:t>
      </w:r>
      <w:r>
        <w:t>.1 LECrim al estar ya en pleno vigor la reforma de la norma procesal efectuada por la Ley 41/2015, de 5 de octubre”.</w:t>
      </w:r>
    </w:p>
    <w:p w:rsidR="005728DD" w:rsidRDefault="005728DD" w:rsidP="005728DD">
      <w:pPr>
        <w:pStyle w:val="TextoNormal"/>
      </w:pPr>
    </w:p>
    <w:p w:rsidR="005728DD" w:rsidRDefault="005728DD" w:rsidP="005728DD">
      <w:pPr>
        <w:pStyle w:val="TextoNormal"/>
      </w:pPr>
      <w:r>
        <w:t xml:space="preserve">c) El recurrente, mediante escrito de 23 de abril de 2018, solicitó la nulidad de actuaciones contra la sentencia de la Sección Segunda de la Audiencia Provincial de Palma de Mallorca 359/2017, de 1 de septiembre de 2017, en el extremo relativo a la errónea indicación de recursos o que “se le permita formalizar recurso de apelación ante el Tribunal Superior de Justicia sin que se declare la extemporaneidad del mismo si lo hiciere en el plazo legalmente previsto”. La Sección Segunda de la Audiencia Provincial de Palma de Mallorca, por providencia de 9 de mayo de 2018 acordó conferir “el plazo de diez días para interponer recurso de apelación ante la Sala de lo Civil y Penal del Tribunal Superior de Justicia de las Islas Baleares en los términos de los arts. 846 </w:t>
      </w:r>
      <w:r w:rsidRPr="005728DD">
        <w:rPr>
          <w:i/>
        </w:rPr>
        <w:t>ter</w:t>
      </w:r>
      <w:r>
        <w:t>, 790, 791 y 792 LECrim”. La providencia devino firme al no ser impugnada por ninguna de las partes personadas, incluyendo al Ministerio Fiscal.</w:t>
      </w:r>
    </w:p>
    <w:p w:rsidR="005728DD" w:rsidRDefault="005728DD" w:rsidP="005728DD">
      <w:pPr>
        <w:pStyle w:val="TextoNormal"/>
      </w:pPr>
    </w:p>
    <w:p w:rsidR="005728DD" w:rsidRDefault="005728DD" w:rsidP="005728DD">
      <w:pPr>
        <w:pStyle w:val="TextoNormal"/>
      </w:pPr>
      <w:r>
        <w:t>d) El recurrente, mediante escrito de 24 de mayo de 2018, interpuso recurso de apelación, que se tuvo por admitido mediante diligencia de ordenación del letrado de la administración de justicia de la Sección Segunda de la Audiencia Provincial de Palma de Mallorca de 18 de junio de 2018, dando lugar al rollo de apelación núm. 7-2018, que se tramitó ante la Sala de lo Civil y lo Penal del Tribunal Superior de Justicia de las Illes Balears. El Ministerio Fiscal se opuso al recurso alegando su extemporaneidad.</w:t>
      </w:r>
    </w:p>
    <w:p w:rsidR="005728DD" w:rsidRDefault="005728DD" w:rsidP="005728DD">
      <w:pPr>
        <w:pStyle w:val="TextoNormal"/>
      </w:pPr>
    </w:p>
    <w:p w:rsidR="005728DD" w:rsidRDefault="005728DD" w:rsidP="005728DD">
      <w:pPr>
        <w:pStyle w:val="TextoNormal"/>
      </w:pPr>
      <w:r>
        <w:t>e) La Sala de lo Civil y lo Penal del Tribunal Superior de Justicia de las Illes Balears, por providencia de 11 de septiembre de 2018, confirió un plazo de diez días a las partes personadas para que pudieran alegar respecto de la eventual existencia de una nulidad de actuaciones desde la providencia de la Sección Segunda de la Audiencia Provincial de Palma de Mallorca de 9 de mayo de 2018, en la que se abrió plazo de diez días para interponer recurso de apelación, por carecer de competencia para dictarla.</w:t>
      </w:r>
    </w:p>
    <w:p w:rsidR="005728DD" w:rsidRDefault="005728DD" w:rsidP="005728DD">
      <w:pPr>
        <w:pStyle w:val="TextoNormal"/>
      </w:pPr>
    </w:p>
    <w:p w:rsidR="005728DD" w:rsidRDefault="005728DD" w:rsidP="005728DD">
      <w:pPr>
        <w:pStyle w:val="TextoNormal"/>
      </w:pPr>
      <w:r>
        <w:t>Por auto de 1 de octubre de 2018 se acordó declarar la nulidad de todo lo actuado en el procedimiento por la Sección Segunda de la Audiencia Provincial de Palma de Mallorca desde su providencia de 9 de mayo de 2018, argumentando que dicho órgano judicial carecía de competencia para acordar un nuevo plazo de presentación del recurso de apelación tras la sentencia de la Sala de lo Penal del Tribunal Supremo que acordó no haber lugar al previo recurso de casación y solo le cabía “acordar la firmeza de su sentencia y ejecutarla”.</w:t>
      </w:r>
    </w:p>
    <w:p w:rsidR="005728DD" w:rsidRDefault="005728DD" w:rsidP="005728DD">
      <w:pPr>
        <w:pStyle w:val="TextoNormal"/>
      </w:pPr>
    </w:p>
    <w:p w:rsidR="005728DD" w:rsidRDefault="005728DD" w:rsidP="005728DD">
      <w:pPr>
        <w:pStyle w:val="TextoNormal"/>
      </w:pPr>
      <w:r>
        <w:t>f) El recurrente, mediante escrito de 2 de noviembre de 2018, interpuso un incidente de nulidad de actuaciones, invocando la vulneración de los derechos a la tutela judicial efectiva (art. 24.1 CE) y a un proceso con todas garantías y a la defensa (art. 24.2 CE) al haber sido privado de una doble instancia penal revisora en virtud de una errónea indicación de recursos. El incidente fue desestimado por auto de 26 de noviembre de 2018, por remisión a los razonamientos expuestos en el auto impugnado.</w:t>
      </w:r>
    </w:p>
    <w:p w:rsidR="005728DD" w:rsidRDefault="005728DD" w:rsidP="005728DD">
      <w:pPr>
        <w:pStyle w:val="TextoNormal"/>
      </w:pPr>
    </w:p>
    <w:p w:rsidR="005728DD" w:rsidRDefault="005728DD" w:rsidP="005728DD">
      <w:pPr>
        <w:pStyle w:val="TextoNormal"/>
      </w:pPr>
      <w:r w:rsidRPr="005728DD">
        <w:rPr>
          <w:rStyle w:val="NumeroAFNegritaCaracter"/>
        </w:rPr>
        <w:t>3</w:t>
      </w:r>
      <w:r>
        <w:t>. El recurrente solicita que se estime el recurso de amparo por vulneración del derecho a la tutela judicial efectiva (art. 24.1 CE), declarándose la nulidad de los autos impugnados y que es conforme a derecho la providencia de la Sección Segunda de la Audiencia Provincial de Palma de Mallorca de 9 de mayo de 2018.</w:t>
      </w:r>
    </w:p>
    <w:p w:rsidR="005728DD" w:rsidRDefault="005728DD" w:rsidP="005728DD">
      <w:pPr>
        <w:pStyle w:val="TextoNormal"/>
      </w:pPr>
    </w:p>
    <w:p w:rsidR="005728DD" w:rsidRDefault="005728DD" w:rsidP="005728DD">
      <w:pPr>
        <w:pStyle w:val="TextoNormal"/>
      </w:pPr>
      <w:r>
        <w:t>El recurrente fundamenta la invocación del derecho a la tutela judicial efectiva en que las resoluciones impugnadas, al anular la providencia que posibilitó formalizar el recurso de apelación, han impedido la posibilidad de que se haga efectivo su derecho a la segunda instancia penal frente a las sentencias condenatorias, al no haber tomado en consideración, contra lo establecido en la jurisprudencia constitucional, que la sentencia condenatoria incurrió en una errónea identificación del recurso procedente, lo que fue determinante de la declaración de no haber lugar al recurso de casación.</w:t>
      </w:r>
    </w:p>
    <w:p w:rsidR="005728DD" w:rsidRDefault="005728DD" w:rsidP="005728DD">
      <w:pPr>
        <w:pStyle w:val="TextoNormal"/>
      </w:pPr>
    </w:p>
    <w:p w:rsidR="005728DD" w:rsidRDefault="005728DD" w:rsidP="005728DD">
      <w:pPr>
        <w:pStyle w:val="TextoNormal"/>
      </w:pPr>
      <w:r>
        <w:t>El recurrente expone, entre otras razones, que la demanda de amparo tiene especial transcendencia constitucional, conforme a lo establecido en la STC 155/2009, de 25 de junio, ya que vienen a suscitarse algunas novedosas cuestiones sobre determinadas facetas del derecho fundamental, referidas a la influencia que puede tener en el derecho de acceso al recurso penal, los habituales errores de notificación padecidos por los órganos judiciales en relación con la procedencia del recurso de casación tras la entrada en vigor de la Ley 41/2015, de 5 de octubre.</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25 de noviembre de 2019, acordó la admisión a trámite del recurso de amparo, apreciando que concurre una especial trascendencia constitucional porque el recurso puede dar ocasión al tribunal para aclarar o cambiar su doctrina, como consecuencia de un proceso de reflexión interna [STC 155/2009, FJ 2 b)]; y, en aplicación de lo dispuesto por el art. 51 de la Ley Orgánica del Tribunal Constitucional, requerir atentamente de los órganos judiciales la remisión de las actuaciones y el emplazamiento de quienes hubieran sido parte en el procedimiento, a excepción de la recurrente, para que pudiesen comparecer en el plazo de diez días en el citado proceso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14 de enero de 2020, acordó tener por personado a don Rusi Ventsislavov Ivanov, representado por el procurador de los tribunales don José Francisco Rodríguez Rincón, y dar vista de las actuaciones al Ministerio Fiscal y a las partes personadas por un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El Ministerio Fiscal, por escrito registrado el 5 de febrero de 2020, formuló alegaciones interesando la estimación del recurso de amparo por vulneración del derecho a un proceso con todas las garantías (art. 24.2 CE), con anulación de las resoluciones judiciales impugnadas y retroacción de actuaciones para que se pronuncie una resolución respetuosa con el derecho fundamental reconocido.</w:t>
      </w:r>
    </w:p>
    <w:p w:rsidR="005728DD" w:rsidRDefault="005728DD" w:rsidP="005728DD">
      <w:pPr>
        <w:pStyle w:val="TextoNormal"/>
      </w:pPr>
    </w:p>
    <w:p w:rsidR="005728DD" w:rsidRDefault="005728DD" w:rsidP="005728DD">
      <w:pPr>
        <w:pStyle w:val="TextoNormal"/>
      </w:pPr>
      <w:r>
        <w:t>A esos efectos, el Ministerio Fiscal argumenta, con cita de la jurisprudencia constitucional sobre la relevancia de la doble instancia penal revisora y la influencia que sobre esa garantía puede tener la errónea indicación de recursos, que en el presente caso se ha vulnerado el derecho invocado una vez constatado que existió una errónea indicación de recursos en la sentencia condenatoria de instancia y que, a consecuencia de haberse seguido dicha indicación, se ha perdido la posibilidad de que la condena hubiera podido ser revisada en virtud de una sucesión de resoluciones judiciales dictadas por el Tribunal Superior de Justicia de las Illes Balears que han hecho una interpretación rigorista y desproporcionada de la normativa procesal.</w:t>
      </w:r>
    </w:p>
    <w:p w:rsidR="005728DD" w:rsidRDefault="005728DD" w:rsidP="005728DD">
      <w:pPr>
        <w:pStyle w:val="TextoNormal"/>
      </w:pPr>
    </w:p>
    <w:p w:rsidR="005728DD" w:rsidRDefault="005728DD" w:rsidP="005728DD">
      <w:pPr>
        <w:pStyle w:val="TextoNormal"/>
      </w:pPr>
      <w:r w:rsidRPr="005728DD">
        <w:rPr>
          <w:rStyle w:val="NumeroAFNegritaCaracter"/>
        </w:rPr>
        <w:t>7</w:t>
      </w:r>
      <w:r>
        <w:t>. El demandante de amparo, por escrito de 17 de febrero de 2020, formuló alegaciones ratificándose en lo alegado en su demanda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21 de enero de 2021 se señaló para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El objeto del recurso</w:t>
      </w:r>
      <w:r>
        <w:t>: El objeto de este recurso es determinar si las decisiones judiciales impugnadas han vulnerado el derecho del demandante de amparo a un proceso con todas las garantías (art. 24.2 CE), al haber imposibilitado que pudiera hacer efectivo el derecho a una segunda instancia penal revisora de su condena, a pesar de su actitud diligente de haber seguido la indicación de recursos efectuada en la sentencia condenatoria de instancia.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 especial transcendencia constitucional de la demanda</w:t>
      </w:r>
      <w:r>
        <w:t>: La presente demanda de amparo, como ya se indicó en la providencia de admisión, tiene especial transcendencia constitucional porque el recurso puede dar ocasión al Tribunal para aclarar o cambiar su doctrina, como consecuencia de un proceso de reflexión interna [STC 155/2009, FJ 2 b)].</w:t>
      </w:r>
    </w:p>
    <w:p w:rsidR="005728DD" w:rsidRDefault="005728DD" w:rsidP="005728DD">
      <w:pPr>
        <w:pStyle w:val="TextoNormal"/>
      </w:pPr>
    </w:p>
    <w:p w:rsidR="005728DD" w:rsidRDefault="005728DD" w:rsidP="005728DD">
      <w:pPr>
        <w:pStyle w:val="TextoNormal"/>
      </w:pPr>
      <w:r>
        <w:t xml:space="preserve">La jurisprudencia constitucional ya ha abordado en diversas ocasiones tanto la configuración del derecho a una segunda instancia penal revisora de una declaración de culpabilidad, como una de las dimensiones configuradoras del derecho a un proceso con todas las garantías (art. 24.2 CE), como la relevancia constitucional que puede adquirir seguir una eventual errónea indicación de recursos en las decisiones judiciales. El presente recurso otorga a este tribunal la posibilidad de que se pronuncie y aclare la proyección que podría tener el seguir la errónea indicación de recursos sobre el derecho a la segunda instancia penal revisora de una declaración de culpabilidad en el contexto creado por la nueva regulación del sistema de recursos penales y su régimen transitorio establecidos por la Ley </w:t>
      </w:r>
      <w:r>
        <w:lastRenderedPageBreak/>
        <w:t>41/2015, de 5 de octubre, de modificación de la Ley de enjuiciamiento criminal para la agilización de la justicia penal y el fortalecimiento de las garantías procesales.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La jurisprudencia constitucional sobre el derecho a la doble instancia penal revisora de una declaración de culpabilidad y sobre la errónea indicación de recursos</w:t>
      </w:r>
      <w:r>
        <w:t>: La jurisprudencia constitucional ha reiterado dos ideas esenciales en relación con el derecho a la doble instancia penal revisora de una declaración de culpabilidad (por ejemplo, SSTC 7/2015, 22 de enero, FJ 3; 194/2015, de 21 de septiembre, FJ 5, o 124/2019, de 28 de octubre, FJ 3):</w:t>
      </w:r>
    </w:p>
    <w:p w:rsidR="005728DD" w:rsidRDefault="005728DD" w:rsidP="005728DD">
      <w:pPr>
        <w:pStyle w:val="TextoNormal"/>
      </w:pPr>
    </w:p>
    <w:p w:rsidR="005728DD" w:rsidRDefault="005728DD" w:rsidP="005728DD">
      <w:pPr>
        <w:pStyle w:val="TextoNormal"/>
      </w:pPr>
      <w:r>
        <w:t>a) Este derecho, aunque no esté expresamente recogido en el art. 24.2 CE, es una de las garantías del proceso penal, que también está reconocido tanto en el art. 14.5 del Pacto internacional de derechos civiles y políticos de 1966 (“Toda persona declarada culpable de un delito tendrá derecho a que el fallo condenatorio y la pena que se le haya impuesto sean sometidos a un tribunal superior, conforme a lo prescrito por la ley”), como en el art. 2.1 del Protocolo núm. 7 del Convenio europeo para la protección de los derechos humanos y de las libertades fundamentales (“Toda persona declarada culpable de una infracción penal por un tribunal tendrá derecho a que la declaración de culpabilidad o la condena sea examinada por una jurisdicción superior. El ejercicio de ese derecho, incluidos los motivos por los cuales pueda ser ejercitado, se regularán por ley”).</w:t>
      </w:r>
    </w:p>
    <w:p w:rsidR="005728DD" w:rsidRDefault="005728DD" w:rsidP="005728DD">
      <w:pPr>
        <w:pStyle w:val="TextoNormal"/>
      </w:pPr>
    </w:p>
    <w:p w:rsidR="005728DD" w:rsidRDefault="005728DD" w:rsidP="005728DD">
      <w:pPr>
        <w:pStyle w:val="TextoNormal"/>
      </w:pPr>
      <w:r>
        <w:t xml:space="preserve">b) Este derecho, en tanto que garantía constitucionalizada, tiene en el ámbito sancionador y respecto de sentencias condenatorias un diferente alcance que el derecho al recurso en otros órdenes jurisdiccionales no sancionatorios, siendo más cercano al derecho de acceso a la jurisdicción en la medida en que incluye también la utilización del principio </w:t>
      </w:r>
      <w:r w:rsidRPr="005728DD">
        <w:rPr>
          <w:i/>
        </w:rPr>
        <w:t>pro actione</w:t>
      </w:r>
      <w:r>
        <w:t>. De ese modo, también en este ámbito quedan constitucionalmente proscritas aquellas decisiones judiciales impeditivas de una efectiva revisión de una declaración de culpabilidad que por su rigorismo, por su formalismo excesivo o por cualquier otra razón revelen una clara desproporción entre los fines que se intentan preservar y los intereses que se sacrifican o que supongan interpretaciones o aplicaciones de las reglas disciplinadoras de los requisitos y formas de las secuencias procesales en sentidos que, aunque puedan aparecer acomodados al tenor literal del texto en que se encierra la norma, son contrarios al espíritu y a la finalidad de esta.</w:t>
      </w:r>
    </w:p>
    <w:p w:rsidR="005728DD" w:rsidRDefault="005728DD" w:rsidP="005728DD">
      <w:pPr>
        <w:pStyle w:val="TextoNormal"/>
      </w:pPr>
    </w:p>
    <w:p w:rsidR="005728DD" w:rsidRDefault="005728DD" w:rsidP="005728DD">
      <w:pPr>
        <w:pStyle w:val="TextoNormal"/>
      </w:pPr>
      <w:r>
        <w:t xml:space="preserve">Por su parte, la jurisprudencia constitucional también ha establecido de manera reiterada que la instrucción o información errónea acerca de los recursos facilitada por los órganos judiciales, dada la </w:t>
      </w:r>
      <w:r w:rsidRPr="005728DD">
        <w:rPr>
          <w:i/>
        </w:rPr>
        <w:t>auctoritas</w:t>
      </w:r>
      <w:r>
        <w:t xml:space="preserve"> que corresponde a quien la hizo constar, es susceptible de inducir a un error a la parte litigante, que hay que considerar en todo caso excusable dada la autoridad que necesariamente ha de merecer la decisión judicial, ya que si se han ofrecido indicaciones equivocadas sobre los recursos utilizables, el interesado, aun estando asistido por expertos en la materia, podría entender por la autoridad inherente a la decisión judicial, que tales indicaciones fueran ciertas y obrar en consecuencia (así, por ejemplo, SSTC 112/2009, de 11 de mayo, FJ 2; 47/2014, 7 de abril, FJ 4, o 60/2017, de 22 de mayo, FJ 5).</w:t>
      </w:r>
    </w:p>
    <w:p w:rsidR="005728DD" w:rsidRDefault="005728DD" w:rsidP="005728DD">
      <w:pPr>
        <w:pStyle w:val="TextoNormal"/>
      </w:pPr>
    </w:p>
    <w:p w:rsidR="005728DD" w:rsidRDefault="005728DD" w:rsidP="005728DD">
      <w:pPr>
        <w:pStyle w:val="TextoNormal"/>
      </w:pPr>
      <w:r>
        <w:t xml:space="preserve">La confluencia de ambos criterios jurisprudenciales determina que este tribunal deba concluir que, desde la perspectiva del derecho a un proceso con todas garantías (art. 24.2 CE), en su concreta dimensión del derecho a una segunda instancia penal revisora de una declaración de culpabilidad, es preciso que en vía judicial se pondere adecuadamente, por las exigencias propias del principio </w:t>
      </w:r>
      <w:r w:rsidRPr="005728DD">
        <w:rPr>
          <w:i/>
        </w:rPr>
        <w:t>pro actione</w:t>
      </w:r>
      <w:r>
        <w:t xml:space="preserve"> aplicable a este derecho, la circunstancia de </w:t>
      </w:r>
      <w:r>
        <w:lastRenderedPageBreak/>
        <w:t>que la vía legal impugnatoria seleccionada por el condenado sea el resultado de haber seguido las indicaciones contenidas en la resolución condenatoria con el fin de que no quede frustrada la efectividad de este derecho cuando dicha indicación pudiera haber resultado errónea.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jurisprudencia constitucional al supuesto enjuiciado</w:t>
      </w:r>
      <w:r>
        <w:t>: En el presente caso, como ha sido desarrollado más detenidamente en los antecedentes, han quedado acreditado los siguientes extremos: a) la resolución condenatoria de instancia indicó al demandante de amparo que su declaración de culpabilidad era impugnable mediante la interposición del recurso de casación; b) el demandante de amparo, siguiendo esa indicación, anunció y formalizó el recurso de casación que, tras su completa sustanciación, finalizó en una sentencia desestimatoria que no permitía hacer efectivo la revisión de la condena por considerar el órgano judicial de casación que el recurso procedente era el de apelación ante la Sala de lo Civil y lo Penal del Tribunal Superior de Justicia; c) el demandante de amparo instó ante el órgano judicial de instancia la nulidad de la sentencia condenatoria en el extremo relativo a la errónea indicación de la vía impugnatoria con la finalidad de poder hacer efectiva la revisión de su condena; d) el órgano judicial de instancia acordó conferir al demandante de amparo un plazo de diez días para interponer recurso de apelación ante la Sala de lo Civil y Penal del Tribunal Superior de Justicia de las Illes Balears; y e) una vez formalizado el recurso de apelación, el órgano judicial competente para su resolución acordó la nulidad de la decisión del órgano judicial de instancia que había otorgado nuevo plazo para la interposición del recurso de apelación argumentando su falta de competencia para ese particular y que solo le cabía “acordar la firmeza de su sentencia y ejecutarla”, una vez que se había declarado no haber lugar al recurso de casación.</w:t>
      </w:r>
    </w:p>
    <w:p w:rsidR="005728DD" w:rsidRDefault="005728DD" w:rsidP="005728DD">
      <w:pPr>
        <w:pStyle w:val="TextoNormal"/>
      </w:pPr>
    </w:p>
    <w:p w:rsidR="005728DD" w:rsidRDefault="005728DD" w:rsidP="005728DD">
      <w:pPr>
        <w:pStyle w:val="TextoNormal"/>
      </w:pPr>
      <w:r>
        <w:t xml:space="preserve">En atención a lo expuesto, y tal como también interesa el Ministerio Fiscal, este tribunal tiene que concluir que se ha vulnerado el derecho del demandante de amparo a un proceso con todas las garantías (art. 24.2 CE). La decisión de la Sala de lo Civil y lo Penal del Tribunal Superior de Justicia de las Illes Balears de anular la previa decisión de la Audiencia Provincial de Palma de Mallorca de salvar su errónea indicación del recurso procedente para impugnar la condena del demandante de amparo otorgándole un nuevo plazo para presentar el procedente recurso de apelación y considerar que solo cabía la declaración de firmeza y la ejecución de la sentencia condenatoria no resulta conforme con el contenido constitucional del derecho a una segunda instancia penal revisora de una declaración de culpabilidad. Esa decisión resulta en exceso rigorista y es contraria a las exigencias derivadas del principio </w:t>
      </w:r>
      <w:r w:rsidRPr="005728DD">
        <w:rPr>
          <w:i/>
        </w:rPr>
        <w:t>pro actione</w:t>
      </w:r>
      <w:r>
        <w:t>, ya que no ha ponderado adecuadamente, por un lado, que la frustración de la vía impugnatoria casacional seleccionada por el condenado traía causa directa de haber seguido fielmente la indicación de la sentencia condenatoria de instancia y, por otro, que la anulación de la decisión de la audiencia provincial de permitir la interposición del recurso de apelación impedía al demandante de amparo de manera definitiva la posibilidad de someter la declaración condenatoria a la revisión de un tribunal superior por el mero hecho de haber seguido la autoridad inherente a una decisión judicial.</w:t>
      </w:r>
    </w:p>
    <w:p w:rsidR="005728DD" w:rsidRDefault="005728DD" w:rsidP="005728DD">
      <w:pPr>
        <w:pStyle w:val="TextoNormal"/>
      </w:pPr>
    </w:p>
    <w:p w:rsidR="005728DD" w:rsidRDefault="005728DD" w:rsidP="005728DD">
      <w:pPr>
        <w:pStyle w:val="TextoNormal"/>
      </w:pPr>
      <w:r>
        <w:t xml:space="preserve">La vulneración del derecho a un proceso con todas las garantías (art. 24.2 CE) determina la declaración de nulidad de las resoluciones judiciales impugnadas, en el exclusivo extremo referido a la declaración de nulidad de todo lo actuado desde la providencia de 9 de mayo de 2018 en la medida en que confirió al demandante de amparo el plazo de diez días para interponer recurso de apelación, y que se acuerde la retroacción de actuaciones para que se </w:t>
      </w:r>
      <w:r>
        <w:lastRenderedPageBreak/>
        <w:t>pronuncie una nueva resolución respetuosa con el derecho fundamental que se declarada vulnerado respecto de ese particular.</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otorgar el amparo a don Radostin Mitkov Mitev y, en su virtud:</w:t>
      </w:r>
    </w:p>
    <w:p w:rsidR="005728DD" w:rsidRDefault="005728DD" w:rsidP="005728DD">
      <w:pPr>
        <w:pStyle w:val="TextoNormal"/>
      </w:pPr>
    </w:p>
    <w:p w:rsidR="005728DD" w:rsidRDefault="005728DD" w:rsidP="005728DD">
      <w:pPr>
        <w:pStyle w:val="TextoNormal"/>
      </w:pPr>
      <w:r>
        <w:t>1º Declarar que ha sido vulnerado el derecho del demandante de amparo a un proceso con todas las garantías (art. 24.2 CE), en su dimensión del derecho a una segunda instancia penal revisora de una declaración de culpabilidad.</w:t>
      </w:r>
    </w:p>
    <w:p w:rsidR="005728DD" w:rsidRDefault="005728DD" w:rsidP="005728DD">
      <w:pPr>
        <w:pStyle w:val="TextoNormal"/>
      </w:pPr>
    </w:p>
    <w:p w:rsidR="005728DD" w:rsidRDefault="005728DD" w:rsidP="005728DD">
      <w:pPr>
        <w:pStyle w:val="TextoNormal"/>
      </w:pPr>
      <w:r>
        <w:t>2º Restablecerle en su derecho y, en consecuencia, declarar la nulidad de los autos de la Sala de lo Civil y de lo Penal del Tribunal Superior de Justicia de las Illes Balears de 1 de octubre de 2018 y de 26 de octubre de 2018, pronunciados en el rollo de apelación 7-2018, en el extremo relativo a la declaración de nulidad del plazo otorgado para la interposición del recurso de apelación respecto del demandante de amparo.</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del primero de los autos anulados, a fin de que se pronuncie una nueva resolución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 w:name="SENTENCIA_2021_4"/>
      <w:r>
        <w:lastRenderedPageBreak/>
        <w:t>SENTENCIA 4/2021, de 25 de enero de 2021</w:t>
      </w:r>
    </w:p>
    <w:bookmarkEnd w:id="7"/>
    <w:p w:rsidR="005728DD" w:rsidRDefault="005728DD" w:rsidP="005728DD">
      <w:pPr>
        <w:pStyle w:val="TtuloResolucin"/>
      </w:pPr>
      <w:r>
        <w:t>Sala Segunda</w:t>
      </w:r>
    </w:p>
    <w:p w:rsidR="005728DD" w:rsidRDefault="005728DD" w:rsidP="005728DD">
      <w:pPr>
        <w:pStyle w:val="TtuloBOE"/>
      </w:pPr>
      <w:r>
        <w:t>(BOE núm. 46, de 23 de febrero de 2021)</w:t>
      </w:r>
    </w:p>
    <w:p w:rsidR="005728DD" w:rsidRDefault="005728DD" w:rsidP="005728DD">
      <w:pPr>
        <w:pStyle w:val="TextoNormalCentrado"/>
      </w:pPr>
      <w:r>
        <w:t>ECLI:ES:TC:2021:4</w:t>
      </w:r>
    </w:p>
    <w:p w:rsidR="005728DD" w:rsidRDefault="005728DD" w:rsidP="005728DD">
      <w:pPr>
        <w:pStyle w:val="TextoNormalCentrado"/>
      </w:pPr>
    </w:p>
    <w:p w:rsidR="005728DD" w:rsidRDefault="005728DD" w:rsidP="005728DD">
      <w:pPr>
        <w:pStyle w:val="SntesisDescriptiva"/>
      </w:pPr>
      <w:r>
        <w:t>Recurso de amparo 514-2019. Promovido por don Rusi Ventsislavov Ivanov respecto de las resoluciones de la Sala de lo Civil y de lo Penal del Tribunal Superior de Justicia de las Illes Balears que inadmitieron el recurso de apelación presentado frente a la sentencia condenatoria dictada por la Audiencia Provincial.</w:t>
      </w:r>
    </w:p>
    <w:p w:rsidR="005728DD" w:rsidRDefault="005728DD" w:rsidP="005728DD">
      <w:pPr>
        <w:pStyle w:val="SntesisDescriptiva"/>
      </w:pPr>
    </w:p>
    <w:p w:rsidR="005728DD" w:rsidRDefault="005728DD" w:rsidP="005728DD">
      <w:pPr>
        <w:pStyle w:val="SntesisAnaltica"/>
      </w:pPr>
      <w:r>
        <w:t>Vulneración del derecho a un proceso con todas las garantías: resoluciones judiciales que, al anular la revisión de la incorrecta indicación de recursos y declarar la firmeza de la sentencia condenatoria, impiden el ejercicio del derecho a la segunda instancia penal.</w:t>
      </w:r>
    </w:p>
    <w:p w:rsidR="005728DD" w:rsidRDefault="005728DD" w:rsidP="005728DD">
      <w:pPr>
        <w:pStyle w:val="SntesisAnaltica"/>
      </w:pPr>
    </w:p>
    <w:p w:rsidR="005728DD" w:rsidRDefault="005728DD" w:rsidP="005728DD">
      <w:pPr>
        <w:pStyle w:val="Extracto"/>
      </w:pPr>
      <w:r>
        <w:t>1.</w:t>
      </w:r>
      <w:r>
        <w:tab/>
        <w:t>Se reitera la doctrina constitucional aplicada a la STC 3/2021 sobre el derecho sobre el derecho a la doble instancia penal revisora de una declaración de culpabilidad y sobre la errónea indicación de recursos en las resoluciones judiciales (STC 7/2015, 124/2019) [FFJJ 3 y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514-2019, promovido por don Rusi Ventsislavov Ivanov, representado por el procurador de los tribunales don José Francisco Rodríguez Rincón y bajo la dirección del letrado don Ignacio Gonzalo Márquez Díaz, contra el auto de la Sala de lo Civil y de lo Penal del Tribunal Superior de Justicia de las Illes Balears de 26 de octubre de 2018, por el que se desestima el incidente de nulidad de actuaciones formulado contra el auto de 1 de octubre de 2018, pronunciado en el rollo de apelación 7-2018. Ha comparecido don Radostin Mitkov Mitev, representado por el procurador de los tribunales don Pedro Antonio González Sánchez y bajo la dirección del letrado don Carlos Enrique Portalo Prada.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Don Rusi Ventsislavov Ivanov, representado por el procurador de los tribunales don José Francisco Rodríguez Rincón y bajo la dirección del letrado don Ignacio Gonzalo Márquez Díaz, interpuso demanda de amparo contra las resoluciones judiciales que se citan en el encabezamiento mediante escrito registrado en este tribunal el 24 de enero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El recurrente fue condenado por sentencia de la Sección Segunda de la Audiencia Provincial de Palma de Mallorca 359/2017, de 1 de septiembre de 2017, dictada en el rollo de sala núm. 45-2017. En el pie de recurso se establece que “contra esta sentencia cabe recurso de casación”.</w:t>
      </w:r>
    </w:p>
    <w:p w:rsidR="005728DD" w:rsidRDefault="005728DD" w:rsidP="005728DD">
      <w:pPr>
        <w:pStyle w:val="TextoNormal"/>
      </w:pPr>
    </w:p>
    <w:p w:rsidR="005728DD" w:rsidRDefault="005728DD" w:rsidP="005728DD">
      <w:pPr>
        <w:pStyle w:val="TextoNormal"/>
      </w:pPr>
      <w:r>
        <w:t xml:space="preserve">b) El recurrente solicitó tener por preparado recurso de casación contra dicha sentencia, a lo que se accedió por auto de la Sección Segunda de la Audiencia Provincial de Palma de Mallorca de 23 de octubre de 2017, siendo tramitado con el núm. 10750-2017 por la Sala de lo Penal del Tribunal Supremo, quien, admitiendo la causa de oposición alegada por el Ministerio Fiscal, por sentencia 187/2018, de 17 de abril de 2018, declaró no haber lugar al recurso con el argumento de que “tratándose de una sentencia dictada en primera instancia por una audiencia provincial, el recurso procedente sería el de apelación ante la Sala de lo Civil y lo Penal del Tribunal Superior de Justicia, de conformidad con lo dispuesto en el art. 486 </w:t>
      </w:r>
      <w:r w:rsidRPr="005728DD">
        <w:rPr>
          <w:i/>
        </w:rPr>
        <w:t>ter</w:t>
      </w:r>
      <w:r>
        <w:t>.1 LECrim al estar ya en pleno vigor la reforma de la norma procesal efectuada por la Ley 41/2015, de 5 de octubre”.</w:t>
      </w:r>
    </w:p>
    <w:p w:rsidR="005728DD" w:rsidRDefault="005728DD" w:rsidP="005728DD">
      <w:pPr>
        <w:pStyle w:val="TextoNormal"/>
      </w:pPr>
    </w:p>
    <w:p w:rsidR="005728DD" w:rsidRDefault="005728DD" w:rsidP="005728DD">
      <w:pPr>
        <w:pStyle w:val="TextoNormal"/>
      </w:pPr>
      <w:r>
        <w:t xml:space="preserve">c) El recurrente, mediante escrito de 23 de abril de 2018, solicitó la nulidad de actuaciones contra la sentencia de la Sección Segunda de la Audiencia Provincial de Palma de Mallorca 359/2017, de 1 de septiembre de 2017, en el extremo relativo a la errónea indicación de recursos o que “se le permita formalizar recurso de apelación ante el Tribunal Superior de Justicia sin que se declare la extemporaneidad del mismo si lo hiciere en el plazo legalmente previsto”. La Sección Segunda de la Audiencia Provincial de Palma de Mallorca, por providencia de 9 de mayo de 2018 acordó conferir “el plazo de diez días para interponer recurso de apelación ante la Sala de lo Civil y Penal del Tribunal Superior de Justicia de las Islas Baleares en los términos de los arts. 846 </w:t>
      </w:r>
      <w:r w:rsidRPr="005728DD">
        <w:rPr>
          <w:i/>
        </w:rPr>
        <w:t>ter</w:t>
      </w:r>
      <w:r>
        <w:t>, 790, 791 y 792 LECrim”. La providencia devino firme al no ser impugnada por ninguna de las partes personas, incluyendo al Ministerio Fiscal.</w:t>
      </w:r>
    </w:p>
    <w:p w:rsidR="005728DD" w:rsidRDefault="005728DD" w:rsidP="005728DD">
      <w:pPr>
        <w:pStyle w:val="TextoNormal"/>
      </w:pPr>
    </w:p>
    <w:p w:rsidR="005728DD" w:rsidRDefault="005728DD" w:rsidP="005728DD">
      <w:pPr>
        <w:pStyle w:val="TextoNormal"/>
      </w:pPr>
      <w:r>
        <w:t>d) El recurrente, mediante escrito de 24 de mayo de 2018, interpuso recurso de apelación, que se tuvo por admitido mediante diligencia de ordenación del letrado de la administración de justicia de la Sección Segunda de la Audiencia Provincial de Palma de Mallorca de 18 de junio de 2018, dando lugar al rollo de apelación núm. 7-2018, que se tramitó ante la Sala de lo Civil y lo Penal del Tribunal Superior de Justicia de las Illes Balears. El Ministerio Fiscal se opuso al recurso alegando su extemporaneidad.</w:t>
      </w:r>
    </w:p>
    <w:p w:rsidR="005728DD" w:rsidRDefault="005728DD" w:rsidP="005728DD">
      <w:pPr>
        <w:pStyle w:val="TextoNormal"/>
      </w:pPr>
    </w:p>
    <w:p w:rsidR="005728DD" w:rsidRDefault="005728DD" w:rsidP="005728DD">
      <w:pPr>
        <w:pStyle w:val="TextoNormal"/>
      </w:pPr>
      <w:r>
        <w:t>e) La Sala de lo Civil y lo Penal del Tribunal Superior de Justicia de las Illes Balears, por providencia de 11 de septiembre de 2018, confirió un plazo de diez días a las partes perso</w:t>
      </w:r>
      <w:r>
        <w:lastRenderedPageBreak/>
        <w:t>nadas para que pudieran alegar respecto de la eventual existencia de una nulidad de actuaciones desde la providencia de la Sección Segunda de la Audiencia Provincial de Palma de Mallorca 9 de mayo de 2018, en la que se abrió plazo de diez días para interponer recurso de apelación, por carecer de competencia para dictarla.</w:t>
      </w:r>
    </w:p>
    <w:p w:rsidR="005728DD" w:rsidRDefault="005728DD" w:rsidP="005728DD">
      <w:pPr>
        <w:pStyle w:val="TextoNormal"/>
      </w:pPr>
    </w:p>
    <w:p w:rsidR="005728DD" w:rsidRDefault="005728DD" w:rsidP="005728DD">
      <w:pPr>
        <w:pStyle w:val="TextoNormal"/>
      </w:pPr>
      <w:r>
        <w:t>Por auto de 1 de octubre de 2018 se acordó declarar la nulidad de todo lo actuado en el procedimiento por la Sección Segunda de la Audiencia Provincial de Palma de Mallorca desde su providencia de 9 de mayo de 2018, argumentando que dicho órgano judicial carecía de competencia para acordar un nuevo plazo de presentación del recurso de apelación tras la sentencia de la Sala de lo Penal del Tribunal Supremo que acordó no haber lugar al previo recurso de casación y solo le cabía “acordar la firmeza de su sentencia y ejecutarla”.</w:t>
      </w:r>
    </w:p>
    <w:p w:rsidR="005728DD" w:rsidRDefault="005728DD" w:rsidP="005728DD">
      <w:pPr>
        <w:pStyle w:val="TextoNormal"/>
      </w:pPr>
    </w:p>
    <w:p w:rsidR="005728DD" w:rsidRDefault="005728DD" w:rsidP="005728DD">
      <w:pPr>
        <w:pStyle w:val="TextoNormal"/>
      </w:pPr>
      <w:r>
        <w:t>f) El recurrente se adhirió al incidente de nulidad de actuaciones interpuesto contra el anterior auto por otro de los condenados, en que se invocaba la vulneración de los derechos a la tutela judicial efectiva (art. 24.1 CE) y a un proceso con todas garantías y a la defensa (art. 24.2 CE) al haber sido privado de una doble instancia penal revisora en virtud de una errónea indicación de recursos. El incidente y la adhesión del recurrente fue desestimado por auto de 26 de noviembre de 2018, por remisión a los razonamientos expuestos en el auto impugnado.</w:t>
      </w:r>
    </w:p>
    <w:p w:rsidR="005728DD" w:rsidRDefault="005728DD" w:rsidP="005728DD">
      <w:pPr>
        <w:pStyle w:val="TextoNormal"/>
      </w:pPr>
    </w:p>
    <w:p w:rsidR="005728DD" w:rsidRDefault="005728DD" w:rsidP="005728DD">
      <w:pPr>
        <w:pStyle w:val="TextoNormal"/>
      </w:pPr>
      <w:r w:rsidRPr="005728DD">
        <w:rPr>
          <w:rStyle w:val="NumeroAFNegritaCaracter"/>
        </w:rPr>
        <w:t>3</w:t>
      </w:r>
      <w:r>
        <w:t>. El recurrente solicita que se estime el recurso de amparo por vulneración del derecho a la tutela judicial efectiva (art. 24.1 CE), declarándose la nulidad de los autos impugnados y que es conforme a derecho la providencia de la Sección Segunda de la Audiencia Provincial de Palma de Mallorca de 9 de mayo de 2018.</w:t>
      </w:r>
    </w:p>
    <w:p w:rsidR="005728DD" w:rsidRDefault="005728DD" w:rsidP="005728DD">
      <w:pPr>
        <w:pStyle w:val="TextoNormal"/>
      </w:pPr>
    </w:p>
    <w:p w:rsidR="005728DD" w:rsidRDefault="005728DD" w:rsidP="005728DD">
      <w:pPr>
        <w:pStyle w:val="TextoNormal"/>
      </w:pPr>
      <w:r>
        <w:t>El recurrente fundamenta la invocación del derecho a la tutela judicial efectiva en que las resoluciones impugnadas, al anular la providencia que posibilitó formalizar el recurso de apelación, han impedido la posibilidad de que se haga efectivo su derecho a la segunda instancia penal frente a las sentencias condenatorias, al no haber tomado en consideración, contra lo establecido en la jurisprudencia constitucional, que la sentencia condenatoria incurrió en una errónea identificación del recurso procedente, lo que fue determinante de la declaración de no haber lugar al recurso de casación.</w:t>
      </w:r>
    </w:p>
    <w:p w:rsidR="005728DD" w:rsidRDefault="005728DD" w:rsidP="005728DD">
      <w:pPr>
        <w:pStyle w:val="TextoNormal"/>
      </w:pPr>
    </w:p>
    <w:p w:rsidR="005728DD" w:rsidRDefault="005728DD" w:rsidP="005728DD">
      <w:pPr>
        <w:pStyle w:val="TextoNormal"/>
      </w:pPr>
      <w:r>
        <w:t>El recurrente expone que la demanda de amparo tiene especial transcendencia constitucional ya que suscita la vulneración de este derecho vinculado al régimen transitorio establecido con motivo de la entrada en vigor del nuevo sistema de recursos penales provocado por la Ley 41/2015, de 5 de octubre.</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25 de noviembre de 2019, acordó la admisión a trámite del recurso de amparo, apreciando que concurre una especial trascendencia constitucional porque el recurso puede dar ocasión al tribunal para aclarar o cambiar su doctrina, como consecuencia de un proceso de reflexión interna [STC 155/2009, de 25 de junio, FJ 2 b)] y, en aplicación de lo dispuesto por el art. 51 de la Ley Orgánica del Tribunal Constitucional, requerir de los órganos judiciales, una vez que ya se había solicitado la remisión de las actuaciones en el recurso de amparo núm. 469-2019, el emplazamiento de quienes hubieran sido parte en el procedimiento, a excepción de la recurrente, para que pudiesen comparecer en el plazo de diez días en el citado proceso de amparo.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La secretaría de justicia de la Sala Segunda de este tribunal, por diligencia de ordenación de 14 de enero de 2020, acordó tener por personado a don Radostin Mitkov Mitev, representado por el procurador de los tribunales don Pedro Antonio González Sánchez, y dar vista de las actuaciones al Ministerio Fiscal y a las partes personadas por un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el 6 de febrero de 2020, formuló alegaciones interesando la estimación del recurso de amparo por vulneración del derecho a un proceso con todas las garantías (art. 24.2 CE), con anulación de las resoluciones judiciales impugnadas y retroacción de actuaciones para que se pronuncie una resolución respetuosa con el derecho fundamental reconocido.</w:t>
      </w:r>
    </w:p>
    <w:p w:rsidR="005728DD" w:rsidRDefault="005728DD" w:rsidP="005728DD">
      <w:pPr>
        <w:pStyle w:val="TextoNormal"/>
      </w:pPr>
    </w:p>
    <w:p w:rsidR="005728DD" w:rsidRDefault="005728DD" w:rsidP="005728DD">
      <w:pPr>
        <w:pStyle w:val="TextoNormal"/>
      </w:pPr>
      <w:r>
        <w:t>A esos efectos, el Ministerio Fiscal argumenta, con cita de la jurisprudencia constitucional sobre la relevancia de la doble instancia penal revisora y la influencia que sobre esa garantía puede tener la errónea indicación de recursos, que en el presente caso se ha vulnerado el derecho invocado una vez constatado que existió una errónea indicación de recursos en la sentencia condenatoria de instancia y que, a consecuencia de haberse seguido dicha indicación, se ha perdido la posibilidad de que la condena hubiera podido ser revisada en virtud de una sucesión de resoluciones judiciales dictadas por el Tribunal Superior de Justicia de las Illes Balears que han hecho una interpretación rigorista y desproporcionada de la normativa procesal.</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comparecida, por escrito de 17 de febrero de 2020, formuló alegaciones adhiriéndose a las peticiones del recurrente.</w:t>
      </w:r>
    </w:p>
    <w:p w:rsidR="005728DD" w:rsidRDefault="005728DD" w:rsidP="005728DD">
      <w:pPr>
        <w:pStyle w:val="TextoNormal"/>
      </w:pPr>
    </w:p>
    <w:p w:rsidR="005728DD" w:rsidRDefault="005728DD" w:rsidP="005728DD">
      <w:pPr>
        <w:pStyle w:val="TextoNormal"/>
      </w:pPr>
      <w:r w:rsidRPr="005728DD">
        <w:rPr>
          <w:rStyle w:val="NumeroAFNegritaCaracter"/>
        </w:rPr>
        <w:t>8</w:t>
      </w:r>
      <w:r>
        <w:t>. El recurrente no formuló alegaciones.</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21 de enero de 2021 se señaló para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El objeto del recurso</w:t>
      </w:r>
      <w:r>
        <w:t>: El objeto de este recurso es determinar si las decisiones judiciales impugnadas han vulnerado el derecho del demandante de amparo a un proceso con todas las garantías (art. 24.2 CE), al haber imposibilitado que pudiera hacer efectivo el derecho a una segunda instancia penal revisora de su condena, a pesar de su actitud diligente de haber seguido la indicación de recursos efectuada en la sentencia condenatoria de instancia.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 especial transcendencia constitucional de la demanda</w:t>
      </w:r>
      <w:r>
        <w:t>: La presente demanda de amparo, como ya se indicó en la providencia de admisión, tiene especial transcendencia constitucional porque el recurso puede dar ocasión al tribunal para aclarar o cambiar su doctrina, como consecuencia de un proceso de reflexión interna [STC 155/2009, FJ 2 b)].</w:t>
      </w:r>
    </w:p>
    <w:p w:rsidR="005728DD" w:rsidRDefault="005728DD" w:rsidP="005728DD">
      <w:pPr>
        <w:pStyle w:val="TextoNormal"/>
      </w:pPr>
    </w:p>
    <w:p w:rsidR="005728DD" w:rsidRDefault="005728DD" w:rsidP="005728DD">
      <w:pPr>
        <w:pStyle w:val="TextoNormal"/>
      </w:pPr>
      <w:r>
        <w:lastRenderedPageBreak/>
        <w:t>La jurisprudencia constitucional ya ha abordado en diversas ocasiones tanto la configuración del derecho a una segunda instancia penal revisora de una declaración de culpabilidad, como una de las dimensiones configuradoras del derecho a un proceso con todas las garantías (art. 24.2 CE), como la relevancia constitucional que puede adquirir seguir una eventual errónea indicación de recursos en las decisiones judiciales. El presente recurso otorga a este tribunal la posibilidad de que se pronuncie y aclare la proyección que podría tener el seguir la errónea indicación de recursos sobre el derecho a la segunda instancia penal revisora de una declaración de culpabilidad en el contexto creado por la nueva regulación del sistema de recursos penales y su régimen transitorio establecidos por la Ley 41/2015, de 5 de octubre, de modificación de la Ley de enjuiciamiento criminal para la agilización de la justicia penal y el fortalecimiento de las garantías procesales.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La jurisprudencia constitucional sobre el derecho a la doble instancia penal revisora de una declaración de culpabilidad y sobre la errónea indicación de recursos</w:t>
      </w:r>
      <w:r>
        <w:t>: La jurisprudencia constitucional ha reiterado dos ideas esenciales en relación con el derecho a la doble instancia penal revisora de una declaración de culpabilidad (por ejemplo, SSTC 7/2015, 22 de enero, FJ 3; 194/2015, de 21 de septiembre, FJ 5, o 124/2019, de 28 de octubre, FJ 3):</w:t>
      </w:r>
    </w:p>
    <w:p w:rsidR="005728DD" w:rsidRDefault="005728DD" w:rsidP="005728DD">
      <w:pPr>
        <w:pStyle w:val="TextoNormal"/>
      </w:pPr>
    </w:p>
    <w:p w:rsidR="005728DD" w:rsidRDefault="005728DD" w:rsidP="005728DD">
      <w:pPr>
        <w:pStyle w:val="TextoNormal"/>
      </w:pPr>
      <w:r>
        <w:t>a) Este derecho, aunque no esté expresamente recogido en el art. 24.2 CE, es una de las garantías del proceso penal, que también está reconocido tanto en el art. 14.5 del Pacto internacional de derechos civiles y políticos de 1966 (“Toda persona declarada culpable de un delito tendrá derecho a que el fallo condenatorio y la pena que se le haya impuesto sean sometidos a un tribunal superior, conforme a lo prescrito por la ley”) como en el art. 2.1 del protocolo núm. 7 del Convenio europeo para la protección de los derechos humanos y de las libertades fundamentales (“[t]oda persona declarada culpable de una infracción penal por un tribunal tendrá derecho a que la declaración de culpabilidad o la condena sea examinada por una jurisdicción superior. El ejercicio de ese derecho, incluidos los motivos por los cuales pueda ser ejercitado, se regularán por ley”).</w:t>
      </w:r>
    </w:p>
    <w:p w:rsidR="005728DD" w:rsidRDefault="005728DD" w:rsidP="005728DD">
      <w:pPr>
        <w:pStyle w:val="TextoNormal"/>
      </w:pPr>
    </w:p>
    <w:p w:rsidR="005728DD" w:rsidRDefault="005728DD" w:rsidP="005728DD">
      <w:pPr>
        <w:pStyle w:val="TextoNormal"/>
      </w:pPr>
      <w:r>
        <w:t xml:space="preserve">b) Este derecho, en tanto que garantía constitucionalizada, tiene en el ámbito sancionador y respecto de sentencias condenatorias un diferente alcance que el derecho al recurso en otros órdenes jurisdiccionales no sancionatorios, siendo más cercano al derecho de acceso a la jurisdicción en la medida en que incluye también la utilización del principio </w:t>
      </w:r>
      <w:r w:rsidRPr="005728DD">
        <w:rPr>
          <w:i/>
        </w:rPr>
        <w:t>pro actione</w:t>
      </w:r>
      <w:r>
        <w:t>. De ese modo, también en este ámbito quedan constitucionalmente proscritas aquellas decisiones judiciales impeditivas de una efectiva revisión de una declaración de culpabilidad que por su rigorismo, por su formalismo excesivo o por cualquier otra razón revelen una clara desproporción entre los fines que se intentan preservar y los intereses que se sacrifican o que supongan interpretaciones o aplicaciones de las reglas disciplinadoras de los requisitos y formas de las secuencias procesales en sentidos que, aunque puedan aparecer acomodados al tenor literal del texto en que se encierra la norma, son contrarios al espíritu y a la finalidad de esta.</w:t>
      </w:r>
    </w:p>
    <w:p w:rsidR="005728DD" w:rsidRDefault="005728DD" w:rsidP="005728DD">
      <w:pPr>
        <w:pStyle w:val="TextoNormal"/>
      </w:pPr>
    </w:p>
    <w:p w:rsidR="005728DD" w:rsidRDefault="005728DD" w:rsidP="005728DD">
      <w:pPr>
        <w:pStyle w:val="TextoNormal"/>
      </w:pPr>
      <w:r>
        <w:t xml:space="preserve">Por su parte, la jurisprudencia constitucional también ha establecido de manera reiterada que la instrucción o información errónea acerca de los recursos facilitada por los órganos judiciales, dada la </w:t>
      </w:r>
      <w:r w:rsidRPr="005728DD">
        <w:rPr>
          <w:i/>
        </w:rPr>
        <w:t>auctoritas</w:t>
      </w:r>
      <w:r>
        <w:t xml:space="preserve"> que corresponde a quien la hizo constar, es susceptible de inducir a un error a la parte litigante, que hay que considerar en todo caso excusable dada la autoridad que necesariamente ha de merecer la decisión judicial, ya que si se han ofrecido indicaciones equivocadas sobre los recursos utilizables, el interesado, aun estando asistido </w:t>
      </w:r>
      <w:r>
        <w:lastRenderedPageBreak/>
        <w:t>por expertos en la materia, podría entender por la autoridad inherente a la decisión judicial, que tales indicaciones fueran ciertas y obrar en consecuencia (así, por ejemplo, SSTC 112/2009, de 11 de mayo, FJ 2; 47/2014, 7 de abril, FJ 4, o 60/2017, de 22 de mayo, FJ 5).</w:t>
      </w:r>
    </w:p>
    <w:p w:rsidR="005728DD" w:rsidRDefault="005728DD" w:rsidP="005728DD">
      <w:pPr>
        <w:pStyle w:val="TextoNormal"/>
      </w:pPr>
    </w:p>
    <w:p w:rsidR="005728DD" w:rsidRDefault="005728DD" w:rsidP="005728DD">
      <w:pPr>
        <w:pStyle w:val="TextoNormal"/>
      </w:pPr>
      <w:r>
        <w:t xml:space="preserve">La confluencia de ambos criterios jurisprudenciales determina que este tribunal deba concluir que, desde la perspectiva del derecho a un proceso con todas garantías (art. 24.2 CE), en su concreta dimensión del derecho a una segunda instancia penal revisora de una declaración de culpabilidad, es preciso que en vía judicial se pondere adecuadamente, por las exigencias propias del principio </w:t>
      </w:r>
      <w:r w:rsidRPr="005728DD">
        <w:rPr>
          <w:i/>
        </w:rPr>
        <w:t>pro actione</w:t>
      </w:r>
      <w:r>
        <w:t xml:space="preserve"> aplicable a este derecho, la circunstancia de que la vía legal impugnatoria seleccionada por el condenado sea el resultado de haber seguido las indicaciones contenidas en la resolución condenatoria con el fin de que no quede frustrada la efectividad de este derecho cuando dicha indicación pudiera haber resultado errónea.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jurisprudencia constitucional al supuesto enjuiciado</w:t>
      </w:r>
      <w:r>
        <w:t>: En el presente caso, como ha sido desarrollado más detenidamente en los antecedentes, han quedado acreditado los siguientes extremos: a) la resolución condenatoria de instancia indicó al demandante de amparo que su declaración de culpabilidad era impugnable mediante la interposición del recurso de casación; b) el demandante de amparo, siguiendo esa indicación, anunció y formalizó el recurso de casación que, tras su completa sustanciación, finalizó en una sentencia desestimatoria que no permitía hacer efectivo la revisión de la condena por considerar el órgano judicial de casación que el recurso procedente era el de apelación ante la Sala de lo Civil y lo Penal del Tribunal Superior de Justicia; c) el demandante de amparo instó ante el órgano judicial de instancia la nulidad de la sentencia condenatoria en el extremo relativo a la errónea indicación de la vía impugnatoria con la finalidad de poder hacer efectiva la revisión de su condena; d) el órgano judicial de instancia acordó conferir al demandante de amparo un plazo de diez días para interponer recurso de apelación ante la Sala de lo Civil y Penal del Tribunal Superior de Justicia de las Illes Balears; y e) una vez formalizado el recurso de apelación, el órgano judicial competente para su resolución acordó la nulidad de la decisión del órgano judicial de instancia que había otorgado nuevo plazo para la interposición del recurso de apelación argumentando su falta de competencia para ese particular y que solo le cabía “acordar la firmeza de su sentencia y ejecutarla”, una vez que se había declarado no haber lugar al recurso de casación.</w:t>
      </w:r>
    </w:p>
    <w:p w:rsidR="005728DD" w:rsidRDefault="005728DD" w:rsidP="005728DD">
      <w:pPr>
        <w:pStyle w:val="TextoNormal"/>
      </w:pPr>
    </w:p>
    <w:p w:rsidR="005728DD" w:rsidRDefault="005728DD" w:rsidP="005728DD">
      <w:pPr>
        <w:pStyle w:val="TextoNormal"/>
      </w:pPr>
      <w:r>
        <w:t xml:space="preserve">En atención a lo expuesto, y tal como también interesa el Ministerio Fiscal, este tribunal tiene que concluir que se ha vulnerado el derecho del demandante de amparo a un proceso con todas las garantías (art. 24.2 CE). La decisión de la Sala de lo Civil y lo Penal del Tribunal Superior de Justicia de las Illes Balears de anular la previa decisión de la Audiencia Provincial de Palma de Mallorca de salvar su errónea indicación del recurso procedente para impugnar la condena del demandante de amparo otorgándole un nuevo plazo para presentar el procedente recurso de apelación y considerar que solo cabía la declaración de firmeza y la ejecución de la sentencia condenatoria no resulta conforme con el contenido constitucional del derecho a una segunda instancia penal revisora de una declaración de culpabilidad. Esa decisión resulta en exceso rigorista y es contraria a las exigencias derivadas del principio </w:t>
      </w:r>
      <w:r w:rsidRPr="005728DD">
        <w:rPr>
          <w:i/>
        </w:rPr>
        <w:t>pro actione</w:t>
      </w:r>
      <w:r>
        <w:t xml:space="preserve">, ya que no ha ponderado adecuadamente, por un lado, que la frustración de la vía impugnatoria casacional seleccionada por el condenado traía causa directa de haber seguido fielmente la indicación de la sentencia condenatoria de instancia y, por otro, que la anulación de la decisión de la audiencia provincial de permitir la interposición del recurso </w:t>
      </w:r>
      <w:r>
        <w:lastRenderedPageBreak/>
        <w:t>de apelación impedía al demandante de amparo de manera definitiva la posibilidad de someter la declaración condenatoria a la revisión de un tribunal superior por el mero hecho de haber seguido la autoridad inherente a una decisión judicial.</w:t>
      </w:r>
    </w:p>
    <w:p w:rsidR="005728DD" w:rsidRDefault="005728DD" w:rsidP="005728DD">
      <w:pPr>
        <w:pStyle w:val="TextoNormal"/>
      </w:pPr>
    </w:p>
    <w:p w:rsidR="005728DD" w:rsidRDefault="005728DD" w:rsidP="005728DD">
      <w:pPr>
        <w:pStyle w:val="TextoNormal"/>
      </w:pPr>
      <w:r>
        <w:t>La vulneración del derecho a un proceso con todas las garantías (art. 24.2 CE) determina la declaración de nulidad de las resoluciones judiciales impugnadas, en el exclusivo extremo referido a la declaración de nulidad de todo lo actuado desde la providencia de 9 de mayo de 2018 en la medida en que confirió al demandante de amparo el plazo de diez días para interponer recurso de apelación, y que se acuerde la retroacción de actuaciones para que se pronuncie una nueva resolución respetuosa con el derecho fundamental que se declarada vulnerado respecto de ese particular.</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otorgar el amparo a don Rusi Ventsislavov Ivanov y, en su virtud:</w:t>
      </w:r>
    </w:p>
    <w:p w:rsidR="005728DD" w:rsidRDefault="005728DD" w:rsidP="005728DD">
      <w:pPr>
        <w:pStyle w:val="TextoNormal"/>
      </w:pPr>
    </w:p>
    <w:p w:rsidR="005728DD" w:rsidRDefault="005728DD" w:rsidP="005728DD">
      <w:pPr>
        <w:pStyle w:val="TextoNormal"/>
      </w:pPr>
      <w:r>
        <w:t>1º Declarar que ha sido vulnerado el derecho del demandante de amparo a un proceso con todas las garantías (art. 24.2 CE), en su dimensión del derecho a una segunda instancia penal revisora de una declaración de culpabilidad.</w:t>
      </w:r>
    </w:p>
    <w:p w:rsidR="005728DD" w:rsidRDefault="005728DD" w:rsidP="005728DD">
      <w:pPr>
        <w:pStyle w:val="TextoNormal"/>
      </w:pPr>
    </w:p>
    <w:p w:rsidR="005728DD" w:rsidRDefault="005728DD" w:rsidP="005728DD">
      <w:pPr>
        <w:pStyle w:val="TextoNormal"/>
      </w:pPr>
      <w:r>
        <w:t>2º Restablecerle en su derecho y, en consecuencia, declarar la nulidad de los autos de la Sala de lo Civil y de lo Penal del Tribunal Superior de Justicia de las Illes Balears de 1 de octubre de 2018 y de 26 de octubre de 2018, pronunciados en el rollo de apelación 7-2018, en el extremo relativo a la declaración de nulidad del plazo otorgado para la interposición del recurso de apelación respecto del demandante de amparo.</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del primero de los autos anulados, a fin de que se pronuncie una nueva resolución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 w:name="SENTENCIA_2021_5"/>
      <w:r>
        <w:lastRenderedPageBreak/>
        <w:t>SENTENCIA 5/2021, de 25 de enero de 2021</w:t>
      </w:r>
    </w:p>
    <w:bookmarkEnd w:id="8"/>
    <w:p w:rsidR="005728DD" w:rsidRDefault="005728DD" w:rsidP="005728DD">
      <w:pPr>
        <w:pStyle w:val="TtuloResolucin"/>
      </w:pPr>
      <w:r>
        <w:t>Sala Segunda</w:t>
      </w:r>
    </w:p>
    <w:p w:rsidR="005728DD" w:rsidRDefault="005728DD" w:rsidP="005728DD">
      <w:pPr>
        <w:pStyle w:val="TtuloBOE"/>
      </w:pPr>
      <w:r>
        <w:t>(BOE núm. 46, de 23 de febrero de 2021)</w:t>
      </w:r>
    </w:p>
    <w:p w:rsidR="005728DD" w:rsidRDefault="005728DD" w:rsidP="005728DD">
      <w:pPr>
        <w:pStyle w:val="TextoNormalCentrado"/>
      </w:pPr>
      <w:r>
        <w:t>ECLI:ES:TC:2021:5</w:t>
      </w:r>
    </w:p>
    <w:p w:rsidR="005728DD" w:rsidRDefault="005728DD" w:rsidP="005728DD">
      <w:pPr>
        <w:pStyle w:val="TextoNormalCentrado"/>
      </w:pPr>
    </w:p>
    <w:p w:rsidR="005728DD" w:rsidRDefault="005728DD" w:rsidP="005728DD">
      <w:pPr>
        <w:pStyle w:val="SntesisDescriptiva"/>
      </w:pPr>
      <w:r>
        <w:t>Recurso de amparo 1331-2019. Promovido por don Maximino Antonio Martínez Suárez y otras quince personas más respecto de la resolución del Tribunal Administrativo del Deporte que declaró que aquellos habían vulnerado el deber de neutralidad que deben observar, en tanto que presidentes de federaciones territoriales, en el proceso electoral a la presidencia de la Real Federación Española de Fútbol.</w:t>
      </w:r>
    </w:p>
    <w:p w:rsidR="005728DD" w:rsidRDefault="005728DD" w:rsidP="005728DD">
      <w:pPr>
        <w:pStyle w:val="SntesisDescriptiva"/>
      </w:pPr>
    </w:p>
    <w:p w:rsidR="005728DD" w:rsidRDefault="005728DD" w:rsidP="005728DD">
      <w:pPr>
        <w:pStyle w:val="SntesisAnaltica"/>
      </w:pPr>
      <w:r>
        <w:t>Supuesta vulneración de las libertades de expresión e información y de los derechos a la igualdad y de defensa: improcedencia de la invocación de derechos fundamentales de quienes actúan en el desempeño de funciones públicas.</w:t>
      </w:r>
    </w:p>
    <w:p w:rsidR="005728DD" w:rsidRDefault="005728DD" w:rsidP="005728DD">
      <w:pPr>
        <w:pStyle w:val="SntesisAnaltica"/>
      </w:pPr>
    </w:p>
    <w:p w:rsidR="005728DD" w:rsidRDefault="005728DD" w:rsidP="005728DD">
      <w:pPr>
        <w:pStyle w:val="Extracto"/>
      </w:pPr>
      <w:r>
        <w:t>1.</w:t>
      </w:r>
      <w:r>
        <w:tab/>
        <w:t>Reiteración doctrina constitucional sobre libertades de expresión e información [FJ 4].</w:t>
      </w:r>
    </w:p>
    <w:p w:rsidR="005728DD" w:rsidRDefault="005728DD" w:rsidP="005728DD">
      <w:pPr>
        <w:pStyle w:val="Extracto"/>
      </w:pPr>
    </w:p>
    <w:p w:rsidR="005728DD" w:rsidRDefault="005728DD" w:rsidP="005728DD">
      <w:pPr>
        <w:pStyle w:val="Extracto"/>
      </w:pPr>
      <w:r>
        <w:t>2.</w:t>
      </w:r>
      <w:r>
        <w:tab/>
        <w:t>Las federaciones deportivas han de dotarse de órganos directivos y de representación que se rijan por principios de legitimidad democrática, para cuyo cumplimiento el ordenamiento jurídico-administrativo les dota de potestades públicas que garanticen la objetividad, la transparencia y la imparcialidad en el devenir de aquellos procesos [FJ 5].</w:t>
      </w:r>
    </w:p>
    <w:p w:rsidR="005728DD" w:rsidRDefault="005728DD" w:rsidP="005728DD">
      <w:pPr>
        <w:pStyle w:val="Extracto"/>
      </w:pPr>
    </w:p>
    <w:p w:rsidR="005728DD" w:rsidRDefault="005728DD" w:rsidP="005728DD">
      <w:pPr>
        <w:pStyle w:val="Extracto"/>
      </w:pPr>
      <w:r>
        <w:t>3.</w:t>
      </w:r>
      <w:r>
        <w:tab/>
        <w:t>La exigencia del deber de neutralidad forma parte de la potestad pública, de tal manera que cuando los órganos federativos o sus miembros actúan o toman iniciativas haciendo expresa mención a sus cargos u órganos federativos y lo hacen ostentando tal condición, no pueden invocar en su actuación la titularidad y el ejercicio de derechos fundamentales, que solo están reservados a los ciudadanos particulares, pero no a órganos o representantes de una entidad que se halle en aquel momento en el desempeño de funciones públicas, cuyos actos siempre han de estar vinculados a los fines que les asigne el ordenamiento jurídico [FJ 5].</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lastRenderedPageBreak/>
        <w:t>SENTENCIA</w:t>
      </w:r>
    </w:p>
    <w:p w:rsidR="005728DD" w:rsidRDefault="005728DD" w:rsidP="005728DD">
      <w:pPr>
        <w:pStyle w:val="TextoNormalCentrado"/>
        <w:keepNext/>
      </w:pPr>
    </w:p>
    <w:p w:rsidR="005728DD" w:rsidRDefault="005728DD" w:rsidP="005728DD">
      <w:pPr>
        <w:pStyle w:val="TextoNormal"/>
      </w:pPr>
      <w:r>
        <w:t>En el recurso de amparo núm. 1331-2019, promovido por don Maximino Antonio Martínez Suárez, don José Ángel Peláez Montes, don Andreu Subies i Porcada, don Antonio García Gaona, don Antonio Escribano Ramos, don Marcelino Santiago Maté Martínez, don Pedro Ángel Rocha Junco, don Jacinto Andrés Alonso Marañón, don Diego Martínez Gómez, don José Miguel Monje Carrillo, don Luis María Elustondo Ciarreta, don Vicente Muñoz Castelló, don Miguel Bestard Cabot, don José Rafael Del Amo Arizu, don Francisco Javier Díez Ibáñez y don Antonio Suárez Santana, contra la resolución de 27 de abril de 2017 del Tribunal Administrativo del Deporte, que estimó parcialmente el recurso interpuesto por don Miguel Ángel Galán Castellanos, contra la denegación por silencio administrativo de la denuncia presentada por este último ante la Comisión Electoral de la Real Federación Española de Fútbol, relativa a la aprobación y publicación en las páginas webs de dos federaciones territoriales, de una “Carta de apoyo a D. Ángel María Villar”, firmada por los ahora demandantes de amparo, en cuanto presidentes de dieciséis federaciones territoriales de fútbol. Ha comparecido y formulado alegaciones el abogado del Estado y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de este tribunal el día 1 de marzo de 2019, la procuradora de los tribunales doña María Yolanda Ortiz Alfonso, en nombre y representación de las dieciséis personas anteriormente mencionadas, interpuso recurso de amparo, por vulneración de sus derechos a las libertades de expresión e información, igualdad y defensa procesal contra la resolución de 27 de abril de 2017 del Tribunal Administrativo del Deporte, que había estimado parcialmente el recurso interpuesto por don Miguel Ángel Galán Castellano contra la denegación presunta, operada por silencio administrativo, de la denuncia que este había formalizado ante la Comisión Electoral de la Real Federación Española de Fútbol, relativa a la aprobación y publicación en las páginas webs de dos federaciones territoriales de fútbol, de una “Carta de apoyo a D. Ángel María Villar”, firmada por los ahora demandantes de amparo, en cuanto presidentes de dieciséis de aquellas federaciones territoriales de fútbol.</w:t>
      </w:r>
    </w:p>
    <w:p w:rsidR="005728DD" w:rsidRDefault="005728DD" w:rsidP="005728DD">
      <w:pPr>
        <w:pStyle w:val="TextoNormal"/>
      </w:pPr>
    </w:p>
    <w:p w:rsidR="005728DD" w:rsidRDefault="005728DD" w:rsidP="005728DD">
      <w:pPr>
        <w:pStyle w:val="TextoNormal"/>
      </w:pPr>
      <w:r w:rsidRPr="005728DD">
        <w:rPr>
          <w:rStyle w:val="NumeroAFNegritaCaracter"/>
        </w:rPr>
        <w:t>2</w:t>
      </w:r>
      <w:r>
        <w:t>. La demanda, en lo que ahora es de interés, trae causa de los siguientes hechos:</w:t>
      </w:r>
    </w:p>
    <w:p w:rsidR="005728DD" w:rsidRDefault="005728DD" w:rsidP="005728DD">
      <w:pPr>
        <w:pStyle w:val="TextoNormal"/>
      </w:pPr>
    </w:p>
    <w:p w:rsidR="005728DD" w:rsidRDefault="005728DD" w:rsidP="005728DD">
      <w:pPr>
        <w:pStyle w:val="TextoNormal"/>
      </w:pPr>
      <w:r>
        <w:t>a) La junta directiva de la Real Federación Española de Fútbol (RFEF) acordó iniciar, en fecha 13 de febrero de 2017, el proceso de convocatoria de elecciones a la asamblea general y a la presidencia de la Federación, que comenzaría el día 17 de febrero siguiente, “para finalizar el 22 de mayo con la celebración de la sesión de la asamblea general para las elecciones de presidente y comisión delegada”. El anuncio de la convocatoria fue publicado, entre otros lugares, en la web oficial de la RFEF el precitado día 13 de febrero de 2017 (https://www.rfef.es/noticias/comunicado-oficial-convocatoria-elecciones-presidencia-rfef).</w:t>
      </w:r>
    </w:p>
    <w:p w:rsidR="005728DD" w:rsidRDefault="005728DD" w:rsidP="005728DD">
      <w:pPr>
        <w:pStyle w:val="TextoNormal"/>
      </w:pPr>
    </w:p>
    <w:p w:rsidR="005728DD" w:rsidRDefault="005728DD" w:rsidP="005728DD">
      <w:pPr>
        <w:pStyle w:val="TextoNormal"/>
      </w:pPr>
      <w:r>
        <w:t xml:space="preserve">El proceso electoral así iniciado se regularía por el reglamento electoral de la Real Federación Española de Fútbol, aprobado por la Comisión Directiva del Consejo Superior de </w:t>
      </w:r>
      <w:r>
        <w:lastRenderedPageBreak/>
        <w:t>Deportes en su sesión del día 31 de enero de 2017, que fue inscrito en el registro de asociaciones deportivas el día 17 de febrero siguiente.</w:t>
      </w:r>
    </w:p>
    <w:p w:rsidR="005728DD" w:rsidRDefault="005728DD" w:rsidP="005728DD">
      <w:pPr>
        <w:pStyle w:val="TextoNormal"/>
      </w:pPr>
    </w:p>
    <w:p w:rsidR="005728DD" w:rsidRDefault="005728DD" w:rsidP="005728DD">
      <w:pPr>
        <w:pStyle w:val="TextoNormal"/>
      </w:pPr>
      <w:r>
        <w:t>b) Iniciado ya el proceso electoral, los ahora recurrentes, en su calidad de presidentes de las federaciones territoriales de fútbol del Principado de Asturias, Islas Baleares, Islas Canarias, Cantabria, Castilla-La Mancha, Castilla y León, Cataluña, Ceuta, Extremadura, Madrid, Melilla, Murcia, Navarra, La Rioja, Valencia y País Vasco, firmaron un escrito encabezado por la rúbrica “</w:t>
      </w:r>
      <w:r w:rsidRPr="005728DD">
        <w:rPr>
          <w:i/>
        </w:rPr>
        <w:t>Carta de apoyo a D. Ángel María Villar</w:t>
      </w:r>
      <w:r>
        <w:t>”, presidente entonces de la Real Federación Española de Fútbol y precandidato a la reelección, que fue publicado en las páginas web oficiales de las Federaciones Territoriales del Principado de Asturias y de Cantabria el día 23 de febrero de 2017.</w:t>
      </w:r>
    </w:p>
    <w:p w:rsidR="005728DD" w:rsidRDefault="005728DD" w:rsidP="005728DD">
      <w:pPr>
        <w:pStyle w:val="TextoNormal"/>
      </w:pPr>
    </w:p>
    <w:p w:rsidR="005728DD" w:rsidRDefault="005728DD" w:rsidP="005728DD">
      <w:pPr>
        <w:pStyle w:val="TextoNormal"/>
      </w:pPr>
      <w:r>
        <w:t>c) El texto literal de la carta era el siguiente:</w:t>
      </w:r>
    </w:p>
    <w:p w:rsidR="005728DD" w:rsidRDefault="005728DD" w:rsidP="005728DD">
      <w:pPr>
        <w:pStyle w:val="TextoNormal"/>
      </w:pPr>
    </w:p>
    <w:p w:rsidR="005728DD" w:rsidRDefault="005728DD" w:rsidP="005728DD">
      <w:pPr>
        <w:pStyle w:val="TextoNormal"/>
      </w:pPr>
      <w:r>
        <w:t>“Catorce años de acoso y persecución.</w:t>
      </w:r>
    </w:p>
    <w:p w:rsidR="005728DD" w:rsidRDefault="005728DD" w:rsidP="005728DD">
      <w:pPr>
        <w:pStyle w:val="TextoNormal"/>
      </w:pPr>
    </w:p>
    <w:p w:rsidR="005728DD" w:rsidRDefault="005728DD" w:rsidP="005728DD">
      <w:pPr>
        <w:pStyle w:val="TextoNormal"/>
      </w:pPr>
      <w:r>
        <w:t>El próximo 22 de mayo se celebrarán elecciones a la presidencia de la RFEF. Concluirá en ese preciso momento el proceso que situará al frente de la Real Federación Española de Fútbol al vencedor en las urnas. Las urnas son soberanas.</w:t>
      </w:r>
    </w:p>
    <w:p w:rsidR="005728DD" w:rsidRDefault="005728DD" w:rsidP="005728DD">
      <w:pPr>
        <w:pStyle w:val="TextoNormal"/>
      </w:pPr>
    </w:p>
    <w:p w:rsidR="005728DD" w:rsidRDefault="005728DD" w:rsidP="005728DD">
      <w:pPr>
        <w:pStyle w:val="TextoNormal"/>
      </w:pPr>
      <w:r>
        <w:t>Un total de 140 electores decidirá quién conduce los destinos de la RFEF a partir de ese instante y se pondrá fin así a un proceso que algunas partes han convertido en especialmente tortuoso y muy difícil de concretar. No ha sido el caso de la Real Federación Española de Fútbol, siempre dispuesta a la elaboración del Reglamento adecuado, ni de sus dirigentes y, en especial, de Ángel Villar, sometidos a una persecución implacable. Como en todas ellas, sus autores tienen nombres y apellidos.</w:t>
      </w:r>
    </w:p>
    <w:p w:rsidR="005728DD" w:rsidRDefault="005728DD" w:rsidP="005728DD">
      <w:pPr>
        <w:pStyle w:val="TextoNormal"/>
      </w:pPr>
    </w:p>
    <w:p w:rsidR="005728DD" w:rsidRDefault="005728DD" w:rsidP="005728DD">
      <w:pPr>
        <w:pStyle w:val="TextoNormal"/>
      </w:pPr>
      <w:r>
        <w:t>No hay precedentes en otros procesos electorales en federaciones deportivas de las trabas sufridas por la RFEF hasta conseguir que se aprobara el Reglamento Electoral. Todas las medidas emprendidas para tratar de conseguirlo fueron rechazadas por el Consejo Superior de Deportes que presidía Miguel Cardenal, en algunos casos tras haber sido ya aprobadas y en otros, añadiendo nuevas exigencias. Miguel Cardenal no solo impidió repetidas veces la posibilidad de dar el visto bueno al reglamento, sino que hizo uso inadecuado de la información de la que disponía, lo que exige un trato prudente y exquisito, filtrándola interesadamente. En ningún caso cumplió con el decoro que exigía su cargo.</w:t>
      </w:r>
    </w:p>
    <w:p w:rsidR="005728DD" w:rsidRDefault="005728DD" w:rsidP="005728DD">
      <w:pPr>
        <w:pStyle w:val="TextoNormal"/>
      </w:pPr>
    </w:p>
    <w:p w:rsidR="005728DD" w:rsidRDefault="005728DD" w:rsidP="005728DD">
      <w:pPr>
        <w:pStyle w:val="TextoNormal"/>
      </w:pPr>
      <w:r>
        <w:t>Pero hay otros involucrados en este largo acoso de años contra Ángel Villar y, en consecuencia, contra quienes gestionan la RFEF. Sus intenciones que resultan evidentes. El auténtico motor de combustión de esos programas es Javier Tebas, presidente de la Liga de Fútbol Profesional, que buscó y encontró a un pre candidato, el ex secretario general de la RFEF, para continuarlos. Este operativo ha estado y está plagado de infinidad de agravios, medias verdades, inexactitudes, acusaciones sin sentido y graves calumnias. Todo le ha valido a este tercero, que ha emprendido acciones disciplinarias, acciones penales, descalificaciones constantes y manifestaciones insostenibles. Solo han conseguido con ello descubrir su auténtica cara. Demostrar qué son, quiénes son y cómo se manejan. Miguel Galán no ha sido ajeno a ellos, sino una pieza más de su operativo.</w:t>
      </w:r>
    </w:p>
    <w:p w:rsidR="005728DD" w:rsidRDefault="005728DD" w:rsidP="005728DD">
      <w:pPr>
        <w:pStyle w:val="TextoNormal"/>
      </w:pPr>
    </w:p>
    <w:p w:rsidR="005728DD" w:rsidRDefault="005728DD" w:rsidP="005728DD">
      <w:pPr>
        <w:pStyle w:val="TextoNormal"/>
      </w:pPr>
      <w:r>
        <w:lastRenderedPageBreak/>
        <w:t>La historia de la persecución emprendida a título individual por Javier Tebas, presidente de la Liga de Fútbol Profesional, no es, sin embargo, un asunto reciente; sus compañeros de aventura, sí. La inició en 2003. Es, pues, un viejísimo anhelo que hasta ahora y para su desgracia, no le ha dado ningún resultado. Ni en los juzgados de lo penal, ni en las urnas. Los asuntos denunciados en aquel momento ante el Juzgado de lo Penal número 47 de Madrid fueron, entre otros, una presunta retención indebida de seguros concertados para jugadores de selecciones nacionales, una presunta retención de ingresos de los clubes por las fichas profesionales de los jugadores, la demora en el reintegro de viajes y gastos particulares de familiares y directivos, y el contrato con la firma deportiva Puma. Asimismo, se abrió un expediente disciplinario por el Comité Español de Disciplina Deportiva, que en el mismo acto quedó suspendido hasta que se resolviera el procedimiento penal. El procedimiento penal fue archivado con posterioridad.</w:t>
      </w:r>
    </w:p>
    <w:p w:rsidR="005728DD" w:rsidRDefault="005728DD" w:rsidP="005728DD">
      <w:pPr>
        <w:pStyle w:val="TextoNormal"/>
      </w:pPr>
    </w:p>
    <w:p w:rsidR="005728DD" w:rsidRDefault="005728DD" w:rsidP="005728DD">
      <w:pPr>
        <w:pStyle w:val="TextoNormal"/>
      </w:pPr>
      <w:r>
        <w:t>A partir de entonces, y hasta ahora mismo, no han dejado de promoverse denuncias y actuaciones que siempre han tenido el mismo final. Muchas de ellas se han producido con procesos electorales a la vista y en vigor, lo que no deja de ser extraordinariamente llamativo ni puede causar dudas sobre sus objetivos. En ese mismo año 2003, el propio Javier Tebas, representante del Club Deportivo Badajoz, aliado con el presidente de una Territorial, presentó otra denuncia contra Ángel Villar por presunto abuso de autoridad, escudándose en la constitución de una hipoteca sobre los locales de la Real Federación Española de Fútbol con Caja Madrid, en garantía de la devolución de un préstamo de dieciocho millones de euros. La denuncia no fue admitida por el Consejo Superior de Deportes.</w:t>
      </w:r>
    </w:p>
    <w:p w:rsidR="005728DD" w:rsidRDefault="005728DD" w:rsidP="005728DD">
      <w:pPr>
        <w:pStyle w:val="TextoNormal"/>
      </w:pPr>
    </w:p>
    <w:p w:rsidR="005728DD" w:rsidRDefault="005728DD" w:rsidP="005728DD">
      <w:pPr>
        <w:pStyle w:val="TextoNormal"/>
      </w:pPr>
      <w:r>
        <w:t>No contentos con los resultados de los dos primeros intentos, en 2006, el Comité Técnico de Árbitros de la Territorial de Aragón denunció al presidente de la RFEF y al presidente del Comité Técnico de Árbitros, Victoriano Sánchez Arminio, por no convocar este una reunión de las dos anuales debidas de la Comisión de Coordinación Interterritorial y Relaciones Externas del Arbitraje. Asunto gravísimo, sin duda. El Consejo Superior de Deportes instó al Comité Español de Disciplina Deportiva a la apertura de un expediente. Tampoco hubo sanción. En 2007, cuatro años después, el actual presidente de la Liga y Roberto Dale solicitaron la reanudación del expediente suspendido por el Comité Español de Disciplina Deportiva en septiembre de 2003 con el mismo resultado: la denuncia fue desestimada. En 2008, Ignacio del Río entabló un contencioso-administrativo por motivos electorales y el sindicato Manos Limpias, una acción criminal por la misma razón. Una vez más no consiguieron sus objetivos.</w:t>
      </w:r>
    </w:p>
    <w:p w:rsidR="005728DD" w:rsidRDefault="005728DD" w:rsidP="005728DD">
      <w:pPr>
        <w:pStyle w:val="TextoNormal"/>
      </w:pPr>
    </w:p>
    <w:p w:rsidR="005728DD" w:rsidRDefault="005728DD" w:rsidP="005728DD">
      <w:pPr>
        <w:pStyle w:val="TextoNormal"/>
      </w:pPr>
      <w:r>
        <w:t>La judicialización del fútbol es la primera de las constantes de aquellos que pretenden ganar lejos de nuestro deporte lo que no son capaces de ganar ni deportivamente, ni, como se ha demostrado sobradamente, en un proceso electoral limpio y democrático. La voz de las urnas ha sido determinante todos estos años. La persecución, sin embargo, no ha parado ni en medios ni en difusión. Lamentablemente para ellos, la respuesta de los electores ha sido rotunda. En el actual proceso electoral, Tebas lidera no solo el monopolio de la campaña de acoso, sino que respalda plenamente y avala a un precandidato del que el primer día dijo que no era el más adecuado.</w:t>
      </w:r>
    </w:p>
    <w:p w:rsidR="005728DD" w:rsidRDefault="005728DD" w:rsidP="005728DD">
      <w:pPr>
        <w:pStyle w:val="TextoNormal"/>
      </w:pPr>
    </w:p>
    <w:p w:rsidR="005728DD" w:rsidRDefault="005728DD" w:rsidP="005728DD">
      <w:pPr>
        <w:pStyle w:val="TextoNormal"/>
      </w:pPr>
      <w:r>
        <w:t xml:space="preserve">El año 2015, el presidente de la Liga, en representación del Alcorcón, solicitó la apertura de expediente disciplinario contra el presidente de la RFEF y los miembros de la Comisión Delegada, entre los que se encontraban Vicente del Bosque y Carlos Velasco Carballo, por </w:t>
      </w:r>
      <w:r>
        <w:lastRenderedPageBreak/>
        <w:t>adoptar el acuerdo de suspender las competiciones a raíz del Real Decreto TV, Ley sobre Derechos Audiovisuales. Como había ocurrido en todos los casos precedentes, dicha apertura de expediente fue desestimada. Un año más tarde, esto es, en 2016, nuevamente el mismo sujeto, ¡quién iba a decirlo!, solicitó la apertura de otro contra el presidente de la RFEF por la aprobación del presente Reglamento Electoral por la Comisión Delegada. Por enésima vez esta denuncia contra Ángel Villar fue rechazada.</w:t>
      </w:r>
    </w:p>
    <w:p w:rsidR="005728DD" w:rsidRDefault="005728DD" w:rsidP="005728DD">
      <w:pPr>
        <w:pStyle w:val="TextoNormal"/>
      </w:pPr>
    </w:p>
    <w:p w:rsidR="005728DD" w:rsidRDefault="005728DD" w:rsidP="005728DD">
      <w:pPr>
        <w:pStyle w:val="TextoNormal"/>
      </w:pPr>
      <w:r>
        <w:t xml:space="preserve">Todas estas acciones han estado salpicadas por multitud de declaraciones ofensivas hacia el presidente de la RFEF. Los acosadores no se han detenido ante nada, dañando gravemente incluso a familiares y amigos de Ángel Villar, una demostración de ruindad que nada tiene que ver con el fútbol, ni, en el más extremo de los casos, con las diferencias de gestión o personales. Un modelo que define fielmente el perfil de ciertos personajes del fútbol que han llegado a utilizar el dinero de este deporte para constituir la Comisión de Clubes de Segunda B y Tercera y la Asociación de Clubes de Fútbol Femenino, ambas con carácter electoralista y contrarias al actual presidente de la RFEF y a los presidentes de las federaciones de ámbito autonómico. Representantes de estas asociaciones nos censuran por no defender al fútbol aficionado y no responder a sus escritos. ¡Lo que nos faltaba!: que critiquen a quienes desde siempre se han volcado en él, terreno, por cierto, que el ex secretario general de la RFEF Jorge Pérez confiesa que acaba de descubrir después de veinticinco años ignorándolo y sin haber pisado jamás de </w:t>
      </w:r>
      <w:r w:rsidRPr="005728DD">
        <w:rPr>
          <w:i/>
        </w:rPr>
        <w:t>motu proprio</w:t>
      </w:r>
      <w:r>
        <w:t xml:space="preserve"> una Territorial. Una prueba indiscutible, pues, de que ni las iniciativas ni el trabajo de campo figuran entre sus quehaceres.</w:t>
      </w:r>
    </w:p>
    <w:p w:rsidR="005728DD" w:rsidRDefault="005728DD" w:rsidP="005728DD">
      <w:pPr>
        <w:pStyle w:val="TextoNormal"/>
      </w:pPr>
    </w:p>
    <w:p w:rsidR="005728DD" w:rsidRDefault="005728DD" w:rsidP="005728DD">
      <w:pPr>
        <w:pStyle w:val="TextoNormal"/>
      </w:pPr>
      <w:r>
        <w:t>Javier Tebas se ha significado especialmente durante todos estos años en este acoso. Hay en torno a dos centenares de manifestaciones suyas en las que menoscaba sin razón y agravia sin motivos al presidente de la y a sus colaboradores. Al mundo del fútbol, en resumen. Seis veces denunció a Ángel Villar y seis veces fueron echadas abajo sus denuncias. En su relación de calumniados también figuran futbolistas y árbitros. Sus desavenencias con la familia del fútbol son notorias. De los primeros, y valga como ejemplo, llegó a señalar que sabían el resultado de un partido (Levante-Real Zaragoza) con antelación y que habían sacado dinero de las apuestas (</w:t>
      </w:r>
      <w:r w:rsidRPr="005728DD">
        <w:rPr>
          <w:i/>
        </w:rPr>
        <w:t>La Razón</w:t>
      </w:r>
      <w:r>
        <w:t>. 17 de marzo de 2015). También aseguró aventuradamente que “España no está preparada para ver a un futbolista en la cárcel (</w:t>
      </w:r>
      <w:r w:rsidRPr="005728DD">
        <w:rPr>
          <w:i/>
        </w:rPr>
        <w:t>El País</w:t>
      </w:r>
      <w:r>
        <w:t>. 8 de octubre de 2014); de los segundos afirmó que ‘se nos ha dicho que tenemos los mejores (árbitros) del mundo, pero esa clasificación no la encuentro por ningún lado’ (</w:t>
      </w:r>
      <w:r w:rsidRPr="005728DD">
        <w:rPr>
          <w:i/>
        </w:rPr>
        <w:t>La Gaceta</w:t>
      </w:r>
      <w:r>
        <w:t>. 17 de diciembre de 2013). Varios clubes nacionales también se han visto ofendidos repetidas veces.</w:t>
      </w:r>
    </w:p>
    <w:p w:rsidR="005728DD" w:rsidRDefault="005728DD" w:rsidP="005728DD">
      <w:pPr>
        <w:pStyle w:val="TextoNormal"/>
      </w:pPr>
    </w:p>
    <w:p w:rsidR="005728DD" w:rsidRDefault="005728DD" w:rsidP="005728DD">
      <w:pPr>
        <w:pStyle w:val="TextoNormal"/>
      </w:pPr>
      <w:r>
        <w:t>Hace apenas un mes, el 5 de enero de 2017, una jueza de Majadahonda (Madrid) rechazó la querella presentada por Miguel Galán, uno de los precandidatos a la presidencia de la RFEF, contra Ángel Villar por la dilación interesada del proceso electoral en la. La jueza no encontró indicios racionales de ilícito penal y archivó la querella. El TAD [Tribunal Administrativo del Deporte], a instancia del secretario de Estado, Miguel Cardenal, ya había resuelto con anterioridad (03/08/2016) que no se debía abrir expediente al presidente de la RFEF por dicho motivo. Cabe recordar, a propósito de esto, que los miembros de este tribunal los nombra la comisión directiva del CSDD, en parte, a propuesta del propio secretario de Estado. En aquellos momentos, Miguel Cardenal.</w:t>
      </w:r>
    </w:p>
    <w:p w:rsidR="005728DD" w:rsidRDefault="005728DD" w:rsidP="005728DD">
      <w:pPr>
        <w:pStyle w:val="TextoNormal"/>
      </w:pPr>
    </w:p>
    <w:p w:rsidR="005728DD" w:rsidRDefault="005728DD" w:rsidP="005728DD">
      <w:pPr>
        <w:pStyle w:val="TextoNormal"/>
      </w:pPr>
      <w:r>
        <w:t xml:space="preserve">Desencantado con sus resultados, Miguel Galán, que también perdió las elecciones a la presidencia de la territorial de Madrid, confesó hace unas semanas en los medios de comunicación que abandonaba la batalla judicial que tanto tiempo y dinero le había costado. ‘No </w:t>
      </w:r>
      <w:r>
        <w:lastRenderedPageBreak/>
        <w:t xml:space="preserve">puedo seguir luchando para que otros se beneficien de mí. Ya me he gastado 150.000 € y sin cardenal estoy solo. Se están aprovechando de mis querellas. Les he hecho el trabajo sucio’ (Diario </w:t>
      </w:r>
      <w:r w:rsidRPr="005728DD">
        <w:rPr>
          <w:i/>
        </w:rPr>
        <w:t>AS</w:t>
      </w:r>
      <w:r>
        <w:t>, 6 de noviembre de 2016 y 4 de diciembre de 2016). Galán debe haber recuperado fuerzas, no se sabe cómo, porque a continuación abrió otro frente por los llamados ‘casos Marino y Recreativo’ y volvió a denunciar a la RFEF por el de Haití. Es fácil deducir quiénes están tras todas las acciones de Miguel Galán, al que han proporcionado informaciones verbales, documentales y amplia cobertura. A su vez, este precandidato ha sido denunciado por Ángel Villar por extorsión, coacciones, denuncia falsa y obstrucción a la Justicia. Galán había demando para retirar su querella una serie de insólitas exigencias: ser vicepresidente de la UEFA, en el caso de que Villar se presentara a la presidencia; convertirse en vicepresidente primero de la RFEF, en el supuesto de que no la consiguiera… ¡y en presidente si la conseguía! Eso amén de reclamar 240.000 € como compensación y otras minucias: que Villar hablara con la Asociación Española de Futbolistas para que retirara la querella contra él por un presunto delito de estafa, falsedad documental y un delito relativo al mercado y los consumidores y, además, lograr una serie de prebendas para su propia asociación. Un auténtico desvarío.</w:t>
      </w:r>
    </w:p>
    <w:p w:rsidR="005728DD" w:rsidRDefault="005728DD" w:rsidP="005728DD">
      <w:pPr>
        <w:pStyle w:val="TextoNormal"/>
      </w:pPr>
    </w:p>
    <w:p w:rsidR="005728DD" w:rsidRDefault="005728DD" w:rsidP="005728DD">
      <w:pPr>
        <w:pStyle w:val="TextoNormal"/>
      </w:pPr>
      <w:r>
        <w:t>Jorge Pérez, ex secretario general de la RFEF, tampoco está libre de una investigación judicial por los llamados ‘casos Marino y Recreativo’, al igual que Ángel Villar y otros dirigentes de la Real Federación Española de Fútbol en el número 1 de los de Majadahonda. Lo que no se entiende es que ciertos personajes del fútbol y algunos medios de comunicación hayan magnificado con aviesas intenciones, y los intereses que todos conocemos, lo uno y silenciado lo otro. Todas esas acciones ponen, en fin, en clara evidencia la existencia de una persecución perpetrada inicialmente hace mucho, que se ha mantenido en el tiempo y que se ha agudizado en la actualidad. Es decir que ha habido acoso y, en consecuencia, acosadores.</w:t>
      </w:r>
    </w:p>
    <w:p w:rsidR="005728DD" w:rsidRDefault="005728DD" w:rsidP="005728DD">
      <w:pPr>
        <w:pStyle w:val="TextoNormal"/>
      </w:pPr>
    </w:p>
    <w:p w:rsidR="005728DD" w:rsidRDefault="005728DD" w:rsidP="005728DD">
      <w:pPr>
        <w:pStyle w:val="TextoNormal"/>
      </w:pPr>
      <w:r>
        <w:t>No hace falta ser un lince para advertir que tanta insistencia no tiene otro objetivo que el de tratar de conseguir por medios torticeros lo que nunca han podido lograr por la vía electoral y democrática, lo que persiguen infructuosamente desde hace catorce años. Esa persecución ha alcanzado su mayor intensidad en el actual proceso electoral con la presentación de tres acciones criminales y dos expedientes sancionadores basados en verdaderas falacias con la única intención de socavar el honor y crédito del presidente de la RFEF. Causa enorme estupor, desde el respeto debido a la discrepancia en la gestión deportiva, que a ellos se haya sumado un sector minoritario del fútbol que no valora los extraordinarios perjuicios que le han causado con esas acciones, ni contemplan estos actos carentes de toda ética como despreciables. Rayando el delito.</w:t>
      </w:r>
    </w:p>
    <w:p w:rsidR="005728DD" w:rsidRDefault="005728DD" w:rsidP="005728DD">
      <w:pPr>
        <w:pStyle w:val="TextoNormal"/>
      </w:pPr>
    </w:p>
    <w:p w:rsidR="005728DD" w:rsidRDefault="005728DD" w:rsidP="005728DD">
      <w:pPr>
        <w:pStyle w:val="TextoNormal"/>
      </w:pPr>
      <w:r>
        <w:t>A la vista están, sin embargo, los nulos resultados que han obtenido.</w:t>
      </w:r>
    </w:p>
    <w:p w:rsidR="005728DD" w:rsidRDefault="005728DD" w:rsidP="005728DD">
      <w:pPr>
        <w:pStyle w:val="TextoNormal"/>
      </w:pPr>
    </w:p>
    <w:p w:rsidR="005728DD" w:rsidRDefault="005728DD" w:rsidP="005728DD">
      <w:pPr>
        <w:pStyle w:val="TextoNormal"/>
      </w:pPr>
      <w:r>
        <w:t>Firmado: presidentes de las Federaciones de Fútbol del Principado de Asturias, Islas Baleares, Canaria, Cántabra, Castilla-La Mancha, Castilla y León, Catalana, Ceuta, Extremeña, Madrid, Melillense, Región de Murcia, Navarra, Riojana, Comunidad Valenciana y Vasca”.</w:t>
      </w:r>
    </w:p>
    <w:p w:rsidR="005728DD" w:rsidRDefault="005728DD" w:rsidP="005728DD">
      <w:pPr>
        <w:pStyle w:val="TextoNormal"/>
      </w:pPr>
    </w:p>
    <w:p w:rsidR="005728DD" w:rsidRDefault="005728DD" w:rsidP="005728DD">
      <w:pPr>
        <w:pStyle w:val="TextoNormal"/>
      </w:pPr>
      <w:r>
        <w:t xml:space="preserve">d) En fecha inmediatamente posterior, concretamente el día 28 de febrero de 2017, don Miguel Ángel Galán Castellano, entrenador nacional afiliado a la Real Federación Española de Fútbol e incluido en el censo electoral como elector y elegible en el proceso electoral convocado, presentó una denuncia ante la comisión electoral de la RFEF en la que solicitaba </w:t>
      </w:r>
      <w:r>
        <w:lastRenderedPageBreak/>
        <w:t>la eliminación de la carta de las webs federativas en que había sido publicada, la rectificación pública de los presidentes firmantes que lo habían hecho en su condición de tales y el cese en la comisión gestora de la Federación de los que hubieran firmado y fueran miembros de esta.</w:t>
      </w:r>
    </w:p>
    <w:p w:rsidR="005728DD" w:rsidRDefault="005728DD" w:rsidP="005728DD">
      <w:pPr>
        <w:pStyle w:val="TextoNormal"/>
      </w:pPr>
    </w:p>
    <w:p w:rsidR="005728DD" w:rsidRDefault="005728DD" w:rsidP="005728DD">
      <w:pPr>
        <w:pStyle w:val="TextoNormal"/>
      </w:pPr>
      <w:r>
        <w:t>e) Como quiera que la comisión electoral de la RFEF no adoptó resolución expresa respecto de la denuncia formulada, el señor Galán Castellano interpuso recurso administrativo ante el Tribunal Administrativo del Deporte, contra la denegación presunta de aquella, dando inicio al expediente núm. 132-2017.</w:t>
      </w:r>
    </w:p>
    <w:p w:rsidR="005728DD" w:rsidRDefault="005728DD" w:rsidP="005728DD">
      <w:pPr>
        <w:pStyle w:val="TextoNormal"/>
      </w:pPr>
    </w:p>
    <w:p w:rsidR="005728DD" w:rsidRDefault="005728DD" w:rsidP="005728DD">
      <w:pPr>
        <w:pStyle w:val="TextoNormal"/>
      </w:pPr>
      <w:r>
        <w:t>f) En el curso del expediente incoado, el Tribunal Administrativo del Deporte solicitó: (i) informe a la comisión electoral, que destacó la extemporaneidad del recurso interpuesto, toda vez que, habiendo sido presentada la denuncia el día 28 de febrero, el señor Galán habría dispuesto de un plazo de dos días, a contar desde el día siguiente al de la presentación de la denuncia, para formalizarlo (art. 58.3 del Reglamento electoral de la Real Federación Española de Fútbol, en relación con el art. 24 de la Orden ECD/2764/2015, de 18 de diciembre, que regula los procesos electorales en las federaciones deportivas españolas) lo que no hizo dentro del mismo; (ii) alegaciones al señor Villar, que declinó realizarlas; y (iii) alegaciones a los firmantes de la carta, a los que se les entregó copia del recurso interpuesto, sin que ninguno de ellos las hubiera presentado antes de las 14:00 horas del día 20 de abril, en que finalizó el plazo.</w:t>
      </w:r>
    </w:p>
    <w:p w:rsidR="005728DD" w:rsidRDefault="005728DD" w:rsidP="005728DD">
      <w:pPr>
        <w:pStyle w:val="TextoNormal"/>
      </w:pPr>
    </w:p>
    <w:p w:rsidR="005728DD" w:rsidRDefault="005728DD" w:rsidP="005728DD">
      <w:pPr>
        <w:pStyle w:val="TextoNormal"/>
      </w:pPr>
      <w:r>
        <w:t>g) El Tribunal Administrativo del Deporte dictó resolución el día 27 de abril de 2017 por la que estimó parcialmente el recurso interpuesto por don Miguel Ángel Galán Castellano.</w:t>
      </w:r>
    </w:p>
    <w:p w:rsidR="005728DD" w:rsidRDefault="005728DD" w:rsidP="005728DD">
      <w:pPr>
        <w:pStyle w:val="TextoNormal"/>
      </w:pPr>
    </w:p>
    <w:p w:rsidR="005728DD" w:rsidRDefault="005728DD" w:rsidP="005728DD">
      <w:pPr>
        <w:pStyle w:val="TextoNormal"/>
      </w:pPr>
      <w:r>
        <w:t>En la citada resolución, después de rechazar el óbice de extemporaneidad alegado por la comisión electoral de la Federación y entender que el recurso del señor Galán era “admisible”, el Tribunal Administrativo del Deporte pasa a analizar la denuncia, que se refiere al contenido de la carta firmada por los ahora demandantes de amparo.</w:t>
      </w:r>
    </w:p>
    <w:p w:rsidR="005728DD" w:rsidRDefault="005728DD" w:rsidP="005728DD">
      <w:pPr>
        <w:pStyle w:val="TextoNormal"/>
      </w:pPr>
    </w:p>
    <w:p w:rsidR="005728DD" w:rsidRDefault="005728DD" w:rsidP="005728DD">
      <w:pPr>
        <w:pStyle w:val="TextoNormal"/>
      </w:pPr>
      <w:r>
        <w:t>Al respecto, señala que, del art. 12.4 de la Orden ECD/2764/2015, cuyo texto reproduce, “se infiere que ni los miembros de las comisiones gestoras, ni los miembros o el personal de cualquier órgano federativo, ni, por supuesto, los miembros de las juntas o comisiones electorales, pueden realizar actos que directa o indirectamente puedan favorecer a algunos de los candidatos” y añade que, no basta solo con esta mera conducta negativa, sino que, “además se les impone un deber de adoptar medidas positivas de vigilancia y control, cada uno en el ámbito de sus competencias durante el proceso electoral, para evitar que se puedan vulnerar los principios de objetividad y transparencia del proceso electoral, o que pueda menoscabarse el principio de igualdad entre los actores electorales”.</w:t>
      </w:r>
    </w:p>
    <w:p w:rsidR="005728DD" w:rsidRDefault="005728DD" w:rsidP="005728DD">
      <w:pPr>
        <w:pStyle w:val="TextoNormal"/>
      </w:pPr>
    </w:p>
    <w:p w:rsidR="005728DD" w:rsidRDefault="005728DD" w:rsidP="005728DD">
      <w:pPr>
        <w:pStyle w:val="TextoNormal"/>
      </w:pPr>
      <w:r>
        <w:t>Ya, en relación con la carta firmada por los recurrentes, destaca que “es indudable que la carta de apoyo a un candidato o precandidato supone un acto que pretende orientar el sentido del voto de los electores. Una carta de esta naturaleza es perfectamente admisible, siempre que no sea suscrita por los sujetos que tienen el deber de mantener una posición de neutralidad durante el proceso electoral. Por eso, el hecho de que la carta haya sido firmada por los presidentes de determinadas federaciones territoriales, en su calidad de tales, plantea la cuestión de si resulta contraria a lo dispuesto en el artículo 12.4 de la Orden ECD/2764/2015”.</w:t>
      </w:r>
    </w:p>
    <w:p w:rsidR="005728DD" w:rsidRDefault="005728DD" w:rsidP="005728DD">
      <w:pPr>
        <w:pStyle w:val="TextoNormal"/>
      </w:pPr>
    </w:p>
    <w:p w:rsidR="005728DD" w:rsidRDefault="005728DD" w:rsidP="005728DD">
      <w:pPr>
        <w:pStyle w:val="TextoNormal"/>
      </w:pPr>
      <w:r>
        <w:t>A continuación, el Tribunal Administrativo del Deporte pone de manifiesto que uno de los firmantes (en referencia a don Maximino Antonio Martínez Suárez) era miembro de la comisión gestora de la Real Federación Española de Fútbol y, por tanto, respecto del mismo aprecia la “infracción del citado precepto y de su deber de mantener una posición de neutralidad durante el proceso electoral”. Respecto del resto de presidentes, tampoco le suscita duda alguna la comisión de aquella infracción, pues señala que aquellos “en cuanto integrantes de la comisión de presidentes de federaciones de ámbito autonómico, órgano complementario de la RFEF al que corresponde el asesoramiento y coordinación para la promoción general del fútbol en todo el territorio nacional, y que debe conocer e informar sobre la actividad federativa en todos sus aspectos, según dispone el artículo 36 de los estatutos de la RFEF”, eran también responsables de dicha infracción de los deberes de neutralidad previstos en el precepto indicado.</w:t>
      </w:r>
    </w:p>
    <w:p w:rsidR="005728DD" w:rsidRDefault="005728DD" w:rsidP="005728DD">
      <w:pPr>
        <w:pStyle w:val="TextoNormal"/>
      </w:pPr>
    </w:p>
    <w:p w:rsidR="005728DD" w:rsidRDefault="005728DD" w:rsidP="005728DD">
      <w:pPr>
        <w:pStyle w:val="TextoNormal"/>
      </w:pPr>
      <w:r>
        <w:t>De conformidad con lo fundamentado y, en lo que se refiere al presente recurso de amparo, el Tribunal Administrativo del Deporte estima parcialmente el recurso (el señor Galán había solicitado, también, el cese, como miembros de la comisión gestora, de los firmantes de la carta que pertenecieran a la misma) y acuerda:</w:t>
      </w:r>
    </w:p>
    <w:p w:rsidR="005728DD" w:rsidRDefault="005728DD" w:rsidP="005728DD">
      <w:pPr>
        <w:pStyle w:val="TextoNormal"/>
      </w:pPr>
    </w:p>
    <w:p w:rsidR="005728DD" w:rsidRDefault="005728DD" w:rsidP="005728DD">
      <w:pPr>
        <w:pStyle w:val="TextoNormal"/>
      </w:pPr>
      <w:r>
        <w:t>“Declarar que la firma por dieciséis Presidentes de Federaciones Territoriales de la RFEF, en su calidad de tales, del documento denominado ‘Carta de apoyo a D. Ángel María Villar’ supone una infracción del deber de neutralidad que el artículo 12.4 de la Orden ECD/2764/2015 impone a todos los órganos federativos, al inducir el sentido del voto de los electores en favor de uno de los precandidatos a la Presidencia de la RFEF. Por ello, la Comisión Electoral de la RFEF deberá requerir a los afectados para que retiren su firma como Presidentes de estas Federaciones en ese documento, e instarles a que en su condición de Presidente de Federación Territorial se abstengan de realizar actos que directa o indirectamente, mediata o inmediatamente, induzcan o condicionen el sentido del voto de los electores, así como a observar los principios de objetividad, transparencia del proceso electoral e igualdad entre los actores electorales”.</w:t>
      </w:r>
    </w:p>
    <w:p w:rsidR="005728DD" w:rsidRDefault="005728DD" w:rsidP="005728DD">
      <w:pPr>
        <w:pStyle w:val="TextoNormal"/>
      </w:pPr>
    </w:p>
    <w:p w:rsidR="005728DD" w:rsidRDefault="005728DD" w:rsidP="005728DD">
      <w:pPr>
        <w:pStyle w:val="TextoNormal"/>
      </w:pPr>
      <w:r>
        <w:t>h) Contra la anterior resolución del Tribunal Administrativo del Deporte, la representación de los ahora demandantes de amparo interpuso recurso contencioso-administrativo por la vía del procedimiento especial de protección de derechos fundamentales, alegando que aquella habría vulnerado sus derechos a las libertades de expresión e información, al principio de igualdad en la aplicación de la ley y a los derechos de defensa y a un proceso con todas las garantías. Su conocimiento correspondió a la Sección Sexta de la Sala de lo Contencioso-Administrativo del Tribunal Superior de Justicia de Madrid, que incoó el procedimiento núm. 580-2017 y en el que dictó sentencia núm. 495, de 25 de julio de 2018, por la que desestimó íntegramente el recurso así formalizado.</w:t>
      </w:r>
    </w:p>
    <w:p w:rsidR="005728DD" w:rsidRDefault="005728DD" w:rsidP="005728DD">
      <w:pPr>
        <w:pStyle w:val="TextoNormal"/>
      </w:pPr>
    </w:p>
    <w:p w:rsidR="005728DD" w:rsidRDefault="005728DD" w:rsidP="005728DD">
      <w:pPr>
        <w:pStyle w:val="TextoNormal"/>
      </w:pPr>
      <w:r>
        <w:t>Después de resumir las alegaciones de los recurrentes, del abogado del Estado y del Ministerio Fiscal, el tribunal del deporte fundamenta su resolución en las siguientes argumentaciones:</w:t>
      </w:r>
    </w:p>
    <w:p w:rsidR="005728DD" w:rsidRDefault="005728DD" w:rsidP="005728DD">
      <w:pPr>
        <w:pStyle w:val="TextoNormal"/>
      </w:pPr>
    </w:p>
    <w:p w:rsidR="005728DD" w:rsidRDefault="005728DD" w:rsidP="005728DD">
      <w:pPr>
        <w:pStyle w:val="TextoNormal"/>
      </w:pPr>
      <w:r>
        <w:t xml:space="preserve">(i) En relación con las denunciadas vulneraciones de sus derechos a las libertades de expresión y de información, la sentencia destaca que son dos las cuestiones a resolver: de una parte, “si los actores como presidentes de las federaciones autonómicas tienen o no el </w:t>
      </w:r>
      <w:r>
        <w:lastRenderedPageBreak/>
        <w:t>deber de neutralidad” durante el transcurso del proceso electoral; y, de otro lado, “si sus expresiones vertidas en la carta han infringido o no tal deber”.</w:t>
      </w:r>
    </w:p>
    <w:p w:rsidR="005728DD" w:rsidRDefault="005728DD" w:rsidP="005728DD">
      <w:pPr>
        <w:pStyle w:val="TextoNormal"/>
      </w:pPr>
    </w:p>
    <w:p w:rsidR="005728DD" w:rsidRDefault="005728DD" w:rsidP="005728DD">
      <w:pPr>
        <w:pStyle w:val="TextoNormal"/>
      </w:pPr>
      <w:r>
        <w:t>A la primera de las cuestiones la resolución responde afirmativamente, pues considera que, con apoyo en el art. 12.4 de la Orden ECD/2764/2015, “el deber de neutralidad en un proceso electoral se impone a (i) las comisiones gestoras; (ii) al personal de la federación y (iii) a los restantes órganos federativos”. Añade que, si bien nada impide a los actores que, de modo individual, puedan expresar sus opiniones al respecto, “lo que sí se veta es que lo hagan aprovechando una presidencia cuya específica situación prohíbe ese tipo de actitudes”.</w:t>
      </w:r>
    </w:p>
    <w:p w:rsidR="005728DD" w:rsidRDefault="005728DD" w:rsidP="005728DD">
      <w:pPr>
        <w:pStyle w:val="TextoNormal"/>
      </w:pPr>
    </w:p>
    <w:p w:rsidR="005728DD" w:rsidRDefault="005728DD" w:rsidP="005728DD">
      <w:pPr>
        <w:pStyle w:val="TextoNormal"/>
      </w:pPr>
      <w:r>
        <w:t>Además, dado que los recurrentes eran presidentes de federaciones territoriales autonómicas en las fechas indicadas, eran también “miembros natos de la comisión de presidentes de ámbito autonómico prevista y regulada en el art. 36.3 de los estatutos” de la Real Federación Española de Fútbol, que califica a aquella comisión “como órgano complementario con funciones de asesoramiento y coordinación para la promoción general del fútbol en todo el territorio nacional”. Además, el art. 21.B) 2 de los estatutos de la RFEF “incluye bajo la rúbrica de órganos de la RFEF a la citada comisión de presidentes” y el art. 12.4 de la Orden ECD/2764/2015 “impone con carácter genérico el deber de neutralidad a todo órgano federativo sin distinción alguna. Por tanto, es incuestionable que dicho deber de neutralidad es exigible a los miembros de la comisión de presidentes de ámbito autonómico como tales presidentes, que es claramente un órgano federativo”. Según refiere la sentencia, no es posible disociar los cargos de presidente de una federación territorial y de vocal de la comisión de presidentes de federaciones de ámbito autonómico, porque ambos aparecen indisolublemente unidos en la misma persona.</w:t>
      </w:r>
    </w:p>
    <w:p w:rsidR="005728DD" w:rsidRDefault="005728DD" w:rsidP="005728DD">
      <w:pPr>
        <w:pStyle w:val="TextoNormal"/>
      </w:pPr>
    </w:p>
    <w:p w:rsidR="005728DD" w:rsidRDefault="005728DD" w:rsidP="005728DD">
      <w:pPr>
        <w:pStyle w:val="TextoNormal"/>
      </w:pPr>
      <w:r>
        <w:t>En consecuencia, concluye el órgano judicial, “una carta firmada como presidente de una federación territorial —no a título individual como ellos pretenden— debe entenderse firmada también como miembro de la comisión de presidentes de ámbito autonómico dado que uno y otro cargo son indisociables. E incluso en el caso del presidente de la federación asturiana a mayores como miembro de la comisión gestora de la Real Federación Española de Fútbol, pero sin que esta condición sea un plus necesario”.</w:t>
      </w:r>
    </w:p>
    <w:p w:rsidR="005728DD" w:rsidRDefault="005728DD" w:rsidP="005728DD">
      <w:pPr>
        <w:pStyle w:val="TextoNormal"/>
      </w:pPr>
    </w:p>
    <w:p w:rsidR="005728DD" w:rsidRDefault="005728DD" w:rsidP="005728DD">
      <w:pPr>
        <w:pStyle w:val="TextoNormal"/>
      </w:pPr>
      <w:r>
        <w:t>En relación con este punto, también la sentencia resuelve la cuestión suscitada por los recurrentes acerca de si el deber de neutralidad afecta exclusivamente al órgano federativo (comisión de presidentes de federaciones de ámbito autonómico) como tal y formalmente constituido, o también resulta extensivo a todos sus miembros considerados aisladamente. El tribunal llega a esta última conclusión por entender que la mera interpretación literal del art. 12.4 de la Orden ECD/2764/2015 llevaría a “establecer una restricción contraria a la finalidad teleológica de la norma”. Además, los firmantes de la carta no se identificaron “como simples federados sino como presidentes de federaciones territoriales, esto es además como vocales de un órgano federativo: El comité de presidentes”. Y publicaron su carta en las webs de las federaciones autonómicas “prevaliéndose de las herramientas federativas como sus páginas webs que tienen por mor de su cargo como presidentes, demostrando una clara intención de prevalerse de su cargo para influir en el resultado de las elecciones. Exactamente el propósito combatido por la Orden ECD/2764/2015 […]”.</w:t>
      </w:r>
    </w:p>
    <w:p w:rsidR="005728DD" w:rsidRDefault="005728DD" w:rsidP="005728DD">
      <w:pPr>
        <w:pStyle w:val="TextoNormal"/>
      </w:pPr>
    </w:p>
    <w:p w:rsidR="005728DD" w:rsidRDefault="005728DD" w:rsidP="005728DD">
      <w:pPr>
        <w:pStyle w:val="TextoNormal"/>
      </w:pPr>
      <w:r>
        <w:lastRenderedPageBreak/>
        <w:t>Por lo que se refiere a la segunda de las cuestiones suscitadas, la sentencia llega a la conclusión de que los firmantes de la carta vulneraron su deber de neutralidad, por las siguientes razones: (i) No tenía un mero carácter informativo, sino que, con apoyo en el párrafo cuarto del documento, la sentencia afirma que “los presidentes se limitan a expresar su opinión sobre determinadas personas y sobre la conducta que esas personas han seguido contra don Ángel María Villar”, en referencia a las actuaciones de don Miguel Cardenal, don Javier Tebas o don Miguel Galán, indicando, “cuáles fueron, a su entender, las motivaciones de estos y la valoración que por tales hechos merecen”. (ii) Las libertades de expresión y de información son predicables de los ciudadanos, pero no de los dieciséis recurrentes, que, en cuanto miembros de órganos federativos que fue la condición en la que firmaron la carta, se prevalieron de las herramientas de las federaciones y de sus posiciones de presidentes de las mismas, para darla a conocer, estando, por ello, “sujetos a un deber de neutralidad que les impedía tomar partido en un procedimiento electoral”. Aunque en el momento de la publicación de la carta aún no hubiera candidatos oficiales, tal deber de neutralidad “es exigible desde la convocatoria de elecciones, convocatoria que ya había tenido lugar”, habiendo “varias precandidaturas, por lo menos a nivel de medios informativos, como la de Miguel Galán […] a quien particularmente se refiere la misiva”.</w:t>
      </w:r>
    </w:p>
    <w:p w:rsidR="005728DD" w:rsidRDefault="005728DD" w:rsidP="005728DD">
      <w:pPr>
        <w:pStyle w:val="TextoNormal"/>
      </w:pPr>
    </w:p>
    <w:p w:rsidR="005728DD" w:rsidRDefault="005728DD" w:rsidP="005728DD">
      <w:pPr>
        <w:pStyle w:val="TextoNormal"/>
      </w:pPr>
      <w:r>
        <w:t>El razonamiento concluye con la afirmación de que la resolución del Tribunal Administrativo del Deporte “no vulnera los derechos de libertad de expresión y de información”.</w:t>
      </w:r>
    </w:p>
    <w:p w:rsidR="005728DD" w:rsidRDefault="005728DD" w:rsidP="005728DD">
      <w:pPr>
        <w:pStyle w:val="TextoNormal"/>
      </w:pPr>
    </w:p>
    <w:p w:rsidR="005728DD" w:rsidRDefault="005728DD" w:rsidP="005728DD">
      <w:pPr>
        <w:pStyle w:val="TextoNormal"/>
      </w:pPr>
      <w:r>
        <w:t>(ii) Respecto de la alegada vulneración del art. 14 CE, también rechaza la sentencia que la resolución impugnada haya infringido el principio de igualdad en la aplicación de la ley, por cuanto los recurrentes no han alegado un término de comparación que permita probar la existencia de desigualdad, ni tampoco acreditado el cumplimiento de los requisitos establecidos por la doctrina constitucional para su existencia.</w:t>
      </w:r>
    </w:p>
    <w:p w:rsidR="005728DD" w:rsidRDefault="005728DD" w:rsidP="005728DD">
      <w:pPr>
        <w:pStyle w:val="TextoNormal"/>
      </w:pPr>
    </w:p>
    <w:p w:rsidR="005728DD" w:rsidRDefault="005728DD" w:rsidP="005728DD">
      <w:pPr>
        <w:pStyle w:val="TextoNormal"/>
      </w:pPr>
      <w:r>
        <w:t>(iii) Por último, tampoco concurren las invocadas vulneraciones de los derechos de defensa y a un proceso con todas las garantías, pues no se privó a los recurrentes de su derecho de acceso a la jurisdicción y, además, se les dio traslado del contenido del recurso para que pudieran alegar lo que tuvieran por pertinente a su derecho, sin que hubieran presentado ninguna alegación.</w:t>
      </w:r>
    </w:p>
    <w:p w:rsidR="005728DD" w:rsidRDefault="005728DD" w:rsidP="005728DD">
      <w:pPr>
        <w:pStyle w:val="TextoNormal"/>
      </w:pPr>
    </w:p>
    <w:p w:rsidR="005728DD" w:rsidRDefault="005728DD" w:rsidP="005728DD">
      <w:pPr>
        <w:pStyle w:val="TextoNormal"/>
      </w:pPr>
      <w:r>
        <w:t>La sentencia finaliza con la desestimación del recurso interpuesto.</w:t>
      </w:r>
    </w:p>
    <w:p w:rsidR="005728DD" w:rsidRDefault="005728DD" w:rsidP="005728DD">
      <w:pPr>
        <w:pStyle w:val="TextoNormal"/>
      </w:pPr>
    </w:p>
    <w:p w:rsidR="005728DD" w:rsidRDefault="005728DD" w:rsidP="005728DD">
      <w:pPr>
        <w:pStyle w:val="TextoNormal"/>
      </w:pPr>
      <w:r>
        <w:t>i) Contra la anterior sentencia, la representación procesal de los ahora demandantes de amparo preparó recurso de casación. En su escrito, la parte únicamente alegó la vulneración de sus derechos a las libertades de expresión e información y a la defensa, pero no así respecto del derecho a la igualdad.</w:t>
      </w:r>
    </w:p>
    <w:p w:rsidR="005728DD" w:rsidRDefault="005728DD" w:rsidP="005728DD">
      <w:pPr>
        <w:pStyle w:val="TextoNormal"/>
      </w:pPr>
    </w:p>
    <w:p w:rsidR="005728DD" w:rsidRDefault="005728DD" w:rsidP="005728DD">
      <w:pPr>
        <w:pStyle w:val="TextoNormal"/>
      </w:pPr>
      <w:r>
        <w:t>El recurso fue inadmitido a trámite por providencia de 24 de enero de 2019 de la Sala de lo Contencioso-Administrativo del Tribunal Supremo. El alto Tribunal consideró que la parte había incumplido la exigencia del art. 89.2 d) de la Ley reguladora de la jurisdicción contencioso-administrativa, esto es “por falta de justificación suficiente y adecuada de que las infracciones imputadas han sido relevantes y determinantes de la decisión adoptada en la resolución recurrida”.</w:t>
      </w:r>
    </w:p>
    <w:p w:rsidR="005728DD" w:rsidRDefault="005728DD" w:rsidP="005728DD">
      <w:pPr>
        <w:pStyle w:val="TextoNormal"/>
      </w:pPr>
    </w:p>
    <w:p w:rsidR="005728DD" w:rsidRDefault="005728DD" w:rsidP="005728DD">
      <w:pPr>
        <w:pStyle w:val="TextoNormal"/>
      </w:pPr>
      <w:r>
        <w:t>Esta resolución fue notificada a la parte recurrente el día 1 de febrero siguiente.</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denuncia la vulneración de sus derechos a las libertades de expresión e información, a la igualdad, así como a la defensa procesal de los recurrentes. Entiende que todas las violaciones de derechos habrían sido cometidas por la resolución de 27 de abril de 2017, dictada por el Tribunal Administrativo del Deporte, habiéndose limitado posteriormente los órganos judiciales intervinientes a desestimar los recursos interpuestos.</w:t>
      </w:r>
    </w:p>
    <w:p w:rsidR="005728DD" w:rsidRDefault="005728DD" w:rsidP="005728DD">
      <w:pPr>
        <w:pStyle w:val="TextoNormal"/>
      </w:pPr>
    </w:p>
    <w:p w:rsidR="005728DD" w:rsidRDefault="005728DD" w:rsidP="005728DD">
      <w:pPr>
        <w:pStyle w:val="TextoNormal"/>
      </w:pPr>
      <w:r>
        <w:t>a) Comienza la demanda haciendo un relato detallado de los hechos, que parte del pronunciamiento de la resolución del Tribunal Administrativo del Deporte, ejecutado por la comisión electoral de la Real Federación Española de Fútbol, para pasar, a continuación, a recoger el contenido íntegro de la carta.</w:t>
      </w:r>
    </w:p>
    <w:p w:rsidR="005728DD" w:rsidRDefault="005728DD" w:rsidP="005728DD">
      <w:pPr>
        <w:pStyle w:val="TextoNormal"/>
      </w:pPr>
    </w:p>
    <w:p w:rsidR="005728DD" w:rsidRDefault="005728DD" w:rsidP="005728DD">
      <w:pPr>
        <w:pStyle w:val="TextoNormal"/>
      </w:pPr>
      <w:r>
        <w:t>Seguidamente, señala que los firmantes se limitaron “a narrar una serie de hechos que se venían produciendo en el entorno de la RFEF como consecuencia de las dificultades que dicho órgano había tenido para la aprobación de su Reglamento electoral”. Asimismo, pone de manifiesto, el “acoso que había sufrido Ángel María Villar por parte de Javier Tebas, Miguel Galán y Miguel Cardenal” y, según refiere, la carta hace una enumeración de los distintos episodios sucedidos en los últimos años “en los que se han interpuesto denuncias administrativas, recursos contencioso-administrativos o incluso querellas contra Ángel María Villar así como contra otros cargos de la RFEF”. Insiste la demanda en que “la carta es meramente informativa y carece prácticamente de juicio de valor”. Los “procesos citados son públicos y han sido difundidos por los medios de comunicación”, negando que los hechos descritos en la carta hayan incurrido en falsedad.</w:t>
      </w:r>
    </w:p>
    <w:p w:rsidR="005728DD" w:rsidRDefault="005728DD" w:rsidP="005728DD">
      <w:pPr>
        <w:pStyle w:val="TextoNormal"/>
      </w:pPr>
    </w:p>
    <w:p w:rsidR="005728DD" w:rsidRDefault="005728DD" w:rsidP="005728DD">
      <w:pPr>
        <w:pStyle w:val="TextoNormal"/>
      </w:pPr>
      <w:r>
        <w:t>b) A continuación, la demanda va comentando los sucesivos párrafos de la carta poniendo de manifiesto, en el entender de los recurrentes, que se estaban limitando a constatar hechos ya sucedidos y concluyen este apartado con la afirmación de que en “toda la carta no se hace ni una sola referencia expresa al procedimiento electoral en el sentido de solicitar el voto (básicamente porque en el momento de ser emitida […] no había candidato alguno) para algún candidato en las elecciones a la Asamblea General o a la Presidencia de la Federación”.</w:t>
      </w:r>
    </w:p>
    <w:p w:rsidR="005728DD" w:rsidRDefault="005728DD" w:rsidP="005728DD">
      <w:pPr>
        <w:pStyle w:val="TextoNormal"/>
      </w:pPr>
    </w:p>
    <w:p w:rsidR="005728DD" w:rsidRDefault="005728DD" w:rsidP="005728DD">
      <w:pPr>
        <w:pStyle w:val="TextoNormal"/>
      </w:pPr>
      <w:r>
        <w:t>Por otro lado, los demandantes entienden que “no cabe apreciar una causa efecto entre la emisión de la carta y el procedimiento electoral”, no solo por el contenido de aquella, “sino por el factor temporal y la lejanía de su emisión con los hechos y trámites relevantes en el proceso electoral”. A tal fin, pone de manifiesto la demanda que la carta únicamente fue publicada el día 23 de febrero de 2017 en las páginas webs de las Federaciones Asturiana y Cántabra y que las elecciones a la presidencia de la RFEF estaba previsto que se celebraran el día 22 de mayo siguiente, es decir, tres meses después de la publicación de aquella. Señala que, si alguna difusión tuvo la misiva, fue a consecuencia de la resolución del Tribunal Administrativo del Deporte, que estimó parcialmente la denuncia formulada por el señor Galán.</w:t>
      </w:r>
    </w:p>
    <w:p w:rsidR="005728DD" w:rsidRDefault="005728DD" w:rsidP="005728DD">
      <w:pPr>
        <w:pStyle w:val="TextoNormal"/>
      </w:pPr>
    </w:p>
    <w:p w:rsidR="005728DD" w:rsidRDefault="005728DD" w:rsidP="005728DD">
      <w:pPr>
        <w:pStyle w:val="TextoNormal"/>
      </w:pPr>
      <w:r>
        <w:t xml:space="preserve">c) Por lo que se refiere a la autoría de la carta, aunque la demanda parte del reconocimiento de que fue firmada por los dieciséis recurrentes, todos ellos presidentes de federaciones territoriales del fútbol español, y que la suscribieron en su condición de tales, sin </w:t>
      </w:r>
      <w:r>
        <w:lastRenderedPageBreak/>
        <w:t>embargo, a su juicio, no estaban sujetos al deber de neutralidad en el proceso electoral convocado, dado que ninguno de ellos, a excepción de uno (don Maximino Antonio Martínez Suárez), formaba parte de la comisión gestora de la RFEF y es a los miembros de esta, junto con el personal de la Federación y los restantes órganos federativos a los que incumbe aquel deber de neutralidad, conforme a lo que establece el art. 12.4 de la Orden ECD/2764/2015.</w:t>
      </w:r>
    </w:p>
    <w:p w:rsidR="005728DD" w:rsidRDefault="005728DD" w:rsidP="005728DD">
      <w:pPr>
        <w:pStyle w:val="TextoNormal"/>
      </w:pPr>
    </w:p>
    <w:p w:rsidR="005728DD" w:rsidRDefault="005728DD" w:rsidP="005728DD">
      <w:pPr>
        <w:pStyle w:val="TextoNormal"/>
      </w:pPr>
      <w:r>
        <w:t>A su parecer, el Tribunal Administrativo del Deporte “confunde órgano con miembro y omite que los recurrentes actuaban a título de presidente de sus federaciones territoriales, no como miembros de ningún órgano de la institución que se encontraba en procedimiento electoral (que era la RFEF) no siendo posible que los actos de los miembros se imputen al órgano”. Según destaca, “el deber de neutralidad corresponde a los órganos federativos como tales o al personal de la federación, un presidente de federación territorial no es ni lo uno ni lo otro”, por lo que no recae sobre este aquel deber de neutralidad. Los recurrentes firmaron la carta “en calidad de presidentes y no como miembros colegiados de los distintos órganos que sí han de guardar un deber de neutralidad”.</w:t>
      </w:r>
    </w:p>
    <w:p w:rsidR="005728DD" w:rsidRDefault="005728DD" w:rsidP="005728DD">
      <w:pPr>
        <w:pStyle w:val="TextoNormal"/>
      </w:pPr>
    </w:p>
    <w:p w:rsidR="005728DD" w:rsidRDefault="005728DD" w:rsidP="005728DD">
      <w:pPr>
        <w:pStyle w:val="TextoNormal"/>
      </w:pPr>
      <w:r>
        <w:t>Por otro lado, ninguno de los firmantes, excepto el presidente de la Federación del Principado de Asturias (don Maximino Antonio Martínez Suárez), formaba parte de la comisión gestora de la Real Federación Española de Fútbol, que era uno de los órganos que debía observar el deber de neutralidad en el proceso electoral. Sin embargo, incluso en el caso del citado presidente, aquel había firmado la carta, no como miembro de la comisión gestora, sino a título individual y en su condición de presidente de la federación asturiana, por lo que estaba en la misma situación que los otros quince.</w:t>
      </w:r>
    </w:p>
    <w:p w:rsidR="005728DD" w:rsidRDefault="005728DD" w:rsidP="005728DD">
      <w:pPr>
        <w:pStyle w:val="TextoNormal"/>
      </w:pPr>
    </w:p>
    <w:p w:rsidR="005728DD" w:rsidRDefault="005728DD" w:rsidP="005728DD">
      <w:pPr>
        <w:pStyle w:val="TextoNormal"/>
      </w:pPr>
      <w:r>
        <w:t>También objeta la demanda el planteamiento sostenido en la sentencia del Tribunal Superior de Justicia de Madrid de que la “comisión de presidentes de federaciones de ámbito autonómico” fuera un “órgano federativo”, en el sentido previsto en el art. 12.4 de la Orden ECD/2764/2015, puesto que se trata de un “órgano institucional” y no “federativo”, como así lo dispone el art. 36 de los estatutos de la Real Federación Española de Fútbol. Se trata de un “órgano mixto entre la RFEF y las federaciones autonómicas, de coordinación institucional, sin que tenga unas competencias ejecutivas respecto de la RFEF”.</w:t>
      </w:r>
    </w:p>
    <w:p w:rsidR="005728DD" w:rsidRDefault="005728DD" w:rsidP="005728DD">
      <w:pPr>
        <w:pStyle w:val="TextoNormal"/>
      </w:pPr>
    </w:p>
    <w:p w:rsidR="005728DD" w:rsidRDefault="005728DD" w:rsidP="005728DD">
      <w:pPr>
        <w:pStyle w:val="TextoNormal"/>
      </w:pPr>
      <w:r>
        <w:t>En el parecer de los demandantes, la resolución del Tribunal Administrativo del Deporte ha restringido desproporcionadamente las libertades de expresión y de información de los recurrentes, “apostando por una interpretación muy restrictiva” de tales derechos fundamentales, toda vez que el deber de neutralidad en el proceso electoral debe recaer sobre los órganos federativos como tales, no sobre sus miembros considerados individualmente.</w:t>
      </w:r>
    </w:p>
    <w:p w:rsidR="005728DD" w:rsidRDefault="005728DD" w:rsidP="005728DD">
      <w:pPr>
        <w:pStyle w:val="TextoNormal"/>
      </w:pPr>
    </w:p>
    <w:p w:rsidR="005728DD" w:rsidRDefault="005728DD" w:rsidP="005728DD">
      <w:pPr>
        <w:pStyle w:val="TextoNormal"/>
      </w:pPr>
      <w:r>
        <w:t>d) En conexión con las anteriores argumentaciones, desde la misma perspectiva de las libertades de expresión y de información, la demanda sostiene que el límite del ejercicio de estos derechos que impone el Tribunal Administrativo del Deporte, “contrasta con la situación de otras personas y federaciones deportivas”, pues, a diferencia de lo que ha sucedido con los recurrentes, la demanda afirma que don Eduardo Herrera (presidente de la Federación Andaluza de Fútbol y miembro de la comisión gestora) y don Javier Tebas (presidente de la Liga de Fútbol Profesional) “se han pronunciado abiertamente sobre el procedimiento electoral de la RFEF”. Y agrega que “dichas personas con una relación como la que pueden tener los solicitantes de amparo con la RFEF ejercían su derecho a la libertad de expresión, sin consecuencia alguna, ni exigencia del deber de neutralidad”.</w:t>
      </w:r>
    </w:p>
    <w:p w:rsidR="005728DD" w:rsidRDefault="005728DD" w:rsidP="005728DD">
      <w:pPr>
        <w:pStyle w:val="TextoNormal"/>
      </w:pPr>
    </w:p>
    <w:p w:rsidR="005728DD" w:rsidRDefault="005728DD" w:rsidP="005728DD">
      <w:pPr>
        <w:pStyle w:val="TextoNormal"/>
      </w:pPr>
      <w:r>
        <w:t>Según destaca, las declaraciones de aquellos, contrarias a don Ángel María Villar, que, en el caso del señor Tebas constituían, además, “un apoyo al señor Jorge Pérez, que había manifestado su intención de presentarse a las elecciones a la presidencia de la federación”, no han sido objeto de reproche jurídico alguno, por cuanto “también han de ser amparadas por la libertad de expresión”. Lo mismo sucede con manifestaciones realizadas por otras personas en favor de determinados candidatos de otras federaciones distintas de la de fútbol que tampoco han merecido reproche jurídico alguno por parte del Tribunal Administrativo del Deporte.</w:t>
      </w:r>
    </w:p>
    <w:p w:rsidR="005728DD" w:rsidRDefault="005728DD" w:rsidP="005728DD">
      <w:pPr>
        <w:pStyle w:val="TextoNormal"/>
      </w:pPr>
    </w:p>
    <w:p w:rsidR="005728DD" w:rsidRDefault="005728DD" w:rsidP="005728DD">
      <w:pPr>
        <w:pStyle w:val="TextoNormal"/>
      </w:pPr>
      <w:r>
        <w:t>En consecuencia, entienden los demandantes que “dándose unas circunstancias de hecho muy similares […] se aplican unas consecuencias jurídicas diferentes, en lo que supone introducir elementos de diferenciación arbitrarios y carentes de justificación razonable”. Además, a su entender, “no existe proporcionalidad […] entre la medida adoptada (imposición de retirada de firma y obligación de no emitir manifestaciones de una naturaleza similar), el resultado producido (mis representados no pueden participar en el procedimiento electoral) y la finalidad pretendida (formalmente, guardar un deber de neutralidad, materialmente silenciar a los presidentes de la práctica totalidad de federaciones territoriales de fútbol). Por el contrario, la medida adoptada logra otra finalidad que es permitir que personas en la misma situación que mis representados sigan opinando libremente, mientras que las medidas que ha adoptado el TAD, solo afectan a una parte de las personas” que son los recurrentes, a los que se les impone el deber de neutralidad.</w:t>
      </w:r>
    </w:p>
    <w:p w:rsidR="005728DD" w:rsidRDefault="005728DD" w:rsidP="005728DD">
      <w:pPr>
        <w:pStyle w:val="TextoNormal"/>
      </w:pPr>
    </w:p>
    <w:p w:rsidR="005728DD" w:rsidRDefault="005728DD" w:rsidP="005728DD">
      <w:pPr>
        <w:pStyle w:val="TextoNormal"/>
      </w:pPr>
      <w:r>
        <w:t>Así pues, desde esta perspectiva, la demanda denuncia, también, el trato discriminatorio sufrido por los recurrentes en relación con otras personas que, a su juicio, estarían en la misma situación que los recurrentes y que, en función de la resolución dictada por el Tribunal Administrativo del Deporte, estarían obligados a observar, también, el exigido deber de neutralidad que se les ha impuesto a ellos.</w:t>
      </w:r>
    </w:p>
    <w:p w:rsidR="005728DD" w:rsidRDefault="005728DD" w:rsidP="005728DD">
      <w:pPr>
        <w:pStyle w:val="TextoNormal"/>
      </w:pPr>
    </w:p>
    <w:p w:rsidR="005728DD" w:rsidRDefault="005728DD" w:rsidP="005728DD">
      <w:pPr>
        <w:pStyle w:val="TextoNormal"/>
      </w:pPr>
      <w:r>
        <w:t>e) Por último, la demanda denuncia la vulneración del derecho de defensa de los recurrentes, pues estos “no han tenido la oportunidad de invocar el ejercicio de los derechos fundamentales” ante el Tribunal Administrativo del Deporte.</w:t>
      </w:r>
    </w:p>
    <w:p w:rsidR="005728DD" w:rsidRDefault="005728DD" w:rsidP="005728DD">
      <w:pPr>
        <w:pStyle w:val="TextoNormal"/>
      </w:pPr>
    </w:p>
    <w:p w:rsidR="005728DD" w:rsidRDefault="005728DD" w:rsidP="005728DD">
      <w:pPr>
        <w:pStyle w:val="TextoNormal"/>
      </w:pPr>
      <w:r>
        <w:t>Desarrolla la demanda esta queja centrándola en el hecho de que, a los recurrentes, no se les dio trámite de audiencia en el procedimiento tramitado ante el Tribunal Administrativo del Deporte. Sostienen que, aunque “la resolución afirma que existió trámite de audiencia, esto no se ajusta a la realidad, puesto que en ningún momento se ha otorgado dicho trámite de audiencia efectivo a los solicitantes en amparo”.</w:t>
      </w:r>
    </w:p>
    <w:p w:rsidR="005728DD" w:rsidRDefault="005728DD" w:rsidP="005728DD">
      <w:pPr>
        <w:pStyle w:val="TextoNormal"/>
      </w:pPr>
    </w:p>
    <w:p w:rsidR="005728DD" w:rsidRDefault="005728DD" w:rsidP="005728DD">
      <w:pPr>
        <w:pStyle w:val="TextoNormal"/>
      </w:pPr>
      <w:r>
        <w:t>Sostiene la demanda que el Tribunal Administrativo del Deporte “requirió a la comisión electoral de la RFEF que diese trámite a los interesados a lo que este órgano respondió que no era de su competencia, sin que el TAD se ocupase de remitir directamente el trámite de audiencia (como luego sí que hace con la resolución) directamente a los solicitantes de amparo”.</w:t>
      </w:r>
    </w:p>
    <w:p w:rsidR="005728DD" w:rsidRDefault="005728DD" w:rsidP="005728DD">
      <w:pPr>
        <w:pStyle w:val="TextoNormal"/>
      </w:pPr>
    </w:p>
    <w:p w:rsidR="005728DD" w:rsidRDefault="005728DD" w:rsidP="005728DD">
      <w:pPr>
        <w:pStyle w:val="TextoNormal"/>
      </w:pPr>
      <w:r>
        <w:lastRenderedPageBreak/>
        <w:t>A su juicio, la resolución del Tribunal Administrativo del Deporte ha vulnerado su derecho de defensa procesal, “habida cuenta del carácter cuasisancionador [</w:t>
      </w:r>
      <w:r w:rsidRPr="005728DD">
        <w:rPr>
          <w:i/>
        </w:rPr>
        <w:t>sic</w:t>
      </w:r>
      <w:r>
        <w:t>] del procedimiento y resolución del TAD”, porque “no se ha podido esgrimir el ejercicio de los derechos fundamentales ante el órgano administrativo que estaba valorando la conducta”.</w:t>
      </w:r>
    </w:p>
    <w:p w:rsidR="005728DD" w:rsidRDefault="005728DD" w:rsidP="005728DD">
      <w:pPr>
        <w:pStyle w:val="TextoNormal"/>
      </w:pPr>
    </w:p>
    <w:p w:rsidR="005728DD" w:rsidRDefault="005728DD" w:rsidP="005728DD">
      <w:pPr>
        <w:pStyle w:val="TextoNormal"/>
      </w:pPr>
      <w:r>
        <w:t>La demanda justifica la especial transcendencia constitucional del recurso en las siguientes consideraciones: (i) No existe doctrina de este tribunal respecto del ejercicio de las libertades de expresión e información en el seno de un procedimiento electoral de corporaciones de derecho público y, en particular, en el de una federación deportiva. (ii) Es preciso que se expongan los necesarios criterios constitucionales que ponderen el ejercicio de los derechos fundamentales citados, por parte de personas y órganos relacionados con la organización de procesos electorales, y el deber de neutralidad de los mismos, por el que deben velar los órganos electorales de las federaciones deportivas y demás corporaciones de derecho público. (iii) La interpretación por parte del Tribunal Administrativo del Deporte de los límites de los derechos fundamentales, cuya vulneración se ha denunciado, y del deber de neutralidad exige un pronunciamiento de este tribunal, porque rebasa los límites del caso concreto para afectar a una pluralidad indeterminada de individuos y situaciones.</w:t>
      </w:r>
    </w:p>
    <w:p w:rsidR="005728DD" w:rsidRDefault="005728DD" w:rsidP="005728DD">
      <w:pPr>
        <w:pStyle w:val="TextoNormal"/>
      </w:pPr>
    </w:p>
    <w:p w:rsidR="005728DD" w:rsidRDefault="005728DD" w:rsidP="005728DD">
      <w:pPr>
        <w:pStyle w:val="TextoNormal"/>
      </w:pPr>
      <w:r w:rsidRPr="005728DD">
        <w:rPr>
          <w:rStyle w:val="NumeroAFNegritaCaracter"/>
        </w:rPr>
        <w:t>4</w:t>
      </w:r>
      <w:r>
        <w:t>. Por medio de providencia de 29 de junio de 2020, la Sección Cuarta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En la misma providencia se acordaba dirigir comunicación a la Sección Primera de la Sala de lo Contencioso-Administrativo del Tribunal Supremo, así como a la Sección Sexta de la misma Sala pero del Tribunal Superior de Justicia de Madrid para que, respectivamente y en el plazo de diez días, remitieran testimonio o copia adverada de las actuaciones relativas al recurso de casación núm. 5794-2018 y al procedimiento especial de protección de derechos fundamentales núm. 580-2017, así como que este último órgano judicial emplazara a los que hubieran sido parte en el procedimiento para que pudieran comparecer en el recurso de amparo, excepto la parte demandante.</w:t>
      </w:r>
    </w:p>
    <w:p w:rsidR="005728DD" w:rsidRDefault="005728DD" w:rsidP="005728DD">
      <w:pPr>
        <w:pStyle w:val="TextoNormal"/>
      </w:pPr>
    </w:p>
    <w:p w:rsidR="005728DD" w:rsidRDefault="005728DD" w:rsidP="005728DD">
      <w:pPr>
        <w:pStyle w:val="TextoNormal"/>
      </w:pPr>
      <w:r w:rsidRPr="005728DD">
        <w:rPr>
          <w:rStyle w:val="NumeroAFNegritaCaracter"/>
        </w:rPr>
        <w:t>5</w:t>
      </w:r>
      <w:r>
        <w:t>. Por medio de escrito, que tuvo entrada en el registro de este tribunal el día 13 de julio de 2020, el abogado del Estado se personó en las actuaciones.</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la Secretaría de Justicia de la Sección Cuarta de 10 de septiembre de 2020, se tuvo por personado y parte en el procedimiento al abogado del Estado y se acordó dar vista de las actuaciones por plazo común de veinte días a las partes personadas y al Ministerio Fiscal para que presentaran las alegaciones que tuvieran por pertinentes, de conformidad con lo dispuesto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El día 13 de octubre de 2020 ingresó en el registro de este tribunal el escrito de alegaciones del abogado del Estado, en el que solicita la desestimación de la demanda, si bien, mediante otrosí, interesa, también, la inadmisión del recurso de amparo porque, a su entender, carece el recurso de especial trascendencia constitucional.</w:t>
      </w:r>
    </w:p>
    <w:p w:rsidR="005728DD" w:rsidRDefault="005728DD" w:rsidP="005728DD">
      <w:pPr>
        <w:pStyle w:val="TextoNormal"/>
      </w:pPr>
    </w:p>
    <w:p w:rsidR="005728DD" w:rsidRDefault="005728DD" w:rsidP="005728DD">
      <w:pPr>
        <w:pStyle w:val="TextoNormal"/>
      </w:pPr>
      <w:r>
        <w:lastRenderedPageBreak/>
        <w:t>Después de realizar una pormenorizada exposición de los antecedentes de hecho que reputa relevantes para el supuesto, el abogado del Estado impugna, por separado, cada una de las denunciadas vulneraciones de derechos fundamentales invocadas por los recurrentes:</w:t>
      </w:r>
    </w:p>
    <w:p w:rsidR="005728DD" w:rsidRDefault="005728DD" w:rsidP="005728DD">
      <w:pPr>
        <w:pStyle w:val="TextoNormal"/>
      </w:pPr>
    </w:p>
    <w:p w:rsidR="005728DD" w:rsidRDefault="005728DD" w:rsidP="005728DD">
      <w:pPr>
        <w:pStyle w:val="TextoNormal"/>
      </w:pPr>
      <w:r>
        <w:t>a) La representación del Estado comienza su expositivo con la cita del art. 12.4 de la Orden ECD/2764/2015 y con unas consideraciones generales sobre el alcance de los derechos fundamentales, que no tienen un carácter absoluto sino que pueden ser objeto de limitación, siempre que se respete el núcleo esencial de los mismos. Destaca que “toda injerencia en el ámbito de los derechos fundamentales y las libertades públicas debe responder a un fin constitucionalmente legítimo o encaminarse a la protección o salvaguarda de un bien constitucionalmente relevante” (STC 76/2019, de 22 de mayo, FJ 5).</w:t>
      </w:r>
    </w:p>
    <w:p w:rsidR="005728DD" w:rsidRDefault="005728DD" w:rsidP="005728DD">
      <w:pPr>
        <w:pStyle w:val="TextoNormal"/>
      </w:pPr>
    </w:p>
    <w:p w:rsidR="005728DD" w:rsidRDefault="005728DD" w:rsidP="005728DD">
      <w:pPr>
        <w:pStyle w:val="TextoNormal"/>
      </w:pPr>
      <w:r>
        <w:t xml:space="preserve">Con la cita de esta doctrina, el abogado del Estado objeta, </w:t>
      </w:r>
      <w:r w:rsidRPr="005728DD">
        <w:rPr>
          <w:i/>
        </w:rPr>
        <w:t>ab initio</w:t>
      </w:r>
      <w:r>
        <w:t>, que los recurrentes invoquen “la titularidad formal de sus derechos fundamentales que pretenden violados, pero sin atender, de una manera completa o analizando el ordenamiento en su conjunto, a los posibles otros valores o bienes constitucionalmente protegidos o promocionados que cabría entender que concurran, y que de manera acorde con nuestro ordenamiento y sistema constitucional, componen uno o unos límites externos en preservación de esos otros valores constitucionalmente amparados”.</w:t>
      </w:r>
    </w:p>
    <w:p w:rsidR="005728DD" w:rsidRDefault="005728DD" w:rsidP="005728DD">
      <w:pPr>
        <w:pStyle w:val="TextoNormal"/>
      </w:pPr>
    </w:p>
    <w:p w:rsidR="005728DD" w:rsidRDefault="005728DD" w:rsidP="005728DD">
      <w:pPr>
        <w:pStyle w:val="TextoNormal"/>
      </w:pPr>
      <w:r>
        <w:t>b) Seguidamente, pasa al análisis de la alegada vulneración de la libertad de expresión hecha por los demandantes. Partiendo de lo que dispone el art. 12.4 de la Orden ECD/2764/2015 y de la argumentación realizada por el Tribunal Superior de Justicia de Madrid en su sentencia de 25 de julio de 2018 respecto del deber de neutralidad que aquellos debían observar, en cuanto presidentes de unos organismos federativos territoriales durante el proceso electoral convocado por la Real Federación Española de Fútbol para la elección de su presidente, entiende el abogado del Estado que los recurrentes no han cumplido con el citado deber por las siguientes razones:</w:t>
      </w:r>
    </w:p>
    <w:p w:rsidR="005728DD" w:rsidRDefault="005728DD" w:rsidP="005728DD">
      <w:pPr>
        <w:pStyle w:val="TextoNormal"/>
      </w:pPr>
    </w:p>
    <w:p w:rsidR="005728DD" w:rsidRDefault="005728DD" w:rsidP="005728DD">
      <w:pPr>
        <w:pStyle w:val="TextoNormal"/>
      </w:pPr>
      <w:r>
        <w:t>(i) En primer lugar, porque las manifestaciones y expresiones “vertidas en la carta” las hicieron, no a título personal, sino “como cargos o responsables federativos”. Señala, al respecto, que, de conformidad con lo que disponen los arts. 21 y 36.3 de los estatutos de la Real Federación Española de Fútbol, los presidentes de las federaciones territoriales de fútbol son, como tales, miembros de la comisión de presidentes de ámbito autonómico, “por lo que no cabe establecer una diferenciación entre los cargos de presidente de una federación territorial y la vocalía de la comisión de presidentes ya que este puesto se ejerce en la medida en que se ejerce o desempeña aquel”. Añade que “uno y otro cargo son así, aun distintos en sí mismos, pero funcionalmente indisociables en el plano propio de la normativa reguladora al efecto”.</w:t>
      </w:r>
    </w:p>
    <w:p w:rsidR="005728DD" w:rsidRDefault="005728DD" w:rsidP="005728DD">
      <w:pPr>
        <w:pStyle w:val="TextoNormal"/>
      </w:pPr>
    </w:p>
    <w:p w:rsidR="005728DD" w:rsidRDefault="005728DD" w:rsidP="005728DD">
      <w:pPr>
        <w:pStyle w:val="TextoNormal"/>
      </w:pPr>
      <w:r>
        <w:t>(ii) En segundo término, entiende el abogado del Estado que “[t]ampoco es válida la excusa de que el deber de neutralidad se exige al órgano como tal y no a sus miembros”. Destaca que “el propósito del deber de neutralidad es evitar que las personas que desempeñan cargos federativos puedan servirse de ellos para romper la objetividad e imparcialidad de todo procedimiento electoral”. Por ello, sostiene que, cuando los recurrentes firmaron la carta en su calidad de presidentes de las federaciones territoriales, pretendieron prevalerse de su cargo para influir en las elecciones, “sin que el hecho de que no estuvieran reglamentariamente constituidos en una sesión desvirtúe su interferencia en las elecciones”.</w:t>
      </w:r>
    </w:p>
    <w:p w:rsidR="005728DD" w:rsidRDefault="005728DD" w:rsidP="005728DD">
      <w:pPr>
        <w:pStyle w:val="TextoNormal"/>
      </w:pPr>
    </w:p>
    <w:p w:rsidR="005728DD" w:rsidRDefault="005728DD" w:rsidP="005728DD">
      <w:pPr>
        <w:pStyle w:val="TextoNormal"/>
      </w:pPr>
      <w:r>
        <w:t>El art. 12.4 de la Orden ECD/2764/2015 coloca a los presidentes federativos, en cuanto que ostentan dicho cargo, en una situación de sujeción especial que les impone preservar su neutralidad en situaciones de proceso electoral para, de ese modo, preservar la correcta celebración del mismo, bajo los principios de objetividad y neutralidad. Dicho deber, esgrimido en contra de los demandantes por la resolución del Tribunal Administrativo del Deporte, limita de manera proporcionada el derecho a la libertad de expresión de aquellos. Se trata, por otra parte, de una medida limitativa idónea para preservar aquellos principios de objetividad y neutralidad del proceso y para evitar “toda presión psicológica que sobre los electores pudieran efectuar los presidentes de federaciones territoriales en fase de período electoral”. Además, tampoco resulta una carga excesiva, irracional o arbitraria, “atendidas, precisamente, las circunstancias personales y materiales que concurren”, por tratarse de una carta firmada por cargos federativos (presidentes de federaciones territoriales) respecto de unas elecciones al cargo de presidente de la federación nacional de la que aquellas federaciones territoriales forman parte.</w:t>
      </w:r>
    </w:p>
    <w:p w:rsidR="005728DD" w:rsidRDefault="005728DD" w:rsidP="005728DD">
      <w:pPr>
        <w:pStyle w:val="TextoNormal"/>
      </w:pPr>
    </w:p>
    <w:p w:rsidR="005728DD" w:rsidRDefault="005728DD" w:rsidP="005728DD">
      <w:pPr>
        <w:pStyle w:val="TextoNormal"/>
      </w:pPr>
      <w:r>
        <w:t>c) A continuación, el abogado del Estado analiza, para instar su desestimación, la queja referida a la vulneración de la libertad de información de los recurrentes. Alega que la carta “carecía de contenido informativo, puesto que los ahora recurrentes no difunden hecho noticiable alguno sino que se limitan a exponer sus opiniones sobre los precandidatos a las elecciones de la Real Federación Española de Fútbol”.</w:t>
      </w:r>
    </w:p>
    <w:p w:rsidR="005728DD" w:rsidRDefault="005728DD" w:rsidP="005728DD">
      <w:pPr>
        <w:pStyle w:val="TextoNormal"/>
      </w:pPr>
    </w:p>
    <w:p w:rsidR="005728DD" w:rsidRDefault="005728DD" w:rsidP="005728DD">
      <w:pPr>
        <w:pStyle w:val="TextoNormal"/>
      </w:pPr>
      <w:r>
        <w:t>El representante del Estado insiste en el deber de neutralidad que debían respetar los firmantes de la carta, en cuanto titulares de cargos directivos del fútbol territorial durante el proceso electoral que había sido convocado y, con cita de las SSTC 14/2003, de 28 de enero, y 244/2007, de 10 de diciembre, agrega que la información vertida por las instituciones públicas o sus órganos, en el ejercicio de sus atribuciones, queda fuera del ámbito protegido por la libertad de información.</w:t>
      </w:r>
    </w:p>
    <w:p w:rsidR="005728DD" w:rsidRDefault="005728DD" w:rsidP="005728DD">
      <w:pPr>
        <w:pStyle w:val="TextoNormal"/>
      </w:pPr>
    </w:p>
    <w:p w:rsidR="005728DD" w:rsidRDefault="005728DD" w:rsidP="005728DD">
      <w:pPr>
        <w:pStyle w:val="TextoNormal"/>
      </w:pPr>
      <w:r>
        <w:t>Por ello, sostiene que los presidentes de las federaciones territoriales, en cuanto titulares individuales de un cargo público e integrantes, a su vez, de un órgano colegiado público, “ejerciente de funciones delegadas de orden público sectorial, no tiene propiamente reconocido […] un derecho fundamental al modo o en el sentido […] del apartado 1 d) del art. 20 CE, a comunicar información a la opinión pública”, sino que la revelación de tales informaciones las hará en el ejercicio de las funciones públicas que tenga legalmente encomendadas, pero no en el ejercicio de aquel derecho fundamental.</w:t>
      </w:r>
    </w:p>
    <w:p w:rsidR="005728DD" w:rsidRDefault="005728DD" w:rsidP="005728DD">
      <w:pPr>
        <w:pStyle w:val="TextoNormal"/>
      </w:pPr>
    </w:p>
    <w:p w:rsidR="005728DD" w:rsidRDefault="005728DD" w:rsidP="005728DD">
      <w:pPr>
        <w:pStyle w:val="TextoNormal"/>
      </w:pPr>
      <w:r>
        <w:t xml:space="preserve">d) Por último, en relación con las alegadas vulneraciones de los derechos de defensa y a un proceso con todas las garantías, por no habérseles dado traslado a los recurrentes, en la vía administrativa, del expediente para el conocimiento de la denuncia formulada, ni tampoco habérseles dado trámite de audiencia, el abogado del Estado contesta que aquellos no han sufrido indefensión alguna, toda vez que han tenido conocimiento de la resolución del Tribunal Administrativo del Deporte y han acudido a la vía jurisdiccional, a través de un procedimiento especial de protección de derechos fundamentales, para la defensa de sus derechos e intereses legítimos. Agrega, con cita de la STC 317/2007, de 2 de julio, (en realidad, se refiere al ATC 317/2007, de 2 de julio), que las garantías derivadas de los derechos fundamentales invocados solo resultan de aplicación a los procesos judiciales y a los procedimientos administrativos sancionadores, lo que no es el caso, porque el expediente, </w:t>
      </w:r>
      <w:r>
        <w:lastRenderedPageBreak/>
        <w:t>sustanciado y resuelto por el mencionado tribunal administrativo, no tenía carácter sancionador.</w:t>
      </w:r>
    </w:p>
    <w:p w:rsidR="005728DD" w:rsidRDefault="005728DD" w:rsidP="005728DD">
      <w:pPr>
        <w:pStyle w:val="TextoNormal"/>
      </w:pPr>
    </w:p>
    <w:p w:rsidR="005728DD" w:rsidRDefault="005728DD" w:rsidP="005728DD">
      <w:pPr>
        <w:pStyle w:val="TextoNormal"/>
      </w:pPr>
      <w:r>
        <w:t xml:space="preserve">Se trataba de una resolución que calificó la actitud de los presidentes de las federaciones territoriales, por sus manifestaciones en la carta, “como una </w:t>
      </w:r>
      <w:r w:rsidRPr="005728DD">
        <w:rPr>
          <w:i/>
        </w:rPr>
        <w:t>infracción</w:t>
      </w:r>
      <w:r>
        <w:t xml:space="preserve"> al deber de neutralidad”, lo que “constituye una calificación desfavorable y un reproche a su actitud, ejerciendo una ‘policía’ o vigilancia en periodo electoral, conminándoles a la retirada de sus firmas de la carta”, pero no de un expediente sancionador.</w:t>
      </w:r>
    </w:p>
    <w:p w:rsidR="005728DD" w:rsidRDefault="005728DD" w:rsidP="005728DD">
      <w:pPr>
        <w:pStyle w:val="TextoNormal"/>
      </w:pPr>
    </w:p>
    <w:p w:rsidR="005728DD" w:rsidRDefault="005728DD" w:rsidP="005728DD">
      <w:pPr>
        <w:pStyle w:val="TextoNormal"/>
      </w:pPr>
      <w:r>
        <w:t>e) Concluye el escrito de alegaciones mediante un otrosí en el que el abogado del Estado propugna la inadmisión del recurso porque entiende que carece de especial trascendencia constitucional. A su juicio, se trata de una cuestión de legalidad ordinaria “relativa al ejercicio por parte de un organismo público, el TAD, de sus funciones de vigilancia y control del desarrollo de un proceso electoral, de acuerdo con lo previsto en el art. 84.1 c) de la Ley 10/1990, del deporte”. Además, señala que no nos hallamos ante un supuesto sobre el que no haya doctrina constitucional, ni tampoco requiere que este tribunal cambie su doctrina, ni que haya habido un incumplimiento sistemático de aquella doctrina, o el asunto haya tenido una relevante repercusión social o económica, o unas consecuencias políticas o generales.</w:t>
      </w:r>
    </w:p>
    <w:p w:rsidR="005728DD" w:rsidRDefault="005728DD" w:rsidP="005728DD">
      <w:pPr>
        <w:pStyle w:val="TextoNormal"/>
      </w:pPr>
    </w:p>
    <w:p w:rsidR="005728DD" w:rsidRDefault="005728DD" w:rsidP="005728DD">
      <w:pPr>
        <w:pStyle w:val="TextoNormal"/>
      </w:pPr>
      <w:r w:rsidRPr="005728DD">
        <w:rPr>
          <w:rStyle w:val="NumeroAFNegritaCaracter"/>
        </w:rPr>
        <w:t>8</w:t>
      </w:r>
      <w:r>
        <w:t>. El día 15 de octubre de 2020 accedió al registro de este tribunal un escrito presentado por la representación de los recurrentes en el que se realizan una serie de alegaciones, calificadas como “complementarias” a las de la demanda de amparo.</w:t>
      </w:r>
    </w:p>
    <w:p w:rsidR="005728DD" w:rsidRDefault="005728DD" w:rsidP="005728DD">
      <w:pPr>
        <w:pStyle w:val="TextoNormal"/>
      </w:pPr>
    </w:p>
    <w:p w:rsidR="005728DD" w:rsidRDefault="005728DD" w:rsidP="005728DD">
      <w:pPr>
        <w:pStyle w:val="TextoNormal"/>
      </w:pPr>
      <w:r>
        <w:t xml:space="preserve">Señala al respecto que, tanto el Tribunal Administrativo del Deporte como la sentencia judicial dictada que ratificó la anterior, parten “de una realidad absoluta como es la concurrencia del deber de neutralidad, que imputan a los solicitantes de amparo, sin ni siquiera realizar ponderación alguna con el posible ejercicio de la libertad de expresión o de información en los términos constitucionalmente exigibles”. Reitera, en este sentido, anteriores argumentos de la demanda, para insistir en que las resoluciones del Tribunal Administrativo del Deporte y del Tribunal Superior de Justicia de Madrid han hecho una interpretación restrictiva de los derechos fundamentales invocados y, por el contrario, otra extensiva de aquel deber de neutralidad. Cita, en este sentido, la STEDH de 25 de julio de 2019, caso </w:t>
      </w:r>
      <w:r w:rsidRPr="005728DD">
        <w:rPr>
          <w:i/>
        </w:rPr>
        <w:t>Brzezinski c. Polonia</w:t>
      </w:r>
      <w:r>
        <w:t xml:space="preserve"> (§ 53 y 58), para concluir que, en el ámbito del funcionamiento de una federación deportiva, la opinión de los presidentes de las federaciones autonómicas es relevante en el debate interno que debe preceder a unas elecciones. Tal debate ha ocurrido en relación con convocatorias electorales de otras federaciones deportivas (atletismo, caza, montaña y escalada, rugby o tiro olímpico), sin que se hayan acordado tales restricciones.</w:t>
      </w:r>
    </w:p>
    <w:p w:rsidR="005728DD" w:rsidRDefault="005728DD" w:rsidP="005728DD">
      <w:pPr>
        <w:pStyle w:val="TextoNormal"/>
      </w:pPr>
    </w:p>
    <w:p w:rsidR="005728DD" w:rsidRDefault="005728DD" w:rsidP="005728DD">
      <w:pPr>
        <w:pStyle w:val="TextoNormal"/>
      </w:pPr>
      <w:r>
        <w:t xml:space="preserve">Por otro lado, la resolución del Tribunal Administrativo del Deporte impugnada, según se señala en el escrito, ha determinado que dicho órgano haya “iniciado un procedimiento sancionador en el que, casi cuatro años después de la teórica comisión de los hechos que dieron lugar a su actuación inicial, pretende exigir responsabilidad disciplinaria a los solicitantes de amparo”. Así, en el “expediente TAD 209-2018-Cuáter (el expediente se ha iniciado en diversas ocasiones anteriores, si bien siempre fue archivado por caducidad, de ahí el sufijo ‘Cuáter’) se ha dictado propuesta de resolución con fecha 15 de septiembre de 2020 […] en la que se propone que los solicitantes de amparo sean sancionados con la sanción de inhabilitación temporal de dos meses prevista en el artículo 79.2 b) de la Ley 10/1990, del </w:t>
      </w:r>
      <w:r>
        <w:lastRenderedPageBreak/>
        <w:t>deporte por incumplimiento del artículo 12.4 de la Orden ECD/2764/2015”. Cita nuevamente la STEDH de 25 de julio de 2019 (§ 61) para sostener que la eventual sanción de inhabilitación que les pueda ser impuesta a los recurrentes puede generar un efecto desalentador para el ejercicio de las libertades de expresión y de información.</w:t>
      </w:r>
    </w:p>
    <w:p w:rsidR="005728DD" w:rsidRDefault="005728DD" w:rsidP="005728DD">
      <w:pPr>
        <w:pStyle w:val="TextoNormal"/>
      </w:pPr>
    </w:p>
    <w:p w:rsidR="005728DD" w:rsidRDefault="005728DD" w:rsidP="005728DD">
      <w:pPr>
        <w:pStyle w:val="TextoNormal"/>
      </w:pPr>
      <w:r>
        <w:t>Finalmente, en sus dos últimos apartados, el escrito de alegaciones vuelve a reiterar anteriores argumentos ya sostenidos en la demanda, esto es que, sobre los presidentes de federaciones autonómicas no pesa el deber de neutralidad previsto en el art. 12.4 de la Orden ECD/2764/2015; que dicho deber incumbe al órgano pero no a miembros del mismo; y que, en todo caso, la carta no tuvo ninguna incidencia en el proceso electoral convocado.</w:t>
      </w:r>
    </w:p>
    <w:p w:rsidR="005728DD" w:rsidRDefault="005728DD" w:rsidP="005728DD">
      <w:pPr>
        <w:pStyle w:val="TextoNormal"/>
      </w:pPr>
    </w:p>
    <w:p w:rsidR="005728DD" w:rsidRDefault="005728DD" w:rsidP="005728DD">
      <w:pPr>
        <w:pStyle w:val="TextoNormal"/>
      </w:pPr>
      <w:r w:rsidRPr="005728DD">
        <w:rPr>
          <w:rStyle w:val="NumeroAFNegritaCaracter"/>
        </w:rPr>
        <w:t>9</w:t>
      </w:r>
      <w:r>
        <w:t>. Por escrito que tuvo entrada en el registro de este tribunal el día 28 de octubre de 2020, el Ministerio Fiscal presentó sus alegaciones, que, resumidamente, se exponen a continuación:</w:t>
      </w:r>
    </w:p>
    <w:p w:rsidR="005728DD" w:rsidRDefault="005728DD" w:rsidP="005728DD">
      <w:pPr>
        <w:pStyle w:val="TextoNormal"/>
      </w:pPr>
    </w:p>
    <w:p w:rsidR="005728DD" w:rsidRDefault="005728DD" w:rsidP="005728DD">
      <w:pPr>
        <w:pStyle w:val="TextoNormal"/>
      </w:pPr>
      <w:r>
        <w:t>a) Después de describir los antecedentes de hecho, se detiene el fiscal en la argumentación jurídica de los fundamentos de derecho que estima procedentes para la resolución de este recurso. A este respecto, comienza destacando que procede, en primer lugar, delimitar el objeto del recurso, en el que se alude a la vulneración de los derechos a la libertad de expresión e información, “si bien se efectúan algunas referencias, en refuerzo de la argumentación, al trato desigual aplicado en supuestos citados que se consideran análogos, así como a la ausencia del trámite efectivo de audiencia, sin directa invocación, en ningún caso, de los arts. 14 y 24 CE” pero que, a juicio del fiscal, “carecen de un desarrollo autónomo —a diferencia de lo acontecido en el escrito de demanda contencioso-administrativa— como para plantear una lesión de estos derechos de amparo”.</w:t>
      </w:r>
    </w:p>
    <w:p w:rsidR="005728DD" w:rsidRDefault="005728DD" w:rsidP="005728DD">
      <w:pPr>
        <w:pStyle w:val="TextoNormal"/>
      </w:pPr>
    </w:p>
    <w:p w:rsidR="005728DD" w:rsidRDefault="005728DD" w:rsidP="005728DD">
      <w:pPr>
        <w:pStyle w:val="TextoNormal"/>
      </w:pPr>
      <w:r>
        <w:t>Pese a ello, el fiscal analiza por separado las siguientes quejas de los recurrentes.</w:t>
      </w:r>
    </w:p>
    <w:p w:rsidR="005728DD" w:rsidRDefault="005728DD" w:rsidP="005728DD">
      <w:pPr>
        <w:pStyle w:val="TextoNormal"/>
      </w:pPr>
    </w:p>
    <w:p w:rsidR="005728DD" w:rsidRDefault="005728DD" w:rsidP="005728DD">
      <w:pPr>
        <w:pStyle w:val="TextoNormal"/>
      </w:pPr>
      <w:r>
        <w:t>b) En lo que se refiere al principio de igualdad (art. 14 CE) el fiscal entiende que deben hacerse dos consideraciones: (i) que concurre una causa de inadmisión de esta queja puesto que la parte actora no la invocó en el escrito de preparación del recurso de casación. Esta alegada vulneración únicamente se denunció en la demanda del recurso contencioso-administrativo, pero no en el escrito de preparación del recurso de casación, por lo que se acudió directamente a la vía de amparo. Se habría incumplido, pues, el requisito previsto en el art. 44.1 a) LOTC; y (ii) no se cumplen, tampoco, los requisitos exigidos por la doctrina de este tribunal para apreciar la vulneración de este derecho, pues no se ofrece un término de comparación adecuado, “sino una decisión distinta e injustificada por parte del órgano correspondiente”.</w:t>
      </w:r>
    </w:p>
    <w:p w:rsidR="005728DD" w:rsidRDefault="005728DD" w:rsidP="005728DD">
      <w:pPr>
        <w:pStyle w:val="TextoNormal"/>
      </w:pPr>
    </w:p>
    <w:p w:rsidR="005728DD" w:rsidRDefault="005728DD" w:rsidP="005728DD">
      <w:pPr>
        <w:pStyle w:val="TextoNormal"/>
      </w:pPr>
      <w:r>
        <w:t xml:space="preserve">c) Por lo que se refiere a la vulneración del art. 24 CE por indefensión, el fiscal entiende que el procedimiento abierto por el Tribunal Administrativo del Deporte no tenía carácter sancionador, toda vez que una de las funciones que la Ley 10/1990 del deporte atribuye a este organismo es la de velar por el ajuste a derecho de los procesos electorales en los órganos de gobierno de las federaciones deportivas españolas [art. 84.1 c)], que es, precisamente, lo que hizo el Tribunal Administrativo del Deporte, de tal manera que “la posible falta de audiencia en el procedimiento administrativo quedó compensada por la efectiva posibilidad de acudir a la vía jurisdiccional, donde los recurrentes tuvieron ocasión de alegar y probar </w:t>
      </w:r>
      <w:r>
        <w:lastRenderedPageBreak/>
        <w:t>lo que consideraron conveniente, sanando aquella eventual indefensión formal”. Para el fiscal, aquella omisión no pasa de ser una mera irregularidad carente de relevancia y de indefensión material.</w:t>
      </w:r>
    </w:p>
    <w:p w:rsidR="005728DD" w:rsidRDefault="005728DD" w:rsidP="005728DD">
      <w:pPr>
        <w:pStyle w:val="TextoNormal"/>
      </w:pPr>
    </w:p>
    <w:p w:rsidR="005728DD" w:rsidRDefault="005728DD" w:rsidP="005728DD">
      <w:pPr>
        <w:pStyle w:val="TextoNormal"/>
      </w:pPr>
      <w:r>
        <w:t>d) Seguidamente, el escrito del Ministerio Fiscal dedica el siguiente apartado al estudio de lo que, a su juicio, constituye el “núcleo” de las vulneraciones invocadas, que localiza en las libertades de expresión y de información.</w:t>
      </w:r>
    </w:p>
    <w:p w:rsidR="005728DD" w:rsidRDefault="005728DD" w:rsidP="005728DD">
      <w:pPr>
        <w:pStyle w:val="TextoNormal"/>
      </w:pPr>
    </w:p>
    <w:p w:rsidR="005728DD" w:rsidRDefault="005728DD" w:rsidP="005728DD">
      <w:pPr>
        <w:pStyle w:val="TextoNormal"/>
      </w:pPr>
      <w:r>
        <w:t>Después de recoger, de modo detallado, la doctrina de este tribunal sobre ambos derechos, los criterios para el deslinde de uno y otro, así como los límites establecidos a su ejercicio, pasa al análisis del caso concreto.</w:t>
      </w:r>
    </w:p>
    <w:p w:rsidR="005728DD" w:rsidRDefault="005728DD" w:rsidP="005728DD">
      <w:pPr>
        <w:pStyle w:val="TextoNormal"/>
      </w:pPr>
    </w:p>
    <w:p w:rsidR="005728DD" w:rsidRDefault="005728DD" w:rsidP="005728DD">
      <w:pPr>
        <w:pStyle w:val="TextoNormal"/>
      </w:pPr>
      <w:r>
        <w:t>Comienza señalando los que, a su parecer, son los presupuestos indiscutibles de enjuiciamiento: (i) que se trataba de una carta de apoyo a don Ángel María Villar; (ii) que tuvo lugar durante el proceso de elecciones a presidente de la Real Federación Española de Fútbol; (iii) que el art. 12.4 de la Orden ECD/2764/2015 establece un deber de neutralidad de determinados órganos/cargos de la RFEF, cuyo alcance es objeto de controversia; y (iv) que los firmantes de la carta lo hicieron en su condición de presidentes de las respectivas federaciones autonómicas de fútbol.</w:t>
      </w:r>
    </w:p>
    <w:p w:rsidR="005728DD" w:rsidRDefault="005728DD" w:rsidP="005728DD">
      <w:pPr>
        <w:pStyle w:val="TextoNormal"/>
      </w:pPr>
    </w:p>
    <w:p w:rsidR="005728DD" w:rsidRDefault="005728DD" w:rsidP="005728DD">
      <w:pPr>
        <w:pStyle w:val="TextoNormal"/>
      </w:pPr>
      <w:r>
        <w:t>Después, señala una serie de aspectos de la resolución del Tribunal Administrativo del Deporte y de la sentencia del Tribunal Superior de Justicia de Madrid, así como de la carta, que considera relevantes, para llegar a la afirmación de que, del contenido de esta última, se deduce “que agrupa una amalgama de juicios de valor y narración de hechos —vicisitudes de elaboración del reglamento electoral, tramitación de procedimientos judiciales y expedientes disciplinarios—, alguno con reflejo en noticias publicadas y en actuaciones jurisdiccionales y administrativas”. Y que “[s]e censura igualmente a varios dirigentes de organismos deportivos —presidente del Consejo Superior de Deportes, de la Liga Profesional, ex secretario general de la federación—”.</w:t>
      </w:r>
    </w:p>
    <w:p w:rsidR="005728DD" w:rsidRDefault="005728DD" w:rsidP="005728DD">
      <w:pPr>
        <w:pStyle w:val="TextoNormal"/>
      </w:pPr>
    </w:p>
    <w:p w:rsidR="005728DD" w:rsidRDefault="005728DD" w:rsidP="005728DD">
      <w:pPr>
        <w:pStyle w:val="TextoNormal"/>
      </w:pPr>
      <w:r>
        <w:t>De todo lo expuesto y, en la medida en que lo predominante son las opiniones y los juicios de valor que se realizan en la carta sobre la base de determinadas informaciones no totalmente inexactas, el fiscal considera que, en el caso de autos, está en juego, de modo preeminente, el derecho a la libertad de expresión y “ello con una implícita defensa del futuro candidato don Ángel Villar —en aquel momento presidente de la RFEF— con una censura colateral de don Miguel Galán en el contexto del proceso electoral ya iniciado”.</w:t>
      </w:r>
    </w:p>
    <w:p w:rsidR="005728DD" w:rsidRDefault="005728DD" w:rsidP="005728DD">
      <w:pPr>
        <w:pStyle w:val="TextoNormal"/>
      </w:pPr>
    </w:p>
    <w:p w:rsidR="005728DD" w:rsidRDefault="005728DD" w:rsidP="005728DD">
      <w:pPr>
        <w:pStyle w:val="TextoNormal"/>
      </w:pPr>
      <w:r>
        <w:t>Por tanto, en el parecer del fiscal, “dichas consideraciones, en sí mismas, desde la perspectiva del derecho a la libertad de expresión no incorporan expresiones que desborden este derecho, máxime tratándose de manifestaciones en relación con dirigentes de organismos públicos, en concreto de los organismos deportivos”.</w:t>
      </w:r>
    </w:p>
    <w:p w:rsidR="005728DD" w:rsidRDefault="005728DD" w:rsidP="005728DD">
      <w:pPr>
        <w:pStyle w:val="TextoNormal"/>
      </w:pPr>
    </w:p>
    <w:p w:rsidR="005728DD" w:rsidRDefault="005728DD" w:rsidP="005728DD">
      <w:pPr>
        <w:pStyle w:val="TextoNormal"/>
      </w:pPr>
      <w:r>
        <w:t>A continuación, para estudiar “la trascendencia electoral del contenido de la carta de apoyo”, el fiscal analiza lo dispuesto en el art. 12.4 de la Orden ECD/2764/2015 y entiende que aquel debe ser enfocado desde dos perspectivas:</w:t>
      </w:r>
    </w:p>
    <w:p w:rsidR="005728DD" w:rsidRDefault="005728DD" w:rsidP="005728DD">
      <w:pPr>
        <w:pStyle w:val="TextoNormal"/>
      </w:pPr>
    </w:p>
    <w:p w:rsidR="005728DD" w:rsidRDefault="005728DD" w:rsidP="005728DD">
      <w:pPr>
        <w:pStyle w:val="TextoNormal"/>
      </w:pPr>
      <w:r>
        <w:t xml:space="preserve">(i) Si el contenido de la carta indujo o no al voto a los electores. En este sentido, con cita de la STC 170/2008, de 15 de diciembre, FJ 4, el fiscal llega a la conclusión de que, a la </w:t>
      </w:r>
      <w:r>
        <w:lastRenderedPageBreak/>
        <w:t>vista de las manifestaciones de la carta de apoyo, la pluralidad de afectados criticados ajenos al proceso electoral (presidente del Consejo Superior de Deportes, de la Liga de Fútbol Profesional, etc…), por el espacio temporal existente entre la publicación de la carta (23 de febrero de 2017) y la celebración de elecciones (27 de abril y 22 de mayo de 2017, referidas, respectivamente a los miembros de la asamblea general de la Real Federación Española de Fútbol y de presidente de esta), cree “que resultaría muy difícil [que] su contenido resultara con capacidad de influencia en el voto, hasta el punto de infringir el deber de neutralidad del art. 12.4 de la Orden ECD/2764/2015, dado el amplio periodo para la reflexión todavía existente, sin una votación inminente, la celebración de la correspondiente campaña, la percepción de otras influencias y la adopción de la decisión definitiva” por parte de los votantes.</w:t>
      </w:r>
    </w:p>
    <w:p w:rsidR="005728DD" w:rsidRDefault="005728DD" w:rsidP="005728DD">
      <w:pPr>
        <w:pStyle w:val="TextoNormal"/>
      </w:pPr>
    </w:p>
    <w:p w:rsidR="005728DD" w:rsidRDefault="005728DD" w:rsidP="005728DD">
      <w:pPr>
        <w:pStyle w:val="TextoNormal"/>
      </w:pPr>
      <w:r>
        <w:t>(ii) Desde la segunda perspectiva, relativa al deber de neutralidad, el fiscal pone en relación la libertad de expresión con el derecho de acceso a los cargos públicos en condiciones de igualdad, que introduce respecto de sus titulares el deber de neutralidad de los poderes públicos en el contexto electoral vinculado al principio de objetividad de la administración pública (art. 103.1 CE). Señala, al respecto y con cita de jurisprudencia de la Sala de lo Contencioso-Administrativo del Tribunal Supremo y del art. 1 del Real Decreto 1835/1991, de 20 de diciembre, de desarrollo de la Ley 10/1990, del deporte, que las federaciones deportivas son entidades asociativas privadas, sin ánimo de lucro y con personalidad jurídica y patrimonio propios y que ejercen por delegación funciones públicas de carácter administrativo, actuando como agentes colaboradores de la administración pública. Por tanto, desde la óptica del derecho a la libertad de expresión, no gozan de la misma posición que los ciudadanos en el disfrute de aquel derecho, pues, a diferencia de estos, que sí son titulares, las instituciones públicas no son titulares de este derecho y su actuación debe limitarse al ejercicio de sus competencias (cita las SSTC 19/1993, de 21 de enero, FJ 2, y 14/2003, de 28 de enero, FJ 8).</w:t>
      </w:r>
    </w:p>
    <w:p w:rsidR="005728DD" w:rsidRDefault="005728DD" w:rsidP="005728DD">
      <w:pPr>
        <w:pStyle w:val="TextoNormal"/>
      </w:pPr>
    </w:p>
    <w:p w:rsidR="005728DD" w:rsidRDefault="005728DD" w:rsidP="005728DD">
      <w:pPr>
        <w:pStyle w:val="TextoNormal"/>
      </w:pPr>
      <w:r>
        <w:t>A partir de tales consideraciones, analiza después la naturaleza jurídica y funciones de la comisión gestora y de la comisión de presidentes de las federaciones autonómicas y pone en relación el art. 12.4 de la Orden ECD/2764/2015 con las normas de la Ley Orgánica del régimen electoral general (LOREG), que disponen el deber de neutralidad de la administración electoral (arts. 8.1, 50.1 y 66 LOREG), para llegar a la conclusión de que el “criterio de mantener el distanciamiento y no interferencia de aquellos que desempeñan cargos institucionales en la administración concernida” determina que su “intervención durante el período electoral no puede reputarse institucionalmente indiferente o neutra”. Así pues, “el objetivo de no interferir en los procesos electorales es coherente con el principio de neutralidad de la LOREG y concorde con la naturaleza público privada de la federación”.</w:t>
      </w:r>
    </w:p>
    <w:p w:rsidR="005728DD" w:rsidRDefault="005728DD" w:rsidP="005728DD">
      <w:pPr>
        <w:pStyle w:val="TextoNormal"/>
      </w:pPr>
    </w:p>
    <w:p w:rsidR="005728DD" w:rsidRDefault="005728DD" w:rsidP="005728DD">
      <w:pPr>
        <w:pStyle w:val="TextoNormal"/>
      </w:pPr>
      <w:r>
        <w:t>En el parecer del fiscal, lo “que hacen los presidentes de las respectivas federaciones que suscriben la carta como tales es ‘tomar partido’ por el candidato al que se apoya. Y ello significa excederse del límite de neutralidad y separarse de la equidistancia e imparcialidad propias de la objetividad exigida a quien forma parte de la administración federativa —más estricta por cumplir una función pública— en cumplimiento del mandato general que se deriva del art. 12.4 de la Orden Ministerial2764/2015, que limita el derecho a la libertad de expresión en función de los cargos federativos acotado a los periodos electorales”.</w:t>
      </w:r>
    </w:p>
    <w:p w:rsidR="005728DD" w:rsidRDefault="005728DD" w:rsidP="005728DD">
      <w:pPr>
        <w:pStyle w:val="TextoNormal"/>
      </w:pPr>
    </w:p>
    <w:p w:rsidR="005728DD" w:rsidRDefault="005728DD" w:rsidP="005728DD">
      <w:pPr>
        <w:pStyle w:val="TextoNormal"/>
      </w:pPr>
      <w:r>
        <w:lastRenderedPageBreak/>
        <w:t>Por todo lo expuesto, el fiscal finaliza su escrito de alegaciones solicitando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21 de enero de 2021, se señaló para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El presente recurso de amparo se dirige, según se indica en el suplico de la demanda, contra la resolución del Tribunal Administrativo del Deporte de 27 de abril de 2017. Se trata, por tanto, de un recurso formalizado al amparo de lo dispuesto en el art. 43.1 LOTC.</w:t>
      </w:r>
    </w:p>
    <w:p w:rsidR="005728DD" w:rsidRDefault="005728DD" w:rsidP="005728DD">
      <w:pPr>
        <w:pStyle w:val="TextoNormal"/>
      </w:pPr>
    </w:p>
    <w:p w:rsidR="005728DD" w:rsidRDefault="005728DD" w:rsidP="005728DD">
      <w:pPr>
        <w:pStyle w:val="TextoNormal"/>
      </w:pPr>
      <w:r>
        <w:t>La citada resolución, que había estimado parcialmente el recurso interpuesto por don Miguel Ángel Galán Castellanos, acordó, en lo que ahora es de interés, declarar que las firmas de los ahora recurrentes, en su calidad de presidentes de dieciséis federaciones territoriales de la Real Federación Española de Fútbol, suscritas al pie de un escrito, publicado en las páginas webs de dos federaciones territoriales de fútbol bajo la rúbrica “Carta en apoyo a D. Ángel María Villar”, contravenía el deber de neutralidad que el art. 12.4 de la Orden ECD/2764/2015, impone a todos los órganos federativos, al inducir el sentido del voto de los electores en favor de uno de los precandidatos a la elección de presidente de la federación española. Por ello, la resolución ordenaba que la comisión electoral de la Real Federación Española de Fútbol requiriera a los afectados para que retiraran su firma, como presidentes de aquellas federaciones, del documento y que les instara a abstenerse de realizar actos que, directa o indirectamente, mediata o inmediatamente, indujeran o condicionaran el sentido del voto de los electores, así como a observar los principios de objetividad, transparencia del proceso electoral e igualdad entre los actores electorales.</w:t>
      </w:r>
    </w:p>
    <w:p w:rsidR="005728DD" w:rsidRDefault="005728DD" w:rsidP="005728DD">
      <w:pPr>
        <w:pStyle w:val="TextoNormal"/>
      </w:pPr>
    </w:p>
    <w:p w:rsidR="005728DD" w:rsidRDefault="005728DD" w:rsidP="005728DD">
      <w:pPr>
        <w:pStyle w:val="TextoNormal"/>
      </w:pPr>
      <w:r>
        <w:t>La precitada resolución fue confirmada en la vía judicial por la sentencia de 25 de julio de 2018, dictada por la Sección Sexta de la Sala de lo Contencioso-Administrativo del Tribunal Superior de Justicia de Madrid, recaída en el procedimiento de derechos fundamentales núm. 580-2017, que adquirió firmeza después de que la Sección Primera de la misma Sala del Tribunal Supremo dictara providencia de 24 de enero de 2019, declarando la inadmisión del recurso de casación preparado por los ahora demandantes de amparo contra aquella.</w:t>
      </w:r>
    </w:p>
    <w:p w:rsidR="005728DD" w:rsidRDefault="005728DD" w:rsidP="005728DD">
      <w:pPr>
        <w:pStyle w:val="TextoNormal"/>
      </w:pPr>
    </w:p>
    <w:p w:rsidR="005728DD" w:rsidRDefault="005728DD" w:rsidP="005728DD">
      <w:pPr>
        <w:pStyle w:val="TextoNormal"/>
      </w:pPr>
      <w:r>
        <w:t>La demanda de amparo invoca la vulneración de los derechos fundamentales a las libertades de expresión y de información, de igualdad en la aplicación de la ley y de defensa de los derechos procesales.</w:t>
      </w:r>
    </w:p>
    <w:p w:rsidR="005728DD" w:rsidRDefault="005728DD" w:rsidP="005728DD">
      <w:pPr>
        <w:pStyle w:val="TextoNormal"/>
      </w:pPr>
    </w:p>
    <w:p w:rsidR="005728DD" w:rsidRDefault="005728DD" w:rsidP="005728DD">
      <w:pPr>
        <w:pStyle w:val="TextoNormal"/>
      </w:pPr>
      <w:r>
        <w:t xml:space="preserve">Como con detalle se recoge en los antecedentes, los actores entienden que la resolución administrativa ha vulnerado sus libertades de expresión y de información porque, aun cuando firmaron la carta alegando su condición de presidentes de sus respectivas federaciones territoriales de fútbol, no estaban directamente afectados por la normativa electoral reguladora del proceso de elección a presidente de la Real Federación Española de Fútbol, que había sido convocado en fechas inmediatamente anteriores, por lo que no les era de </w:t>
      </w:r>
      <w:r>
        <w:lastRenderedPageBreak/>
        <w:t>aplicación el deber de neutralidad que aquella les imponía. Además, la carta la publicaron tres meses antes de que tuviera lugar la elección y no pedía el voto para ningún candidato, por lo que tampoco tuvo incidencia en el proceso electoral. Finalmente, destacan que aquella misiva únicamente reflejaba hechos anteriores, que habían tenido lugar respecto del señor Villar y las personas que se oponían al mismo y a su anterior presidencia de la federación, por lo que se trataba de hechos noticiables que estaban en el conocimiento público y habían sido difundidos por los medios de comunicación.</w:t>
      </w:r>
    </w:p>
    <w:p w:rsidR="005728DD" w:rsidRDefault="005728DD" w:rsidP="005728DD">
      <w:pPr>
        <w:pStyle w:val="TextoNormal"/>
      </w:pPr>
    </w:p>
    <w:p w:rsidR="005728DD" w:rsidRDefault="005728DD" w:rsidP="005728DD">
      <w:pPr>
        <w:pStyle w:val="TextoNormal"/>
      </w:pPr>
      <w:r>
        <w:t>La invocada vulneración del principio de igualdad la sostiene la demanda sobre la afirmación de que, respecto de otros precandidatos y, en relación con otras personas, ni se han formulado denuncias, ni tampoco el Tribunal Administrativo del Deporte ha dictado resolución en el mismo sentido; además, señala que, de modo habitual y en procesos electorales a cargos directivos de otras federaciones nacionales, opera la libertad de expresión, de tal manera que no se ha objetado que se puedan realizar manifestaciones de apoyo a candidatos a presidentes, incluso por parte de presidentes de federaciones territoriales que se muestren favorables a algunos de los candidatos.</w:t>
      </w:r>
    </w:p>
    <w:p w:rsidR="005728DD" w:rsidRDefault="005728DD" w:rsidP="005728DD">
      <w:pPr>
        <w:pStyle w:val="TextoNormal"/>
      </w:pPr>
    </w:p>
    <w:p w:rsidR="005728DD" w:rsidRDefault="005728DD" w:rsidP="005728DD">
      <w:pPr>
        <w:pStyle w:val="TextoNormal"/>
      </w:pPr>
      <w:r>
        <w:t xml:space="preserve">Por último, el derecho a la defensa procesal de sus intereses lo sustentan los recurrentes en que, en el seno del procedimiento administrativo, el Tribunal Administrativo del Deporte no les dio traslado del recurso formulado por el señor Galán, ni tampoco habilitó un trámite de audiencia a los mismos antes de que aquel dictara su resolución. En el trámite de alegaciones, la parte destacó, como complemento de lo sostenido en la demanda, que, a resultas de la resolución dictada por el órgano y confirmada por la sentencia del Tribunal Superior de Justicia de Madrid, el primero inició un expediente sancionador contra los recurrentes en el que había recaído propuesta de resolución sancionadora, por lo que rechazaba que el expediente núm. 132-2017 estuviera desprovisto de aquel carácter sancionador que le ha negado la sentencia del Tribunal Superior de Justicia de Madrid. Sin embargo, esta nueva alegación debe ser excluida del objeto de nuestro enjuiciamiento porque este tribunal ha destacado, de forma reiterada, que “los términos de la </w:t>
      </w:r>
      <w:r w:rsidRPr="005728DD">
        <w:rPr>
          <w:i/>
        </w:rPr>
        <w:t>litis</w:t>
      </w:r>
      <w:r>
        <w:t xml:space="preserve"> han de quedar delimitados en la propia demanda, en la que han de fijarse las pretensiones ejercitadas, las vulneraciones de derechos fundamentales invocados con la correspondiente argumentación que les dé soporte y el suplico en el que se concrete lo pedido por el recurrente” [por todas, STC 2/2019, de 14 de enero, FJ 2 a), y todas las que allí se citan].</w:t>
      </w:r>
    </w:p>
    <w:p w:rsidR="005728DD" w:rsidRDefault="005728DD" w:rsidP="005728DD">
      <w:pPr>
        <w:pStyle w:val="TextoNormal"/>
      </w:pPr>
    </w:p>
    <w:p w:rsidR="005728DD" w:rsidRDefault="005728DD" w:rsidP="005728DD">
      <w:pPr>
        <w:pStyle w:val="TextoNormal"/>
      </w:pPr>
      <w:r>
        <w:t>Por su parte, tanto el abogado del Estado como el Ministerio Fiscal, tal y como se detalla en los antecedentes, han solicitado la desestimación del recurso. No obstante, el primero ha interesado también, por medio de otrosí, la inadmisión del recurso por falta de especial transcendencia constitucional del recurso. Y el segundo la inadmisión a trámite, por falta de agotamiento, de la queja sobre la eventual vulneración del principio de igualdad.</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Óbices procesales</w:t>
      </w:r>
      <w:r>
        <w:t>.</w:t>
      </w:r>
    </w:p>
    <w:p w:rsidR="005728DD" w:rsidRDefault="005728DD" w:rsidP="005728DD">
      <w:pPr>
        <w:pStyle w:val="TextoNormal"/>
      </w:pPr>
    </w:p>
    <w:p w:rsidR="005728DD" w:rsidRDefault="005728DD" w:rsidP="005728DD">
      <w:pPr>
        <w:pStyle w:val="TextoNormal"/>
      </w:pPr>
      <w:r>
        <w:t>Antes de comenzar el análisis de las quejas denunciadas en la demanda hemos de hacer referencia a los óbices procesales que han apuntado el abogado del Estado y el Ministerio Fiscal. Procederemos a su estudio por el orden indicado.</w:t>
      </w:r>
    </w:p>
    <w:p w:rsidR="005728DD" w:rsidRDefault="005728DD" w:rsidP="005728DD">
      <w:pPr>
        <w:pStyle w:val="TextoNormal"/>
      </w:pPr>
    </w:p>
    <w:p w:rsidR="005728DD" w:rsidRDefault="005728DD" w:rsidP="005728DD">
      <w:pPr>
        <w:pStyle w:val="TextoNormal"/>
      </w:pPr>
      <w:r>
        <w:lastRenderedPageBreak/>
        <w:t>a) El abogado del Estado entiende que el recurso de amparo tendría que haber sido inadmitido porque el asunto carece de especial trascendencia constitucional que merezca un pronunciamiento de fondo por parte de este tribunal.</w:t>
      </w:r>
    </w:p>
    <w:p w:rsidR="005728DD" w:rsidRDefault="005728DD" w:rsidP="005728DD">
      <w:pPr>
        <w:pStyle w:val="TextoNormal"/>
      </w:pPr>
    </w:p>
    <w:p w:rsidR="005728DD" w:rsidRDefault="005728DD" w:rsidP="005728DD">
      <w:pPr>
        <w:pStyle w:val="TextoNormal"/>
      </w:pPr>
      <w:r>
        <w:t xml:space="preserve">La relevancia constitucional es, ciertamente, requisito exigible de conformidad con lo que disponen los arts. 49.1 y 50.1 b) LOTC y, por consiguiente, de orden público procesal (STC 159/2019, de 12 de diciembre, FJ 2, por remisión a la STC 113/2012, de 24 de mayo, FJ 2, y las allí citadas). Exigencias de certeza y buena administración de Justicia (STEDH de 20 de enero de 2015, asunto </w:t>
      </w:r>
      <w:r w:rsidRPr="005728DD">
        <w:rPr>
          <w:i/>
        </w:rPr>
        <w:t>Arribas Antón c. España</w:t>
      </w:r>
      <w:r>
        <w:t>, § 46) obligan, pues, a explicitar el cumplimiento del mismo con el fin de hacer cognoscibles los criterios empleados al efecto por este tribunal.</w:t>
      </w:r>
    </w:p>
    <w:p w:rsidR="005728DD" w:rsidRDefault="005728DD" w:rsidP="005728DD">
      <w:pPr>
        <w:pStyle w:val="TextoNormal"/>
      </w:pPr>
    </w:p>
    <w:p w:rsidR="005728DD" w:rsidRDefault="005728DD" w:rsidP="005728DD">
      <w:pPr>
        <w:pStyle w:val="TextoNormal"/>
      </w:pPr>
      <w:r>
        <w:t>En cualquier caso, debemos recordar también que la inicial admisión a trámite de la demanda de amparo no es obstáculo para, después, abordar o reconsiderar en sentencia la concurrencia de los presupuestos y requisitos procesales (por todas, SSTC 19/2014, de 10 de febrero, FJ 2, o 69/2011, de 16 de mayo, FJ 2). Nada impide que este tribunal, en el trámite de dictar sentencia y, por tanto, en un momento o fase procesal distintos del previsto para la admisión del recurso, pueda examinar, incluso de oficio, los requisitos exigidos para su admisión a trámite y, en caso de comprobar su incumplimiento, dictar un pronunciamiento de inadmisión del amparo solicitado (entre muchas, SSTC 126/2011, de 18 de julio, FJ 2, y 8/2017, de 19 de enero, FJ 2).</w:t>
      </w:r>
    </w:p>
    <w:p w:rsidR="005728DD" w:rsidRDefault="005728DD" w:rsidP="005728DD">
      <w:pPr>
        <w:pStyle w:val="TextoNormal"/>
      </w:pPr>
    </w:p>
    <w:p w:rsidR="005728DD" w:rsidRDefault="005728DD" w:rsidP="005728DD">
      <w:pPr>
        <w:pStyle w:val="TextoNormal"/>
      </w:pPr>
      <w:r>
        <w:t>A partir de las anteriores consideraciones iniciales, este tribunal ha decidido admitir el presente recurso de amparo porque apreció una especial trascendencia constitucional en el mismo (art. 50.1 LOTC), vinculada al planteamiento de un problema o afectación de una faceta del derecho fundamental concernido sobre el que no hay doctrina [STC 155/2009, de 25 de junio, FJ 2 a)].</w:t>
      </w:r>
    </w:p>
    <w:p w:rsidR="005728DD" w:rsidRDefault="005728DD" w:rsidP="005728DD">
      <w:pPr>
        <w:pStyle w:val="TextoNormal"/>
      </w:pPr>
    </w:p>
    <w:p w:rsidR="005728DD" w:rsidRDefault="005728DD" w:rsidP="005728DD">
      <w:pPr>
        <w:pStyle w:val="TextoNormal"/>
      </w:pPr>
      <w:r>
        <w:t>No encontramos ahora razones para modificar esa apreciación. La cuestión suscitada en este recurso se centra, esencialmente, en la denunciada vulneración de los derechos a la libertad de expresión y de información de unas personas que ostentaban cargos directivos y de representación en el ámbito de un deporte y en un entorno determinado como es el de los procesos electorales que preceden a la designación por elección de sus órganos directivos.</w:t>
      </w:r>
    </w:p>
    <w:p w:rsidR="005728DD" w:rsidRDefault="005728DD" w:rsidP="005728DD">
      <w:pPr>
        <w:pStyle w:val="TextoNormal"/>
      </w:pPr>
    </w:p>
    <w:p w:rsidR="005728DD" w:rsidRDefault="005728DD" w:rsidP="005728DD">
      <w:pPr>
        <w:pStyle w:val="TextoNormal"/>
      </w:pPr>
      <w:r>
        <w:t>Hasta ahora el tribunal no ha tenido ocasión de abordar si los órganos directivos de este tipo de entidades de titularidad privada, pero que ejercen, por delegación, funciones públicas de carácter administrativo y actúan como agentes colaboradores de la administración pública (art. 30.2 de la Ley 10/1990, de 15 de octubre, del deporte), son titulares de los derechos a las libertades de expresión y de información que invocan. Y también da ocasión al tribunal para pronunciarse sobre el ejercicio y límites de estos derechos en el marco de un proceso electoral y sobre el alcance del deber de neutralidad que incumbe a aquellos órganos y a sus miembros directivos en aquellos procesos electorales.</w:t>
      </w:r>
    </w:p>
    <w:p w:rsidR="005728DD" w:rsidRDefault="005728DD" w:rsidP="005728DD">
      <w:pPr>
        <w:pStyle w:val="TextoNormal"/>
      </w:pPr>
    </w:p>
    <w:p w:rsidR="005728DD" w:rsidRDefault="005728DD" w:rsidP="005728DD">
      <w:pPr>
        <w:pStyle w:val="TextoNormal"/>
      </w:pPr>
      <w:r>
        <w:t>Por todo lo expuesto, hemos de desestimar el óbice procesal alegado por el abogado del Estado.</w:t>
      </w:r>
    </w:p>
    <w:p w:rsidR="005728DD" w:rsidRDefault="005728DD" w:rsidP="005728DD">
      <w:pPr>
        <w:pStyle w:val="TextoNormal"/>
      </w:pPr>
    </w:p>
    <w:p w:rsidR="005728DD" w:rsidRDefault="005728DD" w:rsidP="005728DD">
      <w:pPr>
        <w:pStyle w:val="TextoNormal"/>
      </w:pPr>
      <w:r>
        <w:lastRenderedPageBreak/>
        <w:t>b) Por su parte, el Ministerio Fiscal, aunque no alega óbice de admisibilidad al conjunto de la demanda, sí entiende que la queja sobre la eventual vulneración del principio de igualdad adolece de falta de agotamiento de la vía judicial previa, pues, si bien los actores denunciaron esta vulneración en la demanda presentada en el recurso contencioso-administrativo, no la reprodujeron después en el escrito de preparación del recurso de casación, por lo que incurriría en el presupuesto de inadmisibilidad previsto en el art. 44.1 a) LOTC. No obstante lo expuesto, el fiscal entiende, también, que la queja carece de sustantividad y autonomía propia, por estar estrechamente vinculada a la de los derechos a la libertad de expresión e información de los recurrentes.</w:t>
      </w:r>
    </w:p>
    <w:p w:rsidR="005728DD" w:rsidRDefault="005728DD" w:rsidP="005728DD">
      <w:pPr>
        <w:pStyle w:val="TextoNormal"/>
      </w:pPr>
    </w:p>
    <w:p w:rsidR="005728DD" w:rsidRDefault="005728DD" w:rsidP="005728DD">
      <w:pPr>
        <w:pStyle w:val="TextoNormal"/>
      </w:pPr>
      <w:r>
        <w:t>Hemos de acoger la causa de inadmisibilidad alegada por el Ministerio Fiscal respecto de la alegada vulneración del derecho a la igualdad en la aplicación de la ley. En efecto, como bien destaca el fiscal en sus alegaciones y así lo hemos recogido en los antecedentes, los recurrentes denunciaron la infracción del principio de igualdad en la demanda del recurso contencioso-administrativo que presentaron ante la Sala correspondiente del Tribunal Superior de Justicia de Madrid; pero, recaída sentencia desestimatoria de todos los motivos, en el posterior escrito de preparación del recurso de casación únicamente sostuvieron la queja respecto de los derechos a las libertades de expresión e información y de defensa procesal y no así en relación a la posible vulneración del principio de igualdad, omitiendo toda referencia a la misma, por lo que la no sostenibilidad de este motivo en el recurso de casación conlleva indefectiblemente la inadmisibilidad del recurso de amparo en lo que respecta a este motivo [art. 44.1 a) LOTC].</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Defensa procesal de los recurrentes</w:t>
      </w:r>
      <w:r>
        <w:t>.</w:t>
      </w:r>
    </w:p>
    <w:p w:rsidR="005728DD" w:rsidRDefault="005728DD" w:rsidP="005728DD">
      <w:pPr>
        <w:pStyle w:val="TextoNormal"/>
      </w:pPr>
    </w:p>
    <w:p w:rsidR="005728DD" w:rsidRDefault="005728DD" w:rsidP="005728DD">
      <w:pPr>
        <w:pStyle w:val="TextoNormal"/>
      </w:pPr>
      <w:r>
        <w:t>La demanda alega la eventual vulneración del derecho de defensa de los recurrentes, localizada en la tramitación del expediente núm. 132-2017 del Tribunal Administrativo del Deporte, que finalizó con la resolución de 27 de abril de 2017, objeto de impugnación en este recurso.</w:t>
      </w:r>
    </w:p>
    <w:p w:rsidR="005728DD" w:rsidRDefault="005728DD" w:rsidP="005728DD">
      <w:pPr>
        <w:pStyle w:val="TextoNormal"/>
      </w:pPr>
    </w:p>
    <w:p w:rsidR="005728DD" w:rsidRDefault="005728DD" w:rsidP="005728DD">
      <w:pPr>
        <w:pStyle w:val="TextoNormal"/>
      </w:pPr>
      <w:r>
        <w:t>Los recurrentes denuncian que, durante la sustanciación del citado expediente, no se les dio trámite de audiencia para que “tuvieran la oportunidad de alegar el ejercicio de sus derechos fundamentales”, de tal manera que únicamente conocieron la denuncia formulada por el señor Galán al tiempo de que les fuera notificada la resolución ahora impugnada.</w:t>
      </w:r>
    </w:p>
    <w:p w:rsidR="005728DD" w:rsidRDefault="005728DD" w:rsidP="005728DD">
      <w:pPr>
        <w:pStyle w:val="TextoNormal"/>
      </w:pPr>
    </w:p>
    <w:p w:rsidR="005728DD" w:rsidRDefault="005728DD" w:rsidP="005728DD">
      <w:pPr>
        <w:pStyle w:val="TextoNormal"/>
      </w:pPr>
      <w:r>
        <w:t>Hay que comenzar señalando que la falta de audiencia de la que se quejan los recurrentes contradice lo que, tanto la resolución del Tribunal Administrativo del Deporte impugnada, como posteriormente la sentencia del Tribunal Superior de Justicia de Madrid, han destacado como trámite que sí tuvo lugar. Concretamente, el antecedente quinto de la resolución del Tribunal Administrativo del Deporte impugnada destaca textualmente:</w:t>
      </w:r>
    </w:p>
    <w:p w:rsidR="005728DD" w:rsidRDefault="005728DD" w:rsidP="005728DD">
      <w:pPr>
        <w:pStyle w:val="TextoNormal"/>
      </w:pPr>
    </w:p>
    <w:p w:rsidR="005728DD" w:rsidRDefault="005728DD" w:rsidP="005728DD">
      <w:pPr>
        <w:pStyle w:val="TextoNormal"/>
      </w:pPr>
      <w:r>
        <w:t>“Quinto.- Advertido por este tribunal que la comisión electoral no había dado audiencia a los firmantes de la carta, se les ha dado traslado del recurso ofreciéndoles la posibilidad de formular alegaciones que debían obrar en el tribunal a las 14:00 horas del jueves 20, sin que se haya recibido ninguna dentro del plazo establecido”.</w:t>
      </w:r>
    </w:p>
    <w:p w:rsidR="005728DD" w:rsidRDefault="005728DD" w:rsidP="005728DD">
      <w:pPr>
        <w:pStyle w:val="TextoNormal"/>
      </w:pPr>
    </w:p>
    <w:p w:rsidR="005728DD" w:rsidRDefault="005728DD" w:rsidP="005728DD">
      <w:pPr>
        <w:pStyle w:val="TextoNormal"/>
      </w:pPr>
      <w:r>
        <w:t xml:space="preserve">Por su parte, la sentencia de 25 de julio de 2018 del Tribunal Superior de Justicia de Madrid (FJ 6) también afirma que, a los folios 74 y 75 del expediente administrativo y en el </w:t>
      </w:r>
      <w:r>
        <w:lastRenderedPageBreak/>
        <w:t>precitado antecedente quinto de la resolución del Tribunal Administrativo del Deporte, constaba “que sí se les dio traslado para alegaciones a los dieciséis presidentes autonómicos firmantes de la ‘carta de apoyo a don Ángel María Villar’, a través del Tribunal Administrativo del Deporte —como dispone el art. 25.1 de la Orden ECD 2764/2015— aunque no las hayan presentado”.</w:t>
      </w:r>
    </w:p>
    <w:p w:rsidR="005728DD" w:rsidRDefault="005728DD" w:rsidP="005728DD">
      <w:pPr>
        <w:pStyle w:val="TextoNormal"/>
      </w:pPr>
    </w:p>
    <w:p w:rsidR="005728DD" w:rsidRDefault="005728DD" w:rsidP="005728DD">
      <w:pPr>
        <w:pStyle w:val="TextoNormal"/>
      </w:pPr>
      <w:r>
        <w:t xml:space="preserve">Por consiguiente, este tribunal ha de partir en su enjuiciamiento de los presupuestos de hecho que se declaran probados en las resoluciones impugnadas, pues, como reiteradamente ha declarado, “no está entre las funciones de este tribunal revisar la valoración probatoria o alterar los hechos probados [art. 44.1 b) LOTC], al ser esta función exclusiva de los órganos del Poder Judicial </w:t>
      </w:r>
      <w:r w:rsidRPr="005728DD">
        <w:rPr>
          <w:i/>
        </w:rPr>
        <w:t>ex</w:t>
      </w:r>
      <w:r>
        <w:t xml:space="preserve"> art. 117.3 CE [SSTC 174/1985, de 23 de noviembre, FJ 3; 323/1993, de 8 de noviembre, FJ 4; 102/1994, de 11 de abril, FJ 1; 157/1995, de 6 de noviembre, FJ 2; 125/2001, de 4 de junio, FJ 10, y 74/2007, de 16 de abril, FJ 2 […] 81/2018, FJ 2 c)]” (STC 165/2020, de 16 de noviembre, FJ 4).</w:t>
      </w:r>
    </w:p>
    <w:p w:rsidR="005728DD" w:rsidRDefault="005728DD" w:rsidP="005728DD">
      <w:pPr>
        <w:pStyle w:val="TextoNormal"/>
      </w:pPr>
    </w:p>
    <w:p w:rsidR="005728DD" w:rsidRDefault="005728DD" w:rsidP="005728DD">
      <w:pPr>
        <w:pStyle w:val="TextoNormal"/>
      </w:pPr>
      <w:r>
        <w:t>En todo caso, como ponen de manifiesto el abogado del Estado y el Ministerio Fiscal en sus alegaciones, el expediente núm. 132-2017, abierto por el Tribunal Administrativo del Deporte y que finalizó con la resolución de 27 de abril de 2017, no tenía carácter sancionador, sino que fue iniciado en virtud de denuncia formulada por don Miguel Ángel Galán Castellanos, al amparo de lo dispuesto en los arts. 84.1 c) de la Ley 10/1990 y 1.1 c) del Real Decreto 53/2014, de 31 de enero, de desarrollo de la composición, organización y funciones del Tribunal Administrativo del Deporte (fundamento jurídico 1 de la resolución), que dispone como función de este órgano administrativo, la de velar por la correcta sustanciación y resolución de los procesos electorales convocados por las federaciones deportivas españolas.</w:t>
      </w:r>
    </w:p>
    <w:p w:rsidR="005728DD" w:rsidRDefault="005728DD" w:rsidP="005728DD">
      <w:pPr>
        <w:pStyle w:val="TextoNormal"/>
      </w:pPr>
    </w:p>
    <w:p w:rsidR="005728DD" w:rsidRDefault="005728DD" w:rsidP="005728DD">
      <w:pPr>
        <w:pStyle w:val="TextoNormal"/>
      </w:pPr>
      <w:r>
        <w:t>Se trataba, por tanto, de un expediente que tenía por objeto verificar que no se produjeran interferencias o actuaciones que pudieran incidir negativamente en la tramitación y finalización del proceso electoral convocado por la Real Federación Española de Fútbol. Igualmente, el acuerdo de la resolución tampoco apreciaba infracción alguna de las previstas en el art. 76, ni la decisión adoptada respondía al cuadro de sanciones establecidas en el art. 79, ambos de la Ley 10/1990, sino que las medidas adoptadas (requerimiento para la retirada de la firma de la carta y para la abstención de todo acto que pudiera afectar a la neutralidad en el proceso electoral) tenían por único objetivo preservar el correcto devenir del proceso electoral convocado.</w:t>
      </w:r>
    </w:p>
    <w:p w:rsidR="005728DD" w:rsidRDefault="005728DD" w:rsidP="005728DD">
      <w:pPr>
        <w:pStyle w:val="TextoNormal"/>
      </w:pPr>
    </w:p>
    <w:p w:rsidR="005728DD" w:rsidRDefault="005728DD" w:rsidP="005728DD">
      <w:pPr>
        <w:pStyle w:val="TextoNormal"/>
      </w:pPr>
      <w:r>
        <w:t>La determinación de la naturaleza jurídica y alcance del expediente núm. 132-2017, como procedimiento administrativo que no tenía carácter disciplinario ni sancionador, es también relevante porque este tribunal (SSTC 59/2014, de 5 de mayo, FJ 3, y 54/2015, de 16 de marzo, FJ 7, por todas) ha declarado que las garantías del art. 24.2 CE únicamente son aplicables al derecho administrativo sancionador. Además, ha aclarado que “la falta de audiencia en el procedimiento administrativo no sancionador será circunstancia que haya de ser corregida, en su caso, en sede judicial no comportando por sí misma indefensión con relevancia constitucional (STC 118/1999, de 28 de junio, FJ 1, y AATC 1197/1987, de 26 de octubre, FJ 2, y 275/1988, de 29 de febrero, FJ 1, entre otras resoluciones)” (ATC 89/2011, de 20 de junio, FJ 2).</w:t>
      </w:r>
    </w:p>
    <w:p w:rsidR="005728DD" w:rsidRDefault="005728DD" w:rsidP="005728DD">
      <w:pPr>
        <w:pStyle w:val="TextoNormal"/>
      </w:pPr>
    </w:p>
    <w:p w:rsidR="005728DD" w:rsidRDefault="005728DD" w:rsidP="005728DD">
      <w:pPr>
        <w:pStyle w:val="TextoNormal"/>
      </w:pPr>
      <w:r>
        <w:lastRenderedPageBreak/>
        <w:t>En el caso de autos, la eventual irregularidad procedimental que alegan los recurrentes, de haberse producido, no habría generado la indefensión material que denuncian, dado que, por tratarse de un expediente que no tenía carácter sancionador, dicha indefensión pudo ser corregida en la vía jurisdiccional que fue instada a continuación.</w:t>
      </w:r>
    </w:p>
    <w:p w:rsidR="005728DD" w:rsidRDefault="005728DD" w:rsidP="005728DD">
      <w:pPr>
        <w:pStyle w:val="TextoNormal"/>
      </w:pPr>
    </w:p>
    <w:p w:rsidR="005728DD" w:rsidRDefault="005728DD" w:rsidP="005728DD">
      <w:pPr>
        <w:pStyle w:val="TextoNormal"/>
      </w:pPr>
      <w:r>
        <w:t>Por todo ello, el motivo de amparo debe ser desestimado.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Libertades de expresión e información: Delimitación y doctrina constitucional</w:t>
      </w:r>
      <w:r>
        <w:t>.</w:t>
      </w:r>
    </w:p>
    <w:p w:rsidR="005728DD" w:rsidRDefault="005728DD" w:rsidP="005728DD">
      <w:pPr>
        <w:pStyle w:val="TextoNormal"/>
      </w:pPr>
    </w:p>
    <w:p w:rsidR="005728DD" w:rsidRDefault="005728DD" w:rsidP="005728DD">
      <w:pPr>
        <w:pStyle w:val="TextoNormal"/>
      </w:pPr>
      <w:r>
        <w:t>a) La demanda invoca de forma conjunta los derechos de los recurrentes a sus libertades de expresión e información y constituye el núcleo esencial de la pretensión de amparo, toda vez que, a través de diferentes argumentos, aquellos sostienen que la resolución del Tribunal Administrativo del Deporte impugnada ha vulnerado ambos derechos, sin que hayan delimitado el ámbito de cada uno de ellos, ni tampoco otorgado prevalencia a uno sobre el otro.</w:t>
      </w:r>
    </w:p>
    <w:p w:rsidR="005728DD" w:rsidRDefault="005728DD" w:rsidP="005728DD">
      <w:pPr>
        <w:pStyle w:val="TextoNormal"/>
      </w:pPr>
    </w:p>
    <w:p w:rsidR="005728DD" w:rsidRDefault="005728DD" w:rsidP="005728DD">
      <w:pPr>
        <w:pStyle w:val="TextoNormal"/>
      </w:pPr>
      <w:r>
        <w:t>Por tanto, lo primero que hemos de determinar es si fueron efectivamente ambos derechos fundamentales los que vinieron a ejercerse mediante el escrito que aquellos publicaron en las páginas webs de dos federaciones territoriales de fútbol y que, como reiteradamente ha quedado reflejado en los antecedentes, rubricaron como “Carta de apoyo a D. Ángel María Villar”; o, por el contrario, si solo fue puesto en práctica, o lo fue de modo preponderante, uno de tales derechos fundamentales sobre el otro.</w:t>
      </w:r>
    </w:p>
    <w:p w:rsidR="005728DD" w:rsidRDefault="005728DD" w:rsidP="005728DD">
      <w:pPr>
        <w:pStyle w:val="TextoNormal"/>
      </w:pPr>
    </w:p>
    <w:p w:rsidR="005728DD" w:rsidRDefault="005728DD" w:rsidP="005728DD">
      <w:pPr>
        <w:pStyle w:val="TextoNormal"/>
      </w:pPr>
      <w:r>
        <w:t>Al respecto, este tribunal ha recordado con reiteración (por todas, las SSTC 79/2014, de 28 de mayo, FJ 4; 65/2015, de 13 de abril, FJ 2, y 38/2017, de 24 de abril) que no siempre es fácil deslindar el ámbito de aplicación de ambas libertades. Así, ha declarado que “[l]a Constitución, y nuestra jurisprudencia con ella (por todas, STC 79/2014, de 28 de mayo, FJ 4), distinguen, como es bien conocido, entre el derecho a expresar y difundir libremente pensamientos, ideas y opiniones mediante la palabra, el escrito o cualquier otro medio de reproducción, de una parte, y el que tiene por objeto, de otra, la libre comunicación de información veraz por cualquier medio de difusión [apartados a) y d), respectivamente, del art. 20.1 CE]. Por más que, como no hemos dejado de observar en ocasiones anteriores, una libertad y otra pueden llegar a entreverarse en los supuestos reales que la vida ofrece (STC 41/2011, FJ 2, y resoluciones allí citadas), este distingo entre derechos es de capital importancia, pues mientras el segundo de los citados se orienta, sobre todo, a la transmisión o comunicación de lo que se tienen por hechos —susceptibles, entonces, de contraste, prueba o mentís—, la libertad de expresión tiene su campo de proyección más propio en la manifestación de valoraciones o juicios que, es evidente, quedan al margen de toda confirmación o desmentido fácticos. Se trata de una diferencia relevante, como es obvio, para identificar el ámbito y los límites propios de cada una de estas libertades” (STC 65/2015, de 13 de abril, FJ 2).</w:t>
      </w:r>
    </w:p>
    <w:p w:rsidR="005728DD" w:rsidRDefault="005728DD" w:rsidP="005728DD">
      <w:pPr>
        <w:pStyle w:val="TextoNormal"/>
      </w:pPr>
    </w:p>
    <w:p w:rsidR="005728DD" w:rsidRDefault="005728DD" w:rsidP="005728DD">
      <w:pPr>
        <w:pStyle w:val="TextoNormal"/>
      </w:pPr>
      <w:r>
        <w:t>Igualmente, este tribunal ha señalado que, “para determinar cuál es el derecho fundamental efectivamente en juego en cada supuesto, será necesario atender ‘al que aparezca como preponderante o predominante. Y a tal efecto nuestra doctrina considera determinante el que del texto se desprenda un ‘afán informativo’ (STC 278/2005, de 7 de noviembre, FJ 2) o que predomine intencionalmente la expresión de un ‘juicio de valor’” [STC 38/2017, FJ 2 b)].</w:t>
      </w:r>
    </w:p>
    <w:p w:rsidR="005728DD" w:rsidRDefault="005728DD" w:rsidP="005728DD">
      <w:pPr>
        <w:pStyle w:val="TextoNormal"/>
      </w:pPr>
    </w:p>
    <w:p w:rsidR="005728DD" w:rsidRDefault="005728DD" w:rsidP="005728DD">
      <w:pPr>
        <w:pStyle w:val="TextoNormal"/>
      </w:pPr>
      <w:r>
        <w:lastRenderedPageBreak/>
        <w:t>La carta suscrita por los recurrentes, si bien recoge diferentes hechos que fueron del conocimiento público a través de los medios de comunicación, tales como los procedimientos penales instados contra don Ángel María Villar cuando era presidente de la Real Federación Española de Fútbol, así como los diferentes expedientes disciplinarios abiertos contra el mismo y contra otras personas vinculadas por uno u otro concepto a la RFEF, el resultado de aquellos y estos, así como respecto del proceso electoral convocado, es lo cierto que la rúbrica principal de la carta, así como la que aparece inmediatamente después —catorce años de acoso y persecución—, junto a determinadas opiniones y juicios de valor que, sobre aquellos hechos, realizan los firmantes de la carta en diferentes pasajes de la misma, han de llevarnos a la conclusión de que el derecho predominantemente invocado es el de la libertad de expresión, tal y como así lo sostiene también el Ministerio Fiscal.</w:t>
      </w:r>
    </w:p>
    <w:p w:rsidR="005728DD" w:rsidRDefault="005728DD" w:rsidP="005728DD">
      <w:pPr>
        <w:pStyle w:val="TextoNormal"/>
      </w:pPr>
    </w:p>
    <w:p w:rsidR="005728DD" w:rsidRDefault="005728DD" w:rsidP="005728DD">
      <w:pPr>
        <w:pStyle w:val="TextoNormal"/>
      </w:pPr>
      <w:r>
        <w:t>Buena prueba de ello es que la carta finaliza con un párrafo en el que se puede leer:</w:t>
      </w:r>
    </w:p>
    <w:p w:rsidR="005728DD" w:rsidRDefault="005728DD" w:rsidP="005728DD">
      <w:pPr>
        <w:pStyle w:val="TextoNormal"/>
      </w:pPr>
    </w:p>
    <w:p w:rsidR="005728DD" w:rsidRDefault="005728DD" w:rsidP="005728DD">
      <w:pPr>
        <w:pStyle w:val="TextoNormal"/>
      </w:pPr>
      <w:r>
        <w:t>“No hace falta ser un lince para advertir que tanta insistencia no tiene otro objetivo que el de tratar de conseguir por medios torticeros lo que nunca han podido lograr por la vía electoral y democrática, lo que persiguen infructuosamente desde hace catorce años. Esa persecución ha alcanzado su mayor intensidad en el actual proceso electoral con la presentación de tres acciones criminales y dos expedientes sancionadores basados en verdaderas falacias con la única intención de socavar el honor y crédito del presidente de la RFEF. Causa enorme estupor, desde el respeto debido a la discrepancia en la gestión deportiva, que a ellos se haya sumado un sector minoritario del fútbol que no valora los extraordinarios perjuicios que le han causado con esas acciones, ni contemplan estos actos carentes de toda ética como despreciables. Rayando el delito”.</w:t>
      </w:r>
    </w:p>
    <w:p w:rsidR="005728DD" w:rsidRDefault="005728DD" w:rsidP="005728DD">
      <w:pPr>
        <w:pStyle w:val="TextoNormal"/>
      </w:pPr>
    </w:p>
    <w:p w:rsidR="005728DD" w:rsidRDefault="005728DD" w:rsidP="005728DD">
      <w:pPr>
        <w:pStyle w:val="TextoNormal"/>
      </w:pPr>
      <w:r>
        <w:t xml:space="preserve">b) Limitado, pues, el objeto de nuestro enjuiciamiento a la libertad de expresión, este tribunal ha declarado que “[c]omo cualquier otro derecho fundamental de libertad, el enunciado en el art. 20.1 a) CE hace posible y garantiza la autodeterminación del individuo y, a su través, de los grupos sociales en los que por libre decisión pueda integrarse. Tiene también este derecho, y con reiteración lo hemos dicho, una dimensión trascendente u objetiva (por todas, SSTC 107/1988, de 8 de junio, FJ 2, y 216/2013, de 19 de diciembre, FJ 5), pues mediante su ejercicio —sin más restricciones que las que puedan fundamentarse en la preservación de otros derechos o bienes constitucionales— se construye un espacio de libre comunicación social, de continuo abierto, y se propicia con ello la formación tanto de opinión pública como de una ciudadanía activa, sin cuya vitalidad crítica no son posibles, o no lo son en plenitud, ni la democracia ni el pluralismo políticos (art. 1.1 CE). Esta libertad de expresión, ya queda dicho, no está exenta, como cualquiera otra, de límites fijados o fundamentados en la Constitución y con ellos ha de ser consecuente su ejercicio, pues si bien el ordenamiento no ha de cohibir sin razón suficiente la más amplia manifestación y difusión de ideas y opiniones, su expresión conlleva siempre, como todo ejercicio de libertad civil, deberes y responsabilidades y así lo viene recordando, justamente para este preciso ámbito, el Tribunal de Estrasburgo (por todas, Sentencia de 24 de febrero de 2015, caso </w:t>
      </w:r>
      <w:r w:rsidRPr="005728DD">
        <w:rPr>
          <w:i/>
        </w:rPr>
        <w:t>Haldimann y otros c. Suiza</w:t>
      </w:r>
      <w:r>
        <w:t>, párrafo 46)” (STC 65/2015, FJ 2).</w:t>
      </w:r>
    </w:p>
    <w:p w:rsidR="005728DD" w:rsidRDefault="005728DD" w:rsidP="005728DD">
      <w:pPr>
        <w:pStyle w:val="TextoNormal"/>
      </w:pPr>
    </w:p>
    <w:p w:rsidR="005728DD" w:rsidRDefault="005728DD" w:rsidP="005728DD">
      <w:pPr>
        <w:pStyle w:val="TextoNormal"/>
      </w:pPr>
      <w:r>
        <w:t xml:space="preserve">También, ha destacado este tribunal que el ejercicio de la libertad de expresión está sometido a límites constitucionales. Así, ha señalado que “[q]uedan extramuros de la protección que confiere el derecho las ‘frases y expresiones ultrajantes y ofensivas sin relación con las ideas u opiniones que se expongan, y por tanto, innecesarias a este propósito’ (STC </w:t>
      </w:r>
      <w:r>
        <w:lastRenderedPageBreak/>
        <w:t>23/2010, de 27 de abril, FJ 3). Pero, junto a ello, ‘la tendencia expansiva de la libertad de expresión encuentra también su límite en el respeto al contenido normativo garantizado por otros derechos fundamentales, cuya afectación no resulta necesaria para la realización constitucional del derecho. Como hemos señalado en ocasiones anteriores, el deslinde de la libertad de expresión no es nunca total y absoluto (por todas, STC 173/1995, de 21 de noviembre, FJ 3) y, a menudo, la delimitación de su ámbito protegido solo puede hacerse a partir de la de otros derechos fundamentales, aunque, eso sí, mediante la adecuada ponderación de los valores constitucionales enfrentados, entre los que destaca la garantía de la existencia de la opinión pública indisolublemente unida al pluralismo político’ (STC 23/2010, FJ 3, y jurisprudencia allí citada)” (STC 226/2016, de 22 de diciembre, FJ 5).</w:t>
      </w:r>
    </w:p>
    <w:p w:rsidR="005728DD" w:rsidRDefault="005728DD" w:rsidP="005728DD">
      <w:pPr>
        <w:pStyle w:val="TextoNormal"/>
      </w:pPr>
    </w:p>
    <w:p w:rsidR="005728DD" w:rsidRDefault="005728DD" w:rsidP="005728DD">
      <w:pPr>
        <w:pStyle w:val="TextoNormal"/>
      </w:pPr>
      <w:r>
        <w:t>En todo caso, esos límites a los que está sometido el derecho a la libertad de expresión deben ser, no obstante, ponderados siempre con rigor y “precisados caso a caso, a la vista de los derechos y valores constitucionales que pueden verse afectados por su ejercicio” (STC 187/2015, de 21 de septiembre, FJ 2). Esta regla es de obligada atención con carácter general cuando aquel derecho fundamental entra en conflicto con otros derechos fundamentales o intereses de significada importancia social y política respaldados por la normativa correspondiente, habida cuenta de la posición preferente que ocupa la libertad de expresión en nuestro ordenamiento como sustento del pluralismo y del orden político (arts. 1.1 y 10.1 CE).</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Aplicación de la anterior doctrina al caso</w:t>
      </w:r>
      <w:r>
        <w:t>.</w:t>
      </w:r>
    </w:p>
    <w:p w:rsidR="005728DD" w:rsidRDefault="005728DD" w:rsidP="005728DD">
      <w:pPr>
        <w:pStyle w:val="TextoNormal"/>
      </w:pPr>
    </w:p>
    <w:p w:rsidR="005728DD" w:rsidRDefault="005728DD" w:rsidP="005728DD">
      <w:pPr>
        <w:pStyle w:val="TextoNormal"/>
      </w:pPr>
      <w:r>
        <w:t>A) La doctrina de este tribunal ha tenido ocasión de definir el contenido y el alcance del derecho a la libertad de expresión en diversos escenarios (por todas, la STC 187/2015, FJ 2, ya citada anteriormente). Sin embargo, en el presente caso, la cuestión que se suscita presenta determinados rasgos que lo hacen peculiar, pues se trata de determinar si es posible constreñir el ejercicio de la libertad de expresión de un grupo de personas que, en su condición de presidentes de federaciones territoriales de fútbol, suscribieron una carta de apoyo a una persona que, hasta aquel momento, había sido presidente de la federación nacional del deporte a la que aquellos también pertenecían y que se postulaba, como precandidato, a la reelección en el ámbito de un proceso electoral ya convocado. El fundamento de tal limitación se hallaría, según la resolución del Tribunal Administrativo del Deporte ahora impugnada, en el deber de preservar la neutralidad que les imponía la normativa deportiva aplicable al caso.</w:t>
      </w:r>
    </w:p>
    <w:p w:rsidR="005728DD" w:rsidRDefault="005728DD" w:rsidP="005728DD">
      <w:pPr>
        <w:pStyle w:val="TextoNormal"/>
      </w:pPr>
    </w:p>
    <w:p w:rsidR="005728DD" w:rsidRDefault="005728DD" w:rsidP="005728DD">
      <w:pPr>
        <w:pStyle w:val="TextoNormal"/>
      </w:pPr>
      <w:r>
        <w:t>Pues bien, para la aplicación al caso de autos de la doctrina constitucional antes citada, debemos precisar, con carácter previo, algunos aspectos:</w:t>
      </w:r>
    </w:p>
    <w:p w:rsidR="005728DD" w:rsidRDefault="005728DD" w:rsidP="005728DD">
      <w:pPr>
        <w:pStyle w:val="TextoNormal"/>
      </w:pPr>
    </w:p>
    <w:p w:rsidR="005728DD" w:rsidRDefault="005728DD" w:rsidP="005728DD">
      <w:pPr>
        <w:pStyle w:val="TextoNormal"/>
      </w:pPr>
      <w:r>
        <w:t xml:space="preserve">a) En primer lugar, es necesario partir de la configuración que nuestro ordenamiento jurídico proporciona a las federaciones deportivas. En este sentido y en lo que ahora es de interés, las federaciones deportivas españolas vienen definidas en el art. 30.1 de la Ley 10/1990, de 15 de octubre, del deporte (en adelante, la Ley 10/1990); este precepto dispone que “son entidades privadas, con personalidad jurídica propia, cuyo ámbito se extiende al conjunto del territorio del Estado, en el desarrollo de las competencias que le son propias, integradas por federaciones deportivas de ámbito autonómico”. El apartado 2 añade que estas federaciones, “además de sus propias atribuciones, ejercen por delegación, funciones públicas de carácter administrativo, actuando en este caso como agentes colaboradores de </w:t>
      </w:r>
      <w:r>
        <w:lastRenderedPageBreak/>
        <w:t>la administración pública”. Se trata, por tanto, de organizaciones privadas que, sin embargo, ejercen, por delegación de la administración, determinadas funciones públicas, fundamentalmente relativas a los aspectos regulatorios de la práctica del deporte correspondiente, a su organización y al régimen disciplinario.</w:t>
      </w:r>
    </w:p>
    <w:p w:rsidR="005728DD" w:rsidRDefault="005728DD" w:rsidP="005728DD">
      <w:pPr>
        <w:pStyle w:val="TextoNormal"/>
      </w:pPr>
    </w:p>
    <w:p w:rsidR="005728DD" w:rsidRDefault="005728DD" w:rsidP="005728DD">
      <w:pPr>
        <w:pStyle w:val="TextoNormal"/>
      </w:pPr>
      <w:r>
        <w:t>Aunque referida a la anterior Ley 13/1980, de 31 de marzo, general de cultura física y del deporte, la doctrina que este tribunal declaró en su STC 67/1985, de 24 de mayo, es, también, aplicable a lo establecido en la vigente Ley 10/1990, de 15 de octubre, [así lo ha confirmado la STC 33/2018, de 12 de abril, FJ 3 a)].</w:t>
      </w:r>
    </w:p>
    <w:p w:rsidR="005728DD" w:rsidRDefault="005728DD" w:rsidP="005728DD">
      <w:pPr>
        <w:pStyle w:val="TextoNormal"/>
      </w:pPr>
    </w:p>
    <w:p w:rsidR="005728DD" w:rsidRDefault="005728DD" w:rsidP="005728DD">
      <w:pPr>
        <w:pStyle w:val="TextoNormal"/>
      </w:pPr>
      <w:r>
        <w:t>Así, en aquella STC 67/1985, este tribunal precisó que la ley de referencia “no configura a las federaciones españolas como corporaciones de carácter público integradas en la administración, ni tampoco como asociaciones obligatorias, ya que las regula aparte de la organización administrativa, y no obliga a los clubes a pertenecer a ellas (arts. 3.4 y 12.2). Las federaciones se configuran como instituciones privadas que reúnen a deportistas y asociaciones dedicadas a la práctica de una misma modalidad deportiva (arts. 19 y 14) si bien se estimula la adscripción a la respectiva federación en cuanto constituye un requisito para que los clubes deportivos puedan participar en competiciones oficiales y en cuanto canalizan la asignación de subvenciones. Y, por otra parte, la Ley no impide en absoluto la constitución de otras asociaciones formadas por deportistas y asociaciones dedicadas a la misma modalidad deportiva, con fines privados” [FJ 4 B)]. Agrega esta sentencia que “[d]e acuerdo con la Ley […], las federaciones aparecen configuradas como asociaciones de carácter privado, a las que se atribuyen funciones públicas de carácter administrativo”.</w:t>
      </w:r>
    </w:p>
    <w:p w:rsidR="005728DD" w:rsidRDefault="005728DD" w:rsidP="005728DD">
      <w:pPr>
        <w:pStyle w:val="TextoNormal"/>
      </w:pPr>
    </w:p>
    <w:p w:rsidR="005728DD" w:rsidRDefault="005728DD" w:rsidP="005728DD">
      <w:pPr>
        <w:pStyle w:val="TextoNormal"/>
      </w:pPr>
      <w:r>
        <w:t>También, el tribunal (STC 80/2012, de 18 de abril, FJ 9) ha reconocido que la organización deportiva española se estructura en torno a tres ejes: (i) carácter privado de las organizaciones deportivas (independientemente de que puedan ejercer funciones públicas por “delegación”); (ii) monopolio federativo (esto es, una federación por modalidad deportiva); y (iii) estructura organizativa en cascada o piramidal (que implica que las entidades deportivas de base, de una determinada modalidad deportiva, se integran en su federación provincial correspondiente que, a su vez, pasa a formar parte de la federación autonómica, y luego de la estatal. Se configura, así, una estructura piramidal, escalonada o en cascada, de tal suerte que cada uno de los niveles comprende y agota el inferior, en términos estrictamente territoriales).</w:t>
      </w:r>
    </w:p>
    <w:p w:rsidR="005728DD" w:rsidRDefault="005728DD" w:rsidP="005728DD">
      <w:pPr>
        <w:pStyle w:val="TextoNormal"/>
      </w:pPr>
    </w:p>
    <w:p w:rsidR="005728DD" w:rsidRDefault="005728DD" w:rsidP="005728DD">
      <w:pPr>
        <w:pStyle w:val="TextoNormal"/>
      </w:pPr>
      <w:r>
        <w:t>Por tanto, las federaciones autonómicas con sus cuadros directivos, organización y funcionamiento se integran en una estructura piramidal y única, en un órgano nacional que es la federación nacional del deporte correspondiente (art. 6 del Real Decreto 1835/1991, de 20 de diciembre, de desarrollo de la Ley 10/1990).</w:t>
      </w:r>
    </w:p>
    <w:p w:rsidR="005728DD" w:rsidRDefault="005728DD" w:rsidP="005728DD">
      <w:pPr>
        <w:pStyle w:val="TextoNormal"/>
      </w:pPr>
    </w:p>
    <w:p w:rsidR="005728DD" w:rsidRDefault="005728DD" w:rsidP="005728DD">
      <w:pPr>
        <w:pStyle w:val="TextoNormal"/>
      </w:pPr>
      <w:r>
        <w:t>Hay, pues, dos aspectos a tener en cuenta a los efectos del presente recurso de amparo: de una parte, que las federaciones deportivas son asociaciones de titularidad privada pero que ejercen, por delegación, funciones públicas de carácter administrativo y, en este ámbito, están sujetas a la normativa administrativa correspondiente. Y, de otro lado, que los cuadros directivos y demás personal que forma parte de la organización de cualquiera de estas federaciones, en aquellas actividades que, por delegación, supongan el ejercicio de funciones públicas, también estarán sujetos a aquella normativa administrativa.</w:t>
      </w:r>
    </w:p>
    <w:p w:rsidR="005728DD" w:rsidRDefault="005728DD" w:rsidP="005728DD">
      <w:pPr>
        <w:pStyle w:val="TextoNormal"/>
      </w:pPr>
    </w:p>
    <w:p w:rsidR="005728DD" w:rsidRDefault="005728DD" w:rsidP="005728DD">
      <w:pPr>
        <w:pStyle w:val="TextoNormal"/>
      </w:pPr>
      <w:r>
        <w:lastRenderedPageBreak/>
        <w:t>b) En conexión con la anterior consideración, hemos de señalar que aquel ejercicio, por delegación, de determinadas funciones públicas de carácter administrativo (art. 30.2 de la Ley 10/1990) y la relevancia que el deporte y su organización tienen en la vida social (art. 43 CE), hace que las federaciones deportivas españolas, bajo la coordinación y tutela del Consejo Superior de Deportes (art. 33.1 de la Ley 10/1990), deban asumir el ejercicio de las potestades públicas necesarias para que puedan realizar, por delegación, aquellas funciones públicas encomendadas, de conformidad con la habilitación que les reconozca el ordenamiento jurídico-administrativo [art. 2.2 b) de la Ley 39/2015, de 1 de octubre, del procedimiento administrativo común de las administraciones públicas].</w:t>
      </w:r>
    </w:p>
    <w:p w:rsidR="005728DD" w:rsidRDefault="005728DD" w:rsidP="005728DD">
      <w:pPr>
        <w:pStyle w:val="TextoNormal"/>
      </w:pPr>
    </w:p>
    <w:p w:rsidR="005728DD" w:rsidRDefault="005728DD" w:rsidP="005728DD">
      <w:pPr>
        <w:pStyle w:val="TextoNormal"/>
      </w:pPr>
      <w:r>
        <w:t>Ahora bien, el ejercicio de potestades públicas para la efectiva ejecución de aquellas facetas de su actividad que, por delegación, asuman en el desempeño de funciones públicas, conlleva, también, el cumplimiento de los deberes propios de la administración, de sus órganos y de los que prestan servicio en las mismas establecidos por la normativa administrativa aplicable a cada aspecto de aquella actividad. Porque, en el caso de las federaciones deportivas, esos mismos deberes correlativos incumben, también, a los órganos federativos, a sus miembros o a los titulares de cargos federativos, cuando deban desempeñar aquellas funciones públicas que, por delegación, les confiere la administración. En tales casos, la posibilidad de realizar actos o de adoptar determinadas iniciativas por parte de los órganos o del personal federativo no podrá ser analizada desde la óptica del ejercicio de derechos fundamentales, sino desde el ámbito de las atribuciones y de los límites que el ordenamiento administrativo aplicable al caso pueda establecer. Este tribunal ha declarado, al respecto, que “en ningún caso son titulares de los referidos derechos fundamentales las instituciones públicas o sus órganos (en relación con la libertad de expresión, SSTC 185/1989, de 13 de noviembre, FJ 4; 254/1993, de 20 de julio, FJ 7; en relación con las libertades de expresión e información, ATC 19/1993, de 21 de enero” (por todas, las SSTC 14/2003, de 28 de enero, FJ 8, y 244/2007, de 10 de diciembre, FJ 3).</w:t>
      </w:r>
    </w:p>
    <w:p w:rsidR="005728DD" w:rsidRDefault="005728DD" w:rsidP="005728DD">
      <w:pPr>
        <w:pStyle w:val="TextoNormal"/>
      </w:pPr>
    </w:p>
    <w:p w:rsidR="005728DD" w:rsidRDefault="005728DD" w:rsidP="005728DD">
      <w:pPr>
        <w:pStyle w:val="TextoNormal"/>
      </w:pPr>
      <w:r>
        <w:t>Este tribunal ha declarado que “no puede equipararse la posición de los ciudadanos y la de las instituciones públicas, en el disfrute de la libertad de expresión: pues, mientras aquellos gozan de libertad para criticarlas, las instituciones encuentran su actuación vinculada a los fines que les asigna el ordenamiento jurídico, entre los que no se encuentra ciertamente el de atribuir calificativos a sus administrados” (ATC 19/1993, de 21 de enero, FJ 2, y la referencia que en el mismo se hace a la STC 185/1989, FJ 4).</w:t>
      </w:r>
    </w:p>
    <w:p w:rsidR="005728DD" w:rsidRDefault="005728DD" w:rsidP="005728DD">
      <w:pPr>
        <w:pStyle w:val="TextoNormal"/>
      </w:pPr>
    </w:p>
    <w:p w:rsidR="005728DD" w:rsidRDefault="005728DD" w:rsidP="005728DD">
      <w:pPr>
        <w:pStyle w:val="TextoNormal"/>
      </w:pPr>
      <w:r>
        <w:t>El análisis, pues, de la cuestión suscitada en este recurso gira en torno al problema de si la convocatoria y el proceso electoral subsiguiente, para la selección de cargos de representación o directivos de las federaciones deportivas españolas, queda integrada o no en el catálogo de funciones públicas que la administración ha atribuido, por delegación, a aquellas.</w:t>
      </w:r>
    </w:p>
    <w:p w:rsidR="005728DD" w:rsidRDefault="005728DD" w:rsidP="005728DD">
      <w:pPr>
        <w:pStyle w:val="TextoNormal"/>
      </w:pPr>
    </w:p>
    <w:p w:rsidR="005728DD" w:rsidRDefault="005728DD" w:rsidP="005728DD">
      <w:pPr>
        <w:pStyle w:val="TextoNormal"/>
      </w:pPr>
      <w:r>
        <w:t>c) Uno de los aspectos de esta manifestación pública de las federaciones deportivas es, precisamente, el que tiene que ver con su propia organización y funcionamiento, que, por exigencia de aquella relevancia, ya indicada, que el deporte y su organización tienen en la vida social (art. 43 CE), deben ser democráticos.</w:t>
      </w:r>
    </w:p>
    <w:p w:rsidR="005728DD" w:rsidRDefault="005728DD" w:rsidP="005728DD">
      <w:pPr>
        <w:pStyle w:val="TextoNormal"/>
      </w:pPr>
    </w:p>
    <w:p w:rsidR="005728DD" w:rsidRDefault="005728DD" w:rsidP="005728DD">
      <w:pPr>
        <w:pStyle w:val="TextoNormal"/>
      </w:pPr>
      <w:r>
        <w:t xml:space="preserve">Las federaciones deportivas no escapan, pues, al cumplimiento de tal requerimiento y, por tanto, la selección de sus órganos directivos y de representación (asamblea general y </w:t>
      </w:r>
      <w:r>
        <w:lastRenderedPageBreak/>
        <w:t>presidente, según prescribe el art. 31.2 de la Ley 10/1990) debe ajustarse a principios democráticos y a un proceso electoral en el que deberá existir una administración electoral que, conforme a los criterios de neutralidad, objetividad y transparencia, lleve a efecto un proceso de convocatoria de elecciones que legitime, en términos democráticos, el nombramiento de los miembros de la asamblea general y del presidente o presidenta correspondiente, bajo el control del Tribunal Administrativo del Deporte, que, conforme establece el art. 84.1 c) de la Ley 10/1990, debe “velar, de forma inmediata y en última instancia administrativa, por el ajuste a derecho de los procesos electorales en los órganos de gobierno de las federaciones deportivas españolas”.</w:t>
      </w:r>
    </w:p>
    <w:p w:rsidR="005728DD" w:rsidRDefault="005728DD" w:rsidP="005728DD">
      <w:pPr>
        <w:pStyle w:val="TextoNormal"/>
      </w:pPr>
    </w:p>
    <w:p w:rsidR="005728DD" w:rsidRDefault="005728DD" w:rsidP="005728DD">
      <w:pPr>
        <w:pStyle w:val="TextoNormal"/>
      </w:pPr>
      <w:r>
        <w:t>El principio democrático, que legitima los órganos de representación y directivos de estas entidades determina, también, que el ordenamiento jurídico establezca una normativa administrativa específicamente aplicable al caso, al tiempo que dota a los órganos de gestión y de control y supervisión del proceso electoral de las correspondientes potestades públicas para que las elecciones respondan al principio democrático anteriormente expresado. Correlativamente, se imponen, también, deberes a los órganos y personas de las federaciones y demás entidades deportivas que, de una u otra forma, aparezcan vinculados al proceso electoral, para, de ese modo, garantizar la objetividad, la transparencia y la ausencia de mecanismos de presión que puedan influir en la decisión final del elector a la hora de emitir su voto.</w:t>
      </w:r>
    </w:p>
    <w:p w:rsidR="005728DD" w:rsidRDefault="005728DD" w:rsidP="005728DD">
      <w:pPr>
        <w:pStyle w:val="TextoNormal"/>
      </w:pPr>
    </w:p>
    <w:p w:rsidR="005728DD" w:rsidRDefault="005728DD" w:rsidP="005728DD">
      <w:pPr>
        <w:pStyle w:val="TextoNormal"/>
      </w:pPr>
      <w:r>
        <w:t>d) La normativa de los procesos de elección a miembros de la asamblea general y a la presidencia de las correspondientes federaciones deportivas se rige, de modo general, por la Ley 10/1990 y por el Real Decreto 1835/1991, de 20 de diciembre, que la desarrolla. Asimismo, más específicamente, aquella normativa viene concretada y complementada por la Orden ECD/2764/2015, de 18 de diciembre, reguladora de los procesos electorales en las federaciones deportivas españolas, así como por el reglamento electoral que cada federación deportiva deba elaborar y someter a la aprobación definitiva del Consejo Superior de Deportes (art. 3.1 de la Orden ECD/2764/2015).</w:t>
      </w:r>
    </w:p>
    <w:p w:rsidR="005728DD" w:rsidRDefault="005728DD" w:rsidP="005728DD">
      <w:pPr>
        <w:pStyle w:val="TextoNormal"/>
      </w:pPr>
    </w:p>
    <w:p w:rsidR="005728DD" w:rsidRDefault="005728DD" w:rsidP="005728DD">
      <w:pPr>
        <w:pStyle w:val="TextoNormal"/>
      </w:pPr>
      <w:r>
        <w:t>En el caso de autos, el Reglamento electoral de la Real Federación Española de Fútbol fue aprobado definitivamente por la comisión directiva del Consejo Superior de Deportes, en sesión celebrada el día 31 de enero de 2017, que autorizó también su inscripción en el Registro de Asociaciones Deportivas.</w:t>
      </w:r>
    </w:p>
    <w:p w:rsidR="005728DD" w:rsidRDefault="005728DD" w:rsidP="005728DD">
      <w:pPr>
        <w:pStyle w:val="TextoNormal"/>
      </w:pPr>
    </w:p>
    <w:p w:rsidR="005728DD" w:rsidRDefault="005728DD" w:rsidP="005728DD">
      <w:pPr>
        <w:pStyle w:val="TextoNormal"/>
      </w:pPr>
      <w:r>
        <w:t xml:space="preserve">e) Por tanto, de la normativa electoral citada se deduce que, después de la convocatoria de elecciones a la asamblea general y a la presidencia de la Real Federación Española de Fútbol, dos órganos federativos cumplen una función esencial para la correcta sustanciación y resolución final del proceso electoral convocado: (i) la junta electoral federativa, que es el órgano encargado de gestionar el proceso electoral y cuyo régimen jurídico debe ser desarrollado por el reglamento electoral de la federación correspondiente [art. 3.2 c) de la Orden ECD/2764/2015]. En el caso de autos y para las elecciones de 2017 a la asamblea general y a la presidencia de la RFEF, este órgano federativo era la “comisión electoral” (sección cuarta del capítulo I, arts. 11 a 14 del Reglamento electoral de la Federación); y (ii) La “comisión gestora”, que asume de modo provisional las competencias de funcionamiento propias de la junta directiva de la federación correspondiente, mientras se decide el resultado del proceso electoral (art. 12 de la Orden ECD/2764/2015). Es decir, en las federaciones deportivas, como sucede en el caso de la Real Federación Española de Fútbol, sus estatutos </w:t>
      </w:r>
      <w:r>
        <w:lastRenderedPageBreak/>
        <w:t>pueden prever la constitución de un órgano complementario de los de gobierno y representación, que asiste al presidente y al que compete la gestión de la federación (art. 18 Real Decreto 1835/1991 y 35 de los estatutos de la RFEF, aprobados definitivamente el día 24 de junio de 2016, en vigor al tiempo en que fue convocado el proceso electoral de autos, dado que los actualmente vigentes fueron aprobados con posterioridad por la asamblea general, en sesión ordinaria celebrada el día 10 de junio de 2019).</w:t>
      </w:r>
    </w:p>
    <w:p w:rsidR="005728DD" w:rsidRDefault="005728DD" w:rsidP="005728DD">
      <w:pPr>
        <w:pStyle w:val="TextoNormal"/>
      </w:pPr>
    </w:p>
    <w:p w:rsidR="005728DD" w:rsidRDefault="005728DD" w:rsidP="005728DD">
      <w:pPr>
        <w:pStyle w:val="TextoNormal"/>
      </w:pPr>
      <w:r>
        <w:t>f) De la normativa electoral expuesta, el art. 12.4 de la Orden ECD/2764/2015 ha tenido particular relevancia para la resolución del Tribunal Administrativo del Deporte impugnada y, también, para la sentencia del Tribunal Superior de Justicia de Madrid que la confirmó, porque es el que impone el deber de neutralidad a quienes tienen protagonismo en el proceso electoral convocado. El citado apartado, incluido dentro del precepto regulador de la comisión gestora, dispone que: “las comisiones gestoras serán el órgano encargado de administrar y gestionar la federación durante el proceso electoral, no podrán realizar actos que directa o indirectamente, mediata o inmediatamente, induzcan o condicionen el sentido del voto de los electores, y deberán observar los principios de objetividad, transparencia del proceso electoral e igualdad entre los actores electorales. Estas previsiones serán aplicables a la actividad desarrollada por el personal de la federación y por los restantes órganos federativos durante el proceso electoral”.</w:t>
      </w:r>
    </w:p>
    <w:p w:rsidR="005728DD" w:rsidRDefault="005728DD" w:rsidP="005728DD">
      <w:pPr>
        <w:pStyle w:val="TextoNormal"/>
      </w:pPr>
    </w:p>
    <w:p w:rsidR="005728DD" w:rsidRDefault="005728DD" w:rsidP="005728DD">
      <w:pPr>
        <w:pStyle w:val="TextoNormal"/>
      </w:pPr>
      <w:r>
        <w:t xml:space="preserve">El indicado apartado tiene un doble carácter: (i) objetivo y referido al deber de neutralidad, que aparece configurado con un alcance absoluto, pues prohíbe la realización de cualesquiera actos que induzcan o condicionen el voto de los electores; y (ii) subjetivo, pues la prohibición afectará a la comisión gestora y, por tanto, a sus miembros, pero también al “personal de la federación” y a los “restantes órganos federativos”. A todos ellos, la norma de referencia impone este específico deber de neutralidad que les coloca, como bien dice el abogado del Estado, en una “situación de </w:t>
      </w:r>
      <w:r w:rsidRPr="005728DD">
        <w:rPr>
          <w:i/>
        </w:rPr>
        <w:t>sujeción especial</w:t>
      </w:r>
      <w:r>
        <w:t>” por su vinculación a la Real Federación Española de Fútbol y por hallarse en alguna de las situaciones a las que se refiere este apartado y, en tanto permanezcan en la misma y perdure el proceso electoral.</w:t>
      </w:r>
    </w:p>
    <w:p w:rsidR="005728DD" w:rsidRDefault="005728DD" w:rsidP="005728DD">
      <w:pPr>
        <w:pStyle w:val="TextoNormal"/>
      </w:pPr>
    </w:p>
    <w:p w:rsidR="005728DD" w:rsidRDefault="005728DD" w:rsidP="005728DD">
      <w:pPr>
        <w:pStyle w:val="TextoNormal"/>
      </w:pPr>
      <w:r>
        <w:t>Este deber de neutralidad, que impone la normativa electoral, no es más que una de las consecuencias derivadas de la particular configuración jurídica de las federaciones deportivas y de la dimensión pública que las mismas tienen en algunos aspectos de su organización y actividad, en los términos que hemos dicho anteriormente. Por tanto, aquellos órganos federativos o sus miembros que, en los términos del art. 12.4 de la Orden ECD/2764/2015, estén vinculados a la Real Federación Española de Fútbol, no podrán en su condición de tales invocar una titularidad de derechos fundamentales —libertades de expresión o información— que no tienen, cuando sus manifestaciones guarden relación con aquellos aspectos de la organización o del funcionamiento federativos que tengan aquella dimensión pública. Tal es el caso de las convocatorias electorales a cargos directivos de la federación deportiva a la que se pertenezca.</w:t>
      </w:r>
    </w:p>
    <w:p w:rsidR="005728DD" w:rsidRDefault="005728DD" w:rsidP="005728DD">
      <w:pPr>
        <w:pStyle w:val="TextoNormal"/>
      </w:pPr>
    </w:p>
    <w:p w:rsidR="005728DD" w:rsidRDefault="005728DD" w:rsidP="005728DD">
      <w:pPr>
        <w:pStyle w:val="TextoNormal"/>
      </w:pPr>
      <w:r>
        <w:t>B) A partir de las anteriores consideraciones estamos ya en disposición de examinar el supuesto de hecho y la queja que formulan los recurrentes.</w:t>
      </w:r>
    </w:p>
    <w:p w:rsidR="005728DD" w:rsidRDefault="005728DD" w:rsidP="005728DD">
      <w:pPr>
        <w:pStyle w:val="TextoNormal"/>
      </w:pPr>
    </w:p>
    <w:p w:rsidR="005728DD" w:rsidRDefault="005728DD" w:rsidP="005728DD">
      <w:pPr>
        <w:pStyle w:val="TextoNormal"/>
      </w:pPr>
      <w:r>
        <w:t>a) Hemos de comenzar señalando los presupuestos de hecho indiscutidos y notorios sobre los que construir nuestra argumentación. Son los siguientes:</w:t>
      </w:r>
    </w:p>
    <w:p w:rsidR="005728DD" w:rsidRDefault="005728DD" w:rsidP="005728DD">
      <w:pPr>
        <w:pStyle w:val="TextoNormal"/>
      </w:pPr>
    </w:p>
    <w:p w:rsidR="005728DD" w:rsidRDefault="005728DD" w:rsidP="005728DD">
      <w:pPr>
        <w:pStyle w:val="TextoNormal"/>
      </w:pPr>
      <w:r>
        <w:lastRenderedPageBreak/>
        <w:t>(i) Que los dieciséis recurrentes eran, al tiempo de firmar la “carta de apoyo a don Ángel María Villar”, presidentes de otras tantas federaciones autonómicas del fútbol español y formaban parte, en consecuencia, de la organización territorial de la Real Federación Española de Fútbol, integrada por el conjunto de diecinueve federaciones autonómicas (arts. 32 de la Ley 10/1990; 6 del Real Decreto 1835/1991; y 6 y 9 de los estatutos de la RFEF, entonces en vigor). Además, en cuanto tales presidentes, ostentaban la máxima representación del órgano federativo en sus respectivos territorios y eran miembros de un órgano, calificado como “complementario” de la Federación por el art. 21 B) 2 de los estatutos de la Real Federación Española de Fútbol, que es la “Comisión de Presidentes de Federaciones de ámbito autonómico”.</w:t>
      </w:r>
    </w:p>
    <w:p w:rsidR="005728DD" w:rsidRDefault="005728DD" w:rsidP="005728DD">
      <w:pPr>
        <w:pStyle w:val="TextoNormal"/>
      </w:pPr>
    </w:p>
    <w:p w:rsidR="005728DD" w:rsidRDefault="005728DD" w:rsidP="005728DD">
      <w:pPr>
        <w:pStyle w:val="TextoNormal"/>
      </w:pPr>
      <w:r>
        <w:t>(ii) Que los dieciséis recurrentes suscribieron la carta de apoyo a don Ángel María Villar haciendo expresa mención a su condición de ser cada uno de ellos presidente de una federación autonómica del fútbol español, sin que figuraran sus nombres en aquella, sino solo los cargos que ostentaban.</w:t>
      </w:r>
    </w:p>
    <w:p w:rsidR="005728DD" w:rsidRDefault="005728DD" w:rsidP="005728DD">
      <w:pPr>
        <w:pStyle w:val="TextoNormal"/>
      </w:pPr>
    </w:p>
    <w:p w:rsidR="005728DD" w:rsidRDefault="005728DD" w:rsidP="005728DD">
      <w:pPr>
        <w:pStyle w:val="TextoNormal"/>
      </w:pPr>
      <w:r>
        <w:t>(iii) Que uno de los dieciséis recurrentes y firmantes de la carta, don Maximino Antonio Martínez Suárez, presidente de la Federación del Principado de Asturias, era, además, miembro de la comisión gestora, creada a partir de la disolución por la convocatoria electoral, de la junta directiva de la Real Federación Española de Fútbol.</w:t>
      </w:r>
    </w:p>
    <w:p w:rsidR="005728DD" w:rsidRDefault="005728DD" w:rsidP="005728DD">
      <w:pPr>
        <w:pStyle w:val="TextoNormal"/>
      </w:pPr>
    </w:p>
    <w:p w:rsidR="005728DD" w:rsidRDefault="005728DD" w:rsidP="005728DD">
      <w:pPr>
        <w:pStyle w:val="TextoNormal"/>
      </w:pPr>
      <w:r>
        <w:t>(iv) Que la precitada carta fue publicada en las páginas webs de dos federaciones autonómicas (la del Principado de Asturias y la de Cantabria) el día 23 de febrero de 2017, cuando el proceso electoral ya se había iniciado por la convocatoria, previamente publicada en la página web de la Real Federación Española de Fútbol el día 13 de febrero anterior, y estaba previsto que tuvieran lugar, la de la asamblea general, el día 27 de abril de 2017, y la del/la presidente/a de la RFEF el día 22 de mayo siguiente.</w:t>
      </w:r>
    </w:p>
    <w:p w:rsidR="005728DD" w:rsidRDefault="005728DD" w:rsidP="005728DD">
      <w:pPr>
        <w:pStyle w:val="TextoNormal"/>
      </w:pPr>
    </w:p>
    <w:p w:rsidR="005728DD" w:rsidRDefault="005728DD" w:rsidP="005728DD">
      <w:pPr>
        <w:pStyle w:val="TextoNormal"/>
      </w:pPr>
      <w:r>
        <w:t>(v) Que el contenido de la carta, recogido íntegramente en los antecedentes a los que ahora nos remitimos, tenía por rúbricas las de “Carta de apoyo a D. Ángel María Villar” y “Catorce años de acoso y persecución”; aludía a determinados hechos que tuvieron lugar con anterioridad a la publicación de la carta; recogía opiniones y juicios de valor de los firmantes, a favor del precitado, que hasta antes de la convocatoria electoral había sido el presidente de la Real Federación Española de Fútbol y, en aquel momento, era precandidato a la reelección; y se pronunciaba en contra de otras personas que ocupaban cargos relevantes en el deporte español, en general, y en el fútbol, en particular, así como también contra alguna otra persona que pretendía postularse a la presidencia de la Federación Española.</w:t>
      </w:r>
    </w:p>
    <w:p w:rsidR="005728DD" w:rsidRDefault="005728DD" w:rsidP="005728DD">
      <w:pPr>
        <w:pStyle w:val="TextoNormal"/>
      </w:pPr>
    </w:p>
    <w:p w:rsidR="005728DD" w:rsidRDefault="005728DD" w:rsidP="005728DD">
      <w:pPr>
        <w:pStyle w:val="TextoNormal"/>
      </w:pPr>
      <w:r>
        <w:t>b) Desde el plano objetivo de la libertad de expresión, hemos de descartar que el contenido de la carta contenga expresiones que, en sí mismas, desborden el ámbito propio de este derecho, pues se trata de opiniones y juicios de valor que ponen de manifiesto la postura de los firmantes de la carta a favor de don Ángel María Villar y en contra de otras personas, expresando respecto de estas últimas su juicio crítico desfavorable en relación con hechos citados y desarrollados en el escrito, para concluir con una toma de postura favorable al primero.</w:t>
      </w:r>
    </w:p>
    <w:p w:rsidR="005728DD" w:rsidRDefault="005728DD" w:rsidP="005728DD">
      <w:pPr>
        <w:pStyle w:val="TextoNormal"/>
      </w:pPr>
    </w:p>
    <w:p w:rsidR="005728DD" w:rsidRDefault="005728DD" w:rsidP="005728DD">
      <w:pPr>
        <w:pStyle w:val="TextoNormal"/>
      </w:pPr>
      <w:r>
        <w:lastRenderedPageBreak/>
        <w:t>Sin embargo, es en el plano subjetivo en el que se localiza el núcleo de la cuestión de alcance constitucional porque se trata de determinar si los recurrentes se hallaban, en aquellas circunstancias, en el ejercicio de su derecho a la libertad de expresión al suscribir la carta. Solo en el caso de que respondiéramos en sentido afirmativo a esa cuestión, podríamos pasar a enjuiciar hasta qué punto podía incidir el deber de neutralidad, previsto en el art. 12.4 de la Orden ECD/2764/2015, en el ejercicio de aquel derecho fundamental.</w:t>
      </w:r>
    </w:p>
    <w:p w:rsidR="005728DD" w:rsidRDefault="005728DD" w:rsidP="005728DD">
      <w:pPr>
        <w:pStyle w:val="TextoNormal"/>
      </w:pPr>
    </w:p>
    <w:p w:rsidR="005728DD" w:rsidRDefault="005728DD" w:rsidP="005728DD">
      <w:pPr>
        <w:pStyle w:val="TextoNormal"/>
      </w:pPr>
      <w:r>
        <w:t>En supuestos como el indicado, difundir opiniones o facilitar información sobre asuntos relacionados con un proceso electoral, convocado en el seno de una federación, que se refiera a esta, a sus órganos o a personas vinculadas con la misma, haciéndolo el comunicador con expresa invocación de su condición del cargo o de su pertenencia a un órgano directivo, no lo hará en el ejercicio de los derechos fundamentales precitados, pues no habrá actuado como ciudadano particular en el ejercicio de tales derechos, sino como integrante de un órgano federativo, o como titular de un cargo de aquella federación que, en el transcurso de un proceso electoral, realiza una actuación que, o bien está vinculada al ámbito de sus atribuciones públicas, o bien queda fuera de estas, cuando la normativa electoral correspondiente así se lo prohíba, por concurrir un deber de neutralidad a observar durante el transcurso de aquel proceso.</w:t>
      </w:r>
    </w:p>
    <w:p w:rsidR="005728DD" w:rsidRDefault="005728DD" w:rsidP="005728DD">
      <w:pPr>
        <w:pStyle w:val="TextoNormal"/>
      </w:pPr>
    </w:p>
    <w:p w:rsidR="005728DD" w:rsidRDefault="005728DD" w:rsidP="005728DD">
      <w:pPr>
        <w:pStyle w:val="TextoNormal"/>
      </w:pPr>
      <w:r>
        <w:t>En el caso de autos los recurrentes suscribieron la carta haciendo constar expresamente su condición de presidentes de distintas federaciones autonómicas de fútbol; asumían, pues, una toma de postura institucional por el cargo que ostentaban y dejaban de lado, por tanto, su condición de ciudadanos particulares que mostraran su apoyo a una persona y su oposición y crítica a otras.</w:t>
      </w:r>
    </w:p>
    <w:p w:rsidR="005728DD" w:rsidRDefault="005728DD" w:rsidP="005728DD">
      <w:pPr>
        <w:pStyle w:val="TextoNormal"/>
      </w:pPr>
    </w:p>
    <w:p w:rsidR="005728DD" w:rsidRDefault="005728DD" w:rsidP="005728DD">
      <w:pPr>
        <w:pStyle w:val="TextoNormal"/>
      </w:pPr>
      <w:r>
        <w:t>La resolución del Tribunal Administrativo del Deporte se limitó, en consecuencia, a interpretar y aplicar la normativa específica que regía en el proceso electoral, delimitando el ámbito subjetivo del deber de neutralidad que pesaba sobre unas personas que ocupaban altos cargos directivos en el seno de la Real Federación Española de Fútbol. El plano en el que se sitúa, por tanto, la resolución impugnada es el de la interpretación y aplicación de la legalidad ordinaria, porque lo que enjuicia es la actitud expresada por escrito de unas personas que, dejando constancia expresa de su condición y del cargo que ostentaban, difundieron una serie de opiniones y de valoraciones que, según la citada resolución, excedía del deber de neutralidad impuesto por la normativa federativa aplicable.</w:t>
      </w:r>
    </w:p>
    <w:p w:rsidR="005728DD" w:rsidRDefault="005728DD" w:rsidP="005728DD">
      <w:pPr>
        <w:pStyle w:val="TextoNormal"/>
      </w:pPr>
    </w:p>
    <w:p w:rsidR="005728DD" w:rsidRDefault="005728DD" w:rsidP="005728DD">
      <w:pPr>
        <w:pStyle w:val="TextoNormal"/>
      </w:pPr>
      <w:r>
        <w:t xml:space="preserve">Si hemos señalado </w:t>
      </w:r>
      <w:r w:rsidRPr="005728DD">
        <w:rPr>
          <w:i/>
        </w:rPr>
        <w:t>supra</w:t>
      </w:r>
      <w:r>
        <w:t xml:space="preserve"> que las federaciones deportivas han de dotarse de órganos directivos y de representación que se rijan por principios de legitimidad democrática, para cuyo cumplimiento el ordenamiento jurídico-administrativo les dota de potestades públicas que garanticen la objetividad, la transparencia y la imparcialidad en el devenir de aquellos procesos, la exigencia del deber de neutralidad a todos los órganos y personal vinculados a la federación deportiva correspondiente forma parte de aquellas potestades públicas, de tal manera que cuando estos últimos (órganos federativos o sus miembros) actúan o toman iniciativas haciendo expresa mención a sus cargos u órganos federativos y lo hacen ostentando tal condición, no pueden invocar en su actuación la titularidad y el ejercicio de derechos fundamentales, que solo están reservados a los ciudadanos particulares, pero no a órganos o representantes de una entidad que se halle en aquel momento en el desempeño de funciones públicas, cuyos actos siempre han de estar vinculados a los fines que les asigne el ordenamiento jurídico.</w:t>
      </w:r>
    </w:p>
    <w:p w:rsidR="005728DD" w:rsidRDefault="005728DD" w:rsidP="005728DD">
      <w:pPr>
        <w:pStyle w:val="TextoNormal"/>
      </w:pPr>
    </w:p>
    <w:p w:rsidR="005728DD" w:rsidRDefault="005728DD" w:rsidP="005728DD">
      <w:pPr>
        <w:pStyle w:val="TextoNormal"/>
      </w:pPr>
      <w:r>
        <w:t>En consecuencia, el motivo de amparo debe ser desestimado.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Maximino Antonio Martínez Suárez, don José Ángel Peláez Montes, don Andreu Subies i Porcada, don Antonio García Gaona, don Antonio Escribano Ramos, don Marcelino Santiago Maté Martínez, don Pedro Ángel Rocha Junco, don Jacinto Andrés Alonso Marañón, don Diego Martínez Gómez, don José Miguel Monje Carrillo, don Luis María Elustondo Ciarreta, don Vicente Muñoz Castelló, don Miguel Bestard Cabot, don José Rafael Del Amo Arizu, don Francisco Javier Díez Ibáñez y don Antonio Suárez Santana, contra la resolución de 27 de abril de 2017 del Tribunal Administrativo del Deporte, recaída en el expediente núm. 132-2017.</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 w:name="SENTENCIA_2021_6"/>
      <w:r>
        <w:lastRenderedPageBreak/>
        <w:t>SENTENCIA 6/2021, de 25 de enero de 2021</w:t>
      </w:r>
    </w:p>
    <w:bookmarkEnd w:id="9"/>
    <w:p w:rsidR="005728DD" w:rsidRDefault="005728DD" w:rsidP="005728DD">
      <w:pPr>
        <w:pStyle w:val="TtuloResolucin"/>
      </w:pPr>
      <w:r>
        <w:t>Sala Primera</w:t>
      </w:r>
    </w:p>
    <w:p w:rsidR="005728DD" w:rsidRDefault="005728DD" w:rsidP="005728DD">
      <w:pPr>
        <w:pStyle w:val="TtuloBOE"/>
      </w:pPr>
      <w:r>
        <w:t>(BOE núm. 46, de 23 de febrero de 2021)</w:t>
      </w:r>
    </w:p>
    <w:p w:rsidR="005728DD" w:rsidRDefault="005728DD" w:rsidP="005728DD">
      <w:pPr>
        <w:pStyle w:val="TextoNormalCentrado"/>
      </w:pPr>
      <w:r>
        <w:t>ECLI:ES:TC:2021:6</w:t>
      </w:r>
    </w:p>
    <w:p w:rsidR="005728DD" w:rsidRDefault="005728DD" w:rsidP="005728DD">
      <w:pPr>
        <w:pStyle w:val="TextoNormalCentrado"/>
      </w:pPr>
    </w:p>
    <w:p w:rsidR="005728DD" w:rsidRDefault="005728DD" w:rsidP="005728DD">
      <w:pPr>
        <w:pStyle w:val="SntesisDescriptiva"/>
      </w:pPr>
      <w:r>
        <w:t>Recurso de amparo 2578-2019. Promovido por la Universidad Católica de Valencia San Vicente Mártir en relación con la Orden de la Consellería de Educación, Investigación, Cultura y Deporte 23/2015, de 1 de diciembre, por la que se convoca y establecen las bases reguladoras para la concesión de las becas para la realización de estudios universitarios en las universidades de la Comunitat Valenciana, y las resoluciones dictadas por las salas de lo contencioso-administrativo del Tribunal Supremo y del Tribunal Superior de Justicia de la Comunidad Valenciana desestimando la impugnación de dicha orden.</w:t>
      </w:r>
    </w:p>
    <w:p w:rsidR="005728DD" w:rsidRDefault="005728DD" w:rsidP="005728DD">
      <w:pPr>
        <w:pStyle w:val="SntesisDescriptiva"/>
      </w:pPr>
    </w:p>
    <w:p w:rsidR="005728DD" w:rsidRDefault="005728DD" w:rsidP="005728DD">
      <w:pPr>
        <w:pStyle w:val="SntesisAnaltica"/>
      </w:pPr>
      <w:r>
        <w:t>Vulneración del derecho a la igualdad en relación con el derecho a la creación de centros docentes: nulidad de los preceptos reglamentarios que limitan el disfrute de becas a los alumnos matriculados en universidad públicas integrantes del sistema universitario valenciano (STC 191/2020). Voto particular.</w:t>
      </w:r>
    </w:p>
    <w:p w:rsidR="005728DD" w:rsidRDefault="005728DD" w:rsidP="005728DD">
      <w:pPr>
        <w:pStyle w:val="SntesisAnaltica"/>
      </w:pPr>
    </w:p>
    <w:p w:rsidR="005728DD" w:rsidRDefault="005728DD" w:rsidP="005728DD">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[FFJJ 2 a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2578-2019 promovido por la Universidad Católica de Valencia San Vicente Mártir, representada por la procuradora de los tribunales doña Ana Lázaro Gogorza, y asistida por el letrado don Gonzalo Fernández de Arévalo Fernández de Arévalo, contra la Orden 23/2015, de 1 de diciembre, de la Consellería de Educación, Investigación, Cultura y Deporte, de la Comunitat Valenciana por la que se convoca y establecen las bases reguladoras para la concesión de las becas para la realización de estudios universitarios en las universidades de la Comunitat Valenciana; contra la sentencia de 18 de octubre de 2017, de la Sección Quinta de la Sala de lo Contencioso-Administrativo del Tribunal Superior de Justicia de la Comunidad Valenciana en el recurso contencioso-administrativo núm. 427-2016; contra las providencias de 21 de junio y 22 de octubre de 2018 de la </w:t>
      </w:r>
      <w:r>
        <w:lastRenderedPageBreak/>
        <w:t>Sección Primera de la Sala de lo Contencioso-Administrativo del Tribunal Supremo en el recurso de casación núm. 1477-2018; así como contra el auto de la Sala de Casación Autonómica del Tribunal Superior de Justicia de la Comunidad Valenciana de 13 de marzo de 2019 dictado en el recurso de casación núm. 61-2019. Ha intervenido el Ministerio Fiscal y ha comparecido la Generalitat Valenciana. Ha sido ponente el presidente don Juan José González Rivas.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presentado en este tribunal el día 23 de abril de 2019, la procuradora de los tribunales doña Ana Lázaro Gogorza en nombre y representación de la Universidad Católica de Valencia San Vicente Mártir, interpuso recurso de amparo contra las resoluciones que se citan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de los que trae causa la demanda de amparo son, en síntesis, los siguientes:</w:t>
      </w:r>
    </w:p>
    <w:p w:rsidR="005728DD" w:rsidRDefault="005728DD" w:rsidP="005728DD">
      <w:pPr>
        <w:pStyle w:val="TextoNormal"/>
      </w:pPr>
    </w:p>
    <w:p w:rsidR="005728DD" w:rsidRDefault="005728DD" w:rsidP="005728DD">
      <w:pPr>
        <w:pStyle w:val="TextoNormal"/>
      </w:pPr>
      <w:r>
        <w:t>a) En el “Diario Oficial de la Generalitat Valenciana” núm. 7671, de 3 de diciembre de 2015, se publicó la Orden 23/2015, de 1 de diciembre, de la Consellería de Educación, Investigación, Cultura y Deporte, por la que se convoca y establecen las bases reguladoras para la concesión de las becas para la realización de estudios universitarios en las universidades de la Comunitat Valenciana. Esta norma dispone en su artículo primero lo siguiente:</w:t>
      </w:r>
    </w:p>
    <w:p w:rsidR="005728DD" w:rsidRDefault="005728DD" w:rsidP="005728DD">
      <w:pPr>
        <w:pStyle w:val="TextoNormal"/>
      </w:pPr>
    </w:p>
    <w:p w:rsidR="005728DD" w:rsidRDefault="005728DD" w:rsidP="005728DD">
      <w:pPr>
        <w:pStyle w:val="TextoNormal"/>
      </w:pPr>
      <w:r>
        <w:t>“Primero</w:t>
      </w:r>
    </w:p>
    <w:p w:rsidR="005728DD" w:rsidRDefault="005728DD" w:rsidP="005728DD">
      <w:pPr>
        <w:pStyle w:val="TextoNormal"/>
      </w:pPr>
    </w:p>
    <w:p w:rsidR="005728DD" w:rsidRDefault="005728DD" w:rsidP="005728DD">
      <w:pPr>
        <w:pStyle w:val="TextoNormal"/>
      </w:pPr>
      <w:r>
        <w:t>1. Convocar becas para el curso académico 2015/2016 destinadas al alumnado que inicia los estudios universitarios de grado en las universidades públicas que integran el Sistema Universitario Valenciano, a las que hace referencia el artículo 2 de la Ley 4/2007, de 9 de febrero, de coordinación del sistema universitario valenciano.</w:t>
      </w:r>
    </w:p>
    <w:p w:rsidR="005728DD" w:rsidRDefault="005728DD" w:rsidP="005728DD">
      <w:pPr>
        <w:pStyle w:val="TextoNormal"/>
      </w:pPr>
    </w:p>
    <w:p w:rsidR="005728DD" w:rsidRDefault="005728DD" w:rsidP="005728DD">
      <w:pPr>
        <w:pStyle w:val="TextoNormal"/>
      </w:pPr>
      <w:r>
        <w:t>2. Convocar becas para el alumnado al que le reste un máximo de dieciocho créditos para finalizar sus estudios universitarios en el curso 2015/2016 en las universidades públicas que integran el Sistema Universitario Valenciano, y esté matriculado en créditos que correspondan a la tercera y/o sucesivas matrículas.</w:t>
      </w:r>
    </w:p>
    <w:p w:rsidR="005728DD" w:rsidRDefault="005728DD" w:rsidP="005728DD">
      <w:pPr>
        <w:pStyle w:val="TextoNormal"/>
      </w:pPr>
    </w:p>
    <w:p w:rsidR="005728DD" w:rsidRDefault="005728DD" w:rsidP="005728DD">
      <w:pPr>
        <w:pStyle w:val="TextoNormal"/>
      </w:pPr>
      <w:r>
        <w:t>La concesión de estas becas se regirá por las bases que se adjuntan como Anexo I a esta orden”.</w:t>
      </w:r>
    </w:p>
    <w:p w:rsidR="005728DD" w:rsidRDefault="005728DD" w:rsidP="005728DD">
      <w:pPr>
        <w:pStyle w:val="TextoNormal"/>
      </w:pPr>
    </w:p>
    <w:p w:rsidR="005728DD" w:rsidRDefault="005728DD" w:rsidP="005728DD">
      <w:pPr>
        <w:pStyle w:val="TextoNormal"/>
      </w:pPr>
      <w:r>
        <w:t>Y en la base primera del mencionado anexo I dispone:</w:t>
      </w:r>
    </w:p>
    <w:p w:rsidR="005728DD" w:rsidRDefault="005728DD" w:rsidP="005728DD">
      <w:pPr>
        <w:pStyle w:val="TextoNormal"/>
      </w:pPr>
    </w:p>
    <w:p w:rsidR="005728DD" w:rsidRDefault="005728DD" w:rsidP="005728DD">
      <w:pPr>
        <w:pStyle w:val="TextoNormal"/>
      </w:pPr>
      <w:r>
        <w:t>“Primera. Beneficiarios</w:t>
      </w:r>
    </w:p>
    <w:p w:rsidR="005728DD" w:rsidRDefault="005728DD" w:rsidP="005728DD">
      <w:pPr>
        <w:pStyle w:val="TextoNormal"/>
      </w:pPr>
    </w:p>
    <w:p w:rsidR="005728DD" w:rsidRDefault="005728DD" w:rsidP="005728DD">
      <w:pPr>
        <w:pStyle w:val="TextoNormal"/>
      </w:pPr>
      <w:r>
        <w:t>1. Podrá solicitar la beca quien haya iniciado estudios universitarios en alguna de las universidades públicas que conforman el sistema universitario valenciano, no haya realizado otros estudios universitarios y se haya matriculado por primera vez durante el curso académico 2015/2016 de primer curso de estudios de grado con una nota de acceso a la universidad obtenida en la prueba o enseñanza que permite el acceso a la universidad, que deberá ser igual o superior a 5 e inferior a 5,50 puntos.</w:t>
      </w:r>
    </w:p>
    <w:p w:rsidR="005728DD" w:rsidRDefault="005728DD" w:rsidP="005728DD">
      <w:pPr>
        <w:pStyle w:val="TextoNormal"/>
      </w:pPr>
    </w:p>
    <w:p w:rsidR="005728DD" w:rsidRDefault="005728DD" w:rsidP="005728DD">
      <w:pPr>
        <w:pStyle w:val="TextoNormal"/>
      </w:pPr>
      <w:r>
        <w:t>2. Podrá solicitar beca el alumnado al que le reste un máximo de dieciocho créditos para finalizar sus estudios universitarios en el curso 2015/2016 en las universidades públicas que integran el sistema universitario valenciano, y esté matriculado en créditos que correspondan a la tercera y/o sucesivas matrículas.</w:t>
      </w:r>
    </w:p>
    <w:p w:rsidR="005728DD" w:rsidRDefault="005728DD" w:rsidP="005728DD">
      <w:pPr>
        <w:pStyle w:val="TextoNormal"/>
      </w:pPr>
    </w:p>
    <w:p w:rsidR="005728DD" w:rsidRDefault="005728DD" w:rsidP="005728DD">
      <w:pPr>
        <w:pStyle w:val="TextoNormal"/>
      </w:pPr>
      <w:r>
        <w:t>3. No se incluyen en esta convocatoria exenciones ni ayudas para la realización de estudios de máster ni los correspondientes al tercer ciclo o doctorado, estudios de especialización ni estudios conducentes a la obtención de títulos propios de las universidades”.</w:t>
      </w:r>
    </w:p>
    <w:p w:rsidR="005728DD" w:rsidRDefault="005728DD" w:rsidP="005728DD">
      <w:pPr>
        <w:pStyle w:val="TextoNormal"/>
      </w:pPr>
    </w:p>
    <w:p w:rsidR="005728DD" w:rsidRDefault="005728DD" w:rsidP="005728DD">
      <w:pPr>
        <w:pStyle w:val="TextoNormal"/>
      </w:pPr>
      <w:r>
        <w:t>b) La Universidad Católica de Valencia San Vicente Mártir interpuso recurso de reposición que fue desestimado por resolución de la Consellería de Educación, Investigación, Cultura y Deporte de fecha 5 de abril de 2016.</w:t>
      </w:r>
    </w:p>
    <w:p w:rsidR="005728DD" w:rsidRDefault="005728DD" w:rsidP="005728DD">
      <w:pPr>
        <w:pStyle w:val="TextoNormal"/>
      </w:pPr>
    </w:p>
    <w:p w:rsidR="005728DD" w:rsidRDefault="005728DD" w:rsidP="005728DD">
      <w:pPr>
        <w:pStyle w:val="TextoNormal"/>
      </w:pPr>
      <w:r>
        <w:t>c) La Universidad Católica de Valencia San Vicente Mártir interpuso recurso contencioso-administrativo contra la citada Orden 23/2015, alegando la vulneración de los artículos 14, 16 y 27 CE, vulneración de la normativa básica estatal en materia de becas, vulneración del Derecho Comunitario y Nacional en materia de Competencia y Unidad de Mercado, nulidad de la orden impugnada por haberse dictado prescindiendo total y absolutamente del procedimiento legalmente establecido, vulneración de normativa básica estatal en materia de subvenciones, contravención del principio de inderogabilidad singular, falta de motivación de la exclusión de las universidades privadas del nuevo sistema de becas, vulneración del principio de confianza legítima y vulneración del derecho de audiencia ante el Consejo Valenciano de Universidades y de Formación.</w:t>
      </w:r>
    </w:p>
    <w:p w:rsidR="005728DD" w:rsidRDefault="005728DD" w:rsidP="005728DD">
      <w:pPr>
        <w:pStyle w:val="TextoNormal"/>
      </w:pPr>
    </w:p>
    <w:p w:rsidR="005728DD" w:rsidRDefault="005728DD" w:rsidP="005728DD">
      <w:pPr>
        <w:pStyle w:val="TextoNormal"/>
      </w:pPr>
      <w:r>
        <w:t>Por sentencia 963/2017, de 18 de octubre, de la Sección Quinta de la Sala de lo Contencioso-Administrativo del Tribunal Superior de Justicia de la Comunidad Valenciana se procedió a la desestimación de todos los motivos impugnación planteados en el recurso.</w:t>
      </w:r>
    </w:p>
    <w:p w:rsidR="005728DD" w:rsidRDefault="005728DD" w:rsidP="005728DD">
      <w:pPr>
        <w:pStyle w:val="TextoNormal"/>
      </w:pPr>
    </w:p>
    <w:p w:rsidR="005728DD" w:rsidRDefault="005728DD" w:rsidP="005728DD">
      <w:pPr>
        <w:pStyle w:val="TextoNormal"/>
      </w:pPr>
      <w:r>
        <w:t>d) Planteado recurso de casación, se tuvo por preparado mediante auto de la Sección Quinta de la Sala de lo Contencioso-Administrativo del Tribunal Superior de Justicia de Valencia de 26 de enero de 2018.</w:t>
      </w:r>
    </w:p>
    <w:p w:rsidR="005728DD" w:rsidRDefault="005728DD" w:rsidP="005728DD">
      <w:pPr>
        <w:pStyle w:val="TextoNormal"/>
      </w:pPr>
    </w:p>
    <w:p w:rsidR="005728DD" w:rsidRDefault="005728DD" w:rsidP="005728DD">
      <w:pPr>
        <w:pStyle w:val="TextoNormal"/>
      </w:pPr>
      <w:r>
        <w:t>e) Mediante providencia de la Sección Primera de la Sala de lo Contencioso-Administrativo del Tribunal Supremo de 21 de junio de 2018 se inadmitió a trámite el recurso de casación. Planteado incidente de nulidad de actuaciones, fue inadmitido a trámite mediante nueva providencia de la Sección Primera de la Sala de lo Contencioso-Administrativo del Tribunal Supremo de 22 de octubre de 2018, tras razonar que “En el escrito de preparación el recurrente invoca varios supuestos de interés casacional objetivo, si bien no puede entenderse cumplido el requisito de fundamentación previsto en el citado artículo 89.2 f) LJCA, dado que en los tres casos se trata de alegaciones genéricas, que no profundizan en la argumentación y que no lo vinculan con el debate procesal concreto, indicando cuál sería la cuestión de interés casacional objetivo sobre la que este tribunal estaría llamado a pronunciarse. Todo ello no es desvirtuado, por otra parte, en el escrito planteando incidente de nulidad de actuaciones”.</w:t>
      </w:r>
    </w:p>
    <w:p w:rsidR="005728DD" w:rsidRDefault="005728DD" w:rsidP="005728DD">
      <w:pPr>
        <w:pStyle w:val="TextoNormal"/>
      </w:pPr>
    </w:p>
    <w:p w:rsidR="005728DD" w:rsidRDefault="005728DD" w:rsidP="005728DD">
      <w:pPr>
        <w:pStyle w:val="TextoNormal"/>
      </w:pPr>
      <w:r>
        <w:t xml:space="preserve">f) Preparado por la Universidad Católica de Valencia San Vicente Mártir recurso de casación autonómico, por auto de la Sala de Casación Autonómica del Tribunal Superior de </w:t>
      </w:r>
      <w:r>
        <w:lastRenderedPageBreak/>
        <w:t>Justicia de la Comunidad Valenciana de 13 de marzo de 2019 se procedió a su inadmisión, por no cumplir el requisito de presentar interés para la formación de jurisprudencia.</w:t>
      </w:r>
    </w:p>
    <w:p w:rsidR="005728DD" w:rsidRDefault="005728DD" w:rsidP="005728DD">
      <w:pPr>
        <w:pStyle w:val="TextoNormal"/>
      </w:pPr>
    </w:p>
    <w:p w:rsidR="005728DD" w:rsidRDefault="005728DD" w:rsidP="005728DD">
      <w:pPr>
        <w:pStyle w:val="TextoNormal"/>
      </w:pPr>
      <w:r w:rsidRPr="005728DD">
        <w:rPr>
          <w:rStyle w:val="NumeroAFNegritaCaracter"/>
        </w:rPr>
        <w:t>3</w:t>
      </w:r>
      <w:r>
        <w:t>. Con fecha de 23 de abril de 2019, se presentó en el registro del Tribunal Constitucional recurso de amparo, en el que se alegó la vulneración por el artículo 1 y la base primera del anexo I de la Orden 23/2015, de 1 de diciembre, de la Consellería de Educación, Investigación, Cultura y Deporte de la Generalitat Valenciana, que contiene la convocatoria y las bases reguladoras de las becas para la realización de estudios universitarios en las universidades de la Comunitat Valenciana, de los artículos 14, 27 y 16 CE. Asimismo, se alega la vulneración del artículo 24 CE por las diferentes resoluciones judiciales citadas en el encabezamiento de la sentencia.</w:t>
      </w:r>
    </w:p>
    <w:p w:rsidR="005728DD" w:rsidRDefault="005728DD" w:rsidP="005728DD">
      <w:pPr>
        <w:pStyle w:val="TextoNormal"/>
      </w:pPr>
    </w:p>
    <w:p w:rsidR="005728DD" w:rsidRDefault="005728DD" w:rsidP="005728DD">
      <w:pPr>
        <w:pStyle w:val="TextoNormal"/>
      </w:pPr>
      <w:r>
        <w:t>La demanda parte de que se han lesionado los derechos fundamentales de la Universidad Católica de Valencia San Vicente Mártir, a la que la administración da un trato discriminatorio por ser una universidad no pública. Además de la vulneración de los derechos de los alumnos de dicha universidad, a los que se impide la libre elección del centro educativo, se lesionan los derechos de la universidad, creada al amparo del artículo 27.6 CE y configurada por las leyes vigentes en régimen de igualdad con las universidades públicas, cuyos estudios han sido excluidos de la posibilidad de acceder a los mismos con dichas becas. Se aduce que, si se ha discriminado a la universidad recurrente por tener ideario propio, dicha discriminación está prohibida por la legislación nacional e internacional de derechos humanos; y si dicha discriminación se ha producido por ser una universidad privada, dicha discriminación es contraria al derecho de la Unión Europea.</w:t>
      </w:r>
    </w:p>
    <w:p w:rsidR="005728DD" w:rsidRDefault="005728DD" w:rsidP="005728DD">
      <w:pPr>
        <w:pStyle w:val="TextoNormal"/>
      </w:pPr>
    </w:p>
    <w:p w:rsidR="005728DD" w:rsidRDefault="005728DD" w:rsidP="005728DD">
      <w:pPr>
        <w:pStyle w:val="TextoNormal"/>
      </w:pPr>
      <w:r>
        <w:t>En cuanto a la vulneración del artículo 14 CE, la demanda aduce que la citada orden establece un trato desigual de la recurrente con las universidades públicas, introduciendo una diferencia arbitraria al excluir los estudios en las universidades privadas del régimen de becas, a pesar de estar configuradas las universidades en régimen de igualdad por la legislación vigente.</w:t>
      </w:r>
    </w:p>
    <w:p w:rsidR="005728DD" w:rsidRDefault="005728DD" w:rsidP="005728DD">
      <w:pPr>
        <w:pStyle w:val="TextoNormal"/>
      </w:pPr>
    </w:p>
    <w:p w:rsidR="005728DD" w:rsidRDefault="005728DD" w:rsidP="005728DD">
      <w:pPr>
        <w:pStyle w:val="TextoNormal"/>
      </w:pPr>
      <w:r>
        <w:t>A pesar de las condiciones idénticas de renta de los estudiantes, se les trata de manera diferente en función del tipo de centro en el que quieren cursar sus estudios, sin que exista razón que justifique objetiva y razonadamente esa discriminación, ni finalidad constitucionalmente legítima, ni congruencia entre el trato desigual, en relación con el supuesto de hecho que lo justifica y la finalidad que se persigue, ni proporcionalidad en la medida. No se ha justificado el cambio de criterio.</w:t>
      </w:r>
    </w:p>
    <w:p w:rsidR="005728DD" w:rsidRDefault="005728DD" w:rsidP="005728DD">
      <w:pPr>
        <w:pStyle w:val="TextoNormal"/>
      </w:pPr>
    </w:p>
    <w:p w:rsidR="005728DD" w:rsidRDefault="005728DD" w:rsidP="005728DD">
      <w:pPr>
        <w:pStyle w:val="TextoNormal"/>
      </w:pPr>
      <w:r>
        <w:t>Se considera que el derecho a la beca puede depender de criterios objetivos como el rendimiento académico o la renta personal o familiar, pero no del tipo de centro o ideario del centro en que se cursa, dato frente al cual la administración debe mantenerse neutral. Una vez adoptada la decisión de puesta en marcha de un programa de becas, no se puede hacer distinción por la universidad en la que se estudia.</w:t>
      </w:r>
    </w:p>
    <w:p w:rsidR="005728DD" w:rsidRDefault="005728DD" w:rsidP="005728DD">
      <w:pPr>
        <w:pStyle w:val="TextoNormal"/>
      </w:pPr>
    </w:p>
    <w:p w:rsidR="005728DD" w:rsidRDefault="005728DD" w:rsidP="005728DD">
      <w:pPr>
        <w:pStyle w:val="TextoNormal"/>
      </w:pPr>
      <w:r>
        <w:t xml:space="preserve">La orden hace una distinción donde la ley no lo hace. Ni la Ley Orgánica 6/2001, de 21 de diciembre, de universidades (en adelante, LOU), ni la citada Ley 4/2007, de 9 de febrero, diferencian entre universidades públicas y privadas a efectos de obtención de becas. En tal sentido, se procede a establecer en una disposición administrativa una diferencia restrictiva </w:t>
      </w:r>
      <w:r>
        <w:lastRenderedPageBreak/>
        <w:t>e injustificada entre las universidades públicas y las universidades privadas que la Ley Orgánica de universidades no contempla, por lo que la citada disposición administrativa carece de base legal alguna y es contraria al Derecho de la Unión Europea.</w:t>
      </w:r>
    </w:p>
    <w:p w:rsidR="005728DD" w:rsidRDefault="005728DD" w:rsidP="005728DD">
      <w:pPr>
        <w:pStyle w:val="TextoNormal"/>
      </w:pPr>
    </w:p>
    <w:p w:rsidR="005728DD" w:rsidRDefault="005728DD" w:rsidP="005728DD">
      <w:pPr>
        <w:pStyle w:val="TextoNormal"/>
      </w:pPr>
      <w:r>
        <w:t>Se pone de manifiesto que la propia administración es plenamente consciente de que no existe justificación para ese trato desigual, como ha afirmado el consejo consultivo autonómico, más allá de razones puramente ideológicas, por lo que ni tan siquiera tiende a motivar el cambio del sistema de becas, lesionando también con ello el principio de confianza legítima.</w:t>
      </w:r>
    </w:p>
    <w:p w:rsidR="005728DD" w:rsidRDefault="005728DD" w:rsidP="005728DD">
      <w:pPr>
        <w:pStyle w:val="TextoNormal"/>
      </w:pPr>
    </w:p>
    <w:p w:rsidR="005728DD" w:rsidRDefault="005728DD" w:rsidP="005728DD">
      <w:pPr>
        <w:pStyle w:val="TextoNormal"/>
      </w:pPr>
      <w:r>
        <w:t>La orden supone además un incumplimiento de un tratado internacional, como es el Acuerdo del Estado español con la Santa Sede sobre enseñanza y asuntos culturales de 3 de enero de 1979, que en su artículo 10.3, dispone que “los alumnos de estas universidades (de la Iglesia) gozarán de los mismos beneficios en materia de sanidad, seguridad escolar, ayudas al estudio y a la investigación y demás modalidades de protección al estudiante que se establezcan para los alumnos de las universidades del Estado”.</w:t>
      </w:r>
    </w:p>
    <w:p w:rsidR="005728DD" w:rsidRDefault="005728DD" w:rsidP="005728DD">
      <w:pPr>
        <w:pStyle w:val="TextoNormal"/>
      </w:pPr>
    </w:p>
    <w:p w:rsidR="005728DD" w:rsidRDefault="005728DD" w:rsidP="005728DD">
      <w:pPr>
        <w:pStyle w:val="TextoNormal"/>
      </w:pPr>
      <w:r>
        <w:t>En cuanto a la vulneración del artículo 27 CE, la demanda afirma que las becas son un elemento nuclear del sistema educativo que incide, por tanto, en el derecho a la educación, siendo el régimen de las becas desarrollo del artículo 27 CE. En este caso, se ha privado del derecho a obtener una beca a quiénes, reuniendo las condiciones objetivas para obtenerlas, cursan estudios en universidades privadas.</w:t>
      </w:r>
    </w:p>
    <w:p w:rsidR="005728DD" w:rsidRDefault="005728DD" w:rsidP="005728DD">
      <w:pPr>
        <w:pStyle w:val="TextoNormal"/>
      </w:pPr>
    </w:p>
    <w:p w:rsidR="005728DD" w:rsidRDefault="005728DD" w:rsidP="005728DD">
      <w:pPr>
        <w:pStyle w:val="TextoNormal"/>
      </w:pPr>
      <w:r>
        <w:t>La orden recurrida discrimina a las universidades, creadas al amparo del artículo 27.6 CE, por tener ideario propio, e impide a los alumnos que elijan libremente a la Universidad Católica San Vicente Mártir, forzándoles a elegir una universidad pública para seguir sus estudios con una beca. Además, hay titulaciones que solo se imparten en universidades privadas de la Comunitat Valenciana.</w:t>
      </w:r>
    </w:p>
    <w:p w:rsidR="005728DD" w:rsidRDefault="005728DD" w:rsidP="005728DD">
      <w:pPr>
        <w:pStyle w:val="TextoNormal"/>
      </w:pPr>
    </w:p>
    <w:p w:rsidR="005728DD" w:rsidRDefault="005728DD" w:rsidP="005728DD">
      <w:pPr>
        <w:pStyle w:val="TextoNormal"/>
      </w:pPr>
      <w:r>
        <w:t>Reitera que el derecho a la beca se puede hacer depender de criterios objetivos, pero no arbitrarios, como el tipo de centro en el que se estudie y su ideario, frente a los que la administración debe ser neutral. El legislador orgánico no excluye a las universidades privadas del sistema público de becas, como se deduce del artículo 45 LOU.</w:t>
      </w:r>
    </w:p>
    <w:p w:rsidR="005728DD" w:rsidRDefault="005728DD" w:rsidP="005728DD">
      <w:pPr>
        <w:pStyle w:val="TextoNormal"/>
      </w:pPr>
    </w:p>
    <w:p w:rsidR="005728DD" w:rsidRDefault="005728DD" w:rsidP="005728DD">
      <w:pPr>
        <w:pStyle w:val="TextoNormal"/>
      </w:pPr>
      <w:r>
        <w:t>Asimismo, se alega que la orden lesiona el principio de confianza legítima por el cambio repentino que introdujo, sin ninguna medida transitoria para paliar su impacto, y sin modificación previa de la legislación para darle cobertura.</w:t>
      </w:r>
    </w:p>
    <w:p w:rsidR="005728DD" w:rsidRDefault="005728DD" w:rsidP="005728DD">
      <w:pPr>
        <w:pStyle w:val="TextoNormal"/>
      </w:pPr>
    </w:p>
    <w:p w:rsidR="005728DD" w:rsidRDefault="005728DD" w:rsidP="005728DD">
      <w:pPr>
        <w:pStyle w:val="TextoNormal"/>
      </w:pPr>
      <w:r>
        <w:t>Respecto a la vulneración del artículo 16 CE, la demanda pone de relieve que, conforme al artículo 2 de la Ley 4/2007, de 9 de febrero, hay dos universidades privadas: San Pablo CEU y San Vicente Mártir, que coincide que son de inspiración católica. De ahí se extrae que discriminar en el régimen de becas a las universidades privadas es hacerlo a las universidades de ideario católico. Se alega que también se lesiona la libertad religiosa de quienes quieren estudiar en esta universidad católica y necesitan una beca para hacerlo, así como de quiénes ya estudian en ella y necesitan la beca para continuar. Se vuelve a aducir que la orden contraviene el artículo 10.3 del Acuerdo del Estado español con la Santa Sede, ya citado.</w:t>
      </w:r>
    </w:p>
    <w:p w:rsidR="005728DD" w:rsidRDefault="005728DD" w:rsidP="005728DD">
      <w:pPr>
        <w:pStyle w:val="TextoNormal"/>
      </w:pPr>
    </w:p>
    <w:p w:rsidR="005728DD" w:rsidRDefault="005728DD" w:rsidP="005728DD">
      <w:pPr>
        <w:pStyle w:val="TextoNormal"/>
      </w:pPr>
      <w:r>
        <w:lastRenderedPageBreak/>
        <w:t>Finalmente, en cuanto a la vulneración del artículo 24 CE, la demanda hace referencia a que el Tribunal Superior de Justicia de la Comunidad Valenciana no entra en el fondo del análisis de la orden impugnada porque entiende que la recurrente solo está legitimado para recurrir por lesión de su derecho a la igualdad y no discriminación, para señalar, a continuación, que tampoco para recurrir dicha lesión por entender que la impugnación de la mencionada Orden solo podía ser llevada a los tribunales por un alumno, pero no por la universidad.</w:t>
      </w:r>
    </w:p>
    <w:p w:rsidR="005728DD" w:rsidRDefault="005728DD" w:rsidP="005728DD">
      <w:pPr>
        <w:pStyle w:val="TextoNormal"/>
      </w:pPr>
    </w:p>
    <w:p w:rsidR="005728DD" w:rsidRDefault="005728DD" w:rsidP="005728DD">
      <w:pPr>
        <w:pStyle w:val="TextoNormal"/>
      </w:pPr>
      <w:r>
        <w:t>Respecto de la providencia de inadmisión del recurso de casación dictada por el Tribunal Supremo, se alega que misma incurre en una motivación ilógica e irrazonable por entender que sólo puede deberse a un error el que, ante dos cuestiones totalmente equivalentes, se den motivaciones contradictorias, denegándose a la parte su derecho a la doble instancia y al examen de su recurso, ocasionando, de esta manera, una nueva lesión de su derecho fundamental a la tutela judicial efectiva.</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16 de septiembre de 2019, la Sección Primera de la Sala Primera del Tribunal Constitucional acordó admitir a trámite el recurso, apreciando que concurre en el mismo una especial trascendencia constitucional [artículo 50.1 de la Ley Orgánica del Tribunal Constitucional (LOTC)] como consecuencia de que la posible vulneración del derecho fundamental que se denuncia pudiera provenir de la ley o de otra disposición de carácter general [STC 155/2009, de 25 de junio, FJ 2 c)]. Además, recibidas las actuaciones solicitadas a la Sección Primera de la Sala de lo Contencioso-Administrativo del Tribunal Supremo y Sección Quinta de la Sala de lo Contencioso-Administrativo del Tribunal Superior de Justicia de la Comunidad Valenciana, acordó también dirigir atenta comunicación al citado órgano judicial para que, en plazo que no exceda de diez días, se emplace a quienes hubieran sido parte en el recurso contencioso-administrativo núm. 427-2016 con excepción de la parte recurrente en amparo, para que en dicho plazo puedan comparecer, si lo desean,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2 de enero de 2020, el secretario de justicia de la Sección Primera de la Sala Primera de este tribunal, acordó tener por recibidos los testimonios de las actuaciones remitidos por la Sala Tercera de lo Contencioso-Administrativo del Tribunal Supremo, por la Sección Quinta de la Sala de lo Contencioso-Administrativo del Tribunal Superior de Justicia de la Comunidad Valenciana y Sala de Casación Autonómica del Tribunal Superior de Justicia de la Comunidad Valenciana, y escrito del abogado en nombre y representación del letrado de la Generalitat Valenciana. Asimismo, de conformidad con el artículo 52 LOTC se dispuso dar vista de todas las actuaciones al Ministerio Fiscal y a las partes personadas, para que en un plazo común de veinte días pudieran presentar las alegaciones que a su derecho convengan.</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escrito presentado el 9 de enero de 2020 tuvo entrada en este tribunal el escrito de alegaciones de la Generalitat Valenciana, en las que se opuso al recurso de amparo y solicitó se dictase sentencia acordando su desestimación. Tras referirse a los antecedentes de hecho que han dado lugar al presente recurso, formula las alegaciones que se resumen a continuación:</w:t>
      </w:r>
    </w:p>
    <w:p w:rsidR="005728DD" w:rsidRDefault="005728DD" w:rsidP="005728DD">
      <w:pPr>
        <w:pStyle w:val="TextoNormal"/>
      </w:pPr>
    </w:p>
    <w:p w:rsidR="005728DD" w:rsidRDefault="005728DD" w:rsidP="005728DD">
      <w:pPr>
        <w:pStyle w:val="TextoNormal"/>
      </w:pPr>
      <w:r>
        <w:t xml:space="preserve">a) En primer lugar, descarta la alegación de la recurrente de discriminación ideológica. En su opinión, no se infiere ni de la orden ni de los antecedentes de la misma. La universidad </w:t>
      </w:r>
      <w:r>
        <w:lastRenderedPageBreak/>
        <w:t>recurrente no es la única universidad privada de la comunidad autónoma, sino que hay otras universidades privadas, algunas con ideario católico y otras sin ese ideario, siendo el alumnado de todas ellas afectado del mismo modo por la orden. Por ello entiende inadmisible el planteamiento de la demanda de que la orden discrimina al alumnado de la universidad recurrente, por su ideología católica.</w:t>
      </w:r>
    </w:p>
    <w:p w:rsidR="005728DD" w:rsidRDefault="005728DD" w:rsidP="005728DD">
      <w:pPr>
        <w:pStyle w:val="TextoNormal"/>
      </w:pPr>
    </w:p>
    <w:p w:rsidR="005728DD" w:rsidRDefault="005728DD" w:rsidP="005728DD">
      <w:pPr>
        <w:pStyle w:val="TextoNormal"/>
      </w:pPr>
      <w:r>
        <w:t>b) En cuanto a la vulneración del artículo 24 CE, a la vista del contenido de las providencias del Tribunal Supremo de 21 de junio de 2018 y de 22 de octubre de 2018, las mismas satisfacen, conforme a la doctrina de la STC 112/2019, de 3 de octubre, el derecho a la tutela judicial efectiva y no generan indefensión como consecuencia de un pronunciamiento de inadmisión que se deriva de la aplicación razonada de una causa legal que prevé tal consecuencia, sin que pueda apreciarse arbitrariedad, ni actuación manifiestamente irrazonable, ni error patente, ni resultado de una interpretación rigorista, excesivamente formalista o desproporcionada.</w:t>
      </w:r>
    </w:p>
    <w:p w:rsidR="005728DD" w:rsidRDefault="005728DD" w:rsidP="005728DD">
      <w:pPr>
        <w:pStyle w:val="TextoNormal"/>
      </w:pPr>
    </w:p>
    <w:p w:rsidR="005728DD" w:rsidRDefault="005728DD" w:rsidP="005728DD">
      <w:pPr>
        <w:pStyle w:val="TextoNormal"/>
      </w:pPr>
      <w:r>
        <w:t>c) El abogado de la Generalitat descarta que se haya vulnerado el artículo 14 CE, tal y como se resolvió en la sentencia del Tribunal Superior de Justicia de la Comunidad Valenciana al afirmar que la orden “no vulnera el derecho a la igualdad de la demandante que no se ve afectada en modo alguno por la misma, reguladora de derechos de los alumnos”. En su opinión, la universidad recurrente no es titular del derecho a la igualdad.</w:t>
      </w:r>
    </w:p>
    <w:p w:rsidR="005728DD" w:rsidRDefault="005728DD" w:rsidP="005728DD">
      <w:pPr>
        <w:pStyle w:val="TextoNormal"/>
      </w:pPr>
    </w:p>
    <w:p w:rsidR="005728DD" w:rsidRDefault="005728DD" w:rsidP="005728DD">
      <w:pPr>
        <w:pStyle w:val="TextoNormal"/>
      </w:pPr>
      <w:r>
        <w:t>A su entender, se trata de una actuación que no se sustenta en los Reales Decretos 1721/2007, de 21 de diciembre, y 595/2015, de 3 de julio, ni en el posterior Real Decreto 293/2016, resaltando que el Estado establece un sistema general de becas que garantiza a nivel nacional unas condiciones mínimas de igualdad por exigencia del artículo 45 de la Ley Orgánica 6/2001, de 21 de diciembre, de universidades. Por su parte, la Orden 23/2015, como explica su preámbulo, contempla la concesión de becas propias de la Generalitat Valenciana, como complemento de dicho sistema general de becas. Esto es, garantizadas esas condiciones de igualdad, la comunidad autónoma, con su presupuesto, y conforme a la normativa de ayudas, complementa el sistema de becas.</w:t>
      </w:r>
    </w:p>
    <w:p w:rsidR="005728DD" w:rsidRDefault="005728DD" w:rsidP="005728DD">
      <w:pPr>
        <w:pStyle w:val="TextoNormal"/>
      </w:pPr>
    </w:p>
    <w:p w:rsidR="005728DD" w:rsidRDefault="005728DD" w:rsidP="005728DD">
      <w:pPr>
        <w:pStyle w:val="TextoNormal"/>
      </w:pPr>
      <w:r>
        <w:t>En todo caso, afirma, hay razones objetivas que justifican el trato diferenciado entre los alumnos de las universidades públicas y los alumnos de las universidades privadas, sin que ello suponga la infracción del principio de igualdad. Al respecto expone que “al alumno que ha superado la nota de corte establecida y ha accedido a la universidad pública, se le pueda dar un trato diferenciado, respecto a aquel que no ha alcanzado esa nota. Precisamente el principio de igualdad, acompañado por los principios de mérito y capacidad, justifica el trato diferenciado. Del mismo modo, si se ha optado libremente por la privada, porque así se ha preferido, por su ideario o por otro motivo, también existe una clara razón objetiva que justifica la diferencia de trato respecto a los alumnos de la pública”.</w:t>
      </w:r>
    </w:p>
    <w:p w:rsidR="005728DD" w:rsidRDefault="005728DD" w:rsidP="005728DD">
      <w:pPr>
        <w:pStyle w:val="TextoNormal"/>
      </w:pPr>
    </w:p>
    <w:p w:rsidR="005728DD" w:rsidRDefault="005728DD" w:rsidP="005728DD">
      <w:pPr>
        <w:pStyle w:val="TextoNormal"/>
      </w:pPr>
      <w:r>
        <w:t xml:space="preserve">A ello añade que la universidad pública es la única que garantiza el acceso a todo tipo de alumnado, independientemente de sus condiciones socioeconómicas, conforme al artículo 45.4 LOU. Este precepto determina que el Estado y las comunidades autónomas deben instrumentar una política de becas, y que las universidades públicas deben establecer modalidades de exención del pago de precios públicos por servicios académicos. Estas obligaciones se exigen a los poderes públicos con una finalidad concreta, que nadie quede excluido del estudio en la universidad por razones económicas. Esta finalidad queda garantizada y es </w:t>
      </w:r>
      <w:r>
        <w:lastRenderedPageBreak/>
        <w:t>controlable en las universidades públicas en la medida en que los precios públicos vienen marcados por la ley (art. 81 LOU) y no pueden ser superados, regulándose las ayudas de la administración de acuerdo con los mismos. Sin embargo, en las universidades privadas dichos precios son libres y, por tanto, las becas o ayudas, fijadas en relación con los mismos están desvinculadas del objeto y finalidad fijados en el citado artículo 45.4 LOU, lo que conlleva a que los términos de la comparación entre estudiantes no sean equivalentes y, por tanto, ante la limitación existente de recursos públicos, queda justificada, objetiva y razonablemente, la medida adoptada.</w:t>
      </w:r>
    </w:p>
    <w:p w:rsidR="005728DD" w:rsidRDefault="005728DD" w:rsidP="005728DD">
      <w:pPr>
        <w:pStyle w:val="TextoNormal"/>
      </w:pPr>
    </w:p>
    <w:p w:rsidR="005728DD" w:rsidRDefault="005728DD" w:rsidP="005728DD">
      <w:pPr>
        <w:pStyle w:val="TextoNormal"/>
      </w:pPr>
      <w:r>
        <w:t>Por otra parte, el alumnado de la universidad recurrente tiene a su alcance becas y ayudas que regula y concede la propia universidad que “según datos de la web de la propia universidad, estaban dotadas con un total de 5,4 millones de euros; becas y ayudas que complementan las del Estado y que, obviamente, no están abiertas a los alumnos de la universidad pública”.</w:t>
      </w:r>
    </w:p>
    <w:p w:rsidR="005728DD" w:rsidRDefault="005728DD" w:rsidP="005728DD">
      <w:pPr>
        <w:pStyle w:val="TextoNormal"/>
      </w:pPr>
    </w:p>
    <w:p w:rsidR="005728DD" w:rsidRDefault="005728DD" w:rsidP="005728DD">
      <w:pPr>
        <w:pStyle w:val="TextoNormal"/>
      </w:pPr>
      <w:r>
        <w:t>La Generalitat Valenciana aduce que hay un sistema general de becas que gestiona el Estado, que garantiza la igualdad entre todos los universitarios, y becas complementarias, que el gobierno de la comunidad autónoma destina a los alumnos de la universidad pública, y que la Universidad Católica de Valencia, con sus fondos, destina a su propio alumnado, como hacen también otras universidades privadas.</w:t>
      </w:r>
    </w:p>
    <w:p w:rsidR="005728DD" w:rsidRDefault="005728DD" w:rsidP="005728DD">
      <w:pPr>
        <w:pStyle w:val="TextoNormal"/>
      </w:pPr>
    </w:p>
    <w:p w:rsidR="005728DD" w:rsidRDefault="005728DD" w:rsidP="005728DD">
      <w:pPr>
        <w:pStyle w:val="TextoNormal"/>
      </w:pPr>
      <w:r>
        <w:t>Atendiendo al coste de las universidades privadas afirma que quien opta por una universidad privada es que dispone de recursos económicos para ello y la incidencia de la beca sería en todo caso, menos decisivo para el alumno de la universidad privada que para el alumno de la universidad pública.</w:t>
      </w:r>
    </w:p>
    <w:p w:rsidR="005728DD" w:rsidRDefault="005728DD" w:rsidP="005728DD">
      <w:pPr>
        <w:pStyle w:val="TextoNormal"/>
      </w:pPr>
    </w:p>
    <w:p w:rsidR="005728DD" w:rsidRDefault="005728DD" w:rsidP="005728DD">
      <w:pPr>
        <w:pStyle w:val="TextoNormal"/>
      </w:pPr>
      <w:r>
        <w:t>En conclusión, la regulación autonómica se ajusta a las exigencias del principio de igualdad al no afectar al sistema básico de becas que gestiona el Estado, y es respetuosa con la doctrina del Tribunal Constitucional, plasmada en numerosas sentencias, entre ellas en las SSTC 63/2011, de 16 de mayo; 79/2011, de 6 de junio; 117/2011, de 4 de julio, y 61/2013, de 14 de marzo.</w:t>
      </w:r>
    </w:p>
    <w:p w:rsidR="005728DD" w:rsidRDefault="005728DD" w:rsidP="005728DD">
      <w:pPr>
        <w:pStyle w:val="TextoNormal"/>
      </w:pPr>
    </w:p>
    <w:p w:rsidR="005728DD" w:rsidRDefault="005728DD" w:rsidP="005728DD">
      <w:pPr>
        <w:pStyle w:val="TextoNormal"/>
      </w:pPr>
      <w:r>
        <w:t>d) Respecto a la eventual vulneración del artículo 27 CE, si bien es indiscutible que conforme a la doctrina constitucional, el sistema de becas es un elemento nuclear del sistema educativo dirigido a dotar de máxima efectividad al derecho a la educación, sin embargo, de acuerdo con dicha doctrina, en el artículo 27 CE no se enuncia como tal un derecho fundamental a una prestación pública, a una beca (SSTC 86/1985, de 10 de julio; 188/2001, de 20 de septiembre; 212/2005, de 21 de julio; 25/2015, de 19 de febrero, y 95/2016, de 12 de mayo, entre otras). Se trata de un derecho de configuración legal. Consecuentemente, no es posible fundamentar en el texto constitucional una pretensión individual de obtención de una beca, ya que el derecho a la educación no implica ninguna obligación estatal de subvencionar a las familias para hacerlo efectivo; menos si quién plantea la pretensión es una universidad y no el alumno, o su familia. Por todo ello no cabe apreciar la lesión del artículo 27 CE que se denuncia.</w:t>
      </w:r>
    </w:p>
    <w:p w:rsidR="005728DD" w:rsidRDefault="005728DD" w:rsidP="005728DD">
      <w:pPr>
        <w:pStyle w:val="TextoNormal"/>
      </w:pPr>
    </w:p>
    <w:p w:rsidR="005728DD" w:rsidRDefault="005728DD" w:rsidP="005728DD">
      <w:pPr>
        <w:pStyle w:val="TextoNormal"/>
      </w:pPr>
      <w:r>
        <w:t xml:space="preserve">e) Finalmente, en relación con el artículo 16 CE, de ningún modo inciden o afectan a la libertad ideológica y religiosa dado que la orden prevé becas para el alumnado matriculado </w:t>
      </w:r>
      <w:r>
        <w:lastRenderedPageBreak/>
        <w:t>en universidades públicas valencianas sin hacer ninguna referencia a la Universidad San Vicente Mártir, ni a su alumnado, ni a su ideario católico.</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de 5 de febrero de 2020, la universidad recurrente en amparo presenta un escrito en el que se reafirma en sus alegaciones.</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formuló alegaciones mediante escrito registrado el 5 de febrero de 2020, interesando la estimación del presente recurso de amparo. Tras exponer los antecedentes de hecho de los que trae causa el presente recurso, realiza una serie de consideraciones iniciales.</w:t>
      </w:r>
    </w:p>
    <w:p w:rsidR="005728DD" w:rsidRDefault="005728DD" w:rsidP="005728DD">
      <w:pPr>
        <w:pStyle w:val="TextoNormal"/>
      </w:pPr>
    </w:p>
    <w:p w:rsidR="005728DD" w:rsidRDefault="005728DD" w:rsidP="005728DD">
      <w:pPr>
        <w:pStyle w:val="TextoNormal"/>
      </w:pPr>
      <w:r>
        <w:t>En primer lugar, determina las que, a su juicio, son las pretensiones que se quieren ejercitar en este proceso constitucional. Las vulneraciones que se achacan a la Orden 21/2016 son la desigualdad de trato entre las universidades públicas y privadas, al amparo del artículo 14 CE, sobre la base de que la legislación básica no ampara dicha diferencia de trato; y al amparo de los artículos 16.1 y 27.1 CE, por haber sido discriminada por su naturaleza de universidad privada de ideario católico. Por otra parte, las vulneraciones que se atribuyen a las diferentes resoluciones judiciales son la vulneración del derecho a la tutela judicial efectiva (artículo 24.1 CE) en tanto en cuanto dichas resoluciones habrían privado a la ahora recurrente de su derecho a una sentencia de fondo y del artículo 24.2 CE porque le habrían impedido el acceso efectivo a una doble instancia judicial.</w:t>
      </w:r>
    </w:p>
    <w:p w:rsidR="005728DD" w:rsidRDefault="005728DD" w:rsidP="005728DD">
      <w:pPr>
        <w:pStyle w:val="TextoNormal"/>
      </w:pPr>
    </w:p>
    <w:p w:rsidR="005728DD" w:rsidRDefault="005728DD" w:rsidP="005728DD">
      <w:pPr>
        <w:pStyle w:val="TextoNormal"/>
      </w:pPr>
      <w:r>
        <w:t>En segundo lugar, alega que, en la medida en que el recurso de amparo ha sido interpuesto en relación con los artículos 43 y 44 LOTC, conforme al criterio establecido en STC 56/2019, de 6 de mayo, y a las razones de especial trascendencia constitucional apreciadas para la admisión del presente recurso de amparo, han de analizarse, en primer lugar, las vulneraciones de los artículos 14, 16 y 27 CE, que se imputan a la orden ahora recurrida, y, posteriormente, en su caso, la vulneración del artículo 24 CE que, a su vez, se achaca a las diferentes resoluciones judiciales.</w:t>
      </w:r>
    </w:p>
    <w:p w:rsidR="005728DD" w:rsidRDefault="005728DD" w:rsidP="005728DD">
      <w:pPr>
        <w:pStyle w:val="TextoNormal"/>
      </w:pPr>
    </w:p>
    <w:p w:rsidR="005728DD" w:rsidRDefault="005728DD" w:rsidP="005728DD">
      <w:pPr>
        <w:pStyle w:val="TextoNormal"/>
      </w:pPr>
      <w:r>
        <w:t xml:space="preserve">En tercer lugar, afirma que la universidad recurrente tiene legitimación </w:t>
      </w:r>
      <w:r w:rsidRPr="005728DD">
        <w:rPr>
          <w:i/>
        </w:rPr>
        <w:t>ad causam</w:t>
      </w:r>
      <w:r>
        <w:t xml:space="preserve"> para promover el presente recurso de amparo, pues posee un interés legítimo [artículo 162.1 b) CE], habida cuenta que la imposibilidad de los estudiantes de una universidad privada de acceder a las becas que están reconocidas a los estudiantes de las universidades públicas, además de perjudicar a los estudiantes de aquellas, puede constituir un elemento disuasorio para la matriculación de determinados estudiantes en universidades privadas, lo que para estas habría de significar, en definitiva, menor número de estudiantes, con el consiguiente perjuicio en el ámbito económico y la correlativa incertidumbre sobre su supervivencia futura, a cuya afectación habría que sumar la correlativa limitación de su libertad de enseñanza. A lo que habría que añadir que no es descartable que una universidad privada pudiera actuar por sus alumnos, a tenor de que estos, más allá de ser meros receptores de la educación que se imparte, se integran en los organismos universitarios (conforme a los artículos 15.2 y 16.3 LOU).</w:t>
      </w:r>
    </w:p>
    <w:p w:rsidR="005728DD" w:rsidRDefault="005728DD" w:rsidP="005728DD">
      <w:pPr>
        <w:pStyle w:val="TextoNormal"/>
      </w:pPr>
    </w:p>
    <w:p w:rsidR="005728DD" w:rsidRDefault="005728DD" w:rsidP="005728DD">
      <w:pPr>
        <w:pStyle w:val="TextoNormal"/>
      </w:pPr>
      <w:r>
        <w:t xml:space="preserve">Finalmente, expone que tanto el artículo primero y la base primera del anexo I de la Orden 23/2015 puede ser objeto de recurso de amparo. En su opinión, no puede negarse que el trato desigual o la discriminación pudieran tener su origen directo e inmediato en esta norma. Es posible admitir en abstracto que, en determinados casos, la mera existencia de un </w:t>
      </w:r>
      <w:r>
        <w:lastRenderedPageBreak/>
        <w:t>precepto reglamentario que sea de aplicación directa puede violar un derecho fundamental (en este sentido, cita las SSTC 189/1987, de 24 de noviembre, FJ 3; 141/1985, de 22 de octubre, FJ 2; 192/1991, de 14 de octubre, FJ 2, y 57/2004, de 19 de abril, FJ 2).</w:t>
      </w:r>
    </w:p>
    <w:p w:rsidR="005728DD" w:rsidRDefault="005728DD" w:rsidP="005728DD">
      <w:pPr>
        <w:pStyle w:val="TextoNormal"/>
      </w:pPr>
    </w:p>
    <w:p w:rsidR="005728DD" w:rsidRDefault="005728DD" w:rsidP="005728DD">
      <w:pPr>
        <w:pStyle w:val="TextoNormal"/>
      </w:pPr>
      <w:r>
        <w:t>En cuanto al fondo del asunto, tras exponer la doctrina constitucional sobre el principio de igualdad y el de no discriminación (cita la STC 91/2019, de 3 de julio) analiza la denuncia de la desigualdad de trato entre las universidades públicas y las universidades privadas en materia de becas para el alumnado que se imputa al artículo primero de la Orden 23/2015.</w:t>
      </w:r>
    </w:p>
    <w:p w:rsidR="005728DD" w:rsidRDefault="005728DD" w:rsidP="005728DD">
      <w:pPr>
        <w:pStyle w:val="TextoNormal"/>
      </w:pPr>
    </w:p>
    <w:p w:rsidR="005728DD" w:rsidRDefault="005728DD" w:rsidP="005728DD">
      <w:pPr>
        <w:pStyle w:val="TextoNormal"/>
      </w:pPr>
      <w:r>
        <w:t>Su análisis se fundamenta en las siguientes consideraciones:</w:t>
      </w:r>
    </w:p>
    <w:p w:rsidR="005728DD" w:rsidRDefault="005728DD" w:rsidP="005728DD">
      <w:pPr>
        <w:pStyle w:val="TextoNormal"/>
      </w:pPr>
    </w:p>
    <w:p w:rsidR="005728DD" w:rsidRDefault="005728DD" w:rsidP="005728DD">
      <w:pPr>
        <w:pStyle w:val="TextoNormal"/>
      </w:pPr>
      <w:r>
        <w:t>a) Las universidades públicas y privadas son a efectos jurídicos iguales ya que a ambas les corresponde prestar el servicio público de la educación superior (artículo 1.1 LOU y STC 176/2015, de 22 de julio, FJ 2). Además,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y el acceso a las universidades, tanto públicas como privadas, tiene una base común (aprobación del bachillerato y de la prueba de acceso a la universidad). Además, el artículo 2 de la Ley 4/2007, de 9 de febrero, proclama tal igualdad al disponer que el sistema universitario valenciano está integrado, entre otras, por la universidad recurrente. Del artículo 6.1 de la citada ley infiere que, a efectos jurídicos, las universidades públicas y las universidades privadas pueden considerarse iguales en lo sustancial, y con carácter particular, que la universidad privada recurrente es, a esos efectos jurídicos, igual a las universidades públicas de la Comunitat Valenciana.</w:t>
      </w:r>
    </w:p>
    <w:p w:rsidR="005728DD" w:rsidRDefault="005728DD" w:rsidP="005728DD">
      <w:pPr>
        <w:pStyle w:val="TextoNormal"/>
      </w:pPr>
    </w:p>
    <w:p w:rsidR="005728DD" w:rsidRDefault="005728DD" w:rsidP="005728DD">
      <w:pPr>
        <w:pStyle w:val="TextoNormal"/>
      </w:pPr>
      <w:r>
        <w:t>b) En segundo lugar, aborda la relevancia constitucional de las becas universitarias, de acuerdo con el artículo 27, apartados 1 y 5, CE, y con la jurisprudencia constitucional (STC 188/2001, de 20 de septiembre, FJ 5).</w:t>
      </w:r>
    </w:p>
    <w:p w:rsidR="005728DD" w:rsidRDefault="005728DD" w:rsidP="005728DD">
      <w:pPr>
        <w:pStyle w:val="TextoNormal"/>
      </w:pPr>
    </w:p>
    <w:p w:rsidR="005728DD" w:rsidRDefault="005728DD" w:rsidP="005728DD">
      <w:pPr>
        <w:pStyle w:val="TextoNormal"/>
      </w:pPr>
      <w:r>
        <w:t>c) Finalmente, el Ministerio Fiscal entiende necesario referirse al marco jurídico estatal y autonómico sobre la materia, que es desarrollo del artículo 27, apartados 1 y 5, CE, preceptos que han de ser considerados a la hora de analizar la vulneración aducida del artículo 14 CE por estar necesariamente vinculados con él.</w:t>
      </w:r>
    </w:p>
    <w:p w:rsidR="005728DD" w:rsidRDefault="005728DD" w:rsidP="005728DD">
      <w:pPr>
        <w:pStyle w:val="TextoNormal"/>
      </w:pPr>
    </w:p>
    <w:p w:rsidR="005728DD" w:rsidRDefault="005728DD" w:rsidP="005728DD">
      <w:pPr>
        <w:pStyle w:val="TextoNormal"/>
      </w:pPr>
      <w:r>
        <w:t>Tras referirse a los artículos 27, apartados 1 y 5, y 149.1.30 CE, pone de relieve que el Tribunal Constitucional ha afirmado que, aunque no exista en este precepto constitucional una referencia expresa a un sistema de prestaciones públicas en apoyo del derecho de todos los ciudadanos a la educación, este precepto incorpora, junto a su contenido primario de derecho a la libertad, una dimensión prestacional, en cuya virtud los poderes públicos habrán de procurar la efectividad de tal derecho. El artículo 149.1.30 CE es el precepto que ampara la competencia del Estado en esta materia (STC 188/2001, de 20 de septiembre). Se extrae de dicha sentencia, fundamento jurídico 5, la garantía consagrada en el artículo 27.5 CE.</w:t>
      </w:r>
    </w:p>
    <w:p w:rsidR="005728DD" w:rsidRDefault="005728DD" w:rsidP="005728DD">
      <w:pPr>
        <w:pStyle w:val="TextoNormal"/>
      </w:pPr>
    </w:p>
    <w:p w:rsidR="005728DD" w:rsidRDefault="005728DD" w:rsidP="005728DD">
      <w:pPr>
        <w:pStyle w:val="TextoNormal"/>
      </w:pPr>
      <w:r>
        <w:t xml:space="preserve">Alega que las leyes orgánicas existentes en este asunto tienen la consideración de normas básicas para el desarrollo del artículo 27 CE, en cuanto tendentes a garantizar el cumplimiento de las obligaciones de los poderes públicos en esta materia, y son las encargadas de </w:t>
      </w:r>
      <w:r>
        <w:lastRenderedPageBreak/>
        <w:t>prever que sea el Gobierno el que regule, también con carácter básico, los parámetros precisos para asegurar la igualdad en el acceso a las citadas becas y ayudas. Hace referencia, por tanto, a lo dispuesto en el artículo 45.1, párrafo segundo, LOU, en el artículo 83.3 de la Ley Orgánica 2/2006, 3 de mayo, de educación, y en el Real Decreto 1721/2007 y sus modificaciones, que complementan el régimen jurídico de las becas que ha establecido el legislador orgánico que no distingue entre universidades públicas y privadas.</w:t>
      </w:r>
    </w:p>
    <w:p w:rsidR="005728DD" w:rsidRDefault="005728DD" w:rsidP="005728DD">
      <w:pPr>
        <w:pStyle w:val="TextoNormal"/>
      </w:pPr>
    </w:p>
    <w:p w:rsidR="005728DD" w:rsidRDefault="005728DD" w:rsidP="005728DD">
      <w:pPr>
        <w:pStyle w:val="TextoNormal"/>
      </w:pPr>
      <w:r>
        <w:t>En relación con la normativa autonómica reitera que el artículo 2 de la Ley 4/2007 establece la equiparación de las universidades públicas y privadas y expone también la evolución normativa en la Comunitat Valenciana en esta materia, destacando la incorporación de las universidades privadas en los sucesivos decretos desde el Decreto 40/2002, de 5 de marzo, de medidas de apoyo a los estudiantes universitarios en la Comunitat Valenciana, hasta el Decreto 180/2016, por el que se modifica el anterior.</w:t>
      </w:r>
    </w:p>
    <w:p w:rsidR="005728DD" w:rsidRDefault="005728DD" w:rsidP="005728DD">
      <w:pPr>
        <w:pStyle w:val="TextoNormal"/>
      </w:pPr>
    </w:p>
    <w:p w:rsidR="005728DD" w:rsidRDefault="005728DD" w:rsidP="005728DD">
      <w:pPr>
        <w:pStyle w:val="TextoNormal"/>
      </w:pPr>
      <w:r>
        <w:t xml:space="preserve">Ahora bien, el Ministerio Fiscal niega que se pueda considerar que la comunidad autónoma ejerza su competencia sobre la base de considerar que las ayudas y becas financiadas con cargo al presupuesto de las comunidades autónomas no interfieren en las normas básicas sobre las becas que se referirían a las financiadas con cargo a los presupuestos generales del Estado. Alega, a este respecto, la doctrina del Tribunal Constitucional relativa a que el poder de gastar no es un título atributivo de competencias sino que el gasto solo se justifica al amparo del régimen de distribución de competencias (cita SSTC 39/1982, de 30 de junio FJ 5 </w:t>
      </w:r>
      <w:r w:rsidRPr="005728DD">
        <w:rPr>
          <w:i/>
        </w:rPr>
        <w:t>in fine</w:t>
      </w:r>
      <w:r>
        <w:t>; 95/1986, de 10 de julio; 146/1986, de 25 de noviembre, 201/1988, de 27 de octubre, y 14/1989, de 26 de enero).</w:t>
      </w:r>
    </w:p>
    <w:p w:rsidR="005728DD" w:rsidRDefault="005728DD" w:rsidP="005728DD">
      <w:pPr>
        <w:pStyle w:val="TextoNormal"/>
      </w:pPr>
    </w:p>
    <w:p w:rsidR="005728DD" w:rsidRDefault="005728DD" w:rsidP="005728DD">
      <w:pPr>
        <w:pStyle w:val="TextoNormal"/>
      </w:pPr>
      <w:r>
        <w:t>Además, tras exponer el régimen de distribución de competencias en la materia pone de relieve que, si bien las normas básicas circunscriben su regulación tan solo a las ayudas y becas financiadas con cargo a los presupuestos generales del Estado (artículo 45 LOU; artículo 83.2 de la Ley Orgánica de educación; artículo 2 del Real Decreto 1721/2007; y artículo 1 del Real Decreto 472/2014, de 13 de junio, por el que se establecen los umbrales de renta y patrimonio familiar y las cuantías de las becas y ayudas al estudio para el curso 2014-2015, y se modifica parcialmente el citado Real Decreto 1721/2007), dicha referencia no implica que la regulación establecida en dichas normas deje de ser básica para las comunidades autónomas y no deba ser respetada por ellas, tal y como se desprende de los citados preceptos de la Ley Orgánica de universidades y la Ley Orgánica de educación y de la STC 188/2001, de 20 de septiembre, FJ 10 a). En definitiva, señala, la doctrina constitucional en esta materia “ha considerado el carácter básico de casi todos los elementos y requisitos que conforman la beca y ha dejado un escaso margen de desarrollo a la normativa autonómica, pero esta ordenación básica tan detallada se justifica por la finalidad que estas normas persiguen: que la regulación del sistema de becas se realice sin menoscabo de la garantía de la igualdad en la obtención de las ayudas en todo el territorio nacional. En consecuencia, es posible descartar que la normativa básica estatal, constituida tanto por las leyes orgánicas como por los reales decretos citados, constituya una garantía mínima que puede ser ampliada o completada por las comunidades autónomas con cargo a sus propios fondos”.</w:t>
      </w:r>
    </w:p>
    <w:p w:rsidR="005728DD" w:rsidRDefault="005728DD" w:rsidP="005728DD">
      <w:pPr>
        <w:pStyle w:val="TextoNormal"/>
      </w:pPr>
    </w:p>
    <w:p w:rsidR="005728DD" w:rsidRDefault="005728DD" w:rsidP="005728DD">
      <w:pPr>
        <w:pStyle w:val="TextoNormal"/>
      </w:pPr>
      <w:r>
        <w:t xml:space="preserve">De acuerdo con lo anterior, el Ministerio Fiscal considera que todo programa de ayudas ha de garantizar a los ciudadanos con menos recursos económicos el acceso a la educación superior mediante prestaciones económicas en forma de becas y que la normativa básica, </w:t>
      </w:r>
      <w:r>
        <w:lastRenderedPageBreak/>
        <w:t>no establece, en el sistema de becas, diferencias entre las universidades públicas y privadas y es vinculante para las comunidades autónomas.</w:t>
      </w:r>
    </w:p>
    <w:p w:rsidR="005728DD" w:rsidRDefault="005728DD" w:rsidP="005728DD">
      <w:pPr>
        <w:pStyle w:val="TextoNormal"/>
      </w:pPr>
    </w:p>
    <w:p w:rsidR="005728DD" w:rsidRDefault="005728DD" w:rsidP="005728DD">
      <w:pPr>
        <w:pStyle w:val="TextoNormal"/>
      </w:pPr>
      <w:r>
        <w:t>El Ministerio Fiscal matiza su valoración con los siguientes razonamientos:</w:t>
      </w:r>
    </w:p>
    <w:p w:rsidR="005728DD" w:rsidRDefault="005728DD" w:rsidP="005728DD">
      <w:pPr>
        <w:pStyle w:val="TextoNormal"/>
      </w:pPr>
    </w:p>
    <w:p w:rsidR="005728DD" w:rsidRDefault="005728DD" w:rsidP="005728DD">
      <w:pPr>
        <w:pStyle w:val="TextoNormal"/>
      </w:pPr>
      <w:r>
        <w:t>(a) Las disposiciones objeto del presente recurso de amparo considera las universidades privadas como secundarias respecto de las universidades de titularidad pública ya que las becas que se convocan están destinadas al alumnado que inicia estudios universitarios que se integran en el sistema universitario valenciano a las que hace referencia el artículo 2 de la Ley 4/2007 y al alumnado al que le resta un máximo de dieciocho créditos para finalizar sus estudios en el curso 2015/2016 en las universidades públicas que se integran en el sistema universitario valenciano, pero no a quienes se hallen matriculados en una universidad privada. Ello implica necesariamente que, para poder disfrutar de esas becas de estudios, la opción prioritaria sería la universidad pública frente a la universidad privada. Por lo tanto, las universidades públicas y las privadas no se encuentran en la misma posición: su diferencia de origen y titularidad sirve para aceptar o rechazar la candidatura de un aspirante a este tipo de subvención. Entiende el Ministerio Fiscal que no hay una justificación razonable del trato desigual y que la administración no ha expuesto la justificación de la diferencia.</w:t>
      </w:r>
    </w:p>
    <w:p w:rsidR="005728DD" w:rsidRDefault="005728DD" w:rsidP="005728DD">
      <w:pPr>
        <w:pStyle w:val="TextoNormal"/>
      </w:pPr>
    </w:p>
    <w:p w:rsidR="005728DD" w:rsidRDefault="005728DD" w:rsidP="005728DD">
      <w:pPr>
        <w:pStyle w:val="TextoNormal"/>
      </w:pPr>
      <w:r>
        <w:t>(b) Las becas y ayudas en la educación superior son un elemento esencial del derecho a la educación que pretende garantizar a los ciudadanos con menos recursos económicos el acceso a esa educación superior, sin distinción entre centros docentes públicos y privados, lo que necesariamente habrá de constituir un límite para el ejercicio de la iniciativa legislativa o reglamentaria en esta materia.</w:t>
      </w:r>
    </w:p>
    <w:p w:rsidR="005728DD" w:rsidRDefault="005728DD" w:rsidP="005728DD">
      <w:pPr>
        <w:pStyle w:val="TextoNormal"/>
      </w:pPr>
    </w:p>
    <w:p w:rsidR="005728DD" w:rsidRDefault="005728DD" w:rsidP="005728DD">
      <w:pPr>
        <w:pStyle w:val="TextoNormal"/>
      </w:pPr>
      <w:r>
        <w:t>(c) Todas las universidades, tanto las públicas como las privadas, en cuanto prestan igualmente el servicio público de la educación superior y son iguales a efectos jurídicos, han de poder ofrecer a los estudiantes con menos recursos económicos el acceso a sus enseñanzas, sobre todo cuando algunas de estas solo son ofertadas en centros de carácter privado, sin alternativa por tanto en centros de carácter público.</w:t>
      </w:r>
    </w:p>
    <w:p w:rsidR="005728DD" w:rsidRDefault="005728DD" w:rsidP="005728DD">
      <w:pPr>
        <w:pStyle w:val="TextoNormal"/>
      </w:pPr>
    </w:p>
    <w:p w:rsidR="005728DD" w:rsidRDefault="005728DD" w:rsidP="005728DD">
      <w:pPr>
        <w:pStyle w:val="TextoNormal"/>
      </w:pPr>
      <w:r>
        <w:t>(d) La norma aquí impugnada (el artículo primero y la base primera del anexo I de la Orden 23/2015, de 1 de diciembre, de la Conselleria de Educación, Investigación, Cultura y Deporte de la Generalitat Valenciana) se opone frontalmente a la normativa básica del Estado, que no distingue entre universidades públicas y privadas, en los términos que anteriormente han sido detallados.</w:t>
      </w:r>
    </w:p>
    <w:p w:rsidR="005728DD" w:rsidRDefault="005728DD" w:rsidP="005728DD">
      <w:pPr>
        <w:pStyle w:val="TextoNormal"/>
      </w:pPr>
    </w:p>
    <w:p w:rsidR="005728DD" w:rsidRDefault="005728DD" w:rsidP="005728DD">
      <w:pPr>
        <w:pStyle w:val="TextoNormal"/>
      </w:pPr>
      <w:r>
        <w:t xml:space="preserve">Además, con dicha regulación se ha desconocido por completo la existencia de un tratado internacional, vinculante para España, que obliga a dar el mismo trato, en cuanto a becas, a las universidades promovidas por la Iglesia católica que a las universidades públicas. En efecto, el artículo 10.3, del Acuerdo entre el Estado español y la Santa Sede sobre enseñanza y asuntos culturales de 3 de enero de 1979 garantiza a los alumnos de universidades, colegios universitarios, escuelas universitarias y otros centros universitarios que se establezcan por la Iglesia católica “los mismos beneficios en materia de [...] ayudas al estudio y a la investigación [...] que se establezcan para los alumnos de las universidades del Estado”. Se trata de una norma integrada en el ordenamiento jurídico nacional (SSTC 66/1982, de 12 de noviembre, FJ 5, y 187/1991, de 3 de octubre, FJ 1), cuyo alcance se circunscribe a las </w:t>
      </w:r>
      <w:r>
        <w:lastRenderedPageBreak/>
        <w:t>universidades de la iglesia, y limita las legítimas facultades de diseño de la política universitaria en cuanto al reparto de fondos públicos de ayudas para estudiantes.</w:t>
      </w:r>
    </w:p>
    <w:p w:rsidR="005728DD" w:rsidRDefault="005728DD" w:rsidP="005728DD">
      <w:pPr>
        <w:pStyle w:val="TextoNormal"/>
      </w:pPr>
    </w:p>
    <w:p w:rsidR="005728DD" w:rsidRDefault="005728DD" w:rsidP="005728DD">
      <w:pPr>
        <w:pStyle w:val="TextoNormal"/>
      </w:pPr>
      <w:r>
        <w:t>De acuerdo con lo anterior, el Ministerio Fiscal concluye que el artículo primero y la base primera del anexo I de la Orden 23/2015 han lesionado el derecho fundamental a la igualdad ante la ley (artículo 14 CE) de la Universidad Católica de Valencia San Vicente Mártir. Y para el restablecimiento de su derecho se habrá de declarar la nulidad del indicado precepto, así como de las resoluciones judiciales objeto del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21 de enero de 2021, se señaló para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posición de las partes</w:t>
      </w:r>
      <w:r>
        <w:t>.</w:t>
      </w:r>
    </w:p>
    <w:p w:rsidR="005728DD" w:rsidRDefault="005728DD" w:rsidP="005728DD">
      <w:pPr>
        <w:pStyle w:val="TextoNormal"/>
      </w:pPr>
    </w:p>
    <w:p w:rsidR="005728DD" w:rsidRDefault="005728DD" w:rsidP="005728DD">
      <w:pPr>
        <w:pStyle w:val="TextoNormal"/>
      </w:pPr>
      <w:r>
        <w:t>El presente recurso de amparo se interpone contra el artículo primero y la base primera del anexo I de la Orden 23/2015, de 1 de diciembre, de la Consellería de Educación, Investigación, Cultura y Deporte de la Generalitat Valenciana, (“Diario Oficial de la Generalitat Valenciana” núm. 7671, de 3 de diciembre de 2015), que contiene las bases reguladoras de las becas para la realización de estudios universitarios en las universidades de la Comunitat Valenciana. También se impugnan las siguientes resoluciones judiciales: la sentencia de 18 de octubre de 2017, de la Sección Quinta de la Sala de lo Contencioso-Administrativo del Tribunal Superior de Justicia de la Comunidad Valenciana dictada en el recurso contencioso-administrativo núm. 427-2016, desestimatoria del recurso interpuesto contra la citada Orden 23/2015, de 1 de diciembre; y las providencias de 21 de junio y 22 de octubre de 2018, de la Sección Primera de la Sala de lo Contencioso-Administrativo del Tribunal Supremo, dictadas en el recurso de casación núm. 1477-2018, que inadmiten, a su vez, el recurso de casación interpuesto contra la sentencia anterior y el ulterior incidente de nulidad de actuaciones.</w:t>
      </w:r>
    </w:p>
    <w:p w:rsidR="005728DD" w:rsidRDefault="005728DD" w:rsidP="005728DD">
      <w:pPr>
        <w:pStyle w:val="TextoNormal"/>
      </w:pPr>
    </w:p>
    <w:p w:rsidR="005728DD" w:rsidRDefault="005728DD" w:rsidP="005728DD">
      <w:pPr>
        <w:pStyle w:val="TextoNormal"/>
      </w:pPr>
      <w:r>
        <w:t>Según la demandante de amparo, en los términos que se han expuesto en los antecedentes, el artículo primero y la base primera del anexo I de la orden citada habría vulnerado los artículos 14, 16 y 27 CE, por excluir a las universidades privadas de la Comunitat Valenciana del sistema de becas previsto en ella. Las resoluciones judiciales sucesivas no habrían subsanado estas vulneraciones, incurriendo, además, en la infracción del derecho de la universidad recurrente a la tutela judicial efectiva (artículo 24.1 CE).</w:t>
      </w:r>
    </w:p>
    <w:p w:rsidR="005728DD" w:rsidRDefault="005728DD" w:rsidP="005728DD">
      <w:pPr>
        <w:pStyle w:val="TextoNormal"/>
      </w:pPr>
    </w:p>
    <w:p w:rsidR="005728DD" w:rsidRDefault="005728DD" w:rsidP="005728DD">
      <w:pPr>
        <w:pStyle w:val="TextoNormal"/>
      </w:pPr>
      <w:r>
        <w:t>El representante de la Generalitat Valenciana se opone al recurso de amparo, solicitando su íntegra desestimación, en la medida en que, a su juicio y en los términos expuestos en los antecedentes de esta sentencia, la orden impugnada no ha producido las vulneraciones aducidas en la demanda. Además, las resoluciones judiciales se habrían ajustado a los parámetros de la doctrina constitucional relativa al derecho a la tutela judicial efectiva (STC 112/2019, de 3 de octubre).</w:t>
      </w:r>
    </w:p>
    <w:p w:rsidR="005728DD" w:rsidRDefault="005728DD" w:rsidP="005728DD">
      <w:pPr>
        <w:pStyle w:val="TextoNormal"/>
      </w:pPr>
    </w:p>
    <w:p w:rsidR="005728DD" w:rsidRDefault="005728DD" w:rsidP="005728DD">
      <w:pPr>
        <w:pStyle w:val="TextoNormal"/>
      </w:pPr>
      <w:r>
        <w:lastRenderedPageBreak/>
        <w:t>El Ministerio Fiscal, por su parte, tal y como se ha dado cumplida cuenta en los antecedentes de esta sentencia, interesa la estimación de la demanda de amparo al entender que se ha vulnerado el derecho de la recurrente a la igualdad (artículo 14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sentada por la STC 191/2020, de 17 de diciembre</w:t>
      </w:r>
      <w:r>
        <w:t>.</w:t>
      </w:r>
    </w:p>
    <w:p w:rsidR="005728DD" w:rsidRDefault="005728DD" w:rsidP="005728DD">
      <w:pPr>
        <w:pStyle w:val="TextoNormal"/>
      </w:pPr>
    </w:p>
    <w:p w:rsidR="005728DD" w:rsidRDefault="005728DD" w:rsidP="005728DD">
      <w:pPr>
        <w:pStyle w:val="TextoNormal"/>
      </w:pPr>
      <w:r>
        <w:t>La STC 191/2020, de 17 de diciembre, concluye que la Orden 21/2016, de 10 de junio, de la Consellería de Educación, Investigación, Cultura y Deporte, de la Comunitat Valenciana por la que se establecen las bases reguladoras para la concesión de las becas para la realización de estudios universitarios en las universidades de la Comunitat Valenciana ha vulnerado el artículo 14 CE en relación con el artículo 27 CE.</w:t>
      </w:r>
    </w:p>
    <w:p w:rsidR="005728DD" w:rsidRDefault="005728DD" w:rsidP="005728DD">
      <w:pPr>
        <w:pStyle w:val="TextoNormal"/>
      </w:pPr>
    </w:p>
    <w:p w:rsidR="005728DD" w:rsidRDefault="005728DD" w:rsidP="005728DD">
      <w:pPr>
        <w:pStyle w:val="TextoNormal"/>
      </w:pPr>
      <w:r>
        <w:t>Tras recoger en su fundamento jurídico 4 la doctrina constitucional existente sobre sobre el derecho a la igualdad (artículo 14 CE), en relación con el derecho a la educación (artículo 27 CE), en el fundamento jurídico 5 se afirma la existencia de un término de comparación válido, tanto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(artículo 1.1 LOU), pues unas y otras están sujetas a los mismos requisitos para su creación o reconocimiento y someten sus titulaciones al mismo procedimiento de aprobación (STC 191/2020, de 17 de diciembre, FJ 5 b), como porque el artículo 2 de la Ley 4/2007, de 9 de febrero, de coordinación del sistema universitario valenciano, determina que este está formado por las universidades de titularidad pública y las de titularidad privada, entre las que se encuentra la Universidad Católica de Valencia San Vicente Mártir [artículo 2.1 b) de la Ley], ahora recurrente en amparo, haciendo referencia, al respecto a la doctrina contenida en las SSTC 176/2015, de 22 de julio, FJ 2, y 74/2019, de 22 de mayo, FJ 4.</w:t>
      </w:r>
    </w:p>
    <w:p w:rsidR="005728DD" w:rsidRDefault="005728DD" w:rsidP="005728DD">
      <w:pPr>
        <w:pStyle w:val="TextoNormal"/>
      </w:pPr>
    </w:p>
    <w:p w:rsidR="005728DD" w:rsidRDefault="005728DD" w:rsidP="005728DD">
      <w:pPr>
        <w:pStyle w:val="TextoNormal"/>
      </w:pPr>
      <w:r>
        <w:t>Asimismo, se afirma que la legislación orgánica, a la hora de configurar las becas y ayudas al estudio (artículo 45 LOU) no ha establecido distinción entre los alumnos matriculados en las universidades públicas y privadas ni en relación con las enseñanzas que imparten las mismas, ni respecto de los criterios que rigen el mecanismo de fomento del estudio mediante becas. Tampoco la regulación del sistema de becas en la Comunitat Valenciana se establece esta distinción entre universidades públicas y privadas, como así se desprende del preámbulo del Decreto 88/2006, de 16 de junio, por el que se modifica el Decreto 40/2002, de medidas de apoyo a los estudiantes universitarios en la Comunitat Valenciana.</w:t>
      </w:r>
    </w:p>
    <w:p w:rsidR="005728DD" w:rsidRDefault="005728DD" w:rsidP="005728DD">
      <w:pPr>
        <w:pStyle w:val="TextoNormal"/>
      </w:pPr>
    </w:p>
    <w:p w:rsidR="005728DD" w:rsidRDefault="005728DD" w:rsidP="005728DD">
      <w:pPr>
        <w:pStyle w:val="TextoNormal"/>
      </w:pPr>
      <w:r>
        <w:t xml:space="preserve">En cuanto a la justificación del trato dispar, ni del tenor de la disposición objeto del recurso, ni de la exposición de motivos de la misma es posible encontrar una finalidad que justifique el establecimiento del tratamiento diferenciado al que se ha hecho referencia entre las universidades públicas y las universidades privadas, y tampoco las alegaciones de la comunidad autónoma permiten justificar desde la perspectiva del artículo 14 CE, la diferencia de trato denunciada, añadiendo que aunque se pudiera considerar, tal y como alega el representante de la Generalitat, que las comunidades autónomas puedan establecer otras modalidades de ayudas con cargo a su presupuesto, no pueden hacerlo distinguiendo sin justificación y al margen de la legislación vigente, que no diferencia entre universidades públicas y privadas, haciéndose mención, al respecto, a la STC 13/1992, de 6 de febrero, FJ 5, en la que se afirmaba que el poder de gastar no es un título atributivo de competencias, </w:t>
      </w:r>
      <w:r>
        <w:lastRenderedPageBreak/>
        <w:t>por lo que, como se afirma en la STC 188/2001, 20 de septiembre, el sistema de ayudas que establezca la comunidad autónoma no puede desconocer lo dispuesto por el legislador estatal, y en concreto el mandato de igualdad en las ayudas.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jurisprudencial de la STC 191/2020 de 17 de diciembre</w:t>
      </w:r>
      <w:r>
        <w:t>.</w:t>
      </w:r>
    </w:p>
    <w:p w:rsidR="005728DD" w:rsidRDefault="005728DD" w:rsidP="005728DD">
      <w:pPr>
        <w:pStyle w:val="TextoNormal"/>
      </w:pPr>
    </w:p>
    <w:p w:rsidR="005728DD" w:rsidRDefault="005728DD" w:rsidP="005728DD">
      <w:pPr>
        <w:pStyle w:val="TextoNormal"/>
      </w:pPr>
      <w:r>
        <w:t>En el caso examinado el objeto de impugnación se concreta en la Orden 23/2015, de 1 de diciembre de la Consellería de Educación, Investigación, Cultura y Deporte de la Comunidad Valenciana y en los art. 1 y anexo I “Bases”, excluye a los alumnos matriculados en las universidades privadas y de las enseñanzas que se imparten en las mismas del régimen de becas de la Comunitat Valenciana, introduciendo una diferencia entre las universidades del sistema universitario valenciano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instituciones educativas (artículo 27.6 CE) como al derecho de los estudiantes a la educación (artículo 27.1 CE), por lo que nos remitimos a los criterios jurisprudenciales que se contienen en la STC 191/2020 de 17 de diciembre, cuya aplicación a este supuesto resultan de indudable aplicación</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Conclusión</w:t>
      </w:r>
      <w:r>
        <w:t>.</w:t>
      </w:r>
    </w:p>
    <w:p w:rsidR="005728DD" w:rsidRDefault="005728DD" w:rsidP="005728DD">
      <w:pPr>
        <w:pStyle w:val="TextoNormal"/>
      </w:pPr>
    </w:p>
    <w:p w:rsidR="005728DD" w:rsidRDefault="005728DD" w:rsidP="005728DD">
      <w:pPr>
        <w:pStyle w:val="TextoNormal"/>
      </w:pPr>
      <w:r>
        <w:t>Los razonamientos expuestos conducen a la estimación del recurso de amparo y la consiguiente anulación del artículo primero y la base primera del anexo I de la orden recurrida, aunque solo en lo que afecta a la exclusión de las universidades privadas de la misma, que es el extremo que se entiende que vulnera los derechos de la recurrente tal y como se ha solicitado en la demanda. La exclusión no se produce por el artículo primero y la base primera del anexo I, sino por el término “públicas” contenido en los apartados 1 y 2 de dicho artículo y en los apartados 1 y 2 de la mencionada base de la Orden 23/2015, de 1 de diciembre, de la Consellería de Educación, Investigación, Cultura y Deporte y por conexión con el apartado c) de la base cuarta por la que se convocan y establecen las bases reguladoras para la concesión de las becas para la realización de estudios universitarios en las universidades de la Comunitat Valenciana, pues vulneran el derecho de la universidad solicitante de amparo recogido en el artículo 14 CE en relación con el artículo 27 CE, al establecer una diferencia de trato entre las universidades públicas y privadas en relación con la posibilidad de solicitar las becas reguladas en la misma para cursar estudios universitarios.</w:t>
      </w:r>
    </w:p>
    <w:p w:rsidR="005728DD" w:rsidRDefault="005728DD" w:rsidP="005728DD">
      <w:pPr>
        <w:pStyle w:val="TextoNormal"/>
      </w:pPr>
    </w:p>
    <w:p w:rsidR="005728DD" w:rsidRDefault="005728DD" w:rsidP="005728DD">
      <w:pPr>
        <w:pStyle w:val="TextoNormal"/>
      </w:pPr>
      <w:r>
        <w:t>Por último,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5728DD" w:rsidRDefault="005728DD" w:rsidP="005728DD">
      <w:pPr>
        <w:pStyle w:val="TextoNormal"/>
      </w:pPr>
    </w:p>
    <w:p w:rsidR="005728DD" w:rsidRDefault="005728DD" w:rsidP="005728DD">
      <w:pPr>
        <w:pStyle w:val="TextoNormal"/>
      </w:pPr>
      <w:r>
        <w:lastRenderedPageBreak/>
        <w:t>1º Declarar que ha sido vulnerado su derecho fundamental a la igualdad (artículo 14 CE), en relación con su derecho fundamental a la creación de centros docentes (apartado 6 del artículo 27 CE).</w:t>
      </w:r>
    </w:p>
    <w:p w:rsidR="005728DD" w:rsidRDefault="005728DD" w:rsidP="005728DD">
      <w:pPr>
        <w:pStyle w:val="TextoNormal"/>
      </w:pPr>
    </w:p>
    <w:p w:rsidR="005728DD" w:rsidRDefault="005728DD" w:rsidP="005728DD">
      <w:pPr>
        <w:pStyle w:val="TextoNormal"/>
      </w:pPr>
      <w:r>
        <w:t>2º Restablecerla en sus derechos y, en consecuencia, declarar la nulidad del término “públicas” de los apartados 1 y 2 del artículo primero, de los apartados 1 y 2 de la base primera y del apartado c) de la base cuarta del anexo I de la Orden 23/2015, de 1 de diciembre, de la Consellería de Educación, Investigación, Cultura y Deporte de la Comunidad Valenciana por la que se establecen las bases reguladoras para la concesión de las becas para la realización de estudios universitarios en las universidades de la Comunitat Valenciana.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Cándido Conde-Pumpido Tourón respecto de la sentencia dictada en el recurso de amparo núm. 2578-2019</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2578-2019. Las razones son las mismas que tuve ocasión de sostener en la sala en la que se deliberó el presente asunto, así como en el pleno en el que se decidió el recurso de amparo núm. 5099-2018 y que desembocó en la aprobación de la STC 191/2020 de 17 de diciembre.</w:t>
      </w:r>
    </w:p>
    <w:p w:rsidR="005728DD" w:rsidRDefault="005728DD" w:rsidP="005728DD">
      <w:pPr>
        <w:pStyle w:val="TextoNormal"/>
      </w:pPr>
    </w:p>
    <w:p w:rsidR="005728DD" w:rsidRDefault="005728DD" w:rsidP="005728DD">
      <w:pPr>
        <w:pStyle w:val="TextoNormal"/>
      </w:pPr>
      <w:r>
        <w:t>Me remito, así, a las razones recogidas entonces en mi voto a la STC 191/2020 en el que concluía recordando algunas ideas fundamentales sólidamente ancladas en nuestra norma fundamental: la primera es que el principio enunciado en el art. 14 CE implica una prohibición del trato desigual ante situaciones análogas, pero no proscribe el tratamiento diferenciado de supuestos diferentes; la segunda es que el derecho a la educación recogido en el art. 27 CE no comprende ni una suerte de derecho de los centros universitarios privados a ser financiados mediante las becas públicas de sus estudiantes, ni tampoco el derecho absoluto de un estudiante de un centro universitario privado a la obtención de una beca, porque los recursos públicos no han de acudir, incondicionadamente, allá donde vayan sus preferencias individuales.</w:t>
      </w:r>
    </w:p>
    <w:p w:rsidR="005728DD" w:rsidRDefault="005728DD" w:rsidP="005728DD">
      <w:pPr>
        <w:pStyle w:val="TextoNormal"/>
      </w:pPr>
    </w:p>
    <w:p w:rsidR="005728DD" w:rsidRDefault="005728DD" w:rsidP="005728DD">
      <w:pPr>
        <w:pStyle w:val="TextoNormal"/>
      </w:pPr>
      <w:r>
        <w:t>No obstante lo anterior, y sin perjuicio de remitirnos a las razones que sustentaron aquel voto particular, debemos ahora ampliar los motivos de nuestra discrepancia, pues, tal y como sostuvimos en la deliberación en la sala, considero que la opinión de la mayoría reflejada en la sentencia en el presente asunto ha incurrido en una errónea aplicación de la doctrina constitucional en materia de igualdad.</w:t>
      </w:r>
    </w:p>
    <w:p w:rsidR="005728DD" w:rsidRDefault="005728DD" w:rsidP="005728DD">
      <w:pPr>
        <w:pStyle w:val="TextoNormal"/>
      </w:pPr>
    </w:p>
    <w:p w:rsidR="005728DD" w:rsidRDefault="005728DD" w:rsidP="005728DD">
      <w:pPr>
        <w:pStyle w:val="TextoNormal"/>
      </w:pPr>
      <w:r>
        <w:t xml:space="preserve">Así, en efecto, lo propio del juicio de igualdad, como ha dicho este tribunal, es su carácter relacional. Por ello requiere como presupuesto obligado que, como consecuencia de la medida normativa cuestionada, se haya introducido directa o indirectamente una diferencia de trato entre grupos o categorías de personas. Por otra parte, exige que las situaciones subjetivas que quieran traerse a la comparación sean, efectivamente, homogéneas o equiparables. </w:t>
      </w:r>
      <w:r>
        <w:lastRenderedPageBreak/>
        <w:t>Solo una vez verificado uno y otro presupuesto resulta procedente entrar a determinar la licitud constitucional o no de la diferencia de trato que se discute (entre otras muchas, SSTC 148/1986, de 25 de noviembre, FJ 6; 29/1987, de 6 de marzo, FJ 5; 181/2000, de 29 de junio, FJ 10; 1/2001, de 15 de enero, FJ 3; 200/2001, de 4 de octubre, FJ 5; 125/2003, de 19 de junio, FJ 4, y 75/2011, FJ 6).</w:t>
      </w:r>
    </w:p>
    <w:p w:rsidR="005728DD" w:rsidRDefault="005728DD" w:rsidP="005728DD">
      <w:pPr>
        <w:pStyle w:val="TextoNormal"/>
      </w:pPr>
    </w:p>
    <w:p w:rsidR="005728DD" w:rsidRDefault="005728DD" w:rsidP="005728DD">
      <w:pPr>
        <w:pStyle w:val="TextoNormal"/>
      </w:pPr>
      <w:r>
        <w:t>Es patente nuestra discrepancia con la afirmación de que las situaciones subjetivas que quieran traerse a la comparación sean, efectivamente, homogéneas o equiparables, pues como ya señalamos en el voto particular a la STC 191/2020, el régimen de financiación o la misión que cumplen unas y otras universidades en relación con la promoción de la igualdad como exigencia del art. 9.2 CE no lo son.</w:t>
      </w:r>
    </w:p>
    <w:p w:rsidR="005728DD" w:rsidRDefault="005728DD" w:rsidP="005728DD">
      <w:pPr>
        <w:pStyle w:val="TextoNormal"/>
      </w:pPr>
    </w:p>
    <w:p w:rsidR="005728DD" w:rsidRDefault="005728DD" w:rsidP="005728DD">
      <w:pPr>
        <w:pStyle w:val="TextoNormal"/>
      </w:pPr>
      <w:r>
        <w:t>Ahora bien, nuestra nueva discrepancia tiene que ver, además, con el hecho de que una vez la opinión mayoritaria en el presente asunto ha considerado la existencia de una situación homogénea o equiparable, lo que hubiese resultado procedente hubiese sido entrar a determinar la licitud constitucional o no de la diferencia de trato que se discute.</w:t>
      </w:r>
    </w:p>
    <w:p w:rsidR="005728DD" w:rsidRDefault="005728DD" w:rsidP="005728DD">
      <w:pPr>
        <w:pStyle w:val="TextoNormal"/>
      </w:pPr>
    </w:p>
    <w:p w:rsidR="005728DD" w:rsidRDefault="005728DD" w:rsidP="005728DD">
      <w:pPr>
        <w:pStyle w:val="TextoNormal"/>
      </w:pPr>
      <w:r>
        <w:t>En efecto, en cumplimiento de la propia doctrina del tribunal, hubiese sido necesario examinar, como sí se hizo en la STC 191/2020 aun con un resultado no compartible, el tenor de la disposición objeto del recurso, su exposición de motivos, o las alegaciones de la representación de la Generalitat Valenciana, con la finalidad de determinar si es posible encontrar una finalidad que justifique el establecimiento del tratamiento diferenciado entre las universidades públicas y las universidades privadas.</w:t>
      </w:r>
    </w:p>
    <w:p w:rsidR="005728DD" w:rsidRDefault="005728DD" w:rsidP="005728DD">
      <w:pPr>
        <w:pStyle w:val="TextoNormal"/>
      </w:pPr>
    </w:p>
    <w:p w:rsidR="005728DD" w:rsidRDefault="005728DD" w:rsidP="005728DD">
      <w:pPr>
        <w:pStyle w:val="TextoNormal"/>
      </w:pPr>
      <w:r>
        <w:t>Sorprendentemente nada de esto se hace en el presente asunto, pues lo que se reproduce en la sentencia de la que ahora discrepamos es el juicio que se hizo en la STC 191/2020, es decir el juicio que se hizo a otra disposición, para finalizar afirmando que, en aplicación de la doctrina recogida en aquella, la diferencia de trato entre las universidades del sistema universitario valenciano carece de justificación objetiva y razonable.</w:t>
      </w:r>
    </w:p>
    <w:p w:rsidR="005728DD" w:rsidRDefault="005728DD" w:rsidP="005728DD">
      <w:pPr>
        <w:pStyle w:val="TextoNormal"/>
      </w:pPr>
    </w:p>
    <w:p w:rsidR="005728DD" w:rsidRDefault="005728DD" w:rsidP="005728DD">
      <w:pPr>
        <w:pStyle w:val="TextoNormal"/>
      </w:pPr>
      <w:r>
        <w:t xml:space="preserve">No se tiene, por tanto, en cuenta que las disposiciones objeto de examen en uno y otro proceso son distintas, pues la STC 191/2020 lo que examinó fue la constitucionalidad de la Orden 21/2016, de 10 de junio, de la Conselleria de Educación, Investigación, Cultura y Deporte de la Generalitat Valenciana por la que se establecen las bases reguladoras para la concesión de las becas para la realización de estudios universitarios en las universidades de la Comunitat Valenciana; cuyo objeto era el establecimiento de las bases por las que han de regirse las convocatorias de becas para la realización de estudios universitarios en las universidades que integran el sistema universitario valenciano; es decir, tenía por objeto la regulación con carácter general del régimen de ayudas a los estudiantes; mientras que en el presente proceso la disposición que debía haber sido sometida a examen era la Orden 23/2015, de 1 de diciembre, de la Conselleria de Educación, Investigación, Cultura y Deporte, por la que se convocan becas para el alumnado que inicia sus estudios universitarios de grado y para el alumnado que vaya a finalizar sus estudios universitarios en el curso académico 2015/2016 en las universidades públicas de la Comunitat Valenciana; cuyo objeto es mucho más restringido, pues es la convocatoria de aquellas becas para el curso académico 2015/2016 destinadas al alumnado que inicia los estudios universitarios de grado en las universidades públicas que integran el sistema universitario valenciano, y la convocatoria de becas para el alumnado al que le reste un máximo de dieciocho créditos para finalizar </w:t>
      </w:r>
      <w:r>
        <w:lastRenderedPageBreak/>
        <w:t>sus estudios universitarios en el curso 2015/2016 en las universidades públicas que integran el sistema universitario.</w:t>
      </w:r>
    </w:p>
    <w:p w:rsidR="005728DD" w:rsidRDefault="005728DD" w:rsidP="005728DD">
      <w:pPr>
        <w:pStyle w:val="TextoNormal"/>
      </w:pPr>
    </w:p>
    <w:p w:rsidR="005728DD" w:rsidRDefault="005728DD" w:rsidP="005728DD">
      <w:pPr>
        <w:pStyle w:val="TextoNormal"/>
      </w:pPr>
      <w:r>
        <w:t>En los supuestos en los que se trata de examinar la vulneración del principio de igualdad este tribunal debe examinar caso a caso si es posible encontrar una finalidad que justifique el establecimiento del tratamiento diferenciado, cosa que no ha realizado la opinión de la mayoría reflejada en la sentencia de la que discrepamos.</w:t>
      </w:r>
    </w:p>
    <w:p w:rsidR="005728DD" w:rsidRDefault="005728DD" w:rsidP="005728DD">
      <w:pPr>
        <w:pStyle w:val="TextoNormal"/>
      </w:pPr>
    </w:p>
    <w:p w:rsidR="005728DD" w:rsidRDefault="005728DD" w:rsidP="005728DD">
      <w:pPr>
        <w:pStyle w:val="TextoNormal"/>
      </w:pPr>
      <w:r>
        <w:t>Esta ausencia de aplicación de nuestra propia doctrina sobre el juicio de igualdad, que no podemos sino señalar como muy preocupante, es la que no ha permitido a la sentencia de la que discrepamos abordar alguna de las justificaciones que habían sido puestas sobre la mesa por la representación de la Generalitat Valenciana y que han quedado, por tanto, sin contestación.</w:t>
      </w:r>
    </w:p>
    <w:p w:rsidR="005728DD" w:rsidRDefault="005728DD" w:rsidP="005728DD">
      <w:pPr>
        <w:pStyle w:val="TextoNormal"/>
      </w:pPr>
    </w:p>
    <w:p w:rsidR="005728DD" w:rsidRDefault="005728DD" w:rsidP="005728DD">
      <w:pPr>
        <w:pStyle w:val="TextoNormal"/>
      </w:pPr>
      <w:r>
        <w:t>Así, en efecto, el abogado de la Generalitat en sus alegaciones descartaba que se hubiese vulnerado el artículo 14 CE con fundamento en dos razones que justificarían la diferencia de trato, como en efecto compartimos, y que, sin embargo, no han merecido la más mínima consideración por parte de la opinión mayoritaria.</w:t>
      </w:r>
    </w:p>
    <w:p w:rsidR="005728DD" w:rsidRDefault="005728DD" w:rsidP="005728DD">
      <w:pPr>
        <w:pStyle w:val="TextoNormal"/>
      </w:pPr>
    </w:p>
    <w:p w:rsidR="005728DD" w:rsidRDefault="005728DD" w:rsidP="005728DD">
      <w:pPr>
        <w:pStyle w:val="TextoNormal"/>
      </w:pPr>
      <w:r>
        <w:t>La primera razón para considerar que no se está ante situaciones comparables es que la universidad pública sería la única que garantizaría el acceso a todo tipo de alumnado, independientemente de sus condiciones socioeconómicas, conforme al artículo 45.4 LOU.</w:t>
      </w:r>
    </w:p>
    <w:p w:rsidR="005728DD" w:rsidRDefault="005728DD" w:rsidP="005728DD">
      <w:pPr>
        <w:pStyle w:val="TextoNormal"/>
      </w:pPr>
    </w:p>
    <w:p w:rsidR="005728DD" w:rsidRDefault="005728DD" w:rsidP="005728DD">
      <w:pPr>
        <w:pStyle w:val="TextoNormal"/>
      </w:pPr>
      <w:r>
        <w:t>Este precepto determina que el Estado y las comunidades autónomas deben instrumentar una política de becas, y que las universidades públicas deben establecer modalidades de exención del pago de precios públicos por servicios académicos. Estas obligaciones se exigen a los poderes públicos con una finalidad concreta, que nadie quede excluido del estudio en la universidad por razones económicas. Esta finalidad queda garantizada y es controlable en las universidades públicas en la medida en que los precios públicos vienen marcados por la ley (artículo 81 LOU) y no pueden ser superados, regulándose las ayudas de la administración de acuerdo con los mismos. Sin embargo, en las universidades privadas dichos precios son libres y, por tanto, las becas o ayudas, fijadas en relación con los mismos están desvinculadas del objeto y finalidad fijados en el citado artículo 45.4 LOU, lo que conlleva a que los términos de la comparación entre estudiantes no sean equivalentes y, por tanto, ante la limitación existente de recursos públicos, queda justificada, objetiva y razonablemente, la medida adoptada.</w:t>
      </w:r>
    </w:p>
    <w:p w:rsidR="005728DD" w:rsidRDefault="005728DD" w:rsidP="005728DD">
      <w:pPr>
        <w:pStyle w:val="TextoNormal"/>
      </w:pPr>
    </w:p>
    <w:p w:rsidR="005728DD" w:rsidRDefault="005728DD" w:rsidP="005728DD">
      <w:pPr>
        <w:pStyle w:val="TextoNormal"/>
      </w:pPr>
      <w:r>
        <w:t>La segunda razón para admitir que las becas se dirijan específicamente a aquellos estudiantes que cursan sus estudios en universidades públicas es que el alumnado de la universidad privada recurrente tiene a su alcance becas y ayudas que regula y concede la propia universidad que, como señala el escrito del abogado de la Generalitat , “según datos de la web de la propia universidad, estaban dotadas con un total de 5,4 millones de euros; becas y ayudas que complementan las del Estado y que, obviamente, no están abiertas a los alumnos de la universidad pública”.</w:t>
      </w:r>
    </w:p>
    <w:p w:rsidR="005728DD" w:rsidRDefault="005728DD" w:rsidP="005728DD">
      <w:pPr>
        <w:pStyle w:val="TextoNormal"/>
      </w:pPr>
    </w:p>
    <w:p w:rsidR="005728DD" w:rsidRDefault="005728DD" w:rsidP="005728DD">
      <w:pPr>
        <w:pStyle w:val="TextoNormal"/>
      </w:pPr>
      <w:r>
        <w:t xml:space="preserve">Reiteramos que cuando se trata de realizar un juicio acerca de la vulneración de la igualdad se hace necesario examinar si las situaciones que se traen a comparación pueden considerarse homogéneas o equiparables y, en caso de que así sea, si la exclusión, en este caso </w:t>
      </w:r>
      <w:r>
        <w:lastRenderedPageBreak/>
        <w:t>de las universidades privadas del régimen de becas y ayudas previsto en la orden objeto del presente recurso de amparo, tiene una justificación objetiva, razonable y proporcionada.</w:t>
      </w:r>
    </w:p>
    <w:p w:rsidR="005728DD" w:rsidRDefault="005728DD" w:rsidP="005728DD">
      <w:pPr>
        <w:pStyle w:val="TextoNormal"/>
      </w:pPr>
    </w:p>
    <w:p w:rsidR="005728DD" w:rsidRDefault="005728DD" w:rsidP="005728DD">
      <w:pPr>
        <w:pStyle w:val="TextoNormal"/>
      </w:pPr>
      <w:r>
        <w:t>La opinión de la mayoría reflejada en la sentencia de la que discrepamos no aborda en el caso estos elementos nucleares del juicio de igualdad, aunque le han sido alegados.</w:t>
      </w:r>
    </w:p>
    <w:p w:rsidR="005728DD" w:rsidRDefault="005728DD" w:rsidP="005728DD">
      <w:pPr>
        <w:pStyle w:val="TextoNormal"/>
      </w:pPr>
    </w:p>
    <w:p w:rsidR="005728DD" w:rsidRDefault="005728DD" w:rsidP="005728DD">
      <w:pPr>
        <w:pStyle w:val="TextoNormal"/>
      </w:pPr>
      <w:r>
        <w:t>Sea como fuere, la opinión de la mayoría supone la confirmación de lo que ya anticipamos en el voto particular a la STC 191/2020, un intento de reconocer una suerte de derecho constitucional de los centros universitarios privados a ser financiados incondicionadamente mediante las becas públicas de sus estudiantes.</w:t>
      </w:r>
    </w:p>
    <w:p w:rsidR="005728DD" w:rsidRDefault="005728DD" w:rsidP="005728DD">
      <w:pPr>
        <w:pStyle w:val="TextoNormal"/>
      </w:pPr>
    </w:p>
    <w:p w:rsidR="005728DD" w:rsidRDefault="005728DD" w:rsidP="005728DD">
      <w:pPr>
        <w:pStyle w:val="TextoNormal"/>
      </w:pPr>
      <w:r>
        <w:t>La doctrina de la mayoría aboca a los poderes públicos, para poder destinar determinadas ayudas únicamente a los alumnos que cursan sus estudios en las universidades públicas, a tener que dotar económicamente a estas para que sea cada universidad pública la que convoque y conceda las ayudas a sus propios estudiantes.</w:t>
      </w:r>
    </w:p>
    <w:p w:rsidR="005728DD" w:rsidRDefault="005728DD" w:rsidP="005728DD">
      <w:pPr>
        <w:pStyle w:val="TextoNormal"/>
      </w:pPr>
    </w:p>
    <w:p w:rsidR="005728DD" w:rsidRDefault="005728DD" w:rsidP="005728DD">
      <w:pPr>
        <w:pStyle w:val="TextoNormalNegritaCentrado"/>
        <w:keepNext/>
      </w:pPr>
      <w:r>
        <w:t>Voto particular que formula la magistrada doña María Luisa Balaguer Callejón a la sentencia dictada en el recurso de amparo núm. 2578-2019</w:t>
      </w:r>
    </w:p>
    <w:p w:rsidR="005728DD" w:rsidRDefault="005728DD" w:rsidP="005728DD">
      <w:pPr>
        <w:pStyle w:val="TextoNormalNegritaCentrado"/>
        <w:keepNext/>
      </w:pPr>
    </w:p>
    <w:p w:rsidR="005728DD" w:rsidRDefault="005728DD" w:rsidP="005728DD">
      <w:pPr>
        <w:pStyle w:val="TextoNormal"/>
      </w:pPr>
      <w:r>
        <w:t>En ejercicio de la facultad que me confiere el art. 90.2 de la Ley Orgánica del Tribunal Constitucional manifiesto mi discrepancia con la argumentación y el fallo de la sentencia aprobada por la Sala. La argumentación de la resolución a la que se opone este voto es plenamente coincidente con la de la STC 191/2020, de 17 de diciembre, y habiendo manifestado mi discrepancia respecto de aquella, en el voto particular conjunto firmado con el magistrado don Juan Antonio Xiol, me remito ahora, en su totalidad, a dicho voto particular.</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 w:name="SENTENCIA_2021_7"/>
      <w:r>
        <w:lastRenderedPageBreak/>
        <w:t>SENTENCIA 7/2021, de 25 de enero de 2021</w:t>
      </w:r>
    </w:p>
    <w:bookmarkEnd w:id="10"/>
    <w:p w:rsidR="005728DD" w:rsidRDefault="005728DD" w:rsidP="005728DD">
      <w:pPr>
        <w:pStyle w:val="TtuloResolucin"/>
      </w:pPr>
      <w:r>
        <w:t>Sala Segunda</w:t>
      </w:r>
    </w:p>
    <w:p w:rsidR="005728DD" w:rsidRDefault="005728DD" w:rsidP="005728DD">
      <w:pPr>
        <w:pStyle w:val="TtuloBOE"/>
      </w:pPr>
      <w:r>
        <w:t>(BOE núm. 46, de 23 de febrero de 2021)</w:t>
      </w:r>
    </w:p>
    <w:p w:rsidR="005728DD" w:rsidRDefault="005728DD" w:rsidP="005728DD">
      <w:pPr>
        <w:pStyle w:val="TextoNormalCentrado"/>
      </w:pPr>
      <w:r>
        <w:t>ECLI:ES:TC:2021:7</w:t>
      </w:r>
    </w:p>
    <w:p w:rsidR="005728DD" w:rsidRDefault="005728DD" w:rsidP="005728DD">
      <w:pPr>
        <w:pStyle w:val="TextoNormalCentrado"/>
      </w:pPr>
    </w:p>
    <w:p w:rsidR="005728DD" w:rsidRDefault="005728DD" w:rsidP="005728DD">
      <w:pPr>
        <w:pStyle w:val="SntesisDescriptiva"/>
      </w:pPr>
      <w:r>
        <w:t>Recurso de amparo 4217-2019. Promovido por don Alfonso Mesa Puga y otras dos personas más respecto de las resoluciones dictadas por un juzgado de primera instancia de Almería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2 y 3].</w:t>
      </w:r>
    </w:p>
    <w:p w:rsidR="005728DD" w:rsidRDefault="005728DD" w:rsidP="005728DD">
      <w:pPr>
        <w:pStyle w:val="Extracto"/>
      </w:pPr>
    </w:p>
    <w:p w:rsidR="005728DD" w:rsidRDefault="005728DD" w:rsidP="005728DD">
      <w:pPr>
        <w:pStyle w:val="Extracto"/>
      </w:pPr>
      <w:r>
        <w:t>2.</w:t>
      </w:r>
      <w:r>
        <w:tab/>
        <w:t>Aplicación de la Directiva 93/13/CEE, del Consejo, de 5 de abril, sobre cláusulas abusivas en los contratos celebrados con consumidores, y de la STJUE de 26 de enero de 2017, Asunto</w:t>
      </w:r>
      <w:r w:rsidRPr="005728DD">
        <w:rPr>
          <w:i/>
        </w:rPr>
        <w:t xml:space="preserve"> Banco Primus, S.A. v. Jesús Gutiérrez García </w:t>
      </w:r>
      <w:r>
        <w:t>(asunto C-421/14), que instan a los órganos judiciales al control del carácter abusivo del clausulado de un contrato de préstamo con garantía hipotecaria [FFJJ 2 y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4217-2019, promovido por don Alfonso Mesa Puga, doña Juana Francisca López del Águila y don Juan Mesa López, contra la providencia del Juzgado de Primera Instancia núm. 2 de Almería de 17 de mayo de 2019, por la que se inadmite el incidente de nulidad de actuaciones interpuesto contra la providencia de 12 de abril de 2019, pronunciada en el procedimiento de ejecución hipotecaria núm. 610-2014.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Don Alfonso Mesa Puga, doña Juana Francisca López de Águila y don Juan Mesa López, representados por el procurador de los tribunales don Pedro Emilio Serradilla Serrano y bajo la dirección del letrado don Iván García Navarro, interpusieron recurso de amparo contra las resoluciones judiciales que se mencionan en el encabezamiento de esta sentencia mediante escrito registrado en este tribunal el 5 de julio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Los recurrentes en amparo fueron demandados el 24 de marzo de 2014 por impago de una deuda hipotecaria, dando lugar al procedimiento de ejecución hipotecaria núm. 610-2014, que se tramitó en el Juzgado de Primera Instancia 2 de Almería, dictándose el auto despachando la ejecución el 19 de septiembre de 2016.</w:t>
      </w:r>
    </w:p>
    <w:p w:rsidR="005728DD" w:rsidRDefault="005728DD" w:rsidP="005728DD">
      <w:pPr>
        <w:pStyle w:val="TextoNormal"/>
      </w:pPr>
    </w:p>
    <w:p w:rsidR="005728DD" w:rsidRDefault="005728DD" w:rsidP="005728DD">
      <w:pPr>
        <w:pStyle w:val="TextoNormal"/>
      </w:pPr>
      <w:r>
        <w:t>b) Los recurrentes en amparo, don Alfonso Mesa Puga y don Juan Mesa López, mediante escrito de 15 de julio de 2016, solicitaron la nulidad de las cláusulas de intereses de mora y de vencimiento anticipado. La petición fue desestimada por providencia de 19 de septiembre de 2016 por no tratarse de la vivienda habitual de los solicitantes. El bien hipotecado fue subastado y adjudicado a la entidad bancaria ejecutante.</w:t>
      </w:r>
    </w:p>
    <w:p w:rsidR="005728DD" w:rsidRDefault="005728DD" w:rsidP="005728DD">
      <w:pPr>
        <w:pStyle w:val="TextoNormal"/>
      </w:pPr>
    </w:p>
    <w:p w:rsidR="005728DD" w:rsidRDefault="005728DD" w:rsidP="005728DD">
      <w:pPr>
        <w:pStyle w:val="TextoNormal"/>
      </w:pPr>
      <w:r>
        <w:t>c) Los recurrentes, mediante escrito de 25 de marzo de 2019, solicitaron la nulidad de actuaciones alegando la vulneración del derecho a la tutela judicial efectiva (art. 24.1 CE) y de la normativa comunitaria, con base en el Directiva 91/13/CEE, por no haberse hecho aplicación de la jurisprudencia sobre la revisión de oficio de cláusulas abusivas en cualquier fase del procedimiento. Igualmente alegaron la falta de legitimación activa de la entidad ejecutante tras haberse producido una transmisión del crédito a un fondo de titulación de activos.</w:t>
      </w:r>
    </w:p>
    <w:p w:rsidR="005728DD" w:rsidRDefault="005728DD" w:rsidP="005728DD">
      <w:pPr>
        <w:pStyle w:val="TextoNormal"/>
      </w:pPr>
    </w:p>
    <w:p w:rsidR="005728DD" w:rsidRDefault="005728DD" w:rsidP="005728DD">
      <w:pPr>
        <w:pStyle w:val="TextoNormal"/>
      </w:pPr>
      <w:r>
        <w:t>d) El incidente fue inadmitido por providencia de 12 de abril de 2019 argumentando que los recurrentes llevaban personados desde el 2016 en el procedimiento y solicitan el control de abusividad una vez que ya se han dictado numerosas resoluciones que no han sido impugnadas, incluyendo la providencia de 19 de septiembre de 2016, concluyendo que había precluido el plazo previsto en el art. 228 de la Ley de enjuiciamiento civil (LEC) y que la nulidad debió hacerse valer a través del sistema de recursos.</w:t>
      </w:r>
    </w:p>
    <w:p w:rsidR="005728DD" w:rsidRDefault="005728DD" w:rsidP="005728DD">
      <w:pPr>
        <w:pStyle w:val="TextoNormal"/>
      </w:pPr>
    </w:p>
    <w:p w:rsidR="005728DD" w:rsidRDefault="005728DD" w:rsidP="005728DD">
      <w:pPr>
        <w:pStyle w:val="TextoNormal"/>
      </w:pPr>
      <w:r>
        <w:t>e) Los recurrentes, mediante escrito de 26 de abril de 2019, solicitaron la nulidad de actuaciones de la providencia de 12 de abril de 2019 alegando la vulneración del derecho a la tutela judicial efectiva (art. 24.1 CE) por falta de motivación, en relación con la potestad de revisión de oficio de las cláusulas abusivas, y por incongruencia omisiva, al no haberse dado respuesta a la cuestión de la falta de legitimación activa de la ejecutante.</w:t>
      </w:r>
    </w:p>
    <w:p w:rsidR="005728DD" w:rsidRDefault="005728DD" w:rsidP="005728DD">
      <w:pPr>
        <w:pStyle w:val="TextoNormal"/>
      </w:pPr>
    </w:p>
    <w:p w:rsidR="005728DD" w:rsidRDefault="005728DD" w:rsidP="005728DD">
      <w:pPr>
        <w:pStyle w:val="TextoNormal"/>
      </w:pPr>
      <w:r>
        <w:t>f) El incidente fue inadmitido por providencia de 17 de mayo de 2019 argumentando que la providencia de 12 de abril de 2019 no es recurrible y que no cabe reiterar un incidente basado en los mismos términos.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Los demandantes solicitan que se otorgue el amparo por vulneración del derecho a la tutela judicial efectiva (art. 24.1 CE), declarándose la nulidad de la resolución impugnada con retroacción de actuaciones para que se verifique un control judicial de oficio de la eventual abusividad de las cláusulas del contrato de préstamo que dio lugar al procedimiento de ejecución, con fundamento en que la decisión judicial de negarse a realizar dicho control por preclusión del plazo es contraria a la jurisprudencia del Tribunal de Justicia de la Unión Europea en materia de cláusulas abusivas, que obliga a los tribunales a examinar de oficio y en cualquier momento del proceso la abusividad de las cláusulas del contrato. Igualmente, se invoca el art. 24.1 CE al considerar que habiéndose formulado una concreta solicitud de que se declarara la falta de legitimación activa de la ejecutante, ninguna mención o referencia se hace a ello en la resolución impugnada.</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sendas providencias de 12 de junio de 2020, acordó la admisión a trámite del presente recurso, apreciando que concurre en el mismo una especial trascendencia constitucional [art. 50.1 de la Ley Orgánica del Tribunal Constitucional (LOTC)] porque el asunto suscitado transciende el caso concreto porque plantea una cuestión jurídica de relevante y general repercusión social o económica [STC 155/2009, de 25 de junio, FJ 2 g)]; dirigir atenta comunicación al órgano judicial para que remita certificación o fotocopia adverada de las actuaciones y emplazamiento para que puedan comparecen en los recursos de amparo quienes hubieran sido parte en el procedimiento; y la formación de pieza separada para la tramitación del incidente sobre la suspensión solicitada, que fue denegada por ATC 79/2020, de 20 de julio.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1 de octubre de 2020, acordó dar vista de las actuaciones al Ministerio Fiscal y a las partes personadas por plazo común de veinte días para presentar las alegaciones que estimasen pertinentes, de conformidad con el art. 52 LOTC.</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en este tribunal el 23 de noviembre de 2020, interesa que se estime el recurso por vulneración del derecho a la tutela judicial efectiva (art. 24.1 CE) anulándose todo lo actuado desde la providencia de 12 de abril de 2019 con retroacción de actuaciones. Expone, en relación con la negativa judicial a analizar el carácter abusivo de determinado clausulado por considerar que era una petición extemporánea, que el juzgado no ha atendido con dicha argumentación a la doctrina de la STJUE de 26 de enero de 2017 sobre el control de la abusividad en este tipo de supuestos. Por su parte, en relación con la ausencia de respuesta sobre la eventual falta de legitimación activa de la entidad ejecutante, el fiscal afirma, con cita de la STC 152/2015, de 6 de julio, que también se ha producido una vulneración del art. 24.1 CE en este caso por incongruencia omisiva al no haberse dado ningún tipo de respuesta a una pretensión deducida por la parte.</w:t>
      </w:r>
    </w:p>
    <w:p w:rsidR="005728DD" w:rsidRDefault="005728DD" w:rsidP="005728DD">
      <w:pPr>
        <w:pStyle w:val="TextoNormal"/>
      </w:pPr>
    </w:p>
    <w:p w:rsidR="005728DD" w:rsidRDefault="005728DD" w:rsidP="005728DD">
      <w:pPr>
        <w:pStyle w:val="TextoNormal"/>
      </w:pPr>
      <w:r w:rsidRPr="005728DD">
        <w:rPr>
          <w:rStyle w:val="NumeroAFNegritaCaracter"/>
        </w:rPr>
        <w:t>7</w:t>
      </w:r>
      <w:r>
        <w:t>. Los demandantes presentaron sus alegaciones mediante escrito registrado el 13 de octubre de 2020 ratificándose en las formuladas en su demanda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21 de enero de 2021 se señaló para la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w:t>
      </w:r>
      <w:r>
        <w:t>. El objeto de este recurso es determinar si las resoluciones judiciales impugnadas han vulnerado el derecho a la tutela judicial efectiva de los recurrentes (art. 24.1 CE) por (i) rechazar la petición, amparada en la aplicación de la normativa europea y en la jurisprudencia que la interpreta, de analizar la abusividad de determinadas cláusulas del contrato de préstamo, cuya ejecución se instaba, con el argumento de la extemporaneidad de la solicitud; y (ii) la ausencia de respuesta judicial en relación con la alegada falta de legitimación activa de la entidad ejecutante.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El control judicial sobre las cláusulas abusivas en los procedimientos ejecutivos</w:t>
      </w:r>
      <w:r>
        <w:t>. La cuestión planteada por los recurrentes en relación con la negativa judicial a analizar la abusividad de determinadas cláusulas del contrato de préstamo hipotecario, cuya ejecución se instaba, con el argumento de la extemporaneidad de la solicitud es, en lo fundamental, la misma que fue resuelta por este tribunal en la STC 31/2019, de 28 de febrero, y en una serie de resoluciones dictadas en su aplicación (por ejemplo, SSTC 30/2020, de 24 de febrero; 48/2020, de 15 de junio, o 140/2020, de 6 de octubre).</w:t>
      </w:r>
    </w:p>
    <w:p w:rsidR="005728DD" w:rsidRDefault="005728DD" w:rsidP="005728DD">
      <w:pPr>
        <w:pStyle w:val="TextoNormal"/>
      </w:pPr>
    </w:p>
    <w:p w:rsidR="005728DD" w:rsidRDefault="005728DD" w:rsidP="005728DD">
      <w:pPr>
        <w:pStyle w:val="TextoNormal"/>
      </w:pPr>
      <w:r>
        <w:t xml:space="preserve">En aquel caso también se había solicitado el control del carácter abusivo de un préstamo al amparo del Derecho de la Unión Europea (Directiva 93/13/CEE, del Consejo, de 5 de abril, sobre cláusulas abusivas en los contratos celebrados con consumidores y STJUE de 26 de enero de 2017, C-421/14, asunto </w:t>
      </w:r>
      <w:r w:rsidRPr="005728DD">
        <w:rPr>
          <w:i/>
        </w:rPr>
        <w:t>Banco Primus, S. A., c. Jesús Gutiérrez García</w:t>
      </w:r>
      <w:r>
        <w:t>), que había sido rechazado porque el recurrente no se opuso en el plazo establecido a la ejecución alegando la abusividad y porque la ejecución se despachó cumpliendo todos los requisitos procesales. La citada STC 31/2019, declaró que, de acuerdo con la Directiva 93/13/CEE, conforme a la interpretación realizada por parte del Tribunal de Justicia de la Unión Europea (sentencia de 26 de enero de 2017),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De ese modo, la STC 31/2019 establece (i) que no cabe considerar que el plazo para denunciar la existencia de cláusulas abusivas haya precluido solo porque la parte ejecutada no formulase oposición a la ejecución en el plazo de diez días previsto en el art. 557, en relación con el art. 556, ambos de la LEC (FJ 6); y (ii) que “no consta en ningún apartado del auto despachando la ejecución que se haya producido un examen del clausulado contractual” y que no puede entenderse realizado y justificado con la simple afirmación de que la demanda ejecutiva “cumple los requisitos establecidos en el artículo 685 LEC” (FJ 8). Por ello concluye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(fundamento jurídico 8).</w:t>
      </w:r>
    </w:p>
    <w:p w:rsidR="005728DD" w:rsidRDefault="005728DD" w:rsidP="005728DD">
      <w:pPr>
        <w:pStyle w:val="TextoNormal"/>
      </w:pPr>
    </w:p>
    <w:p w:rsidR="005728DD" w:rsidRDefault="005728DD" w:rsidP="005728DD">
      <w:pPr>
        <w:pStyle w:val="TextoNormal"/>
      </w:pPr>
      <w:r>
        <w:t xml:space="preserve">En el presente caso, tomando en consideración que también la respuesta judicial para denegar hacer un control de la abusividad del clausulado del contrato cuya ejecución había dado lugar al procedimiento de ejecución hipotecaria fue el carácter extemporáneo de la solicitud, debe concluirse, por las mismas razones expuestas en la STC 31/2019, que se ha </w:t>
      </w:r>
      <w:r>
        <w:lastRenderedPageBreak/>
        <w:t>vulnerado el derecho a la tutela judicial (art. 24.1 CE). En este supuesto, al igual que en el enjuiciado por la STC 31/2019, el órgano judicial efectuó una interpretación irrazonable y arbitraria de la norma aplicada en el proceso porque prescindió de la interpretación del Derecho europeo efectuada por Tribunal de Justicia de la Unión Europea, que es el único órgano competente para llevar a cabo aquella interpretación con carácter vinculante. Su decisión es también lesiva del derecho que consagra el art. 24.1 CE por "su inmotivada contestación acerca de la existencia de un control de la cláusula previo a la denuncia” (fundamentos jurídicos 6 y 8).</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La incongruencia omisiva en relación con la alegación de la falta de legitimación activa</w:t>
      </w:r>
      <w:r>
        <w:t>. Este tribunal ha reiterado que la incongruencia omisiva, como uno de los defectos de motivación con relevancia constitucional prohibidos por el derecho a la tutela judicial efectiva (art. 24.1 CE),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que no es necesaria para la satisfacción del derecho a la tutela judicial efectiva una contestación explícita y pormenorizada a todas y cada una de las alegaciones que se aducen por las partes como fundamento de su pretensión; y que basta, en atención a las circunstancias particulares concurrentes, con una respuesta global o genérica, aunque se omita respecto de alegaciones concretas no sustanciales. A tales efectos, es necesario distinguir entre las meras alegaciones o argumentaciones aportadas por las partes en defensa de sus pretensiones y estas últimas en sí mismas, pues, si con respecto a las primeras puede no ser necesaria una respuesta explícita y pormenorizada de todas ellas y la eventual lesión del derecho fundamental deberá abordarse desde el prisma del derecho a la motivación de toda resolución judicial, respecto de las segundas la exigencia de respuesta congruente se muestra con todo rigor siempre y cuando la pretensión omitida haya sido llevada al juicio en el momento procesal oportuno (STC 165/2020, de 16 de noviembre, FJ 3).</w:t>
      </w:r>
    </w:p>
    <w:p w:rsidR="005728DD" w:rsidRDefault="005728DD" w:rsidP="005728DD">
      <w:pPr>
        <w:pStyle w:val="TextoNormal"/>
      </w:pPr>
    </w:p>
    <w:p w:rsidR="005728DD" w:rsidRDefault="005728DD" w:rsidP="005728DD">
      <w:pPr>
        <w:pStyle w:val="TextoNormal"/>
      </w:pPr>
      <w:r>
        <w:t>En el presente caso han quedado acreditados los siguientes extremos: (i) los recurrentes instaron en su incidente de nulidad, junto con solicitud del control de abusividad del clausulado del contrato hipotecario, la alegación de la falta de legitimación activa de la entidad ejecutante; (ii) el órgano judicial, mediante la providencia de 12 de abril de 2019, inadmitió este incidente haciendo solo referencia expresa a la circunstancia de que se había instado el control de abusividad de clausulado de manera extemporánea por los recurrentes, que estaban personados desde el año 2016 en el procedimiento y a los que se les habían notificado todas las resoluciones dictadas; (iii) los recurrentes denunciaron en el segundo incidente promovido contra la citada providencia el hecho de que se hubiera omitido cualquier tipo de consideración sobre la legitimación activa; y (iv) el órgano judicial inadmitió este segundo incidente argumentando únicamente que la providencia era irrecurrible y que se replanteaban las cuestiones ya resueltas por la providencia impugnada.</w:t>
      </w:r>
    </w:p>
    <w:p w:rsidR="005728DD" w:rsidRDefault="005728DD" w:rsidP="005728DD">
      <w:pPr>
        <w:pStyle w:val="TextoNormal"/>
      </w:pPr>
    </w:p>
    <w:p w:rsidR="005728DD" w:rsidRDefault="005728DD" w:rsidP="005728DD">
      <w:pPr>
        <w:pStyle w:val="TextoNormal"/>
      </w:pPr>
      <w:r>
        <w:t xml:space="preserve">En atención a lo expuesto, de conformidad con el informe de la Fiscalía, el tribunal concluye que se ha producido la incongruencia omisiva denunciada por los demandantes y, por tanto, de su derecho a la tutela judicial efectiva (art. 24.1 CE), ya que (i) la alegación de los demandantes sobre la eventual falta de legitimación activa de la entidad ejecutante es una pretensión diferente de la relativa al carácter abusivo de determinadas cláusulas del contrato </w:t>
      </w:r>
      <w:r>
        <w:lastRenderedPageBreak/>
        <w:t>hipotecario; (ii) esta pretensión fue deducida por los demandantes de manera expresa y separada en sendos incidentes de ejecución; y (iii) el órgano judicial omitió cualquier consideración sobre esta petición, pues en la providencia de 12 de abril de 2019 solo se consideraba el argumento de la extemporaneidad de la pretensión en relación con la cuestión relativa al carácter abusivo de determinadas cláusulas contractuales. Esto determina que también haya que estimar vulnerado el art. 24.1 CE en relación con esta cuestión y proceda declarar la nulidad de las resoluciones impugnadas también por este motivo. Por ello debe también ordenarse la retroacción de actuaciones con el objeto de que se dicte una nueva resolución judicial que repare igualmente esta incongruencia omisiva.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Alfonso Mesa Puga, doña Juana Francisca López del Águila y don Juan Mesa López y, en su virtud:</w:t>
      </w:r>
    </w:p>
    <w:p w:rsidR="005728DD" w:rsidRDefault="005728DD" w:rsidP="005728DD">
      <w:pPr>
        <w:pStyle w:val="TextoNormal"/>
      </w:pPr>
    </w:p>
    <w:p w:rsidR="005728DD" w:rsidRDefault="005728DD" w:rsidP="005728DD">
      <w:pPr>
        <w:pStyle w:val="TextoNormal"/>
      </w:pPr>
      <w:r>
        <w:t>1º Declarar que ha sido vulnerado el derecho fundamental de los demandantes de amparo a la tutela judicial efectiva sin indefensión (art. 24.1 CE).</w:t>
      </w:r>
    </w:p>
    <w:p w:rsidR="005728DD" w:rsidRDefault="005728DD" w:rsidP="005728DD">
      <w:pPr>
        <w:pStyle w:val="TextoNormal"/>
      </w:pPr>
    </w:p>
    <w:p w:rsidR="005728DD" w:rsidRDefault="005728DD" w:rsidP="005728DD">
      <w:pPr>
        <w:pStyle w:val="TextoNormal"/>
      </w:pPr>
      <w:r>
        <w:t>2º Restablecerles en su derecho y, en consecuencia, declarar la nulidad de las providencias del Juzgado de Primera Instancia núm. 2 de Almería de 12 de abril y de 17 de mayo de 2019, pronunciadas en el procedimiento de ejecución hipotecaria núm. 610-2014.</w:t>
      </w:r>
    </w:p>
    <w:p w:rsidR="005728DD" w:rsidRDefault="005728DD" w:rsidP="005728DD">
      <w:pPr>
        <w:pStyle w:val="TextoNormal"/>
      </w:pPr>
    </w:p>
    <w:p w:rsidR="005728DD" w:rsidRDefault="005728DD" w:rsidP="005728DD">
      <w:pPr>
        <w:pStyle w:val="TextoNormal"/>
      </w:pPr>
      <w:r>
        <w:t>3º Ordenar la retroacción de las actuaciones al momento inmediatamente anterior al pronunciamiento de la primera de las resoluciones anuladas para que el órgano judicial dicte una nueva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Ricardo Enríquez Sancho a la sentencia dictada en el recurso de amparo núm. 4217-2019</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4217-2019, el cual a mi juicio debió ser desestimado.</w:t>
      </w:r>
    </w:p>
    <w:p w:rsidR="005728DD" w:rsidRDefault="005728DD" w:rsidP="005728DD">
      <w:pPr>
        <w:pStyle w:val="TextoNormal"/>
      </w:pPr>
    </w:p>
    <w:p w:rsidR="005728DD" w:rsidRDefault="005728DD" w:rsidP="005728DD">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5728DD" w:rsidRDefault="005728DD" w:rsidP="005728DD">
      <w:pPr>
        <w:pStyle w:val="TextoNormal"/>
      </w:pPr>
    </w:p>
    <w:p w:rsidR="005728DD" w:rsidRDefault="005728DD" w:rsidP="005728DD">
      <w:pPr>
        <w:pStyle w:val="TextoNormal"/>
      </w:pPr>
      <w:r>
        <w:t>Y en tal sentido emito mi voto particular.</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 w:name="SENTENCIA_2021_8"/>
      <w:r>
        <w:lastRenderedPageBreak/>
        <w:t>SENTENCIA 8/2021, de 25 de enero de 2021</w:t>
      </w:r>
    </w:p>
    <w:bookmarkEnd w:id="11"/>
    <w:p w:rsidR="005728DD" w:rsidRDefault="005728DD" w:rsidP="005728DD">
      <w:pPr>
        <w:pStyle w:val="TtuloResolucin"/>
      </w:pPr>
      <w:r>
        <w:t>Sala Primera</w:t>
      </w:r>
    </w:p>
    <w:p w:rsidR="005728DD" w:rsidRDefault="005728DD" w:rsidP="005728DD">
      <w:pPr>
        <w:pStyle w:val="TtuloBOE"/>
      </w:pPr>
      <w:r>
        <w:t>(BOE núm. 46, de 23 de febrero de 2021)</w:t>
      </w:r>
    </w:p>
    <w:p w:rsidR="005728DD" w:rsidRDefault="005728DD" w:rsidP="005728DD">
      <w:pPr>
        <w:pStyle w:val="TextoNormalCentrado"/>
      </w:pPr>
      <w:r>
        <w:t>ECLI:ES:TC:2021:8</w:t>
      </w:r>
    </w:p>
    <w:p w:rsidR="005728DD" w:rsidRDefault="005728DD" w:rsidP="005728DD">
      <w:pPr>
        <w:pStyle w:val="TextoNormalCentrado"/>
      </w:pPr>
    </w:p>
    <w:p w:rsidR="005728DD" w:rsidRDefault="005728DD" w:rsidP="005728DD">
      <w:pPr>
        <w:pStyle w:val="SntesisDescriptiva"/>
      </w:pPr>
      <w:r>
        <w:t>Recurso de amparo 4319-2019. Promovido por doña María Pilar Moreno Monroy respecto de las resoluciones dictadas por un juzgado de primera instancia de Zaragoza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3, 4].</w:t>
      </w:r>
    </w:p>
    <w:p w:rsidR="005728DD" w:rsidRDefault="005728DD" w:rsidP="005728DD">
      <w:pPr>
        <w:pStyle w:val="Extracto"/>
      </w:pPr>
    </w:p>
    <w:p w:rsidR="005728DD" w:rsidRDefault="005728DD" w:rsidP="005728DD">
      <w:pPr>
        <w:pStyle w:val="Extracto"/>
      </w:pPr>
      <w:r>
        <w:t>2.</w:t>
      </w:r>
      <w:r>
        <w:tab/>
        <w:t xml:space="preserve">Aplicación de la Directiva 93/13/CEE, del Consejo, de 5 de abril, sobre cláusulas abusivas en los contratos celebrados con consumidores, y de la STJUE de 26 de enero de 2017, Asunto </w:t>
      </w:r>
      <w:r w:rsidRPr="005728DD">
        <w:rPr>
          <w:i/>
        </w:rPr>
        <w:t xml:space="preserve">Banco Primus, S.A. v. Jesús Gutiérrez García </w:t>
      </w:r>
      <w:r>
        <w:t>(asunto C-421/14), que instan a los órganos judiciales al control del carácter abusivo del clausulado de un contrato de préstamo con garantía hipotecaria [FFJJ 3,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4319-2019, promovido por doña María Pilar Moreno Monroy, representada por la procuradora de los tribunales doña Amalia Ruiz García, y asistida por el letrado don Cristian Monclús Escó, contra el auto de 24 de mayo de 2019, dictado por el Juzgado de Primera Instancia núm. 2 de Zaragoza, en el procedimiento de ejecución </w:t>
      </w:r>
      <w:r>
        <w:lastRenderedPageBreak/>
        <w:t>hipotecaria núm. 318-2015, que desestimó el incidente de nulidad promovido por la demandante. Ha intervenido el Ministerio Fiscal.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día 10 de julio de 2019, doña María Pilar Moreno Monroy, representada por la procuradora de los tribunales doña Amalia Ruiz García, y asistida por el letrado don Cristian Monclús Escó, interpuso recurso de amparo contra el auto de 24 de mayo de 2019, dictado por el Juzgado de Primera Instancia núm. 2 de Zaragoza, en el procedimiento de ejecución hipotecaria núm. 318-2015, que desestimó el incidente de nulidad promovido por la demandante.</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que se desprenden de la demanda de amparo y de las actuaciones que la acompañan, son los siguientes:</w:t>
      </w:r>
    </w:p>
    <w:p w:rsidR="005728DD" w:rsidRDefault="005728DD" w:rsidP="005728DD">
      <w:pPr>
        <w:pStyle w:val="TextoNormal"/>
      </w:pPr>
    </w:p>
    <w:p w:rsidR="005728DD" w:rsidRDefault="005728DD" w:rsidP="005728DD">
      <w:pPr>
        <w:pStyle w:val="TextoNormal"/>
      </w:pPr>
      <w:r>
        <w:t xml:space="preserve">a) Mediante escrito de fecha 22 de septiembre de 2015 la entidad mercantil Catalunya Banc, S.A., presentó demanda de ejecución hipotecaria contra doña María Pilar Moreno Monroy y otro, como deudores hipotecarios en relación con el préstamo con garantía hipotecaria, elevado a escritura pública el 10 de junio de 2005. El motivo de la demanda era el impago de los recibos correspondientes a los intereses y amortización de capital relativos al referido crédito desde la cuota correspondiente al mes de abril de 2015. De conformidad con la cláusula rescisoria prevista en la indicada escritura [cláusula sexta </w:t>
      </w:r>
      <w:r w:rsidRPr="005728DD">
        <w:rPr>
          <w:i/>
        </w:rPr>
        <w:t>bis</w:t>
      </w:r>
      <w:r>
        <w:t>, letra d)], la ejecutante manifestaba que daba por vencido de forma anticipada el préstamo, reclamando la cantidad de 101 915,27 €, a que ascendía la deuda a fecha de 11 de agosto de 2015. Dicha demanda correspondió al Juzgado de Primera Instancia núm. 2 de Zaragoza, que la tramitó con el núm. 318-2015.</w:t>
      </w:r>
    </w:p>
    <w:p w:rsidR="005728DD" w:rsidRDefault="005728DD" w:rsidP="005728DD">
      <w:pPr>
        <w:pStyle w:val="TextoNormal"/>
      </w:pPr>
    </w:p>
    <w:p w:rsidR="005728DD" w:rsidRDefault="005728DD" w:rsidP="005728DD">
      <w:pPr>
        <w:pStyle w:val="TextoNormal"/>
      </w:pPr>
      <w:r>
        <w:t>b) Por auto de 5 de octubre de 2015, el juzgado despachó ejecución frente a los prestatarios por el indicado importe, en concepto de principal e intereses ordinarios y moratorios vencidos, más otros 20 300 € que se fijaban provisionalmente para intereses que pudieran devengarse y las costas.</w:t>
      </w:r>
    </w:p>
    <w:p w:rsidR="005728DD" w:rsidRDefault="005728DD" w:rsidP="005728DD">
      <w:pPr>
        <w:pStyle w:val="TextoNormal"/>
      </w:pPr>
    </w:p>
    <w:p w:rsidR="005728DD" w:rsidRDefault="005728DD" w:rsidP="005728DD">
      <w:pPr>
        <w:pStyle w:val="TextoNormal"/>
      </w:pPr>
      <w:r>
        <w:t>c) Por resolución de fecha l6 de marzo de 2016 se acordó convocar la subasta de la finca hipotecada y, ante la inexistencia de pujas, la entidad ejecutante interesó su adjudicación, siendo esta acordada por decreto de la letrada de la administración de justicia de 2 de julio de 2016.</w:t>
      </w:r>
    </w:p>
    <w:p w:rsidR="005728DD" w:rsidRDefault="005728DD" w:rsidP="005728DD">
      <w:pPr>
        <w:pStyle w:val="TextoNormal"/>
      </w:pPr>
    </w:p>
    <w:p w:rsidR="005728DD" w:rsidRDefault="005728DD" w:rsidP="005728DD">
      <w:pPr>
        <w:pStyle w:val="TextoNormal"/>
      </w:pPr>
      <w:r>
        <w:t>d) La recurrente, mediante escrito de 6 de noviembre de 2018, solicitó la suspensión de la ejecución y del lanzamiento señalado, argumentando que el Tribunal Supremo había planteado al Tribunal de Justicia de la Unión Europea una cuestión prejudicial relacionada con la cláusula de vencimiento anticipado que se encontraba pendiente de resolución. Por providencia de 21 de noviembre de 2018 se resolvió que “no procede acordar la suspensión solicitada” argumentando que “ya se ha producido la consumación de la ejecución y no cabe revisar el contrato a los efectos de la existencia de cláusulas abusivas”.</w:t>
      </w:r>
    </w:p>
    <w:p w:rsidR="005728DD" w:rsidRDefault="005728DD" w:rsidP="005728DD">
      <w:pPr>
        <w:pStyle w:val="TextoNormal"/>
      </w:pPr>
    </w:p>
    <w:p w:rsidR="005728DD" w:rsidRDefault="005728DD" w:rsidP="005728DD">
      <w:pPr>
        <w:pStyle w:val="TextoNormal"/>
      </w:pPr>
      <w:r>
        <w:lastRenderedPageBreak/>
        <w:t>e) El 23 de marzo de 2019 la recurrente formuló incidente de nulidad de actuaciones invocando la STC 31/2019, de 28 de febrero, al considerar que se había producido una vulneración del derecho fundamental a la tutela judicial efectiva (art. 24.1 CE), en relación con el principio de interdicción de la arbitrariedad de los poderes públicos (art. 9.1 y 3 CE), del derecho de acceso a la vivienda digna (art. 47 CE) y de la primacía del Derecho de la Unión (arts. 10.2 y 96 CE). Exponía que en el procedimiento no se había seguido la interpretación de la Directiva 93/13 realizada por el Tribunal de Justicia de la Unión Europea en la sentencia de 26 de enero de 2017, pues no se había entrado a analizar la posible nulidad de la cláusula contractual de vencimiento anticipado que era objeto del incidente de nulidad.</w:t>
      </w:r>
    </w:p>
    <w:p w:rsidR="005728DD" w:rsidRDefault="005728DD" w:rsidP="005728DD">
      <w:pPr>
        <w:pStyle w:val="TextoNormal"/>
      </w:pPr>
    </w:p>
    <w:p w:rsidR="005728DD" w:rsidRDefault="005728DD" w:rsidP="005728DD">
      <w:pPr>
        <w:pStyle w:val="TextoNormal"/>
      </w:pPr>
      <w:r>
        <w:t>f) Antes de resolver el incidente de nulidad de actuaciones, mediante providencia de fecha 7 de mayo de 2019, se concedió un plazo de cinco días a las partes para realizar alegaciones respecto al contenido de lo establecido en la STJUE de 26 de marzo de 2019 en relación con la posibilidad de aplicación subsidiaria de lo establecido en el artículo 693.2 Ley de enjuiciamiento civil (LEC). La recurrente presentó escrito el 14 de mayo de 2019 instando a que se resolviese el incidente de nulidad de las actuaciones interpuesto.</w:t>
      </w:r>
    </w:p>
    <w:p w:rsidR="005728DD" w:rsidRDefault="005728DD" w:rsidP="005728DD">
      <w:pPr>
        <w:pStyle w:val="TextoNormal"/>
      </w:pPr>
    </w:p>
    <w:p w:rsidR="005728DD" w:rsidRDefault="005728DD" w:rsidP="005728DD">
      <w:pPr>
        <w:pStyle w:val="TextoNormal"/>
      </w:pPr>
      <w:r>
        <w:t>g) Por auto de 24 de mayo de 2019 se rechazó la nulidad de actuaciones pretendida por la parte recurrente y se acordó continuar el procedimiento. El auto se remitía a una resolución aparte en la que se daría respuesta al posible abuso de la cláusula, argumentando literalmente que “se plantea por la parte solicitante, que ante la falta de pronunciamiento por parte de este juzgado respecto de la posible abusividad de la cláusula de vencimiento anticipado, y aun encontrándonos ante un procedimiento de ejecución hipotecaria en el que se ha consumado la ejecución, el Derecho de la Unión nos obliga a pronunciarnos sobre las misma, entendiendo que dar respuesta a lo dicho se realizará en resolución aparte, ya que a fecha de 21 de enero de 2019 se dio respuesta en providencia que pasó a ser firme”</w:t>
      </w:r>
      <w:r w:rsidRPr="005728DD">
        <w:rPr>
          <w:i/>
        </w:rPr>
        <w:t xml:space="preserve"> (s</w:t>
      </w:r>
      <w:r>
        <w:t>ic).</w:t>
      </w:r>
    </w:p>
    <w:p w:rsidR="005728DD" w:rsidRDefault="005728DD" w:rsidP="005728DD">
      <w:pPr>
        <w:pStyle w:val="TextoNormal"/>
      </w:pPr>
    </w:p>
    <w:p w:rsidR="005728DD" w:rsidRDefault="005728DD" w:rsidP="005728DD">
      <w:pPr>
        <w:pStyle w:val="TextoNormal"/>
      </w:pPr>
      <w:r>
        <w:t>h) Posteriormente se dictó una providencia, de fecha 7 de junio de 2019, por la que el órgano judicial se remitía a lo resuelto en la “providencia firme de 21 de enero de 2019, en la que se acordaba la imposibilidad de entrar de oficio a revisar la existencia de cláusulas abusivas (vencimiento anticipado), dado que en los presentes autos ya se ha producido la consumación de la ejecución restando solamente la puesta a disposición de la vivienda. Procede, ya que la sentencia de 19-3-19 TJUE nada aclara sobre el particular, seguir adelante con el procedimiento y su debida culminación”</w:t>
      </w:r>
      <w:r w:rsidRPr="005728DD">
        <w:rPr>
          <w:i/>
        </w:rPr>
        <w:t xml:space="preserve"> (s</w:t>
      </w:r>
      <w:r>
        <w:t>ic).</w:t>
      </w:r>
    </w:p>
    <w:p w:rsidR="005728DD" w:rsidRDefault="005728DD" w:rsidP="005728DD">
      <w:pPr>
        <w:pStyle w:val="TextoNormal"/>
      </w:pPr>
    </w:p>
    <w:p w:rsidR="005728DD" w:rsidRDefault="005728DD" w:rsidP="005728DD">
      <w:pPr>
        <w:pStyle w:val="TextoNormal"/>
      </w:pPr>
      <w:r>
        <w:t xml:space="preserve">i) La recurrente, mediante escrito de 14 de junio de 2019, interpuso recurso de reposición contra la anterior providencia, en la que se consideraba infringido el deber de motivación (conforme a lo dispuesto en el art. 208.1 LEC), el art. 83 del texto refundido de la Ley para la defensa de los consumidores y usuarios y los arts. 3.1 y 5 de la Directiva 93/13, así como la doctrina de la STC 31/2019, por la que el deber de revisar el carácter abusivo de las cláusulas contractuales existe hasta que el inmueble se ponga en posesión del adquirente. Al propio tiempo, en apoyo de su pretensión, extracta el contenido de la STJUE de 26 de enero de 2017, asunto </w:t>
      </w:r>
      <w:r w:rsidRPr="005728DD">
        <w:rPr>
          <w:i/>
        </w:rPr>
        <w:t>Banco Primus, S.A., c. Jesús Gutiérrez García</w:t>
      </w:r>
      <w:r>
        <w:t>, por la que establece la obligación del tribunal de admitir el incidente de nulidad y conocer del posible abuso de la cláusula.</w:t>
      </w:r>
    </w:p>
    <w:p w:rsidR="005728DD" w:rsidRDefault="005728DD" w:rsidP="005728DD">
      <w:pPr>
        <w:pStyle w:val="TextoNormal"/>
      </w:pPr>
    </w:p>
    <w:p w:rsidR="005728DD" w:rsidRDefault="005728DD" w:rsidP="005728DD">
      <w:pPr>
        <w:pStyle w:val="TextoNormal"/>
      </w:pPr>
      <w:r>
        <w:t xml:space="preserve">j) Dicho recurso fue desestimado por auto de 28 de junio de 2019. En la resolución se cuestiona que la recurrente habitara en la vivienda hipotecada, al indicar que el certificado </w:t>
      </w:r>
      <w:r>
        <w:lastRenderedPageBreak/>
        <w:t>de empadronamiento presentado se compadece mal con los varios e infructuosos intentos de notificación efectuados y con la circunstancia de que los vecinos desconocían que la recurrente residiera en dicho inmueble. Dichas circunstancias determinan, a juicio de la resolución judicial, que se trata de un supuesto distinto al contemplado en las resoluciones alegadas, pues “no se puede afirmar que la vivienda fuese destinada a uso habitual”. A lo que añade que “la STJUE de 26 de enero de 2017 hace referencia a una hipoteca que inicia el procedimiento el año 2010, sin las reformas posteriores que permitieron plazos de oposición, y en el presente supuesto ya existen a fecha de 25 de septiembre de 2015 las reformas dichas, sin que exista causa acreditada alguna, dado el relato de intentos de requerimiento y notificaciones a la recurrente, que le impidiera personarse, como ahora ha hecho” (</w:t>
      </w:r>
      <w:r w:rsidRPr="005728DD">
        <w:rPr>
          <w:i/>
        </w:rPr>
        <w:t>sic</w:t>
      </w:r>
      <w:r>
        <w:t>).</w:t>
      </w:r>
    </w:p>
    <w:p w:rsidR="005728DD" w:rsidRDefault="005728DD" w:rsidP="005728DD">
      <w:pPr>
        <w:pStyle w:val="TextoNormal"/>
      </w:pPr>
    </w:p>
    <w:p w:rsidR="005728DD" w:rsidRDefault="005728DD" w:rsidP="005728DD">
      <w:pPr>
        <w:pStyle w:val="TextoNormal"/>
      </w:pPr>
      <w:r w:rsidRPr="005728DD">
        <w:rPr>
          <w:rStyle w:val="NumeroAFNegritaCaracter"/>
        </w:rPr>
        <w:t>3</w:t>
      </w:r>
      <w:r>
        <w:t>. La recurrente invoca la vulneración del derecho a la tutela judicial efectiva (art. 24.1 CE), en su vertiente del derecho de acceso a la Justicia y a la motivación de las resoluciones judiciales, en relación con el principio de interdicción de la arbitrariedad (arts. 9.1 y 3 CE), el derecho a una vivienda digna (art. 47 CE), y el principio de primacía del Derecho comunitario (arts. 10.2 y 96.1 CE).</w:t>
      </w:r>
    </w:p>
    <w:p w:rsidR="005728DD" w:rsidRDefault="005728DD" w:rsidP="005728DD">
      <w:pPr>
        <w:pStyle w:val="TextoNormal"/>
      </w:pPr>
    </w:p>
    <w:p w:rsidR="005728DD" w:rsidRDefault="005728DD" w:rsidP="005728DD">
      <w:pPr>
        <w:pStyle w:val="TextoNormal"/>
      </w:pPr>
      <w:r>
        <w:t>Considera que el origen de la violación se encuentra en que el juzgador en ningún momento previo al proceso se pronunció sobre el posible abuso de la cláusula de vencimiento anticipado presente en la escritura de hipoteca objeto del proceso ejecutivo. No consta en ningún apartado del auto despachando la ejecución que se haya producido ese examen de oficio. La única mención que al respecto se produce es en el momento de dar respuesta a la solicitud de nulidad de las actuaciones, señalando el órgano judicial que se dio respuesta en la providencia de 21 de enero de 2019 por la cual se afirma que no cabe revisar el contrato a los efectos de la existencia de cláusulas abusivas debido a que ya se ha producido la consumación de la ejecución.</w:t>
      </w:r>
    </w:p>
    <w:p w:rsidR="005728DD" w:rsidRDefault="005728DD" w:rsidP="005728DD">
      <w:pPr>
        <w:pStyle w:val="TextoNormal"/>
      </w:pPr>
    </w:p>
    <w:p w:rsidR="005728DD" w:rsidRDefault="005728DD" w:rsidP="005728DD">
      <w:pPr>
        <w:pStyle w:val="TextoNormal"/>
      </w:pPr>
      <w:r>
        <w:t xml:space="preserve">En la demanda se indica que la vulneración conlleva asimismo la inobservancia de lo dispuesto en los artículos 10.2 y 96.1 CE, al no respetar la primacía del Derecho de la Unión pues resuelve omitiendo su aplicación. En concreto, el actuar del órgano judicial, a juicio de la recurrente, es contrario a la interpretación de la Directiva 93/13 efectuada por el Tribunal de Justicia de la Unión Europea en la sentencia de 26 de enero de 2017, asunto </w:t>
      </w:r>
      <w:r w:rsidRPr="005728DD">
        <w:rPr>
          <w:i/>
        </w:rPr>
        <w:t>Banco Primus, S.A., c. Jesús Gutiérrez García</w:t>
      </w:r>
      <w:r>
        <w:t xml:space="preserve">. En dicha sentencia se establece la obligación por parte del juzgador de entrar a valorar </w:t>
      </w:r>
      <w:r w:rsidRPr="005728DD">
        <w:rPr>
          <w:i/>
        </w:rPr>
        <w:t>ex oficio</w:t>
      </w:r>
      <w:r>
        <w:t xml:space="preserve"> la existencia de cláusulas abusivas, así como a no aplicar en ningún caso la cláusula de vencimiento anticipado cuando considere que es abusiva. Esta doctrina es compartida por nuestro Derecho nacional con base en lo dispuesto en las SSTC 145/2012, de 2 de julio; 232/2015, de 5 de noviembre; 13/2017, de 30 de enero; 75/2017, de 19 de junio, y 31/2019, de 28 de febrero.</w:t>
      </w:r>
    </w:p>
    <w:p w:rsidR="005728DD" w:rsidRDefault="005728DD" w:rsidP="005728DD">
      <w:pPr>
        <w:pStyle w:val="TextoNormal"/>
      </w:pPr>
    </w:p>
    <w:p w:rsidR="005728DD" w:rsidRDefault="005728DD" w:rsidP="005728DD">
      <w:pPr>
        <w:pStyle w:val="TextoNormal"/>
      </w:pPr>
      <w:r>
        <w:t>Termina solicitando que se declare la nulidad de todo lo actuado desde el dictado del auto de fecha 24 de mayo de 2019 del Juzgado de Primera Instancia núm. 2 de Zaragoza, retrotrayendo las actuaciones al momento inmediatamente anterior al dictado del mismo, para que el órgano judicial resuelva si, con todos los datos que obran en la causa, se dan las circunstancias para decidir que las cláusulas son abusivas y, una vez depuradas las mismas, estimar si es procedente continuar la ejecución y en qué términos.</w:t>
      </w:r>
    </w:p>
    <w:p w:rsidR="005728DD" w:rsidRDefault="005728DD" w:rsidP="005728DD">
      <w:pPr>
        <w:pStyle w:val="TextoNormal"/>
      </w:pPr>
    </w:p>
    <w:p w:rsidR="005728DD" w:rsidRDefault="005728DD" w:rsidP="005728DD">
      <w:pPr>
        <w:pStyle w:val="TextoNormal"/>
      </w:pPr>
      <w:r>
        <w:t>Mediante otrosí, “interesa la suspensión de la ejecución del lanzamiento previsto para el día 22 de noviembre de 2019”.</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21 de septiembre de 2020, la Sala Primera de este tribunal acordó admitir a trámite el recurso de amparo apreciando que concurría en el mismo especial trascendencia constitucional [art. 50.1 de la Ley Orgánica del Tribunal Constitucional (LOTC)] “porque el órgano judicial pudiera haber incurrido en una negativa manifiesta del deber de acatamiento de la doctrina de este tribunal y el asunto suscitado trasciende del caso concreto porque plantea una cuestión jurídica de relevante y general repercusión social o económica [STC 155/2009, FJ 2 f) y g)]”, y dirigir comunicación al órgano judicial interviniente, a fin de que en plazo que no exceda de diez días remitiera certificación o fotocopia adverada de las actuaciones correspondientes al procedimiento de ejecución hipotecaria núm. 318-2015, y procediera a emplazar a quienes hubieran sido parte en el proceso del que trae causa el presente recurso, excepto a la parte recurrente en amparo, para que en plazo de diez días pudieran comparecer, si lo desean.</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fecha 19 de noviembre de 2020, de la secretaría de la Sala Primera de este tribunal, se acordó, de conformidad con lo establecido en el art. 52.1 LOTC dar vista de las actuaciones recibidas a las partes personadas y al Ministerio Fiscal, por plazo común de veinte días, para que pudieran presentar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día 22 de diciembre de 2020 la recurrente de amparo presentó su escrito de alegaciones, en el que con referencia al recurso de amparo reiteraba la existencia de la vulneración denunciada.</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19 de enero de 2021 presentó las alegaciones el Ministerio Fiscal. Tras compendiar los acontecimientos procesales que consideró de interés al caso y concretar los aspectos más relevantes de la pretensión de la demandante, señala que el objeto del presente recurso consiste en dilucidar si el juez ha desconocido la doctrina del Tribunal de Justicia de la Unión Europea en materia de revisión de las cláusulas abusivas de los contratos hipotecarios (STJUE de 26 de enero de 2017) y la doctrina constitucional (STC 31/2019, de 28 de febrero).</w:t>
      </w:r>
    </w:p>
    <w:p w:rsidR="005728DD" w:rsidRDefault="005728DD" w:rsidP="005728DD">
      <w:pPr>
        <w:pStyle w:val="TextoNormal"/>
      </w:pPr>
    </w:p>
    <w:p w:rsidR="005728DD" w:rsidRDefault="005728DD" w:rsidP="005728DD">
      <w:pPr>
        <w:pStyle w:val="TextoNormal"/>
      </w:pPr>
      <w:r>
        <w:t xml:space="preserve">Tras esa acotación, el fiscal lleva a cabo una aproximación al fenómeno de la contratación en masa, que dio lugar a la elaboración de las condiciones generales para la contratación y la adhesión, por una de las partes, a las cláusulas contractuales elaboradas unilateralmente por la otra. Incide en la importancia de la Directiva 93/13/CEE, como instrumento de defensa de los consumidores, la cual ha sido transpuesta a través de la Ley general para la defensa de los consumidores y usuarios y otras leyes complementarias, cuyo texto refundido fue aprobado por Real Decreto Legislativo 1/2007, de 16 de noviembre. También destaca la importancia de la Ley 1/2013, de 14 de mayo, de medidas para reforzar la protección de los deudores hipotecarios y reestructuración de la deuda y alquiler social, en tanto que aumenta la protección de los consumidores y garantiza el examen </w:t>
      </w:r>
      <w:r w:rsidRPr="005728DD">
        <w:rPr>
          <w:i/>
        </w:rPr>
        <w:t>ex oficio</w:t>
      </w:r>
      <w:r>
        <w:t xml:space="preserve"> de las cláusulas abusivas por los tribunales.</w:t>
      </w:r>
    </w:p>
    <w:p w:rsidR="005728DD" w:rsidRDefault="005728DD" w:rsidP="005728DD">
      <w:pPr>
        <w:pStyle w:val="TextoNormal"/>
      </w:pPr>
    </w:p>
    <w:p w:rsidR="005728DD" w:rsidRDefault="005728DD" w:rsidP="005728DD">
      <w:pPr>
        <w:pStyle w:val="TextoNormal"/>
      </w:pPr>
      <w:r>
        <w:t xml:space="preserve">Teniendo en cuenta ese contexto legal, el fiscal advierte que en el presente caso no se trata de dilucidar el carácter abusivo de la cláusula a que se refieren los demandantes, pues lo realmente denunciado es que el órgano judicial se ha negado a examinar si dicha cláusula </w:t>
      </w:r>
      <w:r>
        <w:lastRenderedPageBreak/>
        <w:t>reviste ese carácter, al considerar que la pretensión es extemporánea o improcedente. Por ello, no le compete al Tribunal Constitucional dirimir sobre el posible abuso de la cláusula y su nulidad, ya que ese cometido le corresponde al órgano judicial, quien no solo debe pronunciarse sobre ese aspecto, sino sobre la continuación del procedimiento sin aplicación de las cláusulas que, en su caso, deban ser expulsadas del contenido del contrato.</w:t>
      </w:r>
    </w:p>
    <w:p w:rsidR="005728DD" w:rsidRDefault="005728DD" w:rsidP="005728DD">
      <w:pPr>
        <w:pStyle w:val="TextoNormal"/>
      </w:pPr>
    </w:p>
    <w:p w:rsidR="005728DD" w:rsidRDefault="005728DD" w:rsidP="005728DD">
      <w:pPr>
        <w:pStyle w:val="TextoNormal"/>
      </w:pPr>
      <w:r>
        <w:t>Examina exhaustivamente la STJUE de 26 de enero de 2017, por ser la más clarificadora en la materia, no solo por la notable identidad de hechos con los que se someten al Tribunal Constitucional, sino porque la resolución da una respuesta al concreto momento en que es posible la decisión sobre el abuso de las cláusulas, que es la clave de bóveda para la resolución del asunto. Tras ello examina las resoluciones dictadas por el órgano judicial y concluye que el juez se desvía de la resolución correcta al considerar que ya no cabía esa posibilidad por haber concluido el proceso de ejecución, pues el mismo no había finiquitado, ya que claramente la vivienda todavía estaba, y está en la actualidad, en posesión de la recurrente.</w:t>
      </w:r>
    </w:p>
    <w:p w:rsidR="005728DD" w:rsidRDefault="005728DD" w:rsidP="005728DD">
      <w:pPr>
        <w:pStyle w:val="TextoNormal"/>
      </w:pPr>
    </w:p>
    <w:p w:rsidR="005728DD" w:rsidRDefault="005728DD" w:rsidP="005728DD">
      <w:pPr>
        <w:pStyle w:val="TextoNormal"/>
      </w:pPr>
      <w:r>
        <w:t>Tras hacer referencia a la STC 31/2019, de 28 de febrero, que resuelve un caso similar, concluye que el órgano judicial erró en la toma de consideración de las normas y doctrina jurisprudencial, tanto europea, como nacional, pese a que fue referenciada en el incidente de nulidad de actuaciones por la recurrente.</w:t>
      </w:r>
    </w:p>
    <w:p w:rsidR="005728DD" w:rsidRDefault="005728DD" w:rsidP="005728DD">
      <w:pPr>
        <w:pStyle w:val="TextoNormal"/>
      </w:pPr>
    </w:p>
    <w:p w:rsidR="005728DD" w:rsidRDefault="005728DD" w:rsidP="005728DD">
      <w:pPr>
        <w:pStyle w:val="TextoNormal"/>
      </w:pPr>
      <w:r>
        <w:t>Por todo ello, el fiscal considera que la inadmisión del incidente de nulidad planteado por la demandante vulnera su derecho a la tutela judicial efectiva sin indefensión (art. 24.1 CE), debiendo otorgarse el amparo y retrotraer las actuaciones al momento en que se produjo la vulneración denunciada, a fin de que resuelva sobre el carácter abusivo de las cláusulas denunciadas.</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fecha 21 de enero de 2021, se señaló para votación y fallo del presente recurso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Resoluciones impugnadas y pretensiones de las partes</w:t>
      </w:r>
      <w:r>
        <w:t>. El presente recurso se interpone exclusivamente contra el auto de 24 de mayo de 2019 del Juzgado de Primera Instancia núm. 2 de Zaragoza. Ahora bien, superando sus términos literales, en aras a la eficacia del recurso, y a la vista del suplico de la demanda, en el que se solicita que se declare la nulidad de todo lo actuado, debemos extender la impugnación a las resoluciones posteriores: la providencia de 7 de junio de 2019 y el auto de 26 de junio de 2019 del citado juzgado. Estas resoluciones también fueron dictadas por el mismo juzgado antes de la interposición de la demanda, y como en el caso del auto de 24 de mayo de 2019, tuvieron como origen el incidente de nulidad interpuesto por la recurrente en que se pretendía que el órgano judicial revisara el carácter abusivo de la cláusula de vencimiento anticipado y en cuyo rechazo se sustenta la vulneración de los derechos invocados.</w:t>
      </w:r>
    </w:p>
    <w:p w:rsidR="005728DD" w:rsidRDefault="005728DD" w:rsidP="005728DD">
      <w:pPr>
        <w:pStyle w:val="TextoNormal"/>
      </w:pPr>
    </w:p>
    <w:p w:rsidR="005728DD" w:rsidRDefault="005728DD" w:rsidP="005728DD">
      <w:pPr>
        <w:pStyle w:val="TextoNormal"/>
      </w:pPr>
      <w:r>
        <w:t xml:space="preserve">La demandante atribuye a las resoluciones judiciales la vulneración del derecho a la tutela judicial efectiva sin indefensión (art. 24.1 CE) por rechazar la solicitud de revisión del </w:t>
      </w:r>
      <w:r>
        <w:lastRenderedPageBreak/>
        <w:t>eventual abuso de la cláusula de vencimiento anticipado del título de ejecución, incumpliendo la doctrina establecida por el Tribunal Constitucional y el Tribunal de Justicia de la Unión Europea.</w:t>
      </w:r>
    </w:p>
    <w:p w:rsidR="005728DD" w:rsidRDefault="005728DD" w:rsidP="005728DD">
      <w:pPr>
        <w:pStyle w:val="TextoNormal"/>
      </w:pPr>
    </w:p>
    <w:p w:rsidR="005728DD" w:rsidRDefault="005728DD" w:rsidP="005728DD">
      <w:pPr>
        <w:pStyle w:val="TextoNormal"/>
      </w:pPr>
      <w:r>
        <w:t>El fiscal, con sustento en la argumentación que se recoge en los antecedentes, solicita la 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contenido y alcance de nuestro enjuiciamiento</w:t>
      </w:r>
      <w:r>
        <w:t>. Una vez expuestas las posiciones de los intervinientes en el presente recurso, procede fijar, a continuación, el alcance y contenido de nuestra respuesta, que en ningún caso pretende dirimir —como bien afirma el Ministerio Fiscal— si la cláusula contractual identificada por la recurrente tiene o no carácter abusivo, pues esa cuestión se incardina con claridad dentro de los límites de la legalidad infraconstitucional y, en consecuencia, su conocimiento corresponde a la jurisdicción ordinaria (STC 140/2020, de 6 de octubre, FJ 2). Nuestro cometido será determinar si la negativa del órgano judicial a pronunciarse sobre el carácter abusivo de la cláusula aludida, so pretexto de que la finca ya ha sido puesta a disposición de la entidad financiera y de que se habían producido reformas que permitieron plazos de denuncia del carácter abusivo de las cláusulas, vulnera o no el derecho a la tutela judicial efectiva sin indefensión (art. 24.1 CE) por su eventual contradicción con la doctrina de este tribunal.</w:t>
      </w:r>
    </w:p>
    <w:p w:rsidR="005728DD" w:rsidRDefault="005728DD" w:rsidP="005728DD">
      <w:pPr>
        <w:pStyle w:val="TextoNormal"/>
      </w:pPr>
    </w:p>
    <w:p w:rsidR="005728DD" w:rsidRDefault="005728DD" w:rsidP="005728DD">
      <w:pPr>
        <w:pStyle w:val="TextoNormal"/>
      </w:pPr>
      <w:r>
        <w:t>Al ser este el planteamiento el primer paso obligado será el de recordar la doctrina sentada por este tribunal en relación con la cuestión suscitada; para, a continuación, proceder a enjuiciar la adecuación de la respuesta judicial a los postulados fijados en esta sede constitucional.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sobre el derecho a la tutela judicial efectiva y el principio de primacía del Derecho de la Unión Europea</w:t>
      </w:r>
      <w:r>
        <w:t>. El Tribunal Constitucional ya se ha pronunciado sobre una cuestión sustancialmente similar a la que ahora se nos plantea. En efecto, en el supuesto enjuiciado por el Pleno en la STC 31/2019, de 28 de febrero, se resolvió sobre la vulneración del derecho a la tutela judicial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(fundamento jurídico 1).</w:t>
      </w:r>
    </w:p>
    <w:p w:rsidR="005728DD" w:rsidRDefault="005728DD" w:rsidP="005728DD">
      <w:pPr>
        <w:pStyle w:val="TextoNormal"/>
      </w:pPr>
    </w:p>
    <w:p w:rsidR="005728DD" w:rsidRDefault="005728DD" w:rsidP="005728DD">
      <w:pPr>
        <w:pStyle w:val="TextoNormal"/>
      </w:pPr>
      <w:r>
        <w:t>Más adelante, en el fundamento jurídico 4 de la citada resolución reproducimos la doctrina expuesta en la STC 232/2015, de 5 de noviembre, según la cual:</w:t>
      </w:r>
    </w:p>
    <w:p w:rsidR="005728DD" w:rsidRDefault="005728DD" w:rsidP="005728DD">
      <w:pPr>
        <w:pStyle w:val="TextoNormal"/>
      </w:pPr>
    </w:p>
    <w:p w:rsidR="005728DD" w:rsidRDefault="005728DD" w:rsidP="005728DD">
      <w:pPr>
        <w:pStyle w:val="TextoNormal"/>
      </w:pPr>
      <w:r>
        <w:t xml:space="preserve">“(i) a este tribunal ‘corresponde […] velar por el respeto del principio de primacía del Derecho de la Unión cuando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y (iii) prescindir por ‘propia, autónoma y exclusiva decisión’ del órgano judicial, de la interpretación de un precepto de una norma europea impuesta y señalada por el órgano competente para hacerlo con carácter vinculante, es decir </w:t>
      </w:r>
      <w:r>
        <w:lastRenderedPageBreak/>
        <w:t>el Tribunal de Justicia de la Unión Europea, vulnera el principio de primacía del Derecho de la Unión Europea [FJ 6 b)]”.</w:t>
      </w:r>
    </w:p>
    <w:p w:rsidR="005728DD" w:rsidRDefault="005728DD" w:rsidP="005728DD">
      <w:pPr>
        <w:pStyle w:val="TextoNormal"/>
      </w:pPr>
    </w:p>
    <w:p w:rsidR="005728DD" w:rsidRDefault="005728DD" w:rsidP="005728DD">
      <w:pPr>
        <w:pStyle w:val="TextoNormal"/>
      </w:pPr>
      <w:r>
        <w:t xml:space="preserve">Posteriormente, en el fundamento jurídico 5 se acoge la doctrina reflejada en la STJUE, de 26 de enero de 2017, asunto </w:t>
      </w:r>
      <w:r w:rsidRPr="005728DD">
        <w:rPr>
          <w:i/>
        </w:rPr>
        <w:t>Banco Primus, S.A., c. Jesús Gutiérrez García</w:t>
      </w:r>
      <w:r>
        <w:t>, en la que el Tribunal de Justicia de la Unión Europea declaró:</w:t>
      </w:r>
    </w:p>
    <w:p w:rsidR="005728DD" w:rsidRDefault="005728DD" w:rsidP="005728DD">
      <w:pPr>
        <w:pStyle w:val="TextoNormal"/>
      </w:pPr>
    </w:p>
    <w:p w:rsidR="005728DD" w:rsidRDefault="005728DD" w:rsidP="005728DD">
      <w:pPr>
        <w:pStyle w:val="TextoNormal"/>
      </w:pPr>
      <w:r>
        <w:t>“La Directiva 93/13/CEE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005728DD" w:rsidRDefault="005728DD" w:rsidP="005728DD">
      <w:pPr>
        <w:pStyle w:val="TextoNormal"/>
      </w:pPr>
    </w:p>
    <w:p w:rsidR="005728DD" w:rsidRDefault="005728DD" w:rsidP="005728DD">
      <w:pPr>
        <w:pStyle w:val="TextoNormal"/>
      </w:pPr>
      <w:r>
        <w:t>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005728DD" w:rsidRDefault="005728DD" w:rsidP="005728DD">
      <w:pPr>
        <w:pStyle w:val="TextoNormal"/>
      </w:pPr>
    </w:p>
    <w:p w:rsidR="005728DD" w:rsidRDefault="005728DD" w:rsidP="005728DD">
      <w:pPr>
        <w:pStyle w:val="TextoNormal"/>
      </w:pPr>
      <w:r>
        <w:t>En relación con la segunda declaración efectuada por el Tribunal de Justicia de la Unión Europea, en el fundamento jurídico 6 figura el siguiente razonamiento, acerca de la exigencia de control judicial respecto de las cláusulas abusivas:</w:t>
      </w:r>
    </w:p>
    <w:p w:rsidR="005728DD" w:rsidRDefault="005728DD" w:rsidP="005728DD">
      <w:pPr>
        <w:pStyle w:val="TextoNormal"/>
      </w:pPr>
    </w:p>
    <w:p w:rsidR="005728DD" w:rsidRDefault="005728DD" w:rsidP="005728DD">
      <w:pPr>
        <w:pStyle w:val="TextoNormal"/>
      </w:pPr>
      <w:r>
        <w:t>“Este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005728DD" w:rsidRDefault="005728DD" w:rsidP="005728DD">
      <w:pPr>
        <w:pStyle w:val="TextoNormal"/>
      </w:pPr>
    </w:p>
    <w:p w:rsidR="005728DD" w:rsidRDefault="005728DD" w:rsidP="005728DD">
      <w:pPr>
        <w:pStyle w:val="TextoNormal"/>
      </w:pPr>
      <w:r>
        <w:lastRenderedPageBreak/>
        <w:t xml:space="preserve">Es importante destacar, en este sentido, que el Tribunal de Justicia ha declarado que el artículo 6, apartado 1, de la Directiva 93/13,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estas (véanse, en particular, las sentencias de 17 de julio de 2014, </w:t>
      </w:r>
      <w:r w:rsidRPr="005728DD">
        <w:rPr>
          <w:i/>
        </w:rPr>
        <w:t>Sánchez Morcillo y Abril García</w:t>
      </w:r>
      <w:r>
        <w:t xml:space="preserve">, C-169/14, EU:C:2014:2099, apartado 23, y de 21 de diciembre de 2016, </w:t>
      </w:r>
      <w:r w:rsidRPr="005728DD">
        <w:rPr>
          <w:i/>
        </w:rPr>
        <w:t>Gutiérrez Naranjo y otros</w:t>
      </w:r>
      <w:r>
        <w:t xml:space="preserve">, C-154/15, C-307/15 y C-308/15,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w:t>
      </w:r>
      <w:r w:rsidRPr="005728DD">
        <w:rPr>
          <w:i/>
        </w:rPr>
        <w:t>Asturcom Telecomunicaciones</w:t>
      </w:r>
      <w:r>
        <w:t xml:space="preserve">, C-40/08, EU:C:2009:615, apartados 51 y 52, y de 21 de diciembre de 2016, </w:t>
      </w:r>
      <w:r w:rsidRPr="005728DD">
        <w:rPr>
          <w:i/>
        </w:rPr>
        <w:t>Gutiérrez Naranjo y otros</w:t>
      </w:r>
      <w:r>
        <w:t xml:space="preserve">, C-154/15, C-307/15 y C-308/15,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 […] tan pronto como disponga de los elementos de hecho y de Derecho necesarios para ello (sentencias de 14 de marzo de 2013, </w:t>
      </w:r>
      <w:r w:rsidRPr="005728DD">
        <w:rPr>
          <w:i/>
        </w:rPr>
        <w:t>Aziz</w:t>
      </w:r>
      <w:r>
        <w:t xml:space="preserve">, C-415/11, EU:C:2013:164, apartado 46 y jurisprudencia citada, y de 21 de diciembre de 2016, </w:t>
      </w:r>
      <w:r w:rsidRPr="005728DD">
        <w:rPr>
          <w:i/>
        </w:rPr>
        <w:t>Gutiérrez Naranjo y otros</w:t>
      </w:r>
      <w:r>
        <w:t>, C-154/15, C-307/15 y C-308/15, EU:C:2016:980, apartado 58)’ (STJUE de 26 de enero de 2017, apartado 43).</w:t>
      </w:r>
    </w:p>
    <w:p w:rsidR="005728DD" w:rsidRDefault="005728DD" w:rsidP="005728DD">
      <w:pPr>
        <w:pStyle w:val="TextoNormal"/>
      </w:pPr>
    </w:p>
    <w:p w:rsidR="005728DD" w:rsidRDefault="005728DD" w:rsidP="005728DD">
      <w:pPr>
        <w:pStyle w:val="TextoNormal"/>
      </w:pPr>
      <w:r>
        <w:t xml:space="preserv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w:t>
      </w:r>
      <w:r w:rsidRPr="005728DD">
        <w:rPr>
          <w:i/>
        </w:rPr>
        <w:t>Banco Primus</w:t>
      </w:r>
      <w:r>
        <w:t xml:space="preserve"> aportaba los elementos de hecho y de Derecho que permitían, en el caso de que así procediera, declarar abusiva la cláusula de vencimiento anticipado […]”.</w:t>
      </w:r>
    </w:p>
    <w:p w:rsidR="005728DD" w:rsidRDefault="005728DD" w:rsidP="005728DD">
      <w:pPr>
        <w:pStyle w:val="TextoNormal"/>
      </w:pPr>
    </w:p>
    <w:p w:rsidR="005728DD" w:rsidRDefault="005728DD" w:rsidP="005728DD">
      <w:pPr>
        <w:pStyle w:val="TextoNormal"/>
      </w:pPr>
      <w:r>
        <w:t>A ello debe añadirse, respecto del deber de motivación de las resoluciones judiciales, que este tribunal ha sostenido:</w:t>
      </w:r>
    </w:p>
    <w:p w:rsidR="005728DD" w:rsidRDefault="005728DD" w:rsidP="005728DD">
      <w:pPr>
        <w:pStyle w:val="TextoNormal"/>
      </w:pPr>
    </w:p>
    <w:p w:rsidR="005728DD" w:rsidRDefault="005728DD" w:rsidP="005728DD">
      <w:pPr>
        <w:pStyle w:val="TextoNormal"/>
      </w:pPr>
      <w:r>
        <w:t>“[E]l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aquellas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005728DD" w:rsidRDefault="005728DD" w:rsidP="005728DD">
      <w:pPr>
        <w:pStyle w:val="TextoNormal"/>
      </w:pPr>
    </w:p>
    <w:p w:rsidR="005728DD" w:rsidRDefault="005728DD" w:rsidP="005728DD">
      <w:pPr>
        <w:pStyle w:val="TextoNormal"/>
      </w:pPr>
      <w:r>
        <w:lastRenderedPageBreak/>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 (STC 172/2004, de 18 de octubre, FJ 3).</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constitucional al caso concreto</w:t>
      </w:r>
      <w:r>
        <w:t xml:space="preserve">. Una vez reflejado el parámetro al que debemos sujetarnos para dirimir la presente </w:t>
      </w:r>
      <w:r w:rsidRPr="005728DD">
        <w:rPr>
          <w:i/>
        </w:rPr>
        <w:t>litis</w:t>
      </w:r>
      <w:r>
        <w:t>, procede analizar la respuesta dada por el órgano judicial.</w:t>
      </w:r>
    </w:p>
    <w:p w:rsidR="005728DD" w:rsidRDefault="005728DD" w:rsidP="005728DD">
      <w:pPr>
        <w:pStyle w:val="TextoNormal"/>
      </w:pPr>
    </w:p>
    <w:p w:rsidR="005728DD" w:rsidRDefault="005728DD" w:rsidP="005728DD">
      <w:pPr>
        <w:pStyle w:val="TextoNormal"/>
      </w:pPr>
      <w:r>
        <w:t>Como queda expuesto en los antecedentes, las resoluciones que rechazan la revisión como abusiva de la cláusula, se limitan a proclamar el carácter extemporáneo de la revisión, bien apuntando a que la ejecución hipotecaria ya se ha consumado con la puesta a disposición de la vivienda, bien indicando que la recurrente no hizo uso de las posibilidades procesales introducidas por las reformas de la legislación procesal. Dicha exigua respuesta del órgano judicial frustra la expectativa revisora de la recurrente, con desconocimiento de las mínimas exigencias de motivación y de la propia doctrina anteriormente expuesta, pues sin argumento explicativo alguno se enfrenta con nuestra doctrina en relación con el principio de primacía del Derecho de la Unión Europea y la obligación de control de oficio por el órgano judicial del eventual abuso de las cláusulas, que únicamente se exceptúa en el caso de que el carácter abusivo hubiera sido examinado en un anterior control judicial.</w:t>
      </w:r>
    </w:p>
    <w:p w:rsidR="005728DD" w:rsidRDefault="005728DD" w:rsidP="005728DD">
      <w:pPr>
        <w:pStyle w:val="TextoNormal"/>
      </w:pPr>
    </w:p>
    <w:p w:rsidR="005728DD" w:rsidRDefault="005728DD" w:rsidP="005728DD">
      <w:pPr>
        <w:pStyle w:val="TextoNormal"/>
      </w:pPr>
      <w:r>
        <w:t xml:space="preserve">En efecto, de la doctrina expuesta resulta que se residencia en el juez nacional la obligación de apreciar el eventual carácter abusivo de una cláusula, incluso tras el dictado de una resolución con fuerza de cosa juzgada, cuando disponga de los elementos de hecho y de Derecho necesarios para ello, siempre que la cláusula denunciada no hubiera sido examinada previamente. Sin embargo, el órgano judicial rechaza realizar ese control pese a que no ha existido un anterior control judicial en relación con el eventual carácter abusivo de la cláusula de vencimiento anticipado. Rechazo que la resolución sustenta en que la ejecución hipotecaria se había consumado con la puesta a disposición de la vivienda o en que no hizo uso de las posibilidades procesales existentes tras la reforma de la legislación procesal, desconociendo tanto la sentencia de 26 de enero de 2017 (C-421/14, asunto </w:t>
      </w:r>
      <w:r w:rsidRPr="005728DD">
        <w:rPr>
          <w:i/>
        </w:rPr>
        <w:t>Banco Primus, S.A. c. Jesús Gutiérrez García</w:t>
      </w:r>
      <w:r>
        <w:t xml:space="preserve">), como la STC 31/2019, ambas invocadas por la recurrente y con las que no dialoga en modo alguno. En efecto, en el asunto </w:t>
      </w:r>
      <w:r w:rsidRPr="005728DD">
        <w:rPr>
          <w:i/>
        </w:rPr>
        <w:t>Banco Primus, S.A</w:t>
      </w:r>
      <w:r>
        <w:t>., el Tribunal de Justicia de la Unión Europea (como recordamos en la STC 31/2019, FJ 5), se había pronunciado sobre la obligación de revisar el carácter eventualmente abusivo de una cláusula de un contrato de préstamo con garantía hipotecaria en el que también se había producido la adjudicación del bien objeto de ejecución y dicha decisión formó parte del objeto del debate al haber sido introducida por la recurrente.</w:t>
      </w:r>
    </w:p>
    <w:p w:rsidR="005728DD" w:rsidRDefault="005728DD" w:rsidP="005728DD">
      <w:pPr>
        <w:pStyle w:val="TextoNormal"/>
      </w:pPr>
    </w:p>
    <w:p w:rsidR="005728DD" w:rsidRDefault="005728DD" w:rsidP="005728DD">
      <w:pPr>
        <w:pStyle w:val="TextoNormal"/>
      </w:pPr>
      <w:r>
        <w:t xml:space="preserve">Sobre el órgano judicial recae la obligación de llevar a cabo un efectivo control del posible abuso de las cláusulas contractuales de los contratos celebrados con los consumidores, en los términos establecidos en la doctrina constitucional anteriormente expuesta. Sin embargo, en el presente caso el juzgador rehusó revisar la cláusula de resolución por vencimiento anticipado del título de ejecución que dio lugar a la incoación del procedimiento </w:t>
      </w:r>
      <w:r>
        <w:lastRenderedPageBreak/>
        <w:t>judicial, sin que tal decisión se fundara en el hecho de que, en un estadio procesal anterior, hubiera ya examinado, de oficio o a instancia de parte, el posible abuso de la referida cláusula.</w:t>
      </w:r>
    </w:p>
    <w:p w:rsidR="005728DD" w:rsidRDefault="005728DD" w:rsidP="005728DD">
      <w:pPr>
        <w:pStyle w:val="TextoNormal"/>
      </w:pPr>
    </w:p>
    <w:p w:rsidR="005728DD" w:rsidRDefault="005728DD" w:rsidP="005728DD">
      <w:pPr>
        <w:pStyle w:val="TextoNormal"/>
      </w:pPr>
      <w:r>
        <w:t>En conclusión, las resoluciones impugnadas en esta sede constitucional han lesionado el derecho a la tutela judicial efectiva sin indefensión de la recurrente ( art. 24.1 CE), no solo por la falta de motivación material a que se ha hecho mención, sino porque la decisión de no atender la revisión interesada por aquella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 (STC 31/2019, FJ 9).</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Alcance del otorgamiento del amparo</w:t>
      </w:r>
      <w:r>
        <w:t>. Por lo expuesto procede estimar el presente recurso de amparo, con la consiguiente declaración de nulidad del auto de 24 de mayo de 2019, y de la providencia y el auto de 7 y de 26 de junio de 2019, respectivamente, dictados por el Juzgado de Primera Instancia núm. 2 de Zaragoza, en cuya virtud el indicado juzgado rechazó la nulidad de actuaciones pretendida por la parte recurrente al considerar extemporánea la pretensión de que se declare abusiva la cláusula de vencimiento anticipado. También procede acordar la retroacción de las actuaciones al momento previo al dictado de las citadas resoluciones, a fin de que, en congruencia con lo interesado en el incidente de nulidad de actuaciones, el órgano judicial resuelva sobre el denunciado abuso de la cláusula de resolución por vencimiento anticipado de manera respetuosa con el derecho fundamental reconocido.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María Pilar Moreno Monroy y, en su virtud:</w:t>
      </w:r>
    </w:p>
    <w:p w:rsidR="005728DD" w:rsidRDefault="005728DD" w:rsidP="005728DD">
      <w:pPr>
        <w:pStyle w:val="TextoNormal"/>
      </w:pPr>
    </w:p>
    <w:p w:rsidR="005728DD" w:rsidRDefault="005728DD" w:rsidP="005728DD">
      <w:pPr>
        <w:pStyle w:val="TextoNormal"/>
      </w:pPr>
      <w:r>
        <w:t>1º Declarar que ha sido vulnerado el derecho fundamental de la demandante de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del auto de 24 de mayo de 2019, y de la providencia y el auto de 7 y de 26 de junio de 2019, dictados por el Juzgado de Primera Instancia núm. 2 de Zaragoza, en el procedimiento de ejecución hipotecaria núm. 318-2015.</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 las citadas resoluciones, para que el órgano judicial dicte una nueva que sea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 w:name="SENTENCIA_2021_9"/>
      <w:r>
        <w:lastRenderedPageBreak/>
        <w:t>SENTENCIA 9/2021, de 25 de enero de 2021</w:t>
      </w:r>
    </w:p>
    <w:bookmarkEnd w:id="12"/>
    <w:p w:rsidR="005728DD" w:rsidRDefault="005728DD" w:rsidP="005728DD">
      <w:pPr>
        <w:pStyle w:val="TtuloResolucin"/>
      </w:pPr>
      <w:r>
        <w:t>Sala Primera</w:t>
      </w:r>
    </w:p>
    <w:p w:rsidR="005728DD" w:rsidRDefault="005728DD" w:rsidP="005728DD">
      <w:pPr>
        <w:pStyle w:val="TtuloBOE"/>
      </w:pPr>
      <w:r>
        <w:t>(BOE núm. 46, de 23 de febrero de 2021)</w:t>
      </w:r>
    </w:p>
    <w:p w:rsidR="005728DD" w:rsidRDefault="005728DD" w:rsidP="005728DD">
      <w:pPr>
        <w:pStyle w:val="TextoNormalCentrado"/>
      </w:pPr>
      <w:r>
        <w:t>ECLI:ES:TC:2021:9</w:t>
      </w:r>
    </w:p>
    <w:p w:rsidR="005728DD" w:rsidRDefault="005728DD" w:rsidP="005728DD">
      <w:pPr>
        <w:pStyle w:val="TextoNormalCentrado"/>
      </w:pPr>
    </w:p>
    <w:p w:rsidR="005728DD" w:rsidRDefault="005728DD" w:rsidP="005728DD">
      <w:pPr>
        <w:pStyle w:val="SntesisDescriptiva"/>
      </w:pPr>
      <w:r>
        <w:t>Recurso de amparo 6090-2019.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(STC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6090-2019, promovido por Euroinversiones Inmobiliarias Costa Sur, S.L., representada por la procuradora de los tribunales doña Blanca Berriatua Horta y bajo la dirección del letrado don Marcelino Gilabert García,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 Ha intervenido el Ministerio Fiscal.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25 de octubre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6090-2019, cuyo conocimiento correspondió a la Sección Segunda de este tribunal.</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relevantes para resolver la pretensión planteada, según se recogen en la demanda y en la documentación aportada, son en síntesis los siguientes:</w:t>
      </w:r>
    </w:p>
    <w:p w:rsidR="005728DD" w:rsidRDefault="005728DD" w:rsidP="005728DD">
      <w:pPr>
        <w:pStyle w:val="TextoNormal"/>
      </w:pPr>
    </w:p>
    <w:p w:rsidR="005728DD" w:rsidRDefault="005728DD" w:rsidP="005728DD">
      <w:pPr>
        <w:pStyle w:val="TextoNormal"/>
      </w:pPr>
      <w:r>
        <w:t>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005728DD" w:rsidRDefault="005728DD" w:rsidP="005728DD">
      <w:pPr>
        <w:pStyle w:val="TextoNormal"/>
      </w:pPr>
    </w:p>
    <w:p w:rsidR="005728DD" w:rsidRDefault="005728DD" w:rsidP="005728DD">
      <w:pPr>
        <w:pStyle w:val="TextoNormal"/>
      </w:pPr>
      <w:r>
        <w:t>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005728DD" w:rsidRDefault="005728DD" w:rsidP="005728DD">
      <w:pPr>
        <w:pStyle w:val="TextoNormal"/>
      </w:pPr>
    </w:p>
    <w:p w:rsidR="005728DD" w:rsidRDefault="005728DD" w:rsidP="005728DD">
      <w:pPr>
        <w:pStyle w:val="TextoNormal"/>
      </w:pPr>
      <w:r>
        <w:t>c) La representación legal de Euroinversiones Inmobiliarias Costa Sur, S.L., presentó escrito de oposición a la ejecución despachada con fecha 25 de julio de 2018. Por auto de 21 de septiembre de 2018 se acordó su inadmisión por considerar la pretensión extemporánea, tomando como fecha de notificación el 13 de junio de 2018.</w:t>
      </w:r>
    </w:p>
    <w:p w:rsidR="005728DD" w:rsidRDefault="005728DD" w:rsidP="005728DD">
      <w:pPr>
        <w:pStyle w:val="TextoNormal"/>
      </w:pPr>
    </w:p>
    <w:p w:rsidR="005728DD" w:rsidRDefault="005728DD" w:rsidP="005728DD">
      <w:pPr>
        <w:pStyle w:val="TextoNormal"/>
      </w:pPr>
      <w:r>
        <w:t>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162 de la Ley de enjuiciamiento civil (LEC), vulnera el art. 24 CE.</w:t>
      </w:r>
    </w:p>
    <w:p w:rsidR="005728DD" w:rsidRDefault="005728DD" w:rsidP="005728DD">
      <w:pPr>
        <w:pStyle w:val="TextoNormal"/>
      </w:pPr>
    </w:p>
    <w:p w:rsidR="005728DD" w:rsidRDefault="005728DD" w:rsidP="005728DD">
      <w:pPr>
        <w:pStyle w:val="TextoNormal"/>
      </w:pPr>
      <w:r>
        <w:t xml:space="preserve">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w:t>
      </w:r>
      <w:r>
        <w:lastRenderedPageBreak/>
        <w:t>civil, así como en los arts. 14.2 de la Ley 39/2015, de 1 de octubre, del procedimiento administrativo común de las administraciones públicas (LPACAP)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728DD" w:rsidRDefault="005728DD" w:rsidP="005728DD">
      <w:pPr>
        <w:pStyle w:val="TextoNormal"/>
      </w:pPr>
    </w:p>
    <w:p w:rsidR="005728DD" w:rsidRDefault="005728DD" w:rsidP="005728D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15 de junio de 2020 la Sección Segunda de este tribunal acordó no admitir a trámite el recurso de amparo por no apreciar en el mismo la especial trascendencia constitucional que, como condición para su admisión, requiere el art. 50.1.b) de la Ley Orgánica del Tribunal Constitucional (STC 155/2009, de 25 de junio, FJ 2). Dicha providencia se dejó sin efecto en virtud del auto de 18 de septiembre de 2020 que estimó el recurso de súplica interpuesto contra la misma por el Ministerio Fiscal.</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LOTC, se acordó dirigir comunicación al Juzgado de Primera Instancia e Instrucción núm. 5 de Lorca, a fin de que, en el plazo de diez días, remitiera certificación </w:t>
      </w:r>
      <w:r>
        <w:lastRenderedPageBreak/>
        <w:t>o fotocopia adverada de las actuaciones correspondientes a los autos de ejecución hipotecaria núm. 385-2018 y emplazara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6</w:t>
      </w:r>
      <w:r>
        <w:t>. La entidad demandante de amparo presentó sus alegaciones el 30 de diciembre de 2020, indicando que el día 28 de diciembre de 2020, en el plazo concedido presentó también escrito al que no se adjuntó el escrito de alegaciones por lo que solicitó que se le tenga por subsanado el error. En las alegaciones presentadas se remite a lo expuesto en su recurso y hace mención adicional a los pronunciamientos de la STC 40/2020, de 27 de febrero, a propósito del uso indebido de la dirección electrónica habilitada para realizar el primer emplazamiento del demandado.</w:t>
      </w:r>
    </w:p>
    <w:p w:rsidR="005728DD" w:rsidRDefault="005728DD" w:rsidP="005728DD">
      <w:pPr>
        <w:pStyle w:val="TextoNormal"/>
      </w:pPr>
    </w:p>
    <w:p w:rsidR="005728DD" w:rsidRDefault="005728DD" w:rsidP="005728DD">
      <w:pPr>
        <w:pStyle w:val="TextoNormal"/>
      </w:pPr>
      <w:r w:rsidRPr="005728DD">
        <w:rPr>
          <w:rStyle w:val="NumeroAFNegritaCaracter"/>
        </w:rPr>
        <w:t>7</w:t>
      </w:r>
      <w:r>
        <w:t>. El fiscal ante este Tribunal Constitucional, mediante escrito registrado el 4 de enero de 2021,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providencia de fecha 21 de enero de 2021, se señaló para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Único. El presente recurso de amparo tiene por objeto la impugnación de los autos de 10 de septiembre de 2018 y de 21 de septiembre de 2019, dictados por el Juzgado de Primera Instancia e Instrucción núm. 5 de Lorca, en el procedimiento de ejecución hipotecaria núm. 385-2018.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septiembre de 2019, a fin de que el juzgado admita a trámite su oposición al despacho de ejecución.</w:t>
      </w:r>
    </w:p>
    <w:p w:rsidR="005728DD" w:rsidRDefault="005728DD" w:rsidP="005728DD">
      <w:pPr>
        <w:pStyle w:val="TextoNormal"/>
      </w:pPr>
    </w:p>
    <w:p w:rsidR="005728DD" w:rsidRDefault="005728DD" w:rsidP="005728DD">
      <w:pPr>
        <w:pStyle w:val="TextoNormal"/>
      </w:pPr>
      <w:r>
        <w:t>El Ministerio Fiscal solicitó la estimación de la demanda de amparo y la nulidad de todo lo actuado desde la notificación electrónica del auto de despacho de la ejecución con retroacción de las actuaciones al momento anterior.</w:t>
      </w:r>
    </w:p>
    <w:p w:rsidR="005728DD" w:rsidRDefault="005728DD" w:rsidP="005728DD">
      <w:pPr>
        <w:pStyle w:val="TextoNormal"/>
      </w:pPr>
    </w:p>
    <w:p w:rsidR="005728DD" w:rsidRDefault="005728DD" w:rsidP="005728DD">
      <w:pPr>
        <w:pStyle w:val="TextoNormal"/>
      </w:pPr>
      <w:r>
        <w:t xml:space="preserve">La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10 de septiembre de 2018 y de 21 de septiembre de 2019, dictados por el Juzgado de Primera Instancia e Instrucción núm. 5 de Lorca, han vulnerado el derecho a la tutela judicial efectiva de la recurrente en amparo (art. 24.1 CE). Como en aquel caso, la estimación del amparo trae consigo la nulidad de los autos recurridos, así como de todo lo actuado en el procedimiento hipotecario </w:t>
      </w:r>
      <w:r w:rsidRPr="005728DD">
        <w:rPr>
          <w:i/>
        </w:rPr>
        <w:t>a quo</w:t>
      </w:r>
      <w:r>
        <w:t xml:space="preserve"> desde el momento en que se proveyó al emplazamiento de la entidad mercantil solicitante de amparo a través de la dirección electrónica habilitada.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S.L., y, en su virtud:</w:t>
      </w:r>
    </w:p>
    <w:p w:rsidR="005728DD" w:rsidRDefault="005728DD" w:rsidP="005728DD">
      <w:pPr>
        <w:pStyle w:val="TextoNormal"/>
      </w:pPr>
    </w:p>
    <w:p w:rsidR="005728DD" w:rsidRDefault="005728DD" w:rsidP="005728DD">
      <w:pPr>
        <w:pStyle w:val="TextoNormal"/>
      </w:pPr>
      <w:r>
        <w:t>1º Declarar que ha sido vulnerado el derecho fundamental de la recurrente en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 los autos de 10 de septiembre de 2018 y de 21 de septiembre de 2019, dictados por el Juzgado de Primera Instancia e Instrucción núm. 5 de Lorca, en el proceso de ejecución hipotecaria núm. 385-2018,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referido juzgado de forma que resulte respetuoso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 w:name="SENTENCIA_2021_10"/>
      <w:r>
        <w:lastRenderedPageBreak/>
        <w:t>SENTENCIA 10/2021, de 25 de enero de 2021</w:t>
      </w:r>
    </w:p>
    <w:bookmarkEnd w:id="13"/>
    <w:p w:rsidR="005728DD" w:rsidRDefault="005728DD" w:rsidP="005728DD">
      <w:pPr>
        <w:pStyle w:val="TtuloResolucin"/>
      </w:pPr>
      <w:r>
        <w:t>Sala Primera</w:t>
      </w:r>
    </w:p>
    <w:p w:rsidR="005728DD" w:rsidRDefault="005728DD" w:rsidP="005728DD">
      <w:pPr>
        <w:pStyle w:val="TtuloBOE"/>
      </w:pPr>
      <w:r>
        <w:t>(BOE núm. 46, de 23 de febrero de 2021)</w:t>
      </w:r>
    </w:p>
    <w:p w:rsidR="005728DD" w:rsidRDefault="005728DD" w:rsidP="005728DD">
      <w:pPr>
        <w:pStyle w:val="TextoNormalCentrado"/>
      </w:pPr>
      <w:r>
        <w:t>ECLI:ES:TC:2021:10</w:t>
      </w:r>
    </w:p>
    <w:p w:rsidR="005728DD" w:rsidRDefault="005728DD" w:rsidP="005728DD">
      <w:pPr>
        <w:pStyle w:val="TextoNormalCentrado"/>
      </w:pPr>
    </w:p>
    <w:p w:rsidR="005728DD" w:rsidRDefault="005728DD" w:rsidP="005728DD">
      <w:pPr>
        <w:pStyle w:val="SntesisDescriptiva"/>
      </w:pPr>
      <w:r>
        <w:t>Recurso de amparo 6091-2019.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(STC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6091-2019, promovido por Penrei Inversiones, S.L., representada por la procuradora de los tribunales doña Blanca Berriatua Horta y bajo la dirección de la letrada doña Anju Nirmala Benavent Rodriguez, contra los autos de 10 de septiembre de 2018 y de 21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 Ha intervenido el Ministerio Fiscal. Ha comparecido la entidad Pera Assets Designated Activity Company, actuando como sucesora procesal del banco ejecutante.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25 de octubre de 2019,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6091-2019, cuyo conocimiento correspondió a la Sección Segunda de este tribunal.</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relevantes para resolver la pretensión planteada, según se recogen en la demanda y en la documentación aportada, son en síntesis los siguientes:</w:t>
      </w:r>
    </w:p>
    <w:p w:rsidR="005728DD" w:rsidRDefault="005728DD" w:rsidP="005728DD">
      <w:pPr>
        <w:pStyle w:val="TextoNormal"/>
      </w:pPr>
    </w:p>
    <w:p w:rsidR="005728DD" w:rsidRDefault="005728DD" w:rsidP="005728DD">
      <w:pPr>
        <w:pStyle w:val="TextoNormal"/>
      </w:pPr>
      <w:r>
        <w:t>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005728DD" w:rsidRDefault="005728DD" w:rsidP="005728DD">
      <w:pPr>
        <w:pStyle w:val="TextoNormal"/>
      </w:pPr>
    </w:p>
    <w:p w:rsidR="005728DD" w:rsidRDefault="005728DD" w:rsidP="005728DD">
      <w:pPr>
        <w:pStyle w:val="TextoNormal"/>
      </w:pPr>
      <w:r>
        <w:t>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005728DD" w:rsidRDefault="005728DD" w:rsidP="005728DD">
      <w:pPr>
        <w:pStyle w:val="TextoNormal"/>
      </w:pPr>
    </w:p>
    <w:p w:rsidR="005728DD" w:rsidRDefault="005728DD" w:rsidP="005728DD">
      <w:pPr>
        <w:pStyle w:val="TextoNormal"/>
      </w:pPr>
      <w:r>
        <w:t>c) La representación legal de Penrei Inversiones, S.L., presentó escrito de oposición a la ejecución despachada con fecha 25 de julio de 2018. Por auto de 21 de septiembre de 2018 se acordó su inadmisión por considerar la pretensión extemporánea, tomando como fecha de notificación el 13 de junio de 2018.</w:t>
      </w:r>
    </w:p>
    <w:p w:rsidR="005728DD" w:rsidRDefault="005728DD" w:rsidP="005728DD">
      <w:pPr>
        <w:pStyle w:val="TextoNormal"/>
      </w:pPr>
    </w:p>
    <w:p w:rsidR="005728DD" w:rsidRDefault="005728DD" w:rsidP="005728DD">
      <w:pPr>
        <w:pStyle w:val="TextoNormal"/>
      </w:pPr>
      <w:r>
        <w:t>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162 de la Ley de enjuiciamiento civil (LEC), vulnera el art. 24 CE.</w:t>
      </w:r>
    </w:p>
    <w:p w:rsidR="005728DD" w:rsidRDefault="005728DD" w:rsidP="005728DD">
      <w:pPr>
        <w:pStyle w:val="TextoNormal"/>
      </w:pPr>
    </w:p>
    <w:p w:rsidR="005728DD" w:rsidRDefault="005728DD" w:rsidP="005728DD">
      <w:pPr>
        <w:pStyle w:val="TextoNormal"/>
      </w:pPr>
      <w:r>
        <w:t xml:space="preserve">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w:t>
      </w:r>
      <w:r>
        <w:lastRenderedPageBreak/>
        <w:t>civil, así como en los arts. 14.2 de la Ley 39/2015, de 1 de octubre, del procedimiento administrativo común de las administraciones públicas (LPACAP)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728DD" w:rsidRDefault="005728DD" w:rsidP="005728DD">
      <w:pPr>
        <w:pStyle w:val="TextoNormal"/>
      </w:pPr>
    </w:p>
    <w:p w:rsidR="005728DD" w:rsidRDefault="005728DD" w:rsidP="005728D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15 de junio de 2020 la Sección Segunda de este tribunal acordó no admitir a trámite el recurso de amparo por no apreciar en el mismo la especial trascendencia constitucional que, como condición para su admisión, requiere el art. 50.1.b) de la Ley Orgánica del Tribunal Constitucional (STC 155/2009, de 25 de junio, FJ 2). Dicha providencia se dejó sin efecto en virtud del auto de 18 de septiembre de 2020 que estimó el recurso de súplica interpuesto contra la misma por el Ministerio Fiscal.</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LOTC, se acordó dirigir comunicación al Juzgado de Primera Instancia e Instrucción núm. 5 de Lorca, a fin de que, en el plazo de diez días, remitiera certificación </w:t>
      </w:r>
      <w:r>
        <w:lastRenderedPageBreak/>
        <w:t>o fotocopia adverada de las actuaciones correspondientes a los autos de ejecución hipotecaria núm. 385-2018 y emplazara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presentado en el registro de este tribunal el 17 de noviembre de 2020, la procuradora de los tribunales doña María Claudia Munteanu, actuando en nombre y representación de la entidad Pera Assets Designated Activity Company, solicitó se tuviera a esta última como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19 de noviembre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8</w:t>
      </w:r>
      <w:r>
        <w:t>. La entidad demandante de amparo presentó sus alegaciones el 28 de diciembre de 2020, en las que se remite a lo expuesto en su recurso y hace mención adicional a los pronunciamientos de la STC 40/2020, de 27 de febrero, a propósito del uso indebido de la dirección electrónica habilitada para realizar el primer emplazamiento del demandado.</w:t>
      </w:r>
    </w:p>
    <w:p w:rsidR="005728DD" w:rsidRDefault="005728DD" w:rsidP="005728DD">
      <w:pPr>
        <w:pStyle w:val="TextoNormal"/>
      </w:pPr>
    </w:p>
    <w:p w:rsidR="005728DD" w:rsidRDefault="005728DD" w:rsidP="005728DD">
      <w:pPr>
        <w:pStyle w:val="TextoNormal"/>
      </w:pPr>
      <w:r w:rsidRPr="005728DD">
        <w:rPr>
          <w:rStyle w:val="NumeroAFNegritaCaracter"/>
        </w:rPr>
        <w:t>9</w:t>
      </w:r>
      <w:r>
        <w:t>. El fiscal ante este Tribunal Constitucional, mediante escrito registrado el 4 de enero de 2021,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providencia de fecha 21 de enero de 2021, se señaló para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El presente recurso de amparo tiene por objeto la impugnación de los autos de 10 de septiembre de 2018 y de 21 de septiembre de 2019, dictados por el Juzgado de Primera Instancia e Instrucción núm. 5 de Lorca, en el procedimiento de ejecución hipotecaria núm. 385-2018.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w:t>
      </w:r>
      <w:r>
        <w:lastRenderedPageBreak/>
        <w:t>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septiembre de 2019, a fin de que el juzgado admita a trámite su oposición al despacho de ejecución.</w:t>
      </w:r>
    </w:p>
    <w:p w:rsidR="005728DD" w:rsidRDefault="005728DD" w:rsidP="005728DD">
      <w:pPr>
        <w:pStyle w:val="TextoNormal"/>
      </w:pPr>
    </w:p>
    <w:p w:rsidR="005728DD" w:rsidRDefault="005728DD" w:rsidP="005728DD">
      <w:pPr>
        <w:pStyle w:val="TextoNormal"/>
      </w:pPr>
      <w:r>
        <w:t>El Ministerio Fiscal solicitó la estimación de la demanda de amparo y la nulidad de todo lo actuado desde la notificación electrónica del auto de despacho de la ejecución con retroacción de las actuaciones al momento anterior.</w:t>
      </w:r>
    </w:p>
    <w:p w:rsidR="005728DD" w:rsidRDefault="005728DD" w:rsidP="005728DD">
      <w:pPr>
        <w:pStyle w:val="TextoNormal"/>
      </w:pPr>
    </w:p>
    <w:p w:rsidR="005728DD" w:rsidRDefault="005728DD" w:rsidP="005728DD">
      <w:pPr>
        <w:pStyle w:val="TextoNormal"/>
      </w:pPr>
      <w:r>
        <w:t xml:space="preserve">La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10 de septiembre de 2018 y de 21 de septiembre de 2019, dictados por el Juzgado de Primera Instancia e Instrucción núm. 5 de Lorca, han vulnerado el derecho a la tutela judicial efectiva de la recurrente en amparo (art. 24.1 CE). Como en aquel caso, la estimación del amparo trae consigo la nulidad de los autos recurridos, así como de todo lo actuado en el procedimiento hipotecario </w:t>
      </w:r>
      <w:r w:rsidRPr="005728DD">
        <w:rPr>
          <w:i/>
        </w:rPr>
        <w:t>a quo</w:t>
      </w:r>
      <w:r>
        <w:t xml:space="preserve"> desde el momento en que se proveyó al emplazamiento de la entidad mercantil solicitante de amparo a través de la dirección electrónica habilitada.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Penrei Inversiones, S.L., y, en su virtud:</w:t>
      </w:r>
    </w:p>
    <w:p w:rsidR="005728DD" w:rsidRDefault="005728DD" w:rsidP="005728DD">
      <w:pPr>
        <w:pStyle w:val="TextoNormal"/>
      </w:pPr>
    </w:p>
    <w:p w:rsidR="005728DD" w:rsidRDefault="005728DD" w:rsidP="005728DD">
      <w:pPr>
        <w:pStyle w:val="TextoNormal"/>
      </w:pPr>
      <w:r>
        <w:t>1º Declarar que ha sido vulnerado el derecho fundamental de la recurrente en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 los autos de 10 de septiembre de 2018 y de 21 de septiembre de 2019, dictados por el Juzgado de Primera Instancia e Instrucción núm. 5 de Lorca, en el proceso de ejecución hipotecaria núm. 385-2018,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referido juzgado de forma que resulte respetuoso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4" w:name="SENTENCIA_2021_11"/>
      <w:r>
        <w:lastRenderedPageBreak/>
        <w:t>SENTENCIA 11/2021, de 25 de enero de 2021</w:t>
      </w:r>
    </w:p>
    <w:bookmarkEnd w:id="14"/>
    <w:p w:rsidR="005728DD" w:rsidRDefault="005728DD" w:rsidP="005728DD">
      <w:pPr>
        <w:pStyle w:val="TtuloResolucin"/>
      </w:pPr>
      <w:r>
        <w:t>Sala Segunda</w:t>
      </w:r>
    </w:p>
    <w:p w:rsidR="005728DD" w:rsidRDefault="005728DD" w:rsidP="005728DD">
      <w:pPr>
        <w:pStyle w:val="TtuloBOE"/>
      </w:pPr>
      <w:r>
        <w:t>(BOE núm. 46, de 23 de febrero de 2021)</w:t>
      </w:r>
    </w:p>
    <w:p w:rsidR="005728DD" w:rsidRDefault="005728DD" w:rsidP="005728DD">
      <w:pPr>
        <w:pStyle w:val="TextoNormalCentrado"/>
      </w:pPr>
      <w:r>
        <w:t>ECLI:ES:TC:2021:11</w:t>
      </w:r>
    </w:p>
    <w:p w:rsidR="005728DD" w:rsidRDefault="005728DD" w:rsidP="005728DD">
      <w:pPr>
        <w:pStyle w:val="TextoNormalCentrado"/>
      </w:pPr>
    </w:p>
    <w:p w:rsidR="005728DD" w:rsidRDefault="005728DD" w:rsidP="005728DD">
      <w:pPr>
        <w:pStyle w:val="SntesisDescriptiva"/>
      </w:pPr>
      <w:r>
        <w:t>Recurso de amparo 248-2020. Promovido por la Generalitat de Cataluña respecto de las resoluciones de la Sala de lo Contencioso-Administrativo del Tribunal Superior de Justicia de Cataluña que inadmitieron su recurso de casación por infracción de la normativa autonómica.</w:t>
      </w:r>
    </w:p>
    <w:p w:rsidR="005728DD" w:rsidRDefault="005728DD" w:rsidP="005728DD">
      <w:pPr>
        <w:pStyle w:val="SntesisDescriptiva"/>
      </w:pPr>
    </w:p>
    <w:p w:rsidR="005728DD" w:rsidRDefault="005728DD" w:rsidP="005728DD">
      <w:pPr>
        <w:pStyle w:val="SntesisAnaltica"/>
      </w:pPr>
      <w:r>
        <w:t>Vulneración del derecho a la tutela judicial efectiva (acceso al recurso): resoluciones judiciales que inadmiten, sin causa legal para ello, un recurso de casación basado en infracción de normas autonómicas (SSTC 128/2018 y 98/2020). Votos particulares.</w:t>
      </w:r>
    </w:p>
    <w:p w:rsidR="005728DD" w:rsidRDefault="005728DD" w:rsidP="005728DD">
      <w:pPr>
        <w:pStyle w:val="SntesisAnaltica"/>
      </w:pPr>
    </w:p>
    <w:p w:rsidR="005728DD" w:rsidRDefault="005728DD" w:rsidP="005728DD">
      <w:pPr>
        <w:pStyle w:val="Extracto"/>
      </w:pPr>
      <w:r>
        <w:t>1.</w:t>
      </w:r>
      <w:r>
        <w:tab/>
        <w:t>Aplicación de doctrina sobre vulneración del derecho a la tutela judicial efectiva desde la perspectiva del derecho de acceso al recurso legal, al inadmitir el recurso de casación por infracción de normativa autonómica sin que exista causa legal en la que se prevea esta consecuencia y en virtud de una interpretación literal del art. 86.3 LJCA que conduce a un resultado materialmente contrario al derecho de acceso al recurso (SSTC 128/2018 y 98/2020)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248-2020, promovido por la Generalitat de Cataluña, contra el auto de la Sección de Casación de la Sala de lo Contencioso-Administrativo del Tribunal Superior de Justicia de Cataluña núm. 24-2019, de 25 de noviembre de 2019, por el que se desestima el recurso de queja núm. 9-2019, interpuesto contra el auto de la Sección Quinta de la Sala de lo Contencioso-Administrativo del Tribunal Superior de Justicia de Cataluña de 13 de junio de 2019, por el que se deniega tener por preparado el recurso de casación por infracción de la normativa autonómica contra la sentencia núm. 967-2017, de 28 de diciembre de 2017, pronunciados en el recurso ordinario núm. 195-2015. Ha sido parte el Abogado del Estado y el Ayuntamiento de Sabadell, representado por el procurador de los tribunales don Ángel Quemada Cuatrecasas, bajo la dirección del letrado don Marcel Galofre Esteve.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Generalitat de Cataluña interpuso recurso de amparo contra las resoluciones judiciales que se mencionan en el encabezamiento de esta sentencia mediante escrito registrado en este tribunal el 16 de enero de 2020.</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 sentencia de la Sección Quinta de la Sala de lo Contencioso-Administrativo del Tribunal Superior de Justicia de Cataluña núm. 967-2017, de 28 de diciembre de 2017, pronunciada en el recurso ordinario núm. 195-2015, estimó parcialmente el recurso interpuesto por el Ayuntamiento de Sabadell contra la resolución de la Consejería de Enseñanza de la Generalidad de Cataluña de 3 de julio de 2015.</w:t>
      </w:r>
    </w:p>
    <w:p w:rsidR="005728DD" w:rsidRDefault="005728DD" w:rsidP="005728DD">
      <w:pPr>
        <w:pStyle w:val="TextoNormal"/>
      </w:pPr>
    </w:p>
    <w:p w:rsidR="005728DD" w:rsidRDefault="005728DD" w:rsidP="005728DD">
      <w:pPr>
        <w:pStyle w:val="TextoNormal"/>
      </w:pPr>
      <w:r>
        <w:t>b) La Generalitat de Cataluña, mediante escrito de 13 de abril de 2018, anunció la intención de interponer recurso de casación por infracción de normativa autonómica al amparo del art. 86.3 de la Ley 29/1998, de 13 de julio, reguladora de la jurisdicción contencioso-administrativa (LJCA).</w:t>
      </w:r>
    </w:p>
    <w:p w:rsidR="005728DD" w:rsidRDefault="005728DD" w:rsidP="005728DD">
      <w:pPr>
        <w:pStyle w:val="TextoNormal"/>
      </w:pPr>
    </w:p>
    <w:p w:rsidR="005728DD" w:rsidRDefault="005728DD" w:rsidP="005728DD">
      <w:pPr>
        <w:pStyle w:val="TextoNormal"/>
      </w:pPr>
      <w:r>
        <w:t>c) La Sección Quinta de la Sala de lo Contencioso-Administrativo del Tribunal Superior de Justicia de Cataluña, por auto de 13 de junio de 2019, acordó denegar la preparación del recurso de casación al no ser la resolución susceptible de dicha impugnación argumentando, con cita de su auto de 11 de marzo de 2019, pronunciado en el procedimiento ordinario núm. 452-2015, que el recurso de casación por infracción de la normativa autonómica no cabe contra las sentencias de las salas de los tribunales superiores de justicia, cuando tienen un reparto especializado, por ser contradictoria con la vigente regulación procesal del recurso de casación estatal que responde a la lógica de dos secciones: una de admisión (no especializada), que se limita a examinar si concurren los requisitos de admisión, y otra de resolución (especializada), que es la que forma jurisprudencia.</w:t>
      </w:r>
    </w:p>
    <w:p w:rsidR="005728DD" w:rsidRDefault="005728DD" w:rsidP="005728DD">
      <w:pPr>
        <w:pStyle w:val="TextoNormal"/>
      </w:pPr>
    </w:p>
    <w:p w:rsidR="005728DD" w:rsidRDefault="005728DD" w:rsidP="005728DD">
      <w:pPr>
        <w:pStyle w:val="TextoNormal"/>
      </w:pPr>
      <w:r>
        <w:t>d) La Generalitat de Cataluña interpuso recurso de queja, que fue tramitado con el núm. 9-2019 por la Sección de Casación de la Sala de lo Contencioso-Administrativo del Tribunal Superior de Justicia de Cataluña, en que se invocaba la vulneración del derecho a la tutela judicial efectiva (art. 24.1 CE), desde la perspectiva del derecho de acceso al recurso.</w:t>
      </w:r>
    </w:p>
    <w:p w:rsidR="005728DD" w:rsidRDefault="005728DD" w:rsidP="005728DD">
      <w:pPr>
        <w:pStyle w:val="TextoNormal"/>
      </w:pPr>
    </w:p>
    <w:p w:rsidR="005728DD" w:rsidRDefault="005728DD" w:rsidP="005728DD">
      <w:pPr>
        <w:pStyle w:val="TextoNormal"/>
      </w:pPr>
      <w:r>
        <w:t>e) El recurso fue desestimado por auto núm. 24-2019, de 25 de noviembre de 2019, con fundamento en autos previos de esa misma Sección de 28 de noviembre de 2017 y de 18 de mayo de 2018, pronunciados en los recursos de queja núms. 8-2017 y 20-2017, respectivamente. El auto, que cuenta con el voto particular disidente de una de sus magistradas, argumenta que una interpretación sistemática de los párrafos segundo y tercero del art. 86.3 LJCA determina que el recurso de casación autonómico solo procede contra las sentencias dictadas en única instancia por los juzgados de lo contencioso-administrativo que contengan doctrina que se repute gravemente dañosa para los intereses generales, sean susceptibles de extensión de efectos y se funden en normas emanadas de la comunidad autónoma, pero no contra las sentencias dictadas por las salas de lo contencioso-administrativo de los tribunales superiores de justicia de las comunidades autónomas.</w:t>
      </w:r>
    </w:p>
    <w:p w:rsidR="005728DD" w:rsidRDefault="005728DD" w:rsidP="005728DD">
      <w:pPr>
        <w:pStyle w:val="TextoNormal"/>
      </w:pPr>
    </w:p>
    <w:p w:rsidR="005728DD" w:rsidRDefault="005728DD" w:rsidP="005728DD">
      <w:pPr>
        <w:pStyle w:val="TextoNormal"/>
      </w:pPr>
      <w:r>
        <w:lastRenderedPageBreak/>
        <w:t>A esos efectos, se afirma que la reforma legal operada en el recurso de casación en el orden contencioso-administrativo por la Ley Orgánica 7/2015 se dirige especialmente a la casación estatal y se estructura orgánicamente en dos fases referidas a la admisión, que se decide por una sección no especializada y rotatoria, y a la decisión, que se sigue en una sección especializada o ante el Pleno y cuya función es la creación de jurisprudencia. Esta configuración legal resultaría contradictoria en el ámbito de la casación autonómica si se estimaran recurribles las resoluciones de la propia Sala, que en la generalidad de los casos se reparten los asuntos por secciones especializadas, ya que en tal caso serían las sentencias de estas secciones especializadas las que podrían revisarse por una sección de casación que es rotatoria y no especializada y que, por tanto, no tiene una ascendencia jerárquica ni una cualificación superior. Por otra parte, se destaca que la problemática plateada con la casación autonómica se deriva de la deficiente regulación legal establecida en la reforma operada por la Ley Orgánica 7/2015, que no contiene una identificación de las resoluciones recurribles en casación por infracción de la normativa autonómica ni tampoco una regulación concreta del procedimiento de este tipo de recursos o la existencia misma de una sección de casación que pueda actuar con prevalencia funcional respecto del resto de secciones, siendo contraria a las previsiones de la Ley Orgánica del Poder Judicial (LOPJ) una sección con tales atribuciones dentro del mismo tribunal.</w:t>
      </w:r>
    </w:p>
    <w:p w:rsidR="005728DD" w:rsidRDefault="005728DD" w:rsidP="005728DD">
      <w:pPr>
        <w:pStyle w:val="TextoNormal"/>
      </w:pPr>
    </w:p>
    <w:p w:rsidR="005728DD" w:rsidRDefault="005728DD" w:rsidP="005728DD">
      <w:pPr>
        <w:pStyle w:val="TextoNormal"/>
      </w:pPr>
      <w:r>
        <w:t>El auto concluye que (i) la prevalencia funcional de la sección de casación requeriría, desde la perspectiva constitucional del art. 122 CE, una atribución orgánica expresa en la Ley Orgánica del Poder Judicial, que no está recogida en el vigente art. 74 LOPJ; (ii) la existencia de una sección de estas características, incluso para los casos de resolución de contradicción en la interpretación de la normativa autonómica, es contraria a la previsión del art. 264 LOPJ, que ya establece como vía de unificación de criterio el pleno jurisdiccional; (iii) la formación de jurisprudencia sobre la normativa autonómica ya aparece debidamente cumplida por medio de las resoluciones de las secciones territoriales y salas de los tribunales superiores de justicia; y (iv) los antecedentes legislativos tampoco permiten una extensión del ámbito de las resoluciones recurribles en casación por infracción de la normativa autonómica, no pudiendo existir una equiparación de las resoluciones recurribles en sendos recursos de casación estatal y autonómico cuando ello conlleva la recurribilidad de las decisiones del propio tribunal ante él mismo.</w:t>
      </w:r>
    </w:p>
    <w:p w:rsidR="005728DD" w:rsidRDefault="005728DD" w:rsidP="005728DD">
      <w:pPr>
        <w:pStyle w:val="TextoNormal"/>
      </w:pPr>
    </w:p>
    <w:p w:rsidR="005728DD" w:rsidRDefault="005728DD" w:rsidP="005728DD">
      <w:pPr>
        <w:pStyle w:val="TextoNormal"/>
      </w:pPr>
      <w:r w:rsidRPr="005728DD">
        <w:rPr>
          <w:rStyle w:val="NumeroAFNegritaCaracter"/>
        </w:rPr>
        <w:t>3</w:t>
      </w:r>
      <w:r>
        <w:t>. La parte demandante solicita que se estime el amparo por vulneración del derecho a la tutela judicial efectiva (art. 24.1 CE), declarándose la nulidad de las resoluciones dictadas por la Sala de lo Contencioso-Administrativo del Tribunal Superior de Justicia de Cataluña referidas a la inadmisibilidad de recurso de casación por infracción de la normativa autonómica.</w:t>
      </w:r>
    </w:p>
    <w:p w:rsidR="005728DD" w:rsidRDefault="005728DD" w:rsidP="005728DD">
      <w:pPr>
        <w:pStyle w:val="TextoNormal"/>
      </w:pPr>
    </w:p>
    <w:p w:rsidR="005728DD" w:rsidRDefault="005728DD" w:rsidP="005728DD">
      <w:pPr>
        <w:pStyle w:val="TextoNormal"/>
      </w:pPr>
      <w:r>
        <w:t>La parte demandante invoca el derecho a la tutela judicial efectiva (art. 24.1 CE), con cita de las SSTC 128/2018, de 29 de noviembre; 18/2019, de 11 de febrero, y 26/2019, de 25 de febrero, argumentando que la decisión judicial de negar la recurribilidad en casación por infracción de la normativa autonómica de la sentencia que se pretendía impugnar carece de fundamento legal y resulta arbitraria al cerrar la posibilidad de acceder a un recurso que está legalmente previsto.</w:t>
      </w:r>
    </w:p>
    <w:p w:rsidR="005728DD" w:rsidRDefault="005728DD" w:rsidP="005728DD">
      <w:pPr>
        <w:pStyle w:val="TextoNormal"/>
      </w:pPr>
    </w:p>
    <w:p w:rsidR="005728DD" w:rsidRDefault="005728DD" w:rsidP="005728DD">
      <w:pPr>
        <w:pStyle w:val="TextoNormal"/>
      </w:pPr>
      <w:r>
        <w:t xml:space="preserve">La parte demandante afirma que el recurso de amparo tiene especial transcendencia constitucional, conforme a lo establecido en la STC 155/2009, de 25 de junio, ya que se trata de </w:t>
      </w:r>
      <w:r>
        <w:lastRenderedPageBreak/>
        <w:t>un incumplimiento reiterado de la jurisprudencia constitucional en la materia y porque plantea una cuestión jurídica de relevante y general repercusión social, en la medida en que no se trata de la inadmisión de un recurso en particular, sino la denegación con carácter general de la posibilidad de aplicación en el ámbito del Tribunal Superior de Justicia de Cataluña de un recurso regulado en la ley.</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17 de septiembre de 2020, acordó la admisión a trámite del presente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aclarar o cambiar su doctrina, como consecuencia de cambios normativos relevantes para la configuración del contenido del derecho fundamental [STC 155/2009, FJ 2 b)]; dirigir atenta comunicación al órgano judicial para que remita certificación o fotocopia adverada de las actuaciones y emplazamiento para que puedan comparecen en los recursos de amparo quienes hubieran sido parte en el procedimiento.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10 de noviembre de 2020, acordó tener por personados al abogado del Estado y al Ayuntamiento de Sabadell, representado por el procurador de los tribunales don Ángel Quemada Cuatrecasas, y dar vista de las actuaciones al Ministerio Fiscal y a las partes personadas por plazo común de veinte días para presentar las alegaciones que estimasen pertinentes, de conformidad con el art. 52 LOTC.</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en este tribunal el 21 de diciembre de 2020, interesa que se estime el recurso por vulneración del derecho a la tutela judicial efectiva (art. 24.1 CE), en su concreta dimensión de derecho de acceso al recurso, anulándose las resoluciones impugnadas con retroacción de actuaciones para que se pronuncie otra respetuosa con el derecho fundamental vulnerado.</w:t>
      </w:r>
    </w:p>
    <w:p w:rsidR="005728DD" w:rsidRDefault="005728DD" w:rsidP="005728DD">
      <w:pPr>
        <w:pStyle w:val="TextoNormal"/>
      </w:pPr>
    </w:p>
    <w:p w:rsidR="005728DD" w:rsidRDefault="005728DD" w:rsidP="005728DD">
      <w:pPr>
        <w:pStyle w:val="TextoNormal"/>
      </w:pPr>
      <w:r>
        <w:t>El Ministerio Fiscal expone la identidad del objeto de este recurso con el resuelto en la STC 98/2020, de 22 de julio, en que ya se concluye que una interpretación del art. 86 LJCA conforme al cual las sentencias dictadas por las secciones o las salas de lo contencioso-administrativo de los tribunales superiores de justicia no son susceptibles de recurso de casación por infracción de la normativa autonómica vulnera el derecho a la tutela judicial efectiva (art. 24.1 CE), desde la perspectiva del derecho de acceso al recurso, ya que es una conclusión que no se corresponde con la jurisprudencia establecida en la STC 128/2018, en referencia al sentido y finalidad de aquella norma, a las exigencias de configuración paralela de ambas modalidades de recurso de casación —estatal y autonómica— y a la remisión implícita del procedente por infracción de normativa autonómica al previsto para la denuncia de la infracción de norma estatal o de la Unión Europea.</w:t>
      </w:r>
    </w:p>
    <w:p w:rsidR="005728DD" w:rsidRDefault="005728DD" w:rsidP="005728DD">
      <w:pPr>
        <w:pStyle w:val="TextoNormal"/>
      </w:pPr>
    </w:p>
    <w:p w:rsidR="005728DD" w:rsidRDefault="005728DD" w:rsidP="005728DD">
      <w:pPr>
        <w:pStyle w:val="TextoNormal"/>
      </w:pPr>
      <w:r w:rsidRPr="005728DD">
        <w:rPr>
          <w:rStyle w:val="NumeroAFNegritaCaracter"/>
        </w:rPr>
        <w:t>7</w:t>
      </w:r>
      <w:r>
        <w:t>. El Ayuntamiento de Sabadell presentó sus alegaciones mediante escrito registrado el 19 de noviembre de 2020 señalando que la cuestión debatida transciende el ámbito de esa administración local quedando a la espera de lo que se decida sobre el particular.</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El abogado del Estado presentó sus alegaciones mediante escrito registrado el 22 de enero de 2021 señalando que, en atención a lo resuelto en la STC 128/2018, debe estimarse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La parte demandante presentó sus alegaciones mediante escrito registrado el 24 de noviembre de 2020 ratificándose en las formuladas en su recurso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21 de enero de 2021 se señaló para la deliberación y votación de la presente sentencia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Remisión a la jurisprudencia constitucional establecida en las SSTC 128/2018, de 29 de noviembre, y 98/2020, de 22 de julio</w:t>
      </w:r>
      <w:r>
        <w:t>. El objeto de este recurso es determinar si vulnera el derecho a la tutela judicial efectiva (art. 24.1 CE), desde la perspectiva del derecho de acceso al recurso, la decisión judicial impugnada, en que se acuerda que, de conformidad con lo establecido en el art. 86.3 de la Ley 29/1998, de 13 de julio, reguladora de la jurisdicción contencioso-administrativa (LJCA), tras la reforma operada por la Ley Orgánica 7/2015, de 21 de julio, no cabe interponer el recurso de casación por infracción de la normativa autonómica contra las resoluciones dictadas por las secciones del Tribunal Superior de Justicia de Cataluña.</w:t>
      </w:r>
    </w:p>
    <w:p w:rsidR="005728DD" w:rsidRDefault="005728DD" w:rsidP="005728DD">
      <w:pPr>
        <w:pStyle w:val="TextoNormal"/>
      </w:pPr>
    </w:p>
    <w:p w:rsidR="005728DD" w:rsidRDefault="005728DD" w:rsidP="005728DD">
      <w:pPr>
        <w:pStyle w:val="TextoNormal"/>
      </w:pPr>
      <w:r>
        <w:t>El objeto de este recurso fue resuelto por el Pleno del tribunal en la STC 98/2020, de 22 de julio. En dicha sentencia, con remisión a lo resuelto en la STC 128/2018, de 29 de noviembre, se declara que “sostener que las sentencias dictadas por las secciones o las salas de lo contencioso-administrativo de los tribunales superiores de justicia no son susceptibles de recurso de casación por infracción de normativa autonómica, constituye el resultado de un acto de interpretación y aplicación del art. 86 LJCA que se sustenta en un conjunto de argumentos que no responden a la finalidad perseguida por el legislador y reconocida por este tribunal, de constituir esta modalidad de impugnación el ‘instrumento por excelencia para asegurar la uniformidad en la aplicación judicial del derecho’, en este caso del derecho autonómico. Pero es que, además, aquella interpretación tampoco cumple las dos exigencias de configuración paralela y de remisión implícita que este tribunal ha reconocido, en términos de equiparación normativa, a esta modalidad de recurso respecto del de casación por infracción de la normativa estatal o de la Unión Europea” [fundamento jurídico 3 f)]. A partir de ello, se concluye que “las resoluciones judiciales impugnadas han efectuado, pues, una interpretación y aplicación del art. 86 LJCA, que ha llegado a una conclusión que no se corresponde con la doctrina de este tribunal establecida en la STC 128/2018, en referencia al sentido y finalidad de aquella norma, a las exigencias de configuración ‘paralela’ de ambas modalidades de recurso de casación y a la ‘remisión implícita’ del procedente por infracción de normativa autonómica al previsto para la denuncia de infracción de norma estatal o de la Unión Europea” [fundamento jurídico 3 f)] y, por tanto, que se ha vulnerado el derecho a la tutela judicial efectiva (art. 24.1 CE), en su manifestación del derecho de acceso al recurso.</w:t>
      </w:r>
    </w:p>
    <w:p w:rsidR="005728DD" w:rsidRDefault="005728DD" w:rsidP="005728DD">
      <w:pPr>
        <w:pStyle w:val="TextoNormal"/>
      </w:pPr>
    </w:p>
    <w:p w:rsidR="005728DD" w:rsidRDefault="005728DD" w:rsidP="005728DD">
      <w:pPr>
        <w:pStyle w:val="TextoNormal"/>
      </w:pPr>
      <w:r>
        <w:t xml:space="preserve">En el presente caso, en coherencia con aquellos pronunciamientos, también debe otorgarse el amparo por el mismo motivo. La estimación del recurso lleva consigo acordar la </w:t>
      </w:r>
      <w:r>
        <w:lastRenderedPageBreak/>
        <w:t>nulidad de las resoluciones judiciales impugnadas y ordenar que se retrotraigan las actuaciones para que se pronuncie una nueva resolución respetuosa con el derecho fundamental vulnerado.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Generalidad de Cataluña y, en consecuencia:</w:t>
      </w:r>
    </w:p>
    <w:p w:rsidR="005728DD" w:rsidRDefault="005728DD" w:rsidP="005728DD">
      <w:pPr>
        <w:pStyle w:val="TextoNormal"/>
      </w:pPr>
    </w:p>
    <w:p w:rsidR="005728DD" w:rsidRDefault="005728DD" w:rsidP="005728DD">
      <w:pPr>
        <w:pStyle w:val="TextoNormal"/>
      </w:pPr>
      <w:r>
        <w:t>1º Declarar que ha sido vulnerado el derecho fundamental de la demandante de amparo a la tutela judicial efectiva (art. 24.1 CE), en su vertiente de derecho de acceso al recurso.</w:t>
      </w:r>
    </w:p>
    <w:p w:rsidR="005728DD" w:rsidRDefault="005728DD" w:rsidP="005728DD">
      <w:pPr>
        <w:pStyle w:val="TextoNormal"/>
      </w:pPr>
    </w:p>
    <w:p w:rsidR="005728DD" w:rsidRDefault="005728DD" w:rsidP="005728DD">
      <w:pPr>
        <w:pStyle w:val="TextoNormal"/>
      </w:pPr>
      <w:r>
        <w:t>2º Restablecerla en su derecho y, en consecuencia, declarar la nulidad del auto de la Sección Quinta de la Sala de lo Contencioso-Administrativo del Tribunal Superior de Justicia de Cataluña de 13 de junio de 2019, pronunciado en el recurso ordinario núm. 195-2015; y del auto de la Sección de Casación de la Sala de lo Contencioso-Administrativo del Tribunal Superior de Justicia de Cataluña núm. 24-2019, de 25 de noviembre de 2019, pronunciado en el recurso de queja núm. 9-2019.</w:t>
      </w:r>
    </w:p>
    <w:p w:rsidR="005728DD" w:rsidRDefault="005728DD" w:rsidP="005728DD">
      <w:pPr>
        <w:pStyle w:val="TextoNormal"/>
      </w:pPr>
    </w:p>
    <w:p w:rsidR="005728DD" w:rsidRDefault="005728DD" w:rsidP="005728DD">
      <w:pPr>
        <w:pStyle w:val="TextoNormal"/>
      </w:pPr>
      <w:r>
        <w:t>3º Disponer que se retrotraigan las actuaciones al momento inmediatamente anterior al pronunciamiento de la primera de las resoluciones anuladas para que el órgano judicial dicte una nueva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Juan Antonio Xiol Ríos a la sentencia pronunciada en el recurso de amparo núm. 248-2020</w:t>
      </w:r>
    </w:p>
    <w:p w:rsidR="005728DD" w:rsidRDefault="005728DD" w:rsidP="005728DD">
      <w:pPr>
        <w:pStyle w:val="TextoNormalNegritaCentrado"/>
        <w:keepNext/>
      </w:pPr>
    </w:p>
    <w:p w:rsidR="005728DD" w:rsidRDefault="005728DD" w:rsidP="005728DD">
      <w:pPr>
        <w:pStyle w:val="TextoNormal"/>
      </w:pPr>
      <w:r>
        <w:t>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005728DD" w:rsidRDefault="005728DD" w:rsidP="005728DD">
      <w:pPr>
        <w:pStyle w:val="TextoNormal"/>
      </w:pPr>
    </w:p>
    <w:p w:rsidR="005728DD" w:rsidRDefault="005728DD" w:rsidP="005728DD">
      <w:pPr>
        <w:pStyle w:val="TextoNormal"/>
      </w:pPr>
      <w:r>
        <w:t>Madrid, a veinticinco de enero de dos mil veintiuno.</w:t>
      </w:r>
    </w:p>
    <w:p w:rsidR="005728DD" w:rsidRDefault="005728DD" w:rsidP="005728DD">
      <w:pPr>
        <w:pStyle w:val="TextoNormal"/>
      </w:pPr>
    </w:p>
    <w:p w:rsidR="005728DD" w:rsidRDefault="005728DD" w:rsidP="005728DD">
      <w:pPr>
        <w:pStyle w:val="TextoNormalNegritaCentrado"/>
        <w:keepNext/>
      </w:pPr>
      <w:r>
        <w:t>Voto particular que formula el magistrado don Ricardo Enríquez Sancho a la sentencia dictada en el recurso de amparo núm. 248-2020</w:t>
      </w:r>
    </w:p>
    <w:p w:rsidR="005728DD" w:rsidRDefault="005728DD" w:rsidP="005728DD">
      <w:pPr>
        <w:pStyle w:val="TextoNormalNegritaCentrado"/>
        <w:keepNext/>
      </w:pPr>
    </w:p>
    <w:p w:rsidR="005728DD" w:rsidRDefault="005728DD" w:rsidP="005728DD">
      <w:pPr>
        <w:pStyle w:val="TextoNormal"/>
      </w:pPr>
      <w:r>
        <w:t xml:space="preserve">En el ejercicio de la facultad que me confiere el artículo 90.2 de la Ley Orgánica del Tribunal Constitucional, y con el máximo respeto a la opinión de la mayoría, formulo el presente voto particular por discrepar de una parte de la fundamentación de la sentencia </w:t>
      </w:r>
      <w:r>
        <w:lastRenderedPageBreak/>
        <w:t>recaída en el recurso de amparo núm. 248-2020, que ha conducido a la estimación de la demanda.</w:t>
      </w:r>
    </w:p>
    <w:p w:rsidR="005728DD" w:rsidRDefault="005728DD" w:rsidP="005728DD">
      <w:pPr>
        <w:pStyle w:val="TextoNormal"/>
      </w:pPr>
    </w:p>
    <w:p w:rsidR="005728DD" w:rsidRDefault="005728DD" w:rsidP="005728DD">
      <w:pPr>
        <w:pStyle w:val="TextoNormal"/>
      </w:pPr>
      <w:r>
        <w:t>Las razones de mi discrepancia son idénticas a las expresadas en el voto particular que suscribí a la STC 98/2020, de 22 de julio, en la que se resolvió el recurso de amparo cabecera de esta misma serie, por lo que me remito a lo expuesto entonces.</w:t>
      </w:r>
    </w:p>
    <w:p w:rsidR="005728DD" w:rsidRDefault="005728DD" w:rsidP="005728DD">
      <w:pPr>
        <w:pStyle w:val="TextoNormal"/>
      </w:pPr>
    </w:p>
    <w:p w:rsidR="005728DD" w:rsidRDefault="005728DD" w:rsidP="005728DD">
      <w:pPr>
        <w:pStyle w:val="TextoNormal"/>
      </w:pPr>
      <w:r>
        <w:t>Y en tal sentido emito mi voto particular al presente recurso.</w:t>
      </w:r>
    </w:p>
    <w:p w:rsidR="005728DD" w:rsidRDefault="005728DD" w:rsidP="005728DD">
      <w:pPr>
        <w:pStyle w:val="TextoNormal"/>
      </w:pPr>
    </w:p>
    <w:p w:rsidR="005728DD" w:rsidRDefault="005728DD" w:rsidP="005728DD">
      <w:pPr>
        <w:pStyle w:val="TextoNormal"/>
      </w:pPr>
      <w:r>
        <w:t>Madrid, a veinticinco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5" w:name="SENTENCIA_2021_12"/>
      <w:r>
        <w:lastRenderedPageBreak/>
        <w:t>SENTENCIA 12/2021, de 25 de enero de 2021</w:t>
      </w:r>
    </w:p>
    <w:bookmarkEnd w:id="15"/>
    <w:p w:rsidR="005728DD" w:rsidRDefault="005728DD" w:rsidP="005728DD">
      <w:pPr>
        <w:pStyle w:val="TtuloResolucin"/>
      </w:pPr>
      <w:r>
        <w:t>Sala Primera</w:t>
      </w:r>
    </w:p>
    <w:p w:rsidR="005728DD" w:rsidRDefault="005728DD" w:rsidP="005728DD">
      <w:pPr>
        <w:pStyle w:val="TtuloBOE"/>
      </w:pPr>
      <w:r>
        <w:t>(BOE núm. 46, de 23 de febrero de 2021)</w:t>
      </w:r>
    </w:p>
    <w:p w:rsidR="005728DD" w:rsidRDefault="005728DD" w:rsidP="005728DD">
      <w:pPr>
        <w:pStyle w:val="TextoNormalCentrado"/>
      </w:pPr>
      <w:r>
        <w:t>ECLI:ES:TC:2021:12</w:t>
      </w:r>
    </w:p>
    <w:p w:rsidR="005728DD" w:rsidRDefault="005728DD" w:rsidP="005728DD">
      <w:pPr>
        <w:pStyle w:val="TextoNormalCentrado"/>
      </w:pPr>
    </w:p>
    <w:p w:rsidR="005728DD" w:rsidRDefault="005728DD" w:rsidP="005728DD">
      <w:pPr>
        <w:pStyle w:val="SntesisDescriptiva"/>
      </w:pPr>
      <w:r>
        <w:t>Recurso de amparo 1588-2020. Promovido por doña Ana Isabel Pérez Cordido respecto del auto dictado por un juzgado de primera instancia de A Coruña en procedimiento de ejecución de títulos judiciales.</w:t>
      </w:r>
    </w:p>
    <w:p w:rsidR="005728DD" w:rsidRDefault="005728DD" w:rsidP="005728DD">
      <w:pPr>
        <w:pStyle w:val="SntesisDescriptiva"/>
      </w:pPr>
    </w:p>
    <w:p w:rsidR="005728DD" w:rsidRDefault="005728DD" w:rsidP="005728DD">
      <w:pPr>
        <w:pStyle w:val="SntesisAnaltica"/>
      </w:pPr>
      <w:r>
        <w:t>Vulneración del derecho a la tutela judicial efectiva (motivación): ausencia de control judicial de las cláusulas abusivas que desconoce la primacía del Derecho de la Unión Europea y la jurisprudencia del Tribunal de Justicia (STC 31/2019).</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3 a 5].</w:t>
      </w:r>
    </w:p>
    <w:p w:rsidR="005728DD" w:rsidRDefault="005728DD" w:rsidP="005728DD">
      <w:pPr>
        <w:pStyle w:val="Extracto"/>
      </w:pPr>
    </w:p>
    <w:p w:rsidR="005728DD" w:rsidRDefault="005728DD" w:rsidP="005728DD">
      <w:pPr>
        <w:pStyle w:val="Extracto"/>
      </w:pPr>
      <w:r>
        <w:t>2.</w:t>
      </w:r>
      <w:r>
        <w:tab/>
        <w:t xml:space="preserve">Aplicación de la Directiva 93/13/CEE, del Consejo, de 5 de abril, sobre cláusulas abusivas en los contratos celebrados con consumidores, y de la STJUE de 26 de enero de 2017, Asunto </w:t>
      </w:r>
      <w:r w:rsidRPr="005728DD">
        <w:rPr>
          <w:i/>
        </w:rPr>
        <w:t xml:space="preserve">Banco Primus, S.A. v. Jesús Gutiérrez García </w:t>
      </w:r>
      <w:r>
        <w:t>(asunto C-421/14), que instan a los órganos judiciales al control del carácter abusivo del clausulado de un contrato de préstamo con garantía hipotecaria [FFJJ 3 a 5].</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1588-2020, promovido por doña Ana Isabel Pérez Cordido, representada por el procurador de los tribunales don Eduardo Codes Feijoo, con asistencia letrada de don Javier Vázquez Santos, contra el auto de 3 de febrero de 2020 dictado por el Juzgado de Primera Instancia núm. 8 de A Coruña, en el procedimiento de ejecución de títulos judiciales núm. 9249-2010. Ha sido parte Eos Spain, S.L.U., representada por la procuradora de los tribunales doña Silvia Malangón Loyo y defendida por la letrada doña </w:t>
      </w:r>
      <w:r>
        <w:lastRenderedPageBreak/>
        <w:t>Miriam Castiñeira Sánchez. Ha intervenido el Ministerio Fiscal.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el día 10 de marzo de 2020, doña Ana Isabel Pérez Cordido, representada por el procurador de los tribunales don Eduardo Codes Feijoo, con asistencia letrada de don Javier Vázquez Santos, interpuso recurso de amparo contra el auto de 3 de febrero de 2020 dictado por el Juzgado de Primera Instancia núm. 8 de A Coruña, en el procedimiento de ejecución de títulos judiciales núm. 9249-2010, que desestimó el incidente de nulidad promovido por la demandante.</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al objeto de resolver sobre la pretensión ejercitada en este recurso de amparo son los siguientes:</w:t>
      </w:r>
    </w:p>
    <w:p w:rsidR="005728DD" w:rsidRDefault="005728DD" w:rsidP="005728DD">
      <w:pPr>
        <w:pStyle w:val="TextoNormal"/>
      </w:pPr>
    </w:p>
    <w:p w:rsidR="005728DD" w:rsidRDefault="005728DD" w:rsidP="005728DD">
      <w:pPr>
        <w:pStyle w:val="TextoNormal"/>
      </w:pPr>
      <w:r>
        <w:t>a) La Caja de Ahorros de Galicia presentó petición inicial de procedimiento monitorio el 15 de diciembre de 2009, con base en una póliza de préstamo, en reclamación de 21 324,23 € en concepto de principal, interés ordinarios y de demora devengados, al declarar el vencimiento anticipado del préstamo por incumplimiento del pago de las cuotas pactadas. La petición se dirigía contra Ibérica de Instrumentación Control Sistemas y Automatismos, S.L., y cuatro personas físicas, una de las cuales era doña Ana Isabel Pérez Cordido.</w:t>
      </w:r>
    </w:p>
    <w:p w:rsidR="005728DD" w:rsidRDefault="005728DD" w:rsidP="005728DD">
      <w:pPr>
        <w:pStyle w:val="TextoNormal"/>
      </w:pPr>
    </w:p>
    <w:p w:rsidR="005728DD" w:rsidRDefault="005728DD" w:rsidP="005728DD">
      <w:pPr>
        <w:pStyle w:val="TextoNormal"/>
      </w:pPr>
      <w:r>
        <w:t>b) Repartida la petición inicial de procedimiento monitorio al Juzgado de Primera Instancia núm. 8 de A Coruña, fue registrada como procedimiento monitorio 2065/2009CH. Después de que el órgano judicial efectuara los requerimientos legalmente previstos, y transcurrido el plazo de veinte días para que los demandados atendieran o se opusieran a los mismos sin que lo verificaran, se dictó auto el 17 de septiembre de 2010, por el que se decretaba el archivo del proceso monitorio, con reserva a la parte demandante de su derecho a instar, por medio de la correspondiente demanda, la incoación del proceso de ejecución para hacer efectivas las sumas que se le adeudaban.</w:t>
      </w:r>
    </w:p>
    <w:p w:rsidR="005728DD" w:rsidRDefault="005728DD" w:rsidP="005728DD">
      <w:pPr>
        <w:pStyle w:val="TextoNormal"/>
      </w:pPr>
    </w:p>
    <w:p w:rsidR="005728DD" w:rsidRDefault="005728DD" w:rsidP="005728DD">
      <w:pPr>
        <w:pStyle w:val="TextoNormal"/>
      </w:pPr>
      <w:r>
        <w:t>c) Por la representación procesal de la Caja de Ahorros de Galicia se presentó demanda ejecutiva, entre otros, contra la demandante de amparo, que fue registrada en el Juzgado de Primera Instancia núm. 8 de A Coruña como ejecución de títulos judiciales núm. 9249-2010. La demanda fue admitida por auto de 25 de noviembre de 2010. En dicho procedimiento se acordó orden general de ejecución con fundamento en el auto de 17 de septiembre de 2010, por la cantidad inicialmente reclamada en el procedimiento monitorio, más otros 6 397,27 € por intereses y costas. Se indicaba en el auto que la parte ejecutada podía oponerse al despacho de la ejecución en los términos previstos en el artículo 556 de la Ley de enjuiciamiento civil (LEC) en el plazo de diez días a contar desde el siguiente a la notificación del auto. Como fundamentación del auto despachando ejecución se hacía referencia a la jurisdicción, competencia objetiva y territorial y al cumplimiento de los requisitos procesales, así como a la acreditación por la mercantil ejecutante de su condición de acreedor frente a los deudores.</w:t>
      </w:r>
    </w:p>
    <w:p w:rsidR="005728DD" w:rsidRDefault="005728DD" w:rsidP="005728DD">
      <w:pPr>
        <w:pStyle w:val="TextoNormal"/>
      </w:pPr>
    </w:p>
    <w:p w:rsidR="005728DD" w:rsidRDefault="005728DD" w:rsidP="005728DD">
      <w:pPr>
        <w:pStyle w:val="TextoNormal"/>
      </w:pPr>
      <w:r>
        <w:lastRenderedPageBreak/>
        <w:t>d) Mediante escrito de 10 de enero de 2020, la representación procesal de doña Ana Isabel Pérez Cordido, solicitó la nulidad de actuaciones por vulneración del derecho a la tutela judicial efectiva art. 24.1 CE.</w:t>
      </w:r>
    </w:p>
    <w:p w:rsidR="005728DD" w:rsidRDefault="005728DD" w:rsidP="005728DD">
      <w:pPr>
        <w:pStyle w:val="TextoNormal"/>
      </w:pPr>
    </w:p>
    <w:p w:rsidR="005728DD" w:rsidRDefault="005728DD" w:rsidP="005728DD">
      <w:pPr>
        <w:pStyle w:val="TextoNormal"/>
      </w:pPr>
      <w:r>
        <w:t xml:space="preserve">En dicho escrito alegó su condición de consumidora al amparo de la Directiva 93/13/CEE sobre las cláusulas abusivas en los contratos celebrados con consumidores, al encontrarse dicha norma en vigor a la fecha de la formalización de la póliza de préstamo. Afirma que su condición de consumidora deriva de que la señora Pérez Cordido jamás ha tenido vinculación comercial, empresarial o profesional con la mercantil prestataria. La recurrente solo intervino en la operación de préstamo a petición de su entonces marido. Añade que la ocupación laboral de la recurrente no tiene nada que ver con la mercantil prestataria, pues durante toda su vida ha sido una empleada por cuenta ajena y nunca ha trabajado para la empresa prestataria ni ha tenido participación alguna en su capital social ni vínculo funcional con la misma. Por ello, al tratarse de una fianza gratuita y sin ninguna contraprestación a cambio, le resulta plenamente aplicable la normativa tuitiva de consumidores, de acuerdo con lo establecido en el auto del Tribunal de Justicia de la Unión Europea de 19 de noviembre de 2015 asunto </w:t>
      </w:r>
      <w:r w:rsidRPr="005728DD">
        <w:rPr>
          <w:i/>
        </w:rPr>
        <w:t>Tarcău</w:t>
      </w:r>
      <w:r>
        <w:t>, C-74/15, que contrapone la actuación en el marco de una actividad profesional o por razón de vínculos funcionales a la actuación con fines de carácter privado, esto es, altruistas, desinteresados, afectivos, de mera beneficencia o estrictamente familiares.</w:t>
      </w:r>
    </w:p>
    <w:p w:rsidR="005728DD" w:rsidRDefault="005728DD" w:rsidP="005728DD">
      <w:pPr>
        <w:pStyle w:val="TextoNormal"/>
      </w:pPr>
    </w:p>
    <w:p w:rsidR="005728DD" w:rsidRDefault="005728DD" w:rsidP="005728DD">
      <w:pPr>
        <w:pStyle w:val="TextoNormal"/>
      </w:pPr>
      <w:r>
        <w:t xml:space="preserve">Destaca que en el auto despachando ejecución no ha existido un examen de oficio de las cláusulas abusivas pese a la condición de consumidora de la recurrente y pese a ser obligado en virtud de la Directiva 93/13/CEE y la STJUE de 26 de enero de 2017, asunto </w:t>
      </w:r>
      <w:r w:rsidRPr="005728DD">
        <w:rPr>
          <w:i/>
        </w:rPr>
        <w:t>Banco Primus, S.A. c. Jesús Gutiérrez García</w:t>
      </w:r>
      <w:r>
        <w:t>, C-421/14. Dicho examen únicamente admite una dispensa: que ya exista en el procedimiento un pronunciamiento acerca de la legalidad de las cláusulas (cosa juzgada). Así lo considera la abogada general del Tribunal de Justicia de la Unión Europea, Eleanor Sharpston, precisamente al valorar las cláusulas abusivas concurrentes en los procedimientos monitorios, como el que deriva de la presente ejecución (conclusiones presentadas el 31 de octubre de 2019 en los asuntos acumulados C-453/18 y C-494/18). Destaca que en el procedimiento no ha existido ningún pronunciamiento acerca de las cláusulas abusivas. Trascribe, con utilización de subrayado, parte de la fundamentación de la sentencia 31/2019 del Tribunal Constitucional, de 28 de febrero, en la que se concluye la vulneración del derecho fundamental a la tutela judicial efectiva art. 24.1 CE por la inmotivada contestación del órgano judicial acerca de lo abusivo de las cláusulas. Recuerda que en virtud de la STJUE de 26 de enero de 2017, el órgano judicial está obligado a examinar lo abusivo de las cláusulas, bien de oficio o a instancia de parte. Y con nueva cita de la STC 31/2019 refiere que no cabe considerar que el plazo para denunciar la existencia de cláusulas abusivas haya precluído por no haber formulado oposición en el procedimiento monitorio o por no haberse opuesto a la ejecución en el plazo legalmente establecido.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(STC 31/2019, de 28 de febrero, FJ 6).</w:t>
      </w:r>
    </w:p>
    <w:p w:rsidR="005728DD" w:rsidRDefault="005728DD" w:rsidP="005728DD">
      <w:pPr>
        <w:pStyle w:val="TextoNormal"/>
      </w:pPr>
    </w:p>
    <w:p w:rsidR="005728DD" w:rsidRDefault="005728DD" w:rsidP="005728DD">
      <w:pPr>
        <w:pStyle w:val="TextoNormal"/>
      </w:pPr>
      <w:r>
        <w:t xml:space="preserve">Finalmente efectúa un examen de lo abusivo de las cláusulas sosteniendo el carácter abusivo de la cláusula “10 Afianzamiento”, pues no resiste los parámetros normativos relativos </w:t>
      </w:r>
      <w:r>
        <w:lastRenderedPageBreak/>
        <w:t xml:space="preserve">al control de incorporación ya que los términos de la cláusula ni son transparentes, ni sencillos de comprender, ni claros, y mucho menos concretos y sencillos. Más bien la cláusula es compleja, enrevesada, de difícil lectura (y más difícil comprensión), confusa y de conceptos enmarañados, por lo que debe ser declarada nula de acuerdo con lo dispuesto en el artículo 8 de la Ley 7/1998, de 13 de abril, sobre condiciones generales de la contratación. Indica que no tuvo la posibilidad real de conocer la cláusula, que nadie le informó de los términos de la misma y que ni es clara ni sencilla de comprender. Añade que además la recurrente carece de los conocimientos jurídicos necesarios para comprender, por sí misma, las implicaciones que se derivan de constituirse en fiadora. Refiere que el control de trasparencia también se ha incumplido pues conforme al art. 3 de la Directiva 93/13/CEE y art. 10 </w:t>
      </w:r>
      <w:r w:rsidRPr="005728DD">
        <w:rPr>
          <w:i/>
        </w:rPr>
        <w:t>bis</w:t>
      </w:r>
      <w:r>
        <w:t xml:space="preserve"> de la Ley general para la defensa de los consumidores y usuarios (LCU), del contenido de la póliza de préstamo se deduce claramente que la intención de la entidad financiera era enmascarar las condiciones de la fianza sin prestar la información necesaria y mucho menos la posibilidad de entrar a su negociación, fijando el mismo clausulado para una generalidad de operaciones, imponiéndolo, bajo la premisa del </w:t>
      </w:r>
      <w:r w:rsidRPr="005728DD">
        <w:rPr>
          <w:i/>
        </w:rPr>
        <w:t>take it or leave it</w:t>
      </w:r>
      <w:r>
        <w:t xml:space="preserve"> (lo tomas o lo dejas), causando un desequilibrio importante en la fiadora que en virtud de la cláusula renuncia a todos los beneficios que la ley le concede como consumidora. Afirma que “si a mí mandante le hubieran advertido de que en caso de que la mercantil prestataria dejara de pagar el préstamo el banco podría ir directamente contra todos sus bienes sin tener que hacer ningún otro apremio anterior, no hubiera prestado su aval, ya que, en realidad, no se estaba constituyendo la señora Pérez Cordido como fiadora, sino como codeudora”. En tal sentido, examina las condiciones impuestas en la cláusula de afianzamiento para sostener las renuncias de la consumidora a los derechos que se le reconocen en el Código civil, añadiendo el carácter abusivo de los intereses moratorios, al rebasar en dos puntos el interés remuneratorio.</w:t>
      </w:r>
    </w:p>
    <w:p w:rsidR="005728DD" w:rsidRDefault="005728DD" w:rsidP="005728DD">
      <w:pPr>
        <w:pStyle w:val="TextoNormal"/>
      </w:pPr>
    </w:p>
    <w:p w:rsidR="005728DD" w:rsidRDefault="005728DD" w:rsidP="005728DD">
      <w:pPr>
        <w:pStyle w:val="TextoNormal"/>
      </w:pPr>
      <w:r>
        <w:t>Termina solicitando que se declare la nulidad de la cláusula de afianzamiento y subsidiariamente la nulidad de la renuncia a los beneficios de excusión, orden y división insertados en la cláusula de afianzamiento de la póliza de préstamo y en todo caso del interés moratorio.</w:t>
      </w:r>
    </w:p>
    <w:p w:rsidR="005728DD" w:rsidRDefault="005728DD" w:rsidP="005728DD">
      <w:pPr>
        <w:pStyle w:val="TextoNormal"/>
      </w:pPr>
    </w:p>
    <w:p w:rsidR="005728DD" w:rsidRDefault="005728DD" w:rsidP="005728DD">
      <w:pPr>
        <w:pStyle w:val="TextoNormal"/>
      </w:pPr>
      <w:r>
        <w:t>e) Por auto de 3 de febrero de 2020 del Juzgado de Primera Instancia núm. 8 de A Coruña, se declaró no haber lugar a la nulidad, limitándose a señalar que el art. 552.1 LEC que prevé el control de oficio de lo abusivo de las cláusulas no estaba en vigor cuando se despachó ejecución y que no concurrían los presupuestos del art. 225.3 y 227.1 LEC. Indica que el auto de 17 de septiembre de 2010 se dictó conforme al art. 816 LEC, y que cuando se incoó el procedimiento monitorio no existía norma interna que impusiese al juzgador el análisis de lo abusivo de las cláusulas. Afirma que dicha exigencia vino impuesta por la nueva redacción dada al art. 815 LEC por la Ley 42/2015, de 5 de octubre (a causa de la STJUE de 14 de junio de 2012).</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La demanda de amparo atribuye al auto impugnado la vulneración del derecho a la tutela judicial efectiva (art. 24.1 CE). Considera que ni en el auto de fecha 17 de septiembre de 2010 dictado en el procedimiento monitorio 2065-2009 seguido ante el Juzgado de Primera Instancia núm. 8 de A Coruña, ni en el auto de 3 de febrero de 2020, dictado en el procedimiento de ejecución de títulos judiciales núm. 9249-2010, se efectuó, ni de oficio ni a instancia de parte, examen alguno acerca de la existencia de cláusulas abusivas en el título que da origen al inicio del procedimiento. A su juicio dicha negativa a examinar lo abusivo de las cláusulas supone una evidente vulneración del derecho a la tutela judicial efectiva en </w:t>
      </w:r>
      <w:r>
        <w:lastRenderedPageBreak/>
        <w:t>su vertiente de derecho de acceso a la justicia, pues la única excepción admitida para que el juzgador pueda evitar llevar a cabo el examen acerca del posible abusivo de las cláusulas es que dicho examen ya hubiera sido efectuado en un momento procesal anterior por una resolución que tenga el carácter de cosa juzgada (STC 31/2019 de 28 de febrero).</w:t>
      </w:r>
    </w:p>
    <w:p w:rsidR="005728DD" w:rsidRDefault="005728DD" w:rsidP="005728DD">
      <w:pPr>
        <w:pStyle w:val="TextoNormal"/>
      </w:pPr>
    </w:p>
    <w:p w:rsidR="005728DD" w:rsidRDefault="005728DD" w:rsidP="005728DD">
      <w:pPr>
        <w:pStyle w:val="TextoNormal"/>
      </w:pPr>
      <w:r>
        <w:t>Por otrosí, solicita como medida cautelar la suspensión de la ejecución en curso que se sigue ante el Juzgado de Primera Instancia núm. 8 de A Coruña en relación con la demandante, así como de los embargos trabados contra sus bienes, “por cuanto el título del que deriva la ejecución contiene varias cláusulas que pudieran tener carácter abusivo, cláusulas de vital trascendencia para la viabilidad de la ejecución instada de contrario, y que, de ser declaradas abusivas y, por ende, nulas de pleno derecho, tal declaración provocaría no solo su expulsión del contrato, sino la nulidad de todos los actos posteriores y la ausencia de título suficiente para emprender la ejecución planteada contra mí mandante”.</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29 de junio de 2020, la Sección Segunda de este tribunal acordó admitir a trámite el recurso porque el asunto suscitado trasciende del caso concreto al plantear una cuestión jurídica de relevante y general repercusión social o económica [STC 155/2009, de 25 de junio, FJ 2 g)] y dirigir comunicación al Juzgado de Primera Instancia núm. 8 de A Coruña, a fin de que, en el plazo de diez días, remitiera certificación o fotocopia adveradas de las actuaciones correspondientes a los autos de ejecución y emplazase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16 de noviembre de 2020, de la secretaría de la Sala Primera de este tribunal, se acordó, tener por personado y parte a la mercantil Eos Spain, S.L.U., en la representación indicada en el encabezamiento, y, de conformidad con lo establecido en el art. 52.1 de la Ley Orgánica del Tribunal Constitucional dar vista de las actuaciones recibidas a las partes personadas y al Ministerio Fiscal, por plazo común de veinte días, para que pudieran presentar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En fecha 4 de enero de 2021 presentó las alegaciones el Ministerio Fiscal. En su escrito, tras reflejar los aspectos procesales que consideró de interés al caso, concreta los extremos más relevantes de la pretensión de la demandante y señala que el objeto del presente recurso consiste en dilucidar si la negativa del órgano judicial a revisar lo abusivo de las cláusulas contractuales lesiona el derecho de la recurrente a la tutela judicial efectiva (art. 24 CE).</w:t>
      </w:r>
    </w:p>
    <w:p w:rsidR="005728DD" w:rsidRDefault="005728DD" w:rsidP="005728DD">
      <w:pPr>
        <w:pStyle w:val="TextoNormal"/>
      </w:pPr>
    </w:p>
    <w:p w:rsidR="005728DD" w:rsidRDefault="005728DD" w:rsidP="005728DD">
      <w:pPr>
        <w:pStyle w:val="TextoNormal"/>
      </w:pPr>
      <w:r>
        <w:t xml:space="preserve">Tras delimitar de este modo el objeto de la demanda de amparo, el fiscal lleva a cabo una aproximación al fenómeno de la contratación en masa, que dio lugar a la elaboración de las condiciones generales para la contratación y la adhesión, por una de las partes, a las cláusulas contractuales elaboradas unilateralmente por la otra. Incide en la importancia de la Directiva 93/13/CEE, como instrumento de defensa de los consumidores, de la que destaca varios de sus considerandos y alguno de sus preceptos. Señala que la mencionada directiva ha sido transpuesta a través de la Ley general para la defensa de los consumidores y usuarios y otras leyes complementarias, cuyo texto refundido fue aprobado por Real Decreto Legislativo 1/2007, de 16 de noviembre. También destaca la importancia de la Ley 1/2013, de 14 </w:t>
      </w:r>
      <w:r>
        <w:lastRenderedPageBreak/>
        <w:t xml:space="preserve">de mayo, de medidas para reforzar la protección de los deudores hipotecarios y reestructuración de la deuda y alquiler social, en tanto que aumenta la protección de los consumidores y garantiza el examen </w:t>
      </w:r>
      <w:r w:rsidRPr="005728DD">
        <w:rPr>
          <w:i/>
        </w:rPr>
        <w:t>ex</w:t>
      </w:r>
      <w:r>
        <w:t xml:space="preserve"> oficio de las cláusulas abusivas por los tribunales.</w:t>
      </w:r>
    </w:p>
    <w:p w:rsidR="005728DD" w:rsidRDefault="005728DD" w:rsidP="005728DD">
      <w:pPr>
        <w:pStyle w:val="TextoNormal"/>
      </w:pPr>
    </w:p>
    <w:p w:rsidR="005728DD" w:rsidRDefault="005728DD" w:rsidP="005728DD">
      <w:pPr>
        <w:pStyle w:val="TextoNormal"/>
      </w:pPr>
      <w:r>
        <w:t>Teniendo en cuenta ese contexto, el fiscal advierte que en el presente caso no se trata de dilucidar sobre el carácter abusivo de la cláusula a que se refieren los demandantes, pues lo realmente denunciado es que el órgano judicial se ha negado a examinar si dicha cláusula reviste ese carácter. Afirma —con extensa cita de la STJUE de 26 de enero de 2017 y de la STC 31/2019, de 28 de febrero— que el órgano judicial erró en la toma en consideración de las normas y doctrina jurisprudencial, tanto europea, como nacional, que le obligaban a la revisión de las cláusulas abusivas y por ello vulneró la tutela judicial efectiva, tal como se denuncia en el recurso.</w:t>
      </w:r>
    </w:p>
    <w:p w:rsidR="005728DD" w:rsidRDefault="005728DD" w:rsidP="005728DD">
      <w:pPr>
        <w:pStyle w:val="TextoNormal"/>
      </w:pPr>
    </w:p>
    <w:p w:rsidR="005728DD" w:rsidRDefault="005728DD" w:rsidP="005728DD">
      <w:pPr>
        <w:pStyle w:val="TextoNormal"/>
      </w:pPr>
      <w:r w:rsidRPr="005728DD">
        <w:rPr>
          <w:rStyle w:val="NumeroAFNegritaCaracter"/>
        </w:rPr>
        <w:t>7</w:t>
      </w:r>
      <w:r>
        <w:t>. Por providencia de fecha de 21 de enero de 2021, se señaló para votación y fallo del presente recurso el día 25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Resolución impugnada y pretensiones de las partes</w:t>
      </w:r>
      <w:r>
        <w:t>. El presente recurso de amparo se interpone contra el auto de 3 de febrero de 2020 dictado por el Juzgado de Primera Instancia núm. 8 de A Coruña, por el que se desestimó el incidente de nulidad de actuaciones interpuesto por la demandante de amparo y se rechazó realizar el control de lo abusivo de las cláusulas contractuales. Como se ha indicado en el auto se razona que las normas de la Ley de enjuiciamiento civil vigentes al admitirse el procedimiento monitorio y al dictarse el auto despachando ejecución no exigían que el órgano judicial realizara el control de oficio de las cláusulas abusivas, pues dicho examen de lo abusivo de las mismas no fue exigible hasta la nueva redacción dada al art. 815 LEC por la Ley 42/2015, de 5 de octubre.</w:t>
      </w:r>
    </w:p>
    <w:p w:rsidR="005728DD" w:rsidRDefault="005728DD" w:rsidP="005728DD">
      <w:pPr>
        <w:pStyle w:val="TextoNormal"/>
      </w:pPr>
    </w:p>
    <w:p w:rsidR="005728DD" w:rsidRDefault="005728DD" w:rsidP="005728DD">
      <w:pPr>
        <w:pStyle w:val="TextoNormal"/>
      </w:pPr>
      <w:r>
        <w:t>La demandante de amparo atribuye al auto impugnado la vulneración del derecho a la tutela judicial efectiva (art. 24.1 CE), al considerar que la única excepción admitida para que el juzgador pudiera evitar llevar a cabo el examen acerca del posible abuso que podían contener las cláusulas era que dicho examen ya hubiera sido efectuado en un momento procesal anterior por una resolución que tuviera el carácter de cosa juzgada, conforme a la STC 31/2019 de 28 de febrero. El fiscal con sustento en la argumentación que se recoge en los antecedentes, solicita la 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contenido y alcance de nuestro enjuiciamiento</w:t>
      </w:r>
      <w:r>
        <w:t>. Una vez expuestas las posiciones de los intervinientes en el presente recurso, procede fijar, a continuación, el alcance y contenido de nuestra respuesta, que en ningún caso pretende dirimir si la cláusula contractual identificada por la recurrente tiene o no carácter abusivo, pues esa cuestión se incardina con claridad dentro de los límites de la legalidad infra constitucional y, en consecuencia, su conocimiento corresponde a la jurisdicción ordinaria (STC 140/2020, de 6 de octubre, FJ 2). Nuestro cometido será determinar si la negativa del órgano judicial a pronunciarse sobre el carácter abusivo de la cláusula aludida, so pretexto de que la regulación procesal vigente, tanto al admitir la petición inicial de procedimiento monitorio como al despachar la ejecución, no lo exigía, vulnera o no el derecho a la tutela judicial efectiva sin indefensión (art. 24.1 CE) por su eventual contradicción con la doctrina de este tribunal.</w:t>
      </w:r>
    </w:p>
    <w:p w:rsidR="005728DD" w:rsidRDefault="005728DD" w:rsidP="005728DD">
      <w:pPr>
        <w:pStyle w:val="TextoNormal"/>
      </w:pPr>
    </w:p>
    <w:p w:rsidR="005728DD" w:rsidRDefault="005728DD" w:rsidP="005728DD">
      <w:pPr>
        <w:pStyle w:val="TextoNormal"/>
      </w:pPr>
      <w:r>
        <w:t>Al ser este el planteamiento, el primer paso obligado será el de recordar la doctrina asentada por este tribunal en relación con la cuestión suscitada; para, a continuación, proceder a enjuiciar la adecuación de la respuesta judicial a los postulados fijados en esta sede constitucional.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sobre el derecho a la tutela judicial efectiva y el principio de primacía del derecho de la Unión Europea</w:t>
      </w:r>
      <w:r>
        <w:t>. El Tribunal Constitucional ya se ha pronunciado sobre una cuestión sustancialmente similar a la que ahora se nos plantea. En efecto, en el supuesto enjuiciado por el Pleno en la STC 31/2019, de 28 de febrero, se resolvió sobre la vulneración del derecho a la tutela judicial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(FJ 1).</w:t>
      </w:r>
    </w:p>
    <w:p w:rsidR="005728DD" w:rsidRDefault="005728DD" w:rsidP="005728DD">
      <w:pPr>
        <w:pStyle w:val="TextoNormal"/>
      </w:pPr>
    </w:p>
    <w:p w:rsidR="005728DD" w:rsidRDefault="005728DD" w:rsidP="005728DD">
      <w:pPr>
        <w:pStyle w:val="TextoNormal"/>
      </w:pPr>
      <w:r>
        <w:t>Más adelante, en el fundamento jurídico 4 de la citada resolución reproducimos la doctrina expuesta en la STC 232/2015, de 5 de noviembre, según la cual:</w:t>
      </w:r>
    </w:p>
    <w:p w:rsidR="005728DD" w:rsidRDefault="005728DD" w:rsidP="005728DD">
      <w:pPr>
        <w:pStyle w:val="TextoNormal"/>
      </w:pPr>
    </w:p>
    <w:p w:rsidR="005728DD" w:rsidRDefault="005728DD" w:rsidP="005728DD">
      <w:pPr>
        <w:pStyle w:val="TextoNormal"/>
      </w:pPr>
      <w:r>
        <w:t>“(i) a este tribunal le corresponde […] velar por el respeto del principio de primacía del Derecho de la Unión cuando ‘exista una interpretación auténtica efectuada por el propio Tribunal de Justicia de la Unión Europea’ [fundamento jurídico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[fundamento jurídico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[fundamento jurídico 6 b)]”.</w:t>
      </w:r>
    </w:p>
    <w:p w:rsidR="005728DD" w:rsidRDefault="005728DD" w:rsidP="005728DD">
      <w:pPr>
        <w:pStyle w:val="TextoNormal"/>
      </w:pPr>
    </w:p>
    <w:p w:rsidR="005728DD" w:rsidRDefault="005728DD" w:rsidP="005728DD">
      <w:pPr>
        <w:pStyle w:val="TextoNormal"/>
      </w:pPr>
      <w:r>
        <w:t xml:space="preserve">Posteriormente, en el fundamento jurídico 5 se acoge la doctrina reflejada en la STJUE, de 26 de enero de 2017, asunto </w:t>
      </w:r>
      <w:r w:rsidRPr="005728DD">
        <w:rPr>
          <w:i/>
        </w:rPr>
        <w:t>Banco Primus, S.A., c. Jesús Gutiérrez García</w:t>
      </w:r>
      <w:r>
        <w:t>, en la que el Tribunal de Justicia de la Unión Europea declaró:</w:t>
      </w:r>
    </w:p>
    <w:p w:rsidR="005728DD" w:rsidRDefault="005728DD" w:rsidP="005728DD">
      <w:pPr>
        <w:pStyle w:val="TextoNormal"/>
      </w:pPr>
    </w:p>
    <w:p w:rsidR="005728DD" w:rsidRDefault="005728DD" w:rsidP="005728DD">
      <w:pPr>
        <w:pStyle w:val="TextoNormal"/>
      </w:pPr>
      <w:r>
        <w:t>“La Directiva 93/13/CEE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005728DD" w:rsidRDefault="005728DD" w:rsidP="005728DD">
      <w:pPr>
        <w:pStyle w:val="TextoNormal"/>
      </w:pPr>
    </w:p>
    <w:p w:rsidR="005728DD" w:rsidRDefault="005728DD" w:rsidP="005728DD">
      <w:pPr>
        <w:pStyle w:val="TextoNormal"/>
      </w:pPr>
      <w:r>
        <w:lastRenderedPageBreak/>
        <w:t>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005728DD" w:rsidRDefault="005728DD" w:rsidP="005728DD">
      <w:pPr>
        <w:pStyle w:val="TextoNormal"/>
      </w:pPr>
    </w:p>
    <w:p w:rsidR="005728DD" w:rsidRDefault="005728DD" w:rsidP="005728DD">
      <w:pPr>
        <w:pStyle w:val="TextoNormal"/>
      </w:pPr>
      <w:r>
        <w:t>En relación con la segunda declaración efectuada por el Tribunal de Justicia de la Unión Europea, en el fundamento jurídico 6 figura el siguiente razonamiento, acerca de la exigencia de control judicial respecto de las cláusulas abusivas:</w:t>
      </w:r>
    </w:p>
    <w:p w:rsidR="005728DD" w:rsidRDefault="005728DD" w:rsidP="005728DD">
      <w:pPr>
        <w:pStyle w:val="TextoNormal"/>
      </w:pPr>
    </w:p>
    <w:p w:rsidR="005728DD" w:rsidRDefault="005728DD" w:rsidP="005728DD">
      <w:pPr>
        <w:pStyle w:val="TextoNormal"/>
      </w:pPr>
      <w:r>
        <w:t>“Este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005728DD" w:rsidRDefault="005728DD" w:rsidP="005728DD">
      <w:pPr>
        <w:pStyle w:val="TextoNormal"/>
      </w:pPr>
    </w:p>
    <w:p w:rsidR="005728DD" w:rsidRDefault="005728DD" w:rsidP="005728DD">
      <w:pPr>
        <w:pStyle w:val="TextoNormal"/>
      </w:pPr>
      <w:r>
        <w:t xml:space="preserve">Es importante destacar, en este sentido, que el Tribunal de Justicia ha declarado que el artículo 6, apartado 1, de la Directiva 93/13/CEE,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estas (véanse, en particular, las sentencias de 17 de julio de 2014, </w:t>
      </w:r>
      <w:r w:rsidRPr="005728DD">
        <w:rPr>
          <w:i/>
        </w:rPr>
        <w:t>Sánchez Morcillo y Abril García</w:t>
      </w:r>
      <w:r>
        <w:t xml:space="preserve">, C-169/14, EU:C:2014:2099, apartado 23, y de 21 de diciembre de 2016, </w:t>
      </w:r>
      <w:r w:rsidRPr="005728DD">
        <w:rPr>
          <w:i/>
        </w:rPr>
        <w:t>Gutiérrez Naranjo y otros</w:t>
      </w:r>
      <w:r>
        <w:t xml:space="preserve">, C-154/15, C-307/15 y C-308/15,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w:t>
      </w:r>
      <w:r w:rsidRPr="005728DD">
        <w:rPr>
          <w:i/>
        </w:rPr>
        <w:t>Asturcom Telecomunicaciones</w:t>
      </w:r>
      <w:r>
        <w:t xml:space="preserve">, C-40/08, EU:C:2009:615, apartados 51 y 52, y de 21 de diciembre de 2016, </w:t>
      </w:r>
      <w:r w:rsidRPr="005728DD">
        <w:rPr>
          <w:i/>
        </w:rPr>
        <w:t>Gutiérrez Naranjo y otros</w:t>
      </w:r>
      <w:r>
        <w:t xml:space="preserve">, C-154/15, C-307/15 y C-308/15,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93/13/CEE […] tan pronto como disponga de los elementos de hecho y de Derecho necesarios para ello </w:t>
      </w:r>
      <w:r>
        <w:lastRenderedPageBreak/>
        <w:t xml:space="preserve">(sentencias de 14 de marzo de 2013, </w:t>
      </w:r>
      <w:r w:rsidRPr="005728DD">
        <w:rPr>
          <w:i/>
        </w:rPr>
        <w:t>Aziz</w:t>
      </w:r>
      <w:r>
        <w:t xml:space="preserve">, C-415/11, EU:C:2013:164, apartado 46 y jurisprudencia citada, y de 21 de diciembre de 2016, </w:t>
      </w:r>
      <w:r w:rsidRPr="005728DD">
        <w:rPr>
          <w:i/>
        </w:rPr>
        <w:t>Gutiérrez Naranjo y otros</w:t>
      </w:r>
      <w:r>
        <w:t>, C-154/15, C-307/15 y C-308/15, EU:C:2016:980, apartado 58)’ (STJUE de 26 de enero de 2017, apartado 43).</w:t>
      </w:r>
    </w:p>
    <w:p w:rsidR="005728DD" w:rsidRDefault="005728DD" w:rsidP="005728DD">
      <w:pPr>
        <w:pStyle w:val="TextoNormal"/>
      </w:pPr>
    </w:p>
    <w:p w:rsidR="005728DD" w:rsidRDefault="005728DD" w:rsidP="005728DD">
      <w:pPr>
        <w:pStyle w:val="TextoNormal"/>
      </w:pPr>
      <w:r>
        <w:t xml:space="preserv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w:t>
      </w:r>
      <w:r w:rsidRPr="005728DD">
        <w:rPr>
          <w:i/>
        </w:rPr>
        <w:t>Banco Primus, S.A.</w:t>
      </w:r>
      <w:r>
        <w:t>, aportaba los elementos de hecho y de Derecho que permitían, en el caso de que así procediera, declarar abusiva la cláusula de vencimiento anticipado […]”.</w:t>
      </w:r>
    </w:p>
    <w:p w:rsidR="005728DD" w:rsidRDefault="005728DD" w:rsidP="005728DD">
      <w:pPr>
        <w:pStyle w:val="TextoNormal"/>
      </w:pPr>
    </w:p>
    <w:p w:rsidR="005728DD" w:rsidRDefault="005728DD" w:rsidP="005728DD">
      <w:pPr>
        <w:pStyle w:val="TextoNormal"/>
      </w:pPr>
      <w:r>
        <w:t>A ello debe añadirse, respecto del deber de motivación de las resoluciones judiciales, que este tribunal ha sostenido:</w:t>
      </w:r>
    </w:p>
    <w:p w:rsidR="005728DD" w:rsidRDefault="005728DD" w:rsidP="005728DD">
      <w:pPr>
        <w:pStyle w:val="TextoNormal"/>
      </w:pPr>
    </w:p>
    <w:p w:rsidR="005728DD" w:rsidRDefault="005728DD" w:rsidP="005728DD">
      <w:pPr>
        <w:pStyle w:val="TextoNormal"/>
      </w:pPr>
      <w:r>
        <w:t>“[E]l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005728DD" w:rsidRDefault="005728DD" w:rsidP="005728DD">
      <w:pPr>
        <w:pStyle w:val="TextoNormal"/>
      </w:pPr>
    </w:p>
    <w:p w:rsidR="005728DD" w:rsidRDefault="005728DD" w:rsidP="005728DD">
      <w:pPr>
        <w:pStyle w:val="TextoNormal"/>
      </w:pPr>
      <w:r>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 (STC 172/2004, de 18 de octubre, FJ 3).</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constitucional al caso concreto</w:t>
      </w:r>
      <w:r>
        <w:t xml:space="preserve">. Una vez reflejado el parámetro al que debemos sujetarnos para dirimir la presente </w:t>
      </w:r>
      <w:r w:rsidRPr="005728DD">
        <w:rPr>
          <w:i/>
        </w:rPr>
        <w:t>litis</w:t>
      </w:r>
      <w:r>
        <w:t>, procede analizar la respuesta dada por el órgano judicial.</w:t>
      </w:r>
    </w:p>
    <w:p w:rsidR="005728DD" w:rsidRDefault="005728DD" w:rsidP="005728DD">
      <w:pPr>
        <w:pStyle w:val="TextoNormal"/>
      </w:pPr>
    </w:p>
    <w:p w:rsidR="005728DD" w:rsidRDefault="005728DD" w:rsidP="005728DD">
      <w:pPr>
        <w:pStyle w:val="TextoNormal"/>
      </w:pPr>
      <w:r>
        <w:t xml:space="preserve">Como queda expuesto en los antecedentes de esta resolución, el auto que rechaza la revisión de lo abusivo de las cláusulas se limita a destacar que las resoluciones dictadas tanto en el procedimiento monitorio como en el posterior procedimiento de ejecución judicial, se </w:t>
      </w:r>
      <w:r>
        <w:lastRenderedPageBreak/>
        <w:t>ajustan a la regulación entonces vigente. Dicha argumentación omite cualquier referencia tanto al artículo 6, apartado 1, de la Directiva 93/13/CEE, de 5 de abril, vigente cuando se dictaron los aludidos autos, como a nuestra STC 31/2019, pese a que ambas fueron expresamente invocadas por la recurrente en el incidente de nulidad de actuaciones. El auto impugnado también desconoce que la Directiva 93/13/CEE debe interpretarse en el sentido de que el juez nacional está obligado a apreciar, a instancia de las partes o de oficio, el eventual carácter abusivo de esas cláusulas.</w:t>
      </w:r>
    </w:p>
    <w:p w:rsidR="005728DD" w:rsidRDefault="005728DD" w:rsidP="005728DD">
      <w:pPr>
        <w:pStyle w:val="TextoNormal"/>
      </w:pPr>
    </w:p>
    <w:p w:rsidR="005728DD" w:rsidRDefault="005728DD" w:rsidP="005728DD">
      <w:pPr>
        <w:pStyle w:val="TextoNormal"/>
      </w:pPr>
      <w:r>
        <w:t>La escueta respuesta del órgano judicial además de frustrar la expectativa revisora de la recurrente, con infracción de las exigencias de motivación derivadas del contenido del derecho a la tutela judicial efectiva (art. 24.1 CE), y de la propia doctrina anteriormente expuesta, se enfrenta con la obligación de control de oficio por el órgano judicial del eventual abuso de las cláusulas, que únicamente se exceptúa en el caso de que el carácter abusivo hubiera sido examinada en un anterior control judicial.</w:t>
      </w:r>
    </w:p>
    <w:p w:rsidR="005728DD" w:rsidRDefault="005728DD" w:rsidP="005728DD">
      <w:pPr>
        <w:pStyle w:val="TextoNormal"/>
      </w:pPr>
    </w:p>
    <w:p w:rsidR="005728DD" w:rsidRDefault="005728DD" w:rsidP="005728DD">
      <w:pPr>
        <w:pStyle w:val="TextoNormal"/>
      </w:pPr>
      <w:r>
        <w:t>En efecto, de la doctrina expuesta resulta que se residencia en el juez nacional la obligación de apreciar el eventual carácter abusivo de una cláusula, incluso tras el dictado de una resolución con fuerza de cosa juzgada, cuando disponga de los elementos de hecho y de Derecho necesarios para ello, siempre que la cláusula denunciada no hubiera sido examinada previamente. Sin embargo, el órgano judicial rechaza realizar ese control pese a que no ha existido un anterior control judicial en relación con el eventual carácter abusivo de la cláusula de vencimiento anticipado. La resolución intenta justificar la negativa a realizar el control del abuso en que los preceptos de la legislación procesal no habían sido adaptados a las exigencias derivadas de la Directiva 93/13, con olvido del principio de primacía del Derecho de la Unión Europea.</w:t>
      </w:r>
    </w:p>
    <w:p w:rsidR="005728DD" w:rsidRDefault="005728DD" w:rsidP="005728DD">
      <w:pPr>
        <w:pStyle w:val="TextoNormal"/>
      </w:pPr>
    </w:p>
    <w:p w:rsidR="005728DD" w:rsidRDefault="005728DD" w:rsidP="005728DD">
      <w:pPr>
        <w:pStyle w:val="TextoNormal"/>
      </w:pPr>
      <w:r w:rsidRPr="005728DD">
        <w:rPr>
          <w:rStyle w:val="NumeroAFNegritaCaracter"/>
        </w:rPr>
        <w:t>5</w:t>
      </w:r>
      <w:r>
        <w:t>. En conclusión, compartiendo el criterio del Ministerio Fiscal, la resolución impugnada en esta sede constitucional ha lesionado el derecho a la tutela judicial efectiva sin indefensión de la recurrente ( art. 24.1 CE), tanto por la falta de motivación material a que se ha hecho mención, como porque la decisión de no atender la revisión interesada por la recurrente: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(STC 31/2019, FJ 9).</w:t>
      </w:r>
    </w:p>
    <w:p w:rsidR="005728DD" w:rsidRDefault="005728DD" w:rsidP="005728DD">
      <w:pPr>
        <w:pStyle w:val="TextoNormal"/>
      </w:pPr>
    </w:p>
    <w:p w:rsidR="005728DD" w:rsidRDefault="005728DD" w:rsidP="005728DD">
      <w:pPr>
        <w:pStyle w:val="TextoNormal"/>
      </w:pPr>
      <w:r>
        <w:t>Por lo expuesto procede estimar el presente recurso de amparo, con la consiguiente declaración de nulidad del auto de 3 de febrero de 2020 dictado por el Juzgado de Primera Instancia núm. 8 de A Coruña, en cuya virtud el indicado juzgado rechazó la revisión de las cláusulas abusivas, y acordar la retroacción de las actuaciones al momento previo al dictado de la citada resolución, a fin de que, en congruencia con lo interesado en el incidente de nulidad de actuaciones, el órgano judicial resuelva de manera respetuosa con el derecho fundamental vulnerado.</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Ana Isabel Pérez Cordido y, en su virtud:</w:t>
      </w:r>
    </w:p>
    <w:p w:rsidR="005728DD" w:rsidRDefault="005728DD" w:rsidP="005728DD">
      <w:pPr>
        <w:pStyle w:val="TextoNormal"/>
      </w:pPr>
    </w:p>
    <w:p w:rsidR="005728DD" w:rsidRDefault="005728DD" w:rsidP="005728DD">
      <w:pPr>
        <w:pStyle w:val="TextoNormal"/>
      </w:pPr>
      <w:r>
        <w:t>1º Declarar que ha sido vulnerado el derecho fundamental de la demandante de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del auto de 3 de febrero de 2020 dictado por el Juzgado de Primera Instancia núm. 8 de A Coruña, en el procedimiento de ejecución de títulos judiciales núm. 9249-2010.</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 la citada resolución, para que el órgano judicial dicte una nueva que sea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veinticinco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6" w:name="SENTENCIA_2021_13"/>
      <w:r>
        <w:lastRenderedPageBreak/>
        <w:t>SENTENCIA 13/2021, de 28 de enero de 2021</w:t>
      </w:r>
    </w:p>
    <w:bookmarkEnd w:id="16"/>
    <w:p w:rsidR="005728DD" w:rsidRDefault="005728DD" w:rsidP="005728DD">
      <w:pPr>
        <w:pStyle w:val="TtuloResolucin"/>
      </w:pPr>
      <w:r>
        <w:t>Pleno</w:t>
      </w:r>
    </w:p>
    <w:p w:rsidR="005728DD" w:rsidRDefault="005728DD" w:rsidP="005728DD">
      <w:pPr>
        <w:pStyle w:val="TtuloBOE"/>
      </w:pPr>
      <w:r>
        <w:t>(BOE núm. 46, de 23 de febrero de 2021)</w:t>
      </w:r>
    </w:p>
    <w:p w:rsidR="005728DD" w:rsidRDefault="005728DD" w:rsidP="005728DD">
      <w:pPr>
        <w:pStyle w:val="TextoNormalCentrado"/>
      </w:pPr>
      <w:r>
        <w:t>ECLI:ES:TC:2021:13</w:t>
      </w:r>
    </w:p>
    <w:p w:rsidR="005728DD" w:rsidRDefault="005728DD" w:rsidP="005728DD">
      <w:pPr>
        <w:pStyle w:val="TextoNormalCentrado"/>
      </w:pPr>
    </w:p>
    <w:p w:rsidR="005728DD" w:rsidRDefault="005728DD" w:rsidP="005728DD">
      <w:pPr>
        <w:pStyle w:val="SntesisDescriptiva"/>
      </w:pPr>
      <w:r>
        <w:t>Recurso de inconstitucionalidad 3848-2015. Interpuesto por el Parlamento de Cataluña en relación con diversos preceptos de la Ley Orgánica 4/2015, de 30 de marzo, de protección de la seguridad ciudadana.</w:t>
      </w:r>
    </w:p>
    <w:p w:rsidR="005728DD" w:rsidRDefault="005728DD" w:rsidP="005728DD">
      <w:pPr>
        <w:pStyle w:val="SntesisDescriptiva"/>
      </w:pPr>
    </w:p>
    <w:p w:rsidR="005728DD" w:rsidRDefault="005728DD" w:rsidP="005728DD">
      <w:pPr>
        <w:pStyle w:val="SntesisAnaltica"/>
      </w:pPr>
      <w:r>
        <w:t>Dignidad de la persona y principios de seguridad jurídica y de sometimiento de la acción de la administración al control judicial; derechos a la integridad física, intimidad, libertad de expresión e información, reunión, tutela judicial: interpretación conforme con la Constitución de los preceptos que tipifican, como infracción grave el uso de imágenes o datos personales o profesionales de autoridades o miembros de las fuerzas y cuerpos de seguridad, como infracción leve la ocupación de inmuebles contra la voluntad de su titular y de vías públicas, y del régimen especial de rechazo en frontera para Ceuta y Melilla. Votos particulares.</w:t>
      </w:r>
    </w:p>
    <w:p w:rsidR="005728DD" w:rsidRDefault="005728DD" w:rsidP="005728DD">
      <w:pPr>
        <w:pStyle w:val="SntesisAnaltica"/>
      </w:pPr>
    </w:p>
    <w:p w:rsidR="005728DD" w:rsidRDefault="005728DD" w:rsidP="005728DD">
      <w:pPr>
        <w:pStyle w:val="Extracto"/>
      </w:pPr>
      <w:r>
        <w:t>1.</w:t>
      </w:r>
      <w:r>
        <w:tab/>
        <w:t>Se reitera doctrina derivada de la STC 172/2020 recaída en el recurso de inconstitucionalidad interpuesto contra una serie de preceptos de la Ley Orgánica de protección de la seguridad ciudadana, algunos de los cuales también son objeto de impugnación en este proceso constitucional, y en buena parte incluso por los mismos motivos [FJ 2].</w:t>
      </w:r>
    </w:p>
    <w:p w:rsidR="005728DD" w:rsidRDefault="005728DD" w:rsidP="005728DD">
      <w:pPr>
        <w:pStyle w:val="Extracto"/>
      </w:pPr>
    </w:p>
    <w:p w:rsidR="005728DD" w:rsidRDefault="005728DD" w:rsidP="005728DD">
      <w:pPr>
        <w:pStyle w:val="Extracto"/>
      </w:pPr>
      <w:r>
        <w:t>2.</w:t>
      </w:r>
      <w:r>
        <w:tab/>
        <w:t>Doctrina sobre la incidencia de los registros corporales en el derecho a la intimidad, en relación con actividades insertas en actuaciones de investigación bajo el control directo de la autoridad judicial y las actuaciones que la norma habilita a realizar a las fuerzas y cuerpos de seguridad en su función de policía administrativa de seguridad  (STC 207/1996 y 172/2020) [FJ 3].</w:t>
      </w:r>
    </w:p>
    <w:p w:rsidR="005728DD" w:rsidRDefault="005728DD" w:rsidP="005728DD">
      <w:pPr>
        <w:pStyle w:val="Extracto"/>
      </w:pPr>
    </w:p>
    <w:p w:rsidR="005728DD" w:rsidRDefault="005728DD" w:rsidP="005728DD">
      <w:pPr>
        <w:pStyle w:val="Extracto"/>
      </w:pPr>
      <w:r>
        <w:t>3.</w:t>
      </w:r>
      <w:r>
        <w:tab/>
        <w:t>El registro corporal no ampara los supuestos de desnudo integral. Los objetos cuya búsqueda justifica la práctica del registro corporal deben quedar determinados en una norma; así entendida la limitación del derecho a la intimidad, su regulación resulta acorde con el requerimiento constitucional de que la ley defina con precisión suficiente las restricciones de los derechos fundamentales (STC 172/2020) [FJ 3].</w:t>
      </w:r>
    </w:p>
    <w:p w:rsidR="005728DD" w:rsidRDefault="005728DD" w:rsidP="005728DD">
      <w:pPr>
        <w:pStyle w:val="Extracto"/>
      </w:pPr>
    </w:p>
    <w:p w:rsidR="005728DD" w:rsidRDefault="005728DD" w:rsidP="005728DD">
      <w:pPr>
        <w:pStyle w:val="Extracto"/>
      </w:pPr>
      <w:r>
        <w:t>4.</w:t>
      </w:r>
      <w:r>
        <w:tab/>
        <w:t>La tipicidad de las infracciones, a diferencia de la garantía formal del principio de legalidad sancionadora, y la reserva de ley que lleva consigo en aras de tutelar la libertad individual, viene impuesta por el art. 25.1 CE en función de la seguridad jurídica de la persona. Exige con este fin la predeterminación normativa de las conductas infractoras con la mayor precisión posible, para que los ciudadanos puedan conocer de antemano el ámbito de lo proscrito y prever, de esta manera, las consecuencias de sus acciones (SSTC 145/2013 y 160/2019) [FJ 4].</w:t>
      </w:r>
    </w:p>
    <w:p w:rsidR="005728DD" w:rsidRDefault="005728DD" w:rsidP="005728DD">
      <w:pPr>
        <w:pStyle w:val="Extracto"/>
      </w:pPr>
    </w:p>
    <w:p w:rsidR="005728DD" w:rsidRDefault="005728DD" w:rsidP="005728DD">
      <w:pPr>
        <w:pStyle w:val="Extracto"/>
      </w:pPr>
      <w:r>
        <w:t>5.</w:t>
      </w:r>
      <w:r>
        <w:tab/>
        <w:t xml:space="preserve">La Constitución contempla límites especialmente exigentes en el caso de las normas penales debido al alcance de los efectos que se derivan, puesto que cuanto más intensa sea la restricción de los principios constitucionales y, en particular, de los </w:t>
      </w:r>
      <w:r>
        <w:lastRenderedPageBreak/>
        <w:t>derechos y libertades reconocidos en el texto constitucional, tanto más exigentes son los presupuestos sustantivos de la constitucionalidad de la medida que los genera. Los efectos que despliegan las normas administrativas sancionadoras presentan, en principio, un menor alcance que los que traen causa de normas estrictamente penales (STC 60/2010) [FJ 5].</w:t>
      </w:r>
    </w:p>
    <w:p w:rsidR="005728DD" w:rsidRDefault="005728DD" w:rsidP="005728DD">
      <w:pPr>
        <w:pStyle w:val="Extracto"/>
      </w:pPr>
    </w:p>
    <w:p w:rsidR="005728DD" w:rsidRDefault="005728DD" w:rsidP="005728DD">
      <w:pPr>
        <w:pStyle w:val="Extracto"/>
      </w:pPr>
      <w:r>
        <w:t>6.</w:t>
      </w:r>
      <w:r>
        <w:tab/>
        <w:t xml:space="preserve">El principio de tipicidad recogido en el art. 25.1 CE requiere que, mediante su predeterminación normativa, se asegure que la reacción sancionadora sea previsible. Esta exigencia de </w:t>
      </w:r>
      <w:r w:rsidRPr="005728DD">
        <w:rPr>
          <w:i/>
        </w:rPr>
        <w:t>lex certa</w:t>
      </w:r>
      <w:r>
        <w:t>, no se opone a la utilización de un concepto jurídico indeterminado como el de “perturbación de la seguridad ciudadana” en la definición de la conducta infractora, siempre que su concreción sea razonablemente previsible en virtud de criterios lógicos, técnicos o de experiencia (SSTC 62/1982,  69/1989 y 145/2013) [FJ 5].</w:t>
      </w:r>
    </w:p>
    <w:p w:rsidR="005728DD" w:rsidRDefault="005728DD" w:rsidP="005728DD">
      <w:pPr>
        <w:pStyle w:val="Extracto"/>
      </w:pPr>
    </w:p>
    <w:p w:rsidR="005728DD" w:rsidRDefault="005728DD" w:rsidP="005728DD">
      <w:pPr>
        <w:pStyle w:val="Extracto"/>
      </w:pPr>
      <w:r>
        <w:t>7.</w:t>
      </w:r>
      <w:r>
        <w:tab/>
        <w:t>Sobre la adecuada proporción entre la conducta infractora y la sanción prevista,   nuestro enjuiciamiento resulta limitado por el reconocimiento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se limita a verificar que la norma penal no produzca un patente derroche inútil de coacción que convierte la norma en arbitraria y que socava los principios elementales de Justicia inherentes a la dignidad de la persona y al Estado de Derecho (SSTC 136/1999, 55/1996, 161/1997, 60/2010; AATC 233/2004 y 332/2005) [FJ 5].</w:t>
      </w:r>
    </w:p>
    <w:p w:rsidR="005728DD" w:rsidRDefault="005728DD" w:rsidP="005728DD">
      <w:pPr>
        <w:pStyle w:val="Extracto"/>
      </w:pPr>
    </w:p>
    <w:p w:rsidR="005728DD" w:rsidRDefault="005728DD" w:rsidP="005728DD">
      <w:pPr>
        <w:pStyle w:val="Extracto"/>
      </w:pPr>
      <w:r>
        <w:t>8.</w:t>
      </w:r>
      <w:r>
        <w:tab/>
        <w:t>La garantía material del principio de legalidad penal tutela la seguridad jurídica y exige que se defina con precisión la conducta infractora en el plano normativo. Lo propio y distinto de las sanciones administrativas es que la predeterminación normativa suficiente se puede alcanzar combinando la norma de rango legal con las disposiciones administrativas que la desarrollen; por tanto, para evaluar si se cumple la garantía material hay que atender al nivel de predeterminación de la conducta infractora, que resulta no tanto de la previsión legal cuanto de los reglamentos que la complementen [FJ 8].</w:t>
      </w:r>
    </w:p>
    <w:p w:rsidR="005728DD" w:rsidRDefault="005728DD" w:rsidP="005728DD">
      <w:pPr>
        <w:pStyle w:val="Extracto"/>
      </w:pPr>
    </w:p>
    <w:p w:rsidR="005728DD" w:rsidRDefault="005728DD" w:rsidP="005728DD">
      <w:pPr>
        <w:pStyle w:val="Extracto"/>
      </w:pPr>
      <w:r>
        <w:t>9.</w:t>
      </w:r>
      <w:r>
        <w:tab/>
        <w:t>La dimensión de la garantía formal del principio de legalidad sancionadora requiere, en función de proteger la libertad individual, que los elementos esenciales del tipo infractor —el núcleo de la prohibición— sean establecidos directamente por el legislador [FJ 8].</w:t>
      </w:r>
    </w:p>
    <w:p w:rsidR="005728DD" w:rsidRDefault="005728DD" w:rsidP="005728DD">
      <w:pPr>
        <w:pStyle w:val="Extracto"/>
      </w:pPr>
    </w:p>
    <w:p w:rsidR="005728DD" w:rsidRDefault="005728DD" w:rsidP="005728DD">
      <w:pPr>
        <w:pStyle w:val="Extracto"/>
      </w:pPr>
      <w:r>
        <w:t>10.</w:t>
      </w:r>
      <w:r>
        <w:tab/>
        <w:t xml:space="preserve">No vulnera el principio de legalidad </w:t>
      </w:r>
      <w:r w:rsidRPr="005728DD">
        <w:rPr>
          <w:i/>
        </w:rPr>
        <w:t>ex</w:t>
      </w:r>
      <w:r>
        <w:t xml:space="preserve"> art. 25.1 CE en su vertiente formal una norma sancionadora que recurra a una remisión al reglamento para integrar algunos aspectos complementarios de la conducta infractora [FJ 10].</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 xml:space="preserve">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w:t>
      </w:r>
      <w:r>
        <w:lastRenderedPageBreak/>
        <w:t>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3848-2015, promovido por el Parlamento de Cataluña contra los arts. 20; 35.1; 36.1, 2, 8, 22 y 23, y 37.7, así como la disposición final primera de la Ley Orgánica 4/2015, de 30 de marzo, de protección de la seguridad ciudadana. Ha comparecido y formulado alegaciones el Gobierno. Ha sido ponente el presidente don Juan José González Rivas.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Con fecha 30 de junio de 2015 tuvo entrada en el registro general de este tribunal el recurso de inconstitucionalidad interpuesto por el Parlamento de Cataluña contra los arts. 20; 35.1; 36.1, 2, 8, 22 y 23, y 37.7, así como la disposición final primera de la Ley Orgánica 4/2015, de 30 de marzo, de protección de la seguridad ciudadana (en adelante, LOPSC). Los motivos en los que se fundamenta el recurso de inconstitucionalidad son los que, sucintamente, se exponen a continuación:</w:t>
      </w:r>
    </w:p>
    <w:p w:rsidR="005728DD" w:rsidRDefault="005728DD" w:rsidP="005728DD">
      <w:pPr>
        <w:pStyle w:val="TextoNormal"/>
      </w:pPr>
    </w:p>
    <w:p w:rsidR="005728DD" w:rsidRDefault="005728DD" w:rsidP="005728DD">
      <w:pPr>
        <w:pStyle w:val="TextoNormal"/>
      </w:pPr>
      <w:r>
        <w:t>a) Inconstitucionalidad del art. 20 LOPSC.</w:t>
      </w:r>
    </w:p>
    <w:p w:rsidR="005728DD" w:rsidRDefault="005728DD" w:rsidP="005728DD">
      <w:pPr>
        <w:pStyle w:val="TextoNormal"/>
      </w:pPr>
    </w:p>
    <w:p w:rsidR="005728DD" w:rsidRDefault="005728DD" w:rsidP="005728DD">
      <w:pPr>
        <w:pStyle w:val="TextoNormal"/>
      </w:pPr>
      <w:r>
        <w:t>El recurrente, con cita de la STC 207/1996, distingue las “intervenciones corporales” (en las que se extraen determinados elementos externos o internos del cuerpo humano) de las “inspecciones y registros corporales” (reconocimientos del cuerpo humanos sin ocasionar lesión en él). Estas últimas, según dicha doctrina constitucional, pueden afectar al derecho de intimidad en general o, más precisamente, a la intimidad corporal, cuyo ámbito constitucionalmente protegido viene determinado por el “criterio dominante en nuestra cultura sobre el recato personal”.</w:t>
      </w:r>
    </w:p>
    <w:p w:rsidR="005728DD" w:rsidRDefault="005728DD" w:rsidP="005728DD">
      <w:pPr>
        <w:pStyle w:val="TextoNormal"/>
      </w:pPr>
    </w:p>
    <w:p w:rsidR="005728DD" w:rsidRDefault="005728DD" w:rsidP="005728DD">
      <w:pPr>
        <w:pStyle w:val="TextoNormal"/>
      </w:pPr>
      <w:r>
        <w:t>A partir de esta doctrina constitucional, razona la demanda que, aunque los registros corporales externos no puedan ser considerados “intervención corporal”, ni siquiera en muchos casos afectación de la intimidad corporal, esa injerencia solo será constitucionalmente lícita cuando tenga (a) una finalidad constitucionalmente legítima, constituida por “razones justificadas de interés general convenientemente previstas por la Ley, (b) esté prevista y determinada expresamente por una norma con rango de ley y (c) sea proporcional al fin de que se trate.</w:t>
      </w:r>
    </w:p>
    <w:p w:rsidR="005728DD" w:rsidRDefault="005728DD" w:rsidP="005728DD">
      <w:pPr>
        <w:pStyle w:val="TextoNormal"/>
      </w:pPr>
    </w:p>
    <w:p w:rsidR="005728DD" w:rsidRDefault="005728DD" w:rsidP="005728DD">
      <w:pPr>
        <w:pStyle w:val="TextoNormal"/>
      </w:pPr>
      <w:r>
        <w:t xml:space="preserve">La parte recurrente reprocha al precepto legal “la utilización de términos imprecisos y sujetos a discrecionalidad, tanto en la determinación de la causa habilitante del cacheo personal como de la situación que justifica la no aplicación de las formalidades requeridas por </w:t>
      </w:r>
      <w:r>
        <w:lastRenderedPageBreak/>
        <w:t xml:space="preserve">el apartado 2 para la realización del registro”. Alega que la injerencia así regulada en el precepto no cumple con los requisitos exigidos por la jurisprudencia constitucional (STC 169/2001, de 16 de julio) y europea (STEDH de 12 de enero de 2010, asunto </w:t>
      </w:r>
      <w:r w:rsidRPr="005728DD">
        <w:rPr>
          <w:i/>
        </w:rPr>
        <w:t>Gillan y Quinton c. Reino Unido</w:t>
      </w:r>
      <w:r>
        <w:t>): existencia de una finalidad constitucionalmente legítima y suficiencia de la previsión legal habilitante.</w:t>
      </w:r>
    </w:p>
    <w:p w:rsidR="005728DD" w:rsidRDefault="005728DD" w:rsidP="005728DD">
      <w:pPr>
        <w:pStyle w:val="TextoNormal"/>
      </w:pPr>
    </w:p>
    <w:p w:rsidR="005728DD" w:rsidRDefault="005728DD" w:rsidP="005728DD">
      <w:pPr>
        <w:pStyle w:val="TextoNormal"/>
      </w:pPr>
      <w:r>
        <w:t>En este sentido precisa que “la restricción del derecho a la intimidad personal prevista en el artículo 20 LOPSC no se ajusta a la doctrina establecida por este tribunal y por el Tribunal Europeo de Derechos Humanos para poder considerarla legítima. Por todo ello entendemos que la definición de la finalidad que se pretende alcanzar con su aplicación es imprecisa, en la medida que permite una actuación excesivamente discrecional, o incluso arbitraria, de los agentes de la autoridad, basada en meras suposiciones personales y subjetivas. De la misma forma, esta actuación puede dirigirse a la búsqueda de una categoría amplísima de objetos, que no se especifican ni por su naturaleza, ni por su peligrosidad. Igualmente, el precepto analizado carece de los elementos que la jurisprudencia constitucional exige para delimitar este tipo de intervenciones, como por ejemplo que sean excepcionales o puedan llevarse a cabo de forma individualizada, según las circunstancias de cada caso. Y, finalmente, ambos apartados, 1 y 2, presentan una total indeterminación con respecto a una cuestión tan esencial como el grado de afectación sobre la intimidad personal que permiten los registros corporales que regulan y que, a pesar de que se califican de externos y superficiales, pueden comportar desnudar parcialmente a una persona”.</w:t>
      </w:r>
    </w:p>
    <w:p w:rsidR="005728DD" w:rsidRDefault="005728DD" w:rsidP="005728DD">
      <w:pPr>
        <w:pStyle w:val="TextoNormal"/>
      </w:pPr>
    </w:p>
    <w:p w:rsidR="005728DD" w:rsidRDefault="005728DD" w:rsidP="005728DD">
      <w:pPr>
        <w:pStyle w:val="TextoNormal"/>
      </w:pPr>
      <w:r>
        <w:t>Finalmente, alega el recurrente, “resulta evidente que los vicios de inconstitucionalidad que acabamos de exponer se proyectan sobre la totalidad del artículo 20 LOPSC, incluidos los apartados 3 y 4, dada la evidente conexión y la relación existente entre unos y otros.</w:t>
      </w:r>
    </w:p>
    <w:p w:rsidR="005728DD" w:rsidRDefault="005728DD" w:rsidP="005728DD">
      <w:pPr>
        <w:pStyle w:val="TextoNormal"/>
      </w:pPr>
    </w:p>
    <w:p w:rsidR="005728DD" w:rsidRDefault="005728DD" w:rsidP="005728DD">
      <w:pPr>
        <w:pStyle w:val="TextoNormal"/>
      </w:pPr>
      <w:r>
        <w:t>b) Inconstitucionalidad de los arts. 36.1, 36.2, 36.8, 36.22, 37.7 y 35.1 LOPSC.</w:t>
      </w:r>
    </w:p>
    <w:p w:rsidR="005728DD" w:rsidRDefault="005728DD" w:rsidP="005728DD">
      <w:pPr>
        <w:pStyle w:val="TextoNormal"/>
      </w:pPr>
    </w:p>
    <w:p w:rsidR="005728DD" w:rsidRDefault="005728DD" w:rsidP="005728DD">
      <w:pPr>
        <w:pStyle w:val="TextoNormal"/>
      </w:pPr>
      <w:r>
        <w:t>La demanda, respecto del art. 36.1 LOPSC, argumenta que la amplitud y la falta de concreción de la conducta tipificada no cumple los requisitos de certeza y claridad que exige la jurisprudencia constitucional, ya que omite cualquier precisión sobre cuál debe ser el nivel de perturbación que debe tener la actuación infractora y sobre qué resultado debe producir. En este sentido, tal y como está formulado el precepto que estamos analizando, se trata de una cláusula abierta que permite sancionar como infracción grave cualquier perturbación, incluso leve. Aparte de infringir, por su carácter indeterminado, el principio de tipicidad, vulnera también el principio de proporcionalidad que debe existir entre la conducta y la sanción que se impone (art. 25.1 CE). Y ello porque, incluso la sanción mínima que comporta esta infracción grave puede ser particularmente elevada y, por lo tanto, desproporcionada, si tenemos en cuenta el carácter omnicomprensivo del tipo “perturbación de la seguridad ciudadana”.</w:t>
      </w:r>
    </w:p>
    <w:p w:rsidR="005728DD" w:rsidRDefault="005728DD" w:rsidP="005728DD">
      <w:pPr>
        <w:pStyle w:val="TextoNormal"/>
      </w:pPr>
    </w:p>
    <w:p w:rsidR="005728DD" w:rsidRDefault="005728DD" w:rsidP="005728DD">
      <w:pPr>
        <w:pStyle w:val="TextoNormal"/>
      </w:pPr>
      <w:r>
        <w:t xml:space="preserve">El recurrente, de otro lado, alega que no queda suficientemente explicitado cuál es el bien jurídico protegido en el tipo de la infracción grave que describe el art. 36.2 LOPSC, que solo alude a la protección de la seguridad ciudadana, sin ninguna referencia a la afectación a la función parlamentaria. Además, añade, la identificación del lugar donde se produzca la reunión o la manifestación, en ocasión de la cual se causen las perturbaciones y que resulta ser un elemento central del tipo, no queda explicitada con la necesaria precisión que evite la ambigüedad y la confusión. De todo ello concluye que el art. 36.2 LOPSC configura un </w:t>
      </w:r>
      <w:r>
        <w:lastRenderedPageBreak/>
        <w:t>tipo excesivamente abierto que vulnera los principios de legalidad (art. 25.1 CE) y, en relación con este, el de seguridad jurídica (art. 9.3 CE) que, por la misma razón, puede desincentivar indebidamente el ejercicio del derecho fundamental del art. 21 CE.</w:t>
      </w:r>
    </w:p>
    <w:p w:rsidR="005728DD" w:rsidRDefault="005728DD" w:rsidP="005728DD">
      <w:pPr>
        <w:pStyle w:val="TextoNormal"/>
      </w:pPr>
    </w:p>
    <w:p w:rsidR="005728DD" w:rsidRDefault="005728DD" w:rsidP="005728DD">
      <w:pPr>
        <w:pStyle w:val="TextoNormal"/>
      </w:pPr>
      <w:r>
        <w:t>Respecto del art. 36.8 LOPSC, la demanda argumenta que presenta una formulación del elemento objetivo del tipo idéntica a la que, según hemos visto, utiliza el art.36.1, en el sentido de que se refiere tan solo a “la perturbación”, en aquel caso, de una reunión o manifestación. Por tanto, la conclusión es que incurre en el mismo vicio de inconstitucionalidad que se imputa a dicho apartado 1.</w:t>
      </w:r>
    </w:p>
    <w:p w:rsidR="005728DD" w:rsidRDefault="005728DD" w:rsidP="005728DD">
      <w:pPr>
        <w:pStyle w:val="TextoNormal"/>
      </w:pPr>
    </w:p>
    <w:p w:rsidR="005728DD" w:rsidRDefault="005728DD" w:rsidP="005728DD">
      <w:pPr>
        <w:pStyle w:val="TextoNormal"/>
      </w:pPr>
      <w:r>
        <w:t>El recurrente afirma, en relación al art. 36.22 LOPSC, que la referencia a las restricciones a la navegación “reglamentariamente impuestas” constituye una cláusula de remisión en blanco que no permite identificar qué tipo de conducta es objeto de sanción (art. 25.1 CE). Incumple la exigencia de que la norma que remite al reglamento establezca el núcleo esencial de la prohibición. En efecto, el apartado 22 se limita a sancionar el incumplimiento de las restricciones a la navegación que contengan los reglamentos, sin contener ninguna exigencia específica de lesión o de evitar el riesgo con respecto al bien jurídico protegido, que sirva para precisar el núcleo esencial de la prohibición administrativa.</w:t>
      </w:r>
    </w:p>
    <w:p w:rsidR="005728DD" w:rsidRDefault="005728DD" w:rsidP="005728DD">
      <w:pPr>
        <w:pStyle w:val="TextoNormal"/>
      </w:pPr>
    </w:p>
    <w:p w:rsidR="005728DD" w:rsidRDefault="005728DD" w:rsidP="005728DD">
      <w:pPr>
        <w:pStyle w:val="TextoNormal"/>
      </w:pPr>
      <w:r>
        <w:t>En relación al art. 37.7 LOPSC, advierte el recurrente que las infracciones administrativas están integradas por conductas que son lesivas para los bienes jurídicos de titularidad colectiva, no para bienes jurídicos estrictamente privados como la propiedad, para los cuales el derecho civil prevé las acciones necesarias para restablecer la integridad y el goce pacífico de los derechos del titular. A su juicio, no queda expresado en el propio tenor del párrafo primero de forma suficientemente nítida cuál es el bien jurídico de naturaleza colectiva protegido por el art. 37.7 LOPSC, en el sentido que su redacción no conduce necesariamente al establecimiento de una conexión directa y clara con la protección de la seguridad ciudadana, dado que no señala la lesión o riesgo en que consiste la infracción, falta de claridad y certeza que vulnera los principios de tipicidad y seguridad jurídica. Esta crítica puede hacerse también del tipo descrito en el segundo párrafo del mismo apartado, porque no identifica de qué ley se trata ni el tipo de infracción a que se refiere, como tampoco explicita el tipo de decisión. En lo que concierne al último inciso, referido a la ocupación de la vía pública para la venta ambulante, tampoco se observa la conexión entre la práctica de la venta ambulante y la seguridad ciudadana. Por todo ello entiende que el art 37.7 LOPSC es contrario a los artículos 25.1 y 9.3 CE.</w:t>
      </w:r>
    </w:p>
    <w:p w:rsidR="005728DD" w:rsidRDefault="005728DD" w:rsidP="005728DD">
      <w:pPr>
        <w:pStyle w:val="TextoNormal"/>
      </w:pPr>
    </w:p>
    <w:p w:rsidR="005728DD" w:rsidRDefault="005728DD" w:rsidP="005728DD">
      <w:pPr>
        <w:pStyle w:val="TextoNormal"/>
      </w:pPr>
      <w:r>
        <w:t>Por último, la inclusión dentro del tipo del art. 35.1 LOPSC de infracciones de las reuniones o manifestaciones “por las inmediaciones” de las infraestructuras o instalaciones carece, a juicio del recurrente, de la necesaria concreción y claridad que exige la definición del tipo de la infracción, con lo que dicha inclusión es contraria al principio de tipicidad establecido al art. 25.1 CE y al de seguridad jurídica garantizado por el art. 9.3 CE.</w:t>
      </w:r>
    </w:p>
    <w:p w:rsidR="005728DD" w:rsidRDefault="005728DD" w:rsidP="005728DD">
      <w:pPr>
        <w:pStyle w:val="TextoNormal"/>
      </w:pPr>
    </w:p>
    <w:p w:rsidR="005728DD" w:rsidRDefault="005728DD" w:rsidP="005728DD">
      <w:pPr>
        <w:pStyle w:val="TextoNormal"/>
      </w:pPr>
      <w:r>
        <w:t>c) Inconstitucionalidad del art. 36.23 LOPSC.</w:t>
      </w:r>
    </w:p>
    <w:p w:rsidR="005728DD" w:rsidRDefault="005728DD" w:rsidP="005728DD">
      <w:pPr>
        <w:pStyle w:val="TextoNormal"/>
      </w:pPr>
    </w:p>
    <w:p w:rsidR="005728DD" w:rsidRDefault="005728DD" w:rsidP="005728DD">
      <w:pPr>
        <w:pStyle w:val="TextoNormal"/>
      </w:pPr>
      <w:r>
        <w:t xml:space="preserve">Alega el recurrente que la conducta sancionable recogida en este precepto no explicita con la precisión necesaria las circunstancias de su aplicación y las consecuencias que derivan de la misma, por lo que, a su juicio, el apartado 23 del art. 36 LOPSC es contrario al principio de tipicidad previsto al art. 25.1 CE y, en relación con este, al de seguridad jurídica </w:t>
      </w:r>
      <w:r>
        <w:lastRenderedPageBreak/>
        <w:t>(art. 9.3 CE). Por otra parte, en la medida en que no se precisan el alcance y condiciones de la autorización a que se refiere para el uso de imágenes y datos personales o profesionales, afecta a las actividades informativas y vulnera el art. 20.2 CE.</w:t>
      </w:r>
    </w:p>
    <w:p w:rsidR="005728DD" w:rsidRDefault="005728DD" w:rsidP="005728DD">
      <w:pPr>
        <w:pStyle w:val="TextoNormal"/>
      </w:pPr>
    </w:p>
    <w:p w:rsidR="005728DD" w:rsidRDefault="005728DD" w:rsidP="005728DD">
      <w:pPr>
        <w:pStyle w:val="TextoNormal"/>
      </w:pPr>
      <w:r>
        <w:t>La inconstitucionalidad de la infracción administrativa prevista en el art. 36.23 LOPSC comporta, según el recurrente, que queda excluida la aplicación del art. 19.2 y, por lo tanto, concluye, no es necesario un pronunciamiento respecto a esta cuestión.</w:t>
      </w:r>
    </w:p>
    <w:p w:rsidR="005728DD" w:rsidRDefault="005728DD" w:rsidP="005728DD">
      <w:pPr>
        <w:pStyle w:val="TextoNormal"/>
      </w:pPr>
    </w:p>
    <w:p w:rsidR="005728DD" w:rsidRDefault="005728DD" w:rsidP="005728DD">
      <w:pPr>
        <w:pStyle w:val="TextoNormal"/>
      </w:pPr>
      <w:r>
        <w:t>d) Inconstitucionalidad de la disposición final primera de la LOPSC.</w:t>
      </w:r>
    </w:p>
    <w:p w:rsidR="005728DD" w:rsidRDefault="005728DD" w:rsidP="005728DD">
      <w:pPr>
        <w:pStyle w:val="TextoNormal"/>
      </w:pPr>
    </w:p>
    <w:p w:rsidR="005728DD" w:rsidRDefault="005728DD" w:rsidP="005728DD">
      <w:pPr>
        <w:pStyle w:val="TextoNormal"/>
      </w:pPr>
      <w:r>
        <w:t xml:space="preserve">La parte recurrente invoca la STC 21/1997, de 10 de febrero, FJ 3, según la cual lo relevante no es dónde estén situadas las dependencias previstas para solicitar el asilo, sino, desde la perspectiva propia de los derechos fundamentales, la existencia de una situación legal de sometimiento de los solicitantes a un poder público español, que debe actuar comprobando si se dan las garantías efectivas que protegen a aquella persona de una devolución arbitraria (STEDH de 21 de enero de 2011, asunto </w:t>
      </w:r>
      <w:r w:rsidRPr="005728DD">
        <w:rPr>
          <w:i/>
        </w:rPr>
        <w:t>M.S.S. c. Bélgica y Grecia</w:t>
      </w:r>
      <w:r>
        <w:t>, § 286).</w:t>
      </w:r>
    </w:p>
    <w:p w:rsidR="005728DD" w:rsidRDefault="005728DD" w:rsidP="005728DD">
      <w:pPr>
        <w:pStyle w:val="TextoNormal"/>
      </w:pPr>
    </w:p>
    <w:p w:rsidR="005728DD" w:rsidRDefault="005728DD" w:rsidP="005728DD">
      <w:pPr>
        <w:pStyle w:val="TextoNormal"/>
      </w:pPr>
      <w:r>
        <w:t>Sostiene, a partir de esa doctrina, que, aunque la disposición adicional décima se pudiese entender como una legitimación para la actuación extraterritorial de la policía de fronteras en las ciudades de Ceuta y Melilla, es preciso tener en cuenta que la actuación de los poderes públicos del Estado está sometida al imperio de la Constitución y de la ley española.</w:t>
      </w:r>
    </w:p>
    <w:p w:rsidR="005728DD" w:rsidRDefault="005728DD" w:rsidP="005728DD">
      <w:pPr>
        <w:pStyle w:val="TextoNormal"/>
      </w:pPr>
    </w:p>
    <w:p w:rsidR="005728DD" w:rsidRDefault="005728DD" w:rsidP="005728DD">
      <w:pPr>
        <w:pStyle w:val="TextoNormal"/>
      </w:pPr>
      <w:r>
        <w:t>Pues bien, en su opinión, las actuaciones de interceptación y rechazo previstas constituyen una vía de hecho que, al consistir precisamente en obligar el extranjero irregular a retroceder a la línea fronteriza, imposibilitan no solo la aplicación de los procedimientos de extranjería, sino que también impiden a las personas afectadas el ejercicio del derecho de petición de asilo y protección internacional, lo que a su juicio conlleva vulnerar el art. 13.4 CE. Asimismo, imposibilitan el pertinente control judicial de la legalidad de la actuación administrativa (art. 106.1 CE), afectando, en consecuencia, al derecho a la tutela judicial efectiva (art. 24 CE).</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fecha 21 de julio de 2015, el Pleno del tribunal, a propuesta de la Sección Tercera, acordó admitir a trámite el presente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Finalmente, se acordó publicar la incoación del recurso en el “Boletín Oficial del Estado”.</w:t>
      </w:r>
    </w:p>
    <w:p w:rsidR="005728DD" w:rsidRDefault="005728DD" w:rsidP="005728DD">
      <w:pPr>
        <w:pStyle w:val="TextoNormal"/>
      </w:pPr>
    </w:p>
    <w:p w:rsidR="005728DD" w:rsidRDefault="005728DD" w:rsidP="005728DD">
      <w:pPr>
        <w:pStyle w:val="TextoNormal"/>
      </w:pPr>
      <w:r w:rsidRPr="005728DD">
        <w:rPr>
          <w:rStyle w:val="NumeroAFNegritaCaracter"/>
        </w:rPr>
        <w:t>3</w:t>
      </w:r>
      <w:r>
        <w:t>. El abogado del Estado, en representación del presidente del Gobierno, por escrito registrado en este tribunal el 24 de julio de 2015, manifestó que se personaba en nombre del Gobierno y solicitó prórroga por el máximo legal del plazo concedido para formular alegaciones, habida cuenta del número de asuntos que penden ante la Abogacía. Por providencia de 1 de septiembre de 2015, el Pleno acordó dar por personado al abogado del Estado, en la representación que legalmente ostenta, y prorrogarle en ocho días el plazo concedido por providencia de 21 de julio de 2015.</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Por escrito registrado en este tribunal de 8 de septiembre de 2015, el presidente del Congreso de los Diputados comunicó que la mesa de la Cámara había acordado personarse en este procedimiento, a los solos efectos de formular alegaciones en relación con los vicios de procedimiento legislativo que se denuncian en la demanda, en lo que afectan al Congreso de los Diputados, y remitir el recurso a la dirección de estudios, análisis y publicaciones y a la asesoría jurídica de la Secretaría General. A su vez, el presidente del Senado interesó, por escrito registrado con fecha 25 de agosto de 2015, que se tuviera por personada a dicha Cámara en este procedimiento y por ofrecida su colaboración a los efectos del art. 88.1 LOTC.</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registrado el 23 de septiembre de 2015, el abogado del Estado formula sus alegaciones interesando la desestimación del recurso por los motivos que sucintamente se exponen a continuación:</w:t>
      </w:r>
    </w:p>
    <w:p w:rsidR="005728DD" w:rsidRDefault="005728DD" w:rsidP="005728DD">
      <w:pPr>
        <w:pStyle w:val="TextoNormal"/>
      </w:pPr>
    </w:p>
    <w:p w:rsidR="005728DD" w:rsidRDefault="005728DD" w:rsidP="005728DD">
      <w:pPr>
        <w:pStyle w:val="TextoNormal"/>
      </w:pPr>
      <w:r>
        <w:t>a) Sobre la inconstitucionalidad del art. 20 LOPSC.</w:t>
      </w:r>
    </w:p>
    <w:p w:rsidR="005728DD" w:rsidRDefault="005728DD" w:rsidP="005728DD">
      <w:pPr>
        <w:pStyle w:val="TextoNormal"/>
      </w:pPr>
    </w:p>
    <w:p w:rsidR="005728DD" w:rsidRDefault="005728DD" w:rsidP="005728DD">
      <w:pPr>
        <w:pStyle w:val="TextoNormal"/>
      </w:pPr>
      <w:r>
        <w:t>El abogado del Estado, tras exponer las principales características de la Ley Orgánica de protección de la seguridad ciudadana y los motivos del recurso, inicia su escrito de alegaciones con el análisis de la impugnación del art. 20 LOPSC. Recuerda que los registros corporales externos han sido utilizados como medio efectivo de prevención de la delincuencia en numerosas ocasiones y han dado lugar a múltiples pronunciamientos judiciales. Es por ello que era necesario abordar su regulación legal con el objetivo de dotar de mayor protección a los derechos de los ciudadanos que pudieran verse limitados en la práctica de dichos registros.</w:t>
      </w:r>
    </w:p>
    <w:p w:rsidR="005728DD" w:rsidRDefault="005728DD" w:rsidP="005728DD">
      <w:pPr>
        <w:pStyle w:val="TextoNormal"/>
      </w:pPr>
    </w:p>
    <w:p w:rsidR="005728DD" w:rsidRDefault="005728DD" w:rsidP="005728DD">
      <w:pPr>
        <w:pStyle w:val="TextoNormal"/>
      </w:pPr>
      <w:r>
        <w:t xml:space="preserve">Argumenta el abogado del Estado que, para poder comprender y saber si el legislador ha cumplido el principio de proporcionalidad establecido en la jurisprudencia del Tribunal Constitucional (STC 55/1996, de 28 de marzo, FFJJ 3 y 5), es necesario considerar la regulación completa de la figura de los registros corporales externos. A mayor abundamiento, destaca que la jurisprudencia del Tribunal Europeo de Derechos Humanos contempla la legalidad de los cacheos o desnudos integrales cuando son necesarios para garantizar la seguridad de un establecimiento, evitando revueltas o la comisión de delitos (ocultación de objetos o sustancias prohibidas); siendo luego el tribunal, atendiendo a las circunstancias de cada caso, el que analiza si las sospechas eran concretas y serias, y si la forma en que se practican los cacheos son conformes con los derechos recogidos en la Convención y responden al principio de injerencia mínima (SSTEDH de 20 de enero de 2011, caso </w:t>
      </w:r>
      <w:r w:rsidRPr="005728DD">
        <w:rPr>
          <w:i/>
        </w:rPr>
        <w:t>El Shennawy c. Francia</w:t>
      </w:r>
      <w:r>
        <w:t xml:space="preserve">, y de 31 de julio de 2014, caso </w:t>
      </w:r>
      <w:r w:rsidRPr="005728DD">
        <w:rPr>
          <w:i/>
        </w:rPr>
        <w:t>Jaeger c. Estonia</w:t>
      </w:r>
      <w:r>
        <w:t>).</w:t>
      </w:r>
    </w:p>
    <w:p w:rsidR="005728DD" w:rsidRDefault="005728DD" w:rsidP="005728DD">
      <w:pPr>
        <w:pStyle w:val="TextoNormal"/>
      </w:pPr>
    </w:p>
    <w:p w:rsidR="005728DD" w:rsidRDefault="005728DD" w:rsidP="005728DD">
      <w:pPr>
        <w:pStyle w:val="TextoNormal"/>
      </w:pPr>
      <w:r>
        <w:t xml:space="preserve">Todo ello le permite concluir que la regulación de los registros corporales, </w:t>
      </w:r>
      <w:r w:rsidRPr="005728DD">
        <w:rPr>
          <w:i/>
        </w:rPr>
        <w:t>ex</w:t>
      </w:r>
      <w:r>
        <w:t xml:space="preserve"> art. 20 LOPSC, cumple con el principio de proporcionalidad constitucional en su triple vertiente, ya que se establece su necesidad (protección de la seguridad ciudadana), su fundamento y motivación (lo que evita que sean arbitrarios e inmotivados) y la forma de practicarlos, en la que se resguardan al máximo los principios de no injerencia, no discriminación y protección de los derechos fundamentales afectados, en concreto el derecho a la intimidad personal y a la dignidad de la persona.</w:t>
      </w:r>
    </w:p>
    <w:p w:rsidR="005728DD" w:rsidRDefault="005728DD" w:rsidP="005728DD">
      <w:pPr>
        <w:pStyle w:val="TextoNormal"/>
      </w:pPr>
    </w:p>
    <w:p w:rsidR="005728DD" w:rsidRDefault="005728DD" w:rsidP="005728DD">
      <w:pPr>
        <w:pStyle w:val="TextoNormal"/>
      </w:pPr>
      <w:r>
        <w:t xml:space="preserve">Entrando ya en el análisis del apartado objeto de impugnación, el abogado del Estado se refiere a la alegación del recurso sobre imprecisión de los términos jurídicos utilizados, </w:t>
      </w:r>
      <w:r>
        <w:lastRenderedPageBreak/>
        <w:t>oponiendo a la misma que ya el Consejo de Estado en su dictamen 557/2014, de 30 de marzo, emitido respecto del proyecto de ley, consideró que es posible, sin incurrir en arbitrariedad o falta de tipificación, la utilización de conceptos jurídicos indeterminados porque “[l]a razón jurídica no es una razón mecánica y, por ello, el legislador no puede prever detalladamente todas y cada una de las circunstancias del caso al que hay que aplicar la ley, especialmente en materia tan fluida como es el mantenimiento de la seguridad ciudadana. Por eso, es adecuado y razonable tanto el recurso a conceptos jurídicos indeterminados como a lo razonable de la interpretación de la norma y la valoración de los hechos en presencia”.</w:t>
      </w:r>
    </w:p>
    <w:p w:rsidR="005728DD" w:rsidRDefault="005728DD" w:rsidP="005728DD">
      <w:pPr>
        <w:pStyle w:val="TextoNormal"/>
      </w:pPr>
    </w:p>
    <w:p w:rsidR="005728DD" w:rsidRDefault="005728DD" w:rsidP="005728DD">
      <w:pPr>
        <w:pStyle w:val="TextoNormal"/>
      </w:pPr>
      <w:r>
        <w:t xml:space="preserve">Finaliza sus alegaciones el abogado del Estado examinando la doctrina relevante del Tribunal Constitucional (SSTC 57/1994, 207/1996 y 17/2013) y del Tribunal Europeo de Derecho Humanos (STEDH de 12 de enero de 2010, asunto </w:t>
      </w:r>
      <w:r w:rsidRPr="005728DD">
        <w:rPr>
          <w:i/>
        </w:rPr>
        <w:t>Gillan y Quinton c. Reino Unido</w:t>
      </w:r>
      <w:r>
        <w:t>), concluyendo en la plena constitucionalidad y legalidad de los registros corporales con desnudo parcial regulados en el art. 20 LOPSC.</w:t>
      </w:r>
    </w:p>
    <w:p w:rsidR="005728DD" w:rsidRDefault="005728DD" w:rsidP="005728DD">
      <w:pPr>
        <w:pStyle w:val="TextoNormal"/>
      </w:pPr>
    </w:p>
    <w:p w:rsidR="005728DD" w:rsidRDefault="005728DD" w:rsidP="005728DD">
      <w:pPr>
        <w:pStyle w:val="TextoNormal"/>
      </w:pPr>
      <w:r>
        <w:t>b) Sobre la inconstitucionalidad de los arts. 35.1, 36.1, 36.2, 36.8, 36.22 y 37.7 LOPSC.</w:t>
      </w:r>
    </w:p>
    <w:p w:rsidR="005728DD" w:rsidRDefault="005728DD" w:rsidP="005728DD">
      <w:pPr>
        <w:pStyle w:val="TextoNormal"/>
      </w:pPr>
    </w:p>
    <w:p w:rsidR="005728DD" w:rsidRDefault="005728DD" w:rsidP="005728DD">
      <w:pPr>
        <w:pStyle w:val="TextoNormal"/>
      </w:pPr>
      <w:r>
        <w:t>(i) Expone que el art. 35.1 LOPSC contiene dos elementos definidores de la infracción: por un lado, que la concentración se celebre sin previa comunicación a la autoridad competente o bien que se celebre aun contra la prohibición de la autoridad; y, además, que se celebre, que tenga lugar materialmente, en las infraestructuras o instalaciones a las que se refiere, o en sus inmediaciones. Luego analiza con detalle ambos elementos del tipo en relación con los arts. 21 y 25 CE, concluyendo que son plenamente conformes.</w:t>
      </w:r>
    </w:p>
    <w:p w:rsidR="005728DD" w:rsidRDefault="005728DD" w:rsidP="005728DD">
      <w:pPr>
        <w:pStyle w:val="TextoNormal"/>
      </w:pPr>
    </w:p>
    <w:p w:rsidR="005728DD" w:rsidRDefault="005728DD" w:rsidP="005728DD">
      <w:pPr>
        <w:pStyle w:val="TextoNormal"/>
      </w:pPr>
      <w:r>
        <w:t>Entrando ya a responder a la impugnación concreta que hace valer la demanda, afirma que “no compartimos, además, el criterio de la parte recurrente en cuanto a que la expresión ‘o en sus inmediaciones’ sea algo impreciso y que atente contra el principio constitucional de tipicidad que garantiza el art. 25 de la CE. Al contrario, la citada expresión contenida en la norma constituye un concepto jurídico indeterminado que resultará de fácil concreción por parte del órgano competente, administrativo o judicial, que haya de aplicar la norma al caso, sobre la base ya sea de elementos circunstanciales cognitivos o ya valorativos, siempre de carácter objetivo. No hay indeterminación y, por tanto, no genera la norma descriptiva inseguridad jurídica, como pretende la demanda de recurso”.</w:t>
      </w:r>
    </w:p>
    <w:p w:rsidR="005728DD" w:rsidRDefault="005728DD" w:rsidP="005728DD">
      <w:pPr>
        <w:pStyle w:val="TextoNormal"/>
      </w:pPr>
    </w:p>
    <w:p w:rsidR="005728DD" w:rsidRDefault="005728DD" w:rsidP="005728DD">
      <w:pPr>
        <w:pStyle w:val="TextoNormal"/>
      </w:pPr>
      <w:r>
        <w:t>(ii) Aduce en general en cuanto a los apartados impugnados del art. 36 LOPSC que, como señaló el Consejo de Estado en dictamen 557/2014,de 30 de marzo, emitido respecto al proyecto de ley, es posible la utilización de conceptos jurídicos indeterminados sin que ello suponga arbitrariedad ni falta de tipicidad de las infracciones.</w:t>
      </w:r>
    </w:p>
    <w:p w:rsidR="005728DD" w:rsidRDefault="005728DD" w:rsidP="005728DD">
      <w:pPr>
        <w:pStyle w:val="TextoNormal"/>
      </w:pPr>
    </w:p>
    <w:p w:rsidR="005728DD" w:rsidRDefault="005728DD" w:rsidP="005728DD">
      <w:pPr>
        <w:pStyle w:val="TextoNormal"/>
      </w:pPr>
      <w:r>
        <w:t xml:space="preserve">La “perturbación de la seguridad ciudadana” en el supuesto descrito por el apartado 1 del art. 36, podría producirse en el momento que hubiera que calificar hipotéticamente unos posibles hechos, para así aplicar la norma cuestionada, por diferenciación con el tipo penal [por ejemplo, por diferenciación con el tipo de desórdenes públicos descrito en el art. 557 del Código penal (CP)], porque este último conlleva una violencia concreta sobre personas o cosas, y el art. 36.1 describe una situación en la que, aun sin ejercer una violencia especialmente fuerte o directa, la alteración consistiera en una actitud que impidiera de hecho, e </w:t>
      </w:r>
      <w:r>
        <w:lastRenderedPageBreak/>
        <w:t>injustamente por tanto, la celebración de esos actos colectivos o eventos públicos que describe la norma sancionadora.</w:t>
      </w:r>
    </w:p>
    <w:p w:rsidR="005728DD" w:rsidRDefault="005728DD" w:rsidP="005728DD">
      <w:pPr>
        <w:pStyle w:val="TextoNormal"/>
      </w:pPr>
    </w:p>
    <w:p w:rsidR="005728DD" w:rsidRDefault="005728DD" w:rsidP="005728DD">
      <w:pPr>
        <w:pStyle w:val="TextoNormal"/>
      </w:pPr>
      <w:r>
        <w:t xml:space="preserve">Pero no se trata de determinar en detalle cuándo la conducta descrita en el art 36.1 pudiera circunstancialmente mutarse y llegar a constituir delito y ser entonces enjuiciada en el orden penal, según los casos y circunstancias, sino si </w:t>
      </w:r>
      <w:r w:rsidRPr="005728DD">
        <w:rPr>
          <w:i/>
        </w:rPr>
        <w:t>a priori</w:t>
      </w:r>
      <w:r>
        <w:t xml:space="preserve"> la tipificación de la infracción administrativa resulta correctamente efectuada con arreglo a las previsiones del art 25 CE. Las vicisitudes posteriores en orden a la calificación de las conductas en cada caso serán cuestión de análisis por los jueces y tribunales o quizá por la resolución en su caso de previas cuestiones prejudiciales penales. Ahora estamos en el plano jurídico constitucional de la valoración del precepto. Es solo la absoluta indeterminación lo que veda el art. 25 de la CE, y esto en modo alguno se da en la redacción de los tipos de ese art 36.1, que respondería al canon de constitucionalidad que admite, debido al inevitable margen de mínima indefinición por imperativo de la propia naturaleza de las cosas, la utilización de conceptos jurídicos indeterminados en la formulación del tipo ilícito. Concluye el abogado del Estado que “será la labor exegética por parte del intérprete y aplicador de la norma, quien habrá de llevarla a cabo siguiendo pautas objetivas y no discrecionales que precisen el alcance de los preceptos y los hagan previsibles”.</w:t>
      </w:r>
    </w:p>
    <w:p w:rsidR="005728DD" w:rsidRDefault="005728DD" w:rsidP="005728DD">
      <w:pPr>
        <w:pStyle w:val="TextoNormal"/>
      </w:pPr>
    </w:p>
    <w:p w:rsidR="005728DD" w:rsidRDefault="005728DD" w:rsidP="005728DD">
      <w:pPr>
        <w:pStyle w:val="TextoNormal"/>
      </w:pPr>
      <w:r>
        <w:t>Lo mismo cabe decir, según el abogado del Estado, en cuanto a la descripción de la infracción en el art. 36.8, en cuanto que es exactamente el mismo reproche el que el recurso hace respecto de dicha redacción. Tanto “perturbación”, como “reunión o manifestación lícita”, son conceptos susceptibles de fácil integración circunstancial, objetivamente, por el intérprete.</w:t>
      </w:r>
    </w:p>
    <w:p w:rsidR="005728DD" w:rsidRDefault="005728DD" w:rsidP="005728DD">
      <w:pPr>
        <w:pStyle w:val="TextoNormal"/>
      </w:pPr>
    </w:p>
    <w:p w:rsidR="005728DD" w:rsidRDefault="005728DD" w:rsidP="005728DD">
      <w:pPr>
        <w:pStyle w:val="TextoNormal"/>
      </w:pPr>
      <w:r>
        <w:t>En relación al art. 36.2 LOPSC, y en particular frente al argumento de los recurrentes de que el tipo sancionador adolece de indefinición (art. 25.1 CE), el abogado del Estado alega que “pueden reproducirse las razones expuestas en relación con el apartado anterior, que abonan la constitucionalidad del precepto en este caso. Podría producirse la conducta, por ejemplo —aunque quede ello a la interpretación definitiva de los órganos jurisdiccionales—, cuando los manifestantes llegaren a provocar violencia, en el sentido de que llevaran a cabo actuaciones que hicieran preciso el uso de la fuerza por las fuerzas del orden ante la insistencia de los manifestantes en cuanto a no deponer su actitud peligrosa o transgresora de las condiciones previstas o que conformaron en su momento el contenido de la comunicación previa”.</w:t>
      </w:r>
    </w:p>
    <w:p w:rsidR="005728DD" w:rsidRDefault="005728DD" w:rsidP="005728DD">
      <w:pPr>
        <w:pStyle w:val="TextoNormal"/>
      </w:pPr>
    </w:p>
    <w:p w:rsidR="005728DD" w:rsidRDefault="005728DD" w:rsidP="005728DD">
      <w:pPr>
        <w:pStyle w:val="TextoNormal"/>
      </w:pPr>
      <w:r>
        <w:t>Respecto al segundo motivo de impugnación del precepto, según el que esa indefinición del tipo infractor es un desincentivo desproporcionado para el ejercicio del derecho de reunión, el abogado del Estado sostiene que el precepto sanciona los actos de amenaza o peligro físico de ocupación ilícita de los edificios que albergan las asambleas legislativas como conducta reprochable en sí misma, con independencia de que conlleve o no la realización de peticiones directas (art. 77.1 CE). El bien jurídico protegido es la protección de estos edificios, en cuanto estructuras fundamentales que albergan las sedes del poder legislativo, así como la eventual afectación a la actividad que en ellos se desarrolla; descartándose, por ello, la inconstitucionalidad por su supuesta indefinición de la expresión “perturbación grave de la seguridad ciudadana”.</w:t>
      </w:r>
    </w:p>
    <w:p w:rsidR="005728DD" w:rsidRDefault="005728DD" w:rsidP="005728DD">
      <w:pPr>
        <w:pStyle w:val="TextoNormal"/>
      </w:pPr>
    </w:p>
    <w:p w:rsidR="005728DD" w:rsidRDefault="005728DD" w:rsidP="005728DD">
      <w:pPr>
        <w:pStyle w:val="TextoNormal"/>
      </w:pPr>
      <w:r>
        <w:lastRenderedPageBreak/>
        <w:t>Por una parte, aun sin que se llegue a consumar la invasión u ocupación o la efectiva causación de daños materiales a los edificios o instalaciones, la amenaza o el peligro en sí mismo es algo que legítimamente cabe tratar de prevenir, como situación a evitar, cuya reprensibilidad, desde una perspectiva jurídico-constitucional, cree el abogado del Estado no puede ser objetada. La especial significación institucional que ostentan las sedes de las Cortes Generales y de las asambleas legislativas de las comunidades autónomas es lo que ha llevado al legislador estatal a tipificar la infracción específica, sin perjuicio de la potestad de las autoridades para disolver las manifestaciones cuando se altera el orden público con peligro para las personas o bienes.</w:t>
      </w:r>
    </w:p>
    <w:p w:rsidR="005728DD" w:rsidRDefault="005728DD" w:rsidP="005728DD">
      <w:pPr>
        <w:pStyle w:val="TextoNormal"/>
      </w:pPr>
    </w:p>
    <w:p w:rsidR="005728DD" w:rsidRDefault="005728DD" w:rsidP="005728DD">
      <w:pPr>
        <w:pStyle w:val="TextoNormal"/>
      </w:pPr>
      <w:r>
        <w:t>Por otra parte, el representante del Gobierno señala que la conducta constitutiva de infracción no es la mera reunión o manifestación en un determinado lugar físico, sino que con ellas se perturbe, y de forma grave, la seguridad ciudadana precisamente de las cámaras legislativas, pudiendo además verse afectado el normal funcionamiento de unos órganos constitucionales del Estado cuyos miembros ostentan la representación de la soberanía nacional o de los ciudadanos de la respectiva comunidad autónoma. El legislador, ejerciendo una opción de política legislativa, ha entendido que, entre la impunidad y el delito contra las instituciones del Estado tipificado en el art. 495 CP, debía caber una infracción administrativa que cualificara ciertos desórdenes públicos ante las cámaras legislativas —no ante cualquier institución precisamente—, susceptibles en ocasiones —cuando están reunidos los plenos o las comisiones parlamentarias, ponencias, comisiones de investigación…—, de dificultar o perturbar su legítimo ejercicio, sin llegar a impedirlo o a representar un intento de invasión de las sedes.</w:t>
      </w:r>
    </w:p>
    <w:p w:rsidR="005728DD" w:rsidRDefault="005728DD" w:rsidP="005728DD">
      <w:pPr>
        <w:pStyle w:val="TextoNormal"/>
      </w:pPr>
    </w:p>
    <w:p w:rsidR="005728DD" w:rsidRDefault="005728DD" w:rsidP="005728DD">
      <w:pPr>
        <w:pStyle w:val="TextoNormal"/>
      </w:pPr>
      <w:r>
        <w:t xml:space="preserve">Rechaza, por otro lado, que el art. 36.22 LOPSC realice una remisión en blanco a disposiciones y decisiones administrativas porque “en lo que incide el tipo del art. 36.22 no es, como elemento directamente central, la infracción de reglamentos, sino que primordialmente y de modo directo es a la actividad externa peligrosa en sí a la que apunta el tipo. Y, luego, si a ese peligro se le añade la comprobación efectiva de que hubo infracción de reglamentos, se incurriría en el carácter grave de la infracción definida en el apartado. No hay, como pretende el recurso, una remisión inconcreta o indeterminada —en el sentido de contraria al art 25 CE— a las reglamentaciones que imponen restricciones a las embarcaciones de alta velocidad o a las aeronaves ligeras. Lo que provocaría la incoación del expediente sancionador sería la utilización en sí peligrosa empíricamente constatada, como concepto jurídico indeterminado, y si después se constatara adicionalmente por el órgano competente, en el seno del mismo expediente, la infracción de algún reglamento que discipline, en el sentido de que </w:t>
      </w:r>
      <w:r w:rsidRPr="005728DD">
        <w:rPr>
          <w:i/>
        </w:rPr>
        <w:t>restrinja</w:t>
      </w:r>
      <w:r>
        <w:t xml:space="preserve"> normativamente de algún modo, la actividad de estas embarcaciones de alta velocidad (labor de acreditación y fijación de la norma reglamentaria concreta, por tanto, que habrá de efectuar el intérprete, aplicador administrativo o judicial de la norma del art. 36.22), se incurría en la infracción tipificada com</w:t>
      </w:r>
      <w:r w:rsidRPr="005728DD">
        <w:rPr>
          <w:i/>
        </w:rPr>
        <w:t>o gra</w:t>
      </w:r>
      <w:r>
        <w:t>ve por el apartado 22”.</w:t>
      </w:r>
    </w:p>
    <w:p w:rsidR="005728DD" w:rsidRDefault="005728DD" w:rsidP="005728DD">
      <w:pPr>
        <w:pStyle w:val="TextoNormal"/>
      </w:pPr>
    </w:p>
    <w:p w:rsidR="005728DD" w:rsidRDefault="005728DD" w:rsidP="005728DD">
      <w:pPr>
        <w:pStyle w:val="TextoNormal"/>
      </w:pPr>
      <w:r>
        <w:t>(iii) El abogado del Estado comienza rechazando el carácter indeterminado del término “ocupación” que define la infracción prevista en el art. 37.7 LOPSC. Argumenta el representante del Gobierno que es inobjetable que la anómala situación de ocupación física de un inmueble contra la voluntad del propietario o titular del derecho patrimonial sobre el mismo deba o, al menos, pueda ser tipificada como infracción y sancionada proporcionalmente. La efectiva protección del derecho fundamental de reunión, para que resulte recono</w:t>
      </w:r>
      <w:r>
        <w:lastRenderedPageBreak/>
        <w:t>cible suficientemente y jurídicamente salvaguardado en el seno de un ordenamiento democrático, no precisa de la conculcación del derecho de propiedad, también amparado constitucionalmente (art. 33 CE). La tipificación por la ley como infracción del hecho de esa ocupación no consentida es una alternativa legítima de regulación general del derecho de reunión, de su despliegue y funcionalidad.</w:t>
      </w:r>
    </w:p>
    <w:p w:rsidR="005728DD" w:rsidRDefault="005728DD" w:rsidP="005728DD">
      <w:pPr>
        <w:pStyle w:val="TextoNormal"/>
      </w:pPr>
    </w:p>
    <w:p w:rsidR="005728DD" w:rsidRDefault="005728DD" w:rsidP="005728DD">
      <w:pPr>
        <w:pStyle w:val="TextoNormal"/>
      </w:pPr>
      <w:r>
        <w:t>Tampoco comparte el abogado del Estado el reproche formulado por los recurrentes de la falta de claridad del precepto al definir la ocupación de la vía pública. El ilícito se configura y caracteriza por el hecho de la ausencia de autorización o de inclusión de la vía pública ocupada en el itinerario o espacio público objeto de comunicación previa, en cuyo caso basta, para incurrir en el ilícito administrativo, la ocupación de la vía pública, aun sin resistencia física, elemento este que no exige el precepto, como requisito necesario, para la configuración legal de la infracción. En todo caso, la utilización de medios violentos conllevaría una agravación de la antijuridicidad de la conducta. En conclusión, el art. 37.7 LOPSC contempla el hecho consistente en una concentración o manifestación no amparada por la Constitución, bien por la falta de comunicación previa que exige al art. 21.1 CE, bien por extralimitar los términos comunicados.</w:t>
      </w:r>
    </w:p>
    <w:p w:rsidR="005728DD" w:rsidRDefault="005728DD" w:rsidP="005728DD">
      <w:pPr>
        <w:pStyle w:val="TextoNormal"/>
      </w:pPr>
    </w:p>
    <w:p w:rsidR="005728DD" w:rsidRDefault="005728DD" w:rsidP="005728DD">
      <w:pPr>
        <w:pStyle w:val="TextoNormal"/>
      </w:pPr>
      <w:r>
        <w:t xml:space="preserve">Finaliza sus alegaciones el abogado del Estado subrayando que el condicionamiento de la existencia de la infracción administrativa a que las conductas “no sean constitutivas de delito”, no puede entenderse como una indeterminación o falta de claridad, sino como una manifestación del principio del </w:t>
      </w:r>
      <w:r w:rsidRPr="005728DD">
        <w:rPr>
          <w:i/>
        </w:rPr>
        <w:t>non bis in idem</w:t>
      </w:r>
      <w:r>
        <w:t>. Por otro lado, en relación con “la ocupación de la vía pública para la venta ambulante no autorizada”, entiende que dicha conducta, “sobre ser clara en su definición e incorporarse al ordenamiento sancionador mediante una ley formal (es decir, aparte de no vulnerar el art. 25 CE), posee, entendemos, una conexión dialéctica con el orden público en el sentido de actividad pública, en las calles, en vías públicas, ocupando parte de ellas o utilizándolas para realizar una actividad que, aun adoleciendo de una antijuridicidad específica propia de la legislación comercial (carecer de la autorización pertinente, que la autoridad autonómica o municipal en su caso hubiera de otorgar), insistimos en que al tratarse de una actividad ilícita que se desarrolla directamente en la vía pública y teniendo como soporte la misma, connota ahí un daño al orden público, con independencia de que el interés general se vea afectado negativamente también, desde el punto de vista de la ordenación del comercio minorista, por el ejercicio de este sin la pertinente autorización. Al no referirse el precepto, es decir, al no vincularse el supuesto de hecho descrito por la norma, con el ejercicio del derecho de reunión, podría entenderse que se trata de la tipificación de una infracción autónoma, con independencia de cuáles sean las circunstancias en las que se realice. Pero no por ello puede decirse que estemos ante la tipificación de una infracción carente de conexión con la salvaguarda del orden público”.</w:t>
      </w:r>
    </w:p>
    <w:p w:rsidR="005728DD" w:rsidRDefault="005728DD" w:rsidP="005728DD">
      <w:pPr>
        <w:pStyle w:val="TextoNormal"/>
      </w:pPr>
    </w:p>
    <w:p w:rsidR="005728DD" w:rsidRDefault="005728DD" w:rsidP="005728DD">
      <w:pPr>
        <w:pStyle w:val="TextoNormal"/>
      </w:pPr>
      <w:r>
        <w:t>c) Sobre la inconstitucionalidad del art. 36.23 LOSPC.</w:t>
      </w:r>
    </w:p>
    <w:p w:rsidR="005728DD" w:rsidRDefault="005728DD" w:rsidP="005728DD">
      <w:pPr>
        <w:pStyle w:val="TextoNormal"/>
      </w:pPr>
    </w:p>
    <w:p w:rsidR="005728DD" w:rsidRDefault="005728DD" w:rsidP="005728DD">
      <w:pPr>
        <w:pStyle w:val="TextoNormal"/>
      </w:pPr>
      <w:r>
        <w:t xml:space="preserve">El abogado del Estado inicia su escrito de alegaciones exponiendo el contenido de los preceptos impugnados, los motivos de impugnación y la evolución en su redacción, a los efectos de resaltar que los recurrentes parten de un error interpretativo de base: el precepto no tipifica la “captación” de datos, imágenes…, que es libre, sino su “uso” y solo cuando se den determinados condicionantes —peligro para la seguridad de los agentes y sus familias, etc.—, siempre que no se haya obtenido la autorización expresa o tácita de la persona en </w:t>
      </w:r>
      <w:r>
        <w:lastRenderedPageBreak/>
        <w:t>concreto y no esté amparado por el derecho de información —esto es, no exista un interés público prevalente—.</w:t>
      </w:r>
    </w:p>
    <w:p w:rsidR="005728DD" w:rsidRDefault="005728DD" w:rsidP="005728DD">
      <w:pPr>
        <w:pStyle w:val="TextoNormal"/>
      </w:pPr>
    </w:p>
    <w:p w:rsidR="005728DD" w:rsidRDefault="005728DD" w:rsidP="005728DD">
      <w:pPr>
        <w:pStyle w:val="TextoNormal"/>
      </w:pPr>
      <w:r>
        <w:t>La recta interpretación del precepto es, según el abogado del Estado, la contraria a la que postulan los recurrentes: en un supuesto conflicto entre una difusión no autorizada que pueda o haya podido causar una situación de peligro para la seguridad de un agente y el derecho de información (art. 20 CE), prima este último. Derecho de información que, como recuerda la representación procesal del Gobierno, tiene su límite en el respeto a otros derechos reconocidos constitucionalmente: esto es, siempre habrá que hacer una valoración basada en la concurrencia del interés público en la información y el interés privado, articulando su evaluación conforme a los principios de proporcionalidad y ponderación. Y esta valoración y ponderación realizada de forma continuada y habitual por los periodistas en el ejercicio de su labor, también la ha de realizar todo ciudadano, pues en la actualidad la difusión de información no está limitada a los profesionales, sino que la tecnología ofrece a la ciudadanía múltiples vehículos para recibir y divulgar información (redes sociales). Como contrapunto a la libertad de informar, está la responsabilidad del que divulga la información.</w:t>
      </w:r>
    </w:p>
    <w:p w:rsidR="005728DD" w:rsidRDefault="005728DD" w:rsidP="005728DD">
      <w:pPr>
        <w:pStyle w:val="TextoNormal"/>
      </w:pPr>
    </w:p>
    <w:p w:rsidR="005728DD" w:rsidRDefault="005728DD" w:rsidP="005728DD">
      <w:pPr>
        <w:pStyle w:val="TextoNormal"/>
      </w:pPr>
      <w:r>
        <w:t>Por otro lado, el abogado del Estado argumenta que no hay censura previa contraria al art. 20.2 CE porque, a partir del examen de la evolución normativa, concluye que se incorporó la expresión “uso no autorizado”, no para someter a ningún tipo de control administrativo previo la difusión de las imágenes o los datos, sino como una aplicación singular de la inexistencia de vulneración de derecho (en la práctica una exoneración de responsabilidad) cuando existe consentimiento del titular del derecho, esto es el funcionario público singular cuya imagen o dato va a ser difundido (un efecto similar al previsto en el arto 2.2 de la Ley 11/1982: “No se apreciará la existencia de intromisión ilegítima en el ámbito protegido cuando estuviere expresamente autorizada por Ley o cuando el titular del derecho hubiere otorgado al efecto su consentimiento expreso”).</w:t>
      </w:r>
    </w:p>
    <w:p w:rsidR="005728DD" w:rsidRDefault="005728DD" w:rsidP="005728DD">
      <w:pPr>
        <w:pStyle w:val="TextoNormal"/>
      </w:pPr>
    </w:p>
    <w:p w:rsidR="005728DD" w:rsidRDefault="005728DD" w:rsidP="005728DD">
      <w:pPr>
        <w:pStyle w:val="TextoNormal"/>
      </w:pPr>
      <w:r>
        <w:t>d) Sobre la inconstitucionalidad de la disposición final primera de la LOPSC.</w:t>
      </w:r>
    </w:p>
    <w:p w:rsidR="005728DD" w:rsidRDefault="005728DD" w:rsidP="005728DD">
      <w:pPr>
        <w:pStyle w:val="TextoNormal"/>
      </w:pPr>
    </w:p>
    <w:p w:rsidR="005728DD" w:rsidRDefault="005728DD" w:rsidP="005728DD">
      <w:pPr>
        <w:pStyle w:val="TextoNormal"/>
      </w:pPr>
      <w:r>
        <w:t>El abogado del Estado insta la inadmisión del recurso de inconstitucionalidad en cuanto a esta impugnación, pues, a su juicio, “en este supuesto no existe ningún punto de conexión material entre la ley estatal y el ámbito competencial autonómico, ni puede identificarse un interés específico del Parlamento para recurrir esta norma. Si bien es cierto que la Generalitat de Cataluña ostenta algunas competencias en materia de derechos y libertades de los extranjeros en España, como reconoció la citada STC 236/2007, no se acierta a comprender en qué medida pueden estar afectadas sus competencias en una regulación (la protección de fronteras), exclusiva del Estado, y que se desarrolla, además, completamente fuera del territorio de Cataluña (frontera de España con Marruecos en Ceuta y Melilla), salvo que se vacíe completamente el contenido del artículo 33.2 LOTC”.</w:t>
      </w:r>
    </w:p>
    <w:p w:rsidR="005728DD" w:rsidRDefault="005728DD" w:rsidP="005728DD">
      <w:pPr>
        <w:pStyle w:val="TextoNormal"/>
      </w:pPr>
    </w:p>
    <w:p w:rsidR="005728DD" w:rsidRDefault="005728DD" w:rsidP="005728DD">
      <w:pPr>
        <w:pStyle w:val="TextoNormal"/>
      </w:pPr>
      <w:r>
        <w:t xml:space="preserve">El abogado del Estado aborda, a continuación, la supuesta vulneración de la figura del rechazo en frontera de los arts. 13.4, 24.1 y 106 CE, por ausencia total de procedimiento alguno. Expone, en primer lugar, el sentido de la disposición recurrida, ya que a través de la nueva figura —rechazo fronterizo— se cubre un vacío normativo respecto de una actuación puramente material que se desarrolla en el marco del ejercicio de las labores de vigilancia fronteriza encomendadas al Estado español. Y se hace a los efectos de introducir </w:t>
      </w:r>
      <w:r>
        <w:lastRenderedPageBreak/>
        <w:t>mayores elementos de seguridad jurídica en las legítimas actuaciones de vigilancia desarrolladas en ese singular ámbito territorial, al amparo de las previsiones y obligaciones contenidas tanto en la normativa comunitaria —art. 12 del Código de fronteras Schengen— como en la nacional —art. 12.1 B) d) de la Ley Orgánica 2/1986, de 13 de marzo, de fuerzas y cuerpos de seguridad (en adelante, LOFCS)—.</w:t>
      </w:r>
    </w:p>
    <w:p w:rsidR="005728DD" w:rsidRDefault="005728DD" w:rsidP="005728DD">
      <w:pPr>
        <w:pStyle w:val="TextoNormal"/>
      </w:pPr>
    </w:p>
    <w:p w:rsidR="005728DD" w:rsidRDefault="005728DD" w:rsidP="005728DD">
      <w:pPr>
        <w:pStyle w:val="TextoNormal"/>
      </w:pPr>
      <w:r>
        <w:t xml:space="preserve">Frente al reproche de vulneración constitucional, el abogado del Estado afirma que el carácter especial del nuevo régimen reside en que, a diferencia de los procedimientos hasta ahora previstos —devolución y expulsión—, actúa en una fase previa en la que los extranjeros intentan rebasar los obstáculos que impiden acceder a España. La aplicación del rechazo fronterizo previsto en Ceuta y Melilla se contempla para supuestos diferentes a los de la devolución, ya que la potestad de rechazo que se atribuye a las fuerzas y cuerpos de seguridad del Estado se hace a fin de evitar la materialización de la entrada ilegal en territorio español, mientras ese intento, no culminado, se está produciendo. Se trataría de una actuación coactiva, en el ejercicio de una potestad legítima, destinada a garantizar que la legalidad no se vulnere. Y respecto a la alegada ausencia de un procedimiento </w:t>
      </w:r>
      <w:r w:rsidRPr="005728DD">
        <w:rPr>
          <w:i/>
        </w:rPr>
        <w:t>ad hoc</w:t>
      </w:r>
      <w:r>
        <w:t>, recuerda el abogado del Estado que existen actuaciones materiales de la administración que se manifiestan sin una formalización, sin que por ello dejen de ser jurídicamente legítimas; se trata de actuaciones de ejecución material de una potestad administrativa.</w:t>
      </w:r>
    </w:p>
    <w:p w:rsidR="005728DD" w:rsidRDefault="005728DD" w:rsidP="005728DD">
      <w:pPr>
        <w:pStyle w:val="TextoNormal"/>
      </w:pPr>
    </w:p>
    <w:p w:rsidR="005728DD" w:rsidRDefault="005728DD" w:rsidP="005728DD">
      <w:pPr>
        <w:pStyle w:val="TextoNormal"/>
      </w:pPr>
      <w:r>
        <w:t>En definitiva, la disposición impugnada regula una actuación material de vigilancia fronteriza que no está exenta de límites. Además de los que figuran expresamente en el precepto —respeto a la normativa internacional de derechos humanos y a los cauces para obtener asilo o protección internacional—, también los que se derivan de los principios de congruencia, oportunidad y proporcionalidad exigidos a todas las actuaciones de los cuerpos policiales —art. 5.2 c) LOFCS—. El precepto, concluye el abogado del Estado, supera el test de proporcionalidad demandado tanto por la jurisprudencia del Tribunal Constitucional (STC 55/1996, FJ 5), como del Tribunal Europeo de Derechos Humanos, al tratarse de una medida que no puede ser calificada de arbitraria, pues sirve para conseguir el objetivo propuesto, es necesaria y proporcionada.</w:t>
      </w:r>
    </w:p>
    <w:p w:rsidR="005728DD" w:rsidRDefault="005728DD" w:rsidP="005728DD">
      <w:pPr>
        <w:pStyle w:val="TextoNormal"/>
      </w:pPr>
    </w:p>
    <w:p w:rsidR="005728DD" w:rsidRDefault="005728DD" w:rsidP="005728DD">
      <w:pPr>
        <w:pStyle w:val="TextoNormal"/>
      </w:pPr>
      <w:r>
        <w:t xml:space="preserve">La vulneración de los arts. 24.1 y 106 CE es igualmente rechazada por el representante procesal del Gobierno. A diferencia de todos los casos contemplados en la demanda, las personas destinatarias de la norma, además de extranjeros, son personas que no han entrado en España, ni </w:t>
      </w:r>
      <w:r w:rsidRPr="005728DD">
        <w:rPr>
          <w:i/>
        </w:rPr>
        <w:t>de iure</w:t>
      </w:r>
      <w:r>
        <w:t xml:space="preserve">, ni </w:t>
      </w:r>
      <w:r w:rsidRPr="005728DD">
        <w:rPr>
          <w:i/>
        </w:rPr>
        <w:t>de facto</w:t>
      </w:r>
      <w:r>
        <w:t xml:space="preserve">. Es por ello que, más allá del respeto a su dignidad personal, que ni la ley ni nadie puede desconocer, estas personas no disponen de los derechos fundamentales reconocidos a los extranjeros que sí están en España (art. 13.1 CE). Conforme a la doctrina establecida en la STC 72/2005, de 4 de abril, en relación con el art. 19 CE, a quienes no se encuentren en territorio español, sino intentando acceder ilegalmente a él, no les son aplicables las garantías constitucionales y legales, en relación con la necesaria tramitación de un procedimiento, con audiencia y resolución motivada, y la revisión de esta decisión por la jurisdicción (art. 24. 1 CE); ello, sin perjuicio de que la actuación de las fuerzas y cuerpos de seguridad en la ejecución del rechazo en frontera puede ser objeto de control jurisdiccional, </w:t>
      </w:r>
      <w:r w:rsidRPr="005728DD">
        <w:rPr>
          <w:i/>
        </w:rPr>
        <w:t>ex</w:t>
      </w:r>
      <w:r>
        <w:t xml:space="preserve"> art. 106 CE, tanto en la vía administrativa, como en la penal, como sucede notoriamente en Ceuta y Melilla. No obstante, nada impide a la persona que se encuentre en una situación que la haga acreedora de asilo o protección subsidiaria presentar su correspondiente solicitud, no solo en Marruecos, sino también en las oficinas específicas </w:t>
      </w:r>
      <w:r>
        <w:lastRenderedPageBreak/>
        <w:t>de atención a solicitantes de protección internacional habilitadas en los puestos fronterizos de Ceuta y Melilla.</w:t>
      </w:r>
    </w:p>
    <w:p w:rsidR="005728DD" w:rsidRDefault="005728DD" w:rsidP="005728DD">
      <w:pPr>
        <w:pStyle w:val="TextoNormal"/>
      </w:pPr>
    </w:p>
    <w:p w:rsidR="005728DD" w:rsidRDefault="005728DD" w:rsidP="005728DD">
      <w:pPr>
        <w:pStyle w:val="TextoNormal"/>
      </w:pPr>
      <w:r>
        <w:t>Finalmente, toda la argumentación expuesta apoya la desestimación de la alegación del art 13.4 CE. Este precepto establece una remisión a una norma con rango de ley para establecer los términos en que los ciudadanos de otros países y los apátridas podrán gozar del derecho de asilo en España. No se acierta a comprender cómo la disposición impugnada puede vulnerar un mandato de estas características, que solo contiene un mandato al legislador, sin contenido objetivo y con un ámbito subjetivo distinto al de la propia disposición impugnada que no regula el derecho de asilo. La única objeción posible, desde este punto de vista, sería la de la infracción de la reserva a la ley de esta regulación, pero es evidente que la disposición impugnada es una ley. No puede pretenderse, como parece que hacen los recurrentes, determinar el contenido del art 13.4 CE con la aplicación del art 10.2 CE que es un precepto que establece un criterio interpretativo de los derechos fundamentales pero que, en sí mismo, no habilita para dotar de contenido a la legislación interna. A mayor abundamiento, no se determina cuál puede ser el contenido de dicha normativa. Si se entiende, cosa que no se comparte, puesto que no es este el propósito del art 13.4 CE ni de la disposición impugnada, que se vulnera el derecho de asilo, procede alegar que, en los términos expuestos anteriormente, esta disposición no vulnera el derecho de asilo de los extranjeros, que pueden legalmente ejercerlo.</w:t>
      </w:r>
    </w:p>
    <w:p w:rsidR="005728DD" w:rsidRDefault="005728DD" w:rsidP="005728DD">
      <w:pPr>
        <w:pStyle w:val="TextoNormal"/>
      </w:pPr>
    </w:p>
    <w:p w:rsidR="005728DD" w:rsidRDefault="005728DD" w:rsidP="005728DD">
      <w:pPr>
        <w:pStyle w:val="TextoNormal"/>
      </w:pPr>
      <w:r w:rsidRPr="005728DD">
        <w:rPr>
          <w:rStyle w:val="NumeroAFNegritaCaracter"/>
        </w:rPr>
        <w:t>6</w:t>
      </w:r>
      <w:r>
        <w:t>. Por providencia de 26 de enero de 2021, se señaló para la deliberación y votación de la presente sentencia el día 28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inconstitucionalidad</w:t>
      </w:r>
      <w:r>
        <w:t>.</w:t>
      </w:r>
    </w:p>
    <w:p w:rsidR="005728DD" w:rsidRDefault="005728DD" w:rsidP="005728DD">
      <w:pPr>
        <w:pStyle w:val="TextoNormal"/>
      </w:pPr>
    </w:p>
    <w:p w:rsidR="005728DD" w:rsidRDefault="005728DD" w:rsidP="005728DD">
      <w:pPr>
        <w:pStyle w:val="TextoNormal"/>
      </w:pPr>
      <w:r>
        <w:t xml:space="preserve">El presente proceso constitucional tiene por objeto resolver el recurso de inconstitucionalidad interpuesto por el Parlamento de Cataluña, contra los arts. 20; 35.1; 36.1, 2, 8, 22 y 23, y 37.7, así como la disposición final primera de la Ley Orgánica 4/2015, de 30 de marzo, de protección de la seguridad ciudadana (en adelante, LOPSC), por incurrir en la vulneración de distintos preceptos constitucionales, en los términos que han sido referidos </w:t>
      </w:r>
      <w:r w:rsidRPr="005728DD">
        <w:rPr>
          <w:i/>
        </w:rPr>
        <w:t>in extenso</w:t>
      </w:r>
      <w:r>
        <w:t xml:space="preserve"> en los antecedentes y a los que se aludirá en su esencia con ocasión de resolver cada una de las impugnaciones.</w:t>
      </w:r>
    </w:p>
    <w:p w:rsidR="005728DD" w:rsidRDefault="005728DD" w:rsidP="005728DD">
      <w:pPr>
        <w:pStyle w:val="TextoNormal"/>
      </w:pPr>
    </w:p>
    <w:p w:rsidR="005728DD" w:rsidRDefault="005728DD" w:rsidP="005728DD">
      <w:pPr>
        <w:pStyle w:val="TextoNormal"/>
      </w:pPr>
      <w:r>
        <w:t>El abogado del Estado, en representación del Gobierno de la Nación, interesa de este tribunal la desestimación íntegra del recurso de inconstitucionalidad, por los motivos expuestos en los antecedentes y que se mencionarán sucintamente al tiempo de analizar cada una de las impugnaciones. Además, insta la inadmisión del recurso en cuanto se dirige contra la disposición final primera de la Ley Orgánica de protección de la seguridad ciudadana.</w:t>
      </w:r>
    </w:p>
    <w:p w:rsidR="005728DD" w:rsidRDefault="005728DD" w:rsidP="005728DD">
      <w:pPr>
        <w:pStyle w:val="TextoNormal"/>
      </w:pPr>
    </w:p>
    <w:p w:rsidR="005728DD" w:rsidRDefault="005728DD" w:rsidP="005728DD">
      <w:pPr>
        <w:pStyle w:val="TextoNormal"/>
      </w:pPr>
      <w:r>
        <w:t xml:space="preserve">El objeto del presente recurso se circunscribe al enjuiciamiento de los motivos de inconstitucionalidad alegados en relación con los citados preceptos de la Ley Orgánica de protección de la seguridad ciudadana. Ley que ha sido objeto de reforma por el Real Decreto-ley 14/2019, de 31 de octubre, por el que se adoptan medidas urgentes por razones de seguridad </w:t>
      </w:r>
      <w:r>
        <w:lastRenderedPageBreak/>
        <w:t>pública en materia de administración digital, contratación del sector público y telecomunicaciones; si bien se trata de una reforma puntual, limitada, en lo que aquí interesa, a dar una nueva redacción al apartado 1 del art. 8 —relativo al documento nacional de identidad—, por lo que carece de relevancia a los efectos de este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Incidencia en este proceso de la precedente STC 172/2020</w:t>
      </w:r>
      <w:r>
        <w:t>.</w:t>
      </w:r>
    </w:p>
    <w:p w:rsidR="005728DD" w:rsidRDefault="005728DD" w:rsidP="005728DD">
      <w:pPr>
        <w:pStyle w:val="TextoNormal"/>
      </w:pPr>
    </w:p>
    <w:p w:rsidR="005728DD" w:rsidRDefault="005728DD" w:rsidP="005728DD">
      <w:pPr>
        <w:pStyle w:val="TextoNormal"/>
      </w:pPr>
      <w:r>
        <w:t>En el recurso de inconstitucionalidad núm. 2896-2015, interpuesto por un conjunto de más de cincuenta diputados y diputadas contra una serie de preceptos de la Ley Orgánica de protección de la seguridad ciudadana, ha recaído la STC 172/2020, de 19 de noviembre. Algunos de los preceptos allí recurridos también son objeto de impugnación en este proceso constitucional, y en buena parte incluso por los mismos motivos. Por esta circunstancia, la STC 172/2020 cobra relevancia en este proceso constitucional desde los siguientes puntos de vista.</w:t>
      </w:r>
    </w:p>
    <w:p w:rsidR="005728DD" w:rsidRDefault="005728DD" w:rsidP="005728DD">
      <w:pPr>
        <w:pStyle w:val="TextoNormal"/>
      </w:pPr>
    </w:p>
    <w:p w:rsidR="005728DD" w:rsidRDefault="005728DD" w:rsidP="005728DD">
      <w:pPr>
        <w:pStyle w:val="TextoNormal"/>
      </w:pPr>
      <w:r>
        <w:t>a) En todas las impugnaciones de este recurso tiene relieve la significación constitucional de la seguridad ciudadana, de manera que cabe hacer una remisión a las consideraciones realizadas en el fundamento jurídico 3 de la STC 172/2020.</w:t>
      </w:r>
    </w:p>
    <w:p w:rsidR="005728DD" w:rsidRDefault="005728DD" w:rsidP="005728DD">
      <w:pPr>
        <w:pStyle w:val="TextoNormal"/>
      </w:pPr>
    </w:p>
    <w:p w:rsidR="005728DD" w:rsidRDefault="005728DD" w:rsidP="005728DD">
      <w:pPr>
        <w:pStyle w:val="TextoNormal"/>
      </w:pPr>
      <w:r>
        <w:t>b) Las impugnaciones de los arts.20; 35.1; 36.1, 2, 8, 22 y 23; y 37.7 se apoyan, entre otros motivos, en la vulneración de algunos derechos fundamentales. Adquieren relevancia en este contexto la referencia que en la STC 172/2020 se hace a la doctrina constitucional sobre el derecho a la intimidad [FJ 4 B)]), el principio de legalidad sancionadora [FJ 5], el derecho de reunión en lugares de tránsito público y de manifestación [FJ 6 B)] y la libertad de información [FJ 7 B)]).</w:t>
      </w:r>
    </w:p>
    <w:p w:rsidR="005728DD" w:rsidRDefault="005728DD" w:rsidP="005728DD">
      <w:pPr>
        <w:pStyle w:val="TextoNormal"/>
      </w:pPr>
    </w:p>
    <w:p w:rsidR="005728DD" w:rsidRDefault="005728DD" w:rsidP="005728DD">
      <w:pPr>
        <w:pStyle w:val="TextoNormal"/>
      </w:pPr>
      <w:r>
        <w:t xml:space="preserve">c) El inciso “no autorizado” del art. 36.23 ha sido declarado inconstitucional y nulo por la STC 172/2020, lo que conduce a declarar la pérdida de objeto de este recurso de inconstitucionalidad en cuanto a la impugnación que dirige contra este inciso del art. 36.23. A la parte del art. 36.23 que queda aún vigente se le imputan en este proceso constitucional las mismas vulneraciones (la de los principios de tipicidad </w:t>
      </w:r>
      <w:r w:rsidRPr="005728DD">
        <w:rPr>
          <w:i/>
        </w:rPr>
        <w:t>ex</w:t>
      </w:r>
      <w:r>
        <w:t xml:space="preserve"> art. 25 CE y de seguridad jurídica </w:t>
      </w:r>
      <w:r w:rsidRPr="005728DD">
        <w:rPr>
          <w:i/>
        </w:rPr>
        <w:t>ex</w:t>
      </w:r>
      <w:r>
        <w:t xml:space="preserve"> art. 9.3 CE) que en el recurso de inconstitucionalidad núm. 2896-2015, por lo que procede declarar que esta previsión legal no es inconstitucional siempre que se interprete en los términos establecidos en el fundamento jurídico 7 C) de la STC 172/2020. Esta interpretación conforme se llevará al fallo.</w:t>
      </w:r>
    </w:p>
    <w:p w:rsidR="005728DD" w:rsidRDefault="005728DD" w:rsidP="005728DD">
      <w:pPr>
        <w:pStyle w:val="TextoNormal"/>
      </w:pPr>
    </w:p>
    <w:p w:rsidR="005728DD" w:rsidRDefault="005728DD" w:rsidP="005728DD">
      <w:pPr>
        <w:pStyle w:val="TextoNormal"/>
      </w:pPr>
      <w:r>
        <w:t>d) En cuanto a la impugnación del art. 37.7, tanto los argumentos en que se sustenta la demanda como las razones que opone el abogado del Estado se expresan en términos similares a los utilizados en el recurso de inconstitucionalidad núm. 2896-2015, por lo que procede remitirnos a la motivación consignada en el fundamento jurídico 6 F) de la STC 172/2020, y en su virtud procede desestimar dicha impugnación.</w:t>
      </w:r>
    </w:p>
    <w:p w:rsidR="005728DD" w:rsidRDefault="005728DD" w:rsidP="005728DD">
      <w:pPr>
        <w:pStyle w:val="TextoNormal"/>
      </w:pPr>
    </w:p>
    <w:p w:rsidR="005728DD" w:rsidRDefault="005728DD" w:rsidP="005728DD">
      <w:pPr>
        <w:pStyle w:val="TextoNormal"/>
      </w:pPr>
      <w:r>
        <w:t xml:space="preserve">Sin embargo, mientras en aquel recurso de inconstitucionalidad se declaró que no se había levantado la carga de alegar respecto del último inciso del párrafo segundo del art. 37.7, en la demanda del presente proceso constitucional, como se ha expuesto en los antecedentes, se sostiene expresamente que esa última previsión normativa —“se entenderá incluida en este supuesto la ocupación de la vía pública para la venta ambulante no autorizada”— vulnera el art. 25.1 CE, en el sentido de que no precisa qué afectación de la seguridad ciudadana </w:t>
      </w:r>
      <w:r>
        <w:lastRenderedPageBreak/>
        <w:t xml:space="preserve">implica la práctica de la venta ambulante, lo que conllevaría una falta de claridad y certeza que vulnera el principio de tipicidad </w:t>
      </w:r>
      <w:r w:rsidRPr="005728DD">
        <w:rPr>
          <w:i/>
        </w:rPr>
        <w:t>ex</w:t>
      </w:r>
      <w:r>
        <w:t xml:space="preserve"> art. 25 CE.</w:t>
      </w:r>
    </w:p>
    <w:p w:rsidR="005728DD" w:rsidRDefault="005728DD" w:rsidP="005728DD">
      <w:pPr>
        <w:pStyle w:val="TextoNormal"/>
      </w:pPr>
    </w:p>
    <w:p w:rsidR="005728DD" w:rsidRDefault="005728DD" w:rsidP="005728DD">
      <w:pPr>
        <w:pStyle w:val="TextoNormal"/>
      </w:pPr>
      <w:r>
        <w:t xml:space="preserve">Este tribunal aprecia que este inciso del art. 37.7, por su ubicación sistemática en la Ley Orgánica 4/2015, persigue la protección de la seguridad ciudadana, entre cuyas vertientes se encuentra la garantía de la “utilización de las vías y demás bienes demaniales” [art. 3 f)]. Se trata de una previsión legal que, combinada con otros preceptos de la misma ley y en especial con su art. 3 f), presenta como conducta sancionable la ocupación de la vía pública para venta ambulante no autorizada cuando impida el uso común de aquella, de modo que no constituye un tipo infractor falto de la claridad y precisión que exige el principio de legalidad </w:t>
      </w:r>
      <w:r w:rsidRPr="005728DD">
        <w:rPr>
          <w:i/>
        </w:rPr>
        <w:t>ex</w:t>
      </w:r>
      <w:r>
        <w:t xml:space="preserve"> art. 25 CE. Cuestión distinta será determinar cuándo la venta ambulante no autorizada obstaculiza el uso común de la vía pública, decisión que queda confiada al aplicador del Derecho a la vista de las circunstancias del supuesto concreto. Procede, en virtud de las razones indicadas, desestimar la presente impugnación.</w:t>
      </w:r>
    </w:p>
    <w:p w:rsidR="005728DD" w:rsidRDefault="005728DD" w:rsidP="005728DD">
      <w:pPr>
        <w:pStyle w:val="TextoNormal"/>
      </w:pPr>
    </w:p>
    <w:p w:rsidR="005728DD" w:rsidRDefault="005728DD" w:rsidP="005728DD">
      <w:pPr>
        <w:pStyle w:val="TextoNormal"/>
      </w:pPr>
      <w:r>
        <w:t>e) La impugnación de la disposición final primera de la Ley Orgánica de protección de la seguridad ciudadana se sostiene, al igual que en el recurso de inconstitucionalidad resuelto en la STC 172/2020, en que impide que la actuación administrativa sea controlada en cuanto a su legalidad (art. 106.1 CE), que los extranjeros obtengan la tutela efectiva de los órganos judiciales (art. 24.1 CE) y, en fin, que puedan acceder al derecho de asilo (art. 13.4 CE).</w:t>
      </w:r>
    </w:p>
    <w:p w:rsidR="005728DD" w:rsidRDefault="005728DD" w:rsidP="005728DD">
      <w:pPr>
        <w:pStyle w:val="TextoNormal"/>
      </w:pPr>
    </w:p>
    <w:p w:rsidR="005728DD" w:rsidRDefault="005728DD" w:rsidP="005728DD">
      <w:pPr>
        <w:pStyle w:val="TextoNormal"/>
      </w:pPr>
      <w:r>
        <w:t>El abogado del Estado, en cuanto a la impugnación de esta disposición, opone en primer lugar un óbice a la inadmisión del recurso, debido a que faltaría la legitimación del Parlamento de Cataluña debido a que “no existe ningún punto de conexión material entre la ley estatal y el ámbito competencial autonómico”; y en segundo término solicita la desestimación en cuanto al fondo por los mismos motivos que hizo valer en el recurso de inconstitucionalidad decidido por la STC 172/2020.</w:t>
      </w:r>
    </w:p>
    <w:p w:rsidR="005728DD" w:rsidRDefault="005728DD" w:rsidP="005728DD">
      <w:pPr>
        <w:pStyle w:val="TextoNormal"/>
      </w:pPr>
    </w:p>
    <w:p w:rsidR="005728DD" w:rsidRDefault="005728DD" w:rsidP="005728DD">
      <w:pPr>
        <w:pStyle w:val="TextoNormal"/>
      </w:pPr>
      <w:r>
        <w:t>Sin embargo, en la STC 118/2016, de 23 de junio, FJ 1 b), recogiendo una doctrina constitucional consolidada, declaramos que “debe rechazarse esta falta de legitimación que se imputa a los recurrentes toda vez que, de conformidad con el art. 32.2 LOTC, los órganos ejecutivos y las asambleas de las comunidades autónomas tienen legitimación para el ejercicio del recurso de inconstitucionalidad contra leyes, disposiciones o actos con fuerza de ley del Estado, cuando afecten ‘a su propio ámbito de autonomía’. Aunque esta última expresión fue entendida en un principio por la doctrina de este tribunal en un sentido estrictamente competencial, con referencia a una afectación de las competencias propias y exclusivas necesarias para satisfacer el interés respectivo (así, por ejemplo, en SSTC 25/1981, de 14 de julio, FJ 3, y 84/1982, de 23 de diciembre, FJ 2), posteriormente hemos considerado que la legitimación para interponer un recurso de inconstitucionalidad no lo es tanto para la preservación o delimitación del propio ámbito competencial, como para ‘la depuración objetiva del ordenamiento mediante la invalidación de la norma inconstitucional’ (STC 199/1987, de 16 de diciembre, FJ 1). De esta manera, al día de hoy ‘puede afirmarse que los condicionamientos materiales a la legitimación de las comunidades autónomas para impugnar leyes del Estado constituyen una verdadera excepción’, de modo tal que ‘la legitimación de las comunidades autónomas para interponer el recurso de inconstitucionalidad no está al servicio de la reivindicación de una competencia violada, sino de la depuración del ordena</w:t>
      </w:r>
      <w:r>
        <w:lastRenderedPageBreak/>
        <w:t>miento jurídico’, extendiéndose ‘a todos aquellos supuestos en que exista un punto de conexión material entre la ley estatal y el ámbito competencial autonómico’ (STC 110/2011, de 22 de junio, FJ 2)”.</w:t>
      </w:r>
    </w:p>
    <w:p w:rsidR="005728DD" w:rsidRDefault="005728DD" w:rsidP="005728DD">
      <w:pPr>
        <w:pStyle w:val="TextoNormal"/>
      </w:pPr>
    </w:p>
    <w:p w:rsidR="005728DD" w:rsidRDefault="005728DD" w:rsidP="005728DD">
      <w:pPr>
        <w:pStyle w:val="TextoNormal"/>
      </w:pPr>
      <w:r>
        <w:t>Además, la STC 236/2007, de 7 de noviembre, con cita de la STC 48/2003, de 12 de marzo, precisó que la cuestión de la conexión material entre la ley estatal y el ámbito competencial autonómico “no puede ser interpretad[a] restrictivamente’ (FJ 1)”. En dicha STC 236/2007, que versaba sobre la impugnación de una ley estatal cuyo objeto era la regulación de los derechos y libertades de los extranjeros en España, el tribunal apreció que “existe una estrecha conexión entre las disposiciones de aquella Ley Orgánica, sobre derechos y libertades de los extranjeros en España, y las aducidas materias comprendidas en los campos de actuación autonómica de la Comunidad Foral de Navarra”.</w:t>
      </w:r>
    </w:p>
    <w:p w:rsidR="005728DD" w:rsidRDefault="005728DD" w:rsidP="005728DD">
      <w:pPr>
        <w:pStyle w:val="TextoNormal"/>
      </w:pPr>
    </w:p>
    <w:p w:rsidR="005728DD" w:rsidRDefault="005728DD" w:rsidP="005728DD">
      <w:pPr>
        <w:pStyle w:val="TextoNormal"/>
      </w:pPr>
      <w:r>
        <w:t>La disposición final primera de la LOPSC contiene una regulación que incide en la entrada de los extranjeros en territorio español, así como en las condiciones de ejercicio de su derecho de asilo y de protección internacional subsidiaria, cuestiones que pueden tener alguna repercusión sobre los ámbitos sectoriales de actuación de la Generalitat de Cataluña. Cabe afirmar, por tanto, que no falta, a los efectos que reconocerle legitimación activa en el recurso de inconstitucionalidad, una conexión material entre la Ley Orgánica de protección de la seguridad ciudadana y el ámbito competencial de la Generalitat de Cataluña.</w:t>
      </w:r>
    </w:p>
    <w:p w:rsidR="005728DD" w:rsidRDefault="005728DD" w:rsidP="005728DD">
      <w:pPr>
        <w:pStyle w:val="TextoNormal"/>
      </w:pPr>
    </w:p>
    <w:p w:rsidR="005728DD" w:rsidRDefault="005728DD" w:rsidP="005728DD">
      <w:pPr>
        <w:pStyle w:val="TextoNormal"/>
      </w:pPr>
      <w:r>
        <w:t>En cuanto al fondo de la cuestión, y dado que tanto el recurrente como el demandado se apoyan en motivos idénticos a los utilizados en el recurso de inconstitucionalidad núm. 2896-2015, cabe reiterar que la disposición final primera de la LOPSC no es inconstitucional “siempre que se interprete tal y como se ha indicado en el fundamento jurídico 8 C)” de la STC 172/2020. Esta interpretación conforme se llevará al fallo.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Impugnación del art. 20 LOPSC</w:t>
      </w:r>
      <w:r>
        <w:t>.</w:t>
      </w:r>
    </w:p>
    <w:p w:rsidR="005728DD" w:rsidRDefault="005728DD" w:rsidP="005728DD">
      <w:pPr>
        <w:pStyle w:val="TextoNormal"/>
      </w:pPr>
    </w:p>
    <w:p w:rsidR="005728DD" w:rsidRDefault="005728DD" w:rsidP="005728DD">
      <w:pPr>
        <w:pStyle w:val="TextoNormal"/>
      </w:pPr>
      <w:r>
        <w:t xml:space="preserve">a) En el recurso de inconstitucionalidad núm. 2896-2015 los diputados recurrentes impugnaron el art. 20.2 LOPSC porque, a su juicio, restringía en exceso el derecho a la intimidad personal (art. 18.1 CE). En la STC 172/2020, después de exponer la doctrina constitucional sobre dicho derecho fundamental en el fundamento jurídico 4 b) y describir en el fundamento jurídico 4 c) la actuación habilitada por el precepto cuestionado, analizamos la impugnación y en el fundamento jurídico 4 d) concluimos: “Actuación que de este modo satisface la observancia del principio de proporcionalidad, al responder a un fin legítimo —la prevención de la comisión de delitos o infracciones administrativas y la preservación de la seguridad y convivencia ciudadana—, resultando idónea y necesaria para su consecución”. Por su parte, el demandante en este proceso dirige su impugnación contra todo el art. 20 LOPSC y no solamente frente a su apartado segundo. Además, el motivo en que se apoya no es que la intervención autorizada por esta norma sea desproporcionada en relación al derecho a la intimidad; la alegación consiste en que dicha medida constituye una restricción del derecho a la intimidad que no cumple con la exigencia de estar prevista en la ley con suficiente precisión, desconociendo a su juicio el requerimiento de “calidad de la ley” al que alude la STEDH de 12 de enero de 2010, asunto </w:t>
      </w:r>
      <w:r w:rsidRPr="005728DD">
        <w:rPr>
          <w:i/>
        </w:rPr>
        <w:t>Gillan y Quinton c. Reino Unido</w:t>
      </w:r>
      <w:r>
        <w:t>.</w:t>
      </w:r>
    </w:p>
    <w:p w:rsidR="005728DD" w:rsidRDefault="005728DD" w:rsidP="005728DD">
      <w:pPr>
        <w:pStyle w:val="TextoNormal"/>
      </w:pPr>
    </w:p>
    <w:p w:rsidR="005728DD" w:rsidRDefault="005728DD" w:rsidP="005728DD">
      <w:pPr>
        <w:pStyle w:val="TextoNormal"/>
      </w:pPr>
      <w:r>
        <w:lastRenderedPageBreak/>
        <w:t>A pesar de la diferencia sustancial entre ambas impugnaciones, y por razones de coherencia con lo decidido en la STC 172/2020, procede remitirnos a lo razonado en el fundamento jurídico 4 de aquella, en particular en lo que allí está referido al contenido normativo que debe atribuirse al precepto impugnado y en lo que hace a la doctrina constitucional reiterada sobre la incidencia de los registros corporales en el derecho a la intimidad, doctrina que se había desarrollado (STC 207/1996, de 16 de diciembre) en relación con actividades insertas en actuaciones de investigación bajo el control directo de la autoridad judicial y que en dicha STC 172/2020 hemos aplicado también, en sus líneas esenciales, a las actuaciones que el art. 20 LOPSC habilita a realizar a las fuerzas y cuerpos de seguridad en su función de policía administrativa de seguridad.</w:t>
      </w:r>
    </w:p>
    <w:p w:rsidR="005728DD" w:rsidRDefault="005728DD" w:rsidP="005728DD">
      <w:pPr>
        <w:pStyle w:val="TextoNormal"/>
      </w:pPr>
    </w:p>
    <w:p w:rsidR="005728DD" w:rsidRDefault="005728DD" w:rsidP="005728DD">
      <w:pPr>
        <w:pStyle w:val="TextoNormal"/>
      </w:pPr>
      <w:r>
        <w:t xml:space="preserve">b) La parte recurrente reprocha al precepto legal “la utilización de términos imprecisos y sujetos a discrecionalidad, tanto en la determinación de la causa habilitante del cacheo personal como de la situación que justifica la no aplicación de las formalidades requeridas por el apartado 2 para la realización del registro”. Entiende que “la imprecisión y la discrecionalidad la encontramos tanto en la definición de la finalidad que se pretende conseguir mediante el cacheo personal, como en la naturaleza de los objetos que se pretende encontrar”. Añade que “[t]odavía más grave es la indeterminación con la que se regula el tipo de registro previsto en este precepto […], que impide valorar cuál será el grado de la más que probable afectación de la intimidad corporal”. Alega, en conclusión, que la injerencia así regulada en el precepto no cumple con el requisito de suficiencia de la previsión legal habilitante, impuesto por la jurisprudencia constitucional (STC 169/2001, de 16 de julio) y por la europea (STEDH de 12 de enero de 2010, asunto </w:t>
      </w:r>
      <w:r w:rsidRPr="005728DD">
        <w:rPr>
          <w:i/>
        </w:rPr>
        <w:t>Gillan y Quinton c. Reino Unido</w:t>
      </w:r>
      <w:r>
        <w:t>).</w:t>
      </w:r>
    </w:p>
    <w:p w:rsidR="005728DD" w:rsidRDefault="005728DD" w:rsidP="005728DD">
      <w:pPr>
        <w:pStyle w:val="TextoNormal"/>
      </w:pPr>
    </w:p>
    <w:p w:rsidR="005728DD" w:rsidRDefault="005728DD" w:rsidP="005728DD">
      <w:pPr>
        <w:pStyle w:val="TextoNormal"/>
      </w:pPr>
      <w:r>
        <w:t xml:space="preserve">El abogado del Estado opone a estas alegaciones que ya el Consejo de Estado en su dictamen 557/2014, emitido respecto del proyecto de ley, consideró que es posible, sin incurrir en arbitrariedad, la utilización de conceptos jurídicos indeterminados porque “[l]a razón jurídica no es una razón mecánica y, por ello, el legislador no puede prever detalladamente todas y cada una de las circunstancias del caso al que hay que aplicar la ley, especialmente en materia tan fluida como es el mantenimiento de la seguridad ciudadana. Por eso, es adecuado y razonable tanto el recurso a conceptos jurídicos indeterminados como a lo razonable de la interpretación de la norma y la valoración de los hechos en presencia”. Y termina afirmando que la STEDH </w:t>
      </w:r>
      <w:r w:rsidRPr="005728DD">
        <w:rPr>
          <w:i/>
        </w:rPr>
        <w:t>Gillan y Quinton c. Reino Unido</w:t>
      </w:r>
      <w:r>
        <w:t xml:space="preserve"> admite que la exigencia de indicios racionales para poder actuar, requisito que el art. 20 LOPSC prevé de un modo expreso, constituye precisión suficiente desde la óptica de la llamada “calidad de la ley”.</w:t>
      </w:r>
    </w:p>
    <w:p w:rsidR="005728DD" w:rsidRDefault="005728DD" w:rsidP="005728DD">
      <w:pPr>
        <w:pStyle w:val="TextoNormal"/>
      </w:pPr>
    </w:p>
    <w:p w:rsidR="005728DD" w:rsidRDefault="005728DD" w:rsidP="005728DD">
      <w:pPr>
        <w:pStyle w:val="TextoNormal"/>
      </w:pPr>
      <w:r>
        <w:t>En consecuencia, resulta controvertida en este proceso la “calidad de la ley” de la restricción sobre el derecho a la intimidad que se regula en el art. 20 en cuanto a (i) la causa habilitante del cacheo y en especial la finalidad que lo posibilita; (ii) la situación que justifica la no aplicación de las formalidades requeridas por el apartado 2 para la realización del registro; (iii) la naturaleza de los objetos cuya búsqueda habilita el registro; y (iv) el tipo de registro y su grado de afectación a la intimidad. Este tribunal examinará esta cuestión por separado en relación a cada uno de estos aspectos.</w:t>
      </w:r>
    </w:p>
    <w:p w:rsidR="005728DD" w:rsidRDefault="005728DD" w:rsidP="005728DD">
      <w:pPr>
        <w:pStyle w:val="TextoNormal"/>
      </w:pPr>
    </w:p>
    <w:p w:rsidR="005728DD" w:rsidRDefault="005728DD" w:rsidP="005728DD">
      <w:pPr>
        <w:pStyle w:val="TextoNormal"/>
      </w:pPr>
      <w:r>
        <w:t xml:space="preserve">c) Conforme a las alegaciones referidas, la primera discrepancia gira en torno al distinto entendimiento que las partes hacen del estándar de protección del art. 8 del Convenio europeo de derechos humanos (CEDH) que el Tribunal Europeo de Derechos Humanos ha fijado </w:t>
      </w:r>
      <w:r>
        <w:lastRenderedPageBreak/>
        <w:t xml:space="preserve">en su sentencia </w:t>
      </w:r>
      <w:r w:rsidRPr="005728DD">
        <w:rPr>
          <w:i/>
        </w:rPr>
        <w:t>Gillan y Quinton c. Reino Unido</w:t>
      </w:r>
      <w:r>
        <w:t xml:space="preserve">. Este tribunal, que otorga a la jurisprudencia del Tribunal Europeo de Derechos Humanos un valor esencial al interpretar el alcance de los derechos fundamentales (en este caso, del derecho a la intimidad </w:t>
      </w:r>
      <w:r w:rsidRPr="005728DD">
        <w:rPr>
          <w:i/>
        </w:rPr>
        <w:t>ex</w:t>
      </w:r>
      <w:r>
        <w:t xml:space="preserve"> art. 18.1 CE), constata que el Tribunal Europeo de Derechos Humanos en dicha sentencia (§ 29 y 30) parte de que la ley de cobertura (ley inglesa de actos terroristas del 2000) contempla dos mecanismos de registro: (i) los arts. 41 a 43 permiten el registro policial cuando hay sospechas razonables; (ii) los arts. 44 a 47 admiten el registro policial cuando el agente lo crea “conveniente”. Y que, refiriéndose a los poderes derivados del art. 44, afirma “de mayor preocupación es la amplitud de la discrecionalidad concedida al agente policial. El agente está obligado, al realizar el registro, a respetar las normas del código (de práctica, adoptado por el ministro del Interior el 1 de abril de 2003). Ahora bien, el código regula esencialmente el modo en que el registro se realiza, en lugar de imponer restricción alguna a la decisión del agente sobre si procede el registro. Esa decisión, como aclaró la Cámara de los Lores, depende exclusivamente de la ‘corazonada’ o ‘intuición profesional’ del agente concernido. No solo no es necesario que acredite que existe una sospecha razonable; ni siquiera se requiere que albergue una sospecha subjetiva cualquiera acerca de la persona registrada” (§ 83). Con base en este argumento, el Tribunal Europeo de Derechos Humanos declaró que el registro hecho sobre el recurrente bajo la cobertura del art. 44 de dicha ley vulneró el art. 8 CEDH, en tanto que la restricción legal no era suficientemente precisa para resultar previsible.</w:t>
      </w:r>
    </w:p>
    <w:p w:rsidR="005728DD" w:rsidRDefault="005728DD" w:rsidP="005728DD">
      <w:pPr>
        <w:pStyle w:val="TextoNormal"/>
      </w:pPr>
    </w:p>
    <w:p w:rsidR="005728DD" w:rsidRDefault="005728DD" w:rsidP="005728DD">
      <w:pPr>
        <w:pStyle w:val="TextoNormal"/>
      </w:pPr>
      <w:r>
        <w:t>El art. 20.1 LOPSC dispone que “[p]odrá practicarse el registro corporal externo y superficial de la persona cuando existan indicios racionales para suponer que puede conducir al hallazgo de instrumentos, efectos u otros objetos relevantes para el ejercicio de las funciones de indagación y prevención que encomiendan las leyes a las fuerzas y cuerpos de seguridad”. Esta norma no autoriza al agente policial a ejercer el poder de registro siempre que lo juzgue oportuno conforme a su criterio subjetivo. Remite, por el contrario, a que el registro corporal se utilice solo cuando “existan indicios racionales”, con lo que sujeta la decisión de practicarlo a un parámetro de razonabilidad objetiva verificable en cada caso concreto y convierte esa medida de intervención en suficientemente previsible, alejándola del peligro de uso arbitrario que tendría si dependiera enteramente del criterio subjetivo de los agentes de policía. En conclusión, la restricción al derecho a la intimidad en que el registro corporal externo consiste está prevista en una norma de rango legal como es el art. 20.1 LOPSC y, además, este precepto legal determina el alcance de dicha restricción con precisión bastante como para que su uso no sea imprevisible para los titulares del mencionado derecho fundamental. Todo lo cual conduce a desestimar esta impugnación.</w:t>
      </w:r>
    </w:p>
    <w:p w:rsidR="005728DD" w:rsidRDefault="005728DD" w:rsidP="005728DD">
      <w:pPr>
        <w:pStyle w:val="TextoNormal"/>
      </w:pPr>
    </w:p>
    <w:p w:rsidR="005728DD" w:rsidRDefault="005728DD" w:rsidP="005728DD">
      <w:pPr>
        <w:pStyle w:val="TextoNormal"/>
      </w:pPr>
      <w:r>
        <w:t xml:space="preserve">Un pronunciamiento similar hicimos en la STC 17/2013, de 31 de enero, FJ 14, al analizar la suficiente determinación de otra diligencia administrativa de registro corporal (el realizado en centros de internamiento de extranjeros). Frente a la alegación del recurrente de que esa medida de intervención constituía una intromisión ilegítima en el derecho garantizado por el art. 18.1 CE “dada la indeterminación del precepto” que le daba cobertura, la sentencia desestimó la impugnación porque “la medida prevista en el art. 62 </w:t>
      </w:r>
      <w:r w:rsidRPr="005728DD">
        <w:rPr>
          <w:i/>
        </w:rPr>
        <w:t>quinquies</w:t>
      </w:r>
      <w:r>
        <w:t xml:space="preserve">.1 LOEx únicamente podrá adoptarse cuando resulte imprescindible ante concretas situaciones que pongan en riesgo la seguridad del establecimiento”. En aquel caso, al igual que en este, el tribunal descarta que el precepto legal constituya una intromisión ilegítima en el derecho a la intimidad, desde la perspectiva de la previsión legal suficiente, porque expresamente </w:t>
      </w:r>
      <w:r>
        <w:lastRenderedPageBreak/>
        <w:t>sujeta el ejercicio del poder de restricción a un parámetro objetivo verificable por relación a las circunstancias del caso concreto.</w:t>
      </w:r>
    </w:p>
    <w:p w:rsidR="005728DD" w:rsidRDefault="005728DD" w:rsidP="005728DD">
      <w:pPr>
        <w:pStyle w:val="TextoNormal"/>
      </w:pPr>
    </w:p>
    <w:p w:rsidR="005728DD" w:rsidRDefault="005728DD" w:rsidP="005728DD">
      <w:pPr>
        <w:pStyle w:val="TextoNormal"/>
      </w:pPr>
      <w:r>
        <w:t>d) El art. 20.2 LOPSC señala qué salvaguardas hacen que el registro corporal se practique sin invadir indebidamente el derecho a la intimidad (que se ejerza por persona del mismo sexo y en lugar reservado y fuera de la vista de terceros). El recurrente alega que el presupuesto para exceptuar el cumplimiento de estas salvaguardas (“una situación de urgencia por riesgo grave e inminente para los agentes”) se prevé en la ley sin precisión suficiente. A su juicio, se establecería una restricción del derecho a la intimidad sin la necesaria “calidad de la ley”. El tribunal considera, sin embargo, que esta norma supone una restricción adicional de la intimidad del registrado que se somete a la concurrencia de una “situación de urgencia por riesgo”, presupuesto que actúa, no como una apreciación subjetiva del agente, sino como parámetro interpretable con arreglo a un criterio de racionalidad objetiva verificable en cada caso concreto. Coherentemente con que se trata de una restricción más intensa del derecho a la intimidad, el apartado 2 define con más precisión que el apartado 1 la causa habilitante, pues determina que el riesgo debe ser (i) grave, (ii) inminente y (iii) referirse a los agentes y no a cualquier otro bien jurídico implicado. Este tribunal entiende por estos motivos que la delimitación de la restricción del derecho a la intimidad que prevé el art. 20.2 LOPSC satisface la exigencia de “calidad de la ley”, lo que conlleva la desestimación de esta impugnación.</w:t>
      </w:r>
    </w:p>
    <w:p w:rsidR="005728DD" w:rsidRDefault="005728DD" w:rsidP="005728DD">
      <w:pPr>
        <w:pStyle w:val="TextoNormal"/>
      </w:pPr>
    </w:p>
    <w:p w:rsidR="005728DD" w:rsidRDefault="005728DD" w:rsidP="005728DD">
      <w:pPr>
        <w:pStyle w:val="TextoNormal"/>
      </w:pPr>
      <w:r>
        <w:t>e) Respecto de los otros dos elementos de la definición de la restricción a que extiende la demanda su queja, debe partirse de que la STC 172/2020 ha establecido que “el art. 20 LOPSC no ampara o cubre […] los supuestos de desnudo integral” [FJ 4 c)] y ha afirmado que los objetos cuya búsqueda justifica la práctica del registro se determinan por referencia al art. 18 LOPSC. El tribunal aprecia que, así entendida la limitación del derecho a la intimidad, el art. 20 LOPSC es acorde con el requerimiento constitucional de que la ley defina con precisión suficiente las restricciones de los derechos fundamentales, por lo que desestimamos también esta impugnación.</w:t>
      </w:r>
    </w:p>
    <w:p w:rsidR="005728DD" w:rsidRDefault="005728DD" w:rsidP="005728DD">
      <w:pPr>
        <w:pStyle w:val="TextoNormal"/>
      </w:pPr>
    </w:p>
    <w:p w:rsidR="005728DD" w:rsidRDefault="005728DD" w:rsidP="005728DD">
      <w:pPr>
        <w:pStyle w:val="TextoNormal"/>
      </w:pPr>
      <w:r>
        <w:t>f) El recurrente dirige expresamente su queja “contra la totalidad del art. 20 LOPSC, incluidos los apartados 3 y 4, dada la evidente conexión y la relación existente entre unos y otros”. Procede también desestimar la impugnación de los apartados 3 y 4 en tanto que su único fundamento es la conexión con los anteriores apartados, en los cuales no se ha constatado ninguna de las intromisiones ilegítimas alegadas.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La impugnación del art. 35.1 LOPSC</w:t>
      </w:r>
      <w:r>
        <w:t>.</w:t>
      </w:r>
    </w:p>
    <w:p w:rsidR="005728DD" w:rsidRDefault="005728DD" w:rsidP="005728DD">
      <w:pPr>
        <w:pStyle w:val="TextoNormal"/>
      </w:pPr>
    </w:p>
    <w:p w:rsidR="005728DD" w:rsidRDefault="005728DD" w:rsidP="005728DD">
      <w:pPr>
        <w:pStyle w:val="TextoNormal"/>
      </w:pPr>
      <w:r>
        <w:t>El art. 35.1 LOPSC dispone que “[s]on infracciones muy graves: 1. Las reuniones o manifestaciones no comunicadas o prohibidas en infraestructuras o instalaciones en las que se prestan servicios básicos para la comunidad o en sus inmediaciones, así como la intrusión en los recintos de estas, incluido su sobrevuelo, cuando, en cualquiera de estos supuestos, se haya generado un riesgo para la vida o la integridad física de las personas”.</w:t>
      </w:r>
    </w:p>
    <w:p w:rsidR="005728DD" w:rsidRDefault="005728DD" w:rsidP="005728DD">
      <w:pPr>
        <w:pStyle w:val="TextoNormal"/>
      </w:pPr>
    </w:p>
    <w:p w:rsidR="005728DD" w:rsidRDefault="005728DD" w:rsidP="005728DD">
      <w:pPr>
        <w:pStyle w:val="TextoNormal"/>
      </w:pPr>
      <w:r>
        <w:t xml:space="preserve">El letrado del Parlamento de Cataluña sostiene la presente impugnación en que “la inclusión dentro de dicho tipo de infracciones de las reuniones o manifestaciones ‘por las inmediaciones’ de las infraestructuras o instalaciones carece de la necesaria concreción y claridad que, para la definición del tipo de la infracción, exige la jurisprudencia constitucional. […] </w:t>
      </w:r>
      <w:r>
        <w:lastRenderedPageBreak/>
        <w:t>Por ello entendemos que la expresión ‘o por las inmediaciones de estas’ del apartado 1 del artículo 35 LOPSC es contraria al principio de tipicidad establecido en el art. 25.1 CE y al de seguridad jurídica garantizado por el art. 9.3 CE”.</w:t>
      </w:r>
    </w:p>
    <w:p w:rsidR="005728DD" w:rsidRDefault="005728DD" w:rsidP="005728DD">
      <w:pPr>
        <w:pStyle w:val="TextoNormal"/>
      </w:pPr>
    </w:p>
    <w:p w:rsidR="005728DD" w:rsidRDefault="005728DD" w:rsidP="005728DD">
      <w:pPr>
        <w:pStyle w:val="TextoNormal"/>
      </w:pPr>
      <w:r>
        <w:t>Frente a ello, el abogado del Estado afirma no compartir “el criterio de la parte recurrente en cuanto a que la expresión ‘o en sus inmediaciones’ sea algo impreciso y que atente contra el principio constitucional de tipicidad que garantiza el art. 25 de la CE”. Al contrario, en su opinión “la citada expresión contenida en la norma constituye un concepto jurídico indeterminado que resultará de fácil concreción por parte del órgano competente, administrativo o judicial, que haya de aplicar la norma al caso, sobre la base ya sea de elementos circunstanciales cognitivos o ya valorativos, siempre de carácter objetivo”.</w:t>
      </w:r>
    </w:p>
    <w:p w:rsidR="005728DD" w:rsidRDefault="005728DD" w:rsidP="005728DD">
      <w:pPr>
        <w:pStyle w:val="TextoNormal"/>
      </w:pPr>
    </w:p>
    <w:p w:rsidR="005728DD" w:rsidRDefault="005728DD" w:rsidP="005728DD">
      <w:pPr>
        <w:pStyle w:val="TextoNormal"/>
      </w:pPr>
      <w:r>
        <w:t xml:space="preserve">Decidir acerca de esta impugnación, tal como ha quedado delimitado por las alegaciones de las partes en el recurso, exige (i) establecer cuál es la doctrina constitucional sobre la relación entre el principio de tipicidad </w:t>
      </w:r>
      <w:r w:rsidRPr="005728DD">
        <w:rPr>
          <w:i/>
        </w:rPr>
        <w:t>ex</w:t>
      </w:r>
      <w:r>
        <w:t xml:space="preserve"> art. 25.1 CE y la utilización de conceptos jurídicos indeterminados en la definición de la conducta infractora; y (ii) verificar si el uso que el art. 35.1 LOPSC hace del término “inmediaciones” es acorde con dicha doctrina constitucional.</w:t>
      </w:r>
    </w:p>
    <w:p w:rsidR="005728DD" w:rsidRDefault="005728DD" w:rsidP="005728DD">
      <w:pPr>
        <w:pStyle w:val="TextoNormal"/>
      </w:pPr>
    </w:p>
    <w:p w:rsidR="005728DD" w:rsidRDefault="005728DD" w:rsidP="005728DD">
      <w:pPr>
        <w:pStyle w:val="TextoNormal"/>
      </w:pPr>
      <w:r>
        <w:t>a) La tipicidad de las infracciones, a diferencia de la garantía formal del principio de legalidad sancionadora, y la reserva de ley que lleva consigo en aras de tutelar la libertad individual, viene impuesta por el art. 25.1 CE en función de la seguridad jurídica de la persona. Exige con este fin “la predeterminación normativa de las conductas infractoras […] con la mayor precisión posible, para que los ciudadanos puedan conocer de antemano el ámbito de lo proscrito y prever, de esta manera, las consecuencias de sus acciones” (por todas, las SSTC 145/2013, de 11 de julio, y 160/2019, de 12 de diciembre).</w:t>
      </w:r>
    </w:p>
    <w:p w:rsidR="005728DD" w:rsidRDefault="005728DD" w:rsidP="005728DD">
      <w:pPr>
        <w:pStyle w:val="TextoNormal"/>
      </w:pPr>
    </w:p>
    <w:p w:rsidR="005728DD" w:rsidRDefault="005728DD" w:rsidP="005728DD">
      <w:pPr>
        <w:pStyle w:val="TextoNormal"/>
      </w:pPr>
      <w:r>
        <w:t xml:space="preserve">El tribunal, desde la STC 62/1982, de 15 de octubre, FJ 7 c), ha reiterado que “ello no supon[e] que el principio de legalidad penal quede infringido en los supuestos en que la definición del tipo incorpore conceptos cuya delimitación permita un margen de apreciación” o, dicho con otras palabras, que “no vulnera la exigencia de </w:t>
      </w:r>
      <w:r w:rsidRPr="005728DD">
        <w:rPr>
          <w:i/>
        </w:rPr>
        <w:t>lex certa</w:t>
      </w:r>
      <w:r>
        <w:t xml:space="preserve"> que incorpora el art. 25.1 CE la regulación de tales supuestos ilícitos mediante conceptos jurídicos indeterminados, […] dado que los conceptos legales no pueden alcanzar, por impedirlo la propia naturaleza de las cosas, una claridad y precisión absolutas” (STC 69/1989, de 20 de abril, FJ 1; en parecidos términos la citada STC 145/2013, FJ 4).</w:t>
      </w:r>
    </w:p>
    <w:p w:rsidR="005728DD" w:rsidRDefault="005728DD" w:rsidP="005728DD">
      <w:pPr>
        <w:pStyle w:val="TextoNormal"/>
      </w:pPr>
    </w:p>
    <w:p w:rsidR="005728DD" w:rsidRDefault="005728DD" w:rsidP="005728DD">
      <w:pPr>
        <w:pStyle w:val="TextoNormal"/>
      </w:pPr>
      <w:r>
        <w:t>La mencionada STC 69/1989, FJ 1, requiere, para que la definición de tipos infractores mediante conceptos jurídicos indeterminados sea acorde con el principio de tipicidad que se constitucionaliza en el art. 25.1 CE, que “su concreción sea razonablemente factible en virtud de criterios lógicos, técnicos o de experiencia”, o lo que es lo mismo “que serán contrarios a lo dispuesto en el art. 25.1 CE los tipos formulados en forma tan abierta que su aplicación o inaplicación dependa de una decisión prácticamente libre y arbitraria, en el sentido estricto de la palabra, de los jueces y tribunales” (STC 89/1993, de 12 de marzo, FJ 2; y de un modo similar la citada STC 145/2013, FJ 4).</w:t>
      </w:r>
    </w:p>
    <w:p w:rsidR="005728DD" w:rsidRDefault="005728DD" w:rsidP="005728DD">
      <w:pPr>
        <w:pStyle w:val="TextoNormal"/>
      </w:pPr>
    </w:p>
    <w:p w:rsidR="005728DD" w:rsidRDefault="005728DD" w:rsidP="005728DD">
      <w:pPr>
        <w:pStyle w:val="TextoNormal"/>
      </w:pPr>
      <w:r>
        <w:t xml:space="preserve">Además, la verificación de la suficiencia o insuficiencia, a la luz del principio de tipicidad, de esta labor de predeterminación normativa podrá hacerse “a la vista del […] contexto legal y jurisprudencial en el que el precepto penal se inscribe, pues el ordenamiento jurídico es una realidad compleja e integrada dentro de la cual adquieren sentido y significación </w:t>
      </w:r>
      <w:r>
        <w:lastRenderedPageBreak/>
        <w:t>propia —también en el ámbito penal— cada uno de los preceptos singulares” (STC 89/1993, FJ 2).</w:t>
      </w:r>
    </w:p>
    <w:p w:rsidR="005728DD" w:rsidRDefault="005728DD" w:rsidP="005728DD">
      <w:pPr>
        <w:pStyle w:val="TextoNormal"/>
      </w:pPr>
    </w:p>
    <w:p w:rsidR="005728DD" w:rsidRDefault="005728DD" w:rsidP="005728DD">
      <w:pPr>
        <w:pStyle w:val="TextoNormal"/>
      </w:pPr>
      <w:r>
        <w:t>También es doctrina constitucional constante que la exigencia de tipicidad, en el ámbito del Derecho administrativo sancionador, no recae exclusivamente sobre el legislador sino que resulta admisible “la colaboración reglamentaria en la propia tarea de tipificación de las infracciones” (por todas, STC 160/2019). Por tanto, y salvo el supuesto específico (SSTC 162/2008, de 15 de diciembre, y 160/2019, de 12 de diciembre) en que es la misma remisión legal a un conjunto indeterminado de reglamentos lo que dificulta el conocimiento de lo prohibido, en un proceso abstracto de control de constitucionalidad solo cabe analizar que una ley en sí misma considerada es acorde con el principio de tipicidad cuando esté prevista su aplicación directa, sin colaboración de desarrollo reglamentario alguno.</w:t>
      </w:r>
    </w:p>
    <w:p w:rsidR="005728DD" w:rsidRDefault="005728DD" w:rsidP="005728DD">
      <w:pPr>
        <w:pStyle w:val="TextoNormal"/>
      </w:pPr>
    </w:p>
    <w:p w:rsidR="005728DD" w:rsidRDefault="005728DD" w:rsidP="005728DD">
      <w:pPr>
        <w:pStyle w:val="TextoNormal"/>
      </w:pPr>
      <w:r>
        <w:t xml:space="preserve">En este recurso de inconstitucionalidad la demanda sostiene que no se ajustan al principio de tipicidad </w:t>
      </w:r>
      <w:r w:rsidRPr="005728DD">
        <w:rPr>
          <w:i/>
        </w:rPr>
        <w:t>ex</w:t>
      </w:r>
      <w:r>
        <w:t xml:space="preserve"> art. 25.1 CE algunos aspectos de los arts. 35.1 LOPSC (“o en sus inmediaciones”), 36.1 LOPSC (“perturbación”), 36.2 LOPSC (“frente a las sedes”) y 36.8 LOPSC (“perturbación”), pues a su juicio se trata de formulaciones tan abiertas que su concreción depende de una decisión prácticamente libre y arbitraria del aplicador. Como ninguno de estos tipos infractores remite a la colaboración reglamentaria, ni en la actualidad disponen de desarrollo reglamentario alguno, cabe concluir que se prevé su aplicación directa sin intermediación reglamentaria y por ello que resulta procedente que el tribunal examine, como solicita el recurrente, si son conformes con el principio de tipicida</w:t>
      </w:r>
      <w:r w:rsidRPr="005728DD">
        <w:rPr>
          <w:i/>
        </w:rPr>
        <w:t xml:space="preserve">d </w:t>
      </w:r>
      <w:r>
        <w:t>ex art. 25.1 CE.</w:t>
      </w:r>
    </w:p>
    <w:p w:rsidR="005728DD" w:rsidRDefault="005728DD" w:rsidP="005728DD">
      <w:pPr>
        <w:pStyle w:val="TextoNormal"/>
      </w:pPr>
    </w:p>
    <w:p w:rsidR="005728DD" w:rsidRDefault="005728DD" w:rsidP="005728DD">
      <w:pPr>
        <w:pStyle w:val="TextoNormal"/>
      </w:pPr>
      <w:r>
        <w:t>b) Según la doctrina constitucional reseñada (STC 89/1993, FJ 2), la verificación de la suficiencia, desde la perspectiva de la predeterminación normativa, del uso por el art. 35.1 LOPSC de la expresión “o en sus inmediaciones” podrá hacerse “a la vista del […] contexto legal y jurisprudencial” en que este precepto se inscribe.</w:t>
      </w:r>
    </w:p>
    <w:p w:rsidR="005728DD" w:rsidRDefault="005728DD" w:rsidP="005728DD">
      <w:pPr>
        <w:pStyle w:val="TextoNormal"/>
      </w:pPr>
    </w:p>
    <w:p w:rsidR="005728DD" w:rsidRDefault="005728DD" w:rsidP="005728DD">
      <w:pPr>
        <w:pStyle w:val="TextoNormal"/>
      </w:pPr>
      <w:r>
        <w:t>El art. 35.1 LOPSC no tipifica como infracción muy grave cualquier reunión o manifestación no comunicada o prohibida, sino solo aquellas que se ubican “en infraestructuras o instalaciones en las que se prestan servicios básicos para la comunidad o en sus inmediaciones”. De este modo, y teniendo en cuenta que el art. 3 g) LOPSC contempla como uno de los fines que tutela esta ley “la garantía de las condiciones de normalidad en la prestación de los servicios básicos para la comunidad”, el tribunal aprecia que una interpretación sistemática muestra que uno de los elementos típicos de la conducta tipificada en el art. 35.1 LOPSC es que obstaculice o altere de otro modo el normal funcionamiento de los servicios básicos para la comunidad.</w:t>
      </w:r>
    </w:p>
    <w:p w:rsidR="005728DD" w:rsidRDefault="005728DD" w:rsidP="005728DD">
      <w:pPr>
        <w:pStyle w:val="TextoNormal"/>
      </w:pPr>
    </w:p>
    <w:p w:rsidR="005728DD" w:rsidRDefault="005728DD" w:rsidP="005728DD">
      <w:pPr>
        <w:pStyle w:val="TextoNormal"/>
      </w:pPr>
      <w:r>
        <w:t>En este contexto legal la expresión “o en sus inmediaciones”, aunque es innegable que delimita la conducta infractora, significa “lo que está muy cercano o contiguo a algo” y en este caso a las infraestructuras e instalaciones. Para que la conducta fuera sancionable deben concurrir las circunstancias que determinan la alta gravedad de la infracción, consistente en que se haya generado un riesgo para la vida o integridad física de las personas.</w:t>
      </w:r>
    </w:p>
    <w:p w:rsidR="005728DD" w:rsidRDefault="005728DD" w:rsidP="005728DD">
      <w:pPr>
        <w:pStyle w:val="TextoNormal"/>
      </w:pPr>
    </w:p>
    <w:p w:rsidR="005728DD" w:rsidRDefault="005728DD" w:rsidP="005728DD">
      <w:pPr>
        <w:pStyle w:val="TextoNormal"/>
      </w:pPr>
      <w:r>
        <w:t xml:space="preserve">Así pues, junto al criterio geográfico de contigüidad o gran cercanía, debe acontecer el riesgo para los bienes jurídicos indicados. No es, por tanto, una formulación cuya concreción dependa de la decisión prácticamente libre de los órganos administrativos o judiciales, </w:t>
      </w:r>
      <w:r>
        <w:lastRenderedPageBreak/>
        <w:t>sin perjuicio de que ofrezca al aplicador un margen de apreciación para adaptar el tipo infractor a las circunstancias particulares y cambiantes de la realidad.</w:t>
      </w:r>
    </w:p>
    <w:p w:rsidR="005728DD" w:rsidRDefault="005728DD" w:rsidP="005728DD">
      <w:pPr>
        <w:pStyle w:val="TextoNormal"/>
      </w:pPr>
    </w:p>
    <w:p w:rsidR="005728DD" w:rsidRDefault="005728DD" w:rsidP="005728DD">
      <w:pPr>
        <w:pStyle w:val="TextoNormal"/>
      </w:pPr>
      <w:r>
        <w:t>El Tribunal entiende, por las razones expuestas, que el uso de la expresión “o en sus inmediaciones” para describir la conducta infractora no supone que el art. 35.1 LOPSC haya desconocido la garantía material de tipicidad que le impone el art. 25.1 CE y, en consecuencia, desestimamos la presente impugnación.</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Las impugnaciones del art. 36.1 LOPSC</w:t>
      </w:r>
      <w:r>
        <w:t>.</w:t>
      </w:r>
    </w:p>
    <w:p w:rsidR="005728DD" w:rsidRDefault="005728DD" w:rsidP="005728DD">
      <w:pPr>
        <w:pStyle w:val="TextoNormal"/>
      </w:pPr>
    </w:p>
    <w:p w:rsidR="005728DD" w:rsidRDefault="005728DD" w:rsidP="005728DD">
      <w:pPr>
        <w:pStyle w:val="TextoNormal"/>
      </w:pPr>
      <w:r>
        <w:t>El art. 36.1 LOPSC dispone que “[s]on infracciones graves: 1. La perturbación de la seguridad ciudadana en actos públicos, espectáculos deportivos o culturales, solemnidades y oficios religiosos u otras reuniones a las que asistan numerosas personas, cuando no sean constitutivas de infracción penal”.</w:t>
      </w:r>
    </w:p>
    <w:p w:rsidR="005728DD" w:rsidRDefault="005728DD" w:rsidP="005728DD">
      <w:pPr>
        <w:pStyle w:val="TextoNormal"/>
      </w:pPr>
    </w:p>
    <w:p w:rsidR="005728DD" w:rsidRDefault="005728DD" w:rsidP="005728DD">
      <w:pPr>
        <w:pStyle w:val="TextoNormal"/>
      </w:pPr>
      <w:r>
        <w:t>La demanda reprocha a este precepto dos vulneraciones muy precisas, reconducibles a sendos aspectos del contenido propio del art. 25.1 CE. El art. 36.1 LOPSC lesionaría el principio de tipicidad porque omite cualquier precisión sobre cuál debe ser el nivel de perturbación que debe tener la actuación infractora y sobre qué resultado debe producir. Vulneraría también, de otro lado, el principio de proporcionalidad entre la conducta típica, que se concreta en la perturbación de la seguridad ciudadana y comprende por ello la alteración leve de la misma, y la sanción. Razona que las sanciones previstas para las infracciones graves, incluso las que se ajusten a la mínima cuantía, son particularmente elevadas y con ello excesivas para castigar las alteraciones leves de la seguridad ciudadana.</w:t>
      </w:r>
    </w:p>
    <w:p w:rsidR="005728DD" w:rsidRDefault="005728DD" w:rsidP="005728DD">
      <w:pPr>
        <w:pStyle w:val="TextoNormal"/>
      </w:pPr>
    </w:p>
    <w:p w:rsidR="005728DD" w:rsidRDefault="005728DD" w:rsidP="005728DD">
      <w:pPr>
        <w:pStyle w:val="TextoNormal"/>
      </w:pPr>
      <w:r>
        <w:t>El abogado del Estado, por el contrario, argumenta que el tipo de ese art 36.1 LOPSC respondería al canon de constitucionalidad que admite, debido al inevitable margen de mínima indefinición por imperativo de la propia naturaleza de las cosas, la utilización de conceptos jurídicos indeterminados en la formulación del tipo ilícito. Señala, además, que “será la labor exegética por parte del intérprete y aplicador de la norma, quien habrá de llevarla a cabo siguiendo pautas objetivas y no discrecionales que precisen el alcance de los preceptos y los hagan previsibles”.</w:t>
      </w:r>
    </w:p>
    <w:p w:rsidR="005728DD" w:rsidRDefault="005728DD" w:rsidP="005728DD">
      <w:pPr>
        <w:pStyle w:val="TextoNormal"/>
      </w:pPr>
    </w:p>
    <w:p w:rsidR="005728DD" w:rsidRDefault="005728DD" w:rsidP="005728DD">
      <w:pPr>
        <w:pStyle w:val="TextoNormal"/>
      </w:pPr>
      <w:r>
        <w:t>Procederemos, a continuación, a analizar por separado los dos reproches de inconstitucionalidad que la demanda dirige a este art. 36.1 LOPSC.</w:t>
      </w:r>
    </w:p>
    <w:p w:rsidR="005728DD" w:rsidRDefault="005728DD" w:rsidP="005728DD">
      <w:pPr>
        <w:pStyle w:val="TextoNormal"/>
      </w:pPr>
    </w:p>
    <w:p w:rsidR="005728DD" w:rsidRDefault="005728DD" w:rsidP="005728DD">
      <w:pPr>
        <w:pStyle w:val="TextoNormal"/>
      </w:pPr>
      <w:r>
        <w:t xml:space="preserve">a) El principio de tipicidad recogido en el art. 25.1 CE requiere que, mediante su predeterminación normativa, se asegure que la reacción sancionadora sea previsible y no sorpresiva. Esta exigencia de </w:t>
      </w:r>
      <w:r w:rsidRPr="005728DD">
        <w:rPr>
          <w:i/>
        </w:rPr>
        <w:t>lex certa</w:t>
      </w:r>
      <w:r>
        <w:t>, como se desarrolló en el fundamento jurídico 4 a), no se opone a la utilización de un concepto jurídico indeterminado como el de “perturbación de la seguridad ciudadana” en la definición de la conducta infractora, siempre que su concreción sea razonablemente previsible en virtud de criterios lógicos, técnicos o de experiencia.</w:t>
      </w:r>
    </w:p>
    <w:p w:rsidR="005728DD" w:rsidRDefault="005728DD" w:rsidP="005728DD">
      <w:pPr>
        <w:pStyle w:val="TextoNormal"/>
      </w:pPr>
    </w:p>
    <w:p w:rsidR="005728DD" w:rsidRDefault="005728DD" w:rsidP="005728DD">
      <w:pPr>
        <w:pStyle w:val="TextoNormal"/>
      </w:pPr>
      <w:r>
        <w:t xml:space="preserve">Conforme a los términos en que la demanda cumple con la carga de alegar que incumbe a quien promueve un recurso de inconstitucionalidad, el tribunal debe centrar su atención en si el art. 36.1 es suficientemente preciso en dos extremos: (i) el nivel de perturbación de </w:t>
      </w:r>
      <w:r>
        <w:lastRenderedPageBreak/>
        <w:t>la seguridad ciudadana que integra el tipo infractor, y en particular si alcanza a las perturbaciones no graves; y (ii) si la conducta típica exige la producción de un resultado y cuál ha de ser este.</w:t>
      </w:r>
    </w:p>
    <w:p w:rsidR="005728DD" w:rsidRDefault="005728DD" w:rsidP="005728DD">
      <w:pPr>
        <w:pStyle w:val="TextoNormal"/>
      </w:pPr>
    </w:p>
    <w:p w:rsidR="005728DD" w:rsidRDefault="005728DD" w:rsidP="005728DD">
      <w:pPr>
        <w:pStyle w:val="TextoNormal"/>
      </w:pPr>
      <w:r>
        <w:t xml:space="preserve">Procede resaltar, en cuanto a la primera cuestión, que el art. 36.1 LOPSC ha de interpretarse en el contexto del ordenamiento jurídico en que se inserta con el fin de identificar cuál es el nivel de perturbación de la seguridad ciudadana que es constitutivo de la conducta infractora y si comprende o no las alteraciones leves de la seguridad ciudadana. Dicho con otras palabras, una norma punitiva puede aparecer incompleta en sí misma considerada, pero no por ello desconocerá el principio de tipicidad </w:t>
      </w:r>
      <w:r w:rsidRPr="005728DD">
        <w:rPr>
          <w:i/>
        </w:rPr>
        <w:t>ex</w:t>
      </w:r>
      <w:r>
        <w:t xml:space="preserve"> art. 25.1 CE si cabe completarla por referencia al contexto legal en que se integra (STC 89/1993, FJ 2).</w:t>
      </w:r>
    </w:p>
    <w:p w:rsidR="005728DD" w:rsidRDefault="005728DD" w:rsidP="005728DD">
      <w:pPr>
        <w:pStyle w:val="TextoNormal"/>
      </w:pPr>
    </w:p>
    <w:p w:rsidR="005728DD" w:rsidRDefault="005728DD" w:rsidP="005728DD">
      <w:pPr>
        <w:pStyle w:val="TextoNormal"/>
      </w:pPr>
      <w:r>
        <w:t>Nótese, de un lado, que la Ley Orgánica de protección de la seguridad ciudadana indica en algunos de sus tipos infractores que serán sancionables ciertas “actuaciones que causen perjuicios muy graves” (art. 35.2) o “la perturbación grave de la seguridad ciudadana” (art. 36.2) o simplemente, como en este caso, “la perturbación de la seguridad ciudadana” (art. 36.1). Este modo de tipificar las infracciones en la ley controvertida permite apreciar, por contraste entre unos y otros preceptos legales, que el art. 36.1 LOPSC configura como tipo infractor cualquier perturbación de la seguridad ciudadana, incluida por tanto aquella que implique una alteración leve en dicho bien jurídico.</w:t>
      </w:r>
    </w:p>
    <w:p w:rsidR="005728DD" w:rsidRDefault="005728DD" w:rsidP="005728DD">
      <w:pPr>
        <w:pStyle w:val="TextoNormal"/>
      </w:pPr>
    </w:p>
    <w:p w:rsidR="005728DD" w:rsidRDefault="005728DD" w:rsidP="005728DD">
      <w:pPr>
        <w:pStyle w:val="TextoNormal"/>
      </w:pPr>
      <w:r>
        <w:t>Del propio art. 36.1 se deriva una segunda precisión sobre qué perturbación de la seguridad ciudadana merece calificarse como una de estas infracciones graves. Su último inciso excluye del tipo infractor las que sean constitutivas de infracción penal. El art. 558 CP, ubicado dentro del título XXII del libro II, título rubricado “Delitos contra el orden público”, dispone que “[s]erán castigados con la pena de prisión de tres a seis meses o multa de seis a doce meses, los que perturben gravemente el orden en la audiencia de un tribunal o juzgado, en los actos públicos propios de cualquier autoridad o corporación, en colegio electoral, oficina o establecimiento público, centro docente o con motivo de la celebración de espectáculos deportivos o culturales”. Además, la Ley Orgánica 1/2015, de modificación del Código penal, por la que se suprime la falta tipificada en el art. 633 CP relativa a la perturbación leve del orden en actos públicos, afirmó en su preámbulo, al objeto de esclarecer por qué se eliminaban las faltas contra el orden público, que “por lo que se refiere a las faltas contra el orden público, los supuestos de alteraciones relevantes están ya castigados como delito”.</w:t>
      </w:r>
    </w:p>
    <w:p w:rsidR="005728DD" w:rsidRDefault="005728DD" w:rsidP="005728DD">
      <w:pPr>
        <w:pStyle w:val="TextoNormal"/>
      </w:pPr>
    </w:p>
    <w:p w:rsidR="005728DD" w:rsidRDefault="005728DD" w:rsidP="005728DD">
      <w:pPr>
        <w:pStyle w:val="TextoNormal"/>
      </w:pPr>
      <w:r>
        <w:t>En lo atinente a las “reuniones a las que asistan numerosas personas” distintas de las enunciadas por el art. 558 CP, el art. 557 castiga por un delito de desórdenes públicos a “[q]uienes actuando en grupo o individualmente pero amparados en él, alteraren la paz pública ejecutando actos de violencia sobre las personas o sobre las cosas, o amenazando a otros con llevarlos a cabo, serán castigados con una pena de seis meses a tres años de prisión”.</w:t>
      </w:r>
    </w:p>
    <w:p w:rsidR="005728DD" w:rsidRDefault="005728DD" w:rsidP="005728DD">
      <w:pPr>
        <w:pStyle w:val="TextoNormal"/>
      </w:pPr>
    </w:p>
    <w:p w:rsidR="005728DD" w:rsidRDefault="005728DD" w:rsidP="005728DD">
      <w:pPr>
        <w:pStyle w:val="TextoNormal"/>
      </w:pPr>
      <w:r>
        <w:t>Por tanto, en el Código penal desde 2015 ya no son punibles como faltas las perturbaciones del orden público que sean leves, considerando que la reacción penal debe limitarse a castigar como delito algunas perturbaciones graves de ese bien jurídico (en lo que aquí interesa las tipificadas en los arts. 557 y 558).</w:t>
      </w:r>
    </w:p>
    <w:p w:rsidR="005728DD" w:rsidRDefault="005728DD" w:rsidP="005728DD">
      <w:pPr>
        <w:pStyle w:val="TextoNormal"/>
      </w:pPr>
    </w:p>
    <w:p w:rsidR="005728DD" w:rsidRDefault="005728DD" w:rsidP="005728DD">
      <w:pPr>
        <w:pStyle w:val="TextoNormal"/>
      </w:pPr>
      <w:r>
        <w:lastRenderedPageBreak/>
        <w:t xml:space="preserve">En conclusión, de una lectura sistemática del art. 36.1 LOPSC, que lo ponga en conexión con otros preceptos de la Ley Orgánica de protección de la seguridad ciudadana y con los arts. 557 y 558 CP, se desprende que el concepto “perturbación de la seguridad ciudadana” como determinante de la conducta infractora no es tan indeterminado que pugne con las exigencias de tipicidad </w:t>
      </w:r>
      <w:r w:rsidRPr="005728DD">
        <w:rPr>
          <w:i/>
        </w:rPr>
        <w:t>ex</w:t>
      </w:r>
      <w:r>
        <w:t xml:space="preserve"> art. 25.1 CE, en la medida que hace referencia a cualquier perturbación de ese bien jurídico que no sea tipificable como delito en virtud de los arts. 557.1 y 558 CP.</w:t>
      </w:r>
    </w:p>
    <w:p w:rsidR="005728DD" w:rsidRDefault="005728DD" w:rsidP="005728DD">
      <w:pPr>
        <w:pStyle w:val="TextoNormal"/>
      </w:pPr>
    </w:p>
    <w:p w:rsidR="005728DD" w:rsidRDefault="005728DD" w:rsidP="005728DD">
      <w:pPr>
        <w:pStyle w:val="TextoNormal"/>
      </w:pPr>
      <w:r>
        <w:t>Decidir sobre el segundo aspecto enfocado por la demanda —si el precepto es suficientemente preciso al establecer si la conducta típica exige la producción de un resultado y cuál ha de ser este— también requiere tener en cuenta el modo general de tipificar las infracciones que utiliza la Ley Orgánica de protección de la seguridad ciudadana. Debe atenderse a que en ocasiones define la conducta infractora por referencia a la mera creación de riesgo para la vida, la integridad física u otros bienes jurídicos relacionados con la seguridad ciudadana (entre otros, cabe aludir a los arts. 35.1, 36.5, 36.11 y 37.14). Sin embargo, en otras, se identifica la conducta punible con las nociones “perturbación”, “alteración” o “perjuicio” (entre otros, repárese en los arts. 35.2, 36.2, 36.3 y 37.3). El art. 36.1 LOPSC pertenece al segundo tipo, con lo que la conducta infractora queda predeterminada de un modo adicional, en el sentido de que su realización exige una afectación real y efectiva (y no una mera puesta en riesgo) del bien jurídico de que se trate, que en este caso es la seguridad ciudadana en alguna de las vertientes que enuncia el art. 3 LOPSC.</w:t>
      </w:r>
    </w:p>
    <w:p w:rsidR="005728DD" w:rsidRDefault="005728DD" w:rsidP="005728DD">
      <w:pPr>
        <w:pStyle w:val="TextoNormal"/>
      </w:pPr>
    </w:p>
    <w:p w:rsidR="005728DD" w:rsidRDefault="005728DD" w:rsidP="005728DD">
      <w:pPr>
        <w:pStyle w:val="TextoNormal"/>
      </w:pPr>
      <w:r>
        <w:t>En fin, tampoco en relación a este segundo aspecto puede concluirse que el art. 36.1 LOPSC configure un tipo infractor que, porque su concreción no sea razonablemente previsible en virtud de criterios lógicos, técnicos o de experiencia, deba calificarse de contrario al principio de tipicida</w:t>
      </w:r>
      <w:r w:rsidRPr="005728DD">
        <w:rPr>
          <w:i/>
        </w:rPr>
        <w:t xml:space="preserve">d </w:t>
      </w:r>
      <w:r>
        <w:t>ex art. 25.1 CE.</w:t>
      </w:r>
    </w:p>
    <w:p w:rsidR="005728DD" w:rsidRDefault="005728DD" w:rsidP="005728DD">
      <w:pPr>
        <w:pStyle w:val="TextoNormal"/>
      </w:pPr>
    </w:p>
    <w:p w:rsidR="005728DD" w:rsidRDefault="005728DD" w:rsidP="005728DD">
      <w:pPr>
        <w:pStyle w:val="TextoNormal"/>
      </w:pPr>
      <w:r>
        <w:t>b) Sobre la adecuada proporción entre la conducta infractora y la sanción prevista, la STC 60/2010, de 7 de octubre, FJ 7 a), declaró, desde una perspectiva institucional, que “nuestro enjuiciamiento [...] resulta limitado por el reconocimiento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Consecuentemente, en la referida decisión el tribunal estableció que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136/1999, de 20 de julio, FJ 23; también, SSTC 55/1996, de 28 de marzo, FFJJ 6 y ss.; 161/1997, de 2 de octubre, FFJJ 9 y ss.; AATC 233/2004, de 7 de junio, FJ 3; 332/2005, de 13 de septiembre, FJ 4)”.</w:t>
      </w:r>
    </w:p>
    <w:p w:rsidR="005728DD" w:rsidRDefault="005728DD" w:rsidP="005728DD">
      <w:pPr>
        <w:pStyle w:val="TextoNormal"/>
      </w:pPr>
    </w:p>
    <w:p w:rsidR="005728DD" w:rsidRDefault="005728DD" w:rsidP="005728DD">
      <w:pPr>
        <w:pStyle w:val="TextoNormal"/>
      </w:pPr>
      <w:r>
        <w:t>Esta doctrina constitucional ha sido aplicada al enjuiciar la adecuada proporción entre infracciones y sanciones administrativas en los AATC 20/2015, de 3 de febrero, FJ 4; 145/2015, de 10 de septiembre, FJ 4; 187/2016, de 15 de noviembre, FJ 5, y 43/2017, de 28 de febrero, FJ 2. Además, el citado ATC 145/2015 estableció que “esta doctrina es trasladable al ámbito administrativo sancionador, como también lo es que ‘no cabe deducir del art. 25.1 CE un derecho fundamental a la proporcionalidad abstracta de la pena con la gra</w:t>
      </w:r>
      <w:r>
        <w:lastRenderedPageBreak/>
        <w:t xml:space="preserve">vedad del delito” (STC 65/1986, de 22 de mayo, FJ 3 </w:t>
      </w:r>
      <w:r w:rsidRPr="005728DD">
        <w:rPr>
          <w:i/>
        </w:rPr>
        <w:t>in fine</w:t>
      </w:r>
      <w:r>
        <w:t>). A partir de lo anterior, corresponde primordialmente a los tribunales ordinarios determinar si se ha respetado la garantía del art. 25.1 CE en el plano aplicativo”. Y concluye que “no corresponde a este tribunal pronunciarse sobre si resulta oportuna o adecuada, en abstracto, la decisión del legislador de sancionar la conducta descrita en el art. 195.2 LGT con una cuantía fija del 15 por 100 de la cantidad indebidamente consignada como base imponible negativa”.</w:t>
      </w:r>
    </w:p>
    <w:p w:rsidR="005728DD" w:rsidRDefault="005728DD" w:rsidP="005728DD">
      <w:pPr>
        <w:pStyle w:val="TextoNormal"/>
      </w:pPr>
    </w:p>
    <w:p w:rsidR="005728DD" w:rsidRDefault="005728DD" w:rsidP="005728DD">
      <w:pPr>
        <w:pStyle w:val="TextoNormal"/>
      </w:pPr>
      <w:r>
        <w:t>Adicionalmente, y esta vez desde una perspectiva de marcado carácter sustantivo, la STC 60/2010, de 7 de octubre, razonó en el FJ 7 a) que “la propia Constitución, lejos de someter la acción del legislador a los mismos límites sustantivos con independencia del objeto sobre el que esta se proyecte o del tipo de decisiones que incorpore, contempla límites más exigentes en el caso de las normas penales que en el de otras decisiones de aquel, debido, precisamente, al alcance de los efectos que de aquellas se derivan, puesto que cuanto más intensa sea la restricción de los principios constitucionales y, en particular, de los derechos y libertades reconocidos en el texto constitucional, tanto más exigentes son los presupuestos sustantivos de la constitucionalidad de la medida que los genera”. Esta óptica sustantiva adquiere relevancia porque los efectos que despliegan las normas administrativas sancionadoras presentan, en principio, un menor alcance que los que traen causa de normas estrictamente penales.</w:t>
      </w:r>
    </w:p>
    <w:p w:rsidR="005728DD" w:rsidRDefault="005728DD" w:rsidP="005728DD">
      <w:pPr>
        <w:pStyle w:val="TextoNormal"/>
      </w:pPr>
    </w:p>
    <w:p w:rsidR="005728DD" w:rsidRDefault="005728DD" w:rsidP="005728DD">
      <w:pPr>
        <w:pStyle w:val="TextoNormal"/>
      </w:pPr>
      <w:r>
        <w:t>El art. 36.1 LOPSC tipifica como infracción grave “la perturbación de la seguridad ciudadana”, comprendiendo por los motivos previamente indicados las alteraciones leves de la seguridad ciudadana. El art. 39.1 b) LOPSC dispone que el grado mínimo de la sanción por infracción grave consistirá en una multa entre 601 y 10 400 €. El Parlamento recurrente alega que resulta excesivo imponer multas de tan alta cuantía a quien realice una conducta que altere levemente la seguridad ciudadana.</w:t>
      </w:r>
    </w:p>
    <w:p w:rsidR="005728DD" w:rsidRDefault="005728DD" w:rsidP="005728DD">
      <w:pPr>
        <w:pStyle w:val="TextoNormal"/>
      </w:pPr>
    </w:p>
    <w:p w:rsidR="005728DD" w:rsidRDefault="005728DD" w:rsidP="005728DD">
      <w:pPr>
        <w:pStyle w:val="TextoNormal"/>
      </w:pPr>
      <w:r>
        <w:t>Este tribunal, aplicando la doctrina constitucional consolidada que ha quedado reseñada, aprecia que la decisión del legislador de asociar a una perturbación leve de la seguridad ciudadana, producida en las particulares circunstancias descritas por el art. 36.1 LOPSC, la imposición de una sanción de multa entre 601 y 10400 € no supone “un patente derroche inútil de coacción que convierte la norma en arbitraria y que socava los principios elementales de justicia inherentes a la dignidad de la persona y al Estado de Derecho”, fundamento jurídico 7 a) de la STC 60/2010, de 7 de octubre.</w:t>
      </w:r>
    </w:p>
    <w:p w:rsidR="005728DD" w:rsidRDefault="005728DD" w:rsidP="005728DD">
      <w:pPr>
        <w:pStyle w:val="TextoNormal"/>
      </w:pPr>
    </w:p>
    <w:p w:rsidR="005728DD" w:rsidRDefault="005728DD" w:rsidP="005728DD">
      <w:pPr>
        <w:pStyle w:val="TextoNormal"/>
      </w:pPr>
      <w:r>
        <w:t>El legislador goza de un amplio margen de opción para determinar el alcance de la reacción sancionadora que resulta conveniente para proteger, en abstracto, el bien jurídico implicado en el art. 36.1 LOPSC, que es la protección de la seguridad ciudadana en una situación concreta, en el curso de actos públicos a los que asisten numerosas personas. Este tribunal, con particular atención a las necesidades de tutela de la seguridad ciudadana en aquellas situaciones en que se reúne una gran cantidad de personas, entiende que el art. 36.1 LOPSC en relación con el art. 39.1 b) LOPSC no constituye por parte del legislador un uso extralimitado del amplio margen de decisión indicado.</w:t>
      </w:r>
    </w:p>
    <w:p w:rsidR="005728DD" w:rsidRDefault="005728DD" w:rsidP="005728DD">
      <w:pPr>
        <w:pStyle w:val="TextoNormal"/>
      </w:pPr>
    </w:p>
    <w:p w:rsidR="005728DD" w:rsidRDefault="005728DD" w:rsidP="005728DD">
      <w:pPr>
        <w:pStyle w:val="TextoNormal"/>
      </w:pPr>
      <w:r>
        <w:t>Debe resaltarse que este juicio del tribunal viene específicamente determinado por el cauce procesal en que lo hace, en el que se limita a examinar la norma legal con una perspectiva de abstracción, por lo que ha de entenderse sin perjuicio del examen de proporcio</w:t>
      </w:r>
      <w:r>
        <w:lastRenderedPageBreak/>
        <w:t xml:space="preserve">nalidad </w:t>
      </w:r>
      <w:r w:rsidRPr="005728DD">
        <w:rPr>
          <w:i/>
        </w:rPr>
        <w:t>ex</w:t>
      </w:r>
      <w:r>
        <w:t xml:space="preserve"> art. 25.1 CE que proceda, por parte del aplicador del Derecho y en última instancia de este tribunal en vía de amparo constitucional, en el momento aplicativo de este precepto legal, en cuya ocasión habrá de prestarse atención a las precisas circunstancias del supuesto concreto.</w:t>
      </w:r>
    </w:p>
    <w:p w:rsidR="005728DD" w:rsidRDefault="005728DD" w:rsidP="005728DD">
      <w:pPr>
        <w:pStyle w:val="TextoNormal"/>
      </w:pPr>
    </w:p>
    <w:p w:rsidR="005728DD" w:rsidRDefault="005728DD" w:rsidP="005728DD">
      <w:pPr>
        <w:pStyle w:val="TextoNormal"/>
      </w:pPr>
      <w:r>
        <w:t xml:space="preserve">Por los motivos expuestos, el art. 36.1 LOPSC —en relación con el art. 39.1 b) LOPSC— no incurre en la vulneración alegada del principio de proporcionalidad </w:t>
      </w:r>
      <w:r w:rsidRPr="005728DD">
        <w:rPr>
          <w:i/>
        </w:rPr>
        <w:t>ex</w:t>
      </w:r>
      <w:r>
        <w:t xml:space="preserve"> art. 25.1 CE y, consecuentemente, procede desestimar este segundo aspecto de la impugnación del art. 36.1 LOPSC.</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La impugnación del art. 36.2 LOPSC</w:t>
      </w:r>
      <w:r>
        <w:t>.</w:t>
      </w:r>
    </w:p>
    <w:p w:rsidR="005728DD" w:rsidRDefault="005728DD" w:rsidP="005728DD">
      <w:pPr>
        <w:pStyle w:val="TextoNormal"/>
      </w:pPr>
    </w:p>
    <w:p w:rsidR="005728DD" w:rsidRDefault="005728DD" w:rsidP="005728DD">
      <w:pPr>
        <w:pStyle w:val="TextoNormal"/>
      </w:pPr>
      <w:r>
        <w:t>El art. 36.2 LOPSC dispone que “[s]on infracciones graves: 2. La perturbación grave de la seguridad ciudadana que se produzca con ocasión de reuniones o manifestaciones frente a las sedes del Congreso de los Diputados, el Senado y las asambleas legislativas de las comunidades autónomas, aunque no estuvieran reunidas, cuando no constituya infracción penal”.</w:t>
      </w:r>
    </w:p>
    <w:p w:rsidR="005728DD" w:rsidRDefault="005728DD" w:rsidP="005728DD">
      <w:pPr>
        <w:pStyle w:val="TextoNormal"/>
      </w:pPr>
    </w:p>
    <w:p w:rsidR="005728DD" w:rsidRDefault="005728DD" w:rsidP="005728DD">
      <w:pPr>
        <w:pStyle w:val="TextoNormal"/>
      </w:pPr>
      <w:r>
        <w:t>La demanda imputa al art. 36.2 LOPSC dos reproches de inconstitucionalidad. El primero trae causa de las exigencias que se derivan del art. 21 CE y se centra en el inciso “aunque no estuvieran reunidas”. La STC 172/2020 ha desestimado una impugnación idéntica y dirigida contra el mismo inciso del art. 36.2 LOPSC. Procede, conforme a un criterio de coherencia doctrinal, que nos remitamos a la motivación desarrollada en el fundamento jurídico 6 de dicha sentencia y, en su consecuencia, que se desestime esta concreta impugnación del art. 36.2 LOPSC.</w:t>
      </w:r>
    </w:p>
    <w:p w:rsidR="005728DD" w:rsidRDefault="005728DD" w:rsidP="005728DD">
      <w:pPr>
        <w:pStyle w:val="TextoNormal"/>
      </w:pPr>
    </w:p>
    <w:p w:rsidR="005728DD" w:rsidRDefault="005728DD" w:rsidP="005728DD">
      <w:pPr>
        <w:pStyle w:val="TextoNormal"/>
      </w:pPr>
      <w:r>
        <w:t xml:space="preserve">Los recurrentes argumentan que el art. 36.2 LOPSC incurre además en otra vulneración constitucional, enfocada esta vez en que el inciso “frente a las sedes” es una fórmula tan abierta que no cumple con las exigencias del principio de tipicidad </w:t>
      </w:r>
      <w:r w:rsidRPr="005728DD">
        <w:rPr>
          <w:i/>
        </w:rPr>
        <w:t>ex</w:t>
      </w:r>
      <w:r>
        <w:t xml:space="preserve"> art. 25.1 CE. El abogado del Estado, por su parte, sostiene que “pueden reproducirse las razones expuestas en relación con el apartado anterior, que abonan la constitucionalidad del precepto en este caso”, aludiendo con ello a la admisibilidad constitucional del uso de conceptos jurídicos indeterminados para delimitar tipos infractores.</w:t>
      </w:r>
    </w:p>
    <w:p w:rsidR="005728DD" w:rsidRDefault="005728DD" w:rsidP="005728DD">
      <w:pPr>
        <w:pStyle w:val="TextoNormal"/>
      </w:pPr>
    </w:p>
    <w:p w:rsidR="005728DD" w:rsidRDefault="005728DD" w:rsidP="005728DD">
      <w:pPr>
        <w:pStyle w:val="TextoNormal"/>
      </w:pPr>
      <w:r>
        <w:t>Según la doctrina constitucional reseñada en el fundamento jurídico 4 a) de esta resolución, el principio de tipicidad como manifestación de la garantía material de la legalidad sancionadora no se opone al uso de conceptos jurídicos indeterminados en la definición de la conducta punible, siempre que “su concreción sea razonablemente factible en virtud de criterios lógicos, técnicos o de experiencia”, la cual puede realizarse “a la vista del […] contexto legal y jurisprudencial” en que la norma punitiva se inscribe.</w:t>
      </w:r>
    </w:p>
    <w:p w:rsidR="005728DD" w:rsidRDefault="005728DD" w:rsidP="005728DD">
      <w:pPr>
        <w:pStyle w:val="TextoNormal"/>
      </w:pPr>
    </w:p>
    <w:p w:rsidR="005728DD" w:rsidRDefault="005728DD" w:rsidP="005728DD">
      <w:pPr>
        <w:pStyle w:val="TextoNormal"/>
      </w:pPr>
      <w:r>
        <w:t xml:space="preserve">Este tribunal ya tuvo ocasión de poner de relieve cuáles son los bienes jurídicos a cuya protección se orienta el tipo infractor definido en el art. 36.2 LOPSC. En la STC 172/2020 razonó </w:t>
      </w:r>
      <w:r w:rsidRPr="005728DD">
        <w:rPr>
          <w:i/>
        </w:rPr>
        <w:t>in extenso</w:t>
      </w:r>
      <w:r>
        <w:t xml:space="preserve"> sobre esta cuestión y concluyó que “[l]as sedes parlamentarias […] revisten una doble transcendencia que las hace dignas de protección jurídica. Por un lado, albergan el desenvolvimiento efectivo de las funciones representativas por medio del funcionamiento del órgano legislativo en sus distintas formas y composiciones. Por otro lado, resulta inherente a ellas, incluso cuando están inactivas, su carácter de representación institucional </w:t>
      </w:r>
      <w:r>
        <w:lastRenderedPageBreak/>
        <w:t>de la voluntad popular, de modo que constituyen un símbolo del más alto valor constitucional. Este tribunal aprecia, atendiendo a esa doble relevancia de las sedes parlamentarias, que el art. 36.2 LOPSC se orienta a evitar que la perturbación grave de la seguridad ciudadana con ocasión de reuniones o manifestaciones ante las instituciones parlamentarias (i) impida el normal funcionamiento del órgano parlamentario en sus distintas formas y composiciones o (ii) produzca una desconsideración del símbolo encarnado en las sedes parlamentarias que razonablemente pueda coadyuvar por sí misma, o mediante la incitación de otras conductas, a que se ponga en riesgo la tranquilidad y convivencia ciudadanas [art. 3 c) LOPSC] o a que, de un modo más general, se condicione a otros ciudadanos el libre ejercicio de sus derechos y libertades reconocidos por el ordenamiento jurídico [art. 3 a) LOPSC]”.</w:t>
      </w:r>
    </w:p>
    <w:p w:rsidR="005728DD" w:rsidRDefault="005728DD" w:rsidP="005728DD">
      <w:pPr>
        <w:pStyle w:val="TextoNormal"/>
      </w:pPr>
    </w:p>
    <w:p w:rsidR="005728DD" w:rsidRDefault="005728DD" w:rsidP="005728DD">
      <w:pPr>
        <w:pStyle w:val="TextoNormal"/>
      </w:pPr>
      <w:r>
        <w:t>En este contexto legal la expresión “frente a las sedes”, es un término equivalente a “enfrente de” o “delante de” y dada la finalidad de la norma, la manifestación ha de estar próxima a los edificios, pues, sin esa proximidad, no parece que se pueda impedir el normal funcionamiento del órgano o llevar a cabo la desconsideración del símbolo que encarnan las sedes.</w:t>
      </w:r>
    </w:p>
    <w:p w:rsidR="005728DD" w:rsidRDefault="005728DD" w:rsidP="005728DD">
      <w:pPr>
        <w:pStyle w:val="TextoNormal"/>
      </w:pPr>
    </w:p>
    <w:p w:rsidR="005728DD" w:rsidRDefault="005728DD" w:rsidP="005728DD">
      <w:pPr>
        <w:pStyle w:val="TextoNormal"/>
      </w:pPr>
      <w:r>
        <w:t>El término “frente” debe equipararse al vocablo “ante” que establece el art. 494 CP que castiga a los que “promuevan, dirijan o presidan manifestaciones u otra clase de reuniones ante las sedes del Congreso de los Diputados, del Senado o de una asamblea legislativa de comunidad autónoma, cuando estén reunidos, alterando su normal funcionamiento”.</w:t>
      </w:r>
    </w:p>
    <w:p w:rsidR="005728DD" w:rsidRDefault="005728DD" w:rsidP="005728DD">
      <w:pPr>
        <w:pStyle w:val="TextoNormal"/>
      </w:pPr>
    </w:p>
    <w:p w:rsidR="005728DD" w:rsidRDefault="005728DD" w:rsidP="005728DD">
      <w:pPr>
        <w:pStyle w:val="TextoNormal"/>
      </w:pPr>
      <w:r>
        <w:t>En suma, el contenido normativo del precepto recurrido resulta del particular contexto legal de protección de la seguridad ciudadana en que se integra y ofrece al aplicador un margen de apreciación para, teniendo en cuenta las circunstancias particulares y cambiantes de la realidad, adaptar el tipo infractor a la mejor realización de los fines a los que sirve.</w:t>
      </w:r>
    </w:p>
    <w:p w:rsidR="005728DD" w:rsidRDefault="005728DD" w:rsidP="005728DD">
      <w:pPr>
        <w:pStyle w:val="TextoNormal"/>
      </w:pPr>
    </w:p>
    <w:p w:rsidR="005728DD" w:rsidRDefault="005728DD" w:rsidP="005728DD">
      <w:pPr>
        <w:pStyle w:val="TextoNormal"/>
      </w:pPr>
      <w:r>
        <w:t>El tribunal entiende, por las razones expuestas, que la utilización del sintagma “frente a las sedes” para delimitar la conducta infractora no supone que el art. 36.2 LOPSC haya desconocido la garantía material de tipicidad que le impone el art. 25.1 CE y, en virtud de este criterio, desestimamos la presente impugnación.</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La impugnación del art. 36.8 LOPSC</w:t>
      </w:r>
      <w:r>
        <w:t>.</w:t>
      </w:r>
    </w:p>
    <w:p w:rsidR="005728DD" w:rsidRDefault="005728DD" w:rsidP="005728DD">
      <w:pPr>
        <w:pStyle w:val="TextoNormal"/>
      </w:pPr>
    </w:p>
    <w:p w:rsidR="005728DD" w:rsidRDefault="005728DD" w:rsidP="005728DD">
      <w:pPr>
        <w:pStyle w:val="TextoNormal"/>
      </w:pPr>
      <w:r>
        <w:t>El art. 36.8 LOPSC dispone que “[s]on infracciones graves: 8. La perturbación del desarrollo de una reunión o manifestación lícita, cuando no constituya infracción penal”.</w:t>
      </w:r>
    </w:p>
    <w:p w:rsidR="005728DD" w:rsidRDefault="005728DD" w:rsidP="005728DD">
      <w:pPr>
        <w:pStyle w:val="TextoNormal"/>
      </w:pPr>
    </w:p>
    <w:p w:rsidR="005728DD" w:rsidRDefault="005728DD" w:rsidP="005728DD">
      <w:pPr>
        <w:pStyle w:val="TextoNormal"/>
      </w:pPr>
      <w:r>
        <w:t>La demanda, por toda motivación de esta impugnación del art. 36.8 LOPSC, señala que “esta norma presenta una formulación, por lo que se refiere al elemento objetivo del tipo, idéntica a la que, según hemos visto, utilizaba el apartado 1 del mismo artículo, en el sentido a que se refiere tan solo a ‘[l]a perturbación’, en este caso, de una reunión o manifestación. Por tanto, la conclusión es que incurre en el mismo vicio de inconstitucionalidad que el apartado 1, al que nos hemos referido”.</w:t>
      </w:r>
    </w:p>
    <w:p w:rsidR="005728DD" w:rsidRDefault="005728DD" w:rsidP="005728DD">
      <w:pPr>
        <w:pStyle w:val="TextoNormal"/>
      </w:pPr>
    </w:p>
    <w:p w:rsidR="005728DD" w:rsidRDefault="005728DD" w:rsidP="005728DD">
      <w:pPr>
        <w:pStyle w:val="TextoNormal"/>
      </w:pPr>
      <w:r>
        <w:t xml:space="preserve">Por su parte, el abogado del Estado, inmediatamente después de consignar sus alegaciones respecto la impugnación del art. 36.1 LOPSC, argumenta de manera correlativa que “[l]o mismo cabe decir en cuanto a la descripción de la infracción en el apartado 8 del mismo </w:t>
      </w:r>
      <w:r>
        <w:lastRenderedPageBreak/>
        <w:t>artículo, antes transcrito, en cuanto que es exactamente el mismo reproche el que el recurso hace respecto de dicha redacción”.</w:t>
      </w:r>
    </w:p>
    <w:p w:rsidR="005728DD" w:rsidRDefault="005728DD" w:rsidP="005728DD">
      <w:pPr>
        <w:pStyle w:val="TextoNormal"/>
      </w:pPr>
    </w:p>
    <w:p w:rsidR="005728DD" w:rsidRDefault="005728DD" w:rsidP="005728DD">
      <w:pPr>
        <w:pStyle w:val="TextoNormal"/>
      </w:pPr>
      <w:r>
        <w:t>El tribunal, en atención a que la presente impugnación ha quedado delimitada por las partes en los términos expuestos, entiende procedente desestimarla con arreglo a los mismos argumentos utilizados para considerar que el art. 36.1 LOPSC no vulneraba la dimensión del principio de tipicidad invocada en el recurso de inconstitucionalidad. Dicho con otras palabras, el art. 36.8 LOPSC no desconoce la vertiente del principio de tipicidad invocada en el recurso de inconstitucionalidad porque el término “perturbación”, interpretado en el contexto de otras normas sancionadoras de la LOPSC (entre otros, los arts. 35.2, 36.2 y 36.3) y a la luz de los preceptos relevantes del Código penal (los arts. 557.1 y 557 bis.1.3), es un concepto jurídico indeterminado cuya concreción es razonablemente previsible en virtud de criterios lógicos, técnicos o de experiencia.</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La delimitación de la impugnación del art. 36.22 LOPSC</w:t>
      </w:r>
      <w:r>
        <w:t>.</w:t>
      </w:r>
    </w:p>
    <w:p w:rsidR="005728DD" w:rsidRDefault="005728DD" w:rsidP="005728DD">
      <w:pPr>
        <w:pStyle w:val="TextoNormal"/>
      </w:pPr>
    </w:p>
    <w:p w:rsidR="005728DD" w:rsidRDefault="005728DD" w:rsidP="005728DD">
      <w:pPr>
        <w:pStyle w:val="TextoNormal"/>
      </w:pPr>
      <w:r>
        <w:t>El art. 36.22 LOPSC dispone que “[s]on infracciones graves: 22. El incumplimiento de las restricciones a la navegación reglamentariamente impuestas a las embarcaciones de alta velocidad y aeronaves ligeras”.</w:t>
      </w:r>
    </w:p>
    <w:p w:rsidR="005728DD" w:rsidRDefault="005728DD" w:rsidP="005728DD">
      <w:pPr>
        <w:pStyle w:val="TextoNormal"/>
      </w:pPr>
    </w:p>
    <w:p w:rsidR="005728DD" w:rsidRDefault="005728DD" w:rsidP="005728DD">
      <w:pPr>
        <w:pStyle w:val="TextoNormal"/>
      </w:pPr>
      <w:r>
        <w:t>Esta impugnación gira, al igual que las cuatro impugnaciones inmediatamente precedentes, en torno al principio de legalidad sancionadora. Ahora bien, a diferencia de aquellas, en esta no se invoca la regla de tipicidad como parte de la garantía material de dicho principio. Se centra, por el contrario, en la garantía formal del mismo también amparada por el art. 25.1 CE. Alega el recurrente que el art. 36.22 LOPSC “se limita a sancionar el incumplimiento de las restricciones a la navegación que contengan los reglamentos, sin contener ninguna exigencia específica de lesión o de evitar el riesgo con respecto al bien jurídico protegido que sirva para precisar el núcleo esencial de la prohibición administrativa”. Por su parte el abogado del Estado rechaza que se trate de una remisión en blanco a disposiciones reglamentarias, pues “en lo que incide el tipo del art. 36.22 no es, como elemento directamente central, en la infracción de reglamentos sino que de modo directo es a la actividad externa peligrosa en sí a la que apunta el tipo. […] Lo que provocaría la incoación del expediente sancionador sería la utilización en sí peligrosa empíricamente constatada”.</w:t>
      </w:r>
    </w:p>
    <w:p w:rsidR="005728DD" w:rsidRDefault="005728DD" w:rsidP="005728DD">
      <w:pPr>
        <w:pStyle w:val="TextoNormal"/>
      </w:pPr>
    </w:p>
    <w:p w:rsidR="005728DD" w:rsidRDefault="005728DD" w:rsidP="005728DD">
      <w:pPr>
        <w:pStyle w:val="TextoNormal"/>
      </w:pPr>
      <w:r>
        <w:t>Para resolver la cuestión así planteada es necesario (i) delimitar con precisión la impugnación y lo que se demanda de este tribunal, lo que se hará en este mismo fundamento jurídico 8; (ii) examinar la doctrina constitucional sobre el alcance de la reserva de ley en materia sancionadora, a lo que se destina el fundamento jurídico 9; y, en fin, (iii) aplicar esta doctrina al presente supuesto en el fundamento jurídico 10.</w:t>
      </w:r>
    </w:p>
    <w:p w:rsidR="005728DD" w:rsidRDefault="005728DD" w:rsidP="005728DD">
      <w:pPr>
        <w:pStyle w:val="TextoNormal"/>
      </w:pPr>
    </w:p>
    <w:p w:rsidR="005728DD" w:rsidRDefault="005728DD" w:rsidP="005728DD">
      <w:pPr>
        <w:pStyle w:val="TextoNormal"/>
      </w:pPr>
      <w:r>
        <w:t xml:space="preserve">La garantía material del principio de legalidad penal, tutela la seguridad jurídica, exige que se defina con precisión la conducta infractora en el plano normativo. Lo propio y distinto de las sanciones administrativas es que la predeterminación normativa suficiente se puede alcanzar combinando la norma de rango legal con las disposiciones administrativas que la desarrollen. Por tanto, para evaluar si se cumple la garantía material hay que atender, en principio, al nivel de predeterminación de la conducta infractora que resulta no tanto de la previsión legal cuanto de los reglamentos que la complementen. Ahora bien, como se adelantó, esta impugnación no cuestiona el art. 36.22 LOPSC desde la perspectiva de la </w:t>
      </w:r>
      <w:r>
        <w:lastRenderedPageBreak/>
        <w:t>garantía material, de modo que no procede detenerse en nada de lo relativo al desarrollo reglamentario al que llama expresamente el precepto.</w:t>
      </w:r>
    </w:p>
    <w:p w:rsidR="005728DD" w:rsidRDefault="005728DD" w:rsidP="005728DD">
      <w:pPr>
        <w:pStyle w:val="TextoNormal"/>
      </w:pPr>
    </w:p>
    <w:p w:rsidR="005728DD" w:rsidRDefault="005728DD" w:rsidP="005728DD">
      <w:pPr>
        <w:pStyle w:val="TextoNormal"/>
      </w:pPr>
      <w:r>
        <w:t>El recurrente lo único que reprocha al art. 36.22 LOPSC es que no respeta la garantía formal del principio de legalidad sancionadora. Esta dimensión requiere, en función de proteger la libertad individual, que los elementos esenciales del tipo infractor —el núcleo de la prohibición— sean establecidos directamente por el legislador en tanto que depositario de la representación popular. En consecuencia, el tribunal decidirá sobre esta impugnación a partir del contenido del propio art. 36.22 LOPSC y del contexto legal en que se integra, sin tomar en cuenta los reglamentos que disciplinan las restricciones a la navegación a que la norma legal remite.</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w:t>
      </w:r>
      <w:r w:rsidRPr="005728DD">
        <w:rPr>
          <w:i/>
        </w:rPr>
        <w:t>La doctrina constitucional sobre el alcance de la reserva de ley en materia sancionadora</w:t>
      </w:r>
      <w:r>
        <w:t>.</w:t>
      </w:r>
    </w:p>
    <w:p w:rsidR="005728DD" w:rsidRDefault="005728DD" w:rsidP="005728DD">
      <w:pPr>
        <w:pStyle w:val="TextoNormal"/>
      </w:pPr>
    </w:p>
    <w:p w:rsidR="005728DD" w:rsidRDefault="005728DD" w:rsidP="005728DD">
      <w:pPr>
        <w:pStyle w:val="TextoNormal"/>
      </w:pPr>
      <w:r>
        <w:t>El tribunal ha establecido un criterio general sobre cuál es el alcance de la reserva de ley en materia sancionadora y, además, lo ha aplicado en un conjunto de supuestos llegando a distintos pronunciamientos, unos de constitucionalidad y otros de inconstitucionalidad. Procederemos a examinar por separado el criterio general fijado por la doctrina constitucional (a) y sus aplicaciones (b).</w:t>
      </w:r>
    </w:p>
    <w:p w:rsidR="005728DD" w:rsidRDefault="005728DD" w:rsidP="005728DD">
      <w:pPr>
        <w:pStyle w:val="TextoNormal"/>
      </w:pPr>
    </w:p>
    <w:p w:rsidR="005728DD" w:rsidRDefault="005728DD" w:rsidP="005728DD">
      <w:pPr>
        <w:pStyle w:val="TextoNormal"/>
      </w:pPr>
      <w:r>
        <w:t xml:space="preserve">a) Este tribunal ha entendido que la técnica de tipificación por remisión y en blanco de la ley a las normas reglamentarias, dejando a estas por entero la definición de las conductas susceptibles de sanción, no es acorde con la garantía formal del principio de legalidad sancionadora </w:t>
      </w:r>
      <w:r w:rsidRPr="005728DD">
        <w:rPr>
          <w:i/>
        </w:rPr>
        <w:t>ex</w:t>
      </w:r>
      <w:r>
        <w:t xml:space="preserve"> art. 25.1 CE (por todas, la STC 160/2019, de 12 de diciembre, FJ 4).</w:t>
      </w:r>
    </w:p>
    <w:p w:rsidR="005728DD" w:rsidRDefault="005728DD" w:rsidP="005728DD">
      <w:pPr>
        <w:pStyle w:val="TextoNormal"/>
      </w:pPr>
    </w:p>
    <w:p w:rsidR="005728DD" w:rsidRDefault="005728DD" w:rsidP="005728DD">
      <w:pPr>
        <w:pStyle w:val="TextoNormal"/>
      </w:pPr>
      <w:r>
        <w:t>No obstante, en la STC 3/1988, de 21 de enero, FJ 9, enjuiciando precisamente una norma sancionadora en materia de seguridad, afirmamos que “el alcance de esa reserva de ley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El mandato del art. 25.1 determina la necesaria cobertura de la potestad sancionadora de la administración en una norma de rango legal, pero no excluye que esa norma contenga remisiones a normas reglamentarias, siempre que en aquella queden suficientemente determinados los elementos esenciales de la conducta antijurídica (de tal manera que solo sean infracciones las acciones u omisiones subsumibles en la norma con rango de ley) y la naturaleza y límites de las sanciones a imponer. El art. 25.1 CE, pues, prohíbe la remisión al reglamento que ‘haga posible una regulación independiente y no claramente subordinada a la ley’ (STC 83/1984, de 24 de julio), pero no impide la colaboración reglamentaria en la normativa sancionadora”. Esta doctrina constitucional la hemos reiterado en términos idénticos o similares en las SSTC 101/1988, de 8 de junio, FJ 3; 113/2002, de 9 de mayo, FJ 3; 26/2005, de 14 de febrero, FJ 3; 229/2007, de 5 de noviembre, FJ 2; 104/2009, de 4 de mayo, FJ 3, y 145/2013, de 11 de julio, FJ 4.</w:t>
      </w:r>
    </w:p>
    <w:p w:rsidR="005728DD" w:rsidRDefault="005728DD" w:rsidP="005728DD">
      <w:pPr>
        <w:pStyle w:val="TextoNormal"/>
      </w:pPr>
    </w:p>
    <w:p w:rsidR="005728DD" w:rsidRDefault="005728DD" w:rsidP="005728DD">
      <w:pPr>
        <w:pStyle w:val="TextoNormal"/>
      </w:pPr>
      <w:r>
        <w:lastRenderedPageBreak/>
        <w:t>b) El tribunal ha tenido ocasión de aplicar esta doctrina sobre el alcance de la reserva de ley en materia sancionadora en varias ocasiones, y en algunas ha declarado la inconstitucionalidad del precepto impugnado mientras que en otras lo ha considerado plenamente constitucional.</w:t>
      </w:r>
    </w:p>
    <w:p w:rsidR="005728DD" w:rsidRDefault="005728DD" w:rsidP="005728DD">
      <w:pPr>
        <w:pStyle w:val="TextoNormal"/>
      </w:pPr>
    </w:p>
    <w:p w:rsidR="005728DD" w:rsidRDefault="005728DD" w:rsidP="005728DD">
      <w:pPr>
        <w:pStyle w:val="TextoNormal"/>
      </w:pPr>
      <w:r>
        <w:t>Entre las primeras, se inscriben las SSTC 341/1993, de 18 de noviembre; 162/2008, de 15 de diciembre, FJ 2; STC 81/2009, de 23 de marzo, FJ 5; 13/2013, de 28 de enero, FJ 4, y 160/2019, de 12 de diciembre, FJ 4).</w:t>
      </w:r>
    </w:p>
    <w:p w:rsidR="005728DD" w:rsidRDefault="005728DD" w:rsidP="005728DD">
      <w:pPr>
        <w:pStyle w:val="TextoNormal"/>
      </w:pPr>
    </w:p>
    <w:p w:rsidR="005728DD" w:rsidRDefault="005728DD" w:rsidP="005728DD">
      <w:pPr>
        <w:pStyle w:val="TextoNormal"/>
      </w:pPr>
      <w:r>
        <w:t xml:space="preserve">La STC 341/1993, de 18 de noviembre, declaró inconstitucional el precepto que calificaba de infracciones leves de la seguridad ciudadana “la transgresión de las obligaciones y prohibiciones establecidas ‘en las reglamentaciones específicas o en las normas de policía dictadas en ejecución de las mismas’”, al considerar que esta remisión habilitaba “al reglamento para la configuración </w:t>
      </w:r>
      <w:r w:rsidRPr="005728DD">
        <w:rPr>
          <w:i/>
        </w:rPr>
        <w:t>ex novo</w:t>
      </w:r>
      <w:r>
        <w:t xml:space="preserve"> de obligaciones o prohibiciones cuya contravención dé origen a una infracción sancionable”.</w:t>
      </w:r>
    </w:p>
    <w:p w:rsidR="005728DD" w:rsidRDefault="005728DD" w:rsidP="005728DD">
      <w:pPr>
        <w:pStyle w:val="TextoNormal"/>
      </w:pPr>
    </w:p>
    <w:p w:rsidR="005728DD" w:rsidRDefault="005728DD" w:rsidP="005728DD">
      <w:pPr>
        <w:pStyle w:val="TextoNormal"/>
      </w:pPr>
      <w:r>
        <w:t>A la misma conclusión llegó la STC 162/2008, de 15 de diciembre, que declaró inconstitucional y nulo art. 31.3 a) de la Ley 21/1992, de 16 de julio, de industria en el que se calificaba como infracciones leves “[e]l incumplimiento de cualquier otra prescripción reglamentaria no incluida en los apartados anteriores”. El tribunal consideró que el precepto sancionador era contrario al principio de legalidad en su vertiente formal porque, aunque tuviera rango de ley, “no conte[nía] los elementos esenciales de la conducta antijurídica” por lo que permitía “una regulación reglamentaria independiente, no sometida, siquiera en sus líneas fundamentales, a la voluntad de los representantes de los ciudadanos, en degradación de “la garantía esencial que el principio de reserva de ley entraña” (FJ 2).</w:t>
      </w:r>
    </w:p>
    <w:p w:rsidR="005728DD" w:rsidRDefault="005728DD" w:rsidP="005728DD">
      <w:pPr>
        <w:pStyle w:val="TextoNormal"/>
      </w:pPr>
    </w:p>
    <w:p w:rsidR="005728DD" w:rsidRDefault="005728DD" w:rsidP="005728DD">
      <w:pPr>
        <w:pStyle w:val="TextoNormal"/>
      </w:pPr>
      <w:r>
        <w:t>Por los mismos motivos la STC 81/2009 declaró inconstitucional y nulo el art. 69.3 C) de la Ley 10/1990, de 15 de octubre, del deporte. En este precepto se establecía que eran infracciones leves todas las acciones u omisiones que no hubieran sido tipificadas como infracciones graves o muy graves en esa ley y que fueran “contrarias a las normas y reglamentos aplicables a los espectáculos deportivos”. El Tribunal consideró que “ni la mera acotación de la materia a la que se refieren los reglamentos de remisión, que es la actividad de espectáculos deportivos, ni el hecho de que queden excluidas de tal regulación reglamentaria las infracciones que ya la ley califica como muy graves y graves […] supone una descripción legal mínima de las conductas sancionables”. También se sostiene que “[l]a sola delimitación material del objeto de la remisión y la lógica exclusión de las conductas ya catalogadas como infracciones en la ley no permite conocer a los destinatarios de la norma qué otros comportamientos pueden pasar a ser objeto de sanción a través de la regulación reglamentaria y de la integración que posibilita el art. 69.3 C) de la Ley 10/1990, de 15 de octubre, del deporte, lo que resulta frontalmente contrario a la reserva del ley del art. 25.1 CE”.</w:t>
      </w:r>
    </w:p>
    <w:p w:rsidR="005728DD" w:rsidRDefault="005728DD" w:rsidP="005728DD">
      <w:pPr>
        <w:pStyle w:val="TextoNormal"/>
      </w:pPr>
    </w:p>
    <w:p w:rsidR="005728DD" w:rsidRDefault="005728DD" w:rsidP="005728DD">
      <w:pPr>
        <w:pStyle w:val="TextoNormal"/>
      </w:pPr>
      <w:r>
        <w:t xml:space="preserve">De igual modo la STC 13/2013 declaró que vulneraba el art. 25.1 CE el apartado 7 del art. 16.2 b) de la Ley 20/1998, de 27 de noviembre, de ordenación y coordinación de los transportes urbanos de la Comunidad de Madrid. Este precepto tipificaba como infracción grave “el incumplimiento de las condiciones esenciales de la autorización o licencia, salvo que deba considerarse como infracción muy grave”. Estas condiciones esenciales se encontraban definidas en los seis primeros apartados del precepto, y en el número séptimo, que es </w:t>
      </w:r>
      <w:r>
        <w:lastRenderedPageBreak/>
        <w:t>el que fue declarado inconstitucional, establecía que tendrían también esta condición “cualesquiera otras que puedan establecerse reglamentariamente”. El Tribunal consideró que, aunque el concepto jurídico indeterminado “condiciones esenciales de la autorización o licencia” era un parámetro legal que en alguna medida orientaba al reglamento, en ausencia de más determinaciones legales, constituía “una laxa e insuficiente guía normativa desde la perspectiva del principio de legalidad sancionadora”.</w:t>
      </w:r>
    </w:p>
    <w:p w:rsidR="005728DD" w:rsidRDefault="005728DD" w:rsidP="005728DD">
      <w:pPr>
        <w:pStyle w:val="TextoNormal"/>
      </w:pPr>
    </w:p>
    <w:p w:rsidR="005728DD" w:rsidRDefault="005728DD" w:rsidP="005728DD">
      <w:pPr>
        <w:pStyle w:val="TextoNormal"/>
      </w:pPr>
      <w:r>
        <w:t>Y a misma conclusión llegó la STC 160/2019, FJ 4, que apreció que el precepto que tipificaba como infracción leve los incumplimientos de la “normativa de la Comunidad de Madrid en materia de espectáculos públicos y actividades recreativas, cuando no proceda su calificación como infracción grave o muy grave”, además de vulnerar la vertiente material del art. 25.1 CE, tal y como se ha señalado, vulneraba también su vertiente formal al considerar que “[e]sta previsión, en la medida en que para definir las infracciones que sanciona como leves incluye una remisión a las prescripciones reglamentarias, constituye una de las prácticas legislativas vedadas por el art. 25.1 CE”. Según se afirma en esta sentencia “[a]unque el precepto sancionatorio ostente rango de ley, no contiene ninguno de los elementos esenciales de la conducta antijurídica, permitiendo con su sola remisión al resto de normativa autonómica en la materia una regulación reglamentaria independiente, no sometida, siquiera en sus líneas fundamentales, a la voluntad de los representantes de los ciudadanos”. Se sostiene también que esta conclusión no resulta desautorizada, “ni por la existencia de una genérica delimitación subjetiva de los operadores jurídicos a los que se dirige en general esta normativa contenida en el articulado de la Ley 17/1997, ni por la mera acotación del ámbito objetivo al que se refiere la normativa de la remisión, que es la actividad en materia de espectáculos públicos y actividades recreativas —por lo demás de gran extensión, diversidad y complejidad—, ni por el hecho de que queden excluidas las infracciones que la propia ley califica como muy graves y graves. Ninguno de estos aspectos, ni la conjunción de todos ellos, supone una descripción legal mínima de las conductas sancionables que permita tener por establecido el límite suficiente que el art. 25.1 CE exige para la intervención de la administración en la tipificación sancionadora. La sola delimitación subjetiva y material y la lógica exclusión de las conductas ya catalogadas como infracciones no permite conocer a los destinatarios de la norma qué otros comportamientos pueden pasar a ser objeto de sanción a través de la regulación reglamentaria y de la integración que posibilita el art. 39.4 de la Ley 17/1997”.</w:t>
      </w:r>
    </w:p>
    <w:p w:rsidR="005728DD" w:rsidRDefault="005728DD" w:rsidP="005728DD">
      <w:pPr>
        <w:pStyle w:val="TextoNormal"/>
      </w:pPr>
    </w:p>
    <w:p w:rsidR="005728DD" w:rsidRDefault="005728DD" w:rsidP="005728DD">
      <w:pPr>
        <w:pStyle w:val="TextoNormal"/>
      </w:pPr>
      <w:r>
        <w:t xml:space="preserve">En el segundo grupo de sentencias se cuentan, aparte de la ya citada STC 3/1988, de 21 de enero, las SSTC 104/2009, de 4 de mayo, FJ 3, y 145/2013, de 11 de julio, FJ 4. Estas sentencias, por entender que no se vulneraba la vertiente formal del principio de legalidad sancionadora </w:t>
      </w:r>
      <w:r w:rsidRPr="005728DD">
        <w:rPr>
          <w:i/>
        </w:rPr>
        <w:t>ex</w:t>
      </w:r>
      <w:r>
        <w:t xml:space="preserve"> art. 25.1 CE, desestimaron sendas cuestiones de inconstitucionalidad contra el art. 9 del Real Decreto-ley 3/1979, de 26 de enero, sobre protección de la seguridad ciudadana; el art. 91 b) 1 de la Ley 25/1964, de 29 de abril, sobre energía nuclear, y los apartados 2 y 10 del art. 16 del Real Decreto Legislativo 4/2004, de 5 de marzo, por el que se aprueba el texto refundido de la Ley del impuesto sobre sociedades. Los motivos de la desestimación en estos casos fueron que el precepto legal cuestionado acotaba de un modo muy preciso el ámbito de actividad dentro del que se tenía que producir la conducta infractora y que ese sector material estaba afectado por las notas de diversidad y complejidad que convertían en insuprimible la colaboración reglamentaria.</w:t>
      </w:r>
    </w:p>
    <w:p w:rsidR="005728DD" w:rsidRDefault="005728DD" w:rsidP="005728DD">
      <w:pPr>
        <w:pStyle w:val="TextoNormal"/>
      </w:pPr>
    </w:p>
    <w:p w:rsidR="005728DD" w:rsidRDefault="005728DD" w:rsidP="005728DD">
      <w:pPr>
        <w:pStyle w:val="TextoNormal"/>
      </w:pPr>
      <w:r>
        <w:lastRenderedPageBreak/>
        <w:t>No se trata de una doctrina constitucional vacilante sino de un entendimiento constante del alcance de la reserva de ley en materia sancionadora impuesta por el art. 25.1 CE cuya aplicación arroja uno u otro resultado, según las circunstancias de la norma legal que en cada uno de los procesos constitucionales referidos era objeto de consideración. En consecuencia, procede determinar cuáles son los elementos relevantes del art. 36.22 LOPSC y, a partir de ellos, decidir si en él “qued[an] suficientemente determinados los elementos esenciales de la conducta antijurídica” o, por el contrario, la remisión al reglamento que contiene “ha[ce] posible una regulación independiente y no claramente subordinada a la ley”.</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w:t>
      </w:r>
      <w:r w:rsidRPr="005728DD">
        <w:rPr>
          <w:i/>
        </w:rPr>
        <w:t>La interpretación conforme a la Constitución del art. 36.22 LOPSC</w:t>
      </w:r>
      <w:r>
        <w:t>.</w:t>
      </w:r>
    </w:p>
    <w:p w:rsidR="005728DD" w:rsidRDefault="005728DD" w:rsidP="005728DD">
      <w:pPr>
        <w:pStyle w:val="TextoNormal"/>
      </w:pPr>
    </w:p>
    <w:p w:rsidR="005728DD" w:rsidRDefault="005728DD" w:rsidP="005728DD">
      <w:pPr>
        <w:pStyle w:val="TextoNormal"/>
      </w:pPr>
      <w:r>
        <w:t>El art. 36.22 LOPSC, por ser un precepto escueto que se integra en el sistema normativo de la seguridad ciudadana y que remite a otros conjuntos normativos, es una norma legal a la que cabría atribuir contenidos prescriptivos diversos. El tribunal entiende, por las razones que a continuación se indican, que el art. 36.22 LOPSC únicamente es conforme con las exigencias de legalidad formal derivadas del art. 25.1 CE siempre que se ajuste a la siguiente interpretación conforme que se llevará al fallo.</w:t>
      </w:r>
    </w:p>
    <w:p w:rsidR="005728DD" w:rsidRDefault="005728DD" w:rsidP="005728DD">
      <w:pPr>
        <w:pStyle w:val="TextoNormal"/>
      </w:pPr>
    </w:p>
    <w:p w:rsidR="005728DD" w:rsidRDefault="005728DD" w:rsidP="005728DD">
      <w:pPr>
        <w:pStyle w:val="TextoNormal"/>
      </w:pPr>
      <w:r>
        <w:t>Del contenido del art. 36.22 LOPSC y de su ubicación dentro de la LOPSC se desprende que la conducta infractora aparece definida por tres elementos, que se procede a exponer en los epígrafes a), b) y c) y que conducen a considerar en el epígrafe d) que el art. 36.22 LOPSC, así interpretado, no vulnera la vertiente formal de la legalidad sancionadora.</w:t>
      </w:r>
    </w:p>
    <w:p w:rsidR="005728DD" w:rsidRDefault="005728DD" w:rsidP="005728DD">
      <w:pPr>
        <w:pStyle w:val="TextoNormal"/>
      </w:pPr>
    </w:p>
    <w:p w:rsidR="005728DD" w:rsidRDefault="005728DD" w:rsidP="005728DD">
      <w:pPr>
        <w:pStyle w:val="TextoNormal"/>
      </w:pPr>
      <w:r>
        <w:t>a) El art. 36.22 LOPSC establece que el ámbito de actividad en que la conducta infractora debe producirse es el de las embarcaciones de alta velocidad y aeronaves ligeras.</w:t>
      </w:r>
    </w:p>
    <w:p w:rsidR="005728DD" w:rsidRDefault="005728DD" w:rsidP="005728DD">
      <w:pPr>
        <w:pStyle w:val="TextoNormal"/>
      </w:pPr>
    </w:p>
    <w:p w:rsidR="005728DD" w:rsidRDefault="005728DD" w:rsidP="005728DD">
      <w:pPr>
        <w:pStyle w:val="TextoNormal"/>
      </w:pPr>
      <w:r>
        <w:t xml:space="preserve">La mayor o menor amplitud con que la norma punitiva delimita el sector material en que debe producirse la conducta infractora ha sido decisiva en nuestras resoluciones anteriores. Hemos considerado que no contradice la garantía formal </w:t>
      </w:r>
      <w:r w:rsidRPr="005728DD">
        <w:rPr>
          <w:i/>
        </w:rPr>
        <w:t>ex</w:t>
      </w:r>
      <w:r>
        <w:t xml:space="preserve"> art. 25.1 CE, dado que acotaba suficientemente ese ámbito y condicionaba en consecuencia el desarrollo reglamentario, la ley sancionadora que se refiere a “la actividad desarrollada en las instalaciones nucleares y radioactivas” (STC 104/2009, 4 de mayo, FJ 5) o la que alude “no a cualesquiera conductas en materia tributaria, sino a las específicamente relacionadas con las denominadas ‘operaciones vinculadas’” (STC 145/2013, de 11 de julio, FJ 6). Entendimos lo contrario y declaramos su inconstitucionalidad por vulnerar el art. 25.1 CE cuando la ley sancionadora remitía a la normativa que se dictase en materia de “espectáculos deportivos” (STC 81/2009, de 23 de febrero, FJ 5) o de “espectáculos públicos y actividades recreativas” (STC 160/2019, de 12 de diciembre, FJ 3).</w:t>
      </w:r>
    </w:p>
    <w:p w:rsidR="005728DD" w:rsidRDefault="005728DD" w:rsidP="005728DD">
      <w:pPr>
        <w:pStyle w:val="TextoNormal"/>
      </w:pPr>
    </w:p>
    <w:p w:rsidR="005728DD" w:rsidRDefault="005728DD" w:rsidP="005728DD">
      <w:pPr>
        <w:pStyle w:val="TextoNormal"/>
      </w:pPr>
      <w:r>
        <w:t>El tribunal aprecia que el art. 36.22 LOPSC prevé que solo serán sancionables conforme a él conductas que se realicen dentro de un ámbito muy acotado de actividad, pues no se refiere a la utilización de cualesquiera embarcaciones o aeronaves sino únicamente al uso de embarcaciones de alta velocidad y aeronaves ligeras, que es un subsector muy específico sometido a una regulación que se distingue por su carácter técnico y detallado. Así entendido, el art. 36.22 LOPSC condiciona desde un primer punto de vista el desarrollo reglamentario, impidiendo que su regulación sea enteramente independiente de la ley.</w:t>
      </w:r>
    </w:p>
    <w:p w:rsidR="005728DD" w:rsidRDefault="005728DD" w:rsidP="005728DD">
      <w:pPr>
        <w:pStyle w:val="TextoNormal"/>
      </w:pPr>
    </w:p>
    <w:p w:rsidR="005728DD" w:rsidRDefault="005728DD" w:rsidP="005728DD">
      <w:pPr>
        <w:pStyle w:val="TextoNormal"/>
      </w:pPr>
      <w:r>
        <w:lastRenderedPageBreak/>
        <w:t>b) El art. 36.22 LOPSC prevé, en segundo término, que la conducta infractora consistirá en incumplir las restricciones a la navegación en cualquiera de esos dos ámbitos.</w:t>
      </w:r>
    </w:p>
    <w:p w:rsidR="005728DD" w:rsidRDefault="005728DD" w:rsidP="005728DD">
      <w:pPr>
        <w:pStyle w:val="TextoNormal"/>
      </w:pPr>
    </w:p>
    <w:p w:rsidR="005728DD" w:rsidRDefault="005728DD" w:rsidP="005728DD">
      <w:pPr>
        <w:pStyle w:val="TextoNormal"/>
      </w:pPr>
      <w:r>
        <w:t>El régimen jurídico del uso de embarcaciones de alta velocidad y de aeronaves ligeras comprende muchos aspectos, incluyendo entre otros su identificación y la de sus operadores, la formación obligatoria que estos deben acreditar, las condiciones en que es necesario obtener una licencia, los casos en que es obligatorio comunicar a la autoridad competente los sucesos acaecidos y, por supuesto, las restricciones a la navegación. El art. 36.22 LOPSC, marcando la diferencia con el resto de materias, dispone que la actuación sancionable conforme a este tipo infractor es “incumplir las restricciones a la navegación” y no cualesquiera otras normas obligatorias de esos regímenes jurídicos.</w:t>
      </w:r>
    </w:p>
    <w:p w:rsidR="005728DD" w:rsidRDefault="005728DD" w:rsidP="005728DD">
      <w:pPr>
        <w:pStyle w:val="TextoNormal"/>
      </w:pPr>
    </w:p>
    <w:p w:rsidR="005728DD" w:rsidRDefault="005728DD" w:rsidP="005728DD">
      <w:pPr>
        <w:pStyle w:val="TextoNormal"/>
      </w:pPr>
      <w:r>
        <w:t>Entre las restricciones a la navegación de embarcaciones de alta velocidad y aeronaves ligeras las hay que se establecen con la finalidad de coordinar la consecución de los intereses implicados en dichas modalidades de navegación y evitar su interferencia recíproca, en cuyo caso son manifestación de un tipo de policía administrativa especial. Junto a estas, cabe apreciar otras restricciones a la navegación de estos modos de transporte que se prevén específicamente con fines de seguridad pública. Con estas últimas, que son las que merecen atención prioritaria en este proceso constitucional, se persigue asegurar, no la gestión ordenada de la navegación, sino la protección de los aspectos de la seguridad ciudadana afectados por esa navegación. Estas últimas restricciones a la navegación constituyen, a diferencia de las otras, una expresión de la policía administrativa de seguridad.</w:t>
      </w:r>
    </w:p>
    <w:p w:rsidR="005728DD" w:rsidRDefault="005728DD" w:rsidP="005728DD">
      <w:pPr>
        <w:pStyle w:val="TextoNormal"/>
      </w:pPr>
    </w:p>
    <w:p w:rsidR="005728DD" w:rsidRDefault="005728DD" w:rsidP="005728DD">
      <w:pPr>
        <w:pStyle w:val="TextoNormal"/>
      </w:pPr>
      <w:r>
        <w:t>Este tribunal aprecia que el precepto impugnado, al integrarse dentro de la ley orgánica que regula el régimen jurídico de la seguridad ciudadana, debe entenderse en el sentido de que únicamente tipifica como infracción grave el incumplimiento de las restricciones a la navegación de embarcaciones de alta velocidad y aeronaves ligeras que se impongan por razones de seguridad pública.</w:t>
      </w:r>
    </w:p>
    <w:p w:rsidR="005728DD" w:rsidRDefault="005728DD" w:rsidP="005728DD">
      <w:pPr>
        <w:pStyle w:val="TextoNormal"/>
      </w:pPr>
    </w:p>
    <w:p w:rsidR="005728DD" w:rsidRDefault="005728DD" w:rsidP="005728DD">
      <w:pPr>
        <w:pStyle w:val="TextoNormal"/>
      </w:pPr>
      <w:r>
        <w:t>Los motivos que pueden justificar el establecimiento de estas restricciones a la navegación en pro de tutelar la seguridad pública pueden ser de muy diverso contenido y significación. Solo por mencionar algunos, cabe prohibir o restringir la navegación de embarcaciones de alta velocidad y aeronaves ligeras por el riesgo que causen para infraestructuras estratégicas o relacionadas con la seguridad nacional, por el peligro de colisión con otros medios de transporte que operen en el ámbito de puertos o aeropuertos, por la cercanía a aglomeraciones de edificios o reuniones de personas, etc. Además, cabe instrumentar la realización de tales fines de protección de formas muy variadas, recurriendo al establecimiento de espacios reservados o zonas excluidas de distinta naturaleza y extensión, que pueden configurarse como permanentes o temporales, como prohibiciones absolutas o removibles en virtud de una autorización específica. Esta variedad de fines de protección y de mecanismos y técnicas a través de los que se instrumenta se constata, respectivamente, en el Real Decreto 1119/1989, de 15 de septiembre, por el que se regula el tráfico de embarcaciones especiales de alta velocidad en las aguas marítimas españolas, y en el Real Decreto 1036/2017, de 15 de diciembre, por el que se regula la utilización civil de las aeronaves pilotadas por control remoto.</w:t>
      </w:r>
    </w:p>
    <w:p w:rsidR="005728DD" w:rsidRDefault="005728DD" w:rsidP="005728DD">
      <w:pPr>
        <w:pStyle w:val="TextoNormal"/>
      </w:pPr>
    </w:p>
    <w:p w:rsidR="005728DD" w:rsidRDefault="005728DD" w:rsidP="005728DD">
      <w:pPr>
        <w:pStyle w:val="TextoNormal"/>
      </w:pPr>
      <w:r>
        <w:t xml:space="preserve">En conclusión, las restricciones a la navegación de embarcaciones de alta velocidad y aeronaves ligeras orientadas al logro de fines de seguridad pública es una materia que se </w:t>
      </w:r>
      <w:r>
        <w:lastRenderedPageBreak/>
        <w:t xml:space="preserve">distingue por su “complejidad y diversidad”, notas que hemos considerado relevantes (STC 104/2009, FJ 5) para declarar que no vulnera el principio de legalidad </w:t>
      </w:r>
      <w:r w:rsidRPr="005728DD">
        <w:rPr>
          <w:i/>
        </w:rPr>
        <w:t>ex</w:t>
      </w:r>
      <w:r>
        <w:t xml:space="preserve"> art. 25.1 CE en su vertiente formal una norma sancionadora que recurra a una remisión al reglamento para integrar algunos aspectos complementarios de la conducta infractora. El Tribunal entiende, y esta interpretación se llevará al fallo, que el art. 36.22 LOPSC tipifica como infracción grave el incumplimiento de las restricciones a la navegación que se impongan por razones de seguridad pública, lo que constituye la esencia de la conducta jurídica punible, reenviando a los reglamentos de desarrollo la precisión de las modalidades, extensión y otras condiciones relevantes de dichas restricciones a la navegación.</w:t>
      </w:r>
    </w:p>
    <w:p w:rsidR="005728DD" w:rsidRDefault="005728DD" w:rsidP="005728DD">
      <w:pPr>
        <w:pStyle w:val="TextoNormal"/>
      </w:pPr>
    </w:p>
    <w:p w:rsidR="005728DD" w:rsidRDefault="005728DD" w:rsidP="005728DD">
      <w:pPr>
        <w:pStyle w:val="TextoNormal"/>
      </w:pPr>
      <w:r>
        <w:t>c) De la inclusión del art. 36.22 en la LOPSC deriva, como tercero de los elemento del tipo infractor que este precepto determina, que solo será sancionable el incumplimiento que lleve aparejado como resultado una afectación de la seguridad ciudadana.</w:t>
      </w:r>
    </w:p>
    <w:p w:rsidR="005728DD" w:rsidRDefault="005728DD" w:rsidP="005728DD">
      <w:pPr>
        <w:pStyle w:val="TextoNormal"/>
      </w:pPr>
    </w:p>
    <w:p w:rsidR="005728DD" w:rsidRDefault="005728DD" w:rsidP="005728DD">
      <w:pPr>
        <w:pStyle w:val="TextoNormal"/>
      </w:pPr>
      <w:r>
        <w:t>Las restricciones a la navegación establecidas para asegurar la coexistencia eficaz de los intereses implicados en estos dos subsectores de actividad podrán ir acompañadas, en su normativa específica, de la previsión de infracciones y sanciones para el caso de incumplimiento. Este conjunto de infracciones se entenderán realizadas simplemente por incumplir dichas restricciones, pues el fin al que sirve ese régimen sancionador es sustentar la gestión ordenada de la navegación en esos ámbitos. Distinto es el régimen sancionador previsto en el art. 36.22 LOPSC. En él lo que se persigue es evitar que las actuaciones que se desplieguen en dichos subsectores de actividad afecten negativamente a la salvaguarda de la seguridad ciudadana, de modo que debe entenderse que el tipo infractor previsto en el art. 36.22 LOPSC incorpora como uno de sus elementos integrantes la producción de un resultado dañino para la seguridad ciudadana.</w:t>
      </w:r>
    </w:p>
    <w:p w:rsidR="005728DD" w:rsidRDefault="005728DD" w:rsidP="005728DD">
      <w:pPr>
        <w:pStyle w:val="TextoNormal"/>
      </w:pPr>
    </w:p>
    <w:p w:rsidR="005728DD" w:rsidRDefault="005728DD" w:rsidP="005728DD">
      <w:pPr>
        <w:pStyle w:val="TextoNormal"/>
      </w:pPr>
      <w:r>
        <w:t>Por esta razón, para que se pueda tener por realizada la conducta infractora prevista en el art. 36.22 LOPSC no basta con que tenga lugar el incumplimiento de alguna de las restricciones a la navegación impuestas en aras de garantizar la seguridad pública. Se necesita, además, que ese incumplimiento genere un resultado de perjuicio para la seguridad ciudadana. Lleva razón, por tanto, el abogado del Estado cuando afirma en sus alegaciones que “en lo que incide el tipo del art. 36.22 no es, como elemento directamente central, en la infracción de reglamentos sino que de modo directo es a la actividad externa peligrosa en sí a la que apunta el tipo”.</w:t>
      </w:r>
    </w:p>
    <w:p w:rsidR="005728DD" w:rsidRDefault="005728DD" w:rsidP="005728DD">
      <w:pPr>
        <w:pStyle w:val="TextoNormal"/>
      </w:pPr>
    </w:p>
    <w:p w:rsidR="005728DD" w:rsidRDefault="005728DD" w:rsidP="005728DD">
      <w:pPr>
        <w:pStyle w:val="TextoNormal"/>
      </w:pPr>
      <w:r>
        <w:t>Este resultado de afectación de la seguridad ciudadana que incorpora el art. 36.22 LOPSC debe integrarse con los principios que constituyen el eje de la nueva regulación de la seguridad ciudadana aprobada por la Ley Orgánica 4/2015. Entre ellos destaca, como ya declaramos en la STC 172/2020, FJ 7 C), que el art. 4.3 LOPSC prevé que la actividad de intervención y con más razón la de carácter sancionador solo “se justifica por la existencia de una amenaza concreta o de un comportamiento objetivamente peligroso que, razonablemente, sea susceptible de provocar un perjuicio real para la seguridad ciudadana”. El tribunal aprecia, en consecuencia, que el art. 36.22 LOPSC tipifica como infracción grave aquellas conductas que, además de suponer un incumplimiento de restricciones a la navegación previstas en garantía de la seguridad pública, produzcan un resultado que conlleve un perjuicio real para la seguridad ciudadana o que suponga una amenaza concreta de la que razonablemente se pueda seguir aquel perjuicio.</w:t>
      </w:r>
    </w:p>
    <w:p w:rsidR="005728DD" w:rsidRDefault="005728DD" w:rsidP="005728DD">
      <w:pPr>
        <w:pStyle w:val="TextoNormal"/>
      </w:pPr>
    </w:p>
    <w:p w:rsidR="005728DD" w:rsidRDefault="005728DD" w:rsidP="005728DD">
      <w:pPr>
        <w:pStyle w:val="TextoNormal"/>
      </w:pPr>
      <w:r>
        <w:lastRenderedPageBreak/>
        <w:t>d) Las consideraciones hechas en los epígrafes a) a c) inmediatamente anteriores, permiten concluir que el art. 36.22 LOPSC no solo acota de modo muy preciso el ámbito de actividad en que la conducta infractora debe producirse, sino que además define los elementos esenciales de la conducta infractora, que consistiría en (i) el incumplimiento de las restricciones a la navegación en esos sectores impuestas por motivos de seguridad ciudadana (ii) que produjese como resultado un perjuicio real para la seguridad ciudadana o una amenaza concreta de la que razonablemente se pueda seguir aquel perjuicio. Con ello enuncia el bien jurídico protegido y describe suficientemente en qué consiste la conducta punible. El razonamiento precedente, teniendo en cuenta la reiterada doctrina constitucional reseñada y en especial las SSTC 3/1988, 104/2009 y 145/2013, nos lleva a considerar que el art. 36.22 LOPSC así interpretado contiene, bien expresamente o por su ubicación sistemática dentro de la Ley Orgánica de protección de la seguridad ciudadana, el núcleo de lo prohibido por la infracción que regula, por lo que procede descartar que desconozca la garantía formal del principio de legalidad sancionadora y, en consecuencia, procede desestimar esta impugnación. Esta interpretación conforme se llevará al fallo.</w:t>
      </w:r>
    </w:p>
    <w:p w:rsidR="005728DD" w:rsidRDefault="005728DD" w:rsidP="005728DD">
      <w:pPr>
        <w:pStyle w:val="TextoNormal"/>
      </w:pPr>
    </w:p>
    <w:p w:rsidR="005728DD" w:rsidRDefault="005728DD" w:rsidP="005728DD">
      <w:pPr>
        <w:pStyle w:val="TextoNormal"/>
      </w:pPr>
      <w:r>
        <w:t>A esta conclusión no obsta la doctrina constitucional fijada en las SSTC 341/1993, 162/2008, 81/2009; 13/2013 y 160/2019, en las que se declararon inconstitucionales sendos preceptos legales que remitían la definición de la conducta infractora a normas reglamentarias, pues las normas legales allí consideradas son sustancialmente distintas a la que es objeto de este proceso constitucional. Las normas legales enjuiciadas y declaradas inconstitucionales en las SSTC 162/2008, 81/2009, 13/2013 y 160/2019 se limitaban a tipificar como infracción el incumplimiento de las obligaciones fijadas reglamentariamente. El precepto legal que se examina en este proceso exige, además, que ese incumplimiento de las obligaciones fijadas reglamentariamente genere una perturbación o una amenaza concreta de perturbación de la seguridad ciudadana, con lo que, a diferencia de aquellas, define suficientemente el núcleo de lo prohibido.</w:t>
      </w:r>
    </w:p>
    <w:p w:rsidR="005728DD" w:rsidRDefault="005728DD" w:rsidP="005728DD">
      <w:pPr>
        <w:pStyle w:val="TextoNormal"/>
      </w:pPr>
    </w:p>
    <w:p w:rsidR="005728DD" w:rsidRDefault="005728DD" w:rsidP="005728DD">
      <w:pPr>
        <w:pStyle w:val="TextoNormal"/>
      </w:pPr>
      <w:r>
        <w:t>Es distinto el caso de la STC 341/1993, pues en ella se declaró inconstitucional un precepto sancionador de la Ley Orgánica 1/1992, de protección de la seguridad ciudadana (la transgresión de las obligaciones y prohibiciones establecidas “en las reglamentaciones específicas o en las normas de policía dictadas en ejecución de las mismas”). La diferencia aquí radica en que, mientras el precepto de la Ley Orgánica 1/1992 remitía de un modo absolutamente abierto a cualesquiera reglamentaciones específicas, el art. 36.22 LOPSC delimita con mucha precisión el ámbito a que se refieren las normas reglamentarias remitidas.</w:t>
      </w:r>
    </w:p>
    <w:p w:rsidR="005728DD" w:rsidRDefault="005728DD" w:rsidP="005728DD">
      <w:pPr>
        <w:pStyle w:val="TextoNormal"/>
      </w:pPr>
    </w:p>
    <w:p w:rsidR="005728DD" w:rsidRDefault="005728DD" w:rsidP="005728DD">
      <w:pPr>
        <w:pStyle w:val="TextoNormal"/>
      </w:pPr>
      <w:r w:rsidRPr="005728DD">
        <w:rPr>
          <w:rStyle w:val="NumeroAFNegritaCaracter"/>
        </w:rPr>
        <w:t>11</w:t>
      </w:r>
      <w:r>
        <w:t>. Este tribunal, debido a los argumentos expuestos en los fundamentos jurídicos precedentes, acuerda que el recurso ha perdido objeto en cuanto a la impugnación del inciso “no autorizado” del art. 36.23 LOPSC, que el resto del art. 36.23 y el párrafo segundo del art. 37.7 LOPSC no son inconstitucionales siempre que se interpreten en los términos indicados en el fundamento jurídico 2 de esta sentencia y, en fin, que procede desestimar el recurso en todo lo demás.</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Desestimar la pretensión de inadmisión de la impugnación dirigida contra la disposición final primera de la Ley Orgánica 4/2015, de 30 de marzo, de protección de la seguridad ciudadana.</w:t>
      </w:r>
    </w:p>
    <w:p w:rsidR="005728DD" w:rsidRDefault="005728DD" w:rsidP="005728DD">
      <w:pPr>
        <w:pStyle w:val="TextoNormal"/>
      </w:pPr>
    </w:p>
    <w:p w:rsidR="005728DD" w:rsidRDefault="005728DD" w:rsidP="005728DD">
      <w:pPr>
        <w:pStyle w:val="TextoNormal"/>
      </w:pPr>
      <w:r>
        <w:t>2º Declarar la pérdida de objeto del presente recurso de inconstitucionalidad en lo que hace a la impugnación del inciso “no autorizado” del art. 36.23 LOPSC.</w:t>
      </w:r>
    </w:p>
    <w:p w:rsidR="005728DD" w:rsidRDefault="005728DD" w:rsidP="005728DD">
      <w:pPr>
        <w:pStyle w:val="TextoNormal"/>
      </w:pPr>
    </w:p>
    <w:p w:rsidR="005728DD" w:rsidRDefault="005728DD" w:rsidP="005728DD">
      <w:pPr>
        <w:pStyle w:val="TextoNormal"/>
      </w:pPr>
      <w:r>
        <w:t>3º Declarar que los arts. 36.23 y 37.7 LOPSC no son inconstitucionales siempre que se interpreten en el sentido establecido en el fundamento jurídico 2 c) el art. 36.23 y en el fundamento jurídico 2 d) el art. 37.7.</w:t>
      </w:r>
    </w:p>
    <w:p w:rsidR="005728DD" w:rsidRDefault="005728DD" w:rsidP="005728DD">
      <w:pPr>
        <w:pStyle w:val="TextoNormal"/>
      </w:pPr>
    </w:p>
    <w:p w:rsidR="005728DD" w:rsidRDefault="005728DD" w:rsidP="005728DD">
      <w:pPr>
        <w:pStyle w:val="TextoNormal"/>
      </w:pPr>
      <w:r>
        <w:t>4º Declarar que la disposición final primera por la que se introduce la disposición adicional décima en la Ley Orgánica 4/2000, de 11 de enero, sobre derechos y libertades de los extranjeros en España y su integración social, es conforme a la Constitución, siempre que se interprete tal y como se ha indicado en el fundamento jurídico 2 e).</w:t>
      </w:r>
    </w:p>
    <w:p w:rsidR="005728DD" w:rsidRDefault="005728DD" w:rsidP="005728DD">
      <w:pPr>
        <w:pStyle w:val="TextoNormal"/>
      </w:pPr>
    </w:p>
    <w:p w:rsidR="005728DD" w:rsidRDefault="005728DD" w:rsidP="005728DD">
      <w:pPr>
        <w:pStyle w:val="TextoNormal"/>
      </w:pPr>
      <w:r>
        <w:t>5º Declarar que el art. 36.22 LOPSC no es inconstitucional siempre que se interprete que la conducta que tipifica consiste en (i) el incumplimiento de las restricciones a la navegación en esos sectores impuestas por motivos de seguridad ciudadana (ii) que produjese como resultado un perjuicio real para la seguridad ciudadana o una amenaza concreta de la que razonablemente se pueda seguir aquel perjuicio.</w:t>
      </w:r>
    </w:p>
    <w:p w:rsidR="005728DD" w:rsidRDefault="005728DD" w:rsidP="005728DD">
      <w:pPr>
        <w:pStyle w:val="TextoNormal"/>
      </w:pPr>
    </w:p>
    <w:p w:rsidR="005728DD" w:rsidRDefault="005728DD" w:rsidP="005728DD">
      <w:pPr>
        <w:pStyle w:val="TextoNormal"/>
      </w:pPr>
      <w:r>
        <w:t>6º Desestimar el recurso de inconstitucionalidad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veintiocho de enero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Cándido Conde-Pumpido Tourón respecto de la sentencia dictada en el recurso de inconstitucionalidad núm. 3848-2015</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inconstitucionalidad núm. 3848-2015. Las razones son las mismas que tuve ocasión de sostener en el pleno en el que se deliberó el presente asunto, así como en el pleno en el que se deliberó el recurso de inconstitucionalidad núm. 2896-2015 y que desembocó en la aprobación de la STC 172/2020, de 19 de noviembre.</w:t>
      </w:r>
    </w:p>
    <w:p w:rsidR="005728DD" w:rsidRDefault="005728DD" w:rsidP="005728DD">
      <w:pPr>
        <w:pStyle w:val="TextoNormal"/>
      </w:pPr>
    </w:p>
    <w:p w:rsidR="005728DD" w:rsidRDefault="005728DD" w:rsidP="005728DD">
      <w:pPr>
        <w:pStyle w:val="TextoNormal"/>
      </w:pPr>
      <w:r>
        <w:lastRenderedPageBreak/>
        <w:t>En efecto, por coherencia con lo manifestado en la deliberación de la ponencia presentada en su día por el magistrado don Fernando Valdés Dal-Ré en el recurso de inconstitucionalidad núm. 2896-2015, exteriorizo mi discrepancia con lo finalmente aprobado y reitero mi coincidencia con la orientación del texto inicial que fue presentado entonces.</w:t>
      </w:r>
    </w:p>
    <w:p w:rsidR="005728DD" w:rsidRDefault="005728DD" w:rsidP="005728DD">
      <w:pPr>
        <w:pStyle w:val="TextoNormal"/>
      </w:pPr>
    </w:p>
    <w:p w:rsidR="005728DD" w:rsidRDefault="005728DD" w:rsidP="005728DD">
      <w:pPr>
        <w:pStyle w:val="TextoNormal"/>
      </w:pPr>
      <w:r>
        <w:t>Las consideraciones generales en relación con la seguridad ciudadana y su regulación constitucional que se realizan en el apartado 1 del voto particular formulado por la magistrada doña María Luisa Balaguer Callejón en el asunto núm. 2896-2015 coinciden en lo sustancial con los motivos de mi discrepancia con lo finalmente resuelto por lo que a las mismas me remito.</w:t>
      </w:r>
    </w:p>
    <w:p w:rsidR="005728DD" w:rsidRDefault="005728DD" w:rsidP="005728DD">
      <w:pPr>
        <w:pStyle w:val="TextoNormal"/>
      </w:pPr>
    </w:p>
    <w:p w:rsidR="005728DD" w:rsidRDefault="005728DD" w:rsidP="005728DD">
      <w:pPr>
        <w:pStyle w:val="TextoNormal"/>
      </w:pPr>
      <w:r>
        <w:t>Asimismo y en relación con la impugnación del régimen especial para Ceuta y Melilla de rechazo en frontera de los extranjeros que intenten entrar ilegalmente debo simplemente señalar que considero que este tribunal debería haber fijado con más claridad que la constitucionalidad del denominado rechazo en frontera debe tener como presupuesto la existencia de un acceso genuino y efectivo a los medios de entrada legal.</w:t>
      </w:r>
    </w:p>
    <w:p w:rsidR="005728DD" w:rsidRDefault="005728DD" w:rsidP="005728DD">
      <w:pPr>
        <w:pStyle w:val="TextoNormal"/>
      </w:pPr>
    </w:p>
    <w:p w:rsidR="005728DD" w:rsidRDefault="005728DD" w:rsidP="005728DD">
      <w:pPr>
        <w:pStyle w:val="TextoNormal"/>
      </w:pPr>
      <w:r>
        <w:t>Madrid, a veintiocho de enero de dos mil veintiuno.</w:t>
      </w:r>
    </w:p>
    <w:p w:rsidR="005728DD" w:rsidRDefault="005728DD" w:rsidP="005728DD">
      <w:pPr>
        <w:pStyle w:val="TextoNormal"/>
      </w:pPr>
    </w:p>
    <w:p w:rsidR="005728DD" w:rsidRDefault="005728DD" w:rsidP="005728DD">
      <w:pPr>
        <w:pStyle w:val="TextoNormalNegritaCentrado"/>
        <w:keepNext/>
      </w:pPr>
      <w:r>
        <w:t>Voto particular que formula la magistrada doña María Luisa Balaguer Callejón a la sentencia dictada en el recurso de inconstitucionalidad núm. 3848-2015</w:t>
      </w:r>
    </w:p>
    <w:p w:rsidR="005728DD" w:rsidRDefault="005728DD" w:rsidP="005728DD">
      <w:pPr>
        <w:pStyle w:val="TextoNormalNegritaCentrado"/>
        <w:keepNext/>
      </w:pPr>
    </w:p>
    <w:p w:rsidR="005728DD" w:rsidRDefault="005728DD" w:rsidP="005728DD">
      <w:pPr>
        <w:pStyle w:val="TextoNormal"/>
      </w:pPr>
      <w:r>
        <w:t>En ejercicio de la facultad que me confiere el art. 90.2 de la Ley Orgánica del Tribunal Constitucional, y con pleno respeto a la opinión de la mayoría reflejada en la sentencia, formulo el presente voto, dejando constancia de los fundamentos de mi posición discrepante con el fallo y con los razonamientos que lo sustentan.</w:t>
      </w:r>
    </w:p>
    <w:p w:rsidR="005728DD" w:rsidRDefault="005728DD" w:rsidP="005728DD">
      <w:pPr>
        <w:pStyle w:val="TextoNormal"/>
      </w:pPr>
    </w:p>
    <w:p w:rsidR="005728DD" w:rsidRDefault="005728DD" w:rsidP="005728DD">
      <w:pPr>
        <w:pStyle w:val="TextoNormal"/>
      </w:pPr>
      <w:r>
        <w:t>La casi totalidad de los argumentos discrepantes están recogidos en el voto particular a la STC 172/2020, de 19 de noviembre, de modo que me limitaré a remitirme a ellos cuando así proceda.</w:t>
      </w:r>
    </w:p>
    <w:p w:rsidR="005728DD" w:rsidRDefault="005728DD" w:rsidP="005728DD">
      <w:pPr>
        <w:pStyle w:val="TextoNormal"/>
      </w:pPr>
    </w:p>
    <w:p w:rsidR="005728DD" w:rsidRDefault="005728DD" w:rsidP="005728DD">
      <w:pPr>
        <w:pStyle w:val="TextoNormal"/>
      </w:pPr>
      <w:r>
        <w:t>1. El pronunciamiento frente al que opongo este voto particular parte de la misma concepción de la seguridad ciudadana que subyace en la STC 172/2020, y así se reconoce expresamente en el fundamento jurídico 2 a).</w:t>
      </w:r>
    </w:p>
    <w:p w:rsidR="005728DD" w:rsidRDefault="005728DD" w:rsidP="005728DD">
      <w:pPr>
        <w:pStyle w:val="TextoNormal"/>
      </w:pPr>
    </w:p>
    <w:p w:rsidR="005728DD" w:rsidRDefault="005728DD" w:rsidP="005728DD">
      <w:pPr>
        <w:pStyle w:val="TextoNormal"/>
      </w:pPr>
      <w:r>
        <w:t xml:space="preserve">Esta aproximación ignora que la normativa sobre seguridad ciudadana debiera partir de una concepción garantista y de mínima intervención en el alcance de los derechos fundamentales, y así lo manifesté ya en el voto particular a la STC 172/2020, remitiéndome ahora a su contenido. Quisiera resaltar solamente la idea clave de aquella discrepancia: si la sentencia aprobada el 19 de noviembre y la actual hubieran partido de la premisa de que la “Ley Orgánica de protección de la seguridad ciudadana no debiera ser una ley de control de la ciudadanía, sino una norma de control del poder que se ejerce sobre la ciudadanía”, esto es de que el pleno ejercicio de los derechos ha de ser la regla y su restricción la excepción, las conclusiones alcanzadas hubieran debido ser otras en aquel caso y en el presente. Merece la pena insistir en esta idea: la finalidad de la normativa de seguridad ciudadana no es asegurar la comodidad o el sosiego de la ciudadanía que, por supuesto, se puede ver alterada cuando </w:t>
      </w:r>
      <w:r>
        <w:lastRenderedPageBreak/>
        <w:t>terceras personas ocupan el espacio público, se manifiestan o se reúnen para, por ejemplo, expresar su descontento o reivindicaciones en algún sentido. La finalidad constitucionalmente legítima de una ley de este tipo es evitar riesgos a la seguridad común, y establecer un elenco de garantías suficiente para evitar una restricción excesiva del ejercicio de los derechos por parte de los agentes de la autoridad. Cualquier exceso respecto de este marco finalista, permite dudar del ajuste constitucional de la norma.</w:t>
      </w:r>
    </w:p>
    <w:p w:rsidR="005728DD" w:rsidRDefault="005728DD" w:rsidP="005728DD">
      <w:pPr>
        <w:pStyle w:val="TextoNormal"/>
      </w:pPr>
    </w:p>
    <w:p w:rsidR="005728DD" w:rsidRDefault="005728DD" w:rsidP="005728DD">
      <w:pPr>
        <w:pStyle w:val="TextoNormal"/>
      </w:pPr>
      <w:r>
        <w:t>2. También manifesté en el voto particular a la STC 172/2020, que “[e]l juicio abstracto de constitucionalidad no puede ser ni un juicio ciego, ni ignorante de la realidad social sobre el que ha de proyectarse”. De nuevo en la presente sentencia parece obviarse ese contexto social, pero también el contexto normativo, cuando se desestima la impugnación del art. 37.7 de la Ley Orgánica 4/2015, destinado a perseguir la venta ambulante no autorizada pensando en el fenómeno conocido como “top manta”.</w:t>
      </w:r>
    </w:p>
    <w:p w:rsidR="005728DD" w:rsidRDefault="005728DD" w:rsidP="005728DD">
      <w:pPr>
        <w:pStyle w:val="TextoNormal"/>
      </w:pPr>
    </w:p>
    <w:p w:rsidR="005728DD" w:rsidRDefault="005728DD" w:rsidP="005728DD">
      <w:pPr>
        <w:pStyle w:val="TextoNormal"/>
      </w:pPr>
      <w:r>
        <w:t>La Ley Orgánica 1/2015, de 30 de marzo, de modificación del Código penal, aprobada el mismo día que la Ley Orgánica sometida a control de constitucionalidad en este caso, reformó los artículos reguladores de los delitos contra la propiedad intelectual e industrial (arts. 270.4 y 274.3 CP), endureciendo el castigo de la venta de las obras (musicales y fílmicas) y mercancías (de marcas registradas) que habitualmente se comercializan en la venta ambulante sin autorización, pudiendo llegarse incluso a imponer penas de prisión (de seis meses a dos años en determinados supuestos). Esta reforma no solo endureció las penas, sino que al trasladar el comportamiento típico del ámbito de las (desaparecidas) faltas al de los delitos, coloca en peor situación a los sujetos infractores, al ampliarse los plazos de prescripción y suponer el eventual surgimiento de antecedentes penales lo que, teniendo en cuenta que el perfil mayoritario de los manteros es el de una persona extranjera en situación administrativa irregular, dificulta la eventual obtención de un permiso de residencia y faculta a la expulsión.</w:t>
      </w:r>
    </w:p>
    <w:p w:rsidR="005728DD" w:rsidRDefault="005728DD" w:rsidP="005728DD">
      <w:pPr>
        <w:pStyle w:val="TextoNormal"/>
      </w:pPr>
    </w:p>
    <w:p w:rsidR="005728DD" w:rsidRDefault="005728DD" w:rsidP="005728DD">
      <w:pPr>
        <w:pStyle w:val="TextoNormal"/>
      </w:pPr>
      <w:r>
        <w:t xml:space="preserve">En paralelo, la Ley Orgánica de seguridad ciudadana incorpora el artículo 37.7, de modo que las conductas perseguidas penalmente, también pueden quedar definidas como infracciones administrativas con la sola modificación de la finalidad perseguida por la norma punitiva, existiendo una concurrencia de tipos. Se da la circunstancia, por tanto, de que la venta ambulante de productos protegidos por la propiedad intelectual (art. 270.4 CP) o industrial (art. 274.3 CP) puede ser constitutiva de delito en protección del interés patrimonial vinculado a la explotación de ambos tipos de propiedad, mientras que puede ser asimismo perseguible, en este caso en vía administrativa, por suponer un riesgo para la seguridad pública al implicar la ocupación sin permiso de la vía pública. Obviamente, la eventual persecución penal supone la preterición del régimen administrativo sancionador hasta que se hubiera dictado sentencia penal. Pero incluso llegado este punto, podrían llegar a simultanearse dos regímenes administrativos sancionadores, en los supuestos en que las comunidades autónomas prevean en su normativa sobre comercio que la venta ambulante sin autorización es una infracción administrativa, o en el caso de que lo haga una ordenanza municipal. Esta concurrencia mixta se da en el caso de Cataluña de una forma clara, puesto que el art. 73.5 de la Ley del Parlamento de Cataluña 18/2017, de 1 de agosto, de comerç, serveis i fires, tipifica como infracción grave en relación con la venta ambulante, su realización sin autorización del ayuntamiento correspondiente. En suma, tenemos un ejemplo claro de concurrencia de sanciones, cuya solución no resulta sencilla si tenemos en cuenta la inconcreción del art. 37.7 LOPSC, que parece definir el comportamiento infractor por exclusión, estableciendo </w:t>
      </w:r>
      <w:r>
        <w:lastRenderedPageBreak/>
        <w:t>la mera ocupación del espacio público como lesiva de la seguridad ciudadana, sin necesidad de que se produzca alteración del orden público, sin tener en cuenta que la falta de autorización administrativa para la venta ambulante puede ser también sancionable y sin considerar que la mayoría de los productos que se venden en estas circunstancias van a permitir la subsunción del comportamiento en los hechos tipificados por el Código penal.</w:t>
      </w:r>
    </w:p>
    <w:p w:rsidR="005728DD" w:rsidRDefault="005728DD" w:rsidP="005728DD">
      <w:pPr>
        <w:pStyle w:val="TextoNormal"/>
      </w:pPr>
    </w:p>
    <w:p w:rsidR="005728DD" w:rsidRDefault="005728DD" w:rsidP="005728DD">
      <w:pPr>
        <w:pStyle w:val="TextoNormal"/>
      </w:pPr>
      <w:r>
        <w:t xml:space="preserve">La sentencia, ante la perplejidad que provocan en el Parlamento recurrente estas circunstancias, se limita a constatar que el art. 37.7 LOPSC, por su ubicación sistemática en la Ley “persigue la protección de la seguridad ciudadana, entre cuyas vertientes se encuentra la garantía de la ‘utilización de las vías y demás bienes demaniales’ [art. 3 f)]”. A mi juicio resulta evidente la tautología. La sentencia debería haber justificado, en su caso, por qué en este supuesto lo protegido no es la propiedad ajena (intelectual o industrial), sino la seguridad ciudadana, cuya afectación, por lo demás, es difícil de comprender si pensamos en la bien conocida actividad de los manteros. Esta actividad no necesariamente obstaculiza el uso común de la vía pública, y la indeterminación de la noción, unida a la concurrencia mixta de ilícitos, es una puerta abierta al uso arbitrario de la facultad sancionadora atribuida al poder público. No puede descartarse que este tipo de actividad tenga una incidencia negativa en el ámbito de la protección del derecho a la propiedad, incluso en el ámbito tributario porque se trata de una actividad comercial no sujeta a tributación, o en el laboral por cuanto supone el ejercicio de un trabajo en la economía sumergida. Pero que todo ello suponga, </w:t>
      </w:r>
      <w:r w:rsidRPr="005728DD">
        <w:rPr>
          <w:i/>
        </w:rPr>
        <w:t>per se</w:t>
      </w:r>
      <w:r>
        <w:t>, un riesgo para la seguridad ciudadana queda sin explicación en la propia ley, y, desde luego, queda sin justificación alguna en la sentencia. Como la finalidad declarada de la disposición no tiene sustento bastante, es difícil sostener que se respete el principio de tipicidad (art. 25.1 CE), porque esa falta de base se traduce en la falta de adecuada definición de cuál deba ser el ámbito de aplicación del precepto: no se concreta qué significado debe dársele a la palabra “ocupación”; qué cantidad de personas deben ocupar la vía pública realizando venta ambulante sin autorización para entenderse que obstaculizan su uso. Tampoco se especifica si debe o no concurrir violencia o intimidación, o bastaría con la simple presencia simultánea de personas en tal espacio común, incluso de forma totalmente pacífica.</w:t>
      </w:r>
    </w:p>
    <w:p w:rsidR="005728DD" w:rsidRDefault="005728DD" w:rsidP="005728DD">
      <w:pPr>
        <w:pStyle w:val="TextoNormal"/>
      </w:pPr>
    </w:p>
    <w:p w:rsidR="005728DD" w:rsidRDefault="005728DD" w:rsidP="005728DD">
      <w:pPr>
        <w:pStyle w:val="TextoNormal"/>
      </w:pPr>
      <w:r>
        <w:t>El margen de indeterminación del precepto guarda directa relación con la amplia facultad de actuación concedida al que la sentencia llama “el aplicador del Derecho”, es decir a los agentes del orden encargados de aplicar la medida sancionadora. Y, ese amplio margen, no puede desconectarse de las muy particulares circunstancias que rodean a quienes ejercen este tipo de venta ambulante: se trata mayoritaria, aunque no exclusivamente, de personas extranjeras sin permiso de trabajo, frecuentemente subsaharianas, muy habitualmente en situación administrativa irregular, lo que les avoca a vivir de una economía sumergida controlada, en buena medida, por mafias. Personas en exclusión social, que las condiciona a dedicarse a este tipo de actividades. Y la persecución por la vía del derecho administrativo sancionador —por lo demás, bastante ineficaz, en este caso, como medida preventiva frente a la comisión de futuras infracciones— no hace sino expulsarlas aún más a los márgenes del sistema. La exigencia de un tipo penal claro debería haber llevado a la inconstitucionalidad de esta norma. Entiendo que está ausente en este caso y que, por tanto, debería haberse declarado la inconstitucionalidad del art. 37.7 LOPSC que, como otros preceptos objeto de este recurso de inconstitucionalidad, y del recurso resuelto por la STC 172/2020, no observa la exigencia constitucional de taxatividad de las disposiciones sancionadoras, generando más inseguridad jurídica que la que intenta combatir.</w:t>
      </w:r>
    </w:p>
    <w:p w:rsidR="005728DD" w:rsidRDefault="005728DD" w:rsidP="005728DD">
      <w:pPr>
        <w:pStyle w:val="TextoNormal"/>
      </w:pPr>
    </w:p>
    <w:p w:rsidR="005728DD" w:rsidRDefault="005728DD" w:rsidP="005728DD">
      <w:pPr>
        <w:pStyle w:val="TextoNormal"/>
      </w:pPr>
      <w:r>
        <w:lastRenderedPageBreak/>
        <w:t>3. Tampoco estoy de acuerdo con el juicio de constitucionalidad que se formula respecto del art. 20 LOPSC en el fundamento jurídico 3 de la sentencia.</w:t>
      </w:r>
    </w:p>
    <w:p w:rsidR="005728DD" w:rsidRDefault="005728DD" w:rsidP="005728DD">
      <w:pPr>
        <w:pStyle w:val="TextoNormal"/>
      </w:pPr>
    </w:p>
    <w:p w:rsidR="005728DD" w:rsidRDefault="005728DD" w:rsidP="005728DD">
      <w:pPr>
        <w:pStyle w:val="TextoNormal"/>
      </w:pPr>
      <w:r>
        <w:t>La previa STC 172/2020 se refirió ya al apartado 2 de dicho precepto y me remito a lo que dije en mi voto particular respecto de esta cuestión en concreto. En este caso, los recurrentes impugnan la totalidad del art. 20 LOPSC y el parámetro de control propuesto también difiere del de la demanda que plantea el recurso de inconstitucionalidad núm. 2896-2015, puesto que ahora se argumenta en torno a la insuficiencia de la ley para determinar la restricción del derecho a la intimidad en los términos previstos en el precepto impugnado.</w:t>
      </w:r>
    </w:p>
    <w:p w:rsidR="005728DD" w:rsidRDefault="005728DD" w:rsidP="005728DD">
      <w:pPr>
        <w:pStyle w:val="TextoNormal"/>
      </w:pPr>
    </w:p>
    <w:p w:rsidR="005728DD" w:rsidRDefault="005728DD" w:rsidP="005728DD">
      <w:pPr>
        <w:pStyle w:val="TextoNormal"/>
      </w:pPr>
      <w:r>
        <w:t>Sirven para expresar mi actual oposición los argumentos desarrollados en mi anterior voto particular respecto del examen del art. 20.2 LOPSC, porque estos giraban ya en torno a la cuestión de la calidad de la ley que ahora se plantea con mayor amplitud por los recurrentes.</w:t>
      </w:r>
    </w:p>
    <w:p w:rsidR="005728DD" w:rsidRDefault="005728DD" w:rsidP="005728DD">
      <w:pPr>
        <w:pStyle w:val="TextoNormal"/>
      </w:pPr>
    </w:p>
    <w:p w:rsidR="005728DD" w:rsidRDefault="005728DD" w:rsidP="005728DD">
      <w:pPr>
        <w:pStyle w:val="TextoNormal"/>
      </w:pPr>
      <w:r>
        <w:t>La sentencia sostiene que la referencia de la norma a que “[p]odrá practicarse el registro corporal externo y superficial de la persona cuando existan indicios racionales para suponer que puede conducir al hallazgo […]”, introduce una condición (la existencia de indicios racionales) que refiere un “parámetro de razonabilidad objetiva verificable en cada caso concreto y convierte esa medida de intervención en suficientemente previsible, alejándola del peligro de uso arbitrario que tendría si dependiera enteramente del criterio subjetivo de los agentes de policía”. Pero, como dije en el voto a la STC 172/2020, esta previsión que se pretende garantista no “satisface el canon de previsibilidad, porque no concreta los motivos específicos que han de concurrir para adoptar una medida de esta naturaleza. Tampoco se precisan cuáles son los instrumentos u objetos que por su relevancia —potencialidad para generar un riesgo grave para la seguridad ciudadana—, puedan justificarla; ni los hechos o circunstancias que puedan desencadenar la intervención policial (comportamientos delictivos o peligrosos susceptibles de infracción administrativa, su comisión o la simple amenaza o intención de cometerlos, etc.)”. La mera mención a la existencia de indicios racionales no es ni mucho menos objetiva, al contrario, es fundamentalmente contingente y profundamente subjetiva en cuanto que depende de la apreciación indiciaria del agente de autoridad.</w:t>
      </w:r>
    </w:p>
    <w:p w:rsidR="005728DD" w:rsidRDefault="005728DD" w:rsidP="005728DD">
      <w:pPr>
        <w:pStyle w:val="TextoNormal"/>
      </w:pPr>
    </w:p>
    <w:p w:rsidR="005728DD" w:rsidRDefault="005728DD" w:rsidP="005728DD">
      <w:pPr>
        <w:pStyle w:val="TextoNormal"/>
      </w:pPr>
      <w:r>
        <w:t>La sentencia invoca como argumento de refuerzo la jurisprudencia contenida en la previa STC 17/2013, de 31 de enero, que también evocaba en mi voto particular a la STC 172/2020, aunque fuera en realidad para asumir la posición discrepante con aquella sentencia, manifestada en un voto firmado por cuatro magistrados. Allí, se cuestionaba la falta de calidad de la ley, recordando que la garantía de la previsión legal de las restricciones al ejercicio de los derechos fundamentales “no queda limitada al hecho de que una ley habilite la medida, sino que es preciso, conforme a exigencias mínimas de calidad de la ley y de respeto al contenido esencial del derecho —como mandato dirigido al legislador de los derechos fundamentales— (art. 53.1 CE), que en esa regulación el legislador predetermine, como primer obligado a realizar la ponderación de derechos o intereses en pugna, los supuestos, las condiciones y las garantías en que procede la adopción de medidas restrictivas de derechos fundamentales”.</w:t>
      </w:r>
    </w:p>
    <w:p w:rsidR="005728DD" w:rsidRDefault="005728DD" w:rsidP="005728DD">
      <w:pPr>
        <w:pStyle w:val="TextoNormal"/>
      </w:pPr>
    </w:p>
    <w:p w:rsidR="005728DD" w:rsidRDefault="005728DD" w:rsidP="005728DD">
      <w:pPr>
        <w:pStyle w:val="TextoNormal"/>
      </w:pPr>
      <w:r>
        <w:t xml:space="preserve">En el caso que ahora nos ocupa, como sucedía en las SSTC 17/2013 y 172/2020, la predeterminación normativa formulada es insuficiente. Y ello se predica aquí respecto de la </w:t>
      </w:r>
      <w:r>
        <w:lastRenderedPageBreak/>
        <w:t>totalidad del art. 20 LOPSC, con lo que entiendo que vulnera el derecho a la intimidad corporal del art. 18.1 CE, por lo que debió ser declarado inconstitucional y nulo.</w:t>
      </w:r>
    </w:p>
    <w:p w:rsidR="005728DD" w:rsidRDefault="005728DD" w:rsidP="005728DD">
      <w:pPr>
        <w:pStyle w:val="TextoNormal"/>
      </w:pPr>
    </w:p>
    <w:p w:rsidR="005728DD" w:rsidRDefault="005728DD" w:rsidP="005728DD">
      <w:pPr>
        <w:pStyle w:val="TextoNormal"/>
      </w:pPr>
      <w:r>
        <w:t>4. Por último, me remito al contenido de mi voto particular a la STC 172/2020 en todo lo relativo a la disposición final primera de la LOPSC [que se aborda en el fundamento jurídico 2 e) de la presente resolución]; en lo que se refiere al art. 36.2 LOPSC (FJ 6 de esta sentencia), que dispone como infracción grave las manifestaciones frente a las sedes parlamentarias; y en las consideraciones que allí formulé sobre la inadecuación de las sentencias interpretativas en supuestos en que se somete a juicio de constitucionalidad una norma sancionadora porque, como decía entonces, los principios de conservación de la ley y de interpretación conforme a la Constitución, pueden no ser siempre compatibles con la garantía de la seguridad jurídica (art. 9.3 CE) y de taxatividad del art. 25 CE, lo que en el asunto que ahora nos ocupa se proyecta sobre la interpretación conforme que hace la sentencia del art. 36.22 LOPSC (fundamento jurídico 8).</w:t>
      </w:r>
    </w:p>
    <w:p w:rsidR="005728DD" w:rsidRDefault="005728DD" w:rsidP="005728DD">
      <w:pPr>
        <w:pStyle w:val="TextoNormal"/>
      </w:pPr>
    </w:p>
    <w:p w:rsidR="005728DD" w:rsidRDefault="005728DD" w:rsidP="005728DD">
      <w:pPr>
        <w:pStyle w:val="TextoNormal"/>
      </w:pPr>
      <w:r>
        <w:t>Concluye este voto con la misma idea que expresé en el voto a la STC 172/2020: la sentencia aprobada ahora, como la que se aprobó el 19 de noviembre pasado, no puede conciliarse con la idea de interpretación restrictiva de los límites al ejercicio de los derechos fundamentales, valida el efecto de desincentivo del ejercicio del derecho de protesta que consagra la Ley Orgánica 4/2015, y contribuye a la estigmatización de las personas que ejercitan ese derecho y a aquellas otras obligadas a permanecer en los márgenes de una sociedad que debiera aspirar a ayudarlas a salir de ese espacio.</w:t>
      </w:r>
    </w:p>
    <w:p w:rsidR="005728DD" w:rsidRDefault="005728DD" w:rsidP="005728DD">
      <w:pPr>
        <w:pStyle w:val="TextoNormal"/>
      </w:pPr>
    </w:p>
    <w:p w:rsidR="005728DD" w:rsidRDefault="005728DD" w:rsidP="005728DD">
      <w:pPr>
        <w:pStyle w:val="TextoNormal"/>
      </w:pPr>
      <w:r>
        <w:t>Y, en este sentido, emito mi voto particular.</w:t>
      </w:r>
    </w:p>
    <w:p w:rsidR="005728DD" w:rsidRDefault="005728DD" w:rsidP="005728DD">
      <w:pPr>
        <w:pStyle w:val="TextoNormal"/>
      </w:pPr>
    </w:p>
    <w:p w:rsidR="005728DD" w:rsidRDefault="005728DD" w:rsidP="005728DD">
      <w:pPr>
        <w:pStyle w:val="TextoNormal"/>
      </w:pPr>
      <w:r>
        <w:t>Madrid, a veintiocho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7" w:name="SENTENCIA_2021_14"/>
      <w:r>
        <w:lastRenderedPageBreak/>
        <w:t>SENTENCIA 14/2021, de 28 de enero de 2021</w:t>
      </w:r>
    </w:p>
    <w:bookmarkEnd w:id="17"/>
    <w:p w:rsidR="005728DD" w:rsidRDefault="005728DD" w:rsidP="005728DD">
      <w:pPr>
        <w:pStyle w:val="TtuloResolucin"/>
      </w:pPr>
      <w:r>
        <w:t>Pleno</w:t>
      </w:r>
    </w:p>
    <w:p w:rsidR="005728DD" w:rsidRDefault="005728DD" w:rsidP="005728DD">
      <w:pPr>
        <w:pStyle w:val="TtuloBOE"/>
      </w:pPr>
      <w:r>
        <w:t>(BOE núm. 46, de 23 de febrero de 2021)</w:t>
      </w:r>
    </w:p>
    <w:p w:rsidR="005728DD" w:rsidRDefault="005728DD" w:rsidP="005728DD">
      <w:pPr>
        <w:pStyle w:val="TextoNormalCentrado"/>
      </w:pPr>
      <w:r>
        <w:t>ECLI:ES:TC:2021:14</w:t>
      </w:r>
    </w:p>
    <w:p w:rsidR="005728DD" w:rsidRDefault="005728DD" w:rsidP="005728DD">
      <w:pPr>
        <w:pStyle w:val="TextoNormalCentrado"/>
      </w:pPr>
    </w:p>
    <w:p w:rsidR="005728DD" w:rsidRDefault="005728DD" w:rsidP="005728DD">
      <w:pPr>
        <w:pStyle w:val="SntesisDescriptiva"/>
      </w:pPr>
      <w:r>
        <w:t>Cuestión de inconstitucionalidad 1478-2020. Planteada por la Sección Cuarta de la Sala de lo Contencioso-Administrativo del Tribunal Supremo, respecto del artículo 153.1 de la Ley Orgánica 5/1985, de 19 de junio, del régimen electoral general, en relación con los artículos 53 y 50.4 LOREG.</w:t>
      </w:r>
    </w:p>
    <w:p w:rsidR="005728DD" w:rsidRDefault="005728DD" w:rsidP="005728DD">
      <w:pPr>
        <w:pStyle w:val="SntesisDescriptiva"/>
      </w:pPr>
    </w:p>
    <w:p w:rsidR="005728DD" w:rsidRDefault="005728DD" w:rsidP="005728DD">
      <w:pPr>
        <w:pStyle w:val="SntesisAnaltica"/>
      </w:pPr>
      <w:r>
        <w:t>Principios de legalidad penal (taxatividad) y seguridad jurídica: constitucionalidad del precepto legal que tipifica como infracción el incumplimiento de todas las normas obligatorias de la ley que no sea constitutiva de delito. Votos particulares.</w:t>
      </w:r>
    </w:p>
    <w:p w:rsidR="005728DD" w:rsidRDefault="005728DD" w:rsidP="005728DD">
      <w:pPr>
        <w:pStyle w:val="SntesisAnaltica"/>
      </w:pPr>
    </w:p>
    <w:p w:rsidR="005728DD" w:rsidRDefault="005728DD" w:rsidP="005728DD">
      <w:pPr>
        <w:pStyle w:val="Extracto"/>
      </w:pPr>
      <w:r>
        <w:t>1.</w:t>
      </w:r>
      <w:r>
        <w:tab/>
        <w:t>La redacción del tipo sancionador debe permitir con carácter general el conocimiento previo de las conductas sancionables. Desde el punto de vista de la garantía del art. 25.1 CE no cabe excluir que una norma de rango legal contenga remisiones dentro de la propia norma, pues lo relevante es que quede suficientemente determinada la conducta antijurídica [FJ 3].</w:t>
      </w:r>
    </w:p>
    <w:p w:rsidR="005728DD" w:rsidRDefault="005728DD" w:rsidP="005728DD">
      <w:pPr>
        <w:pStyle w:val="Extracto"/>
      </w:pPr>
    </w:p>
    <w:p w:rsidR="005728DD" w:rsidRDefault="005728DD" w:rsidP="005728DD">
      <w:pPr>
        <w:pStyle w:val="Extracto"/>
      </w:pPr>
      <w:r>
        <w:t>2.</w:t>
      </w:r>
      <w:r>
        <w:tab/>
        <w:t>La técnica legislativa no debe constituir una formulación abierta e indefinida en la que su aplicación dependa en último término de una decisión prácticamente libre y arbitraria del intérprete y juzgador encargado de su aplicación, sino que el ciudadano ha de poder conocer qué clase de conductas pueden llegar a ser sancionadas, previsibilidad que garantiza el respeto al principio de legalidad sancionadora recogido en el art. 25.1 CE (SSTC 100/2003, 26/2005 y  283/2006) [FJ 3].</w:t>
      </w:r>
    </w:p>
    <w:p w:rsidR="005728DD" w:rsidRDefault="005728DD" w:rsidP="005728DD">
      <w:pPr>
        <w:pStyle w:val="Extracto"/>
      </w:pPr>
    </w:p>
    <w:p w:rsidR="005728DD" w:rsidRDefault="005728DD" w:rsidP="005728DD">
      <w:pPr>
        <w:pStyle w:val="Extracto"/>
      </w:pPr>
      <w:r>
        <w:t>3.</w:t>
      </w:r>
      <w:r>
        <w:tab/>
        <w:t>El empleo de conceptos jurídicos indeterminados, para que sea compatible con el art. 25.1 CE, debe permitir que su concreción sea razonablemente factible en virtud de criterios lógicos, técnicos o de experiencia (STC 145/2013) [FJ 3].</w:t>
      </w:r>
    </w:p>
    <w:p w:rsidR="005728DD" w:rsidRDefault="005728DD" w:rsidP="005728DD">
      <w:pPr>
        <w:pStyle w:val="Extracto"/>
      </w:pPr>
    </w:p>
    <w:p w:rsidR="005728DD" w:rsidRDefault="005728DD" w:rsidP="005728DD">
      <w:pPr>
        <w:pStyle w:val="Extracto"/>
      </w:pPr>
      <w:r>
        <w:t>4.</w:t>
      </w:r>
      <w:r>
        <w:tab/>
        <w:t>Para poder afirmar la taxatividad de un precepto es preciso examinar también la suficiencia en la predeterminación de las obligaciones a las que se remite aquel precepto [FJ 3].</w:t>
      </w:r>
    </w:p>
    <w:p w:rsidR="005728DD" w:rsidRDefault="005728DD" w:rsidP="005728DD">
      <w:pPr>
        <w:pStyle w:val="Extracto"/>
      </w:pPr>
    </w:p>
    <w:p w:rsidR="005728DD" w:rsidRDefault="005728DD" w:rsidP="005728DD">
      <w:pPr>
        <w:pStyle w:val="Extracto"/>
      </w:pPr>
      <w:r>
        <w:t>5.</w:t>
      </w:r>
      <w:r>
        <w:tab/>
        <w:t>Por muy clara que sea la redacción de una disposición legal, incluso en materia sancionadora, existe inevitablemente un elemento de interpretación judicial; siempre será necesario dilucidar las cuestiones dudosas y adaptarse a los cambios de situación. La certeza, aunque muy deseable, se acompaña a veces de una rigidez excesiva; ahora bien el derecho debe saber adaptarse a los cambios de situación (STEDH, de 21 de octubre de 2013, asunto Del Río Prada contra España, § 92, y STC 37/2018) [FJ 3].</w:t>
      </w:r>
    </w:p>
    <w:p w:rsidR="005728DD" w:rsidRDefault="005728DD" w:rsidP="005728DD">
      <w:pPr>
        <w:pStyle w:val="Extracto"/>
      </w:pPr>
    </w:p>
    <w:p w:rsidR="005728DD" w:rsidRDefault="005728DD" w:rsidP="005728DD">
      <w:pPr>
        <w:pStyle w:val="Extracto"/>
      </w:pPr>
      <w:r>
        <w:t>6.</w:t>
      </w:r>
      <w:r>
        <w:tab/>
        <w:t>Constitucionalmente no cabe admitir formulaciones de conductas que constituyan infracción tan abiertas —por su amplitud, vaguedad o indefinición—, que su efectividad dependa de una decisión prácticamente libre y arbitraria del intérprete y juzgador (SSTC 100/2003 y 283/2006) [FJ 3].</w:t>
      </w:r>
    </w:p>
    <w:p w:rsidR="005728DD" w:rsidRDefault="005728DD" w:rsidP="005728DD">
      <w:pPr>
        <w:pStyle w:val="Extracto"/>
      </w:pPr>
    </w:p>
    <w:p w:rsidR="005728DD" w:rsidRDefault="005728DD" w:rsidP="005728DD">
      <w:pPr>
        <w:pStyle w:val="Extracto"/>
      </w:pPr>
      <w:r>
        <w:lastRenderedPageBreak/>
        <w:t>7.</w:t>
      </w:r>
      <w:r>
        <w:tab/>
        <w:t>La Constitución española consagra el principio de culpabilidad como principio estructural básico del Derecho penal, vinculándolo con los arts.10, 24 y 25 CE (STC 59/2008). Este Tribunal ha negado que sea constitucionalmente legítimo un derecho penal ‘de autor’ que determina las penas en atención a la personalidad del reo y no según la culpabilidad de este en la comisión de los hechos (STC 150/1991) [FJ 5].</w:t>
      </w:r>
    </w:p>
    <w:p w:rsidR="005728DD" w:rsidRDefault="005728DD" w:rsidP="005728DD">
      <w:pPr>
        <w:pStyle w:val="Extracto"/>
      </w:pPr>
    </w:p>
    <w:p w:rsidR="005728DD" w:rsidRDefault="005728DD" w:rsidP="005728DD">
      <w:pPr>
        <w:pStyle w:val="Extracto"/>
      </w:pPr>
      <w:r>
        <w:t>8.</w:t>
      </w:r>
      <w:r>
        <w:tab/>
        <w:t xml:space="preserve">Al principio de culpabilidad se anuda la proscripción de la responsabilidad sin culpa o responsabilidad objetiva en el ámbito del </w:t>
      </w:r>
      <w:r w:rsidRPr="005728DD">
        <w:rPr>
          <w:i/>
        </w:rPr>
        <w:t>ius puniendi</w:t>
      </w:r>
      <w:r>
        <w:t>, lo que, además de exigir la presencia de dolo o imprudencia, conlleva también la necesidad de determinar la autoría de la acción o de la omisión sancionable (SSTC 120/1994, 103/1995 y 57/2010; ATC 237/2012); así como el principio de la responsabilidad personal por hechos propios y no ajenos —principio de la personalidad de la pena o sanción— (SSTC 131/1987, 219/1988, 125/2001, 60/2010 y 185/2014) [FJ 5].</w:t>
      </w:r>
    </w:p>
    <w:p w:rsidR="005728DD" w:rsidRDefault="005728DD" w:rsidP="005728DD">
      <w:pPr>
        <w:pStyle w:val="Extracto"/>
      </w:pPr>
    </w:p>
    <w:p w:rsidR="005728DD" w:rsidRDefault="005728DD" w:rsidP="005728DD">
      <w:pPr>
        <w:pStyle w:val="Extracto"/>
      </w:pPr>
      <w:r>
        <w:t>9.</w:t>
      </w:r>
      <w:r>
        <w:tab/>
        <w:t xml:space="preserve">El principio de culpabilidad rige en materia de infracciones administrativas pues, en la medida en que su sanción es una de las manifestaciones del </w:t>
      </w:r>
      <w:r w:rsidRPr="005728DD">
        <w:rPr>
          <w:i/>
        </w:rPr>
        <w:t xml:space="preserve">ius puniendi </w:t>
      </w:r>
      <w:r>
        <w:t>del Estado, resulta inadmisible en nuestro ordenamiento un régimen de responsabilidad objetiva o sin culpa (SSTC 76/1990, 246/1991, 86/2017; ATC 237/2012) [FJ 5].</w:t>
      </w:r>
    </w:p>
    <w:p w:rsidR="005728DD" w:rsidRDefault="005728DD" w:rsidP="005728DD">
      <w:pPr>
        <w:pStyle w:val="Extracto"/>
      </w:pPr>
    </w:p>
    <w:p w:rsidR="005728DD" w:rsidRDefault="005728DD" w:rsidP="005728DD">
      <w:pPr>
        <w:pStyle w:val="Extracto"/>
      </w:pPr>
      <w:r>
        <w:t>10.</w:t>
      </w:r>
      <w:r>
        <w:tab/>
        <w:t>La construcción de la imputabilidad de la autoría de la infracción a las personas jurídicas nace de la propia naturaleza de ficción jurídica a la que responden; falta en ellas el elemento volitivo en sentido estricto, pero no la capacidad de infringir las normas a las que están sometidas. Capacidad de infracción y, por ende, reprochabilidad directa que deriva del bien jurídico protegido por la norma que se infringe y la necesidad de que dicha protección sea eficaz y por el riesgo que, en consecuencia, debe asumir la persona jurídica sujeta al cumplimiento de la norma (STC 246/1991) [FJ 5].</w:t>
      </w:r>
    </w:p>
    <w:p w:rsidR="005728DD" w:rsidRDefault="005728DD" w:rsidP="005728DD">
      <w:pPr>
        <w:pStyle w:val="Extracto"/>
      </w:pPr>
    </w:p>
    <w:p w:rsidR="005728DD" w:rsidRDefault="005728DD" w:rsidP="005728DD">
      <w:pPr>
        <w:pStyle w:val="Extracto"/>
      </w:pPr>
      <w:r>
        <w:t>11.</w:t>
      </w:r>
      <w:r>
        <w:tab/>
        <w:t>El director de un periódico tiene el derecho de veto sobre el contenido de todos los originales publicables, sin que ese derecho se identifique con el concepto de censura previa prohibida por el art. 20.2 de la Constitución, y ello hace evidente que exigirle responsabilidad civil por las lesiones que puedan derivarse de las informaciones publicadas en el periódico en nada vulnera el derecho de libre información, puesto que este derecho se ejercita desde su dirección y, por tanto, no puede quedar al margen de la reparación de los daños que su ejercicio incorrecto o abusivo ocasione a terceros. Lo mismo cabe afirmar de la empresa editora, ya que a ella corresponde la libre designación del director (STC 172/1990) [FJ 5].</w:t>
      </w:r>
    </w:p>
    <w:p w:rsidR="005728DD" w:rsidRDefault="005728DD" w:rsidP="005728DD">
      <w:pPr>
        <w:pStyle w:val="Extracto"/>
      </w:pPr>
    </w:p>
    <w:p w:rsidR="005728DD" w:rsidRDefault="005728DD" w:rsidP="005728DD">
      <w:pPr>
        <w:pStyle w:val="Extracto"/>
      </w:pPr>
      <w:r>
        <w:t>12.</w:t>
      </w:r>
      <w:r>
        <w:tab/>
        <w:t>La LOREG garantiza la trascendencia de la jornada de reflexión en todo proceso electoral, dirigida a crear un marco de serenidad en las horas inmediatamente anteriores a la votación para que en esta aflore sin condicionamientos la verdadera voluntad política del elector y a garantizar el derecho fundamental de todos los partícipes en las elecciones a la igualdad en el acceso a los cargos públicos que exige el art. 23.2 CE [FJ 5].</w:t>
      </w:r>
    </w:p>
    <w:p w:rsidR="005728DD" w:rsidRDefault="005728DD" w:rsidP="005728DD">
      <w:pPr>
        <w:pStyle w:val="Extracto"/>
      </w:pPr>
    </w:p>
    <w:p w:rsidR="005728DD" w:rsidRDefault="005728DD" w:rsidP="005728DD">
      <w:pPr>
        <w:pStyle w:val="Extracto"/>
      </w:pPr>
      <w:r>
        <w:t>13.</w:t>
      </w:r>
      <w:r>
        <w:tab/>
        <w:t xml:space="preserve">A todos los titulares de un medio de difusión con posibilidad de una importante incidencia en la población les incumbe un deber de cuidado para evitar cualquier </w:t>
      </w:r>
      <w:r>
        <w:lastRenderedPageBreak/>
        <w:t>hecho que pueda quebrantar el marco de neutralidad que debe caracterizar a la jornada de reflexión; máxime cuando se trata de la publicación de un contenido informativo que, por su propia relevancia, no es ordinariamente ajeno al conocimiento y consentimiento del director del medio, sin que ello vulnere el principio de presunción de inocencia del art. 24.2 CE ni el derecho a la libertad de información del artículo 20.1 d) CE [FJ 5].</w:t>
      </w:r>
    </w:p>
    <w:p w:rsidR="005728DD" w:rsidRDefault="005728DD" w:rsidP="005728DD">
      <w:pPr>
        <w:pStyle w:val="Extracto"/>
      </w:pPr>
    </w:p>
    <w:p w:rsidR="005728DD" w:rsidRDefault="005728DD" w:rsidP="005728DD">
      <w:pPr>
        <w:pStyle w:val="Extracto"/>
      </w:pPr>
      <w:r>
        <w:t>14.</w:t>
      </w:r>
      <w:r>
        <w:tab/>
        <w:t>La doble garantía, formal y material, impuesta por el art. 25.1 CE no se refiere solo a la tipificación de las infracciones, sino también, y en igual medida, al establecimiento de las sanciones aplicables (STC 113/2002). La ley debe, consecuentemente, establecer una regulación suficiente de las consecuencias represivas de los ilícitos administrativos (SSTC 42/1987, 100/2003 y  252/2006) [FJ 6].</w:t>
      </w:r>
    </w:p>
    <w:p w:rsidR="005728DD" w:rsidRDefault="005728DD" w:rsidP="005728DD">
      <w:pPr>
        <w:pStyle w:val="Extracto"/>
      </w:pPr>
    </w:p>
    <w:p w:rsidR="005728DD" w:rsidRDefault="005728DD" w:rsidP="005728DD">
      <w:pPr>
        <w:pStyle w:val="Extracto"/>
      </w:pPr>
      <w:r>
        <w:t>15.</w:t>
      </w:r>
      <w:r>
        <w:tab/>
        <w:t xml:space="preserve">La garantía de </w:t>
      </w:r>
      <w:r w:rsidRPr="005728DD">
        <w:rPr>
          <w:i/>
        </w:rPr>
        <w:t xml:space="preserve">lex certa </w:t>
      </w:r>
      <w:r>
        <w:t>no resulta satisfecha tan solo mediante la tipificación de las infracciones y la definición y, en su caso, graduación de las sanciones que pueden ser impuestas a los infractores, realizadas por la ley, sino que, además, es elemento esencial y lógico de dicha garantía la determinación de la correlación necesaria entre los actos o conductas tipificados como ilícitos administrativos y las sanciones consiguientes a los mismos (SSTC 219/1989, 207/1990 y 113/2002) [FJ 6].</w:t>
      </w:r>
    </w:p>
    <w:p w:rsidR="005728DD" w:rsidRDefault="005728DD" w:rsidP="005728DD">
      <w:pPr>
        <w:pStyle w:val="Extracto"/>
      </w:pPr>
    </w:p>
    <w:p w:rsidR="005728DD" w:rsidRDefault="005728DD" w:rsidP="005728DD">
      <w:pPr>
        <w:pStyle w:val="Extracto"/>
      </w:pPr>
      <w:r>
        <w:t>16.</w:t>
      </w:r>
      <w:r>
        <w:tab/>
        <w:t>En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y que estas sean razonablemente acordes con los elementos objetivos y subjetivos cuya valoración exige el precepto aplicable; doctrina plenamente aplicable en el ámbito administrativo sancionador (SSTC 193/1996 y 196/2007) [FJ 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la cuestión de inconstitucionalidad núm. 1478-2020, promovida por la Sección Cuarta de la Sala de lo Contencioso-Administrativo del Tribunal Supremo, respecto del art. 153.1 de la Ley Orgánica 5/1985, de 19 de junio, del régimen electoral general (en adelante LOREG), en relación con los artículos 53 y 50.4 LOREG y los artículos 34 y 39 de la Ley </w:t>
      </w:r>
      <w:r>
        <w:lastRenderedPageBreak/>
        <w:t>14/1966, de 18 de marzo, de prensa e imprenta, por posible vulneración de los artículos 9.3 y 25.1 CE. Han comparecido y formulado alegaciones el abogado del Estado, el letrado de la Junta Electoral Central, don Bieito Rubido Ramonde y la fiscal general del Estado. Ha sido ponente el magistrado don Cándido Conde-Pumpido Tourón.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6 de marzo de 2020, la Sección Cuarta de la Sala de lo Contencioso-Administrativo del Tribunal Supremo remitió auto de 20 de febrero de 2020, por el que se acuerda plantear cuestión de inconstitucionalidad en relación con el artículo 153.1 de la de la Ley Orgánica 5/1985, de 19 de junio, de régimen electoral general; con el artículo 153.1 LOREG en relación con el artículo 53 y 50.4 LOREG y con el artículo 153.1 LOREG en relación con los artículos 53.1, 50.4 LOREG y 34 y 39 de la Ley 14/1966, de 18 de marzo, de prensa e imprenta por infracción de la garantía que deriva del mandato de taxatividad de las infracciones y determinación de las sanciones del artículo 25.1 CE y por vulneración autónoma del principio de seguridad jurídica que garantiza el artículo 9.3 CE.</w:t>
      </w:r>
    </w:p>
    <w:p w:rsidR="005728DD" w:rsidRDefault="005728DD" w:rsidP="005728DD">
      <w:pPr>
        <w:pStyle w:val="TextoNormal"/>
      </w:pPr>
    </w:p>
    <w:p w:rsidR="005728DD" w:rsidRDefault="005728DD" w:rsidP="005728DD">
      <w:pPr>
        <w:pStyle w:val="TextoNormal"/>
      </w:pPr>
      <w:r w:rsidRPr="005728DD">
        <w:rPr>
          <w:rStyle w:val="NumeroAFNegritaCaracter"/>
        </w:rPr>
        <w:t>2</w:t>
      </w:r>
      <w:r>
        <w:t>. En síntesis, presentan relevancia para la presente cuestión de inconstitucionalidad los siguientes antecedentes:</w:t>
      </w:r>
    </w:p>
    <w:p w:rsidR="005728DD" w:rsidRDefault="005728DD" w:rsidP="005728DD">
      <w:pPr>
        <w:pStyle w:val="TextoNormal"/>
      </w:pPr>
    </w:p>
    <w:p w:rsidR="005728DD" w:rsidRDefault="005728DD" w:rsidP="005728DD">
      <w:pPr>
        <w:pStyle w:val="TextoNormal"/>
      </w:pPr>
      <w:r>
        <w:t>a) Por resolución de la Junta Electoral Central de 14 de marzo de 2018, se sancionó al director del diario “ABC”, don Bieito Rubido Ramonde, con una multa de 1000 € por incumplimiento de la prohibición de realizar campaña electoral y difundir propaganda electoral durante la jornada de reflexión de las elecciones autonómicas de Cataluña de 2017, tipificada en el artículo 153.1 LOREG, en relación con la obligación recogida en el artículo 53 LOREG.</w:t>
      </w:r>
    </w:p>
    <w:p w:rsidR="005728DD" w:rsidRDefault="005728DD" w:rsidP="005728DD">
      <w:pPr>
        <w:pStyle w:val="TextoNormal"/>
      </w:pPr>
    </w:p>
    <w:p w:rsidR="005728DD" w:rsidRDefault="005728DD" w:rsidP="005728DD">
      <w:pPr>
        <w:pStyle w:val="TextoNormal"/>
      </w:pPr>
      <w:r>
        <w:t>b) El expediente se inició como consecuencia de una denuncia presentada ante la Junta Electoral Central por un representante del Partido Popular, motivada por la publicación en el diario “ABC” de una entrevista a doña Inés Arrimadas, representante del partido político Ciutadans-Partido de la Ciudadanía, el 20 de diciembre de 2017, en la jornada de reflexión previa a la celebración el 21 de diciembre de las elecciones al Parlamento de Cataluña del año 2017. Entrevista que aparecía anunciada en la portada junto a una fotografía de la entrevistada. La parte dispositiva de la resolución sancionadora era del siguiente tenor:</w:t>
      </w:r>
    </w:p>
    <w:p w:rsidR="005728DD" w:rsidRDefault="005728DD" w:rsidP="005728DD">
      <w:pPr>
        <w:pStyle w:val="TextoNormal"/>
      </w:pPr>
    </w:p>
    <w:p w:rsidR="005728DD" w:rsidRDefault="005728DD" w:rsidP="005728DD">
      <w:pPr>
        <w:pStyle w:val="TextoNormal"/>
      </w:pPr>
      <w:r>
        <w:t>“Declarar que el director del periódico incurrió en la infracción tipificada en el artículo 153 de la Ley Orgánica del Régimen Electoral General, por incumplimiento de la obligación contemplada en el artículo 53 de dicha Ley, consistente en la publicación el día 20 de diciembre de 2017, jornada de reflexión en las elecciones al Parlamento de Cataluña, de una entrevista a doña Inés Arrimadas, candidata de la formación política Ciutadans-Partido de la Ciudadanía en las citadas elecciones, entrevista que aparecía anunciada en la portada junto a una fotografía de la entrevistada, por lo que procede imponerle la sanción de multa de 1000 €”.</w:t>
      </w:r>
    </w:p>
    <w:p w:rsidR="005728DD" w:rsidRDefault="005728DD" w:rsidP="005728DD">
      <w:pPr>
        <w:pStyle w:val="TextoNormal"/>
      </w:pPr>
    </w:p>
    <w:p w:rsidR="005728DD" w:rsidRDefault="005728DD" w:rsidP="005728DD">
      <w:pPr>
        <w:pStyle w:val="TextoNormal"/>
      </w:pPr>
      <w:r>
        <w:lastRenderedPageBreak/>
        <w:t>c) Interpuesto recurso contra la resolución de la Junta Electoral Central, la Sección Cuarta de la Sala de lo Contencioso-Administrativo del Tribunal Supremo, una vez recibido el proceso a prueba, aceptándose toda la propuesta, y formuladas sus conclusiones por las partes, en providencia de 28 de octubre de 2019 señaló para votación y fallo del recurso la audiencia del día 14 de enero de 2020, fecha en la que se deliberó y decidió abrir el trámite del artículo 35.2 de la Ley Orgánica del Tribunal Constitucional (LOTC).</w:t>
      </w:r>
    </w:p>
    <w:p w:rsidR="005728DD" w:rsidRDefault="005728DD" w:rsidP="005728DD">
      <w:pPr>
        <w:pStyle w:val="TextoNormal"/>
      </w:pPr>
    </w:p>
    <w:p w:rsidR="005728DD" w:rsidRDefault="005728DD" w:rsidP="005728DD">
      <w:pPr>
        <w:pStyle w:val="TextoNormal"/>
      </w:pPr>
      <w:r>
        <w:t>d) Así, en efecto, el día 15 de enero de 2020 la Sala dictó providencia del siguiente tenor:</w:t>
      </w:r>
    </w:p>
    <w:p w:rsidR="005728DD" w:rsidRDefault="005728DD" w:rsidP="005728DD">
      <w:pPr>
        <w:pStyle w:val="TextoNormal"/>
      </w:pPr>
    </w:p>
    <w:p w:rsidR="005728DD" w:rsidRDefault="005728DD" w:rsidP="005728DD">
      <w:pPr>
        <w:pStyle w:val="TextoNormal"/>
      </w:pPr>
      <w:r>
        <w:t>“Previa la correspondiente deliberación, la Sala acuerda oír a las partes y al Ministerio Fiscal para que en el plazo común e improrrogable de diez días puedan alegar lo que entiendan conveniente sobre la pertinencia de plantear cuestión de inconstitucionalidad sobre todas o algunas de las siguientes cuestiones:</w:t>
      </w:r>
    </w:p>
    <w:p w:rsidR="005728DD" w:rsidRDefault="005728DD" w:rsidP="005728DD">
      <w:pPr>
        <w:pStyle w:val="TextoNormal"/>
      </w:pPr>
    </w:p>
    <w:p w:rsidR="005728DD" w:rsidRDefault="005728DD" w:rsidP="005728DD">
      <w:pPr>
        <w:pStyle w:val="TextoNormal"/>
      </w:pPr>
      <w:r>
        <w:t xml:space="preserve">i) Inconstitucionalidad del artículo 153.1 de la Ley Orgánica 5/1985, de 19 de junio, de régimen electoral general por posible vulneración del artículo 9.3 CE (seguridad jurídica) y del 25.1 CE, en relación con la garantía de taxatividad o de </w:t>
      </w:r>
      <w:r w:rsidRPr="005728DD">
        <w:rPr>
          <w:i/>
        </w:rPr>
        <w:t>lex certa</w:t>
      </w:r>
      <w:r>
        <w:t xml:space="preserve"> de las disposiciones sancionadoras, por imprecisión al integrar el tipo sancionador;</w:t>
      </w:r>
    </w:p>
    <w:p w:rsidR="005728DD" w:rsidRDefault="005728DD" w:rsidP="005728DD">
      <w:pPr>
        <w:pStyle w:val="TextoNormal"/>
      </w:pPr>
    </w:p>
    <w:p w:rsidR="005728DD" w:rsidRDefault="005728DD" w:rsidP="005728DD">
      <w:pPr>
        <w:pStyle w:val="TextoNormal"/>
      </w:pPr>
      <w:r>
        <w:t>ii) Inconstitucionalidad del artículo 153.1 LOREG, en relación con los artículos 53 y 50.4 de la misma por vulneración del artículo 9.3 CE y de la garantía de taxatividad de las disposiciones sancionadoras (</w:t>
      </w:r>
      <w:r w:rsidRPr="005728DD">
        <w:rPr>
          <w:i/>
        </w:rPr>
        <w:t>lex certa</w:t>
      </w:r>
      <w:r>
        <w:t>) del artículo 25.1 CE por falta de determinación de los autores de las infracciones, que aboca interpretaciones analógicas;</w:t>
      </w:r>
    </w:p>
    <w:p w:rsidR="005728DD" w:rsidRDefault="005728DD" w:rsidP="005728DD">
      <w:pPr>
        <w:pStyle w:val="TextoNormal"/>
      </w:pPr>
    </w:p>
    <w:p w:rsidR="005728DD" w:rsidRDefault="005728DD" w:rsidP="005728DD">
      <w:pPr>
        <w:pStyle w:val="TextoNormal"/>
      </w:pPr>
      <w:r>
        <w:t>iii) Posible inconstitucionalidad del artículo 153.1 LOREG en relación con los artículos 34 y 39 de la Ley preconstitucional 14/1966, de 8 de marzo, de prensa e imprenta; la Sala desea consultar al Tribunal Constitucional, pese a su carácter preconstitucional, por vulneración de la presunción de inocencia que garantiza el artículo 24.2 CE, en la medida en que permita una traslación de responsabilidad al director de un periódico al margen del principio de culpabilidad y del derecho a la libertad de información del artículo 20 CE;</w:t>
      </w:r>
    </w:p>
    <w:p w:rsidR="005728DD" w:rsidRDefault="005728DD" w:rsidP="005728DD">
      <w:pPr>
        <w:pStyle w:val="TextoNormal"/>
      </w:pPr>
    </w:p>
    <w:p w:rsidR="005728DD" w:rsidRDefault="005728DD" w:rsidP="005728DD">
      <w:pPr>
        <w:pStyle w:val="TextoNormal"/>
      </w:pPr>
      <w:r>
        <w:t>iv) Posible inconstitucionalidad del artículo 153.1 LOREG, por vulneración del artículo 9.3 CE (seguridad jurídica) y del 25.1 CE, en relación con la garantía de taxatividad (</w:t>
      </w:r>
      <w:r w:rsidRPr="005728DD">
        <w:rPr>
          <w:i/>
        </w:rPr>
        <w:t>lex certa</w:t>
      </w:r>
      <w:r>
        <w:t>) de las disposiciones sancionadoras, por imprecisión en la determinación de las sanciones.</w:t>
      </w:r>
    </w:p>
    <w:p w:rsidR="005728DD" w:rsidRDefault="005728DD" w:rsidP="005728DD">
      <w:pPr>
        <w:pStyle w:val="TextoNormal"/>
      </w:pPr>
    </w:p>
    <w:p w:rsidR="005728DD" w:rsidRDefault="005728DD" w:rsidP="005728DD">
      <w:pPr>
        <w:pStyle w:val="TextoNormal"/>
      </w:pPr>
      <w:r>
        <w:t>Todo ello con suspensión del plazo para dictar sentencia”.</w:t>
      </w:r>
    </w:p>
    <w:p w:rsidR="005728DD" w:rsidRDefault="005728DD" w:rsidP="005728DD">
      <w:pPr>
        <w:pStyle w:val="TextoNormal"/>
      </w:pPr>
    </w:p>
    <w:p w:rsidR="005728DD" w:rsidRDefault="005728DD" w:rsidP="005728DD">
      <w:pPr>
        <w:pStyle w:val="TextoNormal"/>
      </w:pPr>
      <w:r>
        <w:t>e) La parte recurrente consideró pertinente el planteamiento de cuestión de inconstitucionalidad sobre las cuestiones i), ii) y iii). Respecto de la cuestión iv) no considera pertinente el planteamiento de cuestión.</w:t>
      </w:r>
    </w:p>
    <w:p w:rsidR="005728DD" w:rsidRDefault="005728DD" w:rsidP="005728DD">
      <w:pPr>
        <w:pStyle w:val="TextoNormal"/>
      </w:pPr>
    </w:p>
    <w:p w:rsidR="005728DD" w:rsidRDefault="005728DD" w:rsidP="005728DD">
      <w:pPr>
        <w:pStyle w:val="TextoNormal"/>
      </w:pPr>
      <w:r>
        <w:t>El fiscal considera que concurren todos los requisitos constitucionales y legales para el planteamiento de la cuestión. Si bien entiende que no procede la cuestión sobre las cuestiones i) ii) y iii), no se opone al planteamiento de la cuestión de inconstitucionalidad formulada en el apartado iv) de la misma providencia.</w:t>
      </w:r>
    </w:p>
    <w:p w:rsidR="005728DD" w:rsidRDefault="005728DD" w:rsidP="005728DD">
      <w:pPr>
        <w:pStyle w:val="TextoNormal"/>
      </w:pPr>
    </w:p>
    <w:p w:rsidR="005728DD" w:rsidRDefault="005728DD" w:rsidP="005728DD">
      <w:pPr>
        <w:pStyle w:val="TextoNormal"/>
      </w:pPr>
      <w:r>
        <w:lastRenderedPageBreak/>
        <w:t>El letrado de la Junta Electoral Central entiende que no es pertinente plantear la cuestión de inconstitucionalidad.</w:t>
      </w:r>
    </w:p>
    <w:p w:rsidR="005728DD" w:rsidRDefault="005728DD" w:rsidP="005728DD">
      <w:pPr>
        <w:pStyle w:val="TextoNormal"/>
      </w:pPr>
    </w:p>
    <w:p w:rsidR="005728DD" w:rsidRDefault="005728DD" w:rsidP="005728DD">
      <w:pPr>
        <w:pStyle w:val="TextoNormal"/>
      </w:pPr>
      <w:r>
        <w:t>f) Por auto de 20 de febrero de 2020, la Sección Cuarta de la Sala de lo Contencioso-Administrativo del Tribunal Supremo acuerda plantear cuestión de inconstitucionalidad en relación con “el artículo 153.1 de la de la Ley Orgánica 5/1985, de 19 de junio, de régimen electoral general; con el artículo 153.1 en relación con el artículo 53 y 50.4 LOREG y con el artículo 153.1 en relación con los artículos 53.1, 50.4 y 29 (</w:t>
      </w:r>
      <w:r w:rsidRPr="005728DD">
        <w:rPr>
          <w:i/>
        </w:rPr>
        <w:t>sic</w:t>
      </w:r>
      <w:r>
        <w:t>) y 34 de la Ley 14/1966, de 18 de marzo, de prensa e imprenta por infracción de la garantía que deriva del mandato de taxatividad de las infracciones y determinación de las sanciones del artículo 25.1 CE y por vulneración autónoma del principio de seguridad jurídica que garantiza el artículo 9.3 CE”.</w:t>
      </w:r>
    </w:p>
    <w:p w:rsidR="005728DD" w:rsidRDefault="005728DD" w:rsidP="005728DD">
      <w:pPr>
        <w:pStyle w:val="TextoNormal"/>
      </w:pPr>
    </w:p>
    <w:p w:rsidR="005728DD" w:rsidRDefault="005728DD" w:rsidP="005728DD">
      <w:pPr>
        <w:pStyle w:val="TextoNormal"/>
      </w:pPr>
      <w:r w:rsidRPr="005728DD">
        <w:rPr>
          <w:rStyle w:val="NumeroAFNegritaCaracter"/>
        </w:rPr>
        <w:t>3</w:t>
      </w:r>
      <w:r>
        <w:t>. Del contenido del auto de planteamiento interesa destacar lo siguiente:</w:t>
      </w:r>
    </w:p>
    <w:p w:rsidR="005728DD" w:rsidRDefault="005728DD" w:rsidP="005728DD">
      <w:pPr>
        <w:pStyle w:val="TextoNormal"/>
      </w:pPr>
    </w:p>
    <w:p w:rsidR="005728DD" w:rsidRDefault="005728DD" w:rsidP="005728DD">
      <w:pPr>
        <w:pStyle w:val="TextoNormal"/>
      </w:pPr>
      <w:r>
        <w:t>a) Comienza el auto de 20 de febrero señalando los preceptos legales aplicados por la resolución sancionadora para a continuación razonar las siguientes inconstitucionalidades:</w:t>
      </w:r>
    </w:p>
    <w:p w:rsidR="005728DD" w:rsidRDefault="005728DD" w:rsidP="005728DD">
      <w:pPr>
        <w:pStyle w:val="TextoNormal"/>
      </w:pPr>
    </w:p>
    <w:p w:rsidR="005728DD" w:rsidRDefault="005728DD" w:rsidP="005728DD">
      <w:pPr>
        <w:pStyle w:val="TextoNormal"/>
      </w:pPr>
      <w:r>
        <w:t>(i) Posible inconstitucionalidad del artículo 153.1 LOREG por vulneración de la garantía de taxatividad de las disposiciones sancionadoras (</w:t>
      </w:r>
      <w:r w:rsidRPr="005728DD">
        <w:rPr>
          <w:i/>
        </w:rPr>
        <w:t>lex certa</w:t>
      </w:r>
      <w:r>
        <w:t>), por imprecisión al integrar el tipo sancionador y por vulneración del principio de seguridad jurídica (art. 9.3 CE).</w:t>
      </w:r>
    </w:p>
    <w:p w:rsidR="005728DD" w:rsidRDefault="005728DD" w:rsidP="005728DD">
      <w:pPr>
        <w:pStyle w:val="TextoNormal"/>
      </w:pPr>
    </w:p>
    <w:p w:rsidR="005728DD" w:rsidRDefault="005728DD" w:rsidP="005728DD">
      <w:pPr>
        <w:pStyle w:val="TextoNormal"/>
      </w:pPr>
      <w:r>
        <w:t>La Sala considera que el artículo 153.1 LOREG, valorado en sí mismo y de forma aislada, contiene una norma sancionadora inconstitucional por ser imprecisa, abierta y de dudosa compatibilidad con las exigencias de la garantía material exigible a todo tipo sancionador porque, lejos de contener el núcleo esencial de la prohibición, se limita a tipificar como sancionable, en forma tautológica, “toda infracción de las normas obligatorias establecidas en la presente ley que no constituya delito”.</w:t>
      </w:r>
    </w:p>
    <w:p w:rsidR="005728DD" w:rsidRDefault="005728DD" w:rsidP="005728DD">
      <w:pPr>
        <w:pStyle w:val="TextoNormal"/>
      </w:pPr>
    </w:p>
    <w:p w:rsidR="005728DD" w:rsidRDefault="005728DD" w:rsidP="005728DD">
      <w:pPr>
        <w:pStyle w:val="TextoNormal"/>
      </w:pPr>
      <w:r>
        <w:t>El precepto obliga a integrar el tipo sancionador mediante la concreción del concepto jurídico indeterminado “normas obligatorias” lo que conduce a identificar y delimitar qué obligaciones derivarían de la LOREG, en qué consistiría la obligación en cada caso y a concretar qué incumplimientos o infracciones son susceptibles de sanción y quienes serían los obligados por ellas.</w:t>
      </w:r>
    </w:p>
    <w:p w:rsidR="005728DD" w:rsidRDefault="005728DD" w:rsidP="005728DD">
      <w:pPr>
        <w:pStyle w:val="TextoNormal"/>
      </w:pPr>
    </w:p>
    <w:p w:rsidR="005728DD" w:rsidRDefault="005728DD" w:rsidP="005728DD">
      <w:pPr>
        <w:pStyle w:val="TextoNormal"/>
      </w:pPr>
      <w:r>
        <w:t>Señala la Sala que la doctrina del Tribunal Constitucional no exige una redacción descriptiva y acabada en la ley penal de los supuestos de hecho penalmente ilícitos y admite tanto la incorporación al tipo de elementos normativos como las llamadas leyes penales en blanco; es decir las normas sancionadoras incompletas en las que la conducta o la consecuencia jurídico-penal no se encuentra agotadoramente prevista en ellas, debiendo acudirse para su integración a otra norma distinta, pero siempre que se den los requisitos que ha marcado una doctrina constitucional constante, a saber: a) que el reenvío normativo sea expreso y esté justificado en razón del bien jurídico protegido por la norma penal y b) que la ley, además de señalar la pena, contenga el núcleo esencial de la prohibición y satisfaga la exigencia de certeza u ofrezca la suficiente concreción, para que la conducta infractora quede suficientemente precisada con el complemento indispensable de la norma a la que la ley penal se remite, y resulte de esta forma salvaguardada la función de garantía del tipo, con la posibilidad de conocimiento de la actuación penalmente conminada.</w:t>
      </w:r>
    </w:p>
    <w:p w:rsidR="005728DD" w:rsidRDefault="005728DD" w:rsidP="005728DD">
      <w:pPr>
        <w:pStyle w:val="TextoNormal"/>
      </w:pPr>
    </w:p>
    <w:p w:rsidR="005728DD" w:rsidRDefault="005728DD" w:rsidP="005728DD">
      <w:pPr>
        <w:pStyle w:val="TextoNormal"/>
      </w:pPr>
      <w:r>
        <w:t>A juicio de la Sala, el artículo 153.1 LOREG puede infringir la garantía material de taxatividad y previsibilidad de las infracciones y de las sanciones que dimana del artículo 25.1 CE porque no contiene el núcleo esencial de la prohibición ni satisface en forma mínima las exigencias constitucionales de certeza.</w:t>
      </w:r>
    </w:p>
    <w:p w:rsidR="005728DD" w:rsidRDefault="005728DD" w:rsidP="005728DD">
      <w:pPr>
        <w:pStyle w:val="TextoNormal"/>
      </w:pPr>
    </w:p>
    <w:p w:rsidR="005728DD" w:rsidRDefault="005728DD" w:rsidP="005728DD">
      <w:pPr>
        <w:pStyle w:val="TextoNormal"/>
      </w:pPr>
      <w:r>
        <w:t>Para la Sala de lo Contencioso-Administrativo del Tribunal Supremo no sería aceptable la consideración, basada entre otros en el ATC 67/2018, de 20 de junio, de que el déficit de precisión de la ley pueda colmarse por una aplicación judicial que haya salvado la imprecisión en una legal aplicación regular y continuada, porque pocos ejemplos de imprecisión o laxitud en una norma sancionadora resultan, según la Sala, equiparables al que resulta del precepto legal controvertido y está en juego, además, en el presente caso el derecho a la libertad de información del artículo 20.1 d) CE.</w:t>
      </w:r>
    </w:p>
    <w:p w:rsidR="005728DD" w:rsidRDefault="005728DD" w:rsidP="005728DD">
      <w:pPr>
        <w:pStyle w:val="TextoNormal"/>
      </w:pPr>
    </w:p>
    <w:p w:rsidR="005728DD" w:rsidRDefault="005728DD" w:rsidP="005728DD">
      <w:pPr>
        <w:pStyle w:val="TextoNormal"/>
      </w:pPr>
      <w:r>
        <w:t>Para la Sala, en la medida en que la imprecisión del artículo 153.1 LOREG constituye un defecto de técnica legislativa que representa una merma obvia de la certeza del Derecho y conduce a soluciones imprevisibles para sus destinatarios abriendo la puerta a aplicaciones erráticas, contradictorias o arbitrarias de sanciones, entiende que puede quedar afectada también en forma autónoma la vertiente objetiva del principio de seguridad jurídica del artículo 9.3 CE.</w:t>
      </w:r>
    </w:p>
    <w:p w:rsidR="005728DD" w:rsidRDefault="005728DD" w:rsidP="005728DD">
      <w:pPr>
        <w:pStyle w:val="TextoNormal"/>
      </w:pPr>
    </w:p>
    <w:p w:rsidR="005728DD" w:rsidRDefault="005728DD" w:rsidP="005728DD">
      <w:pPr>
        <w:pStyle w:val="TextoNormal"/>
      </w:pPr>
      <w:r>
        <w:t>(ii) Posible inconstitucionalidad del artículo 153.1 LOREG, en relación con los artículos 53.1 y 50.4 de la misma, por vulneración del principio de seguridad jurídica del artículo 9.3 CE y de la garantía de taxatividad de las disposiciones sancionadoras (</w:t>
      </w:r>
      <w:r w:rsidRPr="005728DD">
        <w:rPr>
          <w:i/>
        </w:rPr>
        <w:t>lex certa</w:t>
      </w:r>
      <w:r>
        <w:t>) del artículo 25.1 por falta de predeterminación de los autores de las infracciones que aboca a interpretaciones analógicas.</w:t>
      </w:r>
    </w:p>
    <w:p w:rsidR="005728DD" w:rsidRDefault="005728DD" w:rsidP="005728DD">
      <w:pPr>
        <w:pStyle w:val="TextoNormal"/>
      </w:pPr>
    </w:p>
    <w:p w:rsidR="005728DD" w:rsidRDefault="005728DD" w:rsidP="005728DD">
      <w:pPr>
        <w:pStyle w:val="TextoNormal"/>
      </w:pPr>
      <w:r>
        <w:t>De acuerdo con el auto de 20 de febrero de la Sección Cuarta de la Sala de lo Contencioso-Administrativo del Tribunal Supremo, la identificación de los obligados por la norma de prohibición que establece el artículo 53 LOREG al disponer que “no puede difundirse propaganda electoral ni realizarse acto alguno de campaña electoral una vez que ésta haya legalmente terminado”, se enturbia cuando se recurre al artículo 50.4 de la misma que define lo que es campaña electoral por referencia al conjunto de actividades lícitas llevadas a cabo por los candidatos, partidos, federaciones, coaliciones o agrupaciones en orden a la captación de sufragios.</w:t>
      </w:r>
    </w:p>
    <w:p w:rsidR="005728DD" w:rsidRDefault="005728DD" w:rsidP="005728DD">
      <w:pPr>
        <w:pStyle w:val="TextoNormal"/>
      </w:pPr>
    </w:p>
    <w:p w:rsidR="005728DD" w:rsidRDefault="005728DD" w:rsidP="005728DD">
      <w:pPr>
        <w:pStyle w:val="TextoNormal"/>
      </w:pPr>
      <w:r>
        <w:t>Para el auto del Tribunal Supremo de 20 de febrero, en la hipótesis de que se trate de campaña electoral no es posible subsumir la conducta del director del diario sancionado en la Ley Orgánica del régimen electoral general y si se trata de propaganda electoral resulta que ni el artículo 53 LOREG, ni el artículo 50.4 LOREG ni ningún otro de la Ley orgánica 5/1985, indican quién puede difundir esa propaganda electoral, de cara a su eventual sanción en virtud de los artículos 53 y 153.1 LOREG.</w:t>
      </w:r>
    </w:p>
    <w:p w:rsidR="005728DD" w:rsidRDefault="005728DD" w:rsidP="005728DD">
      <w:pPr>
        <w:pStyle w:val="TextoNormal"/>
      </w:pPr>
    </w:p>
    <w:p w:rsidR="005728DD" w:rsidRDefault="005728DD" w:rsidP="005728DD">
      <w:pPr>
        <w:pStyle w:val="TextoNormal"/>
      </w:pPr>
      <w:r>
        <w:t xml:space="preserve">A juicio de la Sala, entender que un medio de comunicación se encuentra en la definición de los sujetos activos de la norma sancionadora aboca a una interpretación analógica </w:t>
      </w:r>
      <w:r w:rsidRPr="005728DD">
        <w:rPr>
          <w:i/>
        </w:rPr>
        <w:t>in malam partem</w:t>
      </w:r>
      <w:r>
        <w:t xml:space="preserve"> que contrasta con la imposibilidad de que las campañas y la propaganda se valgan de medios de comunicación y hace que el tipo legal, considerado en abstracto, resulte, según la Sala, incompatible con las exigencias constitucionales de una norma penal o </w:t>
      </w:r>
      <w:r>
        <w:lastRenderedPageBreak/>
        <w:t>sancionadora y con el ejercicio por parte de las personas sancionadas de un derecho fundamental esencial en el Estado social y democrático de Derecho, como es la libertad de información del artículo 20.1 d) CE.</w:t>
      </w:r>
    </w:p>
    <w:p w:rsidR="005728DD" w:rsidRDefault="005728DD" w:rsidP="005728DD">
      <w:pPr>
        <w:pStyle w:val="TextoNormal"/>
      </w:pPr>
    </w:p>
    <w:p w:rsidR="005728DD" w:rsidRDefault="005728DD" w:rsidP="005728DD">
      <w:pPr>
        <w:pStyle w:val="TextoNormal"/>
      </w:pPr>
      <w:r>
        <w:t>A juicio de la Sala, la realización de actividades periodísticas como la entrevista que se sanciona tiene el amparo indudable del derecho fundamental a la libertad de información a diferencia de la propaganda electoral y la campaña en la que se efectúa, que tienen como propósito buscar apoyo electoral y no solo informar.</w:t>
      </w:r>
    </w:p>
    <w:p w:rsidR="005728DD" w:rsidRDefault="005728DD" w:rsidP="005728DD">
      <w:pPr>
        <w:pStyle w:val="TextoNormal"/>
      </w:pPr>
    </w:p>
    <w:p w:rsidR="005728DD" w:rsidRDefault="005728DD" w:rsidP="005728DD">
      <w:pPr>
        <w:pStyle w:val="TextoNormal"/>
      </w:pPr>
      <w:r>
        <w:t>(iii) Posible inconstitucionalidad del artículo 153.1 LOREG, en relación con los artículos 53.1 y 50.4 de la misma y con los artículos 34 y 39 de la Ley 14/1966, de 18 de marzo, de prensa e imprenta por vulneración del principio de presunción de inocencia al trasladar en forma objetiva la responsabilidad al director de un periódico obviando el derecho a la libertad de información del artículo 20.1 d) CE.</w:t>
      </w:r>
    </w:p>
    <w:p w:rsidR="005728DD" w:rsidRDefault="005728DD" w:rsidP="005728DD">
      <w:pPr>
        <w:pStyle w:val="TextoNormal"/>
      </w:pPr>
    </w:p>
    <w:p w:rsidR="005728DD" w:rsidRDefault="005728DD" w:rsidP="005728DD">
      <w:pPr>
        <w:pStyle w:val="TextoNormal"/>
      </w:pPr>
      <w:r>
        <w:t>De acuerdo con el auto de 20 de febrero de la Sección Cuarta de la Sala de lo Contencioso-Administrativo del Tribunal Supremo, la resolución impugnada sanciona a una persona física distinta de la persona entrevistada, que es la que habría realizado la conducta típica de realizar actos de campaña electoral en la jornada de reflexión y, por ello, una vez que la campaña había finalizado. La sanción se produce por la mera condición objetiva de ser el director del periódico. Para la Sala trasladar al director de un medio de comunicación la responsabilidad por una infracción que habría cometido otra persona en una aplicación objetiva del derecho sancionador, al margen de la intencionalidad del infractor, puede comportar la afectación de la presunción de inocencia del artículo 24.2 CE.</w:t>
      </w:r>
    </w:p>
    <w:p w:rsidR="005728DD" w:rsidRDefault="005728DD" w:rsidP="005728DD">
      <w:pPr>
        <w:pStyle w:val="TextoNormal"/>
      </w:pPr>
    </w:p>
    <w:p w:rsidR="005728DD" w:rsidRDefault="005728DD" w:rsidP="005728DD">
      <w:pPr>
        <w:pStyle w:val="TextoNormal"/>
      </w:pPr>
      <w:r>
        <w:t>La inconstitucionalidad del artículo 153.1 LOREG en relación con el artículo 53 LOREG y con la Ley de prensa e imprenta también le resulta a la Sala atendible si se toma en consideración la presencia del artículo 20.1 d) CE, porque no cabe limitar el derecho fundamental a la libertad de información más que en los casos en que este entre en conflicto con otro derecho fundamental, lo que, para la Sala, no ocurre en el supuesto que se examina.</w:t>
      </w:r>
    </w:p>
    <w:p w:rsidR="005728DD" w:rsidRDefault="005728DD" w:rsidP="005728DD">
      <w:pPr>
        <w:pStyle w:val="TextoNormal"/>
      </w:pPr>
    </w:p>
    <w:p w:rsidR="005728DD" w:rsidRDefault="005728DD" w:rsidP="005728DD">
      <w:pPr>
        <w:pStyle w:val="TextoNormal"/>
      </w:pPr>
      <w:r>
        <w:t>(iv) Posible inconstitucionalidad del artículo 153.1 LOREG por vulneración de los principios de seguridad jurídica del artículo 9.3 CE y del mandato de taxatividad del artículo 25.1 CE por imprecisión en la determinación de las sanciones.</w:t>
      </w:r>
    </w:p>
    <w:p w:rsidR="005728DD" w:rsidRDefault="005728DD" w:rsidP="005728DD">
      <w:pPr>
        <w:pStyle w:val="TextoNormal"/>
      </w:pPr>
    </w:p>
    <w:p w:rsidR="005728DD" w:rsidRDefault="005728DD" w:rsidP="005728DD">
      <w:pPr>
        <w:pStyle w:val="TextoNormal"/>
      </w:pPr>
      <w:r>
        <w:t xml:space="preserve">Señala el auto de 20 de febrero de la Sección Cuarta de la Sala de lo Contencioso-Administrativo del Tribunal Supremo que la laxitud e imprecisión del artículo 153.1 LOREG se muestra también en la inexistencia en el mismo de una graduación de las sanciones que entiende de dudosa compatibilidad con los mandatos de taxatividad que dimanan del artículo 25.1 CE. La norma no especifica ni gradúa en forma alguna las infracciones distinguiendo entre las infracciones muy graves, graves o leves por lo que habilita a la administración sancionadora para que establezca </w:t>
      </w:r>
      <w:r w:rsidRPr="005728DD">
        <w:rPr>
          <w:i/>
        </w:rPr>
        <w:t>ad hoc</w:t>
      </w:r>
      <w:r>
        <w:t xml:space="preserve"> la que libre y, en su caso arbitrariamente, estime conveniente.</w:t>
      </w:r>
    </w:p>
    <w:p w:rsidR="005728DD" w:rsidRDefault="005728DD" w:rsidP="005728DD">
      <w:pPr>
        <w:pStyle w:val="TextoNormal"/>
      </w:pPr>
    </w:p>
    <w:p w:rsidR="005728DD" w:rsidRDefault="005728DD" w:rsidP="005728DD">
      <w:pPr>
        <w:pStyle w:val="TextoNormal"/>
      </w:pPr>
      <w:r>
        <w:t xml:space="preserve">Recuerda la Sala que se ha objetado, en las alegaciones al planteamiento de la cuestión, la escasa cuantía y la poca distancia existente entre 100 y 1000 €, como motivo para no tener en cuenta la ausencia de criterios de graduación, pero considera que no debe olvidarse que </w:t>
      </w:r>
      <w:r>
        <w:lastRenderedPageBreak/>
        <w:t>el sancionado es director de un medio de comunicación social que ha invocado en la demanda el derecho a la libertad de información que, como dice, no solo protege un interés individual sino que entraña el reconocimiento y garantía de la existencia de una opinión pública libre, indisolublemente unida al pluralismo político propio del Estado democrático.</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6 de mayo de 2020, el Pleno del Tribunal Constitucional, a propuesta de la Sección Primera, acordó admitir a trámite la presente cuestión de inconstitucionalidad; reservar para sí su conocimiento [art. 10.1 c) LOTC]; dar traslado de las actuaciones recibidas al Congreso de los Diputados, al Senado, al Gobierno, y a la fiscal general del Estado, al objeto de que puedan personarse en el proceso y formular alegaciones (art. 37.3 LOTC); comunicar la presente resolución a la Sección Cuarta de la Sala de lo Contencioso-Administrativo del Tribunal Supremo, a fin de que permanezca suspendido el proceso hasta que este tribunal resuelva definitivamente (art. 35.3 LOTC); y publicar la incoación de la cuestión en el “Boletín Oficial del Estado”.</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registrado el día 12 de mayo de 2020, don Francisco García Crespo, procurador de los tribunales y de don Bieito Rubido Ramonde, solicitó que se le tuviese por personado y parte en la presente cuestión de inconstitucionalidad, lo que fue así acordado por providencia del Pleno del Tribunal de fecha 29 de junio de 2020, con concesión de un plazo de quince días para formulación de alegaciones.</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registrado el día 22 de mayo de 2020, don Antonio Jesús Fonseca-Herrero, presidente de la Junta Electoral Central, solicitó que se tuviese a esta por personada y parte en la presente cuestión de inconstitucionalidad, lo que fue así acordado por providencia del Pleno del tribunal de fecha 29 de junio de 2020, con concesión de un plazo de quince días para formulación de alegaciones.</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escrito registrado el día 21 de mayo de 2020, la presidenta del Senado comunicó al tribunal el acuerdo de la mesa de la Cámara por el que se persona en el procedimiento y ofrece su colaboración a los efectos del art. 88.1 LOTC. Lo mismo hizo la presidenta del Congreso de los Diputados por escrito que tuvo entrada en este tribunal el día 12 de junio de 2020.</w:t>
      </w:r>
    </w:p>
    <w:p w:rsidR="005728DD" w:rsidRDefault="005728DD" w:rsidP="005728DD">
      <w:pPr>
        <w:pStyle w:val="TextoNormal"/>
      </w:pPr>
    </w:p>
    <w:p w:rsidR="005728DD" w:rsidRDefault="005728DD" w:rsidP="005728DD">
      <w:pPr>
        <w:pStyle w:val="TextoNormal"/>
      </w:pPr>
      <w:r w:rsidRPr="005728DD">
        <w:rPr>
          <w:rStyle w:val="NumeroAFNegritaCaracter"/>
        </w:rPr>
        <w:t>8</w:t>
      </w:r>
      <w:r>
        <w:t>. Con fecha 24 de junio de 2020, el abogado del Estado se personó en el procedimiento y formuló sus alegaciones, en las que interesa la desestimación de la cuestión de inconstitucionalidad, en atención a las razones que seguidamente se sintetizan.</w:t>
      </w:r>
    </w:p>
    <w:p w:rsidR="005728DD" w:rsidRDefault="005728DD" w:rsidP="005728DD">
      <w:pPr>
        <w:pStyle w:val="TextoNormal"/>
      </w:pPr>
    </w:p>
    <w:p w:rsidR="005728DD" w:rsidRDefault="005728DD" w:rsidP="005728DD">
      <w:pPr>
        <w:pStyle w:val="TextoNormal"/>
      </w:pPr>
      <w:r>
        <w:t>Tras recordar las tachas de inconstitucionalidad recogidas en el auto de 20 de febrero de 2020 y la posición adoptada por las partes señala el abogado del Estado que la referencia a la vulneración del art. 9.3 CE es una reiteración de la vulneración del art. 25.1 CE ya que este precisamente al regular la garantía material de la taxatividad tiene por finalidad garantizar la seguridad jurídica.</w:t>
      </w:r>
    </w:p>
    <w:p w:rsidR="005728DD" w:rsidRDefault="005728DD" w:rsidP="005728DD">
      <w:pPr>
        <w:pStyle w:val="TextoNormal"/>
      </w:pPr>
    </w:p>
    <w:p w:rsidR="005728DD" w:rsidRDefault="005728DD" w:rsidP="005728DD">
      <w:pPr>
        <w:pStyle w:val="TextoNormal"/>
      </w:pPr>
      <w:r>
        <w:t xml:space="preserve">Igualmente señala que el tribunal proponente de la cuestión plantea varias cuestiones que no se resuelven por medio del control de constitucionalidad del art 153.1 LOREG, sino que se refieren a la aplicación de dicho artículo, en combinación con otros al caso concreto por </w:t>
      </w:r>
      <w:r>
        <w:lastRenderedPageBreak/>
        <w:t>parte de la Junta Electoral Central. Esto es plantea el tribunal cuestiones relativas a la motivación y/o justificación de la resolución sancionadora emitida por la Junta Electoral Central, en concreto respecto de la vulneración del derecho a la libertad de información [art. 20.1 d) CE] por imputar una conducta de propaganda electoral sin acreditar la culpabilidad del sujeto infractor, así como por imputar la responsabilidad al director del medio de comunicación en aplicación de los art. 34 y 39 de la Ley preconstitucional de prensa (Ley 14/1966). Para el abogado del Estado ambas cuestiones no requieren un control de constitucionalidad del art. 153.1 LOREG sino de la resolución de la Junta Electoral Central en cuanto a la posible vulneración, en una adecuada ponderación de intereses en juego, del derecho fundamental del sujeto infractor (el director del periódico) a la libertad de información y del derecho a unas elecciones libres.</w:t>
      </w:r>
    </w:p>
    <w:p w:rsidR="005728DD" w:rsidRDefault="005728DD" w:rsidP="005728DD">
      <w:pPr>
        <w:pStyle w:val="TextoNormal"/>
      </w:pPr>
    </w:p>
    <w:p w:rsidR="005728DD" w:rsidRDefault="005728DD" w:rsidP="005728DD">
      <w:pPr>
        <w:pStyle w:val="TextoNormal"/>
      </w:pPr>
      <w:r>
        <w:t>Tras identificar el escrito del abogado del Estado la que considera que es la cuestión central que se plantea el tribunal proponente —que la norma incurre en la vulneración del art. 25.1 CE por la imprecisión y falta de determinación en cuanto a la infracción sancionable, el sujeto infractor y la graduación de las sanciones posibles—; reproduce el abogado del Estado la doctrina constitucional condensada en las SSTC 81/2009 y 145/2013 y el ATC 67/2018.</w:t>
      </w:r>
    </w:p>
    <w:p w:rsidR="005728DD" w:rsidRDefault="005728DD" w:rsidP="005728DD">
      <w:pPr>
        <w:pStyle w:val="TextoNormal"/>
      </w:pPr>
    </w:p>
    <w:p w:rsidR="005728DD" w:rsidRDefault="005728DD" w:rsidP="005728DD">
      <w:pPr>
        <w:pStyle w:val="TextoNormal"/>
      </w:pPr>
      <w:r>
        <w:t>Examina a continuación el art. 153 LOREG señalando que la norma no se remite a un posterior desarrollo reglamentario, por lo que no nos encontramos ante una norma en blanco que debe completarse con lo dispuesto por normas reglamentarias.</w:t>
      </w:r>
    </w:p>
    <w:p w:rsidR="005728DD" w:rsidRDefault="005728DD" w:rsidP="005728DD">
      <w:pPr>
        <w:pStyle w:val="TextoNormal"/>
      </w:pPr>
    </w:p>
    <w:p w:rsidR="005728DD" w:rsidRDefault="005728DD" w:rsidP="005728DD">
      <w:pPr>
        <w:pStyle w:val="TextoNormal"/>
      </w:pPr>
      <w:r>
        <w:t>La propia Ley Orgánica del régimen electoral general es el ámbito propio de aplicación del art. 153.1 y es en dicho ámbito orgánico donde se regulan las normas obligatorias en los distintos procesos electorales y en dicho ámbito agota su contenido. Señala el abogado del Estado que a un observador medio le es perfectamente inteligible que las normas recogidas en la ley y que regulan el proceso reglado del proceso electoral son obligatorias. Igualmente señala que tampoco están indeterminados los sujetos infractores ya que la norma diferencia entre los funcionarios públicos y los particulares como posibles sujetos.</w:t>
      </w:r>
    </w:p>
    <w:p w:rsidR="005728DD" w:rsidRDefault="005728DD" w:rsidP="005728DD">
      <w:pPr>
        <w:pStyle w:val="TextoNormal"/>
      </w:pPr>
    </w:p>
    <w:p w:rsidR="005728DD" w:rsidRDefault="005728DD" w:rsidP="005728DD">
      <w:pPr>
        <w:pStyle w:val="TextoNormal"/>
      </w:pPr>
      <w:r>
        <w:t>Asimismo, recuerda el abogado del Estado que existe un cuerpo doctrinal administrativo y jurisprudencial consolidado sobre el alcance y límites en cuanto al hecho y sujeto infractores en el marco del art. 153.1 LOREG, más aún en materia de campañas electorales y jornada de reflexión. Señala el abogado del Estado que la Junta Electoral Central ha dictado veintiocho resoluciones referidas a infracciones y sanciones electorales y. en concreto, sobre irregularidades cometidas durante la jornada de reflexión; veintiséis, la mayoría de ellas referidas a medios de comunicación por la realización de entrevistas o publicación de noticias que podrían considerarse actos de campaña electoral. Para el abogado del Estado no es cuestionable que los medios de comunicación, precisamente por el ejercicio del derecho a la libertad de información, son sujetos responsables al amparo de la Ley Orgánica del régimen electoral general por posibles actos de campaña electoral. Cuestión distinta es que en la mayoría de los supuestos se valorase que primaba el derecho a la libertad informativa y que no se podía considerar la actuación del medio de comunicación como un acto de campaña electoral.</w:t>
      </w:r>
    </w:p>
    <w:p w:rsidR="005728DD" w:rsidRDefault="005728DD" w:rsidP="005728DD">
      <w:pPr>
        <w:pStyle w:val="TextoNormal"/>
      </w:pPr>
    </w:p>
    <w:p w:rsidR="005728DD" w:rsidRDefault="005728DD" w:rsidP="005728DD">
      <w:pPr>
        <w:pStyle w:val="TextoNormal"/>
      </w:pPr>
      <w:r>
        <w:t xml:space="preserve">Subraya el abogado del Estado que existe una amplia jurisprudencia sobre el alcance de la obligación de no realizar actos de campaña electoral y a quien afecta, y cita la sentencia </w:t>
      </w:r>
      <w:r>
        <w:lastRenderedPageBreak/>
        <w:t>del Tribunal Supremo, Sala de lo Penal, de 5 de mayo de 1989, que dispone que “en efecto, terminada la campaña electoral la ley establece el llamado periodo de reflexión, en el que el elector, libre ya de la presión psicológica de los mensajes propagandísticos pueda decidir con serenidad de ánimo la candidatura o la persona que estime más idónea. Por ello, se prohíbe la continuación de la campaña que de alguna manera pueda perturbar en esas últimas horas el sosiego y la tranquilidad indispensables para una profunda reflexión en un acto tan trascendente como es el de elegir la persona o personas que hayan de representarnos en la institución a la que la elección se refiere. Los destinatarios de la prohibición son todas las personas físicas y jurídicas, sin excepción. Nadie puede hacer ya propaganda no solo aquéllos que en el período de campaña electoral la realizan y pueden realizarla, sino todos. Otra interpretación conduciría al absurdo, es, decir, a la más, absoluta inoperatividad del importante mandato legal porque la propaganda se haría, al menos, ‘formalmente’, por personas no vinculadas a partidos, federaciones, coaliciones, agrupaciones de electores y candidatos”.</w:t>
      </w:r>
    </w:p>
    <w:p w:rsidR="005728DD" w:rsidRDefault="005728DD" w:rsidP="005728DD">
      <w:pPr>
        <w:pStyle w:val="TextoNormal"/>
      </w:pPr>
    </w:p>
    <w:p w:rsidR="005728DD" w:rsidRDefault="005728DD" w:rsidP="005728DD">
      <w:pPr>
        <w:pStyle w:val="TextoNormal"/>
      </w:pPr>
      <w:r>
        <w:t>Prosigue el abogado del Estado señalando que, si bien es cierto que el art. 153.1 LOREG no recoge una regulación de la graduación de las sanciones, la propia LOREG recoge criterios de graduación en función de la junta electoral competente para la imposición de la sanción. Ello se complementa con la Ley 40/2015 de régimen jurídico del sector público que regula los criterios de graduación en el artículo 29 y que es de aplicación a las actuaciones realizadas en materia sancionadora por la Junta Electoral Central conforme a la remisión prevista en el art. 120 LOREG.</w:t>
      </w:r>
    </w:p>
    <w:p w:rsidR="005728DD" w:rsidRDefault="005728DD" w:rsidP="005728DD">
      <w:pPr>
        <w:pStyle w:val="TextoNormal"/>
      </w:pPr>
    </w:p>
    <w:p w:rsidR="005728DD" w:rsidRDefault="005728DD" w:rsidP="005728DD">
      <w:pPr>
        <w:pStyle w:val="TextoNormal"/>
      </w:pPr>
      <w:r>
        <w:t>Para el abogado del Estado, las cuestiones que plantea el tribunal proponente no son en sí un cuestionamiento del art. 153.1 LOREG, sino que se centran en la aplicación de la norma, conjuntamente con otras (Ley 14/1966) a un supuesto concreto y del impacto que tiene el derecho a la libertad de información en el hecho concreto que la Junta Electoral Central considera acto de campaña electoral: la difusión de una entrevista en un medio de comunicación escrito el día de la jornada de reflexión. Considera que el tribunal proponente transforma su discrepancia en cuanto a la valoración de los intereses en juego realizada por la Junta Electoral Central y su valoración de que, en el caso concreto, debe prevalecer la libertad de información frente a la obligación de neutralidad en las elecciones en una cuestión de inconstitucionalidad sobre el art. 153.1 LOREG.</w:t>
      </w:r>
    </w:p>
    <w:p w:rsidR="005728DD" w:rsidRDefault="005728DD" w:rsidP="005728DD">
      <w:pPr>
        <w:pStyle w:val="TextoNormal"/>
      </w:pPr>
    </w:p>
    <w:p w:rsidR="005728DD" w:rsidRDefault="005728DD" w:rsidP="005728DD">
      <w:pPr>
        <w:pStyle w:val="TextoNormal"/>
      </w:pPr>
      <w:r w:rsidRPr="005728DD">
        <w:rPr>
          <w:rStyle w:val="NumeroAFNegritaCaracter"/>
        </w:rPr>
        <w:t>9</w:t>
      </w:r>
      <w:r>
        <w:t>. Mediante escrito registrado el día 3 de julio de 2020, la fiscal general del Estado comparece e interesa la desestimación de la cuestión de inconstitucionalidad con fundamento en las alegaciones que se resumen a continuación.</w:t>
      </w:r>
    </w:p>
    <w:p w:rsidR="005728DD" w:rsidRDefault="005728DD" w:rsidP="005728DD">
      <w:pPr>
        <w:pStyle w:val="TextoNormal"/>
      </w:pPr>
    </w:p>
    <w:p w:rsidR="005728DD" w:rsidRDefault="005728DD" w:rsidP="005728DD">
      <w:pPr>
        <w:pStyle w:val="TextoNormal"/>
      </w:pPr>
      <w:r>
        <w:t>Tras la exposición de los antecedentes de hecho, del auto de planteamiento de la cuestión y de las posiciones de las partes en el proceso a quo, procede el escrito de la fiscal a examinar si se han observado los trámites previstos en el art. 35.2 LOTC para poder tener por cumplidas las condiciones procesales exigidas por el precepto orgánico.</w:t>
      </w:r>
    </w:p>
    <w:p w:rsidR="005728DD" w:rsidRDefault="005728DD" w:rsidP="005728DD">
      <w:pPr>
        <w:pStyle w:val="TextoNormal"/>
      </w:pPr>
    </w:p>
    <w:p w:rsidR="005728DD" w:rsidRDefault="005728DD" w:rsidP="005728DD">
      <w:pPr>
        <w:pStyle w:val="TextoNormal"/>
      </w:pPr>
      <w:r>
        <w:t xml:space="preserve">A continuación señala la fiscal general del Estado que la valoración de la conducta del infractor desde la óptica del derecho fundamental a la libertad de información cae fuera del objeto de esta cuestión de inconstitucionalidad, siendo acaso, objeto de valoración en el marco de un recurso de amparo, teniendo en cuenta que como todo derecho fundamental no es absoluto y está sometido a límites que nacen del respeto a otros derechos fundamentales y bienes constitucionales, como la pureza de los procesos electorales y el respeto al día de </w:t>
      </w:r>
      <w:r>
        <w:lastRenderedPageBreak/>
        <w:t>reflexión de los electores, destinado a procurar un periodo de serenidad y de reflexión de los votantes, o el respeto a la igualdad que en el acceso a los cargos públicos exige el art. 23.2 CE, que podría verse alterada por la publicación de entrevistas a políticos con contenido electoralistas y, por ello, susceptibles de captar el voto, una vez terminada la campaña electoral.</w:t>
      </w:r>
    </w:p>
    <w:p w:rsidR="005728DD" w:rsidRDefault="005728DD" w:rsidP="005728DD">
      <w:pPr>
        <w:pStyle w:val="TextoNormal"/>
      </w:pPr>
    </w:p>
    <w:p w:rsidR="005728DD" w:rsidRDefault="005728DD" w:rsidP="005728DD">
      <w:pPr>
        <w:pStyle w:val="TextoNormal"/>
      </w:pPr>
      <w:r>
        <w:t>Procede a continuación a abordar las tachas de inconstitucionalidad alegadas.</w:t>
      </w:r>
    </w:p>
    <w:p w:rsidR="005728DD" w:rsidRDefault="005728DD" w:rsidP="005728DD">
      <w:pPr>
        <w:pStyle w:val="TextoNormal"/>
      </w:pPr>
    </w:p>
    <w:p w:rsidR="005728DD" w:rsidRDefault="005728DD" w:rsidP="005728DD">
      <w:pPr>
        <w:pStyle w:val="TextoNormal"/>
      </w:pPr>
      <w:r>
        <w:t>Así en primer lugar recuerda que el Tribunal Supremo invoca, como primer motivo de inconstitucionalidad del art. 153.1 CE, la vulneración del principio de legalidad del art. 25.1 CE, en relación con la garantía de taxatividad, por la imprecisión en que el tipo infractor está redactado.</w:t>
      </w:r>
    </w:p>
    <w:p w:rsidR="005728DD" w:rsidRDefault="005728DD" w:rsidP="005728DD">
      <w:pPr>
        <w:pStyle w:val="TextoNormal"/>
      </w:pPr>
    </w:p>
    <w:p w:rsidR="005728DD" w:rsidRDefault="005728DD" w:rsidP="005728DD">
      <w:pPr>
        <w:pStyle w:val="TextoNormal"/>
      </w:pPr>
      <w:r>
        <w:t>De acuerdo con el art. 153 LOREG la determinación de la conducta infractora exige predeterminar las obligaciones que, en materia electoral impone la Ley Orgánica de régimen electoral general a sus destinatarios y, en caso de incumplimiento de las mismas, verificar si la conducta está tipificada como delito electoral en la propia Ley Orgánica para poder aplicar el precepto sancionador cuestionado.</w:t>
      </w:r>
    </w:p>
    <w:p w:rsidR="005728DD" w:rsidRDefault="005728DD" w:rsidP="005728DD">
      <w:pPr>
        <w:pStyle w:val="TextoNormal"/>
      </w:pPr>
    </w:p>
    <w:p w:rsidR="005728DD" w:rsidRDefault="005728DD" w:rsidP="005728DD">
      <w:pPr>
        <w:pStyle w:val="TextoNormal"/>
      </w:pPr>
      <w:r>
        <w:t>Tras reproducir la doctrina constitucional sobre la garantía material de taxatividad considera la fiscal general del Estado que el precepto controvertido contiene el núcleo esencial de la infracción, incumplir las normas obligatorias establecidas por la LOREG que no constituyan delito.</w:t>
      </w:r>
    </w:p>
    <w:p w:rsidR="005728DD" w:rsidRDefault="005728DD" w:rsidP="005728DD">
      <w:pPr>
        <w:pStyle w:val="TextoNormal"/>
      </w:pPr>
    </w:p>
    <w:p w:rsidR="005728DD" w:rsidRDefault="005728DD" w:rsidP="005728DD">
      <w:pPr>
        <w:pStyle w:val="TextoNormal"/>
      </w:pPr>
      <w:r>
        <w:t>Así, la esfera del comportamiento ilícito es perfectamente inteligible para el destinatario de la norma pues el precepto predetermina la infracción como un desconocimiento de las normas obligatorias de la propia LOREG, le basta al destinatario con indagar en la propia Ley Orgánica cuales son aquellas normas que imponen obligaciones de inexcusable cumplimiento sin que le sea preciso acudir a otras normas, como reglamentos o leyes, ajenas a la Ley Orgánica electoral. Esta remisión a la propia ley orgánica más que dificultar el conocimiento de lo prohibido lo facilita, salvaguardando el valor de seguridad jurídica al que sirve el principio de legalidad.</w:t>
      </w:r>
    </w:p>
    <w:p w:rsidR="005728DD" w:rsidRDefault="005728DD" w:rsidP="005728DD">
      <w:pPr>
        <w:pStyle w:val="TextoNormal"/>
      </w:pPr>
    </w:p>
    <w:p w:rsidR="005728DD" w:rsidRDefault="005728DD" w:rsidP="005728DD">
      <w:pPr>
        <w:pStyle w:val="TextoNormal"/>
      </w:pPr>
      <w:r>
        <w:t>El hecho de que la configuración normativa del tipo infractor se integre por las disposiciones de los arts. 50.4 y 53 LOREG, que define, el primero, lo que es campaña electoral, y que establece, el segundo, la prohibición de hacer campaña electoral o difundir propaganda electoral una vez finalizada la misma, refrenda la ausencia de cualquier infracción del principio de taxatividad del art. 153.1 LOREG, sancionando, por ello, aquellas actividades que, terminada la campaña electoral; durante el día de reflexión y votación, puedan definirse como captación del voto.</w:t>
      </w:r>
    </w:p>
    <w:p w:rsidR="005728DD" w:rsidRDefault="005728DD" w:rsidP="005728DD">
      <w:pPr>
        <w:pStyle w:val="TextoNormal"/>
      </w:pPr>
    </w:p>
    <w:p w:rsidR="005728DD" w:rsidRDefault="005728DD" w:rsidP="005728DD">
      <w:pPr>
        <w:pStyle w:val="TextoNormal"/>
      </w:pPr>
      <w:r>
        <w:t xml:space="preserve">La predeterminación, por tanto, de los elementos objetivos y subjetivo de la infracción es previsible para los destinatarios de la norma y para el propio aplicador del derecho; la norma no abre la puerta a posibles aplicaciones erráticas, contradictorias y arbitrarias de sanciones, de modo que quedara también afectada la vertiente objetiva del principio de seguridad jurídica pues le basta al órgano judicial comprobar si la conducta es subsumible en alguna de las normas obligatorias de la Ley electoral, en el presente caso, si se respeta la </w:t>
      </w:r>
      <w:r>
        <w:lastRenderedPageBreak/>
        <w:t>prohibición establecida en el art. 53 LOREG, y si la actividad que se sanciona puede entenderse como propaganda o campaña electoral (art. 50.4 LOREG) y, potencialmente, puede captar el voto, y verificar si está o no tipificada como delito, de manera que la interpretación y aplicación de la norma no hace la decisión judicial libre y arbitraria.</w:t>
      </w:r>
    </w:p>
    <w:p w:rsidR="005728DD" w:rsidRDefault="005728DD" w:rsidP="005728DD">
      <w:pPr>
        <w:pStyle w:val="TextoNormal"/>
      </w:pPr>
    </w:p>
    <w:p w:rsidR="005728DD" w:rsidRDefault="005728DD" w:rsidP="005728DD">
      <w:pPr>
        <w:pStyle w:val="TextoNormal"/>
      </w:pPr>
      <w:r>
        <w:t>En segundo lugar examina el escrito de la fiscal general el segundo motivo alegado por el Tribunal Supremo que considera que el art. 153.1 LOREG, en relación con los artículos 53.1 y 50.4 LOREG, sería inconstitucional por vulneración del principio de seguridad jurídica del art. 9.3 CE y de la garantía de taxatividad de las disposiciones sancionadoras (</w:t>
      </w:r>
      <w:r w:rsidRPr="005728DD">
        <w:rPr>
          <w:i/>
        </w:rPr>
        <w:t>lex certa</w:t>
      </w:r>
      <w:r>
        <w:t>) del art. 25.1 CE, por falta de predeterminación de los autores de las infracciones que aboca a interpretaciones analógicas.</w:t>
      </w:r>
    </w:p>
    <w:p w:rsidR="005728DD" w:rsidRDefault="005728DD" w:rsidP="005728DD">
      <w:pPr>
        <w:pStyle w:val="TextoNormal"/>
      </w:pPr>
    </w:p>
    <w:p w:rsidR="005728DD" w:rsidRDefault="005728DD" w:rsidP="005728DD">
      <w:pPr>
        <w:pStyle w:val="TextoNormal"/>
      </w:pPr>
      <w:r>
        <w:t>Señala el escrito de la fiscal general del Estado que el art. 153.1 LOREG, al establecer las sanciones por las conductas infractoras que tipifica, diferencia la cuantía de la sanción según que el sujeto activo de la infracción sea una autoridad o funcionario o un particular. Configurado el medio de comunicación como persona jurídica nada impide considerar que el mismo aparece englobado en el término “particulares”. Lo que se castiga es realizar, una vez terminada la campaña electoral, actividades que puedan suponer la captación del voto, en concreto del día de reflexión o votación, actividades que pueden ser realizadas por cualquier tipo de sujeto. Dicha conducta contradice el mandato del art. 53 LOREG, cuyo incumplimiento se configura como una infracción del art. 153.1 LOREG. Cuando la actividad se realiza a través de un medio de comunicación, los arts. 34 y 39 de la Ley 14/1966, de 18 de marzo, de prensa e imprenta, establecen la responsabilidad del director del medio de comunicación.</w:t>
      </w:r>
    </w:p>
    <w:p w:rsidR="005728DD" w:rsidRDefault="005728DD" w:rsidP="005728DD">
      <w:pPr>
        <w:pStyle w:val="TextoNormal"/>
      </w:pPr>
    </w:p>
    <w:p w:rsidR="005728DD" w:rsidRDefault="005728DD" w:rsidP="005728DD">
      <w:pPr>
        <w:pStyle w:val="TextoNormal"/>
      </w:pPr>
      <w:r>
        <w:t>En tercer lugar el Tribunal Supremo alega la posible inconstitucionalidad de los arts. 34 y 39 de la Ley 14/1966, de 18 de marzo, de prensa e imprenta que permiten establecer una responsabilidad objetiva del sujeto infractor de modo que se desconocerían el principio de culpabilidad y presunción de inocencia.</w:t>
      </w:r>
    </w:p>
    <w:p w:rsidR="005728DD" w:rsidRDefault="005728DD" w:rsidP="005728DD">
      <w:pPr>
        <w:pStyle w:val="TextoNormal"/>
      </w:pPr>
    </w:p>
    <w:p w:rsidR="005728DD" w:rsidRDefault="005728DD" w:rsidP="005728DD">
      <w:pPr>
        <w:pStyle w:val="TextoNormal"/>
      </w:pPr>
      <w:r>
        <w:t>Para la fiscal general del Estado esta afirmación quedaría contradicha en la medida que el control o dominio de lo publicado, en el medio de comunicación, es del director de la publicación, que es quien determina lo que se publica y su contenido en el medio informativo.</w:t>
      </w:r>
    </w:p>
    <w:p w:rsidR="005728DD" w:rsidRDefault="005728DD" w:rsidP="005728DD">
      <w:pPr>
        <w:pStyle w:val="TextoNormal"/>
      </w:pPr>
    </w:p>
    <w:p w:rsidR="005728DD" w:rsidRDefault="005728DD" w:rsidP="005728DD">
      <w:pPr>
        <w:pStyle w:val="TextoNormal"/>
      </w:pPr>
      <w:r>
        <w:t>La obligación de no difundir propaganda electoral o realizar acto alguno de campaña electoral, una vez esta haya terminado legalmente, viene establecida por el art. 53 LOREG mientras que el art. 50.4 LOREG precisa que por campaña electoral debe entenderse toda·actividad tendente a la captación de votos.</w:t>
      </w:r>
    </w:p>
    <w:p w:rsidR="005728DD" w:rsidRDefault="005728DD" w:rsidP="005728DD">
      <w:pPr>
        <w:pStyle w:val="TextoNormal"/>
      </w:pPr>
    </w:p>
    <w:p w:rsidR="005728DD" w:rsidRDefault="005728DD" w:rsidP="005728DD">
      <w:pPr>
        <w:pStyle w:val="TextoNormal"/>
      </w:pPr>
      <w:r>
        <w:t>Esta obligación exigible al sujeto infractor, le impone un deber de cuidado de que el contenido publicado en el medio de comunicación, el día de jornada de reflexión, respete el significado de la misma de manera que aquel contenido publicado no pueda ser tachado de electoralista, entendido, como idóneo para la captación del voto.</w:t>
      </w:r>
    </w:p>
    <w:p w:rsidR="005728DD" w:rsidRDefault="005728DD" w:rsidP="005728DD">
      <w:pPr>
        <w:pStyle w:val="TextoNormal"/>
      </w:pPr>
    </w:p>
    <w:p w:rsidR="005728DD" w:rsidRDefault="005728DD" w:rsidP="005728DD">
      <w:pPr>
        <w:pStyle w:val="TextoNormal"/>
      </w:pPr>
      <w:r>
        <w:t xml:space="preserve">Finalmente examina la fiscal general del Estado la alegación que considera que el art. 153.1 LOREG vulnera el principio de legalidad del art. 25.1 CE y de seguridad jurídica del art. 9.3 CE, en relación con el principio de taxatividad por imprecisión en la determinación </w:t>
      </w:r>
      <w:r>
        <w:lastRenderedPageBreak/>
        <w:t>de las sanciones. Para la fiscal el hecho de que la norma no contenga una clasificación de las infracciones o carezca de criterios de graduación de la sanción de manera que la gravedad de esta se adecúe a la gravedad de la conducta infractora de la LOREG, no significa necesariamente que dicha ausencia conduzca directamente a considerar el art. 153.1 LOREG inconstitucional por falta de predeterminación normativa de la sanción, pues el complemento de los criterios de gradación de la sanción, para establecer una correspondencia entre la infracción y la sanción, atendida la gravedad de la infracción, viene dispensado por la Ley 40/2015, de 1 de octubre, de régimen jurídico del sector público, como ha asumido la doctrina constitucional.</w:t>
      </w:r>
    </w:p>
    <w:p w:rsidR="005728DD" w:rsidRDefault="005728DD" w:rsidP="005728DD">
      <w:pPr>
        <w:pStyle w:val="TextoNormal"/>
      </w:pPr>
    </w:p>
    <w:p w:rsidR="005728DD" w:rsidRDefault="005728DD" w:rsidP="005728DD">
      <w:pPr>
        <w:pStyle w:val="TextoNormal"/>
      </w:pPr>
      <w:r>
        <w:t>Para la fiscal general los criterios de la norma complementaria están perfectamente definidos y objetivados de modo que condicionan normativamente la actuación de la administración y permiten la revisión jurisdiccional de la decisión que, en cada caso, se hubiese alcanzado. Se cumplen pues, las exigencias de predeterminación normativa y certeza que se derivan de los preceptos constitucionales.</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escrito registrado en este tribunal el día 21 de julio de 2020, don Ignacio Gutiérrez Cassillas, letrado de las Cortes Generales, actuando en nombre y representación de la Junta Electoral Central, solicitó la desestimación de la cuestión con base en las siguientes alegaciones.</w:t>
      </w:r>
    </w:p>
    <w:p w:rsidR="005728DD" w:rsidRDefault="005728DD" w:rsidP="005728DD">
      <w:pPr>
        <w:pStyle w:val="TextoNormal"/>
      </w:pPr>
    </w:p>
    <w:p w:rsidR="005728DD" w:rsidRDefault="005728DD" w:rsidP="005728DD">
      <w:pPr>
        <w:pStyle w:val="TextoNormal"/>
      </w:pPr>
      <w:r>
        <w:t>En relación con la primera tacha de constitucionalidad recogida en el auto de planteamiento de la cuestión, considera el representante de la Junta Electoral Central que debe tenerse presente, también, que el requisito de taxatividad de las normas sancionadoras no debe exigirse de manera absoluta, dado que la jurisprudencia del Tribunal Constitucional ha puesto de relieve que cabe un cierto margen de modulación o apreciación por los operadores jurídicos, margen que resulta específicamente más amplio en el caso de las normas sancionadoras administrativas (por comparación con las normas penales, donde la taxatividad se exige con una intensidad mucho mayor). A ello añade el representante de la Junta Electoral Central que la imprecisión de una norma sancionadora puede ser aliviada y aclarada gracias a la labor de interpretación regular y estable de la jurisprudencia.</w:t>
      </w:r>
    </w:p>
    <w:p w:rsidR="005728DD" w:rsidRDefault="005728DD" w:rsidP="005728DD">
      <w:pPr>
        <w:pStyle w:val="TextoNormal"/>
      </w:pPr>
    </w:p>
    <w:p w:rsidR="005728DD" w:rsidRDefault="005728DD" w:rsidP="005728DD">
      <w:pPr>
        <w:pStyle w:val="TextoNormal"/>
      </w:pPr>
      <w:r>
        <w:t>En relación con esta última cuestión reproduce el representante de la Junta Electoral Central la doctrina recogida en el ATC 67/2018 en la que se recuerda que “los términos supuestamente imprecisos de una norma penal, ya sea por su dicción literal o por su puesta en relación con otras normas, pueden haber quedado clarificados por una interpretación regular y estable de la jurisprudencia aplicativa […]. De esta forma, nuestra jurisprudencia ha señalado que, en muchas ocasiones, en un proceso normal de adaptación y aplicación de la ley, el problema de constitucionalidad analizado ‘se traslada del legislador al intérprete y aplicador de la norma’, de modo que el aparente déficit de precisión de la ley deviene compatible con las exigencias del principio de legalidad cuando la aplicación judicial del precepto se colma a través de una subsunción motivada (STC 151/1997, FJ 3)”.</w:t>
      </w:r>
    </w:p>
    <w:p w:rsidR="005728DD" w:rsidRDefault="005728DD" w:rsidP="005728DD">
      <w:pPr>
        <w:pStyle w:val="TextoNormal"/>
      </w:pPr>
    </w:p>
    <w:p w:rsidR="005728DD" w:rsidRDefault="005728DD" w:rsidP="005728DD">
      <w:pPr>
        <w:pStyle w:val="TextoNormal"/>
      </w:pPr>
      <w:r>
        <w:t xml:space="preserve">Basándose en dicha doctrina, el representante de la Junta Electoral Central sostiene que, aun siendo mejorable la redacción dada al artículo 153.1 LOREG, su conexión con el resto de normas prohibitivas que se establecen en dicha ley ha permitido hasta ahora concretar con suficiente claridad los elementos subjetivos y objetivos de las infracciones electorales, salvaguardando adecuadamente la seguridad jurídica de quienes directa o indirectamente </w:t>
      </w:r>
      <w:r>
        <w:lastRenderedPageBreak/>
        <w:t>intervienen en el desarrollo de los comicios. En este sentido, el Tribunal Supremo ha confirmado en numerosas ocasiones sanciones impuestas por esta junta en aplicación del artículo 153.1, puesto en conexión con la descripción de las conductas prohibidas por otros preceptos de la LOREG.</w:t>
      </w:r>
    </w:p>
    <w:p w:rsidR="005728DD" w:rsidRDefault="005728DD" w:rsidP="005728DD">
      <w:pPr>
        <w:pStyle w:val="TextoNormal"/>
      </w:pPr>
    </w:p>
    <w:p w:rsidR="005728DD" w:rsidRDefault="005728DD" w:rsidP="005728DD">
      <w:pPr>
        <w:pStyle w:val="TextoNormal"/>
      </w:pPr>
      <w:r>
        <w:t>Para el representante de la Junta Electoral Central el artículo 153.1 LOREG puesto en conexión con los artículos 53 y 50.4 de dicha ley no configura una regulación tan abierta, vaga o genérica que los medios de comunicación (en este caso el diario “ABC”) no sepan de antemano que durante la jornada de reflexión no puede hacerse campaña electoral, dado que ese es el rasgo esencial que caracteriza a la llamada jornada de reflexión. Así el contexto legal al que se remite el artículo 153.1, acompañado de una interpretación regular y estable efectuada por la jurisprudencia del Tribunal Supremo, han permitido salvar adecuadamente los imprecisos términos con que está redactado el precepto en cuestión.</w:t>
      </w:r>
    </w:p>
    <w:p w:rsidR="005728DD" w:rsidRDefault="005728DD" w:rsidP="005728DD">
      <w:pPr>
        <w:pStyle w:val="TextoNormal"/>
      </w:pPr>
    </w:p>
    <w:p w:rsidR="005728DD" w:rsidRDefault="005728DD" w:rsidP="005728DD">
      <w:pPr>
        <w:pStyle w:val="TextoNormal"/>
      </w:pPr>
      <w:r>
        <w:t>En segundo lugar examina el escrito el representante de la Junta Electoral Central el segundo motivo alegado por el Tribunal Supremo que considera que el art. 153.1 LOREG, en relación con los artículos 53.1 y 50.4 LOREG, sería inconstitucional por vulneración del principio de seguridad jurídica del art. 9.3 CE y de la garantía de taxatividad de las disposiciones sancionadoras (</w:t>
      </w:r>
      <w:r w:rsidRPr="005728DD">
        <w:rPr>
          <w:i/>
        </w:rPr>
        <w:t>lex certa</w:t>
      </w:r>
      <w:r>
        <w:t>) del art. 25.1 CE, por falta de predeterminación de los autores de las infracciones que aboca a interpretaciones analógicas.</w:t>
      </w:r>
    </w:p>
    <w:p w:rsidR="005728DD" w:rsidRDefault="005728DD" w:rsidP="005728DD">
      <w:pPr>
        <w:pStyle w:val="TextoNormal"/>
      </w:pPr>
    </w:p>
    <w:p w:rsidR="005728DD" w:rsidRDefault="005728DD" w:rsidP="005728DD">
      <w:pPr>
        <w:pStyle w:val="TextoNormal"/>
      </w:pPr>
      <w:r>
        <w:t>Entiende el representante de la junta electoral que ha sido el legislador el que ha fijado un límite a la libertad de expresión al establecer en el artículo 53 LOREG que no se difunda propaganda electoral, ni se realice acto alguno de campaña una vez que esta haya legalmente terminado (es decir, los días correspondientes a las jornadas de reflexión y votación). Límite que se aplica, también, a los medios de comunicación.</w:t>
      </w:r>
    </w:p>
    <w:p w:rsidR="005728DD" w:rsidRDefault="005728DD" w:rsidP="005728DD">
      <w:pPr>
        <w:pStyle w:val="TextoNormal"/>
      </w:pPr>
    </w:p>
    <w:p w:rsidR="005728DD" w:rsidRDefault="005728DD" w:rsidP="005728DD">
      <w:pPr>
        <w:pStyle w:val="TextoNormal"/>
      </w:pPr>
      <w:r>
        <w:t>En relación con el valor jurídico que sirve de fundamento del mencionado artículo 53, considera el representante de la junta electoral que la prohibición establecida en dicho artículo de la Ley Orgánica del régimen electoral general protege valores jurídicos indispensables, y acogidos por la jurisprudencia del Tribunal Supremo, como la igualdad de armas de los contendientes electorales o la libertad del derecho de sufragio, (arts. 23 CE y 8 LOREG, entre otros). Así las limitaciones que el artículo 53 LOREG contiene respecto de la libertad de información (art. 20 CE) serían en salvaguarda de una jornada de reflexión, previa a la votación lo que conecta con la libertad del derecho de sufragio (art. 23.1 CE), así como con el derecho a acceder a los cargos públicos en condiciones de igualdad (art. 23.2 CE).</w:t>
      </w:r>
    </w:p>
    <w:p w:rsidR="005728DD" w:rsidRDefault="005728DD" w:rsidP="005728DD">
      <w:pPr>
        <w:pStyle w:val="TextoNormal"/>
      </w:pPr>
    </w:p>
    <w:p w:rsidR="005728DD" w:rsidRDefault="005728DD" w:rsidP="005728DD">
      <w:pPr>
        <w:pStyle w:val="TextoNormal"/>
      </w:pPr>
      <w:r>
        <w:t>Prosigue el representante de la junta electoral examinando una tercera tacha de inconstitucionalidad como es la que se refiere a la de los arts. 34 y 39 de la Ley 14/1966, de 18 de marzo, de prensa e imprenta que permiten, de acuerdo con el auto de planteamiento de la cuestión, establecer una responsabilidad objetiva del sujeto infractor de modo que se desconocerían el principio de culpabilidad y presunción de inocencia.</w:t>
      </w:r>
    </w:p>
    <w:p w:rsidR="005728DD" w:rsidRDefault="005728DD" w:rsidP="005728DD">
      <w:pPr>
        <w:pStyle w:val="TextoNormal"/>
      </w:pPr>
    </w:p>
    <w:p w:rsidR="005728DD" w:rsidRDefault="005728DD" w:rsidP="005728DD">
      <w:pPr>
        <w:pStyle w:val="TextoNormal"/>
      </w:pPr>
      <w:r>
        <w:t xml:space="preserve">Para el representante de la junta electoral los artículos 34 y 39 de la Ley de prensa e imprenta suponen que el director es quién, por motivos de jerarquía, ostenta el dominio del acto y quien tiene el deber de conocer la importancia de respetar el periodo de reflexión, </w:t>
      </w:r>
      <w:r>
        <w:lastRenderedPageBreak/>
        <w:t>evitando dar un tratamiento tan preferente y diferenciado en favor de la líder de una candidatura la cual, utilizando la portada entera del periódico, se vio capacitada para defender su programa electoral y movilizar el voto en su propio beneficio, aprovechándose del silencio propagandístico que es propio de la jornada de reflexión, con el consiguiente quebranto de la igualdad entre candidatos (art. 23.2 CE y 8 LOREG).</w:t>
      </w:r>
    </w:p>
    <w:p w:rsidR="005728DD" w:rsidRDefault="005728DD" w:rsidP="005728DD">
      <w:pPr>
        <w:pStyle w:val="TextoNormal"/>
      </w:pPr>
    </w:p>
    <w:p w:rsidR="005728DD" w:rsidRDefault="005728DD" w:rsidP="005728DD">
      <w:pPr>
        <w:pStyle w:val="TextoNormal"/>
      </w:pPr>
      <w:r>
        <w:t>En cuanto a la alegación que considera que el art. 153.1 LOREG vulnera el principio de legalidad del art. 25.1 CE y de seguridad jurídica del art. 9.3 CE, en relación con el principio de taxatividad por imprecisión en la determinación de las sanciones, sostiene el representante de la junta electoral que la horquilla o marco que separa el límite mínimo del límite máximo (de 100 a 1000 €) de la posible sanción a imponer resulta tan escaso que carece de relevancia constitucional la ausencia de criterios para la graduación de las sanciones en el artículo 153.1 LOREG.</w:t>
      </w:r>
    </w:p>
    <w:p w:rsidR="005728DD" w:rsidRDefault="005728DD" w:rsidP="005728DD">
      <w:pPr>
        <w:pStyle w:val="TextoNormal"/>
      </w:pPr>
    </w:p>
    <w:p w:rsidR="005728DD" w:rsidRDefault="005728DD" w:rsidP="005728DD">
      <w:pPr>
        <w:pStyle w:val="TextoNormal"/>
      </w:pPr>
      <w:r>
        <w:t>Aborda a continuación el representante de la junta electoral las condiciones esenciales de la jornada de reflexión y su conocimiento y respeto por los medios de comunicación. Señala en su escrito que la representación del diario “ABC” ha sostenido que un periódico no puede hacer campaña electoral y, como no puede hacer campaña electoral, no le es de aplicación la prohibición que dimana del artículo 53 LOREG (no puede difundirse propaganda electoral ni realizarse acto alguno de campaña electoral una vez que esta haya legalmente terminado).</w:t>
      </w:r>
    </w:p>
    <w:p w:rsidR="005728DD" w:rsidRDefault="005728DD" w:rsidP="005728DD">
      <w:pPr>
        <w:pStyle w:val="TextoNormal"/>
      </w:pPr>
    </w:p>
    <w:p w:rsidR="005728DD" w:rsidRDefault="005728DD" w:rsidP="005728DD">
      <w:pPr>
        <w:pStyle w:val="TextoNormal"/>
      </w:pPr>
      <w:r>
        <w:t>Sin embargo, para el representante de la junta electoral debe subrayarse el elemento objetivo que se incluye en el artículo 50 LOREG; esto es, que por campaña deben entenderse las actividades licitas en orden a la captación de sufragios. Porque de ese concepto no cabe inferir, como hace el recurrente, que únicamente los candidatos (partidos, federaciones, coaliciones o agrupaciones de electores) sean quienes puedan infringir el artículo 53 LOREG. La referencia a los sujetos protagonistas del proceso electoral tiene más que ver con la prohibición que el apartado 5 de ese mismo precepto establece al señalar que “ninguna persona jurídica distinta de las mencionadas en el apartado anterior podrá realizar campaña electoral a partir de la fecha de la convocatoria de las elecciones”.</w:t>
      </w:r>
    </w:p>
    <w:p w:rsidR="005728DD" w:rsidRDefault="005728DD" w:rsidP="005728DD">
      <w:pPr>
        <w:pStyle w:val="TextoNormal"/>
      </w:pPr>
    </w:p>
    <w:p w:rsidR="005728DD" w:rsidRDefault="005728DD" w:rsidP="005728DD">
      <w:pPr>
        <w:pStyle w:val="TextoNormal"/>
      </w:pPr>
      <w:r>
        <w:t>Dicho con otras palabras: el articulo 50 LOREG, en su apartado 4, circunscribe el concepto de “campaña electoral” a las formaciones políticas porque seguidamente, en su apartado 5, prohíbe que hagan campaña quienes no compiten en las elecciones.</w:t>
      </w:r>
    </w:p>
    <w:p w:rsidR="005728DD" w:rsidRDefault="005728DD" w:rsidP="005728DD">
      <w:pPr>
        <w:pStyle w:val="TextoNormal"/>
      </w:pPr>
    </w:p>
    <w:p w:rsidR="005728DD" w:rsidRDefault="005728DD" w:rsidP="005728DD">
      <w:pPr>
        <w:pStyle w:val="TextoNormal"/>
      </w:pPr>
      <w:r>
        <w:t xml:space="preserve">Tanto la infracción del artículo 53 como el delito previsto en el artículo 144.1 a) LOREG pueden ser cometidos por cualquier persona que realice propaganda electoral el día de reflexión o el día de votación (por ejemplo, simpatizantes o medios afines que ese día se organicen para difundir eslóganes susceptibles de movilizar el voto a favor o en contra de una candidatura). Para el representante de la junta electoral de otro modo, sería demasiado fácil esquivar la prohibición de hacer campaña en las jornadas de reflexión y votación, si se entiende que esa prohibición solamente está dirigida a las formaciones políticas contendientes en las elecciones. En este sentido, es ya antigua la doctrina de la Junta Electoral Central en la que se pone de relieve que en la jornada de reflexión los medios de comunicación pueden realizar información objetiva (al amparo del artículo 20 de la Constitución), incluso referencias a los actos de campaña electoral realizados el día de cierre de la misma, siempre y cuando dicha información no entrañe propaganda electoral; ahora bien, en relación con la </w:t>
      </w:r>
      <w:r>
        <w:lastRenderedPageBreak/>
        <w:t>publicación de entrevistas el día de reflexión la Junta Electoral Central en sus acuerdos de 10 de junio de 1999 y 26 de octubre de 2006 sintetiza su interpretación de la Ley Orgánica del régimen electoral general en esta materia señalando que: “No cabe publicar tales entrevistas el día anterior al de la votación porque dicha publicación puede ser considerada un acto de campaña y no se trata de actividad de información, como sí lo es la de referencia a los actos de campaña celebrados el día de su cierre y publicados el día de reflexión”.</w:t>
      </w:r>
    </w:p>
    <w:p w:rsidR="005728DD" w:rsidRDefault="005728DD" w:rsidP="005728DD">
      <w:pPr>
        <w:pStyle w:val="TextoNormal"/>
      </w:pPr>
    </w:p>
    <w:p w:rsidR="005728DD" w:rsidRDefault="005728DD" w:rsidP="005728DD">
      <w:pPr>
        <w:pStyle w:val="TextoNormal"/>
      </w:pPr>
      <w:r>
        <w:t>Considera a continuación el escrito del representante de la junta electoral, con referencia a la doctrina recogida en la STC 129/2006, que el nivel de responsabilidad exigible al director de un periódico implica que debe ser perfectamente consciente de las limitaciones que la libertad de prensa (art. 20 CE) tiene durante el proceso electoral y, singularmente, durante las jornadas de reflexión y votación, y que con su entrevista estaba quebrantando el “silencio de la campaña electoral” que es inherente al concepto mismo de “jornada de reflexión”; por lo que, al publicarla ese día (intencionadamente o sin la diligencia debida), vulneró el artículo 53, quebrantando valores jurídicos clave en unos comicios, como son la libertad del voto y, sobre todo en este caso, la igualdad entre candidatos (artículo 23 CE), pues posibilitó la difusión de eslóganes dirigidos a la movilización de los votantes en un día en que el resto de candidatos tenía prohibida la posibilidad de hacerlo. Por ello considera que la conducta sancionada no debía ser imprevisible para él y que, por consiguiente, su seguridad jurídica no ha sido quebrantada, a pesar de la mejorable redacción del art. 153.1, en relación con los artículos 53 y 50.4 LOREG.</w:t>
      </w:r>
    </w:p>
    <w:p w:rsidR="005728DD" w:rsidRDefault="005728DD" w:rsidP="005728DD">
      <w:pPr>
        <w:pStyle w:val="TextoNormal"/>
      </w:pPr>
    </w:p>
    <w:p w:rsidR="005728DD" w:rsidRDefault="005728DD" w:rsidP="005728DD">
      <w:pPr>
        <w:pStyle w:val="TextoNormal"/>
      </w:pPr>
      <w:r w:rsidRPr="005728DD">
        <w:rPr>
          <w:rStyle w:val="NumeroAFNegritaCaracter"/>
        </w:rPr>
        <w:t>11</w:t>
      </w:r>
      <w:r>
        <w:t>. Mediante escrito registrado en este tribunal el 23 de julio de 2020, don Francisco García Crespo, procurador de los tribunales y de don Bieito Rubido Ramonde, formula alegaciones sobre la posible inconstitucionalidad del art. 153.1 LOREG.</w:t>
      </w:r>
    </w:p>
    <w:p w:rsidR="005728DD" w:rsidRDefault="005728DD" w:rsidP="005728DD">
      <w:pPr>
        <w:pStyle w:val="TextoNormal"/>
      </w:pPr>
    </w:p>
    <w:p w:rsidR="005728DD" w:rsidRDefault="005728DD" w:rsidP="005728DD">
      <w:pPr>
        <w:pStyle w:val="TextoNormal"/>
      </w:pPr>
      <w:r>
        <w:t>Tras remitirse a las alegaciones formuladas cuando el Tribunal Supremo dio traslado a las partes del procedimiento para pronunciarse sobre la pertinencia de plantear cuestión de inconstitucionalidad de 15 de enero de 2020, procede a realizar un desarrollo de las mismas.</w:t>
      </w:r>
    </w:p>
    <w:p w:rsidR="005728DD" w:rsidRDefault="005728DD" w:rsidP="005728DD">
      <w:pPr>
        <w:pStyle w:val="TextoNormal"/>
      </w:pPr>
    </w:p>
    <w:p w:rsidR="005728DD" w:rsidRDefault="005728DD" w:rsidP="005728DD">
      <w:pPr>
        <w:pStyle w:val="TextoNormal"/>
      </w:pPr>
      <w:r>
        <w:t>Así señala que el art. 153.1 LOREG emplea la técnica de la remisión normativa, y no acota mínimamente el ámbito material de la conducta punible, pues se remite a “cualquier norma obligatoria” de la Ley Orgánica del régimen electoral general que no constituya delito”. Esto implica para el ciudadano tener que analizar no solo la propia LOREG, ley que contiene 227 artículos sino también el Código penal español, para poder llegar a la conclusión sobre si la norma que prevea una conducta concreta es “obligatoria”; y si el incumplimiento de dicha conducta es o no constitutivo de delito.</w:t>
      </w:r>
    </w:p>
    <w:p w:rsidR="005728DD" w:rsidRDefault="005728DD" w:rsidP="005728DD">
      <w:pPr>
        <w:pStyle w:val="TextoNormal"/>
      </w:pPr>
    </w:p>
    <w:p w:rsidR="005728DD" w:rsidRDefault="005728DD" w:rsidP="005728DD">
      <w:pPr>
        <w:pStyle w:val="TextoNormal"/>
      </w:pPr>
      <w:r>
        <w:t>Además, en el supuesto concreto que nos ocupa, el artículo 153.1 LOREG plantea un problema, cual es que la “norma obligatoria” a la que se remite para establecer la correspondiente sanción es imprecisa en cuanto a los elementos que configuran la conducta punible. Así, tres serían las conductas sancionables según el artículo 53 LOREG:</w:t>
      </w:r>
    </w:p>
    <w:p w:rsidR="005728DD" w:rsidRDefault="005728DD" w:rsidP="005728DD">
      <w:pPr>
        <w:pStyle w:val="TextoNormal"/>
      </w:pPr>
    </w:p>
    <w:p w:rsidR="005728DD" w:rsidRDefault="005728DD" w:rsidP="005728DD">
      <w:pPr>
        <w:pStyle w:val="TextoNormal"/>
      </w:pPr>
      <w:r>
        <w:t xml:space="preserve">(i) por un lado, la difusión de propaganda electoral una vez que la campaña electoral haya finalizado legalmente; </w:t>
      </w:r>
    </w:p>
    <w:p w:rsidR="005728DD" w:rsidRDefault="005728DD" w:rsidP="005728DD">
      <w:pPr>
        <w:pStyle w:val="TextoNormal"/>
      </w:pPr>
    </w:p>
    <w:p w:rsidR="005728DD" w:rsidRDefault="005728DD" w:rsidP="005728DD">
      <w:pPr>
        <w:pStyle w:val="TextoNormal"/>
      </w:pPr>
      <w:r>
        <w:t xml:space="preserve">(ii) por otro, la realización de algún acto de campaña electoral una vez que esta haya finalizado legalmente; y </w:t>
      </w:r>
    </w:p>
    <w:p w:rsidR="005728DD" w:rsidRDefault="005728DD" w:rsidP="005728DD">
      <w:pPr>
        <w:pStyle w:val="TextoNormal"/>
      </w:pPr>
    </w:p>
    <w:p w:rsidR="005728DD" w:rsidRDefault="005728DD" w:rsidP="005728DD">
      <w:pPr>
        <w:pStyle w:val="TextoNormal"/>
      </w:pPr>
      <w:r>
        <w:t>(iii) finalmente, la realización de publicidad o propaganda electoral desde la convocatoria de las elecciones hasta el inicio legal de la campaña mediante carteles, soportes comerciales o inserciones en prensa, radio u otros medios digitales.</w:t>
      </w:r>
    </w:p>
    <w:p w:rsidR="005728DD" w:rsidRDefault="005728DD" w:rsidP="005728DD">
      <w:pPr>
        <w:pStyle w:val="TextoNormal"/>
      </w:pPr>
    </w:p>
    <w:p w:rsidR="005728DD" w:rsidRDefault="005728DD" w:rsidP="005728DD">
      <w:pPr>
        <w:pStyle w:val="TextoNormal"/>
      </w:pPr>
      <w:r>
        <w:t>La definición de “campaña electoral”, aunque parca, está en el artículo 50.4 LOREG. Pero la Ley no contiene definición alguna de “difusión de propaganda electoral”.</w:t>
      </w:r>
    </w:p>
    <w:p w:rsidR="005728DD" w:rsidRDefault="005728DD" w:rsidP="005728DD">
      <w:pPr>
        <w:pStyle w:val="TextoNormal"/>
      </w:pPr>
    </w:p>
    <w:p w:rsidR="005728DD" w:rsidRDefault="005728DD" w:rsidP="005728DD">
      <w:pPr>
        <w:pStyle w:val="TextoNormal"/>
      </w:pPr>
      <w:r>
        <w:t>De acuerdo con el escrito presentado esta indeterminación de las conductas punibles lleva a que la Junta Electoral Central goce de un poder de interpretación discrecional que bajo ningún concepto puede considerarse constitucionalmente lícito.</w:t>
      </w:r>
    </w:p>
    <w:p w:rsidR="005728DD" w:rsidRDefault="005728DD" w:rsidP="005728DD">
      <w:pPr>
        <w:pStyle w:val="TextoNormal"/>
      </w:pPr>
    </w:p>
    <w:p w:rsidR="005728DD" w:rsidRDefault="005728DD" w:rsidP="005728DD">
      <w:pPr>
        <w:pStyle w:val="TextoNormal"/>
      </w:pPr>
      <w:r>
        <w:t>En segundo lugar, entiende la parte que el precepto cuestionado, en relación con los artículos 53 y 50.4 LOREG, se muestra inconstitucional por falta de predeterminación de los autores de las infracciones, vulnerando así los artículos 9.3 y 25.1 de la Constitución.</w:t>
      </w:r>
    </w:p>
    <w:p w:rsidR="005728DD" w:rsidRDefault="005728DD" w:rsidP="005728DD">
      <w:pPr>
        <w:pStyle w:val="TextoNormal"/>
      </w:pPr>
    </w:p>
    <w:p w:rsidR="005728DD" w:rsidRDefault="005728DD" w:rsidP="005728DD">
      <w:pPr>
        <w:pStyle w:val="TextoNormal"/>
      </w:pPr>
      <w:r>
        <w:t>La LOREG tan solo delimita los posibles autores materiales con respecto a una de las tres posibles conductas ilícitas que se recogen en el art. 53: la realización de campaña electoral.</w:t>
      </w:r>
    </w:p>
    <w:p w:rsidR="005728DD" w:rsidRDefault="005728DD" w:rsidP="005728DD">
      <w:pPr>
        <w:pStyle w:val="TextoNormal"/>
      </w:pPr>
    </w:p>
    <w:p w:rsidR="005728DD" w:rsidRDefault="005728DD" w:rsidP="005728DD">
      <w:pPr>
        <w:pStyle w:val="TextoNormal"/>
      </w:pPr>
      <w:r>
        <w:t>Así, de acuerdo con el artículo 50.4 LOREG, precepto que define escuetamente el concepto de “campaña electoral”, podrían ser autores materiales de la primera de las infracciones contempladas en el artículo 53 LOREG los candidatos, partidos, federaciones, coaliciones o agrupaciones.</w:t>
      </w:r>
    </w:p>
    <w:p w:rsidR="005728DD" w:rsidRDefault="005728DD" w:rsidP="005728DD">
      <w:pPr>
        <w:pStyle w:val="TextoNormal"/>
      </w:pPr>
    </w:p>
    <w:p w:rsidR="005728DD" w:rsidRDefault="005728DD" w:rsidP="005728DD">
      <w:pPr>
        <w:pStyle w:val="TextoNormal"/>
      </w:pPr>
      <w:r>
        <w:t>Sin embargo, la Ley Orgánica del régimen electoral general ni define qué es la propaganda electoral ni la publicidad electoral, ni define quién puede realizar propaganda electoral, ni tampoco define quién puede hacer publicidad electoral.</w:t>
      </w:r>
    </w:p>
    <w:p w:rsidR="005728DD" w:rsidRDefault="005728DD" w:rsidP="005728DD">
      <w:pPr>
        <w:pStyle w:val="TextoNormal"/>
      </w:pPr>
    </w:p>
    <w:p w:rsidR="005728DD" w:rsidRDefault="005728DD" w:rsidP="005728DD">
      <w:pPr>
        <w:pStyle w:val="TextoNormal"/>
      </w:pPr>
      <w:r>
        <w:t>Entiende el representante de la parte, por tanto, que el artículo 153.1 LOREG, en relación con los artículos 53 y 50.4 del mismo texto legal, debe reputarse inconstitucional por falta de determinación del sujeto activo de las conductas consistentes en “realizar propaganda electoral” y “realizar publicidad electoral”.</w:t>
      </w:r>
    </w:p>
    <w:p w:rsidR="005728DD" w:rsidRDefault="005728DD" w:rsidP="005728DD">
      <w:pPr>
        <w:pStyle w:val="TextoNormal"/>
      </w:pPr>
    </w:p>
    <w:p w:rsidR="005728DD" w:rsidRDefault="005728DD" w:rsidP="005728DD">
      <w:pPr>
        <w:pStyle w:val="TextoNormal"/>
      </w:pPr>
      <w:r>
        <w:t>En tercer lugar, considera el escrito de la representación de la parte, que también debe reputarse inconstitucional el artículo 153.1 LOREG, en relación con los artículos 34 y 39 de la Ley 14/1966, de 18 de marzo, de prensa e imprenta, por implicar una aplicación objetiva del derecho sancionador, al margen de la intencionalidad del sujeto, lo que es de todo punto contrario al derecho a la presunción de inocencia garantizado por el artículo 24.2 de la Constitución española.</w:t>
      </w:r>
    </w:p>
    <w:p w:rsidR="005728DD" w:rsidRDefault="005728DD" w:rsidP="005728DD">
      <w:pPr>
        <w:pStyle w:val="TextoNormal"/>
      </w:pPr>
    </w:p>
    <w:p w:rsidR="005728DD" w:rsidRDefault="005728DD" w:rsidP="005728DD">
      <w:pPr>
        <w:pStyle w:val="TextoNormal"/>
      </w:pPr>
      <w:r>
        <w:t>E igualmente debe considerarse inconstitucional el también aludido precepto de la LOREG por vulnerar el derecho a la libertad de la información constitucionalmente protegido por el artículo 20 de la Constitución española.</w:t>
      </w:r>
    </w:p>
    <w:p w:rsidR="005728DD" w:rsidRDefault="005728DD" w:rsidP="005728DD">
      <w:pPr>
        <w:pStyle w:val="TextoNormal"/>
      </w:pPr>
    </w:p>
    <w:p w:rsidR="005728DD" w:rsidRDefault="005728DD" w:rsidP="005728DD">
      <w:pPr>
        <w:pStyle w:val="TextoNormal"/>
      </w:pPr>
      <w:r>
        <w:t xml:space="preserve">El ejercicio de este derecho fundamental, publicando una entrevista a un candidato político en día previo a las elecciones no vulnera ningún derecho, por lo que una norma que </w:t>
      </w:r>
      <w:r>
        <w:lastRenderedPageBreak/>
        <w:t>habilite imponer sanciones cercenando, sin base legal alguna, el derecho fundamental a la libertad de la información deberá reputarse inconstitucional en todo caso.</w:t>
      </w:r>
    </w:p>
    <w:p w:rsidR="005728DD" w:rsidRDefault="005728DD" w:rsidP="005728DD">
      <w:pPr>
        <w:pStyle w:val="TextoNormal"/>
      </w:pPr>
    </w:p>
    <w:p w:rsidR="005728DD" w:rsidRDefault="005728DD" w:rsidP="005728DD">
      <w:pPr>
        <w:pStyle w:val="TextoNormal"/>
      </w:pPr>
      <w:r>
        <w:t>En último lugar, entiende el representante de la parte que es inconstitucional el artículo 153.1 LOREG por el hecho de ser impreciso a la hora de determinar las sanciones, ya que únicamente fija un baremo sancionador (multa de 300 a 3000 €, si la infracción la ha cometido una autoridad o funcionario, y de 100 a 1000 €, si la ha cometido un particular), pero no establece ningún criterio objetivo o que, al menos, sirva de base para la concreta individualización de la sanción.</w:t>
      </w:r>
    </w:p>
    <w:p w:rsidR="005728DD" w:rsidRDefault="005728DD" w:rsidP="005728DD">
      <w:pPr>
        <w:pStyle w:val="TextoNormal"/>
      </w:pPr>
    </w:p>
    <w:p w:rsidR="005728DD" w:rsidRDefault="005728DD" w:rsidP="005728DD">
      <w:pPr>
        <w:pStyle w:val="TextoNormal"/>
      </w:pPr>
      <w:r>
        <w:t xml:space="preserve">Entiende el representante de la parte que el artículo 153.1 LOREG deberá ser reputado inconstitucional en el caso de que el Tribunal Constitucional declare no resultar de aplicación el artículo 29.3 de la Ley de régimen jurídico del sector público a la Junta Electoral Central, a la que no se le puede calificar como administración pública, sino como una suerte de administración </w:t>
      </w:r>
      <w:r w:rsidRPr="005728DD">
        <w:rPr>
          <w:i/>
        </w:rPr>
        <w:t>ad hoc</w:t>
      </w:r>
      <w:r>
        <w:t>, para colmar la imprecisión existente en cuanto a los criterios para la individualización de las sanciones.</w:t>
      </w:r>
    </w:p>
    <w:p w:rsidR="005728DD" w:rsidRDefault="005728DD" w:rsidP="005728DD">
      <w:pPr>
        <w:pStyle w:val="TextoNormal"/>
      </w:pPr>
    </w:p>
    <w:p w:rsidR="005728DD" w:rsidRDefault="005728DD" w:rsidP="005728DD">
      <w:pPr>
        <w:pStyle w:val="TextoNormal"/>
      </w:pPr>
      <w:r w:rsidRPr="005728DD">
        <w:rPr>
          <w:rStyle w:val="NumeroAFNegritaCaracter"/>
        </w:rPr>
        <w:t>12</w:t>
      </w:r>
      <w:r>
        <w:t>. Por providencia de 26 de enero de 2021, se señaló para deliberación y fallo de la sentencia el día 28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presente cuestión de inconstitucionalidad ha sido planteada por la Sección Cuarta de la Sala de lo Contencioso-Administrativo del Tribunal Supremo respecto al artículo 153.1 de la Ley Orgánica 5/1985, de 19 de junio, del régimen electoral general, en relación con los artículos 53.1 y 50.4 de la propia LOREG y los artículos 34 y 39 de la Ley 14/1966, de 18 de marzo, de prensa e imprenta, por infracción de la garantía que deriva del mandato de taxatividad de las infracciones y determinación de las sanciones del artículo 25.1 CE y por vulneración autónoma del principio de seguridad jurídica que garantiza el artículo 9.3 CE.</w:t>
      </w:r>
    </w:p>
    <w:p w:rsidR="005728DD" w:rsidRDefault="005728DD" w:rsidP="005728DD">
      <w:pPr>
        <w:pStyle w:val="TextoNormal"/>
      </w:pPr>
    </w:p>
    <w:p w:rsidR="005728DD" w:rsidRDefault="005728DD" w:rsidP="005728DD">
      <w:pPr>
        <w:pStyle w:val="TextoNormal"/>
      </w:pPr>
      <w:r>
        <w:t>De acuerdo con el artículo 153.1 LOREG:</w:t>
      </w:r>
    </w:p>
    <w:p w:rsidR="005728DD" w:rsidRDefault="005728DD" w:rsidP="005728DD">
      <w:pPr>
        <w:pStyle w:val="TextoNormal"/>
      </w:pPr>
    </w:p>
    <w:p w:rsidR="005728DD" w:rsidRDefault="005728DD" w:rsidP="005728DD">
      <w:pPr>
        <w:pStyle w:val="TextoNormal"/>
      </w:pPr>
      <w:r>
        <w:t>“Toda infracción de las normas obligatorias establecidas en la presente ley que no constituya delito será sancionada por la junta electoral competente. La multa será de 300 a 3000 euros si se trata de autoridades o funcionarios y de 100 a 1000 si se realiza por particulares”.</w:t>
      </w:r>
    </w:p>
    <w:p w:rsidR="005728DD" w:rsidRDefault="005728DD" w:rsidP="005728DD">
      <w:pPr>
        <w:pStyle w:val="TextoNormal"/>
      </w:pPr>
    </w:p>
    <w:p w:rsidR="005728DD" w:rsidRDefault="005728DD" w:rsidP="005728DD">
      <w:pPr>
        <w:pStyle w:val="TextoNormal"/>
      </w:pPr>
      <w:r>
        <w:t>El referido precepto se remite a la hora de conformar las infracciones sancionadas por el mismo a “toda infracción de las normas obligatorias establecidas en la presente ley que no constituya delito”, entre la cuales se encontrarían aquellas recogidas en el artículo 53.1, primer inciso de la LOREG cuando dispone:</w:t>
      </w:r>
    </w:p>
    <w:p w:rsidR="005728DD" w:rsidRDefault="005728DD" w:rsidP="005728DD">
      <w:pPr>
        <w:pStyle w:val="TextoNormal"/>
      </w:pPr>
    </w:p>
    <w:p w:rsidR="005728DD" w:rsidRDefault="005728DD" w:rsidP="005728DD">
      <w:pPr>
        <w:pStyle w:val="TextoNormal"/>
      </w:pPr>
      <w:r>
        <w:t>“Artículo 53. Período de prohibición de campaña electoral.</w:t>
      </w:r>
    </w:p>
    <w:p w:rsidR="005728DD" w:rsidRDefault="005728DD" w:rsidP="005728DD">
      <w:pPr>
        <w:pStyle w:val="TextoNormal"/>
      </w:pPr>
    </w:p>
    <w:p w:rsidR="005728DD" w:rsidRDefault="005728DD" w:rsidP="005728DD">
      <w:pPr>
        <w:pStyle w:val="TextoNormal"/>
      </w:pPr>
      <w:r>
        <w:t>No puede difundirse propaganda electoral ni realizarse acto alguno de campaña electoral una vez que ésta haya legalmente terminado”.</w:t>
      </w:r>
    </w:p>
    <w:p w:rsidR="005728DD" w:rsidRDefault="005728DD" w:rsidP="005728DD">
      <w:pPr>
        <w:pStyle w:val="TextoNormal"/>
      </w:pPr>
    </w:p>
    <w:p w:rsidR="005728DD" w:rsidRDefault="005728DD" w:rsidP="005728DD">
      <w:pPr>
        <w:pStyle w:val="TextoNormal"/>
      </w:pPr>
      <w:r>
        <w:lastRenderedPageBreak/>
        <w:t>A su vez el artículo 50.4 LOREG dispone lo que la norma entiende por campaña electoral al establecer que:</w:t>
      </w:r>
    </w:p>
    <w:p w:rsidR="005728DD" w:rsidRDefault="005728DD" w:rsidP="005728DD">
      <w:pPr>
        <w:pStyle w:val="TextoNormal"/>
      </w:pPr>
    </w:p>
    <w:p w:rsidR="005728DD" w:rsidRDefault="005728DD" w:rsidP="005728DD">
      <w:pPr>
        <w:pStyle w:val="TextoNormal"/>
      </w:pPr>
      <w:r>
        <w:t>“Se entiende por campaña electoral, a efectos de esta ley, el conjunto de actividades lícitas llevadas a cabo por los candidatos, partidos, federaciones, coaliciones o agrupaciones en orden a la captación de sufragios”.</w:t>
      </w:r>
    </w:p>
    <w:p w:rsidR="005728DD" w:rsidRDefault="005728DD" w:rsidP="005728DD">
      <w:pPr>
        <w:pStyle w:val="TextoNormal"/>
      </w:pPr>
    </w:p>
    <w:p w:rsidR="005728DD" w:rsidRDefault="005728DD" w:rsidP="005728DD">
      <w:pPr>
        <w:pStyle w:val="TextoNormal"/>
      </w:pPr>
      <w:r>
        <w:t>Por otra parte, la Ley 14/1966, de 18 de marzo, de prensa e imprenta establece en el artículo 34:</w:t>
      </w:r>
    </w:p>
    <w:p w:rsidR="005728DD" w:rsidRDefault="005728DD" w:rsidP="005728DD">
      <w:pPr>
        <w:pStyle w:val="TextoNormal"/>
      </w:pPr>
    </w:p>
    <w:p w:rsidR="005728DD" w:rsidRDefault="005728DD" w:rsidP="005728DD">
      <w:pPr>
        <w:pStyle w:val="TextoNormal"/>
      </w:pPr>
      <w:r>
        <w:t>“Al frente de toda publicación periódica o agencia informativa, en cuanto medio de información, habrá un director, al que corresponderá la orientación y la determinación del contenido de las mismas, así como la representación ante las autoridades y tribunales en las materias de su competencia”.</w:t>
      </w:r>
    </w:p>
    <w:p w:rsidR="005728DD" w:rsidRDefault="005728DD" w:rsidP="005728DD">
      <w:pPr>
        <w:pStyle w:val="TextoNormal"/>
      </w:pPr>
    </w:p>
    <w:p w:rsidR="005728DD" w:rsidRDefault="005728DD" w:rsidP="005728DD">
      <w:pPr>
        <w:pStyle w:val="TextoNormal"/>
      </w:pPr>
      <w:r>
        <w:t>Y, finalmente, de acuerdo con el artículo 39 de la Ley 14/1966, de 18 de marzo, de prensa e imprenta:</w:t>
      </w:r>
    </w:p>
    <w:p w:rsidR="005728DD" w:rsidRDefault="005728DD" w:rsidP="005728DD">
      <w:pPr>
        <w:pStyle w:val="TextoNormal"/>
      </w:pPr>
    </w:p>
    <w:p w:rsidR="005728DD" w:rsidRDefault="005728DD" w:rsidP="005728DD">
      <w:pPr>
        <w:pStyle w:val="TextoNormal"/>
      </w:pPr>
      <w:r>
        <w:t>“1. El director es responsable de cuantas infracciones se cometan a través del medio informativo a su cargo, con independencia de las responsabilidades de orden penal o civil que puedan recaer sobre otras personas de acuerdo con la legislación vigente.</w:t>
      </w:r>
    </w:p>
    <w:p w:rsidR="005728DD" w:rsidRDefault="005728DD" w:rsidP="005728DD">
      <w:pPr>
        <w:pStyle w:val="TextoNormal"/>
      </w:pPr>
    </w:p>
    <w:p w:rsidR="005728DD" w:rsidRDefault="005728DD" w:rsidP="005728DD">
      <w:pPr>
        <w:pStyle w:val="TextoNormal"/>
      </w:pPr>
      <w:r>
        <w:t>2. Sin perjuicio de su responsabilidad personal, se entenderá tácitamente concedido en favor del director, por el simple hecho de su designación, un poder típico para representar y obligar al empresario en todo lo relativo al ejercicio de las funciones a su cargo y, especialmente, en cuanto a las responsabilidades que se deriven de la publicación periódica de que se trate. Cualquier estipulación en contrario de lo dispuesto anteriormente será nula”.</w:t>
      </w:r>
    </w:p>
    <w:p w:rsidR="005728DD" w:rsidRDefault="005728DD" w:rsidP="005728DD">
      <w:pPr>
        <w:pStyle w:val="TextoNormal"/>
      </w:pPr>
    </w:p>
    <w:p w:rsidR="005728DD" w:rsidRDefault="005728DD" w:rsidP="005728DD">
      <w:pPr>
        <w:pStyle w:val="TextoNormal"/>
      </w:pPr>
      <w:r>
        <w:t>Como con más detalle se ha expuesto en los antecedentes de esta resolución, el órgano promotor de la cuestión plantea cuatro causas de inconstitucionalidad:</w:t>
      </w:r>
    </w:p>
    <w:p w:rsidR="005728DD" w:rsidRDefault="005728DD" w:rsidP="005728DD">
      <w:pPr>
        <w:pStyle w:val="TextoNormal"/>
      </w:pPr>
    </w:p>
    <w:p w:rsidR="005728DD" w:rsidRDefault="005728DD" w:rsidP="005728DD">
      <w:pPr>
        <w:pStyle w:val="TextoNormal"/>
      </w:pPr>
      <w:r>
        <w:t>(i) La posible inconstitucionalidad del artículo 153.1 LOREG por vulneración de la garantía de taxatividad de las disposiciones sancionadoras (</w:t>
      </w:r>
      <w:r w:rsidRPr="005728DD">
        <w:rPr>
          <w:i/>
        </w:rPr>
        <w:t>lex certa</w:t>
      </w:r>
      <w:r>
        <w:t>), por imprecisión al integrar el tipo sancionador y por vulneración del principio de seguridad jurídica (art. 9.3 CE).</w:t>
      </w:r>
    </w:p>
    <w:p w:rsidR="005728DD" w:rsidRDefault="005728DD" w:rsidP="005728DD">
      <w:pPr>
        <w:pStyle w:val="TextoNormal"/>
      </w:pPr>
    </w:p>
    <w:p w:rsidR="005728DD" w:rsidRDefault="005728DD" w:rsidP="005728DD">
      <w:pPr>
        <w:pStyle w:val="TextoNormal"/>
      </w:pPr>
      <w:r>
        <w:t>(ii) La posible inconstitucionalidad del artículo 153.1 LOREG, en relación con los artículos 53.1 y 50.4 de la misma, por vulneración del principio de seguridad jurídica del artículo 9.3 CE y de la garantía de taxatividad de las disposiciones sancionadoras (</w:t>
      </w:r>
      <w:r w:rsidRPr="005728DD">
        <w:rPr>
          <w:i/>
        </w:rPr>
        <w:t>lex certa</w:t>
      </w:r>
      <w:r>
        <w:t xml:space="preserve">) del artículo 25.1 por falta de predeterminación de los autores de las infracciones que aboca a interpretaciones analógicas. </w:t>
      </w:r>
    </w:p>
    <w:p w:rsidR="005728DD" w:rsidRDefault="005728DD" w:rsidP="005728DD">
      <w:pPr>
        <w:pStyle w:val="TextoNormal"/>
      </w:pPr>
    </w:p>
    <w:p w:rsidR="005728DD" w:rsidRDefault="005728DD" w:rsidP="005728DD">
      <w:pPr>
        <w:pStyle w:val="TextoNormal"/>
      </w:pPr>
      <w:r>
        <w:t>(iii) La posible inconstitucionalidad del artículo 153.1 LOREG, en relación con los artículos 53.1 y 50.4 de la misma y con los artículos 34 y 39 de la Ley 14/1966, de 18 de marzo, de prensa e imprenta por vulneración del principio de presunción de inocencia al trasladar en forma objetiva la responsabilidad al director de un periódico obviando el derecho a la libertad de información del artículo 20.1 d) CE.</w:t>
      </w:r>
    </w:p>
    <w:p w:rsidR="005728DD" w:rsidRDefault="005728DD" w:rsidP="005728DD">
      <w:pPr>
        <w:pStyle w:val="TextoNormal"/>
      </w:pPr>
    </w:p>
    <w:p w:rsidR="005728DD" w:rsidRDefault="005728DD" w:rsidP="005728DD">
      <w:pPr>
        <w:pStyle w:val="TextoNormal"/>
      </w:pPr>
      <w:r>
        <w:lastRenderedPageBreak/>
        <w:t>(iv) Y la posible inconstitucionalidad del artículo 153.1 LOREG por vulneración de los principios de seguridad jurídica del artículo 9.3 CE y del mandato de taxatividad del artículo 25.1 CE por imprecisión en la determinación de las sanciones.</w:t>
      </w:r>
    </w:p>
    <w:p w:rsidR="005728DD" w:rsidRDefault="005728DD" w:rsidP="005728DD">
      <w:pPr>
        <w:pStyle w:val="TextoNormal"/>
      </w:pPr>
    </w:p>
    <w:p w:rsidR="005728DD" w:rsidRDefault="005728DD" w:rsidP="005728DD">
      <w:pPr>
        <w:pStyle w:val="TextoNormal"/>
      </w:pPr>
      <w:r w:rsidRPr="005728DD">
        <w:rPr>
          <w:rStyle w:val="NumeroAFNegritaCaracter"/>
        </w:rPr>
        <w:t>2</w:t>
      </w:r>
      <w:r>
        <w:t>. La Sección Cuarta de la Sala de lo Contencioso-Administrativo del Tribunal Supremo plantea fundamentalmente la posible vulneración de los principios de legalidad penal (art. 25.1 CE) y de seguridad jurídica (art. 9.3 CE), por cuanto adolecen los preceptos impugnados de falta de taxatividad, lo que acarrea déficits de certeza y previsibilidad.</w:t>
      </w:r>
    </w:p>
    <w:p w:rsidR="005728DD" w:rsidRDefault="005728DD" w:rsidP="005728DD">
      <w:pPr>
        <w:pStyle w:val="TextoNormal"/>
      </w:pPr>
    </w:p>
    <w:p w:rsidR="005728DD" w:rsidRDefault="005728DD" w:rsidP="005728DD">
      <w:pPr>
        <w:pStyle w:val="TextoNormal"/>
      </w:pPr>
      <w:r>
        <w:t>Conforme a la doctrina de este tribunal [sintetizada en las SSTC 136/2011, de 13 de septiembre, FJ 9, y 243/2012, de 13 de diciembre, FJ 8, entre otras y recientemente reiterada en la STC 81/2020, de 15 de julio, FJ 14 b)],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93/2013, de 23 de abril, FJ 10, y 161/2019, de 12 de diciembre, FJ 4, por todas).</w:t>
      </w:r>
    </w:p>
    <w:p w:rsidR="005728DD" w:rsidRDefault="005728DD" w:rsidP="005728DD">
      <w:pPr>
        <w:pStyle w:val="TextoNormal"/>
      </w:pPr>
    </w:p>
    <w:p w:rsidR="005728DD" w:rsidRDefault="005728DD" w:rsidP="005728DD">
      <w:pPr>
        <w:pStyle w:val="TextoNormal"/>
      </w:pPr>
      <w:r>
        <w:t>Sin embargo, en el presente proceso se alega sustancialmente falta de predeterminación normativa de las infracciones y sanciones recogidas en la LOREG por lo que la denuncia de vulneración de la seguridad jurídica (art. 9.3 CE) se debe subsumir en la vulneración más específica del principio de legalidad penal proclamado en el art. 25.1 CE (entre otras SSTC 215/2016, de 15 de diciembre, FJ 8).</w:t>
      </w:r>
    </w:p>
    <w:p w:rsidR="005728DD" w:rsidRDefault="005728DD" w:rsidP="005728DD">
      <w:pPr>
        <w:pStyle w:val="TextoNormal"/>
      </w:pPr>
    </w:p>
    <w:p w:rsidR="005728DD" w:rsidRDefault="005728DD" w:rsidP="005728DD">
      <w:pPr>
        <w:pStyle w:val="TextoNormal"/>
      </w:pPr>
      <w:r>
        <w:t xml:space="preserve">De acuerdo con la doctrina de este tribunal el principio de legalidad penal recogido en el art. 25.1 CE incorpora la regla </w:t>
      </w:r>
      <w:r w:rsidRPr="005728DD">
        <w:rPr>
          <w:i/>
        </w:rPr>
        <w:t>nullum crimen nulla poena sine lege</w:t>
      </w:r>
      <w:r>
        <w:t>, que también “es de aplicación al ordenamiento sancionador administrativo”, y es esencialmente una concreción de diversos aspectos del Estado de Derecho en el ámbito del Derecho estatal sancionador (STC 133/1987, de 21 de julio, FJ 4). Se vincula, ante todo, con el imperio de la ley como presupuesto de la actuación del Estado sobre bienes jurídicos de los ciudadanos, pero también con el derecho de los ciudadanos a la seguridad, previsto en la Constitución como derecho fundamental de mayor alcance, así como la prohibición de la arbitrariedad y el derecho a la objetividad e imparcialidad del juicio de los tribunales, que garantizan el artículo 24.2 y el artículo 117.1 CE e implica, al menos, tres exigencias: la existencia de una ley (</w:t>
      </w:r>
      <w:r w:rsidRPr="005728DD">
        <w:rPr>
          <w:i/>
        </w:rPr>
        <w:t>lex scripta</w:t>
      </w:r>
      <w:r>
        <w:t>); que la ley sea anterior al hecho sancionado (</w:t>
      </w:r>
      <w:r w:rsidRPr="005728DD">
        <w:rPr>
          <w:i/>
        </w:rPr>
        <w:t>lex praevia</w:t>
      </w:r>
      <w:r>
        <w:t>), y que la ley describa un supuesto de hecho estrictamente determinado (</w:t>
      </w:r>
      <w:r w:rsidRPr="005728DD">
        <w:rPr>
          <w:i/>
        </w:rPr>
        <w:t>lex certa</w:t>
      </w:r>
      <w:r>
        <w:t>).</w:t>
      </w:r>
    </w:p>
    <w:p w:rsidR="005728DD" w:rsidRDefault="005728DD" w:rsidP="005728DD">
      <w:pPr>
        <w:pStyle w:val="TextoNormal"/>
      </w:pPr>
    </w:p>
    <w:p w:rsidR="005728DD" w:rsidRDefault="005728DD" w:rsidP="005728DD">
      <w:pPr>
        <w:pStyle w:val="TextoNormal"/>
      </w:pPr>
      <w:r>
        <w:t xml:space="preserve">La garantía constitucional de </w:t>
      </w:r>
      <w:r w:rsidRPr="005728DD">
        <w:rPr>
          <w:i/>
        </w:rPr>
        <w:t>lex certa</w:t>
      </w:r>
      <w:r>
        <w:t>, como faceta específica del derecho a la legalidad sancionadora, se desenvuelve, en nuestra doctrina (</w:t>
      </w:r>
      <w:r w:rsidRPr="005728DD">
        <w:rPr>
          <w:i/>
        </w:rPr>
        <w:t>vid</w:t>
      </w:r>
      <w:r>
        <w:t>, por todas, las SSTC 146/2015, de 25 de junio, FJ 2; 219/2016, de 19 de diciembre, FJ 5, y 220/2016, de 19 de diciembre, FJ 5), en dos ámbitos distintos:</w:t>
      </w:r>
    </w:p>
    <w:p w:rsidR="005728DD" w:rsidRDefault="005728DD" w:rsidP="005728DD">
      <w:pPr>
        <w:pStyle w:val="TextoNormal"/>
      </w:pPr>
    </w:p>
    <w:p w:rsidR="005728DD" w:rsidRDefault="005728DD" w:rsidP="005728DD">
      <w:pPr>
        <w:pStyle w:val="TextoNormal"/>
      </w:pPr>
      <w:r>
        <w:lastRenderedPageBreak/>
        <w:t xml:space="preserve">a) </w:t>
      </w:r>
      <w:r w:rsidRPr="005728DD">
        <w:rPr>
          <w:i/>
        </w:rPr>
        <w:t>Ámbito normativo</w:t>
      </w:r>
      <w:r>
        <w:t xml:space="preserve">. De un lado, la garantía de certeza puede resultar vulnerada por la insuficiente determinación </w:t>
      </w:r>
      <w:r w:rsidRPr="005728DD">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5728DD" w:rsidRDefault="005728DD" w:rsidP="005728DD">
      <w:pPr>
        <w:pStyle w:val="TextoNormal"/>
      </w:pPr>
    </w:p>
    <w:p w:rsidR="005728DD" w:rsidRDefault="005728DD" w:rsidP="005728DD">
      <w:pPr>
        <w:pStyle w:val="TextoNormal"/>
      </w:pPr>
      <w:r>
        <w:t xml:space="preserve">b) </w:t>
      </w:r>
      <w:r w:rsidRPr="005728DD">
        <w:rPr>
          <w:i/>
        </w:rPr>
        <w:t>Ámbito aplicativo</w:t>
      </w:r>
      <w:r>
        <w:t xml:space="preserve">. En cambio, aun cuando la redacción de la norma sancionadora resulta suficientemente precisa, la garantía de </w:t>
      </w:r>
      <w:r w:rsidRPr="005728DD">
        <w:rPr>
          <w:i/>
        </w:rPr>
        <w:t>lex certa</w:t>
      </w:r>
      <w:r>
        <w:t xml:space="preserve"> puede verse afectada por la aplicación irrazonable de dicha norma, vertiente que se desdobla, a su vez, en dos planos, (i) el de la indebida interpretación </w:t>
      </w:r>
      <w:r w:rsidRPr="005728DD">
        <w:rPr>
          <w:i/>
        </w:rPr>
        <w:t>ad casum</w:t>
      </w:r>
      <w:r>
        <w:t xml:space="preserve"> del alcance semántico del precepto, más allá de su sentido literal posible (analogía </w:t>
      </w:r>
      <w:r w:rsidRPr="005728DD">
        <w:rPr>
          <w:i/>
        </w:rPr>
        <w:t>in malam partem</w:t>
      </w:r>
      <w:r>
        <w:t>),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005728DD" w:rsidRDefault="005728DD" w:rsidP="005728DD">
      <w:pPr>
        <w:pStyle w:val="TextoNormal"/>
      </w:pPr>
    </w:p>
    <w:p w:rsidR="005728DD" w:rsidRDefault="005728DD" w:rsidP="005728DD">
      <w:pPr>
        <w:pStyle w:val="TextoNormal"/>
      </w:pPr>
      <w:r>
        <w:t>Nos corresponde ahora determinar cuál de estos dos ámbitos está realmente en juego en el presente proceso constitucional.</w:t>
      </w:r>
    </w:p>
    <w:p w:rsidR="005728DD" w:rsidRDefault="005728DD" w:rsidP="005728DD">
      <w:pPr>
        <w:pStyle w:val="TextoNormal"/>
      </w:pPr>
    </w:p>
    <w:p w:rsidR="005728DD" w:rsidRDefault="005728DD" w:rsidP="005728DD">
      <w:pPr>
        <w:pStyle w:val="TextoNormal"/>
      </w:pPr>
      <w:r>
        <w:t>Al tratarse de una cuestión de inconstitucionalidad, nos encontramos ante el primer ámbito, pues lo que se ha de examinar es la afección del principio de legalidad penal a la actividad legislativa, y no se trata, por tanto, de examinar en el presente proceso la actuación de los órganos que están llamados a aplicar un precepto sancionador.</w:t>
      </w:r>
    </w:p>
    <w:p w:rsidR="005728DD" w:rsidRDefault="005728DD" w:rsidP="005728DD">
      <w:pPr>
        <w:pStyle w:val="TextoNormal"/>
      </w:pPr>
    </w:p>
    <w:p w:rsidR="005728DD" w:rsidRDefault="005728DD" w:rsidP="005728DD">
      <w:pPr>
        <w:pStyle w:val="TextoNormal"/>
      </w:pPr>
      <w:r>
        <w:t xml:space="preserve">En definitiva, es la garantía de </w:t>
      </w:r>
      <w:r w:rsidRPr="005728DD">
        <w:rPr>
          <w:i/>
        </w:rPr>
        <w:t>lex certa</w:t>
      </w:r>
      <w:r>
        <w:t xml:space="preserve"> que se emplea para juzgar la actividad del legislador, y no la que se emplea para juzgar la actividad del aplicador del derecho, la que se cuestiona en el presente proceso constitucional, aunque ciertas consideraciones incluidas en el auto de planteamiento de la cuestión y en las alegaciones de las partes en el proceso </w:t>
      </w:r>
      <w:r w:rsidRPr="005728DD">
        <w:rPr>
          <w:i/>
        </w:rPr>
        <w:t>a quo</w:t>
      </w:r>
      <w:r>
        <w:t xml:space="preserve"> puedan inducir a equívoco al respecto, pues se trasladan al ámbito del juicio aplicativo realizado por la Junta Electoral Central, eventuales imputaciones relativas a una aplicación extensiva o irrazonable de la norma, que en su caso, podrían, de no ser reparadas en la vía judicial procedente, ser materia propia de un juicio de amparo en el que se abordase la segunda perspectiva a la que nos hemos referido.</w:t>
      </w:r>
    </w:p>
    <w:p w:rsidR="005728DD" w:rsidRDefault="005728DD" w:rsidP="005728DD">
      <w:pPr>
        <w:pStyle w:val="TextoNormal"/>
      </w:pPr>
    </w:p>
    <w:p w:rsidR="005728DD" w:rsidRDefault="005728DD" w:rsidP="005728DD">
      <w:pPr>
        <w:pStyle w:val="TextoNormal"/>
      </w:pPr>
      <w:r>
        <w:t>Señalado lo anterior, desde la óptica del derecho a la legalidad penal (art. 25.1 CE) aplicado a la actividad legislativa, nuestra doctrina ha destacado que el mismo se articula a través de una doble garantía: formal y material.</w:t>
      </w:r>
    </w:p>
    <w:p w:rsidR="005728DD" w:rsidRDefault="005728DD" w:rsidP="005728DD">
      <w:pPr>
        <w:pStyle w:val="TextoNormal"/>
      </w:pPr>
    </w:p>
    <w:p w:rsidR="005728DD" w:rsidRDefault="005728DD" w:rsidP="005728DD">
      <w:pPr>
        <w:pStyle w:val="TextoNormal"/>
      </w:pPr>
      <w:r>
        <w:t>La garantía formal, como señala la STC 166/2012, de 1 octubre, FJ 5, hace referencia al rango necesario de las normas tipificadoras de esas conductas y sanciones y sostiene, siguiendo la constante jurisprudencia de este tribunal, que el término “legislación vigente” contenido en el art. 25.1 CE es expresivo de una reserva de ley en materia sancionadora (por todas STC 77/2006, de 13 de marzo, FJ único y jurisprudencia allí citada). No obstante lo anterior, la garantía formal, de exigencia de reserva de ley en materia sancionadora,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Por tanto, la garantía formal implica que la ley debe contener la determinación de los elementos esenciales de la conducta antijurídica y al reglamento solo puede corresponder, en su caso, el desarrollo y precisión de los tipos de infracciones previamente establecidos por la ley” (SSTC 42/1987, de 7 de abril, FJ 2; 60/2000, de 2 de marzo, FJ 3; 132/2001, de 8 de junio. FJ 5; 25/2002, de 11 de febrero, FJ 4, y 242/2005, de 10 de octubre, FJ 2, entre otras).</w:t>
      </w:r>
    </w:p>
    <w:p w:rsidR="005728DD" w:rsidRDefault="005728DD" w:rsidP="005728DD">
      <w:pPr>
        <w:pStyle w:val="TextoNormal"/>
      </w:pPr>
    </w:p>
    <w:p w:rsidR="005728DD" w:rsidRDefault="005728DD" w:rsidP="005728DD">
      <w:pPr>
        <w:pStyle w:val="TextoNormal"/>
      </w:pPr>
      <w:r>
        <w:t>La garantía material es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Como señala la STC 145/2013, de 11 de julio, FJ 4, con cita de la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w:t>
      </w:r>
    </w:p>
    <w:p w:rsidR="005728DD" w:rsidRDefault="005728DD" w:rsidP="005728DD">
      <w:pPr>
        <w:pStyle w:val="TextoNormal"/>
      </w:pPr>
    </w:p>
    <w:p w:rsidR="005728DD" w:rsidRDefault="005728DD" w:rsidP="005728DD">
      <w:pPr>
        <w:pStyle w:val="TextoNormal"/>
      </w:pPr>
      <w:r>
        <w:t xml:space="preserve">En el presente supuesto, los preceptos sancionadores cuestionados están llamados a aplicarse directamente, sin el apoyo de un desarrollo reglamentario. Así resulta de su propio tenor y lo confirma su aplicación práctica, por ejemplo, en el pleito </w:t>
      </w:r>
      <w:r w:rsidRPr="005728DD">
        <w:rPr>
          <w:i/>
        </w:rPr>
        <w:t>a quo</w:t>
      </w:r>
      <w:r>
        <w:t>. Ello implica que, para respetar el principio de legalidad sancionadora (art. 25.1 CE), estos preceptos no pueden limitarse a incluir un mínimo de elementos esenciales susceptible de ulterior precisión mediante el desarrollo reglamentario (garantía formal); deben ir más lejos, predeterminando suficientemente las conductas infractoras y las sanciones correspondientes a fin de que los ciudadanos puedan conocer de antemano el ámbito de lo proscrito. En suma, en el presente proceso constitucional, hemos de tomar en consideración la garantía material del derecho a la legalidad sancionadora (art. 25.1 CE).</w:t>
      </w:r>
    </w:p>
    <w:p w:rsidR="005728DD" w:rsidRDefault="005728DD" w:rsidP="005728DD">
      <w:pPr>
        <w:pStyle w:val="TextoNormal"/>
      </w:pPr>
    </w:p>
    <w:p w:rsidR="005728DD" w:rsidRDefault="005728DD" w:rsidP="005728DD">
      <w:pPr>
        <w:pStyle w:val="TextoNormal"/>
      </w:pPr>
      <w:r>
        <w:t xml:space="preserve">Así, y como señala el fiscal en el proceso </w:t>
      </w:r>
      <w:r w:rsidRPr="005728DD">
        <w:rPr>
          <w:i/>
        </w:rPr>
        <w:t>a quo</w:t>
      </w:r>
      <w:r>
        <w:t>, no se plantea en este procedimiento la cuestión más habitualmente suscitada ante este tribunal, que no es otra que la integración del tipo infractor mediante la remisión de una norma con rango de ley a otra de carácter meramente reglamentario, de ahí que la duda de constitucionalidad en este caso no se plantee en relación con la dimensión formal y se ciña a la dimensión material del principio de legalidad sancionadora.</w:t>
      </w:r>
    </w:p>
    <w:p w:rsidR="005728DD" w:rsidRDefault="005728DD" w:rsidP="005728DD">
      <w:pPr>
        <w:pStyle w:val="TextoNormal"/>
      </w:pPr>
    </w:p>
    <w:p w:rsidR="005728DD" w:rsidRDefault="005728DD" w:rsidP="005728DD">
      <w:pPr>
        <w:pStyle w:val="TextoNormal"/>
      </w:pPr>
      <w:r w:rsidRPr="005728DD">
        <w:rPr>
          <w:rStyle w:val="NumeroAFNegritaCaracter"/>
        </w:rPr>
        <w:t>3</w:t>
      </w:r>
      <w:r>
        <w:t>. La primera infracción que se imputa al legislador en el auto de planteamiento de la cuestión es la vulneración de la exigencia de predeterminación normativa, como garantía material del principio de legalidad sancionadora, que se derivaría de que el propio art. 153.1 LOREG no contiene el núcleo esencial de la prohibición ni satisface en forma mínima las exigencias constitucionales de certeza, pues obliga a integrar el tipo sancionador mediante la concreción del concepto jurídico indeterminado “normas obligatorias” cuya infracción no constituya delito lo que impone identificar y delimitar qué obligaciones derivarían de la LOREG, en qué consistiría la obligación en cada caso y exige concretar qué incumplimientos o infracciones son susceptibles de sanción y quienes serían los obligados por ellas.</w:t>
      </w:r>
    </w:p>
    <w:p w:rsidR="005728DD" w:rsidRDefault="005728DD" w:rsidP="005728DD">
      <w:pPr>
        <w:pStyle w:val="TextoNormal"/>
      </w:pPr>
    </w:p>
    <w:p w:rsidR="005728DD" w:rsidRDefault="005728DD" w:rsidP="005728DD">
      <w:pPr>
        <w:pStyle w:val="TextoNormal"/>
      </w:pPr>
      <w:r>
        <w:t>Abordaremos, por tanto, en el presente fundamento jurídico la cuestión de la taxatividad del art. 153.1 LOREG, cuestión que se debe examinar desde dos perspectivas. La primera supone examinar si la remisión que se realiza en el referido precepto a otros preceptos de la misma norma implica, por sí misma, un déficit relevante de certeza y previsibilidad en relación con las conductas sancionadas (a). La segunda supone examinar si la concreta norma obligatoria que es posible someter a escrutinio en el presente proceso constitucional, el art. 53 LOREG —pues solo ella es la que es aplicable en el proceso del que trae causa la presente cuestión de inconstitucionalidad—, predetermina o no suficientemente una concreta conducta (b).</w:t>
      </w:r>
    </w:p>
    <w:p w:rsidR="005728DD" w:rsidRDefault="005728DD" w:rsidP="005728DD">
      <w:pPr>
        <w:pStyle w:val="TextoNormal"/>
      </w:pPr>
    </w:p>
    <w:p w:rsidR="005728DD" w:rsidRDefault="005728DD" w:rsidP="005728DD">
      <w:pPr>
        <w:pStyle w:val="TextoNormal"/>
      </w:pPr>
      <w:r>
        <w:t>a) Bajo la primera perspectiva cabe señalar que no nos encontramos ante un supuesto de remisión a una norma distinta recogida en el propio ordenamiento, ya sea de rango legal o infralegal, sino ante una remisión dentro de la propia Ley Orgánica del régimen electoral general, pues es en la propia norma electoral donde se regulan las normas obligatorias en los distintos procesos electorales y es en dicho ámbito en el que se agota la remisión que realiza el art. 153.1 LOREG. Con independencia de la mayor o menor fortuna de la fórmula empleada por el legislador en la disposición cuestionada, —que supone efectivamente una remisión al resto de preceptos de la propia LOREG para determinar, por un lado, cuáles son las normas obligatorias y, por otro, que contravenciones de tales normas no serían delito, pues es también en la propia LOREG donde se recogen los delitos electorales (arts. 139 y ss.)— cabe estimar que las conductas obligatorias están suficientemente definidas en la norma, lo que permite, a cualquier observador medio, comprender e identificar con la necesaria y suficiente precisión las eventuales conductas que se tipifican. La técnica empleada de remisión a los supuestos de la propia LOREG no constituye una formulación abierta e indefinida en la que su aplicación dependa en último término de una decisión prácticamente libre y arbitraria del intérprete y juzgador encargado de su aplicación, sino que el ciudadano puede conocer qué clase de conductas pueden llegar a ser sancionadas, previsibilidad que garantiza el respeto al principio de legalidad sancionadora recogido en el art. 25.1 CE.</w:t>
      </w:r>
    </w:p>
    <w:p w:rsidR="005728DD" w:rsidRDefault="005728DD" w:rsidP="005728DD">
      <w:pPr>
        <w:pStyle w:val="TextoNormal"/>
      </w:pPr>
    </w:p>
    <w:p w:rsidR="005728DD" w:rsidRDefault="005728DD" w:rsidP="005728DD">
      <w:pPr>
        <w:pStyle w:val="TextoNormal"/>
      </w:pPr>
      <w:r>
        <w:t xml:space="preserve">En efecto, al tratarse de una remisión interna, al contenido de la propia norma donde se establecen las sanciones, y teniendo esta norma por objeto un ámbito material muy concreto y definido, como es la regulación del proceso electoral, la determinación precisa y objetiva de las conductas objeto de sanción viene claramente acotada por el incumplimiento de las reglas obligatorias que se relacionan y que son claramente identificables en el articulado de la ley, excluyendo los comportamientos constitutivos de delito, que también aparecen expresamente definidos en la misma norma, por lo que difícilmente puede producirse confusión alguna, pudiendo determinarse con facilidad por cualquier ciudadano el ámbito de lo </w:t>
      </w:r>
      <w:r>
        <w:lastRenderedPageBreak/>
        <w:t>proscrito y prever las consecuencias de sus acciones. Cabe, por tanto, descartar, con carácter general, la imprevisibilidad de su aplicación.</w:t>
      </w:r>
    </w:p>
    <w:p w:rsidR="005728DD" w:rsidRDefault="005728DD" w:rsidP="005728DD">
      <w:pPr>
        <w:pStyle w:val="TextoNormal"/>
      </w:pPr>
    </w:p>
    <w:p w:rsidR="005728DD" w:rsidRDefault="005728DD" w:rsidP="005728DD">
      <w:pPr>
        <w:pStyle w:val="TextoNormal"/>
      </w:pPr>
      <w:r>
        <w:t>Así, desde la perspectiva de la predeterminación normativa de las conductas sancionadas, garantía material contenida en el art. 25.1 CE, no puede dirigirse ningún reproche a la remisión que realiza el art. 153.1 LOREG a aquellos otros preceptos de la propia Ley Orgánica del régimen electoral general que establecen normas obligatorias precisas para integrar el tipo legal de infracción administrativa que regula, pues no puede entenderse que la técnica de la remisión que efectúa el precepto legal cuestionado, impida conocer las conductas sancionables, que serían aquellas referidas al incumplimiento de las obligaciones a que vienen sujetos los ciudadanos o los partidos políticos en el ámbito electoral.</w:t>
      </w:r>
    </w:p>
    <w:p w:rsidR="005728DD" w:rsidRDefault="005728DD" w:rsidP="005728DD">
      <w:pPr>
        <w:pStyle w:val="TextoNormal"/>
      </w:pPr>
    </w:p>
    <w:p w:rsidR="005728DD" w:rsidRDefault="005728DD" w:rsidP="005728DD">
      <w:pPr>
        <w:pStyle w:val="TextoNormal"/>
      </w:pPr>
      <w:r>
        <w:t>La redacción del tipo sancionador previsto en el art. 153.1 LOREG permite con carácter general —y sin perjuicio de tener que examinar en el siguiente epígrafe la segunda perspectiva referida a si las concretas normas obligatorias a las que se remite aquel precepto predeterminan, a su vez, suficientemente la conducta punible— el conocimiento previo de las conductas sancionables. Desde el punto de vista de la garantía del art. 25.1 CE no cabe excluir que una norma de rango legal contenga remisiones dentro de la propia norma, pues lo relevante es que quede suficientemente determinada la conducta antijurídica. El art. 153.1 LOREG realiza una remisión expresa y perfectamente delimitada a una fuente interna, como son los preceptos de la propia LOREG, que poseen el rango normativo adecuado.</w:t>
      </w:r>
    </w:p>
    <w:p w:rsidR="005728DD" w:rsidRDefault="005728DD" w:rsidP="005728DD">
      <w:pPr>
        <w:pStyle w:val="TextoNormal"/>
      </w:pPr>
    </w:p>
    <w:p w:rsidR="005728DD" w:rsidRDefault="005728DD" w:rsidP="005728DD">
      <w:pPr>
        <w:pStyle w:val="TextoNormal"/>
      </w:pPr>
      <w:r>
        <w:t>Sin embargo, para poder afirmar la taxatividad del art. 153.1 LOREG es preciso examinar también la suficiencia en la predeterminación de las obligaciones a las que se remite aquel precepto.</w:t>
      </w:r>
    </w:p>
    <w:p w:rsidR="005728DD" w:rsidRDefault="005728DD" w:rsidP="005728DD">
      <w:pPr>
        <w:pStyle w:val="TextoNormal"/>
      </w:pPr>
    </w:p>
    <w:p w:rsidR="005728DD" w:rsidRDefault="005728DD" w:rsidP="005728DD">
      <w:pPr>
        <w:pStyle w:val="TextoNormal"/>
      </w:pPr>
      <w:r>
        <w:t xml:space="preserve">b) Así, bajo la segunda perspectiva debemos examinar la suficiencia en la determinación de las conductas a las que se remite el art. 153.1 LOREG para configurar la infracción, y que, en el presente supuesto, serían las tipificadas en la normas obligatorias recogidas en el art 53 LOREG, pues son tales normas las aplicables en el proceso </w:t>
      </w:r>
      <w:r w:rsidRPr="005728DD">
        <w:rPr>
          <w:i/>
        </w:rPr>
        <w:t>a quo</w:t>
      </w:r>
      <w:r>
        <w:t>, y por tanto, son las únicas que pueden ser sometidas a examen en el presente proceso constitucional.</w:t>
      </w:r>
    </w:p>
    <w:p w:rsidR="005728DD" w:rsidRDefault="005728DD" w:rsidP="005728DD">
      <w:pPr>
        <w:pStyle w:val="TextoNormal"/>
      </w:pPr>
    </w:p>
    <w:p w:rsidR="005728DD" w:rsidRDefault="005728DD" w:rsidP="005728DD">
      <w:pPr>
        <w:pStyle w:val="TextoNormal"/>
      </w:pPr>
      <w:r>
        <w:t>En relación con ello, cabe destacar, en primer lugar, que las conductas proscritas por el art. 53 LOREG se prohíben a partir de un momento temporal que el propio precepto —puesto en relación con el art. 51 LOREG— determina de manera suficientemente precisa: “una vez que (la campaña electoral) haya legalmente terminado”. Campaña que de acuerdo con el apartado 3 del referido art. 51 LOREG: “termina, en todo caso, a las cero horas del día inmediatamente anterior a la votación”. Así, el art. 53 LOREG proscribe que durante la denominada jornada de reflexión se realicen determinadas conductas con la finalidad de crear un marco de serenidad en las horas inmediatamente anteriores a la votación para que en esta aflore sin condicionamientos la verdadera voluntad política del elector. No hay por tanto una falta de predeterminación en el punto referido al momento en el que se puede cometer la infracción.</w:t>
      </w:r>
    </w:p>
    <w:p w:rsidR="005728DD" w:rsidRDefault="005728DD" w:rsidP="005728DD">
      <w:pPr>
        <w:pStyle w:val="TextoNormal"/>
      </w:pPr>
    </w:p>
    <w:p w:rsidR="005728DD" w:rsidRDefault="005728DD" w:rsidP="005728DD">
      <w:pPr>
        <w:pStyle w:val="TextoNormal"/>
      </w:pPr>
      <w:r>
        <w:t xml:space="preserve">En segundo lugar, y en cuanto a las conductas proscritas en el precepto examinado, cabe destacar como subraya el Tribunal Supremo que el artículo 53 LOREG —al que se remitiría el art. 153.1 LOREG a la hora de definir las infracciones— al disponer que “no puede difundirse propaganda electoral ni realizarse acto alguno de campaña electoral una vez que </w:t>
      </w:r>
      <w:r>
        <w:lastRenderedPageBreak/>
        <w:t>esta haya legalmente terminado”, distingue dos conductas punibles distintas: i) por un lado, la difusión de propaganda electoral una vez que la campaña electoral haya finalizado legalmente; ii) y, por otro, la realización de actos de campaña electoral una vez que esta haya finalizado.</w:t>
      </w:r>
    </w:p>
    <w:p w:rsidR="005728DD" w:rsidRDefault="005728DD" w:rsidP="005728DD">
      <w:pPr>
        <w:pStyle w:val="TextoNormal"/>
      </w:pPr>
    </w:p>
    <w:p w:rsidR="005728DD" w:rsidRDefault="005728DD" w:rsidP="005728DD">
      <w:pPr>
        <w:pStyle w:val="TextoNormal"/>
      </w:pPr>
      <w:r>
        <w:t xml:space="preserve">(i) En relación con la primera conducta recogida en el art. 53 LOREG, la referida a la difusión de propaganda electoral, se constata que se trata de un concepto con un cierto grado de indeterminación. Sin embargo, cabe señalar que, de acuerdo con la jurisprudencia de este tribunal, no se opone a la exigencia de </w:t>
      </w:r>
      <w:r w:rsidRPr="005728DD">
        <w:rPr>
          <w:i/>
        </w:rPr>
        <w:t>lex certa</w:t>
      </w:r>
      <w:r>
        <w:t>, a la que debe responder el legislador al definir los tipos sancionadores, la utilización en éstos de los llamados conceptos jurídicos indeterminados,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 (STC 37/2018, de 23 de abril FJ 3).</w:t>
      </w:r>
    </w:p>
    <w:p w:rsidR="005728DD" w:rsidRDefault="005728DD" w:rsidP="005728DD">
      <w:pPr>
        <w:pStyle w:val="TextoNormal"/>
      </w:pPr>
    </w:p>
    <w:p w:rsidR="005728DD" w:rsidRDefault="005728DD" w:rsidP="005728DD">
      <w:pPr>
        <w:pStyle w:val="TextoNormal"/>
      </w:pPr>
      <w:r>
        <w:t>Es cierto que, el empleo de conceptos jurídicos indeterminados, para que sea compatible con el art. 25.1 CE, debe permitir que su concreción sea razonablemente factible en virtud de criterios lógicos, técnicos o de experiencia (STC 145/2013, de 11 de julio, FJ 4).</w:t>
      </w:r>
    </w:p>
    <w:p w:rsidR="005728DD" w:rsidRDefault="005728DD" w:rsidP="005728DD">
      <w:pPr>
        <w:pStyle w:val="TextoNormal"/>
      </w:pPr>
    </w:p>
    <w:p w:rsidR="005728DD" w:rsidRDefault="005728DD" w:rsidP="005728DD">
      <w:pPr>
        <w:pStyle w:val="TextoNormal"/>
      </w:pPr>
      <w:r>
        <w:t xml:space="preserve">Pero también lo es que la redacción del artículo 53 LOREG (no puede difundirse propaganda electoral) no contempla un tipo sancionador de formulación tan abierta que respalde el ejercicio de una decisión prácticamente libre y arbitraria. La utilización del verbo “difundir” o del concepto “propaganda electoral” no deja en la indefinición la conducta típica. Al contrario, la esfera del comportamiento ilícito es perfectamente inteligible, conforme a valores socialmente arraigados, siendo razonablemente factible y previsible su concreción mediante criterios comunes a la experiencia humana y al uso coloquial del lenguaje. Conviene en este punto recordar que, “dado el carácter general de las leyes, el texto de las mismas no puede presentar una precisión absoluta. Una de las técnicas tipo de regulación consiste en recurrir a categorías generales en vez de listas exhaustivas. Por lo tanto, numerosas leyes utilizan, necesariamente, fórmulas más o menos imprecisas cuya interpretación y aplicación dependen de la práctica (asuntos </w:t>
      </w:r>
      <w:r w:rsidRPr="005728DD">
        <w:rPr>
          <w:i/>
        </w:rPr>
        <w:t>Kokkinakis</w:t>
      </w:r>
      <w:r>
        <w:t xml:space="preserve">, antes citado, § 40, y </w:t>
      </w:r>
      <w:r w:rsidRPr="005728DD">
        <w:rPr>
          <w:i/>
        </w:rPr>
        <w:t>Cantoni</w:t>
      </w:r>
      <w:r>
        <w:t xml:space="preserve">, antes citado, § 31). Por tanto, en cualquier sistema jurídico, por muy clara que sea la redacción de una disposición legal, incluso en materia sancionadora, existe inevitablemente un elemento de interpretación judicial. Siempre será necesario dilucidar las cuestiones dudosas y adaptarse a los cambios de situación. Por otra parte, la certeza, aunque muy deseable, se acompaña a veces de una rigidez excesiva; ahora bien el derecho debe saber adaptarse a los cambios de situación (asunto </w:t>
      </w:r>
      <w:r w:rsidRPr="005728DD">
        <w:rPr>
          <w:i/>
        </w:rPr>
        <w:t>Kafkaris</w:t>
      </w:r>
      <w:r>
        <w:t xml:space="preserve">, antes citado, § 141).” (STEDH, de 21 de octubre de 2013, asunto </w:t>
      </w:r>
      <w:r w:rsidRPr="005728DD">
        <w:rPr>
          <w:i/>
        </w:rPr>
        <w:t>Del Río Prada contra España</w:t>
      </w:r>
      <w:r>
        <w:t>, § 92, y STC 37/2018, de 23 de abril, FJ 3).</w:t>
      </w:r>
    </w:p>
    <w:p w:rsidR="005728DD" w:rsidRDefault="005728DD" w:rsidP="005728DD">
      <w:pPr>
        <w:pStyle w:val="TextoNormal"/>
      </w:pPr>
    </w:p>
    <w:p w:rsidR="005728DD" w:rsidRDefault="005728DD" w:rsidP="005728DD">
      <w:pPr>
        <w:pStyle w:val="TextoNormal"/>
      </w:pPr>
      <w:r>
        <w:t xml:space="preserve">Ciertamente no cabe constitucionalmente admitir formulaciones de las conductas que constituyan infracción tan abiertas —por su amplitud, vaguedad o indefinición—, que su efectividad dependa de una decisión prácticamente libre y arbitraria del intérprete y juzgador (por todas, SSTC 100/2003, de 2 de junio, FJ 2; 26/2005, de 14 de febrero, FJ 3, y 283/2006, de 9 de octubre, FJ 5); pero ello no es lo que ocurre en el presente supuesto. El precepto examinado, en lo que se refiere a la conducta proscrita, y no obstante su apertura </w:t>
      </w:r>
      <w:r>
        <w:lastRenderedPageBreak/>
        <w:t>relativa, es lo suficientemente preciso para poder descartar la vulneración del principio de taxatividad.</w:t>
      </w:r>
    </w:p>
    <w:p w:rsidR="005728DD" w:rsidRDefault="005728DD" w:rsidP="005728DD">
      <w:pPr>
        <w:pStyle w:val="TextoNormal"/>
      </w:pPr>
    </w:p>
    <w:p w:rsidR="005728DD" w:rsidRDefault="005728DD" w:rsidP="005728DD">
      <w:pPr>
        <w:pStyle w:val="TextoNormal"/>
      </w:pPr>
      <w:r>
        <w:t>Indudablemente tal apertura relativa de los términos utilizados por el legislador puede ser siempre compensada mediante su interpretación por los órganos encargados de su aplicación. Así lo habría hecho, por ejemplo, el poder judicial cuando ha considerado “propaganda electoral”, toda acción tendente a persuadir al ciudadano para que emita su voto a favor de un candidato, o por el contrario esté dirigida a disuadir de semejante opción, siempre con una proyección pública [en la sentencia de la Sala de lo Penal del Tribunal Supremo de 14 de febrero de 1992 (recurso 6571-1989)]</w:t>
      </w:r>
    </w:p>
    <w:p w:rsidR="005728DD" w:rsidRDefault="005728DD" w:rsidP="005728DD">
      <w:pPr>
        <w:pStyle w:val="TextoNormal"/>
      </w:pPr>
    </w:p>
    <w:p w:rsidR="005728DD" w:rsidRDefault="005728DD" w:rsidP="005728DD">
      <w:pPr>
        <w:pStyle w:val="TextoNormal"/>
      </w:pPr>
      <w:r>
        <w:t>(ii) En relación con la segunda conducta proscrita, la referida a la realización de actos de campaña electoral durante la conocida como jornada de reflexión, se constata que se trata de un concepto suficientemente determinado, pues lo que se prohíbe se encuentra definido en el apartado 4 del artículo 50 LOREG cuando dispone que “se entiende por campaña electoral, a efectos de esta ley, el conjunto de actividades licitas llevadas a cabo por los candidatos, partidos, federaciones, coaliciones o agrupaciones en orden a la captación de sufragios”.</w:t>
      </w:r>
    </w:p>
    <w:p w:rsidR="005728DD" w:rsidRDefault="005728DD" w:rsidP="005728DD">
      <w:pPr>
        <w:pStyle w:val="TextoNormal"/>
      </w:pPr>
    </w:p>
    <w:p w:rsidR="005728DD" w:rsidRDefault="005728DD" w:rsidP="005728DD">
      <w:pPr>
        <w:pStyle w:val="TextoNormal"/>
      </w:pPr>
      <w:r>
        <w:t>Por todo ello, en el caso que nos ocupa, no es dado compartir el reproche que se alza frente al precepto legal cuya constitucionalidad se controvierte, el art. 153.1 LOREG, pues no puede afirmarse que el precepto cuestionado adolezca de imprecisión en la eventual configuración de la conducta ilícita objeto de represión administrativa. En concreto, y sin perjuicio de lo que señalamos a continuación, la norma obligatoria que se considera infringida en el supuesto actual y recogida en el art. 53 de la Ley, es clara y taxativa, por lo que es perfectamente previsible que quien difunda propaganda electoral o realice actos de campaña en la jornada de reflexión, es decir una vez terminada la campaña, pueda ser sancionado.</w:t>
      </w:r>
    </w:p>
    <w:p w:rsidR="005728DD" w:rsidRDefault="005728DD" w:rsidP="005728DD">
      <w:pPr>
        <w:pStyle w:val="TextoNormal"/>
      </w:pPr>
    </w:p>
    <w:p w:rsidR="005728DD" w:rsidRDefault="005728DD" w:rsidP="005728DD">
      <w:pPr>
        <w:pStyle w:val="TextoNormal"/>
      </w:pPr>
      <w:r w:rsidRPr="005728DD">
        <w:rPr>
          <w:rStyle w:val="NumeroAFNegritaCaracter"/>
        </w:rPr>
        <w:t>4</w:t>
      </w:r>
      <w:r>
        <w:t>. La cuestión de inconstitucionalidad planteada hace descansar la infracción de la exigencia de predeterminación normativa, como garantía material del principio de legalidad sancionadora, en un segundo argumento: el artículo 153.1 LOREG, en relación con los artículos 53.1 y 50.4 de la misma, vulneran el principio de seguridad jurídica del artículo 9.3 CE y la garantía de taxatividad de las disposiciones sancionadoras (</w:t>
      </w:r>
      <w:r w:rsidRPr="005728DD">
        <w:rPr>
          <w:i/>
        </w:rPr>
        <w:t>lex certa</w:t>
      </w:r>
      <w:r>
        <w:t>) del artículo 25.1 CE por falta de predeterminación de los autores de las infracciones, lo que aboca, afirma, a interpretaciones analógicas.</w:t>
      </w:r>
    </w:p>
    <w:p w:rsidR="005728DD" w:rsidRDefault="005728DD" w:rsidP="005728DD">
      <w:pPr>
        <w:pStyle w:val="TextoNormal"/>
      </w:pPr>
    </w:p>
    <w:p w:rsidR="005728DD" w:rsidRDefault="005728DD" w:rsidP="005728DD">
      <w:pPr>
        <w:pStyle w:val="TextoNormal"/>
      </w:pPr>
      <w:r>
        <w:t>En el presente fundamento jurídico debemos examinar la tacha de eventual falta de predeterminación de los autores de las conductas punibles recogidas en los preceptos cuestionados.</w:t>
      </w:r>
    </w:p>
    <w:p w:rsidR="005728DD" w:rsidRDefault="005728DD" w:rsidP="005728DD">
      <w:pPr>
        <w:pStyle w:val="TextoNormal"/>
      </w:pPr>
    </w:p>
    <w:p w:rsidR="005728DD" w:rsidRDefault="005728DD" w:rsidP="005728DD">
      <w:pPr>
        <w:pStyle w:val="TextoNormal"/>
      </w:pPr>
      <w:r>
        <w:t>a) En relación con la primera conducta recogida en el art. 53 LOREG, la referida a la difusión de propaganda electoral, considera el órgano proponente que el precepto no indica quién puede difundir esa propaganda electoral de cara a su eventual sanción.</w:t>
      </w:r>
    </w:p>
    <w:p w:rsidR="005728DD" w:rsidRDefault="005728DD" w:rsidP="005728DD">
      <w:pPr>
        <w:pStyle w:val="TextoNormal"/>
      </w:pPr>
    </w:p>
    <w:p w:rsidR="005728DD" w:rsidRDefault="005728DD" w:rsidP="005728DD">
      <w:pPr>
        <w:pStyle w:val="TextoNormal"/>
      </w:pPr>
      <w:r>
        <w:t xml:space="preserve">Sin embargo, en el supuesto reglamentado en el referido art. 53 LOREG, la prohibición de difusión de propaganda electoral en la denominada jornada de reflexión es una prohibición dirigida a todos, pues tiene como propósito crear un marco de serenidad en las horas inmediatamente anteriores a la votación para que en esta aflore sin condicionamientos la </w:t>
      </w:r>
      <w:r>
        <w:lastRenderedPageBreak/>
        <w:t>verdadera voluntad política del elector. No hay por tanto una falta de predeterminación de los autores.</w:t>
      </w:r>
    </w:p>
    <w:p w:rsidR="005728DD" w:rsidRDefault="005728DD" w:rsidP="005728DD">
      <w:pPr>
        <w:pStyle w:val="TextoNormal"/>
      </w:pPr>
    </w:p>
    <w:p w:rsidR="005728DD" w:rsidRDefault="005728DD" w:rsidP="005728DD">
      <w:pPr>
        <w:pStyle w:val="TextoNormal"/>
      </w:pPr>
      <w:r>
        <w:t>b) En relación con la segunda conducta proscrita, la referida a la realización de actos de campaña electoral durante la conocida como jornada de reflexión, considera el órgano proponente de la cuestión, que la identificación de los obligados por la norma de prohibición se enturbia cuando se recurre al artículo 50.4 LOREG, que define lo que es campaña electoral por referencia al conjunto de actividades lícitas llevadas a cabo por los candidatos, partidos, federaciones, coaliciones o agrupaciones en orden a la captación de sufragios.</w:t>
      </w:r>
    </w:p>
    <w:p w:rsidR="005728DD" w:rsidRDefault="005728DD" w:rsidP="005728DD">
      <w:pPr>
        <w:pStyle w:val="TextoNormal"/>
      </w:pPr>
    </w:p>
    <w:p w:rsidR="005728DD" w:rsidRDefault="005728DD" w:rsidP="005728DD">
      <w:pPr>
        <w:pStyle w:val="TextoNormal"/>
      </w:pPr>
      <w:r>
        <w:t>Sin embargo, es el propio auto del Tribunal Supremo de 20 de febrero, órgano al que le corresponde interpretar la norma penal, el que señala que no es posible subsumir la conducta del director del diario sancionado en la conducta referida; con lo que parece estar descartando que el precepto, en lo que se refiere a esta segunda conducta, adolezca de una falta de predeterminación tanto de los autores como de la conducta prohibida, pues más bien está considerando que el artículo 50.4 LOREG, al definir la campaña electoral, a efectos de esta ley, como “el conjunto de actividades lícitas llevadas a cabo por los candidatos, partidos, federaciones, coaliciones o agrupaciones en orden a la captación de sufragios”, está realizando una concreción tanto de la conducta como de los sujetos obligados.</w:t>
      </w:r>
    </w:p>
    <w:p w:rsidR="005728DD" w:rsidRDefault="005728DD" w:rsidP="005728DD">
      <w:pPr>
        <w:pStyle w:val="TextoNormal"/>
      </w:pPr>
    </w:p>
    <w:p w:rsidR="005728DD" w:rsidRDefault="005728DD" w:rsidP="005728DD">
      <w:pPr>
        <w:pStyle w:val="TextoNormal"/>
      </w:pPr>
      <w:r>
        <w:t>Ciertamente a la hora de interpretar las normas obligatorias que se contienen en el art. 53 LOREG y las que se remite el art. 153 LOREG, habrá de tenerse en cuenta no solo lo dispuesto en el referido art. 50.4, sino también lo dispuesto en el artículo 50.5 LOREG, que prohíbe a cualquier persona jurídica, distinta de los partidos, federaciones, coaliciones o agrupaciones de electores, que realice actos de campaña electoral, a partir de la fecha de la convocatoria de las elecciones, sin perjuicio de lo establecido en el art. 20 de la Constitución, pero igualmente deberán tenerse en cuenta los principios relativos a la responsabilidad y a la autoría propios del procedimiento sancionador. Por tanto, si la conducta descrita en la norma sancionadora puede llevarse a cabo únicamente por autoría directa, o es posible considerar también autores a los inductores o a los cooperadores necesarios, se trata de una cuestión jurídica que, a partir de la dicción del tipo sancionador y del fin de protección de la norma, antes reseñado, corresponde establecer razonadamente al aplicador del Derecho, sea el órgano sancionador o el que, en sede judicial, revise la sanción impuesta.</w:t>
      </w:r>
    </w:p>
    <w:p w:rsidR="005728DD" w:rsidRDefault="005728DD" w:rsidP="005728DD">
      <w:pPr>
        <w:pStyle w:val="TextoNormal"/>
      </w:pPr>
    </w:p>
    <w:p w:rsidR="005728DD" w:rsidRDefault="005728DD" w:rsidP="005728DD">
      <w:pPr>
        <w:pStyle w:val="TextoNormal"/>
      </w:pPr>
      <w:r>
        <w:t>Debemos reiterar que no le corresponde a este tribunal interpretar la norma sancionadora, sino determinar si existe una falta de predeterminación de los autores de las infracciones en aquella norma; algo que no cabe apreciar en el caso actual atendiendo a lo expresa y claramente establecido en el art. 50.5 LOREG.</w:t>
      </w:r>
    </w:p>
    <w:p w:rsidR="005728DD" w:rsidRDefault="005728DD" w:rsidP="005728DD">
      <w:pPr>
        <w:pStyle w:val="TextoNormal"/>
      </w:pPr>
    </w:p>
    <w:p w:rsidR="005728DD" w:rsidRDefault="005728DD" w:rsidP="005728DD">
      <w:pPr>
        <w:pStyle w:val="TextoNormal"/>
      </w:pPr>
      <w:r>
        <w:t>Con fundamento en ello, debemos desestimar la impugnación realizada sin perjuicio de remitirnos a las consideraciones recogidas en el siguiente fundamento jurídico en relación con los actos de difusión de información o expresión en los medios de comunicación durante la jornada de reflexión.</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Se alega como tercera tacha de inconstitucionalidad el que el artículo 153.1 LOREG, en relación con los artículos 53.1 y 50.4 de la misma y con los artículos 34 y 39 de la Ley </w:t>
      </w:r>
      <w:r>
        <w:lastRenderedPageBreak/>
        <w:t>14/1966, de 18 de marzo, de prensa e imprenta vulnera el principio de presunción de inocencia del art. 24.2 CE al trasladar en forma objetiva la responsabilidad al director de un periódico obviando el derecho a la libertad de información del artículo 20.1 d) CE.</w:t>
      </w:r>
    </w:p>
    <w:p w:rsidR="005728DD" w:rsidRDefault="005728DD" w:rsidP="005728DD">
      <w:pPr>
        <w:pStyle w:val="TextoNormal"/>
      </w:pPr>
    </w:p>
    <w:p w:rsidR="005728DD" w:rsidRDefault="005728DD" w:rsidP="005728DD">
      <w:pPr>
        <w:pStyle w:val="TextoNormal"/>
      </w:pPr>
      <w:r>
        <w:t xml:space="preserve">a) Conviene comenzar el examen de la queja recordando como este tribunal ha declarado que “la Constitución española consagra sin duda el principio de culpabilidad como principio estructural básico del Derecho penal, vinculándolo con los arts.10, 24 y 25 CE [por todas, STC 59/2008, de 14 de mayo, FJ 11 b)]. Y aunque ha advertido de que ello no implica que la Constitución haya convertido en norma un determinado modo de entenderlo, también ha negado que sea constitucionalmente legítimo un derecho penal ‘de autor’ que determina las penas en atención a la personalidad del reo y no según la culpabilidad de este en la comisión de los hechos (por todas, STC 150/1991, de 4 de julio, FJ 4). Al principio de culpabilidad se anuda asimismo la proscripción de la responsabilidad sin culpa o responsabilidad objetiva en el ámbito del </w:t>
      </w:r>
      <w:r w:rsidRPr="005728DD">
        <w:rPr>
          <w:i/>
        </w:rPr>
        <w:t>ius puniendi</w:t>
      </w:r>
      <w:r>
        <w:t>, lo que, además de exigir la presencia de dolo o imprudencia, conlleva también la necesidad de determinar la autoría de la acción o de la omisión sancionable (SSTC 120/1994, de 25 de abril, FJ 2; 103/1995, de 3 de julio, FJ 3, y 57/2010, de 10 de octubre, FJ 9; ATC 237/2012, de 11 de diciembre, FJ 3), así como el principio de la responsabilidad personal por hechos propios y no ajenos —principio de la personalidad de la pena o sanción— [SSTC 131/1987, de 20 de julio, FJ 6; 219/1988, de 22 de noviembre, FJ 3; 254/1988, de 21 de diciembre, FJ 5; 246/1991, de 19 de diciembre, FJ 2; 146/1994, de 12 de mayo, FJ 4 b); 93/1996, de 28 de mayo, FJ 1; 137/1997, de 21 de julio, FJ 5; 125/2001, de 4 de junio, FJ 6, y 60/2010, de 7 de octubre, FJ 4]”. (STC 185/2014, de 6 de noviembre, FJ 3).</w:t>
      </w:r>
    </w:p>
    <w:p w:rsidR="005728DD" w:rsidRDefault="005728DD" w:rsidP="005728DD">
      <w:pPr>
        <w:pStyle w:val="TextoNormal"/>
      </w:pPr>
    </w:p>
    <w:p w:rsidR="005728DD" w:rsidRDefault="005728DD" w:rsidP="005728DD">
      <w:pPr>
        <w:pStyle w:val="TextoNormal"/>
      </w:pPr>
      <w:r>
        <w:t xml:space="preserve">Asimismo, este tribunal ha señalado que “este principio de culpabilidad rige también en materia de infracciones administrativas, pues en la medida en que [su] sanción […] es una de las manifestaciones del </w:t>
      </w:r>
      <w:r w:rsidRPr="005728DD">
        <w:rPr>
          <w:i/>
        </w:rPr>
        <w:t>ius puniendi</w:t>
      </w:r>
      <w:r>
        <w:t xml:space="preserve"> del Estado resulta inadmisible en nuestro ordenamiento un régimen de responsabilidad objetiva o sin culpa” [Por todas las SSTC 76/1990, de 26 de abril, FFJJ 4 y 5; 246/1991, de 19 de diciembre, FJ 2; o más recientemente 86/2017, de 4 de julio, FJ 5 e); así como el ATC 237/2012, de 11 de diciembre].</w:t>
      </w:r>
    </w:p>
    <w:p w:rsidR="005728DD" w:rsidRDefault="005728DD" w:rsidP="005728DD">
      <w:pPr>
        <w:pStyle w:val="TextoNormal"/>
      </w:pPr>
    </w:p>
    <w:p w:rsidR="005728DD" w:rsidRDefault="005728DD" w:rsidP="005728DD">
      <w:pPr>
        <w:pStyle w:val="TextoNormal"/>
      </w:pPr>
      <w:r>
        <w:t>Ciertamente, hemos considerado que el hecho de que en nuestro ordenamiento haya quedado proscrito constitucionalmente el establecimiento de un régimen en materia de infracciones administrativas de responsabilidad objetiva o sin culpa, “no impide que nuestro Derecho administrativo admita la responsabilidad directa de las personas jurídicas, reconociéndoles, pues, capacidad infractora”, pues “esto no significa, en absoluto, que para el caso de las infracciones administrativas cometidas por personas jurídicas se haya suprimido el elemento subjetivo de la culpa, sino simplemente que ese principio se ha de aplicar necesariamente de forma distinta a como se hace respecto de las personas físicas. Esta construcción distinta de la imputabilidad de la autoría de la infracción a la persona jurídica nace de la propia naturaleza de ficción jurídica a la que responden estos sujetos. Falta en ellos el elemento volitivo en sentido estricto, pero no la capacidad de infringir las normas a las que están sometidos. Capacidad de infracción y, por ende, reprochabilidad directa que deriva del bien jurídico protegido por la norma que se infringe y la necesidad de que dicha protección sea realmente eficaz […] y por el riesgo que, en consecuencia, debe asumir la persona jurídica que está sujeta al cumplimiento de dicha norma” (STC 246/1991, de 19 de diciembre, FJ 2).</w:t>
      </w:r>
    </w:p>
    <w:p w:rsidR="005728DD" w:rsidRDefault="005728DD" w:rsidP="005728DD">
      <w:pPr>
        <w:pStyle w:val="TextoNormal"/>
      </w:pPr>
    </w:p>
    <w:p w:rsidR="005728DD" w:rsidRDefault="005728DD" w:rsidP="005728DD">
      <w:pPr>
        <w:pStyle w:val="TextoNormal"/>
      </w:pPr>
      <w:r>
        <w:lastRenderedPageBreak/>
        <w:t xml:space="preserve">La referida doctrina constitucional ha tenido su reflejo en la normativa administrativa, pues el art. 28.1 de la Ley 40/2015, de 1 de octubre, de régimen jurídico del sector público, dispone: </w:t>
      </w:r>
    </w:p>
    <w:p w:rsidR="005728DD" w:rsidRDefault="005728DD" w:rsidP="005728DD">
      <w:pPr>
        <w:pStyle w:val="TextoNormal"/>
      </w:pPr>
    </w:p>
    <w:p w:rsidR="005728DD" w:rsidRDefault="005728DD" w:rsidP="005728DD">
      <w:pPr>
        <w:pStyle w:val="TextoNormal"/>
      </w:pPr>
      <w:r>
        <w:t xml:space="preserve">“Artículo 28. Responsabilidad. </w:t>
      </w:r>
    </w:p>
    <w:p w:rsidR="005728DD" w:rsidRDefault="005728DD" w:rsidP="005728DD">
      <w:pPr>
        <w:pStyle w:val="TextoNormal"/>
      </w:pPr>
    </w:p>
    <w:p w:rsidR="005728DD" w:rsidRDefault="005728DD" w:rsidP="005728DD">
      <w:pPr>
        <w:pStyle w:val="TextoNormal"/>
      </w:pPr>
      <w:r>
        <w:t>1. Sólo podrán ser sancionadas por hechos constitutivos de infracción administrativa las personas físicas y jurídicas, así como, cuando una ley les reconozca capacidad de obrar, los grupos de afectados, las uniones y entidades sin personalidad jurídica y los patrimonios independientes o autónomos, que resulten responsables de los mismos a título de dolo o culpa”.</w:t>
      </w:r>
    </w:p>
    <w:p w:rsidR="005728DD" w:rsidRDefault="005728DD" w:rsidP="005728DD">
      <w:pPr>
        <w:pStyle w:val="TextoNormal"/>
      </w:pPr>
    </w:p>
    <w:p w:rsidR="005728DD" w:rsidRDefault="005728DD" w:rsidP="005728DD">
      <w:pPr>
        <w:pStyle w:val="TextoNormal"/>
      </w:pPr>
      <w:r>
        <w:t>b) Una vez hemos recordado la proscripción constitucional de la responsabilidad objetiva o sin culpa, también en el ámbito administrativo sancionador, debemos examinar si del artículo 153.1 LOREG, en relación con los artículos 53.1 y 50.4 de la misma y con los artículos 34 y 39 de la Ley 14/1966, de 18 de marzo, de prensa e imprenta, cabe extraer que el legislador haya establecido un régimen de responsabilidad objetiva.</w:t>
      </w:r>
    </w:p>
    <w:p w:rsidR="005728DD" w:rsidRDefault="005728DD" w:rsidP="005728DD">
      <w:pPr>
        <w:pStyle w:val="TextoNormal"/>
      </w:pPr>
    </w:p>
    <w:p w:rsidR="005728DD" w:rsidRDefault="005728DD" w:rsidP="005728DD">
      <w:pPr>
        <w:pStyle w:val="TextoNormal"/>
      </w:pPr>
      <w:r>
        <w:t>Este tribunal ha tenido la oportunidad de pronunciarse en relación con la función del director de un periódico y la responsabilidad que el mismo adquiere en el ejercicio de aquella en la STC 172/1990, de 12 de noviembre, en donde se adujo como motivo de la pretensión de un amparo en relación con el derecho de información reconocido en el art. 20 CE, que el precepto de la Ley de prensa e imprenta de 18 de marzo de 1966, que establece una responsabilidad solidaria de los “autores, directores, editores, impresores e importadores o distribuidores” (art. 65.2) era incompatible con el derecho fundamental reconocido en el art. 20.1 d) de la Constitución.</w:t>
      </w:r>
    </w:p>
    <w:p w:rsidR="005728DD" w:rsidRDefault="005728DD" w:rsidP="005728DD">
      <w:pPr>
        <w:pStyle w:val="TextoNormal"/>
      </w:pPr>
    </w:p>
    <w:p w:rsidR="005728DD" w:rsidRDefault="005728DD" w:rsidP="005728DD">
      <w:pPr>
        <w:pStyle w:val="TextoNormal"/>
      </w:pPr>
      <w:r>
        <w:t>En aquella ocasión este tribunal desestimó la pretensión al considerar que “la responsabilidad civil solidaria, entre otros, del director del medio periodístico y de la propia empresa editora se justifica en la culpa del director o del editor, dado que ninguno de ellos son ajenos al contenido de la información y opinión que el periódico difunde” (STC 172/1990, FJ 5).</w:t>
      </w:r>
    </w:p>
    <w:p w:rsidR="005728DD" w:rsidRDefault="005728DD" w:rsidP="005728DD">
      <w:pPr>
        <w:pStyle w:val="TextoNormal"/>
      </w:pPr>
    </w:p>
    <w:p w:rsidR="005728DD" w:rsidRDefault="005728DD" w:rsidP="005728DD">
      <w:pPr>
        <w:pStyle w:val="TextoNormal"/>
      </w:pPr>
      <w:r>
        <w:t>Sostuvimos entonces, para determinar la responsabilidad fundada en el principio de culpabilidad, que “el director tiene el derecho de veto sobre el contenido de todos los originales del periódico (art. 37 de la Ley citada), sin que ese derecho sea identificable con el concepto de censura previa prohibida por el art. 20.2 de la Constitución, y ello hace evidente que exigirle responsabilidad civil por las lesiones que puedan derivarse de las informaciones publicadas en el periódico que dirige en nada vulnera el derecho de libre información, puesto que este derecho también se ejercita desde la dirección del medio periodístico y, por tanto, no puede quedar al margen de la reparación de los daños que su ejercicio incorrecto o abusivo ocasione a terceros, y lo mismo cabe afirmar de la empresa editora, ya que a ella corresponde la libre designación del director (art. 40.1 de la misma Ley de prensa e imprenta)” (STC 172/1990, FJ 5).</w:t>
      </w:r>
    </w:p>
    <w:p w:rsidR="005728DD" w:rsidRDefault="005728DD" w:rsidP="005728DD">
      <w:pPr>
        <w:pStyle w:val="TextoNormal"/>
      </w:pPr>
    </w:p>
    <w:p w:rsidR="005728DD" w:rsidRDefault="005728DD" w:rsidP="005728DD">
      <w:pPr>
        <w:pStyle w:val="TextoNormal"/>
      </w:pPr>
      <w:r>
        <w:t xml:space="preserve">En consecuencia, en la STC 172/1990 concluimos que la aplicación del art. 65.2 de la Ley de prensa e imprenta de 18 de marzo de 1966, referido a la responsabilidad civil, “no es incompatible con el derecho de libre información, puesto que este precepto es pieza legal destinada a garantizar la efectiva restitución del honor e intimidad de las personas, bienes </w:t>
      </w:r>
      <w:r>
        <w:lastRenderedPageBreak/>
        <w:t>jurídicos también amparados por la Constitución, que resulten ilícitamente vulnerados por informaciones periodísticas vejatorias, difundidas fuera del ámbito protector del derecho de información” (STC 172/1990, FJ 5).</w:t>
      </w:r>
    </w:p>
    <w:p w:rsidR="005728DD" w:rsidRDefault="005728DD" w:rsidP="005728DD">
      <w:pPr>
        <w:pStyle w:val="TextoNormal"/>
      </w:pPr>
    </w:p>
    <w:p w:rsidR="005728DD" w:rsidRDefault="005728DD" w:rsidP="005728DD">
      <w:pPr>
        <w:pStyle w:val="TextoNormal"/>
      </w:pPr>
      <w:r>
        <w:t>Pues bien, la exigencia de responsabilidad al director de un periódico por el incumplimiento de aquellas obligaciones que se recogen el art. 53 LOREG, y que se derivaría de los preceptos objeto de la presente cuestión, no supone el establecimiento de su responsabilidad objetiva si se interpreta conforme a la Constitución, es decir, que se aprecie la infracción de un deber objetivo de cuidado. El director de un periódico tiene el derecho de veto sobre el contenido de todos los originales del periódico, y ello hace evidente que exigirle responsabilidad por aquellas vulneraciones de las obligaciones recogidas en la Ley Orgánica del régimen electoral general que puedan derivarse de las informaciones publicadas en el periódico que dirige, y que por su relevancia cabe constatar que no pudieron ser publicadas sin su conocimiento y consentimiento, no supone quebrar con un principio estructural básico del Derecho sancionador como es el principio de culpabilidad. Es la infracción, en su caso, de sus deberes como director la que funda la sanción, y, por tanto, es su conducta la que se sanciona sin que pueda hablarse de una exigencia de responsabilidad objetiva por los hechos de otros.</w:t>
      </w:r>
    </w:p>
    <w:p w:rsidR="005728DD" w:rsidRDefault="005728DD" w:rsidP="005728DD">
      <w:pPr>
        <w:pStyle w:val="TextoNormal"/>
      </w:pPr>
    </w:p>
    <w:p w:rsidR="005728DD" w:rsidRDefault="005728DD" w:rsidP="005728DD">
      <w:pPr>
        <w:pStyle w:val="TextoNormal"/>
      </w:pPr>
      <w:r>
        <w:t>c) Una vez que hemos descartado que del artículo 153.1 LOREG, en relación con los artículos 53.1 y 50.4 de la misma, quepa extraer que el legislador haya establecido un régimen de responsabilidad objetiva; debemos examinar si, la exigencia de responsabilidad al director de un periódico por el incumplimiento de aquellas obligaciones que prevé el art. 53 LOREG, supone obviar la libertad de información del artículo 20.1 d) CE.</w:t>
      </w:r>
    </w:p>
    <w:p w:rsidR="005728DD" w:rsidRDefault="005728DD" w:rsidP="005728DD">
      <w:pPr>
        <w:pStyle w:val="TextoNormal"/>
      </w:pPr>
    </w:p>
    <w:p w:rsidR="005728DD" w:rsidRDefault="005728DD" w:rsidP="005728DD">
      <w:pPr>
        <w:pStyle w:val="TextoNormal"/>
      </w:pPr>
      <w:r>
        <w:t>Ciertamente las prohibiciones recogidas en el art. 53 de realización de actos de campaña electoral o de difusión de propaganda electoral durante la denominada jornada de reflexión pueden ser caracterizadas como límites al ejercicio de libertades como las de información o de expresión reconocidas en el art. 20.1 CE.</w:t>
      </w:r>
    </w:p>
    <w:p w:rsidR="005728DD" w:rsidRDefault="005728DD" w:rsidP="005728DD">
      <w:pPr>
        <w:pStyle w:val="TextoNormal"/>
      </w:pPr>
    </w:p>
    <w:p w:rsidR="005728DD" w:rsidRDefault="005728DD" w:rsidP="005728DD">
      <w:pPr>
        <w:pStyle w:val="TextoNormal"/>
      </w:pPr>
      <w:r>
        <w:t>Sin embargo, los derechos recogidos en el art. 20.1 CE no son derechos absolutos o ilimitados, sino que, al igual que los demás derechos fundamentales, pueden verse sometidos a ciertas modulaciones o límites, como explicita el art. 20.4 CE cuando dispone que estas libertades tienen su límite en el respeto a los derechos reconocidos en este título, en los preceptos de las leyes que lo desarrollen y, especialmente, en el derecho al honor, a la intimidad, a la propia imagen y a la protección de la juventud y de la infancia.</w:t>
      </w:r>
    </w:p>
    <w:p w:rsidR="005728DD" w:rsidRDefault="005728DD" w:rsidP="005728DD">
      <w:pPr>
        <w:pStyle w:val="TextoNormal"/>
      </w:pPr>
    </w:p>
    <w:p w:rsidR="005728DD" w:rsidRDefault="005728DD" w:rsidP="005728DD">
      <w:pPr>
        <w:pStyle w:val="TextoNormal"/>
      </w:pPr>
      <w:r>
        <w:t>Indudablemente los límites que se impongan a aquellas libertades han de ser necesarios para conseguir la finalidad perseguida —en este caso la limpieza o la pureza de los procesos electorales y los derechos de participación política que se tratan de salvaguardar mediante la neutralidad política propia de la jornada de reflexión— debiendo atender a la proporcionalidad entre el sacrificio de las libertades recogidas en el art. 20 CE y la situación en la que se halla aquél a quien se impone.</w:t>
      </w:r>
    </w:p>
    <w:p w:rsidR="005728DD" w:rsidRDefault="005728DD" w:rsidP="005728DD">
      <w:pPr>
        <w:pStyle w:val="TextoNormal"/>
      </w:pPr>
    </w:p>
    <w:p w:rsidR="005728DD" w:rsidRDefault="005728DD" w:rsidP="005728DD">
      <w:pPr>
        <w:pStyle w:val="TextoNormal"/>
      </w:pPr>
      <w:r>
        <w:t xml:space="preserve">De ahí que a la hora de determinar cuál es el significado preciso de las conductas prohibidas en el art. 53 LOREG —y en línea con la doctrina de este tribunal en relación con los derechos de reunión y manifestación el día de la jornada de reflexión recogida, entre otras, en la STC 96/2010, de 15 de noviembre—, los órganos judiciales deban tener en cuenta que, </w:t>
      </w:r>
      <w:r>
        <w:lastRenderedPageBreak/>
        <w:t>por ejemplo, solo cuando se aporten razones fundadas sobre el carácter electoral de los actos comunicativos, es decir, cuando su finalidad sea la captación de sufragios, podrán desautorizarse los mismos con base en dicho motivo. En otro caso, esto es, en defecto de esa necesaria demostración de la finalidad propagandística de los actos comunicativos, debe favorecerse el ejercicio del derecho de información aun en detrimento de otros derechos, en especial los de participación política, no solo por significarse como un derecho esencial en la conformación de la opinión pública, sino por la necesidad de su previo ejercicio para una configuración de la misma libre y sólida, base indispensable para el ejercicio de los mencionados derechos. Por este motivo, el ejercicio del derecho de información debe prevalecer, salvo que resulte suficientemente acreditado por la administración electoral y, en su caso, por los tribunales, que la finalidad principal de los actos comunicativos es la captación de sufragios en favor de una determinada opción política y en detrimento del derecho fundamental de los demás participes en las elecciones a la igualdad que en el acceso a los cargos públicos exige el artículo 23.2 CE.</w:t>
      </w:r>
    </w:p>
    <w:p w:rsidR="005728DD" w:rsidRDefault="005728DD" w:rsidP="005728DD">
      <w:pPr>
        <w:pStyle w:val="TextoNormal"/>
      </w:pPr>
    </w:p>
    <w:p w:rsidR="005728DD" w:rsidRDefault="005728DD" w:rsidP="005728DD">
      <w:pPr>
        <w:pStyle w:val="TextoNormal"/>
      </w:pPr>
      <w:r>
        <w:t>Con arreglo a lo expuesto, los actos de difusión de información o expresión en los medios de comunicación durante la jornada de reflexión únicamente podrán ser considerados ilegítimos si su sanción se funda en la existencia de razones que prueben el carácter electoral de los actos considerados.</w:t>
      </w:r>
    </w:p>
    <w:p w:rsidR="005728DD" w:rsidRDefault="005728DD" w:rsidP="005728DD">
      <w:pPr>
        <w:pStyle w:val="TextoNormal"/>
      </w:pPr>
    </w:p>
    <w:p w:rsidR="005728DD" w:rsidRDefault="005728DD" w:rsidP="005728DD">
      <w:pPr>
        <w:pStyle w:val="TextoNormal"/>
      </w:pPr>
      <w:r>
        <w:t>Son los órganos aplicadores de la norma los que deben determinar la legitimidad de los concretos actos de difusión en los medios de comunicación durante la jornada de reflexión. Así lo habría venido haciendo la administración electoral, que, por ejemplo, mediante los acuerdos de la Junta Electoral Central ha considerado como una actividad de información no proscrita por las prohibiciones recogidas en el art. 53 LOREG, la referencia en los medios de comunicación a actos de campaña celebrados el día anterior al de reflexión y publicados en dicho día, por cuanto considera que esa publicación sí puede considerarse amparada por la libertad de expresión e información reconocida en el artículo 20 CE (en sus acuerdos 446/1999 o 172/2006). Tampoco ha considerado que fuese una infracción del art. 53 LOREG, la entrevista al presidente del Congreso de los Diputados emitida el día de reflexión al considerar que, una vez examinado en su integridad el soporte videográfico de la entrevista, se trata de una entrevista institucional, sin contenido electoralista e incluida en un programa habitual de información sobre el Parlamento (acuerdo 398/2004). Igualmente ha considerado la Junta Electoral Central que no se encontraría proscrita por la LOREG, la publicación en un diario de una entrevista periodística el día de reflexión al candidato del Partido Popular a la presidencia del Gobierno, para las elecciones generales del 14 de marzo de 2004, pues la junta tuvo en cuenta la trascendencia de los acontecimientos producidos en esas fechas (los atentados terroristas del 11 de marzo) y que en las actuaciones objeto de la denuncia no se contiene petición expresa de voto a favor o en contra de ninguna candidatura. La junta entendió que las citadas actuaciones se encontraban amparadas por las libertades de expresión e información constitucionalmente reconocidas (acuerdo 215/2004).</w:t>
      </w:r>
    </w:p>
    <w:p w:rsidR="005728DD" w:rsidRDefault="005728DD" w:rsidP="005728DD">
      <w:pPr>
        <w:pStyle w:val="TextoNormal"/>
      </w:pPr>
    </w:p>
    <w:p w:rsidR="005728DD" w:rsidRDefault="005728DD" w:rsidP="005728DD">
      <w:pPr>
        <w:pStyle w:val="TextoNormal"/>
      </w:pPr>
      <w:r>
        <w:t xml:space="preserve">Los ejemplos referidos implican que si bien el art. 53.1 LOREG establece que durante la jornada previa a la celebración de las elecciones, “no puede difundirse propaganda electoral ni realizarse acto alguno de campaña electoral”, esta prohibición legal, interpretada conforme a las pautas valorativas que informan el ordenamiento constitucional no ha significado naturalmente que durante la denominada jornada de reflexión previa a las elecciones </w:t>
      </w:r>
      <w:r>
        <w:lastRenderedPageBreak/>
        <w:t>no pueda difundirse ninguna información cuyo objeto tenga algo que ver con el debate político y, por tanto, pueda influir indirectamente en las decisiones de los electores.</w:t>
      </w:r>
    </w:p>
    <w:p w:rsidR="005728DD" w:rsidRDefault="005728DD" w:rsidP="005728DD">
      <w:pPr>
        <w:pStyle w:val="TextoNormal"/>
      </w:pPr>
    </w:p>
    <w:p w:rsidR="005728DD" w:rsidRDefault="005728DD" w:rsidP="005728DD">
      <w:pPr>
        <w:pStyle w:val="TextoNormal"/>
      </w:pPr>
      <w:r>
        <w:t xml:space="preserve">Más concretamente, en relación con la cuestión que se suscita en el proceso </w:t>
      </w:r>
      <w:r w:rsidRPr="005728DD">
        <w:rPr>
          <w:i/>
        </w:rPr>
        <w:t>a quo</w:t>
      </w:r>
      <w:r>
        <w:t>, la Junta Electoral Central viene considerando que no cabe publicar entrevistas con candidatos el día anterior al de la votación, por cuanto considera que dicha publicación no puede ampararse en la libertad de expresión e información reconocida en el artículo 20 CE por ser una actuación distinta, por ejemplo, de la referencia a actos de campaña celebrados el día anterior al de reflexión y publicados en dicho día, por cuanto esa publicación sí puede considerarse amparada en tales libertades (acuerdos 446/1999 y 172/2006). Sin embargo, le corresponde, en última instancia, al Tribunal Supremo determinar si la publicación de una entrevista a un candidato que se presenta a las elecciones durante la jornada de reflexión se orienta, o no, a la captación de sufragios y, por tanto, si constituye un supuesto no amparado por la libertad de expresión e información y, en consecuencia, proscrito por el art. 153.1 LOREG en relación con el art. 53 de la misma Ley.</w:t>
      </w:r>
    </w:p>
    <w:p w:rsidR="005728DD" w:rsidRDefault="005728DD" w:rsidP="005728DD">
      <w:pPr>
        <w:pStyle w:val="TextoNormal"/>
      </w:pPr>
    </w:p>
    <w:p w:rsidR="005728DD" w:rsidRDefault="005728DD" w:rsidP="005728DD">
      <w:pPr>
        <w:pStyle w:val="TextoNormal"/>
      </w:pPr>
      <w:r>
        <w:t>Así debemos reiterar que la interpretación del contenido de los tipos sancionadores y el proceso de subsunción de los hechos probados en los preceptos aplicados es una cuestión ajena al contenido propio de la jurisdicción de este tribunal al ser esta una función que de acuerdo con lo establecido en el artículo 117.3 CE, corresponde en exclusiva a los jueces y tribunales ordinarios (por todas, STC 199/2013, de 5 de diciembre, FJ 13).</w:t>
      </w:r>
    </w:p>
    <w:p w:rsidR="005728DD" w:rsidRDefault="005728DD" w:rsidP="005728DD">
      <w:pPr>
        <w:pStyle w:val="TextoNormal"/>
      </w:pPr>
    </w:p>
    <w:p w:rsidR="005728DD" w:rsidRDefault="005728DD" w:rsidP="005728DD">
      <w:pPr>
        <w:pStyle w:val="TextoNormal"/>
      </w:pPr>
      <w:r>
        <w:t>Es cierto que a este tribunal le puede llegar a corresponder la labor de verificar que la subsunción de los hechos en el correspondiente tipo, administrativo o penal, o lo que es lo mismo, que la concreta aplicación de la norma sancionadora respeta las exigencias del derecho a la legalidad penal.</w:t>
      </w:r>
    </w:p>
    <w:p w:rsidR="005728DD" w:rsidRDefault="005728DD" w:rsidP="005728DD">
      <w:pPr>
        <w:pStyle w:val="TextoNormal"/>
      </w:pPr>
    </w:p>
    <w:p w:rsidR="005728DD" w:rsidRDefault="005728DD" w:rsidP="005728DD">
      <w:pPr>
        <w:pStyle w:val="TextoNormal"/>
      </w:pPr>
      <w:r>
        <w:t>Sin embargo, nuestra labor de verificar que la subsunción de los hechos en el correspondiente tipo, administrativo o penal, o lo que es lo mismo, que la concreta aplicación de la norma sancionadora, respeta las exigencias del derecho a la legalidad penal, es ajena al presente proceso constitucional, pues el control constitucional de las decisiones judiciales desde las exigencias que impone el artículo 25.1 CE es lo propio del recurso de amparo y de la segunda perspectiva a la que nos referimos en el fundamento jurídico 2 de la presente sentencia.</w:t>
      </w:r>
    </w:p>
    <w:p w:rsidR="005728DD" w:rsidRDefault="005728DD" w:rsidP="005728DD">
      <w:pPr>
        <w:pStyle w:val="TextoNormal"/>
      </w:pPr>
    </w:p>
    <w:p w:rsidR="005728DD" w:rsidRDefault="005728DD" w:rsidP="005728DD">
      <w:pPr>
        <w:pStyle w:val="TextoNormal"/>
      </w:pPr>
      <w:r>
        <w:t>Sin perjuicio de ello, cabe únicamente recordar que la operación jurídica de subsunción que realicen los órganos aplicadores deberá ser respetuosa con la norma sancionadora desde una triple perspectiva: sometimiento al tenor literal de la norma, ausencia en el plano metodológico de quiebras lógicas en su exégesis o de un apartamiento de los modelos de argumentación aceptados por la comunidad jurídica, y adecuación en el plano axiológico a las pautas valorativas que informan el ordenamiento constitucional interpretado a la luz de los convenios internacionales suscritos sobre la materia (STC 37/2018, de 23 de abril, FJ 4).</w:t>
      </w:r>
    </w:p>
    <w:p w:rsidR="005728DD" w:rsidRDefault="005728DD" w:rsidP="005728DD">
      <w:pPr>
        <w:pStyle w:val="TextoNormal"/>
      </w:pPr>
    </w:p>
    <w:p w:rsidR="005728DD" w:rsidRDefault="005728DD" w:rsidP="005728DD">
      <w:pPr>
        <w:pStyle w:val="TextoNormal"/>
      </w:pPr>
      <w:r>
        <w:t xml:space="preserve">Cabe por tanto concluir que, en abstracto, la exigencia de responsabilidad al director de un periódico por la realización de una conducta expresamente prohibida en la LOREG, no vulnera ni el derecho a la libertad de información del artículo 20.1 d) CE ni el derecho a la presunción de inocencia del art. 24.2 CE, pues aquellos preceptos recogidos en la LOREG que establecen normas obligatorias como es el caso del art. 53, se encuentran destinados a </w:t>
      </w:r>
      <w:r>
        <w:lastRenderedPageBreak/>
        <w:t>garantizar la trascendencia que tiene la jornada de reflexión en todo proceso electoral, al ir dirigida a crear un marco de serenidad en las horas inmediatamente anteriores a la votación para que en esta aflore sin condicionamientos la verdadera voluntad política del elector y a garantizar el derecho fundamental de todos los partícipes en las elecciones a la igualdad en el acceso a los cargos públicos que exige el artículo 23.2 CE. Lo cual se traduce en un deber de cuidado que incumbe a todos los que son titulares de cualquier medio de difusión con posibilidad de una importante incidencia en la población, para evitar cualquier hecho que pueda quebrantar ese marco de neutralidad que debe caracterizar a la jornada de reflexión, máxime cuando se trata de la publicación de un contenido informativo que, por su propia relevancia, no es ordinariamente ajeno al conocimiento y consentimiento del director del medio.</w:t>
      </w:r>
    </w:p>
    <w:p w:rsidR="005728DD" w:rsidRDefault="005728DD" w:rsidP="005728DD">
      <w:pPr>
        <w:pStyle w:val="TextoNormal"/>
      </w:pPr>
    </w:p>
    <w:p w:rsidR="005728DD" w:rsidRDefault="005728DD" w:rsidP="005728DD">
      <w:pPr>
        <w:pStyle w:val="TextoNormal"/>
      </w:pPr>
      <w:r>
        <w:t>Con fundamento en ello, debemos desestimar la impugnación realizada.</w:t>
      </w:r>
    </w:p>
    <w:p w:rsidR="005728DD" w:rsidRDefault="005728DD" w:rsidP="005728DD">
      <w:pPr>
        <w:pStyle w:val="TextoNormal"/>
      </w:pPr>
    </w:p>
    <w:p w:rsidR="005728DD" w:rsidRDefault="005728DD" w:rsidP="005728DD">
      <w:pPr>
        <w:pStyle w:val="TextoNormal"/>
      </w:pPr>
      <w:r w:rsidRPr="005728DD">
        <w:rPr>
          <w:rStyle w:val="NumeroAFNegritaCaracter"/>
        </w:rPr>
        <w:t>6</w:t>
      </w:r>
      <w:r>
        <w:t>. Finalmente se razona por el órgano proponente de la cuestión que el artículo 153.1 LOREG, vulneraría el principio de seguridad jurídica del artículo 9.3 CE y el mandato de taxatividad del artículo 25.1 CE por imprecisión en la determinación de las sanciones.</w:t>
      </w:r>
    </w:p>
    <w:p w:rsidR="005728DD" w:rsidRDefault="005728DD" w:rsidP="005728DD">
      <w:pPr>
        <w:pStyle w:val="TextoNormal"/>
      </w:pPr>
    </w:p>
    <w:p w:rsidR="005728DD" w:rsidRDefault="005728DD" w:rsidP="005728DD">
      <w:pPr>
        <w:pStyle w:val="TextoNormal"/>
      </w:pPr>
      <w:r>
        <w:t xml:space="preserve">Señala el auto de 20 de febrero de la Sección Cuarta de la Sala de lo Contencioso-Administrativo del Tribunal Supremo que la laxitud e imprecisión del artículo 153.1 LOREG se muestra también en la inexistencia en el mismo de una graduación de las sanciones que entiende de dudosa compatibilidad con los mandatos de taxatividad que dimanan del artículo 25.1 CE. La norma dispone que la multa será de 300 a 3000 € si se trata de autoridades o funcionarios y de 100 a 1000 si se realiza por particulares, pero no especifica ni gradúa en forma alguna las infracciones distinguiendo entre las infracciones muy graves, graves o leves por lo que, de acuerdo con el órgano judicial proponente de la cuestión, habilita a la administración sancionadora para que establezca </w:t>
      </w:r>
      <w:r w:rsidRPr="005728DD">
        <w:rPr>
          <w:i/>
        </w:rPr>
        <w:t>ad hoc</w:t>
      </w:r>
      <w:r>
        <w:t xml:space="preserve"> la que libre y, en su caso arbitrariamente, estime conveniente.</w:t>
      </w:r>
    </w:p>
    <w:p w:rsidR="005728DD" w:rsidRDefault="005728DD" w:rsidP="005728DD">
      <w:pPr>
        <w:pStyle w:val="TextoNormal"/>
      </w:pPr>
    </w:p>
    <w:p w:rsidR="005728DD" w:rsidRDefault="005728DD" w:rsidP="005728DD">
      <w:pPr>
        <w:pStyle w:val="TextoNormal"/>
      </w:pPr>
      <w:r>
        <w:t xml:space="preserve">De nuestra doctrina se desprende que la doble garantía, formal y material, impuesta por el art. 25.1 CE no se refiere solo a la tipificación de las infracciones, sino también, y en igual medida, al establecimiento de las sanciones aplicables (STC 113/2002, de 9 de mayo). La ley debe, consecuentemente, establecer una regulación suficiente de las consecuencias represivas de los ilícitos administrativos (entre muchas, SSTC 42/1987, de 7 de abril, FJ 2, y 252/2006, de 25 de julio, FJ 4, que remite a la STC 100/2003, de 2 de julio). Aún más, este tribunal ha señalado que la garantía de </w:t>
      </w:r>
      <w:r w:rsidRPr="005728DD">
        <w:rPr>
          <w:i/>
        </w:rPr>
        <w:t>lex certa</w:t>
      </w:r>
      <w:r>
        <w:t xml:space="preserve"> no resulta satisfecha tan solo mediante la tipificación de las infracciones y la definición y, en su caso, graduación de las sanciones que pueden ser impuestas a los infractores, realizadas por la ley, sino que, además, es elemento esencial y lógico de dicha garantía la determinación de la correlación necesaria entre los actos o conductas tipificados como ilícitos administrativos y las sanciones consiguientes a los mismos (SSTC 219/1989, de 21 de diciembre, FJ 4; 207/1990, de 17 de diciembre, FJ 3, y 113/2002, de 9 de mayo, FJ 4).</w:t>
      </w:r>
    </w:p>
    <w:p w:rsidR="005728DD" w:rsidRDefault="005728DD" w:rsidP="005728DD">
      <w:pPr>
        <w:pStyle w:val="TextoNormal"/>
      </w:pPr>
    </w:p>
    <w:p w:rsidR="005728DD" w:rsidRDefault="005728DD" w:rsidP="005728DD">
      <w:pPr>
        <w:pStyle w:val="TextoNormal"/>
      </w:pPr>
      <w:r>
        <w:t xml:space="preserve">Con base en este canon, hemos reprobado explícitamente en otros pronunciamientos la técnica mediante la que no se establece graduación alguna de las sanciones en función de las infracciones, sino un límite máximo de aquéllas en función del órgano que las impone, dejando a este un amplísimo margen de apreciación en la fijación del importe de la multa que puede imponer al infractor, a quien no se garantiza mínimamente la seguridad jurídica. </w:t>
      </w:r>
      <w:r>
        <w:lastRenderedPageBreak/>
        <w:t>Esta técnica legislativa en sí misma infringe directamente el art. 25.1 CE al encomendar por entero a la discrecionalidad judicial o administrativa el establecimiento de la correspondencia necesaria entre los ilícitos y las sanciones (STC 207/1990, de 17 de diciembre, FJ 2).</w:t>
      </w:r>
    </w:p>
    <w:p w:rsidR="005728DD" w:rsidRDefault="005728DD" w:rsidP="005728DD">
      <w:pPr>
        <w:pStyle w:val="TextoNormal"/>
      </w:pPr>
    </w:p>
    <w:p w:rsidR="005728DD" w:rsidRDefault="005728DD" w:rsidP="005728DD">
      <w:pPr>
        <w:pStyle w:val="TextoNormal"/>
      </w:pPr>
      <w:r>
        <w:t xml:space="preserve">En el presente supuesto, sin embargo, la garantía de </w:t>
      </w:r>
      <w:r w:rsidRPr="005728DD">
        <w:rPr>
          <w:i/>
        </w:rPr>
        <w:t>lex certa</w:t>
      </w:r>
      <w:r>
        <w:t xml:space="preserve"> resulta satisfecha pues la LOREG, en el art. 153.1, define perfectamente la sanción que puede ser impuesta a los infractores, lo cual supone respetar la necesaria correlación entre los actos o conductas tipificados como ilícitos administrativos y las sanciones consiguientes a los mismos.</w:t>
      </w:r>
    </w:p>
    <w:p w:rsidR="005728DD" w:rsidRDefault="005728DD" w:rsidP="005728DD">
      <w:pPr>
        <w:pStyle w:val="TextoNormal"/>
      </w:pPr>
    </w:p>
    <w:p w:rsidR="005728DD" w:rsidRDefault="005728DD" w:rsidP="005728DD">
      <w:pPr>
        <w:pStyle w:val="TextoNormal"/>
      </w:pPr>
      <w:r>
        <w:t>En lo que se refiere a la gradación, el art. 153.1 LOREG diferencia entre si la infracción se realiza por autoridades o funcionarios, en cuyo caso la multa será de 300 a 3000 € o si se realiza por particulares, en cuyo caso la multa será de 100 a 1000 €. De acuerdo con la doctrina de este tribunal la garantía material que se deriva del principio de legalidad sancionadora es compatible con la atribución de discrecionalidad al aplicador del ordenamiento administrativo sancionador dentro de unos límites: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(STC 113/2002, de 9 de mayo, FJ 6). Resulta compatible con la garantía del principio de legalidad sancionadora que el legislador atribuya discrecionalidad a la administración dentro de unos límites para concretar el alcance o importe de la sanción (STC 175/2012, de 15 de octubre, FJ 3), máxime cuando, como sucede en el caso actual, el marco sancionador es tan estrecho que las diferencias en la graduación de la sanción adquieren una muy escasa relevancia, a diferencia de lo que ocurría en el supuesto de la reciente STC 150/2020, de 22 de octubre donde la horquilla establecida en el precepto cuestionado era amplísima (entre el mínimo de 0,1 € previsto para las infracciones leves; y los 600 000 € establecidos como máximo para las muy graves).</w:t>
      </w:r>
    </w:p>
    <w:p w:rsidR="005728DD" w:rsidRDefault="005728DD" w:rsidP="005728DD">
      <w:pPr>
        <w:pStyle w:val="TextoNormal"/>
      </w:pPr>
    </w:p>
    <w:p w:rsidR="005728DD" w:rsidRDefault="005728DD" w:rsidP="005728DD">
      <w:pPr>
        <w:pStyle w:val="TextoNormal"/>
      </w:pPr>
      <w:r>
        <w:t xml:space="preserve">Así, el establecimiento en cada uno de los supuestos recogidos en el art. 153.1 LOREG de una horquilla, en la que la cantidad mínima y la máxima se encuentran cuantitativamente tan cercanas, no puede considerarse que no garantice mínimamente la seguridad jurídica de los ciudadanos, que no ignoran las consecuencias que han de seguirse de la realización de una conducta legalmente tipificada como infracción administrativa. No existe, como en otras ocasiones ha ocurrido, un amplísimo margen de apreciación en la fijación del importe de la multa que se puede imponer al infractor por el órgano sancionador, al que, de acuerdo con la doctrina referida, cabe reconocerle legalmente una cierta facultad discrecional en la individualización de la sanción. En este punto, no cabe sino recordar que la Ley 40/2015, de 1 de octubre, de régimen jurídico del sector público ha recogido una serie de criterios que deben ser considerados a la hora de graduar las sanciones administrativas. Así, la habilitación legal por la que se faculta a la administración para ponderar el alcance de la sanción en los supuestos de infracciones que tipifica la LOREG no es discrecional y enteramente libre. En efecto, la Ley 40/2015, en su art. 29.3, establece expresamente los criterios a tener en cuenta por la administración para la graduación de las sanciones cuando dispone que: “la graduación de la sanción considerará especialmente los siguientes criterios: a) El grado de culpabilidad o la existencia de intencionalidad. b) La continuidad o persistencia en la conducta infractora. c) La naturaleza de los perjuicios causados. d) La reincidencia, por comisión en el término de un año de más de una infracción de la misma naturaleza cuando así haya sido declarado por resolución firme en vía administrativa”. Esto es, criterios como la </w:t>
      </w:r>
      <w:r>
        <w:lastRenderedPageBreak/>
        <w:t>intencionalidad, la persistencia en la conducta infractora, la naturaleza de los perjuicios causados y la reincidencia se encuentran explícitamente previstos en nuestro ordenamiento jurídico. Son, pues, criterios perfectamente definidos y objetivados que condicionan normativamente la actuación de la administración electoral y que permiten la revisión jurisdiccional de la decisión que, en cada caso, hubiese alcanzado. En consecuencia, se cumplen las exigencias de predeterminación normativa y certeza que se derivan de los preceptos constitucionales, puesto que la decisión de la administración electoral sobre la graduación de la sanción no es discrecional (en este sentido, SSTC 14/1998, de 22 de enero, FJ 10; 113/2002, de 9 de mayo, y 100/2003, de 2 de junio).</w:t>
      </w:r>
    </w:p>
    <w:p w:rsidR="005728DD" w:rsidRDefault="005728DD" w:rsidP="005728DD">
      <w:pPr>
        <w:pStyle w:val="TextoNormal"/>
      </w:pPr>
    </w:p>
    <w:p w:rsidR="005728DD" w:rsidRDefault="005728DD" w:rsidP="005728DD">
      <w:pPr>
        <w:pStyle w:val="TextoNormal"/>
      </w:pPr>
      <w:r>
        <w:t>En definitiva, desde la perspectiva constitucional que nos es propia en el presente proceso constitucional, no cabe reprochar en este caso al legislador que en su libertad de configuración se haya excedido al fijar la horquilla del importe de las sanciones entre 100 y 1000 €, si la infracción se realiza por particulares, atendida la relevancia de la infracción sancionada. Será con ocasión, no obstante, de que el órgano administrativo imponga una sanción, cuando habrá de determinarse, en atención a las particulares circunstancias que concurran en cada caso, el concreto importe de la misma, que, como es obvio, habrá de respetar el principio de proporcionalidad.</w:t>
      </w:r>
    </w:p>
    <w:p w:rsidR="005728DD" w:rsidRDefault="005728DD" w:rsidP="005728DD">
      <w:pPr>
        <w:pStyle w:val="TextoNormal"/>
      </w:pPr>
    </w:p>
    <w:p w:rsidR="005728DD" w:rsidRDefault="005728DD" w:rsidP="005728DD">
      <w:pPr>
        <w:pStyle w:val="TextoNormal"/>
      </w:pPr>
      <w:r>
        <w:t>Es doctrina constitucional reiterada que, el deber de motivación incluye la obligación de fundamentar los hechos y la calificación jurídica (SSTC 27/1993, de 25 de enero, FJ 2, y 193/1996, de 26 de noviembre, FJ 3), así como la sanción finalmente impuesta (SSTC 193/1996, de 26 de noviembre, FJ 3; 43/1997, de 25 de enero, FJ 2; 47/1998, de 2 de marzo, FJ 6, y 196/2007, de 11 de septiembre, FJ 7). Expresamente señala esta última resolución que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(SSTC 20/2003, de 10 de febrero, FJ 6; 136/2003, de 30 de junio, FJ 3, y 170/2004, de 18 de octubre, FJ 2, entre otras) y que estas sean razonablemente acordes con los elementos objetivos y subjetivos cuya valoración exige el precepto aplicable para la individualización de la pena (STC 148/2005, de 6 de junio, FJ 4)”. Doctrina plenamente aplicable en el ámbito administrativo sancionador.</w:t>
      </w:r>
    </w:p>
    <w:p w:rsidR="005728DD" w:rsidRDefault="005728DD" w:rsidP="005728DD">
      <w:pPr>
        <w:pStyle w:val="TextoNormal"/>
      </w:pPr>
    </w:p>
    <w:p w:rsidR="005728DD" w:rsidRDefault="005728DD" w:rsidP="005728DD">
      <w:pPr>
        <w:pStyle w:val="TextoNormal"/>
      </w:pPr>
      <w:r>
        <w:t xml:space="preserve">Sin embargo, el control del Tribunal Constitucional en la materia no puede ser objeto de un proceso como este, una cuestión de inconstitucionalidad, sino que será, en su caso, el propio de un proceso de amparo, que, en todo caso, habría de ceñirse, en este punto, a determinar si, en el caso concreto, y a la vista de los datos que los hechos probados relatan, la motivación acerca del </w:t>
      </w:r>
      <w:r w:rsidRPr="005728DD">
        <w:rPr>
          <w:i/>
        </w:rPr>
        <w:t>quantum</w:t>
      </w:r>
      <w:r>
        <w:t xml:space="preserve"> de la sanción impuesta resulta o no manifiestamente irrazonable o arbitraria (STC 205/2009, de 23 de noviembre, FJ 5). Así, en efecto, la individualización de la sanción, dentro de una horquilla que no vulnera la exigencia de predeterminación, corresponde a la administración sancionadora, y la función de este tribunal en un eventual proceso de amparo debe quedar limitado a verificar la corrección constitucional de la motivación desarrollada para justificar la concreción de la sanción atendidas las circunstancias concurrentes en el caso, tomando expresamente en consideración que el mero transcurso del tiempo puede determinar que el importe de las sanciones vaya perdiendo relevancia, en proporción a las conductas que puedan ser objeto de sanción.</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7</w:t>
      </w:r>
      <w:r>
        <w:t>. Todo lo expuesto nos conduce inexorablemente a desestimar la presente cuestión de inconstitucionalidad al no apreciarse que los preceptos legales controvertidos incurran en vulneración del contenido material del derecho fundamental a la legalidad sancionadora, por las razones y en los términos aducidos en el auto de planteamiento de la cuestión dictado el 20 de febrero de 2020 por la Sección Cuarta de la Sala de lo Contencioso-Administrativo del Tribunal Supremo.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la presente cuestión de inconstitucionalidad.</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veintiocho de enero de dos mil veintiuno.</w:t>
      </w:r>
    </w:p>
    <w:p w:rsidR="005728DD" w:rsidRDefault="005728DD" w:rsidP="005728DD">
      <w:pPr>
        <w:pStyle w:val="ParrafoNormal"/>
      </w:pPr>
    </w:p>
    <w:p w:rsidR="005728DD" w:rsidRDefault="005728DD" w:rsidP="005728DD">
      <w:pPr>
        <w:pStyle w:val="TextoNormalNegritaCentrado"/>
        <w:keepNext/>
      </w:pPr>
      <w:r>
        <w:t>Voto particular concurrente que formula el magistrado don Juan Antonio Xiol Ríos respecto de la sentencia dictada en la cuestión de inconstitucionalidad núm. 1478-2020, al que se adhiere la magistrada doña Encarnación Roca Trías</w:t>
      </w:r>
    </w:p>
    <w:p w:rsidR="005728DD" w:rsidRDefault="005728DD" w:rsidP="005728DD">
      <w:pPr>
        <w:pStyle w:val="TextoNormalNegritaCentrado"/>
        <w:keepNext/>
      </w:pPr>
    </w:p>
    <w:p w:rsidR="005728DD" w:rsidRDefault="005728DD" w:rsidP="005728DD">
      <w:pPr>
        <w:pStyle w:val="TextoNormal"/>
      </w:pPr>
      <w:r>
        <w:t>Con el máximo respeto a la opinión mayoritaria de mis compañeros del Pleno del tribunal en la que se sustenta la sentencia, manifiesto mi discrepancia no con el fallo, que comparto, sino con una parte muy concreta de la fundamentación jurídica: la que se refiere a la denominada —por la sentencia, que no por la ley— jornada de reflexión. Con el resto de la argumentación también estoy de acuerdo.</w:t>
      </w:r>
    </w:p>
    <w:p w:rsidR="005728DD" w:rsidRDefault="005728DD" w:rsidP="005728DD">
      <w:pPr>
        <w:pStyle w:val="TextoNormal"/>
      </w:pPr>
    </w:p>
    <w:p w:rsidR="005728DD" w:rsidRDefault="005728DD" w:rsidP="005728DD">
      <w:pPr>
        <w:pStyle w:val="TextoNormal"/>
      </w:pPr>
      <w:r>
        <w:t xml:space="preserve">La mayoría considera que el art. 53 LOREG, al establecer que “[n]o puede difundirse propaganda electoral ni realizarse acto alguno de campaña electoral una vez que ésta haya legalmente terminado” está estableciendo una prohibición que tiene como finalidad “crear un marco de serenidad en las horas inmediatamente anteriores a la votación para que en esta aflore sin condicionamientos la verdadera voluntad política del elector”. Así se afirma en tres ocasiones [FFJJ 3 b); 4 a) y 5 c)]. A mi juicio, sin embargo, la finalidad de la prohibición que establece este precepto no puede ser entendida de esta manera en una sociedad democrática moderna, pues no puede evitar sugerir que el proceso de formación de la voluntad del elector constituye un proceso de reflexión individual aislada que produce como resultado la cristalización de su verdadera voluntad. Tal consideración parece partir de la idea de que la voluntad del elector es un </w:t>
      </w:r>
      <w:r w:rsidRPr="005728DD">
        <w:rPr>
          <w:i/>
        </w:rPr>
        <w:t>a priori</w:t>
      </w:r>
      <w:r>
        <w:t xml:space="preserve"> que solo puede salir a la luz si el votante tiene la serenidad suficiente para despojarse de cualquier influencia externa recibida durante la campaña electoral evitando de este modo que estas influencias puedan condicionar su decisión.</w:t>
      </w:r>
    </w:p>
    <w:p w:rsidR="005728DD" w:rsidRDefault="005728DD" w:rsidP="005728DD">
      <w:pPr>
        <w:pStyle w:val="TextoNormal"/>
      </w:pPr>
    </w:p>
    <w:p w:rsidR="005728DD" w:rsidRDefault="005728DD" w:rsidP="005728DD">
      <w:pPr>
        <w:pStyle w:val="TextoNormal"/>
      </w:pPr>
      <w:r>
        <w:t xml:space="preserve">Este planteamiento no puede evitar la evocación, en el marco de discusiones históricas de carácter epistemológico, de concepciones que se remontan a las corrientes conservadoras en el seno de la ilustración (Locke, Adam Ferguson, Edmund Burke…), las cuales, como es bien sabido, vinculan la imparcialidad de las decisiones de gobierno a un proceso de reflexión individual —“reflexión” es la palabra que ahora se utiliza para describir la actividad que aflora como introspección silente en la jornada previa a la elección— sin discusión </w:t>
      </w:r>
      <w:r>
        <w:lastRenderedPageBreak/>
        <w:t>pública ni participación de los interesados. Estas concepciones, peligrosamente asociadas a veces a lo que Morton White llamó elitismo epistemológico, se apoyan en un individualismo incompatible con el predominio que, en el mundo contemporáneo, especialmente en la llamada filosofía continental, adquiere la idea de sociedad entendida, más allá de la solidaridad, como comunidad y compromiso entre sus miembros. Esta idea resulta subrayada con mayor énfasis, si cabe, en situaciones de extrema necesidad como la que estamos padeciendo por las crisis de diversa índole surgidas en torno a la pandemia. El elector forma su voluntad en la sociedad de la que constituye parte integrante tomando en consideración la información electoral que la comunidad y sus miembros ponen a su disposición. No cerrar con claridad el paso a la idea de que esta información es en sí misma perturbadora, que es lo que podría interpretarse cuando se afirma que el silencio impuesto en la jornada anterior a la elección crea un marco de serenidad para que “</w:t>
      </w:r>
      <w:r w:rsidRPr="005728DD">
        <w:rPr>
          <w:i/>
        </w:rPr>
        <w:t>aflore</w:t>
      </w:r>
      <w:r>
        <w:t xml:space="preserve"> sin condicionamientos la verdadera voluntad política del elector” (énfasis mío), podría suponer remontarse a postulados rousseaunianos –el hombre es bueno por naturaleza y es la sociedad quien lo corrompe, por lo que debe evitarse en la formación de la voluntad popular por la asamblea legislativa cualquier comunicación entre los ciudadanos o intento de persuadirlos— o a ideas anteriores a la concepción liberal sobre la libertad de expresión, basada en el principio utilitarista, según el cual la verdad se alcanza sometiendo las opiniones al contraste de la discusión pública (Stuart Mill). Es cierto que en la sociedad moderna se ha puesto de relieve la facilidad para provocar desviaciones cognitivas o emocionales (Daniel Kahneman) en los electores mediante la manipulación informativa cuya intensidad es especialmente digna de destacar en la sociedad digital; pero resulta evidente que la manipulación informativa en general y, en particular, la electoral, no puede evitarse imponiendo el silencio, pues solo con información contrastada, llevada a cabo especialmente con criterios profesionales por medios solventes, puede lucharse contra la desinformación.</w:t>
      </w:r>
    </w:p>
    <w:p w:rsidR="005728DD" w:rsidRDefault="005728DD" w:rsidP="005728DD">
      <w:pPr>
        <w:pStyle w:val="TextoNormal"/>
      </w:pPr>
    </w:p>
    <w:p w:rsidR="005728DD" w:rsidRDefault="005728DD" w:rsidP="005728DD">
      <w:pPr>
        <w:pStyle w:val="TextoNormal"/>
      </w:pPr>
      <w:r>
        <w:t>La finalidad de la propaganda o de los actos de campaña electoral es precisamente influir en la voluntad de los electorales con objeto de captar sus votos. En consecuencia, todos los actos que la integran —también los realizados en el día inmediatamente anterior a la jornada electoral— no pueden rechazarse por la supuesta razón de estar destinados a “condicionar” la voluntad del elector. Solo el elector puede elegir cómo conformar su voluntad y decidir cuál es su “verdadera voluntad política”; lo hace como miembro activo de la comunidad en comunicación con los restantes miembros; y los poderes públicos no pueden incidir en este ámbito sin respetar los postulados constitucionales sobre los que se asienta el libre desarrollo de la personalidad y la libertad de opinión, de información y de expresión.</w:t>
      </w:r>
    </w:p>
    <w:p w:rsidR="005728DD" w:rsidRDefault="005728DD" w:rsidP="005728DD">
      <w:pPr>
        <w:pStyle w:val="TextoNormal"/>
      </w:pPr>
    </w:p>
    <w:p w:rsidR="005728DD" w:rsidRDefault="005728DD" w:rsidP="005728DD">
      <w:pPr>
        <w:pStyle w:val="TextoNormal"/>
      </w:pPr>
      <w:r>
        <w:t xml:space="preserve">Por lo demás, es ilusorio en la sociedad actual entender que las prohibiciones que establece el art. 53 LOREG puedan garantizar ese marco de serenidad que, según la concepción que no comparto, ha de tener el elector para poder decidir su voto. A través de las redes sociales pueden realizarse con los orígenes más variados actos de propaganda o campaña electoral —entendiendo como tales aquellos que tienen como objetivo captar el voto para una determinada formación política—, que en muchos casos pueden tener un impacto en los electores al menos equiparable al que pueden tener los medios de comunicación profesionales, que son, paradójicamente, los que en esta mal llamada jornada de reflexión padecen principalmente la limitación impuesta, pues no es necesario insistir en que tales actos de campaña por medio de redes sociales son difícilmente perseguibles al ser complicado, por no decir imposible, localizar a los miles de ciudadanos que han reenviado un mensaje a través de una aplicación electrónica o replicado hasta la saciedad comunicaciones en las </w:t>
      </w:r>
      <w:r>
        <w:lastRenderedPageBreak/>
        <w:t>redes sociales. Aunque no es objeto de este proceso, una situación similar se plantea con la prohibición de la publicación de encuestas electorales durante los días anteriores a la elección, ya que es bien sabido que estas pueden consultarse abiertamente acudiendo a una variedad de medios digitales, mientras los medios profesionales se encuentran condenados al silencio con riesgo de sufrir una sanción si publican tales encuestas, aunque sea recurriendo a formas encubiertas de carácter alegórico o metafórico.</w:t>
      </w:r>
    </w:p>
    <w:p w:rsidR="005728DD" w:rsidRDefault="005728DD" w:rsidP="005728DD">
      <w:pPr>
        <w:pStyle w:val="TextoNormal"/>
      </w:pPr>
    </w:p>
    <w:p w:rsidR="005728DD" w:rsidRDefault="005728DD" w:rsidP="005728DD">
      <w:pPr>
        <w:pStyle w:val="TextoNormal"/>
      </w:pPr>
      <w:r>
        <w:t>Esta conclusión no cuestiona la constitucionalidad del art. 53 LOREG, sino únicamente la interpretación de este precepto que entiendo que efectúa la mayoría en cuya opinión se sustenta la sentencia. A mi juicio, las prohibiciones que establece este artículo no tienen como finalidad establecer un periodo para la introspección individual en la “jornada de reflexión”, aunque esta expresión se utilice comúnmente para referirse al día previo a la jornada electoral. Ciertamente, esta denominación ha hecho fortuna, pero nunca ha sido empleada por el legislador. Ni lo hizo el Decreto-ley 20/1977, ni lo hace la Ley Orgánica electoral general (no la utilizó en su redacción originaria ni la usa la reforma llevada a cabo por la Ley Orgánica 2/2011). En todo caso, aunque sea prescindible la prohibición de propaganda electoral el día anterior a la elección, como demuestran las últimas experiencias de Derecho comparado, su finalidad no puede ser aislar al votante de la información electoral con el fin de que pueda reflexionar sin injerencias externas. Buena prueba de ello es que esta misma prohibición se establece también durante la precampaña, esto es, desde que se convocan las elecciones hasta el inicio legal de la campaña y es claro que en estos momentos del proceso electoral no tiene sentido proporcionar al elector ese supuesto marco de serenidad en las horas preelectorales (párrafo segundo del art. 53 LOREG).</w:t>
      </w:r>
    </w:p>
    <w:p w:rsidR="005728DD" w:rsidRDefault="005728DD" w:rsidP="005728DD">
      <w:pPr>
        <w:pStyle w:val="TextoNormal"/>
      </w:pPr>
    </w:p>
    <w:p w:rsidR="005728DD" w:rsidRDefault="005728DD" w:rsidP="005728DD">
      <w:pPr>
        <w:pStyle w:val="TextoNormal"/>
      </w:pPr>
      <w:r>
        <w:t>La prohibición de difundir propaganda electoral o de realizar actos de campaña una vez que esta haya legalmente terminado, que establece el art. 53 LOREG, no puede relacionarse sino con finalidades que tengan por objeto la garantía de la regularidad del proceso electoral, de la protección de la libertad de los electores y de la igualdad de oportunidades entre las diferentes candidaturas. El procedimiento electoral se articula en fases y una de ellas es la campaña electoral. La ley electoral determina qué ha de entenderse por campaña electoral [“el conjunto de actividades licitas llevadas a cabo por los candidatos, partidos, federaciones, coaliciones o agrupaciones en orden a la captación de sufragios” (art. 54 LOREG)] y el momento en el que tiene lugar [comienza el día trigésimo octavo posterior a la convocatoria, dura quince días y termina, “en todo caso, a las cero horas del día inmediatamente anterior a la votación” (art. 51 LOREG)]. Solo durante este tiempo del proceso electoral pueden las distintas formaciones políticas dirigirse al electorado para pedirle su voto.</w:t>
      </w:r>
    </w:p>
    <w:p w:rsidR="005728DD" w:rsidRDefault="005728DD" w:rsidP="005728DD">
      <w:pPr>
        <w:pStyle w:val="TextoNormal"/>
      </w:pPr>
    </w:p>
    <w:p w:rsidR="005728DD" w:rsidRDefault="005728DD" w:rsidP="005728DD">
      <w:pPr>
        <w:pStyle w:val="TextoNormal"/>
      </w:pPr>
      <w:r>
        <w:t xml:space="preserve">La acotación en el tiempo de esta actividad tiende a garantizar la igualdad de oportunidades de las distintas candidaturas en el proceso electoral. De otro modo, aquellas formaciones políticas que tuvieran más recursos económicos podrían permitirse estar en campaña un tiempo que las formaciones con menos recursos podrían no poder sufragar. Esta finalidad justifica no solo que la campaña esté limitada en el tiempo, sino también que este tiempo pueda finalizar antes del día de la votación con objeto de evitar que las formaciones políticas que concurren a las elecciones con más medios económicos puedan acaparar la atención informativa las horas previas a la jornada electoral o durante esta misma jornada organizando actos electorales de gran impacto, lo que les situaría en una situación de ventaja frente a aquellos partidos o coaliciones que, por tener menos recursos, tuvieran que hacer un cierre </w:t>
      </w:r>
      <w:r>
        <w:lastRenderedPageBreak/>
        <w:t>de campaña más modesto. Establecer un lapso de veinticuatro horas entre el fin de la campaña electoral y la votación atenúa ese impacto electoral equilibrando la posición de las distintas fuerzas políticas que concurren a las elecciones. Esta exigencia, aunque en, mi opinión, no es constitucionalmente exigible, tampoco considero que sea contraria a la Constitución, pues tiene una finalidad legítima y proporcionada a los fines que trata de preservar.</w:t>
      </w:r>
    </w:p>
    <w:p w:rsidR="005728DD" w:rsidRDefault="005728DD" w:rsidP="005728DD">
      <w:pPr>
        <w:pStyle w:val="TextoNormal"/>
      </w:pPr>
    </w:p>
    <w:p w:rsidR="005728DD" w:rsidRDefault="005728DD" w:rsidP="005728DD">
      <w:pPr>
        <w:pStyle w:val="TextoNormal"/>
      </w:pPr>
      <w:r>
        <w:t>No es una cuestión baladí precisar cuál es el sentido de las prohibiciones que establece el art. 53 LOREG, pues, dependiendo del modo en que se interpreten estas prohibiciones, se incurrirá o no en la infracción tipificada en el art. 153 LOREG, que es el objeto del proceso del que trae causa la presente cuestión de inconstitucionalidad. Un entendimiento constitucional correcto de la referida infracción exige ir más allá de las exigencias de tipicidad que se derivan del art. 25.1 CE, que, como bien argumenta la mayoría, el precepto cuestionado respeta, y obliga a tomar en consideración la finalidad que a través de estas prohibiciones pretende conseguirse. Estas prohibiciones pueden conllevar una limitación de derechos constitucionales, en particular de los derechos a la libertad de expresión e información que garantiza el art. 20 CE y por ello solo serán legítimas cuando sean necesarias y proporcionadas para tutelar el bien jurídico o valor constitucional que intentan proteger.</w:t>
      </w:r>
    </w:p>
    <w:p w:rsidR="005728DD" w:rsidRDefault="005728DD" w:rsidP="005728DD">
      <w:pPr>
        <w:pStyle w:val="TextoNormal"/>
      </w:pPr>
    </w:p>
    <w:p w:rsidR="005728DD" w:rsidRDefault="005728DD" w:rsidP="005728DD">
      <w:pPr>
        <w:pStyle w:val="TextoNormal"/>
      </w:pPr>
      <w:r>
        <w:t>Así lo reconoce también la mayoría [fundamento jurídico 5 c)]. Sin embargo, dada mi diferente concepción de los fines que justifican las referidas prohibiciones, no puedo compartir la conclusión a la que llega la decisión mayoritaria cuando sostiene que, como la finalidad que pretenden estas prohibiciones es salvaguardar “la limpieza o la pureza de los procesos electorales y los derechos de participación política […] mediante la neutralidad política propia de la jornada de reflexión”, basta —para que puedan sancionarse como ilegítimos los actos de difusión de información o expresión en los medios de comunicación durante la denominada jornada electoral— con que la sanción se funde “en la existencia de razones que prueben el carácter electoral de los actos considerados”. Esta expresión se matiza más adelante afirmando que se requiere que estén orientados a la captación de sufragios.</w:t>
      </w:r>
    </w:p>
    <w:p w:rsidR="005728DD" w:rsidRDefault="005728DD" w:rsidP="005728DD">
      <w:pPr>
        <w:pStyle w:val="TextoNormal"/>
      </w:pPr>
    </w:p>
    <w:p w:rsidR="005728DD" w:rsidRDefault="005728DD" w:rsidP="005728DD">
      <w:pPr>
        <w:pStyle w:val="TextoNormal"/>
      </w:pPr>
      <w:r>
        <w:t xml:space="preserve">Discrepo de esta interpretación por las consecuencias a que puede conducir. Cualquier acto de contenido político realizado el día anterior de la jornada electoral, directa o indirectamente, puede incidir en los electores y afectar al sentido de su voto, por lo que interpretar las prohibiciones establecidas en el art. 53 LOREG en el sentido propuesto por la mayoría podría conllevar un efecto disuasorio conducente a que el día previo a la celebración de unas elecciones el debate político estuviera ausente de la esfera pública. Interpretar de este modo el art. 53 LOREG sería incompatible, a mi juicio, con la libertad de expresión e información y el Tribunal así lo ha entendido cuando ha aceptado numerosas excepciones en aras de la libertad de información a las restricciones que pueden suponerse derivadas de este precepto. Por ello, entiendo que para que unos determinados hechos producidos en el ámbito de la libertad de información puedan considerarse incursos en las prohibiciones que establece aquel precepto sin vulnerar los mandatos constitucionales no es suficiente con que tengan contenido electoral y puedan entenderse orientados a la captación de votos —los actos de información electoral realizados ese día difícilmente pueden tener otro efecto, pues este resulta inherente a la difusión de información en materia electoral—, sino que es necesario además que pongan en riesgo la regularidad del proceso electoral —porque puedan ocasionar altercados o desórdenes públicos, por ejemplo— o quiebren de forma grave la igualdad de oportunidades de las candidaturas, por colocar a una determinada formación política en situación de ventaja indebida respecto de las demás. Solo interpretadas de este modo las </w:t>
      </w:r>
      <w:r>
        <w:lastRenderedPageBreak/>
        <w:t>prohibiciones que establece el art. 53 LOREG pueden estimarse acordes con la Constitución, pues las limitaciones de derechos fundamentales que conllevan se encuentran justificadas en la protección de otros bienes o valores constitucionales y son proporcionadas a los fines que a través de ellas pretenden conseguirse.</w:t>
      </w:r>
    </w:p>
    <w:p w:rsidR="005728DD" w:rsidRDefault="005728DD" w:rsidP="005728DD">
      <w:pPr>
        <w:pStyle w:val="TextoNormal"/>
      </w:pPr>
    </w:p>
    <w:p w:rsidR="005728DD" w:rsidRDefault="005728DD" w:rsidP="005728DD">
      <w:pPr>
        <w:pStyle w:val="TextoNormal"/>
      </w:pPr>
      <w:r>
        <w:t>Madrid, a veintiocho de enero de dos mil veintiuno.</w:t>
      </w:r>
    </w:p>
    <w:p w:rsidR="005728DD" w:rsidRDefault="005728DD" w:rsidP="005728DD">
      <w:pPr>
        <w:pStyle w:val="TextoNormal"/>
      </w:pPr>
    </w:p>
    <w:p w:rsidR="005728DD" w:rsidRDefault="005728DD" w:rsidP="005728DD">
      <w:pPr>
        <w:pStyle w:val="TextoNormalNegritaCentrado"/>
        <w:keepNext/>
      </w:pPr>
      <w:r>
        <w:t>Voto particular que formula la magistrada doña María Luisa Balaguer Callejón a la sentencia dictada en la cuestión de inconstitucionalidad 1478-2020</w:t>
      </w:r>
    </w:p>
    <w:p w:rsidR="005728DD" w:rsidRDefault="005728DD" w:rsidP="005728DD">
      <w:pPr>
        <w:pStyle w:val="TextoNormalNegritaCentrado"/>
        <w:keepNext/>
      </w:pPr>
    </w:p>
    <w:p w:rsidR="005728DD" w:rsidRDefault="005728DD" w:rsidP="005728DD">
      <w:pPr>
        <w:pStyle w:val="TextoNormal"/>
      </w:pPr>
      <w:r>
        <w:t>En ejercicio de la facultad que me confiere el art. 90.2 de la Ley Orgánica del Tribunal Constitucional, y con pleno respeto a la opinión de la mayoría reflejada en la sentencia, formulo el presente voto, dejando constancia sucintamente de los fundamentos de mi posición discrepante con el fallo y con los razonamientos que lo sustentan, de acuerdo con los argumentos que defendí en la deliberación del Pleno.</w:t>
      </w:r>
    </w:p>
    <w:p w:rsidR="005728DD" w:rsidRDefault="005728DD" w:rsidP="005728DD">
      <w:pPr>
        <w:pStyle w:val="TextoNormal"/>
      </w:pPr>
    </w:p>
    <w:p w:rsidR="005728DD" w:rsidRDefault="005728DD" w:rsidP="005728DD">
      <w:pPr>
        <w:pStyle w:val="TextoNormal"/>
      </w:pPr>
      <w:r>
        <w:t>En mi opinión, la sentencia debería haber estimado la cuestión de inconstitucionalidad promovida por la Sección Cuarta de la Sala de lo Contencioso-Administrativo del Tribunal Supremo, por las razones que paso a exponer.</w:t>
      </w:r>
    </w:p>
    <w:p w:rsidR="005728DD" w:rsidRDefault="005728DD" w:rsidP="005728DD">
      <w:pPr>
        <w:pStyle w:val="TextoNormal"/>
      </w:pPr>
    </w:p>
    <w:p w:rsidR="005728DD" w:rsidRDefault="005728DD" w:rsidP="005728DD">
      <w:pPr>
        <w:pStyle w:val="TextoNormal"/>
      </w:pPr>
      <w:r>
        <w:t>1. La lectura del auto de planteamiento de la cuestión de inconstitucionalidad revela la preocupación del Tribunal Supremo no solo por las carencias de los preceptos cuestionados de la Ley Orgánica del régimen electoral general en cuanto a las exigencias que la Constitución impone a toda norma penal o sancionadora, sino, también, y muy especialmente, por la afección que esos preceptos suponen para un derecho fundamental tan esencial como es la libertad de información del art. 20.1 d), poniendo en relación el problema de la taxatividad de la norma, en cuanto a diversos aspectos, con la limitación del ejercicio de ese derecho fundamental. Sin embargo, la sentencia de la que disiento, con un enfoque que no comparto y que me parece alejado de pautas hermenéuticas esenciales, da respuesta a la cuestión exclusivamente desde la perspectiva de la taxatividad de la norma, dejando como un aspecto marginal la incidencia sobre las libertades de expresión y de información, que se examina —de modo desafortunado, como expondré posteriormente— al socaire del tema de la asignación de responsabilidad al director de un periódico. En mi opinión, la perspectiva debería haber sido otra, porque el derecho fundamental del art. 20.1 d) tendría que haber ocupado una posición nuclear dentro del juicio de constitucionalidad que se realiza y a la hora de interpretar los preceptos sobre los que plantea su duda el Tribunal Supremo. No en vano, de lo que se trata es de que el art. 153.1 LOREG y los preceptos relacionados (arts. 53 y 50.4 LOREG y arts. 34 y 39 de la Ley 14/1966, de 18 de marzo, de prensa e imprenta) determinan la imposición de una sanción al director de un diario por haber publicado una entrevista a una candidata en la jornada de reflexión, es decir, por haber ejercido su derecho fundamental a la libertad de información, suscitando así el relevante problema de los límites que la LOREG impone al ejercicio de ese derecho en el proceso electoral y, más en concreto, en la jornada de reflexión, y si esas restricciones son constitucionalmente tolerables hoy, problema al que la sentencia aprobada por la mayoría se aproxima desde una perspectiva meramente formal, pero sin abordar la verdadera cuestión constitucional que se suscita que, como ya he señalado anteriormente, el Tribunal Supremo —de manera muy acertada— vincula muy estrechamente a la profunda incidencia que las reglas del régimen sancionador de la LOREG producen sobre la libertad de información.</w:t>
      </w:r>
    </w:p>
    <w:p w:rsidR="005728DD" w:rsidRDefault="005728DD" w:rsidP="005728DD">
      <w:pPr>
        <w:pStyle w:val="TextoNormal"/>
      </w:pPr>
    </w:p>
    <w:p w:rsidR="005728DD" w:rsidRDefault="005728DD" w:rsidP="005728DD">
      <w:pPr>
        <w:pStyle w:val="TextoNormal"/>
      </w:pPr>
      <w:r>
        <w:t>Sin ser excesivamente prolija en la exposición de nuestra doctrina, debe ponerse de relieve que la libertad de información, perfilada por este tribunal en múltiples resoluciones, supone la libertad de comunicar, sin injerencias por parte de los poderes públicos, informaciones de interés público y veraces, en el sentido de diligentemente contrastadas, sobre hechos o sobre opiniones ajenas presentadas como tales (STC 136/1999, de 20 de julio, FJ 15). Su relevancia dentro de nuestro sistema democrático la expresa, entre otras muchas, la STC 159/1986, de 16 de diciembre, al afirmar en su fundamento jurídico 6 que el art. 20 CE,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En este sentido, se ha manifestado este tribunal desde su STC 6/1981, de 16 de marzo, hasta la más reciente 25/2019, de 25 de febrero, al poner reiteradamente de manifiesto la posición especial que ocupa en nuestro ordenamiento la libertad de información, puesto que a través de este derecho no solo se protege un interés individual, sino que su tutela entraña “el reconocimiento y la garantía de una institución política fundamental, que es la opinión pública libre, indisolublemente ligada con el pluralismo político propio del Estado democrático”. Como afirmaba la STC 9/2007, de 15 de enero, FJ 4,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 (por todas STC 6/1981, de 16 de marzo; en el mismo sentido SSTC 20/1990, de 15 de febrero, y 336/1993, de 15 de noviembre)”.</w:t>
      </w:r>
    </w:p>
    <w:p w:rsidR="005728DD" w:rsidRDefault="005728DD" w:rsidP="005728DD">
      <w:pPr>
        <w:pStyle w:val="TextoNormal"/>
      </w:pPr>
    </w:p>
    <w:p w:rsidR="005728DD" w:rsidRDefault="005728DD" w:rsidP="005728DD">
      <w:pPr>
        <w:pStyle w:val="TextoNormal"/>
      </w:pPr>
      <w:r>
        <w:t>Esta posición preferencial del derecho fundamental a la información reconocido en el art. 20.1 d) de la Constitución, aunque implica una mayor responsabilidad moral y jurídica en quien realiza la información, también exige una rigurosa ponderación de cualquier norma o decisión que coarte su ejercicio. Por ello, cuando la libertad de información entre en conflicto con otros derechos fundamentales e incluso con otros intereses de significativa importancia social y política respaldados, como ocurre en el presente caso, por la legislación electoral, las restricciones que de dicho conflicto puedan derivarse deben ser interpretadas de tal modo que el contenido fundamental del derecho en cuestión no resulte, dada su jerarquía institucional, desnaturalizado ni incorrectamente relativizado. Esta es, sin lugar a dudas, una pauta interpretativa esencial que no ha sido tomada en consideración por la sentencia de la que discrepo.</w:t>
      </w:r>
    </w:p>
    <w:p w:rsidR="005728DD" w:rsidRDefault="005728DD" w:rsidP="005728DD">
      <w:pPr>
        <w:pStyle w:val="TextoNormal"/>
      </w:pPr>
    </w:p>
    <w:p w:rsidR="005728DD" w:rsidRDefault="005728DD" w:rsidP="005728DD">
      <w:pPr>
        <w:pStyle w:val="TextoNormal"/>
      </w:pPr>
      <w:r>
        <w:t xml:space="preserve">2. En contra del criterio sustentado por la mayoría, considero que la Ley Orgánica del régimen electoral general incurre, efectivamente, en la indeterminación en sus normas sancionadoras que denuncia el Tribunal Supremo, en la medida en que contiene unas definiciones excesivamente vagas, y, además, no incluye una previsión expresa en cuanto a las actuaciones que se realicen bajo el amparo de la libertad de información del art. 20.1 d) CE, ni en relación con los sujetos que lleven a cabo esas actuaciones en ejercicio de aquel derecho fundamental. Esa indeterminación se reconoce en la propia sentencia, aunque no se </w:t>
      </w:r>
      <w:r>
        <w:lastRenderedPageBreak/>
        <w:t>considera grave, pero, a mi juicio, sí lo es, en la medida en que se traduzca en una restricción del ejercicio de un derecho fundamental que solo puede verse limitado en los términos del art. 20.4 CE.</w:t>
      </w:r>
    </w:p>
    <w:p w:rsidR="005728DD" w:rsidRDefault="005728DD" w:rsidP="005728DD">
      <w:pPr>
        <w:pStyle w:val="TextoNormal"/>
      </w:pPr>
    </w:p>
    <w:p w:rsidR="005728DD" w:rsidRDefault="005728DD" w:rsidP="005728DD">
      <w:pPr>
        <w:pStyle w:val="TextoNormal"/>
      </w:pPr>
      <w:r>
        <w:t>Para comenzar, el art. 53 LOREG, en su párrafo primero, dispone que “no puede difundirse propaganda electoral ni realizarse acto alguno de campaña electoral una vez que esta haya legalmente terminado”. La pregunta que surge a la vista de la prohibición que impone dicho precepto es si una información periodística amparada en el art. 20.1 d) puede tener encaje en los conceptos de “propaganda electoral” o de “campaña electoral”, y, por tanto, si puede entenderse dirigida a periodistas, medios de comunicación y, en particular, a sus directores. Formulo esta interrogante porque esa prohibición es el único asidero que, en conexión con lo previsto en el art. 153.1 LOREG, ha permitido sancionar publicaciones realizadas en la denominada “jornada de reflexión”, y, en concreto, en el procedimiento del que trae causa la promoción de la cuestión de inconstitucionalidad, la publicación de una entrevista con una candidata en dicha jornada.</w:t>
      </w:r>
    </w:p>
    <w:p w:rsidR="005728DD" w:rsidRDefault="005728DD" w:rsidP="005728DD">
      <w:pPr>
        <w:pStyle w:val="TextoNormal"/>
      </w:pPr>
    </w:p>
    <w:p w:rsidR="005728DD" w:rsidRDefault="005728DD" w:rsidP="005728DD">
      <w:pPr>
        <w:pStyle w:val="TextoNormal"/>
      </w:pPr>
      <w:r>
        <w:t>La sentencia de la que disiento, de manera un tanto apodíctica, afirma que los destinatarios de la prohibición son “todos”, al tener como propósito “crear un marco de serenidad en las horas inmediatamente anteriores a la votación”, para que aflore “la verdadera voluntad política del elector”. Nada hay en la Ley Orgánica del régimen electoral general que permita sustentar tal afirmación, especialmente en lo que se refiere a que la jornada de reflexión tenga, precisamente, ese propósito. Sus previsiones parecen circunscribir la prohibición, más bien, a los sujetos que directamente intervienen en la campaña electoral.</w:t>
      </w:r>
    </w:p>
    <w:p w:rsidR="005728DD" w:rsidRDefault="005728DD" w:rsidP="005728DD">
      <w:pPr>
        <w:pStyle w:val="TextoNormal"/>
      </w:pPr>
    </w:p>
    <w:p w:rsidR="005728DD" w:rsidRDefault="005728DD" w:rsidP="005728DD">
      <w:pPr>
        <w:pStyle w:val="TextoNormal"/>
      </w:pPr>
      <w:r>
        <w:t>Como punto de partida, podría descartarse aquí la difusión de propaganda electoral, porque el art. 153.1 LOREG se refiere a “toda infracción de las normas obligatorias establecidas en la presente ley que no constituya delito”, y, de acuerdo con el art. 144.1 a) LOREG, la realización de actos de propaganda una vez finalizada la campaña electoral es un delito electoral. En cualquier caso, el art. 58 LOREG permite a las candidaturas realizar publicidad en la prensa periódica y en las emisoras de radio de titularidad privada (no así en los medios de comunicación de titularidad pública ni en las emisoras de televisión privada, según el art. 60 de la Ley), abonando las correspondientes tarifas, y sin que pueda producirse discriminación alguna entre las candidaturas en cuanto a la inclusión, tarifas y ubicación de esos espacios de publicidad; espacios en los que, además, deberá constar expresamente su condición (art. 58.2 LOREG), exigencia que permite que los electores tomen conocimiento de su naturaleza como tal propaganda. Así pues, la prensa periódica puede ser vehículo o instrumento de la propaganda electoral de los participantes en el proceso electoral, pero en modo alguno puede ser confundida esa propaganda electoral que se incluye en uno de tales medios con una información periodística amparada en el art. 20.1 d) CE, ni eso los convierte en sujetos que desarrollen actos de propaganda.</w:t>
      </w:r>
    </w:p>
    <w:p w:rsidR="005728DD" w:rsidRDefault="005728DD" w:rsidP="005728DD">
      <w:pPr>
        <w:pStyle w:val="TextoNormal"/>
      </w:pPr>
    </w:p>
    <w:p w:rsidR="005728DD" w:rsidRDefault="005728DD" w:rsidP="005728DD">
      <w:pPr>
        <w:pStyle w:val="TextoNormal"/>
      </w:pPr>
      <w:r>
        <w:t xml:space="preserve">Por otra parte, los sujetos a los que se dirige la prohibición de realizar actos de campaña electoral están definidos en el art. 50.4 LOREG, conforme al cual, “se entiende por campaña electoral, a efectos de esta ley, el conjunto de actividades lícitas llevadas a cabo por los candidatos, partidos, federaciones, coaliciones o agrupaciones en orden a la captación de sufragios”. Entiendo que estos deben ser los únicos sujetos que estén habilitados para realizar campaña electoral, como indicó la STC 38/2009, de 9 de febrero, FJ 3, sin que pueda llevarla a cabo ninguna otra persona jurídica distinta de las mencionadas, al proscribirlo el </w:t>
      </w:r>
      <w:r>
        <w:lastRenderedPageBreak/>
        <w:t xml:space="preserve">art. 50.5 LOREG que, en todo caso, deja a salvo lo establecido en el art. 20 CE, lo que implica que las libertades de expresión e información no se verían afectadas por las restricciones establecidas para el período de campaña, extremo este sobre el que la sentencia guarda un incomprensible silencio, habida cuenta del derecho fundamental que se encuentra en juego. En este sentido, resulta muy clara la ya citada STC 38/2009, al afirmar en su FJ 4 que no se puede extender el carácter de acto de campaña electoral “a todo aquel que de forma indirecta o subliminal pudiera incidir en la voluntad de los electores por coincidir con alguna de las ideas defendidas por las opciones políticas que concurren en el proceso electoral, sujetándolo por ello a la regulación de la Ley Orgánica del régimen electoral general (LOREG), [lo que] supondría, en aras de la protección de la ‘pureza de la campaña electoral’, permitir que se prohíban, con la consiguiente vulneración del derecho a la libertad de expresión, todas aquellas manifestaciones públicas realizadas durante la misma que no hubieran sido efectuadas por candidatos, partidos, federaciones, coaliciones o agrupaciones. Y ello incluso cuando fuera conocida la preferencia de sus convocantes por una determinada opción política o su posición crítica con el resto de las opciones presentes en la contienda electoral”. Consideraciones sobre la libertad de expresión que, </w:t>
      </w:r>
      <w:r w:rsidRPr="005728DD">
        <w:rPr>
          <w:i/>
        </w:rPr>
        <w:t>mutatis mutandis</w:t>
      </w:r>
      <w:r>
        <w:t>, son perfectamente trasladables al ejercicio de la libertad de información que, además, cumple un papel esencial durante la campaña electoral, ya que los medios de comunicación han de permitir, con su labor, que los ciudadanos reciban una información veraz sobre todas las cuestiones que inciden en el proceso de decisión del voto, al margen de los mensajes publicitarios de los partidos políticos concurrentes a las elecciones, ya que esa información, que es seguida con mayor atención que la publicidad electoral por los ciudadanos, es un elemento esencial para garantizar el libre ejercicio del derecho de voto, en la tarea que, de manera conjunta con la libertad de expresión, cumple en orden a la formación de una opinión pública libre, que es garantía del principio de legitimidad democrática (STC 6/1981, de 16 de marzo, FJ 3) para que el ciudadano pueda formar libremente sus opiniones y participar de modo responsable en los asuntos públicos (STC 159/1986, de 16 de diciembre, FJ 6).</w:t>
      </w:r>
    </w:p>
    <w:p w:rsidR="005728DD" w:rsidRDefault="005728DD" w:rsidP="005728DD">
      <w:pPr>
        <w:pStyle w:val="TextoNormal"/>
      </w:pPr>
    </w:p>
    <w:p w:rsidR="005728DD" w:rsidRDefault="005728DD" w:rsidP="005728DD">
      <w:pPr>
        <w:pStyle w:val="TextoNormal"/>
      </w:pPr>
      <w:r>
        <w:t xml:space="preserve">Las únicas prescripciones de la Ley Orgánica del régimen electoral general que afectan a los medios de comunicación son, por una parte, las que van dirigidas a garantizar el pluralismo político y social (art. 66), más exigentes con los medios de comunicación de titularidad pública, a los que se impone no solo el respeto al pluralismo político y social, sino también a la igualdad, proporcionalidad y la neutralidad informativa en la programación, mientras que las emisoras de titularidad privada deberán respetar los principios de pluralismo e igualdad, y las televisiones privadas han de respetar además los principios de proporcionalidad y neutralidad informativa en los debates y entrevistas electorales así como en la información relativa a la campaña electoral de acuerdo a las instrucciones que, a tal efecto, elabore la junta electoral competente. La intensidad con que se incide sobre la información electoral presenta distintos grados, en función de la titularidad y el tipo de medio, siendo mínima la que afecta a la prensa escrita, sujeta tan solo al derecho de rectificación (art. 68 LOREG), y que disfruta de una mayor libertad a la hora de informar sobre el proceso electoral. Por otra parte, encontramos las reglas que se refieren a la publicación de las encuestas, contenidas en el art. 69 LOREG, que establece los requisitos que deben cumplir, y en cuyo apartado 7 se prohíbe la publicación y difusión o reproducción de sondeos electorales por cualquier medio de comunicación en los cinco días anteriores al de la votación, prescripción que, en pleno siglo XXI, y con las actuales tecnologías de información y comunicación, se </w:t>
      </w:r>
      <w:r>
        <w:lastRenderedPageBreak/>
        <w:t>antoja, cuando menos, obsoleta, e incluso cabría plantearse si no es sobrevenidamente inconstitucional, cuestión que obviaré, al no ser objeto de la sentencia a la que formulo este voto.</w:t>
      </w:r>
    </w:p>
    <w:p w:rsidR="005728DD" w:rsidRDefault="005728DD" w:rsidP="005728DD">
      <w:pPr>
        <w:pStyle w:val="TextoNormal"/>
      </w:pPr>
    </w:p>
    <w:p w:rsidR="005728DD" w:rsidRDefault="005728DD" w:rsidP="005728DD">
      <w:pPr>
        <w:pStyle w:val="TextoNormal"/>
      </w:pPr>
      <w:r>
        <w:t>En suma, se puede concluir que, salvo estos dos últimos aspectos, existe una seria indefinición en la Ley Orgánica del régimen electoral general en cuanto a las actuaciones realizadas por determinados sujetos que, estando relacionados con el ejercicio de la libertad de información, pueden encontrar límites a ese ejercicio que, en caso de ser desatendidos, se verían traducidos en la imposición de una sanción por la administración electoral, y que, en último término, dependen del criterio de esta. Las normas de la ley carecen, por tanto, de la necesaria claridad y previsibilidad que viene impuesta por el art. 25.1 CE.</w:t>
      </w:r>
    </w:p>
    <w:p w:rsidR="005728DD" w:rsidRDefault="005728DD" w:rsidP="005728DD">
      <w:pPr>
        <w:pStyle w:val="TextoNormal"/>
      </w:pPr>
    </w:p>
    <w:p w:rsidR="005728DD" w:rsidRDefault="005728DD" w:rsidP="005728DD">
      <w:pPr>
        <w:pStyle w:val="TextoNormal"/>
      </w:pPr>
      <w:r>
        <w:t>3. El análisis que la sentencia realiza para llegar a la conclusión de que, en abstracto, la exigencia de responsabilidad al director de un periódico por la realización de una conducta expresamente prohibida en la LOREG (concretamente en su art. 53) no vulnera ni el derecho a la libertad de información ni la presunción de inocencia, me parece analógico, en un mundo que es plenamente digital, y considero que deja de lado la realidad social actual, cuando los contextos históricos son decisivos en el ámbito interpretativo de las normas, como nos recuerda el art. 3.1 del Código civil de 1889. La sentencia insiste en la importancia de la jornada de reflexión en todo proceso electoral “al ir dirigida a crear un marco de serenidad en las horas inmediatamente anteriores a la votación para que en esta aflore sin condicionamientos la verdadera voluntad política del elector y a garantizar el derecho fundamental de todos los partícipes en las elecciones a la igualdad en el acceso a los cargos públicos que exige el art. 23.2 CE”. En todo caso, considera que corresponde al aplicador de la norma determinar qué actividad de información se encuentra proscrita o no por las prohibiciones del art. 53 LOREG, haciéndose eco de los criterios que viene estableciendo la Junta Electoral Central, a los que otorga la máxima relevancia, y que, en el caso concreto, se traducirían en que no se pueden publicar entrevistas a los candidatos en el día anterior a la votación, porque esa publicación no puede ampararse en la libertad de expresión o información reconocida en el art. 20 CE.</w:t>
      </w:r>
    </w:p>
    <w:p w:rsidR="005728DD" w:rsidRDefault="005728DD" w:rsidP="005728DD">
      <w:pPr>
        <w:pStyle w:val="TextoNormal"/>
      </w:pPr>
    </w:p>
    <w:p w:rsidR="005728DD" w:rsidRDefault="005728DD" w:rsidP="005728DD">
      <w:pPr>
        <w:pStyle w:val="TextoNormal"/>
      </w:pPr>
      <w:r>
        <w:t>No puedo estar de acuerdo con los razonamientos que han llevado a rechazar las causas de inconstitucionalidad que el Tribunal Supremo opone al art. 153.1, en relación con los arts. 53 y 50.4, todos ellos de la LOREG. A mi modo de ver, el juicio de constitucionalidad debería haber partido de otro esquema argumental en el que se abordara un problema constitucional esencial que ha quedado incontestado. Para ello, la sentencia tendría que haber tomado en consideración el nuevo escenario de las cibertecnologías de comunicación (prensa digital nacional e internacional, páginas web especializadas, redes sociales, blogs, foros, etc.), que ofrecen medios más avanzados y rápidos de transmisión de la información y de las opiniones, y la utilidad que presentarían las limitaciones que recaen sobre los medios de comunicación tradicionales en la jornada de reflexión. Por consiguiente, habría sido necesaria la realización de un juicio de constitucionalidad en el que se planteara, como cuestión primordial, el examen de la constitucionalidad de esos límites —imprecisos— que se imponen a la libertad de información en la jornada de reflexión, y, asimismo, la constitucionalidad de la imposición de la sanción, teniendo en cuenta las dificultades de definir apriorísticamente qué tipo de información puede transmitirse o no por los medios de comunicación en la jornada de reflexión.</w:t>
      </w:r>
    </w:p>
    <w:p w:rsidR="005728DD" w:rsidRDefault="005728DD" w:rsidP="005728DD">
      <w:pPr>
        <w:pStyle w:val="TextoNormal"/>
      </w:pPr>
    </w:p>
    <w:p w:rsidR="005728DD" w:rsidRDefault="005728DD" w:rsidP="005728DD">
      <w:pPr>
        <w:pStyle w:val="TextoNormal"/>
      </w:pPr>
      <w:r>
        <w:lastRenderedPageBreak/>
        <w:t>a) La sentencia de la que discrepo antepone un bien que carece de reflejo constitucional, como es el derecho a la tranquilidad en la jornada de reflexión, a un derecho fundamental como es el de la libertad de información, cuyo ejercicio resulta relegado, a pesar de ser un derecho fundamental que garantiza el pluralismo político y la conformación de una sociedad democrática. Se concibe, así, la jornada de reflexión como una especie de retiro, en la que no tiene cabida el ejercicio de aquel derecho fundamental, salvo de manera muy restringida y a expensas siempre del criterio de la junta electoral correspondiente. En mi opinión, la jornada de reflexión es hoy anacrónica, carece de utilidad y supone una restricción desproporcionada a la libertad de información. Esa figura (denominada en otros países “veda electoral” o “silencio electoral) tiene su origen, en nuestro país, en la transición política. El art. 38 del Real Decreto-ley 20/1977, de 18 de marzo, sobre normas electorales, establecía que “”, y dos meses antes de la celebración de las elecciones, el Gobierno expuso cómo se iba a desarrollar el proceso, indicando que la campaña electoral concluiría el día 14 de junio a las cero horas, y añadiendo que “esta fecha, jornada de reflexión, estará libre de toda acción electoral”. Ese término se ha mantenido para identificar el día previo al de celebración de las elecciones, aunque, lo importante, a nuestros efectos, son las limitaciones que se imponen en él. Esa jornada de reflexión tenía una justificación en aquel momento, en el que se celebraban las primeras elecciones con tintes verdaderamente democráticos tras cuarenta años de dictadura, por lo que resultaba adecuada para que los electores tomaran conciencia plena de su decisión en aquella primera campaña electoral. Sin embargo, hoy, tras más de cuarenta años de elecciones democráticas, el electorado ha alcanzado un grado de madurez que hace innecesaria esa prevención. Más importante que la tranquilidad para tomar la decisión es contar con la suficiente información para que esa decisión se tome de manera consciente, meditada, y, sobre todo, libre, aspecto en el que incide fundamentalmente el art. 23.1 CE, y para cuya efectividad es esencial que se tenga información veraz sobre las candidaturas, sus programas y todos los aspectos que rodean a unas elecciones. De ahí que la libertad de expresión y la de información del art. 20.1 a) y d) CE sean esenciales en el desarrollo de un proceso electoral. Como este tribunal señalara en la STC 136/1999, de 20 de julio, “cuando estas libertades operan como instrumento de los derechos de participación política debe reconocérseles si cabe una mayor amplitud que cuando actúan en otros contextos, ya que el bien jurídico fundamental por ellas tutelado, que es también aquí el de la formación de la opinión pública libre, adquiere un relieve muy particular en esta circunstancia, haciéndoles ‘especialmente resistente(s), inmune(s) a las restricciones que es claro que en otro contexto habrían de operar’”»; y añadió que “cuando esas libertades aparecen ‘conectad(as) a los procesos de formación y exteriorización de un poder político democrático (art. 23 C.E.)’, deberá garantizarse la máxima libertad —y los mayores medios— para que los individuos y los grupos hagan llegar a los electores cualquier tipo de opiniones o informaciones ‘para que el ciudadano pueda formar libremente sus opiniones y participar de modo responsable en los asuntos públicos’ (STC 157/1996, FFJJ 5 y 6)”.</w:t>
      </w:r>
    </w:p>
    <w:p w:rsidR="005728DD" w:rsidRDefault="005728DD" w:rsidP="005728DD">
      <w:pPr>
        <w:pStyle w:val="TextoNormal"/>
      </w:pPr>
    </w:p>
    <w:p w:rsidR="005728DD" w:rsidRDefault="005728DD" w:rsidP="005728DD">
      <w:pPr>
        <w:pStyle w:val="TextoNormal"/>
      </w:pPr>
      <w:r>
        <w:t xml:space="preserve">Por otra parte, como ya he señalado, es preciso tomar en consideración el contexto histórico en el que se van a aplicar las normas, y el actual demuestra que la regulación de la Ley Orgánica del régimen electoral general resulta obsoleta, porque no se acomoda a un momento en el que los medios digitales se imponen en la comunicación de informaciones, ideas y opiniones, alcanzando una dimensión global. Ya desde la última década del siglo pasado comenzaron a proliferar las televisiones privadas, pero, actualmente, las tecnologías de la información y la comunicación van mucho más allá y han evolucionado de manera exponencial, extendiéndose su uso en todos los estratos sociales a través de prensa digital, </w:t>
      </w:r>
      <w:r>
        <w:lastRenderedPageBreak/>
        <w:t>redes sociales, blogs, mensajería instantánea, etc., de manera que cualquier mensaje se transmite en muy poco tiempo desde cualquier parte del planeta a una gran cantidad de población, que puede recibir de esta manera la información precisa para ejercer libremente y con suficiente conocimiento de todos los datos su derecho de voto. Los partidos políticos han tomado conciencia de esa realidad y han orientado sus estrategias de comunicación hacia esa esfera digital, como medio de llegar a más potenciales votantes. Y esa comunicación no se interrumpe ni en la jornada de reflexión, ni en el día mismo de celebración de las elecciones: los contenidos de los diarios digitales permanecen en la red, y el tránsito de mensajes con opiniones y noticias en redes sociales es constante. Siendo ello así, no se justifica la restricción que se impone a la prensa en la jornada de reflexión, que se muestra desproporcionada desde el momento en que esa medida limitativa, que pretendería la emisión de un voto meditado, que responda a la voluntad del elector, en virtud de una decisión adoptada en un “marco de serenidad”, como afirma la sentencia de la que disiento, produce un resultado que es el contrario al pretendido, ya que se elimina en esa jornada de reflexión el cauce habitual para obtener una información contrastada y veraz, constituido por la prensa, mientras que proliferan en internet, en redes sociales, en sistemas de mensajería instantánea, en blogs y en otras vías digitales de comunicación noticias, ideas y opiniones que, en no pocas ocasiones, se transmiten con la intención de producir una verdadera desinformación que altere la percepción de los electores sobre las candidaturas y sus programas, y, en último término, que puede condicionar en algún modo la decisión sobre el voto y el resultado electoral. En tal situación, la prensa ofrece una mayor garantía de veracidad en la información, y no solo no resulta justificada constitucionalmente la limitación que se le impone, sino que, antes al contrario, revela la necesidad de que se otorgue una mayor protección y proyección a la libertad de información del art. 20.1 d) CE que se desarrolla a través de este medio. No podemos olvidar que, como se ha afirmado en la doctrina de este tribunal (STC 165/1987, de 27 de octubre, FJ 10), la protección constitucional de los derechos de que se trata “alcanza un máximo nivel cuando la libertad es ejercitada por los profesionales de la información a través del vehículo institucionalizado de formación de la opinión pública que es la prensa, entendida en su más amplia acepción”. Los cauces por los que se difunde la información aparecen así como relevantes para determinar su protección constitucional (STC 105/1990, de 6 de junio, FJ 4). Y no cabe oponer a esa conclusión la idea de que las distintas publicaciones puedan tratar de orientar el voto en función de su ideología, porque la madurez del electorado permite presumir la capacidad de distinguir las líneas editoriales de los distintos medios de comunicación, al tiempo que se ha de reconocer a quienes ejercen el periodismo la profesionalidad suficiente como para actuar durante todo el proceso electoral con toda la seriedad y el rigor informativos que la libertad de expresión y la de información requieren en tanto que fundamento del pluralismo político y de la conformación de una sociedad democrática.</w:t>
      </w:r>
    </w:p>
    <w:p w:rsidR="005728DD" w:rsidRDefault="005728DD" w:rsidP="005728DD">
      <w:pPr>
        <w:pStyle w:val="TextoNormal"/>
      </w:pPr>
    </w:p>
    <w:p w:rsidR="005728DD" w:rsidRDefault="005728DD" w:rsidP="005728DD">
      <w:pPr>
        <w:pStyle w:val="TextoNormal"/>
      </w:pPr>
      <w:r>
        <w:t>Por todo ello, estimo que, hoy día, los límites que se imponen al ejercicio del derecho fundamental a la libertad de información por parte de la prensa en la jornada de reflexión ya no son acordes con el art. 20.1 d) CE.</w:t>
      </w:r>
    </w:p>
    <w:p w:rsidR="005728DD" w:rsidRDefault="005728DD" w:rsidP="005728DD">
      <w:pPr>
        <w:pStyle w:val="TextoNormal"/>
      </w:pPr>
    </w:p>
    <w:p w:rsidR="005728DD" w:rsidRDefault="005728DD" w:rsidP="005728DD">
      <w:pPr>
        <w:pStyle w:val="TextoNormal"/>
      </w:pPr>
      <w:r>
        <w:t>b) El otro aspecto se refiere a la valoración de la dificultad para conocer de antemano qué información puede transmitirse o no en la jornada de reflexión, tema en el que se centra la sentencia aprobada por la mayoría, entendiendo que no hay dificultad de interpretación, con lo que la sanción cumple con los requisitos de la previsibilidad y de la taxatividad cons</w:t>
      </w:r>
      <w:r>
        <w:lastRenderedPageBreak/>
        <w:t>titucionalmente exigibles, porque esa cuestión se viene interpretando igual por la Junta Electoral Central y por el Tribunal Supremo desde el siglo pasado. Es decir, se construye la previsibilidad de la sanción desde la interpretación del tipo formulada por la junta electoral y la jurisprudencia ordinaria, que se da por buena sin realizar el juicio autónomo que cabría esperar de este tribunal. Y, en ese juicio, se debería haber analizado la cuestión desde la óptica del ejercicio de la libertad de información del art. 20.1 d) CE, para determinar si esa interpretación supone una limitación excesiva del derecho fundamental, y si, en el contexto actual, sigue siendo razonable su mantenimiento.</w:t>
      </w:r>
    </w:p>
    <w:p w:rsidR="005728DD" w:rsidRDefault="005728DD" w:rsidP="005728DD">
      <w:pPr>
        <w:pStyle w:val="TextoNormal"/>
      </w:pPr>
    </w:p>
    <w:p w:rsidR="005728DD" w:rsidRDefault="005728DD" w:rsidP="005728DD">
      <w:pPr>
        <w:pStyle w:val="TextoNormal"/>
      </w:pPr>
      <w:r>
        <w:t>He de comenzar por recordar que el art. 20.4 CE, refiriéndose a derechos fundamentales como la libertad de expresión y la libertad de información, dispone que tienen su límite en el respeto a los derechos reconocidos en el título primero, en los preceptos de las leyes que los desarrollen y, especialmente, en el derecho al honor, a la intimidad, a la propia imagen y a la protección de la juventud y de la infancia. Partiendo de la premisa ya expuesta anteriormente de que los preceptos de la Ley Orgánica del régimen electoral general en esta materia son totalmente imprecisos, nos encontramos con que los límites al ejercicio de la libertad de información durante el período electoral y, especialmente, en la jornada de reflexión, los imponen decisiones de la administración electoral o jurisdiccionales. Los aplicadores de la norma deben limitarse a interpretarla en el caso concreto, pero sin que esa labor hermenéutica pueda llegar hasta el extremo de innovar la regulación, asumiendo el papel del legislador orgánico e introduciendo supuestos que no están de manera clara recogidos en aquella. No cabe oponer a ello, como excusa, que se trata de salvaguardar los derechos de participación del art. 23 CE, porque, como ya he dicho, nuestra jurisprudencia se ha encargado de afirmar que, cuando la libertad de información y la de expresión operan como vehículo de los derechos de participación política, debe reconocérseles mayor amplitud que cuando actúan en otros contextos, ya que tutelan la formación de una opinión pública libre, bien jurídico fundamental que adquiere una particular relevancia en tales casos, por lo cual, debe otorgarse al ejercicio de esos derechos fundamentales la máxima libertad.</w:t>
      </w:r>
    </w:p>
    <w:p w:rsidR="005728DD" w:rsidRDefault="005728DD" w:rsidP="005728DD">
      <w:pPr>
        <w:pStyle w:val="TextoNormal"/>
      </w:pPr>
    </w:p>
    <w:p w:rsidR="005728DD" w:rsidRDefault="005728DD" w:rsidP="005728DD">
      <w:pPr>
        <w:pStyle w:val="TextoNormal"/>
      </w:pPr>
      <w:r>
        <w:t xml:space="preserve">Efectuada esta primera precisión, hemos de añadir que someter la información a publicar, en último término, a lo que decida la junta electoral sobre si la noticia, o el reportaje, o el artículo o la entrevista tienen o no cabida en la imprecisa —desde la perspectiva de la libertad de información— prohibición del art. 53, párrafo primero, LOREG limita seriamente el ejercicio del derecho fundamental. Los profesionales de la información ven pender sobre sus cabezas, a modo de espada de Damocles, la velada amenaza de que esa información que quieren hacer llegar al ciudadano sea descalificada por la administración electoral, que actúa a modo de censor, de manera que el ejercicio de la libertad de información deja de ser plenamente libre, y se ve sujeta a condicionamientos que limitan su esencial función, ligada al pluralismo político y al funcionamiento del sistema democrático. La situación que ello crea nos coloca ante una posición que no dista mucho de la censura previa proscrita por el art. 20.2 CE, y algo así, después de más de cuarenta años de elecciones democráticas, en los que la prensa ha desempeñado un papel fundamental, sin el cual habría sido difícil el recto devenir de nuestro camino como Estado democrático, no puede tolerarse. Los profesionales del periodismo tienen el derecho fundamental y la función de informar de manera veraz sobre el proceso electoral, y han de hacerlo hasta el último día sin cortapisas, sin más limitaciones que las que resultan de manera clara del art. 53 LOREG: sus publicaciones no pueden efectuar propaganda electoral ni suponer un claro acto de campaña. Fuera de esos </w:t>
      </w:r>
      <w:r>
        <w:lastRenderedPageBreak/>
        <w:t>límites —cuya transgresión merecerá la correspondiente reacción—, la información que suministren se ha de presumir plenamente amparada por la libertad del art. 20.1 d) CE, incluso en la jornada de reflexión.</w:t>
      </w:r>
    </w:p>
    <w:p w:rsidR="005728DD" w:rsidRDefault="005728DD" w:rsidP="005728DD">
      <w:pPr>
        <w:pStyle w:val="TextoNormal"/>
      </w:pPr>
    </w:p>
    <w:p w:rsidR="005728DD" w:rsidRDefault="005728DD" w:rsidP="005728DD">
      <w:pPr>
        <w:pStyle w:val="TextoNormal"/>
      </w:pPr>
      <w:r>
        <w:t>Aunque refiriéndose al derecho de manifestación, que se encuentra estrechamente unido a la libertad de expresión, este tribunal ha afirmado que la prohibición del párrafo primero del art. 53 LOREG “no significa naturalmente que durante la denominada jornada de reflexión previa a las elecciones no pueda celebrarse ninguna manifestación cuyo objeto tenga algo que ver con el debate político y, por tanto, pueda influir indirectamente en las decisiones de los electores. Pues teniendo en cuenta el carácter de exposición pública y colectiva de ideas, opiniones o reivindicaciones que es consustancial al ejercicio del derecho de reunión, es elemental que, por principio, toda reunión o manifestación puede conectarse en último término, y aunque sea remotamente, con el debate político y, por lo mismo, con las decisiones de los electores. De modo que, de aceptar semejante planteamiento, por esa vía llegaríamos al absurdo de admitir la prohibición de toda reunión o manifestación por el simple hecho de serlo y coincidir con la jornada de reflexión previa a unas elecciones; una conclusión que obviamente debe ser rechazada, sin embargo, pues, según hemos advertido en otras ocasiones, ‘la mera posibilidad de que una reivindicación […], pueda incidir de una u otra forma en el electorado, se muestra como hipótesis insuficiente para limitar el derecho de reunión en periodo electoral’ (STC 38/2009, de 9 de febrero, FJ 4)” (STC 96/2010, de 15 de noviembre, FJ 4). Esa concepción puede trasladarse, con los mismos argumentos, a las libertades de expresión e información, sin que resulte admisible que una publicación realizada en la jornada de reflexión se vea sancionada porque pueda influir de alguna manera, aunque sea remotamente, en el electorado. Electorado al que —vuelvo a repetir— se le presume ya una cierta madurez después de más de cuatro décadas de celebración de elecciones, y que recibe en la propia jornada de reflexión un bombardeo de información y opiniones a través de los canales digitales, que pueden incidir más en su intención de voto que la simple publicación de una entrevista con una candidata en un diario perteneciente a la tradicional prensa escrita.</w:t>
      </w:r>
    </w:p>
    <w:p w:rsidR="005728DD" w:rsidRDefault="005728DD" w:rsidP="005728DD">
      <w:pPr>
        <w:pStyle w:val="TextoNormal"/>
      </w:pPr>
    </w:p>
    <w:p w:rsidR="005728DD" w:rsidRDefault="005728DD" w:rsidP="005728DD">
      <w:pPr>
        <w:pStyle w:val="TextoNormal"/>
      </w:pPr>
      <w:r>
        <w:t xml:space="preserve">Esta última reflexión nos conduce al análisis del otro extremo que he planteado como elemento que debería haber sido objeto de necesaria consideración en la sentencia. Me refiero a la duda de si sigue siendo razonable desde la perspectiva constitucional, en el contexto actual, la interpretación que efectúan la administración electoral y la jurisprudencia en relación con la información que puede transmitirse por los medios de comunicación en la jornada de reflexión, y la consiguiente sanción de publicaciones como la efectuada en el asunto del que trae causa la presente cuestión de inconstitucionalidad. Pues bien, creo que no es necesario extenderse más en este punto, pues cuanto se ha expuesto en el apartado a) anterior acerca de las nuevas tecnologías de la comunicación que imperan hoy día, que tienen un alcance global, y que permiten a los ciudadanos obtener información y opiniones al instante hasta en el día de celebración de las elecciones, colocan a la Ley Orgánica del régimen electoral general en la más absoluta de las obsolescencias, y privan de toda razonabilidad a interpretaciones tan limitativas para el ejercicio de la libertad de información como las de la administración electoral y la jurisprudencia que han servido a la sentencia de la que discrepo para afirmar la constitucionalidad de la sanción y otorgar carácter electoral a la actuación del procedimiento a quo, indicando indirectamente al Tribunal Supremo, promotor de la cuestión, cuál debería ser su decisión. En el estado actual de las tecnologías de la comunicación carece de todo sentido, desde la perspectiva constitucional, la restricción del </w:t>
      </w:r>
      <w:r>
        <w:lastRenderedPageBreak/>
        <w:t>ejercicio de la libertad de información por los medios de prensa en la jornada de reflexión, que deriva de esas interpretaciones, máxime cuando ese ejercicio, para ser legítimo y estar amparado en el art. 20.1 d) CE, ya cuenta con limitaciones, pues, de acuerdo con la doctrina constitucional, ha de satisfacer unos requisitos, que consisten, básicamente, en que las informaciones que se transmitan deben ser de interés público y veraces.</w:t>
      </w:r>
    </w:p>
    <w:p w:rsidR="005728DD" w:rsidRDefault="005728DD" w:rsidP="005728DD">
      <w:pPr>
        <w:pStyle w:val="TextoNormal"/>
      </w:pPr>
    </w:p>
    <w:p w:rsidR="005728DD" w:rsidRDefault="005728DD" w:rsidP="005728DD">
      <w:pPr>
        <w:pStyle w:val="TextoNormal"/>
      </w:pPr>
      <w:r>
        <w:t>4. Todavía queda un aspecto más de la sentencia a la que formulo este voto particular que merece no solo mi atención, sino mi radical rechazo. La constitucionalidad de la sanción al director de un medio se construye a partir de determinados preceptos de la Ley de prensa e imprenta de 1966, conforme a los cuales al director le corresponde la orientación y determinación del contenido de las publicaciones (art. 34), tiene el derecho de veto sobre el contenido de todos los originales del periódico (art. 37), y es responsable de cuantas infracciones se cometan a través del medio informativo a su cargo (art. 39). La sentencia entiende que la exigencia de responsabilidad al director por incumplimiento de las obligaciones del art. 53 LOREG no supone una responsabilidad objetiva si se interpreta conforme a la Constitución, esto es, si se observa la infracción de un deber objetivo de cuidado, pues tiene el derecho de veto que prevé la Ley de 1966, y puede exigírsele responsabilidad por la vulneración de las obligaciones de la LOREG derivadas de publicaciones que, por su relevancia, no pudieron ser publicadas sin su conocimiento y consentimiento, lo que excluye la quiebra del principio de culpabilidad.</w:t>
      </w:r>
    </w:p>
    <w:p w:rsidR="005728DD" w:rsidRDefault="005728DD" w:rsidP="005728DD">
      <w:pPr>
        <w:pStyle w:val="TextoNormal"/>
      </w:pPr>
    </w:p>
    <w:p w:rsidR="005728DD" w:rsidRDefault="005728DD" w:rsidP="005728DD">
      <w:pPr>
        <w:pStyle w:val="TextoNormal"/>
      </w:pPr>
      <w:r>
        <w:t>Aunque la sentencia niega que se trate de una responsabilidad objetiva, en realidad, lo que se ha construido es una responsabilidad de esa naturaleza, en contra de la doctrina de este tribunal, que la propia sentencia recoge, pero que no aplica en debida forma. Partiendo de las exigencias del art. 25.1 CE, no puede darse por supuesta esa responsabilidad a partir de un derecho de veto contemplado en una norma preconstitucional, que exigiría una diligencia extrema para comprobar todos y cada uno de los contenidos del periódico; es necesario que quede acreditada una intención de incumplir la normativa electoral, personalizada en el director que, por otro lado, representa a la empresa editora, que ha sido quien lo ha designado libremente, lo que también permitiría desplazar la responsabilidad hacia esta en lugar de hacia el director. A mi juicio, no sirve aquí la cita de la STC 172/1990, que se invoca en la ponencia, porque se refiere a la responsabilidad civil solidaria de los autores, directores, editores, impresores e importadores o distribuidores (art. 65.2 de la Ley de prensa e imprenta), no a la penal o administrativa, que tienen un distinto alcance, encontrándose estas últimas amparadas por las exigencias del art. 25 CE —que aquí no se cumplen— y por las garantías procedimentales del art. 24 CE.</w:t>
      </w:r>
    </w:p>
    <w:p w:rsidR="005728DD" w:rsidRDefault="005728DD" w:rsidP="005728DD">
      <w:pPr>
        <w:pStyle w:val="TextoNormal"/>
      </w:pPr>
    </w:p>
    <w:p w:rsidR="005728DD" w:rsidRDefault="005728DD" w:rsidP="005728DD">
      <w:pPr>
        <w:pStyle w:val="TextoNormal"/>
      </w:pPr>
      <w:r>
        <w:t xml:space="preserve">Pero, al margen de lo anterior, lo que me parece fundamental señalar, es que se construya la constitucionalidad de la responsabilidad que se impone a un director de periódico a partir de la Ley de prensa e imprenta de 1966 que, según su preámbulo, se dicta en cumplimiento de los postulados y las directrices del Movimiento Nacional, tal y como se han plasmado no solo en el Fuero de los españoles de 17 de julio de 1945, sino también en la Ley Fundamental de 17 de mayo de 1958, por la que se promulgan los principios del Movimiento Nacional. En concreto, el preámbulo explicita que la ley es desarrollo del art. 12 del Fuero de los españoles, conforme al cual todo español podrá expresar libremente sus ideas “mientras no atenten a los principios fundamentales del Estado”. Una norma preconstitucional y que tiene ese fundamento no puede ser utilizada por este tribunal como pauta para delimitar el derecho fundamental del art. 20.1 d) CE y construir la responsabilidad del director de un periódico </w:t>
      </w:r>
      <w:r>
        <w:lastRenderedPageBreak/>
        <w:t>por las publicaciones efectuadas contraviniendo —según entiende la sentencia— las prohibiciones del art. 53 LOREG, porque la finalidad que perseguía y el contexto en que se aprueba son lo más opuesto a la garantía y la extensión de la libertad de información, como fundamento del pluralismo político que, como he reiterado, es un valor esencial de nuestro Estado democrático, que ha sido un costoso logro obtenido después de cuarenta largos años de dictadura, en la que derechos, principios y valores que son esenciales en nuestro actual sistema democrático, eran simplemente inexistentes o una mera apariencia a través de la que se escondía una herramienta al servicio del aparato estatal.</w:t>
      </w:r>
    </w:p>
    <w:p w:rsidR="005728DD" w:rsidRDefault="005728DD" w:rsidP="005728DD">
      <w:pPr>
        <w:pStyle w:val="TextoNormal"/>
      </w:pPr>
    </w:p>
    <w:p w:rsidR="005728DD" w:rsidRDefault="005728DD" w:rsidP="005728DD">
      <w:pPr>
        <w:pStyle w:val="TextoNormal"/>
      </w:pPr>
      <w:r>
        <w:t xml:space="preserve">En efecto, la Ley de prensa, junto con el Estatuto de la profesión periodística, cuyo texto refundido fue aprobado por Decreto 744/1967, de 13 de abril, articulaban un sistema dirigido a controlar la prensa y que no se excediera de los dictados gubernamentales, a pesar de no ser tan restrictiva como la Ley de prensa de 22 de abril de 1938. Su artículo 2 (derogado en 1977) establecía las causas para limitar la libertad de expresión, disponiendo: “La libertad de expresión y el derecho a la difusión de información, reconocidas en el artículo primero, no tendrán más limitaciones que las impuestas por las leyes. Son limitaciones: el respeto a la verdad y a la moral; el acatamiento a la Ley de principios del Movimiento Nacional y demás Leyes Fundamentales; las exigencias de la defensa Nacional, de la seguridad del Estado y del mantenimiento del orden público interior y la paz exterior; el debido respeto a las instituciones y a las personas en la crítica de la acción política y administrativa; la independencia de los tribunales y la salvaguardia de la intimidad y del honor personal y familiar”. Eso ya da una clara idea de cuál era la orientación de la ley. Por otra parte, el ejercicio de la profesión periodística exigía la inscripción en el Registro Oficial de Periodistas, así como la pertenencia a la Federación Nacional de las Asociaciones de la Prensa de España, a través de la Asociación de la Prensa que les correspondiera, Federación que ostentaba la consideración de órgano de representación, coordinación y gestión conjunta de la profesión periodística española, que estaba constituida por las respectivas asociaciones de la prensa e integrada, como colegio profesional, en la organización sindical, y que era la encargada de expedir el carnet profesional sin el cual no era posible el ejercicio del periodismo. Es decir, existía un control absoluto para el ejercicio de la profesión periodística, que culminaba con la posibilidad de sometimiento de su actuación al Jurado de Ética Profesional, al que correspondía enjuiciar y sancionar (hasta con la inhabilitación absoluta) toda infracción de las normas contenidas en el artículo diez sobre incompatibilidades o de las que afectaban a la ética profesional en los principios generales de la profesión periodística, que se publicaban como anexo al decreto que aprobó el texto refundido del Estatuto de la profesión periodística. El primero de tales principios decía así: “En el ejercicio de su misión, el periodista ha de observar las normas de la moral cristiana y guardar fidelidad a los Principios del Movimiento Nacional y Leyes Fundamentales del Estado”. En definitiva, se trataba de una regulación que permitía ejercer un notable control sobre los periodistas, porque, para ejercer su profesión, debían estar inscritos en el registro oficial, obtener el carnet de la federación integrada en la organización sindical, quedando expuestos, además, a un jurado de ética profesional de la vigilancia de sus principios morales. El director quedaba sujeto a los mismos requisitos que los periodistas, aparte de otros específicos (art. 35 de la Ley) y una serie de prohibiciones para poder serlo (art. 36), entre las que se contaban las condenas judiciales y las sanciones por el jurado de ética, más parece que la responsabilidad personal que se imputa al director (a pesar de poder contar con un Consejo Asesor de Redacción), tenía una función coercitiva para evitar que se saliera de las líneas gubernamentales, y que el derecho de veto que se le otorgaba no era sino un mecanismo para tener controlado al periódico con </w:t>
      </w:r>
      <w:r>
        <w:lastRenderedPageBreak/>
        <w:t>la misma finalidad. Era una regulación para adeptos al régimen, para someter al mismo a toda persona que quisiera dedicarse al periodismo y para tener controlados desde el Gobierno a los distintos periódicos o agencias.</w:t>
      </w:r>
    </w:p>
    <w:p w:rsidR="005728DD" w:rsidRDefault="005728DD" w:rsidP="005728DD">
      <w:pPr>
        <w:pStyle w:val="TextoNormal"/>
      </w:pPr>
    </w:p>
    <w:p w:rsidR="005728DD" w:rsidRDefault="005728DD" w:rsidP="005728DD">
      <w:pPr>
        <w:pStyle w:val="TextoNormal"/>
      </w:pPr>
      <w:r>
        <w:t>La sentencia de la que discrepo ha realizado una labor interpretativa integrando la Ley de prensa e imprenta de 1966 y prescindiendo por completo de esta valoración. No tiene explicación lógica alguna que se emplee una ley de la dictadura para delimitar el derecho fundamental a la libertad de información del art. 20.1 d) CE, en lo que se refiere a la función del director de un periódico. En mi opinión, una construcción argumentativa de ese tenor degrada un derecho fundamental que es uno de los logros más esenciales de nuestra Constitución, y esencial en el sistema democrático, al contribuir a la formación de una opinión pública libre y ser garantía del pluralismo político. Valores que, como fácilmente se comprende, no encuentran relación alguna en la Ley de 1966, que tiende a controlar la prensa y a convertirla en una institución al servicio del Estado, por más que en la última época del franquismo cobrara fuerza un movimiento periodístico más crítico con el régimen, cuya lucha obtuvo el fruto de ver reconocida la libertad de información como un derecho fundamental dotado de la mayor protección en el texto constitucional.</w:t>
      </w:r>
    </w:p>
    <w:p w:rsidR="005728DD" w:rsidRDefault="005728DD" w:rsidP="005728DD">
      <w:pPr>
        <w:pStyle w:val="TextoNormal"/>
      </w:pPr>
    </w:p>
    <w:p w:rsidR="005728DD" w:rsidRDefault="005728DD" w:rsidP="005728DD">
      <w:pPr>
        <w:pStyle w:val="TextoNormal"/>
      </w:pPr>
      <w:r>
        <w:t>Por las razones expuestas, no comparto que sea acorde con la Constitución la labor de construcción de la responsabilidad del director de un periódico al amparo de la normativa electoral, a partir de la integración de esta con la Ley de prensa e imprenta de la dictadura. Creo que el respeto al art. 20.1 d) CE no tolera semejante operación interpretativa.</w:t>
      </w:r>
    </w:p>
    <w:p w:rsidR="005728DD" w:rsidRDefault="005728DD" w:rsidP="005728DD">
      <w:pPr>
        <w:pStyle w:val="TextoNormal"/>
      </w:pPr>
    </w:p>
    <w:p w:rsidR="005728DD" w:rsidRDefault="005728DD" w:rsidP="005728DD">
      <w:pPr>
        <w:pStyle w:val="TextoNormal"/>
      </w:pPr>
      <w:r>
        <w:t>Y, en este sentido, emito mi voto particular.</w:t>
      </w:r>
    </w:p>
    <w:p w:rsidR="005728DD" w:rsidRDefault="005728DD" w:rsidP="005728DD">
      <w:pPr>
        <w:pStyle w:val="TextoNormal"/>
      </w:pPr>
    </w:p>
    <w:p w:rsidR="005728DD" w:rsidRDefault="005728DD" w:rsidP="005728DD">
      <w:pPr>
        <w:pStyle w:val="TextoNormal"/>
      </w:pPr>
      <w:r>
        <w:t>Madrid, a veintiocho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8" w:name="SENTENCIA_2021_15"/>
      <w:r>
        <w:lastRenderedPageBreak/>
        <w:t>SENTENCIA 15/2021, de 28 de enero de 2021</w:t>
      </w:r>
    </w:p>
    <w:bookmarkEnd w:id="18"/>
    <w:p w:rsidR="005728DD" w:rsidRDefault="005728DD" w:rsidP="005728DD">
      <w:pPr>
        <w:pStyle w:val="TtuloResolucin"/>
      </w:pPr>
      <w:r>
        <w:t>Pleno</w:t>
      </w:r>
    </w:p>
    <w:p w:rsidR="005728DD" w:rsidRDefault="005728DD" w:rsidP="005728DD">
      <w:pPr>
        <w:pStyle w:val="TtuloBOE"/>
      </w:pPr>
      <w:r>
        <w:t>(BOE núm. 46, de 23 de febrero de 2021)</w:t>
      </w:r>
    </w:p>
    <w:p w:rsidR="005728DD" w:rsidRDefault="005728DD" w:rsidP="005728DD">
      <w:pPr>
        <w:pStyle w:val="TextoNormalCentrado"/>
      </w:pPr>
      <w:r>
        <w:t>ECLI:ES:TC:2021:15</w:t>
      </w:r>
    </w:p>
    <w:p w:rsidR="005728DD" w:rsidRDefault="005728DD" w:rsidP="005728DD">
      <w:pPr>
        <w:pStyle w:val="TextoNormalCentrado"/>
      </w:pPr>
    </w:p>
    <w:p w:rsidR="005728DD" w:rsidRDefault="005728DD" w:rsidP="005728DD">
      <w:pPr>
        <w:pStyle w:val="SntesisDescriptiva"/>
      </w:pPr>
      <w:r>
        <w:t>Cuestión de inconstitucionalidad 1772-2020. Planteada por la Sección Segunda de la Sala de lo Contencioso-administrativo del Tribunal Superior de Justicia del País Vasco en relación con el artículo 3.4 de la Ley del Parlamento Vasco 3/1998, de 27 de febrero, general de protección del medio ambiente del País Vasco.</w:t>
      </w:r>
    </w:p>
    <w:p w:rsidR="005728DD" w:rsidRDefault="005728DD" w:rsidP="005728DD">
      <w:pPr>
        <w:pStyle w:val="SntesisDescriptiva"/>
      </w:pPr>
    </w:p>
    <w:p w:rsidR="005728DD" w:rsidRDefault="005728DD" w:rsidP="005728DD">
      <w:pPr>
        <w:pStyle w:val="SntesisAnaltica"/>
      </w:pPr>
      <w:r>
        <w:t>Competencias sobre legislación procesal: nulidad del precepto legal autonómico que establece la acción pública en vía jurisdiccional.</w:t>
      </w:r>
    </w:p>
    <w:p w:rsidR="005728DD" w:rsidRDefault="005728DD" w:rsidP="005728DD">
      <w:pPr>
        <w:pStyle w:val="SntesisAnaltica"/>
      </w:pPr>
    </w:p>
    <w:p w:rsidR="005728DD" w:rsidRDefault="005728DD" w:rsidP="005728DD">
      <w:pPr>
        <w:pStyle w:val="Extracto"/>
      </w:pPr>
      <w:r>
        <w:t>1.</w:t>
      </w:r>
      <w:r>
        <w:tab/>
        <w:t>La legislación procesal es una “competencia general” del Estado (SSTC 80/2018, 13/2019 y 65/2020) que responde a la necesidad de salvaguardar la uniformidad de los instrumentos jurisdiccionales (STC 173/1998); y una competencia autonómica “de orden limitado” circunscrita a las necesarias especialidades que en este orden se deriven de las particularidades del derecho sustantivo de las comunidades autónomas (STC 80/2018). De lo que se colige que la regla del art. 149.1.6 CE ha de prevalecer sobre las reglas competenciales sectoriales, en particular, la del art. 149.1.23 CE sobre medio ambiente [FJ 3].</w:t>
      </w:r>
    </w:p>
    <w:p w:rsidR="005728DD" w:rsidRDefault="005728DD" w:rsidP="005728DD">
      <w:pPr>
        <w:pStyle w:val="Extracto"/>
      </w:pPr>
    </w:p>
    <w:p w:rsidR="005728DD" w:rsidRDefault="005728DD" w:rsidP="005728DD">
      <w:pPr>
        <w:pStyle w:val="Extracto"/>
      </w:pPr>
      <w:r>
        <w:t>2.</w:t>
      </w:r>
      <w:r>
        <w:tab/>
        <w:t>Desde el punto de vista metodológico, para aplicar la salvedad competencial contenida en el art. 149.1.6 CE y dilucidar si una norma procesal autonómica constituye o no una “necesaria especialidad” procesal, deben determinarse: (i) el derecho sustantivo autonómico que presenta particularidades; (ii) respecto de qué legislación procesal estatal y, por tanto, general o común, se predican las eventuales especialidades de orden procesal incorporadas por el legislador autonómico; y (iii) si entre las peculiaridades del ordenamiento sustantivo autonómico y las singularidades procesales en la norma impugnada existe una conexión directa tal que justifique estas últimas (SSTC 47/2004 y 80/2018) [FJ 4].</w:t>
      </w:r>
    </w:p>
    <w:p w:rsidR="005728DD" w:rsidRDefault="005728DD" w:rsidP="005728DD">
      <w:pPr>
        <w:pStyle w:val="Extracto"/>
      </w:pPr>
    </w:p>
    <w:p w:rsidR="005728DD" w:rsidRDefault="005728DD" w:rsidP="005728DD">
      <w:pPr>
        <w:pStyle w:val="Extracto"/>
      </w:pPr>
      <w:r>
        <w:t>3.</w:t>
      </w:r>
      <w:r>
        <w:tab/>
        <w:t>Los tratados internacionales y el Derecho de la Unión Europea no constituyen canon para el enjuiciamiento de la adecuación a la Constitución de normas dotadas de rango legal (SSTC 49/1988, 28/1991, 254/1993 y 140/2018); y la ejecución de los compromisos internacionales asumidos por España y, en particular, los derivados del Derecho de la Unión Europea, debe hacerse con arreglo a las normas que establecen el orden de distribución de competencias entre el Estado y las comunidades autónomas (SSTC 80/1993, 148/1998, 22/2012 y 54/2018) [FJ 4].</w:t>
      </w:r>
    </w:p>
    <w:p w:rsidR="005728DD" w:rsidRDefault="005728DD" w:rsidP="005728DD">
      <w:pPr>
        <w:pStyle w:val="Extracto"/>
      </w:pPr>
    </w:p>
    <w:p w:rsidR="005728DD" w:rsidRDefault="005728DD" w:rsidP="005728DD">
      <w:pPr>
        <w:pStyle w:val="Extracto"/>
      </w:pPr>
      <w:r>
        <w:t>4.</w:t>
      </w:r>
      <w:r>
        <w:tab/>
        <w:t>No cabe esgrimir el Convenio de Aarhus ni el Derecho de la Unión para aprobar una norma de naturaleza procesal en contravención del orden constitucional de distribución de competencias. La incorporación al derecho interno de las reglas internacionales y comunitarias sobre acceso a la justicia en materia medioambiental debe tener lugar con respeto a dicha distribución, sin invadir el ámbito competencial ajeno (SSTC 15/2018 y 87/2019) [FJ 4].</w:t>
      </w:r>
    </w:p>
    <w:p w:rsidR="005728DD" w:rsidRDefault="005728DD" w:rsidP="005728DD">
      <w:pPr>
        <w:pStyle w:val="Extracto"/>
      </w:pPr>
    </w:p>
    <w:p w:rsidR="005728DD" w:rsidRDefault="005728DD" w:rsidP="005728DD">
      <w:pPr>
        <w:pStyle w:val="Extracto"/>
      </w:pPr>
      <w:r>
        <w:lastRenderedPageBreak/>
        <w:t>5.</w:t>
      </w:r>
      <w:r>
        <w:tab/>
        <w:t>Solo el Estado, en ejercicio de la competencia que le atribuye el art. 149.1.6 CE, puede determinar los supuestos de legitimación para accionar en vía judicial, ya sea por el título general del “derecho o interés legítimo”, ya sea por los títulos especiales, entre los que se encuentra la acción popular, respecto de la cual el art. 19 h) la Ley 29/1998 de la jurisdicción contencioso-administrativa ha optado por excluir la acción popular jurisdiccional, salvo que una ley estatal la haya previsto específicamente (STC 97/2018) [FJ 4].</w:t>
      </w:r>
    </w:p>
    <w:p w:rsidR="005728DD" w:rsidRDefault="005728DD" w:rsidP="005728DD">
      <w:pPr>
        <w:pStyle w:val="Extracto"/>
      </w:pPr>
    </w:p>
    <w:p w:rsidR="005728DD" w:rsidRDefault="005728DD" w:rsidP="005728DD">
      <w:pPr>
        <w:pStyle w:val="Extracto"/>
      </w:pPr>
      <w:r>
        <w:t>6.</w:t>
      </w:r>
      <w:r>
        <w:tab/>
        <w:t>Un precepto autonómico será inconstitucional por invasión competencial siempre que regule cuestiones que le están vedadas, con independencia de la compatibilidad o incompatibilidad entre la regulación autonómica controvertida y la dictada por el Estado (STC 65/2020)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la cuestión de inconstitucionalidad núm. 1772-2020, planteada por la Sección Segunda de la Sala de lo Contencioso-administrativo del Tribunal Superior de Justicia del País Vasco, en relación con el art. 3.4 de la Ley del Parlamento Vasco 3/1998, de 27 de febrero, general de protección del medio ambiente del País Vasco, por posible vulneración del art. 149.1.6 CE. Han comparecido y formulado alegaciones el Parlamento y el Gobierno Vasco, la Fiscal General del Estado, el Abogado del Estado, la Diputación Foral de Gipuzkoa, el Consorcio de Residuos de Gipuzkoa y la asociación Gurasos Elkartea.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día 20 de marzo de 2020 tuvo entrada en el registro general del Tribunal Constitucional un escrito de la Sección Segunda de la Sala de lo Contencioso-Administrativo del Tribunal Superior de Justicia del País Vasco, al que se acompañaba, junto al testimonio de las actuaciones (procedimiento ordinario núm. 821-2016), el auto de 9 de marzo de 2020 por el que se acordaba plantear una cuestión de inconstitucionalidad respecto del art. 3.4 de la Ley del Parlamento Vasco 3/1998, de 27 de febrero, general de protección del medio ambiente del País Vasco.</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de hecho de la presente cuestión de inconstitucionalidad son, en síntesis, los siguientes:</w:t>
      </w:r>
    </w:p>
    <w:p w:rsidR="005728DD" w:rsidRDefault="005728DD" w:rsidP="005728DD">
      <w:pPr>
        <w:pStyle w:val="TextoNormal"/>
      </w:pPr>
    </w:p>
    <w:p w:rsidR="005728DD" w:rsidRDefault="005728DD" w:rsidP="005728DD">
      <w:pPr>
        <w:pStyle w:val="TextoNormal"/>
      </w:pPr>
      <w:r>
        <w:t>a) Mediante resolución del día 23 de abril de 2010, la viceconsejera de Medio Ambiente del Gobierno Vasco formuló declaración de impacto ambiental y concedió autorización ambiental integrada al proyecto de valorización energética de residuos promovido por el Consorcio de Residuos de Gipuzkoa en el término municipal de Donostia-San Sebastián.</w:t>
      </w:r>
    </w:p>
    <w:p w:rsidR="005728DD" w:rsidRDefault="005728DD" w:rsidP="005728DD">
      <w:pPr>
        <w:pStyle w:val="TextoNormal"/>
      </w:pPr>
    </w:p>
    <w:p w:rsidR="005728DD" w:rsidRDefault="005728DD" w:rsidP="005728DD">
      <w:pPr>
        <w:pStyle w:val="TextoNormal"/>
      </w:pPr>
      <w:r>
        <w:t>El día 2 de abril de 2014, el Consorcio de Residuos de Gipuzkoa solicitó la prórroga, por treinta meses, del plazo para acreditar la finalización de las obras del proyecto de referencia. Por resolución del 10 de abril de ese mismo año, el viceconsejero de Medio Ambiente acordó la prórroga, por un periodo de veinticuatro meses. Tras diversas vicisitudes referidas a la continuidad de la planta incineradora de residuos, con fecha de 1 de marzo de 2016, el Consorcio solicitó una nueva prórroga de otros doce meses, que fue concedida por resolución del viceconsejero de 7 de marzo de 2016.</w:t>
      </w:r>
    </w:p>
    <w:p w:rsidR="005728DD" w:rsidRDefault="005728DD" w:rsidP="005728DD">
      <w:pPr>
        <w:pStyle w:val="TextoNormal"/>
      </w:pPr>
    </w:p>
    <w:p w:rsidR="005728DD" w:rsidRDefault="005728DD" w:rsidP="005728DD">
      <w:pPr>
        <w:pStyle w:val="TextoNormal"/>
      </w:pPr>
      <w:r>
        <w:t>b) El 18 de marzo de 2016, el Consorcio de Residuos de Gipuzkoa comunicó su pretensión de llevar a cabo una modificación no sustancial del proyecto autorizado. La resolución del viceconsejero de 11 de abril de 2016 accedió a la modificación de la declaración de impacto ambiental y de la autorización ambiental integrada concedida al Consorcio, que se calificó de "no sustancial", al tener por objeto la adaptación de la otorgada inicialmente a los cambios normativos producidos.</w:t>
      </w:r>
    </w:p>
    <w:p w:rsidR="005728DD" w:rsidRDefault="005728DD" w:rsidP="005728DD">
      <w:pPr>
        <w:pStyle w:val="TextoNormal"/>
      </w:pPr>
    </w:p>
    <w:p w:rsidR="005728DD" w:rsidRDefault="005728DD" w:rsidP="005728DD">
      <w:pPr>
        <w:pStyle w:val="TextoNormal"/>
      </w:pPr>
      <w:r>
        <w:t>c) La asociación Gurasos Elkartea, integrada por ciudadanos que se oponen a la construcción de la planta incineradora, interpuso un recurso de alzada contra las resoluciones de 7 de marzo y 11 de abril de 2016. El recurso fue desestimado por orden del consejero de Medio Ambiente, Planificación Territorial y Vivienda, de 14 de diciembre de 2016, planteándose a continuación recurso contencioso-administrativo por la citada asociación.</w:t>
      </w:r>
    </w:p>
    <w:p w:rsidR="005728DD" w:rsidRDefault="005728DD" w:rsidP="005728DD">
      <w:pPr>
        <w:pStyle w:val="TextoNormal"/>
      </w:pPr>
    </w:p>
    <w:p w:rsidR="005728DD" w:rsidRDefault="005728DD" w:rsidP="005728DD">
      <w:pPr>
        <w:pStyle w:val="TextoNormal"/>
      </w:pPr>
      <w:r>
        <w:t>d) Presentado el escrito de demanda, la Diputación Foral de Gipuzkoa opuso en el trámite de alegaciones previas la falta de legitimación activa de la asociación Gurasos Elkartea, por no cumplir los requisitos del art. 19.1 de la Ley 29/1998, de 13 de julio, reguladora de la jurisdicción contencioso-administrativa (LJCA), ni de los arts. 22 y 23 de la Ley 27/2006, de 18 de julio, por la que se regula el derecho a la información, participación y acceso a la justicia en materia de medio ambiente. La alegación fue desestimada mediante auto de 25 de septiembre de 2018.</w:t>
      </w:r>
    </w:p>
    <w:p w:rsidR="005728DD" w:rsidRDefault="005728DD" w:rsidP="005728DD">
      <w:pPr>
        <w:pStyle w:val="TextoNormal"/>
      </w:pPr>
    </w:p>
    <w:p w:rsidR="005728DD" w:rsidRDefault="005728DD" w:rsidP="005728DD">
      <w:pPr>
        <w:pStyle w:val="TextoNormal"/>
      </w:pPr>
      <w:r>
        <w:t>e) En la contestación a la demanda, la Diputación Foral de Gipuzkoa reiteró la falta de legitimación activa de la recurrente, interesando la inadmisión y, subsidiariamente, la desestimación. En igual sentido se manifestó el Gobierno Vasco. Por su parte, el Consorcio solicitó la desestimación por razones de fondo.</w:t>
      </w:r>
    </w:p>
    <w:p w:rsidR="005728DD" w:rsidRDefault="005728DD" w:rsidP="005728DD">
      <w:pPr>
        <w:pStyle w:val="TextoNormal"/>
      </w:pPr>
    </w:p>
    <w:p w:rsidR="005728DD" w:rsidRDefault="005728DD" w:rsidP="005728DD">
      <w:pPr>
        <w:pStyle w:val="TextoNormal"/>
      </w:pPr>
      <w:r>
        <w:t>f) Mediante providencia de 12 de febrero de 2020 la Sala dio a las partes y al Ministerio Fiscal un plazo de diez días para que, conforme al art. 35.2 de la Ley Orgánica del Tribunal Constitucional (LOTC), pudieran alegar sobre la pertinencia de plantear una cuestión de inconstitucionalidad respecto del art. 3.4 de la Ley general de protección del medio ambiente del País Vasco, en cuanto prevé una acción pública en vía jurisdiccional.</w:t>
      </w:r>
    </w:p>
    <w:p w:rsidR="005728DD" w:rsidRDefault="005728DD" w:rsidP="005728DD">
      <w:pPr>
        <w:pStyle w:val="TextoNormal"/>
      </w:pPr>
    </w:p>
    <w:p w:rsidR="005728DD" w:rsidRDefault="005728DD" w:rsidP="005728DD">
      <w:pPr>
        <w:pStyle w:val="TextoNormal"/>
      </w:pPr>
      <w:r>
        <w:t>El Ministerio Fiscal, por escrito de 24 de febrero de 2020, manifestó que no se oponía al planteamiento de la cuestión.</w:t>
      </w:r>
    </w:p>
    <w:p w:rsidR="005728DD" w:rsidRDefault="005728DD" w:rsidP="005728DD">
      <w:pPr>
        <w:pStyle w:val="TextoNormal"/>
      </w:pPr>
    </w:p>
    <w:p w:rsidR="005728DD" w:rsidRDefault="005728DD" w:rsidP="005728DD">
      <w:pPr>
        <w:pStyle w:val="TextoNormal"/>
      </w:pPr>
      <w:r>
        <w:t xml:space="preserve">La asociación Gurasos Elkartea alegó, mediante escrito de 27 de febrero de 2020, que el auto de 25 de septiembre de 2018 ya había aceptado su legitimación activa al amparo tanto de los apartados a) y b) del art. 19.1 LJCA, como del art. 5 f) del texto refundido de la Ley de suelo y rehabilitación urbana y del art. 20 de la Ley 27/2006, y además por el principio </w:t>
      </w:r>
      <w:r w:rsidRPr="005728DD">
        <w:rPr>
          <w:i/>
        </w:rPr>
        <w:t>pro actione</w:t>
      </w:r>
      <w:r>
        <w:t>, sin que la providencia que abre el trámite del art. 35.2 LOTC rebatiera los argumentos del citado auto. La recurrente añadió que la cuestión planteada sobre el art. 3.4 de la Ley general de protección del medio ambiente del País Vasco no es relevante, al existir otros títulos de legitimación alternativos al previsto en dicho precepto que sí concurren, por todo lo cual solicitó que no se planteara la cuestión.</w:t>
      </w:r>
    </w:p>
    <w:p w:rsidR="005728DD" w:rsidRDefault="005728DD" w:rsidP="005728DD">
      <w:pPr>
        <w:pStyle w:val="TextoNormal"/>
      </w:pPr>
    </w:p>
    <w:p w:rsidR="005728DD" w:rsidRDefault="005728DD" w:rsidP="005728DD">
      <w:pPr>
        <w:pStyle w:val="TextoNormal"/>
      </w:pPr>
      <w:r>
        <w:t>Por último, el Gobierno Vasco y la Diputación Foral de Gipuzkoa, mediante sendos escritos de 28 de febrero de 2020, se manifestaron a favor del planteamiento de la cuestión.</w:t>
      </w:r>
    </w:p>
    <w:p w:rsidR="005728DD" w:rsidRDefault="005728DD" w:rsidP="005728DD">
      <w:pPr>
        <w:pStyle w:val="TextoNormal"/>
      </w:pPr>
    </w:p>
    <w:p w:rsidR="005728DD" w:rsidRDefault="005728DD" w:rsidP="005728DD">
      <w:pPr>
        <w:pStyle w:val="TextoNormal"/>
      </w:pPr>
      <w:r w:rsidRPr="005728DD">
        <w:rPr>
          <w:rStyle w:val="NumeroAFNegritaCaracter"/>
        </w:rPr>
        <w:t>3</w:t>
      </w:r>
      <w:r>
        <w:t>. El auto de planteamiento razona en los siguientes términos:</w:t>
      </w:r>
    </w:p>
    <w:p w:rsidR="005728DD" w:rsidRDefault="005728DD" w:rsidP="005728DD">
      <w:pPr>
        <w:pStyle w:val="TextoNormal"/>
      </w:pPr>
    </w:p>
    <w:p w:rsidR="005728DD" w:rsidRDefault="005728DD" w:rsidP="005728DD">
      <w:pPr>
        <w:pStyle w:val="TextoNormal"/>
      </w:pPr>
      <w:r>
        <w:t>a) Comienza dando respuesta al argumento de la asociación demandante de que su legitimación activa ya había sido aceptada mediante auto de 25 de septiembre de 2018, que desestimó la alegación previa formulada por la Diputación Foral de Gipuzkoa. Al respecto, recuerda que, según el art. 58 LJCA, en los escritos de contestación a la demanda pueden alegarse motivos de inadmisibilidad (excepto la incompetencia del órgano jurisdiccional), aunque hubieran sido desestimados en el trámite de alegaciones previas.</w:t>
      </w:r>
    </w:p>
    <w:p w:rsidR="005728DD" w:rsidRDefault="005728DD" w:rsidP="005728DD">
      <w:pPr>
        <w:pStyle w:val="TextoNormal"/>
      </w:pPr>
    </w:p>
    <w:p w:rsidR="005728DD" w:rsidRDefault="005728DD" w:rsidP="005728DD">
      <w:pPr>
        <w:pStyle w:val="TextoNormal"/>
      </w:pPr>
      <w:r>
        <w:t>b) A continuación, explica que la cuestión atañe al art. 3.4 de la Ley general de protección del medio ambiente del País Vasco, que no establece ningún requisito de legitimación para el ejercicio de la acción pública por personas jurídicas sin ánimo de lucro. Frente a ella, el art. 23.1 b) de la Ley 27/2006 exige, entre otras condiciones, que dichas entidades “se hubieran constituido legalmente al menos dos años antes del ejercicio de la acción y que vengan ejerciendo de modo activo las actividades necesarias para alcanzar los fines previstos en sus estatutos”.</w:t>
      </w:r>
    </w:p>
    <w:p w:rsidR="005728DD" w:rsidRDefault="005728DD" w:rsidP="005728DD">
      <w:pPr>
        <w:pStyle w:val="TextoNormal"/>
      </w:pPr>
    </w:p>
    <w:p w:rsidR="005728DD" w:rsidRDefault="005728DD" w:rsidP="005728DD">
      <w:pPr>
        <w:pStyle w:val="TextoNormal"/>
      </w:pPr>
      <w:r>
        <w:t>Por lo anterior, la Sala considera que podría estar siendo infringido el art. 149.1.6 CE, que atribuye al Estado la competencia exclusiva sobre legislación procesal, sin perjuicio de las necesarias especialidades que en ese orden se deriven de las particularidades del derecho sustantivo de las comunidades autónomas.</w:t>
      </w:r>
    </w:p>
    <w:p w:rsidR="005728DD" w:rsidRDefault="005728DD" w:rsidP="005728DD">
      <w:pPr>
        <w:pStyle w:val="TextoNormal"/>
      </w:pPr>
    </w:p>
    <w:p w:rsidR="005728DD" w:rsidRDefault="005728DD" w:rsidP="005728DD">
      <w:pPr>
        <w:pStyle w:val="TextoNormal"/>
      </w:pPr>
      <w:r>
        <w:t>c) Acerca del juicio de relevancia, el auto detalla que Gurasos Elkartea se constituyó el 7 de mayo de 2016, con posterioridad, por tanto, a las resoluciones dictadas por el viceconsejero de Medio Ambiente de 7 de marzo y 11 de abril que son impugnadas. Se le reconoció legitimación para la interposición del recurso de alzada, que se desestimó por orden de 14 de diciembre de 2016. Pero, para accionar en vía judicial, debe cumplir el requisito establecido en el art. 23.1 b) de la Ley 27/2006, lo que no es el caso. Cita la STC 97/2018, de 18 de septiembre, según la cual la legitimación para intervenir o recurrir en vía administrativa no implica necesariamente que se tenga legitimación para acudir ante los tribunales.</w:t>
      </w:r>
    </w:p>
    <w:p w:rsidR="005728DD" w:rsidRDefault="005728DD" w:rsidP="005728DD">
      <w:pPr>
        <w:pStyle w:val="TextoNormal"/>
      </w:pPr>
    </w:p>
    <w:p w:rsidR="005728DD" w:rsidRDefault="005728DD" w:rsidP="005728DD">
      <w:pPr>
        <w:pStyle w:val="TextoNormal"/>
      </w:pPr>
      <w:r>
        <w:lastRenderedPageBreak/>
        <w:t>Aunque la demandante invoca el art. 20 de la citada Ley 27/2006, el auto apunta que dicho precepto solo legitima al “público” en relación con la “información y participación pública”, procedimiento ya finalizado en este caso y en el que la asociación Gurasos Elkartea no pudo participar por no estar constituida.</w:t>
      </w:r>
    </w:p>
    <w:p w:rsidR="005728DD" w:rsidRDefault="005728DD" w:rsidP="005728DD">
      <w:pPr>
        <w:pStyle w:val="TextoNormal"/>
      </w:pPr>
    </w:p>
    <w:p w:rsidR="005728DD" w:rsidRDefault="005728DD" w:rsidP="005728DD">
      <w:pPr>
        <w:pStyle w:val="TextoNormal"/>
      </w:pPr>
      <w:r>
        <w:t>En cuanto a la cuestión de fondo del proceso, la Sala sostiene que es medioambiental, pues se está ejercitando una acción dirigida a anular una actuación administrativa en materia de medio ambiente, con invocación de la normativa sobre prevención y control integrados de la contaminación.</w:t>
      </w:r>
    </w:p>
    <w:p w:rsidR="005728DD" w:rsidRDefault="005728DD" w:rsidP="005728DD">
      <w:pPr>
        <w:pStyle w:val="TextoNormal"/>
      </w:pPr>
    </w:p>
    <w:p w:rsidR="005728DD" w:rsidRDefault="005728DD" w:rsidP="005728DD">
      <w:pPr>
        <w:pStyle w:val="TextoNormal"/>
      </w:pPr>
      <w:r>
        <w:t>El interés legítimo que invoca la asociación recurrente es “la defensa de la salud de sus hijos” y el auto razona, citando jurisprudencia del Tribunal Supremo, que el concepto de “interés legítimo” requiere mayor concreción, más allá de la alegación del interés general que comparte toda la sociedad en la defensa de la salud ambiental de los ciudadanos.</w:t>
      </w:r>
    </w:p>
    <w:p w:rsidR="005728DD" w:rsidRDefault="005728DD" w:rsidP="005728DD">
      <w:pPr>
        <w:pStyle w:val="TextoNormal"/>
      </w:pPr>
    </w:p>
    <w:p w:rsidR="005728DD" w:rsidRDefault="005728DD" w:rsidP="005728DD">
      <w:pPr>
        <w:pStyle w:val="TextoNormal"/>
      </w:pPr>
      <w:r>
        <w:t>Pese al carácter transversal de la materia medioambiental —prosigue la Sala— en el supuesto de autos se discute sobre la modificación y posible caducidad de una declaración de impacto ambiental y una autorización ambiental integrada. Pero no se controvierte la ubicación de la planta, de modo que para la Sala el asunto se enmarca preferentemente en medio ambiente y no en urbanismo, lo que le lleva a excluir el título legitimador basado en la Ley de suelo y rehabilitación urbana.</w:t>
      </w:r>
    </w:p>
    <w:p w:rsidR="005728DD" w:rsidRDefault="005728DD" w:rsidP="005728DD">
      <w:pPr>
        <w:pStyle w:val="TextoNormal"/>
      </w:pPr>
    </w:p>
    <w:p w:rsidR="005728DD" w:rsidRDefault="005728DD" w:rsidP="005728DD">
      <w:pPr>
        <w:pStyle w:val="TextoNormal"/>
      </w:pPr>
      <w:r>
        <w:t>La Sala insiste en que se están impugnando resoluciones dictadas por la autoridad medioambiental, por vulneración de normas medioambientales, y en materias claramente incluidas en el ámbito de la Ley estatal 27/2006 y de la Ley general de protección del medio ambiente del País Vasco.</w:t>
      </w:r>
    </w:p>
    <w:p w:rsidR="005728DD" w:rsidRDefault="005728DD" w:rsidP="005728DD">
      <w:pPr>
        <w:pStyle w:val="TextoNormal"/>
      </w:pPr>
    </w:p>
    <w:p w:rsidR="005728DD" w:rsidRDefault="005728DD" w:rsidP="005728DD">
      <w:pPr>
        <w:pStyle w:val="TextoNormal"/>
      </w:pPr>
      <w:r>
        <w:t>d) Por lo que se refiere a la duda planteada, el auto recuerda que, según el art. 19.1 h) LJCA, la acción popular solo cabe “en los casos expresamente previstos en las leyes”. En este caso, la norma con rango de ley aplicable es la Ley 27/2006 (en concreto, su art. 23), que ha sido dictada al amparo del art. 149.1.6 CE (disposición final tercera, apartado tercero).</w:t>
      </w:r>
    </w:p>
    <w:p w:rsidR="005728DD" w:rsidRDefault="005728DD" w:rsidP="005728DD">
      <w:pPr>
        <w:pStyle w:val="TextoNormal"/>
      </w:pPr>
    </w:p>
    <w:p w:rsidR="005728DD" w:rsidRDefault="005728DD" w:rsidP="005728DD">
      <w:pPr>
        <w:pStyle w:val="TextoNormal"/>
      </w:pPr>
      <w:r>
        <w:t xml:space="preserve">La legitimación procesal en el orden contencioso-administrativo se incardina en la legislación procesal y, por tanto, es competencia exclusiva del Estado, </w:t>
      </w:r>
      <w:r w:rsidRPr="005728DD">
        <w:rPr>
          <w:i/>
        </w:rPr>
        <w:t>ex</w:t>
      </w:r>
      <w:r>
        <w:t xml:space="preserve"> art. 149.1.6 CE, por lo que la regulación recogida en el art. 3.4 de la Ley autonómica, cuando establece que será pública la acción para exigir su cumplimiento en vía jurisdiccional, introduce una norma procesal para la que la comunidad autónoma no tiene competencia.</w:t>
      </w:r>
    </w:p>
    <w:p w:rsidR="005728DD" w:rsidRDefault="005728DD" w:rsidP="005728DD">
      <w:pPr>
        <w:pStyle w:val="TextoNormal"/>
      </w:pPr>
    </w:p>
    <w:p w:rsidR="005728DD" w:rsidRDefault="005728DD" w:rsidP="005728DD">
      <w:pPr>
        <w:pStyle w:val="TextoNormal"/>
      </w:pPr>
      <w:r>
        <w:t>La Sala concluye justificando su decisión de plantear la cuestión en que, si aplicara la norma autonómica, debería reconocer legitimación a la asociación recurrente, lo que, en cambio, no podría hacer con base en la Ley 27/2006, al no reunir los requisitos de su art. 23. Por ello, entiende que no puede dejar de aplicar la norma autonómica con rango de ley, sino que debe plantear la cuestión de si es ajustada o no a la Constitución.</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Mediante providencia de 6 de mayo de 2020, el Pleno de este tribunal, a propuesta de la Sección Cuarta, acordó: (i) admitir a trámite la cuestión de inconstitucionalidad; (ii) de </w:t>
      </w:r>
      <w:r>
        <w:lastRenderedPageBreak/>
        <w:t>conformidad con lo dispuesto en el art. 10.1 c) de la Ley Orgánica del Tribunal Constitucional (LOTC), reservar para sí su conocimiento; (iii) dar traslado de las actuaciones recibidas, conforme establece el art. 37.3 LOTC, al Congreso de los Diputados y al Senado, por conducto de sus presidentes, al Gobierno, por conducto del ministro de Justicia, a la Fiscal General del Estado, así como al Parlamento y al Gobierno Vasco, por conducto de sus presidentes, para que puedan personarse en el proceso y formular las alegaciones que estimen pertinentes; (iv) comunicar la providencia al órgano promotor, a fin de que, de conformidad con lo dispuesto en el art. 35.3 LOTC, permanezca suspendido el proceso hasta que este tribunal resuelva definitivamente la cuestión; y (v) publicar la incoación en el “Boletín Oficial del Estado” y en el “Boletín Oficial del País Vasco”, lo que tuvo lugar el 8 y el 13 de mayo de 2020, respectivamente.</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registrado el 20 de mayo de 2020, el presidente del Senado comunicó la personación de la Cámara en el procedimiento y su ofrecimiento de colaboración, a los efectos del art. 88.1 LOTC. Igualmente, por escrito registrado el 12 de junio de 2020 la presidenta del Congreso de los Diputados puso en conocimiento de este tribunal la personación de dicha Cámara y su ofrecimiento de colaboración, a los efectos del art. 88.1 LOTC, con remisión a la dirección de estudios, análisis y publicaciones y a la asesoría jurídica de la Secretaría General.</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20 de mayo de 2020, tuvo entrada en el registro de este tribunal un escrito del Consorcio de Residuos de Gipuzkoa solicitando la personación. La misma solicitud fue presentada el día 26 de mayo de 2020 por el Gobierno Vasco y el 29 de mayo por la Diputación Foral de Gipuzkoa. Este tribunal acordó tenerlos por personados y entender con ellos las sucesivas actuaciones.</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La asociación Gurasos Elkartea presentó el día 13 de mayo de 2020 un escrito solicitando que se le tuviera por personada en el proceso constitucional y, al mismo tiempo, interpuso recurso de súplica contra la providencia de admisión a trámite, interesando su revocación y que se inadmitiera la cuestión de inconstitucionalidad porque la decisión del proceso </w:t>
      </w:r>
      <w:r w:rsidRPr="005728DD">
        <w:rPr>
          <w:i/>
        </w:rPr>
        <w:t>a quo</w:t>
      </w:r>
      <w:r>
        <w:t xml:space="preserve"> no depende de la norma cuestionada, por lo que no se cumple lo exigido por el art. 35.2 LOTC.</w:t>
      </w:r>
    </w:p>
    <w:p w:rsidR="005728DD" w:rsidRDefault="005728DD" w:rsidP="005728DD">
      <w:pPr>
        <w:pStyle w:val="TextoNormal"/>
      </w:pPr>
    </w:p>
    <w:p w:rsidR="005728DD" w:rsidRDefault="005728DD" w:rsidP="005728DD">
      <w:pPr>
        <w:pStyle w:val="TextoNormal"/>
      </w:pPr>
      <w:r>
        <w:t>Mediante providencia de 16 de junio de 2020 se acordó tener por personada a dicha asociación e incorporar el recurso de súplica a las actuaciones, dando traslado a las partes para que, en el plazo de tres días, pudieran alegar sobre el mismo.</w:t>
      </w:r>
    </w:p>
    <w:p w:rsidR="005728DD" w:rsidRDefault="005728DD" w:rsidP="005728DD">
      <w:pPr>
        <w:pStyle w:val="TextoNormal"/>
      </w:pPr>
    </w:p>
    <w:p w:rsidR="005728DD" w:rsidRDefault="005728DD" w:rsidP="005728DD">
      <w:pPr>
        <w:pStyle w:val="TextoNormal"/>
      </w:pPr>
      <w:r>
        <w:t>El recurso de súplica fue desestimado por el ATC 73/2020, de 14 de julio. Tras recordar la doctrina constitucional según la cual al tribunal le corresponde ejercer un control “meramente externo” sobre los juicios de aplicabilidad y relevancia (por todos, ATC 159/2016, de 20 de septiembre, FJ 2), dicho auto concluye que la Sala razona suficientemente por qué, a su juicio, en la asociación Gurasos Elkartea no concurre otro título de legitimación activa que el otorgado por el art. 3.4 de la Ley general de protección del medio ambiente del País Vasco, lo que da satisfacción al requisito de “especificar o justificar en qué medida la decisión del proceso depende de la validez de la norma en cuestión” (art. 35.2 LOTC).</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El 16 de junio de 2020 tuvo entrada el escrito de alegaciones del Parlamento Vasco, mediante el que solicita que se desestime la cuestión, por las razones que, en síntesis, se exponen a continuación:</w:t>
      </w:r>
    </w:p>
    <w:p w:rsidR="005728DD" w:rsidRDefault="005728DD" w:rsidP="005728DD">
      <w:pPr>
        <w:pStyle w:val="TextoNormal"/>
      </w:pPr>
    </w:p>
    <w:p w:rsidR="005728DD" w:rsidRDefault="005728DD" w:rsidP="005728DD">
      <w:pPr>
        <w:pStyle w:val="TextoNormal"/>
      </w:pPr>
      <w:r>
        <w:t xml:space="preserve">a) Afirma, en primer lugar, que la Sala promotora parte de una interpretación restrictiva de la legitimación regulada en el art. 19 LJCA, que debe rechazarse por ser contraria al derecho a la tutela judicial efectiva. Destaca que la asociación recurrente en el proceso </w:t>
      </w:r>
      <w:r w:rsidRPr="005728DD">
        <w:rPr>
          <w:i/>
        </w:rPr>
        <w:t>a quo</w:t>
      </w:r>
      <w:r>
        <w:t xml:space="preserve"> ostenta un interés legítimo —preservar la salud de quienes la integran y sus familias— de forma que para apreciar su legitimación no es preciso acudir al art. 3.4 de la Ley autonómica.</w:t>
      </w:r>
    </w:p>
    <w:p w:rsidR="005728DD" w:rsidRDefault="005728DD" w:rsidP="005728DD">
      <w:pPr>
        <w:pStyle w:val="TextoNormal"/>
      </w:pPr>
    </w:p>
    <w:p w:rsidR="005728DD" w:rsidRDefault="005728DD" w:rsidP="005728DD">
      <w:pPr>
        <w:pStyle w:val="TextoNormal"/>
      </w:pPr>
      <w:r>
        <w:t>En este sentido, alega que las sentencias del Tribunal Supremo de 30 de septiembre de 2011 y 21 de marzo de 2012, entre otras, han venido reconociendo la legitimación en supuestos similares al que da lugar a la presente cuestión, con base en los apartados a) y h) del art. 19.1 LJCA. Cita, asimismo, diversas opiniones de la doctrina científica a favor de admitir la legitimación en supuestos análogos.</w:t>
      </w:r>
    </w:p>
    <w:p w:rsidR="005728DD" w:rsidRDefault="005728DD" w:rsidP="005728DD">
      <w:pPr>
        <w:pStyle w:val="TextoNormal"/>
      </w:pPr>
    </w:p>
    <w:p w:rsidR="005728DD" w:rsidRDefault="005728DD" w:rsidP="005728DD">
      <w:pPr>
        <w:pStyle w:val="TextoNormal"/>
      </w:pPr>
      <w:r>
        <w:t>Por tanto, la asociación Gurasos Elkartea posee legitimación activa al margen de la acción pública prevista en el precepto que motiva la cuestión de inconstitucionalidad. No solo porque persigue preservar la salud de sus miembros, sino como titular de un interés vinculado a la relación de vecindad, dada la proximidad del foco causante de los posibles perjuicios para el medio ambiente.</w:t>
      </w:r>
    </w:p>
    <w:p w:rsidR="005728DD" w:rsidRDefault="005728DD" w:rsidP="005728DD">
      <w:pPr>
        <w:pStyle w:val="TextoNormal"/>
      </w:pPr>
    </w:p>
    <w:p w:rsidR="005728DD" w:rsidRDefault="005728DD" w:rsidP="005728DD">
      <w:pPr>
        <w:pStyle w:val="TextoNormal"/>
      </w:pPr>
      <w:r>
        <w:t>La jurisprudencia europea también lleva a resolver las posibles dudas sobre el alcance de la legitimación activa de la manera más amplia para facilitar el acceso a la justicia.</w:t>
      </w:r>
    </w:p>
    <w:p w:rsidR="005728DD" w:rsidRDefault="005728DD" w:rsidP="005728DD">
      <w:pPr>
        <w:pStyle w:val="TextoNormal"/>
      </w:pPr>
    </w:p>
    <w:p w:rsidR="005728DD" w:rsidRDefault="005728DD" w:rsidP="005728DD">
      <w:pPr>
        <w:pStyle w:val="TextoNormal"/>
      </w:pPr>
      <w:r>
        <w:t xml:space="preserve">Lo anterior se ve reforzado por la dimensión urbanística de la modificación de la autorización ambiental integrada que se enjuicia en el proceso </w:t>
      </w:r>
      <w:r w:rsidRPr="005728DD">
        <w:rPr>
          <w:i/>
        </w:rPr>
        <w:t>a quo</w:t>
      </w:r>
      <w:r>
        <w:t>. Dicha modificación infringió el plan territorial sectorial aplicable, dado que cambió la ubicación de la planta de maduración de escorias de la incineradora. Así pues, no solo por el interés legítimo en preservar el medio ambiental, sino en virtud de la acción pública urbanística, habría de reconocerse legitimación a la asociación recurrente en el proces</w:t>
      </w:r>
      <w:r w:rsidRPr="005728DD">
        <w:rPr>
          <w:i/>
        </w:rPr>
        <w:t>o a q</w:t>
      </w:r>
      <w:r>
        <w:t>uo.</w:t>
      </w:r>
    </w:p>
    <w:p w:rsidR="005728DD" w:rsidRDefault="005728DD" w:rsidP="005728DD">
      <w:pPr>
        <w:pStyle w:val="TextoNormal"/>
      </w:pPr>
    </w:p>
    <w:p w:rsidR="005728DD" w:rsidRDefault="005728DD" w:rsidP="005728DD">
      <w:pPr>
        <w:pStyle w:val="TextoNormal"/>
      </w:pPr>
      <w:r>
        <w:t>b) En cuanto a la compatibilidad del art. 3.4 de la Ley general de protección del medio ambiente del País Vasco con el orden constitucional de distribución de competencias, por la supuesta vulneración del art. 149.1.6 CE, en relación con el art. 23 de la Ley 27/2006, el representante procesal del Parlamento Vasco aduce que el reconocimiento de la acción pública en materia medioambiental es una norma adicional de protección conforme al art. 149.1.23 CE, en concreto, una especialidad procesal derivada de esa norma adicional de protección.</w:t>
      </w:r>
    </w:p>
    <w:p w:rsidR="005728DD" w:rsidRDefault="005728DD" w:rsidP="005728DD">
      <w:pPr>
        <w:pStyle w:val="TextoNormal"/>
      </w:pPr>
    </w:p>
    <w:p w:rsidR="005728DD" w:rsidRDefault="005728DD" w:rsidP="005728DD">
      <w:pPr>
        <w:pStyle w:val="TextoNormal"/>
      </w:pPr>
      <w:r>
        <w:t xml:space="preserve">Se citan, a modo de ejemplo, diversas leyes autonómicas que reconocen esta acción pública en el ámbito administrativo, alegándose al respecto que, una vez reconocida en vía administrativa la legitimación activa, como regla general, debe admitirse en el proceso contencioso-administrativo. Asimismo, se mencionan otras leyes que reconocen expresamente la acción judicial, como es el caso de las leyes ambientales de Castilla-La Mancha (Ley 4/2007, de 8 de marzo), Comunidad Valenciana (Ley 6/2014, de 25 de julio), Illes Balears </w:t>
      </w:r>
      <w:r>
        <w:lastRenderedPageBreak/>
        <w:t>(Ley 12/2016, de 17 de agosto), Cataluña (Decreto legislativo 1/2009, de 21 de julio), Madrid (Ley 7/1990, de 28 de junio), Galicia (Ley 8/2002, de 18 de diciembre) y Canarias (Ley 1/1999, de 29 de enero). Llama la atención —añade— que hasta el momento no se haya interpuesto recurso de inconstitucionalidad contra ninguna de las numerosas previsiones autonómicas que, al igual que la aquí analizada, han reconocido la acción pública en materia de medio ambiente; o que habiendo habido ocasión para ello, no se hayan analizado por el Tribunal Constitucional, como sucedió en la STC 109/2017, de 21 de septiembre (referida a la Ley del Parlamento Balear 12/2016).</w:t>
      </w:r>
    </w:p>
    <w:p w:rsidR="005728DD" w:rsidRDefault="005728DD" w:rsidP="005728DD">
      <w:pPr>
        <w:pStyle w:val="TextoNormal"/>
      </w:pPr>
    </w:p>
    <w:p w:rsidR="005728DD" w:rsidRDefault="005728DD" w:rsidP="005728DD">
      <w:pPr>
        <w:pStyle w:val="TextoNormal"/>
      </w:pPr>
      <w:r>
        <w:t>La doctrina autorizada tampoco ha dudado en calificar la medida enjuiciada como una norma adicional de protección, lo que confirma la pacífica asunción de esta competencia autonómica que, en ningún momento, ha sido discutida por los órganos legitimados para ello.</w:t>
      </w:r>
    </w:p>
    <w:p w:rsidR="005728DD" w:rsidRDefault="005728DD" w:rsidP="005728DD">
      <w:pPr>
        <w:pStyle w:val="TextoNormal"/>
      </w:pPr>
    </w:p>
    <w:p w:rsidR="005728DD" w:rsidRDefault="005728DD" w:rsidP="005728DD">
      <w:pPr>
        <w:pStyle w:val="TextoNormal"/>
      </w:pPr>
      <w:r>
        <w:t>Como argumento adicional, apunta que, según diversos autores, la legitimación, aun siendo una institución procesal, está estrechamente ligada al derecho material, por lo que está justificado que el derecho autonómico contenga normas sobre legitimación en las materias de competencia de las comunidades autónomas, como es el medio ambiente. Como prueba de esto, invoca el art. 42.1 d) de la Ley 26/2007, de responsabilidad medioambiental, que considera interesados, además de a los sujetos que señala, a “aquellos otros que establezca la legislación de las comunidades autónomas”.</w:t>
      </w:r>
    </w:p>
    <w:p w:rsidR="005728DD" w:rsidRDefault="005728DD" w:rsidP="005728DD">
      <w:pPr>
        <w:pStyle w:val="TextoNormal"/>
      </w:pPr>
    </w:p>
    <w:p w:rsidR="005728DD" w:rsidRDefault="005728DD" w:rsidP="005728DD">
      <w:pPr>
        <w:pStyle w:val="TextoNormal"/>
      </w:pPr>
      <w:r>
        <w:t>c) En cualquier caso, la norma controvertida sería una especialidad procesal conectada con el derecho sustantivo autonómico, requerida por este. Tras invocar la doctrina constitucional sobre las especialidades procesales autonómicas, alude al Convenio sobre acceso a la información, participación del público en la toma de decisiones y acceso a la justicia en materia de medio ambiente firmado el 25 de junio de 1998 en el marco de la Comisión Económica de las Naciones Unidas para Europa (convenio de Aarhus), cuyo art. 9.3 no contiene una acción pública —admite— pero tampoco la impide. Y afirma que el precepto autonómico cuestionado, más que una especialidad, contiene una ampliación de una categoría jurídica relevante en el derecho medioambiental estatal y europeo, en relación con los arts. 22 y 23 de la Ley 27/2006, en plena sintonía con el art. 9.3 del Convenio de Aarhus y la Directiva 2003/35/CE, de 26 de mayo de 2003, por la que se establecen medidas para la participación del público en la elaboración de determinados planes y programas relacionados con el medio ambiente.</w:t>
      </w:r>
    </w:p>
    <w:p w:rsidR="005728DD" w:rsidRDefault="005728DD" w:rsidP="005728DD">
      <w:pPr>
        <w:pStyle w:val="TextoNormal"/>
      </w:pPr>
    </w:p>
    <w:p w:rsidR="005728DD" w:rsidRDefault="005728DD" w:rsidP="005728DD">
      <w:pPr>
        <w:pStyle w:val="TextoNormal"/>
      </w:pPr>
      <w:r>
        <w:t>La ampliación de la legitimación activa que incorpora el art. 3.4 de la Ley general de protección del medio ambiente del País Vasco es una peculiaridad del Derecho autonómico que se justifica en la necesidad de asumir los compromisos europeos e internacionales sobre justicia medioambiental, por lo que está amparada en la salvedad que recoge el art. 149.1.6 CE. Una interpretación demasiado amplia de este precepto constitucional llevaría a impedir la competencia autonómica en medio ambiente.</w:t>
      </w:r>
    </w:p>
    <w:p w:rsidR="005728DD" w:rsidRDefault="005728DD" w:rsidP="005728DD">
      <w:pPr>
        <w:pStyle w:val="TextoNormal"/>
      </w:pPr>
    </w:p>
    <w:p w:rsidR="005728DD" w:rsidRDefault="005728DD" w:rsidP="005728DD">
      <w:pPr>
        <w:pStyle w:val="TextoNormal"/>
      </w:pPr>
      <w:r>
        <w:t>Concluye recalcando la opción que hace más de veinte años hizo la Ley general de protección del medio ambiente del País Vasco por asumir un alto nivel de compromiso con el derecho del medio ambiente, otorgando instrumentos efectivos de participación ciudadana, como la acción pública aquí cuestionada.</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9</w:t>
      </w:r>
      <w:r>
        <w:t>. El día 22 de junio de 2020 se registró un escrito del letrado del Gobierno Vasco, por el que solicita que se desestime la cuestión de inconstitucionalidad, por los argumentos que se resumen a continuación:</w:t>
      </w:r>
    </w:p>
    <w:p w:rsidR="005728DD" w:rsidRDefault="005728DD" w:rsidP="005728DD">
      <w:pPr>
        <w:pStyle w:val="TextoNormal"/>
      </w:pPr>
    </w:p>
    <w:p w:rsidR="005728DD" w:rsidRDefault="005728DD" w:rsidP="005728DD">
      <w:pPr>
        <w:pStyle w:val="TextoNormal"/>
      </w:pPr>
      <w:r>
        <w:t>a) En primer lugar, no tiene objeción sobre el cumplimiento de los requisitos formales y materiales para la admisión de la cuestión de inconstitucionalidad. Asimismo, precisa que la duda planteada debe ceñirse al inciso referido a la acción jurisdiccional, dejando fuera del examen la acción pública en la vía administrativa.</w:t>
      </w:r>
    </w:p>
    <w:p w:rsidR="005728DD" w:rsidRDefault="005728DD" w:rsidP="005728DD">
      <w:pPr>
        <w:pStyle w:val="TextoNormal"/>
      </w:pPr>
    </w:p>
    <w:p w:rsidR="005728DD" w:rsidRDefault="005728DD" w:rsidP="005728DD">
      <w:pPr>
        <w:pStyle w:val="TextoNormal"/>
      </w:pPr>
      <w:r>
        <w:t>Respecto al fondo, alega que la acción pública medioambiental no se inserta en la materia de legislación procesal del art. 149.1.6 CE, sino que tiene encaje prevalente en la protección del medio ambiente (art. 149.1.23 CE). Con cita de la STC 102/1995, de 26 de junio, FJ 4, considera que en dicha materia se integra toda medida “que contiene un primer elemento objetivo, estático, el medio ambiente como tal, y otro dinámico, funcional, que es su protección”. En este sentido, la norma controvertida reconoce el derecho de todos para acudir en defensa de los bienes ambientales que preserva la legislación vasca.</w:t>
      </w:r>
    </w:p>
    <w:p w:rsidR="005728DD" w:rsidRDefault="005728DD" w:rsidP="005728DD">
      <w:pPr>
        <w:pStyle w:val="TextoNormal"/>
      </w:pPr>
    </w:p>
    <w:p w:rsidR="005728DD" w:rsidRDefault="005728DD" w:rsidP="005728DD">
      <w:pPr>
        <w:pStyle w:val="TextoNormal"/>
      </w:pPr>
      <w:r>
        <w:t>En apoyo de lo anterior, cita doctrina constitucional que ha incluido en la materia medioambiental aspectos como la evaluación de impacto ambiental y la autorización de actividades clasificadas, la declaración de utilidad pública, la expropiación forzosa y el tanteo y retracto en espacios naturales, ubicando estos últimos, por ejemplo, en la materia medio ambiente y no en la civil, siempre que no se regule la institución en sí.</w:t>
      </w:r>
    </w:p>
    <w:p w:rsidR="005728DD" w:rsidRDefault="005728DD" w:rsidP="005728DD">
      <w:pPr>
        <w:pStyle w:val="TextoNormal"/>
      </w:pPr>
    </w:p>
    <w:p w:rsidR="005728DD" w:rsidRDefault="005728DD" w:rsidP="005728DD">
      <w:pPr>
        <w:pStyle w:val="TextoNormal"/>
      </w:pPr>
      <w:r>
        <w:t>Dentro de la materia “medio ambiente”, recuerda que las comunidades autónomas pueden establecer normas adicionales de protección, entre las que el Tribunal Constitucional ha incluido, entre otras, la creación de “requisitos y cargas para el otorgamiento de autorizaciones y concesiones no previstos por la legislación estatal”, siempre que sean “razonables y proporcionadas al fin propuesto y no alteren el ordenamiento básico”. Así las cosas, entiende que el derecho para activar la protección del medio ambiente es una norma adicional de protección respecto de la norma básica, que es la Ley 27/2006, y compatible con ella.</w:t>
      </w:r>
    </w:p>
    <w:p w:rsidR="005728DD" w:rsidRDefault="005728DD" w:rsidP="005728DD">
      <w:pPr>
        <w:pStyle w:val="TextoNormal"/>
      </w:pPr>
    </w:p>
    <w:p w:rsidR="005728DD" w:rsidRDefault="005728DD" w:rsidP="005728DD">
      <w:pPr>
        <w:pStyle w:val="TextoNormal"/>
      </w:pPr>
      <w:r>
        <w:t xml:space="preserve">b) Asimismo, apunta que debe diferenciarse entre la legitimación </w:t>
      </w:r>
      <w:r w:rsidRPr="005728DD">
        <w:rPr>
          <w:i/>
        </w:rPr>
        <w:t>ad procesum</w:t>
      </w:r>
      <w:r>
        <w:t xml:space="preserve"> y la legitimación </w:t>
      </w:r>
      <w:r w:rsidRPr="005728DD">
        <w:rPr>
          <w:i/>
        </w:rPr>
        <w:t>ad causam</w:t>
      </w:r>
      <w:r>
        <w:t xml:space="preserve"> y que, teniendo esto en cuenta, la norma controvertida no es tanto procesal como ligada a la materia sustantiva, en este caso, el medio ambiente. La legitimación </w:t>
      </w:r>
      <w:r w:rsidRPr="005728DD">
        <w:rPr>
          <w:i/>
        </w:rPr>
        <w:t>ad procesum</w:t>
      </w:r>
      <w:r>
        <w:t xml:space="preserve"> equivale a la capacidad procesal o aptitud para comparecer en juicio; mientras que la legitimación </w:t>
      </w:r>
      <w:r w:rsidRPr="005728DD">
        <w:rPr>
          <w:i/>
        </w:rPr>
        <w:t>ad causam</w:t>
      </w:r>
      <w:r>
        <w:t xml:space="preserve"> es el vínculo con el objeto litigioso que habilita para obtener una sentencia de fondo. Entiende que la legislación procesal a que se refiere el art. 149.1.6 CE abarca la regulación de los cauces procesales, incluidos los requisitos formales para la legitimación </w:t>
      </w:r>
      <w:r w:rsidRPr="005728DD">
        <w:rPr>
          <w:i/>
        </w:rPr>
        <w:t>ad procesum</w:t>
      </w:r>
      <w:r>
        <w:t xml:space="preserve">, mientras que la legitimación </w:t>
      </w:r>
      <w:r w:rsidRPr="005728DD">
        <w:rPr>
          <w:i/>
        </w:rPr>
        <w:t>ad causam</w:t>
      </w:r>
      <w:r>
        <w:t xml:space="preserve"> esta anudada al fondo del asunto, por lo que las normativas sectoriales podrán concretar o modular cuándo se debe reconocer el derecho a reclamar por la protección ambiental.</w:t>
      </w:r>
    </w:p>
    <w:p w:rsidR="005728DD" w:rsidRDefault="005728DD" w:rsidP="005728DD">
      <w:pPr>
        <w:pStyle w:val="TextoNormal"/>
      </w:pPr>
    </w:p>
    <w:p w:rsidR="005728DD" w:rsidRDefault="005728DD" w:rsidP="005728DD">
      <w:pPr>
        <w:pStyle w:val="TextoNormal"/>
      </w:pPr>
      <w:r>
        <w:t xml:space="preserve">Debe tenerse en cuenta, además, que las instancias internacionales avalan la más amplia legitimación en materia medioambiental, sobre lo que cita en particular el Convenio de Aarhus, cuyo art. 9.3 dispone que cada parte velará por que los miembros del público que reúnan los eventuales criterios previstos por su derecho interno puedan entablar procedimientos administrativos o judiciales para impugnar las acciones u omisiones de particulares o de autoridades públicas que vulneren las disposiciones del derecho medioambiental nacional. </w:t>
      </w:r>
      <w:r>
        <w:lastRenderedPageBreak/>
        <w:t>Dicho Convenio ha sido ratificado por la Unión Europea mediante Decisión 2005/370/CE del Consejo. Además, varias disposiciones comunitarias han insistido en la importancia de fomentar el acceso a los tribunales en materia medioambiental. En idéntica línea, la jurisprudencia del Tribunal de Justicia de la Unión Europea ha resuelto numerosas cuestiones derivadas de la amplia legitimación que impulsa el Convenio de Aarhus, ratificado también por España. La Ley estatal 27/2006 es consecuencia de dicho convenio y de la normativa comunitaria, pero no agota la materia, sino que muchas comunidades autónomas han admitido la acción pública medioambiental para avanzar más en su reconocimiento.</w:t>
      </w:r>
    </w:p>
    <w:p w:rsidR="005728DD" w:rsidRDefault="005728DD" w:rsidP="005728DD">
      <w:pPr>
        <w:pStyle w:val="TextoNormal"/>
      </w:pPr>
    </w:p>
    <w:p w:rsidR="005728DD" w:rsidRDefault="005728DD" w:rsidP="005728DD">
      <w:pPr>
        <w:pStyle w:val="TextoNormal"/>
      </w:pPr>
      <w:r>
        <w:t xml:space="preserve">c) Por último, la norma cuestionada no contradice los arts. 22 y 23 de la Ley 27/2006, sino que establece una protección adicional a la prevista en la norma básica </w:t>
      </w:r>
      <w:r w:rsidRPr="005728DD">
        <w:rPr>
          <w:i/>
        </w:rPr>
        <w:t>ex</w:t>
      </w:r>
      <w:r>
        <w:t xml:space="preserve"> art. 149.1.23 CE. La norma estatal exige estrictos requisitos para el ejercicio de la acción judicial, que no es pública, lo que podría incluso vulnerar el principio de no regresión en materia medioambiental, al reducir el espectro de asociaciones que podrían tener legitimación según la doctrina del Tribunal Supremo. Dado que la norma vasca extiende la legitimación más allá de lo que prevé la Ley 27/2006, no existe propiamente contradicción entre ambas. Aunque la citada ley estatal se dictó al amparo del art. 149.1.6 CE, dicho encuadramiento no vincula al Tribunal.</w:t>
      </w:r>
    </w:p>
    <w:p w:rsidR="005728DD" w:rsidRDefault="005728DD" w:rsidP="005728DD">
      <w:pPr>
        <w:pStyle w:val="TextoNormal"/>
      </w:pPr>
    </w:p>
    <w:p w:rsidR="005728DD" w:rsidRDefault="005728DD" w:rsidP="005728DD">
      <w:pPr>
        <w:pStyle w:val="TextoNormal"/>
      </w:pPr>
      <w:r>
        <w:t>El letrado del Gobierno Vasco alude, finalmente, a la STC 97/2018, de 19 de septiembre, FJ 6 b), en la que se afirmó que la legitimación para impugnar una actuación en vía administrativa no implica necesariamente que se tenga para hacerlo en vía judicial. A su juicio, esto podría derivar en consecuencias indeseables sobre el derecho a la tutela judicial efectiva y el control judicial de la actuación administrativa. Por tanto, el reconocimiento de la primera por una norma autonómica, tal y como ha admitido dicha STC 97/2018, debe complementarse con la segunda.</w:t>
      </w:r>
    </w:p>
    <w:p w:rsidR="005728DD" w:rsidRDefault="005728DD" w:rsidP="005728DD">
      <w:pPr>
        <w:pStyle w:val="TextoNormal"/>
      </w:pPr>
    </w:p>
    <w:p w:rsidR="005728DD" w:rsidRDefault="005728DD" w:rsidP="005728DD">
      <w:pPr>
        <w:pStyle w:val="TextoNormal"/>
      </w:pPr>
      <w:r w:rsidRPr="005728DD">
        <w:rPr>
          <w:rStyle w:val="NumeroAFNegritaCaracter"/>
        </w:rPr>
        <w:t>10</w:t>
      </w:r>
      <w:r>
        <w:t>. El día 22 de junio de 2020 también tuvo entrada en el registro del Tribunal el escrito de alegaciones de la Fiscal General del Estado, con el siguiente contenido:</w:t>
      </w:r>
    </w:p>
    <w:p w:rsidR="005728DD" w:rsidRDefault="005728DD" w:rsidP="005728DD">
      <w:pPr>
        <w:pStyle w:val="TextoNormal"/>
      </w:pPr>
    </w:p>
    <w:p w:rsidR="005728DD" w:rsidRDefault="005728DD" w:rsidP="005728DD">
      <w:pPr>
        <w:pStyle w:val="TextoNormal"/>
      </w:pPr>
      <w:r>
        <w:t>Respecto del juicio de aplicabilidad y relevancia, apunta que en el auto de 25 de septiembre de 2018 la Sala no consideró necesario aplicar el precepto ahora cuestionado, sino que le bastó acudir a la cláusula general del art 19.1 b) LJCA, sin que después haya razonado el cambio de criterio. Entiende, por lo anterior, que la cuestión debería inadmitirse.</w:t>
      </w:r>
    </w:p>
    <w:p w:rsidR="005728DD" w:rsidRDefault="005728DD" w:rsidP="005728DD">
      <w:pPr>
        <w:pStyle w:val="TextoNormal"/>
      </w:pPr>
    </w:p>
    <w:p w:rsidR="005728DD" w:rsidRDefault="005728DD" w:rsidP="005728DD">
      <w:pPr>
        <w:pStyle w:val="TextoNormal"/>
      </w:pPr>
      <w:r>
        <w:t>En cuanto al fondo, y tras acotar la duda al inciso del art. 3.4 de la Ley general de protección del medio ambiente del País Vasco que se refiere a la acción jurisdiccional, anticipa se trata de legislación procesal para la que carece de competencia la comunidad autónoma. Cita la STC 47/2004, de 25 de marzo, que resume cuál es el alcance de la regla del art. 149.1.6 CE, señalando que responde a la necesidad de salvaguardar la uniformidad de los instrumentos jurisdiccionales; que la competencia autonómica para introducir especialidades procesales no se anuda automáticamente a la competencia material que pueda tener la comunidad autónoma, pues equivaldría a vaciar de contenido la reserva estatal; que las “necesarias especialidades” deben deducirse inevitablemente de las particularidades sustantivas autonómicas; y que incumbe al legislador autonómico, o a quienes asuman la defensa de la ley impugnada, ofrecer la suficiente justificación de la necesidad de alterar las reglas procesales comunes.</w:t>
      </w:r>
    </w:p>
    <w:p w:rsidR="005728DD" w:rsidRDefault="005728DD" w:rsidP="005728DD">
      <w:pPr>
        <w:pStyle w:val="TextoNormal"/>
      </w:pPr>
    </w:p>
    <w:p w:rsidR="005728DD" w:rsidRDefault="005728DD" w:rsidP="005728DD">
      <w:pPr>
        <w:pStyle w:val="TextoNormal"/>
      </w:pPr>
      <w:r>
        <w:lastRenderedPageBreak/>
        <w:t>Aplicando los tres pasos con los que la doctrina constitucional verifica el encaje de una especialidad procesal autonómica en el art. 149.1.6 CE, concluye que: (i) el derecho sustantivo autonómico de referencia es la propia Ley general de protección del medio ambiente del País Vasco; (ii) el precepto que se discute, más que una especialidad, modifica, ampliándola, una categoría jurídica relevante en el ámbito procesal, regulada en el art. 19.1 h) LJCA en conexión con los arts. 22 y 23 de la Ley 27/2006; y (iii) esa ampliación no se conecta con ninguna peculiaridad del derecho sustantivo autonómico, ni explicitada por el legislador, ni deducible de la propia norma.</w:t>
      </w:r>
    </w:p>
    <w:p w:rsidR="005728DD" w:rsidRDefault="005728DD" w:rsidP="005728DD">
      <w:pPr>
        <w:pStyle w:val="TextoNormal"/>
      </w:pPr>
    </w:p>
    <w:p w:rsidR="005728DD" w:rsidRDefault="005728DD" w:rsidP="005728DD">
      <w:pPr>
        <w:pStyle w:val="TextoNormal"/>
      </w:pPr>
      <w:r>
        <w:t>En consecuencia, considera evidente la inconstitucionalidad del art. 3.4 de la Ley general de protección del medio ambiente del País Vasco en el inciso referido a la acción jurisdiccional, que debe declararse inconstitucional y nulo.</w:t>
      </w:r>
    </w:p>
    <w:p w:rsidR="005728DD" w:rsidRDefault="005728DD" w:rsidP="005728DD">
      <w:pPr>
        <w:pStyle w:val="TextoNormal"/>
      </w:pPr>
    </w:p>
    <w:p w:rsidR="005728DD" w:rsidRDefault="005728DD" w:rsidP="005728DD">
      <w:pPr>
        <w:pStyle w:val="TextoNormal"/>
      </w:pPr>
      <w:r w:rsidRPr="005728DD">
        <w:rPr>
          <w:rStyle w:val="NumeroAFNegritaCaracter"/>
        </w:rPr>
        <w:t>11</w:t>
      </w:r>
      <w:r>
        <w:t>. El abogado del Estado presentó su escrito de alegaciones el día 24 de junio de 2020, solicitando la estimación de la cuestión planteada, con los argumentos que se resumen a continuación:</w:t>
      </w:r>
    </w:p>
    <w:p w:rsidR="005728DD" w:rsidRDefault="005728DD" w:rsidP="005728DD">
      <w:pPr>
        <w:pStyle w:val="TextoNormal"/>
      </w:pPr>
    </w:p>
    <w:p w:rsidR="005728DD" w:rsidRDefault="005728DD" w:rsidP="005728DD">
      <w:pPr>
        <w:pStyle w:val="TextoNormal"/>
      </w:pPr>
      <w:r>
        <w:t xml:space="preserve">Tras precisar que la duda del órgano promotor se refiere únicamente a la acción procesal, no en vía administrativa, pone de manifiesto que la Diputación Foral de Gipuzkoa, demandada en el proceso </w:t>
      </w:r>
      <w:r w:rsidRPr="005728DD">
        <w:rPr>
          <w:i/>
        </w:rPr>
        <w:t>a quo</w:t>
      </w:r>
      <w:r>
        <w:t>, también considera que el artículo cuestionado contradice la Ley reguladora de la jurisdicción contencioso-administrativa.</w:t>
      </w:r>
    </w:p>
    <w:p w:rsidR="005728DD" w:rsidRDefault="005728DD" w:rsidP="005728DD">
      <w:pPr>
        <w:pStyle w:val="TextoNormal"/>
      </w:pPr>
    </w:p>
    <w:p w:rsidR="005728DD" w:rsidRDefault="005728DD" w:rsidP="005728DD">
      <w:pPr>
        <w:pStyle w:val="TextoNormal"/>
      </w:pPr>
      <w:r>
        <w:t>El abogado del Estado parte de que la acción pública o popular, que puede ejercitar cualquier ciudadano sin legitimación especial, es una institución procesal prevista en el art. 19.1 h) LJCA caracterizada por ser una excepción a la regla general de legitimación basada en un derecho o interés legítimo. Subraya que no hay particularidad del derecho sustantivo vasco que haga necesaria esta acción popular, como lo confirma el hecho de que la Ley general de protección del medio ambiente del País Vasco no ofrece ninguna justificación.</w:t>
      </w:r>
    </w:p>
    <w:p w:rsidR="005728DD" w:rsidRDefault="005728DD" w:rsidP="005728DD">
      <w:pPr>
        <w:pStyle w:val="TextoNormal"/>
      </w:pPr>
    </w:p>
    <w:p w:rsidR="005728DD" w:rsidRDefault="005728DD" w:rsidP="005728DD">
      <w:pPr>
        <w:pStyle w:val="TextoNormal"/>
      </w:pPr>
      <w:r>
        <w:t>Al respecto, aduce que, según la doctrina constitucional, el art. 149.1.6 CE solo permite particularidades autonómicas si se derivan de las necesidades de su derecho sustantivo propio y que una ampliación de una categoría jurídica procesal, como es la legitimación, no es en sí misma una especialidad procesal si no tiene un sustento propio y autónomo en su derecho sustantivo. Cita, en este sentido, la STC 97/2018, que declaró inconstitucional el art. 6.1 de la Ley del Parlamento Vasco 3/2015, de 18 de junio, de vivienda, precisamente por establecer una acción pública, en ese caso en materia de vivienda. El fundamento jurídico 6 de dicha sentencia constató que, en ejercicio de la competencia atribuida por el art. 149.1.6 CE, la Ley de la jurisdicción contencioso-administrativa ha optado por no reconocer una acción popular jurisdiccional, salvo que una ley estatal la haya previsto específicamente. Doctrina que, a su vez, reproduce la recogida en la STC 80/2018, de 5 de julio, según la cual para que una especialidad procesal autonómica respete el art. 149.1.6 CE no basta con que suponga una innovación o mejora, si no viene justificada por el derecho sustantivo autonómico.</w:t>
      </w:r>
    </w:p>
    <w:p w:rsidR="005728DD" w:rsidRDefault="005728DD" w:rsidP="005728DD">
      <w:pPr>
        <w:pStyle w:val="TextoNormal"/>
      </w:pPr>
    </w:p>
    <w:p w:rsidR="005728DD" w:rsidRDefault="005728DD" w:rsidP="005728DD">
      <w:pPr>
        <w:pStyle w:val="TextoNormal"/>
      </w:pPr>
      <w:r>
        <w:t xml:space="preserve">Tras recordar los tres pasos que debe verificar una especialidad autonómica para ser compatible con el art. 149.1.6 CE, conforme a la doctrina del tribunal, los aplica al art. 3.4 de la Ley general de protección del medio ambiente del País Vasco, lo que arroja un resultado negativo puesto que: (i) el derecho sustantivo autonómico es la propia Ley medioambiental </w:t>
      </w:r>
      <w:r>
        <w:lastRenderedPageBreak/>
        <w:t>vasca; (ii) la legislación estatal común es la contenida en la Ley reguladora de la jurisdicción contencioso-administrativa que, al regular la legitimación, solo admite las particularidades previstas en leyes estatales; y (iii) ni en el preámbulo de la ley autonómica ni en su propio texto se justifica la especialidad procesal. Como indicó la STC 80/2018, FJ 5 a), respecto de una norma análoga de la Comunidad Valenciana, al regular la acción pública no se introduce propiamente una especialidad, sino que se modifica, ampliándola, una categoría jurídica relevante en el ámbito procesal y, por tanto, regulada por el derecho procesal general.</w:t>
      </w:r>
    </w:p>
    <w:p w:rsidR="005728DD" w:rsidRDefault="005728DD" w:rsidP="005728DD">
      <w:pPr>
        <w:pStyle w:val="TextoNormal"/>
      </w:pPr>
    </w:p>
    <w:p w:rsidR="005728DD" w:rsidRDefault="005728DD" w:rsidP="005728DD">
      <w:pPr>
        <w:pStyle w:val="TextoNormal"/>
      </w:pPr>
      <w:r>
        <w:t xml:space="preserve">En consecuencia, el legislador vasco no tiene competencia para introducir una acción pública “para exigir el cumplimiento de lo dispuesto” en la ley autonómica de protección ambiental. Esta incompetencia, que el Abogado del Estado tilda de “radical”, es independiente de la mayor o menor coincidencia con una hipotética norma procesal estatal, pues la doctrina constitucional sobre las </w:t>
      </w:r>
      <w:r w:rsidRPr="005728DD">
        <w:rPr>
          <w:i/>
        </w:rPr>
        <w:t>leges repetitae</w:t>
      </w:r>
      <w:r>
        <w:t xml:space="preserve"> se alza contra este tipo de invasiones competenciales. Por tanto, no es necesario comparar el art. 3.4 de la Ley ambiental vasca con los arts. 22 y 23 de la Ley 27/2006, que es, además, posterior en el tiempo. En todo caso, la contradicción entre ambas es clara, puesto que la restricción de la acción pública a una categoría determinada de personas jurídicas es una decisión del legislador competente —el estatal—, que excluye a las demás personas jurídicas y a las personas físicas.</w:t>
      </w:r>
    </w:p>
    <w:p w:rsidR="005728DD" w:rsidRDefault="005728DD" w:rsidP="005728DD">
      <w:pPr>
        <w:pStyle w:val="TextoNormal"/>
      </w:pPr>
    </w:p>
    <w:p w:rsidR="005728DD" w:rsidRDefault="005728DD" w:rsidP="005728DD">
      <w:pPr>
        <w:pStyle w:val="TextoNormal"/>
      </w:pPr>
      <w:r w:rsidRPr="005728DD">
        <w:rPr>
          <w:rStyle w:val="NumeroAFNegritaCaracter"/>
        </w:rPr>
        <w:t>12</w:t>
      </w:r>
      <w:r>
        <w:t>. Por escrito presentado en el registro del Tribunal el 30 de julio de 2020, formuló sus alegaciones la Diputación Foral de Gipuzkoa.</w:t>
      </w:r>
    </w:p>
    <w:p w:rsidR="005728DD" w:rsidRDefault="005728DD" w:rsidP="005728DD">
      <w:pPr>
        <w:pStyle w:val="TextoNormal"/>
      </w:pPr>
    </w:p>
    <w:p w:rsidR="005728DD" w:rsidRDefault="005728DD" w:rsidP="005728DD">
      <w:pPr>
        <w:pStyle w:val="TextoNormal"/>
      </w:pPr>
      <w:r>
        <w:t>Comienza manifestando que se cumple el juicio de aplicabilidad y relevancia, remitiéndose al ATC 73/2020, de 14 de julio. Respecto al fondo, hace notar que esta es la segunda ocasión en que la Sala de lo Contencioso-Administrativo del Tribunal Superior de Justicia del País Vasco plantea sus dudas sobre la constitucionalidad del art. 3.4 de la Ley general de protección del medio ambiente del País Vasco, citando el proceso núm. 6588-2011 que perdió objeto antes de que recayera sentencia.</w:t>
      </w:r>
    </w:p>
    <w:p w:rsidR="005728DD" w:rsidRDefault="005728DD" w:rsidP="005728DD">
      <w:pPr>
        <w:pStyle w:val="TextoNormal"/>
      </w:pPr>
    </w:p>
    <w:p w:rsidR="005728DD" w:rsidRDefault="005728DD" w:rsidP="005728DD">
      <w:pPr>
        <w:pStyle w:val="TextoNormal"/>
      </w:pPr>
      <w:r>
        <w:t>Cita, a continuación, la STC 97/2018, que estimó el recurso de inconstitucionalidad interpuesto contra el art. 6.1 de la Ley 3/2015, de 18 de junio, de vivienda del País Vasco, de contenido similar al aquí cuestionado, declarándolo inconstitucional por vulnerar el art. 149.1.6 CE, como ya hizo la STC 80/2018, respecto de análogo precepto de la Ley 2/2017, de 3 de febrero, de función social de la vivienda de la Comunidad Valenciana.</w:t>
      </w:r>
    </w:p>
    <w:p w:rsidR="005728DD" w:rsidRDefault="005728DD" w:rsidP="005728DD">
      <w:pPr>
        <w:pStyle w:val="TextoNormal"/>
      </w:pPr>
    </w:p>
    <w:p w:rsidR="005728DD" w:rsidRDefault="005728DD" w:rsidP="005728DD">
      <w:pPr>
        <w:pStyle w:val="TextoNormal"/>
      </w:pPr>
      <w:r>
        <w:t>A la vista de lo anterior, considera que el art. 3.4 de la Ley ambiental vasca no introduce una especialidad procesal, sino que modifica, ampliándola, una categoría jurídica relevante como es la acción popular, regulada en el derecho procesal general, en concreto en los arts. 125 CE, 19.1 de la Ley Orgánica del Poder Judicial (LOPJ), 19.1 h) LJCA y 22 y 23 de la Ley 27/2006; respecto de esta última, recuerda que dichos preceptos se dictan al amparo del art. 149.1.6 CE, a diferencia del resto de la ley, que en su mayor parte es legislación básica de protección del medio ambiente.</w:t>
      </w:r>
    </w:p>
    <w:p w:rsidR="005728DD" w:rsidRDefault="005728DD" w:rsidP="005728DD">
      <w:pPr>
        <w:pStyle w:val="TextoNormal"/>
      </w:pPr>
    </w:p>
    <w:p w:rsidR="005728DD" w:rsidRDefault="005728DD" w:rsidP="005728DD">
      <w:pPr>
        <w:pStyle w:val="TextoNormal"/>
      </w:pPr>
      <w:r>
        <w:t>Finalmente, se refiere al preámbulo de la Ley general de protección del medio ambiente del País Vasco, en el que se indica que se reconoce el derecho a la acción pública pero no se conecta con ninguna particularidad del derecho sustantivo de la comunidad autónoma.</w:t>
      </w:r>
    </w:p>
    <w:p w:rsidR="005728DD" w:rsidRDefault="005728DD" w:rsidP="005728DD">
      <w:pPr>
        <w:pStyle w:val="TextoNormal"/>
      </w:pPr>
    </w:p>
    <w:p w:rsidR="005728DD" w:rsidRDefault="005728DD" w:rsidP="005728DD">
      <w:pPr>
        <w:pStyle w:val="TextoNormal"/>
      </w:pPr>
      <w:r>
        <w:lastRenderedPageBreak/>
        <w:t>Por todo lo cual, solicita la estimación de la cuestión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13</w:t>
      </w:r>
      <w:r>
        <w:t>. Por medio de un escrito registrado el día 18 de agosto de 2020, el Consorcio de Residuos de Gipuzkoa manifestó que se adhería a las alegaciones formuladas por la Diputación Foral de Gipuzkoa.</w:t>
      </w:r>
    </w:p>
    <w:p w:rsidR="005728DD" w:rsidRDefault="005728DD" w:rsidP="005728DD">
      <w:pPr>
        <w:pStyle w:val="TextoNormal"/>
      </w:pPr>
    </w:p>
    <w:p w:rsidR="005728DD" w:rsidRDefault="005728DD" w:rsidP="005728DD">
      <w:pPr>
        <w:pStyle w:val="TextoNormal"/>
      </w:pPr>
      <w:r w:rsidRPr="005728DD">
        <w:rPr>
          <w:rStyle w:val="NumeroAFNegritaCaracter"/>
        </w:rPr>
        <w:t>14</w:t>
      </w:r>
      <w:r>
        <w:t>. El día 10 de septiembre de 2020, quedaron registradas las alegaciones de la asociación Gurasos Elkartea, en las que interesa la desestimación de la cuestión, haciendo suyos los argumentos esgrimidos en las alegaciones del Parlamento Vasco, al tiempo que reproduce los que hizo con ocasión del recurso de súplica.</w:t>
      </w:r>
    </w:p>
    <w:p w:rsidR="005728DD" w:rsidRDefault="005728DD" w:rsidP="005728DD">
      <w:pPr>
        <w:pStyle w:val="TextoNormal"/>
      </w:pPr>
    </w:p>
    <w:p w:rsidR="005728DD" w:rsidRDefault="005728DD" w:rsidP="005728DD">
      <w:pPr>
        <w:pStyle w:val="TextoNormal"/>
      </w:pPr>
      <w:r>
        <w:t xml:space="preserve">Insiste en que el auto de planteamiento de la cuestión incurre en un grave error, al considerar que lo discutido en el proceso </w:t>
      </w:r>
      <w:r w:rsidRPr="005728DD">
        <w:rPr>
          <w:i/>
        </w:rPr>
        <w:t>a quo</w:t>
      </w:r>
      <w:r>
        <w:t xml:space="preserve"> se incardina en la materia medioambiente y no en la urbanística. Considera que, a efectos de la acción pública urbanística, lo importante es el instrumento de ordenación territorial, en este caso, el plan territorial sectorial, siendo aplicable la acción pública para instar su cumplimiento, con independencia de cuál sea la previsión concreta que motive el recurso. Todos los planes de ordenación territorial admiten la acción pública, conforme al art. 5 f) del texto refundido de la Ley de suelo y rehabilitación urbana.</w:t>
      </w:r>
    </w:p>
    <w:p w:rsidR="005728DD" w:rsidRDefault="005728DD" w:rsidP="005728DD">
      <w:pPr>
        <w:pStyle w:val="TextoNormal"/>
      </w:pPr>
    </w:p>
    <w:p w:rsidR="005728DD" w:rsidRDefault="005728DD" w:rsidP="005728DD">
      <w:pPr>
        <w:pStyle w:val="TextoNormal"/>
      </w:pPr>
      <w:r>
        <w:t xml:space="preserve">En segundo lugar, el órgano judicial no tiene en cuenta que la modificación de la autorización ambiental que motiva el proceso </w:t>
      </w:r>
      <w:r w:rsidRPr="005728DD">
        <w:rPr>
          <w:i/>
        </w:rPr>
        <w:t>a quo</w:t>
      </w:r>
      <w:r>
        <w:t xml:space="preserve"> cambió la ubicación de la planta de maduración de escorias de la incineradora, lo que supone un incumplimiento del plan territorial sectorial.</w:t>
      </w:r>
    </w:p>
    <w:p w:rsidR="005728DD" w:rsidRDefault="005728DD" w:rsidP="005728DD">
      <w:pPr>
        <w:pStyle w:val="TextoNormal"/>
      </w:pPr>
    </w:p>
    <w:p w:rsidR="005728DD" w:rsidRDefault="005728DD" w:rsidP="005728DD">
      <w:pPr>
        <w:pStyle w:val="TextoNormal"/>
      </w:pPr>
      <w:r>
        <w:t>Finalmente, recalca que la Sala promotora de la cuestión no tiene necesidad de aplicar el art. 3.4 de la Ley general de protección del medio ambiente del País Vasco porque la asociación Gurasos Elkartea tiene legitimación con base en el art. 19.1 b) LJCA. Alega, al respecto, que no hay un interés más concreto y, desde luego, más antiguo y natural, que el deber de todo progenitor de cuidar y proteger a sus hijos.</w:t>
      </w:r>
    </w:p>
    <w:p w:rsidR="005728DD" w:rsidRDefault="005728DD" w:rsidP="005728DD">
      <w:pPr>
        <w:pStyle w:val="TextoNormal"/>
      </w:pPr>
    </w:p>
    <w:p w:rsidR="005728DD" w:rsidRDefault="005728DD" w:rsidP="005728DD">
      <w:pPr>
        <w:pStyle w:val="TextoNormal"/>
      </w:pPr>
      <w:r w:rsidRPr="005728DD">
        <w:rPr>
          <w:rStyle w:val="NumeroAFNegritaCaracter"/>
        </w:rPr>
        <w:t>15</w:t>
      </w:r>
      <w:r>
        <w:t>. Mediante providencia de 26 de enero de 2021, se señaló para deliberación y votación de la presente sentencia el día 28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 y pretensiones de las partes</w:t>
      </w:r>
      <w:r>
        <w:t>.</w:t>
      </w:r>
    </w:p>
    <w:p w:rsidR="005728DD" w:rsidRDefault="005728DD" w:rsidP="005728DD">
      <w:pPr>
        <w:pStyle w:val="TextoNormal"/>
      </w:pPr>
    </w:p>
    <w:p w:rsidR="005728DD" w:rsidRDefault="005728DD" w:rsidP="005728DD">
      <w:pPr>
        <w:pStyle w:val="TextoNormal"/>
      </w:pPr>
      <w:r>
        <w:t>La Sección Segunda de la Sala de lo Contencioso-Administrativo del Tribunal Superior de Justicia del País Vasco promueve una cuestión de inconstitucionalidad sobre el art. 3.4 de la Ley del Parlamento Vasco 3/1998, de 27 de febrero, general de protección del medio ambiente del País Vasco.</w:t>
      </w:r>
    </w:p>
    <w:p w:rsidR="005728DD" w:rsidRDefault="005728DD" w:rsidP="005728DD">
      <w:pPr>
        <w:pStyle w:val="TextoNormal"/>
      </w:pPr>
    </w:p>
    <w:p w:rsidR="005728DD" w:rsidRDefault="005728DD" w:rsidP="005728DD">
      <w:pPr>
        <w:pStyle w:val="TextoNormal"/>
      </w:pPr>
      <w:r>
        <w:t>El precepto sobre el que se plantea la cuestión dispone lo siguiente:</w:t>
      </w:r>
    </w:p>
    <w:p w:rsidR="005728DD" w:rsidRDefault="005728DD" w:rsidP="005728DD">
      <w:pPr>
        <w:pStyle w:val="TextoNormal"/>
      </w:pPr>
    </w:p>
    <w:p w:rsidR="005728DD" w:rsidRDefault="005728DD" w:rsidP="005728DD">
      <w:pPr>
        <w:pStyle w:val="TextoNormal"/>
      </w:pPr>
      <w:r>
        <w:t>“Artículo 3. Derechos.</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4. Será pública la acción para exigir el cumplimiento de lo previsto en esta ley, tanto en vía administrativa como jurisdiccional”.</w:t>
      </w:r>
    </w:p>
    <w:p w:rsidR="005728DD" w:rsidRDefault="005728DD" w:rsidP="005728DD">
      <w:pPr>
        <w:pStyle w:val="TextoNormal"/>
      </w:pPr>
    </w:p>
    <w:p w:rsidR="005728DD" w:rsidRDefault="005728DD" w:rsidP="005728DD">
      <w:pPr>
        <w:pStyle w:val="TextoNormal"/>
      </w:pPr>
      <w:r>
        <w:t>El órgano judicial únicamente cuestiona el inciso final —“como jurisdiccional”—, por vulnerar la competencia exclusiva del Estado sobre “legislación procesal”, reconocida en el art. 149.1.6 CE. La duda se contrae, por tanto, a la acción pública en vía judicial, sin extenderse a la vía administrativa, que quedará fuera de nuestro enjuiciamiento.</w:t>
      </w:r>
    </w:p>
    <w:p w:rsidR="005728DD" w:rsidRDefault="005728DD" w:rsidP="005728DD">
      <w:pPr>
        <w:pStyle w:val="TextoNormal"/>
      </w:pPr>
    </w:p>
    <w:p w:rsidR="005728DD" w:rsidRDefault="005728DD" w:rsidP="005728DD">
      <w:pPr>
        <w:pStyle w:val="TextoNormal"/>
      </w:pPr>
      <w:r>
        <w:t>Como se ha detallado en el relato de antecedentes, la fiscal general del Estado aprecia un óbice de admisibilidad por falta de cumplimiento del juicio de relevancia; subsidiariamente, interesa la estimación de la cuestión de inconstitucionalidad. Tanto el abogado del Estado como la Diputación Foral de Gipuzkoa (a cuya posición se adhiere el Consorcio de Residuos de Gipuzkoa) consideran cumplido el juicio de relevancia, solicitando igualmente que la cuestión sea estimada.</w:t>
      </w:r>
    </w:p>
    <w:p w:rsidR="005728DD" w:rsidRDefault="005728DD" w:rsidP="005728DD">
      <w:pPr>
        <w:pStyle w:val="TextoNormal"/>
      </w:pPr>
    </w:p>
    <w:p w:rsidR="005728DD" w:rsidRDefault="005728DD" w:rsidP="005728DD">
      <w:pPr>
        <w:pStyle w:val="TextoNormal"/>
      </w:pPr>
      <w:r>
        <w:t>Por su parte, el Gobierno Vasco considera cumplidos los requisitos para la admisibilidad de la cuestión, pero interesa su desestimación. Finalmente, el Parlamento Vasco, así como la asociación Gurasos Elkartea, solicitan la inadmisión y, en cuanto al fondo, la desestimación.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Óbice procesal alegado: remisión al ATC 73/2020, de 14 de julio</w:t>
      </w:r>
      <w:r>
        <w:t>.</w:t>
      </w:r>
    </w:p>
    <w:p w:rsidR="005728DD" w:rsidRDefault="005728DD" w:rsidP="005728DD">
      <w:pPr>
        <w:pStyle w:val="TextoNormal"/>
      </w:pPr>
    </w:p>
    <w:p w:rsidR="005728DD" w:rsidRDefault="005728DD" w:rsidP="005728DD">
      <w:pPr>
        <w:pStyle w:val="TextoNormal"/>
      </w:pPr>
      <w:r>
        <w:t xml:space="preserve">Como cuestión previa, hemos de abordar el óbice procesal alegado por la Fiscal General del Estado, el Parlamento Vasco y la asociación recurrente en el proceso </w:t>
      </w:r>
      <w:r w:rsidRPr="005728DD">
        <w:rPr>
          <w:i/>
        </w:rPr>
        <w:t>a quo</w:t>
      </w:r>
      <w:r>
        <w:t>, que consideran que el órgano promotor no ha formulado correctamente el juicio de relevancia, según exige el art. 35.2 LOTC.</w:t>
      </w:r>
    </w:p>
    <w:p w:rsidR="005728DD" w:rsidRDefault="005728DD" w:rsidP="005728DD">
      <w:pPr>
        <w:pStyle w:val="TextoNormal"/>
      </w:pPr>
    </w:p>
    <w:p w:rsidR="005728DD" w:rsidRDefault="005728DD" w:rsidP="005728DD">
      <w:pPr>
        <w:pStyle w:val="TextoNormal"/>
      </w:pPr>
      <w:r>
        <w:t>Conforme se ha indicado en el relato de antecedentes, esta objeción ya ha sido analizada por el ATC 73/2020, de 14 de julio, mediante el que se desestimó el recurso de súplica interpuesto por la asociación Gurasos Elkartea contra la providencia de admisión a trámite de la cuestión de inconstitucionalidad. En su fundamento jurídico 2 llegamos a la conclusión de que, conforme al control “meramente externo” que debe realizar este tribunal sobre los juicios de aplicabilidad y relevancia (por todos, ATC 159/2016, de 20 de septiembre, FJ 2) en el auto de planteamiento se ha razonado suficientemente por qué, a juicio de la Sala, en la asociación Gurasos Elkartea no concurre otro título de legitimación activa que el otorgado por el art. 3.4 de la Ley general de protección del medio ambiente del País Vasco, de modo que ha cumplido el requisito de “especificar o justificar en qué medida la decisión del proceso depende de la validez de la norma en cuestión” (art. 35.2 LOTC).</w:t>
      </w:r>
    </w:p>
    <w:p w:rsidR="005728DD" w:rsidRDefault="005728DD" w:rsidP="005728DD">
      <w:pPr>
        <w:pStyle w:val="TextoNormal"/>
      </w:pPr>
    </w:p>
    <w:p w:rsidR="005728DD" w:rsidRDefault="005728DD" w:rsidP="005728DD">
      <w:pPr>
        <w:pStyle w:val="TextoNormal"/>
      </w:pPr>
      <w:r>
        <w:t>No habiéndose aportado argumentos adicionales a los ya examinados al resolver el recurso de súplica, debemos remitirnos al citado ATC 73/2020 para así descartar el óbice alegado.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Encuadramiento competencial</w:t>
      </w:r>
      <w:r>
        <w:t>.</w:t>
      </w:r>
    </w:p>
    <w:p w:rsidR="005728DD" w:rsidRDefault="005728DD" w:rsidP="005728DD">
      <w:pPr>
        <w:pStyle w:val="TextoNormal"/>
      </w:pPr>
    </w:p>
    <w:p w:rsidR="005728DD" w:rsidRDefault="005728DD" w:rsidP="005728DD">
      <w:pPr>
        <w:pStyle w:val="TextoNormal"/>
      </w:pPr>
      <w:r>
        <w:lastRenderedPageBreak/>
        <w:t>La duda planteada por la Sección Segunda de la Sala de lo Contencioso-Administrativo del Tribunal Superior de Justicia del País Vasco tiene carácter exclusivamente competencial. La Sala cuestiona si, al disponer que es pública la acción para exigir en vía jurisdiccional el cumplimiento de la Ley ambiental vasca, el legislador autonómico excede o no el ámbito de sus competencias.</w:t>
      </w:r>
    </w:p>
    <w:p w:rsidR="005728DD" w:rsidRDefault="005728DD" w:rsidP="005728DD">
      <w:pPr>
        <w:pStyle w:val="TextoNormal"/>
      </w:pPr>
    </w:p>
    <w:p w:rsidR="005728DD" w:rsidRDefault="005728DD" w:rsidP="005728DD">
      <w:pPr>
        <w:pStyle w:val="TextoNormal"/>
      </w:pPr>
      <w:r>
        <w:t>Por tanto, debemos, en primer lugar, precisar el encuadramiento competencial de la norma cuestionada, atendiendo “al contenido de los preceptos controvertidos” y a su “carácter, sentido y finalidad” (por todas, STC 178/2019, de 18 de diciembre, FJ 2).</w:t>
      </w:r>
    </w:p>
    <w:p w:rsidR="005728DD" w:rsidRDefault="005728DD" w:rsidP="005728DD">
      <w:pPr>
        <w:pStyle w:val="TextoNormal"/>
      </w:pPr>
    </w:p>
    <w:p w:rsidR="005728DD" w:rsidRDefault="005728DD" w:rsidP="005728DD">
      <w:pPr>
        <w:pStyle w:val="TextoNormal"/>
      </w:pPr>
      <w:r>
        <w:t>Según el órgano judicial, el art. 3.4, último inciso, de la Ley general de protección del medio ambiente del País Vasco es “legislación procesal” en el sentido del art. 149.1.6 CE, postura que comparte la Fiscal General del Estado, el abogado del Estado y la Diputación Foral de Gipuzkoa (a cuya posición se adhiere el Consorcio de Residuos de Gipuzkoa). Por el contrario, el Gobierno y el Parlamento Vasco, así como la asociación Gurasos Elkartea, postulan que prevalece su encaje como “norma adicional de protección” en materia medioambiental (art. 149.1.23 CE), calificándola, subsidiariamente, como una especialidad procesal autonómica amparada en el art. 149.1.6 CE.</w:t>
      </w:r>
    </w:p>
    <w:p w:rsidR="005728DD" w:rsidRDefault="005728DD" w:rsidP="005728DD">
      <w:pPr>
        <w:pStyle w:val="TextoNormal"/>
      </w:pPr>
    </w:p>
    <w:p w:rsidR="005728DD" w:rsidRDefault="005728DD" w:rsidP="005728DD">
      <w:pPr>
        <w:pStyle w:val="TextoNormal"/>
      </w:pPr>
      <w:r>
        <w:t xml:space="preserve">Nuestro análisis debe partir de que la acción “pública” o “popular” en vía judicial que instituye el inciso cuestionado es una acción </w:t>
      </w:r>
      <w:r w:rsidRPr="005728DD">
        <w:rPr>
          <w:i/>
        </w:rPr>
        <w:t>quivis ex populo</w:t>
      </w:r>
      <w:r>
        <w:t>, reconocida a cualquier ciudadano sin legitimación especial, como especialidad frente a la regla general de legitimación basada en un derecho o interés legítimo del art. 19.1 a) de la Ley 29/1998, de 13 de julio, reguladora de la jurisdicción contencioso-administrativa (LJCA).</w:t>
      </w:r>
    </w:p>
    <w:p w:rsidR="005728DD" w:rsidRDefault="005728DD" w:rsidP="005728DD">
      <w:pPr>
        <w:pStyle w:val="TextoNormal"/>
      </w:pPr>
    </w:p>
    <w:p w:rsidR="005728DD" w:rsidRDefault="005728DD" w:rsidP="005728DD">
      <w:pPr>
        <w:pStyle w:val="TextoNormal"/>
      </w:pPr>
      <w:r>
        <w:t>De forma reiterada, este tribunal ha incardinado las reglas sobre legitimación procesal dentro de la legislación procesal de cuya distribución competencial se ocupa el art. 149.1.6 CE. Así lo hizo tempranamente en las SSTC 83/1986, de 26 de junio, FJ 2; y 123/1988, de 23 de junio, FJ 2, ambas referidas a preceptos autonómicos que facultaban a ejercer la acción judicial en defensa de la normativa lingüística de la respectiva comunidad autónoma.</w:t>
      </w:r>
    </w:p>
    <w:p w:rsidR="005728DD" w:rsidRDefault="005728DD" w:rsidP="005728DD">
      <w:pPr>
        <w:pStyle w:val="TextoNormal"/>
      </w:pPr>
    </w:p>
    <w:p w:rsidR="005728DD" w:rsidRDefault="005728DD" w:rsidP="005728DD">
      <w:pPr>
        <w:pStyle w:val="TextoNormal"/>
      </w:pPr>
      <w:r>
        <w:t>A la misma conclusión llegó la STC 141/2014, de 11 de septiembre, FJ 7, respecto de la acción pública judicial sobre las determinaciones de la ordenación territorial y urbanística y sobre las decisiones resultantes de los procedimientos de evaluación ambiental de los instrumentos correspondientes, afirmando que se inserta “con toda claridad”, en el ámbito de la legislación procesal.</w:t>
      </w:r>
    </w:p>
    <w:p w:rsidR="005728DD" w:rsidRDefault="005728DD" w:rsidP="005728DD">
      <w:pPr>
        <w:pStyle w:val="TextoNormal"/>
      </w:pPr>
    </w:p>
    <w:p w:rsidR="005728DD" w:rsidRDefault="005728DD" w:rsidP="005728DD">
      <w:pPr>
        <w:pStyle w:val="TextoNormal"/>
      </w:pPr>
      <w:r>
        <w:t>Más recientemente, las SSTC 80/2018, de 5 de julio, FJ 5 a), y 97/2018, de 19 de septiembre, FJ 6, (esta última citada por el auto de planteamiento), han reiterado dicho encuadramiento respecto de la acción pública en materia de vivienda, en concreto, la prevista en la Ley de las Cortes Valencianas 2/2017, de 3 de febrero, por la función social de la vivienda de la Comunidad Valenciana (art. 6.1) y en la Ley del Parlamento Vasco 3/2015, de 18 de junio, de vivienda (art. 6.1).</w:t>
      </w:r>
    </w:p>
    <w:p w:rsidR="005728DD" w:rsidRDefault="005728DD" w:rsidP="005728DD">
      <w:pPr>
        <w:pStyle w:val="TextoNormal"/>
      </w:pPr>
    </w:p>
    <w:p w:rsidR="005728DD" w:rsidRDefault="005728DD" w:rsidP="005728DD">
      <w:pPr>
        <w:pStyle w:val="TextoNormal"/>
      </w:pPr>
      <w:r>
        <w:t xml:space="preserve">Según constante doctrina constitucional, la legislación procesal es una “competencia general” del Estado [SSTC 80/2018, de 5 de julio, FJ 5 a); 13/2019, de 31 de enero, FJ 2 b), y 65/2020, de 18 de junio, FJ 16 B)] que responde a la necesidad de salvaguardar la uniformidad de los instrumentos jurisdiccionales [SSTC 71/1982, de 30 de noviembre, FJ 20; </w:t>
      </w:r>
      <w:r>
        <w:lastRenderedPageBreak/>
        <w:t>83/1986, de 26 de junio, FJ 2, y 173/1998, de 23 de julio, FJ 16 c)]; y una competencia autonómica “de orden limitado” circunscrita a “las necesarias especialidades que en este orden se deriven de las particularidades del derecho sustantivo de las comunidades autónomas” [STC 80/2018, FJ 5 a)]. De lo anterior se colige que la regla del art. 149.1.6 CE ha de prevalecer sobre las reglas competenciales sectoriales, en particular, la del art. 149.1.23 CE sobre medio ambiente. Lo contrario supondría vaciar de contenido la competencia sobre “legislación procesal”, como observa la fiscal general del Estado.</w:t>
      </w:r>
    </w:p>
    <w:p w:rsidR="005728DD" w:rsidRDefault="005728DD" w:rsidP="005728DD">
      <w:pPr>
        <w:pStyle w:val="TextoNormal"/>
      </w:pPr>
    </w:p>
    <w:p w:rsidR="005728DD" w:rsidRDefault="005728DD" w:rsidP="005728DD">
      <w:pPr>
        <w:pStyle w:val="TextoNormal"/>
      </w:pPr>
      <w:r>
        <w:t>En suma, la acción que regula el último inciso del art. 3.4 de la Ley general de protección del medio ambiente del País Vasco tiene su encaje preferente en “legislación procesal” y no en el art. 149.1.23 CE, por lo que su constitucionalidad habrá de examinarse a la luz del canon previsto en el art. 149.1.6 CE.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Incompatibilidad de la norma cuestionada con el art. 149.1.6 CE: estimación</w:t>
      </w:r>
      <w:r>
        <w:t>.</w:t>
      </w:r>
    </w:p>
    <w:p w:rsidR="005728DD" w:rsidRDefault="005728DD" w:rsidP="005728DD">
      <w:pPr>
        <w:pStyle w:val="TextoNormal"/>
      </w:pPr>
    </w:p>
    <w:p w:rsidR="005728DD" w:rsidRDefault="005728DD" w:rsidP="005728DD">
      <w:pPr>
        <w:pStyle w:val="TextoNormal"/>
      </w:pPr>
      <w:r>
        <w:t>A) Una vez situada la duda competencial en el marco del art. 149.1.6 CE, debemos tener en cuenta que el mismo no establece una reserva absoluta en favor del Estado de la legislación procesal, sino que, como hemos recordado en el fundamento jurídico anterior, admite “las necesarias especialidades que en este orden se deriven de las particularidades del derecho sustantivo de las comunidades autónomas”.</w:t>
      </w:r>
    </w:p>
    <w:p w:rsidR="005728DD" w:rsidRDefault="005728DD" w:rsidP="005728DD">
      <w:pPr>
        <w:pStyle w:val="TextoNormal"/>
      </w:pPr>
    </w:p>
    <w:p w:rsidR="005728DD" w:rsidRDefault="005728DD" w:rsidP="005728DD">
      <w:pPr>
        <w:pStyle w:val="TextoNormal"/>
      </w:pPr>
      <w:r>
        <w:t>a) En las SSTC 47/2004, de 25 de marzo, y 80/2018, de 5 de julio, entre otras, este tribunal ha tenido la ocasión de pronunciarse con detenimiento sobre el alcance de la competencia autonómica en el ámbito procesal y la metodología que debe seguirse para enjuiciar si se ha respetado en un caso concreto.</w:t>
      </w:r>
    </w:p>
    <w:p w:rsidR="005728DD" w:rsidRDefault="005728DD" w:rsidP="005728DD">
      <w:pPr>
        <w:pStyle w:val="TextoNormal"/>
      </w:pPr>
    </w:p>
    <w:p w:rsidR="005728DD" w:rsidRDefault="005728DD" w:rsidP="005728DD">
      <w:pPr>
        <w:pStyle w:val="TextoNormal"/>
      </w:pPr>
      <w:r>
        <w:t>Por un lado, el tribunal ha afirmado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estas” [SSTC 47/2004, FJ 4, y 80/2018, FJ 5 a)].</w:t>
      </w:r>
    </w:p>
    <w:p w:rsidR="005728DD" w:rsidRDefault="005728DD" w:rsidP="005728DD">
      <w:pPr>
        <w:pStyle w:val="TextoNormal"/>
      </w:pPr>
    </w:p>
    <w:p w:rsidR="005728DD" w:rsidRDefault="005728DD" w:rsidP="005728DD">
      <w:pPr>
        <w:pStyle w:val="TextoNormal"/>
      </w:pPr>
      <w:r>
        <w:t xml:space="preserve">Por tanto, de acuerdo con nuestra consolidada doctrina, no basta con que la norma procesal autonómica represente una innovación o una mejora de la legislación procesal para una comunidad autónoma si no viene justificada por una especialidad del derecho sustantivo autonómico [en este sentido SSTC 123/1988, de 23 de junio, FJ 2; 243/2004, de 16 de diciembre, FJ 6; 135/2006, de 27 de abril, FJ 2 e); 31/2010, de 28 de enero, FJ 27, y 21/2012, de 16 de febrero, FFJJ 7 y 9]. Le corresponde al legislador autonómico o, en su defecto, a </w:t>
      </w:r>
      <w:r>
        <w:lastRenderedPageBreak/>
        <w:t>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y 21/2012, de 16 de febrero, FJ 7). Teniendo presente que la necesidad a que se refiere la cláusula competencial del art. 149.1.6 CE “no puede ser entendida como absoluta, pues tal intelección del precepto constitucional dejaría vacía de contenido y aplicación la habilitación competencial que éste reconoce en favor de las comunidades autónomas” [SSTC 47/2004, FJ 5, y 80/2018, FJ 5 a)].</w:t>
      </w:r>
    </w:p>
    <w:p w:rsidR="005728DD" w:rsidRDefault="005728DD" w:rsidP="005728DD">
      <w:pPr>
        <w:pStyle w:val="TextoNormal"/>
      </w:pPr>
    </w:p>
    <w:p w:rsidR="005728DD" w:rsidRDefault="005728DD" w:rsidP="005728DD">
      <w:pPr>
        <w:pStyle w:val="TextoNormal"/>
      </w:pPr>
      <w:r>
        <w:t>Por otra parte, desde el punto de vista metodológico, las citadas SSTC 47/2004, FJ 5, y 80/2018, FJ 5, entre otras, han señalado que deben completarse tres operaciones para aplicar la salvedad competencial contenida en el art. 149.1.6 CE y dilucidar si una norma procesal autonómica constituye o no una “necesaria especialidad” procesal, que encuentra legitimidad constitucional en el citado precepto: (i) primero, ha de determinarse cuál es el derecho sustantivo autonómico que presenta particularidades; (ii) segundo, hay que señalar respecto de qué legislación procesal estatal y, por tanto, general o común, se predican las eventuales especialidades de orden procesal incorporadas por el legislador autonómico; y (iii) finalmente, ha de indagarse si entre las peculiaridades del ordenamiento sustantivo autonómico y las singularidades procesales en la norma impugnada existe una conexión directa tal que justifique estas últimas.</w:t>
      </w:r>
    </w:p>
    <w:p w:rsidR="005728DD" w:rsidRDefault="005728DD" w:rsidP="005728DD">
      <w:pPr>
        <w:pStyle w:val="TextoNormal"/>
      </w:pPr>
    </w:p>
    <w:p w:rsidR="005728DD" w:rsidRDefault="005728DD" w:rsidP="005728DD">
      <w:pPr>
        <w:pStyle w:val="TextoNormal"/>
      </w:pPr>
      <w:r>
        <w:t>b) Aplicando dicha doctrina al supuesto enjuiciado en el presente proceso constitucional, observamos lo siguiente: (i) en primer lugar, el derecho sustantivo autonómico viene conformado en el presente caso por las normas en materia medioambiental recogidas en la propia Ley general de protección del medio ambiente del País Vasco; (ii) el precepto autonómico no introduce propiamente una especialidad, sino que modifica, ampliándola, una categoría jurídica relevante en el ámbito procesal y, por tanto, regulada por el derecho procesal general, como es el ejercicio de la acción pública o acción popular; y (iii) por último, esa ampliación no se conecta de forma directa con una peculiaridad del derecho sustantivo de la comunidad autónoma. Ni el Parlamento ni el Gobierno Vasco han ofrecido justificación alguna de la eventual necesidad de una especialidad procesal, en conexión con el derecho sustantivo autonómico. Esa necesidad tampoco se deduce de la propia Ley 3/1998, cuyo preámbulo se limita a anunciar que se reconoce “el derecho a la acción pública para exigir su cumplimiento”.</w:t>
      </w:r>
    </w:p>
    <w:p w:rsidR="005728DD" w:rsidRDefault="005728DD" w:rsidP="005728DD">
      <w:pPr>
        <w:pStyle w:val="TextoNormal"/>
      </w:pPr>
    </w:p>
    <w:p w:rsidR="005728DD" w:rsidRDefault="005728DD" w:rsidP="005728DD">
      <w:pPr>
        <w:pStyle w:val="TextoNormal"/>
      </w:pPr>
      <w:r>
        <w:t>Por consiguiente, al igual que razonamos en las citadas SSTC 80/2018 y 97/2018 respecto de la acción pública judicial regulada en distintas leyes autonómicas sobre vivienda, la previsión del art. 3.4, último inciso, de la Ley ambiental vasca no puede considerarse una “especialidad procesal” autonómica en el sentido del art. 149.1.6 CE.</w:t>
      </w:r>
    </w:p>
    <w:p w:rsidR="005728DD" w:rsidRDefault="005728DD" w:rsidP="005728DD">
      <w:pPr>
        <w:pStyle w:val="TextoNormal"/>
      </w:pPr>
    </w:p>
    <w:p w:rsidR="005728DD" w:rsidRDefault="005728DD" w:rsidP="005728DD">
      <w:pPr>
        <w:pStyle w:val="TextoNormal"/>
      </w:pPr>
      <w:r>
        <w:t>B) El representante del Parlamento Vasco aduce, en defensa de la norma impugnada, que diversas leyes autonómicas de carácter medioambiental han reconocido también una acción pública en vía judicial, sin que hasta el momento hayan sido controvertidas en sede constitucional.</w:t>
      </w:r>
    </w:p>
    <w:p w:rsidR="005728DD" w:rsidRDefault="005728DD" w:rsidP="005728DD">
      <w:pPr>
        <w:pStyle w:val="TextoNormal"/>
      </w:pPr>
    </w:p>
    <w:p w:rsidR="005728DD" w:rsidRDefault="005728DD" w:rsidP="005728DD">
      <w:pPr>
        <w:pStyle w:val="TextoNormal"/>
      </w:pPr>
      <w:r>
        <w:t xml:space="preserve">Al respecto, debemos recordar que cualquier consideración sobre la falta de impugnación de disposiciones o actuaciones previas de contenido idéntico o similar al del objeto del proceso resulta completamente irrelevante en el ejercicio de nuestra jurisdicción. Desde la STC </w:t>
      </w:r>
      <w:r>
        <w:lastRenderedPageBreak/>
        <w:t>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 62 o en el art. 33 LOTC” [en el mismo sentido, SSTC 111/2014, de 26 de junio, FJ 4; 36/2017, de 1 de marzo, FJ 4; 154/2017, de 21 de diciembre, FJ 2; 17/2018, de 22 de febrero, FJ 2 c), y 65/2020, de 18 de junio, FJ 2 B)].</w:t>
      </w:r>
    </w:p>
    <w:p w:rsidR="005728DD" w:rsidRDefault="005728DD" w:rsidP="005728DD">
      <w:pPr>
        <w:pStyle w:val="TextoNormal"/>
      </w:pPr>
    </w:p>
    <w:p w:rsidR="005728DD" w:rsidRDefault="005728DD" w:rsidP="005728DD">
      <w:pPr>
        <w:pStyle w:val="TextoNormal"/>
      </w:pPr>
      <w:r>
        <w:t xml:space="preserve">Tampoco puede acogerse la tesis del Gobierno Vasco que pretende establecer una diferencia, a efectos competenciales, entre la legitimación </w:t>
      </w:r>
      <w:r w:rsidRPr="005728DD">
        <w:rPr>
          <w:i/>
        </w:rPr>
        <w:t>ad procesum</w:t>
      </w:r>
      <w:r>
        <w:t xml:space="preserve"> y </w:t>
      </w:r>
      <w:r w:rsidRPr="005728DD">
        <w:rPr>
          <w:i/>
        </w:rPr>
        <w:t>ad causam</w:t>
      </w:r>
      <w:r>
        <w:t xml:space="preserve">. La doctrina constitucional, sintetizada anteriormente, ha incardinado las reglas sobre legitimación, no solo </w:t>
      </w:r>
      <w:r w:rsidRPr="005728DD">
        <w:rPr>
          <w:i/>
        </w:rPr>
        <w:t>ad procesum</w:t>
      </w:r>
      <w:r>
        <w:t xml:space="preserve">, sino también </w:t>
      </w:r>
      <w:r w:rsidRPr="005728DD">
        <w:rPr>
          <w:i/>
        </w:rPr>
        <w:t>ad causam</w:t>
      </w:r>
      <w:r>
        <w:t>, en el ámbito del art. 149.1.6 CE, con preferencia sobre los títulos competenciales sectoriales. Por tanto, la distinción indicada carece de trascendencia para nuestro enjuiciamiento.</w:t>
      </w:r>
    </w:p>
    <w:p w:rsidR="005728DD" w:rsidRDefault="005728DD" w:rsidP="005728DD">
      <w:pPr>
        <w:pStyle w:val="TextoNormal"/>
      </w:pPr>
    </w:p>
    <w:p w:rsidR="005728DD" w:rsidRDefault="005728DD" w:rsidP="005728DD">
      <w:pPr>
        <w:pStyle w:val="TextoNormal"/>
      </w:pPr>
      <w:r>
        <w:t>Asimismo, las representaciones tanto del Gobierno como del Parlamento Vasco sostienen que la acción pública judicial prevista en el art. 3.4, último inciso, de la Ley general de protección del medio ambiente del País Vasco se justifica en la necesidad de asumir los compromisos europeos e internacionales sobre justicia medioambiental, citando, en particular, el Convenio sobre acceso a la información, participación del público en la toma de decisiones y acceso a la justicia en materia de medio ambiente firmado el 25 de junio de 1998 en Aarhus (Dinamarca) en el marco de la Comisión Económica de las Naciones Unidas para Europa (Convenio de Aarhus).</w:t>
      </w:r>
    </w:p>
    <w:p w:rsidR="005728DD" w:rsidRDefault="005728DD" w:rsidP="005728DD">
      <w:pPr>
        <w:pStyle w:val="TextoNormal"/>
      </w:pPr>
    </w:p>
    <w:p w:rsidR="005728DD" w:rsidRDefault="005728DD" w:rsidP="005728DD">
      <w:pPr>
        <w:pStyle w:val="TextoNormal"/>
      </w:pPr>
      <w:r>
        <w:t>Dicho Convenio fue ratificado por España el 15 de diciembre de 2004 (“Boletín Oficial del Estado” de 16 de febrero de 2005) y por la Unión Europea el 17 de febrero de 2005 (Decisión 2005/370/CE del Consejo, “Diario Oficial de la Unión Europea” de 17 de mayo de 2005). Además, mediante las Directivas 2003/4/CE, de 28 de enero, y 2003/35/CE, de 26 de mayo, se introdujeron diversas disposiciones para incorporar las obligaciones derivadas del mismo.</w:t>
      </w:r>
    </w:p>
    <w:p w:rsidR="005728DD" w:rsidRDefault="005728DD" w:rsidP="005728DD">
      <w:pPr>
        <w:pStyle w:val="TextoNormal"/>
      </w:pPr>
    </w:p>
    <w:p w:rsidR="005728DD" w:rsidRDefault="005728DD" w:rsidP="005728DD">
      <w:pPr>
        <w:pStyle w:val="TextoNormal"/>
      </w:pPr>
      <w:r>
        <w:t>Por su parte, la Ley 27/2006, de 18 de julio, por la que se regula el derecho a la información, participación y acceso a la justicia en materia de medio ambiente, manifiesta en su preámbulo que su objeto es “definir un marco jurídico que a la vez responda a los compromisos asumidos con la ratificación del Convenio (Aarhus) y lleve a cabo la transposición de dichas Directivas [2003/4/CE y 2003/35/CE], al ordenamiento interno”.</w:t>
      </w:r>
    </w:p>
    <w:p w:rsidR="005728DD" w:rsidRDefault="005728DD" w:rsidP="005728DD">
      <w:pPr>
        <w:pStyle w:val="TextoNormal"/>
      </w:pPr>
    </w:p>
    <w:p w:rsidR="005728DD" w:rsidRDefault="005728DD" w:rsidP="005728DD">
      <w:pPr>
        <w:pStyle w:val="TextoNormal"/>
      </w:pPr>
      <w:r>
        <w:t>En concreto, las instituciones autonómicas comparecidas en este proceso invocan como fundamento de la norma cuestionada el art. 9.3 del Convenio de Aarhus, conforme al cual “cada parte velará por que los miembros del público que reúnan los eventuales criterios previstos por su derecho interno puedan entablar procedimientos administrativos o judiciales para impugnar las acciones u omisiones de particulares o de autoridades públicas que vulneren las disposiciones del derecho medioambiental nacional”.</w:t>
      </w:r>
    </w:p>
    <w:p w:rsidR="005728DD" w:rsidRDefault="005728DD" w:rsidP="005728DD">
      <w:pPr>
        <w:pStyle w:val="TextoNormal"/>
      </w:pPr>
    </w:p>
    <w:p w:rsidR="005728DD" w:rsidRDefault="005728DD" w:rsidP="005728DD">
      <w:pPr>
        <w:pStyle w:val="TextoNormal"/>
      </w:pPr>
      <w:r>
        <w:lastRenderedPageBreak/>
        <w:t>En respuesta a lo anterior, debemos tener presente la doctrina de este tribunal según la cual: (i) los tratados internacionales y el Derecho de la Unión Europea “no constituyen canon para el enjuiciamiento de la adecuación a la Constitución de normas dotadas de rango legal” (entre otras, SSTC 49/1988, de 22 de marzo, FJ 14; 28/1991, de 14 de febrero, FJ 5; 254/1993, de 20 de julio, FJ 5; 12/2008, de 29 de enero, FJ 2, y 140/2018, de 20 de diciembre, FJ 6); y (ii) la ejecución de los compromisos internacionales asumidos por España y, en particular, los derivados del Derecho de la Unión Europea, debe hacerse con arreglo a las normas que establecen el orden de distribución de competencias entre el Estado y las comunidades autónomas (entre otras muchas, SSTC 80/1993, de 8 de marzo, FJ 3; 148/1998, de 2 de julio, FJ 4; 22/2012, de 16 de febrero, FJ 5, y 54/2018, de 24 de mayo, FJ 6).</w:t>
      </w:r>
    </w:p>
    <w:p w:rsidR="005728DD" w:rsidRDefault="005728DD" w:rsidP="005728DD">
      <w:pPr>
        <w:pStyle w:val="TextoNormal"/>
      </w:pPr>
    </w:p>
    <w:p w:rsidR="005728DD" w:rsidRDefault="005728DD" w:rsidP="005728DD">
      <w:pPr>
        <w:pStyle w:val="TextoNormal"/>
      </w:pPr>
      <w:r>
        <w:t>Por consiguiente, no cabe esgrimir el Convenio de Aarhus ni el Derecho de la Unión para aprobar una norma de naturaleza procesal en contravención del orden constitucional de distribución de competencias. La incorporación al derecho interno de las reglas internacionales y comunitarias sobre acceso a la justicia en materia medioambiental debe tener lugar con respeto a dicha distribución, sin invadir el ámbito competencial ajeno [por todas, SSTC 15/2018, de 22 de febrero, FJ 2, y 87/2019, de 20 de junio, FJ 6 b)].</w:t>
      </w:r>
    </w:p>
    <w:p w:rsidR="005728DD" w:rsidRDefault="005728DD" w:rsidP="005728DD">
      <w:pPr>
        <w:pStyle w:val="TextoNormal"/>
      </w:pPr>
    </w:p>
    <w:p w:rsidR="005728DD" w:rsidRDefault="005728DD" w:rsidP="005728DD">
      <w:pPr>
        <w:pStyle w:val="TextoNormal"/>
      </w:pPr>
      <w:r>
        <w:t>C) En suma, solo el Estado, en ejercicio de la competencia que le atribuye el art. 149.1.6 CE, puede determinar los supuestos de legitimación para accionar en vía judicial, ya sea por el título general del “derecho o interés legítimo”, ya sea por los títulos especiales, entre los que se encuentra la acción popular, respecto de la cual ya advertimos que “la Ley 29/1998 [art. 19 h)] ha optado por excluir la acción popular jurisdiccional, salvo que una ley estatal la haya previsto específicamente” (STC 97/2018, de 19 de septiembre, FJ 6).</w:t>
      </w:r>
    </w:p>
    <w:p w:rsidR="005728DD" w:rsidRDefault="005728DD" w:rsidP="005728DD">
      <w:pPr>
        <w:pStyle w:val="TextoNormal"/>
      </w:pPr>
    </w:p>
    <w:p w:rsidR="005728DD" w:rsidRDefault="005728DD" w:rsidP="005728DD">
      <w:pPr>
        <w:pStyle w:val="TextoNormal"/>
      </w:pPr>
      <w:r>
        <w:t>Mediante los arts. 22 y 23 de la Ley 27/2006, antes citada, el Estado ha aprobado unas normas específicas para la defensa del medio ambiente en vía judicial. En concreto, el art. 22 prevé que “[l]os actos y, en su caso, las omisiones imputables a las autoridades públicas que vulneren las normas relacionadas con el medio ambiente” (según la definición que contiene el art. 18.1) podrán ser recurridas por las personas jurídicas sin ánimo de lucro que reúnan los requisitos establecidos en el art. 23 que son los siguientes: (i) que tengan entre los fines acreditados en sus estatutos la protección del medio ambiente en general o la de alguno de sus elementos en particular; (ii) que se hubieran constituido legalmente al menos dos años antes del ejercicio de la acción y vengan ejerciendo de modo activo las actividades necesarias para alcanzar los fines previstos en sus estatutos; y (iii) que, según sus estatutos, desarrollen su actividad en un ámbito territorial que resulte afectado por la actuación u omisión administrativa.</w:t>
      </w:r>
    </w:p>
    <w:p w:rsidR="005728DD" w:rsidRDefault="005728DD" w:rsidP="005728DD">
      <w:pPr>
        <w:pStyle w:val="TextoNormal"/>
      </w:pPr>
    </w:p>
    <w:p w:rsidR="005728DD" w:rsidRDefault="005728DD" w:rsidP="005728DD">
      <w:pPr>
        <w:pStyle w:val="TextoNormal"/>
      </w:pPr>
      <w:r>
        <w:t>Pero la extralimitación competencial apreciada es de origen y no deriva de que el Estado haya aprobado reglas específicas de legitimación procesal en materia medioambiental ni de la mayor o menor coincidencia de la norma autonómica con tales reglas, ya que, como hemos recordado recientemente, “un precepto autonómico será inconstitucional por invasión competencial siempre que regule cuestiones que le están vedadas, con independencia de la compatibilidad o incompatibilidad entre la regulación autonómica controvertida y la dictada por el Estado” [STC 65/2020, FJ 8 D) a)].</w:t>
      </w:r>
    </w:p>
    <w:p w:rsidR="005728DD" w:rsidRDefault="005728DD" w:rsidP="005728DD">
      <w:pPr>
        <w:pStyle w:val="TextoNormal"/>
      </w:pPr>
    </w:p>
    <w:p w:rsidR="005728DD" w:rsidRDefault="005728DD" w:rsidP="005728DD">
      <w:pPr>
        <w:pStyle w:val="TextoNormal"/>
      </w:pPr>
      <w:r>
        <w:lastRenderedPageBreak/>
        <w:t>Por todo lo expuesto, procede declarar la inconstitucionalidad y nulidad del inciso “como jurisdiccional” del art. 3.4 de la Ley general de protección del medio ambiente del País Vasco, por invadir el ámbito competencial reservado al Estado en el art. 149.1.6 CE.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la presente cuestión de inconstitucionalidad núm. 1772-2020 y declarar que el inciso “como jurisdiccional” del art. 3.4 de la Ley del Parlamento Vasco 3/1998, de 27 de febrero, general de protección del medio ambiente del País Vasco, es inconstitucional y nulo.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veintiocho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9" w:name="SENTENCIA_2021_16"/>
      <w:r>
        <w:lastRenderedPageBreak/>
        <w:t>SENTENCIA 16/2021, de 28 de enero de 2021</w:t>
      </w:r>
    </w:p>
    <w:bookmarkEnd w:id="19"/>
    <w:p w:rsidR="005728DD" w:rsidRDefault="005728DD" w:rsidP="005728DD">
      <w:pPr>
        <w:pStyle w:val="TtuloResolucin"/>
      </w:pPr>
      <w:r>
        <w:t>Pleno</w:t>
      </w:r>
    </w:p>
    <w:p w:rsidR="005728DD" w:rsidRDefault="005728DD" w:rsidP="005728DD">
      <w:pPr>
        <w:pStyle w:val="TtuloBOE"/>
      </w:pPr>
      <w:r>
        <w:t>(BOE núm. 46, de 23 de febrero de 2021)</w:t>
      </w:r>
    </w:p>
    <w:p w:rsidR="005728DD" w:rsidRDefault="005728DD" w:rsidP="005728DD">
      <w:pPr>
        <w:pStyle w:val="TextoNormalCentrado"/>
      </w:pPr>
      <w:r>
        <w:t>ECLI:ES:TC:2021:16</w:t>
      </w:r>
    </w:p>
    <w:p w:rsidR="005728DD" w:rsidRDefault="005728DD" w:rsidP="005728DD">
      <w:pPr>
        <w:pStyle w:val="TextoNormalCentrado"/>
      </w:pPr>
    </w:p>
    <w:p w:rsidR="005728DD" w:rsidRDefault="005728DD" w:rsidP="005728DD">
      <w:pPr>
        <w:pStyle w:val="SntesisDescriptiva"/>
      </w:pPr>
      <w:r>
        <w:t>Recurso de inconstitucionalidad 2577-2020. Interpuesto por más de cincuenta diputados del Grupo Parlamentario Popular del Congreso respecto de los Decretos-leyes del Gobierno de la Generalitat de Cataluña 17/2019, de 23 de diciembre, de medidas urgentes para mejorar el acceso a la vivienda, y 1/2020, de 21 de enero, por el que se modifica el anterior, y el acuerdo del Parlamento Cataluña de convalidación del Decreto-ley 1/2020.</w:t>
      </w:r>
    </w:p>
    <w:p w:rsidR="005728DD" w:rsidRDefault="005728DD" w:rsidP="005728DD">
      <w:pPr>
        <w:pStyle w:val="SntesisDescriptiva"/>
      </w:pPr>
    </w:p>
    <w:p w:rsidR="005728DD" w:rsidRDefault="005728DD" w:rsidP="005728DD">
      <w:pPr>
        <w:pStyle w:val="SntesisAnaltica"/>
      </w:pPr>
      <w:r>
        <w:t>Límites de los decretos-leyes: nulidad parcial de los preceptos que tipifican como supuesto de incumplimiento de la función social de la propiedad de la vivienda su desocupación permanente y establecen medidas coactivas para su cumplimiento (STC 93/2015).</w:t>
      </w:r>
    </w:p>
    <w:p w:rsidR="005728DD" w:rsidRDefault="005728DD" w:rsidP="005728DD">
      <w:pPr>
        <w:pStyle w:val="SntesisAnaltica"/>
      </w:pPr>
    </w:p>
    <w:p w:rsidR="005728DD" w:rsidRDefault="005728DD" w:rsidP="005728DD">
      <w:pPr>
        <w:pStyle w:val="Extracto"/>
      </w:pPr>
      <w:r>
        <w:t>1.</w:t>
      </w:r>
      <w:r>
        <w:tab/>
        <w:t xml:space="preserve">Puede cuestionarse ante este tribunal la veracidad de los datos o afirmaciones efectuadas por el Gobierno para justificar la existencia de una situación de extraordinaria y urgente necesidad, pero no solicitar una valoración de la importancia de esa situación y de la decisión misma de actuar con urgencia mediante decreto-ley, pues ello representa una valoración esencialmente política de ordenación de prioridades de actuación. El control de este tribunal no es político, confiado este a la cámara representativa que controla al Gobierno, sino esencialmente jurídico </w:t>
      </w:r>
      <w:r w:rsidRPr="005728DD">
        <w:rPr>
          <w:i/>
        </w:rPr>
        <w:t>ex</w:t>
      </w:r>
      <w:r>
        <w:t xml:space="preserve"> art. 27.1 LOTC (STC 14/2020) [FJ 4].</w:t>
      </w:r>
    </w:p>
    <w:p w:rsidR="005728DD" w:rsidRDefault="005728DD" w:rsidP="005728DD">
      <w:pPr>
        <w:pStyle w:val="Extracto"/>
      </w:pPr>
    </w:p>
    <w:p w:rsidR="005728DD" w:rsidRDefault="005728DD" w:rsidP="005728DD">
      <w:pPr>
        <w:pStyle w:val="Extracto"/>
      </w:pPr>
      <w:r>
        <w:t>2.</w:t>
      </w:r>
      <w:r>
        <w:tab/>
        <w:t>No debe confundirse la eficacia inmediata de la norma provisional con la ejecución instantánea de la misma: solo aquella es un requisito ínsito en la definición constitucional del decreto-ley establecida en el art. 86.1 CE; en tanto que la celeridad de la completa ejecución estará en función de la naturaleza y complejidad de las propias medidas adoptadas en cada decreto-ley para hacer frente a la situación de urgencia (STC 237/2012) [FJ 4].</w:t>
      </w:r>
    </w:p>
    <w:p w:rsidR="005728DD" w:rsidRDefault="005728DD" w:rsidP="005728DD">
      <w:pPr>
        <w:pStyle w:val="Extracto"/>
      </w:pPr>
    </w:p>
    <w:p w:rsidR="005728DD" w:rsidRDefault="005728DD" w:rsidP="005728DD">
      <w:pPr>
        <w:pStyle w:val="Extracto"/>
      </w:pPr>
      <w:r>
        <w:t>3.</w:t>
      </w:r>
      <w:r>
        <w:tab/>
        <w:t>Doctrina sobre el presupuesto habilitante de conexión de sentido de las medidas aprobadas con la situación de necesidad extraordinaria y urgente descrita, que habilita al Gobierno autonómico a aprobar decretos-leyes [FJ 4].</w:t>
      </w:r>
    </w:p>
    <w:p w:rsidR="005728DD" w:rsidRDefault="005728DD" w:rsidP="005728DD">
      <w:pPr>
        <w:pStyle w:val="Extracto"/>
      </w:pPr>
    </w:p>
    <w:p w:rsidR="005728DD" w:rsidRDefault="005728DD" w:rsidP="005728DD">
      <w:pPr>
        <w:pStyle w:val="Extracto"/>
      </w:pPr>
      <w:r>
        <w:t>4.</w:t>
      </w:r>
      <w:r>
        <w:tab/>
        <w:t>El examen de si ha existido ‘afectación’ por el decreto-ley de un derecho o libertad regulado en el título I de la Constitución exigirá tener en cuenta la configuración constitucional del derecho o deber afectado en cada caso y la naturaleza y alcance de la concreta regulación de que se trate (SSTC 60/1986, 182/1997, 137/2003, 108/2004, y 329/2005) [FJ 5].</w:t>
      </w:r>
    </w:p>
    <w:p w:rsidR="005728DD" w:rsidRDefault="005728DD" w:rsidP="005728DD">
      <w:pPr>
        <w:pStyle w:val="Extracto"/>
      </w:pPr>
    </w:p>
    <w:p w:rsidR="005728DD" w:rsidRDefault="005728DD" w:rsidP="005728DD">
      <w:pPr>
        <w:pStyle w:val="Extracto"/>
      </w:pPr>
      <w:r>
        <w:t>5.</w:t>
      </w:r>
      <w:r>
        <w:tab/>
        <w:t>Respecto a la admisibilidad del recurso de inconstitucionalidad, los decretos-leyes autonómicos no están previstos en la Constitución pero, en la medida en que el art. 153 a) CE alude al control por el Tribunal Constitucional de las “disposiciones normativas con fuerza de ley” de las comunidades autónomas, se admiten categorías normativas distintas de la ley formal pero con la misma fuerza, y por tanto la posibilidad de que los estatutos de autonomía atribuyesen a los gobiernos autonó</w:t>
      </w:r>
      <w:r>
        <w:lastRenderedPageBreak/>
        <w:t>micos la potestad de dictar decretos-leyes, siempre que los límites formales y materiales a los que estos se encuentren sometidos sean, como mínimo, los mismos que la Constitución impone al decreto-ley estatal (STC 93/2015) [FJ 5].</w:t>
      </w:r>
    </w:p>
    <w:p w:rsidR="005728DD" w:rsidRDefault="005728DD" w:rsidP="005728DD">
      <w:pPr>
        <w:pStyle w:val="Extracto"/>
      </w:pPr>
    </w:p>
    <w:p w:rsidR="005728DD" w:rsidRDefault="005728DD" w:rsidP="005728DD">
      <w:pPr>
        <w:pStyle w:val="Extracto"/>
      </w:pPr>
      <w:r>
        <w:t>6.</w:t>
      </w:r>
      <w:r>
        <w:tab/>
        <w:t>Precisar el haz de facultades que integra el derecho de propiedad privada y, al mismo tiempo, definir la función social del mismo son los dos elementos básicos que conforman el derecho de propiedad (STC 93/2015) [FJ 5].</w:t>
      </w:r>
    </w:p>
    <w:p w:rsidR="005728DD" w:rsidRDefault="005728DD" w:rsidP="005728DD">
      <w:pPr>
        <w:pStyle w:val="Extracto"/>
      </w:pPr>
    </w:p>
    <w:p w:rsidR="005728DD" w:rsidRDefault="005728DD" w:rsidP="005728DD">
      <w:pPr>
        <w:pStyle w:val="Extracto"/>
      </w:pPr>
      <w:r>
        <w:t>7.</w:t>
      </w:r>
      <w:r>
        <w:tab/>
        <w:t>El cumplimiento efectivo del uso habitacional de la vivienda no es un deber del propietario sino un objetivo que persigue el poder público mediante su política de vivienda (STC 93/2015) [FJ 5].</w:t>
      </w:r>
    </w:p>
    <w:p w:rsidR="005728DD" w:rsidRDefault="005728DD" w:rsidP="005728DD">
      <w:pPr>
        <w:pStyle w:val="Extracto"/>
      </w:pPr>
    </w:p>
    <w:p w:rsidR="005728DD" w:rsidRDefault="005728DD" w:rsidP="005728DD">
      <w:pPr>
        <w:pStyle w:val="Extracto"/>
      </w:pPr>
      <w:r>
        <w:t>8.</w:t>
      </w:r>
      <w:r>
        <w:tab/>
        <w:t>Nuestra doctrina permite delimitar un concreto sistema urbanístico o una determinada política de vivienda, disciplinar un sector material en el que el derecho constitucional de propiedad pueda incidir, o ceñirse a precisar los usos posibles de las edificaciones según el lugar en que se ubiquen dentro de la ciudad o a disciplinar el sector de la vivienda (STC 93/2015) [FJ 5].</w:t>
      </w:r>
    </w:p>
    <w:p w:rsidR="005728DD" w:rsidRDefault="005728DD" w:rsidP="005728DD">
      <w:pPr>
        <w:pStyle w:val="Extracto"/>
      </w:pPr>
    </w:p>
    <w:p w:rsidR="005728DD" w:rsidRDefault="005728DD" w:rsidP="005728DD">
      <w:pPr>
        <w:pStyle w:val="Extracto"/>
      </w:pPr>
      <w:r>
        <w:t>9.</w:t>
      </w:r>
      <w:r>
        <w:tab/>
        <w:t>Forma parte del contenido esencial del derecho de propiedad de la vivienda el deber del propietario de destinar de forma efectiva el bien al uso habitacional (STC 93/2015) [FJ 5].</w:t>
      </w:r>
    </w:p>
    <w:p w:rsidR="005728DD" w:rsidRDefault="005728DD" w:rsidP="005728DD">
      <w:pPr>
        <w:pStyle w:val="Extracto"/>
      </w:pPr>
    </w:p>
    <w:p w:rsidR="005728DD" w:rsidRDefault="005728DD" w:rsidP="005728DD">
      <w:pPr>
        <w:pStyle w:val="Extracto"/>
      </w:pPr>
      <w:r>
        <w:t>10.</w:t>
      </w:r>
      <w:r>
        <w:tab/>
        <w:t>Doctrina derecho propiedad privada y función social de la propiedad y  sistema urbanístico y política de vivienda (STC 93/2015) [FJ 5].</w:t>
      </w:r>
    </w:p>
    <w:p w:rsidR="005728DD" w:rsidRDefault="005728DD" w:rsidP="005728DD">
      <w:pPr>
        <w:pStyle w:val="Extracto"/>
      </w:pPr>
    </w:p>
    <w:p w:rsidR="005728DD" w:rsidRDefault="005728DD" w:rsidP="005728DD">
      <w:pPr>
        <w:pStyle w:val="Extracto"/>
      </w:pPr>
      <w:r>
        <w:t>11.</w:t>
      </w:r>
      <w:r>
        <w:tab/>
        <w:t xml:space="preserve">La legislación civil comprende la regulación de las relaciones </w:t>
      </w:r>
      <w:r w:rsidRPr="005728DD">
        <w:rPr>
          <w:i/>
        </w:rPr>
        <w:t xml:space="preserve">inter privatos </w:t>
      </w:r>
      <w:r>
        <w:t>y la determinación del contenido de los contratos (SSTC 28/2012 y 54/2018); por el contrario, no forman parte de esta materia las regulaciones de tipo vertical que despliegan sus efectos entre la Administración y el ciudadano y que anudan a su incumplimiento consecuencias de índole estrictamente jurídico-administrativa sin afectar a la validez y eficacia de los contratos (SSTC 14/1998 y 81/2020) [FJ 7].</w:t>
      </w:r>
    </w:p>
    <w:p w:rsidR="005728DD" w:rsidRDefault="005728DD" w:rsidP="005728DD">
      <w:pPr>
        <w:pStyle w:val="Extracto"/>
      </w:pPr>
    </w:p>
    <w:p w:rsidR="005728DD" w:rsidRDefault="005728DD" w:rsidP="005728DD">
      <w:pPr>
        <w:pStyle w:val="Extracto"/>
      </w:pPr>
      <w:r>
        <w:t>12.</w:t>
      </w:r>
      <w:r>
        <w:tab/>
        <w:t>Si la regulación estatal o autonómica del índice de referencia de precios de alquiler se dirige a posibilitar la obtención de información por las administraciones públicas que les permita conocer el estado y evolución del mercado del alquiler y, a partir de esa información, diseñar políticas de vivienda, el sistema de obligaciones y sanciones que la acompaña es de naturaleza jurídico-pública; sin que incida en las relaciones entre particulares derivadas de los contratos de mandato para el arrendamiento de viviendas ajenas y de arrendamiento de vivienda, a los que principalmente se dirigen [FJ 7].</w:t>
      </w:r>
    </w:p>
    <w:p w:rsidR="005728DD" w:rsidRDefault="005728DD" w:rsidP="005728DD">
      <w:pPr>
        <w:pStyle w:val="Extracto"/>
      </w:pPr>
    </w:p>
    <w:p w:rsidR="005728DD" w:rsidRDefault="005728DD" w:rsidP="005728DD">
      <w:pPr>
        <w:pStyle w:val="Extracto"/>
      </w:pPr>
      <w:r>
        <w:t>13.</w:t>
      </w:r>
      <w:r>
        <w:tab/>
        <w:t>No puede negarse la posible influencia del índice de referencia de precios de alquiler como criterio orientador que pueda contribuir a ordenar el mercado de la vivienda, pero ello deja incólume la libertad de las partes para fijar la renta del arrendamiento en la medida en que no impide la estipulación de un precio superior o inferior al resultante del mencionado índice [FJ 7].</w:t>
      </w:r>
    </w:p>
    <w:p w:rsidR="005728DD" w:rsidRDefault="005728DD" w:rsidP="005728DD">
      <w:pPr>
        <w:pStyle w:val="Extracto"/>
      </w:pPr>
    </w:p>
    <w:p w:rsidR="005728DD" w:rsidRDefault="005728DD" w:rsidP="005728DD">
      <w:pPr>
        <w:pStyle w:val="Extracto"/>
      </w:pPr>
      <w:r>
        <w:lastRenderedPageBreak/>
        <w:t>14.</w:t>
      </w:r>
      <w:r>
        <w:tab/>
        <w:t>La eventual superación del índice de referencia de precios de alquiler tiene como único efecto la pérdida de la posibilidad de obtener ayudas públicas, lo que impide calificarse de “legislación civil” y aplicar, en consecuencia, el art. 149.1.8 CE. Son, por el contrario, normas dictadas con el declarado propósito de dotar de transparencia al mercado y buscar la moderación de los precios de alquiler y por tanto encuentran acomodo en las competencias autonómicas en materia de vivienda y consumo [FJ 7].</w:t>
      </w:r>
    </w:p>
    <w:p w:rsidR="005728DD" w:rsidRDefault="005728DD" w:rsidP="005728DD">
      <w:pPr>
        <w:pStyle w:val="Extracto"/>
      </w:pPr>
    </w:p>
    <w:p w:rsidR="005728DD" w:rsidRDefault="005728DD" w:rsidP="005728DD">
      <w:pPr>
        <w:pStyle w:val="Extracto"/>
      </w:pPr>
      <w:r>
        <w:t>15.</w:t>
      </w:r>
      <w:r>
        <w:tab/>
        <w:t>Con carácter general, se reconoce la competencia del Estado para regular el cuadro de derechos y deberes de los propietarios de suelo para “garantizar la igualdad en las condiciones de ejercicio del derecho de propiedad urbana y en el cumplimiento de los deberes inherentes a la función social” (art. 149.1.1 CE, en relación con el art. 33), siempre que esa regulación no implique prefigurar un modelo urbanístico concreto, pues ello es competencia autonómica (STC 61/1997) [FJ 8].</w:t>
      </w:r>
    </w:p>
    <w:p w:rsidR="005728DD" w:rsidRDefault="005728DD" w:rsidP="005728DD">
      <w:pPr>
        <w:pStyle w:val="Extracto"/>
      </w:pPr>
    </w:p>
    <w:p w:rsidR="005728DD" w:rsidRDefault="005728DD" w:rsidP="005728DD">
      <w:pPr>
        <w:pStyle w:val="Extracto"/>
      </w:pPr>
      <w:r>
        <w:t>16.</w:t>
      </w:r>
      <w:r>
        <w:tab/>
        <w:t>Ni de las normas dictadas por el Estado para promover la reforma interior de las ciudades frente al modelo tradicional de producción de nueva ciudad (art. 149.1.13 CE), ni del cuadro de derechos y obligaciones de los propietarios de cualquier clase de suelo, incluido el urbanizado sometido a actuaciones de “reforma o renovación de la urbanización” amparado en el art. 149.1.1 CE, se deriva el derecho de un propietario o empresario a vetar el concreto uso de vivienda protegida; sin perjuicio de la eventual indemnización que pueda proceder como consecuencia de esa imposición, si se cumplen los requisitos legalmente establecidos para ello [FJ 8].</w:t>
      </w:r>
    </w:p>
    <w:p w:rsidR="005728DD" w:rsidRDefault="005728DD" w:rsidP="005728DD">
      <w:pPr>
        <w:pStyle w:val="Extracto"/>
      </w:pPr>
    </w:p>
    <w:p w:rsidR="005728DD" w:rsidRDefault="005728DD" w:rsidP="005728DD">
      <w:pPr>
        <w:pStyle w:val="Extracto"/>
      </w:pPr>
      <w:r>
        <w:t>17.</w:t>
      </w:r>
      <w:r>
        <w:tab/>
        <w:t>En relación con la inviolabilidad del domicilio del art. 18.2 CE, las personas jurídicas gozan de una intensidad menor de protección del domicilio, por faltar una estrecha vinculación con un ámbito de intimidad en su sentido originario, referido a la vida personal y familiar, solo predicable de las personas físicas (STC 54/2015). No obstante, en función de las circunstancias, las personas jurídicas pueden ostentar el derecho a la inviolabilidad del domicilio; no así el derecho a la intimidad en los mismos términos y sin matices que a las personas naturales aunque cabe, al menos en hipótesis, reconocer la protección del derecho a la intimidad a personas jurídicas “por conexión con la intimidad” de personas físicas (ATC 208/2007) [FJ 9].</w:t>
      </w:r>
    </w:p>
    <w:p w:rsidR="005728DD" w:rsidRDefault="005728DD" w:rsidP="005728DD">
      <w:pPr>
        <w:pStyle w:val="Extracto"/>
      </w:pPr>
    </w:p>
    <w:p w:rsidR="005728DD" w:rsidRDefault="005728DD" w:rsidP="005728DD">
      <w:pPr>
        <w:pStyle w:val="Extracto"/>
      </w:pPr>
      <w:r>
        <w:t>18.</w:t>
      </w:r>
      <w:r>
        <w:tab/>
        <w:t>La modificación de una ley por otra posterior abre el plazo para que los preceptos reformados puedan ser recurridos en la redacción que les ha dado la ley modificadora;  pero la ley anterior, en la parte que permanece con la redacción inicialmente aprobada, resulta inatacable directamente por la vía del recurso de inconstitucionalidad, cuando ya han transcurrido más que sobradamente los plazos en los que el art. 33 LOTC permite su interposición (SSTC 83/2020 y 131/2020) [FJ 9].</w:t>
      </w:r>
    </w:p>
    <w:p w:rsidR="005728DD" w:rsidRDefault="005728DD" w:rsidP="005728DD">
      <w:pPr>
        <w:pStyle w:val="Extracto"/>
      </w:pPr>
    </w:p>
    <w:p w:rsidR="005728DD" w:rsidRDefault="005728DD" w:rsidP="005728DD">
      <w:pPr>
        <w:pStyle w:val="Extracto"/>
      </w:pPr>
      <w:r>
        <w:t>19.</w:t>
      </w:r>
      <w:r>
        <w:tab/>
        <w:t xml:space="preserve">La obligación de inscripción en el padrón municipal por parte de quien resida habitualmente en el municipio respectivo, supone una excepción al principio básico de la necesidad del consentimiento del ciudadano para la legalidad del tratamiento de sus datos; esta excepción se funda en lo establecido en el art. 6.2 LOPD </w:t>
      </w:r>
      <w:r>
        <w:lastRenderedPageBreak/>
        <w:t>que permite el tratamiento no consentido de los datos por parte de las administraciones públicas para el ejercicio de sus funciones propias en el ámbito de sus competencias (STC 17/2013) [FJ 9].</w:t>
      </w:r>
    </w:p>
    <w:p w:rsidR="005728DD" w:rsidRDefault="005728DD" w:rsidP="005728DD">
      <w:pPr>
        <w:pStyle w:val="Extracto"/>
      </w:pPr>
    </w:p>
    <w:p w:rsidR="005728DD" w:rsidRDefault="005728DD" w:rsidP="005728DD">
      <w:pPr>
        <w:pStyle w:val="Extracto"/>
      </w:pPr>
      <w:r>
        <w:t>20.</w:t>
      </w:r>
      <w:r>
        <w:tab/>
        <w:t>El ejercicio del derecho de sufragio y la organización de elecciones (art. 23 CE) legitiman la habilitación para establecer el censo electoral, de inscripción obligatoria conforme a la LOREG, y que se forma a partir del padrón municipal (STC 17/2013) [FJ 9].</w:t>
      </w:r>
    </w:p>
    <w:p w:rsidR="005728DD" w:rsidRDefault="005728DD" w:rsidP="005728DD">
      <w:pPr>
        <w:pStyle w:val="Extracto"/>
      </w:pPr>
    </w:p>
    <w:p w:rsidR="005728DD" w:rsidRDefault="005728DD" w:rsidP="005728DD">
      <w:pPr>
        <w:pStyle w:val="Extracto"/>
      </w:pPr>
      <w:r>
        <w:t>21.</w:t>
      </w:r>
      <w:r>
        <w:tab/>
        <w:t>Al igual que los arts. 23 o 31 CE legitiman al legislador competente para recabar datos necesarios y adecuados, la competencia en materia de vivienda atribuida por el estatuto de autonomía y el derecho de acceso a la vivienda del art. 47 CE legitiman al legislador autonómico para establecer el registro de viviendas vacías para el ejercicio de sus funciones propias en el ámbito de sus competencias, de conformidad con el art. 8 de la vigente LOPD (</w:t>
      </w:r>
      <w:r w:rsidRPr="005728DD">
        <w:rPr>
          <w:i/>
        </w:rPr>
        <w:t>mutatis mutandis</w:t>
      </w:r>
      <w:r>
        <w:t>, STC 17/2013,  sobre el padrón municipal), y recabar de este modo los datos que sean necesarios para el ejercicio de la competencia y adecuados para finalidades legítimas (STC 254/1993) [FJ 9].</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2577-2020, interpuesto por ochenta y seis diputados del Grupo Parlamentario Popular contra el Decreto-ley del Gobierno de la Generalitat de Cataluña 17/2019, de 23 de diciembre, de medidas urgentes para mejorar el acceso a la vivienda (en su conjunto y subsidiariamente contra sus artículos 2.1, 2.2, 2.3, 2.4, 2.5, 2.7, 2.8, 2.9, 2.10, 2.11, 2.12, 4.2, 4.6, 5.4, 5.5, 5.6, 5.7, 6.2, 6.3, 6.4, 6.6, 8.1, 8.2, 8.3, 8.5, 13.2 y disposición transitoria primera, contra el artículo único del Decreto-ley del Gobierno de la Generalitat de Cataluña 1/2020, de 21 de enero, por el que se modifica el anterior, y contra el acuerdo del Parlamento de Cataluña de 4 de marzo de 2020 de validación de este último Decreto-ley 1/2020. Han formulado alegaciones el Gobierno y el Parlamento de Cataluña. Ha sido ponente el magistrado don Ricardo Enríquez Sancho.</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del Tribunal el día 19 de junio de 2020, el procurador de los tribunales don Manuel Sánchez Puelles, actuando en nombre y representación de ochenta y seis diputados del grupo parlamentario popular del Congreso, y don Jaime Eduardo de Olano Vela, diputado del grupo parlamentario popular del Congreso, abogado en ejercicio y actuando como “comisionado” de sus compañeros de conformidad con el art. 82 de la Ley Orgánica del Tribunal Constitucional (LOTC), interpusieron recurso de inconstitucionalidad contra los dos decretos-leyes del Gobierno de la Generalitat de Cataluña y contra el acuerdo del Parlamento de Cataluña que se citan en el encabezamiento.</w:t>
      </w:r>
    </w:p>
    <w:p w:rsidR="005728DD" w:rsidRDefault="005728DD" w:rsidP="005728DD">
      <w:pPr>
        <w:pStyle w:val="TextoNormal"/>
      </w:pPr>
    </w:p>
    <w:p w:rsidR="005728DD" w:rsidRDefault="005728DD" w:rsidP="005728DD">
      <w:pPr>
        <w:pStyle w:val="TextoNormal"/>
      </w:pPr>
      <w:r>
        <w:t>Los motivos del recurso son, sucintamente enunciados, los siguientes:</w:t>
      </w:r>
    </w:p>
    <w:p w:rsidR="005728DD" w:rsidRDefault="005728DD" w:rsidP="005728DD">
      <w:pPr>
        <w:pStyle w:val="TextoNormal"/>
      </w:pPr>
    </w:p>
    <w:p w:rsidR="005728DD" w:rsidRDefault="005728DD" w:rsidP="005728DD">
      <w:pPr>
        <w:pStyle w:val="TextoNormal"/>
      </w:pPr>
      <w:r>
        <w:t>a) El acuerdo de validación del Decreto-ley 1/2020 aprobado por el Parlamento de Cataluña, que tiene “fuerza” o “valor de ley” y es por tanto objeto idóneo de recurso de inconstitucionalidad de acuerdo con la doctrina del ATC 7/2012 y la STC 83/2016 (caso de los controladores aéreos) y las SSTC 89/2019 y 90/2019 (caso del art. 155 CE), vulnera los arts. 86.2 CE y 64.2 del Estatuto de Autonomía de Cataluña (EAC) al haberse aprobado una vez vencido el plazo de treinta días hábiles desde la promulgación del Decreto-ley 1/2020, que por tanto había quedado derogado en la fecha de su aparente convalidación.</w:t>
      </w:r>
    </w:p>
    <w:p w:rsidR="005728DD" w:rsidRDefault="005728DD" w:rsidP="005728DD">
      <w:pPr>
        <w:pStyle w:val="TextoNormal"/>
      </w:pPr>
    </w:p>
    <w:p w:rsidR="005728DD" w:rsidRDefault="005728DD" w:rsidP="005728DD">
      <w:pPr>
        <w:pStyle w:val="TextoNormal"/>
      </w:pPr>
      <w:r>
        <w:t>b) El Decreto-ley 17/2019 es inconstitucional y nulo en su conjunto porque no existe el presupuesto habilitante que exigen para su aprobación tanto el artículo 86.1 de la Constitución como el artículo 64.1 EAC. La exposición de motivos no contiene una presentación explícita y razonada de los motivos que hacen necesaria la aprobación del Decreto-ley; la justificación es genérica y rituaria, alude a una situación estructural, no coyuntural, y no está basada en ningún dato objetivo o estadística contrastable. Aporta, a estos efectos, un informe que persigue acreditar desde un punto de vista técnico y económico las erróneas afirmaciones de la exposición de motivos contrastando sus datos con los de Eurostat que arrojan una situación de la vivienda en España no solo mejor que la media sino mejor incluso que las otras tres grandes potencias económicas de la Unión Europea (Italia, Francia y Alemania).</w:t>
      </w:r>
    </w:p>
    <w:p w:rsidR="005728DD" w:rsidRDefault="005728DD" w:rsidP="005728DD">
      <w:pPr>
        <w:pStyle w:val="TextoNormal"/>
      </w:pPr>
    </w:p>
    <w:p w:rsidR="005728DD" w:rsidRDefault="005728DD" w:rsidP="005728DD">
      <w:pPr>
        <w:pStyle w:val="TextoNormal"/>
      </w:pPr>
      <w:r>
        <w:t xml:space="preserve">Tampoco existe la necesaria conexión de sentido entre las normas aprobadas y la situación de extraordinaria y urgente necesidad previamente definida. La normativa anterior en materia de vivienda era profusa y no había, por tanto, ninguna “insuficiencia legal” que paliar, como parece desprenderse de la exposición de motivos. En particular, la definición de “vivienda vacía” del art. 2.1, modificada por el artículo único del Decreto-ley 1/2020, adquirirá plena eficacia cuando hayan transcurrido dos años desde la aprobación del Decreto-ley. Además, el Decreto-ley no justifica cuáles son los obstáculos para la tramitación de esta modificación legislativa por el procedimiento legislativo parlamentario, teniendo en cuenta que el Parlamento catalán es unicameral y que algunas leyes —que cita— se han aprobado en el Parlamento de Cataluña en pocos meses, incluso en un mes y medio (caso de la Ley 9/2019, de modificación de la ley del cambio climático). Es más, algunas de las leyes modificadas por el Decreto-ley fueron aprobadas en menos de dos y tres meses. Finalmente, el decreto-ley recurrido tiene “básicamente el mismo contenido” que el Decreto-ley 5/2019, del que ha conservado incluso su denominación, pero que no se sometió a debate </w:t>
      </w:r>
      <w:r>
        <w:lastRenderedPageBreak/>
        <w:t>para su convalidación o derogación. La aprobación de este segundo Decreto-ley 17/2019, “prácticamente equivalente” al anterior fue una manera de eludir la tramitación de este como proyecto de ley y el debate parlamentario habitual.</w:t>
      </w:r>
    </w:p>
    <w:p w:rsidR="005728DD" w:rsidRDefault="005728DD" w:rsidP="005728DD">
      <w:pPr>
        <w:pStyle w:val="TextoNormal"/>
      </w:pPr>
    </w:p>
    <w:p w:rsidR="005728DD" w:rsidRDefault="005728DD" w:rsidP="005728DD">
      <w:pPr>
        <w:pStyle w:val="TextoNormal"/>
      </w:pPr>
      <w:r>
        <w:t>c) El Decreto-ley 17/2019 es inconstitucional y nulo en su conjunto porque regula materias vedadas a los decretos-leyes, en concreto “afecta” al derecho de propiedad en un sentido proscrito por los arts. 86.1 CE y 64.1 EAC. Particularmente se produce esta afectación inconstitucional en dos grupos de preceptos: los que regulan el incumplimiento de la función social de la propiedad y sus consecuencias (arts. 2.1, 2.2, 2.3, 2.4, 2.5, 2.7, 2.8, 2.9, 2.10, 2.11, 2.12 y 5.5) y los que regulan los contratos forzosos de alquiler social (arts. 4.2, 5.6, 5.7 y 6.6). Estas disposiciones afectan tanto a la vertiente individual como a la vertiente institucional del derecho de propiedad, limitando las facultades de disponer y reivindicar del propietario, en el sentido proscrito por la STC 93/2015, sobre el Decreto-ley de la Junta de Andalucía 6/2013, de medidas para asegurar el cumplimiento de la función social de la vivienda, fundamento jurídico 13. De acuerdo con estos preceptos, disponer de una vivienda vacía o no ofrecer la opción del alquiler social supone un incumplimiento de la función social de la propiedad, y las consecuencias de su inobservancia, lo que no puede ser objeto de regulación por decreto-ley por rebasar los límites materiales señalados.</w:t>
      </w:r>
    </w:p>
    <w:p w:rsidR="005728DD" w:rsidRDefault="005728DD" w:rsidP="005728DD">
      <w:pPr>
        <w:pStyle w:val="TextoNormal"/>
      </w:pPr>
    </w:p>
    <w:p w:rsidR="005728DD" w:rsidRDefault="005728DD" w:rsidP="005728DD">
      <w:pPr>
        <w:pStyle w:val="TextoNormal"/>
      </w:pPr>
      <w:r>
        <w:t>d) El Decreto-ley 17/2019 regula las condiciones básicas del derecho de propiedad privada en Cataluña y restringe desproporcionadamente la facultad de los propietarios para reivindicar su dominio (artículo 149.1.1, en relación con los artículos 14, 33 y 139.1 de la Constitución). El Decreto-ley desfigura el contenido esencial del derecho de propiedad y convierte la propiedad en un derecho “más débil” en Cataluña que en el resto del territorio nacional, obligando a los propietarios de viviendas en Cataluña a cumplir “obligaciones adicionales” respecto del resto de ciudadanos españoles. Se trata de una desigualdad jurídicamente inadmisible de acuerdo con el art. 139.1 CE.</w:t>
      </w:r>
    </w:p>
    <w:p w:rsidR="005728DD" w:rsidRDefault="005728DD" w:rsidP="005728DD">
      <w:pPr>
        <w:pStyle w:val="TextoNormal"/>
      </w:pPr>
    </w:p>
    <w:p w:rsidR="005728DD" w:rsidRDefault="005728DD" w:rsidP="005728DD">
      <w:pPr>
        <w:pStyle w:val="TextoNormal"/>
      </w:pPr>
      <w:r>
        <w:t>e) El art. 2.1 del Decreto-ley 17/2019, que modifica la definición de “vivienda vacía” del art. 3 d) de la Ley del Parlamento de Cataluña 18/2007, del derecho a la vivienda, así como las consecuencias derivadas del mismo contenidas en los arts. 2.2, 2.3, 2.4, 2.5, 2.7, 2.8, 2.9, 2.10, 2.11, 2.12, 2.15, 6.2, 6.3 y 6.4 del Decreto-ley 17/2019, regulan un supuesto de ejercicio antisocial del derecho de propiedad privada que vulnera los artículos 149.1.1, 149.1.8, 149.1.13 y 149.1.18 de la Constitución. La regulación del derecho de propiedad “rompe” el principio de igualdad entre españoles del art. 149.1.1 CE; regula además el contenido de un derecho patrimonial, que es una materia civil propia del Estado conforme al art. 149.1.8 CE; por la importancia del mercado de la vivienda en España impacta en la política económica competencia del Estado conforme al art. 149.1.13 CE y la regulación que a su amparo se ha dictado para garantizar el acceso a la vivienda (cita las siguientes normas: Ley 4/2013; Real Decreto-ley 7/2019; Real Decreto-ley 6/2012; Ley 1/2013; y Real Decreto 106/2018, por el que se aprueba el plan estatal de vivienda); y, finalmente, no se ajusta al tratamiento común de los ciudadanos ante las administraciones públicas exigido por el art. 149.1.18 CE y a la normativa sobre expropiación forzosa del Estado de competencia exclusiva del Estado según ese mismo precepto.</w:t>
      </w:r>
    </w:p>
    <w:p w:rsidR="005728DD" w:rsidRDefault="005728DD" w:rsidP="005728DD">
      <w:pPr>
        <w:pStyle w:val="TextoNormal"/>
      </w:pPr>
    </w:p>
    <w:p w:rsidR="005728DD" w:rsidRDefault="005728DD" w:rsidP="005728DD">
      <w:pPr>
        <w:pStyle w:val="TextoNormal"/>
      </w:pPr>
      <w:r>
        <w:t xml:space="preserve">f) El art. 2.1 del Decreto-ley 17/2019, modificado por el artículo único del Decreto-ley 1/2020, que elimina la ocupación sin título de la vivienda y la pendencia de un litigio sobre </w:t>
      </w:r>
      <w:r>
        <w:lastRenderedPageBreak/>
        <w:t>su posesión como causas justificadoras de desocupación, restringe la plenitud de las potestades atribuidas a las jurisdicciones civil y penal e infringe las competencias exclusivas del Estado en materia de legislación procesal (art. 149.1.6 CE), convirtiendo en “inútil” el ejercicio de acciones judiciales para recuperar la posesión, vulnerando con ello, además, el derecho a la tutela judicial efectiva (art. 24 CE) y el principio de “plenitud jurisdiccional” (art. 118 CE).</w:t>
      </w:r>
    </w:p>
    <w:p w:rsidR="005728DD" w:rsidRDefault="005728DD" w:rsidP="005728DD">
      <w:pPr>
        <w:pStyle w:val="TextoNormal"/>
      </w:pPr>
    </w:p>
    <w:p w:rsidR="005728DD" w:rsidRDefault="005728DD" w:rsidP="005728DD">
      <w:pPr>
        <w:pStyle w:val="TextoNormal"/>
      </w:pPr>
      <w:r>
        <w:t>g) Los arts. 5.6, 5.7 y 6.6 y la disposición transitoria primera del Decreto-ley 17/2019, que establecen la obligación de ofrecer un contrato de alquiler social a determinados inquilinos, regulando su plazo y contenido, así como su condición de requisito procesal para interponer acciones judiciales de ejecución hipotecaria y desahucio, vulneran las competencias exclusivas del Estado sobre legislación procesal y sobre bases de las obligaciones contractuales (artículos 149.1.6 y 149.1.8 de la Constitución).</w:t>
      </w:r>
    </w:p>
    <w:p w:rsidR="005728DD" w:rsidRDefault="005728DD" w:rsidP="005728DD">
      <w:pPr>
        <w:pStyle w:val="TextoNormal"/>
      </w:pPr>
    </w:p>
    <w:p w:rsidR="005728DD" w:rsidRDefault="005728DD" w:rsidP="005728DD">
      <w:pPr>
        <w:pStyle w:val="TextoNormal"/>
      </w:pPr>
      <w:r>
        <w:t>h) Los deberes vinculados al índice de referencia que establece y regula el art. 8 del Decreto-ley 17/2019 infringen las competencias exclusivas del Estado en materia de bases de las obligaciones contractuales (artículo 149.1.8 de la Constitución).</w:t>
      </w:r>
    </w:p>
    <w:p w:rsidR="005728DD" w:rsidRDefault="005728DD" w:rsidP="005728DD">
      <w:pPr>
        <w:pStyle w:val="TextoNormal"/>
      </w:pPr>
    </w:p>
    <w:p w:rsidR="005728DD" w:rsidRDefault="005728DD" w:rsidP="005728DD">
      <w:pPr>
        <w:pStyle w:val="TextoNormal"/>
      </w:pPr>
      <w:r>
        <w:t>i) La obligación de destinar a vivienda de protección edificaciones en suelo urbano consolidado del art. 13.2 del Decreto-ley 17/2019 supone una nueva carga urbanística no prevista en el texto refundido de la Ley de suelo y rehabilitación urbana (Real Decreto Legislativo 7/2015, de 30 de octubre, en adelante TRLSRU), que solo prevé reservas del 10 y 30 por 100 en actuaciones de nueva urbanización y reforma o renovación de la urbanización, pero no en suelo urbano consolidado (art. 20 TRLSRU), y supone además introducir una obligación urbanística no prevista en el cuadro de derechos y obligaciones de los propietarios de suelo en los arts. 15 a 18 de la misma ley, vulnerándose con ello, mediatamente, los artículos 149.1.1 y 13 de la Constitución.</w:t>
      </w:r>
    </w:p>
    <w:p w:rsidR="005728DD" w:rsidRDefault="005728DD" w:rsidP="005728DD">
      <w:pPr>
        <w:pStyle w:val="TextoNormal"/>
      </w:pPr>
    </w:p>
    <w:p w:rsidR="005728DD" w:rsidRDefault="005728DD" w:rsidP="005728DD">
      <w:pPr>
        <w:pStyle w:val="TextoNormal"/>
      </w:pPr>
      <w:r>
        <w:t>j) La nueva definición de gran tenedor de vivienda introducida por los arts. 5.4 y 5.7 del Decreto-ley 17/2019 (personas físicas o jurídicas titulares de más de quince viviendas) contradice la establecida por el Estado en el art. 4 del Real Decreto-ley 11/2020, modificado por la disposición final cuarta, apartado 1, del Decreto-ley 16/2020, de 28 de abril, que regula la moratoria de deuda para personas arrendatarias de vivienda habitual en situación de vulnerabilidad económica (persona física o jurídica titular de más de diez inmuebles urbanos excluyendo garajes y trasteros o de una superficie construida de más de 1.500 m2), y vulnera por ello los artículos 149.1.1 y 13 de la Constitución.</w:t>
      </w:r>
    </w:p>
    <w:p w:rsidR="005728DD" w:rsidRDefault="005728DD" w:rsidP="005728DD">
      <w:pPr>
        <w:pStyle w:val="TextoNormal"/>
      </w:pPr>
    </w:p>
    <w:p w:rsidR="005728DD" w:rsidRDefault="005728DD" w:rsidP="005728DD">
      <w:pPr>
        <w:pStyle w:val="TextoNormal"/>
      </w:pPr>
      <w:r>
        <w:t xml:space="preserve">k) El artículo 2.1 del Decreto-ley 17/2019, modificado por el artículo único del Decreto-ley 1/2020, que introduce una nueva definición de vivienda vacía incluyendo su ocupación sin título, vulnera el “contenido esencial” (art. 53.1 CE) del derecho a la propiedad privada (art. 33 CE), el principio de interdicción de la arbitrariedad de los poderes públicos (art. 9.3 CE) y el derecho fundamental a la tutela judicial efectiva (arts. 24 y 117 CE). Conforme a las modificaciones del Decreto-ley, mantener una vivienda vacía constituye un supuesto de “utilización anómala” de la propiedad que puede dar lugar a requerimientos, multas coercitivas, sanciones de hasta 900 000 € y finalmente a la expropiación de la vivienda. Esta regulación del derecho de propiedad “suprime </w:t>
      </w:r>
      <w:r w:rsidRPr="005728DD">
        <w:rPr>
          <w:i/>
        </w:rPr>
        <w:t>de facto</w:t>
      </w:r>
      <w:r>
        <w:t xml:space="preserve">” este derecho, anula completamente su utilidad individual y lo hace irreconocible, en contra de la doctrina constitucional sobre el art. 33 CE. En particular, la posibilidad de que la Administración ejerza sus potestades </w:t>
      </w:r>
      <w:r>
        <w:lastRenderedPageBreak/>
        <w:t>sobre una vivienda ocupada ilegalmente y que se obligue al dueño a ofrecer un alquiler social cercenan las tres facultades de todo propietario: gozar, disponer y reivindicar (arts. 348 del Código civil y 544-1, 544-2 y 544-3 del Código civil de Cataluña) La regulación, además, carece “de toda racionalidad” y es “arbitraria” e impide al propietario destinar su vivienda ilegítimamente ocupada a un uso de residencia o alquiler, sin tomar además en consideración que hay ocupaciones ilegítimas que pueden tener origen en la falta de recursos económicos, pero otras tienen una finalidad lucrativa e incluso delictiva. Vulnera también el principio de proporcionalidad establecido por el Tribunal Constitucional y el Tribunal Europeo de derechos Humanos para las expropiaciones. Y, al hacer ineficaz el ejercicio de acciones judiciales, vulnera el derecho a la tutela judicial efectiva.</w:t>
      </w:r>
    </w:p>
    <w:p w:rsidR="005728DD" w:rsidRDefault="005728DD" w:rsidP="005728DD">
      <w:pPr>
        <w:pStyle w:val="TextoNormal"/>
      </w:pPr>
    </w:p>
    <w:p w:rsidR="005728DD" w:rsidRDefault="005728DD" w:rsidP="005728DD">
      <w:pPr>
        <w:pStyle w:val="TextoNormal"/>
      </w:pPr>
      <w:r>
        <w:t>l) Los artículos 2.2 y 2.10 del Decreto-ley 17/2019, al prever la subrogación del nuevo adquirente de un inmueble en la posición del anterior titular en cuanto al cómputo del plazo para considerar una vivienda como vacía (dos años), vulneran el principio constitucional de responsabilidad o culpabilidad (artículo 25 de la Constitución) ya que permiten sancionar al propietario de una vivienda por el comportamiento del anterior titular.</w:t>
      </w:r>
    </w:p>
    <w:p w:rsidR="005728DD" w:rsidRDefault="005728DD" w:rsidP="005728DD">
      <w:pPr>
        <w:pStyle w:val="TextoNormal"/>
      </w:pPr>
    </w:p>
    <w:p w:rsidR="005728DD" w:rsidRDefault="005728DD" w:rsidP="005728DD">
      <w:pPr>
        <w:pStyle w:val="TextoNormal"/>
      </w:pPr>
      <w:r>
        <w:t>m) La obligación de ofrecer un contrato de alquiler social a ciertos inquilinos, establecida y regulada, también en cuanto a su contenido, en los artículos 4.2, 5.6, 5.7 y 6.6 y disposición transitoria primera del Decreto-ley 17/2019, es contraria al principio de autonomía de la voluntad, derivado del art. 10 CE, al derecho a la libertad de empresa (art. 38) y, en algunos casos, supone adicionalmente una restricción desproporcionada para acceder a la tutela de los tribunales de Justicia (art. 24), tal y como apreció el dictamen 2/2020 del Consejo de Garantías Estatutarias, y vulnera el principio de “plenitud jurisdiccional” (art. 118). Además, genera una “gravísima situación de inseguridad jurídica” en los juzgados y tribunales de Cataluña (cita el acuerdo de la comisión permanente de la Sala de Gobierno del Tribunal Superior de Justicia de Cataluña de 19 de noviembre de 2019, instando al Ayuntamiento de Barcelona a no entorpecer ejecuciones judiciales, y el acuerdo de unificación de criterios de la reunión de presidentes de las secciones civiles de la Audiencia Provincial de Barcelona de 21 de febrero de 2020, considerando que no es un requisito de procedibilidad para el ejercicio de acciones judiciales civiles el incumplimiento de la obligación de ofrecer un alquiler social impuesta en el Decreto-ley 17/2019).</w:t>
      </w:r>
    </w:p>
    <w:p w:rsidR="005728DD" w:rsidRDefault="005728DD" w:rsidP="005728DD">
      <w:pPr>
        <w:pStyle w:val="TextoNormal"/>
      </w:pPr>
    </w:p>
    <w:p w:rsidR="005728DD" w:rsidRDefault="005728DD" w:rsidP="005728DD">
      <w:pPr>
        <w:pStyle w:val="TextoNormal"/>
      </w:pPr>
      <w:r>
        <w:t>n) La nueva definición de gran tenedor de vivienda (arts. 5.4 y 5.7 del Decreto-ley 17/2019) no está justificada, en cuanto incluye a las personas físicas y no solo a las jurídicas, y es además discriminatoria por no incluir al principal tenedor de viviendas en Cataluña, que es la administración pública, vulnerando con ello la interdicción de la arbitrariedad de los poderes públicos del art. 9.3 CE.</w:t>
      </w:r>
    </w:p>
    <w:p w:rsidR="005728DD" w:rsidRDefault="005728DD" w:rsidP="005728DD">
      <w:pPr>
        <w:pStyle w:val="TextoNormal"/>
      </w:pPr>
    </w:p>
    <w:p w:rsidR="005728DD" w:rsidRDefault="005728DD" w:rsidP="005728DD">
      <w:pPr>
        <w:pStyle w:val="TextoNormal"/>
      </w:pPr>
      <w:r>
        <w:t>ñ) El art. 4.6 del Decreto-ley 17/2019 impone un suministro generalizado e indiscriminado de datos particulares a la administración (registro de viviendas vacías) que no son ni necesarios ni adecuados para el ejercicio de sus potestades, por lo que el precepto indicado vulnera el derecho fundamental a la intimidad personal (artículo 18 de la Constitución).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Por providencia de 14 de julio de 2020, el Pleno del tribunal acordó admitir a trámite el recurso de inconstitucionalidad interpuesto y dar traslado de las actuaciones, conforme establece el art. 34 de la Ley Orgánica del Tribunal Constitucional, al Congreso de los Diputados y al Senado, por conducto de sus presidentes, al Gobierno, a través del ministro de </w:t>
      </w:r>
      <w:r>
        <w:lastRenderedPageBreak/>
        <w:t>Justicia, así como al Parlamento de Cataluña y a la Generalitat de Cataluña, por conducto de sus presidentes, al objeto de que, en el plazo de quince días, puedan personarse en el proceso y formular alegaciones. La providencia acordó, asimismo, publicar la incoación del recurso en el “Boletín Oficial del Estado” y en el “Diari Oficial de la Generalitat de Catalunya”.</w:t>
      </w:r>
    </w:p>
    <w:p w:rsidR="005728DD" w:rsidRDefault="005728DD" w:rsidP="005728DD">
      <w:pPr>
        <w:pStyle w:val="TextoNormal"/>
      </w:pPr>
    </w:p>
    <w:p w:rsidR="005728DD" w:rsidRDefault="005728DD" w:rsidP="005728DD">
      <w:pPr>
        <w:pStyle w:val="TextoNormal"/>
      </w:pPr>
      <w:r w:rsidRPr="005728DD">
        <w:rPr>
          <w:rStyle w:val="NumeroAFNegritaCaracter"/>
        </w:rPr>
        <w:t>3</w:t>
      </w:r>
      <w:r>
        <w:t>. Tras solicitar una prórroga para formular sus alegaciones, concedida por el tribunal, el Gobierno de la Generalitat de Cataluña presentó estas el día 25 de septiembre de 2020. Su escrito comienza haciendo una referencia general al contexto en que se aprueban los decretos-leyes impugnados, en concreto a la inexistencia de viviendas asequibles de alquiler en el mercado, lo que ha empujado a muchas familias a la exclusión social y a la ocupación de viviendas sin título. Esta situación de falta de vivienda asequible ha sido constatada por la fundación Fomento de Estudios Sociales y Sociología Aplicada en un informe de 2019, que cita, y por el relator especial de la Organización de las Naciones Unidas (ONU) en su visita a España del 27 de enero al 7 de febrero de 2020, que igualmente cita. Y el Parlamento de Cataluña, en la moción 106/XI y en la resolución 133/XII, ha instado al Gobierno de la Generalitat a hacer frente a esta situación. Tras esta exposición inicial, pasa a rebatir los motivos de impugnación.</w:t>
      </w:r>
    </w:p>
    <w:p w:rsidR="005728DD" w:rsidRDefault="005728DD" w:rsidP="005728DD">
      <w:pPr>
        <w:pStyle w:val="TextoNormal"/>
      </w:pPr>
    </w:p>
    <w:p w:rsidR="005728DD" w:rsidRDefault="005728DD" w:rsidP="005728DD">
      <w:pPr>
        <w:pStyle w:val="TextoNormal"/>
      </w:pPr>
      <w:r>
        <w:t xml:space="preserve">a) Considera que el Decreto-ley 1/2020 ha sido convalidado en tiempo y forma, puesto que el recurso ha tomado en consideración como </w:t>
      </w:r>
      <w:r w:rsidRPr="005728DD">
        <w:rPr>
          <w:i/>
        </w:rPr>
        <w:t>dies a quo</w:t>
      </w:r>
      <w:r>
        <w:t xml:space="preserve"> el de la promulgación, y no el de la publicación como hace la </w:t>
      </w:r>
      <w:r w:rsidRPr="005728DD">
        <w:rPr>
          <w:i/>
        </w:rPr>
        <w:t>praxis</w:t>
      </w:r>
      <w:r>
        <w:t xml:space="preserve"> parlamentaria y la doctrina mayoritaria, pues este es el único día que permite al Parlamento tener conocimiento del decreto-ley y tramitar en consecuencia su convalidación.</w:t>
      </w:r>
    </w:p>
    <w:p w:rsidR="005728DD" w:rsidRDefault="005728DD" w:rsidP="005728DD">
      <w:pPr>
        <w:pStyle w:val="TextoNormal"/>
      </w:pPr>
    </w:p>
    <w:p w:rsidR="005728DD" w:rsidRDefault="005728DD" w:rsidP="005728DD">
      <w:pPr>
        <w:pStyle w:val="TextoNormal"/>
      </w:pPr>
      <w:r>
        <w:t>b) Los informes y mociones parlamentarias citadas en el comienzo de su escrito, así como la exposición de motivos y los argumentos del debate de convalidación del Decreto-ley 17/2019, donde todos los grupos parlamentarios reconocieron que existe una situación de emergencia habitacional, colman el requisito de la situación de extraordinaria y urgente necesidad exigida por los arts. 86.2 CE y 64.2 EAC. Una valoración semejante se contiene en la STC 93/2015, en relación con el Decreto-ley de la Junta de Andalucía 6/2013, sobre la misma materia. Y estos mismos argumentos avalan a su vez la urgencia del Decreto-ley 1/2020 por el que simplemente se lleva a cabo una precisión en la definición de vivienda vacía previamente efectuada en el Decreto-ley 17/2019.</w:t>
      </w:r>
    </w:p>
    <w:p w:rsidR="005728DD" w:rsidRDefault="005728DD" w:rsidP="005728DD">
      <w:pPr>
        <w:pStyle w:val="TextoNormal"/>
      </w:pPr>
    </w:p>
    <w:p w:rsidR="005728DD" w:rsidRDefault="005728DD" w:rsidP="005728DD">
      <w:pPr>
        <w:pStyle w:val="TextoNormal"/>
      </w:pPr>
      <w:r>
        <w:t>Tratándose de un conjunto sistemático de medidas, el examen de la conexión de sentido de las medidas aprobadas con la situación de urgencia definida debe hacerse desde una perspectiva global, y no aislando una a una las medidas adoptadas, tal y como hizo la STC 93/2015. Y desde esta perspectiva, no puede discutirse que el contenido del Decreto-ley trata de afrontar la situación descrita, al margen de su acierto y el análisis competencial que proceda.</w:t>
      </w:r>
    </w:p>
    <w:p w:rsidR="005728DD" w:rsidRDefault="005728DD" w:rsidP="005728DD">
      <w:pPr>
        <w:pStyle w:val="TextoNormal"/>
      </w:pPr>
    </w:p>
    <w:p w:rsidR="005728DD" w:rsidRDefault="005728DD" w:rsidP="005728DD">
      <w:pPr>
        <w:pStyle w:val="TextoNormal"/>
      </w:pPr>
      <w:r>
        <w:t>c) El motivo relativo a la afectación del contenido esencial del derecho de propiedad carece de un análisis y argumentación consistente, como exige la doctrina constitucional. En todo caso, no puede compararse la definición de vivienda vacía del art. 2.1 con la regulación andaluza examinada en la STC 95/2013 que establecía el deber de destinar de forma efectiva las viviendas al uso habitacional, cosa que no sucede en el decreto-ley aquí impugnado.</w:t>
      </w:r>
    </w:p>
    <w:p w:rsidR="005728DD" w:rsidRDefault="005728DD" w:rsidP="005728DD">
      <w:pPr>
        <w:pStyle w:val="TextoNormal"/>
      </w:pPr>
    </w:p>
    <w:p w:rsidR="005728DD" w:rsidRDefault="005728DD" w:rsidP="005728DD">
      <w:pPr>
        <w:pStyle w:val="TextoNormal"/>
      </w:pPr>
      <w:r>
        <w:t>d) Los decretos-leyes impugnados se amparan en las competencias de la Generalitat en materia de vivienda (art. 137 EAC), urbanismo (art. 149 EAC) y consumo (art. 123 EAC) con la finalidad de proporcionar a los ciudadanos una vivienda digna (arts. 47 CE y 23 y 47 EAC). En particular, la competencia de vivienda va mucho más allá de la “actividad administrativa de ordenación y fomento de dicha materia”, que son las funciones a las que según los recurrentes queda restringida esta materia. Muestra de ello es la Ley del derecho a la vivienda aprobada en 2007 y no impugnada por el Estado, y modificada ahora por los decretos-leyes impugnados.</w:t>
      </w:r>
    </w:p>
    <w:p w:rsidR="005728DD" w:rsidRDefault="005728DD" w:rsidP="005728DD">
      <w:pPr>
        <w:pStyle w:val="TextoNormal"/>
      </w:pPr>
    </w:p>
    <w:p w:rsidR="005728DD" w:rsidRDefault="005728DD" w:rsidP="005728DD">
      <w:pPr>
        <w:pStyle w:val="TextoNormal"/>
      </w:pPr>
      <w:r>
        <w:t>Al propio tiempo, la regulación de los decretos-leyes es plenamente respetuosa con las competencias del Estado de los núms. 1, 8 y 13 del art. 149.1 CE. En particular, el recurso equipara erróneamente la competencia del art. 149.1.1 CE con los arts. 14 y 139 CE. Pero según la doctrina constitucional este título competencial no representa una suerte de prohibición de divergencia del legislador autonómico con el estatal, pues ello vaciaría las competencias autonómicas en materia de urbanismo y vivienda. Los recurrentes tampoco han identificado la norma estatal concreta que debe operar como parámetro de constitucionalidad, como exige la doctrina constitucional. Desde la STC 37/1987 se reconoce también que la función social de la propiedad (art. 33.2 CE) puede ser delimitada no solo por el legislador civil (art. 149.1.8 CE) sino también por las leyes que tutelan los intereses públicos a los que se vincula la propiedad privada, que corresponde aprobar al titular de la competencia sectorial. Por último, la competencia estatal del art. 149.1.13 CE no puede agotar los títulos más específicos de las comunidades autónomas, de acuerdo con las SSTC 93/2015 y 16/2018 sobre esta misma materia.</w:t>
      </w:r>
    </w:p>
    <w:p w:rsidR="005728DD" w:rsidRDefault="005728DD" w:rsidP="005728DD">
      <w:pPr>
        <w:pStyle w:val="TextoNormal"/>
      </w:pPr>
    </w:p>
    <w:p w:rsidR="005728DD" w:rsidRDefault="005728DD" w:rsidP="005728DD">
      <w:pPr>
        <w:pStyle w:val="TextoNormal"/>
      </w:pPr>
      <w:r>
        <w:t>e) A continuación analiza uno por uno el amparo competencial de los preceptos impugnados:</w:t>
      </w:r>
    </w:p>
    <w:p w:rsidR="005728DD" w:rsidRDefault="005728DD" w:rsidP="005728DD">
      <w:pPr>
        <w:pStyle w:val="TextoNormal"/>
      </w:pPr>
    </w:p>
    <w:p w:rsidR="005728DD" w:rsidRDefault="005728DD" w:rsidP="005728DD">
      <w:pPr>
        <w:pStyle w:val="TextoNormal"/>
      </w:pPr>
      <w:r>
        <w:t>(i) En cuanto a la definición de vivienda vacía de los arts. 2.1 del Decreto-ley 17/2019 y único del Decreto-ley 1/2020, que introdujo algunas “precisiones” en el anterior, critica en primer lugar que no se sabe a qué versión del precepto se refieren los recurrentes, si a la primera o a la segunda. En segundo lugar, considera que el objeto de la definición es precisamente clarificar cómo encaja el fenómeno de la ocupación en el concepto de vivienda vacía. Tampoco limita en modo alguno el ejercicio de la acción reivindicatoria si esta acción se ejercita antes del plazo de dos años establecido para que la vivienda se considere vacía. Además, sin la modificación del Decreto-ley 1/2020 no se podría llevar a efecto una de las medidas del Decreto-ley 17/2019, que es ofrecer de forma obligatoria el alquiler social por parte de grandes tenedores a los ocupantes ilegítimos que estuvieran en situación de emergencia habitacional y acreditaran que la ocupación se produjo como mínimo seis meses antes de la entrada en vigor del Decreto-ley 17/2019.</w:t>
      </w:r>
    </w:p>
    <w:p w:rsidR="005728DD" w:rsidRDefault="005728DD" w:rsidP="005728DD">
      <w:pPr>
        <w:pStyle w:val="TextoNormal"/>
      </w:pPr>
    </w:p>
    <w:p w:rsidR="005728DD" w:rsidRDefault="005728DD" w:rsidP="005728DD">
      <w:pPr>
        <w:pStyle w:val="TextoNormal"/>
      </w:pPr>
      <w:r>
        <w:t xml:space="preserve">(ii) El art. 2.2 hace algunas precisiones a la desocupación como causa de incumplimiento de la función social de la vivienda. La primera es el establecimiento de un plazo mínimo de dos años a partir del cual puede considerarse desocupada una vivienda, que no es una modificación sino una armonización de la Ley del derecho a la vivienda, pues el plazo ya se establecía en otro precepto. Y la segunda es una precisión sobre la incidencia del fenómeno de la ocupación que supone valorar la vertiente institucional (función social) y no solo privada del derecho de propiedad (STC 37/1987) y que entra dentro del acervo competencial </w:t>
      </w:r>
      <w:r>
        <w:lastRenderedPageBreak/>
        <w:t>y por tanto del margen de apreciación de la Generalitat que tiene la competencia en materia de vivienda.</w:t>
      </w:r>
    </w:p>
    <w:p w:rsidR="005728DD" w:rsidRDefault="005728DD" w:rsidP="005728DD">
      <w:pPr>
        <w:pStyle w:val="TextoNormal"/>
      </w:pPr>
    </w:p>
    <w:p w:rsidR="005728DD" w:rsidRDefault="005728DD" w:rsidP="005728DD">
      <w:pPr>
        <w:pStyle w:val="TextoNormal"/>
      </w:pPr>
      <w:r>
        <w:t>(iii) Respecto de la obligación de ofrecer un contrato de alquiler social de los arts. 4.2, 5.6, 5.7, 6.6 y disposición transitoria primera, el objeto del recurso debe quedar ceñido a las modificaciones introducidas por el Decreto-ley 17/2019, y no a la obligación misma ya incluida en leyes anteriores (Leyes del Parlamento de Cataluña 24/2015 y 4/2016). Estas modificaciones solamente han ampliado el espectro de casos a los que es aplicable el alquiler social, respecto del cual ya se posicionó favorablemente el Estado al desistir del recurso de inconstitucionalidad 2501-2016 interpuesto contra la Ley 24/2015 en su versión original, y el propio Tribunal en su STC 80/2018, sobre una ley valenciana similar. En particular, esta propuesta de alquiler social no encaja ni en la materia civil (art. 149.1.8 CE) ni procesal (art. 149.1.6), tal y como sostienen los recurrentes. Y ha sido además aceptado por los obligados teniendo resultados positivos, como demuestra el informe de la agencia catalana de vivienda que aporta.</w:t>
      </w:r>
    </w:p>
    <w:p w:rsidR="005728DD" w:rsidRDefault="005728DD" w:rsidP="005728DD">
      <w:pPr>
        <w:pStyle w:val="TextoNormal"/>
      </w:pPr>
    </w:p>
    <w:p w:rsidR="005728DD" w:rsidRDefault="005728DD" w:rsidP="005728DD">
      <w:pPr>
        <w:pStyle w:val="TextoNormal"/>
      </w:pPr>
      <w:r>
        <w:t>(iv) El índice de referencia del precio de alquiler de viviendas de los arts. 8.1, 8.2, 8.3 y 8.5 tiene carácter simplemente informativo por lo que no invade la competencia estatal del art. 149.1.8 CE, y persigue una finalidad legítima como la moderación de los precios, amparada en la competencia autonómica en materia de consumo y vivienda. Aunque el contrato no contenga las menciones obligatorias según la ley, seguiría siendo válido y vigente, y por tanto no incide en el contrato de arrendamiento ni en la materia de Derecho civil. Por último, encaja con lo dispuesto en la disposición adicional segunda del Real Decreto-ley 7/2019.</w:t>
      </w:r>
    </w:p>
    <w:p w:rsidR="005728DD" w:rsidRDefault="005728DD" w:rsidP="005728DD">
      <w:pPr>
        <w:pStyle w:val="TextoNormal"/>
      </w:pPr>
    </w:p>
    <w:p w:rsidR="005728DD" w:rsidRDefault="005728DD" w:rsidP="005728DD">
      <w:pPr>
        <w:pStyle w:val="TextoNormal"/>
      </w:pPr>
      <w:r>
        <w:t>(v) La obligación de reserva para vivienda de protección en suelo urbanizado y en actuaciones edificatorias del art. 13.2 no vulnera las competencias estatales de los núms. 1 y 13 del art. 149.1 CE. Esta argumentación descansa en una interpretación errónea del art. 20.1 b) de la Ley del suelo estatal, pues este precepto no predetermina en qué tipo de suelo pueden establecerse reservas para viviendas de protección oficial, como se sostiene de contrario.</w:t>
      </w:r>
    </w:p>
    <w:p w:rsidR="005728DD" w:rsidRDefault="005728DD" w:rsidP="005728DD">
      <w:pPr>
        <w:pStyle w:val="TextoNormal"/>
      </w:pPr>
    </w:p>
    <w:p w:rsidR="005728DD" w:rsidRDefault="005728DD" w:rsidP="005728DD">
      <w:pPr>
        <w:pStyle w:val="TextoNormal"/>
      </w:pPr>
      <w:r>
        <w:t>(vi) La definición de gran tenedor de vivienda de los arts. 5.4 y 5.7 no vulnera las competencias estatales de los arts. 149.1.1 y 149.1.13 CE porque, aunque no se ajuste a la establecida en el Real Decreto-ley 11/2020, ha sido establecida por la Generalitat en ejercicio de sus competencias. La norma estatal pretende atender a una situación puntual ocasionada por la crisis sanitaria vinculada a la Covid-19, pero no puede condicionar la política de vivienda de la Generalitat. Ambas normas tienen, por tanto, objetos diversos.</w:t>
      </w:r>
    </w:p>
    <w:p w:rsidR="005728DD" w:rsidRDefault="005728DD" w:rsidP="005728DD">
      <w:pPr>
        <w:pStyle w:val="TextoNormal"/>
      </w:pPr>
    </w:p>
    <w:p w:rsidR="005728DD" w:rsidRDefault="005728DD" w:rsidP="005728DD">
      <w:pPr>
        <w:pStyle w:val="TextoNormal"/>
      </w:pPr>
      <w:r>
        <w:t>Tampoco la definición puede tacharse de arbitraria por incluir a personas físicas, como hace el recurso. También el Real Decreto-ley 11/2020 incluye a personas físicas y visto el objetivo del decreto-ley impugnado no parece arbitrario incluir a personas físicas y no solo jurídicas en la definición. Y no tiene sentido incluir a las administraciones en atención a sus funciones y objetivos, esencialmente diferentes a los de las personas jurídicas privadas con ánimo de lucro.</w:t>
      </w:r>
    </w:p>
    <w:p w:rsidR="005728DD" w:rsidRDefault="005728DD" w:rsidP="005728DD">
      <w:pPr>
        <w:pStyle w:val="TextoNormal"/>
      </w:pPr>
    </w:p>
    <w:p w:rsidR="005728DD" w:rsidRDefault="005728DD" w:rsidP="005728DD">
      <w:pPr>
        <w:pStyle w:val="TextoNormal"/>
      </w:pPr>
      <w:r>
        <w:t xml:space="preserve">(vii) Finalmente, la obligación de inscripción en el registro de viviendas vacías y viviendas desocupadas sin título habilitante por personas jurídicas privadas (art. 4.6) no vulnera el derecho a la intimidad, que no protege a aquellas según doctrina constitucional (cita el </w:t>
      </w:r>
      <w:r>
        <w:lastRenderedPageBreak/>
        <w:t>ATC 257/1985). Y el registro es un instrumento imprescindible para movilizar las viviendas desocupadas, que es el objetivo legítimo del decreto-ley impugnado.</w:t>
      </w:r>
    </w:p>
    <w:p w:rsidR="005728DD" w:rsidRDefault="005728DD" w:rsidP="005728DD">
      <w:pPr>
        <w:pStyle w:val="TextoNormal"/>
      </w:pPr>
    </w:p>
    <w:p w:rsidR="005728DD" w:rsidRDefault="005728DD" w:rsidP="005728DD">
      <w:pPr>
        <w:pStyle w:val="TextoNormal"/>
      </w:pPr>
      <w:r>
        <w:t>Solicita por todo ello la desestimación del recurso interpuesto.</w:t>
      </w:r>
    </w:p>
    <w:p w:rsidR="005728DD" w:rsidRDefault="005728DD" w:rsidP="005728DD">
      <w:pPr>
        <w:pStyle w:val="TextoNormal"/>
      </w:pPr>
    </w:p>
    <w:p w:rsidR="005728DD" w:rsidRDefault="005728DD" w:rsidP="005728DD">
      <w:pPr>
        <w:pStyle w:val="TextoNormal"/>
      </w:pPr>
      <w:r w:rsidRPr="005728DD">
        <w:rPr>
          <w:rStyle w:val="NumeroAFNegritaCaracter"/>
        </w:rPr>
        <w:t>4</w:t>
      </w:r>
      <w:r>
        <w:t>. El Parlamento de Cataluña, tras una solicitud de prórroga concedida por el Tribunal, presentó sus alegaciones el 28 de septiembre de 2020.</w:t>
      </w:r>
    </w:p>
    <w:p w:rsidR="005728DD" w:rsidRDefault="005728DD" w:rsidP="005728DD">
      <w:pPr>
        <w:pStyle w:val="TextoNormal"/>
      </w:pPr>
    </w:p>
    <w:p w:rsidR="005728DD" w:rsidRDefault="005728DD" w:rsidP="005728DD">
      <w:pPr>
        <w:pStyle w:val="TextoNormal"/>
      </w:pPr>
      <w:r>
        <w:t>a) Considera, en primer lugar, que la aparente convalidación tardía del Decreto-ley 1/2020 solo afecta a este y en todo caso no tiene capacidad para alterar un resultado, la “derogación” del Decreto-ley no convalidado, que se desprende directamente del art. 64.2 EAC. En todo caso, la praxis parlamentaria y la doctrina especializada consideran que el plazo de convalidación debe contarse a partir de la publicación, no de la promulgación, de forma coherente a lo que establece el art. 158.1 del Reglamento del Parlamento de Cataluña. La promulgación no es idónea como fórmula de conocimiento del Parlamento, y solo tomando en consideración la publicación puede garantizarse que este disponga de la capacidad necesaria para controlar el plazo constitucional y estatutariamente previsto.</w:t>
      </w:r>
    </w:p>
    <w:p w:rsidR="005728DD" w:rsidRDefault="005728DD" w:rsidP="005728DD">
      <w:pPr>
        <w:pStyle w:val="TextoNormal"/>
      </w:pPr>
    </w:p>
    <w:p w:rsidR="005728DD" w:rsidRDefault="005728DD" w:rsidP="005728DD">
      <w:pPr>
        <w:pStyle w:val="TextoNormal"/>
      </w:pPr>
      <w:r>
        <w:t>b) Respecto de la definición explícita y razonada de la situación de necesidad extraordinaria y urgente, recuerda que conforme doctrina constitucional se trata de un concepto constitucionalmente determinado que debe dejar a los órganos políticos un cierto margen de apreciación en su interpretación y aplicación, y que la función del tribunal es verificar, pero no sustituir este control político (autorestricción), declarando la inconstitucionalidad solamente en aquellos supuestos de uso abusivo o arbitrario de la figura. Le parece que debe tomarse en consideración el contexto de crisis económica desde 2008 y el problema social asociado que considera una situación “objetivamente incuestionable”, “pública y notoria”, acreditada por instituciones públicas y privadas. Luego llama la atención sobre datos concretos que se citan en la exposición de motivos y concluye que exigir un plus de fundamentación y demostración, como hace el recurso, no es conforme con la doctrina y el papel del Tribunal Constitucional.</w:t>
      </w:r>
    </w:p>
    <w:p w:rsidR="005728DD" w:rsidRDefault="005728DD" w:rsidP="005728DD">
      <w:pPr>
        <w:pStyle w:val="TextoNormal"/>
      </w:pPr>
    </w:p>
    <w:p w:rsidR="005728DD" w:rsidRDefault="005728DD" w:rsidP="005728DD">
      <w:pPr>
        <w:pStyle w:val="TextoNormal"/>
      </w:pPr>
      <w:r>
        <w:t>c) El Decreto-ley tampoco “afecta” al derecho de propiedad en el sentido de los arts. 86.1 CE y 64.1 EAC. Aun cuando este último artículo se refiera solamente a los derechos reconocidos en el propio Estatuto, entre los cuales no está el derecho de propiedad, los límites del art. 86.1 CE son igualmente aplicables de acuerdo con la doctrina de la STC 93/2015. Pero la interpretación de estos límites no puede ser más estricta que en el caso de los decretos-leyes estatales, y la interpretación de estos efectuada por el Tribunal Constitucional no es tan “estricta” y “limitativa” como la que sostienen los recurrentes, sino que lo “flexibiliza” a fin de que el decreto-ley pueda cumplir su función como norma de urgencia. Por eso ha reconducido este límite al establecimiento de su “régimen general”, “elementos esenciales” o “desarrollo directo” del derecho, pero no a cualquier regulación que de algún modo incida en él. Por eso, la argumentación de los recurrentes en el motivo correlativo le parece insuficiente, pues no razonan por qué esta regulación incumple esas condiciones. En todo caso, recuerda que el derecho de propiedad no es de los de mayor nivel de protección en la Constitución, sino un derecho “debilitado” (STC 111/1983), de modo que queda un amplio espacio para su configuración legal. Además, la “función social” expresamente reconocida por el art. 33.2 CE permite configurarlo en cada momento histórico en función de la per</w:t>
      </w:r>
      <w:r>
        <w:lastRenderedPageBreak/>
        <w:t>cepción que de esa función puedan tener los poderes públicos democráticamente legitimados. Estos parámetros deben ser tenidos en cuenta cuando se valora el grado de “afectación” del decreto-ley en un derecho constitucional. En particular, hay que diferenciar la delimitación del haz de facultades o contenido esencial del derecho de propiedad y el establecimiento de objetivos relacionados con su función social, que es lo que hace el Decreto-ley impugnado. En este último caso, el objeto de la norma no es establecer una regulación directa y con vocación de generalidad sino conformar una política pública de vivienda, tal y como permite la STC 93/2015.</w:t>
      </w:r>
    </w:p>
    <w:p w:rsidR="005728DD" w:rsidRDefault="005728DD" w:rsidP="005728DD">
      <w:pPr>
        <w:pStyle w:val="TextoNormal"/>
      </w:pPr>
    </w:p>
    <w:p w:rsidR="005728DD" w:rsidRDefault="005728DD" w:rsidP="005728DD">
      <w:pPr>
        <w:pStyle w:val="TextoNormal"/>
      </w:pPr>
      <w:r>
        <w:t>d) Niega la vulneración del art. 149.1.1 CE por el Decreto-ley. Le parece que la argumentación de los recurrentes es genérica e insuficiente y además errada, pues entienden ese precepto y el principio de igualdad en el ejercicio de los derechos constitucionales como algo “monolítico” y “absoluto” que niega las competencias autonómicas, tal y como lo ha interpretado el Tribunal Constitucional. Niega igualmente que la competencia autonómica en materia de vivienda se circunscriba a una actividad administrativa de ordenación y fomento, como sostienen los recurrentes. Además, el recurso no identifica la ley estatal dictada al amparo de este título competencial que opere como parámetro de contraste, como exige la jurisprudencia constitucional.</w:t>
      </w:r>
    </w:p>
    <w:p w:rsidR="005728DD" w:rsidRDefault="005728DD" w:rsidP="005728DD">
      <w:pPr>
        <w:pStyle w:val="TextoNormal"/>
      </w:pPr>
    </w:p>
    <w:p w:rsidR="005728DD" w:rsidRDefault="005728DD" w:rsidP="005728DD">
      <w:pPr>
        <w:pStyle w:val="TextoNormal"/>
      </w:pPr>
      <w:r>
        <w:t>e) Las medidas para promover la ocupación efectiva de viviendas tampoco vulneran las competencias de los núms. 1, 8, 13 y 18 del art. 149.1 CE. Reitera la interpretación “simple”, “genérica” y “errónea” del art. 149.1.1 sostenida por los recurrentes expuesta en el apartado anterior. La denuncia de vulneración del art. 149.1.8 CE está basada exclusivamente en que regula el contenido de un derecho patrimonial, pero ello no cumple con la carga alegatoria exigible, y en todo caso no toma en cuenta la posibilidad de que sobre la delimitación de la propiedad incidan títulos competenciales sectoriales, como el urbanismo y vivienda, según las SSTC 93/2015, 16/2018 y 32/2018. El recurso es igualmente parco en la denuncia de vulneración del art. 149.1.13 CE, pues omite cualquier contraste entre la normativa estatal y el decreto-ley recurrido. Examinado el contenido de las normas estatales, en cualquier caso, tampoco existe ninguna contradicción entre estas y el Decreto-ley impugnado. Además, el impacto económico es inherente al ejercicio de competencias autonómicas, sin que por ello estén proscritas por el art. 149.1.13. La vulneración del art. 149.1.18 tampoco se encuentra mínimamente argumentada: los recurrentes no ofrecen ninguna norma estatal que pueda oponerse a los preceptos impugnados en lo que a la divergencia de tratamiento se refiere, ni justifican por qué razón o en qué sentido se vulnera la normativa de expropiación forzosa. Este instituto es “instrumental” para el ejercicio de competencias autonómicas, sin que la normativa impugnada afecte e las garantías a que se refiere la competencia del Estado.</w:t>
      </w:r>
    </w:p>
    <w:p w:rsidR="005728DD" w:rsidRDefault="005728DD" w:rsidP="005728DD">
      <w:pPr>
        <w:pStyle w:val="TextoNormal"/>
      </w:pPr>
    </w:p>
    <w:p w:rsidR="005728DD" w:rsidRDefault="005728DD" w:rsidP="005728DD">
      <w:pPr>
        <w:pStyle w:val="TextoNormal"/>
      </w:pPr>
      <w:r>
        <w:t xml:space="preserve">f) La definición de vivienda vacía no afecta a la legislación procesal (art. 149.1.6 CE). El precepto contiene una norma sustantiva, y no puede otorgarse </w:t>
      </w:r>
      <w:r w:rsidRPr="005728DD">
        <w:rPr>
          <w:i/>
        </w:rPr>
        <w:t>vis expansiva</w:t>
      </w:r>
      <w:r>
        <w:t xml:space="preserve"> al art. 149.1.6. Como toda norma sustantiva, puede influir en la conveniencia de ejercitar acciones judiciales, pero ello no la convierte en norma procesal.</w:t>
      </w:r>
    </w:p>
    <w:p w:rsidR="005728DD" w:rsidRDefault="005728DD" w:rsidP="005728DD">
      <w:pPr>
        <w:pStyle w:val="TextoNormal"/>
      </w:pPr>
    </w:p>
    <w:p w:rsidR="005728DD" w:rsidRDefault="005728DD" w:rsidP="005728DD">
      <w:pPr>
        <w:pStyle w:val="TextoNormal"/>
      </w:pPr>
      <w:r>
        <w:t xml:space="preserve">g) Los arts. 4.2, 5.6, 5.7, 6.6 y la disposición transitoria primera (alquiler social) no vulneran las competencias del Estado sobre legislación procesal ni sobre bases de las obligaciones contractuales. Resulta sorprendente que se recurran estas normas que solo modifican obligaciones ya existentes. Lo único que hace el Decreto-ley es extender la obligación, ya prevista en la Ley 24/2015, a otros supuestos. Por otra parte, los recurrentes no justifican la </w:t>
      </w:r>
      <w:r>
        <w:lastRenderedPageBreak/>
        <w:t>calificación de “requisito” o “presupuesto” procesal que aplican a estos preceptos, siendo más bien una “carga” que recae sobre una de las partes antes del proceso. Además, se trata de una obligación que solo se impone a ciertos propietarios (grandes tenedores), no a todos. Los destinatarios igualmente limitados, y su vinculación con la función social de la propiedad de las viviendas, otorgan a la medida carácter tuitivo que enerva la vulneración de la competencia sobre bases de las obligaciones contractuales (art. 149.1.8 CE). Además, no impone ofrecer un alquiler sobre la misma vivienda; puede ser otra. Por último, la naturaleza administrativa de la reforma queda patente con el art. 4.2, que modifica el art. 5.2 de la Ley del derecho a la vivienda para incluirlo como nuevo supuesto de incumplimiento de la función social de la propiedad, verdadero propósito de la medida.</w:t>
      </w:r>
    </w:p>
    <w:p w:rsidR="005728DD" w:rsidRDefault="005728DD" w:rsidP="005728DD">
      <w:pPr>
        <w:pStyle w:val="TextoNormal"/>
      </w:pPr>
    </w:p>
    <w:p w:rsidR="005728DD" w:rsidRDefault="005728DD" w:rsidP="005728DD">
      <w:pPr>
        <w:pStyle w:val="TextoNormal"/>
      </w:pPr>
      <w:r>
        <w:t>h) El art. 8, que impone ciertas obligaciones relativas al índice de referencia de precios de alquiler, es una medida administrativa que no regula ni afecta a la validez de los contratos de arrendamiento. Por tanto, no vulnera el art. 149.1.8 CE citado de contrario.</w:t>
      </w:r>
    </w:p>
    <w:p w:rsidR="005728DD" w:rsidRDefault="005728DD" w:rsidP="005728DD">
      <w:pPr>
        <w:pStyle w:val="TextoNormal"/>
      </w:pPr>
    </w:p>
    <w:p w:rsidR="005728DD" w:rsidRDefault="005728DD" w:rsidP="005728DD">
      <w:pPr>
        <w:pStyle w:val="TextoNormal"/>
      </w:pPr>
      <w:r>
        <w:t>i) La obligación de reserva para vivienda protegida en suelo urbanizado (art. 13.2) no vulnera el texto refundido de la Ley de suelo estatal. El art. 20.1 b) impone un mandato general de reserva de suelo para este tipo de viviendas, remitiendo la cuantía de reserva expresamente a la legislación sobre ordenación territorial y urbanística autonómica. Y además, impone a los propietarios de suelo dedicárselo a usos compatibles con la ordenación territorial y urbanística [arts. 15.1 a) y 12.1], de modo que no modifica realmente los deberes de los propietarios.</w:t>
      </w:r>
    </w:p>
    <w:p w:rsidR="005728DD" w:rsidRDefault="005728DD" w:rsidP="005728DD">
      <w:pPr>
        <w:pStyle w:val="TextoNormal"/>
      </w:pPr>
    </w:p>
    <w:p w:rsidR="005728DD" w:rsidRDefault="005728DD" w:rsidP="005728DD">
      <w:pPr>
        <w:pStyle w:val="TextoNormal"/>
      </w:pPr>
      <w:r>
        <w:t>j) La definición de gran tenedor no vulnera los arts. 149.1.1 y 13 CE ni contradice el Real Decreto-ley 11/2020 ya que ambas normas, la estatal y la autonómica, operan sobre ámbitos de aplicación distintos. La estatal establece un aplazamiento temporal y extraordinario en el pago de la renta; la autonómica la obligación de ofrecer un alquiler social. Y ninguna de las normas pretende extender el concepto de gran tenedor más allá de su respectivo ámbito de aplicación.</w:t>
      </w:r>
    </w:p>
    <w:p w:rsidR="005728DD" w:rsidRDefault="005728DD" w:rsidP="005728DD">
      <w:pPr>
        <w:pStyle w:val="TextoNormal"/>
      </w:pPr>
    </w:p>
    <w:p w:rsidR="005728DD" w:rsidRDefault="005728DD" w:rsidP="005728DD">
      <w:pPr>
        <w:pStyle w:val="TextoNormal"/>
      </w:pPr>
      <w:r>
        <w:t>k) Niega igualmente que el art. 2.1 vulnere el contenido esencial del derecho de propiedad (art. 33) ni los arts. 9.3, 24 y 118 CE. Las medidas vinculadas a la “utilización anómala” de una vivienda por no estar efectivamente ocupada (requerimientos, sanciones, multas coercitivas y expropiación) están amparadas por el art. 33.2 que permite delimitar el contenido esencial del derecho de acuerdo con su función social. Las exigencias sociales de la propiedad, reconocidas en los arts. 40 o 128.1 CE, pueden justificar intervenciones públicas siempre que se mantenga la recognoscibilidad del derecho (STC 37/1987) y sean proporcionadas (STC 16/2018). En concreto, el acceso a la vivienda está constitucional y estatuariamente reconocido como derecho (arts. 47 CE y 26 y 47 EAC). De ahí que las medidas destinadas a fomentar la vivienda asequible en el mercado sean conformes con la Constitución. Añade que el recurso se refiere no tanto a una regulación general como a un supuesto concreto que puede plantearse: la declaración de vivienda vacía en caso de ocupación ilegal. Pero de la letra del art. 2.1 del Decreto-ley 17/2019, modificado por el artículo único del Decreto-ley 1/2020, no se deduce necesariamente que la condición de vivienda vacía sea aplicable a las viviendas ocupadas ilegalmente. El Decreto-ley 17/2019 excluía ese supuesto; pero de ello no se deriva que con el Decreto-ley 1/2020 se aplique necesariamente lo contrario. Ello dependerá de la actitud del propietario, pues hay que suponer que el ejer</w:t>
      </w:r>
      <w:r>
        <w:lastRenderedPageBreak/>
        <w:t>cicio o no de acciones judiciales será determinante para apreciar si existe o no causa justificada de desocupación. Por lo tanto, no hay una privación o restricción general de la facultad reivindicatoria de todos los propietarios. Sus acciones judiciales continúan plenamente vigentes en virtud, entre otros, del art. 348 del Código civil. La definición de vivienda vacía tampoco vulnera el principio de interdicción de la arbitrariedad de los poderes públicos (art. 9.3), de acuerdo con la aplicación deferente de ese principio al legislador, efectuada por la doctrina constitucional. El Decreto-ley posee, de acuerdo con ese canon, una finalidad razonable que lo hace constitucional. Tampoco afecta al principio de proporcionalidad, pues la medida es idónea, no existen otras menos restrictivas (el Decreto-ley 17/2019 las intensificó precisamente por la ineficacia de las anteriores) y sus beneficios o ventajas para el interés general solo podrán valorarse tras un tiempo de aplicación. Finalmente, no vulnera el derecho a la tutela judicial efectiva ni la obligación de cumplir las sentencias firmes porque ello es ajeno al objeto y finalidad del Decreto-ley.</w:t>
      </w:r>
    </w:p>
    <w:p w:rsidR="005728DD" w:rsidRDefault="005728DD" w:rsidP="005728DD">
      <w:pPr>
        <w:pStyle w:val="TextoNormal"/>
      </w:pPr>
    </w:p>
    <w:p w:rsidR="005728DD" w:rsidRDefault="005728DD" w:rsidP="005728DD">
      <w:pPr>
        <w:pStyle w:val="TextoNormal"/>
      </w:pPr>
      <w:r>
        <w:t>l) Los arts. 2.2 y 2.10, que se aplican al cumplimiento de la función social de la propiedad, no tienen naturaleza sancionadora, por lo que no pueden infringir el art. 25 CE.</w:t>
      </w:r>
    </w:p>
    <w:p w:rsidR="005728DD" w:rsidRDefault="005728DD" w:rsidP="005728DD">
      <w:pPr>
        <w:pStyle w:val="TextoNormal"/>
      </w:pPr>
    </w:p>
    <w:p w:rsidR="005728DD" w:rsidRDefault="005728DD" w:rsidP="005728DD">
      <w:pPr>
        <w:pStyle w:val="TextoNormal"/>
      </w:pPr>
      <w:r>
        <w:t>m) La obligación de ofrecer un alquiler social a determinados inquilinos (arts. 4.2, 5.6, 5.7 y 6.6 y la disposición transitoria primera) no vulnera los arts. 10, 24 y 38 CE, ya que los requisitos para que surja esta obligación son muy restrictivos. Además, la duración del arrendamiento forzoso es la misma que la de la Ley de arrendamientos urbanos. Y su razón de ser está en una grave situación de escasez habitacional (endurecimiento de las condiciones del crédito, falta de capacidad de ahorro de la ciudadanía, etcétera). Además, debe enjuiciarse no aisladamente sino en conjunción con el resto de medidas establecidas con el mismo objetivo. Niega que la limitación que supone esa obligación afecte al libre desarrollo de la personalidad, que el Tribunal Constitucional ha interpretado, no como autonomía de la voluntad en el sentido del art. 1255 del Código civil, sino como principio de autodeterminación en relación con la autotutela (STC 133/2017). Afecta, en realidad, a la libre empresa (art. 38 CE), que puede ser modulada para la protección de otros principios y derechos constitucionales, tales como el derecho a la vivienda (art. 47 CE) o la propia dignidad de la persona (art. 10.1 CE). En cuanto a la vulneración de los arts. 24 y 117 CE, los propios recurrentes aportan la prueba de que no se trata de un obstáculo al acceso a la jurisdicción, con el acuerdo de los presidentes de las secciones civiles de la Audiencia Provincial de Barcelona, que le niega la condición de requisito de procedibilidad.</w:t>
      </w:r>
    </w:p>
    <w:p w:rsidR="005728DD" w:rsidRDefault="005728DD" w:rsidP="005728DD">
      <w:pPr>
        <w:pStyle w:val="TextoNormal"/>
      </w:pPr>
    </w:p>
    <w:p w:rsidR="005728DD" w:rsidRDefault="005728DD" w:rsidP="005728DD">
      <w:pPr>
        <w:pStyle w:val="TextoNormal"/>
      </w:pPr>
      <w:r>
        <w:t>n) La definición de gran tenedor de los arts. 5.4 y 5.7 no es arbitraria ni discriminatoria. Reitera la aplicación deferente de la prohibición de arbitrariedad del art. 9.3 al legislador, y puntualiza además que los recurrentes plantean una discriminación por indiferenciación entre personas físicas y jurídicas que conforme a la propia doctrina constitucional (STC 20/1986) no debe construir la Justicia constitucional, sino los poderes públicos legitimados democráticamente. La aplicación de criterios idénticos, objetivos y racionales a las personas físicas y jurídicas hace que la norma se mantenga dentro del margen reconocido por la Constitución.</w:t>
      </w:r>
    </w:p>
    <w:p w:rsidR="005728DD" w:rsidRDefault="005728DD" w:rsidP="005728DD">
      <w:pPr>
        <w:pStyle w:val="TextoNormal"/>
      </w:pPr>
    </w:p>
    <w:p w:rsidR="005728DD" w:rsidRDefault="005728DD" w:rsidP="005728DD">
      <w:pPr>
        <w:pStyle w:val="TextoNormal"/>
      </w:pPr>
      <w:r>
        <w:t xml:space="preserve">ñ) El recurso contra el art. 4.6, sobre el registro de viviendas vacías, le parece, en primer lugar, extemporáneo, porque bajo el pretexto de recurrir este precepto los recurrentes efectúan en realidad una impugnación general del registro creado con anterioridad, y de todo su régimen jurídico. En cuanto al fondo del motivo, le parece que el registro no vulnera el </w:t>
      </w:r>
      <w:r>
        <w:lastRenderedPageBreak/>
        <w:t>derecho a la intimidad personal, puesto que la misma habilitación legal que el precepto confiere evita la vulneración, de conformidad con la Ley Orgánica de protección de datos y el reglamento comunitario sobre la materia. Son, además, datos necesarios, de acuerdo con el principio de “minimización de datos” contenido en el citado reglamento. Son, por último, datos determinados y necesarios para el ejercicio de las competencias autonómicas en materia de vivienda.</w:t>
      </w:r>
    </w:p>
    <w:p w:rsidR="005728DD" w:rsidRDefault="005728DD" w:rsidP="005728DD">
      <w:pPr>
        <w:pStyle w:val="TextoNormal"/>
      </w:pPr>
    </w:p>
    <w:p w:rsidR="005728DD" w:rsidRDefault="005728DD" w:rsidP="005728DD">
      <w:pPr>
        <w:pStyle w:val="TextoNormal"/>
      </w:pPr>
      <w:r>
        <w:t>Solicita por todo ello la desestimación íntegra del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providencia de 26 de enero de 2021, se señaló para deliberación y votación de la presente sentencia el día 28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w:t>
      </w:r>
      <w:r>
        <w:t>.</w:t>
      </w:r>
    </w:p>
    <w:p w:rsidR="005728DD" w:rsidRDefault="005728DD" w:rsidP="005728DD">
      <w:pPr>
        <w:pStyle w:val="TextoNormal"/>
      </w:pPr>
    </w:p>
    <w:p w:rsidR="005728DD" w:rsidRDefault="005728DD" w:rsidP="005728DD">
      <w:pPr>
        <w:pStyle w:val="TextoNormal"/>
      </w:pPr>
      <w:r>
        <w:t>Ochenta y seis diputados del grupo parlamentario popular del Congreso interponen recurso de inconstitucionalidad contra dos decretos-leyes del Gobierno de la Generalitat de Cataluña y contra el acuerdo de “validación” —en terminología del art. 64.2 del Estatuto de Autonomía de Cataluña— del segundo de ellos. Son los siguientes:</w:t>
      </w:r>
    </w:p>
    <w:p w:rsidR="005728DD" w:rsidRDefault="005728DD" w:rsidP="005728DD">
      <w:pPr>
        <w:pStyle w:val="TextoNormal"/>
      </w:pPr>
    </w:p>
    <w:p w:rsidR="005728DD" w:rsidRDefault="005728DD" w:rsidP="005728DD">
      <w:pPr>
        <w:pStyle w:val="TextoNormal"/>
      </w:pPr>
      <w:r>
        <w:t>a) El Decreto-ley 17/2019, de 23 de diciembre, de medidas urgentes para mejorar el acceso a la vivienda. Este Decreto-ley tiene quince artículos que modifican varias leyes anteriores (Ley del Parlamento de Cataluña 18/2007, de 28 de diciembre, del derecho a la vivienda; Decreto-ley del Gobierno de la Generalitat de Cataluña 1/2015, de 24 de marzo, de medidas extraordinarias y urgentes para la movilización de las viviendas provenientes de procesos de ejecución hipotecaria; Ley del Parlamento de Cataluña 24/2015, del 29 de julio, de medidas urgentes para afrontar la emergencia en el ámbito de la vivienda y la pobreza energética; Ley del Parlamento de Cataluña 4/2016, de 23 de diciembre, de medidas de protección del derecho a la vivienda de las personas en riesgo de exclusión residencial; y texto refundido de la Ley de urbanismo, aprobado por el Decreto Legislativo de la Generalitat de Cataluña 1/2010, de 3 de agosto). A ellos se añaden seis disposiciones adicionales, nueve transitorias, una derogatoria y siete finales.</w:t>
      </w:r>
    </w:p>
    <w:p w:rsidR="005728DD" w:rsidRDefault="005728DD" w:rsidP="005728DD">
      <w:pPr>
        <w:pStyle w:val="TextoNormal"/>
      </w:pPr>
    </w:p>
    <w:p w:rsidR="005728DD" w:rsidRDefault="005728DD" w:rsidP="005728DD">
      <w:pPr>
        <w:pStyle w:val="TextoNormal"/>
      </w:pPr>
      <w:r>
        <w:t>Los recurrentes lo impugnan en su conjunto, por falta de presupuesto habilitante, y subsidiariamente impugnan varios de sus artículos por motivos tanto competenciales como sustantivos. El grueso de esos motivos se concentra, desde diferentes perspectivas, en los artículos del Decreto-ley que declaran que mantener vacía una vivienda, o incluso ocupada sin título legítimo, supone un incumplimiento de la función social de la propiedad que habilita a la administración para requerir al propietario para su ocupación efectiva, imponerle multas coercitivas para la ejecución del mismo con un importe total máximo de hasta el 50 por 100 del valor estimado de la vivienda, sancionarle con multas de entre 90.001 y 900.000 € o expropiarle su propiedad. Y también en los preceptos que establecen la obligación de los grandes tenedores de viviendas, que son las personas físicas y jurídicas titulares de más de quince viviendas, de ofrecer un alquiler social con precio limitado a los ocupantes de una vivienda antes de emprender contra ellos acciones judiciales de desahucio, ejecución hipotecaria y otras análogas.</w:t>
      </w:r>
    </w:p>
    <w:p w:rsidR="005728DD" w:rsidRDefault="005728DD" w:rsidP="005728DD">
      <w:pPr>
        <w:pStyle w:val="TextoNormal"/>
      </w:pPr>
    </w:p>
    <w:p w:rsidR="005728DD" w:rsidRDefault="005728DD" w:rsidP="005728DD">
      <w:pPr>
        <w:pStyle w:val="TextoNormal"/>
      </w:pPr>
      <w:r>
        <w:t>b) El segundo decreto-ley impugnado es el Decreto-ley 1/2020, de 21 de enero, por el que se modifica el anterior.</w:t>
      </w:r>
    </w:p>
    <w:p w:rsidR="005728DD" w:rsidRDefault="005728DD" w:rsidP="005728DD">
      <w:pPr>
        <w:pStyle w:val="TextoNormal"/>
      </w:pPr>
    </w:p>
    <w:p w:rsidR="005728DD" w:rsidRDefault="005728DD" w:rsidP="005728DD">
      <w:pPr>
        <w:pStyle w:val="TextoNormal"/>
      </w:pPr>
      <w:r>
        <w:t>El art. 2.1 del Decreto-ley 17/2019 había modificado el art. 3 d) de la Ley 18/2007, de 28 de diciembre, del derecho a la vivienda, que contiene la definición de “vivienda vacía” a los efectos de esa ley. Decía en concreto este art. 2.1:</w:t>
      </w:r>
    </w:p>
    <w:p w:rsidR="005728DD" w:rsidRDefault="005728DD" w:rsidP="005728DD">
      <w:pPr>
        <w:pStyle w:val="TextoNormal"/>
      </w:pPr>
    </w:p>
    <w:p w:rsidR="005728DD" w:rsidRDefault="005728DD" w:rsidP="005728DD">
      <w:pPr>
        <w:pStyle w:val="TextoNormal"/>
      </w:pPr>
      <w:r>
        <w:t>“2.1 Se modifica la letra d) del artículo 3 de la Ley del derecho a la vivienda, que queda redactada de la manera siguiente:</w:t>
      </w:r>
    </w:p>
    <w:p w:rsidR="005728DD" w:rsidRDefault="005728DD" w:rsidP="005728DD">
      <w:pPr>
        <w:pStyle w:val="TextoNormal"/>
      </w:pPr>
    </w:p>
    <w:p w:rsidR="005728DD" w:rsidRDefault="005728DD" w:rsidP="005728DD">
      <w:pPr>
        <w:pStyle w:val="TextoNormal"/>
      </w:pPr>
      <w:r>
        <w:t>‘d) Vivienda vacía: la vivienda que permanece desocupada permanentemente, sin causa justificada, por un plazo de más de dos años. A este efecto, son causas justificadas el traslado por razones laborales, el cambio de domicilio por una situación de dependencia, el abandono de la vivienda en una zona rural en proceso de pérdida de población y el hecho de que la propiedad o la posesión de la vivienda sea objeto de un litigio judicial pendiente de resolución. La ocupación sin título legítimo no impide que se pueda considerar vacía una vivienda, salvo en el caso de que la persona propietaria acredite haber iniciado las acciones judiciales oportunas para la recuperación efectiva de la posesión antes de cumplirse el plazo para considerar la vivienda vacía’”.</w:t>
      </w:r>
    </w:p>
    <w:p w:rsidR="005728DD" w:rsidRDefault="005728DD" w:rsidP="005728DD">
      <w:pPr>
        <w:pStyle w:val="TextoNormal"/>
      </w:pPr>
    </w:p>
    <w:p w:rsidR="005728DD" w:rsidRDefault="005728DD" w:rsidP="005728DD">
      <w:pPr>
        <w:pStyle w:val="TextoNormal"/>
      </w:pPr>
      <w:r>
        <w:t>Pero menos de un mes después de aprobar ese Decreto-ley 17/2019, el Gobierno de la Generalitat aprobó el mencionado Decreto-ley 1/2020, cuya exposición de motivos dice:</w:t>
      </w:r>
    </w:p>
    <w:p w:rsidR="005728DD" w:rsidRDefault="005728DD" w:rsidP="005728DD">
      <w:pPr>
        <w:pStyle w:val="TextoNormal"/>
      </w:pPr>
    </w:p>
    <w:p w:rsidR="005728DD" w:rsidRDefault="005728DD" w:rsidP="005728DD">
      <w:pPr>
        <w:pStyle w:val="TextoNormal"/>
      </w:pPr>
      <w:r>
        <w:t>“Una vez aprobado el Decreto-ley [17/2019], se ha detectado que la definición de vivienda vacía introducida en el artículo 2.1 puede generar dudas de interpretación y, en consecuencia, problemas de seguridad jurídica que hay que evitar en una materia tan sensible como es la de la vivienda.</w:t>
      </w:r>
    </w:p>
    <w:p w:rsidR="005728DD" w:rsidRDefault="005728DD" w:rsidP="005728DD">
      <w:pPr>
        <w:pStyle w:val="TextoNormal"/>
      </w:pPr>
    </w:p>
    <w:p w:rsidR="005728DD" w:rsidRDefault="005728DD" w:rsidP="005728DD">
      <w:pPr>
        <w:pStyle w:val="TextoNormal"/>
      </w:pPr>
      <w:r>
        <w:t>En este sentido, con el fin de dotar de mayor coherencia la regulación contenida en el Decreto-ley aprobado, deben modificarse los supuestos que justifican que una vivienda esté desocupada”.</w:t>
      </w:r>
    </w:p>
    <w:p w:rsidR="005728DD" w:rsidRDefault="005728DD" w:rsidP="005728DD">
      <w:pPr>
        <w:pStyle w:val="TextoNormal"/>
      </w:pPr>
    </w:p>
    <w:p w:rsidR="005728DD" w:rsidRDefault="005728DD" w:rsidP="005728DD">
      <w:pPr>
        <w:pStyle w:val="TextoNormal"/>
      </w:pPr>
      <w:r>
        <w:t>Y a tal fin, el artículo único del Decreto-ley 1/2020 modificó (formalmente) el art. 2.1 del Decreto-ley 17/2019, dando en realidad nueva redacción al art. 3 d) de la Ley del derecho a la vivienda de 2007 para establecer una nueva definición de “vivienda vacía” a los efectos de esa ley. Dice así, este artículo único:</w:t>
      </w:r>
    </w:p>
    <w:p w:rsidR="005728DD" w:rsidRDefault="005728DD" w:rsidP="005728DD">
      <w:pPr>
        <w:pStyle w:val="TextoNormal"/>
      </w:pPr>
    </w:p>
    <w:p w:rsidR="005728DD" w:rsidRDefault="005728DD" w:rsidP="005728DD">
      <w:pPr>
        <w:pStyle w:val="TextoNormal"/>
      </w:pPr>
      <w:r>
        <w:t>“Artículo único. Modificación del artículo 2.1 del Decreto-ley 17/2019, de 23 de diciembre, de medidas urgentes para mejorar el acceso a la vivienda.</w:t>
      </w:r>
    </w:p>
    <w:p w:rsidR="005728DD" w:rsidRDefault="005728DD" w:rsidP="005728DD">
      <w:pPr>
        <w:pStyle w:val="TextoNormal"/>
      </w:pPr>
    </w:p>
    <w:p w:rsidR="005728DD" w:rsidRDefault="005728DD" w:rsidP="005728DD">
      <w:pPr>
        <w:pStyle w:val="TextoNormal"/>
      </w:pPr>
      <w:r>
        <w:t>Se modifica el apartado 2.1 del Decreto-ley 17/2019, de 23 de diciembre, de medidas urgentes para mejorar el acceso a la vivienda, que queda redactado de la manera siguiente:</w:t>
      </w:r>
    </w:p>
    <w:p w:rsidR="005728DD" w:rsidRDefault="005728DD" w:rsidP="005728DD">
      <w:pPr>
        <w:pStyle w:val="TextoNormal"/>
      </w:pPr>
    </w:p>
    <w:p w:rsidR="005728DD" w:rsidRDefault="005728DD" w:rsidP="005728DD">
      <w:pPr>
        <w:pStyle w:val="TextoNormal"/>
      </w:pPr>
      <w:r>
        <w:t>‘2.1 Se modifica la letra d del artículo 3 de la Ley del derecho a la vivienda, que queda redactada de la manera siguiente:</w:t>
      </w:r>
    </w:p>
    <w:p w:rsidR="005728DD" w:rsidRDefault="005728DD" w:rsidP="005728DD">
      <w:pPr>
        <w:pStyle w:val="TextoNormal"/>
      </w:pPr>
    </w:p>
    <w:p w:rsidR="005728DD" w:rsidRDefault="005728DD" w:rsidP="005728DD">
      <w:pPr>
        <w:pStyle w:val="TextoNormal"/>
      </w:pPr>
      <w:r>
        <w:lastRenderedPageBreak/>
        <w:t>d) Vivienda vacía: la vivienda que permanece desocupada permanentemente, sin causa justificada, por un plazo de más de dos años. A este efecto, son causas justificadas el traslado por razones laborales, el cambio de domicilio por una situación de dependencia, el abandono de la vivienda en una zona rural en proceso de pérdida de población y el hecho de que la propiedad de la vivienda sea objeto de un litigio judicial pendiente de resolución. La ocupación sin título legítimo no impide que se pueda considerar vacía una vivienda’”.</w:t>
      </w:r>
    </w:p>
    <w:p w:rsidR="005728DD" w:rsidRDefault="005728DD" w:rsidP="005728DD">
      <w:pPr>
        <w:pStyle w:val="TextoNormal"/>
      </w:pPr>
    </w:p>
    <w:p w:rsidR="005728DD" w:rsidRDefault="005728DD" w:rsidP="005728DD">
      <w:pPr>
        <w:pStyle w:val="TextoNormal"/>
      </w:pPr>
      <w:r>
        <w:t>De la comparación entre la antigua y la nueva redacción resulta que esta suprime dos incisos de la definición de vivienda vacía que exceptuaban la posibilidad de declarar esta en caso de pendencia de un litigio sobre la “posesión” de la vivienda o si el propietario ejercía las “acciones judiciales oportunas para la recuperación efectiva de la posesión antes de cumplirse el plazo para considerar la vivienda vacía”. El recurso, en los motivos que dirige contra el mencionado art. 2.1 del Decreto-ley 17/2019, o que toman como premisa o punto de partida la definición de “vivienda vacía” establecida en el mismo precepto, se dirige también expresamente contra el artículo único del Decreto-ley 1/2020 y la modificación efectuada en el mismo.</w:t>
      </w:r>
    </w:p>
    <w:p w:rsidR="005728DD" w:rsidRDefault="005728DD" w:rsidP="005728DD">
      <w:pPr>
        <w:pStyle w:val="TextoNormal"/>
      </w:pPr>
    </w:p>
    <w:p w:rsidR="005728DD" w:rsidRDefault="005728DD" w:rsidP="005728DD">
      <w:pPr>
        <w:pStyle w:val="TextoNormal"/>
      </w:pPr>
      <w:r>
        <w:t>c) Finalmente, es objeto de recurso el acuerdo de validación de este último Decreto-ley 1/2020 (resolución 751/XII del Parlamento de Cataluña, de convalidación del Decreto-ley 1/2020, de 21 de enero, publicada en el “Diari Oficial de la Generalitat de Catalunya” núm. 8080, de 9 de marzo de 2020) por vulneración del art. 64.2 EAC, que dice:</w:t>
      </w:r>
    </w:p>
    <w:p w:rsidR="005728DD" w:rsidRDefault="005728DD" w:rsidP="005728DD">
      <w:pPr>
        <w:pStyle w:val="TextoNormal"/>
      </w:pPr>
    </w:p>
    <w:p w:rsidR="005728DD" w:rsidRDefault="005728DD" w:rsidP="005728DD">
      <w:pPr>
        <w:pStyle w:val="TextoNormal"/>
      </w:pPr>
      <w:r>
        <w:t>“Los decretos-leyes quedan derogados si en el plazo improrrogable de treinta días subsiguientes a la promulgación no son validados expresamente por el Parlamento después de un debate y una votación de totalidad”.</w:t>
      </w:r>
    </w:p>
    <w:p w:rsidR="005728DD" w:rsidRDefault="005728DD" w:rsidP="005728DD">
      <w:pPr>
        <w:pStyle w:val="TextoNormal"/>
      </w:pPr>
    </w:p>
    <w:p w:rsidR="005728DD" w:rsidRDefault="005728DD" w:rsidP="005728DD">
      <w:pPr>
        <w:pStyle w:val="TextoNormal"/>
      </w:pPr>
      <w:r>
        <w:t>Según los recurrentes, computado ese plazo desde la “promulgación” del decreto-ley, y no desde su publicación, el plazo de treinta días señalado habría expirado el día anterior a su validación, y por tanto el Decreto-ley 1/2020 debe entenderse “derogado” por aplicación de lo dispuesto en el aludido precepto.</w:t>
      </w:r>
    </w:p>
    <w:p w:rsidR="005728DD" w:rsidRDefault="005728DD" w:rsidP="005728DD">
      <w:pPr>
        <w:pStyle w:val="TextoNormal"/>
      </w:pPr>
    </w:p>
    <w:p w:rsidR="005728DD" w:rsidRDefault="005728DD" w:rsidP="005728DD">
      <w:pPr>
        <w:pStyle w:val="TextoNormal"/>
      </w:pPr>
      <w:r>
        <w:t>d) Las alegaciones en defensa de las disposiciones y acto impugnados presentadas por el Gobierno y el Parlamento de la Generalitat han quedado resumidas en el apartado de los antecedentes.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El acuerdo de validación del Decreto-ley 1/2020</w:t>
      </w:r>
      <w:r>
        <w:t>.</w:t>
      </w:r>
    </w:p>
    <w:p w:rsidR="005728DD" w:rsidRDefault="005728DD" w:rsidP="005728DD">
      <w:pPr>
        <w:pStyle w:val="TextoNormal"/>
      </w:pPr>
    </w:p>
    <w:p w:rsidR="005728DD" w:rsidRDefault="005728DD" w:rsidP="005728DD">
      <w:pPr>
        <w:pStyle w:val="TextoNormal"/>
      </w:pPr>
      <w:r>
        <w:t>a) Razones lógicas y sistemáticas obligan a comenzar el examen del recurso por la validez constitucional del acuerdo de validación del Decreto-ley 1/2020, aludido en el apartado c) del fundamento jurídico anterior. El acuerdo parlamentario de validación de un decreto-ley, por sus efectos —conversión en definitiva de una disposición legislativa hasta entonces provisional—, es un “acto con fuerza de ley” de las comunidades autónomas que puede ser objeto de recurso de inconstitucionalidad de acuerdo con el art. 27.2 e) LOTC. Y de su conformidad o disconformidad con la Constitución y el bloque de la constitucionalidad dependerá, además, cuál sea el contenido del art. 3 d) de la Ley del derecho a la vivienda y la definición de “vivienda vacía” que debe tomarse en cuenta para la resolución de los restantes motivos del recurso. De ahí la necesidad de su examen prioritario.</w:t>
      </w:r>
    </w:p>
    <w:p w:rsidR="005728DD" w:rsidRDefault="005728DD" w:rsidP="005728DD">
      <w:pPr>
        <w:pStyle w:val="TextoNormal"/>
      </w:pPr>
    </w:p>
    <w:p w:rsidR="005728DD" w:rsidRDefault="005728DD" w:rsidP="005728DD">
      <w:pPr>
        <w:pStyle w:val="TextoNormal"/>
      </w:pPr>
      <w:r>
        <w:lastRenderedPageBreak/>
        <w:t>b) El Decreto-ley 1/2020 lleva fecha de 21 de enero, día de su firma y promulgación por el presidente de la Generalitat en cumplimiento del art 67.6 a) EAC que atribuye a este, “como representante ordinario del Estado en Cataluña”, la potestad de “promulgar, en nombre del rey, las leyes, los Decretos-leyes y los Decretos Legislativos de Cataluña y ordenar su publicación”.</w:t>
      </w:r>
    </w:p>
    <w:p w:rsidR="005728DD" w:rsidRDefault="005728DD" w:rsidP="005728DD">
      <w:pPr>
        <w:pStyle w:val="TextoNormal"/>
      </w:pPr>
    </w:p>
    <w:p w:rsidR="005728DD" w:rsidRDefault="005728DD" w:rsidP="005728DD">
      <w:pPr>
        <w:pStyle w:val="TextoNormal"/>
      </w:pPr>
      <w:r>
        <w:t>El Decreto-ley se publicó, no obstante, en el “Diari Oficial de la Generalitat de Catalunya” del día siguiente (“DOGC” núm. 8047, de 22 de enero de 2020).</w:t>
      </w:r>
    </w:p>
    <w:p w:rsidR="005728DD" w:rsidRDefault="005728DD" w:rsidP="005728DD">
      <w:pPr>
        <w:pStyle w:val="TextoNormal"/>
      </w:pPr>
    </w:p>
    <w:p w:rsidR="005728DD" w:rsidRDefault="005728DD" w:rsidP="005728DD">
      <w:pPr>
        <w:pStyle w:val="TextoNormal"/>
      </w:pPr>
      <w:r>
        <w:t>Los recurrentes parten de diferenciar promulgación y publicación como dos actos autónomos y diferenciados, de autoría, significado y efectos distintos en nuestro Derecho, tal y como se desprende de los artículos 91 de la Constitución y 65 y 67.6 a) del Estatuto de Autonomía de Cataluña, que los diferencian. En consecuencia, continúan, debe entenderse que cuando el art. 64.2 EAC se refiere a la “promulgación” del decreto-ley como día inicial del cómputo del plazo para la validación de los decretos-leyes está aludiendo a ese acto formal del presidente de la Generalitat, y no a su publicación en el diario oficial. Y si esto es así, ese plazo de treinta días desde la “promulgación” del Decreto-ley 1/2020, que se produjo el 21 de enero de 2020, habría expirado el 3 de marzo, de modo que el acuerdo de validación del Parlamento de Cataluña, aprobado el día siguiente, habría vulnerado el citado art. 64.2 EAC.</w:t>
      </w:r>
    </w:p>
    <w:p w:rsidR="005728DD" w:rsidRDefault="005728DD" w:rsidP="005728DD">
      <w:pPr>
        <w:pStyle w:val="TextoNormal"/>
      </w:pPr>
    </w:p>
    <w:p w:rsidR="005728DD" w:rsidRDefault="005728DD" w:rsidP="005728DD">
      <w:pPr>
        <w:pStyle w:val="TextoNormal"/>
      </w:pPr>
      <w:r>
        <w:t>Por el contrario, los representantes del Gobierno y Parlamento autonómicos consideran que, más allá de reminiscencias históricas, promulgación y publicación se exteriorizan en unidad de acto, haciendo fe esta de aquella, de modo que el plazo de validación debe contarse desde la publicación del decreto-ley. La promulgación es además un acto sin relevancia externa, y por tanto solo la publicación, que sí la tiene, puede servir como fórmula de conocimiento y comunicación al Parlamento de la aprobación de un decreto-ley para que este pueda proceder a su convalidación, y así lo sostiene también la doctrina mayoritaria. Ello es además coherente con lo establecido en el art. 158.1 del Reglamento del Parlamento de Cataluña, análogo al art. 151 del Reglamento del Congreso de los Diputados, que después de reconocer que el debate y la votación sobre la convalidación o derogación de un decreto-ley debe celebrarse en el plazo de treinta días “a partir de su promulgación”, dispone sin embargo que “[l]a inclusión de un decreto-ley en el orden del día de una sesión puede realizarse tan pronto como haya sido publicado en el ‘Diari Oficial de la Generalitat de Catalunya’”.</w:t>
      </w:r>
    </w:p>
    <w:p w:rsidR="005728DD" w:rsidRDefault="005728DD" w:rsidP="005728DD">
      <w:pPr>
        <w:pStyle w:val="TextoNormal"/>
      </w:pPr>
    </w:p>
    <w:p w:rsidR="005728DD" w:rsidRDefault="005728DD" w:rsidP="005728DD">
      <w:pPr>
        <w:pStyle w:val="TextoNormal"/>
      </w:pPr>
      <w:r>
        <w:t>c) Tal y como ha quedado trabada la controversia entre las partes, la única cuestión sobre la que estas discrepan es la de cuándo comienza a computarse el plazo de validación de los decretos-leyes autonómicos conforme al art. 64.2 EAC, si el día de su “promulgación”, en cuyo caso todas coinciden en que habría quedado derogado en la fecha de la validación, o el día de su publicación, en cuyo caso también hay coincidencia en que esa validación se habría producido dentro de plazo. En consecuencia, a este único objeto de debate ceñiremos nuestro análisis.</w:t>
      </w:r>
    </w:p>
    <w:p w:rsidR="005728DD" w:rsidRDefault="005728DD" w:rsidP="005728DD">
      <w:pPr>
        <w:pStyle w:val="TextoNormal"/>
      </w:pPr>
    </w:p>
    <w:p w:rsidR="005728DD" w:rsidRDefault="005728DD" w:rsidP="005728DD">
      <w:pPr>
        <w:pStyle w:val="TextoNormal"/>
      </w:pPr>
      <w:r>
        <w:t xml:space="preserve">La regulación del plazo de convalidación o validación del artículo 64.2 EAC se inspira en el art. 86.2 CE, pues, en relación con el mismo instrumento normativo, el decreto-ley, con los mismos presupuestos formales y materiales (STC 93/2015, de 14 de mayo, FFJJ 3 </w:t>
      </w:r>
      <w:r>
        <w:lastRenderedPageBreak/>
        <w:t>a 5) y la misma vigencia temporal limitada, ambos preceptos establecen a los mismos efectos (convalidación) el mismo plazo (treinta días) y día inicial de cómputo (la “promulgación” del decreto-ley en cuestión). El objeto de debate es qué debe entenderse por tal.</w:t>
      </w:r>
    </w:p>
    <w:p w:rsidR="005728DD" w:rsidRDefault="005728DD" w:rsidP="005728DD">
      <w:pPr>
        <w:pStyle w:val="TextoNormal"/>
      </w:pPr>
    </w:p>
    <w:p w:rsidR="005728DD" w:rsidRDefault="005728DD" w:rsidP="005728DD">
      <w:pPr>
        <w:pStyle w:val="TextoNormal"/>
      </w:pPr>
      <w:r>
        <w:t>La tesis de los recurrentes parte de vincular el término “promulgación” del art. 64.2 EAC (y del art. 86.2 CE) con el acto de “promulgación” del rey a que se refiere el art. 91 CE, que el presidente de la Generalitat de Cataluña efectúa “en su nombre” en los casos del art. 67.6 a) EAC.</w:t>
      </w:r>
    </w:p>
    <w:p w:rsidR="005728DD" w:rsidRDefault="005728DD" w:rsidP="005728DD">
      <w:pPr>
        <w:pStyle w:val="TextoNormal"/>
      </w:pPr>
    </w:p>
    <w:p w:rsidR="005728DD" w:rsidRDefault="005728DD" w:rsidP="005728DD">
      <w:pPr>
        <w:pStyle w:val="TextoNormal"/>
      </w:pPr>
      <w:r>
        <w:t>El art. 91 CE diferencia, efectivamente, entre promulgación y publicación. Dice:</w:t>
      </w:r>
    </w:p>
    <w:p w:rsidR="005728DD" w:rsidRDefault="005728DD" w:rsidP="005728DD">
      <w:pPr>
        <w:pStyle w:val="TextoNormal"/>
      </w:pPr>
    </w:p>
    <w:p w:rsidR="005728DD" w:rsidRDefault="005728DD" w:rsidP="005728DD">
      <w:pPr>
        <w:pStyle w:val="TextoNormal"/>
      </w:pPr>
      <w:r>
        <w:t>“El rey sancionará en el plazo de quince días las leyes aprobadas por las Cortes Generales, y las promulgará y ordenará su inmediata publicación”.</w:t>
      </w:r>
    </w:p>
    <w:p w:rsidR="005728DD" w:rsidRDefault="005728DD" w:rsidP="005728DD">
      <w:pPr>
        <w:pStyle w:val="TextoNormal"/>
      </w:pPr>
    </w:p>
    <w:p w:rsidR="005728DD" w:rsidRDefault="005728DD" w:rsidP="005728DD">
      <w:pPr>
        <w:pStyle w:val="TextoNormal"/>
      </w:pPr>
      <w:r>
        <w:t>Pero este artículo se refiere expresa, y únicamente, a las “leyes aprobadas por las Cortes Generales”. De la misma manera, al regular las funciones del rey, el art. 62 establece la de “sancionar y promulgar las leyes” [letra a)], y no, por tanto, ninguna otra disposición. En cambio, los decretos acordados en Consejo de Ministros son “expedidos” por el rey [art. 62 f)], no sancionados ni promulgados por él. En definitiva, la fórmula de la “promulgación” real no se aplica a los reales decretos-leyes ni a los reales decretos legislativos, aun cuando contengan “normas con rango de ley” (art. 82.1) o “disposiciones legislativas provisionales” (art. 86.1). Basta, en efecto, una consulta al “Boletín Oficial del Estado” para comprobar que los reales decretos-leyes no contienen una fórmula de promulgación análoga a la de las leyes formales (de Cortes).</w:t>
      </w:r>
    </w:p>
    <w:p w:rsidR="005728DD" w:rsidRDefault="005728DD" w:rsidP="005728DD">
      <w:pPr>
        <w:pStyle w:val="TextoNormal"/>
      </w:pPr>
    </w:p>
    <w:p w:rsidR="005728DD" w:rsidRDefault="005728DD" w:rsidP="005728DD">
      <w:pPr>
        <w:pStyle w:val="TextoNormal"/>
      </w:pPr>
      <w:r>
        <w:t>En consecuencia, el art. 86.2 de la Constitución, al exigir que los decretos-leyes sean convalidados “en el plazo de los treinta días siguientes a su promulgación” no se puede estar refiriendo al acto de promulgación real de los citados arts. 62 a) y 91 de la Constitución, aplicable solamente a las leyes formales, y no a los reales decretos-leyes. Y comoquiera que la potestad de promulgación del presidente de la Generalitat de Cataluña la ejecuta “en nombre del rey”, conforme al art. 67.6 a) EAC, debemos extender esta misma conclusión al precepto análogo que es al art. 64.2 EAC.</w:t>
      </w:r>
    </w:p>
    <w:p w:rsidR="005728DD" w:rsidRDefault="005728DD" w:rsidP="005728DD">
      <w:pPr>
        <w:pStyle w:val="TextoNormal"/>
      </w:pPr>
    </w:p>
    <w:p w:rsidR="005728DD" w:rsidRDefault="005728DD" w:rsidP="005728DD">
      <w:pPr>
        <w:pStyle w:val="TextoNormal"/>
      </w:pPr>
      <w:r>
        <w:t xml:space="preserve">Quiere ello decir que el término “promulgación” empleado en los arts. 86.2 CE y 64.2 EAC debe tener un significado diferente al de la promulgación real de los arts. 62 a) y 91 de la Constitución y 67.6 a) del Estatuto de Autonomía. Y este significado no puede ser otro que el usual en nuestro idioma que equipara promulgación y publicación, tal y como resulta del diccionario de la Real Academia Española, que define “promulgar” como “1. Publicar algo solemnemente. 2. Hacer que algo se divulgue y propague mucho en el público”; y, muy especialmente, en el ámbito del derecho, “3. </w:t>
      </w:r>
      <w:r w:rsidRPr="005728DD">
        <w:rPr>
          <w:i/>
        </w:rPr>
        <w:t>Der</w:t>
      </w:r>
      <w:r>
        <w:t>. Publicar formalmente una ley u otra disposición de la autoridad, a fin de que sea cumplida y hecha cumplir como obligatoria”. Un significado que coincide además con el tradicional en nuestro Derecho histórico, como demuestra el originario artículo 1 del Código civil, que establecía que “[l]as leyes obligarán en la Península, islas adyacentes, Canarias y territorios de África sujetos a la legislación peninsular, a los veinte días de su promulgación, si en ellas no se dispusiere otra cosa. Se entiende hecha la promulgación el día en que termine la inserción de la ley en la Gaceta”.</w:t>
      </w:r>
    </w:p>
    <w:p w:rsidR="005728DD" w:rsidRDefault="005728DD" w:rsidP="005728DD">
      <w:pPr>
        <w:pStyle w:val="TextoNormal"/>
      </w:pPr>
    </w:p>
    <w:p w:rsidR="005728DD" w:rsidRDefault="005728DD" w:rsidP="005728DD">
      <w:pPr>
        <w:pStyle w:val="TextoNormal"/>
      </w:pPr>
      <w:r>
        <w:lastRenderedPageBreak/>
        <w:t>De acuerdo con esta interpretación, el acuerdo del Parlamento de Cataluña por el que se valida el Decreto-ley 1/2020 debe entenderse realizado dentro de plazo, y en consecuencia el recurso interpuesto contra ese acto parlamentario debe ser desestimado.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Presupuesto habilitante del Decreto-ley 17/2019 (I): definición explícita y razonada de la situación de necesidad extraordinaria y urgente (art. 64.1 EAC</w:t>
      </w:r>
      <w:r>
        <w:t>).</w:t>
      </w:r>
    </w:p>
    <w:p w:rsidR="005728DD" w:rsidRDefault="005728DD" w:rsidP="005728DD">
      <w:pPr>
        <w:pStyle w:val="TextoNormal"/>
      </w:pPr>
    </w:p>
    <w:p w:rsidR="005728DD" w:rsidRDefault="005728DD" w:rsidP="005728DD">
      <w:pPr>
        <w:pStyle w:val="TextoNormal"/>
      </w:pPr>
      <w:r>
        <w:t>a) El siguiente motivo del recurso se dirige contra la totalidad del Decreto-ley 17/2019, por incumplimiento del presupuesto habilitante del art. 64.1 EAC, idéntico a estos efectos al art. 86.1 CE, y al que resulta de aplicación la doctrina constitucional establecida en relación con el mismo [por todas, STC 105/2018, de 4 de octubre, FJ 3 b)].</w:t>
      </w:r>
    </w:p>
    <w:p w:rsidR="005728DD" w:rsidRDefault="005728DD" w:rsidP="005728DD">
      <w:pPr>
        <w:pStyle w:val="TextoNormal"/>
      </w:pPr>
    </w:p>
    <w:p w:rsidR="005728DD" w:rsidRDefault="005728DD" w:rsidP="005728DD">
      <w:pPr>
        <w:pStyle w:val="TextoNormal"/>
      </w:pPr>
      <w:r>
        <w:t>De acuerdo con una consolidada jurisprudencia de este tribunal, iniciada en la STC 29/1982, de 31 de mayo, FJ 3, el control del presupuesto habilitante del art. 86.1 CE exige, primero, que el Gobierno haga una definición “explícita y razonada” de la situación concurrente, y segundo, que exista además una “conexión de sentido” entre la situación definida y las medidas que en el decreto-ley se adopten. Los recurrentes cuestionan el cumplimiento de estas dos exigencias constitucionales.</w:t>
      </w:r>
    </w:p>
    <w:p w:rsidR="005728DD" w:rsidRDefault="005728DD" w:rsidP="005728DD">
      <w:pPr>
        <w:pStyle w:val="TextoNormal"/>
      </w:pPr>
    </w:p>
    <w:p w:rsidR="005728DD" w:rsidRDefault="005728DD" w:rsidP="005728DD">
      <w:pPr>
        <w:pStyle w:val="TextoNormal"/>
      </w:pPr>
      <w:r>
        <w:t>b) En cuanto a la presentación explícita y razonada, los recurrentes sostienen que la exposición de motivos del Decreto-ley es “genérica” y se basa en “fórmulas rituales”; presenta “cifras descontextualizadas” y alude a problemas en el acceso a la vivienda que no vienen justificados por ningún “dato objetivo o estadística contrastable”. Aportan, al respecto, un informe que persigue acreditar “desde una perspectiva técnica y económica” que la situación de acceso a la vivienda en España en general y en Cataluña en particular no se corresponde con la descrita en la exposición de motivos del Decreto-ley y es incluso mejor que en países de nuestro entorno, tomando como base los datos de Eurostat.</w:t>
      </w:r>
    </w:p>
    <w:p w:rsidR="005728DD" w:rsidRDefault="005728DD" w:rsidP="005728DD">
      <w:pPr>
        <w:pStyle w:val="TextoNormal"/>
      </w:pPr>
    </w:p>
    <w:p w:rsidR="005728DD" w:rsidRDefault="005728DD" w:rsidP="005728DD">
      <w:pPr>
        <w:pStyle w:val="TextoNormal"/>
      </w:pPr>
      <w:r>
        <w:t>Tanto la abogada de la Generalitat como los letrados del Parlamento consideran infundado el reproche. Coinciden ambos en que debe hacerse una “valoración conjunta” de todos los factores que llevaron al Gobierno a dictar esa disposición y que son: (i) dos mociones parlamentarias instando al Gobierno a actuar en esta materia; (ii) los informes de la fundación Fomento de Estudios Sociales y Sociología Aplicada y del relator especial de la ONU en su visita a España; (iii) los argumentos expuestos en los debates de convalidación donde los representantes de todos los grupos admitieron de una manera u otra el problema de acceso a la vivienda en Cataluña; y (iv) los datos “concretos, objetivos y perfectamente contrastables” de la exposición de motivos; frente a ellos —se dice— no puede exigirse un “plus de fundamentación y demostración” que no se compadece con el margen de apreciación que deben tener los órganos políticos en la definición (Gobierno) y control (Parlamento) de la situación de “necesidad extraordinaria y urgente” del art. 64.1 EAC.</w:t>
      </w:r>
    </w:p>
    <w:p w:rsidR="005728DD" w:rsidRDefault="005728DD" w:rsidP="005728DD">
      <w:pPr>
        <w:pStyle w:val="TextoNormal"/>
      </w:pPr>
    </w:p>
    <w:p w:rsidR="005728DD" w:rsidRDefault="005728DD" w:rsidP="005728DD">
      <w:pPr>
        <w:pStyle w:val="TextoNormal"/>
      </w:pPr>
      <w:r>
        <w:t xml:space="preserve">c) Según una consolidada doctrina constitucional resumida, entre otras, en la STC 61/2018, de 7 de junio, FJ 4, con cita de otras anteriores, el concepto de extraordinaria y urgente necesidad establecido en la Constitución y en el Estatuto de Autonomía para permitir al Gobierno estatal o autonómico aprobar un decreto-ley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w:t>
      </w:r>
      <w:r>
        <w:lastRenderedPageBreak/>
        <w:t xml:space="preserve">este tribunal puede, en supuestos de uso abusivo o arbitrario, rechazar la definición que los órganos políticos hagan de una situación determinada”. Y continúa: “el control de este tribunal consiste en un control jurisdiccional </w:t>
      </w:r>
      <w:r w:rsidRPr="005728DD">
        <w:rPr>
          <w:i/>
        </w:rPr>
        <w:t>ex post</w:t>
      </w:r>
      <w:r>
        <w:t>, y tiene por misión velar por que el Gobierno no se haya apartado del margen de apreciación concedido por la norma, esto es, que aquel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w:t>
      </w:r>
    </w:p>
    <w:p w:rsidR="005728DD" w:rsidRDefault="005728DD" w:rsidP="005728DD">
      <w:pPr>
        <w:pStyle w:val="TextoNormal"/>
      </w:pPr>
    </w:p>
    <w:p w:rsidR="005728DD" w:rsidRDefault="005728DD" w:rsidP="005728DD">
      <w:pPr>
        <w:pStyle w:val="TextoNormal"/>
      </w:pPr>
      <w:r>
        <w:t>De la misma manera, hemos dicho con ocasión del examen de un decreto-ley sobre la misma materia (Real Decreto-ley 7/2019, de 1 de marzo, de medidas urgentes en materia de vivienda y alquiler) que puede cuestionarse ante este tribunal “la veracidad de los datos o afirmaciones efectuadas por el Gobierno para justificar la existencia de una situación de extraordinaria y urgente necesidad”, pero no solicitar de este tribunal una valoración de la “importancia” de esa situación y de la “decisión misma de actuar con urgencia” mediante decreto-ley, pues “ello representa una valoración esencialmente política de ordenación de prioridades de actuación que este tribunal no puede enjuiciar” (STC 14/2020, de 28 de enero, FFJJ 2 y 4). De conformidad con la doctrina antes aludida, el control de este tribunal no es político, confiado este a la cámara representativa que controla al Gobierno (art. 64.2 EAC), sino esencialmente jurídico (art. 27.1 LOTC), externo y dirigido a verificar que este no se ha apartado del margen de apreciación que le otorga el art. 64.1 EAC haciendo un uso abusivo o arbitrario del decreto-ley.</w:t>
      </w:r>
    </w:p>
    <w:p w:rsidR="005728DD" w:rsidRDefault="005728DD" w:rsidP="005728DD">
      <w:pPr>
        <w:pStyle w:val="TextoNormal"/>
      </w:pPr>
    </w:p>
    <w:p w:rsidR="005728DD" w:rsidRDefault="005728DD" w:rsidP="005728DD">
      <w:pPr>
        <w:pStyle w:val="TextoNormal"/>
      </w:pPr>
      <w:r>
        <w:t>d) Desde esta perspectiva, y de conformidad con la función de control jurídico (externo) que este tribunal tiene encomendada, la situación descrita en la exposición de motivos del Decreto-ley cumple con la doctrina establecida por este tribunal.</w:t>
      </w:r>
    </w:p>
    <w:p w:rsidR="005728DD" w:rsidRDefault="005728DD" w:rsidP="005728DD">
      <w:pPr>
        <w:pStyle w:val="TextoNormal"/>
      </w:pPr>
    </w:p>
    <w:p w:rsidR="005728DD" w:rsidRDefault="005728DD" w:rsidP="005728DD">
      <w:pPr>
        <w:pStyle w:val="TextoNormal"/>
      </w:pPr>
      <w:r>
        <w:t xml:space="preserve">La exposición de motivos dedica su apartado I a justificar la situación de necesidad extraordinaria y urgente que habilita al Gobierno a dictar la norma correspondiente. En esta parte alude, en general, al impacto de la crisis económica de 2008, iniciada poco después de la entrada en vigor de la Ley del derecho a la vivienda de 2007, y a la inadecuación de esta a la situación social derivada de la crisis, que hace necesaria su adaptación a las nuevas circunstancias. Se refiere, en concreto, a diversos indicadores que justifican la rápida reacción legislativa del Gobierno, como el bajo nivel de promoción de vivienda protegida, el reducido parque público de vivienda destinado a políticas sociales, el aumento de solicitantes de vivienda protegida y de ocupación sin título, y la caída del crédito hipotecario y elevación de los precios de alquiler. Algunos de estos indicadores están acompañados además de cifras concretas, o fácilmente accesibles y verificables, como son: que “desde 2014” el nivel de promoción de vivienda protegida está “en los niveles más bajos desde 1992”; que “[e]n menos de cinco años, los solicitantes [de vivienda de protección oficial] se han incrementado en 100 000 personas, y se han sobrepasado los 189 000 inscritos en el mes de septiembre de 2019”; que “los datos del registro de viviendas vacías y ocupadas sin título habilitante” evidencian una reducción de viviendas disponibles para la acción de los poderes públicos y su ocupación por personas sin título que pueden ser desahuciadas sin tener alternativa residencial; que el parque de vivienda destinado a políticas sociales de que disponen la Generalitat y los ayuntamientos “se sitúa en torno al 2 por 100 del parque de vivienda existente en Cataluña y, por lo tanto, lejos de la media de los principales países de la Unión Europea”; o que se ha producido una caída del crédito hipotecario y un alza en los precios </w:t>
      </w:r>
      <w:r>
        <w:lastRenderedPageBreak/>
        <w:t>de alquiler, constatado, entre otros, por el “Observatorio Metropolitano de la Vivienda de Barcelona […] en sus informes anuales”, y que todo ello produce que “el acceso a una vivienda digna y adecuada para una parte significativa de la población sigue siendo extremadamente dificultosa”.</w:t>
      </w:r>
    </w:p>
    <w:p w:rsidR="005728DD" w:rsidRDefault="005728DD" w:rsidP="005728DD">
      <w:pPr>
        <w:pStyle w:val="TextoNormal"/>
      </w:pPr>
    </w:p>
    <w:p w:rsidR="005728DD" w:rsidRDefault="005728DD" w:rsidP="005728DD">
      <w:pPr>
        <w:pStyle w:val="TextoNormal"/>
      </w:pPr>
      <w:r>
        <w:t xml:space="preserve">El consejero de Territorio y Sostenibilidad añadió, en el debate de convalidación (“Diari de Sessions del Parlament de Catalunya”, XII legislatura, serie P, núm. 83, sesión 48, miércoles 5 de febrero de 2020, págs. 40 a 65) otros datos de interés, relacionados con los aludidos en la exposición de motivos de la norma, como que los desahucios “han superado los 88.000 en Cataluña entre 2013 y 2018”, con un incremento del “4,8 por 100 entre 2017 y 2018” y “superando los 13.900 en 2019”; que las viviendas protegidas que gestiona la Generalitat son “aproximadamente 20.000” más “otras 15.000” de los ayuntamientos, lo que arroja el 2 por 100 citado en la exposición de motivos, lejos del “11 por 100” que cita el informe </w:t>
      </w:r>
      <w:r w:rsidRPr="005728DD">
        <w:rPr>
          <w:i/>
        </w:rPr>
        <w:t>The State of Housing in the European Union</w:t>
      </w:r>
      <w:r>
        <w:t xml:space="preserve"> de 2019; o que el precio del alquiler se ha incrementado “el 6 por 100 en los últimos tres años” (expresiones todas ellas en catalán, en el original).</w:t>
      </w:r>
    </w:p>
    <w:p w:rsidR="005728DD" w:rsidRDefault="005728DD" w:rsidP="005728DD">
      <w:pPr>
        <w:pStyle w:val="TextoNormal"/>
      </w:pPr>
    </w:p>
    <w:p w:rsidR="005728DD" w:rsidRDefault="005728DD" w:rsidP="005728DD">
      <w:pPr>
        <w:pStyle w:val="TextoNormal"/>
      </w:pPr>
      <w:r>
        <w:t>Son, todos ellos, datos concretos y precisos que no pueden considerarse “cifras descontextualizadas” ni fórmulas “genéricas” o “rituales, de una marcada abstracción y, por ello, de prácticamente imposible control constitucional”, como en el caso de la apelación a “la cambiante situación de la economía internacional” considerada como tal en la STC 68/2007, de 28 de marzo, FJ 10. Conforman, por el contrario, una definición precisa de una situación vinculada a un bien de primera necesidad como la vivienda (art. 47 CE) que puede legitimar la rápida reacción legislativa del Gobierno, tal y como ya apreciamos en la STC 93/2015, de 14 de mayo, sobre el Decreto-ley de la Junta de Andalucía 6/2013, de 9 de abril, de medidas para asegurar el cumplimiento de la función social de la vivienda, o en la STC 14/2020, antes citada, en relación con el Real Decreto-ley 7/2019, de 1 de marzo, de medidas urgentes en materia de vivienda y alquiler.</w:t>
      </w:r>
    </w:p>
    <w:p w:rsidR="005728DD" w:rsidRDefault="005728DD" w:rsidP="005728DD">
      <w:pPr>
        <w:pStyle w:val="TextoNormal"/>
      </w:pPr>
    </w:p>
    <w:p w:rsidR="005728DD" w:rsidRDefault="005728DD" w:rsidP="005728DD">
      <w:pPr>
        <w:pStyle w:val="TextoNormal"/>
      </w:pPr>
      <w:r>
        <w:t>Quiere ello decir, en suma, que el Gobierno autonómico se ha mantenido dentro del margen de apreciación que le proporciona el art. 64.1 EAC.</w:t>
      </w:r>
    </w:p>
    <w:p w:rsidR="005728DD" w:rsidRDefault="005728DD" w:rsidP="005728DD">
      <w:pPr>
        <w:pStyle w:val="TextoNormal"/>
      </w:pPr>
    </w:p>
    <w:p w:rsidR="005728DD" w:rsidRDefault="005728DD" w:rsidP="005728DD">
      <w:pPr>
        <w:pStyle w:val="TextoNormal"/>
      </w:pPr>
      <w:r>
        <w:t>e) Bajo la misma rúbrica de falta de presupuesto habilitante, los recurrentes denuncian que el Gobierno no ha justificado cuáles son los obstáculos para la consecución de los objetivos perseguidos mediante una ley formal aprobada en el Parlamento, teniendo en cuenta su carácter unicameral y la aprobación de algunas leyes autonómicas (que cita) en breves plazos de pocos meses. Denuncian además la existencia de un intento de regulación anterior, mediante el Decreto-ley 5/2019, de 5 de marzo, de medidas urgentes para mejorar el acceso a la vivienda (“DOGC” de 7 de marzo), de contenido semejante al Decreto-ley 17/2019, pero que quedó derogado por falta de los apoyos necesarios para su convalidación, que ni siquiera se intentó por este motivo según reconoció el consejero responsable en el debate de convalidación del posterior Decreto-ley 17/2019. Ello evidenciaría, según los recurrentes, la voluntad de evitar el debate parlamentario y la ausencia de una verdadera situación de necesidad de inmediata reacción legislativa.</w:t>
      </w:r>
    </w:p>
    <w:p w:rsidR="005728DD" w:rsidRDefault="005728DD" w:rsidP="005728DD">
      <w:pPr>
        <w:pStyle w:val="TextoNormal"/>
      </w:pPr>
    </w:p>
    <w:p w:rsidR="005728DD" w:rsidRDefault="005728DD" w:rsidP="005728DD">
      <w:pPr>
        <w:pStyle w:val="TextoNormal"/>
      </w:pPr>
      <w:r>
        <w:lastRenderedPageBreak/>
        <w:t>Los letrados autonómicos consideran que conforme a la doctrina de la STC 93/2015 no es exigible una justificación “expresa e individualizada” de la inadecuación del procedimiento legislativo y que la propia dificultad de convalidar el Decreto-ley anterior (5/2019) justifica la aprobación del segundo Decreto-ley 17/2019.</w:t>
      </w:r>
    </w:p>
    <w:p w:rsidR="005728DD" w:rsidRDefault="005728DD" w:rsidP="005728DD">
      <w:pPr>
        <w:pStyle w:val="TextoNormal"/>
      </w:pPr>
    </w:p>
    <w:p w:rsidR="005728DD" w:rsidRDefault="005728DD" w:rsidP="005728DD">
      <w:pPr>
        <w:pStyle w:val="TextoNormal"/>
      </w:pPr>
      <w:r>
        <w:t>f) No deben confundirse los controles político y jurídico encomendados al Parlamento (art. 64.2 EAC) y a este tribunal (art. 27.1 LOTC), respectivamente, ni sus parámetros, político y jurídico, respectivamente. La doctrina constitucional ha establecido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 sin olvidar que el control jurídico de este requisito no debe suplantar a los órganos constitucionales que intervienen en la aprobación y convalidación de los decretos-leyes, sino que ha de apoyarse en una valoración de conjunto de las circunstancias que rodean al caso (STC 332/2005, de 15 de diciembre, FJ 5, y 31/2011, de 17 de marzo, FJ 3).</w:t>
      </w:r>
    </w:p>
    <w:p w:rsidR="005728DD" w:rsidRDefault="005728DD" w:rsidP="005728DD">
      <w:pPr>
        <w:pStyle w:val="TextoNormal"/>
      </w:pPr>
    </w:p>
    <w:p w:rsidR="005728DD" w:rsidRDefault="005728DD" w:rsidP="005728DD">
      <w:pPr>
        <w:pStyle w:val="TextoNormal"/>
      </w:pPr>
      <w:r>
        <w:t>Desde esta perspectiva, una vez efectuada una descripción precisa, pormenorizada y suficiente de la situación de extraordinaria y urgente necesidad, como aquí ha efectuado el Gobierno de la Generalitat según hemos concluido en la precedente letra d) de este mismo fundamento jurídico, y de acuerdo con el control externo que corresponde a este tribunal, es jurídicamente admisible una “acción normativa absolutamente inmediata sin que la actuación pública orientada al logro de esos objetivos gubernamentales admita ningún retraso, ni siquiera la corta demora que conllevaría la tramitación legislativa particularmente ágil que caracteriza la aprobación de las leyes en las cámaras autonómicas” [STC 93/2015, sobre el Decreto-ley de la Junta de Andalucía de medidas para asegurar el cumplimiento de la función social de la vivienda, FJ 9 b)].</w:t>
      </w:r>
    </w:p>
    <w:p w:rsidR="005728DD" w:rsidRDefault="005728DD" w:rsidP="005728DD">
      <w:pPr>
        <w:pStyle w:val="TextoNormal"/>
      </w:pPr>
    </w:p>
    <w:p w:rsidR="005728DD" w:rsidRDefault="005728DD" w:rsidP="005728DD">
      <w:pPr>
        <w:pStyle w:val="TextoNormal"/>
      </w:pPr>
      <w:r>
        <w:t>Así pues, esta segunda parte del motivo debe ser también desestimada.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Presupuesto habilitante del Decreto-ley 17/2019 (y II): conexión de sentido de las medidas aprobadas con la situación de necesidad extraordinaria y urgente descrita</w:t>
      </w:r>
      <w:r>
        <w:t>.</w:t>
      </w:r>
    </w:p>
    <w:p w:rsidR="005728DD" w:rsidRDefault="005728DD" w:rsidP="005728DD">
      <w:pPr>
        <w:pStyle w:val="TextoNormal"/>
      </w:pPr>
    </w:p>
    <w:p w:rsidR="005728DD" w:rsidRDefault="005728DD" w:rsidP="005728DD">
      <w:pPr>
        <w:pStyle w:val="TextoNormal"/>
      </w:pPr>
      <w:r>
        <w:t xml:space="preserve">a) Además de efectuar una definición explícita y razonada de la situación de necesidad extraordinaria y urgente que el art. 64.1 EAC describe para habilitar al Gobierno autonómico a aprobar decretos-leyes, este tribunal ha exigido que las medidas aprobadas guarden una “conexión de sentido” con esa situación (STC 29/1982, FJ 3), o dicho de otro modo, “una relación directa o de congruencia con la situación que se trata de afrontar” (STC 182/1997, de 28 de octubre, FJ 3). En particular, en relación con este segundo elemento de control del presupuesto habilitante, nuestra doctrina ha afirmado un doble criterio o perspectiva para valorar la existencia de la conexión de sentido: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aquellas que, por su </w:t>
      </w:r>
      <w:r>
        <w:lastRenderedPageBreak/>
        <w:t>estructura misma, independientemente de su contenido, no modifican de manera instantánea la situación jurídica existente”.</w:t>
      </w:r>
    </w:p>
    <w:p w:rsidR="005728DD" w:rsidRDefault="005728DD" w:rsidP="005728DD">
      <w:pPr>
        <w:pStyle w:val="TextoNormal"/>
      </w:pPr>
    </w:p>
    <w:p w:rsidR="005728DD" w:rsidRDefault="005728DD" w:rsidP="005728DD">
      <w:pPr>
        <w:pStyle w:val="TextoNormal"/>
      </w:pPr>
      <w:r>
        <w:t>b) Invocando esta doctrina, los recurrentes denuncian la inconstitucionalidad de dos preceptos, el art. 2.1 y el art. 11, por la ausencia de eficacia inmediata de los mismos.</w:t>
      </w:r>
    </w:p>
    <w:p w:rsidR="005728DD" w:rsidRDefault="005728DD" w:rsidP="005728DD">
      <w:pPr>
        <w:pStyle w:val="TextoNormal"/>
      </w:pPr>
    </w:p>
    <w:p w:rsidR="005728DD" w:rsidRDefault="005728DD" w:rsidP="005728DD">
      <w:pPr>
        <w:pStyle w:val="TextoNormal"/>
      </w:pPr>
      <w:r>
        <w:t>El art. 2.1 contiene la nueva definición de vivienda vacía a los efectos de la Ley del derecho a la vivienda de 2007. Pero como para la efectividad de esta nueva definición es preciso que transcurran los dos años previstos en ella, la eficacia de esa norma queda demorada hasta que transcurran dos años desde la entrada en vigor del Decreto-ley.</w:t>
      </w:r>
    </w:p>
    <w:p w:rsidR="005728DD" w:rsidRDefault="005728DD" w:rsidP="005728DD">
      <w:pPr>
        <w:pStyle w:val="TextoNormal"/>
      </w:pPr>
    </w:p>
    <w:p w:rsidR="005728DD" w:rsidRDefault="005728DD" w:rsidP="005728DD">
      <w:pPr>
        <w:pStyle w:val="TextoNormal"/>
      </w:pPr>
      <w:r>
        <w:t>El art. 11 modifica la Ley de urbanismo de Cataluña para integrar el sistema urbanístico de viviendas dotacionales en el de equipamientos comunitarios, y por tanto permitir la construcción de ese tipo de viviendas en terrenos calificados de equipamiento comunitario. Teniendo en cuenta que según los datos del Departamento de Territorio y Sostenibilidad de la Generalitat la duración media para aprobar un plan urbanístico es de un año si se trata de un plan derivado, o de casi cinco años si es un plan general, la modificación descrita tampoco modifica de manera inmediata la realidad.</w:t>
      </w:r>
    </w:p>
    <w:p w:rsidR="005728DD" w:rsidRDefault="005728DD" w:rsidP="005728DD">
      <w:pPr>
        <w:pStyle w:val="TextoNormal"/>
      </w:pPr>
    </w:p>
    <w:p w:rsidR="005728DD" w:rsidRDefault="005728DD" w:rsidP="005728DD">
      <w:pPr>
        <w:pStyle w:val="TextoNormal"/>
      </w:pPr>
      <w:r>
        <w:t>Los letrados del Gobierno y Parlamento catalán consideran que el conjunto de medidas aprobadas guardan una evidente relación con la situación descrita en cuanto pretenden movilizar viviendas vacías y aumentar el parque de viviendas de protección oficial.</w:t>
      </w:r>
    </w:p>
    <w:p w:rsidR="005728DD" w:rsidRDefault="005728DD" w:rsidP="005728DD">
      <w:pPr>
        <w:pStyle w:val="TextoNormal"/>
      </w:pPr>
    </w:p>
    <w:p w:rsidR="005728DD" w:rsidRDefault="005728DD" w:rsidP="005728DD">
      <w:pPr>
        <w:pStyle w:val="TextoNormal"/>
      </w:pPr>
      <w:r>
        <w:t>c) Desde la STC 237/2012, de 13 de diciembre, FJ 6, hemos dicho que “no debe confundirse eficacia inmediata de la norma provisional con la ejecución instantánea de la misma. Solo aquella es un requisito ínsito en la definición constitucional del decreto-ley establecida en el art. 86.1 CE […] en tanto que la celeridad de la completa ejecución estará en función de la naturaleza y complejidad de las propias medidas adoptadas en cada decreto-ley para hacer frente a la situación de urgencia”. En esta misma línea, el tribunal ya declaró en la STC 29/1986, de 20 de febrero, FJ 2 c), que “[no] pued[e] afirmarse que, al no regular ella misma dichos planes y remitir a un futuro su elaboración, careciese su contenido de consecuencia por relación a las razones de extraordinaria y urgente necesidad que justificaron la adopción del Decreto-ley. De hecho, el Real Decreto-ley 8/1983, responde a la necesidad de regular con urgencia el marco jurídico para la elaboración inmediata de tales planes, marco jurídico entonces inexistente, sin el que no hubiesen podido aprobarse aquellos [...]”.</w:t>
      </w:r>
    </w:p>
    <w:p w:rsidR="005728DD" w:rsidRDefault="005728DD" w:rsidP="005728DD">
      <w:pPr>
        <w:pStyle w:val="TextoNormal"/>
      </w:pPr>
    </w:p>
    <w:p w:rsidR="005728DD" w:rsidRDefault="005728DD" w:rsidP="005728DD">
      <w:pPr>
        <w:pStyle w:val="TextoNormal"/>
      </w:pPr>
      <w:r>
        <w:t>En aplicación de esta doctrina, la STC 93/2015, antes citada, desestimó la impugnación dirigida contra algunos artículos de una norma parecida por la demora en su eficacia, razonando que integraban, “junto con otros […] un programa de acción dirigido a movilizar el parque de viviendas deshabitadas susceptibles de arrendamiento, como un medio para afrontar la situación de emergencia habitacional definida por el legislador como presupuesto habilitante del ejercicio de sus facultades de legislación provisional”; y que respondían “a la necesidad de regular con urgencia el marco jurídico necesario para poner en marcha el programa de acción orientado a movilizar el parque de viviendas deshabitadas susceptibles de arrendamiento, marco jurídico entonces inexistente y sin el que no se podría ejecutar dicho programa” (FJ 10).</w:t>
      </w:r>
    </w:p>
    <w:p w:rsidR="005728DD" w:rsidRDefault="005728DD" w:rsidP="005728DD">
      <w:pPr>
        <w:pStyle w:val="TextoNormal"/>
      </w:pPr>
    </w:p>
    <w:p w:rsidR="005728DD" w:rsidRDefault="005728DD" w:rsidP="005728DD">
      <w:pPr>
        <w:pStyle w:val="TextoNormal"/>
      </w:pPr>
      <w:r>
        <w:t>Por identidad de razón, este motivo del recurso debe ser igualmente desestimado.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Vulneración de los límites materiales de los decretos-leyes por “afectar” el Decreto-ley 17/2019 al derecho de propiedad reconocido en el art. 33 de la Constitución</w:t>
      </w:r>
      <w:r>
        <w:t>.</w:t>
      </w:r>
    </w:p>
    <w:p w:rsidR="005728DD" w:rsidRDefault="005728DD" w:rsidP="005728DD">
      <w:pPr>
        <w:pStyle w:val="TextoNormal"/>
      </w:pPr>
    </w:p>
    <w:p w:rsidR="005728DD" w:rsidRDefault="005728DD" w:rsidP="005728DD">
      <w:pPr>
        <w:pStyle w:val="TextoNormal"/>
      </w:pPr>
      <w:r>
        <w:t>a) El siguiente motivo del recurso denuncia que el Decreto-ley 17/2019 regula “materias excluidas” del ámbito de esta figura normativa de acuerdo con los arts. 86.1 CE y 64.1 EAC, por “afectar” al derecho de propiedad del art. 33 CE. A juicio de los recurrentes, el Decreto-ley “en su conjunto”, y en concreto dos grupos de preceptos que cita, regulan el “régimen general” del derecho de propiedad, incidiendo de manera “clara y directa” en su “contenido esencial” (“facultades inherentes” y “función social”) rebasando con ello el ámbito permitido por el art. 86.1 CE. La impugnación se centra “en particular” sobre dos grupos de preceptos: (i) en primer lugar, el art. 2.1 (definición de “vivienda vacía” a los efectos de la Ley del derecho a la vivienda de 2007), que “imposibilita el normal ejercicio de la potestad reivindicatoria” que corresponde a todo propietario. Esta primera parte de la impugnación se extiende luego a todos aquellos preceptos “que regulan las consecuencias derivadas del incumplimiento de la función social de la propiedad […] particularmente los artículos 2.1, 2.2, 2.3, 2.4, 2.5, 2.7, 2.8, 2.9, 2.10, 2.11, 2.12 y 5.5”. (ii) En segundo lugar, sobre los arts. 4.2, 5.6, 5.7 y 6.6, que al establecer “nuevas condiciones y supuestos de aplicación” al contrato forzoso de alquiler social “limitan” la facultad de disposición que igualmente corresponde a todo propietario, “configurando las consecuencias de [la] inobservancia” de esta obligación incidiendo así en “elementos esenciales que conforman el derecho de propiedad”. Estos dos grupos de normas, a juicio de los recurrentes, “afectan tanto a la vertiente individual como a la vertiente institucional del derecho de propiedad”, “limitan” las dos facultades dichas del propietario (reivindicación y disposición), y por tanto “rebasan” los límites materiales del decreto-ley impuestos por los arts. 86.1 CE y 64.1 EAC y por tanto no pueden ser objeto de regulación mediante la figura del decreto-ley, de conformidad con la doctrina de la STC 93/2015, de 14 de mayo, FJ 13, sobre una norma análoga.</w:t>
      </w:r>
    </w:p>
    <w:p w:rsidR="005728DD" w:rsidRDefault="005728DD" w:rsidP="005728DD">
      <w:pPr>
        <w:pStyle w:val="TextoNormal"/>
      </w:pPr>
    </w:p>
    <w:p w:rsidR="005728DD" w:rsidRDefault="005728DD" w:rsidP="005728DD">
      <w:pPr>
        <w:pStyle w:val="TextoNormal"/>
      </w:pPr>
      <w:r>
        <w:t>Los letrados del Gobierno y Parlamento autonómicos consideran insuficiente esta argumentación e incumplida la carga alegatoria del recurrente establecida por la doctrina de este tribunal. Además, la letrada de la Generalitat llama la atención sobre la diferencia entre el art. 2.1 del Decreto-ley 17/2019 y el precepto anulado en la STC 93/2015, que lo fue, según sus palabras, “en la medida en que se especificaba por primera vez que formaba parte del contenido esencial del derecho de propiedad de la vivienda el deber de destinar de forma efectiva el bien al uso habitacional”, cosa que “no sucede” con la definición de vivienda vacía contenida en el art. 2.1 impugnado. Por su parte, los letrados del Parlamento recuerdan que la interpretación de la figura del decreto-ley por el Tribunal Constitucional ha sido “flexible” desde la STC 111/1983, a fin de que este pueda cumplir su función constitucional como norma de urgencia. No cualquier “afectación” de un derecho está vedada al decreto-ley, por tanto, y al respecto recuerdan que el derecho de propiedad no es un derecho fundamental de la sección primera del capítulo II del título I de la Constitución sino que es un derecho “debilitado” de acuerdo con esa misma STC 111/1983. Finalmente apuntan que el Decreto-ley impugnado no tiene por finalidad establecer una regulación directa y con vocación de generalidad del derecho de propiedad sobre viviendas sino conformar una “política pública” sobre la materia, delimitando el contenido del derecho de propiedad realzando su “función social” (art. 33.2 CE), que es algo que permite la STC 93/2015 citada en el recurso.</w:t>
      </w:r>
    </w:p>
    <w:p w:rsidR="005728DD" w:rsidRDefault="005728DD" w:rsidP="005728DD">
      <w:pPr>
        <w:pStyle w:val="TextoNormal"/>
      </w:pPr>
    </w:p>
    <w:p w:rsidR="005728DD" w:rsidRDefault="005728DD" w:rsidP="005728DD">
      <w:pPr>
        <w:pStyle w:val="TextoNormal"/>
      </w:pPr>
      <w:r>
        <w:lastRenderedPageBreak/>
        <w:t>b) Con carácter prioritario debemos resolver la alegación de las partes comparecidas sobre la falta de carga alegatoria del recurrente. Es, en efecto, doctrina de este tribunal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o dicho de otro modo “que la presunción de constitucionalidad de normas con rango de ley no puede desvirtuarse sin un mínimo de argumentación y no caben impugnaciones globales y carentes de una razón suficientemente desarrollada” (entre las más recientes, STC 82/2020, de 15 de julio, con cita de otras). No obstante, ello no debe conducirnos a exigir una argumentación exhaustiva o agotadora; bastan argumentaciones escuetas, siempre que sean suficientes (STC 87/2019, de 20 de junio, FJ 13), es decir, siempre que permitan a las demás partes conocer los motivos de impugnación y alegar sobre ellos en el trámite correspondiente (art. 34 LOTC) y al tribunal resolverlos sin ocasionar indefensión a estas últimas.</w:t>
      </w:r>
    </w:p>
    <w:p w:rsidR="005728DD" w:rsidRDefault="005728DD" w:rsidP="005728DD">
      <w:pPr>
        <w:pStyle w:val="TextoNormal"/>
      </w:pPr>
    </w:p>
    <w:p w:rsidR="005728DD" w:rsidRDefault="005728DD" w:rsidP="005728DD">
      <w:pPr>
        <w:pStyle w:val="TextoNormal"/>
      </w:pPr>
      <w:r>
        <w:t>En el presente caso, el apartado correspondiente del escrito de interposición, resumido en los antecedentes y en el apartado anterior de este mismo fundamento jurídico, contiene elementos suficientes para permitir el pronunciamiento de este tribunal. Se cita una sentencia constitucional concreta, sobre un caso parecido, solicitando que apliquemos su doctrina a los preceptos también concretamente impugnados, y se denuncia en relación con ello la limitación por esos preceptos de facultades esenciales del propietario (las de disponer y reivindicar el bien) que no son admisibles mediante esta figura normativa, de conformidad con el art. 86.1 CE y 64.1 EAC. La argumentación es por tanto suficiente, aunque debemos ceñirla a los concretos preceptos impugnados y no al Decreto-ley “en su conjunto”, como solicitan prioritariamente los diputados recurrentes. Esta extensión general del motivo sí carece de la mínima argumentación exigible.</w:t>
      </w:r>
    </w:p>
    <w:p w:rsidR="005728DD" w:rsidRDefault="005728DD" w:rsidP="005728DD">
      <w:pPr>
        <w:pStyle w:val="TextoNormal"/>
      </w:pPr>
    </w:p>
    <w:p w:rsidR="005728DD" w:rsidRDefault="005728DD" w:rsidP="005728DD">
      <w:pPr>
        <w:pStyle w:val="TextoNormal"/>
      </w:pPr>
      <w:r>
        <w:t>c) Despejado el camino para pronunciarnos sobre este motivo de impugnación, debemos exponer primero el contenido de las normas impugnadas a fin de proyectar luego sobre ellas la argumentación de los recurrentes.</w:t>
      </w:r>
    </w:p>
    <w:p w:rsidR="005728DD" w:rsidRDefault="005728DD" w:rsidP="005728DD">
      <w:pPr>
        <w:pStyle w:val="TextoNormal"/>
      </w:pPr>
    </w:p>
    <w:p w:rsidR="005728DD" w:rsidRDefault="005728DD" w:rsidP="005728DD">
      <w:pPr>
        <w:pStyle w:val="TextoNormal"/>
      </w:pPr>
      <w:r>
        <w:t>(i) El primer conjunto de preceptos impugnados se agrupa por regular las consecuencias jurídicas del incumplimiento de la función social de la propiedad, tal y como esta es definida en el propio Decreto-ley. Así lo explica la propia exposición de motivos:</w:t>
      </w:r>
    </w:p>
    <w:p w:rsidR="005728DD" w:rsidRDefault="005728DD" w:rsidP="005728DD">
      <w:pPr>
        <w:pStyle w:val="TextoNormal"/>
      </w:pPr>
    </w:p>
    <w:p w:rsidR="005728DD" w:rsidRDefault="005728DD" w:rsidP="005728DD">
      <w:pPr>
        <w:pStyle w:val="TextoNormal"/>
      </w:pPr>
      <w:r>
        <w:t xml:space="preserve">“En la sección 1, relativa a las medidas ante la desocupación permanente de viviendas, se regula esta situación constitutiva de un incumplimiento de la función social de la propiedad de la vivienda. En este sentido, se ajustan las definiciones de vivienda vacía y las relativas a los incumplimientos referidos a la desocupación y a la falta de destino de las viviendas en residencia habitual y permanente de las personas usuarias. Estos incumplimientos se consideran al mismo tiempo un incumplimiento del deber de propiedad de las edificaciones de dedicarlas a usos compatibles con la ordenación territorial y urbanística a efectos de aplicar, si procede, los medios de ejecución forzosa regulados en la legislación en materia de suelo. […] Asimismo, se refuerzan las potestades de reacción administrativa mediante la regulación expresa de la posibilidad de imponer multas coercitivas ante la situación de desocupación permanente de los parques inmobiliarios de las personas jurídicas privadas, cuya </w:t>
      </w:r>
      <w:r>
        <w:lastRenderedPageBreak/>
        <w:t>utilización por parte de los ayuntamientos ha sido cuestionada jurisdiccionalmente al considerar insuficiente la regulación establecida”.</w:t>
      </w:r>
    </w:p>
    <w:p w:rsidR="005728DD" w:rsidRDefault="005728DD" w:rsidP="005728DD">
      <w:pPr>
        <w:pStyle w:val="TextoNormal"/>
      </w:pPr>
    </w:p>
    <w:p w:rsidR="005728DD" w:rsidRDefault="005728DD" w:rsidP="005728DD">
      <w:pPr>
        <w:pStyle w:val="TextoNormal"/>
      </w:pPr>
      <w:r>
        <w:t>Tal y como resulta de esta exposición, el Decreto-ley modifica primero, en sus arts. 2.1 y 2.2, la definición de vivienda vacía y los supuestos de incumplimiento de la función social de la propiedad de una vivienda regulados en la Ley 18/2007, de 28 de diciembre, del derecho a la vivienda. A continuación, los restantes preceptos de este primer grupo regulan las potestades administrativas que puede ejercer la administración cuando concurren aquellas circunstancias.</w:t>
      </w:r>
    </w:p>
    <w:p w:rsidR="005728DD" w:rsidRDefault="005728DD" w:rsidP="005728DD">
      <w:pPr>
        <w:pStyle w:val="TextoNormal"/>
      </w:pPr>
    </w:p>
    <w:p w:rsidR="005728DD" w:rsidRDefault="005728DD" w:rsidP="005728DD">
      <w:pPr>
        <w:pStyle w:val="TextoNormal"/>
      </w:pPr>
      <w:r>
        <w:t>La definición de “vivienda vacía” efectuada por el art. 2.1 del Decreto-ley 17/2019, modificado por el artículo único del Decreto-ley 1/2020, ya ha sido reproducida. Por claridad expositiva lo haremos una vez más. Dice:</w:t>
      </w:r>
    </w:p>
    <w:p w:rsidR="005728DD" w:rsidRDefault="005728DD" w:rsidP="005728DD">
      <w:pPr>
        <w:pStyle w:val="TextoNormal"/>
      </w:pPr>
    </w:p>
    <w:p w:rsidR="005728DD" w:rsidRDefault="005728DD" w:rsidP="005728DD">
      <w:pPr>
        <w:pStyle w:val="TextoNormal"/>
      </w:pPr>
      <w:r>
        <w:t>“2.1 Se modifica la letra d) del artículo 3 de la Ley del derecho a la vivienda, que queda redactada de la manera siguiente:</w:t>
      </w:r>
    </w:p>
    <w:p w:rsidR="005728DD" w:rsidRDefault="005728DD" w:rsidP="005728DD">
      <w:pPr>
        <w:pStyle w:val="TextoNormal"/>
      </w:pPr>
    </w:p>
    <w:p w:rsidR="005728DD" w:rsidRDefault="005728DD" w:rsidP="005728DD">
      <w:pPr>
        <w:pStyle w:val="TextoNormal"/>
      </w:pPr>
      <w:r>
        <w:t>‘d) Vivienda vacía: la vivienda que permanece desocupada permanentemente, sin causa justificada, por un plazo de más de dos años. A este efecto, son causas justificadas el traslado por razones laborales, el cambio de domicilio por una situación de dependencia, el abandono de la vivienda en una zona rural en proceso de pérdida de población y el hecho de que la propiedad de la vivienda sea objeto de un litigio judicial pendiente de resolución. La ocupación sin título legítimo no impide que se pueda considerar vacía una vivienda’”.</w:t>
      </w:r>
    </w:p>
    <w:p w:rsidR="005728DD" w:rsidRDefault="005728DD" w:rsidP="005728DD">
      <w:pPr>
        <w:pStyle w:val="TextoNormal"/>
      </w:pPr>
    </w:p>
    <w:p w:rsidR="005728DD" w:rsidRDefault="005728DD" w:rsidP="005728DD">
      <w:pPr>
        <w:pStyle w:val="TextoNormal"/>
      </w:pPr>
      <w:r>
        <w:t>El art. 2.2 del Decreto-ley 17/2019 modifica el art. 5.2 b) de la Ley del derecho a la vivienda, definiendo como supuesto de “incumplimiento de la función social de la propiedad de una vivienda o un edificio de viviendas” (art. 5.2) que estas:</w:t>
      </w:r>
    </w:p>
    <w:p w:rsidR="005728DD" w:rsidRDefault="005728DD" w:rsidP="005728DD">
      <w:pPr>
        <w:pStyle w:val="TextoNormal"/>
      </w:pPr>
    </w:p>
    <w:p w:rsidR="005728DD" w:rsidRDefault="005728DD" w:rsidP="005728DD">
      <w:pPr>
        <w:pStyle w:val="TextoNormal"/>
      </w:pPr>
      <w:r>
        <w:t>“b) Permanezcan desocupadas de manera permanente e injustificada por un plazo de más de dos años. Ni la ocupación de estas viviendas sin título habilitante ni la transmisión de su titularidad alteran la situación de incumplimiento de la función social de la propiedad”.</w:t>
      </w:r>
    </w:p>
    <w:p w:rsidR="005728DD" w:rsidRDefault="005728DD" w:rsidP="005728DD">
      <w:pPr>
        <w:pStyle w:val="TextoNormal"/>
      </w:pPr>
    </w:p>
    <w:p w:rsidR="005728DD" w:rsidRDefault="005728DD" w:rsidP="005728DD">
      <w:pPr>
        <w:pStyle w:val="TextoNormal"/>
      </w:pPr>
      <w:r>
        <w:t>Y el art. 2.3 hace lo propio con la letra d) de este art. 5.2 para definir como supuesto de incumplimiento de la función social la falta de ocupación de las viviendas de protección oficial: “[e]xiste incumplimiento de la función social de la propiedad de una vivienda o un edificio de viviendas en el supuesto de que:”</w:t>
      </w:r>
    </w:p>
    <w:p w:rsidR="005728DD" w:rsidRDefault="005728DD" w:rsidP="005728DD">
      <w:pPr>
        <w:pStyle w:val="TextoNormal"/>
      </w:pPr>
    </w:p>
    <w:p w:rsidR="005728DD" w:rsidRDefault="005728DD" w:rsidP="005728DD">
      <w:pPr>
        <w:pStyle w:val="TextoNormal"/>
      </w:pPr>
      <w:r>
        <w:t>“d) No se destine a residencia habitual y permanente de personas, si es una vivienda con protección oficial o una vivienda reservada por el planeamiento urbanístico a este tipo de residencia”.</w:t>
      </w:r>
    </w:p>
    <w:p w:rsidR="005728DD" w:rsidRDefault="005728DD" w:rsidP="005728DD">
      <w:pPr>
        <w:pStyle w:val="TextoNormal"/>
      </w:pPr>
    </w:p>
    <w:p w:rsidR="005728DD" w:rsidRDefault="005728DD" w:rsidP="005728DD">
      <w:pPr>
        <w:pStyle w:val="TextoNormal"/>
      </w:pPr>
      <w:r>
        <w:t>Los restantes preceptos impugnados regulan las consecuencias a que puede dar lugar ese incumplimiento, en los siguientes términos:</w:t>
      </w:r>
    </w:p>
    <w:p w:rsidR="005728DD" w:rsidRDefault="005728DD" w:rsidP="005728DD">
      <w:pPr>
        <w:pStyle w:val="TextoNormal"/>
      </w:pPr>
    </w:p>
    <w:p w:rsidR="005728DD" w:rsidRDefault="005728DD" w:rsidP="005728DD">
      <w:pPr>
        <w:pStyle w:val="TextoNormal"/>
      </w:pPr>
      <w:r>
        <w:t xml:space="preserve">“2.4 Se añade un apartado 2 </w:t>
      </w:r>
      <w:r w:rsidRPr="005728DD">
        <w:rPr>
          <w:i/>
        </w:rPr>
        <w:t>bis</w:t>
      </w:r>
      <w:r>
        <w:t xml:space="preserve"> al artículo 5 de la Ley del derecho a la vivienda, con la redacción siguiente:</w:t>
      </w:r>
    </w:p>
    <w:p w:rsidR="005728DD" w:rsidRDefault="005728DD" w:rsidP="005728DD">
      <w:pPr>
        <w:pStyle w:val="TextoNormal"/>
      </w:pPr>
    </w:p>
    <w:p w:rsidR="005728DD" w:rsidRDefault="005728DD" w:rsidP="005728DD">
      <w:pPr>
        <w:pStyle w:val="TextoNormal"/>
      </w:pPr>
      <w:r>
        <w:lastRenderedPageBreak/>
        <w:t>‘2 bis. Los supuestos de las letras b) y d) del apartado 2 suponen un incumplimiento del deber de propiedad de las edificaciones de dedicarlas a usos compatibles con la ordenación territorial y urbanística’.</w:t>
      </w:r>
    </w:p>
    <w:p w:rsidR="005728DD" w:rsidRDefault="005728DD" w:rsidP="005728DD">
      <w:pPr>
        <w:pStyle w:val="TextoNormal"/>
      </w:pPr>
    </w:p>
    <w:p w:rsidR="005728DD" w:rsidRDefault="005728DD" w:rsidP="005728DD">
      <w:pPr>
        <w:pStyle w:val="TextoNormal"/>
      </w:pPr>
      <w:r>
        <w:t>2.5 Se añade un párrafo, el segundo, al apartado 3 del artículo 5 de la Ley del derecho a la vivienda, con la redacción siguiente:</w:t>
      </w:r>
    </w:p>
    <w:p w:rsidR="005728DD" w:rsidRDefault="005728DD" w:rsidP="005728DD">
      <w:pPr>
        <w:pStyle w:val="TextoNormal"/>
      </w:pPr>
    </w:p>
    <w:p w:rsidR="005728DD" w:rsidRDefault="005728DD" w:rsidP="005728DD">
      <w:pPr>
        <w:pStyle w:val="TextoNormal"/>
      </w:pPr>
      <w:r>
        <w:t xml:space="preserve">‘Sin embargo, las administraciones competentes pueden declarar el incumplimiento de la función social de la propiedad de las viviendas cuando, requeridos los propietarios para que adopten las medidas necesarias para cumplir con la función mencionada, estos incumplan el requerimiento en el plazo que se establezca. La declaración del incumplimiento de la función social puede comportar la adopción de las medidas de ejecución forzosa que la legislación en materia de vivienda establece y, en los supuestos del apartado 2 </w:t>
      </w:r>
      <w:r w:rsidRPr="005728DD">
        <w:rPr>
          <w:i/>
        </w:rPr>
        <w:t>bis</w:t>
      </w:r>
      <w:r>
        <w:t>, las establecidas en la legislación en materia de suelo, incluida la expropiación forzosa en los casos establecidos legalmente’.</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2.7 Se modifica la letra a) del apartado 1 del artículo 41 de la Ley del derecho a la vivienda, que queda redactada de la manera siguiente:</w:t>
      </w:r>
    </w:p>
    <w:p w:rsidR="005728DD" w:rsidRDefault="005728DD" w:rsidP="005728DD">
      <w:pPr>
        <w:pStyle w:val="TextoNormal"/>
      </w:pPr>
    </w:p>
    <w:p w:rsidR="005728DD" w:rsidRDefault="005728DD" w:rsidP="005728DD">
      <w:pPr>
        <w:pStyle w:val="TextoNormal"/>
      </w:pPr>
      <w:r>
        <w:t>‘a) La desocupación permanente e injustificada a que hace referencia el artículo 5.2 b). Se asimila a esta utilización anómala la de los edificios inacabados con destinación final a vivienda, con más del ochenta por ciento de las obras de construcción ejecutadas, después de que hayan transcurrido más de dos años desde la conclusión del plazo máximo para acabarlos’.</w:t>
      </w:r>
    </w:p>
    <w:p w:rsidR="005728DD" w:rsidRDefault="005728DD" w:rsidP="005728DD">
      <w:pPr>
        <w:pStyle w:val="TextoNormal"/>
      </w:pPr>
    </w:p>
    <w:p w:rsidR="005728DD" w:rsidRDefault="005728DD" w:rsidP="005728DD">
      <w:pPr>
        <w:pStyle w:val="TextoNormal"/>
      </w:pPr>
      <w:r>
        <w:t>2.8 Se modifica el apartado 3 del artículo 41 de la Ley del derecho a la vivienda, que queda redactado de la manera siguiente:</w:t>
      </w:r>
    </w:p>
    <w:p w:rsidR="005728DD" w:rsidRDefault="005728DD" w:rsidP="005728DD">
      <w:pPr>
        <w:pStyle w:val="TextoNormal"/>
      </w:pPr>
    </w:p>
    <w:p w:rsidR="005728DD" w:rsidRDefault="005728DD" w:rsidP="005728DD">
      <w:pPr>
        <w:pStyle w:val="TextoNormal"/>
      </w:pPr>
      <w:r>
        <w:t>‘3. El Departamento competente en materia de vivienda y los municipios son competentes para:</w:t>
      </w:r>
    </w:p>
    <w:p w:rsidR="005728DD" w:rsidRDefault="005728DD" w:rsidP="005728DD">
      <w:pPr>
        <w:pStyle w:val="TextoNormal"/>
      </w:pPr>
    </w:p>
    <w:p w:rsidR="005728DD" w:rsidRDefault="005728DD" w:rsidP="005728DD">
      <w:pPr>
        <w:pStyle w:val="TextoNormal"/>
      </w:pPr>
      <w:r>
        <w:t>a) Instruir los procedimientos para comprobar si una vivienda o un edificio de viviendas se utilizan de una manera anómala o están en una situación anómala y, con la audiencia previa de las personas interesadas, declarar la utilización o situación anómala y requerir a la persona responsable para que adopte las medidas necesarias para corregir esta utilización o situación en el plazo que se establezca. En el requerimiento se tiene que advertir a la persona responsable de las posibles medidas a adoptar frente al incumplimiento, entre ellas, la imposición de las multas coercitivas previstas en esta Ley.</w:t>
      </w:r>
    </w:p>
    <w:p w:rsidR="005728DD" w:rsidRDefault="005728DD" w:rsidP="005728DD">
      <w:pPr>
        <w:pStyle w:val="TextoNormal"/>
      </w:pPr>
    </w:p>
    <w:p w:rsidR="005728DD" w:rsidRDefault="005728DD" w:rsidP="005728DD">
      <w:pPr>
        <w:pStyle w:val="TextoNormal"/>
      </w:pPr>
      <w:r>
        <w:t>b) Ordenar la ejecución forzosa de las medidas necesarias para corregir la utilización o situación anómala y determinar el medio de ejecución.</w:t>
      </w:r>
    </w:p>
    <w:p w:rsidR="005728DD" w:rsidRDefault="005728DD" w:rsidP="005728DD">
      <w:pPr>
        <w:pStyle w:val="TextoNormal"/>
      </w:pPr>
    </w:p>
    <w:p w:rsidR="005728DD" w:rsidRDefault="005728DD" w:rsidP="005728DD">
      <w:pPr>
        <w:pStyle w:val="TextoNormal"/>
      </w:pPr>
      <w:r>
        <w:t>c) Sancionar a la persona responsable cuando la utilización o la situación anómalas sean constitutivas de una infracción en materia de vivienda de acuerdo con esta Ley.</w:t>
      </w:r>
    </w:p>
    <w:p w:rsidR="005728DD" w:rsidRDefault="005728DD" w:rsidP="005728DD">
      <w:pPr>
        <w:pStyle w:val="TextoNormal"/>
      </w:pPr>
    </w:p>
    <w:p w:rsidR="005728DD" w:rsidRDefault="005728DD" w:rsidP="005728DD">
      <w:pPr>
        <w:pStyle w:val="TextoNormal"/>
      </w:pPr>
      <w:r>
        <w:lastRenderedPageBreak/>
        <w:t>Los procedimientos mencionados caducan, una vez transcurrido el plazo máximo de seis meses para dictar la resolución, si esta no ha sido dictada y notificada. Este plazo queda interrumpido en los supuestos a que se refiere la legislación de procedimiento administrativo común, y por todo el tiempo que haga falta para hacer las notificaciones mediante edictos, si procede.</w:t>
      </w:r>
    </w:p>
    <w:p w:rsidR="005728DD" w:rsidRDefault="005728DD" w:rsidP="005728DD">
      <w:pPr>
        <w:pStyle w:val="TextoNormal"/>
      </w:pPr>
    </w:p>
    <w:p w:rsidR="005728DD" w:rsidRDefault="005728DD" w:rsidP="005728DD">
      <w:pPr>
        <w:pStyle w:val="TextoNormal"/>
      </w:pPr>
      <w:r>
        <w:t>A menos que un municipio manifieste su voluntad de ejercer, con carácter general y preferente, las competencias mencionadas, el ejercicio de la competencia por parte de las administraciones mencionadas se concreta y coordina de manera concertada’.</w:t>
      </w:r>
    </w:p>
    <w:p w:rsidR="005728DD" w:rsidRDefault="005728DD" w:rsidP="005728DD">
      <w:pPr>
        <w:pStyle w:val="TextoNormal"/>
      </w:pPr>
    </w:p>
    <w:p w:rsidR="005728DD" w:rsidRDefault="005728DD" w:rsidP="005728DD">
      <w:pPr>
        <w:pStyle w:val="TextoNormal"/>
      </w:pPr>
      <w:r>
        <w:t>2.9 Se modifica el apartado 1 del artículo 42 de la Ley del derecho a la vivienda, que queda redactado de la manera siguiente:</w:t>
      </w:r>
    </w:p>
    <w:p w:rsidR="005728DD" w:rsidRDefault="005728DD" w:rsidP="005728DD">
      <w:pPr>
        <w:pStyle w:val="TextoNormal"/>
      </w:pPr>
    </w:p>
    <w:p w:rsidR="005728DD" w:rsidRDefault="005728DD" w:rsidP="005728DD">
      <w:pPr>
        <w:pStyle w:val="TextoNormal"/>
      </w:pPr>
      <w:r>
        <w:t>‘1. La Generalitat, en coordinación, si procede, con las administraciones locales, tienen que impulsar políticas de fomento para potenciar la incorporación al mercado, preferentemente de alquiler, de las viviendas vacías o permanentemente desocupadas. Con esta finalidad, deben velar para evitar situaciones de desocupación permanente de viviendas y aprobar los programas de inspección correspondientes’.</w:t>
      </w:r>
    </w:p>
    <w:p w:rsidR="005728DD" w:rsidRDefault="005728DD" w:rsidP="005728DD">
      <w:pPr>
        <w:pStyle w:val="TextoNormal"/>
      </w:pPr>
    </w:p>
    <w:p w:rsidR="005728DD" w:rsidRDefault="005728DD" w:rsidP="005728DD">
      <w:pPr>
        <w:pStyle w:val="TextoNormal"/>
      </w:pPr>
      <w:r>
        <w:t>2.10 Se añaden tres nuevos apartados, el 6, el 7 y el 8, al artículo 42 de la Ley del derecho a la vivienda, con la redacción siguiente:</w:t>
      </w:r>
    </w:p>
    <w:p w:rsidR="005728DD" w:rsidRDefault="005728DD" w:rsidP="005728DD">
      <w:pPr>
        <w:pStyle w:val="TextoNormal"/>
      </w:pPr>
    </w:p>
    <w:p w:rsidR="005728DD" w:rsidRDefault="005728DD" w:rsidP="005728DD">
      <w:pPr>
        <w:pStyle w:val="TextoNormal"/>
      </w:pPr>
      <w:r>
        <w:t>‘6. Sin embargo, en el caso de viviendas titularidad de personas jurídicas privadas, cuando la administración requiera a la persona responsable que adopte las medidas necesarias para ocupar legal y efectivamente una o varias viviendas con el fin de que constituyan la residencia de personas, tiene que advertirle en la misma resolución que, si la vivienda no se ocupa legal y efectivamente en el plazo que establezca, se podrá exigir la ejecución forzosa de las medidas requeridas mediante la imposición de una multa coercitiva de mil euros por cada vivienda por lapsos de tiempo de un mes mientras permanezcan desocupadas, con un importe máximo total del 50 por 100 del precio estimado de la vivienda. En la situación asimilada relativa a los edificios de viviendas inacabadas, el requerimiento mencionado debe incluir las medidas necesarias para acabar previamente las obras de edificación.</w:t>
      </w:r>
    </w:p>
    <w:p w:rsidR="005728DD" w:rsidRDefault="005728DD" w:rsidP="005728DD">
      <w:pPr>
        <w:pStyle w:val="TextoNormal"/>
      </w:pPr>
    </w:p>
    <w:p w:rsidR="005728DD" w:rsidRDefault="005728DD" w:rsidP="005728DD">
      <w:pPr>
        <w:pStyle w:val="TextoNormal"/>
      </w:pPr>
      <w:r>
        <w:t>7. En los supuestos establecidos legalmente, la advertencia a que hace referencia el apartado 6 tiene que incluir la posibilidad de declarar el incumplimiento de la función social de la propiedad a efectos de iniciar el procedimiento para su expropiación forzosa.</w:t>
      </w:r>
    </w:p>
    <w:p w:rsidR="005728DD" w:rsidRDefault="005728DD" w:rsidP="005728DD">
      <w:pPr>
        <w:pStyle w:val="TextoNormal"/>
      </w:pPr>
    </w:p>
    <w:p w:rsidR="005728DD" w:rsidRDefault="005728DD" w:rsidP="005728DD">
      <w:pPr>
        <w:pStyle w:val="TextoNormal"/>
      </w:pPr>
      <w:r>
        <w:t>8. En el caso de transmisión de la vivienda, el nuevo propietario se subroga en la posición del anterior a efectos de asumir las consecuencias del incumplimiento de la función social de la propiedad, con independencia de cuándo se inició la desocupación’.</w:t>
      </w:r>
    </w:p>
    <w:p w:rsidR="005728DD" w:rsidRDefault="005728DD" w:rsidP="005728DD">
      <w:pPr>
        <w:pStyle w:val="TextoNormal"/>
      </w:pPr>
    </w:p>
    <w:p w:rsidR="005728DD" w:rsidRDefault="005728DD" w:rsidP="005728DD">
      <w:pPr>
        <w:pStyle w:val="TextoNormal"/>
      </w:pPr>
      <w:r>
        <w:t>2.11 Se modifican los apartados 1 y 2 del artículo 113 de la Ley del derecho a la vivienda, que quedan redactados de la manera siguiente:</w:t>
      </w:r>
    </w:p>
    <w:p w:rsidR="005728DD" w:rsidRDefault="005728DD" w:rsidP="005728DD">
      <w:pPr>
        <w:pStyle w:val="TextoNormal"/>
      </w:pPr>
    </w:p>
    <w:p w:rsidR="005728DD" w:rsidRDefault="005728DD" w:rsidP="005728DD">
      <w:pPr>
        <w:pStyle w:val="TextoNormal"/>
      </w:pPr>
      <w:r>
        <w:t xml:space="preserve">‘1. La administración que requiera a la persona obligada para que lleve a cabo o deje de hacer una acción de acuerdo con esta Ley, en caso de incumplimiento del requerimiento en el plazo que se establezca, puede imponer multas coercitivas para su ejecución forzosa, reiteradas por lapsos de tiempo que sean suficientes para cumplir lo que haya ordenado. La </w:t>
      </w:r>
      <w:r>
        <w:lastRenderedPageBreak/>
        <w:t>multa coercitiva es independiente y compatible con la sanción que corresponda por la infracción administrativa en materia de vivienda que se haya podido cometer.</w:t>
      </w:r>
    </w:p>
    <w:p w:rsidR="005728DD" w:rsidRDefault="005728DD" w:rsidP="005728DD">
      <w:pPr>
        <w:pStyle w:val="TextoNormal"/>
      </w:pPr>
    </w:p>
    <w:p w:rsidR="005728DD" w:rsidRDefault="005728DD" w:rsidP="005728DD">
      <w:pPr>
        <w:pStyle w:val="TextoNormal"/>
      </w:pPr>
      <w:r>
        <w:t>2. El importe máximo total de las multas coercitivas relacionadas con la ejecución forzosa de obras no puede superar el 50 por 100 del coste estimado para ejecutarlas. En otros supuestos, el importe mencionado no puede superar el 50 por 100 de la multa sancionadora establecida para el tipo de infracción cometida, sin perjuicio del supuesto a que hace referencia el artículo 42.6’.</w:t>
      </w:r>
    </w:p>
    <w:p w:rsidR="005728DD" w:rsidRDefault="005728DD" w:rsidP="005728DD">
      <w:pPr>
        <w:pStyle w:val="TextoNormal"/>
      </w:pPr>
    </w:p>
    <w:p w:rsidR="005728DD" w:rsidRDefault="005728DD" w:rsidP="005728DD">
      <w:pPr>
        <w:pStyle w:val="TextoNormal"/>
      </w:pPr>
      <w:r>
        <w:t>2.12 Se modifica la letra h) del apartado 1 del artículo 123 de la Ley del derecho a la vivienda, que queda redactada de la manera siguiente:</w:t>
      </w:r>
    </w:p>
    <w:p w:rsidR="005728DD" w:rsidRDefault="005728DD" w:rsidP="005728DD">
      <w:pPr>
        <w:pStyle w:val="TextoNormal"/>
      </w:pPr>
    </w:p>
    <w:p w:rsidR="005728DD" w:rsidRDefault="005728DD" w:rsidP="005728DD">
      <w:pPr>
        <w:pStyle w:val="TextoNormal"/>
      </w:pPr>
      <w:r>
        <w:t>‘h) Incumplir un requerimiento para que se ocupe legal y efectivamente una vivienda con el fin de que constituya la residencia de personas’”.</w:t>
      </w:r>
    </w:p>
    <w:p w:rsidR="005728DD" w:rsidRDefault="005728DD" w:rsidP="005728DD">
      <w:pPr>
        <w:pStyle w:val="TextoNormal"/>
      </w:pPr>
    </w:p>
    <w:p w:rsidR="005728DD" w:rsidRDefault="005728DD" w:rsidP="005728DD">
      <w:pPr>
        <w:pStyle w:val="TextoNormal"/>
      </w:pPr>
      <w:r>
        <w:t>Y el art. 5.5, igualmente impugnado dentro de este primer grupo de preceptos, dispone:</w:t>
      </w:r>
    </w:p>
    <w:p w:rsidR="005728DD" w:rsidRDefault="005728DD" w:rsidP="005728DD">
      <w:pPr>
        <w:pStyle w:val="TextoNormal"/>
      </w:pPr>
    </w:p>
    <w:p w:rsidR="005728DD" w:rsidRDefault="005728DD" w:rsidP="005728DD">
      <w:pPr>
        <w:pStyle w:val="TextoNormal"/>
      </w:pPr>
      <w:r>
        <w:t>“5.5 Se añade una letra c) al apartado 1 del artículo 7 de la Ley de medidas urgentes para afrontar la emergencia en el ámbito de la vivienda y la pobreza energética, con la redacción siguiente:</w:t>
      </w:r>
    </w:p>
    <w:p w:rsidR="005728DD" w:rsidRDefault="005728DD" w:rsidP="005728DD">
      <w:pPr>
        <w:pStyle w:val="TextoNormal"/>
      </w:pPr>
    </w:p>
    <w:p w:rsidR="005728DD" w:rsidRDefault="005728DD" w:rsidP="005728DD">
      <w:pPr>
        <w:pStyle w:val="TextoNormal"/>
      </w:pPr>
      <w:r>
        <w:t>‘c) Que el propietario haya incumplido el requerimiento relativo a la obligación de que la vivienda esté ocupada legalmente para constituir la residencia de las personas, en que se advertía que, si no acreditaba la ocupación en un plazo máximo de un mes, se podría declarar el incumplimiento de la función social de la vivienda a efectos de iniciar el procedimiento para su cesión obligatoria en los términos que regula este artículo’”.</w:t>
      </w:r>
    </w:p>
    <w:p w:rsidR="005728DD" w:rsidRDefault="005728DD" w:rsidP="005728DD">
      <w:pPr>
        <w:pStyle w:val="TextoNormal"/>
      </w:pPr>
    </w:p>
    <w:p w:rsidR="005728DD" w:rsidRDefault="005728DD" w:rsidP="005728DD">
      <w:pPr>
        <w:pStyle w:val="TextoNormal"/>
      </w:pPr>
      <w:r>
        <w:t>Convenientemente sistematizados, estos preceptos regulan la competencia para declarar el incumplimiento de la función social de la propiedad, que corresponde al Departamento competente en materia de vivienda del Gobierno de la Generalitat y a los ayuntamientos (art. 2.8, que modifica el art. 41.3 de la Ley del derecho a la vivienda), y las potestades que desencadena esa declaración, que pueden ser de “fomento para potenciar la incorporación al mercado, preferentemente de alquiler, de las viviendas vacías o permanentemente desocupadas” (art. 2.9, que modifica el art. 42.1 de la Ley del derecho a la vivienda), o de carácter coactivo. Estas últimas son de tres tipos: en primer lugar, requerimientos para que “se ocupe legal y efectivamente la vivienda con el fin de que constituya la residencia de personas” (arts. 2.5, 2.8, 2.10 y 2.11), cuyo incumplimiento es constitutivo de infracción muy grave (art. 2.12). En segundo lugar, y con independencia de la sanción que pueda imponerse por ese incumplimiento, la “ejecución forzosa” del requerimiento mediante la imposición de “multas coercitivas” periódicas, con un importe máximo total del 50 por 100 del precio estimado de la vivienda (arts. 2.10 y 2.11). Y en tercer lugar, la expropiación de la vivienda (arts. 2.4 y 2.5) o la cesión obligatoria de su uso por tres años (art. 5.5).</w:t>
      </w:r>
    </w:p>
    <w:p w:rsidR="005728DD" w:rsidRDefault="005728DD" w:rsidP="005728DD">
      <w:pPr>
        <w:pStyle w:val="TextoNormal"/>
      </w:pPr>
    </w:p>
    <w:p w:rsidR="005728DD" w:rsidRDefault="005728DD" w:rsidP="005728DD">
      <w:pPr>
        <w:pStyle w:val="TextoNormal"/>
      </w:pPr>
      <w:r>
        <w:t>(ii) El segundo grupo de preceptos impugnados comprende los que se refieren a la obligación de los propietarios de ofrecer un alquiler social en determinadas circunstancias y condiciones, regulada en la Ley del Parlamento de Cataluña 24/2015, de 29 de julio, de medidas urgentes para afrontar la emergencia en el ámbito de la vivienda y la pobreza energética.</w:t>
      </w:r>
    </w:p>
    <w:p w:rsidR="005728DD" w:rsidRDefault="005728DD" w:rsidP="005728DD">
      <w:pPr>
        <w:pStyle w:val="TextoNormal"/>
      </w:pPr>
    </w:p>
    <w:p w:rsidR="005728DD" w:rsidRDefault="005728DD" w:rsidP="005728DD">
      <w:pPr>
        <w:pStyle w:val="TextoNormal"/>
      </w:pPr>
      <w:r>
        <w:t>El art. 5.2 de esta Ley 24/2015, en su redacción original, ya imponía a determinados propietarios (esencialmente, personas jurídicas que tuvieran la condición de grandes tenedores de acuerdo con la propia ley o que hubieran adquirido después del 1 de abril de 2008 viviendas provenientes de ejecuciones hipotecarias), antes de interponer cualquier demanda judicial de ejecución hipotecaria o de desahucio por impago de alquiler, la obligación de ofrecer a los afectados, si estos se encontraban en riesgo de exclusión residencial conforme a los parámetros establecidos en la misma ley, una propuesta de alquiler social con precio limitado. Este precio es, como máximo, el 18 por 100 de los ingresos ponderados de la unidad familiar si estos son iguales o superiores al 0,95 del indicador de renta de suficiencia, según el apartado 7 de ese mismo art. 5. Por su parte, el indicador de renta de suficiencia está fijado actualmente en 569,12 € mensuales y 7 967,73 € anuales, de acuerdo con la disposición adicional decimoséptima de la Ley 4/2020, del 29 de abril, de presupuestos de la Generalitat de Cataluña para el 2020. El art. 16.3 de la Ley 4/2016, de 23 de diciembre, de medidas de protección del derecho a la vivienda de las personas en riesgo de exclusión residencial, reiteraba esa obligación.</w:t>
      </w:r>
    </w:p>
    <w:p w:rsidR="005728DD" w:rsidRDefault="005728DD" w:rsidP="005728DD">
      <w:pPr>
        <w:pStyle w:val="TextoNormal"/>
      </w:pPr>
    </w:p>
    <w:p w:rsidR="005728DD" w:rsidRDefault="005728DD" w:rsidP="005728DD">
      <w:pPr>
        <w:pStyle w:val="TextoNormal"/>
      </w:pPr>
      <w:r>
        <w:t>El Decreto-ley no modifica el art. 5.2 de la Ley 24/2015, pero sí los supuestos y condiciones de esa obligación de propuesta de alquiler social mediante los preceptos objeto de esta parte del recurso (arts. 4.2, 5.6, 5.7 y 6.6). Los arts. 5.6 y 5.7 añaden un art. 10 y una disposición adicional primera a la mencionada Ley 24/2015 que hacen extensiva esta obligación de ofrecer un alquiler social a dos supuestos antes no contemplados: en primer lugar, el vencimiento de la duración del título jurídico que habilita la ocupación de la vivienda (singularmente, el contrato de alquiler), y en segundo lugar, el ejercicio de cualquier acción ejecutiva derivada de la reclamación de una deuda hipotecaria y de demandas de desahucio “por falta de título jurídico que habilite la ocupación”, si, entre otras condiciones, la “ocupación sin título se inició, como mínimo, seis meses antes de la entrada en vigor” de este Decreto-ley 17/2019. Además, en esos mismos preceptos, el Decreto-ley 17/2019 extiende la consideración de grandes tenedores de viviendas a sujetos antes no contemplados: fondos de capital riesgo y de titulización de activos y personas físicas que dispongan de la titularidad de más de quince viviendas, con las mismas excepciones que para las personas jurídicas. Finalmente, el Decreto-ley modifica la duración mínima de esos alquileres forzosos, que pasa de tres años a la duración prevista en la legislación de arrendamientos urbanos y, en cualquier caso, a un mínimo de cinco años, en caso de que el titular de la vivienda sea una persona física, y a siete años si lo es una persona jurídica (plazo coincidente con el actualmente fijado en el art. 9 de la Ley de arrendamientos urbanos de 24 de noviembre de 1994).</w:t>
      </w:r>
    </w:p>
    <w:p w:rsidR="005728DD" w:rsidRDefault="005728DD" w:rsidP="005728DD">
      <w:pPr>
        <w:pStyle w:val="TextoNormal"/>
      </w:pPr>
    </w:p>
    <w:p w:rsidR="005728DD" w:rsidRDefault="005728DD" w:rsidP="005728DD">
      <w:pPr>
        <w:pStyle w:val="TextoNormal"/>
      </w:pPr>
      <w:r>
        <w:t>Dicen así estos dos apartados:</w:t>
      </w:r>
    </w:p>
    <w:p w:rsidR="005728DD" w:rsidRDefault="005728DD" w:rsidP="005728DD">
      <w:pPr>
        <w:pStyle w:val="TextoNormal"/>
      </w:pPr>
    </w:p>
    <w:p w:rsidR="005728DD" w:rsidRDefault="005728DD" w:rsidP="005728DD">
      <w:pPr>
        <w:pStyle w:val="TextoNormal"/>
      </w:pPr>
      <w:r>
        <w:t>“5.6 Se añade un nuevo artículo, el 10, a la Ley de medidas urgentes para afrontar la emergencia en el ámbito de la vivienda y la pobreza energética, con la redacción siguiente:</w:t>
      </w:r>
    </w:p>
    <w:p w:rsidR="005728DD" w:rsidRDefault="005728DD" w:rsidP="005728DD">
      <w:pPr>
        <w:pStyle w:val="TextoNormal"/>
      </w:pPr>
    </w:p>
    <w:p w:rsidR="005728DD" w:rsidRDefault="005728DD" w:rsidP="005728DD">
      <w:pPr>
        <w:pStyle w:val="TextoNormal"/>
      </w:pPr>
      <w:r>
        <w:t>‘Artículo 10. Renovación de los contratos de alquiler social obligatorio.</w:t>
      </w:r>
    </w:p>
    <w:p w:rsidR="005728DD" w:rsidRDefault="005728DD" w:rsidP="005728DD">
      <w:pPr>
        <w:pStyle w:val="TextoNormal"/>
      </w:pPr>
    </w:p>
    <w:p w:rsidR="005728DD" w:rsidRDefault="005728DD" w:rsidP="005728DD">
      <w:pPr>
        <w:pStyle w:val="TextoNormal"/>
      </w:pPr>
      <w:r>
        <w:t xml:space="preserve">En los casos de alquiler social que lleguen al fin del plazo contractual marcado, las personas o unidades familiares afectadas tienen derecho a la formalización, por una única vez, de un nuevo contrato según las condiciones que establece la ley, siempre que se sigan encontrando dentro de los parámetros de exclusión residencial establecidos en el artículo 5.7 </w:t>
      </w:r>
      <w:r>
        <w:lastRenderedPageBreak/>
        <w:t>y así sea acreditado por los propios afectados. A este efecto, el titular de la vivienda tiene que requerir a los afectados para que presenten la documentación que lo corrobore con una antelación de cuatro meses antes de la fecha de expiración del contrato’.</w:t>
      </w:r>
    </w:p>
    <w:p w:rsidR="005728DD" w:rsidRDefault="005728DD" w:rsidP="005728DD">
      <w:pPr>
        <w:pStyle w:val="TextoNormal"/>
      </w:pPr>
    </w:p>
    <w:p w:rsidR="005728DD" w:rsidRDefault="005728DD" w:rsidP="005728DD">
      <w:pPr>
        <w:pStyle w:val="TextoNormal"/>
      </w:pPr>
      <w:r>
        <w:t>5.7 Se añade una disposición adicional, la primera, a la Ley de medidas urgentes para afrontar la emergencia en el ámbito de la vivienda y la pobreza energética, con la redacción siguiente:</w:t>
      </w:r>
    </w:p>
    <w:p w:rsidR="005728DD" w:rsidRDefault="005728DD" w:rsidP="005728DD">
      <w:pPr>
        <w:pStyle w:val="TextoNormal"/>
      </w:pPr>
    </w:p>
    <w:p w:rsidR="005728DD" w:rsidRDefault="005728DD" w:rsidP="005728DD">
      <w:pPr>
        <w:pStyle w:val="TextoNormal"/>
      </w:pPr>
      <w:r>
        <w:t>‘Primera. Oferta de propuesta de alquiler social.</w:t>
      </w:r>
    </w:p>
    <w:p w:rsidR="005728DD" w:rsidRDefault="005728DD" w:rsidP="005728DD">
      <w:pPr>
        <w:pStyle w:val="TextoNormal"/>
      </w:pPr>
    </w:p>
    <w:p w:rsidR="005728DD" w:rsidRDefault="005728DD" w:rsidP="005728DD">
      <w:pPr>
        <w:pStyle w:val="TextoNormal"/>
      </w:pPr>
      <w:r>
        <w:t>1. La obligación a que hace referencia el artículo 5.2, de ofrecer una propuesta de alquiler social antes de interponer determinadas demandas judiciales, se hace extensiva en los mismos términos a cualquier acción ejecutiva derivada de la reclamación de una deuda hipotecaria y a las demandas de desahucio siguientes:</w:t>
      </w:r>
    </w:p>
    <w:p w:rsidR="005728DD" w:rsidRDefault="005728DD" w:rsidP="005728DD">
      <w:pPr>
        <w:pStyle w:val="TextoNormal"/>
      </w:pPr>
    </w:p>
    <w:p w:rsidR="005728DD" w:rsidRDefault="005728DD" w:rsidP="005728DD">
      <w:pPr>
        <w:pStyle w:val="TextoNormal"/>
      </w:pPr>
      <w:r>
        <w:t>a) Por vencimiento de la duración del título jurídico que habilita la ocupación de la vivienda. La propuesta de alquiler social es exigible durante un periodo de tres años contadores a partir de la entrada en vigor del Decreto-ley de 23 de diciembre de 2019, de medidas urgentes para mejorar el acceso a la vivienda.</w:t>
      </w:r>
    </w:p>
    <w:p w:rsidR="005728DD" w:rsidRDefault="005728DD" w:rsidP="005728DD">
      <w:pPr>
        <w:pStyle w:val="TextoNormal"/>
      </w:pPr>
    </w:p>
    <w:p w:rsidR="005728DD" w:rsidRDefault="005728DD" w:rsidP="005728DD">
      <w:pPr>
        <w:pStyle w:val="TextoNormal"/>
      </w:pPr>
      <w:r>
        <w:t>b) Por falta de título jurídico que habilite la ocupación, cuando el demandante tenga la condición de gran tenedor de acuerdo con la letra a) del apartado 9 del artículo 5 y con la letra a) del apartado 3 de esta disposición, siempre que concurran las circunstancias siguientes:</w:t>
      </w:r>
    </w:p>
    <w:p w:rsidR="005728DD" w:rsidRDefault="005728DD" w:rsidP="005728DD">
      <w:pPr>
        <w:pStyle w:val="TextoNormal"/>
      </w:pPr>
    </w:p>
    <w:p w:rsidR="005728DD" w:rsidRDefault="005728DD" w:rsidP="005728DD">
      <w:pPr>
        <w:pStyle w:val="TextoNormal"/>
      </w:pPr>
      <w:r>
        <w:t>1.º Que la vivienda se encuentre en la situación de utilización anómala a que hace referencia el artículo 41.1 a) de la Ley 18/2007, de 28 de diciembre, del derecho a la vivienda.</w:t>
      </w:r>
    </w:p>
    <w:p w:rsidR="005728DD" w:rsidRDefault="005728DD" w:rsidP="005728DD">
      <w:pPr>
        <w:pStyle w:val="TextoNormal"/>
      </w:pPr>
    </w:p>
    <w:p w:rsidR="005728DD" w:rsidRDefault="005728DD" w:rsidP="005728DD">
      <w:pPr>
        <w:pStyle w:val="TextoNormal"/>
      </w:pPr>
      <w:r>
        <w:t>2.º Que los ocupantes acrediten por cualquier medio admitido en derecho que la ocupación sin título se inició, como mínimo, seis meses antes de la entrada en vigor del Decreto-ley de 23 de diciembre de 2019, de medidas urgentes para mejorar el acceso a la vivienda.</w:t>
      </w:r>
    </w:p>
    <w:p w:rsidR="005728DD" w:rsidRDefault="005728DD" w:rsidP="005728DD">
      <w:pPr>
        <w:pStyle w:val="TextoNormal"/>
      </w:pPr>
    </w:p>
    <w:p w:rsidR="005728DD" w:rsidRDefault="005728DD" w:rsidP="005728DD">
      <w:pPr>
        <w:pStyle w:val="TextoNormal"/>
      </w:pPr>
      <w:r>
        <w:t>3.º Que los ocupantes no hayan rechazado ninguna opción de realojamiento social en los últimos dos años ofrecida por cualquier administración pública o de acuerdo con el artículo 5.2.</w:t>
      </w:r>
    </w:p>
    <w:p w:rsidR="005728DD" w:rsidRDefault="005728DD" w:rsidP="005728DD">
      <w:pPr>
        <w:pStyle w:val="TextoNormal"/>
      </w:pPr>
    </w:p>
    <w:p w:rsidR="005728DD" w:rsidRDefault="005728DD" w:rsidP="005728DD">
      <w:pPr>
        <w:pStyle w:val="TextoNormal"/>
      </w:pPr>
      <w:r>
        <w:t>4.º Que los servicios municipales informen favorablemente sobre el cumplimiento, por parte de los ocupantes, de los parámetros de riesgo de exclusión residencial y sobre el arraigo y la convivencia en el entorno vecinal.</w:t>
      </w:r>
    </w:p>
    <w:p w:rsidR="005728DD" w:rsidRDefault="005728DD" w:rsidP="005728DD">
      <w:pPr>
        <w:pStyle w:val="TextoNormal"/>
      </w:pPr>
    </w:p>
    <w:p w:rsidR="005728DD" w:rsidRDefault="005728DD" w:rsidP="005728DD">
      <w:pPr>
        <w:pStyle w:val="TextoNormal"/>
      </w:pPr>
      <w:r>
        <w:t>2. La duración mínima de los contratos de alquiler social a suscribir de acuerdo con lo que establece esta Ley tiene que ser como mínimo igual que la prevista en la legislación de arrendamientos urbanos y, en cualquier caso, no puede ser inferior a cinco años, en caso de que el titular de la vivienda sea una persona física, y a siete años si lo es una persona jurídica.</w:t>
      </w:r>
    </w:p>
    <w:p w:rsidR="005728DD" w:rsidRDefault="005728DD" w:rsidP="005728DD">
      <w:pPr>
        <w:pStyle w:val="TextoNormal"/>
      </w:pPr>
    </w:p>
    <w:p w:rsidR="005728DD" w:rsidRDefault="005728DD" w:rsidP="005728DD">
      <w:pPr>
        <w:pStyle w:val="TextoNormal"/>
      </w:pPr>
      <w:r>
        <w:t>3. La definición de gran tenedor a que hace referencia el artículo 5.9 se hace extensiva en los mismos términos a:</w:t>
      </w:r>
    </w:p>
    <w:p w:rsidR="005728DD" w:rsidRDefault="005728DD" w:rsidP="005728DD">
      <w:pPr>
        <w:pStyle w:val="TextoNormal"/>
      </w:pPr>
    </w:p>
    <w:p w:rsidR="005728DD" w:rsidRDefault="005728DD" w:rsidP="005728DD">
      <w:pPr>
        <w:pStyle w:val="TextoNormal"/>
      </w:pPr>
      <w:r>
        <w:lastRenderedPageBreak/>
        <w:t>a) Los fondos de capital riesgo y de titulización de activos.</w:t>
      </w:r>
    </w:p>
    <w:p w:rsidR="005728DD" w:rsidRDefault="005728DD" w:rsidP="005728DD">
      <w:pPr>
        <w:pStyle w:val="TextoNormal"/>
      </w:pPr>
    </w:p>
    <w:p w:rsidR="005728DD" w:rsidRDefault="005728DD" w:rsidP="005728DD">
      <w:pPr>
        <w:pStyle w:val="TextoNormal"/>
      </w:pPr>
      <w:r>
        <w:t>b) Las personas físicas que dispongan de la titularidad de más de quince viviendas, con las mismas excepciones que para las personas jurídicas prevé la letra b) del artículo 5.9’”.</w:t>
      </w:r>
    </w:p>
    <w:p w:rsidR="005728DD" w:rsidRDefault="005728DD" w:rsidP="005728DD">
      <w:pPr>
        <w:pStyle w:val="TextoNormal"/>
      </w:pPr>
    </w:p>
    <w:p w:rsidR="005728DD" w:rsidRDefault="005728DD" w:rsidP="005728DD">
      <w:pPr>
        <w:pStyle w:val="TextoNormal"/>
      </w:pPr>
      <w:r>
        <w:t>Esta disposición adicional primera de la Ley 24/2015, añadida por el art. 5.7 del Decreto-ley 17/2019, ha sido modificada parcialmente por el artículo único del Decreto-ley 37/2020, de 3 de noviembre, de refuerzo de la protección del derecho a la vivienda ante los efectos de la pandemia de la Covid-19, sin que ello suponga la pérdida sobrevenida del objeto de este recurso de acuerdo con nuestra doctrina según la cual “la derogación de normas aprobadas en virtud de facultades legislativas de urgencia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(STC 103/2017, de 6 de septiembre, FJ 2).</w:t>
      </w:r>
    </w:p>
    <w:p w:rsidR="005728DD" w:rsidRDefault="005728DD" w:rsidP="005728DD">
      <w:pPr>
        <w:pStyle w:val="TextoNormal"/>
      </w:pPr>
    </w:p>
    <w:p w:rsidR="005728DD" w:rsidRDefault="005728DD" w:rsidP="005728DD">
      <w:pPr>
        <w:pStyle w:val="TextoNormal"/>
      </w:pPr>
      <w:r>
        <w:t>El art. 6.6 del Decreto-ley 17/2019 modifica el antes citado art. 16.3 de la Ley 4/2016 a fin de adaptar su regulación a este nuevo plazo, en los siguientes términos:</w:t>
      </w:r>
    </w:p>
    <w:p w:rsidR="005728DD" w:rsidRDefault="005728DD" w:rsidP="005728DD">
      <w:pPr>
        <w:pStyle w:val="TextoNormal"/>
      </w:pPr>
    </w:p>
    <w:p w:rsidR="005728DD" w:rsidRDefault="005728DD" w:rsidP="005728DD">
      <w:pPr>
        <w:pStyle w:val="TextoNormal"/>
      </w:pPr>
      <w:r>
        <w:t>“6.6 Se modifica el apartado 3 del artículo 16 de la Ley de medidas de protección del derecho a la vivienda de las personas en riesgo de exclusión residencial, que queda redactado de la manera siguiente:</w:t>
      </w:r>
    </w:p>
    <w:p w:rsidR="005728DD" w:rsidRDefault="005728DD" w:rsidP="005728DD">
      <w:pPr>
        <w:pStyle w:val="TextoNormal"/>
      </w:pPr>
    </w:p>
    <w:p w:rsidR="005728DD" w:rsidRDefault="005728DD" w:rsidP="005728DD">
      <w:pPr>
        <w:pStyle w:val="TextoNormal"/>
      </w:pPr>
      <w:r>
        <w:t>‘3. Están obligados, como última medida, a ofrecer a los ocupantes que se encuentren en las condiciones a que hace referencia el apartado 1 el realojamiento en una vivienda de su titularidad, en régimen de alquiler y por un plazo igual a la duración mínima prevista en la legislación de arrendamientos urbanos en función del tipo de arrendador, los adquirentes de las viviendas y los instantes de los procesos judiciales de ejecución hipotecaria o de otro tipo derivada de la reclamación de una deuda hipotecaria, o de desahucio por impago de rentas de alquiler a que hacen referencia las letras a) y b) que, al mismo tiempo, sean, de acuerdo con la Ley 24/2015, del 29 de julio, de medidas urgentes para afrontar la emergencia en el ámbito de la vivienda y la pobreza energética, grandes tenedores titulares de viviendas inscritas en el registro de viviendas vacías y de viviendas ocupadas sin título habilitante, o susceptibles de ser inscritas, o personas jurídicas titulares de viviendas que hayan adquirido de un titular de viviendas inscritas en el registro en primera o ulteriores transmisiones, aunque el titular actual sea un fondo de titulización de activos o que la adquisición se haya efectuado mediante la transmisión de acciones o participaciones de sociedades mercantiles’”.</w:t>
      </w:r>
    </w:p>
    <w:p w:rsidR="005728DD" w:rsidRDefault="005728DD" w:rsidP="005728DD">
      <w:pPr>
        <w:pStyle w:val="TextoNormal"/>
      </w:pPr>
    </w:p>
    <w:p w:rsidR="005728DD" w:rsidRDefault="005728DD" w:rsidP="005728DD">
      <w:pPr>
        <w:pStyle w:val="TextoNormal"/>
      </w:pPr>
      <w:r>
        <w:t>Por último, el art. 4.2, igualmente objeto de esta parte del recurso, modifica la letra f) del art. 5.2 de la Ley del derecho a la vivienda para reconocer como supuesto de incumplimiento de la función social de la propiedad de una vivienda que:</w:t>
      </w:r>
    </w:p>
    <w:p w:rsidR="005728DD" w:rsidRDefault="005728DD" w:rsidP="005728DD">
      <w:pPr>
        <w:pStyle w:val="TextoNormal"/>
      </w:pPr>
    </w:p>
    <w:p w:rsidR="005728DD" w:rsidRDefault="005728DD" w:rsidP="005728DD">
      <w:pPr>
        <w:pStyle w:val="TextoNormal"/>
      </w:pPr>
      <w:r>
        <w:t>“Se incumpla la obligación de ofrecer una propuesta de alquiler social antes de interponer una demanda judicial en los términos que establece la Ley 24/2015, de 29 de julio, de medidas urgentes para afrontar la emergencia en el ámbito de la vivienda y la pobreza energética”.</w:t>
      </w:r>
    </w:p>
    <w:p w:rsidR="005728DD" w:rsidRDefault="005728DD" w:rsidP="005728DD">
      <w:pPr>
        <w:pStyle w:val="TextoNormal"/>
      </w:pPr>
    </w:p>
    <w:p w:rsidR="005728DD" w:rsidRDefault="005728DD" w:rsidP="005728DD">
      <w:pPr>
        <w:pStyle w:val="TextoNormal"/>
      </w:pPr>
      <w:r>
        <w:lastRenderedPageBreak/>
        <w:t>d) En los últimos años, las comunidades autónomas han desarrollado una importante actividad legislativa en materia de vivienda con el declarado propósito de promover las condiciones necesarias para hacer efectivo ese derecho, de acuerdo con el art. 47 CE. Y este tribunal ha tenido ocasión de pronunciarse sobre muchas de esas disposiciones legislativas (STC 21/2019, de 14 de febrero, sobre la Ley de las Cortes de Aragón 10/2016, de 1 de diciembre, de medidas de emergencia en relación con las prestaciones económicas del sistema público de servicios sociales y con el acceso a la vivienda; STC 8/2019, de 17 de enero, sobre la Ley del Parlamento de Cataluña 4/2016, de 23 de diciembre, de medidas de protección del derecho a la vivienda de las personas en riesgo de exclusión residencial; STC 5/2019, de 17 de enero, sobre el Decreto-ley del Gobierno de Aragón 3/2015, de 15 de diciembre, de medidas urgentes de emergencia social en materia de prestaciones económicas de carácter social, pobreza energética y acceso a la vivienda; STC 106/2018, de 4 de octubre, sobre la Ley de la Asamblea de Extremadura 2/2017, de 17 de febrero, de emergencia social de la vivienda; STC 102/2018, de 4 de octubre, sobre la Ley de la Asamblea Regional de Murcia 10/2016, de 7 de junio, de reforma de la Ley de vivienda y el estatuto de los consumidores y usuarios; STC 97/2018, de 19 de septiembre, sobre la Ley del Parlamento Vasco 3/2015, de 18 de junio, de vivienda; STC 80/2018, de 5 de julio, sobre la Ley de las Cortes Valencianas 2/2017, de 3 de febrero, por la función social de la vivienda; STC 16/2018, de 22 de febrero, sobre la Ley Foral 24/2013, de 2 de julio, de medidas urgentes para garantizar el derecho a la vivienda en Navarra; STC 32/2018, de 12 de abril, sobre la Ley del Parlamento de Andalucía 4/2013, de 1 de octubre, de medidas para asegurar el cumplimiento de la función social de la vivienda; STC 43/2018, de 26 de abril, sobre la Ley del Parlamento de Canarias 2/2014, de 20 de junio, de modificación de la Ley de vivienda de Canarias y de medidas para garantizar el derecho a la vivienda; y STC 93/2015, de 14 de mayo, sobre el Decreto-ley de la Junta de Andalucía 6/2013, de 9 de abril).</w:t>
      </w:r>
    </w:p>
    <w:p w:rsidR="005728DD" w:rsidRDefault="005728DD" w:rsidP="005728DD">
      <w:pPr>
        <w:pStyle w:val="TextoNormal"/>
      </w:pPr>
    </w:p>
    <w:p w:rsidR="005728DD" w:rsidRDefault="005728DD" w:rsidP="005728DD">
      <w:pPr>
        <w:pStyle w:val="TextoNormal"/>
      </w:pPr>
      <w:r>
        <w:t>Sin embargo, solo dos de esas sentencias tenían por objeto decretos-leyes autonómicos como el aquí impugnado: la STC 93/2015, sobre el Decreto-ley de la Junta de Andalucía 6/2013, y la STC 5/2019, sobre el Decreto-ley del Gobierno de Aragón 3/2015. Y de esas dos sentencias, solo una se pronuncia sobre un motivo de impugnación análogo, la vulneración de los límites materiales del decreto-ley por “afectar” su normativa al derecho de propiedad: se trata de la STC 93/2015 constantemente aludida por todas las partes comparecidas (el recurso resuelto en la STC 5/2019, por el contrario, era estrictamente competencial). Por lo tanto, para resolver este concreto motivo de impugnación resulta necesario partir de lo razonado en aquella ocasión.</w:t>
      </w:r>
    </w:p>
    <w:p w:rsidR="005728DD" w:rsidRDefault="005728DD" w:rsidP="005728DD">
      <w:pPr>
        <w:pStyle w:val="TextoNormal"/>
      </w:pPr>
    </w:p>
    <w:p w:rsidR="005728DD" w:rsidRDefault="005728DD" w:rsidP="005728DD">
      <w:pPr>
        <w:pStyle w:val="TextoNormal"/>
      </w:pPr>
      <w:r>
        <w:t xml:space="preserve">e) La STC 93/2015 se enfrentó primero a la admisibilidad misma de los decretos-leyes autonómicos, no previstos en la Constitución, y resolvió que, en la medida en que el art. 153 a) CE alude al control por el Tribunal Constitucional de las “disposiciones normativas con fuerza de ley” de las comunidades autónomas, la propia Carta Magna está admitiendo categorías normativas distintas de la ley formal pero con la misma fuerza, y por tanto la posibilidad de que los estatutos de autonomía atribuyesen a los gobiernos autonómicos la potestad de dictar decretos-leyes, como hace el art. 64 del Estatuto de Autonomía de Cataluña de 2006, siempre, eso sí, que los límites formales y materiales a los que se encuentren sometidos esos decretos-leyes autonómicos sean, como mínimo, los mismos que la Constitución impone al decreto-ley estatal (FFJJ 3 a 6). Luego (FJ 12) aplicó este principio a las materias vedadas a este tipo de disposición legislativa, de modo que, aunque el art. 110 del Estatuto de Autonomía de Andalucía, que era el allí relevante, no incluía entre aquellas la prohibición </w:t>
      </w:r>
      <w:r>
        <w:lastRenderedPageBreak/>
        <w:t>de “afectar […] a los derechos deberes y libertades de los ciudadanos regulados en el título I” de la Constitución, como hace el art. 86.1 de la Carta Magna para el decreto-ley estatal, este límite constitucional le era igualmente aplicable. Conclusión que debemos extender ahora, por identidad de razón, a los decretos-leyes del art. 64.1 EAC, que tampoco hace referencia a este concreto límite material en que se basa el motivo que estamos examinando, pero que no impide que queden vinculados a él, como reconocen los letrados del Gobierno y Parlamento catalán.</w:t>
      </w:r>
    </w:p>
    <w:p w:rsidR="005728DD" w:rsidRDefault="005728DD" w:rsidP="005728DD">
      <w:pPr>
        <w:pStyle w:val="TextoNormal"/>
      </w:pPr>
    </w:p>
    <w:p w:rsidR="005728DD" w:rsidRDefault="005728DD" w:rsidP="005728DD">
      <w:pPr>
        <w:pStyle w:val="TextoNormal"/>
      </w:pPr>
      <w:r>
        <w:t>Posteriormente, aun dentro de ese mismo fundamento jurídico 12, recordó la doctrina constitucional relativa al término “afectar” del art. 86.1 de la Constitución:</w:t>
      </w:r>
    </w:p>
    <w:p w:rsidR="005728DD" w:rsidRDefault="005728DD" w:rsidP="005728DD">
      <w:pPr>
        <w:pStyle w:val="TextoNormal"/>
      </w:pPr>
    </w:p>
    <w:p w:rsidR="005728DD" w:rsidRDefault="005728DD" w:rsidP="005728DD">
      <w:pPr>
        <w:pStyle w:val="TextoNormal"/>
      </w:pPr>
      <w:r>
        <w:t>«Nuestro enjuiciamiento relativo a este parámetro de constitucionalidad debe partir de que “afectar” derechos constitucionales es, según nuestra doctrina, una noción restringida, pues la STC 111/1983, de 2 de diciembre, FJ 8, sostuvo que “la cláusula restrictiva del art. 86.1 CE (‘no podrán afectar [...]’)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 La misma concepción estricta de la afectación de derechos constitucionales la hemos reiterado, entre otras, en las SSTC 60/1986, de 20 de mayo, FJ 4; 182/1997, de 18 de octubre, FJ 6; 137/2003, de 3 de julio, FJ 6; 108/2004, de 30 de junio, FJ 7, y 329/2005, de 15 de diciembre, FJ 8. En todas ellas, de uno u otro modo, se añade que el “examen de si ha existido ‘afectación’ por el decreto-ley de un derecho o libertad regulado en el título I de la Constitución […] exigirá tener en cuenta la configuración constitucional del derecho o deber afectado en cada caso y la naturaleza y alcance de la concreta regulación de que se trate” (SSTC 329/2005, de 15 de diciembre, FJ 8)».</w:t>
      </w:r>
    </w:p>
    <w:p w:rsidR="005728DD" w:rsidRDefault="005728DD" w:rsidP="005728DD">
      <w:pPr>
        <w:pStyle w:val="TextoNormal"/>
      </w:pPr>
    </w:p>
    <w:p w:rsidR="005728DD" w:rsidRDefault="005728DD" w:rsidP="005728DD">
      <w:pPr>
        <w:pStyle w:val="TextoNormal"/>
      </w:pPr>
      <w:r>
        <w:t>Y desde este acervo doctrinal abordó a continuación (FJ 13) el examen de tres preceptos del Decreto-ley andaluz recurrido en aquel caso que establecían que “forma parte del contenido esencial del derecho de propiedad de la vivienda el deber de destinar de forma efectiva el bien al uso habitacional previsto por el ordenamiento jurídico” (art. 1.3), la definición de “vivienda deshabitada” (art. 25) y la tipificación como infracción muy grave de la conducta de “no dar efectiva habitación a la vivienda en los términos establecidos del art. 25” [art. 53.1 a)].</w:t>
      </w:r>
    </w:p>
    <w:p w:rsidR="005728DD" w:rsidRDefault="005728DD" w:rsidP="005728DD">
      <w:pPr>
        <w:pStyle w:val="TextoNormal"/>
      </w:pPr>
    </w:p>
    <w:p w:rsidR="005728DD" w:rsidRDefault="005728DD" w:rsidP="005728DD">
      <w:pPr>
        <w:pStyle w:val="TextoNormal"/>
      </w:pPr>
      <w:r>
        <w:t xml:space="preserve">En concreto, refiriéndose al primero de los preceptos dichos, la STC 93/2015, FJ 13, razonó que el mencionado art. 1.3, “más que delimitar un concreto sistema urbanístico o una determinada política de vivienda, se dirige a precisar el haz de facultades que integra este tipo de derecho de propiedad privada y, al mismo tiempo, a definir la función social del mismo, que son, como hemos visto, los dos elementos básicos que conforman el derecho de propiedad”. El precepto, “en lugar de ceñirse a precisar los usos posibles de las edificaciones según el lugar en que se ubiquen dentro de la ciudad o a disciplinar el sector de la vivienda, se endereza a establecer que el único uso posible de un determinado tipo de bienes debe realizarse de un modo efectivo, […]. Se trata, en conclusión, y a diferencia de las SSTC 111/1983 y 329/2005, de una regulación directa y con vocación de generalidad de las vertientes individual e institucional del derecho de propiedad sobre la vivienda, y no de la disciplina de un sector material en el que dicho derecho constitucional pueda incidir”, ya que </w:t>
      </w:r>
      <w:r>
        <w:lastRenderedPageBreak/>
        <w:t>el “deber” que impone el precepto, de destinar de forma efectiva las viviendas al uso habitacional, “es una regulación directa del derecho de propiedad de un tipo de bienes y que tiene por objeto aspectos esenciales del mismo”. Y concluyó, por todo ello, “que el artículo 1.3 concurre a establecer el régimen general del derecho de propiedad de la vivienda y dentro de él uno de sus elementos esenciales, lo que, por implicar ‘afectación’ del mismo en el sentido que a este concepto le atribuye la doctrina constitucional, está vedado a esta modalidad de disposición con fuerza de ley”.</w:t>
      </w:r>
    </w:p>
    <w:p w:rsidR="005728DD" w:rsidRDefault="005728DD" w:rsidP="005728DD">
      <w:pPr>
        <w:pStyle w:val="TextoNormal"/>
      </w:pPr>
    </w:p>
    <w:p w:rsidR="005728DD" w:rsidRDefault="005728DD" w:rsidP="005728DD">
      <w:pPr>
        <w:pStyle w:val="TextoNormal"/>
      </w:pPr>
      <w:r>
        <w:t>A continuación extendió esta misma conclusión al tipo infractor puesto que “[r]esulta claro que el art. 53.1 a), al tipificar como infracción muy grave el ‘no dar efectiva habitación a la vivienda’ en los casos que prevé, solo adquiere sentido a partir del deber del propietario de la vivienda de destinarla de un modo efectivo a habitación regulado en el artículo 1.3, de modo que la vulneración de los límites materiales del decreto-ley que hemos apreciado en relación a este es igualmente predicable de dicho art. 53.1 a), por lo que también debe ser declarado inconstitucional y nulo”.</w:t>
      </w:r>
    </w:p>
    <w:p w:rsidR="005728DD" w:rsidRDefault="005728DD" w:rsidP="005728DD">
      <w:pPr>
        <w:pStyle w:val="TextoNormal"/>
      </w:pPr>
    </w:p>
    <w:p w:rsidR="005728DD" w:rsidRDefault="005728DD" w:rsidP="005728DD">
      <w:pPr>
        <w:pStyle w:val="TextoNormal"/>
      </w:pPr>
      <w:r>
        <w:t>En cambio, no consideró inconstitucional el art. 25, que definía lo que a los efectos de la ley debía considerarse una “vivienda deshabitada” al tratarse de la “pieza central de las actuaciones de fomento reguladas en el capítulo III del título VI, que según su artículo 42 están orientadas a ‘asegurar el cumplimiento efectivo del destino de la vivienda al uso legalmente establecido de dar habitación’”. Con esta premisa, la STC 93/2015 entendió que, una vez anulados por inconstitucionales los artículos 1.3 y 53.1 a), debe entenderse “que el cumplimiento efectivo del uso habitacional de la vivienda no es un deber del propietario sino un objetivo que persigue el poder público mediante su política de vivienda. En este contexto la definición que el artículo 25 contiene de vivienda deshabitada es instrumental de esa actividad de fomento en materia de vivienda y, por tanto, en lugar de contener una regulación directa y con vocación de generalidad del derecho de propiedad proyectado sobre viviendas, se incardina claramente en la conformación de una política de vivienda”.</w:t>
      </w:r>
    </w:p>
    <w:p w:rsidR="005728DD" w:rsidRDefault="005728DD" w:rsidP="005728DD">
      <w:pPr>
        <w:pStyle w:val="TextoNormal"/>
      </w:pPr>
    </w:p>
    <w:p w:rsidR="005728DD" w:rsidRDefault="005728DD" w:rsidP="005728DD">
      <w:pPr>
        <w:pStyle w:val="TextoNormal"/>
      </w:pPr>
      <w:r>
        <w:t>La plena comprensión de esta doctrina exige traer a colación las medidas reguladas en el art. 42 de aquel decreto-ley andaluz. Este regulaba, en sus arts. 42 y ss. a los que se remite la STC 93/2015, FJ 13, las siguientes medidas: intermediación en el mercado del arrendamiento de viviendas que garanticen su efectiva ocupación; aseguramiento de los riesgos que garanticen el cobro de la renta, los desperfectos causados y la defensa jurídica de las viviendas alquiladas; medidas fiscales que determinen las respectivas administraciones públicas en el ejercicio de sus competencias; y subvenciones para personas propietarias y arrendatarias y entidades intermediarias. Son, todas ellas, medidas de voluntaria aceptación por los propietarios de viviendas vacías, o en todo caso de reconocimiento de derechos para favorecer o promover un alquiler siempre voluntario. Y por eso la STC 93/2015 pudo concluir que “una vez anulados por inconstitucionales los artículos 1.3 y 53.1 a) […] el cumplimiento efectivo del uso habitacional de la vivienda no es un deber del propietario sino un objetivo que persigue el poder público mediante su política de vivienda”, con expresa referencia, por dos veces, a que el Decreto-ley contenía solo “medidas de fomento”.</w:t>
      </w:r>
    </w:p>
    <w:p w:rsidR="005728DD" w:rsidRDefault="005728DD" w:rsidP="005728DD">
      <w:pPr>
        <w:pStyle w:val="TextoNormal"/>
      </w:pPr>
    </w:p>
    <w:p w:rsidR="005728DD" w:rsidRDefault="005728DD" w:rsidP="005728DD">
      <w:pPr>
        <w:pStyle w:val="TextoNormal"/>
      </w:pPr>
      <w:r>
        <w:t xml:space="preserve">f) Si proyectamos la precedente doctrina sobre los preceptos impugnados en esta parte del recurso, se comprueba que estos exceden del marco permitido a los decretos-leyes por la STC 93/2015. Los artículos objeto de este motivo, con las excepciones que se dirán, van </w:t>
      </w:r>
      <w:r>
        <w:lastRenderedPageBreak/>
        <w:t>más allá de “delimitar un concreto sistema urbanístico o una determinada política de vivienda”, “disciplinar un sector material en el que dicho derecho constitucional [el de propiedad] pueda incidir”, o de “ceñirse a precisar los usos posibles de las edificaciones según el lugar en que se ubiquen dentro de la ciudad o a disciplinar el sector de la vivienda”, como permite la doctrina de la STC 93/2015, y se enderezan más bien a establecer “el único uso posible de un determinado tipo de bienes” mediante una “regulación directa y con vocación de generalidad de las vertientes individual e institucional del derecho de propiedad sobre la vivienda” que “se dirige a precisar el haz de facultades que integra este tipo de derecho de propiedad privada y, al mismo tiempo, a definir la función social del mismo”. Y, sobre todo, van más allá de la regulación de las “medidas de fomento” que contenía el Decreto-ley de la Junta de Andalucía 6/2013.</w:t>
      </w:r>
    </w:p>
    <w:p w:rsidR="005728DD" w:rsidRDefault="005728DD" w:rsidP="005728DD">
      <w:pPr>
        <w:pStyle w:val="TextoNormal"/>
      </w:pPr>
    </w:p>
    <w:p w:rsidR="005728DD" w:rsidRDefault="005728DD" w:rsidP="005728DD">
      <w:pPr>
        <w:pStyle w:val="TextoNormal"/>
      </w:pPr>
      <w:r>
        <w:t>La mayoría de los artículos contra los que se dirige este primer motivo regulan medidas coactivas, no voluntarias, limitativas del derecho de propiedad. Limitaciones de la máxima intensidad, además, puesto que no suponen la delimitación externa del ejercicio del derecho en régimen de libertad por puras consideraciones abstractas de interés u orden público, sino que constriñen estrechamente al propietario mediante órdenes o deberes normativos —obligaciones concretas de hacer, como ocupar la vivienda u ofrecer un alquiler social— que se ponen bajo la inspección y vigilancia de la administración y cuyo incumplimiento habilita a esta para imponer esa conducta forzosamente mediante requerimientos y multas coercitivas, para imponer sanciones y para expropiar la vivienda.</w:t>
      </w:r>
    </w:p>
    <w:p w:rsidR="005728DD" w:rsidRDefault="005728DD" w:rsidP="005728DD">
      <w:pPr>
        <w:pStyle w:val="TextoNormal"/>
      </w:pPr>
    </w:p>
    <w:p w:rsidR="005728DD" w:rsidRDefault="005728DD" w:rsidP="005728DD">
      <w:pPr>
        <w:pStyle w:val="TextoNormal"/>
      </w:pPr>
      <w:r>
        <w:t>g) Así puede apreciarse en los dos grupos de preceptos impugnados.</w:t>
      </w:r>
    </w:p>
    <w:p w:rsidR="005728DD" w:rsidRDefault="005728DD" w:rsidP="005728DD">
      <w:pPr>
        <w:pStyle w:val="TextoNormal"/>
      </w:pPr>
    </w:p>
    <w:p w:rsidR="005728DD" w:rsidRDefault="005728DD" w:rsidP="005728DD">
      <w:pPr>
        <w:pStyle w:val="TextoNormal"/>
      </w:pPr>
      <w:r>
        <w:t>(i) Por lo que respecta al primer grupo, el art. 2.2 modifica el art. 5.2 b) de la Ley del derecho a la vivienda para tipificar como supuesto de “incumplimiento de la función social de la propiedad de una vivienda o un edificio de viviendas” que estas “[p]ermanezcan desocupadas de manera permanente e injustificada por un plazo de más de dos años. Ni la ocupación de estas viviendas sin título habilitante ni la transmisión de su titularidad alteran la situación de incumplimiento de la función social de la propiedad”. Es un precepto del todo equivalente al art. 1.3 del decreto-ley andaluz examinado en la STC 93/2015, que establecía que “forma parte del contenido esencial del derecho de propiedad de la vivienda el deber de destinar de forma efectiva el bien al uso habitacional”. Ambos son el anverso y el reverso de la misma proposición normativa: la obligación de los propietarios de destinar su vivienda al uso habitacional efectivo.</w:t>
      </w:r>
    </w:p>
    <w:p w:rsidR="005728DD" w:rsidRDefault="005728DD" w:rsidP="005728DD">
      <w:pPr>
        <w:pStyle w:val="TextoNormal"/>
      </w:pPr>
    </w:p>
    <w:p w:rsidR="005728DD" w:rsidRDefault="005728DD" w:rsidP="005728DD">
      <w:pPr>
        <w:pStyle w:val="TextoNormal"/>
      </w:pPr>
      <w:r>
        <w:t>Y lo mismo sucede con el análogo art. 2.3, que define como supuesto de incumplimiento de la función social que “[n]o se destine a residencia habitual y permanente de personas, si es una vivienda con protección oficial o una vivienda reservada por el planeamiento urbanístico a este tipo de residencia”. No importa, a los efectos de este motivo del recurso, la diferencia entre viviendas libres y de protección oficial, sino la imposición directa de deberes concretos a los propietarios con vocación de generalidad, estableciendo un régimen general de este derecho, algo vedado a los decretos-leyes de conformidad con nuestra doctrina (STC 93/2015, FJ 13).</w:t>
      </w:r>
    </w:p>
    <w:p w:rsidR="005728DD" w:rsidRDefault="005728DD" w:rsidP="005728DD">
      <w:pPr>
        <w:pStyle w:val="TextoNormal"/>
      </w:pPr>
    </w:p>
    <w:p w:rsidR="005728DD" w:rsidRDefault="005728DD" w:rsidP="005728DD">
      <w:pPr>
        <w:pStyle w:val="TextoNormal"/>
      </w:pPr>
      <w:r>
        <w:t xml:space="preserve">Y no puede considerarse, como en el caso de la STC 93/2015, que esas normas son simplemente instrumentales para la política de vivienda de la comunidad autónoma, porque ese incumplimiento, apreciado por la administración, da lugar a las reacciones exorbitantes de </w:t>
      </w:r>
      <w:r>
        <w:lastRenderedPageBreak/>
        <w:t>esta que ya hemos señalado: requerimientos para su cumplimiento, ejecución de esos requerimientos mediante multas coercitivas, sanciones y expropiación del bien, de acuerdo con lo establecido en los demás artículos citados de este primer grupo. Todos esos preceptos, además, contienen referencias explícitas a los arts. 5.2 b) y d), modificados por los arts. 2.2 y 2.3 (caso de los arts. 2.4, 2.5 y 2.7) o a la obligación de ocupar legal y efectivamente la vivienda (arts. 2.10, 2.12 y 5.5) que los vinculan al mandato legal que hemos considerado inconstitucional por no poder ser establecido mediante decreto-ley, por lo que deben seguir su misma suerte.</w:t>
      </w:r>
    </w:p>
    <w:p w:rsidR="005728DD" w:rsidRDefault="005728DD" w:rsidP="005728DD">
      <w:pPr>
        <w:pStyle w:val="TextoNormal"/>
      </w:pPr>
    </w:p>
    <w:p w:rsidR="005728DD" w:rsidRDefault="005728DD" w:rsidP="005728DD">
      <w:pPr>
        <w:pStyle w:val="TextoNormal"/>
      </w:pPr>
      <w:r>
        <w:t>Por el contrario, precisamente por no incluir estas referencias, no “afectan” al derecho de propiedad en el sentido constitucionalmente proscrito, una vez declarados inconstitucionales los preceptos anteriores, los siguientes preceptos: el art. 2.1 (definición de “vivienda vacía”), análogamente a lo resuelto en la STC 93/2015 sobre la definición correspondiente en el Decreto-ley andaluz; el art. 2.8 (sobre la competencia del departamento correspondiente y de los ayuntamientos para declarar la situación anómala de la propiedad, que puede ser por otras causas de incumplimiento de la función social no afectadas por el Decreto-ley); el art. 2.9, que modifica el art. 41.1 de la Ley del derecho a la vivienda precisamente para habilitar a la Generalitat, en coordinación con los ayuntamientos para “impulsar políticas de fomento para potenciar la incorporación al mercado, preferentemente de alquiler, de las viviendas vacías o permanentemente desocupadas”; y el art. 2.11, que modifica el art. 113 de la referida Ley autonómica del derecho a la vivienda donde se regulan las multas coercitivas con carácter general pero sin hacer concreta referencia a su imposición por los motivos habilitados en el Decreto-ley impugnado. De este último precepto solo procede anular la referencia final al art. 42.6 de la Ley del derecho a la vivienda (“sin perjuicio del supuesto a que hace referencia el artículo 42.6”), ya que este precepto es el modificado por el art. 2.10 del Decreto-ley que hemos declarado inconstitucional y nulo. Depurado de ese inciso final, el resto del precepto contiene una regulación general de las multas coercitivas (y su cuantía) para la ejecución forzosa de los requerimientos para que una persona obligada “lleve a cabo o deje de hacer una acción de acuerdo con esta Ley”. En sí mismo, este precepto no “afecta” al derecho de propiedad.</w:t>
      </w:r>
    </w:p>
    <w:p w:rsidR="005728DD" w:rsidRDefault="005728DD" w:rsidP="005728DD">
      <w:pPr>
        <w:pStyle w:val="TextoNormal"/>
      </w:pPr>
    </w:p>
    <w:p w:rsidR="005728DD" w:rsidRDefault="005728DD" w:rsidP="005728DD">
      <w:pPr>
        <w:pStyle w:val="TextoNormal"/>
      </w:pPr>
      <w:r>
        <w:t>Por conexión o consecuencia (art. 39.1 LOTC) debe extenderse esta declaración de inconstitucionalidad y nulidad al art. 6.3, que modifica el art. 15 de la Ley 4/2016, de 23 de diciembre, de medidas de protección del derecho a la vivienda de las personas en riesgo de exclusión residencial, para regular la expropiación de la propiedad de la vivienda (la redacción anterior del precepto solo permitía la expropiación temporal del uso) declarando que “es causa de interés social el incumplimiento de la función social de la propiedad, relativa a la ocupación legal y efectiva de la vivienda para que constituya la residencia de las personas” (apartado 1).</w:t>
      </w:r>
    </w:p>
    <w:p w:rsidR="005728DD" w:rsidRDefault="005728DD" w:rsidP="005728DD">
      <w:pPr>
        <w:pStyle w:val="TextoNormal"/>
      </w:pPr>
    </w:p>
    <w:p w:rsidR="005728DD" w:rsidRDefault="005728DD" w:rsidP="005728DD">
      <w:pPr>
        <w:pStyle w:val="TextoNormal"/>
      </w:pPr>
      <w:r>
        <w:t xml:space="preserve">(ii) Por identidad de razón, son inconstitucionales y nulos los artículos del segundo grupo, que imponen a los propietarios de viviendas su alquiler forzoso. Los arts. 5.6 y 5.7 del Decreto-ley 17/2019, que añaden el art. 10 y la disposición adicional primera a la Ley 24/2015 para regular esta obligación; el art. 6.6, que modifica el art. 16.3 de la Ley 4/2016 sobre este mismo deber para adaptarlo a la nueva duración mínima establecida por los arts. 5.6 y 5.7 antes citados; y el art. 4.2 que modifica el art. 5.2 d) de la Ley del derecho a la vivienda definiendo como supuesto de incumplimiento de la función social de la propiedad </w:t>
      </w:r>
      <w:r>
        <w:lastRenderedPageBreak/>
        <w:t>que “se incumpla la obligación de ofrecer una propuesta de alquiler social antes de interponer una demanda judicial en los términos que establece la Ley 24/2015, de 29 de julio, de medidas urgentes para afrontar la emergencia en el ámbito de la vivienda y la pobreza energética”.</w:t>
      </w:r>
    </w:p>
    <w:p w:rsidR="005728DD" w:rsidRDefault="005728DD" w:rsidP="005728DD">
      <w:pPr>
        <w:pStyle w:val="TextoNormal"/>
      </w:pPr>
    </w:p>
    <w:p w:rsidR="005728DD" w:rsidRDefault="005728DD" w:rsidP="005728DD">
      <w:pPr>
        <w:pStyle w:val="TextoNormal"/>
      </w:pPr>
      <w:r>
        <w:t>Esta declaración de inconstitucionalidad debe extenderse, por conexión o consecuencia (art. 39.1 LOTC), a la disposición transitoria primera, que dispone que “[l]a obligación de ofrecer un alquiler social a que hacen referencia la disposición adicional primera y el artículo 10 de la [Ley 24/2015], añadidos por este Decreto-ley, es de aplicación también en caso de que los procedimientos judiciales correspondientes se hayan iniciado antes de la entrada en vigor de este Decreto-ley y estén todavía en tramitación”. Y también al inciso “y del apartado 2 de la disposición adicional primera” (refiriéndose a la disposición adicional primera de la Ley 24/2015, que forma parte de los preceptos impugnados y anulados de este grupo) contenido en el art. 4.5, en cuanto modifica la letra j) del apartado 2 del art. 124 de la Ley del derecho a la vivienda.</w:t>
      </w:r>
    </w:p>
    <w:p w:rsidR="005728DD" w:rsidRDefault="005728DD" w:rsidP="005728DD">
      <w:pPr>
        <w:pStyle w:val="TextoNormal"/>
      </w:pPr>
    </w:p>
    <w:p w:rsidR="005728DD" w:rsidRDefault="005728DD" w:rsidP="005728DD">
      <w:pPr>
        <w:pStyle w:val="TextoNormal"/>
      </w:pPr>
      <w:r>
        <w:t>h) Recapitulando lo razonado hasta aquí, son inconstitucionales y nulos los siguientes artículos del Decreto-ley 17/2019, tanto del primer como del segundo grupo de preceptos impugnados por este motivo (“afectar” al derecho de propiedad en contra de lo preceptuado en los arts. 86.1 CE y 64.1 EAC): artículos 2.2, 2.3, 2.4, 2.5, 2.7, 2.10, 2.11 (inciso “sin perjuicio del supuesto a que hace referencia el artículo 42.6”), 2.12, 4.2, 4.5 (inciso “y del apartado 2 de la disposición adicional primera”), 5.5, 5.6, 5.7, 6.3 y 6.6 y disposición transitoria primera</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Consecuencias procesales de la declaración de inconstitucionalidad</w:t>
      </w:r>
      <w:r>
        <w:t>.</w:t>
      </w:r>
    </w:p>
    <w:p w:rsidR="005728DD" w:rsidRDefault="005728DD" w:rsidP="005728DD">
      <w:pPr>
        <w:pStyle w:val="TextoNormal"/>
      </w:pPr>
    </w:p>
    <w:p w:rsidR="005728DD" w:rsidRDefault="005728DD" w:rsidP="005728DD">
      <w:pPr>
        <w:pStyle w:val="TextoNormal"/>
      </w:pPr>
      <w:r>
        <w:t>La declaración de inconstitucionalidad y nulidad de los preceptos e inciso citados por “afectar” al derecho de propiedad (art. 33 CE) en forma contraria a los arts. 86.1 CE y 64.1 EAC determina que los demás motivos del recurso que se dirigen contra esos mismos preceptos, o que asumen su vigencia como premisa de la vulneración denunciada, pierdan objeto y no precisen ya de un pronunciamiento específico del tribunal. Son los motivos cuarto, quinto, sexto, séptimo, décimo, undécimo, decimosegundo, decimotercero y decimocuarto.</w:t>
      </w:r>
    </w:p>
    <w:p w:rsidR="005728DD" w:rsidRDefault="005728DD" w:rsidP="005728DD">
      <w:pPr>
        <w:pStyle w:val="TextoNormal"/>
      </w:pPr>
    </w:p>
    <w:p w:rsidR="005728DD" w:rsidRDefault="005728DD" w:rsidP="005728DD">
      <w:pPr>
        <w:pStyle w:val="TextoNormal"/>
      </w:pPr>
      <w:r>
        <w:t>a) El motivo cuarto se dirige contra el Decreto-ley en su conjunto, denunciando que “a lo largo de su articulado […] infringe el principio de igualdad” del art. 149.1.1 CE, en relación con los arts. 14 y 139.1, ya que convierte el derecho de propiedad en Cataluña en un derecho “más débil que en otros puntos del territorio español” imponiendo a los propietarios “obligaciones adicionales respecto al resto de ciudadanos españoles que se encuentra en sus mismas circunstancias”. Esas “obligaciones adicionales” impuestas por el Decreto-ley impugnado a los propietarios de viviendas en Cataluña no pueden ser otras que las de destinar la vivienda a la residencia efectiva de personas y ofrecer un alquiler social, reguladas en los preceptos anulados. Desaparecidos estos, el motivo de inconstitucionalidad, aunque formalmente dirigido contra todo el Decreto-ley, pierde su sustento.</w:t>
      </w:r>
    </w:p>
    <w:p w:rsidR="005728DD" w:rsidRDefault="005728DD" w:rsidP="005728DD">
      <w:pPr>
        <w:pStyle w:val="TextoNormal"/>
      </w:pPr>
    </w:p>
    <w:p w:rsidR="005728DD" w:rsidRDefault="005728DD" w:rsidP="005728DD">
      <w:pPr>
        <w:pStyle w:val="TextoNormal"/>
      </w:pPr>
      <w:r>
        <w:t xml:space="preserve">b) Los motivos quinto, sexto y séptimo, o bien han perdido objeto por referirse expresamente a preceptos ya anulados en el fundamento jurídico anterior (los que regulan las consecuencias de la falta de habitación de la vivienda o imponen la obligación de alquilar), o bien, en lo que respecta a los preceptos no anulados (en particular el art. 2.1 sobre definición </w:t>
      </w:r>
      <w:r>
        <w:lastRenderedPageBreak/>
        <w:t>de “vivienda vacía”, sobre el que se centran las críticas), deben entenderse desestimados por las mismas razones allí expuestas: esta definición, aun con su inciso final “[l]a ocupación sin título legítimo no impide que se pueda considerar vacía una vivienda”, sobre el que se concentran los reproches de inconstitucionalidad, en la medida en que debe entenderse vinculado a las medidas de fomento que pueda implantar la Generalitat (art. 2.9 del Decreto-ley, dando nueva redacción al art. 42.1 de la Ley del derecho a la vivienda), no puede vulnerar ninguna de las competencias estatales reconocidas en los núms. 1, 6, 8 y 13 del art. 149.1 de la Constitución (en términos similares, STC 93/2015, FFJJ 15 y 16). La argumentación del recurso da por supuesta en todos los casos la vigencia de las medidas coactivas anuladas en el fundamento jurídico anterior. Al haber sido estas declaradas inconstitucionales y nulas, los motivos han perdido la premisa sobre la que se asentaban.</w:t>
      </w:r>
    </w:p>
    <w:p w:rsidR="005728DD" w:rsidRDefault="005728DD" w:rsidP="005728DD">
      <w:pPr>
        <w:pStyle w:val="TextoNormal"/>
      </w:pPr>
    </w:p>
    <w:p w:rsidR="005728DD" w:rsidRDefault="005728DD" w:rsidP="005728DD">
      <w:pPr>
        <w:pStyle w:val="TextoNormal"/>
      </w:pPr>
      <w:r>
        <w:t>c) Esto mismo sucede con el motivo undécimo, que aunque se dirige contra el art. 2.1 por vulnerar el “contenido esencial” (art. 53.1 CE) del derecho de propiedad del art. 33 y el derecho a la tutela judicial efectiva, en realidad vincula esa vulneración a su “contexto” y a las “consecuencias que [la falta de ocupación de una vivienda en los términos del referido art. 2.1] conlleva”, con cita expresa de la posibilidad de declarar el incumplimiento de la función social de la propiedad, la imposición de multas y multas coercitivas o la expropiación como consecuencia de la desocupación de la vivienda, así como la obligación de ofrecer un alquiler social. Una vez declarados inconstitucionales y nulos los artículos que regulaban el ejercicio de estas potestades administrativas y obligaciones del propietario, el art. 2.1, por sí solo, no puede producir vulneración alguna.</w:t>
      </w:r>
    </w:p>
    <w:p w:rsidR="005728DD" w:rsidRDefault="005728DD" w:rsidP="005728DD">
      <w:pPr>
        <w:pStyle w:val="TextoNormal"/>
      </w:pPr>
    </w:p>
    <w:p w:rsidR="005728DD" w:rsidRDefault="005728DD" w:rsidP="005728DD">
      <w:pPr>
        <w:pStyle w:val="TextoNormal"/>
      </w:pPr>
      <w:r>
        <w:t>d) El motivo decimosegundo se dirige contra los arts. 2.2 y 2.10 por vulneración del art. 25.1 CE (principio de culpabilidad o responsabilidad) en cuanto “permiten sancionar al propietario de una vivienda por el comportamiento mantenido por su anterior titular”. La declaración de inconstitucionalidad de los aludidos arts. 2.2 y 2.10 priva de objeto al motivo.</w:t>
      </w:r>
    </w:p>
    <w:p w:rsidR="005728DD" w:rsidRDefault="005728DD" w:rsidP="005728DD">
      <w:pPr>
        <w:pStyle w:val="TextoNormal"/>
      </w:pPr>
    </w:p>
    <w:p w:rsidR="005728DD" w:rsidRDefault="005728DD" w:rsidP="005728DD">
      <w:pPr>
        <w:pStyle w:val="TextoNormal"/>
      </w:pPr>
      <w:r>
        <w:t>e) El motivo decimotercero impugna los arts. 4.2, 5.6, 5.7 y 6.6 y la disposición transitoria primera porque considera que la obligación de ofrecer un alquiler social vulnera “el principio de autonomía de la voluntad y su fundamento constitucional, el libre desarrollo de la personalidad” (art. 10 CE) así como el derecho a la tutela judicial efectiva (art. 24 CE), por establecer un requisito de admisibilidad de la demanda “irrazonable y desproporcionado”, tal y como apreció el dictamen 2/2020 del Consejo de Garantías Estatutarias, y el principio de seguridad jurídica (art. 9.3). Los preceptos impugnados ya han sido expulsados del ordenamiento, de modo que ha quedado sin objeto el motivo.</w:t>
      </w:r>
    </w:p>
    <w:p w:rsidR="005728DD" w:rsidRDefault="005728DD" w:rsidP="005728DD">
      <w:pPr>
        <w:pStyle w:val="TextoNormal"/>
      </w:pPr>
    </w:p>
    <w:p w:rsidR="005728DD" w:rsidRDefault="005728DD" w:rsidP="005728DD">
      <w:pPr>
        <w:pStyle w:val="TextoNormal"/>
      </w:pPr>
      <w:r>
        <w:t>f) Los motivos décimo y decimocuarto se dirigen contra los arts. 5.4 y 5.7 que modifican la definición de “gran tenedor de vivienda” en dos preceptos de la Ley 24/2015 a los efectos de la propia ley. Le reprochan su contradicción con la definición de gran tenedor efectuada por el Estado en el art. 4 del Real Decreto-ley 11/2020, de 31 de marzo, por el que se adoptan medidas urgentes complementarias en el ámbito social y económico para hacer frente a la Covid-19 y su carácter arbitrario y discriminatorio por incluir a las personas físicas y excluir a la administración pública que es “el principal tenedor de vivienda” de Cataluña.</w:t>
      </w:r>
    </w:p>
    <w:p w:rsidR="005728DD" w:rsidRDefault="005728DD" w:rsidP="005728DD">
      <w:pPr>
        <w:pStyle w:val="TextoNormal"/>
      </w:pPr>
    </w:p>
    <w:p w:rsidR="005728DD" w:rsidRDefault="005728DD" w:rsidP="005728DD">
      <w:pPr>
        <w:pStyle w:val="TextoNormal"/>
      </w:pPr>
      <w:r>
        <w:t>El art. 5.7 ha sido declarado inconstitucional y nulo en el fundamento jurídico anterior. Por su parte, el art. 5.4 dispone:</w:t>
      </w:r>
    </w:p>
    <w:p w:rsidR="005728DD" w:rsidRDefault="005728DD" w:rsidP="005728DD">
      <w:pPr>
        <w:pStyle w:val="TextoNormal"/>
      </w:pPr>
    </w:p>
    <w:p w:rsidR="005728DD" w:rsidRDefault="005728DD" w:rsidP="005728DD">
      <w:pPr>
        <w:pStyle w:val="TextoNormal"/>
      </w:pPr>
      <w:r>
        <w:lastRenderedPageBreak/>
        <w:t>“5.4. Se modifica la letra b) del apartado 9 del artículo 5 de la Ley de medidas urgentes para afrontar la emergencia en el ámbito de la vivienda y la pobreza energética, que queda redactada de la manera siguiente:</w:t>
      </w:r>
    </w:p>
    <w:p w:rsidR="005728DD" w:rsidRDefault="005728DD" w:rsidP="005728DD">
      <w:pPr>
        <w:pStyle w:val="TextoNormal"/>
      </w:pPr>
    </w:p>
    <w:p w:rsidR="005728DD" w:rsidRDefault="005728DD" w:rsidP="005728DD">
      <w:pPr>
        <w:pStyle w:val="TextoNormal"/>
      </w:pPr>
      <w:r>
        <w:t>‘b) Las personas jurídicas que, por sí solas o por medio de un grupo de empresas, sean titulares de más de quince viviendas, con las excepciones siguientes:</w:t>
      </w:r>
    </w:p>
    <w:p w:rsidR="005728DD" w:rsidRDefault="005728DD" w:rsidP="005728DD">
      <w:pPr>
        <w:pStyle w:val="TextoNormal"/>
      </w:pPr>
    </w:p>
    <w:p w:rsidR="005728DD" w:rsidRDefault="005728DD" w:rsidP="005728DD">
      <w:pPr>
        <w:pStyle w:val="TextoNormal"/>
      </w:pPr>
      <w:r>
        <w:t>1.º Los promotores sociales a que hacen referencia las letras a) y b) del artículo 51.2 de la Ley 18/2007, del 28 de diciembre, del derecho a la vivienda.</w:t>
      </w:r>
    </w:p>
    <w:p w:rsidR="005728DD" w:rsidRDefault="005728DD" w:rsidP="005728DD">
      <w:pPr>
        <w:pStyle w:val="TextoNormal"/>
      </w:pPr>
    </w:p>
    <w:p w:rsidR="005728DD" w:rsidRDefault="005728DD" w:rsidP="005728DD">
      <w:pPr>
        <w:pStyle w:val="TextoNormal"/>
      </w:pPr>
      <w:r>
        <w:t>2.º Las personas que tengan más de un 15 por 100 de la superficie habitable de la propiedad calificado como viviendas con protección oficial destinadas a alquiler’”.</w:t>
      </w:r>
    </w:p>
    <w:p w:rsidR="005728DD" w:rsidRDefault="005728DD" w:rsidP="005728DD">
      <w:pPr>
        <w:pStyle w:val="TextoNormal"/>
      </w:pPr>
    </w:p>
    <w:p w:rsidR="005728DD" w:rsidRDefault="005728DD" w:rsidP="005728DD">
      <w:pPr>
        <w:pStyle w:val="TextoNormal"/>
      </w:pPr>
      <w:r>
        <w:t>El precepto, por tanto, se refiere solo a “personas jurídicas”. Con la expulsión del ordenamiento jurídico del art. 5.7, que era el que incluía la mención a las personas físicas también titulares de más de quince viviendas, ha perdido su sustento la denuncia de arbitrariedad vinculada a la inclusión de estas últimas (primera parte del motivo decimocuarto). Por lo que respecta a la exclusión de la administración pública como “principal tenedor de vivienda” en Cataluña (segunda parte del motivo decimocuarto) y a la contradicción con la definición contenida en el Real Decreto-ley 11/2020 (motivo décimo) la nulidad de los preceptos que regulan la oferta obligatoria de alquiler social les priva también de su sustento, pues como los propios recurrentes reconocen esta es la consecuencia jurídica a la que la Ley 24/2015 asocia la condición de “gran tenedor” [art. 5.2 a) y disposición adicional primera, añadida por el art. 5.7 ya anulado].</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Índice de referencia de precios de alquiler</w:t>
      </w:r>
      <w:r>
        <w:t>.</w:t>
      </w:r>
    </w:p>
    <w:p w:rsidR="005728DD" w:rsidRDefault="005728DD" w:rsidP="005728DD">
      <w:pPr>
        <w:pStyle w:val="TextoNormal"/>
      </w:pPr>
    </w:p>
    <w:p w:rsidR="005728DD" w:rsidRDefault="005728DD" w:rsidP="005728DD">
      <w:pPr>
        <w:pStyle w:val="TextoNormal"/>
      </w:pPr>
      <w:r>
        <w:t xml:space="preserve">El octavo motivo del recurso se dirige contra el art. 8 del Decreto-ley 17/2019, que modifica varios preceptos de la Ley del derecho a la vivienda para obligar a los agentes que intervienen en el mercado de alquiler y a los arrendadores a hacer constar en la publicidad, en las ofertas de alquiler y en los contratos de arrendamiento que suscriban el “índice de referencia de precios de alquiler” (arts. 8.1, 8.2 y 8.3, que modifican los arts. 59, 61.2 y 66.2 de la Ley autonómica del derecho a la vivienda). De acuerdo con el art. 8.4, que añade un art. 68 </w:t>
      </w:r>
      <w:r w:rsidRPr="005728DD">
        <w:rPr>
          <w:i/>
        </w:rPr>
        <w:t>bis</w:t>
      </w:r>
      <w:r>
        <w:t xml:space="preserve"> a la citada ley, este índice es “elaborado” por el departamento competente en materia de vivienda “a partir de los datos que constan en el registro de fianzas de los contratos de alquiler de fincas urbanas”, de acuerdo con “el sistema de cálculo y los elementos o factores correctores” que se determinen por orden del consejero o consejera competente, y su propósito es “informa[r] sobre la media del precio del alquiler de una vivienda de características similares en el mismo entorno urbano”. La falta de constancia de este índice en la publicidad de los agentes es constitutiva de infracción leve (art. 8.5, que modifica el art. 125.2 de la Ley del derecho a la vivienda), sancionable con multa de 3000 a 9000 €, y si la renta pactada es superior al mencionado índice, el art. 68 </w:t>
      </w:r>
      <w:r w:rsidRPr="005728DD">
        <w:rPr>
          <w:i/>
        </w:rPr>
        <w:t>bis</w:t>
      </w:r>
      <w:r>
        <w:t>.2, añadido por el art. 8.4 del Decreto-ley, dispone que “[l]a [parte] arrendadora de una vivienda no se puede beneficiar de las ayudas públicas dirigidas al fomento del alquiler”.</w:t>
      </w:r>
    </w:p>
    <w:p w:rsidR="005728DD" w:rsidRDefault="005728DD" w:rsidP="005728DD">
      <w:pPr>
        <w:pStyle w:val="TextoNormal"/>
      </w:pPr>
    </w:p>
    <w:p w:rsidR="005728DD" w:rsidRDefault="005728DD" w:rsidP="005728DD">
      <w:pPr>
        <w:pStyle w:val="TextoNormal"/>
      </w:pPr>
      <w:r>
        <w:t xml:space="preserve">De acuerdo con la argumentación de los recurrentes, estas normas regulan una materia civil vulnerando la competencia exclusiva del Estado del art. 149.1.8 CE. Los letrados del Gobierno y Parlamento de la Generalitat, por su parte, niegan la vulneración competencial </w:t>
      </w:r>
      <w:r>
        <w:lastRenderedPageBreak/>
        <w:t>aludida argumentando que el índice es un indicador de consulta pública de carácter informativo amparado en la competencia autonómica en materia de vivienda —incluso podría estarlo en la de consumo, dicen los letrados del Parlament— que busca moderar los precios de alquiler y no incide en el contrato de arrendamiento, que sigue siendo válido y vigente, ni en los derechos y obligaciones de las partes. Es, además, una medida coherente con la prevista en la disposición adicional segunda del Real Decreto-ley 7/2019, de 1 de marzo, de medidas urgentes en materia de vivienda y alquiler.</w:t>
      </w:r>
    </w:p>
    <w:p w:rsidR="005728DD" w:rsidRDefault="005728DD" w:rsidP="005728DD">
      <w:pPr>
        <w:pStyle w:val="TextoNormal"/>
      </w:pPr>
    </w:p>
    <w:p w:rsidR="005728DD" w:rsidRDefault="005728DD" w:rsidP="005728DD">
      <w:pPr>
        <w:pStyle w:val="TextoNormal"/>
      </w:pPr>
      <w:r>
        <w:t xml:space="preserve">De acuerdo con una doctrina constitucional consolidada, la legislación civil comprende “la regulación de las relaciones </w:t>
      </w:r>
      <w:r w:rsidRPr="005728DD">
        <w:rPr>
          <w:i/>
        </w:rPr>
        <w:t>inter privatos</w:t>
      </w:r>
      <w:r>
        <w:t>” (STC 28/2012, de 1 de marzo, FJ 5), y en lo que a este recurso interesa, la “determinación del contenido de los contratos” [STC 54/2018, de 24 de mayo, FJ 6 c), y las allí citadas]. Por el contrario, no forman parte de esta materia las regulaciones de tipo vertical que despliegan sus efectos entre la administración y el ciudadano y que anudan a su incumplimiento consecuencias de índole estrictamente jurídico-administrativa sin afectar a la validez y eficacia de los contratos (por todas, SSTC 14/1998, de 22 de enero, FJ 6, y 81/2020, de 15 de julio, FJ 10). Entre estas últimas regulaciones hemos incluido, entre otras, las posibles medidas de “policía administrativa” o de “disciplina del mercado” dirigidas a la protección de intereses colectivos y en particular a la “transparencia en los precios” [STC 71/1982, de 30 de noviembre, FJ 16, y en el mismo sentido STC 62/1991, de 22 de marzo, FJ 4 d)].</w:t>
      </w:r>
    </w:p>
    <w:p w:rsidR="005728DD" w:rsidRDefault="005728DD" w:rsidP="005728DD">
      <w:pPr>
        <w:pStyle w:val="TextoNormal"/>
      </w:pPr>
    </w:p>
    <w:p w:rsidR="005728DD" w:rsidRDefault="005728DD" w:rsidP="005728DD">
      <w:pPr>
        <w:pStyle w:val="TextoNormal"/>
      </w:pPr>
      <w:r>
        <w:t>En este ámbito de transparencia de los precios, el Estado ha aprobado una medida similar, amparada en el art. 149.1.13 CE, y no en el núm. 8 del mismo precepto. Se trata de la disposición adicional segunda del Real Decreto-ley 7/2019, aludida por la abogada de la Generalitat. Según esta disposición “[p]ara garantizar la transparencia y el conocimiento de la evolución del mercado del alquiler de viviendas, así como para aplicar políticas públicas que incrementen la oferta de vivienda asequible y para facilitar la aplicación de medidas de política fiscal, se crea el sistema estatal de índices de referencia del precio del alquiler de vivienda”. Añadiéndose a continuación la posibilidad de sistemas autonómicos complementarios: “[e]n sus respectivos ámbitos territoriales, las comunidades autónomas podrán definir de manera específica y adaptada a su territorio, su propio índice de referencia, para el ejercicio de sus competencias y a los efectos de diseñar sus propias políticas y programas públicos de vivienda” (apartado 2). La disposición final primera del Real Decreto-ley 7/2019, sobre títulos competenciales, ampara esta medida en el art. 149.1.13 CE.</w:t>
      </w:r>
    </w:p>
    <w:p w:rsidR="005728DD" w:rsidRDefault="005728DD" w:rsidP="005728DD">
      <w:pPr>
        <w:pStyle w:val="TextoNormal"/>
      </w:pPr>
    </w:p>
    <w:p w:rsidR="005728DD" w:rsidRDefault="005728DD" w:rsidP="005728DD">
      <w:pPr>
        <w:pStyle w:val="TextoNormal"/>
      </w:pPr>
      <w:r>
        <w:t xml:space="preserve">Volviendo ahora al art. 8 del Decreto-ley impugnado, por su contenido y finalidad, las obligaciones impuestas por el referido precepto, y las sanciones derivadas de su incumplimiento, son de naturaleza jurídico-pública, sin que incidan en las relaciones entre particulares derivadas de los contratos de mandato para el arrendamiento de viviendas ajenas y del arrendamiento de vivienda, a los que principalmente se dirigen. En particular, la regulación de estos índices, tanto el estatal como el autonómico, se dirige a posibilitar la obtención de información por las administraciones públicas que les permita conocer el estado y evolución del mercado del alquiler y, a partir de esa información, diseñar políticas de vivienda. No puede negarse la posible influencia de estos índices como “criterios orientadores que puedan contribuir a ordenar el mercado de la vivienda” [STC 14/2020, de 28 de enero, FJ 5 d), por referencia al sistema estatal], pero el índice de referencia deja incólume la libertad de las partes para fijar la renta del arrendamiento en la medida en que no impide la estipulación de un precio superior o inferior al resultante del mencionado índice. La eventual superación de </w:t>
      </w:r>
      <w:r>
        <w:lastRenderedPageBreak/>
        <w:t>ese índice tiene como único efecto la pérdida de la posibilidad de obtener ayudas públicas (art. 8.4 del Decreto-ley 17/2019). Ello impide calificarlas de “legislación civil” y aplicarles, en consecuencia, el art. 149.1.8 CE. Son, por el contrario, normas dictadas con el declarado propósito de dotar de transparencia al mercado y buscar la moderación de los precios de alquiler y por tanto encuentran acomodo en las competencias autonómicas en materia de vivienda (art. 137 EAC) y consumo (art. 123).</w:t>
      </w:r>
    </w:p>
    <w:p w:rsidR="005728DD" w:rsidRDefault="005728DD" w:rsidP="005728DD">
      <w:pPr>
        <w:pStyle w:val="TextoNormal"/>
      </w:pPr>
    </w:p>
    <w:p w:rsidR="005728DD" w:rsidRDefault="005728DD" w:rsidP="005728DD">
      <w:pPr>
        <w:pStyle w:val="TextoNormal"/>
      </w:pPr>
      <w:r>
        <w:t>En consecuencia, el motivo debe ser desestimado.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Obligación de reserva para vivienda de protección en suelo urbanizado</w:t>
      </w:r>
      <w:r>
        <w:t>.</w:t>
      </w:r>
    </w:p>
    <w:p w:rsidR="005728DD" w:rsidRDefault="005728DD" w:rsidP="005728DD">
      <w:pPr>
        <w:pStyle w:val="TextoNormal"/>
      </w:pPr>
    </w:p>
    <w:p w:rsidR="005728DD" w:rsidRDefault="005728DD" w:rsidP="005728DD">
      <w:pPr>
        <w:pStyle w:val="TextoNormal"/>
      </w:pPr>
      <w:r>
        <w:t>a) El siguiente motivo del recurso —el noveno— se dirige contra el art. 13.2 del Decreto-ley 17/2019, en la parte que modifica el apartado 7 del art. 57 del texto refundido de la Ley de urbanismo, aprobado por el Decreto legislativo 1/2010, de 3 de agosto, en los siguientes términos:</w:t>
      </w:r>
    </w:p>
    <w:p w:rsidR="005728DD" w:rsidRDefault="005728DD" w:rsidP="005728DD">
      <w:pPr>
        <w:pStyle w:val="TextoNormal"/>
      </w:pPr>
    </w:p>
    <w:p w:rsidR="005728DD" w:rsidRDefault="005728DD" w:rsidP="005728DD">
      <w:pPr>
        <w:pStyle w:val="TextoNormal"/>
      </w:pPr>
      <w:r>
        <w:t>“Artículo 13. Medidas en materia de reservas para vivienda de protección pública.</w:t>
      </w:r>
    </w:p>
    <w:p w:rsidR="005728DD" w:rsidRDefault="005728DD" w:rsidP="005728DD">
      <w:pPr>
        <w:pStyle w:val="TextoNormal"/>
      </w:pPr>
    </w:p>
    <w:p w:rsidR="005728DD" w:rsidRDefault="005728DD" w:rsidP="005728DD">
      <w:pPr>
        <w:pStyle w:val="TextoNormal"/>
      </w:pPr>
      <w:r>
        <w:t>13.1 […]</w:t>
      </w:r>
    </w:p>
    <w:p w:rsidR="005728DD" w:rsidRDefault="005728DD" w:rsidP="005728DD">
      <w:pPr>
        <w:pStyle w:val="TextoNormal"/>
      </w:pPr>
    </w:p>
    <w:p w:rsidR="005728DD" w:rsidRDefault="005728DD" w:rsidP="005728DD">
      <w:pPr>
        <w:pStyle w:val="TextoNormal"/>
      </w:pPr>
      <w:r>
        <w:t>13.2 Se modifican los apartados 6 y 7 del artículo 57 del texto refundido de la Ley de urbanismo, que quedan redactados de la manera siguiente:</w:t>
      </w:r>
    </w:p>
    <w:p w:rsidR="005728DD" w:rsidRDefault="005728DD" w:rsidP="005728DD">
      <w:pPr>
        <w:pStyle w:val="TextoNormal"/>
      </w:pPr>
    </w:p>
    <w:p w:rsidR="005728DD" w:rsidRDefault="005728DD" w:rsidP="005728DD">
      <w:pPr>
        <w:pStyle w:val="TextoNormal"/>
      </w:pPr>
      <w:r>
        <w:t>‘6. […]</w:t>
      </w:r>
    </w:p>
    <w:p w:rsidR="005728DD" w:rsidRDefault="005728DD" w:rsidP="005728DD">
      <w:pPr>
        <w:pStyle w:val="TextoNormal"/>
      </w:pPr>
    </w:p>
    <w:p w:rsidR="005728DD" w:rsidRDefault="005728DD" w:rsidP="005728DD">
      <w:pPr>
        <w:pStyle w:val="TextoNormal"/>
      </w:pPr>
      <w:r>
        <w:t xml:space="preserve">7. La calificación del suelo que establezca el plan de ordenación urbanística municipal o su planeamiento derivado para localizar las reservas a que hace referencia el apartado 6 puede prever la destinación total o parcial de la edificación en viviendas de protección pública. </w:t>
      </w:r>
      <w:r w:rsidRPr="005728DD">
        <w:rPr>
          <w:i/>
        </w:rPr>
        <w:t>Esta destinación afecta tanto a los edificios plurifamiliares de nueva construcción, aunque conserven algún elemento arquitectónico de una edificación anterior, como a los edificios plurifamiliares existentes en que se pretenda llevar a cabo obras generales de acondicionamiento, conservación, mejora o ampliación, cuando estas actuaciones edificatorias tengan como objetivo alojar mayoritariamente nuevos residentes en las viviendas resultantes</w:t>
      </w:r>
      <w:r>
        <w:t>. En el caso de destinación parcial, si la calificación urbanística no concreta las unidades de vivienda sobre las cuales recae, el otorgamiento de la licencia de obras queda condicionado a la obtención de la calificación provisional de las viviendas con protección oficial y la primera ocupación de la edificación a la obtención de la calificación definitiva’” (el énfasis es de los recurrentes).</w:t>
      </w:r>
    </w:p>
    <w:p w:rsidR="005728DD" w:rsidRDefault="005728DD" w:rsidP="005728DD">
      <w:pPr>
        <w:pStyle w:val="TextoNormal"/>
      </w:pPr>
    </w:p>
    <w:p w:rsidR="005728DD" w:rsidRDefault="005728DD" w:rsidP="005728DD">
      <w:pPr>
        <w:pStyle w:val="TextoNormal"/>
      </w:pPr>
      <w:r>
        <w:t xml:space="preserve">Los recurrentes denuncian que la posibilidad de obligar a los propietarios de “suelo urbano consolidado” a destinar la edificación a vivienda protegida, deducida del precepto transcrito, vulnera las competencias del Estado de los arts. 149.1.1 y 13 CE, por intermedio del texto refundido de la Ley de suelo y rehabilitación urbana aprobado Real Decreto Legislativo 7/2015, de 30 de octubre (TRLSRU), amparado en aquellos (disposición final segunda, apartado 1). La vulneración se centra en el art. 20.1 b), por una parte, y en los arts. 17 y 18.3, por otra. En cuanto al primero, sostienen que solo permite a las comunidades autónomas reservar suelo para vivienda protegida en dos casos: en “suelo rural que vaya a ser incluido en actuaciones de nueva urbanización”, en cuyo caso se prevé un mínimo de un </w:t>
      </w:r>
      <w:r>
        <w:lastRenderedPageBreak/>
        <w:t>30 por 100, y en “suelo urbanizado que deba someterse a actuaciones de reforma o renovación de la urbanización”, en cuyo caso ese mínimo es del 10 por 100. Fuera de ellos, por tanto, esa reserva no está permitida. Esto enlaza con la segunda parte del motivo, pues los segundos preceptos citados (arts. 17 y 18.3) no enumeran, entre los deberes de los propietarios de suelo urbanizado, el de destinar la edificación a vivienda protegida.</w:t>
      </w:r>
    </w:p>
    <w:p w:rsidR="005728DD" w:rsidRDefault="005728DD" w:rsidP="005728DD">
      <w:pPr>
        <w:pStyle w:val="TextoNormal"/>
      </w:pPr>
    </w:p>
    <w:p w:rsidR="005728DD" w:rsidRDefault="005728DD" w:rsidP="005728DD">
      <w:pPr>
        <w:pStyle w:val="TextoNormal"/>
      </w:pPr>
      <w:r>
        <w:t>Los letrados autonómicos niegan la vulneración competencial denunciada. Sostienen, en esencia, que el precepto catalán solo desarrolla el mandato general a las administraciones competentes en la materia de destinar una “parte proporcionada” del suelo a vivienda protegida, contenido en el primer párrafo del art. 20.1 b) TRLSRU, una reserva además que el propio precepto prevé que “será determinada por la legislación sobre ordenación territorial y urbanística” (segundo párrafo, primer inciso). Las reservas mínimas en “suelo rural que vaya a ser incluido en actuaciones de nueva urbanización” (30 por 100) y “suelo urbanizado que deba someterse a actuaciones de reforma o renovación de la urbanización” (10 por 100), contenidas en el párrafo segundo, segundo inciso, y a las que se refieren los recurrentes, no son más que concreciones mínimas e imperativas de aquel mandato general, pero no limitan a esos dos casos las posibilidades de reserva del legislador catalán. En cuanto a la segunda parte del motivo, argumentan que el Decreto-ley catalán no ha modificado realmente los deberes de los propietarios, que ya vienen obligados conforme a la ley estatal a dedicar el suelo a “usos compatibles” con la legislación estatal y urbanística [arts. 12.1 y 15.1 a) TRLSRU].</w:t>
      </w:r>
    </w:p>
    <w:p w:rsidR="005728DD" w:rsidRDefault="005728DD" w:rsidP="005728DD">
      <w:pPr>
        <w:pStyle w:val="TextoNormal"/>
      </w:pPr>
    </w:p>
    <w:p w:rsidR="005728DD" w:rsidRDefault="005728DD" w:rsidP="005728DD">
      <w:pPr>
        <w:pStyle w:val="TextoNormal"/>
      </w:pPr>
      <w:r>
        <w:t>b) El art. 20.1 b) TRLSRU en que se basa principalmente el motivo de impugnación dice lo siguiente:</w:t>
      </w:r>
    </w:p>
    <w:p w:rsidR="005728DD" w:rsidRDefault="005728DD" w:rsidP="005728DD">
      <w:pPr>
        <w:pStyle w:val="TextoNormal"/>
      </w:pPr>
    </w:p>
    <w:p w:rsidR="005728DD" w:rsidRDefault="005728DD" w:rsidP="005728DD">
      <w:pPr>
        <w:pStyle w:val="TextoNormal"/>
      </w:pPr>
      <w:r>
        <w:t>“Para hacer efectivos los principios y los derechos y deberes enunciados en el título preliminar y en el título I, respectivamente, las administraciones públicas, y en particular las competentes en materia de ordenación territorial y urbanística, deberán:</w:t>
      </w:r>
    </w:p>
    <w:p w:rsidR="005728DD" w:rsidRDefault="005728DD" w:rsidP="005728DD">
      <w:pPr>
        <w:pStyle w:val="TextoNormal"/>
      </w:pPr>
    </w:p>
    <w:p w:rsidR="005728DD" w:rsidRDefault="005728DD" w:rsidP="005728DD">
      <w:pPr>
        <w:pStyle w:val="TextoNormal"/>
      </w:pPr>
      <w:r>
        <w:t>a) […]</w:t>
      </w:r>
    </w:p>
    <w:p w:rsidR="005728DD" w:rsidRDefault="005728DD" w:rsidP="005728DD">
      <w:pPr>
        <w:pStyle w:val="TextoNormal"/>
      </w:pPr>
    </w:p>
    <w:p w:rsidR="005728DD" w:rsidRDefault="005728DD" w:rsidP="005728DD">
      <w:pPr>
        <w:pStyle w:val="TextoNormal"/>
      </w:pPr>
      <w:r>
        <w:t>b) Destinar suelo adecuado y suficiente para usos productivos y para uso residencial, con reserva en todo caso de una parte proporcionada a vivienda sujeta a un régimen de protección pública que, al menos, permita establecer su precio máximo en venta, alquiler u otras formas de acceso a la vivienda, como el derecho de superficie o la concesión administrativa.</w:t>
      </w:r>
    </w:p>
    <w:p w:rsidR="005728DD" w:rsidRDefault="005728DD" w:rsidP="005728DD">
      <w:pPr>
        <w:pStyle w:val="TextoNormal"/>
      </w:pPr>
    </w:p>
    <w:p w:rsidR="005728DD" w:rsidRDefault="005728DD" w:rsidP="005728DD">
      <w:pPr>
        <w:pStyle w:val="TextoNormal"/>
      </w:pPr>
      <w:r>
        <w:t>Esta reserva será determinada por la legislación sobre ordenación territorial y urbanística o, de conformidad con ella, por los instrumentos de ordenación, garantizará una distribución de su localización respetuosa con el principio de cohesión social y comprenderá, como mínimo, los terrenos necesarios para realizar el 30 por 100 de la edificabilidad residencial prevista por la ordenación urbanística en el suelo rural que vaya a ser incluido en actuaciones de nueva urbanización y el 10 por 100 en el suelo urbanizado que deba someterse a actuaciones de reforma o renovación de la urbanización.</w:t>
      </w:r>
    </w:p>
    <w:p w:rsidR="005728DD" w:rsidRDefault="005728DD" w:rsidP="005728DD">
      <w:pPr>
        <w:pStyle w:val="TextoNormal"/>
      </w:pPr>
    </w:p>
    <w:p w:rsidR="005728DD" w:rsidRDefault="005728DD" w:rsidP="005728DD">
      <w:pPr>
        <w:pStyle w:val="TextoNormal"/>
      </w:pPr>
      <w:r>
        <w:t xml:space="preserve">No obstante, dicha legislación podrá también fijar o permitir excepcionalmente una reserva inferior o eximirlas para determinados municipios o actuaciones, siempre que, cuando se trate de actuaciones de nueva urbanización, se garantice en el instrumento de ordenación </w:t>
      </w:r>
      <w:r>
        <w:lastRenderedPageBreak/>
        <w:t>el cumplimiento íntegro de la reserva dentro de su ámbito territorial de aplicación y una distribución de su localización respetuosa con el principio de cohesión social”.</w:t>
      </w:r>
    </w:p>
    <w:p w:rsidR="005728DD" w:rsidRDefault="005728DD" w:rsidP="005728DD">
      <w:pPr>
        <w:pStyle w:val="TextoNormal"/>
      </w:pPr>
    </w:p>
    <w:p w:rsidR="005728DD" w:rsidRDefault="005728DD" w:rsidP="005728DD">
      <w:pPr>
        <w:pStyle w:val="TextoNormal"/>
      </w:pPr>
      <w:r>
        <w:t>La cobertura competencial de esta norma, que procede del art. 10.1 b) del texto refundido de la Ley de suelo de 2008 y fue luego modificada por la Ley de rehabilitación, regeneración y renovación urbanas de 2013, ha sido reconocida en las SSTC 141/2014, de 11 de septiembre, FJ 8 A), y 75/2018, de 5 de julio, FJ 6 A), vinculándola con los núms. 1 y 13 del art. 149.1 CE.</w:t>
      </w:r>
    </w:p>
    <w:p w:rsidR="005728DD" w:rsidRDefault="005728DD" w:rsidP="005728DD">
      <w:pPr>
        <w:pStyle w:val="TextoNormal"/>
      </w:pPr>
    </w:p>
    <w:p w:rsidR="005728DD" w:rsidRDefault="005728DD" w:rsidP="005728DD">
      <w:pPr>
        <w:pStyle w:val="TextoNormal"/>
      </w:pPr>
      <w:r>
        <w:t>Por su parte, los derechos y deberes de los propietarios de suelo, y en concreto de suelo “urbanizado”, en terminología de la Ley de suelo y rehabilitación urbana, que es la que interesa a este recurso, están contenidos en los arts. 15 para el suelo en general (dedicarlo a usos compatibles con la ordenación general y urbanística, conservarlos y realizar mejoras ordenadas por la administración) y 17 para el suelo urbanizado (completar la urbanización, edificar en plazo, conservación y seguridad de los edificios). El art. 18 completa la enumeración anterior con la regulación de una serie de deberes especiales vinculados a las actuaciones “de urbanización” y “de edificación”, a su vez definidas en el art. 7 (cesiones obligatorias y costear la urbanización, garantizar el realojamiento de los ocupantes legales que se precise desalojar e indemnizar a los titulares de construcciones y edificaciones demolidas). Con carácter general, hemos reconocido la competencia del Estado para regular el cuadro de derechos y deberes de los propietarios de suelo para “garantizar la igualdad en las condiciones de ejercicio del derecho de propiedad urbana y en el cumplimiento de los deberes inherentes a la función social” (art. 149.1.1 CE, en relación con el art. 33), siempre que esa regulación no implique prefigurar un modelo urbanístico concreto, pues ello es competencia autonómica [por todas, STC 61/1997, de 20 de marzo, FJ 9 b)].</w:t>
      </w:r>
    </w:p>
    <w:p w:rsidR="005728DD" w:rsidRDefault="005728DD" w:rsidP="005728DD">
      <w:pPr>
        <w:pStyle w:val="TextoNormal"/>
      </w:pPr>
    </w:p>
    <w:p w:rsidR="005728DD" w:rsidRDefault="005728DD" w:rsidP="005728DD">
      <w:pPr>
        <w:pStyle w:val="TextoNormal"/>
      </w:pPr>
      <w:r>
        <w:t>c) No existiendo duda en la cobertura competencial de los preceptos citados por los recurrentes, amparo que tampoco cuestionan los letrados autonómicos, la controversia se centra en la existencia o no de contradicción entre aquellos y la norma autonómica impugnada. Contradicción que dependerá de que pueda encontrarse en la norma estatal una prohibición de destinar edificaciones levantadas en suelo urbano consolidado a vivienda protegida, pues solo así la posibilidad de imponer esta obligación deducida de la norma autonómica será inconstitucional.</w:t>
      </w:r>
    </w:p>
    <w:p w:rsidR="005728DD" w:rsidRDefault="005728DD" w:rsidP="005728DD">
      <w:pPr>
        <w:pStyle w:val="TextoNormal"/>
      </w:pPr>
    </w:p>
    <w:p w:rsidR="005728DD" w:rsidRDefault="005728DD" w:rsidP="005728DD">
      <w:pPr>
        <w:pStyle w:val="TextoNormal"/>
      </w:pPr>
      <w:r>
        <w:t>Del art. 20.1 b) TRLSRU no se puede deducir esta prohibición. El art. 20.1 b) regula la obligación de destinar o reservar “suelo” para vivienda protegida. Pero de esta obligación de destinar parte del “suelo” disponible a vivienda protegida no puede deducirse una prohibición de destinar “edificaciones” al mismo fin. De hecho, la obligación de reservar “suelo” presupone la habilitación a las comunidades autónomas para vincular “edificaciones” a ese fin, en concreto las erigidas en esa parte de suelo. El objeto de debate es si el legislador catalán puede habilitar para imponer ese destino a edificaciones erigidas o existentes fuera de esos ámbitos mencionados en el art. 20.1 b).</w:t>
      </w:r>
    </w:p>
    <w:p w:rsidR="005728DD" w:rsidRDefault="005728DD" w:rsidP="005728DD">
      <w:pPr>
        <w:pStyle w:val="TextoNormal"/>
      </w:pPr>
    </w:p>
    <w:p w:rsidR="005728DD" w:rsidRDefault="005728DD" w:rsidP="005728DD">
      <w:pPr>
        <w:pStyle w:val="TextoNormal"/>
      </w:pPr>
      <w:r>
        <w:t xml:space="preserve">La fijación de los usos del suelo, y de las edificaciones, son materias típicamente urbanísticas: “Es claro que delimitar los diversos usos a que puede destinarse el suelo o espacio físico constituye uno de los aspectos básicos del urbanismo y, en términos más generales, de la ordenación del territorio”, ambas de competencia autonómica de acuerdo con el art. 148.1.3 CE (STC 61/1997, FJ 16, con cita de la STC 77/1984, de 3 de julio, FJ 2). El propio </w:t>
      </w:r>
      <w:r>
        <w:lastRenderedPageBreak/>
        <w:t>art. 20.1, en su párrafo c), ordena a los entes públicos competentes en materia de ordenación territorial y urbanística “atender, en la ordenación que hagan de los usos del suelo” a determinados principios que enumera (accesibilidad universal, movilidad, eficiencia energética, etcétera). Y como recuerdan los letrados del Parlamento de Cataluña, el art. 15.1 a) de la misma Ley establece la obligación de los propietarios de destinar “los terrenos, las instalaciones, construcciones y edificaciones […] cualquiera que sea la situación en que se encuentren” a “usos que sean compatibles con la ordenación territorial y urbanística”.</w:t>
      </w:r>
    </w:p>
    <w:p w:rsidR="005728DD" w:rsidRDefault="005728DD" w:rsidP="005728DD">
      <w:pPr>
        <w:pStyle w:val="TextoNormal"/>
      </w:pPr>
    </w:p>
    <w:p w:rsidR="005728DD" w:rsidRDefault="005728DD" w:rsidP="005728DD">
      <w:pPr>
        <w:pStyle w:val="TextoNormal"/>
      </w:pPr>
      <w:r>
        <w:t>El Estado, dentro del ámbito de sus competencias, puede delimitar externamente esos usos para la garantía y protección de bienes constitucionales que tiene encomendados con diverso alcance (protección del medio ambiente, garantía de la igualdad básica en el ejercicio de la propiedad urbana o en el acceso a la vivienda, o fomento del desarrollo de sectores productivos o de la economía general). Por ejemplo puede prohibir edificar en suelo no apto para ello (STC 61/1997, FJ 16) o limitar el tipo de usos y construcciones en los mismos (art. 13 TRLSRU y STC 86/2019, de 20 de junio, FJ 8). Puede incluso imponer obligaciones positivas, como las de destinar suelo “suficiente” a la trasformación urbanística y a usos residenciales y productivos, o porcentajes concretos, y mínimos, a vivienda protegida (art. 20.1 TRLSRU y STC 75/2018, ya citada, FJ 6 A)]. Cuando los usos establecidos por las leyes autonómicos no se ajusten a estas determinaciones, serán inconstitucionales, como ocurrió con ciertas instalaciones y construcciones en la citada STC 86/2019, FJ 8 d). Pero dentro de esos límites u obligaciones marcados por el Estado, la ordenación del territorio y de la ciudad corresponde a las comunidades autónomas (art. 148.1.3 CE) y a los entes locales respectivos en ejercicio de su autonomía (art. 137 CE).</w:t>
      </w:r>
    </w:p>
    <w:p w:rsidR="005728DD" w:rsidRDefault="005728DD" w:rsidP="005728DD">
      <w:pPr>
        <w:pStyle w:val="TextoNormal"/>
      </w:pPr>
    </w:p>
    <w:p w:rsidR="005728DD" w:rsidRDefault="005728DD" w:rsidP="005728DD">
      <w:pPr>
        <w:pStyle w:val="TextoNormal"/>
      </w:pPr>
      <w:r>
        <w:t>En los preceptos invocados por los recurrentes no hay norma alguna que prohíba destinar edificaciones al concreto uso que es vivienda protegida. Antes al contrario, el propio art. 20.1 b) ordena a las comunidades autónomas y ayuntamientos reservar suelo para ello y efectuar una “distribución de su localización respetuosa con el principio de cohesión social”, criterio favorable a su posible localización en suelo urbanizado y en edificaciones nuevas o ya existentes que vayan a ser objeto de “actuaciones edificatorias” del art. 7.2 TRLSRU (según este precepto son actuaciones edificatorias las de “nueva edificación” y también las de “sustitución de la edificación existente” y “rehabilitación edificatoria”). Lo que impone la ley estatal es, cuando hayan de realizarse tales actividades, la equitativa distribución de los beneficios y cargas [art. 17.2, en relación con los arts. 2.1, 14.1 c) y 24] o, si ello no fuera posible, la indemnización de los perjuicios singulares ocasionados (art. 48 TRLSRU), y en todo caso el respeto a los derechos urbanísticos patrimonializados conforme a la ley (art. 11.2) bajo garantía de indemnización (art. 33.3 CE).</w:t>
      </w:r>
    </w:p>
    <w:p w:rsidR="005728DD" w:rsidRDefault="005728DD" w:rsidP="005728DD">
      <w:pPr>
        <w:pStyle w:val="TextoNormal"/>
      </w:pPr>
    </w:p>
    <w:p w:rsidR="005728DD" w:rsidRDefault="005728DD" w:rsidP="005728DD">
      <w:pPr>
        <w:pStyle w:val="TextoNormal"/>
      </w:pPr>
      <w:r>
        <w:t>En definitiva, y a modo de recapitulación, ni de las normas dictadas por el Estado para promover la reforma interior de las ciudades frente al modelo tradicional de producción de nueva ciudad (art. 149.1.13 CE), ni del cuadro de derechos y obligaciones de los propietarios de cualquier clase de suelo, incluido el urbanizado sometido a actuaciones de “reforma o renovación de la urbanización” del art. 7.1 a) 2 TRLSRU, amparado en el art. 149.1.1 CE, se deriva el derecho de un propietario o empresario a vetar el concreto uso de vivienda protegida habilitado por el legislador catalán; sin perjuicio, claro está, de la eventual indemnización que pueda proceder como consecuencia de esa imposición, si se cumplen los requisitos legalmente establecidos para ello.</w:t>
      </w:r>
    </w:p>
    <w:p w:rsidR="005728DD" w:rsidRDefault="005728DD" w:rsidP="005728DD">
      <w:pPr>
        <w:pStyle w:val="TextoNormal"/>
      </w:pPr>
    </w:p>
    <w:p w:rsidR="005728DD" w:rsidRDefault="005728DD" w:rsidP="005728DD">
      <w:pPr>
        <w:pStyle w:val="TextoNormal"/>
      </w:pPr>
      <w:r>
        <w:lastRenderedPageBreak/>
        <w:t>En consecuencia, el motivo debe ser desestimado.</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w:t>
      </w:r>
      <w:r w:rsidRPr="005728DD">
        <w:rPr>
          <w:i/>
        </w:rPr>
        <w:t>Registro de viviendas vacías y de viviendas ocupadas sin título habilitante</w:t>
      </w:r>
      <w:r>
        <w:t>.</w:t>
      </w:r>
    </w:p>
    <w:p w:rsidR="005728DD" w:rsidRDefault="005728DD" w:rsidP="005728DD">
      <w:pPr>
        <w:pStyle w:val="TextoNormal"/>
      </w:pPr>
    </w:p>
    <w:p w:rsidR="005728DD" w:rsidRDefault="005728DD" w:rsidP="005728DD">
      <w:pPr>
        <w:pStyle w:val="TextoNormal"/>
      </w:pPr>
      <w:r>
        <w:t>a) El último motivo del recurso se dirige contra el art. 4.6, que modifica la Ley del derecho a la vivienda en los siguientes términos:</w:t>
      </w:r>
    </w:p>
    <w:p w:rsidR="005728DD" w:rsidRDefault="005728DD" w:rsidP="005728DD">
      <w:pPr>
        <w:pStyle w:val="TextoNormal"/>
      </w:pPr>
    </w:p>
    <w:p w:rsidR="005728DD" w:rsidRDefault="005728DD" w:rsidP="005728DD">
      <w:pPr>
        <w:pStyle w:val="TextoNormal"/>
      </w:pPr>
      <w:r>
        <w:t>“4.6 Se modifica el apartado 1 de la disposición adicional vigesimocuarta de la Ley del derecho a la vivienda, que queda redactado de la manera siguiente:</w:t>
      </w:r>
    </w:p>
    <w:p w:rsidR="005728DD" w:rsidRDefault="005728DD" w:rsidP="005728DD">
      <w:pPr>
        <w:pStyle w:val="TextoNormal"/>
      </w:pPr>
    </w:p>
    <w:p w:rsidR="005728DD" w:rsidRDefault="005728DD" w:rsidP="005728DD">
      <w:pPr>
        <w:pStyle w:val="TextoNormal"/>
      </w:pPr>
      <w:r>
        <w:t>‘1. Se crea el registro de viviendas vacías y de viviendas ocupadas sin título habilitante, con carácter administrativo, que depende de la Agencia de la Vivienda de Cataluña, en la cual tienen que ser objeto de inscripción las viviendas que se indiquen por reglamento y, en todo caso, las viviendas siguientes:</w:t>
      </w:r>
    </w:p>
    <w:p w:rsidR="005728DD" w:rsidRDefault="005728DD" w:rsidP="005728DD">
      <w:pPr>
        <w:pStyle w:val="TextoNormal"/>
      </w:pPr>
    </w:p>
    <w:p w:rsidR="005728DD" w:rsidRDefault="005728DD" w:rsidP="005728DD">
      <w:pPr>
        <w:pStyle w:val="TextoNormal"/>
      </w:pPr>
      <w:r>
        <w:t>a) Las adquiridas en un proceso de ejecución hipotecaria o mediante compensación o pago de deuda con garantía hipotecaria que no estén ocupadas por personas con título habilitante.</w:t>
      </w:r>
    </w:p>
    <w:p w:rsidR="005728DD" w:rsidRDefault="005728DD" w:rsidP="005728DD">
      <w:pPr>
        <w:pStyle w:val="TextoNormal"/>
      </w:pPr>
    </w:p>
    <w:p w:rsidR="005728DD" w:rsidRDefault="005728DD" w:rsidP="005728DD">
      <w:pPr>
        <w:pStyle w:val="TextoNormal"/>
      </w:pPr>
      <w:r>
        <w:t>b) Las de titularidad de personas jurídicas privadas que, de acuerdo con esta Ley, se encuentren en situación de utilización anómala por su desocupación permanente o en situación de utilización asimilada de acuerdo con el artículo 41.1 a).</w:t>
      </w:r>
    </w:p>
    <w:p w:rsidR="005728DD" w:rsidRDefault="005728DD" w:rsidP="005728DD">
      <w:pPr>
        <w:pStyle w:val="TextoNormal"/>
      </w:pPr>
    </w:p>
    <w:p w:rsidR="005728DD" w:rsidRDefault="005728DD" w:rsidP="005728DD">
      <w:pPr>
        <w:pStyle w:val="TextoNormal"/>
      </w:pPr>
      <w:r>
        <w:t>La inscripción se tiene que llevar a cabo en la forma y los plazos que determine el reglamento que regule el funcionamiento del registro’”.</w:t>
      </w:r>
    </w:p>
    <w:p w:rsidR="005728DD" w:rsidRDefault="005728DD" w:rsidP="005728DD">
      <w:pPr>
        <w:pStyle w:val="TextoNormal"/>
      </w:pPr>
    </w:p>
    <w:p w:rsidR="005728DD" w:rsidRDefault="005728DD" w:rsidP="005728DD">
      <w:pPr>
        <w:pStyle w:val="TextoNormal"/>
      </w:pPr>
      <w:r>
        <w:t>Los recurrentes sitúan el precepto “en su contexto”, señalando que el registro de viviendas vacías fue establecido por el Decreto-ley de la Generalitat de Cataluña 1/2015, de 24 de marzo, de medidas extraordinarias y urgentes para la movilización de las viviendas provenientes de procesos de ejecución hipotecaria, que fue el que añadió a la Ley del derecho a la vivienda la disposición adicional vigesimocuarta ahora modificada en parte. De los debates parlamentarios habidos con ocasión de aquel Decreto-ley, así como de la exposición de motivos de este Decreto-ley 17/2019 que ahora se recurre, deducen que el fin último del registro es obtener coactivamente información de los pisos desocupados existentes en Cataluña a fin de posibilitar la expropiación de los mismos. En este contexto, les parece que la obligación de suministrar información a ese registro vulnera el derecho a la intimidad del art. 18 de la Constitución “en la medida en que faculta a la administración pública para acopiar datos particulares de modo generalizado e indiscriminado, sin exigir que tales informaciones sean verdaderamente necesarias y adecuadas”. Los recurrentes reconocen, en todo caso, que el desarrollo reglamentario anunciado en el precepto impugnado no se ha producido todavía, y que “para la exposición” de los datos que la administración recabará (titularidad actual y pasada, ubicación, superficie, fecha de adquisición o transmisión, medio de adquisición, importe, ocupación o en su defecto fecha y circunstancias de la desocupación, cédula de habitabilidad, ejecución de obras que justifiquen la desocupación, y otros) “se han tomado en consideración las informaciones que constan en la web oficial de la Generalitat de Catalunya”.</w:t>
      </w:r>
    </w:p>
    <w:p w:rsidR="005728DD" w:rsidRDefault="005728DD" w:rsidP="005728DD">
      <w:pPr>
        <w:pStyle w:val="TextoNormal"/>
      </w:pPr>
    </w:p>
    <w:p w:rsidR="005728DD" w:rsidRDefault="005728DD" w:rsidP="005728DD">
      <w:pPr>
        <w:pStyle w:val="TextoNormal"/>
      </w:pPr>
      <w:r>
        <w:lastRenderedPageBreak/>
        <w:t xml:space="preserve">Los letrados autonómicos denuncian en primer lugar la “extemporaneidad” del recurso, que con el pretexto de impugnar el citado art. 4.6, realiza en realidad una “impugnación encubierta </w:t>
      </w:r>
      <w:r w:rsidRPr="005728DD">
        <w:rPr>
          <w:i/>
        </w:rPr>
        <w:t>in totum</w:t>
      </w:r>
      <w:r>
        <w:t>” de la regulación por la que se establece el registro. En particular, señalan que los datos que deben comunicarse al registro ya constan en el apartado 2 de la disposición adicional vigesimocuarta de la Ley del derecho a la vivienda, no modificado por el precepto impugnado, que alude a “la situación […], la titularidad, la ubicación, la superficie, si disponen de cédula de habitabilidad y otros datos que permitan determinar las condiciones de conservación y mantenimiento del inmueble, en los términos y en la forma que se determinen por reglamento”. Además, añaden que por su contenido y naturaleza el derecho a la intimidad del art. 18 CE se proyecta sobre la vida privada de personas físicas, no jurídicas, y que los datos recabados o que podría recabar la administración no son tampoco datos “personales”, salvo el de la titularidad de la vivienda; todos los demás se refieren a las características de esta. Y en última instancia, ese único dato verdaderamente “personal” podría recabarse precisamente por imponerlo una norma legal como es el Decreto-ley (requisito de la habilitación legal contenido en el art. 8 de la Ley Orgánica 3/2018, de 5 de diciembre, de protección de datos, y en el art. 6.1 c) del Reglamento 2016/679, de la Unión Europea) y tratarse de un dato “limitado a lo necesario” para el fin perseguido [art. 5.1 c) del referido Reglamento comunitario]. En todo caso, añaden, son datos que la administración precisa para conocer las condiciones de habitabilidad de esas viviendas y desarrollar su política de vivienda.</w:t>
      </w:r>
    </w:p>
    <w:p w:rsidR="005728DD" w:rsidRDefault="005728DD" w:rsidP="005728DD">
      <w:pPr>
        <w:pStyle w:val="TextoNormal"/>
      </w:pPr>
    </w:p>
    <w:p w:rsidR="005728DD" w:rsidRDefault="005728DD" w:rsidP="005728DD">
      <w:pPr>
        <w:pStyle w:val="TextoNormal"/>
      </w:pPr>
      <w:r>
        <w:t>b) Atendida la norma impugnada, y su contenido, solo puede ser objeto de consideración por este tribunal la creación, implantación o establecimiento del registro (efectuada en 2015 pero reiterada por la norma impugnada) y la delimitación de las viviendas inscribibles, pues esto es lo único que regula el art. 4.6 objeto de recurso. Todo lo demás queda fuera del objeto de este proceso. Según doctrina constitucional reiterada, mediante el recurso de inconstitucionalidad este tribunal efectúa un control “en abstracto” de la norma recurrida, desvinculado de cualquier consideración concreta sobre su aplicación a un específico supuesto de hecho, y también un control “objetivo”, pues la regla controvertida ha de ser enjuiciada en atención a su propio sentido, de modo que “las intenciones o finalidades del autor de la norma, su estrategia política o su propósito último no constituyen, como es evidente, objeto de nuestro enjuiciamiento” [STC 139/2017, de 29 de noviembre, FJ 2 c), con cita de otras]. Por otra parte, hemos dicho también que la modificación de una ley por otra posterior “abre, naturalmente, el plazo para que esos preceptos así reformados puedan ser recurridos en la redacción que les ha dado la ley modificadora”, pero la ley anterior, “en la parte que permanece con la redacción inicialmente aprobada, resulta inatacable directamente por la vía del recurso de inconstitucionalidad, cuando, como es el caso, ya han transcurrido más que sobradamente los plazos en los que el art. 33 LOTC permite su interposición” [SSTC 83/2020, de 15 de julio, FJ 2 b), y 131/2020, de 22 de septiembre, FJ 3].</w:t>
      </w:r>
    </w:p>
    <w:p w:rsidR="005728DD" w:rsidRDefault="005728DD" w:rsidP="005728DD">
      <w:pPr>
        <w:pStyle w:val="TextoNormal"/>
      </w:pPr>
    </w:p>
    <w:p w:rsidR="005728DD" w:rsidRDefault="005728DD" w:rsidP="005728DD">
      <w:pPr>
        <w:pStyle w:val="TextoNormal"/>
      </w:pPr>
      <w:r>
        <w:t xml:space="preserve">c) Centrado de este modo el objeto del recurso, la posible extensión a las personas jurídicas de la titularidad o de la protección que brinda el derecho fundamental a la intimidad del art. 18.1 CE, que es el único expresamente invocado por los recurrentes, no puede ser completamente excluida, como plantean las partes comparecidas y en particular la letrada de la Generalitat. Es verdad que, sobre todo en relación con la inviolabilidad del domicilio del art. 18.2 CE, este tribunal ha manifestado que “las personas jurídicas gozan de una intensidad menor de protección [del domicilio], por faltar una estrecha vinculación con un ámbito de intimidad en su sentido originario; esto es, el referido a la vida personal y familiar, </w:t>
      </w:r>
      <w:r w:rsidRPr="005728DD">
        <w:rPr>
          <w:i/>
        </w:rPr>
        <w:lastRenderedPageBreak/>
        <w:t>solo predicable de las personas físicas</w:t>
      </w:r>
      <w:r>
        <w:t xml:space="preserve">” (STC 54/2015, de 16 de marzo, FJ 5), inciso este último destacado por la representación del gobierno autonómico como indicativo de que aquellas no son titulares en modo alguno de este derecho. No obstante, este tribunal ha dejado la puerta abierta a su reconocimiento en ocasiones. Así, por ejemplo, quedó implícita esta posibilidad, en función de las circunstancias del caso, en el ATC 208/2007, de 16 de abril, FJ 3, que dice: “[r]especto del derecho a la intimidad del art. 18.1 CE invocado por el recurrente, hemos de señalar que, según SSTC 386/1993, de 23 diciembre, FJ 7, y 137/1985, de 17 octubre, FFJJ 2 y 3, las personas jurídicas pueden ostentar el derecho a la inviolabilidad del domicilio, pero no se les ha reconocido así el derecho a la intimidad </w:t>
      </w:r>
      <w:r w:rsidRPr="005728DD">
        <w:rPr>
          <w:i/>
        </w:rPr>
        <w:t>en los mismos términos y sin matices que a las personas naturales</w:t>
      </w:r>
      <w:r>
        <w:t>” (énfasis añadido). Y prosigue esta sentencia: “No obstante, aun en el supuesto de reconocimiento del mismo derecho, por conexión con la intimidad de los hermanos Comella, implícitamente invocada —que no acreditada—, dicho motivo no podría prosperar” por las razones que expone. De donde se deduce entonces que, de acuerdo con esta resolución cabría, al menos en hipótesis, reconocer la protección del derecho a la intimidad a personas jurídicas “por conexión con la intimidad” de personas físicas.</w:t>
      </w:r>
    </w:p>
    <w:p w:rsidR="005728DD" w:rsidRDefault="005728DD" w:rsidP="005728DD">
      <w:pPr>
        <w:pStyle w:val="TextoNormal"/>
      </w:pPr>
    </w:p>
    <w:p w:rsidR="005728DD" w:rsidRDefault="005728DD" w:rsidP="005728DD">
      <w:pPr>
        <w:pStyle w:val="TextoNormal"/>
      </w:pPr>
      <w:r>
        <w:t xml:space="preserve">Del mismo modo, en el recurso de amparo presentado por una persona física y otra jurídica, de la que el primero era director ejecutivo y propietario, por vulneración, entre otros, de su derecho a la intimidad por la emisión de un reportaje con cámara oculta, la STC 25/2019, de 25 de febrero, dijo en su FJ 2 a): “La demanda de amparo considera que las conductas controvertidas de la cadena televisiva afectan simultánea e indistintamente a los derechos fundamentales del Sr. Hertlein y la entidad Homo Simplex, S.L. No obstante, en el escrito de demanda no se ha diferenciado los derechos de una y otra parte recurrente que se consideran vulnerados, ni se ha argumentado de qué forma las conductas realizadas por las partes recurridas habrían afectado también, o específicamente, a los derechos de Homo Simplex, S.L. Por tanto, </w:t>
      </w:r>
      <w:r w:rsidRPr="005728DD">
        <w:rPr>
          <w:i/>
        </w:rPr>
        <w:t>sin necesidad de entrar en disquisiciones sobre la titularidad de derechos fundamentales por las personas jurídicas, debemos concluir que la protección de los derechos de la mencionada sociedad queda extramuros del presente proceso</w:t>
      </w:r>
      <w:r>
        <w:t>. En consecuencia, solo enjuiciaremos las vulneraciones alegadas en relación con los derechos de los que es titular la persona física que ha promovido este recurso, al que nos referiremos como el demandante de amparo en lo que sigue de esta sentencia” (énfasis añadido).</w:t>
      </w:r>
    </w:p>
    <w:p w:rsidR="005728DD" w:rsidRDefault="005728DD" w:rsidP="005728DD">
      <w:pPr>
        <w:pStyle w:val="TextoNormal"/>
      </w:pPr>
    </w:p>
    <w:p w:rsidR="005728DD" w:rsidRDefault="005728DD" w:rsidP="005728DD">
      <w:pPr>
        <w:pStyle w:val="TextoNormal"/>
      </w:pPr>
      <w:r>
        <w:t>Por todo lo anterior, no podemos negar de modo absoluto que el registro de viviendas vacías de la disposición adicional vigesimocuarta de la Ley del derecho a la vivienda, modificado por el precepto impugnado, pueda afectar al derecho a la intimidad constitucionalmente protegido (art. 18.1 CE).</w:t>
      </w:r>
    </w:p>
    <w:p w:rsidR="005728DD" w:rsidRDefault="005728DD" w:rsidP="005728DD">
      <w:pPr>
        <w:pStyle w:val="TextoNormal"/>
      </w:pPr>
    </w:p>
    <w:p w:rsidR="005728DD" w:rsidRDefault="005728DD" w:rsidP="005728DD">
      <w:pPr>
        <w:pStyle w:val="TextoNormal"/>
      </w:pPr>
      <w:r>
        <w:t xml:space="preserve">d) De acuerdo con esta premisa, y por lo que se refiere al objeto de protección, datos de naturaleza económica como los requeridos por el registro pueden también quedar amparados por el art. 18.1 CE. Según nuestra doctrina reiterada, los datos con trascendencia económica pueden estar protegidos por el derecho a la intimidad (por todas, STC 233/1999, de 16 de diciembre, FJ 7), si bien no todos ellos tienen la misma relevancia a estos efectos, pues hemos diferenciado, por ejemplo, datos como “movimientos de cuentas, que puedan revelar o que permitan deducir los comportamientos o hábitos de vida del interesado” de otros menos invasivos de la intimidad como pueda ser “la existencia de la cuenta bancaria y el importe ingresado en la misma” [STC 97/2019, de 16 de julio, FJ 6 c)]. Y en general también hemos dicho que “el derecho fundamental a la intimidad, al igual que los demás </w:t>
      </w:r>
      <w:r>
        <w:lastRenderedPageBreak/>
        <w:t>derechos fundamentales, no es absoluto, sino que se encuentra delimitado por los restantes derechos fundamentales y bienes jurídicos constitucionalmente protegidos” (STC 233/2005, de 26 de septiembre, FJ 4).</w:t>
      </w:r>
    </w:p>
    <w:p w:rsidR="005728DD" w:rsidRDefault="005728DD" w:rsidP="005728DD">
      <w:pPr>
        <w:pStyle w:val="TextoNormal"/>
      </w:pPr>
    </w:p>
    <w:p w:rsidR="005728DD" w:rsidRDefault="005728DD" w:rsidP="005728DD">
      <w:pPr>
        <w:pStyle w:val="TextoNormal"/>
      </w:pPr>
      <w:r>
        <w:t>Así, por ejemplo, el deber de contribuir al sostenimiento de los gastos públicos (art. 31 CE) legitima constitucionalmente la habilitación legal imprescindible (art. 53.1 CE y STC 292/2000, de 30 de noviembre, FJ 16) para recabar los datos adecuados y necesarios para el cumplimiento de obligaciones tributarias, entre los cuales están la titularidad, superficie y ocupación de las viviendas, como de hecho conocen los recurrentes al señalar en su recurso que esos datos “constan en el registro de la propiedad y en el catastro inmobiliario, por lo que la Generalitat podría obtenerlos estableciendo los oportunos acuerdos administrativos”. Y lo mismo puede decirse de la ocupación efectiva y del hipotético precio pagado por el ocupante, en relación con el padrón municipal, de inscripción obligatoria y que hace prueba del domicilio habitual (arts. 15 y 16 de la Ley 7/1985, reguladora de las bases del régimen local) o con las obligaciones formales que impone la gestión de los impuestos sobre la renta y sociedades (obligación de declarar e identificar los ingresos procedentes del alquiler de viviendas).</w:t>
      </w:r>
    </w:p>
    <w:p w:rsidR="005728DD" w:rsidRDefault="005728DD" w:rsidP="005728DD">
      <w:pPr>
        <w:pStyle w:val="TextoNormal"/>
      </w:pPr>
    </w:p>
    <w:p w:rsidR="005728DD" w:rsidRDefault="005728DD" w:rsidP="005728DD">
      <w:pPr>
        <w:pStyle w:val="TextoNormal"/>
      </w:pPr>
      <w:r>
        <w:t>Precisamente en relación con el padrón municipal, la STC 17/2013, de 31 de enero, FJ 8, razonó que “la obligación de inscripción en el padrón municipal por parte de quien resida habitualmente en el municipio respectivo, supone una excepción al principio básico de la necesidad del consentimiento del ciudadano para la legalidad del tratamiento de sus datos, contenido en el art. 6.1 LOPD [Ley Orgánica 15/1999, vigente a la sazón]. Esta excepción se funda en lo establecido en el art. 6.2 LOPD que permite el tratamiento no consentido de los datos por parte de las administraciones públicas para el ejercicio de sus funciones propias en el ámbito de sus competencias”.</w:t>
      </w:r>
    </w:p>
    <w:p w:rsidR="005728DD" w:rsidRDefault="005728DD" w:rsidP="005728DD">
      <w:pPr>
        <w:pStyle w:val="TextoNormal"/>
      </w:pPr>
    </w:p>
    <w:p w:rsidR="005728DD" w:rsidRDefault="005728DD" w:rsidP="005728DD">
      <w:pPr>
        <w:pStyle w:val="TextoNormal"/>
      </w:pPr>
      <w:r>
        <w:t>De igual modo, el ejercicio del derecho de sufragio y la organización de elecciones (art. 23 CE) legitiman la habilitación para establecer el censo electoral, también de inscripción obligatoria conforme al art. 32 de la Ley Orgánica 5/1985, del régimen electoral general, y que se forma a partir del padrón municipal, como señaló igualmente la STC 17/2013 citada.</w:t>
      </w:r>
    </w:p>
    <w:p w:rsidR="005728DD" w:rsidRDefault="005728DD" w:rsidP="005728DD">
      <w:pPr>
        <w:pStyle w:val="TextoNormal"/>
      </w:pPr>
    </w:p>
    <w:p w:rsidR="005728DD" w:rsidRDefault="005728DD" w:rsidP="005728DD">
      <w:pPr>
        <w:pStyle w:val="TextoNormal"/>
      </w:pPr>
      <w:r>
        <w:t>Pues bien, al igual que los arts. 23 o 31 CE, en los ejemplos dichos, legitiman al legislador competente para recabar los datos necesarios y adecuados para ello, también la competencia en materia de vivienda de la Generalitat de Cataluña (art. 137 EAC) y el derecho de acceso a la vivienda del art. 47 CE legitiman al legislador catalán para establecer el registro de viviendas vacías para el ejercicio de sus funciones propias en el ámbito de sus competencias, de conformidad con el art. 8 de la vigente Ley Orgánica de protección de datos antes citada (</w:t>
      </w:r>
      <w:r w:rsidRPr="005728DD">
        <w:rPr>
          <w:i/>
        </w:rPr>
        <w:t>mutatis mutandis</w:t>
      </w:r>
      <w:r>
        <w:t>, STC 17/2013, también citada, FJ 8, sobre el padrón municipal), y recabar de este modo los datos que sean necesarios para el ejercicio de la competencia y adecuados para las legítimas finalidades previstas por ella (STC 254/1993, de 20 de julio, FJ 7, con cita de otras). Los propios letrados autonómicos subrayan la importancia de los datos que se pretenden recabar para una correcta y coherente aplicación de su política de vivienda, incluidas medidas de fomento, y para obtener datos que permitan efectuar un seguimiento y proyección a futuro de las políticas aplicadas.</w:t>
      </w:r>
    </w:p>
    <w:p w:rsidR="005728DD" w:rsidRDefault="005728DD" w:rsidP="005728DD">
      <w:pPr>
        <w:pStyle w:val="TextoNormal"/>
      </w:pPr>
    </w:p>
    <w:p w:rsidR="005728DD" w:rsidRDefault="005728DD" w:rsidP="005728DD">
      <w:pPr>
        <w:pStyle w:val="TextoNormal"/>
      </w:pPr>
      <w:r>
        <w:t xml:space="preserve">No puede aceptarse, por tanto, ni la generalizada e indiscriminada recogida de datos denunciada en el recurso, por hipotética, ni la ausencia de fundamento constitucional para el </w:t>
      </w:r>
      <w:r>
        <w:lastRenderedPageBreak/>
        <w:t>establecimiento del registro de viviendas vacías por el precepto impugnado, por encontrar acomodo en los arts. 137 EAC y 47 CE.</w:t>
      </w:r>
    </w:p>
    <w:p w:rsidR="005728DD" w:rsidRDefault="005728DD" w:rsidP="005728DD">
      <w:pPr>
        <w:pStyle w:val="TextoNormal"/>
      </w:pPr>
    </w:p>
    <w:p w:rsidR="005728DD" w:rsidRDefault="005728DD" w:rsidP="005728DD">
      <w:pPr>
        <w:pStyle w:val="TextoNormal"/>
      </w:pPr>
      <w:r>
        <w:t>De acuerdo con el objeto del proceso, antes aludido, y con la naturaleza abstracta del recurso de inconstitucionalidad, ello debe conducir a la desestimación de este último motivo del recurso.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en parte el presente recurso de inconstitucionalidad y, en su virtud, declarar inconstitucionales y nulos los artículos 2.2, 2.3, 2.4, 2.5, 2.7, 2.10, 2.11 (inciso “sin perjuicio del supuesto a que hace referencia el artículo 42.6”), 2.12, 4.2, 4.5 (inciso “y del apartado 2 de la disposición adicional primera”), 5.5, 5.6, 5.7, 6.3 y 6.6 y la disposición transitoria primera del Decreto-ley del Gobierno de la Generalitat de Cataluña 17/2019, de 23 de diciembre, de medidas urgentes para mejorar el acceso a la vivienda.</w:t>
      </w:r>
    </w:p>
    <w:p w:rsidR="005728DD" w:rsidRDefault="005728DD" w:rsidP="005728DD">
      <w:pPr>
        <w:pStyle w:val="TextoNormal"/>
      </w:pPr>
    </w:p>
    <w:p w:rsidR="005728DD" w:rsidRDefault="005728DD" w:rsidP="005728DD">
      <w:pPr>
        <w:pStyle w:val="TextoNormal"/>
      </w:pPr>
      <w:r>
        <w:t>2º Desestimar el recurso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veintiocho de enero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0" w:name="SENTENCIA_2021_17"/>
      <w:r>
        <w:lastRenderedPageBreak/>
        <w:t>SENTENCIA 17/2021, de 15 de febrero de 2021</w:t>
      </w:r>
    </w:p>
    <w:bookmarkEnd w:id="20"/>
    <w:p w:rsidR="005728DD" w:rsidRDefault="005728DD" w:rsidP="005728DD">
      <w:pPr>
        <w:pStyle w:val="TtuloResolucin"/>
      </w:pPr>
      <w:r>
        <w:t>Sala Primera</w:t>
      </w:r>
    </w:p>
    <w:p w:rsidR="005728DD" w:rsidRDefault="005728DD" w:rsidP="005728DD">
      <w:pPr>
        <w:pStyle w:val="TtuloBOE"/>
      </w:pPr>
      <w:r>
        <w:t>(BOE núm. 69, de 22 de marzo de 2021)</w:t>
      </w:r>
    </w:p>
    <w:p w:rsidR="005728DD" w:rsidRDefault="005728DD" w:rsidP="005728DD">
      <w:pPr>
        <w:pStyle w:val="TextoNormalCentrado"/>
      </w:pPr>
      <w:r>
        <w:t>ECLI:ES:TC:2021:17</w:t>
      </w:r>
    </w:p>
    <w:p w:rsidR="005728DD" w:rsidRDefault="005728DD" w:rsidP="005728DD">
      <w:pPr>
        <w:pStyle w:val="TextoNormalCentrado"/>
      </w:pPr>
    </w:p>
    <w:p w:rsidR="005728DD" w:rsidRDefault="005728DD" w:rsidP="005728DD">
      <w:pPr>
        <w:pStyle w:val="SntesisDescriptiva"/>
      </w:pPr>
      <w:r>
        <w:t>Recurso de amparo 3956-2018. Promovido por doña Bárbara Gutiérrez-Maturana Kalachnikoff y dos personas más en relación con la sentencia de la Sala de lo Civil y Penal del Tribunal Superior de Justicia de Madrid anulatoria de un laudo arbitral.</w:t>
      </w:r>
    </w:p>
    <w:p w:rsidR="005728DD" w:rsidRDefault="005728DD" w:rsidP="005728DD">
      <w:pPr>
        <w:pStyle w:val="SntesisDescriptiva"/>
      </w:pPr>
    </w:p>
    <w:p w:rsidR="005728DD" w:rsidRDefault="005728DD" w:rsidP="005728DD">
      <w:pPr>
        <w:pStyle w:val="SntesisAnaltica"/>
      </w:pPr>
      <w:r>
        <w:t>Vulneración del derecho a la tutela judicial efectiva (resolución fundada en Derecho): sentencia que, ignorando los límites propios de la acción de anulación del laudo, la convierte en un recurso ordinario que permite la revisión de todo lo actuado.</w:t>
      </w:r>
    </w:p>
    <w:p w:rsidR="005728DD" w:rsidRDefault="005728DD" w:rsidP="005728DD">
      <w:pPr>
        <w:pStyle w:val="SntesisAnaltica"/>
      </w:pPr>
    </w:p>
    <w:p w:rsidR="005728DD" w:rsidRDefault="005728DD" w:rsidP="005728DD">
      <w:pPr>
        <w:pStyle w:val="Extracto"/>
      </w:pPr>
      <w:r>
        <w:t>1.</w:t>
      </w:r>
      <w:r>
        <w:tab/>
        <w:t>El posible control judicial del laudo y su conformidad con el orden público no puede traer como consecuencia que el órgano judicial supla al tribunal arbitral en su función de aplicación del Derecho; tampoco es una segunda instancia revisora de los hechos y los derechos aplicados en el laudo, ni un mecanismo de control de la correcta aplicación de la jurisprudencia. Por consiguiente, si la resolución arbitral no puede tacharse de arbitraria, ilógica, absurda o irracional, no cabe declarar su nulidad amparándose en la noción de orden público [FJ 2].</w:t>
      </w:r>
    </w:p>
    <w:p w:rsidR="005728DD" w:rsidRDefault="005728DD" w:rsidP="005728DD">
      <w:pPr>
        <w:pStyle w:val="Extracto"/>
      </w:pPr>
    </w:p>
    <w:p w:rsidR="005728DD" w:rsidRDefault="005728DD" w:rsidP="005728DD">
      <w:pPr>
        <w:pStyle w:val="Extracto"/>
      </w:pPr>
      <w:r>
        <w:t>2.</w:t>
      </w:r>
      <w:r>
        <w:tab/>
        <w:t>Respecto a la motivación de los laudos, no se requiere una argumentación exhaustiva y pormenorizada de todos los aspectos y perspectivas que las partes puedan tener de la cuestión que se decide, pues el derecho a obtener una resolución fundada, favorable o adversa, es garantía frente a la arbitrariedad e irrazonabilidad; y ello, en materia de arbitraje, implica que la resolución ha de contener los elementos y razones de juicio que permitan conocer cuáles han sido los criterios jurídicos o de equidad que fundamentan la decisión, que no deben resultar arbitrarios [FJ 2].</w:t>
      </w:r>
    </w:p>
    <w:p w:rsidR="005728DD" w:rsidRDefault="005728DD" w:rsidP="005728DD">
      <w:pPr>
        <w:pStyle w:val="Extracto"/>
      </w:pPr>
    </w:p>
    <w:p w:rsidR="005728DD" w:rsidRDefault="005728DD" w:rsidP="005728DD">
      <w:pPr>
        <w:pStyle w:val="Extracto"/>
      </w:pPr>
      <w:r>
        <w:t>3.</w:t>
      </w:r>
      <w:r>
        <w:tab/>
        <w:t>El deber de motivación de las resoluciones judiciales y de las resoluciones arbitrales no posee la misma naturaleza: En las primeras, la motivación forma parte del contenido del derecho fundamental al derecho a la tutela judicial efectiva ex art. 24 C; en las segundas es un requisito de exclusiva configuración legal, por lo que podría ser prescindible a instancias del legislador [FJ 2].</w:t>
      </w:r>
    </w:p>
    <w:p w:rsidR="005728DD" w:rsidRDefault="005728DD" w:rsidP="005728DD">
      <w:pPr>
        <w:pStyle w:val="Extracto"/>
      </w:pPr>
    </w:p>
    <w:p w:rsidR="005728DD" w:rsidRDefault="005728DD" w:rsidP="005728DD">
      <w:pPr>
        <w:pStyle w:val="Extracto"/>
      </w:pPr>
      <w:r>
        <w:t>4.</w:t>
      </w:r>
      <w:r>
        <w:tab/>
        <w:t xml:space="preserve">La institución arbitral es un mecanismo heterónomo de resolución de conflictos, al que es consustancial la mínima intervención de los órganos jurisdiccionales por el respeto a la autonomía de la voluntad de las partes </w:t>
      </w:r>
      <w:r w:rsidRPr="005728DD">
        <w:rPr>
          <w:i/>
        </w:rPr>
        <w:t>ex</w:t>
      </w:r>
      <w:r>
        <w:t xml:space="preserve"> art. 10 CE, que han decidido en virtud de un convenio arbitral sustraer de la jurisdicción ordinaria la resolución de sus posibles controversias y deferir a los árbitros su solución, que desde ese momento quedan vedados a la jurisdicción (STC 46/2020) [FJ 2].</w:t>
      </w:r>
    </w:p>
    <w:p w:rsidR="005728DD" w:rsidRDefault="005728DD" w:rsidP="005728DD">
      <w:pPr>
        <w:pStyle w:val="Extracto"/>
      </w:pPr>
    </w:p>
    <w:p w:rsidR="005728DD" w:rsidRDefault="005728DD" w:rsidP="005728DD">
      <w:pPr>
        <w:pStyle w:val="Extracto"/>
      </w:pPr>
      <w:r>
        <w:t>5.</w:t>
      </w:r>
      <w:r>
        <w:tab/>
        <w:t>Por orden público material se entiende el conjunto de principios jurídicos públicos, privados, políticos, morales y económicos, que son absolutamente obligatorios para la conservación de la sociedad en un pueblo y en una época determinada (SSTC 15/1987, 116/1988 y 54/1989) [FJ 2].</w:t>
      </w:r>
    </w:p>
    <w:p w:rsidR="005728DD" w:rsidRDefault="005728DD" w:rsidP="005728DD">
      <w:pPr>
        <w:pStyle w:val="Extracto"/>
      </w:pPr>
    </w:p>
    <w:p w:rsidR="005728DD" w:rsidRDefault="005728DD" w:rsidP="005728DD">
      <w:pPr>
        <w:pStyle w:val="Extracto"/>
      </w:pPr>
      <w:r>
        <w:lastRenderedPageBreak/>
        <w:t>6.</w:t>
      </w:r>
      <w:r>
        <w:tab/>
        <w:t>El orden público se configura como el conjunto de formalidades y principios necesarios de nuestro ordenamiento jurídico procesal, y solo el arbitraje que contradiga alguno o algunos de tales principios podrá ser tachado de nulo por vulneración del orden público (STC 46/2020) [FJ 2].</w:t>
      </w:r>
    </w:p>
    <w:p w:rsidR="005728DD" w:rsidRDefault="005728DD" w:rsidP="005728DD">
      <w:pPr>
        <w:pStyle w:val="Extracto"/>
      </w:pPr>
    </w:p>
    <w:p w:rsidR="005728DD" w:rsidRDefault="005728DD" w:rsidP="005728DD">
      <w:pPr>
        <w:pStyle w:val="Extracto"/>
      </w:pPr>
      <w:r>
        <w:t>7.</w:t>
      </w:r>
      <w:r>
        <w:tab/>
        <w:t xml:space="preserve">Cuando las partes se someten a un arbitraje de equidad, aunque ello no excluya la posibilidad de que los árbitros refuercen “su saber y entender” con conocimientos jurídicos, pueden prescindir de las normas jurídicas y recurrir a un razonamiento diferente al que se desprende de su aplicación, porque lo que se resuelve </w:t>
      </w:r>
      <w:r w:rsidRPr="005728DD">
        <w:rPr>
          <w:i/>
        </w:rPr>
        <w:t xml:space="preserve">ex aequo et bono </w:t>
      </w:r>
      <w:r>
        <w:t>debe ser decidido por consideraciones relativas a lo justo o equitativo [FJ 2].</w:t>
      </w:r>
    </w:p>
    <w:p w:rsidR="005728DD" w:rsidRDefault="005728DD" w:rsidP="005728DD">
      <w:pPr>
        <w:pStyle w:val="Extracto"/>
      </w:pPr>
    </w:p>
    <w:p w:rsidR="005728DD" w:rsidRDefault="005728DD" w:rsidP="005728DD">
      <w:pPr>
        <w:pStyle w:val="Extracto"/>
      </w:pPr>
      <w:r>
        <w:t>8.</w:t>
      </w:r>
      <w:r>
        <w:tab/>
        <w:t>No se incluye en el derecho a la tutela judicial efectiva un derecho al acierto judicial en la selección, interpretación y aplicación de las normas, dado que este derecho reconocido en el art. 24.1 CE no garantiza la corrección jurídica de la interpretación y aplicación del Derecho llevada a cabo por los jueces y tribunales (STC 46/2020) [FJ 3].</w:t>
      </w:r>
    </w:p>
    <w:p w:rsidR="005728DD" w:rsidRDefault="005728DD" w:rsidP="005728DD">
      <w:pPr>
        <w:pStyle w:val="Extracto"/>
      </w:pPr>
    </w:p>
    <w:p w:rsidR="005728DD" w:rsidRDefault="005728DD" w:rsidP="005728DD">
      <w:pPr>
        <w:pStyle w:val="Extracto"/>
      </w:pPr>
      <w:r>
        <w:t>9.</w:t>
      </w:r>
      <w:r>
        <w:tab/>
        <w:t>Resulta irrazonable y arbitrario pretender incluir en la noción de orden público lo que simplemente constituye una pura revisión de la valoración de la prueba realizada motivadamente por el árbitro, porque a través de esta revisión probatoria lo que se está operando es una auténtica mutación de la acción de anulación [FJ 3].</w:t>
      </w:r>
    </w:p>
    <w:p w:rsidR="005728DD" w:rsidRDefault="005728DD" w:rsidP="005728DD">
      <w:pPr>
        <w:pStyle w:val="Extracto"/>
      </w:pPr>
    </w:p>
    <w:p w:rsidR="005728DD" w:rsidRDefault="005728DD" w:rsidP="005728DD">
      <w:pPr>
        <w:pStyle w:val="Extracto"/>
      </w:pPr>
      <w:r>
        <w:t>10.</w:t>
      </w:r>
      <w:r>
        <w:tab/>
        <w:t>La acción de anulación judicial de un laudo arbitral es un remedio extremo y excepcional que no puede fundarse en infracciones puramente formales, sino que debe servir únicamente para remediar situaciones de indefensión efectiva y real o vulneraciones de derechos fundamentales o salvaguardar el orden público español, lo que excluye que las infracciones de procedimiento, sin afectación material de los derechos o situación jurídica de las partes, puedan servir de excusa para lograr la anulación de laudos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lastRenderedPageBreak/>
        <w:t>SENTENCIA</w:t>
      </w:r>
    </w:p>
    <w:p w:rsidR="005728DD" w:rsidRDefault="005728DD" w:rsidP="005728DD">
      <w:pPr>
        <w:pStyle w:val="TextoNormalCentrado"/>
        <w:keepNext/>
      </w:pPr>
    </w:p>
    <w:p w:rsidR="005728DD" w:rsidRDefault="005728DD" w:rsidP="005728DD">
      <w:pPr>
        <w:pStyle w:val="TextoNormal"/>
      </w:pPr>
      <w:r>
        <w:t>En el recurso de amparo núm. 3956-2018, promovido por doña Bárbara Gutiérrez-Maturana Kalachnikoff, doña Bárbara Gutiérrez-Maturana-Larios Kalachnikoff y doña Christina Gutiérrez-Maturana-Larios Kalachnikoff, representadas por el procurador de los tribunales don Victorio Venturini Medina y asistidas de los letrados don Bernardo M. Cremades Sanz-Pastor, don Javier Juliani Aznar y don Ángel Tejada Caller, contra el auto de 22 de mayo de 2018 y contra la sentencia 1-2018, de 8 de enero de 2018, ambos de la Sala de lo Civil y Penal del Tribunal Superior de Justicia de Madrid, recaídos en el procedimiento de anulación de laudo arbitral núm. 52-2017. Han sido parte don Carlos Gutiérrez-Maturana-Larios y Altuna, representado por la procuradora de los tribunales doña María del Carmen Ortiz Cornago y la mercantil Mazacruz, S.L., representada por la procuradora de los tribunales doña Consuelo Rodríguez Chacón.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10 de julio de 2018, el procurador de los tribunales don Victorio Venturini Medina, en nombre y representación de doña Bárbara Gutiérrez-Maturana Kalachnikoff, de doña Bárbara Gutiérrez-Maturana-Larios Kalachnikoff y de doña Christina Gutiérrez-Maturana-Larios Kalachnikoff, interpuso recurso de amparo contra las resoluciones que se mencionan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y antecedentes procesales de los que trae causa la demanda de amparo son, en síntesis, los siguientes:</w:t>
      </w:r>
    </w:p>
    <w:p w:rsidR="005728DD" w:rsidRDefault="005728DD" w:rsidP="005728DD">
      <w:pPr>
        <w:pStyle w:val="TextoNormal"/>
      </w:pPr>
    </w:p>
    <w:p w:rsidR="005728DD" w:rsidRDefault="005728DD" w:rsidP="005728DD">
      <w:pPr>
        <w:pStyle w:val="TextoNormal"/>
      </w:pPr>
      <w:r>
        <w:t>a) En los estatutos de la sociedad Mazacruz, S.L., concretamente en el art. 26, se regula el sometimiento a arbitraje de equidad de las cuestiones que pudieran suscitarse entre los accionistas y la sociedad o entre aquellos directamente, por su condición de tales. En aplicación de esta previsión, con fecha de 11 de abril de 2016, las demandantes de amparo formularon demanda de arbitraje de equidad contra el señor Gutiérrez-Maturana-Larios y la mercantil Mazacruz, S.L., en la que, habida cuenta de lo que entendían como un “continuo e insoportable abuso de derecho de don Carlos Gutiérrez-Maturana-Larios y Altuna de su posición de control en la sociedad familiar Mazacruz”, de la que los cuatro litigantes son únicos socios, solicitaron que se declarase su derecho de separación de la sociedad, o la disolución y liquidación de la sociedad misma, como única manera de poner remedio a una situación que consideraban gravemente lesiva de sus derechos patrimoniales.</w:t>
      </w:r>
    </w:p>
    <w:p w:rsidR="005728DD" w:rsidRDefault="005728DD" w:rsidP="005728DD">
      <w:pPr>
        <w:pStyle w:val="TextoNormal"/>
      </w:pPr>
    </w:p>
    <w:p w:rsidR="005728DD" w:rsidRDefault="005728DD" w:rsidP="005728DD">
      <w:pPr>
        <w:pStyle w:val="TextoNormal"/>
      </w:pPr>
      <w:r>
        <w:t>b) En fecha de 6 de abril de 2017, se dictó laudo arbitral por el que declaraba, entre otras medidas, la disolución de la sociedad, con la consiguiente apertura de la sección de liquidación, junto con el cese de los administradores, laudo que fue aclarado con fecha 25 de mayo de 2017.</w:t>
      </w:r>
    </w:p>
    <w:p w:rsidR="005728DD" w:rsidRDefault="005728DD" w:rsidP="005728DD">
      <w:pPr>
        <w:pStyle w:val="TextoNormal"/>
      </w:pPr>
    </w:p>
    <w:p w:rsidR="005728DD" w:rsidRDefault="005728DD" w:rsidP="005728DD">
      <w:pPr>
        <w:pStyle w:val="TextoNormal"/>
      </w:pPr>
      <w:r>
        <w:t xml:space="preserve">c) Don Carlos Gutiérrez-Maturana-Larios impugnó el laudo arbitral, que entendía nulo de pleno derecho por vulnerar el orden público, al haberse decretado la disolución y liquidación de la sociedad sin la concurrencia de causa legal o estatutariamente predeterminada. Argumentaba que, desde hacía tiempo, la entidad mercantil contaba con una gran cifra de </w:t>
      </w:r>
      <w:r>
        <w:lastRenderedPageBreak/>
        <w:t>negocio, manteniendo su objeto social. Se alegaba que si existían discrepancias sobre el derecho de voto en una determinada junta, podrían dirimirse por los cauces de la impugnación de acuerdos societarios, pero nunca acudiendo a la disolución de la sociedad. Asimismo, consideraba infringido el orden público económico y el principio de la autonomía de la voluntad, al haberse decretado la disolución de la sociedad en contra de las previsiones de sus estatutos, “extralimitando el convenio arbitral”. Se combatía igualmente la motivación y la valoración de la prueba del laudo, por arbitrariedad y parcialidad del árbitro.</w:t>
      </w:r>
    </w:p>
    <w:p w:rsidR="005728DD" w:rsidRDefault="005728DD" w:rsidP="005728DD">
      <w:pPr>
        <w:pStyle w:val="TextoNormal"/>
      </w:pPr>
    </w:p>
    <w:p w:rsidR="005728DD" w:rsidRDefault="005728DD" w:rsidP="005728DD">
      <w:pPr>
        <w:pStyle w:val="TextoNormal"/>
      </w:pPr>
      <w:r>
        <w:t xml:space="preserve">d) La Sala de lo Civil y Penal del Tribunal Superior de Justicia de Madrid dictó sentencia, en fecha 8 de enero de 2018, estimando la demanda de anulación del laudo arbitral de 6 de abril de 2017 y del laudo aclaratorio de fecha 25 de mayo de 2017, declarando, en consecuencia, la nulidad de los mismos. El órgano judicial, tras analizar la jurisprudencia relativa a la competencia judicial en materia de impugnación de laudos arbitrales, la noción de orden público societario [en aplicación del art. 41 de la Ley de arbitraje (LA)], y las peculiaridades del arbitraje de equidad, afirma que el hecho de decretar la disolución de una sociedad por abuso de derecho de un socio y pérdida de la </w:t>
      </w:r>
      <w:r w:rsidRPr="005728DD">
        <w:rPr>
          <w:i/>
        </w:rPr>
        <w:t>affectio societatis</w:t>
      </w:r>
      <w:r>
        <w:t>, equiparándolo a las causas legales de imposibilidad manifiesta de conseguir el fin social o la paralización de los órganos sociales, por sí solo no infringe el orden público, ya que, en estos casos, la jurisprudencia admite la disolución de la sociedad, sobre todo en sociedades en las que existen dos socios o dos grupos de socios enfrentados entre sí, como es el caso, incluso acudiendo directamente, sin necesidad de convocatoria de junta, a la disolución judicial.</w:t>
      </w:r>
    </w:p>
    <w:p w:rsidR="005728DD" w:rsidRDefault="005728DD" w:rsidP="005728DD">
      <w:pPr>
        <w:pStyle w:val="TextoNormal"/>
      </w:pPr>
    </w:p>
    <w:p w:rsidR="005728DD" w:rsidRDefault="005728DD" w:rsidP="005728DD">
      <w:pPr>
        <w:pStyle w:val="TextoNormal"/>
      </w:pPr>
      <w:r>
        <w:t>Respecto a la posible vulneración del derecho a la intangibilidad de las resoluciones judiciales firmes (</w:t>
      </w:r>
      <w:r w:rsidRPr="005728DD">
        <w:rPr>
          <w:i/>
        </w:rPr>
        <w:t>ex</w:t>
      </w:r>
      <w:r>
        <w:t xml:space="preserve"> art. 24.1 CE, en relación con el principio de cosa juzgada), recuerda la Sala que ninguna sentencia ha condenado a las demandantes a perpetuarse como socias en Mazacruz, S.L., ni ha tratado cuestiones como las suscitadas en el arbitraje, y si bien es cierto que con la disolución de la sociedad desaparecen tanto los cinco derechos de voto de las participaciones donadas al señor Gutiérrez-Maturana-Larios, como el control societario inherente a esos derechos y su valor económico, ello es consecuencia —como aprecia el laudo arbitral— de la declaración de disolución que constituye la ruptura del vínculo entre los socios.</w:t>
      </w:r>
    </w:p>
    <w:p w:rsidR="005728DD" w:rsidRDefault="005728DD" w:rsidP="005728DD">
      <w:pPr>
        <w:pStyle w:val="TextoNormal"/>
      </w:pPr>
    </w:p>
    <w:p w:rsidR="005728DD" w:rsidRDefault="005728DD" w:rsidP="005728DD">
      <w:pPr>
        <w:pStyle w:val="TextoNormal"/>
      </w:pPr>
      <w:r>
        <w:t xml:space="preserve">Tras desestimar estos primeros motivos de impugnación del laudo, la Sala analiza la alegada vulneración del orden público por infracción del derecho a la tutela judicial efectiva (art. 24.1 CE), en su vertiente de derecho a una resolución motivada no incursa en arbitrariedad, así como la valoración de la prueba efectuada por el árbitro. A este respecto entiende que, pese a las peculiaridades del arbitraje de equidad, el árbitro debe motivar conforme a unos parámetros de razonabilidad, congruencia interna, reglas de la lógica o ausencia de error patente, por más que dicha motivación no sea de índole jurídica. Subraya que tanto los razonamientos, como la decisión tomada en equidad han de ser respetuosos con las reglas generales del derecho, de reglas como la buena fe. Aplicando las anteriores consideraciones, señala que el laudo no se encuentra suficientemente motivado, porque no pondera toda la prueba practicada, especialmente la extralimitación en el ejercicio del derecho por el demandante, ya que lo único que se vislumbra es que el abuso deriva exclusivamente del ejercicio del voto múltiple por el demandante, pero tal derecho ha sido confirmado en distintos procedimientos judiciales, por lo que el laudo no ha tenido en consideración los litigios habidos al respecto y resueltos con sentencias firmes. En tal sentido, considera que debió </w:t>
      </w:r>
      <w:r>
        <w:lastRenderedPageBreak/>
        <w:t>haberse valorado la conducta de las demandadas, puesto que los acuerdos sociales eran conformes a la ley y al orden público y no fueron impugnados. Se añade que “[e]l laudo no hace alusión alguna, pese a la acreditación documental en el arbitraje, a la sentencia firme dictada por el Juzgado Mercantil núm. 1 de Madrid, de 2 de marzo de 2016 que desestima la petición de doña Bárbara y sus hijas de remover a Paul Participaciones, S.L., como administrador de Mazacruz por ‘conflicto de interés’, y en cambio valora como acto abusivo el nombramiento como administrador de Paul Participaciones, S.L., sociedad vinculada a la demandante, acuerdo social que tampoco consta que haya sido impugnado por las demandantes. Tampoco se valora por el árbitro la sentencia del Juzgado de lo Mercantil núm. 5 de Madrid de 11 de diciembre de 2006 (documento núm. 18), que declara la nulidad del acuerdo de remuneración del consejo en el que la entonces presidenta y consejera delegada, doña Bárbara madre, elevaba su retribución”.</w:t>
      </w:r>
    </w:p>
    <w:p w:rsidR="005728DD" w:rsidRDefault="005728DD" w:rsidP="005728DD">
      <w:pPr>
        <w:pStyle w:val="TextoNormal"/>
      </w:pPr>
    </w:p>
    <w:p w:rsidR="005728DD" w:rsidRDefault="005728DD" w:rsidP="005728DD">
      <w:pPr>
        <w:pStyle w:val="TextoNormal"/>
      </w:pPr>
      <w:r>
        <w:t>Por otro lado, respecto de la denegación del derecho de información, el órgano judicial imputa al laudo la omisión de documentos relevantes para una adecuada valoración de la prueba, así como la falta de razonamiento válido para calificar como lesivas determinadas modificaciones estatutarias de las filiales adoptadas en diciembre de 2015, que “ni siquiera se examinan por el árbitro, ni se valora la documental aportada sobre el reparto de dividendos, pese a afirmar la existencia de una asfixia económica inducida por don Carlos a doña Bárbara y sus hijas”</w:t>
      </w:r>
    </w:p>
    <w:p w:rsidR="005728DD" w:rsidRDefault="005728DD" w:rsidP="005728DD">
      <w:pPr>
        <w:pStyle w:val="TextoNormal"/>
      </w:pPr>
    </w:p>
    <w:p w:rsidR="005728DD" w:rsidRDefault="005728DD" w:rsidP="005728DD">
      <w:pPr>
        <w:pStyle w:val="TextoNormal"/>
      </w:pPr>
      <w:r>
        <w:t>En síntesis, del contenido de la sentencia se puede extraer que los déficits probatorios del laudo son: (i) el árbitro ha hecho caso omiso de los litigios preexistentes que aprobaron la validez del voto múltiple; (ii) no ha valorado la actitud de las demandadas que no impugnaron los acuerdos sociales que ahora califican de injustos; (iii) el laudo no hace alusión a una sentencia del Juzgado Mercantil núm. l de Madrid que denegó la remoción de Paul Participaciones, S.L., como administrador de Mazacruz, S.L., y otra del Juzgado de lo Mercantil núm. 5 de Madrid que declaró nulo un acuerdo remuneratorio de doña Bárbara; (iv) respecto a la denegación de información por parte del socio demandado, don Carlos Gutiérrez-Maturana-Larios y Altuna, la sentencia reprocha al árbitro que haya obtenido su convencimiento tan solo de la propia declaración del mismo y no se haya apoyado en la numerosa documental que fue aportada en el procedimiento arbitral.</w:t>
      </w:r>
    </w:p>
    <w:p w:rsidR="005728DD" w:rsidRDefault="005728DD" w:rsidP="005728DD">
      <w:pPr>
        <w:pStyle w:val="TextoNormal"/>
      </w:pPr>
    </w:p>
    <w:p w:rsidR="005728DD" w:rsidRDefault="005728DD" w:rsidP="005728DD">
      <w:pPr>
        <w:pStyle w:val="TextoNormal"/>
      </w:pPr>
      <w:r>
        <w:t xml:space="preserve">La Sala finaliza sintetizando sus argumentos, con la afirmación de que “el laudo, por tanto, no da respuesta a todas las cuestiones planteadas en el arbitraje, no valora las pruebas en su integridad, y no contiene una motivación suficiente para llegar a una conclusión tan importante como la disolución de una sociedad por una causa asimilada a la legal, el abuso del derecho, ya que si bien es cierto que el arbitraje de equidad tiene su base en las condiciones fácticas del caso específico, lo que implica una flexibilidad del mismo, incluso siendo posible apartarse de la aplicación de las normas jurídicas estrictas, cuando los hechos especiales del caso así lo requieren, tal y como acertada y extensamente trata el tema el árbitro, para que la resolución o resoluciones sean equitativas o justas, lo cierto es que en los arbitrajes de equidad el árbitro o tribunal arbitral debe evaluar las pruebas y justificar en el laudo arbitral de equidad la resolución o resoluciones contenidas en el mismo. De tal manera que las bases de equidad parten de los hechos, los que se evalúan y justifican una determinada decisión considerando inclusive las particularidades de la controversia planteada, por cierto muy prolija, lo que entendemos que no ha llevado a cabo el árbitro en el presente caso, por </w:t>
      </w:r>
      <w:r>
        <w:lastRenderedPageBreak/>
        <w:t>lo que la motivación del laudo debe ser considerada arbitraria por falta de motivación suficiente”.</w:t>
      </w:r>
    </w:p>
    <w:p w:rsidR="005728DD" w:rsidRDefault="005728DD" w:rsidP="005728DD">
      <w:pPr>
        <w:pStyle w:val="TextoNormal"/>
      </w:pPr>
    </w:p>
    <w:p w:rsidR="005728DD" w:rsidRDefault="005728DD" w:rsidP="005728DD">
      <w:pPr>
        <w:pStyle w:val="TextoNormal"/>
      </w:pPr>
      <w:r>
        <w:t>e) Las demandantes de amparo plantearon contra la anterior sentencia incidente excepcional de nulidad de actuaciones, en fecha de 14 de febrero de 2018, alegando la vulneración del derecho a la tutela judicial efectiva (art. 24.1 CE), en su vertiente de derecho a obtener una resolución judicial fundada en derecho, no incursa en irrazonabilidad y error patente. Igualmente se denunciaba la infracción del derecho a un proceso con todas las garantías.</w:t>
      </w:r>
    </w:p>
    <w:p w:rsidR="005728DD" w:rsidRDefault="005728DD" w:rsidP="005728DD">
      <w:pPr>
        <w:pStyle w:val="TextoNormal"/>
      </w:pPr>
    </w:p>
    <w:p w:rsidR="005728DD" w:rsidRDefault="005728DD" w:rsidP="005728DD">
      <w:pPr>
        <w:pStyle w:val="TextoNormal"/>
      </w:pPr>
      <w:r>
        <w:t>f) El incidente excepcional de nulidad de actuaciones se resolvió por auto desestimatorio, de fecha de 22 de mayo de 2018, al no apreciarse vulneración de derecho fundamental alguno, mostrando las alegaciones de la parte —a juicio del tribunal— una mera discrepancia con la resolución. Subraya la Sala que “las cuestiones planteadas son analizadas en la sentencia impugnada, tanto las relativas a que el control de motivación es cuestión de orden público, como que en el arbitraje de equidad también es exigible la misma y, este tribunal entiende que, si bien desde el punto de vista procedimental el concepto de orden público se ha venido relacionando con la vulneración de los principios de audiencia, contradicción e igualdad que son proclamados como capitales por el artículo 24 LA, con la falta de litisconsorcio pasivo necesario, en cuanto vulnera el principio de contradicción, o infracción de normas en materia de prueba, o la falta de respeto a la invariabilidad del laudo, también jurisprudencialmente se admite como tal infracción la falta de motivación, atendida a la importancia que se da tanto en el ámbito internacional como interno al derecho a la motivación de las decisiones incorporado como tal a la Carta de derechos fundamentales de la Unión Europea. Además, es el criterio que tiene este tribunal, sin que ello suponga vulneración del art. 24 CE, sino una mera discrepancia con el mismo de la parte, por razones que podríamos llamar de política o conveniencia arbitral, para fomentar el arbitraje en España como fórmula de resolución de conflictos”.</w:t>
      </w:r>
    </w:p>
    <w:p w:rsidR="005728DD" w:rsidRDefault="005728DD" w:rsidP="005728DD">
      <w:pPr>
        <w:pStyle w:val="TextoNormal"/>
      </w:pPr>
    </w:p>
    <w:p w:rsidR="005728DD" w:rsidRDefault="005728DD" w:rsidP="005728DD">
      <w:pPr>
        <w:pStyle w:val="TextoNormal"/>
      </w:pPr>
      <w:r w:rsidRPr="005728DD">
        <w:rPr>
          <w:rStyle w:val="NumeroAFNegritaCaracter"/>
        </w:rPr>
        <w:t>3</w:t>
      </w:r>
      <w:r>
        <w:t>. Las recurrentes denuncian en su demanda de amparo varias vulneraciones de derechos fundamentales. Así, en primer lugar, impugnan la sentencia de fecha 8 de enero de 2018, por vulneración del derecho a la tutela judicial efectiva, en su vertiente del derecho a obtener una resolución motivada y fundada (art. 24.1 CE). Entienden que la anulación del laudo por insuficiencia de motivación se produce porque el órgano judicial ha impuesto a los laudos arbitrales el canon de control de motivación que le es aplicable a las resoluciones judiciales, sosteniendo erróneamente que es contrario al orden público un laudo que no supere dicho canon. A su juicio, ni el arbitraje tiene asiento en la tutela judicial efectiva, ni la motivación del laudo es cuestión de orden público, por lo que no podría anularse por insuficiente motivación. También se afirma que los razonamientos de la sentencia sobre que el laudo no se habría referido a determinadas cuestiones alegadas por la parte contraria o eran irracionales e incurrían en error patente en cuanto a ciertos aspectos. Igualmente se impugna el auto de fecha de 22 de mayo de 2018, que desestima el incidente excepcional de nulidad de actuaciones, que habría incurrido en iguales vulneraciones al no haber reparado las lesiones denunciadas.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Mediante providencia de 16 de septiembre de 2019, la Sección Segunda de este Tribunal acordó la admisión a trámite del recurso de amparo tras apreciar que en el mismo concurre una especial trascendencia constitucional [art. 50.1 de la Ley Orgánica del Tribunal Constitucional (LOTC)], porque plantea un problema o afecta a una faceta de un derecho </w:t>
      </w:r>
      <w:r>
        <w:lastRenderedPageBreak/>
        <w:t>fundamental sobre el que no hay doctrina de este tribunal [STC 155/2009, de 25 de junio, FJ 2 a)], así como porque la posible vulneración del derecho fundamental que se denuncia pudiera traer causa de una reiterada interpretación jurisprudencial de la ley que este tribunal pudiera considerar lesiva del derecho fundamental [STC 155/2009, FJ 2 d)]. De conformidad con lo dispuesto en el art. 51 LOTC, se acordó dirigir atenta comunicación a la Sala de lo Civil y Penal del Tribunal Superior de Justicia de Madrid para que, en un plazo no superior a diez días, remitiera certificación o copia adverada de las actuaciones correspondientes al procedimiento de nulidad de laudo arbitral núm. 52-2017 y procediera al emplazamiento de quienes hubieran sido parte en el proceso para que, en el plazo de diez días, pudieran comparecer en este proceso constitucional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A través de escrito presentado el 11 de octubre de 2019, se personó en el procedimiento la procuradora de los tribunales doña Consuelo Rodríguez Chacón, en nombre y representación de Mazacruz, S.L. En la misma fecha tuvo entrada escrito de la procuradora doña María del Carmen Ortiz Cornago, personándose en el presente recurso de amparo en nombre y representación de don Carlos Gutiérrez-Maturana-Larios y Altuna.</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16 de octubre de 2019, se tuvieron por recibidos los testimonios de las actuaciones remitidos por la Sala de lo Civil y Penal del Tribunal Superior de Justicia de Madrid, y por personadas y parte a las procuradoras doña Consuelo Rodríguez Chacón y doña María del Carmen Ortiz Cornago, en sus respectivas representaciones. Con arreglo al art. 52 LOTC, se concedió al Ministerio Fiscal, a las recurrentes en amparo y a las partes personadas, el plazo común de veinte días para que, con vista de las actuaciones, pudieran presentar las alegaciones que a su derecho convinieran.</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de 20 de noviembre de 2019, tuvo entrada en este tribunal el escrito de alegaciones de la representación de don Carlos Gutiérrez-Maturana-Larios y Altuna, en el que solicita la desestimación del recurso.</w:t>
      </w:r>
    </w:p>
    <w:p w:rsidR="005728DD" w:rsidRDefault="005728DD" w:rsidP="005728DD">
      <w:pPr>
        <w:pStyle w:val="TextoNormal"/>
      </w:pPr>
    </w:p>
    <w:p w:rsidR="005728DD" w:rsidRDefault="005728DD" w:rsidP="005728DD">
      <w:pPr>
        <w:pStyle w:val="TextoNormal"/>
      </w:pPr>
      <w:r>
        <w:t>Comienza su oposición al recurso advirtiendo que el laudo arbitral en equidad que ha sido anulado posee un contenido absolutamente voluntarista, al haber decretado la disolución y liquidación de una sociedad (cuyos activos están valorados en más de seiscientos quince millones de euros), sin causa legal o estatutaria distinta de la propia decisión del árbitro. A su juicio, el realizado por el Tribunal Superior de Justicia de Madrid no es un ejercicio exorbitante del control judicial [arts. 8.5 y 41.1 f) LA], pues no lo es averiguar por qué se ha decretado en equidad la disolución y liquidación de una sociedad como Mazacruz, S.L., para lo cual el órgano judicial tiene que examinar la prueba y determinar cuál ha sido el ejercicio abusivo del derecho en el que el árbitro ha basado su decisión. Solo a través de ese examen en ejercicio de su función jurisdiccional se puede llegar a la conclusión de que lo que el árbitro considera abuso de derecho no es otra cosa que el mero ejercicio de los derechos de voto múltiple que tienen estatutariamente asignadas las participaciones sociales de Mazacruz, S.L., de las que es propietario el señor Gutierrez-Maturana-Larios.</w:t>
      </w:r>
    </w:p>
    <w:p w:rsidR="005728DD" w:rsidRDefault="005728DD" w:rsidP="005728DD">
      <w:pPr>
        <w:pStyle w:val="TextoNormal"/>
      </w:pPr>
    </w:p>
    <w:p w:rsidR="005728DD" w:rsidRDefault="005728DD" w:rsidP="005728DD">
      <w:pPr>
        <w:pStyle w:val="TextoNormal"/>
      </w:pPr>
      <w:r>
        <w:t>Añade que la vulneración por el laudo del orden público no está causada únicamente por el déficit de motivación, sino porque, la que ofrece, atenta directamente contra anteriores sentencias judiciales firmes que no encontraron impedimento en el ejercicio de voto mayoritario.</w:t>
      </w:r>
    </w:p>
    <w:p w:rsidR="005728DD" w:rsidRDefault="005728DD" w:rsidP="005728DD">
      <w:pPr>
        <w:pStyle w:val="TextoNormal"/>
      </w:pPr>
    </w:p>
    <w:p w:rsidR="005728DD" w:rsidRDefault="005728DD" w:rsidP="005728DD">
      <w:pPr>
        <w:pStyle w:val="TextoNormal"/>
      </w:pPr>
      <w:r>
        <w:t>Para la parte, el órgano judicial estaba obligado, por imperativo legal, a examinar si el laudo violaba o no el orden público y, por consiguiente, el Tribunal Superior de Justicia, con mayor o menor acierto, ha ejercido legítimamente su función jurisdiccional. Igualmente debía controlar la motivación ofrecida por el laudo, tal como dispone el art. 37.4 LA, aunque fuera de equidad. En consecuencia, a su juicio, nada hay en la sentencia impugnada que permita hablar de error patente, irrazonabilidad o arbitrariedad, incluso si la interpretación del órgano judicial del concepto legal de orden público del art. 41.1 f) LA y la invocación del art. 24.1 CE pudieran ser discutibles o cuestionables.</w:t>
      </w:r>
    </w:p>
    <w:p w:rsidR="005728DD" w:rsidRDefault="005728DD" w:rsidP="005728DD">
      <w:pPr>
        <w:pStyle w:val="TextoNormal"/>
      </w:pPr>
    </w:p>
    <w:p w:rsidR="005728DD" w:rsidRDefault="005728DD" w:rsidP="005728DD">
      <w:pPr>
        <w:pStyle w:val="TextoNormal"/>
      </w:pPr>
      <w:r>
        <w:t>Aclara, por lo demás, que lo que cuestiona es la existencia de vulneración de un derecho fundamental y, en particular, la ausencia de lesión de su derecho a la tutela judicial efectiva del art. 24.1 CE. Así, entiende que los principios de igualdad, audiencia y contradicción del art. 24 LA, junto con la obligación de motivar el laudo del art. 37.4 LA, se integran bajo el principio aún más general de la proscripción de la indefensión, asociado a aquellos procedimientos en que se decide un conflicto atribuyendo derechos y obligaciones a las partes, a las que se impone la decisión de forma heterónoma. Es absolutamente lógico que todos esos principios, dependiendo de la intensidad y trascendencia de la lesión, puedan considerarse como integrantes del concepto legal de orden público del art. 41.1 f) LA, correspondiendo al tribunal jurisdiccional que ha de resolver sobre la anulación la tarea de interpretar dicha cláusula y determinar si el laudo es o no contrario al orden público.</w:t>
      </w:r>
    </w:p>
    <w:p w:rsidR="005728DD" w:rsidRDefault="005728DD" w:rsidP="005728DD">
      <w:pPr>
        <w:pStyle w:val="TextoNormal"/>
      </w:pPr>
    </w:p>
    <w:p w:rsidR="005728DD" w:rsidRDefault="005728DD" w:rsidP="005728DD">
      <w:pPr>
        <w:pStyle w:val="TextoNormal"/>
      </w:pPr>
      <w:r>
        <w:t xml:space="preserve">Finaliza su alegaciones subrayando que cuestiones como el alcance del convenio arbitral de los estatutos de Mazacruz, S.L., en qué medida quisieron las partes excluir la intervención de los tribunales de justicia, o limitar el control judicial a través de uno u otro canon de arbitrariedad en la motivación del laudo, son cuestiones de interpretación de la voluntad y, por ello, de legalidad ordinaria reservadas a la jurisdicción. Es patente que el Tribunal Superior de Justicia de Madrid no entendió que en la cláusula de arbitraje estatutario de Mazacruz, S.L., hubiera un límite </w:t>
      </w:r>
      <w:r w:rsidRPr="005728DD">
        <w:rPr>
          <w:i/>
        </w:rPr>
        <w:t>ex voluntate</w:t>
      </w:r>
      <w:r>
        <w:t xml:space="preserve"> que fuera contradicho por la aplicación del canon de motivación que el tribunal juzgó procedente para decidir sobre la vulneración del orden público por el laudo.</w:t>
      </w:r>
    </w:p>
    <w:p w:rsidR="005728DD" w:rsidRDefault="005728DD" w:rsidP="005728DD">
      <w:pPr>
        <w:pStyle w:val="TextoNormal"/>
      </w:pPr>
    </w:p>
    <w:p w:rsidR="005728DD" w:rsidRDefault="005728DD" w:rsidP="005728DD">
      <w:pPr>
        <w:pStyle w:val="TextoNormal"/>
      </w:pPr>
      <w:r w:rsidRPr="005728DD">
        <w:rPr>
          <w:rStyle w:val="NumeroAFNegritaCaracter"/>
        </w:rPr>
        <w:t>8</w:t>
      </w:r>
      <w:r>
        <w:t>. En la misma fecha tuvo entrada el escrito de alegaciones de la representación de Mazacruz, S.L., en el que tras calificar el laudo arbitral como una “decisión arbitral sin precedentes” y “una de las mayores muestras de arbitrariedad que se recuerden”, relata la historia del Grupo Mazacruz y refiere los cuarenta y cuatro procesos judiciales que han tenido lugar sobre el control del grupo empresarial, en los que quedó confirmada la posición de dominio de don Carlos Gutierrez-Maturana-Larios por disponer del 61,86 por 100 de los derechos de voto.</w:t>
      </w:r>
    </w:p>
    <w:p w:rsidR="005728DD" w:rsidRDefault="005728DD" w:rsidP="005728DD">
      <w:pPr>
        <w:pStyle w:val="TextoNormal"/>
      </w:pPr>
    </w:p>
    <w:p w:rsidR="005728DD" w:rsidRDefault="005728DD" w:rsidP="005728DD">
      <w:pPr>
        <w:pStyle w:val="TextoNormal"/>
      </w:pPr>
      <w:r>
        <w:t xml:space="preserve">Respecto del primer motivo de amparo, recuerda que el derecho al libre desarrollo de la personalidad (art. 10.1 CE) no es objeto del recurso de amparo, al margen de que los socios, al pactar la cláusula arbitral, se comprometieron a excluir del conocimiento judicial la controversia sometida a arbitraje, por lo que —a su juicio— también se obligaron a no acudir al amparo ante este tribunal. Para Mazacruz, S.L., la invocación de la lesión del art. 24.1 CE es solo una invocación formal para razonar que la sentencia del Tribunal Superior de Justicia de Madrid ha realizado una indebida extensión al arbitraje de la tutela judicial efectiva, en su vertiente de derecho a una resolución motivada. Y, en este punto, es de la opinión de que </w:t>
      </w:r>
      <w:r>
        <w:lastRenderedPageBreak/>
        <w:t xml:space="preserve">dicha extensión indebida del derecho a una resolución motivada </w:t>
      </w:r>
      <w:r w:rsidRPr="005728DD">
        <w:rPr>
          <w:i/>
        </w:rPr>
        <w:t>ex</w:t>
      </w:r>
      <w:r>
        <w:t xml:space="preserve"> art. 24.1 CE —por la noción de orden público utilizada por el órgano judicial </w:t>
      </w:r>
      <w:r w:rsidRPr="005728DD">
        <w:rPr>
          <w:i/>
        </w:rPr>
        <w:t>ex</w:t>
      </w:r>
      <w:r>
        <w:t xml:space="preserve"> art. 41.7 LA— es una cuestión que no puede corregirse por la vía del amparo constitucional, pues no deja de ser una interpretación de la legalidad ordinaria que no invade ningún derecho fundamental susceptible de amparo, pues solo es incardinable en el art. 10.1 CE.</w:t>
      </w:r>
    </w:p>
    <w:p w:rsidR="005728DD" w:rsidRDefault="005728DD" w:rsidP="005728DD">
      <w:pPr>
        <w:pStyle w:val="TextoNormal"/>
      </w:pPr>
    </w:p>
    <w:p w:rsidR="005728DD" w:rsidRDefault="005728DD" w:rsidP="005728DD">
      <w:pPr>
        <w:pStyle w:val="TextoNormal"/>
      </w:pPr>
      <w:r>
        <w:t>Para el caso, sin embargo, de que este tribunal no compartiera la primera de las alegaciones, Mazacruz, S.L., recuerda con profusa cita de nuestra doctrina que el control de la motivación de las resoluciones judiciales que compete a este tribunal es exclusivamente externo y que, además, no incluye un pretendido derecho al acierto judicial, por lo que se debe entender que es conforme a tal derecho aquella resolución que permita conocer cuáles han sido los criterios jurídicos que fundamentan la decisión y siempre que esta no sea consecuencia de una aplicación arbitraria de la legalidad, ni resulte manifiestamente irrazonable, incursa en un error patente o en una evidente contradicción entre los fundamentos jurídicos, o entre estos y el fallo. Pues bien, para Mazacruz, S.L., la parte actora no razona debidamente en su escrito de demanda cuál sea el defecto de motivación de la sentencia judicial impugnada, sino que lo que pretende del Tribunal Constitucional es “que actúe como una especie de tribunal de casación que fije la correcta interpretación de la legalidad ordinaria, invadiendo así la potestad que, en exclusiva, el art. 117.3 CE atribuye a los jueces y tribunales”, pretendiendo nada menos que la rectificación de la interpretación que el órgano judicial hace de la noción de orden público del art. 41.2 f) LA. A su entender, este tribunal “solo podría entrar a fijar límites a esa interpretación exclusivamente en la medida en que lo hiciera imperativo la protección de un derecho fundamental que resultara conculcado por una interpretación o aplicación no ya incorrecta o mejorable, sino claramente lesiva de un derecho fundamental reconocido como tal en la CE y tutelable en amparo”. Por lo demás, subraya que la exigencia de motivación del laudo tiene carácter imperativo (</w:t>
      </w:r>
      <w:r w:rsidRPr="005728DD">
        <w:rPr>
          <w:i/>
        </w:rPr>
        <w:t>ex</w:t>
      </w:r>
      <w:r>
        <w:t xml:space="preserve"> art. 37.4 LA) y de orden público, siendo una especie de trasunto del art. 120.3 CE respecto a las resoluciones judiciales. En definitiva, se sostiene que (i) la interpretación del orden público procesal es una cuestión de legalidad ordinaria; y (ii) no es irrazonable incluir en ese concepto las garantías del art. 24 CE, entre las que se incluye el derecho a una resolución motivada y no incursa en arbitrariedad, irrazonabilidad manifiesta o error patente.</w:t>
      </w:r>
    </w:p>
    <w:p w:rsidR="005728DD" w:rsidRDefault="005728DD" w:rsidP="005728DD">
      <w:pPr>
        <w:pStyle w:val="TextoNormal"/>
      </w:pPr>
    </w:p>
    <w:p w:rsidR="005728DD" w:rsidRDefault="005728DD" w:rsidP="005728DD">
      <w:pPr>
        <w:pStyle w:val="TextoNormal"/>
      </w:pPr>
      <w:r>
        <w:t xml:space="preserve">A continuación, se examina la posible arbitrariedad o irrazonabilidad en la interpretación del concepto de “orden público” realizada por la Sala de lo Civil y Penal del Tribunal Superior de Justicia de Madrid, concluyendo que no puede serlo cuando el propio legislador ordinario, copiando la fórmula constitucional que impone la motivación de las resoluciones judiciales, exige del laudo que siempre sea motivado, estableciendo normativamente una “equivalencia” difícilmente soslayable entre el deber de motivación de las resoluciones judiciales y el de los laudos arbitrales (STC 1/2018, de 11 de enero, FJ 3). En este sentido, se hace especial hincapié en la idea de que “como la jurisdicción, el arbitraje obtiene en último término su fuerza obligatoria de la ley. Y es esta misma ley la que, como imprescindible contrapartida, exige unas mínimas garantías de justicia —como valor superior de nuestro sistema constitucional—, que se plasman, entre otras, en el deber de motivar ‘siempre’ el laudo arbitral”. A este respecto, se añade que la extensión, con rango infraconstitucional y al amparo del art. 37.4 LA, de las exigencias de motivación de las resoluciones judiciales al laudo ni resulta irrazonable ni vulnera ningún derecho fundamental, sino que parece una natural consecuencia interpretativa de la traslación normativa al arbitraje de la fórmula constitucional de motivación de las resoluciones judiciales. En definitiva, ese esencial estándar </w:t>
      </w:r>
      <w:r>
        <w:lastRenderedPageBreak/>
        <w:t>de protección del derecho a la motivación puede ser adoptado por el tribunal de control en virtud de la interpretación que le compete de la cláusula de orden público, sin que pueda entenderse conculcado un derecho fundamental.</w:t>
      </w:r>
    </w:p>
    <w:p w:rsidR="005728DD" w:rsidRDefault="005728DD" w:rsidP="005728DD">
      <w:pPr>
        <w:pStyle w:val="TextoNormal"/>
      </w:pPr>
    </w:p>
    <w:p w:rsidR="005728DD" w:rsidRDefault="005728DD" w:rsidP="005728DD">
      <w:pPr>
        <w:pStyle w:val="TextoNormal"/>
      </w:pPr>
      <w:r>
        <w:t>Por último, Mazacruz, S.L., tras hacer un repaso de distintos pasajes del laudo arbitral, incide de nuevo en calificarlo de “manifiestamente arbitrario” e inmotivado, y afirma que no tuvo en consideración las sentencias obtenidas con anterioridad sobre el derecho de voto múltiple de don Carlos Gutierrez-Maturana-Larios, ni la falta de impugnación en su debido momento de los acuerdos sociales por las demandantes de amparo, lo que no hace más que confirmar la decisión del órgano judicial, que, sin lugar a dudas, para ella, cumple sobradamente con el canon constitucional de motivación.</w:t>
      </w:r>
    </w:p>
    <w:p w:rsidR="005728DD" w:rsidRDefault="005728DD" w:rsidP="005728DD">
      <w:pPr>
        <w:pStyle w:val="TextoNormal"/>
      </w:pPr>
    </w:p>
    <w:p w:rsidR="005728DD" w:rsidRDefault="005728DD" w:rsidP="005728DD">
      <w:pPr>
        <w:pStyle w:val="TextoNormal"/>
      </w:pPr>
      <w:r>
        <w:t>Por todas las razones expuestas, se solicita la desestimación de la presente demanda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El 20 de noviembre de 2019, también fue presentado el escrito de alegaciones de las demandantes de amparo, en el que interesaban la estimación del recurso. Así, ratificándose íntegramente en el recurso de amparo presentado, únicamente interesan subrayar que el laudo fue anulado por la Sala de lo Civil y Penal del Tribunal Superior de Justicia de Madrid en razón de que no se había motivado suficientemente por el árbitro y de que tal insuficiencia de motivación era contraria al orden público, si bien la propia Sala, en el fundamento jurídico sexto de dicha resolución ha señalado expresamente las dificultades de Derecho existentes para determinar el ámbito de orden público como motivo de anulación (art. 394.1 LEC).</w:t>
      </w:r>
    </w:p>
    <w:p w:rsidR="005728DD" w:rsidRDefault="005728DD" w:rsidP="005728DD">
      <w:pPr>
        <w:pStyle w:val="TextoNormal"/>
      </w:pPr>
    </w:p>
    <w:p w:rsidR="005728DD" w:rsidRDefault="005728DD" w:rsidP="005728DD">
      <w:pPr>
        <w:pStyle w:val="TextoNormal"/>
      </w:pPr>
      <w:r w:rsidRPr="005728DD">
        <w:rPr>
          <w:rStyle w:val="NumeroAFNegritaCaracter"/>
        </w:rPr>
        <w:t>10</w:t>
      </w:r>
      <w:r>
        <w:t>. El 20 de diciembre de 2019, tuvo entrada en este tribunal el escrito de alegaciones del fiscal ante el Tribunal Constitucional. En él se interesa la estimación del recurso de amparo, imputando la vulneración del derecho a la tutela judicial efectiva (art. 24.1 CE) a la sentencia de 8 de enero de 2018, y al auto de 22 de mayo de 2018, dictados en el procedimiento de nulidad de laudo arbitral núm. 52-2017, seguido ante la Sala de lo Civil y Penal del Tribunal Superior de Justicia de Madrid, con nulidad de todo lo actuado posteriormente.</w:t>
      </w:r>
    </w:p>
    <w:p w:rsidR="005728DD" w:rsidRDefault="005728DD" w:rsidP="005728DD">
      <w:pPr>
        <w:pStyle w:val="TextoNormal"/>
      </w:pPr>
    </w:p>
    <w:p w:rsidR="005728DD" w:rsidRDefault="005728DD" w:rsidP="005728DD">
      <w:pPr>
        <w:pStyle w:val="TextoNormal"/>
      </w:pPr>
      <w:r>
        <w:t>El Ministerio Fiscal comienza sus alegaciones sistematizando las vulneraciones del derecho a la tutela judicial efectiva invocadas por las demandantes de amparo, referidas, en primer lugar a la necesidad de motivación de los laudos arbitrales y a su posibilidad de control judicial como cuestión de orden público (</w:t>
      </w:r>
      <w:r w:rsidRPr="005728DD">
        <w:rPr>
          <w:i/>
        </w:rPr>
        <w:t>ex</w:t>
      </w:r>
      <w:r>
        <w:t xml:space="preserve"> art. 41 LA), subrayando que el segundo motivo denunciado sigue incidiendo en la lesión del derecho a la tutela judicial efectiva y en la posibilidad de revisión de la prueba practicada y su correcta valoración judicial. El fiscal entiende que el enjuiciamiento que debe realizarse en el presente recurso de amparo ha de ceñirse exclusivamente a valorar si se ha producido una vulneración del derecho a la tutela judicial efectiva (art. 24.1 CE), en su vertiente de derecho a la motivación de las resoluciones judiciales.</w:t>
      </w:r>
    </w:p>
    <w:p w:rsidR="005728DD" w:rsidRDefault="005728DD" w:rsidP="005728DD">
      <w:pPr>
        <w:pStyle w:val="TextoNormal"/>
      </w:pPr>
    </w:p>
    <w:p w:rsidR="005728DD" w:rsidRDefault="005728DD" w:rsidP="005728DD">
      <w:pPr>
        <w:pStyle w:val="TextoNormal"/>
      </w:pPr>
      <w:r>
        <w:t xml:space="preserve">Tras realizar un breve recorrido por la regulación legal del deber de motivación en el arbitraje, la fiscalía estima que tal deber existe y que es susceptible de control judicial, o, lo que es lo mismo, que las partes no pueden prescindir de un laudo motivado y, por consiguiente, la inexistencia de motivación originará que la resolución arbitral sea contraria al orden público </w:t>
      </w:r>
      <w:r w:rsidRPr="005728DD">
        <w:rPr>
          <w:i/>
        </w:rPr>
        <w:t>ex</w:t>
      </w:r>
      <w:r>
        <w:t xml:space="preserve"> art. 41 f) LA. Pero, establecido lo anterior, recuerda que, en el presente </w:t>
      </w:r>
      <w:r>
        <w:lastRenderedPageBreak/>
        <w:t>caso, no estamos en presencia de una inexistente motivación, sino que lo que el órgano judicial reprocha al laudo es no haber tenido en cuenta determinados medios de prueba y una incorrecta valoración de otros. Por consiguiente, la cuestión jurídica queda limitada al establecimiento de los límites al control jurisdiccional de la motivación de los laudos.</w:t>
      </w:r>
    </w:p>
    <w:p w:rsidR="005728DD" w:rsidRDefault="005728DD" w:rsidP="005728DD">
      <w:pPr>
        <w:pStyle w:val="TextoNormal"/>
      </w:pPr>
    </w:p>
    <w:p w:rsidR="005728DD" w:rsidRDefault="005728DD" w:rsidP="005728DD">
      <w:pPr>
        <w:pStyle w:val="TextoNormal"/>
      </w:pPr>
      <w:r>
        <w:t>Para arrojar algo de luz sobre este interrogante, repasa la doctrina de este tribunal sobre la naturaleza del arbitraje, recordando que las vías judicial y arbitral se excluyen entre sí y, por tanto, elegida la arbitral no puede someterse la cuestión a los órganos judiciales, quedando limitada la posibilidad de un pronunciamiento jurisdiccional a la acción para la nulidad del laudo, siempre por las causas tasadas en el art. 41 LA, entre las que se encuentra el orden público. Llegado a este punto, sin embargo, advierte que la equivalencia entre una resolución judicial y una arbitral se refiere tan solo a la equivalencia en sus efectos, es decir a que ambas producen el efecto de cosa juzgada y son igualmente susceptibles de ejecución forzosa. Para el fiscal, extender esa equivalencia más allá de estos términos, por ejemplo, a la fase de elaboración, con su consiguiente igualdad en la valoración de las pruebas y en la motivación de la decisión, supondría más que hablar de equivalencia, hablar de identidad, y eso es claramente contrario a la naturaleza y finalidad del arbitraje. Es decir, convertir el arbitraje en una “modalidad” de sentencia no favorece el arbitraje, ni eleva su categoría, sino que lo priva de su esencia, es decir de la autonomía de la voluntad de las partes, quienes han acordado precisamente sustraer la decisión de su pleito a la administración de justicia por razones legítimas.</w:t>
      </w:r>
    </w:p>
    <w:p w:rsidR="005728DD" w:rsidRDefault="005728DD" w:rsidP="005728DD">
      <w:pPr>
        <w:pStyle w:val="TextoNormal"/>
      </w:pPr>
    </w:p>
    <w:p w:rsidR="005728DD" w:rsidRDefault="005728DD" w:rsidP="005728DD">
      <w:pPr>
        <w:pStyle w:val="TextoNormal"/>
      </w:pPr>
      <w:r>
        <w:t>Por otro lado, el Ministerio Fiscal insiste en que las causas que permiten al órgano judicial anular un laudo se recogen en el art. 41 LA, en seis puntos. Los primeros cinco recogen situaciones procesales concretas y el último es el relativo a su contrariedad con el orden público, pudiendo ser considerado como una especie de cláusula residual. Para la fiscalía, la motivación del laudo entra en este concepto indeterminado que es el orden público, pero su exigencia no le viene dada por el art. 24.1 CE, aplicable únicamente a la tutela judicial y no a la arbitral, sino por la previsión legal del art. 37.4 LA, y, por ello, esa motivación podrá ser objeto de un control, pero no equiparable al de la sentencia, que deberá ser un control externo, y se colmará con la comprobación de su propia existencia y de la ausencia de contradicciones con el fallo o, lo que es lo mismo, que no sea hasta tal punto incoherente y absurda que prácticamente sea huera e inexistente. Ahí debe estar el límite del control judicial si se desea mantener el nivel de autonomía del arbitraje, como instrumento válido para la resolución de conflictos.</w:t>
      </w:r>
    </w:p>
    <w:p w:rsidR="005728DD" w:rsidRDefault="005728DD" w:rsidP="005728DD">
      <w:pPr>
        <w:pStyle w:val="TextoNormal"/>
      </w:pPr>
    </w:p>
    <w:p w:rsidR="005728DD" w:rsidRDefault="005728DD" w:rsidP="005728DD">
      <w:pPr>
        <w:pStyle w:val="TextoNormal"/>
      </w:pPr>
      <w:r>
        <w:t xml:space="preserve">Finalmente, el fiscal analiza detalladamente la sentencia y el auto recurridos, concluyendo que el órgano judicial se extralimitó en su función de control de la motivación externa del laudo, sobre el que, en definitiva, solo afirma que no es suficiente. No dice que sea irracional o errónea, sino insuficiente, y ello porque el árbitro no ha ponderado toda la prueba practicada. Concretamente, porque parece haber desconocido los procesos judiciales preexistentes entre las partes, en los que se reafirmó el derecho del socio al voto múltiple. Ahora bien, advierte el Ministerio Fiscal que el laudo nunca niega la existencia de ese derecho, sino que estima que se le dio un uso perverso al voto fortalecido. Y lo mismo hace la sentencia con otros datos y hechos concretos como la actitud de las demandantes al no haber impugnado oportunamente algunos acuerdos sociales, o la condena que les fue impuesta por el juzgado mercantil cuando pretendieron remover a Paul Participaciones, S.L., de la administración de la sociedad. Acaba calificando la motivación de insuficiente por estos déficits </w:t>
      </w:r>
      <w:r>
        <w:lastRenderedPageBreak/>
        <w:t>probatorios, y al laudo de arbitrario por estas razones. Para el fiscal, el Tribunal Superior de Justicia de Madrid no se limita a un examen externo de la motivación, sino que se inmiscuye en los distintos medios de prueba y su valoración, excediendo de esta forma de lo que es procedente en un caso de anulación de laudo, por lo que incurre en la vulneración de la tutela judicial efectiva (art. 24.1 CE), que ahora sí rige en toda su plenitud, por errónea motivación, al haber anulado el laudo tras un análisis de la motivación del mismo que excede del ámbito que le correspondía. Pero es más: denunciada esta vulneración por las recurrentes en amparo, en el incidente de nulidad, la respuesta que ofrece el auto denegando esa nulidad se ciñe exclusivamente a calificar tal denuncia de mera discrepancia con lo resuelto por la sentencia y reafirmar que su resolución estuvo suficientemente motivada y no incurrió en irracionalidad, ni error patente alguno, volviendo a insistir en que el laudo se basa exclusivamente en que el abuso de derecho imputado al socio deriva del uso del voto múltiple, que le había sido confirmado en litigios previos. Es decir, que cuando se le da al tribunal la oportunidad de restaurar el derecho vulnerado se limita a confirmar su decisión. Entendiendo que la Sala se excedió en la amplitud de su control advierte que ya no resulta decisivo si, además, incurrió en un error patente, o ese error no era tan notorio, ya que lo determinante será siempre ese exceso en que habría incurrido el órgano judicial. No obstante, desde la premisa de que al órgano judicial no le corresponde una nueva valoración de la prueba, analiza el contenido del laudo respecto a la admisión de la prueba y su valoración, concluyendo que las decisiones del árbitro a la luz de la prueba practicada no pueden ser tachadas de irracionales o claramente erróneas y, por tanto, no vulneradoras, por sí mismas, del derecho a la tutela judicial efectiva.</w:t>
      </w:r>
    </w:p>
    <w:p w:rsidR="005728DD" w:rsidRDefault="005728DD" w:rsidP="005728DD">
      <w:pPr>
        <w:pStyle w:val="TextoNormal"/>
      </w:pPr>
    </w:p>
    <w:p w:rsidR="005728DD" w:rsidRDefault="005728DD" w:rsidP="005728DD">
      <w:pPr>
        <w:pStyle w:val="TextoNormal"/>
      </w:pPr>
      <w:r>
        <w:t>Por todo lo anterior solicita que, para el restablecimiento del derecho fundamental vulnerado, se proceda declarar la nulidad de las resoluciones impugnadas con retroacción al momento anterior a su dictado.</w:t>
      </w:r>
    </w:p>
    <w:p w:rsidR="005728DD" w:rsidRDefault="005728DD" w:rsidP="005728DD">
      <w:pPr>
        <w:pStyle w:val="TextoNormal"/>
      </w:pPr>
    </w:p>
    <w:p w:rsidR="005728DD" w:rsidRDefault="005728DD" w:rsidP="005728DD">
      <w:pPr>
        <w:pStyle w:val="TextoNormal"/>
      </w:pPr>
      <w:r w:rsidRPr="005728DD">
        <w:rPr>
          <w:rStyle w:val="NumeroAFNegritaCaracter"/>
        </w:rPr>
        <w:t>11</w:t>
      </w:r>
      <w:r>
        <w:t>. En fecha de 17 de febrero de 2020, la representación de la entidad mercantil Mazacruz, S.L., presentó escrito ante este tribunal solicitando el traslado del escrito de alegaciones del ministerio público, “en garantía de la necesaria igualdad de armas y para evitar los perjuicios que se están irrogando al Grupo”.</w:t>
      </w:r>
    </w:p>
    <w:p w:rsidR="005728DD" w:rsidRDefault="005728DD" w:rsidP="005728DD">
      <w:pPr>
        <w:pStyle w:val="TextoNormal"/>
      </w:pPr>
    </w:p>
    <w:p w:rsidR="005728DD" w:rsidRDefault="005728DD" w:rsidP="005728DD">
      <w:pPr>
        <w:pStyle w:val="TextoNormal"/>
      </w:pPr>
      <w:r w:rsidRPr="005728DD">
        <w:rPr>
          <w:rStyle w:val="NumeroAFNegritaCaracter"/>
        </w:rPr>
        <w:t>12</w:t>
      </w:r>
      <w:r>
        <w:t>. Por providencia de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w:t>
      </w:r>
      <w:r>
        <w:t>.</w:t>
      </w:r>
    </w:p>
    <w:p w:rsidR="005728DD" w:rsidRDefault="005728DD" w:rsidP="005728DD">
      <w:pPr>
        <w:pStyle w:val="TextoNormal"/>
      </w:pPr>
    </w:p>
    <w:p w:rsidR="005728DD" w:rsidRDefault="005728DD" w:rsidP="005728DD">
      <w:pPr>
        <w:pStyle w:val="TextoNormal"/>
      </w:pPr>
      <w:r>
        <w:t>El recurso de amparo tiene por objeto la sentencia de la Sala de lo Civil y Penal del Tribunal Superior de Justicia de Madrid de 8 de enero de 2018, recaída en el procedimiento de nulidad de laudo arbitral núm. 52-2017, así como el auto de la misma Sala, de 22 de mayo de 2018, por el que se desestima el incidente de nulidad de actuaciones promovido contra la anterior.</w:t>
      </w:r>
    </w:p>
    <w:p w:rsidR="005728DD" w:rsidRDefault="005728DD" w:rsidP="005728DD">
      <w:pPr>
        <w:pStyle w:val="TextoNormal"/>
      </w:pPr>
    </w:p>
    <w:p w:rsidR="005728DD" w:rsidRDefault="005728DD" w:rsidP="005728DD">
      <w:pPr>
        <w:pStyle w:val="TextoNormal"/>
      </w:pPr>
      <w:r>
        <w:t xml:space="preserve">Para las recurrentes la anulación del laudo arbitral por insuficiente motivación del mismo que ha realizado el órgano judicial vulneró su derecho a la tutela judicial efectiva (art. 24.1 </w:t>
      </w:r>
      <w:r>
        <w:lastRenderedPageBreak/>
        <w:t>CE), en su vertiente de derecho a una resolución motivada no incursa en irrazonabilidad, arbitrariedad o error patente. Así, sostienen que en el supuesto sometido a la consideración del órgano judicial, el art. 41 de la Ley 60/2003, de 23 de diciembre, de arbitraje (en adelante, LA), no incluye el control de la motivación del laudo arbitral y que la anulación del laudo por insuficiencia de motivación se ha producido porque el órgano judicial ha impuesto a los laudos el canon de control de motivación que le es aplicable a las resoluciones judiciales, sosteniendo erróneamente que es contrario al orden público un laudo que no supere dicho canon. Insisten en que el arbitraje no tiene asiento en la tutela judicial efectiva (art. 24.1 CE) y en que la motivación del laudo no es cuestión de orden público, por lo que no puede anularse por insuficiente motivación. Iguales tachas se imputan al auto de 22 de mayo de 2018, que desestimó el incidente excepcional de nulidad de actuaciones, al no haber reparado las lesiones denunciadas.</w:t>
      </w:r>
    </w:p>
    <w:p w:rsidR="005728DD" w:rsidRDefault="005728DD" w:rsidP="005728DD">
      <w:pPr>
        <w:pStyle w:val="TextoNormal"/>
      </w:pPr>
    </w:p>
    <w:p w:rsidR="005728DD" w:rsidRDefault="005728DD" w:rsidP="005728DD">
      <w:pPr>
        <w:pStyle w:val="TextoNormal"/>
      </w:pPr>
      <w:r>
        <w:t>El señor Gutiérrez-Maturana-Larios y Altuna alega que el Tribunal Superior de Justicia de Madrid no ha realizado un ejercicio exorbitante del control judicial del laudo [arts. 8.5 y 41.1 f) LA], pues no lo es averiguar la razón por la que se ha decretado en equidad la disolución y liquidación de una sociedad, y para ello debe examinar la prueba y determinar cuál ha sido el ejercicio abusivo del derecho en el que el árbitro ha basado su decisión. Añade que la vulneración por el laudo del orden público no está causada únicamente por su insuficiente motivación, sino porque la que ofrece atenta directamente contra anteriores sentencias judiciales firmes que no encontraron impedimento en el ejercicio de voto mayoritario. En consecuencia, nada hay en la sentencia impugnada que permita hablar de error patente, irrazonabilidad o arbitrariedad, incluso si la interpretación del órgano judicial del concepto legal de orden público del art. 41.1 f) LA y la invocación del art. 24.1 CE pudieran ser discutibles o cuestionables.</w:t>
      </w:r>
    </w:p>
    <w:p w:rsidR="005728DD" w:rsidRDefault="005728DD" w:rsidP="005728DD">
      <w:pPr>
        <w:pStyle w:val="TextoNormal"/>
      </w:pPr>
    </w:p>
    <w:p w:rsidR="005728DD" w:rsidRDefault="005728DD" w:rsidP="005728DD">
      <w:pPr>
        <w:pStyle w:val="TextoNormal"/>
      </w:pPr>
      <w:r>
        <w:t xml:space="preserve">También solicita la desestimación del recurso de amparo la mercantil Mazacruz, S.L., esencialmente por tres motivos, que desarrolla profusamente a lo largo de su escrito de alegaciones, como ha quedado reflejado en los antecedentes de esta resolución: (i) por entender no solo que corresponde a la jurisdicción ordinaria controlar —como cuestión de orden público— la correcta motivación del laudo, debiendo quedar extramuros de este tribunal la cuestión planteada porque el derecho constitucional invocado —art. 10 CE— no es objeto de amparo constitucional; (ii) porque la interpretación que debe dársele a la noción de “orden público” </w:t>
      </w:r>
      <w:r w:rsidRPr="005728DD">
        <w:rPr>
          <w:i/>
        </w:rPr>
        <w:t>ex</w:t>
      </w:r>
      <w:r>
        <w:t xml:space="preserve"> art. 37.2 LA es una cuestión de mera legalidad ordinaria; y (iii), por último, porque los socios al pactar la cláusula arbitral mostraron su voluntad de excluir a los órganos judiciales, incluido un posible recurso de amparo. Por lo demás, como reitera en diversas ocasiones a lo largo de su escrito, entiende que el laudo arbitral fue, sin lugar a dudas, manifiestamente arbitrario, y que el órgano judicial cumplió debidamente sus funciones de control de las garantías que se integran en el concepto de “orden público” y aplicando correctamente el canon de motivación al laudo arbitral. Ninguna lesión constitucional, por consiguiente, puede apreciarse, a su juicio, en la sentencia impugnada.</w:t>
      </w:r>
    </w:p>
    <w:p w:rsidR="005728DD" w:rsidRDefault="005728DD" w:rsidP="005728DD">
      <w:pPr>
        <w:pStyle w:val="TextoNormal"/>
      </w:pPr>
    </w:p>
    <w:p w:rsidR="005728DD" w:rsidRDefault="005728DD" w:rsidP="005728DD">
      <w:pPr>
        <w:pStyle w:val="TextoNormal"/>
      </w:pPr>
      <w:r>
        <w:t xml:space="preserve">Por su parte, el Ministerio Fiscal entiende que debe estimarse el recurso de amparo. Advierte que en el presente caso no estamos en presencia de una inexistente motivación, sino que lo que el órgano judicial reprocha al laudo es no haber tenido en cuenta determinados medios de prueba y una incorrecta valoración de otros, por consiguiente, la cuestión jurídica queda limitada al establecimiento de los límites al control jurisdiccional de la motivación de los laudos. Para el fiscal, extender la equivalencia del control de la motivación de las </w:t>
      </w:r>
      <w:r>
        <w:lastRenderedPageBreak/>
        <w:t>sentencias a los laudos arbitrales más allá de un control externo sobre la existencia misma de tal motivación y la ausencia de contradicción con el fallo, y hacerlo, por ejemplo, a la fase de elaboración, con su consiguiente igualdad en la valoración de las pruebas y en la motivación de la decisión, supondría más que hablar de equivalencia hablar de identidad, y eso es claramente contrario a la naturaleza y finalidad del arbitraje. Insiste en que la exigencia de motivación del laudo no viene dada por el art. 24.1 CE, aplicable únicamente a la tutela judicial y no a la arbitral, sino por la previsión legal del art. 37.4 LA y, por ello, esa motivación podrá ser objeto de un control, pero no equiparable al de la sentencia, sino que deberá ser un control externo, y se colmará con la comprobación de su propia existencia y de la ausencia de contradicciones con el fallo o, lo que es lo mismo, que no sea hasta tal punto incoherente y absurda que prácticamente sea huera e inexistente. Ahí debe estar el límite del control judicial si se desea mantener el nivel de autonomía del arbitraje, como instrumento válido para la resolución de conflictos. Finaliza concluyendo que el órgano judicial se extralimitó en su función de control de la motivación externa del laudo, sobre el que, en definitiva, solo afirma que no es suficiente, sin tacharlo de irracional o erróneo, y ello debido a la ausencia de toda la prueba practicada. Sin embargo, el laudo en caso alguno desconoce la prueba, sino que alcanza conclusiones diversas a las que el Tribunal Superior de Justicia de Madrid entiende que debió haber llegado. Para el fiscal, en definitiva, el órgano judicial no se ha limitado a realizar un examen externo de la motivación, sino que ha entrado a hacer su propia valoración de la prueba, excediendo de lo que es procedente en el procedimiento de impugnación de los laudos arbitrales. Por todo ello defiende que las resoluciones judiciales impugnadas en el presente recurso de amparo han incurrido en la vulneración de la tutela judicial efectiva (art. 24.1 CE), que ahora sí rige en toda su plenitud, por errónea motivación, al haber anulado el laudo tras un análisis de la motivación del mismo que excede del ámbito que le correspondía. Por lo que respecta a la desestimación del incidente excepcional de nulidad de actuaciones interpuesto por las demandantes de amparo contra la sentencia de anulación del laudo arbitral, sostiene que habiendo tenido la oportunidad de restaurar el derecho vulnerado, el órgano judicial, sin embargo, se ha limitado a confirmar su decisión.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Orden público y deber de motivación en el sistema arbitral</w:t>
      </w:r>
      <w:r>
        <w:t>.</w:t>
      </w:r>
    </w:p>
    <w:p w:rsidR="005728DD" w:rsidRDefault="005728DD" w:rsidP="005728DD">
      <w:pPr>
        <w:pStyle w:val="TextoNormal"/>
      </w:pPr>
    </w:p>
    <w:p w:rsidR="005728DD" w:rsidRDefault="005728DD" w:rsidP="005728DD">
      <w:pPr>
        <w:pStyle w:val="TextoNormal"/>
      </w:pPr>
      <w:r>
        <w:t>Las quejas de las recurrentes se constriñen a la vulneración del derecho a la tutela judicial efectiva (art. 24.1 CE), en su vertiente de derecho a una resolución motivada, no incursa en irrazonabilidad, arbitrariedad o error patente, basadas en la declaración de nulidad del laudo arbitral por un supuesto déficit de motivación y una errónea valoración de la prueba practicada en el procedimiento arbitral, lo que a juicio del órgano judicial contradiría el orden público contenido en el art. 41.2 f) LA.</w:t>
      </w:r>
    </w:p>
    <w:p w:rsidR="005728DD" w:rsidRDefault="005728DD" w:rsidP="005728DD">
      <w:pPr>
        <w:pStyle w:val="TextoNormal"/>
      </w:pPr>
    </w:p>
    <w:p w:rsidR="005728DD" w:rsidRDefault="005728DD" w:rsidP="005728DD">
      <w:pPr>
        <w:pStyle w:val="TextoNormal"/>
      </w:pPr>
      <w:r>
        <w:t xml:space="preserve">Como ha quedado expuesto en los antecedentes de hecho, la Sala de lo Civil y Penal del Tribunal Superior de Justicia de Madrid justificó la anulación del laudo en la infracción del orden público en el procedimiento arbitral al que se sometieron las partes para dirimir las diferencias surgidas de su relación societaria, pues, de conformidad con la doctrina del Tribunal Supremo, el hecho de decretar la disolución y liquidación de una sociedad sin causa legal o estatutariamente predeterminada puede suponer una infracción del orden público económico/societario, si con ello se produce una vulneración de normas imperativas que afecten a la esencia del sistema societario. Tal es el motivo —a su juicio— que le obliga de </w:t>
      </w:r>
      <w:r>
        <w:lastRenderedPageBreak/>
        <w:t xml:space="preserve">oficio a entrar en el fondo de la demanda de nulidad planteada y a entender que la suficiencia de la motivación del laudo es una cuestión de orden público </w:t>
      </w:r>
      <w:r w:rsidRPr="005728DD">
        <w:rPr>
          <w:i/>
        </w:rPr>
        <w:t>ex</w:t>
      </w:r>
      <w:r>
        <w:t xml:space="preserve"> art. 41 LA.</w:t>
      </w:r>
    </w:p>
    <w:p w:rsidR="005728DD" w:rsidRDefault="005728DD" w:rsidP="005728DD">
      <w:pPr>
        <w:pStyle w:val="TextoNormal"/>
      </w:pPr>
    </w:p>
    <w:p w:rsidR="005728DD" w:rsidRDefault="005728DD" w:rsidP="005728DD">
      <w:pPr>
        <w:pStyle w:val="TextoNormal"/>
      </w:pPr>
      <w:r>
        <w:t>Pues bien, en la reciente STC 46/2020, de 15 de junio, FJ 4, a la que desde ahora nos remitimos, hemos señalado que la institución arbitral —tal como la configura la propia Ley de arbitraje— es un mecanismo heterónomo de resolución de conflictos, al que es consustancial la mínima intervención de los órganos jurisdiccionales por el respeto a la autonomía de la voluntad de las partes (art. 10 CE), que han decidido en virtud de un convenio arbitral sustraer de la jurisdicción ordinaria la resolución de sus posibles controversias y deferir a los árbitros su conocimiento y solución, que desde ese momento quedan vedados a la jurisdicción.</w:t>
      </w:r>
    </w:p>
    <w:p w:rsidR="005728DD" w:rsidRDefault="005728DD" w:rsidP="005728DD">
      <w:pPr>
        <w:pStyle w:val="TextoNormal"/>
      </w:pPr>
    </w:p>
    <w:p w:rsidR="005728DD" w:rsidRDefault="005728DD" w:rsidP="005728DD">
      <w:pPr>
        <w:pStyle w:val="TextoNormal"/>
      </w:pPr>
      <w:r>
        <w:t>Igualmente recordamos que si bien la acción de anulación es el mecanismo de control judicial previsto en la legislación arbitral para garantizar que el procedimiento arbitral se ajuste a lo establecido en sus normas, tal control tiene un contenido muy limitado y no permite una revisión del fondo de la cuestión decidida por el árbitro, ni debe ser considerada como una segunda instancia, pudiendo fundarse exclusivamente en las causas tasadas establecidas en la ley, sin que ninguna de ellas —tampoco la relativa al orden público— pueda ser interpretada de modo que subvierta esta limitación.</w:t>
      </w:r>
    </w:p>
    <w:p w:rsidR="005728DD" w:rsidRDefault="005728DD" w:rsidP="005728DD">
      <w:pPr>
        <w:pStyle w:val="TextoNormal"/>
      </w:pPr>
    </w:p>
    <w:p w:rsidR="005728DD" w:rsidRDefault="005728DD" w:rsidP="005728DD">
      <w:pPr>
        <w:pStyle w:val="TextoNormal"/>
      </w:pPr>
      <w:r>
        <w:t>Ahora, de nuevo, hemos de reiterar que la valoración del órgano judicial competente sobre una posible contradicción del laudo con el orden público, no puede consistir en un nuevo análisis del asunto sometido a arbitraje, sustituyendo el papel del árbitro en la solución de la controversia, sino que debe ceñirse al enjuiciamiento respecto de la legalidad del convenio arbitral, la arbitrabilidad de la materia y la regularidad procedimental del desarrollo del arbitraje. En este orden de ideas, ya hemos dicho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de 15 de junio, FJ 4).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w:t>
      </w:r>
    </w:p>
    <w:p w:rsidR="005728DD" w:rsidRDefault="005728DD" w:rsidP="005728DD">
      <w:pPr>
        <w:pStyle w:val="TextoNormal"/>
      </w:pPr>
    </w:p>
    <w:p w:rsidR="005728DD" w:rsidRDefault="005728DD" w:rsidP="005728DD">
      <w:pPr>
        <w:pStyle w:val="TextoNormal"/>
      </w:pPr>
      <w:r>
        <w:t xml:space="preserve">También, en esta reciente STC 46/2020, advertimos de los riesgos de desbordamiento del concepto de orden público como causa de anulación de los laudos arbitrales [art. 41.1 f) LA] y de la necesidad de llevar a cabo una interpretación restrictiva del mismo, so pena de vulnerar la autonomía de la voluntad de las partes (art. 10 CE) y su renuncia puntual a la tutela jurisdiccional (art. 24 CE). Debe quedar, por tanto, firme la idea de que el motivo </w:t>
      </w:r>
      <w:r>
        <w:lastRenderedPageBreak/>
        <w:t>previsto en el apartado 1, letra f) del art. 41 LA no permite sustituir el criterio alcanzado por el árbitro por parte de los jueces que conocen de la anulación del laudo, así como que la noción de orden público no puede ser tomada como un cajón de sastre o una puerta falsa —en palabras del propio Tribunal Superior de Justicia de Madrid (sentencia de 21 mayo de 2013)— que permita el control de la decisión arbitral.</w:t>
      </w:r>
    </w:p>
    <w:p w:rsidR="005728DD" w:rsidRDefault="005728DD" w:rsidP="005728DD">
      <w:pPr>
        <w:pStyle w:val="TextoNormal"/>
      </w:pPr>
    </w:p>
    <w:p w:rsidR="005728DD" w:rsidRDefault="005728DD" w:rsidP="005728DD">
      <w:pPr>
        <w:pStyle w:val="TextoNormal"/>
      </w:pPr>
      <w:r>
        <w:t>Dicho de otro modo, el posible control judicial del laudo y su conformidad con el orden público no puede traer como consecuencia que el órgano judicial supla al tribunal arbitral en su función de aplicación del Derecho. Tampoco es una segunda instancia revisora de los hechos y los derechos aplicados en el laudo, ni un mecanismo de control de la correcta aplicación de la jurisprudencia. Por consiguiente, debe subrayarse una vez más que si la resolución arbitral no puede tacharse de arbitraria, ilógica, absurda o irracional, no cabe declarar su nulidad amparándose en la noción de orden público. Así también lo ha señalado la misma Sala de lo Civil y Penal del Tribunal Superior de Justicia de Madrid en numerosas ocasiones, insistiendo en que debe quedar fuera de un posible control anulatorio “la posible justicia del laudo, las deficiencias del fallo o el modo más o menos acertado de resolver la cuestión” (sentencia de 23 de mayo de 2012).</w:t>
      </w:r>
    </w:p>
    <w:p w:rsidR="005728DD" w:rsidRDefault="005728DD" w:rsidP="005728DD">
      <w:pPr>
        <w:pStyle w:val="TextoNormal"/>
      </w:pPr>
    </w:p>
    <w:p w:rsidR="005728DD" w:rsidRDefault="005728DD" w:rsidP="005728DD">
      <w:pPr>
        <w:pStyle w:val="TextoNormal"/>
      </w:pPr>
      <w:r>
        <w:t>Es más, respecto a la motivación de los laudos ha de aclararse que tan siquiera se requiere una argumentación exhaustiva y pormenorizada de todos los aspectos y perspectivas que las partes puedan tener de la cuestión que se decide, pues el derecho a obtener una resolución fundada, favorable o adversa, es garantía frente a la arbitrariedad e irrazonabilidad y ello, en materia de arbitraje, implica que la resolución ha de contener los elementos y razones de juicio que permitan conocer cuáles han sido los criterios jurídicos o de equidad que fundamentan la decisión, que no deben resultar arbitrarios. En tal sentido, conviene señalar que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basarse en ninguna de las razones aducidas” (STC 164/2002, de 17 septiembre).</w:t>
      </w:r>
    </w:p>
    <w:p w:rsidR="005728DD" w:rsidRDefault="005728DD" w:rsidP="005728DD">
      <w:pPr>
        <w:pStyle w:val="TextoNormal"/>
      </w:pPr>
    </w:p>
    <w:p w:rsidR="005728DD" w:rsidRDefault="005728DD" w:rsidP="005728DD">
      <w:pPr>
        <w:pStyle w:val="TextoNormal"/>
      </w:pPr>
      <w:r>
        <w:t xml:space="preserve">Aunque es obvio que, desde la perspectiva constitucional, la semejanza entre las resoluciones judiciales y los laudos arbitrales no es desde luego absoluta, ello no significa que cuando hablamos del deber de motivación de unas y otras no se pueda enjuiciar su cumplimiento con parecido canon de control. Decimos que el deber de motivación no posee la misma naturaleza en ambos tipos de resolución, porque tratándose de resoluciones judiciales es una exigencia inherente al derecho a la tutela judicial efectiva </w:t>
      </w:r>
      <w:r w:rsidRPr="005728DD">
        <w:rPr>
          <w:i/>
        </w:rPr>
        <w:t>ex</w:t>
      </w:r>
      <w:r>
        <w:t xml:space="preserve"> art. 24 CE. Sin embargo, para las resoluciones arbitrales, dicha obligación aparece recogida en el art. 37.4 LA, siempre con la salvedad de que las partes, además, no hayan alcanzado un pacto sobre los térmi</w:t>
      </w:r>
      <w:r>
        <w:lastRenderedPageBreak/>
        <w:t>nos en que deba pronunciarse el laudo. En las primeras, la motivación forma parte del contenido del derecho fundamental citado. En las segundas es un requisito de exclusiva configuración legal, por lo que resulta indudable que podría ser prescindible a instancias del legislador. Puede que la confusión que este tribunal viene observando en algunas sentencias, como la que ahora se ha recurrido en amparo, haya sido originada por la utilización en nuestros primeros pronunciamientos (SSTC 15/1989, de 26 de enero; 62/1991, de 22 de marzo; 288/1993, de 4 de octubre; 174/1995, de 23 de noviembre, y 176/1996, de 11 de noviembre) —y luego reiterada en posteriores— de la expresión “equivalente jurisdiccional” para referirnos al arbitraje. Si esa fuera la causa, es necesario aclarar desde este momento que tal equivalencia hace referencia especialmente al efecto de cosa juzgada que se produce en ambos tipos de procesos, jurisdiccional y arbitral.</w:t>
      </w:r>
    </w:p>
    <w:p w:rsidR="005728DD" w:rsidRDefault="005728DD" w:rsidP="005728DD">
      <w:pPr>
        <w:pStyle w:val="TextoNormal"/>
      </w:pPr>
    </w:p>
    <w:p w:rsidR="005728DD" w:rsidRDefault="005728DD" w:rsidP="005728DD">
      <w:pPr>
        <w:pStyle w:val="TextoNormal"/>
      </w:pPr>
      <w:r>
        <w:t>Efectivamente, a lo largo de nuestra jurisprudencia constitucional sobre el arbitraje hemos señalado que “ha de partirse de la idea de que la configuración del arbitraje como vía extrajudicial de resolución de las controversias existentes entre las partes es un ‘equivalente jurisdiccional’, dado que las partes obtienen los mismos resultados que accediendo a la jurisdicción civil, es decir, una decisión al conflicto con efectos de cosa juzgada. La exclusividad jurisdiccional a que alude el art. 117.3 CE no afecta a la validez constitucional del arbitraje, ni vulnera el art. 24 CE. En relación con el sometimiento de controversias al arbitraje, este tribunal ha reiterado que, si bien el derecho a la tutela judicial efectiva tiene carácter irrenunciable e indisponible, ello no impide que pueda reputarse constitucionalmente legítima la voluntaria y transitoria renuncia al ejercicio de las acciones en pos de unos beneficios cuyo eventual logro es para el interesado más ventajoso que el que pudiera resultar de aquel ejercicio” (STC 1/2018, de 11 de enero, FJ 3). Porque —como también se ha explicado— “el arbitraje en cuanto equivalente jurisdiccional, se sustenta en la autonomía de la voluntad de las partes plasmada en el convenio arbitral. Es ‘un medio heterónomo de arreglo de controversias que se fundamenta en la autonomía de la voluntad de los sujetos privados (art. 1.1 CE)’ (STC 176/1996, de 11 de noviembre, FJ 1). De manera que no cabe entender que, por el hecho de someter voluntariamente determinada cuestión litigiosa al arbitraje de un tercero, quede menoscabado y padezca el derecho a la tutela judicial efectiva que la Constitución reconoce a todos. Una vez elegida dicha vía, ello supone tan solo que en la misma ha de alcanzarse el arreglo de las cuestiones litigiosas mediante la decisión del árbitro y que el acceso a la jurisdicción —pero no su ‘equivalente jurisdiccional’ arbitral, SSTC 15/1989, 62/1991 y 174/1995— legalmente establecido será solo el recurso por nulidad del laudo arbitral y no cualquier otro proceso ordinario en el que sea posible volver a plantear el fondo del litigio tal y como antes fue debatido en el proceso arbitral. Pues como ha declarado reiteradamente este tribunal, el derecho a la tutela judicial efectiva no es un derecho de libertad, ejercitable sin más y directamente a partir de la Constitución, sino un derecho prestacional, solo ejercitable por los cauces procesales existentes y con sujeción a su concreta ordenación legal (SSTC 99/1985, 50/1990 y 149/1995, entre otras)” (STC 1/2018, de 11 de enero, FJ 3).</w:t>
      </w:r>
    </w:p>
    <w:p w:rsidR="005728DD" w:rsidRDefault="005728DD" w:rsidP="005728DD">
      <w:pPr>
        <w:pStyle w:val="TextoNormal"/>
      </w:pPr>
    </w:p>
    <w:p w:rsidR="005728DD" w:rsidRDefault="005728DD" w:rsidP="005728DD">
      <w:pPr>
        <w:pStyle w:val="TextoNormal"/>
      </w:pPr>
      <w:r>
        <w:t xml:space="preserve">Es decir, quienes se someten voluntariamente a un procedimiento arbitral tienen derecho, claro está, a que las actuaciones arbitrales sean controladas por los motivos de impugnación legalmente admitidos, pero dicha facultad deriva de la misma configuración legal del arbitraje como forma de heterocomposición de los conflictos entre ellos y no del art. 24 CE </w:t>
      </w:r>
      <w:r>
        <w:lastRenderedPageBreak/>
        <w:t>“cuyas exigencias solo rigen […], en lo que atañe para el proceso —actuaciones jurisdiccionales— en el que se pretende la anulación del laudo y para el órgano judicial que lo resuelve” (STC 9/2005, de 17 de enero, FJ 5).</w:t>
      </w:r>
    </w:p>
    <w:p w:rsidR="005728DD" w:rsidRDefault="005728DD" w:rsidP="005728DD">
      <w:pPr>
        <w:pStyle w:val="TextoNormal"/>
      </w:pPr>
    </w:p>
    <w:p w:rsidR="005728DD" w:rsidRDefault="005728DD" w:rsidP="005728DD">
      <w:pPr>
        <w:pStyle w:val="TextoNormal"/>
      </w:pPr>
      <w:r>
        <w:t>Ahora bien, establecido lo anterior, no cabe duda de que la operación de enjuiciamiento de la motivación de ambos tipos de resoluciones debe valerse de parecidos criterios, de modo que se puede afirmar que sólo a aquel laudo que sea irrazonable, arbitrario o haya incurrido en error patente podrá imputársele un defecto de motivación vulnerador del art. 37.4 LA (y reiteramos, no del art. 24.1 CE).</w:t>
      </w:r>
    </w:p>
    <w:p w:rsidR="005728DD" w:rsidRDefault="005728DD" w:rsidP="005728DD">
      <w:pPr>
        <w:pStyle w:val="TextoNormal"/>
      </w:pPr>
    </w:p>
    <w:p w:rsidR="005728DD" w:rsidRDefault="005728DD" w:rsidP="005728DD">
      <w:pPr>
        <w:pStyle w:val="TextoNormal"/>
      </w:pPr>
      <w:r>
        <w:t xml:space="preserve">Además, hay que poner de manifiesto, especialmente para supuestos como el ahora enjuiciado, que cuando las partes se someten a un arbitraje de equidad, aunque ello no excluya necesariamente la posibilidad de que los árbitros refuercen “su saber y entender” con conocimientos jurídicos, pueden prescindir de las normas jurídicas y recurrir a un razonamiento diferente al que se desprende de su aplicación, porque lo que se resuelve ex </w:t>
      </w:r>
      <w:r w:rsidRPr="005728DD">
        <w:rPr>
          <w:i/>
        </w:rPr>
        <w:t>aequo et bono</w:t>
      </w:r>
      <w:r>
        <w:t xml:space="preserve"> debe ser decidido por consideraciones relativas a lo justo o equitativo. Y aquí también debe quedar meridianamente claro que es el tribunal arbitral el único legitimado para optar por la solución que considere más justa y equitativa, teniendo en cuenta todas las circunstancias del caso, incluso si tal solución es incompatible con la que resultaría de la aplicación de las normas del derecho material. El canon de motivación, en este caso, es más tenue, si bien es imprescindible que se plasmen en el laudo los fundamentos —no necesariamente jurídicos— que permitan conocer cuáles son las razones, incluso sucintamente expuestas, por las que el árbitro se ha inclinado por una de las posiciones opuestas de los litigantes.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al supuesto enjuiciado</w:t>
      </w:r>
      <w:r>
        <w:t>.</w:t>
      </w:r>
    </w:p>
    <w:p w:rsidR="005728DD" w:rsidRDefault="005728DD" w:rsidP="005728DD">
      <w:pPr>
        <w:pStyle w:val="TextoNormal"/>
      </w:pPr>
    </w:p>
    <w:p w:rsidR="005728DD" w:rsidRDefault="005728DD" w:rsidP="005728DD">
      <w:pPr>
        <w:pStyle w:val="TextoNormal"/>
      </w:pPr>
      <w:r>
        <w:t xml:space="preserve">En el recurso de amparo sometido a nuestra valoración, llama la atención de este tribunal que el órgano judicial, </w:t>
      </w:r>
      <w:r w:rsidRPr="005728DD">
        <w:rPr>
          <w:i/>
        </w:rPr>
        <w:t>prima facie</w:t>
      </w:r>
      <w:r>
        <w:t xml:space="preserve">, aclare que el hecho de que el laudo haya decretado la disolución de una sociedad por abuso de derecho de un socio y pérdida de la </w:t>
      </w:r>
      <w:r w:rsidRPr="005728DD">
        <w:rPr>
          <w:i/>
        </w:rPr>
        <w:t>affectio societatis</w:t>
      </w:r>
      <w:r>
        <w:t>, equiparándolo a las causas legales de imposibilidad manifiesta de conseguir el fin social o la paralización de los órganos sociales, por sí solo no infringe el orden público, ya que la jurisprudencia admite en estos casos la disolución de la sociedad, sobre todo en sociedades en las que existen dos socios o dos grupos de socios, como es el caso, enfrentados entre sí, acudiendo incluso directamente, sin la necesidad de convocatoria de junta, a la disolución judicial. En segundo término, que ninguna de las resoluciones judiciales habidas con anterioridad obligaba a las demandantes a perpetuarse como socias en Mazacruz, S.L., y que ningún procedimiento analizó las cuestiones suscitadas en el arbitraje, en concreto la disolución y liquidación de la sociedad, por lo que difícilmente puede hablarse de infracción de la tutela judicial efectiva (art. 24 CE) ante la existencia de resoluciones judiciales firmes, que contradigan los pronunciamientos del laudo.</w:t>
      </w:r>
    </w:p>
    <w:p w:rsidR="005728DD" w:rsidRDefault="005728DD" w:rsidP="005728DD">
      <w:pPr>
        <w:pStyle w:val="TextoNormal"/>
      </w:pPr>
    </w:p>
    <w:p w:rsidR="005728DD" w:rsidRDefault="005728DD" w:rsidP="005728DD">
      <w:pPr>
        <w:pStyle w:val="TextoNormal"/>
      </w:pPr>
      <w:r>
        <w:t xml:space="preserve">Añade el órgano judicial que el hecho de que con la disolución de la mercantil Mazacruz, S.L., desaparezcan los cinco derechos de voto de las participaciones sociales donadas a don Carlos Gutiérrez-Maturana-Larios y Altuna, así como el control societario inherente a esos derechos y el valor económico de esas participaciones, es consecuencia de la disolución de la sociedad y no del incumplimiento de las sentencias firmes que refrendaron aquellos derechos de voto. Reconoce la sentencia impugnada que el laudo arbitral en momento alguno ha afirmado que el señor Gutiérrez-Maturana-Larios y Altuna no deba tener el derecho de </w:t>
      </w:r>
      <w:r>
        <w:lastRenderedPageBreak/>
        <w:t>voto que da el control de la sociedad, sino que el reconocimiento judicial de tal control no ampara el ejercicio abusivo del citado derecho de voto. En resumen, para la Sala de lo Civil y Penal de Tribunal Superior de Justicia de Madrid el laudo impugnado no ha vulnerado el derecho a la intangibilidad de las resoluciones judiciales firmes.</w:t>
      </w:r>
    </w:p>
    <w:p w:rsidR="005728DD" w:rsidRDefault="005728DD" w:rsidP="005728DD">
      <w:pPr>
        <w:pStyle w:val="TextoNormal"/>
      </w:pPr>
    </w:p>
    <w:p w:rsidR="005728DD" w:rsidRDefault="005728DD" w:rsidP="005728DD">
      <w:pPr>
        <w:pStyle w:val="TextoNormal"/>
      </w:pPr>
      <w:r>
        <w:t xml:space="preserve">Es, sin embargo, en la valoración de la suficiencia de la motivación del laudo arbitral y en la valoración de la prueba realizada por el árbitro, donde el órgano judicial estima que se ha producido la violación del orden público </w:t>
      </w:r>
      <w:r w:rsidRPr="005728DD">
        <w:rPr>
          <w:i/>
        </w:rPr>
        <w:t>ex</w:t>
      </w:r>
      <w:r>
        <w:t xml:space="preserve"> art. 41 LA, pues como expresamente afirma: “[T]ras una minuciosa revisión por este tribunal de la motivación del laudo sobre la causa para acordar la disolución de Mazacruz —la conducta abusiva en derecho de don Carlos Gutiérrez-Maturana-Larios y Altuna— llegamos a la conclusión alegada por la demandante, que no se encuentra suficientemente motivado en equidad un laudo que no pondera toda la prueba practicada en el arbitraje, en concreto la relativa a la extralimitación en el ejercicio del derecho por parte de la demandante, causa de disolución de la misma, ya que lo único que se vislumbra es que el abuso en sí mismo deriva, exclusivamente, del ejercicio del voto múltiple por el demandante, cuando el mismo —con mayor o menor acierto, lo que no le corresponde valorar al árbitro, ni a este tribunal— ha sido confirmado en distintos procedimientos judiciales, haciendo por tanto caso omiso el laudo de los litigios habidos al respecto y resueltos con sentencias firmes”.</w:t>
      </w:r>
    </w:p>
    <w:p w:rsidR="005728DD" w:rsidRDefault="005728DD" w:rsidP="005728DD">
      <w:pPr>
        <w:pStyle w:val="TextoNormal"/>
      </w:pPr>
    </w:p>
    <w:p w:rsidR="005728DD" w:rsidRDefault="005728DD" w:rsidP="005728DD">
      <w:pPr>
        <w:pStyle w:val="TextoNormal"/>
      </w:pPr>
      <w:r>
        <w:t>Deteniéndonos ahora en esta afirmación realizada por el órgano judicial, antes de seguir adelante con el resto de los argumentos ofrecidos por la sentencia impugnada, conviene dejar sentado que el art. 37.4 LA únicamente dispone que “el laudo será siempre motivado”, pero no impone expresamente que el árbitro deba decidir sobre todos los argumentos presentados por las partes o que deba indicar las pruebas en las que se ha basado para tomar su decisión sobre los hechos, o motivar su preferencia de una prueba sobre otra. Las únicas precisiones legales sobre el contenido del laudo que se encuentran en la Ley de arbitraje son negativas, en cuanto se refieren a las limitaciones que se imponen a la decisión arbitral, derivadas de lo establecido en el art. 41.1 LA sobre los motivos de anulación del laudo, particularmente no resolver sobre cuestiones no sometidas a su decisión o no susceptibles de arbitraje, y no contrariar el orden público. Es decir, de la regulación legal tan solo se sigue que el laudo ha de contener la exposición de los fundamentos que sustentan la decisión, pero no que la motivación deba ser convincente o suficiente, o que deba extenderse necesariamente a determinados extremos. No cabe deducir de la previsión legal la necesidad de que el árbitro analice en el laudo todas las pruebas y argumentos de las partes, sino tan solo que consten las razones de la decisión, sin que tampoco se obligue a que tales razones deban ser correctas, según el criterio del juez que deba resolver su impugnación.</w:t>
      </w:r>
    </w:p>
    <w:p w:rsidR="005728DD" w:rsidRDefault="005728DD" w:rsidP="005728DD">
      <w:pPr>
        <w:pStyle w:val="TextoNormal"/>
      </w:pPr>
    </w:p>
    <w:p w:rsidR="005728DD" w:rsidRDefault="005728DD" w:rsidP="005728DD">
      <w:pPr>
        <w:pStyle w:val="TextoNormal"/>
      </w:pPr>
      <w:r>
        <w:t xml:space="preserve">Para respaldar esta conclusión sobre la extensión del deber de motivación del laudo, basta considerar que, aunque, como hemos señalado anteriormente, ese deber de motivación de los laudos es un aspecto de pura determinación legal, y que no deriva del art. 24.1 CE, quedaría fuera de toda lógica entender que esa escueta previsión legal contiene un mandato más exigente que el que impone a los órganos judiciales, en cuanto al deber de motivación de sus resoluciones, el derecho fundamental a la tutela judicial efectiva sin indefensión reconocido en dicho precepto constitucional, en la medida que para la satisfacción de ese derecho no se les exige “un razonamiento exhaustivo y pormenorizado de todos los aspectos y perspectivas que las partes puedan tener de la cuestión que se debate, sino que deben </w:t>
      </w:r>
      <w:r>
        <w:lastRenderedPageBreak/>
        <w:t xml:space="preserve">considerarse suficientemente motivadas aquellas resoluciones judiciales que vengan apoyadas en razones que permitan conocer cuáles han sido los criterios jurídicos esenciales fundamentadores de la decisión o, lo que es lo mismo, la </w:t>
      </w:r>
      <w:r w:rsidRPr="005728DD">
        <w:rPr>
          <w:i/>
        </w:rPr>
        <w:t>ratio decidendi</w:t>
      </w:r>
      <w:r>
        <w:t>, de manera que no existe un derecho fundamental del justiciable a una determinada extensión de la motivación judicial” (entre otras muchas, STC 3/2019, de 14 de enero, FJ 6). Y tampoco se incluye en el derecho a la tutela judicial efectiva un derecho al acierto judicial en la selección, interpretación y aplicación de las normas, ya que, “según es consolidada doctrina constitucional, el derecho reconocido en el art. 24.1 CE no garantiza la corrección jurídica de la interpretación y aplicación del Derecho llevada a cabo por los jueces y tribunales” (STC 46/2020, de 15 de junio, FJ 3).</w:t>
      </w:r>
    </w:p>
    <w:p w:rsidR="005728DD" w:rsidRDefault="005728DD" w:rsidP="005728DD">
      <w:pPr>
        <w:pStyle w:val="TextoNormal"/>
      </w:pPr>
    </w:p>
    <w:p w:rsidR="005728DD" w:rsidRDefault="005728DD" w:rsidP="005728DD">
      <w:pPr>
        <w:pStyle w:val="TextoNormal"/>
      </w:pPr>
      <w:r>
        <w:t xml:space="preserve">Una vez efectuada esta precisión inicial, y partiendo de la doctrina que hemos recordado en el fundamento anterior, debemos dilucidar ahora si la motivación dada por el órgano judicial para anular el laudo arbitral es conforme con nuestro canon de motivación </w:t>
      </w:r>
      <w:r w:rsidRPr="005728DD">
        <w:rPr>
          <w:i/>
        </w:rPr>
        <w:t>ex</w:t>
      </w:r>
      <w:r>
        <w:t xml:space="preserve"> art. 24.1 CE. Dicho de otra manera, al igual que en otros supuestos semejantes, debe insistirse también ahora en que únicamente nos corresponde comprobar si la interpretación efectuada por las resoluciones impugnadas es o no respetuosa con el derecho a la tutela judicial efectiva de las demandantes de amparo y, en particular, como antes se ha subrayado, si esa interpretación revela un rigor o formalismo exagerado en relación con los fines que trata de preservar y el sacrificio que comporta y en, consecuencia, acaba por convertir en impracticable el arbitraje como modo heterónomo de resolución de conflictos, al que —recordemos de nuevo— es consustancial la mínima intervención de los órganos jurisdiccionales por virtud y a favor de la autonomía de la voluntad de las partes, que han decidido sustraer de la jurisdicción la resolución de sus posibles controversias y deferir a los árbitros el conocimiento y solución de sus conflictos, que desde ese momento quedan vedados a la jurisdicción por expresa voluntad de las partes.</w:t>
      </w:r>
    </w:p>
    <w:p w:rsidR="005728DD" w:rsidRDefault="005728DD" w:rsidP="005728DD">
      <w:pPr>
        <w:pStyle w:val="TextoNormal"/>
      </w:pPr>
    </w:p>
    <w:p w:rsidR="005728DD" w:rsidRDefault="005728DD" w:rsidP="005728DD">
      <w:pPr>
        <w:pStyle w:val="TextoNormal"/>
      </w:pPr>
      <w:r>
        <w:t>A juicio de este tribunal, la decisión impugnada es, cuando menos, irrazonable y vulnera el derecho a la tutela judicial efectiva sin indefensión (art. 24.1 CE). En efecto, como ponen de manifiesto las demandantes de amparo y el fiscal, el órgano judicial al analizar el laudo concluye que los argumentos ofrecidos por el árbitro para imputarle al socio mayoritario una conducta abusiva son insuficientes por no haber ponderado toda la prueba practicada, especialmente, por no haber tenido en consideración los procesos judiciales preexistentes entre las partes, en los que se confirmó el derecho del socio al voto múltiple. Sin embargo, el laudo no niega en momento alguno tal derecho reforzado de participación, sino que afirma que se hizo un uso torticero del mismo, discrepando, en definitiva, de los motivos del árbitro para decidir como lo hizo. Del mismo modo, la Sala de lo Civil y Penal del Tribunal Superior de Justicia de Madrid no comparte la valoración de la prueba realizada por el árbitro, ni respecto a las previas decisiones judiciales relativas al derecho de voto reforzado, ni respecto a la falta de impugnación por las demandantes de amparo de aquellos acuerdos sociales que consideraban lesivos. Ahora bien, que no se obtengan las mismas conclusiones de la prueba practicada no significa otra cosa que la existencia de una mera discrepancia de pareceres entre el árbitro y el órgano judicial, pero en absoluto puede hablarse de una vulneración del deber de motivar el laudo o de una decisión irracional por parte de quien fue encargado de dirimir la controversia. De los autos queda acreditado con claridad que el árbitro practicó y valoró toda la prueba propuesta y extrajo determinadas consecuencias, lo que, como acertadamente recuerda el Ministerio Fiscal, pertenece a la exclusiva íntima con</w:t>
      </w:r>
      <w:r>
        <w:lastRenderedPageBreak/>
        <w:t>vicción de quien debe acometer dicha labor, no pudiendo tacharse de insuficiente, ni irracional o ilógica. En definitiva, puede afirmarse con la sola lectura del laudo arbitral impugnado que en él se contiene una suficiente y lógica motivación, no apreciándose algún tipo de quiebra, incoherencia o contradicción.</w:t>
      </w:r>
    </w:p>
    <w:p w:rsidR="005728DD" w:rsidRDefault="005728DD" w:rsidP="005728DD">
      <w:pPr>
        <w:pStyle w:val="TextoNormal"/>
      </w:pPr>
    </w:p>
    <w:p w:rsidR="005728DD" w:rsidRDefault="005728DD" w:rsidP="005728DD">
      <w:pPr>
        <w:pStyle w:val="TextoNormal"/>
      </w:pPr>
      <w:r>
        <w:t>En este contexto, este tribunal entiende que la decisión del órgano judicial de anular el laudo por insuficiente motivación (art. 37 LA), fue contraria al canon constitucional de razonabilidad de las resoluciones judiciales (art. 24.1 CE), conclusión que se refuerza además por el comportamiento de la Sala, que entró en el fondo del asunto sobrepasando los límites constitucionales del deber de motivación y congruencia. Con tal actuar la Sala en la sentencia de 8 de enero de 2018, ahora recurrida, ha anulado un laudo arbitral que, sin reproche formal alguno, entiende sin embargo que es contrario al orden público por no haber extraído determinadas consecuencias jurídicas de la prueba practicada. O, dicho de otro modo, por haber concluido que el comportamiento de don Carlos Gutiérrez-Maturana-Larios y Altuna fue abusivo en el ejercicio de su derecho de voto reforzado, pues de tal prueba se debió deducir lo contrario y ello supone —a decir de la Sala— una insuficiente motivación del laudo vulneradora del orden público.</w:t>
      </w:r>
    </w:p>
    <w:p w:rsidR="005728DD" w:rsidRDefault="005728DD" w:rsidP="005728DD">
      <w:pPr>
        <w:pStyle w:val="TextoNormal"/>
      </w:pPr>
    </w:p>
    <w:p w:rsidR="005728DD" w:rsidRDefault="005728DD" w:rsidP="005728DD">
      <w:pPr>
        <w:pStyle w:val="TextoNormal"/>
      </w:pPr>
      <w:r>
        <w:t xml:space="preserve">Como puede apreciarse, en el razonamiento de la sentencia impugnada tan solo se observa su discrepancia en la valoración jurídica que el árbitro ha realizado y, por ello, una vez más, habrá de recordarse que la anulación solo puede referirse a errores </w:t>
      </w:r>
      <w:r w:rsidRPr="005728DD">
        <w:rPr>
          <w:i/>
        </w:rPr>
        <w:t>in procedendo</w:t>
      </w:r>
      <w:r>
        <w:t xml:space="preserve">, y no puede conducir a revisar la aplicación del Derecho sustantivo por los árbitros, es decir, que las resoluciones arbitrales solo son susceptibles de anularse en función de la inobservancia de las garantías de la instancia arbitral. Igualmente hemos de reiterar que resulta vulnerador del art. 24 CE, por manifiesta irrazonabilidad, extender la noción de orden público como motivo de anulación del laudo, más allá de los límites definidos por los derechos fundamentales, así como que le está vedado al órgano judicial revisar la prueba realizada por los árbitros o la valoración de la misma. Teniendo esto en consideración, resulta manifiestamente irrazonable y claramente arbitrario pretender incluir en la noción de orden público </w:t>
      </w:r>
      <w:r w:rsidRPr="005728DD">
        <w:rPr>
          <w:i/>
        </w:rPr>
        <w:t>ex</w:t>
      </w:r>
      <w:r>
        <w:t xml:space="preserve"> art. 41.1 f) LA lo que simplemente constituye una pura revisión de la valoración de la prueba realizada motivadamente por el árbitro, porque a través de esta revisión probatoria lo que se está operando es una auténtica mutación de la acción de anulación, que es un remedio extremo y excepcional que no puede fundarse en infracciones puramente formales, sino que debe servir únicamente para remediar situaciones de indefensión efectiva y real o vulneraciones de derechos fundamentales o salvaguardar el orden público español, lo que excluye que las infracciones de procedimiento, sin afectación material de los derechos o situación jurídica de las partes, puedan servir de excusa para lograr la anulación de laudos.</w:t>
      </w:r>
    </w:p>
    <w:p w:rsidR="005728DD" w:rsidRDefault="005728DD" w:rsidP="005728DD">
      <w:pPr>
        <w:pStyle w:val="TextoNormal"/>
      </w:pPr>
    </w:p>
    <w:p w:rsidR="005728DD" w:rsidRDefault="005728DD" w:rsidP="005728DD">
      <w:pPr>
        <w:pStyle w:val="TextoNormal"/>
      </w:pPr>
      <w:r>
        <w:t>Por consiguiente, una vez determinada la inadecuación de la motivación contenida en la resolución impugnada en relación con los límites propios de la acción de anulación del laudo, procede otorgar el amparo y reconocer el derecho de las recurrentes a la tutela judicial efectiva sin indefensión, por lesión del art. 24 CE, debiéndose retrotraer las actuaciones al momento anterior a dictarse la sentencia de 8 de enero de 2018, recaída en el procedimiento de anulación de laudo arbitral examinado en la presente resolución, para que por la Sala se proceda a dictar una nueva resolución que resulte respetuosa con el derecho fundamental vulnerado.</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Bárbara Gutiérrez-Maturana Kalachnikoff, doña Bárbara Gutiérrez-Maturana-Larios Kalachnikoff y doña Christina Gutiérrez-Maturana-Larios Kalachnikoff, y, en consecuencia:</w:t>
      </w:r>
    </w:p>
    <w:p w:rsidR="005728DD" w:rsidRDefault="005728DD" w:rsidP="005728DD">
      <w:pPr>
        <w:pStyle w:val="TextoNormal"/>
      </w:pPr>
    </w:p>
    <w:p w:rsidR="005728DD" w:rsidRDefault="005728DD" w:rsidP="005728DD">
      <w:pPr>
        <w:pStyle w:val="TextoNormal"/>
      </w:pPr>
      <w:r>
        <w:t>1º Declarar vulnerado el derecho a la tutela judicial efectiva sin indefensión (art. 24.1 CE) de las demandantes de amparo.</w:t>
      </w:r>
    </w:p>
    <w:p w:rsidR="005728DD" w:rsidRDefault="005728DD" w:rsidP="005728DD">
      <w:pPr>
        <w:pStyle w:val="TextoNormal"/>
      </w:pPr>
    </w:p>
    <w:p w:rsidR="005728DD" w:rsidRDefault="005728DD" w:rsidP="005728DD">
      <w:pPr>
        <w:pStyle w:val="TextoNormal"/>
      </w:pPr>
      <w:r>
        <w:t>2º Restablecer a las recurrentes en sus derechos y, a tal fin, declarar la nulidad de la sentencia de 8 de enero de 2018 y del auto de 22 de mayo de 2018, ambos de la Sala de lo Civil y Penal del Tribunal Superior de Justicia de Madrid, dictados en el procedimiento de nulidad de laudo arbitral núm. 52-2017.</w:t>
      </w:r>
    </w:p>
    <w:p w:rsidR="005728DD" w:rsidRDefault="005728DD" w:rsidP="005728DD">
      <w:pPr>
        <w:pStyle w:val="TextoNormal"/>
      </w:pPr>
    </w:p>
    <w:p w:rsidR="005728DD" w:rsidRDefault="005728DD" w:rsidP="005728DD">
      <w:pPr>
        <w:pStyle w:val="TextoNormal"/>
      </w:pPr>
      <w:r>
        <w:t>3º Retrotraer las actuaciones al momento anterior al dictado de la primera resolución citada para que se resuelva de forma respetuosa con los derechos fundamentales reconocidos.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1" w:name="SENTENCIA_2021_18"/>
      <w:r>
        <w:lastRenderedPageBreak/>
        <w:t>SENTENCIA 18/2021, de 15 de febrero de 2021</w:t>
      </w:r>
    </w:p>
    <w:bookmarkEnd w:id="21"/>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ECLI:ES:TC:2021:18</w:t>
      </w:r>
    </w:p>
    <w:p w:rsidR="005728DD" w:rsidRDefault="005728DD" w:rsidP="005728DD">
      <w:pPr>
        <w:pStyle w:val="TextoNormalCentrado"/>
      </w:pPr>
    </w:p>
    <w:p w:rsidR="005728DD" w:rsidRDefault="005728DD" w:rsidP="005728DD">
      <w:pPr>
        <w:pStyle w:val="SntesisDescriptiva"/>
      </w:pPr>
      <w:r>
        <w:t>Recurso de amparo 3966-2018. Promovido por don Simón Viñals Pérez respecto de la sentencia de la Sala de lo Penal del Tribunal Supremo que le condenó por un delito de homicidio imprudente.</w:t>
      </w:r>
    </w:p>
    <w:p w:rsidR="005728DD" w:rsidRDefault="005728DD" w:rsidP="005728DD">
      <w:pPr>
        <w:pStyle w:val="SntesisDescriptiva"/>
      </w:pPr>
    </w:p>
    <w:p w:rsidR="005728DD" w:rsidRDefault="005728DD" w:rsidP="005728DD">
      <w:pPr>
        <w:pStyle w:val="SntesisAnaltica"/>
      </w:pPr>
      <w:r>
        <w:t>Supuesta vulneración de los derechos a la tutela judicial efectiva, a un proceso con todas las garantías y a la presunción de inocencia: condena en casación que no llevó a cabo una modificación del relato de hechos probados ni una nueva valoración de la prueba y que hace uso de la teoría del incremento del riesgo como modelo de imputación del resultado en los casos de imprudencias médicas. Voto particular.</w:t>
      </w:r>
    </w:p>
    <w:p w:rsidR="005728DD" w:rsidRDefault="005728DD" w:rsidP="005728DD">
      <w:pPr>
        <w:pStyle w:val="SntesisAnaltica"/>
      </w:pPr>
    </w:p>
    <w:p w:rsidR="005728DD" w:rsidRDefault="005728DD" w:rsidP="005728DD">
      <w:pPr>
        <w:pStyle w:val="Extracto"/>
      </w:pPr>
      <w:r>
        <w:t>1.</w:t>
      </w:r>
      <w:r>
        <w:tab/>
        <w:t>Doctrina constitucional sobre las garantías procedimentales de la condena o agravación en segunda instancia [FJ 3].</w:t>
      </w:r>
    </w:p>
    <w:p w:rsidR="005728DD" w:rsidRDefault="005728DD" w:rsidP="005728DD">
      <w:pPr>
        <w:pStyle w:val="Extracto"/>
      </w:pPr>
    </w:p>
    <w:p w:rsidR="005728DD" w:rsidRDefault="005728DD" w:rsidP="005728DD">
      <w:pPr>
        <w:pStyle w:val="Extracto"/>
      </w:pPr>
      <w:r>
        <w:t>2.</w:t>
      </w:r>
      <w:r>
        <w:tab/>
        <w:t>Vulnera el derecho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la que se desarrolle la necesaria actividad probatoria con las garantías de publicidad, inmediación y contradicción que le son propias y se dé al acusado la posibilidad de defenderse exponiendo su testimonio personal [FJ 3].</w:t>
      </w:r>
    </w:p>
    <w:p w:rsidR="005728DD" w:rsidRDefault="005728DD" w:rsidP="005728DD">
      <w:pPr>
        <w:pStyle w:val="Extracto"/>
      </w:pPr>
    </w:p>
    <w:p w:rsidR="005728DD" w:rsidRDefault="005728DD" w:rsidP="005728DD">
      <w:pPr>
        <w:pStyle w:val="Extracto"/>
      </w:pPr>
      <w:r>
        <w:t>3.</w:t>
      </w:r>
      <w:r>
        <w:tab/>
        <w:t>No vulnera el derecho a un proceso con todas las garantías la condena o la agravación de la situación que, a pesar de no haberse celebrado vista pública, tenga origen en una controversia estrictamente jurídica entre los órganos judiciales de primera y segunda instancia en la que no estén implicadas las garantías de publicidad, inmediación y contradicción y para cuya resolución no resulte necesario oír al acusado. Ninguna incidencia podría tener la audiencia en la decisión adoptada y la posición de la parte puede entenderse debidamente garantizada por la presencia de su abogado [FJ 3].</w:t>
      </w:r>
    </w:p>
    <w:p w:rsidR="005728DD" w:rsidRDefault="005728DD" w:rsidP="005728DD">
      <w:pPr>
        <w:pStyle w:val="Extracto"/>
      </w:pPr>
    </w:p>
    <w:p w:rsidR="005728DD" w:rsidRDefault="005728DD" w:rsidP="005728DD">
      <w:pPr>
        <w:pStyle w:val="Extracto"/>
      </w:pPr>
      <w:r>
        <w:t>4.</w:t>
      </w:r>
      <w:r>
        <w:tab/>
        <w:t xml:space="preserve">Ha de distinguirse entre el derecho a la presunción de inocencia y el principio </w:t>
      </w:r>
      <w:r w:rsidRPr="005728DD">
        <w:rPr>
          <w:i/>
        </w:rPr>
        <w:t>in dubio pro reo</w:t>
      </w:r>
      <w:r>
        <w:t>, situando a este último en el momento de la valoración o apreciación probatoria, de modo que solo entra en juego cuando existe una duda racional sobre la real concurrencia de los elementos objetivos y subjetivos que integran el tipo penal, aunque se haya practicado una prueba válida (SSTC 44/1989 y 16/2000) [FJ 5].</w:t>
      </w:r>
    </w:p>
    <w:p w:rsidR="005728DD" w:rsidRDefault="005728DD" w:rsidP="005728DD">
      <w:pPr>
        <w:pStyle w:val="Extracto"/>
      </w:pPr>
    </w:p>
    <w:p w:rsidR="005728DD" w:rsidRDefault="005728DD" w:rsidP="005728DD">
      <w:pPr>
        <w:pStyle w:val="Extracto"/>
      </w:pPr>
      <w:r>
        <w:t>5.</w:t>
      </w:r>
      <w:r>
        <w:tab/>
        <w:t xml:space="preserve">La regla de juicio que impone el derecho a la presunción de inocencia exige, como presupuesto de una condena penal conforme con el art. 24.2 CE, la certeza sobre la culpabilidad del imputado, entendida como ausencia de duda razonable respecto a la concurrencia de todos los extremos relevantes para la condena; la duda razonable en términos objetivos (o mejor, intersubjetivos) implica una valoración </w:t>
      </w:r>
      <w:r>
        <w:lastRenderedPageBreak/>
        <w:t>probatoria deficiente, la ausencia de prueba de cargo suficiente y la vulneración del derecho a la presunción de inocencia [FJ 5].</w:t>
      </w:r>
    </w:p>
    <w:p w:rsidR="005728DD" w:rsidRDefault="005728DD" w:rsidP="005728DD">
      <w:pPr>
        <w:pStyle w:val="Extracto"/>
      </w:pPr>
    </w:p>
    <w:p w:rsidR="005728DD" w:rsidRDefault="005728DD" w:rsidP="005728DD">
      <w:pPr>
        <w:pStyle w:val="Extracto"/>
      </w:pPr>
      <w:r>
        <w:t>6.</w:t>
      </w:r>
      <w:r>
        <w:tab/>
        <w:t xml:space="preserve">Desde la perspectiva del art. 24.2 CE, no hay diferencia cualitativa entre una absolución resultante de una constatación incontestable de la inocencia del acusado y una absolución fundamentada en la ausencia de pruebas suficientes para enervar la presunción de inocencia —por existir una duda razonable— (SSTC 8/2017, 10/2017, 85/2019 y STEDH de 16 de febrero de 2016 asunto </w:t>
      </w:r>
      <w:r w:rsidRPr="005728DD">
        <w:rPr>
          <w:i/>
        </w:rPr>
        <w:t>Vlieeland Boddy y Marcelo Lanni c. España</w:t>
      </w:r>
      <w:r>
        <w:t>, § 40) [FJ 5].</w:t>
      </w:r>
    </w:p>
    <w:p w:rsidR="005728DD" w:rsidRDefault="005728DD" w:rsidP="005728DD">
      <w:pPr>
        <w:pStyle w:val="Extracto"/>
      </w:pPr>
    </w:p>
    <w:p w:rsidR="005728DD" w:rsidRDefault="005728DD" w:rsidP="005728DD">
      <w:pPr>
        <w:pStyle w:val="Extracto"/>
      </w:pPr>
      <w:r>
        <w:t>7.</w:t>
      </w:r>
      <w:r>
        <w:tab/>
        <w:t xml:space="preserve">No puede vincularse al derecho a la presunción de inocencia un principio </w:t>
      </w:r>
      <w:r w:rsidRPr="005728DD">
        <w:rPr>
          <w:i/>
        </w:rPr>
        <w:t xml:space="preserve">favor rei </w:t>
      </w:r>
      <w:r>
        <w:t xml:space="preserve">en la interpretación de las normas penales, de forma que hayan de dirimirse la comprensión de preceptos o solventarse las dudas de subsunción con un criterio </w:t>
      </w:r>
      <w:r w:rsidRPr="005728DD">
        <w:rPr>
          <w:i/>
        </w:rPr>
        <w:t>pro reo</w:t>
      </w:r>
      <w:r>
        <w:t>. Las opciones interpretativas deben decantarse por una hermenéutica que respete las exigencias de razonabilidad gramatical, metodológica y axiológica que impone el derecho a la legalidad penal del art. 25.1 CE (SSTC 137/1997, 189/1998, 146/2017 o 1/2020) [FJ 5].</w:t>
      </w:r>
    </w:p>
    <w:p w:rsidR="005728DD" w:rsidRDefault="005728DD" w:rsidP="005728DD">
      <w:pPr>
        <w:pStyle w:val="Extracto"/>
      </w:pPr>
    </w:p>
    <w:p w:rsidR="005728DD" w:rsidRDefault="005728DD" w:rsidP="005728DD">
      <w:pPr>
        <w:pStyle w:val="Extracto"/>
      </w:pPr>
      <w:r>
        <w:t>8.</w:t>
      </w:r>
      <w:r>
        <w:tab/>
        <w:t>Toda norma penal admite diversas interpretaciones como consecuencia de la vaguedad del lenguaje, del carácter genérico de las normas y su inserción en un sistema normativo complejo (SSTC 189/1998, 42/1999); la función de interpretar y aplicar la legislación, subsumiendo en las normas los hechos de los procesos, corresponde en exclusiva a los jueces y tribunales</w:t>
      </w:r>
      <w:r w:rsidRPr="005728DD">
        <w:rPr>
          <w:i/>
        </w:rPr>
        <w:t xml:space="preserve"> ex </w:t>
      </w:r>
      <w:r>
        <w:t>art. 117.3 CE, sin que pueda este Tribunal sustituirlos en dicha tarea, ni determinar la interpretación de la norma más correcta, ni qué política criminal concreta debe orientar esa selección (SSTC 137/1997  o 34/2009) [FJ 5].</w:t>
      </w:r>
    </w:p>
    <w:p w:rsidR="005728DD" w:rsidRDefault="005728DD" w:rsidP="005728DD">
      <w:pPr>
        <w:pStyle w:val="Extracto"/>
      </w:pPr>
    </w:p>
    <w:p w:rsidR="005728DD" w:rsidRDefault="005728DD" w:rsidP="005728DD">
      <w:pPr>
        <w:pStyle w:val="Extracto"/>
      </w:pPr>
      <w:r>
        <w:t>9.</w:t>
      </w:r>
      <w:r>
        <w:tab/>
        <w:t>La teoría del aumento del riesgo no atiende de principio a la hipotética conducta correcta, sino que se fija en si la conducta imprudente ha incrementado el riesgo por encima del permitido, lo que, en el caso de la omisión, supone que ha disminuido las posibilidades de salvación respecto a las que incorpora la acción debida [FJ 6].</w:t>
      </w:r>
    </w:p>
    <w:p w:rsidR="005728DD" w:rsidRDefault="005728DD" w:rsidP="005728DD">
      <w:pPr>
        <w:pStyle w:val="Extracto"/>
      </w:pPr>
    </w:p>
    <w:p w:rsidR="005728DD" w:rsidRDefault="005728DD" w:rsidP="005728DD">
      <w:pPr>
        <w:pStyle w:val="Extracto"/>
      </w:pPr>
      <w:r>
        <w:t>10.</w:t>
      </w:r>
      <w:r>
        <w:tab/>
        <w:t>No incurre en vulneración del derecho a la presunción de inocencia el órgano judicial que acoge la teoría del incremento del riesgo como criterio de imputación objetiva del resultado y que examina los hechos probados fijados por el tribunal de primera instancia tras una valoración razonable, tanto de la prueba, como de los requisitos para imputar el resultado a la previa omisión imprudente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lastRenderedPageBreak/>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3966-2018, promovido por don Simón Viñals Pérez, representado por la procuradora de los tribunales doña Rosa María Martínez Virgili y asistido por el abogado don José Fernando Crespo Torres, contra la providencia de la Sala Segunda del Tribunal Supremo de 29 de mayo de 2018, por la que se inadmite el incidente de nulidad de actuaciones promovido por el demandante frente a la sentencia de la Sala Segunda del Tribunal Supremo de 11 de diciembre de 2017, dictada en el recurso de casación núm. 2019-2016, que revocó la sentencia absolutoria de la Sección Séptima de la Audiencia Provincial de Madrid de 21 de septiembre de 2016, dictada en el procedimiento abreviado núm. 970-2015, y condenó al recurrente como autor de un delito de homicidio imprudente. Han comparecido y formulado alegaciones don José Arce San José, doña Isabel de la Fuente Morales y doña Verónica Arce de la Fuente, representados por la procuradora de los tribunales doña María Soledad Castañeda González y asistidos por la letrada doña María José Siñeriz Terrón.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11 de julio de 2018, la procuradora de los tribunales doña Rosa María Martínez Virgili, en nombre y representación de don Simón Viñals Pérez y bajo la dirección del abogado don José Fernando Crespo Torres, interpuso recurso de amparo contra las resoluciones que se mencionan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de los que trae causa la demanda de amparo son los siguientes:</w:t>
      </w:r>
    </w:p>
    <w:p w:rsidR="005728DD" w:rsidRDefault="005728DD" w:rsidP="005728DD">
      <w:pPr>
        <w:pStyle w:val="TextoNormal"/>
      </w:pPr>
    </w:p>
    <w:p w:rsidR="005728DD" w:rsidRDefault="005728DD" w:rsidP="005728DD">
      <w:pPr>
        <w:pStyle w:val="TextoNormal"/>
      </w:pPr>
      <w:r>
        <w:t>a) El recurrente fue absuelto de los delitos por los que venía siendo acusado por sentencia de la Sección Séptima de la Audiencia Provincial de Madrid de 21 de septiembre de 2016, dictada en el procedimiento abreviado núm. 970-2015.</w:t>
      </w:r>
    </w:p>
    <w:p w:rsidR="005728DD" w:rsidRDefault="005728DD" w:rsidP="005728DD">
      <w:pPr>
        <w:pStyle w:val="TextoNormal"/>
      </w:pPr>
    </w:p>
    <w:p w:rsidR="005728DD" w:rsidRDefault="005728DD" w:rsidP="005728DD">
      <w:pPr>
        <w:pStyle w:val="TextoNormal"/>
      </w:pPr>
      <w:r>
        <w:t>(i) En lo que al recurrente se refiere y es aquí relevante, los hechos probados narran que la noche del 31 de octubre al 1 de noviembre de 2012 se celebraba una fiesta en el Pabellón Madrid Arena en la que, por una concurrencia de causas (sobreaforo, cierre de cinco de ocho vomitorios que unen la pista central con el pasillo perimetral y son vías de evacuación, apertura de portones para la entrada masiva de público e incorrecta gestión de flujos de público en las escaleras entre diversos niveles), se produjo una avalancha que sepultó a algunos asistentes debajo de hasta ocho personas. Entre las víctimas se hallaba doña Cristina Arce de la Fuente, joven de dieciocho años que había acudido a la fiesta.</w:t>
      </w:r>
    </w:p>
    <w:p w:rsidR="005728DD" w:rsidRDefault="005728DD" w:rsidP="005728DD">
      <w:pPr>
        <w:pStyle w:val="TextoNormal"/>
      </w:pPr>
    </w:p>
    <w:p w:rsidR="005728DD" w:rsidRDefault="005728DD" w:rsidP="005728DD">
      <w:pPr>
        <w:pStyle w:val="TextoNormal"/>
      </w:pPr>
      <w:r>
        <w:lastRenderedPageBreak/>
        <w:t>Se explica que, habiéndose producido la avalancha sobre las 3:35 horas, “las tareas de rescate de las víctimas que quedaron atrapadas en el vomitorio se realizaron de manera absolutamente descoordinada, lenta y poco eficaz, colaborando en las mismas parte de los propios asistentes, consiguiendo entre todos evacuar a todas las personas atrapadas alrededor de las 3:55 horas, veinte minutos después de que se produjera el incidente”. Resultaron lesionados de diversa entidad veintinueve jóvenes que se encontraron en el interior del vomitorio y de extrema gravedad cinco jóvenes, que posteriormente fallecieron.</w:t>
      </w:r>
    </w:p>
    <w:p w:rsidR="005728DD" w:rsidRDefault="005728DD" w:rsidP="005728DD">
      <w:pPr>
        <w:pStyle w:val="TextoNormal"/>
      </w:pPr>
    </w:p>
    <w:p w:rsidR="005728DD" w:rsidRDefault="005728DD" w:rsidP="005728DD">
      <w:pPr>
        <w:pStyle w:val="TextoNormal"/>
      </w:pPr>
      <w:r>
        <w:t>Dos de las jóvenes fueron atendidas en el exterior del recinto por el Samur, consiguiendo recuperarlas de la parada cardiorrespiratoria, si bien ambas murieron días después. Las otras tres jóvenes, entre las que se encontraba doña Cristina Arce, fueron trasladadas de manera sucesiva y casi inmediata entre las 3:55 y las 4:00 horas del vomitorio en el que habían quedado aplastadas por multitud de gente a la enfermería del pabellón. El relato consigna que “[a] la llegada a la enfermería, lejos de actuar con rapidez y hacer todo lo que estaba a su alcance, Simón Viñals Pérez y Carlos Viñals Larruga, los cuales eran los médicos del servicio sanitario del evento y el primero el responsable del mismo, no realizaron un correcto diagnóstico de que, al menos Cristina Arce [y otra víctima] se encontraban en situación de parada cardiorrespiratoria ni le practicaron a las tres jóvenes una adecuada reanimación cardiopulmonar para intentar que se recuperaran”.</w:t>
      </w:r>
    </w:p>
    <w:p w:rsidR="005728DD" w:rsidRDefault="005728DD" w:rsidP="005728DD">
      <w:pPr>
        <w:pStyle w:val="TextoNormal"/>
      </w:pPr>
    </w:p>
    <w:p w:rsidR="005728DD" w:rsidRDefault="005728DD" w:rsidP="005728DD">
      <w:pPr>
        <w:pStyle w:val="TextoNormal"/>
      </w:pPr>
      <w:r>
        <w:t>Se recoge que a doña Cristina Arce la reconoció en primer lugar un técnico sanitario, que constató que se encontraba en parada cardiorrespiratoria, por lo que se dirigió rápidamente a su ambulancia para llevar a la enfermería un desfibrilador. Mientras tanto, el doctor Viñals realizó masaje cardíaco a la herida, y, cuando regresó el técnico con el desfibrilador, le aplicó tres descargas, “siguiendo para ello las instrucciones del técnico sanitario puesto que Simón Viñals desconocía, pese a ser médico, el funcionamiento del desfibrilador”.</w:t>
      </w:r>
    </w:p>
    <w:p w:rsidR="005728DD" w:rsidRDefault="005728DD" w:rsidP="005728DD">
      <w:pPr>
        <w:pStyle w:val="TextoNormal"/>
      </w:pPr>
    </w:p>
    <w:p w:rsidR="005728DD" w:rsidRDefault="005728DD" w:rsidP="005728DD">
      <w:pPr>
        <w:pStyle w:val="TextoNormal"/>
      </w:pPr>
      <w:r>
        <w:t>Tras ello, continúa el relato fáctico, don Simón Viñals dejó de asistir a doña Cristina Arce, al entender, erróneamente, que la joven había fallecido, “puesto que, cuando llegó el Samur, Cristina Arce se encontraba en fibrilación ventricular, no pudiendo ser recuperada pese a que los facultativos del Samur, que llegaron sobre las 4:20 horas, le practicaron una reanimación cardiorrespiratoria avanzada, falleciendo sobre las 5:00 horas”.</w:t>
      </w:r>
    </w:p>
    <w:p w:rsidR="005728DD" w:rsidRDefault="005728DD" w:rsidP="005728DD">
      <w:pPr>
        <w:pStyle w:val="TextoNormal"/>
      </w:pPr>
    </w:p>
    <w:p w:rsidR="005728DD" w:rsidRDefault="005728DD" w:rsidP="005728DD">
      <w:pPr>
        <w:pStyle w:val="TextoNormal"/>
      </w:pPr>
      <w:r>
        <w:t xml:space="preserve">Consta en el </w:t>
      </w:r>
      <w:r w:rsidRPr="005728DD">
        <w:rPr>
          <w:i/>
        </w:rPr>
        <w:t>factum</w:t>
      </w:r>
      <w:r>
        <w:t xml:space="preserve"> que ni el ahora demandante de amparo ni el otro médico (su hijo) hicieron transferencia a los facultativos del Samur de las tres pacientes dándoles los datos de sus estados y asistencia prestada, y que “no colaboró con el primer equipo del citado servicio de emergencia en el cuidado de las pacientes hasta la llegada de más técnicos. Ninguno de los dos doctores elaboró posteriormente informe médico de su intervención”.</w:t>
      </w:r>
    </w:p>
    <w:p w:rsidR="005728DD" w:rsidRDefault="005728DD" w:rsidP="005728DD">
      <w:pPr>
        <w:pStyle w:val="TextoNormal"/>
      </w:pPr>
    </w:p>
    <w:p w:rsidR="005728DD" w:rsidRDefault="005728DD" w:rsidP="005728DD">
      <w:pPr>
        <w:pStyle w:val="TextoNormal"/>
      </w:pPr>
      <w:r>
        <w:t>Se afirma que doña Cristina Arce y las otras dos jóvenes atendidas en la enfermería “fallecieron como consecuencia de las gravísimas lesiones padecidas en el aplastamiento sufrido en el vomitorio, sin que Simón Viñals Pérez y Carlos Viñals Larruga les prestaran la asistencia médica que precisaban durante el tiempo que permanecieron en el botiquín que gestionaban antes de que llegara al mismo el Samur aumentando así la posibilidad de que no pudieran recuperarse de las lesiones sufridas, no resultando acreditado, sin embargo, que en el supuesto de que les hubieran prestado una asistencia correcta las fallecidas hubieran podido salvar su vida”.</w:t>
      </w:r>
    </w:p>
    <w:p w:rsidR="005728DD" w:rsidRDefault="005728DD" w:rsidP="005728DD">
      <w:pPr>
        <w:pStyle w:val="TextoNormal"/>
      </w:pPr>
    </w:p>
    <w:p w:rsidR="005728DD" w:rsidRDefault="005728DD" w:rsidP="005728DD">
      <w:pPr>
        <w:pStyle w:val="TextoNormal"/>
      </w:pPr>
      <w:r>
        <w:lastRenderedPageBreak/>
        <w:t>(ii) En el fundamento jurídico tercero la Sala razona la absolución del recurrente y del otro médico de conformidad con la valoración de la prueba realizada en el fundamento anterior. De un lado, no considera probado que, salvo por la edad del ahora demandante de amparo y del auxiliar sanitario (77 y 80 años al tiempo de los hechos, respectivamente), el servicio médico dispuesto en el evento no contara con material adecuado para atender a los perjudicados, al menos hasta la llegada del Samur, ni que ello haya influido en el resultado producido. De otro lado, sí estima acreditado que “la actuación de los dos doctores Viñals, en relación con las tres víctimas que fueron trasladadas al botiquín para ser asistidas fue claramente negligente en cuanto que no realizaron diagnóstico alguno de Katia Esteban Casielles, a la que parece que ni siquiera se acercaron, y el que efectuaron de Cristina Arce y Rocío Oña fue erróneo, entendiendo equivocadamente que se encontraban fallecidas, siendo esta la razón por la que comenzaron una recuperación, aplicándoles el desfibrilador casi por la insistencia del técnico de emergencias que fue a buscarlo a la ambulancia, practicando algún intento de masaje y ventilación y poco más, abandonando al poco tiempo, y antes de la llegada del Samur, la reanimación de ambas jóvenes, reiterándose al respecto todo lo expuesto en la valoración de la prueba practicada”.</w:t>
      </w:r>
    </w:p>
    <w:p w:rsidR="005728DD" w:rsidRDefault="005728DD" w:rsidP="005728DD">
      <w:pPr>
        <w:pStyle w:val="TextoNormal"/>
      </w:pPr>
    </w:p>
    <w:p w:rsidR="005728DD" w:rsidRDefault="005728DD" w:rsidP="005728DD">
      <w:pPr>
        <w:pStyle w:val="TextoNormal"/>
      </w:pPr>
      <w:r>
        <w:t xml:space="preserve">Desde tal constatación, la Audiencia Provincial de Madrid opone que los delitos de homicidio por imprudencia profesional del art. 142.1 y 3 del Código penal (en adelante, CP) imputados son delitos de resultado y no de peligro, para cuya concurrencia exige la jurisprudencia “no solo que resulte acreditada la conducta negligente de los acusados sino también el nexo de causalidad entre la misma y el mortal resultado producido, esto es, que la asistencia sanitaria que los doctores Viñals hubieran debido de prestar a las tres jóvenes y no prestaron, habría evitado, con una probabilidad rayana en la certeza, el fallecimiento de las mismas”, lo que no se ha acreditado a la luz de los informe periciales sobre las posibilidades de recuperarse de una parada cardiorrespiratoria cuando no se interviene de inmediato. Reconoce que “una parte de la doctrina como Roxin mantiene como suficiente para la imputación objetiva del resultado lo que se denomina ‘teoría del incremento del riesgo’ conforme a la cual cabría imputar objetivamente el resultado una vez que se constata que el autor generó el riesgo desaprobado aunque no sea seguro que la conducta ajustada a Derecho hubiera evitado el resultado”. Pero contrapone que “otros autores como Manuel Cancio concluyen que esta interpretación convierte el delito de resultado en una infracción de peligro e infringe el principio </w:t>
      </w:r>
      <w:r w:rsidRPr="005728DD">
        <w:rPr>
          <w:i/>
        </w:rPr>
        <w:t>in dubio pro reo</w:t>
      </w:r>
      <w:r>
        <w:t xml:space="preserve"> que exigiría el que exista prueba, al menos con la probabilidad fijada por la jurisprudencia, rayana en la certeza, de que el resultado es concreción de la conducta omisiva y que sin la misma tal resultado no se habría producido”, tesis que, si bien implica una evidente dificultad probatoria, a su entender, es la “seguida por la jurisprudencia y la que, en consecuencia, debe aplicar”.</w:t>
      </w:r>
    </w:p>
    <w:p w:rsidR="005728DD" w:rsidRDefault="005728DD" w:rsidP="005728DD">
      <w:pPr>
        <w:pStyle w:val="TextoNormal"/>
      </w:pPr>
    </w:p>
    <w:p w:rsidR="005728DD" w:rsidRDefault="005728DD" w:rsidP="005728DD">
      <w:pPr>
        <w:pStyle w:val="TextoNormal"/>
      </w:pPr>
      <w:r>
        <w:t>b) La familia de doña Cristina Arce de la Fuente interpuso recurso de casación en el que, entre otros motivos, se denunciaba la vulneración del derecho a la tutela judicial efectiva del art. 24.1 CE, por el razonamiento probatorio que conduce a absolver al doctor Simón Viñals y la indebida falta de aplicación del art. 142, apartados 1 y 3 del Código penal. El recurso fue impugnado por la representación procesal del ahora demandante de amparo por escrito de 5 de enero de 2017.</w:t>
      </w:r>
    </w:p>
    <w:p w:rsidR="005728DD" w:rsidRDefault="005728DD" w:rsidP="005728DD">
      <w:pPr>
        <w:pStyle w:val="TextoNormal"/>
      </w:pPr>
    </w:p>
    <w:p w:rsidR="005728DD" w:rsidRDefault="005728DD" w:rsidP="005728DD">
      <w:pPr>
        <w:pStyle w:val="TextoNormal"/>
      </w:pPr>
      <w:r>
        <w:t xml:space="preserve">c) Tras celebrarse vista el 14 de noviembre de 2017, sin presencia del recurrente y en la que informó su letrado solicitando la confirmación de la sentencia recurrida, la Sala de lo Penal del Tribunal Supremo, por sentencia de 11 de diciembre de 2017, estimó parcialmente </w:t>
      </w:r>
      <w:r>
        <w:lastRenderedPageBreak/>
        <w:t>el recurso interpuesto por la mencionada acusación particular. Se condenó al recurrente como autor de un “delito de imprudencia grave con resultado de muerte, en la modalidad de imprudencia profesional”, tipificado en los apartados 1 y 3 del art. 142 CP, a las penas de un año y medio de prisión, inhabilitación especial para el derecho de sufragio pasivo durante el tiempo de la condena e inhabilitación especial para el ejercicio de la profesión médica por un período de cuatro años.</w:t>
      </w:r>
    </w:p>
    <w:p w:rsidR="005728DD" w:rsidRDefault="005728DD" w:rsidP="005728DD">
      <w:pPr>
        <w:pStyle w:val="TextoNormal"/>
      </w:pPr>
    </w:p>
    <w:p w:rsidR="005728DD" w:rsidRDefault="005728DD" w:rsidP="005728DD">
      <w:pPr>
        <w:pStyle w:val="TextoNormal"/>
      </w:pPr>
      <w:r>
        <w:t>En el fundamento vigésimo de la sentencia impugnada, la Sala de lo Penal, después de repasar los hechos declarados probados y la fundamentación jurídica de la sentencia de primera instancia, subraya que “[d]e lo expuesto queda sobradamente constatado que la Audiencia declara que con la mala actuación de Simón Viñals se incrementó el riesgo de muerte, ‘aumentando así la posibilidad de que no pudieran recuperarse [ambas jóvenes] de las lesiones sufridas’. En suma, se declara indiscutiblemente que se aumentó el riesgo de perder la vida de Cristina por el actuar (o mejor, inacción) negligente del acusado. Lo que, por otro lado, se traslada también a la fundamentación jurídica de la sentencia recurrida, y los juzgadores de instancia no se detienen a la hora de proclamar que la actuación de los doctores Viñals, aunque ahora analizamos exclusivamente el comportamiento de Simón Viñals Pérez, ‘fue claramente negligente’, en cuanto que no realizó diagnóstico alguno de Katia Esteban Casielles, a la que parece que ni siquiera se acercó, y el que efectuó a Cristina fue erróneo, entendiendo equivocadamente que se encontraba fallecida, por lo que su actuación fue claramente insuficiente”. Junto a tal constatación, rechaza como criterio decisor que “no se haya probado qué hubiera pasado si se hubiese actuado correctamente por parte del médico, sino que lo que hubiera importado es que se hubiese acreditado, fuera de toda duda razonable, que, aunque hubiera hecho el acusado todo lo que estaba en su mano, la joven hubiese lamentablemente fallecido. Solamente así se le podría haber exonerado de su responsabilidad”.</w:t>
      </w:r>
    </w:p>
    <w:p w:rsidR="005728DD" w:rsidRDefault="005728DD" w:rsidP="005728DD">
      <w:pPr>
        <w:pStyle w:val="TextoNormal"/>
      </w:pPr>
    </w:p>
    <w:p w:rsidR="005728DD" w:rsidRDefault="005728DD" w:rsidP="005728DD">
      <w:pPr>
        <w:pStyle w:val="TextoNormal"/>
      </w:pPr>
      <w:r>
        <w:t xml:space="preserve">Sentado lo anterior, la Sala recuerda (i) que es incuestionable la posición de garante de la vida y de la salud de la víctima en la que se encontraba el recurrente, (ii) que se declara probado en el </w:t>
      </w:r>
      <w:r w:rsidRPr="005728DD">
        <w:rPr>
          <w:i/>
        </w:rPr>
        <w:t>factum</w:t>
      </w:r>
      <w:r>
        <w:t xml:space="preserve"> y la fundamentación jurídica que no llevaron a cabo las maniobras más elementales de reanimación con omisión de toda diligencia debida, (iii) que se incrementó el riesgo para la vida de la joven como consecuencia de tal comportamiento, pues se declara probado que la falta de prestación de la asistencia médica que se precisaba “aumentó la posibilidad de que no pudieran recuperarse de las lesiones sufridas”, aclarando que esa conclusión sería imposible si el resultado de muerte fuera inevitable, y (iv) que se produjo el resultado de muerte.</w:t>
      </w:r>
    </w:p>
    <w:p w:rsidR="005728DD" w:rsidRDefault="005728DD" w:rsidP="005728DD">
      <w:pPr>
        <w:pStyle w:val="TextoNormal"/>
      </w:pPr>
    </w:p>
    <w:p w:rsidR="005728DD" w:rsidRDefault="005728DD" w:rsidP="005728DD">
      <w:pPr>
        <w:pStyle w:val="TextoNormal"/>
      </w:pPr>
      <w:r>
        <w:t>Desde tales consideraciones, el órgano judicial sostiene que, para imputar responsabilidad penal por la muerte, es preciso determinar el nexo entre el actuar negligente y el resultado mortal producido, aspecto que juzga complejo en el supuesto, “al tratarse de un comportamiento negligente sucesivo a una imprudencia previa; y además de carácter omisivo” y en el ámbito médico. A su entender, para fijar el criterio de imputación en las infracciones imprudentes omisivas, se ha de acudir a la doctrina de la imputación objetiva, que conoce distintos criterios de imputación, entre los que destaca la teoría del incremento del riesgo, la teoría del ámbito de protección de la norma y la teoría de la evitabilidad; supliéndose en estos casos de comportamiento omisivo la imposibilidad de una causación en términos naturalísticos por el concepto de cursos causales hipotéticos, que atienden a la virtualidad causal de la acción exigida por la norma.</w:t>
      </w:r>
    </w:p>
    <w:p w:rsidR="005728DD" w:rsidRDefault="005728DD" w:rsidP="005728DD">
      <w:pPr>
        <w:pStyle w:val="TextoNormal"/>
      </w:pPr>
    </w:p>
    <w:p w:rsidR="005728DD" w:rsidRDefault="005728DD" w:rsidP="005728DD">
      <w:pPr>
        <w:pStyle w:val="TextoNormal"/>
      </w:pPr>
      <w:r>
        <w:t xml:space="preserve">En este contexto, rechaza la teoría de la evitabilidad que sigue la sentencia de instancia, que pone el acento en dilucidar si la conducta omitida habría evitado, con una probabilidad rayana en la certeza, la lesión o el menoscabo del bien jurídico que tutela la norma. Si bien reconoce que tal criterio se enuncia en la jurisprudencia del Tribunal Supremo, también precisa que raramente como criterio decisor aplicado a casos específicos, y no en casos de negligencia médica subsiguiente a una imprudencia previa, “con independencia de que si se acredita que el resultado no se hubiera evitado, de realizar la conducta obligada, se entienda lógicamente que la omisión no ha generado o incrementado riesgo alguno”. La Sala esgrime la falta de utilidad de esa fórmula en el ámbito de la prestación médica, que no es una ciencia exacta y depende de las circunstancias individuales, como ha destacado también el Tribunal Supremo Federal alemán. De seguirse, advierte, conduciría a la impunidad, dado que casi nunca resulta descartable el riesgo de resultado lesivo —muerte o lesiones— a pesar de realizarse la conducta que indica la </w:t>
      </w:r>
      <w:r w:rsidRPr="005728DD">
        <w:rPr>
          <w:i/>
        </w:rPr>
        <w:t>lex artis</w:t>
      </w:r>
      <w:r>
        <w:t xml:space="preserve"> médica, con el efecto indeseado de fomentar conductas pasivas de los profesionales ante la imposibilidad de condenar.</w:t>
      </w:r>
    </w:p>
    <w:p w:rsidR="005728DD" w:rsidRDefault="005728DD" w:rsidP="005728DD">
      <w:pPr>
        <w:pStyle w:val="TextoNormal"/>
      </w:pPr>
    </w:p>
    <w:p w:rsidR="005728DD" w:rsidRDefault="005728DD" w:rsidP="005728DD">
      <w:pPr>
        <w:pStyle w:val="TextoNormal"/>
      </w:pPr>
      <w:r>
        <w:t>A juicio del Tribunal Supremo, lo que se debe constatar para exonerar al médico es lo contrario, que aun en caso de haber dispensado el tratamiento médico correctamente, no se hubiera evitado el resultado. “Pero si no se hace nada, o lo que se hace es patentemente negligente, como por otra parte asegura la Audiencia, no puede fundamentarse su absolución en el hecho de que, de todos modos, no se sabe cuál hubiera sido el desenlace”. Por el contrario, “la responsabilidad del médico surge porque ha incrementado el riesgo permitido, y lo ha hecho al haber actuado negligentemente, y con tal comportamiento ha contribuido al resultado, siéndole reprochada su conducta a través de la teoría de la imputación objetiva”, sin que ello suponga exonerar de culpabilidad a título de imprudencia a los demás coacusados, pues, conforme a lo sostenido por la Audiencia, todos ellos contribuyeron mediante el concurso causal múltiple al resultado producido.</w:t>
      </w:r>
    </w:p>
    <w:p w:rsidR="005728DD" w:rsidRDefault="005728DD" w:rsidP="005728DD">
      <w:pPr>
        <w:pStyle w:val="TextoNormal"/>
      </w:pPr>
    </w:p>
    <w:p w:rsidR="005728DD" w:rsidRDefault="005728DD" w:rsidP="005728DD">
      <w:pPr>
        <w:pStyle w:val="TextoNormal"/>
      </w:pPr>
      <w:r>
        <w:t>Puntualiza finalmente que su conclusión resulta acorde con la mantenida en la jurisprudencia del Tribunal Supremo, que repasa, y conforme con la posibilidad reconocida por el Tribunal Constitucional y el Tribunal Europeo de Derechos Humanos de convertir en condenatoria una sentencia absolutoria en la instancia casacional cuando no se modifican los hechos probados, máxime en este caso, en que tratándose de imprudencia no hay que declarar ningún ánimo tendencial.</w:t>
      </w:r>
    </w:p>
    <w:p w:rsidR="005728DD" w:rsidRDefault="005728DD" w:rsidP="005728DD">
      <w:pPr>
        <w:pStyle w:val="TextoNormal"/>
      </w:pPr>
    </w:p>
    <w:p w:rsidR="005728DD" w:rsidRDefault="005728DD" w:rsidP="005728DD">
      <w:pPr>
        <w:pStyle w:val="TextoNormal"/>
      </w:pPr>
      <w:r>
        <w:t xml:space="preserve">d) La sentencia del Tribunal Supremo cuenta con el voto particular de un magistrado, quien, si bien coincide en que “los datos fácticos que se destacan en la sentencia mayoritaria de Sala se ajustan a las pericias practicadas y al resultado probatorio acogido por la Audiencia”, considera que se ha minusvalorado el estado de extrema gravedad y crítico con que entró la víctima en la enfermería. Ese dato cobra importancia en el marco de la tesis que prefiere para dirimir la imputación del resultado en un delito imprudente, equidistante de las tesis de la evitabilidad y del incremento del riesgo adoptadas en la sentencia de instancia y en la de casación, respectivamente, que juzga extremas. A su entender, debe examinarse que la grave negligencia del acusado, consistente en no neutralizar ni disminuir debidamente el grave riesgo de muerte, desencadenado por la acción imprudente de otros (organizadores y gestores del evento) que afectaba a doña Cristina Arce, impidió una disminución de cierta entidad de ese riesgo y no de mínimos fehacientemente acreditada desde una perspectiva </w:t>
      </w:r>
      <w:r w:rsidRPr="005728DD">
        <w:rPr>
          <w:i/>
        </w:rPr>
        <w:t>ex post</w:t>
      </w:r>
      <w:r>
        <w:t xml:space="preserve">, de lo que no hay prueba ni consta en el </w:t>
      </w:r>
      <w:r w:rsidRPr="005728DD">
        <w:rPr>
          <w:i/>
        </w:rPr>
        <w:t>factum</w:t>
      </w:r>
      <w:r>
        <w:t xml:space="preserve">. A juicio del magistrado discrepante, la </w:t>
      </w:r>
      <w:r>
        <w:lastRenderedPageBreak/>
        <w:t>tesis de la mayoría convierte un delito de resultado en un delito de mero riesgo, desbordando los límites del tipo penal en una interpretación que entra en conflicto con las exigencias del principio de legalidad penal y con los criterios dogmáticos aplicables a un delito de resultado cuando se trata de infracciones omisivas.</w:t>
      </w:r>
    </w:p>
    <w:p w:rsidR="005728DD" w:rsidRDefault="005728DD" w:rsidP="005728DD">
      <w:pPr>
        <w:pStyle w:val="TextoNormal"/>
      </w:pPr>
    </w:p>
    <w:p w:rsidR="005728DD" w:rsidRDefault="005728DD" w:rsidP="005728DD">
      <w:pPr>
        <w:pStyle w:val="TextoNormal"/>
      </w:pPr>
      <w:r>
        <w:t xml:space="preserve">e) Por providencia del Tribunal Supremo de 29 de mayo de 2018 se acordó la no admisión a trámite del incidente excepcional de nulidad de actuaciones planteado por el demandante de amparo, donde se denunciaba una doble vulneración de su derecho a un proceso con todas las garantías (art. 24.2 CE) y del derecho a la tutela judicial efectiva sin indefensión (art. 24.1 CE): (i) por la falta de una instancia posterior a la condena y la modificación de la base fáctica de la sentencia de instancia con revaloración de pruebas personales sin audiencia del acusado ni respeto al principio de inmediación para revisar una sentencia absolutoria y condenar; (ii) por la inversión de la carga de la prueba y correlativa infracción del principio </w:t>
      </w:r>
      <w:r w:rsidRPr="005728DD">
        <w:rPr>
          <w:i/>
        </w:rPr>
        <w:t>in dubio pro reo</w:t>
      </w:r>
      <w:r>
        <w:t>, que supone, además, la lesión del derecho a la presunción de inocencia (art. 24.2 CE).</w:t>
      </w:r>
    </w:p>
    <w:p w:rsidR="005728DD" w:rsidRDefault="005728DD" w:rsidP="005728DD">
      <w:pPr>
        <w:pStyle w:val="TextoNormal"/>
      </w:pPr>
    </w:p>
    <w:p w:rsidR="005728DD" w:rsidRDefault="005728DD" w:rsidP="005728DD">
      <w:pPr>
        <w:pStyle w:val="TextoNormal"/>
      </w:pPr>
      <w:r>
        <w:t>En su respuesta, la Sala aduce que, conforme a su jurisprudencia, la del Tribunal Constitucional y la del Tribunal Europeo de Derechos Humanos, es posible reemplazar una sentencia absolutoria en los supuestos en que el hecho probado permanece incólume y el debate se ciñe al juicio de subsunción, como fue el caso de autos, sin que el incidente de nulidad sea un cauce para que se puedan plantear de nuevo las cuestiones ya resueltas.</w:t>
      </w:r>
    </w:p>
    <w:p w:rsidR="005728DD" w:rsidRDefault="005728DD" w:rsidP="005728DD">
      <w:pPr>
        <w:pStyle w:val="TextoNormal"/>
      </w:pPr>
    </w:p>
    <w:p w:rsidR="005728DD" w:rsidRDefault="005728DD" w:rsidP="005728DD">
      <w:pPr>
        <w:pStyle w:val="TextoNormal"/>
      </w:pPr>
      <w:r w:rsidRPr="005728DD">
        <w:rPr>
          <w:rStyle w:val="NumeroAFNegritaCaracter"/>
        </w:rPr>
        <w:t>3</w:t>
      </w:r>
      <w:r>
        <w:t>. El recurrente formula dos motivos en su demanda de amparo y solicita que se reconozcan los derechos fundamentales invocados y se declare la nulidad de las resoluciones recurridas.</w:t>
      </w:r>
    </w:p>
    <w:p w:rsidR="005728DD" w:rsidRDefault="005728DD" w:rsidP="005728DD">
      <w:pPr>
        <w:pStyle w:val="TextoNormal"/>
      </w:pPr>
    </w:p>
    <w:p w:rsidR="005728DD" w:rsidRDefault="005728DD" w:rsidP="005728DD">
      <w:pPr>
        <w:pStyle w:val="TextoNormal"/>
      </w:pPr>
      <w:r>
        <w:t>a) El primer motivo denuncia la vulneración del derecho a un proceso con todas las garantías (art. 24.2 CE) y del derecho a la tutela judicial efectiva en su concreción de no sufrir indefensión (art. 24.1 CE) por la falta de una instancia penal posterior a la condena y la modificación de la base fáctica de la sentencia de instancia con revaloración de pruebas personales (testificales y periciales) sin audiencia del acusado ni respeto al principio de inmediación.</w:t>
      </w:r>
    </w:p>
    <w:p w:rsidR="005728DD" w:rsidRDefault="005728DD" w:rsidP="005728DD">
      <w:pPr>
        <w:pStyle w:val="TextoNormal"/>
      </w:pPr>
    </w:p>
    <w:p w:rsidR="005728DD" w:rsidRDefault="005728DD" w:rsidP="005728DD">
      <w:pPr>
        <w:pStyle w:val="TextoNormal"/>
      </w:pPr>
      <w:r>
        <w:t>Tras exponerse la doctrina de este tribunal sobre la posibilidad de condenar en segunda instancia de la mano de la STC 146/2017, de 14 de diciembre, FFJJ 6 y 7, y su acogimiento en la jurisprudencia del Tribunal Supremo, con cita de la STS 582/2017, de 19 de julio, se denuncia que el Tribunal Supremo se aparta de dicha doctrina. Según el criterio del demandante, si bien la resolución justifica la revisión condenatoria como una corrección de un error de subsunción jurídica, las pretendidas consideraciones jurídicas sobre la aplicación del tipo penal evidencian una alteración de la declaración de hechos probados, revalorando pruebas personales que no se han practicado a su presencia y sustituyendo la preceptiva audiencia del acusado por la defensa técnica de su letrado. Además de dar por reproducidos los argumentos del voto particular de la sentencia impugnada, en apoyo de la plural lesión, defiende que se modifica indebidamente la declaración de hechos probados para aplicar la teoría del incremento del riesgo en su versión más radical en tres direcciones. A saber:</w:t>
      </w:r>
    </w:p>
    <w:p w:rsidR="005728DD" w:rsidRDefault="005728DD" w:rsidP="005728DD">
      <w:pPr>
        <w:pStyle w:val="TextoNormal"/>
      </w:pPr>
    </w:p>
    <w:p w:rsidR="005728DD" w:rsidRDefault="005728DD" w:rsidP="005728DD">
      <w:pPr>
        <w:pStyle w:val="TextoNormal"/>
      </w:pPr>
      <w:r>
        <w:t xml:space="preserve">(i) Se revalora la existencia de una duda absolutoria por no haberse acreditado que una actuación correcta hubiera evitado el resultado de muerte, en tanto el Tribunal Supremo </w:t>
      </w:r>
      <w:r>
        <w:lastRenderedPageBreak/>
        <w:t>opone que lo que debió constatarse es que, a pesar del tratamiento médico correcto, no se hubiera salvado. Ese cambio supone apartarse de un resultado probatorio fruto de las testificales y periciales médicas, la probabilidad muy alta de fallecimiento aunque se actuara de forma correcta, dado el estado crítico o de extrema gravedad de la víctima, mientras que la posibilidad de disminución del riesgo era muy escasa o más bien de mínimos; dato que no se compadece con la decisión de atribuirle el resultado homicida. Con el añadido de que el hecho de que otras dos víctimas de la avalancha murieron a pesar de recibir una correcta atención médica, choca con el criterio manejado por la Sala de que se debe exonerar si se acredita que la conducta diligente no hubiera impedido el resultado de muerte.</w:t>
      </w:r>
    </w:p>
    <w:p w:rsidR="005728DD" w:rsidRDefault="005728DD" w:rsidP="005728DD">
      <w:pPr>
        <w:pStyle w:val="TextoNormal"/>
      </w:pPr>
    </w:p>
    <w:p w:rsidR="005728DD" w:rsidRDefault="005728DD" w:rsidP="005728DD">
      <w:pPr>
        <w:pStyle w:val="TextoNormal"/>
      </w:pPr>
      <w:r>
        <w:t>(ii) Se revalora el hecho probado de quién o quiénes crearon el riesgo determinante del resultado de muerte cuando se sostiene que la actuación del recurrente es una de las causas múltiples determinantes del riesgo que confluyen a un mismo resultado, pues la conducta generadora del riesgo determinante de las muertes (avalancha) es imputable al resto de los acusados, no a él. Su grave negligencia consistió en no neutralizar ni disminuir el grave riesgo de muerte, pero no en incrementarlo.</w:t>
      </w:r>
    </w:p>
    <w:p w:rsidR="005728DD" w:rsidRDefault="005728DD" w:rsidP="005728DD">
      <w:pPr>
        <w:pStyle w:val="TextoNormal"/>
      </w:pPr>
    </w:p>
    <w:p w:rsidR="005728DD" w:rsidRDefault="005728DD" w:rsidP="005728DD">
      <w:pPr>
        <w:pStyle w:val="TextoNormal"/>
      </w:pPr>
      <w:r>
        <w:t>(iii) Se revalora su conducta desde la perspectiva del grado de omisión cuando se viene a afirmar por el Tribunal Supremo que “no hizo nada”, como se sigue de varias expresiones: “Sin embargo, quien no actúa y puede hacerlo” (pág. 104), “y nada hizo el acusado por reanimarla” (págs. 105 y 108), o “[p]ero si no se hace nada” (pág. 108), ya que los hechos probados recogen que realizó masaje cardíaco a doña Cristina Arce y le aplicó tres descargas con el desfibrilador.</w:t>
      </w:r>
    </w:p>
    <w:p w:rsidR="005728DD" w:rsidRDefault="005728DD" w:rsidP="005728DD">
      <w:pPr>
        <w:pStyle w:val="TextoNormal"/>
      </w:pPr>
    </w:p>
    <w:p w:rsidR="005728DD" w:rsidRDefault="005728DD" w:rsidP="005728DD">
      <w:pPr>
        <w:pStyle w:val="TextoNormal"/>
      </w:pPr>
      <w:r>
        <w:t xml:space="preserve">b) Como segundo motivo se alega la vulneración de los derechos fundamentales a un proceso con todas las garantías (art. 24.2 CE), a la presunción de inocencia (art. 24.2 CE) y a la tutela judicial efectiva sin indefensión (art. 24.1 CE) por inversión de la carga de la prueba y correlativa infracción del principio </w:t>
      </w:r>
      <w:r w:rsidRPr="005728DD">
        <w:rPr>
          <w:i/>
        </w:rPr>
        <w:t>in dubio pro reo</w:t>
      </w:r>
      <w:r>
        <w:t>.</w:t>
      </w:r>
    </w:p>
    <w:p w:rsidR="005728DD" w:rsidRDefault="005728DD" w:rsidP="005728DD">
      <w:pPr>
        <w:pStyle w:val="TextoNormal"/>
      </w:pPr>
    </w:p>
    <w:p w:rsidR="005728DD" w:rsidRDefault="005728DD" w:rsidP="005728DD">
      <w:pPr>
        <w:pStyle w:val="TextoNormal"/>
      </w:pPr>
      <w:r>
        <w:t xml:space="preserve">El demandante subraya la posición reforzada del acusado conforme a la doctrina constitucional (SSTC 141/2006, de 8 de mayo; 575/2008, de 7 de octubre, y 116/2011 de 1 de febrero), que se manifiesta en un abanico de derechos de los que destaca el derecho a la presunción de inocencia, que obliga a que sea la acusación quien deba probar la participación en el delito del acusado, y el principio </w:t>
      </w:r>
      <w:r w:rsidRPr="005728DD">
        <w:rPr>
          <w:i/>
        </w:rPr>
        <w:t>in dubio pro reo</w:t>
      </w:r>
      <w:r>
        <w:t>, que, a su entender, obliga al juez, en su dimensión normativa, a adoptar el sentido o alcance de la norma más beneficioso para el reo y, en su dimensión procesal, a absolver si no alcanza la certeza judicial de la participación en el hecho del acusado. Frente a ello, la argumentación de la sentencia condenatoria de que solo podrá exonerarse al médico omitente si se constata que el tratamiento debido no hubiera evitado el resultado, “retuerce la teoría de la imputación objetiva para considerar probada la relación de causalidad, hasta el punto de reprochar al reo no haber probado la ausencia de causalidad, invirtiendo la carga de la prueba”.</w:t>
      </w:r>
    </w:p>
    <w:p w:rsidR="005728DD" w:rsidRDefault="005728DD" w:rsidP="005728DD">
      <w:pPr>
        <w:pStyle w:val="TextoNormal"/>
      </w:pPr>
    </w:p>
    <w:p w:rsidR="005728DD" w:rsidRDefault="005728DD" w:rsidP="005728DD">
      <w:pPr>
        <w:pStyle w:val="TextoNormal"/>
      </w:pPr>
      <w:r>
        <w:t xml:space="preserve">Según el criterio del recurrente, en la sentencia de la audiencia “se considera probado que el resultado de muerte podría ser inevitable (aunque no se diga con estas palabras)”. Sin embargo, la sentencia condenatoria sostiene que el acusado tendría que haber probado, fuera de toda duda razonable, que, aun habiendo actuado bien, la víctima habría fallecido (inevitabilidad), en lugar de que sea la acusación la que pruebe, en términos razonables, que, si el médico hubiera actuado bien, la víctima habría sobrevivido (evitabilidad), cuestión sobre la </w:t>
      </w:r>
      <w:r>
        <w:lastRenderedPageBreak/>
        <w:t xml:space="preserve">que existen dudas razonables y opera el principio </w:t>
      </w:r>
      <w:r w:rsidRPr="005728DD">
        <w:rPr>
          <w:i/>
        </w:rPr>
        <w:t>in dubio pro reo</w:t>
      </w:r>
      <w:r>
        <w:t>. Además, añade, la inevitabilidad del resultado es imposible de probar conforme al criterio de la Sala de lo Penal de que la probabilidad rayana en la certeza no resulta de aplicación a los casos médicos, por ser la medicina una ciencia de medios no exacta y no de resultados, de modo que en ningún caso es posible absolver al médico que incurre en negligencia.</w:t>
      </w:r>
    </w:p>
    <w:p w:rsidR="005728DD" w:rsidRDefault="005728DD" w:rsidP="005728DD">
      <w:pPr>
        <w:pStyle w:val="TextoNormal"/>
      </w:pPr>
    </w:p>
    <w:p w:rsidR="005728DD" w:rsidRDefault="005728DD" w:rsidP="005728DD">
      <w:pPr>
        <w:pStyle w:val="TextoNormal"/>
      </w:pPr>
      <w:r>
        <w:t xml:space="preserve">El demandante finaliza sus alegaciones reiterando las consideraciones del voto particular respecto a “la inexistencia de relación causalidad de acuerdo con la teoría de la imputación objetiva, ya se siga la teoría de la evitabilidad del resultado o la teoría del incremento del riesgo, dado que la extrema gravedad de la víctima a su llegada a la enfermería, los tiempos transcurridos desde la avalancha hasta la primera asistencia y consiguiente parada cardiorrespiratoria de origen traumático y extrahospitalario, no han acreditado desde una perspectiva </w:t>
      </w:r>
      <w:r w:rsidRPr="005728DD">
        <w:rPr>
          <w:i/>
        </w:rPr>
        <w:t>ex post</w:t>
      </w:r>
      <w:r>
        <w:t xml:space="preserve"> una posibilidad significativa de disminución del riesgo, sino, más al contrario, una posibilidad de mínimos”.</w:t>
      </w:r>
    </w:p>
    <w:p w:rsidR="005728DD" w:rsidRDefault="005728DD" w:rsidP="005728DD">
      <w:pPr>
        <w:pStyle w:val="TextoNormal"/>
      </w:pPr>
    </w:p>
    <w:p w:rsidR="005728DD" w:rsidRDefault="005728DD" w:rsidP="005728DD">
      <w:pPr>
        <w:pStyle w:val="TextoNormal"/>
      </w:pPr>
      <w:r>
        <w:t xml:space="preserve">La especial trascendencia constitucional de la demanda se cifra en la concurrencia de dos de los supuestos enunciados en el fundamento segundo de la STC 155/2009, de 25 de junio. De un lado, el designado con la letra e), es decir, por la existencia de resoluciones judiciales contradictorias sobre el derecho fundamental, ya sea interpretando de manera distinta la doctrina constitucional, ya sea aplicándola en unos casos y desconociéndola en otros, que razona remitiéndose la jurisprudencia del Tribunal Supremo en relación con la doctrina del Tribunal Constitucional sobre las garantías de la condena en segunda instancia. De otro lado, el supuesto g), referente al planteamiento de una cuestión jurídica de relevante y general repercusión social, que identifica con la afectación del principio </w:t>
      </w:r>
      <w:r w:rsidRPr="005728DD">
        <w:rPr>
          <w:i/>
        </w:rPr>
        <w:t>in dubio pro reo</w:t>
      </w:r>
      <w:r>
        <w:t xml:space="preserve"> y, por ende, de la presunción de inocencia que genera la interpretación extremista de la teoría del incremento del riesgo sostenida en la sentencia impugnada, que valora como un precedente peligroso para la profesión médica.</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18 de junio de 2019, acordó admitir a trámite la demanda de amparo, tras apreciar que ofrece especial trascendencia constitucional [art. 50.1 de la Ley Orgánica del Tribunal Constitucional (LOTC)], porque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5728DD" w:rsidRDefault="005728DD" w:rsidP="005728DD">
      <w:pPr>
        <w:pStyle w:val="TextoNormal"/>
      </w:pPr>
    </w:p>
    <w:p w:rsidR="005728DD" w:rsidRDefault="005728DD" w:rsidP="005728DD">
      <w:pPr>
        <w:pStyle w:val="TextoNormal"/>
      </w:pPr>
      <w:r>
        <w:t>En aplicación de lo dispuesto en el art. 51 LOTC, también se acordó dirigir atenta comunicación a los órganos judiciales a fin de que en plazo que no exceda de diez días remitieran testimonio de las actuaciones, debiendo emplazar previamente la Sección Séptima de la Audiencia Provincial de Madrid a quienes hubieran sido parte en el procedimiento, a excepción del recurrente, para que pudieran comparecer en el plazo de diez días en el proceso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La Secretaría de Justicia de la Sala Segunda de este tribunal, por diligencia de 18 de septiembre de 2019, tuvo por personados a los procuradores doña María Soledad Castañeda González, en nombre y representación de los familiares de doña Cristina Arce (don José Arce San José, doña Isabel de la Fuente Morales y doña Verónica Arce de la Fuente); doña Adela Cano Lantero, en nombre y representación del responsable civil directo Zurich Insurance, P.L.C.; don Ignacio Melchor Oruña, en nombre y representación del responsable civil </w:t>
      </w:r>
      <w:r>
        <w:lastRenderedPageBreak/>
        <w:t>subsidiario Seguriber, S.L.U.; don Alejandro González Salinas, en nombre y representación de los familiares de otra víctima mortal (don Nicolás Langdon Ruiz y doña Yolanda del Real Puyuelo), y doña Patricia Martín López, en nombre y representación del condenado don Miguel Angel Flórez Gómez. Igualmente acordó dar vista de las actuaciones recibidas a las partes personadas y al Ministerio Fiscal para que pudieran presentar las alegaciones que estimasen pertinentes, por plazo común de veinte días, de conformidad con el art. 52.1 LOTC.</w:t>
      </w:r>
    </w:p>
    <w:p w:rsidR="005728DD" w:rsidRDefault="005728DD" w:rsidP="005728DD">
      <w:pPr>
        <w:pStyle w:val="TextoNormal"/>
      </w:pPr>
    </w:p>
    <w:p w:rsidR="005728DD" w:rsidRDefault="005728DD" w:rsidP="005728DD">
      <w:pPr>
        <w:pStyle w:val="TextoNormal"/>
      </w:pPr>
      <w:r>
        <w:t xml:space="preserve">Acordó, asimismo, conceder a los procuradores don Ignacio Melchor Oruña, don Alejandro González Salinas y doña Patricia Martín López el plazo de diez días para aportar escritura de poder o apoderamiento </w:t>
      </w:r>
      <w:r w:rsidRPr="005728DD">
        <w:rPr>
          <w:i/>
        </w:rPr>
        <w:t>apud acta</w:t>
      </w:r>
      <w:r>
        <w:t xml:space="preserve"> que acredite la representación que dicen ostentar, con el apercibimiento de que, de no efectuarlo, se les tendría por decaídos en su derecho.</w:t>
      </w:r>
    </w:p>
    <w:p w:rsidR="005728DD" w:rsidRDefault="005728DD" w:rsidP="005728DD">
      <w:pPr>
        <w:pStyle w:val="TextoNormal"/>
      </w:pPr>
    </w:p>
    <w:p w:rsidR="005728DD" w:rsidRDefault="005728DD" w:rsidP="005728DD">
      <w:pPr>
        <w:pStyle w:val="TextoNormal"/>
      </w:pPr>
      <w:r w:rsidRPr="005728DD">
        <w:rPr>
          <w:rStyle w:val="NumeroAFNegritaCaracter"/>
        </w:rPr>
        <w:t>6</w:t>
      </w:r>
      <w:r>
        <w:t>. La representación procesal de los familiares de doña Cristina Arce formuló sus alegaciones mediante escrito registrado en este tribunal el 17 de octubre de 2019, en el que solicita la desestimación de la demanda de amparo.</w:t>
      </w:r>
    </w:p>
    <w:p w:rsidR="005728DD" w:rsidRDefault="005728DD" w:rsidP="005728DD">
      <w:pPr>
        <w:pStyle w:val="TextoNormal"/>
      </w:pPr>
    </w:p>
    <w:p w:rsidR="005728DD" w:rsidRDefault="005728DD" w:rsidP="005728DD">
      <w:pPr>
        <w:pStyle w:val="TextoNormal"/>
      </w:pPr>
      <w:r>
        <w:t xml:space="preserve">Con carácter preliminar, no obstante, señala como óbice de admisibilidad la falta de una justificación suficiente de la especial trascendencia constitucional, ya que considera que los apartados e) y g) esgrimidos no concurren, pues no se indica en la demanda sobre qué derecho fundamental existen resoluciones contradictorias ni cuáles son esas resoluciones, sin que pueda estimarse que el derecho es el principio </w:t>
      </w:r>
      <w:r w:rsidRPr="005728DD">
        <w:rPr>
          <w:i/>
        </w:rPr>
        <w:t>in dubio pro reo</w:t>
      </w:r>
      <w:r>
        <w:t xml:space="preserve"> en tanto que no se plantea una duda en la valoración de la prueba que permita su invocación.</w:t>
      </w:r>
    </w:p>
    <w:p w:rsidR="005728DD" w:rsidRDefault="005728DD" w:rsidP="005728DD">
      <w:pPr>
        <w:pStyle w:val="TextoNormal"/>
      </w:pPr>
    </w:p>
    <w:p w:rsidR="005728DD" w:rsidRDefault="005728DD" w:rsidP="005728DD">
      <w:pPr>
        <w:pStyle w:val="TextoNormal"/>
      </w:pPr>
      <w:r>
        <w:t xml:space="preserve">Como alegaciones sobre el fondo del asunto y respecto al primer motivo, opone, frente al derecho a la segunda instancia penal, el derecho a los recursos reconocido a las víctimas de los delitos y el dato de que el recurso de casación se estimó por infracción de ley, sin que se aprecie lesión de las garantías del proceso debido, que se han observado, ni indefensión, ya que no existe la alteración de la base fáctica de la sentencia de instancia que se aduce en la demanda. Por el contrario, advierte que sí se aprecia ese cambio en el voto particular y en las alegaciones del demandante, donde se revalora la prueba testifical y pericial. Tampoco tiene sostén, a juicio de la parte, el segundo motivo, que afirma la vulneración del derecho a la presunción de inocencia y la correlativa del principio </w:t>
      </w:r>
      <w:r w:rsidRPr="005728DD">
        <w:rPr>
          <w:i/>
        </w:rPr>
        <w:t>in dubio pro reo</w:t>
      </w:r>
      <w:r>
        <w:t xml:space="preserve"> con el argumento de que en la sentencia absolutoria “se considera hecho probado que el resultado de muerte podría ser inevitable (aunque no se diga con estas palabras)”, inciso final que precisamente revela que ese dato no se contiene en la sentencia de instancia y supone una alteración de los hechos probados. A la postre, termina diciendo, el recurso se limita a mostrar la discrepancia con el criterio de imputación objetiva manejado en la sentencia de casación.</w:t>
      </w:r>
    </w:p>
    <w:p w:rsidR="005728DD" w:rsidRDefault="005728DD" w:rsidP="005728DD">
      <w:pPr>
        <w:pStyle w:val="TextoNormal"/>
      </w:pPr>
    </w:p>
    <w:p w:rsidR="005728DD" w:rsidRDefault="005728DD" w:rsidP="005728DD">
      <w:pPr>
        <w:pStyle w:val="TextoNormal"/>
      </w:pPr>
      <w:r w:rsidRPr="005728DD">
        <w:rPr>
          <w:rStyle w:val="NumeroAFNegritaCaracter"/>
        </w:rPr>
        <w:t>7</w:t>
      </w:r>
      <w:r>
        <w:t>. El recurrente, en escrito registrado el 23 de octubre de 2019, se ratificó en todas las alegaciones contenidas en su demanda.</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en escrito registrado el 30 de octubre de 2019, interesó que se denegara el amparo solicitado en todos sus términos, tras una amplia exposición de los antecedentes y las alegaciones del recurrente y rechazar los dos motivos de la demanda.</w:t>
      </w:r>
    </w:p>
    <w:p w:rsidR="005728DD" w:rsidRDefault="005728DD" w:rsidP="005728DD">
      <w:pPr>
        <w:pStyle w:val="TextoNormal"/>
      </w:pPr>
    </w:p>
    <w:p w:rsidR="005728DD" w:rsidRDefault="005728DD" w:rsidP="005728DD">
      <w:pPr>
        <w:pStyle w:val="TextoNormal"/>
      </w:pPr>
      <w:r>
        <w:lastRenderedPageBreak/>
        <w:t>a) Aborda el primer motivo con la exposición de la doctrina constitucional sobre las garantías procedimentales exigibles para la condena agravatoria en segunda instancia recogida en la STC 78/2019, de 3 de junio, FJ 6, con base en la STC 146/2017. A la luz de tal doctrina, fija como cuestión determinante si ha habido realmente alteraciones fácticas de los hechos declarados probados en la sentencia de primera instancia, lo que niega en los tres aspectos subrayados en la demanda.</w:t>
      </w:r>
    </w:p>
    <w:p w:rsidR="005728DD" w:rsidRDefault="005728DD" w:rsidP="005728DD">
      <w:pPr>
        <w:pStyle w:val="TextoNormal"/>
      </w:pPr>
    </w:p>
    <w:p w:rsidR="005728DD" w:rsidRDefault="005728DD" w:rsidP="005728DD">
      <w:pPr>
        <w:pStyle w:val="TextoNormal"/>
      </w:pPr>
      <w:r>
        <w:t>(i) En lo que respecta a la primera denuncia, apunta que la afirmación de la sentencia de casación de que lo que debe constatarse en un caso de imprudencia médica como el planteado para exonerar la responsabilidad del doctor actuante es que, pese a dispensarse el tratamiento médico de modo correcto, no se hubiera salvado la vida de la sometida a la asistencia, responde a la plasmación de un postulado en el marco de examen de una cuestión estrictamente jurídica, vinculada a la posición jurisprudencial que opta por una de las construcciones dogmáticas sobre la controvertida cuestión del criterio de imputación objetiva aplicable en un tipo de casos, la del incremento del riesgo. Algo que, destaca el fiscal, más allá del acierto o no, pertenece al propio ámbito competencial del Tribunal Supremo como unificador de doctrina jurisprudencial y máximo intérprete —</w:t>
      </w:r>
      <w:r w:rsidRPr="005728DD">
        <w:rPr>
          <w:i/>
        </w:rPr>
        <w:t>ex</w:t>
      </w:r>
      <w:r>
        <w:t xml:space="preserve"> art. 123 CE— de la legalidad ordinaria, en este caso penal, y que se asienta en la existencia de un concurso causal múltiple y el aumento de las posibilidades de falta de recuperación de las lesiones sufridas que consta en el relato fáctico, que no se ve alterado como tampoco se ve revalorada prueba alguna.</w:t>
      </w:r>
    </w:p>
    <w:p w:rsidR="005728DD" w:rsidRDefault="005728DD" w:rsidP="005728DD">
      <w:pPr>
        <w:pStyle w:val="TextoNormal"/>
      </w:pPr>
    </w:p>
    <w:p w:rsidR="005728DD" w:rsidRDefault="005728DD" w:rsidP="005728DD">
      <w:pPr>
        <w:pStyle w:val="TextoNormal"/>
      </w:pPr>
      <w:r>
        <w:t>(ii) En consonancia con lo anterior, el fiscal insiste en que no hay una afirmación novedosa en casación cuando se señala la actuación del recurrente como una las causas múltiples determinantes del riesgo que confluyeron al resultado de muerte, porque los hechos declarados probados recogen que no prestó la asistencia médica precisa “aumentando así la posibilidad de que no pudieran recuperarse de las lesiones sufridas”, lo que permite apreciar el nexo entre el obrar del agente y el resultado.</w:t>
      </w:r>
    </w:p>
    <w:p w:rsidR="005728DD" w:rsidRDefault="005728DD" w:rsidP="005728DD">
      <w:pPr>
        <w:pStyle w:val="TextoNormal"/>
      </w:pPr>
    </w:p>
    <w:p w:rsidR="005728DD" w:rsidRDefault="005728DD" w:rsidP="005728DD">
      <w:pPr>
        <w:pStyle w:val="TextoNormal"/>
      </w:pPr>
      <w:r>
        <w:t>(iii) Por lo que atañe a la denuncia de alteración fáctica por emplearse referencias a la inacción del recurrente del tenor “[s]in embargo, quien no actúa y puede hacerlo” (pág. 104), “y nada hizo el acusado por reanimarla" (pág. 105), o “[p]ero si no se hace nada” (pág. 108), considera que “su aparente enfrentamiento con el hecho afirmado de realización por el recurrente de masaje cardiaco y tres descargas del desfibrilador no se sostiene más que si se descontextualizan y se contemplan de manera aislada”. Pone de relieve que la falta de actuación no va referida a una total inacción, sino a una acción adecuada a todo lo que se podía hacer, dato probado y reiterado en la sentencia de instancia. En este contexto, “las afirmaciones reprochadas en la demanda se efectúan en el marco de reflexiones incididas por un componente intensamente omisivo —tanto desde la perspectiva cualitativa como cuantitativa— y realizadas con vocación de aplicación general a situaciones de negligencia médica profesional para los supuestos tanto de inacción total como de acción parcial deficiente —en alguna de sus expresiones más intensivas de tan nulo efecto reparador de la salud como la absoluta inacción— en la prestación sanitaria de un médico ante una urgencia vital sometida a su intervención que requiere de un máximo esfuerzo profesional”.</w:t>
      </w:r>
    </w:p>
    <w:p w:rsidR="005728DD" w:rsidRDefault="005728DD" w:rsidP="005728DD">
      <w:pPr>
        <w:pStyle w:val="TextoNormal"/>
      </w:pPr>
    </w:p>
    <w:p w:rsidR="005728DD" w:rsidRDefault="005728DD" w:rsidP="005728DD">
      <w:pPr>
        <w:pStyle w:val="TextoNormal"/>
      </w:pPr>
      <w:r>
        <w:t xml:space="preserve">b) Frente a la plural lesión que el recurrente atribuye al modo de entender la teoría de la imputación objetiva por el Tribunal Supremo para atribuirle el resultado, el Ministerio Fiscal reitera que ese tribunal actúa dentro de sus atribuciones como máximo intérprete de la </w:t>
      </w:r>
      <w:r>
        <w:lastRenderedPageBreak/>
        <w:t>legalidad ordinaria. Fija un criterio aplicativo del tipo penal con base en una de las opciones dogmáticas que se han barajado en la doctrina y la jurisprudencia para imputar al agente el resultado dañoso, singularmente, en supuestos de prestación sanitaria médica subsiguiente a una situación de urgencia vital ocasionada por un acontecimiento lesivo previo; y lo hace, precisamente, en atención a las características de la ciencia médica.</w:t>
      </w:r>
    </w:p>
    <w:p w:rsidR="005728DD" w:rsidRDefault="005728DD" w:rsidP="005728DD">
      <w:pPr>
        <w:pStyle w:val="TextoNormal"/>
      </w:pPr>
    </w:p>
    <w:p w:rsidR="005728DD" w:rsidRDefault="005728DD" w:rsidP="005728DD">
      <w:pPr>
        <w:pStyle w:val="TextoNormal"/>
      </w:pPr>
      <w:r>
        <w:t>El fiscal añade que los hechos probados fueron fijados conforme a la actividad probatoria de carácter personal, pericial y documental desplegada en sede de la propia Audiencia Provincial, sin que, en el aspecto concernido, el relato sufriera modificación sustancial ni revaloración alguna en el análisis habido en sede de casación, de modo que la razonabilidad que une la actividad probatoria y el relato fáctico no puede resultar ahora objeto de cuestionamiento. Aclara que la duda sobre la salvación de la vida de aplicarse una correcta actuación médica es irrelevante desde la perspectiva de la teoría del incremento del riesgo una vez que se acredita la contribución al resultado por el incremento del riesgo fruto de la omisión de la prestación médica sanitaria que se precisaba, aumento que está recogido en el relato de hechos probados como resultado de la prueba practicada.</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la Sección Tercera de este tribunal de 25 de noviembre de 2019, se acordó no tener por personados a los procuradores don Ignacio Melchor Oruña, don Alejandro González Salinas y doña Patricia Martín López, al no haber procedido a la subsanación del defecto que se les puso de manifiesto de no acreditar la representación que dicen ostentar (arts. 49.4 y 50.4 LOTC).</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Se impugna en el recurso de amparo la sentencia de 11 de diciembre de 2017, dictada por la Sala Penal del Tribunal Supremo en el recurso de casación núm. 2019-2016, que revocó la sentencia absolutoria respecto al demandante de la Sección Séptima de la Audiencia Provincial de Madrid, de 21 de septiembre de 2016, dictada en el procedimiento abreviado núm. 970-2015, condenando al recurrente como autor de un delito de homicidio imprudente en la modalidad de imprudencia profesional (art. 142.1 y 3 CP). La impugnación se extiende a la providencia de la Sala Segunda del Tribunal Supremo de 29 de mayo de 2018, por la que se inadmite el incidente excepcional de nulidad de actuaciones promovido por el demandante frente a la citada sentencia de la Sala Penal.</w:t>
      </w:r>
    </w:p>
    <w:p w:rsidR="005728DD" w:rsidRDefault="005728DD" w:rsidP="005728DD">
      <w:pPr>
        <w:pStyle w:val="TextoNormal"/>
      </w:pPr>
    </w:p>
    <w:p w:rsidR="005728DD" w:rsidRDefault="005728DD" w:rsidP="005728DD">
      <w:pPr>
        <w:pStyle w:val="TextoNormal"/>
      </w:pPr>
      <w:r>
        <w:t xml:space="preserve">El demandante de amparo considera vulnerados (i) sus derechos a un proceso con todas las garantías (art. 24.2 CE) y a la tutela judicial efectiva sin indefensión (art. 24.1 CE), en tanto la condena se asienta en una modificación implícita de los hechos probados fruto de una revaloración de la prueba personal sin las debidas garantías y sin haberle dado trámite de audiencia; y (ii) sus derechos a un proceso con todas las garantías (art. 24.2 CE), a la presunción de inocencia (art. 24.2 CE) y a la tutela judicial efectiva sin indefensión (art. 24.1 CE), en tanto la sentencia impugnada adopta una interpretación típica que supone una </w:t>
      </w:r>
      <w:r>
        <w:lastRenderedPageBreak/>
        <w:t xml:space="preserve">inversión de la carga de la prueba y la infracción del principio </w:t>
      </w:r>
      <w:r w:rsidRPr="005728DD">
        <w:rPr>
          <w:i/>
        </w:rPr>
        <w:t>in dubio pro reo</w:t>
      </w:r>
      <w:r>
        <w:t>, cuyos requisitos tampoco se han probado.</w:t>
      </w:r>
    </w:p>
    <w:p w:rsidR="005728DD" w:rsidRDefault="005728DD" w:rsidP="005728DD">
      <w:pPr>
        <w:pStyle w:val="TextoNormal"/>
      </w:pPr>
    </w:p>
    <w:p w:rsidR="005728DD" w:rsidRDefault="005728DD" w:rsidP="005728DD">
      <w:pPr>
        <w:pStyle w:val="TextoNormal"/>
      </w:pPr>
      <w:r>
        <w:t>El fiscal y la acusación particular interesan que se desestime la demanda de amparo, pues la condena no lesiona el derecho a un proceso con todas las garantías, ya que obedece a estrictas consideraciones jurídicas. No existe alteración alguna en el relato de hechos probados formulado en la instancia, sino una subsunción distinta fruto de una concepción dogmática diversa, que, por lo demás, no vulnera el derecho a la presunción de inocencia aducida. En sus alegaciones, la parte comparecida manifiesta, con carácter previo, que no concurre la especial trascendencia constitucional alegada y deficientemente justificada.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Óbice de admisibilidad</w:t>
      </w:r>
      <w:r>
        <w:t>.</w:t>
      </w:r>
    </w:p>
    <w:p w:rsidR="005728DD" w:rsidRDefault="005728DD" w:rsidP="005728DD">
      <w:pPr>
        <w:pStyle w:val="TextoNormal"/>
      </w:pPr>
    </w:p>
    <w:p w:rsidR="005728DD" w:rsidRDefault="005728DD" w:rsidP="005728DD">
      <w:pPr>
        <w:pStyle w:val="TextoNormal"/>
      </w:pPr>
      <w:r>
        <w:t>Antes de entrar al fondo, debe resolverse la doble objeción a la admisión de la demanda planteada por la parte comparecida, que alega falta de una justificación suficiente de la especial trascendencia constitucional, que, además, no estima concurrente [arts. 49.1 y 50.1 b) LOTC]. Frente a tales aseveraciones, se aprecia un razonamiento específico en el apartado III del recurso que apela a dos de los supuestos de especial trascendencia constitucional enunciados sin ánimo agotador en el fundamento jurídico 2 de la STC 155/2009, de 25 de junio. De una parte, al enunciado con la letra e), identificando como doctrina constitucional sobre la que existen resoluciones contradictorias, la relativa a las garantías procesales de la reforma peyorativa en segunda instancia y como tales resoluciones conflictivas las del propio Tribunal Supremo. De otra, al supuesto g), con el argumento de que se plantea una cuestión jurídica de relevante y general repercusión social, por cuanto la interpretación defendida por el Tribunal Supremo en la sentencia impugnada es un precedente que se proyecta a la profesión médica. A tenor de tal desarrollo, no puede compartirse el óbice en lo que atañe a la justificación insuficiente de la especial trascendencia constitucional, ya que se identifican dos de las causas de relevancia constitucional expuestas en la STC 155/2009 y se razona sobre su concurrencia. Se aprecia un esfuerzo argumental de la parte recurrente destinado a cumplir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establecidos en la jurisprudencia constitucional (SSTC 89/2016, de 9 de mayo, FJ 2, y 172/2016, de 17 de octubre, FJ 2).</w:t>
      </w:r>
    </w:p>
    <w:p w:rsidR="005728DD" w:rsidRDefault="005728DD" w:rsidP="005728DD">
      <w:pPr>
        <w:pStyle w:val="TextoNormal"/>
      </w:pPr>
    </w:p>
    <w:p w:rsidR="005728DD" w:rsidRDefault="005728DD" w:rsidP="005728DD">
      <w:pPr>
        <w:pStyle w:val="TextoNormal"/>
      </w:pPr>
      <w:r>
        <w:t xml:space="preserve">Por lo que se refiere a la apreciación de especial trascendencia constitucional, cuya concurrencia también cuestiona la parte, es doctrina reiterada que “es a este tribunal a quien corresponde apreciar si el contenido del recurso justifica una decisión sobre el fondo en razón de su especial trascendencia constitucional, que encuentra su momento procesal idóneo en el trámite de admisión contemplado en el art. 50.1 LOTC” [últimamente, entre otras, SSTC 46/2019, de 8 de abril, FJ 3 c); 54/2019, de 6 de mayo, FJ 3 c); 3/2020, de 15 de enero, FJ 4, y 143/2020, de 19 de octubre, FJ 2]. En la providencia de admisión a trámite consta que hemos considerado que el presente recurso tiene especial trascendencia constitucional, porque la doctrina de este tribunal sobre el derecho fundamental que se alega podría estar siendo incumplida de modo general y reiterado por la jurisdicción ordinaria o pudieran existir resoluciones judiciales contradictorias sobre el derecho fundamental [STC 155/2009, FJ 2 e)]. En concreto, y desde la perspectiva del derecho a un proceso con todas </w:t>
      </w:r>
      <w:r>
        <w:lastRenderedPageBreak/>
        <w:t>las garantías (art. 24.2 CE) y las exigencias para poder condenar o agravar la pena en vía de recurso, la dificultad de su traslación al ámbito de la casación, donde no se prevé ni se ha admitido la celebración de vista con audiencia del acusado, ha provocado que hayamos tenido que pronunciarnos en diversas ocasiones sobre resoluciones peyorativas del Tribunal Supremo en las que se aplicaba la doctrina referida con desigual tino. En particular, en supuestos en los que, sin modificar formalmente los hechos probados, sin embargo, no siempre se está decidiendo sobre cuestiones estrictamente jurídicas, lo que es conforme con las exigencias del art. 24.2 CE, sino fácticas, incumpliendo las exigencias constitucionales. Como muestra de esa aplicación contradictoria de la doctrina constitucional cabe traer, entre otras, las SSTC 172/2016, de 17 de octubre; 146/2017, de 14 de diciembre, o 36 y 37/2018, ambas de 23 de abril. O más recientemente, las SSTC 1/2020, de 14 de enero, o 35/2020, de 25 de febrero, donde hemos apreciado como razón de especial trascendencia constitucional que su doctrina podría estar siendo incumplida de modo general y reiterado por la jurisdicción ordinaria o pudieran existir resoluciones judiciales contradictorias sobre el derecho fundamental [STC 155/2009, FJ 2 e)].</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sobre las garantías procedimentales de la condena o agravación en segunda instancia</w:t>
      </w:r>
      <w:r>
        <w:t>.</w:t>
      </w:r>
    </w:p>
    <w:p w:rsidR="005728DD" w:rsidRDefault="005728DD" w:rsidP="005728DD">
      <w:pPr>
        <w:pStyle w:val="TextoNormal"/>
      </w:pPr>
    </w:p>
    <w:p w:rsidR="005728DD" w:rsidRDefault="005728DD" w:rsidP="005728DD">
      <w:pPr>
        <w:pStyle w:val="TextoNormal"/>
      </w:pPr>
      <w:r>
        <w:t>El primer motivo del recurso denuncia la vulneración del derecho a un proceso con todas las garantías (art. 24.2 CE) y del derecho a la tutela judicial efectiva sin indefensión (art. 24.1 CE), si bien en el desarrollo del motivo se aprecia que la queja se circunscribe al primero de los derechos. Así, tras exponerse la doctrina constitucional sobre las garantías procesales que el art. 24.2 CE exige a los órganos judiciales para revisar una sentencia penal absolutoria o agravar una condenatoria, se concluye que el Tribunal Supremo altera la literalidad de los hechos probados en tanto se añaden unos (el acusado “no hizo nada”) y se prescinde de otros (las periciales que acreditan el estado crítico o de extrema gravedad de la víctima y las escasísimas posibilidades de recuperación), de modo que las consideraciones jurídicas determinantes de la condena (versión extrema de la teoría del incremento del riesgo) no son respetuosas con aquellos hechos probados ni congruentes con el resultado de la prueba, que se revalora sin inmediación.</w:t>
      </w:r>
    </w:p>
    <w:p w:rsidR="005728DD" w:rsidRDefault="005728DD" w:rsidP="005728DD">
      <w:pPr>
        <w:pStyle w:val="TextoNormal"/>
      </w:pPr>
    </w:p>
    <w:p w:rsidR="005728DD" w:rsidRDefault="005728DD" w:rsidP="005728DD">
      <w:pPr>
        <w:pStyle w:val="TextoNormal"/>
      </w:pPr>
      <w:r>
        <w:t xml:space="preserve">Este tribunal cuenta con una consolidada jurisprudencia sobre las exigencias que debe reunir una condena penal o agravación en segunda o ulteriores instancias para respetar el derecho a un proceso con todas las garantías. En la reciente STC 35/2020, de 25 de febrero, FJ 2, el Pleno de este tribunal recuerda haberla resumido en las SSTC 88/2013, de 11 de abril, FFJJ 7 a 9; 146/2017, de 14 de diciembre, FFJJ 6 y 7, y 1/2020, de 14 de enero, FJ 4. En todas ellas se pone de relieve que la cuestión ha sido objeto de un detenido y extenso análisis en numerosas resoluciones —inspiradas en los pronunciamientos del Tribunal Europeo de Derechos Humanos— que arrancan de la STC 167/2002, de 18 de diciembre, FFJJ 9 a 11. Entonces, este tribunal en pleno declaró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Esta doctrina fue complementada con la STC 184/2009, de 7 de septiembre, FJ 3, en la que señalamos que también en estos casos se debe igualmente atender </w:t>
      </w:r>
      <w:r>
        <w:lastRenderedPageBreak/>
        <w:t>a la exigencia de la audiencia personal del acusado como garantía específica vinculada al derecho de defensa (art. 24.2 CE).</w:t>
      </w:r>
    </w:p>
    <w:p w:rsidR="005728DD" w:rsidRDefault="005728DD" w:rsidP="005728DD">
      <w:pPr>
        <w:pStyle w:val="TextoNormal"/>
      </w:pPr>
    </w:p>
    <w:p w:rsidR="005728DD" w:rsidRDefault="005728DD" w:rsidP="005728DD">
      <w:pPr>
        <w:pStyle w:val="TextoNormal"/>
      </w:pPr>
      <w:r>
        <w:t>Desde tales hitos, se ha afianzado una doctrina constitucional que, en síntesis, fija los siguientes márgenes de revisión: (i) Vulnera el derecho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la que se desarrolle la necesaria actividad probatoria con las garantías de publicidad, inmediación y contradicción que le son propias y se dé al acusado la posibilidad de defenderse exponiendo su testimonio personal. (ii) No cabe efectuar este reproche constitucional cuando la condena o la agravación de la situación, a pesar de no haberse celebrado vista pública, tenga origen en una controversia estrictamente jurídica entre los órganos judiciales de primera y segunda instancia en la que no estén implicadas las garantías de publicidad, inmediación y contradicción y para cuya resolución no resulte necesario oír al acusado. Ninguna incidencia podría tener la audiencia en la decisión que pudiera adoptarse y la posición de la parte puede entenderse debidamente garantizada por la presencia de su abogado.</w:t>
      </w:r>
    </w:p>
    <w:p w:rsidR="005728DD" w:rsidRDefault="005728DD" w:rsidP="005728DD">
      <w:pPr>
        <w:pStyle w:val="TextoNormal"/>
      </w:pPr>
    </w:p>
    <w:p w:rsidR="005728DD" w:rsidRDefault="005728DD" w:rsidP="005728DD">
      <w:pPr>
        <w:pStyle w:val="TextoNormal"/>
      </w:pPr>
      <w:r>
        <w:t xml:space="preserve">Estos criterios han tenido una particular proyección en supuestos en los que la controversia o discrepancia se produce en relación con la concurrencia de un concreto elemento típico, el elemento subjetivo necesario para establecer o agravar la responsabilidad penal. Al respecto, hemos subrayado que el enjuiciamiento sobre dicha presencia deberá venir presidido por la previa audiencia al acusado, ya que forma parte, a estos efectos, de la vertiente fáctica del juicio que corresponde efectuar a los órganos judiciales (ya en STC 88/2013, FJ 8, con cita de la STC 126/2012, de 18 de junio, FJ 4). Este criterio, reiterado, entre otras, en las SSTC 157/2013, de 23 de septiembre, FJ 7; 205/2013, de 5 de diciembre, FJ 5; 125/2017, de 13 de noviembre, FJ 6; 146/2017, de 14 de diciembre, FJ 7; 59/2018, de 4 de junio, FJ 3, 73/2019, de 20 de mayo, FJ 2; 149/2019, de 25 de noviembre, FJ 2; 1/2020, de 14 de enero, FJ 4, o 35/2020, de 25 de febrero, FJ 2, traduce la consideración del Tribunal Europeo de Derechos Humanos de que, con carácter general, la revisión de los elementos subjetivos del delito es también una cuestión de hecho y no una estricta cuestión de calificación jurídica y, por ello, precisa, cuando menos, la audiencia del acusado (SSTEDH de 10 de marzo de 2009, caso </w:t>
      </w:r>
      <w:r w:rsidRPr="005728DD">
        <w:rPr>
          <w:i/>
        </w:rPr>
        <w:t>Igual Coll c. España</w:t>
      </w:r>
      <w:r>
        <w:t xml:space="preserve">; 22 de noviembre de 2011, caso </w:t>
      </w:r>
      <w:r w:rsidRPr="005728DD">
        <w:rPr>
          <w:i/>
        </w:rPr>
        <w:t>Lacadena Calero c. España</w:t>
      </w:r>
      <w:r>
        <w:t xml:space="preserve">; 13 de diciembre de 2011, caso </w:t>
      </w:r>
      <w:r w:rsidRPr="005728DD">
        <w:rPr>
          <w:i/>
        </w:rPr>
        <w:t>Valbuena Redondo c. España</w:t>
      </w:r>
      <w:r>
        <w:t xml:space="preserve">; 20 de marzo de 2012, caso </w:t>
      </w:r>
      <w:r w:rsidRPr="005728DD">
        <w:rPr>
          <w:i/>
        </w:rPr>
        <w:t>Serrano Contreras c. España</w:t>
      </w:r>
      <w:r>
        <w:t xml:space="preserve">; 27 de noviembre de 2012, caso </w:t>
      </w:r>
      <w:r w:rsidRPr="005728DD">
        <w:rPr>
          <w:i/>
        </w:rPr>
        <w:t>Vilanova Goterris y Llop García c. España</w:t>
      </w:r>
      <w:r>
        <w:t xml:space="preserve">; 8 de octubre de 2013, caso </w:t>
      </w:r>
      <w:r w:rsidRPr="005728DD">
        <w:rPr>
          <w:i/>
        </w:rPr>
        <w:t>Nieto Macero c. España</w:t>
      </w:r>
      <w:r>
        <w:t xml:space="preserve">; 8 de octubre de 2013, caso </w:t>
      </w:r>
      <w:r w:rsidRPr="005728DD">
        <w:rPr>
          <w:i/>
        </w:rPr>
        <w:t>Román Zurdo c. España</w:t>
      </w:r>
      <w:r>
        <w:t xml:space="preserve">; 12 de noviembre de 2013, caso </w:t>
      </w:r>
      <w:r w:rsidRPr="005728DD">
        <w:rPr>
          <w:i/>
        </w:rPr>
        <w:t>Sainz Casla c. España</w:t>
      </w:r>
      <w:r>
        <w:t xml:space="preserve">; 8 de marzo de 2016, caso </w:t>
      </w:r>
      <w:r w:rsidRPr="005728DD">
        <w:rPr>
          <w:i/>
        </w:rPr>
        <w:t>Porcel Terribas y otros c. España</w:t>
      </w:r>
      <w:r>
        <w:t xml:space="preserve">; 29 de marzo de 2016, caso </w:t>
      </w:r>
      <w:r w:rsidRPr="005728DD">
        <w:rPr>
          <w:i/>
        </w:rPr>
        <w:t>Gómez Olmeda c. España</w:t>
      </w:r>
      <w:r>
        <w:t xml:space="preserve">; 13 de junio de 2017, caso </w:t>
      </w:r>
      <w:r w:rsidRPr="005728DD">
        <w:rPr>
          <w:i/>
        </w:rPr>
        <w:t>Atutxa Mendiola y otros c. España</w:t>
      </w:r>
      <w:r>
        <w:t xml:space="preserve">; 13 de marzo de 2018, caso </w:t>
      </w:r>
      <w:r w:rsidRPr="005728DD">
        <w:rPr>
          <w:i/>
        </w:rPr>
        <w:t>Vilches Coronado y otros c. España</w:t>
      </w:r>
      <w:r>
        <w:t xml:space="preserve">, o 24 de septiembre de 2019, caso </w:t>
      </w:r>
      <w:r w:rsidRPr="005728DD">
        <w:rPr>
          <w:i/>
        </w:rPr>
        <w:t>Camacho Camacho c. España</w:t>
      </w:r>
      <w:r>
        <w:t xml:space="preserve">). No obstante, debe distinguirse el enjuiciamiento relativo a la concurrencia del hecho subjetivo de la estricta calificación jurídica que deba asignarse a ese hecho una vez acreditada su existencia. No cabe objeción constitucional a la condena o la agravación en vía de recurso, a pesar de no haberse celebrado vista pública, en tanto traiga causa de erróneas consideraciones jurídicas sobre su necesaria concurrencia, es decir, si se trata de la corrección de errores de subsunción jurídica a partir de los elementos fácticos reflejados en la resolución impugnada (SSTC 125/2017, FJ 6, 35/2020, FJ 2). En </w:t>
      </w:r>
      <w:r>
        <w:lastRenderedPageBreak/>
        <w:t xml:space="preserve">tal caso, el debate desarrollado en la jurisdicción revisora no atañe a cuestiones de hecho y de Derecho, donde sería precisa la celebración de audiencia pública con participación del acusado, sino a aspectos puramente jurídicos, objeto de la contradicción imprescindible para el derecho de defensa a través de la intervención de su abogado (SSTEDH de 22 de octubre de 2013, caso </w:t>
      </w:r>
      <w:r w:rsidRPr="005728DD">
        <w:rPr>
          <w:i/>
        </w:rPr>
        <w:t>Naranjo Acevedo c. España</w:t>
      </w:r>
      <w:r>
        <w:t xml:space="preserve">, § 17 a 19, y de 23 de febrero de 2016, caso </w:t>
      </w:r>
      <w:r w:rsidRPr="005728DD">
        <w:rPr>
          <w:i/>
        </w:rPr>
        <w:t>Pérez Martínez c. España</w:t>
      </w:r>
      <w:r>
        <w:t>, § 37, 39 y 40).</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al caso: distinta comprensión de un elemento típico y ausencia de modificación de los hechos o de revaloración de la prueba</w:t>
      </w:r>
      <w:r>
        <w:t>.</w:t>
      </w:r>
    </w:p>
    <w:p w:rsidR="005728DD" w:rsidRDefault="005728DD" w:rsidP="005728DD">
      <w:pPr>
        <w:pStyle w:val="TextoNormal"/>
      </w:pPr>
    </w:p>
    <w:p w:rsidR="005728DD" w:rsidRDefault="005728DD" w:rsidP="005728DD">
      <w:pPr>
        <w:pStyle w:val="TextoNormal"/>
      </w:pPr>
      <w:r>
        <w:t>La proyección de los criterios expuestos al asunto que nos ocupa conduce a negar la lesión del derecho a un proceso con todas las garantías (art. 24.2 CE) aducida, ya que la Sala Segunda del Tribunal Supremo ha revocado la absolución y condena con base en consideraciones puramente jurídicas tras un examen respetuoso de sus exigencias.</w:t>
      </w:r>
    </w:p>
    <w:p w:rsidR="005728DD" w:rsidRDefault="005728DD" w:rsidP="005728DD">
      <w:pPr>
        <w:pStyle w:val="TextoNormal"/>
      </w:pPr>
    </w:p>
    <w:p w:rsidR="005728DD" w:rsidRDefault="005728DD" w:rsidP="005728DD">
      <w:pPr>
        <w:pStyle w:val="TextoNormal"/>
      </w:pPr>
      <w:r>
        <w:t xml:space="preserve">a) </w:t>
      </w:r>
      <w:r w:rsidRPr="005728DD">
        <w:rPr>
          <w:i/>
        </w:rPr>
        <w:t>Distinta comprensión de un elemento típico</w:t>
      </w:r>
      <w:r>
        <w:t xml:space="preserve">. Se debate en casación sobre el criterio de imputación objetiva del resultado a una omisión imprudente que conduce a responder por ese resultado en comisión por omisión u omisión impropia. En esa discusión, la sentencia de la Audiencia Provincial, la del Tribunal Supremo y el voto particular manejan las principales teorías propuestas, la teoría de la evitabilidad y la teoría del incremento/disminución del riesgo, que, además, siguen en versiones diversas. Sin descender a los matices con que pueden formularse esas posturas básicas, resulta claro que la teoría de la evitabilidad, por la que se inclina el tribunal </w:t>
      </w:r>
      <w:r w:rsidRPr="005728DD">
        <w:rPr>
          <w:i/>
        </w:rPr>
        <w:t>a quo</w:t>
      </w:r>
      <w:r>
        <w:t xml:space="preserve">, para imputar el resultado exige que se acredite </w:t>
      </w:r>
      <w:r w:rsidRPr="005728DD">
        <w:rPr>
          <w:i/>
        </w:rPr>
        <w:t>ex post</w:t>
      </w:r>
      <w:r>
        <w:t xml:space="preserve"> que la conducta debida </w:t>
      </w:r>
      <w:r w:rsidRPr="005728DD">
        <w:rPr>
          <w:i/>
        </w:rPr>
        <w:t>ex ante</w:t>
      </w:r>
      <w:r>
        <w:t xml:space="preserve"> habría logrado evitar el resultado con una posibilidad rayana en la certeza o, en versiones menos rigurosas, con una elevada probabilidad. En cambio, la teoría del incremento del riesgo que defiende el Tribunal Supremo, que suele enunciarse como teoría de la disminución del riesgo en el ámbito de la omisión, imputa el resultado si se constata </w:t>
      </w:r>
      <w:r w:rsidRPr="005728DD">
        <w:rPr>
          <w:i/>
        </w:rPr>
        <w:t>ex post</w:t>
      </w:r>
      <w:r>
        <w:t xml:space="preserve"> que la conducta que resultaba diligente al tiempo de actuarse habría disminuido el riesgo de acaecimiento del resultado, admitiendo a su vez diversos grados de disminución del peligro —del mínimo al sustancial— como umbral para atribuir el resultado a la omisión y condenar por el delito de resultado de que se trate.</w:t>
      </w:r>
    </w:p>
    <w:p w:rsidR="005728DD" w:rsidRDefault="005728DD" w:rsidP="005728DD">
      <w:pPr>
        <w:pStyle w:val="TextoNormal"/>
      </w:pPr>
    </w:p>
    <w:p w:rsidR="005728DD" w:rsidRDefault="005728DD" w:rsidP="005728DD">
      <w:pPr>
        <w:pStyle w:val="TextoNormal"/>
      </w:pPr>
      <w:r>
        <w:t>Se entiende así que, ante unos mismos hechos y, en particular, ante un determinado nivel de incertidumbre sobre la producción o evitación del resultado con la conducta correcta, la opción por una u otra posición dote de significado típico o no a la conducta omisiva de un garante. Ciertamente podrá preferirse una concepción u otra, podrá discutirse sobre su corrección dogmática y político-criminal e, incluso, sobre su respeto al derecho a la presunción de inocencia o su compatibilidad con las previsiones legales desde la perspectiva del derecho a la legalidad penal. Pero, en lo que cumple al análisis de este motivo, lo determinante es que se trata de una cuestión estrictamente jurídica, en la que los elementos fácticos objetivos y subjetivos fijados en la sentencia de primera instancia, fruto de una práctica válida de la prueba y sobre los que ha podido pronunciarse el acusado, se subsumen o no en el tipo correspondiente en función del entendimiento de ese tipo.</w:t>
      </w:r>
    </w:p>
    <w:p w:rsidR="005728DD" w:rsidRDefault="005728DD" w:rsidP="005728DD">
      <w:pPr>
        <w:pStyle w:val="TextoNormal"/>
      </w:pPr>
    </w:p>
    <w:p w:rsidR="005728DD" w:rsidRDefault="005728DD" w:rsidP="005728DD">
      <w:pPr>
        <w:pStyle w:val="TextoNormal"/>
      </w:pPr>
      <w:r>
        <w:t xml:space="preserve">Como se expuso en los antecedentes, la Sala Segunda del Tribunal Supremo parte de la posición de garante del demandante como médico que atendió a la joven herida en la avalancha, de la grosera omisión de la diligencia debida por no realizarse las maniobras más elementales de reanimación, del incremento del riesgo para la vida de la joven y de su </w:t>
      </w:r>
      <w:r>
        <w:lastRenderedPageBreak/>
        <w:t xml:space="preserve">muerte. Todos ellos, datos fácticos y valoraciones que constan en la sentencia de primera instancia y se ajustan a las pericias practicadas y al resultado probatorio acogido por la Audiencia Provincial, como reconoce el voto particular. La diferente calificación jurídica de los hechos se explica porque el Tribunal Supremo sostiene que esos datos son suficientes para imputar el resultado de muerte a la negligente conducta omisiva del médico. El aumento de las posibilidades de que la joven herida no pudiera recuperarse de las lesiones sufridas que desencadenó su actuación, afirmado textualmente por el tribunal </w:t>
      </w:r>
      <w:r w:rsidRPr="005728DD">
        <w:rPr>
          <w:i/>
        </w:rPr>
        <w:t>a quo</w:t>
      </w:r>
      <w:r>
        <w:t>, supone un incremento del riesgo de muerte, que, en la opción interpretativa del órgano de casación, es el criterio determinante de la imputación del resultado, sin que sea exigible la práctica certeza sobre la eficacia salvadora de la conducta debida y omitida por el médico que, por el contrario, demandaba la sentencia absolutoria revocada.</w:t>
      </w:r>
    </w:p>
    <w:p w:rsidR="005728DD" w:rsidRDefault="005728DD" w:rsidP="005728DD">
      <w:pPr>
        <w:pStyle w:val="TextoNormal"/>
      </w:pPr>
    </w:p>
    <w:p w:rsidR="005728DD" w:rsidRDefault="005728DD" w:rsidP="005728DD">
      <w:pPr>
        <w:pStyle w:val="TextoNormal"/>
      </w:pPr>
      <w:r>
        <w:t>Con base en los elementos de hecho declarados probados por la Audiencia Provincial, la sentencia impugnada se limita a modificar su calificación jurídica, supuesto de revisión peyorativa en vía de recurso que, conforme a la doctrina más arriba expuesta, no precisa la celebración de vista pública con audiencia al acusado y, en su caso, práctica de prueba para resultar conforme con las exigencias del derecho a un proceso con todas las garantías (art. 24.2 CE). Se maneja una tesis distinta sobre un elemento objetivo, la imputación del resultado a la omisión. Como ocurría en los supuestos de distinta concepción sobre el elemento subjetivo del tipo más arriba referidos, el cambio de calificación jurídica obedece exclusivamente a la interpretación de los requisitos del delito y no a una nueva fijación de los hechos probados que encuentre su origen en la reconsideración de pruebas o una revisión de las inferencias a partir de los mismos.</w:t>
      </w:r>
    </w:p>
    <w:p w:rsidR="005728DD" w:rsidRDefault="005728DD" w:rsidP="005728DD">
      <w:pPr>
        <w:pStyle w:val="TextoNormal"/>
      </w:pPr>
    </w:p>
    <w:p w:rsidR="005728DD" w:rsidRDefault="005728DD" w:rsidP="005728DD">
      <w:pPr>
        <w:pStyle w:val="TextoNormal"/>
      </w:pPr>
      <w:r>
        <w:t xml:space="preserve">b) </w:t>
      </w:r>
      <w:r w:rsidRPr="005728DD">
        <w:rPr>
          <w:i/>
        </w:rPr>
        <w:t>Ausencia de modificación de los hechos o de revaloración de la prueba</w:t>
      </w:r>
      <w:r>
        <w:t xml:space="preserve">. Aduce el recurrente que, a pesar de mantenerse formalmente el </w:t>
      </w:r>
      <w:r w:rsidRPr="005728DD">
        <w:rPr>
          <w:i/>
        </w:rPr>
        <w:t>factum</w:t>
      </w:r>
      <w:r>
        <w:t>, se altera en tanto (i) se obvia la “duda absolutoria” fruto de no haberse acreditado que una actuación correcta hubiera evitado el resultado, (ii) se revalora el hecho de quién creo el riesgo, que solo es imputable a las conductas generadoras de la avalancha, y (iii) se afirma que “no hizo nada”, a pesar de que consta que practicó masaje cardíaco y tres descargas con el desfibrilador. Sin embargo, ninguno de los tres extremos señalados constituyen tal modificación prohibida, sino una crítica a la aplicación de la versión de la teoría del incremento del riesgo manejada por el órgano judicial, esto es, una discrepancia sobre cuestiones jurídicas y no fácticas.</w:t>
      </w:r>
    </w:p>
    <w:p w:rsidR="005728DD" w:rsidRDefault="005728DD" w:rsidP="005728DD">
      <w:pPr>
        <w:pStyle w:val="TextoNormal"/>
      </w:pPr>
    </w:p>
    <w:p w:rsidR="005728DD" w:rsidRDefault="005728DD" w:rsidP="005728DD">
      <w:pPr>
        <w:pStyle w:val="TextoNormal"/>
      </w:pPr>
      <w:r>
        <w:t>(i) La primera objeción no plantea realmente que se haya producido una modificación de los hechos. En ningún momento ha negado el Tribunal Supremo que falte la certeza de que la actuación debida hubiera impedido el resultado, de modo que tampoco ha revisado la prueba en que se apoya tal conclusión. Lo que ha negado es que ese dato determine una duda absolutoria en tanto que, conforme al criterio del incremento del riesgo, como criterio elegido de imputación del resultado, esa incertidumbre no es relevante, lo relevante es que efectivamente hubiera un incremento del peligro (o una no disminución). Se trata de un hecho probado en la resolución casada (“aumentando así la posibilidad de que no pudieran recuperarse de las lesiones sufridas”) que ahora se valora como suficiente para condenar. En el mismo sentido, tampoco existe una desatención a las mínimas posibilidades de supervivencia apuntadas por las periciales practicadas, que no se revaloran, en tanto que para el Tribunal Supremo lo relevante es la existencia de una posibilidad de aminoración del riesgo de muerte, por mínima que fuera, sin exigir una posibilidad sustancial de disminución del riesgo.</w:t>
      </w:r>
    </w:p>
    <w:p w:rsidR="005728DD" w:rsidRDefault="005728DD" w:rsidP="005728DD">
      <w:pPr>
        <w:pStyle w:val="TextoNormal"/>
      </w:pPr>
    </w:p>
    <w:p w:rsidR="005728DD" w:rsidRDefault="005728DD" w:rsidP="005728DD">
      <w:pPr>
        <w:pStyle w:val="TextoNormal"/>
      </w:pPr>
      <w:r>
        <w:t>(ii) La segunda objeción del demandante olvida que su responsabilidad penal no deriva del riesgo desencadenado por la conducta de otros acusados, determinante de la avalancha, sino del incremento del riesgo de desenlace fatal fruto de la omisión de la conducta debida a que estaba obligado en su condición de garante. La resolución impugnada no revalora el origen del riesgo inicial desencadenado por la avalancha, que ni se cuestiona ni se le atribuye en absoluto, sino que califica el peligro de su conducta omisiva, incremento del riesgo frente al permitido que, como hemos repetido, se afirma ya en la sentencia de primera instancia.</w:t>
      </w:r>
    </w:p>
    <w:p w:rsidR="005728DD" w:rsidRDefault="005728DD" w:rsidP="005728DD">
      <w:pPr>
        <w:pStyle w:val="TextoNormal"/>
      </w:pPr>
    </w:p>
    <w:p w:rsidR="005728DD" w:rsidRDefault="005728DD" w:rsidP="005728DD">
      <w:pPr>
        <w:pStyle w:val="TextoNormal"/>
      </w:pPr>
      <w:r>
        <w:t>(iii) Por último, alega una genuina alteración fáctica en relación con la descripción de su conducta en diversas expresiones de la sentencia impugnada como un “no hacer nada”, cuya oposición al hecho probado de que practicó maniobras de reanimación es, a lo sumo, aparente y viene desmentida por su contextualización, como ha manifestado el fiscal en sus alegaciones. Las frases de la sentencia impugnada “[s]in embargo, quien no actúa y puede hacerlo” (página 104) o “[p]ero si no se hace nada” (página 108) se formulan con vocación general al exponerse la posición dogmática adoptada por el Tribunal Supremo y no como descripción de la conducta del acusado. Además, esas expresiones generales se conectan en las páginas citadas, al igual que la locución “nada hizo el acusado por reanimarla” en las páginas 105 y 108, con la valoración de su conducta como omisiva de la prestación sanitaria adecuada, refiriéndose esa “nada” a la no realización del comportamiento debido, hecho fijado tanto en el relato de hechos probados como en la fundamentación jurídica de la sentencia de instancia, que califica la actuación del médico como “claramente negligente”. El Tribunal Supremo no pone en duda que el demandante hiciera un masaje cardíaco a la víctima y aplicara tres descargas con el desfibrilador, sino que acoge la valoración en la sentencia de primera instancia de esa exigua atención como gravemente imprudente.</w:t>
      </w:r>
    </w:p>
    <w:p w:rsidR="005728DD" w:rsidRDefault="005728DD" w:rsidP="005728DD">
      <w:pPr>
        <w:pStyle w:val="TextoNormal"/>
      </w:pPr>
    </w:p>
    <w:p w:rsidR="005728DD" w:rsidRDefault="005728DD" w:rsidP="005728DD">
      <w:pPr>
        <w:pStyle w:val="TextoNormal"/>
      </w:pPr>
      <w:r>
        <w:t xml:space="preserve">En suma, a diferencia de otros asuntos, los aspectos analizados por el Tribunal Supremo para pronunciarse sobre la culpabilidad del demandante no atañen a cuestiones de hecho y de Derecho entrelazadas, sino puramente jurídicas, relativas al criterio para afirmar la existencia del nexo objetivo típicamente exigible entre el resultado desvalorado y la conducta del agente. Se parte del mismo sustrato fáctico, como el propio voto particular admite, pero se opta por una interpretación del delito de homicidio imprudente en comisión por omisión (art. 142 CP en relación con el art. 11 CP), del concreto elemento objetivo del tipo de la imputación objetiva, que torna la atipicidad en tipicidad y, por ello, la absolución en condena. Las tres alteraciones fácticas que, según criterio del demandante, desmentirían la conclusión anterior, no son tales, sino una crítica a la concepción del elemento típico de la imputación objetiva acogida por el Tribunal Supremo. En la medida en que se trata de una nueva definición jurídica del delito enjuiciado y, por ello, de un estricto cambio de calificación jurídica a partir de los hechos probados y de la valoración realizada por la audiencia de la conducta del médico como gravemente imprudente, no era precisa la celebración de una vista pública con reproducción de pruebas personales y audiencia del acusado, siendo bastante que su letrado tuviera oportunidad de presentar por escrito los argumentos que estimó oportunos en su defensa, habiendo incluso informado al respecto en la vista celebrada en casación (SSTC 35/2020, FJ 3, y SSTEDH de 16 de diciembre de 2008, caso </w:t>
      </w:r>
      <w:r w:rsidRPr="005728DD">
        <w:rPr>
          <w:i/>
        </w:rPr>
        <w:t>Bazo González c. España</w:t>
      </w:r>
      <w:r>
        <w:t xml:space="preserve">, § 36; de 22 de octubre de 2013, caso </w:t>
      </w:r>
      <w:r w:rsidRPr="005728DD">
        <w:rPr>
          <w:i/>
        </w:rPr>
        <w:t>Naranjo Acevedo c. España</w:t>
      </w:r>
      <w:r>
        <w:t xml:space="preserve">, § 17-19, y de 23 de febrero de 2016, caso </w:t>
      </w:r>
      <w:r w:rsidRPr="005728DD">
        <w:rPr>
          <w:i/>
        </w:rPr>
        <w:t>Pérez Martínez c. España</w:t>
      </w:r>
      <w:r>
        <w:t>, § 37, 39 y 40).</w:t>
      </w:r>
    </w:p>
    <w:p w:rsidR="005728DD" w:rsidRDefault="005728DD" w:rsidP="005728DD">
      <w:pPr>
        <w:pStyle w:val="TextoNormal"/>
      </w:pPr>
    </w:p>
    <w:p w:rsidR="005728DD" w:rsidRDefault="005728DD" w:rsidP="005728DD">
      <w:pPr>
        <w:pStyle w:val="TextoNormal"/>
      </w:pPr>
      <w:r>
        <w:lastRenderedPageBreak/>
        <w:t>El motivo debe decaer, pues no se ha vulnerado el derecho del recurrente a un proceso con todas las garantías (art. 24.2 CE).</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Presunción de inocencia</w:t>
      </w:r>
      <w:r>
        <w:t xml:space="preserve">, in dubio pro reo </w:t>
      </w:r>
      <w:r w:rsidRPr="005728DD">
        <w:rPr>
          <w:i/>
        </w:rPr>
        <w:t>e interpretación penal</w:t>
      </w:r>
      <w:r>
        <w:t>.</w:t>
      </w:r>
    </w:p>
    <w:p w:rsidR="005728DD" w:rsidRDefault="005728DD" w:rsidP="005728DD">
      <w:pPr>
        <w:pStyle w:val="TextoNormal"/>
      </w:pPr>
    </w:p>
    <w:p w:rsidR="005728DD" w:rsidRDefault="005728DD" w:rsidP="005728DD">
      <w:pPr>
        <w:pStyle w:val="TextoNormal"/>
      </w:pPr>
      <w:r>
        <w:t xml:space="preserve">En el segundo motivo, se alega la lesión del derecho a un proceso con todas las garantías en general, del derecho a la presunción de inocencia y del derecho a la tutela judicial sin indefensión. En su desarrollo, no obstante, se pone en duda, con carácter principal, la compatibilidad con las exigencias del derecho a la presunción de inocencia de la interpretación manejada en la sentencia del Tribunal Supremo sobre los requisitos para imputar objetivamente el resultado de muerte a la omisión de la conducta médica debida, a la que se atribuye una inversión de la carga de la prueba y la vulneración del principio </w:t>
      </w:r>
      <w:r w:rsidRPr="005728DD">
        <w:rPr>
          <w:i/>
        </w:rPr>
        <w:t>in dubio pro reo</w:t>
      </w:r>
      <w:r>
        <w:t xml:space="preserve">. A esa crítica absoluta se suma (ya en los parámetros de la concepción criticada), que la prueba que se exige al acusado para ser absuelto —que el resultado se hubiera producido aun desplegando la conducta debida— precisa una certeza imposible de acreditar conforme a lo defendido por el propio Tribunal Supremo sobre la incertidumbre en el ámbito médico. También se reprocha que no se ha acreditado </w:t>
      </w:r>
      <w:r w:rsidRPr="005728DD">
        <w:rPr>
          <w:i/>
        </w:rPr>
        <w:t>ex post</w:t>
      </w:r>
      <w:r>
        <w:t xml:space="preserve"> la posibilidad de una disminución relevante del riesgo por la acción médica diligente.</w:t>
      </w:r>
    </w:p>
    <w:p w:rsidR="005728DD" w:rsidRDefault="005728DD" w:rsidP="005728DD">
      <w:pPr>
        <w:pStyle w:val="TextoNormal"/>
      </w:pPr>
    </w:p>
    <w:p w:rsidR="005728DD" w:rsidRDefault="005728DD" w:rsidP="005728DD">
      <w:pPr>
        <w:pStyle w:val="TextoNormal"/>
      </w:pPr>
      <w:r>
        <w:t xml:space="preserve">El Pleno del tribunal recordó en la STC 185/2014, de 6 de noviembre, FJ 3, que la “doctrina de este tribunal ha reconocido que el derecho a la presunción de inocencia es ‘uno de los principios cardinales del Derecho penal contemporáneo, en sus facetas sustantiva y formal’ (por todas, SSTC 138/1992, de 13 de octubre, y 133/1995, de 25 de septiembre) y es consciente de la importancia garantista del derecho a la presunción de inocencia, al que considera quizás ‘la principal manifestación constitucional de la especial necesidad de proteger a la persona frente a una reacción estatal sancionadora injustificada’ (SSTC 141/2006, de 8 de mayo, FJ 3, y 201/2012, de 12 de noviembre, FJ 4). Como regla de tratamiento, la presunción de inocencia impide tener por culpable a quien no ha sido así declarado tras un previo juicio justo (por todas, STC 153/2009, de 25 de junio, FJ 5) y, como regla de juicio en el ámbito de la jurisdicción ordinaria, se configura como derecho del acusado a no sufrir una condena, a menos que la culpabilidad haya quedado establecida más allá de toda duda razonable (entre muchas, últimamente, STC 78/2013, de 8 de abril, FJ 2). El art. 24.2 CE significa que se presume que los ciudadanos no son autores de hechos o conductas tipificadas como delito y que la prueba de la autoría y la prueba de la concurrencia de los elementos del tipo delictivo, corresponden a quienes, en el correspondiente proceso penal, asumen la condición de parte acusadora (STC 105/1988, de 8 de junio, FJ 3). Como regla presuntiva supone que ‘el acusado llega al juicio como inocente y solo puede salir de él como culpable si su primitiva condición es desvirtuada plenamente a partir de las pruebas aportadas por las acusaciones’ (SSTC 124/2001, de 4 de junio, FJ 9, y 145/2005, FJ 5). La presunción de inocencia es, por tanto, una presunción </w:t>
      </w:r>
      <w:r w:rsidRPr="005728DD">
        <w:rPr>
          <w:i/>
        </w:rPr>
        <w:t>iuris tantum</w:t>
      </w:r>
      <w:r>
        <w:t xml:space="preserve"> de ausencia de culpabilidad ‘que determina la exclusión de la presunción inversa de culpabilidad criminal de cualquier persona durante el desarrollo del proceso, por estimarse que no es culpable hasta que así se declare en sentencia condenatoria’ (STC 107/1983, de 29 de noviembre, FJ 2)”.</w:t>
      </w:r>
    </w:p>
    <w:p w:rsidR="005728DD" w:rsidRDefault="005728DD" w:rsidP="005728DD">
      <w:pPr>
        <w:pStyle w:val="TextoNormal"/>
      </w:pPr>
    </w:p>
    <w:p w:rsidR="005728DD" w:rsidRDefault="005728DD" w:rsidP="005728DD">
      <w:pPr>
        <w:pStyle w:val="TextoNormal"/>
      </w:pPr>
      <w:r>
        <w:t xml:space="preserve">Destacábamos, asimismo, que la eficacia garantista de la presunción de inocencia se despliega ante el juez y frente al legislador, en tanto que el derecho a ser presumido inocente es un derecho subjetivo público con una “obvia proyección como límite de potestad legislativa y como criterio condicionador de las interpretaciones de las normas vigentes” (STC </w:t>
      </w:r>
      <w:r>
        <w:lastRenderedPageBreak/>
        <w:t xml:space="preserve">109/1986, de 24 de septiembre, FJ 1). En concreto, “el tribunal ha incluido en la configuración constitucional de este derecho la interdicción de las presunciones de los elementos constitutivos del delito (SSTC 111/1999, de 14 de junio, FJ 3; 87/2001, de 2 de abril, FJ 9; 267/2005, de 24 de octubre, FJ 4, y 92/2006, de 27 de marzo, FJ 2). Con independencia de la modalidad delictiva de que se trate, no es tolerable que alguno de los elementos típicos se presuma en contra del acusado, sea con una presunción </w:t>
      </w:r>
      <w:r w:rsidRPr="005728DD">
        <w:rPr>
          <w:i/>
        </w:rPr>
        <w:t>iuris tantum</w:t>
      </w:r>
      <w:r>
        <w:t xml:space="preserve">, que supone una traslación o inversión de la carga de la prueba irreconciliable con el art. 24.2 CE (ya en STC 105/1988, de 8 de junio, FJ 3), sea con una presunción </w:t>
      </w:r>
      <w:r w:rsidRPr="005728DD">
        <w:rPr>
          <w:i/>
        </w:rPr>
        <w:t>iuris et de iure</w:t>
      </w:r>
      <w:r>
        <w:t>, ilícita en el ámbito penal desde la perspectiva constitucional, por cuanto prohíbe la prueba en contrario de lo presumido, con los efectos vulneradores de la presunción de inocencia de descargar de la prueba a quien acusa y de impedir probar la tesis opuesta a quien se defiende” (STC 185/2014, FJ 3).</w:t>
      </w:r>
    </w:p>
    <w:p w:rsidR="005728DD" w:rsidRDefault="005728DD" w:rsidP="005728DD">
      <w:pPr>
        <w:pStyle w:val="TextoNormal"/>
      </w:pPr>
    </w:p>
    <w:p w:rsidR="005728DD" w:rsidRDefault="005728DD" w:rsidP="005728DD">
      <w:pPr>
        <w:pStyle w:val="TextoNormal"/>
      </w:pPr>
      <w:r>
        <w:t xml:space="preserve">De otro lado, desde la STC 44/1989, de 20 de febrero, FJ 2, hemos distinguido entre el derecho a la presunción de inocencia y el principio </w:t>
      </w:r>
      <w:r w:rsidRPr="005728DD">
        <w:rPr>
          <w:i/>
        </w:rPr>
        <w:t>in dubio pro reo</w:t>
      </w:r>
      <w:r>
        <w:t xml:space="preserve">, situando a este último en el momento de la valoración o apreciación probatoria, de modo que “solo entra en juego cuando existe una duda racional sobre la real concurrencia de los elementos objetivos y subjetivos que integran el tipo penal, aunque se haya practicado una prueba válida” (STC 16/2000, de 31 de enero, FJ 4). Y mantiene que, “con la perspectiva constitucional, el principio </w:t>
      </w:r>
      <w:r w:rsidRPr="005728DD">
        <w:rPr>
          <w:i/>
        </w:rPr>
        <w:t>in dubio pro reo</w:t>
      </w:r>
      <w:r>
        <w:t>, ‘en tanto que perteneciente al convencimiento íntimo o subjetivo del órgano judicial’, ni está dotado de la protección del recurso de amparo, ‘ni puede en modo alguno ser objeto de valoración por este tribunal cuando el órgano judicial no ha albergado duda alguna acerca del carácter incriminatorio de las pruebas practicadas’” (así últimamente, STC 147/2009, de 15 de junio, FJ 2, con cita de las SSTC 63/1993, de 1 de marzo, FJ 4; 103/1995, de 3 de julio, FJ 4; 16/2000, de 16 de enero, FJ 4; 209/2003, de 1 de diciembre, FJ 5; 61/2005, de 14 de marzo, FJ 4, y 137/2005, de 23 de mayo, FJ 3).</w:t>
      </w:r>
    </w:p>
    <w:p w:rsidR="005728DD" w:rsidRDefault="005728DD" w:rsidP="005728DD">
      <w:pPr>
        <w:pStyle w:val="TextoNormal"/>
      </w:pPr>
    </w:p>
    <w:p w:rsidR="005728DD" w:rsidRDefault="005728DD" w:rsidP="005728DD">
      <w:pPr>
        <w:pStyle w:val="TextoNormal"/>
      </w:pPr>
      <w:r>
        <w:t xml:space="preserve">No obstante, conforme a nuestra doctrina, la regla de juicio que impone el derecho a la presunción de inocencia es muy clara: “se configura como derecho del acusado a no sufrir una condena a menos que la culpabilidad haya quedado establecida más allá de toda duda razonable” (entre muchas, las ya citadas SSTC 78/2013, FJ 2, y 185/2014, FJ 3). Exige, como presupuesto de una condena penal conforme con el art. 24.2 CE, la certeza sobre la culpabilidad del imputado, entendida como ausencia de duda razonable respecto a la concurrencia de todos aquellos extremos relevantes para la condena. En tal medida, la razonabilidad de las conclusiones del juzgador sobre el resultado de los medios de prueba, justificadas a través de la debida motivación, y su suficiencia para condenar son exigencias entrelazadas del derecho a la presunción de inocencia (SSTC 268/2000, de 27 de noviembre, FJ 9, y 78/2013, FJ 2). La existencia de una duda razonable en términos objetivos (o mejor, intersubjetivos) implica una valoración probatoria deficiente y la ausencia de prueba de cargo suficiente y, en definitiva, la vulneración del derecho a la presunción de inocencia. Así ocurrirá, como hemos repetido, si se presentan por el acusado hipótesis fácticas alternativas razonables frente a la hipótesis acusatoria (SSTC 81/1998, de 2 de abril, FJ 3; 155/2002, de 22 de julio, FJ 7; 145/2005, de 6 de junio, FJ 5, y 12/2011, de 28 de febrero, FJ 10). Sin que, por lo demás, pueda haber diferencia cualitativa desde la perspectiva del art. 24.2 CE entre una absolución resultante de una constatación incontestable de la inocencia del acusado y una absolución fundamentada en la ausencia de pruebas suficientes para enervar la presunción de inocencia —por existir una duda razonable— (SSTC 8/2017, de 19 de enero, FFJJ 7 y 8; 10/2017, de 30 de enero, FJ 4; 85/2019, de 19 de junio, FJ 10, y </w:t>
      </w:r>
      <w:r>
        <w:lastRenderedPageBreak/>
        <w:t xml:space="preserve">STEDH de 16 de febrero de 2016 asunto </w:t>
      </w:r>
      <w:r w:rsidRPr="005728DD">
        <w:rPr>
          <w:i/>
        </w:rPr>
        <w:t>Vlieeland Boddy y Marcelo Lanni c. España</w:t>
      </w:r>
      <w:r>
        <w:t>, § 40).</w:t>
      </w:r>
    </w:p>
    <w:p w:rsidR="005728DD" w:rsidRDefault="005728DD" w:rsidP="005728DD">
      <w:pPr>
        <w:pStyle w:val="TextoNormal"/>
      </w:pPr>
    </w:p>
    <w:p w:rsidR="005728DD" w:rsidRDefault="005728DD" w:rsidP="005728DD">
      <w:pPr>
        <w:pStyle w:val="TextoNormal"/>
      </w:pPr>
      <w:r>
        <w:t xml:space="preserve">Sin embargo, no puede vincularse al derecho a la presunción de inocencia un principio </w:t>
      </w:r>
      <w:r w:rsidRPr="005728DD">
        <w:rPr>
          <w:i/>
        </w:rPr>
        <w:t>favor rei</w:t>
      </w:r>
      <w:r>
        <w:t xml:space="preserve"> en la interpretación de las normas penales, de forma que hayan de dirimirse las posibles comprensiones de los preceptos o solventarse las dudas de subsunción con un criterio </w:t>
      </w:r>
      <w:r w:rsidRPr="005728DD">
        <w:rPr>
          <w:i/>
        </w:rPr>
        <w:t>pro reo</w:t>
      </w:r>
      <w:r>
        <w:t>. Las opciones interpretativas deben decantarse con el instrumental hermenéutico al uso, siempre, por supuesto, con respeto a las exigencias de razonabilidad gramatical, metodológica y axiológica que impone el derecho a la legalidad penal del art. 25.1 CE (STC 137/1997, FJ 7; seguida, entre muchas, por SSTC 189/1998, de 28 de septiembre, FJ 7; 13/2003, de 28 de enero, FJ 3; 138/2004, de 13 de septiembre, FJ 3; 242/2005, de 10 de octubre, FJ 4; 9/2006, de 16 de enero, FJ 4; 262/2006, de 11 de septiembre, FJ 4; 129/2008, de 27 de octubre, FJ 3; 153/2011, de 17 de octubre, FJ 8; 196/2013, de 2 de diciembre, FJ 5; 146/2017, de 14 de diciembre, FJ 4, o 1/2020, de 14 de enero, FJ 8).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(SSTC 13/2003, de 28 de enero, FJ 3; 163/2004, de 4 de octubre, FJ 7; 151/2005, de 6 de junio, FJ 9, y 34/2009, de 9 de febrero, FJ 6). Es ajena al contenido de nuestra jurisdicción la interpretación última del contenido de los tipos penales y el control de la corrección del proceso de subsunción (por todas, STC 137/1997, FJ 7). Por tanto, el examen que nos corresponde atañe a la razonabilidad de la comprensión de la norma penal y de la subsunción de los hechos probados en ella, y se limita al control de que se respeta el tenor literal de la norma, no se incurre en quiebras lógicas y resulta acorde con modelos de argumentación aceptados por la propia comunidad jurídica y es conforme con las pautas valorativas que informan nuestro texto constitucional (SSTC 129/2008, 27 de octubre, FJ 3; 34/2009, de 9 de febrero, FJ 6; 91/2009, de 20 de abril, FJ 6; 153/2011, de 17 de octubre, FJ 8, y 196/2013, de 2 de diciembre, FJ 5).</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Criterio de imputación objetiva del resultado conforme con el derecho a la presunción de inocencia</w:t>
      </w:r>
      <w:r>
        <w:t>.</w:t>
      </w:r>
    </w:p>
    <w:p w:rsidR="005728DD" w:rsidRDefault="005728DD" w:rsidP="005728DD">
      <w:pPr>
        <w:pStyle w:val="TextoNormal"/>
      </w:pPr>
    </w:p>
    <w:p w:rsidR="005728DD" w:rsidRDefault="005728DD" w:rsidP="005728DD">
      <w:pPr>
        <w:pStyle w:val="TextoNormal"/>
      </w:pPr>
      <w:r>
        <w:t xml:space="preserve">El argumento central y reiterado del demandante en apoyo del reproche de inversión de la carga de la prueba y vulneración del principio </w:t>
      </w:r>
      <w:r w:rsidRPr="005728DD">
        <w:rPr>
          <w:i/>
        </w:rPr>
        <w:t>in dubio pro reo</w:t>
      </w:r>
      <w:r>
        <w:t xml:space="preserve"> es que la opción interpretativa manejada por el Tribunal Supremo conduce a que la defensa deba probar que la conducta correcta hubiera producido el mismo resultado para ser absuelto, y no a que la acusación pruebe que la conducta debida lo hubiera evitado, para condenar. En tales términos, se trata de la objeción clásica a la variante de la tesis de la evitabilidad sostenida por el </w:t>
      </w:r>
      <w:r w:rsidRPr="005728DD">
        <w:rPr>
          <w:i/>
        </w:rPr>
        <w:t>Reichsgericht</w:t>
      </w:r>
      <w:r>
        <w:t xml:space="preserve"> en el conocido caso de la dogmática penal llamado “los pelos de cabra”, en tanto que el tribunal alemán partía de que la conducta imprudente es “causal” respecto al resultado, salvo que se pruebe que la actuación ajustada a Derecho lo hubiera desencadenado </w:t>
      </w:r>
      <w:r>
        <w:lastRenderedPageBreak/>
        <w:t>igualmente. No puede olvidarse, sin embargo, que el Tribunal Supremo expresamente advierte que no maneja en la resolución impugnada una teoría de la evitabilidad, sino que opta por la teoría del incremento del riesgo como modelo de imputación del resultado en los casos de imprudencias médicas.</w:t>
      </w:r>
    </w:p>
    <w:p w:rsidR="005728DD" w:rsidRDefault="005728DD" w:rsidP="005728DD">
      <w:pPr>
        <w:pStyle w:val="TextoNormal"/>
      </w:pPr>
    </w:p>
    <w:p w:rsidR="005728DD" w:rsidRDefault="005728DD" w:rsidP="005728DD">
      <w:pPr>
        <w:pStyle w:val="TextoNormal"/>
      </w:pPr>
      <w:r>
        <w:t xml:space="preserve">Como ya hemos explicado más arriba, con ambas propuestas se busca ofrecer criterios para determinar la relación normativamente adecuada entre conducta imprudente y resultado que permite atribuir este a la actuación del sujeto, singularmente cuando no resulta claro que el comportamiento diligente hubiera podido evitar el resultado. Y en tanto no se fije la opción interpretativa, no puede hablarse de una inversión de la carga de la prueba o de la lesión del principio </w:t>
      </w:r>
      <w:r w:rsidRPr="005728DD">
        <w:rPr>
          <w:i/>
        </w:rPr>
        <w:t>in dubio pro reo</w:t>
      </w:r>
      <w:r>
        <w:t xml:space="preserve">. La teoría de la evitabilidad exige como elemento típico para imputar un resultado que se acredite que la conducta correcta hubiera impedido el resultado con práctica certeza o de forma muy probable. Esto es, opera con criterios de causalidad hipotética, de modo que es relevante con carácter principal la posible eficacia de la conducta diligente. Sin embargo, la teoría del aumento del riesgo, desde la premisa de que el sistema penal pretende evitar acciones que supongan un mayor riesgo para el bien jurídico que el permitido por el legislador, no atiende de principio a esa hipotética conducta correcta, sino que se fija en si la conducta imprudente ha incrementado el riesgo por encima del permitido, lo que, en el caso de la omisión, supone que ha disminuido las posibilidades de salvación respecto a las que incorpora la acción debida. El Tribunal Supremo justifica su preferencia por la teoría del aumento del riesgo con argumentos relativos al deber de tutela de los bienes jurídicos y de eficacia preventiva de las norma penales. Atiende, en concreto y en línea con pronunciamientos del Tribunal Supremo Federal alemán, a las peculiaridades que la actividad médica presenta, donde raramente puede acreditarse la posibilidad segura de salvación con la conducta correcta, con el negativo efecto preventivo de tal criterio de imputación, que conduce a la impunidad de las omisiones de la prestación médica debida, dada esa duda sobre la eficacia salvadora de la acción conforme a la </w:t>
      </w:r>
      <w:r w:rsidRPr="005728DD">
        <w:rPr>
          <w:i/>
        </w:rPr>
        <w:t>lex artis</w:t>
      </w:r>
      <w:r>
        <w:t xml:space="preserve"> médica.</w:t>
      </w:r>
    </w:p>
    <w:p w:rsidR="005728DD" w:rsidRDefault="005728DD" w:rsidP="005728DD">
      <w:pPr>
        <w:pStyle w:val="TextoNormal"/>
      </w:pPr>
    </w:p>
    <w:p w:rsidR="005728DD" w:rsidRDefault="005728DD" w:rsidP="005728DD">
      <w:pPr>
        <w:pStyle w:val="TextoNormal"/>
      </w:pPr>
      <w:r>
        <w:t xml:space="preserve">En tal medida, cuando el recurrente reprocha a la tesis del aumento del riesgo que opera con una inversión de la carga de la prueba y que vulnera el principio </w:t>
      </w:r>
      <w:r w:rsidRPr="005728DD">
        <w:rPr>
          <w:i/>
        </w:rPr>
        <w:t>in dubio pro reo</w:t>
      </w:r>
      <w:r>
        <w:t>, ya que, ante la duda sobre la eficacia salvadora de la acción diligente, se imputa el resultado a la omisión imprudente y se castiga por el delito de resultado, parte implícitamente de un modelo de imputación distinto, anclado en la idea de evitabilidad y que exige como elemento típico que, con práctica seguridad o alta probabilidad, el comportamiento correcto hubiera evitado el resultado. Pero la teoría del incremento del riesgo no confiere relevancia a efectos de responder por el resultado a la mera posibilidad de que la acción correcta tampoco hubiera impedido el resultado, solo a que no exista el aumento del peligro —genuino elemento típico que debe probar la acusación—, pues, en tal caso, no hay un riesgo por encima del permitido que desincentivar. Así sucede, y aquí es cuando indirectamente converge con la teoría de la evitabilidad respecto a la atención al curso alternativo correcto, cuando la conducta debida, con certeza, hubiera tenido el mismo resultado dañoso, dado que no existe un incremento (o no disminución) del riesgo que los bienes jurídicos deben soportar con carácter permitido. Y así lo pone de relieve la sentencia impugnada, que advierte que “si se acredita que el resultado no se hubiera evitado, de realizar la conducta obligada, se entiende lógicamente que la omisión no ha generado o incrementado riesgo alguno”, corolario que hay que poner en conexión con su concepción de la imputación objetiva y la necesidad de que exista un aumento del peligro acreditado.</w:t>
      </w:r>
    </w:p>
    <w:p w:rsidR="005728DD" w:rsidRDefault="005728DD" w:rsidP="005728DD">
      <w:pPr>
        <w:pStyle w:val="TextoNormal"/>
      </w:pPr>
    </w:p>
    <w:p w:rsidR="005728DD" w:rsidRDefault="005728DD" w:rsidP="005728DD">
      <w:pPr>
        <w:pStyle w:val="TextoNormal"/>
      </w:pPr>
      <w:r>
        <w:lastRenderedPageBreak/>
        <w:t>A la vista de las consideraciones anteriores, no puede estimarse la queja de vulneración del derecho a la presunción de inocencia imputable a la teoría de la imputación objetiva por la que opta la Sala Segunda. La denuncia se apoya en la atribución de una exigencia típica propia de otros modelos de imputación, señaladamente, la posibilidad de evitar el resultado con la conducta ajustada a derecho con alta o segura probabilidad, pero no demandada por la teoría del incremento del riesgo, que requiere la prueba de ese incremento y, en buena lógica, no solo no presupone la concurrencia de dicha segura evitabilidad, sino que ni siquiera se pregunta por ella.</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Prueba de cargo suficiente de la conexión entre omisión y resultado</w:t>
      </w:r>
      <w:r>
        <w:t>.</w:t>
      </w:r>
    </w:p>
    <w:p w:rsidR="005728DD" w:rsidRDefault="005728DD" w:rsidP="005728DD">
      <w:pPr>
        <w:pStyle w:val="TextoNormal"/>
      </w:pPr>
    </w:p>
    <w:p w:rsidR="005728DD" w:rsidRDefault="005728DD" w:rsidP="005728DD">
      <w:pPr>
        <w:pStyle w:val="TextoNormal"/>
      </w:pPr>
      <w:r>
        <w:t>Descartada la incompatibilidad de la teoría del incremento del riesgo con el derecho a la presunción de inocencia, hay que abordar, por último, las quejas relativas a la lesión de ese derecho fundamental en la concreta decisión sobre la responsabilidad penal del demandante.</w:t>
      </w:r>
    </w:p>
    <w:p w:rsidR="005728DD" w:rsidRDefault="005728DD" w:rsidP="005728DD">
      <w:pPr>
        <w:pStyle w:val="TextoNormal"/>
      </w:pPr>
    </w:p>
    <w:p w:rsidR="005728DD" w:rsidRDefault="005728DD" w:rsidP="005728DD">
      <w:pPr>
        <w:pStyle w:val="TextoNormal"/>
      </w:pPr>
      <w:r>
        <w:t xml:space="preserve">En el asunto que nos ocupa, la concreta pregunta a la que se enfrentan los órganos judiciales es si es posible atribuir responsabilidad al recurrente por el resultado de muerte de la víctima en un contexto de incertidumbre sobre la posibilidad evitar el fallecimiento si se hubiera practicado la conducta debida, esto es, una reanimación cardiopulmonar durante el tiempo estipulado por el protocolo médico que recoge la </w:t>
      </w:r>
      <w:r w:rsidRPr="005728DD">
        <w:rPr>
          <w:i/>
        </w:rPr>
        <w:t>lex artis</w:t>
      </w:r>
      <w:r>
        <w:t xml:space="preserve"> (un mínimo de treinta minutos). Para pronunciarse, el Tribunal Supremo parte de la existencia de una omisión por parte del demandante, a quien atribuye la condición de garante de la vida de la joven, gravemente lesiva del deber de cuidado que “disminuyó las posibilidades de recuperarse de las lesiones”. Se trata de hechos y valoraciones jurídicas consignadas en los hechos probados y la fundamentación de la sentencia de primera instancia y no discutidos en la demanda. En particular, considerar acreditado que la omisión de la asistencia médica correcta disminuyó las posibilidades de recuperarse, dato afirmado en el </w:t>
      </w:r>
      <w:r w:rsidRPr="005728DD">
        <w:rPr>
          <w:i/>
        </w:rPr>
        <w:t>factum</w:t>
      </w:r>
      <w:r>
        <w:t xml:space="preserve"> y no contradicho por el recurrente, supone afirmar, en términos hipotéticos, que el tratamiento debido hubiera disminuido el riesgo de muerte, aun cuando no haya certeza sobre su posible éxito salvífico o, incluso, se acepte que las posibilidades de evitar el resultado eran mínimas. Se sostiene con ello que está probado que la omisión de la conducta debida incrementa el peligro en el sentido de que no se produce la disminución que busca el mandato de actuar dirigido al agente, tal y como requiere el criterio de imputación del aumento del riesgo que prefiere el órgano de casación.</w:t>
      </w:r>
    </w:p>
    <w:p w:rsidR="005728DD" w:rsidRDefault="005728DD" w:rsidP="005728DD">
      <w:pPr>
        <w:pStyle w:val="TextoNormal"/>
      </w:pPr>
    </w:p>
    <w:p w:rsidR="005728DD" w:rsidRDefault="005728DD" w:rsidP="005728DD">
      <w:pPr>
        <w:pStyle w:val="TextoNormal"/>
      </w:pPr>
      <w:r>
        <w:t xml:space="preserve">En realidad, la demanda no defiende la falta de prueba de aquellos elementos que se han estimado precisos para afirmar la existencia del delito en cuestión, que no se presumen en la sentencia condenatoria, sino que, desde la tesis implícita de que han de ser otros los elementos que deben probarse, sostiene las quejas de inversión de la carga de la prueba y de lesión del criterio </w:t>
      </w:r>
      <w:r w:rsidRPr="005728DD">
        <w:rPr>
          <w:i/>
        </w:rPr>
        <w:t>in dubio pro reo</w:t>
      </w:r>
      <w:r>
        <w:t>. En tal medida, hay que rechazar las alegaciones de falta de prueba de la conexión entre la omisión y el resultado. En particular:</w:t>
      </w:r>
    </w:p>
    <w:p w:rsidR="005728DD" w:rsidRDefault="005728DD" w:rsidP="005728DD">
      <w:pPr>
        <w:pStyle w:val="TextoNormal"/>
      </w:pPr>
    </w:p>
    <w:p w:rsidR="005728DD" w:rsidRDefault="005728DD" w:rsidP="005728DD">
      <w:pPr>
        <w:pStyle w:val="TextoNormal"/>
      </w:pPr>
      <w:r>
        <w:t xml:space="preserve">(i) El reproche de que se produce una inversión de la carga de la prueba cuando la sentencia condenatoria afirma que solo cabe absolver si se prueba que la actuación correcta tampoco habría impedido el resultado, no puede prosperar por su parcialidad. Valga insistir en que, conforme a la tesis por la que opta el Tribunal Supremo, lo que debe probarse para imputar la muerte a la omisión del recurrente es que la actuación correcta hubiera disminuido el riesgo vital, esto es, que la omisión supuso un incremento del riesgo respecto al </w:t>
      </w:r>
      <w:r>
        <w:lastRenderedPageBreak/>
        <w:t>permitido. Hecho que se afirma en la sentencia absolutoria tras valorar la prueba, singularmente la pericial, y que, como es lógico, es lo habitual cuando no se realiza la actuación diligente fijada por el legislador para mantener el riesgo dentro de lo permitido. El Tribunal Supremo no presume la posible eficacia de la conducta correcta omitida, una reanimación cardiorrespiratoria de treinta minutos, sino que toma esa afirmación de los hechos probados, de modo que, cuando arguye que solo se podría absolver en caso de probarse la absoluta ineficacia de la conducta debida —que la persona herida hubiera muerto igualmente en caso de haber actuado de forma diligente—, está reiterando, quizá con una fórmula poco afortunada, que esa posibilidad está descartada al haberse acreditado precisamente el incremento del riesgo.</w:t>
      </w:r>
    </w:p>
    <w:p w:rsidR="005728DD" w:rsidRDefault="005728DD" w:rsidP="005728DD">
      <w:pPr>
        <w:pStyle w:val="TextoNormal"/>
      </w:pPr>
    </w:p>
    <w:p w:rsidR="005728DD" w:rsidRDefault="005728DD" w:rsidP="005728DD">
      <w:pPr>
        <w:pStyle w:val="TextoNormal"/>
      </w:pPr>
      <w:r>
        <w:t xml:space="preserve">(ii) No es cierto tampoco, como ya hemos dicho en el fundamento jurídico cuarto, que se vulnere el principio </w:t>
      </w:r>
      <w:r w:rsidRPr="005728DD">
        <w:rPr>
          <w:i/>
        </w:rPr>
        <w:t>in dubio pro reo</w:t>
      </w:r>
      <w:r>
        <w:t xml:space="preserve"> por obviar una duda absolutoria, porque la necesidad de certeza sobre la evitación del resultado con la conducta exigida por la </w:t>
      </w:r>
      <w:r w:rsidRPr="005728DD">
        <w:rPr>
          <w:i/>
        </w:rPr>
        <w:t>lex artis</w:t>
      </w:r>
      <w:r>
        <w:t xml:space="preserve"> corresponde a una comprensión del tipo distinta de la seguida en la resolución impugnada. El recurrente, como la Audiencia Provincial, apuesta por una teoría de la evitabilidad, por lo que no basta para condenar el hecho probado de que la no realización de la reanimación disminuyera las posibilidades de superar el riesgo vital. Es preciso un elemento adicional más que no está probado, que la actuación médica diligente hubiera salvado a la persona herida, al menos muy probablemente. Pero, en las coordenadas interpretativas que adopta el Tribunal Supremo, lo que debía demostrarse es que la omisión supone un riesgo mayor que la actuación debida, y que se había considerado como probado en la sentencia de la Audiencia Provincial, que no duda al respecto, solo duda sobre la segura eficacia salvífica de la conducta correcta. No puede aceptarse, por ello, la afirmación del recurrente de que “se considera hecho probado que el resultado de muerte podría ser inevitable (aunque no se diga con estas palabras)”, pues, no solo es que no se diga expresamente en la resolución de instancia, como reconoce, sino que se descarta como hipótesis desde el momento en que se vincula a la omisión imprudente que disminuyera las posibilidades de recuperación.</w:t>
      </w:r>
    </w:p>
    <w:p w:rsidR="005728DD" w:rsidRDefault="005728DD" w:rsidP="005728DD">
      <w:pPr>
        <w:pStyle w:val="TextoNormal"/>
      </w:pPr>
    </w:p>
    <w:p w:rsidR="005728DD" w:rsidRDefault="005728DD" w:rsidP="005728DD">
      <w:pPr>
        <w:pStyle w:val="TextoNormal"/>
      </w:pPr>
      <w:r>
        <w:t xml:space="preserve">(iii) El demandante concluye su recurso recriminando a la resolución que lo condena que no haya acreditado desde una perspectiva </w:t>
      </w:r>
      <w:r w:rsidRPr="005728DD">
        <w:rPr>
          <w:i/>
        </w:rPr>
        <w:t>ex post</w:t>
      </w:r>
      <w:r>
        <w:t xml:space="preserve"> una posibilidad significativa de disminución del riesgo, sino una posibilidad de mínimos. De nuevo discrepa aquí del entendimiento de las exigencias típicas sobre la relación entre omisión y resultado y no estrictamente sobre la existencia de prueba de cargo. Si bien dice situarse en las coordenadas de la teoría del incremento (disminución) del riesgo, introduce un criterio corrector de tipo estadístico o probabilístico, cual es que la posible disminución del riesgo con la acción debida sea significativa. Pero lo cierto es que no es esa la tesis que acoge el Tribunal Supremo, que se conforma para conectar la omisión y el resultado con la posibilidad de tal disminución, aunque sea de mínimos, que el propio recurrente reconoce acreditada. Tampoco en este punto pone en tela de juicio la existencia de prueba de los elementos del delito en la interpretación del órgano judicial, pues reconocer que las posibilidades de evitar la muerte eran escasas implica reconocer que había tal posibilidad.</w:t>
      </w:r>
    </w:p>
    <w:p w:rsidR="005728DD" w:rsidRDefault="005728DD" w:rsidP="005728DD">
      <w:pPr>
        <w:pStyle w:val="TextoNormal"/>
      </w:pPr>
    </w:p>
    <w:p w:rsidR="005728DD" w:rsidRDefault="005728DD" w:rsidP="005728DD">
      <w:pPr>
        <w:pStyle w:val="TextoNormal"/>
      </w:pPr>
      <w:r>
        <w:t xml:space="preserve">En definitiva, el Tribunal Supremo acoge el criterio del incremento del riesgo como criterio de imputación objetiva del resultado frente al criterio de la probabilidad de evitación rayana en la certeza que sostuvo la Audiencia Provincial. Lo hace en el ámbito de sus atribuciones, como máximo intérprete de la legalidad ordinaria, en atención a las peculiaridades </w:t>
      </w:r>
      <w:r>
        <w:lastRenderedPageBreak/>
        <w:t>fenomenológicas de las prestaciones médicas, el fin de tutela de bienes jurídicos y la finalidad preventiva a la que sirven las disposiciones penales. Desde tal comprensión y definición de los elementos típicos, examina los hechos probados fijados por el tribunal de primera instancia tras una valoración de la prueba cuya razonabilidad no se ha cuestionado, como tampoco lo ha sido la suficiencia del material incriminador al respecto. Concluye a partir de esas premisas fácticas que el resultado de muerte es imputable a la conducta del recurrente, que era garante de la vida de la persona lesionada, por cuanto omitió palmariamente la actuación profesional correcta y, con su conducta manifiestamente negligente, contribuyó a que el riesgo vital culminara en la muerte de la joven herida en la avalancha. Ni la concepción manejada por el órgano judicial sobre los requisitos para imputar el resultado a la previa omisión imprudente ni su aplicación en el caso concreto vulneran el derecho a la presunción de inocencia, por lo que también el segundo motivo de la demanda de amparo debe ser desestimado y, con ello, el recurso en su integridad.</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Simón Viñals Pérez.</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Juan Antonio Xiol Ríos a la sentencia dictada en el recurso de amparo núm. 3966-2018</w:t>
      </w:r>
    </w:p>
    <w:p w:rsidR="005728DD" w:rsidRDefault="005728DD" w:rsidP="005728DD">
      <w:pPr>
        <w:pStyle w:val="TextoNormalNegritaCentrado"/>
        <w:keepNext/>
      </w:pPr>
    </w:p>
    <w:p w:rsidR="005728DD" w:rsidRDefault="005728DD" w:rsidP="005728DD">
      <w:pPr>
        <w:pStyle w:val="TextoNormal"/>
      </w:pPr>
      <w:r>
        <w:t>Con respeto a la opinión mayoritaria de mis compañeros de Sala en la que se sustenta la sentencia, manifiesto mi discrepancia con la fundamentación jurídica y el fallo de esta. Considero que hubiera debido ser estimatoria por vulneración de los derechos a un proceso con todas las garantías y a la defensa (art. 24.2 CE) por haberse condenado al demandante de amparo en una segunda instancia, revocando su absolución en la primera, sin haberle dado la oportunidad de ser escuchado por el órgano judicial que le ha condenado.</w:t>
      </w:r>
    </w:p>
    <w:p w:rsidR="005728DD" w:rsidRDefault="005728DD" w:rsidP="005728DD">
      <w:pPr>
        <w:pStyle w:val="TextoNormal"/>
      </w:pPr>
    </w:p>
    <w:p w:rsidR="005728DD" w:rsidRDefault="005728DD" w:rsidP="005728DD">
      <w:pPr>
        <w:pStyle w:val="TextoNormal"/>
      </w:pPr>
      <w:r w:rsidRPr="005728DD">
        <w:rPr>
          <w:i/>
        </w:rPr>
        <w:t>I. Precisiones sobre la jurisprudencia constitucional y del Tribunal Europeo de Derechos Humanos sobre la condena o agravación de la responsabilidad penal en la segunda instancia</w:t>
      </w:r>
      <w:r>
        <w:t>.</w:t>
      </w:r>
    </w:p>
    <w:p w:rsidR="005728DD" w:rsidRDefault="005728DD" w:rsidP="005728DD">
      <w:pPr>
        <w:pStyle w:val="TextoNormal"/>
      </w:pPr>
    </w:p>
    <w:p w:rsidR="005728DD" w:rsidRDefault="005728DD" w:rsidP="005728DD">
      <w:pPr>
        <w:pStyle w:val="TextoNormal"/>
      </w:pPr>
      <w:r>
        <w:t>1. Comparto la extensa exposición de la jurisprudencia constitucional y del Tribunal Europeo de Derechos Humanos sobre la condena o agravación de la responsabilidad penal en la segunda instancia contenida en la sentencia. Mi discrepancia con la opinión mayoritaria radica en la aplicación de esta jurisprudencia en el caso enjuiciado.</w:t>
      </w:r>
    </w:p>
    <w:p w:rsidR="005728DD" w:rsidRDefault="005728DD" w:rsidP="005728DD">
      <w:pPr>
        <w:pStyle w:val="TextoNormal"/>
      </w:pPr>
    </w:p>
    <w:p w:rsidR="005728DD" w:rsidRDefault="005728DD" w:rsidP="005728DD">
      <w:pPr>
        <w:pStyle w:val="TextoNormal"/>
      </w:pPr>
      <w:r>
        <w:t xml:space="preserve">La cuestión controvertida es determinar si las discrepancias que se suscitaban en el recurso de casación —que en este caso cumplía, a la vez, la función de una segunda instancia revisora—, suponían (tomando prestada la expresión de la jurisprudencia del Tribunal Europeo de Derechos Humanos) “conocer de un asunto de hecho y de Derecho y estudiar la cuestión de la culpabilidad o de la inocencia en su conjunto” (STEDH de 20 de septiembre </w:t>
      </w:r>
      <w:r>
        <w:lastRenderedPageBreak/>
        <w:t xml:space="preserve">de 2016, asunto </w:t>
      </w:r>
      <w:r w:rsidRPr="005728DD">
        <w:rPr>
          <w:i/>
        </w:rPr>
        <w:t>Hernández Royo c. España</w:t>
      </w:r>
      <w:r>
        <w:t>, § 11), en cuyo caso hubiera sido preciso otorgar un trámite de audiencia al acusado en respeto a sus derechos a un proceso con todas las garantías y a la defensa (art. 24.2 CE).</w:t>
      </w:r>
    </w:p>
    <w:p w:rsidR="005728DD" w:rsidRDefault="005728DD" w:rsidP="005728DD">
      <w:pPr>
        <w:pStyle w:val="TextoNormal"/>
      </w:pPr>
    </w:p>
    <w:p w:rsidR="005728DD" w:rsidRDefault="005728DD" w:rsidP="005728DD">
      <w:pPr>
        <w:pStyle w:val="TextoNormal"/>
      </w:pPr>
      <w:r>
        <w:t xml:space="preserve">2. En mi apreciación, las cuestiones planteadas en el recurso de casación en este caso son semejantes a las que se suscitaban en los asuntos resueltos en las SSTEDH de 22 de noviembre de 2011, asunto </w:t>
      </w:r>
      <w:r w:rsidRPr="005728DD">
        <w:rPr>
          <w:i/>
        </w:rPr>
        <w:t>Lacadena Calero c. España</w:t>
      </w:r>
      <w:r>
        <w:t xml:space="preserve">, y de 13 de junio de 2017, asunto </w:t>
      </w:r>
      <w:r w:rsidRPr="005728DD">
        <w:rPr>
          <w:i/>
        </w:rPr>
        <w:t>Atutxa Mendiola y otros c. España</w:t>
      </w:r>
      <w:r>
        <w:t>, en que también se estimaron recursos de casación. En estos casos se condenó en la segunda instancia a quienes habían sido absueltos en la primera. En ambos casos no se produjo alteración de la declaración de hechos probados.</w:t>
      </w:r>
    </w:p>
    <w:p w:rsidR="005728DD" w:rsidRDefault="005728DD" w:rsidP="005728DD">
      <w:pPr>
        <w:pStyle w:val="TextoNormal"/>
      </w:pPr>
    </w:p>
    <w:p w:rsidR="005728DD" w:rsidRDefault="005728DD" w:rsidP="005728DD">
      <w:pPr>
        <w:pStyle w:val="TextoNormal"/>
      </w:pPr>
      <w:r>
        <w:t>En todos los casos, el Tribunal Supremo (i) resolvía primero cuestiones estrictamente jurídicas de interpretación de un precepto sustantivo en divergencia con las apreciaciones del órgano judicial de instancia. Inmediatamente después, (ii) aplicaba esta interpretación al supuesto de hecho declarado probado en la instancia para, finalmente, efectuar un juicio en su conjunto de la culpabilidad o agravación de la responsabilidad penal del acusado a partir de la concurrencia de todos los presupuestos necesarios para ello.</w:t>
      </w:r>
    </w:p>
    <w:p w:rsidR="005728DD" w:rsidRDefault="005728DD" w:rsidP="005728DD">
      <w:pPr>
        <w:pStyle w:val="TextoNormal"/>
      </w:pPr>
    </w:p>
    <w:p w:rsidR="005728DD" w:rsidRDefault="005728DD" w:rsidP="005728DD">
      <w:pPr>
        <w:pStyle w:val="TextoNormal"/>
      </w:pPr>
      <w:r>
        <w:t>La primera labor de interpretación de un precepto penal de carácter sustantivo es estrictamente jurídica. No resulta, pues, preciso un específico trámite de audiencia. La segunda labor, sin embargo, en la medida en que suponga entrar en contacto con los hechos para hacer una labor de subsunción que comprenda no solo los elementos objetivos, sino también otros subjetivos del tipo penal, implica inevitablemente —con independencia de que no se alteren los hechos probados—, por un lado, entrar en contacto con estos hechos, cosa que no excluye la necesidad de su reinterpretación. Por otro, supone estudiar la culpabilidad o inocencia en conjunto sobre estos hechos, frecuentemente acreditados a partir de prueba personal que el órgano judicial que finalmente condena no ha tenido la oportunidad de presenciar con la debida inmediación. Esta segunda labor, en respeto a los derechos a un proceso con todas las garantías y a la defensa (art. 24.2 CE), exige, al menos, dar la posibilidad al acusado de dirigirse al órgano judicial que va a declarar la agravación de su responsabilidad.</w:t>
      </w:r>
    </w:p>
    <w:p w:rsidR="005728DD" w:rsidRDefault="005728DD" w:rsidP="005728DD">
      <w:pPr>
        <w:pStyle w:val="TextoNormal"/>
      </w:pPr>
    </w:p>
    <w:p w:rsidR="005728DD" w:rsidRDefault="005728DD" w:rsidP="005728DD">
      <w:pPr>
        <w:pStyle w:val="TextoNormal"/>
      </w:pPr>
      <w:r w:rsidRPr="005728DD">
        <w:rPr>
          <w:i/>
        </w:rPr>
        <w:t>II. La aplicación de la jurisprudencia constitucional al caso concreto</w:t>
      </w:r>
      <w:r>
        <w:t>.</w:t>
      </w:r>
    </w:p>
    <w:p w:rsidR="005728DD" w:rsidRDefault="005728DD" w:rsidP="005728DD">
      <w:pPr>
        <w:pStyle w:val="TextoNormal"/>
      </w:pPr>
    </w:p>
    <w:p w:rsidR="005728DD" w:rsidRDefault="005728DD" w:rsidP="005728DD">
      <w:pPr>
        <w:pStyle w:val="TextoNormal"/>
      </w:pPr>
      <w:r>
        <w:t>3. En el presente caso, la controversia que se planteaba en el recurso de casación se centra en que el demandante de amparo había sido absuelto en la primera instancia del delito de homicidio imprudente del que venía siendo acusado por la conducta que desarrolló en la atención a una de las víctimas de los tristes hechos acaecidos en el pabellón Madrid Arena en la madrugada del 31 de octubre al 1 de noviembre de 2012.</w:t>
      </w:r>
    </w:p>
    <w:p w:rsidR="005728DD" w:rsidRDefault="005728DD" w:rsidP="005728DD">
      <w:pPr>
        <w:pStyle w:val="TextoNormal"/>
      </w:pPr>
    </w:p>
    <w:p w:rsidR="005728DD" w:rsidRDefault="005728DD" w:rsidP="005728DD">
      <w:pPr>
        <w:pStyle w:val="TextoNormal"/>
      </w:pPr>
      <w:r>
        <w:t>La opinión mayoritaria en la que se sustenta la sentencia considera que la controversia desarrollada en la casación era meramente jurídica. Se funda en que, una vez declarado en la sentencia de primera instancia el carácter negligente de la conducta del demandante, condenarlo en segunda instancia como reo de un delito de homicidio imprudente del art 142.1 CP, cuando había sido absuelto en la instancia, solo afectaba a la naturaleza normativa de la relación que debe mediar entre la conducta imprudente y el resultado lesivo de muerte. Por tanto —concluye— no era constitucionalmente necesario que el acusado hubiera tenido la oportunidad de dirigirse al tribunal que le condenó.</w:t>
      </w:r>
    </w:p>
    <w:p w:rsidR="005728DD" w:rsidRDefault="005728DD" w:rsidP="005728DD">
      <w:pPr>
        <w:pStyle w:val="TextoNormal"/>
      </w:pPr>
    </w:p>
    <w:p w:rsidR="005728DD" w:rsidRDefault="005728DD" w:rsidP="005728DD">
      <w:pPr>
        <w:pStyle w:val="TextoNormal"/>
      </w:pPr>
      <w:r>
        <w:t>Discrepo de esa apreciación.</w:t>
      </w:r>
    </w:p>
    <w:p w:rsidR="005728DD" w:rsidRDefault="005728DD" w:rsidP="005728DD">
      <w:pPr>
        <w:pStyle w:val="TextoNormal"/>
      </w:pPr>
    </w:p>
    <w:p w:rsidR="005728DD" w:rsidRDefault="005728DD" w:rsidP="005728DD">
      <w:pPr>
        <w:pStyle w:val="TextoNormal"/>
      </w:pPr>
      <w:r>
        <w:t>Comparto con el voto particular formulado a la sentencia de casación impugnada las consideraciones sobre el alcance de la jurisprudencia sobre la condena en segunda instancia y que el supuesto planteado no es uno de aquellos en que la naturaleza de la controversia excluye la necesidad de una audiencia ante el órgano judicial que finalmente condenó.</w:t>
      </w:r>
    </w:p>
    <w:p w:rsidR="005728DD" w:rsidRDefault="005728DD" w:rsidP="005728DD">
      <w:pPr>
        <w:pStyle w:val="TextoNormal"/>
      </w:pPr>
    </w:p>
    <w:p w:rsidR="005728DD" w:rsidRDefault="005728DD" w:rsidP="005728DD">
      <w:pPr>
        <w:pStyle w:val="TextoNormal"/>
      </w:pPr>
      <w:r>
        <w:t>4. Ninguna objeción cabe, desde la perspectiva constitucional, a que la Sala de lo Penal del Tribunal Supremo, en tanto que órgano jurisdiccional superior en el orden penal (art. 123.1 CE), declare cuál es la relación normativa entre una conducta y el resultado lesivo en un concreto tipo penal. Está dentro de las potestades constitucionales de la sala de casación interpretar que, a los efectos de la aplicación del delito de homicidio imprudente, no es necesario que se acredite que la conducta debida hubiera evitado, con una probabilidad rayana en la certeza, el fallecimiento de la víctima, sino que basta con que la conducta haya incrementado el riesgo de producción del resultado.</w:t>
      </w:r>
    </w:p>
    <w:p w:rsidR="005728DD" w:rsidRDefault="005728DD" w:rsidP="005728DD">
      <w:pPr>
        <w:pStyle w:val="TextoNormal"/>
      </w:pPr>
    </w:p>
    <w:p w:rsidR="005728DD" w:rsidRDefault="005728DD" w:rsidP="005728DD">
      <w:pPr>
        <w:pStyle w:val="TextoNormal"/>
      </w:pPr>
      <w:r>
        <w:t>Sin embargo, los razonamientos de las sentencias de casación ponen de manifiesto que la labor desarrollada por el órgano judicial de casación no se limitó a cumplir esa función interpretativa del tipo penal sustantivo del art. 142.1 CP, sino que, a continuación, llevó a cabo dos labores sucesivas sobre las que no se pronunció el órgano de instancia: (i) el análisis de los hechos probados de la sentencia de instancia y de las valoraciones probatorias realizadas por el órgano judicial de instancia en relación con pruebas personales realizadas con la debida inmediación a su presencia para poder concluir que sí concurría esa relación normativa de incremento del riesgo; y (ii) la valoración de que la conducta general del demandante de amparo fue una imprudencia de carácter grave para concluir la culpabilidad del recurrente por infracción del art. 142.1 CP.</w:t>
      </w:r>
    </w:p>
    <w:p w:rsidR="005728DD" w:rsidRDefault="005728DD" w:rsidP="005728DD">
      <w:pPr>
        <w:pStyle w:val="TextoNormal"/>
      </w:pPr>
    </w:p>
    <w:p w:rsidR="005728DD" w:rsidRDefault="005728DD" w:rsidP="005728DD">
      <w:pPr>
        <w:pStyle w:val="TextoNormal"/>
      </w:pPr>
      <w:r>
        <w:t>Ambas actividades se desarrollaron sin alterar la declaración de hechos probados, pero implicaron entrar en contacto con estos y con las valoraciones probatorias realizadas sobre pruebas personales no practicadas en su presencia y, además, estudiar la culpabilidad o inocencia en conjunto sobre estos hechos. En efecto, se califica la conducta imprudente como grave optando por una de las posibilidades frente a la alternativa de considerarla como menos grave, cosa que hubiera supuesto una responsabilidad más atenuada, o leve, lo que hubiera supuesto la absolución por atipicidad de ese tipo de imprudencias desde el año 2015. Ambas actividades, en los términos exigidos por la jurisprudencia constitucional y la del Tribunal Europeo de Derechos Humanos hubieran exigido dar la posibilidad al demandante de dirigirse al tribunal que le condenó.</w:t>
      </w:r>
    </w:p>
    <w:p w:rsidR="005728DD" w:rsidRDefault="005728DD" w:rsidP="005728DD">
      <w:pPr>
        <w:pStyle w:val="TextoNormal"/>
      </w:pPr>
    </w:p>
    <w:p w:rsidR="005728DD" w:rsidRDefault="005728DD" w:rsidP="005728DD">
      <w:pPr>
        <w:pStyle w:val="TextoNormal"/>
      </w:pPr>
      <w:r>
        <w:t xml:space="preserve">5. La sentencia de instancia, en lo que se refiere a la absolución del demandante de amparo, declaró en la relación de hechos probados que las tres jóvenes fallecidas que estuvieron en la enfermería lo fueron “como consecuencia de las gravísimas lesiones padecidas en el aplastamiento sufrido en el vomitorio, sin que Simón Viñals Pérez y [….] les prestaran la asistencia médica que precisaban durante el tiempo que permanecieron en el botiquín que gestionaban antes de que llegara al mismo el Samur aumentando así la posibilidad de que no pudieran recuperarse de las lesiones sufridas, no resultando acreditado, sin embargo, que en el supuesto de que les hubieran prestado una asistencia correcta las fallecidas hubieran podido salvar su vida”. A partir de tal constatación, la sentencia de instancia argumenta que </w:t>
      </w:r>
      <w:r>
        <w:lastRenderedPageBreak/>
        <w:t>los delitos de homicidio por imprudencia profesional del art. 142.1 y 3 CP son delitos de resultado y no de peligro, para cuya concurrencia se exige “no solo que resulte acreditada la conducta negligente de los acusados sino también el nexo de causalidad entre la misma y el mortal resultado producido, esto es, que la asistencia sanitaria que los doctores Viñals hubieran debido de prestar a las tres jóvenes y no prestaron, habría evitado, con una probabilidad rayana en la certeza, el fallecimiento de las mismas”, lo que no se ha acreditado a la luz de los informe periciales sobre las posibilidades de recuperarse de una parada cardiorrespiratoria cuando no se interviene de inmediato.</w:t>
      </w:r>
    </w:p>
    <w:p w:rsidR="005728DD" w:rsidRDefault="005728DD" w:rsidP="005728DD">
      <w:pPr>
        <w:pStyle w:val="TextoNormal"/>
      </w:pPr>
    </w:p>
    <w:p w:rsidR="005728DD" w:rsidRDefault="005728DD" w:rsidP="005728DD">
      <w:pPr>
        <w:pStyle w:val="TextoNormal"/>
      </w:pPr>
      <w:r>
        <w:t>Me parece relevante destacar que, como se pone de manifiesto en la sentencia de instancia, la valoración sobre las posibilidades de recuperarse de las víctimas mortales en caso de haberse observado la conducta debida por parte del demandante de amparo se realiza atendiendo al hecho de que, junto a la declaración de este realizada ante el órgano judicial, que defendió la corrección asistencial de su conducta en las circunstancias del caso, los peritos informantes también comparecieron personalmente ante el órgano judicial de instancia, donde fueron sometidos al debido interrogatorio por todas las partes personadas en relación, precisamente, sobre la relevancia que respecto del fallecimiento de las víctimas hubiera tenido la conducta debida por, entre otros, el demandante de amparo.</w:t>
      </w:r>
    </w:p>
    <w:p w:rsidR="005728DD" w:rsidRDefault="005728DD" w:rsidP="005728DD">
      <w:pPr>
        <w:pStyle w:val="TextoNormal"/>
      </w:pPr>
    </w:p>
    <w:p w:rsidR="005728DD" w:rsidRDefault="005728DD" w:rsidP="005728DD">
      <w:pPr>
        <w:pStyle w:val="TextoNormal"/>
      </w:pPr>
      <w:r>
        <w:t>También es determinante que la conclusión de la sentencia de instancia formulada en el sentido de que no quedaba acreditado que la conducta debida hubiera evitado el resultado del fallecimiento de las tres menores se vincula, como se expone ampliamente en el apartado 2.5 de manera separada para cada una de las víctimas, con la circunstancia de que, a partir de las declaraciones de los peritos y de otros testigos efectuadas a presencia del órgano judicial, no podía concluirse cuál era la situación vital de las víctimas cuando llegaron a la enfermería del pabellón ni, en su caso, las posibilidades reales de reanimación.</w:t>
      </w:r>
    </w:p>
    <w:p w:rsidR="005728DD" w:rsidRDefault="005728DD" w:rsidP="005728DD">
      <w:pPr>
        <w:pStyle w:val="TextoNormal"/>
      </w:pPr>
    </w:p>
    <w:p w:rsidR="005728DD" w:rsidRDefault="005728DD" w:rsidP="005728DD">
      <w:pPr>
        <w:pStyle w:val="TextoNormal"/>
      </w:pPr>
      <w:r>
        <w:t>Es cierto que la sentencia de instancia afirma la existencia de negligencia en la conducta del recurrente al negar la necesaria relación de causalidad a partir de la teoría de la evitabilidad, pero nada dice sobre la eventual valoración de la conducta imprudente como grave, menos grave o leve.</w:t>
      </w:r>
    </w:p>
    <w:p w:rsidR="005728DD" w:rsidRDefault="005728DD" w:rsidP="005728DD">
      <w:pPr>
        <w:pStyle w:val="TextoNormal"/>
      </w:pPr>
    </w:p>
    <w:p w:rsidR="005728DD" w:rsidRDefault="005728DD" w:rsidP="005728DD">
      <w:pPr>
        <w:pStyle w:val="TextoNormal"/>
      </w:pPr>
      <w:r>
        <w:t>Esto es, la conclusión de la sentencia absolutoria de instancia se fundamentó, —partiendo de la doctrina de que la causalidad en este tipo de delitos solo concurre cuando queda acreditado que la conducta debida habría evitado, con una probabilidad rayana en la certeza, el resultado lesivo—, en que, de conformidad con la prueba personal realizada con inmediación en su presencia, incluyendo la propia declaración del demandante de amparo, de diversos testigos y de los peritos médicos, no quedaba acreditado ese concreto extremo, lo que impidió que hiciera una valoración conjunta de la culpabilidad de la conducta desarrollada por el recurrente y su eventual calificación como un homicidio por imprudencia grave, menos grave o leve, lo que sí se produjo respecto de otros acusados condenados en esa primera instancia.</w:t>
      </w:r>
    </w:p>
    <w:p w:rsidR="005728DD" w:rsidRDefault="005728DD" w:rsidP="005728DD">
      <w:pPr>
        <w:pStyle w:val="TextoNormal"/>
      </w:pPr>
    </w:p>
    <w:p w:rsidR="005728DD" w:rsidRDefault="005728DD" w:rsidP="005728DD">
      <w:pPr>
        <w:pStyle w:val="TextoNormal"/>
      </w:pPr>
      <w:r>
        <w:t xml:space="preserve">6. La sentencia de casación debió resolver respecto del demandante de amparo el recurso interpuesto por las familias de dos de las víctimas que habían sido llevadas a la enfermería del pabellón, ya que ni la familia ni el Ministerio Fiscal recurrieron la absolución por el fallecimiento de la tercera. El resultado fue que, respecto de una de ellas, se confirmó la absolución del demandante al constatarse que no había quedado acreditado si cuando llegó </w:t>
      </w:r>
      <w:r>
        <w:lastRenderedPageBreak/>
        <w:t>a la enfermería estaba en parada cardiorrespiratoria o había ya fallecido (fundamento de Derecho vigésimo quinto). Por el contrario, respecto de la otra víctima, se estimó el recurso de casación (fundamentos de Derecho décimo noveno y vigésimo de la primera sentencia de casación) y se condenó al demandante de amparo como autor de un delito de homicidio imprudente grave profesional (fundamento de Derecho único de la segunda sentencia de casación).</w:t>
      </w:r>
    </w:p>
    <w:p w:rsidR="005728DD" w:rsidRDefault="005728DD" w:rsidP="005728DD">
      <w:pPr>
        <w:pStyle w:val="TextoNormal"/>
      </w:pPr>
    </w:p>
    <w:p w:rsidR="005728DD" w:rsidRDefault="005728DD" w:rsidP="005728DD">
      <w:pPr>
        <w:pStyle w:val="TextoNormal"/>
      </w:pPr>
      <w:r>
        <w:t>La sentencia de casación comienza haciendo un amplio resumen de los hechos declarados probados en lo que se refiere a la atención recibida por esta víctima mortal e, igualmente, lo complementa con amplias referencias a algunas de las afirmaciones contenidas en el apartado 2.5 de la sentencia de instancia en que se exponía la valoración de la actividad probatoria desarrollada en la vista oral referida a las propias declaraciones del acusado, de diversos testigos y de los peritos forenses.</w:t>
      </w:r>
    </w:p>
    <w:p w:rsidR="005728DD" w:rsidRDefault="005728DD" w:rsidP="005728DD">
      <w:pPr>
        <w:pStyle w:val="TextoNormal"/>
      </w:pPr>
    </w:p>
    <w:p w:rsidR="005728DD" w:rsidRDefault="005728DD" w:rsidP="005728DD">
      <w:pPr>
        <w:pStyle w:val="TextoNormal"/>
      </w:pPr>
      <w:r>
        <w:t>Es especialmente destacable, por lo que se refiere al debate que a continuación se desarrolla en relación con las exigencias de relación entre la conducta y el resultado, la referencia que se hace a que la conclusión de que la víctima llegó viva a la enfermería “es una conclusión que se obtiene de la valoración probatoria contenida en el epígrafe referido a la asistencia a las víctimas, donde se contiene un minucioso y detallado análisis de toda la prueba practicada”. Tampoco cabe desconocer que la sentencia de casación, ante la afirmación contenida en la parte de la valoración probatoria de la sentencia de instancia respecto de esta víctima, de que “parece que no falleció en la propia avalancha”, señala que “alude no a una mera apariencia sino a la acepción que conlleva la asertividad de ser cierto”, para lo que acude de nuevo a otras afirmaciones contenidas en la parte de la valoración probatoria de la sentencia absolutoria. A partir de ello, en la sentencia de casación se señala que “de lo expuesto queda sobradamente constatado que la audiencia declara que con la mala actuación de Simón Viñals se incrementó el riesgo de muerte […]”.</w:t>
      </w:r>
    </w:p>
    <w:p w:rsidR="005728DD" w:rsidRDefault="005728DD" w:rsidP="005728DD">
      <w:pPr>
        <w:pStyle w:val="TextoNormal"/>
      </w:pPr>
    </w:p>
    <w:p w:rsidR="005728DD" w:rsidRDefault="005728DD" w:rsidP="005728DD">
      <w:pPr>
        <w:pStyle w:val="TextoNormal"/>
      </w:pPr>
      <w:r>
        <w:t>A continuación de esta exposición, la sentencia de casación aborda la cuestión jurídica de la relación entre conducta y resultado en los delitos de homicidio omisivo imprudente para sustentar, con un amplio razonamiento sobre el particular, que lo relevante no es la posibilidad de deducir la evitabilidad del resultado, sino concluir que la conducta ha incrementado el riesgo convirtiéndose en un factor coadyuvante del resultado final. De todo ello concluye que en el caso concurría tanto la conducta negligente del acusado como la necesaria relación entre dicha conducta y el fallecimiento de la víctima, por lo que el demandante de amparo debía ser condenado como autor criminalmente responsable de un delito de imprudencia grave con resultado de muerte, en la modalidad de imprudencia profesional.</w:t>
      </w:r>
    </w:p>
    <w:p w:rsidR="005728DD" w:rsidRDefault="005728DD" w:rsidP="005728DD">
      <w:pPr>
        <w:pStyle w:val="TextoNormal"/>
      </w:pPr>
    </w:p>
    <w:p w:rsidR="005728DD" w:rsidRDefault="005728DD" w:rsidP="005728DD">
      <w:pPr>
        <w:pStyle w:val="TextoNormal"/>
      </w:pPr>
      <w:r>
        <w:t>Ninguna consideración se hace en la sentencia de casación sobre las razones por las que se califica la conducta imprudente del demandante de amparo como grave y no, en su caso, como menos grave o leve para configurar otros títulos de responsabilidad penal alternativos o su absolución por atipicidad de la conducta.</w:t>
      </w:r>
    </w:p>
    <w:p w:rsidR="005728DD" w:rsidRDefault="005728DD" w:rsidP="005728DD">
      <w:pPr>
        <w:pStyle w:val="TextoNormal"/>
      </w:pPr>
    </w:p>
    <w:p w:rsidR="005728DD" w:rsidRDefault="005728DD" w:rsidP="005728DD">
      <w:pPr>
        <w:pStyle w:val="TextoNormal"/>
      </w:pPr>
      <w:r>
        <w:t xml:space="preserve">7. Toda esta descripción del </w:t>
      </w:r>
      <w:r w:rsidRPr="005728DD">
        <w:rPr>
          <w:i/>
        </w:rPr>
        <w:t>iter</w:t>
      </w:r>
      <w:r>
        <w:t xml:space="preserve"> discursivo de la sentencia de casación acredita, en los términos enunciados, que la conclusión condenatoria se conformó, en primer lugar, afirmando que la conducta del recurrente incrementó el riesgo del resultado lesivo.</w:t>
      </w:r>
    </w:p>
    <w:p w:rsidR="005728DD" w:rsidRDefault="005728DD" w:rsidP="005728DD">
      <w:pPr>
        <w:pStyle w:val="TextoNormal"/>
      </w:pPr>
    </w:p>
    <w:p w:rsidR="005728DD" w:rsidRDefault="005728DD" w:rsidP="005728DD">
      <w:pPr>
        <w:pStyle w:val="TextoNormal"/>
      </w:pPr>
      <w:r>
        <w:lastRenderedPageBreak/>
        <w:t>Esta primera afirmación, en la medida en que sobre ella no había incidido la sentencia de instancia, se fundamenta, a pesar de mantenerse formalmente inalterada la declaración de hechos probados, no solo a partir de lo establecido en esa declaración, sino, especialmente, entrando a analizar —e incluso interpretar— la propia valoración probatoria realizada por el órgano judicial de instancia sobre la situación vital en que llegó esta víctima a la enfermería del pabellón y las posibilidades de recuperación a partir de una extensa y también compleja prueba personal desarrollada a su presencia, que incluía la propia declaración del recurrente, la de varios testigos y la de peritos. Esta labor trasciende los aspectos estrictamente jurídicos al implicar un estrecho contacto con valoraciones probatorias basadas en pruebas personales que solo resultan constitucionalmente admisibles para revocar una absolución y pronunciar una condena si se hacen con respecto a la garantía de inmediación exigida en el art. 24.2 CE, lo que en este caso no se verificó.</w:t>
      </w:r>
    </w:p>
    <w:p w:rsidR="005728DD" w:rsidRDefault="005728DD" w:rsidP="005728DD">
      <w:pPr>
        <w:pStyle w:val="TextoNormal"/>
      </w:pPr>
    </w:p>
    <w:p w:rsidR="005728DD" w:rsidRDefault="005728DD" w:rsidP="005728DD">
      <w:pPr>
        <w:pStyle w:val="TextoNormal"/>
      </w:pPr>
      <w:r>
        <w:t xml:space="preserve">Del mismo modo, este </w:t>
      </w:r>
      <w:r w:rsidRPr="005728DD">
        <w:rPr>
          <w:i/>
        </w:rPr>
        <w:t>iter</w:t>
      </w:r>
      <w:r>
        <w:t xml:space="preserve"> también pone de manifiesto que la conclusión condenatoria se conformó, en segundo lugar, afirmando que la conducta del recurrente era de carácter grave y no menos grave o leve.</w:t>
      </w:r>
    </w:p>
    <w:p w:rsidR="005728DD" w:rsidRDefault="005728DD" w:rsidP="005728DD">
      <w:pPr>
        <w:pStyle w:val="TextoNormal"/>
      </w:pPr>
    </w:p>
    <w:p w:rsidR="005728DD" w:rsidRDefault="005728DD" w:rsidP="005728DD">
      <w:pPr>
        <w:pStyle w:val="TextoNormal"/>
      </w:pPr>
      <w:r>
        <w:t>Esta segunda valoración, en la medida en que sobre ella no había incidido tampoco la sentencia de instancia, aparece como una conclusión autónoma de la sentencia de casación respecto de la concurrencia de un elemento conformador de aspectos subjetivos o anímicos de la responsabilidad penal —la eventual gravedad de la imprudencia— que forman parte del estudio de la culpabilidad o inocencia en conjunto sobre los hechos. La sentencia de instancia, respecto de diversos acusados, calificó su conducta como imprudencia grave, menos grave o leve para determinar la gravedad de su responsabilidad penal o incluso la absolución por falta de tipicidad. Esa circunstancia pone de manifiesto que esta cuestión resultaba también muy relevante como consecuencia de la reforma legislativa operada por la Ley Orgánica 1/2015, de 30 de marzo, que modificó la regulación de los ilícitos de homicidio imprudente en el sentido de diferenciar la responsabilidad penal de los homicidios imprudentes graves de los menos graves y de despenalizar los homicidios imprudentes leves. Esta labor de calificación también trasciende los aspectos estrictamente jurídicos en la medida en que afecta al estudio en conjunto de la culpabilidad y de la gravedad de la responsabilidad penal del acusado y que redunda en la afirmación de la concurrencia de aspectos subjetivos, de tal suerte que solo resulta constitucionalmente admisible para revocar una absolución y pronunciar una condena si se hace con respeto a la garantía de audiencia del acusado exigida en el art. 24.2 CE, lo que en este caso tampoco se verificó.</w:t>
      </w:r>
    </w:p>
    <w:p w:rsidR="005728DD" w:rsidRDefault="005728DD" w:rsidP="005728DD">
      <w:pPr>
        <w:pStyle w:val="TextoNormal"/>
      </w:pPr>
    </w:p>
    <w:p w:rsidR="005728DD" w:rsidRDefault="005728DD" w:rsidP="005728DD">
      <w:pPr>
        <w:pStyle w:val="TextoNormal"/>
      </w:pPr>
      <w:r>
        <w:t xml:space="preserve">En conclusión, considero que, en las circunstancias del caso, el debate que se desarrolló en el recurso de casación respecto de la responsabilidad penal del demandante de amparo superaba los límites de las cuestiones estrictamente jurídicas que permiten excepcionar el principio constitucional de que la condena en segunda instancia con la revocación de una previa sentencia absolutoria solo puede hacerse dando la posibilidad efectiva al acusado de dirigirse personalmente al órgano judicial que finalmente le condena. No desconozco que la tradicional regulación del recurso de casación dificulta en la práctica el cumplimiento —en todo caso inexorable— de las exigencias propias de la doble instancia penal y que la nueva regulación del recurso de apelación penal viene a solventar en parte estas dificultades, atendida la competencia que ahora se reconoce a la nueva Sala de Apelación de la Audiencia Nacional y a las salas de lo civil y penal de los tribunales superiores de justicia para conocer </w:t>
      </w:r>
      <w:r>
        <w:lastRenderedPageBreak/>
        <w:t>de los recursos de apelación contra sentencias de la Sala de lo Penal de la Audiencia Nacional y de las audiencias provinciales. Sin embargo, creo que la cuestión tiene gran importancia, pues la aplicación del criterio seguido en la sentencia de casación no solo implica, a mi juicio, una quiebra relevante en el sistema de garantías, sino que cabe predecir su extensión a los recursos de apelación penales como criterio jurisprudencial.</w:t>
      </w:r>
    </w:p>
    <w:p w:rsidR="005728DD" w:rsidRDefault="005728DD" w:rsidP="005728DD">
      <w:pPr>
        <w:pStyle w:val="TextoNormal"/>
      </w:pPr>
    </w:p>
    <w:p w:rsidR="005728DD" w:rsidRDefault="005728DD" w:rsidP="005728DD">
      <w:pPr>
        <w:pStyle w:val="TextoNormal"/>
      </w:pPr>
      <w:r>
        <w:t>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2" w:name="SENTENCIA_2021_19"/>
      <w:r>
        <w:lastRenderedPageBreak/>
        <w:t>SENTENCIA 19/2021, de 15 de febrero de 2021</w:t>
      </w:r>
    </w:p>
    <w:bookmarkEnd w:id="22"/>
    <w:p w:rsidR="005728DD" w:rsidRDefault="005728DD" w:rsidP="005728DD">
      <w:pPr>
        <w:pStyle w:val="TtuloResolucin"/>
      </w:pPr>
      <w:r>
        <w:t>Sala Primera</w:t>
      </w:r>
    </w:p>
    <w:p w:rsidR="005728DD" w:rsidRDefault="005728DD" w:rsidP="005728DD">
      <w:pPr>
        <w:pStyle w:val="TtuloBOE"/>
      </w:pPr>
      <w:r>
        <w:t>(BOE núm. 69, de 22 de marzo de 2021)</w:t>
      </w:r>
    </w:p>
    <w:p w:rsidR="005728DD" w:rsidRDefault="005728DD" w:rsidP="005728DD">
      <w:pPr>
        <w:pStyle w:val="TextoNormalCentrado"/>
      </w:pPr>
      <w:r>
        <w:t>ECLI:ES:TC:2021:19</w:t>
      </w:r>
    </w:p>
    <w:p w:rsidR="005728DD" w:rsidRDefault="005728DD" w:rsidP="005728DD">
      <w:pPr>
        <w:pStyle w:val="TextoNormalCentrado"/>
      </w:pPr>
    </w:p>
    <w:p w:rsidR="005728DD" w:rsidRDefault="005728DD" w:rsidP="005728DD">
      <w:pPr>
        <w:pStyle w:val="SntesisDescriptiva"/>
      </w:pPr>
      <w:r>
        <w:t>Recurso de amparo 6348-2018. Promovido por la Universidad Católica de Valencia San Vicente Mártir en relación con la Orden 24/2016, de 10 de junio, por la que se establecen las bases reguladoras para la concesión de becas para el alumnado que vaya a finalizar sus estudios universitarios en universidades públicas de la Comunitat Valenciana, y la Resolución de 11 de julio de 2016, de la Consellería de Educación, Investigación, Cultura y Deporte, por la que se convocan becas para el alumnado que vaya a finalizar sus estudios universitarios en las universidades públicas de la comunidad valenciana durante el curso 2016/2017, y las resoluciones dictadas por las salas de lo contencioso-administrativo del Tribunal Supremo y del Tribunal Superior de Justicia de la Comunidad Valenciana desestimando la impugnación de dicha orden.</w:t>
      </w:r>
    </w:p>
    <w:p w:rsidR="005728DD" w:rsidRDefault="005728DD" w:rsidP="005728DD">
      <w:pPr>
        <w:pStyle w:val="SntesisDescriptiva"/>
      </w:pPr>
    </w:p>
    <w:p w:rsidR="005728DD" w:rsidRDefault="005728DD" w:rsidP="005728DD">
      <w:pPr>
        <w:pStyle w:val="SntesisAnaltica"/>
      </w:pPr>
      <w:r>
        <w:t>Vulneración del derecho a la igualdad en relación con el derecho a la creación de centros docentes: nulidad de los preceptos reglamentarios que limitan el disfrute de becas a los alumnos matriculados en universidades públicas integrantes del sistema universitario valenciano (STC 191/2020). Voto particular.</w:t>
      </w:r>
    </w:p>
    <w:p w:rsidR="005728DD" w:rsidRDefault="005728DD" w:rsidP="005728DD">
      <w:pPr>
        <w:pStyle w:val="SntesisAnaltica"/>
      </w:pPr>
    </w:p>
    <w:p w:rsidR="005728DD" w:rsidRDefault="005728DD" w:rsidP="005728DD">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6348-2018, promovido por la Universidad Católica de Valencia San Vicente Mártir, representada por la procuradora de los tribunales doña Ana Lázaro Gogorza, y asistida por el letrado don Gonzalo Fernández de Arévalo, contra la Orden de la Consellería de Educación, Investigación, Cultura y Deporte, 24/2016, de 10 de junio, por la que se establecen las bases reguladoras para la concesión de becas para el alumnado que vaya a finalizar sus estudios universitarios en universidades públicas de la Comunitat Valenciana, y contra la Resolución de 11 de julio de 2016, de la Consellería de </w:t>
      </w:r>
      <w:r>
        <w:lastRenderedPageBreak/>
        <w:t>Educación, Investigación, Cultura y Deporte, por la que se convocan becas para el alumnado que vaya a finalizar sus estudios universitarios en las universidades públicas de la comunidad valenciana durante el curso 2016/2017; así como contra la sentencia de fecha 21 de noviembre de 2017, de la Sección Quinta de la Sala de lo Contencioso-Administrativo del Tribunal Superior de Justicia de la Comunidad Valenciana, dictada en los autos del recurso contencioso administrativo núm. 458-2016 y acumulado 558-2016, y las providencias de 21 de junio y 22 de octubre de 2018 de la Sección Primera de la Sala de lo Contencioso-Administrativo del Tribunal Supremo en el recurso de casación núm. 1473-2018. Ha intervenido el Ministerio Fiscal y ha comparecido la Generalitat Valenciana. Ha sido ponente el magistrado don Cándido Conde-Pumpido Tourón.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29 de noviembre de 2018, la procuradora de los tribunales doña Ana Lázaro Gogorza en nombre y representación de la Universidad Católica de Valencia San Vicente Mártir, interpuso recurso de amparo contra las resoluciones que se citan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de los que trae causa la demanda de amparo son, en síntesis, los siguientes:</w:t>
      </w:r>
    </w:p>
    <w:p w:rsidR="005728DD" w:rsidRDefault="005728DD" w:rsidP="005728DD">
      <w:pPr>
        <w:pStyle w:val="TextoNormal"/>
      </w:pPr>
    </w:p>
    <w:p w:rsidR="005728DD" w:rsidRDefault="005728DD" w:rsidP="005728DD">
      <w:pPr>
        <w:pStyle w:val="TextoNormal"/>
      </w:pPr>
      <w:r>
        <w:t>a) Con fecha 14 de junio de 2016, se publicó en el “Diario Oficial de la Comunidad Valenciana” (“DOCV” núm. 7805) la Orden de la Consellería de Educación, Investigación, Cultura y Deporte, 24/2016, de 10 de junio, por la que se establecen las bases reguladoras para la concesión de las becas para el alumnado que vaya a finalizar sus estudios universitarios en las universidades públicas de la Comunitat Valenciana.</w:t>
      </w:r>
    </w:p>
    <w:p w:rsidR="005728DD" w:rsidRDefault="005728DD" w:rsidP="005728DD">
      <w:pPr>
        <w:pStyle w:val="TextoNormal"/>
      </w:pPr>
    </w:p>
    <w:p w:rsidR="005728DD" w:rsidRDefault="005728DD" w:rsidP="005728DD">
      <w:pPr>
        <w:pStyle w:val="TextoNormal"/>
      </w:pPr>
      <w:r>
        <w:t>La referida Orden 24/2016, de 10 de junio, en su artículo 1.1 dispone:</w:t>
      </w:r>
    </w:p>
    <w:p w:rsidR="005728DD" w:rsidRDefault="005728DD" w:rsidP="005728DD">
      <w:pPr>
        <w:pStyle w:val="TextoNormal"/>
      </w:pPr>
    </w:p>
    <w:p w:rsidR="005728DD" w:rsidRDefault="005728DD" w:rsidP="005728DD">
      <w:pPr>
        <w:pStyle w:val="TextoNormal"/>
      </w:pPr>
      <w:r>
        <w:t>“El objeto de la orden es establecer las bases por las que han de regirse las convocatorias de becas dirigidas al alumnado al que le reste un máximo de veinticuatro créditos para finalizar sus estudios universitarios en el curso académico establecido en la correspondiente convocatoria, en alguna de las universidades públicas que integran el sistema universitario valenciano, o en sus centros públicos adscritos, y esté matriculado en créditos que correspondan a la tercera y/o sucesivas matrículas”.</w:t>
      </w:r>
    </w:p>
    <w:p w:rsidR="005728DD" w:rsidRDefault="005728DD" w:rsidP="005728DD">
      <w:pPr>
        <w:pStyle w:val="TextoNormal"/>
      </w:pPr>
    </w:p>
    <w:p w:rsidR="005728DD" w:rsidRDefault="005728DD" w:rsidP="005728DD">
      <w:pPr>
        <w:pStyle w:val="TextoNormal"/>
      </w:pPr>
      <w:r>
        <w:t>Igualmente, en su artículo 2.1 establece:</w:t>
      </w:r>
    </w:p>
    <w:p w:rsidR="005728DD" w:rsidRDefault="005728DD" w:rsidP="005728DD">
      <w:pPr>
        <w:pStyle w:val="TextoNormal"/>
      </w:pPr>
    </w:p>
    <w:p w:rsidR="005728DD" w:rsidRDefault="005728DD" w:rsidP="005728DD">
      <w:pPr>
        <w:pStyle w:val="TextoNormal"/>
      </w:pPr>
      <w:r>
        <w:t>“Podrá solicitar la beca el alumnado al que le reste un máximo de veinticuatro créditos para finalizar sus estudios universitarios en el curso académico correspondiente en las universidades públicas que integran el sistema universitario valenciano, o de sus centros públicos adscritos, y esté matriculado en créditos que correspondan a la tercera y/o sucesivas matrículas”.</w:t>
      </w:r>
    </w:p>
    <w:p w:rsidR="005728DD" w:rsidRDefault="005728DD" w:rsidP="005728DD">
      <w:pPr>
        <w:pStyle w:val="TextoNormal"/>
      </w:pPr>
    </w:p>
    <w:p w:rsidR="005728DD" w:rsidRDefault="005728DD" w:rsidP="005728DD">
      <w:pPr>
        <w:pStyle w:val="TextoNormal"/>
      </w:pPr>
      <w:r>
        <w:t xml:space="preserve">Por otro lado, con fecha 14 de julio de 2016, se publicó en el “Diario Oficial de la Comunidad Valenciana” (“DOCV” núm. 7828) Resolución de 11 de julio de 2016, de la Consellería de Educación, Investigación, Cultura y Deporte por la que se convocan las becas </w:t>
      </w:r>
      <w:r>
        <w:lastRenderedPageBreak/>
        <w:t>para el alumnado que vaya a finalizar sus estudios universitarios en las universidades públicas de la Comunidad Valenciana en el curso 2016/2017¸ cuyo apartado primero dispone:</w:t>
      </w:r>
    </w:p>
    <w:p w:rsidR="005728DD" w:rsidRDefault="005728DD" w:rsidP="005728DD">
      <w:pPr>
        <w:pStyle w:val="TextoNormal"/>
      </w:pPr>
    </w:p>
    <w:p w:rsidR="005728DD" w:rsidRDefault="005728DD" w:rsidP="005728DD">
      <w:pPr>
        <w:pStyle w:val="TextoNormal"/>
      </w:pPr>
      <w:r>
        <w:t>“Apartado 1. Objeto.</w:t>
      </w:r>
    </w:p>
    <w:p w:rsidR="005728DD" w:rsidRDefault="005728DD" w:rsidP="005728DD">
      <w:pPr>
        <w:pStyle w:val="TextoNormal"/>
      </w:pPr>
    </w:p>
    <w:p w:rsidR="005728DD" w:rsidRDefault="005728DD" w:rsidP="005728DD">
      <w:pPr>
        <w:pStyle w:val="TextoNormal"/>
      </w:pPr>
      <w:r>
        <w:t>Convocar para el curso 2016/2017, las becas para la realización de estudios universitarios para el alumnado que le reste un máximo de veinticuatro créditos para finalizar sus estudios universitarios en las universidades que integran el sistema universitario valenciano, a las que hace referencia el apartado 2.1 A) de la Ley de las Cortes Valencianas 4/2007, de 9 de febrero, de coordinación del sistema universitario valenciano y de sus centros públicos adscritos”.</w:t>
      </w:r>
    </w:p>
    <w:p w:rsidR="005728DD" w:rsidRDefault="005728DD" w:rsidP="005728DD">
      <w:pPr>
        <w:pStyle w:val="TextoNormal"/>
      </w:pPr>
    </w:p>
    <w:p w:rsidR="005728DD" w:rsidRDefault="005728DD" w:rsidP="005728DD">
      <w:pPr>
        <w:pStyle w:val="TextoNormal"/>
      </w:pPr>
      <w:r>
        <w:t>Se indica igualmente en su apartado segundo:</w:t>
      </w:r>
    </w:p>
    <w:p w:rsidR="005728DD" w:rsidRDefault="005728DD" w:rsidP="005728DD">
      <w:pPr>
        <w:pStyle w:val="TextoNormal"/>
      </w:pPr>
    </w:p>
    <w:p w:rsidR="005728DD" w:rsidRDefault="005728DD" w:rsidP="005728DD">
      <w:pPr>
        <w:pStyle w:val="TextoNormal"/>
      </w:pPr>
      <w:r>
        <w:t>“Apartado 2. Beneficiarios y estudios comprendidos.</w:t>
      </w:r>
    </w:p>
    <w:p w:rsidR="005728DD" w:rsidRDefault="005728DD" w:rsidP="005728DD">
      <w:pPr>
        <w:pStyle w:val="TextoNormal"/>
      </w:pPr>
    </w:p>
    <w:p w:rsidR="005728DD" w:rsidRDefault="005728DD" w:rsidP="005728DD">
      <w:pPr>
        <w:pStyle w:val="TextoNormal"/>
      </w:pPr>
      <w:r>
        <w:t>1. Podrán solicitar beca el alumnado al que le reste un máximo de veinticuatro créditos para finalizar sus estudios universitarios en el curso académico 2016/2017 en las universidades públicas que integran el sistema universitario valenciano, o de sus centros públicos adscritos, y esté matriculado en créditos que correspondan a la tercera y/o sucesivas matrículas”.</w:t>
      </w:r>
    </w:p>
    <w:p w:rsidR="005728DD" w:rsidRDefault="005728DD" w:rsidP="005728DD">
      <w:pPr>
        <w:pStyle w:val="TextoNormal"/>
      </w:pPr>
    </w:p>
    <w:p w:rsidR="005728DD" w:rsidRDefault="005728DD" w:rsidP="005728DD">
      <w:pPr>
        <w:pStyle w:val="TextoNormal"/>
      </w:pPr>
      <w:r>
        <w:t>b) La Universidad Católica de Valencia San Vicente Mártir interpuso recurso contencioso-administrativo por el procedimiento especial de protección de los derechos fundamentales, contra la citada Orden 24/2016, de 10 de junio, alegando la vulneración de los artículos 14, 16 y 27 CE.</w:t>
      </w:r>
    </w:p>
    <w:p w:rsidR="005728DD" w:rsidRDefault="005728DD" w:rsidP="005728DD">
      <w:pPr>
        <w:pStyle w:val="TextoNormal"/>
      </w:pPr>
    </w:p>
    <w:p w:rsidR="005728DD" w:rsidRDefault="005728DD" w:rsidP="005728DD">
      <w:pPr>
        <w:pStyle w:val="TextoNormal"/>
      </w:pPr>
      <w:r>
        <w:t>Igualmente interpuso frente a la ya citada Resolución de 11 de julio de 2016, recurso contencioso-administrativo también por vulneración de los derechos fundamentales recogidos en los artículos 14, 16 y 27 CE.</w:t>
      </w:r>
    </w:p>
    <w:p w:rsidR="005728DD" w:rsidRDefault="005728DD" w:rsidP="005728DD">
      <w:pPr>
        <w:pStyle w:val="TextoNormal"/>
      </w:pPr>
    </w:p>
    <w:p w:rsidR="005728DD" w:rsidRDefault="005728DD" w:rsidP="005728DD">
      <w:pPr>
        <w:pStyle w:val="TextoNormal"/>
      </w:pPr>
      <w:r>
        <w:t>c) Con fecha 7 de septiembre de 2016, la Sección Quinta de Sala de lo Contencioso-Administrativo del Tribunal Superior de Justicia de la Comunidad Valenciana, entendió, tanto en el procedimiento de derechos fundamentales 458-2016 en relación con el recurso contra la Orden 24/2016, de 10 de junio, como en el 558-2016 en relación con el recurso contra la Resolución de 11 de julio de 2016, que únicamente cabía seguir el procedimiento por lesión del artículo 14 CE (igualdad y no discriminación entre centros docentes) pero que no podían invocarse razones de discriminación ideológica (artículo 16 CE) o de derecho a la educación y libertad de creación de centros docentes (artículo 27.6 CE).</w:t>
      </w:r>
    </w:p>
    <w:p w:rsidR="005728DD" w:rsidRDefault="005728DD" w:rsidP="005728DD">
      <w:pPr>
        <w:pStyle w:val="TextoNormal"/>
      </w:pPr>
    </w:p>
    <w:p w:rsidR="005728DD" w:rsidRDefault="005728DD" w:rsidP="005728DD">
      <w:pPr>
        <w:pStyle w:val="TextoNormal"/>
      </w:pPr>
      <w:r>
        <w:t>La Sección de la Sala de lo Contencioso-Administrativo del Tribunal Superior de Justicia de la Comunidad Valenciana acordó mediante dos autos en los correspondientes procedimientos “la continuación del procedimiento respecto al derecho de igualdad que, en su condición de centro de enseñanza universitaria, estima vulnerado la demandante, declarando la inadecuación del procedimiento en cuanto a los demás motivos de impugnación, así como la falta de legitimación activa de la misma para su ejercicio, denegando la conversión parcial del procedimiento”.</w:t>
      </w:r>
    </w:p>
    <w:p w:rsidR="005728DD" w:rsidRDefault="005728DD" w:rsidP="005728DD">
      <w:pPr>
        <w:pStyle w:val="TextoNormal"/>
      </w:pPr>
    </w:p>
    <w:p w:rsidR="005728DD" w:rsidRDefault="005728DD" w:rsidP="005728DD">
      <w:pPr>
        <w:pStyle w:val="TextoNormal"/>
      </w:pPr>
      <w:r>
        <w:lastRenderedPageBreak/>
        <w:t>Asimismo, ambos recursos fueron acumulados mediante auto de fecha 1 de marzo de 2017.</w:t>
      </w:r>
    </w:p>
    <w:p w:rsidR="005728DD" w:rsidRDefault="005728DD" w:rsidP="005728DD">
      <w:pPr>
        <w:pStyle w:val="TextoNormal"/>
      </w:pPr>
    </w:p>
    <w:p w:rsidR="005728DD" w:rsidRDefault="005728DD" w:rsidP="005728DD">
      <w:pPr>
        <w:pStyle w:val="TextoNormal"/>
      </w:pPr>
      <w:r>
        <w:t>d) Con fecha 21 de noviembre de 2017, la Sección Quinta de la Sala de lo Contencioso-Administrativo del Tribunal Superior de Justicia de la Comunidad Valenciana, dictó la sentencia 1079/2017, por la que desestimó el recurso interpuesto contra la Orden 24/2016, de 10 de junio, y contra la Resolución de 11 de julio de 2016, sin entrar en el fondo del asunto, entendiendo y trasladando que la Orden y Resolución recurridas no contienen disposiciones relativas a las universidades, sino tan solo a los alumnos y que, por ello, no podían ser recurridas por aquellas.</w:t>
      </w:r>
    </w:p>
    <w:p w:rsidR="005728DD" w:rsidRDefault="005728DD" w:rsidP="005728DD">
      <w:pPr>
        <w:pStyle w:val="TextoNormal"/>
      </w:pPr>
    </w:p>
    <w:p w:rsidR="005728DD" w:rsidRDefault="005728DD" w:rsidP="005728DD">
      <w:pPr>
        <w:pStyle w:val="TextoNormal"/>
      </w:pPr>
      <w:r>
        <w:t>e) Interpuesto recurso de casación el mismo fue inadmitido por providencia de fecha 21 de junio de 2018 de la Sala de lo Contencioso-Administrativo del Tribunal Supremo “en aplicación de lo dispuesto en el artículo 90.4 b) de la Ley 29/1998, de 13 de julio, reguladora de la jurisdicción contencioso-administrativa, por cuanto en el escrito de preparación no se ha fundamentado de forma suficiente, con singular referencia al caso, que concurran alguno o algunos de los supuestos que permiten apreciar el interés casacional objetivo y la conveniencia de un pronunciamiento de la Sala de lo Contencioso-Administrativo del Tribunal Supremo, incumpliéndose, de este modo, las exigencias que el artículo 89.2 f) de la citada ley impone para dicho escrito”.</w:t>
      </w:r>
    </w:p>
    <w:p w:rsidR="005728DD" w:rsidRDefault="005728DD" w:rsidP="005728DD">
      <w:pPr>
        <w:pStyle w:val="TextoNormal"/>
      </w:pPr>
    </w:p>
    <w:p w:rsidR="005728DD" w:rsidRDefault="005728DD" w:rsidP="005728DD">
      <w:pPr>
        <w:pStyle w:val="TextoNormal"/>
      </w:pPr>
      <w:r>
        <w:t>f) La universidad recurrente interpuso incidente de nulidad de actuaciones con fundamento en que la motivación de la citada providencia “es ilógica e irrazonable, ya que solo puede deberse a un error el que, ante dos cuestiones totalmente equivalentes, se den motivaciones contradictorias”. Señala la recurrente que ante el recurso de casación presentado en otro procedimiento análogo, frente a la sentencia 561/2017, se fundamentó la inadmisión de la casación de otra manera, pues se fundó “al no haberse justificado en el escrito de preparación que las infracciones imputadas a la sentencia hayan sido relevantes y determinantes de la decisión adoptada en la misma”.</w:t>
      </w:r>
    </w:p>
    <w:p w:rsidR="005728DD" w:rsidRDefault="005728DD" w:rsidP="005728DD">
      <w:pPr>
        <w:pStyle w:val="TextoNormal"/>
      </w:pPr>
    </w:p>
    <w:p w:rsidR="005728DD" w:rsidRDefault="005728DD" w:rsidP="005728DD">
      <w:pPr>
        <w:pStyle w:val="TextoNormal"/>
      </w:pPr>
      <w:r>
        <w:t>Para la recurrente la motivación de la providencia de inadmisión de fecha 21 de junio de 2018 “supone una lesión al derecho fundamental a la tutela judicial efectiva (artículo 24 CE), que provoca indefensión […] impidiendo que el Tribunal Supremo haya podido entrar a conocer, en su integridad, las alegadas lesiones a los derechos fundamentales reconocidos en los artículos 14, 27 y 16 de la Constitución española”.</w:t>
      </w:r>
    </w:p>
    <w:p w:rsidR="005728DD" w:rsidRDefault="005728DD" w:rsidP="005728DD">
      <w:pPr>
        <w:pStyle w:val="TextoNormal"/>
      </w:pPr>
    </w:p>
    <w:p w:rsidR="005728DD" w:rsidRDefault="005728DD" w:rsidP="005728DD">
      <w:pPr>
        <w:pStyle w:val="TextoNormal"/>
      </w:pPr>
      <w:r>
        <w:t>g) Con fecha 22 de octubre de 2018, la Sala de lo Contencioso-Administrativo del Tribunal Supremo dictó providencia en la que inadmite el incidente de nulidad contra la providencia de inadmisión del recurso de casación, indicando que “[l]a providencia mencionada se ajusta íntegramente a las exigencias previstas en al artículo 90.4 de la Ley 29/1998, de 13 de julio, reguladora de la jurisdicción contencioso-administrativa [LJCA], que recoge, como única indicación de las providencias de inadmisión, la concurrencia en el caso de alguna de las circunstancias que prevé, si bien la propia norma determina que la motivación sea sucinta (‘Las providencias de inadmisión únicamente indicarán…’)”. Señala, también, la citada providencia de inadmisión, que los escritos de preparación de los recursos, cuya contradictoria resolución se exponía como fundamento de la nulidad, son diferentes.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Con fecha de 29 de noviembre de 2018, se presentó en el registro del Tribunal Constitucional recurso de amparo por la Universidad Católica de Valencia San Vicente Mártir, en el que se alegó la vulneración de los artículos 14, 27 y 16 CE por la Orden de la Consellería de Educación, Investigación, Cultura y Deporte, 24/2016, de 10 de junio, por la que se establecen las bases reguladoras para la concesión de becas para el alumnado que vaya a finalizar sus estudios universitarios en universidades públicas de la Comunitat Valenciana, y por la Resolución de 11 de julio de 2016, de la Consellería de Educación, Investigación, Cultura y Deporte, por la que se convocan las becas para el alumnado que vaya a finalizar sus estudios universitarios en las universidades públicas de la comunidad valenciana en el curso 2016/2017, así como del derecho a la tutela judicial efectiva, del artículo 24 CE, por la actuación de los órganos judiciales.</w:t>
      </w:r>
    </w:p>
    <w:p w:rsidR="005728DD" w:rsidRDefault="005728DD" w:rsidP="005728DD">
      <w:pPr>
        <w:pStyle w:val="TextoNormal"/>
      </w:pPr>
    </w:p>
    <w:p w:rsidR="005728DD" w:rsidRDefault="005728DD" w:rsidP="005728DD">
      <w:pPr>
        <w:pStyle w:val="TextoNormal"/>
      </w:pPr>
      <w:r>
        <w:t>La demanda parte de que se han lesionado los derechos fundamentales de la Universidad Católica de Valencia San Vicente Mártir, a la que la administración da un trato discriminatorio por ser una universidad no pública. Además de la vulneración de los derechos de los alumnos de dicha universidad, a los que se impide la libre elección del centro educativo, se lesionan los derechos de la universidad, creada al amparo del artículo 27.6 CE y configurada por las leyes vigentes en régimen de igualdad con las universidades públicas, cuyos estudios han sido excluidos de la posibilidad de acceder a los mismos con dichas becas. Se aduce que, si se ha discriminado a la universidad recurrente por tener ideario propio, dicha discriminación está prohibida por la legislación nacional e internacional de derechos humanos; y si dicha discriminación se ha producido por ser una universidad privada, dicha discriminación es contraria al Derecho de la Unión Europea.</w:t>
      </w:r>
    </w:p>
    <w:p w:rsidR="005728DD" w:rsidRDefault="005728DD" w:rsidP="005728DD">
      <w:pPr>
        <w:pStyle w:val="TextoNormal"/>
      </w:pPr>
    </w:p>
    <w:p w:rsidR="005728DD" w:rsidRDefault="005728DD" w:rsidP="005728DD">
      <w:pPr>
        <w:pStyle w:val="TextoNormal"/>
      </w:pPr>
      <w:r>
        <w:t>a) En cuanto a la vulneración del artículo 14 CE, la demanda aduce que la Orden y Resolución recurridas establecen un trato desigual de la recurrente con las universidades públicas, introduciendo una diferencia arbitraria al excluir los estudios en las universidades privadas del régimen de becas, a pesar de estar configuradas las universidades en régimen de igualdad por la legislación vigente [artículo 45 de la Ley Orgánica de universidades (LOU)].</w:t>
      </w:r>
    </w:p>
    <w:p w:rsidR="005728DD" w:rsidRDefault="005728DD" w:rsidP="005728DD">
      <w:pPr>
        <w:pStyle w:val="TextoNormal"/>
      </w:pPr>
    </w:p>
    <w:p w:rsidR="005728DD" w:rsidRDefault="005728DD" w:rsidP="005728DD">
      <w:pPr>
        <w:pStyle w:val="TextoNormal"/>
      </w:pPr>
      <w:r>
        <w:t>Asimismo, señala la demanda, que se trata de forma desigual circunstancias objetivamente idénticas de créditos matriculados, notas, renta de los alumnos por el solo hecho del centro en el que deciden estudiar, excluyendo a los alumnos que libremente quieren elegir estudios en las universidades de iniciativa social de la posibilidad de obtener beca. Todo ello, considera la demanda, sin que exista ninguna razón que justifique objetiva y razonadamente esta discriminación de las universidades de iniciativa social o de sus alumnos, ni finalidad constitucionalmente legítima, ni congruencia entre el trato desigual, el supuesto de hecho que lo justifica y la finalidad que se persigue, ni proporcionalidad entre los elementos anteriores, como reiteradamente ha exigido el Tribunal Constitucional.</w:t>
      </w:r>
    </w:p>
    <w:p w:rsidR="005728DD" w:rsidRDefault="005728DD" w:rsidP="005728DD">
      <w:pPr>
        <w:pStyle w:val="TextoNormal"/>
      </w:pPr>
    </w:p>
    <w:p w:rsidR="005728DD" w:rsidRDefault="005728DD" w:rsidP="005728DD">
      <w:pPr>
        <w:pStyle w:val="TextoNormal"/>
      </w:pPr>
      <w:r>
        <w:t>Igualmente se recuerda por la demanda que la orden y resolución impugnadas, que son disposiciones de rango administrativo, distinguen de forma claramente restrictiva derechos de las universidades y de sus alumnos donde la ley aplicable no lo hace.</w:t>
      </w:r>
    </w:p>
    <w:p w:rsidR="005728DD" w:rsidRDefault="005728DD" w:rsidP="005728DD">
      <w:pPr>
        <w:pStyle w:val="TextoNormal"/>
      </w:pPr>
    </w:p>
    <w:p w:rsidR="005728DD" w:rsidRDefault="005728DD" w:rsidP="005728DD">
      <w:pPr>
        <w:pStyle w:val="TextoNormal"/>
      </w:pPr>
      <w:r>
        <w:t xml:space="preserve">Y se recuerda que el inmotivado cambio del sistema de becas lesiona, además, los compromisos libremente asumidos por el Estado sobre un trato no discriminatorio a las universidades de identidad católica en un tratado internacional que forma parte del ordenamiento </w:t>
      </w:r>
      <w:r>
        <w:lastRenderedPageBreak/>
        <w:t>jurídico español vigente y cuya eficacia es exigible por cualquier universidad interesada. La administración puede decidir establecer o no una determinada beca, pero lo que no puede hacer es, una vez creada, discriminar con ella a unas universidades respecto de otras, máxime sin siquiera motivar dicha discriminación de los diferentes centros universitarios y de su alumnado.</w:t>
      </w:r>
    </w:p>
    <w:p w:rsidR="005728DD" w:rsidRDefault="005728DD" w:rsidP="005728DD">
      <w:pPr>
        <w:pStyle w:val="TextoNormal"/>
      </w:pPr>
    </w:p>
    <w:p w:rsidR="005728DD" w:rsidRDefault="005728DD" w:rsidP="005728DD">
      <w:pPr>
        <w:pStyle w:val="TextoNormal"/>
      </w:pPr>
      <w:r>
        <w:t>b) En cuanto a la vulneración del artículo 27 CE, la demanda afirma que las becas son un elemento nuclear del sistema educativo que incide, por tanto, en el derecho a la educación, siendo el régimen de las becas desarrollo del artículo 27 CE. En este caso, se ha privado del derecho a obtener una beca a quienes, reuniendo las condiciones objetivas para obtenerlas, cursan estudios en universidades privadas.</w:t>
      </w:r>
    </w:p>
    <w:p w:rsidR="005728DD" w:rsidRDefault="005728DD" w:rsidP="005728DD">
      <w:pPr>
        <w:pStyle w:val="TextoNormal"/>
      </w:pPr>
    </w:p>
    <w:p w:rsidR="005728DD" w:rsidRDefault="005728DD" w:rsidP="005728DD">
      <w:pPr>
        <w:pStyle w:val="TextoNormal"/>
      </w:pPr>
      <w:r>
        <w:t>La orden y resolución recurridas impiden a los alumnos de acuerdo con el escrito de la demandante, elegir libremente la universidad en la que quieren realizar sus estudios universitarios, de tal manera que los alumnos que por razones puramente pedagógicas, religiosas o morales, deseen estudiar en la Universidad Católica de Valencia, no puedan elegir esta universidad si quieren obtener una beca, aunque reúnan todas las condiciones objetivas para su obtención, viéndose económicamente forzados, o a no estudiar, o a estudiar en una universidad pública. Situación que se agrava habida cuenta de que existen titulaciones que solo se imparten, dentro del sistema universitario valenciano, en las universidades de iniciativa social, por lo que habrá alumnos que, pese a reunir las condiciones exigidas legalmente, no solo no podrán elegir dónde estudiar, sino qué estudiar.</w:t>
      </w:r>
    </w:p>
    <w:p w:rsidR="005728DD" w:rsidRDefault="005728DD" w:rsidP="005728DD">
      <w:pPr>
        <w:pStyle w:val="TextoNormal"/>
      </w:pPr>
    </w:p>
    <w:p w:rsidR="005728DD" w:rsidRDefault="005728DD" w:rsidP="005728DD">
      <w:pPr>
        <w:pStyle w:val="TextoNormal"/>
      </w:pPr>
      <w:r>
        <w:t>Asimismo, se alega que la orden lesiona el principio de confianza legítima por el cambio repentino que introdujo, sin ninguna medida transitoria para paliar su impacto, y sin modificación previa de la legislación para darle cobertura.</w:t>
      </w:r>
    </w:p>
    <w:p w:rsidR="005728DD" w:rsidRDefault="005728DD" w:rsidP="005728DD">
      <w:pPr>
        <w:pStyle w:val="TextoNormal"/>
      </w:pPr>
    </w:p>
    <w:p w:rsidR="005728DD" w:rsidRDefault="005728DD" w:rsidP="005728DD">
      <w:pPr>
        <w:pStyle w:val="TextoNormal"/>
      </w:pPr>
      <w:r>
        <w:t>c) Respecto a la vulneración del artículo 16 CE, la demanda pone de relieve que, conforme al artículo 2 de la Ley 4/2007, de 9 de febrero, de coordinación del sistema universitario valenciano, hay dos universidades privadas: San Pablo CEU y San Vicente Mártir, que coincide que son de inspiración católica. De ahí se extrae que discriminar en el régimen de becas a las universidades privadas es hacerlo a las universidades de ideario católico. Se alega que también se lesiona la libertad religiosa de quienes quieren estudiar en esta universidad católica y necesitan una beca para hacerlo, así como de quienes ya estudian en ella y necesitan la beca para continuar. Se vuelve a aducir que la orden contraviene el artículo X.3 del Acuerdo del Estado español con la Santa Sede.</w:t>
      </w:r>
    </w:p>
    <w:p w:rsidR="005728DD" w:rsidRDefault="005728DD" w:rsidP="005728DD">
      <w:pPr>
        <w:pStyle w:val="TextoNormal"/>
      </w:pPr>
    </w:p>
    <w:p w:rsidR="005728DD" w:rsidRDefault="005728DD" w:rsidP="005728DD">
      <w:pPr>
        <w:pStyle w:val="TextoNormal"/>
      </w:pPr>
      <w:r>
        <w:t>d) Finalmente, en cuanto a la vulneración del artículo 24 CE, la demanda hace referencia a que el Tribunal Superior de Justicia de la Comunidad Valenciana no entra en el fondo del análisis de la orden y resolución recurridas porque entiende que la recurrente solo está legitimada para recurrir por lesión de su derecho a la igualdad y no discriminación, para señalar después que tampoco para este derecho, pues la impugnación de esta orden y resolución solo podían haberla llevado a los tribunales los alumnos, pero no una universidad que representa a más de 13 000 estudiantes.</w:t>
      </w:r>
    </w:p>
    <w:p w:rsidR="005728DD" w:rsidRDefault="005728DD" w:rsidP="005728DD">
      <w:pPr>
        <w:pStyle w:val="TextoNormal"/>
      </w:pPr>
    </w:p>
    <w:p w:rsidR="005728DD" w:rsidRDefault="005728DD" w:rsidP="005728DD">
      <w:pPr>
        <w:pStyle w:val="TextoNormal"/>
      </w:pPr>
      <w:r>
        <w:t xml:space="preserve">Se aduce que recurrida la sentencia del Tribunal Superior de Justicia de la Comunidad Valenciana, que se fundamenta copiando literalmente otra anterior, la sentencia 561/2017, </w:t>
      </w:r>
      <w:r>
        <w:lastRenderedPageBreak/>
        <w:t>el Tribunal Supremo dicta una providencia de inadmisión con una motivación ilógica e irrazonable, ya que solo puede deberse a un error el que, ante dos cuestiones totalmente equivalentes, se den motivaciones contradictorias, denegándose a la recurrente su derecho a la doble instancia y al examen de su recurso.</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16 de septiembre de 2019, la Sección Primera del Tribunal Constitucional acordó admitir a trámite el recurso, apreciando que concurre en el mismo una especial trascendencia constitucional [artículo 50.1 de la Ley Orgánica del Tribunal Constitucional (LOTC)] como consecuencia de que la posible vulneración del derecho fundamental que se denuncia pudiera provenir de la ley o de otra disposición de carácter general [STC 155/2009, FJ 2 c)]. Además, acordó dirigir atenta comunicación a la Sección Primera de la Sala de lo Contencioso-Administrativo del Tribunal Supremo a fin de que remita certificación o fotocopia adverada de las actuaciones correspondientes al recurso de casación núm. 1473-2018. Igualmente acordó dirigir atenta comunicación a la Sección Quinta de la Sala de lo Contencioso-Administrativo del Tribunal Superior de Justicia de la Comunidad Valenciana, para que, en plazo que no exceda de diez días, remita certificación o fotocopia adverada de las actuaciones correspondientes; debiendo previamente emplazarse a quienes hubieran sido parte en el recurso contencioso-administrativo con excepción de la parte recurrente en amparo, para que en dicho plazo puedan comparecer, si lo desean,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14 de noviembre de 2019, el secretario de justicia de la Sección Primera de la Sala Primera de este tribunal, acordó tener por recibidos los testimonios de las actuaciones remitidos por la Sala Tercera de lo Contencioso-Administrativo del Tribunal Supremo y por la Sección Quinta de la Sala de lo Contencioso-Administrativo del Tribunal Superior de Justicia de la Comunidad Valenciana, así como el escrito de la abogada de la Generalitat Valenciana a quien se tiene por personada y parte. Asimismo, de conformidad con el artículo 52 LOTC se dispuso dar vista de todas las actuaciones al Ministerio Fiscal y a las partes personadas, para que en un plazo común de veinte días pudieran presentar las alegaciones que a su derecho convengan.</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escrito presentado el 2 de diciembre de 2019 tuvo entrada en este tribunal el escrito de alegaciones de la Generalitat Valenciana, en las que se opuso al recurso de amparo y solicitó se dictase sentencia acordando su desestimación. Tras referirse a los antecedentes de hecho que han dado lugar al presente recurso, formula las alegaciones que se resumen a continuación:</w:t>
      </w:r>
    </w:p>
    <w:p w:rsidR="005728DD" w:rsidRDefault="005728DD" w:rsidP="005728DD">
      <w:pPr>
        <w:pStyle w:val="TextoNormal"/>
      </w:pPr>
    </w:p>
    <w:p w:rsidR="005728DD" w:rsidRDefault="005728DD" w:rsidP="005728DD">
      <w:pPr>
        <w:pStyle w:val="TextoNormal"/>
      </w:pPr>
      <w:r>
        <w:t>a) En primer lugar, descarta la alegación de la recurrente de discriminación ideológica. En su opinión, no se infiere ni de la orden ni de los antecedentes de la misma. La universidad recurrente no es la única universidad privada de la comunidad autónoma, sino que hay otras universidades privadas, algunas con ideario católico y otras sin ese ideario, siendo el alumnado de todas ellas afectado del mismo modo por la orden. Por ello entiende inadmisible el planteamiento de la demanda de que la orden discrimina al alumnado de la universidad recurrente, por su ideología católica.</w:t>
      </w:r>
    </w:p>
    <w:p w:rsidR="005728DD" w:rsidRDefault="005728DD" w:rsidP="005728DD">
      <w:pPr>
        <w:pStyle w:val="TextoNormal"/>
      </w:pPr>
    </w:p>
    <w:p w:rsidR="005728DD" w:rsidRDefault="005728DD" w:rsidP="005728DD">
      <w:pPr>
        <w:pStyle w:val="TextoNormal"/>
      </w:pPr>
      <w:r>
        <w:t xml:space="preserve">b) Asimismo, contradice las valoraciones de la recurrente en amparo sobre lo que afirmaron las resoluciones judiciales del Tribunal Superior de Justicia. Alega, así, que se acotó </w:t>
      </w:r>
      <w:r>
        <w:lastRenderedPageBreak/>
        <w:t>el objeto del procedimiento, para conocer solo de la alegación relativa a posible vulneración del derecho a la igualdad (artículo 14 CE), descartando las alegaciones relativas a vulneración del derecho a la libertad religiosa y del derecho a la educación; por entender, respecto al primero (artículo 16 CE), que “ni siquiera a nivel indiciario puede estimarse comprometido”, porque “en ningún momento el carácter de católica guarda relación alguna” con la decisión adoptada por la administración, por lo que “su invocación carece de la forma más absoluta de fundamento alguno siquiera debatible”; y respecto al segundo (artículo 27 CE), por no aceptar el planteamiento que hizo la Universidad Católica de Valencia, que se arrogó la representación y defensa de derechos del alumnado y de la Iglesia católica, que obviamente no le corresponden.</w:t>
      </w:r>
    </w:p>
    <w:p w:rsidR="005728DD" w:rsidRDefault="005728DD" w:rsidP="005728DD">
      <w:pPr>
        <w:pStyle w:val="TextoNormal"/>
      </w:pPr>
    </w:p>
    <w:p w:rsidR="005728DD" w:rsidRDefault="005728DD" w:rsidP="005728DD">
      <w:pPr>
        <w:pStyle w:val="TextoNormal"/>
      </w:pPr>
      <w:r>
        <w:t>La sentencia citada descartó las cuestiones de legalidad ordinaria y desestimó el recurso al no apreciar la vulneración constitucional denunciada porque la Orden impugnada “no vulnera el derecho a la igualdad de la demandante que no se ve afectada en modo alguno por la misma, reguladora de derechos de los alumnos”.</w:t>
      </w:r>
    </w:p>
    <w:p w:rsidR="005728DD" w:rsidRDefault="005728DD" w:rsidP="005728DD">
      <w:pPr>
        <w:pStyle w:val="TextoNormal"/>
      </w:pPr>
    </w:p>
    <w:p w:rsidR="005728DD" w:rsidRDefault="005728DD" w:rsidP="005728DD">
      <w:pPr>
        <w:pStyle w:val="TextoNormal"/>
      </w:pPr>
      <w:r>
        <w:t>c) En cuanto a la vulneración del artículo 24 CE, a la vista del contenido de las providencias del Tribunal Supremo, las mismas satisfacen el derecho a la tutela judicial efectiva, no generan indefensión y no suponen lesión del artículo 24 CE, pues con ellas se acuerda la inadmisión como consecuencia de la aplicación razonada de lo dispuesto en los artículos 89.2 d) y 90.4 b) LJCA; sin que pueda apreciarse arbitrariedad, ni actuación manifiestamente irrazonable, ni error patente, ni resultado de una interpretación rigorista, excesivamente formalista o desproporcionada.</w:t>
      </w:r>
    </w:p>
    <w:p w:rsidR="005728DD" w:rsidRDefault="005728DD" w:rsidP="005728DD">
      <w:pPr>
        <w:pStyle w:val="TextoNormal"/>
      </w:pPr>
    </w:p>
    <w:p w:rsidR="005728DD" w:rsidRDefault="005728DD" w:rsidP="005728DD">
      <w:pPr>
        <w:pStyle w:val="TextoNormal"/>
      </w:pPr>
      <w:r>
        <w:t>d) Asimismo, la abogada de la Generalitat descarta que se haya vulnerado el artículo 14 CE, tal y como se resolvió en la sentencia del Tribunal Superior de Justicia de la Comunidad Valenciana al afirmar que la orden “no vulnera el derecho a la igualdad de la demandante que no se ve afectada en modo alguno por la misma, reguladora de derechos de los alumnos”. En su opinión, la universidad recurrente no es titular del derecho a la igualdad.</w:t>
      </w:r>
    </w:p>
    <w:p w:rsidR="005728DD" w:rsidRDefault="005728DD" w:rsidP="005728DD">
      <w:pPr>
        <w:pStyle w:val="TextoNormal"/>
      </w:pPr>
    </w:p>
    <w:p w:rsidR="005728DD" w:rsidRDefault="005728DD" w:rsidP="005728DD">
      <w:pPr>
        <w:pStyle w:val="TextoNormal"/>
      </w:pPr>
      <w:r>
        <w:t>A su entender, conforme al artículo 45 LOU, y a los Reales Decretos 1721/2007, de 21 de diciembre, y 595/2015, de 3 de julio, el Estado establece un sistema general de becas que garantiza a nivel nacional unas condiciones mínimas de igualdad. Por su parte, la Orden impugnada contempla la concesión de becas propias de la Generalitat Valenciana, como complemento de dicho sistema general de becas. Esto es, garantizadas esas condiciones de igualdad, la comunidad autónoma, con su presupuesto, y conforme a la normativa de ayudas, complementa el sistema de becas.</w:t>
      </w:r>
    </w:p>
    <w:p w:rsidR="005728DD" w:rsidRDefault="005728DD" w:rsidP="005728DD">
      <w:pPr>
        <w:pStyle w:val="TextoNormal"/>
      </w:pPr>
    </w:p>
    <w:p w:rsidR="005728DD" w:rsidRDefault="005728DD" w:rsidP="005728DD">
      <w:pPr>
        <w:pStyle w:val="TextoNormal"/>
      </w:pPr>
      <w:r>
        <w:t>En todo caso, afirma, hay razones objetivas que justifican el trato diferenciado entre los alumnos de las universidades públicas y los alumnos de las universidades privadas, sin que ello suponga la infracción del principio de igualdad. Al respecto expone que los alumnos son los que optan por acudir a la universidad privada y no a la pública (como se puede optar por acudir a la sanidad privada, o a servicios sociales privados…).</w:t>
      </w:r>
    </w:p>
    <w:p w:rsidR="005728DD" w:rsidRDefault="005728DD" w:rsidP="005728DD">
      <w:pPr>
        <w:pStyle w:val="TextoNormal"/>
      </w:pPr>
    </w:p>
    <w:p w:rsidR="005728DD" w:rsidRDefault="005728DD" w:rsidP="005728DD">
      <w:pPr>
        <w:pStyle w:val="TextoNormal"/>
      </w:pPr>
      <w:r>
        <w:t>Esta opción de cada alumno y familia, que obviamente no es posible en todos los casos, pues está condicionada por la situación socioeconómica de cada alumno, supone una clara diferencia que justifica el distinto tratamiento, respecto a quien acude a la universidad pública.</w:t>
      </w:r>
    </w:p>
    <w:p w:rsidR="005728DD" w:rsidRDefault="005728DD" w:rsidP="005728DD">
      <w:pPr>
        <w:pStyle w:val="TextoNormal"/>
      </w:pPr>
    </w:p>
    <w:p w:rsidR="005728DD" w:rsidRDefault="005728DD" w:rsidP="005728DD">
      <w:pPr>
        <w:pStyle w:val="TextoNormal"/>
      </w:pPr>
      <w:r>
        <w:t>En este sentido, se debe tener en cuenta que los alumnos que acuden a la universidad privada lo hacen, bien porque, pudiendo acceder a la pública, optan libremente por otro modelo; bien porque no han alcanzado la nota de corte necesaria; bien por otros motivos personales; y, en todo caso, porque se está en disposición de costear los gastos que ello supone.</w:t>
      </w:r>
    </w:p>
    <w:p w:rsidR="005728DD" w:rsidRDefault="005728DD" w:rsidP="005728DD">
      <w:pPr>
        <w:pStyle w:val="TextoNormal"/>
      </w:pPr>
    </w:p>
    <w:p w:rsidR="005728DD" w:rsidRDefault="005728DD" w:rsidP="005728DD">
      <w:pPr>
        <w:pStyle w:val="TextoNormal"/>
      </w:pPr>
      <w:r>
        <w:t>Existen pues, de acuerdo con el escrito de la abogada de la Generalitat, razones objetivas que justifican que, al alumno que ha superado la nota de corte establecida y ha accedido a la universidad pública, se le pueda dar un trato diferenciado, respecto a aquel que no ha alcanzado esa nota. Precisamente el principio de igualdad, acompañado por los principios de mérito y capacidad, justifica el trato diferenciado.</w:t>
      </w:r>
    </w:p>
    <w:p w:rsidR="005728DD" w:rsidRDefault="005728DD" w:rsidP="005728DD">
      <w:pPr>
        <w:pStyle w:val="TextoNormal"/>
      </w:pPr>
    </w:p>
    <w:p w:rsidR="005728DD" w:rsidRDefault="005728DD" w:rsidP="005728DD">
      <w:pPr>
        <w:pStyle w:val="TextoNormal"/>
      </w:pPr>
      <w:r>
        <w:t>Del mismo modo, si se ha optado libremente por la privada, porque así se ha preferido, por su ideario o por otro motivo, también existe una clara razón objetiva que justifica la diferencia de trato respecto a los alumnos de la pública.</w:t>
      </w:r>
    </w:p>
    <w:p w:rsidR="005728DD" w:rsidRDefault="005728DD" w:rsidP="005728DD">
      <w:pPr>
        <w:pStyle w:val="TextoNormal"/>
      </w:pPr>
    </w:p>
    <w:p w:rsidR="005728DD" w:rsidRDefault="005728DD" w:rsidP="005728DD">
      <w:pPr>
        <w:pStyle w:val="TextoNormal"/>
      </w:pPr>
      <w:r>
        <w:t>Completando lo dicho, señala la abogada de la Generalitat que la universidad pública es la única que garantiza el acceso a todo tipo de alumnado, independientemente de sus condiciones socioeconómicas. Al respecto, el artículo 45.4 LOU determina que el Estado y las comunidades autónomas deben instrumentar una política de becas, y que las universidades públicas deben establecer modalidades de exención del pago de precios públicos por servicios académicos. Estas obligaciones se exigen a los poderes públicos con una finalidad concreta, que nadie quede excluido del estudio en la universidad por razones económicas. Esta finalidad queda garantizada y es controlable en las universidades públicas en la medida en que los precios públicos vienen marcados por la ley (artículo 81 LOU) y no pueden ser superados, regulándose las ayudas de la administración de acuerdo con los mismos. Sin embargo, en las universidades privadas dichos precios son libres y, por tanto, las becas o ayudas, fijadas en relación con los mismos están desvinculadas del objeto y finalidad fijados en el citado artículo 45.4 LOU, lo que conlleva a que los términos de la comparación entre estudiantes no sean equivalentes y, por tanto, ante la limitación existente de recursos públicos, queda justificada, objetiva y razonablemente, la medida adoptada.</w:t>
      </w:r>
    </w:p>
    <w:p w:rsidR="005728DD" w:rsidRDefault="005728DD" w:rsidP="005728DD">
      <w:pPr>
        <w:pStyle w:val="TextoNormal"/>
      </w:pPr>
    </w:p>
    <w:p w:rsidR="005728DD" w:rsidRDefault="005728DD" w:rsidP="005728DD">
      <w:pPr>
        <w:pStyle w:val="TextoNormal"/>
      </w:pPr>
      <w:r>
        <w:t>Por otra parte, el alumnado de la universidad recurrente tiene a su alcance becas y ayudas que regula y concede la propia universidad que “según datos de la web de la propia universidad, estaban dotadas con un total de 5,4 millones de euros; becas y ayudas que complementan las del Estado y que, obviamente, no están abiertas a los alumnos de la universidad pública”.</w:t>
      </w:r>
    </w:p>
    <w:p w:rsidR="005728DD" w:rsidRDefault="005728DD" w:rsidP="005728DD">
      <w:pPr>
        <w:pStyle w:val="TextoNormal"/>
      </w:pPr>
    </w:p>
    <w:p w:rsidR="005728DD" w:rsidRDefault="005728DD" w:rsidP="005728DD">
      <w:pPr>
        <w:pStyle w:val="TextoNormal"/>
      </w:pPr>
      <w:r>
        <w:t>En definitiva, aduce que hay un sistema general de becas que gestiona el Estado, que garantiza la igualdad entre todos los universitarios, y becas complementarias, que el gobierno de la comunidad autónoma destina a los alumnos de la universidad pública, y que la Universidad Católica de Valencia, con sus fondos, destina a su propio alumnado, como hacen también otras universidades privadas.</w:t>
      </w:r>
    </w:p>
    <w:p w:rsidR="005728DD" w:rsidRDefault="005728DD" w:rsidP="005728DD">
      <w:pPr>
        <w:pStyle w:val="TextoNormal"/>
      </w:pPr>
    </w:p>
    <w:p w:rsidR="005728DD" w:rsidRDefault="005728DD" w:rsidP="005728DD">
      <w:pPr>
        <w:pStyle w:val="TextoNormal"/>
      </w:pPr>
      <w:r>
        <w:t xml:space="preserve">Atendiendo al coste de las universidades privadas afirma que quien opta por una universidad privada es que dispone de recursos económicos para ello y la incidencia de la beca </w:t>
      </w:r>
      <w:r>
        <w:lastRenderedPageBreak/>
        <w:t>sería, en todo caso, menos decisiva para el alumno de la universidad privada que para el alumno de la universidad pública.</w:t>
      </w:r>
    </w:p>
    <w:p w:rsidR="005728DD" w:rsidRDefault="005728DD" w:rsidP="005728DD">
      <w:pPr>
        <w:pStyle w:val="TextoNormal"/>
      </w:pPr>
    </w:p>
    <w:p w:rsidR="005728DD" w:rsidRDefault="005728DD" w:rsidP="005728DD">
      <w:pPr>
        <w:pStyle w:val="TextoNormal"/>
      </w:pPr>
      <w:r>
        <w:t>Por tanto concluye la abogada de la Generalitat que existen razones que justifican que, las becas que nos ocupan, se destinen a los alumnos de la universidad pública y no a los alumnos de la universidad privada.</w:t>
      </w:r>
    </w:p>
    <w:p w:rsidR="005728DD" w:rsidRDefault="005728DD" w:rsidP="005728DD">
      <w:pPr>
        <w:pStyle w:val="TextoNormal"/>
      </w:pPr>
    </w:p>
    <w:p w:rsidR="005728DD" w:rsidRDefault="005728DD" w:rsidP="005728DD">
      <w:pPr>
        <w:pStyle w:val="TextoNormal"/>
      </w:pPr>
      <w:r>
        <w:t>En conclusión, la regulación autonómica se ajusta a las exigencias del principio de igualdad al no afectar al sistema básico de becas que gestiona el Estado, y es respetuosa con la doctrina del Tribunal Constitucional, plasmada en numerosas sentencias, entre ellas en las SSTC 63/2011, de 16 de mayo; 79/2011, de 6 de junio; 117/2011, de 4 de julio, y 61/2013, de 14 de marzo.</w:t>
      </w:r>
    </w:p>
    <w:p w:rsidR="005728DD" w:rsidRDefault="005728DD" w:rsidP="005728DD">
      <w:pPr>
        <w:pStyle w:val="TextoNormal"/>
      </w:pPr>
    </w:p>
    <w:p w:rsidR="005728DD" w:rsidRDefault="005728DD" w:rsidP="005728DD">
      <w:pPr>
        <w:pStyle w:val="TextoNormal"/>
      </w:pPr>
      <w:r>
        <w:t>e) Respecto a la eventual vulneración del artículo 27 CE, si bien es indiscutible que conforme a la doctrina constitucional, el sistema de becas es un elemento nuclear del sistema educativo dirigido a dotar de máxima efectividad al derecho a la educación, sin embargo, de acuerdo con dicha doctrina, en el artículo 27 CE no se enuncia como tal un derecho fundamental a una prestación pública, a una beca (SSTC 86/1985, de 10 de julio; 188/2001, de 20 de septiembre; 212/2005, de 21 de julio; 25/2015, de 19 de febrero, y 95/2016, de 12 de mayo, entre otras). Se trata de un derecho de configuración legal. Consecuentemente, no es posible fundamentar en el texto constitucional una pretensión individual de obtención de una beca, ya que el derecho a la educación no implica ninguna obligación estatal de subvencionar a las familias para hacerlo efectivo; menos si quien plantea la pretensión es una universidad y no el alumno, o su familia. Por todo ello no cabe apreciar la lesión del artículo 27 CE que se denuncia.</w:t>
      </w:r>
    </w:p>
    <w:p w:rsidR="005728DD" w:rsidRDefault="005728DD" w:rsidP="005728DD">
      <w:pPr>
        <w:pStyle w:val="TextoNormal"/>
      </w:pPr>
    </w:p>
    <w:p w:rsidR="005728DD" w:rsidRDefault="005728DD" w:rsidP="005728DD">
      <w:pPr>
        <w:pStyle w:val="TextoNormal"/>
      </w:pPr>
      <w:r>
        <w:t>f) Finalmente, en relación con el artículo 16 CE, las resoluciones impugnadas de ningún modo inciden o afectan a la libertad ideológica y religiosa, y por todo ello no cabe apreciar la lesión del artículo 16 CE que se denuncia, para lo que se apoya en lo afirmado en el auto de 7 de septiembre de 2016 del Tribunal Superior de Justicia de la Comunidad Valenciana.</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de 19 de diciembre de 2019, la universidad recurrente en amparo presenta un escrito en el que se reafirma en sus alegaciones.</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formuló alegaciones mediante escrito registrado el 23 de diciembre de 2019, interesando la estimación del presente recurso de amparo. Tras exponer los antecedentes de hecho de los que trae causa el presente recurso, realiza una serie de consideraciones iniciales.</w:t>
      </w:r>
    </w:p>
    <w:p w:rsidR="005728DD" w:rsidRDefault="005728DD" w:rsidP="005728DD">
      <w:pPr>
        <w:pStyle w:val="TextoNormal"/>
      </w:pPr>
    </w:p>
    <w:p w:rsidR="005728DD" w:rsidRDefault="005728DD" w:rsidP="005728DD">
      <w:pPr>
        <w:pStyle w:val="TextoNormal"/>
      </w:pPr>
      <w:r>
        <w:t xml:space="preserve">En primer lugar, determina las que, a su juicio, son las pretensiones que se quieren ejercitar en este proceso constitucional. Las vulneraciones que se achacan a la Orden 24/2016 y a la Resolución de 11 de julio de 2016 son la desigualdad de trato entre las universidades públicas y privadas, al amparo del artículo 14 CE, sobre la base de que la legislación básica no ampara dicha diferencia de trato; y al amparo de los artículos 16.1 y 27.1 CE, por haber sido discriminada por su naturaleza de universidad privada de ideario católico. Por otra parte, las vulneraciones que se atribuyen a las diferentes resoluciones judiciales son la vulneración del derecho a la tutela judicial efectiva (artículo 24.1 CE) en tanto en cuanto dichas resoluciones habrían privado a la ahora recurrente de su derecho a una sentencia de fondo y </w:t>
      </w:r>
      <w:r>
        <w:lastRenderedPageBreak/>
        <w:t>del artículo 24.2 CE porque le habrían impedido el acceso efectivo a una doble instancia judicial.</w:t>
      </w:r>
    </w:p>
    <w:p w:rsidR="005728DD" w:rsidRDefault="005728DD" w:rsidP="005728DD">
      <w:pPr>
        <w:pStyle w:val="TextoNormal"/>
      </w:pPr>
    </w:p>
    <w:p w:rsidR="005728DD" w:rsidRDefault="005728DD" w:rsidP="005728DD">
      <w:pPr>
        <w:pStyle w:val="TextoNormal"/>
      </w:pPr>
      <w:r>
        <w:t>En segundo lugar, alega que, en la medida en que el recurso de amparo ha sido interpuesto en relación con los artículos 43 y 44 LOTC, conforme al criterio establecido en STC 56/2019, de 6 de mayo, y a las razones de especial trascendencia constitucional apreciadas para la admisión del presente recurso de amparo, han de analizarse, en primer lugar, las vulneraciones de los artículos 14, 16 y 27 CE, que se imputan a la orden ahora recurrida, y, posteriormente, en su caso, la vulneración del artículo 24 CE que, a su vez, se achaca a las diferentes resoluciones judiciales.</w:t>
      </w:r>
    </w:p>
    <w:p w:rsidR="005728DD" w:rsidRDefault="005728DD" w:rsidP="005728DD">
      <w:pPr>
        <w:pStyle w:val="TextoNormal"/>
      </w:pPr>
    </w:p>
    <w:p w:rsidR="005728DD" w:rsidRDefault="005728DD" w:rsidP="005728DD">
      <w:pPr>
        <w:pStyle w:val="TextoNormal"/>
      </w:pPr>
      <w:r>
        <w:t xml:space="preserve">En tercer lugar, afirma que la universidad recurrente tiene legitimación </w:t>
      </w:r>
      <w:r w:rsidRPr="005728DD">
        <w:rPr>
          <w:i/>
        </w:rPr>
        <w:t>ad causam</w:t>
      </w:r>
      <w:r>
        <w:t xml:space="preserve"> para promover el presente recurso de amparo, pues posee un interés legítimo [artículo 162.1 b) CE], habida cuenta que la imposibilidad de los estudiantes de una universidad privada de acceder a las becas que están reconocidas a los estudiantes de las universidades públicas, además de perjudicar a los estudiantes de aquellas, puede constituir un elemento disuasorio para la matriculación de determinados estudiantes en universidades privadas, lo que para estas habría de significar, en definitiva, menor número de estudiantes, con el consiguiente perjuicio en el ámbito económico y la correlativa incertidumbre sobre su supervivencia futura, a cuya afectación habría que sumar la correlativa limitación de su libertad de enseñanza. A lo que habría que añadir que no es descartable que una universidad privada pudiera actuar por sus alumnos, a tenor de que estos, más allá de ser meros receptores de la educación que se imparte, se integran en los organismos universitarios (conforme a los artículos 15.2 y 16.3 LOU).</w:t>
      </w:r>
    </w:p>
    <w:p w:rsidR="005728DD" w:rsidRDefault="005728DD" w:rsidP="005728DD">
      <w:pPr>
        <w:pStyle w:val="TextoNormal"/>
      </w:pPr>
    </w:p>
    <w:p w:rsidR="005728DD" w:rsidRDefault="005728DD" w:rsidP="005728DD">
      <w:pPr>
        <w:pStyle w:val="TextoNormal"/>
      </w:pPr>
      <w:r>
        <w:t>Finalmente, expone que el artículo 1.1 y el artículo 2.1 de la Orden 24/2016, de 10 de junio, y el apartado 1 y el apartado 2.1 de la resolución de 11 de julio de 2016 pueden ser objeto de recurso de amparo. En su opinión, no puede negarse que el trato desigual o la discriminación pudieran tener su origen directo e inmediato en estas disposiciones. Es posible admitir en abstracto que, en determinados casos, la mera existencia de un precepto reglamentario que sea de aplicación directa puede violar un derecho fundamental (en este sentido, cita las SSTC 189/1987, de 24 de noviembre, FJ 3; 141/1985, de 22 de octubre, FJ 2, y 57/2004, de 19 de abril, FJ 2).</w:t>
      </w:r>
    </w:p>
    <w:p w:rsidR="005728DD" w:rsidRDefault="005728DD" w:rsidP="005728DD">
      <w:pPr>
        <w:pStyle w:val="TextoNormal"/>
      </w:pPr>
    </w:p>
    <w:p w:rsidR="005728DD" w:rsidRDefault="005728DD" w:rsidP="005728DD">
      <w:pPr>
        <w:pStyle w:val="TextoNormal"/>
      </w:pPr>
      <w:r>
        <w:t>En cuanto al fondo del asunto, tras exponer la doctrina constitucional sobre el principio de igualdad y el de no discriminación (cita la STC 91/2019, de 3 de julio) analiza la denuncia de la desigualdad de trato entre las universidades públicas y las universidades privadas en materia de becas para el alumnado que se imputa al artículo 1.1 y al artículo 2.1 de la Orden 24/2016, de 10 de junio, y al apartado 1 y al apartado 2.1 de la resolución de 11 de julio de 2016.</w:t>
      </w:r>
    </w:p>
    <w:p w:rsidR="005728DD" w:rsidRDefault="005728DD" w:rsidP="005728DD">
      <w:pPr>
        <w:pStyle w:val="TextoNormal"/>
      </w:pPr>
    </w:p>
    <w:p w:rsidR="005728DD" w:rsidRDefault="005728DD" w:rsidP="005728DD">
      <w:pPr>
        <w:pStyle w:val="TextoNormal"/>
      </w:pPr>
      <w:r>
        <w:t>Su análisis se fundamenta en las siguientes consideraciones:</w:t>
      </w:r>
    </w:p>
    <w:p w:rsidR="005728DD" w:rsidRDefault="005728DD" w:rsidP="005728DD">
      <w:pPr>
        <w:pStyle w:val="TextoNormal"/>
      </w:pPr>
    </w:p>
    <w:p w:rsidR="005728DD" w:rsidRDefault="005728DD" w:rsidP="005728DD">
      <w:pPr>
        <w:pStyle w:val="TextoNormal"/>
      </w:pPr>
      <w:r>
        <w:t>a) Las universidades públicas y privadas son a efectos jurídicos iguales ya que a ambas les corresponde prestar el servicio público de la educación superior (artículo 1.1 LOU y STC 176/2015, de 22 de julio, FJ 2). Además, están sujetas a los mismos requisitos para su creación o reconocimiento (Real Decreto 420/2015, de 29 de mayo, de creación, reconoci</w:t>
      </w:r>
      <w:r>
        <w:lastRenderedPageBreak/>
        <w:t>miento, autorización y acreditación de universidades y centros universitarios); todas las universidades someten las titulaciones que tienen que impartir al mismo procedimiento de aprobación; y el acceso a las universidades, tanto públicas como privadas, tiene una base común (aprobación del bachillerato y de la prueba de acceso a la universidad). Además, el artículo 2 de la Ley 4/2007, de 9 de febrero, proclama tal igualdad al disponer que el sistema universitario valenciano está integrado, entre otras, por la universidad recurrente. Del artículo 6.1 de la citada ley infiere que, a efectos jurídicos, las universidades públicas y las universidades privadas pueden considerarse iguales en lo sustancial, y con carácter particular, que la universidad privada recurrente es, a esos efectos jurídicos, igual a las universidades públicas de la Comunidad Valenciana.</w:t>
      </w:r>
    </w:p>
    <w:p w:rsidR="005728DD" w:rsidRDefault="005728DD" w:rsidP="005728DD">
      <w:pPr>
        <w:pStyle w:val="TextoNormal"/>
      </w:pPr>
    </w:p>
    <w:p w:rsidR="005728DD" w:rsidRDefault="005728DD" w:rsidP="005728DD">
      <w:pPr>
        <w:pStyle w:val="TextoNormal"/>
      </w:pPr>
      <w:r>
        <w:t>b) En segundo lugar, aborda la relevancia constitucional de las becas universitarias, de acuerdo con el artículo 27, apartados 1 y 5, CE, y con la jurisprudencia constitucional (STC 188/2001, de 20 de septiembre FJ 5).</w:t>
      </w:r>
    </w:p>
    <w:p w:rsidR="005728DD" w:rsidRDefault="005728DD" w:rsidP="005728DD">
      <w:pPr>
        <w:pStyle w:val="TextoNormal"/>
      </w:pPr>
    </w:p>
    <w:p w:rsidR="005728DD" w:rsidRDefault="005728DD" w:rsidP="005728DD">
      <w:pPr>
        <w:pStyle w:val="TextoNormal"/>
      </w:pPr>
      <w:r>
        <w:t>c) Finalmente, el Ministerio Fiscal entiende necesario referirse al marco jurídico estatal y autonómico sobre la materia, que es desarrollo del artículo 27, apartados 1 y 5, CE, preceptos que han de ser considerados a la hora de analizar la vulneración aducida del artículo 14 CE por estar necesariamente vinculados con él.</w:t>
      </w:r>
    </w:p>
    <w:p w:rsidR="005728DD" w:rsidRDefault="005728DD" w:rsidP="005728DD">
      <w:pPr>
        <w:pStyle w:val="TextoNormal"/>
      </w:pPr>
    </w:p>
    <w:p w:rsidR="005728DD" w:rsidRDefault="005728DD" w:rsidP="005728DD">
      <w:pPr>
        <w:pStyle w:val="TextoNormal"/>
      </w:pPr>
      <w:r>
        <w:t>Tras referirse a los artículos 27, apartados 1 y 5, y 149.1.30 CE, pone de relieve que el Tribunal Constitucional ha afirmado que, aunque no exista en este precepto constitucional una referencia expresa a un sistema de prestaciones públicas en apoyo del derecho de todos los ciudadanos a la educación, este precepto incorpora, junto a su contenido primario de derecho a la libertad, una dimensión prestacional, en cuya virtud los poderes públicos habrán de procurar la efectividad de tal derecho. El artículo 149.1.30 CE es el precepto que ampara la competencia del Estado en esta materia (STC 188/2001, de 20 de septiembre). Se extrae de dicha sentencia, fundamento jurídico 5, la garantía consagrada en el artículo 27.5 CE.</w:t>
      </w:r>
    </w:p>
    <w:p w:rsidR="005728DD" w:rsidRDefault="005728DD" w:rsidP="005728DD">
      <w:pPr>
        <w:pStyle w:val="TextoNormal"/>
      </w:pPr>
    </w:p>
    <w:p w:rsidR="005728DD" w:rsidRDefault="005728DD" w:rsidP="005728DD">
      <w:pPr>
        <w:pStyle w:val="TextoNormal"/>
      </w:pPr>
      <w:r>
        <w:t>Alega que las leyes orgánicas existentes en este asunto tienen la consideración de normas básicas para el desarrollo del artículo 27 CE, en cuanto tendentes a garantizar el cumplimiento de las obligaciones de los poderes públicos en esta materia, y son las encargadas de prever que sea el Gobierno el que regule, también con carácter básico, los parámetros precisos para asegurar la igualdad en el acceso a las citadas becas y ayudas. Hace referencia, por tanto, a lo dispuesto en el artículo 45.1, párrafo segundo, LOU, en el artículo 83.3 de la Ley Orgánica 2/2006, 3 de mayo, de educación, y en el Real Decreto 1721/2007 y sus modificaciones, que complementan el régimen jurídico de las becas que ha establecido el legislador orgánico que no distingue entre universidades públicas y privadas.</w:t>
      </w:r>
    </w:p>
    <w:p w:rsidR="005728DD" w:rsidRDefault="005728DD" w:rsidP="005728DD">
      <w:pPr>
        <w:pStyle w:val="TextoNormal"/>
      </w:pPr>
    </w:p>
    <w:p w:rsidR="005728DD" w:rsidRDefault="005728DD" w:rsidP="005728DD">
      <w:pPr>
        <w:pStyle w:val="TextoNormal"/>
      </w:pPr>
      <w:r>
        <w:t>En relación con la normativa autonómica reitera que el artículo 2 de la Ley 2/2007 establece la equiparación de las universidades públicas y privadas y expone también la evolución normativa en la Comunidad Valenciana en esta materia, destacando la incorporación de las universidades privadas en los sucesivos decretos desde el Decreto 40/2002, de 5 de marzo, de medidas de apoyo a los estudiantes universitarios en la Comunidad Valenciana, hasta el Decreto 180/2016, por el que se modifica el anterior.</w:t>
      </w:r>
    </w:p>
    <w:p w:rsidR="005728DD" w:rsidRDefault="005728DD" w:rsidP="005728DD">
      <w:pPr>
        <w:pStyle w:val="TextoNormal"/>
      </w:pPr>
    </w:p>
    <w:p w:rsidR="005728DD" w:rsidRDefault="005728DD" w:rsidP="005728DD">
      <w:pPr>
        <w:pStyle w:val="TextoNormal"/>
      </w:pPr>
      <w:r>
        <w:lastRenderedPageBreak/>
        <w:t xml:space="preserve">Ahora bien, el Ministerio Fiscal niega que se pueda considerar que la comunidad autónoma ejerza su competencia sobre la base de considerar que las ayudas y becas financiadas con cargo al presupuesto de las comunidades autónomas no interfieren en las normas básicas sobre las becas que se referirían a las financiadas con cargo a los presupuestos generales del Estado. Alega, a este respecto, la doctrina del Tribunal Constitucional relativa a que el poder de gastar no es un título atributivo de competencias sino que el gasto solo se justifica al amparo del régimen de distribución de competencias (cita SSTC 39/1982, de 30 de junio, FJ 5 </w:t>
      </w:r>
      <w:r w:rsidRPr="005728DD">
        <w:rPr>
          <w:i/>
        </w:rPr>
        <w:t>in fine</w:t>
      </w:r>
      <w:r>
        <w:t>; 95/1986, de 10 de julio; 146/1986, de 25 de noviembre; 201/1988, de 27 de octubre, y 14/1989, de 26 de enero).</w:t>
      </w:r>
    </w:p>
    <w:p w:rsidR="005728DD" w:rsidRDefault="005728DD" w:rsidP="005728DD">
      <w:pPr>
        <w:pStyle w:val="TextoNormal"/>
      </w:pPr>
    </w:p>
    <w:p w:rsidR="005728DD" w:rsidRDefault="005728DD" w:rsidP="005728DD">
      <w:pPr>
        <w:pStyle w:val="TextoNormal"/>
      </w:pPr>
      <w:r>
        <w:t>Además, tras exponer el régimen de distribución de competencias en la materia pone de relieve que, si bien las normas básicas circunscriben su regulación tan solo a las ayudas y becas financiadas con cargo a los presupuestos generales del Estado (artículo 45 LOU; artículo 83.2 de la Ley Orgánica de educación; artículo 2 del Real Decreto 1721/2007; y artículo 1 del Real Decreto 472/2014, de 13 de junio, por el que se establecen los umbrales de renta y patrimonio familiar y las cuantías de las becas y ayudas al estudio para el curso 2014-2015, y se modifica parcialmente el citado Real Decreto 1721/2007), dicha referencia no implica que la regulación establecida en dichas normas deje de ser básica para las comunidades autónomas y no deba ser respetada por ellas, tal y como se desprende de los citados preceptos de la Ley Orgánica de universidades y la Ley Orgánica de educación y de la STC 188/2001, de 20 de septiembre, FJ 10 a). En definitiva, señala, la doctrina constitucional en esta materia “ha considerado el carácter básico de casi todos los elementos y requisitos que conforman la beca y ha dejado un escaso margen de desarrollo a la normativa autonómica, pero esta ordenación básica tan detallada se justifica por la finalidad que estas normas persiguen: que la regulación del sistema de becas se realice sin menoscabo de la garantía de la igualdad en la obtención de las ayudas en todo el territorio nacional. En consecuencia, es posible descartar que la normativa básica estatal, constituida tanto por las leyes orgánicas como por los reales decretos citados, constituya una garantía mínima que puede ser ampliada o completada por las comunidades autónomas con cargo a sus propios fondos”.</w:t>
      </w:r>
    </w:p>
    <w:p w:rsidR="005728DD" w:rsidRDefault="005728DD" w:rsidP="005728DD">
      <w:pPr>
        <w:pStyle w:val="TextoNormal"/>
      </w:pPr>
    </w:p>
    <w:p w:rsidR="005728DD" w:rsidRDefault="005728DD" w:rsidP="005728DD">
      <w:pPr>
        <w:pStyle w:val="TextoNormal"/>
      </w:pPr>
      <w:r>
        <w:t>De acuerdo con lo anterior, el Ministerio Fiscal considera que todo programa de ayudas ha de garantizar a los ciudadanos con menos recursos económicos el acceso a la educación superior mediante prestaciones económicas en forma de becas y que la normativa básica, no establece, en el sistema de becas, diferencias entre las universidades públicas y privadas y es vinculante para las comunidades autónomas.</w:t>
      </w:r>
    </w:p>
    <w:p w:rsidR="005728DD" w:rsidRDefault="005728DD" w:rsidP="005728DD">
      <w:pPr>
        <w:pStyle w:val="TextoNormal"/>
      </w:pPr>
    </w:p>
    <w:p w:rsidR="005728DD" w:rsidRDefault="005728DD" w:rsidP="005728DD">
      <w:pPr>
        <w:pStyle w:val="TextoNormal"/>
      </w:pPr>
      <w:r>
        <w:t xml:space="preserve">Sin embargo, I) la disposición objeto del presente recurso de amparo considera que las universidades privadas no son iguales que las universidades de titularidad pública ya que se refieren únicamente a quienes se hallen matriculados en alguna de las universidades públicas que integran el sistema universitario valenciano, o en sus centros públicos adscritos, pero no a quienes, en igual caso, se hallen matriculados en una universidad privada, con la excepción, en este último caso, de los estudios de universidades privadas que se concreten en cada convocatoria. Ello implica necesariamente que, para poder disfrutar de esas becas de estudios, la opción prioritaria sería la universidad pública frente a la universidad privada. Por lo tanto, las universidades públicas y las privadas no se encuentran en la misma posición: su diferencia de origen y titularidad sirve para aceptar o rechazar la candidatura de un aspirante a este tipo de subvención. Entiende el Ministerio Fiscal que no hay una justificación razonable del trato desigual y que la administración no ha expuesto la justificación de </w:t>
      </w:r>
      <w:r>
        <w:lastRenderedPageBreak/>
        <w:t>la diferencia y reitera que las becas y ayudas en la educación superior son un elemento esencial del derecho a la educación que pretende garantizar a los ciudadanos con menos recursos económicos el acceso a esa educación superior, sin distinción entre centros docentes públicos y privados, lo que necesariamente habrá de constituir un límite para el ejercicio de la iniciativa legislativa o reglamentaria en esta materia; II) que todas las universidades, tanto las públicas como las privadas, en cuanto prestan igualmente el servicio público de la educación superior y son iguales a efectos jurídicos, han de poder ofrecer a los estudiantes con menos recursos económicos el acceso a sus enseñanzas, sobre todo cuando algunas de estas solo son ofertadas en centros de carácter privado, sin alternativa por tanto en centros de carácter público; y III) que las disposiciones aquí impugnadas (el artículo 1.1 y el artículo 2.1 de la Orden 24/2016, de 10 de junio, y el apartado 1 y el apartado 2.1 de la Resolución de 11 de julio de 2016) se oponen frontalmente a la normativa básica del Estado, que no distingue entre universidades públicas y privadas, en los términos que anteriormente han sido detallados.</w:t>
      </w:r>
    </w:p>
    <w:p w:rsidR="005728DD" w:rsidRDefault="005728DD" w:rsidP="005728DD">
      <w:pPr>
        <w:pStyle w:val="TextoNormal"/>
      </w:pPr>
    </w:p>
    <w:p w:rsidR="005728DD" w:rsidRDefault="005728DD" w:rsidP="005728DD">
      <w:pPr>
        <w:pStyle w:val="TextoNormal"/>
      </w:pPr>
      <w:r>
        <w:t>Además, con dicha regulación se ha desconocido por completo la existencia de un tratado internacional, vinculante para España, que obliga a dar el mismo trato, en cuanto a becas, a las universidades promovidas por la Iglesia católica que a las universidades públicas. En efecto, el artículo X, apartado 3, del Acuerdo entre el Estado español y la Santa Sede sobre enseñanza y asuntos culturales de 3 de enero de 1979 garantiza a los alumnos de universidades, colegios universitarios, escuelas universitarias y otros centros universitarios que se establezcan por la Iglesia católica “los mismos beneficios en materia de [...] ayudas al estudio y a la investigación [...] que se establezcan para los alumnos de las universidades del Estado”. Se trata de una norma integrada en el ordenamiento jurídico nacional (SSTC 66/1982, de 12 de noviembre, FJ 5, y 187/1991, de 3 de octubre, FJ 1), cuyo alcance se circunscribe a las universidades de la Iglesia, y limita las legítimas facultades de diseño de la política universitaria en cuanto al reparto de fondos públicos de ayudas para estudiantes.</w:t>
      </w:r>
    </w:p>
    <w:p w:rsidR="005728DD" w:rsidRDefault="005728DD" w:rsidP="005728DD">
      <w:pPr>
        <w:pStyle w:val="TextoNormal"/>
      </w:pPr>
    </w:p>
    <w:p w:rsidR="005728DD" w:rsidRDefault="005728DD" w:rsidP="005728DD">
      <w:pPr>
        <w:pStyle w:val="TextoNormal"/>
      </w:pPr>
      <w:r>
        <w:t>De acuerdo con lo anterior, concluye que el artículo 1.1 y el artículo 2.1 de la Orden 24/2016, de 10 de junio, y el apartado 1 y el apartado 2.1 de la resolución de 11 de julio de 2016 han lesionado el derecho fundamental a la igualdad ante la ley (artículo 14 CE) de la Universidad Católica de Valencia San Vicente Mártir. Y para el restablecimiento de su derecho se habrá de declarar la nulidad de los indicados preceptos, así como de las resoluciones judiciales objeto del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posición de las partes</w:t>
      </w:r>
      <w:r>
        <w:t>.</w:t>
      </w:r>
    </w:p>
    <w:p w:rsidR="005728DD" w:rsidRDefault="005728DD" w:rsidP="005728DD">
      <w:pPr>
        <w:pStyle w:val="TextoNormal"/>
      </w:pPr>
    </w:p>
    <w:p w:rsidR="005728DD" w:rsidRDefault="005728DD" w:rsidP="005728DD">
      <w:pPr>
        <w:pStyle w:val="TextoNormal"/>
      </w:pPr>
      <w:r>
        <w:t xml:space="preserve">El presente recurso de amparo se interpone contra la Orden de la Consellería de Educación, Investigación, Cultura y Deporte, 24/2016, de 10 de junio, por la que se establecen las bases reguladoras para la concesión de becas para el alumnado que vaya a finalizar sus estudios universitarios en universidades públicas de la Comunitat Valenciana, y contra la Resolución de 11 de julio de 2016, de la Consellería de Educación, Investigación, Cultura </w:t>
      </w:r>
      <w:r>
        <w:lastRenderedPageBreak/>
        <w:t>y Deporte, por la que se convocan becas para el alumnado que vaya a finalizar sus estudios universitarios en las universidades públicas de la comunidad valenciana durante el curso 2016/2017; igualmente se interpone contra la sentencia de fecha 21 de noviembre de 2017, de la Sección Quinta de la Sala de lo Contencioso-Administrativo del Tribunal Superior de Justicia de la Comunidad Valenciana, dictada en los autos del recurso contencioso administrativo núm. 458-2016 y acumulado 558-2016, así como contra las providencias de 21 de junio y 22 de octubre de 2018 de la Sección Primera de la Sala de lo Contencioso-Administrativo del Tribunal Supremo en el recurso de casación núm. 1473-2018.</w:t>
      </w:r>
    </w:p>
    <w:p w:rsidR="005728DD" w:rsidRDefault="005728DD" w:rsidP="005728DD">
      <w:pPr>
        <w:pStyle w:val="TextoNormal"/>
      </w:pPr>
    </w:p>
    <w:p w:rsidR="005728DD" w:rsidRDefault="005728DD" w:rsidP="005728DD">
      <w:pPr>
        <w:pStyle w:val="TextoNormal"/>
      </w:pPr>
      <w:r>
        <w:t>Según la demandante de amparo, en los términos que se han expuesto en los antecedentes, la Orden y Resolución impugnadas habrían vulnerado los artículos 14, 16 y 27 CE, por excluir a las universidades privadas de la Comunitat Valenciana del sistema de becas previsto en ella. Las resoluciones judiciales sucesivas no habrían subsanado estas vulneraciones, incurriendo, además, en la vulneración de los derechos de la universidad recurrente a la tutela judicial efectiva (artículo 24.1 CE).</w:t>
      </w:r>
    </w:p>
    <w:p w:rsidR="005728DD" w:rsidRDefault="005728DD" w:rsidP="005728DD">
      <w:pPr>
        <w:pStyle w:val="TextoNormal"/>
      </w:pPr>
    </w:p>
    <w:p w:rsidR="005728DD" w:rsidRDefault="005728DD" w:rsidP="005728DD">
      <w:pPr>
        <w:pStyle w:val="TextoNormal"/>
      </w:pPr>
      <w:r>
        <w:t>El representante de la Generalitat Valenciana se opone al recurso de amparo, solicitando su íntegra desestimación, en la medida en que, a su juicio y en los términos expuestos en los antecedentes de esta sentencia, la Orden impugnada no ha producido las vulneraciones aducidas en la demanda. Además, las resoluciones judiciales se habrían ajustado a los parámetros de la doctrina constitucional relativa al derecho a la tutela judicial efectiva (STC 112/2019, de 3 de octubre).</w:t>
      </w:r>
    </w:p>
    <w:p w:rsidR="005728DD" w:rsidRDefault="005728DD" w:rsidP="005728DD">
      <w:pPr>
        <w:pStyle w:val="TextoNormal"/>
      </w:pPr>
    </w:p>
    <w:p w:rsidR="005728DD" w:rsidRDefault="005728DD" w:rsidP="005728DD">
      <w:pPr>
        <w:pStyle w:val="TextoNormal"/>
      </w:pPr>
      <w:r>
        <w:t>El Ministerio Fiscal, por su parte, tal y como se ha dado cumplida cuenta en los antecedentes de esta sentencia, interesa la estimación de la demanda de amparo al entender que se ha vulnerado el derecho de la recurrente a la igualdad (artículo 14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sentada por la STC 191/2020, de 17 de diciembre</w:t>
      </w:r>
      <w:r>
        <w:t>.</w:t>
      </w:r>
    </w:p>
    <w:p w:rsidR="005728DD" w:rsidRDefault="005728DD" w:rsidP="005728DD">
      <w:pPr>
        <w:pStyle w:val="TextoNormal"/>
      </w:pPr>
    </w:p>
    <w:p w:rsidR="005728DD" w:rsidRDefault="005728DD" w:rsidP="005728DD">
      <w:pPr>
        <w:pStyle w:val="TextoNormal"/>
      </w:pPr>
      <w:r>
        <w:t>La STC 191/2020, de 17 de diciembre, concluye que la Orden de la Consellería de Educación, Investigación, Cultura y Deporte, de la Comunitat Valenciana, 21/2016, de 10 de junio, por la que se establecen las bases reguladoras para la concesión de las becas para la realización de estudios universitarios en las universidades de la Comunitat Valenciana ha vulnerado el artículo 14 CE en relación con el artículo 27 CE.</w:t>
      </w:r>
    </w:p>
    <w:p w:rsidR="005728DD" w:rsidRDefault="005728DD" w:rsidP="005728DD">
      <w:pPr>
        <w:pStyle w:val="TextoNormal"/>
      </w:pPr>
    </w:p>
    <w:p w:rsidR="005728DD" w:rsidRDefault="005728DD" w:rsidP="005728DD">
      <w:pPr>
        <w:pStyle w:val="TextoNormal"/>
      </w:pPr>
      <w:r>
        <w:t>Tras recoger en su fundamento jurídico 4 la doctrina constitucional existente sobre el derecho a la igualdad (artículo 14 CE), en relación con el derecho a la educación (artículo 27 CE), en el fundamento jurídico 5 se afirma la existencia de un término de comparación válido, tanto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(artículo 1.1 LOU), como porque el artículo 2 de la Ley 4/2007, de 9 de febrero, de coordinación del sistema universitario valenciano, determina que este está formado por las universidades de titularidad pública y las de titularidad privada, entre las que se encuentra la Universidad Católica de Valencia San Vicente Mártir [artículo 2.1 b) de la Ley], ahora recurrente en amparo, haciendo referencia al respecto, a la doctrina contenida en las SSTC 176/2015, de 22 de julio, FJ 2, y 74/2019, de 22 de mayo, FJ 4.</w:t>
      </w:r>
    </w:p>
    <w:p w:rsidR="005728DD" w:rsidRDefault="005728DD" w:rsidP="005728DD">
      <w:pPr>
        <w:pStyle w:val="TextoNormal"/>
      </w:pPr>
    </w:p>
    <w:p w:rsidR="005728DD" w:rsidRDefault="005728DD" w:rsidP="005728DD">
      <w:pPr>
        <w:pStyle w:val="TextoNormal"/>
      </w:pPr>
      <w:r>
        <w:t>Así mismo, se afirma que la legislación orgánica, a la hora de configurar las becas y ayudas al estudio (artículo 45 LOU) no ha establecido distinción entre los alumnos matriculados en las universidades públicas y privadas ni en relación con las enseñanzas que imparten las mismas, ni en la regulación del sistema de becas en la Comunitat Valenciana se establece esta distinción entre universidades públicas y privadas, como así se desprende del preámbulo del Decreto de la Generalitat Valenciana 88/2006, de 16 de junio, por el que se modifica el Decreto 40/2002, de medidas de apoyo a los estudiantes universitarios en la Comunitat Valenciana.</w:t>
      </w:r>
    </w:p>
    <w:p w:rsidR="005728DD" w:rsidRDefault="005728DD" w:rsidP="005728DD">
      <w:pPr>
        <w:pStyle w:val="TextoNormal"/>
      </w:pPr>
    </w:p>
    <w:p w:rsidR="005728DD" w:rsidRDefault="005728DD" w:rsidP="005728DD">
      <w:pPr>
        <w:pStyle w:val="TextoNormal"/>
      </w:pPr>
      <w:r>
        <w:t>En cuanto a la justificación del trato dispar, ni del tenor de la disposición objeto del recurso, ni de la exposición de motivos de la misma es posible encontrar una finalidad que justifique el establecimiento del tratamiento diferenciado al que se ha hecho referencia entre las universidades públicas y las universidades privadas, y tampoco las alegaciones de la comunidad autónoma permiten justificar desde la perspectiva del artículo 14 CE, la diferencia de trato denunciada, añadiendo que aunque se pudiera considerar, tal y como alega el representante de la Generalitat, que las comunidades autónomas puedan establecer otras modalidades de ayudas con cargo a su presupuesto, no pueden hacerlo distinguiendo sin justificación y al margen de la legislación vigente, que no diferencia entre universidades públicas y privadas, haciéndose mención, al respecto, a la STC 13/1992, de 6 de febrero, FJ 5, en la que se afirmaba que el poder de gastar no es un título atributivo de competencias, por lo que, como se afirma en la STC 188/2001, de 20 de septiembre, el sistema de ayudas que establezca la comunidad autónoma no puede desconocer lo dispuesto por el legislador estatal, y en concreto el mandato de igualdad en las ayudas.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jurisprudencial de la STC 191/2020 de 17 de diciembre</w:t>
      </w:r>
      <w:r>
        <w:t>.</w:t>
      </w:r>
    </w:p>
    <w:p w:rsidR="005728DD" w:rsidRDefault="005728DD" w:rsidP="005728DD">
      <w:pPr>
        <w:pStyle w:val="TextoNormal"/>
      </w:pPr>
    </w:p>
    <w:p w:rsidR="005728DD" w:rsidRDefault="005728DD" w:rsidP="005728DD">
      <w:pPr>
        <w:pStyle w:val="TextoNormal"/>
      </w:pPr>
      <w:r>
        <w:t>En el caso examinado el objeto de impugnación se concreta en la Orden de la Consellería de Educación, Investigación, Cultura y Deporte 24/2016, de 10 de junio, por la que se establecen las bases reguladoras para la concesión de becas para el alumnado que vaya a finalizar sus estudios universitarios en universidades públicas de la Comunitat Valenciana y en la Resolución de 11 de julio de 2016, de la Consellería de Educación, Investigación, Cultura y Deporte, por la que se convocan becas para el alumnado que vaya a finalizar sus estudios universitarios en las universidades públicas de la comunidad valenciana durante el curso 2016/2017. En las disposiciones referidas persiste la exclusión de los alumnos matriculados en las universidades privadas y de las enseñanzas que se imparten en las mismas del régimen de becas de la Comunitat Valenciana, introduciendo una diferencia entre las universidades del sistema universitario valenciano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instituciones educativas (artículo 27.6 CE) como al derecho de los estudiantes a la educación (artículo 27.1 CE), por lo que nos remitimos a los criterios jurisprudenciales que se contienen en la STC 191/2020, de 17 de diciembre, cuya aplicación a este supuesto resulta indudable.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Conclusión</w:t>
      </w:r>
      <w:r>
        <w:t>.</w:t>
      </w:r>
    </w:p>
    <w:p w:rsidR="005728DD" w:rsidRDefault="005728DD" w:rsidP="005728DD">
      <w:pPr>
        <w:pStyle w:val="TextoNormal"/>
      </w:pPr>
    </w:p>
    <w:p w:rsidR="005728DD" w:rsidRDefault="005728DD" w:rsidP="005728DD">
      <w:pPr>
        <w:pStyle w:val="TextoNormal"/>
      </w:pPr>
      <w:r>
        <w:lastRenderedPageBreak/>
        <w:t>Los razonamientos expuestos conducen a la estimación del recurso de amparo y la consiguiente anulación de la Orden de la Consellería de Educación, Investigación, Cultura y Deporte 24/2016, de 10 de junio, por la que se establecen las bases reguladoras para la concesión de becas para el alumnado que vaya a finalizar sus estudios universitarios en universidades públicas de la Comunitat Valenciana, y de la Resolución de 11 de julio de 2016, de la Consellería de Educación, Investigación, Cultura y Deporte, por la que se convocan becas para el alumnado que vaya a finalizar sus estudios universitarios en las universidades públicas de la comunidad valenciana durante el curso 2016/2017, aunque solo en lo que afecta a la exclusión de las universidades privadas de la misma, que es el extremo que se entiende que vulnera los derechos de la recurrente tal y como se ha solicitado en la demanda.</w:t>
      </w:r>
    </w:p>
    <w:p w:rsidR="005728DD" w:rsidRDefault="005728DD" w:rsidP="005728DD">
      <w:pPr>
        <w:pStyle w:val="TextoNormal"/>
      </w:pPr>
    </w:p>
    <w:p w:rsidR="005728DD" w:rsidRDefault="005728DD" w:rsidP="005728DD">
      <w:pPr>
        <w:pStyle w:val="TextoNormal"/>
      </w:pPr>
      <w:r>
        <w:t>La exclusión se produce por el término “públicas” contenido en los artículos 1.1 y 2.1 de la Orden 24/2016, de 10 de junio, y en el apartado 2.1, de la resolución de 11 de julio de 2016. Igualmente se produce por la referencia a la letra A) del apartado 2.1 de la Ley 4/2007, de 9 de febrero, que se recoge en el apartado 1 de la Resolución de 11 de julio de 2016, pues todos ellos vulneran el derecho de la universidad solicitante de amparo recogido en el artículo 14 CE en relación con el artículo 27 CE, al establecer una diferencia de trato entre las universidades públicas y privadas en relación con la posibilidad de solicitar las becas reguladas en la misma para cursar estudios universitarios.</w:t>
      </w:r>
    </w:p>
    <w:p w:rsidR="005728DD" w:rsidRDefault="005728DD" w:rsidP="005728DD">
      <w:pPr>
        <w:pStyle w:val="TextoNormal"/>
      </w:pPr>
    </w:p>
    <w:p w:rsidR="005728DD" w:rsidRDefault="005728DD" w:rsidP="005728DD">
      <w:pPr>
        <w:pStyle w:val="TextoNormal"/>
      </w:pPr>
      <w:r>
        <w:t>Por último,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5728DD" w:rsidRDefault="005728DD" w:rsidP="005728DD">
      <w:pPr>
        <w:pStyle w:val="TextoNormal"/>
      </w:pPr>
    </w:p>
    <w:p w:rsidR="005728DD" w:rsidRDefault="005728DD" w:rsidP="005728DD">
      <w:pPr>
        <w:pStyle w:val="TextoNormal"/>
      </w:pPr>
      <w:r>
        <w:t>1º Declarar que ha sido vulnerado su derecho fundamental a la igualdad (artículo 14 CE), en relación con su derecho fundamental a la creación de centros docentes (apartado 6 del artículo 27 CE).</w:t>
      </w:r>
    </w:p>
    <w:p w:rsidR="005728DD" w:rsidRDefault="005728DD" w:rsidP="005728DD">
      <w:pPr>
        <w:pStyle w:val="TextoNormal"/>
      </w:pPr>
    </w:p>
    <w:p w:rsidR="005728DD" w:rsidRDefault="005728DD" w:rsidP="005728DD">
      <w:pPr>
        <w:pStyle w:val="TextoNormal"/>
      </w:pPr>
      <w:r>
        <w:t>2º Restablecerla en sus derechos y, en consecuencia, declarar la nulidad del término “públicas” contenido en los artículos 1.1 y 2.1 de la Orden de la Consellería de Educación, Investigación, Cultura y Deporte 24/2016, de 10 de junio, por la que se establecen las bases reguladoras para la concesión de becas para el alumnado que vaya a finalizar sus estudios universitarios en universidades públicas de la Comunitat Valenciana, y en el apartado 2.1 de la Resolución de 11 de julio de 2016, de la Consellería de Educación, Investigación, Cultura y Deporte, por la que se convocan becas para el alumnado que vaya a finalizar sus estudios universitarios en las universidades públicas de la comunidad valenciana durante el curso 2016/2017. Así como de la referencia a la letra A) recogida en el apartado 1 de la referida Resolución de 11 de julio de 2016.</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lastRenderedPageBreak/>
        <w:t>Dada en Madrid, a quince de febrero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Cándido Conde-Pumpido Tourón respecto de la sentencia dictada en el recurso de amparo núm. 6348-2018</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mis compañeros, me veo en la obligación de formular un nuevo voto particular a la sentencia recaída en el recurso de amparo núm. 6348-2018. Las razones son las mismas que tuve ocasión de sostener en la Sala en la que se ha deliberado el presente asunto, en la Sala en la que se deliberó el recurso de amparo núm. 2578-2019 y que desembocó en la aprobación de la STC 6/2021, de 25 de enero, así como en el Pleno en el que se decidió el recurso de amparo núm. 5099-2018 y que desembocó en la aprobación de la STC 191/2020, de 17 de diciembre.</w:t>
      </w:r>
    </w:p>
    <w:p w:rsidR="005728DD" w:rsidRDefault="005728DD" w:rsidP="005728DD">
      <w:pPr>
        <w:pStyle w:val="TextoNormal"/>
      </w:pPr>
    </w:p>
    <w:p w:rsidR="005728DD" w:rsidRDefault="005728DD" w:rsidP="005728DD">
      <w:pPr>
        <w:pStyle w:val="TextoNormal"/>
      </w:pPr>
      <w:r>
        <w:t>Me remito, así, a las razones recogidas en los votos particulares a aquellas sentencias, reiterando de nuevo mi oposición tanto a la doctrina en la que se fundamentaron —y ahora de fundamenta la presente sentencia—, como a la errónea aplicación al caso concreto de la doctrina constitucional en materia de igualdad que en la presente sentencia se realiza.</w:t>
      </w:r>
    </w:p>
    <w:p w:rsidR="005728DD" w:rsidRDefault="005728DD" w:rsidP="005728DD">
      <w:pPr>
        <w:pStyle w:val="TextoNormal"/>
      </w:pPr>
    </w:p>
    <w:p w:rsidR="005728DD" w:rsidRDefault="005728DD" w:rsidP="005728DD">
      <w:pPr>
        <w:pStyle w:val="TextoNormal"/>
      </w:pPr>
      <w:r>
        <w:t>Madrid, a quince de febrero de dos mil veintiuno.</w:t>
      </w:r>
    </w:p>
    <w:p w:rsidR="005728DD" w:rsidRDefault="005728DD" w:rsidP="005728DD">
      <w:pPr>
        <w:pStyle w:val="TextoNormal"/>
      </w:pPr>
    </w:p>
    <w:p w:rsidR="005728DD" w:rsidRDefault="005728DD" w:rsidP="005728DD">
      <w:pPr>
        <w:pStyle w:val="TextoNormalNegritaCentrado"/>
        <w:keepNext/>
      </w:pPr>
      <w:r>
        <w:t>Voto particular que formula la magistrada doña María Luisa Balaguer Callejón a la sentencia dictada en el recurso de amparo núm. 6348-2018</w:t>
      </w:r>
    </w:p>
    <w:p w:rsidR="005728DD" w:rsidRDefault="005728DD" w:rsidP="005728DD">
      <w:pPr>
        <w:pStyle w:val="TextoNormalNegritaCentrado"/>
        <w:keepNext/>
      </w:pPr>
    </w:p>
    <w:p w:rsidR="005728DD" w:rsidRDefault="005728DD" w:rsidP="005728DD">
      <w:pPr>
        <w:pStyle w:val="TextoNormal"/>
      </w:pPr>
      <w:r>
        <w:t>En ejercicio de la facultad que me confiere el art. 90.2 de la Ley Orgánica del Tribunal Constitucional manifiesto mi discrepancia con la argumentación y el fallo de la sentencia aprobada por la Sala. La argumentación de la resolución a la que se opone este voto es plenamente coincidente con la de la STC 191/2020, de 17 de diciembre, y habiendo manifestado mi discrepancia respecto de aquella, en el voto particular conjunto firmado con el magistrado don Juan Antonio Xiol, me remito ahora, en su totalidad, a dicho voto particular.</w:t>
      </w:r>
    </w:p>
    <w:p w:rsidR="005728DD" w:rsidRDefault="005728DD" w:rsidP="005728DD">
      <w:pPr>
        <w:pStyle w:val="TextoNormal"/>
      </w:pPr>
    </w:p>
    <w:p w:rsidR="005728DD" w:rsidRDefault="005728DD" w:rsidP="005728DD">
      <w:pPr>
        <w:pStyle w:val="TextoNormal"/>
      </w:pPr>
      <w:r>
        <w:t>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3" w:name="SENTENCIA_2021_20"/>
      <w:r>
        <w:lastRenderedPageBreak/>
        <w:t>SENTENCIA 20/2021, de 15 de febrero de 2021</w:t>
      </w:r>
    </w:p>
    <w:bookmarkEnd w:id="23"/>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ECLI:ES:TC:2021:20</w:t>
      </w:r>
    </w:p>
    <w:p w:rsidR="005728DD" w:rsidRDefault="005728DD" w:rsidP="005728DD">
      <w:pPr>
        <w:pStyle w:val="TextoNormalCentrado"/>
      </w:pPr>
    </w:p>
    <w:p w:rsidR="005728DD" w:rsidRDefault="005728DD" w:rsidP="005728DD">
      <w:pPr>
        <w:pStyle w:val="SntesisDescriptiva"/>
      </w:pPr>
      <w:r>
        <w:t>Recurso de amparo 6839-2018. Promovido por doña Silvia Cazorla Úbeda respecto de las resoluciones dictadas por un juzgado de primera instancia de Sabadell en juicio verbal de desahucio.</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sin apurar las posibilidades de comunicación personal (STC 62/2020).</w:t>
      </w:r>
    </w:p>
    <w:p w:rsidR="005728DD" w:rsidRDefault="005728DD" w:rsidP="005728DD">
      <w:pPr>
        <w:pStyle w:val="SntesisAnaltica"/>
      </w:pPr>
    </w:p>
    <w:p w:rsidR="005728DD" w:rsidRDefault="005728DD" w:rsidP="005728DD">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123/2019)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José-González 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6839-2018, interpuesto por doña Silvia Cazorla Úbeda, contra el auto de 8 de octubre de 2018, dictado por el Juzgado de Primera Instancia núm. 6 de Sabadell, en el juicio verbal de desahucio núm. 555-2016 instado contra ella, en cuya virtud se desestimó el incidente excepcional de nulidad de actuaciones planteado contra las resoluciones dictadas en orden a la notificación edictal y posteriores desde el decreto de 8 de noviembre de 2016, de admisión a trámite de la demanda.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Por escrito registrado en este tribunal el 4 de julio de 2019, doña Silvia Cazorla Úbeda, representada por la procuradora de los tribunales doña Pilar Azorín-Albiñana López y bajo la dirección del letrado don Antonio Abellán Albertos, interpuso recurso de amparo contra el auto de 8 de octubre de 2018, dictado por el Juzgado de Primera Instancia núm. 6 de Sabadell, en el juicio verbal de desahucio núm. 555-2016 instado contra ella, en cuya virtud </w:t>
      </w:r>
      <w:r>
        <w:lastRenderedPageBreak/>
        <w:t>se desestimó el incidente excepcional de nulidad de actuaciones planteado contra las resoluciones dictadas en orden a la notificación edictal y posteriores, desde el decreto de 8 de noviembre de 2016, de admisión a trámite de la demanda.</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relevantes para la resolución del presente recurso de amparo son, sucintamente, los siguientes:</w:t>
      </w:r>
    </w:p>
    <w:p w:rsidR="005728DD" w:rsidRDefault="005728DD" w:rsidP="005728DD">
      <w:pPr>
        <w:pStyle w:val="TextoNormal"/>
      </w:pPr>
    </w:p>
    <w:p w:rsidR="005728DD" w:rsidRDefault="005728DD" w:rsidP="005728DD">
      <w:pPr>
        <w:pStyle w:val="TextoNormal"/>
      </w:pPr>
      <w:r>
        <w:t>a) Ante el Juzgado de Primera Instancia núm. 6 de Sabadell se ha tramitado a instancia de doña Carmen Requena Sorrocha y don Diego Pellicer Alcaraz frente a doña Silvia Cazorla Úbeda, el juicio verbal de desahucio núm. 555-2016, por expiración del plazo contractual y falta de pago y, acumuladamente, la reclamación de cantidad de las rentas devengadas y otras cantidades contractualmente convenidas, concretamente, gastos de comunidad y determinados impuestos.</w:t>
      </w:r>
    </w:p>
    <w:p w:rsidR="005728DD" w:rsidRDefault="005728DD" w:rsidP="005728DD">
      <w:pPr>
        <w:pStyle w:val="TextoNormal"/>
      </w:pPr>
    </w:p>
    <w:p w:rsidR="005728DD" w:rsidRDefault="005728DD" w:rsidP="005728DD">
      <w:pPr>
        <w:pStyle w:val="TextoNormal"/>
      </w:pPr>
      <w:r>
        <w:t>En la demanda detallaban que adquirieron de la demandada, señora Cazorla, el inmueble que es objeto del arrendamiento, situado en la calle Muntaner núm. 25, 4-1ª en la localidad de Sabadell, compraventa documentada en escritura pública otorgada el 26 de abril de 2000 y que, con fecha 28 de diciembre de 2001, suscribieron el contrato de arrendamiento con una duración de cinco años, prorrogable conforme a ley y fijando el importe de la renta mensual en ciento cincuenta euros con veinticinco céntimos al mes, actualizable anualmente con referencia al índice de precios al consumo.</w:t>
      </w:r>
    </w:p>
    <w:p w:rsidR="005728DD" w:rsidRDefault="005728DD" w:rsidP="005728DD">
      <w:pPr>
        <w:pStyle w:val="TextoNormal"/>
      </w:pPr>
    </w:p>
    <w:p w:rsidR="005728DD" w:rsidRDefault="005728DD" w:rsidP="005728DD">
      <w:pPr>
        <w:pStyle w:val="TextoNormal"/>
      </w:pPr>
      <w:r>
        <w:t>Mencionaban también los previos procesos mantenidos por las partes, entre ellos: (i) el juicio de desahucio instado por los propietarios contra la misma demandada que dio lugar al proceso verbal núm. 1114-2007 tramitado por el Juzgado de Primera Instancia núm. 6 de Sabadell y que concluyó mediante sentencia desestimatoria de fecha 9 de julio de 2008; (ii) el proceso ordinario instado por la señora Cazorla frente a los propietarios, seguido ante el mismo órgano jurisdiccional con el núm. 821-2007, en el que se ejercitaba la acción de nulidad del contrato de compraventa suscrito entre las partes en el año 2000, con resultado desestimatorio, tanto en primera como en segunda instancia, reputado firme tras la inadmisión de los recursos extraordinarios de casación y por infracción procesal, acordada en el auto del Tribunal Supremo de 27 de mayo de 2014.</w:t>
      </w:r>
    </w:p>
    <w:p w:rsidR="005728DD" w:rsidRDefault="005728DD" w:rsidP="005728DD">
      <w:pPr>
        <w:pStyle w:val="TextoNormal"/>
      </w:pPr>
    </w:p>
    <w:p w:rsidR="005728DD" w:rsidRDefault="005728DD" w:rsidP="005728DD">
      <w:pPr>
        <w:pStyle w:val="TextoNormal"/>
      </w:pPr>
      <w:r>
        <w:t>En la demanda se dejaba interesado, mediante otrosí segundo, que la realización de los actos de comunicación “y especialmente el emplazamiento”, fueran efectuados por la procuradora compareciente.</w:t>
      </w:r>
    </w:p>
    <w:p w:rsidR="005728DD" w:rsidRDefault="005728DD" w:rsidP="005728DD">
      <w:pPr>
        <w:pStyle w:val="TextoNormal"/>
      </w:pPr>
    </w:p>
    <w:p w:rsidR="005728DD" w:rsidRDefault="005728DD" w:rsidP="005728DD">
      <w:pPr>
        <w:pStyle w:val="TextoNormal"/>
      </w:pPr>
      <w:r>
        <w:t>Dentro de los documentos acompañados con la demanda se aportaba una certificación del Ayuntamiento de Sabadell, datada al 8 de enero de 2009, sobre la falta de constancia de persona alguna empadronada en la dirección interesada, calle Muntaner núm. 25. 4-1ª de dicho municipio.</w:t>
      </w:r>
    </w:p>
    <w:p w:rsidR="005728DD" w:rsidRDefault="005728DD" w:rsidP="005728DD">
      <w:pPr>
        <w:pStyle w:val="TextoNormal"/>
      </w:pPr>
    </w:p>
    <w:p w:rsidR="005728DD" w:rsidRDefault="005728DD" w:rsidP="005728DD">
      <w:pPr>
        <w:pStyle w:val="TextoNormal"/>
      </w:pPr>
      <w:r>
        <w:t xml:space="preserve">b) Admitida a trámite la demanda por decreto de 8 de noviembre de 2016, e intentada la notificación a la demandada mediante correo ordinario con acuse de recibo, fue devuelta por el servicio de correos el 1 de diciembre de 2016, lo que motivó su realización a través de la procuradora designada en la demanda quien, con fecha de 10 de enero de 2017, se personó en la dirección indicada y, con la asistencia y firma de dos testigos, describe en el documento de notificación que “hallándome en el domicilio y tras repetidas llamadas sin </w:t>
      </w:r>
      <w:r>
        <w:lastRenderedPageBreak/>
        <w:t>que nadie atienda, procedo a comprobar si la persona destinataria reside/se halla allí. En el buzón no consta el nombre pero hay muchas cartas a nombre de la demandada. Llamamos al vecino del 4-2ª, señora Carmen Zapata Gómez [número de DNI ilegible] y nos indica que hace años que no vive la señora Cazorla en el 4-1ª. Llamamos a[l] 3-2º y la señora que nos abre la puerta no se quiere identificar pero nos dice que hace mucho tiempo que la demandada no vive en el 4-2º, años. Miramos el buzón del 3-2º y la señora se llama Asunción Asensio”.</w:t>
      </w:r>
    </w:p>
    <w:p w:rsidR="005728DD" w:rsidRDefault="005728DD" w:rsidP="005728DD">
      <w:pPr>
        <w:pStyle w:val="TextoNormal"/>
      </w:pPr>
    </w:p>
    <w:p w:rsidR="005728DD" w:rsidRDefault="005728DD" w:rsidP="005728DD">
      <w:pPr>
        <w:pStyle w:val="TextoNormal"/>
      </w:pPr>
      <w:r>
        <w:t>Los demandantes a través de su representación procesal solicitaron que la notificación, requerimiento y citación fueran practicados mediante edictos, modalidad que fue acordada por diligencia de ordenación de 18 de enero de 2017.</w:t>
      </w:r>
    </w:p>
    <w:p w:rsidR="005728DD" w:rsidRDefault="005728DD" w:rsidP="005728DD">
      <w:pPr>
        <w:pStyle w:val="TextoNormal"/>
      </w:pPr>
    </w:p>
    <w:p w:rsidR="005728DD" w:rsidRDefault="005728DD" w:rsidP="005728DD">
      <w:pPr>
        <w:pStyle w:val="TextoNormal"/>
      </w:pPr>
      <w:r>
        <w:t>Transcurrido el plazo del requerimiento, mediante decreto de 7 de febrero de 2017, se declara terminado el juicio y se acuerdan los pronunciamientos sobre el lanzamiento preseñalado, la condena dineraria y remisión instrumental de oficios y mandamientos.</w:t>
      </w:r>
    </w:p>
    <w:p w:rsidR="005728DD" w:rsidRDefault="005728DD" w:rsidP="005728DD">
      <w:pPr>
        <w:pStyle w:val="TextoNormal"/>
      </w:pPr>
    </w:p>
    <w:p w:rsidR="005728DD" w:rsidRDefault="005728DD" w:rsidP="005728DD">
      <w:pPr>
        <w:pStyle w:val="TextoNormal"/>
      </w:pPr>
      <w:r>
        <w:t>El lanzamiento se llevó a efecto con fecha de 9 de febrero de 2017, describiéndose en la diligencia de la comisión judicial que la vivienda “se encuentra vacía, libre, vacua y expedita a excepción de algunos muebles que son propiedad de la actora y otros que se consideran abandonados a todos los efectos. La parte actora hace constar que han sido sustraídos la encimera de la cocina, el extractor, el fregadero, la lavadora y secadora así como las [ilegible] del comedor”.</w:t>
      </w:r>
    </w:p>
    <w:p w:rsidR="005728DD" w:rsidRDefault="005728DD" w:rsidP="005728DD">
      <w:pPr>
        <w:pStyle w:val="TextoNormal"/>
      </w:pPr>
    </w:p>
    <w:p w:rsidR="005728DD" w:rsidRDefault="005728DD" w:rsidP="005728DD">
      <w:pPr>
        <w:pStyle w:val="TextoNormal"/>
      </w:pPr>
      <w:r>
        <w:t>c) Los demandantes interpusieron demanda de ejecución con relación a los pronunciamientos de condena dineraria, lo que dio lugar al proceso de título procesal núm. 1264-017, sobre cuyo estado procesal no se aportan datos.</w:t>
      </w:r>
    </w:p>
    <w:p w:rsidR="005728DD" w:rsidRDefault="005728DD" w:rsidP="005728DD">
      <w:pPr>
        <w:pStyle w:val="TextoNormal"/>
      </w:pPr>
    </w:p>
    <w:p w:rsidR="005728DD" w:rsidRDefault="005728DD" w:rsidP="005728DD">
      <w:pPr>
        <w:pStyle w:val="TextoNormal"/>
      </w:pPr>
      <w:r>
        <w:t>d) Con fecha de 30 de enero de 2018, la demandada se personó en las actuaciones y, mediante escrito de 10 de febrero de 2018, promovió incidente excepcional de nulidad de actuaciones al entender, en síntesis, que el órgano judicial no había realizado actividad alguna para averiguar su domicilio. En tal sentido, invoca la doctrina de este tribunal referida a los actos de comunicación judicial, con cita de la STC 67/2003, que en parte reproduce, y afirma “que una simple consulta por parte del juzgado hubiera sido suficiente para comprobar que la señora Cazorla reside en la calle Punta Prima 7- D- 2 Bajo 10 de Castell, Platja d’Aro, desde hace varios años”.</w:t>
      </w:r>
    </w:p>
    <w:p w:rsidR="005728DD" w:rsidRDefault="005728DD" w:rsidP="005728DD">
      <w:pPr>
        <w:pStyle w:val="TextoNormal"/>
      </w:pPr>
    </w:p>
    <w:p w:rsidR="005728DD" w:rsidRDefault="005728DD" w:rsidP="005728DD">
      <w:pPr>
        <w:pStyle w:val="TextoNormal"/>
      </w:pPr>
      <w:r>
        <w:t>El incidente fue resuelto, por auto de 8 de octubre de 2018, en sentido desestimatorio. Para alcanzar este fallo, el órgano judicial, en el fundamento de derecho único reproduce el art. 164 de la Ley de enjuiciamiento civil (LEC) y añade que “en este caso se ha cumplido con el precepto anterior ya que se ha intentado por dos veces la notificación en el domicilio del contrato y la señora Cazorla no ha comunicado un nuevo domicilio por lo que es procedente la comunicación edictal y no procede estimar la nulidad de actuaciones”.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El recurso de amparo se plantea contra la decisión desestimatoria del incidente de nulidad de actuaciones, por entender la demandante que el órgano judicial le ha vulnerado su derecho a la tutela judicial efectiva (art. 24.1 CE), en su vertiente de acceso a la jurisdicción causando indefensión, pues, habiendo obtenido un resultado negativo del intento de notificación en el inmueble arrendado, no se realizó esfuerzo alguno por averiguar el real </w:t>
      </w:r>
      <w:r>
        <w:lastRenderedPageBreak/>
        <w:t>domicilio de la recurrente, cuando una simple consulta al punto neutro judicial hubiera arrojado tal dato. Sin embargo, —afirma la demandante— “se optó por la comodidad del automatismo de la publicación edictal”.</w:t>
      </w:r>
    </w:p>
    <w:p w:rsidR="005728DD" w:rsidRDefault="005728DD" w:rsidP="005728DD">
      <w:pPr>
        <w:pStyle w:val="TextoNormal"/>
      </w:pPr>
    </w:p>
    <w:p w:rsidR="005728DD" w:rsidRDefault="005728DD" w:rsidP="005728DD">
      <w:pPr>
        <w:pStyle w:val="TextoNormal"/>
      </w:pPr>
      <w:r>
        <w:t xml:space="preserve">Por otra parte, sostiene que el auto impugnado “es de una contumacia inexcusable”, puesto que por toda respuesta a la invocación de lesión del derecho fundamental, el órgano judicial declara que se ha cumplido la norma procesal que cita, es decir, el art. 164 LEC, lo que le lleva a afirmar que “este enroque, aun a sabiendas de lo evidente de que mal podría comunicarse nuevo domicilio al juzgado cuando precisamente se desconocía la pendencia del proceso reafirma la voluntad de optar por el automatismo sin subsanar la indefensión sufrida, despreciando la nutrida doctrina constitucional”. Así, con cita de nuestra STC 39/2018, FJ 4 </w:t>
      </w:r>
      <w:r w:rsidRPr="005728DD">
        <w:rPr>
          <w:i/>
        </w:rPr>
        <w:t>in fine</w:t>
      </w:r>
      <w:r>
        <w:t>, que considera aplicable a este supuesto por haber enjuiciado uno idéntico, concluye que “en definitiva, el órgano judicial hizo una interpretación y aplicación literal del citado artículo 164 LEC, que, como se ha puesto de manifiesto, había quedado ya reiteradamente desautorizada por este tribunal”.</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9 de marzo de 2020, la Sección Tercera de este tribunal acordó admitir a trámite el recurso de amparo, apreciando que concurre en el mismo una especial trascendencia constitucional [art. 50.1 de la Ley Orgánica del Tribunal Constitucional (LOTC)], porque el órgano judicial pudiera haber incurrido en una negativa manifiesta del deber de acatamiento de la doctrina de este tribunal [STC 155/2009, de 25 de junio, FJ 2 f)].</w:t>
      </w:r>
    </w:p>
    <w:p w:rsidR="005728DD" w:rsidRDefault="005728DD" w:rsidP="005728DD">
      <w:pPr>
        <w:pStyle w:val="TextoNormal"/>
      </w:pPr>
    </w:p>
    <w:p w:rsidR="005728DD" w:rsidRDefault="005728DD" w:rsidP="005728DD">
      <w:pPr>
        <w:pStyle w:val="TextoNormal"/>
      </w:pPr>
      <w:r>
        <w:t>Por ello, en aplicación de lo dispuesto en el art. 51 LOTC, constando ya copia de las actuaciones del juicio verbal de desahucio núm. 555-2016, se ordena dirigir atenta comunicación al Juzgado de Primera Instancia núm. 6 de Sabadell a fin de que, en plazo que no exceda de diez días, proceda a emplazar a quienes hubieran sido parte en el procedimiento, excepto la parte recurrente en amparo, para que, si lo desean, pudieran comparecer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Con fecha de 27 de julio de 2020, la procuradora doña Gloria Arias Aranda, en nombre y representación de los arrendadores don Diego Pellicer Alcaraz y doña Carmen Requena Sorroche, se personó en este procedimiento, evacuando el trámite de alegaciones.</w:t>
      </w:r>
    </w:p>
    <w:p w:rsidR="005728DD" w:rsidRDefault="005728DD" w:rsidP="005728DD">
      <w:pPr>
        <w:pStyle w:val="TextoNormal"/>
      </w:pPr>
    </w:p>
    <w:p w:rsidR="005728DD" w:rsidRDefault="005728DD" w:rsidP="005728DD">
      <w:pPr>
        <w:pStyle w:val="TextoNormal"/>
      </w:pPr>
      <w:r>
        <w:t>En la primera de ellas, advierte que la demandante de amparo ha omitido datos importantes, como los de la existencia de otros procedimientos judiciales que tienen por objeto ese mismo inmueble, así como que hacía al menos tres años que no habitaba en el mismo. En 2013 ya no vivía allí, remarcando en negrita que la señora Cazorla hace años que no reside allí. A su entender, señora Cazorla se ha situado voluntariamente al margen del procedimiento de desahucio, al no haber comunicado a los tribunales donde tenía pendientes dichos procedimientos, su actual domicilio, infringiendo con ello la orden contenida en el art. 155.5 LEC que exige que cuando las partes cambien su domicilio durante la sustanciación del proceso, lo comunicarán inmediatamente a la oficina judicial. Por tanto, a su entender, no puede solicitar el amparo quien voluntariamente se coloca en situación de indefensión.</w:t>
      </w:r>
    </w:p>
    <w:p w:rsidR="005728DD" w:rsidRDefault="005728DD" w:rsidP="005728DD">
      <w:pPr>
        <w:pStyle w:val="TextoNormal"/>
      </w:pPr>
    </w:p>
    <w:p w:rsidR="005728DD" w:rsidRDefault="005728DD" w:rsidP="005728DD">
      <w:pPr>
        <w:pStyle w:val="TextoNormal"/>
      </w:pPr>
      <w:r>
        <w:t xml:space="preserve">En este mismo sentido, subraya el reprochable comportamiento de la demandante de amparo, al haber dejado voluntariamente de habitar la vivienda desde principios de 2013, sin </w:t>
      </w:r>
      <w:r>
        <w:lastRenderedPageBreak/>
        <w:t>realizar desde entonces abono alguno, sin comunicar a sus arrendadores su marcha y, por consiguiente, sin darles la oportunidad de arrendarlo y sufragar así los gastos de mantenimiento de la vivienda.</w:t>
      </w:r>
    </w:p>
    <w:p w:rsidR="005728DD" w:rsidRDefault="005728DD" w:rsidP="005728DD">
      <w:pPr>
        <w:pStyle w:val="TextoNormal"/>
      </w:pPr>
    </w:p>
    <w:p w:rsidR="005728DD" w:rsidRDefault="005728DD" w:rsidP="005728DD">
      <w:pPr>
        <w:pStyle w:val="TextoNormal"/>
      </w:pPr>
      <w:r>
        <w:t>Sobre la decisión del juzgado de instancia de desestimar el incidente excepcional de nulidad de actuaciones, entiende que este tribunal debe revisar su propia doctrina y modificar el criterio para los casos concretos de desahucio puesto que, cuando se den las circunstancias expuestas en el último párrafo del art. 164 LEC, y solo en el caso de que se trate de un juicio sobre desahucio, se le deberá seguir notificando forzosamente en el domicilio que conste en el contrato de arrendamiento, sin que el arrendador tenga otras obligaciones adicionales ya que la norma legal no deja espacio para la disponibilidad de las partes en cuanto al domicilio a efectos de notificaciones y comunicaciones. En tal sentido afirma que, “con la aplicación del art. 164 último párrafo LEC, si el arrendatario no vive en el domicilio del arrendamiento o no procura que algún vecino con casa abierta asuma la responsabilidad de recoger las notificaciones y comunicaciones que pueda hacer el juzgado, siempre quedará sin notificar —pero evidentemente solo por su culpa— ya que no podemos hacer recaer en el arrendador la obligación de investigar el paradero de su arrendatario renuente con sus obligaciones”.</w:t>
      </w:r>
    </w:p>
    <w:p w:rsidR="005728DD" w:rsidRDefault="005728DD" w:rsidP="005728DD">
      <w:pPr>
        <w:pStyle w:val="TextoNormal"/>
      </w:pPr>
    </w:p>
    <w:p w:rsidR="005728DD" w:rsidRDefault="005728DD" w:rsidP="005728DD">
      <w:pPr>
        <w:pStyle w:val="TextoNormal"/>
      </w:pPr>
      <w:r>
        <w:t>En definitiva, concluye que la interpretación rigurosa sobre la debida constitución de la relación jurídico procesal llevada a cabo por este tribunal, en caso del deudor malicioso coloca en una situación de inferioridad manifiesta al arrendador que, obrando con arreglo a la ley, se ve perjudicado en sus derechos.</w:t>
      </w:r>
    </w:p>
    <w:p w:rsidR="005728DD" w:rsidRDefault="005728DD" w:rsidP="005728DD">
      <w:pPr>
        <w:pStyle w:val="TextoNormal"/>
      </w:pPr>
    </w:p>
    <w:p w:rsidR="005728DD" w:rsidRDefault="005728DD" w:rsidP="005728DD">
      <w:pPr>
        <w:pStyle w:val="TextoNormal"/>
      </w:pPr>
      <w:r>
        <w:t>Por todo ello, solicita de este tribunal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providencia de 24 de septiembre de 2020, la Sección Tercera de este tribunal acordó tener por personada y parte en el procedimiento a la procuradora doña Gloria Arias Aranda, en nombre y representación de don Diego Pellicer Alcaraz y doña Carmen Requena Sorroche, acordándose entender con ella las sucesivas actuaciones. Igualmente, esta resolución acordó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Con fecha de 16 de octubre de 2020, el Ministerio Fiscal presentó sus alegaciones ante este tribunal, solicitando la estimación del recurso de amparo. Tras llevar a cabo un análisis de la doctrina de este tribunal sobre la necesidad de proceder correcta y diligentemente en los actos de comunicación procesal, especialmente en los procedimientos de desahucio (STC 30/2014, de 24 de febrero, FJ 3, 181/2015, de 7 de septiembre, FJ 3), para así garantizar el derecho de acceso a la jurisdicción (art. 24.1 CE) de quien ha sido demandado, entra a analizar el contenido del art. 164 LEC. En este punto, si bien la norma procesal prevé la facultad de la comunicación edictal cuando no puede hallarse al arrendatario o efectuarle la comunicación en los domicilios designados en el art. 155.3 LEC, la doctrina de este tribunal ha sido constante en reiterar que dicho precepto ha de ser interpretado </w:t>
      </w:r>
      <w:r w:rsidRPr="005728DD">
        <w:rPr>
          <w:i/>
        </w:rPr>
        <w:t>secundum constitutionem</w:t>
      </w:r>
      <w:r>
        <w:t xml:space="preserve"> y, por consiguiente, tal vía de comunicación del procedimiento de desahucio solo puede utilizarse cuando se hayan agotado los medios de averiguación del deudor.</w:t>
      </w:r>
    </w:p>
    <w:p w:rsidR="005728DD" w:rsidRDefault="005728DD" w:rsidP="005728DD">
      <w:pPr>
        <w:pStyle w:val="TextoNormal"/>
      </w:pPr>
    </w:p>
    <w:p w:rsidR="005728DD" w:rsidRDefault="005728DD" w:rsidP="005728DD">
      <w:pPr>
        <w:pStyle w:val="TextoNormal"/>
      </w:pPr>
      <w:r>
        <w:lastRenderedPageBreak/>
        <w:t>En este caso, destaca el fiscal que, según se desprende de las actuaciones judiciales, cuando la procuradora de la parte demandante intentó la notificación en la vivienda arrendada tuvo conocimiento de que estaba deshabitada desde hacía tiempo, resultado también negativo el intento de notificación por correo ordinario. Pese a ello, el órgano judicial no ordenó la práctica de ninguna comprobación encaminada a conocer el domicilio de la demandante de amparo, ni a través de la documentación obrante en los autos, en las que figuraba la existencia de otros procedimientos en el mismo juzgado y entre las mismas partes, en las que la demandada estaba personada con abogado y procurador, ni con los diferentes organismos públicos a los que se remite el art. 155.3 LEC, ni por los medios que recoge el art. 156 LEC, sino que directamente acudió a la notificación edictal. Solo cuando se solicitó la tasación de costas y se requirió a los profesionales que actuaban en representación y defensa de la demandante de amparo en los otros procedimientos judiciales, fue cuando la señora Cazorla Úbeda tuvo conocimiento del procedimiento de desahucio. Aún más, pudiendo haberse reparado la vulneración del derecho a la tutela judicial efectiva, en el momento de resolver el incidente excepcional de nulidad de actuaciones planteado por la misma, sin embargo, el órgano judicial optó por hacer una interpretación rigorista del art. 164 LEC, contraria a la doctrina de este tribunal.</w:t>
      </w:r>
    </w:p>
    <w:p w:rsidR="005728DD" w:rsidRDefault="005728DD" w:rsidP="005728DD">
      <w:pPr>
        <w:pStyle w:val="TextoNormal"/>
      </w:pPr>
    </w:p>
    <w:p w:rsidR="005728DD" w:rsidRDefault="005728DD" w:rsidP="005728DD">
      <w:pPr>
        <w:pStyle w:val="TextoNormal"/>
      </w:pPr>
      <w:r>
        <w:t>Por todo ello, el fiscal solicita la estimación del presente recurso de amparo, la nulidad de lo actuado en el procedimiento del juicio verbal de desahucio núm. 555-2016 seguido ante el Juzgado de Primera Instancia núm. 6 de Sabadell y la retroacción de las actuaciones al momento en el que se acordó notificar la demanda y emplazar a la demandante de amparo, para que se le otorgue la posibilidad de comparecer en el proceso y ejercer la defensa de sus intereses.</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providencia de fecha 11 de febrero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demanda de amparo impugna el auto de 8 de octubre de 2018, dictado por el Juzgado de Primera Instancia e Instrucción núm. 6 de Sabadell, que desestima el incidente excepcional de nulidad de actuaciones planteado por la recurrente, en el procedimiento de juicio verbal de desahucio núm. 555-2016, por entender vulnerado su derecho a la tutela judicial efectiva (art. 24.1 CE), por haberse seguido el proceso sin habérsele emplazado personalmente, ya que el órgano judicial acudió al emplazamiento por edictos sin haber agotado previamente los mecanismos previstos en el art. 156 LEC para intentar su localización personal, tal como exige nuestra jurisprudencia.</w:t>
      </w:r>
    </w:p>
    <w:p w:rsidR="005728DD" w:rsidRDefault="005728DD" w:rsidP="005728DD">
      <w:pPr>
        <w:pStyle w:val="TextoNormal"/>
      </w:pPr>
    </w:p>
    <w:p w:rsidR="005728DD" w:rsidRDefault="005728DD" w:rsidP="005728DD">
      <w:pPr>
        <w:pStyle w:val="TextoNormal"/>
      </w:pPr>
      <w:r>
        <w:t>Por su parte, los arrendadores don Diego Pellicer Alcaraz y doña Carmen Requena Sorroche solicitan su desestimación, por entender que la demandante de amparo fue correctamente emplazada mediante edictos, pues fue ella misma la que se colocó en la situación de no poder ser emplazada y si no tuvo conocimiento de la existencia del procedimiento, fue debido a su propia negligencia al no haber comunicado el cambio de domicilio y el abandono de la vivienda arrendada.</w:t>
      </w:r>
    </w:p>
    <w:p w:rsidR="005728DD" w:rsidRDefault="005728DD" w:rsidP="005728DD">
      <w:pPr>
        <w:pStyle w:val="TextoNormal"/>
      </w:pPr>
    </w:p>
    <w:p w:rsidR="005728DD" w:rsidRDefault="005728DD" w:rsidP="005728DD">
      <w:pPr>
        <w:pStyle w:val="TextoNormal"/>
      </w:pPr>
      <w:r>
        <w:t>El Ministerio Fiscal considera que procede estimar el recurso y declarar que el citado derecho fundamental ha sido vulnerado, dado que el art. 164 LEC debe ser interpretado de conformidad con la doctrina constitucional que en los procedimientos de desahucio exige expresamente al órgano judicial llevar a cabo una previa averiguación domiciliaria antes de acudir a la vía edictal, so pena de vulnerar su derecho a la jurisdicción y causarle indefensión.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del Tribunal Constitucional sobre los actos de comunicación procesal en los procesos arrendaticios</w:t>
      </w:r>
      <w:r>
        <w:t>.</w:t>
      </w:r>
    </w:p>
    <w:p w:rsidR="005728DD" w:rsidRDefault="005728DD" w:rsidP="005728DD">
      <w:pPr>
        <w:pStyle w:val="TextoNormal"/>
      </w:pPr>
    </w:p>
    <w:p w:rsidR="005728DD" w:rsidRDefault="005728DD" w:rsidP="005728DD">
      <w:pPr>
        <w:pStyle w:val="TextoNormal"/>
      </w:pPr>
      <w:r>
        <w:t>Como acertadamente exponen tanto la demandante de amparo, como el Ministerio Fiscal, este tribunal ya ha tenido ocasión de pronunciarse sobre la cuestión planteada en numerosas resoluciones.</w:t>
      </w:r>
    </w:p>
    <w:p w:rsidR="005728DD" w:rsidRDefault="005728DD" w:rsidP="005728DD">
      <w:pPr>
        <w:pStyle w:val="TextoNormal"/>
      </w:pPr>
    </w:p>
    <w:p w:rsidR="005728DD" w:rsidRDefault="005728DD" w:rsidP="005728DD">
      <w:pPr>
        <w:pStyle w:val="TextoNormal"/>
      </w:pPr>
      <w:r>
        <w:t>Así, en la reciente STC 62/2020, de 15 de junio, FJ 2, pero también en muchas anteriores relativas a los procedimientos arrendaticios (SSTC 30/2014, de 24 de febrero; 181/2015, de 7 de septiembre; 39/2018, de 25 de abril, y 123/2019, de 28 de octubre), hemos subrayado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5728DD" w:rsidRDefault="005728DD" w:rsidP="005728DD">
      <w:pPr>
        <w:pStyle w:val="TextoNormal"/>
      </w:pPr>
    </w:p>
    <w:p w:rsidR="005728DD" w:rsidRDefault="005728DD" w:rsidP="005728DD">
      <w:pPr>
        <w:pStyle w:val="TextoNormal"/>
      </w:pPr>
      <w:r>
        <w:t xml:space="preserve">En todas estas resoluciones, hemos insistido en que sobre los órganos judiciales no solo recae el deber de velar por la correcta ejecución de los actos de comunicación procesal, sino también el de asegurarse de que dichos actos sirven al propósito de garantizar que la parte sea oída en el proceso. “Ello comporta, en lo posible, la exigencia del emplazamiento personal de los afectados y, desde otra perspectiva, la limitación del empleo de la notificación edictal a aquellos supuestos en los que, tras intentar su averiguación,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w:t>
      </w:r>
      <w:r>
        <w:lastRenderedPageBreak/>
        <w:t>antes de acudir a la notificación por edictos (por todas, SSTC 40/2005, de 28 de febrero, FJ 2; 293/2005, de 21 de noviembre, FJ 2, y 245/2006, de 24 de julio, FJ 2)”.</w:t>
      </w:r>
    </w:p>
    <w:p w:rsidR="005728DD" w:rsidRDefault="005728DD" w:rsidP="005728DD">
      <w:pPr>
        <w:pStyle w:val="TextoNormal"/>
      </w:pPr>
    </w:p>
    <w:p w:rsidR="005728DD" w:rsidRDefault="005728DD" w:rsidP="005728DD">
      <w:pPr>
        <w:pStyle w:val="TextoNormal"/>
      </w:pPr>
      <w:r>
        <w:t>Ahora una vez más, como hemos hecho cada vez que se nos ha planteado este supuesto, hemos de recordar que frente a esta doctrina, no cabe que la Ley de enjuiciamiento civil no exija realizar mayores averiguaciones tras la reforma del art. 164 LEC llevada a cabo mediante la Ley 19/2009, de 23 de noviembre, de medidas de fomento y agilización procesal del alquiler y de la eficiencia energética de los edificios. “Semejante argumentación es la que pone de relieve, precisamente, la especial trascendencia constitucional del presente recurso, pues hemos reiterado en la jurisprudencia reseñada que dicho cambio normativo no permite obviar la doctrina constitucional precedente, que le fue expresamente alegada por el recurrente” (STC 62/2020, de 15 de junio, FJ 2).</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al caso</w:t>
      </w:r>
      <w:r>
        <w:t>.</w:t>
      </w:r>
    </w:p>
    <w:p w:rsidR="005728DD" w:rsidRDefault="005728DD" w:rsidP="005728DD">
      <w:pPr>
        <w:pStyle w:val="TextoNormal"/>
      </w:pPr>
    </w:p>
    <w:p w:rsidR="005728DD" w:rsidRDefault="005728DD" w:rsidP="005728DD">
      <w:pPr>
        <w:pStyle w:val="TextoNormal"/>
      </w:pPr>
      <w:r>
        <w:t>La doctrina constitucional expuesta resulta aplicable al supuesto que se analiza, de manera que el Juzgado de Primera Instancia núm. 6 de Sabadell debería haber efectuado la notificación o emplazamiento a la demandante de amparo de forma personal y, de haber obtenido un resultado negativo en el inmueble arrendado, debió haber agotado todos los medios de averiguación domiciliaria que indica la legislación procesal, antes de proceder a realizarla por medio de edictos.</w:t>
      </w:r>
    </w:p>
    <w:p w:rsidR="005728DD" w:rsidRDefault="005728DD" w:rsidP="005728DD">
      <w:pPr>
        <w:pStyle w:val="TextoNormal"/>
      </w:pPr>
    </w:p>
    <w:p w:rsidR="005728DD" w:rsidRDefault="005728DD" w:rsidP="005728DD">
      <w:pPr>
        <w:pStyle w:val="TextoNormal"/>
      </w:pPr>
      <w:r>
        <w:t xml:space="preserve">Es obvio que la respuesta ofrecida en el auto de 8 de octubre de 2018, que resuelve el incidente de nulidad y que ha sido impugnado, el órgano judicial ha hecho caso omiso de nuestra doctrina, pues no efectúa esa interpretación </w:t>
      </w:r>
      <w:r w:rsidRPr="005728DD">
        <w:rPr>
          <w:i/>
        </w:rPr>
        <w:t>secundum constitutionem</w:t>
      </w:r>
      <w:r>
        <w:t xml:space="preserve"> a la que acabamos de hacer referencia, sino antes al contrario, mantiene la especificidad introducida para el juicio de desahucio por la Ley 19/2009, de 23 de noviembre, de medidas de fomento y agilización procesal del alquiler y de la eficiencia energética de los edificios, que dio nueva redacción al art. 155.3 LEC y añadió un párrafo concordado con este al art. 164 LEC, resaltado en negrita en el auto objeto de impugnación.</w:t>
      </w:r>
    </w:p>
    <w:p w:rsidR="005728DD" w:rsidRDefault="005728DD" w:rsidP="005728DD">
      <w:pPr>
        <w:pStyle w:val="TextoNormal"/>
      </w:pPr>
    </w:p>
    <w:p w:rsidR="005728DD" w:rsidRDefault="005728DD" w:rsidP="005728DD">
      <w:pPr>
        <w:pStyle w:val="TextoNormal"/>
      </w:pPr>
      <w:r>
        <w:t>En efecto, este tribunal no puede más que declarar que se ha producido la vulneración constitucional alegada por la demandante de amparo. En primer término, por el automatismo del órgano judicial al acudir al requerimiento y notificación edictal sin averiguación domiciliaria alguna, a pesar de la información trasladada por la procuradora actuante que incorporaba testimonios de vecinos muy próximos sobre la marcha de la demandada de aquel domicilio varios años atrás y también, de forma relevante, descuidando información explicitada en la demanda que daba cuenta de litigios previos sobre el mismo inmueble entre las partes y en las que la recurrente estaba personada.</w:t>
      </w:r>
    </w:p>
    <w:p w:rsidR="005728DD" w:rsidRDefault="005728DD" w:rsidP="005728DD">
      <w:pPr>
        <w:pStyle w:val="TextoNormal"/>
      </w:pPr>
    </w:p>
    <w:p w:rsidR="005728DD" w:rsidRDefault="005728DD" w:rsidP="005728DD">
      <w:pPr>
        <w:pStyle w:val="TextoNormal"/>
      </w:pPr>
      <w:r>
        <w:t>En segundo lugar, porque la respuesta ofrecida en el auto resolutorio del incidente de nulidad prescinde de todas y cada una de las alegaciones de la demandante, no repara en la doctrina constitucional invocada y mantiene una interpretación rigorista de los arts. 155.3 y 164 LEC, incompatible con esta, sin dedicar un solo argumento a su aplicación o procedencia en el caso sometido a su consideración y, desde luego, sin tener en cuenta el escenario litigioso previo dibujado someramente por los allí demandantes, que reforzaba aún más la necesidad de la búsqueda domiciliaria, proceso que ni siguiera fue iniciado.</w:t>
      </w:r>
    </w:p>
    <w:p w:rsidR="005728DD" w:rsidRDefault="005728DD" w:rsidP="005728DD">
      <w:pPr>
        <w:pStyle w:val="TextoNormal"/>
      </w:pPr>
    </w:p>
    <w:p w:rsidR="005728DD" w:rsidRDefault="005728DD" w:rsidP="005728DD">
      <w:pPr>
        <w:pStyle w:val="TextoNormal"/>
      </w:pPr>
      <w:r>
        <w:lastRenderedPageBreak/>
        <w:t>Es cierto, como apunta la representación procesal de don Diego Pellicer Alcaraz y doña Carmen Requena Sorrocha, que la recurrente no define ni aclara cómo y a través de qué medios o personas, tomó razón o conocimiento del proceso de desahucio, pues nada manifiesta en el escrito de personación de 30 de enero de 2018, al que se remite el escrito en el que promueve el incidente, donde afirma que “ha tenido conocimiento de la existencia de un procedimiento de desahucio contra ella”, sin detallar dato alguno. Pero, aun con esa omisión, persiste la vulneración, pues como recordamos en nuestra STC 49/2019, de 8 de abril, FJ 3, “[E]n relación con la concurrencia de indefensión, este tribunal ha matizado, no obstante, que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(STC 181/2015, de 7 de septiembre, FJ 3)”.</w:t>
      </w:r>
    </w:p>
    <w:p w:rsidR="005728DD" w:rsidRDefault="005728DD" w:rsidP="005728DD">
      <w:pPr>
        <w:pStyle w:val="TextoNormal"/>
      </w:pPr>
    </w:p>
    <w:p w:rsidR="005728DD" w:rsidRDefault="005728DD" w:rsidP="005728DD">
      <w:pPr>
        <w:pStyle w:val="TextoNormal"/>
      </w:pPr>
      <w:r>
        <w:t>Finalmente, debe subrayarse que la interpretación que realiza el órgano judicial de la reforma introducida por la Ley 19/2009 pone de manifiesto la concurrencia del motivo de la especial trascendencia constitucional apreciado en el trámite de admisión [STC 155/2009, FJ 2, f)], no solo porque se aparta de la doctrina establecida por este tribunal en materia de emplazamientos y notificaciones, sino porque, como así se refleja en los antecedentes de esta resolución, la recurrente invocó en el incidente de nulidad de actuaciones esa doctrina, sin que la juzgadora la tuviera en cuenta al resolver.</w:t>
      </w:r>
    </w:p>
    <w:p w:rsidR="005728DD" w:rsidRDefault="005728DD" w:rsidP="005728DD">
      <w:pPr>
        <w:pStyle w:val="TextoNormal"/>
      </w:pPr>
    </w:p>
    <w:p w:rsidR="005728DD" w:rsidRDefault="005728DD" w:rsidP="005728DD">
      <w:pPr>
        <w:pStyle w:val="TextoNormal"/>
      </w:pPr>
      <w:r>
        <w:t>La aplicación de nuestra reiterada doctrina al presente supuesto conlleva la declaración de la vulneración del derecho a la tutela judicial efectiva sin indefensión (art. 24.1 CE) de la demandante y la estimación del recurso de amparo. Por ello, de conformidad con lo establecido en el art. 55 LOTC, procede declarar la nulidad del auto del Juzgado de Primera Instancia núm. 6 de Sabadell, de fecha de 8 de octubre de 2018, por el que se desestima el incidente excepcional de nulidad de actuaciones, promovido en el procedimiento de juicio verbal de desahucio núm. 555-2016, acordando la retroacción de las actuaciones hasta el momento de dictarse el decreto de 8 de noviembre de 2016 por el que se admite la demanda de desahucio, a fin de que se proceda de nuevo al emplazamiento de la demandante de amparo, por los medios previstos en la Ley de enjuiciamiento civil.</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Silvia Cazorla Úbeda y, en su virtud:</w:t>
      </w:r>
    </w:p>
    <w:p w:rsidR="005728DD" w:rsidRDefault="005728DD" w:rsidP="005728DD">
      <w:pPr>
        <w:pStyle w:val="TextoNormal"/>
      </w:pPr>
    </w:p>
    <w:p w:rsidR="005728DD" w:rsidRDefault="005728DD" w:rsidP="005728DD">
      <w:pPr>
        <w:pStyle w:val="TextoNormal"/>
      </w:pPr>
      <w:r>
        <w:lastRenderedPageBreak/>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Restablecerla en su derecho y, a tal fin, declarar la nulidad del auto de 8 de octubre de 2018, dictado por el Juzgado de Primera Instancia núm. 6 de Sabadell, en el proceso de juicio verbal de desahucio núm. 555-2016, así como la nulidad de las actuaciones realizadas a partir del decreto de 8 de noviembre de 2016, por el que se admite a trámite la demanda de desahucio.</w:t>
      </w:r>
    </w:p>
    <w:p w:rsidR="005728DD" w:rsidRDefault="005728DD" w:rsidP="005728DD">
      <w:pPr>
        <w:pStyle w:val="TextoNormal"/>
      </w:pPr>
    </w:p>
    <w:p w:rsidR="005728DD" w:rsidRDefault="005728DD" w:rsidP="005728DD">
      <w:pPr>
        <w:pStyle w:val="TextoNormal"/>
      </w:pPr>
      <w:r>
        <w:t>3º Retrotraer el procedimiento al momento inmediatamente anterior al decreto de fecha de 8 de noviembre de 2016, debiendo llevarse a cabo su notificación a la parte demandada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4" w:name="SENTENCIA_2021_21"/>
      <w:r>
        <w:lastRenderedPageBreak/>
        <w:t>SENTENCIA 21/2021, de 15 de febrero de 2021</w:t>
      </w:r>
    </w:p>
    <w:bookmarkEnd w:id="24"/>
    <w:p w:rsidR="005728DD" w:rsidRDefault="005728DD" w:rsidP="005728DD">
      <w:pPr>
        <w:pStyle w:val="TtuloResolucin"/>
      </w:pPr>
      <w:r>
        <w:t>Sala Primera</w:t>
      </w:r>
    </w:p>
    <w:p w:rsidR="005728DD" w:rsidRDefault="005728DD" w:rsidP="005728DD">
      <w:pPr>
        <w:pStyle w:val="TtuloBOE"/>
      </w:pPr>
      <w:r>
        <w:t>(BOE núm. 69, de 22 de marzo de 2021)</w:t>
      </w:r>
    </w:p>
    <w:p w:rsidR="005728DD" w:rsidRDefault="005728DD" w:rsidP="005728DD">
      <w:pPr>
        <w:pStyle w:val="TextoNormalCentrado"/>
      </w:pPr>
      <w:r>
        <w:t>ECLI:ES:TC:2021:21</w:t>
      </w:r>
    </w:p>
    <w:p w:rsidR="005728DD" w:rsidRDefault="005728DD" w:rsidP="005728DD">
      <w:pPr>
        <w:pStyle w:val="TextoNormalCentrado"/>
      </w:pPr>
    </w:p>
    <w:p w:rsidR="005728DD" w:rsidRDefault="005728DD" w:rsidP="005728DD">
      <w:pPr>
        <w:pStyle w:val="SntesisDescriptiva"/>
      </w:pPr>
      <w:r>
        <w:t>Recurso de amparo 2914-2019. Promovido por don J.C.C. en relación con las sentencias de la Sala de lo Militar del Tribunal Supremo y del Tribunal Militar Central que confirmaron una sanción administrativa por grave desconsideración con los superiores.</w:t>
      </w:r>
    </w:p>
    <w:p w:rsidR="005728DD" w:rsidRDefault="005728DD" w:rsidP="005728DD">
      <w:pPr>
        <w:pStyle w:val="SntesisDescriptiva"/>
      </w:pPr>
    </w:p>
    <w:p w:rsidR="005728DD" w:rsidRDefault="005728DD" w:rsidP="005728DD">
      <w:pPr>
        <w:pStyle w:val="SntesisAnaltica"/>
      </w:pPr>
      <w:r>
        <w:t>Vulneración de los derechos a la defensa y a la presunción de inocencia: sanción disciplinaria impuesta con infracción del derecho de no autoincriminación por las declaraciones prestadas como testigo en un juicio verbal civil.</w:t>
      </w:r>
    </w:p>
    <w:p w:rsidR="005728DD" w:rsidRDefault="005728DD" w:rsidP="005728DD">
      <w:pPr>
        <w:pStyle w:val="SntesisAnaltica"/>
      </w:pPr>
    </w:p>
    <w:p w:rsidR="005728DD" w:rsidRDefault="005728DD" w:rsidP="005728DD">
      <w:pPr>
        <w:pStyle w:val="Extracto"/>
      </w:pPr>
      <w:r>
        <w:t>1.</w:t>
      </w:r>
      <w:r>
        <w:tab/>
        <w:t>Este tribunal contempla la garantía de no autoincriminación como una especie de los derechos a no declarar contra sí mismo y a no confesarse culpable, que son garantías o derechos instrumentales del genérico derecho de defensa, al que prestan cobertura en su manifestación pasiva, esto es, la que se ejerce precisamente con la inactividad del sujeto sobre el que recae o puede recaer una imputación. Estos derechos entroncan con una de las manifestaciones del derecho a la presunción de inocencia, en virtud de la cual la carga de la prueba en el proceso penal corresponde a la acusación, sin que pueda hacerse recaer en el acusado la obligación de aportar elementos de prueba que supongan una autoincriminación  (SSTC 197/1995, 142/2009 o 54/2015) [FJ 4].</w:t>
      </w:r>
    </w:p>
    <w:p w:rsidR="005728DD" w:rsidRDefault="005728DD" w:rsidP="005728DD">
      <w:pPr>
        <w:pStyle w:val="Extracto"/>
      </w:pPr>
    </w:p>
    <w:p w:rsidR="005728DD" w:rsidRDefault="005728DD" w:rsidP="005728DD">
      <w:pPr>
        <w:pStyle w:val="Extracto"/>
      </w:pPr>
      <w:r>
        <w:t>2.</w:t>
      </w:r>
      <w:r>
        <w:tab/>
        <w:t>Según el Tribunal Europeo de Derechos Humanos, el derecho a guardar silencio y el privilegio contra la autoincriminación son normas internacionales reconocidas que descansan en el núcleo de la noción de proceso justo garantizada en el art. 6.1 del Convenio [FJ 4].</w:t>
      </w:r>
    </w:p>
    <w:p w:rsidR="005728DD" w:rsidRDefault="005728DD" w:rsidP="005728DD">
      <w:pPr>
        <w:pStyle w:val="Extracto"/>
      </w:pPr>
    </w:p>
    <w:p w:rsidR="005728DD" w:rsidRDefault="005728DD" w:rsidP="005728DD">
      <w:pPr>
        <w:pStyle w:val="Extracto"/>
      </w:pPr>
      <w:r>
        <w:t>3.</w:t>
      </w:r>
      <w:r>
        <w:tab/>
        <w:t xml:space="preserve">El derecho a no autoincriminarse presupone que las autoridades logren probar su caso sin recurrir a pruebas obtenidas mediante métodos coercitivos en contra de la voluntad de la persona acusada (SSTEDH de 3 de mayo de 2001, caso </w:t>
      </w:r>
      <w:r w:rsidRPr="005728DD">
        <w:rPr>
          <w:i/>
        </w:rPr>
        <w:t>J.B. c. Suiza</w:t>
      </w:r>
      <w:r>
        <w:t xml:space="preserve">; o de 4 de octubre de 2005, caso </w:t>
      </w:r>
      <w:r w:rsidRPr="005728DD">
        <w:rPr>
          <w:i/>
        </w:rPr>
        <w:t>Shannon c. Reino Unido</w:t>
      </w:r>
      <w:r>
        <w:t>) [FJ 4].</w:t>
      </w:r>
    </w:p>
    <w:p w:rsidR="005728DD" w:rsidRDefault="005728DD" w:rsidP="005728DD">
      <w:pPr>
        <w:pStyle w:val="Extracto"/>
      </w:pPr>
    </w:p>
    <w:p w:rsidR="005728DD" w:rsidRDefault="005728DD" w:rsidP="005728DD">
      <w:pPr>
        <w:pStyle w:val="Extracto"/>
      </w:pPr>
      <w:r>
        <w:t>4.</w:t>
      </w:r>
      <w:r>
        <w:tab/>
        <w:t>Los derechos instrumentales del derecho de defensa, y como especie de este género la garantía de no autoincriminación, rigen no solo en los procedimientos sancionadores, sino también en los procedimientos predisciplinarios seguidos para el esclarecimiento de los hechos (STC 142/2009); y asimismo con carácter de defensa preventiva en los casos en que el deber de informar sobre asuntos del servicio comporte autoincriminación para el obligado a hacerlo [FJ 4].</w:t>
      </w:r>
    </w:p>
    <w:p w:rsidR="005728DD" w:rsidRDefault="005728DD" w:rsidP="005728DD">
      <w:pPr>
        <w:pStyle w:val="Extracto"/>
      </w:pPr>
    </w:p>
    <w:p w:rsidR="005728DD" w:rsidRDefault="005728DD" w:rsidP="005728DD">
      <w:pPr>
        <w:pStyle w:val="Extracto"/>
      </w:pPr>
      <w:r>
        <w:t>5.</w:t>
      </w:r>
      <w:r>
        <w:tab/>
        <w:t xml:space="preserve">Acerca de la garantía de no autoincriminación, el Tribunal de Estrasburgo señala que para que se aprecie la quiebra de la garantía de no autoincriminación no es imprescindible que la declaración coactiva se haya obtenido en el seno del proceso de naturaleza penal, siendo en principio admisible que la obtención de información mediante coacción se haya producido en un procedimiento previo en el que no se ejerce el </w:t>
      </w:r>
      <w:r w:rsidRPr="005728DD">
        <w:rPr>
          <w:i/>
        </w:rPr>
        <w:t xml:space="preserve">ius puniendi </w:t>
      </w:r>
      <w:r>
        <w:t>estatal y solo sea posteriormente cuando se incorpore con efectos incriminatorios a un proceso penal [FJ 5].</w:t>
      </w:r>
    </w:p>
    <w:p w:rsidR="005728DD" w:rsidRDefault="005728DD" w:rsidP="005728DD">
      <w:pPr>
        <w:pStyle w:val="Extracto"/>
      </w:pPr>
    </w:p>
    <w:p w:rsidR="005728DD" w:rsidRDefault="005728DD" w:rsidP="005728DD">
      <w:pPr>
        <w:pStyle w:val="Extracto"/>
      </w:pPr>
      <w:r>
        <w:t>6.</w:t>
      </w:r>
      <w:r>
        <w:tab/>
        <w:t>Lo relevante en la garantía de no autoincriminación sería el carácter coactivo de la aportación de la información, independientemente del contexto procedimental en que se obtuviera, y el efecto incriminatorio que produjese o pudiese producir en un proceso de naturaleza penal o sancionadora [FJ 5].</w:t>
      </w:r>
    </w:p>
    <w:p w:rsidR="005728DD" w:rsidRDefault="005728DD" w:rsidP="005728DD">
      <w:pPr>
        <w:pStyle w:val="Extracto"/>
      </w:pPr>
    </w:p>
    <w:p w:rsidR="005728DD" w:rsidRDefault="005728DD" w:rsidP="005728DD">
      <w:pPr>
        <w:pStyle w:val="Extracto"/>
      </w:pPr>
      <w:r>
        <w:t>7.</w:t>
      </w:r>
      <w:r>
        <w:tab/>
        <w:t>La declaración como testigo constituye una aportación coactiva de información, lo que además resulta avalado por la jurisprudencia del Tribunal Europeo de Derechos Humanos que enuncia entre las situaciones en que cabe pensar que hay una compulsión lesiva del art. 6 CEDH la obligación de declarar bajo amenaza de sanciones [FJ 6].</w:t>
      </w:r>
    </w:p>
    <w:p w:rsidR="005728DD" w:rsidRDefault="005728DD" w:rsidP="005728DD">
      <w:pPr>
        <w:pStyle w:val="Extracto"/>
      </w:pPr>
    </w:p>
    <w:p w:rsidR="005728DD" w:rsidRDefault="005728DD" w:rsidP="005728DD">
      <w:pPr>
        <w:pStyle w:val="Extracto"/>
      </w:pPr>
      <w:r>
        <w:t>8.</w:t>
      </w:r>
      <w:r>
        <w:tab/>
        <w:t>Verificar que la garantía constitucional de no autoincriminación es respetada y establecer las cautelas procesales para que su protección sea efectiva corresponderá, en principio, al procedimiento de naturaleza penal en que la declaración coactiva pueda resultar autoincriminatoria y, como en este caso, a la actuación disciplinaria [FJ 8].</w:t>
      </w:r>
    </w:p>
    <w:p w:rsidR="005728DD" w:rsidRDefault="005728DD" w:rsidP="005728DD">
      <w:pPr>
        <w:pStyle w:val="Extracto"/>
      </w:pPr>
    </w:p>
    <w:p w:rsidR="005728DD" w:rsidRDefault="005728DD" w:rsidP="005728DD">
      <w:pPr>
        <w:pStyle w:val="Extracto"/>
      </w:pPr>
      <w:r>
        <w:t>9.</w:t>
      </w:r>
      <w:r>
        <w:tab/>
        <w:t>Las resoluciones judiciales vulneran la garantía de no autoincriminación si se fundan en razones que: a) o bien se apartan del contenido propio de esta garantía tal como la ha configurado la doctrina constitucional; b) o bien muestran que el análisis de las cuestiones que dicha garantía suscita ha sido insuficiente [FJ 9].</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2914-2019, promovido por don J.C.C., representado por el procurador de los tribunales don Julio Alberto Gutiérrez Durán, bajo la asistencia del letrado don Jorge Cotrino García, contra la sentencia de la Sala de lo Militar del Tribunal Supremo de fecha 14 de Marzo de 2019 dictada en recurso de casación contencioso núm. 79-2018, así como contra la sentencia dictada por la Sala de Justicia del Tribunal Central Militar de fecha 9 de Mayo de 2018 dictada en el recurso contencioso-disciplinario militar ordinario núm. 151-2016. Ha intervenido el Ministerio Fiscal. Ha sido ponente el presidente don Juan José González Rivas.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Don J.C.C., representado por el procurador de los tribunales don Julio Alberto Gutiérrez Durán y bajo la asistencia del letrado don Jorge Cotrino García, interpuso recurso de amparo contra las resoluciones judiciales que se mencionan en el encabezamiento de esta sentencia mediante escrito registrado en este tribunal el 8 de mayo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 Asociación Unificada de Guardias Civiles, en la sección de comunicación de su página web (www.augc.org), publicó el 10 de diciembre de 2014 un artículo titulado “AUGC Cádiz denuncia los malos tratos de mandos en los acuartelamientos de Arcos de la Frontera y Ubrique”, en el que, en relación al alférez adjunto a la compañía de Villamartín de la Guardia Civil, con residencia en el acuartelamiento de Ubrique, se afirmaba lo que sigue:</w:t>
      </w:r>
    </w:p>
    <w:p w:rsidR="005728DD" w:rsidRDefault="005728DD" w:rsidP="005728DD">
      <w:pPr>
        <w:pStyle w:val="TextoNormal"/>
      </w:pPr>
    </w:p>
    <w:p w:rsidR="005728DD" w:rsidRDefault="005728DD" w:rsidP="005728DD">
      <w:pPr>
        <w:pStyle w:val="TextoNormal"/>
      </w:pPr>
      <w:r>
        <w:t>“En Ubrique, el alférez no se conforma con apuntarse tres guardias más que han debido ser dados de baja médica por causas psicológicas, no le basta con llevar su trato inhumano al extremo de hacer que dos guardias llegaran a desplomarse, por el estrés a que fueron sometidos en el transcurso del último ejercicio de tiro, ni le parece suficiente sus vejaciones a sus subordinados, obligados a permanecer firmes a capricho en pleno centro de la localidad.</w:t>
      </w:r>
    </w:p>
    <w:p w:rsidR="005728DD" w:rsidRDefault="005728DD" w:rsidP="005728DD">
      <w:pPr>
        <w:pStyle w:val="TextoNormal"/>
      </w:pPr>
    </w:p>
    <w:p w:rsidR="005728DD" w:rsidRDefault="005728DD" w:rsidP="005728DD">
      <w:pPr>
        <w:pStyle w:val="TextoNormal"/>
      </w:pPr>
      <w:r>
        <w:t>Él va más allá de sembrar el terror entre sus trabajadores y también se despacha con las familias de los guardias civiles que viven en la casa cuartel, limitándolos en sus derechos, coartando las libertades ciudadanas y orillando el acoso a civiles por el hecho de ser esposas, hijos o familiares de subordinados suyos, con acciones como por ejemplo prohibirles el acceso a sus viviendas por la entrada principal y desviándolos por una puerta trasera, cuestiones estas que han llegado a ser puestas en conocimiento del psicólogo de la Comandancia de Cádiz y del Coronel de la misma, sin que hasta la fecha se obtengan respuestas decentes”.</w:t>
      </w:r>
    </w:p>
    <w:p w:rsidR="005728DD" w:rsidRDefault="005728DD" w:rsidP="005728DD">
      <w:pPr>
        <w:pStyle w:val="TextoNormal"/>
      </w:pPr>
    </w:p>
    <w:p w:rsidR="005728DD" w:rsidRDefault="005728DD" w:rsidP="005728DD">
      <w:pPr>
        <w:pStyle w:val="TextoNormal"/>
      </w:pPr>
      <w:r>
        <w:t>b) El 26 de diciembre de 2014 el referido alférez interpuso demanda de juicio verbal contra la AUGC ante el Juzgado de Primera Instancia e Instrucción de Ubrique, ejercitando acción de rectificación respecto de la información difundida. Se celebró el 5 de mayo de 2015 la vista del juicio verbal, en la que el recurrente y otros dos guardias civiles, a propuesta de la demandada, fueron llamados a declarar como testigos, bajo juramento o promesa de decir verdad y apercibimiento de las penas establecidas para el falso testimonio [art. 458.1 del Código penal (CP)].</w:t>
      </w:r>
    </w:p>
    <w:p w:rsidR="005728DD" w:rsidRDefault="005728DD" w:rsidP="005728DD">
      <w:pPr>
        <w:pStyle w:val="TextoNormal"/>
      </w:pPr>
    </w:p>
    <w:p w:rsidR="005728DD" w:rsidRDefault="005728DD" w:rsidP="005728DD">
      <w:pPr>
        <w:pStyle w:val="TextoNormal"/>
      </w:pPr>
      <w:r>
        <w:t xml:space="preserve">El Juzgado de Primera Instancia e Instrucción de Ubrique desestimó la pretensión del actor en sentencia de 14 de mayo de 2015. Considera que no ha lugar a la rectificación interesada porque lo solicitado por el demandante excede del cauce del procedimiento de rectificación, dado que el actor no interesaba la rectificación de los hechos concretos y objetivos o de algún dato inexacto que le afectase y que se refiriese directamente a él sino a la modificación de un artículo entero, sin especificar cuál era la redacción alternativa que se proponía y que permitiese facilitar su versión sobre lo acontecido. La sentencia refleja en sus fundamentos de Derecho la siguiente afirmación: “[…] Lo que sí ha quedado acreditado </w:t>
      </w:r>
      <w:r>
        <w:lastRenderedPageBreak/>
        <w:t>es que el artículo publicado refleja las denuncias presentadas en la asociación por los guardias [J.A.V.P., J.C.C., y A.F.D]. Los tres manifestaron que lo recogido en el artículo responde a lo indicado por ellos a la asociación en cuanto a los datos fácticos recogidos sin perjuicio de que las conclusiones a las que se llega en el artículo puedan no ser compartidas en todo o en parte por los guardias”.</w:t>
      </w:r>
    </w:p>
    <w:p w:rsidR="005728DD" w:rsidRDefault="005728DD" w:rsidP="005728DD">
      <w:pPr>
        <w:pStyle w:val="TextoNormal"/>
      </w:pPr>
    </w:p>
    <w:p w:rsidR="005728DD" w:rsidRDefault="005728DD" w:rsidP="005728DD">
      <w:pPr>
        <w:pStyle w:val="TextoNormal"/>
      </w:pPr>
      <w:r>
        <w:t>c) El 13 de junio de 2015, el alférez mencionado emitió parte disciplinario contra el recurrente, y también contra los otros dos guardias civiles que declararon como testigos en la vista del referido juicio verbal, por dos faltas graves. La primera consistente en la presunta comisión de la infracción prevista en el art. 8.6 de la Ley Orgánica 12/2007, de 22 de octubre, del régimen disciplinario de la Guardia Civil (en adelante, LODGC), que tipifica la grave desconsideración con los superiores en el ejercicio de sus funciones o con ocasión de ellas. Y la segunda por haber incurrido presuntamente en vulneración del secreto profesional (art. 8.8 LODGC). A dicho parte se adjuntó, como sustento probatorio, el artículo publicado en la web de AUGC, la grabación audiovisual de la vista del juicio verbal civil sobre derecho de rectificación reseñado y la sentencia desestimatoria de la acción ejercitada en ese juicio verbal.</w:t>
      </w:r>
    </w:p>
    <w:p w:rsidR="005728DD" w:rsidRDefault="005728DD" w:rsidP="005728DD">
      <w:pPr>
        <w:pStyle w:val="TextoNormal"/>
      </w:pPr>
    </w:p>
    <w:p w:rsidR="005728DD" w:rsidRDefault="005728DD" w:rsidP="005728DD">
      <w:pPr>
        <w:pStyle w:val="TextoNormal"/>
      </w:pPr>
      <w:r>
        <w:t>Previa información reservada, fue incoado, por las referidas infracciones de los arts. 8.6 y 8.8 LODGC, expediente disciplinario contra el recurrente y también contra los otros dos guardias civiles, quienes se acogieron a su derecho a no declarar (art. 24.2 CE y 4 LODGC).</w:t>
      </w:r>
    </w:p>
    <w:p w:rsidR="005728DD" w:rsidRDefault="005728DD" w:rsidP="005728DD">
      <w:pPr>
        <w:pStyle w:val="TextoNormal"/>
      </w:pPr>
    </w:p>
    <w:p w:rsidR="005728DD" w:rsidRDefault="005728DD" w:rsidP="005728DD">
      <w:pPr>
        <w:pStyle w:val="TextoNormal"/>
      </w:pPr>
      <w:r>
        <w:t>El director general de la Guardia Civil dictó resolución de 18 de abril de 2016 imponiendo al recurrente, y a otro de los guardias civiles que testificaron en la referida vista de juicio verbal, sendas sanciones de pérdida de destino, con todos los efectos legales inherentes y sin posibilidad de pedir destino en la comandancia de Cádiz por un período de dos años, como autores de una falta grave consistente en la “desconsideración con los superiores en el ejercicio de sus funciones o con ocasión de ellas”. No se hizo declaración de responsabilidad respecto al tercer guardia civil encartado.</w:t>
      </w:r>
    </w:p>
    <w:p w:rsidR="005728DD" w:rsidRDefault="005728DD" w:rsidP="005728DD">
      <w:pPr>
        <w:pStyle w:val="TextoNormal"/>
      </w:pPr>
    </w:p>
    <w:p w:rsidR="005728DD" w:rsidRDefault="005728DD" w:rsidP="005728DD">
      <w:pPr>
        <w:pStyle w:val="TextoNormal"/>
      </w:pPr>
      <w:r>
        <w:t>d) Agotada la vía administrativa de recurso, el recurrente interpuso recurso contencioso-disciplinario militar contra la resolución sancionadora, alegando entre otros motivos la vulneración de los derechos fundamentales a la tutela judicial efectiva (art. 24.1 CE) y a la defensa (art. 24.2 CE). Sostiene en concreto la nulidad del procedimiento en la medida que la prueba de cargo deriva de haber prestado declaración en un procedimiento civil, promovido por el redactor del parte disciplinario, en calidad de testigo y no de parte interesada. La Sala de Justicia del Tribunal Militar Central desestimó la impugnación en sentencia de 9 de mayo de 2018. Resuelve sobre esta impugnación en la segunda parte del fundamento jurídico primero y concluye que “el hecho de haber sido llamado a deponer como testigo en un juicio verbal civil para el ejercicio del derecho de rectificación no impide ni obstaculiza el ejercicio de la competencia sancionadora en vía disciplinaria emprendida por el mando y examinada ahora en este recurso contencioso-disciplinario jurisdiccional. Dicho en otras palabras, no se le ha sancionado disciplinariamente por otras razones que aquellas que figuran en la resolución atacada”.</w:t>
      </w:r>
    </w:p>
    <w:p w:rsidR="005728DD" w:rsidRDefault="005728DD" w:rsidP="005728DD">
      <w:pPr>
        <w:pStyle w:val="TextoNormal"/>
      </w:pPr>
    </w:p>
    <w:p w:rsidR="005728DD" w:rsidRDefault="005728DD" w:rsidP="005728DD">
      <w:pPr>
        <w:pStyle w:val="TextoNormal"/>
      </w:pPr>
      <w:r>
        <w:t xml:space="preserve">e) Contra la citada sentencia de la Sala de Justicia del Tribunal Militar Central interpuso recurso de casación. Alegó cuatro motivos: (i) lesión del derecho fundamental a la defensa, a no declarar contra sí mismo y a no confesarse culpable (art. 24.2 CE); (ii) caducidad del </w:t>
      </w:r>
      <w:r>
        <w:lastRenderedPageBreak/>
        <w:t>procedimiento; (iii) vulneración del principio de presunción de inocencia (art. 24.2 CE); y (iv) desconocimiento del principio de proporcionalidad de la sanción, con vulneración del art. 19 LODGC.</w:t>
      </w:r>
    </w:p>
    <w:p w:rsidR="005728DD" w:rsidRDefault="005728DD" w:rsidP="005728DD">
      <w:pPr>
        <w:pStyle w:val="TextoNormal"/>
      </w:pPr>
    </w:p>
    <w:p w:rsidR="005728DD" w:rsidRDefault="005728DD" w:rsidP="005728DD">
      <w:pPr>
        <w:pStyle w:val="TextoNormal"/>
      </w:pPr>
      <w:r>
        <w:t>El Tribunal Supremo desestimó el recurso mediante sentencia de 14 de marzo de 2019. Aborda la primera de las vulneraciones alegadas en casación en el fundamento jurídico segundo. Reconoce que las garantías instrumentales previstas en el art. 24.2 CE se aplican a los procedimientos sancionadores. Y añade: “Pero la virtualidad de tales derechos rige en el procedimiento disciplinario, sin que alcance a actuaciones no realizadas en el mismo, como es el caso”. En este sentido, el recurrente en ningún caso ha sido afectado en su derecho de defensa en el expediente disciplinario por su declaración en el juicio civil, que se produjo con todas las garantías procesales de obligado cumplimiento y en nada empece que la fijación de los datos fácticos que sirven de base al reproche disciplinario se extraigan de una sentencia firme que sirve para establecer la realidad de lo ocurrido”.</w:t>
      </w:r>
    </w:p>
    <w:p w:rsidR="005728DD" w:rsidRDefault="005728DD" w:rsidP="005728DD">
      <w:pPr>
        <w:pStyle w:val="TextoNormal"/>
      </w:pPr>
    </w:p>
    <w:p w:rsidR="005728DD" w:rsidRDefault="005728DD" w:rsidP="005728DD">
      <w:pPr>
        <w:pStyle w:val="TextoNormal"/>
      </w:pPr>
      <w:r>
        <w:t>En el fundamento jurídico tercero resuelve acerca de la invocación de la presunción de inocencia. Sostiene que el recurrente la “vincula a la falta de tipicidad absoluta de la conducta sancionada” y, así encuadrada, la desestima porque las apreciaciones defendidas por la AUGC son un reflejo de los datos fácticos que, según su propia declaración testifical en el proceso civil, comunicaron los guardias expedientados a la AUGC, datos fácticos que comportaban una grave descalificación de un superior susceptible de reproche disciplinario.</w:t>
      </w:r>
    </w:p>
    <w:p w:rsidR="005728DD" w:rsidRDefault="005728DD" w:rsidP="005728DD">
      <w:pPr>
        <w:pStyle w:val="TextoNormal"/>
      </w:pPr>
    </w:p>
    <w:p w:rsidR="005728DD" w:rsidRDefault="005728DD" w:rsidP="005728DD">
      <w:pPr>
        <w:pStyle w:val="TextoNormal"/>
      </w:pPr>
      <w:r w:rsidRPr="005728DD">
        <w:rPr>
          <w:rStyle w:val="NumeroAFNegritaCaracter"/>
        </w:rPr>
        <w:t>3</w:t>
      </w:r>
      <w:r>
        <w:t>. El recurrente, en el encabezamiento del escrito de iniciación registrado el 8 de mayo de 2019, dirige el recurso de amparo contra las dos resoluciones judiciales reseñadas en los antecedentes.</w:t>
      </w:r>
    </w:p>
    <w:p w:rsidR="005728DD" w:rsidRDefault="005728DD" w:rsidP="005728DD">
      <w:pPr>
        <w:pStyle w:val="TextoNormal"/>
      </w:pPr>
    </w:p>
    <w:p w:rsidR="005728DD" w:rsidRDefault="005728DD" w:rsidP="005728DD">
      <w:pPr>
        <w:pStyle w:val="TextoNormal"/>
      </w:pPr>
      <w:r>
        <w:t>En los fundamentos de Derecho imputa a ambas resoluciones la vulneración del derecho fundamental de defensa, a no declararse culpable y a no declarar contra sí mismo y a la presunción de inocencia (art. 24.2 CE), en la medida en que en ellas se habría dado valor autoincriminatorio a las afirmaciones que había realizado durante la declaración testifical realizada en un procedimiento civil. Argumenta el recurrente que la grabación de la vista y la transcripción de la declaración no podrían utilizarse como elementos de prueba porque fueron obtenidos en una declaración testifical bajo la obligación de decir verdad, y sin que nadie leyera los derechos del recurrente acerca de si podía o no optar por no declarar ante la posibilidad de que sus afirmaciones luego podían utilizarse en su contra en un procedimiento sancionador.</w:t>
      </w:r>
    </w:p>
    <w:p w:rsidR="005728DD" w:rsidRDefault="005728DD" w:rsidP="005728DD">
      <w:pPr>
        <w:pStyle w:val="TextoNormal"/>
      </w:pPr>
    </w:p>
    <w:p w:rsidR="005728DD" w:rsidRDefault="005728DD" w:rsidP="005728DD">
      <w:pPr>
        <w:pStyle w:val="TextoNormal"/>
      </w:pPr>
      <w:r>
        <w:t>Por otro lado, alega que la sentencia del Tribunal Militar Central de 9 de mayo de 2018 vulnera el derecho fundamental a la tutela judicial efectiva (art. 24.1 CE), en relación con el principio de igualdad en aplicación de la ley (art. 14 CE) y con la interdicción de la arbitrariedad de los poderes públicos (art. 9.3 CE) por cambio de criterio en asuntos iguales. Así, la Sala de Justicia del Tribunal Militar Central habría llegado a una conclusión distinta a la del presente asunto en sendas sentencias de 29 de noviembre de 2017. En concreto, en un supuesto idéntico habría apreciado la vulneración de los derechos a no declarar contra sí mismos, a no declararse culpables y a la presunción de inocencia. La sentencia del Tribunal Supremo no habría salvado esta situación.</w:t>
      </w:r>
    </w:p>
    <w:p w:rsidR="005728DD" w:rsidRDefault="005728DD" w:rsidP="005728DD">
      <w:pPr>
        <w:pStyle w:val="TextoNormal"/>
      </w:pPr>
    </w:p>
    <w:p w:rsidR="005728DD" w:rsidRDefault="005728DD" w:rsidP="005728DD">
      <w:pPr>
        <w:pStyle w:val="TextoNormal"/>
      </w:pPr>
      <w:r>
        <w:lastRenderedPageBreak/>
        <w:t>En tercer lugar, imputa adicionalmente a la sentencia de 14 de marzo de 2019 dictada por la Sala Quinta del Tribunal Supremo (“que incluso va más allá”) la vulneración de la tutela judicial efectiva del art. 24.1 CE por haber aplicado indebidamente el efecto de cosa juzgada material de una sentencia civil y utilizarlo como prueba de cargo en un procedimiento disciplinario sancionador, lo que lesionaría la presunción de inocencia así como el derecho a obtener una respuesta fundada en Derecho.</w:t>
      </w:r>
    </w:p>
    <w:p w:rsidR="005728DD" w:rsidRDefault="005728DD" w:rsidP="005728DD">
      <w:pPr>
        <w:pStyle w:val="TextoNormal"/>
      </w:pPr>
    </w:p>
    <w:p w:rsidR="005728DD" w:rsidRDefault="005728DD" w:rsidP="005728DD">
      <w:pPr>
        <w:pStyle w:val="TextoNormal"/>
      </w:pPr>
      <w:r>
        <w:t>En fin, en el suplico de la demanda solicita que se reconozca la vulneración de los derechos fundamentales invocados y que sea restablecido en los mismos, para lo cual insta del tribunal que “declare la nulidad y anule la sentencia de la Sala de lo Militar del Tribunal Supremo de fecha 14 de Marzo de 2.019 (recurso de casación contencioso núm. 79-2018) y la sentencia dictada por la Sala de Justicia del Tribunal Central Militar de fecha 9 de Mayo de 2018, así como también anule las resoluciones administrativas de que traen causa y que son lógica y cronológicamente presupuestos de dichas resoluciones judiciales, en el recurso contencioso-disciplinario militar núm. 151-2016, y retrotraer las actuaciones al momento anterior a aquel en que fue dictada la sentencia por la Sala de Justicia del Tribunal Central Militar de fecha 9 de Mayo de 2018, para que por dicha Sala se dicte nueva sentencia respetuosa con los derechos fundamentales del recurrente a la defensa, a no declarar contra sí mismo, a no confesarse culpable y a la presunción de inocencia del art. 24.2 CE, así como respetuosa con su derecho fundamental a la tutela judicial efectiva del art. 24.1 CE”.</w:t>
      </w:r>
    </w:p>
    <w:p w:rsidR="005728DD" w:rsidRDefault="005728DD" w:rsidP="005728DD">
      <w:pPr>
        <w:pStyle w:val="TextoNormal"/>
      </w:pPr>
    </w:p>
    <w:p w:rsidR="005728DD" w:rsidRDefault="005728DD" w:rsidP="005728DD">
      <w:pPr>
        <w:pStyle w:val="TextoNormal"/>
      </w:pPr>
      <w:r w:rsidRPr="005728DD">
        <w:rPr>
          <w:rStyle w:val="NumeroAFNegritaCaracter"/>
        </w:rPr>
        <w:t>4</w:t>
      </w:r>
      <w:r>
        <w:t>. Por auto de 12 de febrero de 2020 la Sección Primera de la Sala Primera del tribunal estimó justificada la abstención formulada por el magistrado, Excmo. Sr. D. Cándido Conde-Pumpido Tourón amparada en los arts. 80 de la Ley Orgánica del Tribunal Constitucional (LOTC) y 219.15 de la Ley Orgánica del Poder Judicial (LOPJ).</w:t>
      </w:r>
    </w:p>
    <w:p w:rsidR="005728DD" w:rsidRDefault="005728DD" w:rsidP="005728DD">
      <w:pPr>
        <w:pStyle w:val="TextoNormal"/>
      </w:pPr>
    </w:p>
    <w:p w:rsidR="005728DD" w:rsidRDefault="005728DD" w:rsidP="005728DD">
      <w:pPr>
        <w:pStyle w:val="TextoNormal"/>
      </w:pPr>
      <w:r w:rsidRPr="005728DD">
        <w:rPr>
          <w:rStyle w:val="NumeroAFNegritaCaracter"/>
        </w:rPr>
        <w:t>5</w:t>
      </w:r>
      <w:r>
        <w:t>. La Sección Primera de este tribunal, por providencia de 9 de marzo de 2020, acordó admitir este recurso de amparo, apreciando que concurre en el mismo una especial trascendencia constitucional (art. 50.1 LOTC) porque el recurso plantea un problema o afecta a una faceta de un derecho fundamental sobre el que no hay doctrina de este tribunal [STC 155/2009, FJ 2 a)]; dirigir atenta comunicación a la Sala de lo Militar del Tribunal Supremo a fin de que, en plazo que no exceda de diez días, remita certificación o fotocopia adverada de las actuaciones correspondientes al recurso de casación contencioso 79-2018, así como al Tribunal Militar Central a fin de que, en plazo que no exceda de diez días, remita certificación o fotocopia adverada de las actuaciones correspondientes al recurso contencioso-disciplinario militar ordinario núm. 151-2016; debiendo previamente emplazarse, para que en el plazo de diez días puedan comparecer, si lo desean, en el recurso de amparo a quienes hubieran sido parte en el procedimiento.</w:t>
      </w:r>
    </w:p>
    <w:p w:rsidR="005728DD" w:rsidRDefault="005728DD" w:rsidP="005728DD">
      <w:pPr>
        <w:pStyle w:val="TextoNormal"/>
      </w:pPr>
    </w:p>
    <w:p w:rsidR="005728DD" w:rsidRDefault="005728DD" w:rsidP="005728DD">
      <w:pPr>
        <w:pStyle w:val="TextoNormal"/>
      </w:pPr>
      <w:r w:rsidRPr="005728DD">
        <w:rPr>
          <w:rStyle w:val="NumeroAFNegritaCaracter"/>
        </w:rPr>
        <w:t>6</w:t>
      </w:r>
      <w:r>
        <w:t>. La Secretaría de Justicia de la Sala Primera de este tribunal, por diligencia de ordenación de 30 de junio de 2020, acordó dar vista de las actuaciones al Ministerio Fiscal y a las partes personadas por plazo común de veinte días para presentar las alegaciones que estimasen pertinentes, de conformidad con el art. 52 LOTC.</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El Ministerio Fiscal, por escrito registrado en este tribunal el 30 de julio de 2020, interesa que se inadmitan el segundo y el tercero de los motivos esgrimidos por el demandante, y también que se estime el recurso por vulneración de los derechos fundamentales </w:t>
      </w:r>
      <w:r>
        <w:lastRenderedPageBreak/>
        <w:t>del recurrente a no declararse culpable y a no declarar contra sí mismo (art. 24.2 CE) y a la presunción de inocencia (art. 24.2 CE), así como que acuerde la nulidad de las dos resoluciones judiciales contra las que se dirige el recurso de amparo y de las dos resoluciones administrativas recaídas en el expediente disciplinario de que aquellas traen causa.</w:t>
      </w:r>
    </w:p>
    <w:p w:rsidR="005728DD" w:rsidRDefault="005728DD" w:rsidP="005728DD">
      <w:pPr>
        <w:pStyle w:val="TextoNormal"/>
      </w:pPr>
    </w:p>
    <w:p w:rsidR="005728DD" w:rsidRDefault="005728DD" w:rsidP="005728DD">
      <w:pPr>
        <w:pStyle w:val="TextoNormal"/>
      </w:pPr>
      <w:r>
        <w:t>Aduce, en primer lugar, que la lesión del derecho fundamental a la tutela judicial efectiva (art. 24.1 CE), en relación con el principio de igualdad en aplicación de la ley (art. 14 CE) y con la interdicción de la arbitrariedad de los poderes públicos (art. 9.3 CE), por cambio de criterio en asuntos iguales, a pesar de ser imputable a la Sala de Justicia del Tribunal Militar Central, no fue invocada en el recurso de casación. Añade, “de hecho, la Sala Quinta de lo Militar no pudo pronunciarse al respecto, como hubiera sido posible de haberse alegado como motivo específico del recurso de casación”. Insta, en consecuencia, que se aprecie el óbice procesal de falta de denuncia previa, citando la doctrina constitucional que destaca que este requisito no es un mero formalismo rituario (por todas, STC 191/2009).</w:t>
      </w:r>
    </w:p>
    <w:p w:rsidR="005728DD" w:rsidRDefault="005728DD" w:rsidP="005728DD">
      <w:pPr>
        <w:pStyle w:val="TextoNormal"/>
      </w:pPr>
    </w:p>
    <w:p w:rsidR="005728DD" w:rsidRDefault="005728DD" w:rsidP="005728DD">
      <w:pPr>
        <w:pStyle w:val="TextoNormal"/>
      </w:pPr>
      <w:r>
        <w:t>Manifiesta, en segundo término, que la vulneración de la tutela judicial efectiva del art. 24.1 CE, por haber aplicado indebidamente el efecto de cosa juzgada material de una sentencia civil y utilizarlo como prueba de cargo en un procedimiento disciplinario sancionador, se imputa de un modo especial a la sentencia de la Sala Quinta del Tribunal Supremo y, sin embargo, el recurrente no presentó incidente de nulidad de actuaciones a través del cual suscitase la reparación de esta vulneración. Concurriría a su juicio, al menos como opción preferente, el óbice procesal de falta de agotamiento de la vía judicial previa al recurso de amparo.</w:t>
      </w:r>
    </w:p>
    <w:p w:rsidR="005728DD" w:rsidRDefault="005728DD" w:rsidP="005728DD">
      <w:pPr>
        <w:pStyle w:val="TextoNormal"/>
      </w:pPr>
    </w:p>
    <w:p w:rsidR="005728DD" w:rsidRDefault="005728DD" w:rsidP="005728DD">
      <w:pPr>
        <w:pStyle w:val="TextoNormal"/>
      </w:pPr>
      <w:r>
        <w:t xml:space="preserve">En cuanto al primer motivo, cuya estimación insta, el fiscal alega que el derecho a no declarar contra sí mismo y a no confesarse culpable constituyen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36/1983, de 11 de mayo, FJ 2, y 127/1992, de 28 de septiembre, FJ 2)” (STC 197/1995, de 21 de diciembre, FJ 6). Aduce también que el Tribunal Europeo de Derechos Humanos (por todas, sentencia de 17 de diciembre de 1996, asunto </w:t>
      </w:r>
      <w:r w:rsidRPr="005728DD">
        <w:rPr>
          <w:i/>
        </w:rPr>
        <w:t>Saunders c. Reino Unido</w:t>
      </w:r>
      <w:r>
        <w:t xml:space="preserve">) ha señalado que el derecho a no contribuir a la propia incriminación forma parte de la noción misma de proceso justo </w:t>
      </w:r>
      <w:r w:rsidRPr="005728DD">
        <w:rPr>
          <w:i/>
        </w:rPr>
        <w:t>ex</w:t>
      </w:r>
      <w:r>
        <w:t xml:space="preserve"> art. 6 del Convenio europeo de derechos humanos (CEDH).</w:t>
      </w:r>
    </w:p>
    <w:p w:rsidR="005728DD" w:rsidRDefault="005728DD" w:rsidP="005728DD">
      <w:pPr>
        <w:pStyle w:val="TextoNormal"/>
      </w:pPr>
    </w:p>
    <w:p w:rsidR="005728DD" w:rsidRDefault="005728DD" w:rsidP="005728DD">
      <w:pPr>
        <w:pStyle w:val="TextoNormal"/>
      </w:pPr>
      <w:r>
        <w:t xml:space="preserve">Destaca el fiscal que, según la citada STC 197/1995, “la jurisprudencia constitucional ha reconocido como límite ineludible a la potestad sancionadora de la administración el respeto a los derechos de defensa reconocidos en el art. 24 de la CE, que son de aplicación a los procedimientos que la administración siga para la imposición de sanciones (SSTC 77/1983, FJ 2, y 74/1985, FJ 4). […] El ejercicio del </w:t>
      </w:r>
      <w:r w:rsidRPr="005728DD">
        <w:rPr>
          <w:i/>
        </w:rPr>
        <w:t>ius puniendi</w:t>
      </w:r>
      <w:r>
        <w:t xml:space="preserve"> del Estado en sus diversas manifestaciones está sometido al juego de la prueba de cargo o incriminatoria de la conducta reprochada y a un procedimiento en el que la persona a la que se le imputa o pueda imputar aquella pueda ejercer su derecho de defensa, de modo que, también en el procedimiento administrativo sancionador, la carga de la prueba de los hechos constitutivos de la infracción vincula a la administración, que concentra las funciones de acusador y decisor, sin que el </w:t>
      </w:r>
      <w:r>
        <w:lastRenderedPageBreak/>
        <w:t>sujeto pasivo de la actuación sancionadora esté obligado a declarar contra sí mismo”. Y ello —añade el fiscal— “se proclama también específicamente en relación a los procedimientos sancionadores disciplinarios de naturaleza militar (por todas, STC 74/2004, de 22 de abril, FJ 4)”.</w:t>
      </w:r>
    </w:p>
    <w:p w:rsidR="005728DD" w:rsidRDefault="005728DD" w:rsidP="005728DD">
      <w:pPr>
        <w:pStyle w:val="TextoNormal"/>
      </w:pPr>
    </w:p>
    <w:p w:rsidR="005728DD" w:rsidRDefault="005728DD" w:rsidP="005728DD">
      <w:pPr>
        <w:pStyle w:val="TextoNormal"/>
      </w:pPr>
      <w:r>
        <w:t>Precisa a continuación el fiscal que “la prohibición de compulsión a la aportación de elementos de prueba que tengan o puedan tener en el futuro valor incriminatorio contra el así compelido, derivada del derecho de defensa y del derecho a la presunción de inocencia, [….] debe someterse a un doble tamiz […]: ‘las garantías frente a la autoincriminación se refieren en este contexto solamente a las contribuciones del imputado o de quien pueda razonablemente terminar siéndolo y solamente a las contribuciones que tienen un contenido directamente incriminatorio’ (STC 161/1997, de 2 de octubre, FJ 6)”.</w:t>
      </w:r>
    </w:p>
    <w:p w:rsidR="005728DD" w:rsidRDefault="005728DD" w:rsidP="005728DD">
      <w:pPr>
        <w:pStyle w:val="TextoNormal"/>
      </w:pPr>
    </w:p>
    <w:p w:rsidR="005728DD" w:rsidRDefault="005728DD" w:rsidP="005728DD">
      <w:pPr>
        <w:pStyle w:val="TextoNormal"/>
      </w:pPr>
      <w:r>
        <w:t>Expuesta la doctrina constitucional aplicable, el fiscal afirma que en su criterio en este caso “se ha producido la invocada vulneración […]. En efecto, no cabe duda de que las concretas manifestaciones efectuadas en calidad de testigo por el recurrente ostentan el carácter de contribución de contenido directamente incriminatorio y son tales declaraciones las que sustentan de modo exclusivo la prueba de cargo, pues ni el parte, ni la grabación con la transcripción de las manifestaciones, ni la sentencia son elementos autónomos o desconectados de ellas. […] el propio parte disciplinario se construye a partir de la información obtenida por el mismo dador del parte con el ejercicio de una acción civil a su propia iniciativa, en la que el sancionado se ve obligado a decir verdad bajo apercibimiento de delito de falso testimonio”, lo cual —continúa el fiscal— es asimilable a otras situaciones en las que la jurisdicción militar (STS de 8 de febrero de 2017) viene entendiendo existente la referida vulneración del art. 24.2 CE.</w:t>
      </w:r>
    </w:p>
    <w:p w:rsidR="005728DD" w:rsidRDefault="005728DD" w:rsidP="005728DD">
      <w:pPr>
        <w:pStyle w:val="TextoNormal"/>
      </w:pPr>
    </w:p>
    <w:p w:rsidR="005728DD" w:rsidRDefault="005728DD" w:rsidP="005728DD">
      <w:pPr>
        <w:pStyle w:val="TextoNormal"/>
      </w:pPr>
      <w:r>
        <w:t xml:space="preserve">El fiscal recuerda que las sentencias de 29 de noviembre de 2017, núms. 181 y 191, de la Sala de Justicia del Tribunal Militar Central —alegadas y aportadas por el recurrente como </w:t>
      </w:r>
      <w:r w:rsidRPr="005728DD">
        <w:rPr>
          <w:i/>
        </w:rPr>
        <w:t>tertium comparationis</w:t>
      </w:r>
      <w:r>
        <w:t xml:space="preserve"> en la demanda de amparo— son buena muestra de la doctrina militar más acorde con las exigencias constitucionales que se derivan del art. 24.2 CE. Ambas sentencias analizan un caso exactamente igual al presente y estrechamente conectado con él, en cuanto derivado de la misma publicación efectuada en la página web de la AUGC, y consideran aplicable a este supuesto la doctrina de la jurisprudencia militar que afirma que hay dos situaciones anteriores a la emisión del parte disciplinario en que cabe apreciar vulneración del derecho a no confesarse culpable: una, cuando el mando que posteriormente emite el parte interroga al presunto responsable de la infracción sobre los hechos constitutivos de esta sin informarle previamente de los referidos derechos; la segunda, desarrollada en la STS 8 de febrero de 2017, cuando dicho mando, ante la sospecha de que un subordinado pudiera haber cometido una infracción disciplinaria, ordena a este la elaboración de un informe sobre los hechos constitutivos de la misma.</w:t>
      </w:r>
    </w:p>
    <w:p w:rsidR="005728DD" w:rsidRDefault="005728DD" w:rsidP="005728DD">
      <w:pPr>
        <w:pStyle w:val="TextoNormal"/>
      </w:pPr>
    </w:p>
    <w:p w:rsidR="005728DD" w:rsidRDefault="005728DD" w:rsidP="005728DD">
      <w:pPr>
        <w:pStyle w:val="TextoNormal"/>
      </w:pPr>
      <w:r>
        <w:t xml:space="preserve">Lo expresado en dichas sentencias —concluye el fiscal— es predicable igualmente respecto del presente caso, y en nada puede servir a la validez constitucional de la conclusión contraria extraída por los órganos administrativos y judiciales ni que la declaración fuese prestada en el juicio verbal a propuesta e instancia de la parte demandada (pues ello en nada aminora la obligación del testigo de declarar y de hacerlo con complitud y exactitud), ni que la sentencia desestimatoria de la acción civil recogiese en sus fundamentos jurídicos la afirmación de que el demandante de amparo puso en conocimiento de AUGC los datos fácticos </w:t>
      </w:r>
      <w:r>
        <w:lastRenderedPageBreak/>
        <w:t>reflejados en la publicación digital (pues, aparte de que esa afirmación no es un aserto autónomo, el juicio verbal previsto en garantía del derecho de rectificación es un juicio sumario, con lo que se exime al juzgador de una indagación completa de la veracidad de los hechos), ni que el propio parte pueda servir como elemento probatorio por sí mismo (pues en este caso el parte “no constituye un elemento autónomo y diferente de las manifestaciones previas”).</w:t>
      </w:r>
    </w:p>
    <w:p w:rsidR="005728DD" w:rsidRDefault="005728DD" w:rsidP="005728DD">
      <w:pPr>
        <w:pStyle w:val="TextoNormal"/>
      </w:pPr>
    </w:p>
    <w:p w:rsidR="005728DD" w:rsidRDefault="005728DD" w:rsidP="005728DD">
      <w:pPr>
        <w:pStyle w:val="TextoNormal"/>
      </w:pPr>
      <w:r w:rsidRPr="005728DD">
        <w:rPr>
          <w:rStyle w:val="NumeroAFNegritaCaracter"/>
        </w:rPr>
        <w:t>8</w:t>
      </w:r>
      <w:r>
        <w:t>. El recurrente, mediante escrito registrado en este tribunal el día 11 de agosto de 2020, evacua el trámite de alegaciones que le fue conferido, reiterando los hechos y motivos de amparo que había hecho valer en su escrito de demanda, con la única diferencia de que distingue un epígrafe sobre el objeto del amparo, que es idéntico a los motivos de amparo invocados en la demanda, de otro sobre el contenido y alcance de las concretas vulneraciones invocadas, en el cual razona que las mismas también son imputables a las resoluciones administrativas recaídas en el expediente disciplinario. Sin embargo, el suplico de este escrito de alegaciones es el mismo que el del escrito de demanda, instando del tribunal que “retrotra[iga] las actuaciones al momento anterior a aquel en que fue dictada la sentencia por la Sala de Justicia del Tribunal Central Militar de fecha 9 de Mayo de 2018”.</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Objeto del proceso y alegaciones de las partes.</w:t>
      </w:r>
    </w:p>
    <w:p w:rsidR="005728DD" w:rsidRDefault="005728DD" w:rsidP="005728DD">
      <w:pPr>
        <w:pStyle w:val="TextoNormal"/>
      </w:pPr>
    </w:p>
    <w:p w:rsidR="005728DD" w:rsidRDefault="005728DD" w:rsidP="005728DD">
      <w:pPr>
        <w:pStyle w:val="TextoNormal"/>
      </w:pPr>
      <w:r>
        <w:t>La demanda de amparo reprocha a las sentencias impugnadas —la dictada en instancia por la Sala de Justicia del Tribunal Militar Central, de 9 de mayo de 2018, y la de Sala Quinta del Tribunal Supremo desestimatoria del recurso de casación, de 14 de marzo de 2019— que, al haber confirmado la sanción disciplinaria del recurrente por “grave desconsideración con los superiores” (art. 8.6 LODGC) con base en sus declaraciones autoincriminatorias realizadas como testigo obligado a decir verdad en un proceso civil previo, ha lesionado su derecho fundamental a la defensa, a no declarar contra sí mismo y a no confesarse culpable (art. 24.2 CE), así como el principio de presunción de inocencia (art. 24.2 CE). Imputa, además, a la citada sentencia del Tribunal Militar Central la vulneración del derecho fundamental del recurrente a la tutela judicial efectiva (art. 24.1 CE), en relación con el principio de igualdad en aplicación de la ley (art. 14 CE) y con la interdicción de la arbitrariedad de los poderes públicos (art. 9.3 CE), lesión que derivaría de haber decidido este proceso conforme a un criterio distinto al acogido en otros asuntos iguales. Alega también, como tercer motivo, que la citada sentencia de la Sala Quinta del Tribunal Supremo ha vulnerado su derecho a la tutela judicial efectiva (art. 24.1 CE) por basar en el efecto de cosa juzgada material de una sentencia civil la prueba de cargo en un procedimiento disciplinario.</w:t>
      </w:r>
    </w:p>
    <w:p w:rsidR="005728DD" w:rsidRDefault="005728DD" w:rsidP="005728DD">
      <w:pPr>
        <w:pStyle w:val="TextoNormal"/>
      </w:pPr>
    </w:p>
    <w:p w:rsidR="005728DD" w:rsidRDefault="005728DD" w:rsidP="005728DD">
      <w:pPr>
        <w:pStyle w:val="TextoNormal"/>
      </w:pPr>
      <w:r>
        <w:t xml:space="preserve">En el suplico el recurrente insta de este tribunal que, estimadas sus alegaciones y para restablecerle en su derecho, anule las dos sentencias a las que imputa las vulneraciones, anule las decisiones administrativas “de que traen causa” y, en fin, ordene “retrotraer las </w:t>
      </w:r>
      <w:r>
        <w:lastRenderedPageBreak/>
        <w:t>actuaciones al momento anterior a aquel en que fue dictada la sentencia por la Sala de Justicia del Tribunal Central Militar de fecha 9 de Mayo de 2018, para que por dicha Sala se dicte nueva sentencia respetuosa con los derechos fundamentales del recurrente”, sin que proceda la acumulación instada al recurso de amparo 5776-2019, habida cuenta de la singularidad del recurso interpuesto y del trámite procesal en que se encuentra el último recurso citado.</w:t>
      </w:r>
    </w:p>
    <w:p w:rsidR="005728DD" w:rsidRDefault="005728DD" w:rsidP="005728DD">
      <w:pPr>
        <w:pStyle w:val="TextoNormal"/>
      </w:pPr>
    </w:p>
    <w:p w:rsidR="005728DD" w:rsidRDefault="005728DD" w:rsidP="005728DD">
      <w:pPr>
        <w:pStyle w:val="TextoNormal"/>
      </w:pPr>
      <w:r>
        <w:t>El Ministerio Fiscal, por su parte, aprecia que el segundo y el tercer motivo de amparo están afectados por sendos óbices procesales que determinan su inadmisión. Solicita, por lo que hace al otro motivo de amparo, que sea estimado y que, en consecuencia, acuerde la nulidad de las resoluciones judiciales impugnadas y también de las resoluciones administrativas recaídas en el expediente disciplinario del que aquellas traen causa.</w:t>
      </w:r>
    </w:p>
    <w:p w:rsidR="005728DD" w:rsidRDefault="005728DD" w:rsidP="005728DD">
      <w:pPr>
        <w:pStyle w:val="TextoNormal"/>
      </w:pPr>
    </w:p>
    <w:p w:rsidR="005728DD" w:rsidRDefault="005728DD" w:rsidP="005728DD">
      <w:pPr>
        <w:pStyle w:val="TextoNormal"/>
      </w:pPr>
      <w:r w:rsidRPr="005728DD">
        <w:rPr>
          <w:rStyle w:val="NumeroAFNegritaCaracter"/>
        </w:rPr>
        <w:t>2</w:t>
      </w:r>
      <w:r>
        <w:t>. Sobre los óbices procesales alegados por el Ministerio Fiscal.</w:t>
      </w:r>
    </w:p>
    <w:p w:rsidR="005728DD" w:rsidRDefault="005728DD" w:rsidP="005728DD">
      <w:pPr>
        <w:pStyle w:val="TextoNormal"/>
      </w:pPr>
    </w:p>
    <w:p w:rsidR="005728DD" w:rsidRDefault="005728DD" w:rsidP="005728DD">
      <w:pPr>
        <w:pStyle w:val="TextoNormal"/>
      </w:pPr>
      <w:r>
        <w:t>La tutela de los derechos fundamentales a través del recurso de amparo constitucional tiene uno de sus elementos centrales en su carácter subsidiario. Son manifestaciones de esta nota distintiva que el art. 44.1 LOTC exija como presupuestos de viabilidad de un recurso de amparo la denuncia formal de las vulneraciones alegadas en el proceso judicial previo tan pronto como hubiera lugar para ello [apartado c)] y, además, el agotamiento de todos los medios de impugnación previstos por las normas procesales [apartado b)].</w:t>
      </w:r>
    </w:p>
    <w:p w:rsidR="005728DD" w:rsidRDefault="005728DD" w:rsidP="005728DD">
      <w:pPr>
        <w:pStyle w:val="TextoNormal"/>
      </w:pPr>
    </w:p>
    <w:p w:rsidR="005728DD" w:rsidRDefault="005728DD" w:rsidP="005728DD">
      <w:pPr>
        <w:pStyle w:val="TextoNormal"/>
      </w:pPr>
      <w:r>
        <w:t>El Ministerio Fiscal razona que el segundo motivo de amparo, el relativo al cambio de criterio del Tribunal Militar Central respecto de asuntos iguales, apunta a una vulneración que pudo haberse denunciado en el recurso de casación promovido ante la Sala Quinta del Tribunal Supremo y no se hizo, de modo que no se habría denunciado formalmente tan pronto hubo lugar para ello.</w:t>
      </w:r>
    </w:p>
    <w:p w:rsidR="005728DD" w:rsidRDefault="005728DD" w:rsidP="005728DD">
      <w:pPr>
        <w:pStyle w:val="TextoNormal"/>
      </w:pPr>
    </w:p>
    <w:p w:rsidR="005728DD" w:rsidRDefault="005728DD" w:rsidP="005728DD">
      <w:pPr>
        <w:pStyle w:val="TextoNormal"/>
      </w:pPr>
      <w:r>
        <w:t>Procede acoger esta alegación del Ministerio Fiscal. La demanda de amparo esgrime que el Tribunal Militar Central dictó sendas sentencias el 29 de noviembre de 2017 en las que, respecto de asuntos sustancialmente iguales al que resolvió en la sentencia de 9 de mayo de 2018 objeto de este recurso de amparo, estimó que la sanción disciplinaria de un guardia civil por “grave desconsideración de sus superiores” con base en sus declaraciones autoincriminatorias realizadas como testigo obligado a decir verdad en un proceso civil previo suponía una lesión de su derecho fundamental a la defensa, a no declarar contra sí mismo y a no confesarse culpable (art. 24.2 CE), así como del principio de presunción de inocencia (art. 24.2 CE).</w:t>
      </w:r>
    </w:p>
    <w:p w:rsidR="005728DD" w:rsidRDefault="005728DD" w:rsidP="005728DD">
      <w:pPr>
        <w:pStyle w:val="TextoNormal"/>
      </w:pPr>
    </w:p>
    <w:p w:rsidR="005728DD" w:rsidRDefault="005728DD" w:rsidP="005728DD">
      <w:pPr>
        <w:pStyle w:val="TextoNormal"/>
      </w:pPr>
      <w:r>
        <w:t>El recurrente pudo fundar en este cambio de criterio, que a su juicio es lesivo de los derechos fundamentales consagrados en los arts. 24.1 y 14 CE, su recurso de casación y así abrir la vía procedimental para que la Sala Quinta del Tribunal Supremo, en caso de apreciarlo así, reparase esta lesión. En dicho recurso de casación no consta ese motivo de impugnación, ni directamente formulado ni expuesto por referencia a sus elementos fácticos determinantes. Al invocar esta vulneración en su demanda de amparo pero no haber intentado su reparación en la vía judicial lo antes que en ella fue posible, no ha respetado la subsidiariedad como elemento configurador del amparo constitucional, resultando improcedente examinar este motivo de amparo.</w:t>
      </w:r>
    </w:p>
    <w:p w:rsidR="005728DD" w:rsidRDefault="005728DD" w:rsidP="005728DD">
      <w:pPr>
        <w:pStyle w:val="TextoNormal"/>
      </w:pPr>
    </w:p>
    <w:p w:rsidR="005728DD" w:rsidRDefault="005728DD" w:rsidP="005728DD">
      <w:pPr>
        <w:pStyle w:val="TextoNormal"/>
      </w:pPr>
      <w:r>
        <w:lastRenderedPageBreak/>
        <w:t>El Ministerio Fiscal esgrime un segundo óbice procesal. Destaca que si la tercera impugnación, la relativa a la lesión del art. 24.1 CE por haber fundado en el efecto de cosa juzgada material de una sentencia civil la prueba de cargo en un procedimiento disciplinario, se imputa específicamente a la sentencia de la Sala Quinta del Tribunal Supremo las normas procesales ofrecían un medio de impugnación hábil como era el incidente de nulidad de actuaciones, vía de reparación que el recurrente no utilizó.</w:t>
      </w:r>
    </w:p>
    <w:p w:rsidR="005728DD" w:rsidRDefault="005728DD" w:rsidP="005728DD">
      <w:pPr>
        <w:pStyle w:val="TextoNormal"/>
      </w:pPr>
    </w:p>
    <w:p w:rsidR="005728DD" w:rsidRDefault="005728DD" w:rsidP="005728DD">
      <w:pPr>
        <w:pStyle w:val="TextoNormal"/>
      </w:pPr>
      <w:r>
        <w:t>El tribunal también estima esta alegación del fiscal. De la demanda de amparo se desprende expresamente que el tercero de los motivos que la sustentan se imputa específicamente a un razonamiento concreto que, sin haber sido objeto de la discusión en las fases anteriores de la controversia, usó por primera vez la sentencia de la Sala Quinta del Tribunal Supremo para desestimar las pretensiones del recurrente. Así planteada la vulneración alegada, el recurrente había tenido a su disposición un medio de impugnación, sobre cuya procedencia no cabe albergar ninguna duda, para obtener reparación dentro de la vía procesal previa al recurso de amparo constitucional. El recurrente, al no deducir el referido incidente de nulidad de actuaciones, no agotó todos los medios de impugnación previstos por las normas procesales en la vía judicial previa al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Delimitación del objeto del proceso.</w:t>
      </w:r>
    </w:p>
    <w:p w:rsidR="005728DD" w:rsidRDefault="005728DD" w:rsidP="005728DD">
      <w:pPr>
        <w:pStyle w:val="TextoNormal"/>
      </w:pPr>
    </w:p>
    <w:p w:rsidR="005728DD" w:rsidRDefault="005728DD" w:rsidP="005728DD">
      <w:pPr>
        <w:pStyle w:val="TextoNormal"/>
      </w:pPr>
      <w:r>
        <w:t>Descartados los motivos de amparo que aduce la demanda en segundo y tercer lugar, por no reunir los presupuestos procesales de viabilidad previstos en el art. 44 LOTC, el tribunal se centrará en examinar la invocada vulneración del derecho fundamental a la defensa, a no declarar contra sí mismo y a no confesarse culpable (art. 24.2 CE), así como el principio de presunción de inocencia (art. 24.2 CE).</w:t>
      </w:r>
    </w:p>
    <w:p w:rsidR="005728DD" w:rsidRDefault="005728DD" w:rsidP="005728DD">
      <w:pPr>
        <w:pStyle w:val="TextoNormal"/>
      </w:pPr>
    </w:p>
    <w:p w:rsidR="005728DD" w:rsidRDefault="005728DD" w:rsidP="005728DD">
      <w:pPr>
        <w:pStyle w:val="TextoNormal"/>
      </w:pPr>
      <w:r>
        <w:t>A la vista de la demanda y del resto de escritos presentados durante la tramitación de este recurso de amparo, se hace imprescindible precisar cuáles son las actuaciones del poder público a las que se imputa la vulneración alegada y, correlativamente, determinar qué perspectiva de análisis debe adoptar el tribunal para responder a las cuestiones formuladas en la demanda y, en caso de apreciarse la vulneración invocada, para restablecer al recurrente en su derecho.</w:t>
      </w:r>
    </w:p>
    <w:p w:rsidR="005728DD" w:rsidRDefault="005728DD" w:rsidP="005728DD">
      <w:pPr>
        <w:pStyle w:val="TextoNormal"/>
      </w:pPr>
    </w:p>
    <w:p w:rsidR="005728DD" w:rsidRDefault="005728DD" w:rsidP="005728DD">
      <w:pPr>
        <w:pStyle w:val="TextoNormal"/>
      </w:pPr>
      <w:r>
        <w:t>Importa recordar ante todo que, de acuerdo a una doctrina constitucional reiterada, “cuando se impugna en amparo constitucional una resolución judicial confirmatoria de otras, que han sido lógica y cronológicamente presupuesto de aquella, han de considerarse también recurridas, aunque no lo hayan sido expresamente, las precedentes decisiones confirmadas” (por todas, SSTC 95/2018, de 17 de septiembre, FJ 1, y 178/2020, de 14 de diciembre, FJ 1). Conforme a este criterio general, habría que entender dirigido este recurso de amparo no solo contra las resoluciones judiciales desestimatorias de la pretensión del recurrente sino también contra las resoluciones sancionadoras que aquellas venían a confirmar.</w:t>
      </w:r>
    </w:p>
    <w:p w:rsidR="005728DD" w:rsidRDefault="005728DD" w:rsidP="005728DD">
      <w:pPr>
        <w:pStyle w:val="TextoNormal"/>
      </w:pPr>
    </w:p>
    <w:p w:rsidR="005728DD" w:rsidRDefault="005728DD" w:rsidP="005728DD">
      <w:pPr>
        <w:pStyle w:val="TextoNormal"/>
      </w:pPr>
      <w:r>
        <w:t xml:space="preserve">Ahora bien, el suplico de este recurso de amparo, como petición expresa del recurrente, solicita que el tribunal ordene “retrotraer las actuaciones al momento anterior a aquel en que fue dictada la sentencia por la Sala de Justicia del Tribunal Central Militar de fecha 9 de Mayo de 2018, para que por dicha Sala se dicte nueva sentencia respetuosa con los derechos fundamentales del recurrente”. Esta pretensión es incompatible con que el tribunal proyecte </w:t>
      </w:r>
      <w:r>
        <w:lastRenderedPageBreak/>
        <w:t>el examen que se le demanda sobre las resoluciones sancionadoras, debiendo, dado que “no le corresponde reconstruir de oficio las demandas” (STC 181/2020, de 14 de diciembre, FJ 3), limitarse a verificar si las resoluciones judiciales impugnadas han respetado el derecho fundamental invocado y, en caso de apreciar infracción del mismo, retrotraer las actuaciones al momento anterior a aquel en que se dictó la sentencia de instancia.</w:t>
      </w:r>
    </w:p>
    <w:p w:rsidR="005728DD" w:rsidRDefault="005728DD" w:rsidP="005728DD">
      <w:pPr>
        <w:pStyle w:val="TextoNormal"/>
      </w:pPr>
    </w:p>
    <w:p w:rsidR="005728DD" w:rsidRDefault="005728DD" w:rsidP="005728DD">
      <w:pPr>
        <w:pStyle w:val="TextoNormal"/>
      </w:pPr>
      <w:r w:rsidRPr="005728DD">
        <w:rPr>
          <w:rStyle w:val="NumeroAFNegritaCaracter"/>
        </w:rPr>
        <w:t>4</w:t>
      </w:r>
      <w:r>
        <w:t>. La doctrina constitucional sobre el contenido y alcance de la garantía de no autoincriminación.</w:t>
      </w:r>
    </w:p>
    <w:p w:rsidR="005728DD" w:rsidRDefault="005728DD" w:rsidP="005728DD">
      <w:pPr>
        <w:pStyle w:val="TextoNormal"/>
      </w:pPr>
    </w:p>
    <w:p w:rsidR="005728DD" w:rsidRDefault="005728DD" w:rsidP="005728DD">
      <w:pPr>
        <w:pStyle w:val="TextoNormal"/>
      </w:pPr>
      <w:r>
        <w:t>a) Este tribunal cuando ha examinado la garantía de no autoincriminación la ha contemplado como una especie de los derechos a no declarar contra sí mismo y a no confesarse culpable, que “son garantías o derechos instrumentales del genérico derecho de defensa, al que prestan cobertura en su manifestación pasiva, esto es, la que se ejerce precisamente con la inactividad del sujeto sobre el que recae o puede recaer una imputación”, (entre otras, SSTC 197/1995, de 21 de diciembre, FJ 6; 161/1997, de 2 de octubre, FJ 5; 18/2005, de 1 de febrero, FJ 2; 142/2009, de 15 de junio, FJ 3, y con términos análogos en la STC 54/2015, de 16 de marzo, FJ 7). Estos derechos, según esas mismas sentencias, “entroncan también con una de las manifestaciones del derecho a la presunción de inocencia, en virtud de la cual la carga de la prueba en el proceso penal corresponde a la acusación, sin que pueda hacerse recaer en el acusado la obligación de aportar elementos de prueba que supongan una autoincriminación”.</w:t>
      </w:r>
    </w:p>
    <w:p w:rsidR="005728DD" w:rsidRDefault="005728DD" w:rsidP="005728DD">
      <w:pPr>
        <w:pStyle w:val="TextoNormal"/>
      </w:pPr>
    </w:p>
    <w:p w:rsidR="005728DD" w:rsidRDefault="005728DD" w:rsidP="005728DD">
      <w:pPr>
        <w:pStyle w:val="TextoNormal"/>
      </w:pPr>
      <w:r>
        <w:t xml:space="preserve">Aun en cuanto al fundamento de esta garantía, este tribunal destaca (SSTC 142/2009, FJ 3; 18/2015, FJ 2, y 54/2015, FJ 7) que, según el Tribunal Europeo de Derechos Humanos, “el derecho a guardar silencio y el privilegio contra la autoincriminación son normas internacionales generalmente reconocidas que descansan en el núcleo de la noción de proceso justo garantizada en el art. 6.1 del Convenio. El derecho a no autoincriminarse, en particular, presupone que las autoridades logren probar su caso sin recurrir a pruebas obtenidas mediante métodos coercitivos o de presión en contra de la voluntad de la ‘persona acusada’” (STEDH de 3 de mayo de 2001, caso </w:t>
      </w:r>
      <w:r w:rsidRPr="005728DD">
        <w:rPr>
          <w:i/>
        </w:rPr>
        <w:t>J.B. c. Suiza</w:t>
      </w:r>
      <w:r>
        <w:t xml:space="preserve">, § 64; en el mismo sentido, SSTEDH de 8 de febrero de 1996, caso </w:t>
      </w:r>
      <w:r w:rsidRPr="005728DD">
        <w:rPr>
          <w:i/>
        </w:rPr>
        <w:t>John Murray c. Reino Unido</w:t>
      </w:r>
      <w:r>
        <w:t xml:space="preserve">, § 45; de 17 de diciembre de 1996, caso </w:t>
      </w:r>
      <w:r w:rsidRPr="005728DD">
        <w:rPr>
          <w:i/>
        </w:rPr>
        <w:t>Saunders c. Reino Unido</w:t>
      </w:r>
      <w:r>
        <w:t xml:space="preserve">, § 68; de 21 de diciembre de 2000, caso </w:t>
      </w:r>
      <w:r w:rsidRPr="005728DD">
        <w:rPr>
          <w:i/>
        </w:rPr>
        <w:t>Heaney y McGuinness c. Irlanda</w:t>
      </w:r>
      <w:r>
        <w:t xml:space="preserve">, § 40; de 8 de abril de 2004, caso </w:t>
      </w:r>
      <w:r w:rsidRPr="005728DD">
        <w:rPr>
          <w:i/>
        </w:rPr>
        <w:t>Weh c. Austria</w:t>
      </w:r>
      <w:r>
        <w:t xml:space="preserve">, § 39, y de 4 de octubre de 2005, caso </w:t>
      </w:r>
      <w:r w:rsidRPr="005728DD">
        <w:rPr>
          <w:i/>
        </w:rPr>
        <w:t>Shannon c. Reino Unido</w:t>
      </w:r>
      <w:r>
        <w:t>, § 32).</w:t>
      </w:r>
    </w:p>
    <w:p w:rsidR="005728DD" w:rsidRDefault="005728DD" w:rsidP="005728DD">
      <w:pPr>
        <w:pStyle w:val="TextoNormal"/>
      </w:pPr>
    </w:p>
    <w:p w:rsidR="005728DD" w:rsidRDefault="005728DD" w:rsidP="005728DD">
      <w:pPr>
        <w:pStyle w:val="TextoNormal"/>
      </w:pPr>
      <w:r>
        <w:t>b) El contenido de la garantía de no autoincriminación se desarrolló por el tribunal al principio mediante la consideración de supuestos ligados a condenas penales y, como se reseñará en el siguiente apartado d), se ha continuado con ocasión de resolver recursos de amparo en que se impugnaban sanciones administrativas.</w:t>
      </w:r>
    </w:p>
    <w:p w:rsidR="005728DD" w:rsidRDefault="005728DD" w:rsidP="005728DD">
      <w:pPr>
        <w:pStyle w:val="TextoNormal"/>
      </w:pPr>
    </w:p>
    <w:p w:rsidR="005728DD" w:rsidRDefault="005728DD" w:rsidP="005728DD">
      <w:pPr>
        <w:pStyle w:val="TextoNormal"/>
      </w:pPr>
      <w:r>
        <w:t xml:space="preserve">Respecto del delito de desobediencia por negarse un conductor a someterse a pruebas de detección de alcohol y otras sustancias, hizo una primera delimitación negativa de este derecho, excluyendo de su ámbito de protección las situaciones en que “no se obliga al detectado a emitir una declaración que exteriorice un contenido, admitiendo su culpabilidad, sino a tolerar que se le haga objeto de una especial modalidad de pericia” (entre otras muchas, STC 103/1985, de 4 de octubre, FJ 3). Distinguió de este modo entre la aportación coactiva de información incriminatoria, que resulta amparada por esta garantía, y la obligación de </w:t>
      </w:r>
      <w:r>
        <w:lastRenderedPageBreak/>
        <w:t>soportar diligencias de prueba, escenario que no cabe catalogar como una verdadera declaración y al que no se extiende la protección dispensada por este derecho.</w:t>
      </w:r>
    </w:p>
    <w:p w:rsidR="005728DD" w:rsidRDefault="005728DD" w:rsidP="005728DD">
      <w:pPr>
        <w:pStyle w:val="TextoNormal"/>
      </w:pPr>
    </w:p>
    <w:p w:rsidR="005728DD" w:rsidRDefault="005728DD" w:rsidP="005728DD">
      <w:pPr>
        <w:pStyle w:val="TextoNormal"/>
      </w:pPr>
      <w:r>
        <w:t>Atendiendo al mismo supuesto de condena penal por rehusar el conductor las pruebas de detección exigidas por la ley, la STC 161/1997, FJ 6, precisa adicionalmente que “[l]a [perspectiva] de los derechos a la no declaración y a la no confesión es […] más restringida, pues puede considerarse que comprende únicamente la interdicción de la compulsión del testimonio contra uno mismo. Mayor amplitud tiene la prohibición de compulsión a la aportación de elementos de prueba que tengan o puedan tener en el futuro valor incriminatorio contra el así compelido, derivada del derecho de defensa y del derecho a la presunción de inocencia […]”. Y a continuación, dentro del mismo fundamento jurídico 6, reitera la doctrina constitucional ya reseñada, según la cual “tal garantía [de no autoincriminación] no alcanza sin embargo a integrar en el derecho a la presunción de inocencia la facultad de sustraerse a las diligencias de prevención, de indagación o de prueba que proponga la acusación o que puedan disponer las autoridades judiciales o administrativas”. Y añade, ya en el fundamento jurídico 7, que “la comprobación de la conducción bajo la influencia del alcohol o de drogas tóxicas, estupefacientes o sustancias psicotrópicas, y, entre ellas, las de espiración de aire a través de un alcoholímetro, no constituyen en rigor una declaración o testimonio, por lo que no pueden suponer vulneración alguna de los derechos a no declarar, a no declarar contra uno mismo y a no confesarse culpable”.</w:t>
      </w:r>
    </w:p>
    <w:p w:rsidR="005728DD" w:rsidRDefault="005728DD" w:rsidP="005728DD">
      <w:pPr>
        <w:pStyle w:val="TextoNormal"/>
      </w:pPr>
    </w:p>
    <w:p w:rsidR="005728DD" w:rsidRDefault="005728DD" w:rsidP="005728DD">
      <w:pPr>
        <w:pStyle w:val="TextoNormal"/>
      </w:pPr>
      <w:r>
        <w:t xml:space="preserve">Aun en el ámbito de las condenas penales, esta vez por delito fiscal, la citada STC 18/2005, FFJJ 3 y 4, define (con apoyo en las SSTEDH en los casos </w:t>
      </w:r>
      <w:r w:rsidRPr="005728DD">
        <w:rPr>
          <w:i/>
        </w:rPr>
        <w:t>Saunders c. Reino Unido</w:t>
      </w:r>
      <w:r>
        <w:t xml:space="preserve"> y </w:t>
      </w:r>
      <w:r w:rsidRPr="005728DD">
        <w:rPr>
          <w:i/>
        </w:rPr>
        <w:t>J.B. c. Suiza</w:t>
      </w:r>
      <w:r>
        <w:t>) el requisito subjetivo de este derecho. Afirma que la garantía de no autoincriminación solo despliega su protección cuando la compulsión a aportar elementos incriminatorios se proyecta sobre la misma persona del imputado o de quien pueda llegar a serlo en el futuro. La sentencia desestima la demanda de amparo porque “no apreciándose la existencia del requisito subjetivo de que la coacción haya sido ejercida por el poder público sobre la persona que facilitó la información incriminatoria y que finalmente fue la destinataria de las medidas punitivas, debe desestimarse el recurso de amparo en este punto, sin que sea preciso pronunciarse sobre los requisitos objetivos del derecho a la no autoincriminación”.</w:t>
      </w:r>
    </w:p>
    <w:p w:rsidR="005728DD" w:rsidRDefault="005728DD" w:rsidP="005728DD">
      <w:pPr>
        <w:pStyle w:val="TextoNormal"/>
      </w:pPr>
    </w:p>
    <w:p w:rsidR="005728DD" w:rsidRDefault="005728DD" w:rsidP="005728DD">
      <w:pPr>
        <w:pStyle w:val="TextoNormal"/>
      </w:pPr>
      <w:r>
        <w:t>c) El traslado a la actividad administrativa sancionadora de las garantías procedimentales del art. 24.2 CE, reflejadas en él con relación directa al proceso penal, viene siendo admitido desde la STC 19/1981, de 8 de junio, FJ 2, con la condición de que sea necesario para preservar los valores ínsitos en ese precepto y que sea compatible con la naturaleza de la citada actuación administrativa. Más en concreto, en cuanto al derecho a no declarar contra sí mismo como garantía instrumental del derecho de defensa, del que es una manifestación específica el derecho a la no autoincriminación, la STC 197/1985, de 21 de diciembre, FJ 7, ha establecido que “rige y ha de ser respetado, en principio, en la imposición de cualesquiera sanciones administrativas, sin perjuicio de las modulaciones que pudiera experimentar en razón de las diferencias existentes entre el orden penal y el Derecho administrativo sancionador, pues los valores esenciales que se encuentran en la base del art. 24.2 CE no quedarían salvaguardados si se admitiera que la administración pudiera compeler u obligar al administrado a confesar la comisión o autoría de los hechos antijurídicos que se le imputan o pudieran imputar o a declarar en tal sentido”.</w:t>
      </w:r>
    </w:p>
    <w:p w:rsidR="005728DD" w:rsidRDefault="005728DD" w:rsidP="005728DD">
      <w:pPr>
        <w:pStyle w:val="TextoNormal"/>
      </w:pPr>
    </w:p>
    <w:p w:rsidR="005728DD" w:rsidRDefault="005728DD" w:rsidP="005728DD">
      <w:pPr>
        <w:pStyle w:val="TextoNormal"/>
      </w:pPr>
      <w:r>
        <w:lastRenderedPageBreak/>
        <w:t>Las SSTC 74/2004, de 22 de abril, FJ 2, y 272/2006, de 25 de septiembre, FJ 3, que tienen por objeto sendas sanciones disciplinarias impuestas a guardias civiles, han reiterado que las garantías instrumentales del derecho de defensa son extensibles a este tipo de procedimientos sancionadores de naturaleza militar. Las SSTC 142/2009, FJ 3 (sanción disciplinaria a dos policías municipales), y 54/2015, FJ 7 (sanciones tributarias), que presentan una relación más directa aún con este proceso porque en ellas el tribunal resolvió alegaciones específicas sobre la garantía de no autoincriminación, han seguido este mismo criterio.</w:t>
      </w:r>
    </w:p>
    <w:p w:rsidR="005728DD" w:rsidRDefault="005728DD" w:rsidP="005728DD">
      <w:pPr>
        <w:pStyle w:val="TextoNormal"/>
      </w:pPr>
    </w:p>
    <w:p w:rsidR="005728DD" w:rsidRDefault="005728DD" w:rsidP="005728DD">
      <w:pPr>
        <w:pStyle w:val="TextoNormal"/>
      </w:pPr>
      <w:r>
        <w:t>En todas las sentencias mencionadas las garantías instrumentales del derecho de defensa, y entre ellas el específico derecho a no autoincriminarse, se han aplicado al procedimiento sancionador sin ninguna modulación, salvo en la STC 142/2009, FJ 6, en la que el tribunal, con ocasión de negar que el derecho a no declarar contra sí mismo comprendiera en este caso el de faltar conscientemente a la verdad, atendió a la especial posición jurídica de los policías municipales, de la que deriva “una mayor exigibilidad de rigor en las manifestaciones vertidas en el ejercicio de sus cargos, incluso cuando —como sucede en una información reservada— se investigan hechos de los que pueden derivarse responsabilidades administrativas”.</w:t>
      </w:r>
    </w:p>
    <w:p w:rsidR="005728DD" w:rsidRDefault="005728DD" w:rsidP="005728DD">
      <w:pPr>
        <w:pStyle w:val="TextoNormal"/>
      </w:pPr>
    </w:p>
    <w:p w:rsidR="005728DD" w:rsidRDefault="005728DD" w:rsidP="005728DD">
      <w:pPr>
        <w:pStyle w:val="TextoNormal"/>
      </w:pPr>
      <w:r>
        <w:t>d) Este tribunal ha avanzado en la delimitación del contenido de la garantía de no autoincriminación, con sanciones administrativas como trasfondo, en las citadas SSTC 142/2009 y 54/2015.</w:t>
      </w:r>
    </w:p>
    <w:p w:rsidR="005728DD" w:rsidRDefault="005728DD" w:rsidP="005728DD">
      <w:pPr>
        <w:pStyle w:val="TextoNormal"/>
      </w:pPr>
    </w:p>
    <w:p w:rsidR="005728DD" w:rsidRDefault="005728DD" w:rsidP="005728DD">
      <w:pPr>
        <w:pStyle w:val="TextoNormal"/>
      </w:pPr>
      <w:r>
        <w:t>En la primera, dos policías locales fueron sancionados por faltar a la verdad en el seno de una información reservada, incoada a raíz de la denuncia de un ciudadano con el fin de esclarecer los hechos denunciados y determinar las posibles responsabilidades. Tras negar los hechos que denunciaba el ciudadano, añadieron que iban a aportar los recursos interpuestos por el ciudadano, para que se viera que en los mismos se hace un relato de hechos distinto al de la denuncia, lo que se demostró falso.</w:t>
      </w:r>
    </w:p>
    <w:p w:rsidR="005728DD" w:rsidRDefault="005728DD" w:rsidP="005728DD">
      <w:pPr>
        <w:pStyle w:val="TextoNormal"/>
      </w:pPr>
    </w:p>
    <w:p w:rsidR="005728DD" w:rsidRDefault="005728DD" w:rsidP="005728DD">
      <w:pPr>
        <w:pStyle w:val="TextoNormal"/>
      </w:pPr>
      <w:r>
        <w:t>Los recurrentes alegaron que el derecho a no declarar contra sí mismos comprendía el “derecho a mentir”, con el resultado desestimatorio indicado en el precedente apartado c). Invocaron además la más específica garantía de no autoincriminación, respecto de la que la STC 142/2009, FJ 5, estableció que “del examen de las actuaciones […] se desprende que en ningún momento del procedimiento los recurrentes fueron forzados a realizar una declaración autoincriminatoria, lo que resultaría constitucionalmente inadmisible no solo en el procedimiento administrativo sancionador propiamente dicho, sino también en la práctica de una información reservada —pese a que esta no tenga carácter sancionador; por todas, STC 276/2006, de 25 de septiembre, FJ 6— cuyo objeto era la determinación de las posibles responsabilidades administrativas de los demandantes de amparo”. De este modo, el tribunal destacó (i) que la garantía de no autoincriminación tutela frente a la aportación de información autoinculpatoria que sea fruto de coerción o compulsión, nunca cuando se suministra voluntariamente; y (ii) que dicha garantía no solo protege contra la aportación coactiva de datos autoincriminatorios en el seno del proceso penal o sancionador, sino también frente a la utilización en tales procedimientos como prueba de cargo del material autoincriminatorio coactivamente aportado a los poderes públicos en cualesquiera otros procedimientos, aunque sean de otra naturaleza (la información reservada tiene fines de indagación e investigación de hechos y no de sanción o castigo).</w:t>
      </w:r>
    </w:p>
    <w:p w:rsidR="005728DD" w:rsidRDefault="005728DD" w:rsidP="005728DD">
      <w:pPr>
        <w:pStyle w:val="TextoNormal"/>
      </w:pPr>
    </w:p>
    <w:p w:rsidR="005728DD" w:rsidRDefault="005728DD" w:rsidP="005728DD">
      <w:pPr>
        <w:pStyle w:val="TextoNormal"/>
      </w:pPr>
      <w:r>
        <w:lastRenderedPageBreak/>
        <w:t>En atención a esta STC 142/2009, la Sala de lo Militar del Tribunal Supremo ha adoptado una jurisprudencia constante (STS 54/2016, de 10 de mayo; 61/2016, de 24 de mayo; 147/2016, de 29 de noviembre; 17/2017, de 8 de febrero, y 87/2019, de 17 de julio) en la que admite que los derechos instrumentales del derecho de defensa, y como especie de este género la garantía de no autoincriminación, rigen no solo en los procedimientos sancionadores, sino “también en los procedimientos predisciplinarios seguidos para el esclarecimiento de los hechos (STC 142/2009, de 15 de junio, y de esta Sala 22 de diciembre de 2010, 11 de febrero de 2011, y 19 de octubre de 2016, entre otras); y asimismo con carácter de defensa preventiva en los casos en que el deber de informar sobre asuntos del servicio comporte autoincriminación para el obligado a hacerlo”.</w:t>
      </w:r>
    </w:p>
    <w:p w:rsidR="005728DD" w:rsidRDefault="005728DD" w:rsidP="005728DD">
      <w:pPr>
        <w:pStyle w:val="TextoNormal"/>
      </w:pPr>
    </w:p>
    <w:p w:rsidR="005728DD" w:rsidRDefault="005728DD" w:rsidP="005728DD">
      <w:pPr>
        <w:pStyle w:val="TextoNormal"/>
      </w:pPr>
      <w:r>
        <w:t xml:space="preserve">e) Por su parte, la STC 54/2015 examina la alegación del recurrente según la que atribuir efectos inculpatorios en el procedimiento sancionador tributario a la conformidad afirmada por el contribuyente en el previo procedimiento de gestión tributaria había desconocido la garantía de no autoincriminación. El tribunal acepta este enfoque como análisis adecuado (sin perjuicio de que finalmente la estimación parcial estriba en que la conformidad no alcanzaba al ejercicio tributario relevante) y en cuanto a esa dimensión constitucional afirma que “en relación a la garantía de no autoincriminación en el ámbito tributario, el Tribunal Europeo de Derechos Humanos se ha pronunciado, entre otras, en las sentencias de 17 de diciembre de 1996, caso </w:t>
      </w:r>
      <w:r w:rsidRPr="005728DD">
        <w:rPr>
          <w:i/>
        </w:rPr>
        <w:t>Saunders c. Reino Unido</w:t>
      </w:r>
      <w:r>
        <w:t xml:space="preserve">, y de 19 de septiembre de 2000, caso </w:t>
      </w:r>
      <w:r w:rsidRPr="005728DD">
        <w:rPr>
          <w:i/>
        </w:rPr>
        <w:t>I.J.L. y otros c. Reino Unido</w:t>
      </w:r>
      <w:r>
        <w:t>, donde advierte que, si de acuerdo con la legislación aplicable la declaración ha sido obtenida bajo medios coactivos, esta información no puede ser alegada como prueba en el posterior juicio de la persona interesada, aunque tales declaraciones se hayan realizado antes de ser acusado”.</w:t>
      </w:r>
    </w:p>
    <w:p w:rsidR="005728DD" w:rsidRDefault="005728DD" w:rsidP="005728DD">
      <w:pPr>
        <w:pStyle w:val="TextoNormal"/>
      </w:pPr>
    </w:p>
    <w:p w:rsidR="005728DD" w:rsidRDefault="005728DD" w:rsidP="005728DD">
      <w:pPr>
        <w:pStyle w:val="TextoNormal"/>
      </w:pPr>
      <w:r>
        <w:t>La STC 54/2015, por lo tanto, ha confirmado, con apoyo expreso en la citada jurisprudencia del Tribunal Europeo de Derechos Humanos, este último criterio doctrinal avanzado en la STC 142/2009, relativo a que, en la perspectiva de la garantía de no autoincriminación, es en principio indiferente que la declaración coactiva se produzca en un proceso o procedimiento previo al propiamente penal o sancionador, pues lo relevante es que produzca efectos incriminatorios en este último.</w:t>
      </w:r>
    </w:p>
    <w:p w:rsidR="005728DD" w:rsidRDefault="005728DD" w:rsidP="005728DD">
      <w:pPr>
        <w:pStyle w:val="TextoNormal"/>
      </w:pPr>
    </w:p>
    <w:p w:rsidR="005728DD" w:rsidRDefault="005728DD" w:rsidP="005728DD">
      <w:pPr>
        <w:pStyle w:val="TextoNormal"/>
      </w:pPr>
      <w:r w:rsidRPr="005728DD">
        <w:rPr>
          <w:rStyle w:val="NumeroAFNegritaCaracter"/>
        </w:rPr>
        <w:t>5</w:t>
      </w:r>
      <w:r>
        <w:t>. La jurisprudencia del Tribunal Europeo de Derechos Humanos sobre la garantía de no autoincriminación.</w:t>
      </w:r>
    </w:p>
    <w:p w:rsidR="005728DD" w:rsidRDefault="005728DD" w:rsidP="005728DD">
      <w:pPr>
        <w:pStyle w:val="TextoNormal"/>
      </w:pPr>
    </w:p>
    <w:p w:rsidR="005728DD" w:rsidRDefault="005728DD" w:rsidP="005728DD">
      <w:pPr>
        <w:pStyle w:val="TextoNormal"/>
      </w:pPr>
      <w:r>
        <w:t>En atención a su relevante valor para interpretar el contenido y alcance de los derechos fundamentales, que se deriva del art. 10.2 CE, la jurisprudencia del Tribunal Europeo de Derechos Humanos referida en el fundamento jurídico anterior ha sido tomada en cuenta por este tribunal para establecer, en relación a la garantía de no autoincriminación, que su fundamento se ubica en el mismo núcleo del proceso justo por afectar a los derechos de defensa y a la presunción de inocencia; y que su elemento subjetivo exige que quien realice la declaración coactiva sea el imputado o quien pueda serlo en el futuro. La resolución de las cuestiones planteadas en este proceso requiere además que este tribunal considere dicha jurisprudencia europea (a) sobre el elemento objetivo de esta garantía y (b) sobre en qué medida es indiferente que la declaración coactiva se produzca en una vía procesal o procedimental distinta de la que presenta naturaleza penal o sancionadora.</w:t>
      </w:r>
    </w:p>
    <w:p w:rsidR="005728DD" w:rsidRDefault="005728DD" w:rsidP="005728DD">
      <w:pPr>
        <w:pStyle w:val="TextoNormal"/>
      </w:pPr>
    </w:p>
    <w:p w:rsidR="005728DD" w:rsidRDefault="005728DD" w:rsidP="005728DD">
      <w:pPr>
        <w:pStyle w:val="TextoNormal"/>
      </w:pPr>
      <w:r>
        <w:lastRenderedPageBreak/>
        <w:t xml:space="preserve">a) En punto a su contenido y alcance, el Tribunal Europeo de Derechos Humanos afirma de modo constante que la garantía de no autoincriminación no protege frente a las aportaciones autoinculpatorias </w:t>
      </w:r>
      <w:r w:rsidRPr="005728DD">
        <w:rPr>
          <w:i/>
        </w:rPr>
        <w:t>per se</w:t>
      </w:r>
      <w:r>
        <w:t xml:space="preserve"> sino contra la obtención de estas pruebas con métodos coercitivos o de presión. Es la existencia de compulsión lo que hace surgir la preocupación acerca de si la garantía de no autoincriminación ha sido convenientemente respetada. Por esta razón, el tribunal debe examinar en primer término la naturaleza y el grado de coerción usada para obtener la prueba (</w:t>
      </w:r>
      <w:r w:rsidRPr="005728DD">
        <w:rPr>
          <w:i/>
        </w:rPr>
        <w:t>inter alia</w:t>
      </w:r>
      <w:r>
        <w:t xml:space="preserve">, SSTEDH de 21 de diciembre de 2000, caso </w:t>
      </w:r>
      <w:r w:rsidRPr="005728DD">
        <w:rPr>
          <w:i/>
        </w:rPr>
        <w:t>Heaney y McGuinness c. Irlanda</w:t>
      </w:r>
      <w:r>
        <w:t xml:space="preserve">, § 54 a 55; de 29 de junio de 2007, caso </w:t>
      </w:r>
      <w:r w:rsidRPr="005728DD">
        <w:rPr>
          <w:i/>
        </w:rPr>
        <w:t>O’Halloran y Francis c. Reino Unido</w:t>
      </w:r>
      <w:r>
        <w:t xml:space="preserve">, § 55; de 10 de marzo de 2009, </w:t>
      </w:r>
      <w:r w:rsidRPr="005728DD">
        <w:rPr>
          <w:i/>
        </w:rPr>
        <w:t>Bykov c. Rusia</w:t>
      </w:r>
      <w:r>
        <w:t xml:space="preserve">, § 92, y de 13 de septiembre de 2016, caso </w:t>
      </w:r>
      <w:r w:rsidRPr="005728DD">
        <w:rPr>
          <w:i/>
        </w:rPr>
        <w:t>Ibrahim y otros c. Reino Unido</w:t>
      </w:r>
      <w:r>
        <w:t xml:space="preserve">, § 267). El Tribunal Europeo de Derechos Humanos ha identificado en su jurisprudencia al menos tres tipos de situaciones en que cabe pensar que hay una compulsión lesiva del art. 6 CEDH. Interesa ahora la primera de ellas, que es cuando quien es sospechoso es obligado a declarar bajo amenaza de sanciones y o bien declara para evitarlas (caso </w:t>
      </w:r>
      <w:r w:rsidRPr="005728DD">
        <w:rPr>
          <w:i/>
        </w:rPr>
        <w:t>Saunders c. Reino Unido</w:t>
      </w:r>
      <w:r>
        <w:t xml:space="preserve">) o bien es sancionado por negarse a declarar (caso </w:t>
      </w:r>
      <w:r w:rsidRPr="005728DD">
        <w:rPr>
          <w:i/>
        </w:rPr>
        <w:t>J.B. c. Suiza</w:t>
      </w:r>
      <w:r>
        <w:t xml:space="preserve">, y caso </w:t>
      </w:r>
      <w:r w:rsidRPr="005728DD">
        <w:rPr>
          <w:i/>
        </w:rPr>
        <w:t>Weh c. Austria</w:t>
      </w:r>
      <w:r>
        <w:t>).</w:t>
      </w:r>
    </w:p>
    <w:p w:rsidR="005728DD" w:rsidRDefault="005728DD" w:rsidP="005728DD">
      <w:pPr>
        <w:pStyle w:val="TextoNormal"/>
      </w:pPr>
    </w:p>
    <w:p w:rsidR="005728DD" w:rsidRDefault="005728DD" w:rsidP="005728DD">
      <w:pPr>
        <w:pStyle w:val="TextoNormal"/>
      </w:pPr>
      <w:r>
        <w:t>Apunta también el Tribunal Europeo de Derechos Humanos (</w:t>
      </w:r>
      <w:r w:rsidRPr="005728DD">
        <w:rPr>
          <w:i/>
        </w:rPr>
        <w:t>Saunders c. Reino Unido, § 71; Bykov c. Rusia</w:t>
      </w:r>
      <w:r>
        <w:t xml:space="preserve">, § 104, y </w:t>
      </w:r>
      <w:r w:rsidRPr="005728DD">
        <w:rPr>
          <w:i/>
        </w:rPr>
        <w:t>Ibrahim y otros c. Reino Unido</w:t>
      </w:r>
      <w:r>
        <w:t>, § 269) que el derecho a no autoincriminarse no es absoluto. El grado de compulsión aplicado será incompatible con el art. 6 CEDH si destruye la misma esencia de dicha garantía. Como no toda coacción producirá este efecto, lo que es crucial en este contexto es el uso que se dé a la prueba obtenida coactivamente en el curso del proceso de naturaleza penal (en el sentido autónomo que este concepto tiene en el contexto del art. 6.1 CEDH).</w:t>
      </w:r>
    </w:p>
    <w:p w:rsidR="005728DD" w:rsidRDefault="005728DD" w:rsidP="005728DD">
      <w:pPr>
        <w:pStyle w:val="TextoNormal"/>
      </w:pPr>
    </w:p>
    <w:p w:rsidR="005728DD" w:rsidRDefault="005728DD" w:rsidP="005728DD">
      <w:pPr>
        <w:pStyle w:val="TextoNormal"/>
      </w:pPr>
      <w:r>
        <w:t xml:space="preserve">Resalta el Tribunal Europeo de Derechos Humanos, en fin, que la garantía de no autoincriminación no alcanza a proteger contra el uso en un procedimiento de naturaleza penal de cualquier material que, aun habiendo sido obtenido coactivamente del acusado o de quien pueda llegar a serlo, tenga una existencia independiente de su voluntad, como documentos recabados en virtud de autorización judicial, muestras de aliento, sangre u orina, y tejidos corporales destinados a pruebas de ADN (caso </w:t>
      </w:r>
      <w:r w:rsidRPr="005728DD">
        <w:rPr>
          <w:i/>
        </w:rPr>
        <w:t>Saunders c. Reino Unido</w:t>
      </w:r>
      <w:r>
        <w:t xml:space="preserve">, § 69, y caso </w:t>
      </w:r>
      <w:r w:rsidRPr="005728DD">
        <w:rPr>
          <w:i/>
        </w:rPr>
        <w:t>O’Halloran y Francis c. Reino Unido</w:t>
      </w:r>
      <w:r>
        <w:t>, § 47).</w:t>
      </w:r>
    </w:p>
    <w:p w:rsidR="005728DD" w:rsidRDefault="005728DD" w:rsidP="005728DD">
      <w:pPr>
        <w:pStyle w:val="TextoNormal"/>
      </w:pPr>
    </w:p>
    <w:p w:rsidR="005728DD" w:rsidRDefault="005728DD" w:rsidP="005728DD">
      <w:pPr>
        <w:pStyle w:val="TextoNormal"/>
      </w:pPr>
      <w:r>
        <w:t>En conclusión, los aspectos objetivos que según el Tribunal Europeo de Derechos Humanos hay que tener presentes al examinar la garantía de no autoincriminación son (i) la naturaleza y el grado de coacción con que el poder público recaba la información del acusado o de quien puede llegar a serlo; (ii) el uso de esa información en un procedimiento de naturaleza penal y la eficacia incriminatoria que en él haya tenido; y (iii) si el material incriminatorio tiene existencia independiente de la voluntad del acusado de quien se recaba.</w:t>
      </w:r>
    </w:p>
    <w:p w:rsidR="005728DD" w:rsidRDefault="005728DD" w:rsidP="005728DD">
      <w:pPr>
        <w:pStyle w:val="TextoNormal"/>
      </w:pPr>
    </w:p>
    <w:p w:rsidR="005728DD" w:rsidRDefault="005728DD" w:rsidP="005728DD">
      <w:pPr>
        <w:pStyle w:val="TextoNormal"/>
      </w:pPr>
      <w:r>
        <w:t>b) El Tribunal Europeo de Derechos Humanos ha declarado la vulneración de la garantía de no incriminación en dos tipos de asuntos que adquieren relevancia para resolver este proceso. De un lado, en aquellos casos en que la información obtenida coactivamente en un proceso de naturaleza meramente indagatoria es utilizada para fundar en el seno de un posterior proceso de naturaleza penal o sancionadora la incriminación de quien la aportó (</w:t>
      </w:r>
      <w:r w:rsidRPr="005728DD">
        <w:rPr>
          <w:i/>
        </w:rPr>
        <w:t>Saunders c. Reino Unido</w:t>
      </w:r>
      <w:r>
        <w:t xml:space="preserve">, § 74, y </w:t>
      </w:r>
      <w:r w:rsidRPr="005728DD">
        <w:rPr>
          <w:i/>
        </w:rPr>
        <w:t>I.J.L. y otros c. Reino Unido</w:t>
      </w:r>
      <w:r>
        <w:t xml:space="preserve">, § 82 y 83). De otro lado, en aquellas otras situaciones en que el poder público asocia formas de coacción (multas, privación de libertad, etc.) a quienes en un proceso de naturaleza no penal, como procedimientos de indagación en materia aduanera (STEDH de 25 de febrero de 1993, caso </w:t>
      </w:r>
      <w:r w:rsidRPr="005728DD">
        <w:rPr>
          <w:i/>
        </w:rPr>
        <w:t xml:space="preserve">Funke c. </w:t>
      </w:r>
      <w:r w:rsidRPr="005728DD">
        <w:rPr>
          <w:i/>
        </w:rPr>
        <w:lastRenderedPageBreak/>
        <w:t>Francia</w:t>
      </w:r>
      <w:r>
        <w:t xml:space="preserve">) o de gestión tributaria (caso </w:t>
      </w:r>
      <w:r w:rsidRPr="005728DD">
        <w:rPr>
          <w:i/>
        </w:rPr>
        <w:t>J.B. c. Suiza</w:t>
      </w:r>
      <w:r>
        <w:t xml:space="preserve">) o de investigación para localizar el producto de un delito (caso </w:t>
      </w:r>
      <w:r w:rsidRPr="005728DD">
        <w:rPr>
          <w:i/>
        </w:rPr>
        <w:t>Shannon c. Reino Unido</w:t>
      </w:r>
      <w:r>
        <w:t>), rehúsan aportar información que podría ser usada posteriormente contra ellos en un procedimiento de carácter penal.</w:t>
      </w:r>
    </w:p>
    <w:p w:rsidR="005728DD" w:rsidRDefault="005728DD" w:rsidP="005728DD">
      <w:pPr>
        <w:pStyle w:val="TextoNormal"/>
      </w:pPr>
    </w:p>
    <w:p w:rsidR="005728DD" w:rsidRDefault="005728DD" w:rsidP="005728DD">
      <w:pPr>
        <w:pStyle w:val="TextoNormal"/>
      </w:pPr>
      <w:r>
        <w:t xml:space="preserve">De este examen de la jurisprudencia del Tribunal de Estrasburgo se desprende que para que se aprecie la quiebra de la garantía de no autoincriminación no es imprescindible que la declaración coactiva se haya obtenido en el seno del proceso de naturaleza penal, siendo en principio admisible que la obtención de información mediante coacción se haya producido en un procedimiento previo en el que no se ejerce el </w:t>
      </w:r>
      <w:r w:rsidRPr="005728DD">
        <w:rPr>
          <w:i/>
        </w:rPr>
        <w:t>ius puniendi</w:t>
      </w:r>
      <w:r>
        <w:t xml:space="preserve"> estatal y solo sea posteriormente cuando se incorpore con efectos incriminatorios a un proceso penal. Lo relevante en la garantía de no autoincriminación sería el carácter coactivo de la aportación de la información, independientemente del contexto procedimental en que se obtuviera, y el efecto incriminatorio que produjese o pudiese producir en un proceso de naturaleza penal o sancionadora.</w:t>
      </w:r>
    </w:p>
    <w:p w:rsidR="005728DD" w:rsidRDefault="005728DD" w:rsidP="005728DD">
      <w:pPr>
        <w:pStyle w:val="TextoNormal"/>
      </w:pPr>
    </w:p>
    <w:p w:rsidR="005728DD" w:rsidRDefault="005728DD" w:rsidP="005728DD">
      <w:pPr>
        <w:pStyle w:val="TextoNormal"/>
      </w:pPr>
      <w:r w:rsidRPr="005728DD">
        <w:rPr>
          <w:rStyle w:val="NumeroAFNegritaCaracter"/>
        </w:rPr>
        <w:t>6</w:t>
      </w:r>
      <w:r>
        <w:t>. Examen de la concurrencia en el caso de los elementos conformadores del contenido de la garantía de no autoincriminación.</w:t>
      </w:r>
    </w:p>
    <w:p w:rsidR="005728DD" w:rsidRDefault="005728DD" w:rsidP="005728DD">
      <w:pPr>
        <w:pStyle w:val="TextoNormal"/>
      </w:pPr>
    </w:p>
    <w:p w:rsidR="005728DD" w:rsidRDefault="005728DD" w:rsidP="005728DD">
      <w:pPr>
        <w:pStyle w:val="TextoNormal"/>
      </w:pPr>
      <w:r>
        <w:t>Algunos de los elementos que, según la doctrina constitucional y la jurisprudencia del Tribunal Europeo de Derechos Humanos reseñadas en los fundamentos anteriores, conforman el contenido propio de la garantía de no autoincriminación concurren en el caso que pende de resolución ante este tribunal, lo que justifica que proceda analizar si dicha garantía aparece lesionada por las sentencias impugnadas.</w:t>
      </w:r>
    </w:p>
    <w:p w:rsidR="005728DD" w:rsidRDefault="005728DD" w:rsidP="005728DD">
      <w:pPr>
        <w:pStyle w:val="TextoNormal"/>
      </w:pPr>
    </w:p>
    <w:p w:rsidR="005728DD" w:rsidRDefault="005728DD" w:rsidP="005728DD">
      <w:pPr>
        <w:pStyle w:val="TextoNormal"/>
      </w:pPr>
      <w:r>
        <w:t>En primer lugar, resulta indiscutible la circunstancia fáctica de haber sido el propio recurrente quien aportó, dentro del proceso civil de rectificación, la información consistente en que fue precisamente él la fuente de los datos reflejados en la noticia que, publicada en la página web de la AUGC y referida en ciertos medios de comunicación, genera la grave desconsideración hacia el mando mencionado en ella. Se cumple, por tanto, el elemento subjetivo de la presente garantía según el que la información inculpatoria debe ser suministrada por la misma persona a la que incrimina y no por una persona física o jurídica que sea tercero a estos efectos.</w:t>
      </w:r>
    </w:p>
    <w:p w:rsidR="005728DD" w:rsidRDefault="005728DD" w:rsidP="005728DD">
      <w:pPr>
        <w:pStyle w:val="TextoNormal"/>
      </w:pPr>
    </w:p>
    <w:p w:rsidR="005728DD" w:rsidRDefault="005728DD" w:rsidP="005728DD">
      <w:pPr>
        <w:pStyle w:val="TextoNormal"/>
      </w:pPr>
      <w:r>
        <w:t>Cabe afirmar, además, que la comunicación de información del recurrente se trata de una verdadera declaración y en ningún caso de una diligencia meramente soportada por él y orientada a revelar determinados datos que tuvieran “existencia independiente de la voluntad” del guardia civil que los facilitó y que, en virtud de ellos, terminó siendo sancionado.</w:t>
      </w:r>
    </w:p>
    <w:p w:rsidR="005728DD" w:rsidRDefault="005728DD" w:rsidP="005728DD">
      <w:pPr>
        <w:pStyle w:val="TextoNormal"/>
      </w:pPr>
    </w:p>
    <w:p w:rsidR="005728DD" w:rsidRDefault="005728DD" w:rsidP="005728DD">
      <w:pPr>
        <w:pStyle w:val="TextoNormal"/>
      </w:pPr>
      <w:r>
        <w:t xml:space="preserve">También procede reconocer que la declaración no fue en absoluto voluntaria, sino que se realizó de un modo forzado, dado que el recurrente que la hizo estaba obligado en su condición de testigo a responder a las preguntas formuladas y a hacerlo de una forma exacta, todo ello bajo apercibimiento de las penas establecidas para el falso testimonio (458.1 CP). Se trata de un deber legal que surgió para el testigo cuando el juez civil ante el que se estaba sustanciando el proceso de rectificación consideró necesario para resolverlo, y por tanto para cumplir su función de impartir Justicia y dar satisfacción al derecho a la tutela judicial efectiva de las partes, practicar la prueba consistente en su declaración testifical. Frente a este deber legal ligado a la apreciación judicial de que su deposición como testigo es necesaria en función del pleito pendiente, precisamente por los bienes jurídicos a que hemos </w:t>
      </w:r>
      <w:r>
        <w:lastRenderedPageBreak/>
        <w:t>visto que sirve, no resulta eficaz en línea de principio que el llamado a declarar oponga su interés en no hacerlo por el valor autoincriminatorio que, en otro procedimiento y a otros efectos, conllevase su declaración. En definitiva, la declaración como testigo constituye una aportación coactiva de información, lo que además resulta avalado por la citada jurisprudencia del Tribunal Europeo de Derechos Humanos que enuncia entre las situaciones en que cabe pensar que hay una compulsión lesiva del art. 6 CEDH la obligación de declarar bajo amenaza de sanciones.</w:t>
      </w:r>
    </w:p>
    <w:p w:rsidR="005728DD" w:rsidRDefault="005728DD" w:rsidP="005728DD">
      <w:pPr>
        <w:pStyle w:val="TextoNormal"/>
      </w:pPr>
    </w:p>
    <w:p w:rsidR="005728DD" w:rsidRDefault="005728DD" w:rsidP="005728DD">
      <w:pPr>
        <w:pStyle w:val="TextoNormal"/>
      </w:pPr>
      <w:r>
        <w:t>Consta, por último, que la información aportada coactivamente por el testigo en el pleito civil desplegó posteriormente eficacia incriminatoria en el procedimiento disciplinario dentro del que se sancionó al recurrente. Su declaración coactiva en condición de testigo en el pleito civil se recogió en la grabación de la vista y fue el apoyo determinante para que la sentencia civil estableciese como un hecho que fue el guardia civil recurrente quien comunicó los datos fácticos expuestos en la noticia publicada en la página web de la AUGC. Posteriormente, el parte del mando, origen del procedimiento disciplinario y sustento principal de la resolución sancionadora, se fundó en dicha grabación, en la transcripción de las partes de ella que contenían la declaración del testigo y en la precisión de hechos que hizo la sentencia civil a partir de lo depuesto por el testigo. En conclusión, ni la grabación de la vista oral, ni su transcripción parcial, ni las declaraciones fácticas de la sentencia civil, ni el parte del mando presentan un valor inculpatorio que sea autónomo de las manifestaciones del testigo. Son estas las que, directamente o por su reflejo en aquellas, han terminado teniendo en el procedimiento disciplinario eficacia autoincriminatoria del guardia civil que las formuló.</w:t>
      </w:r>
    </w:p>
    <w:p w:rsidR="005728DD" w:rsidRDefault="005728DD" w:rsidP="005728DD">
      <w:pPr>
        <w:pStyle w:val="TextoNormal"/>
      </w:pPr>
    </w:p>
    <w:p w:rsidR="005728DD" w:rsidRDefault="005728DD" w:rsidP="005728DD">
      <w:pPr>
        <w:pStyle w:val="TextoNormal"/>
      </w:pPr>
      <w:r>
        <w:t>Las sentencias impugnadas no contienen ninguna motivación que rechace que estas circunstancias caracterizan este supuesto. Desestiman la alegación de que la sanción disciplinaria impuesta supone desconocer la garantía de no autoincriminación, pero lo hacen con apoyo en otros argumentos. En los próximos fundamentos jurídicos se examinará si los razonamientos de las sentencias impugnadas constituyen un análisis suficiente de las cuestiones constitucionales que plantea el presente caso en relación con la garantía de no autoincriminación.</w:t>
      </w:r>
    </w:p>
    <w:p w:rsidR="005728DD" w:rsidRDefault="005728DD" w:rsidP="005728DD">
      <w:pPr>
        <w:pStyle w:val="TextoNormal"/>
      </w:pPr>
    </w:p>
    <w:p w:rsidR="005728DD" w:rsidRDefault="005728DD" w:rsidP="005728DD">
      <w:pPr>
        <w:pStyle w:val="TextoNormal"/>
      </w:pPr>
      <w:r w:rsidRPr="005728DD">
        <w:rPr>
          <w:rStyle w:val="NumeroAFNegritaCaracter"/>
        </w:rPr>
        <w:t>7</w:t>
      </w:r>
      <w:r>
        <w:t>. Análisis de las razones desestimatorias de la sentencia del Tribunal Militar Central.</w:t>
      </w:r>
    </w:p>
    <w:p w:rsidR="005728DD" w:rsidRDefault="005728DD" w:rsidP="005728DD">
      <w:pPr>
        <w:pStyle w:val="TextoNormal"/>
      </w:pPr>
    </w:p>
    <w:p w:rsidR="005728DD" w:rsidRDefault="005728DD" w:rsidP="005728DD">
      <w:pPr>
        <w:pStyle w:val="TextoNormal"/>
      </w:pPr>
      <w:r>
        <w:t>El fallo desestimatorio de la sentencia de instancia —sentencia de la Sala de Justicia del Tribunal Militar Central de 9 de mayo de 2018— se funda en que “el hecho de haber sido llamado a deponer como testigo en un juicio verbal civil para el ejercicio del derecho de rectificación no impide ni obstaculiza el ejercicio de la competencia sancionadora en vía disciplinaria emprendida por el mando y examinada ahora en este recurso contencioso-disciplinario jurisdiccional. Dicho en otras palabras, no se le ha sancionado disciplinariamente por otras razones que aquellas que figuran en la resolución [sancionadora] atacada”.</w:t>
      </w:r>
    </w:p>
    <w:p w:rsidR="005728DD" w:rsidRDefault="005728DD" w:rsidP="005728DD">
      <w:pPr>
        <w:pStyle w:val="TextoNormal"/>
      </w:pPr>
    </w:p>
    <w:p w:rsidR="005728DD" w:rsidRDefault="005728DD" w:rsidP="005728DD">
      <w:pPr>
        <w:pStyle w:val="TextoNormal"/>
      </w:pPr>
      <w:r>
        <w:t xml:space="preserve">Esta línea argumental, a juicio del tribunal, no resulta </w:t>
      </w:r>
      <w:r w:rsidRPr="005728DD">
        <w:rPr>
          <w:i/>
        </w:rPr>
        <w:t>per se</w:t>
      </w:r>
      <w:r>
        <w:t xml:space="preserve"> lesiva del derecho invocado. En la perspectiva de la garantía constitucional de no autoincriminación como manifestación de los derechos a la defensa y a la presunción de inocencia, que un sujeto deponga como testigo (y por ello se vea sometido forzosamente a declarar sobre unos hechos y a hacerlo de un modo exacto) en un proceso civil, o en cualquier otro proceso o procedimiento de naturaleza no penal, no constituye necesariamente un obstáculo para que en un proceso o </w:t>
      </w:r>
      <w:r>
        <w:lastRenderedPageBreak/>
        <w:t>procedimiento posterior de naturaleza penal le sea impuesto un castigo por esos mismos hechos. Esta condena resultaría constitucionalmente admisible, en lo que hace a la garantía de no autoincriminación, si se fundase en elementos de prueba distintos y razonablemente autónomos de la aportación coactiva de información en que consistió su declaración como testigo. Sería, por el contrario, lesiva de la garantía de no autoincriminación aquella condena o sanción que se sustentase exclusivamente en la manifestación coactiva del testigo o en una prueba razonablemente derivada de ella.</w:t>
      </w:r>
    </w:p>
    <w:p w:rsidR="005728DD" w:rsidRDefault="005728DD" w:rsidP="005728DD">
      <w:pPr>
        <w:pStyle w:val="TextoNormal"/>
      </w:pPr>
    </w:p>
    <w:p w:rsidR="005728DD" w:rsidRDefault="005728DD" w:rsidP="005728DD">
      <w:pPr>
        <w:pStyle w:val="TextoNormal"/>
      </w:pPr>
      <w:r>
        <w:t>No basta, desde la óptica constitucional aquí considerada, con razonar de un modo genérico que “deponer como testigo en un juicio verbal civil para el ejercicio del derecho de rectificación no impide ni obstaculiza el ejercicio de la competencia sancionadora en vía disciplinaria”. Habría sido necesario que el órgano judicial examinase si, conforme a las circunstancias del caso concreto, la sanción del guardia civil se apoyaba únicamente en su previa declaración como testigo en el pleito civil o, por el contrario, existían elementos de prueba distintos de aquella y razonablemente autónomos respecto de ella que habían dado sustento a la resolución sancionadora. Solo en el segundo caso se podía concluir que la garantía constitucional de no autoincriminación no había quedado comprometida.</w:t>
      </w:r>
    </w:p>
    <w:p w:rsidR="005728DD" w:rsidRDefault="005728DD" w:rsidP="005728DD">
      <w:pPr>
        <w:pStyle w:val="TextoNormal"/>
      </w:pPr>
    </w:p>
    <w:p w:rsidR="005728DD" w:rsidRDefault="005728DD" w:rsidP="005728DD">
      <w:pPr>
        <w:pStyle w:val="TextoNormal"/>
      </w:pPr>
      <w:r>
        <w:t>No satisface este análisis de la garantía constitucional que el órgano judicial afirme que “no se le ha sancionado disciplinariamente por otras razones que aquellas que figuran en la resolución [sancionadora] atacada”. El dato relevante, que el examen constitucional que nos ocupa exigía verificar, no es que el guardia civil fuese sancionado por las razones que figuran en la resolución sancionadora, sino si tales razones son conformes con la garantía de no autoincriminación.</w:t>
      </w:r>
    </w:p>
    <w:p w:rsidR="005728DD" w:rsidRDefault="005728DD" w:rsidP="005728DD">
      <w:pPr>
        <w:pStyle w:val="TextoNormal"/>
      </w:pPr>
    </w:p>
    <w:p w:rsidR="005728DD" w:rsidRDefault="005728DD" w:rsidP="005728DD">
      <w:pPr>
        <w:pStyle w:val="TextoNormal"/>
      </w:pPr>
      <w:r>
        <w:t>El tribunal aprecia, por las razones expuestas, que la sentencia del Tribunal Militar Central no examinó suficientemente las cuestiones que, respecto de la garantía de no autoincriminación, plantea el presente asunto.</w:t>
      </w:r>
    </w:p>
    <w:p w:rsidR="005728DD" w:rsidRDefault="005728DD" w:rsidP="005728DD">
      <w:pPr>
        <w:pStyle w:val="TextoNormal"/>
      </w:pPr>
    </w:p>
    <w:p w:rsidR="005728DD" w:rsidRDefault="005728DD" w:rsidP="005728DD">
      <w:pPr>
        <w:pStyle w:val="TextoNormal"/>
      </w:pPr>
      <w:r w:rsidRPr="005728DD">
        <w:rPr>
          <w:rStyle w:val="NumeroAFNegritaCaracter"/>
        </w:rPr>
        <w:t>8</w:t>
      </w:r>
      <w:r>
        <w:t>. Análisis de las razones desestimatorias de la sentencia de la Sala Quinta del Tribunal Supremo.</w:t>
      </w:r>
    </w:p>
    <w:p w:rsidR="005728DD" w:rsidRDefault="005728DD" w:rsidP="005728DD">
      <w:pPr>
        <w:pStyle w:val="TextoNormal"/>
      </w:pPr>
    </w:p>
    <w:p w:rsidR="005728DD" w:rsidRDefault="005728DD" w:rsidP="005728DD">
      <w:pPr>
        <w:pStyle w:val="TextoNormal"/>
      </w:pPr>
      <w:r>
        <w:t>La sentencia dictada en casación —sentencia de la Sala Quinta del Tribunal Supremo de 14 de marzo de 2019— descarta también que en la sanción disciplinaria impugnada en el contencioso-disciplinario militar concurriese vulneración de la garantía de no autoincriminación como manifestación de los derechos a la defensa y a la presunción de inocencia. La Sala Quinta del Tribunal Supremo estriba su desestimación en que “la virtualidad de tales derechos rige en el procedimiento disciplinario, sin que alcance a actuaciones no realizadas en el mismo, como es el caso. En este sentido, el recurrente en ningún caso ha sido afectado en su derecho de defensa en el expediente disciplinario por su declaración en el juicio civil, que se produjo con todas las garantías procesales de obligado cumplimiento y en nada empece que la fijación de los datos fácticos que sirven de base al reproche disciplinario se extraigan de una sentencia firme que sirve para establecer la realidad de lo ocurrido”.</w:t>
      </w:r>
    </w:p>
    <w:p w:rsidR="005728DD" w:rsidRDefault="005728DD" w:rsidP="005728DD">
      <w:pPr>
        <w:pStyle w:val="TextoNormal"/>
      </w:pPr>
    </w:p>
    <w:p w:rsidR="005728DD" w:rsidRDefault="005728DD" w:rsidP="005728DD">
      <w:pPr>
        <w:pStyle w:val="TextoNormal"/>
      </w:pPr>
      <w:r>
        <w:t xml:space="preserve">Esta motivación gira en torno a establecer los elementos que conforman el contenido propio de la garantía de no autoincriminación, que es la cuestión que se discutió ante el Tribunal Militar Central y que se reproduce por el guardia civil sancionado en su recurso de casación. Se trata, por tanto, de un aspecto de los derechos constitucionales a la defensa y a </w:t>
      </w:r>
      <w:r>
        <w:lastRenderedPageBreak/>
        <w:t>la presunción de inocencia que ha sido objeto de debate procesal en dos ocasiones, una de ellas ante el propio Tribunal Supremo, lo que exime al recurrente de promover un incidente de nulidad de actuaciones para, en relación a esta concreta invocación, entender agotada la vía judicial previa al recurso de amparo [por todas, SSTC 216/2013, de 19 de diciembre, FJ 2 d), y 18/2015, de 16 de febrero, FJ 2].</w:t>
      </w:r>
    </w:p>
    <w:p w:rsidR="005728DD" w:rsidRDefault="005728DD" w:rsidP="005728DD">
      <w:pPr>
        <w:pStyle w:val="TextoNormal"/>
      </w:pPr>
    </w:p>
    <w:p w:rsidR="005728DD" w:rsidRDefault="005728DD" w:rsidP="005728DD">
      <w:pPr>
        <w:pStyle w:val="TextoNormal"/>
      </w:pPr>
      <w:r>
        <w:t xml:space="preserve">La primera de las razones esgrimidas en la sentencia de casación, según la cual la garantía de no autoincriminación como expresión de los derechos a la defensa y a la presunción de inocencia carece de eficacia frente a aportaciones coactivas de información no realizadas dentro del procedimiento disciplinario sino fuera de él, se separa abiertamente de la doctrina constitucional y del Tribunal Europeo de Derechos Humanos. Como se detalló </w:t>
      </w:r>
      <w:r w:rsidRPr="005728DD">
        <w:rPr>
          <w:i/>
        </w:rPr>
        <w:t>in extenso</w:t>
      </w:r>
      <w:r>
        <w:t xml:space="preserve"> en los fundamentos jurídicos 4 y 5, este tribunal, teniendo presente la jurisprudencia del Tribunal Europeo de Derechos Humanos (en especial, los casos </w:t>
      </w:r>
      <w:r w:rsidRPr="005728DD">
        <w:rPr>
          <w:i/>
        </w:rPr>
        <w:t>Saunders c. Reino Unido</w:t>
      </w:r>
      <w:r>
        <w:t xml:space="preserve">, § 74, y </w:t>
      </w:r>
      <w:r w:rsidRPr="005728DD">
        <w:rPr>
          <w:i/>
        </w:rPr>
        <w:t>I.J.L. y otros c. Reino Unido</w:t>
      </w:r>
      <w:r>
        <w:t>, § 82 y 83), ha reconocido que esta garantía despliega también su virtualidad propia frente a las comunicaciones bajo amenaza de sanción hechas fuera de un procedimiento de naturaleza penal, como es el caso de las materializadas durante una información reservada (STC 142/2009) o en el curso de un procedimiento de gestión tributaria (STC 54/2015), siempre que acaben teniendo posteriormente, en un proceso o procedimiento de naturaleza penal, relevancia autoincriminatoria del declarante. Este criterio general, además, ha sido expresamente recepcionado por la propia Sala Quinta del Tribunal Supremo en una doctrina constante (STS 54/2016, de 10 de mayo; 61/2016, de 24 de mayo; 147/2016, de 29 de noviembre; 17/2017, de 8 de febrero, y 87/2019, de 17 de julio). En definitiva, la sentencia impugnada enuncia en términos generales una delimitación del ámbito de proyección de la garantía de no autoincriminación que se aparta del criterio común que había adoptado la propia Sala con el fin de adaptarse a la doctrina constitucional y a la jurisprudencia del Tribunal Europeo de Derechos Humanos, de modo que la interpretación que analizamos pugna con el contenido declarado de esta garantía constitucional.</w:t>
      </w:r>
    </w:p>
    <w:p w:rsidR="005728DD" w:rsidRDefault="005728DD" w:rsidP="005728DD">
      <w:pPr>
        <w:pStyle w:val="TextoNormal"/>
      </w:pPr>
    </w:p>
    <w:p w:rsidR="005728DD" w:rsidRDefault="005728DD" w:rsidP="005728DD">
      <w:pPr>
        <w:pStyle w:val="TextoNormal"/>
      </w:pPr>
      <w:r>
        <w:t>La referencia a que la “declaración en el juicio civil […] se produjo con todas las garantías procesales de obligado cumplimiento” se aparta, por los mismos motivos indicados, de la doctrina constitucional y de la jurisprudencia del Tribunal Europeo de Derechos Humanos. La declaración coactiva, aunque no hay objeción en que tenga lugar fuera del procedimiento de naturaleza penal, ha de surtir valor incriminatorio dentro de este último, que es donde deben desplegarse las cautelas dirigidas a evitar que el derecho a no autoincriminarse resulte desconocido.</w:t>
      </w:r>
    </w:p>
    <w:p w:rsidR="005728DD" w:rsidRDefault="005728DD" w:rsidP="005728DD">
      <w:pPr>
        <w:pStyle w:val="TextoNormal"/>
      </w:pPr>
    </w:p>
    <w:p w:rsidR="005728DD" w:rsidRDefault="005728DD" w:rsidP="005728DD">
      <w:pPr>
        <w:pStyle w:val="TextoNormal"/>
      </w:pPr>
      <w:r>
        <w:t xml:space="preserve">Nótese, en este mismo sentido, que las garantías procesales de obligado cumplimiento establecidas en el pleito civil de rectificación, o en cualquier otro procedimiento de naturaleza no penal, no persiguen neutralizar un eventual riesgo para el derecho a no autoincriminarse que puede ni siquiera ser recognoscible en ese momento. Por el contrario, se orientan como regla general a la mejor realización de los intereses jurídicos directamente implicados en el procedimiento de que se trate. Por esta razón, el órgano judicial que en un proceso civil de rectificación considera relevante para dirimir el litigio llamar a una persona a declarar como testigo no hará otra cosa que cumplir su función de ejercer la jurisdicción que tiene atribuida y, además, dar la eficacia debida al derecho a la tutela judicial efectiva de las partes en ese proceso civil. Verificar que la garantía constitucional de no autoincriminación es respetada y establecer las cautelas procesales para que su protección sea efectiva corresponderá, en principio, al procedimiento de naturaleza penal en que la declaración coactiva pueda </w:t>
      </w:r>
      <w:r>
        <w:lastRenderedPageBreak/>
        <w:t>resultar autoincriminatoria, en este caso a la actuación disciplinaria seguida contra el guardia civil recurrente.</w:t>
      </w:r>
    </w:p>
    <w:p w:rsidR="005728DD" w:rsidRDefault="005728DD" w:rsidP="005728DD">
      <w:pPr>
        <w:pStyle w:val="TextoNormal"/>
      </w:pPr>
    </w:p>
    <w:p w:rsidR="005728DD" w:rsidRDefault="005728DD" w:rsidP="005728DD">
      <w:pPr>
        <w:pStyle w:val="TextoNormal"/>
      </w:pPr>
      <w:r>
        <w:t xml:space="preserve">Con el último argumento (“en nada empece que la fijación de los datos fácticos que sirven de base al reproche disciplinario se extraigan de una sentencia firme que sirve para establecer la realidad de lo ocurrido”) sucede lo que con la motivación del Tribunal Militar Central, que no es </w:t>
      </w:r>
      <w:r w:rsidRPr="005728DD">
        <w:rPr>
          <w:i/>
        </w:rPr>
        <w:t>per se</w:t>
      </w:r>
      <w:r>
        <w:t xml:space="preserve"> lesiva de la garantía de no autoincriminación, pero revela un examen insuficiente de las cuestiones que dicha garantía suscita en el presente caso. Habría sido necesario que la Sala Quinta del Tribunal Supremo hubiera examinado si, conforme a las circunstancias del caso concreto, la fijación de los datos fácticos que hizo la sentencia civil y en la que se apoyó el reproche disciplinario era consecuencia directa de la declaración del testigo o, por el contrario, tenía sustento en elementos de prueba distintos de aquella y razonablemente autónomos respecto de ella. Solo en el segundo caso se podía concluir que la garantía constitucional de no autoincriminación no había quedado comprometida al basarse el reproche disciplinario en la realidad establecida por la sentencia civil.</w:t>
      </w:r>
    </w:p>
    <w:p w:rsidR="005728DD" w:rsidRDefault="005728DD" w:rsidP="005728DD">
      <w:pPr>
        <w:pStyle w:val="TextoNormal"/>
      </w:pPr>
    </w:p>
    <w:p w:rsidR="005728DD" w:rsidRDefault="005728DD" w:rsidP="005728DD">
      <w:pPr>
        <w:pStyle w:val="TextoNormal"/>
      </w:pPr>
      <w:r w:rsidRPr="005728DD">
        <w:rPr>
          <w:rStyle w:val="NumeroAFNegritaCaracter"/>
        </w:rPr>
        <w:t>9</w:t>
      </w:r>
      <w:r>
        <w:t>. Otorgamiento del amparo y determinación de sus efectos.</w:t>
      </w:r>
    </w:p>
    <w:p w:rsidR="005728DD" w:rsidRDefault="005728DD" w:rsidP="005728DD">
      <w:pPr>
        <w:pStyle w:val="TextoNormal"/>
      </w:pPr>
    </w:p>
    <w:p w:rsidR="005728DD" w:rsidRDefault="005728DD" w:rsidP="005728DD">
      <w:pPr>
        <w:pStyle w:val="TextoNormal"/>
      </w:pPr>
      <w:r>
        <w:t>El tribunal aprecia, por los motivos desarrollados en los dos fundamento jurídicos precedentes, que las sentencias impugnadas en este recurso de amparo han vulnerado la garantía de no autoincriminación, en tanto que se fundan en razones que (a) o bien se apartan del contenido propio de esta garantía tal como la ha configurado la doctrina constitucional; (b) o bien muestran que el análisis de las cuestiones que dicha garantía suscita en el presente caso ha sido insuficiente. En cuanto a esta insuficiencia, la alegación de la garantía de no autoincriminación exigía que los órganos judiciales hubieran examinado si, atendidas las circunstancias del supuesto que enjuiciaban, la resolución sancionadora del guardia civil se apoyaba de un modo exclusivo en el contenido de su declaración como testigo en el pleito civil o, por el contrario, tuvo presente además otros elementos de prueba distintos de aquella y que quepa considerar razonablemente autónomos.</w:t>
      </w:r>
    </w:p>
    <w:p w:rsidR="005728DD" w:rsidRDefault="005728DD" w:rsidP="005728DD">
      <w:pPr>
        <w:pStyle w:val="TextoNormal"/>
      </w:pPr>
    </w:p>
    <w:p w:rsidR="005728DD" w:rsidRDefault="005728DD" w:rsidP="005728DD">
      <w:pPr>
        <w:pStyle w:val="TextoNormal"/>
      </w:pPr>
      <w:r w:rsidRPr="005728DD">
        <w:rPr>
          <w:rStyle w:val="NumeroAFNegritaCaracter"/>
        </w:rPr>
        <w:t>10</w:t>
      </w:r>
      <w:r>
        <w:t>. Conclusión.</w:t>
      </w:r>
    </w:p>
    <w:p w:rsidR="005728DD" w:rsidRDefault="005728DD" w:rsidP="005728DD">
      <w:pPr>
        <w:pStyle w:val="TextoNormal"/>
      </w:pPr>
    </w:p>
    <w:p w:rsidR="005728DD" w:rsidRDefault="005728DD" w:rsidP="005728DD">
      <w:pPr>
        <w:pStyle w:val="TextoNormal"/>
      </w:pPr>
      <w:r>
        <w:t>Los razonamientos expuestos conducen a otorgar el amparo solicitado por el recurrente y, en consecuencia, retrotraer las actuaciones al momento anterior al dictado de la sentencia de instancia, con el fin de que el órgano judicial, sin recurrir a argumentos que según la presente sentencia pugnan con el contenido propio de la garantía de no autoincriminación, haga un análisis suficiente de las cuestiones planteadas por esta garantía en el presente caso.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J.C.C., y, en su virtud:</w:t>
      </w:r>
    </w:p>
    <w:p w:rsidR="005728DD" w:rsidRDefault="005728DD" w:rsidP="005728DD">
      <w:pPr>
        <w:pStyle w:val="TextoNormal"/>
      </w:pPr>
    </w:p>
    <w:p w:rsidR="005728DD" w:rsidRDefault="005728DD" w:rsidP="005728DD">
      <w:pPr>
        <w:pStyle w:val="TextoNormal"/>
      </w:pPr>
      <w:r>
        <w:t>1º Declarar que ha sido vulnerado su garantía de no autoincriminación como manifestación específica de los derechos a la defensa y a la presunción inocencia (art. 24.2 CE).</w:t>
      </w:r>
    </w:p>
    <w:p w:rsidR="005728DD" w:rsidRDefault="005728DD" w:rsidP="005728DD">
      <w:pPr>
        <w:pStyle w:val="TextoNormal"/>
      </w:pPr>
    </w:p>
    <w:p w:rsidR="005728DD" w:rsidRDefault="005728DD" w:rsidP="005728DD">
      <w:pPr>
        <w:pStyle w:val="TextoNormal"/>
      </w:pPr>
      <w:r>
        <w:lastRenderedPageBreak/>
        <w:t>2º Restablecerle en su derecho y, a tal fin, declarar la nulidad de la sentencia de la Sala Quinta del Tribunal Supremo de 14 de marzo de 2019 y de la sentencia de la Sala de Justicia del Tribunal Militar Central de 9 de mayo de 2018, así como retrotraer las actuaciones al momento anterior a aquel en que fue dictada esta última, con el fin de que el órgano judicial, sin recurrir a argumentos que según la presente sentencia pugnan con el contenido propio de la garantía de no autoincriminación, haga un análisis suficiente de las cuestiones planteadas por esta garantía en el presente caso.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5" w:name="SENTENCIA_2021_22"/>
      <w:r>
        <w:lastRenderedPageBreak/>
        <w:t>SENTENCIA 22/2021, de 15 de febrero de 2021</w:t>
      </w:r>
    </w:p>
    <w:bookmarkEnd w:id="25"/>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ECLI:ES:TC:2021:22</w:t>
      </w:r>
    </w:p>
    <w:p w:rsidR="005728DD" w:rsidRDefault="005728DD" w:rsidP="005728DD">
      <w:pPr>
        <w:pStyle w:val="TextoNormalCentrado"/>
      </w:pPr>
    </w:p>
    <w:p w:rsidR="005728DD" w:rsidRDefault="005728DD" w:rsidP="005728DD">
      <w:pPr>
        <w:pStyle w:val="SntesisDescriptiva"/>
      </w:pPr>
      <w:r>
        <w:t>Recurso de amparo 3917-2019. Promovido por don Atik Makdad respecto de la sentencia de la Sala de lo Penal del Tribunal Supremo que le condenó por un delito contra la salud pública.</w:t>
      </w:r>
    </w:p>
    <w:p w:rsidR="005728DD" w:rsidRDefault="005728DD" w:rsidP="005728DD">
      <w:pPr>
        <w:pStyle w:val="SntesisDescriptiva"/>
      </w:pPr>
    </w:p>
    <w:p w:rsidR="005728DD" w:rsidRDefault="005728DD" w:rsidP="005728DD">
      <w:pPr>
        <w:pStyle w:val="SntesisAnaltica"/>
      </w:pPr>
      <w:r>
        <w:t>Supuesta vulneración de los derechos a un proceso con todas las garantías y a la presunción de inocencia: condena en casación que no infringió los principios de inmediación ni acusatorio. Voto particular.</w:t>
      </w:r>
    </w:p>
    <w:p w:rsidR="005728DD" w:rsidRDefault="005728DD" w:rsidP="005728DD">
      <w:pPr>
        <w:pStyle w:val="SntesisAnaltica"/>
      </w:pPr>
    </w:p>
    <w:p w:rsidR="005728DD" w:rsidRDefault="005728DD" w:rsidP="005728DD">
      <w:pPr>
        <w:pStyle w:val="Extracto"/>
      </w:pPr>
      <w:r>
        <w:t>1.</w:t>
      </w:r>
      <w:r>
        <w:tab/>
        <w:t xml:space="preserve">La posición procesal de quien se persona en un recurso de amparo para apoyar la demanda ya interpuesta, está subordinada a la del demandante de amparo y, por tanto, carece de autonomía. No puede esgrimir pretensiones distintas de las ejercitadas por aquel, ni mucho menos pretender el reconocimiento para sí de una situación jurídica individualizada, un derecho subjetivo; su intervención adhesiva debe quedar limitada a la facultad, </w:t>
      </w:r>
      <w:r w:rsidRPr="005728DD">
        <w:rPr>
          <w:i/>
        </w:rPr>
        <w:t>ex</w:t>
      </w:r>
      <w:r>
        <w:t xml:space="preserve"> art. 52.1 LOTC, de alegar cuanto le conviniere sin restricción dialéctica alguna, siempre que no altere el planteamiento ni el objeto del proceso (SSTC 205/2005 o 143/2006) [FJ 1].</w:t>
      </w:r>
    </w:p>
    <w:p w:rsidR="005728DD" w:rsidRDefault="005728DD" w:rsidP="005728DD">
      <w:pPr>
        <w:pStyle w:val="Extracto"/>
      </w:pPr>
    </w:p>
    <w:p w:rsidR="005728DD" w:rsidRDefault="005728DD" w:rsidP="005728DD">
      <w:pPr>
        <w:pStyle w:val="Extracto"/>
      </w:pPr>
      <w:r>
        <w:t>2.</w:t>
      </w:r>
      <w:r>
        <w:tab/>
        <w:t>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sin haber celebrado una vista pública en que se haya desarrollado con todas las garantías dicha actividad probatoria  (SSTC 1/2010 o 88/2013) [FJ 2].</w:t>
      </w:r>
    </w:p>
    <w:p w:rsidR="005728DD" w:rsidRDefault="005728DD" w:rsidP="005728DD">
      <w:pPr>
        <w:pStyle w:val="Extracto"/>
      </w:pPr>
    </w:p>
    <w:p w:rsidR="005728DD" w:rsidRDefault="005728DD" w:rsidP="005728DD">
      <w:pPr>
        <w:pStyle w:val="Extracto"/>
      </w:pPr>
      <w:r>
        <w:t>3.</w:t>
      </w:r>
      <w:r>
        <w:tab/>
        <w:t>No vulnera el derecho a un proceso con todas las garantías la condena pronunciada en apelación o la agravación de la situación, a pesar de no haberse celebrado vista pública, si tiene origen en una alteración fáctica que no resulta del análisis de medios probatorios que exijan presenciar su práctica para su valoración, como es el caso de pruebas documentales (STC 153/2011) o pruebas periciales documentadas (SSTC 143/2005 o  88/2013) [FJ 2].</w:t>
      </w:r>
    </w:p>
    <w:p w:rsidR="005728DD" w:rsidRDefault="005728DD" w:rsidP="005728DD">
      <w:pPr>
        <w:pStyle w:val="Extracto"/>
      </w:pPr>
    </w:p>
    <w:p w:rsidR="005728DD" w:rsidRDefault="005728DD" w:rsidP="005728DD">
      <w:pPr>
        <w:pStyle w:val="Extracto"/>
      </w:pPr>
      <w:r>
        <w:t>4.</w:t>
      </w:r>
      <w:r>
        <w:tab/>
        <w:t>No se vulnera el derecho a un proceso con todas las garantías si la alteración fáctica se deriva de discrepancias con la valoración de pruebas indiciarias, de modo que el órgano judicial revisor se limite a rectificar la inferencia realizada por el de instancia, a partir de unos hechos que resultan acreditados en esta, argumentando que este proceso deductivo, en la medida en que se basa en reglas de experiencia no dependientes de la inmediación, es plenamente fiscalizable por los órganos que conocen del recurso sin merma de garantías constitucionales (SSTC 43/2007 o 91/2009) [FJ 2].</w:t>
      </w:r>
    </w:p>
    <w:p w:rsidR="005728DD" w:rsidRDefault="005728DD" w:rsidP="005728DD">
      <w:pPr>
        <w:pStyle w:val="Extracto"/>
      </w:pPr>
    </w:p>
    <w:p w:rsidR="005728DD" w:rsidRDefault="005728DD" w:rsidP="005728DD">
      <w:pPr>
        <w:pStyle w:val="Extracto"/>
      </w:pPr>
      <w:r>
        <w:lastRenderedPageBreak/>
        <w:t>5.</w:t>
      </w:r>
      <w:r>
        <w:tab/>
        <w:t>Se descarta una vulneración del derecho a un proceso con todas las garantías cuando la condena o agravación en vía de recurso, aun no habiéndose celebrado vista pública, no derive de una alteración del sustrato fáctico sobre el que se asienta la sentencia de instancia sino sobre cuestiones estrictamente jurídicas  (STC 88/2013) [FJ 2].</w:t>
      </w:r>
    </w:p>
    <w:p w:rsidR="005728DD" w:rsidRDefault="005728DD" w:rsidP="005728DD">
      <w:pPr>
        <w:pStyle w:val="Extracto"/>
      </w:pPr>
    </w:p>
    <w:p w:rsidR="005728DD" w:rsidRDefault="005728DD" w:rsidP="005728DD">
      <w:pPr>
        <w:pStyle w:val="Extracto"/>
      </w:pPr>
      <w:r>
        <w:t>6.</w:t>
      </w:r>
      <w:r>
        <w:tab/>
        <w:t xml:space="preserve">Atendiendo a las propias facultades de pronunciamiento de oficio que tiene el juzgador penal, por las cuestiones de orden público implicadas en el ejercicio del </w:t>
      </w:r>
      <w:r w:rsidRPr="005728DD">
        <w:rPr>
          <w:i/>
        </w:rPr>
        <w:t>ius puniendi</w:t>
      </w:r>
      <w:r>
        <w:t>, el juez podrá condenar por un delito distinto del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(STC 155/2009) [FJ 3].</w:t>
      </w:r>
    </w:p>
    <w:p w:rsidR="005728DD" w:rsidRDefault="005728DD" w:rsidP="005728DD">
      <w:pPr>
        <w:pStyle w:val="Extracto"/>
      </w:pPr>
    </w:p>
    <w:p w:rsidR="005728DD" w:rsidRDefault="005728DD" w:rsidP="005728DD">
      <w:pPr>
        <w:pStyle w:val="Extracto"/>
      </w:pPr>
      <w:r>
        <w:t>7.</w:t>
      </w:r>
      <w:r>
        <w:tab/>
        <w:t xml:space="preserve">No basta con que el principio acusatorio haya tenido efectividad en la primera instancia, para entender cumplidas sus exigencias en la segunda instancia si no se reformula en ella la pretensión: la correlación entre la acusación y el fallo de la sentencia debe existir en todas las instancias judiciales; así, la inexistencia de acusación en la apelación o su defectuoso planteamiento en segunda instancia no pueden entenderse suplidos por la primera acusación, ya que en un sistema acusatorio deben entenderse igualmente excepcionales los poderes de actuación </w:t>
      </w:r>
      <w:r w:rsidRPr="005728DD">
        <w:rPr>
          <w:i/>
        </w:rPr>
        <w:t xml:space="preserve">ex officio </w:t>
      </w:r>
      <w:r>
        <w:t>del juez lo mismo en la primera que en la segunda instancia (SSTC 240/1988 y 84/1985) [FJ 3].</w:t>
      </w:r>
    </w:p>
    <w:p w:rsidR="005728DD" w:rsidRDefault="005728DD" w:rsidP="005728DD">
      <w:pPr>
        <w:pStyle w:val="Extracto"/>
      </w:pPr>
    </w:p>
    <w:p w:rsidR="005728DD" w:rsidRDefault="005728DD" w:rsidP="005728DD">
      <w:pPr>
        <w:pStyle w:val="Extracto"/>
      </w:pPr>
      <w:r>
        <w:t>8.</w:t>
      </w:r>
      <w:r>
        <w:tab/>
        <w:t xml:space="preserve">La pretensión acusatoria debe constar debidamente exteriorizada, rechazándose las formas tácitas o implícitas como manera de satisfacer el principio acusatorio exigible en cada una de las instancias penales; y ello no se refiere a supuestos de simple confirmación de la sentencia de primera instancia, sino a aquellos casos en los que, sin formularse acusación en grado de apelación, sea condenado quien no lo fue en la instancia anterior bien porque no fue acusado, bien porque resultó absuelto (SSTC 163/1986, 53/1987 o 11/1992), así como a aquellos casos en los que el tribunal </w:t>
      </w:r>
      <w:r w:rsidRPr="005728DD">
        <w:rPr>
          <w:i/>
        </w:rPr>
        <w:t xml:space="preserve">ad quem </w:t>
      </w:r>
      <w:r>
        <w:t>agrave la sentencia de instancia sin previa solicitud por alguna de las partes personadas (SSTC 17/1987 y 19/1992) [FJ 3].</w:t>
      </w:r>
    </w:p>
    <w:p w:rsidR="005728DD" w:rsidRDefault="005728DD" w:rsidP="005728DD">
      <w:pPr>
        <w:pStyle w:val="Extracto"/>
      </w:pPr>
    </w:p>
    <w:p w:rsidR="005728DD" w:rsidRDefault="005728DD" w:rsidP="005728DD">
      <w:pPr>
        <w:pStyle w:val="Extracto"/>
      </w:pPr>
      <w:r>
        <w:t>9.</w:t>
      </w:r>
      <w:r>
        <w:tab/>
        <w:t>Debe tenerse especial cuidado en no confundir la inexistencia de acusación con la calificación jurídica errónea que hayan podido efectuar el Ministerio Fiscal u otras acusaciones, puesto que el órgano judicial, si así la considera, no estaría vinculado por la tipificación o imputación que en ella se efectúe (SSTC 163/1986, 47/1991 y 11/1992)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lastRenderedPageBreak/>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3917-2019, promovido por don Atik Makdad, contra la sentencia de la Sala Segunda del Tribunal Supremo de 8 de noviembre de 2018, dictada en recurso de casación, y contra el auto de 25 de abril de 2019 de la misma Sala, desestimando incidente de nulidad de actuaciones promovido contra la anterior resolución. Han formulado alegaciones don Said Makdad y don Abdellah El Kamouni. Ha intervenido el teniente fiscal ante este tribunal.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24 de junio de 2019, la procuradora de los tribunales doña Inmaculada Guzmán Altuna, actuando en nombre y representación de don Atik Makdad, bajo la defensa de la letrada doña Mireia Balaguer Bataller,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Audiencia Provincial de Barcelona, Sección Quinta, dictó sentencia el 29 de junio de 2017 en el sumario 01-2016, en el que resultaron acusados el aquí recurrente y otras dieciocho personas.</w:t>
      </w:r>
    </w:p>
    <w:p w:rsidR="005728DD" w:rsidRDefault="005728DD" w:rsidP="005728DD">
      <w:pPr>
        <w:pStyle w:val="TextoNormal"/>
      </w:pPr>
    </w:p>
    <w:p w:rsidR="005728DD" w:rsidRDefault="005728DD" w:rsidP="005728DD">
      <w:pPr>
        <w:pStyle w:val="TextoNormal"/>
      </w:pPr>
      <w:r>
        <w:t>a) La parte dispositiva de la sentencia, en lo que importa al recurrente, fue la siguiente:</w:t>
      </w:r>
    </w:p>
    <w:p w:rsidR="005728DD" w:rsidRDefault="005728DD" w:rsidP="005728DD">
      <w:pPr>
        <w:pStyle w:val="TextoNormal"/>
      </w:pPr>
    </w:p>
    <w:p w:rsidR="005728DD" w:rsidRDefault="005728DD" w:rsidP="005728DD">
      <w:pPr>
        <w:pStyle w:val="TextoNormal"/>
      </w:pPr>
      <w:r>
        <w:t>“Que debemos condenar y condenamos al procesado Atik Makdad como coautor de un delito contra la salud pública, en su modalidad de sustancias que no causan grave daño a la salud, del artículo 368.1, último inciso, y en su tipo agravado de cantidad de notoria importancia del art. 369.1.5 del Código penal, concurriendo la circunstancia de análoga significación de haber obrado a consecuencia de su adicción a las drogas del art. 2l.7 en relación con el 21.2 del mismo texto punitivo, a las penas de tres años y seis meses de prisión y multa de cinco millones cuatrocientos cincuenta y tres mil seiscientos ochenta y siete euros (5453687) con la responsabilidad personal subsidiaria de un año en caso de impago, así como al pago de una decimonovena parte de las costas procesales comunes y al 100 por 100 de las propias, sin responsabilidades civiles que exigir”.</w:t>
      </w:r>
    </w:p>
    <w:p w:rsidR="005728DD" w:rsidRDefault="005728DD" w:rsidP="005728DD">
      <w:pPr>
        <w:pStyle w:val="TextoNormal"/>
      </w:pPr>
    </w:p>
    <w:p w:rsidR="005728DD" w:rsidRDefault="005728DD" w:rsidP="005728DD">
      <w:pPr>
        <w:pStyle w:val="TextoNormal"/>
      </w:pPr>
      <w:r>
        <w:t xml:space="preserve">b) Conforme se indica en el antecedente de hecho primero de dicha sentencia, el Ministerio Fiscal calificó de manera definitiva los hechos que se atribuían al recurrente y a los coacusados don Adil Makdad y don Said Makdad, como constitutivos de un delito contra la salud pública en su modalidad de sustancias que no causan grave daño a la salud, previsto en el art. 368.1 del Código penal (CP), en su tipo agravado del art. 369.1.5 y 369 </w:t>
      </w:r>
      <w:r w:rsidRPr="005728DD">
        <w:rPr>
          <w:i/>
        </w:rPr>
        <w:t>bis</w:t>
      </w:r>
      <w:r>
        <w:t xml:space="preserve">, párrafos </w:t>
      </w:r>
      <w:r>
        <w:lastRenderedPageBreak/>
        <w:t>primero y segundo, esto es, “cantidad de notoria importancia y pertenencia a organización y jefatura de organización”. Respecto de los demás acusados los hechos se calificaron del mismo modo, pero sin incluir el tipo agravado de jefatura de organización (sí de pertenencia), mientras que el coacusado don Abderrazak Anhibiz no fue acusado del tipo agravado de pertenencia a organización criminal.</w:t>
      </w:r>
    </w:p>
    <w:p w:rsidR="005728DD" w:rsidRDefault="005728DD" w:rsidP="005728DD">
      <w:pPr>
        <w:pStyle w:val="TextoNormal"/>
      </w:pPr>
    </w:p>
    <w:p w:rsidR="005728DD" w:rsidRDefault="005728DD" w:rsidP="005728DD">
      <w:pPr>
        <w:pStyle w:val="TextoNormal"/>
      </w:pPr>
      <w:r>
        <w:t>c) En el apartado “Hechos probados” procede destacar los siguientes:</w:t>
      </w:r>
    </w:p>
    <w:p w:rsidR="005728DD" w:rsidRDefault="005728DD" w:rsidP="005728DD">
      <w:pPr>
        <w:pStyle w:val="TextoNormal"/>
      </w:pPr>
    </w:p>
    <w:p w:rsidR="005728DD" w:rsidRDefault="005728DD" w:rsidP="005728DD">
      <w:pPr>
        <w:pStyle w:val="TextoNormal"/>
      </w:pPr>
      <w:r>
        <w:t>“Primero.- Probado y así expresamente se declara que al menos en el período comprendido entre los meses de abril de 2014 y marzo de 2015, y a consecuencia de múltiples seguimientos y vigilancias policiales, por parte de miembros de los Mossos d’Esquadra, del Cuerpo Nacional de Policía y de agentes de Vigilancia Aduanera desde inicios del 2014, inicialmente por separado y finalmente coordinados y en conjunto, se siguieron las presentes actuaciones por un presunto delito contra la salud pública y, asimismo, se dedujeron testimonios para dar origen a las diligencias previas 89-2016 por delito de blanqueo de capitales y las diligencias previas 92-2016 por delito de contrabando de tabaco, ambas seguidas ante el Juzgado núm. 3 de Tarrasa.</w:t>
      </w:r>
    </w:p>
    <w:p w:rsidR="005728DD" w:rsidRDefault="005728DD" w:rsidP="005728DD">
      <w:pPr>
        <w:pStyle w:val="TextoNormal"/>
      </w:pPr>
    </w:p>
    <w:p w:rsidR="005728DD" w:rsidRDefault="005728DD" w:rsidP="005728DD">
      <w:pPr>
        <w:pStyle w:val="TextoNormal"/>
      </w:pPr>
      <w:r>
        <w:t>De lo actuado resultaron investigados, y posterior y actualmente procesados y acusados, entre otros declarados en rebeldía, Atik Makdad, alias Rais, Adil Makdad, alias Negro, Said Makdad, alias el Menor, Abdellah Lakhal, alias Harrak, El Habib Makdad, Mohamed Makdad, Marouan Makdad, Tarik Rhilan Zbakh, Yassine Ezzouiti, Adil Telji, alias Hanana, El Kamouni El Bouazzaoui, Youssef Hanbette, Abderrazak Anhibiz, Rachid Fadli, El Mahfoud Makdad, Abdellah El Kamouni, alias Khammas, José Carvajal López, Juan Francisco Ortega Hidalgo y José Francisco Paéz Castillo, todos ellos mayores de edad, los dieciséis primeros naturales de Marruecos, con residencia legal en España a excepción de Abdellah Lakhal, Mohamed Makdad, Adil Telji y El Kamouni El Bouazzaoui, nacionalizado en España Tarik Rhilan Zbakh, y españoles los tres últimos citados, quienes iban interviniendo en diversos momentos, grupos y ocasiones, sin que conste acreditado no obstante que fueran a compartir el provecho económico que obtuvieran entre todos y según un convenio de reglas de reparto en función del respectivo protagonismo criminal, pero que conformaron un entramado codelictual para introducir en nuestro país importantes cantidades de sustancia estupefaciente, hachís, procedentes de Marruecos, país donde contaban con la colaboración de terceras personas cuya identidad completa no ha podido determinarse, con las que algunos de los procesados, como Adil Telji, se comunicaban de manera más o menos continuada a través de terminales de telefonía móvil, organizándose de diferentes formas el traslado de la sustancia estupefaciente antes mencionada, y que recogían en el sur de la Península para transportarla hasta la provincia de Barcelona.</w:t>
      </w:r>
    </w:p>
    <w:p w:rsidR="005728DD" w:rsidRDefault="005728DD" w:rsidP="005728DD">
      <w:pPr>
        <w:pStyle w:val="TextoNormal"/>
      </w:pPr>
    </w:p>
    <w:p w:rsidR="005728DD" w:rsidRDefault="005728DD" w:rsidP="005728DD">
      <w:pPr>
        <w:pStyle w:val="TextoNormal"/>
      </w:pPr>
      <w:r>
        <w:t>Pero no ha resultado suficientemente acreditado que todo el colectivo dispusiera de una estructura organizativa jerárquica con un núcleo responsable, situado en su eje central, y con reparto claro de funciones, pero sí el que actuaban como ‘baterías o grupos independientes’ formados en cada caso por entre tres o cinco personas que transportaban la sustancia estupefaciente desde el punto de recogida hasta el de entrega, disponiendo de vehículos y de lugares inicialmente seguros para almacenar la sustancia hasta su distribución.</w:t>
      </w:r>
    </w:p>
    <w:p w:rsidR="005728DD" w:rsidRDefault="005728DD" w:rsidP="005728DD">
      <w:pPr>
        <w:pStyle w:val="TextoNormal"/>
      </w:pPr>
    </w:p>
    <w:p w:rsidR="005728DD" w:rsidRDefault="005728DD" w:rsidP="005728DD">
      <w:pPr>
        <w:pStyle w:val="TextoNormal"/>
      </w:pPr>
      <w:r>
        <w:t xml:space="preserve">Segundo.- Sí se ha acreditado y expresamente se declara que los grupos se conformaban con integrantes del colectivo de la familia Makdad, amigos de los mismos y a veces incluso </w:t>
      </w:r>
      <w:r>
        <w:lastRenderedPageBreak/>
        <w:t>con personas externas al mismo pero en directa colaboración con ellos, que, utilizando dos o tres vehículos, salían desde la localidad de Tarrasa u otras próximas hacia el sur de España, como después se concretará. Uno de los vehículos era empleado para el traslado de la mercancía, tras ser adaptado para la carga, incluso retirándole los asientos posteriores, y el resto de los vehículos acompañaban al anterior haciendo funciones de control y vigilancia de las vías de transporte por las que circulaban.</w:t>
      </w:r>
    </w:p>
    <w:p w:rsidR="005728DD" w:rsidRDefault="005728DD" w:rsidP="005728DD">
      <w:pPr>
        <w:pStyle w:val="TextoNormal"/>
      </w:pPr>
    </w:p>
    <w:p w:rsidR="005728DD" w:rsidRDefault="005728DD" w:rsidP="005728DD">
      <w:pPr>
        <w:pStyle w:val="TextoNormal"/>
      </w:pPr>
      <w:r>
        <w:t>Una vez recogida la mercancía, el grupo operativo de cada caso la transportaba hacia la localidad de Tarrasa o de San Joan Despí en desplazamientos a gran velocidad para dificultar su seguimiento, encabezado el grupo por un vehículo ‘lanzadera’ encargado de la vigilancia y control, cuyos ocupantes iban en comunicación telefónica con el ocupante del vehículo que portaba la carga, permitiendo de este modo abandonar la vía rápida ante cualquier eventualidad que le fuera comunicada, y cerrando el grupo un tercer o cuarto vehículo cuyo ocupante también en contacto telefónico con los anteriores, se encargaba de la detección de dispositivos de vigilancia.</w:t>
      </w:r>
    </w:p>
    <w:p w:rsidR="005728DD" w:rsidRDefault="005728DD" w:rsidP="005728DD">
      <w:pPr>
        <w:pStyle w:val="TextoNormal"/>
      </w:pPr>
    </w:p>
    <w:p w:rsidR="005728DD" w:rsidRDefault="005728DD" w:rsidP="005728DD">
      <w:pPr>
        <w:pStyle w:val="TextoNormal"/>
      </w:pPr>
      <w:r>
        <w:t>El traslado de la mercancía se realizaba hasta puntos o ‘almacenes’ situados en la localidad de Tarrasa y alrededores, para su posterior distribución en dicha ciudad o en la provincia de Barcelona o bien para su posterior traslado por carretera a Francia o Italia, traslados que se realizaban por algunos de los acusados.</w:t>
      </w:r>
    </w:p>
    <w:p w:rsidR="005728DD" w:rsidRDefault="005728DD" w:rsidP="005728DD">
      <w:pPr>
        <w:pStyle w:val="TextoNormal"/>
      </w:pPr>
    </w:p>
    <w:p w:rsidR="005728DD" w:rsidRDefault="005728DD" w:rsidP="005728DD">
      <w:pPr>
        <w:pStyle w:val="TextoNormal"/>
      </w:pPr>
      <w:r>
        <w:t>Así para el desenvolvimiento de tal ilícita actividad, el colectivo disponía de diversos vehículos, algunos de ellos previamente sustraídos, o con matrículas alteradas, otros alquilados para operaciones concretas y otros propiedad de los procesados o de familiares de estos. Tales vehículos eran utilizados para los desplazamientos a las reuniones periódicas concertadas en la ciudad de Terrassa, para los viajes al sur peninsular con la finalidad antes dicha o como punto de almacenamiento temporal de la sustancia estupefaciente en la ciudad de Terrassa, normalmente un parking a disposición de alguno de los procesados, hasta su posterior distribución y venta. Algunos de estos vehículos tenían ocultos dobles fondos para facilitar el desarrollo de la ilícita actividad, disponiendo los procesados a su conveniencia de las llaves de unos y otros para su utilización indistinta por los acusados.</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Quinto.- Sin embargo sí resulta acreditado y así expresamente se declara que para el desarrollo de sus actividades delictivas, diversos procesados estaban en contacto telefónico entre ellos y con las personas que desde Marruecos les remitían las mercancías, manteniendo comunicaciones a través de terminales telefónicas que sustituían de modo frecuente, adquiriendo algunos de ellos solo para un desplazamiento concreto, o para las comunicaciones exclusivas entre algunos de los miembros del entramado, empleando un lenguaje encaminado a impedir el descubrimiento de su ilícita actividad, refiriéndose a las muestras de sustancia estupefaciente con términos como ‘llave’, ‘libro’ o ‘foto’ entre otras, o al dinero con el término ‘papeles’, a los alijos con la expresión ‘la chica’, ‘la familia del país’, y a las distintas variedades de sustancia estupefaciente con la que operaban con nombres como ‘dubai’, ‘ktma’, ‘top3’, ‘la rubia’, ‘avión’, ‘coche’ o ‘aceitunas’.</w:t>
      </w:r>
    </w:p>
    <w:p w:rsidR="005728DD" w:rsidRDefault="005728DD" w:rsidP="005728DD">
      <w:pPr>
        <w:pStyle w:val="TextoNormal"/>
      </w:pPr>
    </w:p>
    <w:p w:rsidR="005728DD" w:rsidRDefault="005728DD" w:rsidP="005728DD">
      <w:pPr>
        <w:pStyle w:val="TextoNormal"/>
      </w:pPr>
      <w:r>
        <w:t>Y así cabe distinguir dos grupos operativos distintos, o lo que los testigos policiales denominaron ‘baterías’, siendo ambos independientes entre sí, pero interrelacionados:</w:t>
      </w:r>
    </w:p>
    <w:p w:rsidR="005728DD" w:rsidRDefault="005728DD" w:rsidP="005728DD">
      <w:pPr>
        <w:pStyle w:val="TextoNormal"/>
      </w:pPr>
    </w:p>
    <w:p w:rsidR="005728DD" w:rsidRDefault="005728DD" w:rsidP="005728DD">
      <w:pPr>
        <w:pStyle w:val="TextoNormal"/>
      </w:pPr>
      <w:r>
        <w:t>Por un lado, los procesados de la familia Makdad, Atik Makdad, al que el resto de los procesados de su familia se refería como Rais (jefe), Adil Makdad, alias Negro, Abdellah El Kamouni, Said Makdad, alias el Menor, Abdellah Lakhal, alias Harrak, El Habib Makdad, Mohamed Makdad, Marouan Makdad, Tarik Rhilan Zbakh, Yassine Ezzouiti y Abdellah El Kamouni que operaban en la localidad de Terrassa, con los que estaba vinculado el también procesado José Carvajal López.</w:t>
      </w:r>
    </w:p>
    <w:p w:rsidR="005728DD" w:rsidRDefault="005728DD" w:rsidP="005728DD">
      <w:pPr>
        <w:pStyle w:val="TextoNormal"/>
      </w:pPr>
    </w:p>
    <w:p w:rsidR="005728DD" w:rsidRDefault="005728DD" w:rsidP="005728DD">
      <w:pPr>
        <w:pStyle w:val="TextoNormal"/>
      </w:pPr>
      <w:r>
        <w:t>Si bien con una falta clara de dependencia jerárquica y distribución clara de funciones, el primero citado, Atik Makdad, ocupaba una posición de coordinación preeminente entre los demás familiares, al ser el pariente mayor de todos ellos, y amigos que iban a formar los diversos grupos de Terrassa, encargándose ocasionalmente de la gestión de la compra de la droga en origen, de su venta en el punto de destino y, en ocasiones, de la supervisión de los grupos que se encargaban del transporte de la ilícita mercancía, decidiendo a veces y sobre la marcha los vehículos y personas que debían efectuar cada desplazamiento para el aprovisionamiento de la droga, pero sin controlar permanentemente las actividades del resto de los componentes del colectivo, aunque sí les daba frecuentes instrucciones telefónicas, disponía sobre las muestras de sustancia y sobre el destino de la sustancia almacenada, ordenando pagos, interviniendo personalmente en ocasiones puntuales para solucionar problemas e incluso llegando a costear los gastos de asistencia letrada derivados de tales actuaciones.</w:t>
      </w:r>
    </w:p>
    <w:p w:rsidR="005728DD" w:rsidRDefault="005728DD" w:rsidP="005728DD">
      <w:pPr>
        <w:pStyle w:val="TextoNormal"/>
      </w:pPr>
    </w:p>
    <w:p w:rsidR="005728DD" w:rsidRDefault="005728DD" w:rsidP="005728DD">
      <w:pPr>
        <w:pStyle w:val="TextoNormal"/>
      </w:pPr>
      <w:r>
        <w:t>En estrecha colaboración con el anterior, su hermano, el también procesado Adil Makdad, alias Negro, ejercía las mismas funciones en los períodos temporales en los que Atik Makdad se ausentó a Marruecos, siendo de febrero a septiembre de 2014, enero y febrero de 2015 durante el período investigado, y se encargaba de coordinar la gestión operativa y de activar los vehículos y personas que se desplazarían hacía el sur de España para hacerse con la sustancia estupefaciente, de aprovisionarse de la misma y de distribuirla a terceros en la localidad de Terrassa, la gestión comercial de la ilícita actividad posterior, confirmando la calidad de la sustancia adquirida, disponiendo de las muestras cuya gestión encomendaba a colaboradores de confianza como Abdellah El Kamouni, contactando con intermediarios y compradores finales de la mercancía, conviniendo los precios, controlando el dinero y los pagos que habían de efectuarse, manteniendo contacto permanente con los procesados encargados del almacenamiento de las sustancias ilícitas y tratando de abrir nuevas vías de distribución de la sustancia fuera de nuestro país. De igual manera, en ausencia de su hermano Atik, se encargaba de remitir dinero a personas vinculadas al colectivo internas en centros penitenciarios, y trasladaba las instrucciones de Atik relacionadas con la actividad delictiva, actuando como intermediario en las comunicaciones de su hermano con el resto de miembros del colectivo criminal y con terceros que colaboraban con ellos y compartiendo con él el desarrollo de la actividad delictiva”.</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 xml:space="preserve">Séptimo.- Por otro lado, el colectivo radicado en la localidad de Sant Joan Despí, liderado por Abdelaziz Fakak, alias Chelaiha, declarado rebelde por auto de fecha 1 de marzo de 2016, al que pertenecían los procesados Adil Telji, El Kamouni El Bouazzaoui, Youssef El Hanbette, junto con su hermano Hamid El Hanbette, actualmente rebelde, y Rachid Fadli, formaban parte del grupo encargado de recoger la sustancia estupefaciente hachís en el sur de la Península. Sus componentes mantenían un contacto continuado en el tiempo con el </w:t>
      </w:r>
      <w:r>
        <w:lastRenderedPageBreak/>
        <w:t>primer grupo citado en el hecho probado precedente, y al que destinaban parte del hachís que recogían en el sur de la Península. A tales efectos Adil Telji, interactuaba con el entramado criminal de los Makdad, mantenía contactos con Atik, Said y Adil Makdad, participaba en la planificación de los viajes, el suministro de la mercancía y en los acuerdos para su futura distribución. También conducía personalmente los vehículos lanzadera o los que portaban la carga estupefaciente una vez recogida en su lugar de origen, trasladándolos hasta la provincia de Barcelona, donde parte de la sustancia era almacenada a disposición de la primera referida agrupación delictiva”.</w:t>
      </w:r>
    </w:p>
    <w:p w:rsidR="005728DD" w:rsidRDefault="005728DD" w:rsidP="005728DD">
      <w:pPr>
        <w:pStyle w:val="TextoNormal"/>
      </w:pPr>
    </w:p>
    <w:p w:rsidR="005728DD" w:rsidRDefault="005728DD" w:rsidP="005728DD">
      <w:pPr>
        <w:pStyle w:val="TextoNormal"/>
      </w:pPr>
      <w:r>
        <w:t xml:space="preserve">d) En el fundamento de Derecho undécimo (indicado por la sentencia como XI), se razona el por qué no cabe calificar los hechos atribuidos a los acusados como constitutivos del tipo agravado de pertenencia a organización criminal del art. 369 </w:t>
      </w:r>
      <w:r w:rsidRPr="005728DD">
        <w:rPr>
          <w:i/>
        </w:rPr>
        <w:t>bis</w:t>
      </w:r>
      <w:r>
        <w:t>, párrafo primero, ni condenar por la jefatura de la misma a alguno de los acusados, conforme al párrafo segundo del mismo precepto. Señala, ante todo, que:</w:t>
      </w:r>
    </w:p>
    <w:p w:rsidR="005728DD" w:rsidRDefault="005728DD" w:rsidP="005728DD">
      <w:pPr>
        <w:pStyle w:val="TextoNormal"/>
      </w:pPr>
    </w:p>
    <w:p w:rsidR="005728DD" w:rsidRDefault="005728DD" w:rsidP="005728DD">
      <w:pPr>
        <w:pStyle w:val="TextoNormal"/>
      </w:pPr>
      <w:r>
        <w:t>“Del conjunto de las pruebas practicadas, y se percibe del relato fáctico declarado como probado, el colectivo integrado por casi todos los procesados era algo más que un simple grupo familiar, de conocidos y amigos, constituyendo una unión personal que tenía por objeto la comisión concertada de delitos contra la salud pública, es decir integraba lo que puede tener cabida, al menos, en el concepto de grupo criminal, y además en el sentido definitivo por el art 57</w:t>
      </w:r>
      <w:r w:rsidRPr="005728DD">
        <w:rPr>
          <w:i/>
        </w:rPr>
        <w:t>0 t</w:t>
      </w:r>
      <w:r>
        <w:t>er”.</w:t>
      </w:r>
    </w:p>
    <w:p w:rsidR="005728DD" w:rsidRDefault="005728DD" w:rsidP="005728DD">
      <w:pPr>
        <w:pStyle w:val="TextoNormal"/>
      </w:pPr>
    </w:p>
    <w:p w:rsidR="005728DD" w:rsidRDefault="005728DD" w:rsidP="005728DD">
      <w:pPr>
        <w:pStyle w:val="TextoNormal"/>
      </w:pPr>
      <w:r>
        <w:t xml:space="preserve">Tras la cita de algunas sentencias del Tribunal Supremo en relación con la distinción entre las figuras de la organización criminal (del art. 570 </w:t>
      </w:r>
      <w:r w:rsidRPr="005728DD">
        <w:rPr>
          <w:i/>
        </w:rPr>
        <w:t>bis</w:t>
      </w:r>
      <w:r>
        <w:t xml:space="preserve"> CP) y el grupo criminal (art. 57</w:t>
      </w:r>
      <w:r w:rsidRPr="005728DD">
        <w:rPr>
          <w:i/>
        </w:rPr>
        <w:t>0 t</w:t>
      </w:r>
      <w:r>
        <w:t>er CP), dice la sentencia:</w:t>
      </w:r>
    </w:p>
    <w:p w:rsidR="005728DD" w:rsidRDefault="005728DD" w:rsidP="005728DD">
      <w:pPr>
        <w:pStyle w:val="TextoNormal"/>
      </w:pPr>
    </w:p>
    <w:p w:rsidR="005728DD" w:rsidRDefault="005728DD" w:rsidP="005728DD">
      <w:pPr>
        <w:pStyle w:val="TextoNormal"/>
      </w:pPr>
      <w:r>
        <w:t>“Y así, para la apreciación de la organización criminal no basta cualquier estructura distributiva de funciones entre sus miembros, como pretende el Ministerio Fiscal en el presente supuesto, puesto que ello podría encontrarse naturalmente en cualquier unión o agrupación de varias personas para la comisión de delitos, sino que es preciso apreciar un reparto de responsabilidades y tareas con la suficiente consistencia y rigidez; incluso temporal, para superar las posibilidades delictivas y los consiguientes riesgos para los bienes jurídicos apreciables en los casos de codelincuencia o, incluso, de grupos criminales. Y ello, como se ha indicado en los hechos declarados probados, no ha resultado en absoluto acreditado.</w:t>
      </w:r>
    </w:p>
    <w:p w:rsidR="005728DD" w:rsidRDefault="005728DD" w:rsidP="005728DD">
      <w:pPr>
        <w:pStyle w:val="TextoNormal"/>
      </w:pPr>
    </w:p>
    <w:p w:rsidR="005728DD" w:rsidRDefault="005728DD" w:rsidP="005728DD">
      <w:pPr>
        <w:pStyle w:val="TextoNormal"/>
      </w:pPr>
      <w:r>
        <w:t xml:space="preserve">Que ello acontezca de cierta manera en el presente caso, aunque no con toda claridad, en una aproximada distribución de funciones entre los miembros de la familia Makdad (grupo de Terrasa) como en la ‘batería de Chelaia’ (grupo de San Joan Despí), que como afirmaron los principales testigos policiales de cargo […], funcionaban de forma ‘independiente’, no ha estado suficientemente acreditado que el vértice de la organización de ambos grupos se hubiera unificado y confluyera en el acusado Atik Makdad, o en su ausencia se asumiera bien por Adil Makdad bien por Siad Makdad, ni que el grupo de ‘Chelaia’ estuviera dirigido por el procesado Adil Telji o bien por el también procesado El Kamouni El Bouazzaoui, cuando el primero, rebelde, no estaba presente, o que estos acataran las órdenes o instrucciones de alguno de los anteriores dirigentes del grupo de Terrasa, aunque sí el que hubo ciertos contactos entre ellos, pero de ahí a que no fuera una mera petición de suministro, de transporte de hachís, desde el sur de la Península la formulada por Adil Makdad a Adil Telji </w:t>
      </w:r>
      <w:r>
        <w:lastRenderedPageBreak/>
        <w:t>[…], cuando se dirigía parte de la droga dirección Italia, hay una verdadera y gran diferencia.</w:t>
      </w:r>
    </w:p>
    <w:p w:rsidR="005728DD" w:rsidRDefault="005728DD" w:rsidP="005728DD">
      <w:pPr>
        <w:pStyle w:val="TextoNormal"/>
      </w:pPr>
    </w:p>
    <w:p w:rsidR="005728DD" w:rsidRDefault="005728DD" w:rsidP="005728DD">
      <w:pPr>
        <w:pStyle w:val="TextoNormal"/>
      </w:pPr>
      <w:r>
        <w:t>La distinción entre organización y grupo, por lo tanto, se encuentra perfectamente clarificada y no puede, ni debe pretenderse el que se efectúe una interpretación amplia o extensa del primer concepto en orden a preservar la observancia del principio de tipicidad en la legalidad”.</w:t>
      </w:r>
    </w:p>
    <w:p w:rsidR="005728DD" w:rsidRDefault="005728DD" w:rsidP="005728DD">
      <w:pPr>
        <w:pStyle w:val="TextoNormal"/>
      </w:pPr>
    </w:p>
    <w:p w:rsidR="005728DD" w:rsidRDefault="005728DD" w:rsidP="005728DD">
      <w:pPr>
        <w:pStyle w:val="TextoNormal"/>
      </w:pPr>
      <w:r>
        <w:t>Sobre la inexistencia de organización criminal vuelve el fundamento decimotercero (XIII) afirmando:</w:t>
      </w:r>
    </w:p>
    <w:p w:rsidR="005728DD" w:rsidRDefault="005728DD" w:rsidP="005728DD">
      <w:pPr>
        <w:pStyle w:val="TextoNormal"/>
      </w:pPr>
    </w:p>
    <w:p w:rsidR="005728DD" w:rsidRDefault="005728DD" w:rsidP="005728DD">
      <w:pPr>
        <w:pStyle w:val="TextoNormal"/>
      </w:pPr>
      <w:r>
        <w:t>“Debemos partir de la base de que a tenor de las pruebas practicadas, fundamentalmente del conjunto de las intervenciones telefónica practicadas y declaraciones testificales de los tres principales responsables de las mismas […], al declarar como testigos en el acto de la vista, que no ya de meras sospechas policiales o indicios criminales propios de la fase de instrucción, no obstante en modo alguno resultó acreditado suficientemente que los procesados hubieran estado de acuerdo desde un primer momento en la verificación consecutiva de un conjunto de operaciones de encargo y transporte de droga desde Marruecos a España, su transporte y almacenaje en España, y su transporte hacia el extranjero, principalmente Francia e Italia, aunque se efectuaron, ni que hubieran colaborado desde un primer momento de forma conjunta y estructuradamente bajo el seno de una estructura más o menos organizada dirigida por Atik Makdad (alias Rais), sustituido por Adil Makdad (alias Negro) y Said Makdad (alias el Menor) durante las estancias fuera de España del primero durante los años 2014 y 2015 al que vienen referidas los hechos tal y como vienen imputados, y destinada a la comisión de ilícitos penales de tráfico de drogas; ni tampoco el que desde un primer momento existiera una relación jerárquica entre ellos ajena a la familiar, ni incluso de dependencia funcional de unos respecto de otros, ni dirigida a compartir el correspondiente provecho económico en función de su individual labor acometida o desarrollada, aunque sí se reconoce, se reitera, el mantenimiento de continuas conversaciones telefónicas entre los procesados e incluso el traspaso de muestras entre los mismos, lo que va a determinar la necesidad de entrar a enjuiciar y valorar los hechos respecto de cada procesado, salvo en los supuestos en los que se acreditó que intervinieron más de uno de ellos, o interviniera uno en más de una ocasión.</w:t>
      </w:r>
    </w:p>
    <w:p w:rsidR="005728DD" w:rsidRDefault="005728DD" w:rsidP="005728DD">
      <w:pPr>
        <w:pStyle w:val="TextoNormal"/>
      </w:pPr>
    </w:p>
    <w:p w:rsidR="005728DD" w:rsidRDefault="005728DD" w:rsidP="005728DD">
      <w:pPr>
        <w:pStyle w:val="TextoNormal"/>
      </w:pPr>
      <w:r>
        <w:t>Y ello por cuanto, como ha resultado recogido en los apartados de los hechos declarados probados, de la prueba practicada en el acto de la vista en juicio oral en base a los principios de inmediación y contradicción y en juicio racional y lógico conforme prescribe el artículo 741 de la Ley de enjuiciamiento criminal, solamente ha resultado acreditado que los procesados se conocían entre sí, eran muchos parientes de la misma familia (Makdad), y ello reconocido incluso por los propios agentes que depusieron como testigos (Mossos d’Esquadra y agentes del CNP) afirmando además que actuaban en dos baterías independientes una de la otra (grupo de Terrassa y grupo de Sant Joan Despí), pero el que ambos grupos estuvieran dirigidos por Atik Makdad, no deja de ser una apreciación y valoración subjetiva de la acusación”.</w:t>
      </w:r>
    </w:p>
    <w:p w:rsidR="005728DD" w:rsidRDefault="005728DD" w:rsidP="005728DD">
      <w:pPr>
        <w:pStyle w:val="TextoNormal"/>
      </w:pPr>
    </w:p>
    <w:p w:rsidR="005728DD" w:rsidRDefault="005728DD" w:rsidP="005728DD">
      <w:pPr>
        <w:pStyle w:val="TextoNormal"/>
      </w:pPr>
      <w:r>
        <w:t>e) Respecto de la prueba de cargo contra el aquí recurrente, el fundamento de Derecho decimocuarto (XIV) precisa que:</w:t>
      </w:r>
    </w:p>
    <w:p w:rsidR="005728DD" w:rsidRDefault="005728DD" w:rsidP="005728DD">
      <w:pPr>
        <w:pStyle w:val="TextoNormal"/>
      </w:pPr>
    </w:p>
    <w:p w:rsidR="005728DD" w:rsidRDefault="005728DD" w:rsidP="005728DD">
      <w:pPr>
        <w:pStyle w:val="TextoNormal"/>
      </w:pPr>
      <w:r>
        <w:lastRenderedPageBreak/>
        <w:t>“[…] la participación del procesado Atik Makdad viene acreditada por las manifestaciones de los numerosos policías que han depuesto en el acto de la vista, de las conversaciones telefónicas de los teléfonos intervenidos al mismo o a terceros en los que se refieren al mismo, las vigilancias y seguimientos de su persona, documentados y obrantes en autos y el resultado de la entrada y registro de su domicilio”.</w:t>
      </w:r>
    </w:p>
    <w:p w:rsidR="005728DD" w:rsidRDefault="005728DD" w:rsidP="005728DD">
      <w:pPr>
        <w:pStyle w:val="TextoNormal"/>
      </w:pPr>
    </w:p>
    <w:p w:rsidR="005728DD" w:rsidRDefault="005728DD" w:rsidP="005728DD">
      <w:pPr>
        <w:pStyle w:val="TextoNormal"/>
      </w:pPr>
      <w:r>
        <w:t>Detallándose en los fundamentos decimocuarto a decimosexto el resultado de lo declarado por varios funcionarios policiales (Mossos d’Esquadra) en diversas operaciones de transporte de la droga, producto de los seguimientos realizados a vehículos utilizados por el entramado por varias partes del territorio nacional, y por conversaciones telefónicas intervenidas a varios de los acusados, indica luego que:</w:t>
      </w:r>
    </w:p>
    <w:p w:rsidR="005728DD" w:rsidRDefault="005728DD" w:rsidP="005728DD">
      <w:pPr>
        <w:pStyle w:val="TextoNormal"/>
      </w:pPr>
    </w:p>
    <w:p w:rsidR="005728DD" w:rsidRDefault="005728DD" w:rsidP="005728DD">
      <w:pPr>
        <w:pStyle w:val="TextoNormal"/>
      </w:pPr>
      <w:r>
        <w:t>“Y si bien ello precisamente permite acreditar un cierto nivel de dirección y control del acusado Atik Makdad en el grupo o colectividad criminal de Terrassa, lo que viene asimismo acreditado por las conversaciones intervenidas a Mohamed Makdad y mantenidas con Atik Makdad, en el que este le daba instrucciones al primero para que llamara al también procesado Tarik Rhilan para que fuera a buscar la mercancía citada y le dijera a Yassine Ezzouliti que abandonara la autopista, para luego decirles que cambiaran de coche y se unieran al mismo para localizar la mercancía abandonada, relevando no por ello, se insiste, se determina la existencia de una organización criminal dirigida por el mismo, con dependencia funcional de todos los demás partícipes, ni una dirección efectiva sobre el grupo de Sant Joan Despí”.</w:t>
      </w:r>
    </w:p>
    <w:p w:rsidR="005728DD" w:rsidRDefault="005728DD" w:rsidP="005728DD">
      <w:pPr>
        <w:pStyle w:val="TextoNormal"/>
      </w:pPr>
    </w:p>
    <w:p w:rsidR="005728DD" w:rsidRDefault="005728DD" w:rsidP="005728DD">
      <w:pPr>
        <w:pStyle w:val="TextoNormal"/>
      </w:pPr>
      <w:r>
        <w:t>Así como en el fundamento de Derecho decimoséptimo (XVII):</w:t>
      </w:r>
    </w:p>
    <w:p w:rsidR="005728DD" w:rsidRDefault="005728DD" w:rsidP="005728DD">
      <w:pPr>
        <w:pStyle w:val="TextoNormal"/>
      </w:pPr>
    </w:p>
    <w:p w:rsidR="005728DD" w:rsidRDefault="005728DD" w:rsidP="005728DD">
      <w:pPr>
        <w:pStyle w:val="TextoNormal"/>
      </w:pPr>
      <w:r>
        <w:t>“Y todo ello fue corroborado por las manifestaciones de los mossos d’esquadra, entre ellos el 3039, que recordaba una conversación en la que el procesado Carvajal López le preguntaba a Adil Telji si había llegado ‘el jefe’ y si quería verlo que trajera dinero (folios 3711, 3712 y 3713); o el 7956, al preguntársele sobre los terminales móviles que había tenido que analizar, y que sostuvo que existían conversaciones de miembros de ‘la batería de Chelaia’ que decían que trabajaban con otros, sin poder precisar cuáles, y son documentadas en las conversaciones de los teléfonos del procesado Adil Telji (folios 2699 a 2792) y este afirmando que llevaba trabajando seis años con Atik (folios 3070 a 3072); u otra conversación en la que Telji dice que ha trabajado con muchos pero nadie mejor que Atik, porque no está llamando continuamente para saber cómo van las cosas (folio 2703)”.</w:t>
      </w:r>
    </w:p>
    <w:p w:rsidR="005728DD" w:rsidRDefault="005728DD" w:rsidP="005728DD">
      <w:pPr>
        <w:pStyle w:val="TextoNormal"/>
      </w:pPr>
    </w:p>
    <w:p w:rsidR="005728DD" w:rsidRDefault="005728DD" w:rsidP="005728DD">
      <w:pPr>
        <w:pStyle w:val="TextoNormal"/>
      </w:pPr>
      <w:r>
        <w:t>Mientras que en el fundamento de Derecho decimoctavo (XVIII) se da cuenta del resultado de la diligencia de entrada y registro practicado en el domicilio del recurrente y la diversidad de objetos y aparatos relacionados con la actividad delictiva atribuida al grupo, entre ellos veinte teléfonos móviles y una libreta con anotaciones en las que se emplea una jerga particular para referirse a los fardos de hachís, y las ciudades donde se realizaron transacciones. Entre los móviles incautados se encuentra el llamado “indicio A5”, que evidencia que el recurrente “también tenía no solo conocimiento” de una de las operaciones sino que “desarrollaba el control de la misma”. También “el indicio A27, otro móvil […] a través del cual se revela que el acusado Atik Makdad siguió manteniendo la jefatura y control, en cierta medida, del colectivo criminal de Terrasa, dando órdenes, instrucciones y directrices”.</w:t>
      </w:r>
    </w:p>
    <w:p w:rsidR="005728DD" w:rsidRDefault="005728DD" w:rsidP="005728DD">
      <w:pPr>
        <w:pStyle w:val="TextoNormal"/>
      </w:pPr>
    </w:p>
    <w:p w:rsidR="005728DD" w:rsidRDefault="005728DD" w:rsidP="005728DD">
      <w:pPr>
        <w:pStyle w:val="TextoNormal"/>
      </w:pPr>
      <w:r>
        <w:lastRenderedPageBreak/>
        <w:t>f) Calificados los hechos como un delito contra la salud pública del art. 368 CP, en su modalidad de sustancias que no causan grave daño a la salud, en relación con el tipo agravado del art. 369.1.5 CP, de cantidad de notoria importancia (fundamento trigésimo noveno —XXXIX—), la sentencia considera responsables a los procesados, incluyendo al aquí recurrente, como coautores, “conforme a lo dispuesto en los artículos 27 y 28, párrafo primero, del Código penal (fundamento cuadragésimo —XL—), excepto tres de los acusados a los que se absuelve por falta de prueba de cargo. Se le aplica además al recurrente la atenuante de análoga significación del art. 21.7 CP (haber causado el delito por su grave adicción a las drogas), siendo merecedor de la pena que luego se traslada al fallo y se ha transcrito antes, por “su activa dirección y participación en el grupo criminal y en casi todos los casos y la concurrencia de la citada circunstancia atenuante” (fundamento cuadragésimo primero —XLI—).</w:t>
      </w:r>
    </w:p>
    <w:p w:rsidR="005728DD" w:rsidRDefault="005728DD" w:rsidP="005728DD">
      <w:pPr>
        <w:pStyle w:val="TextoNormal"/>
      </w:pPr>
    </w:p>
    <w:p w:rsidR="005728DD" w:rsidRDefault="005728DD" w:rsidP="005728DD">
      <w:pPr>
        <w:pStyle w:val="TextoNormal"/>
      </w:pPr>
      <w:r>
        <w:t>B) Contra la indicada sentencia de instancia promovieron recursos de casación varias de las defensas, así como el Ministerio Fiscal. En lo que hace al formalizado por este último, su recurso se articuló en dos motivos:</w:t>
      </w:r>
    </w:p>
    <w:p w:rsidR="005728DD" w:rsidRDefault="005728DD" w:rsidP="005728DD">
      <w:pPr>
        <w:pStyle w:val="TextoNormal"/>
      </w:pPr>
    </w:p>
    <w:p w:rsidR="005728DD" w:rsidRDefault="005728DD" w:rsidP="005728DD">
      <w:pPr>
        <w:pStyle w:val="TextoNormal"/>
      </w:pPr>
      <w:r>
        <w:t xml:space="preserve">El primero, “por infracción de ley, al amparo del artículo 849.1 de la LECrim, por inaplicación indebida del artículo 369 </w:t>
      </w:r>
      <w:r w:rsidRPr="005728DD">
        <w:rPr>
          <w:i/>
        </w:rPr>
        <w:t>bis</w:t>
      </w:r>
      <w:r>
        <w:t xml:space="preserve"> párrafos primero y segundo del Código penal vigente, delito contra la salud pública cometido por pertenencia a una organización delictiva y con jefatura de la misma; o alternativamente inaplicación indebida del artículo 570 </w:t>
      </w:r>
      <w:r w:rsidRPr="005728DD">
        <w:rPr>
          <w:i/>
        </w:rPr>
        <w:t>ter</w:t>
      </w:r>
      <w:r>
        <w:t>.1 b) del Código penal por pertenencia a grupo criminal”. Se alega que dicho motivo “permite la revisión de la sentencia para agravar la condena del penado, sin necesidad de celebrar nueva audiencia del acusado, pues se trata exclusivamente de decidir sobre una cuestión jurídica, es decir de modificar la interpretación de las normas aplicadas por el tribunal de instancia”, con cita de varias resoluciones del Tribunal Supremo.</w:t>
      </w:r>
    </w:p>
    <w:p w:rsidR="005728DD" w:rsidRDefault="005728DD" w:rsidP="005728DD">
      <w:pPr>
        <w:pStyle w:val="TextoNormal"/>
      </w:pPr>
    </w:p>
    <w:p w:rsidR="005728DD" w:rsidRDefault="005728DD" w:rsidP="005728DD">
      <w:pPr>
        <w:pStyle w:val="TextoNormal"/>
      </w:pPr>
      <w:r>
        <w:t xml:space="preserve">El escrito pasa a reproducir diversos pasajes de la sentencia recurrida, en los que utiliza el subrayado en las referencias personales a varios acusados, entre ellos el aquí recurrente: “Atik Makdad, ocupaba una posición de coordinación preeminente entre los demás familiares”; “en ocasiones, [se encargaba] de la supervisión de los grupos que se encargaban del transporte de la ilícita mercancía”; “sí les daba frecuentes instrucciones telefónicas, disponía sobre las muestras de sustancia y sobre el destino de la sustancia almacenada. ordenando pagos”; “Adil Makdad, alias Negro, ejercía las mismas funciones en los períodos temporales en los que Atik Makdad se ausentó a Marruecos, siendo de febrero a septiembre de 2014 enero y febrero de 2015 durante el período investigado, y se encargaba de coordinar, la gestión operativa y de activar los vehículos que se desplazarían hacia el sur de España para hacerse con la sustancia estupefaciente, de aprovisionarse de la misma y de distribuirla a terceros en la localidad de Terrasa, la gestión comercial de la ilícita actividad posterior”; “[Adil] trasladaba las instrucciones de Atik relacionadas con la actividad, delictiva, actuando como intermediario, en las comunicaciones de su hermano con el resto de miembros del colectivo criminal y con terceros que colaboraban con ellos y compartiendo con él el desarrollo de la actividad delictiva”; “[d]e común acuerdo con los anteriores, el procesado Said Makdad alias el Menor, sobrino de Atik, Adil y Mohamed Makdad, ostentaba una posición de control de vehículos y personas encargados de los transportes de la ilícita mercancía”; “siguiendo las indicaciones de Atik y Adil Makdad se encargaba [Said] de la distribución de la sustancia estupefaciente hachís fuera de España y de la devolución de la mercancía defectuosa”; “el procesado Mohamed Makdad hermano de Atik y Adil Makdad </w:t>
      </w:r>
      <w:r>
        <w:lastRenderedPageBreak/>
        <w:t>y tío de Said Makdad, en colaboración con ellos y siguiendo sus indicaciones”, “[Abdellah El Kamouni] tenía a su cargo el aprovisionamiento de teléfonos […], la intervención en los contactos posteriores para la venta, en los que actuaba por indicaciones de Adil Makdad”, “[a] tales efectos, José Carvajal, mantenía contactos telefónicos y encuentros personales y frecuentes con Atik, Adil y Said Makdad dirigentes del colectivo antes descrito”.</w:t>
      </w:r>
    </w:p>
    <w:p w:rsidR="005728DD" w:rsidRDefault="005728DD" w:rsidP="005728DD">
      <w:pPr>
        <w:pStyle w:val="TextoNormal"/>
      </w:pPr>
    </w:p>
    <w:p w:rsidR="005728DD" w:rsidRDefault="005728DD" w:rsidP="005728DD">
      <w:pPr>
        <w:pStyle w:val="TextoNormal"/>
      </w:pPr>
      <w:r>
        <w:t>Afirma el fiscal en relación con el grupo o colectivo de Terrassa, que lo que la sentencia describe es “un colectivo estable con un centro de decisiones o eje central asumido por dos de los procesados Atik Makdad y Adil Makdad sustituyendo este al primero en sus funciones cuando aquel no se encuentra en España, que gestionan, supervisan, deciden, disponen, ordenan y dan instrucciones telefónicas al resto de los componentes de la agrupación; una estructura en la que cada uno de los integrantes tiene asumida una función con distinto grado de responsabilidad […]”. Y que las mismas características cabe reconocer en el colectivo de Sant Joan Despí, en el que la sentencia recoge la misma estructura antes expuesta”.</w:t>
      </w:r>
    </w:p>
    <w:p w:rsidR="005728DD" w:rsidRDefault="005728DD" w:rsidP="005728DD">
      <w:pPr>
        <w:pStyle w:val="TextoNormal"/>
      </w:pPr>
    </w:p>
    <w:p w:rsidR="005728DD" w:rsidRDefault="005728DD" w:rsidP="005728DD">
      <w:pPr>
        <w:pStyle w:val="TextoNormal"/>
      </w:pPr>
      <w:r>
        <w:t xml:space="preserve">Subsidiariamente, el fiscal propuso en el mismo motivo de su recurso la calificación de ambos colectivos como grupos criminales del artículo 570 </w:t>
      </w:r>
      <w:r w:rsidRPr="005728DD">
        <w:rPr>
          <w:i/>
        </w:rPr>
        <w:t>ter</w:t>
      </w:r>
      <w:r>
        <w:t xml:space="preserve"> CP; tal y como, advierte, indica la sentencia en uno de sus pasajes. De nuevo citando esta, señala que el recurrente “siguió manteniendo la jefatura y control, en cierta medida, del colectivo criminal de Terrassa, dando órdenes, instrucciones y directrices”, y que en el apartado XLI de la sentencia se justifica la pena del recurrente por “su activa dirección y participación en el grupo criminal y en casi todos los casos. No obstante lo anterior el tribunal no condena por grupo criminal […]”.</w:t>
      </w:r>
    </w:p>
    <w:p w:rsidR="005728DD" w:rsidRDefault="005728DD" w:rsidP="005728DD">
      <w:pPr>
        <w:pStyle w:val="TextoNormal"/>
      </w:pPr>
    </w:p>
    <w:p w:rsidR="005728DD" w:rsidRDefault="005728DD" w:rsidP="005728DD">
      <w:pPr>
        <w:pStyle w:val="TextoNormal"/>
      </w:pPr>
      <w:r>
        <w:t xml:space="preserve">En el escrito se argumenta la procedencia de las calificaciones propuestas con jurisprudencia de la Sala Segunda del Tribunal Supremo, y se añade que con ello no se produce infracción del principio acusatorio: “La acusación incluía la pertenencia a una organización, aunque por aplicación del artículo 570 </w:t>
      </w:r>
      <w:r w:rsidRPr="005728DD">
        <w:rPr>
          <w:i/>
        </w:rPr>
        <w:t>quater</w:t>
      </w:r>
      <w:r>
        <w:t xml:space="preserve">.2, párrafo segundo, se aplicara el artículo 369 </w:t>
      </w:r>
      <w:r w:rsidRPr="005728DD">
        <w:rPr>
          <w:i/>
        </w:rPr>
        <w:t>bis</w:t>
      </w:r>
      <w:r>
        <w:t>. Los hechos no han sido alterados, y el delito de pertenencia a grupo criminal es homogéneo con el delito por el que se acusaba; contiene las mismas exigencias típicas, aunque en menor número, que las propias de aquel; y es menos grave”.</w:t>
      </w:r>
    </w:p>
    <w:p w:rsidR="005728DD" w:rsidRDefault="005728DD" w:rsidP="005728DD">
      <w:pPr>
        <w:pStyle w:val="TextoNormal"/>
      </w:pPr>
    </w:p>
    <w:p w:rsidR="005728DD" w:rsidRDefault="005728DD" w:rsidP="005728DD">
      <w:pPr>
        <w:pStyle w:val="TextoNormal"/>
      </w:pPr>
      <w:r>
        <w:t>El segundo motivo del recurso de casación del fiscal, sin incidencia para este recurso de amparo, se dedujo “también por infracción de ley del artículo 849.1 LECrim por aplicación indebida del artículo 21.7 del Código penal, al apreciar la atenuante de análoga significación, en relación a la de actuar a causa de su grave adicción a las drogas del apartado 2 del mismo artículo 21, al procesado Atik Makdad”.</w:t>
      </w:r>
    </w:p>
    <w:p w:rsidR="005728DD" w:rsidRDefault="005728DD" w:rsidP="005728DD">
      <w:pPr>
        <w:pStyle w:val="TextoNormal"/>
      </w:pPr>
    </w:p>
    <w:p w:rsidR="005728DD" w:rsidRDefault="005728DD" w:rsidP="005728DD">
      <w:pPr>
        <w:pStyle w:val="TextoNormal"/>
      </w:pPr>
      <w:r>
        <w:t xml:space="preserve">Termina la fundamentación del escrito diciendo que “procedía la condena a los procesados por el delito objeto de acusación, delito contra la salud pública referido a sustancias que no causan grave daño a la salud en cantidad de notoria importancia y pertenencia a organización, previsto y penado en los artículos 368.l, 369.l.5 y 369 </w:t>
      </w:r>
      <w:r w:rsidRPr="005728DD">
        <w:rPr>
          <w:i/>
        </w:rPr>
        <w:t>bis</w:t>
      </w:r>
      <w:r>
        <w:t xml:space="preserve">, párrafos primero y segundo, del Código penal, o subsidiariamente por delito contra la salud pública de sustancias que no causan grave daño a la salud en cantidad de notoria importancia de los artículos 368.1 y 369.1.5 y pertenencia a grupo criminal del artículo 570 </w:t>
      </w:r>
      <w:r w:rsidRPr="005728DD">
        <w:rPr>
          <w:i/>
        </w:rPr>
        <w:t>ter</w:t>
      </w:r>
      <w:r>
        <w:t>.1 b) del Código penal. Y en cualquiera de los casos con imputabilidad plena del procesado Atik Makdad”.</w:t>
      </w:r>
    </w:p>
    <w:p w:rsidR="005728DD" w:rsidRDefault="005728DD" w:rsidP="005728DD">
      <w:pPr>
        <w:pStyle w:val="TextoNormal"/>
      </w:pPr>
    </w:p>
    <w:p w:rsidR="005728DD" w:rsidRDefault="005728DD" w:rsidP="005728DD">
      <w:pPr>
        <w:pStyle w:val="TextoNormal"/>
      </w:pPr>
      <w:r>
        <w:lastRenderedPageBreak/>
        <w:t>En consecuencia se suplica a la Sala que dice sentencia declarando haber lugar al recurso, “de conformidad con la pretensión ejercitada, sin que se estime necesaria la celebración de vista”.</w:t>
      </w:r>
    </w:p>
    <w:p w:rsidR="005728DD" w:rsidRDefault="005728DD" w:rsidP="005728DD">
      <w:pPr>
        <w:pStyle w:val="TextoNormal"/>
      </w:pPr>
    </w:p>
    <w:p w:rsidR="005728DD" w:rsidRDefault="005728DD" w:rsidP="005728DD">
      <w:pPr>
        <w:pStyle w:val="TextoNormal"/>
      </w:pPr>
      <w:r>
        <w:t>C) La Sala de lo Penal del Tribunal Supremo, por sentencia de 8 de noviembre de 2018 (recursos de casación acumulados bajo el núm. 10612-2017) acordó, en lo que aquí importa:</w:t>
      </w:r>
    </w:p>
    <w:p w:rsidR="005728DD" w:rsidRDefault="005728DD" w:rsidP="005728DD">
      <w:pPr>
        <w:pStyle w:val="TextoNormal"/>
      </w:pPr>
    </w:p>
    <w:p w:rsidR="005728DD" w:rsidRDefault="005728DD" w:rsidP="005728DD">
      <w:pPr>
        <w:pStyle w:val="TextoNormal"/>
      </w:pPr>
      <w:r>
        <w:t>“1.- Estimar parcialmente el recurso del Ministerio Fiscal por estimación de los motivos primero y segundo de su recurso y en su virtud casamos y anulamos la sentencia dictada por dicho tribunal de instancia”.</w:t>
      </w:r>
    </w:p>
    <w:p w:rsidR="005728DD" w:rsidRDefault="005728DD" w:rsidP="005728DD">
      <w:pPr>
        <w:pStyle w:val="TextoNormal"/>
      </w:pPr>
    </w:p>
    <w:p w:rsidR="005728DD" w:rsidRDefault="005728DD" w:rsidP="005728DD">
      <w:pPr>
        <w:pStyle w:val="TextoNormal"/>
      </w:pPr>
      <w:r>
        <w:t>Y mediante segunda sentencia dictada en la misma fecha, declaró en el fundamento de Derecho primero que:</w:t>
      </w:r>
    </w:p>
    <w:p w:rsidR="005728DD" w:rsidRDefault="005728DD" w:rsidP="005728DD">
      <w:pPr>
        <w:pStyle w:val="TextoNormal"/>
      </w:pPr>
    </w:p>
    <w:p w:rsidR="005728DD" w:rsidRDefault="005728DD" w:rsidP="005728DD">
      <w:pPr>
        <w:pStyle w:val="TextoNormal"/>
      </w:pPr>
      <w:r>
        <w:t>“En virtud de las razones que han quedado expuestas en la anterior sentencia, los hechos atribuidos a Atik Makdad, Adbdellah El Kamouni, Said Makdad, Adil Makdad, Abdellah Lakhal, El Habib Makdad, Mohamed Makdad, Marouan Makdad, Tharik Rhilan Zbakh, Yassine Ezzouiti, y José Carvajal López son constitutivos de un delito contra la salud pública de sustancia que no causa grave daño a la salud del art. 36</w:t>
      </w:r>
      <w:r w:rsidRPr="005728DD">
        <w:rPr>
          <w:i/>
        </w:rPr>
        <w:t>9 b</w:t>
      </w:r>
      <w:r>
        <w:t>is CP.</w:t>
      </w:r>
    </w:p>
    <w:p w:rsidR="005728DD" w:rsidRDefault="005728DD" w:rsidP="005728DD">
      <w:pPr>
        <w:pStyle w:val="TextoNormal"/>
      </w:pPr>
    </w:p>
    <w:p w:rsidR="005728DD" w:rsidRDefault="005728DD" w:rsidP="005728DD">
      <w:pPr>
        <w:pStyle w:val="TextoNormal"/>
      </w:pPr>
      <w:r>
        <w:t xml:space="preserve">Respecto de Atik Makdad es aplicable además la condición de jefe o encargado prevista en el citado precepto (art. </w:t>
      </w:r>
      <w:r w:rsidRPr="005728DD">
        <w:rPr>
          <w:i/>
        </w:rPr>
        <w:t>369</w:t>
      </w:r>
      <w:r>
        <w:t xml:space="preserve"> bis 2)”.</w:t>
      </w:r>
    </w:p>
    <w:p w:rsidR="005728DD" w:rsidRDefault="005728DD" w:rsidP="005728DD">
      <w:pPr>
        <w:pStyle w:val="TextoNormal"/>
      </w:pPr>
    </w:p>
    <w:p w:rsidR="005728DD" w:rsidRDefault="005728DD" w:rsidP="005728DD">
      <w:pPr>
        <w:pStyle w:val="TextoNormal"/>
      </w:pPr>
      <w:r>
        <w:t>De la primera de las dos sentencias dictadas, procede destacar lo que sigue:</w:t>
      </w:r>
    </w:p>
    <w:p w:rsidR="005728DD" w:rsidRDefault="005728DD" w:rsidP="005728DD">
      <w:pPr>
        <w:pStyle w:val="TextoNormal"/>
      </w:pPr>
    </w:p>
    <w:p w:rsidR="005728DD" w:rsidRDefault="005728DD" w:rsidP="005728DD">
      <w:pPr>
        <w:pStyle w:val="TextoNormal"/>
      </w:pPr>
      <w:r>
        <w:t>(i) El primer motivo del fiscal se examina en el fundamento de Derecho trigésimo cuarto, al considerarlo posible la Sala dentro de sus funciones de casación, sin alterar el debate de instancia:</w:t>
      </w:r>
    </w:p>
    <w:p w:rsidR="005728DD" w:rsidRDefault="005728DD" w:rsidP="005728DD">
      <w:pPr>
        <w:pStyle w:val="TextoNormal"/>
      </w:pPr>
    </w:p>
    <w:p w:rsidR="005728DD" w:rsidRDefault="005728DD" w:rsidP="005728DD">
      <w:pPr>
        <w:pStyle w:val="TextoNormal"/>
      </w:pPr>
      <w:r>
        <w:t>“El cauce previsto en el art. 849.1 LECrim que sirve de canal al fiscal para entablar este primer doble motivo ha de tener como estricto punto de referencia el relato de hechos probados. Precisamente por ser ajena a tal cauce casacional cualquier actividad de valoración probatoria, es factible la revisión de la sentencia en sentido agravatorio sin necesidad de audiencia del acusado, ni de presenciar las pruebas. Hay que decidir en exclusiva sobre una cuestión jurídica (por todas —el fiscal cita un buen ramillete de precedentes—, STS 641/2017, de 28 de septiembre).</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Es verdad que en los hechos probados la audiencia ha incluido algunas afirmaciones —más valorativas que descriptivas o narrativas— que tratan de condicionar la respuesta a ese interrogante jurídico: ‘[…] quienes iban interviniendo en diversos momentos, grupos y ocasiones, sin que conste acreditado no obstante que fueran a compartir el provecho económico que obtuvieran entre todos y según un convenio de reglas de reparto en función del respectivo protagonismo criminal, pero que conformaron un entramado codelictual para introducir en nuestro país importantes cantidades de sustancia estupefaciente, hachís, procedentes de Marruecos, país donde contaban con la colaboración de terceras personas cuya identidad completa no ha podido determinarse […]’ [...].</w:t>
      </w:r>
    </w:p>
    <w:p w:rsidR="005728DD" w:rsidRDefault="005728DD" w:rsidP="005728DD">
      <w:pPr>
        <w:pStyle w:val="TextoNormal"/>
      </w:pPr>
    </w:p>
    <w:p w:rsidR="005728DD" w:rsidRDefault="005728DD" w:rsidP="005728DD">
      <w:pPr>
        <w:pStyle w:val="TextoNormal"/>
      </w:pPr>
      <w:r>
        <w:t>Y más adelante: ‘[…] no ha resultado suficientemente acreditado que todo el colectivo dispusiera de una estructura organizativa jerárquica con un núcleo responsable, situado en su eje central, y con reparto claro de funciones, pero sí el que actuaban com</w:t>
      </w:r>
      <w:r w:rsidRPr="005728DD">
        <w:rPr>
          <w:i/>
        </w:rPr>
        <w:t>o baterías o grupos independient</w:t>
      </w:r>
      <w:r>
        <w:t>es’.</w:t>
      </w:r>
    </w:p>
    <w:p w:rsidR="005728DD" w:rsidRDefault="005728DD" w:rsidP="005728DD">
      <w:pPr>
        <w:pStyle w:val="TextoNormal"/>
      </w:pPr>
    </w:p>
    <w:p w:rsidR="005728DD" w:rsidRDefault="005728DD" w:rsidP="005728DD">
      <w:pPr>
        <w:pStyle w:val="TextoNormal"/>
      </w:pPr>
      <w:r>
        <w:t>Pero atendiendo al conjunto del hecho probado y sin negar esos concretos extremos, se puede fiscalizar esa cuestión”.</w:t>
      </w:r>
    </w:p>
    <w:p w:rsidR="005728DD" w:rsidRDefault="005728DD" w:rsidP="005728DD">
      <w:pPr>
        <w:pStyle w:val="TextoNormal"/>
      </w:pPr>
    </w:p>
    <w:p w:rsidR="005728DD" w:rsidRDefault="005728DD" w:rsidP="005728DD">
      <w:pPr>
        <w:pStyle w:val="TextoNormal"/>
      </w:pPr>
      <w:r>
        <w:t>Hecha esta precisión, la sentencia formula en el fundamento trigésimo quinto una distinción entre los conceptos de codelincuencia (como califica la sentencia impugnada las actividades de los coacusados), grupo criminal y organización criminal, con cita para ello de su jurisprudencia; del art. 2 de la Convención de las Naciones Unidas contra la Delincuencia Organizada Transnacional, hecha en Nueva York de 15 de noviembre de 2000; y de los arts. 57</w:t>
      </w:r>
      <w:r w:rsidRPr="005728DD">
        <w:rPr>
          <w:i/>
        </w:rPr>
        <w:t>0 b</w:t>
      </w:r>
      <w:r>
        <w:t>is y 57</w:t>
      </w:r>
      <w:r w:rsidRPr="005728DD">
        <w:rPr>
          <w:i/>
        </w:rPr>
        <w:t>0 ter in fi</w:t>
      </w:r>
      <w:r>
        <w:t>ne CP, que sirven de interpretación de lo dispuesto a su vez en el art. 36</w:t>
      </w:r>
      <w:r w:rsidRPr="005728DD">
        <w:rPr>
          <w:i/>
        </w:rPr>
        <w:t>9 b</w:t>
      </w:r>
      <w:r>
        <w:t>is CP.</w:t>
      </w:r>
    </w:p>
    <w:p w:rsidR="005728DD" w:rsidRDefault="005728DD" w:rsidP="005728DD">
      <w:pPr>
        <w:pStyle w:val="TextoNormal"/>
      </w:pPr>
    </w:p>
    <w:p w:rsidR="005728DD" w:rsidRDefault="005728DD" w:rsidP="005728DD">
      <w:pPr>
        <w:pStyle w:val="TextoNormal"/>
      </w:pPr>
      <w:r>
        <w:t>Sobre esta base, y específicamente en relación con el llamado por la sentencia de instancia “grupo de Terrassa” en el que se integra el aquí recurrente (al grupo de Sant Joan Despí dedica la sentencia el posterior fundamento trigésimo octavo), la sentencia de casación cuestiona a renglón seguido los argumentos dados por la audiencia para descartar la existencia de una organización criminal:</w:t>
      </w:r>
    </w:p>
    <w:p w:rsidR="005728DD" w:rsidRDefault="005728DD" w:rsidP="005728DD">
      <w:pPr>
        <w:pStyle w:val="TextoNormal"/>
      </w:pPr>
    </w:p>
    <w:p w:rsidR="005728DD" w:rsidRDefault="005728DD" w:rsidP="005728DD">
      <w:pPr>
        <w:pStyle w:val="TextoNormal"/>
      </w:pPr>
      <w:r>
        <w:t>“Las objeciones de la audiencia son refutables:</w:t>
      </w:r>
    </w:p>
    <w:p w:rsidR="005728DD" w:rsidRDefault="005728DD" w:rsidP="005728DD">
      <w:pPr>
        <w:pStyle w:val="TextoNormal"/>
      </w:pPr>
    </w:p>
    <w:p w:rsidR="005728DD" w:rsidRDefault="005728DD" w:rsidP="005728DD">
      <w:pPr>
        <w:pStyle w:val="TextoNormal"/>
      </w:pPr>
      <w:r>
        <w:t xml:space="preserve">a) Que no se haya demostrado que los dos grupos delimitados (Tarrassa y San Juan Despí) estuviesen integradas entre sí, solo significa que eran dos estructuras diferentes; es decir dos </w:t>
      </w:r>
      <w:r w:rsidRPr="005728DD">
        <w:rPr>
          <w:i/>
        </w:rPr>
        <w:t>organizaciones</w:t>
      </w:r>
      <w:r>
        <w:t xml:space="preserve"> —o dos </w:t>
      </w:r>
      <w:r w:rsidRPr="005728DD">
        <w:rPr>
          <w:i/>
        </w:rPr>
        <w:t>grupos</w:t>
      </w:r>
      <w:r>
        <w:t xml:space="preserve"> diferenciados—, según entendamos. Pero de esa premisa no puede derivarse racionalmente la conclusión de que ninguno de los dos revistiese las características de la organización criminal.</w:t>
      </w:r>
    </w:p>
    <w:p w:rsidR="005728DD" w:rsidRDefault="005728DD" w:rsidP="005728DD">
      <w:pPr>
        <w:pStyle w:val="TextoNormal"/>
      </w:pPr>
    </w:p>
    <w:p w:rsidR="005728DD" w:rsidRDefault="005728DD" w:rsidP="005728DD">
      <w:pPr>
        <w:pStyle w:val="TextoNormal"/>
      </w:pPr>
      <w:r>
        <w:t>b) Para que pueda hablarse de una organización no hace falta que esté prediseñado un reparto de beneficios proporcional. Esa nota —que se dice no acreditada— no excluye la organización. Es inferencia lógica que todos los partícipes en la actividad delictiva obtendrían algún beneficio económico. Pero eso incluso sería secundario. No es necesario acreditar repartos d</w:t>
      </w:r>
      <w:r w:rsidRPr="005728DD">
        <w:rPr>
          <w:i/>
        </w:rPr>
        <w:t>e dividend</w:t>
      </w:r>
      <w:r>
        <w:t xml:space="preserve">os </w:t>
      </w:r>
      <w:r w:rsidRPr="005728DD">
        <w:rPr>
          <w:i/>
        </w:rPr>
        <w:t>u honorari</w:t>
      </w:r>
      <w:r>
        <w:t>os prefijados.</w:t>
      </w:r>
    </w:p>
    <w:p w:rsidR="005728DD" w:rsidRDefault="005728DD" w:rsidP="005728DD">
      <w:pPr>
        <w:pStyle w:val="TextoNormal"/>
      </w:pPr>
    </w:p>
    <w:p w:rsidR="005728DD" w:rsidRDefault="005728DD" w:rsidP="005728DD">
      <w:pPr>
        <w:pStyle w:val="TextoNormal"/>
      </w:pPr>
      <w:r>
        <w:t xml:space="preserve">c) La variación temporal de funciones y roles tampoco deconstruye una organización. Que unas veces intervengan unos y, otras ocasiones otros —algunos coincidentes, otros no—, que algunos realicen funciones variables; que quien actúa como lanzadera no lo haga en otra ocasión, etc… tampoco se presenta como algo incompatible con la existencia de la organización tal y como la configuran los arts. 369 </w:t>
      </w:r>
      <w:r w:rsidRPr="005728DD">
        <w:rPr>
          <w:i/>
        </w:rPr>
        <w:t>bis</w:t>
      </w:r>
      <w:r>
        <w:t xml:space="preserve"> CP y 570 </w:t>
      </w:r>
      <w:r w:rsidRPr="005728DD">
        <w:rPr>
          <w:i/>
        </w:rPr>
        <w:t>bis</w:t>
      </w:r>
      <w:r>
        <w:t>. No hace falta un organigrama rígido con un reparto de funciones inmutable y preestablecido. Estamos hablando de organización criminal, no de una asociación legal con sus estatutos y sus normas y concretos y rígidos puestos de trabajo o funciones asignadas dentro de un organigrama estable. Unas ciertas dosis de informalidad son casi consustanciales a una organización criminal, salvo supuestos especiales —los menos— en que se impone una férrea disciplina (algunos grupos terroristas).</w:t>
      </w:r>
    </w:p>
    <w:p w:rsidR="005728DD" w:rsidRDefault="005728DD" w:rsidP="005728DD">
      <w:pPr>
        <w:pStyle w:val="TextoNormal"/>
      </w:pPr>
    </w:p>
    <w:p w:rsidR="005728DD" w:rsidRDefault="005728DD" w:rsidP="005728DD">
      <w:pPr>
        <w:pStyle w:val="TextoNormal"/>
      </w:pPr>
      <w:r>
        <w:t>Nos encontramos, según describen los hechos probados, con un abultado grupo de personas que además de los vínculos familiares comparten esa ilícita actividad.</w:t>
      </w:r>
    </w:p>
    <w:p w:rsidR="005728DD" w:rsidRDefault="005728DD" w:rsidP="005728DD">
      <w:pPr>
        <w:pStyle w:val="TextoNormal"/>
      </w:pPr>
    </w:p>
    <w:p w:rsidR="005728DD" w:rsidRDefault="005728DD" w:rsidP="005728DD">
      <w:pPr>
        <w:pStyle w:val="TextoNormal"/>
      </w:pPr>
      <w:r>
        <w:t>El relato de hechos, parte de la existencia de dos grupos operativos distintos, independientes entre sí pero interrelacionados. El primero de ellos formado por Atik Makdad, Adil Makdad, Adbdellah El Kamouni, Said Makdad, Abdellah Lakhal, El Habib Makdad, Mohamed Makdad, Marouan Makdad, Tarik Rhilan Zbakh, Yassine Ezzouiti y José Carvajal López, de los cuales dice actuaban con ‘una falta clara de dependencia jerárquica y distribución de funciones’ (página 12), para a renglón seguido decir que ‘Atik Makdad, ocupaba una posición de coordinación preeminente entre los demás familiares, al ser el pariente mayor de todos ellos, y amigos que iban a formar los diversos grupos de Terrassa, encargándose ocasionalmente de la gestión de la compra de la droga en origen, de su venta en el punto de destino y en ocasiones, de la supervisión de los grupos que se encargaban del transporte de la ilícita mercancía, decidiendo a veces y sobre la marcha los vehículos y personas que debían efectuar cada desplazamiento para el aprovisionamiento de la droga, pero sin controlar permanentemente las actividades del resto de los componentes del colectivo, aunque sí les daba frecuentes instrucciones telefónicas, disponía sobre las muestras de sustancia y sobre el destino de la sustancia almacenada, ordenando pagos, interviniendo personalmente en ocasiones puntuales para solucionar problemas e incluso llegando a costear los gastos de asistencia letrada derivados de tales actuaciones.</w:t>
      </w:r>
    </w:p>
    <w:p w:rsidR="005728DD" w:rsidRDefault="005728DD" w:rsidP="005728DD">
      <w:pPr>
        <w:pStyle w:val="TextoNormal"/>
      </w:pPr>
    </w:p>
    <w:p w:rsidR="005728DD" w:rsidRDefault="005728DD" w:rsidP="005728DD">
      <w:pPr>
        <w:pStyle w:val="TextoNormal"/>
      </w:pPr>
      <w:r>
        <w:t>En estrecha colaboración con el anterior, su hermano el también procesado Adil Makdad, alias Negro, ejercía las mismas funciones en los períodos temporales en los que Atik Makdad se ausentó a Marruecos, siendo de febrero a septiembre de 2014 enero y febrero de 2015 durante el período investigado, y se encargaba de coordinar, la gestión operativa y de activar los vehículos y personas que se desplazarían hacía el sur de España para hacerse con la sustancia estupefaciente’”.</w:t>
      </w:r>
    </w:p>
    <w:p w:rsidR="005728DD" w:rsidRDefault="005728DD" w:rsidP="005728DD">
      <w:pPr>
        <w:pStyle w:val="TextoNormal"/>
      </w:pPr>
    </w:p>
    <w:p w:rsidR="005728DD" w:rsidRDefault="005728DD" w:rsidP="005728DD">
      <w:pPr>
        <w:pStyle w:val="TextoNormal"/>
      </w:pPr>
      <w:r>
        <w:t xml:space="preserve">Cierra la sentencia este fundamento dando sus razones por las que considera proporcionadas desde la perspectiva del art. 25 CE, las penas que contempla el art. 369 </w:t>
      </w:r>
      <w:r w:rsidRPr="005728DD">
        <w:rPr>
          <w:i/>
        </w:rPr>
        <w:t>bis</w:t>
      </w:r>
      <w:r>
        <w:t xml:space="preserve"> CP (tema este ajeno al presente amparo), tanto de la condición de integrante, como de jefe de una organización criminal de este tipo.</w:t>
      </w:r>
    </w:p>
    <w:p w:rsidR="005728DD" w:rsidRDefault="005728DD" w:rsidP="005728DD">
      <w:pPr>
        <w:pStyle w:val="TextoNormal"/>
      </w:pPr>
    </w:p>
    <w:p w:rsidR="005728DD" w:rsidRDefault="005728DD" w:rsidP="005728DD">
      <w:pPr>
        <w:pStyle w:val="TextoNormal"/>
      </w:pPr>
      <w:r>
        <w:t>(ii) En el fundamento trigésimo sexto se da contestación afirmativa a la siguiente pregunta:</w:t>
      </w:r>
    </w:p>
    <w:p w:rsidR="005728DD" w:rsidRDefault="005728DD" w:rsidP="005728DD">
      <w:pPr>
        <w:pStyle w:val="TextoNormal"/>
      </w:pPr>
    </w:p>
    <w:p w:rsidR="005728DD" w:rsidRDefault="005728DD" w:rsidP="005728DD">
      <w:pPr>
        <w:pStyle w:val="TextoNormal"/>
      </w:pPr>
      <w:r>
        <w:t>“¿Puede achacarse la condición de jefe en el sentido del art. 36</w:t>
      </w:r>
      <w:r w:rsidRPr="005728DD">
        <w:rPr>
          <w:i/>
        </w:rPr>
        <w:t>9 b</w:t>
      </w:r>
      <w:r>
        <w:t>is a alguno de los pertenecientes a tal organización?</w:t>
      </w:r>
    </w:p>
    <w:p w:rsidR="005728DD" w:rsidRDefault="005728DD" w:rsidP="005728DD">
      <w:pPr>
        <w:pStyle w:val="TextoNormal"/>
      </w:pPr>
    </w:p>
    <w:p w:rsidR="005728DD" w:rsidRDefault="005728DD" w:rsidP="005728DD">
      <w:pPr>
        <w:pStyle w:val="TextoNormal"/>
      </w:pPr>
      <w:r>
        <w:t>En la instancia el fiscal predicaba ese estatus, y por tanto postulaba la aplicación del subtipo agravado, de tres de ellos: Atik Makdad, Said Makdad y Adil Makdad.</w:t>
      </w:r>
    </w:p>
    <w:p w:rsidR="005728DD" w:rsidRDefault="005728DD" w:rsidP="005728DD">
      <w:pPr>
        <w:pStyle w:val="TextoNormal"/>
      </w:pPr>
    </w:p>
    <w:p w:rsidR="005728DD" w:rsidRDefault="005728DD" w:rsidP="005728DD">
      <w:pPr>
        <w:pStyle w:val="TextoNormal"/>
      </w:pPr>
      <w:r>
        <w:t xml:space="preserve">Si somos fieles al hecho probado Atik Makdad no puede ser apartado de esa categoría, aunque la sentencia trate de excluir una dependencia jerárquica. Atik está en una posición prevalente que dimana de todo el relato de hechos y lo informa. Ese rol es asimilable al menos, a las posiciones o categorías accesorias (encargado, administrador) utilizadas por el art. 369 </w:t>
      </w:r>
      <w:r w:rsidRPr="005728DD">
        <w:rPr>
          <w:i/>
        </w:rPr>
        <w:t>bis</w:t>
      </w:r>
      <w:r>
        <w:t xml:space="preserve"> para definir la agravación. Aparece como el muñidor de las operaciones; es </w:t>
      </w:r>
      <w:r>
        <w:lastRenderedPageBreak/>
        <w:t>quien contacta habitualmente con los proveedores; quien supervisa cada operación y, en su caso, imparte instrucciones concretas. Que sea conocido como Rais (no es necesario que esa expresión haya sido traducida por alguien en la causa; puede considerarse de conocimiento común) no es lo decisivo, pero sí es un dato que corrobora ese papel directivo, dentro lógicamente de la oficiosidad de una organización criminal respecto de la que sería absurdo exigir un nombramiento, un organigrama oficial o unos estatutos estableciendo funciones o dependencias. Los hechos probados al describir la conducta de Atik definen un sustrato del que surge con naturalidad la asignación de ese papel que atrae una penalidad agravada.</w:t>
      </w:r>
    </w:p>
    <w:p w:rsidR="005728DD" w:rsidRDefault="005728DD" w:rsidP="005728DD">
      <w:pPr>
        <w:pStyle w:val="TextoNormal"/>
      </w:pPr>
    </w:p>
    <w:p w:rsidR="005728DD" w:rsidRDefault="005728DD" w:rsidP="005728DD">
      <w:pPr>
        <w:pStyle w:val="TextoNormal"/>
      </w:pPr>
      <w:r>
        <w:t>No puede decirse lo mismo del escalón siguiente ocupado por Adil Makdad y Said Makdad. Ciertamente el primero parece asumir un papel de sustitución de Atik cuando está ausente (lugarteniente), pero esas funciones aparecen más desvaídas en el hecho probado. Además se efectúan bajo la dirección de Atik.</w:t>
      </w:r>
    </w:p>
    <w:p w:rsidR="005728DD" w:rsidRDefault="005728DD" w:rsidP="005728DD">
      <w:pPr>
        <w:pStyle w:val="TextoNormal"/>
      </w:pPr>
    </w:p>
    <w:p w:rsidR="005728DD" w:rsidRDefault="005728DD" w:rsidP="005728DD">
      <w:pPr>
        <w:pStyle w:val="TextoNormal"/>
      </w:pPr>
      <w:r>
        <w:t>Menos aún se puede predicar tal condición de Said. Está, desde luego, por encima de los que aparecen más bien como subalternos con funciones más materiales, y se identifica cierta capacidad de impartir algunas instrucciones (¿lugarteniente?). Pero es insuficiente para atribuirle la categoría de jefe, encargado o administrador”.</w:t>
      </w:r>
    </w:p>
    <w:p w:rsidR="005728DD" w:rsidRDefault="005728DD" w:rsidP="005728DD">
      <w:pPr>
        <w:pStyle w:val="TextoNormal"/>
      </w:pPr>
    </w:p>
    <w:p w:rsidR="005728DD" w:rsidRDefault="005728DD" w:rsidP="005728DD">
      <w:pPr>
        <w:pStyle w:val="TextoNormal"/>
      </w:pPr>
      <w:r>
        <w:t>(iii) En el fundamento de Derecho trigésimo séptimo, el Alto Tribunal rechaza el argumento de la defensa del recurrente sobre una posible ruptura del principio acusatorio, en el sentido de que el recurso de casación del fiscal no habría desarrollado argumentalmente una impugnación de la sentencia de instancia por no condenar al aquí recurrente como “jefe” de la organización; pese a lo cual así lo apreció la sentencia de casación. Dice la Sala Segunda:</w:t>
      </w:r>
    </w:p>
    <w:p w:rsidR="005728DD" w:rsidRDefault="005728DD" w:rsidP="005728DD">
      <w:pPr>
        <w:pStyle w:val="TextoNormal"/>
      </w:pPr>
    </w:p>
    <w:p w:rsidR="005728DD" w:rsidRDefault="005728DD" w:rsidP="005728DD">
      <w:pPr>
        <w:pStyle w:val="TextoNormal"/>
      </w:pPr>
      <w:r>
        <w:t>“Destaca la defensa de Atik Makdad en la impugnación que en el recurso del fiscal solo se reclama la condena por el at. 36</w:t>
      </w:r>
      <w:r w:rsidRPr="005728DD">
        <w:rPr>
          <w:i/>
        </w:rPr>
        <w:t>9 b</w:t>
      </w:r>
      <w:r>
        <w:t>is, pero que ya no se protesta porque no hayan sido considerados como jefes.</w:t>
      </w:r>
    </w:p>
    <w:p w:rsidR="005728DD" w:rsidRDefault="005728DD" w:rsidP="005728DD">
      <w:pPr>
        <w:pStyle w:val="TextoNormal"/>
      </w:pPr>
    </w:p>
    <w:p w:rsidR="005728DD" w:rsidRDefault="005728DD" w:rsidP="005728DD">
      <w:pPr>
        <w:pStyle w:val="TextoNormal"/>
      </w:pPr>
      <w:r>
        <w:t xml:space="preserve">Es habilidoso el argumento pero no puede ser asumido. En su recurso el fiscal alude expresamente al art. 369 </w:t>
      </w:r>
      <w:r w:rsidRPr="005728DD">
        <w:rPr>
          <w:i/>
        </w:rPr>
        <w:t>bis</w:t>
      </w:r>
      <w:r>
        <w:t xml:space="preserve"> 1º y 2º, sin renunciar a las peticiones de condena efectuadas en la instancia anudada a la aplicación de tal precepto. Si no razona específicamente sobre la condición de jefes es porque eso ya constaba en su acusación. Si no se apreció, no es en virtud de una argumentación específica y adicional de la sentencia, sino porque la audiencia no aprecia la concurrencia de ‘organización’.</w:t>
      </w:r>
    </w:p>
    <w:p w:rsidR="005728DD" w:rsidRDefault="005728DD" w:rsidP="005728DD">
      <w:pPr>
        <w:pStyle w:val="TextoNormal"/>
      </w:pPr>
    </w:p>
    <w:p w:rsidR="005728DD" w:rsidRDefault="005728DD" w:rsidP="005728DD">
      <w:pPr>
        <w:pStyle w:val="TextoNormal"/>
      </w:pPr>
      <w:r>
        <w:t>Secuela inescindible de la estimación del recurso del fiscal es que recaiga la condena específica a los jefes. Además si se lee detenidamente el recurso del fiscal (y seguro que la dirección letrada de esta defensa lo ha hecho: otra cosa es que estratégicamente haya pasado por alto esas menciones) se comprueba cómo al inicio del motivo, en su mismo enunciado, habla de ‘delito contra la salud pública cometido por pertenecientes a una organización delictiva y con jefatura de la misma’. Y en la conclusión (párrafo penúltimo de su escrito) menciona de manera expresa los párrafos primero y segundo del art. 36</w:t>
      </w:r>
      <w:r w:rsidRPr="005728DD">
        <w:rPr>
          <w:i/>
        </w:rPr>
        <w:t>9 b</w:t>
      </w:r>
      <w:r>
        <w:t>is CP.</w:t>
      </w:r>
    </w:p>
    <w:p w:rsidR="005728DD" w:rsidRDefault="005728DD" w:rsidP="005728DD">
      <w:pPr>
        <w:pStyle w:val="TextoNormal"/>
      </w:pPr>
    </w:p>
    <w:p w:rsidR="005728DD" w:rsidRDefault="005728DD" w:rsidP="005728DD">
      <w:pPr>
        <w:pStyle w:val="TextoNormal"/>
      </w:pPr>
      <w:r>
        <w:t xml:space="preserve">Es inherente al motivo interpuesto extraer todas las consecuencias de la impugnación que se hace de la sentencia: no aplicación del art. 369 </w:t>
      </w:r>
      <w:r w:rsidRPr="005728DD">
        <w:rPr>
          <w:i/>
        </w:rPr>
        <w:t>bis</w:t>
      </w:r>
      <w:r>
        <w:t xml:space="preserve">. No era necesario un motivo separado reclamando la apreciación de la agravante de jefatura; lo mismo que cuando se recurre una sentencia absolutoria, va de suyo, si el recurso prospera, apreciar la responsabilidad civil </w:t>
      </w:r>
      <w:r>
        <w:lastRenderedPageBreak/>
        <w:t>procedente aunque en el recurso ni se haya interpuesto un motivo especifico por esa cuestión (ninguna falta hace) ni se haya razonado nada al respecto.</w:t>
      </w:r>
    </w:p>
    <w:p w:rsidR="005728DD" w:rsidRDefault="005728DD" w:rsidP="005728DD">
      <w:pPr>
        <w:pStyle w:val="TextoNormal"/>
      </w:pPr>
    </w:p>
    <w:p w:rsidR="005728DD" w:rsidRDefault="005728DD" w:rsidP="005728DD">
      <w:pPr>
        <w:pStyle w:val="TextoNormal"/>
      </w:pPr>
      <w:r>
        <w:t xml:space="preserve">No hay inconveniente procesal para que, estimado un recurso del que se derivará la apreciación del art. 369 </w:t>
      </w:r>
      <w:r w:rsidRPr="005728DD">
        <w:rPr>
          <w:i/>
        </w:rPr>
        <w:t>bis</w:t>
      </w:r>
      <w:r>
        <w:t>, apliquemos este precepto distinguiendo según la conducta de cada uno. Es más, en rigor ello sería materia propia de la segunda sentencia. En la de casación basta con anular la sentencia declarando que el art. 3</w:t>
      </w:r>
      <w:r w:rsidRPr="005728DD">
        <w:rPr>
          <w:i/>
        </w:rPr>
        <w:t xml:space="preserve">69 </w:t>
      </w:r>
      <w:r>
        <w:t>bis ha sido indebidamente inaplicado.</w:t>
      </w:r>
    </w:p>
    <w:p w:rsidR="005728DD" w:rsidRDefault="005728DD" w:rsidP="005728DD">
      <w:pPr>
        <w:pStyle w:val="TextoNormal"/>
      </w:pPr>
    </w:p>
    <w:p w:rsidR="005728DD" w:rsidRDefault="005728DD" w:rsidP="005728DD">
      <w:pPr>
        <w:pStyle w:val="TextoNormal"/>
      </w:pPr>
      <w:r>
        <w:t>La segunda sentencia es la sede adecuada para extraer las consecuencias —todas las consecuencias— de esa inaplicación”.</w:t>
      </w:r>
    </w:p>
    <w:p w:rsidR="005728DD" w:rsidRDefault="005728DD" w:rsidP="005728DD">
      <w:pPr>
        <w:pStyle w:val="TextoNormal"/>
      </w:pPr>
    </w:p>
    <w:p w:rsidR="005728DD" w:rsidRDefault="005728DD" w:rsidP="005728DD">
      <w:pPr>
        <w:pStyle w:val="TextoNormal"/>
      </w:pPr>
      <w:r>
        <w:t xml:space="preserve">(iv) Por su parte, en el Fundamento de Derecho trigésimo octavo la Sala razona por qué, con base en las fuentes jurídicas antes señaladas, no procede atribuir la condición de organización criminal del art. 369 </w:t>
      </w:r>
      <w:r w:rsidRPr="005728DD">
        <w:rPr>
          <w:i/>
        </w:rPr>
        <w:t>bis</w:t>
      </w:r>
      <w:r>
        <w:t xml:space="preserve"> CP al “que la sentencia llama grupo de San Juan Despí formado por Adil Telji, El Kamouni El Bouazzaoui, Yousesef Hanbette y Rachid Fadli (además de otros ahora rebeldes) […]”; aunque sí la de pertenencia a grupo criminal del art. 570 </w:t>
      </w:r>
      <w:r w:rsidRPr="005728DD">
        <w:rPr>
          <w:i/>
        </w:rPr>
        <w:t>ter</w:t>
      </w:r>
      <w:r>
        <w:t>.1 b) CP, como subsidiariamente solicitaba el fiscal en su recurso. Finalmente, en el fundamento trigésimo noveno —sin incidencia en este amparo—, la Sala acoge también el segundo motivo del recurso del fiscal, acordando suprimir de la segunda sentencia la atenuante de drogadicción que le había reconocido la audiencia al aquí recurrente.</w:t>
      </w:r>
    </w:p>
    <w:p w:rsidR="005728DD" w:rsidRDefault="005728DD" w:rsidP="005728DD">
      <w:pPr>
        <w:pStyle w:val="TextoNormal"/>
      </w:pPr>
    </w:p>
    <w:p w:rsidR="005728DD" w:rsidRDefault="005728DD" w:rsidP="005728DD">
      <w:pPr>
        <w:pStyle w:val="TextoNormal"/>
      </w:pPr>
      <w:r>
        <w:t xml:space="preserve">D) Contra la sentencia de casación interpuso incidente de nulidad de actuaciones la defensa del aquí recurrente, por el que solicitó la nulidad parcial de la sentencia, “en orden a reparar la lesión del derecho fundamental, dejando sin efecto la aplicación de la modalidad de jefatura”. En dicho escrito se alega, con los argumentos que al efecto exponen, que la sentencia de casación “condena </w:t>
      </w:r>
      <w:r w:rsidRPr="005728DD">
        <w:rPr>
          <w:i/>
        </w:rPr>
        <w:t>ex novo</w:t>
      </w:r>
      <w:r>
        <w:t xml:space="preserve"> por conducta delictiva por el que había sido absuelto (pertenencia a organización criminal) sin celebración de vista incumpliendo la doctrina del Tribunal Constitucional y Tribunal Europeo de Derechos Humanos, además de aplicar una jefatura no expresamente desarrollada ni solicitada (de hecho la propia sentencia alude a que como no se ha renunciado expresamente, implícitamente se sobreentiende), además de incurrir en razonamiento irracional, causando todos esos vicios (autónomamente y acumulativamente) indefensión e imposibilidad de contradicción, así como se ha privado de la posibilidad de recurrir esa condena nueva, por no estar previsto legalmente un recurso ordinario”.</w:t>
      </w:r>
    </w:p>
    <w:p w:rsidR="005728DD" w:rsidRDefault="005728DD" w:rsidP="005728DD">
      <w:pPr>
        <w:pStyle w:val="TextoNormal"/>
      </w:pPr>
    </w:p>
    <w:p w:rsidR="005728DD" w:rsidRDefault="005728DD" w:rsidP="005728DD">
      <w:pPr>
        <w:pStyle w:val="TextoNormal"/>
      </w:pPr>
      <w:r>
        <w:t>E) La Sala Segunda del Tribunal Supremo desestimó el incidente de nulidad del recurrente —así como los promovidos por algunos otros coacusados— mediante auto de 25 de abril de 2019:</w:t>
      </w:r>
    </w:p>
    <w:p w:rsidR="005728DD" w:rsidRDefault="005728DD" w:rsidP="005728DD">
      <w:pPr>
        <w:pStyle w:val="TextoNormal"/>
      </w:pPr>
    </w:p>
    <w:p w:rsidR="005728DD" w:rsidRDefault="005728DD" w:rsidP="005728DD">
      <w:pPr>
        <w:pStyle w:val="TextoNormal"/>
      </w:pPr>
      <w:r>
        <w:t>(i) Luego de reproducir los hechos probados, detallar diversas operaciones de transporte de hachís por los acusados, e identificar los efectos del delito que se incautaron, conforme relata la sentencia de instancia, el auto desestima la queja de nulidad por vulneración por la sentencia de casación de la garantía de inmediación en cuanto a la consideración del grupo de Terrassa como organización criminal del art. 36</w:t>
      </w:r>
      <w:r w:rsidRPr="005728DD">
        <w:rPr>
          <w:i/>
        </w:rPr>
        <w:t>9 b</w:t>
      </w:r>
      <w:r>
        <w:t>is CP, razonando en los fundamentos de Derecho quinto a octavo lo siguiente:</w:t>
      </w:r>
    </w:p>
    <w:p w:rsidR="005728DD" w:rsidRDefault="005728DD" w:rsidP="005728DD">
      <w:pPr>
        <w:pStyle w:val="TextoNormal"/>
      </w:pPr>
    </w:p>
    <w:p w:rsidR="005728DD" w:rsidRDefault="005728DD" w:rsidP="005728DD">
      <w:pPr>
        <w:pStyle w:val="TextoNormal"/>
      </w:pPr>
      <w:r>
        <w:lastRenderedPageBreak/>
        <w:t xml:space="preserve">“Quinto.- Es indudable —en ello insisten los solicitantes— que consignar protestas de querer respetar el hecho probado no basta para esquivar las exigencias de la doctrina en que se basan las quejas; es necesario comprobar que es así. Si pese a hacerse proclamación expresa de que el razonamiento por el que se llega a una subsunción jurídica diferente y más gravosa se ajusta estrictamente al hecho probado, se aparta, no obstante, del mismo o lo altera, expresa o implícitamente, desplegará toda su eficacia la jurisprudencia europea y constitucional a tenor de la cual no cabe revisar </w:t>
      </w:r>
      <w:r w:rsidRPr="005728DD">
        <w:rPr>
          <w:i/>
        </w:rPr>
        <w:t>contra reo</w:t>
      </w:r>
      <w:r>
        <w:t xml:space="preserve"> en vía de recurso y por cuestiones probatorias pronunciamientos de otro tribunal sin haber presenciado la prueba directamente. Nada que objetar a este alegato de las partes.</w:t>
      </w:r>
    </w:p>
    <w:p w:rsidR="005728DD" w:rsidRDefault="005728DD" w:rsidP="005728DD">
      <w:pPr>
        <w:pStyle w:val="TextoNormal"/>
      </w:pPr>
    </w:p>
    <w:p w:rsidR="005728DD" w:rsidRDefault="005728DD" w:rsidP="005728DD">
      <w:pPr>
        <w:pStyle w:val="TextoNormal"/>
      </w:pPr>
      <w:r>
        <w:t>La sentencia de casación tuvo en cuenta esa limitación, y la respetó escrupulosamente.</w:t>
      </w:r>
    </w:p>
    <w:p w:rsidR="005728DD" w:rsidRDefault="005728DD" w:rsidP="005728DD">
      <w:pPr>
        <w:pStyle w:val="TextoNormal"/>
      </w:pPr>
    </w:p>
    <w:p w:rsidR="005728DD" w:rsidRDefault="005728DD" w:rsidP="005728DD">
      <w:pPr>
        <w:pStyle w:val="TextoNormal"/>
      </w:pPr>
      <w:r>
        <w:t xml:space="preserve">Es verdad que algunas afirmaciones del hecho probado —probablemente rozan, si no incurren abiertamente, en el vicio de la </w:t>
      </w:r>
      <w:r w:rsidRPr="005728DD">
        <w:rPr>
          <w:i/>
        </w:rPr>
        <w:t>predeterminación</w:t>
      </w:r>
      <w:r>
        <w:t>— parecen querer negar, de forma más apodíctica que expositiva, la presencia de prueba de estar ante un grupo organizado. Pero eso no deja de ser una valoración jurídica que, en ese estricto plano —subsunción jurídica— es desmentida por el contenido fáctico de la sentencia que describe lo que desde una perspectiva jurídico penal puede ser con toda procedencia calificada c</w:t>
      </w:r>
      <w:r w:rsidRPr="005728DD">
        <w:rPr>
          <w:i/>
        </w:rPr>
        <w:t>omo organiza</w:t>
      </w:r>
      <w:r>
        <w:t xml:space="preserve">ción a los efectos del art. </w:t>
      </w:r>
      <w:r w:rsidRPr="005728DD">
        <w:rPr>
          <w:i/>
        </w:rPr>
        <w:t>369</w:t>
      </w:r>
      <w:r>
        <w:t xml:space="preserve"> bis CP.</w:t>
      </w:r>
    </w:p>
    <w:p w:rsidR="005728DD" w:rsidRDefault="005728DD" w:rsidP="005728DD">
      <w:pPr>
        <w:pStyle w:val="TextoNormal"/>
      </w:pPr>
    </w:p>
    <w:p w:rsidR="005728DD" w:rsidRDefault="005728DD" w:rsidP="005728DD">
      <w:pPr>
        <w:pStyle w:val="TextoNormal"/>
      </w:pPr>
      <w:r>
        <w:t>Además ni siquiera ateniéndonos a su literalidad esas afirmaciones genéricas contradicen la realidad de una organización.</w:t>
      </w:r>
    </w:p>
    <w:p w:rsidR="005728DD" w:rsidRDefault="005728DD" w:rsidP="005728DD">
      <w:pPr>
        <w:pStyle w:val="TextoNormal"/>
      </w:pPr>
    </w:p>
    <w:p w:rsidR="005728DD" w:rsidRDefault="005728DD" w:rsidP="005728DD">
      <w:pPr>
        <w:pStyle w:val="TextoNormal"/>
      </w:pPr>
      <w:r w:rsidRPr="005728DD">
        <w:rPr>
          <w:i/>
        </w:rPr>
        <w:t>Item más</w:t>
      </w:r>
      <w:r>
        <w:t>, si un hecho probado afirmase que no ha quedado acreditada la alevosía (afirmación que en rigor no sería procedente en ese apartado de la sentencia), pero a continuación describiese un ataque por la espalda sin previo aviso, pese a esa proclamación —‘no consta probada alevosía’— cabría la revisión de ese aspecto jurídico en casación o, en su caso, en apelación. Recuérdese que el vicio de predeterminación del fallo (art. 851.1 LECrim) solo arrastra a la nulidad cuando el concepto jurídico utilizado no va acompañado de afirmaciones fácticas suficientes que permitan formarse una idea cabal de lo sucedido.</w:t>
      </w:r>
    </w:p>
    <w:p w:rsidR="005728DD" w:rsidRDefault="005728DD" w:rsidP="005728DD">
      <w:pPr>
        <w:pStyle w:val="TextoNormal"/>
      </w:pPr>
    </w:p>
    <w:p w:rsidR="005728DD" w:rsidRDefault="005728DD" w:rsidP="005728DD">
      <w:pPr>
        <w:pStyle w:val="TextoNormal"/>
      </w:pPr>
      <w:r>
        <w:t xml:space="preserve">En este caso se constató en casación que la narración de la sentencia reunía elementos descriptivos sobrados que colmaban las exigencias del concepto de organización delictiva de los arts. 369 </w:t>
      </w:r>
      <w:r w:rsidRPr="005728DD">
        <w:rPr>
          <w:i/>
        </w:rPr>
        <w:t>bis</w:t>
      </w:r>
      <w:r>
        <w:t xml:space="preserve"> y 570 </w:t>
      </w:r>
      <w:r w:rsidRPr="005728DD">
        <w:rPr>
          <w:i/>
        </w:rPr>
        <w:t>bis</w:t>
      </w:r>
      <w:r>
        <w:t xml:space="preserve"> CP (agrupación formada por dos o más personas con carácter estable o por tiempo indefinido, que de manera concertada y coordinada se reparten diversas tareas o funciones con el fin de cometer delitos); y con mucho mayor motivo, el de grupo criminal (art. 570 </w:t>
      </w:r>
      <w:r w:rsidRPr="005728DD">
        <w:rPr>
          <w:i/>
        </w:rPr>
        <w:t>ter</w:t>
      </w:r>
      <w:r>
        <w:t xml:space="preserve">: lo que es relevante en cuanto para uno de los solicitantes —El Habib Makdak— nada trascendente penológicamente resulta de la aplicación del art. </w:t>
      </w:r>
      <w:r w:rsidRPr="005728DD">
        <w:rPr>
          <w:i/>
        </w:rPr>
        <w:t>369</w:t>
      </w:r>
      <w:r>
        <w:t xml:space="preserve"> bis en lugar del art. </w:t>
      </w:r>
      <w:r w:rsidRPr="005728DD">
        <w:rPr>
          <w:i/>
        </w:rPr>
        <w:t>570</w:t>
      </w:r>
      <w:r>
        <w:t xml:space="preserve"> ter; no así respecto de Atik Makdad).</w:t>
      </w:r>
    </w:p>
    <w:p w:rsidR="005728DD" w:rsidRDefault="005728DD" w:rsidP="005728DD">
      <w:pPr>
        <w:pStyle w:val="TextoNormal"/>
      </w:pPr>
    </w:p>
    <w:p w:rsidR="005728DD" w:rsidRDefault="005728DD" w:rsidP="005728DD">
      <w:pPr>
        <w:pStyle w:val="TextoNormal"/>
      </w:pPr>
      <w:r>
        <w:t>La sentencia en el apartado destinado a</w:t>
      </w:r>
      <w:r w:rsidRPr="005728DD">
        <w:rPr>
          <w:i/>
        </w:rPr>
        <w:t>l fact</w:t>
      </w:r>
      <w:r>
        <w:t>um dice expresamente:</w:t>
      </w:r>
    </w:p>
    <w:p w:rsidR="005728DD" w:rsidRDefault="005728DD" w:rsidP="005728DD">
      <w:pPr>
        <w:pStyle w:val="TextoNormal"/>
      </w:pPr>
    </w:p>
    <w:p w:rsidR="005728DD" w:rsidRDefault="005728DD" w:rsidP="005728DD">
      <w:pPr>
        <w:pStyle w:val="TextoNormal"/>
      </w:pPr>
      <w:r>
        <w:t>a) Que no consta que los integrantes del grupo fuesen a compartir entre todos, según reglas preestablecidas a tenor de su diverso protagonismo, los beneficios de la actividad criminal.</w:t>
      </w:r>
    </w:p>
    <w:p w:rsidR="005728DD" w:rsidRDefault="005728DD" w:rsidP="005728DD">
      <w:pPr>
        <w:pStyle w:val="TextoNormal"/>
      </w:pPr>
    </w:p>
    <w:p w:rsidR="005728DD" w:rsidRDefault="005728DD" w:rsidP="005728DD">
      <w:pPr>
        <w:pStyle w:val="TextoNormal"/>
      </w:pPr>
      <w:r>
        <w:t xml:space="preserve">b) Asimismo se rechaza que esté suficientemente acreditado que todo el colectivo (recordemos que se está refiriendo a la totalidad de los acusados y no solo a cualquiera de los </w:t>
      </w:r>
      <w:r>
        <w:lastRenderedPageBreak/>
        <w:t>dos grupos que luego diferencia</w:t>
      </w:r>
      <w:r w:rsidRPr="005728DD">
        <w:rPr>
          <w:i/>
        </w:rPr>
        <w:t>) dispusiera de una estructura organizativa jerárquica con un núcleo responsable, situado en su eje central, y con reparto claro de funcion</w:t>
      </w:r>
      <w:r>
        <w:t>es.</w:t>
      </w:r>
    </w:p>
    <w:p w:rsidR="005728DD" w:rsidRDefault="005728DD" w:rsidP="005728DD">
      <w:pPr>
        <w:pStyle w:val="TextoNormal"/>
      </w:pPr>
    </w:p>
    <w:p w:rsidR="005728DD" w:rsidRDefault="005728DD" w:rsidP="005728DD">
      <w:pPr>
        <w:pStyle w:val="TextoNormal"/>
      </w:pPr>
      <w:r>
        <w:t>Ambas premisas fácticas son respetadas por la sentencia de casación que explica:</w:t>
      </w:r>
    </w:p>
    <w:p w:rsidR="005728DD" w:rsidRDefault="005728DD" w:rsidP="005728DD">
      <w:pPr>
        <w:pStyle w:val="TextoNormal"/>
      </w:pPr>
    </w:p>
    <w:p w:rsidR="005728DD" w:rsidRDefault="005728DD" w:rsidP="005728DD">
      <w:pPr>
        <w:pStyle w:val="TextoNormal"/>
      </w:pPr>
      <w:r>
        <w:t>a) Que el concepto de grupo criminal no reclama un pacto previo de reparto de beneficios. No entra, por tanto, en contradicción con esa apreciación fáctica. Aceptándola, se rechaza la consecuencia jurídica que la sentencia de instancia parece extraer de esa afirmación (que sin pacto previo de reparto de beneficios no hay organización).</w:t>
      </w:r>
    </w:p>
    <w:p w:rsidR="005728DD" w:rsidRDefault="005728DD" w:rsidP="005728DD">
      <w:pPr>
        <w:pStyle w:val="TextoNormal"/>
      </w:pPr>
    </w:p>
    <w:p w:rsidR="005728DD" w:rsidRDefault="005728DD" w:rsidP="005728DD">
      <w:pPr>
        <w:pStyle w:val="TextoNormal"/>
      </w:pPr>
      <w:r>
        <w:t>b) Que el hecho de que no pueda hablarse de una única organización que integrase a todos los procesados, no excluye que el primer grupo definido sí reuniese todas las notas necesarias para formar por sí una organización en el sentido del art. 36</w:t>
      </w:r>
      <w:r w:rsidRPr="005728DD">
        <w:rPr>
          <w:i/>
        </w:rPr>
        <w:t>9 b</w:t>
      </w:r>
      <w:r>
        <w:t>is CP, lo que no es rechazado por el hecho probado que repetidamente habla de colectivo, grupos operativos, entramado colectivo</w:t>
      </w:r>
      <w:r w:rsidRPr="005728DD">
        <w:rPr>
          <w:i/>
        </w:rPr>
        <w:t>, deudas del colecti</w:t>
      </w:r>
      <w:r>
        <w:t xml:space="preserve">vo </w:t>
      </w:r>
      <w:r w:rsidRPr="005728DD">
        <w:rPr>
          <w:i/>
        </w:rPr>
        <w:t>o dirigentes del colecti</w:t>
      </w:r>
      <w:r>
        <w:t>vo.</w:t>
      </w:r>
    </w:p>
    <w:p w:rsidR="005728DD" w:rsidRDefault="005728DD" w:rsidP="005728DD">
      <w:pPr>
        <w:pStyle w:val="TextoNormal"/>
      </w:pPr>
    </w:p>
    <w:p w:rsidR="005728DD" w:rsidRDefault="005728DD" w:rsidP="005728DD">
      <w:pPr>
        <w:pStyle w:val="TextoNormal"/>
      </w:pPr>
      <w:r>
        <w:t>c) Que el dato de que las diversas funciones de cada miembro del grupo pudiesen ser variables —lo que se acepta: no reparto rígido o nítido de funciones— tampoco es incompatible, como parece opinar la Audiencia Provincial, con el concepto de organización, a los efectos siempre del art. 36</w:t>
      </w:r>
      <w:r w:rsidRPr="005728DD">
        <w:rPr>
          <w:i/>
        </w:rPr>
        <w:t>9 b</w:t>
      </w:r>
      <w:r>
        <w:t>is CP.</w:t>
      </w:r>
    </w:p>
    <w:p w:rsidR="005728DD" w:rsidRDefault="005728DD" w:rsidP="005728DD">
      <w:pPr>
        <w:pStyle w:val="TextoNormal"/>
      </w:pPr>
    </w:p>
    <w:p w:rsidR="005728DD" w:rsidRDefault="005728DD" w:rsidP="005728DD">
      <w:pPr>
        <w:pStyle w:val="TextoNormal"/>
      </w:pPr>
      <w:r>
        <w:t xml:space="preserve">Tras esas dos afirmaciones excluyentes —‘no queda probado’— que no son incompatibles con el concepto de organización criminal, la sentencia relata unos hechos seriados en los que con claridad resplandecen todos los elementos exigidos desde el punto de vista jurídico para que entre en juego el art. 369 </w:t>
      </w:r>
      <w:r w:rsidRPr="005728DD">
        <w:rPr>
          <w:i/>
        </w:rPr>
        <w:t>bis</w:t>
      </w:r>
      <w:r>
        <w:t xml:space="preserve"> CP: un entramado codelictual que agrupa a una pluralidad de personas —una decena aproximadamente— con cierta vocación de permanencia o estabilidad que queda puesta de manifiesto por el periodo de tiempo en que se desenvuelven las distintas operaciones; dotado de una infraestructura adecuada para una actividad duradera (coches preparados con uso indistinto por diversos integrantes, contactos, disponibilidad conjunta de locales donde guardar los vehículos y, en su caso, la sustancia, una mínima contabilidad llevada por algunos…); concurrencia de diversas personas (aunque variase el número y concreta identidad según las operaciones); funciones diferenciadas y coordinadas (conductores, distribuidores de la droga, encargados de los vehículos de vigilancia; encargados de contactar con proveedores): lugares de destino preconcertados; comunicaciones entre ellos en los momentos de cada operación; atención por parte de alguno del grupo de los que han sido sorprendidos y detenidos; mecanismos de auxilio y cobertura cuando surgen dificultades y que se activan previa dación de cuenta a quien coordina, y ciertas finanzas compartidas (solo desde esa óptica adquiere sentido la expresió</w:t>
      </w:r>
      <w:r w:rsidRPr="005728DD">
        <w:rPr>
          <w:i/>
        </w:rPr>
        <w:t>n deudas del colecti</w:t>
      </w:r>
      <w:r>
        <w:t>vo).</w:t>
      </w:r>
    </w:p>
    <w:p w:rsidR="005728DD" w:rsidRDefault="005728DD" w:rsidP="005728DD">
      <w:pPr>
        <w:pStyle w:val="TextoNormal"/>
      </w:pPr>
    </w:p>
    <w:p w:rsidR="005728DD" w:rsidRDefault="005728DD" w:rsidP="005728DD">
      <w:pPr>
        <w:pStyle w:val="TextoNormal"/>
      </w:pPr>
      <w:r>
        <w:t>Nada nuevo de carácter fáctico se ha introducido en el razonamiento en casación: los factores que dan contenido al concepto jurídico ‘organización’ están todos presentes en el hecho probado confeccionado por la audiencia.</w:t>
      </w:r>
    </w:p>
    <w:p w:rsidR="005728DD" w:rsidRDefault="005728DD" w:rsidP="005728DD">
      <w:pPr>
        <w:pStyle w:val="TextoNormal"/>
      </w:pPr>
    </w:p>
    <w:p w:rsidR="005728DD" w:rsidRDefault="005728DD" w:rsidP="005728DD">
      <w:pPr>
        <w:pStyle w:val="TextoNormal"/>
      </w:pPr>
      <w:r>
        <w:t xml:space="preserve">En efecto, el hecho probado habla expresamente de conformación de un ‘entramado codelictual para introducir en nuestro país importantes cantidades de sustancia estupefaciente, hachís, procedentes de Marruecos, país donde contaban con la colaboración de terceras personas cuya identidad completa no ha podido determinarse’, y con los que contactaban de </w:t>
      </w:r>
      <w:r>
        <w:lastRenderedPageBreak/>
        <w:t>forma continuada. En cada operativo confluyen diversas personas, que, aunque no siempre sean las mismas, utilizan idénticas estrategias, contactan con otros miembros del colectivo, y se valen de vehículos (algunos adaptados) y lugares a disposición de todo el grupo. Dirá la sentencia en este sentido —y reproducimos otra vez un pasaje de</w:t>
      </w:r>
      <w:r w:rsidRPr="005728DD">
        <w:rPr>
          <w:i/>
        </w:rPr>
        <w:t>l fact</w:t>
      </w:r>
      <w:r>
        <w:t>um—:</w:t>
      </w:r>
    </w:p>
    <w:p w:rsidR="005728DD" w:rsidRDefault="005728DD" w:rsidP="005728DD">
      <w:pPr>
        <w:pStyle w:val="TextoNormal"/>
      </w:pPr>
    </w:p>
    <w:p w:rsidR="005728DD" w:rsidRDefault="005728DD" w:rsidP="005728DD">
      <w:pPr>
        <w:pStyle w:val="TextoNormal"/>
      </w:pPr>
      <w:r>
        <w:t>‘el colectivo disponía de diversos vehículos, algunos de ellos previamente sustraídos, o con matrículas alteradas, otros alquilados para operaciones concretas y otros, propiedad de los procesados o de familiares de estos. Tales vehículos eran utilizados para los desplazamientos a las reuniones periódicas concertadas en la ciudad de Terrassa, para los viajes al sur peninsular con la finalidad antes dicha o como punto de almacenamiento temporal de la sustancia estupefaciente en la ciudad de Terrassa, normalmente un parking a disposición de alguno de los procesados, hasta su posterior distribución y venta. Algunos de estos vehículos tenían ocultos dobles fondos para facilitar el desarrollo de la ilícita actividad, disponiendo los procesados a su conveniencia de las llaves de unos y otros para su utilización indistinta por los acusados’.</w:t>
      </w:r>
    </w:p>
    <w:p w:rsidR="005728DD" w:rsidRDefault="005728DD" w:rsidP="005728DD">
      <w:pPr>
        <w:pStyle w:val="TextoNormal"/>
      </w:pPr>
    </w:p>
    <w:p w:rsidR="005728DD" w:rsidRDefault="005728DD" w:rsidP="005728DD">
      <w:pPr>
        <w:pStyle w:val="TextoNormal"/>
      </w:pPr>
      <w:r>
        <w:t>Más adelante detalla el hecho probado que utilizan claves en sus frecuentes contactos telefónicos y se habla de dos grupos. Uno de ellos —el que ha determinado la aplicación del art. 36</w:t>
      </w:r>
      <w:r w:rsidRPr="005728DD">
        <w:rPr>
          <w:i/>
        </w:rPr>
        <w:t>9 b</w:t>
      </w:r>
      <w:r>
        <w:t>is— cuenta con hasta diez integrantes según la sentencia (dejando a un lado a dos posibles integrantes como los rebeldes).</w:t>
      </w:r>
    </w:p>
    <w:p w:rsidR="005728DD" w:rsidRDefault="005728DD" w:rsidP="005728DD">
      <w:pPr>
        <w:pStyle w:val="TextoNormal"/>
      </w:pPr>
    </w:p>
    <w:p w:rsidR="005728DD" w:rsidRDefault="005728DD" w:rsidP="005728DD">
      <w:pPr>
        <w:pStyle w:val="TextoNormal"/>
      </w:pPr>
      <w:r>
        <w:t>Sexto.- Según el escrito de Atik Makdad también se contradicen afirmaciones fácticas contenidas en los fundamentos de Derecho.</w:t>
      </w:r>
    </w:p>
    <w:p w:rsidR="005728DD" w:rsidRDefault="005728DD" w:rsidP="005728DD">
      <w:pPr>
        <w:pStyle w:val="TextoNormal"/>
      </w:pPr>
    </w:p>
    <w:p w:rsidR="005728DD" w:rsidRDefault="005728DD" w:rsidP="005728DD">
      <w:pPr>
        <w:pStyle w:val="TextoNormal"/>
      </w:pPr>
      <w:r>
        <w:t>Ciertamente cuando se trata de aseveraciones factuales en beneficio del reo puede darse por válido ese defecto de sistemática. Pero tampoco esos elementos fácticos que extrae de la fundamentación jurídica son forzados o ignorados por la sentencia de casación.</w:t>
      </w:r>
    </w:p>
    <w:p w:rsidR="005728DD" w:rsidRDefault="005728DD" w:rsidP="005728DD">
      <w:pPr>
        <w:pStyle w:val="TextoNormal"/>
      </w:pPr>
    </w:p>
    <w:p w:rsidR="005728DD" w:rsidRDefault="005728DD" w:rsidP="005728DD">
      <w:pPr>
        <w:pStyle w:val="TextoNormal"/>
      </w:pPr>
      <w:r>
        <w:t xml:space="preserve">De una parte, se dice que no resultó acreditado que los procesados hubiesen estado de acuerdo </w:t>
      </w:r>
      <w:r w:rsidRPr="005728DD">
        <w:rPr>
          <w:i/>
        </w:rPr>
        <w:t>ab initio</w:t>
      </w:r>
      <w:r>
        <w:t xml:space="preserve"> en la verificación consecutiva de todo el conjunto de operaciones; ni que hubieran colaborado desde el primer momento bajo el seno de una estructura organizada dirigida por Atik Makdad; ni que hubiese pacto para compartir el provecho económico en función de las aportaciones de cada uno a la actividad criminal.</w:t>
      </w:r>
    </w:p>
    <w:p w:rsidR="005728DD" w:rsidRDefault="005728DD" w:rsidP="005728DD">
      <w:pPr>
        <w:pStyle w:val="TextoNormal"/>
      </w:pPr>
    </w:p>
    <w:p w:rsidR="005728DD" w:rsidRDefault="005728DD" w:rsidP="005728DD">
      <w:pPr>
        <w:pStyle w:val="TextoNormal"/>
      </w:pPr>
      <w:r>
        <w:t xml:space="preserve">Pero es que nada de eso (pacto prefijado desde la primera operación o distribución de beneficios económicos acordada) constituye una exigencia del concepto de organización criminal como explicaba la sentencia de casación. La organización fáctica, es decir no formalizada ni oficializada, surgida informalmente; sin que pueda fijarse un momento fundacional, es también merecedora de la agravación del art. 369 </w:t>
      </w:r>
      <w:r w:rsidRPr="005728DD">
        <w:rPr>
          <w:i/>
        </w:rPr>
        <w:t>bis</w:t>
      </w:r>
      <w:r>
        <w:t xml:space="preserve"> CP. Y quienes se van incorporando a la trama delictiva que, a lo mejor, pudo empezar con alguna operación esporádica sin planes específicos prediseñados pero que luego va cristalizando hasta formar una estructura relativamente estable, se hacen también acreedores de la agravación.</w:t>
      </w:r>
    </w:p>
    <w:p w:rsidR="005728DD" w:rsidRDefault="005728DD" w:rsidP="005728DD">
      <w:pPr>
        <w:pStyle w:val="TextoNormal"/>
      </w:pPr>
    </w:p>
    <w:p w:rsidR="005728DD" w:rsidRDefault="005728DD" w:rsidP="005728DD">
      <w:pPr>
        <w:pStyle w:val="TextoNormal"/>
      </w:pPr>
      <w:r>
        <w:t xml:space="preserve">El número de personas involucradas en las operaciones que se van desarrollando en el tiempo con acopio de medios, vías de distribución ya abiertas, países de provisión, contactos permanentes; ayuda grupal; infraestructura constituida por vehículos preparados </w:t>
      </w:r>
      <w:r w:rsidRPr="005728DD">
        <w:rPr>
          <w:i/>
        </w:rPr>
        <w:t>ad hoc</w:t>
      </w:r>
      <w:r>
        <w:t>, lugares donde guardarlos, etc… lleva indubitadamente a afirmar la presencia de una organización en los términos del art. 36</w:t>
      </w:r>
      <w:r w:rsidRPr="005728DD">
        <w:rPr>
          <w:i/>
        </w:rPr>
        <w:t>9 b</w:t>
      </w:r>
      <w:r>
        <w:t xml:space="preserve">is CP. Nada fáctico añade la sentencia de casación; nada </w:t>
      </w:r>
      <w:r>
        <w:lastRenderedPageBreak/>
        <w:t>que se aparte de los hechos probados que en los aspectos esenciales y relevantes a estos efectos han quedado transcritos en el fundamento anterior.</w:t>
      </w:r>
    </w:p>
    <w:p w:rsidR="005728DD" w:rsidRDefault="005728DD" w:rsidP="005728DD">
      <w:pPr>
        <w:pStyle w:val="TextoNormal"/>
      </w:pPr>
    </w:p>
    <w:p w:rsidR="005728DD" w:rsidRDefault="005728DD" w:rsidP="005728DD">
      <w:pPr>
        <w:pStyle w:val="TextoNormal"/>
      </w:pPr>
      <w:r>
        <w:t>Séptimo.- Dos últimos extremos deben ser puntualizados para desmontar algunos de los argumentos blandidos en los escritos reclamando la nulidad:</w:t>
      </w:r>
    </w:p>
    <w:p w:rsidR="005728DD" w:rsidRDefault="005728DD" w:rsidP="005728DD">
      <w:pPr>
        <w:pStyle w:val="TextoNormal"/>
      </w:pPr>
    </w:p>
    <w:p w:rsidR="005728DD" w:rsidRDefault="005728DD" w:rsidP="005728DD">
      <w:pPr>
        <w:pStyle w:val="TextoNormal"/>
      </w:pPr>
      <w:r>
        <w:t>a) Para que pueda hablarse de organización no es necesario que todos los integrantes de la organización participen en todas las operaciones efectuadas. Ni lo es tampoco que su función sea siempre la misma e idéntica en cada actuación.</w:t>
      </w:r>
    </w:p>
    <w:p w:rsidR="005728DD" w:rsidRDefault="005728DD" w:rsidP="005728DD">
      <w:pPr>
        <w:pStyle w:val="TextoNormal"/>
      </w:pPr>
    </w:p>
    <w:p w:rsidR="005728DD" w:rsidRDefault="005728DD" w:rsidP="005728DD">
      <w:pPr>
        <w:pStyle w:val="TextoNormal"/>
      </w:pPr>
      <w:r>
        <w:t>b) Cuando para diferenciar la organización o el grupo criminal de la mera codelincuencia se exige en aquella vocación de realizar no una única conducta delictiva, sino varias, se está pensando no en calificaciones unitarias jurídicas, sino en operaciones delictivas singularizables y diversas, aunque jurídicamente se trate de un único delito. Cabe por eso la organización para cometer delitos de robo, aunque finalmente los robos cometidos se califiquen como un único delito continuado; y cabe igualmente la organización para llevar a cabo operaciones diversas de tráfico de drogas, aunque al tratarse de un delito de tracto continuado, jurídicamente todas las diversas actividades se califiquen de un único delito contra la salud pública del art. 368 CP. Si se entendiese de otra forma (pluralidad de delitos en sentido técnico) jamás sería aplicable el art. 36</w:t>
      </w:r>
      <w:r w:rsidRPr="005728DD">
        <w:rPr>
          <w:i/>
        </w:rPr>
        <w:t>9 b</w:t>
      </w:r>
      <w:r>
        <w:t>is, pues siempre habrá un único delito de tráfico de drogas aunque englobe muchas actuaciones desplegadas en un, más o menos dilatado, lapso temporal.</w:t>
      </w:r>
    </w:p>
    <w:p w:rsidR="005728DD" w:rsidRDefault="005728DD" w:rsidP="005728DD">
      <w:pPr>
        <w:pStyle w:val="TextoNormal"/>
      </w:pPr>
    </w:p>
    <w:p w:rsidR="005728DD" w:rsidRDefault="005728DD" w:rsidP="005728DD">
      <w:pPr>
        <w:pStyle w:val="TextoNormal"/>
      </w:pPr>
      <w:r>
        <w:t xml:space="preserve">Octavo.- En definitiva, la sentencia de casación basándose exclusivamente en los datos fácticos que la Sala de instancia daba por probados y sin contradecir ninguno de esos elementos constataba que lo que se describía en relación no a todos los acusados, sino a los que se integraban en el primero de los dos grupos de que se habla, conformaban una organización en el sentido del art. 369 </w:t>
      </w:r>
      <w:r w:rsidRPr="005728DD">
        <w:rPr>
          <w:i/>
        </w:rPr>
        <w:t>bis</w:t>
      </w:r>
      <w:r>
        <w:t>: pluralidad de personas coordinadas para realizar en un tiempo prolongado operaciones varias de tráfico de drogas valiéndose de una infraestructura a disposición de todo el grupo, y con funciones relativamente asignadas que la sentencia va describiendo, aunque matice que ocasionalmente podían variar (conductores, encargados de los coches lanzadera, encargado de distribuir o de proporcionar teléfonos...).</w:t>
      </w:r>
    </w:p>
    <w:p w:rsidR="005728DD" w:rsidRDefault="005728DD" w:rsidP="005728DD">
      <w:pPr>
        <w:pStyle w:val="TextoNormal"/>
      </w:pPr>
    </w:p>
    <w:p w:rsidR="005728DD" w:rsidRDefault="005728DD" w:rsidP="005728DD">
      <w:pPr>
        <w:pStyle w:val="TextoNormal"/>
      </w:pPr>
      <w:r>
        <w:t>No sobra, por fin, recoger los razonamientos a través de los que la sentencia de casación llegaba a esa conclusión. Se comprueba de esa forma que, partiendo del mismo hecho, se consideraba errada la valoración jurídica de la audiencia”.</w:t>
      </w:r>
    </w:p>
    <w:p w:rsidR="005728DD" w:rsidRDefault="005728DD" w:rsidP="005728DD">
      <w:pPr>
        <w:pStyle w:val="TextoNormal"/>
      </w:pPr>
    </w:p>
    <w:p w:rsidR="005728DD" w:rsidRDefault="005728DD" w:rsidP="005728DD">
      <w:pPr>
        <w:pStyle w:val="TextoNormal"/>
      </w:pPr>
      <w:r>
        <w:t>En este punto el auto reproduce pasajes de los fundamentos de Derecho trigésimo cuarto y trigésimo quinto de la sentencia de 8 de noviembre de 2018, que ya se han traspuesto en el antecedente 2 C) (i) de la presente resolución.</w:t>
      </w:r>
    </w:p>
    <w:p w:rsidR="005728DD" w:rsidRDefault="005728DD" w:rsidP="005728DD">
      <w:pPr>
        <w:pStyle w:val="TextoNormal"/>
      </w:pPr>
    </w:p>
    <w:p w:rsidR="005728DD" w:rsidRDefault="005728DD" w:rsidP="005728DD">
      <w:pPr>
        <w:pStyle w:val="TextoNormal"/>
      </w:pPr>
      <w:r>
        <w:t>(ii) En el fundamento de Derecho décimo del auto, se desestima la queja de nulidad por vulneración del principio de inmediación, al haber aplicado al aquí recurrente en la sentencia de casación el tipo agravado de jefe de la referida organización criminal:</w:t>
      </w:r>
    </w:p>
    <w:p w:rsidR="005728DD" w:rsidRDefault="005728DD" w:rsidP="005728DD">
      <w:pPr>
        <w:pStyle w:val="TextoNormal"/>
      </w:pPr>
    </w:p>
    <w:p w:rsidR="005728DD" w:rsidRDefault="005728DD" w:rsidP="005728DD">
      <w:pPr>
        <w:pStyle w:val="TextoNormal"/>
      </w:pPr>
      <w:r>
        <w:t>“Décimo.- En cuanto a la condición de jefe, encargado o administrador de la organización que se asigna a Atik Makdad, tampoco se altera ni se enriquece, ni se contradice el hecho probado.</w:t>
      </w:r>
    </w:p>
    <w:p w:rsidR="005728DD" w:rsidRDefault="005728DD" w:rsidP="005728DD">
      <w:pPr>
        <w:pStyle w:val="TextoNormal"/>
      </w:pPr>
    </w:p>
    <w:p w:rsidR="005728DD" w:rsidRDefault="005728DD" w:rsidP="005728DD">
      <w:pPr>
        <w:pStyle w:val="TextoNormal"/>
      </w:pPr>
      <w:r>
        <w:t>La sentencia refiere en su relato fáctico que es conocido como ‘Rais’ (lo que obviamente no es determinante: se hace constar ahora para aclarar que no es un elemento corroborador que haya sido incorporado por este tribunal; si se analizaba ese particular era para contestar al debate planteado entre recurrente y recurrido). Pero eso es totalmente prescindible.</w:t>
      </w:r>
    </w:p>
    <w:p w:rsidR="005728DD" w:rsidRDefault="005728DD" w:rsidP="005728DD">
      <w:pPr>
        <w:pStyle w:val="TextoNormal"/>
      </w:pPr>
    </w:p>
    <w:p w:rsidR="005728DD" w:rsidRDefault="005728DD" w:rsidP="005728DD">
      <w:pPr>
        <w:pStyle w:val="TextoNormal"/>
      </w:pPr>
      <w:r>
        <w:t>Lo decisivo es que se le asigna un papel de director, o coordinador prevalente (</w:t>
      </w:r>
      <w:r w:rsidRPr="005728DD">
        <w:rPr>
          <w:i/>
        </w:rPr>
        <w:t>preeminente</w:t>
      </w:r>
      <w:r>
        <w:t xml:space="preserve"> en la terminología expresa de la sentencia). Se afirma una y otra vez al describir varias operaciones que se van siguiendo las indicaciones de Atik Makdad. Es a este a quien se da cuenta; y es él quien distribuye roles, asumiendo el papel directivo que atrae la agravación del art. 369 </w:t>
      </w:r>
      <w:r w:rsidRPr="005728DD">
        <w:rPr>
          <w:i/>
        </w:rPr>
        <w:t>bis</w:t>
      </w:r>
      <w:r>
        <w:t xml:space="preserve"> CP, sin necesidad de que quede acreditada (no lo exige esa agravación) una rígida o férrea disciplina interna que nadie vulnera o que todos se hayan conjurado para respetar. Basta con apreciar el desempeño de un papel coordinador prevalente: imparte instrucciones e indicaciones que son acatadas —así se deriva del relato fáctico— y distribuye funciones, encargándose de las más relevantes. Con eso queda conformada la agravación.</w:t>
      </w:r>
    </w:p>
    <w:p w:rsidR="005728DD" w:rsidRDefault="005728DD" w:rsidP="005728DD">
      <w:pPr>
        <w:pStyle w:val="TextoNormal"/>
      </w:pPr>
    </w:p>
    <w:p w:rsidR="005728DD" w:rsidRDefault="005728DD" w:rsidP="005728DD">
      <w:pPr>
        <w:pStyle w:val="TextoNormal"/>
      </w:pPr>
      <w:r>
        <w:t>‘Si bien con una falta clara de dependencia jerárquica y distribución clara de funciones, —afirma el relato de la sentencia— el primero citado, Atik Makdad, ocupaba una posición de coordinación preeminente entre los demás familiares, al ser el pariente mayor de todos ellos, y amigos que iban a formar los diversos grupos de Terrassa, encargándose ocasionalmente de la gestión de la compra de la droga en origen, de su venta en el punto de destino y, en ocasiones, de la supervisión de los grupos que se encargaban del transporte de la ilícita mercancía, decidiendo a veces y sobre la marcha los vehículos y personas que debían efectuar cada desplazamiento para el aprovisionamiento de la droga, pero sin controlar permanentemente las actividades del resto de los componentes del colectivo, aunque sí les daba frecuentes instrucciones telefónicas, disponía sobre las muestras de sustancia y sobre el destino de la sustancia almacenada, ordenando pagos, interviniendo personalmente en ocasiones puntuales para solucionar problemas e incluso llegando a costear los gastos de asistencia letrada derivados de tales actuaciones’.</w:t>
      </w:r>
    </w:p>
    <w:p w:rsidR="005728DD" w:rsidRDefault="005728DD" w:rsidP="005728DD">
      <w:pPr>
        <w:pStyle w:val="TextoNormal"/>
      </w:pPr>
    </w:p>
    <w:p w:rsidR="005728DD" w:rsidRDefault="005728DD" w:rsidP="005728DD">
      <w:pPr>
        <w:pStyle w:val="TextoNormal"/>
      </w:pPr>
      <w:r>
        <w:t xml:space="preserve">El hecho de que pudiera existir alguna operación que esporádicamente escapase a su directa supervisión no lleva absurdamente a degradar su responsabilidad. No es jurídicamente exigible un control permanente para perfilar la agravación del art. 369 </w:t>
      </w:r>
      <w:r w:rsidRPr="005728DD">
        <w:rPr>
          <w:i/>
        </w:rPr>
        <w:t>bis</w:t>
      </w:r>
      <w:r>
        <w:t xml:space="preserve"> 2º. Aparecerá además en el hecho probado cómo, cuando Atik Makdad está ausente, ha de ser sustituido por otro integrante del grupo encargado de trasladar sus instrucciones, como Said Makdad. De este se afirma que seguía sus indicaciones; lo que también se predice de Mohamed Makdad: cumplía los encargos que recibía de Atik Makdad (gestiones bancarias pagos). No es por ello gratuita la etiqueta de ‘dirigente’ del colectivo que, junto a Adil y Said, le atribuye expresamente el hecho probado al referir los contratos de José Carvajal con el colectivo.</w:t>
      </w:r>
    </w:p>
    <w:p w:rsidR="005728DD" w:rsidRDefault="005728DD" w:rsidP="005728DD">
      <w:pPr>
        <w:pStyle w:val="TextoNormal"/>
      </w:pPr>
    </w:p>
    <w:p w:rsidR="005728DD" w:rsidRDefault="005728DD" w:rsidP="005728DD">
      <w:pPr>
        <w:pStyle w:val="TextoNormal"/>
      </w:pPr>
      <w:r>
        <w:t>También Abdellah el Kamoni, según el hecho probado, se atiene a las indicaciones de Atik como intermediario en alguna operación de venta de la sustancia. Como lo hace igualmente José Carvajal”.</w:t>
      </w:r>
    </w:p>
    <w:p w:rsidR="005728DD" w:rsidRDefault="005728DD" w:rsidP="005728DD">
      <w:pPr>
        <w:pStyle w:val="TextoNormal"/>
      </w:pPr>
    </w:p>
    <w:p w:rsidR="005728DD" w:rsidRDefault="005728DD" w:rsidP="005728DD">
      <w:pPr>
        <w:pStyle w:val="TextoNormal"/>
      </w:pPr>
      <w:r>
        <w:t>(iii) Finalmente, en el fundamento de Derecho undécimo, se rechaza la alegada vulneración del principio acusatorio, de nuevo en relación con la condena al recurrente como jefe de la organización criminal de Terrassa:</w:t>
      </w:r>
    </w:p>
    <w:p w:rsidR="005728DD" w:rsidRDefault="005728DD" w:rsidP="005728DD">
      <w:pPr>
        <w:pStyle w:val="TextoNormal"/>
      </w:pPr>
    </w:p>
    <w:p w:rsidR="005728DD" w:rsidRDefault="005728DD" w:rsidP="005728DD">
      <w:pPr>
        <w:pStyle w:val="TextoNormal"/>
      </w:pPr>
      <w:r>
        <w:lastRenderedPageBreak/>
        <w:t xml:space="preserve">“Undécimo.- Recordemos, por fin, para dar contestación al último alegato de Atik Makad que la sentencia de instancia no rechaza la agravación del art. 369 </w:t>
      </w:r>
      <w:r w:rsidRPr="005728DD">
        <w:rPr>
          <w:i/>
        </w:rPr>
        <w:t>bis</w:t>
      </w:r>
      <w:r>
        <w:t xml:space="preserve"> 2 (jefatura) de forma específica. Se limita a negar su presupuesto: la presencia de una organización. Eso hacía inútil e innecesario razonar sobre la concurrencia o no del art. 369 </w:t>
      </w:r>
      <w:r w:rsidRPr="005728DD">
        <w:rPr>
          <w:i/>
        </w:rPr>
        <w:t>bis</w:t>
      </w:r>
      <w:r>
        <w:t xml:space="preserve"> 2 CP. Por eso no hacía falta tampoco un motivo casacional singularizado encaminado a tal fin. Y por eso no es anómalo que el fiscal no articulase un motivo con ese concreto y exclusivo contenido. Es algo que se deducía de la estimación del primer motivo.</w:t>
      </w:r>
    </w:p>
    <w:p w:rsidR="005728DD" w:rsidRDefault="005728DD" w:rsidP="005728DD">
      <w:pPr>
        <w:pStyle w:val="TextoNormal"/>
      </w:pPr>
    </w:p>
    <w:p w:rsidR="005728DD" w:rsidRDefault="005728DD" w:rsidP="005728DD">
      <w:pPr>
        <w:pStyle w:val="TextoNormal"/>
      </w:pPr>
      <w:r>
        <w:t>Un motivo de casación por infracción de ley puede llevar encadenadas otras consecuencias jurídicas que no se hace necesario explicitar. Van implícitas en la pretensión principal. Por descender a algún ejemplo, recurrida una sentencia absolutoria por estafa a través del art. 849.1 LECrim la estimación del único motivo llevará consigo como consecuencia la necesidad de afirmar una responsabilidad civil; pero no hace falta articular otro motivo denunciando la inaplicación de los arts. 110 y ss. CP. Es lógica consecuencia de lo anterior.</w:t>
      </w:r>
    </w:p>
    <w:p w:rsidR="005728DD" w:rsidRDefault="005728DD" w:rsidP="005728DD">
      <w:pPr>
        <w:pStyle w:val="TextoNormal"/>
      </w:pPr>
    </w:p>
    <w:p w:rsidR="005728DD" w:rsidRDefault="005728DD" w:rsidP="005728DD">
      <w:pPr>
        <w:pStyle w:val="TextoNormal"/>
      </w:pPr>
      <w:r>
        <w:t>Por eso no nos apartamos de la petición del recurso al aplicar a Atik Makdad la agravación del art. 36</w:t>
      </w:r>
      <w:r w:rsidRPr="005728DD">
        <w:rPr>
          <w:i/>
        </w:rPr>
        <w:t>9 b</w:t>
      </w:r>
      <w:r>
        <w:t>is 2. Así lo explicaba la sentencia de casación […]”.</w:t>
      </w:r>
    </w:p>
    <w:p w:rsidR="005728DD" w:rsidRDefault="005728DD" w:rsidP="005728DD">
      <w:pPr>
        <w:pStyle w:val="TextoNormal"/>
      </w:pPr>
    </w:p>
    <w:p w:rsidR="005728DD" w:rsidRDefault="005728DD" w:rsidP="005728DD">
      <w:pPr>
        <w:pStyle w:val="TextoNormal"/>
      </w:pPr>
      <w:r>
        <w:t>En este punto el auto reproduce pasajes del fundamento de Derecho trigésimo séptimo de la sentencia de 8 de noviembre de 2018, que ya se han traspuesto en el antecedente 2 C) (iii) de la presente resolución, cerrando así sus consideraciones sobre el escrito de nulidad del aquí recurrente.</w:t>
      </w:r>
    </w:p>
    <w:p w:rsidR="005728DD" w:rsidRDefault="005728DD" w:rsidP="005728DD">
      <w:pPr>
        <w:pStyle w:val="TextoNormal"/>
      </w:pPr>
    </w:p>
    <w:p w:rsidR="005728DD" w:rsidRDefault="005728DD" w:rsidP="005728DD">
      <w:pPr>
        <w:pStyle w:val="TextoNormal"/>
      </w:pPr>
      <w:r>
        <w:t>Notificado el mencionado auto de 25 de febrero de 2019, se interpone este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alega que la sentencia de casación recurrida “constituye una violación de los derechos fundamentales a la tutela judicial efectiva, a un proceso con todas las garantías, y a la defensa, con motivo de haberse condenado en segunda instancia a mi representado mediante una nueva valoración y reconsideración de cuestiones fácticas, sin respetar los principios de inmediación y contradicción, y sin pretensión de las acusaciones sobre la condena de jefatura, que no se desarrolló en vía de recurso por lo que no pudo ser materialmente impugnada, habiéndose vulnerado grave e injustificadamente los derechos fundamentales de mi mandante”. A tal efecto articula su pretensión en tres quejas de fondo:</w:t>
      </w:r>
    </w:p>
    <w:p w:rsidR="005728DD" w:rsidRDefault="005728DD" w:rsidP="005728DD">
      <w:pPr>
        <w:pStyle w:val="TextoNormal"/>
      </w:pPr>
    </w:p>
    <w:p w:rsidR="005728DD" w:rsidRDefault="005728DD" w:rsidP="005728DD">
      <w:pPr>
        <w:pStyle w:val="TextoNormal"/>
      </w:pPr>
      <w:r>
        <w:t>a) “Vulneración del derecho fundamental a un proceso con todas las garantías con motivo de haber sido condenado en segunda instancia sin haber sido oído, ni haberse observado las garantías de inmediación y contradicción”:</w:t>
      </w:r>
    </w:p>
    <w:p w:rsidR="005728DD" w:rsidRDefault="005728DD" w:rsidP="005728DD">
      <w:pPr>
        <w:pStyle w:val="TextoNormal"/>
      </w:pPr>
    </w:p>
    <w:p w:rsidR="005728DD" w:rsidRDefault="005728DD" w:rsidP="005728DD">
      <w:pPr>
        <w:pStyle w:val="TextoNormal"/>
      </w:pPr>
      <w:r>
        <w:t xml:space="preserve">Señala la demanda que la condena por el delito del art. 369 </w:t>
      </w:r>
      <w:r w:rsidRPr="005728DD">
        <w:rPr>
          <w:i/>
        </w:rPr>
        <w:t>bis</w:t>
      </w:r>
      <w:r>
        <w:t xml:space="preserve"> CP se ha agravado “en segunda instancia”, sin haber sido oído ni respetando la contradicción e inmediación, suprimiendo el Tribunal Supremo un hecho no probado y formulando “inferencias y alusiones a cuestión fácticas”, todo ello con resultado también de lesión del derecho a la presunción de inocencia. La sentencia “dictada en segunda instancia” nada dijo sobre la necesidad en este caso de celebrar vista, pese a que así se puso de manifiesto en el escrito de oposición al recurso del fiscal. No se llevó a cabo al entenderse que la cuestión era exclusivamente jurídica, lo que no es cierto, ya que la nueva decisión “se asienta en una reconsideración de los hechos probados”. La absolución de la audiencia sobre la inexistencia de una organización </w:t>
      </w:r>
      <w:r>
        <w:lastRenderedPageBreak/>
        <w:t xml:space="preserve">criminal fue el resultado de la prueba practicada en el plenario, descartándose que quedaran acreditados los elementos del tipo, que es cuestión de hecho y comporta valoración de la prueba. Recoge en su apoyo pasajes de los hechos probados primero y quinto, así como del fundamento de derecho decimotercero (XIII) de la sentencia de la audiencia, ya reproducidos en el antecedente 2 A), apartados c) y d) de esta resolución. Añade que no se celebró vista “con citación de todos los medios de prueba personales (testigos, acusados, periciales) y práctica de los mismos”, alcanzando la sentencia recurrida una “conclusión fáctica opuesta, considerando que sí existía organización criminal, modificando hechos probados, y condenando </w:t>
      </w:r>
      <w:r w:rsidRPr="005728DD">
        <w:rPr>
          <w:i/>
        </w:rPr>
        <w:t>ex novo</w:t>
      </w:r>
      <w:r>
        <w:t xml:space="preserve"> en segunda instancia”, aunque lo etiquete de </w:t>
      </w:r>
      <w:r w:rsidRPr="005728DD">
        <w:rPr>
          <w:i/>
        </w:rPr>
        <w:t>error iuris</w:t>
      </w:r>
      <w:r>
        <w:t>. Así lo reconoce esta última “cuando alude a que ‘es verdad que en los hechos probados la audiencia ha incluido algunas afirmaciones —más valorativas que descriptivas o narrativas— que tratan de condicionar la respuesta al interrogante jurídico’ […] y que ‘no aparecerían suficientemente perfiladas —según la audiencia— las notas de distribución de roles y estabilidad, lo que exigiría una relativa complejidad en la estructura organizativa. Se argumenta que no ha quedado acreditado un acuerdo inicial que abarcase todas las sucesivas actuaciones, ni una colaboración preestablecida en el seno de una estructura organizada. No detecta ni relación jerárquica ni dependencia funcional entre los distintos acusados. Las frecuentes relaciones entre los procesados —se apostilla— no necesariamente conducen a hablar de organización […]. Dichos razonamientos ya evidencian que el sustrato el que no se aplicó y se condenó en primera instancia por organización era de carácter fáctico y probatorio, no por una cuestión de tipicidad o atipicidad de un determinado hecho probado intangible’. Distinto sería —argumenta la demanda— que la absolución se hubiera fundado en la falta de acusación sobre el tipo agravado, lo que sí sería una cuestión de Derecho, pero la decisión de la audiencia se basó en que no era posible “subsumir la conducta del colectivo en una organización criminal”. El auto denegatorio del incidente de nulidad vendría a corroborar esta tesis, al reconocer que sí se han “reconsiderado y vaciado de contenido los hechos probados”.</w:t>
      </w:r>
    </w:p>
    <w:p w:rsidR="005728DD" w:rsidRDefault="005728DD" w:rsidP="005728DD">
      <w:pPr>
        <w:pStyle w:val="TextoNormal"/>
      </w:pPr>
    </w:p>
    <w:p w:rsidR="005728DD" w:rsidRDefault="005728DD" w:rsidP="005728DD">
      <w:pPr>
        <w:pStyle w:val="TextoNormal"/>
      </w:pPr>
      <w:r>
        <w:t xml:space="preserve">La lesión del derecho fundamental a un proceso con todas las garantías, prosigue diciendo la demanda, se produce también por lo que atañe a la decisión de condenar al recurrente por ostentar y ejercer la jefatura de la organización criminal así declarada, “mediante reconsideración de cuestiones fácticas, sin garantía de contradicción e inmediación, y </w:t>
      </w:r>
      <w:r w:rsidRPr="005728DD">
        <w:rPr>
          <w:i/>
        </w:rPr>
        <w:t>ex novo</w:t>
      </w:r>
      <w:r>
        <w:t xml:space="preserve"> se asienta que el hecho de que era el jefe de la organización, fundando así la condena en segunda instancia [de] cuestiones que no obedecen a </w:t>
      </w:r>
      <w:r w:rsidRPr="005728DD">
        <w:rPr>
          <w:i/>
        </w:rPr>
        <w:t>error iuris</w:t>
      </w:r>
      <w:r>
        <w:t xml:space="preserve"> sino que son cuestiones de hecho. A modo ilustrativo, la sentencia dictada en segunda instancia expresa la sentencia de instancia ‘trate de excluir una dependencia jerárquica’ y se nutre de valoraciones y datos fácticos como ‘que sea conocido como </w:t>
      </w:r>
      <w:r w:rsidRPr="005728DD">
        <w:rPr>
          <w:i/>
        </w:rPr>
        <w:t>Rais</w:t>
      </w:r>
      <w:r>
        <w:t xml:space="preserve"> (no es necesario que esa expresión haya sido traducida por alguien en la causa; puede considerarse de conocimiento común)’ […], adoptado una posición sobre acontecimientos fácticos decisivos para determinar su culpabilidad en lo que a jefatura se refiere, más cuando la sentencia de primera instancia excluye fácticamente dicha jefatura […]. Así, es evidente que para poder condenar al señor Atik Makdad por el artículo 369 </w:t>
      </w:r>
      <w:r w:rsidRPr="005728DD">
        <w:rPr>
          <w:i/>
        </w:rPr>
        <w:t>bis</w:t>
      </w:r>
      <w:r>
        <w:t xml:space="preserve"> párrafo segundo, se requiere la supresión de dichos elementos fácticos siendo que los mismos excluyen, tras la práctica de la prueba, la concurrencia de los elementos del tipo delictivo”.</w:t>
      </w:r>
    </w:p>
    <w:p w:rsidR="005728DD" w:rsidRDefault="005728DD" w:rsidP="005728DD">
      <w:pPr>
        <w:pStyle w:val="TextoNormal"/>
      </w:pPr>
    </w:p>
    <w:p w:rsidR="005728DD" w:rsidRDefault="005728DD" w:rsidP="005728DD">
      <w:pPr>
        <w:pStyle w:val="TextoNormal"/>
      </w:pPr>
      <w:r>
        <w:t>Cita en su apoyo las SSTC 223/2015, de 2 de noviembre, sobre lesión del principio acusatorio (</w:t>
      </w:r>
      <w:r w:rsidRPr="005728DD">
        <w:rPr>
          <w:i/>
        </w:rPr>
        <w:t>reformatio in peius</w:t>
      </w:r>
      <w:r>
        <w:t xml:space="preserve">), y las SSTC 105/2014, de 23 de junio; 191/2014, de 17 de noviembre, y 120/2013, de 20 de mayo, de lesión del derecho a un proceso con todas las garantías por condena en segunda instancia sin inmediación. Y de nuevo sobre la condena </w:t>
      </w:r>
      <w:r>
        <w:lastRenderedPageBreak/>
        <w:t>como jefe de la organización criminal, especifica la demanda que la recurrida “realiza una valoración de la prueba personal, en concreto, de la intencionalidad o de las circunstancias subyacentes a que el señor Atik Makdad fuera conocido como Rais sin haber oído, ni a quienes se dirigían a él en estos términos (para arrojar luz sobre la intencionalidad de tal pseudónimo) ni tampoco respecto del propio acusado, Atik Makdad, a fin de que pudiera ser oído al respecto en segunda instancia”; en todo caso, “con o sin valoración de prueba personal la sentencia de segunda instancia formula inferencias de carácter fáctico, y aborda elementos que tienen una base fáctica, que expresamente ha sido declarado no probado”.</w:t>
      </w:r>
    </w:p>
    <w:p w:rsidR="005728DD" w:rsidRDefault="005728DD" w:rsidP="005728DD">
      <w:pPr>
        <w:pStyle w:val="TextoNormal"/>
      </w:pPr>
    </w:p>
    <w:p w:rsidR="005728DD" w:rsidRDefault="005728DD" w:rsidP="005728DD">
      <w:pPr>
        <w:pStyle w:val="TextoNormal"/>
      </w:pPr>
      <w:r>
        <w:t xml:space="preserve">Además, se queja la demanda de que se haya agravado la condena cuando se justificaba tanto la celebración de vista como “la oportunidad de ser oído y contradecir efectivamente, mediante autodefensa ante el tribunal de segunda instancia. Ello así ha sido declarado, </w:t>
      </w:r>
      <w:r w:rsidRPr="005728DD">
        <w:rPr>
          <w:i/>
        </w:rPr>
        <w:t>ad exemplum</w:t>
      </w:r>
      <w:r>
        <w:t xml:space="preserve"> 88/2013, de 11 de abril, a raíz de la STC 184/2009, de 7 de septiembre”. Cita también las SSTC 126/2012, de 18 de junio, y 43/2013, de 25 de febrero; y del Tribunal Europeo de Derechos Humanos, las sentencias del “caso </w:t>
      </w:r>
      <w:r w:rsidRPr="005728DD">
        <w:rPr>
          <w:i/>
        </w:rPr>
        <w:t>Porcel Terribas y otros c. España</w:t>
      </w:r>
      <w:r>
        <w:t xml:space="preserve">, de 8 de marzo de 2016; y STEDH caso </w:t>
      </w:r>
      <w:r w:rsidRPr="005728DD">
        <w:rPr>
          <w:i/>
        </w:rPr>
        <w:t>Atutxa Mendiola y otros c. España</w:t>
      </w:r>
      <w:r>
        <w:t>, de 13 de junio de 2017”. Finaliza este primer motivo la demanda solicitando se declare también vulnerado el derecho a la presunción de inocencia: “pues necesariamente se ha condenado por un delito con modificación del hecho probado y no probado, que tenía apoyo en prueba personal, y sin oír a los acusados. Atendiendo que la sentencia y el auto evidencian que la sentencia considera que el hecho no probado es erróneo, y que no puede atenderse al mismo por obedecer a una predeterminación del fallo y además formula inferencias y razonamientos que obedecen a datos fácticos, se interesa se declare la lesión de dicho derecho”.</w:t>
      </w:r>
    </w:p>
    <w:p w:rsidR="005728DD" w:rsidRDefault="005728DD" w:rsidP="005728DD">
      <w:pPr>
        <w:pStyle w:val="TextoNormal"/>
      </w:pPr>
    </w:p>
    <w:p w:rsidR="005728DD" w:rsidRDefault="005728DD" w:rsidP="005728DD">
      <w:pPr>
        <w:pStyle w:val="TextoNormal"/>
      </w:pPr>
      <w:r>
        <w:t>b) “Vulneración del derecho fundamental a un proceso con todas las garantías con motivo de haber sido condenado en segunda instancia por el tipo penal de jefatura sin petición de la acusación ni justificación ni desarrollo de la misma”:</w:t>
      </w:r>
    </w:p>
    <w:p w:rsidR="005728DD" w:rsidRDefault="005728DD" w:rsidP="005728DD">
      <w:pPr>
        <w:pStyle w:val="TextoNormal"/>
      </w:pPr>
    </w:p>
    <w:p w:rsidR="005728DD" w:rsidRDefault="005728DD" w:rsidP="005728DD">
      <w:pPr>
        <w:pStyle w:val="TextoNormal"/>
      </w:pPr>
      <w:r>
        <w:t xml:space="preserve">Alega la demanda que la condena “en segunda instancia” del recurrente por el delito de jefatura de organización criminal, </w:t>
      </w:r>
      <w:r w:rsidRPr="005728DD">
        <w:rPr>
          <w:i/>
        </w:rPr>
        <w:t>ex</w:t>
      </w:r>
      <w:r>
        <w:t xml:space="preserve"> art. 369 </w:t>
      </w:r>
      <w:r w:rsidRPr="005728DD">
        <w:rPr>
          <w:i/>
        </w:rPr>
        <w:t>bis</w:t>
      </w:r>
      <w:r>
        <w:t xml:space="preserve"> CP, ha infringido el principio acusatorio. Si bien el fiscal, como consta en el antecedente primero de la sentencia de la Audiencia Provincial, formuló acusación contra él por dicho cargo, en el recurso de casación que formalizó después contra la sentencia de instancia en el que “ni en el ‘breve extracto de su contenido’ ni en ‘los fundamentos legales y doctrinales aducidos’ del motivo primero, se solicita expresamente la condena por jefatura, ni todavía menos se especifica respecto de quién de los tres acusados a quienes solicitó en sede de juicio oral la condena por jefatura se supone que interesa nueva sentencia de condena con pena mínima de diez años, y aún menos se desprende de dichas páginas fundamentación jurídica o fáctica que sustenten y permitan inferir que se está solicitando vía recurso la condena al señor Makdad por el tipo agravado autónomo de jefatura con una pena mínima de diez años de prisión”. Pese a ello la sentencia “dictada en segunda instancia condenó por dicho tipo penal, quebrándose así el principio acusatorio, y por extensión en este caso también el derecho a un tribunal imparcial, en su dimensión objetiva”. Y niega el razonamiento del Tribunal Supremo de que la condena por la jefatura de la organización estuviera implícita en el recurso del fiscal, pues las consecuencias de haber sido absuelto de un determinado tipo penal no se extienden a otro tipo penal autónomo con penas autónomas, como aquí sucede, en concreto la condena por ostentar la jefatura de organización criminal dedicada al tráfico de drogas. El fiscal en su recurso se limita a la cita del art. 369 </w:t>
      </w:r>
      <w:r w:rsidRPr="005728DD">
        <w:rPr>
          <w:i/>
        </w:rPr>
        <w:t>bis</w:t>
      </w:r>
      <w:r>
        <w:t xml:space="preserve"> CP, “sin explicitar respecto de qué acusado alude a </w:t>
      </w:r>
      <w:r>
        <w:lastRenderedPageBreak/>
        <w:t xml:space="preserve">ese precepto, ni fundamentar y justificar con argumentos jurídicos y fácticos esa petición de condena en segunda instancia”. Se ha lesionado con ello el derecho del recurrente a un proceso con todas las garantías; y tanto la sentencia como el auto denegatorio de la nulidad, lesionaron la garantía del principio acusatorio. De manera añadida, no fue posible ejercitar la contradicción en el trámite de oposición al recurso, pues “mal puede defenderse frente a una petición de condena, quien desconoce los motivos y razones por las que se solicita dicha condena, con independencia de que ello ocurra en vía de recurso, donde el debate contradictorio debe presidir a fin de garantizar la defensa”. En este caso, añade, esa falta de fundamentación en el recurso debió traer consigo su inadmisión, </w:t>
      </w:r>
      <w:r w:rsidRPr="005728DD">
        <w:rPr>
          <w:i/>
        </w:rPr>
        <w:t>ex</w:t>
      </w:r>
      <w:r>
        <w:t xml:space="preserve"> art. 884.4 LECrim. Y alega que se conculcó el derecho a un tribunal imparcial, en su dimensión objetiva, al introducir la Sala “argumentos y cuestiones no discutidas ni introducidas por las partes”, con cita en su apoyo de la STC 149/2013, de 9 de septiembre.</w:t>
      </w:r>
    </w:p>
    <w:p w:rsidR="005728DD" w:rsidRDefault="005728DD" w:rsidP="005728DD">
      <w:pPr>
        <w:pStyle w:val="TextoNormal"/>
      </w:pPr>
    </w:p>
    <w:p w:rsidR="005728DD" w:rsidRDefault="005728DD" w:rsidP="005728DD">
      <w:pPr>
        <w:pStyle w:val="TextoNormal"/>
      </w:pPr>
      <w:r>
        <w:t>c) “Vulneración del derecho fundamental a un proceso con todas las garantías, en sentido amplio, con motivo de las distintas mermas e infracciones, que en conjunto han impedido que el acusado tenga un proceso penal equitativo en segunda instancia”:</w:t>
      </w:r>
    </w:p>
    <w:p w:rsidR="005728DD" w:rsidRDefault="005728DD" w:rsidP="005728DD">
      <w:pPr>
        <w:pStyle w:val="TextoNormal"/>
      </w:pPr>
    </w:p>
    <w:p w:rsidR="005728DD" w:rsidRDefault="005728DD" w:rsidP="005728DD">
      <w:pPr>
        <w:pStyle w:val="TextoNormal"/>
      </w:pPr>
      <w:r>
        <w:t xml:space="preserve">Como tercera y última queja de la demanda, se sostiene que se ha producido la vulneración de aquel derecho fundamental considerado el proceso “en segunda instancia” (casación) “en su conjunto”, por la “pluralidad de incidencias o datos objetivos acaecidos en el mismo, que individualmente no constituyen una violación de una concreta garantía, pero que en conjunto, todos ellos abocan a que un determinado ciudadano que se hallaba inmerso en ese proceso no ha tenido derecho a un proceso equitativo” del art. 6 del Convenio Europeo de Derechos Humanos (CEDH). Cita en su apoyo la “STEDH, caso </w:t>
      </w:r>
      <w:r w:rsidRPr="005728DD">
        <w:rPr>
          <w:i/>
        </w:rPr>
        <w:t>Barberà, Messegué y Jabardo c. España</w:t>
      </w:r>
      <w:r>
        <w:t xml:space="preserve">, de 6 de diciembre de 1988; y STEDH </w:t>
      </w:r>
      <w:r w:rsidRPr="005728DD">
        <w:rPr>
          <w:i/>
        </w:rPr>
        <w:t>Borgers c. Bélgica</w:t>
      </w:r>
      <w:r>
        <w:t>, de 30 de octubre de 1991”. Indica que las circunstancias que se valoran conjuntamente como lesión del derecho fundamental son las siguientes:</w:t>
      </w:r>
    </w:p>
    <w:p w:rsidR="005728DD" w:rsidRDefault="005728DD" w:rsidP="005728DD">
      <w:pPr>
        <w:pStyle w:val="TextoNormal"/>
      </w:pPr>
    </w:p>
    <w:p w:rsidR="005728DD" w:rsidRDefault="005728DD" w:rsidP="005728DD">
      <w:pPr>
        <w:pStyle w:val="TextoNormal"/>
      </w:pPr>
      <w:r>
        <w:t>“1. Mediante el recurso de casación del Ministerio Fiscal se mermó el derecho del acusado a ser informado de la acusación, siendo que una lectura del mismo impedía conocer claramente que se solicitaba la condena por diez años de prisión por el tipo penal de jefatura.</w:t>
      </w:r>
    </w:p>
    <w:p w:rsidR="005728DD" w:rsidRDefault="005728DD" w:rsidP="005728DD">
      <w:pPr>
        <w:pStyle w:val="TextoNormal"/>
      </w:pPr>
    </w:p>
    <w:p w:rsidR="005728DD" w:rsidRDefault="005728DD" w:rsidP="005728DD">
      <w:pPr>
        <w:pStyle w:val="TextoNormal"/>
      </w:pPr>
      <w:r>
        <w:t>Ejemplo de ello es que en la sentencia dictada en segunda instancia pese no desarrollar la acusación argumento acerca de condena de jefatura (por lo que esta parte no pudo oponerse ni defenderse materialmente), desciende y condena por la misma, viniendo a privilegiar la parte de la acusación al sostener que con una alusión y una no renuncia se entiende que implícitamente se solicitaba la condena por jefatura a los mismos respecto de quienes se había formulado acusación en dicho sentido.</w:t>
      </w:r>
    </w:p>
    <w:p w:rsidR="005728DD" w:rsidRDefault="005728DD" w:rsidP="005728DD">
      <w:pPr>
        <w:pStyle w:val="TextoNormal"/>
      </w:pPr>
    </w:p>
    <w:p w:rsidR="005728DD" w:rsidRDefault="005728DD" w:rsidP="005728DD">
      <w:pPr>
        <w:pStyle w:val="TextoNormal"/>
      </w:pPr>
      <w:r>
        <w:t>2. En dicho recurso ninguna alegación, ni que fuere por remisión, se destinó a fundamentar la convicción del tribunal de que el señor Atik Makdad desempeñó el rol de jefatura, desconociendo las razones y motivos, por lo que no puedo impugnarse ni oponerse a los mismos.</w:t>
      </w:r>
    </w:p>
    <w:p w:rsidR="005728DD" w:rsidRDefault="005728DD" w:rsidP="005728DD">
      <w:pPr>
        <w:pStyle w:val="TextoNormal"/>
      </w:pPr>
    </w:p>
    <w:p w:rsidR="005728DD" w:rsidRDefault="005728DD" w:rsidP="005728DD">
      <w:pPr>
        <w:pStyle w:val="TextoNormal"/>
      </w:pPr>
      <w:r>
        <w:t>3. Pese que no fundamentar los motivos es causa de inadmisión del recurso de casación se admitió a trámite el mismo (884.4 LECrim).</w:t>
      </w:r>
    </w:p>
    <w:p w:rsidR="005728DD" w:rsidRDefault="005728DD" w:rsidP="005728DD">
      <w:pPr>
        <w:pStyle w:val="TextoNormal"/>
      </w:pPr>
    </w:p>
    <w:p w:rsidR="005728DD" w:rsidRDefault="005728DD" w:rsidP="005728DD">
      <w:pPr>
        <w:pStyle w:val="TextoNormal"/>
      </w:pPr>
      <w:r>
        <w:lastRenderedPageBreak/>
        <w:t xml:space="preserve">4. Se condena al acusado sin audiencia ni celebración de vista cuando el recurso del Ministerio Fiscal atendía a cuestiones fácticas, lo que </w:t>
      </w:r>
      <w:r w:rsidRPr="005728DD">
        <w:rPr>
          <w:i/>
        </w:rPr>
        <w:t>ex ante</w:t>
      </w:r>
      <w:r>
        <w:t xml:space="preserve"> fue avisado a futuro por esta defensa en su impugnación.</w:t>
      </w:r>
    </w:p>
    <w:p w:rsidR="005728DD" w:rsidRDefault="005728DD" w:rsidP="005728DD">
      <w:pPr>
        <w:pStyle w:val="TextoNormal"/>
      </w:pPr>
    </w:p>
    <w:p w:rsidR="005728DD" w:rsidRDefault="005728DD" w:rsidP="005728DD">
      <w:pPr>
        <w:pStyle w:val="TextoNormal"/>
      </w:pPr>
      <w:r>
        <w:t>5. El Tribunal de segunda instancia no se ha limitado a resolver las cuestiones jurídicas desarrolladas por la acusación y resolviendo el recurso dentro del marco de debate contradictorio (pues no hubo contradicción en relación a la condena de jefatura dada la ausencia de fundamentación del recurso ni que fuera por remisión). Por el contrario, se aparta del debate y trasciende los fundamentos y pretensiones.</w:t>
      </w:r>
    </w:p>
    <w:p w:rsidR="005728DD" w:rsidRDefault="005728DD" w:rsidP="005728DD">
      <w:pPr>
        <w:pStyle w:val="TextoNormal"/>
      </w:pPr>
    </w:p>
    <w:p w:rsidR="005728DD" w:rsidRDefault="005728DD" w:rsidP="005728DD">
      <w:pPr>
        <w:pStyle w:val="TextoNormal"/>
      </w:pPr>
      <w:r>
        <w:t>6. El auto desestimatorio de nulidad establece, con carácter subsidiario, por primera vez, que sí se solicitó en el recurso la condena por jefatura y se sustentó acusación por la misma en segunda instancia, pero que esa acusación era “implícita”.</w:t>
      </w:r>
    </w:p>
    <w:p w:rsidR="005728DD" w:rsidRDefault="005728DD" w:rsidP="005728DD">
      <w:pPr>
        <w:pStyle w:val="TextoNormal"/>
      </w:pPr>
    </w:p>
    <w:p w:rsidR="005728DD" w:rsidRDefault="005728DD" w:rsidP="005728DD">
      <w:pPr>
        <w:pStyle w:val="TextoNormal"/>
      </w:pPr>
      <w:r>
        <w:t xml:space="preserve">7. En el auto desestimatorio del incidente de nulidad, el Tribunal de nuevo va más allá del debate, y viene a reprochar </w:t>
      </w:r>
      <w:r w:rsidRPr="005728DD">
        <w:rPr>
          <w:i/>
        </w:rPr>
        <w:t>ex novo</w:t>
      </w:r>
      <w:r>
        <w:t xml:space="preserve"> a la sentencia de instancia un defecto más (predeterminación del fallo)”.</w:t>
      </w:r>
    </w:p>
    <w:p w:rsidR="005728DD" w:rsidRDefault="005728DD" w:rsidP="005728DD">
      <w:pPr>
        <w:pStyle w:val="TextoNormal"/>
      </w:pPr>
    </w:p>
    <w:p w:rsidR="005728DD" w:rsidRDefault="005728DD" w:rsidP="005728DD">
      <w:pPr>
        <w:pStyle w:val="TextoNormal"/>
      </w:pPr>
      <w:r>
        <w:t>Cita también la STEDH “</w:t>
      </w:r>
      <w:r w:rsidRPr="005728DD">
        <w:rPr>
          <w:i/>
        </w:rPr>
        <w:t>Ekbatani c. Suecia</w:t>
      </w:r>
      <w:r>
        <w:t>, de 26 de mayo de 1988, […] las garantías recogidas en el artículo 6 del CEDH son plenamente exigibles en la segunda instancia, razonando que ‘el proceso penal constituye un todo y la protección del artículo 6 no termina con el fallo de la primera instancia’”. Así, remacha la demanda, “para el caso que no se estimaron [</w:t>
      </w:r>
      <w:r w:rsidRPr="005728DD">
        <w:rPr>
          <w:i/>
        </w:rPr>
        <w:t>sic</w:t>
      </w:r>
      <w:r>
        <w:t xml:space="preserve">] los anteriores motivos, […] el </w:t>
      </w:r>
      <w:r w:rsidRPr="005728DD">
        <w:rPr>
          <w:i/>
        </w:rPr>
        <w:t>iter</w:t>
      </w:r>
      <w:r>
        <w:t xml:space="preserve"> de acontecimientos en el proceso en segunda instancia evidencia que el acusado no ha tenido un proceso con todas las garantías en su globalidad, y con ello ha soportado una situación de desventaja no equitativa”.</w:t>
      </w:r>
    </w:p>
    <w:p w:rsidR="005728DD" w:rsidRDefault="005728DD" w:rsidP="005728DD">
      <w:pPr>
        <w:pStyle w:val="TextoNormal"/>
      </w:pPr>
    </w:p>
    <w:p w:rsidR="005728DD" w:rsidRDefault="005728DD" w:rsidP="005728DD">
      <w:pPr>
        <w:pStyle w:val="TextoNormal"/>
      </w:pPr>
      <w:r>
        <w:t xml:space="preserve">El suplico de la demanda solicita, con otorgamiento del amparo, la nulidad de las dos resoluciones impugnadas, y que se “declare no haber lugar a la condena en segunda instancia del señor Atik Makdad por la presunta comisión de delito de pertenencia a una organización criminal con jefatura (art. 369 </w:t>
      </w:r>
      <w:r w:rsidRPr="005728DD">
        <w:rPr>
          <w:i/>
        </w:rPr>
        <w:t>bis</w:t>
      </w:r>
      <w:r>
        <w:t xml:space="preserve"> párrafo segundo CP)”.</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Cuarta, Sala Segunda, de este Tribunal Constitucional, dictó providencia el 27 de enero de 2020 por la que acordó admitir a trámite el recurso,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En la misma resolución se acordó dirigir atenta comunicación a la Sala de lo Penal del Tribunal Supremo, a fin de que, en plazo que no excediera de diez días remitiera certificación o fotocopia adverada de las actuaciones correspondientes al recurso de casación 10612-2017 P. Asimismo, dirigir “atenta comunicación a la Sección Quinta de la Audiencia Provincial de Barcelona, a fin de que, en plazo que no exceda de diez días, remita certificación o fotocopia adverada de las actuaciones correspondientes al rollo núm. 9-2016; debiendo previamente emplazarse, para que en el plazo de diez días puedan comparecer, si lo desean,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Por escrito presentado en el registro de este tribunal el 5 de marzo de 2020, el procurador de los tribunales don Fernando Bertrán Santamaría, actuando en nombre y representación de don Said Makdad y don Abdellah El Kamouni, solicitó que se les “tenga por personados, en tiempo y forma, por parte en el presente recurso de amparo y por adheridos al mismo”.</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7 de octubre de 2020, la Secretaría de Justicia de la Sala Segunda de este tribunal dictó diligencia de ordenación por la que, de un lado, decidió tener por personado y parte al procurador antes mencionado en nombre y representación de don Said Makdad y don Abdellah El Kamouni; y de otro lado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Con fecha 11 de noviembre de 2020, la representante procesal del recurrente en amparo presentó escrito de alegaciones interesando la estimación del presente recurso de amparo, reiterando a tal fin los argumentos del escrito de demanda, con cita adicional de la “STEDH, </w:t>
      </w:r>
      <w:r w:rsidRPr="005728DD">
        <w:rPr>
          <w:i/>
        </w:rPr>
        <w:t>Júlíus þór Sigurþórsson c. Islandia</w:t>
      </w:r>
      <w:r>
        <w:t xml:space="preserve">, de 16 de julio de 2019”, que declara vulnerado el derecho a un juicio justo cuando se procede a una nueva evaluación de los hechos en apelación, y la “STEDH </w:t>
      </w:r>
      <w:r w:rsidRPr="005728DD">
        <w:rPr>
          <w:i/>
        </w:rPr>
        <w:t>Zirnīte c. Letonia</w:t>
      </w:r>
      <w:r>
        <w:t>, 11 de junio de 2020”, que aprecia la misma lesión cuando en apelación se examinan los hechos y el Derecho y el tribunal de alzada no interroga al acusado o al testigo que funda la nueva condena. También alega de manera novedosa la STC 47/2020, de 15 de junio, en relación con la vulneración del principio acusatorio en segunda instancia, al haberse impuesto una pena que no venía solicitada en el recurso; y la STC 42/2020, también sobre el principio acusatorio, en relación, dice, con la exigencia de que los cargos de la acusación se exterioricen, rechazándose las formas tácitas o implícitas.</w:t>
      </w:r>
    </w:p>
    <w:p w:rsidR="005728DD" w:rsidRDefault="005728DD" w:rsidP="005728DD">
      <w:pPr>
        <w:pStyle w:val="TextoNormal"/>
      </w:pPr>
    </w:p>
    <w:p w:rsidR="005728DD" w:rsidRDefault="005728DD" w:rsidP="005728DD">
      <w:pPr>
        <w:pStyle w:val="TextoNormal"/>
      </w:pPr>
      <w:r w:rsidRPr="005728DD">
        <w:rPr>
          <w:rStyle w:val="NumeroAFNegritaCaracter"/>
        </w:rPr>
        <w:t>8</w:t>
      </w:r>
      <w:r>
        <w:t>. Por su parte, en virtud de escrito presentado el 10 de diciembre de 2020 por el procurador de don Said Makdad y don Abdellah El Kamouni, actuando estos bajo la defensa del abogado don Cristóbal Limón Pons, se alegó que al no existir circunstancias sobrevenidas distintas de las alegadas en la demanda, “nos adherimos en su totalidad a la demanda de amparo presentada”.</w:t>
      </w:r>
    </w:p>
    <w:p w:rsidR="005728DD" w:rsidRDefault="005728DD" w:rsidP="005728DD">
      <w:pPr>
        <w:pStyle w:val="TextoNormal"/>
      </w:pPr>
    </w:p>
    <w:p w:rsidR="005728DD" w:rsidRDefault="005728DD" w:rsidP="005728DD">
      <w:pPr>
        <w:pStyle w:val="TextoNormal"/>
      </w:pPr>
      <w:r w:rsidRPr="005728DD">
        <w:rPr>
          <w:rStyle w:val="NumeroAFNegritaCaracter"/>
        </w:rPr>
        <w:t>9</w:t>
      </w:r>
      <w:r>
        <w:t>. Finalmente, el teniente fiscal ante este Tribunal Constitucional presentó escrito de alegaciones el 3 de diciembre de 2020, por el que interesó que dictáramos sentencia “por la que se deniegue el amparo solicitado en todos sus términos”.</w:t>
      </w:r>
    </w:p>
    <w:p w:rsidR="005728DD" w:rsidRDefault="005728DD" w:rsidP="005728DD">
      <w:pPr>
        <w:pStyle w:val="TextoNormal"/>
      </w:pPr>
    </w:p>
    <w:p w:rsidR="005728DD" w:rsidRDefault="005728DD" w:rsidP="005728DD">
      <w:pPr>
        <w:pStyle w:val="TextoNormal"/>
      </w:pPr>
      <w:r>
        <w:t xml:space="preserve">Así, después de resumir los antecedentes de hecho que consideró más importantes del recurso, y recordar en el apartado de fundamentación jurídica I las vulneraciones constitucionales alegadas por la demanda, el escrito precisó en el apartado II cuáles eran las resoluciones impugnadas y que las quejas deducidas por el recurrente eran solamente dos: (i) la alteración por la sentencia de casación de la base fáctica de la sentencia de instancia, sin debate público y contradictorio; y (ii) condenar al recurrente por el tipo agravado del art. 369 </w:t>
      </w:r>
      <w:r w:rsidRPr="005728DD">
        <w:rPr>
          <w:i/>
        </w:rPr>
        <w:t>bis</w:t>
      </w:r>
      <w:r>
        <w:t xml:space="preserve"> CP como jefe, encargado o administrador de la organización criminal, sin estar contenida dicha petición en la acusación. El tercer motivo de la demanda, sin embargo, a su </w:t>
      </w:r>
      <w:r>
        <w:lastRenderedPageBreak/>
        <w:t>parecer no tiene autonomía propia, sino que es un “conglomerado” de los dos anteriores. Dicho esto, pasa el escrito a referirse a las dos quejas que reconoce como tales:</w:t>
      </w:r>
    </w:p>
    <w:p w:rsidR="005728DD" w:rsidRDefault="005728DD" w:rsidP="005728DD">
      <w:pPr>
        <w:pStyle w:val="TextoNormal"/>
      </w:pPr>
    </w:p>
    <w:p w:rsidR="005728DD" w:rsidRDefault="005728DD" w:rsidP="005728DD">
      <w:pPr>
        <w:pStyle w:val="TextoNormal"/>
      </w:pPr>
      <w:r>
        <w:t xml:space="preserve">a) En cuanto al primer motivo, lesión del derecho a un proceso con todas las garantías y la “condena agravatoria en segunda instancia” (apartado III de las alegaciones), el escrito del fiscal cita diversas resoluciones de este tribunal dictadas en esta materia a partir de la STC 167/2002, de 18 de septiembre, deteniéndose en las SSTC 88/2013, de 11 de abril; 205/2013, de 5 de diciembre; 146/2017, de 14 de diciembre, y 1/2020, de 14 de enero, FJ 4, y en relación con la exigencia de celebrar vista pública con inmediación probatoria en segunda instancia cuando se trata de revisar el pronunciamiento del órgano inferior sobre los hechos, salvo que se trate de cuestiones estrictamente jurídicas o en el supuesto de revalorización de pruebas documentales, periciales documentadas, o inferencias no dependientes de la inmediación. En este caso concreto, prosigue diciendo, “la sentencia impugnada no alteró el sustrato fáctico sobre el que se asentaba la sentencia del órgano </w:t>
      </w:r>
      <w:r w:rsidRPr="005728DD">
        <w:rPr>
          <w:i/>
        </w:rPr>
        <w:t>a quo</w:t>
      </w:r>
      <w:r>
        <w:t xml:space="preserve">, ni revisó por tanto el juicio fáctico realizado en la instancia, sino que meramente difirió de su calificación jurídica, limitándose a interpretar el delito objeto de acusación, el Tribunal Constitucional concluyó que el Tribunal Supremo se había limitado a un aspecto puramente jurídico: la interpretación de la norma penal y de las causas de exclusión de la antijuridicidad, sin alterar el relato contenido en los hechos probados, por lo que estimó que no había existido vulneración del derecho a un proceso con todas las garantías”. En el presente caso se trata de “una interpretación jurisprudencial sobre una cuestión estrictamente jurídica: la subsunción en el tipo agravado del párrafo primero del art. 369 </w:t>
      </w:r>
      <w:r w:rsidRPr="005728DD">
        <w:rPr>
          <w:i/>
        </w:rPr>
        <w:t>bis</w:t>
      </w:r>
      <w:r>
        <w:t xml:space="preserve"> CP, a partir de la propia descripción o narración fáctica contenida en los hechos probados sobre el entramado criminal constituido por la agrupación de personas concertadas y coordinadas para la comisión del delito, con distribución de funciones en el despliegue de las distintas actividades ejecutadas para el desarrollo y logro del propósito criminal. Y otro tanto cabe decir respecto de la apreciación del tipo agravado del párrafo segundo del art. 369 </w:t>
      </w:r>
      <w:r w:rsidRPr="005728DD">
        <w:rPr>
          <w:i/>
        </w:rPr>
        <w:t>bis</w:t>
      </w:r>
      <w:r>
        <w:t xml:space="preserve"> CP”. Otorga la razón a la sentencia impugnada, además, cuando esta advierte que afirmaciones de la sentencia de instancia como que “no ha resultado suficientemente acreditado que todo el colectivo dispusiera de una estructura organizativa jerárquica con un núcleo responsable, situado en su eje central y con un reparto claro de funciones”, son apreciaciones sobre la subsunción jurídica en la que, como razonó el Tribunal Supremo, sí se dan los elementos que conforman una organización criminal y así lo explicitó en sus fundamentos de Derecho quinto a octavo, apoyándose esa nueva subsunción jurídica en la literalidad de los hechos probados.</w:t>
      </w:r>
    </w:p>
    <w:p w:rsidR="005728DD" w:rsidRDefault="005728DD" w:rsidP="005728DD">
      <w:pPr>
        <w:pStyle w:val="TextoNormal"/>
      </w:pPr>
    </w:p>
    <w:p w:rsidR="005728DD" w:rsidRDefault="005728DD" w:rsidP="005728DD">
      <w:pPr>
        <w:pStyle w:val="TextoNormal"/>
      </w:pPr>
      <w:r>
        <w:t>b) Respecto de la segunda queja de fondo de la demanda que reconoce el escrito de alegaciones del teniente fiscal, la vulneración del principio acusatorio, el apartado IV invoca como exponentes de la doctrina de este tribunal, aparte de pronunciamientos que el propio escrito califica de “antiguos”, la que sí considera “muy reciente” STC 47/2020, de 15 de junio, FFJJ 3 y 4, en la que con cita de resoluciones anteriores se indica cuál es el contenido del derecho fundamental y se recuerda la exigencia de la exteriorización de la pretensión acusatoria, sin admitir formas tácitas o implícitas; y que la vulneración de ese deber de “congruencia” traería como resultado no solo la quiebra de aquella garantía sino también la de imparcialidad judicial, aunque el juez penal puede condenar por delito distinto del solicitado siempre que sea homogéneo a aquel y no implique pena de superior gravedad, con cita en este punto también de la STC 155/2009, de 25 de junio, FFJJ 5 y 6.</w:t>
      </w:r>
    </w:p>
    <w:p w:rsidR="005728DD" w:rsidRDefault="005728DD" w:rsidP="005728DD">
      <w:pPr>
        <w:pStyle w:val="TextoNormal"/>
      </w:pPr>
    </w:p>
    <w:p w:rsidR="005728DD" w:rsidRDefault="005728DD" w:rsidP="005728DD">
      <w:pPr>
        <w:pStyle w:val="TextoNormal"/>
      </w:pPr>
      <w:r>
        <w:lastRenderedPageBreak/>
        <w:t>Sobre esta base, al parecer del teniente fiscal estamos aquí ante “un caso de simple, pero plena y exteriorizada reiteración y confirmación de la acusación ejercida en primera instancia, de modo que en absoluto puede calificarse el caso como de ‘inexistencia de acusación’ ni de ‘acusación implícita’, por más que pudiera apreciarse o no algún tipo de incorrección en la técnica de articulación del recurso de casación por el fiscal actuante en la jurisdicción ordinaria. […] Se explicitó desde el inicio la pretensión punitiva en dicho recurso mediante la identificación de los tipos penales agravados de los párrafos primero (realización del tráfico de drogas del art. 368 CP por quienes pertenezcan a organización criminal) y segundo (concurrencia en el autor de la condición de jefe, encargado o administrador de la organización) que habían sido objeto de inaplicación indebida con expresa mención literal de la circunstancia que los integran (‘por pertenecientes a organización delictiva y jefatura de la misma’), respecto de los cuales, por tanto, se interesaba la aplicación en casación también de forma expresa, una vez que en el suplico de su escrito de interposición el fiscal solicitó que la Sala dictase ‘sentencia declarando haber lugar al recurso, casando y anulando la recurrida, dictando a continuación sentencia de conformidad con la pretensión ejercitada’, lógicamente con las consecuencias penológicas ya concretadas por el Ministerio Fiscal en el proceso penal en sus conclusiones definitivas, respecto de las que el fiscal del Tribunal Supremo ninguna alusión adicional hizo en materia de concreción de pena al tratarse de una mera confirmación, reafirmación, reformulación o reproducción de la pretensión acusatoria ejercida en primera instancia. Por demás, dicha pretensión acusatoria, al estar encauzada como infracción de ley al amparo del art. 849.1 de la LECrim y conllevar la innecesariedad de audiencia, se apoyó de manera determinante en el propio relato de hechos probados”. Alega además que “lo específicamente enfatizado mediante subrayado en el escrito de interposición del recurso de casación fiscal no es lo que sirve directamente para pretender la apreciación de la pertenencia a organización criminal (a ello sirven todos los pasajes transcritos en las págs. 4 a 8 del escrito fiscal), sino de manera muy clara y determinante, lo que sostiene, fundamenta y respalda la pretensión acusatoria punitiva en su faceta especifica de ejercicio de jefatura dentro de la organización, en especial respecto del aquí recurrente Atik Makdad, pero también respecto de su hermano Adil Makdad que le sustituía en sus funciones de coordinación (a modo de lo que podría calificarse como lugarteniente) y de su sobrino Said Makdad, todos los cuales son calificados finalmente como ‘dirigentes del colectivo antes descrito’, lo que se corresponde con el sentido, alcance y contenido de la pretensión de la acusación pública en segunda instancia en reafirmación o mera reiteración expresa de lo mismamente sostenido y pretendido en la primera”.</w:t>
      </w:r>
    </w:p>
    <w:p w:rsidR="005728DD" w:rsidRDefault="005728DD" w:rsidP="005728DD">
      <w:pPr>
        <w:pStyle w:val="TextoNormal"/>
      </w:pPr>
    </w:p>
    <w:p w:rsidR="005728DD" w:rsidRDefault="005728DD" w:rsidP="005728DD">
      <w:pPr>
        <w:pStyle w:val="TextoNormal"/>
      </w:pPr>
      <w:r>
        <w:t xml:space="preserve">En consecuencia, remata el escrito de alegaciones en este punto, si la defensa no se opuso contradiciendo esta pretensión del párrafo segundo del art. 369 </w:t>
      </w:r>
      <w:r w:rsidRPr="005728DD">
        <w:rPr>
          <w:i/>
        </w:rPr>
        <w:t>bis</w:t>
      </w:r>
      <w:r>
        <w:t xml:space="preserve"> CP, “no fue porque el escrito fiscal no contuviera elementos, alegatos y razonamientos para ello. Si, quizá por una malentendida estrategia procesal, prefirió aferrarse a una línea de indefensión formal basada en lo que entendió como una defectuosa articulación del recurso fiscal […]”. La sentencia revela que dio respuesta al escrito del fiscal, y lo reitera el auto de resolución del incidente de nulidad, fundamentos de Derecho décimo y undécimo. No era necesario un nuevo apartado formal en el escrito del recurso de casación del fiscal, y la congruencia de la sentencia de casación con la pretensión de este, “es absoluta tanto en cuanto al condicionamiento fáctico como en cuanto al condicionamiento de calificación jurídica y la pena es procedente y exactamente la misma que la pretendida por la acusación pública en el proceso </w:t>
      </w:r>
      <w:r w:rsidRPr="005728DD">
        <w:rPr>
          <w:i/>
        </w:rPr>
        <w:t>a quo</w:t>
      </w:r>
      <w:r>
        <w:t>. Por consiguiente, también este motivo merece ser desestimado”.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10</w:t>
      </w:r>
      <w:r>
        <w:t>. Por diligencia de la Secretaría de Justicia de 17 de diciembre de 2020, se hizo constar la formalización de escrito de alegaciones por las representaciones procesales del recurrente y de la parte personada, así como por el Ministerio Fiscal, quedando el recurso pendiente para deliberación cuando por turno correspondiese.</w:t>
      </w:r>
    </w:p>
    <w:p w:rsidR="005728DD" w:rsidRDefault="005728DD" w:rsidP="005728DD">
      <w:pPr>
        <w:pStyle w:val="TextoNormal"/>
      </w:pPr>
    </w:p>
    <w:p w:rsidR="005728DD" w:rsidRDefault="005728DD" w:rsidP="005728DD">
      <w:pPr>
        <w:pStyle w:val="TextoNormal"/>
      </w:pPr>
      <w:r w:rsidRPr="005728DD">
        <w:rPr>
          <w:rStyle w:val="NumeroAFNegritaCaracter"/>
        </w:rPr>
        <w:t>11</w:t>
      </w:r>
      <w:r>
        <w:t>. Mediante providencia de fecha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 y orden de examen de las quejas</w:t>
      </w:r>
      <w:r>
        <w:t>.</w:t>
      </w:r>
    </w:p>
    <w:p w:rsidR="005728DD" w:rsidRDefault="005728DD" w:rsidP="005728DD">
      <w:pPr>
        <w:pStyle w:val="TextoNormal"/>
      </w:pPr>
    </w:p>
    <w:p w:rsidR="005728DD" w:rsidRDefault="005728DD" w:rsidP="005728DD">
      <w:pPr>
        <w:pStyle w:val="TextoNormal"/>
      </w:pPr>
      <w:r>
        <w:t xml:space="preserve">a) La demanda de amparo afirma, con los argumentos resumidos en los antecedentes de la presente resolución, que la sentencia de casación dictada por la Sala Segunda del Tribunal Supremo que condenó al aquí recurrente como jefe de una organización criminal, agravando la calificación delictiva dada a los hechos y a su participación en ellos por la sentencia de instancia, ha traído consigo varias vulneraciones de derechos fundamentales, las cuales no han sido reparadas por el auto que desestimó el incidente de nulidad promovido contra aquella sentencia. Según el primer motivo de la demanda, se lesionó el derecho a un proceso con todas las garantías (art. 24.2 CE), por infracción de la doctrina de este tribunal sobre la garantía de inmediación para la posible revisión de los hechos declarados probados en una sentencia de primera o única instancia, tanto respecto de la consideración del llamado colectivo de Terrassa como organización criminal del art. 369 </w:t>
      </w:r>
      <w:r w:rsidRPr="005728DD">
        <w:rPr>
          <w:i/>
        </w:rPr>
        <w:t>bis</w:t>
      </w:r>
      <w:r>
        <w:t xml:space="preserve">, apartado primero, CP, como por la apreciación de que su jefatura la ostenta el aquí recurrente </w:t>
      </w:r>
      <w:r w:rsidRPr="005728DD">
        <w:rPr>
          <w:i/>
        </w:rPr>
        <w:t>ex</w:t>
      </w:r>
      <w:r>
        <w:t xml:space="preserve"> art. 369 </w:t>
      </w:r>
      <w:r w:rsidRPr="005728DD">
        <w:rPr>
          <w:i/>
        </w:rPr>
        <w:t>bis</w:t>
      </w:r>
      <w:r>
        <w:t>, apartado segundo, CP; vulneración que a su vez trae aparejada, añade la demanda, la del derecho a la presunción de inocencia (art. 24.2 CE), también según nuestra doctrina. En el segundo motivo, se aduce la conculcación de nuestra doctrina sobre la garantía del principio acusatorio (art. 24.2 CE), por haber condenado al recurrente como jefe de dicha organización sin haberlo pedido expresamente el fiscal en su recurso de casación, lo que traería consigo asimismo la vulneración del derecho a la contradicción en juicio, y a la imparcialidad (art. 24.2 CE) del tribunal.</w:t>
      </w:r>
    </w:p>
    <w:p w:rsidR="005728DD" w:rsidRDefault="005728DD" w:rsidP="005728DD">
      <w:pPr>
        <w:pStyle w:val="TextoNormal"/>
      </w:pPr>
    </w:p>
    <w:p w:rsidR="005728DD" w:rsidRDefault="005728DD" w:rsidP="005728DD">
      <w:pPr>
        <w:pStyle w:val="TextoNormal"/>
      </w:pPr>
      <w:r>
        <w:t>El tercer y último motivo, subsidiario de los anteriores, sostiene que en su conjunto el proceso cumplido “en segunda instancia” (en casación) no cumple con las exigencias del derecho a un proceso con todas las garantías (art. 24.2 CE), en relación con el derecho a un proceso equitativo (art. 6 CEDH). Esta queja, en todo caso, solo puede ser examinada desde el prisma de la lesión de alguno de los derechos fundamentales previstos en nuestra Constitución, en este caso la del art. 24.2 CE que se alega, pues al margen del valor interpretativo que deriva del art. 10.2 CE, la denuncia de vulneración de un precepto del Convenio europeo de derechos humanos no es objeto de control en un recurso de amparo (por todas, STC 53/2015, de 16 de marzo, FJ 1, y las que ahí se citan).</w:t>
      </w:r>
    </w:p>
    <w:p w:rsidR="005728DD" w:rsidRDefault="005728DD" w:rsidP="005728DD">
      <w:pPr>
        <w:pStyle w:val="TextoNormal"/>
      </w:pPr>
    </w:p>
    <w:p w:rsidR="005728DD" w:rsidRDefault="005728DD" w:rsidP="005728DD">
      <w:pPr>
        <w:pStyle w:val="TextoNormal"/>
      </w:pPr>
      <w:r>
        <w:t>La demanda, conviene precisar por último, no impugna el pronunciamiento de la sentencia de casación que, estimando también el recurso del fiscal, acordó suprimir la atenuante de haber cometido el hecho por estar afectado de una grave adicción a las drogas (art. 21.7 en relación con el art. 21.2 CP), que la audiencia había reconocido al recurrente, por lo que esta cuestión queda fuera de nuestro examen.</w:t>
      </w:r>
    </w:p>
    <w:p w:rsidR="005728DD" w:rsidRDefault="005728DD" w:rsidP="005728DD">
      <w:pPr>
        <w:pStyle w:val="TextoNormal"/>
      </w:pPr>
    </w:p>
    <w:p w:rsidR="005728DD" w:rsidRDefault="005728DD" w:rsidP="005728DD">
      <w:pPr>
        <w:pStyle w:val="TextoNormal"/>
      </w:pPr>
      <w:r>
        <w:t>El teniente fiscal ante este tribunal, en los términos que igualmente hemos resumido en los antecedentes, se opone en su escrito de alegaciones a la demanda de amparo y solicita su desestimación íntegra.</w:t>
      </w:r>
    </w:p>
    <w:p w:rsidR="005728DD" w:rsidRDefault="005728DD" w:rsidP="005728DD">
      <w:pPr>
        <w:pStyle w:val="TextoNormal"/>
      </w:pPr>
    </w:p>
    <w:p w:rsidR="005728DD" w:rsidRDefault="005728DD" w:rsidP="005728DD">
      <w:pPr>
        <w:pStyle w:val="TextoNormal"/>
      </w:pPr>
      <w:r>
        <w:t>Asimismo, en el plazo legalmente previsto se han personado en este recurso don Said Makdad y don Abdellah El Kamouni, condenados en la misma causa como integrantes de la organización de Terrassa, quienes a través de su procurador han presentado escrito de alegaciones interesando su “adhesión” a la demanda de amparo. Sobre el significado de esta petición, debe recordarse nuestra reiterada doctrina en cuya virtud la posición procesal de quien se persona en un recurso de amparo para apoyar la demanda ya interpuesta, está “subordinada a la del demandante de amparo y, por tanto, carece de autonomía, […] ‘no puede esgrimir pretensiones distintas de las ejercitadas por aquel, ni mucho menos pretender el reconocimiento para sí de una situación jurídica individualizada, un derecho subjetivo [...]. Su intervención adhesiva debe quedar limitada a la facultad de alegar (art. 52.1 LOTC) cuanto le conviniere sin restricción dialéctica alguna, siempre que no altere el planteamiento ni el objeto del proceso’ (ATC 146/1996, de 10 de junio, FJ único; en idéntico sentido STC 66/1989, de 17 de abril, FJ 1)” (STC 143/2006, de 8 de mayo FJ 2. En el mismo sentido, SSTC 203/2005, de 18 de julio, FJ 1, y 1/2006, de 16 de enero, FJ 1).</w:t>
      </w:r>
    </w:p>
    <w:p w:rsidR="005728DD" w:rsidRDefault="005728DD" w:rsidP="005728DD">
      <w:pPr>
        <w:pStyle w:val="TextoNormal"/>
      </w:pPr>
    </w:p>
    <w:p w:rsidR="005728DD" w:rsidRDefault="005728DD" w:rsidP="005728DD">
      <w:pPr>
        <w:pStyle w:val="TextoNormal"/>
      </w:pPr>
      <w:r>
        <w:t>b) Para el correcto orden de enjuiciamiento de las quejas vertidas en la demanda ha de tenerse en cuenta, de un lado, la distinta articulación que en esta se hace entre motivos principales (los dos primeros) y subsidiarios (el tercero) para el caso de desestimación de los anteriores. De otro lado, ya dentro de las quejas principales, procede la aplicación a su vez de nuestra doctrina “según la cual, en el análisis de las diferentes lesiones alegadas ha de seguirse el criterio de ‘mayor retroacción’ que viene empleando nuestra jurisprudencia (STC 180/2015, de 7 de septiembre, FJ 3), y que implica conceder prioridad al examen de aquellas causas que, de prosperar, determinarían la retroacción a un momento procesal anterior, lo que haría innecesario un pronunciamiento sobre las restantes (SSTC 90/2010, de 15 de noviembre, FJ 2; 25/2012, de 27 de febrero, FJ 2, y las que en ellas se citan)” (STC 102/2020, de 21 de septiembre, FJ 2; en el mismo sentido, STC 125/2020, de 21 de septiembre, FJ 3).</w:t>
      </w:r>
    </w:p>
    <w:p w:rsidR="005728DD" w:rsidRDefault="005728DD" w:rsidP="005728DD">
      <w:pPr>
        <w:pStyle w:val="TextoNormal"/>
      </w:pPr>
    </w:p>
    <w:p w:rsidR="005728DD" w:rsidRDefault="005728DD" w:rsidP="005728DD">
      <w:pPr>
        <w:pStyle w:val="TextoNormal"/>
      </w:pPr>
      <w:r>
        <w:t>El resultado de ello es que se examinarán las quejas de la demanda, en el mismo orden que ha tenido a bien exponerlas dicho escrito.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Examen del motivo de incumplimiento de la doctrina constitucional de las SSTC 167/2002, de 18 de septiembre; 184/2009, de 7 de septiembre, y 88/2013, de 11 de abril</w:t>
      </w:r>
      <w:r>
        <w:t>.</w:t>
      </w:r>
    </w:p>
    <w:p w:rsidR="005728DD" w:rsidRDefault="005728DD" w:rsidP="005728DD">
      <w:pPr>
        <w:pStyle w:val="TextoNormal"/>
      </w:pPr>
    </w:p>
    <w:p w:rsidR="005728DD" w:rsidRDefault="005728DD" w:rsidP="005728DD">
      <w:pPr>
        <w:pStyle w:val="TextoNormal"/>
      </w:pPr>
      <w:r>
        <w:t xml:space="preserve">A) La admisión del presente recurso de amparo, ateniéndonos al listado orientativo —no tasado— de motivos de especial trascendencia constitucional [arts. 49.1 y 50.1 b) LOTC] que trae nuestra STC 155/2009, de 25 de junio, FJ 2, no se acordó para fijar doctrina sobre alguna faceta nueva de un derecho fundamental o sobre un problema nuevo atinente a tal derecho. El recurso se admitió, según se plasma en la providencia dictada al efecto, porque una doctrina del tribunal podría estar siendo incumplida “de modo general y reiterado por la jurisdicción ordinaria o pudieran existir resoluciones judiciales contradictorias sobre el derecho fundamental” [STC 155/2009, FJ 2 e)]. Hemos venido constatando, en efecto, que el incumplimiento de nuestra doctrina sobre la garantía de la inmediación en la segunda </w:t>
      </w:r>
      <w:r>
        <w:lastRenderedPageBreak/>
        <w:t xml:space="preserve">instancia y casación penal, sentada en nuestra STC 167/2002, de 18 de septiembre, y perfilada y enriquecida por las posteriores SSTC 184/2009, de 7 de septiembre, y 88/2013, de 1 de abril, en los términos que luego se recordarán, continúa siendo desconocida o mal aplicada de manera persistente por tribunales de apelación y también en sede de casación, lo que nos ha llevado a admitir y estimar otros recursos de amparo por este mismo motivo (SSTC 125/2017, de 13 de noviembre; 73/2019, de 20 de mayo; 88/2019, de 1 de julio; 149/2019, de 25 de noviembre, y 1/2020, de 14 de enero). Ello no resulta incompatible, claro está, con que cumpliéndose </w:t>
      </w:r>
      <w:r w:rsidRPr="005728DD">
        <w:rPr>
          <w:i/>
        </w:rPr>
        <w:t>prima facie</w:t>
      </w:r>
      <w:r>
        <w:t xml:space="preserve"> los requisitos de fondo para su admisión por dicha causa de especial trascendencia constitucional, el examen definitivo en sentencia de la queja haya deparado su desestimación porque las resoluciones impugnadas no incurrieron en ese incumplimiento de doctrina (SSTC 105/2016, de 6 de junio, y 35/2020, de 25 de febrero). No en vano, ha puesto de relieve este tribunal que “no existe una correlación simétrica entre la fase de admisión y la de decisión, ni mucho menos vinculación del tribunal a que las cuestiones que dotaron de especial trascendencia constitucional al recurso se traduzcan forzosa y miméticamente en el núcleo de la decisión que finamente se adopte, toda vez que la estructura del razonamiento, el orden conforme al cual han de estudiarse las quejas ante nosotros esgrimidas, u otras razones pueden impedirlo” [STC 9/2015, de 2 de febrero, FJ 3, y, en el mismo sentido, 37/2019, de 26 de marzo, FJ 3 b)].</w:t>
      </w:r>
    </w:p>
    <w:p w:rsidR="005728DD" w:rsidRDefault="005728DD" w:rsidP="005728DD">
      <w:pPr>
        <w:pStyle w:val="TextoNormal"/>
      </w:pPr>
    </w:p>
    <w:p w:rsidR="005728DD" w:rsidRDefault="005728DD" w:rsidP="005728DD">
      <w:pPr>
        <w:pStyle w:val="TextoNormal"/>
      </w:pPr>
      <w:r>
        <w:t>B) Las garantías de publicidad, inmediación y contradicción en vía de recurso devolutivo cuando se impugna una sentencia penal dictada en primera o única instancia, siempre que la revocación de la absolución con subsiguiente condena, o el agravamiento de la impuesta previamente, comporte modificar los hechos probados de la recurrida, ha venido a exigirse por este tribunal: (i) a partir de la STC 167/2002 para la revalorización de medios de prueba personal, en tanto manifestación del derecho fundamental a un proceso con todas las garantías (art. 24.2 CE); y (ii) a partir de la STC 184/2009, como una manifestación del derecho de defensa (art. 24.2 CE), a fin de oír personalmente al condenado respecto de los cargos formulados en su contra en el recurso. Garantía esta última que la STC 88/2013 recondujo y unificó dentro del arco de protección del derecho a un proceso con todas las garantías. Asimismo, y en lo que importa destacar, la doctrina de la STC 167/2002 asumida desde entonces, declara que no resulta precisa la celebración de vista cuando la revisión efectuada por el tribunal superior resulte ser una cuestión estrictamente jurídica que no altere las bases fácticas de la sentencia de primera o única instancia. Son pasajes significativos de la STC 88/2013, FFJJ 7 a 9, los siguientes:</w:t>
      </w:r>
    </w:p>
    <w:p w:rsidR="005728DD" w:rsidRDefault="005728DD" w:rsidP="005728DD">
      <w:pPr>
        <w:pStyle w:val="TextoNormal"/>
      </w:pPr>
    </w:p>
    <w:p w:rsidR="005728DD" w:rsidRDefault="005728DD" w:rsidP="005728DD">
      <w:pPr>
        <w:pStyle w:val="TextoNormal"/>
      </w:pPr>
      <w:r>
        <w:t xml:space="preserve">“7. El alcance de las garantías constitucionales para quien resulta condenado en la segunda instancia, tras revisar una previa absolución, fue objeto de un detenido análisis, inspirado en la doctrina del Tribunal Europeo de Derechos Humanos (entre otras, SSTEDH de 26 de mayo de 1988, caso </w:t>
      </w:r>
      <w:r w:rsidRPr="005728DD">
        <w:rPr>
          <w:i/>
        </w:rPr>
        <w:t>Ekbatani c. Suecia</w:t>
      </w:r>
      <w:r>
        <w:t xml:space="preserve">, o de 27 de junio de 2000, caso </w:t>
      </w:r>
      <w:r w:rsidRPr="005728DD">
        <w:rPr>
          <w:i/>
        </w:rPr>
        <w:t>Constantinescu c. Rumania</w:t>
      </w:r>
      <w:r>
        <w:t>), por el Pleno de este Tribunal Constitucional en la STC 167/2002, de 18 de diciembre, FFJJ 9 a 11, según la cual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005728DD" w:rsidRDefault="005728DD" w:rsidP="005728DD">
      <w:pPr>
        <w:pStyle w:val="TextoNormal"/>
      </w:pPr>
    </w:p>
    <w:p w:rsidR="005728DD" w:rsidRDefault="005728DD" w:rsidP="005728DD">
      <w:pPr>
        <w:pStyle w:val="TextoNormal"/>
      </w:pPr>
      <w:r>
        <w:lastRenderedPageBreak/>
        <w:t>A partir de ello, se ha consolidado una doctrina constitucional, reiterada en numerosas resoluciones (entre las últimas, SSTC 126/2012, de 18 de junio, FJ 2; 22/2013, de 31 de enero, FJ 4, o 43/2013, de 25 de febrero, FJ 5), según la cual 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005728DD" w:rsidRDefault="005728DD" w:rsidP="005728DD">
      <w:pPr>
        <w:pStyle w:val="TextoNormal"/>
      </w:pPr>
    </w:p>
    <w:p w:rsidR="005728DD" w:rsidRDefault="005728DD" w:rsidP="005728DD">
      <w:pPr>
        <w:pStyle w:val="TextoNormal"/>
      </w:pPr>
      <w:r>
        <w:t>Por el contrario, en aplicación de esta doctrina constitucional, también se ha destacado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STC 272/2005, de 24 de octubre, FJ 5, o 153/2011, de 17 de octubre, FJ 4),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esta,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 Por último, también se descarta una vulneración del derecho a un proceso con todas las garantías cuando la condena o agravación en vía de recurso, aun no habiéndose celebrado vista pública, no derive de una alteración del sustrato fáctico sobre el que se asienta la sentencia de instancia sino sobre cuestiones estrictamente jurídicas (así, SSTC 143/2005, de 6 de junio, FJ 6, o 2/2013, de 14 de enero, FJ 6)”.</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8. Este tribunal ha realizado una lectura para complementar las garantías del acusado en la segunda instancia en la STC 184/2009, de 7 de septiembre, FJ 3, señalando que, también de conformidad con la misma doctrina del Tribunal Europeo de Derechos Humanos recogida en la STC 167/2002, en aquellos casos en los que se condena en segunda instancia, revocando una previa absolución, o se agravan sus consecuencias, debe igualmente atenderse a la eventual exigencia de la audiencia personal del acusado como garantía específica vinculada al derecho de defensa (art. 24.2 CE).</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9. La duplicidad de derechos fundamentales que se consideran concernidos en proyección de las doctrinas establecidas en las SSTC 167/2002 y 184/2009 ha llevado a que este tribunal haya realizado un análisis independiente de ambas cuestiones en algunos pronun</w:t>
      </w:r>
      <w:r>
        <w:lastRenderedPageBreak/>
        <w:t>ciamientos (así, SSTC 184/2009; 142/2011, de 26 de septiembre, o 153/2011, de 17 de octubre). Ahora bien, atendiendo al desarrollo, fundamentación y evolución de las doctrinas jurisprudenciales derivadas de las SSTC 167/2002 y 184/2009, se pone de manifiesto no solo la íntima interconexión de los criterios sentados con dichos pronunciamientos, sino también que tienen un fundamento común, al englobarse de manera inescindible la exigencia de inmediación probatoria y el derecho del acusado absuelto a ser oído, que no es sino una concreta manifestación del principio de contradicción, en el más genérico derecho a un proceso con todas las garantías (art. 24.2 CE). De ahí que este tribunal también haya optado en otros pronunciamientos por hacer un análisis integrado y conjunto de ambos aspectos (así, SSTC 135/2011, de 12 de septiembre, FJ 3, y 126/2012, de 18 de junio, FJ 4).</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En este contexto, si bien hay supuestos en los que resulta posible diferenciar más claramente los aspectos de inmediación de la valoración probatoria y del derecho del acusado a ofrecer al órgano judicial su testimonio personal, y proyectar un análisis independiente de ambos, resulta más adecuado que queden conjuntamente englobados como manifestaciones concretas dentro del derecho a un proceso con todas las garantías (art. 24.2 CE), en su proyección a la segunda instancia. […]</w:t>
      </w:r>
    </w:p>
    <w:p w:rsidR="005728DD" w:rsidRDefault="005728DD" w:rsidP="005728DD">
      <w:pPr>
        <w:pStyle w:val="TextoNormal"/>
      </w:pPr>
    </w:p>
    <w:p w:rsidR="005728DD" w:rsidRDefault="005728DD" w:rsidP="005728DD">
      <w:pPr>
        <w:pStyle w:val="TextoNormal"/>
      </w:pPr>
      <w:r>
        <w:t>En conclusión,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005728DD" w:rsidRDefault="005728DD" w:rsidP="005728DD">
      <w:pPr>
        <w:pStyle w:val="TextoNormal"/>
      </w:pPr>
    </w:p>
    <w:p w:rsidR="005728DD" w:rsidRDefault="005728DD" w:rsidP="005728DD">
      <w:pPr>
        <w:pStyle w:val="TextoNormal"/>
      </w:pPr>
      <w:r>
        <w:t>Aunque la doctrina enunciada habla de la segunda instancia, la misma resulta totalmente extensible al ámbito del recurso de casación (entre otras, SSTC 172/2016, de 17 de octubre; 125/2017, de 13 de noviembre; 1/2020, de 14 de enero, y 35/2020, de 25 de febrero); llegando a advertir la STC 172/2016, en su FJ 8, que la propia Sala Segunda del Tribunal Supremo ha dictado varias sentencias declarando que el acto de la vista del art. 893 LECrim no está contemplado para la práctica de pruebas en casación, y que el Pleno de dicha Sala dictó un acuerdo no jurisdiccional el 19 de diciembre de 2012, estableciendo que “la citación del acusado recurrido a una vista para ser oído personalmente antes de la decisión del recurso no es compatible con la naturaleza de la casación, ni está prevista en la ley”.</w:t>
      </w:r>
    </w:p>
    <w:p w:rsidR="005728DD" w:rsidRDefault="005728DD" w:rsidP="005728DD">
      <w:pPr>
        <w:pStyle w:val="TextoNormal"/>
      </w:pPr>
    </w:p>
    <w:p w:rsidR="005728DD" w:rsidRDefault="005728DD" w:rsidP="005728DD">
      <w:pPr>
        <w:pStyle w:val="TextoNormal"/>
      </w:pPr>
      <w:r>
        <w:t>C) La doctrina de referencia conduce a la desestimación del motivo, en las dos vertientes que se plantean por la demanda:</w:t>
      </w:r>
    </w:p>
    <w:p w:rsidR="005728DD" w:rsidRDefault="005728DD" w:rsidP="005728DD">
      <w:pPr>
        <w:pStyle w:val="TextoNormal"/>
      </w:pPr>
    </w:p>
    <w:p w:rsidR="005728DD" w:rsidRDefault="005728DD" w:rsidP="005728DD">
      <w:pPr>
        <w:pStyle w:val="TextoNormal"/>
      </w:pPr>
      <w:r>
        <w:t xml:space="preserve">a) Así, en primer lugar, respecto de la consideración </w:t>
      </w:r>
      <w:r w:rsidRPr="005728DD">
        <w:rPr>
          <w:i/>
        </w:rPr>
        <w:t>ex novo</w:t>
      </w:r>
      <w:r>
        <w:t xml:space="preserve"> por la sentencia de casación del colectivo de Terrassa en el que se integraba el recurrente, como una “organización criminal”, no cabe considerar que con ello se haya acometido una labor de revisión de los hechos probados en la instancia, ni la revalorización de pruebas personales. Por el contrario, se trata de una estricta operación de calificación jurídica de los hechos, que pasan de subsumirse en el tipo básico del art. 368 CP (“[l]os que ejecuten actos de cultivo, elaboración o </w:t>
      </w:r>
      <w:r>
        <w:lastRenderedPageBreak/>
        <w:t xml:space="preserve">tráfico, o de otro modo promuevan, favorezcan o faciliten el consumo ilegal de drogas tóxicas, estupefacientes o sustancias psicotrópicas, o las posean con aquellos fines, serán castigados con las penas de prisión de tres a seis años y multa del tanto al triplo del valor de la droga objeto del delito si se tratare de sustancias o productos que causen grave daño a la salud, y de prisión de uno a tres años y multa del tanto al duplo en los demás casos”, agravado según el art. 369.1.5 CP por tratarse de cantidad de notoria importancia), por el que condenó la audiencia, al tipo autónomo y agravado del art. 369 </w:t>
      </w:r>
      <w:r w:rsidRPr="005728DD">
        <w:rPr>
          <w:i/>
        </w:rPr>
        <w:t>bis</w:t>
      </w:r>
      <w:r>
        <w:t>, párrafo primero, CP (“[c]uando los hechos descritos en el artículo 368 se hayan realizado por quienes pertenecieren a una organización delictiva, se impondrán las penas de prisión de nueve a doce años y multa del tanto al cuádruplo del valor de la droga si se tratara de sustancias y productos que causen grave daño a la salud y de prisión de cuatro años y seis meses a diez años y la misma multa en los demás casos”), por el que ha condenado el Alto Tribunal en el ejercicio de sus funciones de vigilancia del Derecho (nomofilaxis).</w:t>
      </w:r>
    </w:p>
    <w:p w:rsidR="005728DD" w:rsidRDefault="005728DD" w:rsidP="005728DD">
      <w:pPr>
        <w:pStyle w:val="TextoNormal"/>
      </w:pPr>
    </w:p>
    <w:p w:rsidR="005728DD" w:rsidRDefault="005728DD" w:rsidP="005728DD">
      <w:pPr>
        <w:pStyle w:val="TextoNormal"/>
      </w:pPr>
      <w:r>
        <w:t xml:space="preserve">Resulta indiscutido por el recurrente que la expresión “organización criminal” del art. 369 </w:t>
      </w:r>
      <w:r w:rsidRPr="005728DD">
        <w:rPr>
          <w:i/>
        </w:rPr>
        <w:t>bis</w:t>
      </w:r>
      <w:r>
        <w:t xml:space="preserve">, párrafo primero, CP, entraña un concepto jurídico cuya determinación en abstracto remite al art. 570 </w:t>
      </w:r>
      <w:r w:rsidRPr="005728DD">
        <w:rPr>
          <w:i/>
        </w:rPr>
        <w:t>bis</w:t>
      </w:r>
      <w:r>
        <w:t xml:space="preserve"> del mismo Código, a tenor del cual: “A los efectos de este Código se entiende por organización criminal la agrupación formada por más de dos personas con carácter estable o por tiempo indefinido, que de manera concertada y coordinada se repartan diversas tareas o funciones con el fin de cometer delitos”. Se trataba entonces de determinar si los elementos que determinan dicha organización concurren o no (subsunción) a partir de los hechos probados. Esto es lo que, a petición del fiscal en su recurso, lleva a cabo la Sala sin añadir hechos nuevos ni modificar las bases fácticas fijadas por la audiencia, en los fundamentos de Derecho trigésimo cuarto y trigésimo quinto de la sentencia impugnada. Parte para ello de la distinción entre los conceptos de “codelincuencia”, “grupo criminal” y “organización criminal”, con cita de preceptos jurídicos y de jurisprudencia previa, pasando a continuación a rebatir los argumentos dados por la sentencia de instancia para no calificar los hechos como organización criminal.</w:t>
      </w:r>
    </w:p>
    <w:p w:rsidR="005728DD" w:rsidRDefault="005728DD" w:rsidP="005728DD">
      <w:pPr>
        <w:pStyle w:val="TextoNormal"/>
      </w:pPr>
    </w:p>
    <w:p w:rsidR="005728DD" w:rsidRDefault="005728DD" w:rsidP="005728DD">
      <w:pPr>
        <w:pStyle w:val="TextoNormal"/>
      </w:pPr>
      <w:r>
        <w:t>En sostén de esa distinta subsunción, la sentencia de casación reproduce algunos de los pasajes de la sentencia de instancia, no de manera retórica sino para apoyarse en ellos justamente para llegar a la nueva calificación jurídica, hasta el punto de poner de relieve la propia contradicción de la audiencia al emplear esta frases que niegan la existencia de una estructura jerárquica (“[actuaba el grupo de Terrassa] con una falta clara de dependencia jerárquica y distribución de funciones […]”), con otras que simultáneamente la afirman (“[Atik Kamdad] ocupaba una posición de coordinación preeminente entre los demás familiares […] encargándose de la supervisión de los grupos que se encargaban del transporte de la ilícita mercancía, decidiendo a veces y sobre la marcha los vehículos y personas que debían efectuar cada desplazamiento […] sí les daba frecuentes instrucciones telefónicas […] su hermano el también procesado Adil Makdad […] ejercía las misma funciones en los períodos temporales en los que Atik Makdad se ausentó en Marruecos […]”).</w:t>
      </w:r>
    </w:p>
    <w:p w:rsidR="005728DD" w:rsidRDefault="005728DD" w:rsidP="005728DD">
      <w:pPr>
        <w:pStyle w:val="TextoNormal"/>
      </w:pPr>
    </w:p>
    <w:p w:rsidR="005728DD" w:rsidRDefault="005728DD" w:rsidP="005728DD">
      <w:pPr>
        <w:pStyle w:val="TextoNormal"/>
      </w:pPr>
      <w:r>
        <w:t xml:space="preserve">Y no son esas las únicas afirmaciones de la sentencia de instancia que reconocían esa estructura jerárquica, así por ejemplo: “para la apreciación de la organización criminal no basta cualquier estructura distributiva de funciones […]. Que ello acontezca de cierta manera en el presente caso, aunque no con toda claridad, en una aproximada distribución de funciones entre los miembros de la familia Makdad […]” (fundamento de Derecho undécimo). O: “[…] si bien precisamente permite acreditar un cierto nivel de dirección y control </w:t>
      </w:r>
      <w:r>
        <w:lastRenderedPageBreak/>
        <w:t>del acusado Atik Makdad en el grupo o colectividad criminal de Terrassa, lo que viene asimismo acreditado por las conversaciones intervenidas a Mohamed Makdad y mantenidas con Atik Makdad, en el que este le daba instrucciones al primero […]” (fundamento de Derecho decimocuarto de la sentencia de instancia).</w:t>
      </w:r>
    </w:p>
    <w:p w:rsidR="005728DD" w:rsidRDefault="005728DD" w:rsidP="005728DD">
      <w:pPr>
        <w:pStyle w:val="TextoNormal"/>
      </w:pPr>
    </w:p>
    <w:p w:rsidR="005728DD" w:rsidRDefault="005728DD" w:rsidP="005728DD">
      <w:pPr>
        <w:pStyle w:val="TextoNormal"/>
      </w:pPr>
      <w:r>
        <w:t xml:space="preserve">A partir de esos hechos probados, que son los mismos, y de las pruebas que los fundan (intervenciones telefónicas, testificales de la policía, y declaraciones de los acusados), que tampoco difieren, la Sala de casación rebate que la falta de prueba de un acuerdo inicial entre todos los integrantes de dicho colectivo, o la falta de prueba de un determinado reparto de ganancias entre ellos, o la falta de prueba de que cada uno de los miembros desarrollaban una función concreta y única en todas las operaciones de transporte de la droga, o en fin, que no se probara la actuación coordinada entre esa batería y la de Sant Joan Despí, pudieran traducirse, como sostenía la audiencia, en circunstancias impeditivas para calificar a tal grupo como organización criminal del art. 369 </w:t>
      </w:r>
      <w:r w:rsidRPr="005728DD">
        <w:rPr>
          <w:i/>
        </w:rPr>
        <w:t>bis</w:t>
      </w:r>
      <w:r>
        <w:t xml:space="preserve"> CP. No es, por tanto, que se alteren los hechos probados para decir que esos aspectos sí están probados, sino que la falta de prueba de los mismos no es jurídicamente relevante para evitar calificar sus actividades como organización criminal. Esto es lo que razona la Sala del Alto Tribunal en los indicados fundamentos de Derecho de su sentencia, y sobre ello vuelve de nuevo para explicar correctamente lo realizado, en los fundamentos de Derecho quinto a octavo del auto desestimatorio de la nulidad de actuaciones. Nada hay en esto que vulnere las garantías constitucionales invocadas.</w:t>
      </w:r>
    </w:p>
    <w:p w:rsidR="005728DD" w:rsidRDefault="005728DD" w:rsidP="005728DD">
      <w:pPr>
        <w:pStyle w:val="TextoNormal"/>
      </w:pPr>
    </w:p>
    <w:p w:rsidR="005728DD" w:rsidRDefault="005728DD" w:rsidP="005728DD">
      <w:pPr>
        <w:pStyle w:val="TextoNormal"/>
      </w:pPr>
      <w:r>
        <w:t xml:space="preserve">b) La misma suerte desestimatoria corre la misma queja, ahora en relación con la consideración del recurrente como “jefe” de la mencionada “organización criminal” de Terrassa. De nuevo nos encontramos con un concepto normativo inserto en el tipo autónomo del art. 369 </w:t>
      </w:r>
      <w:r w:rsidRPr="005728DD">
        <w:rPr>
          <w:i/>
        </w:rPr>
        <w:t>bis</w:t>
      </w:r>
      <w:r>
        <w:t xml:space="preserve"> CP, ahora en el párrafo segundo (“[a] los jefes, encargados o administradores de la organización se les impondrán las penas superiores en grado a las señaladas en el párrafo primero”), y con una serie de hechos declarados probados por la sentencia de instancia que se toman como fundamento de la sentencia de casación para alcanzar el resultado de subsunción en el tipo agravado, operación esta última a la que no llegó la audiencia por no haber declarado la existencia de la organización criminal. Esos hechos probados de la sentencia de instancia, que evoca luego la de casación, son justamente los que reconocen una cierta estructura jerárquica en el grupo a resultas de las funciones que tenía el recurrente, y por tanto no se ha producido una nueva revalorización de pruebas personales ni la alteración de los hechos probados. Se desestima por tanto este primer motivo de la demanda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Examen del motivo de vulneración del principio acusatorio (art. 24.2 CE</w:t>
      </w:r>
      <w:r>
        <w:t>).</w:t>
      </w:r>
    </w:p>
    <w:p w:rsidR="005728DD" w:rsidRDefault="005728DD" w:rsidP="005728DD">
      <w:pPr>
        <w:pStyle w:val="TextoNormal"/>
      </w:pPr>
    </w:p>
    <w:p w:rsidR="005728DD" w:rsidRDefault="005728DD" w:rsidP="005728DD">
      <w:pPr>
        <w:pStyle w:val="TextoNormal"/>
      </w:pPr>
      <w:r>
        <w:t>A) Aunque el presente recurso, ya se ha explicado, se admitió a trámite porque concurría una de las causas de especial trascendencia constitucional en conexión con otra queja distinta de la demanda a la que ahora nos ocupa, ello no es óbice lógicamente para el examen de esta última, siendo doctrina reiterada de este tribunal la de que “la especial trascendencia constitucional se exige del recurso y no de cada uno de los motivos en concreto” [STC 2/2013, de 14 de enero, FJ 3. En el mismo sentido, entre otras últimamente, SSTC 1/2020, de 14 de enero, FJ 2, y 97/2020, de 21 de julio, FJ 2 B) a)].</w:t>
      </w:r>
    </w:p>
    <w:p w:rsidR="005728DD" w:rsidRDefault="005728DD" w:rsidP="005728DD">
      <w:pPr>
        <w:pStyle w:val="TextoNormal"/>
      </w:pPr>
    </w:p>
    <w:p w:rsidR="005728DD" w:rsidRDefault="005728DD" w:rsidP="005728DD">
      <w:pPr>
        <w:pStyle w:val="TextoNormal"/>
      </w:pPr>
      <w:r>
        <w:lastRenderedPageBreak/>
        <w:t xml:space="preserve">Se alega por el recurrente que las resoluciones impugnadas han conculcado la garantía del principio acusatorio en el trámite de sentencia (art. 24.2 CE), al aplicar la Sala Segunda del Tribunal Supremo al recurrente el tipo agravado del art. 369 </w:t>
      </w:r>
      <w:r w:rsidRPr="005728DD">
        <w:rPr>
          <w:i/>
        </w:rPr>
        <w:t>bis</w:t>
      </w:r>
      <w:r>
        <w:t>, párrafo segundo, CP, como jefe de la organización criminal de Terrassa, sin haberlo solicitado de manera expresa el fiscal en su recurso de casación. Para resolver esta queja procede remitirnos como fuente de doctrina a la STC 47/2020, de 15 de junio, que recogiendo y sistematizando otras resoluciones anteriores, señala sobre este derecho fundamental, también conocido como de congruencia o correlación entre las pretensiones de la acusación y la defensa y la sentencia, en el fundamento jurídico 3, destacando a los efectos de este amparo los siguientes pronunciamientos de los apartados a) y c):</w:t>
      </w:r>
    </w:p>
    <w:p w:rsidR="005728DD" w:rsidRDefault="005728DD" w:rsidP="005728DD">
      <w:pPr>
        <w:pStyle w:val="TextoNormal"/>
      </w:pPr>
    </w:p>
    <w:p w:rsidR="005728DD" w:rsidRDefault="005728DD" w:rsidP="005728DD">
      <w:pPr>
        <w:pStyle w:val="TextoNormal"/>
      </w:pPr>
      <w:r>
        <w:t xml:space="preserve">“a) En la STC 155/2009, de 25 de junio, FJ 4, citada por la demandante ya desde el momento en que interpuso el incidente de nulidad de actuaciones que sería inadmitido </w:t>
      </w:r>
      <w:r w:rsidRPr="005728DD">
        <w:rPr>
          <w:i/>
        </w:rPr>
        <w:t>a limine</w:t>
      </w:r>
      <w:r>
        <w:t xml:space="preserve"> por la audiencia, el Pleno de este tribunal recordó lo expuesto en la STC 123/2005, de 12 de mayo, FJ 3, reiterando que, aunque el principio acusatorio no aparezca expresamente mencionado entre los derechos constitucionales que disciplinan el proceso penal, ello no es óbice para entender protegidos por el art. 24.2 CE ciertos derechos fundamentales que configuran los elementos estructurales de dicho principio, que trasciende el derecho a ser informado de la acusación para comprender un haz de garantías adicionales. En este sentido, se resaltó la vinculación del principio acusatorio tanto con los derechos constitucionales de defensa y a conocer la acusación, como con la garantía constitucional de la imparcialidad judicial.</w:t>
      </w:r>
    </w:p>
    <w:p w:rsidR="005728DD" w:rsidRDefault="005728DD" w:rsidP="005728DD">
      <w:pPr>
        <w:pStyle w:val="TextoNormal"/>
      </w:pPr>
    </w:p>
    <w:p w:rsidR="005728DD" w:rsidRDefault="005728DD" w:rsidP="005728DD">
      <w:pPr>
        <w:pStyle w:val="TextoNormal"/>
      </w:pPr>
      <w:r>
        <w:t>Por lo que afecta al fundamento del deber de congruencia entre la acusación y el fallo, como manifestación del principio acusatorio contenida en el derecho a un proceso con todas las garantías, la citada sentencia expuso su directa relación, principalmente, con el derecho a la defensa y a estar informado de la acusación; de modo que si el juzgador se extralimita en el fallo, apreciando unos hechos o una calificación jurídica diferentes de los pretendidos por las acusaciones, priva a la defensa de la necesaria contradicción. Este deber de congruencia encuentra su fundamento en el derecho a un proceso con todas las garantías: el enjuiciamiento penal se ha de desarrollar con respeto a la delimitación de funciones entre la parte acusadora y el órgano de enjuiciamiento, pues un pronunciamiento judicial que vaya más allá de la concreta pretensión punitiva solicitada por quienes sostengan la acusación, implicará la invasión por el órgano judicial de competencias reservadas constitucionalmente a aquellas acusaciones, ya que estaría condenando al margen de lo solicitado por los legitimados para delimitarla; ello conduciría, además, a una pérdida de su necesaria posición de imparcialidad, con efectos sobre el derecho a un proceso con todas las garantías (SSTC 123/2005, FJ 4; 247/2005, de 10 de octubre, FJ 2, o 170/2006, de 5 de junio, FJ 2).</w:t>
      </w:r>
    </w:p>
    <w:p w:rsidR="005728DD" w:rsidRDefault="005728DD" w:rsidP="005728DD">
      <w:pPr>
        <w:pStyle w:val="TextoNormal"/>
      </w:pPr>
    </w:p>
    <w:p w:rsidR="005728DD" w:rsidRDefault="005728DD" w:rsidP="005728DD">
      <w:pPr>
        <w:pStyle w:val="TextoNormal"/>
      </w:pPr>
      <w:r>
        <w:t xml:space="preserve">Así pues, la vinculación entre la pretensión punitiva sostenida por las partes acusadoras y el fallo de la sentencia judicial, como contenido propio del principio acusatorio, implica que el órgano de enjuiciamiento debe dictar una resolución congruente con lo solicitado por aquellas. Lo cual responde a la necesidad no solo de garantizar las posibilidades de contradicción y defensa, sino también de respetar la distribución de funciones entre los distintos participantes en el proceso penal (arts. 117 y 124 CE). De este modo, el análisis del respeto a la garantía del deber de congruencia entre acusación y fallo, por parte de una resolución judicial, debe venir dado no solo por la comprobación de que el condenado ha tenido la oportunidad de debatir contradictoriamente los elementos de la acusación, sino también por </w:t>
      </w:r>
      <w:r>
        <w:lastRenderedPageBreak/>
        <w:t>la comprobación de que el órgano de enjuiciamiento no ha comprometido su imparcialidad asumiendo funciones acusatorias que constitucionalmente no le corresponden (STC 155/2009, FJ 4, siguiendo a la STC 123/2005, de 12 de mayo).</w:t>
      </w:r>
    </w:p>
    <w:p w:rsidR="005728DD" w:rsidRDefault="005728DD" w:rsidP="005728DD">
      <w:pPr>
        <w:pStyle w:val="TextoNormal"/>
      </w:pPr>
    </w:p>
    <w:p w:rsidR="005728DD" w:rsidRDefault="005728DD" w:rsidP="005728DD">
      <w:pPr>
        <w:pStyle w:val="TextoNormal"/>
      </w:pPr>
      <w:r>
        <w:t xml:space="preserve">De otra parte, en cuanto al alcance del deber de congruencia respecto a la pretensión punitiva, el juzgador queda constitucionalmente sometido a un doble condicionamiento: fáctico y jurídico. El condicionamiento fáctico viene determinado por los hechos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varíen sustancialmente la acusación, ni realizar la subsunción con ellos. El condicionamiento jurídico queda constituido, a su vez, por la calificación que de esos hechos realice la acusación y la consiguiente petición sancionadora. Ahora bien, atendiendo a las propias facultades de pronunciamiento de oficio que tiene el juzgador penal, por las cuestiones de orden público implicadas en el ejercicio del </w:t>
      </w:r>
      <w:r w:rsidRPr="005728DD">
        <w:rPr>
          <w:i/>
        </w:rPr>
        <w:t>ius puniendi</w:t>
      </w:r>
      <w:r>
        <w:t>, el juez podrá condenar por un delito distinto del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(STC 155/2009, FJ 4, y jurisprudencia allí citada).</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 xml:space="preserve">c) Finalmente, es también doctrina de este tribunal que la ausencia de indefensión debe respetarse en cada instancia. Lo cual, desde la perspectiva del principio acusatorio, implica que el sostenimiento de pretensiones acusatorias resulta igualmente exigible en la fase de apelación de la sentencia (SSTC 163/1986, de 17 de diciembre, FJ 3; 168/1990, de 5 de noviembre, FJ 2; 11/1992, de 27 de enero, FFJJ 3 y 4; 83/1992, de 28 de mayo, FJ 1, o 283/1993, de 27 de septiembre, FFJJ 4 y 5). De este modo, no basta con que el principio acusatorio haya tenido efectividad en la primera instancia, para entender cumplidas sus exigencias en la segunda instancia si no se reformula en ella la pretensión: la correlación entre la acusación y el fallo de la sentencia debe existir en todas las instancias judiciales (STC 100/1992, de 25 de junio, FJ 2; también SSTC 28/1981, de 23 de junio; 240/1988, de 19 de diciembre; 53/1989, de 22 de febrero, y 168/1990, de 5 de noviembre). Conforme a ello, la inexistencia de acusación en la apelación o su defectuoso planteamiento en dicho grado no pueden entenderse suplidos, en modo alguno, por la primera acusación, ya que “en un sistema acusatorio deben entenderse igualmente excepcionales los poderes de actuación </w:t>
      </w:r>
      <w:r w:rsidRPr="005728DD">
        <w:rPr>
          <w:i/>
        </w:rPr>
        <w:t>ex officio</w:t>
      </w:r>
      <w:r>
        <w:t xml:space="preserve"> del juez lo mismo en la primera que en la segunda instancia” (STC 240/1988, de 19 de diciembre, FJ 3, por remisión a la STC 84/1985, de 8 de julio).</w:t>
      </w:r>
    </w:p>
    <w:p w:rsidR="005728DD" w:rsidRDefault="005728DD" w:rsidP="005728DD">
      <w:pPr>
        <w:pStyle w:val="TextoNormal"/>
      </w:pPr>
    </w:p>
    <w:p w:rsidR="005728DD" w:rsidRDefault="005728DD" w:rsidP="005728DD">
      <w:pPr>
        <w:pStyle w:val="TextoNormal"/>
      </w:pPr>
      <w:r>
        <w:t xml:space="preserve">La pretensión acusatoria debe constar, además, debidamente exteriorizada, rechazándose las formas tácitas o implícitas como manera de satisfacer el principio acusatorio exigible en cada una de las instancias penales (STC 47/1991, de 28 de febrero, FJ 2, por remisión a la STC 163/1986). Este tribunal no se refiere con ello a supuestos de simple confirmación de la sentencia de primera instancia, sino a aquellos casos en los que, sin formularse acusación en grado de apelación, sea condenado quien no lo fue en la instancia anterior bien porque no fue acusado, bien porque resultó absuelto (SSTC 163/1986; 53/1987, de 7 de mayo, o </w:t>
      </w:r>
      <w:r>
        <w:lastRenderedPageBreak/>
        <w:t xml:space="preserve">11/1992, de 27 de enero), así como a aquellos casos en los que el tribunal </w:t>
      </w:r>
      <w:r w:rsidRPr="005728DD">
        <w:rPr>
          <w:i/>
        </w:rPr>
        <w:t>ad quem</w:t>
      </w:r>
      <w:r>
        <w:t xml:space="preserve"> agrave la sentencia de instancia sin previa solicitud por alguna de las partes personadas (SSTC 17/1987, de 13 de febrero, y 19/1992, de 14 de febrero). Ahora bien, debe tenerse especial cuidado en no confundir la inexistencia de acusación con la calificación jurídica errónea que hayan podido efectuar el Ministerio Fiscal u otras acusaciones, puesto que el órgano judicial, si así la considera, no estaría vinculado por la tipificación o imputación que en ella se efectúe (SSTC 163/1986, 47/1991 y 11/1992)”.</w:t>
      </w:r>
    </w:p>
    <w:p w:rsidR="005728DD" w:rsidRDefault="005728DD" w:rsidP="005728DD">
      <w:pPr>
        <w:pStyle w:val="TextoNormal"/>
      </w:pPr>
    </w:p>
    <w:p w:rsidR="005728DD" w:rsidRDefault="005728DD" w:rsidP="005728DD">
      <w:pPr>
        <w:pStyle w:val="TextoNormal"/>
      </w:pPr>
      <w:r>
        <w:t xml:space="preserve">B) La aplicación de la doctrina de referencia conduce a la desestimación de la presente queja. El motivo primero del recurso de casación del fiscal plantea, precisamente, que el colectivo de Terrassa debe calificarse como organización criminal del art. 369 </w:t>
      </w:r>
      <w:r w:rsidRPr="005728DD">
        <w:rPr>
          <w:i/>
        </w:rPr>
        <w:t>bis</w:t>
      </w:r>
      <w:r>
        <w:t xml:space="preserve"> CP porque posee una estructura jerárquica, reproduciendo los pasajes de la sentencia de instancia en los que se hace un reconocimiento de este hecho individualizando en la persona del aquí recurrente la dirección de dicha organización. Entre otros, el escrito del fiscal reproduce los siguientes (i) “Atik Makdad, ocupaba una posición de coordinación preeminente entre los demás familiares, al ser el pariente mayor de todos ellos, y amigos que iban a formar los diversos grupos de Terrassa, encargándose ocasionalmente de la gestión de la compra de la droga en origen, de su venta en el punto de destino y en ocasiones. de la supervisión de los grupos que se encargaban del transporte de la ilícita mercancía, decidiendo a veces y sobre la marcha los vehículos y personas que debían efectuar cada desplazamiento para el aprovisionamiento de la droga, pero sin controlar permanentemente las actividades del resto de los componentes del colectivo, aunque sí les daba frecuentes instrucciones telefónicas, disponía sobre las muestras de sustancia y sobre el destino de la sustancia almacenada, ordenando pagos, interviniendo personalmente en ocasiones puntuales para solucionar problemas e incluso llegando a costear los gastos de asistencia letrada derivados de tales actuaciones. En estrecha colaboración con el anterior, su hermano el también procesado Adil Makdad, alias Negro, ejercía las mismas funciones en los períodos temporales en los que Atik Makdad se ausentó a Marruecos”; (ii) “[Adil Makdad] trasladaba las instrucciones de Atik relacionadas con la actividad delictiva, actuando como intermediario, en las comunicaciones de su hermano con el resto de miembros del colectivo criminal y con terceros que colaboraban con ellos y compartiendo con él el desarrollo de la actividad delictiva”.</w:t>
      </w:r>
    </w:p>
    <w:p w:rsidR="005728DD" w:rsidRDefault="005728DD" w:rsidP="005728DD">
      <w:pPr>
        <w:pStyle w:val="TextoNormal"/>
      </w:pPr>
    </w:p>
    <w:p w:rsidR="005728DD" w:rsidRDefault="005728DD" w:rsidP="005728DD">
      <w:pPr>
        <w:pStyle w:val="TextoNormal"/>
      </w:pPr>
      <w:r>
        <w:t>Con palabras del fiscal, se desprende de la sentencia de instancia que el llamado colectivo de Terrassa “es un colectivo estable con un centro de decisiones o eje central asumido por dos de los procesados Atik Makdad y Adil Makdad sustituyendo este al primero en sus funciones cuando aquel no se encuentra en España que gestionan, supervisan, deciden, disponen, ordenan y dan instrucciones telefónicas al resto de los componentes de la agrupación; una estructura en la que cada uno de los integrantes tiene asumida una función con distinto grado de responsabilidad […]”. Y de nuevo reproduciendo un pasaje de la sentencia de instancia: “Atik Makdad, siguió manteniendo la jefatura y control, en cierta medida, del colectivo criminal de Terrassa, dando órdenes, instrucciones y directrices”.</w:t>
      </w:r>
    </w:p>
    <w:p w:rsidR="005728DD" w:rsidRDefault="005728DD" w:rsidP="005728DD">
      <w:pPr>
        <w:pStyle w:val="TextoNormal"/>
      </w:pPr>
    </w:p>
    <w:p w:rsidR="005728DD" w:rsidRDefault="005728DD" w:rsidP="005728DD">
      <w:pPr>
        <w:pStyle w:val="TextoNormal"/>
      </w:pPr>
      <w:r>
        <w:t xml:space="preserve">De manera congruente con este planteamiento, en el párrafo de conclusiones de su escrito el fiscal solicita la condena por el art. 369 </w:t>
      </w:r>
      <w:r w:rsidRPr="005728DD">
        <w:rPr>
          <w:i/>
        </w:rPr>
        <w:t>bis</w:t>
      </w:r>
      <w:r>
        <w:t>, párrafos primero y segundo, CP, siendo este último el precepto que contiene el tipo agravado para los jefes de la organización criminal y que, de otro modo, no tendría sentido que lo invocara. Párrafo de conclusiones que, además, cierra con la referencia a la “imputabilidad plena del procesado Atik Makdad”.</w:t>
      </w:r>
    </w:p>
    <w:p w:rsidR="005728DD" w:rsidRDefault="005728DD" w:rsidP="005728DD">
      <w:pPr>
        <w:pStyle w:val="TextoNormal"/>
      </w:pPr>
    </w:p>
    <w:p w:rsidR="005728DD" w:rsidRDefault="005728DD" w:rsidP="005728DD">
      <w:pPr>
        <w:pStyle w:val="TextoNormal"/>
      </w:pPr>
      <w:r>
        <w:lastRenderedPageBreak/>
        <w:t xml:space="preserve">El escrito brindó pues a la defensa del aquí recurrente y a este la oportunidad de conocer la pretensión acusatoria promovida en su contra, que era la misma ya sostenida por el fiscal en la instancia, y que correctamente resuelve la Sala </w:t>
      </w:r>
      <w:r w:rsidRPr="005728DD">
        <w:rPr>
          <w:i/>
        </w:rPr>
        <w:t>ad quem</w:t>
      </w:r>
      <w:r>
        <w:t>, sin que para su acogimiento esta última haya conculcado el principio acusatorio (art. 24.2 CE).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Examen del motivo de vulneración del derecho a un proceso con todas las garantías (art. 24.2 CE), considerada la tramitación en su conjunto del procedimiento de casación</w:t>
      </w:r>
      <w:r>
        <w:t>.</w:t>
      </w:r>
    </w:p>
    <w:p w:rsidR="005728DD" w:rsidRDefault="005728DD" w:rsidP="005728DD">
      <w:pPr>
        <w:pStyle w:val="TextoNormal"/>
      </w:pPr>
    </w:p>
    <w:p w:rsidR="005728DD" w:rsidRDefault="005728DD" w:rsidP="005728DD">
      <w:pPr>
        <w:pStyle w:val="TextoNormal"/>
      </w:pPr>
      <w:r>
        <w:t>Finalmente, en cuanto a la tercera y última queja de la demanda de amparo, formalizada de manera subsidiaria para el caso de desestimarse las dos anteriores, tampoco puede prosperar. Se alega como vulnerado el derecho fundamental a un proceso con todas las garantías, en relación con el derecho a un proceso equitativo del art. 6 CEDH, bajo una perspectiva de conjunto de lo sucedido en el procedimiento de casación. Sin embargo, al identificar las circunstancias que llevarían a esa consideración global, la demanda se limita a verter otra vez las dos quejas previas (ruptura de la inmediación y del acusatorio), aunque ahora desglosadas en seis puntos (excluimos el enunciado como número 3, por lo que luego se dirá), sin aportar nada nuevo. Siendo así, una vez rechazado en los fundamentos jurídicos anteriores de la presente sentencia que aquellas dos vulneraciones constitucionales se hubieren producido, ningún dato añadido ofrece la demanda para recalificarlas como irregularidades procesales susceptibles de haber menoscabado “en su conjunto” las posibilidades de defensa y contradicción del recurrente en dicho procedimiento de casación.</w:t>
      </w:r>
    </w:p>
    <w:p w:rsidR="005728DD" w:rsidRDefault="005728DD" w:rsidP="005728DD">
      <w:pPr>
        <w:pStyle w:val="TextoNormal"/>
      </w:pPr>
    </w:p>
    <w:p w:rsidR="005728DD" w:rsidRDefault="005728DD" w:rsidP="005728DD">
      <w:pPr>
        <w:pStyle w:val="TextoNormal"/>
      </w:pPr>
      <w:r>
        <w:t>Lo único que alega la demanda aparte de aquellas quejas es el que aparece como punto número 3, consistente en que el recurso del fiscal debió ser inadmitido por la Sala del Tribunal Supremo, con aplicación del art. 884.4 LECrim (“[c]uando no se hayan observado los requisitos que la Ley exige para su preparación o interposición”). Ahora bien, así tan escuetamente expuesto lo que se denuncia es si acaso una supuesta infracción legal, que se sitúa extramuros de este amparo por mucho que se la quiera categorizar como parte de una lesión del art. 24.2 CE. Además, nada se dijo al respecto en el incidente de nulidad de actuaciones contra la sentencia, ni consta que lo hiciere antes de recaer esta última, por lo que su deducción en este amparo incurriría en el óbice procesal del art. 44.1 c) LOTC.</w:t>
      </w:r>
    </w:p>
    <w:p w:rsidR="005728DD" w:rsidRDefault="005728DD" w:rsidP="005728DD">
      <w:pPr>
        <w:pStyle w:val="TextoNormal"/>
      </w:pPr>
    </w:p>
    <w:p w:rsidR="005728DD" w:rsidRDefault="005728DD" w:rsidP="005728DD">
      <w:pPr>
        <w:pStyle w:val="TextoNormal"/>
      </w:pPr>
      <w:r>
        <w:t>El rechazo a esta última queja, unido al de las anteriores, conduce como consecuencia a la desestimación de todo el recurso.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la demanda presentada por don Atik Makdad.</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rsidP="005728DD">
      <w:pPr>
        <w:pStyle w:val="ParrafoNormal"/>
      </w:pPr>
    </w:p>
    <w:p w:rsidR="005728DD" w:rsidRDefault="005728DD" w:rsidP="005728DD">
      <w:pPr>
        <w:pStyle w:val="TextoNormalNegritaCentrado"/>
        <w:keepNext/>
      </w:pPr>
      <w:r>
        <w:lastRenderedPageBreak/>
        <w:t>Voto particular que formula el magistrado don Juan Antonio Xiol Ríos a la sentencia dictada en el recurso de amparo núm. 3917-2019</w:t>
      </w:r>
    </w:p>
    <w:p w:rsidR="005728DD" w:rsidRDefault="005728DD" w:rsidP="005728DD">
      <w:pPr>
        <w:pStyle w:val="TextoNormalNegritaCentrado"/>
        <w:keepNext/>
      </w:pPr>
    </w:p>
    <w:p w:rsidR="005728DD" w:rsidRDefault="005728DD" w:rsidP="005728DD">
      <w:pPr>
        <w:pStyle w:val="TextoNormal"/>
      </w:pPr>
      <w:r>
        <w:t>Con respeto a la opinión mayoritaria de mis compañeros de Sala en la que se sustenta la sentencia, manifiesto mi discrepancia con la fundamentación jurídica y el fallo de esta. Considero que hubiera debido ser estimatoria por vulneración de los derechos a un proceso con todas las garantías y a la defensa (art. 24.2 CE) por haberse agravado la condena del demandante de amparo en la segunda instancia sin haberle dado la oportunidad de ser escuchado por el órgano judicial que ha agravado su responsabilidad penal.</w:t>
      </w:r>
    </w:p>
    <w:p w:rsidR="005728DD" w:rsidRDefault="005728DD" w:rsidP="005728DD">
      <w:pPr>
        <w:pStyle w:val="TextoNormal"/>
      </w:pPr>
    </w:p>
    <w:p w:rsidR="005728DD" w:rsidRDefault="005728DD" w:rsidP="005728DD">
      <w:pPr>
        <w:pStyle w:val="TextoNormal"/>
      </w:pPr>
      <w:r w:rsidRPr="005728DD">
        <w:rPr>
          <w:i/>
        </w:rPr>
        <w:t>I. Precisiones sobre la jurisprudencia constitucional y del Tribunal Europeo de Derechos Humanos sobre la condena o agravación de la responsabilidad penal en la segunda instancia</w:t>
      </w:r>
      <w:r>
        <w:t>.</w:t>
      </w:r>
    </w:p>
    <w:p w:rsidR="005728DD" w:rsidRDefault="005728DD" w:rsidP="005728DD">
      <w:pPr>
        <w:pStyle w:val="TextoNormal"/>
      </w:pPr>
    </w:p>
    <w:p w:rsidR="005728DD" w:rsidRDefault="005728DD" w:rsidP="005728DD">
      <w:pPr>
        <w:pStyle w:val="TextoNormal"/>
      </w:pPr>
      <w:r>
        <w:t>1. Comparto la extensa exposición de la jurisprudencia constitucional y del Tribunal Europeo de Derechos Humanos sobre la condena o agravación de la responsabilidad penal en la segunda instancia contenida en la sentencia. Mi discrepancia con la opinión mayoritaria radica en la aplicación de esta jurisprudencia en el caso enjuiciado.</w:t>
      </w:r>
    </w:p>
    <w:p w:rsidR="005728DD" w:rsidRDefault="005728DD" w:rsidP="005728DD">
      <w:pPr>
        <w:pStyle w:val="TextoNormal"/>
      </w:pPr>
    </w:p>
    <w:p w:rsidR="005728DD" w:rsidRDefault="005728DD" w:rsidP="005728DD">
      <w:pPr>
        <w:pStyle w:val="TextoNormal"/>
      </w:pPr>
      <w:r>
        <w:t xml:space="preserve">La cuestión controvertida es determinar si las discrepancias que se suscitaban en el recurso de casación —que en este caso cumplía, a la vez, la función de una segunda instancia revisora— suponían (tomando prestada la expresión de la jurisprudencia del Tribunal Europeo de Derechos Humanos) “conocer de un asunto de hecho y de Derecho y estudiar la cuestión de la culpabilidad o de la inocencia en su conjunto” (STEDH de 20 de septiembre de 2016, asunto </w:t>
      </w:r>
      <w:r w:rsidRPr="005728DD">
        <w:rPr>
          <w:i/>
        </w:rPr>
        <w:t>Hernández Royo c. España</w:t>
      </w:r>
      <w:r>
        <w:t>, § 11), en cuyo caso hubiera sido preciso otorgar un trámite de audiencia al acusado en respeto a sus derechos a un proceso con todas las garantías y a la defensa (art. 24.2 CE).</w:t>
      </w:r>
    </w:p>
    <w:p w:rsidR="005728DD" w:rsidRDefault="005728DD" w:rsidP="005728DD">
      <w:pPr>
        <w:pStyle w:val="TextoNormal"/>
      </w:pPr>
    </w:p>
    <w:p w:rsidR="005728DD" w:rsidRDefault="005728DD" w:rsidP="005728DD">
      <w:pPr>
        <w:pStyle w:val="TextoNormal"/>
      </w:pPr>
      <w:r>
        <w:t xml:space="preserve">2. En mi apreciación, las cuestiones planteadas en el recurso de casación en este caso son semejantes a las que se suscitaban en los asuntos resueltos en las SSTEDH de 22 de noviembre de 2011, asunto </w:t>
      </w:r>
      <w:r w:rsidRPr="005728DD">
        <w:rPr>
          <w:i/>
        </w:rPr>
        <w:t>Lacadena Calero c. España</w:t>
      </w:r>
      <w:r>
        <w:t xml:space="preserve">, y de 13 de junio de 2017, asunto </w:t>
      </w:r>
      <w:r w:rsidRPr="005728DD">
        <w:rPr>
          <w:i/>
        </w:rPr>
        <w:t>Atutxa Mendiola y otros c. España</w:t>
      </w:r>
      <w:r>
        <w:t>, en que también se estimaron recursos de casación. En estos casos se condenó en la segunda instancia a quienes habían sido absueltos en la primera y en el que estamos enjuiciando se apreciaron determinadas agravaciones que se consideraron no procedentes en la primera instancia con fundamento en la infracción de un precepto penal de carácter sustantivo. En ambos casos no se produjo alteración de la declaración de hechos probados.</w:t>
      </w:r>
    </w:p>
    <w:p w:rsidR="005728DD" w:rsidRDefault="005728DD" w:rsidP="005728DD">
      <w:pPr>
        <w:pStyle w:val="TextoNormal"/>
      </w:pPr>
    </w:p>
    <w:p w:rsidR="005728DD" w:rsidRDefault="005728DD" w:rsidP="005728DD">
      <w:pPr>
        <w:pStyle w:val="TextoNormal"/>
      </w:pPr>
      <w:r>
        <w:t>En todos los casos el Tribunal Supremo (i) resolvía primero cuestiones estrictamente jurídicas de interpretación de un precepto sustantivo en divergencia con las apreciaciones del órgano judicial de instancia. Inmediatamente después (ii) aplicaba esta interpretación al supuesto de hecho declarado probado en la instancia para, finalmente, efectuar un juicio en su conjunto de la culpabilidad o agravación de la responsabilidad penal del acusado a partir de la concurrencia de todos los presupuestos necesarios para ello.</w:t>
      </w:r>
    </w:p>
    <w:p w:rsidR="005728DD" w:rsidRDefault="005728DD" w:rsidP="005728DD">
      <w:pPr>
        <w:pStyle w:val="TextoNormal"/>
      </w:pPr>
    </w:p>
    <w:p w:rsidR="005728DD" w:rsidRDefault="005728DD" w:rsidP="005728DD">
      <w:pPr>
        <w:pStyle w:val="TextoNormal"/>
      </w:pPr>
      <w:r>
        <w:t xml:space="preserve">La primera labor de interpretación de un precepto penal de carácter sustantivo es estrictamente jurídica. No resulta, pues, preciso un específico trámite de audiencia. La segunda labor, sin embargo, en la medida en que suponga entrar en contacto con los hechos para </w:t>
      </w:r>
      <w:r>
        <w:lastRenderedPageBreak/>
        <w:t>hacer una labor de subsunción que comprenda no solo los elementos objetivos, sino también otros subjetivos del tipo penal, implica inevitablemente —con independencia de que no se alteren los hechos probados—, por un lado, entrar en contacto con estos hechos, cosa que no excluye la necesidad de su reinterpretación. Por otro, supone estudiar la culpabilidad o inocencia en conjunto sobre estos hechos, frecuentemente acreditados a partir de prueba personal que el órgano judicial que finalmente condena no ha tenido la oportunidad de presenciar con la debida inmediación. Esta segunda labor, en respeto a los derechos a un proceso con todas las garantías y a la defensa (art. 24.2 CE), exige, al menos, dar la posibilidad al acusado de dirigirse al órgano judicial que va a declarar la agravación de su responsabilidad.</w:t>
      </w:r>
    </w:p>
    <w:p w:rsidR="005728DD" w:rsidRDefault="005728DD" w:rsidP="005728DD">
      <w:pPr>
        <w:pStyle w:val="TextoNormal"/>
      </w:pPr>
    </w:p>
    <w:p w:rsidR="005728DD" w:rsidRDefault="005728DD" w:rsidP="005728DD">
      <w:pPr>
        <w:pStyle w:val="TextoNormal"/>
      </w:pPr>
      <w:r w:rsidRPr="005728DD">
        <w:rPr>
          <w:i/>
        </w:rPr>
        <w:t>II. La aplicación de la jurisprudencia constitucional al caso concreto</w:t>
      </w:r>
      <w:r>
        <w:t>.</w:t>
      </w:r>
    </w:p>
    <w:p w:rsidR="005728DD" w:rsidRDefault="005728DD" w:rsidP="005728DD">
      <w:pPr>
        <w:pStyle w:val="TextoNormal"/>
      </w:pPr>
    </w:p>
    <w:p w:rsidR="005728DD" w:rsidRDefault="005728DD" w:rsidP="005728DD">
      <w:pPr>
        <w:pStyle w:val="TextoNormal"/>
      </w:pPr>
      <w:r>
        <w:t xml:space="preserve">3. En el presente caso, la controversia que se planteaba en el recurso de casación reside en que respecto del demandante de amparo no se habían considerado concurrentes en la primera instancia las circunstancias agravatorias de pertenencia a organización criminal (art. 369 </w:t>
      </w:r>
      <w:r w:rsidRPr="005728DD">
        <w:rPr>
          <w:i/>
        </w:rPr>
        <w:t>bis</w:t>
      </w:r>
      <w:r>
        <w:t xml:space="preserve">, primer párrafo, CP) y condición de jefe de ella (art. 369 </w:t>
      </w:r>
      <w:r w:rsidRPr="005728DD">
        <w:rPr>
          <w:i/>
        </w:rPr>
        <w:t>bis</w:t>
      </w:r>
      <w:r>
        <w:t>, segundo párrafo, CP) en el delito contra la salud pública por el que había sido condenado (art. 368 CP).</w:t>
      </w:r>
    </w:p>
    <w:p w:rsidR="005728DD" w:rsidRDefault="005728DD" w:rsidP="005728DD">
      <w:pPr>
        <w:pStyle w:val="TextoNormal"/>
      </w:pPr>
    </w:p>
    <w:p w:rsidR="005728DD" w:rsidRDefault="005728DD" w:rsidP="005728DD">
      <w:pPr>
        <w:pStyle w:val="TextoNormal"/>
      </w:pPr>
      <w:r>
        <w:t>La opinión mayoritaria en la que se sustenta la sentencia considera que la controversia desarrollada en la casación era meramente jurídica fundándose en que solo afectaba a la interpretación que cabía hacer de dichas circunstancias agravatorias. Por tanto —concluye— no era constitucionalmente necesario que el acusado hubiera tenido la oportunidad de dirigirse al tribunal que finalmente apreció aquellas circunstancias, con el resultado de la elevación de una pena de tres años y seis meses de prisión a otra de diez años de prisión y de la duplicación de la cuantía de la multa impuesta.</w:t>
      </w:r>
    </w:p>
    <w:p w:rsidR="005728DD" w:rsidRDefault="005728DD" w:rsidP="005728DD">
      <w:pPr>
        <w:pStyle w:val="TextoNormal"/>
      </w:pPr>
    </w:p>
    <w:p w:rsidR="005728DD" w:rsidRDefault="005728DD" w:rsidP="005728DD">
      <w:pPr>
        <w:pStyle w:val="TextoNormal"/>
      </w:pPr>
      <w:r>
        <w:t>Discrepo de esa apreciación.</w:t>
      </w:r>
    </w:p>
    <w:p w:rsidR="005728DD" w:rsidRDefault="005728DD" w:rsidP="005728DD">
      <w:pPr>
        <w:pStyle w:val="TextoNormal"/>
      </w:pPr>
    </w:p>
    <w:p w:rsidR="005728DD" w:rsidRDefault="005728DD" w:rsidP="005728DD">
      <w:pPr>
        <w:pStyle w:val="TextoNormal"/>
      </w:pPr>
      <w:r>
        <w:t>Ninguna objeción cabe, desde la perspectiva constitucional, a que la Sala de lo Penal del Tribunal Supremo, en tanto que órgano jurisdiccional superior en el orden penal (art. 123.1 CE), declare cuál debe ser la interpretación de estas circunstancias agravatorias de la responsabilidad del delito contra la salud pública y de cuál es la diferencia entre la codelincuencia, el grupo criminal y la organización criminal, ni los requisitos necesarios para apreciar cuándo concurre la jefatura de una organización criminal.</w:t>
      </w:r>
    </w:p>
    <w:p w:rsidR="005728DD" w:rsidRDefault="005728DD" w:rsidP="005728DD">
      <w:pPr>
        <w:pStyle w:val="TextoNormal"/>
      </w:pPr>
    </w:p>
    <w:p w:rsidR="005728DD" w:rsidRDefault="005728DD" w:rsidP="005728DD">
      <w:pPr>
        <w:pStyle w:val="TextoNormal"/>
      </w:pPr>
      <w:r>
        <w:t xml:space="preserve">Sin embargo, los razonamientos de las sentencias de casación ponen de manifiesto que la labor desarrollada por el órgano judicial de casación no se limitó a cumplir esta función interpretativa de las circunstancias agravatorias del art. 369 </w:t>
      </w:r>
      <w:r w:rsidRPr="005728DD">
        <w:rPr>
          <w:i/>
        </w:rPr>
        <w:t>bis</w:t>
      </w:r>
      <w:r>
        <w:t xml:space="preserve"> CP (atendiendo a la nueva configuración que se realiza en la sentencia de casación de ambas circunstancias), sino que, acto seguido, llevó a cabo una labor sobre la que no se había podido pronunciar el órgano de instancia: el análisis desde esta nueva perspectiva de los hechos probados y de las valoraciones probatorias en relación con pruebas personales realizadas con la debida inmediación. Finalmente concluyó que sí concurría la existencia de una organización —y no un mero grupo criminal— y que, además, su jefatura correspondía al demandante de amparo.</w:t>
      </w:r>
    </w:p>
    <w:p w:rsidR="005728DD" w:rsidRDefault="005728DD" w:rsidP="005728DD">
      <w:pPr>
        <w:pStyle w:val="TextoNormal"/>
      </w:pPr>
    </w:p>
    <w:p w:rsidR="005728DD" w:rsidRDefault="005728DD" w:rsidP="005728DD">
      <w:pPr>
        <w:pStyle w:val="TextoNormal"/>
      </w:pPr>
      <w:r>
        <w:t xml:space="preserve">Esta actividad, ciertamente, se desarrolló sin alterar la declaración de hechos probados. Esto no excluye en absoluto el hecho de que se entró en contacto con los hechos probados </w:t>
      </w:r>
      <w:r>
        <w:lastRenderedPageBreak/>
        <w:t>y las valoraciones probatorias realizadas sobre pruebas personales no practicadas en presencia del tribunal de casación para concluir sobre la culpabilidad en relación con el conjunto de estos hechos como constitutivos de un subtipo agravado del delito contra la salud pública hasta casi triplicar la pena privativa de libertad. Esta actividad, en los términos exigidos por la jurisprudencia constitucional y la del Tribunal Europeo de Derechos Humanos hubieran exigido otorgar al hoy demandante de amparo la oportunidad de dirigirse al tribunal que le condenó.</w:t>
      </w:r>
    </w:p>
    <w:p w:rsidR="005728DD" w:rsidRDefault="005728DD" w:rsidP="005728DD">
      <w:pPr>
        <w:pStyle w:val="TextoNormal"/>
      </w:pPr>
    </w:p>
    <w:p w:rsidR="005728DD" w:rsidRDefault="005728DD" w:rsidP="005728DD">
      <w:pPr>
        <w:pStyle w:val="TextoNormal"/>
      </w:pPr>
      <w:r>
        <w:t xml:space="preserve">4. La sentencia de instancia, en lo que se refiere a la absolución del demandante de amparo en relación con la aplicación del subtipo agravado del art. 369 </w:t>
      </w:r>
      <w:r w:rsidRPr="005728DD">
        <w:rPr>
          <w:i/>
        </w:rPr>
        <w:t>bis</w:t>
      </w:r>
      <w:r>
        <w:t xml:space="preserve"> CP por integración en organización criminal y ostentar su jefatura, incluyó en la declaración de hechos probados, entre otras afirmaciones, las siguientes:</w:t>
      </w:r>
    </w:p>
    <w:p w:rsidR="005728DD" w:rsidRDefault="005728DD" w:rsidP="005728DD">
      <w:pPr>
        <w:pStyle w:val="TextoNormal"/>
      </w:pPr>
    </w:p>
    <w:p w:rsidR="005728DD" w:rsidRDefault="005728DD" w:rsidP="005728DD">
      <w:pPr>
        <w:pStyle w:val="TextoNormal"/>
      </w:pPr>
      <w:r>
        <w:t>(i) los diversos acusados “iban interviniendo en diversos momentos, grupos y ocasiones, sin que conste acreditado no obstante que fueran a compartir el provecho económico que obtuvieran entre todos y según un convenio de reglas de reparto en función del respectivo protagonismo criminal, pero que conformaron un entramado codelictual para introducir en nuestro país importantes cantidades de sustancia estupefaciente”;</w:t>
      </w:r>
    </w:p>
    <w:p w:rsidR="005728DD" w:rsidRDefault="005728DD" w:rsidP="005728DD">
      <w:pPr>
        <w:pStyle w:val="TextoNormal"/>
      </w:pPr>
    </w:p>
    <w:p w:rsidR="005728DD" w:rsidRDefault="005728DD" w:rsidP="005728DD">
      <w:pPr>
        <w:pStyle w:val="TextoNormal"/>
      </w:pPr>
      <w:r>
        <w:t>(ii) “no ha resultado suficientemente acreditado que todo el colectivo dispusiera de una estructura organizativa jerárquica con un núcleo responsable, situado en su eje central, y con reparto claro de funciones, pero sí que actuaban como ‘baterías o grupos independientes’ formados en cada caso por entre tres o cinco personas que transportaban la sustancia” y que “estos grupos se conformaban con integrantes del colectivo de la familia Makdad, amigos de los mismos y a veces con personas externas al mismo pero en directa colaboración con ellos”;</w:t>
      </w:r>
    </w:p>
    <w:p w:rsidR="005728DD" w:rsidRDefault="005728DD" w:rsidP="005728DD">
      <w:pPr>
        <w:pStyle w:val="TextoNormal"/>
      </w:pPr>
    </w:p>
    <w:p w:rsidR="005728DD" w:rsidRDefault="005728DD" w:rsidP="005728DD">
      <w:pPr>
        <w:pStyle w:val="TextoNormal"/>
      </w:pPr>
      <w:r>
        <w:t>(iii) que tampoco resultaba suficientemente acreditado que los acusados, “que se reunían parcial y frecuentemente en inmuebles y locales comerciales propiedad de algunos de ellos o de sus familiares […], lo verificaran para la planificación de la actividad ilícita objeto de enjuiciamiento ni […] se les convocara por quienes aparentemente pudieran ser los integrantes de mayor responsabilidad”; y</w:t>
      </w:r>
    </w:p>
    <w:p w:rsidR="005728DD" w:rsidRDefault="005728DD" w:rsidP="005728DD">
      <w:pPr>
        <w:pStyle w:val="TextoNormal"/>
      </w:pPr>
    </w:p>
    <w:p w:rsidR="005728DD" w:rsidRDefault="005728DD" w:rsidP="005728DD">
      <w:pPr>
        <w:pStyle w:val="TextoNormal"/>
      </w:pPr>
      <w:r>
        <w:t xml:space="preserve">(iv) que cabe distinguir dos grupos operativos distintos independientes entre sí pero interrelacionados, uno de los cuales se conformaba por los acusados de la familia Makdad, en el que el resto de procesados se referían al demandante de amparo como </w:t>
      </w:r>
      <w:r w:rsidRPr="005728DD">
        <w:rPr>
          <w:i/>
        </w:rPr>
        <w:t>Rais</w:t>
      </w:r>
      <w:r>
        <w:t xml:space="preserve"> (jefe), y que, “si bien con una falta clara de dependencia jerárquica y distribución clara de funciones […] ocupaba una posición de coordinación preminente entre los demás familiares, al ser el pariente mayor de todos ellos […], pero sin controlar permanentemente las actividades del resto de los componentes del colectivo, aunque sí les daba frecuentes instrucciones telefónicas, disponía sobre las muestras de las sustancias y sobre el destino de la sustancia almacenada, ordenando pagos, interviniendo personalmente en ocasiones puntuales para solucionar problemas e incluso llegando a costear los gastos de asistencia letrada derivados de tales actuaciones”.</w:t>
      </w:r>
    </w:p>
    <w:p w:rsidR="005728DD" w:rsidRDefault="005728DD" w:rsidP="005728DD">
      <w:pPr>
        <w:pStyle w:val="TextoNormal"/>
      </w:pPr>
    </w:p>
    <w:p w:rsidR="005728DD" w:rsidRDefault="005728DD" w:rsidP="005728DD">
      <w:pPr>
        <w:pStyle w:val="TextoNormal"/>
      </w:pPr>
      <w:r>
        <w:t xml:space="preserve">A partir de tales constataciones, la sentencia de instancia argumenta en su fundamento de Derecho XI que, si bien la organización y el grupo criminal tienen en común la unión o agrupación de más de dos personas y la finalidad de cometer delitos concertadamente, “la </w:t>
      </w:r>
      <w:r>
        <w:lastRenderedPageBreak/>
        <w:t>organización criminal requiere, además, la estabilidad o constitución por tiempo indefinido y que se repartan las tareas o funciones de manera concertada y coordinada (necesariamente ambos requisitos conjuntamente: estabilidad y reparto de tareas), el grupo criminal puede apreciarse cuando no concurra ninguno de estos dos requisitos, o cuando concurra uno solo”. También se insiste en que “para apreciar la organización criminal no basta cualquier estructura distributiva de funciones entre sus miembros […], sino que es preciso apreciar un reparto de responsabilidades y tareas con la suficiente consistencia y rigidez, incluso temporal, para superar las posibilidades delictivas y los consiguientes riesgos para los bienes jurídicos apreciables en los casos de codelincuencia […]. Y ello, como se ha indicado en los hechos declarados probados, no ha resultado en absoluto acreditado”.</w:t>
      </w:r>
    </w:p>
    <w:p w:rsidR="005728DD" w:rsidRDefault="005728DD" w:rsidP="005728DD">
      <w:pPr>
        <w:pStyle w:val="TextoNormal"/>
      </w:pPr>
    </w:p>
    <w:p w:rsidR="005728DD" w:rsidRDefault="005728DD" w:rsidP="005728DD">
      <w:pPr>
        <w:pStyle w:val="TextoNormal"/>
      </w:pPr>
      <w:r>
        <w:t>A estos efectos, me parece relevante destacar que, como se pone de manifiesto en la sentencia de instancia, la afirmación de que no habían quedado acreditados todos estos extremos de la existencia de una organización ni de que en el vértice de esa organización estuviera el demandante de amparo se realiza atendiendo al hecho de que, junto a la declaración de este y de otros coimputados realizadas ante el órgano judicial, esta fue la apreciación extraída de la declaración de los principales testigos policiales de cargo que la realizaron a su presencia.</w:t>
      </w:r>
    </w:p>
    <w:p w:rsidR="005728DD" w:rsidRDefault="005728DD" w:rsidP="005728DD">
      <w:pPr>
        <w:pStyle w:val="TextoNormal"/>
      </w:pPr>
    </w:p>
    <w:p w:rsidR="005728DD" w:rsidRDefault="005728DD" w:rsidP="005728DD">
      <w:pPr>
        <w:pStyle w:val="TextoNormal"/>
      </w:pPr>
      <w:r>
        <w:t>También creo determinante poner de manifiesto lo afirmado en el apartado XIII de los fundamentos de Derecho en que se declara, entre otros extremos, lo siguiente; (i) “debemos partir de la base de que a tenor de las pruebas practicadas, fundamentalmente del conjunto de intervenciones telefónicas practicadas y declaraciones testificales de los tres principales responsables de las mismas […], al declarar como testigos en el acto de la vista, que no ya de meras sospechas policiales o indicios criminales propios de la fase de instrucción, no obstante en modo alguno resultó acreditado suficientemente que los procesados hubieran estado de acuerdo desde un primer momento en la verificación consecutiva de un conjunto de operaciones de encargo y transporte de droga desde Marruecos a España […] ni que hubieran colaborado desde un primer momento de forma conjunta y estructuradamente bajo el seno de una estructura más o menos organizada dirigida por Atik Makdad […], y destinada a la comisión de ilícitos penales de tráfico de drogas; ni tampoco el que desde un primer momento existiera una relación jerárquica entre ellos ajena a la familiar, ni incluso de dependencia funcional de unos respecto de otros, ni dirigida a compartir el correspondiente provecho económico en función de su individual labor acometida u desarrollada”; y (ii) “y ello por cuanto, como ha resultado recogido en los apartados de los hechos declarados probados, de la prueba practicada en el acto de la vista en juicio oral en base a los principios de inmediación y contradicción y en juicio racional y lógico conforme prescribe el artículo 741 de la Ley de enjuiciamiento criminal, solamente ha resultado acreditado que los procesados se conocían entre sí, eran muchos parientes de la misma familia […], y ello reconocido incluso por los propios agentes que depusieron como testigos […], afirmando además que actuaban en dos baterías independientes una de la otra (grupo de Terrassa y grupo de Sant Joan Despí), pero el que ambos grupos estuvieran dirigidos por Atik Makdad, no deja de ser una apreciación y valoración subjetiva de la acusación”.</w:t>
      </w:r>
    </w:p>
    <w:p w:rsidR="005728DD" w:rsidRDefault="005728DD" w:rsidP="005728DD">
      <w:pPr>
        <w:pStyle w:val="TextoNormal"/>
      </w:pPr>
    </w:p>
    <w:p w:rsidR="005728DD" w:rsidRDefault="005728DD" w:rsidP="005728DD">
      <w:pPr>
        <w:pStyle w:val="TextoNormal"/>
      </w:pPr>
      <w:r>
        <w:t xml:space="preserve">Esto es, la conclusión de la sentencia absolutoria de instancia en relación con la existencia de una organización criminal y la condición de jefe del demandante de amparo se fundamentó, partiendo de la doctrina sobre la diferencia entre organización y grupo criminal y sobre los requisitos necesarios para apreciar una jefatura de la organización en los delitos </w:t>
      </w:r>
      <w:r>
        <w:lastRenderedPageBreak/>
        <w:t>contra la salud pública, en que, de conformidad con la prueba personal realizada con inmediación a su presencia, incluyendo la propia declaración del demandante de amparo, de diversos coimputados y de los agentes policiales que intervinieron en las intervenciones telefónicas y en la investigación, no quedaba acreditado ese concreto extremo, lo que impidió que se hiciera un pronunciamiento apreciando la concurrencia de un subtipo agravado del delito contra la salud pública cometido por organización criminal y ostentando su jefatura.</w:t>
      </w:r>
    </w:p>
    <w:p w:rsidR="005728DD" w:rsidRDefault="005728DD" w:rsidP="005728DD">
      <w:pPr>
        <w:pStyle w:val="TextoNormal"/>
      </w:pPr>
    </w:p>
    <w:p w:rsidR="005728DD" w:rsidRDefault="005728DD" w:rsidP="005728DD">
      <w:pPr>
        <w:pStyle w:val="TextoNormal"/>
      </w:pPr>
      <w:r>
        <w:t xml:space="preserve">5. La sentencia de casación resolvió respecto del demandante de amparo el recurso interpuesto por el Ministerio Fiscal, que sostuvo que se había cometido una infracción de ley al no aplicar al recurrente el subtipo agravado del art. 369 </w:t>
      </w:r>
      <w:r w:rsidRPr="005728DD">
        <w:rPr>
          <w:i/>
        </w:rPr>
        <w:t>bis</w:t>
      </w:r>
      <w:r>
        <w:t xml:space="preserve">, párrafos primero y segundo, CP por la existencia de organización criminal y de su condición de jefe de ella. El resultado fue que se estimó el recurso de casación respecto de ambas cuestiones (fundamentos de Derecho trigésimo quinto y trigésimo sexto de la primera sentencia de casación) y se condenó al demandante de amparo por el subtipo agravado del art. 369 </w:t>
      </w:r>
      <w:r w:rsidRPr="005728DD">
        <w:rPr>
          <w:i/>
        </w:rPr>
        <w:t>bis</w:t>
      </w:r>
      <w:r>
        <w:t xml:space="preserve"> CP (fundamento de derecho segundo de la segunda sentencia de casación).</w:t>
      </w:r>
    </w:p>
    <w:p w:rsidR="005728DD" w:rsidRDefault="005728DD" w:rsidP="005728DD">
      <w:pPr>
        <w:pStyle w:val="TextoNormal"/>
      </w:pPr>
    </w:p>
    <w:p w:rsidR="005728DD" w:rsidRDefault="005728DD" w:rsidP="005728DD">
      <w:pPr>
        <w:pStyle w:val="TextoNormal"/>
      </w:pPr>
      <w:r>
        <w:t>La sentencia de casación, en el fundamento de Derecho trigésimo quinto, discrepa sobre los requisitos necesarios para afirmar la existencia de organización criminal sustentada por el órgano judicial de instancia, afirmando que “se basa en la complejidad y consistencia de la estructura organizativa, que ha de ser mayor en la organización criminal. Es la conjunción de estabilidad temporal y complejidad estructural lo que justifica una mayor sanción en atención al incremento en la capacidad de lesión en tanto que facilita afrontar operaciones de mayor nivel en cuanto a la cantidad de droga o al ámbito territorial en el que se desarrollan”. Añade que “para la apreciación de la organización criminal no basta cualquier estructura distributiva de funciones entre sus miembros, que podría encontrarse naturalmente en cualquier unión o agrupación de varias personas para la comisión de delitos. Es preciso un reparto más perfilado de responsabilidades y tareas, pero sin llegar a exigir como parece derivarse de los razonamientos de la audiencia absoluta rigidez e impermeabilidad e infungibilidad total entre los miembros”.</w:t>
      </w:r>
    </w:p>
    <w:p w:rsidR="005728DD" w:rsidRDefault="005728DD" w:rsidP="005728DD">
      <w:pPr>
        <w:pStyle w:val="TextoNormal"/>
      </w:pPr>
    </w:p>
    <w:p w:rsidR="005728DD" w:rsidRDefault="005728DD" w:rsidP="005728DD">
      <w:pPr>
        <w:pStyle w:val="TextoNormal"/>
      </w:pPr>
      <w:r>
        <w:t>A partir de ello se declara que (i) “no hace falta que esté prediseñado un reparto de beneficios proporcional. […] No es necesario acreditar repartos de dividendos u honorarios prefijados”; y (ii) “la variación temporal de funciones y roles tampoco deconstruye una organización. […]. No hace falta un organigrama rígido con un reparto de funciones inmutable y preestablecido. Estamos hablando de organización criminal, no de una asociación legal con sus estatutos y sus normas y concretos y rígidos puestos de trabajo o funciones asignadas dentro de un organigrama estable. Unas ciertas dosis de informalidad son casi consustanciales a una organización criminal, salvo supuestos especiales —los menos— en que se impone una férrea disciplina (algunos grupos terroristas)”. La conclusión es que, si bien “la sentencia rechaza la catalogación como organización delictiva, por ausencia de estructura jerárquica, reparto de responsabilidades y tareas con consistencia, rigidez y estabilidad temporal. No obstante, en el relato de hechos probados al describir a los colectivos que cometen los hechos imputados se vislumbra una estructura temporal y una descripción de funciones muy semejantes a las recogidas en la calificación con la que Ministerio Fiscal sostenía la existencia de una organización”.</w:t>
      </w:r>
    </w:p>
    <w:p w:rsidR="005728DD" w:rsidRDefault="005728DD" w:rsidP="005728DD">
      <w:pPr>
        <w:pStyle w:val="TextoNormal"/>
      </w:pPr>
    </w:p>
    <w:p w:rsidR="005728DD" w:rsidRDefault="005728DD" w:rsidP="005728DD">
      <w:pPr>
        <w:pStyle w:val="TextoNormal"/>
      </w:pPr>
      <w:r>
        <w:t xml:space="preserve">Es especialmente destacable, por lo que se refiere al debate sobre la concurrencia de organización criminal, la referencia que se hace en el fundamento jurídico trigésimo cuarto </w:t>
      </w:r>
      <w:r>
        <w:lastRenderedPageBreak/>
        <w:t>a que, si bien la sentencia de instancia contiene en su relato de hechos probados algunas afirmaciones categóricas sobre que no queda acreditada la existencia de una organización criminal, “atendiendo al conjunto del hecho probado y sin negar esos concretos extremos, se puede fiscalizar esa cuestión”.</w:t>
      </w:r>
    </w:p>
    <w:p w:rsidR="005728DD" w:rsidRDefault="005728DD" w:rsidP="005728DD">
      <w:pPr>
        <w:pStyle w:val="TextoNormal"/>
      </w:pPr>
    </w:p>
    <w:p w:rsidR="005728DD" w:rsidRDefault="005728DD" w:rsidP="005728DD">
      <w:pPr>
        <w:pStyle w:val="TextoNormal"/>
      </w:pPr>
      <w:r>
        <w:t>A continuación de esta exposición, la sentencia de casación aborda en el fundamento de Derecho trigésimo sexto si puede achacarse al demandante de amparo la condición de jefe de la organización. A este respecto, el análisis de la cuestión, muy sucinto, se refleja en que “si somos fieles al hecho probado Atik Makdad no puede ser apartado de esa categoría, aunque la sentencia trate de excluir una dependencia jerárquica. Atik está en una posición prevalente que dimana de todo el relato de hechos y lo informa. […] Aparece como el muñidor de las operaciones; es quien contacta habitualmente con los proveedores; quien supervisa cada operación y, en su caso, imparte instrucciones concretas. Que sea conocido como Rais (no es necesario que esa expresión haya sido traducida por alguien en la causa; puede considerarse de conocimiento común) no es lo decisivo, pero sí es un dato que corrobora ese papel directivo, dentro lógicamente de la oficiosidad de una organización criminal respecto de la que sería absurdo exigir un nombramiento, un organigrama oficial o unos estatutos estableciendo funciones o dependencias. Los hechos probados al describir la conducta de Atik definen un sustrato del que surge con naturalidad la asignación de ese papel que atrae una penalidad agravada”.</w:t>
      </w:r>
    </w:p>
    <w:p w:rsidR="005728DD" w:rsidRDefault="005728DD" w:rsidP="005728DD">
      <w:pPr>
        <w:pStyle w:val="TextoNormal"/>
      </w:pPr>
    </w:p>
    <w:p w:rsidR="005728DD" w:rsidRDefault="005728DD" w:rsidP="005728DD">
      <w:pPr>
        <w:pStyle w:val="TextoNormal"/>
      </w:pPr>
      <w:r>
        <w:t xml:space="preserve">6. Toda esta descripción del </w:t>
      </w:r>
      <w:r w:rsidRPr="005728DD">
        <w:rPr>
          <w:i/>
        </w:rPr>
        <w:t>iter</w:t>
      </w:r>
      <w:r>
        <w:t xml:space="preserve"> discursivo de la sentencia de casación acredita, en los términos ya enunciados, que la conclusión agravatoria se conformó afirmando tanto la existencia de una organización criminal como la jefatura que sobre ella ostentaba el demandante de amparo.</w:t>
      </w:r>
    </w:p>
    <w:p w:rsidR="005728DD" w:rsidRDefault="005728DD" w:rsidP="005728DD">
      <w:pPr>
        <w:pStyle w:val="TextoNormal"/>
      </w:pPr>
    </w:p>
    <w:p w:rsidR="005728DD" w:rsidRDefault="005728DD" w:rsidP="005728DD">
      <w:pPr>
        <w:pStyle w:val="TextoNormal"/>
      </w:pPr>
      <w:r>
        <w:t>Esta afirmación no puede evitar fundamentarse, a pesar de que se mantiene formalmente inalterada la declaración de hechos probados, en serias discrepancias, como reconoce la propia sentencia de casación, con los hechos probados derivados de la valoración probatoria realizada por el órgano judicial de instancia sobre las relaciones existentes entre los diferentes acusados y la posición que ocupaba entre ellos el demandante de amparo a partir de una extensa y también compleja prueba personal desarrollada en su presencia, que incluía la propia declaración del recurrente, la de otros coimputados y la de varios agentes que efectuaron las intervenciones telefónicas y desarrollaron la investigación sobre los hechos enjuiciados. Esta labor trasciende aspectos estrictamente jurídicos al implicar un estrecho contacto con valoraciones probatorias basadas en pruebas personales que solo resultan constitucionalmente admisibles para agravar una responsabilidad penal en la segunda instancia si se hacen con respeto a la garantía de inmediación exigida en el art. 24.2 CE, cosa que en este caso no ocurrió.</w:t>
      </w:r>
    </w:p>
    <w:p w:rsidR="005728DD" w:rsidRDefault="005728DD" w:rsidP="005728DD">
      <w:pPr>
        <w:pStyle w:val="TextoNormal"/>
      </w:pPr>
    </w:p>
    <w:p w:rsidR="005728DD" w:rsidRDefault="005728DD" w:rsidP="005728DD">
      <w:pPr>
        <w:pStyle w:val="TextoNormal"/>
      </w:pPr>
      <w:r>
        <w:t xml:space="preserve">En conclusión, considero que, en las circunstancias del caso, el debate que se desarrolló en el recurso de casación respecto de la responsabilidad penal del demandante de amparo por su integración en una organización criminal y su jefatura superaba los límites de las cuestiones estrictamente jurídicas que permiten excepcionar el principio constitucional de que la agravación de una condena en la segunda instancia solo puede hacerse dando la posibilidad efectiva al acusado de dirigirse personalmente al órgano judicial que finalmente aprecia una responsabilidad penal más grave. No desconozco que la tradicional regulación del recurso de casación dificulta en la práctica el cumplimiento —en todo caso inexorable— </w:t>
      </w:r>
      <w:r>
        <w:lastRenderedPageBreak/>
        <w:t>de las exigencias propias de la doble instancia penal y que la nueva regulación del recurso de apelación penal viene a solventar en parte estas dificultades, atendida la competencia que ahora se reconoce a la nueva Sala de Apelación de la Audiencia Nacional y a las salas de lo civil y penal de los tribunales superiores de justicia para conocer de los recursos de apelación contra sentencias de la Sala de lo Penal de la Audiencia Nacional y de las audiencias provinciales. Sin embargo, creo que la cuestión tiene gran importancia, pues la aplicación del criterio seguido en la sentencia de casación no solo implica, a mi juicio, una quiebra relevante en el sistema de garantías, sino que cabe predecir su extensión a los recursos de apelación penales como criterio jurisprudencial.</w:t>
      </w:r>
    </w:p>
    <w:p w:rsidR="005728DD" w:rsidRDefault="005728DD" w:rsidP="005728DD">
      <w:pPr>
        <w:pStyle w:val="TextoNormal"/>
      </w:pPr>
    </w:p>
    <w:p w:rsidR="005728DD" w:rsidRDefault="005728DD" w:rsidP="005728DD">
      <w:pPr>
        <w:pStyle w:val="TextoNormal"/>
      </w:pPr>
      <w:r>
        <w:t>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6" w:name="SENTENCIA_2021_23"/>
      <w:r>
        <w:lastRenderedPageBreak/>
        <w:t>SENTENCIA 23/2021, de 15 de febrero de 2021</w:t>
      </w:r>
    </w:p>
    <w:bookmarkEnd w:id="26"/>
    <w:p w:rsidR="005728DD" w:rsidRDefault="005728DD" w:rsidP="005728DD">
      <w:pPr>
        <w:pStyle w:val="TtuloResolucin"/>
      </w:pPr>
      <w:r>
        <w:t>Sala Primera</w:t>
      </w:r>
    </w:p>
    <w:p w:rsidR="005728DD" w:rsidRDefault="005728DD" w:rsidP="005728DD">
      <w:pPr>
        <w:pStyle w:val="TtuloBOE"/>
      </w:pPr>
      <w:r>
        <w:t>(BOE núm. 69, de 22 de marzo de 2021)</w:t>
      </w:r>
    </w:p>
    <w:p w:rsidR="005728DD" w:rsidRDefault="005728DD" w:rsidP="005728DD">
      <w:pPr>
        <w:pStyle w:val="TextoNormalCentrado"/>
      </w:pPr>
      <w:r>
        <w:t>ECLI:ES:TC:2021:23</w:t>
      </w:r>
    </w:p>
    <w:p w:rsidR="005728DD" w:rsidRDefault="005728DD" w:rsidP="005728DD">
      <w:pPr>
        <w:pStyle w:val="TextoNormalCentrado"/>
      </w:pPr>
    </w:p>
    <w:p w:rsidR="005728DD" w:rsidRDefault="005728DD" w:rsidP="005728DD">
      <w:pPr>
        <w:pStyle w:val="SntesisDescriptiva"/>
      </w:pPr>
      <w:r>
        <w:t>Recurso de amparo 3995-2019. Promovido por doña Ana Isabel García Morales en relación con las resoluciones dictadas por un juzgado de primera instancia de Madrid en procedimiento de ejecución forzosa.</w:t>
      </w:r>
    </w:p>
    <w:p w:rsidR="005728DD" w:rsidRDefault="005728DD" w:rsidP="005728DD">
      <w:pPr>
        <w:pStyle w:val="SntesisDescriptiva"/>
      </w:pPr>
    </w:p>
    <w:p w:rsidR="005728DD" w:rsidRDefault="005728DD" w:rsidP="005728DD">
      <w:pPr>
        <w:pStyle w:val="SntesisAnaltica"/>
      </w:pPr>
      <w:r>
        <w:t>Vulneración del derecho a la tutela judicial efectiva (acceso a la jurisdicción): resolución judicial que, al aplicar el precepto legal anulado por la STC 15/2020, de 28 de enero, deniega la revisión judicial de los decretos de los letrados de la administración de justicia (STC 17/2020).</w:t>
      </w:r>
    </w:p>
    <w:p w:rsidR="005728DD" w:rsidRDefault="005728DD" w:rsidP="005728DD">
      <w:pPr>
        <w:pStyle w:val="SntesisAnaltica"/>
      </w:pPr>
    </w:p>
    <w:p w:rsidR="005728DD" w:rsidRDefault="005728DD" w:rsidP="005728DD">
      <w:pPr>
        <w:pStyle w:val="Extracto"/>
      </w:pPr>
      <w:r>
        <w:t>1.</w:t>
      </w:r>
      <w:r>
        <w:tab/>
        <w:t>Se aplica la doctrina constitucional sobre la revisión judicial de resoluciones de los letrados de la Administración de justicia, en el ámbito de la Ley de enjuiciamiento civil (SSTC 15/2020 y 17/2020)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3995-2019, promovido por doña Ana Isabel García Morales, representada por el procurador de los tribunales don Alfredo Gil Alegre y asistida por el abogado don Alberto Luis García Morales, contra la providencia de 27 de marzo de 2019 y el auto de 10 de mayo de 2019 dictados por el Juzgado de Primera Instancia núm. 29 de Madrid en el procedimiento de ejecución forzosa núm. 13-2016. Ha intervenido el Ministerio Fiscal. Ha sido ponente el magistrado don Andrés Ollero Tassara.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26 de junio de 2019, el procurador de los tribunales don Alfredo Gil Alegre, actuando en nombre y representación de doña Ana Isabel García Morales, bajo la defensa del abogado don Alberto Luis García Morales, interpuso demanda de amparo contra las resoluciones judiciales mencionadas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Los hechos en que se fundamenta la demanda de amparo, con relevancia para la resolución del asunto, son los que a continuación se exponen.</w:t>
      </w:r>
    </w:p>
    <w:p w:rsidR="005728DD" w:rsidRDefault="005728DD" w:rsidP="005728DD">
      <w:pPr>
        <w:pStyle w:val="TextoNormal"/>
      </w:pPr>
    </w:p>
    <w:p w:rsidR="005728DD" w:rsidRDefault="005728DD" w:rsidP="005728DD">
      <w:pPr>
        <w:pStyle w:val="TextoNormal"/>
      </w:pPr>
      <w:r>
        <w:t>a) La recurrente en amparo, tras divorciarse de su marido, formuló demanda ejecutiva contra este en reclamación de las cantidades que le reconocía la sentencia dictada en el previo proceso de liquidación de la sociedad de gananciales. Esa demanda dio lugar al procedimiento de ejecución forzosa núm. 13-2016 del Juzgado de Primera Instancia núm. 29 de Madrid, que dictó auto despachando ejecución el 10 de marzo de 2016.</w:t>
      </w:r>
    </w:p>
    <w:p w:rsidR="005728DD" w:rsidRDefault="005728DD" w:rsidP="005728DD">
      <w:pPr>
        <w:pStyle w:val="TextoNormal"/>
      </w:pPr>
    </w:p>
    <w:p w:rsidR="005728DD" w:rsidRDefault="005728DD" w:rsidP="005728DD">
      <w:pPr>
        <w:pStyle w:val="TextoNormal"/>
      </w:pPr>
      <w:r>
        <w:t xml:space="preserve">El 17 de enero de 2017 tres hermanos de la recurrente solicitaron su personación en el proceso ejecutivo. Alegaban ser acreedores de aquella como sucesores </w:t>
      </w:r>
      <w:r w:rsidRPr="005728DD">
        <w:rPr>
          <w:i/>
        </w:rPr>
        <w:t>mortis causa</w:t>
      </w:r>
      <w:r>
        <w:t xml:space="preserve"> de doña E.M.G., parte demandante en el proceso de ejecución de título judicial que, con el núm. 1310-2006, se tramitaba ante el Juzgado de Primera Instancia núm. 45 de Madrid frente a la recurrente y a otro de los hermanos y en el que se había acordado la mejora de embargo sobre las cantidades que la recurrente pudiera percibir en el proceso de liquidación de su sociedad de gananciales.</w:t>
      </w:r>
    </w:p>
    <w:p w:rsidR="005728DD" w:rsidRDefault="005728DD" w:rsidP="005728DD">
      <w:pPr>
        <w:pStyle w:val="TextoNormal"/>
      </w:pPr>
    </w:p>
    <w:p w:rsidR="005728DD" w:rsidRDefault="005728DD" w:rsidP="005728DD">
      <w:pPr>
        <w:pStyle w:val="TextoNormal"/>
      </w:pPr>
      <w:r>
        <w:t>La personación fue aceptada por diligencia de ordenación de 25 de mayo de 2017. Esta decisión fue recurrida en reposición por la demandante de amparo, recurso que fue desestimado por auto de 17 de noviembre de 2017. La demandante de amparo interesó el complemento de este auto, por entender que no se había pronunciado sobre cuestiones planteadas en el recurso que revelaban, según sostenía, la comisión de un delito de estafa procesal; esa solicitud fue desestimada por auto de 17 de julio de 2018.</w:t>
      </w:r>
    </w:p>
    <w:p w:rsidR="005728DD" w:rsidRDefault="005728DD" w:rsidP="005728DD">
      <w:pPr>
        <w:pStyle w:val="TextoNormal"/>
      </w:pPr>
    </w:p>
    <w:p w:rsidR="005728DD" w:rsidRDefault="005728DD" w:rsidP="005728DD">
      <w:pPr>
        <w:pStyle w:val="TextoNormal"/>
      </w:pPr>
      <w:r>
        <w:t>b) Contra el referido auto de 17 de noviembre de 2017 la demandante de amparo interpuso recurso de apelación, que fue inadmitido por diligencia de ordenación del letrado de administración de justicia de 24 de octubre de 2018, por cuanto en el auto expresamente se indica que contra el mismo “no cabe recurso alguno, sin perjuicio de los recursos que procedan en su caso contra las resoluciones que pongan fin al proceso”.</w:t>
      </w:r>
    </w:p>
    <w:p w:rsidR="005728DD" w:rsidRDefault="005728DD" w:rsidP="005728DD">
      <w:pPr>
        <w:pStyle w:val="TextoNormal"/>
      </w:pPr>
    </w:p>
    <w:p w:rsidR="005728DD" w:rsidRDefault="005728DD" w:rsidP="005728DD">
      <w:pPr>
        <w:pStyle w:val="TextoNormal"/>
      </w:pPr>
      <w:r>
        <w:t>Esta diligencia de ordenación fue recurrida en reposición por la demandante de amparo, recurso que fue desestimado por decreto de 4 de marzo de 2019, en el que se reitera que contra el auto de 17 de noviembre de 2017 no cabe recurso alguno, como ya se informó a la recurrente en el propio auto. Se indica asimismo que contra este decreto no cabe recurso.</w:t>
      </w:r>
    </w:p>
    <w:p w:rsidR="005728DD" w:rsidRDefault="005728DD" w:rsidP="005728DD">
      <w:pPr>
        <w:pStyle w:val="TextoNormal"/>
      </w:pPr>
    </w:p>
    <w:p w:rsidR="005728DD" w:rsidRDefault="005728DD" w:rsidP="005728DD">
      <w:pPr>
        <w:pStyle w:val="TextoNormal"/>
      </w:pPr>
      <w:r>
        <w:t xml:space="preserve">c) A la vista de lo anterior, la demandante de amparo presentó en el Juzgado de Primera Instancia núm. 29 de Madrid un escrito el 21 de marzo de 2019 en el que, invocando los arts. 24.1 y 117.3 CE y el art. 454 </w:t>
      </w:r>
      <w:r w:rsidRPr="005728DD">
        <w:rPr>
          <w:i/>
        </w:rPr>
        <w:t>bis</w:t>
      </w:r>
      <w:r>
        <w:t xml:space="preserve"> de la Ley de enjuiciamiento civil (LEC), interesaba la celebración de una audiencia ante el magistrado juez para reproducir la impugnación de la diligencia de ordenación de 24 de octubre de 2018, confirmada por el decreto de 4 de marzo de 2019.</w:t>
      </w:r>
    </w:p>
    <w:p w:rsidR="005728DD" w:rsidRDefault="005728DD" w:rsidP="005728DD">
      <w:pPr>
        <w:pStyle w:val="TextoNormal"/>
      </w:pPr>
    </w:p>
    <w:p w:rsidR="005728DD" w:rsidRDefault="005728DD" w:rsidP="005728DD">
      <w:pPr>
        <w:pStyle w:val="TextoNormal"/>
      </w:pPr>
      <w:r>
        <w:t>Esta solicitud fue denegada mediante providencia de 27 de marzo de 2019, que ordena estar a lo acordado en anteriores resoluciones. Se indica en la providencia que contra la misma no cabe recurso, “al no ser una resolución interlocutoria”.</w:t>
      </w:r>
    </w:p>
    <w:p w:rsidR="005728DD" w:rsidRDefault="005728DD" w:rsidP="005728DD">
      <w:pPr>
        <w:pStyle w:val="TextoNormal"/>
      </w:pPr>
    </w:p>
    <w:p w:rsidR="005728DD" w:rsidRDefault="005728DD" w:rsidP="005728DD">
      <w:pPr>
        <w:pStyle w:val="TextoNormal"/>
      </w:pPr>
      <w:r>
        <w:lastRenderedPageBreak/>
        <w:t>d) La demandante de amparo solicitó aclaración o rectificación de esta providencia, aduciendo que en su encabezamiento se identifica como acreedores a los personados procedentes de la ejecución del Juzgado de Primera Instancia núm. 45 de Madrid y al letrado que les asiste, desconociéndose el título en el que se apoya el juzgado para atribuirles tal calificación.</w:t>
      </w:r>
    </w:p>
    <w:p w:rsidR="005728DD" w:rsidRDefault="005728DD" w:rsidP="005728DD">
      <w:pPr>
        <w:pStyle w:val="TextoNormal"/>
      </w:pPr>
    </w:p>
    <w:p w:rsidR="005728DD" w:rsidRDefault="005728DD" w:rsidP="005728DD">
      <w:pPr>
        <w:pStyle w:val="TextoNormal"/>
      </w:pPr>
      <w:r>
        <w:t>La solicitud de aclaración o rectificación fue denegada por auto de 10 de mayo de 2019.</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se dirige contra la providencia del Juzgado de Primera Instancia núm. 29 de Madrid de 27 de marzo de 2019, que deniega la solicitud de celebración de una audiencia, ordenando estar a lo acordado en anteriores resoluciones, y contra el auto de 10 de mayo de 2019, que deniega la aclaración o rectificación de esa providencia.</w:t>
      </w:r>
    </w:p>
    <w:p w:rsidR="005728DD" w:rsidRDefault="005728DD" w:rsidP="005728DD">
      <w:pPr>
        <w:pStyle w:val="TextoNormal"/>
      </w:pPr>
    </w:p>
    <w:p w:rsidR="005728DD" w:rsidRDefault="005728DD" w:rsidP="005728DD">
      <w:pPr>
        <w:pStyle w:val="TextoNormal"/>
      </w:pPr>
      <w:r>
        <w:t>La demandante de amparo alega que las resoluciones impugnadas vulneran el derecho garantizado por el art. 24.1 CE, porque le han privado de la tutela judicial del magistrado juez de primera instancia en relación con el recurso de apelación que interpuso contra el auto dictado el 17 de noviembre de 2017; así como de la tutela judicial de la Audiencia Provincial, al no poder interponer ante esta recurso de queja contra la decisión de inadmisión del recurso de apelación, por haberla acordado el letrado de la administración de justicia mediante una diligencia de ordenación, confirmada por el posterior decreto.</w:t>
      </w:r>
    </w:p>
    <w:p w:rsidR="005728DD" w:rsidRDefault="005728DD" w:rsidP="005728DD">
      <w:pPr>
        <w:pStyle w:val="TextoNormal"/>
      </w:pPr>
    </w:p>
    <w:p w:rsidR="005728DD" w:rsidRDefault="005728DD" w:rsidP="005728DD">
      <w:pPr>
        <w:pStyle w:val="TextoNormal"/>
      </w:pPr>
      <w:r>
        <w:t>Añade la demandante que también se ha vulnerado el derecho al juez ordinario predeterminado por la ley, garantizado por el art. 24.2 CE, ya que las resoluciones impugnadas atribuyen al letrado de la administración de justicia la competencia para inadmitir el recurso de apelación interpuesto contra el auto de 17 de noviembre de 2017, de modo que el control de la legalidad de la inadmisión de ese recurso se ha sustraído indebida e injustificadamente al órgano judicial al que la ley le atribuye su conocimiento.</w:t>
      </w:r>
    </w:p>
    <w:p w:rsidR="005728DD" w:rsidRDefault="005728DD" w:rsidP="005728DD">
      <w:pPr>
        <w:pStyle w:val="TextoNormal"/>
      </w:pPr>
    </w:p>
    <w:p w:rsidR="005728DD" w:rsidRDefault="005728DD" w:rsidP="005728DD">
      <w:pPr>
        <w:pStyle w:val="TextoNormal"/>
      </w:pPr>
      <w:r w:rsidRPr="005728DD">
        <w:rPr>
          <w:rStyle w:val="NumeroAFNegritaCaracter"/>
        </w:rPr>
        <w:t>4</w:t>
      </w:r>
      <w:r>
        <w:t>. Por diligencia de ordenación de la secretaría de justicia de la Sección Segunda de este tribunal de 2 de julio de 2019 se concedió plazo de diez días al procurador de la demandante de amparo para que aportara copia del auto dictado el 10 de mayo de 2019 por el Juzgado de Primera Instancia núm. 29 de Madrid y acreditara la fecha de su notificación, a efectos del cómputo del plazo establecido en el art. 44.2 de la Ley Orgánica del Tribunal Constitucional (LOTC), lo que fue cumplimentado por medio de escrito registrado en este tribunal el 7 de julio de 2019.</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nueva diligencia de ordenación de la secretaría de justicia de la Sección Segunda de 6 de marzo de 2020 se acordó dirigir atenta comunicación al Juzgado de Primera Instancia núm. 29 de Madrid para que remitiera testimonio de las actuaciones correspondientes al procedimiento de ejecución forzosa núm. 13-2016, desde la solicitud de personación en este de los hermanos de la demandante de amparo, así como del título judicial objeto de ejecución. Dicho requerimiento fue cumplimentado a través de oficio del letrado de la administración de justicia del juzgado mencionado, que tuvo entrada en este tribunal el 22 de junio de 2020.</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La Sección Segunda de este tribunal acordó, por providencia el 21 de septiembre de 2020, admitir a trámite el recurso de amparo, al apreciar que concurre en el mismo una </w:t>
      </w:r>
      <w:r>
        <w:lastRenderedPageBreak/>
        <w:t>especial trascendencia constitucional (art. 50.1 LOTC), como consecuencia de que la posible vulneración del derecho fundamental que se denuncia pudiera provenir de la ley [STC 155/2009, de 25 de junio, FJ 2 c)].</w:t>
      </w:r>
    </w:p>
    <w:p w:rsidR="005728DD" w:rsidRDefault="005728DD" w:rsidP="005728DD">
      <w:pPr>
        <w:pStyle w:val="TextoNormal"/>
      </w:pPr>
    </w:p>
    <w:p w:rsidR="005728DD" w:rsidRDefault="005728DD" w:rsidP="005728DD">
      <w:pPr>
        <w:pStyle w:val="TextoNormal"/>
      </w:pPr>
      <w:r>
        <w:t>Asimismo acordó dirigir atenta comunicación al Juzgado de Primera Instancia núm. 29 de Madrid para que procediera a emplazar a quienes hubieran sido parte en el procedimiento de ejecución forzosa núm. 13-2016, a excepción de la recurrente, a fin de que pudieran comparecer si lo desean en este proceso de amparo, en el plazo de diez días.</w:t>
      </w:r>
    </w:p>
    <w:p w:rsidR="005728DD" w:rsidRDefault="005728DD" w:rsidP="005728DD">
      <w:pPr>
        <w:pStyle w:val="TextoNormal"/>
      </w:pPr>
    </w:p>
    <w:p w:rsidR="005728DD" w:rsidRDefault="005728DD" w:rsidP="005728DD">
      <w:pPr>
        <w:pStyle w:val="TextoNormal"/>
      </w:pPr>
      <w:r w:rsidRPr="005728DD">
        <w:rPr>
          <w:rStyle w:val="NumeroAFNegritaCaracter"/>
        </w:rPr>
        <w:t>7</w:t>
      </w:r>
      <w:r>
        <w:t>. La secretaría de justicia de la Sala Primera de este Tribunal dictó diligencia de ordenación el 18 de noviembre de 2020, teniendo por recibidos los testimonios de actuaciones remitidos por el Juzgado de Primera Instancia núm. 29 de Madrid y dando vista de las actuaciones a la recurrente en amparo y al Ministerio Fiscal por plazo común de veinte días, a fin de que pudieran formular alegaciones, conforme a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presentó sus alegaciones mediante escrito registrado en este tribunal el 30 de diciembre de 2020, interesando la estimación del recurso de amparo.</w:t>
      </w:r>
    </w:p>
    <w:p w:rsidR="005728DD" w:rsidRDefault="005728DD" w:rsidP="005728DD">
      <w:pPr>
        <w:pStyle w:val="TextoNormal"/>
      </w:pPr>
    </w:p>
    <w:p w:rsidR="005728DD" w:rsidRDefault="005728DD" w:rsidP="005728DD">
      <w:pPr>
        <w:pStyle w:val="TextoNormal"/>
      </w:pPr>
      <w:r>
        <w:t>Tras recordar los antecedentes del asunto y exponer los argumentos en los que la recurrente fundamenta las vulneraciones de los derechos fundamentales que afirma haber sido vulnerados por las resoluciones judiciales impugnadas, el fiscal señala que la cuestión que se plantea ya ha sido objeto de reiterados pronunciamientos de este tribunal, que ya ha declarado la inconstitucionalidad de diversos preceptos legales de contenido similar que excluían en los diferentes órdenes jurisdiccionales la posibilidad de recurso judicial contra los decretos de los letrados de la administración de justicia resolutorios del recurso de reposición (SSTC 58/2016, de 17 de marzo; 72/2018, de 21 de junio; 34/2019, de 14 de marzo, y 15/2020, de 28 de enero).</w:t>
      </w:r>
    </w:p>
    <w:p w:rsidR="005728DD" w:rsidRDefault="005728DD" w:rsidP="005728DD">
      <w:pPr>
        <w:pStyle w:val="TextoNormal"/>
      </w:pPr>
    </w:p>
    <w:p w:rsidR="005728DD" w:rsidRDefault="005728DD" w:rsidP="005728DD">
      <w:pPr>
        <w:pStyle w:val="TextoNormal"/>
      </w:pPr>
      <w:r>
        <w:t xml:space="preserve">En particular, reviste especial relevancia para el presente asunto la STC 15/2020, de 28 de enero. Estima la cuestión interna de inconstitucionalidad planteada por la Sala Segunda de este Tribunal Constitucional mediante ATC 23/2019, de 8 de abril. Este, en relación con el párrafo primero del art. 454 </w:t>
      </w:r>
      <w:r w:rsidRPr="005728DD">
        <w:rPr>
          <w:i/>
        </w:rPr>
        <w:t>bis</w:t>
      </w:r>
      <w:r>
        <w:t xml:space="preserve">.1 LEC, en la redacción dada por la Ley 37/2011, de 10 de octubre, declaró la inconstitucionalidad y nulidad de ese precepto; con la precisión de que, en tanto el legislador no se pronuncie al respecto, el recurso judicial procedente frente al decreto del letrado de la administración de justicia resolutivo de la reposición ha de ser el directo de revisión al que se refiere el propio art. 454 </w:t>
      </w:r>
      <w:r w:rsidRPr="005728DD">
        <w:rPr>
          <w:i/>
        </w:rPr>
        <w:t>bis</w:t>
      </w:r>
      <w:r>
        <w:t xml:space="preserve"> LEC.</w:t>
      </w:r>
    </w:p>
    <w:p w:rsidR="005728DD" w:rsidRDefault="005728DD" w:rsidP="005728DD">
      <w:pPr>
        <w:pStyle w:val="TextoNormal"/>
      </w:pPr>
    </w:p>
    <w:p w:rsidR="005728DD" w:rsidRDefault="005728DD" w:rsidP="005728DD">
      <w:pPr>
        <w:pStyle w:val="TextoNormal"/>
      </w:pPr>
      <w:r>
        <w:t xml:space="preserve">Considera el fiscal que la proyección al presente caso de la doctrina constitucional contenida en la STC 15/2020 debe conducir al otorgamiento del amparo a la recurrente. Esta se ha visto privada del preceptivo control judicial respecto del decreto del letrado de administración de justicia de 4 de marzo de 2019 que, confirmando la diligencia de ordenación de 24 de octubre de 2018, inadmite el recurso de apelación que la demandante de amparo interpuso contra el auto de 17 de noviembre de 2017. Es cierto —prosigue el fiscal— que la demandante no intentó recurrir el referido decreto, sino que lo que hizo fue solicitar la celebración de una audiencia ante el magistrado juez, pero esto no desvirtúa la esencia de petición de pronunciamiento judicial, en consonancia con la doctrina constitucional citada, </w:t>
      </w:r>
      <w:r>
        <w:lastRenderedPageBreak/>
        <w:t>que considera que no es conforme con el derecho a la tutela judicial efectiva crear un régimen de impugnación de las decisiones de los letrados de la administración de justicia generador de un espacio inmune al control jurisdiccional.</w:t>
      </w:r>
    </w:p>
    <w:p w:rsidR="005728DD" w:rsidRDefault="005728DD" w:rsidP="005728DD">
      <w:pPr>
        <w:pStyle w:val="TextoNormal"/>
      </w:pPr>
    </w:p>
    <w:p w:rsidR="005728DD" w:rsidRDefault="005728DD" w:rsidP="005728DD">
      <w:pPr>
        <w:pStyle w:val="TextoNormal"/>
      </w:pPr>
      <w:r>
        <w:t>Por todo ello, el fiscal interesa que se estime el recurso de amparo, declarando la vulneración del derecho a la tutela judicial efectiva (art. 24.1 CE) de la demandante y la nulidad de todo lo actuado en el procedimiento de ejecución forzosa núm. 13-2016 que se sigue ante el Juzgado de Primera Instancia núm. 29 de Madrid desde la providencia de 27 de marzo de 2019; con retroacción de las actuaciones al momento inmediatamente anterior a esa providencia, para que se dicte otra acorde con lo solicitado por la demandante.</w:t>
      </w:r>
    </w:p>
    <w:p w:rsidR="005728DD" w:rsidRDefault="005728DD" w:rsidP="005728DD">
      <w:pPr>
        <w:pStyle w:val="TextoNormal"/>
      </w:pPr>
    </w:p>
    <w:p w:rsidR="005728DD" w:rsidRDefault="005728DD" w:rsidP="005728DD">
      <w:pPr>
        <w:pStyle w:val="TextoNormal"/>
      </w:pPr>
      <w:r w:rsidRPr="005728DD">
        <w:rPr>
          <w:rStyle w:val="NumeroAFNegritaCaracter"/>
        </w:rPr>
        <w:t>9</w:t>
      </w:r>
      <w:r>
        <w:t>. La demandante de amparo no formuló alegaciones en el trámite del art. 52.1 LOTC.</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presente recurso de amparo se dirige contra la providencia de 27 de marzo de 2019, que deniega la solicitud de celebración de una audiencia, ordenando estar a lo acordado en anteriores resoluciones, y contra el auto de 10 de mayo de 2019, que deniega la aclaración o rectificación de esa providencia; resoluciones ambas dictadas por el Juzgado de Primera Instancia núm. 29 de Madrid en el procedimiento de ejecución forzosa núm. 13-2016.</w:t>
      </w:r>
    </w:p>
    <w:p w:rsidR="005728DD" w:rsidRDefault="005728DD" w:rsidP="005728DD">
      <w:pPr>
        <w:pStyle w:val="TextoNormal"/>
      </w:pPr>
    </w:p>
    <w:p w:rsidR="005728DD" w:rsidRDefault="005728DD" w:rsidP="005728DD">
      <w:pPr>
        <w:pStyle w:val="TextoNormal"/>
      </w:pPr>
      <w:r>
        <w:t>Alega la demandante de amparo que las resoluciones impugnadas han vulnerado su derecho a la tutela judicial efectiva (art. 24.1 CE), porque la decisión de inadmisión del recurso de apelación que interpuso contra el auto dictado el 17 de noviembre de 2017 la acordó el letrado de la administración de justicia, sin que esa decisión haya sido objeto de control judicial. Por esta razón se habría vulnerado también el derecho al juez ordinario predeterminado por la ley (art. 24.2 CE), ya que al atribuirse al letrado de la administración de justicia la competencia para inadmitir el recurso de apelación interpuesto contra el auto de 17 de noviembre de 2017, resulta que el control de la legalidad de la inadmisión de ese recurso se ha sustraído indebida e injustificadamente al órgano judicial al que la ley atribuye su conocimiento.</w:t>
      </w:r>
    </w:p>
    <w:p w:rsidR="005728DD" w:rsidRDefault="005728DD" w:rsidP="005728DD">
      <w:pPr>
        <w:pStyle w:val="TextoNormal"/>
      </w:pPr>
    </w:p>
    <w:p w:rsidR="005728DD" w:rsidRDefault="005728DD" w:rsidP="005728DD">
      <w:pPr>
        <w:pStyle w:val="TextoNormal"/>
      </w:pPr>
      <w:r>
        <w:t>El Ministerio Fiscal, partiendo de la doctrina sentada en las SSTC 58/2016, de 17 de marzo, 72/2018, de 21 de junio, 34/2019, de 14 de marzo, y 15/2020, de 28 de enero (particularmente en esta última), apoya la pretensión de la demandante y solicita que se le otorgue el amparo, declarando la vulneración del derecho a la tutela judicial efectiva y la nulidad de todo lo actuado en el procedimiento de ejecución forzosa núm. 13-2016 desde la providencia de 27 de marzo de 2019; con retroacción de las actuaciones al momento inmediatamente anterior a esa providencia, para que el Juzgado dicte otra acorde con lo solicitado por la demandante.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El art. 454 </w:t>
      </w:r>
      <w:r w:rsidRPr="005728DD">
        <w:rPr>
          <w:i/>
        </w:rPr>
        <w:t>bis</w:t>
      </w:r>
      <w:r>
        <w:t xml:space="preserve">.1, párrafo primero, de la Ley de enjuiciamiento civil (LEC), en la redacción dada por la Ley 37/2011, de 10 de octubre, de medidas de agilización procesal, </w:t>
      </w:r>
      <w:r>
        <w:lastRenderedPageBreak/>
        <w:t>establece, al regular el recurso de revisión contra determinados decretos del letrado de la administración de justicia,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 28 de enero, del Pleno de este tribunal, estima la cuestión interna núm. 2754-2019, declarando la inconstitucionalidad y nulidad de dicho precepto, por vulnerar el derecho fundamental a la tutela judicial efectiva garantizado por el art. 24.1 CE.</w:t>
      </w:r>
    </w:p>
    <w:p w:rsidR="005728DD" w:rsidRDefault="005728DD" w:rsidP="005728DD">
      <w:pPr>
        <w:pStyle w:val="TextoNormal"/>
      </w:pPr>
    </w:p>
    <w:p w:rsidR="005728DD" w:rsidRDefault="005728DD" w:rsidP="005728DD">
      <w:pPr>
        <w:pStyle w:val="TextoNormal"/>
      </w:pPr>
      <w:r>
        <w:t xml:space="preserve">Se concluye en la STC 15/2020, FJ 3, que el párrafo primero del art. 454 </w:t>
      </w:r>
      <w:r w:rsidRPr="005728DD">
        <w:rPr>
          <w:i/>
        </w:rPr>
        <w:t>bis</w:t>
      </w:r>
      <w:r>
        <w:t xml:space="preserve">.1 LEC “no permite descartar la eventualidad de que existan supuestos en los que la decisión del letrado de la administración de justicia […] concierna a cuestiones relevantes en el marco del proceso que atañen a la función jurisdiccional reservada en exclusiva a jueces y magistrados y que, sin embargo, quedan excluidos por el legislador del recurso directo de revisión ante los titulares de la potestad jurisdiccional. Por otra parte, tampoco cabe apreciar que este control judicial pueda obtenerse de manera real y efectiva en el marco del propio proceso de una manera indirecta a través de instrumentos o remedios alternativos al régimen de recursos […] Del mismo modo, la referencia realizada a la posibilidad de reproducir la cuestión mediante escrito para que se solvente en la ‘resolución definitiva’ tampoco satisface con carácter general la garantía de control judicial […]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sea el directo de revisión al que se refiere el propio artículo 454 </w:t>
      </w:r>
      <w:r w:rsidRPr="005728DD">
        <w:rPr>
          <w:i/>
        </w:rPr>
        <w:t>bis</w:t>
      </w:r>
      <w:r>
        <w:t xml:space="preserve"> LEC”.</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La aplicación de la doctrina contenida en la STC 15/2020 comporta la estimación del presente recurso de amparo, al constatarse que del primer párrafo del art. 454 </w:t>
      </w:r>
      <w:r w:rsidRPr="005728DD">
        <w:rPr>
          <w:i/>
        </w:rPr>
        <w:t>bis</w:t>
      </w:r>
      <w:r>
        <w:t xml:space="preserve">.1 LEC, anulado por aquella sentencia, vino a hacer implícita aplicación la providencia del Juzgado de Primera Instancia núm. 29 de Madrid de 27 de marzo de 2019. Mediante esta resolución, el juzgado rechazó la solicitud de la demandante que, invocando los arts. 24.1 y 117.3 CE y el art. 454 </w:t>
      </w:r>
      <w:r w:rsidRPr="005728DD">
        <w:rPr>
          <w:i/>
        </w:rPr>
        <w:t>bis</w:t>
      </w:r>
      <w:r>
        <w:t xml:space="preserve"> LEC, interesaba la celebración de una audiencia para impugnar la decisión que el letrado de administración de justicia habría adoptado por diligencia de ordenación de 24 de octubre de 2018, confirmada en reposición por decreto de 4 de marzo de 2019. Como resultado se inadmitía el recurso de apelación interpuesto contra el auto de 17 de noviembre de 2017, que aceptó la personación de los hermanos de la demandante en el proceso de ejecución forzosa seguido ante ese juzgado. La providencia deniega la solicitud de la demandante y ordena estar a lo acordado en anteriores resoluciones. El posterior auto de 10 de mayo de 2019 denegó la solicitud de aclaración o rectificación de la anterior providencia.</w:t>
      </w:r>
    </w:p>
    <w:p w:rsidR="005728DD" w:rsidRDefault="005728DD" w:rsidP="005728DD">
      <w:pPr>
        <w:pStyle w:val="TextoNormal"/>
      </w:pPr>
    </w:p>
    <w:p w:rsidR="005728DD" w:rsidRDefault="005728DD" w:rsidP="005728DD">
      <w:pPr>
        <w:pStyle w:val="TextoNormal"/>
      </w:pPr>
      <w:r>
        <w:t xml:space="preserve">En efecto, los mismos razonamientos que han conducido en la STC 15/2020 a declarar la inconstitucionalidad y nulidad del primer párrafo del art. 454 </w:t>
      </w:r>
      <w:r w:rsidRPr="005728DD">
        <w:rPr>
          <w:i/>
        </w:rPr>
        <w:t>bis</w:t>
      </w:r>
      <w:r>
        <w:t xml:space="preserve">.1 LEC deben llevar en el presente caso a apreciar que se ha vulnerado el derecho a la tutela judicial efectiva (art. 24.1 CE) de la demandante de amparo. Como señala el Ministerio Fiscal, lo determinante </w:t>
      </w:r>
      <w:r>
        <w:lastRenderedPageBreak/>
        <w:t xml:space="preserve">es que la demandante solicitó la celebración de una audiencia ante el magistrado juez a fin de poder impugnar el decreto del letrado de administración de justicia confirmatorio de la diligencia de ordenación que inadmitía el recurso de apelación que aquella pretendía interponer contra el auto que aceptó la personación de sus hermanos en el proceso ejecutivo. La demandante reaccionó contra la decisión del letrado de administración de justicia, instando el control judicial de esa decisión. Lejos de atender esa pretensión, el juzgado </w:t>
      </w:r>
      <w:r w:rsidRPr="005728DD">
        <w:rPr>
          <w:i/>
        </w:rPr>
        <w:t>a quo</w:t>
      </w:r>
      <w:r>
        <w:t xml:space="preserve"> ordenó estar a lo acordado en anteriores resoluciones, sin entrar a revisar la decisión del letrado de administración de justicia.</w:t>
      </w:r>
    </w:p>
    <w:p w:rsidR="005728DD" w:rsidRDefault="005728DD" w:rsidP="005728DD">
      <w:pPr>
        <w:pStyle w:val="TextoNormal"/>
      </w:pPr>
    </w:p>
    <w:p w:rsidR="005728DD" w:rsidRDefault="005728DD" w:rsidP="005728DD">
      <w:pPr>
        <w:pStyle w:val="TextoNormal"/>
      </w:pPr>
      <w:r>
        <w:t xml:space="preserve">Apreciada la vulneración del derecho a la tutela judicial efectiva (art. 24.1 CE) por las resoluciones impugnadas, resulta innecesario el examen de la otra queja deducida por la demandante: posible lesión del derecho al juez ordinario predeterminado por la ley, garantizado por el art. 24.2 CE, conforme resulta de la doctrina de este tribunal (por todas, STC 17/2020, de 10 de febrero, FJ 4 </w:t>
      </w:r>
      <w:r w:rsidRPr="005728DD">
        <w:rPr>
          <w:i/>
        </w:rPr>
        <w:t>in fine</w:t>
      </w:r>
      <w:r>
        <w:t>).</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Para restablecer a la demandante en la integridad de su derecho, procede que declaremos la nulidad de las dos resoluciones judiciales impugnadas; así como la retroacción de las actuaciones del procedimiento de ejecución forzosa núm. 13-2016 seguido ante el Juzgado de Primera Instancia núm. 29 de Madrid al momento inmediatamente anterior al de haberse dictado la providencia de 27 de marzo de 2019, para que dicho órgano judicial provea en términos que resulten respetuosos con el derecho fundamental reconocido. Esto último supone acordar que se tenga por presentado, se admita y resuelva el recurso de revisión contra el decreto de 4 de marzo de 2019, de acuerdo con lo establecido en la STC 15/2020, FJ 3 </w:t>
      </w:r>
      <w:r w:rsidRPr="005728DD">
        <w:rPr>
          <w:i/>
        </w:rPr>
        <w:t>in fine</w:t>
      </w:r>
      <w:r>
        <w:t>.</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parcialmente el recurso de amparo interpuesto por doña Ana Isabel García Morales y, en su virtud:</w:t>
      </w:r>
    </w:p>
    <w:p w:rsidR="005728DD" w:rsidRDefault="005728DD" w:rsidP="005728DD">
      <w:pPr>
        <w:pStyle w:val="TextoNormal"/>
      </w:pPr>
    </w:p>
    <w:p w:rsidR="005728DD" w:rsidRDefault="005728DD" w:rsidP="005728DD">
      <w:pPr>
        <w:pStyle w:val="TextoNormal"/>
      </w:pPr>
      <w:r>
        <w:t>1º Declarar que ha sido vulnerado su derecho a la tutela judicial efectiva (art. 24.1 CE).</w:t>
      </w:r>
    </w:p>
    <w:p w:rsidR="005728DD" w:rsidRDefault="005728DD" w:rsidP="005728DD">
      <w:pPr>
        <w:pStyle w:val="TextoNormal"/>
      </w:pPr>
    </w:p>
    <w:p w:rsidR="005728DD" w:rsidRDefault="005728DD" w:rsidP="005728DD">
      <w:pPr>
        <w:pStyle w:val="TextoNormal"/>
      </w:pPr>
      <w:r>
        <w:t>2º Restablecerla en la integridad de su derecho y, en consecuencia, declarar la nulidad de la providencia de 27 de marzo de 2019 y del auto de 10 de mayo de 2019, dictados por el Juzgado de Primera Instancia núm. 29 de Madrid en el procedimiento de ejecución forzosa núm. 13-2016.</w:t>
      </w:r>
    </w:p>
    <w:p w:rsidR="005728DD" w:rsidRDefault="005728DD" w:rsidP="005728DD">
      <w:pPr>
        <w:pStyle w:val="TextoNormal"/>
      </w:pPr>
    </w:p>
    <w:p w:rsidR="005728DD" w:rsidRDefault="005728DD" w:rsidP="005728DD">
      <w:pPr>
        <w:pStyle w:val="TextoNormal"/>
      </w:pPr>
      <w:r>
        <w:t>3º Retrotraer las actuaciones al momento inmediatamente anterior al dictado de la providencia de 27 de marzo de 2019, para que el Juzgado de Primera Instancia núm. 29 de Madrid provea a la reparación del derecho fundamental vulnerado, en los términos que se especifican en el fundamento jurídico 4 de la presente sentencia.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7" w:name="SENTENCIA_2021_24"/>
      <w:r>
        <w:lastRenderedPageBreak/>
        <w:t>SENTENCIA 24/2021, de 15 de febrero de 2021</w:t>
      </w:r>
    </w:p>
    <w:bookmarkEnd w:id="27"/>
    <w:p w:rsidR="005728DD" w:rsidRDefault="005728DD" w:rsidP="005728DD">
      <w:pPr>
        <w:pStyle w:val="TtuloResolucin"/>
      </w:pPr>
      <w:r>
        <w:t>Sala Primera</w:t>
      </w:r>
    </w:p>
    <w:p w:rsidR="005728DD" w:rsidRDefault="005728DD" w:rsidP="005728DD">
      <w:pPr>
        <w:pStyle w:val="TtuloBOE"/>
      </w:pPr>
      <w:r>
        <w:t>(BOE núm. 69, de 22 de marzo de 2021)</w:t>
      </w:r>
    </w:p>
    <w:p w:rsidR="005728DD" w:rsidRDefault="005728DD" w:rsidP="005728DD">
      <w:pPr>
        <w:pStyle w:val="TextoNormalCentrado"/>
      </w:pPr>
      <w:r>
        <w:t>ECLI:ES:TC:2021:24</w:t>
      </w:r>
    </w:p>
    <w:p w:rsidR="005728DD" w:rsidRDefault="005728DD" w:rsidP="005728DD">
      <w:pPr>
        <w:pStyle w:val="TextoNormalCentrado"/>
      </w:pPr>
    </w:p>
    <w:p w:rsidR="005728DD" w:rsidRDefault="005728DD" w:rsidP="005728DD">
      <w:pPr>
        <w:pStyle w:val="SntesisDescriptiva"/>
      </w:pPr>
      <w:r>
        <w:t>Recurso de amparo 5564-2019. Promovido por don Ousmane Kebe Ndiaye respecto de las resoluciones dictadas por un juzgado de primera instancia de Granollers (Barcelona)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2, 3].</w:t>
      </w:r>
    </w:p>
    <w:p w:rsidR="005728DD" w:rsidRDefault="005728DD" w:rsidP="005728DD">
      <w:pPr>
        <w:pStyle w:val="Extracto"/>
      </w:pPr>
    </w:p>
    <w:p w:rsidR="005728DD" w:rsidRDefault="005728DD" w:rsidP="005728DD">
      <w:pPr>
        <w:pStyle w:val="Extracto"/>
      </w:pPr>
      <w:r>
        <w:t>2.</w:t>
      </w:r>
      <w:r>
        <w:tab/>
        <w:t xml:space="preserve">Aplicación de la Directiva 93/13/CEE, del Consejo, de 5 de abril, sobre cláusulas abusivas en los contratos celebrados con consumidores, y de la STJUE de 26 de enero de 2017, Asunto </w:t>
      </w:r>
      <w:r w:rsidRPr="005728DD">
        <w:rPr>
          <w:i/>
        </w:rPr>
        <w:t xml:space="preserve">Banco Primus, S.A. v. Jesús Gutiérrez García </w:t>
      </w:r>
      <w:r>
        <w:t xml:space="preserve"> (asunto C-421/14), que instan a los órganos judiciales al control del carácter abusivo del clausulado de un contrato de préstamo con garantía hipotecaria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5564-2019, promovido por don Ousmane Kebe Ndiaye, representado por el procurador de los tribunales don Felipe Juanas Blanco y asistido por el letrado don Oscar Bernardes i Ràfols, contra la providencia de 12 de junio de 2019, por la que se inadmitió el incidente excepcional de nulidad de actuaciones promovido por el recurrente en el procedimiento de ejecución hipotecaria núm. 492-2015, seguido ante el Juzgado de Primera Instancia núm. 6 de Granollers, y contra el auto de 12 de julio de 2019, por el </w:t>
      </w:r>
      <w:r>
        <w:lastRenderedPageBreak/>
        <w:t>que se aclara la anterior resolución y se inadmite a trámite el recurso de reposición formulado contra la misma. Ha sido parte la entidad Caixabank, S.A., representada por el procurador don Javier Segura Zariquiey y asistida por el letrado don Ricardo Egea Yetano, y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1 de octubre de 2019, el procurador de los tribunales don Felipe Juanas Blanco, en nombre y representación de don Ousmane Kebe Ndiaye interpuso recurso de amparo contra las resoluciones que se citan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en los que se fundamenta la demanda de amparo son, sucintamente expuestos, los siguientes:</w:t>
      </w:r>
    </w:p>
    <w:p w:rsidR="005728DD" w:rsidRDefault="005728DD" w:rsidP="005728DD">
      <w:pPr>
        <w:pStyle w:val="TextoNormal"/>
      </w:pPr>
    </w:p>
    <w:p w:rsidR="005728DD" w:rsidRDefault="005728DD" w:rsidP="005728DD">
      <w:pPr>
        <w:pStyle w:val="TextoNormal"/>
      </w:pPr>
      <w:r>
        <w:t>a) La entidad bancaria Caixabank, S.A., formuló contra don Ousmane Kebe Ndiaye demanda de ejecución hipotecaria con base en un crédito hipotecario elevado a escritura pública en fecha de 9 de noviembre de 2007, siendo turnada al Juzgado de Primera Instancia núm. 6 de Granollers.</w:t>
      </w:r>
    </w:p>
    <w:p w:rsidR="005728DD" w:rsidRDefault="005728DD" w:rsidP="005728DD">
      <w:pPr>
        <w:pStyle w:val="TextoNormal"/>
      </w:pPr>
    </w:p>
    <w:p w:rsidR="005728DD" w:rsidRDefault="005728DD" w:rsidP="005728DD">
      <w:pPr>
        <w:pStyle w:val="TextoNormal"/>
      </w:pPr>
      <w:r>
        <w:t>b) Por auto de 2 de febrero de 2016 el Juzgado declaró nula la cláusula incluida en la escritura de constitución de la hipoteca relativa a los intereses moratorios, haciendo constar expresamente en el fundamento de derecho quinto de esa resolución que, de conformidad con lo dispuesto en el art. 552.1.II de la Ley de enjuiciamiento civil (LEC), “[e]n el presente caso, se ha examinado la cláusula relativa a los intereses moratorios, los cuales efectivamente deben considerarse abusivos, pues se fijaron en un 20,50 por 100 con lo cual se considera procedente anular la cláusula relativa a los mismos sin posibilidad de integración”.</w:t>
      </w:r>
    </w:p>
    <w:p w:rsidR="005728DD" w:rsidRDefault="005728DD" w:rsidP="005728DD">
      <w:pPr>
        <w:pStyle w:val="TextoNormal"/>
      </w:pPr>
    </w:p>
    <w:p w:rsidR="005728DD" w:rsidRDefault="005728DD" w:rsidP="005728DD">
      <w:pPr>
        <w:pStyle w:val="TextoNormal"/>
      </w:pPr>
      <w:r>
        <w:t>No siendo de aplicación la cláusula mencionada, se despachó la ejecución, requiriendo de pago al ejecutado en la cantidad de 249 219,86 €, de principal, y 30 730,84 €, en concepto de intereses. La resolución fue notificada al ejecutado con fecha 25 de febrero de 2016.</w:t>
      </w:r>
    </w:p>
    <w:p w:rsidR="005728DD" w:rsidRDefault="005728DD" w:rsidP="005728DD">
      <w:pPr>
        <w:pStyle w:val="TextoNormal"/>
      </w:pPr>
    </w:p>
    <w:p w:rsidR="005728DD" w:rsidRDefault="005728DD" w:rsidP="005728DD">
      <w:pPr>
        <w:pStyle w:val="TextoNormal"/>
      </w:pPr>
      <w:r>
        <w:t>c) Siguiendo su curso el procedimiento, por decreto de 22 de septiembre de 2016, se procedió a la convocatoria de la subasta, que, celebrada en el portal de subastas electrónicas del “Boletín Oficial del Estado”, concluyó sin pujas.</w:t>
      </w:r>
    </w:p>
    <w:p w:rsidR="005728DD" w:rsidRDefault="005728DD" w:rsidP="005728DD">
      <w:pPr>
        <w:pStyle w:val="TextoNormal"/>
      </w:pPr>
    </w:p>
    <w:p w:rsidR="005728DD" w:rsidRDefault="005728DD" w:rsidP="005728DD">
      <w:pPr>
        <w:pStyle w:val="TextoNormal"/>
      </w:pPr>
      <w:r>
        <w:t>d) Solicitada por la ejecutante la adjudicación de las fincas subastadas con facultad para ceder el remate, por diligencia de ordenación de 4 de enero de 2018, se concedió un plazo de veinte días para, en su caso, ceder el remate a un tercero, procediéndose a ello mediante sendas comparecencias del cedente (Caixabank, S.A.) y del cesionario (Buildingcenter, S.A.U.), celebradas en fechas 12 de enero y 12 de junio de 2018, respectivamente, siendo aprobada la adjudicación del remate por decreto de 15 de junio de 2018.</w:t>
      </w:r>
    </w:p>
    <w:p w:rsidR="005728DD" w:rsidRDefault="005728DD" w:rsidP="005728DD">
      <w:pPr>
        <w:pStyle w:val="TextoNormal"/>
      </w:pPr>
    </w:p>
    <w:p w:rsidR="005728DD" w:rsidRDefault="005728DD" w:rsidP="005728DD">
      <w:pPr>
        <w:pStyle w:val="TextoNormal"/>
      </w:pPr>
      <w:r>
        <w:t xml:space="preserve">e) La mercantil Buildingcenter, S.A.U., interesó ser puesta en posesión de las fincas adjudicadas, acordándose, por diligencia de ordenación de 25 de febrero de 2019, conceder a la parte ejecutada un mes para desalojar la vivienda, con apercibimiento de que transcurrido </w:t>
      </w:r>
      <w:r>
        <w:lastRenderedPageBreak/>
        <w:t>dicho plazo sin verificarlo se procedería al lanzamiento del inmueble el día 17 de mayo a las 12:00 horas.</w:t>
      </w:r>
    </w:p>
    <w:p w:rsidR="005728DD" w:rsidRDefault="005728DD" w:rsidP="005728DD">
      <w:pPr>
        <w:pStyle w:val="TextoNormal"/>
      </w:pPr>
    </w:p>
    <w:p w:rsidR="005728DD" w:rsidRDefault="005728DD" w:rsidP="005728DD">
      <w:pPr>
        <w:pStyle w:val="TextoNormal"/>
      </w:pPr>
      <w:r>
        <w:t>f) Presentado escrito por el ejecutado solicitando que se declarara que tanto él como su familia tenían derecho a seguir ocupando la vivienda hasta el 15 de mayo de 2020, con arreglo a lo previsto en el art. 2 del Real Decreto-Ley 5/2017, de 17 de marzo, por el que se modifica el Real Decreto-Ley 6/2012, de 9 de marzo, y la Ley 1/2013, de 14 de mayo; o, subsidiariamente, un aplazamiento del lanzamiento hasta que los servicios sociales del municipio de La Garriga o cualquier otro organismo pudiera proporcionarles una opción de realojamiento; por la mercantil Buildingcenter, S.A.U., se interesó dejar sin efecto el trámite de posesión, suspendiéndose el lanzamiento por diligencia de ordenación de 25 de abril de 2019.</w:t>
      </w:r>
    </w:p>
    <w:p w:rsidR="005728DD" w:rsidRDefault="005728DD" w:rsidP="005728DD">
      <w:pPr>
        <w:pStyle w:val="TextoNormal"/>
      </w:pPr>
    </w:p>
    <w:p w:rsidR="005728DD" w:rsidRDefault="005728DD" w:rsidP="005728DD">
      <w:pPr>
        <w:pStyle w:val="TextoNormal"/>
      </w:pPr>
      <w:r>
        <w:t xml:space="preserve">g) Mediante escrito fechado el 17 de mayo de 2019, el ahora recurrente promovió incidente de nulidad de actuaciones alegando la vulneración de su derecho a la tutela judicial efectiva (art. 24.1 CE) y solicitando la retroacción del procedimiento al momento inmediatamente anterior al dictado del auto de 22 de septiembre de 2014, para que, con fundamento en la doctrina contenida en la STC 31/2019, de 28 de febrero, se declarara el carácter abusivo de la cláusula de vencimiento anticipado incluida en el apartado sexto </w:t>
      </w:r>
      <w:r w:rsidRPr="005728DD">
        <w:rPr>
          <w:i/>
        </w:rPr>
        <w:t>bis</w:t>
      </w:r>
      <w:r>
        <w:t xml:space="preserve"> de la escritura de constitución de la hipoteca.</w:t>
      </w:r>
    </w:p>
    <w:p w:rsidR="005728DD" w:rsidRDefault="005728DD" w:rsidP="005728DD">
      <w:pPr>
        <w:pStyle w:val="TextoNormal"/>
      </w:pPr>
    </w:p>
    <w:p w:rsidR="005728DD" w:rsidRDefault="005728DD" w:rsidP="005728DD">
      <w:pPr>
        <w:pStyle w:val="TextoNormal"/>
      </w:pPr>
      <w:r>
        <w:t xml:space="preserve">h) Por providencia de 12 de junio de 2019, el juzgado inadmitió el incidente de nulidad al entender que, con ocasión del mencionado auto de 2 de febrero de 2016, ya se había efectuado un control de oficio de las posibles cláusulas abusivas, razonando que “[a]sí se desprende de la parte dispositiva de esa resolución”, en la que se declaraba la abusividad de la cláusula relativa a los intereses moratorios pactados. Y se añade: “[c]on ello se evidenció que el juzgador, a pesar de no ser quien actualmente ocupa la plaza de este órgano jurisdiccional, asumió el control de oficio de las cláusulas contractuales del caso. El que no se anulasen otras cláusulas obedece al criterio judicial en su momento considerado, no siendo el mismo susceptible de revisión a posteriori </w:t>
      </w:r>
      <w:r w:rsidRPr="005728DD">
        <w:rPr>
          <w:i/>
        </w:rPr>
        <w:t>ex</w:t>
      </w:r>
      <w:r>
        <w:t xml:space="preserve"> artículo 214.1 LEC”. En la resolución se indicaba que contra la misma cabía recurso de reposición.</w:t>
      </w:r>
    </w:p>
    <w:p w:rsidR="005728DD" w:rsidRDefault="005728DD" w:rsidP="005728DD">
      <w:pPr>
        <w:pStyle w:val="TextoNormal"/>
      </w:pPr>
    </w:p>
    <w:p w:rsidR="005728DD" w:rsidRDefault="005728DD" w:rsidP="005728DD">
      <w:pPr>
        <w:pStyle w:val="TextoNormal"/>
      </w:pPr>
      <w:r>
        <w:t>i) Presentado recurso de reposición por el recurrente, fue inadmitido por auto de 12 de julio de 2019, aclarando la resolución anterior en el sentido de confirmar su carácter irrecurrible.</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En la demanda de amparo se denuncia, en síntesis, el quebrantamiento del derecho a la tutela judicial efectiva (art. 24.1 CE), como manifestación del derecho a un juicio justo, </w:t>
      </w:r>
      <w:r w:rsidRPr="005728DD">
        <w:rPr>
          <w:i/>
        </w:rPr>
        <w:t>ex</w:t>
      </w:r>
      <w:r>
        <w:t xml:space="preserve"> art. 6 del Convenio europeo de derechos humanos (CEDH), por incumplimiento del órgano jurisdiccional de la doctrina plasmada en la STC 31/2019, de 28 de febrero, así como de la jurisprudencia europea, relativa al deber de examinar el carácter abusivo de las cláusulas incluidas en los contratos de préstamo hipotecario, al negarse el juzgado a llevar a cabo tal revisión respecto de la cláusula de vencimiento anticipado, como se interesó en el escrito promoviendo el incidente de nulidad de actuaciones, no constando que ese examen se haya efectuado anteriormente con ocasión del auto despachando ejecución, como sostiene el órgano jurisdiccional.</w:t>
      </w:r>
    </w:p>
    <w:p w:rsidR="005728DD" w:rsidRDefault="005728DD" w:rsidP="005728DD">
      <w:pPr>
        <w:pStyle w:val="TextoNormal"/>
      </w:pPr>
    </w:p>
    <w:p w:rsidR="005728DD" w:rsidRDefault="005728DD" w:rsidP="005728DD">
      <w:pPr>
        <w:pStyle w:val="TextoNormal"/>
      </w:pPr>
      <w:r>
        <w:lastRenderedPageBreak/>
        <w:t>Al anterior argumento principal se suman otras reflexiones, atinentes a la aplicación de la doctrina constitucional y europea relativa al deber de los órganos jurisdiccionales de efectuar el control de abusividad de las cláusulas de contratos de préstamo hipotecario si no se hubiera efectuado antes, al juego del instituto de la cosa juzgada y la preclusividad de los trámites para denunciar ese vicio contractual, a la utilidad del incidente excepcional de nulidad de actuaciones a tales efectos, a la primacía del Derecho de la Unión y al carácter abusivo de la cláusula de vencimiento anticipado cuestionada.</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Segunda de este tribunal acordó, mediante providencia de 27 de enero 2020, la admisión a trámite de la demanda de amparo, apreciando que concurre en la misma una especial trascendencia constitucional [art. 50.1 de la Ley Orgánica del Tribunal Constitucional (LOTC)] toda vez que el recurso puede dar ocasión al tribunal para aclarar o cambiar su doctrina, como consecuencia de un proceso de reflexión interna [STC 155/2009, 25 de junio, FJ 2 b)]; y, en cumplimiento de lo preceptuado por el art. 51 LOTC. Asimismo, en cumplimiento de lo preceptuado por el art. 51 LOTC, se dispuso dirigir atenta comunicación al Juzgado de Primera Instancia núm. 6 de Granollers a fin de que remitiera certificación o fotocopia adverada de las actuaciones correspondientes al procedimiento de ejecución hipotecaria núm. 492-2015, debiendo previamente emplazarse a quienes hubieran sido parte en el procedimiento, con excepción de la parte demandante, al objeto de que pudieran comparecer en el plazo de diez días, si así lo desearan,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registrado el 27 de febrero de 2020, se personó en las actuaciones el procurador de los tribunales don Javier Segura Zariquiey, en nombre y representación de la entidad Caixabank, S.A.</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6 de marzo de 2020, se tuvo por personado al procurador don Javier Segura Zariquiey en nombre y representación de Caixabank, S.A., teniéndose también por recibidos los testimonios de las actuaciones remitidos por el Juzgado de Primera Instancia núm. 6 de Granollers. Asimismo, a tenor de lo dispuesto en el art. 52 LOTC, se acordó dar vista de las actuaciones a las partes personadas y al Ministerio Fiscal, por el plazo común de veinte días, para que pudieran presentar las alegaciones que a su derecho conviniera.</w:t>
      </w:r>
    </w:p>
    <w:p w:rsidR="005728DD" w:rsidRDefault="005728DD" w:rsidP="005728DD">
      <w:pPr>
        <w:pStyle w:val="TextoNormal"/>
      </w:pPr>
    </w:p>
    <w:p w:rsidR="005728DD" w:rsidRDefault="005728DD" w:rsidP="005728DD">
      <w:pPr>
        <w:pStyle w:val="TextoNormal"/>
      </w:pPr>
      <w:r w:rsidRPr="005728DD">
        <w:rPr>
          <w:rStyle w:val="NumeroAFNegritaCaracter"/>
        </w:rPr>
        <w:t>7</w:t>
      </w:r>
      <w:r>
        <w:t>. El fiscal presentó alegaciones por escrito de 8 de junio de 2020, manifestándose favorable al otorgamiento del amparo solicitado. Inicia sus alegaciones delimitando la resolución objeto del presente recurso de amparo y cuál es el derecho fundamental cuya vulneración se denuncia. En relación con lo primero, el Ministerio Fiscal afirma que, aunque “nominalmente” el recurso se dirige contra el auto de 12 de julio de 2019, por el que se inadmite la reposición y se declara irrecurrible la providencia de 12 de junio anterior, la queja no se plantea respecto de aquella resolución, sino en cuanto a la inadmisión del incidente de nulidad de actuaciones: “[t]oda la argumentación del recurso de amparo se dirige contra esa negativa a reconsiderar el control de la pretendida cláusula abusiva de ‘vencimiento anticipado’, y esa decisión se toma y se motiva en la providencia, sin que el auto haga referencia alguna”; además de que esa “parece ser la voluntad del recurrente en el propio encabezamiento del recurso”.</w:t>
      </w:r>
    </w:p>
    <w:p w:rsidR="005728DD" w:rsidRDefault="005728DD" w:rsidP="005728DD">
      <w:pPr>
        <w:pStyle w:val="TextoNormal"/>
      </w:pPr>
    </w:p>
    <w:p w:rsidR="005728DD" w:rsidRDefault="005728DD" w:rsidP="005728DD">
      <w:pPr>
        <w:pStyle w:val="TextoNormal"/>
      </w:pPr>
      <w:r>
        <w:lastRenderedPageBreak/>
        <w:t xml:space="preserve">Por lo que se refiere al derecho fundamental vulnerado, se asevera por el fiscal que cuando en el recurso se invoca la vulneración del derecho a la tutela judicial efectiva (art. 24.1 CE), como manifestación del derecho al juicio justo, </w:t>
      </w:r>
      <w:r w:rsidRPr="005728DD">
        <w:rPr>
          <w:i/>
        </w:rPr>
        <w:t>ex</w:t>
      </w:r>
      <w:r>
        <w:t xml:space="preserve"> art. 6 CEDH, en realidad, se está cuestionando la “errónea motivación” de la providencia por la que se inadmitió el incidente de nulidad, fundada en que ya había sido revisada la cláusula cuyo examen se interesó en el referido incidente con ocasión del auto de 2 de febrero de 2016, siendo pues la cuestión a dilucidar en el presente caso “aclarar si efectivamente se produjo esa revisión judicial, validando la cláusula, o, tal como entiende el recurrente, no hay constancia de esa revisión, y por lo tanto debió acceder a su plasmación cuando fue solicitado en base al incidente de nulidad”, con arreglo a la doctrina constitucional expuesta en la STC 31/2019, de 28 de febrero.</w:t>
      </w:r>
    </w:p>
    <w:p w:rsidR="005728DD" w:rsidRDefault="005728DD" w:rsidP="005728DD">
      <w:pPr>
        <w:pStyle w:val="TextoNormal"/>
      </w:pPr>
    </w:p>
    <w:p w:rsidR="005728DD" w:rsidRDefault="005728DD" w:rsidP="005728DD">
      <w:pPr>
        <w:pStyle w:val="TextoNormal"/>
      </w:pPr>
      <w:r>
        <w:t>El fiscal comparte la tesis del recurrente, en cuanto a que la providencia no debería haber dado por realizado el referido control de la cláusula controvertida en el auto despachando ejecución, pues “[n]o contiene el referido auto ninguna mención a otras cláusulas como la de vencimiento anticipado, ni siquiera la afirmación de que se ha examinado el contenido de todas las cláusulas”; no siendo adecuada una deducción como la que se efectúa en la providencia, porque, según afirma, “nos encontramos frente a una resolución judicial, que por aplicación del derecho a la tutela judicial efectiva, exige una motivación clara y expresa”.</w:t>
      </w:r>
    </w:p>
    <w:p w:rsidR="005728DD" w:rsidRDefault="005728DD" w:rsidP="005728DD">
      <w:pPr>
        <w:pStyle w:val="TextoNormal"/>
      </w:pPr>
    </w:p>
    <w:p w:rsidR="005728DD" w:rsidRDefault="005728DD" w:rsidP="005728DD">
      <w:pPr>
        <w:pStyle w:val="TextoNormal"/>
      </w:pPr>
      <w:r>
        <w:t>Concluye el fiscal que “[l]o que parece desprenderse de la letra de la providencia de inadmisión es que, para el juez, esa deducción es tan evidente que ninguna otra conclusión podría obtenerse, y por lo tanto no necesitaba de plasmación escrita, pero este argumento quiebra desde el momento en que el incidente de nulidad precisamente lo que solicitaba era un pronunciamiento expreso sobre la cláusula cuya abusividad, al ejecutado, le parecía evidente, y lo hizo por el mecanismo jurídico que le cabía, el incidente de nulidad. Ejerció por lo tanto lo que el Tribunal de Justicia de la Unión Europea llama ‘incidente de oposición’, al que lejos de dar respuesta, que es lo que debe primar en ese ámbito contractual, como hemos reiterado anteriormente, lo resolvió con la mera inadmisión”. Con ello se infringe la doctrina constitucional, que no impide la revisión de una cláusula sobre cuya abusividad no ha existido pronunciamiento alguno por el hecho de que conste la eliminación de otra por su carácter abusivo.</w:t>
      </w:r>
    </w:p>
    <w:p w:rsidR="005728DD" w:rsidRDefault="005728DD" w:rsidP="005728DD">
      <w:pPr>
        <w:pStyle w:val="TextoNormal"/>
      </w:pPr>
    </w:p>
    <w:p w:rsidR="005728DD" w:rsidRDefault="005728DD" w:rsidP="005728DD">
      <w:pPr>
        <w:pStyle w:val="TextoNormal"/>
      </w:pPr>
      <w:r>
        <w:t>Por lo anterior, concluye solicitando que se otorgue el amparo con reconocimiento de la vulneración del derecho a la tutela judicial efectiva del actor, y el restablecimiento en el mismo con declaración de nulidad de lo actuado desde la providencia de 12 de junio de 2019, y retroacción al momento inmediatamente anterior a su dictado.</w:t>
      </w:r>
    </w:p>
    <w:p w:rsidR="005728DD" w:rsidRDefault="005728DD" w:rsidP="005728DD">
      <w:pPr>
        <w:pStyle w:val="TextoNormal"/>
      </w:pPr>
    </w:p>
    <w:p w:rsidR="005728DD" w:rsidRDefault="005728DD" w:rsidP="005728DD">
      <w:pPr>
        <w:pStyle w:val="TextoNormal"/>
      </w:pPr>
      <w:r w:rsidRPr="005728DD">
        <w:rPr>
          <w:rStyle w:val="NumeroAFNegritaCaracter"/>
        </w:rPr>
        <w:t>8</w:t>
      </w:r>
      <w:r>
        <w:t>. El recurrente formuló alegaciones por escrito presentado el 2 de julio de 2020, reiterando lo ya expuesto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Por la entidad Caixabank, S.A., se formularon alegaciones en escrito presentado el día 2 de julio de 2020, oponiéndose al recurso de amparo por razones de fondo y procesales.</w:t>
      </w:r>
    </w:p>
    <w:p w:rsidR="005728DD" w:rsidRDefault="005728DD" w:rsidP="005728DD">
      <w:pPr>
        <w:pStyle w:val="TextoNormal"/>
      </w:pPr>
    </w:p>
    <w:p w:rsidR="005728DD" w:rsidRDefault="005728DD" w:rsidP="005728DD">
      <w:pPr>
        <w:pStyle w:val="TextoNormal"/>
      </w:pPr>
      <w:r>
        <w:t xml:space="preserve">En cuanto a las primeras, manifiesta su coincidencia con el juzgado en cuanto a que el control de abusividad de las cláusulas ya habría sido efectuado de oficio en el auto de 2 de febrero de 2016, sin que el juzgador advirtiera más cláusulas irregulares que la relativa a los </w:t>
      </w:r>
      <w:r>
        <w:lastRenderedPageBreak/>
        <w:t>intereses de demora, entendiendo que la valoración positiva del resto de cláusulas una consideración individualizada de las mismas por parte del órgano judicial, y que, producido ya ese control en un momento anterior, no es exigible la repetición del mismo. Asimismo, se opone al resto de las razones esgrimidas por el recurrente por considerarlas inaplicables al presente caso. En cuanto a los motivos procesales, se aduce la extemporaneidad del incidente de nulidad de actuaciones, porque en el momento de su planteamiento el procedimiento de ejecución hipotecaria se encontraba ya concluido y archivado, por haber renunciado el adjudicatario a la posesión judicial, lo que implica que el desalojo deberá hacerse valer a través del juicio que corresponda.</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Si bien el presente recurso de amparo se dirige, formalmente, contra el auto de 12 de julio de 2019 del Juzgado de Primera Instancia núm. 6 de Granollers, resulta evidente que el demandante de amparo se queja, como pone de relieve el fiscal, de la negativa del juzgado a cumplimentar el control de abusividad de la cláusula de vencimiento anticipado del contrato de préstamo hipotecario que dio lugar al procedimiento de ejecución, interesada por el ahora recurrente en su escrito promoviendo la nulidad de actuaciones. Esa decisión judicial se adoptó en la providencia de 12 de junio de 2019, por la que se inadmitió el mencionado incidente excepcional de nulidad de actuaciones, no en el auto posterior, que se limita a aclarar el carácter irrecurrible de la providencia anterior, con lo que hemos de considerar que, en realidad, recurso se alza contra tal providencia.</w:t>
      </w:r>
    </w:p>
    <w:p w:rsidR="005728DD" w:rsidRDefault="005728DD" w:rsidP="005728DD">
      <w:pPr>
        <w:pStyle w:val="TextoNormal"/>
      </w:pPr>
    </w:p>
    <w:p w:rsidR="005728DD" w:rsidRDefault="005728DD" w:rsidP="005728DD">
      <w:pPr>
        <w:pStyle w:val="TextoNormal"/>
      </w:pPr>
      <w:r>
        <w:t xml:space="preserve">El demandante de amparo denuncia la vulneración del derecho a la tutela judicial efectiva, </w:t>
      </w:r>
      <w:r w:rsidRPr="005728DD">
        <w:rPr>
          <w:i/>
        </w:rPr>
        <w:t>ex</w:t>
      </w:r>
      <w:r>
        <w:t xml:space="preserve"> art. 24.1 CE, “como manifestación del derecho al juicio justo, </w:t>
      </w:r>
      <w:r w:rsidRPr="005728DD">
        <w:rPr>
          <w:i/>
        </w:rPr>
        <w:t>ex</w:t>
      </w:r>
      <w:r>
        <w:t xml:space="preserve"> art. 6 CEDH”, por la inadmisión del incidente de nulidad de actuaciones en el que solicitó que el juzgado se pronunciara sobre el carácter abusivo de la cláusula de vencimiento anticipado del crédito con garantía hipotecaria, en aplicación de la jurisprudencia del Tribunal de Justicia de la Unión Europea y de la doctrina establecida en la STC 31/2019, de 28 de febrero.</w:t>
      </w:r>
    </w:p>
    <w:p w:rsidR="005728DD" w:rsidRDefault="005728DD" w:rsidP="005728DD">
      <w:pPr>
        <w:pStyle w:val="TextoNormal"/>
      </w:pPr>
    </w:p>
    <w:p w:rsidR="005728DD" w:rsidRDefault="005728DD" w:rsidP="005728DD">
      <w:pPr>
        <w:pStyle w:val="TextoNormal"/>
      </w:pPr>
      <w:r>
        <w:t>Apoya la pretensión de amparo el Ministerio Fiscal, que ha interesado la estimación del recurso, por entender que el juzgado vulneró el derecho a la tutela judicial efectiva del actor, ya que inadmitió el incidente de nulidad sin dar respuesta a la petición de examen sobre el carácter abusivo de la cláusula de vencimiento anticipado. Por su parte, la representación de la entidad Caixabank ha solicitado la desestimación del recurso, al considerar que, tal y como razonó el juzgado, no había lugar a pronunciarse sobre el carácter abusivo de las cláusulas del contrato, pues ya había existido un pronunciamiento previo del juzgado sobre esa cuestión en el auto de 22 de septiembre de 2014.</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constitucional sobre el control de abusividad de las cláusulas de los contratos de préstamo</w:t>
      </w:r>
      <w:r>
        <w:t>.</w:t>
      </w:r>
    </w:p>
    <w:p w:rsidR="005728DD" w:rsidRDefault="005728DD" w:rsidP="005728DD">
      <w:pPr>
        <w:pStyle w:val="TextoNormal"/>
      </w:pPr>
    </w:p>
    <w:p w:rsidR="005728DD" w:rsidRDefault="005728DD" w:rsidP="005728DD">
      <w:pPr>
        <w:pStyle w:val="TextoNormal"/>
      </w:pPr>
      <w:r>
        <w:lastRenderedPageBreak/>
        <w:t>Desde la STC 31/2019, de 28 de febrero, hasta la muy reciente STC 140/2020, de 6 de octubre, en la que se rememora el discurso contenido en aquella primera resolución, el tribunal ha sido consecuente con una línea doctrinal dirigida a restaurar el equilibrio real entre los derechos y obligaciones de profesionales y consumidores en el marco de los contratos de préstamo hipotecario, defendiendo el obligado cumplimiento de la jurisprudencia del Tribunal de Justicia de la Unión Europea en la materia.</w:t>
      </w:r>
    </w:p>
    <w:p w:rsidR="005728DD" w:rsidRDefault="005728DD" w:rsidP="005728DD">
      <w:pPr>
        <w:pStyle w:val="TextoNormal"/>
      </w:pPr>
    </w:p>
    <w:p w:rsidR="005728DD" w:rsidRDefault="005728DD" w:rsidP="005728DD">
      <w:pPr>
        <w:pStyle w:val="TextoNormal"/>
      </w:pPr>
      <w:r>
        <w:t>Este tribunal se ha manifestado en diversas ocasiones sobre el obligado control por parte de los órganos jurisdiccionales del carácter abusivo de las cláusulas incorporadas a los contratos de préstamo con garantía hipotecaria, cuando, como ocurre en este caso, fueran requeridos para efectuarlo por la parte ejecutada a través de un incidente excepcional de nulidad de actuaciones.</w:t>
      </w:r>
    </w:p>
    <w:p w:rsidR="005728DD" w:rsidRDefault="005728DD" w:rsidP="005728DD">
      <w:pPr>
        <w:pStyle w:val="TextoNormal"/>
      </w:pPr>
    </w:p>
    <w:p w:rsidR="005728DD" w:rsidRDefault="005728DD" w:rsidP="005728DD">
      <w:pPr>
        <w:pStyle w:val="TextoNormal"/>
      </w:pPr>
      <w:r>
        <w:t>En la primera de las sentencias citadas ya declaramos que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[permitiendo] que el consumidor pueda formular un incidente de oposición cumpliendo con lo que disponga la norma, lo que no exime de la obligación de control de oficio por el órgano judicial” (FJ 6). Asimismo, desde la perspectiva del deber de motivación, sostuvimos que la simple mención genérica de que la demanda cumple con los requisitos previstos en el art. 685 LEC y que el título es susceptible de ejecución en los términos del art. 517.1.4 LEC “es insuficiente a los efectos de considerar que, sin género de dudas, se realizó dicho control, máxime cuando de dicha argumentación se va hacer depender el acceso a un pronunciamiento de fondo al que el órgano judicial, de acuerdo con el Derecho de la Unión, debe proceder de oficio de haber razones para ello […], pues ‘[m]al se puede realizar un control —ni siquiera externo— de lo que carece de un razonamiento expreso’ (STC 135/2017, de 27 de noviembre, FJ 4)” (FJ 8).</w:t>
      </w:r>
    </w:p>
    <w:p w:rsidR="005728DD" w:rsidRDefault="005728DD" w:rsidP="005728DD">
      <w:pPr>
        <w:pStyle w:val="TextoNormal"/>
      </w:pPr>
    </w:p>
    <w:p w:rsidR="005728DD" w:rsidRDefault="005728DD" w:rsidP="005728DD">
      <w:pPr>
        <w:pStyle w:val="TextoNormal"/>
      </w:pPr>
      <w:r>
        <w:t xml:space="preserve">Como también expusimos en la última de las sentencias mencionadas, respecto del deber de motivación existe también una asentada doctrina constitucional en el sentido de considerar que “el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w:t>
      </w:r>
      <w:r>
        <w:lastRenderedPageBreak/>
        <w:t>queda cumplida con la mera emisión de una declaración de voluntad en un sentido u otro, sino que debe ser consecuencia de una exégesis racional del ordenamiento y no fruto de la arbitrariedad (SSTC 61/1983, de 11 de julio, y 5/1986, de 21 de enero, entre otras […] STC 172/2004, de 18 de octubre, FJ 3)” (STC 140/2020, de 6 de octubre, FJ 3).</w:t>
      </w:r>
    </w:p>
    <w:p w:rsidR="005728DD" w:rsidRDefault="005728DD" w:rsidP="005728DD">
      <w:pPr>
        <w:pStyle w:val="TextoNormal"/>
      </w:pPr>
    </w:p>
    <w:p w:rsidR="005728DD" w:rsidRDefault="005728DD" w:rsidP="005728DD">
      <w:pPr>
        <w:pStyle w:val="TextoNormal"/>
      </w:pPr>
      <w:r>
        <w:t>Además de en las circunstancias expuestas en la STC 31/2019 (en las que coinciden las SSTC 48/2020, de 15 de junio, FJ único, y 30/2020, de 24 de febrero, FJ 4), y como proyección de esa doctrina, también hemos rechazado que la mera declaración de la extemporaneidad de la solicitud de control de abusividad de las cláusulas formulada en un incidente de nulidad, acompañado de la cita sin más de varios preceptos (los arts. 228.1 párrafo primero, 136 y 207 LEC) cumpliera con la exigencia de motivación, “pues la nuda cita de esos artículos, sin argumento explicativo alguno, impide conocer las razones por las que lo pretendido por los recurrentes se consideró extemporáneo” [STC 140/2020, FJ 4].</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Vulneración del derecho a la tutela judicial efectiva (art. 24.1 CE) del demandante de amparo</w:t>
      </w:r>
      <w:r>
        <w:t>.</w:t>
      </w:r>
    </w:p>
    <w:p w:rsidR="005728DD" w:rsidRDefault="005728DD" w:rsidP="005728DD">
      <w:pPr>
        <w:pStyle w:val="TextoNormal"/>
      </w:pPr>
    </w:p>
    <w:p w:rsidR="005728DD" w:rsidRDefault="005728DD" w:rsidP="005728DD">
      <w:pPr>
        <w:pStyle w:val="TextoNormal"/>
      </w:pPr>
      <w:r>
        <w:t>En el presente recurso de amparo, el Juzgado de Primera Instancia núm. 6 de Granollers no cuestiona que el órgano judicial deba llevar a cabo el control de abusividad de las cláusulas de los contratos de préstamo hipotecario, como fundamento de la inadmisión del incidente de nulidad, y, en consecuencia, para denegar la revisión de la cláusula de vencimiento anticipado interesada por el ahora recurrente. Esta última decisión se basa en la convicción de que tal supervisión ya se había efectuado de oficio, entendiendo que ello se deduce del auto de 2 de febrero de 2016, por el que se declaró el carácter abusivo de la cláusula de intereses moratorios y se despachó la ejecución, conclusión que comparte la parte ejecutante, también personada en estas actuaciones.</w:t>
      </w:r>
    </w:p>
    <w:p w:rsidR="005728DD" w:rsidRDefault="005728DD" w:rsidP="005728DD">
      <w:pPr>
        <w:pStyle w:val="TextoNormal"/>
      </w:pPr>
    </w:p>
    <w:p w:rsidR="005728DD" w:rsidRDefault="005728DD" w:rsidP="005728DD">
      <w:pPr>
        <w:pStyle w:val="TextoNormal"/>
      </w:pPr>
      <w:r>
        <w:t xml:space="preserve">No obstante, es preciso señalar que ninguna mención expresa a una revisión general de las cláusulas del contrato de préstamo se realizó en aquel auto, donde tan solo se reconoce, literalmente y de conformidad con lo previsto en el art. 552.1 LEC, que “se ha examinado la cláusula relativa a los intereses moratorios, los cuales efectivamente debe considerarse abusivos”. Tampoco puede obviarse que la deducción que sirve de apoyo a la decisión contenida en la providencia impugnada se realiza por quien no era titular del juzgado emisor cuando se dictó el referido auto, que efectúa esa inferencia “de la parte dispositiva de esa resolución”, en la que se declara la abusividad de la cláusula de interés de demora pactado, de donde se evidencia —a su juicio— que el juzgado “asumió el control de oficio de las cláusulas contractuales del caso”, y que el hecho de que “no se anulasen otras cláusulas obedece al criterio judicial en su momento considerado, no siendo el mismo susceptible de revisión </w:t>
      </w:r>
      <w:r w:rsidRPr="005728DD">
        <w:rPr>
          <w:i/>
        </w:rPr>
        <w:t>a posteriori ex</w:t>
      </w:r>
      <w:r>
        <w:t xml:space="preserve"> artículo 214.1 LEC”.</w:t>
      </w:r>
    </w:p>
    <w:p w:rsidR="005728DD" w:rsidRDefault="005728DD" w:rsidP="005728DD">
      <w:pPr>
        <w:pStyle w:val="TextoNormal"/>
      </w:pPr>
    </w:p>
    <w:p w:rsidR="005728DD" w:rsidRDefault="005728DD" w:rsidP="005728DD">
      <w:pPr>
        <w:pStyle w:val="TextoNormal"/>
      </w:pPr>
      <w:r>
        <w:t xml:space="preserve">En semejantes circunstancias no cabe que se considere acreditada, “sin género de dudas”, la realización de dicho control, al que está obligado el órgano jurisdiccional por aplicación del Derecho de la Unión, en los términos expuestos en el fundamento jurídico 8 de nuestra STC 31/2019, transcrito más arriba, resultando esa argumentación por remisión al auto de 2 de febrero de 2016 insuficiente, pues de este lo único que se desprende es que se efectuó el control de la cláusula de intereses de demora, sin que contenga mención a ninguna otra cláusula del contrato de préstamo hipotecario. Como señalamos en el referido fundamento </w:t>
      </w:r>
      <w:r>
        <w:lastRenderedPageBreak/>
        <w:t>8 de la STC 31/2019, este tribunal ha venido apreciando que «“la existencia de una motivación adecuada y suficiente en función de las cuestiones que se susciten en cada caso concreto resulta una garantía esencial para el justiciable, ya que la exteriorización de los rasgos más esenciales del razonamiento que ha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o 35/2002, de 11 de febrero, FJ 3), siendo de añadir, trascendiendo desde la esfera individual a la colectiva,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 (STC 329/2006, de 20 de noviembre, FJ 7). Por ello, hemos declarado que “el canon constitucional de la ‘motivación suficiente’ no se ve satisfecho mediante la simple exposición de una conclusión, fáctica o jurídica, sino que requiere un razonamiento o inferencia” (STC 8/2014, de 27 de enero, FJ 4). Aún más, en este caso, cuando el artículo 51 CE impone a los poderes públicos en general la obligación de garantizar la defensa de los consumidores y usuarios».</w:t>
      </w:r>
    </w:p>
    <w:p w:rsidR="005728DD" w:rsidRDefault="005728DD" w:rsidP="005728DD">
      <w:pPr>
        <w:pStyle w:val="TextoNormal"/>
      </w:pPr>
    </w:p>
    <w:p w:rsidR="005728DD" w:rsidRDefault="005728DD" w:rsidP="005728DD">
      <w:pPr>
        <w:pStyle w:val="TextoNormal"/>
      </w:pPr>
      <w:r>
        <w:t xml:space="preserve">Esto es, resulta necesaria una motivación expresa por parte del órgano judicial sobre si las cláusulas del préstamo hipotecario pueden considerarse abusivas o no, o, al menos, que pueda inferirse de la resolución judicial, de manera clara y evidente, que se ha realizado efectivamente dicho análisis, sin complejas deducciones sobre la </w:t>
      </w:r>
      <w:r w:rsidRPr="005728DD">
        <w:rPr>
          <w:i/>
        </w:rPr>
        <w:t>ratio</w:t>
      </w:r>
      <w:r>
        <w:t xml:space="preserve"> de la decisión.</w:t>
      </w:r>
    </w:p>
    <w:p w:rsidR="005728DD" w:rsidRDefault="005728DD" w:rsidP="005728DD">
      <w:pPr>
        <w:pStyle w:val="TextoNormal"/>
      </w:pPr>
    </w:p>
    <w:p w:rsidR="005728DD" w:rsidRDefault="005728DD" w:rsidP="005728DD">
      <w:pPr>
        <w:pStyle w:val="TextoNormal"/>
      </w:pPr>
      <w:r>
        <w:t>Pues bien, no constando, ni expresa ni tácitamente, que la revisión de la cláusula de vencimiento anticipado interesada por el actor en el incidente de nulidad de actuaciones se hubiera producido efectivamente en el auto de 2 de febrero de 2016, el Juzgado de Primera Instancia núm. 6 de Granollers debería haber procedido a realizar la revisión de la cláusula, de acuerdo con lo solicitado por el demandante de amparo, como viene exigido en derecho, con arreglo a la doctrina constitucional expuesta, en lugar de resolver la cuestión inadmitiendo la pretensión del recurrente so pretexto de un presunto examen previo de todo el clausulado del contrato, no plasmado de manera efectiva en resolución alguna.</w:t>
      </w:r>
    </w:p>
    <w:p w:rsidR="005728DD" w:rsidRDefault="005728DD" w:rsidP="005728DD">
      <w:pPr>
        <w:pStyle w:val="TextoNormal"/>
      </w:pPr>
    </w:p>
    <w:p w:rsidR="005728DD" w:rsidRDefault="005728DD" w:rsidP="005728DD">
      <w:pPr>
        <w:pStyle w:val="TextoNormal"/>
      </w:pPr>
      <w:r>
        <w:t>Así pues, debiendo considerarse carente de la adecuada motivación la respuesta acerca de la existencia de un control de la cláusula de vencimiento anticipado incluida en el contrato de préstamo hipotecario, objeto del procedimiento de ejecución previo, y al no efectuarse la revisión solicitada con un argumento carente de razonamiento, la decisión del juzgado de inadmisión del incidente ha de reputarse manifiestamente irrazonable, con lo que ha vulnerado el derecho fundamental a la tutela judicial efectiva del demandante de amparo (art. 24.1 CE), de modo que el actor se vio privado de un pronunciamiento de fondo sobre la eventual abusividad de la cláusula de vencimiento anticipado contenida en su contrato de préstamo hipotecario, al que el órgano judicial se encontraba obligado de acuerdo con nuestra doctrina y con la establecida por el Tribunal de Justicia de la Unión Europea.</w:t>
      </w:r>
    </w:p>
    <w:p w:rsidR="005728DD" w:rsidRDefault="005728DD" w:rsidP="005728DD">
      <w:pPr>
        <w:pStyle w:val="TextoNormal"/>
      </w:pPr>
    </w:p>
    <w:p w:rsidR="005728DD" w:rsidRDefault="005728DD" w:rsidP="005728DD">
      <w:pPr>
        <w:pStyle w:val="TextoNormal"/>
      </w:pPr>
      <w:r>
        <w:t xml:space="preserve">En atención a las razones expuestas, procede estimar el presente recurso de amparo, con la consiguiente declaración de nulidad de la providencia de 12 de junio de 2019, por la que </w:t>
      </w:r>
      <w:r>
        <w:lastRenderedPageBreak/>
        <w:t>se inadmitió el incidente de nulidad de actuaciones promovido por el demandante de amparo, así como de las resoluciones posteriores a aquella, con retroacción de las actuaciones al momento inmediatamente anterior al de su dictado, a fin de que el órgano judicial resuelva sobre lo interesado en el incidente de nulidad de actuaciones, de manera respetuosa con el derecho fundamental reconocido.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Ousmane Kebe Ndiaye y, en consecuencia:</w:t>
      </w:r>
    </w:p>
    <w:p w:rsidR="005728DD" w:rsidRDefault="005728DD" w:rsidP="005728DD">
      <w:pPr>
        <w:pStyle w:val="TextoNormal"/>
      </w:pPr>
    </w:p>
    <w:p w:rsidR="005728DD" w:rsidRDefault="005728DD" w:rsidP="005728DD">
      <w:pPr>
        <w:pStyle w:val="TextoNormal"/>
      </w:pPr>
      <w:r>
        <w:t>1º Declarar que ha sido vulnerado el derecho fundamental del demandante de amparo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 la providencia de 12 de junio de 2019, dictada por el Juzgado de Primera Instancia núm. 6 de Granollers en el procedimiento de ejecución hipotecaria núm. 492-2015, así como de las resoluciones posteriores a aquella.</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 la citada resolución, para que el órgano judicial dicte una nueva que sea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8" w:name="SENTENCIA_2021_25"/>
      <w:r>
        <w:lastRenderedPageBreak/>
        <w:t>SENTENCIA 25/2021, de 15 de febrero de 2021</w:t>
      </w:r>
    </w:p>
    <w:bookmarkEnd w:id="28"/>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ECLI:ES:TC:2021:25</w:t>
      </w:r>
    </w:p>
    <w:p w:rsidR="005728DD" w:rsidRDefault="005728DD" w:rsidP="005728DD">
      <w:pPr>
        <w:pStyle w:val="TextoNormalCentrado"/>
      </w:pPr>
    </w:p>
    <w:p w:rsidR="005728DD" w:rsidRDefault="005728DD" w:rsidP="005728DD">
      <w:pPr>
        <w:pStyle w:val="SntesisDescriptiva"/>
      </w:pPr>
      <w:r>
        <w:t>Recurso de amparo 5857-2019. Promovido por Ferma Móvil, S.L., en relación con las resoluciones dictadas por un juzgado de primera instancia e instrucción de Ciudad Real en proceso de reclamación de cantidad.</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5857-2019, promovido por Ferma Móvil, S.L., contra el auto del Juzgado de Primera Instancia e Instrucción núm. 3 de Ciudad Real, de 2 de septiembre de 2019, que desestimó el incidente de nulidad de actuaciones planteado contra la sentencia 142/2018, de 15 de junio, dictada en el procedimiento ordinario núm. 549-2017, promovido por la entidad Pelayo Mutua de Seguros, personada en estas actuaciones.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14 de octubre de 2019, la procuradora de los tribunales doña Asunción Holgado Pérez, actuando en nombre y representación de Ferma Móvil, S.L., bajo la defensa del letrado don Francisco Javier Lara López,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En fecha 16 de octubre de 2017, la entidad Pelayo Mutua de Seguros interpuso demanda de reclamación de cantidad contra la ahora recurrente de amparo, en concepto de responsabilidad civil por daños y perjuicios derivados de un siniestro ocurrido en el año 2016. Incoado procedimiento ordinario (núm. 549-2017), por decreto del letrado de la Administración de Justicia del Juzgado de Primera Instancia e Instrucción núm. 3 de Ciudad Real, de 9 de enero de 2018, se acordó la admisión a trámite de la demanda, así como la notificación y emplazamiento de la demandada, con traslado de la demanda y documentación anexa, en el domicilio propuesto por la parte actora, que estaba ubicado en la carretera de Carrión, km. 243, de Ciudad Real.</w:t>
      </w:r>
    </w:p>
    <w:p w:rsidR="005728DD" w:rsidRDefault="005728DD" w:rsidP="005728DD">
      <w:pPr>
        <w:pStyle w:val="TextoNormal"/>
      </w:pPr>
    </w:p>
    <w:p w:rsidR="005728DD" w:rsidRDefault="005728DD" w:rsidP="005728DD">
      <w:pPr>
        <w:pStyle w:val="TextoNormal"/>
      </w:pPr>
      <w:r>
        <w:t>b) A pesar de lo anterior, la notificación y emplazamiento se produjeron a través del servicio de notificaciones electrónicas de la Fábrica Nacional de Moneda y Timbre. Más en concreto, a través de la dirección electrónica habilitada. Según las certificaciones obrantes en las actuaciones, consta que la notificación de la cédula de emplazamiento tenía como número de referencia: 5a56774e7fd00; que la administración actuante era: Juzgados y Tribunales (SGAJ); como titular figuraba: “null-B13252846”; y como asunto: “JDO. 1 INST. E INSTR. N 3 DE CIUDAD REAL”. Asimismo, la certificación indica que la notificación fue puesta a disposición el 10 de enero de 2018, y que fue objeto de rechazo automático el 25 de febrero de 2018. Por su parte, la notificación de la diligencia de ordenación por la que se une el emplazamiento tenía como número de referencia: 5a5d13e12c05c, siendo el resto de los datos coincidente con la anterior, salvo que la fecha de puesta a disposición fue el 15 de enero de 2018 y que la fecha de rechazo automático se produjo el 02 de marzo de 2018. Las propias certificaciones aclaran que “el rechazo automático se produce, de forma general, tras haber transcurrido diez días naturales desde su puesta a disposición para su acceso según el párrafo 2, artículo 43, de la Ley 39/2015, de 1 de octubre, del procedimiento administrativo común de las administraciones públicas. Y de forma particular, superado el plazo establecido por la administración actuante de acuerdo a la normativa jurídica específica que sea de aplicación”.</w:t>
      </w:r>
    </w:p>
    <w:p w:rsidR="005728DD" w:rsidRDefault="005728DD" w:rsidP="005728DD">
      <w:pPr>
        <w:pStyle w:val="TextoNormal"/>
      </w:pPr>
    </w:p>
    <w:p w:rsidR="005728DD" w:rsidRDefault="005728DD" w:rsidP="005728DD">
      <w:pPr>
        <w:pStyle w:val="TextoNormal"/>
      </w:pPr>
      <w:r>
        <w:t>c) Por diligencia de ordenación de 10 de abril de 2018, se declaró a la recurrente en situación de rebeldía procesal, acordándose notificar esta resolución “por correo certificado con acuse de recibo conforme a lo ordenado en el art. 497.1 LEC”. No obstante, una vez más, la notificación se realizó en fecha 11 de abril de 2018 a través de la dirección electrónica habilitada, sin que conste que fuera retirada por el destinatario.</w:t>
      </w:r>
    </w:p>
    <w:p w:rsidR="005728DD" w:rsidRDefault="005728DD" w:rsidP="005728DD">
      <w:pPr>
        <w:pStyle w:val="TextoNormal"/>
      </w:pPr>
    </w:p>
    <w:p w:rsidR="005728DD" w:rsidRDefault="005728DD" w:rsidP="005728DD">
      <w:pPr>
        <w:pStyle w:val="TextoNormal"/>
      </w:pPr>
      <w:r>
        <w:t xml:space="preserve">d) En la diligencia de ordenación de 10 de abril de 2018 también se acordó el señalamiento de la audiencia previa para el día 12 de junio de 2018. Celebrada la vista en la fecha </w:t>
      </w:r>
      <w:r>
        <w:lastRenderedPageBreak/>
        <w:t>señalada, con la sola asistencia de la parte demandante, el 15 de junio de 2018 se dictó sentencia estimatoria de la demanda, que también fue notificada a través de la dirección electrónica habilitada. En concreto, según la certificación obrante en las actuaciones, la notificación tenía como número de referencia: 88572665b2c0bd203e26, y como asunto figuraba: “JDO. 1 INST. E INSTR. N 3 DE CIUDAD REAL ORD/0000549/2017”. El contenido del mensaje señalaba que: “Ha recibido un acto de comunicación judicial. Podrá consultarlo en los siguientes enlaces: https://sede.administracion.gob.es/carpeta, https://notificaciones.060.es y https://sedejudicial.justicia.es. 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de la LEC. Este aviso conforme a lo dispuesto en el art. 25 del RD 1065/2015 no tiene efecto procesal alguno”. La fecha de puesta a disposición de esta notificación fue el 21 de junio de 2018, con el resultado de rechazo automático fechado el 07 de agosto de 2018.</w:t>
      </w:r>
    </w:p>
    <w:p w:rsidR="005728DD" w:rsidRDefault="005728DD" w:rsidP="005728DD">
      <w:pPr>
        <w:pStyle w:val="TextoNormal"/>
      </w:pPr>
    </w:p>
    <w:p w:rsidR="005728DD" w:rsidRDefault="005728DD" w:rsidP="005728DD">
      <w:pPr>
        <w:pStyle w:val="TextoNormal"/>
      </w:pPr>
      <w:r>
        <w:t>La sentencia fue declarada firme por diligencia de ordenación de 21 de septiembre de 2018, en la que se afirmaba que la sentencia había sido notificada a las partes el 21 de junio de 2018. La declaración de firmeza también fue notificada electrónicamente en fecha 24 de septiembre de 2018, sin que conste la retirada de esta comunicación por el destinatario.</w:t>
      </w:r>
    </w:p>
    <w:p w:rsidR="005728DD" w:rsidRDefault="005728DD" w:rsidP="005728DD">
      <w:pPr>
        <w:pStyle w:val="TextoNormal"/>
      </w:pPr>
    </w:p>
    <w:p w:rsidR="005728DD" w:rsidRDefault="005728DD" w:rsidP="005728DD">
      <w:pPr>
        <w:pStyle w:val="TextoNormal"/>
      </w:pPr>
      <w:r>
        <w:t>e) Una vez firme la sentencia, en la que se condenaba en costas a la ahora recurrente, en fecha 22 de mayo de 2019 se dictó una diligencia de ordenación en la que, tras haberse practicado la correspondiente tasación de costas, se concedía un plazo a las partes para alegaciones. Esta diligencia sí fue notificada por correo, con acuse de recibo, en el domicilio de la entidad Ferma Móvil, S.L., sito en la carretera de Carrión, km. 243, de Ciudad Real.</w:t>
      </w:r>
    </w:p>
    <w:p w:rsidR="005728DD" w:rsidRDefault="005728DD" w:rsidP="005728DD">
      <w:pPr>
        <w:pStyle w:val="TextoNormal"/>
      </w:pPr>
    </w:p>
    <w:p w:rsidR="005728DD" w:rsidRDefault="005728DD" w:rsidP="005728DD">
      <w:pPr>
        <w:pStyle w:val="TextoNormal"/>
      </w:pPr>
      <w:r>
        <w:t>f) En fecha 6 de junio de 2019, la entidad Ferma Móvil, S.L., presentó un escrito ante el citado juzgado, en el que señalaba que había tenido conocimiento de la existencia del procedimiento al recibir la notificación de la tasación de costas, interesando que se le tuviera por personada y que se le diera traslado de lo actuado. En el mismo escrito se anunciaba la posibilidad de plantear un incidente de nulidad de actuaciones, para el caso de que las notificaciones y el emplazamiento se hubieran realizado a través de la dirección electrónica habilitada. En ese escrito ya se aportaba como anexo la publicación en el “Boletín Oficial del Estado” de la STC 47/2019, de 8 de abril, cuya doctrina se invocaba expresamente.</w:t>
      </w:r>
    </w:p>
    <w:p w:rsidR="005728DD" w:rsidRDefault="005728DD" w:rsidP="005728DD">
      <w:pPr>
        <w:pStyle w:val="TextoNormal"/>
      </w:pPr>
    </w:p>
    <w:p w:rsidR="005728DD" w:rsidRDefault="005728DD" w:rsidP="005728DD">
      <w:pPr>
        <w:pStyle w:val="TextoNormal"/>
      </w:pPr>
      <w:r>
        <w:t>g) Tras el análisis de lo actuado, la ahora recurrente interpuso un incidente de nulidad de actuaciones en fecha 12 de junio de 2019, solicitando la nulidad de la sentencia y la retroacción del procedimiento hasta el momento de la admisión a trámite de la demanda, a fin de proceder a su contestación. En el escrito se alegaba la vulneración del derecho a la tutela judicial efectiva, sin indefensión, y del derecho de defensa. Se indicaba la infracción de lo dispuesto en el art. 155.1 de la Ley de enjuiciamiento civil (LEC), es decir, por no haberse notificado la demanda y el primer emplazamiento en el domicilio de la demandada, y con entrega de la documentación correspondiente. También se alegaba la infracción de lo dispuesto en el art. 497.1 LEC con ocasión de la notificación de la situación procesal de rebeldía, y de lo establecido en el art. 161 LEC en relación con la notificación de la sentencia.</w:t>
      </w:r>
    </w:p>
    <w:p w:rsidR="005728DD" w:rsidRDefault="005728DD" w:rsidP="005728DD">
      <w:pPr>
        <w:pStyle w:val="TextoNormal"/>
      </w:pPr>
    </w:p>
    <w:p w:rsidR="005728DD" w:rsidRDefault="005728DD" w:rsidP="005728DD">
      <w:pPr>
        <w:pStyle w:val="TextoNormal"/>
      </w:pPr>
      <w:r>
        <w:lastRenderedPageBreak/>
        <w:t>h) Por auto de 2 de septiembre de 2019 el juzgado desestimó el incidente de nulidad de actuaciones planteado por la entidad recurrente. En su fundamento jurídico segundo se razona que “no consta infracción procesal alguna que haya generado una efectiva indefensión. Al contrario, tal y como acertadamente, se indica de contrario, todas las resoluciones se han notificado a través de la sede electrónica y consta la ‘aceptación’, como expresamente se reconoce en el escrito de la demandada, de la sentencia de 21 de junio de 2018. Por lo que tendría que haber utilizado los recursos ordinarios legalmente previstos, por lo que no se estima la nulidad de actuaciones”.</w:t>
      </w:r>
    </w:p>
    <w:p w:rsidR="005728DD" w:rsidRDefault="005728DD" w:rsidP="005728DD">
      <w:pPr>
        <w:pStyle w:val="TextoNormal"/>
      </w:pPr>
    </w:p>
    <w:p w:rsidR="005728DD" w:rsidRDefault="005728DD" w:rsidP="005728DD">
      <w:pPr>
        <w:pStyle w:val="TextoNormal"/>
      </w:pPr>
      <w:r>
        <w:t>Este auto fue notificado en fecha 5 de septiembre de 2019, con expresa indicación de que no cabía recurso alguno contra el mismo.</w:t>
      </w:r>
    </w:p>
    <w:p w:rsidR="005728DD" w:rsidRDefault="005728DD" w:rsidP="005728DD">
      <w:pPr>
        <w:pStyle w:val="TextoNormal"/>
      </w:pPr>
    </w:p>
    <w:p w:rsidR="005728DD" w:rsidRDefault="005728DD" w:rsidP="005728DD">
      <w:pPr>
        <w:pStyle w:val="TextoNormal"/>
      </w:pPr>
      <w:r>
        <w:t>i) En fecha 14 de octubre de 2019 tuvo entrada en el registro de este tribunal la presente demanda de amparo, que tiene por objeto el auto de 2 de septiembre de 2019 por el que se desestima el incidente de nulidad de actuaciones planteado contra la sentencia de 15 de junio de 2018, dictada por el Juzgado de Primera Instancia e Instrucción núm. 3 de Ciudad Real en el procedimiento ordinario núm. 549-2017.</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causan la vulneración “del derecho a la tutela judicial efectiva de los jueces y tribunales en el ejercicio de sus derechos e intereses legítimos previsto en el artículo 24.1 CE, en su vertiente de respeto al derecho de defensa, el cual se basa a su vez en los principios de audiencia y contradicción”.</w:t>
      </w:r>
    </w:p>
    <w:p w:rsidR="005728DD" w:rsidRDefault="005728DD" w:rsidP="005728DD">
      <w:pPr>
        <w:pStyle w:val="TextoNormal"/>
      </w:pPr>
    </w:p>
    <w:p w:rsidR="005728DD" w:rsidRDefault="005728DD" w:rsidP="005728DD">
      <w:pPr>
        <w:pStyle w:val="TextoNormal"/>
      </w:pPr>
      <w:r>
        <w:t>Al exponer las actuaciones seguidas por el órgano judicial, la entidad recurrente señala que, pese a lo acordado en el decreto de admisión, el emplazamiento fue realizado telemáticamente y rechazado de forma automática por el sistema el 25 de febrero de 2018, lo que pone de manifiesto su inefectividad.</w:t>
      </w:r>
    </w:p>
    <w:p w:rsidR="005728DD" w:rsidRDefault="005728DD" w:rsidP="005728DD">
      <w:pPr>
        <w:pStyle w:val="TextoNormal"/>
      </w:pPr>
    </w:p>
    <w:p w:rsidR="005728DD" w:rsidRDefault="005728DD" w:rsidP="005728DD">
      <w:pPr>
        <w:pStyle w:val="TextoNormal"/>
      </w:pPr>
      <w:r>
        <w:t>Afirma que el órgano judicial no solo infringió en ese momento las prevenciones que para el primer emplazamiento dispone el art. 155 LEC con las partes no personadas, sino que ocurrió lo mismo al ser declarada en rebeldía por diligencia de ordenación de 10 de abril de 2018. Y otro tanto sucedió en el momento de dictar la sentencia, que fue notificada también de forma telemática, con infracción de lo dispuesto en el art. 497 LEC, y que consta igualmente rechazada el 7 de agosto de 2018.</w:t>
      </w:r>
    </w:p>
    <w:p w:rsidR="005728DD" w:rsidRDefault="005728DD" w:rsidP="005728DD">
      <w:pPr>
        <w:pStyle w:val="TextoNormal"/>
      </w:pPr>
    </w:p>
    <w:p w:rsidR="005728DD" w:rsidRDefault="005728DD" w:rsidP="005728DD">
      <w:pPr>
        <w:pStyle w:val="TextoNormal"/>
      </w:pPr>
      <w:r>
        <w:t>En un apartado de la demanda que denomina “Del conocimiento […] de la existencia del procedimiento”, se alega haber tenido noticia del proceso a través de la notificación de la tasación de costas. Esa notificación fue realizada en su domicilio con fecha 29 de mayo de 2019, por medio de correo ordinario con acuse de recibo, lo que podría haberse hecho en los trámites anteriormente indicados. Añade que con el escrito de personación de 6 de junio de 2019 ya presentó una copia de la STC 47/2019, de 8 de abril, y reiteró la indefensión padecida al promover el incidente de nulidad pese a lo cual el órgano judicial no explicitó en la resolución mención alguna a la doctrina invocada.</w:t>
      </w:r>
    </w:p>
    <w:p w:rsidR="005728DD" w:rsidRDefault="005728DD" w:rsidP="005728DD">
      <w:pPr>
        <w:pStyle w:val="TextoNormal"/>
      </w:pPr>
    </w:p>
    <w:p w:rsidR="005728DD" w:rsidRDefault="005728DD" w:rsidP="005728DD">
      <w:pPr>
        <w:pStyle w:val="TextoNormal"/>
      </w:pPr>
      <w:r>
        <w:t>En el apartado de los fundamentos jurídico-materiales aborda las vulneraciones mencionadas al describir los hechos.</w:t>
      </w:r>
    </w:p>
    <w:p w:rsidR="005728DD" w:rsidRDefault="005728DD" w:rsidP="005728DD">
      <w:pPr>
        <w:pStyle w:val="TextoNormal"/>
      </w:pPr>
    </w:p>
    <w:p w:rsidR="005728DD" w:rsidRDefault="005728DD" w:rsidP="005728DD">
      <w:pPr>
        <w:pStyle w:val="TextoNormal"/>
      </w:pPr>
      <w:r>
        <w:lastRenderedPageBreak/>
        <w:t>Finalmente, con cita expresa de la doctrina de este tribunal sobre la relevancia de los actos de comunicación procesal desde la perspectiva del derecho a la tutela judicial efectiva (entre otras, SSTC 126/1991, 17/1992, 334/1993 y 181/1994), solicita que, con estimación del amparo, se declare la vulneración del derecho a la tutela judicial efectiva sin indefensión (art. 24.1 CE) y, en consecuencia, la nulidad del auto de 2 de septiembre de 2019 y de la sentencia de 15 de junio de 2018, así como la retroacción de las actuaciones al momento en que se dictó el decreto de admisión a trámite de la demanda, para su debido emplazamiento a fin de que pueda comparecer y contestarla en debida forma.</w:t>
      </w:r>
    </w:p>
    <w:p w:rsidR="005728DD" w:rsidRDefault="005728DD" w:rsidP="005728DD">
      <w:pPr>
        <w:pStyle w:val="TextoNormal"/>
      </w:pPr>
    </w:p>
    <w:p w:rsidR="005728DD" w:rsidRDefault="005728DD" w:rsidP="005728DD">
      <w:pPr>
        <w:pStyle w:val="TextoNormal"/>
      </w:pPr>
      <w:r w:rsidRPr="005728DD">
        <w:rPr>
          <w:rStyle w:val="NumeroAFNegritaCaracter"/>
        </w:rPr>
        <w:t>4</w:t>
      </w:r>
      <w:r>
        <w:t>. Una vez recibidas las actuaciones, la Sección Cuarta de este tribunal dictó providencia el 29 de junio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y (ii) dirigir atenta comunicación al Juzgado de Primera Instancia e Instrucción número 3 de Ciudad Real, a fin de que remita “certificación o fotocopia adverada de las actuaciones correspondientes al procedimiento ordinario núm. 549-2017”, debiendo “emplazarse […] a quienes hubieran sido parte en el procedimiento” de origen, excepto a la “recurrente en amparo”, para poder comparecer en el presente proceso constitucional en el plazo de diez días.</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29 de julio de 2020, la procuradora de los tribunales doña Eva María Santos Álvarez, actuando en nombre y representación de la entidad Pelayo Mutua de Seguros, bajo la dirección letrada de don Filiberto Carrillo de Albornoz y Marcos, solicitó que se le tuviera por personada en este recurso, entendiéndose con esa representación las sucesivas diligencias y notificaciones que se produjeran.</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1 de septiembre de 2020, la Secretaría de Justicia de la Sala Segunda de este tribunal dictó diligencia de ordenación por la que se acordó, de un lado, tener por personado y parte a la entidad Pelayo Mutua de Seguros a través de la procuradora mencionada, y de otro, dar vista de las actuaciones a las partes personadas y al Ministerio Fiscal, por plazo común de veinte días, a fin de que pudieran presentar las alegaciones que estimasen pertinentes, conforme con lo previsto en el art. 52.1 de la Ley Orgánica del Tribunal Constitucional.</w:t>
      </w:r>
    </w:p>
    <w:p w:rsidR="005728DD" w:rsidRDefault="005728DD" w:rsidP="005728DD">
      <w:pPr>
        <w:pStyle w:val="TextoNormal"/>
      </w:pPr>
    </w:p>
    <w:p w:rsidR="005728DD" w:rsidRDefault="005728DD" w:rsidP="005728DD">
      <w:pPr>
        <w:pStyle w:val="TextoNormal"/>
      </w:pPr>
      <w:r w:rsidRPr="005728DD">
        <w:rPr>
          <w:rStyle w:val="NumeroAFNegritaCaracter"/>
        </w:rPr>
        <w:t>7</w:t>
      </w:r>
      <w:r>
        <w:t>. La fiscal ante el Tribunal Constitucional presentó escrito de alegaciones el 29 de septiembre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decreto de 9 de enero de 2018 por el que se admitió a trámite la demanda y se acordó el emplazamiento del demandado en el procedimiento ordinario 549-2017 del Juzgado de Instrucción y Primera Instancia núm. 3 de Ciudad Real”.</w:t>
      </w:r>
    </w:p>
    <w:p w:rsidR="005728DD" w:rsidRDefault="005728DD" w:rsidP="005728DD">
      <w:pPr>
        <w:pStyle w:val="TextoNormal"/>
      </w:pPr>
    </w:p>
    <w:p w:rsidR="005728DD" w:rsidRDefault="005728DD" w:rsidP="005728DD">
      <w:pPr>
        <w:pStyle w:val="TextoNormal"/>
      </w:pPr>
      <w:r>
        <w:t xml:space="preserve">En su escrito, la fiscal comienza con una reseña de los antecedentes que consideró de interés, para continuar señalando que nos encontramos ante el mismo supuesto que ya fue resuelto en sentido estimatorio mediante las SSTC 40/2020, de 27 de febrero, y 43/2020, de </w:t>
      </w:r>
      <w:r>
        <w:lastRenderedPageBreak/>
        <w:t>9 de marzo, cuyo contenido extracta parcialmente.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el art. 155.2 LEC. Para la fiscal, la actuación del órgano judicial en el presente supuesto ha provocado indefensión a la recurrente en amparo. El juzgado optó por un emplazamiento electrónico que no está previsto en la normativa procesal para ese trámite, “descuidando así el especial deber que incumbe a los jueces de garantizar la efectividad de los actos de comunicación procesal y de velar por la correcta constitución de la relación jurídico procesal, a cuyo fin resultan especialmente relevantes […] el emplazamiento, citación o notificación a quien ha de ser o puede ser parte en el procedimiento”. Al no hacerse así, y continuar realizando “las notificaciones subsiguientes […] de la misma manera y, pese a su resultado negativo y a conocerse […] el domicilio del demandado, se continuó la tramitación procesal a sus espaldas”. Una vez conocida la existencia del procedimiento, la posterior interposición del incidente de nulidad de actuaciones fue desestimada por el órgano judicial, a pesar de la expresa invocación de la doctrina de este tribunal, “perpetuando así en el tiempo la vulneración de la tutela judicial efectiva sin indefensión del hoy demandante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La representante procesal de la entidad recurrente presentó su escrito de alegaciones el 20 de octubre de 2020. En el mismo interesó que se dictara resolución estimatoria del recurso de amparo reiterando los argumentos expuestos en la demanda. Tras hacer un examen detallado de las actuaciones remitidas por el órgano judicial, considera que se confirman los hechos alegados en la demanda. Además, se hace una reseña expresa de la STC 150/2019, de 25 de noviembre, en la que, a su vez, se aplica la doctrina ya expuesta en la STC 47/2019, seguida por las SSTC 102/2019, de 16 de septiembre, (en proceso laboral), 122/2019, de 28 de octubre, (en proceso civil monitorio), y 129/2019, de 11 de noviembre, (en un incidente concursal). En estas resoluciones se confirma la doctrina que defiende en este recurso, en torno a la necesidad de que el primer emplazamiento o citación se efectúe en el domicilio de la persona jurídica que figure como demandada, según impone el artículo 155.1 LEC.</w:t>
      </w:r>
    </w:p>
    <w:p w:rsidR="005728DD" w:rsidRDefault="005728DD" w:rsidP="005728DD">
      <w:pPr>
        <w:pStyle w:val="TextoNormal"/>
      </w:pPr>
    </w:p>
    <w:p w:rsidR="005728DD" w:rsidRDefault="005728DD" w:rsidP="005728DD">
      <w:pPr>
        <w:pStyle w:val="TextoNormal"/>
      </w:pPr>
      <w:r w:rsidRPr="005728DD">
        <w:rPr>
          <w:rStyle w:val="NumeroAFNegritaCaracter"/>
        </w:rPr>
        <w:t>9</w:t>
      </w:r>
      <w:r>
        <w:t>. En fecha 5 de noviembre de 2020 tuvo entrada el escrito de alegaciones de la representación de la entidad Pelayo Mutua de Seguros. En el mismo se defiende la vigencia de la Ley 18/2011 y de la Ley 39/2015, así como de la Ley 42/2015 y de la Ley de enjuiciamiento civil, en las que se establecen los sujetos obligados a la utilización del sistema electrónico en sus relaciones con las administraciones públicas, disposiciones que se desarrollan en el Real Decreto 1065/2015, de 27 de noviembre, para el ámbito de la Administración de Justicia. La parte considera que la recurrente en amparo estaba obligada a la utilización del sistema de notificaciones telemáticas, por lo que si no atendió a las comunicaciones judiciales fue por un incumplimiento consciente y voluntario de sus obligaciones, por lo que no puede alegar indefensión. Considera que la STC 47/2019 no es aplicable a este caso, porque fue dictada en un procedimiento seguido ante la jurisdicción social en la que, dada la celeridad de tramitación, sí se puede dar una clara indefensión, lo que no concurre en el presente supuesto. En consecuencia, se interesa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10</w:t>
      </w:r>
      <w:r>
        <w:t>. Por la Secretaría de Justicia se ha dictado diligencia el 6 de noviembre de 2020, dejando constancia de la presentación de los escritos de alegaciones del Ministerio Fiscal y de la representación procesal de las partes personadas, quedando el asunto concluso y pendiente para deliberación cuando por turno corresponda.</w:t>
      </w:r>
    </w:p>
    <w:p w:rsidR="005728DD" w:rsidRDefault="005728DD" w:rsidP="005728DD">
      <w:pPr>
        <w:pStyle w:val="TextoNormal"/>
      </w:pPr>
    </w:p>
    <w:p w:rsidR="005728DD" w:rsidRDefault="005728DD" w:rsidP="005728DD">
      <w:pPr>
        <w:pStyle w:val="TextoNormal"/>
      </w:pPr>
      <w:r w:rsidRPr="005728DD">
        <w:rPr>
          <w:rStyle w:val="NumeroAFNegritaCaracter"/>
        </w:rPr>
        <w:t>11</w:t>
      </w:r>
      <w:r>
        <w:t>. Mediante providencia de fecha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presente demanda plantea un supuesto de hecho idéntico a los ya resueltos en anteriores precedentes de este tribunal en los que se impugnaba la actuación judicial consistente en la inadmisión de incidentes de nulidad de actuaciones, por considerar realizados conforme a Derecho las notificaciones de la admisión de una demanda y el consiguiente emplazamiento para personación a través del servicio de notificaciones electrónicas y de dirección electrónica habilitada de la Fábrica Nacional de Moneda y Timbre.</w:t>
      </w:r>
    </w:p>
    <w:p w:rsidR="005728DD" w:rsidRDefault="005728DD" w:rsidP="005728DD">
      <w:pPr>
        <w:pStyle w:val="TextoNormal"/>
      </w:pPr>
    </w:p>
    <w:p w:rsidR="005728DD" w:rsidRDefault="005728DD" w:rsidP="005728DD">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5728DD" w:rsidRDefault="005728DD" w:rsidP="005728DD">
      <w:pPr>
        <w:pStyle w:val="TextoNormal"/>
      </w:pPr>
    </w:p>
    <w:p w:rsidR="005728DD" w:rsidRDefault="005728DD" w:rsidP="005728DD">
      <w:pPr>
        <w:pStyle w:val="TextoNormal"/>
      </w:pPr>
      <w:r>
        <w:t>El Ministerio Fiscal, por su parte, interesa la estimación del amparo por el primer motivo. La parte contraria en el procedimiento judicial de origen interesa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Aplicación de la doctrina del Tribunal Constitucional sobre la cuestión planteada</w:t>
      </w:r>
      <w:r>
        <w:t>.</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la STC 40/2020, de 27 de febrero, en la que ha tenido la oportunidad de resolver un recurso de amparo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doctrina expuesta en el citado precedente.</w:t>
      </w:r>
    </w:p>
    <w:p w:rsidR="005728DD" w:rsidRDefault="005728DD" w:rsidP="005728DD">
      <w:pPr>
        <w:pStyle w:val="TextoNormal"/>
      </w:pPr>
    </w:p>
    <w:p w:rsidR="005728DD" w:rsidRDefault="005728DD" w:rsidP="005728DD">
      <w:pPr>
        <w:pStyle w:val="TextoNormal"/>
      </w:pPr>
      <w:r>
        <w:t xml:space="preserve">Así,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LEC (directa o supletoriamente), como primera comunicación con el órgano judicial competente, sin que pueda ser sustituida por una comunicación electrónica”, tal y como ocurre con la efectuada a través </w:t>
      </w:r>
      <w:r>
        <w:lastRenderedPageBreak/>
        <w:t>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[del] derecho fundamental” a la tutela judicial efectiva, como ya ha declarado este tribunal en varios recursos de amparo referidos a procesos laborales, civiles y concursales, que se especifican en el mismo fundamento jurídico 3, precisamente en aplicación de la doctrina de referencia (ver, en tal sentido, las SSTC 102/2019, de 16 de septiembre, FJ 2; 122/2019, de 28 de octubre, FJ 3; 129/2019, de 11 de noviembre, FJ 4; 150/2019, de 25 de noviembre, FJ 3, y 7/2020, de 27 de enero, FJ 2).</w:t>
      </w:r>
    </w:p>
    <w:p w:rsidR="005728DD" w:rsidRDefault="005728DD" w:rsidP="005728DD">
      <w:pPr>
        <w:pStyle w:val="TextoNormal"/>
      </w:pPr>
    </w:p>
    <w:p w:rsidR="005728DD" w:rsidRDefault="005728DD" w:rsidP="005728DD">
      <w:pPr>
        <w:pStyle w:val="TextoNormal"/>
      </w:pPr>
      <w:r>
        <w:t>Finalmente, constata entonces la STC 40/2020, en su fundamento jurídico 4, como ha de hacerse también en el presente supuesto, que las resoluciones judiciales impugnadas vulneraron el derecho a la tutela judicial efectiva de la recurrente. El juzgado optó por un emplazamiento a través del servicio de notificaciones electrónicas y dirección electrónica habilitada de la Fábrica Nacional de Moneda y Timbre, que no está previsto en la normativa procesal para estos casos. Ese sistema de notificación determinó que el procedimiento se siguiera a espaldas de la entidad ahora recurrente, que no pudo ejercer las acciones que tuviera por conveniente. Una vez tuvo conocimiento del proceso, y planteado el correspondiente incidente de nulidad de actuaciones, este fue indebidamente desestimado, lo que lleva consigo la estimación del amparo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El pronunciamiento contenido en la citada STC 40/2020, ha sido ulteriormente reiterado en las SSTC 43/2020, de 9 de marzo; 55/2020, de 15 de junio; 76/2020, de 29 de junio, o 176/2020, de 30 de noviembre, por citar algunas de las más recientes.</w:t>
      </w:r>
    </w:p>
    <w:p w:rsidR="005728DD" w:rsidRDefault="005728DD" w:rsidP="005728DD">
      <w:pPr>
        <w:pStyle w:val="TextoNormal"/>
      </w:pPr>
    </w:p>
    <w:p w:rsidR="005728DD" w:rsidRDefault="005728DD" w:rsidP="005728DD">
      <w:pPr>
        <w:pStyle w:val="TextoNormal"/>
      </w:pPr>
      <w:r>
        <w:t>Procede por ello acordar la nulidad de la resolución impugnada y de todo lo actuado en el procedimiento de origen,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Ferma Móvil, S.L.,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Restablecerla en su derecho y, a tal fin, declarar la nulidad del auto de 2 de septiembre de 2019, dictado por el Juzgado de Primera Instancia e Instrucción núm. 3 de Ciudad Real en el proceso ordinario núm. 549-2017, así como la nulidad de las actuaciones realizadas a partir del decreto de 9 de enero de 2018, por el que se acordó la admisión a trámite de la demanda y la notificación y emplazamiento a la parte demandada, ahora recurrente.</w:t>
      </w:r>
    </w:p>
    <w:p w:rsidR="005728DD" w:rsidRDefault="005728DD" w:rsidP="005728DD">
      <w:pPr>
        <w:pStyle w:val="TextoNormal"/>
      </w:pPr>
    </w:p>
    <w:p w:rsidR="005728DD" w:rsidRDefault="005728DD" w:rsidP="005728DD">
      <w:pPr>
        <w:pStyle w:val="TextoNormal"/>
      </w:pPr>
      <w:r>
        <w:lastRenderedPageBreak/>
        <w:t>3º Retrotraer el procedimiento al momento inmediatamente posterior al dictado del decreto de 9 de enero de 2018, debiendo llevarse a cabo de nuevo por el juzgado el trámite de notificación y emplazamiento a la parte demandada,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29" w:name="SENTENCIA_2021_26"/>
      <w:r>
        <w:lastRenderedPageBreak/>
        <w:t>SENTENCIA 26/2021, de 15 de febrero de 2021</w:t>
      </w:r>
    </w:p>
    <w:bookmarkEnd w:id="29"/>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ECLI:ES:TC:2021:26</w:t>
      </w:r>
    </w:p>
    <w:p w:rsidR="005728DD" w:rsidRDefault="005728DD" w:rsidP="005728DD">
      <w:pPr>
        <w:pStyle w:val="TextoNormalCentrado"/>
      </w:pPr>
    </w:p>
    <w:p w:rsidR="005728DD" w:rsidRDefault="005728DD" w:rsidP="005728DD">
      <w:pPr>
        <w:pStyle w:val="SntesisDescriptiva"/>
      </w:pPr>
      <w:r>
        <w:t>Recurso de amparo 6079-2019.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6079-2019, promovido por Euroinversiones Inmobiliarias Costa Sur, S.L., contra el auto del Juzgado de Primera Instancia e Instrucción núm. 5 de Lorca, de 21 de septiembre de 2018, que inadmitió la demanda de oposición a la ejecución formulada por dicha mercantil, en el procedimiento de ejecución hipotecaria núm. 284-2018 instado por la entidad Banco de Sabadell, S.A., y contra el auto del mismo juzgado, de 10 de septiembre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25 de octubre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y Penrei Inversiones, S.L., en relación con la finca registral 43.403 sita en el término municipal de Lorca, resultando la primera de las demandadas la deudora hipotecaria y, la segunda, titular de un derecho de uso y disfrute sobre dicho inmueble.</w:t>
      </w:r>
    </w:p>
    <w:p w:rsidR="005728DD" w:rsidRDefault="005728DD" w:rsidP="005728DD">
      <w:pPr>
        <w:pStyle w:val="TextoNormal"/>
      </w:pPr>
    </w:p>
    <w:p w:rsidR="005728DD" w:rsidRDefault="005728DD" w:rsidP="005728DD">
      <w:pPr>
        <w:pStyle w:val="TextoNormal"/>
      </w:pPr>
      <w:r>
        <w:t>El Juzgado de Primera Instancia e Instrucción núm. 5 de Lorca, al que correspondió el conocimiento del proceso, dictó auto el 7 de mayo de 2018 por el que acordó el despacho de ejecución (procedimiento de ejecución hipotecaria núm. 284-2018), requiriendo de pago a las ejecutadas y alternativo derecho a oponerse a la ejecución en el plazo de diez días.</w:t>
      </w:r>
    </w:p>
    <w:p w:rsidR="005728DD" w:rsidRDefault="005728DD" w:rsidP="005728DD">
      <w:pPr>
        <w:pStyle w:val="TextoNormal"/>
      </w:pPr>
    </w:p>
    <w:p w:rsidR="005728DD" w:rsidRDefault="005728DD" w:rsidP="005728DD">
      <w:pPr>
        <w:pStyle w:val="TextoNormal"/>
      </w:pPr>
      <w:r>
        <w:t>b) El 9 de mayo de 2018, el servicio de notificaciones electrónicas de la Fábrica Nacional de Moneda y Timbre remitió un correo al buzón de la dirección electrónica habilitada de la entidad aquí recurrente en amparo, avisándole de una notificación del Juzgado de Primera Instancia núm. 5 de Lorca relativa al proceso “EJH/0000284/2018”, notificación a la que podía acceder entre los días 9 de mayo a 24 de junio de 2018.</w:t>
      </w:r>
    </w:p>
    <w:p w:rsidR="005728DD" w:rsidRDefault="005728DD" w:rsidP="005728DD">
      <w:pPr>
        <w:pStyle w:val="TextoNormal"/>
      </w:pPr>
    </w:p>
    <w:p w:rsidR="005728DD" w:rsidRDefault="005728DD" w:rsidP="005728DD">
      <w:pPr>
        <w:pStyle w:val="TextoNormal"/>
      </w:pPr>
      <w:r>
        <w:t>c) Sin que conste que se hubiere accedido al enlace habilitado en el anterior mensaje, el día 23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siguiente, 24 de junio de 2018.</w:t>
      </w:r>
    </w:p>
    <w:p w:rsidR="005728DD" w:rsidRDefault="005728DD" w:rsidP="005728DD">
      <w:pPr>
        <w:pStyle w:val="TextoNormal"/>
      </w:pPr>
    </w:p>
    <w:p w:rsidR="005728DD" w:rsidRDefault="005728DD" w:rsidP="005728DD">
      <w:pPr>
        <w:pStyle w:val="TextoNormal"/>
      </w:pPr>
      <w:r>
        <w:t>d) El día 24 de junio de 2018, por personal de la recurrente se accedió al enlace remitido por la dirección electrónica habilitada y, con ello, a la notificación enviada por el juzgado de primera instancia ejecutor en relación con el procedimiento hipotecario núm. 284-2018. También en esa fecha, la Fábrica Nacional de Moneda y Timbre emitió un certificado electrónico que obra en las actuaciones del proceso (al igual que los anteriores correos), dejando constancia de que la notificación había sido “aceptada”.</w:t>
      </w:r>
    </w:p>
    <w:p w:rsidR="005728DD" w:rsidRDefault="005728DD" w:rsidP="005728DD">
      <w:pPr>
        <w:pStyle w:val="TextoNormal"/>
      </w:pPr>
    </w:p>
    <w:p w:rsidR="005728DD" w:rsidRDefault="005728DD" w:rsidP="005728DD">
      <w:pPr>
        <w:pStyle w:val="TextoNormal"/>
      </w:pPr>
      <w:r>
        <w:t xml:space="preserve">e) El 9 de julio de 2018, el representante procesal de la demandante de amparo formalizó ante el juzgado </w:t>
      </w:r>
      <w:r w:rsidRPr="005728DD">
        <w:rPr>
          <w:i/>
        </w:rPr>
        <w:t>a quo</w:t>
      </w:r>
      <w:r>
        <w:t xml:space="preserve"> el escrito de oposición al despacho de ejecución.</w:t>
      </w:r>
    </w:p>
    <w:p w:rsidR="005728DD" w:rsidRDefault="005728DD" w:rsidP="005728DD">
      <w:pPr>
        <w:pStyle w:val="TextoNormal"/>
      </w:pPr>
    </w:p>
    <w:p w:rsidR="005728DD" w:rsidRDefault="005728DD" w:rsidP="005728DD">
      <w:pPr>
        <w:pStyle w:val="TextoNormal"/>
      </w:pPr>
      <w:r>
        <w:t>f) El Juzgado de Primera Instancia e Instrucción núm. 5 de Lorca dictó auto el 21 de septiembre de 2018, con esta dispositiva:</w:t>
      </w:r>
    </w:p>
    <w:p w:rsidR="005728DD" w:rsidRDefault="005728DD" w:rsidP="005728DD">
      <w:pPr>
        <w:pStyle w:val="TextoNormal"/>
      </w:pPr>
    </w:p>
    <w:p w:rsidR="005728DD" w:rsidRDefault="005728DD" w:rsidP="005728DD">
      <w:pPr>
        <w:pStyle w:val="TextoNormal"/>
      </w:pPr>
      <w:r>
        <w:lastRenderedPageBreak/>
        <w:t>“Acuerdo:</w:t>
      </w:r>
    </w:p>
    <w:p w:rsidR="005728DD" w:rsidRDefault="005728DD" w:rsidP="005728DD">
      <w:pPr>
        <w:pStyle w:val="TextoNormal"/>
      </w:pPr>
    </w:p>
    <w:p w:rsidR="005728DD" w:rsidRDefault="005728DD" w:rsidP="005728DD">
      <w:pPr>
        <w:pStyle w:val="TextoNormal"/>
      </w:pPr>
      <w:r>
        <w:t>1. Inadmitir a trámite la oposición formulada por la parte ejecutada Penrei Inversiones, S.L., Euroinversiones Inmobiliarias Costa Sur, S.L., representada por el procurador don Antonio Serrano Caro por estar presentada fuera de plazo, contra Banco de Sabadell, S.A.</w:t>
      </w:r>
    </w:p>
    <w:p w:rsidR="005728DD" w:rsidRDefault="005728DD" w:rsidP="005728DD">
      <w:pPr>
        <w:pStyle w:val="TextoNormal"/>
      </w:pPr>
    </w:p>
    <w:p w:rsidR="005728DD" w:rsidRDefault="005728DD" w:rsidP="005728DD">
      <w:pPr>
        <w:pStyle w:val="TextoNormal"/>
      </w:pPr>
      <w:r>
        <w:t>2. Mandar seguir con la presente ejecución y en los términos ya acordados”.</w:t>
      </w:r>
    </w:p>
    <w:p w:rsidR="005728DD" w:rsidRDefault="005728DD" w:rsidP="005728DD">
      <w:pPr>
        <w:pStyle w:val="TextoNormal"/>
      </w:pPr>
    </w:p>
    <w:p w:rsidR="005728DD" w:rsidRDefault="005728DD" w:rsidP="005728DD">
      <w:pPr>
        <w:pStyle w:val="TextoNormal"/>
      </w:pPr>
      <w:r>
        <w:t>En cuanto a la inadmisión del escrito de oposición a la ejecución, el auto razonó en su fundamento de Derecho único lo que sigue:</w:t>
      </w:r>
    </w:p>
    <w:p w:rsidR="005728DD" w:rsidRDefault="005728DD" w:rsidP="005728DD">
      <w:pPr>
        <w:pStyle w:val="TextoNormal"/>
      </w:pPr>
    </w:p>
    <w:p w:rsidR="005728DD" w:rsidRDefault="005728DD" w:rsidP="005728DD">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5728DD" w:rsidRDefault="005728DD" w:rsidP="005728DD">
      <w:pPr>
        <w:pStyle w:val="TextoNormal"/>
      </w:pPr>
    </w:p>
    <w:p w:rsidR="005728DD" w:rsidRDefault="005728DD" w:rsidP="005728DD">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728DD" w:rsidRDefault="005728DD" w:rsidP="005728DD">
      <w:pPr>
        <w:pStyle w:val="TextoNormal"/>
      </w:pPr>
    </w:p>
    <w:p w:rsidR="005728DD" w:rsidRDefault="005728DD" w:rsidP="005728DD">
      <w:pPr>
        <w:pStyle w:val="TextoNormal"/>
      </w:pPr>
      <w:r>
        <w:t>Como pie de recurso, se ofrecía “recurso de reposición en el plazo de cinco días ante este tribunal”.</w:t>
      </w:r>
    </w:p>
    <w:p w:rsidR="005728DD" w:rsidRDefault="005728DD" w:rsidP="005728DD">
      <w:pPr>
        <w:pStyle w:val="TextoNormal"/>
      </w:pPr>
    </w:p>
    <w:p w:rsidR="005728DD" w:rsidRDefault="005728DD" w:rsidP="005728DD">
      <w:pPr>
        <w:pStyle w:val="TextoNormal"/>
      </w:pPr>
      <w:r>
        <w:t>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 párrafo tercero,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5728DD" w:rsidRDefault="005728DD" w:rsidP="005728DD">
      <w:pPr>
        <w:pStyle w:val="TextoNormal"/>
      </w:pPr>
    </w:p>
    <w:p w:rsidR="005728DD" w:rsidRDefault="005728DD" w:rsidP="005728DD">
      <w:pPr>
        <w:pStyle w:val="TextoNormal"/>
      </w:pPr>
      <w:r>
        <w:t>h) El juzgado ejecutor dictó auto el 10 de septiembre de 2019 en desestimación del recurso de reposición, con los argumentos que expuso en su razonamiento jurídico segundo:</w:t>
      </w:r>
    </w:p>
    <w:p w:rsidR="005728DD" w:rsidRDefault="005728DD" w:rsidP="005728DD">
      <w:pPr>
        <w:pStyle w:val="TextoNormal"/>
      </w:pPr>
    </w:p>
    <w:p w:rsidR="005728DD" w:rsidRDefault="005728DD" w:rsidP="005728DD">
      <w:pPr>
        <w:pStyle w:val="TextoNormal"/>
      </w:pPr>
      <w:r>
        <w:t>“El recurso debe ser desestimado pues ninguna infracción se comete en la resolución recurrida. En el presente caso, siendo indiscutible la condición de personas jurídicas de las recurrentes (</w:t>
      </w:r>
      <w:r w:rsidRPr="005728DD">
        <w:rPr>
          <w:i/>
        </w:rPr>
        <w:t>sic</w:t>
      </w:r>
      <w:r>
        <w:t>),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005728DD" w:rsidRDefault="005728DD" w:rsidP="005728DD">
      <w:pPr>
        <w:pStyle w:val="TextoNormal"/>
      </w:pPr>
    </w:p>
    <w:p w:rsidR="005728DD" w:rsidRDefault="005728DD" w:rsidP="005728DD">
      <w:pPr>
        <w:pStyle w:val="TextoNormal"/>
      </w:pPr>
      <w:r>
        <w:lastRenderedPageBreak/>
        <w:t>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5728DD" w:rsidRDefault="005728DD" w:rsidP="005728DD">
      <w:pPr>
        <w:pStyle w:val="TextoNormal"/>
      </w:pPr>
    </w:p>
    <w:p w:rsidR="005728DD" w:rsidRDefault="005728DD" w:rsidP="005728DD">
      <w:pPr>
        <w:pStyle w:val="TextoNormal"/>
      </w:pPr>
      <w:r>
        <w:t>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005728DD" w:rsidRDefault="005728DD" w:rsidP="005728DD">
      <w:pPr>
        <w:pStyle w:val="TextoNormal"/>
      </w:pPr>
    </w:p>
    <w:p w:rsidR="005728DD" w:rsidRDefault="005728DD" w:rsidP="005728DD">
      <w:pPr>
        <w:pStyle w:val="TextoNormal"/>
      </w:pPr>
      <w:r>
        <w:t>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005728DD" w:rsidRDefault="005728DD" w:rsidP="005728DD">
      <w:pPr>
        <w:pStyle w:val="TextoNormal"/>
      </w:pPr>
    </w:p>
    <w:p w:rsidR="005728DD" w:rsidRDefault="005728DD" w:rsidP="005728DD">
      <w:pPr>
        <w:pStyle w:val="TextoNormal"/>
      </w:pPr>
      <w:r>
        <w:t>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005728DD" w:rsidRDefault="005728DD" w:rsidP="005728DD">
      <w:pPr>
        <w:pStyle w:val="TextoNormal"/>
      </w:pPr>
    </w:p>
    <w:p w:rsidR="005728DD" w:rsidRDefault="005728DD" w:rsidP="005728DD">
      <w:pPr>
        <w:pStyle w:val="TextoNormal"/>
      </w:pPr>
      <w:r>
        <w:t>A tales efectos resulta clarificador el</w:t>
      </w:r>
      <w:r>
        <w:tab/>
        <w:t>acuerdo no jurisdiccional del Pleno de la Sala Cuarta del Tribunal Supremo de 6 de julio de 2016 (La Ley 72866/2016):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 […]’.</w:t>
      </w:r>
    </w:p>
    <w:p w:rsidR="005728DD" w:rsidRDefault="005728DD" w:rsidP="005728DD">
      <w:pPr>
        <w:pStyle w:val="TextoNormal"/>
      </w:pPr>
    </w:p>
    <w:p w:rsidR="005728DD" w:rsidRDefault="005728DD" w:rsidP="005728DD">
      <w:pPr>
        <w:pStyle w:val="TextoNormal"/>
      </w:pPr>
      <w:r>
        <w:lastRenderedPageBreak/>
        <w:t>En el presente caso, consta que la notificación se puso a disposición de las recurrentes en fecha 09 de mayo de 2018 no accediendo al contenido hasta el día 24 de junio de 2018 (fuera de los tres días que establece la normativa procesal), presentando los escritos de oposición a la ejecución en fecha 09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t>Como pie de recurso, el auto indicaba que dicha resolución “es firme, y contra la misma no cabe recurso alguno”. Tanto este auto como el anterior de 21 de septiembre de 2018, fueron notificados por el juzgado al procurador de la demandante de amparo a través del sistema Lexnet, tal como obra en las actuaciones.</w:t>
      </w:r>
    </w:p>
    <w:p w:rsidR="005728DD" w:rsidRDefault="005728DD" w:rsidP="005728DD">
      <w:pPr>
        <w:pStyle w:val="TextoNormal"/>
      </w:pPr>
    </w:p>
    <w:p w:rsidR="005728DD" w:rsidRDefault="005728DD" w:rsidP="005728DD">
      <w:pPr>
        <w:pStyle w:val="TextoNormal"/>
      </w:pPr>
      <w:r>
        <w:t>Notificado así el auto de 10 de septiembre de 2019, por la indicada mercantil se interpuso el presente recurso.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5728DD" w:rsidRDefault="005728DD" w:rsidP="005728DD">
      <w:pPr>
        <w:pStyle w:val="TextoNormal"/>
      </w:pPr>
    </w:p>
    <w:p w:rsidR="005728DD" w:rsidRDefault="005728DD" w:rsidP="005728DD">
      <w:pPr>
        <w:pStyle w:val="TextoNormal"/>
      </w:pPr>
      <w:r>
        <w:t>Sobre el auto del 10 de septiembre de 2019 que desestimó el recurso de reposición promovido contra la anterior resolución —y del que se han expuesto sus argumentos—, se rechaza por la recurrente que el juzgado haya fundamentado su segunda decisión en la Ley de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005728DD" w:rsidRDefault="005728DD" w:rsidP="005728DD">
      <w:pPr>
        <w:pStyle w:val="TextoNormal"/>
      </w:pPr>
    </w:p>
    <w:p w:rsidR="005728DD" w:rsidRDefault="005728DD" w:rsidP="005728DD">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w:t>
      </w:r>
      <w:r w:rsidRPr="005728DD">
        <w:rPr>
          <w:i/>
        </w:rPr>
        <w:t>a quo</w:t>
      </w:r>
      <w:r>
        <w:t xml:space="preserve"> admita a trámite la oposición al despacho de ejecución formulada.</w:t>
      </w:r>
    </w:p>
    <w:p w:rsidR="005728DD" w:rsidRDefault="005728DD" w:rsidP="005728DD">
      <w:pPr>
        <w:pStyle w:val="TextoNormal"/>
      </w:pPr>
    </w:p>
    <w:p w:rsidR="005728DD" w:rsidRDefault="005728DD" w:rsidP="005728DD">
      <w:pPr>
        <w:pStyle w:val="TextoNormal"/>
      </w:pPr>
      <w:r>
        <w:t>Por medio de un “segundo otrosí digo”, el escrito de demanda argumentó “que la continuación de la ejecución derivadas (</w:t>
      </w:r>
      <w:r w:rsidRPr="005728DD">
        <w:rPr>
          <w:i/>
        </w:rPr>
        <w:t>sic</w:t>
      </w:r>
      <w:r>
        <w:t xml:space="preserve">) de los pronunciamientos judiciales que han sido objeto de impugnación, con la celebración de subasta y la eventual adjudicación a terceros, </w:t>
      </w:r>
      <w:r>
        <w:lastRenderedPageBreak/>
        <w:t>pueden hacer perder al recurso de amparo su finalidad, por lo que solicito la suspensión de la continuación del procedimiento de ejecución hipotecaria 284-2018 seguido ante el Juzgado de Primera Instancia e Instrucción núm. 5 de Lorca, hasta tanto sea resuelto el presente recurso de amparo, poniéndolo en conocimiento del órgano judicial”.</w:t>
      </w:r>
    </w:p>
    <w:p w:rsidR="005728DD" w:rsidRDefault="005728DD" w:rsidP="005728DD">
      <w:pPr>
        <w:pStyle w:val="TextoNormal"/>
      </w:pPr>
    </w:p>
    <w:p w:rsidR="005728DD" w:rsidRDefault="005728DD" w:rsidP="005728DD">
      <w:pPr>
        <w:pStyle w:val="TextoNormal"/>
      </w:pPr>
      <w:r w:rsidRPr="005728DD">
        <w:rPr>
          <w:rStyle w:val="NumeroAFNegritaCaracter"/>
        </w:rPr>
        <w:t>4</w:t>
      </w:r>
      <w:r>
        <w:t>. Una vez recibidas las actuaciones, la Sección Cuarta de este tribunal dictó providencia el 27 de enero de 2020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constatar la existencia en el tribunal del testimonio de las actuaciones de la ejecución hipotecaria 284-2018 por haber sido remitidas por el órgano ejecutor a requerimiento de la secretaría de justicia de este tribunal y emplazar a quienes hubieran sido parte en el proceso de ejecución, excepto a la recurrente en amparo, para poder comparecer en el presente proceso constitucional en del plazo de diez días, a efecto de formular alegaciones; y (iii) formar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26 de febrero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la secretaría de justicia de la Sección Cuarta de 1 de octubre de 2020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7</w:t>
      </w:r>
      <w:r>
        <w:t>. La representante procesal de la entidad recurrente presentó su escrito de alegaciones el 3 de noviembre de 2020, por el que interesó se dictara resolución estimatoria del recurso de amparo, haciendo mención a la STC 40/2020, del Pleno del Tribunal Constitucional, que resuelve el recurso de amparo 5377-2018 interpuesto por la misma recurrente “en un asunto prácticamente igual al del presente recurso de amparo” que refuerza las exigencias para llevar a efecto el primer emplazamiento.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El fiscal ante este Tribunal Constitucional presentó escrito de alegaciones el 16 de noviembre de 2020, por el que interesó de este tribunal que dictara sentencia otorgando el amparo a la recurrente, con reconocimiento de la vulneración de su derecho a la tutela judicial efectiva sin indefensión (art. 24.1 CE), nulidad de “todo lo actuado desde la notificación </w:t>
      </w:r>
      <w:r>
        <w:lastRenderedPageBreak/>
        <w:t>efectuada electrónicamente del auto despachando ejecución acordado por el Juzgado de Primera Instancia e Instrucción núm. 5 de Lorca, en el juicio de ejecución hipotecaria 284-2018”, y retroacción de las actuaciones al momento inmediato anterior a aquella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t>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005728DD" w:rsidRDefault="005728DD" w:rsidP="005728DD">
      <w:pPr>
        <w:pStyle w:val="TextoNormal"/>
      </w:pPr>
    </w:p>
    <w:p w:rsidR="005728DD" w:rsidRDefault="005728DD" w:rsidP="005728DD">
      <w:pPr>
        <w:pStyle w:val="TextoNormal"/>
      </w:pPr>
      <w:r w:rsidRPr="005728DD">
        <w:rPr>
          <w:rStyle w:val="NumeroAFNegritaCaracter"/>
        </w:rPr>
        <w:t>9</w:t>
      </w:r>
      <w:r>
        <w:t>. No consta presentado dentro del plazo del art. 52 LOTC, o con posterioridad, ningún escrito de alegaciones de la entidad Pera Assets Designated Activity Company.</w:t>
      </w:r>
    </w:p>
    <w:p w:rsidR="005728DD" w:rsidRDefault="005728DD" w:rsidP="005728DD">
      <w:pPr>
        <w:pStyle w:val="TextoNormal"/>
      </w:pPr>
    </w:p>
    <w:p w:rsidR="005728DD" w:rsidRDefault="005728DD" w:rsidP="005728DD">
      <w:pPr>
        <w:pStyle w:val="TextoNormal"/>
      </w:pPr>
      <w:r w:rsidRPr="005728DD">
        <w:rPr>
          <w:rStyle w:val="NumeroAFNegritaCaracter"/>
        </w:rPr>
        <w:t>10</w:t>
      </w:r>
      <w:r>
        <w:t>. Respecto de la solicitud de suspensión formulada por la recurrente en amparo mediante otrosí de su escrito de demanda, por auto de la Sala Segunda de este tribunal núm. 30/2020, de 24 de febrero,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728DD" w:rsidRDefault="005728DD" w:rsidP="005728DD">
      <w:pPr>
        <w:pStyle w:val="TextoNormal"/>
      </w:pPr>
    </w:p>
    <w:p w:rsidR="005728DD" w:rsidRDefault="005728DD" w:rsidP="005728DD">
      <w:pPr>
        <w:pStyle w:val="TextoNormal"/>
      </w:pPr>
      <w:r w:rsidRPr="005728DD">
        <w:rPr>
          <w:rStyle w:val="NumeroAFNegritaCaracter"/>
        </w:rPr>
        <w:t>11</w:t>
      </w:r>
      <w:r>
        <w:t>. Por la secretaría de justicia se ha dictado diligencia el 18 de noviembre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005728DD" w:rsidRDefault="005728DD" w:rsidP="005728DD">
      <w:pPr>
        <w:pStyle w:val="TextoNormal"/>
      </w:pPr>
    </w:p>
    <w:p w:rsidR="005728DD" w:rsidRDefault="005728DD" w:rsidP="005728DD">
      <w:pPr>
        <w:pStyle w:val="TextoNormal"/>
      </w:pPr>
      <w:r w:rsidRPr="005728DD">
        <w:rPr>
          <w:rStyle w:val="NumeroAFNegritaCaracter"/>
        </w:rPr>
        <w:t>12</w:t>
      </w:r>
      <w:r>
        <w:t>. Mediante providencia de fecha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5728DD" w:rsidRDefault="005728DD" w:rsidP="005728DD">
      <w:pPr>
        <w:pStyle w:val="TextoNormal"/>
      </w:pPr>
    </w:p>
    <w:p w:rsidR="005728DD" w:rsidRDefault="005728DD" w:rsidP="005728DD">
      <w:pPr>
        <w:pStyle w:val="TextoNormal"/>
      </w:pPr>
      <w:r>
        <w:lastRenderedPageBreak/>
        <w:t>En concreto, en el presente recurso la entidad Euroinversiones Inmobiliarias Costa Sur, S.L., impugna los autos del Juzgado de Primera Instancia núm. 5 de Lorca, de 21 de septiembre de 2018 y 10 de septiembre de 2019, recaídos en el proceso hipotecario núm. 284-2018.</w:t>
      </w:r>
    </w:p>
    <w:p w:rsidR="005728DD" w:rsidRDefault="005728DD" w:rsidP="005728DD">
      <w:pPr>
        <w:pStyle w:val="TextoNormal"/>
      </w:pPr>
    </w:p>
    <w:p w:rsidR="005728DD" w:rsidRDefault="005728DD" w:rsidP="005728DD">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5728DD">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Constata entonces la STC 40/2020, en su fundamento jurídico 4, como ha de hacerse también ahora, que las dos resoluciones judiciales impugnadas vulneraron el derecho a la </w:t>
      </w:r>
      <w:r>
        <w:lastRenderedPageBreak/>
        <w:t xml:space="preserve">tutela judicial efectiva de la recurrente, al no proceder a su emplazamiento personal en el proceso </w:t>
      </w:r>
      <w:r w:rsidRPr="005728DD">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(art.24.1 CE),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21 de septiembre de 2018 y 10 de septiembre de 2019, dictados por el Juzgado de Primera Instancia e Instrucción núm. 5 de Lorca en el proceso de ejecución hipotecaria núm. 284-2018,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0" w:name="SENTENCIA_2021_27"/>
      <w:r>
        <w:lastRenderedPageBreak/>
        <w:t>SENTENCIA 27/2021, de 15 de febrero de 2021</w:t>
      </w:r>
    </w:p>
    <w:bookmarkEnd w:id="30"/>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ECLI:ES:TC:2021:27</w:t>
      </w:r>
    </w:p>
    <w:p w:rsidR="005728DD" w:rsidRDefault="005728DD" w:rsidP="005728DD">
      <w:pPr>
        <w:pStyle w:val="TextoNormalCentrado"/>
      </w:pPr>
    </w:p>
    <w:p w:rsidR="005728DD" w:rsidRDefault="005728DD" w:rsidP="005728DD">
      <w:pPr>
        <w:pStyle w:val="SntesisDescriptiva"/>
      </w:pPr>
      <w:r>
        <w:t>Recurso de amparo 6087-2019.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6087-2019, promovido por Euroinversiones Inmobiliarias Costa Sur, S.L., contra el auto del Juzgado de Primera Instancia e Instrucción núm. 5 de Lorca, de fecha 21 de septiembre de 2018, que inadmitió la demanda de oposición a la ejecución formulada por dicha mercantil, en el procedimiento de ejecución hipotecaria núm. 295-2018; y contra el auto del mismo juzgado, de fecha 10 de septiembre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25 de octubre de 2019,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son los siguientes:</w:t>
      </w:r>
    </w:p>
    <w:p w:rsidR="005728DD" w:rsidRDefault="005728DD" w:rsidP="005728DD">
      <w:pPr>
        <w:pStyle w:val="TextoNormal"/>
      </w:pPr>
    </w:p>
    <w:p w:rsidR="005728DD" w:rsidRDefault="005728DD" w:rsidP="005728DD">
      <w:pPr>
        <w:pStyle w:val="TextoNormal"/>
      </w:pPr>
      <w:r>
        <w:t xml:space="preserve">a) La entidad Banco de Sabadell, S.A., interpuso demanda de ejecución hipotecaria contra la mercantil Euroinversiones Inmobiliarias Costa Sur, S.L., relativa a la finca inscrita con el núm. 43200 en el registro de la propiedad núm. 3 de Lorca. El Juzgado de Primera Instancia e Instrucción núm. 5 de Lorca, al que correspondió el conocimiento de la causa, dictó auto, el día 18 de mayo de 2018, por el que acordó el despacho de ejecución en el procedimiento de ejecución hipotecaria núm. 295-2018;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5728DD">
        <w:rPr>
          <w:i/>
        </w:rPr>
        <w:t>a quo</w:t>
      </w:r>
      <w:r>
        <w:t xml:space="preserve"> en la misma fecha, el cual dispuso la expedición de mandamiento de certificación de la finca al registro de la propiedad competente y el requerimiento de pago a los ejecutados.</w:t>
      </w:r>
    </w:p>
    <w:p w:rsidR="005728DD" w:rsidRDefault="005728DD" w:rsidP="005728DD">
      <w:pPr>
        <w:pStyle w:val="TextoNormal"/>
      </w:pPr>
    </w:p>
    <w:p w:rsidR="005728DD" w:rsidRDefault="005728DD" w:rsidP="005728DD">
      <w:pPr>
        <w:pStyle w:val="TextoNormal"/>
      </w:pPr>
      <w:r>
        <w:t>b) Con fecha 31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5 de Lorca, relativa al proceso: EJH/0000295/2018; notificación a la que podía acceder entre los días 31 de mayo a 16 de julio de 2018, a través de unos enlaces electrónicos que también indicaba. Como información adicional se añadía que “si no procediera a su lectura en el plazo indicado se producirán los efectos correspondientes, según la normativa aplicable”.</w:t>
      </w:r>
    </w:p>
    <w:p w:rsidR="005728DD" w:rsidRDefault="005728DD" w:rsidP="005728DD">
      <w:pPr>
        <w:pStyle w:val="TextoNormal"/>
      </w:pPr>
    </w:p>
    <w:p w:rsidR="005728DD" w:rsidRDefault="005728DD" w:rsidP="005728DD">
      <w:pPr>
        <w:pStyle w:val="TextoNormal"/>
      </w:pPr>
      <w:r>
        <w:t>c) El día anterior al del vencimiento del plazo indicado en la anterior comunicación, por el mismo servicio de notificaciones electrónicas de la Fábrica Nacional de Moneda y Timbre, se vuelve a remitir otros dos correos electrónicos, en los que se avisa que tiene notificaciones y/o comunicaciones sin recoger en la dirección habilitada única de la que es titular, recordándole que el plazo de caducidad es el día 16 de julio de 2018, a las 23:59 horas.</w:t>
      </w:r>
    </w:p>
    <w:p w:rsidR="005728DD" w:rsidRDefault="005728DD" w:rsidP="005728DD">
      <w:pPr>
        <w:pStyle w:val="TextoNormal"/>
      </w:pPr>
    </w:p>
    <w:p w:rsidR="005728DD" w:rsidRDefault="005728DD" w:rsidP="005728DD">
      <w:pPr>
        <w:pStyle w:val="TextoNormal"/>
      </w:pPr>
      <w:r>
        <w:t>d) El día 16 de julio de 2018, por personal de la recurrente se accedió al enlace remitido por la dirección electrónica habilitada y, con ello, a la notificación enviada por el juzgado de primera instancia ejecutante, en relación con el procedimiento hipotecario núm. 295-</w:t>
      </w:r>
      <w:r>
        <w:lastRenderedPageBreak/>
        <w:t>2018. Ese mismo día, la Fábrica Nacional de Moneda y Timbre emitió un certificado electrónico que obra en las actuaciones del proceso (al igual que los anteriores correos) dejando constancia de que la notificación había sido “aceptada” en esa fecha.</w:t>
      </w:r>
    </w:p>
    <w:p w:rsidR="005728DD" w:rsidRDefault="005728DD" w:rsidP="005728DD">
      <w:pPr>
        <w:pStyle w:val="TextoNormal"/>
      </w:pPr>
    </w:p>
    <w:p w:rsidR="005728DD" w:rsidRDefault="005728DD" w:rsidP="005728DD">
      <w:pPr>
        <w:pStyle w:val="TextoNormal"/>
      </w:pPr>
      <w:r>
        <w:t xml:space="preserve">e) El 30 de julio de 2018, el representante procesal de la demandante de amparo formalizó ante el juzgado </w:t>
      </w:r>
      <w:r w:rsidRPr="005728DD">
        <w:rPr>
          <w:i/>
        </w:rPr>
        <w:t>a quo</w:t>
      </w:r>
      <w:r>
        <w:t xml:space="preserve"> el escrito de oposición al despacho de ejecución.</w:t>
      </w:r>
    </w:p>
    <w:p w:rsidR="005728DD" w:rsidRDefault="005728DD" w:rsidP="005728DD">
      <w:pPr>
        <w:pStyle w:val="TextoNormal"/>
      </w:pPr>
    </w:p>
    <w:p w:rsidR="005728DD" w:rsidRDefault="005728DD" w:rsidP="005728DD">
      <w:pPr>
        <w:pStyle w:val="TextoNormal"/>
      </w:pPr>
      <w:r>
        <w:t>f) El Juzgado de Primera Instancia e Instrucción núm. 5 de Lorca dictó auto, en fecha 21 de septiembre de 2018, en cuya virtud inadmitió la oposición planteada. En dicha resolución se expone que “[e]n fecha 31de mayo de 2018 se notificó y requirió en legal forma a través de la sede judicial electrónica a la ejecutada y en fecha 31/7/18 se ha presentado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la oposición presentada por extemporánea.</w:t>
      </w:r>
    </w:p>
    <w:p w:rsidR="005728DD" w:rsidRDefault="005728DD" w:rsidP="005728DD">
      <w:pPr>
        <w:pStyle w:val="TextoNormal"/>
      </w:pPr>
    </w:p>
    <w:p w:rsidR="005728DD" w:rsidRDefault="005728DD" w:rsidP="005728DD">
      <w:pPr>
        <w:pStyle w:val="TextoNormal"/>
      </w:pPr>
      <w:r>
        <w:t>g) Por la demandante de amparo se interpuso recurso de reposición contra el anterior auto, en el que defendió que la notificación y requerimiento de pago tuvo lugar cuando accedió al contenido de la notificación electrónica remitida y no antes, siendo desde entonces que cabía computar el plazo de diez días del art. 556 LEC. Con invocación también de los arts. 135, 152,158, 158, 160, 162 LEC y la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w:t>
      </w:r>
    </w:p>
    <w:p w:rsidR="005728DD" w:rsidRDefault="005728DD" w:rsidP="005728DD">
      <w:pPr>
        <w:pStyle w:val="TextoNormal"/>
      </w:pPr>
    </w:p>
    <w:p w:rsidR="005728DD" w:rsidRDefault="005728DD" w:rsidP="005728DD">
      <w:pPr>
        <w:pStyle w:val="TextoNormal"/>
      </w:pPr>
      <w:r>
        <w:t>h) Por auto de 10 de septiembre de 2019, el recurso de reposición interpuesto fue desestimado, con los argumentos que constan en su razonamiento jurídico segundo:</w:t>
      </w:r>
    </w:p>
    <w:p w:rsidR="005728DD" w:rsidRDefault="005728DD" w:rsidP="005728DD">
      <w:pPr>
        <w:pStyle w:val="TextoNormal"/>
      </w:pPr>
    </w:p>
    <w:p w:rsidR="005728DD" w:rsidRDefault="005728DD" w:rsidP="005728DD">
      <w:pPr>
        <w:pStyle w:val="TextoNormal"/>
      </w:pPr>
      <w:r>
        <w:t>“El recurso debe ser desestimado pues ninguna infracción se comete en la resolución recurrida. En el presente caso, siendo indiscutible la condición de personas jurídicas de los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 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005728DD" w:rsidRDefault="005728DD" w:rsidP="005728DD">
      <w:pPr>
        <w:pStyle w:val="TextoNormal"/>
      </w:pPr>
    </w:p>
    <w:p w:rsidR="005728DD" w:rsidRDefault="005728DD" w:rsidP="005728DD">
      <w:pPr>
        <w:pStyle w:val="TextoNormal"/>
      </w:pPr>
      <w:r>
        <w:t xml:space="preserve">En el presente caso, consta que la notificación se puso a disposición de las recurrentes en fecha 31/5/2018 no accediendo al contenido hasta el día 16/7/2018 (fuera de los tres días que establece la normativa procesal), presentando los escritos de oposición a la ejecución en fecha 31/7/ 2018, claramente fuera del plazo legalmente establecido en el art. 556.1 LEC </w:t>
      </w:r>
      <w:r>
        <w:lastRenderedPageBreak/>
        <w:t>(dentro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005728DD" w:rsidRDefault="005728DD" w:rsidP="005728DD">
      <w:pPr>
        <w:pStyle w:val="TextoNormal"/>
      </w:pPr>
    </w:p>
    <w:p w:rsidR="005728DD" w:rsidRDefault="005728DD" w:rsidP="005728DD">
      <w:pPr>
        <w:pStyle w:val="TextoNormal"/>
      </w:pPr>
      <w:r>
        <w:t>Se reconoce en la demanda que, si bien la recurrente, por ser una persona jurídica, viene obligada a relacionarse con la administración de justicia a través de medios electrónicos, según dispone el art. 273 LEC, sin embargo,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dispone que “cuando las partes no actúen representadas por procurador o se trate del primer emplazamiento o citación al demandado, los actos de comunicación se harán por remisión al domicilio de los litigantes”. Corrobora la expuesto, según indica, la reciente STC 47/2019, de 8 de abril, parte de cuya fundamentación jurídica transcribe y de cuyo contenido deduce “que en modo alguno debe entenderse que, tratándose del emplazamiento, este no se efectúe en el domicilio como impone el artículo 155.1 de la Ley de enjuiciamiento civil, y que todas las normas que se hace mención en el auto recurrido y en los escritos de impugnación del recurso, para nada cuestionan el carácter imperativo de esa obligación, cuando de aquel acto se trata, máxime cuando se constata que el medio telemático no dio resultado como primera llamada al proceso”.</w:t>
      </w:r>
    </w:p>
    <w:p w:rsidR="005728DD" w:rsidRDefault="005728DD" w:rsidP="005728DD">
      <w:pPr>
        <w:pStyle w:val="TextoNormal"/>
      </w:pPr>
    </w:p>
    <w:p w:rsidR="005728DD" w:rsidRDefault="005728DD" w:rsidP="005728DD">
      <w:pPr>
        <w:pStyle w:val="TextoNormal"/>
      </w:pPr>
      <w:r>
        <w:t>Respecto del auto de 10 de septiembre del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previsto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Mediante providencia de 24 de febrero de 2020, la Sección Tercera de este tribunal acordó admitir a trámite el recurso de amparo, “al apreciar que concurre en el mismo una especial trascendencia constitucional (art. 50.1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005728DD" w:rsidRDefault="005728DD" w:rsidP="005728DD">
      <w:pPr>
        <w:pStyle w:val="TextoNormal"/>
      </w:pPr>
    </w:p>
    <w:p w:rsidR="005728DD" w:rsidRDefault="005728DD" w:rsidP="005728DD">
      <w:pPr>
        <w:pStyle w:val="TextoNormal"/>
      </w:pPr>
      <w:r>
        <w:t>Al haberse recibido con anterioridad copia autenticada del procedimiento de ejecución hipotecaria núm. 295-2018, solamente se resolvió, con arreglo a lo dispuesto en el art. 51 de la Ley Orgánica del Tribunal Constitucional (LOTC), dirigir atenta comunicación al Juzgado de Primera Instancia e Instrucción núm. 5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día 17 de abril del 2020,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fecha 11 de noviembre de 2020, la secretaría de la Sección Tercera de este tribunal acordó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30 de noviembre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Costa Sur, S.L., y Penrei Inversiones, S.L.</w:t>
      </w:r>
    </w:p>
    <w:p w:rsidR="005728DD" w:rsidRDefault="005728DD" w:rsidP="005728DD">
      <w:pPr>
        <w:pStyle w:val="TextoNormal"/>
      </w:pPr>
    </w:p>
    <w:p w:rsidR="005728DD" w:rsidRDefault="005728DD" w:rsidP="005728DD">
      <w:pPr>
        <w:pStyle w:val="TextoNormal"/>
      </w:pPr>
      <w:r>
        <w:t xml:space="preserve">Al respecto, el fiscal pone de relieve que algunos de esos recursos ya han sido resueltos por el Tribunal Constitucional, en concreto por las SSTC 40/2020, de 27 de febrero, dictada por el Pleno, y la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w:t>
      </w:r>
      <w:r>
        <w:lastRenderedPageBreak/>
        <w:t>diligencia se realizó a través de la dirección electrónica habilitada de la entonces demandante de amparo, sin tener en cuenta que el art. 155 LEC obliga a que el primer emplazamiento del demandando o ejecutado se realice de manera personal.</w:t>
      </w:r>
    </w:p>
    <w:p w:rsidR="005728DD" w:rsidRDefault="005728DD" w:rsidP="005728DD">
      <w:pPr>
        <w:pStyle w:val="TextoNormal"/>
      </w:pPr>
    </w:p>
    <w:p w:rsidR="005728DD" w:rsidRDefault="005728DD" w:rsidP="005728DD">
      <w:pPr>
        <w:pStyle w:val="TextoNormal"/>
      </w:pPr>
      <w:r>
        <w:t>Seguidamente, el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 y 47/2019 ya indicadas. Finalmente, afirma que la doctrina expuesta resulta íntegramente aplicable, por lo que interesa su estimación, por haberse vulnerado el derecho a la tutela judicial efectiva sin indefensión (art. 24.1 CE).</w:t>
      </w:r>
    </w:p>
    <w:p w:rsidR="005728DD" w:rsidRDefault="005728DD" w:rsidP="005728DD">
      <w:pPr>
        <w:pStyle w:val="TextoNormal"/>
      </w:pPr>
    </w:p>
    <w:p w:rsidR="005728DD" w:rsidRDefault="005728DD" w:rsidP="005728DD">
      <w:pPr>
        <w:pStyle w:val="TextoNormal"/>
      </w:pPr>
      <w:r w:rsidRPr="005728DD">
        <w:rPr>
          <w:rStyle w:val="NumeroAFNegritaCaracter"/>
        </w:rPr>
        <w:t>8</w:t>
      </w:r>
      <w:r>
        <w:t>. En fecha 11 de diciembre de 2020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40/2020, de 27 de febrero, que resuelve el recurso de amparo núm. 5377-2018, promovido por Euroinversiones Inmobiliarias Costa Sur, S.L., en un asunto prácticamente igual al del presente recurso de amparo, en el que el citado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 Por último, tras reproducir parte de la fundamentación jurídica de la referida sentencia solicita que se dicte sentencia estimatoria, en los términos interesados en el escrito de interposición del recurso.</w:t>
      </w:r>
    </w:p>
    <w:p w:rsidR="005728DD" w:rsidRDefault="005728DD" w:rsidP="005728DD">
      <w:pPr>
        <w:pStyle w:val="TextoNormal"/>
      </w:pPr>
    </w:p>
    <w:p w:rsidR="005728DD" w:rsidRDefault="005728DD" w:rsidP="005728DD">
      <w:pPr>
        <w:pStyle w:val="TextoNormal"/>
      </w:pPr>
      <w:r w:rsidRPr="005728DD">
        <w:rPr>
          <w:rStyle w:val="NumeroAFNegritaCaracter"/>
        </w:rPr>
        <w:t>9</w:t>
      </w:r>
      <w:r>
        <w:t>. Por diligencia de ordenación de la secretaría de la Sección Tercera de este Tribunal, de fecha 16 de diciembre de 2020, se acordó dar vista por veinte días a la entidad Pera Assets Designated Activity Company,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10</w:t>
      </w:r>
      <w:r>
        <w:t>. La entidad Pera Assets Designated Activity Company no ha presentado alegaciones.</w:t>
      </w:r>
    </w:p>
    <w:p w:rsidR="005728DD" w:rsidRDefault="005728DD" w:rsidP="005728DD">
      <w:pPr>
        <w:pStyle w:val="TextoNormal"/>
      </w:pPr>
    </w:p>
    <w:p w:rsidR="005728DD" w:rsidRDefault="005728DD" w:rsidP="005728DD">
      <w:pPr>
        <w:pStyle w:val="TextoNormal"/>
      </w:pPr>
      <w:r w:rsidRPr="005728DD">
        <w:rPr>
          <w:rStyle w:val="NumeroAFNegritaCaracter"/>
        </w:rPr>
        <w:t>11</w:t>
      </w:r>
      <w:r>
        <w:t>. Mediante providencia 11 de febrero fecha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e Instrucción núm. 5 de Lorca, de fechas 21 de septiembre de 2018 y 10 de septiembre de 2019, recaídos en el proceso de ejecución hipotecaria núm. 295-2018.</w:t>
      </w:r>
    </w:p>
    <w:p w:rsidR="005728DD" w:rsidRDefault="005728DD" w:rsidP="005728DD">
      <w:pPr>
        <w:pStyle w:val="TextoNormal"/>
      </w:pPr>
    </w:p>
    <w:p w:rsidR="005728DD" w:rsidRDefault="005728DD" w:rsidP="005728DD">
      <w:pPr>
        <w:pStyle w:val="TextoNormal"/>
      </w:pPr>
      <w:r>
        <w:t>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 mientras que la entidad comparecida se opone a la demanda en cuanto al fondo, interesando su desestimación.</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005728DD" w:rsidRDefault="005728DD" w:rsidP="005728DD">
      <w:pPr>
        <w:pStyle w:val="TextoNormal"/>
      </w:pPr>
    </w:p>
    <w:p w:rsidR="005728DD" w:rsidRDefault="005728DD" w:rsidP="005728DD">
      <w:pPr>
        <w:pStyle w:val="TextoNormal"/>
      </w:pPr>
      <w: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w:t>
      </w:r>
      <w:r>
        <w:lastRenderedPageBreak/>
        <w:t>determina la estimación del amparo por vulneración de su derecho a la tutela judicial efectiva sin indefensión,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fechas 21 de septiembre de 2018 y 10 de septiembre de 2019, dictados por el Juzgado de Primera Instancia e Instrucción núm. 5 de Lorca en el proceso de ejecución hipotecaria núm. 295-2018,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a fin de que se practique nuevamente de forma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1" w:name="SENTENCIA_2021_28"/>
      <w:r>
        <w:lastRenderedPageBreak/>
        <w:t>SENTENCIA 28/2021, de 15 de febrero de 2021</w:t>
      </w:r>
    </w:p>
    <w:bookmarkEnd w:id="31"/>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ECLI:ES:TC:2021:28</w:t>
      </w:r>
    </w:p>
    <w:p w:rsidR="005728DD" w:rsidRDefault="005728DD" w:rsidP="005728DD">
      <w:pPr>
        <w:pStyle w:val="TextoNormalCentrado"/>
      </w:pPr>
    </w:p>
    <w:p w:rsidR="005728DD" w:rsidRDefault="005728DD" w:rsidP="005728DD">
      <w:pPr>
        <w:pStyle w:val="SntesisDescriptiva"/>
      </w:pPr>
      <w:r>
        <w:t>Recurso de amparo 6093-2019.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6093-2019, promovido por Penrei Inversiones, S.L., contra el auto del Juzgado de Primera Instancia e Instrucción núm. 5 de Lorca, de 21 de septiembre de 2018, que inadmitió la demanda de oposición a la ejecución formulada por dicha mercantil, en el procedimiento de ejecución hipotecaria núm. 284-2018 instado por la entidad Banco de Sabadell, S.A., y contra el auto del mismo juzgado, de 10 de septiembre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25 de octubre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y Penrei Inversiones, S.L., en relación con la finca registral 43.403 sita en el término municipal de Lorca, resultando la primera de las demandadas la deudora hipotecaria y, la segunda, titular de un derecho de uso y disfrute sobre dicho inmueble.</w:t>
      </w:r>
    </w:p>
    <w:p w:rsidR="005728DD" w:rsidRDefault="005728DD" w:rsidP="005728DD">
      <w:pPr>
        <w:pStyle w:val="TextoNormal"/>
      </w:pPr>
    </w:p>
    <w:p w:rsidR="005728DD" w:rsidRDefault="005728DD" w:rsidP="005728DD">
      <w:pPr>
        <w:pStyle w:val="TextoNormal"/>
      </w:pPr>
      <w:r>
        <w:t>El Juzgado de Primera Instancia e Instrucción núm. 5 de Lorca, al que correspondió el conocimiento del proceso, dictó auto el 7 de mayo de 2018 por el que acordó el despacho de ejecución (procedimiento de ejecución hipotecaria núm. 284-2018), requiriendo de pago a las ejecutadas y alternativo derecho a oponerse a la ejecución en el plazo de diez días.</w:t>
      </w:r>
    </w:p>
    <w:p w:rsidR="005728DD" w:rsidRDefault="005728DD" w:rsidP="005728DD">
      <w:pPr>
        <w:pStyle w:val="TextoNormal"/>
      </w:pPr>
    </w:p>
    <w:p w:rsidR="005728DD" w:rsidRDefault="005728DD" w:rsidP="005728DD">
      <w:pPr>
        <w:pStyle w:val="TextoNormal"/>
      </w:pPr>
      <w:r>
        <w:t>b) El 9 de mayo de 2018, el servicio de notificaciones electrónicas de la Fábrica Nacional de Moneda y Timbre remitió un correo al buzón de la dirección electrónica habilitada de la entidad aquí recurrente en amparo, avisándole de una notificación del Juzgado de Primera Instancia núm. 5 de Lorca relativa al proceso “EJH/0000284/2018”; notificación a la que podía acceder entre los días 9 de mayo a 24 de junio de 2018.</w:t>
      </w:r>
    </w:p>
    <w:p w:rsidR="005728DD" w:rsidRDefault="005728DD" w:rsidP="005728DD">
      <w:pPr>
        <w:pStyle w:val="TextoNormal"/>
      </w:pPr>
    </w:p>
    <w:p w:rsidR="005728DD" w:rsidRDefault="005728DD" w:rsidP="005728DD">
      <w:pPr>
        <w:pStyle w:val="TextoNormal"/>
      </w:pPr>
      <w:r>
        <w:t>c) Sin que conste que se hubiere accedido al enlace habilitado en el anterior mensaje, el día 23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siguiente, 24 de junio de 2018.</w:t>
      </w:r>
    </w:p>
    <w:p w:rsidR="005728DD" w:rsidRDefault="005728DD" w:rsidP="005728DD">
      <w:pPr>
        <w:pStyle w:val="TextoNormal"/>
      </w:pPr>
    </w:p>
    <w:p w:rsidR="005728DD" w:rsidRDefault="005728DD" w:rsidP="005728DD">
      <w:pPr>
        <w:pStyle w:val="TextoNormal"/>
      </w:pPr>
      <w:r>
        <w:t>d) El día 24 de junio de 2018, por personal de la recurrente se accedió al enlace remitido por la dirección electrónica habilitada y, con ello, a la notificación enviada por el juzgado de primera instancia ejecutor en relación con el procedimiento hipotecario núm. 284-2018. También en esa fecha, la Fábrica Nacional de Moneda y Timbre emitió un certificado electrónico que obra en las actuaciones del proceso (al igual que los anteriores correos), dejando constancia de que la notificación había sido “aceptada”.</w:t>
      </w:r>
    </w:p>
    <w:p w:rsidR="005728DD" w:rsidRDefault="005728DD" w:rsidP="005728DD">
      <w:pPr>
        <w:pStyle w:val="TextoNormal"/>
      </w:pPr>
    </w:p>
    <w:p w:rsidR="005728DD" w:rsidRDefault="005728DD" w:rsidP="005728DD">
      <w:pPr>
        <w:pStyle w:val="TextoNormal"/>
      </w:pPr>
      <w:r>
        <w:t xml:space="preserve">e) El 9 de julio de 2018, el representante procesal de la demandante de amparo formalizó ante el juzgado </w:t>
      </w:r>
      <w:r w:rsidRPr="005728DD">
        <w:rPr>
          <w:i/>
        </w:rPr>
        <w:t>a quo</w:t>
      </w:r>
      <w:r>
        <w:t xml:space="preserve"> el escrito de oposición al despacho de ejecución.</w:t>
      </w:r>
    </w:p>
    <w:p w:rsidR="005728DD" w:rsidRDefault="005728DD" w:rsidP="005728DD">
      <w:pPr>
        <w:pStyle w:val="TextoNormal"/>
      </w:pPr>
    </w:p>
    <w:p w:rsidR="005728DD" w:rsidRDefault="005728DD" w:rsidP="005728DD">
      <w:pPr>
        <w:pStyle w:val="TextoNormal"/>
      </w:pPr>
      <w:r>
        <w:t>f) El Juzgado de Primera Instancia e Instrucción núm. 5 de Lorca dictó auto el 21 de septiembre de 2018, con esta dispositiva:</w:t>
      </w:r>
    </w:p>
    <w:p w:rsidR="005728DD" w:rsidRDefault="005728DD" w:rsidP="005728DD">
      <w:pPr>
        <w:pStyle w:val="TextoNormal"/>
      </w:pPr>
    </w:p>
    <w:p w:rsidR="005728DD" w:rsidRDefault="005728DD" w:rsidP="005728DD">
      <w:pPr>
        <w:pStyle w:val="TextoNormal"/>
      </w:pPr>
      <w:r>
        <w:lastRenderedPageBreak/>
        <w:t>“Acuerdo:</w:t>
      </w:r>
    </w:p>
    <w:p w:rsidR="005728DD" w:rsidRDefault="005728DD" w:rsidP="005728DD">
      <w:pPr>
        <w:pStyle w:val="TextoNormal"/>
      </w:pPr>
    </w:p>
    <w:p w:rsidR="005728DD" w:rsidRDefault="005728DD" w:rsidP="005728DD">
      <w:pPr>
        <w:pStyle w:val="TextoNormal"/>
      </w:pPr>
      <w:r>
        <w:t>1. Inadmitir a trámite la oposición formulada por la parte ejecutada Penrei Inversiones, S.L., Euroinversiones Inmobiliarias Costa Sur, S.L., reresentada por el procurador D. Antonio Serrano Caro por estar presentada fuera de plazo, contra Banco Sabadell, S.A.</w:t>
      </w:r>
    </w:p>
    <w:p w:rsidR="005728DD" w:rsidRDefault="005728DD" w:rsidP="005728DD">
      <w:pPr>
        <w:pStyle w:val="TextoNormal"/>
      </w:pPr>
    </w:p>
    <w:p w:rsidR="005728DD" w:rsidRDefault="005728DD" w:rsidP="005728DD">
      <w:pPr>
        <w:pStyle w:val="TextoNormal"/>
      </w:pPr>
      <w:r>
        <w:t>2. Mandar seguir con la presente ejecución y en los términos ya acordados”.</w:t>
      </w:r>
    </w:p>
    <w:p w:rsidR="005728DD" w:rsidRDefault="005728DD" w:rsidP="005728DD">
      <w:pPr>
        <w:pStyle w:val="TextoNormal"/>
      </w:pPr>
    </w:p>
    <w:p w:rsidR="005728DD" w:rsidRDefault="005728DD" w:rsidP="005728DD">
      <w:pPr>
        <w:pStyle w:val="TextoNormal"/>
      </w:pPr>
      <w:r>
        <w:t>En cuanto a la inadmisión del escrito de oposición a la ejecución, el auto razonó en su fundamento de Derecho único lo que sigue:</w:t>
      </w:r>
    </w:p>
    <w:p w:rsidR="005728DD" w:rsidRDefault="005728DD" w:rsidP="005728DD">
      <w:pPr>
        <w:pStyle w:val="TextoNormal"/>
      </w:pPr>
    </w:p>
    <w:p w:rsidR="005728DD" w:rsidRDefault="005728DD" w:rsidP="005728DD">
      <w:pPr>
        <w:pStyle w:val="TextoNormal"/>
      </w:pPr>
      <w:r>
        <w:t>“Único.-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5728DD" w:rsidRDefault="005728DD" w:rsidP="005728DD">
      <w:pPr>
        <w:pStyle w:val="TextoNormal"/>
      </w:pPr>
    </w:p>
    <w:p w:rsidR="005728DD" w:rsidRDefault="005728DD" w:rsidP="005728DD">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728DD" w:rsidRDefault="005728DD" w:rsidP="005728DD">
      <w:pPr>
        <w:pStyle w:val="TextoNormal"/>
      </w:pPr>
    </w:p>
    <w:p w:rsidR="005728DD" w:rsidRDefault="005728DD" w:rsidP="005728DD">
      <w:pPr>
        <w:pStyle w:val="TextoNormal"/>
      </w:pPr>
      <w:r>
        <w:t>Como pie de recurso, se ofrecía “recurso de reposición en el plazo de cinco días ante este tribunal”.</w:t>
      </w:r>
    </w:p>
    <w:p w:rsidR="005728DD" w:rsidRDefault="005728DD" w:rsidP="005728DD">
      <w:pPr>
        <w:pStyle w:val="TextoNormal"/>
      </w:pPr>
    </w:p>
    <w:p w:rsidR="005728DD" w:rsidRDefault="005728DD" w:rsidP="005728DD">
      <w:pPr>
        <w:pStyle w:val="TextoNormal"/>
      </w:pPr>
      <w:r>
        <w:t>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 párrafo tercero,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5728DD" w:rsidRDefault="005728DD" w:rsidP="005728DD">
      <w:pPr>
        <w:pStyle w:val="TextoNormal"/>
      </w:pPr>
    </w:p>
    <w:p w:rsidR="005728DD" w:rsidRDefault="005728DD" w:rsidP="005728DD">
      <w:pPr>
        <w:pStyle w:val="TextoNormal"/>
      </w:pPr>
      <w:r>
        <w:t>h) El juzgado ejecutor dictó auto el 10 de septiembre de 2019 en desestimación del recurso de reposición, con los argumentos que expuso en su razonamiento jurídico segundo:</w:t>
      </w:r>
    </w:p>
    <w:p w:rsidR="005728DD" w:rsidRDefault="005728DD" w:rsidP="005728DD">
      <w:pPr>
        <w:pStyle w:val="TextoNormal"/>
      </w:pPr>
    </w:p>
    <w:p w:rsidR="005728DD" w:rsidRDefault="005728DD" w:rsidP="005728DD">
      <w:pPr>
        <w:pStyle w:val="TextoNormal"/>
      </w:pPr>
      <w:r>
        <w:t>“El recurso debe ser desestimado pues ninguna infracción se comete en la resolución recurrida. En el presente caso, siendo indiscutible la condición de personas jurídicas de las recurrentes [</w:t>
      </w:r>
      <w:r w:rsidRPr="005728DD">
        <w:rPr>
          <w:i/>
        </w:rPr>
        <w:t>sic</w:t>
      </w:r>
      <w:r>
        <w:t>], las mismas desde el 1 de enero de 2017 (disposición transitoria cuarta de la Ley 42/2015, de 5 de octubre, de reforma de la LEC) están obligadas a relacionarse con la Administración de Justicia por medios electrónicos [art. 14. 2 a) de la Ley 39/2015 LPACAP y art. 273.3 a) de la LEC].</w:t>
      </w:r>
    </w:p>
    <w:p w:rsidR="005728DD" w:rsidRDefault="005728DD" w:rsidP="005728DD">
      <w:pPr>
        <w:pStyle w:val="TextoNormal"/>
      </w:pPr>
    </w:p>
    <w:p w:rsidR="005728DD" w:rsidRDefault="005728DD" w:rsidP="005728DD">
      <w:pPr>
        <w:pStyle w:val="TextoNormal"/>
      </w:pPr>
      <w:r>
        <w:lastRenderedPageBreak/>
        <w:t>Interpretan las recurrentes de forma errónea la normativa aplicable. Así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5728DD" w:rsidRDefault="005728DD" w:rsidP="005728DD">
      <w:pPr>
        <w:pStyle w:val="TextoNormal"/>
      </w:pPr>
    </w:p>
    <w:p w:rsidR="005728DD" w:rsidRDefault="005728DD" w:rsidP="005728DD">
      <w:pPr>
        <w:pStyle w:val="TextoNormal"/>
      </w:pPr>
      <w:r>
        <w:t>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005728DD" w:rsidRDefault="005728DD" w:rsidP="005728DD">
      <w:pPr>
        <w:pStyle w:val="TextoNormal"/>
      </w:pPr>
    </w:p>
    <w:p w:rsidR="005728DD" w:rsidRDefault="005728DD" w:rsidP="005728DD">
      <w:pPr>
        <w:pStyle w:val="TextoNormal"/>
      </w:pPr>
      <w:r>
        <w:t>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005728DD" w:rsidRDefault="005728DD" w:rsidP="005728DD">
      <w:pPr>
        <w:pStyle w:val="TextoNormal"/>
      </w:pPr>
    </w:p>
    <w:p w:rsidR="005728DD" w:rsidRDefault="005728DD" w:rsidP="005728DD">
      <w:pPr>
        <w:pStyle w:val="TextoNormal"/>
      </w:pPr>
      <w:r>
        <w:t>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005728DD" w:rsidRDefault="005728DD" w:rsidP="005728DD">
      <w:pPr>
        <w:pStyle w:val="TextoNormal"/>
      </w:pPr>
    </w:p>
    <w:p w:rsidR="005728DD" w:rsidRDefault="005728DD" w:rsidP="005728DD">
      <w:pPr>
        <w:pStyle w:val="TextoNormal"/>
      </w:pPr>
      <w:r>
        <w:t>A tales efectos resulta clarificador el acuerdo no jurisdiccional del Pleno de la Sala Cuarta del Tribunal Supremo de 6 de julio de 2016 […]: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 […]’.</w:t>
      </w:r>
    </w:p>
    <w:p w:rsidR="005728DD" w:rsidRDefault="005728DD" w:rsidP="005728DD">
      <w:pPr>
        <w:pStyle w:val="TextoNormal"/>
      </w:pPr>
    </w:p>
    <w:p w:rsidR="005728DD" w:rsidRDefault="005728DD" w:rsidP="005728DD">
      <w:pPr>
        <w:pStyle w:val="TextoNormal"/>
      </w:pPr>
      <w:r>
        <w:lastRenderedPageBreak/>
        <w:t>En el presente caso, consta que la notificación se puso a disposición de las recurrentes en fecha 09/05/2018 no accediendo al contenido hasta el día 24/06/2018 (fuera de los tres días que establece la normativa procesal), presentando los escritos de oposición a la ejecución en fecha 09/07/2018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t>Como pie de recurso, el auto indicaba que dicha resolución “es firme, y contra la misma no cabe recurso alguno”. Tanto este auto como el anterior de 21 de septiembre de 2018, fueron notificados por el juzgado al procurador de la demandante de amparo a través del sistema Lexnet, tal como obra en las actuaciones.</w:t>
      </w:r>
    </w:p>
    <w:p w:rsidR="005728DD" w:rsidRDefault="005728DD" w:rsidP="005728DD">
      <w:pPr>
        <w:pStyle w:val="TextoNormal"/>
      </w:pPr>
    </w:p>
    <w:p w:rsidR="005728DD" w:rsidRDefault="005728DD" w:rsidP="005728DD">
      <w:pPr>
        <w:pStyle w:val="TextoNormal"/>
      </w:pPr>
      <w:r>
        <w:t>Notificado así el auto de 10 de septiembre de 2019, por la indicada mercantil se interpuso el presente recurso.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5728DD" w:rsidRDefault="005728DD" w:rsidP="005728DD">
      <w:pPr>
        <w:pStyle w:val="TextoNormal"/>
      </w:pPr>
    </w:p>
    <w:p w:rsidR="005728DD" w:rsidRDefault="005728DD" w:rsidP="005728DD">
      <w:pPr>
        <w:pStyle w:val="TextoNormal"/>
      </w:pPr>
      <w:r>
        <w:t>Sobre el auto del 10 de septiembre de 2019 que desestimó el recurso de reposición promovido contra la anterior resolución —y del que se han expuesto sus argumentos—, se rechaza por la recurrente que el juzgado haya fundamentado su segunda decisión en la Ley del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005728DD" w:rsidRDefault="005728DD" w:rsidP="005728DD">
      <w:pPr>
        <w:pStyle w:val="TextoNormal"/>
      </w:pPr>
    </w:p>
    <w:p w:rsidR="005728DD" w:rsidRDefault="005728DD" w:rsidP="005728DD">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w:t>
      </w:r>
      <w:r w:rsidRPr="005728DD">
        <w:rPr>
          <w:i/>
        </w:rPr>
        <w:t>a quo</w:t>
      </w:r>
      <w:r>
        <w:t xml:space="preserve"> admita a trámite la oposición al despacho de ejecución formulada.</w:t>
      </w:r>
    </w:p>
    <w:p w:rsidR="005728DD" w:rsidRDefault="005728DD" w:rsidP="005728DD">
      <w:pPr>
        <w:pStyle w:val="TextoNormal"/>
      </w:pPr>
    </w:p>
    <w:p w:rsidR="005728DD" w:rsidRDefault="005728DD" w:rsidP="005728DD">
      <w:pPr>
        <w:pStyle w:val="TextoNormal"/>
      </w:pPr>
      <w:r>
        <w:t>Por medio de un segundo otrosí digo, el escrito de demanda argumentó “que la continuación de la ejecución derivadas [</w:t>
      </w:r>
      <w:r w:rsidRPr="005728DD">
        <w:rPr>
          <w:i/>
        </w:rPr>
        <w:t>sic</w:t>
      </w:r>
      <w:r>
        <w:t xml:space="preserve">] de los pronunciamientos judiciales que han sido objeto de impugnación, con la celebración de subasta y la eventual adjudicación a terceros, pueden </w:t>
      </w:r>
      <w:r>
        <w:lastRenderedPageBreak/>
        <w:t>hacer perder al recurso de amparo su finalidad, por lo que solicito la suspensión de la continuación del procedimiento de ejecución hipotecaria 284-2018 seguido ante el Juzgado de Primera Instancia e Instrucción núm. 5 de Lorca, hasta tanto sea resuelto el presente recurso de amparo, poniéndolo en conocimiento del órgano judicial”.</w:t>
      </w:r>
    </w:p>
    <w:p w:rsidR="005728DD" w:rsidRDefault="005728DD" w:rsidP="005728DD">
      <w:pPr>
        <w:pStyle w:val="TextoNormal"/>
      </w:pPr>
    </w:p>
    <w:p w:rsidR="005728DD" w:rsidRDefault="005728DD" w:rsidP="005728DD">
      <w:pPr>
        <w:pStyle w:val="TextoNormal"/>
      </w:pPr>
      <w:r w:rsidRPr="005728DD">
        <w:rPr>
          <w:rStyle w:val="NumeroAFNegritaCaracter"/>
        </w:rPr>
        <w:t>4</w:t>
      </w:r>
      <w:r>
        <w:t>. Una vez recibidas las actuaciones, la Sección Cuarta de este tribunal dictó providencia el 15 de junio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(ii) constatar la existencia en el tribunal del testimonio de las actuaciones de la ejecución hipotecaria 284-2018 por haber sido remitidas por el órgano ejecutor en el recurso de amparo conexionado 6079-2019 y emplazar a quienes hubieran sido parte en el proceso de ejecución, excepto a la recurrente en amparo, para poder comparecer en el presente proceso constitucional en del plazo de diez días, a efecto de formular alegaciones; y (iii) formar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22 de julio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la Secretaría de Justicia de la Sección Cuarta de 14 de octubre de 2020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 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7</w:t>
      </w:r>
      <w:r>
        <w:t>. El fiscal ante este Tribunal Constitucional presentó escrito de alegaciones el 30 de noviembre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5 de Lorca, en el juicio de ejecución hipotecaria 284-2018”, y retroacción de las actuaciones al momento inmediato anterior a aquella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w:t>
      </w:r>
      <w:r>
        <w:lastRenderedPageBreak/>
        <w:t>40/2020, del Pleno, de 27 de febrero, y de la STC 43/2020, de 9 de marzo, que algunos ya han sido resueltos por lo que, al concurrir identidad fáctica y jurídica procedería aplicar la doctrina sentada en dichas resoluciones.</w:t>
      </w:r>
    </w:p>
    <w:p w:rsidR="005728DD" w:rsidRDefault="005728DD" w:rsidP="005728DD">
      <w:pPr>
        <w:pStyle w:val="TextoNormal"/>
      </w:pPr>
    </w:p>
    <w:p w:rsidR="005728DD" w:rsidRDefault="005728DD" w:rsidP="005728DD">
      <w:pPr>
        <w:pStyle w:val="TextoNormal"/>
      </w:pPr>
      <w:r w:rsidRPr="005728DD">
        <w:rPr>
          <w:rStyle w:val="NumeroAFNegritaCaracter"/>
        </w:rPr>
        <w:t>8</w:t>
      </w:r>
      <w:r>
        <w:t>. La representante procesal de la entidad recurrente presentó su escrito de alegaciones el 8 de diciembre de 2020, por el que interesó se dictara resolución estimatoria del recurso de amparo, haciendo mención a la STC 40/2020, del Pleno del Tribunal Constitucional, que resuelve el recurso de amparo 5377-2018 promovido por Euroinversiones Inmobiliarias Costa Sur, S.L., “en un asunto prácticamente igual al del presente recurso de amparo” que refuerza las exigencias para llevar a efecto el primer emplazamiento. Añadía, como motivo de singular acogimiento, haber sido demandante en el recurso de amparo 5379-2018 en el que denunciaba idénticas vulneraciones con relación a otro proceso de ejecución hipotecaria sustanciado en el mismo partido judicial y que fue estimado por STC 43/2020, de 9 de marzo, dictada por la Sala Segunda de este tribunal.</w:t>
      </w:r>
    </w:p>
    <w:p w:rsidR="005728DD" w:rsidRDefault="005728DD" w:rsidP="005728DD">
      <w:pPr>
        <w:pStyle w:val="TextoNormal"/>
      </w:pPr>
    </w:p>
    <w:p w:rsidR="005728DD" w:rsidRDefault="005728DD" w:rsidP="005728DD">
      <w:pPr>
        <w:pStyle w:val="TextoNormal"/>
      </w:pPr>
      <w:r w:rsidRPr="005728DD">
        <w:rPr>
          <w:rStyle w:val="NumeroAFNegritaCaracter"/>
        </w:rPr>
        <w:t>9</w:t>
      </w:r>
      <w:r>
        <w:t>. No consta presentado dentro del plazo del art. 52 LOTC, o con posterioridad, ningún escrito de alegaciones de la entidad Pera Assets Designated Activity Company.</w:t>
      </w:r>
    </w:p>
    <w:p w:rsidR="005728DD" w:rsidRDefault="005728DD" w:rsidP="005728DD">
      <w:pPr>
        <w:pStyle w:val="TextoNormal"/>
      </w:pPr>
    </w:p>
    <w:p w:rsidR="005728DD" w:rsidRDefault="005728DD" w:rsidP="005728DD">
      <w:pPr>
        <w:pStyle w:val="TextoNormal"/>
      </w:pPr>
      <w:r w:rsidRPr="005728DD">
        <w:rPr>
          <w:rStyle w:val="NumeroAFNegritaCaracter"/>
        </w:rPr>
        <w:t>10</w:t>
      </w:r>
      <w:r>
        <w:t>. Respecto de la solicitud de suspensión formulada por la recurrente en amparo mediante otrosí de su escrito de demanda, por ATC 80/2020, de 20 de julio, la Sala Segunda de este Tribunal Constitucional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728DD" w:rsidRDefault="005728DD" w:rsidP="005728DD">
      <w:pPr>
        <w:pStyle w:val="TextoNormal"/>
      </w:pPr>
    </w:p>
    <w:p w:rsidR="005728DD" w:rsidRDefault="005728DD" w:rsidP="005728DD">
      <w:pPr>
        <w:pStyle w:val="TextoNormal"/>
      </w:pPr>
      <w:r w:rsidRPr="005728DD">
        <w:rPr>
          <w:rStyle w:val="NumeroAFNegritaCaracter"/>
        </w:rPr>
        <w:t>11</w:t>
      </w:r>
      <w:r>
        <w:t>. Por la Secretaría de Justicia se ha dictado diligencia el 17 de diciembre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005728DD" w:rsidRDefault="005728DD" w:rsidP="005728DD">
      <w:pPr>
        <w:pStyle w:val="TextoNormal"/>
      </w:pPr>
    </w:p>
    <w:p w:rsidR="005728DD" w:rsidRDefault="005728DD" w:rsidP="005728DD">
      <w:pPr>
        <w:pStyle w:val="TextoNormal"/>
      </w:pPr>
      <w:r w:rsidRPr="005728DD">
        <w:rPr>
          <w:rStyle w:val="NumeroAFNegritaCaracter"/>
        </w:rPr>
        <w:t>12</w:t>
      </w:r>
      <w:r>
        <w:t>. Mediante providencia de fecha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w:t>
      </w:r>
      <w:r>
        <w:lastRenderedPageBreak/>
        <w:t>escritos de oposición a la ejecución presentados por aquellas, al considerarlos extemporáneos mediante un cómputo de plazo realizado con arreglo a normas del procedimiento administrativo común.</w:t>
      </w:r>
    </w:p>
    <w:p w:rsidR="005728DD" w:rsidRDefault="005728DD" w:rsidP="005728DD">
      <w:pPr>
        <w:pStyle w:val="TextoNormal"/>
      </w:pPr>
    </w:p>
    <w:p w:rsidR="005728DD" w:rsidRDefault="005728DD" w:rsidP="005728DD">
      <w:pPr>
        <w:pStyle w:val="TextoNormal"/>
      </w:pPr>
      <w:r>
        <w:t>En concreto, en el presente recurso la entidad Penrei Inversiones, S.L., impugna los autos del Juzgado de Primera Instancia núm. 5 de Lorca, de 21 de septiembre de 2018 y 10 de septiembre de 2019, recaídos en el proceso hipotecario núm. 284-2018.</w:t>
      </w:r>
    </w:p>
    <w:p w:rsidR="005728DD" w:rsidRDefault="005728DD" w:rsidP="005728DD">
      <w:pPr>
        <w:pStyle w:val="TextoNormal"/>
      </w:pPr>
    </w:p>
    <w:p w:rsidR="005728DD" w:rsidRDefault="005728DD" w:rsidP="005728DD">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5728DD">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5728DD">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(art.24.1 CE),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Penrei Inversiones,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21 de septiembre de 2018 y 10 de septiembre de 2019, dictados por el Juzgado de Primera Instancia e Instrucción núm. 5 de Lorca en el proceso de ejecución hipotecaria núm. 284-2018,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2" w:name="SENTENCIA_2021_29"/>
      <w:r>
        <w:lastRenderedPageBreak/>
        <w:t>SENTENCIA 29/2021, de 15 de febrero de 2021</w:t>
      </w:r>
    </w:p>
    <w:bookmarkEnd w:id="32"/>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ECLI:ES:TC:2021:29</w:t>
      </w:r>
    </w:p>
    <w:p w:rsidR="005728DD" w:rsidRDefault="005728DD" w:rsidP="005728DD">
      <w:pPr>
        <w:pStyle w:val="TextoNormalCentrado"/>
      </w:pPr>
    </w:p>
    <w:p w:rsidR="005728DD" w:rsidRDefault="005728DD" w:rsidP="005728DD">
      <w:pPr>
        <w:pStyle w:val="SntesisDescriptiva"/>
      </w:pPr>
      <w:r>
        <w:t>Recurso de amparo 7447-2019. Promovido por doña Encarnación Castella Águila respecto de los autos dictados por la Sala de lo Penal de la Audiencia Nacional y un juzgado central de instrucción en el curso de diligencias previas por posible comisión de delitos en relación con la prestación de servicios odontológicos.</w:t>
      </w:r>
    </w:p>
    <w:p w:rsidR="005728DD" w:rsidRDefault="005728DD" w:rsidP="005728DD">
      <w:pPr>
        <w:pStyle w:val="SntesisDescriptiva"/>
      </w:pPr>
    </w:p>
    <w:p w:rsidR="005728DD" w:rsidRDefault="005728DD" w:rsidP="005728DD">
      <w:pPr>
        <w:pStyle w:val="SntesisAnaltica"/>
      </w:pPr>
      <w:r>
        <w:t>Vulneración del derecho a la tutela judicial efectiva en relación con los derechos a la asistencia jurídica gratuita y a la asistencia letrada: resoluciones judiciales que supeditaron la intervención como acusación particular a la utilización de la defensa y representación de alguna de aquellas otras previamente personadas.</w:t>
      </w:r>
    </w:p>
    <w:p w:rsidR="005728DD" w:rsidRDefault="005728DD" w:rsidP="005728DD">
      <w:pPr>
        <w:pStyle w:val="SntesisAnaltica"/>
      </w:pPr>
    </w:p>
    <w:p w:rsidR="005728DD" w:rsidRDefault="005728DD" w:rsidP="005728DD">
      <w:pPr>
        <w:pStyle w:val="Extracto"/>
      </w:pPr>
      <w:r>
        <w:t>1.</w:t>
      </w:r>
      <w:r>
        <w:tab/>
        <w:t>La previsión del art. 113 LECrim -que establece la posibilidad de que se imponga judicialmente la actuación bajo una misma dirección y representación en un procedimiento cuando sean dos o más las personas que ejerciten las acciones derivadas de un delito-, en sí misma considerada, no es contraria a los derechos a la tutela judicial efectiva (art. 24.1 CE) y a la asistencia letrada (art. 24.2 CE), dado que: (i) viene a reforzar un derecho constitucionalmente reconocido —el derecho a un proceso sin dilaciones indebidas—; y (ii) no impide por sí misma el acceso a la jurisdicción penal (STC 154/1997) [FJ 3].</w:t>
      </w:r>
    </w:p>
    <w:p w:rsidR="005728DD" w:rsidRDefault="005728DD" w:rsidP="005728DD">
      <w:pPr>
        <w:pStyle w:val="Extracto"/>
      </w:pPr>
    </w:p>
    <w:p w:rsidR="005728DD" w:rsidRDefault="005728DD" w:rsidP="005728DD">
      <w:pPr>
        <w:pStyle w:val="Extracto"/>
      </w:pPr>
      <w:r>
        <w:t>2.</w:t>
      </w:r>
      <w:r>
        <w:tab/>
        <w:t>En los casos de aplicación del art. 113 LECrim la cuestión esencial desde la perspectiva constitucional consiste en determinar si en el caso controvertido concurre la convergencia de intereses y puntos de vista en la actuación procesal de la parte a la que se impone la carga procesal de litigar conjuntamente (bajo una común dirección letrada y representación) con una parte ya personada, porque si se da tal condición, el sacrificio de su derecho de defensa resulta limitado pero proporcionado a la finalidad a la que tiende la norma: la salvaguarda de las dilaciones indebidas (STC 154/1997) [FJ 3].</w:t>
      </w:r>
    </w:p>
    <w:p w:rsidR="005728DD" w:rsidRDefault="005728DD" w:rsidP="005728DD">
      <w:pPr>
        <w:pStyle w:val="Extracto"/>
      </w:pPr>
    </w:p>
    <w:p w:rsidR="005728DD" w:rsidRDefault="005728DD" w:rsidP="005728DD">
      <w:pPr>
        <w:pStyle w:val="Extracto"/>
      </w:pPr>
      <w:r>
        <w:t>3.</w:t>
      </w:r>
      <w:r>
        <w:tab/>
        <w:t>Hay una estrecha vinculación entre el derecho a la tutela judicial efectiva (art. 24.1 CE) y la gratuidad de la asistencia jurídica para quienes carecen de suficientes recursos económicos (art. 119 CE), ya que este último artículo consagra un derecho constitucional de carácter instrumental respecto del derecho de acceso a la jurisdicción reconocido en el art. 24.1 CE [FJ 4].</w:t>
      </w:r>
    </w:p>
    <w:p w:rsidR="005728DD" w:rsidRDefault="005728DD" w:rsidP="005728DD">
      <w:pPr>
        <w:pStyle w:val="Extracto"/>
      </w:pPr>
    </w:p>
    <w:p w:rsidR="005728DD" w:rsidRDefault="005728DD" w:rsidP="005728DD">
      <w:pPr>
        <w:pStyle w:val="Extracto"/>
      </w:pPr>
      <w:r>
        <w:t>4.</w:t>
      </w:r>
      <w:r>
        <w:tab/>
        <w:t>El derecho a la gratuidad de la asistencia jurídica para quienes carecen de suficientes recursos económicos es un derecho prestacional de configuración legal, cuyo contenido y condiciones de ejercicio deben ser delimitados, en primera instancia, por el legislador atendiendo a los intereses públicos y privados implicados y a las disponibilidades presupuestarias, tomando en consideración que el inciso segundo del art. 119 CE fija un contenido constitucional indisponible para el legislador, que consiste en obligar a reconocer el derecho a la justicia gratuita necesariamente a quienes acrediten insuficiencia de recursos económicos para litigar [FJ 4].</w:t>
      </w:r>
    </w:p>
    <w:p w:rsidR="005728DD" w:rsidRDefault="005728DD" w:rsidP="005728DD">
      <w:pPr>
        <w:pStyle w:val="Extracto"/>
      </w:pPr>
    </w:p>
    <w:p w:rsidR="005728DD" w:rsidRDefault="005728DD" w:rsidP="005728DD">
      <w:pPr>
        <w:pStyle w:val="Extracto"/>
      </w:pPr>
      <w:r>
        <w:t>5.</w:t>
      </w:r>
      <w:r>
        <w:tab/>
        <w:t>Deben sufragarse los gastos procesales, incluidos los honorarios de los abogados y los derechos de los procuradores, cuando su intervención sea preceptiva o necesaria en atención a las características del caso, a cuenta de quienes, si se les exige hacer frente a ellos, se verían en la alternativa de dejar de litigar o poner en peligro las mínimas condiciones de subsistencia personal o familiar (SSTC 10/2008, 128/2014, 124/2015, 101/2019 y 85/2020) [FJ 4].</w:t>
      </w:r>
    </w:p>
    <w:p w:rsidR="005728DD" w:rsidRDefault="005728DD" w:rsidP="005728DD">
      <w:pPr>
        <w:pStyle w:val="Extracto"/>
      </w:pPr>
    </w:p>
    <w:p w:rsidR="005728DD" w:rsidRDefault="005728DD" w:rsidP="005728DD">
      <w:pPr>
        <w:pStyle w:val="Extracto"/>
      </w:pPr>
      <w:r>
        <w:t>6.</w:t>
      </w:r>
      <w:r>
        <w:tab/>
        <w:t>Respecto de la proyección del derecho a la asistencia jurídica gratuita, como manifestación del derecho a la tutela judicial efectiva, las víctimas y perjudicados por delitos, en la medida en que la ley les reconoce el derecho a personarse en el proceso penal para el ejercicio de acciones penales y/o civiles en defensa de sus intereses, son titulares del derecho a la tutela judicial efectiva (art. 24.1 CE), en su vertiente de acceso a la jurisdicción, y de los derechos reconocidos en el art. 24.2 CE [FJ 4].</w:t>
      </w:r>
    </w:p>
    <w:p w:rsidR="005728DD" w:rsidRDefault="005728DD" w:rsidP="005728DD">
      <w:pPr>
        <w:pStyle w:val="Extracto"/>
      </w:pPr>
    </w:p>
    <w:p w:rsidR="005728DD" w:rsidRDefault="005728DD" w:rsidP="005728DD">
      <w:pPr>
        <w:pStyle w:val="Extracto"/>
      </w:pPr>
      <w:r>
        <w:t>7.</w:t>
      </w:r>
      <w:r>
        <w:tab/>
        <w:t>En virtud del contenido constitucional indisponible del art. 119 CE, el litigante habrá de gozar del derecho a la gratuidad de la justicia, incluidos los honorarios profesionales de abogados y procuradores cuando su intervención sea preceptiva o necesaria en atención a las características del caso, si carece de medios suficientes para litigar (SSTC 9/2008 y 136/2016) [FJ 4].</w:t>
      </w:r>
    </w:p>
    <w:p w:rsidR="005728DD" w:rsidRDefault="005728DD" w:rsidP="005728DD">
      <w:pPr>
        <w:pStyle w:val="Extracto"/>
      </w:pPr>
    </w:p>
    <w:p w:rsidR="005728DD" w:rsidRDefault="005728DD" w:rsidP="005728DD">
      <w:pPr>
        <w:pStyle w:val="Extracto"/>
      </w:pPr>
      <w:r>
        <w:t>8.</w:t>
      </w:r>
      <w:r>
        <w:tab/>
        <w:t>El derecho a la defensa y asistencia de letrado es predicable en el ámbito del proceso penal no solo de los acusados, sino también de quienes comparecen como acusadores particulares ejerciendo la acción como perjudicados por el hecho punible [FJ 4].</w:t>
      </w:r>
    </w:p>
    <w:p w:rsidR="005728DD" w:rsidRDefault="005728DD" w:rsidP="005728DD">
      <w:pPr>
        <w:pStyle w:val="Extracto"/>
      </w:pPr>
    </w:p>
    <w:p w:rsidR="005728DD" w:rsidRDefault="005728DD" w:rsidP="005728DD">
      <w:pPr>
        <w:pStyle w:val="Extracto"/>
      </w:pPr>
      <w:r>
        <w:t>9.</w:t>
      </w:r>
      <w:r>
        <w:tab/>
        <w:t>La condición de beneficiaria del derecho a la asistencia jurídica gratuita de la acusación particular por considerarse víctima de un delito implica un peculiar estatus constitucional delineado por la LAJG y por la jurisprudencia constitucional, que afecta a sus relaciones con la administración de justicia,  con los colegios profesionales encargados de la organización de sistema de turno de oficio y con los profesionales designados para su representación y defensa; estatus que configura un entramado de intereses cuya afectación debe ser ponderada en la decisión judicial sobre la aplicación del art. 113 LECrim con el fin de determinar si dicha afectación resulta necesaria y proporcionada a la finalidad a la que tiende dicha previsión legal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7447-2019, promovido por doña Encarnación Castella Águila, contra el auto de la Sección Segunda de la Sala de lo Penal de la Audiencia Nacional núm. 699-2019, de 13 de diciembre de 2019, por el que se desestima el recurso de apelación núm. 721-2019 interpuesto contra el auto del Juzgado Central de Instrucción núm. 5 de 23 de octubre de 2019, pronunciado en las diligencias previas núm. 70-2018. Ha comparecido la entidad Dental Global Management, S.L., representada por el procurador de los tribunales don Felipe Bermejo Valiente.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Doña Encarnación Castella Águila, representada por la procuradora de los tribunales doña Susana Escudero Gómez y bajo la dirección del letrado don Luis María Chamorro Coronado, tras la designación de profesionales del turno de oficio solicitada el 20 de diciembre de 2019, interpuso demanda de amparo contra las resoluciones que se citan en el encabezamiento mediante escrito registrado en este tribunal el 13 de febrero de 2020.</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El Juzgado Central de Instrucción núm. 5, mediante auto de 17 de julio de 2018, incoó las diligencias previas núm. 70-2018 contra diversas personas y entidades por la supuesta comisión de diversos delitos en relación con la prestación de servicios odontológicos.</w:t>
      </w:r>
    </w:p>
    <w:p w:rsidR="005728DD" w:rsidRDefault="005728DD" w:rsidP="005728DD">
      <w:pPr>
        <w:pStyle w:val="TextoNormal"/>
      </w:pPr>
    </w:p>
    <w:p w:rsidR="005728DD" w:rsidRDefault="005728DD" w:rsidP="005728DD">
      <w:pPr>
        <w:pStyle w:val="TextoNormal"/>
      </w:pPr>
      <w:r>
        <w:t>La demandante de amparo, mediante escrito de 25 de julio de 2019, se personó como acusación particular en las actuaciones mediante la representación y bajo la dirección de profesionales del turno de oficio, en tanto que beneficiaria del derecho a la asistencia jurídica gratuita, alegando lesiones y perjuicios derivados de la intervención odontológica a la que estaba siendo sometida, así como la solicitud de un préstamo para la financiación de dichas intervenciones.</w:t>
      </w:r>
    </w:p>
    <w:p w:rsidR="005728DD" w:rsidRDefault="005728DD" w:rsidP="005728DD">
      <w:pPr>
        <w:pStyle w:val="TextoNormal"/>
      </w:pPr>
    </w:p>
    <w:p w:rsidR="005728DD" w:rsidRDefault="005728DD" w:rsidP="005728DD">
      <w:pPr>
        <w:pStyle w:val="TextoNormal"/>
      </w:pPr>
      <w:r>
        <w:t xml:space="preserve">b) Por auto de 23 de octubre de 2019 se acordó admitir la personación de la demandante de amparo sometida a la condición de que actuara con la misma defensa y representación de cualquiera de las primeras seis acusaciones particulares que ya constan personadas en la causa que libremente seleccione, debiendo comunicar al juzgado en el plazo de tres días la opción elegida siendo designada por el órgano judicial en caso contrario, pudiendo ejercerse la defensa de forma colegiada por los distintos letrados. El auto argumenta que el art. 113 de la Ley de enjuiciamiento criminal (LECrim) posibilita que las distintas acusaciones particulares, si fuera posible, lo hagan bajo la misma representación y dirección, para lo que es necesario una convergencia de intereses, que concurre en este caso, ya que los concretos perjuicios tienen idéntica naturaleza, como también el origen y la legitimación de su condición de perjudicados, siendo también común la identidad de las personas contras las que se pretende ejercer la acción penal y similares los hechos y calificación jurídica. Por otra parte, se destaca la necesidad de preservar el derecho a un proceso sin dilaciones indebidas, que </w:t>
      </w:r>
      <w:r>
        <w:lastRenderedPageBreak/>
        <w:t>se vería perjudicado en caso de admitirse todas las personaciones solicitadas con miles de partes procesales que harían inviable el procedimiento.</w:t>
      </w:r>
    </w:p>
    <w:p w:rsidR="005728DD" w:rsidRDefault="005728DD" w:rsidP="005728DD">
      <w:pPr>
        <w:pStyle w:val="TextoNormal"/>
      </w:pPr>
    </w:p>
    <w:p w:rsidR="005728DD" w:rsidRDefault="005728DD" w:rsidP="005728DD">
      <w:pPr>
        <w:pStyle w:val="TextoNormal"/>
      </w:pPr>
      <w:r>
        <w:t>c) La demandante de amparo, mediante escrito de 28 de octubre de 2019, interpuso recurso de apelación, que fue tramitado con el núm. 721-2019 por la Sección Segunda de la Sala de lo Penal de la Audiencia Nacional, alegando la vulneración del derecho a la tutela judicial efectiva (art. 24.1 CE), en relación con el derecho a la asistencia jurídica gratuita (art. 119 CE), y el derecho a la asistencia letrada (art. 24.2 CE), ya que la decisión judicial impugnada no le permitía hacer efectivo el ejercicio de la acusación particular mediante los profesionales del turno de oficio que le habían sido asignados como beneficiara del derecho a la asistencia jurídica gratuita, obligándola a actuar en el procedimiento por medio de profesionales libremente designados por terceros.</w:t>
      </w:r>
    </w:p>
    <w:p w:rsidR="005728DD" w:rsidRDefault="005728DD" w:rsidP="005728DD">
      <w:pPr>
        <w:pStyle w:val="TextoNormal"/>
      </w:pPr>
    </w:p>
    <w:p w:rsidR="005728DD" w:rsidRDefault="005728DD" w:rsidP="005728DD">
      <w:pPr>
        <w:pStyle w:val="TextoNormal"/>
      </w:pPr>
      <w:r>
        <w:t>d) Por auto núm. 699-2019, de 13 de diciembre, se desestima el recurso de apelación con fundamento en que (i) no cabe apreciar una restricción indebida del derecho de defensa letrada por no permitirle elegir a su propio letrado, o, como es el caso, respetar la designación de uno de oficio, obligándole a personarse bajo otra dirección letrada ya personada, pues en la confrontación entre el derecho a no sufrir dilaciones indebidas y el derecho de defensa no cabe permitir la personación de todos y cada uno de los perjudicados, que se calcula en varias decenas de miles, que abocaría a la imposibilidad de manejo procesal de la causa; y (ii) “se garantiza la defensa colegiada por lo que no se les obliga a cambiar de dirección letrada, debiendo ser su letrado el que se coordine con los ya personados” (razonamiento jurídico segundo).</w:t>
      </w:r>
    </w:p>
    <w:p w:rsidR="005728DD" w:rsidRDefault="005728DD" w:rsidP="005728DD">
      <w:pPr>
        <w:pStyle w:val="TextoNormal"/>
      </w:pPr>
    </w:p>
    <w:p w:rsidR="005728DD" w:rsidRDefault="005728DD" w:rsidP="005728DD">
      <w:pPr>
        <w:pStyle w:val="TextoNormal"/>
      </w:pPr>
      <w:r>
        <w:t>Por su parte, en relación con la invocación del derecho a la asistencia justicia gratuita, se afirma que “el art. 31 de la Ley de asistencia jurídica gratuita disciplina las obligaciones de los profesionales, abogados y procuradores, designados de oficio, reseñando que desempeñarán sus funciones de asistencia y representación de forma real y efectiva ‘[…] hasta la terminación del proceso en la instancia judicial de que se trate y, en su caso, la ejecución de las sentencias, si las actuaciones procesales en estas se produjeran dentro de los dos años siguientes a la resolución judicial dictada en la instancia […]’, sin embargo dicho precepto no es un compartimento estanco sino una norma de necesaria exégesis integradora con el resto, armonizándolas, y respetando el orden procesal, por lo que, en definitiva, no resulta incompatible con los modulaciones dispuestas en aras de la economía procesal y agilidad en la tramitación que evite dilaciones indebidas, ello sin perjuicio de las medidas a adoptar por el instructor respecto a las personaciones con beneficio de justicia gratuita, sobre lo que el auto impugnado no se pronuncia. En todo caso, los profesionales del turno de oficio que le han sido designados pueden seguir llevando la defensa del recurrente de forma conjunta y coordinada con la defensa y representación bajo la que se agrupe, por lo que queda garantizado su derecho de estar asistido en cuanto a las defensas de sus propios intereses y perjuicios” (razonamiento jurídico tercero).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solicita que se estime el recurso de amparo por vulneración del derecho a la tutela judicial efectiva (art. 24.1 CE), desde la perspectiva del derecho a la asistencia jurídica gratuita; y del derecho a la asistencia letrada (art. 24.2 CE), declarándose la nulidad de las resoluciones judiciales impugnadas con retroacción de actuaciones para que se pronuncie una nueva resolución respetuosa con los derechos fundamentales vulnerados.</w:t>
      </w:r>
    </w:p>
    <w:p w:rsidR="005728DD" w:rsidRDefault="005728DD" w:rsidP="005728DD">
      <w:pPr>
        <w:pStyle w:val="TextoNormal"/>
      </w:pPr>
    </w:p>
    <w:p w:rsidR="005728DD" w:rsidRDefault="005728DD" w:rsidP="005728DD">
      <w:pPr>
        <w:pStyle w:val="TextoNormal"/>
      </w:pPr>
      <w:r>
        <w:t>La invocación del art. 24.1 CE, desde la perspectiva del derecho a la asistencia jurídica gratuita, la fundamenta en que se acuerda imponer a la demandante de amparo, beneficiaria del derecho a la asistencia jurídica gratuita, la carga procesal de litigar conjuntamente con una de las seis primeras acusaciones personadas en el procedimiento, concurriendo la circunstancia que tales representaciones procesales lo son de afectados que no gozan del referido beneficio. Ello determina que los argumentos relativos a la preservación del derecho a mostrarse parte en la causa, a evitar dilaciones indebidas y un macroproceso cuando los intereses de los afectados son sustancialmente iguales decaen en la medida en que, aun teniendo acogida legal, impide a quien goza del derecho a litigar de manera gratuita a ejercitarlo, privándolo irracional e injustificadamente del mismo, con afectación de su derecho a la tutela judicial efectiva. En ese sentido, se afirma que, aun siendo atendibles las razones judiciales para acordar la decisión impugnada de preservar la finalidad del proceso, no es necesario afectar el derecho de la víctima a litigar de forma gratuita, “pues caben otras alternativas a la hora de designar a los profesionales adscritos al turno de oficio designados —como es el caso— que ni siquiera se han planteado”.</w:t>
      </w:r>
    </w:p>
    <w:p w:rsidR="005728DD" w:rsidRDefault="005728DD" w:rsidP="005728DD">
      <w:pPr>
        <w:pStyle w:val="TextoNormal"/>
      </w:pPr>
    </w:p>
    <w:p w:rsidR="005728DD" w:rsidRDefault="005728DD" w:rsidP="005728DD">
      <w:pPr>
        <w:pStyle w:val="TextoNormal"/>
      </w:pPr>
      <w:r>
        <w:t xml:space="preserve">La invocación del derecho a la asistencia letrada (art. 24.2 CE) la fundamenta en que las decisiones judiciales han privado de la posibilidad de que el abogado designado a la recurrente por el turno de oficio pueda desarrollar la labor de defensa de los intereses de la demandante de amparo de forma efectiva, lo que también supone una violación del art. 6  del Convenio europeo de derechos humanos, en los términos establecidos en la STEDH caso </w:t>
      </w:r>
      <w:r w:rsidRPr="005728DD">
        <w:rPr>
          <w:i/>
        </w:rPr>
        <w:t>Czekalla c. Portugal</w:t>
      </w:r>
      <w:r>
        <w:t>, de 10 de octubre de 2002.</w:t>
      </w:r>
    </w:p>
    <w:p w:rsidR="005728DD" w:rsidRDefault="005728DD" w:rsidP="005728DD">
      <w:pPr>
        <w:pStyle w:val="TextoNormal"/>
      </w:pPr>
    </w:p>
    <w:p w:rsidR="005728DD" w:rsidRDefault="005728DD" w:rsidP="005728DD">
      <w:pPr>
        <w:pStyle w:val="TextoNormal"/>
      </w:pPr>
      <w:r>
        <w:t>La demandante afirma que el recurso de amparo tiene especial transcendencia constitucional, conforme a lo establecido en la STC 155/2009, de 25 de junio, ya que plantea una cuestión jurídica de relevante y general repercusión social y económica por la cantidad tan ingente de afectados por los hechos que están siendo objeto de investigación.</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24 de septiembre de 2020, acordó la admisión a trámite del recurso de amparo, apreciando que concurre una especial trascendencia constitucional porque el recurso plantea un problema o afecta a una faceta de un derecho fundamental sobre el que no hay doctrina constitucional [STC 155/2009, FJ 2, a)] y, en aplicación de lo dispuesto por el art. 51 de la Ley Orgánica del Tribunal Constitucional, requerir atentamente de los órganos judiciales la remisión de testimonio o copia adverada de las actuaciones y el emplazamiento de quienes hubieran sido parte en el procedimiento para que pudiesen comparecer en el plazo de diez días en el citado proceso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2 de octubre de 2020, acordó tener por personada a la entidad Dental Global Management, S.L., representada por el procurador de los tribunales don Felipe Bermejo Valiente, y dar vista de las actuaciones al Ministerio Fiscal y a las partes personadas por un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el 10 de noviembre de 2020, formuló alegaciones interesando la denegación del recurso de amparo.</w:t>
      </w:r>
    </w:p>
    <w:p w:rsidR="005728DD" w:rsidRDefault="005728DD" w:rsidP="005728DD">
      <w:pPr>
        <w:pStyle w:val="TextoNormal"/>
      </w:pPr>
    </w:p>
    <w:p w:rsidR="005728DD" w:rsidRDefault="005728DD" w:rsidP="005728DD">
      <w:pPr>
        <w:pStyle w:val="TextoNormal"/>
      </w:pPr>
      <w:r>
        <w:t>El Ministerio Fiscal afirma que la cuestión esencial que plantea este recurso es la relativa a la concreta aplicación que hacen los órganos judiciales del art. 113 LECrim condicionando la personación de la demandante de amparo a que litigue bajo la dirección y representación de alguna de las seis primeras partes personadas en la causa sin tomar en consideración que la demandante de amparo era beneficiaria del derecho a la asistencia jurídica gratuita pero no cualquiera de esas seis partes personadas. A esos efectos, considera que el auto de apelación hace explícita una ponderación de ese derecho en que, si bien no razona sobre la gratuidad para la demandante de amparo de esa defensa colegiada con una acusación ejercida con un abogado de libre designación “el fiscal estima que, como la gratuidad de su defensa y representación la tiene reconocida por la resolución que le concede el beneficio, siendo que además va a seguir bajo la defensa y la representación de oficio, no hay motivo alguno para pensar que la defensa colegiada y la consiguiente coordinación entre los letrados, le vaya a suponer una quiebra de su derecho a tener una asistencia letrada y que esta sea gratuita, es por lo que, aun estimando que hubiera sido mejor que la fundamentación del auto hubiera incidido en ese aspecto, para dejar claro a todas las partes que la unión de la demandante de amparo a una parte que no es beneficiaria de la asistencia jurídica gratuita no puede suponerle a la demandante de amparo ningún perjuicio económico, no se estima que esa omisión le haya generado indefensión”.</w:t>
      </w:r>
    </w:p>
    <w:p w:rsidR="005728DD" w:rsidRDefault="005728DD" w:rsidP="005728DD">
      <w:pPr>
        <w:pStyle w:val="TextoNormal"/>
      </w:pPr>
    </w:p>
    <w:p w:rsidR="005728DD" w:rsidRDefault="005728DD" w:rsidP="005728DD">
      <w:pPr>
        <w:pStyle w:val="TextoNormal"/>
      </w:pPr>
      <w:r>
        <w:t>El fiscal, en relación con el derecho a la asistencia letrada (art. 24.2 CE), afirma que no se ha producido una vulneración de este derecho, ya que a la demandante de amparo se le nombró un abogado del turno de oficio y las resoluciones recurridas no le privan de dicho abogado, pudiendo defender sus intereses a través de este en coordinación con aquel que seleccione entre los seis primeros personados.</w:t>
      </w:r>
    </w:p>
    <w:p w:rsidR="005728DD" w:rsidRDefault="005728DD" w:rsidP="005728DD">
      <w:pPr>
        <w:pStyle w:val="TextoNormal"/>
      </w:pPr>
    </w:p>
    <w:p w:rsidR="005728DD" w:rsidRDefault="005728DD" w:rsidP="005728DD">
      <w:pPr>
        <w:pStyle w:val="TextoNormal"/>
      </w:pPr>
      <w:r w:rsidRPr="005728DD">
        <w:rPr>
          <w:rStyle w:val="NumeroAFNegritaCaracter"/>
        </w:rPr>
        <w:t>7</w:t>
      </w:r>
      <w:r>
        <w:t>. La demandante de amparo, por escrito registrado el 6 de noviembre de 2020, formuló alegaciones, dando por reproducidas las expuestas en su escrito de demanda e insistiendo en que en otros procedimientos de gran complejidad por el número de partes se ha dado de manera conjunta por los órganos judiciales y el Colegio de Abogados de Madrid una solución satisfactoria para el ejercicio de los derechos fundamentales concernidos.</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El objeto del recurso</w:t>
      </w:r>
      <w:r>
        <w:t xml:space="preserve">.- El objeto de este recurso es determinar si las resoluciones judiciales impugnadas han vulnerado los derechos de la demandante de amparo a la tutela judicial efectiva (art. 24.1 CE) —en su dimensión del derecho a la asistencia jurídica gratuita— y a la asistencia letrada (art. 24.2 CE). Aquella aduce que en las diligencias previas incoadas con motivo de unos hechos de los que había sido víctima, el juez condicionó su personación como acusación particular a que actuara sirviéndose de la defensa y representación de cualquiera de las primeras seis acusaciones particulares personadas, las cuales tenían representantes de libre elección, añadiendo que se podía ejercer la defensa de forma colegiada por los distintos letrados. La recurrente —sin controvertir en sí la potestad de ordenar la acumulación de las representaciones y de la dirección letrada establecida por el </w:t>
      </w:r>
      <w:r>
        <w:lastRenderedPageBreak/>
        <w:t>art. 113 LECrim— impugna la decisión judicial adoptada en el caso alegando tener una posición que no es idéntica a la de las partes con representantes de libre elección, puesto que tenía reconocido el derecho a la asistencia jurídica gratuita y se le habían designado profesionales del turno de oficio.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 especial transcendencia constitucional de la demanda</w:t>
      </w:r>
      <w:r>
        <w:t>.- La presente demanda de amparo tiene especial transcendencia constitucional —y por ello fue admitida en su día— porque plantea una faceta de los derechos fundamentales a la tutela judicial efectiva —desde la perspectiva del derecho a la asistencia jurídica gratuita— y a la asistencia letrada sobre la que todavía no se ha pronunciado la jurisprudencia constitucional [STC 155/2009, FJ 2 a)].</w:t>
      </w:r>
    </w:p>
    <w:p w:rsidR="005728DD" w:rsidRDefault="005728DD" w:rsidP="005728DD">
      <w:pPr>
        <w:pStyle w:val="TextoNormal"/>
      </w:pPr>
    </w:p>
    <w:p w:rsidR="005728DD" w:rsidRDefault="005728DD" w:rsidP="005728DD">
      <w:pPr>
        <w:pStyle w:val="TextoNormal"/>
      </w:pPr>
      <w:r>
        <w:t>El Tribunal ha abordado en diversas decisiones la interpretación y la aplicación del art. 113 LECrim y la cuestión de en qué medida la obligación impuesta de actuar conjuntamente varios perjudicados puede afectar a los derechos a la tutela judicial efectiva, desde la perspectiva del acceso a la jurisdicción, y a la asistencia letrada, desde la perspectiva de la libre elección de abogado (así, SSTC 30/1981, de 24 de junio; 193/1991, de 14 de octubre; y 154/1997, de 29 de septiembre). También han sido varios los pronunciamientos del Tribunal sobre el alcance del derecho a la asistencia jurídica gratuita de quienes pretenden ejercer la acusación particular como dimensión del derecho a la tutela judicial efectiva (así, SSTC 9/2008, de 21 de enero; y 136/2016, de 18 de julio). La novedad que plantea este recurso radica en que la acumulación prevista en el art. 113 LECrim se plantea en un caso en el que la parte acusadora es beneficiaria del derecho a la asistencia jurídica gratuita y se la obliga a actuar de manera conjunta con otras partes que no lo son.</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La jurisprudencia constitucional sobre el art. 113 LECrim</w:t>
      </w:r>
      <w:r>
        <w:t>.- El Tribunal se ha pronunciado en diversas ocasiones sobre la relevancia constitucional de la previsión del art. 113 LECrim, que establece la posibilidad de que se imponga judicialmente la actuación bajo una misma dirección y representación en un procedimiento cuando sean dos o más las personas que ejerciten las acciones derivadas de un delito. Los tres supuestos en que se ha analizado la interpretación y aplicación de dicho precepto (SSTC 30/1981, de 24 de junio; 193/1991, de 14 de octubre; y 154/1997, de 29 de septiembre) se refieren a casos en que se había impuesto judicialmente la actuación litisconsorcial de todas las acusaciones particulares (STC 30/1981) o de acusaciones populares con acusaciones particulares (SSTC 193/1991 y 154/1997). En los tres casos se estudia la afectación que puede tener la obligación de actuar conjuntamente en los derechos a la tutela judicial efectiva (art. 24.1 CE), desde la perspectiva del derecho de acceso a la jurisdicción, y a la asistencia letrada (art. 24.2 CE).</w:t>
      </w:r>
    </w:p>
    <w:p w:rsidR="005728DD" w:rsidRDefault="005728DD" w:rsidP="005728DD">
      <w:pPr>
        <w:pStyle w:val="TextoNormal"/>
      </w:pPr>
    </w:p>
    <w:p w:rsidR="005728DD" w:rsidRDefault="005728DD" w:rsidP="005728DD">
      <w:pPr>
        <w:pStyle w:val="TextoNormal"/>
      </w:pPr>
      <w:r>
        <w:t xml:space="preserve">El Tribunal tiene declarado que la previsión del art. 113 LECrim, en sí misma considerada, no es contraria a los derechos a la tutela judicial efectiva (art. 24.1 CE) y a la asistencia letrada (art. 24.2 CE), ya que (i) viene a reforzar un derecho constitucionalmente reconocido —el derecho a un proceso sin dilaciones indebidas— evitando una dilación injustificada del procedimiento por la reiteración de actuaciones con idéntica finalidad y significado, en los casos en que dos o más personas utilicen las acciones derivadas de un delito en el mismo proceso; y (ii) no impide por sí misma el acceso a la jurisdicción penal, sino que se limita a condicionar o regular dicho acceso cuando se da el supuesto previsto en él —concurrencia de varias personas que utilicen las acciones derivadas de un delito o falta en un mismo </w:t>
      </w:r>
      <w:r>
        <w:lastRenderedPageBreak/>
        <w:t>proceso penal— imponiendo su actuación bajo una misma dirección técnica y representación, si esto fuere posible a juicio del tribunal (así, STC 154/1997, de 29 de septiembre, FJ 3).</w:t>
      </w:r>
    </w:p>
    <w:p w:rsidR="005728DD" w:rsidRDefault="005728DD" w:rsidP="005728DD">
      <w:pPr>
        <w:pStyle w:val="TextoNormal"/>
      </w:pPr>
    </w:p>
    <w:p w:rsidR="005728DD" w:rsidRDefault="005728DD" w:rsidP="005728DD">
      <w:pPr>
        <w:pStyle w:val="TextoNormal"/>
      </w:pPr>
      <w:r>
        <w:t>En todo caso, también la jurisprudencia constitucional ha hecho hincapié en que la facultad judicial contenida en el art. 113 LECrim no es discrecional, sino que es preciso que el órgano judicial, atendiendo a la finalidad que justifica constitucionalmente esta previsión —la protección del derecho a no sufrir retrasos indebidos en la tramitación y resolución de la causa—, pondere en la interpretación y aplicación de este precepto de manera explícita y razonada el respeto a los derechos procesales de la parte o partes a las que se obliga a litigar bajo una defensa y representación conjunta, toda vez que se trata de un supuesto en que resulta preciso conciliar dos principios constitucionales en conflicto; el derecho a la defensa y asistencia de letrado y el derecho a un proceso sin dilaciones indebidas. De este modo, el Tribunal concluye que la constitucionalidad de la aplicación del art. 113 LECrim, por la afectación que supone de los derechos a la tutela judicial efectiva (art. 24.1 CE) y a la asistencia letrada (art. 24.2 CE), queda condicionada a (i) la ausencia de incompatibilidad entre las distintas partes que ejercen la acción penal o civil derivada del delito —requisito mínimo— y (ii) la existencia de una convergencia suficiente de intereses e incluso de puntos de vista en la orientación de la actuación procesal que haga absolutamente inútil la reiteración de las diligencias instadas o los actos realizados por las respectivas representaciones y asistencias letradas. Se concluye que, si no concurren dichas circunstancias, “es forzoso reconocer que se produciría una merma del derecho de defensa ante los tribunales, que difícilmente se justificaría en aras de una economía procesal, lógicamente de inferior rango en una escala axiológica de los principios procesales, a la que, por otra parte, puede atenderse por medios de menor trascendencia, como son la valoración en cada caso concreto de la pertinencia de lo solicitado por cada una de las partes o el otorgamiento de plazos comunes para alegaciones” (así, SSTC 30/1981, de 24 de junio, FJ 4; y 154/1997, de 29 de septiembre, FJ 4).</w:t>
      </w:r>
    </w:p>
    <w:p w:rsidR="005728DD" w:rsidRDefault="005728DD" w:rsidP="005728DD">
      <w:pPr>
        <w:pStyle w:val="TextoNormal"/>
      </w:pPr>
    </w:p>
    <w:p w:rsidR="005728DD" w:rsidRDefault="005728DD" w:rsidP="005728DD">
      <w:pPr>
        <w:pStyle w:val="TextoNormal"/>
      </w:pPr>
      <w:r>
        <w:t>Por tanto, de conformidad con esta jurisprudencia, en los casos de aplicación del art. 113 LECrim la cuestión esencial desde la perspectiva constitucional consiste en determinar si en el caso controvertido concurre la convergencia de intereses y puntos de vista en la actuación procesal de la parte a la que se impone la carga procesal de litigar conjuntamente (bajo una común dirección letrada y representación) con una parte ya personada, “porque si se da tal condición, el sacrificio de su derecho de defensa, que indudablemente resulta limitado, será proporcionado a la finalidad a la que tiende la norma: salvaguarda de las dilaciones indebidas que no es posible, ni aún necesario, proteger de otro modo. En caso contrario, tal justificación y proporcionalidad desaparecen pudiendo resultar vulnerado el derecho de defensa y asistencia letrada que consagra el art. 24.2 CE” (STC 154/1997, de 29 de septiembre, FJ 4).</w:t>
      </w:r>
    </w:p>
    <w:p w:rsidR="005728DD" w:rsidRDefault="005728DD" w:rsidP="005728DD">
      <w:pPr>
        <w:pStyle w:val="TextoNormal"/>
      </w:pPr>
    </w:p>
    <w:p w:rsidR="005728DD" w:rsidRDefault="005728DD" w:rsidP="005728DD">
      <w:pPr>
        <w:pStyle w:val="TextoNormal"/>
      </w:pPr>
      <w:r>
        <w:t>En el caso que estamos enjuiciando la demandante de amparo defiende la inexistencia de esa convergencia de intereses con cualquiera de las partes respecto de las que se le impone la actuación conjunta, por cuanto ella tiene reconocido el derecho a la asistencia jurídica gratuita, cosa que no sucede con ninguna de las partes con las que se le impone el litisconsorcio.</w:t>
      </w:r>
    </w:p>
    <w:p w:rsidR="005728DD" w:rsidRDefault="005728DD" w:rsidP="005728DD">
      <w:pPr>
        <w:pStyle w:val="TextoNormal"/>
      </w:pPr>
    </w:p>
    <w:p w:rsidR="005728DD" w:rsidRDefault="005728DD" w:rsidP="005728DD">
      <w:pPr>
        <w:pStyle w:val="TextoNormal"/>
      </w:pPr>
      <w:r>
        <w:lastRenderedPageBreak/>
        <w:t>Se hace necesario, por tanto, analizar la jurisprudencia constitucional sobre el alcance del derecho a la tutela judicial efectiva, desde la perspectiva del derecho a la asistencia jurídica gratuita, y del derecho a la asistencia letrada de quienes pretenden ejercer la acusación particular como beneficiarios del derecho a la gratuidad de la justicia.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La jurisprudencia constitucional sobre los derechos de las acusaciones particulares a la tutela judicial efectiva (art. 24.1 CE) y a la asistencia letrada (art. 24.2 CE), en relación con el derecho a la gratuidad de la justicia (art. 119 CE</w:t>
      </w:r>
      <w:r>
        <w:t>).-</w:t>
      </w:r>
    </w:p>
    <w:p w:rsidR="005728DD" w:rsidRDefault="005728DD" w:rsidP="005728DD">
      <w:pPr>
        <w:pStyle w:val="TextoNormal"/>
      </w:pPr>
    </w:p>
    <w:p w:rsidR="005728DD" w:rsidRDefault="005728DD" w:rsidP="005728DD">
      <w:pPr>
        <w:pStyle w:val="TextoNormal"/>
      </w:pPr>
      <w:r>
        <w:t>a) El Tribunal tiene establecido que hay una estrecha vinculación entre el derecho a la tutela judicial efectiva (art. 24.1 CE) y la gratuidad de la asistencia jurídica para quienes carecen de suficientes recursos económicos (art. 119 CE), ya que el art. 119 CE consagra un derecho constitucional de carácter instrumental respecto del derecho de acceso a la jurisdicción reconocido en el art. 24.1 CE. Igualmente, declara que se trata de un derecho prestacional de configuración legal, cuyo contenido y condiciones de ejercicio deben ser delimitados, en primera instancia, por el legislador atendiendo a los intereses públicos y privados implicados y a las disponibilidades presupuestarias, tomando en consideración que el inciso segundo del art. 119 CE fija un contenido constitucional indisponible para el legislador, que consiste en obligar a reconocer el derecho a la justicia gratuita necesariamente a quienes acrediten insuficiencia de recursos económicos para litigar. Esto implica que deben sufragarse los gastos procesales, incluidos los honorarios de los abogados y los derechos de los procuradores, cuando su intervención sea preceptiva o necesaria en atención a las características del caso, a cuenta de quienes, si se les exige hacer frente a ellos, se verían en la alternativa de dejar de litigar o poner en peligro las mínimas condiciones de subsistencia personal o familiar (así, por ejemplo, SSTC 10/2008, de 21 de enero, FJ 2; 128/2014, de 21 de julio, FJ 3; 124/2015, de 8 de junio, FJ 3; 101/2019, de 16 de septiembre, FJ 3, y 85/2020, de 20 de julio, FJ 3).</w:t>
      </w:r>
    </w:p>
    <w:p w:rsidR="005728DD" w:rsidRDefault="005728DD" w:rsidP="005728DD">
      <w:pPr>
        <w:pStyle w:val="TextoNormal"/>
      </w:pPr>
    </w:p>
    <w:p w:rsidR="005728DD" w:rsidRDefault="005728DD" w:rsidP="005728DD">
      <w:pPr>
        <w:pStyle w:val="TextoNormal"/>
      </w:pPr>
      <w:r>
        <w:t>Respecto de la proyección del derecho a la asistencia jurídica gratuita, como manifestación del derecho a la tutela judicial efectiva, a las víctimas y perjudicados por delitos, el tribunal tiene declarado que, en la medida en que la ley les reconoce el derecho a personarse en el proceso penal para el ejercicio de acciones penales y/o civiles en defensa de sus intereses, son titulares del derecho a la tutela judicial efectiva (art. 24.1 CE), en su vertiente de acceso a la jurisdicción, y de los derechos reconocidos en el art. 24.2 CE. Esto significa que “en virtud del contenido constitucional indisponible del art. 119 CE, [el litigante] habrá de gozar del derecho a la gratuidad de la justicia, incluidos los honorarios profesionales de abogados y procuradores cuando su intervención sea preceptiva o necesaria en atención a las características del caso, si carece de medios suficientes para litigar” (STC 9/2008, de 21 de enero, FJ 3, y, en términos semejantes, la STC 136/2016, de 18 de julio, FJ 4).</w:t>
      </w:r>
    </w:p>
    <w:p w:rsidR="005728DD" w:rsidRDefault="005728DD" w:rsidP="005728DD">
      <w:pPr>
        <w:pStyle w:val="TextoNormal"/>
      </w:pPr>
    </w:p>
    <w:p w:rsidR="005728DD" w:rsidRDefault="005728DD" w:rsidP="005728DD">
      <w:pPr>
        <w:pStyle w:val="TextoNormal"/>
      </w:pPr>
      <w:r>
        <w:t xml:space="preserve">En atención a esta jurisprudencia, y tomando en consideración el desarrollo que se hace en la Ley 1/1996, de 10 de enero, de asistencia jurídica gratuita (LAJG), del derecho a la asistencia jurídica gratuita como derecho de prestación y configuración legal, cabe concretar como su contenido esencial en relación con los perjudicados y víctimas de delitos, la obtención por el beneficiario de las prestaciones establecidas en el art. 6 de la ley, durante la extensión temporal prevista en el art. 7, con las especialidades sobre la forma de afrontar las eventuales condenas en costas previstas en el art. 36 LAJG. El beneficiario cuenta, así, con el derecho a las prestaciones siguientes: (i) asesoramiento y orientación gratuitos previos al </w:t>
      </w:r>
      <w:r>
        <w:lastRenderedPageBreak/>
        <w:t>proceso; (ii) defensa y representación gratuitas por abogado y procurador en el procedimiento judicial; (iii) inserción gratuita de anuncios o edictos que preceptivamente deban publicarse en periódicos oficiales; (iv) exención del pago de tasas judiciales y de depósitos para recurrir; (v) asistencia pericial gratuita; (vi) obtención gratuita de copias, testimonios, instrumentos y actas notariales, en los términos previstos en el reglamento notarial; y (vii) reducción o exención de derechos arancelarios notariales o registrales (art. 6 LAJG). La extensión temporal del derecho se prolonga en el transcurso de una misma instancia a todos sus trámites e incidencias, incluida la ejecución, y se mantiene para la interposición y los sucesivos trámites de los recursos contra las resoluciones que pongan fin al proceso en la correspondiente instancia (art. 7 LAJG). La condena en costas de quien tiene reconocido este derecho determina la obligación de satisfacerlas “si dentro de los tres años siguientes a la terminación del proceso viniere a mejor fortuna, quedando mientras tanto interrumpida la prescripción del artículo 1967 del Código civil” (art. 36.2 LAJG) y que, en el caso de haber vencido en el pleito sin que exista un pronunciamiento costas, deba pagar las causadas en su defensa, con el límite de la tercera parte de lo que haya obtenido (art. 36.3 LAJG).</w:t>
      </w:r>
    </w:p>
    <w:p w:rsidR="005728DD" w:rsidRDefault="005728DD" w:rsidP="005728DD">
      <w:pPr>
        <w:pStyle w:val="TextoNormal"/>
      </w:pPr>
    </w:p>
    <w:p w:rsidR="005728DD" w:rsidRDefault="005728DD" w:rsidP="005728DD">
      <w:pPr>
        <w:pStyle w:val="TextoNormal"/>
      </w:pPr>
      <w:r>
        <w:t>b) La jurisprudencia constitucional también viene declarando desde la STC 30/1981, de 24 de julio, FJ 3, que el derecho a la defensa y asistencia de letrado es predicable en el ámbito del proceso penal no solo de los acusados, sino también de quienes comparecen como acusadores particulares ejerciendo la acción como perjudicados por el hecho punible. Esto comporta que el interesado pueda encomendar su representación y asesoramiento técnico a quien merezca su confianza y considere más adecuado para instrumentar su propia defensa, máxime cuando la actuación procesal se supedita al requisito de la postulación. Ahora bien, el Tribunal ha reconocido determinadas singularidades en el contenido del derecho a la asistencia letrada cuando su titular es beneficiario del derecho a la asistencia jurídica gratuita. Estas especialidades se vinculan al hecho de que se trata de un derecho de configuración legal que coloca a su titular en una situación especial frente al abogado designado por el turno de oficio para la defensa de sus intereses en el marco del sistema general de turno de oficio diseñado para dar cumplimiento a los fines inherentes a la organización de una representación letrada gratuita.</w:t>
      </w:r>
    </w:p>
    <w:p w:rsidR="005728DD" w:rsidRDefault="005728DD" w:rsidP="005728DD">
      <w:pPr>
        <w:pStyle w:val="TextoNormal"/>
      </w:pPr>
    </w:p>
    <w:p w:rsidR="005728DD" w:rsidRDefault="005728DD" w:rsidP="005728DD">
      <w:pPr>
        <w:pStyle w:val="TextoNormal"/>
      </w:pPr>
      <w:r>
        <w:t xml:space="preserve">Así, el tribunal declara que, aun reuniéndose los requisitos legales, no es obligatoria la designación de profesionales del turno de oficio en los supuestos, por ejemplo, en que, conforme al procedimiento legalmente establecido, se determina la insostenibilidad de la pretensión (SSTC 12/1998, de 15 de enero, FJ 4; 7/2008, de 21 de enero, FJ 2, o 85/2020, de 20 de julio, FJ 3), o cuando la actuación de dichos profesionales no sea exigida legalmente por razones estructurales de postulación (SSTC 152/2000, de 12 de junio, FJ 3; o 1/2007, de 15 de enero, FJ 3). Del mismo modo, se ha establecido que los órganos judiciales han de desarrollar una especial labor de supervisión en determinados supuestos en que la dirección y representación se realiza mediante la designación de oficio, ya que no basta para tutelar el derecho de defensa con la designación de los correspondientes profesionales, sino que es precisa que la asistencia letrada así proporcionada sea real y operativa (STC 13/2000, de 17 de enero, FJ 2, y 1/2007, de 15 de enero, FFJ 3 y 4). A su vez, la STC 103/2018, de 4 de octubre, ha puesto de manifiesto que la prestación del servicio de asistencia jurídica gratuita trae causa de la necesidad de asegurar el derecho constitucional a la asistencia jurídica gratuita (art. 119 CE), cuyo contenido y cuyas condiciones de ejercicio, como derecho prestacional de configuración legal, deben ser delimitadas por el legislador atendiendo a los intereses públicos y privados implicados y a las disponibilidades presupuestarias; de modo tal </w:t>
      </w:r>
      <w:r>
        <w:lastRenderedPageBreak/>
        <w:t>que “de su plena efectividad y garantía dependen importantes intereses, tanto públicos como privados, vinculados al ejercicio del derecho a la tutela judicial efectiva de las personas que carecen de medios económicos para litigar, por lo que no resulta inconstitucional que sean los colegios de abogados, como corporaciones de derecho público de base asociativa, los que ejerzan en este campo una función pública delegada del Estado” (FJ 8).</w:t>
      </w:r>
    </w:p>
    <w:p w:rsidR="005728DD" w:rsidRDefault="005728DD" w:rsidP="005728DD">
      <w:pPr>
        <w:pStyle w:val="TextoNormal"/>
      </w:pPr>
    </w:p>
    <w:p w:rsidR="005728DD" w:rsidRDefault="005728DD" w:rsidP="005728DD">
      <w:pPr>
        <w:pStyle w:val="TextoNormal"/>
      </w:pPr>
      <w:r>
        <w:t>En suma, el derecho a la asistencia letrada de los beneficiarios del derecho a la asistencia jurídica gratuita, incluyendo a quienes pretenden ejercer la acusación particular —al margen de las especificidades de quienes resultan investigados o acusados en un proceso penal—, cuenta con unas peculiaridades derivadas del carácter prestacional y de configuración legal del derecho a la asistencia jurídica gratuita, las cuales llevan consigo que quede modulado en cuanto a su régimen de ejercicio por lo previsto en la Ley de asistencia jurídica gratuita.</w:t>
      </w:r>
    </w:p>
    <w:p w:rsidR="005728DD" w:rsidRDefault="005728DD" w:rsidP="005728DD">
      <w:pPr>
        <w:pStyle w:val="TextoNormal"/>
      </w:pPr>
    </w:p>
    <w:p w:rsidR="005728DD" w:rsidRDefault="005728DD" w:rsidP="005728DD">
      <w:pPr>
        <w:pStyle w:val="TextoNormal"/>
      </w:pPr>
      <w:r>
        <w:t>La condición de beneficiaria del derecho a la asistencia jurídica gratuita de la persona que pretende actuar como acusación particular en un proceso penal por considerarse víctima de un delito implica un peculiar estatus constitucional delineado por la LAJG y por la jurisprudencia constitucional, que afecta a sus relaciones con la administración de justicia, con los órganos judiciales, con los colegios profesionales encargados de la organización de sistema de turno de oficio y con los profesionales designados para su representación y defensa. Este singular estatus constitucional configura un entramado de intereses cuya afectación debe ser ponderada en la decisión judicial sobre la aplicación del art. 113 LECrim con el fin de determinar si dicha afectación resulta necesaria y proporcionada a la finalidad a la que tiende dicha previsión legal.</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Aplicación de la jurisprudencia constitucional al caso enjuiciado</w:t>
      </w:r>
      <w:r>
        <w:t>.- En el presente caso resultan relevantes los siguientes hechos:</w:t>
      </w:r>
    </w:p>
    <w:p w:rsidR="005728DD" w:rsidRDefault="005728DD" w:rsidP="005728DD">
      <w:pPr>
        <w:pStyle w:val="TextoNormal"/>
      </w:pPr>
    </w:p>
    <w:p w:rsidR="005728DD" w:rsidRDefault="005728DD" w:rsidP="005728DD">
      <w:pPr>
        <w:pStyle w:val="TextoNormal"/>
      </w:pPr>
      <w:r>
        <w:t>(i) La demandante de amparo, al considerarse víctima de un delito, tras obtener el reconocimiento del derecho a la asistencia jurídica gratuita y serle designados profesionales del turno de oficio, solicitó su personación como acusación particular en una causa judicial ya abierta con motivo de las denuncias y querellas presentadas por otras víctimas.</w:t>
      </w:r>
    </w:p>
    <w:p w:rsidR="005728DD" w:rsidRDefault="005728DD" w:rsidP="005728DD">
      <w:pPr>
        <w:pStyle w:val="TextoNormal"/>
      </w:pPr>
    </w:p>
    <w:p w:rsidR="005728DD" w:rsidRDefault="005728DD" w:rsidP="005728DD">
      <w:pPr>
        <w:pStyle w:val="TextoNormal"/>
      </w:pPr>
      <w:r>
        <w:t>(ii) El órgano judicial de instrucción, ante la existencia de múltiples víctimas y con el fin de garantizar el derecho a un proceso sin dilaciones indebidas, acordó, en aplicación del art. 113 LECrim, condicionar la personación de la demandante a que actuara con la misma defensa y representación que una cualquiera de las seis acusaciones particulares que ya se habían personado en la causa, escogida libremente. Si no se llevaba a cabo esta selección, sería el órgano judicial quien la efectuaría. Se añadía que la defensa podría ejercerse de forma colegiada por los distintos abogados.</w:t>
      </w:r>
    </w:p>
    <w:p w:rsidR="005728DD" w:rsidRDefault="005728DD" w:rsidP="005728DD">
      <w:pPr>
        <w:pStyle w:val="TextoNormal"/>
      </w:pPr>
    </w:p>
    <w:p w:rsidR="005728DD" w:rsidRDefault="005728DD" w:rsidP="005728DD">
      <w:pPr>
        <w:pStyle w:val="TextoNormal"/>
      </w:pPr>
      <w:r>
        <w:t>(iii) El órgano judicial de apelación confirmó dicha decisión haciendo hincapié en la legitimidad del fin perseguido con la decisión por la existencia de decenas de miles de perjudicados cuya personación individual imposibilitaría la tramitación de la causa. Se argumentó que la medida era proporcionada desde la perspectiva del derecho a la asistencia letrada y del derecho a la asistencia jurídica gratuita, ya que no se exigía la renuncia del letrado designado de oficio, sino la coordinación con los ya personados, “sin perjuicio de las medidas a adoptar por el instructor respecto a las personaciones con beneficio de justicia gratuita, sobre lo que el auto impugnado no se pronuncia”.</w:t>
      </w:r>
    </w:p>
    <w:p w:rsidR="005728DD" w:rsidRDefault="005728DD" w:rsidP="005728DD">
      <w:pPr>
        <w:pStyle w:val="TextoNormal"/>
      </w:pPr>
    </w:p>
    <w:p w:rsidR="005728DD" w:rsidRDefault="005728DD" w:rsidP="005728DD">
      <w:pPr>
        <w:pStyle w:val="TextoNormal"/>
      </w:pPr>
      <w:r>
        <w:t>Ante estos hechos, el Tribunal considera que se han vulnerado los derechos a la tutela judicial efectiva (art. 24.1 CE), en su dimensión del derecho a la asistencia jurídica gratuita (art. 119 CE), y a la asistencia letrada (art. 24.2 CE) de la demandante de amparo. Estima, en efecto, que la ponderación que han realizado las resoluciones judiciales impugnadas sobre la posible afectación de estos derechos al acordar las condiciones de la aplicación del art. 113 LECrim es insuficiente. La aplicación de este precepto, como ya se ha expuesto, exige que el órgano judicial haga expreso en la resolución judicial un juicio de proporcionalidad entre los derechos e intereses constitucionales en conflicto. Esta ponderación, con carácter general, debe tomar en consideración que la prevalencia del interés en el más normal desarrollo del procedimiento penal frente a la plenitud en el ejercicio del derecho de defensa de un alto número de personas que pretendan ejercer acciones penales y civiles no suponga un perjuicio desmedido en dichas acusaciones derivada de la limitación que para su derecho de defensa supone el tener que adherirse o coordinar la defensa de sus intereses con las de otras partes personadas. En ese sentido, resulta preciso que en dicha ponderación, de manera más específica, se tome en consideración la necesidad de una convergencia de intereses y puntos de vista en la actuación procesal de todas las partes afectadas por esa limitación del derecho de defensa de la que no puede quedar excluida, por su relevancia, la circunstancia de ser beneficiario del derecho a la asistencia jurídica gratuita por el peculiar estatus que ello implica.</w:t>
      </w:r>
    </w:p>
    <w:p w:rsidR="005728DD" w:rsidRDefault="005728DD" w:rsidP="005728DD">
      <w:pPr>
        <w:pStyle w:val="TextoNormal"/>
      </w:pPr>
    </w:p>
    <w:p w:rsidR="005728DD" w:rsidRDefault="005728DD" w:rsidP="005728DD">
      <w:pPr>
        <w:pStyle w:val="TextoNormal"/>
      </w:pPr>
      <w:r>
        <w:t>La demandante de amparo alegó ante el órgano judicial de apelación de que, siendo beneficiaria del derecho a la asistencia jurídica gratuita, se le exigía una actuación consorcial con partes procesales que no eran beneficiarias de ese derecho. Recibió como única respuesta la procedencia de aplicar el art. 113 LECrim en orden a posibilitar el normal desarrollo del procedimiento, con la añadidura de que podía mantener la asistencia del letrado designado de oficio, siempre que se coordinase con alguno de los ya personados, “sin perjuicio de las medidas a adoptar por el instructor respecto a las personaciones con beneficio de justicia gratuita, sobre lo que el auto impugnado no se pronuncia”. Esto es, la resolución judicial pronunciada en apelación reconoció que la circunstancia alegada no había sido ponderada en la resolución judicial de primera instancia y afirmó que no iba a ser abordada en la de segunda instancia a la espera de futuras decisiones en este sentido por parte del órgano judicial de instrucción.</w:t>
      </w:r>
    </w:p>
    <w:p w:rsidR="005728DD" w:rsidRDefault="005728DD" w:rsidP="005728DD">
      <w:pPr>
        <w:pStyle w:val="TextoNormal"/>
      </w:pPr>
    </w:p>
    <w:p w:rsidR="005728DD" w:rsidRDefault="005728DD" w:rsidP="005728DD">
      <w:pPr>
        <w:pStyle w:val="TextoNormal"/>
      </w:pPr>
      <w:r>
        <w:t>En este contexto, este tribunal observa (i) que la condición de beneficiario del derecho a la asistencia jurídica gratuita implica, en principio, un peculiar estatus delineado por la jurisprudencia constitucional y por la normativa reguladora que afecta a múltiples situaciones y relaciones del beneficiario del derecho tanto dentro como fuera del proceso; y (ii) que en este supuesto no cabe excluir que el entramado de intereses que configura este estatus pudiera verse afectado de manera directa o indirecta por la exigencia de que la parte actúe, aunque sea de manera coordinada, mediante profesionales de libre designación por terceras personas.</w:t>
      </w:r>
    </w:p>
    <w:p w:rsidR="005728DD" w:rsidRDefault="005728DD" w:rsidP="005728DD">
      <w:pPr>
        <w:pStyle w:val="TextoNormal"/>
      </w:pPr>
    </w:p>
    <w:p w:rsidR="005728DD" w:rsidRDefault="005728DD" w:rsidP="005728DD">
      <w:pPr>
        <w:pStyle w:val="TextoNormal"/>
      </w:pPr>
      <w:r>
        <w:t xml:space="preserve">La omisión de una consideración concluyente sobre una cuestión que afecta de manera directa al ejercicio de garantías constitucionales resulta suficiente, por sí sola, para entender vulnerado el derecho fundamental. Tomando en consideración que la hoy demandante en amparo alegaba estar en distinta situación a la de las partes procesales a una de las cuales se ordenaba que se adhiriera y, por ende, que no existía una convergencia de intereses con </w:t>
      </w:r>
      <w:r>
        <w:lastRenderedPageBreak/>
        <w:t>ellas, y que esta circunstancia condiciona la constitucionalidad de la aplicación del art. 113 LECrim, en cuanto limita el ejercicio de derechos fundamentales, era obligado para los órganos judiciales hacer explícitas las razones por las que la circunstancia en cuestión no resultaba relevante en el caso concreto —por quedar salvaguardado el derecho fundamental— o, alternativamente, exponer los motivos por los que no era necesario adoptar en la aplicación del art. 113 LECrim medidas complementarias o alternativas para que el eventual sacrificio del derecho no resultara contrario a una exigencia de proporcionalidad estricta en la ponderación entre este derecho y los fines a los que se orientaba la limitación impuesta.</w:t>
      </w:r>
    </w:p>
    <w:p w:rsidR="005728DD" w:rsidRDefault="005728DD" w:rsidP="005728DD">
      <w:pPr>
        <w:pStyle w:val="TextoNormal"/>
      </w:pPr>
    </w:p>
    <w:p w:rsidR="005728DD" w:rsidRDefault="005728DD" w:rsidP="005728DD">
      <w:pPr>
        <w:pStyle w:val="TextoNormal"/>
      </w:pPr>
      <w:r>
        <w:t xml:space="preserve">El Tribunal no excluye la posible existencia de medidas alternativas que, sin detrimento de los importantes fines cuya consecución legitima la aplicación del art. 113 LECrim, llevaran consigo un menor sacrificio de las garantías procesales de los beneficiarios del derecho a la asistencia jurídica gratuita. Así, la mayor convergencia de intereses que pueden tener entre sí los beneficiarios de este derecho en contraposición a quienes litigan mediante profesionales de libre elección pudiera propiciar fórmulas de actuación conjunta bajo una o varias representaciones y asistencias por profesionales del turno de oficio, todos ellos seleccionados, designados y sometidos en su actuación a idéntica normativa legal. Sin embargo, los razonamientos desarrollados </w:t>
      </w:r>
      <w:r w:rsidRPr="005728DD">
        <w:rPr>
          <w:i/>
        </w:rPr>
        <w:t>supra</w:t>
      </w:r>
      <w:r>
        <w:t xml:space="preserve"> nos llevan a estimar que la simple respuesta de que en el devenir del procedimiento el órgano judicial de instrucción podría adoptar las medidas que fueran necesarias no resultaba suficiente, pues dejaba en la indefinición el ejercicio de los derechos fundamentales concernidos en contra de la garantía de certeza que exige el ejercicio de derechos de tal naturaleza.</w:t>
      </w:r>
    </w:p>
    <w:p w:rsidR="005728DD" w:rsidRDefault="005728DD" w:rsidP="005728DD">
      <w:pPr>
        <w:pStyle w:val="TextoNormal"/>
      </w:pPr>
    </w:p>
    <w:p w:rsidR="005728DD" w:rsidRDefault="005728DD" w:rsidP="005728DD">
      <w:pPr>
        <w:pStyle w:val="TextoNormal"/>
      </w:pPr>
      <w:r>
        <w:t>La estimación del recurso determina que deban anularse las resoluciones judiciales impugnadas y ordenarse la retroacción de las actuaciones para que se pronuncie una nueva resolución respetuosa con los derechos fundamentales que el Tribunal estima vulnerados.</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otorgar el amparo a doña Encarnación Castella Águila y, en consecuencia:</w:t>
      </w:r>
    </w:p>
    <w:p w:rsidR="005728DD" w:rsidRDefault="005728DD" w:rsidP="005728DD">
      <w:pPr>
        <w:pStyle w:val="TextoNormal"/>
      </w:pPr>
    </w:p>
    <w:p w:rsidR="005728DD" w:rsidRDefault="005728DD" w:rsidP="005728DD">
      <w:pPr>
        <w:pStyle w:val="TextoNormal"/>
      </w:pPr>
      <w:r>
        <w:t>1º Reconocer los derechos de la demandante de amparo a la tutela judicial efectiva (art. 24.1 CE), en relación con el derecho a la asistencia jurídica gratuita (art. 119 CE), y a la asistencia letrada (art. 24.2 CE).</w:t>
      </w:r>
    </w:p>
    <w:p w:rsidR="005728DD" w:rsidRDefault="005728DD" w:rsidP="005728DD">
      <w:pPr>
        <w:pStyle w:val="TextoNormal"/>
      </w:pPr>
    </w:p>
    <w:p w:rsidR="005728DD" w:rsidRDefault="005728DD" w:rsidP="005728DD">
      <w:pPr>
        <w:pStyle w:val="TextoNormal"/>
      </w:pPr>
      <w:r>
        <w:t>2º Restablecer su derecho y, a tal fin, anular el auto del Juzgado Central de Instrucción núm. 5 de 23 de octubre de 2019, pronunciado en las diligencias previas núm. 70-2018; y el auto de la Sección Segunda de la Sala de lo Penal de la Audiencia Nacional núm. 699-2019, de 13 de diciembre de 2019, pronunciado en el recurso de apelación núm. 721-2019.</w:t>
      </w:r>
    </w:p>
    <w:p w:rsidR="005728DD" w:rsidRDefault="005728DD" w:rsidP="005728DD">
      <w:pPr>
        <w:pStyle w:val="TextoNormal"/>
      </w:pPr>
    </w:p>
    <w:p w:rsidR="005728DD" w:rsidRDefault="005728DD" w:rsidP="005728DD">
      <w:pPr>
        <w:pStyle w:val="TextoNormal"/>
      </w:pPr>
      <w:r>
        <w:t>3º Ordenar la retroacción de las actuaciones al momento anterior al de recaer la primera de las resoluciones mencionadas, a fin de que se pronuncie otra que sea respetuosa con los derechos fundamentales reconocidos.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5728DD" w:rsidRDefault="005728DD" w:rsidP="005728DD">
      <w:pPr>
        <w:pStyle w:val="TtuloResolucin"/>
      </w:pPr>
      <w:bookmarkStart w:id="33" w:name="SENTENCIA_2021_30"/>
      <w:r>
        <w:lastRenderedPageBreak/>
        <w:t>SENTENCIA 30/2021, de 15 de febrero de 2021</w:t>
      </w:r>
    </w:p>
    <w:bookmarkEnd w:id="33"/>
    <w:p w:rsidR="005728DD" w:rsidRDefault="005728DD" w:rsidP="005728DD">
      <w:pPr>
        <w:pStyle w:val="TtuloResolucin"/>
      </w:pPr>
      <w:r>
        <w:t>Sala Primera</w:t>
      </w:r>
    </w:p>
    <w:p w:rsidR="005728DD" w:rsidRDefault="005728DD" w:rsidP="005728DD">
      <w:pPr>
        <w:pStyle w:val="TtuloBOE"/>
      </w:pPr>
      <w:r>
        <w:t>(BOE núm. 69, de 22 de marzo de 2021)</w:t>
      </w:r>
    </w:p>
    <w:p w:rsidR="005728DD" w:rsidRDefault="005728DD" w:rsidP="005728DD">
      <w:pPr>
        <w:pStyle w:val="TextoNormalCentrado"/>
      </w:pPr>
      <w:r>
        <w:t>ECLI:ES:TC:2021:30</w:t>
      </w:r>
    </w:p>
    <w:p w:rsidR="005728DD" w:rsidRDefault="005728DD" w:rsidP="005728DD">
      <w:pPr>
        <w:pStyle w:val="TextoNormalCentrado"/>
      </w:pPr>
    </w:p>
    <w:p w:rsidR="005728DD" w:rsidRDefault="005728DD" w:rsidP="005728DD">
      <w:pPr>
        <w:pStyle w:val="SntesisDescriptiva"/>
      </w:pPr>
      <w:r>
        <w:t>Recurso de amparo 7501-2019.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(STC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7501-2019, promovido por Penrei Inversiones, S.L., representada por la procuradora de los tribunales doña Blanca Berriatua Horta y bajo la dirección de la letrada doña Anju Nirmala Benavent Rodriguez,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 Ha intervenido el Ministerio Fiscal. Ha comparecido la entidad Pera Assets Designated Activity Company, actuando como sucesora procesal del banco ejecutante.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26 de diciembre de 2019,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7501-2019, cuyo conocimiento correspondió a la Sección Segunda de este tribunal.</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relevantes para resolver la pretensión planteada, según se recogen en la demanda y en la documentación aportada, son en síntesis los siguientes:</w:t>
      </w:r>
    </w:p>
    <w:p w:rsidR="005728DD" w:rsidRDefault="005728DD" w:rsidP="005728DD">
      <w:pPr>
        <w:pStyle w:val="TextoNormal"/>
      </w:pPr>
    </w:p>
    <w:p w:rsidR="005728DD" w:rsidRDefault="005728DD" w:rsidP="005728DD">
      <w:pPr>
        <w:pStyle w:val="TextoNormal"/>
      </w:pPr>
      <w:r>
        <w:t>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005728DD" w:rsidRDefault="005728DD" w:rsidP="005728DD">
      <w:pPr>
        <w:pStyle w:val="TextoNormal"/>
      </w:pPr>
    </w:p>
    <w:p w:rsidR="005728DD" w:rsidRDefault="005728DD" w:rsidP="005728DD">
      <w:pPr>
        <w:pStyle w:val="TextoNormal"/>
      </w:pPr>
      <w:r>
        <w:t>b) Por auto de 27 de junio de 2018 se acordó despachar ejecución frente a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5728DD" w:rsidRDefault="005728DD" w:rsidP="005728DD">
      <w:pPr>
        <w:pStyle w:val="TextoNormal"/>
      </w:pPr>
    </w:p>
    <w:p w:rsidR="005728DD" w:rsidRDefault="005728DD" w:rsidP="005728DD">
      <w:pPr>
        <w:pStyle w:val="TextoNormal"/>
      </w:pPr>
      <w:r>
        <w:t>c) La representación legal de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005728DD" w:rsidRDefault="005728DD" w:rsidP="005728DD">
      <w:pPr>
        <w:pStyle w:val="TextoNormal"/>
      </w:pPr>
    </w:p>
    <w:p w:rsidR="005728DD" w:rsidRDefault="005728DD" w:rsidP="005728DD">
      <w:pPr>
        <w:pStyle w:val="TextoNormal"/>
      </w:pPr>
      <w:r>
        <w:t>d) La sociedad mercantil recurrente interpuso recurso de reposición contra el auto de inadmisión alegando, en síntesis, que las actuaciones de notificación y requerimiento no habían sido realizadas el día 29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162 de la Ley de enjuiciamiento civil (LEC), vulnera el art. 24 CE.</w:t>
      </w:r>
    </w:p>
    <w:p w:rsidR="005728DD" w:rsidRDefault="005728DD" w:rsidP="005728DD">
      <w:pPr>
        <w:pStyle w:val="TextoNormal"/>
      </w:pPr>
    </w:p>
    <w:p w:rsidR="005728DD" w:rsidRDefault="005728DD" w:rsidP="005728DD">
      <w:pPr>
        <w:pStyle w:val="TextoNormal"/>
      </w:pPr>
      <w: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w:t>
      </w:r>
      <w:r>
        <w:lastRenderedPageBreak/>
        <w:t>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w:t>
      </w:r>
      <w:r w:rsidRPr="005728DD">
        <w:rPr>
          <w:i/>
        </w:rPr>
        <w:t>sic</w:t>
      </w:r>
      <w:r>
        <w:t>).</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728DD" w:rsidRDefault="005728DD" w:rsidP="005728DD">
      <w:pPr>
        <w:pStyle w:val="TextoNormal"/>
      </w:pPr>
    </w:p>
    <w:p w:rsidR="005728DD" w:rsidRDefault="005728DD" w:rsidP="005728D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(STC 155/2009, de 25 de junio, FJ 2). Dicha providencia se dejó sin efecto en virtud del auto de 18 de septiembre de 2020 que estimó el recurso de súplica interpuesto contra la misma por el Ministerio Fiscal.</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de nuestra Ley Orgánica reguladora (LOTC), se acordó dirigir comunicación al Juzgado de Primera Instancia e Instrucción núm. 4 de Lorca, a fin de que, en el plazo de diez días, remitiera certificación o fotocopia adverada de las actuaciones correspondientes a los autos de ejecución hipotecaria núm. 372-2018 y emplazara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Por escrito presentado en el registro de este tribunal el 18 de diciembre de 2020, la procuradora de los tribunales doña María Claudia Munteanu, actuando en nombre y representación de la entidad Pera Assets Designated Activity Company, solicitó se tuviera a esta última por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21 de diciembre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8</w:t>
      </w:r>
      <w:r>
        <w:t>. La entidad demandante de amparo presentó sus alegaciones el 27 de enero de 2021, en las que se remite a lo expuesto en su recurso y hace mención adicional a los pronunciamientos de la STC 40/2020, de 27 de febrero, a propósito del uso indebido de la dirección electrónica habilitada para realizar el primer emplazamiento del demandado.</w:t>
      </w:r>
    </w:p>
    <w:p w:rsidR="005728DD" w:rsidRDefault="005728DD" w:rsidP="005728DD">
      <w:pPr>
        <w:pStyle w:val="TextoNormal"/>
      </w:pPr>
    </w:p>
    <w:p w:rsidR="005728DD" w:rsidRDefault="005728DD" w:rsidP="005728DD">
      <w:pPr>
        <w:pStyle w:val="TextoNormal"/>
      </w:pPr>
      <w:r w:rsidRPr="005728DD">
        <w:rPr>
          <w:rStyle w:val="NumeroAFNegritaCaracter"/>
        </w:rPr>
        <w:t>9</w:t>
      </w:r>
      <w:r>
        <w:t>. La fiscal ante este Tribunal Constitucional, mediante escrito registrado el 5 de febrero de 2021,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providencia de fecha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El presente recurso de amparo tiene por objeto la impugnación de los autos de 27 de noviembre de 2018 y de 30 de octubre de 2019, dictados por el Juzgado de Primera Instancia e Instrucción núm. 4 de Lorca, en el procedimiento de ejecución hipotecaria núm. 372-2018.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w:t>
      </w:r>
      <w:r>
        <w:lastRenderedPageBreak/>
        <w:t>Solicita, en consecuencia, la anulación de las resoluciones indicadas, así como la retroacción al momento procesal oportuno, previo al dictado del auto de 27 de noviembre de 2018, a fin de que el juzgado admita a trámite su oposición al despacho de ejecución.</w:t>
      </w:r>
    </w:p>
    <w:p w:rsidR="005728DD" w:rsidRDefault="005728DD" w:rsidP="005728DD">
      <w:pPr>
        <w:pStyle w:val="TextoNormal"/>
      </w:pPr>
    </w:p>
    <w:p w:rsidR="005728DD" w:rsidRDefault="005728DD" w:rsidP="005728DD">
      <w:pPr>
        <w:pStyle w:val="TextoNormal"/>
      </w:pPr>
      <w:r>
        <w:t>El Ministerio Fiscal solicitó la estimación de la demanda de amparo y la nulidad de todo lo actuado desde la notificación electrónica del auto de despacho de la ejecución con retroacción de las actuaciones al momento anterior.</w:t>
      </w:r>
    </w:p>
    <w:p w:rsidR="005728DD" w:rsidRDefault="005728DD" w:rsidP="005728DD">
      <w:pPr>
        <w:pStyle w:val="TextoNormal"/>
      </w:pPr>
    </w:p>
    <w:p w:rsidR="005728DD" w:rsidRDefault="005728DD" w:rsidP="005728DD">
      <w:pPr>
        <w:pStyle w:val="TextoNormal"/>
      </w:pPr>
      <w:r>
        <w:t xml:space="preserve">La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27 de noviembre de 2018 y de 30 de octubre de 2019, dictados por el Juzgado de Primera Instancia e Instrucción núm. 4 de Lorca, han vulnerado el derecho a la tutela judicial efectiva de la recurrente en amparo (art. 24.1 CE). Como en aquel caso, la estimación del amparo trae consigo la nulidad de los autos recurridos, así como de todo lo actuado en el procedimiento hipotecario </w:t>
      </w:r>
      <w:r w:rsidRPr="005728DD">
        <w:rPr>
          <w:i/>
        </w:rPr>
        <w:t>a quo</w:t>
      </w:r>
      <w:r>
        <w:t xml:space="preserve"> desde el momento en que se proveyó al emplazamiento de la entidad mercantil solicitante de amparo a través de la dirección electrónica habilitada.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Penrei Inversiones, S.L., y, en su virtud:</w:t>
      </w:r>
    </w:p>
    <w:p w:rsidR="005728DD" w:rsidRDefault="005728DD" w:rsidP="005728DD">
      <w:pPr>
        <w:pStyle w:val="TextoNormal"/>
      </w:pPr>
    </w:p>
    <w:p w:rsidR="005728DD" w:rsidRDefault="005728DD" w:rsidP="005728DD">
      <w:pPr>
        <w:pStyle w:val="TextoNormal"/>
      </w:pPr>
      <w:r>
        <w:t>1º Declarar que ha sido vulnerado el derecho fundamental de la recurrente en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 los autos de 27 de noviembre de 2018 y de 30 de octubre de 2019, dictados por el Juzgado de Primera Instancia e Instrucción núm. 4 de Lorca, en el procedimiento de ejecución hipotecaria núm. 372-2018,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referido juzgado de forma que resulte respetuoso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4" w:name="SENTENCIA_2021_31"/>
      <w:r>
        <w:lastRenderedPageBreak/>
        <w:t>SENTENCIA 31/2021, de 15 de febrero de 2021</w:t>
      </w:r>
    </w:p>
    <w:bookmarkEnd w:id="34"/>
    <w:p w:rsidR="005728DD" w:rsidRDefault="005728DD" w:rsidP="005728DD">
      <w:pPr>
        <w:pStyle w:val="TtuloResolucin"/>
      </w:pPr>
      <w:r>
        <w:t>Sala Primera</w:t>
      </w:r>
    </w:p>
    <w:p w:rsidR="005728DD" w:rsidRDefault="005728DD" w:rsidP="005728DD">
      <w:pPr>
        <w:pStyle w:val="TtuloBOE"/>
      </w:pPr>
      <w:r>
        <w:t>(BOE núm. 69, de 22 de marzo de 2021)</w:t>
      </w:r>
    </w:p>
    <w:p w:rsidR="005728DD" w:rsidRDefault="005728DD" w:rsidP="005728DD">
      <w:pPr>
        <w:pStyle w:val="TextoNormalCentrado"/>
      </w:pPr>
      <w:r>
        <w:t>ECLI:ES:TC:2021:31</w:t>
      </w:r>
    </w:p>
    <w:p w:rsidR="005728DD" w:rsidRDefault="005728DD" w:rsidP="005728DD">
      <w:pPr>
        <w:pStyle w:val="TextoNormalCentrado"/>
      </w:pPr>
    </w:p>
    <w:p w:rsidR="005728DD" w:rsidRDefault="005728DD" w:rsidP="005728DD">
      <w:pPr>
        <w:pStyle w:val="SntesisDescriptiva"/>
      </w:pPr>
      <w:r>
        <w:t>Recurso de amparo 7506-2019.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(STC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7506-2019, promovido por Euroinversiones Inmobiliarias Costa Sur, S.L., representada por la procuradora de los tribunales doña Blanca Berriatua Horta y bajo la dirección del letrado don Marcelino Gilabert García,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 Ha intervenido el Ministerio Fiscal. Ha comparecido la entidad Pera Assets Designated Activity Company, actuando como sucesora procesal del banco ejecutante.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7506-2019, cuyo conocimiento correspondió a la Sección Segunda de este tribunal.</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relevantes para resolver la pretensión planteada, según se recogen en la demanda y en la documentación aportada, son en síntesis los siguientes:</w:t>
      </w:r>
    </w:p>
    <w:p w:rsidR="005728DD" w:rsidRDefault="005728DD" w:rsidP="005728DD">
      <w:pPr>
        <w:pStyle w:val="TextoNormal"/>
      </w:pPr>
    </w:p>
    <w:p w:rsidR="005728DD" w:rsidRDefault="005728DD" w:rsidP="005728DD">
      <w:pPr>
        <w:pStyle w:val="TextoNormal"/>
      </w:pPr>
      <w:r>
        <w:t>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005728DD" w:rsidRDefault="005728DD" w:rsidP="005728DD">
      <w:pPr>
        <w:pStyle w:val="TextoNormal"/>
      </w:pPr>
    </w:p>
    <w:p w:rsidR="005728DD" w:rsidRDefault="005728DD" w:rsidP="005728DD">
      <w:pPr>
        <w:pStyle w:val="TextoNormal"/>
      </w:pPr>
      <w:r>
        <w:t>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5728DD" w:rsidRDefault="005728DD" w:rsidP="005728DD">
      <w:pPr>
        <w:pStyle w:val="TextoNormal"/>
      </w:pPr>
    </w:p>
    <w:p w:rsidR="005728DD" w:rsidRDefault="005728DD" w:rsidP="005728DD">
      <w:pPr>
        <w:pStyle w:val="TextoNormal"/>
      </w:pPr>
      <w:r>
        <w:t>c) La representación legal de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005728DD" w:rsidRDefault="005728DD" w:rsidP="005728DD">
      <w:pPr>
        <w:pStyle w:val="TextoNormal"/>
      </w:pPr>
    </w:p>
    <w:p w:rsidR="005728DD" w:rsidRDefault="005728DD" w:rsidP="005728DD">
      <w:pPr>
        <w:pStyle w:val="TextoNormal"/>
      </w:pPr>
      <w:r>
        <w:t>d) La sociedad mercantil recurrente interpuso recurso de reposición contra el auto de inadmisión alegando, en síntesis, que las actuaciones de notificación y requerimiento no habían sido realizadas el día 29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y 162 de la Ley de enjuiciamiento civil (LEC), vulnera el art. 24 CE.</w:t>
      </w:r>
    </w:p>
    <w:p w:rsidR="005728DD" w:rsidRDefault="005728DD" w:rsidP="005728DD">
      <w:pPr>
        <w:pStyle w:val="TextoNormal"/>
      </w:pPr>
    </w:p>
    <w:p w:rsidR="005728DD" w:rsidRDefault="005728DD" w:rsidP="005728DD">
      <w:pPr>
        <w:pStyle w:val="TextoNormal"/>
      </w:pPr>
      <w: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w:t>
      </w:r>
      <w:r>
        <w:lastRenderedPageBreak/>
        <w:t>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w:t>
      </w:r>
      <w:r w:rsidRPr="005728DD">
        <w:rPr>
          <w:i/>
        </w:rPr>
        <w:t>sic</w:t>
      </w:r>
      <w:r>
        <w:t>).</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728DD" w:rsidRDefault="005728DD" w:rsidP="005728DD">
      <w:pPr>
        <w:pStyle w:val="TextoNormal"/>
      </w:pPr>
    </w:p>
    <w:p w:rsidR="005728DD" w:rsidRDefault="005728DD" w:rsidP="005728D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29 de junio de 2020 la Sección Segunda de este tribunal acordó no admitir a trámite el recurso de amparo por no apreciar en el mismo la especial trascendencia constitucional que, como condición para su admisión, requiere el art. 50.1 b) LOTC (STC 155/2009, de 25 de junio, FJ 2). Dicha providencia se dejó sin efecto en virtud del auto de 18 de septiembre de 2020 que estimó el recurso de súplica interpuesto contra la misma por el Ministerio Fiscal.</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de nuestra Ley Orgánica reguladora (LOTC), se acordó dirigir comunicación al Juzgado de Primera Instancia e Instrucción núm. 4 de Lorca, a fin de que, en el plazo de diez días, remitiera certificación o fotocopia adverada de las actuaciones correspondientes a los autos de ejecución hipotecaria núm. 372-2018 y emplazara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Por escrito presentado en el registro de este tribunal el 18 de diciembre de 2020, la procuradora de los tribunales doña María Claudia Munteanu, actuando en nombre y representación de la entidad Pera Assets Designated Activity Company, solicitó se tuviera a esta última como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21 de diciembre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8</w:t>
      </w:r>
      <w:r>
        <w:t>. La entidad demandante de amparo presentó sus alegaciones el 27 de enero de 2021, en las que se remite a lo expuesto en su recurso y hace mención adicional a los pronunciamientos de la STC 40/2020, de 27 de febrero, a propósito del uso indebido de la dirección electrónica habilitada para realizar el primer emplazamiento del demandado.</w:t>
      </w:r>
    </w:p>
    <w:p w:rsidR="005728DD" w:rsidRDefault="005728DD" w:rsidP="005728DD">
      <w:pPr>
        <w:pStyle w:val="TextoNormal"/>
      </w:pPr>
    </w:p>
    <w:p w:rsidR="005728DD" w:rsidRDefault="005728DD" w:rsidP="005728DD">
      <w:pPr>
        <w:pStyle w:val="TextoNormal"/>
      </w:pPr>
      <w:r w:rsidRPr="005728DD">
        <w:rPr>
          <w:rStyle w:val="NumeroAFNegritaCaracter"/>
        </w:rPr>
        <w:t>9</w:t>
      </w:r>
      <w:r>
        <w:t>. La fiscal ante este Tribunal Constitucional, mediante escrito registrado el 28 de enero de 2021,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providencia de fecha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TextoNormalNegritaCaracter"/>
        </w:rPr>
        <w:t xml:space="preserve">Único. </w:t>
      </w:r>
      <w:r>
        <w:t xml:space="preserve">El presente recurso de amparo tiene por objeto la impugnación de los autos de 27 de noviembre de 2018 y de 30 de octubre de 2019, dictados por el Juzgado de Primera Instancia e Instrucción núm. 4 de Lorca, en el procedimiento de ejecución hipotecaria núm. 372-2018.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w:t>
      </w:r>
      <w:r>
        <w:lastRenderedPageBreak/>
        <w:t>Solicita, en consecuencia, la anulación de las resoluciones indicadas, así como la retroacción al momento procesal oportuno, previo al dictado del auto de 27 de noviembre de 2018, a fin de que el juzgado admita a trámite su oposición al despacho de ejecución.</w:t>
      </w:r>
    </w:p>
    <w:p w:rsidR="005728DD" w:rsidRDefault="005728DD" w:rsidP="005728DD">
      <w:pPr>
        <w:pStyle w:val="TextoNormal"/>
      </w:pPr>
    </w:p>
    <w:p w:rsidR="005728DD" w:rsidRDefault="005728DD" w:rsidP="005728DD">
      <w:pPr>
        <w:pStyle w:val="TextoNormal"/>
      </w:pPr>
      <w:r>
        <w:t>El Ministerio Fiscal solicitó la estimación de la demanda de amparo y la nulidad de todo lo actuado desde la notificación electrónica del auto de despacho de la ejecución con retroacción de las actuaciones al momento anterior.</w:t>
      </w:r>
    </w:p>
    <w:p w:rsidR="005728DD" w:rsidRDefault="005728DD" w:rsidP="005728DD">
      <w:pPr>
        <w:pStyle w:val="TextoNormal"/>
      </w:pPr>
    </w:p>
    <w:p w:rsidR="005728DD" w:rsidRDefault="005728DD" w:rsidP="005728DD">
      <w:pPr>
        <w:pStyle w:val="TextoNormal"/>
      </w:pPr>
      <w:r>
        <w:t xml:space="preserve">La reciente STC 40/2020, de 27 de febrero, del Pleno del Tribunal, estimó un recurso de amparo basado en los mismos motivos, interpuesto por la misma entidad mercantil y planteado contra autos de contenido muy similar de otro juzgado de Lorca. Corresponde, en consecuencia, dar por reproducidos los fundamentos jurídicos de aquella sentencia y declarar por ello que los autos de 27 de noviembre de 2018 y de 30 de octubre de 2019, dictados por el Juzgado de Primera Instancia e Instrucción núm. 4 de Lorca, han vulnerado el derecho a la tutela judicial efectiva de la recurrente en amparo (art. 24.1 CE). Como en aquel caso, la estimación del amparo trae consigo la nulidad de los autos recurridos, así como de todo lo actuado en el procedimiento hipotecario </w:t>
      </w:r>
      <w:r w:rsidRPr="005728DD">
        <w:rPr>
          <w:i/>
        </w:rPr>
        <w:t>a quo</w:t>
      </w:r>
      <w:r>
        <w:t xml:space="preserve"> desde el momento en que se proveyó al emplazamiento de la entidad mercantil solicitante de amparo a través de la dirección electrónica habilitada.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S.L., y, en su virtud:</w:t>
      </w:r>
    </w:p>
    <w:p w:rsidR="005728DD" w:rsidRDefault="005728DD" w:rsidP="005728DD">
      <w:pPr>
        <w:pStyle w:val="TextoNormal"/>
      </w:pPr>
    </w:p>
    <w:p w:rsidR="005728DD" w:rsidRDefault="005728DD" w:rsidP="005728DD">
      <w:pPr>
        <w:pStyle w:val="TextoNormal"/>
      </w:pPr>
      <w:r>
        <w:t>1º Declarar que ha sido vulnerado el derecho fundamental de la recurrente en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 los autos de 27 de noviembre de 2018 y de 30 de octubre de 2019, dictados por el Juzgado de Primera Instancia e Instrucción núm. 4 de Lorca, en el procedimiento de ejecución hipotecaria núm. 372-2018,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referido juzgado de forma que resulte respetuoso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5" w:name="SENTENCIA_2021_32"/>
      <w:r>
        <w:lastRenderedPageBreak/>
        <w:t>SENTENCIA 32/2021, de 15 de febrero de 2021</w:t>
      </w:r>
    </w:p>
    <w:bookmarkEnd w:id="35"/>
    <w:p w:rsidR="005728DD" w:rsidRDefault="005728DD" w:rsidP="005728DD">
      <w:pPr>
        <w:pStyle w:val="TtuloResolucin"/>
      </w:pPr>
      <w:r>
        <w:t>Sala Primera</w:t>
      </w:r>
    </w:p>
    <w:p w:rsidR="005728DD" w:rsidRDefault="005728DD" w:rsidP="005728DD">
      <w:pPr>
        <w:pStyle w:val="TtuloBOE"/>
      </w:pPr>
      <w:r>
        <w:t>(BOE núm. 69, de 22 de marzo de 2021)</w:t>
      </w:r>
    </w:p>
    <w:p w:rsidR="005728DD" w:rsidRDefault="005728DD" w:rsidP="005728DD">
      <w:pPr>
        <w:pStyle w:val="TextoNormalCentrado"/>
      </w:pPr>
      <w:r>
        <w:t>ECLI:ES:TC:2021:32</w:t>
      </w:r>
    </w:p>
    <w:p w:rsidR="005728DD" w:rsidRDefault="005728DD" w:rsidP="005728DD">
      <w:pPr>
        <w:pStyle w:val="TextoNormalCentrado"/>
      </w:pPr>
    </w:p>
    <w:p w:rsidR="005728DD" w:rsidRDefault="005728DD" w:rsidP="005728DD">
      <w:pPr>
        <w:pStyle w:val="SntesisDescriptiva"/>
      </w:pPr>
      <w:r>
        <w:t>Recurso de amparo 183-2020. Promovido por Euroinversiones Inmobiliarias,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183-2020, promovido por Euroinversiones Inmobiliarias Costa Sur, S.L., representada por la procuradora de los tribunales doña Blanca Berriatua Horta y bajo la dirección de la letrada doña Anju Nirmala Benavent Rodríguez, contra el auto del Juzgado de Primera Instancia e Instrucción núm. 4 de Lorca, de 14 de noviembre de 2018, que inadmitió la demanda de oposición a la ejecución formulada por dicha mercantil, en el procedimiento de ejecución hipotecaria núm. 364-2018 instado por la entidad Banco de Sabadell, S.A., y contra el auto del mismo juzgado, de 20 de noviembre de 2019, que desestimó el recurso de reposición interpuesto contra la anterior resolución. Ha intervenido el Ministerio Fiscal. Ha comparecido la entidad Pera Assets Designated Activity Company, actuando como sucesora procesal del banco ejecutante. Ha sido ponente el magistrado don Alfredo Montoya Melgar.</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10 de enero de 2020, la procuradora de los tribunales doña Blanca Berriatua Horta, actuando en nombre y representación de Euroinversiones Inmobiliarias Costa Sur, S.L., bajo la defensa de la letrada doña Anju Nirmala Benavent Rodríguez,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como prestataria e hipotecante, y contra Penrei Inversiones, S.L., como titular del derecho de uso.</w:t>
      </w:r>
    </w:p>
    <w:p w:rsidR="005728DD" w:rsidRDefault="005728DD" w:rsidP="005728DD">
      <w:pPr>
        <w:pStyle w:val="TextoNormal"/>
      </w:pPr>
    </w:p>
    <w:p w:rsidR="005728DD" w:rsidRDefault="005728DD" w:rsidP="005728DD">
      <w:pPr>
        <w:pStyle w:val="TextoNormal"/>
      </w:pPr>
      <w:r>
        <w:t>El Juzgado de Primera Instancia e Instrucción núm. 6 de Lorca, al que correspondió el conocimiento de la causa, dictó auto el 18 de junio de 2018 por el que acordó el despacho de ejecución (procedimiento de ejecución hipotecaria núm. 364-2018), requiriendo de pago a las ejecutadas y alternativo derecho a oponerse a la ejecución en el plazo de diez días.</w:t>
      </w:r>
    </w:p>
    <w:p w:rsidR="005728DD" w:rsidRDefault="005728DD" w:rsidP="005728DD">
      <w:pPr>
        <w:pStyle w:val="TextoNormal"/>
      </w:pPr>
    </w:p>
    <w:p w:rsidR="005728DD" w:rsidRDefault="005728DD" w:rsidP="005728DD">
      <w:pPr>
        <w:pStyle w:val="TextoNormal"/>
      </w:pPr>
      <w:r>
        <w:t>b) Con fecha 3 de julio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núm. 4 de Lorca relativa al proceso “EJH/000364/2018”; notificación a la que podía acceder entre los días 3 de julio y 18 de agosto de 2018, a través de un enlace electrónico que también indicaba.</w:t>
      </w:r>
    </w:p>
    <w:p w:rsidR="005728DD" w:rsidRDefault="005728DD" w:rsidP="005728DD">
      <w:pPr>
        <w:pStyle w:val="TextoNormal"/>
      </w:pPr>
    </w:p>
    <w:p w:rsidR="005728DD" w:rsidRDefault="005728DD" w:rsidP="005728DD">
      <w:pPr>
        <w:pStyle w:val="TextoNormal"/>
      </w:pPr>
      <w:r>
        <w:t>c) El día 3 de agosto de 2018 Euroinversiones Inmobiliarias Costa Sur, S.L., accedió al enlace remitido por la dirección electrónica habilitada y, con ello, a la notificación enviada por el juzgado de primera instancia ejecutor en relación con el procedimiento hipotecario núm. 364-2018. Ese mismo día, la Fábrica Nacional de Moneda y Timbre emitió un certificado electrónico que obra en las actuaciones del proceso (al igual que los anteriores correos), dejando constancia de que la notificación había sido “aceptada” en esa fecha.</w:t>
      </w:r>
    </w:p>
    <w:p w:rsidR="005728DD" w:rsidRDefault="005728DD" w:rsidP="005728DD">
      <w:pPr>
        <w:pStyle w:val="TextoNormal"/>
      </w:pPr>
    </w:p>
    <w:p w:rsidR="005728DD" w:rsidRDefault="005728DD" w:rsidP="005728DD">
      <w:pPr>
        <w:pStyle w:val="TextoNormal"/>
      </w:pPr>
      <w:r>
        <w:t>d) El 31 de agosto de 2018 Euroinversiones Inmobiliarias Costa Sur, S.L., presentó escrito de oposición a la demanda de ejecución. Por auto de 14 de noviembre de 2018 el Juzgado de Primera Instancia e Instrucción núm. 4 de Lorca acordó inadmitir la oposición por haberse presentado fuera de plazo.</w:t>
      </w:r>
    </w:p>
    <w:p w:rsidR="005728DD" w:rsidRDefault="005728DD" w:rsidP="005728DD">
      <w:pPr>
        <w:pStyle w:val="TextoNormal"/>
      </w:pPr>
    </w:p>
    <w:p w:rsidR="005728DD" w:rsidRDefault="005728DD" w:rsidP="005728DD">
      <w:pPr>
        <w:pStyle w:val="TextoNormal"/>
      </w:pPr>
      <w:r>
        <w:t xml:space="preserve">e) Euroinversiones Inmobiliarias Costa Sur, S.L., presentó recurso de reposición contra el auto de 14 de noviembre de 2018 basándose en la infracción de los arts. 135, 152, 160 y 162 de la Ley de enjuiciamiento civil (LEC) y del art. 24 CE. Dicho recurso fue desestimado por auto de 20 de noviembre de 2019, haciendo saber a las partes que esta resolución es firme y que contra la misma no cabe recurso alguno. Señala el auto que debe “ser desestimado el recurso de reposición interpuesto por ser el auto recurrido conforme a la normativa procesal vigente en materia de oposición a la ejecución (art. 556.1 LEC y concordantes) y de actos de comunicación. Así, pese a las alegaciones del recurrente que pretende mantener </w:t>
      </w:r>
      <w:r>
        <w:lastRenderedPageBreak/>
        <w:t>que el escrito de oposición fue presentado en plazo para ello por entender que el auto despachando la ejecución y el requerimiento efectuado debe entenderse notificado en fecha 1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5728DD" w:rsidRDefault="005728DD" w:rsidP="005728DD">
      <w:pPr>
        <w:pStyle w:val="TextoNormal"/>
      </w:pPr>
    </w:p>
    <w:p w:rsidR="005728DD" w:rsidRDefault="005728DD" w:rsidP="005728DD">
      <w:pPr>
        <w:pStyle w:val="TextoNormal"/>
      </w:pPr>
      <w:r>
        <w:t>Se rechaza por la recurrente que el juzgado haya fundamentado su segunda decisión en la Ley del procedimiento administrativo común, que considera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005728DD" w:rsidRDefault="005728DD" w:rsidP="005728DD">
      <w:pPr>
        <w:pStyle w:val="TextoNormal"/>
      </w:pPr>
    </w:p>
    <w:p w:rsidR="005728DD" w:rsidRDefault="005728DD" w:rsidP="005728DD">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w:t>
      </w:r>
      <w:r w:rsidRPr="005728DD">
        <w:rPr>
          <w:i/>
        </w:rPr>
        <w:t>a quo</w:t>
      </w:r>
      <w:r>
        <w:t xml:space="preserve"> admita a trámite la oposición al despacho de ejecución formulada.</w:t>
      </w:r>
    </w:p>
    <w:p w:rsidR="005728DD" w:rsidRDefault="005728DD" w:rsidP="005728DD">
      <w:pPr>
        <w:pStyle w:val="TextoNormal"/>
      </w:pPr>
    </w:p>
    <w:p w:rsidR="005728DD" w:rsidRDefault="005728DD" w:rsidP="005728DD">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364-2018 seguido ante el Juzgado de Primera Instancia e Instrucción núm. 4 de Lorca, hasta tanto sea resuelto el presente recurso de amparo, poniéndolo en conocimiento del órgano judicial”.</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la Sección Primera de este tribunal de 16 de junio de 2020 se acordó no admitir a trámite el recurso por no apreciar en el mismo la especial trascendencia constitucional que, como condición para su admisión, requiere el art. 50.1 b)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Contra la citada providencia interpuso recurso de súplica el Ministerio Fiscal. El recurso fue estimado por auto de 15 de septiembre de 2020 que acordó dejar sin efecto la providencia de 16 de junio de 2020 y reponer las actuaciones al momento anterior a dictarse la providencia anulada a fin de que se dicte otra que se pronuncie sobre su admisibilidad.</w:t>
      </w:r>
    </w:p>
    <w:p w:rsidR="005728DD" w:rsidRDefault="005728DD" w:rsidP="005728DD">
      <w:pPr>
        <w:pStyle w:val="TextoNormal"/>
      </w:pPr>
    </w:p>
    <w:p w:rsidR="005728DD" w:rsidRDefault="005728DD" w:rsidP="005728DD">
      <w:pPr>
        <w:pStyle w:val="TextoNormal"/>
      </w:pPr>
      <w:r w:rsidRPr="005728DD">
        <w:rPr>
          <w:rStyle w:val="NumeroAFNegritaCaracter"/>
        </w:rPr>
        <w:t>6</w:t>
      </w:r>
      <w:r>
        <w:t>. La Sección Primera de este tribunal dictó providencia el 19 de octubre de 2020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4 de Lorca, a fin de que, en plazo de diez días emplacen, a quienes hubieran sido parte en el procedimiento, excepto la parte recurrente en amparo, para que puedan comparecer, si lo desean, en el presente recurso de amparo; y (iii) formar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7</w:t>
      </w:r>
      <w:r>
        <w:t>. Por escrito presentado en el registro de este tribunal el 1 de noviembre de 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t>A través de diligencia de ordenación de 5 de noviembre de 2020, el secretario de justicia de la Sala Primera de este tribunal tuvo por personada y parte a la procuradora doña María Claudia Munteanu en la representación acreditada.</w:t>
      </w:r>
    </w:p>
    <w:p w:rsidR="005728DD" w:rsidRDefault="005728DD" w:rsidP="005728DD">
      <w:pPr>
        <w:pStyle w:val="TextoNormal"/>
      </w:pPr>
    </w:p>
    <w:p w:rsidR="005728DD" w:rsidRDefault="005728DD" w:rsidP="005728DD">
      <w:pPr>
        <w:pStyle w:val="TextoNormal"/>
      </w:pPr>
      <w:r w:rsidRPr="005728DD">
        <w:rPr>
          <w:rStyle w:val="NumeroAFNegritaCaracter"/>
        </w:rPr>
        <w:t>8</w:t>
      </w:r>
      <w:r>
        <w:t>. Por diligencia de ordenación de 16 de noviembre de 2020 se acordó dar vista de las actuaciones a las partes personadas y al Ministerio Fiscal, por plazo común de veinte días, a fin de que, conforme con lo previsto en el art. 52 LOTC,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9</w:t>
      </w:r>
      <w:r>
        <w:t>. La representante procesal de la entidad recurrente presentó su escrito de alegaciones el 17 de diciembre de 2020,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La fiscal ante este Tribunal Constitucional presentó escrito de alegaciones el 2 de diciembre de 2020, por el que interesó de este tribunal que dictara sentencia otorgando el amparo a la recurrente, con reconocimiento de la vulneración de su derecho a la tutela judicial efectiva sin indefensión (art. 24.1 CE), nulidad de “todo lo actuado desde la notificación </w:t>
      </w:r>
      <w:r>
        <w:lastRenderedPageBreak/>
        <w:t>efectuada electrónicamente del auto despachando ejecución acordado por el Juzgado de Primera Instancia e Instrucción núm. 6 de Lorca, en el juicio de ejecución hipotecaria 364-2018”, y retroacción de las actuaciones al momento inmediato anterior a aquella notificación, para que se le dé al recurrente posibilidad de contestar a la demanda. Considera la fiscal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5728DD" w:rsidRDefault="005728DD" w:rsidP="005728DD">
      <w:pPr>
        <w:pStyle w:val="TextoNormal"/>
      </w:pPr>
    </w:p>
    <w:p w:rsidR="005728DD" w:rsidRDefault="005728DD" w:rsidP="005728DD">
      <w:pPr>
        <w:pStyle w:val="TextoNormal"/>
      </w:pPr>
      <w:r w:rsidRPr="005728DD">
        <w:rPr>
          <w:rStyle w:val="NumeroAFNegritaCaracter"/>
        </w:rPr>
        <w:t>11</w:t>
      </w:r>
      <w:r>
        <w:t>. Respecto de la solicitud de suspensión formulada por la recurrente en amparo mediante otrosí de su escrito de demanda, por auto de la Sala Primera de este tribunal núm. 163/2020, de 14 de diciembre,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728DD" w:rsidRDefault="005728DD" w:rsidP="005728DD">
      <w:pPr>
        <w:pStyle w:val="TextoNormal"/>
      </w:pPr>
    </w:p>
    <w:p w:rsidR="005728DD" w:rsidRDefault="005728DD" w:rsidP="005728DD">
      <w:pPr>
        <w:pStyle w:val="TextoNormal"/>
      </w:pPr>
      <w:r w:rsidRPr="005728DD">
        <w:rPr>
          <w:rStyle w:val="NumeroAFNegritaCaracter"/>
        </w:rPr>
        <w:t>12</w:t>
      </w:r>
      <w:r>
        <w:t>. Mediante providencia de fecha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El objeto del presente recurso de amparo es determinar si las resoluciones impugnadas han vulnerado el derecho a la tutela judicial efectiva (art. 24.1 CE) de la entidad recurrente,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005728DD" w:rsidRDefault="005728DD" w:rsidP="005728DD">
      <w:pPr>
        <w:pStyle w:val="TextoNormal"/>
      </w:pPr>
    </w:p>
    <w:p w:rsidR="005728DD" w:rsidRDefault="005728DD" w:rsidP="005728DD">
      <w:pPr>
        <w:pStyle w:val="TextoNormal"/>
      </w:pPr>
      <w:r>
        <w:t>En concreto, en el presente recurso la entidad Euroinversiones Inmobiliarias Costa Sur, S.L., impugna los autos del Juzgado de Primera Instancia núm. 4 de Lorca, de 14 de noviembre de 2018 y 20 de noviembre de 2019, recaídos en el proceso hipotecario núm. 364-2018.</w:t>
      </w:r>
    </w:p>
    <w:p w:rsidR="005728DD" w:rsidRDefault="005728DD" w:rsidP="005728DD">
      <w:pPr>
        <w:pStyle w:val="TextoNormal"/>
      </w:pPr>
    </w:p>
    <w:p w:rsidR="005728DD" w:rsidRDefault="005728DD" w:rsidP="005728DD">
      <w:pPr>
        <w:pStyle w:val="TextoNormal"/>
      </w:pPr>
      <w:r>
        <w:t xml:space="preserve">Planteado en estos términos el debate, debe indicarse que el Pleno de este tribunal ha dictado la STC 40/2020, de 25 de febrero, en la que ha tenido la oportunidad de resolver el recurso de amparo cabecera de esta serie, promovido contra dos autos de coincidente contenido con los que ahora se impugnan, y donde dio respuesta a los mismos argumentos que defiende aquí la recurrente, con fallo estimatorio de la demanda. Descartada aquí la concurrencia de algún elemento distintivo que obligue a una fundamentación o resultado distinto </w:t>
      </w:r>
      <w:r>
        <w:lastRenderedPageBreak/>
        <w:t>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En el fundamento jurídico 3 de la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5728DD">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el recurso de amparo presentado por Euroinversiones Inmobiliarias Costa Sur,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 xml:space="preserve">2º Declarar la nulidad de los autos de 14 de noviembre de 2018 y 20 de noviembre de 2019, dictados por el Juzgado de Primera Instancia e Instrucción núm. 4 de Lorca en el </w:t>
      </w:r>
      <w:r>
        <w:lastRenderedPageBreak/>
        <w:t>proceso de ejecución hipotecaria núm. 364-2018,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juzgado ejecutor,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6" w:name="SENTENCIA_2021_33"/>
      <w:r>
        <w:lastRenderedPageBreak/>
        <w:t>SENTENCIA 33/2021, de 15 de febrero de 2021</w:t>
      </w:r>
    </w:p>
    <w:bookmarkEnd w:id="36"/>
    <w:p w:rsidR="005728DD" w:rsidRDefault="005728DD" w:rsidP="005728DD">
      <w:pPr>
        <w:pStyle w:val="TtuloResolucin"/>
      </w:pPr>
      <w:r>
        <w:t>Sala Segunda</w:t>
      </w:r>
    </w:p>
    <w:p w:rsidR="005728DD" w:rsidRDefault="005728DD" w:rsidP="005728DD">
      <w:pPr>
        <w:pStyle w:val="TtuloBOE"/>
      </w:pPr>
      <w:r>
        <w:t>(BOE núm. 69, de 22 de marzo de 2021)</w:t>
      </w:r>
    </w:p>
    <w:p w:rsidR="005728DD" w:rsidRDefault="005728DD" w:rsidP="005728DD">
      <w:pPr>
        <w:pStyle w:val="TextoNormalCentrado"/>
      </w:pPr>
      <w:r>
        <w:t>ECLI:ES:TC:2021:33</w:t>
      </w:r>
    </w:p>
    <w:p w:rsidR="005728DD" w:rsidRDefault="005728DD" w:rsidP="005728DD">
      <w:pPr>
        <w:pStyle w:val="TextoNormalCentrado"/>
      </w:pPr>
    </w:p>
    <w:p w:rsidR="005728DD" w:rsidRDefault="005728DD" w:rsidP="005728DD">
      <w:pPr>
        <w:pStyle w:val="SntesisDescriptiva"/>
      </w:pPr>
      <w:r>
        <w:t>Recurso de amparo 446-2020. Promovido por Aluminios del Maestre, S.A., respecto de las resoluciones dictadas por un juzgado de primera instancia e instrucción de Villafranca de los Barros (Badajoz) en proceso de reclamación de cantidad.</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446-2020, promovido por Aluminios del Maestre, S.A., contra el auto del Juzgado de Primera Instancia e Instrucción núm. 1 de Villafranca de los Barros (Badajoz), de 20 de noviembre de 2019, que desestimó el incidente de nulidad de actuaciones planteado contra la sentencia 14/2019, de 6 de febrero, dictada en el procedimiento ordinario núm. 497-2018, promovido por la entidad Casimiro Canónico Santos, S.L., personada en estas actuaciones.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22 de enero de 2020, la procuradora de los tribunales doña María Soledad Domínguez Macías, actuando en nombre y representación de Aluminios del Maestre, S.A., bajo la defensa del letrado don Luis Corchero Romero,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En fecha 29 de junio de 2018, la entidad Casimiro Canónico Santos, S.L., interpuso demanda de reclamación de cantidad contra la ahora recurrente de amparo, en el ejercicio de una acción de repetición. Incoado procedimiento ordinario (núm. 497-2018), por decreto del letrado de la administración de justicia del Juzgado de Primera Instancia e Instrucción núm. 1 de Villafranca de los Barros (Badajoz), de 9 de octubre de 2018 se acordó la admisión a trámite de la demanda, así como la notificación y emplazamiento de la demandada, con traslado de la demanda y documentación anexa, en el domicilio propuesto por la parte actora, que estaba ubicado en el polígono Los Varales, Avda. del Trabajo, s/n, de Villafranca de los Barros.</w:t>
      </w:r>
    </w:p>
    <w:p w:rsidR="005728DD" w:rsidRDefault="005728DD" w:rsidP="005728DD">
      <w:pPr>
        <w:pStyle w:val="TextoNormal"/>
      </w:pPr>
    </w:p>
    <w:p w:rsidR="005728DD" w:rsidRDefault="005728DD" w:rsidP="005728DD">
      <w:pPr>
        <w:pStyle w:val="TextoNormal"/>
      </w:pPr>
      <w:r>
        <w:t>b) A pesar de lo anterior, la notificación y emplazamiento se produjeron a través del servicio de notificaciones electrónicas de la Fábrica Nacional de Moneda y Timbre. Más en concreto, a través de la dirección electrónica habilitada. Según las certificaciones obrantes en las actuaciones, consta que la notificación de la cédula de emplazamiento tenía como número de referencia el “acto 06149410010000019227/2018”, y que fue enviada el 11 de octubre de 2018, a las 8:30 horas, sin que conste fecha de retirada por el destinatario.</w:t>
      </w:r>
    </w:p>
    <w:p w:rsidR="005728DD" w:rsidRDefault="005728DD" w:rsidP="005728DD">
      <w:pPr>
        <w:pStyle w:val="TextoNormal"/>
      </w:pPr>
    </w:p>
    <w:p w:rsidR="005728DD" w:rsidRDefault="005728DD" w:rsidP="005728DD">
      <w:pPr>
        <w:pStyle w:val="TextoNormal"/>
      </w:pPr>
      <w:r>
        <w:t>c) Por diligencia de ordenación de 18 de diciembre de 2018 se declaró a la recurrente en situación de rebeldía procesal, y se convocó a la audiencia previa. Consta que la notificación de esta diligencia tenía como número de referencia el “acto 06149410010000023816/2018”, y que fue enviada también por vía telemática el 20 de diciembre de 2018, a las 9:42 horas, sin que fuera retirada por la entidad destinataria.</w:t>
      </w:r>
    </w:p>
    <w:p w:rsidR="005728DD" w:rsidRDefault="005728DD" w:rsidP="005728DD">
      <w:pPr>
        <w:pStyle w:val="TextoNormal"/>
      </w:pPr>
    </w:p>
    <w:p w:rsidR="005728DD" w:rsidRDefault="005728DD" w:rsidP="005728DD">
      <w:pPr>
        <w:pStyle w:val="TextoNormal"/>
      </w:pPr>
      <w:r>
        <w:t>d) Celebrada la audiencia previa el 29 de enero de 2019, con la sola asistencia de la parte demandante, el 6 de febrero de 2019 se dictó sentencia estimatoria de la demanda, que también fue notificada a través de la dirección electrónica habilitada. En concreto, según la certificación obrante en las actuaciones, la notificación tenía como número de referencia el “acto 06149410010000002024/2019”, y fue enviada el 14 de febrero de 2019, a las 9:55 horas, sin que fuera retirada por el destinatario.</w:t>
      </w:r>
    </w:p>
    <w:p w:rsidR="005728DD" w:rsidRDefault="005728DD" w:rsidP="005728DD">
      <w:pPr>
        <w:pStyle w:val="TextoNormal"/>
      </w:pPr>
    </w:p>
    <w:p w:rsidR="005728DD" w:rsidRDefault="005728DD" w:rsidP="005728DD">
      <w:pPr>
        <w:pStyle w:val="TextoNormal"/>
      </w:pPr>
      <w:r>
        <w:t>La sentencia fue declarada firme por diligencia de ordenación de 9 de mayo de 2019, en la que se afirmaba que la sentencia había sido notificada a las partes el 7 de febrero de 2019. La declaración de firmeza también fue notificada electrónicamente en fecha 06 de septiembre de 2019, a las 9:56 horas.</w:t>
      </w:r>
    </w:p>
    <w:p w:rsidR="005728DD" w:rsidRDefault="005728DD" w:rsidP="005728DD">
      <w:pPr>
        <w:pStyle w:val="TextoNormal"/>
      </w:pPr>
    </w:p>
    <w:p w:rsidR="005728DD" w:rsidRDefault="005728DD" w:rsidP="005728DD">
      <w:pPr>
        <w:pStyle w:val="TextoNormal"/>
      </w:pPr>
      <w:r>
        <w:lastRenderedPageBreak/>
        <w:t>e) En fecha 2 de septiembre de 2019, la entidad Aluminios del Maestre, S.A., se personó en el procedimiento, interesando que se le diera traslado de lo actuado.</w:t>
      </w:r>
    </w:p>
    <w:p w:rsidR="005728DD" w:rsidRDefault="005728DD" w:rsidP="005728DD">
      <w:pPr>
        <w:pStyle w:val="TextoNormal"/>
      </w:pPr>
    </w:p>
    <w:p w:rsidR="005728DD" w:rsidRDefault="005728DD" w:rsidP="005728DD">
      <w:pPr>
        <w:pStyle w:val="TextoNormal"/>
      </w:pPr>
      <w:r>
        <w:t>f) En fecha 5 de septiembre de 2019, la entidad ahora recurrente presentó un incidente de nulidad de actuaciones, solicitando la nulidad de la sentencia y la retroacción del procedimiento hasta el momento de la admisión a trámite de la demanda, a fin de proceder a su contestación. En el mismo se alegaba haber tenido conocimiento de la existencia del proceso por el embargo trabado en sus cuentas corrientes, en el marco del procedimiento de ejecución núm. 315/2019, derivado de la firmeza de la citada sentencia. En el escrito se invocaba la vulneración del derecho a la tutela judicial efectiva, sin indefensión, y del derecho de defensa (art. 24 CE). Se indicaba la infracción de lo dispuesto en el art. 155.1 de la Ley de enjuiciamiento civil (LEC), es decir, por no haberse notificado la demanda y el primer emplazamiento en el domicilio de la demandada, y con entrega de la documentación correspondiente. Y, finalmente, se hacía una amplia reseña de la STC 47/2019, de 8 de abril, cuya doctrina entendía aplicable a ese supuesto.</w:t>
      </w:r>
    </w:p>
    <w:p w:rsidR="005728DD" w:rsidRDefault="005728DD" w:rsidP="005728DD">
      <w:pPr>
        <w:pStyle w:val="TextoNormal"/>
      </w:pPr>
    </w:p>
    <w:p w:rsidR="005728DD" w:rsidRDefault="005728DD" w:rsidP="005728DD">
      <w:pPr>
        <w:pStyle w:val="TextoNormal"/>
      </w:pPr>
      <w:r>
        <w:t xml:space="preserve">g) Por auto de 20 de noviembre de 2019 el juzgado desestimó el incidente de nulidad de actuaciones planteado por la entidad recurrente. En su fundamento jurídico segundo, y tras constatar la forma telemática de las notificaciones impugnadas, se admite el conocimiento de la “nueva doctrina constitucional” mencionada en el escrito. No obstante, considera que el órgano judicial “actuó conforme al Derecho vigente y aplicable durante la tramitación de [ese] procedimiento (previo a tal doctrina) y, por ende, ninguna indefensión se le causó a la parte demandada”. Para ello, señala que la STC 6/2019 (a la que se remite la STC 47/2019) fue publicada con posterioridad a la sentencia dictada en su procedimiento (en concreto, el 14 de febrero de 2019). Sobre esa base, con cita y reseña de los arts. 31.1 y 40 de la Ley Orgánica del Tribunal Constitucional (LOTC), entiende que la STC 6/2019 no puede “afectar a la fuerza de cosa juzgada de sentencias firmes ya dictadas y, como consecuencia, al principio de seguridad jurídica”, y “mucho menos” cuando en esa sentencia “no se declara la inconstitucionalidad de una norma”. Otro tanto sucede con la STC 47/2019, como se expone en el fundamento jurídico tercero del auto impugnado. Para el juzgado, esa sentencia “nada concreta sobre la posible retroactividad de [su] interpretación, por lo que entiende […] que debe prevalecer […] la fuerza de cosa juzgada de la sentencia firme ya dictada y el principio de seguridad jurídica”. Continúa argumentando que la “eficacia temporal del cambio de criterio jurisprudencial debe ser templada cuando su aplicación se traduce, en la práctica, en la exigencia de un requisito procesal de carácter formal del que depende la acción o el recurso que no se entendía exigible en el momento de la presentación del escrito, pues así lo impone el parámetro constitucional de la racionalidad de la decisión judicial y los principios de seguridad jurídica, confianza legítima, interdicción de la arbitrariedad y principio </w:t>
      </w:r>
      <w:r w:rsidRPr="005728DD">
        <w:rPr>
          <w:i/>
        </w:rPr>
        <w:t>tempus regit actum</w:t>
      </w:r>
      <w:r>
        <w:t xml:space="preserve">, los cuales [se] entiende incompatibles con declarar en este momento la nulidad de todo lo actuado”. Finalmente, se reconoce el “especial deber que tienen los órganos judiciales de garantizar la efectividad de los actos de comunicación procesal, dada su vinculación [con] el derecho fundamental de defensa y a una tutela judicial efectiva”. No obstante, señala que, por un lado, “hay constancia de la correcta remisión del acto de comunicación”, y por otro, que el emplazamiento se hizo siguiendo las “instrucciones dadas por el Ministerio de Justicia en el año 2016”. De manera que solo “tras el fallo de la citada sentencia del Tribunal Constitucional de fecha 8 de abril de 2019 [es] cuando el Ministerio de Justicia ha comunicado a todos los secretarios de gobierno de Tribunales Superiores de Justicia, Audiencia Nacional y Tribunal Supremo la obligación de notificar la </w:t>
      </w:r>
      <w:r>
        <w:lastRenderedPageBreak/>
        <w:t>citación o primer emplazamiento a las sociedades y demás personas jurídicas demandadas en su domicilio, y no mediante comunicación telemática a través de la dirección electrónica habilitada facilitada por el Ministerio de Hacienda”.</w:t>
      </w:r>
    </w:p>
    <w:p w:rsidR="005728DD" w:rsidRDefault="005728DD" w:rsidP="005728DD">
      <w:pPr>
        <w:pStyle w:val="TextoNormal"/>
      </w:pPr>
    </w:p>
    <w:p w:rsidR="005728DD" w:rsidRDefault="005728DD" w:rsidP="005728DD">
      <w:pPr>
        <w:pStyle w:val="TextoNormal"/>
      </w:pPr>
      <w:r>
        <w:t>Este auto fue notificado en fecha 4 de diciembre de 2019, con expresa indicación de que no cabía recurso alguno contra el mismo.</w:t>
      </w:r>
    </w:p>
    <w:p w:rsidR="005728DD" w:rsidRDefault="005728DD" w:rsidP="005728DD">
      <w:pPr>
        <w:pStyle w:val="TextoNormal"/>
      </w:pPr>
    </w:p>
    <w:p w:rsidR="005728DD" w:rsidRDefault="005728DD" w:rsidP="005728DD">
      <w:pPr>
        <w:pStyle w:val="TextoNormal"/>
      </w:pPr>
      <w:r>
        <w:t>h) En fecha 22 de enero de 2020 tuvo entrada en el registro de este tribunal la presente demanda de amparo, que tiene por objeto el auto de 20 de noviembre de 2019 por el que se desestima el incidente de nulidad de actuaciones planteado contra la sentencia de 6 de febrero de 2019, dictada por el Juzgado de Primera Instancia e Instrucción núm. 1 de Villafranca de los Barros (Badajoz) en el procedimiento ordinario núm. 497-2018.</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 resolución impugnada vulnera el derecho a la tutela judicial efectiva, sin indefensión, así como el derecho de defensa (art. 24 CE).</w:t>
      </w:r>
    </w:p>
    <w:p w:rsidR="005728DD" w:rsidRDefault="005728DD" w:rsidP="005728DD">
      <w:pPr>
        <w:pStyle w:val="TextoNormal"/>
      </w:pPr>
    </w:p>
    <w:p w:rsidR="005728DD" w:rsidRDefault="005728DD" w:rsidP="005728DD">
      <w:pPr>
        <w:pStyle w:val="TextoNormal"/>
      </w:pPr>
      <w:r>
        <w:t>Tras exponer los antecedentes de hecho que considera de interés, el recurrente afirma que el órgano judicial incumplió la normativa procesal (art. 155.2 LEC), al haber notificado telemáticamente el primer emplazamiento, cuando la norma exige que se haga de forma personal y con entrega de la documentación anexa. Esta infracción procesal le ha causado una doble indefensión. Por un lado, le ha privado del conocimiento de la existencia del proceso y, por lo tanto, del derecho de acceso a la jurisdicción para desplegar su derecho de defensa; y por otro lado, le ha privado de su derecho al recurso, al no haber podido impugnar la sentencia dictada. La demanda reseña parcialmente la STC 47/2019, como ya hizo en el incidente de nulidad de actuaciones, y muestra su disconformidad con los argumentos empleados en la resolución impugnada. Considera que el órgano judicial alude a un supuesto efecto irretroactivo de la doctrina de este tribunal, que solo es aplicable en los casos de recursos de inconstitucionalidad contra disposiciones normativas.</w:t>
      </w:r>
    </w:p>
    <w:p w:rsidR="005728DD" w:rsidRDefault="005728DD" w:rsidP="005728DD">
      <w:pPr>
        <w:pStyle w:val="TextoNormal"/>
      </w:pPr>
    </w:p>
    <w:p w:rsidR="005728DD" w:rsidRDefault="005728DD" w:rsidP="005728DD">
      <w:pPr>
        <w:pStyle w:val="TextoNormal"/>
      </w:pPr>
      <w:r>
        <w:t>La demanda dedica un apartado a justificar la especial trascendencia constitucional del recurso, en el que se alega expresamente que es “precisamente la vulneración de [la] consolidada doctrina” de este tribunal, concretada en las SSTC 6/2019 y 47/2019, lo que justifica el requisito exigido en el art. 49.1 LOTC.</w:t>
      </w:r>
    </w:p>
    <w:p w:rsidR="005728DD" w:rsidRDefault="005728DD" w:rsidP="005728DD">
      <w:pPr>
        <w:pStyle w:val="TextoNormal"/>
      </w:pPr>
    </w:p>
    <w:p w:rsidR="005728DD" w:rsidRDefault="005728DD" w:rsidP="005728DD">
      <w:pPr>
        <w:pStyle w:val="TextoNormal"/>
      </w:pPr>
      <w:r>
        <w:t>La demanda finaliza solicitando su estimación, con el consiguiente restablecimiento en el derecho vulnerado, mediante la reposición (</w:t>
      </w:r>
      <w:r w:rsidRPr="005728DD">
        <w:rPr>
          <w:i/>
        </w:rPr>
        <w:t>sic</w:t>
      </w:r>
      <w:r>
        <w:t>) de las actuaciones “al momento de ser practicada la notificación del emplazamiento para contestar la demanda, para que se proceda a su correcto emplazamiento”.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Una vez recibidas las actuaciones, la Sección Cuarta de este tribunal dictó providencia el 6 de octubre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y (ii) dirigir atenta comunicación al Juzgado de Primera Instancia e Instrucción número 1 de Villafranca de los Barros, a fin de que remita “certificación o fotocopia adverada de las actuaciones correspondientes al procedimiento ordinario núm. 497/2018”, debiendo “emplazarse […] a quienes hubieran sido parte en el procedimiento” de origen, excepto a la “recurrente en </w:t>
      </w:r>
      <w:r>
        <w:lastRenderedPageBreak/>
        <w:t>amparo”, para poder comparecer en el presente proceso constitucional en el plazo de diez días.</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23 de noviembre de 2020, el procurador de los tribunales don Elías Gutiérrez Benito, actuando en nombre y representación de la entidad Casimiro Canónico Santos, S.L., bajo la dirección letrada de don Luis Martín Terro Saiz-Pardo, solicitó que se le tuviera por personada en este recurso, entendiéndose con esa representación las sucesivas diligencias y notificaciones que se produjeran.</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15 de diciembre de 2020, la Secretaría de Justicia de la Sala Segunda de este tribunal dictó diligencia de ordenación por la que se acordó, de un lado, tener por personado y parte a la entidad Casimiro Canónico Santos, S.L.,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La fiscal ante el Tribunal Constitucional presentó escrito de alegaciones el 19 de enero de 2021,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y emplazamiento efectuado electrónicamente el día 11 de octubre de 2018 por el Juzgado de Primera Instancia e Instrucción núm. 1 de Villafranca de los Barros, en el juicio procedimiento ordinario 497-2018”, así como la retroacción de las actuaciones “al momento inmediatamente anterior a dicha notificación para que se le dé al recurrente [la] posibilidad de ejercer su derecho [a] contestar a la demanda”.</w:t>
      </w:r>
    </w:p>
    <w:p w:rsidR="005728DD" w:rsidRDefault="005728DD" w:rsidP="005728DD">
      <w:pPr>
        <w:pStyle w:val="TextoNormal"/>
      </w:pPr>
    </w:p>
    <w:p w:rsidR="005728DD" w:rsidRDefault="005728DD" w:rsidP="005728DD">
      <w:pPr>
        <w:pStyle w:val="TextoNormal"/>
      </w:pPr>
      <w:r>
        <w:t>En su escrito, la fiscal comienza con una reseña de los antecedentes que consideró de interés, para continuar señalando que nos encontramos ante el mismo supuesto que ya fue resuelto en sentido estimatorio mediante las SSTC 40/2020, de 27 de febrero y 43/2020, de 9 de marzo, cuyo contenido extracta parcialmente.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el art. 155.2 LEC. Para la fiscal, además, “el razonamiento de la juez de instancia basado en los artículos 31.1 y 40 LOTC debe ser rechazado de plano pues, al no encontrarnos en tales supuestos —procedimientos de inconstitucionalidad— no devienen aplicables en este”.</w:t>
      </w:r>
    </w:p>
    <w:p w:rsidR="005728DD" w:rsidRDefault="005728DD" w:rsidP="005728DD">
      <w:pPr>
        <w:pStyle w:val="TextoNormal"/>
      </w:pPr>
    </w:p>
    <w:p w:rsidR="005728DD" w:rsidRDefault="005728DD" w:rsidP="005728DD">
      <w:pPr>
        <w:pStyle w:val="TextoNormal"/>
      </w:pPr>
      <w:r w:rsidRPr="005728DD">
        <w:rPr>
          <w:rStyle w:val="NumeroAFNegritaCaracter"/>
        </w:rPr>
        <w:t>8</w:t>
      </w:r>
      <w:r>
        <w:t>. La representante procesal de la entidad recurrente presentó su escrito de alegaciones el 25 de enero de 2021. En el mismo interesó que se dictara resolución estimatoria del recurso de amparo reiterando los argumentos expuestos en la demanda, y haciendo propios los razonamientos del informe emitido por el Ministerio Fiscal.</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En fecha 26 de enero de 2021 tuvo entrada el escrito de alegaciones de la representación de la entidad Casimiro Canónico Santos, S.L., En el mismo se plantea, inicialmente, la falta de especial trascendencia constitucional del recurso, que se concreta en que la demanda no ha distinguido “claramente entre la argumentación dirigida a razonar la existencia de la </w:t>
      </w:r>
      <w:r>
        <w:lastRenderedPageBreak/>
        <w:t>lesión […] invocada y la destinada a justificar que el problema planteado tiene una especial trascendencia constitucional”. A su juicio, el recurrente pretende “obtener una instancia más”, cuando “resulta más que evidente que si en su momento no recibió la comunicación del juzgado […] fue sencillamente porque no prestó una diligencia precisa, exigida legalmente”. El juzgado “actuó de forma correcta y dentro de los términos que en ese momento fijaba[n] las normas procesales e instrucciones al respecto”.</w:t>
      </w:r>
    </w:p>
    <w:p w:rsidR="005728DD" w:rsidRDefault="005728DD" w:rsidP="005728DD">
      <w:pPr>
        <w:pStyle w:val="TextoNormal"/>
      </w:pPr>
    </w:p>
    <w:p w:rsidR="005728DD" w:rsidRDefault="005728DD" w:rsidP="005728DD">
      <w:pPr>
        <w:pStyle w:val="TextoNormal"/>
      </w:pPr>
      <w:r>
        <w:t>En cuando a la cuestión de fondo, se reiteran los argumentos expuestos en el auto impugnado, que se considera ajustado a Derecho. La actuación judicial fue conforme con la normativa vigente. La supuesta indefensión del recurrente fue debida exclusivamente a su falta de diligencia al consultar o supervisar el sistema de notificaciones establecido, mientras que las SSTC 6/2019 y 47/2019 se dictaron con posterioridad a la actuación judicial, por lo que no procede su aplicación retroactiva de conformidad con lo dispuesto en los arts. 31.1 y 40 LOTC, a fin de garantizar el principio de seguridad jurídica.</w:t>
      </w:r>
    </w:p>
    <w:p w:rsidR="005728DD" w:rsidRDefault="005728DD" w:rsidP="005728DD">
      <w:pPr>
        <w:pStyle w:val="TextoNormal"/>
      </w:pPr>
    </w:p>
    <w:p w:rsidR="005728DD" w:rsidRDefault="005728DD" w:rsidP="005728DD">
      <w:pPr>
        <w:pStyle w:val="TextoNormal"/>
      </w:pPr>
      <w:r>
        <w:t>En consecuencia, interesa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Por la Secretaría de Justicia se ha dictado diligencia el 29 de enero de 2021, dejando constancia de la presentación de los escritos de alegaciones del Ministerio Fiscal y de la representación procesal de las partes personadas, quedando el asunto concluso y pendiente para deliberación cuando por turno corresponda.</w:t>
      </w:r>
    </w:p>
    <w:p w:rsidR="005728DD" w:rsidRDefault="005728DD" w:rsidP="005728DD">
      <w:pPr>
        <w:pStyle w:val="TextoNormal"/>
      </w:pPr>
    </w:p>
    <w:p w:rsidR="005728DD" w:rsidRDefault="005728DD" w:rsidP="005728DD">
      <w:pPr>
        <w:pStyle w:val="TextoNormal"/>
      </w:pPr>
      <w:r w:rsidRPr="005728DD">
        <w:rPr>
          <w:rStyle w:val="NumeroAFNegritaCaracter"/>
        </w:rPr>
        <w:t>11</w:t>
      </w:r>
      <w:r>
        <w:t>. Mediante providencia de fecha 11 de febrero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presente demanda plantea un supuesto de hecho idéntico a los ya resueltos en anteriores precedentes de este tribunal en los que se impugnaba la actuación judicial consistente en la inadmisión de incidentes de nulidad de actuaciones, por considerar realizados conforme a Derecho las notificaciones de la admisión de una demanda y el consiguiente emplazamiento para personación a través del servicio de notificaciones electrónicas y de dirección electrónica habilitada de la Fábrica Nacional de Moneda y Timbre.</w:t>
      </w:r>
    </w:p>
    <w:p w:rsidR="005728DD" w:rsidRDefault="005728DD" w:rsidP="005728DD">
      <w:pPr>
        <w:pStyle w:val="TextoNormal"/>
      </w:pPr>
    </w:p>
    <w:p w:rsidR="005728DD" w:rsidRDefault="005728DD" w:rsidP="005728DD">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5728DD" w:rsidRDefault="005728DD" w:rsidP="005728DD">
      <w:pPr>
        <w:pStyle w:val="TextoNormal"/>
      </w:pPr>
    </w:p>
    <w:p w:rsidR="005728DD" w:rsidRDefault="005728DD" w:rsidP="005728DD">
      <w:pPr>
        <w:pStyle w:val="TextoNormal"/>
      </w:pPr>
      <w:r>
        <w:t>El Ministerio Fiscal, por su parte, interesa la estimación del amparo. La parte contraria en el procedimiento judicial de origen interesa la desestimación del recurso, planteando su falta de especial trascendencia constitucional.</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xml:space="preserve">. </w:t>
      </w:r>
      <w:r w:rsidRPr="005728DD">
        <w:rPr>
          <w:i/>
        </w:rPr>
        <w:t>Sobre la especial trascendencia constitucional del recurso</w:t>
      </w:r>
      <w:r>
        <w:t>.</w:t>
      </w:r>
    </w:p>
    <w:p w:rsidR="005728DD" w:rsidRDefault="005728DD" w:rsidP="005728DD">
      <w:pPr>
        <w:pStyle w:val="TextoNormal"/>
      </w:pPr>
    </w:p>
    <w:p w:rsidR="005728DD" w:rsidRDefault="005728DD" w:rsidP="005728DD">
      <w:pPr>
        <w:pStyle w:val="TextoNormal"/>
      </w:pPr>
      <w:r>
        <w:t>La representación procesal de la entidad Casimiro Canónico Santos, S.L., plantea en su escrito de alegaciones la falta de especial trascendencia constitucional del recurso. Aunque formalmente no invoca la concurrencia de un óbice procesal, motivos de congruencia argumental con las alegaciones formuladas por las partes aconsejan abordar esta cuestión con carácter previo a la resolución de la queja objeto del recurso.</w:t>
      </w:r>
    </w:p>
    <w:p w:rsidR="005728DD" w:rsidRDefault="005728DD" w:rsidP="005728DD">
      <w:pPr>
        <w:pStyle w:val="TextoNormal"/>
      </w:pPr>
    </w:p>
    <w:p w:rsidR="005728DD" w:rsidRDefault="005728DD" w:rsidP="005728DD">
      <w:pPr>
        <w:pStyle w:val="TextoNormal"/>
      </w:pPr>
      <w:r>
        <w:t xml:space="preserve">La relevancia constitucional es, ciertamente, requisito exigible de conformidad con lo que disponen los arts. 49.1 y 50.1 b) LOTC y, por consiguiente, de orden público procesal (STC 159/2019, de 12 de diciembre, FJ 2, por remisión a la STC 113/2012, de 24 de mayo, FJ 2, y las allí citadas). Exigencias de certeza y buena administración de justicia (STEDH de 20 de enero de 2015, asunto </w:t>
      </w:r>
      <w:r w:rsidRPr="005728DD">
        <w:rPr>
          <w:i/>
        </w:rPr>
        <w:t>Arribas Antón c. España</w:t>
      </w:r>
      <w:r>
        <w:t>, § 46) obligan, pues, a explicitar el cumplimiento del mismo con el fin de hacer cognoscibles los criterios empleados al efecto por este tribunal que, en este caso, han sido objetados por una de las partes.</w:t>
      </w:r>
    </w:p>
    <w:p w:rsidR="005728DD" w:rsidRDefault="005728DD" w:rsidP="005728DD">
      <w:pPr>
        <w:pStyle w:val="TextoNormal"/>
      </w:pPr>
    </w:p>
    <w:p w:rsidR="005728DD" w:rsidRDefault="005728DD" w:rsidP="005728DD">
      <w:pPr>
        <w:pStyle w:val="TextoNormal"/>
      </w:pPr>
      <w:r>
        <w:t>En primer lugar, debemos recordar que la inicial admisión a trámite de la demanda de amparo no es obstáculo para, después, abordar o reconsiderar en sentencia la concurrencia de los presupuestos y requisitos procesales (por todas, SSTC 19/2014, de 10 de febrero, FJ 2, o 69/2011, de 16 de mayo, FJ 2). Nada impide que este tribunal, en el trámite de dictar sentencia y, por tanto, en un momento o fase procesal distintos del previsto para la admisión del recurso, pueda examinar, incluso de oficio, los requisitos exigidos para su admisión a trámite y, en caso de comprobar su incumplimiento, dictar un pronunciamiento de inadmisión del amparo solicitado (entre muchas, SSTC 126/2011, de 18 de julio, FJ 2, y 8/2017, de 19 de enero, FJ 2).</w:t>
      </w:r>
    </w:p>
    <w:p w:rsidR="005728DD" w:rsidRDefault="005728DD" w:rsidP="005728DD">
      <w:pPr>
        <w:pStyle w:val="TextoNormal"/>
      </w:pPr>
    </w:p>
    <w:p w:rsidR="005728DD" w:rsidRDefault="005728DD" w:rsidP="005728DD">
      <w:pPr>
        <w:pStyle w:val="TextoNormal"/>
      </w:pPr>
      <w:r>
        <w:t>A partir de las anteriores consideraciones iniciales, este tribunal ha decidido admitir el presente recurso de amparo porque apreció una especial trascendencia constitucional en el mismo (art. 50.1 b LOTC), vinculada a una “negativa manifiesta del deber de acatamiento de la doctrina de este tribunal” [STC 155/2009, de 25 de junio, FJ 2 a)].</w:t>
      </w:r>
    </w:p>
    <w:p w:rsidR="005728DD" w:rsidRDefault="005728DD" w:rsidP="005728DD">
      <w:pPr>
        <w:pStyle w:val="TextoNormal"/>
      </w:pPr>
    </w:p>
    <w:p w:rsidR="005728DD" w:rsidRDefault="005728DD" w:rsidP="005728DD">
      <w:pPr>
        <w:pStyle w:val="TextoNormal"/>
      </w:pPr>
      <w:r>
        <w:t>No encontramos ahora razones para modificar esa apreciación. Como se ha expuesto con más detalle en los antecedentes de esta sentencia, la parte demandante en el procedimiento de origen considera que no se cumple el requisito de la especial trascendencia constitucional de este recurso. En realidad, lo que plantea no es la falta de trascendencia sino la falta de justificación de esa trascendencia, porque considera que el ahora recurrente no ha objetivado o deslindado de forma adecuada la trascendencia constitucional del recurso de la propia vulneración alegada.</w:t>
      </w:r>
    </w:p>
    <w:p w:rsidR="005728DD" w:rsidRDefault="005728DD" w:rsidP="005728DD">
      <w:pPr>
        <w:pStyle w:val="TextoNormal"/>
      </w:pPr>
    </w:p>
    <w:p w:rsidR="005728DD" w:rsidRDefault="005728DD" w:rsidP="005728DD">
      <w:pPr>
        <w:pStyle w:val="TextoNormal"/>
      </w:pPr>
      <w:r>
        <w:t xml:space="preserve">Sin embargo, un análisis conjunto de los argumentos expuestos en la resolución impugnada, de las vulneraciones alegadas y de la justificación de la especial trascendencia constitucional planteada en la demanda, nos lleva a la conclusión de que esta expone, si bien sucintamente, los motivos por los que entiende que concurre este requisito procesal (art. 50.1 a, en relación con el art. 49.1 LOTC). El recurrente no alega ningún apartado concreto de la STC 155/2009, pero de los términos de su escrito se deduce que invoca un incumplimiento del deber del órgano judicial de acatar la doctrina de este tribunal. De hecho, en la demanda se dice expresamente que se había invocado ante el juzgado la “doctrina constitucional contenida en las sentencias 6/2019 de 17 de enero de 2019 y 47/2019, de 8 de abril </w:t>
      </w:r>
      <w:r>
        <w:lastRenderedPageBreak/>
        <w:t>del mismo año”, y que es “precisamente la vulneración de esta consolidada doctrina lo que justifica la especial trascendencia constitucional del recurso que exige el último inciso del apartado 1 del art. 49 de la Ley Orgánica del Tribunal Constitucional, a cuyo contenido nos remitimos”.</w:t>
      </w:r>
    </w:p>
    <w:p w:rsidR="005728DD" w:rsidRDefault="005728DD" w:rsidP="005728DD">
      <w:pPr>
        <w:pStyle w:val="TextoNormal"/>
      </w:pPr>
    </w:p>
    <w:p w:rsidR="005728DD" w:rsidRDefault="005728DD" w:rsidP="005728DD">
      <w:pPr>
        <w:pStyle w:val="TextoNormal"/>
      </w:pPr>
      <w:r>
        <w:t>Por ello, sin incurrir en la reconstrucción de la demanda, ni suplir las razones de las partes —sobre las que recae la carga de la argumentación— (tal y como proscriben, entre otras, las SSTC 42/2008, de 10 de marzo, y 182/2009, de 7 de septiembre), procede dar adecuada respuesta a la cuestión de fondo objeto de este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del Tribunal Constitucional sobre la cuestión planteada</w:t>
      </w:r>
      <w:r>
        <w:t>.</w:t>
      </w:r>
    </w:p>
    <w:p w:rsidR="005728DD" w:rsidRDefault="005728DD" w:rsidP="005728DD">
      <w:pPr>
        <w:pStyle w:val="TextoNormal"/>
      </w:pPr>
    </w:p>
    <w:p w:rsidR="005728DD" w:rsidRDefault="005728DD" w:rsidP="005728DD">
      <w:pPr>
        <w:pStyle w:val="TextoNormal"/>
      </w:pPr>
      <w:r>
        <w:t>Una vez desestimada la cuestión formal alegada, y planteado el debate en los términos descritos, debe indicarse que el Pleno de este tribunal ha dictado la STC 40/2020, de 27 de febrero, en la que ha tenido la oportunidad de resolver un recurso de amparo donde se dio respuesta a los mismos argumentos que defienden aquí las partes, con fallo estimatorio de la demanda. El pronunciamiento contenido en la citada STC 40/2020, ha sido ulteriormente reiterado en las SSTC 43/2020, de 9 de marzo; 55/2020, de 15 de junio; 76/2020, de 29 de junio; o 176/2020, de 30 de noviembre, por citar algunas de las más recientes.</w:t>
      </w:r>
    </w:p>
    <w:p w:rsidR="005728DD" w:rsidRDefault="005728DD" w:rsidP="005728DD">
      <w:pPr>
        <w:pStyle w:val="TextoNormal"/>
      </w:pPr>
    </w:p>
    <w:p w:rsidR="005728DD" w:rsidRDefault="005728DD" w:rsidP="005728DD">
      <w:pPr>
        <w:pStyle w:val="TextoNormal"/>
      </w:pPr>
      <w:r>
        <w:t>Descartada en este caso la concurrencia de algún elemento distintivo que obligue a una fundamentación o resultado diferente a lo declarado entonces, procede por tanto que hagamos aplicación de la doctrina expuesta en el citado precedente.</w:t>
      </w:r>
    </w:p>
    <w:p w:rsidR="005728DD" w:rsidRDefault="005728DD" w:rsidP="005728DD">
      <w:pPr>
        <w:pStyle w:val="TextoNormal"/>
      </w:pPr>
    </w:p>
    <w:p w:rsidR="005728DD" w:rsidRDefault="005728DD" w:rsidP="005728DD">
      <w:pPr>
        <w:pStyle w:val="TextoNormal"/>
      </w:pPr>
      <w:r>
        <w:t>Así,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[del] derecho fundamental” a la tutela judicial efectiva, como ya ha declarado este tribunal en varios recursos de amparo referidos a procesos laborales, civiles y concursales, que se especifican en el mismo fundamento jurídico 3, precisamente en aplicación de la doctrina de referencia (ver, en tal sentido, las SSTC 102/2019, de 16 de septiembre, FJ 2; 122/2019, de 28 de octubre, FJ 3; 129/2019, de 11 de noviembre, FJ 4; 150/2019, de 25 de noviembre, FJ 3, y 7/2020, de 27 de enero, FJ 2).</w:t>
      </w:r>
    </w:p>
    <w:p w:rsidR="005728DD" w:rsidRDefault="005728DD" w:rsidP="005728DD">
      <w:pPr>
        <w:pStyle w:val="TextoNormal"/>
      </w:pPr>
    </w:p>
    <w:p w:rsidR="005728DD" w:rsidRDefault="005728DD" w:rsidP="005728DD">
      <w:pPr>
        <w:pStyle w:val="TextoNormal"/>
      </w:pPr>
      <w:r>
        <w:t xml:space="preserve">Finalmente, constata entonces la STC 40/2020, en su FJ 4, como ha de hacerse también en el presente supuesto, que las resoluciones judiciales impugnadas vulneraron el derecho a la tutela judicial efectiva de la recurrente. El juzgado optó por un emplazamiento a través del servicio de notificaciones electrónicas y dirección electrónica habilitada de la Fábrica Nacional de Moneda y Timbre, que no está previsto en la normativa procesal para estos </w:t>
      </w:r>
      <w:r>
        <w:lastRenderedPageBreak/>
        <w:t>casos. Ese sistema de notificación determinó que el procedimiento se siguiera a espaldas de la entidad ahora recurrente, que no pudo ejercer las acciones que tuviera por conveniente.</w:t>
      </w:r>
    </w:p>
    <w:p w:rsidR="005728DD" w:rsidRDefault="005728DD" w:rsidP="005728DD">
      <w:pPr>
        <w:pStyle w:val="TextoNormal"/>
      </w:pPr>
    </w:p>
    <w:p w:rsidR="005728DD" w:rsidRDefault="005728DD" w:rsidP="005728DD">
      <w:pPr>
        <w:pStyle w:val="TextoNormal"/>
      </w:pPr>
      <w:r>
        <w:t>Una vez tuvo conocimiento del proceso, y planteado el correspondiente incidente de nulidad de actuaciones, este fue indebidamente desestimado.</w:t>
      </w:r>
    </w:p>
    <w:p w:rsidR="005728DD" w:rsidRDefault="005728DD" w:rsidP="005728DD">
      <w:pPr>
        <w:pStyle w:val="TextoNormal"/>
      </w:pPr>
    </w:p>
    <w:p w:rsidR="005728DD" w:rsidRDefault="005728DD" w:rsidP="005728DD">
      <w:pPr>
        <w:pStyle w:val="TextoNormal"/>
      </w:pPr>
      <w:r>
        <w:t>En efecto, el ahora recurrente expuso ante el juzgado la existencia de una doctrina consolidada de este tribunal, y el juzgado rechazó su aplicación mediante la invocación de su supuesta irretroactividad y de una pretendida primacía vinculante de unas instrucciones gubernativas sobre los sistemas de notificaciones telemáticas.</w:t>
      </w:r>
    </w:p>
    <w:p w:rsidR="005728DD" w:rsidRDefault="005728DD" w:rsidP="005728DD">
      <w:pPr>
        <w:pStyle w:val="TextoNormal"/>
      </w:pPr>
    </w:p>
    <w:p w:rsidR="005728DD" w:rsidRDefault="005728DD" w:rsidP="005728DD">
      <w:pPr>
        <w:pStyle w:val="TextoNormal"/>
      </w:pPr>
      <w:r>
        <w:t>Los razonamientos empleados en el auto impugnado no pueden ser acogidos. El juzgado consideró que no debía aplicar la doctrina de este tribunal, argumentando para ello lo dispuesto en los arts. 31 y 40 LOTC que, como el propio juzgado reconoce, están previstos para los procedimientos de inconstitucionalidad de disposiciones normativas (art. 40 LOTC), de naturaleza muy diversa a la que nos ocupa. Menor consistencia tiene el argumento de que se actuó en cumplimiento de las instrucciones gubernativas recibidas sobre la utilización del sistema de notificaciones telemáticas con las personas jurídicas, que se modificaron con posterioridad a las sentencias de este tribunal invocadas en el incidente. De esta forma, el juzgado obviaba el deber contenido en el art. 5.1 de la Ley Orgánica del Poder Judicial de interpretar y aplicar las leyes y los reglamentos según los preceptos y principios constitucionales, “conforme a la interpretación de los mismos que resulte de las resoluciones dictadas por el Tribunal Constitucional en todo tipo de procesos”. Una vez invocada la doctrina de este tribunal, el juzgado debió aplicarla en el caso concreto a fin de reparar la vulneración alegada, lo que no hizo.</w:t>
      </w:r>
    </w:p>
    <w:p w:rsidR="005728DD" w:rsidRDefault="005728DD" w:rsidP="005728DD">
      <w:pPr>
        <w:pStyle w:val="TextoNormal"/>
      </w:pPr>
    </w:p>
    <w:p w:rsidR="005728DD" w:rsidRDefault="005728DD" w:rsidP="005728DD">
      <w:pPr>
        <w:pStyle w:val="TextoNormal"/>
      </w:pPr>
      <w:r>
        <w:t>En consecuencia, procede la estimación del amparo por vulneración del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Procede, igualmente, el restablecimiento del derecho vulnerado, acordando la nulidad de la resolución impugnada y de todo lo actuado en el procedimiento de origen,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Aluminios del Maestre, S.A.,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 xml:space="preserve">2º Restablecerla en su derecho y, a tal fin, declarar la nulidad del auto de 20 de noviembre de 2019, dictado por el Juzgado de Primera Instancia e Instrucción núm. 1 de Villafranca de </w:t>
      </w:r>
      <w:r>
        <w:lastRenderedPageBreak/>
        <w:t>los Barros (Badajoz) en el proceso ordinario núm. 497-2018, así como la nulidad de las actuaciones realizadas a partir del decreto de 9 de octubre 2018, por el que se acordó la admisión a trámite de la demanda y la notificación y emplazamiento a la parte demandada, ahora recurrente.</w:t>
      </w:r>
    </w:p>
    <w:p w:rsidR="005728DD" w:rsidRDefault="005728DD" w:rsidP="005728DD">
      <w:pPr>
        <w:pStyle w:val="TextoNormal"/>
      </w:pPr>
    </w:p>
    <w:p w:rsidR="005728DD" w:rsidRDefault="005728DD" w:rsidP="005728DD">
      <w:pPr>
        <w:pStyle w:val="TextoNormal"/>
      </w:pPr>
      <w:r>
        <w:t>3º Retrotraer el procedimiento al momento inmediatamente posterior al dictado del decreto de 9 de octubre de 2018, debiendo llevarse a cabo de nuevo por el juzgado el trámite de notificación y emplazamiento a la parte demandada,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7" w:name="SENTENCIA_2021_34"/>
      <w:r>
        <w:lastRenderedPageBreak/>
        <w:t>SENTENCIA 34/2021, de 17 de febrero de 2021</w:t>
      </w:r>
    </w:p>
    <w:bookmarkEnd w:id="37"/>
    <w:p w:rsidR="005728DD" w:rsidRDefault="005728DD" w:rsidP="005728DD">
      <w:pPr>
        <w:pStyle w:val="TtuloResolucin"/>
      </w:pPr>
      <w:r>
        <w:t>Pleno</w:t>
      </w:r>
    </w:p>
    <w:p w:rsidR="005728DD" w:rsidRDefault="005728DD" w:rsidP="005728DD">
      <w:pPr>
        <w:pStyle w:val="TtuloBOE"/>
      </w:pPr>
      <w:r>
        <w:t>(BOE núm. 69, de 22 de marzo de 2021)</w:t>
      </w:r>
    </w:p>
    <w:p w:rsidR="005728DD" w:rsidRDefault="005728DD" w:rsidP="005728DD">
      <w:pPr>
        <w:pStyle w:val="TextoNormalCentrado"/>
      </w:pPr>
      <w:r>
        <w:t>ECLI:ES:TC:2021:34</w:t>
      </w:r>
    </w:p>
    <w:p w:rsidR="005728DD" w:rsidRDefault="005728DD" w:rsidP="005728DD">
      <w:pPr>
        <w:pStyle w:val="TextoNormalCentrado"/>
      </w:pPr>
    </w:p>
    <w:p w:rsidR="005728DD" w:rsidRDefault="005728DD" w:rsidP="005728DD">
      <w:pPr>
        <w:pStyle w:val="SntesisDescriptiva"/>
      </w:pPr>
      <w:r>
        <w:t>Recurso de amparo 1640-2020. Promovido por doña Meritxell Borràs i Solé respecto de la sentencia de la Sala de lo Penal del Tribunal Supremo que la condenó por un delito de desobediencia.</w:t>
      </w:r>
    </w:p>
    <w:p w:rsidR="005728DD" w:rsidRDefault="005728DD" w:rsidP="005728DD">
      <w:pPr>
        <w:pStyle w:val="SntesisDescriptiva"/>
      </w:pPr>
    </w:p>
    <w:p w:rsidR="005728DD" w:rsidRDefault="005728DD" w:rsidP="005728DD">
      <w:pPr>
        <w:pStyle w:val="SntesisAnaltica"/>
      </w:pPr>
      <w:r>
        <w:t>Supuesta vulneración de los derechos a la tutela judicial efectiva (resolución fundada en Derecho), al juez ordinario predeterminado por la ley y a la doble instancia penal: competencia objetiva de la Sala de lo Penal del Tribunal Supremo para la investigación y enjuiciamiento de la causa que tiene incuestionable base legal explícita; limitación fundada del derecho a la doble instancia cuando la resolución ha sido dictada por el órgano jurisdiccional superior en todos los órdenes.</w:t>
      </w:r>
    </w:p>
    <w:p w:rsidR="005728DD" w:rsidRDefault="005728DD" w:rsidP="005728DD">
      <w:pPr>
        <w:pStyle w:val="SntesisAnaltica"/>
      </w:pPr>
    </w:p>
    <w:p w:rsidR="005728DD" w:rsidRDefault="005728DD" w:rsidP="005728DD">
      <w:pPr>
        <w:pStyle w:val="Extracto"/>
      </w:pPr>
      <w:r>
        <w:t>1.</w:t>
      </w:r>
      <w:r>
        <w:tab/>
        <w:t>El contenido del derecho constitucional al juez ordinario predeterminado por la ley exige que el órgano judicial al que se atribuye un asunto litigioso haya sido creado por la norma jurídica, que esta le haya investido de jurisdicción y competencia con anterioridad al hecho motivador de la actuación o proceso judicial y que su régimen orgánico y procesal no permita calificarle de órgano especial o excepcional; la anterioridad de tales criterios al caso a enjuiciar garantiza que una vez determinado en concreto el juez de un caso, no podrá ser desposeído de su conocimiento en virtud de decisiones tomadas por órganos gubernativos (SSTC 101/1984 y 199/1987) [FJ 3].</w:t>
      </w:r>
    </w:p>
    <w:p w:rsidR="005728DD" w:rsidRDefault="005728DD" w:rsidP="005728DD">
      <w:pPr>
        <w:pStyle w:val="Extracto"/>
      </w:pPr>
    </w:p>
    <w:p w:rsidR="005728DD" w:rsidRDefault="005728DD" w:rsidP="005728DD">
      <w:pPr>
        <w:pStyle w:val="Extracto"/>
      </w:pPr>
      <w:r>
        <w:t>2.</w:t>
      </w:r>
      <w:r>
        <w:tab/>
        <w:t>La composición del órgano judicial así como el procedimiento de designación de los miembros que han de constituir el órgano ha de determinarse por la ley (SSTC 47/1983 y 93/1988). La garantía no sería eficaz si bastase con determinar legalmente el órgano judicial, pero pudieran designarse o alterarse arbitrariamente sus componentes, que son quienes van a ejercitar sus facultades intelectuales y volitivas en las decisiones que hayan de adoptarse [FJ 3].</w:t>
      </w:r>
    </w:p>
    <w:p w:rsidR="005728DD" w:rsidRDefault="005728DD" w:rsidP="005728DD">
      <w:pPr>
        <w:pStyle w:val="Extracto"/>
      </w:pPr>
    </w:p>
    <w:p w:rsidR="005728DD" w:rsidRDefault="005728DD" w:rsidP="005728DD">
      <w:pPr>
        <w:pStyle w:val="Extracto"/>
      </w:pPr>
      <w:r>
        <w:t>3.</w:t>
      </w:r>
      <w:r>
        <w:tab/>
        <w:t>La atribución que el art. 117.3 CE lleva a cabo en favor de juzgados y tribunales del ejercicio de la potestad jurisdiccional en todo tipo de procesos, según las normas de competencia y procedimiento legalmente establecidos, supone que la interpretación de las normas que regulan la competencia, y, por consiguiente, la determinación de cuál sea el órgano competente, corresponden exclusivamente a los propios tribunales de la jurisdicción ordinaria (STC 183/1999) [FJ 3].</w:t>
      </w:r>
    </w:p>
    <w:p w:rsidR="005728DD" w:rsidRDefault="005728DD" w:rsidP="005728DD">
      <w:pPr>
        <w:pStyle w:val="Extracto"/>
      </w:pPr>
    </w:p>
    <w:p w:rsidR="005728DD" w:rsidRDefault="005728DD" w:rsidP="005728DD">
      <w:pPr>
        <w:pStyle w:val="Extracto"/>
      </w:pPr>
      <w:r>
        <w:t>4.</w:t>
      </w:r>
      <w:r>
        <w:tab/>
        <w:t>El derecho a someter el fallo condenatorio y la pena ante un tribunal superior integra el derecho al proceso con todas las garantías reconocido en el art. 24.2 CE; a ello no obsta que, en caso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y garantías suficientes  (SSTC 51/1985 y 64/2001) [FJ 6].</w:t>
      </w:r>
    </w:p>
    <w:p w:rsidR="005728DD" w:rsidRDefault="005728DD" w:rsidP="005728DD">
      <w:pPr>
        <w:pStyle w:val="Extracto"/>
      </w:pPr>
    </w:p>
    <w:p w:rsidR="005728DD" w:rsidRDefault="005728DD" w:rsidP="005728DD">
      <w:pPr>
        <w:pStyle w:val="Extracto"/>
      </w:pPr>
      <w:r>
        <w:lastRenderedPageBreak/>
        <w:t>5.</w:t>
      </w:r>
      <w:r>
        <w:tab/>
        <w:t>La protección de la prerrogativa parlamentaria, de enjuiciamiento en única instancia, constituye una salvaguarda de la independencia institucional tanto de la asamblea legislativa afectada como del Poder Judicial,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[FJ 6].</w:t>
      </w:r>
    </w:p>
    <w:p w:rsidR="005728DD" w:rsidRDefault="005728DD" w:rsidP="005728DD">
      <w:pPr>
        <w:pStyle w:val="Extracto"/>
      </w:pPr>
    </w:p>
    <w:p w:rsidR="005728DD" w:rsidRDefault="005728DD" w:rsidP="005728DD">
      <w:pPr>
        <w:pStyle w:val="Extracto"/>
      </w:pPr>
      <w:r>
        <w:t>6.</w:t>
      </w:r>
      <w:r>
        <w:tab/>
        <w:t>Con la inescindibilidad de la causa se atiende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[FJ 6].</w:t>
      </w:r>
    </w:p>
    <w:p w:rsidR="005728DD" w:rsidRDefault="005728DD" w:rsidP="005728DD">
      <w:pPr>
        <w:pStyle w:val="Extracto"/>
      </w:pPr>
    </w:p>
    <w:p w:rsidR="005728DD" w:rsidRDefault="005728DD" w:rsidP="005728DD">
      <w:pPr>
        <w:pStyle w:val="Extracto"/>
      </w:pPr>
      <w:r>
        <w:t>7.</w:t>
      </w:r>
      <w:r>
        <w:tab/>
        <w:t>El Protocolo núm. 7 al CEDH establece una excepción significativa al derecho fundamental a la doble instancia penal, ya que su enunciado admite que las legislaciones de los Estados contratantes lo excluyan, entre otros supuestos cuando el culpable haya sido juzgado en primera instancia por el más alto Tribunal, frente a cuyas resoluciones no cabe recurso ordinario alguno. Tal circunstancia justifica la limitación del derecho a la doble instancia penal [FJ 6].</w:t>
      </w:r>
    </w:p>
    <w:p w:rsidR="005728DD" w:rsidRDefault="005728DD" w:rsidP="005728DD">
      <w:pPr>
        <w:pStyle w:val="Extracto"/>
      </w:pPr>
    </w:p>
    <w:p w:rsidR="005728DD" w:rsidRDefault="005728DD" w:rsidP="005728DD">
      <w:pPr>
        <w:pStyle w:val="Extracto"/>
      </w:pPr>
      <w:r>
        <w:t>8.</w:t>
      </w:r>
      <w:r>
        <w:tab/>
        <w:t>La exigencia motivación de las sentencias que impone el art. 120.3 CE incluye la obligación de fundamentar los hechos, la calificación jurídica y también la  pena impuesta, por cuanto el margen de discrecionalidad del que legalmente goza el juez penal en la determinación de la pena a imponer no constituye por sí mismo justificación suficiente de la decisión finalmente adoptada; por el contrario, el ejercicio de dicha facultad viene condicionado estrechamente por la exigencia de que la resolución esté motivada, pues solo así puede procederse a su control posterior y evitarse la arbitrariedad (STC 91/2009) [FJ 7].</w:t>
      </w:r>
    </w:p>
    <w:p w:rsidR="005728DD" w:rsidRDefault="005728DD" w:rsidP="005728DD">
      <w:pPr>
        <w:pStyle w:val="Extracto"/>
      </w:pPr>
    </w:p>
    <w:p w:rsidR="005728DD" w:rsidRDefault="005728DD" w:rsidP="005728DD">
      <w:pPr>
        <w:pStyle w:val="Extracto"/>
      </w:pPr>
      <w:r>
        <w:t>9.</w:t>
      </w:r>
      <w:r>
        <w:tab/>
        <w:t>Conforme al art. 50.5 del Código Penal, la cuota diaria se ha de determinar teniendo en cuenta, exclusivamente, la situación económica de la persona condenada, deducida de su patrimonio, ingresos, obligaciones y cargas familiares y demás circunstancias personales; debiendo motivarse debidamente en la correspondiente resolución judicial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1640-2020, promovido por doña Meritxell Borràs i Solé, representada por el procurador de los tribunales don Carlos Estévez Sanz y asistida por la letrada doña Judit Gené Creus, contra la sentencia núm. 459/2019, de 14 de octubre, dictada por la Sala de lo Penal del Tribunal Supremo en la causa especial núm. 20907-2017, que le condenó como autora de un delito de desobediencia, y contra el auto de 29 de enero de 2020 que desestimó los incidentes de nulidad de actuaciones interpuestos frente a aquella. Han sido parte el abogado del Estado, en la representación que legalmente ostenta; el partido político Vox, representado por la procuradora doña María del Pilar Hidalgo López y asistido por la letrada doña Marta Asunción Castro Fuentes; y don Carles Puigdemont i Casamajó, representado por el procurador don Carlos Estévez Sanz y asistido por el letrado don Gonzalo Boye Tuset. Ha intervenido el Ministerio Fiscal. Ha sido ponente el magistrado don Cándido Conde-Pumpido Tourón.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recibido en el registro general de este tribunal el día 12 de marzo de 2020, el procurador don Carlos Estévez Sanz, actuando en nombre y representación de doña Meritxell Borràs i Solé, interpuso recurso de amparo impugnando las resoluciones judiciales que se citan en el encabezamiento, mediante las que la Sala de lo Penal del Tribunal Supremo acordó y ratificó su condena como autora de un delito de desobediencia [art. 410 del Código penal (CP)], absolviéndola de los de malversación de caudales públicos (art. 432 CP) y organización criminal (art. 570 CP), de los que había sido también acusada en la causa especial núm. 20907-2017.</w:t>
      </w:r>
    </w:p>
    <w:p w:rsidR="005728DD" w:rsidRDefault="005728DD" w:rsidP="005728DD">
      <w:pPr>
        <w:pStyle w:val="TextoNormal"/>
      </w:pPr>
    </w:p>
    <w:p w:rsidR="005728DD" w:rsidRDefault="005728DD" w:rsidP="005728DD">
      <w:pPr>
        <w:pStyle w:val="TextoNormal"/>
      </w:pPr>
      <w:r w:rsidRPr="005728DD">
        <w:rPr>
          <w:rStyle w:val="NumeroAFNegritaCaracter"/>
        </w:rPr>
        <w:t>2</w:t>
      </w:r>
      <w:r>
        <w:t>. Son relevantes para el examen de las pretensiones deducidas en el presente recurso de amparo los siguientes antecedentes procesales:</w:t>
      </w:r>
    </w:p>
    <w:p w:rsidR="005728DD" w:rsidRDefault="005728DD" w:rsidP="005728DD">
      <w:pPr>
        <w:pStyle w:val="TextoNormal"/>
      </w:pPr>
    </w:p>
    <w:p w:rsidR="005728DD" w:rsidRDefault="005728DD" w:rsidP="005728DD">
      <w:pPr>
        <w:pStyle w:val="TextoNormal"/>
      </w:pPr>
      <w:r>
        <w:t>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entre otros, que se valoraban como obstruccionistas de la actividad policial. Las únicas personas que fueron nominalmente citadas en dicha denuncia fueron don Jordi Sánchez i Picanyol, presidente de la Asamblea Nacional Catalana, y don Jordi Cuixart Navarro, presidente de la entidad Òmnium Cultural. La denuncia calificó los hechos como constitutivos de un delito de sedición, previsto en los arts. 544 y ss.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005728DD" w:rsidRDefault="005728DD" w:rsidP="005728DD">
      <w:pPr>
        <w:pStyle w:val="TextoNormal"/>
      </w:pPr>
    </w:p>
    <w:p w:rsidR="005728DD" w:rsidRDefault="005728DD" w:rsidP="005728DD">
      <w:pPr>
        <w:pStyle w:val="TextoNormal"/>
      </w:pPr>
      <w:r>
        <w:t>b) Ocho días después, el 30 de octubre de 2017, el fiscal general del Estado presentó dos querellas por unos mismos hechos que consideraba podían ser constitutivos de los delitos de rebelión (art. 472 CP), sedición (art. 544 CP) y malversación de caudales públicos (art. 432 CP).</w:t>
      </w:r>
    </w:p>
    <w:p w:rsidR="005728DD" w:rsidRDefault="005728DD" w:rsidP="005728DD">
      <w:pPr>
        <w:pStyle w:val="TextoNormal"/>
      </w:pPr>
    </w:p>
    <w:p w:rsidR="005728DD" w:rsidRDefault="005728DD" w:rsidP="005728DD">
      <w:pPr>
        <w:pStyle w:val="TextoNormal"/>
      </w:pPr>
      <w:r>
        <w:t>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005728DD" w:rsidRDefault="005728DD" w:rsidP="005728DD">
      <w:pPr>
        <w:pStyle w:val="TextoNormal"/>
      </w:pPr>
    </w:p>
    <w:p w:rsidR="005728DD" w:rsidRDefault="005728DD" w:rsidP="005728DD">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5728DD" w:rsidRDefault="005728DD" w:rsidP="005728DD">
      <w:pPr>
        <w:pStyle w:val="TextoNormal"/>
      </w:pPr>
    </w:p>
    <w:p w:rsidR="005728DD" w:rsidRDefault="005728DD" w:rsidP="005728DD">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005728DD" w:rsidRDefault="005728DD" w:rsidP="005728DD">
      <w:pPr>
        <w:pStyle w:val="TextoNormal"/>
      </w:pPr>
    </w:p>
    <w:p w:rsidR="005728DD" w:rsidRDefault="005728DD" w:rsidP="005728DD">
      <w:pPr>
        <w:pStyle w:val="TextoNormal"/>
      </w:pPr>
      <w:r>
        <w:t>(i)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005728DD" w:rsidRDefault="005728DD" w:rsidP="005728DD">
      <w:pPr>
        <w:pStyle w:val="TextoNormal"/>
      </w:pPr>
    </w:p>
    <w:p w:rsidR="005728DD" w:rsidRDefault="005728DD" w:rsidP="005728DD">
      <w:pPr>
        <w:pStyle w:val="TextoNormal"/>
      </w:pPr>
      <w:r>
        <w:t>(ii) designar instructor, conforme al turno establecido, al magistrado de la Sala Excmo. señor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5728DD" w:rsidRDefault="005728DD" w:rsidP="005728DD">
      <w:pPr>
        <w:pStyle w:val="TextoNormal"/>
      </w:pPr>
    </w:p>
    <w:p w:rsidR="005728DD" w:rsidRDefault="005728DD" w:rsidP="005728DD">
      <w:pPr>
        <w:pStyle w:val="TextoNormal"/>
      </w:pPr>
      <w:r>
        <w:t>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005728DD" w:rsidRDefault="005728DD" w:rsidP="005728DD">
      <w:pPr>
        <w:pStyle w:val="TextoNormal"/>
      </w:pPr>
    </w:p>
    <w:p w:rsidR="005728DD" w:rsidRDefault="005728DD" w:rsidP="005728DD">
      <w:pPr>
        <w:pStyle w:val="TextoNormal"/>
      </w:pPr>
      <w:r>
        <w:lastRenderedPageBreak/>
        <w:t>Recibida la información solicitada, el magistrado instructor dictó auto de fecha 24 de noviembre de 2017 en el que, apreciando conexidad entre las tres causas, extendió la investigación a los presidentes de las asociaciones Òmniun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005728DD" w:rsidRDefault="005728DD" w:rsidP="005728DD">
      <w:pPr>
        <w:pStyle w:val="TextoNormal"/>
      </w:pPr>
    </w:p>
    <w:p w:rsidR="005728DD" w:rsidRDefault="005728DD" w:rsidP="005728DD">
      <w:pPr>
        <w:pStyle w:val="TextoNormal"/>
      </w:pPr>
      <w:r>
        <w:t>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005728DD" w:rsidRDefault="005728DD" w:rsidP="005728DD">
      <w:pPr>
        <w:pStyle w:val="TextoNormal"/>
      </w:pPr>
    </w:p>
    <w:p w:rsidR="005728DD" w:rsidRDefault="005728DD" w:rsidP="005728DD">
      <w:pPr>
        <w:pStyle w:val="TextoNormal"/>
      </w:pPr>
      <w:r>
        <w:t xml:space="preserve">Señaló que, conforme a la jurisprudencia del Tribunal Europeo de Derechos Humanos (STEDH de 22 de junio de 2000, </w:t>
      </w:r>
      <w:r w:rsidRPr="005728DD">
        <w:rPr>
          <w:i/>
        </w:rPr>
        <w:t>Coëme y otros c. Bélgica</w:t>
      </w:r>
      <w:r>
        <w:t xml:space="preserve">,), debe regir un principio restrictivo al decidir la ampliación de la competencia objetiva de investigación por razón del aforamiento hacia encausados que no están sujetos </w:t>
      </w:r>
      <w:r w:rsidRPr="005728DD">
        <w:rPr>
          <w:i/>
        </w:rPr>
        <w:t>rationae personae</w:t>
      </w:r>
      <w:r>
        <w:t xml:space="preserve"> al Tribunal Supremo, pero que tal extensión era posible y obligada en este caso debido a que existe previsión legal al respecto y “concurren además razones procesales y de fondo que lo justifican, menos aún si las defensas de los encausados no han opuesto ninguna objeción a proceder de ese modo”.</w:t>
      </w:r>
    </w:p>
    <w:p w:rsidR="005728DD" w:rsidRDefault="005728DD" w:rsidP="005728DD">
      <w:pPr>
        <w:pStyle w:val="TextoNormal"/>
      </w:pPr>
    </w:p>
    <w:p w:rsidR="005728DD" w:rsidRDefault="005728DD" w:rsidP="005728DD">
      <w:pPr>
        <w:pStyle w:val="TextoNormal"/>
      </w:pPr>
      <w:r>
        <w:t>Concluyó argumentando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LECrim”.</w:t>
      </w:r>
    </w:p>
    <w:p w:rsidR="005728DD" w:rsidRDefault="005728DD" w:rsidP="005728DD">
      <w:pPr>
        <w:pStyle w:val="TextoNormal"/>
      </w:pPr>
    </w:p>
    <w:p w:rsidR="005728DD" w:rsidRDefault="005728DD" w:rsidP="005728DD">
      <w:pPr>
        <w:pStyle w:val="TextoNormal"/>
      </w:pPr>
      <w:r>
        <w:t xml:space="preserve">e) 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w:t>
      </w:r>
      <w:r>
        <w:lastRenderedPageBreak/>
        <w:t>existencia del procedimiento a fin de que pudieran ejercer su derecho de defensa (art. 118 LECrim).</w:t>
      </w:r>
    </w:p>
    <w:p w:rsidR="005728DD" w:rsidRDefault="005728DD" w:rsidP="005728DD">
      <w:pPr>
        <w:pStyle w:val="TextoNormal"/>
      </w:pPr>
    </w:p>
    <w:p w:rsidR="005728DD" w:rsidRDefault="005728DD" w:rsidP="005728DD">
      <w:pPr>
        <w:pStyle w:val="TextoNormal"/>
      </w:pPr>
      <w:r>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5728DD" w:rsidRDefault="005728DD" w:rsidP="005728DD">
      <w:pPr>
        <w:pStyle w:val="TextoNormal"/>
      </w:pPr>
    </w:p>
    <w:p w:rsidR="005728DD" w:rsidRDefault="005728DD" w:rsidP="005728DD">
      <w:pPr>
        <w:pStyle w:val="TextoNormal"/>
      </w:pPr>
      <w:r>
        <w:t>f) Por auto de 21 de marzo de 2018, ratificado en reforma y apelación mediante autos de 9 de mayo y 26 de junio del mismo año, se acordó el procesamiento de la demandante —junto con otros— como presunta autora de los delitos de desobediencia (art. 410 CP) y malversación de caudales públicos (art. 432 CP).</w:t>
      </w:r>
    </w:p>
    <w:p w:rsidR="005728DD" w:rsidRDefault="005728DD" w:rsidP="005728DD">
      <w:pPr>
        <w:pStyle w:val="TextoNormal"/>
      </w:pPr>
    </w:p>
    <w:p w:rsidR="005728DD" w:rsidRDefault="005728DD" w:rsidP="005728DD">
      <w:pPr>
        <w:pStyle w:val="TextoNormal"/>
      </w:pPr>
      <w:r>
        <w:t>g) Una vez ratificado el procesamiento, el magistrado instructor declaró concluso el sumario (auto de 9 de julio del 2018) y remitió las actuaciones y las piezas de convicción a la sala de enjuiciamiento. El Ministerio Fiscal, la Abogacía del Estado y la acusación popular personada instaron la confirmación del auto de conclusión y la apertura del juicio oral contra los procesados. La sala de enjuiciamiento confirmó la conclusión del sumario (auto de 25 de octubre de 2018) y mediante otro auto de la misma fecha declaró abierto el juicio oral, entre otros, contra la recurrente en amparo por los mismos delitos por los que había sido procesada: desobediencia (art. 410 CP) y malversación de caudales públicos (art. 432 CP).</w:t>
      </w:r>
    </w:p>
    <w:p w:rsidR="005728DD" w:rsidRDefault="005728DD" w:rsidP="005728DD">
      <w:pPr>
        <w:pStyle w:val="TextoNormal"/>
      </w:pPr>
    </w:p>
    <w:p w:rsidR="005728DD" w:rsidRDefault="005728DD" w:rsidP="005728DD">
      <w:pPr>
        <w:pStyle w:val="TextoNormal"/>
      </w:pPr>
      <w:r>
        <w:t>En sus conclusiones provisionales el Ministerio Fiscal calificó los hechos atribuidos a la demandante conforme a lo expresado en el auto de procesamiento (delitos de desobediencia y malversación de caudales públicos). Y solicitó que se le impusieran las siguientes penas: por el delito de malversación de caudales públicos las penas de siete años de prisión y de dieciséis años de inhabilitación absoluta; por el delito de desobediencia grave, las penas de diez meses de multa (con una cuota diaria de 100 €) y de un año y ocho meses de inhabilitación especial para empleo o cargo público (en concreto, para el ejercicio de cargos públicos electivos y de funciones de gobierno y/o administración, sean de ámbito local, provincial, autonómico, estatal o supranacional). De la misma forma, el abogado del Estado y la acusación popular solicitaron su condena por estos mismos delitos y, en el último caso, también por un delito de organización criminal. En relación con el delito de desobediencia, la acusación popular solicitó la imposición de las penas de multa (doce meses, con una cuota mensual de 9000 €) e inhabilitación especial para empleo o cargo público (durante dos años).</w:t>
      </w:r>
    </w:p>
    <w:p w:rsidR="005728DD" w:rsidRDefault="005728DD" w:rsidP="005728DD">
      <w:pPr>
        <w:pStyle w:val="TextoNormal"/>
      </w:pPr>
    </w:p>
    <w:p w:rsidR="005728DD" w:rsidRDefault="005728DD" w:rsidP="005728DD">
      <w:pPr>
        <w:pStyle w:val="TextoNormal"/>
      </w:pPr>
      <w:r>
        <w:t>h) Al amparo de lo previsto en los arts. 666.1 y ss. LECrim, tanto la demandante como otras personas acusadas presentaron, como artículo de previo pronunciamiento, una solicitud de declinatoria de jurisdicción en favor del Tribunal Superior de Justicia de Cataluña. Para justificar su pretensión, la demandante invocó expresamente la vulneración del derecho al juez predeterminado por la ley. Tomando en consideración dicha perspectiva, la pretensión fue desestimada mediante auto de 27 de diciembre de 2018, por el que la sala mantuvo su competencia objetiva para conocer y juzgar los delitos por los que los procesados habían sido provisionalmente acusados.</w:t>
      </w:r>
    </w:p>
    <w:p w:rsidR="005728DD" w:rsidRDefault="005728DD" w:rsidP="005728DD">
      <w:pPr>
        <w:pStyle w:val="TextoNormal"/>
      </w:pPr>
    </w:p>
    <w:p w:rsidR="005728DD" w:rsidRDefault="005728DD" w:rsidP="005728DD">
      <w:pPr>
        <w:pStyle w:val="TextoNormal"/>
      </w:pPr>
      <w:r>
        <w:lastRenderedPageBreak/>
        <w:t>i) En relación con la demandante de amparo, en las conclusiones definitivas se mantuvieron las pretensiones acusatorias provisionalmente formuladas por delitos de desobediencia, malversación de caudales públicos y organización criminal.</w:t>
      </w:r>
    </w:p>
    <w:p w:rsidR="005728DD" w:rsidRDefault="005728DD" w:rsidP="005728DD">
      <w:pPr>
        <w:pStyle w:val="TextoNormal"/>
      </w:pPr>
    </w:p>
    <w:p w:rsidR="005728DD" w:rsidRDefault="005728DD" w:rsidP="005728DD">
      <w:pPr>
        <w:pStyle w:val="TextoNormal"/>
      </w:pPr>
      <w:r>
        <w:t>j) El 14 de octubre de 2019 la Sala dictó sentencia en la referida causa especial. La demandante fue condenada tras ser considerada autora de un delito de desobediencia (art. 410 CP), mientras que fue absuelta de la acusación por los delitos de organización criminal y malversación de caudales públicos.</w:t>
      </w:r>
    </w:p>
    <w:p w:rsidR="005728DD" w:rsidRDefault="005728DD" w:rsidP="005728DD">
      <w:pPr>
        <w:pStyle w:val="TextoNormal"/>
      </w:pPr>
    </w:p>
    <w:p w:rsidR="005728DD" w:rsidRDefault="005728DD" w:rsidP="005728DD">
      <w:pPr>
        <w:pStyle w:val="TextoNormal"/>
      </w:pPr>
      <w:r>
        <w:t>En la sentencia condenatoria, al desestimar las alegadas vulneraciones de derechos fundamentales planteadas como cuestión previa por algunas de las personas acusadas, la sala analizó de nuevo, en los mismos términos, las quejas que denunciaban la vulneración del juez predeterminado por la ley como consecuencia de la indebida atribución de la competencia de enjuiciamiento [fundamento jurídico A) 4].</w:t>
      </w:r>
    </w:p>
    <w:p w:rsidR="005728DD" w:rsidRDefault="005728DD" w:rsidP="005728DD">
      <w:pPr>
        <w:pStyle w:val="TextoNormal"/>
      </w:pPr>
    </w:p>
    <w:p w:rsidR="005728DD" w:rsidRDefault="005728DD" w:rsidP="005728DD">
      <w:pPr>
        <w:pStyle w:val="TextoNormal"/>
      </w:pPr>
      <w:r>
        <w:t>El relato histórico de la sentencia se recoge en sus págs. 24 a 60. Sintéticamente expuesto, en relación con la demandante, se declara probado que, en su condición de Consejera de Gobernación, Administraciones Públicas y Vivienda del Govern de la Generalitat, desatendió los requerimientos recibidos del Tribunal Constitucional para que se abstuviera de ejecutar actos de apoyo o materialización de resoluciones y acuerdos parlamentarios que previamente hubieran sido suspendidos en su eficacia por el propio Tribunal Constitucional pese a que, en tal sentido, había sido expresa y personalmente apercibida en varias ocasiones.</w:t>
      </w:r>
    </w:p>
    <w:p w:rsidR="005728DD" w:rsidRDefault="005728DD" w:rsidP="005728DD">
      <w:pPr>
        <w:pStyle w:val="TextoNormal"/>
      </w:pPr>
    </w:p>
    <w:p w:rsidR="005728DD" w:rsidRDefault="005728DD" w:rsidP="005728DD">
      <w:pPr>
        <w:pStyle w:val="TextoNormal"/>
      </w:pPr>
      <w:r>
        <w:t>De otra parte, el juicio de autoría de la demandante por el delito de desobediencia, de forma conjunta con el de otros dos consejeros acusados, se expresó con el siguiente razonamiento [apartado C) 3, de los fundamentos de derecho de la sentencia condenatoria]:</w:t>
      </w:r>
    </w:p>
    <w:p w:rsidR="005728DD" w:rsidRDefault="005728DD" w:rsidP="005728DD">
      <w:pPr>
        <w:pStyle w:val="TextoNormal"/>
      </w:pPr>
    </w:p>
    <w:p w:rsidR="005728DD" w:rsidRDefault="005728DD" w:rsidP="005728DD">
      <w:pPr>
        <w:pStyle w:val="TextoNormal"/>
      </w:pPr>
      <w:r>
        <w:t>“3.2. […] La principal fuente de prueba para acreditar la contumaz desatención por todos ellos a los mandatos del Tribunal Constitucional, está constituida por fuentes de acceso público, principalmente el diario del Parlament y los boletines oficiales del Estado y la Generalitat. La Sala ha valorado también el testimonio de aquellos otros imputados y testigos que fueron objeto de idénticos requerimientos y, además, las explicaciones ofrecidas en sus respectivas declaraciones por don Santiago Vila i Vicente, doña Meritxel Borràs y don Carles Mundó i Blanch.</w:t>
      </w:r>
    </w:p>
    <w:p w:rsidR="005728DD" w:rsidRDefault="005728DD" w:rsidP="005728DD">
      <w:pPr>
        <w:pStyle w:val="TextoNormal"/>
      </w:pPr>
    </w:p>
    <w:p w:rsidR="005728DD" w:rsidRDefault="005728DD" w:rsidP="005728DD">
      <w:pPr>
        <w:pStyle w:val="TextoNormal"/>
      </w:pPr>
      <w:r>
        <w:t xml:space="preserve">Todos ellos fueron destinatarios, en su calidad de miembros del Govern, de los requerimientos emanados del Tribunal Constitucional para declarar la inconstitucionalidad y privar de efectos a las iniciativas legislativas y reglamentarias que se fueron adoptando durante el desarrollo de los hechos. Como hemos reflejado en el </w:t>
      </w:r>
      <w:r w:rsidRPr="005728DD">
        <w:rPr>
          <w:i/>
        </w:rPr>
        <w:t>factum</w:t>
      </w:r>
      <w:r>
        <w:t xml:space="preserve">, tanto los acuerdos de la mesa de admisión a trámite como los acuerdos del Pleno, que incluyeron el debate y votación de las leyes 19 y 20/2017, del referéndum y de transitoriedad, suprimiendo los trámites esenciales del procedimiento legislativo, se declararon nulos por sendos autos del Tribunal Constitucional —núms. 123/2017 y 124/2017, 19 de septiembre—. La ley 19/2017, publicada el 8 de septiembre 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w:t>
      </w:r>
      <w:r>
        <w:lastRenderedPageBreak/>
        <w:t>en responsabilidades penales. Las providencias de suspensión fueron notificadas personalmente con dichas advertencias a los miembros del Govern, y en calidad de tales, pues ninguno de ellos ocupaba escaño en esas fechas en Parlament.</w:t>
      </w:r>
    </w:p>
    <w:p w:rsidR="005728DD" w:rsidRDefault="005728DD" w:rsidP="005728DD">
      <w:pPr>
        <w:pStyle w:val="TextoNormal"/>
      </w:pPr>
    </w:p>
    <w:p w:rsidR="005728DD" w:rsidRDefault="005728DD" w:rsidP="005728DD">
      <w:pPr>
        <w:pStyle w:val="TextoNormal"/>
      </w:pPr>
      <w:r>
        <w:t>Fueron también destinatarios de los demás requerimientos a los que se alude en el relato de hechos probados y que eran consecuencia de la respuesta del Gobierno de la Nación frente a la intensa y precipitada actividad legislativa, encaminada a la creación de un marco jurídico que pudiera ser invocado para dar aparente cobertura a la celebración del referéndum ilegal.</w:t>
      </w:r>
    </w:p>
    <w:p w:rsidR="005728DD" w:rsidRDefault="005728DD" w:rsidP="005728DD">
      <w:pPr>
        <w:pStyle w:val="TextoNormal"/>
      </w:pPr>
    </w:p>
    <w:p w:rsidR="005728DD" w:rsidRDefault="005728DD" w:rsidP="005728DD">
      <w:pPr>
        <w:pStyle w:val="TextoNormal"/>
      </w:pPr>
      <w:r>
        <w:t>Una afectación más directa, en la medida en que el requerimiento aludía a un ámbito funcional bien próximo y que entraba de lleno en la prohibición contenida en los requerimientos precedentes, se produjo con ocasión de la firma del Decreto 139/2017, de convocatoria del referéndum. El Pleno del Tribunal Constitucional, por providencia de 7 de septiembre de 2017, suspendió su aplicación, con las correspondientes advertencias personales sobre las posibles responsabilidades penales y en orden a impedir los incumplimientos y la sentencia núm. 122/2017, de 31 de octubre de 2017, declaró la inconstitucionalidad y nulidad de la citada norma. Los tres acusados, en su calidad de miembros del ejecutivo autonómico, aprobaron ese decreto.</w:t>
      </w:r>
    </w:p>
    <w:p w:rsidR="005728DD" w:rsidRDefault="005728DD" w:rsidP="005728DD">
      <w:pPr>
        <w:pStyle w:val="TextoNormal"/>
      </w:pPr>
    </w:p>
    <w:p w:rsidR="005728DD" w:rsidRDefault="005728DD" w:rsidP="005728DD">
      <w:pPr>
        <w:pStyle w:val="TextoNormal"/>
      </w:pPr>
      <w:r>
        <w:t>El mismo 6 de septiembre de 2017, a propuesta del departamento de la Vicepresidencia y de Economía y Hacienda de la Generalitat de Cataluña, los señores Carles Mundó i Blanch y Santiago Vila i Vicente y la señora Meritxel Borràs, aprobaron en su calidad de consejeros del Govern, el Decreto 140/2017, de 6 de septiembre, de normas complementarias para la realización del referéndum de autodeterminación de Cataluña.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5728DD" w:rsidRDefault="005728DD" w:rsidP="005728DD">
      <w:pPr>
        <w:pStyle w:val="TextoNormal"/>
      </w:pPr>
    </w:p>
    <w:p w:rsidR="005728DD" w:rsidRDefault="005728DD" w:rsidP="005728DD">
      <w:pPr>
        <w:pStyle w:val="TextoNormal"/>
      </w:pPr>
      <w:r>
        <w:t>3.3. Las notificaciones que sirvieron de vehículo a los requerimientos personales dirigidos a los tres acusados por el Tribunal Constitucional —incorporadas como prueba documental a la causa— contenían una fórmula que se repetía en todos los casos. Les advertía de su deber de abstenerse de realizar cualesquiera actuaciones tendentes a dar cumplimiento a la resolución impugnada y se les recordaba ‘[...] su deber de impedir o paralizar cualquier iniciativa, jurídica o material, que directa o indirectamente suponga ignorar la nulidad de las resoluciones o actos normativos impugnados, [...] apercibiéndoles de las eventuales responsabilidades, incluida la penal, en las que pudieran incurrir en caso de incumplimiento de lo ordenado por este tribunal’.</w:t>
      </w:r>
    </w:p>
    <w:p w:rsidR="005728DD" w:rsidRDefault="005728DD" w:rsidP="005728DD">
      <w:pPr>
        <w:pStyle w:val="TextoNormal"/>
      </w:pPr>
    </w:p>
    <w:p w:rsidR="005728DD" w:rsidRDefault="005728DD" w:rsidP="005728DD">
      <w:pPr>
        <w:pStyle w:val="TextoNormal"/>
      </w:pPr>
      <w:r>
        <w:t xml:space="preserve">La señora Meritxel Borràs reconoció haber firmado el decreto de convocatoria del referéndum y ello pese a haber sido advertida de su deber en contrario. En su declaración en el juicio oral quiso ‘[...] poner en valor la disyuntiva que tenía’. Por un lado, el mandato de una mayoría absoluta que mandataba al Govern escogido por la Cámara, con mayoría absoluta, insiste, para hacer un referéndum. A esa voluntad política se sumaron los municipios y la ciudadanía a través de las manifestaciones organizadas. Podía imaginar que el referéndum sería suspendido. No buscaba —alegó— menospreciar al Tribunal Constitucional, pero se trataba del mandato democrático del Parlament, frente a un órgano judicial que, en los </w:t>
      </w:r>
      <w:r>
        <w:lastRenderedPageBreak/>
        <w:t>últimos años había estado sometido a una intensa politización. La firma del Decreto 139/2017, sin pretender quitarle valor era una firma no necesaria para la validez de un decreto. Bastan para ello las rúbricas del presidente de la Generalitat y del titular de la consejería afectada. Acepta, pues, que lo firmó, pero su firma no era necesaria: ‘[...] la firma de todos era un gesto para responder a esa voluntad frente al mandato del parlamento’. […]</w:t>
      </w:r>
    </w:p>
    <w:p w:rsidR="005728DD" w:rsidRDefault="005728DD" w:rsidP="005728DD">
      <w:pPr>
        <w:pStyle w:val="TextoNormal"/>
      </w:pPr>
    </w:p>
    <w:p w:rsidR="005728DD" w:rsidRDefault="005728DD" w:rsidP="005728DD">
      <w:pPr>
        <w:pStyle w:val="TextoNormal"/>
      </w:pPr>
      <w:r>
        <w:t xml:space="preserve">3.4. El rechazo basado en la convicción de la falta legitimidad política del tribunal ordenante —como ya hemos razonado </w:t>
      </w:r>
      <w:r w:rsidRPr="005728DD">
        <w:rPr>
          <w:i/>
        </w:rPr>
        <w:t>supra</w:t>
      </w:r>
      <w:r>
        <w:t xml:space="preserve"> de forma exhaustiva— nunca puede operar como causa de justificación. Los tres acusados eran perfectos conocedores de la existencia de un requerimiento formalmente emanado de quien reúne facultades legales para ello, sabían de su deber de acatamiento y, sin embargo, omitieron de forma contumaz lo que les había sido ordenado. La firma de los Decretos 139 y 140/2017, más allá de la estratégica degradación del valor de la firma de todos los consejeros, era bien expresiva de una inequívoca voluntad de rechazo al mandato constitucional que habían recibido con anterioridad. La estrategia de defensa —cuya legitimidad está fuera de toda duda— olvida que, con independencia de la firma del presidente y el consejero del departamento afectado por la norma, todo decreto es una norma reglamentaria aprobada por el órgano de gobierno, una decisión colegiada que, como tal, es fruto de la concertada voluntad de los integrantes del ejecutivo”.</w:t>
      </w:r>
    </w:p>
    <w:p w:rsidR="005728DD" w:rsidRDefault="005728DD" w:rsidP="005728DD">
      <w:pPr>
        <w:pStyle w:val="TextoNormal"/>
      </w:pPr>
    </w:p>
    <w:p w:rsidR="005728DD" w:rsidRDefault="005728DD" w:rsidP="005728DD">
      <w:pPr>
        <w:pStyle w:val="TextoNormal"/>
      </w:pPr>
      <w:r>
        <w:t>k) Por estos hechos, y con la descrita calificación jurídico-penal como delito de desobediencia, se impusieron a la demandante las siguientes penas: multa de diez meses, con una cuota diaria de 200 €, con responsabilidad personal subsidiaria de un día por cada dos cuotas no satisfechas, e inhabilitación especial para el ejercicio de cargos públicos electivos, ya sean de ámbito estatal, autonómico o local, así como para el ejercicio de funciones de gobierno en el ámbito estatal, autonómico o local, por tiempo de un año y ocho meses. Le fue también impuesta la condena al pago de 1/24 de las costas procesales.</w:t>
      </w:r>
    </w:p>
    <w:p w:rsidR="005728DD" w:rsidRDefault="005728DD" w:rsidP="005728DD">
      <w:pPr>
        <w:pStyle w:val="TextoNormal"/>
      </w:pPr>
    </w:p>
    <w:p w:rsidR="005728DD" w:rsidRDefault="005728DD" w:rsidP="005728DD">
      <w:pPr>
        <w:pStyle w:val="TextoNormal"/>
      </w:pPr>
      <w:r>
        <w:t>Al justificar la cuantía de la cuota diaria impuesta [apartado D) 3 de la fundamentación jurídica], la sala expresó lo siguiente:</w:t>
      </w:r>
    </w:p>
    <w:p w:rsidR="005728DD" w:rsidRDefault="005728DD" w:rsidP="005728DD">
      <w:pPr>
        <w:pStyle w:val="TextoNormal"/>
      </w:pPr>
    </w:p>
    <w:p w:rsidR="005728DD" w:rsidRDefault="005728DD" w:rsidP="005728DD">
      <w:pPr>
        <w:pStyle w:val="TextoNormal"/>
      </w:pPr>
      <w:r>
        <w:t>“El art. 410 del Código Penal castiga a ‘las autoridades y funcionarios públicos que se negaren abiertamente a dar el debido cumplimiento a resoluciones judiciales, decisiones u órdenes de la autoridad superior, dictadas dentro del ámbito de respectiva competencia y revestidos de las formalidades legales, incurrirán en la pena de multa de tres a doce meses e inhabilitación especial para empleo o cargo público por tiempo de seis meses a dos años’. La Sala considera que, en atención a los parámetros cuantitativos a que se refiere el art. 50.5 del Código Penal, deducidos de la situación económica de los tres acusados, su titulación profesional y de sus circunstancias personales, procede imponer a cada uno de ellos […] la pena de multa de diez meses, con una cuota diaria de 200 €, con responsabilidad personal subsidiaria de un día por cada dos cuotas no satisfechas, e inhabilitación especial para el ejercicio de cargos públicos electivos, ya sean de ámbito estatal, autonómico o local, así como para el ejercicio de funciones de gobierno en el ámbito estatal, autonómico o local, por tiempo de un año y ocho meses. La duración del tiempo de inhabilitación ha sido fijada tomando como referencia en el juicio ponderativo precedentes ya sentenciados por esta Sala, en los que la gravedad de los hechos no fue tan intensa y la contumacia de los acusados en desatender los requerimientos del Tribunal Constitucional no adquirió el significado y la relevancia que ahora expresan los hechos declarados probados”.</w:t>
      </w:r>
    </w:p>
    <w:p w:rsidR="005728DD" w:rsidRDefault="005728DD" w:rsidP="005728DD">
      <w:pPr>
        <w:pStyle w:val="TextoNormal"/>
      </w:pPr>
    </w:p>
    <w:p w:rsidR="005728DD" w:rsidRDefault="005728DD" w:rsidP="005728DD">
      <w:pPr>
        <w:pStyle w:val="TextoNormal"/>
      </w:pPr>
      <w:r>
        <w:lastRenderedPageBreak/>
        <w:t>l) Frente a la sentencia condenatoria, la demandante interpuso incidente de nulidad de actuaciones [</w:t>
      </w:r>
      <w:r w:rsidRPr="005728DD">
        <w:rPr>
          <w:i/>
        </w:rPr>
        <w:t>ex</w:t>
      </w:r>
      <w:r>
        <w:t xml:space="preserve"> art. 241 de la Ley Orgánica del Poder Judicial (LOPJ)]. Fue desestimado por auto de 29 de enero de 2020. Además de adherirse a las peticiones de nulidad planteadas por otros condenados que cuestionaron la competencia objetiva del tribunal enjuiciador, en su impugnación planteó específicamente la supuesta vulneración de su derecho a recibir una respuesta fundada en Derecho sobre la cuantía de la cuota diaria de la multa impuesta (art. 24.1 CE). La sala desestimó la solicitud de nulidad tras afirmar que “la sentencia dictada sí motiva este último importe y hace referencia para ello a la situación económica de los tres acusados, su titulación profesional y a las circunstancias personales que constan en autos. Los dos primeros parámetros están por otro lado íntimamente relacionados con el hecho notorio de que fueron consejeros del Gobierno de una comunidad autónoma”.</w:t>
      </w:r>
    </w:p>
    <w:p w:rsidR="005728DD" w:rsidRDefault="005728DD" w:rsidP="005728DD">
      <w:pPr>
        <w:pStyle w:val="TextoNormal"/>
      </w:pPr>
    </w:p>
    <w:p w:rsidR="005728DD" w:rsidRDefault="005728DD" w:rsidP="005728DD">
      <w:pPr>
        <w:pStyle w:val="TextoNormal"/>
      </w:pPr>
      <w:r w:rsidRPr="005728DD">
        <w:rPr>
          <w:rStyle w:val="NumeroAFNegritaCaracter"/>
        </w:rPr>
        <w:t>3</w:t>
      </w:r>
      <w:r>
        <w:t>. En su demanda de amparo afirma la recurrente que las resoluciones judiciales impugnadas han vulnerado sus derechos fundamentales al juez predeterminado por la ley y, por conexión, a la doble instancia penal (art. 24.2 CE), por haberse establecido indebidamente la competencia para la instrucción y enjuiciamiento de la causa en la Sala de lo Penal del Tribunal Supremo. En relación con la determinación del importe de la cuota diaria de la pena multa impuesta, aduce también la vulneración de su derecho a la tutela judicial efectiva (art. 24.1 CE), en cuanto le reconoce el derecho a obtener una motivación razonada y fundada en Derecho.</w:t>
      </w:r>
    </w:p>
    <w:p w:rsidR="005728DD" w:rsidRDefault="005728DD" w:rsidP="005728DD">
      <w:pPr>
        <w:pStyle w:val="TextoNormal"/>
      </w:pPr>
    </w:p>
    <w:p w:rsidR="005728DD" w:rsidRDefault="005728DD" w:rsidP="005728DD">
      <w:pPr>
        <w:pStyle w:val="TextoNormal"/>
      </w:pPr>
      <w:r>
        <w:t>En un apartado específico inicial justifica la especial transcendencia constitucional del recurso [arts. 49.1 y 50.1 b) de la Ley Orgánica del Tribunal Constitucional (LOTC)], la cual establece por referencia a los siguientes casos enumerados por el Tribunal Constitucional en la sentencia 155/2009, de 25 de junio [FJ 2, letras a), d) y g)]; esto es: (i) cuando un recurso plantee un problema o una faceta de un derecho fundamental susceptible de amparo sobre el que no haya doctrina del Tribunal Constitucional, dado que ese es el caso en relación con la preterición del aforamiento territorial ante el Tribunal Superior de Justicia de Cataluña cuando se exige responsabilidad penal a quienes ejercen funciones de gobierno autonómicas (art. 57.2 del Estatuto de Autonomía de Cataluña); (ii) cuando la vulneración del derecho fundamental traiga causa de una reiterada interpretación jurisprudencial de la ley que el Tribunal Constitucional considere lesiva del derecho fundamental y crea necesario proclamar otra interpretación conforme a la Constitución; dado que, según se afirma, es habitual que los tribunales no justifiquen individualizadamente la cuantía diaria de las multas que imponen, pese a que esta ha de tomar en consideración la capacidad económica real de los penados; (iii) cuando el asunto suscitado, sin estar incluido en ninguno de los supuestos anteriores, trascienda del caso concreto porque plantee una cuestión jurídica de relevante y general repercusión social o económica o tenga unas consecuencias políticas generales.</w:t>
      </w:r>
    </w:p>
    <w:p w:rsidR="005728DD" w:rsidRDefault="005728DD" w:rsidP="005728DD">
      <w:pPr>
        <w:pStyle w:val="TextoNormal"/>
      </w:pPr>
    </w:p>
    <w:p w:rsidR="005728DD" w:rsidRDefault="005728DD" w:rsidP="005728DD">
      <w:pPr>
        <w:pStyle w:val="TextoNormal"/>
      </w:pPr>
      <w:r>
        <w:t>De forma destacada, el recurso alega la relevante actualidad y repercusión política y social que subyace a los temas jurídicos de fondo. Y, en cuanto al fondo de los motivos de amparo:</w:t>
      </w:r>
    </w:p>
    <w:p w:rsidR="005728DD" w:rsidRDefault="005728DD" w:rsidP="005728DD">
      <w:pPr>
        <w:pStyle w:val="TextoNormal"/>
      </w:pPr>
    </w:p>
    <w:p w:rsidR="005728DD" w:rsidRDefault="005728DD" w:rsidP="005728DD">
      <w:pPr>
        <w:pStyle w:val="TextoNormal"/>
      </w:pPr>
      <w:r>
        <w:t xml:space="preserve">a) Afirma la recurrente que la asunción de la competencia objetiva para el conocimiento de la causa por parte de la Sala Penal del Tribunal Supremo se debe a una errónea interpretación de la trascendencia competencial de la ubicación geográfica de los hechos enjuiciados, y que tal indebido criterio se arrastra desde la admisión a trámite de la querella, y se ha mantenido tras el procesamiento y al desestimar la declinatoria de jurisdicción planteada. </w:t>
      </w:r>
      <w:r>
        <w:lastRenderedPageBreak/>
        <w:t>Señala que, si bien es verdad que varios de los investigados son aforados por su condición parlamentaria o por integrar el Consejo de Gobierno de la Generalitat, debieran haber sido enjuiciados ante el Tribunal Superior de Justicia de Cataluña. Niega que los hechos investigados y los que, después, fueron enjuiciados hubieran tenido lugar, ni siquiera en parte, fuera del territorio de la comunidad autónoma catalana. Afirma que la interpretación del art. 57.2 del Estatuto de Autonomía de Cataluña efectuada es exorbitada, insuficiente, excesivamente amplia y formalista, porque lo es entender que cualquier actuación realizada fuera del territorio nacional que se dirigiera al objetivo pretendido de declarar la independencia del territorio de Cataluña, permite afirmar la competencia del Tribunal Supremo. Finaliza señalando que, aunque únicamente una parte de los gastos imputados como malversación se podrían haber producido fuera de España, se trata de una infracción accesoria del delito más grave y principal a que se refiere el procedimiento y de actuaciones con una ínfima relevancia económica cuyo perjuicio habría ocurrido siempre en Cataluña, por lo que no pueden justificar por sí mismas la cuestionada asunción de competencia.</w:t>
      </w:r>
    </w:p>
    <w:p w:rsidR="005728DD" w:rsidRDefault="005728DD" w:rsidP="005728DD">
      <w:pPr>
        <w:pStyle w:val="TextoNormal"/>
      </w:pPr>
    </w:p>
    <w:p w:rsidR="005728DD" w:rsidRDefault="005728DD" w:rsidP="005728DD">
      <w:pPr>
        <w:pStyle w:val="TextoNormal"/>
      </w:pPr>
      <w:r>
        <w:t>En conexión con lo expresado, concluye la demanda señalando que, además de alejar el enjuiciamiento del lugar de comisión de los hechos, con las dificultades de defensa que ello supone, el efecto más relevante de la indebida atribución de competencia al Tribunal Supremo es que se cerró la posibilidad de recurrir la sentencia condenatoria en una nueva instancia, pues, de haber sido enjuiciada la causa ante el Tribunal Superior de Justicia de Cataluña, hubiera podido impugnar en casación una eventual decisión de condena.</w:t>
      </w:r>
    </w:p>
    <w:p w:rsidR="005728DD" w:rsidRDefault="005728DD" w:rsidP="005728DD">
      <w:pPr>
        <w:pStyle w:val="TextoNormal"/>
      </w:pPr>
    </w:p>
    <w:p w:rsidR="005728DD" w:rsidRDefault="005728DD" w:rsidP="005728DD">
      <w:pPr>
        <w:pStyle w:val="TextoNormal"/>
      </w:pPr>
      <w:r>
        <w:t>b) En el segundo motivo de amparo se queja la recurrente de la falta de motivación individualizada de la cuota diaria de multa que se le ha impuesto, pues considera genérica, insuficiente y estereotipada la referencia que en la decisión de condena se hace a sus anteriores ingresos como Consejera de la Generalitat. En su opinión, la fijación de una cuota diaria de 200 € (6000 € mensuales) se ha hecho a tanto alzado, sin evaluar su capacidad económica individual y sin realizar investigación alguna sobre su situación patrimonial real o sus circunstancias personales o familiares, por lo que —en este aspecto— la decisión de condena no puede ser considerada una resolución fundada en Derecho, conforme a la propia jurisprudencia constitucional (SSTC 108/2001, de 23 de abril; 170/2004, de 18 de octubre, y 108/2005, de 9 de mayo).</w:t>
      </w:r>
    </w:p>
    <w:p w:rsidR="005728DD" w:rsidRDefault="005728DD" w:rsidP="005728DD">
      <w:pPr>
        <w:pStyle w:val="TextoNormal"/>
      </w:pPr>
    </w:p>
    <w:p w:rsidR="005728DD" w:rsidRDefault="005728DD" w:rsidP="005728DD">
      <w:pPr>
        <w:pStyle w:val="TextoNormal"/>
      </w:pPr>
      <w:r>
        <w:t>Concluye la recurrente interesando que se le otorgue el amparo solicitado, se declaren vulnerados los derechos fundamentales alegados y, en caso de admitirse el primer motivo de amparo (derecho al juez predeterminado por la ley), se declare la nulidad de las resoluciones judiciales impugnadas. En relación con la vulneración del derecho a la tutela judicial efectiva, solicita que la nulidad se limite a la fijación de la cuantía de la cuota diaria de la multa impuesta, a fin de que se dicte nueva resolución suficientemente motivada sobre tal aspecto.</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6 de mayo de 2020, a propuesta de su presidente [art. 10.1 n) de la LOTC], el Pleno acordó recabar para sí el conocimiento del recurso de amparo y admitirlo a trámite por apreciar que concurre en el mismo una especial trascendencia constitucional (art. 50.1 LOTC), dado que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rsidR="005728DD" w:rsidRDefault="005728DD" w:rsidP="005728DD">
      <w:pPr>
        <w:pStyle w:val="TextoNormal"/>
      </w:pPr>
    </w:p>
    <w:p w:rsidR="005728DD" w:rsidRDefault="005728DD" w:rsidP="005728DD">
      <w:pPr>
        <w:pStyle w:val="TextoNormal"/>
      </w:pPr>
      <w:r>
        <w:t>A tenor de lo establecido en el art. 51 LOTC, acordó también dirigir atenta comunicación a la Sala de lo Penal del Tribunal Supremo para que, en plazo que no excediera de diez días, remitiera certificación o fotocopia adverada de la sentencia condenatoria de 14 de octubre de 2019 y del auto de 29 de enero de 2020, de la propia sala, que desestimó las solicitudes de nulidad de la decisión de condena; interesando al mismo tiempo que se emplazara a quienes fueron parte en el procedimiento, a excepción de la demandante de amparo, para que en el plazo de diez días pudiesen comparecer, si lo desean, en este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10 de junio de 2020 se tuvo por recibido el testimonio de las actuaciones solicitadas, reclamándose las copias de las notificaciones y emplazamientos que no habían sido remitidos.</w:t>
      </w:r>
    </w:p>
    <w:p w:rsidR="005728DD" w:rsidRDefault="005728DD" w:rsidP="005728DD">
      <w:pPr>
        <w:pStyle w:val="TextoNormal"/>
      </w:pPr>
    </w:p>
    <w:p w:rsidR="005728DD" w:rsidRDefault="005728DD" w:rsidP="005728DD">
      <w:pPr>
        <w:pStyle w:val="TextoNormal"/>
      </w:pPr>
      <w:r>
        <w:t>Por diligencia de ordenación de 28 de septiembre de 2020 se tuvo por personados y parte en este proceso constitucional a la procuradora doña María del Pilar Hidalgo López, en representación del partido político Vox, al abogado del Estado y al procurador don Carlos Ricardo Estévez Sanz, en representación de don Carles Puigdemont i Casamajó. Asimismo, a tenor de lo dispuesto en el art. 52 de la Ley Orgánica de este tribunal, se dio vista en la secretaría del Pleno de todas las actuaciones del presente recurso de amparo, a las partes personadas y al Ministerio Fiscal, por un plazo común de veinte días, para que dentro de dicho término pudieran presentar las alegaciones que a su derecho convengan.</w:t>
      </w:r>
    </w:p>
    <w:p w:rsidR="005728DD" w:rsidRDefault="005728DD" w:rsidP="005728DD">
      <w:pPr>
        <w:pStyle w:val="TextoNormal"/>
      </w:pPr>
    </w:p>
    <w:p w:rsidR="005728DD" w:rsidRDefault="005728DD" w:rsidP="005728DD">
      <w:pPr>
        <w:pStyle w:val="TextoNormal"/>
      </w:pPr>
      <w:r w:rsidRPr="005728DD">
        <w:rPr>
          <w:rStyle w:val="NumeroAFNegritaCaracter"/>
        </w:rPr>
        <w:t>6</w:t>
      </w:r>
      <w:r>
        <w:t>. En sus alegaciones, presentadas el 27 de octubre de 2020, el abogado del Estado, solicita la desestimación de las pretensiones de amparo:</w:t>
      </w:r>
    </w:p>
    <w:p w:rsidR="005728DD" w:rsidRDefault="005728DD" w:rsidP="005728DD">
      <w:pPr>
        <w:pStyle w:val="TextoNormal"/>
      </w:pPr>
    </w:p>
    <w:p w:rsidR="005728DD" w:rsidRDefault="005728DD" w:rsidP="005728DD">
      <w:pPr>
        <w:pStyle w:val="TextoNormal"/>
      </w:pPr>
      <w:r>
        <w:t xml:space="preserve">a) En relación con la alegada vulneración del derecho al juez predeterminado por la ley, con referencia a las SSTC 69/1984, de 11 de junio, 115/2006, de 24 de abril, 159/2014, de 6 de octubre, y la STEDH de 5 de octubre de 2010, asunto </w:t>
      </w:r>
      <w:r w:rsidRPr="005728DD">
        <w:rPr>
          <w:i/>
        </w:rPr>
        <w:t>DMD Group, A.S. v. Eslovaquia</w:t>
      </w:r>
      <w:r>
        <w:t xml:space="preserve">, considera que, a la vista de los fundados razonamientos con los que el Tribunal Supremo ha mantenido su competencia de enjuiciamiento, no estamos en este caso en un supuesto que suponga una manipulación manifiesta de las reglas legales sobre atribución de competencia, “sino ante una apreciación del órgano jurisdiccional conforme a la cual y en el plano estrictamente jurídico, considera su competencia sin atisbo de error evidente o manifiesto ni arbitrariedad alguna, sea o no discutido su razonamiento desde otros puntos de vista, entre ellos el del demandante de amparo”. Afirma que, al remitirse al contenido de los escritos de acusación para determinarla, la Sala Segunda del Tribunal Supremo no ha utilizado en este caso un criterio </w:t>
      </w:r>
      <w:r w:rsidRPr="005728DD">
        <w:rPr>
          <w:i/>
        </w:rPr>
        <w:t>ad hoc</w:t>
      </w:r>
      <w:r>
        <w:t xml:space="preserve"> para afirmar su competencia. Por último, se refiere a las alegaciones del demandante destacando algunos episodios fácticos de los hechos enjuiciados que, en su opinión, ponen de relieve que se produjeron fuera del territorio nacional; lo que justifica la competencia cuestionada.</w:t>
      </w:r>
    </w:p>
    <w:p w:rsidR="005728DD" w:rsidRDefault="005728DD" w:rsidP="005728DD">
      <w:pPr>
        <w:pStyle w:val="TextoNormal"/>
      </w:pPr>
    </w:p>
    <w:p w:rsidR="005728DD" w:rsidRDefault="005728DD" w:rsidP="005728DD">
      <w:pPr>
        <w:pStyle w:val="TextoNormal"/>
      </w:pPr>
      <w:r>
        <w:t xml:space="preserve">b) En consecuencia, cuestiona también que se haya privado injustificadamente a la demandante de su derecho a la doble instancia penal. Con referencia a la jurisprudencia constitucional previa sobre esta cuestión (SSTC 51/1985, de 10 de abril; 30/1986, de 20 de febrero, 64/2001, de 17 de marzo; 65 y 66/2001, de 17 de marzo), recuerda que dicha limitación deriva de la prerrogativa de aforamiento que ha conducido a haber sido juzgada la </w:t>
      </w:r>
      <w:r>
        <w:lastRenderedPageBreak/>
        <w:t>demandante por el Tribunal Supremo que, conforme al art. 123 CE, “es el órgano jurisdiccional superior en todos los órdenes, salvo lo dispuesto en materia de garantías constitucionales”; lo que es concorde con una de las excepciones que, al reconocimiento del derecho alegado, se establece en el artículo 2.2 del Protocolo séptimo del Convenio para la protección de los derechos humanos y de las libertades fundamentales (CEDH).</w:t>
      </w:r>
    </w:p>
    <w:p w:rsidR="005728DD" w:rsidRDefault="005728DD" w:rsidP="005728DD">
      <w:pPr>
        <w:pStyle w:val="TextoNormal"/>
      </w:pPr>
    </w:p>
    <w:p w:rsidR="005728DD" w:rsidRDefault="005728DD" w:rsidP="005728DD">
      <w:pPr>
        <w:pStyle w:val="TextoNormal"/>
      </w:pPr>
      <w:r>
        <w:t>c) Sobre la motivación de la cuota diaria de la pena de multa impuesta, denunciada como insuficiente, tras exponer la doctrina constitucional sobre la obligación de motivar las decisiones judiciales, se refiere a la jurisprudencia de la propia Sala de lo Penal del Tribunal Supremo sobre dicha exigencia para concluir que el deber constitucional de motivación no supone que las resoluciones judiciales hayan de ofrecer en todo caso una exhaustiva descripción del proceso intelectual que las justifica, sino que “basta con que se ponga de manifiesto la decisión judicial adoptada y que esta corresponde a una concreta interpretación y aplicación del Derecho ajena a la arbitrariedad”. Tales exigencias habrían sido satisfechas en la sentencia condenatoria y en el auto que desestimó la solicitud de nulidad de actuaciones, por cuanto el Tribunal Supremo “al llevar a cabo la individualización de la cuota de la multa diaria la realiza a través de un proceso de deducción de la solvencia del condenado en base a las circunstancias concurrentes, siendo la motivación llevada a cabo de carácter suficiente y bastante, por realizarse en base a indicios o criterios relacionados con la capacidad económica del condenado, que es lo que se exige para determinar la imposición de la cuota diaria en la imposición de la multa”.</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escrito registrado el 30 de octubre de 2020, la representación procesal del partido político Vox ha solicitado también la desestimación íntegra del recurso de amparo con las alegaciones que, en lo sustancial, se extractan a continuación:</w:t>
      </w:r>
    </w:p>
    <w:p w:rsidR="005728DD" w:rsidRDefault="005728DD" w:rsidP="005728DD">
      <w:pPr>
        <w:pStyle w:val="TextoNormal"/>
      </w:pPr>
    </w:p>
    <w:p w:rsidR="005728DD" w:rsidRDefault="005728DD" w:rsidP="005728DD">
      <w:pPr>
        <w:pStyle w:val="TextoNormal"/>
      </w:pPr>
      <w:r>
        <w:t>Arguye, inicialmente, que el presente recurso no presenta el interés constitucional al que se refiere la recurrente en su demanda, en la que, por lo demás, no hace el necesario esfuerzo argumental para fundamentar su especial trascendencia constitucional, lo que permite apreciar como insuficiente la justificación expresada.</w:t>
      </w:r>
    </w:p>
    <w:p w:rsidR="005728DD" w:rsidRDefault="005728DD" w:rsidP="005728DD">
      <w:pPr>
        <w:pStyle w:val="TextoNormal"/>
      </w:pPr>
    </w:p>
    <w:p w:rsidR="005728DD" w:rsidRDefault="005728DD" w:rsidP="005728DD">
      <w:pPr>
        <w:pStyle w:val="TextoNormal"/>
      </w:pPr>
      <w:r>
        <w:t>En relación con la aducida vulneración del derecho al juez ordinario predeterminado por la ley y a la doble instancia penal, considera que la asunción por el Tribunal Supremo de la competencia objetiva para la investigación y enjuiciamiento de los hechos objeto de querella se apoya en una interpretación de la ley que no es manifiestamente errónea ni arbitraria o irrazonable (STC 183/1999, de 11 de octubre) sino simple aplicación de la que denomina teoría doctrinal de la ubicuidad, conforme a la cual los delitos se cometen en todas las jurisdicciones en las que se haya realizado algún elemento del tipo.</w:t>
      </w:r>
    </w:p>
    <w:p w:rsidR="005728DD" w:rsidRDefault="005728DD" w:rsidP="005728DD">
      <w:pPr>
        <w:pStyle w:val="TextoNormal"/>
      </w:pPr>
    </w:p>
    <w:p w:rsidR="005728DD" w:rsidRDefault="005728DD" w:rsidP="005728DD">
      <w:pPr>
        <w:pStyle w:val="TextoNormal"/>
      </w:pPr>
      <w:r>
        <w:t>Por último, entiende que la pena de multa impuesta, en lo que se refiere a la determinación de la cuantía de su cuota diaria, lo ha sido con suficiente y precisa motivación. De esta forma, el tribunal enjuiciador ha ejercido el poder discrecional que la ley le atribuye, respetando de esta forma las exigencias jurisprudenciales que considera aplicables al caso (STC 25/2011, de 14 de marzo).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El Ministerio Fiscal evacuó el trámite de alegaciones que le fue conferido mediante escrito registrado el 12 de noviembre de 2020. Tras delimitar el objeto del recurso de amparo y resumir las razones de las pretensiones que en él se formulan, solicita en él su inadmisión </w:t>
      </w:r>
      <w:r>
        <w:lastRenderedPageBreak/>
        <w:t>parcial y, subsidiariamente su desestimación. La propuesta se apoya, en lo sustancial, en las siguientes consideraciones:</w:t>
      </w:r>
    </w:p>
    <w:p w:rsidR="005728DD" w:rsidRDefault="005728DD" w:rsidP="005728DD">
      <w:pPr>
        <w:pStyle w:val="TextoNormal"/>
      </w:pPr>
    </w:p>
    <w:p w:rsidR="005728DD" w:rsidRDefault="005728DD" w:rsidP="005728DD">
      <w:pPr>
        <w:pStyle w:val="TextoNormal"/>
      </w:pPr>
      <w:r>
        <w:t xml:space="preserve">a) La propuesta de inadmisión se justifica en relación con el motivo que aduce la vulneración del derecho al juez legal y a la doble instancia penal. Sostiene que la recurrente pretende acceder </w:t>
      </w:r>
      <w:r w:rsidRPr="005728DD">
        <w:rPr>
          <w:i/>
        </w:rPr>
        <w:t>per saltum</w:t>
      </w:r>
      <w:r>
        <w:t xml:space="preserve"> a la jurisdicción constitucional pues no ha agotado debidamente la vía judicial previa [art. 50.1.a) LOTC en relación con el art. 44.1.a)] dado que era procesalmente viable interponer recurso de súplica contra el auto de 27 de diciembre de 2018 por el que la Sala de lo Penal del Tribunal Supremo desestimó la declinatoria de jurisdicción planteada como artículo de previo pronunciamiento (art. 666.1 LECrim.). En el mismo sentido, entiende que la supuesta vulneración ahora denunciada debió ser planteada como cuestión previa en el momento inicial del juicio oral. Para el fiscal, al no promover las iniciativas procesales señaladas, la recurrente aceptó y asumió la competencia de la Sala de lo Penal del Tribunal Supremo que ahora cuestiona en amparo. Destaca que tampoco invocó los derechos alegados como primer motivo de amparo al solicitar la nulidad de actuaciones de la sentencia condenatoria; omisión esta que no puede entenderse suplida por haberse adherido a las solicitudes de nulidad planteadas por otros condenados, ya que las mismas se apoyaron en perspectivas distintas a las que se formulan en este recurso de amparo.</w:t>
      </w:r>
    </w:p>
    <w:p w:rsidR="005728DD" w:rsidRDefault="005728DD" w:rsidP="005728DD">
      <w:pPr>
        <w:pStyle w:val="TextoNormal"/>
      </w:pPr>
    </w:p>
    <w:p w:rsidR="005728DD" w:rsidRDefault="005728DD" w:rsidP="005728DD">
      <w:pPr>
        <w:pStyle w:val="TextoNormal"/>
      </w:pPr>
      <w:r>
        <w:t>b) En relación con la denunciada como insuficiente motivación de la cuota diaria de la pena de multa que le fue impuesta, tras reiterar la doctrina constitucional sobre el contenido del derecho alegado —art. 24.1 CE, en cuanto garantiza la motivación de las decisiones judiciales— y recoger la regulación legal de la pena de multa en el art. 50 del Código penal, concluye que no cabe entender que la resolución judicial analizada haya vulnerado el derecho alegado.</w:t>
      </w:r>
    </w:p>
    <w:p w:rsidR="005728DD" w:rsidRDefault="005728DD" w:rsidP="005728DD">
      <w:pPr>
        <w:pStyle w:val="TextoNormal"/>
      </w:pPr>
    </w:p>
    <w:p w:rsidR="005728DD" w:rsidRDefault="005728DD" w:rsidP="005728DD">
      <w:pPr>
        <w:pStyle w:val="TextoNormal"/>
      </w:pPr>
      <w:r>
        <w:t>Considera que la sentencia cuestionada ha sido motivada suficientemente, pues contiene los elementos y razones de juicio que permiten conocer cuáles han sido los criterios jurídicos que, conforme al código penal, han fundamentado la decisión, por lo que no cabe considerar que sea consecuencia de una aplicación arbitraria de la legalidad, ni que resulte manifiestamente irrazonable ni consecuencia de un error patente. Un análisis integral de la decisión condenatoria permitiría apreciar que, junto a los criterios específicos expresados para justificar la cuantía de la cuota diaria de la multa (la situación económica de la acusada, su titulación profesional y sus circunstancias personales), la sala atendió a su condición de ex consejera del Gobierno de la Generalitat, al número de requerimientos no atendidos y al carácter contumaz de su desatención a los mandatos de este tribunal. Añade el representante del Ministerio Fiscal que “ha de afirmarse que el tribunal sentenciador ha tomado en consideración de modo principal” la retribución anual que le correspondía como ex consejera de la Generalitat; retribución que aparece reflejadas en la ley de presupuestos de la Generalitat de Cataluña y que, por superar la suma de 110 000 € anuales, es expresiva de una relevante capacidad económica.</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Mediante escrito presentado en el registro general de este tribunal el 18 de enero de 2021, la representación procesal de la demandante ha aportado traducida al castellano (sin que conste si se trata de una traducción oficial o privada) la sentencia del Tribunal de Apelación de Bruselas núm. 2021/79, de 7 de enero, “a los efectos de que sea tenida en cuenta a la hora de resolver el presente recurso de amparo”. Dicha resolución judicial desestima el recurso de apelación presentado por la Fiscalía belga contra el auto de 7 de agosto de 2020, </w:t>
      </w:r>
      <w:r>
        <w:lastRenderedPageBreak/>
        <w:t>del Tribunal de Primera Instancia de Bruselas, de lengua neerlandesa, por el que se acordó no ejecutar la orden de detención europea emitida el 4 de noviembre de 2019 por el magistrado instructor de la causa especial 20907/2017, en relación con don Lluis Puig i Gordi, cuya rebeldía procesal fue y se mantiene declarada, tras ser procesado por delitos de desobediencia y malversación de caudales públicos.</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16 de febrero de 2021, se señaló para la deliberación y votación de la presente sentencia el día 17 del mismo mes y año.</w:t>
      </w:r>
    </w:p>
    <w:p w:rsidR="005728DD" w:rsidRDefault="005728DD" w:rsidP="005728DD">
      <w:pPr>
        <w:pStyle w:val="TextoNormal"/>
      </w:pPr>
    </w:p>
    <w:p w:rsidR="005728DD" w:rsidRDefault="005728DD" w:rsidP="005728DD">
      <w:pPr>
        <w:pStyle w:val="TextoNormal"/>
      </w:pPr>
      <w:r w:rsidRPr="005728DD">
        <w:rPr>
          <w:rStyle w:val="NumeroAFNegritaCaracter"/>
        </w:rPr>
        <w:t>11</w:t>
      </w:r>
      <w:r>
        <w:t>. Con fecha 16 de febrero de 2021, el Excmo. señor magistrado don Antonio Narváez Rodríguez formuló su abstención en relación con la presente causa, abstención que fue considerada justificada por unanimidad por el Pleno de este tribunal, con la misma fecha.</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posición de las partes</w:t>
      </w:r>
      <w:r>
        <w:t>.</w:t>
      </w:r>
    </w:p>
    <w:p w:rsidR="005728DD" w:rsidRDefault="005728DD" w:rsidP="005728DD">
      <w:pPr>
        <w:pStyle w:val="TextoNormal"/>
      </w:pPr>
    </w:p>
    <w:p w:rsidR="005728DD" w:rsidRDefault="005728DD" w:rsidP="005728DD">
      <w:pPr>
        <w:pStyle w:val="TextoNormal"/>
      </w:pPr>
      <w:r>
        <w:t>El presente recurso de amparo se interpone contra la sentencia de 14 de octubre de 2019, dictada en única instancia por la Sala de lo Penal del Tribunal Supremo que, en la causa especial núm. 20907-2017, condenó a la demandante como autora de un delito de desobediencia, previsto en el art. 410 del Código Penal, a la pena de multa de diez meses, con cuota diaria de 200 €. La decisión de condena fue ratificada por auto de 29 de enero de 2020, que desestimó los incidentes de nulidad de actuaciones promovidos por la demandante y otros condenados.</w:t>
      </w:r>
    </w:p>
    <w:p w:rsidR="005728DD" w:rsidRDefault="005728DD" w:rsidP="005728DD">
      <w:pPr>
        <w:pStyle w:val="TextoNormal"/>
      </w:pPr>
    </w:p>
    <w:p w:rsidR="005728DD" w:rsidRDefault="005728DD" w:rsidP="005728DD">
      <w:pPr>
        <w:pStyle w:val="TextoNormal"/>
      </w:pPr>
      <w:r>
        <w:t>La recurrente imputa a las citadas resoluciones judiciales la vulneración de sus derechos al juez predeterminado por la ley y a la doble instancia penal, así como del derecho a la tutela judicial efectiva en cuanto garantiza obtener una resolución fundada en Derecho sobre su pretensión de defensa (art. 24.1 y 2 CE). Sostiene que la Sala de lo Penal del Tribunal Supremo, tras valorar que tuvieron lugar fuera del territorio de Cataluña parte de los hechos atribuidos como delictivos en la querella inicial y sostenidos por las acusaciones en el juicio oral, ha asumido una competencia objetiva de investigación y enjuiciamiento de la causa que no le corresponde. Considera que una adecuada interpretación de los tipos penales aplicados y del art. 57.2 del Estatuto de Autonomía de Cataluña conduce a determinar la competencia cuestionada en favor del Tribunal Superior de Justicia de dicha comunidad autónoma. En tal medida, el enjuiciamiento en única instancia ante la Sala de lo Penal del Tribunal Supremo le ha supuesto la pérdida de la oportunidad de ver sometido el fallo condenatorio a la revisión de un tribunal superior; garantía de doble instancia penal de la que injustificadamente se ha visto privada. En relación con la decisión de condena, la recurrente se queja también de que la sentencia no ha motivado de forma suficiente e individualizada la cuantía de la cuota diaria de la pena de multa que se le ha impuesto.</w:t>
      </w:r>
    </w:p>
    <w:p w:rsidR="005728DD" w:rsidRDefault="005728DD" w:rsidP="005728DD">
      <w:pPr>
        <w:pStyle w:val="TextoNormal"/>
      </w:pPr>
    </w:p>
    <w:p w:rsidR="005728DD" w:rsidRDefault="005728DD" w:rsidP="005728DD">
      <w:pPr>
        <w:pStyle w:val="TextoNormal"/>
      </w:pPr>
      <w:r>
        <w:t xml:space="preserve">El abogado del Estado solicita la desestimación de las pretensiones de amparo por entender que la interpretación normativa que ha llevado al Tribunal Supremo a asumir la competencia de investigación y enjuiciamiento no supone manipulación alguna de las reglas legales sobre atribución de competencia. De esta manera, la imposibilidad de acceder a una nueva instancia judicial revisora es consecuencia necesaria de haber sido juzgado en única </w:t>
      </w:r>
      <w:r>
        <w:lastRenderedPageBreak/>
        <w:t>instancia por el Tribunal Supremo, dado el aforamiento que corresponde a otras personas acusadas en la misma causa. Considera, por último, que la cuantía de la cuota diaria de la multa impuesta ha sido suficientemente motivada por referencia a criterios relacionados con la capacidad económica de la demandante, tal y como exige el Código penal.</w:t>
      </w:r>
    </w:p>
    <w:p w:rsidR="005728DD" w:rsidRDefault="005728DD" w:rsidP="005728DD">
      <w:pPr>
        <w:pStyle w:val="TextoNormal"/>
      </w:pPr>
    </w:p>
    <w:p w:rsidR="005728DD" w:rsidRDefault="005728DD" w:rsidP="005728DD">
      <w:pPr>
        <w:pStyle w:val="TextoNormal"/>
      </w:pPr>
      <w:r>
        <w:t>Por su parte, la representación procesal del partido político Vox postula también la desestimación íntegra del recurso de amparo. Cuestiona que la demandante haya hecho el necesario esfuerzo argumental para justificar la especial trascendencia constitucional del recurso, discrepando de las razones de fondo con las que se pretende ponerla de manifiesto. En cuanto a los motivos de amparo, entiende que la asunción de la competencia objetiva por la Sala de lo Penal del Tribunal Supremo se apoya en una interpretación de la ley que no es manifiestamente errónea, ni arbitraria o irrazonable, dado que alguno de los elementos de los tipos penales por los que se formuló acusación y se ha acordado la condena se desarrollaron fuera del territorio de la Comunidad Autónoma de Cataluña. También considera suficiente la motivación de la determinación judicial de la cuantía de la cuota diaria de la multa impuesta, pues lo ha sido atendiendo a reiterados criterios jurisprudenciales anteriores sobre dicha exigencia.</w:t>
      </w:r>
    </w:p>
    <w:p w:rsidR="005728DD" w:rsidRDefault="005728DD" w:rsidP="005728DD">
      <w:pPr>
        <w:pStyle w:val="TextoNormal"/>
      </w:pPr>
    </w:p>
    <w:p w:rsidR="005728DD" w:rsidRDefault="005728DD" w:rsidP="005728DD">
      <w:pPr>
        <w:pStyle w:val="TextoNormal"/>
      </w:pPr>
      <w:r>
        <w:t>El Ministerio Fiscal, como óbice procesal a la admisión de la demanda, considera que el primero de sus motivos no satisface el requisito de agotamiento de la vía judicial previa [art. 44.1 a) LOTC], ya que la recurrente no interpuso recurso de súplica contra el auto por el que la Sala de lo Penal del Tribunal Supremo desestimó la declinatoria de jurisdicción planteada como artículo de previo pronunciamiento. En igual sentido, entiende que la supuesta vulneración del derecho al juez legal y a la doble instancia penal debió ser planteada como cuestión previa en el momento inicial del juicio oral; y añade que, al solicitar la nulidad de la condena, la demandante tampoco denunció esta supuesta vulneración. En lo demás, tras considerar que la pena de multa impuesta ha sido adecuada y suficientemente fundada en Derecho con referencia a los parámetros legales exigidos, interesa la desestimación de la demanda.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especial transcendencia constitucional y agotamiento de la vía judicial previa</w:t>
      </w:r>
      <w:r>
        <w:t>.</w:t>
      </w:r>
    </w:p>
    <w:p w:rsidR="005728DD" w:rsidRDefault="005728DD" w:rsidP="005728DD">
      <w:pPr>
        <w:pStyle w:val="TextoNormal"/>
      </w:pPr>
    </w:p>
    <w:p w:rsidR="005728DD" w:rsidRDefault="005728DD" w:rsidP="005728DD">
      <w:pPr>
        <w:pStyle w:val="TextoNormal"/>
      </w:pPr>
      <w:r>
        <w:t>Con carácter previo al examen de las pretensiones deducidas en la demanda, debemos pronunciarnos sobre la concurrencia de los requisitos que para su admisibilidad se establecen en la Ley Orgánica de este tribunal (LOTC), pues el incumplimiento de alguno de ellos ha sido denunciado por el Ministerio Fiscal y la representación procesal del partido político Vox. De conformidad con una reiterada doctrina constitucional, los defectos insubsanables de que pudiera estar afectado el recurso de amparo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130/2018, de 12 de diciembre, FJ 2, y doctrina constitucional allí citada).</w:t>
      </w:r>
    </w:p>
    <w:p w:rsidR="005728DD" w:rsidRDefault="005728DD" w:rsidP="005728DD">
      <w:pPr>
        <w:pStyle w:val="TextoNormal"/>
      </w:pPr>
    </w:p>
    <w:p w:rsidR="005728DD" w:rsidRDefault="005728DD" w:rsidP="005728DD">
      <w:pPr>
        <w:pStyle w:val="TextoNormal"/>
      </w:pPr>
      <w:r>
        <w:lastRenderedPageBreak/>
        <w:t>Como expresión del carácter subsidiario del recurso de amparo, entre los requisitos de admisibilidad de toda demanda se exige que, previamente a acudir ante este tribunal solicitando la protección de los derechos fundamentales pretendidamente vulnerados, se hayan agotado las posibilidades que el ordenamiento proporciona para lograrla ante los órganos de la jurisdicción ordinaria [art. 44.1 a) LOTC]. Es también requisito exigible que el contenido del recurso justifique una decisión sobre el fondo como consecuencia de su especial trascendencia constitucional [art. 50.1 b) LOTC] y así haya sido suficientemente argumentado en la demanda de amparo.</w:t>
      </w:r>
    </w:p>
    <w:p w:rsidR="005728DD" w:rsidRDefault="005728DD" w:rsidP="005728DD">
      <w:pPr>
        <w:pStyle w:val="TextoNormal"/>
      </w:pPr>
    </w:p>
    <w:p w:rsidR="005728DD" w:rsidRDefault="005728DD" w:rsidP="005728DD">
      <w:pPr>
        <w:pStyle w:val="TextoNormal"/>
      </w:pPr>
      <w:r>
        <w:t>a) Sobre la especial trascendencia constitucional del recurso y su justificación.</w:t>
      </w:r>
    </w:p>
    <w:p w:rsidR="005728DD" w:rsidRDefault="005728DD" w:rsidP="005728DD">
      <w:pPr>
        <w:pStyle w:val="TextoNormal"/>
      </w:pPr>
    </w:p>
    <w:p w:rsidR="005728DD" w:rsidRDefault="005728DD" w:rsidP="005728DD">
      <w:pPr>
        <w:pStyle w:val="TextoNormal"/>
      </w:pPr>
      <w:r>
        <w:t>La representación procesal del partido político Vox no comparte y considera insuficientes los alegatos que en el recurso se desarrollan para justificar su especial trascendencia constitucional. Singularmente, por tratarse de cuestiones ajenas a los pronunciamientos recurridos, se opone a apreciar que esta pueda venir apoyada en consideraciones relacionadas con el carácter público y representativo de los cargos que ostentaban algunos de los condenados en la causa judicial previa y con la repercusión política y social que subyace a los temas jurídicos de fondo. El óbice analizado no puede ser compartido, dado que la justificación expuesta no está desconectada de las causas de especial trascendencia apreciadas por este tribunal al resolver sobre la admisión a trámite del presente recurso. Baste destacar que en la STC 155/2009 de 25 de junio, FJ 2 g), se especificó como supuesto que permite apreciarla que el asunto suscitado trascienda del caso concreto porque pudiera tener unas consecuencias políticas generales. Hemos apreciado que estas características concurren en el presente supuesto, precisamente por la naturaleza de los hechos enjuiciados y el carácter público y representativo que, en el momento de protagonizar los hechos que han dado lugar a la causa, ejercían la demandante y otros acusados. En cualquier caso, no resulta ocioso recordar, como hemos reiterado,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 y 3/2020, de 15 de enero, FJ 4).</w:t>
      </w:r>
    </w:p>
    <w:p w:rsidR="005728DD" w:rsidRDefault="005728DD" w:rsidP="005728DD">
      <w:pPr>
        <w:pStyle w:val="TextoNormal"/>
      </w:pPr>
    </w:p>
    <w:p w:rsidR="005728DD" w:rsidRDefault="005728DD" w:rsidP="005728DD">
      <w:pPr>
        <w:pStyle w:val="TextoNormal"/>
      </w:pPr>
      <w:r>
        <w:t>b) Sobre el debido agotamiento de los medios de impugnación previstos en la vía judicial previa.</w:t>
      </w:r>
    </w:p>
    <w:p w:rsidR="005728DD" w:rsidRDefault="005728DD" w:rsidP="005728DD">
      <w:pPr>
        <w:pStyle w:val="TextoNormal"/>
      </w:pPr>
    </w:p>
    <w:p w:rsidR="005728DD" w:rsidRDefault="005728DD" w:rsidP="005728DD">
      <w:pPr>
        <w:pStyle w:val="TextoNormal"/>
      </w:pPr>
      <w:r>
        <w:t xml:space="preserve">Sostiene el Ministerio Fiscal que la demandante no agotó ante los órganos de la jurisdicción ordinaria las posibilidades que el ordenamiento procesal proporciona para lograr la protección de sus derechos fundamentales al juez legal y a la doble instancia penal. Entiende que el debido agotamiento de la vía judicial hubiera exigido, sucesivamente, recurrir en súplica el auto que resolvió el artículo de previo pronunciamiento, plantear la vulneración alegada como cuestión previa en el momento inicial de las sesiones del juicio oral, y reiterar dicha queja solicitando la nulidad de la sentencia condenatoria, </w:t>
      </w:r>
      <w:r w:rsidRPr="005728DD">
        <w:rPr>
          <w:i/>
        </w:rPr>
        <w:t>ex</w:t>
      </w:r>
      <w:r>
        <w:t xml:space="preserve"> art. 241.1 de la Ley Orgánica del Poder Judicial (LOPJ).</w:t>
      </w:r>
    </w:p>
    <w:p w:rsidR="005728DD" w:rsidRDefault="005728DD" w:rsidP="005728DD">
      <w:pPr>
        <w:pStyle w:val="TextoNormal"/>
      </w:pPr>
    </w:p>
    <w:p w:rsidR="005728DD" w:rsidRDefault="005728DD" w:rsidP="005728DD">
      <w:pPr>
        <w:pStyle w:val="TextoNormal"/>
      </w:pPr>
      <w:r>
        <w:t>La alegación no puede ser compartida en tanto no toma en consideración adecuadamente las especificidades que, en este aspecto, caracterizan el procedimiento especial contra aforados cuando, en única instancia, se sigue ante la Sala de lo Penal del Tribunal Supremo.</w:t>
      </w:r>
    </w:p>
    <w:p w:rsidR="005728DD" w:rsidRDefault="005728DD" w:rsidP="005728DD">
      <w:pPr>
        <w:pStyle w:val="TextoNormal"/>
      </w:pPr>
    </w:p>
    <w:p w:rsidR="005728DD" w:rsidRDefault="005728DD" w:rsidP="005728DD">
      <w:pPr>
        <w:pStyle w:val="TextoNormal"/>
      </w:pPr>
      <w:r>
        <w:lastRenderedPageBreak/>
        <w:t>Dijimos en la STC 130/2018, de 12 de diciembre, FJ 7, al justificar el carácter prematuro de la pretensión de amparo que con este mismo objeto fue planteada en la fase de instrucción por otras personas investigadas, que al tratarse de una causa penal que se sigue en única instancia ante la Sala de lo Penal del Tribunal Supremo no era posible impugnar su competencia a través del cauce ordinario de la cuestión de competencia, “no solo porque no exist[e] superior jerárquico común, sino porque el artículo 21 LECrim impide a cualquier juez, tribunal o parte promover cuestión de competencia contra el Tribunal Supremo”. Añadimos entonces que, en estos casos “para cuestionar la competencia de la Sala de lo Penal del Tribunal Supremo ha de acudirse, como cauce procesal idóneo, a la declinatoria de jurisdicción, que ha de plantearse ante el tribunal de enjuiciamiento, como artículo de previo y especial pronunciamiento [art. 666.1 a) LECrim]”. Recordemos que, como quedó expuesto en los antecedentes, la demandante satisfizo dicha exigencia planteando en tiempo y forma la declinatoria de jurisdicción una vez que se le dio traslado de los escritos de acusación; al hacerlo, sometió a debate ante el tribunal de enjuiciamiento el análisis de su propia competencia objetiva, alegando la supuesta vulneración del derecho al juez predeterminado por la ley, lo que permite dar por satisfechas las exigencias de subsidiariedad del recurso de amparo.</w:t>
      </w:r>
    </w:p>
    <w:p w:rsidR="005728DD" w:rsidRDefault="005728DD" w:rsidP="005728DD">
      <w:pPr>
        <w:pStyle w:val="TextoNormal"/>
      </w:pPr>
    </w:p>
    <w:p w:rsidR="005728DD" w:rsidRDefault="005728DD" w:rsidP="005728DD">
      <w:pPr>
        <w:pStyle w:val="TextoNormal"/>
      </w:pPr>
      <w:r>
        <w:t>Por el contrario, no eran cauce viable e incuestionable las alternativas procesales cuya omisión denuncia el Ministerio Fiscal para justificar el óbice de admisibilidad que propugna. Basta detenerse en la regulación específica de los artículos de previo pronunciamiento en la LECrim, concretamente en el contenido de los arts. 676 y 678, para constatar que, conforme a la dicción literal del primer precepto, contra el auto desestimatorio de la declinatoria de jurisdicción no cabe recurso alguno (salvo el que proceda contra la sentencia). Ocurre lo mismo con el cauce de cuestiones previas: el artículo 678 LECrim exceptúa expresamente la declinatoria de jurisdicción de aquellas que las partes personadas pueden reproducir como medios de defensa en el juicio oral. De esta forma, atendidos los preceptos legales reseñados, ninguno de los medios de impugnación que el Ministerio Fiscal postula como necesarios eran inexcusablemente exigibles para garantizar la subsidiariedad del recurso de amparo, por lo que cabe entender suficientemente agotada en este caso la vía judicial previa con el uso de “las posibilidades que el ordenamiento proporciona” para lograr ante los órganos de la jurisdicción ordinaria la protección de sus derechos fundamentales [art. 44.1 a) LOTC]. A dicha consideración no obsta que, en una interpretación procesal favorecedora del derecho de defensa, la propia sala enjuiciadora aceptara volver a pronunciarse sobre esta misma alegación en la sentencia condenatoria, respondiendo a las cuestiones previas planteadas por algunos otros acusados. Cabe constatar, en fin, que la contestación se hizo por remisión expresa y con los mismos argumentos expuestos al resolver la declinatoria de jurisdicción.</w:t>
      </w:r>
    </w:p>
    <w:p w:rsidR="005728DD" w:rsidRDefault="005728DD" w:rsidP="005728DD">
      <w:pPr>
        <w:pStyle w:val="TextoNormal"/>
      </w:pPr>
    </w:p>
    <w:p w:rsidR="005728DD" w:rsidRDefault="005728DD" w:rsidP="005728DD">
      <w:pPr>
        <w:pStyle w:val="TextoNormal"/>
      </w:pPr>
      <w:r>
        <w:t xml:space="preserve">Tampoco era necesario acudir a la solicitud de nulidad de la sentencia condenatoria (art. 241.1 LOPJ), precisamente porque la denuncia de la supuesta vulneración se había hecho ya ante el tribunal enjuiciador a través de la declinatoria de jurisdicción. Reiteradamente hemos señalado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Como señalamos en la STC 38/2020, de 25 de febrero, FJ 3, “la determinación en cada caso del remedio legalmente posible y, </w:t>
      </w:r>
      <w:r>
        <w:lastRenderedPageBreak/>
        <w:t xml:space="preserve">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5728DD">
        <w:rPr>
          <w:i/>
        </w:rPr>
        <w:t>causa petendi</w:t>
      </w:r>
      <w:r>
        <w:t xml:space="preserve"> (SSTC 235/1994, de 20 de julio, FJ 1; 26/1995, de 6 de febrero, FJ 3; 124/1999, de 28 de junio, FJ 1; 205/1999, de 8 de noviembre, FJ 4, y 224/2007, de 22 de octubre, FJ 2).</w:t>
      </w:r>
    </w:p>
    <w:p w:rsidR="005728DD" w:rsidRDefault="005728DD" w:rsidP="005728DD">
      <w:pPr>
        <w:pStyle w:val="TextoNormal"/>
      </w:pPr>
    </w:p>
    <w:p w:rsidR="005728DD" w:rsidRDefault="005728DD" w:rsidP="005728DD">
      <w:pPr>
        <w:pStyle w:val="TextoNormal"/>
      </w:pPr>
      <w:r>
        <w:t>En consecuencia, impugnándose en el presente recurso de amparo la competencia de investigación y enjuiciamiento asumida por la Sala de lo Penal del Tribunal Supremo, habiéndose cuestionado tal competencia objetiva ante la propia sala enjuiciadora en la vía judicial previa en el momento procesal oportuno (art. 666 LECrim) y tratándose de un proceso en única instancia en el que no cabe recurso ordinario o extraordinario frente a la resolución que le pone fin, no era ya necesario que la recurrente reiterara la queja a través de un incidente de nulidad que, por referirse a una vulneración ya denunciada con anterioridad en el procedimiento, devendría manifiestamente improcedente a tenor del propio art. 241 LOPJ (ATC 293/2014, de 10 de diciembre, FJ 2).</w:t>
      </w:r>
    </w:p>
    <w:p w:rsidR="005728DD" w:rsidRDefault="005728DD" w:rsidP="005728DD">
      <w:pPr>
        <w:pStyle w:val="TextoNormal"/>
      </w:pPr>
    </w:p>
    <w:p w:rsidR="005728DD" w:rsidRDefault="005728DD" w:rsidP="005728DD">
      <w:pPr>
        <w:pStyle w:val="TextoNormal"/>
      </w:pPr>
      <w:r>
        <w:t>En definitiva, el cauce procesal de denuncia utilizado por la demandante era adecuado, viable y también suficiente para respetar la subsidiariedad del recurso de amparo, pues dio plena oportunidad a la sala de enjuiciamiento para pronunciarse, a la vista de los escritos de acusación, sobre el cuestionamiento de su propia competencia objetiva que, en este proceso de amparo, integra la queja que denuncia la supuesta vulneración del derecho al juez ordinario predeterminado por la ley y, conectada a él, del derecho a la doble instancia penal.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general sobre el derecho al juez ordinario predeterminado por la ley</w:t>
      </w:r>
      <w:r>
        <w:t>.</w:t>
      </w:r>
    </w:p>
    <w:p w:rsidR="005728DD" w:rsidRDefault="005728DD" w:rsidP="005728DD">
      <w:pPr>
        <w:pStyle w:val="TextoNormal"/>
      </w:pPr>
    </w:p>
    <w:p w:rsidR="005728DD" w:rsidRDefault="005728DD" w:rsidP="005728DD">
      <w:pPr>
        <w:pStyle w:val="TextoNormal"/>
      </w:pPr>
      <w:r>
        <w:t>La primera cuestión de fondo controvertida por la demandante estriba en determinar si han vulnerado el derecho al juez ordinario predeterminado por la ley las decisiones de la Sala de lo Penal del Tribunal Supremo por las que asumió y mantuvo la competencia para la averiguación y enjuiciamiento de los hechos considerados delictivos en la querella presentada por el fiscal general del Estado. Cabe ya anticipar que su inicial ámbito subjetivo de investigación fue sucesivamente ampliado por el magistrado instructor en posteriores resoluciones adoptadas en la fase de investigación.</w:t>
      </w:r>
    </w:p>
    <w:p w:rsidR="005728DD" w:rsidRDefault="005728DD" w:rsidP="005728DD">
      <w:pPr>
        <w:pStyle w:val="TextoNormal"/>
      </w:pPr>
    </w:p>
    <w:p w:rsidR="005728DD" w:rsidRDefault="005728DD" w:rsidP="005728DD">
      <w:pPr>
        <w:pStyle w:val="TextoNormal"/>
      </w:pPr>
      <w:r>
        <w:t>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el fundamento y contenido del derecho alegado.</w:t>
      </w:r>
    </w:p>
    <w:p w:rsidR="005728DD" w:rsidRDefault="005728DD" w:rsidP="005728DD">
      <w:pPr>
        <w:pStyle w:val="TextoNormal"/>
      </w:pPr>
    </w:p>
    <w:p w:rsidR="005728DD" w:rsidRDefault="005728DD" w:rsidP="005728DD">
      <w:pPr>
        <w:pStyle w:val="TextoNormal"/>
      </w:pPr>
      <w:r>
        <w:t xml:space="preserve">A tenor de dicha doctrina, hemos reiterado que su contenido exige, en primer término, que el órgano judicial al que se atribuye un asunto litigioso haya sido creado previamente por la norma jurídica, que esta le haya investido de jurisdicción y competencia con anterioridad al hecho motivador de la actuación o proceso judicial y que su régimen orgánico y </w:t>
      </w:r>
      <w:r>
        <w:lastRenderedPageBreak/>
        <w:t xml:space="preserve">procesal no permita calificarle de órgano especial o excepcional. La generalidad y la abstracción de los criterios legales de atribución competencial garantiza la inexistencia de jueces </w:t>
      </w:r>
      <w:r w:rsidRPr="005728DD">
        <w:rPr>
          <w:i/>
        </w:rPr>
        <w:t>ad hoc</w:t>
      </w:r>
      <w:r>
        <w:t>;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5728DD" w:rsidRDefault="005728DD" w:rsidP="005728DD">
      <w:pPr>
        <w:pStyle w:val="TextoNormal"/>
      </w:pPr>
    </w:p>
    <w:p w:rsidR="005728DD" w:rsidRDefault="005728DD" w:rsidP="005728DD">
      <w:pPr>
        <w:pStyle w:val="TextoNormal"/>
      </w:pPr>
      <w:r>
        <w:t>En segundo lugar, en relación con sus integrantes,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005728DD" w:rsidRDefault="005728DD" w:rsidP="005728DD">
      <w:pPr>
        <w:pStyle w:val="TextoNormal"/>
      </w:pPr>
    </w:p>
    <w:p w:rsidR="005728DD" w:rsidRDefault="005728DD" w:rsidP="005728DD">
      <w:pPr>
        <w:pStyle w:val="TextoNormal"/>
      </w:pPr>
      <w:r>
        <w:t>A través de ambas exigencias,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CEDH, como analizaremos más adelante.</w:t>
      </w:r>
    </w:p>
    <w:p w:rsidR="005728DD" w:rsidRDefault="005728DD" w:rsidP="005728DD">
      <w:pPr>
        <w:pStyle w:val="TextoNormal"/>
      </w:pPr>
    </w:p>
    <w:p w:rsidR="005728DD" w:rsidRDefault="005728DD" w:rsidP="005728DD">
      <w:pPr>
        <w:pStyle w:val="TextoNormal"/>
      </w:pPr>
      <w:r>
        <w:t>Dados los términos del debate que se plantea en la demanda, en tanto se cuestiona únicamente la competencia de la Sala de lo Penal del Tribunal Supremo para la investigación y enjuiciamiento de los hechos atribuidos a la demandante y a otras personas,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 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w:t>
      </w:r>
    </w:p>
    <w:p w:rsidR="005728DD" w:rsidRDefault="005728DD" w:rsidP="005728DD">
      <w:pPr>
        <w:pStyle w:val="TextoNormal"/>
      </w:pPr>
    </w:p>
    <w:p w:rsidR="005728DD" w:rsidRDefault="005728DD" w:rsidP="005728DD">
      <w:pPr>
        <w:pStyle w:val="TextoNormal"/>
      </w:pPr>
      <w:r>
        <w:t xml:space="preserve">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w:t>
      </w:r>
      <w:r>
        <w:lastRenderedPageBreak/>
        <w:t>distintos órganos jurisdiccionales no constituyen por sí solos materia que sea objeto del derecho al juez ordinario predeterminado por la ley” (STC 183/1999, de 11 de octubre, FJ 2, con cita de otras anteriores).</w:t>
      </w:r>
    </w:p>
    <w:p w:rsidR="005728DD" w:rsidRDefault="005728DD" w:rsidP="005728DD">
      <w:pPr>
        <w:pStyle w:val="TextoNormal"/>
      </w:pPr>
    </w:p>
    <w:p w:rsidR="005728DD" w:rsidRDefault="005728DD" w:rsidP="005728DD">
      <w:pPr>
        <w:pStyle w:val="TextoNormal"/>
      </w:pPr>
      <w:r>
        <w:t>En este aspecto, única vertiente del derecho alegado que se plantea como motivo de amparo, sí hemos reconocido que el derecho al juez predeterminado por la ley puede quedar en entredicho cuando un asunto se sustraiga indebida e injustificadamente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si le compete revisar que la interpretación y aplicación de las normas de competencia realizada por el órgano jurisdiccional ordinario sea fundada en Derecho, esto es, no resulte arbitraria, manifiestamente irrazonable o consecuencia de un error patente de hecho (ATC 262/1994, de 3 de octubre, FJ 1, o STC 70/2007, de 16 de abril, FJ 4), pues si así fuera, el efecto de tan improcedente aplicación de la norma desconocería el monopolio legislativo en la determinación previa del órgano judicial que ha de conocer del caso.</w:t>
      </w:r>
    </w:p>
    <w:p w:rsidR="005728DD" w:rsidRDefault="005728DD" w:rsidP="005728DD">
      <w:pPr>
        <w:pStyle w:val="TextoNormal"/>
      </w:pPr>
    </w:p>
    <w:p w:rsidR="005728DD" w:rsidRDefault="005728DD" w:rsidP="005728DD">
      <w:pPr>
        <w:pStyle w:val="TextoNormal"/>
      </w:pPr>
      <w:r>
        <w:t>b) Dado que forman parte de una cultura europea común, los criterios que definen la doctrina de este tribunal sobre la necesidad de predeterminación legal de los órganos judiciales, de quienes los integran y de sus competencias, son semejantes a los que, desde sus primeras resoluciones, se desprenden de la jurisprudencia del Tribunal Europeo de Derechos Humanos. La semejanza no se extiende solo a la definición del contenido del derecho y a su fundamento, sino también al canon de análisis utilizado para abordar las quejas que en esta materia le han sido planteadas.</w:t>
      </w:r>
    </w:p>
    <w:p w:rsidR="005728DD" w:rsidRDefault="005728DD" w:rsidP="005728DD">
      <w:pPr>
        <w:pStyle w:val="TextoNormal"/>
      </w:pPr>
    </w:p>
    <w:p w:rsidR="005728DD" w:rsidRDefault="005728DD" w:rsidP="005728DD">
      <w:pPr>
        <w:pStyle w:val="TextoNormal"/>
      </w:pPr>
      <w:r>
        <w:t xml:space="preserve">De acuerdo con lo establecido en el art. 6.1 CEDH, “[t]oda persona tiene derecho a que su causa sea oída equitativa, públicamente y dentro de un plazo razonable, por un tribunal independiente e imparcial, </w:t>
      </w:r>
      <w:r w:rsidRPr="005728DD">
        <w:rPr>
          <w:i/>
        </w:rPr>
        <w:t>establecido por ley</w:t>
      </w:r>
      <w:r>
        <w:t xml:space="preserve"> […]”.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(asuntos </w:t>
      </w:r>
      <w:r w:rsidRPr="005728DD">
        <w:rPr>
          <w:i/>
        </w:rPr>
        <w:t>Bulut c. Austria</w:t>
      </w:r>
      <w:r>
        <w:t xml:space="preserve"> de 22 febrero 1996, § 29; </w:t>
      </w:r>
      <w:r w:rsidRPr="005728DD">
        <w:rPr>
          <w:i/>
        </w:rPr>
        <w:t>Coëme y otros c. Bélgica</w:t>
      </w:r>
      <w:r>
        <w:t xml:space="preserve">, de 22 de junio de 2000 y </w:t>
      </w:r>
      <w:r w:rsidRPr="005728DD">
        <w:rPr>
          <w:i/>
        </w:rPr>
        <w:t>Lavents c. Letonia</w:t>
      </w:r>
      <w:r>
        <w:t>, de 28 de noviembre de 2002).</w:t>
      </w:r>
    </w:p>
    <w:p w:rsidR="005728DD" w:rsidRDefault="005728DD" w:rsidP="005728DD">
      <w:pPr>
        <w:pStyle w:val="TextoNormal"/>
      </w:pPr>
    </w:p>
    <w:p w:rsidR="005728DD" w:rsidRDefault="005728DD" w:rsidP="005728DD">
      <w:pPr>
        <w:pStyle w:val="TextoNormal"/>
      </w:pPr>
      <w:r>
        <w:t xml:space="preserve">En otros pronunciamientos (asunto </w:t>
      </w:r>
      <w:r w:rsidRPr="005728DD">
        <w:rPr>
          <w:i/>
        </w:rPr>
        <w:t>DMD Group, A.S. c. Eslovaquia</w:t>
      </w:r>
      <w:r>
        <w:t xml:space="preserve">, de 5 de octubre de 2010), el Tribunal Europeo de Derechos Humanos ha establecido que la expresión “establecido por la ley” tiene por objeto asegurar “que la organización judicial en una sociedad democrática no dependa de la discrecionalidad del poder ejecutivo, sino que esté regulada por la ley emanada del Parlamento” (asunto </w:t>
      </w:r>
      <w:r w:rsidRPr="005728DD">
        <w:rPr>
          <w:i/>
        </w:rPr>
        <w:t>Zand c. Austria</w:t>
      </w:r>
      <w:r>
        <w:t xml:space="preserve">, informe de la Comisión de 12 de octubre de 1978).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(asunto </w:t>
      </w:r>
      <w:r w:rsidRPr="005728DD">
        <w:rPr>
          <w:i/>
        </w:rPr>
        <w:t>Coëme y otros</w:t>
      </w:r>
      <w:r>
        <w:t xml:space="preserve">, antes citado, § 98, y </w:t>
      </w:r>
      <w:r w:rsidRPr="005728DD">
        <w:rPr>
          <w:i/>
        </w:rPr>
        <w:t>Savino y otros c. Italia</w:t>
      </w:r>
      <w:r>
        <w:t xml:space="preserve">, de 28 de abril de 2009). Aunque corresponde en primer lugar a los tribunales nacionales la </w:t>
      </w:r>
      <w:r>
        <w:lastRenderedPageBreak/>
        <w:t xml:space="preserve">interpretación de las normas reguladoras, su incumplimiento conlleva, en principio, la violación del artículo 6.1 CEDH cuando se constate una violación flagrante de dichas previsiones, no con razón de una mera discrepancia de interpretación de las normas sobre competencia (asunto </w:t>
      </w:r>
      <w:r w:rsidRPr="005728DD">
        <w:rPr>
          <w:i/>
        </w:rPr>
        <w:t>Lavents c. Letonia</w:t>
      </w:r>
      <w:r>
        <w:t>, de 28 de noviembre de 2002).</w:t>
      </w:r>
    </w:p>
    <w:p w:rsidR="005728DD" w:rsidRDefault="005728DD" w:rsidP="005728DD">
      <w:pPr>
        <w:pStyle w:val="TextoNormal"/>
      </w:pPr>
    </w:p>
    <w:p w:rsidR="005728DD" w:rsidRDefault="005728DD" w:rsidP="005728DD">
      <w:pPr>
        <w:pStyle w:val="TextoNormal"/>
      </w:pPr>
      <w: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declaren competentes para conocer del asunto (asunto </w:t>
      </w:r>
      <w:r w:rsidRPr="005728DD">
        <w:rPr>
          <w:i/>
        </w:rPr>
        <w:t>Jorgic c. Alemania</w:t>
      </w:r>
      <w:r>
        <w:t>, de 12 de julio de 2007, § 64 a 72; referida al enjuiciamiento por actos de genocidio cometidos fuera de Alemania).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Razones que justifican la asunción de la competencia para investigación y enjuiciamiento de la causa por parte de la Sala de lo Penal del Tribunal Supremo</w:t>
      </w:r>
      <w:r>
        <w:t>.</w:t>
      </w:r>
    </w:p>
    <w:p w:rsidR="005728DD" w:rsidRDefault="005728DD" w:rsidP="005728DD">
      <w:pPr>
        <w:pStyle w:val="TextoNormal"/>
      </w:pPr>
    </w:p>
    <w:p w:rsidR="005728DD" w:rsidRDefault="005728DD" w:rsidP="005728DD">
      <w:pPr>
        <w:pStyle w:val="TextoNormal"/>
      </w:pPr>
      <w:r>
        <w:t>En aplicación de lo establecido en el art. 57.1.2 LOPJ, la Sala de lo Penal del Tribunal Supremo asumió y mantuvo su competencia objetiva para la averiguación y el enjuiciamiento de los hechos atribuidos a la demandante tomando en consideración lo establecido en el art. 57, apartado segundo, EAC (Ley Orgánica 6/2006, de 19 de julio, de reforma del Estatuto de Autonomía de Cataluña). Las normas aplicadas establecen lo siguiente:</w:t>
      </w:r>
    </w:p>
    <w:p w:rsidR="005728DD" w:rsidRDefault="005728DD" w:rsidP="005728DD">
      <w:pPr>
        <w:pStyle w:val="TextoNormal"/>
      </w:pPr>
    </w:p>
    <w:p w:rsidR="005728DD" w:rsidRDefault="005728DD" w:rsidP="005728DD">
      <w:pPr>
        <w:pStyle w:val="TextoNormal"/>
      </w:pPr>
      <w:r>
        <w:t>“1. La Sala de lo Penal del Tribunal Supremo conocerá: 2.º De la instrucción y enjuiciamiento […] de las causas que, en su caso, determinen los Estatutos de Autonomía” (art. 57.1 2 LOPJ)</w:t>
      </w:r>
    </w:p>
    <w:p w:rsidR="005728DD" w:rsidRDefault="005728DD" w:rsidP="005728DD">
      <w:pPr>
        <w:pStyle w:val="TextoNormal"/>
      </w:pPr>
    </w:p>
    <w:p w:rsidR="005728DD" w:rsidRDefault="005728DD" w:rsidP="005728DD">
      <w:pPr>
        <w:pStyle w:val="TextoNormal"/>
      </w:pPr>
      <w:r>
        <w:t>“En las causas contra los Diputados, es competente el Tribunal Superior de Justicia de Cataluña. Fuera del territorio de Cataluña la responsabilidad penal es exigible en los mismos términos ante la Sala de lo Penal del Tribunal Supremo” (art. 57.2 EAC)</w:t>
      </w:r>
    </w:p>
    <w:p w:rsidR="005728DD" w:rsidRDefault="005728DD" w:rsidP="005728DD">
      <w:pPr>
        <w:pStyle w:val="TextoNormal"/>
      </w:pPr>
    </w:p>
    <w:p w:rsidR="005728DD" w:rsidRDefault="005728DD" w:rsidP="005728DD">
      <w:pPr>
        <w:pStyle w:val="TextoNormal"/>
      </w:pPr>
      <w:r>
        <w:t>De la misma forma, el art. 70.2 EAC establece que “[c]orresponde al Tribunal Superior de Justicia de Cataluña decidir sobre la inculpación, el procesamiento y el enjuiciamiento del presidente o presidenta de la Generalitat y de los consejeros. Fuera del territorio de Cataluña la responsabilidad penal es exigible en los mismos términos ante la Sala de lo Penal del Tribunal Supremo” (art. 70.2 EAC).</w:t>
      </w:r>
    </w:p>
    <w:p w:rsidR="005728DD" w:rsidRDefault="005728DD" w:rsidP="005728DD">
      <w:pPr>
        <w:pStyle w:val="TextoNormal"/>
      </w:pPr>
    </w:p>
    <w:p w:rsidR="005728DD" w:rsidRDefault="005728DD" w:rsidP="005728DD">
      <w:pPr>
        <w:pStyle w:val="TextoNormal"/>
      </w:pPr>
      <w:r>
        <w:t>Tres han sido los criterios concurrentes tomados en consideración por la Sala de lo Penal del Tribunal Supremo para afirmar su competencia objetiva:</w:t>
      </w:r>
    </w:p>
    <w:p w:rsidR="005728DD" w:rsidRDefault="005728DD" w:rsidP="005728DD">
      <w:pPr>
        <w:pStyle w:val="TextoNormal"/>
      </w:pPr>
    </w:p>
    <w:p w:rsidR="005728DD" w:rsidRDefault="005728DD" w:rsidP="005728DD">
      <w:pPr>
        <w:pStyle w:val="TextoNormal"/>
      </w:pPr>
      <w:r>
        <w:t>(i) la prerrogativa de aforamiento especial parlamentario: durante todo el desarrollo de la causa, una o varias de las personas a las que se refería la querella, después sometidas a investigación, procesadas o finalmente acusadas, mantenían la condición de diputados del Parlamento de Cataluña, bien por formar parte de su Diputación Permanente —una vez disuelta la asamblea legislativa autonómica—, bien por haber sido elegidas para integrar el parlamento constituido tras las elecciones autonómicas celebradas el pasado 21 de diciembre de 2017. Es más, iniciado ya el juicio oral, algunas de ellas pasaron a integrarse como diputados o senador en las Cortes Generales y, poco después, en el Parlamento europeo.</w:t>
      </w:r>
    </w:p>
    <w:p w:rsidR="005728DD" w:rsidRDefault="005728DD" w:rsidP="005728DD">
      <w:pPr>
        <w:pStyle w:val="TextoNormal"/>
      </w:pPr>
    </w:p>
    <w:p w:rsidR="005728DD" w:rsidRDefault="005728DD" w:rsidP="005728DD">
      <w:pPr>
        <w:pStyle w:val="TextoNormal"/>
      </w:pPr>
      <w:r>
        <w:lastRenderedPageBreak/>
        <w:t>(ii) la ubicación geográfica de los hechos imputados: el relato fáctico que dio sustento a la querella inicial, y también a los escritos de acusación formulados, afirmaba en cada caso la realización de algunos hechos típicos fuera del territorio de la comunidad autónoma catalana.</w:t>
      </w:r>
    </w:p>
    <w:p w:rsidR="005728DD" w:rsidRDefault="005728DD" w:rsidP="005728DD">
      <w:pPr>
        <w:pStyle w:val="TextoNormal"/>
      </w:pPr>
    </w:p>
    <w:p w:rsidR="005728DD" w:rsidRDefault="005728DD" w:rsidP="005728DD">
      <w:pPr>
        <w:pStyle w:val="TextoNormal"/>
      </w:pPr>
      <w:r>
        <w:t>(iii) la apreciación de conexidad procesal entre los delitos investigados en las diversas causas acumuladas: la Sala de lo Penal del Tribunal Supremo consideró que los hechos investigados en las actuaciones penales dirigidas contra varios acusados no aforados, eran plenamente coincidentes con los de aquellas otras causas que se seguían contra los que sí tenían reconocida la prerrogativa parlamentaria de aforamiento ante la Sala Penal del Tribunal Supremo (arts. 17.1 y 2, y 272 LECrim), de manera que los delitos a que se referían eran procesalmente conexos.</w:t>
      </w:r>
    </w:p>
    <w:p w:rsidR="005728DD" w:rsidRDefault="005728DD" w:rsidP="005728DD">
      <w:pPr>
        <w:pStyle w:val="TextoNormal"/>
      </w:pPr>
    </w:p>
    <w:p w:rsidR="005728DD" w:rsidRDefault="005728DD" w:rsidP="005728DD">
      <w:pPr>
        <w:pStyle w:val="TextoNormal"/>
      </w:pPr>
      <w:r>
        <w:t>Así se describe en las diversas resoluciones que, sobre la propia competencia, han sido dictadas en el desarrollo de la causa. Son paradigmáticos en este sentido el auto de 31 de octubre de 2017 (ratificado en súplica) por el que la querella fue admitida a trámite, y el auto de 27 de diciembre de 2018 que desestimó las peticiones de declinatoria de jurisdicción planteadas por los acusados como artículo de previo pronunciamiento (art. 666.1 LECrim).</w:t>
      </w:r>
    </w:p>
    <w:p w:rsidR="005728DD" w:rsidRDefault="005728DD" w:rsidP="005728DD">
      <w:pPr>
        <w:pStyle w:val="TextoNormal"/>
      </w:pPr>
    </w:p>
    <w:p w:rsidR="005728DD" w:rsidRDefault="005728DD" w:rsidP="005728DD">
      <w:pPr>
        <w:pStyle w:val="TextoNormal"/>
      </w:pPr>
      <w:r>
        <w:t>a) La decisión inicial de admisión a trámite de la querella formulada por los delitos de rebelión, sedición y malversación de caudales públicos justifica la asunción de competencia para la averiguación de los hechos imputados identificando en primer lugar la ya citada norma delimitadora del aforamiento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005728DD" w:rsidRDefault="005728DD" w:rsidP="005728DD">
      <w:pPr>
        <w:pStyle w:val="TextoNormal"/>
      </w:pPr>
    </w:p>
    <w:p w:rsidR="005728DD" w:rsidRDefault="005728DD" w:rsidP="005728DD">
      <w:pPr>
        <w:pStyle w:val="TextoNormal"/>
      </w:pPr>
      <w:r>
        <w:t>A continuación, la sala explica que la regla de aforamiento no atiende únicamente a la condición parlamentaria de los investigados (condición que nunca ha sido cuestionada), sino que, para determinar el juez competente la norma obliga a tomar también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005728DD" w:rsidRDefault="005728DD" w:rsidP="005728DD">
      <w:pPr>
        <w:pStyle w:val="TextoNormal"/>
      </w:pPr>
    </w:p>
    <w:p w:rsidR="005728DD" w:rsidRDefault="005728DD" w:rsidP="005728DD">
      <w:pPr>
        <w:pStyle w:val="TextoNormal"/>
      </w:pPr>
      <w:r>
        <w:t>Para determinar esta última circunstancia, sin afirmar su realidad o la existencia de indicios que lo avale, la sala atiende al relato de hechos supuestamente delictivos que se afirman en la querella. En su examen, constata que el Ministerio Fiscal, en el apartado 29 de los hechos, que describe bajo el enunciado “Aspectos internacionales de la declaración de independencia de Cataluña”, el Ministerio Fiscal sitúa fuera del territorio de la comunidad autónoma catalana la ejecución de parte de los hechos imputados.</w:t>
      </w:r>
    </w:p>
    <w:p w:rsidR="005728DD" w:rsidRDefault="005728DD" w:rsidP="005728DD">
      <w:pPr>
        <w:pStyle w:val="TextoNormal"/>
      </w:pPr>
    </w:p>
    <w:p w:rsidR="005728DD" w:rsidRDefault="005728DD" w:rsidP="005728DD">
      <w:pPr>
        <w:pStyle w:val="TextoNormal"/>
      </w:pPr>
      <w:r>
        <w:t xml:space="preserve">Así, afirma el fiscal que, en su fase preparatoria, el Gobierno de la Generalitat, decidido a promover y celebrar unilateralmente una consulta a modo de referéndum,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w:t>
      </w:r>
      <w:r>
        <w:lastRenderedPageBreak/>
        <w:t xml:space="preserve">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diversos contratos con organizaciones de los países donde radican las sedes en el exterior para promover y favorecer la pretensión de independencia). Entre los hechos realizados en el exterior, se incluyen en la querella las páginas web internacionales creadas desde el Gobierno de la Generalitat para informar y facilitar la participación en la consulta ilegal promovida; sitios web que, tras ser clausurados judicialmente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del “Consejo de Diplomacia Pública de Cataluña” (Diplocat). A los expuestos se añaden en el relato de la querella otros aspectos denominados como “efectos internacionales” de la actuación imputada, aunque la Sala de admisión, al asumir la competencia, ya determinó como premisa que “no cabe confundir </w:t>
      </w:r>
      <w:r w:rsidRPr="005728DD">
        <w:rPr>
          <w:i/>
        </w:rPr>
        <w:t>el resultado</w:t>
      </w:r>
      <w:r>
        <w:t xml:space="preserve"> del delito con </w:t>
      </w:r>
      <w:r w:rsidRPr="005728DD">
        <w:rPr>
          <w:i/>
        </w:rPr>
        <w:t>los efectos</w:t>
      </w:r>
      <w:r>
        <w:t xml:space="preserve"> del delito, por más que estos puedan implicar, por su propia naturaleza, la destrucción del Estado de Derecho”.</w:t>
      </w:r>
    </w:p>
    <w:p w:rsidR="005728DD" w:rsidRDefault="005728DD" w:rsidP="005728DD">
      <w:pPr>
        <w:pStyle w:val="TextoNormal"/>
      </w:pPr>
    </w:p>
    <w:p w:rsidR="005728DD" w:rsidRDefault="005728DD" w:rsidP="005728DD">
      <w:pPr>
        <w:pStyle w:val="TextoNormal"/>
      </w:pPr>
      <w:r>
        <w:t>En la querella, el Ministerio Fiscal considera que la celebración de una consulta, a modo de referéndum, constituía el elemento central del delito de rebelión imputado a las personas querelladas. A partir de esta constatación, la sala aclara que, conforme a criterios establecidos antes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005728DD" w:rsidRDefault="005728DD" w:rsidP="005728DD">
      <w:pPr>
        <w:pStyle w:val="TextoNormal"/>
      </w:pPr>
    </w:p>
    <w:p w:rsidR="005728DD" w:rsidRDefault="005728DD" w:rsidP="005728DD">
      <w:pPr>
        <w:pStyle w:val="TextoNormal"/>
      </w:pPr>
      <w:r>
        <w:t xml:space="preserve">Concluye la resolución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 .2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w:t>
      </w:r>
      <w:r>
        <w:lastRenderedPageBreak/>
        <w:t>de Cataluña— tolera contribuciones fácticas de muy distinto signo y, precisamente por ello, ejecutadas en diferentes puntos geográficos”.</w:t>
      </w:r>
    </w:p>
    <w:p w:rsidR="005728DD" w:rsidRDefault="005728DD" w:rsidP="005728DD">
      <w:pPr>
        <w:pStyle w:val="TextoNormal"/>
      </w:pPr>
    </w:p>
    <w:p w:rsidR="005728DD" w:rsidRDefault="005728DD" w:rsidP="005728DD">
      <w:pPr>
        <w:pStyle w:val="TextoNormal"/>
      </w:pPr>
      <w:r>
        <w:t>La decisión de asumir la competencia para investigación indica,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5728DD" w:rsidRDefault="005728DD" w:rsidP="005728DD">
      <w:pPr>
        <w:pStyle w:val="TextoNormal"/>
      </w:pPr>
    </w:p>
    <w:p w:rsidR="005728DD" w:rsidRDefault="005728DD" w:rsidP="005728DD">
      <w:pPr>
        <w:pStyle w:val="TextoNormal"/>
      </w:pPr>
      <w:r>
        <w:t>b) Siguiendo este último criterio, mediante auto de 24 de noviembre de 2017, el magistrado instructor acordó la extensión subjetiva del ámbito de investigación a otras personas, entonces no aforadas (concretamente, a los presidentes de las asociaciones Òmnium Cultural y Asamblea Nacional Catalana y a quienes habían sido miembros del Gobierno de la Generalitat de Cataluña en la anterior legislatura) y, por medio de auto de 22 de diciembre de 2017, a los presidentes y portavoces de los grupos parlamentarios favorables a la independencia del disuelto Parlamento de Cataluña.</w:t>
      </w:r>
    </w:p>
    <w:p w:rsidR="005728DD" w:rsidRDefault="005728DD" w:rsidP="005728DD">
      <w:pPr>
        <w:pStyle w:val="TextoNormal"/>
      </w:pPr>
    </w:p>
    <w:p w:rsidR="005728DD" w:rsidRDefault="005728DD" w:rsidP="005728DD">
      <w:pPr>
        <w:pStyle w:val="TextoNormal"/>
      </w:pPr>
      <w:r>
        <w:t>Dada su conexidad procesal, la extensión de la competencia a nuevos investigados no aforados se justificó en apreciar que existía plena coincidencia entre los hechos denunciados en las diversas actuaciones, además de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005728DD" w:rsidRDefault="005728DD" w:rsidP="005728DD">
      <w:pPr>
        <w:pStyle w:val="TextoNormal"/>
      </w:pPr>
    </w:p>
    <w:p w:rsidR="005728DD" w:rsidRDefault="005728DD" w:rsidP="005728DD">
      <w:pPr>
        <w:pStyle w:val="TextoNormal"/>
      </w:pPr>
      <w:r>
        <w:t>Como con más detalle ha quedado ya expuesto en los antecedentes, el instructor apreció que los hechos atribuidos a las personas no aforadas mantenían una conexión material inescindible con la conducta imputada a las personas aforadas por su estatus parlamentario. Añadió que la unificación de las actuaciones ante la Sala Penal del Tribunal Supremo, en una sola causa,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005728DD" w:rsidRDefault="005728DD" w:rsidP="005728DD">
      <w:pPr>
        <w:pStyle w:val="TextoNormal"/>
      </w:pPr>
    </w:p>
    <w:p w:rsidR="005728DD" w:rsidRDefault="005728DD" w:rsidP="005728DD">
      <w:pPr>
        <w:pStyle w:val="TextoNormal"/>
      </w:pPr>
      <w:r>
        <w:t>Concluyó argumentando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LECrim”.</w:t>
      </w:r>
    </w:p>
    <w:p w:rsidR="005728DD" w:rsidRDefault="005728DD" w:rsidP="005728DD">
      <w:pPr>
        <w:pStyle w:val="TextoNormal"/>
      </w:pPr>
    </w:p>
    <w:p w:rsidR="005728DD" w:rsidRDefault="005728DD" w:rsidP="005728DD">
      <w:pPr>
        <w:pStyle w:val="TextoNormal"/>
      </w:pPr>
      <w:r>
        <w:t>Las normas procesales que sirven de sustento a la decisión, establecen lo siguiente:</w:t>
      </w:r>
    </w:p>
    <w:p w:rsidR="005728DD" w:rsidRDefault="005728DD" w:rsidP="005728DD">
      <w:pPr>
        <w:pStyle w:val="TextoNormal"/>
      </w:pPr>
    </w:p>
    <w:p w:rsidR="005728DD" w:rsidRDefault="005728DD" w:rsidP="005728DD">
      <w:pPr>
        <w:pStyle w:val="TextoNormal"/>
      </w:pPr>
      <w:r>
        <w:t>Artículo 17 LECrim:</w:t>
      </w:r>
    </w:p>
    <w:p w:rsidR="005728DD" w:rsidRDefault="005728DD" w:rsidP="005728DD">
      <w:pPr>
        <w:pStyle w:val="TextoNormal"/>
      </w:pPr>
    </w:p>
    <w:p w:rsidR="005728DD" w:rsidRDefault="005728DD" w:rsidP="005728DD">
      <w:pPr>
        <w:pStyle w:val="TextoNormal"/>
      </w:pPr>
      <w:r>
        <w:lastRenderedPageBreak/>
        <w:t>“1. Cada delito dará lugar a la formación de una única causa. 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5728DD" w:rsidRDefault="005728DD" w:rsidP="005728DD">
      <w:pPr>
        <w:pStyle w:val="TextoNormal"/>
      </w:pPr>
    </w:p>
    <w:p w:rsidR="005728DD" w:rsidRDefault="005728DD" w:rsidP="005728DD">
      <w:pPr>
        <w:pStyle w:val="TextoNormal"/>
      </w:pPr>
      <w:r>
        <w:t>2. A los efectos de la atribución de jurisdicción y de la distribución de la competencia se consideran delitos conexos:</w:t>
      </w:r>
    </w:p>
    <w:p w:rsidR="005728DD" w:rsidRDefault="005728DD" w:rsidP="005728DD">
      <w:pPr>
        <w:pStyle w:val="TextoNormal"/>
      </w:pPr>
    </w:p>
    <w:p w:rsidR="005728DD" w:rsidRDefault="005728DD" w:rsidP="005728DD">
      <w:pPr>
        <w:pStyle w:val="TextoNormal"/>
      </w:pPr>
      <w:r>
        <w:t>1º Los cometidos por dos o más personas reunidas.</w:t>
      </w:r>
    </w:p>
    <w:p w:rsidR="005728DD" w:rsidRDefault="005728DD" w:rsidP="005728DD">
      <w:pPr>
        <w:pStyle w:val="TextoNormal"/>
      </w:pPr>
    </w:p>
    <w:p w:rsidR="005728DD" w:rsidRDefault="005728DD" w:rsidP="005728DD">
      <w:pPr>
        <w:pStyle w:val="TextoNormal"/>
      </w:pPr>
      <w:r>
        <w:t>2º Los cometidos por dos o más personas en distintos lugares o tiempos si hubiera precedido concierto para ello.</w:t>
      </w:r>
    </w:p>
    <w:p w:rsidR="005728DD" w:rsidRDefault="005728DD" w:rsidP="005728DD">
      <w:pPr>
        <w:pStyle w:val="TextoNormal"/>
      </w:pPr>
    </w:p>
    <w:p w:rsidR="005728DD" w:rsidRDefault="005728DD" w:rsidP="005728DD">
      <w:pPr>
        <w:pStyle w:val="TextoNormal"/>
      </w:pPr>
      <w:r>
        <w:t>3º Los cometidos como medio para perpetrar otros o facilitar su ejecución”.</w:t>
      </w:r>
    </w:p>
    <w:p w:rsidR="005728DD" w:rsidRDefault="005728DD" w:rsidP="005728DD">
      <w:pPr>
        <w:pStyle w:val="TextoNormal"/>
      </w:pPr>
    </w:p>
    <w:p w:rsidR="005728DD" w:rsidRDefault="005728DD" w:rsidP="005728DD">
      <w:pPr>
        <w:pStyle w:val="TextoNormal"/>
      </w:pPr>
      <w:r>
        <w:t>Artículo 272, párrafos 2 y 3 LECrim: “Si el querellado estuviese sometido, por disposición especial de la ley, a determinado tribunal, ante este se interpondrá la querella. Lo mismo se hará cuando fueren varios los querellados por un mismo delito o por dos o más conexos y alguno de aquellos estuviere sometido excepcionalmente a un tribunal que no fuere el llamado a conocer, por regla general, del delito”.</w:t>
      </w:r>
    </w:p>
    <w:p w:rsidR="005728DD" w:rsidRDefault="005728DD" w:rsidP="005728DD">
      <w:pPr>
        <w:pStyle w:val="TextoNormal"/>
      </w:pPr>
    </w:p>
    <w:p w:rsidR="005728DD" w:rsidRDefault="005728DD" w:rsidP="005728DD">
      <w:pPr>
        <w:pStyle w:val="TextoNormal"/>
      </w:pPr>
      <w:r>
        <w:t>c) A su vez, mediante auto de 27 de diciembre de 2018, al desestimar las diversas peticiones de declinatoria de jurisdicción planteadas por las defensas, una vez ratificada la conclusión del sumario, declarada la apertura del juicio oral y formulados los escritos de acusación, la sala de enjuiciamiento se remitió a los criterios expuestos en los anteriores pronunciamientos dictados en la fase de instrucción, aplicándolos ahora a los hechos imputados en los escritos de calificación. En ellos, al admitir a trámite la querella inicial, al pronunciarse sobre la decisión de procesamiento o al denegar peticiones de reenvío por conexión o inhibición en favor de otros juzgados o tribunales planteadas por las partes, había sido ya justificada, determinada y mantenida la competencia objetiva de la Sala de lo Penal del Tribunal Supremo para la investigación de la causa.</w:t>
      </w:r>
    </w:p>
    <w:p w:rsidR="005728DD" w:rsidRDefault="005728DD" w:rsidP="005728DD">
      <w:pPr>
        <w:pStyle w:val="TextoNormal"/>
      </w:pPr>
    </w:p>
    <w:p w:rsidR="005728DD" w:rsidRDefault="005728DD" w:rsidP="005728DD">
      <w:pPr>
        <w:pStyle w:val="TextoNormal"/>
      </w:pPr>
      <w:r>
        <w:t xml:space="preserve">De nuevo, como presupuesto metodológico, se destacó que aquellas decisiones se adoptaron a partir de los elementos fácticos que sirvieron de soporte al Ministerio Fiscal para justificar el ejercicio de la acción penal. La sala entiende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w:t>
      </w:r>
      <w:r>
        <w:lastRenderedPageBreak/>
        <w:t>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005728DD" w:rsidRDefault="005728DD" w:rsidP="005728DD">
      <w:pPr>
        <w:pStyle w:val="TextoNormal"/>
      </w:pPr>
    </w:p>
    <w:p w:rsidR="005728DD" w:rsidRDefault="005728DD" w:rsidP="005728DD">
      <w:pPr>
        <w:pStyle w:val="TextoNormal"/>
      </w:pPr>
      <w:r>
        <w:t>En tal medida, en su resolución, la Sala constata que tanto la acusación por delito de rebelión del Ministerio Fiscal y de la acción popular, como el relato fáctico sobre el que se construye la acusación por el delito de malversación de caudales públicos (que se imputa a la demandante), incorpora hechos que desbordan el límite territorial de la comunidad autónoma catalana (FJ 3, apartado 3.1),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005728DD" w:rsidRDefault="005728DD" w:rsidP="005728DD">
      <w:pPr>
        <w:pStyle w:val="TextoNormal"/>
      </w:pPr>
    </w:p>
    <w:p w:rsidR="005728DD" w:rsidRDefault="005728DD" w:rsidP="005728DD">
      <w:pPr>
        <w:pStyle w:val="TextoNormal"/>
      </w:pPr>
      <w:r>
        <w:t>Sucintamente expuestos, tal y como se recogen en los escritos de acusación, dichos hechos son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EEUU,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Ómnium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Las conductas descritas, según las acusaciones, además de cooperar en el ilegal designio independentista unilateral (que calificaron como delito de rebelión), serían constitutivas de otro de malversación de caudales públicos.</w:t>
      </w:r>
    </w:p>
    <w:p w:rsidR="005728DD" w:rsidRDefault="005728DD" w:rsidP="005728DD">
      <w:pPr>
        <w:pStyle w:val="TextoNormal"/>
      </w:pPr>
    </w:p>
    <w:p w:rsidR="005728DD" w:rsidRDefault="005728DD" w:rsidP="005728DD">
      <w:pPr>
        <w:pStyle w:val="TextoNormal"/>
      </w:pPr>
      <w:r>
        <w:t>Tras repasar el presupuesto de la pretensión acusatoria formulada por el Ministerio Fiscal, destacando de ella aquellos aspectos que describen actuaciones realizadas fuera del territorio de la comunidad autónoma, concluye la sala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w:t>
      </w:r>
    </w:p>
    <w:p w:rsidR="005728DD" w:rsidRDefault="005728DD" w:rsidP="005728DD">
      <w:pPr>
        <w:pStyle w:val="TextoNormal"/>
      </w:pPr>
    </w:p>
    <w:p w:rsidR="005728DD" w:rsidRDefault="005728DD" w:rsidP="005728DD">
      <w:pPr>
        <w:pStyle w:val="TextoNormal"/>
      </w:pPr>
      <w:r>
        <w:t xml:space="preserve">La conclusión toma en consideración la denominada “doctrina de la ubicuidad”, según la cual el delito se comete en cualquiera de los territorios donde se realizan algunos de los </w:t>
      </w:r>
      <w:r>
        <w:lastRenderedPageBreak/>
        <w:t>elementos del tipo objetivo y subjetivo del delito, por lo que “la atribución por el fiscal a algunos de los procesados de actos ejecutivos, no necesariamente violentos pero vinculados al elemento tendencial del delito por el que se formula acusación (</w:t>
      </w:r>
      <w:r w:rsidRPr="005728DD">
        <w:rPr>
          <w:i/>
        </w:rPr>
        <w:t>cfr</w:t>
      </w:r>
      <w:r>
        <w:t>. art. 472.5 CP), justifica la aplicación del art. 57.2 del Estatuto de Autonomía que señala a esta sala como el órgano competente para la investigación y enjuiciamiento de hechos ejecutados fuera del territorio de la comunidad autónoma”.</w:t>
      </w:r>
    </w:p>
    <w:p w:rsidR="005728DD" w:rsidRDefault="005728DD" w:rsidP="005728DD">
      <w:pPr>
        <w:pStyle w:val="TextoNormal"/>
      </w:pPr>
    </w:p>
    <w:p w:rsidR="005728DD" w:rsidRDefault="005728DD" w:rsidP="005728DD">
      <w:pPr>
        <w:pStyle w:val="TextoNormal"/>
      </w:pPr>
      <w:r>
        <w:t>Para la sala, no obsta a lo expuesto que otras comunidades autónomas, al igual que la catalana,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 Y al analizar específicamente la jurisprudencia previa que le fue alegada como término de comparación, concluye que, debido a los delitos entonces investigados, se trata de supuestos objetivamente distintos, por lo que la asunción de competencia cuestionada no contradice los precedentes a que se refieren las defensas de los acusados (autos de la Sala de lo Penal de 12 de noviembre de 2014 y 26 de abril de 2006). Tampoco considera término de comparación suficiente el contenido de los pronunciamientos de otros tribunales —singularmente el Tribunal Superior de Justicia de Cataluña— pues su criterio razonado de decisión no está vinculado a los que hayan utilizado otros órganos judiciales al abordar las causas que a ellos se les han planteado.</w:t>
      </w:r>
    </w:p>
    <w:p w:rsidR="005728DD" w:rsidRDefault="005728DD" w:rsidP="005728DD">
      <w:pPr>
        <w:pStyle w:val="TextoNormal"/>
      </w:pPr>
    </w:p>
    <w:p w:rsidR="005728DD" w:rsidRDefault="005728DD" w:rsidP="005728DD">
      <w:pPr>
        <w:pStyle w:val="TextoNormal"/>
      </w:pPr>
      <w:r>
        <w:t>Por último, atendiendo objetivamente a la naturaleza y estructura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w:t>
      </w:r>
      <w:r w:rsidRPr="005728DD">
        <w:rPr>
          <w:i/>
        </w:rPr>
        <w:t xml:space="preserve"> (c</w:t>
      </w:r>
      <w:r>
        <w:t>fr. arts. 472 y 473.2 CP)”.</w:t>
      </w:r>
    </w:p>
    <w:p w:rsidR="005728DD" w:rsidRDefault="005728DD" w:rsidP="005728DD">
      <w:pPr>
        <w:pStyle w:val="TextoNormal"/>
      </w:pPr>
    </w:p>
    <w:p w:rsidR="005728DD" w:rsidRDefault="005728DD" w:rsidP="005728DD">
      <w:pPr>
        <w:pStyle w:val="TextoNormal"/>
      </w:pPr>
      <w:r>
        <w:t>d) Estos mismos criterios fueron expuestos en la sentencia condenatoria [fundamento jurídico A) 4] al justificar la desestimación de las cuestiones previas planteadas por algunos acusados en las que,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como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w:t>
      </w:r>
    </w:p>
    <w:p w:rsidR="005728DD" w:rsidRDefault="005728DD" w:rsidP="005728DD">
      <w:pPr>
        <w:pStyle w:val="TextoNormal"/>
      </w:pPr>
    </w:p>
    <w:p w:rsidR="005728DD" w:rsidRDefault="005728DD" w:rsidP="005728DD">
      <w:pPr>
        <w:pStyle w:val="TextoNormal"/>
      </w:pPr>
      <w:r>
        <w:lastRenderedPageBreak/>
        <w:t>Por último, con referencia expresa a las SSTC 51/1985, de 10 de abril, y 64/2001, de 17 de marzo, se argumentó sobre la inexistente afectación del derecho al doble grado de jurisdicción en materia penal, dado que, en relación con los delitos de rebelión, sedición y malversación de caudales públicos, fue apreciada una conexión material inescindible de los acusados no aforados con quienes sí mantenían reconocida dicha prerrogativa. A lo que se añadió que los acusados habían sido enjuiciados por el Tribunal Supremo, órgano jurisdiccional superior en todos los órdenes (art. 123 CE), lo que constituye una excepción específica y justificada del derecho a la doble instancia penal que ha sido admitida por la jurisprudencia constitucional citada y también, expresamente, por el artículo 2.2 del Protocolo séptimo del CEDH.</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Aplicación al caso de la doctrina constitucional expuesta sobre el derecho al juez ordinario predeterminado por la ley</w:t>
      </w:r>
      <w:r>
        <w:t>.</w:t>
      </w:r>
    </w:p>
    <w:p w:rsidR="005728DD" w:rsidRDefault="005728DD" w:rsidP="005728DD">
      <w:pPr>
        <w:pStyle w:val="TextoNormal"/>
      </w:pPr>
    </w:p>
    <w:p w:rsidR="005728DD" w:rsidRDefault="005728DD" w:rsidP="005728DD">
      <w:pPr>
        <w:pStyle w:val="TextoNormal"/>
      </w:pPr>
      <w:r>
        <w:t>La demandante entiende que debió ser juzgada por el Tribunal Superior de Justicia de Cataluña. Considera errónea la interpretación efectuada por el Tribunal Supremo sobre la norma estatutaria que determina la competencia penal para enjuiciar a quienes, como consecuencia de su condición de diputados autonómicos, son titulares de la prerrogativa parlamentaria de aforamiento (art. 57.2 EAC). Dicho error lo asocia a la excesiva trascendencia competencial que se ha dado a la ubicación geográfica de parte de los hechos imputados de forma vaga y genérica en la querella inicial y en los escritos de acusación. Afirma que los hechos relevantes atribuidos en la causa no tuvieron lugar fuera del territorio de Cataluña, y que es irrelevante que el delito imputado sea de naturaleza colectiva y plurisubjetiva, pues tales características constituyen una base insuficiente para asumir la competencia objetiva cuestionada. Aduce, por último, que lo que ha llevado a la sala a justificar su propia competencia es una interpretación amplia y extensiva de los elementos del tipo de rebelión.</w:t>
      </w:r>
    </w:p>
    <w:p w:rsidR="005728DD" w:rsidRDefault="005728DD" w:rsidP="005728DD">
      <w:pPr>
        <w:pStyle w:val="TextoNormal"/>
      </w:pPr>
    </w:p>
    <w:p w:rsidR="005728DD" w:rsidRDefault="005728DD" w:rsidP="005728DD">
      <w:pPr>
        <w:pStyle w:val="TextoNormal"/>
      </w:pPr>
      <w:r>
        <w:t>A partir de la concreta vertiente del derecho fundamental alegado por la demandante y la doctrina jurisprudencial sobre su contenido que ha sido expuesta en el fundamento jurídico tercero de esta resolución, la cuestión que tenemos que resolver consiste en determinar si las resoluciones judiciales por las que la Sala de lo Penal del Tribunal Supremo asumió la competencia para la investigación de los hechos atribuidos en la querella, la extendió a los no aforados por razones de conexidad procesal e inescindibilidad de la causa, y después, la mantuvo para el enjuiciamiento de los hechos que dieron sustento a la pretensión acusatoria, se apoyan en razonamientos arbitrarios, irrazonables o basados en un error fáctico patente que deriva de las actuaciones, pues solo en este caso presentará relieve constitucional la discrepancia expresada por la demandante, más allá de exteriorizar una diferencia razonada de criterio con la interpretación judicial de la ley procesal aplicable.</w:t>
      </w:r>
    </w:p>
    <w:p w:rsidR="005728DD" w:rsidRDefault="005728DD" w:rsidP="005728DD">
      <w:pPr>
        <w:pStyle w:val="TextoNormal"/>
      </w:pPr>
    </w:p>
    <w:p w:rsidR="005728DD" w:rsidRDefault="005728DD" w:rsidP="005728DD">
      <w:pPr>
        <w:pStyle w:val="TextoNormal"/>
      </w:pPr>
      <w:r>
        <w:t xml:space="preserve">a) Dada la delimitación progresiva de su objeto, debemos hacer una consideración previa sobre las peculiaridades que, en torno a la determinación de la competencia, presenta el desarrollo del proceso penal. En nuestro ordenamiento, la exigencia de responsabilidad penal a cualquier investigado solo puede venir apoyada en una inicial atribución fáctica y delictiva que se expresa por referencia a dos criterios: hechos supuestamente cometidos y su calificación jurídica provisional como delito. Sobre este presupuesto, los hechos atribuidos han de ser investigados, contrastados y en su caso, declarados probados. Por otra parte, la calificación jurídica es provisional durante la fase de investigación e intermedia (STC 20/1987, de 19 de febrero, FJ 4, y 186/1990, de 15 de noviembre, FJ 4). Solo después de </w:t>
      </w:r>
      <w:r>
        <w:lastRenderedPageBreak/>
        <w:t>practicar contradictoriamente la prueba en un juicio público, si se mantiene la acusación, pueden los hechos imputados ser afirmados como delictivos por el órgano de enjuiciamiento, tras subsumirlos en el tipo penal que corresponda.</w:t>
      </w:r>
    </w:p>
    <w:p w:rsidR="005728DD" w:rsidRDefault="005728DD" w:rsidP="005728DD">
      <w:pPr>
        <w:pStyle w:val="TextoNormal"/>
      </w:pPr>
    </w:p>
    <w:p w:rsidR="005728DD" w:rsidRDefault="005728DD" w:rsidP="005728DD">
      <w:pPr>
        <w:pStyle w:val="TextoNormal"/>
      </w:pPr>
      <w:r>
        <w:t>Expuesto de forma sintética el desarrollo del proceso penal, resulta indiscutible que la evaluación inicial de la competencia objetiva para la investigación de la causa, determinada en este caso por la condición de aforados de cinco de los parlamentarios querellados y por el lugar de comisión de parte de los hechos imputados (art. 57.2 EAC), solo podía tener como referencia los hechos atribuidos en la querella o su calificación jurídica provisional. En aquel momento procesal (auto de admisión a trámite de la querella de 31 de octubre de 2017),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w:t>
      </w:r>
    </w:p>
    <w:p w:rsidR="005728DD" w:rsidRDefault="005728DD" w:rsidP="005728DD">
      <w:pPr>
        <w:pStyle w:val="TextoNormal"/>
      </w:pPr>
    </w:p>
    <w:p w:rsidR="005728DD" w:rsidRDefault="005728DD" w:rsidP="005728DD">
      <w:pPr>
        <w:pStyle w:val="TextoNormal"/>
      </w:pPr>
      <w:r>
        <w:t>A partir de estas consideraciones, no podemos compartir con la demandante que la asunción inicial de la competencia de investigación, a partir de los parámetros expuestos, se haya apoyado en valoraciones o razonamientos que puedan ser calificados como arbitrarios, manifiestamente irrazonables o que sean fruto de un error patente que derive de las actuaciones.</w:t>
      </w:r>
    </w:p>
    <w:p w:rsidR="005728DD" w:rsidRDefault="005728DD" w:rsidP="005728DD">
      <w:pPr>
        <w:pStyle w:val="TextoNormal"/>
      </w:pPr>
    </w:p>
    <w:p w:rsidR="005728DD" w:rsidRDefault="005728DD" w:rsidP="005728DD">
      <w:pPr>
        <w:pStyle w:val="TextoNormal"/>
      </w:pPr>
      <w:r>
        <w:t>Los criterios jurídicos utilizados por la Sala de lo Penal del Tribunal Supremo —extensamente descritos en el fundamento jurídico anterior—, dan cuenta de la toma en consideración de los elementos nucleares de la regla de atribución de competencia: aforamiento especial parlamentario y lugar atribuido de la comisión del delito. Por una parte, la sala tuvo en cuenta los pasajes fácticos de la querella que describen los que denomina “aspectos internacionales de la declaración de independencia”, donde se relatan como típicos hechos acaecidos fuera del territorio de Cataluña. Respecto a ellos, se destaca en la resolución el carácter complejo del hecho atribuido —plurisubjetivo y colectivo—, expuesto por el Ministerio Fiscal como fruto de una estrategia concertada que presenta un elemento tendencial claro: declarar la independencia de una parte del territorio español. Es precisamente la afirmación de que una pluralidad de sujetos intervino concertadamente en el hecho atribuido lo que justificó también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para su averiguación en diversos procesos sin desvirtuar la perspectiva global desde la que habían de ser contemplados.</w:t>
      </w:r>
    </w:p>
    <w:p w:rsidR="005728DD" w:rsidRDefault="005728DD" w:rsidP="005728DD">
      <w:pPr>
        <w:pStyle w:val="TextoNormal"/>
      </w:pPr>
    </w:p>
    <w:p w:rsidR="005728DD" w:rsidRDefault="005728DD" w:rsidP="005728DD">
      <w:pPr>
        <w:pStyle w:val="TextoNormal"/>
      </w:pPr>
      <w:r>
        <w:t xml:space="preserve">Se trata, por tanto, de razonamientos que tienen que ver con los hechos atribuidos, con el lugar donde supuestamente se produjeron, con la calificación jurídica provisional expresada y con la condición de aforados de varios querellados. No parten de premisas inexistentes o patentemente erróneas. Y su desarrollo argumental no incurre en quiebras lógicas ni se aleja del tenor de la norma aplicada, sino que, descartando la identidad objetiva de los alegados por la demandante, se apoyan en otros precedentes jurisprudenciales, con expresa referencia a un acuerdo no jurisdiccional del Pleno de la Sala de lo Penal del Tribunal Supremo que, ya en 2005, acogió la denominada “doctrina de la ubicuidad”, antes descrita, aplicable a los casos en que un mismo delito se hubiere cometido en diversas jurisdicciones </w:t>
      </w:r>
      <w:r>
        <w:lastRenderedPageBreak/>
        <w:t>territoriales. En conclusión, en cuanto a la asunción de la competencia para la averiguación del delito, la conclusión alcanzada es consecuencia lógica de las razones jurídicas expuestas y no supone una manipulación arbitraria de la regla de distribución de competencias, por lo que la vulneración alegada ha de ser desestimada.</w:t>
      </w:r>
    </w:p>
    <w:p w:rsidR="005728DD" w:rsidRDefault="005728DD" w:rsidP="005728DD">
      <w:pPr>
        <w:pStyle w:val="TextoNormal"/>
      </w:pPr>
    </w:p>
    <w:p w:rsidR="005728DD" w:rsidRDefault="005728DD" w:rsidP="005728DD">
      <w:pPr>
        <w:pStyle w:val="TextoNormal"/>
      </w:pPr>
      <w:r>
        <w:t>b) Como ha quedado expuesto, la extensión subjetiva de la competencia a la demandante, y a otras personas no aforadas sometidas a investigación, fue acordada por auto del magistrado instructor de 24 de noviembre de 2017. Aunque la demandante carecía en aquel momento de la condición de miembro del Gobierno catalán o de diputada autonómica, o de cualquier otra que le reconociera la prerrogativa de aforamiento, la investigación y enjuiciamiento de la recurrente por la Sala de lo Penal del Tribunal Supremo estaba explícita y específicamente prevista por las normas de la LECrim que establecen el enjuiciamiento conjunto en un solo proceso de los delitos conexos cuya inescindibilidad fuera apreciada (art. 17.1 y 2, y art. 272 LECrim). Al igual que en el supuesto analizado en la STC 64/2001, de 17 de marzo, el aforamiento especial de varias personas encausadas ha tenido como consecuencia, en aplicación de dichas normas legales antes transcritas, que la demandante viera modificado el órgano judicial competente con carácter general cuya competencia reclama —el Tribunal Superior de Justicia de Cataluña— y se restringiera, en consecuencia, su derecho a someter la declaración de culpabilidad y la pena impuesta ante un tribunal superior —queja esta que ha sido formulada como motivo de amparo— la cual abordaremos más adelante.</w:t>
      </w:r>
    </w:p>
    <w:p w:rsidR="005728DD" w:rsidRDefault="005728DD" w:rsidP="005728DD">
      <w:pPr>
        <w:pStyle w:val="TextoNormal"/>
      </w:pPr>
    </w:p>
    <w:p w:rsidR="005728DD" w:rsidRDefault="005728DD" w:rsidP="005728DD">
      <w:pPr>
        <w:pStyle w:val="TextoNormal"/>
      </w:pPr>
      <w:r>
        <w:t>c) Igual suerte desestimatoria ha de correr la vulneración que se asocia al auto de 28 de diciembre de 2018 que desestimó las diversas declinatorias de jurisdicción planteadas por los acusados. Sus razonamientos son semejantes y abundan en los que ya han sido expuestos. El único elemento diferencial de su examen radica ahora en que la competencia de enjuiciamiento se determina en atención al relato fáctico que sustenta las pretensiones acusatorias ya formuladas. De forma razonada, la sala mantuvo su criterio anterior al constatar que tanto la acusación por delito de rebelión, como el relato fáctico sobre el que se construye la acusación por malversación de caudales públicos, incorporaban hechos que desbordan el límite territorial de la comunidad autónoma catalana. El mantenimiento de la competencia vino apoyado en todo momento en los elementos que, en el Estatuto de Autonomía de Cataluña, definen la regla estatutaria de atribución competencial. La consideración de que a las personas investigadas, y luego acusadas, se atribuían hechos cometidos dentro y fuera del territorio de Cataluña se apoyó en datos objetivos confirmados por la instrucción; de manera que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w:t>
      </w:r>
    </w:p>
    <w:p w:rsidR="005728DD" w:rsidRDefault="005728DD" w:rsidP="005728DD">
      <w:pPr>
        <w:pStyle w:val="TextoNormal"/>
      </w:pPr>
    </w:p>
    <w:p w:rsidR="005728DD" w:rsidRDefault="005728DD" w:rsidP="005728DD">
      <w:pPr>
        <w:pStyle w:val="TextoNormal"/>
      </w:pPr>
      <w:r>
        <w:t>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005728DD" w:rsidRDefault="005728DD" w:rsidP="005728DD">
      <w:pPr>
        <w:pStyle w:val="TextoNormal"/>
      </w:pPr>
    </w:p>
    <w:p w:rsidR="005728DD" w:rsidRDefault="005728DD" w:rsidP="005728DD">
      <w:pPr>
        <w:pStyle w:val="TextoNormal"/>
      </w:pPr>
      <w:r>
        <w:t xml:space="preserve">En definitiva, la determinación de la competencia objetiva de la Sala de lo Penal del Tribunal Supremo en relación con la demandante, y el resto de personas acusadas, tiene una </w:t>
      </w:r>
      <w:r>
        <w:lastRenderedPageBreak/>
        <w:t>incuestionable base legal explícita que cabe sintetizar en las siguientes normas, que han sido razonada y razonablemente aplicadas: (i) el art. 57.1 LOPJ predetermina la competencia de la Sala Penal del Tribunal Supremo para la instrucción y enjuiciamiento en aquellos casos que determinen los estatutos de autonomía; (ii) el Estatuto de Autonomía de Cataluña, en sus art. 57.2 y 70.2, declara la competencia de la citada Sala de lo Penal en las causas contra diputados autonómicos, el presidente de la Generalitat y sus consejeros, cuando el hecho enjuiciado se ha desarrollado fuera del territorio de Cataluña; (iii) el art. 17.1 LECrim establece que “los delitos conexos serán investigados y enjuiciados en la misma causa cuando la investigación y la prueba en conjunto de los hechos resulten convenientes para su esclarecimiento y para la determinación de las responsabilidades procedentes”, con la excepción de que la acumulación suponga excesiva complejidad o dilación para el proceso; (iv) el art. 17.2 LECrim. que, a efectos de atribución de jurisdicción y competencia, declara que son conexos tanto los delitos cometidos por dos o más personas reunidas, como los cometidos por dos o más personas en distintos lugares o tiempos si hubiera precedido concierto para ello, así como los cometidos como medio para perpetrar otros o facilitar su ejecución, y (v) el art. 272 LECrim, que reafirma dicha competencia al establecer que, cuando el querellado estuviere sometido por disposición especial de la ley a determinado tribunal, ante este se interpondrá la querella, al igual que cuando fueren varios los querellados por un mismo delito o por dos o más conexos y alguno de aquellos estuviere sometido excepcionalmente a un tribunal que no fuere el llamado a conocer, por regla general, del delito.</w:t>
      </w:r>
    </w:p>
    <w:p w:rsidR="005728DD" w:rsidRDefault="005728DD" w:rsidP="005728DD">
      <w:pPr>
        <w:pStyle w:val="TextoNormal"/>
      </w:pPr>
    </w:p>
    <w:p w:rsidR="005728DD" w:rsidRDefault="005728DD" w:rsidP="005728DD">
      <w:pPr>
        <w:pStyle w:val="TextoNormal"/>
      </w:pPr>
      <w:r>
        <w:t>Lo expuesto permite apreciar que la Sala de lo Penal del Tribunal Supremo, en cuanto es el órgano judicial establecido por la ley para exigir responsabilidad por delito a los diputados autonómicos, cuando los hechos atribuidos tienen lugar fuera del territorio catalán —según establece el Estatuto de Autonomía de Cataluña—, no es irrazonable que lo sea respecto a las acciones penales que contra ellos se dirijan en esos casos, por lo que las resoluciones impugnadas en amparo no vulneraron el derecho de la recurrente al juez ordinario predeterminado por la ley.</w:t>
      </w:r>
    </w:p>
    <w:p w:rsidR="005728DD" w:rsidRDefault="005728DD" w:rsidP="005728DD">
      <w:pPr>
        <w:pStyle w:val="TextoNormal"/>
      </w:pPr>
    </w:p>
    <w:p w:rsidR="005728DD" w:rsidRDefault="005728DD" w:rsidP="005728DD">
      <w:pPr>
        <w:pStyle w:val="TextoNormal"/>
      </w:pPr>
      <w:r>
        <w:t>A lo expuesto no obsta de ninguna forma la fundamentación de la sentencia del Tribunal de Apelación de Bruselas núm. 2021-79, de 7 de enero que, fuera del periodo de alegaciones, ha aportado a este tribunal la representación procesal de la demandante “a los efectos de que sea tenida en cuenta a la hora de resolver el presente recurso de amparo”. Según la resolución aportada, la ampliación de la jurisdicción del Tribunal Supremo a los coacusados no aforados, debido a la estrecha conexión que mantenían los delitos que se les imputaban con los atribuidos a los aforados, “parece basarse” en un criterio jurisprudencial no respaldado por ninguna disposición jurídica nacional explícita; esto es, sin que exista base legal explícita para ampliar dicha competencia.</w:t>
      </w:r>
    </w:p>
    <w:p w:rsidR="005728DD" w:rsidRDefault="005728DD" w:rsidP="005728DD">
      <w:pPr>
        <w:pStyle w:val="TextoNormal"/>
      </w:pPr>
    </w:p>
    <w:p w:rsidR="005728DD" w:rsidRDefault="005728DD" w:rsidP="005728DD">
      <w:pPr>
        <w:pStyle w:val="TextoNormal"/>
      </w:pPr>
      <w:r>
        <w:t>No se trata únicamente de que, en un plano formal, sus razonamientos y pronunciamientos en modo alguno vinculen a este tribunal en su función de delimitar el contenido de los derechos fundamentales y resolver en amparo los casos en los que se denuncie su supuesta vulneración. De forma sustantiva, por considerar que no son trasladables a nuestro enjuiciamiento los argumentos que la resolución aportada expone para justificar la denegación de la orden europea de detención y entrega emitida en relación con un procesado en esta causa, declarado rebelde, a quien se imputan delitos de desobediencia y malversación de caudales públicos.</w:t>
      </w:r>
    </w:p>
    <w:p w:rsidR="005728DD" w:rsidRDefault="005728DD" w:rsidP="005728DD">
      <w:pPr>
        <w:pStyle w:val="TextoNormal"/>
      </w:pPr>
    </w:p>
    <w:p w:rsidR="005728DD" w:rsidRDefault="005728DD" w:rsidP="005728DD">
      <w:pPr>
        <w:pStyle w:val="TextoNormal"/>
      </w:pPr>
      <w:r>
        <w:lastRenderedPageBreak/>
        <w:t xml:space="preserve">Como hemos razonado antes, tomando en consideración las características del caso y los criterios restrictivos expuestos en la citada STEDH de 22 de junio de 2000 (caso </w:t>
      </w:r>
      <w:r w:rsidRPr="005728DD">
        <w:rPr>
          <w:i/>
        </w:rPr>
        <w:t>Coëme y otros c. Bélgica</w:t>
      </w:r>
      <w:r>
        <w:t xml:space="preserve">), concurren en este supuesto elementos diferenciales que justifican la conclusión desestimatoria de la pretensión de amparo que ya ha sido expuesta. No se trata aquí, como el Tribunal Europeo de Derechos Humanos apreció al resolver el caso </w:t>
      </w:r>
      <w:r w:rsidRPr="005728DD">
        <w:rPr>
          <w:i/>
        </w:rPr>
        <w:t>Coëme</w:t>
      </w:r>
      <w:r>
        <w:t>, de que no exista en el ordenamiento jurídico español ley expresa que establezca la jurisdicción y competencia de la Sala Penal del Tribunal Supremo en relación con los aforados, o de que no exista ley que establezca el procedimiento para su enjuiciamiento, o de que no haya previsión legislativa expresa que permita extender la competencia de la Sala de lo Penal a los no aforados; ni, en fin, tampoco ocurre que tal extensión a la demandante haya sido consecuencia de un pronunciamiento jurisprudencial no respaldado por ninguna disposición jurídica. Muy al contrario, hemos tenido oportunidad de expresar extensamente en este mismo fundamento las razones por las que las resoluciones impugnadas en amparo no vulneraron el derecho de la recurrente al juez ordinario predeterminado por la ley al venir apoyadas en disposiciones legislativas que así lo preveían expresamente antes de la comisión de los hechos enjuiciados; razones que se sobreponen y permiten refutar las que, para ser tomadas en consideración, la demandante nos aporta en su último escrito.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El derecho al doble grado de jurisdicción en materia penal</w:t>
      </w:r>
      <w:r>
        <w:t>.</w:t>
      </w:r>
    </w:p>
    <w:p w:rsidR="005728DD" w:rsidRDefault="005728DD" w:rsidP="005728DD">
      <w:pPr>
        <w:pStyle w:val="TextoNormal"/>
      </w:pPr>
    </w:p>
    <w:p w:rsidR="005728DD" w:rsidRDefault="005728DD" w:rsidP="005728DD">
      <w:pPr>
        <w:pStyle w:val="TextoNormal"/>
      </w:pPr>
      <w:r>
        <w:t>La desestimación del precedente motivo de amparo lleva consigo la del que, por conexión, denuncia la indebida limitación del derecho al doble grado jurisdiccional en materia penal. La demandante, en su condición de consejera de la Generalitat de Cataluña, era aforada en el momento de protagonizar los hechos por los que ha sido condenada (art. 70.2 del Estatuto de Autonomía de Cataluña). Pese a que no formaba parte del Gobierno de la Generalitat cuando, el 30 de octubre de 2017, el fiscal general del Estado presentó ante la Audiencia Nacional la querella que dio inicio a la causa contra ella y otros ex consejeros, ha visto como el enjuiciamiento de las imputaciones que sobre ella pesaban se trasladó ante la Sala de lo Penal del Tribunal Supremo, debido a que algunas otras personas acusadas en la misma causa tenían la condición necesaria para el aforamiento parlamentario previsto en el art. 57.2 EAC, y a que se apreció conexidad procesal entre los hechos atribuidos a los aforados y a la demandante.</w:t>
      </w:r>
    </w:p>
    <w:p w:rsidR="005728DD" w:rsidRDefault="005728DD" w:rsidP="005728DD">
      <w:pPr>
        <w:pStyle w:val="TextoNormal"/>
      </w:pPr>
    </w:p>
    <w:p w:rsidR="005728DD" w:rsidRDefault="005728DD" w:rsidP="005728DD">
      <w:pPr>
        <w:pStyle w:val="TextoNormal"/>
      </w:pPr>
      <w:r>
        <w:t>Tal y como expresa la sentencia impugnada, este tribunal ya ha abordado en anteriores pronunciamientos dicha cuestión (por todas, SSTC 51/1985, de 10 de abril, FJ 3, y 64/2001, de 17 de marzo, FJ 5). En ellas hemos señalado que el derecho a someter el fallo condenatorio y la pena ante un tribunal superior integra el derecho al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suficiente.</w:t>
      </w:r>
    </w:p>
    <w:p w:rsidR="005728DD" w:rsidRDefault="005728DD" w:rsidP="005728DD">
      <w:pPr>
        <w:pStyle w:val="TextoNormal"/>
      </w:pPr>
    </w:p>
    <w:p w:rsidR="005728DD" w:rsidRDefault="005728DD" w:rsidP="005728DD">
      <w:pPr>
        <w:pStyle w:val="TextoNormal"/>
      </w:pPr>
      <w: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w:t>
      </w:r>
      <w:r>
        <w:lastRenderedPageBreak/>
        <w:t>en la composición del Parlamento, cuando es obligado enjuiciar la causa ante el Tribunal Supremo, órgano superior en todos los órdenes jurisdiccionales. Y en segundo lugar, se apoya en la inescindibilidad de la causa: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w:t>
      </w:r>
    </w:p>
    <w:p w:rsidR="005728DD" w:rsidRDefault="005728DD" w:rsidP="005728DD">
      <w:pPr>
        <w:pStyle w:val="TextoNormal"/>
      </w:pPr>
    </w:p>
    <w:p w:rsidR="005728DD" w:rsidRDefault="005728DD" w:rsidP="005728DD">
      <w:pPr>
        <w:pStyle w:val="TextoNormal"/>
      </w:pPr>
      <w:r>
        <w:t>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se estimó que “no había vulneración del derecho a la revisión de la condena cuando esta era pronunciada en única instancia por el Tribunal Supremo”. El propio art. 6 CEDH no enuncia expresamente el derecho fundamental aquí considerado, aunque si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de 1966, cuyo influjo ha sido decisivo en esta materia (STC 42/1982). Pero, al mismo tiempo que lo reconoce, el Protocolo establece una excepción significativa, ya que su enunciado admite que las legislaciones de los Estados contratantes lo excluyan, entre otros supuestos “cuando el culpable haya sido juzgado en primera instancia por el más alto Tribunal”. Dicha circunstancia es la que aquí concurre, dado que la demandante ha sido juzgada en primera instancia por el Tribunal Supremo, órgano jurisdiccional superior en todos los órdenes (art. 123 CE), contra cuyas resoluciones no cabe recurso ordinario alguno. Tal circunstancia justifica en este caso que no se pueda apreciar como indebida la denunciada limitación del derecho a la doble instancia penal.</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La motivación de la cuantía de la cuota diaria de la pena de multa impuesta</w:t>
      </w:r>
      <w:r>
        <w:t>.</w:t>
      </w:r>
    </w:p>
    <w:p w:rsidR="005728DD" w:rsidRDefault="005728DD" w:rsidP="005728DD">
      <w:pPr>
        <w:pStyle w:val="TextoNormal"/>
      </w:pPr>
    </w:p>
    <w:p w:rsidR="005728DD" w:rsidRDefault="005728DD" w:rsidP="005728DD">
      <w:pPr>
        <w:pStyle w:val="TextoNormal"/>
      </w:pPr>
      <w:r>
        <w:t>En el último motivo de amparo la recurrente se queja de la falta de motivación individualizada de la cuota diaria de la pena de multa que le ha sido impuesta. La considera genérica, insuficiente y estereotipada, pues se vincula exclusivamente a la retribución que venía percibiendo como consejera de la Generalitat. En su opinión, la fijación en 200 € de la cuota diaria de la multa impuesta (6000 € mensuales) se ha hecho sin evaluar su capacidad económica individual y sin realizar investigación alguna adicional sobre su situación económica real o sus circunstancias personales o familiares, por lo que, conforme a la jurisprudencia constitucional que cita (SSTC 108/2001, de 23 de abril; 170/2004, de 18 de octubre, y 108/2005, de 9 de mayo), no puede ser considerada una resolución fundada en Derecho.</w:t>
      </w:r>
    </w:p>
    <w:p w:rsidR="005728DD" w:rsidRDefault="005728DD" w:rsidP="005728DD">
      <w:pPr>
        <w:pStyle w:val="TextoNormal"/>
      </w:pPr>
    </w:p>
    <w:p w:rsidR="005728DD" w:rsidRDefault="005728DD" w:rsidP="005728DD">
      <w:pPr>
        <w:pStyle w:val="TextoNormal"/>
      </w:pPr>
      <w:r>
        <w:t>El Ministerio Fiscal, el abogado del Estado y el acusador popular consideran, por el contrario, que la motivación expresada en la sentencia condenatoria es suficiente por venir referida, implícitamente, a los ingresos públicos asociados al cargo de libre elección que venía ejerciendo como consejera del Gobierno de la Generalitat de Cataluña.</w:t>
      </w:r>
    </w:p>
    <w:p w:rsidR="005728DD" w:rsidRDefault="005728DD" w:rsidP="005728DD">
      <w:pPr>
        <w:pStyle w:val="TextoNormal"/>
      </w:pPr>
    </w:p>
    <w:p w:rsidR="005728DD" w:rsidRDefault="005728DD" w:rsidP="005728DD">
      <w:pPr>
        <w:pStyle w:val="TextoNormal"/>
      </w:pPr>
      <w:r>
        <w:t>La cuestión planteada no es novedosa en la jurisprudencia constitucional. Como recuerda la STC 91/2009, de 20 de abril, FJ 7, este tribunal ha declarado reiteradamente que el deber general de motivación de las sentencias que impone el art. 120.3 CE se integra en el conte</w:t>
      </w:r>
      <w:r>
        <w:lastRenderedPageBreak/>
        <w:t>nido del derecho a la tutela judicial efectiva del art. 24.1 CE, por lo que las decisiones judiciales deben exteriorizar los elementos de juicio sobre los que se basan y su fundamentación jurídica ha de ser una aplicación de la legalidad no arbitraria, manifiestamente irrazonable o incursa en un error patente. Esta exigencia resulta reforzada en el caso de las sentencias penales condenatorias, por cuanto en ellas el derecho a la tutela judicial efectiva se conecta con otros derechos fundamentales y, directa o indirectamente, en muchas ocasiones, con el derecho a la libertad personal. En esa medida, el deber de motivación incluye no solo la obligación de fundamentar los hechos y la calificación jurídica, sino también la pena en concreto finalmente impuesta, por cuanto el margen de discrecionalidad del que legalmente goza el juez penal en la determinación de la pena a imponer no constituye por sí mismo justificación suficiente de la decisión finalmente adoptada, sino que, por el contrario, el ejercicio de dicha facultad viene condicionado estrechamente por la exigencia de que la resolución esté motivada, pues solo así puede procederse a su control posterior en evitación de toda arbitrariedad.</w:t>
      </w:r>
    </w:p>
    <w:p w:rsidR="005728DD" w:rsidRDefault="005728DD" w:rsidP="005728DD">
      <w:pPr>
        <w:pStyle w:val="TextoNormal"/>
      </w:pPr>
    </w:p>
    <w:p w:rsidR="005728DD" w:rsidRDefault="005728DD" w:rsidP="005728DD">
      <w:pPr>
        <w:pStyle w:val="TextoNormal"/>
      </w:pPr>
      <w:r>
        <w:t>La aplicación al caso de los criterios de control expuestos permite anticipar la desestimación de este motivo de amparo. Al igual que en los casos analizados en las SSTC 108/2001, 108/2005, 196/2007, o en la ya citada STC 91/2009, la sentencia condenatoria aplicó el sistema legal de “días-multa” previsto en la ley penal para cuantificar su concreta intensidad. Lo que la demandante cuestiona no es la extensión temporal de la pena impuesta (diez meses, sobre un máximo de doce meses previsto para el delito por el que fue condenada), sino la motivación del importe de la cuota diaria que la demandante ha de satisfacer (200 €/día, para una horquilla legal establecida en el art. 50.4 CP entre 2 y 400 € diarios).</w:t>
      </w:r>
    </w:p>
    <w:p w:rsidR="005728DD" w:rsidRDefault="005728DD" w:rsidP="005728DD">
      <w:pPr>
        <w:pStyle w:val="TextoNormal"/>
      </w:pPr>
    </w:p>
    <w:p w:rsidR="005728DD" w:rsidRDefault="005728DD" w:rsidP="005728DD">
      <w:pPr>
        <w:pStyle w:val="TextoNormal"/>
      </w:pPr>
      <w:r>
        <w:t>Conforme a la previsión legal (art. 50.5 CP) la cuota diaria se ha de determinar teniendo en cuenta para ello, exclusivamente, la situación económica de la persona condenada, “deducida de su patrimonio, ingresos, obligaciones y cargas familiares y demás circunstancias personales”. En la sentencia condenatoria se establece, expresamente que la pena de multa de diez meses, con una cuota diaria de 200 €, se fija “en atención a los parámetros cuantitativos a que se refiere el art. 50.5 CP, deducidos de la situación económica de los tres acusados, su titulación profesional y de sus circunstancias personales”. Tal referencia, ciertamente genérica, resultó concretada al desestimar la solicitud de nulidad de actuaciones planteada, que denunció este mismo motivo de amparo, señalando que “la sentencia dictada sí motiva este último importe y hace referencia para ello a la situación económica de los tres acusados, su titulación profesional y a las circunstancias personales que constan en autos. Los dos primeros parámetros están por otro lado íntimamente relacionados con el hecho notorio de que fueron consejeros del gobierno de una comunidad autónoma”.</w:t>
      </w:r>
    </w:p>
    <w:p w:rsidR="005728DD" w:rsidRDefault="005728DD" w:rsidP="005728DD">
      <w:pPr>
        <w:pStyle w:val="TextoNormal"/>
      </w:pPr>
    </w:p>
    <w:p w:rsidR="005728DD" w:rsidRDefault="005728DD" w:rsidP="005728DD">
      <w:pPr>
        <w:pStyle w:val="TextoNormal"/>
      </w:pPr>
      <w:r>
        <w:t xml:space="preserve">En el caso presente, como ha destacado el abogado del Estado, la individualización de la cuota de la multa diaria ha sido realizada con base en criterios indicativos de la capacidad económica de la penada a partir del relevante nivel de ingresos salariales que ha venido obteniendo durante el ejercicio del cargo de consejera del Gobierno de la Generalitat de Cataluña. Tales ingresos, como alega el Ministerio Fiscal y se recoge en la ley autonómica de presupuestos, superan la suma de 110 000 € anuales. Tal referencia expresa permite diferenciar el presente supuesto de los casos analizados en las SSTC 108/2001, 108/2005, o 91/2009, en los que la estimación del amparo vino justificada en constatar que la determinación del importe de la cuota diaria de multa que, en cada caso, debían satisfacer los demandantes, carecía de cualquier motivación o se apoyaba en criterios totalmente ajenos a </w:t>
      </w:r>
      <w:r>
        <w:lastRenderedPageBreak/>
        <w:t>las pautas establecidas en el precepto legal aplicado, esto es, prescindía de toda consideración de la situación económica de los recurrentes. Tomando en consideración los criterios legales reseñados y la fundamentación exteriorizada para justificar el ejercicio del margen penológico establecido por el apartado 4 del propio art. 50 CP, debemos concluir que la motivación expresada no puede ser calificada como inexistente, ni tampoco como arbitraria, manifiestamente irrazonable o apoyada en un error patente que derive de las actuaciones; lo que conduce a la desestimación del motivo de amparo analizado.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doña Meritxell Borràs i Solé.</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diecisiete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8" w:name="SENTENCIA_2021_35"/>
      <w:r>
        <w:lastRenderedPageBreak/>
        <w:t>SENTENCIA 35/2021, de 18 de febrero de 2021</w:t>
      </w:r>
    </w:p>
    <w:bookmarkEnd w:id="38"/>
    <w:p w:rsidR="005728DD" w:rsidRDefault="005728DD" w:rsidP="005728DD">
      <w:pPr>
        <w:pStyle w:val="TtuloResolucin"/>
      </w:pPr>
      <w:r>
        <w:t>Pleno</w:t>
      </w:r>
    </w:p>
    <w:p w:rsidR="005728DD" w:rsidRDefault="005728DD" w:rsidP="005728DD">
      <w:pPr>
        <w:pStyle w:val="TtuloBOE"/>
      </w:pPr>
      <w:r>
        <w:t>(BOE núm. 69, de 22 de marzo de 2021)</w:t>
      </w:r>
    </w:p>
    <w:p w:rsidR="005728DD" w:rsidRDefault="005728DD" w:rsidP="005728DD">
      <w:pPr>
        <w:pStyle w:val="TextoNormalCentrado"/>
      </w:pPr>
      <w:r>
        <w:t>ECLI:ES:TC:2021:35</w:t>
      </w:r>
    </w:p>
    <w:p w:rsidR="005728DD" w:rsidRDefault="005728DD" w:rsidP="005728DD">
      <w:pPr>
        <w:pStyle w:val="TextoNormalCentrado"/>
      </w:pPr>
    </w:p>
    <w:p w:rsidR="005728DD" w:rsidRDefault="005728DD" w:rsidP="005728DD">
      <w:pPr>
        <w:pStyle w:val="SntesisDescriptiva"/>
      </w:pPr>
      <w:r>
        <w:t>Recurso de amparo 1265-2018. Promovido por don Jerry Aroon-Kumar Rustveld respecto de las sentencias dictadas por la Audiencia Provincial de Baleares y un juzgado de lo penal de Palma de Mallorca, que le condenaron por un delito de amenazas leves.</w:t>
      </w:r>
    </w:p>
    <w:p w:rsidR="005728DD" w:rsidRDefault="005728DD" w:rsidP="005728DD">
      <w:pPr>
        <w:pStyle w:val="SntesisDescriptiva"/>
      </w:pPr>
    </w:p>
    <w:p w:rsidR="005728DD" w:rsidRDefault="005728DD" w:rsidP="005728DD">
      <w:pPr>
        <w:pStyle w:val="SntesisAnaltica"/>
      </w:pPr>
      <w:r>
        <w:t>Vulneración de los derechos a la defensa y a un proceso con todas las garantías: privación del derecho a la última palabra, a cuyo ejercicio no se había renunciado expresamente; matización de la doctrina de la STC 258/2007, de 18 de diciembre.</w:t>
      </w:r>
    </w:p>
    <w:p w:rsidR="005728DD" w:rsidRDefault="005728DD" w:rsidP="005728DD">
      <w:pPr>
        <w:pStyle w:val="SntesisAnaltica"/>
      </w:pPr>
    </w:p>
    <w:p w:rsidR="005728DD" w:rsidRDefault="005728DD" w:rsidP="005728DD">
      <w:pPr>
        <w:pStyle w:val="Extracto"/>
      </w:pPr>
      <w:r>
        <w:t>1.</w:t>
      </w:r>
      <w:r>
        <w:tab/>
        <w:t>Respecto a la relevancia constitucional de la vulneración del derecho a la última palabra, por cuanto es una garantía esencial para asegurar la autodefensa del acusado en el proceso penal, su denegación comporta la vulneración de derechos fundamentales del art. 24 CE, en cuanto se verifique tal circunstancia, sin otra exigencia añadida; criterio rector que solo se ha modulado en un único aspecto por la STC 258/2007 [FJ 2].</w:t>
      </w:r>
    </w:p>
    <w:p w:rsidR="005728DD" w:rsidRDefault="005728DD" w:rsidP="005728DD">
      <w:pPr>
        <w:pStyle w:val="Extracto"/>
      </w:pPr>
    </w:p>
    <w:p w:rsidR="005728DD" w:rsidRDefault="005728DD" w:rsidP="005728DD">
      <w:pPr>
        <w:pStyle w:val="Extracto"/>
      </w:pPr>
      <w:r>
        <w:t>2.</w:t>
      </w:r>
      <w:r>
        <w:tab/>
        <w:t>Doctrina sobre la integración del derecho a la última palabra en el derecho fundamental a la defensa y a la asistencia de letrado (art. 24.2 CE), y en el derecho a un proceso con todas las garantías (art. 24.2 CE) [FJ 2].</w:t>
      </w:r>
    </w:p>
    <w:p w:rsidR="005728DD" w:rsidRDefault="005728DD" w:rsidP="005728DD">
      <w:pPr>
        <w:pStyle w:val="Extracto"/>
      </w:pPr>
    </w:p>
    <w:p w:rsidR="005728DD" w:rsidRDefault="005728DD" w:rsidP="005728DD">
      <w:pPr>
        <w:pStyle w:val="Extracto"/>
      </w:pPr>
      <w:r>
        <w:t>3.</w:t>
      </w:r>
      <w:r>
        <w:tab/>
        <w:t>El derecho a la última palabra atiende a la narración de aquellos hechos que puedan tener relación con los que se enjuician ante el tribunal competente y que conciernen al acusado; en sentido contrario, hemos reconocido como límite de este derecho el utilizarse aquel trámite por el acusado para cuestionar un cambio en la calificación jurídica de los hechos, lo que a su vez resulta cometido propio de su defensa letrada (STC 33/2003) [FJ 2].</w:t>
      </w:r>
    </w:p>
    <w:p w:rsidR="005728DD" w:rsidRDefault="005728DD" w:rsidP="005728DD">
      <w:pPr>
        <w:pStyle w:val="Extracto"/>
      </w:pPr>
    </w:p>
    <w:p w:rsidR="005728DD" w:rsidRDefault="005728DD" w:rsidP="005728DD">
      <w:pPr>
        <w:pStyle w:val="Extracto"/>
      </w:pPr>
      <w:r>
        <w:t>4.</w:t>
      </w:r>
      <w:r>
        <w:tab/>
        <w:t>Hasta la STC 258/2007, este tribunal no exigía que el acusado acreditase la repercusión efectiva, a efectos probabilísticos, que la denegación del uso de la palabra hubiera podido tener en el sentido de la sentencia dictada. Solo la carga de acreditar el hecho que desencadena la lesión (no ofrecerle la posibilidad de manifestarse ante el tribunal), y siempre que no hubiera renunciado a su ejercicio [FJ 2].</w:t>
      </w:r>
    </w:p>
    <w:p w:rsidR="005728DD" w:rsidRDefault="005728DD" w:rsidP="005728DD">
      <w:pPr>
        <w:pStyle w:val="Extracto"/>
      </w:pPr>
    </w:p>
    <w:p w:rsidR="005728DD" w:rsidRDefault="005728DD" w:rsidP="005728DD">
      <w:pPr>
        <w:pStyle w:val="Extracto"/>
      </w:pPr>
      <w:r>
        <w:t>5.</w:t>
      </w:r>
      <w:r>
        <w:tab/>
        <w:t>La STC 258/2007 vino a exigir lo que había descartado en jurisprudencia anterior: imponiendo al recurrente la carga de acreditar de qué modo podía haber repercutido en el resultado de la sentencia (de condena), el no haber contado el órgano judicial con los datos que habría aportado el acusado de habérsele concedido la última palabra. Dicha sentencia construye este  derecho como una manifestación más del derecho a no padecer indefensión material, asimilando su tratamiento al de la lesión del derecho a la utilización de la prueba pertinente [FJ 3].</w:t>
      </w:r>
    </w:p>
    <w:p w:rsidR="005728DD" w:rsidRDefault="005728DD" w:rsidP="005728DD">
      <w:pPr>
        <w:pStyle w:val="Extracto"/>
      </w:pPr>
    </w:p>
    <w:p w:rsidR="005728DD" w:rsidRDefault="005728DD" w:rsidP="005728DD">
      <w:pPr>
        <w:pStyle w:val="Extracto"/>
      </w:pPr>
      <w:r>
        <w:t>6.</w:t>
      </w:r>
      <w:r>
        <w:tab/>
        <w:t xml:space="preserve">La importancia del derecho a la última palabra como expresión de la autodefensa del acusado en el proceso penal, encuentra su reconocimiento en la jurisprudencia del Tribunal Europeo de Derechos Humanos, en interpretación de lo dispuesto en </w:t>
      </w:r>
      <w:r>
        <w:lastRenderedPageBreak/>
        <w:t>el art. 6.3 c) del Convenio de Roma (“Todo acusado tiene, como mínimo, los siguientes derechos: […] c) a defenderse por sí mismo o a ser asistido por un defensor de su elección y, si carece de medios para pagarlo, a poder ser asistido gratuitamente por un abogado de oficio, cuando los intereses de la Justicia así lo exijan”) [FJ 4].</w:t>
      </w:r>
    </w:p>
    <w:p w:rsidR="005728DD" w:rsidRDefault="005728DD" w:rsidP="005728DD">
      <w:pPr>
        <w:pStyle w:val="Extracto"/>
      </w:pPr>
    </w:p>
    <w:p w:rsidR="005728DD" w:rsidRDefault="005728DD" w:rsidP="005728DD">
      <w:pPr>
        <w:pStyle w:val="Extracto"/>
      </w:pPr>
      <w:r>
        <w:t>7.</w:t>
      </w:r>
      <w:r>
        <w:tab/>
        <w:t>El derecho a la última palabra del acusado no lo es a verbalizar al tribunal los hechos relevantes para asegurar su mejor posición en la sentencia, sino el derecho a transmitir al tribunal aquello que a su criterio este último debe conocer para dictar una resolución justa, sea o no decisivo para su absolución o menor condena [FJ 4].</w:t>
      </w:r>
    </w:p>
    <w:p w:rsidR="005728DD" w:rsidRDefault="005728DD" w:rsidP="005728DD">
      <w:pPr>
        <w:pStyle w:val="Extracto"/>
      </w:pPr>
    </w:p>
    <w:p w:rsidR="005728DD" w:rsidRDefault="005728DD" w:rsidP="005728DD">
      <w:pPr>
        <w:pStyle w:val="Extracto"/>
      </w:pPr>
      <w:r>
        <w:t>8.</w:t>
      </w:r>
      <w:r>
        <w:tab/>
        <w:t>La doctrina de la STC 258/2007 debe matizarse en el sentido de que ha de considerarse vulnerado el derecho a la defensa del art. 24.2 CE en todos los casos en los que, no habiendo renunciado expresamente a su ejercicio, se haya privado al acusado del derecho a la última palabra, sin que para ello deba este acreditar en vía de impugnación contra la sentencia, la repercusión o relevancia hipotética de cómo lo que hubiera podido expresar al tribunal, habría supuesto la emisión de un fallo distinto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1265-2018, promovido por don Jerry Aroon-Kumar Rustveld, contra la sentencia del Juzgado de lo Penal núm. 4 de Palma de Mallorca, de 19 de diciembre de 2016, y contra la sentencia de la Sección Segunda de la Audiencia Provincial de Baleares, de 18 de enero de 2018, que desestimó el recurso de apelación interpuesto contra la anterior resolución. Ha intervenido el Ministerio Fiscal.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Mediante escrito presentado en el registro general de este tribunal el 8 de marzo de 2018, la procuradora de los tribunales doña Isabel Alfonso Rodríguez, actuando en nombre </w:t>
      </w:r>
      <w:r>
        <w:lastRenderedPageBreak/>
        <w:t>y representación de don Jerry Aroon-Kumar Rustveld, bajo la defensa del letrado don Jaime Campaner Muñoz,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El Juzgado de Violencia sobre la Mujer núm. 1 de Palma de Mallorca abrió diligencias previas de procedimiento abreviado núm. 1062-2015 contra el aquí recurrente de amparo, en virtud de la denuncia presentada por doña Miranda Ivonne Stienstra, por la comisión de los presuntos delitos de acoso, amenazas e injurias. Con fecha 30 de octubre de 2015, dicho juzgado dictó auto cuya parte dispositiva fue: “Se prohíbe al imputado Jerry Aroon-Kumar Rustveld aproximarse-acercarse a menos de 500 metros de Miranda Ivonne Stienstra, de su domicilio sito en […], de su lugar de trabajo, y cualquier otro de esparcimiento, o donde la misma pudiere encontrarse, así como comunicarse con la misma por cualquier medio y ello aun cuando mediare el expreso consentimiento de aquella. La duración de esta medida será mientras dure la tramitación de la causa y en tanto recaiga resolución definitiva que le ponga fin”.</w:t>
      </w:r>
    </w:p>
    <w:p w:rsidR="005728DD" w:rsidRDefault="005728DD" w:rsidP="005728DD">
      <w:pPr>
        <w:pStyle w:val="TextoNormal"/>
      </w:pPr>
    </w:p>
    <w:p w:rsidR="005728DD" w:rsidRDefault="005728DD" w:rsidP="005728DD">
      <w:pPr>
        <w:pStyle w:val="TextoNormal"/>
      </w:pPr>
      <w:r>
        <w:t xml:space="preserve">El letrado de la administración de justicia (entonces, secretario judicial) del juzgado referido, dictó diligencia de notificación el 10 de noviembre de 2015 (obrante al folio 105 de las actuaciones del procedimiento </w:t>
      </w:r>
      <w:r w:rsidRPr="005728DD">
        <w:rPr>
          <w:i/>
        </w:rPr>
        <w:t>a quo</w:t>
      </w:r>
      <w:r>
        <w:t xml:space="preserve"> de este amparo), del siguiente tenor: “Yo, secretario judicial, teniendo a mi presencia a Jerry Aroon Kumar Rustveld, acompañado de su letrado, le notifiqué la resolución arriba reseñada [auto de 30 de octubre de 2015] mediante lectura íntegra y entrega de copia literal de la misma, en prueba de ello firma conmigo de lo que doy fe”; y en la que aparecen dos firmas (ilegibles).</w:t>
      </w:r>
    </w:p>
    <w:p w:rsidR="005728DD" w:rsidRDefault="005728DD" w:rsidP="005728DD">
      <w:pPr>
        <w:pStyle w:val="TextoNormal"/>
      </w:pPr>
    </w:p>
    <w:p w:rsidR="005728DD" w:rsidRDefault="005728DD" w:rsidP="005728DD">
      <w:pPr>
        <w:pStyle w:val="TextoNormal"/>
      </w:pPr>
      <w:r>
        <w:t>b) El mismo Juzgado de Violencia sobre la Mujer núm. 1 de Palma de Mallorca abrió con posterioridad diligencias previas de procedimiento abreviado núm. 1102-2015 contra el aquí recurrente por la comisión del presunto delito de quebrantamiento de medida cautelar, en virtud de denuncia interpuesta por doña Miranda Ivonne Stienstra. En la misma se refiere que el 10 de noviembre de 2015, sobre las 14:30 horas (esto es, unos diez minutos después de haber salido de la sede del juzgado donde se le notificó el auto de 30 de octubre de 2015), el recurrente se dirigió a la tienda donde trabajaba la denunciante y una vez allí, se asomó a su interior y dirigiéndose a ella le dijo en idioma holandés: “puta, voy a ir a por ti”.</w:t>
      </w:r>
    </w:p>
    <w:p w:rsidR="005728DD" w:rsidRDefault="005728DD" w:rsidP="005728DD">
      <w:pPr>
        <w:pStyle w:val="TextoNormal"/>
      </w:pPr>
    </w:p>
    <w:p w:rsidR="005728DD" w:rsidRDefault="005728DD" w:rsidP="005728DD">
      <w:pPr>
        <w:pStyle w:val="TextoNormal"/>
      </w:pPr>
      <w:r>
        <w:t>Entre las diligencias practicadas por el juzgado instructor figura la declaración del investigado asistido de intérprete en idioma inglés, conforme al acta levantada el 10 de diciembre de 2015 (folios 76 a 78 de las actuaciones). Preguntado sobre los hechos de la denuncia, negó que estos hubieran sucedido, constando a renglón seguido lo siguiente: “A continuación por S.Sª se informa a las partes y al investigado que no se celebra la comparecencia prevista en el art. 505 de la LECrim toda vez que el investigado no fue requerido en forma por este juzgado al tiempo de la notificación del auto que acordó el alejamiento y prohibición de comunicación el 10.11.15, sin perjuicio de lo cual requiere de nuevo y formalmente al investigado comparecido para que cumpla estrictamente los términos de las prohibiciones acordadas y apercibiéndole expresamente de que en caso de incumplimiento podrá acordarse la medida de prisión”.</w:t>
      </w:r>
    </w:p>
    <w:p w:rsidR="005728DD" w:rsidRDefault="005728DD" w:rsidP="005728DD">
      <w:pPr>
        <w:pStyle w:val="TextoNormal"/>
      </w:pPr>
    </w:p>
    <w:p w:rsidR="005728DD" w:rsidRDefault="005728DD" w:rsidP="005728DD">
      <w:pPr>
        <w:pStyle w:val="TextoNormal"/>
      </w:pPr>
      <w:r>
        <w:lastRenderedPageBreak/>
        <w:t>c) Con fecha 7 de marzo de 2016, el juzgado instructor dictó auto por el que acordó continuar la tramitación de las diligencias previas por los trámites del procedimiento abreviado, con traslado al Ministerio Fiscal y a la acusación particular para que pudieran solicitar la apertura a juicio oral o de contrario el sobreseimiento de la causa. Formulado escrito de acusación por el fiscal calificando los hechos como un delito de quebrantamiento de medida cautelar, y por la representación procesal de doña Miranda Ivonne Stienstra, actuando como acusadora particular, que los calificó como un delito de quebrantamiento de medida cautelar y otro de amenazas, el letrado de la administración de justicia del juzgado instructor dictó diligencia de ordenación el 28 de junio de 2016, acordando dar traslado de tales escritos al acusado para que pudiera presentar su escrito de defensa. En este último, la representación procesal del aquí recurrente negó los hechos de la acusación, dado que “el señor Rutsveld no sabía que la tienda de la señora Stienstra se encontraba en la ruta que él hizo después de salir del juzgado en día 10 de noviembre de 2015”, que no se produjo el encuentro antes referido y que no ha cometido delito alguno.</w:t>
      </w:r>
    </w:p>
    <w:p w:rsidR="005728DD" w:rsidRDefault="005728DD" w:rsidP="005728DD">
      <w:pPr>
        <w:pStyle w:val="TextoNormal"/>
      </w:pPr>
    </w:p>
    <w:p w:rsidR="005728DD" w:rsidRDefault="005728DD" w:rsidP="005728DD">
      <w:pPr>
        <w:pStyle w:val="TextoNormal"/>
      </w:pPr>
      <w:r>
        <w:t>El escrito no hace ninguna mención a un posible desconocimiento por el recurrente del contenido del auto de 30 de octubre de 2015, que le había sido notificado el 10 de noviembre siguiente.</w:t>
      </w:r>
    </w:p>
    <w:p w:rsidR="005728DD" w:rsidRDefault="005728DD" w:rsidP="005728DD">
      <w:pPr>
        <w:pStyle w:val="TextoNormal"/>
      </w:pPr>
    </w:p>
    <w:p w:rsidR="005728DD" w:rsidRDefault="005728DD" w:rsidP="005728DD">
      <w:pPr>
        <w:pStyle w:val="TextoNormal"/>
      </w:pPr>
      <w:r>
        <w:t>d) El juzgado instructor remitió lo actuado al Juzgado de lo Penal núm. 4 de Palma de Mallorca, que asumió la competencia para el enjuiciamiento y fallo de la causa (procedimiento abreviado núm. 297-2016). La vista oral se celebró el 13 de diciembre de 2016. En la grabación que obra en las actuaciones de dicho acto, en lo que importa a este recurso de amparo, cabe destacar lo siguiente:</w:t>
      </w:r>
    </w:p>
    <w:p w:rsidR="005728DD" w:rsidRDefault="005728DD" w:rsidP="005728DD">
      <w:pPr>
        <w:pStyle w:val="TextoNormal"/>
      </w:pPr>
    </w:p>
    <w:p w:rsidR="005728DD" w:rsidRDefault="005728DD" w:rsidP="005728DD">
      <w:pPr>
        <w:pStyle w:val="TextoNormal"/>
      </w:pPr>
      <w:r>
        <w:t>(i) Interrogado en primer término el acusado, se le preguntó si se le había notificado el auto dictado por el juzgado de violencia sobre la mujer que acordaba una medida de protección por la que se le prohibía comunicarse o acercarse a la víctima, a lo que respondió —siempre en idioma inglés, asistido de intérprete— que “me lo comunicaron el 10 de noviembre cuando estaba aquí” (minuto 03:51 de la grabación), añadiendo luego que “me dijeron solo dónde vivía, que no podía acercarme” (minuto 04:08). A la pregunta de la fiscal actuante, reformulada por la magistrada-juez, de si sabía que tenía prohibido acercarse a doña Miranda Ivonne también a su lugar de trabajo, contesto: “no me explicó con exactitud, se me dijo que no me podía acercar a menos de 500 metros de ella […]; y el 13 de diciembre me enteré por escrito y me dijeron qué ponía en el documento […] antes de esa fecha no estaba consciente de esos hechos” (minuto 05:57 de la grabación).</w:t>
      </w:r>
    </w:p>
    <w:p w:rsidR="005728DD" w:rsidRDefault="005728DD" w:rsidP="005728DD">
      <w:pPr>
        <w:pStyle w:val="TextoNormal"/>
      </w:pPr>
    </w:p>
    <w:p w:rsidR="005728DD" w:rsidRDefault="005728DD" w:rsidP="005728DD">
      <w:pPr>
        <w:pStyle w:val="TextoNormal"/>
      </w:pPr>
      <w:r>
        <w:t>(ii) Una vez practicada la prueba (interrogatorio del acusado y testificales) y abierto el trámite de conclusiones finales, la abogada de la defensa interesó la absolución de su cliente alegando que faltaba el elemento subjetivo del delito, porque se había tratado de un encuentro fortuito con su ex pareja, que no se dirigió a ella y que por tanto no se había desvirtuado su presunción de inocencia (minuto 1:00:02 de la grabación). Respecto de la prueba de cargo, se limitó a señalar supuestas contradicciones en el dicho de las testigos que declararon, indicando que al recurrente “se le acababa de notificar el auto”, por lo que “es absurdo pensar que nada más salir del juzgado se fuera a la tienda de la víctima” (minuto 1:05:16).</w:t>
      </w:r>
    </w:p>
    <w:p w:rsidR="005728DD" w:rsidRDefault="005728DD" w:rsidP="005728DD">
      <w:pPr>
        <w:pStyle w:val="TextoNormal"/>
      </w:pPr>
    </w:p>
    <w:p w:rsidR="005728DD" w:rsidRDefault="005728DD" w:rsidP="005728DD">
      <w:pPr>
        <w:pStyle w:val="TextoNormal"/>
      </w:pPr>
      <w:r>
        <w:lastRenderedPageBreak/>
        <w:t>(iii) Tras el trámite de conclusiones finales, la magistrada-juez dijo: “Levántese por favor el acusado, voy a dictar sentencia” (minuto 1:06:45 de la grabación), procediendo a continuación y conforme a la facultad prevista en el art. 789.2 de la Ley de enjuiciamiento criminal (LECrim), a adelantar oralmente el fallo y su motivación. En el relato de hechos probados, afirmada su convicción de que el acusado conocía el lugar de trabajo de doña Miranda Ivonne, hecho acreditado por la declaración de esta última a la que otorgaba “plena credibilidad” por estar corroborada por el dicho de otras dos testigos, la magistrada-juez afirmó que, tras salir el recurrente del juzgado el 10 de noviembre de 2015 y pasar por delante de la tienda: “podría admitir inicialmente que se podía tratar de un encuentro casual y fortuito, pero el hecho de que se hubiese parado delante de la tienda y el hecho de haber hablado con ella y dirigiéndose a la misma […]”. En ese momento el acusado intentó pronunciar unas palabras, siendo reconvenido por la magistrada-juez: “guarde silencio, no le pregunto a usted” (minuto 1:08:46 de la grabación), continuando aquella con el resumen de los restantes fundamentos de su decisión, tras lo cual advirtió que la sentencia era recurrible y dio por finalizado el acto.</w:t>
      </w:r>
    </w:p>
    <w:p w:rsidR="005728DD" w:rsidRDefault="005728DD" w:rsidP="005728DD">
      <w:pPr>
        <w:pStyle w:val="TextoNormal"/>
      </w:pPr>
    </w:p>
    <w:p w:rsidR="005728DD" w:rsidRDefault="005728DD" w:rsidP="005728DD">
      <w:pPr>
        <w:pStyle w:val="TextoNormal"/>
      </w:pPr>
      <w:r>
        <w:t>La magistrada-juez no preguntó al acusado si este tenía algo que manifestar al tribunal, en ejercicio del derecho a la última palabra que antes de la conclusión de la vista oral concede el art. 739 LECrim.</w:t>
      </w:r>
    </w:p>
    <w:p w:rsidR="005728DD" w:rsidRDefault="005728DD" w:rsidP="005728DD">
      <w:pPr>
        <w:pStyle w:val="TextoNormal"/>
      </w:pPr>
    </w:p>
    <w:p w:rsidR="005728DD" w:rsidRDefault="005728DD" w:rsidP="005728DD">
      <w:pPr>
        <w:pStyle w:val="TextoNormal"/>
      </w:pPr>
      <w:r>
        <w:t>e) Dentro del plazo legalmente establecido (art. 789.1 LECrim), el 19 de diciembre de 2016 el Juzgado de lo Penal núm. 4 de Palma de Mallorca dictó por escrito la sentencia núm. 456/2016, con la siguiente dispositiva:</w:t>
      </w:r>
    </w:p>
    <w:p w:rsidR="005728DD" w:rsidRDefault="005728DD" w:rsidP="005728DD">
      <w:pPr>
        <w:pStyle w:val="TextoNormal"/>
      </w:pPr>
    </w:p>
    <w:p w:rsidR="005728DD" w:rsidRDefault="005728DD" w:rsidP="005728DD">
      <w:pPr>
        <w:pStyle w:val="TextoNormal"/>
      </w:pPr>
      <w:r>
        <w:t>“Que debo condenar y condeno a Jerry Aroon-Kumar Rustveld, como autor responsable de un delito de amenazas leves de género quebrantando una medida cautelar, sin la concurrencia de circunstancias modificativas de la responsabilidad criminal, y le impongo la pena de doce (12) meses de prisión, la inhabilitación especial para el derecho de sufragio pasivo durante el tiempo de la condena, la privación del derecho a la tenencia y porte de armas durante dos años, la prohibición de que se aproxime a una distancia de 500 m. de Miranda Ivonne Stienstra, de su domicilio, de su lugar de trabajo y de cualquier otro lugar frecuentado por la misma, así como la prohibición de comunicarse con ella por cualquier medio durante cinco años. Pago de las costas procesales, incluidas las de la acusación particular”.</w:t>
      </w:r>
    </w:p>
    <w:p w:rsidR="005728DD" w:rsidRDefault="005728DD" w:rsidP="005728DD">
      <w:pPr>
        <w:pStyle w:val="TextoNormal"/>
      </w:pPr>
    </w:p>
    <w:p w:rsidR="005728DD" w:rsidRDefault="005728DD" w:rsidP="005728DD">
      <w:pPr>
        <w:pStyle w:val="TextoNormal"/>
      </w:pPr>
      <w:r>
        <w:t>Como hechos probados hace constar la sentencia:</w:t>
      </w:r>
    </w:p>
    <w:p w:rsidR="005728DD" w:rsidRDefault="005728DD" w:rsidP="005728DD">
      <w:pPr>
        <w:pStyle w:val="TextoNormal"/>
      </w:pPr>
    </w:p>
    <w:p w:rsidR="005728DD" w:rsidRDefault="005728DD" w:rsidP="005728DD">
      <w:pPr>
        <w:pStyle w:val="TextoNormal"/>
      </w:pPr>
      <w:r>
        <w:t>“Único.- Probado y así se declara que en fecha 30 de octubre de 2015 , el Juzgado de Violencia sobre la Mujer número 1 de Palma dictó auto —en el procedimiento abreviado diligencias previas 1062-2015 seguidas por un presunto delito de acoso amenazas e injurias— por el que prohibió al acusado Jerry Aroon-Kumar Rustveld, acercarse a menos de 500 m. de Miranda Ivonne Stienstra (que había sido su pareja sentimental) de su domicilio sito en la calle Bellpuig número 65, 1º de Calviá, de su lugar de trabajo, y de cualquier otro lugar de esparcimiento o donde la misma pudiera encontrarse, así como la prohibición de comunicarse con ella por cualquier medio, durante la tramitación de la causa y en tanto recayera resolución definitiva que le pusiera fin.</w:t>
      </w:r>
    </w:p>
    <w:p w:rsidR="005728DD" w:rsidRDefault="005728DD" w:rsidP="005728DD">
      <w:pPr>
        <w:pStyle w:val="TextoNormal"/>
      </w:pPr>
    </w:p>
    <w:p w:rsidR="005728DD" w:rsidRDefault="005728DD" w:rsidP="005728DD">
      <w:pPr>
        <w:pStyle w:val="TextoNormal"/>
      </w:pPr>
      <w:r>
        <w:lastRenderedPageBreak/>
        <w:t>El acusado fue notificado personalmente de dicha resolución el día 10 de noviembre de 2015, acompañado de su letrado mediante lectura íntegra y entrega de copia literal del citado auto.</w:t>
      </w:r>
    </w:p>
    <w:p w:rsidR="005728DD" w:rsidRDefault="005728DD" w:rsidP="005728DD">
      <w:pPr>
        <w:pStyle w:val="TextoNormal"/>
      </w:pPr>
    </w:p>
    <w:p w:rsidR="005728DD" w:rsidRDefault="005728DD" w:rsidP="005728DD">
      <w:pPr>
        <w:pStyle w:val="TextoNormal"/>
      </w:pPr>
      <w:r>
        <w:t>Pese a tener conocimiento de dicha resolución, el acusado alrededor de las 14:00 horas del mismo día 10 de noviembre de 2015, haciendo caso omiso a dichas prohibiciones, se dirigió al lugar de trabajo de Miranda, sito en las inmediaciones de la Plaza des Mercat, y cuando la vio se dirigió a la misma y a la vez que gesticulaba con la mano y con el dedo señalándola, le dijo en holandés ‘puta, voy a ir a por ti’ marchándose seguidamente del lugar”.</w:t>
      </w:r>
    </w:p>
    <w:p w:rsidR="005728DD" w:rsidRDefault="005728DD" w:rsidP="005728DD">
      <w:pPr>
        <w:pStyle w:val="TextoNormal"/>
      </w:pPr>
    </w:p>
    <w:p w:rsidR="005728DD" w:rsidRDefault="005728DD" w:rsidP="005728DD">
      <w:pPr>
        <w:pStyle w:val="TextoNormal"/>
      </w:pPr>
      <w:r>
        <w:t>En el apartado de fundamentos de Derecho de la sentencia, el primero de ellos desgrana el juicio de valoración de la prueba que sustenta la decisión, debiendo aquí destacarse los pasajes que interesan a efectos del presente amparo:</w:t>
      </w:r>
    </w:p>
    <w:p w:rsidR="005728DD" w:rsidRDefault="005728DD" w:rsidP="005728DD">
      <w:pPr>
        <w:pStyle w:val="TextoNormal"/>
      </w:pPr>
    </w:p>
    <w:p w:rsidR="005728DD" w:rsidRDefault="005728DD" w:rsidP="005728DD">
      <w:pPr>
        <w:pStyle w:val="TextoNormal"/>
      </w:pPr>
      <w:r>
        <w:t>“La declaración de los hechos declarados probados obedece a la valoración en conciencia de la prueba practicada en el acto del juicio oral tal y como preconiza el artículo 741 de nuestra Ley procesal penal.</w:t>
      </w:r>
    </w:p>
    <w:p w:rsidR="005728DD" w:rsidRDefault="005728DD" w:rsidP="005728DD">
      <w:pPr>
        <w:pStyle w:val="TextoNormal"/>
      </w:pPr>
    </w:p>
    <w:p w:rsidR="005728DD" w:rsidRDefault="005728DD" w:rsidP="005728DD">
      <w:pPr>
        <w:pStyle w:val="TextoNormal"/>
      </w:pPr>
      <w:r>
        <w:t>Y de la misma ha quedado absoluta e indiscutiblemente acreditado que el Juzgado de Violencia sobre la Mujer núm. 1 de Palma dictó un auto en fecha 30 de octubre de 2015 por el que se prohibió al acusado acercarse a menos de 500 m. de su ex pareja sentimental, Miranda Ivonne, de su domicilio, de su lugar de trabajo y de cualquier otro de esparcimiento o donde se encontrare la misma pudiera encontrarse, y la prohibición de comunicarse con ella mientras durara la tramitación de la causa seguida contra el acusado por hechos presuntamente constitutivos de amenazas, coacciones y delito contra la integridad moral. A los folios 18,19 y 20 consta el testimonio de la citada resolución.</w:t>
      </w:r>
    </w:p>
    <w:p w:rsidR="005728DD" w:rsidRDefault="005728DD" w:rsidP="005728DD">
      <w:pPr>
        <w:pStyle w:val="TextoNormal"/>
      </w:pPr>
    </w:p>
    <w:p w:rsidR="005728DD" w:rsidRDefault="005728DD" w:rsidP="005728DD">
      <w:pPr>
        <w:pStyle w:val="TextoNormal"/>
      </w:pPr>
      <w:r>
        <w:t>Igualmente resulta indiscutiblemente acreditado que el acusado tuvo cabal conocimiento de dicha resolución el día 10 de noviembre de 2015, tal como se acredita por el contenido del folio 105 y concretamente de la diligencia de notificación realizada en la citada fecha por el secretario judicial el cual teniendo a su presencia al acusado, acompañado de su letrado, le notificó el auto indicado mediante lectura íntegra y entrega de copia literal de la misma. Le fue exhibido al acusado dicho folio y reconoció su firma en él. De ahí que deba concluirse, sin riesgo de dudas, que el acusado conocía personalmente el contenido de dicha resolución en la fecha en que consta realizada la notificación, esto es el día 10 de noviembre de 2015.</w:t>
      </w:r>
    </w:p>
    <w:p w:rsidR="005728DD" w:rsidRDefault="005728DD" w:rsidP="005728DD">
      <w:pPr>
        <w:pStyle w:val="TextoNormal"/>
      </w:pPr>
    </w:p>
    <w:p w:rsidR="005728DD" w:rsidRDefault="005728DD" w:rsidP="005728DD">
      <w:pPr>
        <w:pStyle w:val="TextoNormal"/>
      </w:pPr>
      <w:r>
        <w:t>El acusado declaró en el juicio que no se acercó al lugar de trabajo de Miranda, porque no sabía que trabajara en la Plaza des Mercat; que pensaba que en el mes de noviembre todavía trabajaría en una tienda de la playa […]. Se le exhibieron las fotografías obrantes a los folios 57 y 58 [tomadas en aquel momento por la víctima, una vez el acusado abandonó la tienda y siguió su camino] en las que el acusado se reconoció; explicó que su abogado le dijo claramente que no podía ir a ver a Miranda”.</w:t>
      </w:r>
    </w:p>
    <w:p w:rsidR="005728DD" w:rsidRDefault="005728DD" w:rsidP="005728DD">
      <w:pPr>
        <w:pStyle w:val="TextoNormal"/>
      </w:pPr>
    </w:p>
    <w:p w:rsidR="005728DD" w:rsidRDefault="005728DD" w:rsidP="005728DD">
      <w:pPr>
        <w:pStyle w:val="TextoNormal"/>
      </w:pPr>
      <w:r>
        <w:t>Tras desgranar la testifical practicada (la de doña Miranda Ivonne y otras dos testigos de cargo, y una de la defensa), la sentencia continúa diciendo:</w:t>
      </w:r>
    </w:p>
    <w:p w:rsidR="005728DD" w:rsidRDefault="005728DD" w:rsidP="005728DD">
      <w:pPr>
        <w:pStyle w:val="TextoNormal"/>
      </w:pPr>
    </w:p>
    <w:p w:rsidR="005728DD" w:rsidRDefault="005728DD" w:rsidP="005728DD">
      <w:pPr>
        <w:pStyle w:val="TextoNormal"/>
      </w:pPr>
      <w:r>
        <w:lastRenderedPageBreak/>
        <w:t>“Expuesto cuanto antecede se llega a la conclusión de que el acusado cometió intencionadamente el delito de quebrantamiento de medida cautelar y el delito de amenazas, y ello por los siguientes razonamientos.</w:t>
      </w:r>
    </w:p>
    <w:p w:rsidR="005728DD" w:rsidRDefault="005728DD" w:rsidP="005728DD">
      <w:pPr>
        <w:pStyle w:val="TextoNormal"/>
      </w:pPr>
    </w:p>
    <w:p w:rsidR="005728DD" w:rsidRDefault="005728DD" w:rsidP="005728DD">
      <w:pPr>
        <w:pStyle w:val="TextoNormal"/>
      </w:pPr>
      <w:r>
        <w:t>-En primer lugar se rechaza completamente la afirmación efectuada por el acusado de que se enteró de que no podía acercarse al lugar de trabajo de Miranda el día 10 de diciembre [</w:t>
      </w:r>
      <w:r w:rsidRPr="005728DD">
        <w:rPr>
          <w:i/>
        </w:rPr>
        <w:t>sic</w:t>
      </w:r>
      <w:r>
        <w:t>] de 2015 por cuanto, como queda dicho, la diligencia de notificación del auto fue practicada en fecha 10 de noviembre de 2015 según consta al folio 105. La parte dispositiva del auto no deja lugar a dudas, es medianamente claro y diáfano al establecer la prohibición de acercarse a menos de 500 m. de Miranda, de su domicilio, de su lugar de trabajo y de cualquier otro lugar en el que se encuentre. La notificación se realizó estando presente su letrado, y por tanto ninguna confusión ni problema idiomático existió.</w:t>
      </w:r>
    </w:p>
    <w:p w:rsidR="005728DD" w:rsidRDefault="005728DD" w:rsidP="005728DD">
      <w:pPr>
        <w:pStyle w:val="TextoNormal"/>
      </w:pPr>
    </w:p>
    <w:p w:rsidR="005728DD" w:rsidRDefault="005728DD" w:rsidP="005728DD">
      <w:pPr>
        <w:pStyle w:val="TextoNormal"/>
      </w:pPr>
      <w:r>
        <w:t>-En segundo lugar, se llega al convencimiento de que el acusado sabía dónde trabajaba Miranda por la declaración de esta y por los comentarios que colgó el acusado en Instagram. Y también por el simple hecho de que para ir al bar Capuccino del paseo marítimo, lugar en el que el acusado había quedado con su amiga Felicitie, resulta completamente innecesario pasar por la calle lateral de la iglesia de San Nicolás, donde está ubicada la tienda denominada Miss Sophie, en la que trabajaba Miranda […].</w:t>
      </w:r>
    </w:p>
    <w:p w:rsidR="005728DD" w:rsidRDefault="005728DD" w:rsidP="005728DD">
      <w:pPr>
        <w:pStyle w:val="TextoNormal"/>
      </w:pPr>
    </w:p>
    <w:p w:rsidR="005728DD" w:rsidRDefault="005728DD" w:rsidP="005728DD">
      <w:pPr>
        <w:pStyle w:val="TextoNormal"/>
      </w:pPr>
      <w:r>
        <w:t>Pese a la negativa del acusado de que no la vio ni habló con su ex pareja, la declaración testifical de Miranda, de Izabella y de María del Carmen, desmiente aquella versión. Estas dos últimas testigos no tenían, ni tienen, ninguna relación con el acusado y por ello no se advierte en sus declaraciones ningún motivo para mentir ni para perjudicarle no existe ningún motivo espurio, ni de enemistad, odio, o venganza. Es por ello que la declaración de las mismas es plenamente creíble, verosímil y además está corroborada por la prueba documental consistente en las fotografías obrantes a los folios 57, 58, 90, en las cuales se observa al acusado caminando hacia la calle San Nicolás, una vez pasada la tienda [...].</w:t>
      </w:r>
    </w:p>
    <w:p w:rsidR="005728DD" w:rsidRDefault="005728DD" w:rsidP="005728DD">
      <w:pPr>
        <w:pStyle w:val="TextoNormal"/>
      </w:pPr>
    </w:p>
    <w:p w:rsidR="005728DD" w:rsidRDefault="005728DD" w:rsidP="005728DD">
      <w:pPr>
        <w:pStyle w:val="TextoNormal"/>
      </w:pPr>
      <w:r>
        <w:t>La letrada defensora hizo hincapié en las contradicciones en las que incurrieron las testigos, por un lado, Mª del Carmen, y por otros Izabella y Miranda. Como se ha dicho y pese a reconocer que existen algunas discordancias entre lo manifestado por la primera frente a las otras dos (aquella dijo que el tiempo en que el acusado se dirigió a Miranda no fue más de cinco minutos y que lo vio apoyado en la pared de la iglesia, en cambio las otras dos dijeron que fueron unos segundos y que no lo vieron apoyado sino que solo se detuvo) lo cierto es que ello carece de importancia pues, en lo sustancial, hay plena coincidencia: el acusado estaba delante de la tienda donde trabaja Miranda, se paró frente a ella, le habló a la vez que realizaba gestos desafiantes con las manos.</w:t>
      </w:r>
    </w:p>
    <w:p w:rsidR="005728DD" w:rsidRDefault="005728DD" w:rsidP="005728DD">
      <w:pPr>
        <w:pStyle w:val="TextoNormal"/>
      </w:pPr>
    </w:p>
    <w:p w:rsidR="005728DD" w:rsidRDefault="005728DD" w:rsidP="005728DD">
      <w:pPr>
        <w:pStyle w:val="TextoNormal"/>
      </w:pPr>
      <w:r>
        <w:t>Así pues el hecho de que exista alguna discrepancia no resulta relevante porque lo ha sido sobre aspectos accesorios o secundarios que no afectan al núcleo esencial […].</w:t>
      </w:r>
    </w:p>
    <w:p w:rsidR="005728DD" w:rsidRDefault="005728DD" w:rsidP="005728DD">
      <w:pPr>
        <w:pStyle w:val="TextoNormal"/>
      </w:pPr>
    </w:p>
    <w:p w:rsidR="005728DD" w:rsidRDefault="005728DD" w:rsidP="005728DD">
      <w:pPr>
        <w:pStyle w:val="TextoNormal"/>
      </w:pPr>
      <w:r>
        <w:t xml:space="preserve">En la sentencia </w:t>
      </w:r>
      <w:r w:rsidRPr="005728DD">
        <w:rPr>
          <w:i/>
        </w:rPr>
        <w:t>in voce</w:t>
      </w:r>
      <w:r>
        <w:t xml:space="preserve"> ya se explicó que si bien, en mera hipótesis, hubiera podido admitirse que el encuentro del acusado con Miranda fue casual e inesperado (tesis que no se acogió) lo que supondría la inexistencia de dolo, lo cierto es que el acusado, en lugar de marcharse deprisa, sin dilación del lugar al ver a su ex pareja, se detuvo frente a ella, se dirigió amenazándola, realizando de este modo la conducta prohibida que exige precisamente que en caso de coincidencia, el que tiene prohibición de alejarse y de comunicarse </w:t>
      </w:r>
      <w:r>
        <w:lastRenderedPageBreak/>
        <w:t>no realice ninguna conducta que suponga un peligro para los bienes jurídicos protegidos de la víctima.</w:t>
      </w:r>
    </w:p>
    <w:p w:rsidR="005728DD" w:rsidRDefault="005728DD" w:rsidP="005728DD">
      <w:pPr>
        <w:pStyle w:val="TextoNormal"/>
      </w:pPr>
    </w:p>
    <w:p w:rsidR="005728DD" w:rsidRDefault="005728DD" w:rsidP="005728DD">
      <w:pPr>
        <w:pStyle w:val="TextoNormal"/>
      </w:pPr>
      <w:r>
        <w:t>En conclusión, el encuentro no fue casual ni fortuito, sino que buscado de propósito, y además se aprovechó para amenazar”.</w:t>
      </w:r>
    </w:p>
    <w:p w:rsidR="005728DD" w:rsidRDefault="005728DD" w:rsidP="005728DD">
      <w:pPr>
        <w:pStyle w:val="TextoNormal"/>
      </w:pPr>
    </w:p>
    <w:p w:rsidR="005728DD" w:rsidRDefault="005728DD" w:rsidP="005728DD">
      <w:pPr>
        <w:pStyle w:val="TextoNormal"/>
      </w:pPr>
      <w:r>
        <w:t>Posteriormente, luego de calificar jurídicamente los hechos como constitutivos de “un único delito de amenazas leves de género agravadas por cometerse quebrantando una pena de prohibición de acercamiento y comunicación con la víctima del art. 171.4 y 5 del CP” (fundamento segundo), y de atribuir su autoría al acusado (fundamento tercero), la sentencia individualizó en el fundamento de Derecho cuarto la pena a aplicar, razonando que:</w:t>
      </w:r>
    </w:p>
    <w:p w:rsidR="005728DD" w:rsidRDefault="005728DD" w:rsidP="005728DD">
      <w:pPr>
        <w:pStyle w:val="TextoNormal"/>
      </w:pPr>
    </w:p>
    <w:p w:rsidR="005728DD" w:rsidRDefault="005728DD" w:rsidP="005728DD">
      <w:pPr>
        <w:pStyle w:val="TextoNormal"/>
      </w:pPr>
      <w:r>
        <w:t>“En este caso concreto, dentro del marco punitivo (de nueve a doce meses de prisión), se estima adecuado imponer la pena máxima de doce meses de prisión habida cuenta de la gravedad de la conducta del acusado, por cuanto incumplió la prohibición nada más salir del juzgado de violencia, inmediatamente después de ser notificado del auto, se dirigió directamente, sin solución de continuidad, al lugar de trabajo de la beneficiaria de la orden y la amenazó, hecho que demuestra el nulo respeto por las leyes y el deprecio a los mandamientos y órdenes judiciales. En segundo lugar, la amenaza no fue inocua ni trivial, sino que fue de muerte, lo que generó una tremenda conmoción, temor y angustia en la víctima que todavía perdura en la actualidad. Por ello es merecedor del máximo previsto por la ley”.</w:t>
      </w:r>
    </w:p>
    <w:p w:rsidR="005728DD" w:rsidRDefault="005728DD" w:rsidP="005728DD">
      <w:pPr>
        <w:pStyle w:val="TextoNormal"/>
      </w:pPr>
    </w:p>
    <w:p w:rsidR="005728DD" w:rsidRDefault="005728DD" w:rsidP="005728DD">
      <w:pPr>
        <w:pStyle w:val="TextoNormal"/>
      </w:pPr>
      <w:r>
        <w:t>Notificada la sentencia, la representación procesal de la acusación particular presentó escrito interesando su aclaración, lo que fue denegado por auto del juzgado de 14 de marzo de 2017.</w:t>
      </w:r>
    </w:p>
    <w:p w:rsidR="005728DD" w:rsidRDefault="005728DD" w:rsidP="005728DD">
      <w:pPr>
        <w:pStyle w:val="TextoNormal"/>
      </w:pPr>
    </w:p>
    <w:p w:rsidR="005728DD" w:rsidRDefault="005728DD" w:rsidP="005728DD">
      <w:pPr>
        <w:pStyle w:val="TextoNormal"/>
      </w:pPr>
      <w:r>
        <w:t xml:space="preserve">f) Contra dicha sentencia la defensa del acusado interpuso recurso de apelación, el cual fundamentó por escrito en cinco motivos, importando a los efectos de este amparo únicamente los dos primeros, que tenían el siguiente enunciado: (i) “Primero.- Por vulneración del derecho fundamental a la tutela judicial efectiva sin indefensión, del derecho a la defensa y del derecho a un proceso con todas las garantías reconocidos en los artículos 24.1 y 24.2 de la CE. Infracción del art. 739 LECrim”: se alega que esos derechos fundamentales se conculcaron al no haber otorgado la magistrada-juez el derecho a la última palabra al acusado al final de la vista oral, precisando que cuando intentó tomar la palabra mientras aquella pronunciaba sentencia </w:t>
      </w:r>
      <w:r w:rsidRPr="005728DD">
        <w:rPr>
          <w:i/>
        </w:rPr>
        <w:t>in voce</w:t>
      </w:r>
      <w:r>
        <w:t>, fue para intentar rebatir la afirmación como hecho probado —con base en las declaraciones testificales— de que se había “parado delante de la tienda y el hecho de haber hablado” con su ex pareja; (ii) “Segundo.- Por vulneración del derecho fundamental a un proceso con todas las garantías y a la presunción de inocencia (art. 24.2 CE). Preterición del derecho de traducción e interpretación en lo que respecta al auto de medidas cautelares de 30 de octubre de 2015 e inexistencia de prueba del elemento subjetivo del delito de quebrantamiento corolario de lo anterior”: se queja el recurrente de que su condena por quebrantamiento de la medida cautelar de prohibición de acercarse a su ex pareja, acordada en el auto de 30 de octubre de 2015 del juzgado de violencia sobre la mujer, presupone que él conocía el contenido y alcance de dicha resolución judicial, hecho que sin embargo niega porque no habla castellano, el auto no le fue traducido ni estuvo asistido de intérprete durante su notificación el 10 de noviembre de 2015, y tampoco se le requirió sobre su cumplimiento.</w:t>
      </w:r>
    </w:p>
    <w:p w:rsidR="005728DD" w:rsidRDefault="005728DD" w:rsidP="005728DD">
      <w:pPr>
        <w:pStyle w:val="TextoNormal"/>
      </w:pPr>
    </w:p>
    <w:p w:rsidR="005728DD" w:rsidRDefault="005728DD" w:rsidP="005728DD">
      <w:pPr>
        <w:pStyle w:val="TextoNormal"/>
      </w:pPr>
      <w:r>
        <w:lastRenderedPageBreak/>
        <w:t>g) El recurso de apelación fue turnado a la Sección Segunda de la Audiencia Provincial de Baleares (rollo de apelación núm. 2-2018), la cual, una vez tramitado, dictó la sentencia 28/2018, el 18 de enero de 2018, con la siguiente dispositiva:</w:t>
      </w:r>
    </w:p>
    <w:p w:rsidR="005728DD" w:rsidRDefault="005728DD" w:rsidP="005728DD">
      <w:pPr>
        <w:pStyle w:val="TextoNormal"/>
      </w:pPr>
    </w:p>
    <w:p w:rsidR="005728DD" w:rsidRDefault="005728DD" w:rsidP="005728DD">
      <w:pPr>
        <w:pStyle w:val="TextoNormal"/>
      </w:pPr>
      <w:r>
        <w:t>“Que desestimando el recurso de apelación interpuesto por la representación del acusado Jerry Aroon-Kumar Rustveld, contra la sentencia de fecha 19 de diciembre de 2016, dictada por el Juzgado de lo Penal número 4 de Palma, recaída en la causa de procedimiento abreviado 297-2016, la cual se confirma. Se declaran de oficio las costas de esta alzada”.</w:t>
      </w:r>
    </w:p>
    <w:p w:rsidR="005728DD" w:rsidRDefault="005728DD" w:rsidP="005728DD">
      <w:pPr>
        <w:pStyle w:val="TextoNormal"/>
      </w:pPr>
    </w:p>
    <w:p w:rsidR="005728DD" w:rsidRDefault="005728DD" w:rsidP="005728DD">
      <w:pPr>
        <w:pStyle w:val="TextoNormal"/>
      </w:pPr>
      <w:r>
        <w:t>En lo que importa a este recurso de amparo, es en el fundamento jurídico segundo de la sentencia donde se da respuesta al primer motivo de la apelación (omisión del trámite de última palabra al acusado), razonando su denegación en los términos que siguen:</w:t>
      </w:r>
    </w:p>
    <w:p w:rsidR="005728DD" w:rsidRDefault="005728DD" w:rsidP="005728DD">
      <w:pPr>
        <w:pStyle w:val="TextoNormal"/>
      </w:pPr>
    </w:p>
    <w:p w:rsidR="005728DD" w:rsidRDefault="005728DD" w:rsidP="005728DD">
      <w:pPr>
        <w:pStyle w:val="TextoNormal"/>
      </w:pPr>
      <w:r>
        <w:t>“Ciertamente, el Tribunal Supremo al respecto de la infracción de este derecho, en la medida en que está contemplado como un derecho fundamental regulado en la normativa internacional que forma parte de nuestro ordenamiento jurídico (Pacto internacional de los derechos civiles y políticos en su artículo 14.3 d) y en el artículo 6.3 c) del Convenio europeo de protección de los derechos humanos y de las libertades fundamentales) y que se materializa en el artículo 739 de la LECrim, referido a la posibilidad que la Ley concede al acusado de auto-defenderse y que se manifiesta en la posibilidad que tiene para, una vez finalizado el juicio y después de haber presenciado la prueba practicada a su presencia, realizar aquellas manifestaciones que, al hilo de la misma o de las alegaciones de las partes, considerase oportuna en su descargo, a juicio del Tribunal Supremo encierra una de las expresiones más genuinas del derecho de autodefensa, que se configura independiente de la asistencia letrada y que guarda relación con el de derecho a la contradicción y a la igualdad de armas; no se trata de un recurso rigorista y meramente formalista, venía entendiendo, de modo unánime (por todas STS de 5 de abril de 2000; 849/2003, de 9 de junio, y 745/2004 de 10 de junio), que su incumplimiento, cuando se producía, comportaba la consiguiente indefensión y la nulidad de la sentencia, con obligación de repetir el juicio y con el objeto de garantizar la unidad de acto.</w:t>
      </w:r>
    </w:p>
    <w:p w:rsidR="005728DD" w:rsidRDefault="005728DD" w:rsidP="005728DD">
      <w:pPr>
        <w:pStyle w:val="TextoNormal"/>
      </w:pPr>
    </w:p>
    <w:p w:rsidR="005728DD" w:rsidRDefault="005728DD" w:rsidP="005728DD">
      <w:pPr>
        <w:pStyle w:val="TextoNormal"/>
      </w:pPr>
      <w:r>
        <w:t>Este criterio que de modo unánime venía manteniendo el Tribunal Supremo en diversas resoluciones, sin embargo, ha variado sustancialmente a partir de la STC 258/2007 y de otra anterior 13/2006 (recaída en el procedimiento de menores —SSTS 209/2008, de 28 de abril; 566/2015, de 9 de octubre, y 583/2017 de 19 de julio).</w:t>
      </w:r>
    </w:p>
    <w:p w:rsidR="005728DD" w:rsidRDefault="005728DD" w:rsidP="005728DD">
      <w:pPr>
        <w:pStyle w:val="TextoNormal"/>
      </w:pPr>
    </w:p>
    <w:p w:rsidR="005728DD" w:rsidRDefault="005728DD" w:rsidP="005728DD">
      <w:pPr>
        <w:pStyle w:val="TextoNormal"/>
      </w:pPr>
      <w:r>
        <w:t>En esta sentencia el Tribunal Constitucional nos recuerda que el incumplimiento de este derecho no determina por sí solo y sin más la nulidad del juicio y de la sentencia. Esta consecuencia anulatoria se producirá en aquellos casos en los que esa omisión padecida haya producido una efectiva y material indefensión en el acusado con consecuencias negativas reales para su derecho a la defensa.</w:t>
      </w:r>
    </w:p>
    <w:p w:rsidR="005728DD" w:rsidRDefault="005728DD" w:rsidP="005728DD">
      <w:pPr>
        <w:pStyle w:val="TextoNormal"/>
      </w:pPr>
    </w:p>
    <w:p w:rsidR="005728DD" w:rsidRDefault="005728DD" w:rsidP="005728DD">
      <w:pPr>
        <w:pStyle w:val="TextoNormal"/>
      </w:pPr>
      <w:r>
        <w:t xml:space="preserve">Esto se traduce en la exigencia de que ha de justificarse en el recurso hasta qué punto dicha omisión puede ser determinante para alterar el sentido del fallo y cuál sería la trascendencia y relevancia que podría tener en la posición defensiva del acusado. Con todo, este cambio de posición en la doctrina exige, como es lógico, tener en cuenta las circunstancias de cada caso, huyendo de automatismos, a fin de establecer si en el supuesto concreto la </w:t>
      </w:r>
      <w:r>
        <w:lastRenderedPageBreak/>
        <w:t>omisión de este trámite esencial ha producido o no indefensión constitucionalmente relevante.</w:t>
      </w:r>
    </w:p>
    <w:p w:rsidR="005728DD" w:rsidRDefault="005728DD" w:rsidP="005728DD">
      <w:pPr>
        <w:pStyle w:val="TextoNormal"/>
      </w:pPr>
    </w:p>
    <w:p w:rsidR="005728DD" w:rsidRDefault="005728DD" w:rsidP="005728DD">
      <w:pPr>
        <w:pStyle w:val="TextoNormal"/>
      </w:pPr>
      <w:r>
        <w:t>A este respecto, la Sala ha tenido la oportunidad de revisar el acta grabada del juicio y hemos podido comprobar que el acusado, de nacionalidad holandesa, que estaba asistido de intérprete por no entender el castellano y que lo tuvo a su lado en todo momento, no mostró el más mínimo interés en ser asistido de intérprete a fin de que le fuera traduciendo y narrando las declaraciones de los testigos de cargo. Esto sí ocurrió, en cambio, con los informes del fiscal y de las partes.</w:t>
      </w:r>
    </w:p>
    <w:p w:rsidR="005728DD" w:rsidRDefault="005728DD" w:rsidP="005728DD">
      <w:pPr>
        <w:pStyle w:val="TextoNormal"/>
      </w:pPr>
    </w:p>
    <w:p w:rsidR="005728DD" w:rsidRDefault="005728DD" w:rsidP="005728DD">
      <w:pPr>
        <w:pStyle w:val="TextoNormal"/>
      </w:pPr>
      <w:r>
        <w:t>En tales condiciones, nos preguntamos hasta qué punto podía tener el recurrente interés en hacer uso de su derecho a la última palabra y qué virtualidad tendrían sus manifestaciones, dado que si no se había mostrado voluntad en conocer lo declarado por los testigos, no estaba en condiciones de aclarar o matizar sus manifestaciones, teniendo en cuenta que ello podía ser lo únicamente relevante, dado que el resto de las cuestiones trascendentes para su defensa, en punto al desconocimiento del alcance de la prohibición y su efectividad y al carácter fortuito del encuentro con su ex pareja, habían sido ya puestas de manifiesto por el acusado en su declaración y por su defensa con ocasión de su interrogatorio.</w:t>
      </w:r>
    </w:p>
    <w:p w:rsidR="005728DD" w:rsidRDefault="005728DD" w:rsidP="005728DD">
      <w:pPr>
        <w:pStyle w:val="TextoNormal"/>
      </w:pPr>
    </w:p>
    <w:p w:rsidR="005728DD" w:rsidRDefault="005728DD" w:rsidP="005728DD">
      <w:pPr>
        <w:pStyle w:val="TextoNormal"/>
      </w:pPr>
      <w:r>
        <w:t xml:space="preserve">Siendo así y aunque es verdad que la juez </w:t>
      </w:r>
      <w:r w:rsidRPr="005728DD">
        <w:rPr>
          <w:i/>
        </w:rPr>
        <w:t>a quo</w:t>
      </w:r>
      <w:r>
        <w:t xml:space="preserve"> omitió flagrantemente conceder al recurrente el derecho a la última palabra al prescindir de dicho trámite final, pasando directamente a anunciarle la sentenci</w:t>
      </w:r>
      <w:r w:rsidRPr="005728DD">
        <w:rPr>
          <w:i/>
        </w:rPr>
        <w:t>a in vo</w:t>
      </w:r>
      <w:r>
        <w:t>ce, no apreciamos que de esa omisión se le hubiera causado efectiva indefensión.</w:t>
      </w:r>
    </w:p>
    <w:p w:rsidR="005728DD" w:rsidRDefault="005728DD" w:rsidP="005728DD">
      <w:pPr>
        <w:pStyle w:val="TextoNormal"/>
      </w:pPr>
    </w:p>
    <w:p w:rsidR="005728DD" w:rsidRDefault="005728DD" w:rsidP="005728DD">
      <w:pPr>
        <w:pStyle w:val="TextoNormal"/>
      </w:pPr>
      <w:r>
        <w:t>Por otra parte, en el recurso la defensa, pudiendo hacerlo, no explica ni razona cuáles serían las matizaciones que habría hecho su representado o que hubiera querido añadir o alegar si se le hubiera dado la oportunidad de ejercer el derecho a la última palabra, ni la trascendencia que tales alegaciones tendrían para alterar el sentido de fallo condenatorio, pues su defensa pivotó, esencialmente, sobre el desconocimiento que albergaba el recurrente de la prohibición de acercamiento y que el encuentro con su ex pareja había sido puramente casual y sin que llegase a coincidir con ella, extremo este que según la juzgadora resultó contradicho por la declaración de la víctima y de las testigos que corroboraron la presencia del acusado en las inmediaciones de la tienda de su ex pareja y el que no hubiera mostrado extrañeza por coincidir con la víctima en el comercio en donde trabaja, de cuya existencia era ya conocedor a través de información comunicada en Instagram en la que se comunicó la apertura del negocio al público.</w:t>
      </w:r>
    </w:p>
    <w:p w:rsidR="005728DD" w:rsidRDefault="005728DD" w:rsidP="005728DD">
      <w:pPr>
        <w:pStyle w:val="TextoNormal"/>
      </w:pPr>
    </w:p>
    <w:p w:rsidR="005728DD" w:rsidRDefault="005728DD" w:rsidP="005728DD">
      <w:pPr>
        <w:pStyle w:val="TextoNormal"/>
      </w:pPr>
      <w:r>
        <w:t>A mayor abundamiento, si cabe, y en rechazo de que la infracción de procedimiento cometida haya causado efectiva y real indefensión al recurrente en sus posibilidades de defenderse en el juicio, tampoco su defensa técnica ha solicitado que su representado, en aras de suplir la omisión padecida, pudiera en trámite de apelación ante esta Sala acudir a una vista a presencia del tribunal encargado de revisar la sentencia para realizar las manifestaciones que en su descargo quisiera y que no pudo hacer por haberle negado el derecho a la última palabra, manifestaciones que además se habrían producido una vez conocido el sentido del fallo”.</w:t>
      </w:r>
    </w:p>
    <w:p w:rsidR="005728DD" w:rsidRDefault="005728DD" w:rsidP="005728DD">
      <w:pPr>
        <w:pStyle w:val="TextoNormal"/>
      </w:pPr>
    </w:p>
    <w:p w:rsidR="005728DD" w:rsidRDefault="005728DD" w:rsidP="005728DD">
      <w:pPr>
        <w:pStyle w:val="TextoNormal"/>
      </w:pPr>
      <w:r>
        <w:t xml:space="preserve">Por su parte, el fundamento jurídico tercero de la sentencia de alzada resuelve el segundo motivo del recurso de apelación, sobre el desconocimiento del contenido y alcance del auto </w:t>
      </w:r>
      <w:r>
        <w:lastRenderedPageBreak/>
        <w:t>de 30 de octubre de 2015, de nuevo con resultado desestimatorio. La audiencia lo explica así:</w:t>
      </w:r>
    </w:p>
    <w:p w:rsidR="005728DD" w:rsidRDefault="005728DD" w:rsidP="005728DD">
      <w:pPr>
        <w:pStyle w:val="TextoNormal"/>
      </w:pPr>
    </w:p>
    <w:p w:rsidR="005728DD" w:rsidRDefault="005728DD" w:rsidP="005728DD">
      <w:pPr>
        <w:pStyle w:val="TextoNormal"/>
      </w:pPr>
      <w:r>
        <w:t>“La parte apelante confunde el derecho que pudiera tener el recurrente de que se tradujera la orden de alejamiento, si es que por ser extranjero que desconoce el idioma precisase esa traducción, por tratarse de un documento esencial para su defensa, con el derecho a la presunción de inocencia que despliega sus efectos tanto respecto a los elementos objetivos como subjetivo del delito de que se trate. En este caso del de quebrantamiento de medida cautelar.</w:t>
      </w:r>
    </w:p>
    <w:p w:rsidR="005728DD" w:rsidRDefault="005728DD" w:rsidP="005728DD">
      <w:pPr>
        <w:pStyle w:val="TextoNormal"/>
      </w:pPr>
    </w:p>
    <w:p w:rsidR="005728DD" w:rsidRDefault="005728DD" w:rsidP="005728DD">
      <w:pPr>
        <w:pStyle w:val="TextoNormal"/>
      </w:pPr>
      <w:r>
        <w:t>Y aquí la presunción de inocencia se ha respetado escrupulosamente, habida cuenta de que si la juzgadora declara que el acusado tenía conocimiento de la prohibición de acercamiento y de las consecuencias de su incumplimiento fue porque se le notificó la resolución en que se acordaba y porque dicha notificación, valiendo como requerimiento de su ejecutividad, se produjo en presencia de su abogado, sin que en ningún momento este, ni su representado, hubieran solicitado la traducción de dicha resolución, en prueba de que tuvo conocimiento de la misma y de su contenido y alcance. No se derivó pues indefensión.</w:t>
      </w:r>
    </w:p>
    <w:p w:rsidR="005728DD" w:rsidRDefault="005728DD" w:rsidP="005728DD">
      <w:pPr>
        <w:pStyle w:val="TextoNormal"/>
      </w:pPr>
    </w:p>
    <w:p w:rsidR="005728DD" w:rsidRDefault="005728DD" w:rsidP="005728DD">
      <w:pPr>
        <w:pStyle w:val="TextoNormal"/>
      </w:pPr>
      <w:r>
        <w:t>Ocurre, además, que el acusado conocía dónde trabajaba la víctima y la declaración de aquella y de las testigos de cargo permitieron deducir que el recurrente no se vio sorprendido cuando coincidió con la víctima en las inmediaciones de su comercio, a la que además dijo algo y realizó gestos con las manos, considerado por ello la juzgadora que tales manifestaciones y gestos, por no ser amistosos y haberlos realizado de modo airado, debían de tratarse de las amenazas que refirió la víctima, y de ahí que su declaración la estimase creíble.</w:t>
      </w:r>
    </w:p>
    <w:p w:rsidR="005728DD" w:rsidRDefault="005728DD" w:rsidP="005728DD">
      <w:pPr>
        <w:pStyle w:val="TextoNormal"/>
      </w:pPr>
    </w:p>
    <w:p w:rsidR="005728DD" w:rsidRDefault="005728DD" w:rsidP="005728DD">
      <w:pPr>
        <w:pStyle w:val="TextoNormal"/>
      </w:pPr>
      <w:r>
        <w:t>No puede pasarse por alto, de otra parte, que el acusado negó el encuentro con la víctima o cuando menos su aproximación a ella y a su lugar de trabajo y esta circunstancia resultó inobjetable a partir de las fotografías tomadas por la víctima, cuya versión vino corroborada por la prueba testifical y la existencia de información comunicada en Instagram sobre el lugar de trabajo de la perjudicada, razón por la que el recurrente debía de conocer este extremo y por ello acudió a dicho lugar.</w:t>
      </w:r>
    </w:p>
    <w:p w:rsidR="005728DD" w:rsidRDefault="005728DD" w:rsidP="005728DD">
      <w:pPr>
        <w:pStyle w:val="TextoNormal"/>
      </w:pPr>
    </w:p>
    <w:p w:rsidR="005728DD" w:rsidRDefault="005728DD" w:rsidP="005728DD">
      <w:pPr>
        <w:pStyle w:val="TextoNormal"/>
      </w:pPr>
      <w:r>
        <w:t>Ese dato objetivo y la negativa del acusado a reconocerlo, no hizo sino restar credibilidad a su versión y apoyar y dar refuerzo a la versión de la víctima y la de las testigos de cargo.</w:t>
      </w:r>
    </w:p>
    <w:p w:rsidR="005728DD" w:rsidRDefault="005728DD" w:rsidP="005728DD">
      <w:pPr>
        <w:pStyle w:val="TextoNormal"/>
      </w:pPr>
    </w:p>
    <w:p w:rsidR="005728DD" w:rsidRDefault="005728DD" w:rsidP="005728DD">
      <w:pPr>
        <w:pStyle w:val="TextoNormal"/>
      </w:pPr>
      <w:r>
        <w:t>La trascendencia que tiene el derecho a la traducción y a la interpretación estriba en que el acusado extranjero sometido a una causa penal que no conoce o entiende el idioma en el que se desarrollan las actuaciones, tiene derecho a ser informado en su idioma y a tomar conocimiento de las acusaciones que se vierten en su contra y de los elementos de prueba en los que se sustenta la misma a los efectos de poder ejercer su derecho a la defensa, de ahí, que haya de disponer de un intérprete y acceso a la traducción de los documentos esenciales para su defensa.</w:t>
      </w:r>
    </w:p>
    <w:p w:rsidR="005728DD" w:rsidRDefault="005728DD" w:rsidP="005728DD">
      <w:pPr>
        <w:pStyle w:val="TextoNormal"/>
      </w:pPr>
    </w:p>
    <w:p w:rsidR="005728DD" w:rsidRDefault="005728DD" w:rsidP="005728DD">
      <w:pPr>
        <w:pStyle w:val="TextoNormal"/>
      </w:pPr>
      <w:r>
        <w:t>En ningún momento el acusado planteó ni alegó indefensión por habérsele notificado el auto de alejamiento en castellano y no haberle facilitado la traducción, ni tampoco su letrado realizó queja en tal sentido. No puede por ello admitirse que el acusado desconociera la medida cautelar acordada y su contenido y alcance.</w:t>
      </w:r>
    </w:p>
    <w:p w:rsidR="005728DD" w:rsidRDefault="005728DD" w:rsidP="005728DD">
      <w:pPr>
        <w:pStyle w:val="TextoNormal"/>
      </w:pPr>
    </w:p>
    <w:p w:rsidR="005728DD" w:rsidRDefault="005728DD" w:rsidP="005728DD">
      <w:pPr>
        <w:pStyle w:val="TextoNormal"/>
      </w:pPr>
      <w:r>
        <w:lastRenderedPageBreak/>
        <w:t>Hay que tener en cuenta que la notificación de la resolución se produjo estando un abogado presente y que el acusado además de tener domicilio en Palma, ha otorgado poderes a varios letrados y procuradores. A uno de estos abogados, a la señora Regidor Mateo, en concreto, le ha conferido la cualidad de poder actuar como intérprete suyo. Dicha letrada intervino en su toma de declaración y es posible, al menos nada se ha dicho en contra, que fuera ella también quien compareció con él a la hora de notificarle el auto de alejamiento. En todo caso, desconocemos qué letrado fue el que estaba acompañando al acusado en el momento de la notificación del auto acordando la prohibición y nada dijo su defensa de que dicho letrado no hubiera podido ilustrar a su representado acerca del contenido y alcance del auto y consecuencias que comportaba. Y dado que el auto estaba en castellano cabe entender que fue el letrado quien se lo tradujo ya que en caso contrario al recibir la notificación hubiera solicitado la traducción.</w:t>
      </w:r>
    </w:p>
    <w:p w:rsidR="005728DD" w:rsidRDefault="005728DD" w:rsidP="005728DD">
      <w:pPr>
        <w:pStyle w:val="TextoNormal"/>
      </w:pPr>
    </w:p>
    <w:p w:rsidR="005728DD" w:rsidRDefault="005728DD" w:rsidP="005728DD">
      <w:pPr>
        <w:pStyle w:val="TextoNormal"/>
      </w:pPr>
      <w:r>
        <w:t>Por otro lado, el acusado admitió sin ambages en su declaración que tenía conocimiento de la prohibición, pero que no la incumplió pues no se acercó a la perjudicada, ni sabía dónde trabajaba, porque hasta entonces creía que estaba en un comercio en la playa de Palma, de modo que su defensa se basó en que se trató de un encuentro casual y no intencionado. Nada tiene que ver ese planteamiento con el desconocimiento de la prohibición o de su contenido exacto.</w:t>
      </w:r>
    </w:p>
    <w:p w:rsidR="005728DD" w:rsidRDefault="005728DD" w:rsidP="005728DD">
      <w:pPr>
        <w:pStyle w:val="TextoNormal"/>
      </w:pPr>
    </w:p>
    <w:p w:rsidR="005728DD" w:rsidRDefault="005728DD" w:rsidP="005728DD">
      <w:pPr>
        <w:pStyle w:val="TextoNormal"/>
      </w:pPr>
      <w:r>
        <w:t>Su propia defensa ya admite y reconoce en el recurso que en realidad su defendido sí que conocía la prohibición, aunque podía tener dudas al respecto de su alcance, en cuanto a que sabía que no podía acercarse a la perjudicada, pero no a su lugar de trabajo, si bien desconocía que fuera en un comercio de la calle Mercat, pero ello se contradice con la información de Instagram y con la circunstancia de que el acusado hubiera transitado por la calle en la que está situada la tienda de su ex pareja, cuando no era necesario pasar por allí para desplazarse hasta Zara Home y la cafetería del Capuchino del paseo marítimo y que no mostrase extrañeza alguna, ni sorpresa, al encontrarse con su ex pareja justo el día en que venía del juzgado después de habérsele comunicado la prohibición de acercamiento y de comunicación, y que además en lugar de pasar de largo y marcharse por otro lugar o pedir disculpas, entró en comunicación con ella y le dirigió unas palabras y unos gestos que según los testigos no fueron amistosos, pero cuyo contenido exacto no supieron decir cual fue por haberse expresado el acusado en idioma holandés, el cual sí entendía la perjudicada por tener esa misma nacionalidad.</w:t>
      </w:r>
    </w:p>
    <w:p w:rsidR="005728DD" w:rsidRDefault="005728DD" w:rsidP="005728DD">
      <w:pPr>
        <w:pStyle w:val="TextoNormal"/>
      </w:pPr>
    </w:p>
    <w:p w:rsidR="005728DD" w:rsidRDefault="005728DD" w:rsidP="005728DD">
      <w:pPr>
        <w:pStyle w:val="TextoNormal"/>
      </w:pPr>
      <w:r>
        <w:t xml:space="preserve">En suma, la juez </w:t>
      </w:r>
      <w:r w:rsidRPr="005728DD">
        <w:rPr>
          <w:i/>
        </w:rPr>
        <w:t>a quo</w:t>
      </w:r>
      <w:r>
        <w:t xml:space="preserve"> en la sentencia ha explicado de modo razonable el por qué estimó probado que el acusado, a pesar de que la resolución disponiendo el alejamiento no fue traducida, tuvo conocimiento de ella y de su contenido y a lo que le obligaba, por lo que al acercarse al lugar de trabajo de su ex pareja y aproximarse a la misma llegando a hacerle unas manifestaciones en tono amenazador y una señas con ese mismo objeto, cometió el delito de quebrantamiento de medida cautelar.</w:t>
      </w:r>
    </w:p>
    <w:p w:rsidR="005728DD" w:rsidRDefault="005728DD" w:rsidP="005728DD">
      <w:pPr>
        <w:pStyle w:val="TextoNormal"/>
      </w:pPr>
    </w:p>
    <w:p w:rsidR="005728DD" w:rsidRDefault="005728DD" w:rsidP="005728DD">
      <w:pPr>
        <w:pStyle w:val="TextoNormal"/>
      </w:pPr>
      <w:r>
        <w:t xml:space="preserve">En su recurso la defensa hace alusión a que el mismo juez de violencia al recibir declaración al acusado hizo constar que no había sido requerido en forma acordando a tal efecto que dicho requerimiento se verificase. La defensa utiliza esa referencia para indicar que el juez asume y admite que su representado no tenía conocimiento exacto de la prohibición de acercamiento. Ello no es así, lo que el juez de violencia quiere significar es que el acusado </w:t>
      </w:r>
      <w:r>
        <w:lastRenderedPageBreak/>
        <w:t>al notificarle el auto debió de habérsele hecho un requerimiento expreso de que la ejecutividad del mismo con el objeto de asegurar que si lo incumplía podía incurrir en un delito de quebrantamiento.</w:t>
      </w:r>
    </w:p>
    <w:p w:rsidR="005728DD" w:rsidRDefault="005728DD" w:rsidP="005728DD">
      <w:pPr>
        <w:pStyle w:val="TextoNormal"/>
      </w:pPr>
    </w:p>
    <w:p w:rsidR="005728DD" w:rsidRDefault="005728DD" w:rsidP="005728DD">
      <w:pPr>
        <w:pStyle w:val="TextoNormal"/>
      </w:pPr>
      <w:r>
        <w:t>Ello no obstante, el delito de quebrantamiento no exige un requerimiento expreso y terminante al destinatario de la medida de que su falta de acatamiento podría dar lugar a la comisión del delito, sino que lo que se precisa es que el destinatario de la medida conozca su ejecutividad y las consecuencias negativas que comporta y esto, perfectamente, puede estar contenido en la misma notificación de la resolución, siempre que de ella quepa deducir, sin duda alguna, esa consecuencia.</w:t>
      </w:r>
    </w:p>
    <w:p w:rsidR="005728DD" w:rsidRDefault="005728DD" w:rsidP="005728DD">
      <w:pPr>
        <w:pStyle w:val="TextoNormal"/>
      </w:pPr>
    </w:p>
    <w:p w:rsidR="005728DD" w:rsidRDefault="005728DD" w:rsidP="005728DD">
      <w:pPr>
        <w:pStyle w:val="TextoNormal"/>
      </w:pPr>
      <w:r>
        <w:t>En el caso presente al acusado se le notificó la prohibición de acercamiento y de comunicación hacia la víctima y su lugar de trabajo y en ella ya se contenía que su incumplimiento podía comportar la comisión de un delito, si bien de desobediencia y no de quebrantamiento, lo cual no resulta transcendente a los efectos de cometer el delito de quebrantamiento, ya que lo relevante es que el acusado fue informado de la efectividad de la medida y que su no acatamiento podía derivar en responsabilidad penal y en la comisión de otro delito, aunque la mención al tipo penal no fuera la correcta.</w:t>
      </w:r>
    </w:p>
    <w:p w:rsidR="005728DD" w:rsidRDefault="005728DD" w:rsidP="005728DD">
      <w:pPr>
        <w:pStyle w:val="TextoNormal"/>
      </w:pPr>
    </w:p>
    <w:p w:rsidR="005728DD" w:rsidRDefault="005728DD" w:rsidP="005728DD">
      <w:pPr>
        <w:pStyle w:val="TextoNormal"/>
      </w:pPr>
      <w:r>
        <w:t>Lo importante es que la medida cautelar hubiera comenzado a ejecutarse y el penado conociera su ejecutividad y pese a ello decidiera quebrantarla, habiendo sido informado de las consecuencias negativa de su acción.</w:t>
      </w:r>
    </w:p>
    <w:p w:rsidR="005728DD" w:rsidRDefault="005728DD" w:rsidP="005728DD">
      <w:pPr>
        <w:pStyle w:val="TextoNormal"/>
      </w:pPr>
    </w:p>
    <w:p w:rsidR="005728DD" w:rsidRDefault="005728DD" w:rsidP="005728DD">
      <w:pPr>
        <w:pStyle w:val="TextoNormal"/>
      </w:pPr>
      <w:r>
        <w:t>En el caso presente al acusado se le notificó el auto de prohibición de acercamiento y a partir de ese momento fue consciente de la ejecutividad de la medida adoptada y de las consecuencias negativas que comportaba su no acatamiento. No hacía falta, pues, realizar un nuevo requerimiento independiente. En dicha resolución se expresaba que la prohibición era de acercamiento y de comunicación, tanto a la víctima como a su lugar de trabajo y a una distancia no inferior a 500 metros. Se aludía también a que el incumplimiento podía dar lugar a responsabilidad penal, aunque se citara erróneamente el delito que se cometería y a la adopción de medidas cautelares más gravosas.</w:t>
      </w:r>
    </w:p>
    <w:p w:rsidR="005728DD" w:rsidRDefault="005728DD" w:rsidP="005728DD">
      <w:pPr>
        <w:pStyle w:val="TextoNormal"/>
      </w:pPr>
    </w:p>
    <w:p w:rsidR="005728DD" w:rsidRDefault="005728DD" w:rsidP="005728DD">
      <w:pPr>
        <w:pStyle w:val="TextoNormal"/>
      </w:pPr>
      <w:r>
        <w:t xml:space="preserve">En tales circunstancias si el acusado conocía la ejecutividad de la prohibición y de sus consecuencias y pese a ello se aproximó a la víctima, descartando la juzgadora, y explicando las razones de ello, que no se trató de un encuentro casual sino voluntario y buscado por el recurrente, que era conocedor del lugar de trabajo de la víctima y a él se encaminó nada más salir del juzgado de violencia, y que además no se limitó a procurar ese encuentro sino que se dirigió a la víctima con gestos y manifestaciones amenazadoras, es claro que incurrió en el delito de quebrantamiento por el que ha resultado condenado y sin que su condena se hubiera producido infringiendo la presunción de inocencia, habida cuenta de para su enervación tuvo en cuenta la juzgadora de instancia prueba válidamente practicada y valorada de modo razonable, tal que así, la probabilidad de que los hechos hubieran sucedido, conforme a la versión judicial que narra el </w:t>
      </w:r>
      <w:r w:rsidRPr="005728DD">
        <w:rPr>
          <w:i/>
        </w:rPr>
        <w:t>factum</w:t>
      </w:r>
      <w:r>
        <w:t xml:space="preserve"> de la sentencia, es mucho mayor y más elevada a que se hubieran desarrollado de acuerdo con la tesis de la defensa, esto es, que el acusado ignoraba con exactitud el alcance de la prohibición, que su presencia en las inmediaciones de la tienda en la que trabajaba la apelada fue puramente casual y fortuita y que nada le dijo ni le manifestó al no haber llegado a hablar con ella”.</w:t>
      </w:r>
    </w:p>
    <w:p w:rsidR="005728DD" w:rsidRDefault="005728DD" w:rsidP="005728DD">
      <w:pPr>
        <w:pStyle w:val="TextoNormal"/>
      </w:pPr>
    </w:p>
    <w:p w:rsidR="005728DD" w:rsidRDefault="005728DD" w:rsidP="005728DD">
      <w:pPr>
        <w:pStyle w:val="TextoNormal"/>
      </w:pPr>
      <w:r>
        <w:lastRenderedPageBreak/>
        <w:t>h) Firme así la sentencia de instancia, obra en las actuaciones remitidas a este Tribunal Constitucional que, abierta la ejecutoria núm. 1909-2018 por el Juzgado de lo Penal núm. 8 de Palma de Mallorca al efecto competente, este dictó auto el 19 de junio de 2018 por el que, de un lado y respecto de la pena de doce meses de prisión, “visto que no existe pronunciamiento en la sentencia en relación a la suspensión” de la misma, acordó abrir trámite de audiencia a las partes para que pudieran alegar sobre su procedencia. De otro lado, requirió al condenado para el cumplimiento de las penas de privación del derecho de tenencia y porte de armas por tiempo de dos años, y de prohibición de aproximación a 500 metros y de comunicación con doña Miranda Ivonne Stienstra, por tiempo de cinco años.</w:t>
      </w:r>
    </w:p>
    <w:p w:rsidR="005728DD" w:rsidRDefault="005728DD" w:rsidP="005728DD">
      <w:pPr>
        <w:pStyle w:val="TextoNormal"/>
      </w:pPr>
    </w:p>
    <w:p w:rsidR="005728DD" w:rsidRDefault="005728DD" w:rsidP="005728DD">
      <w:pPr>
        <w:pStyle w:val="TextoNormal"/>
      </w:pPr>
      <w:r>
        <w:t>Una vez sustanciado el trámite de audiencia, el juzgado dictó nuevo auto el 8 de noviembre de 2018 por el que suspendió la pena de doce meses de prisión impuesta al recurrente, quedando condicionada su vigencia al cumplimiento de las condiciones al efecto establecidas en la propia resolución.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plantea dos quejas constitucionales de fondo, coincidentes en lo sustancial con los dos primeros motivos del recurso de apelación:</w:t>
      </w:r>
    </w:p>
    <w:p w:rsidR="005728DD" w:rsidRDefault="005728DD" w:rsidP="005728DD">
      <w:pPr>
        <w:pStyle w:val="TextoNormal"/>
      </w:pPr>
    </w:p>
    <w:p w:rsidR="005728DD" w:rsidRDefault="005728DD" w:rsidP="005728DD">
      <w:pPr>
        <w:pStyle w:val="TextoNormal"/>
      </w:pPr>
      <w:r>
        <w:t>a) “Primero.- Por vulneración del derecho fundamental a la tutela judicial efectiva sin indefensión, del derecho a la defensa y del derecho a un proceso con todas las garantías reconocidos en los artículos 24.1 y 24.2 de la CE: flagrante privación del uso del derecho a la última palabra del demandante de amparo (flagrancia reconocida por la resolución de la Audiencia Provincial)”.</w:t>
      </w:r>
    </w:p>
    <w:p w:rsidR="005728DD" w:rsidRDefault="005728DD" w:rsidP="005728DD">
      <w:pPr>
        <w:pStyle w:val="TextoNormal"/>
      </w:pPr>
    </w:p>
    <w:p w:rsidR="005728DD" w:rsidRDefault="005728DD" w:rsidP="005728DD">
      <w:pPr>
        <w:pStyle w:val="TextoNormal"/>
      </w:pPr>
      <w:r>
        <w:t xml:space="preserve">Luego de reproducir el art. 739 LECrim, se recuerda en la demanda que en la vista oral de la causa, una vez terminadas las intervenciones de la acusación y la defensa, la magistrada-juez no preguntó al acusado si tenía algo que manifestar al tribunal, pasando a dictar sentencia </w:t>
      </w:r>
      <w:r w:rsidRPr="005728DD">
        <w:rPr>
          <w:i/>
        </w:rPr>
        <w:t>in voce</w:t>
      </w:r>
      <w:r>
        <w:t>, en cuyo transcurso mandó guardar silencio al acusado quien deseaba decir algo. Esta omisión se impugnó en el recurso de apelación, aclarando qué era lo que quería contradecir el recurrente: “el hecho de haberse parado delante de la tienda y el hecho de haber hablado con ella”, lo que “a no dudar, era determinante en el sentido del fallo”. Se recogen luego los argumentos de la Audiencia Provincial para no acoger este motivo del recurso, y ya en el plano de la doctrina constitucional afirma que “ninguna de las dos sentencias del Tribunal Constitucional que analizan en profundidad el derecho a la última palabra (SSTC núm. 13/2006 y núm. 258/2007) exigen la restrictiva carga impuesta por la Audiencia Provincial, siguiendo la interpretación dada en la STS núm. 490/2014, de 17 de junio: qué concretas alegaciones iba a realizar el acusado al que se le ha privado del derecho a la última palabra”.</w:t>
      </w:r>
    </w:p>
    <w:p w:rsidR="005728DD" w:rsidRDefault="005728DD" w:rsidP="005728DD">
      <w:pPr>
        <w:pStyle w:val="TextoNormal"/>
      </w:pPr>
    </w:p>
    <w:p w:rsidR="005728DD" w:rsidRDefault="005728DD" w:rsidP="005728DD">
      <w:pPr>
        <w:pStyle w:val="TextoNormal"/>
      </w:pPr>
      <w:r>
        <w:t xml:space="preserve">Considera que tal exigencia no es de recibo, pues “la sentencia impugnada no puede exigir una suerte de avance de los argumentos que el acusado iba a utilizar en su defensa, pues, además de que el tribunal </w:t>
      </w:r>
      <w:r w:rsidRPr="005728DD">
        <w:rPr>
          <w:i/>
        </w:rPr>
        <w:t>ad quem</w:t>
      </w:r>
      <w:r>
        <w:t xml:space="preserve"> carece de inmediación, no es quien debe valorar la prueba en primera instancia, y, a su vez, que ninguna dirección letrada puede subrogarse en el papel de una fuente de prueba personal como es el acusado, de </w:t>
      </w:r>
      <w:r w:rsidRPr="005728DD">
        <w:rPr>
          <w:i/>
        </w:rPr>
        <w:t>facto</w:t>
      </w:r>
      <w:r>
        <w:t xml:space="preserve"> se estaría obligando al acusado a desnudar su línea de defensa cuando la estimación del motivo deriva, precisamente, en la repetición del juicio”. Alega asimismo que “[p]royectando los rasgos fundamentales de la doctrina constitucional expuesta tanto en la STC núm. 13/2006 como en la </w:t>
      </w:r>
      <w:r>
        <w:lastRenderedPageBreak/>
        <w:t>STC núm. 258/2007 al supuesto planteado en la presente demanda de amparo, debe concluirse la vulneración del derecho a la última palabra del demandante, toda vez que el acusado fue privado del ejercicio del expresado derecho, aun cuando quiso hacer uso del mismo y este hubiera contradicho una alegación nuclear en su defensa y en el sentido del fallo: ‘el hecho de haberse parado delante de la tienda y el hecho de haber hablado con ella’ […]”.</w:t>
      </w:r>
    </w:p>
    <w:p w:rsidR="005728DD" w:rsidRDefault="005728DD" w:rsidP="005728DD">
      <w:pPr>
        <w:pStyle w:val="TextoNormal"/>
      </w:pPr>
    </w:p>
    <w:p w:rsidR="005728DD" w:rsidRDefault="005728DD" w:rsidP="005728DD">
      <w:pPr>
        <w:pStyle w:val="TextoNormal"/>
      </w:pPr>
      <w:r>
        <w:t>Con relación a lo que entiende como contradicciones en el dicho de las testigos de cargo que declararon en la vista, dice la demanda que “[l]a última palabra era el único medio del demandante para contradecir toda la prueba practicada y, por lo tanto, exculparse de toda acusación, pronunciándose sobre todos los aspectos fácticos que le fueron traducidos al final del juicio oral […]; era la única oportunidad de contradecir de un modo personal y directo las —como vemos, inciertas— alegaciones que habían realizado la denunciante y su entorno en la vista oral […]. Tampoco puede perderse de vista que, en virtud del derecho fundamental a la presunción de inocencia, toda condena penal requiere una convicción o certeza objetiva sobre las conductas delictivas enjuiciadas, y que, por tanto, la última palabra es imprescindible por ser la única defensa directa del acusado sobre todos los medios de prueba practicados, pues dicho trámite puede derivar en el surgimiento de dudas razonables que el juzgador está obligado a atender”.</w:t>
      </w:r>
    </w:p>
    <w:p w:rsidR="005728DD" w:rsidRDefault="005728DD" w:rsidP="005728DD">
      <w:pPr>
        <w:pStyle w:val="TextoNormal"/>
      </w:pPr>
    </w:p>
    <w:p w:rsidR="005728DD" w:rsidRDefault="005728DD" w:rsidP="005728DD">
      <w:pPr>
        <w:pStyle w:val="TextoNormal"/>
      </w:pPr>
      <w:r>
        <w:t>Finaliza esta primera queja alegando la demanda, que su estimación en sentencia por este tribunal ha de comportar la nulidad de las resoluciones impugnadas, “con retroacción de las actuaciones al momento inmediatamente anterior al comienzo del juicio oral a fin de que se celebre nueva vista ante un juzgado de lo penal distinto, toda vez que es razonable temer que la magistrada titular del Juzgado de lo Penal núm. 4 esté predispuesta en la medida en que presenció la práctica de la prueba y formó convicción no ya pretiriendo el derecho a la última palabra del acusado sino negándoselo sin ambages”.</w:t>
      </w:r>
    </w:p>
    <w:p w:rsidR="005728DD" w:rsidRDefault="005728DD" w:rsidP="005728DD">
      <w:pPr>
        <w:pStyle w:val="TextoNormal"/>
      </w:pPr>
    </w:p>
    <w:p w:rsidR="005728DD" w:rsidRDefault="005728DD" w:rsidP="005728DD">
      <w:pPr>
        <w:pStyle w:val="TextoNormal"/>
      </w:pPr>
      <w:r>
        <w:t>b) “Segundo.- Por vulneración del derecho fundamental a un proceso con todas las garantías (art. 24.2 CE). Preterición del derecho de traducción e interpretación en lo que respecta al auto de medidas cautelares de 30 de octubre de 2015, como resolución que se estima deliberadamente incumplida por el acusado”.</w:t>
      </w:r>
    </w:p>
    <w:p w:rsidR="005728DD" w:rsidRDefault="005728DD" w:rsidP="005728DD">
      <w:pPr>
        <w:pStyle w:val="TextoNormal"/>
      </w:pPr>
    </w:p>
    <w:p w:rsidR="005728DD" w:rsidRDefault="005728DD" w:rsidP="005728DD">
      <w:pPr>
        <w:pStyle w:val="TextoNormal"/>
      </w:pPr>
      <w:r>
        <w:t xml:space="preserve">Refiere la demanda que en la sentencia del juzgado de lo penal se fijó como hecho probado que el recurrente fue notificado personalmente del auto de 30 de octubre de 2015, en fecha 10 de noviembre del mismo año, hallándose en ese momento en compañía de su letrado, “mediante lectura íntegra y entrega de copia literal” de la resolución, pese a lo cual “haciendo caso omiso a dichas prohibiciones” en él contenidas, de las que “tuvo cabal conocimiento” de manera “personal”, decidió pasar por la tienda donde trabajaba doña Miranda Ivonne y proferirle la amenaza verbal ya indicada; lo cual después confirma la sentencia de apelación. Partiendo entonces de que la condena por quebrantamiento de aquella medida cautelar “tiene como sostén precisamente la notificación y requerimiento” del auto citado, la demanda rechaza su validez porque “el demandante de amparo no solo no ha renunciado de forma expresa a su derecho a la traducción, siendo esta una exigencia del art. 126 LECrim (precepto, por cierto, sobre el que tribunal guarda un espeso silencio, aun cuando es de ineludible observancia), sino que siempre ha manifestado no tener exacto conocimiento del sentido de las prohibiciones contenidas en el citado auto de 30 de octubre de 2015”. Añade que el acusado “no tenía conocimiento alguno del castellano”, el auto mencionado no fue objeto de traducción, y aunque se reconoce que aquel acudió al juzgado y se </w:t>
      </w:r>
      <w:r>
        <w:lastRenderedPageBreak/>
        <w:t>le notificó la resolución acompañado de un abogado, se reitera que no se le entregó un ejemplar traducido de ella, ni se le habilitó un intérprete, sin que pueda suplirse la asistencia de este último con la que a su vez le prestaba su abogado. Que el recurrente únicamente comprendió el contenido de aquel auto cuando se le tomó declaración por el instructor el 10 de diciembre de 2015, una vez abiertas las nuevas diligencias por el juzgado de violencia sobre la mujer, y que en el acta de esa declaración consta que no se celebró la comparecencia del art. 505 LECrim por no haber sido requerido en forma por el juzgado cuando se le notificó el auto. Incluso la propia sentencia había sido traducida al holandés para su entendimiento, al igual que la citación a juicio, y que dispuso de la asistencia de un intérprete durante la vista. La demanda reconoce que el 10 de noviembre de 2015 el recurrente tuvo conocimiento de la existencia del auto de 30 de octubre, pero no de su contenido y alcance.</w:t>
      </w:r>
    </w:p>
    <w:p w:rsidR="005728DD" w:rsidRDefault="005728DD" w:rsidP="005728DD">
      <w:pPr>
        <w:pStyle w:val="TextoNormal"/>
      </w:pPr>
    </w:p>
    <w:p w:rsidR="005728DD" w:rsidRDefault="005728DD" w:rsidP="005728DD">
      <w:pPr>
        <w:pStyle w:val="TextoNormal"/>
      </w:pPr>
      <w:r>
        <w:t>Alega más adelante el escrito que el derecho a la traducción e interpretación del investigado y acusado se contiene en los arts. 123 a 127 LECrim, previendo el art. 126 que la renuncia a esos derechos debe ser expresa y libre. Cita además el Convenio para la protección de los derechos humanos y de las libertades fundamentales (CEDH), en su art. 6.3 e) (derecho a ser asistido gratuitamente de intérprete si no comprende o no habla la lengua utilizada en la audiencia); la Directiva 2010/64/UE del Parlamento Europeo y del Consejo, de 20 de octubre de 2010, relativa al derecho a interpretación y a traducción en los procesos penales, en sus arts. 2.4, 2.8, 3.1, y 3.7; y la Directiva 2012/13/UE del Parlamento Europeo y del Consejo, de 22 de mayo de 2012 relativa al derecho a la información en los procesos penales, en su art. 3.1. Finaliza la queja diciendo: “Cuanto antecede, por lo demás, sin perder de vista que la Unión Europea constituye un espacio único de libertad, seguridad y Justicia dentro del respeto de los derechos fundamentales y de los distintos sistemas y tradiciones jurídicos de los Estados miembros. En suma, pues, con estimación del presente motivo, procederá declarar vulnerado el derecho fundamental a un proceso con todas las garantías (art. 24.2 CE) y, consecuentemente, revocar y dejar sin efecto las resoluciones impugnadas”.</w:t>
      </w:r>
    </w:p>
    <w:p w:rsidR="005728DD" w:rsidRDefault="005728DD" w:rsidP="005728DD">
      <w:pPr>
        <w:pStyle w:val="TextoNormal"/>
      </w:pPr>
    </w:p>
    <w:p w:rsidR="005728DD" w:rsidRDefault="005728DD" w:rsidP="005728DD">
      <w:pPr>
        <w:pStyle w:val="TextoNormal"/>
      </w:pPr>
      <w:r>
        <w:t>c) El suplico de la demanda interesó que dictáramos sentencia declarando vulnerados los derechos fundamentales a la tutela judicial efectiva sin indefensión (art. 24.1 CE), a la defensa (art. 24.2 CE) y a un proceso con todas las garantías (art. 24.2 CE) del recurrente, acordándose la nulidad de las dos sentencias impugnadas.</w:t>
      </w:r>
    </w:p>
    <w:p w:rsidR="005728DD" w:rsidRDefault="005728DD" w:rsidP="005728DD">
      <w:pPr>
        <w:pStyle w:val="TextoNormal"/>
      </w:pPr>
    </w:p>
    <w:p w:rsidR="005728DD" w:rsidRDefault="005728DD" w:rsidP="005728DD">
      <w:pPr>
        <w:pStyle w:val="TextoNormal"/>
      </w:pPr>
      <w:r w:rsidRPr="005728DD">
        <w:rPr>
          <w:rStyle w:val="NumeroAFNegritaCaracter"/>
        </w:rPr>
        <w:t>4</w:t>
      </w:r>
      <w:r>
        <w:t>. Antes de proveer a la admisión a trámite del recurso, por diligencia de ordenación de la Secretaría de Justicia de la Sala Segunda, Sección Cuarta, de este Tribunal Constitucional, de 11 de julio de 2018, se acordó requerir al Juzgado de lo Penal núm. 4 de Palma de Mallorca y a la Sección Segunda de la Audiencia Provincial de Baleares, a fin de que remitieran certificación o fotocopia adverada, respectivamente, de las actuaciones correspondientes al procedimiento abreviado núm. 297-2016, incluyendo el CD o DVD de la grabación de la vista oral; y del rollo de apelación núm. 2-2018, incluyendo el CD o DVD de la vista en apelación, “si tal vista se hubiere realizado”.</w:t>
      </w:r>
    </w:p>
    <w:p w:rsidR="005728DD" w:rsidRDefault="005728DD" w:rsidP="005728DD">
      <w:pPr>
        <w:pStyle w:val="TextoNormal"/>
      </w:pPr>
    </w:p>
    <w:p w:rsidR="005728DD" w:rsidRDefault="005728DD" w:rsidP="005728DD">
      <w:pPr>
        <w:pStyle w:val="TextoNormal"/>
      </w:pPr>
      <w:r>
        <w:t>Por nueva diligencia de ordenación de la Sección Cuarta, de 17 de septiembre de 2018, y a la vista de lo informado por el Juzgado núm. 4, se acordó requerir al Juzgado de lo Penal núm. 8 de Palma de Mallorca, a fin de que remitiera certificación o fotocopia adverada “de las actuaciones correspondientes a la ejecutoria núm. 1909-2018 con el procedimiento abreviado núm. 297-2016 que fue remitido por el Juzgado de lo Penal nº 4 de Palma de Mallorca”. La misma se reiteró por diligencia de 8 de enero de 2019.</w:t>
      </w:r>
    </w:p>
    <w:p w:rsidR="005728DD" w:rsidRDefault="005728DD" w:rsidP="005728DD">
      <w:pPr>
        <w:pStyle w:val="TextoNormal"/>
      </w:pPr>
    </w:p>
    <w:p w:rsidR="005728DD" w:rsidRDefault="005728DD" w:rsidP="005728DD">
      <w:pPr>
        <w:pStyle w:val="TextoNormal"/>
      </w:pPr>
      <w:r w:rsidRPr="005728DD">
        <w:rPr>
          <w:rStyle w:val="NumeroAFNegritaCaracter"/>
        </w:rPr>
        <w:t>5</w:t>
      </w:r>
      <w:r>
        <w:t>. Una vez recibidas todas las actuaciones, la Sección Cuarta de este tribunal dictó providencia el 8 de abril de 2019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En la misma resolución se acordó dirigir atenta comunicación al Juzgado de lo Penal núm. 8 de Palma de Mallorca, a fin de que “en méritos a la ejecutoria núm. 1909-2018 dimanante del procedimiento abreviado núm. 297-2016 del Juzgado de lo Penal núm. 4 de Palma de Mallorca, proceda a emplazarse, para que en el plazo de diez días puedan comparecer, si lo desean,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t>No se produjeron personaciones en el plazo otorgado.</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26 de junio de 2019, la Secretaría de Justicia de la Sala Segunda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La fiscal ante este Tribunal Constitucional presentó su escrito de alegaciones el 23 de julio de 2019, por el que interesó que dictáramos sentencia estimando la primera queja de la demanda de amparo, declarando haberse vulnerado el derecho de defensa del recurrente (art. 24.2 CE), con nulidad de las dos sentencias impugnadas y orden de retrotraer las actuaciones “al momento inmediatamente anterior a la celebración del juicio oral”.</w:t>
      </w:r>
    </w:p>
    <w:p w:rsidR="005728DD" w:rsidRDefault="005728DD" w:rsidP="005728DD">
      <w:pPr>
        <w:pStyle w:val="TextoNormal"/>
      </w:pPr>
    </w:p>
    <w:p w:rsidR="005728DD" w:rsidRDefault="005728DD" w:rsidP="005728DD">
      <w:pPr>
        <w:pStyle w:val="TextoNormal"/>
      </w:pPr>
      <w:r>
        <w:t xml:space="preserve">a) Luego de hacer referencia y reproducir parte de la fundamentación jurídica de las dos sentencias impugnadas (antecedentes), de resumir las dos quejas de la demanda de amparo (fundamento de Derecho I), y reproducir los fundamentos jurídicos 4 y 5 de la STC 13/2006, de 16 de enero (fundamento de Derecho II del escrito), la fiscal analiza la primera queja en el fundamento de Derecho III de sus alegaciones. En él, luego de recordar la vulneración denunciada, lo sucedido al final de la vista oral ante el juzgado de lo penal </w:t>
      </w:r>
      <w:r w:rsidRPr="005728DD">
        <w:rPr>
          <w:i/>
        </w:rPr>
        <w:t>a quo</w:t>
      </w:r>
      <w:r>
        <w:t xml:space="preserve"> al no otorgarse al acusado el derecho a la última palabra, interrumpido materialmente cuando se dirigió a la juez, y la ulterior respuesta desestimatoria que dio la Sección de la Audiencia Provincial al motivo de apelación interpuesto por este hecho, en cuanto a dar por incumplida la exigencia impuesta por la STC 258/2007, de 18 de diciembre, de haber acreditado la importancia de aquello que el acusado pretendía manifestar, el escrito de alegaciones de la fiscal considera que el caso se aparta de la doctrina que ahí se indica, pues “el recurrente había pretendido hacer uso temporáneo de su legítimo derecho a la autodefensa y que se le había impedido, con lo que ya había justificado </w:t>
      </w:r>
      <w:r w:rsidRPr="005728DD">
        <w:rPr>
          <w:i/>
        </w:rPr>
        <w:t>ab initio</w:t>
      </w:r>
      <w:r>
        <w:t xml:space="preserve"> que se le había causado perjuicio”.</w:t>
      </w:r>
    </w:p>
    <w:p w:rsidR="005728DD" w:rsidRDefault="005728DD" w:rsidP="005728DD">
      <w:pPr>
        <w:pStyle w:val="TextoNormal"/>
      </w:pPr>
    </w:p>
    <w:p w:rsidR="005728DD" w:rsidRDefault="005728DD" w:rsidP="005728DD">
      <w:pPr>
        <w:pStyle w:val="TextoNormal"/>
      </w:pPr>
      <w:r>
        <w:t xml:space="preserve">El criterio de la audiencia sobre el trámite del art. 739 LECrim, prosigue diciendo el escrito, es “reduccionista y margina su contenido constitucional, al entender que en el mismo el acusado solo puede referirse a discrepar con los testimonios de cargo, cuando ello carece de toda base pues el acusado puede exponer, como de manera inconcusa subraya la jurisprudencia tanto constitucional como penal, todo cuanto estime de interés en relación </w:t>
      </w:r>
      <w:r>
        <w:lastRenderedPageBreak/>
        <w:t>con el asunto, tras conocer los informes de las distintas partes procesales, sin que su exposición deba circunscribirse a la discrepancia con los testigos de cargo”. Discrepa también de la exigencia de alegar la trascendencia de lo que hubiera podido decirse en orden a poder alterar el fallo: “ello tampoco tiene un sentido válido, pues parece claro que ni el abogado defensor puede reconstruir un alegato que ignora, pudiendo en todo caso, redactar el que estime más conveniente, sin que de ninguna manera pueda constatarse que era eso lo que iba a exponer su defendido, ni mucho menos puede justificar que ello hubiera convenido a la juzgadora de instancia y alterado el sentido del fallo”.</w:t>
      </w:r>
    </w:p>
    <w:p w:rsidR="005728DD" w:rsidRDefault="005728DD" w:rsidP="005728DD">
      <w:pPr>
        <w:pStyle w:val="TextoNormal"/>
      </w:pPr>
    </w:p>
    <w:p w:rsidR="005728DD" w:rsidRDefault="005728DD" w:rsidP="005728DD">
      <w:pPr>
        <w:pStyle w:val="TextoNormal"/>
      </w:pPr>
      <w:r>
        <w:t>Y niega que la omisión padecida se pudiera salvar arbitrando una vista en apelación, “pues el trámite debe necesariamente producirse al finalizar el plenario para que cumpla su finalidad constitucional y la exposición que la Sala sugiere de forma alguna puede subsanar la quiebra del derecho de defensa padecida pues es sabido que, con carácter general todos los derechos procesales constitucionales deben ser respetados en todas las fases e instancias procesales y, en el caso concreto del derecho a la última palabra, la jurisprudencia es constante en reiterar que su vulneración comporta la nulidad del juicio y la retroacción procedimental pertinente, como la propia Sala de apelación reconoce”.</w:t>
      </w:r>
    </w:p>
    <w:p w:rsidR="005728DD" w:rsidRDefault="005728DD" w:rsidP="005728DD">
      <w:pPr>
        <w:pStyle w:val="TextoNormal"/>
      </w:pPr>
    </w:p>
    <w:p w:rsidR="005728DD" w:rsidRDefault="005728DD" w:rsidP="005728DD">
      <w:pPr>
        <w:pStyle w:val="TextoNormal"/>
      </w:pPr>
      <w:r>
        <w:t>b) Por lo que respecta al segundo y último motivo de la demanda de amparo, la denuncia de vulneración del derecho fundamental a un proceso con todas las garantías (art. 24.2 CE) del recurrente, por haber desconocido el contenido y alcance del auto del Juzgado de Violencia sobre la Mujer de 30 de octubre de 2015, al habérsele notificado personalmente el 10 de noviembre del mismo año pero sin la correspondiente traducción y sin contar en ese acto con la asistencia de un intérprete, auto que le imponía la prohibición de comunicarse con su ex pareja doña Miranda Yvonne o el de acercarse a ella o a los lugares que frecuenta a menos de 500 metros de distancia, el escrito de la fiscal , tras resumir los términos de la queja formulada en la demanda (fundamento de Derecho IV de sus alegaciones), entiende correcta la respuesta desestimatoria dada a esta cuestión en la sentencia de apelación, achacando negligencia a dicha parte procesal, pues “en ningún momento ha solicitado la traducción del auto […], ni tampoco reclamó la presencia de intérprete específico a su comparecencia de fecha 10 de noviembre de 2015 que se efectuó en presencia de su abogado dándose la circunstancia de que alguno de sus defensores estaba habilitado por él para que actuara de intérprete”; y tampoco lo hizo, en fin, “cuando posteriormente compareció nuevamente al juzgado asistido por su letrado y a presencia de intérprete designado por el juzgado, para hacerle el requerimiento en forma manifestó que no hubiera tenido conocimiento exacto de lo que implicaba la resolución judicial ni mucho menos solicitó que le fuese traducida. Tampoco cuando se confeccionó su escrito de defensa se adujo que no se tuviera cabal conocimiento de la prohibición de aproximación a la víctima, dejándose sentado, por el contrario, que tal conocimiento se tenía al habérsele explicado por el juez de violencia”.</w:t>
      </w:r>
    </w:p>
    <w:p w:rsidR="005728DD" w:rsidRDefault="005728DD" w:rsidP="005728DD">
      <w:pPr>
        <w:pStyle w:val="TextoNormal"/>
      </w:pPr>
    </w:p>
    <w:p w:rsidR="005728DD" w:rsidRDefault="005728DD" w:rsidP="005728DD">
      <w:pPr>
        <w:pStyle w:val="TextoNormal"/>
      </w:pPr>
      <w:r>
        <w:t>El escrito añade la cita de la STC 258/2007, FJ 3, en cuanto al derecho a no padecer indefensión, entendiendo que, pese a lo alegado por el recurrente en la demanda, no se afirma ni constata que el derecho de interpretación y traducción le hubiere sido negado “en ninguna de las fases procedimentales, ni en ningún acto procesal”. Concluye así sobre esta segunda y última queja de la demanda, que la “vulneración del derecho al proceso con todas las garantías que ahora se esgrimen [</w:t>
      </w:r>
      <w:r w:rsidRPr="005728DD">
        <w:rPr>
          <w:i/>
        </w:rPr>
        <w:t>sic</w:t>
      </w:r>
      <w:r>
        <w:t>] aparece, por tanto, desprovisto de toda base y por ello no debe ser acogida”.</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Con fecha 29 de julio de 2019 se presentó escrito de la representante procesal del recurrente, manifestando que “nos ratificamos en las alegaciones contenidas en nuestro recurso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Por la Secretaría de Justicia se dictó diligencia “para hacer constar haberse recibido los precedentes escritos de alegaciones del Ministerio Fiscal y de la procuradora doña Isabel Alonso Rodríguez, quedando el presente recurso de amparo pendiente para deliberación cuando por turno corresponda”.</w:t>
      </w:r>
    </w:p>
    <w:p w:rsidR="005728DD" w:rsidRDefault="005728DD" w:rsidP="005728DD">
      <w:pPr>
        <w:pStyle w:val="TextoNormal"/>
      </w:pPr>
    </w:p>
    <w:p w:rsidR="005728DD" w:rsidRDefault="005728DD" w:rsidP="005728DD">
      <w:pPr>
        <w:pStyle w:val="TextoNormal"/>
      </w:pPr>
      <w:r w:rsidRPr="005728DD">
        <w:rPr>
          <w:rStyle w:val="NumeroAFNegritaCaracter"/>
        </w:rPr>
        <w:t>10</w:t>
      </w:r>
      <w:r>
        <w:t>. El Pleno de este Tribunal Constitucional dictó providencia el 5 de septiembre de 2019 del siguiente tenor: “El Pleno, en su reunión de esta fecha y conforme establece el artículo 10.1 n) de la Ley Orgánica del Tribunal, a propuesta de la Sala Segunda, acuerda recabar para sí el conocimiento del recurso de amparo que se tramita en dicha Sala bajo el número 1265-2018, interpuesto por Jerry Aroon-Kumar Rustveld”.</w:t>
      </w:r>
    </w:p>
    <w:p w:rsidR="005728DD" w:rsidRDefault="005728DD" w:rsidP="005728DD">
      <w:pPr>
        <w:pStyle w:val="TextoNormal"/>
      </w:pPr>
    </w:p>
    <w:p w:rsidR="005728DD" w:rsidRDefault="005728DD" w:rsidP="005728DD">
      <w:pPr>
        <w:pStyle w:val="TextoNormal"/>
      </w:pPr>
      <w:r w:rsidRPr="005728DD">
        <w:rPr>
          <w:rStyle w:val="NumeroAFNegritaCaracter"/>
        </w:rPr>
        <w:t>11</w:t>
      </w:r>
      <w:r>
        <w:t>. Mediante providencia de fecha 16 de febrero de 2021, se señaló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 Delimitación de las quejas de la demanda y orden de enjuiciamiento</w:t>
      </w:r>
      <w:r>
        <w:t>.</w:t>
      </w:r>
    </w:p>
    <w:p w:rsidR="005728DD" w:rsidRDefault="005728DD" w:rsidP="005728DD">
      <w:pPr>
        <w:pStyle w:val="TextoNormal"/>
      </w:pPr>
    </w:p>
    <w:p w:rsidR="005728DD" w:rsidRDefault="005728DD" w:rsidP="005728DD">
      <w:pPr>
        <w:pStyle w:val="TextoNormal"/>
      </w:pPr>
      <w:r>
        <w:t>a) Se interpone demanda de amparo contra la sentencia del Juzgado de lo Penal núm. 4 de Palma de Mallorca, de 19 de diciembre de 2016 (procedimiento abreviado 297-2016), que condenó al recurrente como autor de un delito de amenazas leves de género quebrantando una medida cautelar, a las penas de doce meses de prisión, inhabilitación especial para el ejercicio del derecho de sufragio pasivo durante el tiempo de la condena, privación del derecho a la tenencia y porte de armas durante dos años, y la prohibición de que se aproxime a una distancia de 500 metros de su ex pareja doña Miranda Ivonne Stienstra, de su domicilio, lugar de trabajo o cualquier otro frecuentado por esta última, o de comunicarse con ella por cualquier medio, durante cinco años.</w:t>
      </w:r>
    </w:p>
    <w:p w:rsidR="005728DD" w:rsidRDefault="005728DD" w:rsidP="005728DD">
      <w:pPr>
        <w:pStyle w:val="TextoNormal"/>
      </w:pPr>
    </w:p>
    <w:p w:rsidR="005728DD" w:rsidRDefault="005728DD" w:rsidP="005728DD">
      <w:pPr>
        <w:pStyle w:val="TextoNormal"/>
      </w:pPr>
      <w:r>
        <w:t xml:space="preserve">Alega el recurrente que en el proceso de primera instancia se produjo la vulneración de los siguientes derechos fundamentales: (i) a la tutela judicial efectiva sin padecer indefensión (art. 24.1 CE), a la defensa (art. 24.2 CE) y a un proceso con todas las garantías (art. 24.2 CE), debido a la falta de ofrecimiento del derecho a la última palabra por parte de la magistrada-juez, al final de la vista oral, llegando incluso a interrumpirle cuando aquel intentó dirigirse al tribunal; y (ii) la vulneración del mismo derecho fundamental a un proceso con todas las garantías (art. 24.2 CE), por fundarse la condena en el hecho probado de que el recurrente conocía el contenido y alcance de la orden de protección dictada por el Juzgado de Violencia sobre la Mujer núm. 1 de Palma de Mallorca el 30 de octubre de 2015, y notificada el 10 de noviembre del mismo año, sin que la autoridad judicial hubiera proveído a la traducción de dicha resolución judicial, o a la asistencia al recurrente de intérprete cuando se le notificó, negando a fin de cuentas su conocimiento del auto porque no habla castellano y ha necesitado intérprete a lo largo del proceso, lo que impide a su vez apreciar como </w:t>
      </w:r>
      <w:r>
        <w:lastRenderedPageBreak/>
        <w:t>acreditado el elemento subjetivo del delito de quebrantamiento de medida cautelar que se le atribuye.</w:t>
      </w:r>
    </w:p>
    <w:p w:rsidR="005728DD" w:rsidRDefault="005728DD" w:rsidP="005728DD">
      <w:pPr>
        <w:pStyle w:val="TextoNormal"/>
      </w:pPr>
    </w:p>
    <w:p w:rsidR="005728DD" w:rsidRDefault="005728DD" w:rsidP="005728DD">
      <w:pPr>
        <w:pStyle w:val="TextoNormal"/>
      </w:pPr>
      <w:r>
        <w:t>La demanda de amparo se dirige también contra la sentencia dictada el 18 de enero de 2018 (rollo de apelación 2-2018), por la Sección Segunda de la Audiencia Provincial de Baleares, que, al desestimar el recurso de apelación interpuesto contra la sentencia del juzgado, no habría reparado las vulneraciones constitucionales aducidas.</w:t>
      </w:r>
    </w:p>
    <w:p w:rsidR="005728DD" w:rsidRDefault="005728DD" w:rsidP="005728DD">
      <w:pPr>
        <w:pStyle w:val="TextoNormal"/>
      </w:pPr>
    </w:p>
    <w:p w:rsidR="005728DD" w:rsidRDefault="005728DD" w:rsidP="005728DD">
      <w:pPr>
        <w:pStyle w:val="TextoNormal"/>
      </w:pPr>
      <w:r>
        <w:t>La fiscal ante este Tribunal Constitucional ha presentado por su lado escrito de alegaciones en el trámite del art. 52 LOTC, por el que interesa el otorgamiento del amparo por el primero de los dos motivos, con desestimación del segundo por no ser cierta la lesión, dada la pasividad mostrada por la defensa al no solicitar la traducción del auto o la intervención del intérprete, a estos concretos efectos.</w:t>
      </w:r>
    </w:p>
    <w:p w:rsidR="005728DD" w:rsidRDefault="005728DD" w:rsidP="005728DD">
      <w:pPr>
        <w:pStyle w:val="TextoNormal"/>
      </w:pPr>
    </w:p>
    <w:p w:rsidR="005728DD" w:rsidRDefault="005728DD" w:rsidP="005728DD">
      <w:pPr>
        <w:pStyle w:val="TextoNormal"/>
      </w:pPr>
      <w:r>
        <w:t>b) Así planteado el debate, no plantea problemas de intelección la primera de las quejas, referente a las consecuencias de no habérsele ofrecido al recurrente el ejercicio del derecho a la última palabra por el juzgad</w:t>
      </w:r>
      <w:r w:rsidRPr="005728DD">
        <w:rPr>
          <w:i/>
        </w:rPr>
        <w:t>o a q</w:t>
      </w:r>
      <w:r>
        <w:t>uo.</w:t>
      </w:r>
    </w:p>
    <w:p w:rsidR="005728DD" w:rsidRDefault="005728DD" w:rsidP="005728DD">
      <w:pPr>
        <w:pStyle w:val="TextoNormal"/>
      </w:pPr>
    </w:p>
    <w:p w:rsidR="005728DD" w:rsidRDefault="005728DD" w:rsidP="005728DD">
      <w:pPr>
        <w:pStyle w:val="TextoNormal"/>
      </w:pPr>
      <w:r>
        <w:t>Deben hacerse en cambio algunas precisiones en torno a la delimitación de la segunda queja, que gravita alrededor del derecho del acusado a la traducción e interpretación de una resolución judicial, por no conocer el idioma español.</w:t>
      </w:r>
    </w:p>
    <w:p w:rsidR="005728DD" w:rsidRDefault="005728DD" w:rsidP="005728DD">
      <w:pPr>
        <w:pStyle w:val="TextoNormal"/>
      </w:pPr>
    </w:p>
    <w:p w:rsidR="005728DD" w:rsidRDefault="005728DD" w:rsidP="005728DD">
      <w:pPr>
        <w:pStyle w:val="TextoNormal"/>
      </w:pPr>
      <w:r>
        <w:t>(i) Ciertamente, el derecho del sujeto pasivo del proceso penal a ser asistido por un intérprete, goza de anclaje en los derechos fundamentales a no padecer indefensión (art. 24.1 CE) y a la defensa (art. 24.2 CE), tal y como reconoce nuestra doctrina (entre otras, SSTC 188/1991, de 3 de octubre, FJ 3; 181/1994, de 20 de junio, FJ 2; 35/1995, de 6 de febrero, FJ 2; 32/2003, de 13 de febrero, FFJJ 8 a 10, —en procedimiento de extradición—, y 21/2018, de 5 de marzo, FJ 4; también ATC 166/2005, de 19 de abril, FJ 6). Su ejercicio en las distintas fases del proceso penal se regula actualmente en los arts. 118.1 f); 123 a 127; y 520.2 apartados h) y j) LECrim, tras la reforma de estos preceptos por la Ley Orgánica 5/2015, de 27 de abril, (por la que se modifican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 y por la Ley Orgánica 13/2015, de 5 de octubre, (de modificación de la Ley de enjuiciamiento criminal para el fortalecimiento de las garantías procesales y la regulación de las medidas de investigación tecnológica).</w:t>
      </w:r>
    </w:p>
    <w:p w:rsidR="005728DD" w:rsidRDefault="005728DD" w:rsidP="005728DD">
      <w:pPr>
        <w:pStyle w:val="TextoNormal"/>
      </w:pPr>
    </w:p>
    <w:p w:rsidR="005728DD" w:rsidRDefault="005728DD" w:rsidP="005728DD">
      <w:pPr>
        <w:pStyle w:val="TextoNormal"/>
      </w:pPr>
      <w:r>
        <w:t>Ahora bien, en el presente caso, de haberse producido la vulneración por los hechos que se alegan, no lo habría sido en el procedimiento del que traen causa las sentencias aquí impugnadas (a saber, las diligencias del procedimiento abreviado núm. 1102-2015; el procedimiento abreviado 297-2016, o el rollo de apelación núm. 2-2018, de los que se ha hecho mención en los antecedentes); sino en un proceso distinto, las diligencias seguidas con el núm. 1062-2015 por el Juzgado de Violencia sobre la Mujer núm. 1 de Palma de Mallorca, en cuyo devenir fue que se adoptó en fecha 30 de octubre de 2015 el auto con la medida de protección varias veces mencionada.</w:t>
      </w:r>
    </w:p>
    <w:p w:rsidR="005728DD" w:rsidRDefault="005728DD" w:rsidP="005728DD">
      <w:pPr>
        <w:pStyle w:val="TextoNormal"/>
      </w:pPr>
    </w:p>
    <w:p w:rsidR="005728DD" w:rsidRDefault="005728DD" w:rsidP="005728DD">
      <w:pPr>
        <w:pStyle w:val="TextoNormal"/>
      </w:pPr>
      <w:r>
        <w:lastRenderedPageBreak/>
        <w:t>Pero ni ese auto, ni lo sucedido durante su notificación personal al recurrente el día 10 de noviembre de 2015 dentro de esas mismas diligencias 1062-2015, son objeto de impugnación en este amparo, ni consta siquiera que se hubiere presentado iniciativa alguna al juzgado instructor para reparar alguna falta relacionada con ello, por lo que estamos ante actuaciones procesales ajenas a este proceso constitucional y respecto de las que ni siquiera se sabe si se ha cumplido con la subsidiariedad exigible por esta jurisdicción [art. 44.1 a) LOTC].</w:t>
      </w:r>
    </w:p>
    <w:p w:rsidR="005728DD" w:rsidRDefault="005728DD" w:rsidP="005728DD">
      <w:pPr>
        <w:pStyle w:val="TextoNormal"/>
      </w:pPr>
    </w:p>
    <w:p w:rsidR="005728DD" w:rsidRDefault="005728DD" w:rsidP="005728DD">
      <w:pPr>
        <w:pStyle w:val="TextoNormal"/>
      </w:pPr>
      <w:r>
        <w:t xml:space="preserve">(ii) La lectura de las actuaciones remitidas a este tribunal evidencia, en lo que concierne al proceso </w:t>
      </w:r>
      <w:r w:rsidRPr="005728DD">
        <w:rPr>
          <w:i/>
        </w:rPr>
        <w:t>a quo</w:t>
      </w:r>
      <w:r>
        <w:t xml:space="preserve"> del que sí dimanan las sentencias aquí recurridas, que durante la primera instancia nada se dijo por la defensa del acusado aquí recurrente, ni ante el juzgado instructor, ni en el escrito de defensa presentado durante la llamada fase intermedia del proceso, ni ante el juzgado de lo penal al inicio, durante o al final de la vista oral en el trámite de conclusiones definitivas, en relación con una supuesta lesión del derecho a la defensa o a un proceso con todas las garantías o a cualquier otro derecho fundamental, derivado de la falta de traducción del auto de 30 de octubre de 2015, o de la no actuación de intérprete el día de su notificación al recurrente.</w:t>
      </w:r>
    </w:p>
    <w:p w:rsidR="005728DD" w:rsidRDefault="005728DD" w:rsidP="005728DD">
      <w:pPr>
        <w:pStyle w:val="TextoNormal"/>
      </w:pPr>
    </w:p>
    <w:p w:rsidR="005728DD" w:rsidRDefault="005728DD" w:rsidP="005728DD">
      <w:pPr>
        <w:pStyle w:val="TextoNormal"/>
      </w:pPr>
      <w:r>
        <w:t>Es en el escrito de apelación cuando se introduce este motivo de impugnación, lo que implica, si se aceptara la tesis de vulneración de una garantía formal que parece proponer la demanda de amparo, que se estaría ante un motivo en todo caso inadmisible, por no haber cumplido con el requisito del art. 44.1 c) LOTC, esto es, no haber denunciado la existencia de la lesión tan pronto como esta se produjo, que fue durante la primera instancia del proceso penal, al ingresar el auto y la diligencia de notificación a las actuaciones de las diligencias previas núm. 1102-2015. Se incurriría así en lo que la doctrina reiterada de este tribunal califica como una denuncia tardía y, como tal, extemporánea, de la lesión constitucional, en cuyo examen no cabría por tanto entrar. Entre otras, SSTC 171/1992, de 26 de octubre, FJ 4; 190/2006, de 19 de junio, FJ 2, y 95/2018, de 17 de septiembre, FJ 2 c); así como el ATC 83/2018, de 25 de julio, FJ 2 (y las resoluciones que en aquellas y este se citan).</w:t>
      </w:r>
    </w:p>
    <w:p w:rsidR="005728DD" w:rsidRDefault="005728DD" w:rsidP="005728DD">
      <w:pPr>
        <w:pStyle w:val="TextoNormal"/>
      </w:pPr>
    </w:p>
    <w:p w:rsidR="005728DD" w:rsidRDefault="005728DD" w:rsidP="005728DD">
      <w:pPr>
        <w:pStyle w:val="TextoNormal"/>
      </w:pPr>
      <w:r>
        <w:t>(iii) En realidad, el propósito buscado con la deducción de esta queja en la demanda de amparo, no es ciertamente lograr que se repare el derecho a la traducción e interpretación de la resolución judicial que se dice inobservado (cosa que en ningún momento se pide), sino negar la eficacia del acto de notificación del auto de 30 de octubre de 2015 llevado a cabo el 10 de noviembre de 2015, como fuente de conocimiento por el entonces investigado, de la orden de protección dictada en su contra y en favor de su ex pareja, y de las consecuencias que suponía su incumplimiento en cuanto a incurrir en el delito de quebrantamiento de medida cautelar. Lo pretendido por la demanda no es otra cosa sino cuestionar el valor como prueba de cargo de aquella notificación respecto de la acreditación del elemento subjetivo del tipo del art. 171.4 CP aplicado, lo que enlaza más propiamente con una denuncia de vulneración del derecho a la presunción de inocencia (art. 24.2 CE). Este enfoque de la queja acertadamente se aducía en el escrito de apelación, pero se suprimió en su traslación a la demanda de amparo, resultando del resto sustancialmente coincidente la argumentación planteada en ambos escritos.</w:t>
      </w:r>
    </w:p>
    <w:p w:rsidR="005728DD" w:rsidRDefault="005728DD" w:rsidP="005728DD">
      <w:pPr>
        <w:pStyle w:val="TextoNormal"/>
      </w:pPr>
    </w:p>
    <w:p w:rsidR="005728DD" w:rsidRDefault="005728DD" w:rsidP="005728DD">
      <w:pPr>
        <w:pStyle w:val="TextoNormal"/>
      </w:pPr>
      <w:r>
        <w:t xml:space="preserve">Siendo ello así, y a fin de colmar las posibilidades de tutela constitucional del recurrente en este amparo, cabe calificar materialmente la queja deducida como vulneración del derecho a la presunción de inocencia (art. 24.2 CE), teniendo reconocido este tribunal, de manera </w:t>
      </w:r>
      <w:r>
        <w:lastRenderedPageBreak/>
        <w:t>reiterada, la facultad que en todo caso resulta respetuosa con el principio dispositivo que rige el proceso de amparo, de poder “ajustar el encuadramiento constitucional de la pretensión formulada acogiendo el criterio de flexibilidad en la tutela de los derechos fundamentales reiterado en nuestra doctrina (SSTC 17/1989, de 30 de enero, FJ 3; 184/1992, de 16 de noviembre, FJ 2; 99/2000, de 10 de abril, FJ 6; 19/2001, de 29 de enero, FJ 3; 35/2006, de 13 de febrero, FJ 2, y 63/2009, de 9 de marzo, FJ 4)” (STC 191/2011, de 12 de diciembre, FJ 6).</w:t>
      </w:r>
    </w:p>
    <w:p w:rsidR="005728DD" w:rsidRDefault="005728DD" w:rsidP="005728DD">
      <w:pPr>
        <w:pStyle w:val="TextoNormal"/>
      </w:pPr>
    </w:p>
    <w:p w:rsidR="005728DD" w:rsidRDefault="005728DD" w:rsidP="005728DD">
      <w:pPr>
        <w:pStyle w:val="TextoNormal"/>
      </w:pPr>
      <w:r>
        <w:t>c) Delimitadas las dos quejas de la demanda de amparo, procede establecer el orden de examen de cada una. A tal efecto debemos traer a colación nuestra doctrina ya inveterada, en cuya virtud, “[e]n cuanto al orden desde el que han de examinarse las vulneraciones alegadas, adoptaremos el criterio de la mayor retroacción tomando en consideración tanto ‘las exigencias de tutela subjetiva de la posición jurídica del actor’ [arts. 53.2 y 161.1 b) CE y art. 41 LOTC], como ‘la función objetiva que, tras la reforma operada por la Ley Orgánica 6/2007, de 24 de mayo, cumple el proceso constitucional de amparo’ [art. 50.1 b) LOTC].</w:t>
      </w:r>
    </w:p>
    <w:p w:rsidR="005728DD" w:rsidRDefault="005728DD" w:rsidP="005728DD">
      <w:pPr>
        <w:pStyle w:val="TextoNormal"/>
      </w:pPr>
    </w:p>
    <w:p w:rsidR="005728DD" w:rsidRDefault="005728DD" w:rsidP="005728DD">
      <w:pPr>
        <w:pStyle w:val="TextoNormal"/>
      </w:pPr>
      <w:r>
        <w:t>Conforme a este criterio, debe priorizarse el estudio de aquellas quejas que, en caso de prosperar, habrían de determinar la retroacción a un momento procesal anterior, haciendo innecesario el pronunciamiento sobre las restantes (SSTC 90/2010, de 15 de noviembre, FJ 2; 25/2012, de 27 de febrero, FJ 2, y las que en ellas se citan), sin menoscabar por ello la subsidiariedad característica del amparo. Así lo afirman también las SSTC 152/2015, de 6 de julio, FJ 3; 180/2015, de 7 de septiembre, FJ 3; 83/2018, de 16 de julio, FJ 2; 101/2018, de 1 de octubre, FJ 2, o 124/2019, de 28 de octubre, FJ 2, que aplican la lógica de la mayor retroacción con el fin de asegurar la más amplia tutela de los derechos fundamentales” [STC 47/2020, de 15 de junio, FJ 2; en el mismo sentido SSTC 49/2020, de 15 de junio, FJ 2; 87/2020, de 20 de julio, FJ 4 B); 102/2020, de 21 de septiembre, FJ 2, y 125/2020, de 21 de septiembre, FJ 3, así como las anteriores que en ellas se citan].</w:t>
      </w:r>
    </w:p>
    <w:p w:rsidR="005728DD" w:rsidRDefault="005728DD" w:rsidP="005728DD">
      <w:pPr>
        <w:pStyle w:val="TextoNormal"/>
      </w:pPr>
    </w:p>
    <w:p w:rsidR="005728DD" w:rsidRDefault="005728DD" w:rsidP="005728DD">
      <w:pPr>
        <w:pStyle w:val="TextoNormal"/>
      </w:pPr>
      <w:r>
        <w:t>Con aplicación de esta doctrina, procede que analicemos las quejas en el mismo orden que se exponen en la demanda de amparo, puesto que la que produciría una mayor retroacción del procedimiento en caso de estimarse, sería la referida a la denegación del derecho a la última palabra al acusado, en cuanto producida al final, aunque todavía dentro, de la vista oral de la causa, y por ello del proceso en primera instancia.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sobre el derecho a la última palabra como manifestación del derecho a la autodefensa del acusado en el proceso penal</w:t>
      </w:r>
      <w:r>
        <w:t>.</w:t>
      </w:r>
    </w:p>
    <w:p w:rsidR="005728DD" w:rsidRDefault="005728DD" w:rsidP="005728DD">
      <w:pPr>
        <w:pStyle w:val="TextoNormal"/>
      </w:pPr>
    </w:p>
    <w:p w:rsidR="005728DD" w:rsidRDefault="005728DD" w:rsidP="005728DD">
      <w:pPr>
        <w:pStyle w:val="TextoNormal"/>
      </w:pPr>
      <w:r>
        <w:t>La demanda de amparo, se ha dicho ya, alega que se han vulnerado los derechos del recurrente a la defensa en juicio y a un proceso con todas las garantías, al no haber dispuesto de la posibilidad de dirigirse al tribunal sentenciador en ejercicio del derecho a la última palabra que garantiza el art. 739 LECrim, precepto inserto en la regulación del proceso por delitos graves pero que resulta de aplicación al proceso abreviado aquí seguido, dada la cláusula de supletoriedad del art. 758 de la misma LECrim.</w:t>
      </w:r>
    </w:p>
    <w:p w:rsidR="005728DD" w:rsidRDefault="005728DD" w:rsidP="005728DD">
      <w:pPr>
        <w:pStyle w:val="TextoNormal"/>
      </w:pPr>
    </w:p>
    <w:p w:rsidR="005728DD" w:rsidRDefault="005728DD" w:rsidP="005728DD">
      <w:pPr>
        <w:pStyle w:val="TextoNormal"/>
      </w:pPr>
      <w:r>
        <w:t>El referido art. 739 dispone que una vez practicada la prueba en la vista oral de la primera o única instancia, así como los trámites de conclusiones finales e informes:</w:t>
      </w:r>
    </w:p>
    <w:p w:rsidR="005728DD" w:rsidRDefault="005728DD" w:rsidP="005728DD">
      <w:pPr>
        <w:pStyle w:val="TextoNormal"/>
      </w:pPr>
    </w:p>
    <w:p w:rsidR="005728DD" w:rsidRDefault="005728DD" w:rsidP="005728DD">
      <w:pPr>
        <w:pStyle w:val="TextoNormal"/>
      </w:pPr>
      <w:r>
        <w:lastRenderedPageBreak/>
        <w:t>“Terminadas la acusación y la defensa, el presidente preguntará a los procesados si tienen algo que manifestar al tribunal.</w:t>
      </w:r>
    </w:p>
    <w:p w:rsidR="005728DD" w:rsidRDefault="005728DD" w:rsidP="005728DD">
      <w:pPr>
        <w:pStyle w:val="TextoNormal"/>
      </w:pPr>
    </w:p>
    <w:p w:rsidR="005728DD" w:rsidRDefault="005728DD" w:rsidP="005728DD">
      <w:pPr>
        <w:pStyle w:val="TextoNormal"/>
      </w:pPr>
      <w:r>
        <w:t>Al que contestare afirmativamente le será concedida la palabra.</w:t>
      </w:r>
    </w:p>
    <w:p w:rsidR="005728DD" w:rsidRDefault="005728DD" w:rsidP="005728DD">
      <w:pPr>
        <w:pStyle w:val="TextoNormal"/>
      </w:pPr>
    </w:p>
    <w:p w:rsidR="005728DD" w:rsidRDefault="005728DD" w:rsidP="005728DD">
      <w:pPr>
        <w:pStyle w:val="TextoNormal"/>
      </w:pPr>
      <w:r>
        <w:t>El presidente cuidará de que los procesados, al usarla, no ofendan la moral ni falten al respeto debido al tribunal ni a las consideraciones correspondientes a todas las personas, y que se ciñan a lo que sea pertinente, retirándoles la palabra en caso necesario”.</w:t>
      </w:r>
    </w:p>
    <w:p w:rsidR="005728DD" w:rsidRDefault="005728DD" w:rsidP="005728DD">
      <w:pPr>
        <w:pStyle w:val="TextoNormal"/>
      </w:pPr>
    </w:p>
    <w:p w:rsidR="005728DD" w:rsidRDefault="005728DD" w:rsidP="005728DD">
      <w:pPr>
        <w:pStyle w:val="TextoNormal"/>
      </w:pPr>
      <w:r>
        <w:t xml:space="preserve">Resulta indiscutido que la magistrada-juez del órgano </w:t>
      </w:r>
      <w:r w:rsidRPr="005728DD">
        <w:rPr>
          <w:i/>
        </w:rPr>
        <w:t>a quo</w:t>
      </w:r>
      <w:r>
        <w:t xml:space="preserve"> no se dirigió al acusado aquí demandante de amparo para advertirle —y en esa medida ofrecerle su ejercicio— de su derecho a manifestar lo que tuviera por conveniente, antes de poner fin al acto del juicio. Antes bien, le conminó a guardar silencio cuando aquel intentó decir algunas palabras mientras aquella pronunciaba sentencia </w:t>
      </w:r>
      <w:r w:rsidRPr="005728DD">
        <w:rPr>
          <w:i/>
        </w:rPr>
        <w:t>in voce</w:t>
      </w:r>
      <w:r>
        <w:t>. Así se evidencia de la reproducción de la grabación audiovisual de la vista oral, lo reconoce expresamente la sentencia de apelación, y están de acuerdo las partes aquí personadas (recurrente y fiscal ante este tribunal). No suscitando debate pues el presupuesto fáctico sobre el que se asienta la queja, lo que ha de dilucidarse es precisamente la efectiva relevancia constitucional del trámite omitido al que se hace referencia, la del derecho a la última palabra.</w:t>
      </w:r>
    </w:p>
    <w:p w:rsidR="005728DD" w:rsidRDefault="005728DD" w:rsidP="005728DD">
      <w:pPr>
        <w:pStyle w:val="TextoNormal"/>
      </w:pPr>
    </w:p>
    <w:p w:rsidR="005728DD" w:rsidRDefault="005728DD" w:rsidP="005728DD">
      <w:pPr>
        <w:pStyle w:val="TextoNormal"/>
      </w:pPr>
      <w:r>
        <w:t>Varias han sido las ocasiones en las que nos hemos pronunciado acerca de dicha relevancia, y en todas ellas el criterio rector ha sido siempre considerarla una garantía esencial para asegurar la autodefensa del acusado en el proceso penal, de modo que su sola denegación comporta la vulneración de derechos fundamentales del art. 24 CE, en cuanto se verifique tal circunstancia, sin otra exigencia añadida. Este criterio rector, que solo se ha modulado en un único aspecto por la STC 258/2007 a la que haremos referencia en el próximo fundamento jurídico, se desglosa en varios enunciados que guardan relación entre sí, los cuales cabe ordenar como sigue:</w:t>
      </w:r>
    </w:p>
    <w:p w:rsidR="005728DD" w:rsidRDefault="005728DD" w:rsidP="005728DD">
      <w:pPr>
        <w:pStyle w:val="TextoNormal"/>
      </w:pPr>
    </w:p>
    <w:p w:rsidR="005728DD" w:rsidRDefault="005728DD" w:rsidP="005728DD">
      <w:pPr>
        <w:pStyle w:val="TextoNormal"/>
      </w:pPr>
      <w:r>
        <w:t xml:space="preserve">A) </w:t>
      </w:r>
      <w:r w:rsidRPr="005728DD">
        <w:rPr>
          <w:i/>
        </w:rPr>
        <w:t>El derecho a la última palabra se integra en el derecho fundamental a la defensa y a la asistencia de letrado (art. 24.2 CE), y en el derecho a un proceso con todas las garantías (art. 24.2 CE</w:t>
      </w:r>
      <w:r>
        <w:t>).</w:t>
      </w:r>
    </w:p>
    <w:p w:rsidR="005728DD" w:rsidRDefault="005728DD" w:rsidP="005728DD">
      <w:pPr>
        <w:pStyle w:val="TextoNormal"/>
      </w:pPr>
    </w:p>
    <w:p w:rsidR="005728DD" w:rsidRDefault="005728DD" w:rsidP="005728DD">
      <w:pPr>
        <w:pStyle w:val="TextoNormal"/>
      </w:pPr>
      <w:r>
        <w:t>a) La doctrina de este tribunal ha venido interpretando que la cláusula del art. 24.2 CE, en cuya virtud “todos tienen derecho […] a la defensa y a la asistencia de letrado”, goza de un contenido amplio en cuanto la misma “tiene por finalidad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(por todas, SSTC 71/1999, de 26 de abril, FJ 3; 217/2000, de 18 de septiembre, FJ 2; 101/2002, de 6 de mayo, FJ 2, y 130/2003, de 30 de junio, FJ 2)” (STC 141/2005, de 6 de junio, FJ 2).</w:t>
      </w:r>
    </w:p>
    <w:p w:rsidR="005728DD" w:rsidRDefault="005728DD" w:rsidP="005728DD">
      <w:pPr>
        <w:pStyle w:val="TextoNormal"/>
      </w:pPr>
    </w:p>
    <w:p w:rsidR="005728DD" w:rsidRDefault="005728DD" w:rsidP="005728DD">
      <w:pPr>
        <w:pStyle w:val="TextoNormal"/>
      </w:pPr>
      <w:r>
        <w:t xml:space="preserve">Dentro de ese contenido amplio, y en lo que aquí importa, cabe distinguir de un lado entre el derecho a la autodefensa de las partes dentro de todo proceso, cuyas concretas manifestaciones y alcance modula en cada caso la ley, y de otro lado el derecho de aquellas a contar con representación procesal y asesoramiento jurídico en todo estado y grado de la causa, lo que a su vez y por lo que atañe al acusado en el proceso penal, salvo excepciones </w:t>
      </w:r>
      <w:r>
        <w:lastRenderedPageBreak/>
        <w:t>(procedimiento para el enjuiciamiento de delitos leves) resulta además una intervención preceptiva e indisponible.</w:t>
      </w:r>
    </w:p>
    <w:p w:rsidR="005728DD" w:rsidRDefault="005728DD" w:rsidP="005728DD">
      <w:pPr>
        <w:pStyle w:val="TextoNormal"/>
      </w:pPr>
    </w:p>
    <w:p w:rsidR="005728DD" w:rsidRDefault="005728DD" w:rsidP="005728DD">
      <w:pPr>
        <w:pStyle w:val="TextoNormal"/>
      </w:pPr>
      <w:r>
        <w:t>En palabras de la STC 181/1994, de 20 de junio, FJ 3, que reiteran las posteriores SSTC 93/2005, de 18 de abril, FJ 3, y 13/2006, de 16 de enero, FJ 4:</w:t>
      </w:r>
    </w:p>
    <w:p w:rsidR="005728DD" w:rsidRDefault="005728DD" w:rsidP="005728DD">
      <w:pPr>
        <w:pStyle w:val="TextoNormal"/>
      </w:pPr>
    </w:p>
    <w:p w:rsidR="005728DD" w:rsidRDefault="005728DD" w:rsidP="005728DD">
      <w:pPr>
        <w:pStyle w:val="TextoNormal"/>
      </w:pPr>
      <w:r>
        <w:t>“El derecho a la defensa comprende, en este aspecto, no solo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Es el caso que la nuestra en el proceso penal (art. 739 LECrim) ofrece al acusado el ‘derecho a la última palabra’ (sentencia del Tribunal Supremo de 16 de julio de 1984)”.</w:t>
      </w:r>
    </w:p>
    <w:p w:rsidR="005728DD" w:rsidRDefault="005728DD" w:rsidP="005728DD">
      <w:pPr>
        <w:pStyle w:val="TextoNormal"/>
      </w:pPr>
    </w:p>
    <w:p w:rsidR="005728DD" w:rsidRDefault="005728DD" w:rsidP="005728DD">
      <w:pPr>
        <w:pStyle w:val="TextoNormal"/>
      </w:pPr>
      <w:r>
        <w:t>b) A partir de esta distinción, hemos identificado el ejercicio del derecho a la última palabra del acusado como una manifestación de su derecho a la autodefensa, incluido por tanto en aquella cláusula del art. 24.2 CE:</w:t>
      </w:r>
    </w:p>
    <w:p w:rsidR="005728DD" w:rsidRDefault="005728DD" w:rsidP="005728DD">
      <w:pPr>
        <w:pStyle w:val="TextoNormal"/>
      </w:pPr>
    </w:p>
    <w:p w:rsidR="005728DD" w:rsidRDefault="005728DD" w:rsidP="005728DD">
      <w:pPr>
        <w:pStyle w:val="TextoNormal"/>
      </w:pPr>
      <w:r>
        <w:t>(i) En la STC 181/1994, FJ 3, ya citada, se dice (reiterándolo luego las SSTC 29/1995, FJ 6; 93/2005, FJ 3, y 13/2006, FJ 4) que el ofrecimiento del derecho de palabra al acusado al final del juicio opera:</w:t>
      </w:r>
    </w:p>
    <w:p w:rsidR="005728DD" w:rsidRDefault="005728DD" w:rsidP="005728DD">
      <w:pPr>
        <w:pStyle w:val="TextoNormal"/>
      </w:pPr>
    </w:p>
    <w:p w:rsidR="005728DD" w:rsidRDefault="005728DD" w:rsidP="005728DD">
      <w:pPr>
        <w:pStyle w:val="TextoNormal"/>
      </w:pPr>
      <w:r>
        <w:t>“[N]o como una mera formalidad, sino —en palabras del fiscal que la Sala asume—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w:t>
      </w:r>
    </w:p>
    <w:p w:rsidR="005728DD" w:rsidRDefault="005728DD" w:rsidP="005728DD">
      <w:pPr>
        <w:pStyle w:val="TextoNormal"/>
      </w:pPr>
    </w:p>
    <w:p w:rsidR="005728DD" w:rsidRDefault="005728DD" w:rsidP="005728DD">
      <w:pPr>
        <w:pStyle w:val="TextoNormal"/>
      </w:pPr>
      <w:r>
        <w:t>(ii) Con más detalle, la STC 29/1995, de 6 de febrero, FJ 3, desgrana las principales manifestaciones del derecho a la defensa propia en nuestro proceso penal, entre las cuales se incluye la última palabra del acusado ante el tribunal que le juzga:</w:t>
      </w:r>
    </w:p>
    <w:p w:rsidR="005728DD" w:rsidRDefault="005728DD" w:rsidP="005728DD">
      <w:pPr>
        <w:pStyle w:val="TextoNormal"/>
      </w:pPr>
    </w:p>
    <w:p w:rsidR="005728DD" w:rsidRDefault="005728DD" w:rsidP="005728DD">
      <w:pPr>
        <w:pStyle w:val="TextoNormal"/>
      </w:pPr>
      <w:r>
        <w:t xml:space="preserve">“El derecho a la defensa privada o derecho a defenderse por sí mismo, aun en el contexto de una cultura jurídica como la nuestra, caracterizada por el predominio de la defensa técnica, forma parte, ciertamente, del derecho más genérico, reconocido en el art. 24.2 CE, ‘a la defensa’, algunas de cuyas manifestaciones instrumentales aparecen expresamente en el propio precepto: así los derechos a ser informado de la acusación, a utilizar los medios de prueba, a no declarar contra sí mismo, o el derecho a no confesarse culpable. Este tribunal ha tenido ocasión de proclamarlo, con el apoyo interpretativo, dispuesto por la propia Constitución, del art. 6.3 c) CEDH, asumiendo la declaración contenida en la referida sentencia del Tribunal Europeo de Derechos Humanos de 25 de abril de 1983 (‘caso </w:t>
      </w:r>
      <w:r w:rsidRPr="005728DD">
        <w:rPr>
          <w:i/>
        </w:rPr>
        <w:t>Pakelli</w:t>
      </w:r>
      <w:r>
        <w:t xml:space="preserve">’) según la cual dicho precepto ‘garantiza tres derechos al acusado: a defenderse por sí mismo, a defenderse mediante asistencia letrada de su elección y, en determinadas condiciones, a recibir asistencia letrada gratuita’, sin que la opción en favor de una de esas tres posibles formas de defensa implique la renuncia o la imposibilidad de ejercer alguna de las otras, </w:t>
      </w:r>
      <w:r>
        <w:lastRenderedPageBreak/>
        <w:t>siempre que sea necesario, para dar realidad efectiva en cada caso a la defensa en un juicio penal (STC 37/1988, fundamento jurídico 6). Más recientemente, hemos señalado cómo ‘el derecho a la defensa comprende, en este aspecto, no solo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(STC 181/1994, fundamento jurídico 3).</w:t>
      </w:r>
    </w:p>
    <w:p w:rsidR="005728DD" w:rsidRDefault="005728DD" w:rsidP="005728DD">
      <w:pPr>
        <w:pStyle w:val="TextoNormal"/>
      </w:pPr>
    </w:p>
    <w:p w:rsidR="005728DD" w:rsidRDefault="005728DD" w:rsidP="005728DD">
      <w:pPr>
        <w:pStyle w:val="TextoNormal"/>
      </w:pPr>
      <w:r>
        <w:t>Con arreglo a este entendimiento o interpretación del art. 24.2 CE en relación con el art. 6.3 c) CEDH, el derecho a defenderse por sí mismo no se agota, aun comprendiéndolo en determinados supuestos, en su dimensión de derecho alternativo al derecho a la asistencia técnica, sino que posee siempre un contenido propio, relativamente autónomo, en cuanto expresión del carácter, en cierto modo, dual de la defensa penal, integrada normalmente por la concurrencia de dos sujetos procesales, el imputado y su abogado defensor, con independencia del desigual protagonismo de ambos. Expresiones o manifestaciones de esta defensa personal o privada se encuentran en nuestra Ley de enjuiciamiento criminal tanto en el proceso penal ordinario como en el abreviado y, singularmente, en el juicio de faltas.</w:t>
      </w:r>
    </w:p>
    <w:p w:rsidR="005728DD" w:rsidRDefault="005728DD" w:rsidP="005728DD">
      <w:pPr>
        <w:pStyle w:val="TextoNormal"/>
      </w:pPr>
    </w:p>
    <w:p w:rsidR="005728DD" w:rsidRDefault="005728DD" w:rsidP="005728DD">
      <w:pPr>
        <w:pStyle w:val="TextoNormal"/>
      </w:pPr>
      <w:r>
        <w:t>Así cabe citar, en la fase instructora, la proposición verbal de la recusación del juez instructor por parte del procesado privado de libertad en régimen de incomunicación (art. 58 LECrim); la asistencia personal a la diligencias de investigación (art. 302 LECrim) y, en particular, la posibilidad de formular observaciones en la diligencia de inspección ocular (art. 333 LECrim) y en las diligencias sobre el ‘cuerpo del delito’ (art. 336.2 LECrim); la posibilidad de nombramiento de peritos (arts. 350.2, 356 y 471.2 LECrim); la solicitud de práctica de la diligencia de identificación (art. 368 LECrim); la posibilidad de oponerse personalmente al auto de elevación de la detención a prisión provisional (art. 501 LECrim), o finalmente, y como posibilidad más significativa, la de declarar cuantas veces quiera y cuanto estime pertinente para su defensa a lo largo del sumario (arts. 396 y 400 LECrim). Por su parte, en la fase de juicio oral, cabe señalar cómo previamente al desarrollo de los debates el acusado puede plantear su conformidad a la pena solicitada por la acusación (arts. 655 y 793.3 LECrim), así como ejercitar su ‘derecho a la última palabra’ (art. 739 LECrim)”.</w:t>
      </w:r>
    </w:p>
    <w:p w:rsidR="005728DD" w:rsidRDefault="005728DD" w:rsidP="005728DD">
      <w:pPr>
        <w:pStyle w:val="TextoNormal"/>
      </w:pPr>
    </w:p>
    <w:p w:rsidR="005728DD" w:rsidRDefault="005728DD" w:rsidP="005728DD">
      <w:pPr>
        <w:pStyle w:val="TextoNormal"/>
      </w:pPr>
      <w:r>
        <w:t>Y en el fundamento jurídico 6 de la misma STC 29/1995:</w:t>
      </w:r>
    </w:p>
    <w:p w:rsidR="005728DD" w:rsidRDefault="005728DD" w:rsidP="005728DD">
      <w:pPr>
        <w:pStyle w:val="TextoNormal"/>
      </w:pPr>
    </w:p>
    <w:p w:rsidR="005728DD" w:rsidRDefault="005728DD" w:rsidP="005728DD">
      <w:pPr>
        <w:pStyle w:val="TextoNormal"/>
      </w:pPr>
      <w:r>
        <w:t>“Igualmente, por lo que hace a la posterior fase de juicio oral, conviene destacar la importancia del ‘derecho a la última palabra’, con independencia de otras expresiones del derecho a la autodefensa contenidas en los arts. 655, 708, 713 y 793.3 LECrim”.</w:t>
      </w:r>
    </w:p>
    <w:p w:rsidR="005728DD" w:rsidRDefault="005728DD" w:rsidP="005728DD">
      <w:pPr>
        <w:pStyle w:val="TextoNormal"/>
      </w:pPr>
    </w:p>
    <w:p w:rsidR="005728DD" w:rsidRDefault="005728DD" w:rsidP="005728DD">
      <w:pPr>
        <w:pStyle w:val="TextoNormal"/>
      </w:pPr>
      <w:r>
        <w:t>(iii) También respecto de la fase de juicio oral, han destacado la importancia del derecho a la última palabra como vertiente de la autodefensa, la STC 91/2000, de 30 de marzo, FJ 13, y el ATC 86/2011, de 9 de junio, FJ 5 a) y c):</w:t>
      </w:r>
    </w:p>
    <w:p w:rsidR="005728DD" w:rsidRDefault="005728DD" w:rsidP="005728DD">
      <w:pPr>
        <w:pStyle w:val="TextoNormal"/>
      </w:pPr>
    </w:p>
    <w:p w:rsidR="005728DD" w:rsidRDefault="005728DD" w:rsidP="005728DD">
      <w:pPr>
        <w:pStyle w:val="TextoNormal"/>
      </w:pPr>
      <w:r>
        <w:t xml:space="preserve">“En el proceso penal, el derecho del acusado a estar presente en la vista oral no es únicamente una exigencia del principio de contradicción, sino el instrumento que hace posible el ejercicio del derecho de autodefensa para contestar a las imputaciones de hechos que, referidas a su propia conducta, conforman la pretensión acusatoria. Solo mediante la presencia física en el acto del juicio puede prestarse o negarse la conformidad a la acusación, puede </w:t>
      </w:r>
      <w:r>
        <w:lastRenderedPageBreak/>
        <w:t>convertirse la declaración del acusado en un acto de defensa, puede interrogarse a los testigos y ser examinado por estos, puede coordinarse la defensa que se ejerce a través de la asistencia técnica del letrado, y, en fin, puede ejercerse el derecho a la última palabra que, en nuestro ordenamiento, hemos reconocido como una manifestación del derecho de autodefensa (STC 181/1994, de 20 de junio). La vista oral no es una simple secuencia del proceso penal, sino el momento decisivo en el que con publicidad y plena contradicción se debate acerca de la fundamentación de las pretensiones de condena y la fuerza de convicción de las pruebas aportadas por la acusación y la defensa”.</w:t>
      </w:r>
    </w:p>
    <w:p w:rsidR="005728DD" w:rsidRDefault="005728DD" w:rsidP="005728DD">
      <w:pPr>
        <w:pStyle w:val="TextoNormal"/>
      </w:pPr>
    </w:p>
    <w:p w:rsidR="005728DD" w:rsidRDefault="005728DD" w:rsidP="005728DD">
      <w:pPr>
        <w:pStyle w:val="TextoNormal"/>
      </w:pPr>
      <w:r>
        <w:t>c) El derecho a la última palabra tiene un contenido propio, separable del derecho del acusado a ser oído en interrogatorio.</w:t>
      </w:r>
    </w:p>
    <w:p w:rsidR="005728DD" w:rsidRDefault="005728DD" w:rsidP="005728DD">
      <w:pPr>
        <w:pStyle w:val="TextoNormal"/>
      </w:pPr>
    </w:p>
    <w:p w:rsidR="005728DD" w:rsidRDefault="005728DD" w:rsidP="005728DD">
      <w:pPr>
        <w:pStyle w:val="TextoNormal"/>
      </w:pPr>
      <w:r>
        <w:t>Señalamos en este punto en la STC 13/2006, FJ 4, que:</w:t>
      </w:r>
    </w:p>
    <w:p w:rsidR="005728DD" w:rsidRDefault="005728DD" w:rsidP="005728DD">
      <w:pPr>
        <w:pStyle w:val="TextoNormal"/>
      </w:pPr>
    </w:p>
    <w:p w:rsidR="005728DD" w:rsidRDefault="005728DD" w:rsidP="005728DD">
      <w:pPr>
        <w:pStyle w:val="TextoNormal"/>
      </w:pPr>
      <w:r>
        <w:t>“El derecho a la última palabra constituye así una nueva garantía del derecho de defensa que entronca con el principio constitucional de contradicción y que posee un contenido y cometido propio bien definido. Se trata de una regla del proceso que, enmarcada dentro del derecho de defensa, no se confunde con este, por cuanto no solo constituye una garantía añadida a la defensa letrada, al tratarse de la posibilidad procesal de autodefensa del acusado (STC 91/2000, de 30 de marzo, FJ 13), sino que debe igualmente diferenciarse del derecho a ser oído mediante la posibilidad de interrogación o confesión cuya realización se habrá ya realizado al inicio del juicio. El interrogatorio permite al acusado hacer las manifestaciones que estime pertinentes en defensa de sus intereses. Pero en ese momento desconoce cuál va a ser el comportamiento de los demás coimputados que declaren a continuación, de los testigos de cargo y de descargo, y el resultado de las pericias practicadas. Incluso desconoce cuál va a ser la vía argumental de las acusaciones y las defensas en sus respectivos alegatos, por lo que su postura inicial puede verse reafirmada o, por el contrario, necesitada de actualización y matización. El acusado ha de tener la oportunidad de contradecir o someter a contraste todo el proceso probatorio, añadiendo todo aquello que estime pertinente para su mejor defensa, por lo que ha de tener la oportunidad de ser el último en intervenir en el proceso, de modo que esta facultad se encuadra dentro del derecho de defensa que, en estas circunstancias, ha de realizarse de manera personal y directa por el interesado.</w:t>
      </w:r>
    </w:p>
    <w:p w:rsidR="005728DD" w:rsidRDefault="005728DD" w:rsidP="005728DD">
      <w:pPr>
        <w:pStyle w:val="TextoNormal"/>
      </w:pPr>
    </w:p>
    <w:p w:rsidR="005728DD" w:rsidRDefault="005728DD" w:rsidP="005728DD">
      <w:pPr>
        <w:pStyle w:val="TextoNormal"/>
      </w:pPr>
      <w:r>
        <w:t>Este necesario deslinde entre la autodefensa que significa el derecho a la última palabra y otras posibles manifestaciones o proyecciones del derecho de defensa, como por ejemplo el trámite del informe oral de defensa (STC 33/2003, de 13 de febrero), provoca que pueda haberse tenido defensa efectiva y realizarse la prueba de confesión e interrogatorio, sin que nada de ello pueda suplir la quiebra del derecho adicional a la última palabra que en el ámbito internacional, como derecho de presencia y defensa personal, se erige como una garantía ‘mínima’ de todo acusado [art. 14.3 d) del Pacto internacional de derechos civiles y políticos] en el marco de un ‘proceso equitativo’ donde se reconoce, también como derecho mínimo, el de ‘defenderse por sí mismo’ [art. 6.3 c) CEDH]. Defensa personal esta que deberá realizarse según la configuración que de la misma realicen las concretas leyes procesales.</w:t>
      </w:r>
    </w:p>
    <w:p w:rsidR="005728DD" w:rsidRDefault="005728DD" w:rsidP="005728DD">
      <w:pPr>
        <w:pStyle w:val="TextoNormal"/>
      </w:pPr>
    </w:p>
    <w:p w:rsidR="005728DD" w:rsidRDefault="005728DD" w:rsidP="005728DD">
      <w:pPr>
        <w:pStyle w:val="TextoNormal"/>
      </w:pPr>
      <w:r>
        <w:t xml:space="preserve">En nuestra Ley de enjuiciamiento criminal se regula en el art. 739. Esta garantía, a decir de dicho precepto, tiene lugar a continuación de que las acusaciones y las defensas hubieran </w:t>
      </w:r>
      <w:r>
        <w:lastRenderedPageBreak/>
        <w:t>terminado sus respectivos alegatos, momento en el cual el ‘presidente preguntará a los procesados si tienen algo que manifestar al tribunal’. Se trata de un derecho potestativo, que se ejercita tras la preceptiva pregunta del presidente del tribunal. Nuestra doctrina en la materia hasta el momento ha venido referida a procesos penales en los que los imputados son mayores de edad. Pero la misma se proyecta igualmente en los procesos penales de menores”.</w:t>
      </w:r>
    </w:p>
    <w:p w:rsidR="005728DD" w:rsidRDefault="005728DD" w:rsidP="005728DD">
      <w:pPr>
        <w:pStyle w:val="TextoNormal"/>
      </w:pPr>
    </w:p>
    <w:p w:rsidR="005728DD" w:rsidRDefault="005728DD" w:rsidP="005728DD">
      <w:pPr>
        <w:pStyle w:val="TextoNormal"/>
      </w:pPr>
      <w:r>
        <w:t>d) Derecho a la última palabra y derecho fundamental a un proceso con todas las garantías (art. 24.2 CE).</w:t>
      </w:r>
    </w:p>
    <w:p w:rsidR="005728DD" w:rsidRDefault="005728DD" w:rsidP="005728DD">
      <w:pPr>
        <w:pStyle w:val="TextoNormal"/>
      </w:pPr>
    </w:p>
    <w:p w:rsidR="005728DD" w:rsidRDefault="005728DD" w:rsidP="005728DD">
      <w:pPr>
        <w:pStyle w:val="TextoNormal"/>
      </w:pPr>
      <w:r>
        <w:t xml:space="preserve">Se desprende de lo que se viene exponiendo, que el derecho a la última palabra no comporta una garantía del acusado dimanante </w:t>
      </w:r>
      <w:r w:rsidRPr="005728DD">
        <w:rPr>
          <w:i/>
        </w:rPr>
        <w:t>ex Constitutione</w:t>
      </w:r>
      <w:r>
        <w:t>, sino que es un derecho de configuración legal que requiere por ello de una previa regulación, bien sea directa o en su caso aplicable por vía supletoria, en los distintos procesos de este orden de jurisdicción.</w:t>
      </w:r>
    </w:p>
    <w:p w:rsidR="005728DD" w:rsidRDefault="005728DD" w:rsidP="005728DD">
      <w:pPr>
        <w:pStyle w:val="TextoNormal"/>
      </w:pPr>
    </w:p>
    <w:p w:rsidR="005728DD" w:rsidRDefault="005728DD" w:rsidP="005728DD">
      <w:pPr>
        <w:pStyle w:val="TextoNormal"/>
      </w:pPr>
      <w:r>
        <w:t>Bajo tal entendimiento, la doctrina constitucional, como ahora veremos, también ha reconocido la cobertura que presta a su efectivo ejercicio, el derecho fundamental a un proceso con todas las garantías del art. 24.2 CE. No debe olvidarse que este último guarda una relación estrecha con el derecho de defensa del acusado en juicio, como ya advertimos en nuestra temprana STC 16/1981, de 18 de mayo, FJ 6: “La finalidad de esa exigencia de un proceso con todas las garantías como condición a la imposición de una pena es doble. De una parte, el juicio oral supone dar a los acusados y, en general, a las partes que intervienen la plena posibilidad de exponer sus razonamientos y de defender sus derechos. Para el acusado en particular, en el juicio oral se manifiesta especialmente su derecho de defensa, al comunicarle plenamente la acusación de que es objeto y al facilitarle el ejercicio de los medios de defensa que considere oportunos. La segunda finalidad es que el tribunal disponga de todos los elementos de juicio necesarios para dictar su sentencia” (en parecidos términos también, la STC 130/2002, de 3 de junio, FJ 8).</w:t>
      </w:r>
    </w:p>
    <w:p w:rsidR="005728DD" w:rsidRDefault="005728DD" w:rsidP="005728DD">
      <w:pPr>
        <w:pStyle w:val="TextoNormal"/>
      </w:pPr>
    </w:p>
    <w:p w:rsidR="005728DD" w:rsidRDefault="005728DD" w:rsidP="005728DD">
      <w:pPr>
        <w:pStyle w:val="TextoNormal"/>
      </w:pPr>
      <w:r>
        <w:t>De este modo, “desde la perspectiva del derecho a un proceso con todas las garantías (art. 24.2 CE), hemos afirmado reiteradamente (entre otras muchas, SSTC 161/1985, de 29 de noviembre, FJ 5; 48/1986, de 23 de abril, FJ 1; 32/1994, de 31 de enero, FJ 5; 41/1998, de 24 de febrero, FJ 27; 14/1999, de 22 de febrero, FJ 6; 97/2000, de 18 de mayo, FJ 3; 228/2000, de 2 de octubre, FJ 1; 87/2001, de 2 de abril, FJ 3, y 174/2001, de 26 de julio, FJ 4) que las infracciones de las normas o reglas procesales solo constituyen una lesión del derecho a un proceso con todas las garantías si con ellas se ocasiona una merma relevante de las posibilidades de defensa” (STC 229/2003, de 18 de diciembre, FJ 8, en relación con un proceso penal. Más recientemente, STC 26/2020, de 24 de febrero, FJ 5, a propósito de un proceso civil ejecutivo).</w:t>
      </w:r>
    </w:p>
    <w:p w:rsidR="005728DD" w:rsidRDefault="005728DD" w:rsidP="005728DD">
      <w:pPr>
        <w:pStyle w:val="TextoNormal"/>
      </w:pPr>
    </w:p>
    <w:p w:rsidR="005728DD" w:rsidRDefault="005728DD" w:rsidP="005728DD">
      <w:pPr>
        <w:pStyle w:val="TextoNormal"/>
      </w:pPr>
      <w:r>
        <w:t>(i) Por lo que atañe al proceso en primera o única instancia, la STC 13/2006, ya citada, ha dicho expresamente en el fundamento jurídico 5 que el derecho a la última palabra reviste el carácter de “garantía del proceso justo”.</w:t>
      </w:r>
    </w:p>
    <w:p w:rsidR="005728DD" w:rsidRDefault="005728DD" w:rsidP="005728DD">
      <w:pPr>
        <w:pStyle w:val="TextoNormal"/>
      </w:pPr>
    </w:p>
    <w:p w:rsidR="005728DD" w:rsidRDefault="005728DD" w:rsidP="005728DD">
      <w:pPr>
        <w:pStyle w:val="TextoNormal"/>
      </w:pPr>
      <w:r>
        <w:t xml:space="preserve">(ii) En los supuestos de revocación en grado superior de una sentencia absolutoria (o que agrava la pena impuesta en primera instancia), mediante la revisión de los hechos que fundan la culpabilidad del acusado con valoración de pruebas de carácter personal, el respeto al derecho a un proceso con todas las garantías (art. 24.2 CE) exige, conforme a nuestra doctrina instaurada por la STC 167/2002, de 18 de septiembre, FFJJ 9 a 11, la celebración </w:t>
      </w:r>
      <w:r>
        <w:lastRenderedPageBreak/>
        <w:t>de una vista oral con publicidad, inmediación y contradicción para la práctica de dicha prueba. Pero también, desde nuestra STC 88/2013, de 11 de abril, FJ 9, el derecho del acusado a ser oído y a defenderse ante ese mismo tribunal superior (garantía inicialmente incardinada por la STC 184/2009, de 7 de septiembre, FJ 3, como inherente al derecho de defensa). Con posterioridad, entre otras, SSTC 105/2016, de 6 de junio, FJ 5; 172/2016, de 17 de octubre, FJ 7; 125/2017, de 13 de noviembre, FJ 5, y 35/2020, de 25 de febrero, FJ 2.</w:t>
      </w:r>
    </w:p>
    <w:p w:rsidR="005728DD" w:rsidRDefault="005728DD" w:rsidP="005728DD">
      <w:pPr>
        <w:pStyle w:val="TextoNormal"/>
      </w:pPr>
    </w:p>
    <w:p w:rsidR="005728DD" w:rsidRDefault="005728DD" w:rsidP="005728DD">
      <w:pPr>
        <w:pStyle w:val="TextoNormal"/>
      </w:pPr>
      <w:r>
        <w:t>Aunque esa audiencia del acusado debe producirse al principio o durante la vista oral de apelación, hemos aceptado en la STC 105/2016, FJ 7, que a los efectos de satisfacer el derecho fundamental a un proceso con todas las garantías (art. 24.2 CE), dicha audiencia se materialice a través del derecho a la última palabra, al final de esa vista oral. Si se permite en ese momento al acusado “contradecir o someter a contraste todo el proceso probatorio, añadiendo todo aquello que estime pertinente para su mejor defensa, característica del derecho a la última palabra, sirve al derecho a ser oído personalmente y al derecho de defensa contradictoria”.</w:t>
      </w:r>
    </w:p>
    <w:p w:rsidR="005728DD" w:rsidRDefault="005728DD" w:rsidP="005728DD">
      <w:pPr>
        <w:pStyle w:val="TextoNormal"/>
      </w:pPr>
    </w:p>
    <w:p w:rsidR="005728DD" w:rsidRDefault="005728DD" w:rsidP="005728DD">
      <w:pPr>
        <w:pStyle w:val="TextoNormal"/>
      </w:pPr>
      <w:r>
        <w:t>B</w:t>
      </w:r>
      <w:r w:rsidRPr="005728DD">
        <w:rPr>
          <w:i/>
        </w:rPr>
        <w:t>) Contenido del derecho a la última palab</w:t>
      </w:r>
      <w:r>
        <w:t>ra.</w:t>
      </w:r>
    </w:p>
    <w:p w:rsidR="005728DD" w:rsidRDefault="005728DD" w:rsidP="005728DD">
      <w:pPr>
        <w:pStyle w:val="TextoNormal"/>
      </w:pPr>
    </w:p>
    <w:p w:rsidR="005728DD" w:rsidRDefault="005728DD" w:rsidP="005728DD">
      <w:pPr>
        <w:pStyle w:val="TextoNormal"/>
      </w:pPr>
      <w:r>
        <w:t>Este tribunal ha formulado asimismo algunos pronunciamientos sobre el contenido del derecho a la última palabra, que han de ser objeto de salvaguarda por la jurisdicción ordinaria:</w:t>
      </w:r>
    </w:p>
    <w:p w:rsidR="005728DD" w:rsidRDefault="005728DD" w:rsidP="005728DD">
      <w:pPr>
        <w:pStyle w:val="TextoNormal"/>
      </w:pPr>
    </w:p>
    <w:p w:rsidR="005728DD" w:rsidRDefault="005728DD" w:rsidP="005728DD">
      <w:pPr>
        <w:pStyle w:val="TextoNormal"/>
      </w:pPr>
      <w:r>
        <w:t>a) En primer lugar, el derecho a la última palabra atiende a la narración de aquellos hechos que puedan tener relación con los que se enjuician ante el tribunal competente y que conciernen al acusado. En sentido contrario y de manera específica, hemos reconocido como límite de este derecho el utilizarse aquel trámite por el acusado para cuestionar un cambio en la calificación jurídica de los hechos, lo que a su vez resulta cometido propio de su defensa letrada: STC 33/2003, de 13 de febrero, FJ 8.</w:t>
      </w:r>
    </w:p>
    <w:p w:rsidR="005728DD" w:rsidRDefault="005728DD" w:rsidP="005728DD">
      <w:pPr>
        <w:pStyle w:val="TextoNormal"/>
      </w:pPr>
    </w:p>
    <w:p w:rsidR="005728DD" w:rsidRDefault="005728DD" w:rsidP="005728DD">
      <w:pPr>
        <w:pStyle w:val="TextoNormal"/>
      </w:pPr>
      <w:r>
        <w:t>b) En segundo lugar, hemos dicho que lo alegado libremente por el acusado no puede convertirse a su vez en objeto de un trámite de contradicción por las demás partes. Aclaramos así en la STC 13/2006, ya citada, FJ 4, que:</w:t>
      </w:r>
    </w:p>
    <w:p w:rsidR="005728DD" w:rsidRDefault="005728DD" w:rsidP="005728DD">
      <w:pPr>
        <w:pStyle w:val="TextoNormal"/>
      </w:pPr>
    </w:p>
    <w:p w:rsidR="005728DD" w:rsidRDefault="005728DD" w:rsidP="005728DD">
      <w:pPr>
        <w:pStyle w:val="TextoNormal"/>
      </w:pPr>
      <w:r>
        <w:t>“Se trata, por lo tanto, de que lo último que oiga el órgano judicial, antes de dictar sentencia y tras la celebración del juicio oral, sean precisamente las manifestaciones del propio acusado, que en ese momento asume personalmente su defensa. Por ello su propia naturaleza impide que esas manifestaciones sean sometidas a debate por las partes, pues si fuera así, es claro que lo dicho por el acusado dejaría de ser la última palabra para convertirse en una más de sus declaraciones ante el tribunal. Es precisamente la palabra utilizada en el momento final de las sesiones del plenario la que mejor expresa y garantiza el derecho de defensa, en cuanto que constituye una especie de resumen o compendio de todo lo que ha sucedido en el debate, público y contradictorio, que constituye la esencia del juicio oral. El acusado conoce mejor que nadie todas las vicisitudes, que pueden influir en la mejor calificación y enjuiciamiento de los hechos que constituyen la base de la acusación”.</w:t>
      </w:r>
    </w:p>
    <w:p w:rsidR="005728DD" w:rsidRDefault="005728DD" w:rsidP="005728DD">
      <w:pPr>
        <w:pStyle w:val="TextoNormal"/>
      </w:pPr>
    </w:p>
    <w:p w:rsidR="005728DD" w:rsidRDefault="005728DD" w:rsidP="005728DD">
      <w:pPr>
        <w:pStyle w:val="TextoNormal"/>
      </w:pPr>
      <w:r>
        <w:t xml:space="preserve">Lo dicho lo es sin perjuicio, claro está, de la facultad que solo corresponde apreciar en ese momento al tribunal de la causa (art. 117.3 CE) de, si lo declarado por el acusado durante </w:t>
      </w:r>
      <w:r>
        <w:lastRenderedPageBreak/>
        <w:t>su última palabra comporta “revelaciones o retractaciones inesperadas [que] produzcan alteraciones sustanciales en los juicios, haciendo necesarios nuevos elementos de prueba”, incluso con suspensión de la vista (actualmente, arts. 746.6 y 747 LECrim).</w:t>
      </w:r>
    </w:p>
    <w:p w:rsidR="005728DD" w:rsidRDefault="005728DD" w:rsidP="005728DD">
      <w:pPr>
        <w:pStyle w:val="TextoNormal"/>
      </w:pPr>
    </w:p>
    <w:p w:rsidR="005728DD" w:rsidRDefault="005728DD" w:rsidP="005728DD">
      <w:pPr>
        <w:pStyle w:val="TextoNormal"/>
      </w:pPr>
      <w:r>
        <w:t>C</w:t>
      </w:r>
      <w:r w:rsidRPr="005728DD">
        <w:rPr>
          <w:i/>
        </w:rPr>
        <w:t>) Condiciones para el ejercicio del derec</w:t>
      </w:r>
      <w:r>
        <w:t>ho.</w:t>
      </w:r>
    </w:p>
    <w:p w:rsidR="005728DD" w:rsidRDefault="005728DD" w:rsidP="005728DD">
      <w:pPr>
        <w:pStyle w:val="TextoNormal"/>
      </w:pPr>
    </w:p>
    <w:p w:rsidR="005728DD" w:rsidRDefault="005728DD" w:rsidP="005728DD">
      <w:pPr>
        <w:pStyle w:val="TextoNormal"/>
      </w:pPr>
      <w:r>
        <w:t>Dos cuestiones resultan relevantes en este apartado:</w:t>
      </w:r>
    </w:p>
    <w:p w:rsidR="005728DD" w:rsidRDefault="005728DD" w:rsidP="005728DD">
      <w:pPr>
        <w:pStyle w:val="TextoNormal"/>
      </w:pPr>
    </w:p>
    <w:p w:rsidR="005728DD" w:rsidRDefault="005728DD" w:rsidP="005728DD">
      <w:pPr>
        <w:pStyle w:val="TextoNormal"/>
      </w:pPr>
      <w:r>
        <w:t>a) La primera, que el ejercicio de esta manifestación de la autodefensa no está supeditado a su previa petición por el acusado, ni este o su letrado tienen la carga de formular protesta en la vista si se silencia y se acuerda el cierre del acto; lógicamente sí de impugnar la sentencia si esta es desfavorable. Como hemos declarado al respecto en nuestra STC 13/2006, FJ 5:</w:t>
      </w:r>
    </w:p>
    <w:p w:rsidR="005728DD" w:rsidRDefault="005728DD" w:rsidP="005728DD">
      <w:pPr>
        <w:pStyle w:val="TextoNormal"/>
      </w:pPr>
    </w:p>
    <w:p w:rsidR="005728DD" w:rsidRDefault="005728DD" w:rsidP="005728DD">
      <w:pPr>
        <w:pStyle w:val="TextoNormal"/>
      </w:pPr>
      <w:r>
        <w:t>“[H]abida cuenta de su carácter de garantía del proceso justo, el hecho de que no se solicite por el propio recurrente o por su asistencia letrada no empece que el órgano judicial tenga el deber de ofrecer esta garantía y porque su carácter autónomo respecto de otras manifestaciones del derecho de defensa enerva la exigencia de una concreta indefensión material […]; no hemos considerado óbice procesal para la admisión de las demandas de amparo los supuestos de ‘protestas no formuladas en un acto ya fenecido’ que, por ello, podrían no constar en el acta, cuando la defensa interpone a continuación el recurso pertinente alegando vulneración del derecho a la última palabra (STC 181/1994, de 20 de junio, FJ 1) y es esta, por lo demás, la doctrina jurisprudencial constante que mantiene, con loable sensibilidad constitucional, que la falta de protesta por parte de la defensa del acusado no puede afectar a la subsistencia de un derecho de defensa que, por su trascendencia y autonomía, no está a merced de una rigurosa e inmediata diligencia reclamatoria del letrado que le asiste (SSTS 9 de junio de 2003; 13 de julio de 2004, y 9 de diciembre de 1997)”.</w:t>
      </w:r>
    </w:p>
    <w:p w:rsidR="005728DD" w:rsidRDefault="005728DD" w:rsidP="005728DD">
      <w:pPr>
        <w:pStyle w:val="TextoNormal"/>
      </w:pPr>
    </w:p>
    <w:p w:rsidR="005728DD" w:rsidRDefault="005728DD" w:rsidP="005728DD">
      <w:pPr>
        <w:pStyle w:val="TextoNormal"/>
      </w:pPr>
      <w:r>
        <w:t>b) Y la segunda, que hasta la STC 258/2007 a la que se hará referencia en el próximo fundamento jurídico, este tribunal no exigía que el acusado acreditase la repercusión efectiva, a efectos probabilísticos, que la denegación del uso de la palabra hubiera podido tener en el sentido de la sentencia dictada. Solo la carga de acreditar el hecho que desencadena la lesión (no ofrecerle la posibilidad de manifestarse ante el tribunal), y siempre que no hubiera renunciado a su ejercicio.</w:t>
      </w:r>
    </w:p>
    <w:p w:rsidR="005728DD" w:rsidRDefault="005728DD" w:rsidP="005728DD">
      <w:pPr>
        <w:pStyle w:val="TextoNormal"/>
      </w:pPr>
    </w:p>
    <w:p w:rsidR="005728DD" w:rsidRDefault="005728DD" w:rsidP="005728DD">
      <w:pPr>
        <w:pStyle w:val="TextoNormal"/>
      </w:pPr>
      <w:r>
        <w:t>Esta específica dispensa de acreditar la relevancia de lo que se iba a decir, acorde con la naturaleza y finalidad del trámite en examen, deviene implícita en las anteriores sentencias y se vuelve expresa en la STC 13/2006, FJ 5, al decirse que:</w:t>
      </w:r>
    </w:p>
    <w:p w:rsidR="005728DD" w:rsidRDefault="005728DD" w:rsidP="005728DD">
      <w:pPr>
        <w:pStyle w:val="TextoNormal"/>
      </w:pPr>
    </w:p>
    <w:p w:rsidR="005728DD" w:rsidRDefault="005728DD" w:rsidP="005728DD">
      <w:pPr>
        <w:pStyle w:val="TextoNormal"/>
      </w:pPr>
      <w:r>
        <w:t xml:space="preserve">“El hecho de configurarse como una obligación legal, solo potestativa en su ejercicio para el acusado, como una garantía del proceso con contenido autónomo y propio dentro del derecho de defensa y que se conecta, de este modo, a su vez, con el derecho a un proceso con todas las garantías constitucionalmente reconocido en el art. 24.2 CE, ha llevado a este tribunal a no exigir carga adicional probatoria en torno a la repercusión efectiva que su pleno ejercicio hubiera hipotéticamente producido aunque sí respecto a la total ausencia de la posibilidad de que el acusado haya podido defenderse por sí mismo. Sin que, como se dijo en las SSTC 181/1994, de 20 de junio, y 93/2005, de 18 de abril, el hecho de que el recurrente haya estado asistido de letrado obste en modo alguno al ejercicio del derecho a la última </w:t>
      </w:r>
      <w:r>
        <w:lastRenderedPageBreak/>
        <w:t>palabra (ya que la audiencia personal constituye una garantía autónoma e independiente de la relativa a la asistencia letrada) y con independencia, como también se ha afirmado, de que se hayan podido realizar con todas las garantías otras manifestaciones de defensa existentes en el decurso del proceso. Máxime si se tiene en cuenta que la autodefensa, una vez ofrecida, constituye una última posibilidad de exculpación de los hechos objeto de la acusación, pero que puede ser rechazada por el acusado en virtud de su derecho a permanecer en silencio”.</w:t>
      </w:r>
    </w:p>
    <w:p w:rsidR="005728DD" w:rsidRDefault="005728DD" w:rsidP="005728DD">
      <w:pPr>
        <w:pStyle w:val="TextoNormal"/>
      </w:pPr>
    </w:p>
    <w:p w:rsidR="005728DD" w:rsidRDefault="005728DD" w:rsidP="005728DD">
      <w:pPr>
        <w:pStyle w:val="TextoNormal"/>
      </w:pPr>
      <w:r>
        <w:t>D</w:t>
      </w:r>
      <w:r w:rsidRPr="005728DD">
        <w:rPr>
          <w:i/>
        </w:rPr>
        <w:t>) Modo de reparación del derecho vulnera</w:t>
      </w:r>
      <w:r>
        <w:t>do.</w:t>
      </w:r>
    </w:p>
    <w:p w:rsidR="005728DD" w:rsidRDefault="005728DD" w:rsidP="005728DD">
      <w:pPr>
        <w:pStyle w:val="TextoNormal"/>
      </w:pPr>
    </w:p>
    <w:p w:rsidR="005728DD" w:rsidRDefault="005728DD" w:rsidP="005728DD">
      <w:pPr>
        <w:pStyle w:val="TextoNormal"/>
      </w:pPr>
      <w:r>
        <w:t>Finalmente, diversas resoluciones han indicado que en el supuesto en que se deniegue el ejercicio del derecho a la última palabra del acusado, las medidas para la reparación de los derechos fundamentales vulnerados del art. 24.2 CE incluyen, no solamente la nulidad de la sentencia dictada en la instancia y en su caso superiores grados de jurisdicción, sino también la retroacción de las actuaciones para que vuelva a repetirse el acto de la vista oral desde el principio; no simplemente que se le formule el ofrecimiento de audiencia al acusado: así, SSTC 109/2002, de 6 de mayo, FJ 3; 93/2005, FJ 4, y 13/2006, FJ 6.</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de la STC 258/2007, de 18 de diciembre. La exigencia de acreditar la indefensión material sufrida por la denegación del derecho a la última palabra</w:t>
      </w:r>
      <w:r>
        <w:t>.</w:t>
      </w:r>
    </w:p>
    <w:p w:rsidR="005728DD" w:rsidRDefault="005728DD" w:rsidP="005728DD">
      <w:pPr>
        <w:pStyle w:val="TextoNormal"/>
      </w:pPr>
    </w:p>
    <w:p w:rsidR="005728DD" w:rsidRDefault="005728DD" w:rsidP="005728DD">
      <w:pPr>
        <w:pStyle w:val="TextoNormal"/>
      </w:pPr>
      <w:r>
        <w:t xml:space="preserve">Sobre la antedicha doctrina que acaba de resumirse, la STC 258/2007, que desestimó un recurso de amparo fundado en la lesión del derecho a la defensa por haberse negado el trámite de última palabra al acusado en un juicio de faltas (hoy, procedimiento aplicable al enjuiciamiento de delitos leves), introdujo dos modulaciones a las que ahora ha de hacerse mención. De un lado, afirmó en su fundamento jurídico 2 que la relevancia constitucional de aquel derecho solamente se había analizado como </w:t>
      </w:r>
      <w:r w:rsidRPr="005728DD">
        <w:rPr>
          <w:i/>
        </w:rPr>
        <w:t>ratio decidendi</w:t>
      </w:r>
      <w:r>
        <w:t xml:space="preserve"> de la decisión en la entonces reciente STC 13/2006, revistiendo, por el contrario, (i) o bien el carácter de mero </w:t>
      </w:r>
      <w:r w:rsidRPr="005728DD">
        <w:rPr>
          <w:i/>
        </w:rPr>
        <w:t>obiter dictum</w:t>
      </w:r>
      <w:r>
        <w:t xml:space="preserve"> lo expresado anteriormente en las SSTC 181/1994, 29/1995 y 93/2005, (ii) o bien pronunciamientos formulados en un contexto distinto, como el de la presencia del acusado en juicio (STC 91/2000).</w:t>
      </w:r>
    </w:p>
    <w:p w:rsidR="005728DD" w:rsidRDefault="005728DD" w:rsidP="005728DD">
      <w:pPr>
        <w:pStyle w:val="TextoNormal"/>
      </w:pPr>
    </w:p>
    <w:p w:rsidR="005728DD" w:rsidRDefault="005728DD" w:rsidP="005728DD">
      <w:pPr>
        <w:pStyle w:val="TextoNormal"/>
      </w:pPr>
      <w:r>
        <w:t>De otro lado, la STC 258/2007 vino a exigir (FFJJ 3 y 5) aquello que justamente la STC 13/2006 había descartado, imponiendo al recurrente la carga de acreditar de qué modo podía haber repercutido en el resultado de la sentencia (de condena), el no haber contado el órgano judicial con los datos que habría aportado el acusado de habérsele concedido la última palabra. La STC 258/2007, construye este último derecho, así, como una manifestación más del derecho a no padecer indefensión material, asimilando su tratamiento al de la lesión del derecho a la utilización de la prueba pertinente, del que hace expreso recordatorio:</w:t>
      </w:r>
    </w:p>
    <w:p w:rsidR="005728DD" w:rsidRDefault="005728DD" w:rsidP="005728DD">
      <w:pPr>
        <w:pStyle w:val="TextoNormal"/>
      </w:pPr>
    </w:p>
    <w:p w:rsidR="005728DD" w:rsidRDefault="005728DD" w:rsidP="005728DD">
      <w:pPr>
        <w:pStyle w:val="TextoNormal"/>
      </w:pPr>
      <w:r>
        <w:t>- Fundamento jurídico 3: “[…] Pues bien, es necesario precisar que, aun cuando no puede reducirse la garantía de la última palabra incondicionalmente a una mera infracción formal desvinculada de la comprobación de que se ha generado una indefensión material, dicha garantía exige, al menos desde el plano constitucional un desarrollo argumental en la demanda de amparo acerca de la existencia de una lesión material que permita a este tribunal valorar la concurrencia de la misma.</w:t>
      </w:r>
    </w:p>
    <w:p w:rsidR="005728DD" w:rsidRDefault="005728DD" w:rsidP="005728DD">
      <w:pPr>
        <w:pStyle w:val="TextoNormal"/>
      </w:pPr>
    </w:p>
    <w:p w:rsidR="005728DD" w:rsidRDefault="005728DD" w:rsidP="005728DD">
      <w:pPr>
        <w:pStyle w:val="TextoNormal"/>
      </w:pPr>
      <w:r>
        <w:lastRenderedPageBreak/>
        <w:t>En efecto, este tribunal ya desde la STC 48/1984, de 4 de abril, destacó, por un lado, que ‘la idea de indefensión engloba, entendida en un sentido amplio, a todas las demás violaciones de derechos constitucionales que pueden colocarse en el marco del art. 24’ (FJ 1) y, por otro, que ‘[e]l concepto jurídico-constitucional de indefensión que el art. 24 de la Constitución permite y obliga a construir, no tiene por qué coincidir enteramente con la figura jurídico-procesal de la indefensión [...]. La conclusión que hay que sacar de ello es doble: por una parte, que no toda infracción de normas procesales se convierte por sí sola en indefensión jurídico-constitucional y por ende en violación de lo ordenado por el art. 24 de la Constitución; y, por otra parte, que la calificación de la indefensión con relevancia jurídico-constitucional o con repercusión o trascendencia en el orden constitucional ha de llevarse a cabo con la introducción de factores diferentes del mero respeto —o, a la inversa, de la infracción de las normas procesales y del rigor formal del enjuiciamiento’ (FJ 1). Así, en la STC 48/1986, de 23 de abril, se señaló que ‘una indefensión constitucionalmente relevante no tiene lugar siempre que se vulneren cualesquiera normas procesales, sino solo cuando con esa vulneración se aparejan consecuencias prácticas consistentes en la privación del derecho de defensa y en un perjuicio real y efectivo de los intereses del afectado por ella’ (FJ 1). Este tribunal sigue reiterando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w:t>
      </w:r>
    </w:p>
    <w:p w:rsidR="005728DD" w:rsidRDefault="005728DD" w:rsidP="005728DD">
      <w:pPr>
        <w:pStyle w:val="TextoNormal"/>
      </w:pPr>
    </w:p>
    <w:p w:rsidR="005728DD" w:rsidRDefault="005728DD" w:rsidP="005728DD">
      <w:pPr>
        <w:pStyle w:val="TextoNormal"/>
      </w:pPr>
      <w:r>
        <w:t>En relación con lo anterior, se viene afirmando de manera continuada la exigencia de la indefensión material no solo respecto de la vulneración del art. 24.1 CE —por ejemplo, en supuestos de omisión del trámite de audiencia (por todas, STC 156/2007, de 2 de julio, FJ 4) o defectuosos emplazamientos (por todas, STC 199/2006, de 3 de julio, FJ 5)— sino, específicamente, respecto de derechos expresamente reconocidos en el art. 24.2 CE, como los derechos al juez ordinario predeterminado por la ley y a la imparcialidad judicial, en relación con las incidencias en las composiciones de los órganos judiciales (por todas, STC 215/2005, de 12 de septiembre, FJ 2), o determinadas garantías contenidas en el derecho a un proceso con todas las garantías, como pueden ser la de contradicción en la práctica de diligencias de entrada y registro domiciliario, respecto de su valor probatorio (por todas, STC 219/2006, de 3 de julio, FJ 7), o la de inmediación, respecto de dar por reproducido en juicio las pruebas documentales sin proceder a su lectura (por todas, STC 233/2005, de 26 de septiembre, FJ 10).</w:t>
      </w:r>
    </w:p>
    <w:p w:rsidR="005728DD" w:rsidRDefault="005728DD" w:rsidP="005728DD">
      <w:pPr>
        <w:pStyle w:val="TextoNormal"/>
      </w:pPr>
    </w:p>
    <w:p w:rsidR="005728DD" w:rsidRDefault="005728DD" w:rsidP="005728DD">
      <w:pPr>
        <w:pStyle w:val="TextoNormal"/>
      </w:pPr>
      <w:r>
        <w:t xml:space="preserve">El derecho a la utilización de los medios de prueba pertinentes para la defensa consagrado en el art. 24.2 CE es especialmente significativo y paradigmático en cuanto a la exigencia de indefensión material. En efecto, este tribunal ha destacado de manera reiterada que el alcance de dicha garantía queda condicionado por su carácter de derecho constitucional de carácter procedimental, lo que exige que, para apreciar su vulneración, quede acreditada la existencia de una indefensión constitucionalmente relevante, resultando necesario demostrar que la actividad probatoria que no fue admitida o practicada era decisiva en términos de defensa, esto es, que hubiera podido tener una influencia decisiva en la resolución del pleito, potencialmente trascendentales para el sentido de la resolución. Igualmente se ha sostenido que ‘tal situación de indefensión […] debe de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w:t>
      </w:r>
      <w:r>
        <w:lastRenderedPageBreak/>
        <w:t xml:space="preserve">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solo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w:t>
      </w:r>
      <w:r w:rsidRPr="005728DD">
        <w:rPr>
          <w:i/>
        </w:rPr>
        <w:t>ab initio</w:t>
      </w:r>
      <w:r>
        <w:t>,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(STC 185/2007, de 10 de septiembre, FJ 2).</w:t>
      </w:r>
    </w:p>
    <w:p w:rsidR="005728DD" w:rsidRDefault="005728DD" w:rsidP="005728DD">
      <w:pPr>
        <w:pStyle w:val="TextoNormal"/>
      </w:pPr>
    </w:p>
    <w:p w:rsidR="005728DD" w:rsidRDefault="005728DD" w:rsidP="005728DD">
      <w:pPr>
        <w:pStyle w:val="TextoNormal"/>
      </w:pPr>
      <w:r>
        <w:t>Este tribunal ha exigido, también, la concurrencia de indefensión material para considerar vulnerado el propio derecho a la defensa (art. 24.2 CE) en los supuestos de denegación del derecho a la asistencia letrada de oficio en los procedimientos penales en que no sea un requisito estructural. […]</w:t>
      </w:r>
    </w:p>
    <w:p w:rsidR="005728DD" w:rsidRDefault="005728DD" w:rsidP="005728DD">
      <w:pPr>
        <w:pStyle w:val="TextoNormal"/>
      </w:pPr>
    </w:p>
    <w:p w:rsidR="005728DD" w:rsidRDefault="005728DD" w:rsidP="005728DD">
      <w:pPr>
        <w:pStyle w:val="TextoNormal"/>
      </w:pPr>
      <w:r>
        <w:t>En conclusión, y como se ha dicho antes, la vulneración del derecho a la última palabra, en tanto que manifestación del derecho a la autodefensa, como una de las garantías contenidas en el derecho a la defensa previsto en el art. 24.2 CE, no se debe configurar como una mera infracción formal desvinculada de la comprobación de que se ha generado una indefensión material, cuya argumentación es una carga procesal del recurrente en amparo”.</w:t>
      </w:r>
    </w:p>
    <w:p w:rsidR="005728DD" w:rsidRDefault="005728DD" w:rsidP="005728DD">
      <w:pPr>
        <w:pStyle w:val="TextoNormal"/>
      </w:pPr>
    </w:p>
    <w:p w:rsidR="005728DD" w:rsidRDefault="005728DD" w:rsidP="005728DD">
      <w:pPr>
        <w:pStyle w:val="TextoNormal"/>
      </w:pPr>
      <w:r>
        <w:t>- Fundamento jurídico 5: “[…] lo cierto, desde la perspectiva constitucional, que es la única que cabe analizar en esta jurisdicción de amparo, es que el que no se otorgara a los recurrentes la posibilidad de que tomaran la palabra en último lugar no implica en el presente caso que se haya producido la vulneración del derecho a la defensa (art. 24.2 CE) aducida por los recurrentes. Como se ha adelantado, no resulta posible apreciar que dicha omisión haya generado a los recurrentes una indefensión material. Si se parte de la base ya referida de que el sentido constitucional del derecho a la última palabra, como manifestación del derecho de autodefensa, radica en que el acusado, una vez que ha tenido pleno conocimiento de toda la actividad probatoria realizada y de los argumentos vertidos en los alegatos de las acusaciones y de su propia defensa, pueda contradecir o someter a contraste el desarrollo de la vista, añadiendo todo aquello que estime pertinente para su mejor defensa, solo cabrá considerar que se le ha generado una indefensión material con relevancia constitucional cuando no se pueda descartar que el trámite omitido hubiera sido decisivo en términos de defensa, en el sentido de que hubiera podido determinar un fallo diferente. Ello exigiría, al menos, que se indicara por los recurrentes en la demanda de amparo qué concreta actividad probatoria o alegaciones efectuadas en fase de informe son las que se pretendían contradecir, someter a contraste o, simplemente, refutar o matizar en el ejercicio del derecho a la última palabra, a los efectos de que este tribunal pudiera realizar el juicio de certeza sobre su eventual incidencia en la resolución impugnada.</w:t>
      </w:r>
    </w:p>
    <w:p w:rsidR="005728DD" w:rsidRDefault="005728DD" w:rsidP="005728DD">
      <w:pPr>
        <w:pStyle w:val="TextoNormal"/>
      </w:pPr>
    </w:p>
    <w:p w:rsidR="005728DD" w:rsidRDefault="005728DD" w:rsidP="005728DD">
      <w:pPr>
        <w:pStyle w:val="TextoNormal"/>
      </w:pPr>
      <w:r>
        <w:t>En el presente caso, no solo es que no se ha cumplido con dicha carga procesal, imposibilitando que este tribunal pueda desarrollar el control constitucional que se le solicita, sino que, además, incluso acudiendo directamente a las actuaciones tampoco resulta posible ni a partir del desarrollo del propio juicio de faltas ni, especialmente, atendiendo a lo razonado en los recursos de apelación planteados, en que los recurrentes se limitan a la denunciar la infracción formal de la omisión del trámite, el poder apreciar qué concretas cuestiones hubieran podido ser planteadas por los recurrentes en dicho trámite, para a partir de ellas poder alcanzar una convicción sobre su carácter decisivo. Ello es demostrativo de que los recurrentes han acudido a este amparo invocando el mero incumplimiento formal de un trámite procesal que, a pesar de su evidente conexión con el ejercicio de un derecho fundamental como es el derecho a la defensa (art. 24.2 CE), no permite concluir su vulneración al no ponerse de manifiesto en ningún caso indefensión material alguna a derivar de dicha omisión”.</w:t>
      </w:r>
    </w:p>
    <w:p w:rsidR="005728DD" w:rsidRDefault="005728DD" w:rsidP="005728DD">
      <w:pPr>
        <w:pStyle w:val="TextoNormal"/>
      </w:pPr>
    </w:p>
    <w:p w:rsidR="005728DD" w:rsidRDefault="005728DD" w:rsidP="005728DD">
      <w:pPr>
        <w:pStyle w:val="TextoNormal"/>
      </w:pPr>
      <w:r>
        <w:t>La STC 258/2007 contó con un voto particular de un magistrado del tribunal y un voto particular concurrente de otro magistrado, al que se adhirió un segundo, en los que se defendía la continuidad del tratamiento dado a esta institución del proceso penal hasta la STC 13/2006.</w:t>
      </w:r>
    </w:p>
    <w:p w:rsidR="005728DD" w:rsidRDefault="005728DD" w:rsidP="005728DD">
      <w:pPr>
        <w:pStyle w:val="TextoNormal"/>
      </w:pPr>
    </w:p>
    <w:p w:rsidR="005728DD" w:rsidRDefault="005728DD" w:rsidP="005728DD">
      <w:pPr>
        <w:pStyle w:val="TextoNormal"/>
      </w:pPr>
      <w:r>
        <w:t>Luego del dictado de la STC 258/2007, este tribunal sin embargo no ha dispuesto de una nueva ocasión para pronunciarse en sentencia sobre la adecuación o no de las modulaciones entonces introducidas.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Matizaciones a la doctrina de la STC 258/2007, de 18 de diciembre</w:t>
      </w:r>
      <w:r>
        <w:t>.</w:t>
      </w:r>
    </w:p>
    <w:p w:rsidR="005728DD" w:rsidRDefault="005728DD" w:rsidP="005728DD">
      <w:pPr>
        <w:pStyle w:val="TextoNormal"/>
      </w:pPr>
    </w:p>
    <w:p w:rsidR="005728DD" w:rsidRDefault="005728DD" w:rsidP="005728DD">
      <w:pPr>
        <w:pStyle w:val="TextoNormal"/>
      </w:pPr>
      <w:r>
        <w:t>Como se ha indicado en los antecedentes, el presente recurso de amparo fue admitido a trámite al apreciarse en él una especial trascendencia constitucional, en cuanto daba la ocasión a este tribunal de aclarar o cambiar su doctrina como consecuencia de un proceso de reflexión interna, en referencia precisamente con la fijada en la STC 258/2007. La exigencia introducida por esta, de tener que convencer dialécticamente al tribunal de la causa en todo caso y, en vía de impugnación, a los tribunales superiores al de primera instancia —y, eventualmente como ahora, a este Tribunal Constitucional—, acerca de la repercusión efectiva de lo que en hipótesis el acusado podía o no haber dicho al órgano de enjuiciamiento para obtener una sentencia más favorable (absolutoria, o con imposición de pena inferior en función de los hechos declarados probados), debe ser matizada no solo por los problemas prácticos que plantea en su aplicación por los órganos de la jurisdicción ordinaria, sino en atención a razones de índole constitucional de innegable relevancia que ahora se resumen:</w:t>
      </w:r>
    </w:p>
    <w:p w:rsidR="005728DD" w:rsidRDefault="005728DD" w:rsidP="005728DD">
      <w:pPr>
        <w:pStyle w:val="TextoNormal"/>
      </w:pPr>
    </w:p>
    <w:p w:rsidR="005728DD" w:rsidRDefault="005728DD" w:rsidP="005728DD">
      <w:pPr>
        <w:pStyle w:val="TextoNormal"/>
      </w:pPr>
      <w:r>
        <w:t xml:space="preserve">a) De entrada, procede hacer una aclaración, y es que si bien es cierto que algunas de las sentencias que se citan en la indicada STC 258/2007 no llegaron a estimar la demanda de amparo por denegación del derecho a la última palabra, ello no significa sin embargo que sus pronunciamientos sobre la relevancia de tal derecho como expresión de la autodefensa del acusado, fueran de naturaleza </w:t>
      </w:r>
      <w:r w:rsidRPr="005728DD">
        <w:rPr>
          <w:i/>
        </w:rPr>
        <w:t>obiter dicta</w:t>
      </w:r>
      <w:r>
        <w:t xml:space="preserve">, en el sentido estricto conferido a esta expresión —esto es, ajena a la verdadera razón de decidir—. En realidad, salvo en la STC 91/2000, en las demás la doctrina a la que se hace referencia en el fundamento jurídico 2 sí integraba la </w:t>
      </w:r>
      <w:r w:rsidRPr="005728DD">
        <w:rPr>
          <w:i/>
        </w:rPr>
        <w:t>ratio decidendi</w:t>
      </w:r>
      <w:r>
        <w:t xml:space="preserve"> para resolver la queja planteada en todo o en parte, solo que al ser aplicada al supuesto concreto no condujo al resultado de apreciar la lesión: (i) ya porque </w:t>
      </w:r>
      <w:r>
        <w:lastRenderedPageBreak/>
        <w:t xml:space="preserve">no podía asegurarse con certeza que la última palabra le hubiera sido denegada al recurrente en ese caso (STC 181/1994, FJ 3), (ii) ya porque la parte solicitaba defenderse a sí misma en la totalidad del proceso </w:t>
      </w:r>
      <w:r w:rsidRPr="005728DD">
        <w:rPr>
          <w:i/>
        </w:rPr>
        <w:t>a quo</w:t>
      </w:r>
      <w:r>
        <w:t>, siendo que tal autodefensa le era garantizada, también con el derecho a la última palabra, aunque con la necesaria asistencia técnica de letrado (STC 29/1995, FJ 6).</w:t>
      </w:r>
    </w:p>
    <w:p w:rsidR="005728DD" w:rsidRDefault="005728DD" w:rsidP="005728DD">
      <w:pPr>
        <w:pStyle w:val="TextoNormal"/>
      </w:pPr>
    </w:p>
    <w:p w:rsidR="005728DD" w:rsidRDefault="005728DD" w:rsidP="005728DD">
      <w:pPr>
        <w:pStyle w:val="TextoNormal"/>
      </w:pPr>
      <w:r>
        <w:t>La STC 93/2005 sí concedió el amparo al reconocer que al recurrente se le coartó su autodefensa durante la vista oral de un juicio de faltas, incluyendo la denegación del derecho a la última palabra. En concreto sobre esta se dijo que el acusado: “Tampoco pudo ejercer el derecho a la última palabra, que no le fue ofrecido una vez que el fiscal y las denunciantes hubieron formulado sus conclusiones finales en que solicitaban su condena” (FJ 4).</w:t>
      </w:r>
    </w:p>
    <w:p w:rsidR="005728DD" w:rsidRDefault="005728DD" w:rsidP="005728DD">
      <w:pPr>
        <w:pStyle w:val="TextoNormal"/>
      </w:pPr>
    </w:p>
    <w:p w:rsidR="005728DD" w:rsidRDefault="005728DD" w:rsidP="005728DD">
      <w:pPr>
        <w:pStyle w:val="TextoNormal"/>
      </w:pPr>
      <w:r>
        <w:t>Igualmente se concedió el amparo por denegación del derecho a la última palabra, aquí considerada exclusivamente, en la STC 13/2006, FJ 6, como reconoce la propia STC 258/2007.</w:t>
      </w:r>
    </w:p>
    <w:p w:rsidR="005728DD" w:rsidRDefault="005728DD" w:rsidP="005728DD">
      <w:pPr>
        <w:pStyle w:val="TextoNormal"/>
      </w:pPr>
    </w:p>
    <w:p w:rsidR="005728DD" w:rsidRDefault="005728DD" w:rsidP="005728DD">
      <w:pPr>
        <w:pStyle w:val="TextoNormal"/>
      </w:pPr>
      <w:r>
        <w:t>No resulta intrascendente añadir, en fin, que en la STC 91/2000 se trataba de un proceso de extradición, en el que la consideración de la importancia de la presencia del acusado en la vista oral resultaba nuclear (para poder ejercer, si se hubiese realizado en España, entre otros el derecho a la última palabra —fundamento jurídico 13—), y por ello se apreció entonces que la falta de garantías por el Estado requirente, en un supuesto de juicio en ausencia, de que podría pedir la revisión de la condena ante este, vulneraba su derecho de defensa (FJ 16).</w:t>
      </w:r>
    </w:p>
    <w:p w:rsidR="005728DD" w:rsidRDefault="005728DD" w:rsidP="005728DD">
      <w:pPr>
        <w:pStyle w:val="TextoNormal"/>
      </w:pPr>
    </w:p>
    <w:p w:rsidR="005728DD" w:rsidRDefault="005728DD" w:rsidP="005728DD">
      <w:pPr>
        <w:pStyle w:val="TextoNormal"/>
      </w:pPr>
      <w:r>
        <w:t>Por tanto, la STC 13/2006 no contenía una doctrina aislada, sino que esta se había consolidado a través de los años.</w:t>
      </w:r>
    </w:p>
    <w:p w:rsidR="005728DD" w:rsidRDefault="005728DD" w:rsidP="005728DD">
      <w:pPr>
        <w:pStyle w:val="TextoNormal"/>
      </w:pPr>
    </w:p>
    <w:p w:rsidR="005728DD" w:rsidRDefault="005728DD" w:rsidP="005728DD">
      <w:pPr>
        <w:pStyle w:val="TextoNormal"/>
      </w:pPr>
      <w:r>
        <w:t>b) Condicionar el ejercicio del derecho a la última palabra, a la exigencia de una indefensión material en los términos que explicita la STC 258/2007, resalta sin duda el papel como fuente probatoria del dicho del acusado pero, a la par que con esa sola perspectiva se descuida la función que cumple tal trámite como expresión de la autodefensa, su situación se equipara con la del derecho a la utilización de la prueba pertinente (art. 24.2 CE), cuyo contenido esencial solo comprende conforme a nuestra jurisprudencia —que recuerda la STC 258/2007—, la prueba “decisiva en términos de defensa” [más recientes, entre otras, las SSTC 212/2013, de 16 de diciembre, FJ 4; 128/2017, de 13 de noviembre, FJ 4 d), y 107/2019, de 30 de septiembre, FJ 5].</w:t>
      </w:r>
    </w:p>
    <w:p w:rsidR="005728DD" w:rsidRDefault="005728DD" w:rsidP="005728DD">
      <w:pPr>
        <w:pStyle w:val="TextoNormal"/>
      </w:pPr>
    </w:p>
    <w:p w:rsidR="005728DD" w:rsidRDefault="005728DD" w:rsidP="005728DD">
      <w:pPr>
        <w:pStyle w:val="TextoNormal"/>
      </w:pPr>
      <w:r>
        <w:t>Distintamente, la última palabra por su naturaleza deviene de por sí pertinente siempre, existiendo en todo caso la facultad del juez de dirigirse al acusado si este abusa de su derecho, sea por referirse a hechos ajenos a los que se enjuician, o por el empleo de palabras o expresiones ofensivas o carentes de sentido.</w:t>
      </w:r>
    </w:p>
    <w:p w:rsidR="005728DD" w:rsidRDefault="005728DD" w:rsidP="005728DD">
      <w:pPr>
        <w:pStyle w:val="TextoNormal"/>
      </w:pPr>
    </w:p>
    <w:p w:rsidR="005728DD" w:rsidRDefault="005728DD" w:rsidP="005728DD">
      <w:pPr>
        <w:pStyle w:val="TextoNormal"/>
      </w:pPr>
      <w:r>
        <w:t xml:space="preserve">c) La importancia del derecho a la última palabra como expresión de la autodefensa del acusado en el proceso penal, encuentra su reconocimiento además en la jurisprudencia del Tribunal Europeo de Derechos Humanos, en interpretación de lo dispuesto en el art. 6.3 c) del Convenio de Roma (“Todo acusado tiene, como mínimo, los siguientes derechos: […] c) a defenderse por sí mismo o a ser asistido por un defensor de su elección y, si carece de </w:t>
      </w:r>
      <w:r>
        <w:lastRenderedPageBreak/>
        <w:t>medios para pagarlo, a poder ser asistido gratuitamente por un abogado de oficio, cuando los intereses de la Justicia así lo exijan”).</w:t>
      </w:r>
    </w:p>
    <w:p w:rsidR="005728DD" w:rsidRDefault="005728DD" w:rsidP="005728DD">
      <w:pPr>
        <w:pStyle w:val="TextoNormal"/>
      </w:pPr>
    </w:p>
    <w:p w:rsidR="005728DD" w:rsidRDefault="005728DD" w:rsidP="005728DD">
      <w:pPr>
        <w:pStyle w:val="TextoNormal"/>
      </w:pPr>
      <w:r>
        <w:t>Ciertamente, el Tribunal Europeo no ha erigido este trámite en garantía necesaria de todo proceso penal, puesto que en realidad y como ahora se verá, la decisión sobre si el proceso es o no equitativo a los efectos del art. 6 CEDH, se alcanza siempre mediante una ponderación global de las oportunidades de contradicción y defensa de las que dispone el acusado dentro del procedimiento, conforme a la ley del Estado miembro. Lo que sí ha hecho el Tribunal Europeo de Derechos Humanos es reconocer la aportación que ofrece el ejercicio del derecho a la última palabra, ahí donde está regulado, como manifestación del derecho a la autodefensa, la cual queda garantizada a su vez por aquel art. 6.3 c) CEDH, si bien no necesariamente con exclusión del derecho a la defensa técnica.</w:t>
      </w:r>
    </w:p>
    <w:p w:rsidR="005728DD" w:rsidRDefault="005728DD" w:rsidP="005728DD">
      <w:pPr>
        <w:pStyle w:val="TextoNormal"/>
      </w:pPr>
    </w:p>
    <w:p w:rsidR="005728DD" w:rsidRDefault="005728DD" w:rsidP="005728DD">
      <w:pPr>
        <w:pStyle w:val="TextoNormal"/>
      </w:pPr>
      <w:r>
        <w:t xml:space="preserve">Concretamente, en la sentencia de 4 de abril de 2018 dictada por la Gran Sala, asunto </w:t>
      </w:r>
      <w:r w:rsidRPr="005728DD">
        <w:rPr>
          <w:i/>
        </w:rPr>
        <w:t>Correia de Matos c. Portugal</w:t>
      </w:r>
      <w:r>
        <w:t>, se examina el alcance del derecho a la autodefensa del acusado, que incluye un estudio de derecho comparado entre los ordenamientos de los países firmantes del Convenio (§ 81). Partiendo, según precisa la sentencia, de la “libertad considerable que la jurisprudencia constante del tribunal reconoce a los Estados en cuanto a elegir los medios adecuados para garantizar que sus sistemas judiciales son conformes a la exigencia del art. 6.3 c) de proveer a la defensa del acusado ya sea por sí mismo o de contar con la asistencia de un defensor, el fin intrínseco de esta disposición es el de contribuir a preservar la equidad del procedimiento penal en su conjunto” (§ 137). El Tribunal Europeo de Derechos Humanos se reserva el papel, primero, de “verificar si concurren razones ‘pertinentes y suficientes’ para apoyar la elección legislativa aplicada”, y en segundo lugar, si “las jurisdicciones nacionales, al aplicar la norma en conflicto, también han suministrados razones pertinentes y suficientes para apoyar sus decisiones” (§ 143).</w:t>
      </w:r>
    </w:p>
    <w:p w:rsidR="005728DD" w:rsidRDefault="005728DD" w:rsidP="005728DD">
      <w:pPr>
        <w:pStyle w:val="TextoNormal"/>
      </w:pPr>
    </w:p>
    <w:p w:rsidR="005728DD" w:rsidRDefault="005728DD" w:rsidP="005728DD">
      <w:pPr>
        <w:pStyle w:val="TextoNormal"/>
      </w:pPr>
      <w:r>
        <w:t>En lo que ahora nos importa, examina entonces el tribunal las manifestaciones de la autodefensa del acusado en el proceso penal portugués, entre las que incluye de manera expresa el derecho a la última palabra que allí también se garantiza en el art. 361.1 del Código de procedimiento penal (§ 156). Concluye el tribunal que las razones ofrecidas en apoyo de la obligación legal a la asistencia de abogado, considerado “el contexto procesal”, fueron “pertinentes y suficientes” (§ 159), es una previsión “equitativa” (§ 166) y no produce por tanto la vulneración del art. 6.3 c) del Convenio (§ 169).</w:t>
      </w:r>
    </w:p>
    <w:p w:rsidR="005728DD" w:rsidRDefault="005728DD" w:rsidP="005728DD">
      <w:pPr>
        <w:pStyle w:val="TextoNormal"/>
      </w:pPr>
    </w:p>
    <w:p w:rsidR="005728DD" w:rsidRDefault="005728DD" w:rsidP="005728DD">
      <w:pPr>
        <w:pStyle w:val="TextoNormal"/>
      </w:pPr>
      <w:r>
        <w:t xml:space="preserve">d) Asumiendo que los argumentos que el escrito de impugnación a la sentencia pueda alegar en cada caso, son en efecto los mismos que los que realmente el acusado hubiera podido expresar si se le hubiera concedido el derecho a la última palabra al final de la vista oral (correspondencia que, </w:t>
      </w:r>
      <w:r w:rsidRPr="005728DD">
        <w:rPr>
          <w:i/>
        </w:rPr>
        <w:t>de facto</w:t>
      </w:r>
      <w:r>
        <w:t>, es imposible de verificar), la exigencia por tanto y en esa lógica, de que hubiere tenido que escoger solamente los datos decisivos o relevantes para una sentencia favorable, obliga al acusado en tiempo real a hacer un cálculo técnico de probabilidades que resulta propio más bien del saber jurídico de su defensor, tal y como este despliega justamente cuando ha de fundar la propuesta de admisión de una prueba pertinente (art. 24.2 CE) o al impugnar su denegación.</w:t>
      </w:r>
    </w:p>
    <w:p w:rsidR="005728DD" w:rsidRDefault="005728DD" w:rsidP="005728DD">
      <w:pPr>
        <w:pStyle w:val="TextoNormal"/>
      </w:pPr>
    </w:p>
    <w:p w:rsidR="005728DD" w:rsidRDefault="005728DD" w:rsidP="005728DD">
      <w:pPr>
        <w:pStyle w:val="TextoNormal"/>
      </w:pPr>
      <w:r>
        <w:t xml:space="preserve">El derecho a la última palabra del acusado no lo es a verbalizar al tribunal los hechos relevantes para asegurar su mejor posición en la sentencia, sino el derecho a transmitir al </w:t>
      </w:r>
      <w:r>
        <w:lastRenderedPageBreak/>
        <w:t>tribunal aquello que a su criterio este último debe conocer para dictar una resolución justa, sea o no decisivo para su absolución o menor condena.</w:t>
      </w:r>
    </w:p>
    <w:p w:rsidR="005728DD" w:rsidRDefault="005728DD" w:rsidP="005728DD">
      <w:pPr>
        <w:pStyle w:val="TextoNormal"/>
      </w:pPr>
    </w:p>
    <w:p w:rsidR="005728DD" w:rsidRDefault="005728DD" w:rsidP="005728DD">
      <w:pPr>
        <w:pStyle w:val="TextoNormal"/>
      </w:pPr>
      <w:r>
        <w:t>En atención a todo ello, la doctrina de la STC 258/2007, de 18 de diciembre, FFJJ 3 y 5, debe matizarse en el sentido de que ha de considerarse vulnerado el derecho a la defensa del art. 24.2 CE en todos los casos en los que, no habiendo renunciado expresamente a su ejercicio, se haya privado al acusado del derecho a la última palabra, sin que para ello deba este acreditar en vía de impugnación contra la sentencia, la repercusión o relevancia hipotética de cómo lo que hubiera podido expresar al tribunal, habría supuesto la emisión de un fallo distinto.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Resolución de la queja planteada</w:t>
      </w:r>
      <w:r>
        <w:t>.</w:t>
      </w:r>
    </w:p>
    <w:p w:rsidR="005728DD" w:rsidRDefault="005728DD" w:rsidP="005728DD">
      <w:pPr>
        <w:pStyle w:val="TextoNormal"/>
      </w:pPr>
    </w:p>
    <w:p w:rsidR="005728DD" w:rsidRDefault="005728DD" w:rsidP="005728DD">
      <w:pPr>
        <w:pStyle w:val="TextoNormal"/>
      </w:pPr>
      <w:r>
        <w:t xml:space="preserve">La aplicación de la doctrina sobre la relevancia constitucional del derecho a la última palabra contenida en el fundamento jurídico 2, así como en la STC 258/2007 con la matización que acaba de efectuarse en el fundamento jurídico anterior, conduce a la estimación de la primera queja de la demanda de amparo. En efecto, indiscutido como ya se dijo el hecho de que la magistrada-juez no concedió al acusado el referido trámite al final de la vista oral, desde el instante en el que aquella dio inicio a la exposición de su sentencia </w:t>
      </w:r>
      <w:r w:rsidRPr="005728DD">
        <w:rPr>
          <w:i/>
        </w:rPr>
        <w:t>in voce</w:t>
      </w:r>
      <w:r>
        <w:t>, resultaba ya cercenado el derecho de autodefensa indicado, no quedando tampoco claro, ni es necesario que lo esté, lo que intentó decir el aquí recurrente cuando oía el relato de hechos probados, al margen de la explicación que ofrece la demanda.</w:t>
      </w:r>
    </w:p>
    <w:p w:rsidR="005728DD" w:rsidRDefault="005728DD" w:rsidP="005728DD">
      <w:pPr>
        <w:pStyle w:val="TextoNormal"/>
      </w:pPr>
    </w:p>
    <w:p w:rsidR="005728DD" w:rsidRDefault="005728DD" w:rsidP="005728DD">
      <w:pPr>
        <w:pStyle w:val="TextoNormal"/>
      </w:pPr>
      <w:r>
        <w:t>Conforme a la doctrina de referencia, no le era exigible formular protesta él o su letrado en ese instante, toda vez que ya la vista y el trámite de última palabra habían precluido y se estaba en el acto de sentencia, bastando con que así lo haya incluido como uno de los motivos de su recurso de apelación.</w:t>
      </w:r>
    </w:p>
    <w:p w:rsidR="005728DD" w:rsidRDefault="005728DD" w:rsidP="005728DD">
      <w:pPr>
        <w:pStyle w:val="TextoNormal"/>
      </w:pPr>
    </w:p>
    <w:p w:rsidR="005728DD" w:rsidRDefault="005728DD" w:rsidP="005728DD">
      <w:pPr>
        <w:pStyle w:val="TextoNormal"/>
      </w:pPr>
      <w:r>
        <w:t xml:space="preserve">La respuesta dada a su vez por la Audiencia Provincial para desestimar este último no puede resultar convincente. Primero, porque insiste en la exigencia de la carga de acreditar la repercusión material de lo que iba a argumentarse, en aplicación de la STC 258/2007 ya aquí matizada (no, por cierto, en aplicación de la STC 13/2006, que erróneamente cita también la sentencia de apelación). Y segundo, porque tampoco resultaba subsanable aquella omisión de la magistrada-juez </w:t>
      </w:r>
      <w:r w:rsidRPr="005728DD">
        <w:rPr>
          <w:i/>
        </w:rPr>
        <w:t>a quo</w:t>
      </w:r>
      <w:r>
        <w:t>, a la que por cierto la audiencia califica de “omisión flagrantemente”, pidiendo la práctica de esa última palabra mediante la celebración de una vista en apelación, lo que supondría entre otras cosas convalidar la actuación vulneradora, privando al acusado de una sentencia de primera instancia dictada con ponderación de las manifestaciones que deseaba transmitir al juzgado competente.</w:t>
      </w:r>
    </w:p>
    <w:p w:rsidR="005728DD" w:rsidRDefault="005728DD" w:rsidP="005728DD">
      <w:pPr>
        <w:pStyle w:val="TextoNormal"/>
      </w:pPr>
    </w:p>
    <w:p w:rsidR="005728DD" w:rsidRDefault="005728DD" w:rsidP="005728DD">
      <w:pPr>
        <w:pStyle w:val="TextoNormal"/>
      </w:pPr>
      <w:r>
        <w:t>Ha de estimarse por tanto la demanda de amparo en este punto, por vulneración de los derechos del recurrente a la defensa (art. 24.2 CE) y a un proceso con todas las garantías (art. 24.2 CE), lo que releva de acometer el análisis de la segunda queja del escrito, relativa a la presunta vulneración del derecho a la presunción de inocencia.</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don Jerry Aroon-Kumar Rustveld, por vulneración de sus derechos fundamentales a la defensa (art. 24.2 CE) y a un proceso con todas las garantías (art. 24.2 CE), con reconocimiento de tales derechos.</w:t>
      </w:r>
    </w:p>
    <w:p w:rsidR="005728DD" w:rsidRDefault="005728DD" w:rsidP="005728DD">
      <w:pPr>
        <w:pStyle w:val="TextoNormal"/>
      </w:pPr>
    </w:p>
    <w:p w:rsidR="005728DD" w:rsidRDefault="005728DD" w:rsidP="005728DD">
      <w:pPr>
        <w:pStyle w:val="TextoNormal"/>
      </w:pPr>
      <w:r>
        <w:t>2º Declarar la nulidad de la sentencia dictada el 19 de diciembre de 2016 por el Juzgado de lo Penal núm. 4 de Palma de Mallorca (procedimiento abreviado núm. 297-2016), y la nulidad de la sentencia dictada el 18 de enero de 2018 por la Sección Segunda de la Audiencia Provincial de Baleares (rollo de apelación núm. 2-2018).</w:t>
      </w:r>
    </w:p>
    <w:p w:rsidR="005728DD" w:rsidRDefault="005728DD" w:rsidP="005728DD">
      <w:pPr>
        <w:pStyle w:val="TextoNormal"/>
      </w:pPr>
    </w:p>
    <w:p w:rsidR="005728DD" w:rsidRDefault="005728DD" w:rsidP="005728DD">
      <w:pPr>
        <w:pStyle w:val="TextoNormal"/>
      </w:pPr>
      <w:r>
        <w:t>3º Retrotraer el procedimiento al momento inmediatamente anterior al de celebración de la vista oral de primera instancia ante el juzgado referido, para que se provea de manera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39" w:name="SENTENCIA_2021_36"/>
      <w:r>
        <w:lastRenderedPageBreak/>
        <w:t>SENTENCIA 36/2021, de 18 de febrero de 2021</w:t>
      </w:r>
    </w:p>
    <w:bookmarkEnd w:id="39"/>
    <w:p w:rsidR="005728DD" w:rsidRDefault="005728DD" w:rsidP="005728DD">
      <w:pPr>
        <w:pStyle w:val="TtuloResolucin"/>
      </w:pPr>
      <w:r>
        <w:t>Pleno</w:t>
      </w:r>
    </w:p>
    <w:p w:rsidR="005728DD" w:rsidRDefault="005728DD" w:rsidP="005728DD">
      <w:pPr>
        <w:pStyle w:val="TtuloBOE"/>
      </w:pPr>
      <w:r>
        <w:t>(BOE núm. 69, de 22 de marzo de 2021)</w:t>
      </w:r>
    </w:p>
    <w:p w:rsidR="005728DD" w:rsidRDefault="005728DD" w:rsidP="005728DD">
      <w:pPr>
        <w:pStyle w:val="TextoNormalCentrado"/>
      </w:pPr>
      <w:r>
        <w:t>ECLI:ES:TC:2021:36</w:t>
      </w:r>
    </w:p>
    <w:p w:rsidR="005728DD" w:rsidRDefault="005728DD" w:rsidP="005728DD">
      <w:pPr>
        <w:pStyle w:val="TextoNormalCentrado"/>
      </w:pPr>
    </w:p>
    <w:p w:rsidR="005728DD" w:rsidRDefault="005728DD" w:rsidP="005728DD">
      <w:pPr>
        <w:pStyle w:val="SntesisDescriptiva"/>
      </w:pPr>
      <w:r>
        <w:t>Conflicto positivo de competencia 4088-2019. Planteado por el Gobierno de Cataluña en relación con diversos preceptos del Reglamento de adopción internacional aprobado por el Real Decreto 165/2019, de 22 de marzo.</w:t>
      </w:r>
    </w:p>
    <w:p w:rsidR="005728DD" w:rsidRDefault="005728DD" w:rsidP="005728DD">
      <w:pPr>
        <w:pStyle w:val="SntesisDescriptiva"/>
      </w:pPr>
    </w:p>
    <w:p w:rsidR="005728DD" w:rsidRDefault="005728DD" w:rsidP="005728DD">
      <w:pPr>
        <w:pStyle w:val="SntesisAnaltica"/>
      </w:pPr>
      <w:r>
        <w:t>Competencias en materia de relaciones internacionales y protección de menores: nulidad de diversos preceptos de la Ley 54/2007, de 28 de diciembre, de adopción internacional, y de su Reglamento de desarrollo, que atribuyen funciones estrictamente ejecutivas a la administración del Estado. Voto particular.</w:t>
      </w:r>
    </w:p>
    <w:p w:rsidR="005728DD" w:rsidRDefault="005728DD" w:rsidP="005728DD">
      <w:pPr>
        <w:pStyle w:val="SntesisAnaltica"/>
      </w:pPr>
    </w:p>
    <w:p w:rsidR="005728DD" w:rsidRDefault="005728DD" w:rsidP="005728DD">
      <w:pPr>
        <w:pStyle w:val="Extracto"/>
      </w:pPr>
      <w:r>
        <w:t>1.</w:t>
      </w:r>
      <w:r>
        <w:tab/>
        <w:t>Este Tribunal, en la providencia de admisión, puede acordar de oficio tramitar el conflicto positivo de competencia en la forma prevista para el recurso de inconstitucionalidad (art. 67 LOTC); supuesto que se produce cuando la determinación de la competencia controvertida en la disposición o acto objeto del conflicto venga a ser inseparable de la apreciación de la inadecuación o adecuación competencial de la ley (STC 45/1991 y 33/2012) [FJ 2].</w:t>
      </w:r>
    </w:p>
    <w:p w:rsidR="005728DD" w:rsidRDefault="005728DD" w:rsidP="005728DD">
      <w:pPr>
        <w:pStyle w:val="Extracto"/>
      </w:pPr>
    </w:p>
    <w:p w:rsidR="005728DD" w:rsidRDefault="005728DD" w:rsidP="005728DD">
      <w:pPr>
        <w:pStyle w:val="Extracto"/>
      </w:pPr>
      <w:r>
        <w:t>2.</w:t>
      </w:r>
      <w:r>
        <w:tab/>
        <w:t>El art. 67 LOTC arbitra un mecanismo que facilita el control de normas y la depuración del ordenamiento jurídico, permitiendo al Tribunal Constitucional, en orden a la resolución de un determinado conflicto, examinar la legitimidad constitucional de normas con rango de ley delimitadoras de competencias. Este tribunal puede enjuiciar siempre la constitucionalidad de una ley en el curso de un conflicto; lo que el art. 67 LOTC impide es que este se resuelva con un fallo que suponga la inaplicación de una ley sin haberse tramitado el conflicto como un recurso de inconstitucionalidad (STC 5/1987) [FJ 2].</w:t>
      </w:r>
    </w:p>
    <w:p w:rsidR="005728DD" w:rsidRDefault="005728DD" w:rsidP="005728DD">
      <w:pPr>
        <w:pStyle w:val="Extracto"/>
      </w:pPr>
    </w:p>
    <w:p w:rsidR="005728DD" w:rsidRDefault="005728DD" w:rsidP="005728DD">
      <w:pPr>
        <w:pStyle w:val="Extracto"/>
      </w:pPr>
      <w:r>
        <w:t>3.</w:t>
      </w:r>
      <w:r>
        <w:tab/>
        <w:t>Las competencias autonómicas sobre materias no incluidas en el art. 149.1 CE, aunque se enuncien como ‘competencias exclusivas’, no cierran el paso a las competencias estatales previstas en aquel precepto constitucional (STC 31/2010) [FJ 4].</w:t>
      </w:r>
    </w:p>
    <w:p w:rsidR="005728DD" w:rsidRDefault="005728DD" w:rsidP="005728DD">
      <w:pPr>
        <w:pStyle w:val="Extracto"/>
      </w:pPr>
    </w:p>
    <w:p w:rsidR="005728DD" w:rsidRDefault="005728DD" w:rsidP="005728DD">
      <w:pPr>
        <w:pStyle w:val="Extracto"/>
      </w:pPr>
      <w:r>
        <w:t>4.</w:t>
      </w:r>
      <w:r>
        <w:tab/>
        <w:t>Tanto la acreditación de los organismos que realizan actividades de intermediación en las adopciones internacionales, como las funciones instrumentales o conexas a la misma, son manifestación de las competencias ejecutivas autonómicas en materia de servicios sociales y protección de menores. Por tanto, aun siendo susceptibles de una coordinación estatal ceñida a la dirección de la política exterior, no pueden ser sustraídas de la esfera de acción autonómica y atribuidas a órganos estatales, sin incurrir en vulneración del orden constitucional y estatutario de distribución de competencias [FJ 9].</w:t>
      </w:r>
    </w:p>
    <w:p w:rsidR="005728DD" w:rsidRDefault="005728DD" w:rsidP="005728DD">
      <w:pPr>
        <w:pStyle w:val="Extracto"/>
      </w:pPr>
    </w:p>
    <w:p w:rsidR="005728DD" w:rsidRDefault="005728DD" w:rsidP="005728DD">
      <w:pPr>
        <w:pStyle w:val="Extracto"/>
      </w:pPr>
      <w:r>
        <w:t>5.</w:t>
      </w:r>
      <w:r>
        <w:tab/>
        <w:t xml:space="preserve">En ejercicio de su competencia de dirección y coordinación, podrá el Estado fijar directrices o establecer medidas de coordinación que cumplan dos condiciones: dichas medidas estatales no pueden llegar a tal grado de desarrollo que deje vacías de contenido las correspondientes competencias de las comunidades autónomas </w:t>
      </w:r>
      <w:r>
        <w:lastRenderedPageBreak/>
        <w:t>(STC 85/2016); y deben ser medidas que, por afectar directamente a la actividad desarrollada por los organismos acreditados en los países de origen de los menores, sean susceptibles de incidir en la dirección de la política exterior del Estado [FJ 10].</w:t>
      </w:r>
    </w:p>
    <w:p w:rsidR="005728DD" w:rsidRDefault="005728DD" w:rsidP="005728DD">
      <w:pPr>
        <w:pStyle w:val="Extracto"/>
      </w:pPr>
    </w:p>
    <w:p w:rsidR="005728DD" w:rsidRDefault="005728DD" w:rsidP="005728DD">
      <w:pPr>
        <w:pStyle w:val="Extracto"/>
      </w:pPr>
      <w:r>
        <w:t>6.</w:t>
      </w:r>
      <w:r>
        <w:tab/>
        <w:t>El Estado puede reconocer eficacia extraterritorial o supracomunitaria a las decisiones de las administraciones autonómicas que, a la vista de la normativa aplicada, respondan a un estándar normativo igual o similar. Así ocurre cuando tales decisiones ejecutan una normativa común de la Unión Europea armonizada o una legislación estatal común, cuando aplican normativa de la propia comunidad autónoma, si pese a la pluralidad de legislaciones autonómicas y a sus posibles diferencias técnicas o metodológicas, responden a un estándar que pueda ser considerado equivalente (STC 79/2017) [FJ 11].</w:t>
      </w:r>
    </w:p>
    <w:p w:rsidR="005728DD" w:rsidRDefault="005728DD" w:rsidP="005728DD">
      <w:pPr>
        <w:pStyle w:val="Extracto"/>
      </w:pPr>
    </w:p>
    <w:p w:rsidR="005728DD" w:rsidRDefault="005728DD" w:rsidP="005728DD">
      <w:pPr>
        <w:pStyle w:val="Extracto"/>
      </w:pPr>
      <w:r>
        <w:t>7.</w:t>
      </w:r>
      <w:r>
        <w:tab/>
        <w:t>Las competencias de ejecución abarcan las decisiones de pura aplicación y las tareas de gestión administrativa destinadas a prepararlas, como la elaboración de instrumentos o mandatos de contenido abstracto sobre organización (STC 55/2018). La aprobación de modelos, formularios, escritos administrativos normalizados o instrucciones administrativas no puede calificarse de ‘legislación’; es una cuestión ‘meramente procedimental’ perteneciente a la autoorganización de cada administración pública (SSTC 70/1997, 242/1999, 36/2012, 179/2013, 87/2016 y 55/2018) [FJ 12].</w:t>
      </w:r>
    </w:p>
    <w:p w:rsidR="005728DD" w:rsidRDefault="005728DD" w:rsidP="005728DD">
      <w:pPr>
        <w:pStyle w:val="Extracto"/>
      </w:pPr>
    </w:p>
    <w:p w:rsidR="005728DD" w:rsidRDefault="005728DD" w:rsidP="005728DD">
      <w:pPr>
        <w:pStyle w:val="Extracto"/>
      </w:pPr>
      <w:r>
        <w:t>8.</w:t>
      </w:r>
      <w:r>
        <w:tab/>
        <w:t>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art. 149.1.3 CE (STC 31/2010) [FJ 13].</w:t>
      </w:r>
    </w:p>
    <w:p w:rsidR="005728DD" w:rsidRDefault="005728DD" w:rsidP="005728DD">
      <w:pPr>
        <w:pStyle w:val="Extracto"/>
      </w:pPr>
    </w:p>
    <w:p w:rsidR="005728DD" w:rsidRDefault="005728DD" w:rsidP="005728DD">
      <w:pPr>
        <w:pStyle w:val="Extracto"/>
      </w:pPr>
      <w:r>
        <w:t>9.</w:t>
      </w:r>
      <w:r>
        <w:tab/>
        <w:t>Las comunidades autónomas no pueden ser sujetos internacionales, pero nada impide que puedan presentarse como actores internacionales, estando esas entidades territoriales facultadas en determinados casos para realizar actuaciones en el ámbito exterior actuando siempre en el marco de las competencias propias de las comunidades autónomas [FJ 13].</w:t>
      </w:r>
    </w:p>
    <w:p w:rsidR="005728DD" w:rsidRDefault="005728DD" w:rsidP="005728DD">
      <w:pPr>
        <w:pStyle w:val="Extracto"/>
      </w:pPr>
    </w:p>
    <w:p w:rsidR="005728DD" w:rsidRDefault="005728DD" w:rsidP="005728DD">
      <w:pPr>
        <w:pStyle w:val="Extracto"/>
      </w:pPr>
      <w:r>
        <w:t>10.</w:t>
      </w:r>
      <w:r>
        <w:tab/>
        <w:t>La actuación autonómica, siempre que responda al ejercicio de sus competencias estatutarias, puede comprender la apertura de oficinas en el exterior que ejerzan su representación institucional (SSTC 165/1994 y 228/2016), y permite entablar relaciones con gobiernos de otros Estados [FJ 13].</w:t>
      </w:r>
    </w:p>
    <w:p w:rsidR="005728DD" w:rsidRDefault="005728DD" w:rsidP="005728DD">
      <w:pPr>
        <w:pStyle w:val="Extracto"/>
      </w:pPr>
    </w:p>
    <w:p w:rsidR="005728DD" w:rsidRDefault="005728DD" w:rsidP="005728DD">
      <w:pPr>
        <w:pStyle w:val="Extracto"/>
      </w:pPr>
      <w:r>
        <w:t>11.</w:t>
      </w:r>
      <w:r>
        <w:tab/>
        <w:t>Sin invadir las competencias ejecutivas de las comunidades autónomas, el Estado puede proyectar con naturalidad su competencia de coordinación; en este ámbito, las comunidades autónomas pueden solicitar de los órganos del servicio exterior del Estado el apoyo necesario a sus iniciativas (STC 85/2016) [FJ 13].</w:t>
      </w:r>
    </w:p>
    <w:p w:rsidR="005728DD" w:rsidRDefault="005728DD" w:rsidP="005728DD">
      <w:pPr>
        <w:pStyle w:val="Extracto"/>
      </w:pPr>
    </w:p>
    <w:p w:rsidR="005728DD" w:rsidRDefault="005728DD" w:rsidP="005728DD">
      <w:pPr>
        <w:pStyle w:val="Extracto"/>
      </w:pPr>
      <w:r>
        <w:t>12.</w:t>
      </w:r>
      <w:r>
        <w:tab/>
        <w:t xml:space="preserve">El Estado puede establecer los registros administrativos que estime necesarios para ejercer sus competencias, distintas de la prevista en el artículo 149.1.8 CE, si </w:t>
      </w:r>
      <w:r>
        <w:lastRenderedPageBreak/>
        <w:t>bien al regular el régimen jurídico de esos registros deberá respetar las competencias de ejecución que hayan asumido las comunidades autónomas en relación con esa materia (SSTC 236/1991, 203/1992 y 243/1994) [FJ 14].</w:t>
      </w:r>
    </w:p>
    <w:p w:rsidR="005728DD" w:rsidRDefault="005728DD" w:rsidP="005728DD">
      <w:pPr>
        <w:pStyle w:val="Extracto"/>
      </w:pPr>
    </w:p>
    <w:p w:rsidR="005728DD" w:rsidRDefault="005728DD" w:rsidP="005728DD">
      <w:pPr>
        <w:pStyle w:val="Extracto"/>
      </w:pPr>
      <w:r>
        <w:t>13.</w:t>
      </w:r>
      <w:r>
        <w:tab/>
        <w:t>Desde los diferentes criterios de distribución competencial, es constitucionalmente posible la creación de un registro único para todo el Estado que garantice la centralización de todos los datos a los estrictos efectos de información y publicidad y, a este fin, fijar las directrices técnicas y de coordinación necesarias [FJ 14].</w:t>
      </w:r>
    </w:p>
    <w:p w:rsidR="005728DD" w:rsidRDefault="005728DD" w:rsidP="005728DD">
      <w:pPr>
        <w:pStyle w:val="Extracto"/>
      </w:pPr>
    </w:p>
    <w:p w:rsidR="005728DD" w:rsidRDefault="005728DD" w:rsidP="005728DD">
      <w:pPr>
        <w:pStyle w:val="Extracto"/>
      </w:pPr>
      <w:r>
        <w:t>14.</w:t>
      </w:r>
      <w:r>
        <w:tab/>
        <w:t>El Estado debe aceptar como vinculantes las propuestas de inscripción y de autorización o de cancelación y revocación registrales que efectúen las comunidades autónomas que ostentan las competencias ejecutivas en la materia; pues si las facultades del Estado están circunscritas a la potestad normativa para la creación de un registro único, estas otras facultades, de índole ejecutiva, exceden de su ámbito de actuación competencialmente posible (SSTC 243/1994, 197/1996, 11/2015, 32/2016 y 7/2019) [FJ 14].</w:t>
      </w:r>
    </w:p>
    <w:p w:rsidR="005728DD" w:rsidRDefault="005728DD" w:rsidP="005728DD">
      <w:pPr>
        <w:pStyle w:val="Extracto"/>
      </w:pPr>
    </w:p>
    <w:p w:rsidR="005728DD" w:rsidRDefault="005728DD" w:rsidP="005728DD">
      <w:pPr>
        <w:pStyle w:val="Extracto"/>
      </w:pPr>
      <w:r>
        <w:t>15.</w:t>
      </w:r>
      <w:r>
        <w:tab/>
        <w:t>Por exigencias del principio constitucional de seguridad jurídica (art. 9.3 CE), las declaraciones de inconstitucionalidad y nulidad no afectarán a las situaciones jurídicas consolidadas, debiéndose considerar como tales las establecidas mediante actuaciones administrativas firmes, o las que, en la vía judicial, hayan sido decididas mediante sentencia con fuerza de cosa juzgada ex art. 40.1 LOTC (STC 40/2019) [FJ 16].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conflicto positivo de competencia núm. 4088-2019, planteado por el Gobierno de Cataluña contra los arts. 5; 6; 7; 8.2, 3 y 4; 10; 11; 12 a 36; 38.2 y 4; 39.3 b), 4 c) y 4 e), del Reglamento de adopción internacional aprobado por el Real Decreto 165/2019, de 22 de marzo, y —por conexión— contra la disposición transitoria única y la disposición final primera de este real decreto. Ha comparecido y formulado alegaciones el abogado del Estado. Ha sido ponente el magistrado don Andrés Ollero Tassara.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Con fecha 1 de julio de 2019, tuvo entrada en el registro del tribunal un escrito de la abogada de la Generalitat de Cataluña, en representación de su Gobierno, por el que plantea conflicto positivo de competencia contra los arts. 5; 6; 7; 8.2, 3 y 4; 10; 11; 12 a 36; 38.2 y 4; 39.3.b), 4.c) y 4.e), del Reglamento de adopción internacional (RAI), aprobado por el Real Decreto 165/2019, de 22 de marzo y —por conexión— contra la disposición transitoria única y la disposición final primera del mismo.</w:t>
      </w:r>
    </w:p>
    <w:p w:rsidR="005728DD" w:rsidRDefault="005728DD" w:rsidP="005728DD">
      <w:pPr>
        <w:pStyle w:val="TextoNormal"/>
      </w:pPr>
    </w:p>
    <w:p w:rsidR="005728DD" w:rsidRDefault="005728DD" w:rsidP="005728DD">
      <w:pPr>
        <w:pStyle w:val="TextoNormal"/>
      </w:pPr>
      <w:r>
        <w:t>En el apartado de antecedentes, la demanda refiere que la norma impugnada tiene por objeto desarrollar las previsiones que la Ley 26/2015, de 28 de julio, de modificación del sistema de protección a la infancia y a la adolescencia, introdujo en la Ley 54/2007, de 28 de diciembre, de adopción internacional (LAI). Esta reforma legal modificó las funciones de la administración general del Estado y las comunidades autónomas en esta materia. Sometida la Ley 26/2015 al procedimiento regulado en el art. 33.2 de la Ley Orgánica del Tribunal Constitucional (LOTC), dio paso a un acuerdo de la subcomisión de seguimiento normativo, prevención y solución de conflictos de la comisión bilateral Generalitat-Estado de 17 de marzo de 2016 (“BOE” de 27 de mayo de 2016). Se resolvió pues la discrepancia competencial que ahora reaparece en el reglamento objeto de este conflicto.</w:t>
      </w:r>
    </w:p>
    <w:p w:rsidR="005728DD" w:rsidRDefault="005728DD" w:rsidP="005728DD">
      <w:pPr>
        <w:pStyle w:val="TextoNormal"/>
      </w:pPr>
    </w:p>
    <w:p w:rsidR="005728DD" w:rsidRDefault="005728DD" w:rsidP="005728DD">
      <w:pPr>
        <w:pStyle w:val="TextoNormal"/>
      </w:pPr>
      <w:r>
        <w:t>Se sintetizan seguidamente los argumentos de la demanda en apoyo de su reivindicación competencial, que inicia con el análisis de los títulos invocados por la disposición final primera del Real Decreto 165/2019 (art. 149.1, 3 y 8 CE):</w:t>
      </w:r>
    </w:p>
    <w:p w:rsidR="005728DD" w:rsidRDefault="005728DD" w:rsidP="005728DD">
      <w:pPr>
        <w:pStyle w:val="TextoNormal"/>
      </w:pPr>
    </w:p>
    <w:p w:rsidR="005728DD" w:rsidRDefault="005728DD" w:rsidP="005728DD">
      <w:pPr>
        <w:pStyle w:val="TextoNormal"/>
      </w:pPr>
      <w:r>
        <w:t>(i) La referencia a la legislación civil suscita la posible afectación de la regulación de la Generalitat sobre instituciones de familia y filiación en su derecho civil propio [art. 129 Estatuto de Autonomía de Cataluña (EAC)], al estar recogida la adopción, como institución civil, ya en la compilación de 21 de julio de 1960, y actualmente en el Código civil de Cataluña, libro segundo, título III, capítulo IV. Su sección tercera aborda la filiación adoptiva e incluye una regulación específica de la adopción internacional. La regulación estatal sobre adopción internacional objeto del presente conflicto no podría proyectarse válidamente sobre la legislación civil catalana.</w:t>
      </w:r>
    </w:p>
    <w:p w:rsidR="005728DD" w:rsidRDefault="005728DD" w:rsidP="005728DD">
      <w:pPr>
        <w:pStyle w:val="TextoNormal"/>
      </w:pPr>
    </w:p>
    <w:p w:rsidR="005728DD" w:rsidRDefault="005728DD" w:rsidP="005728DD">
      <w:pPr>
        <w:pStyle w:val="TextoNormal"/>
      </w:pPr>
      <w:r>
        <w:t>Sin embargo, como ponen de manifiesto los dictámenes 15/2015 y 3/2019 del Consejo de Garantías Estatutarias, y el dictamen 883/2018 del Consejo de Estado, en atención al objeto, la finalidad y el contenido de la regulación impugnada, es cuestionable que pueda calificarse de civil. No incide en el contenido de las relaciones paternofiliales, sino que su naturaleza es claramente administrativa, respondiendo al ámbito competencial de protección del menor.</w:t>
      </w:r>
    </w:p>
    <w:p w:rsidR="005728DD" w:rsidRDefault="005728DD" w:rsidP="005728DD">
      <w:pPr>
        <w:pStyle w:val="TextoNormal"/>
      </w:pPr>
    </w:p>
    <w:p w:rsidR="005728DD" w:rsidRDefault="005728DD" w:rsidP="005728DD">
      <w:pPr>
        <w:pStyle w:val="TextoNormal"/>
      </w:pPr>
      <w:r>
        <w:t xml:space="preserve">(ii) La doctrina constitucional sobre la competencia estatal en materia de relaciones internacionales (STC 175/1995, de 5 de diciembre, FJ 5, que reitera pronunciamientos anteriores de las SSTC 80/1993, de 8 de marzo, FJ 3, y 165/1994, de 26 de mayo, FJ 5), figura recogida en los arts. 193 a 200 EAC. Rechaza la identificación de esta materia con cualquier tipo de actividad con alcance o proyección exterior, lo que podría producir una reordenación del sistema de distribución de competencias entre el Estado y las comunidades autónomas (entre otras, STC 138/2011, de 14 de septiembre, FJ 4). El tribunal ha admitido la posibilidad de que las comunidades autónomas lleven a cabo actividades con proyección exterior, </w:t>
      </w:r>
      <w:r>
        <w:lastRenderedPageBreak/>
        <w:t xml:space="preserve">incluso cuando “supongan una conexión o relación con entidades públicas exteriores al Estado, en tanto tales conexiones o relaciones no incidan en la reserva estatal prevista en el art. 149.1.3 CE, o perturben el ejercicio de las actividades que la integran” (STC 165/1994, FJ 8). Esta capacidad autonómica debe entenderse referida a las actividades que deriven del ejercicio de sus competencias y que no impliquen el ejercicio del </w:t>
      </w:r>
      <w:r w:rsidRPr="005728DD">
        <w:rPr>
          <w:i/>
        </w:rPr>
        <w:t>ius contrahendi</w:t>
      </w:r>
      <w:r>
        <w:t>, no originen obligaciones inmediatas y actuales frente a poderes públicos extranjeros, no incidan en la política exterior del Estado y no generen responsabilidad de este frente a terceros Estados u organizaciones inter o supranacionales. Esa capacidad deben pues ejercerla las comunidades autónomas de manera que no perturbe o condicione la política exterior del Estado (entre otras, STC 228/2016, de 22 de diciembre, FJ 5).</w:t>
      </w:r>
    </w:p>
    <w:p w:rsidR="005728DD" w:rsidRDefault="005728DD" w:rsidP="005728DD">
      <w:pPr>
        <w:pStyle w:val="TextoNormal"/>
      </w:pPr>
    </w:p>
    <w:p w:rsidR="005728DD" w:rsidRDefault="005728DD" w:rsidP="005728DD">
      <w:pPr>
        <w:pStyle w:val="TextoNormal"/>
      </w:pPr>
      <w:r>
        <w:t xml:space="preserve">De esa jurisprudencia deriva que, en materia de adopción internacional, el Estado puede celebrar tratados multilaterales o bilaterales que contengan prescripciones de naturaleza sustantiva sobre el régimen de las adopciones. Tales tratados ocupan una especial posición en nuestro sistema de fuentes y, por ello, inciden sobre la normativa y las actuaciones de las comunidades autónomas. Pero el </w:t>
      </w:r>
      <w:r w:rsidRPr="005728DD">
        <w:rPr>
          <w:i/>
        </w:rPr>
        <w:t>ius contrahendi</w:t>
      </w:r>
      <w:r>
        <w:t xml:space="preserve"> no habilita al Estado para desplazar a las comunidades autónomas cuando la materia objeto del tratado incida en su ámbito competencial, supuesto en el que les corresponde la ejecución y aplicación del tratado, sin perjuicio de la necesaria cooperación (art. 196.4 EAC). Con base en el elemento exterior propio de la adopción internacional, el Estado no podría sustituir a las comunidades autónomas en el desarrollo normativo que deriva de los instrumentos internacionales, ni reservarse las medidas de ejecución de los mismos, más allá de las que sean propias de la función de coordinación de la acción exterior.</w:t>
      </w:r>
    </w:p>
    <w:p w:rsidR="005728DD" w:rsidRDefault="005728DD" w:rsidP="005728DD">
      <w:pPr>
        <w:pStyle w:val="TextoNormal"/>
      </w:pPr>
    </w:p>
    <w:p w:rsidR="005728DD" w:rsidRDefault="005728DD" w:rsidP="005728DD">
      <w:pPr>
        <w:pStyle w:val="TextoNormal"/>
      </w:pPr>
      <w:r>
        <w:t>Por vulneración de la competencia que el art. 166 EAC atribuye a la Generalitat de Cataluña en materia de menores, se impugnan los preceptos que establecen una regulación completa de las previsiones sobre la intermediación en la adopción internacional, especialmente sobre la actuación de los organismos acreditados. Se desconocerían las funciones normativas que corresponden a las comunidades autónomas en esta materia al identificar cualquier función con trascendencia exterior en el procedimiento de adopción internacional con una actuación propia de la facultad de coordinación estatal:</w:t>
      </w:r>
    </w:p>
    <w:p w:rsidR="005728DD" w:rsidRDefault="005728DD" w:rsidP="005728DD">
      <w:pPr>
        <w:pStyle w:val="TextoNormal"/>
      </w:pPr>
    </w:p>
    <w:p w:rsidR="005728DD" w:rsidRDefault="005728DD" w:rsidP="005728DD">
      <w:pPr>
        <w:pStyle w:val="TextoNormal"/>
      </w:pPr>
      <w:r>
        <w:t>a) El art. 5 RAI atribuye a un órgano estatal en exclusiva la firma de acuerdos bilaterales de carácter administrativo con los países de origen, negando con ello la facultad autonómica para suscribir dichos acuerdos, aunque su ámbito objetivo se enmarque en la competencia autonómica en materia de adopción y su celebración esté prevista en el tratado que el acuerdo ejecute o concrete. Esto desbordaría el ámbito de la función coordinadora del Estado en materia de relaciones internacionales. El título II de la Ley estatal 25/2014, de 27 de noviembre, de tratados y otros acuerdos internacionales, reconoce a las comunidades autónomas competentes por razón de la materia la capacidad de celebrar acuerdos internacionales, cuyo contenido habitual es de naturaleza técnica, en ejecución y concreción de un tratado internacional, cuando el propio tratado así lo prevea (art. 52). En esta previsión encajarían los acuerdos internacionales de carácter administrativo en materia de adopción internacional, cuya finalidad es facilitar las relaciones entre las autoridades competentes del país de origen del menor y las autoridades competentes para la tramitación del expediente administrativo en el país de los adoptantes: se refieren a la fase administrativa de la adopción, que corresponde al ámbito competencial de las comunidades autónomas (art. 196.4 EAC, y SSTC 118/2011, de 5 de julio, FJ 10, y 138/2011, FJ 4, entre otras).</w:t>
      </w:r>
    </w:p>
    <w:p w:rsidR="005728DD" w:rsidRDefault="005728DD" w:rsidP="005728DD">
      <w:pPr>
        <w:pStyle w:val="TextoNormal"/>
      </w:pPr>
    </w:p>
    <w:p w:rsidR="005728DD" w:rsidRDefault="005728DD" w:rsidP="005728DD">
      <w:pPr>
        <w:pStyle w:val="TextoNormal"/>
      </w:pPr>
      <w:r>
        <w:t>b) Los arts. 6, 7 y 8 RAI atribuyen a un órgano estatal la determinación del inicio de la tramitación de expedientes de adopción con un determinado país (art. 6.1), y a la Comisión delegada de servicios sociales la misma función en los casos de suspensión o paralización de la tramitación de expedientes de adopción internacional (art. 7.1). En circunstancias excepcionales, se prevé la suspensión de las adopciones de manera cautelar por el órgano estatal (art. 7.2). En todos estos procedimientos, se faculta al órgano estatal para recabar la correspondiente información a organismos públicos y privados (art. 6.2 y 7.1). La decisión sobre los países en los que concurren las circunstancias previstas en el art. 4.2 LAI, que impiden la tramitación de ofrecimientos para la adopción, también se atribuye al órgano estatal, que resuelve sobre la procedencia del inicio, suspensión o paralización de la tramitación de adopciones, resolución que se notifica y publica según lo dispuesto en el art. 8.</w:t>
      </w:r>
    </w:p>
    <w:p w:rsidR="005728DD" w:rsidRDefault="005728DD" w:rsidP="005728DD">
      <w:pPr>
        <w:pStyle w:val="TextoNormal"/>
      </w:pPr>
    </w:p>
    <w:p w:rsidR="005728DD" w:rsidRDefault="005728DD" w:rsidP="005728DD">
      <w:pPr>
        <w:pStyle w:val="TextoNormal"/>
      </w:pPr>
      <w:r>
        <w:t>En los tres casos —inicio, suspensión y paralización de la tramitación de expedientes de adopción internacional— se trata de funciones ejecutivas que, hasta la reforma de la LAI en 2015, venían ejerciendo las comunidades autónomas en virtud de sus competencias en materia de protección del menor. Aun admitiendo que la dimensión internacional de la decisión, y la necesidad de corregir o evitar posibles deficiencias que puedan perjudicar la política exterior del Estado, podrían justificar el establecimiento de un mecanismo de coordinación, tal justificación no permite atribuir directamente a la administración estatal la decisión; sin prever el adecuado mecanismo de participación de las comunidades autónomas, que no puede considerarse satisfecho con un simple trámite de consulta. Con ello se vulneraría la competencia de la Generalitat de Cataluña en materia de menores, como han manifestado el Consejo de Garantías Estatutarias en sus dictámenes 15/2015 y 3/2019, y el Consejo General del Poder Judicial en su informe sobre el proyecto de Reglamento de adopción internacional.</w:t>
      </w:r>
    </w:p>
    <w:p w:rsidR="005728DD" w:rsidRDefault="005728DD" w:rsidP="005728DD">
      <w:pPr>
        <w:pStyle w:val="TextoNormal"/>
      </w:pPr>
    </w:p>
    <w:p w:rsidR="005728DD" w:rsidRDefault="005728DD" w:rsidP="005728DD">
      <w:pPr>
        <w:pStyle w:val="TextoNormal"/>
      </w:pPr>
      <w:r>
        <w:t>La sustitución por un órgano estatal en el ejercicio de una competencia autonómica sería el vicio en el que incurren los arts. 6, 7 y 8.2 y 3 RAI y —por conexión— la previsión de publicación de esas resoluciones estatales y la facultad de recabar información en el marco de estos procedimientos.</w:t>
      </w:r>
    </w:p>
    <w:p w:rsidR="005728DD" w:rsidRDefault="005728DD" w:rsidP="005728DD">
      <w:pPr>
        <w:pStyle w:val="TextoNormal"/>
      </w:pPr>
    </w:p>
    <w:p w:rsidR="005728DD" w:rsidRDefault="005728DD" w:rsidP="005728DD">
      <w:pPr>
        <w:pStyle w:val="TextoNormal"/>
      </w:pPr>
      <w:r>
        <w:t>c) Los arts. 10 y 11 RAI contendrían una doble vulneración a las competencias de la Generalitat de Cataluña en materia de adopción (art. 166 EAC): (i) al atribuir al Estado la competencia para regular el procedimiento para establecer el número máximo de expedientes que se pueden tramitar anualmente en cada país de origen, y los criterios para su distribución; y (ii) al atribuir a un órgano estatal la decisión sobre el número de expedientes de adopción internacional que se remitirán anualmente a cada país de origen, y a la comisión delegada la aplicación del criterio para su distribución.</w:t>
      </w:r>
    </w:p>
    <w:p w:rsidR="005728DD" w:rsidRDefault="005728DD" w:rsidP="005728DD">
      <w:pPr>
        <w:pStyle w:val="TextoNormal"/>
      </w:pPr>
    </w:p>
    <w:p w:rsidR="005728DD" w:rsidRDefault="005728DD" w:rsidP="005728DD">
      <w:pPr>
        <w:pStyle w:val="TextoNormal"/>
      </w:pPr>
      <w:r>
        <w:t xml:space="preserve">Aun admitiendo la necesidad de configurar la decisión de modo que permita encajar las solicitudes generadas en las distintas comunidades autónomas y la oferta existente en cada país de origen, tal encaje debería llevarse a cabo mediante los oportunos mecanismos de coordinación entre las administraciones competentes. El necesario acuerdo entre estas no puede ser sustituido por la determinación por el Estado de los criterios aplicables ni puede justificar que sea un órgano estatal el que determine el número anual de nuevos expedientes. Esa regulación olvidaría que la determinación de los expedientes que se tramitan anualmente en un determinado país de origen, en el marco de las adopciones amparadas en el </w:t>
      </w:r>
      <w:r>
        <w:lastRenderedPageBreak/>
        <w:t>convenio relativo a la protección del niño y a la cooperación en materia de adopción internacional, hecho en La Haya el 29 de mayo de 1993, se integra en el sistema normal de relaciones entre las autoridades centrales designadas por el Estado de origen y el Estado de adopción. La designación de los organismos autonómicos como autoridades centrales en España, respecto de las actuaciones en su territorio y de sus residentes, consta en el instrumento de ratificación del convenio publicado en el “BOE” de 1 de agosto de 1995. El deber de colaboración entre las autoridades centrales de los países de origen y destino abarca todas las funciones, sin que sea posible distinguir entre las funciones realizadas en el país de origen del adoptado y en el territorio del país de adopción, y así las ha asumido directamente la Generalitat de Cataluña durante el largo período de vigencia del convenio anterior a esta controversia.</w:t>
      </w:r>
    </w:p>
    <w:p w:rsidR="005728DD" w:rsidRDefault="005728DD" w:rsidP="005728DD">
      <w:pPr>
        <w:pStyle w:val="TextoNormal"/>
      </w:pPr>
    </w:p>
    <w:p w:rsidR="005728DD" w:rsidRDefault="005728DD" w:rsidP="005728DD">
      <w:pPr>
        <w:pStyle w:val="TextoNormal"/>
      </w:pPr>
      <w:r>
        <w:t>d) El capítulo IV RAI regula los organismos acreditados para la intermediación en las adopciones internacionales. La función de intermediación, que el Convenio de La Haya de 1993 asigna a las autoridades centrales —en España, los organismos autonómicos competentes en materia de adopción—, puede ser ejercida directamente o mediante la cooperación de los denominados “organismos acreditados”, previsión incorporada al art. 6 LAI. El capítulo IV RAI supera las previsiones del Convenio de La Haya de 1993 incorporadas en la Ley de adopción internacional y, sin que el Estado disponga de competencia para ello, establece una regulación sobre los organismos acreditados que desarrolla y completa la que deriva del Convenio de La Haya de 1993.</w:t>
      </w:r>
    </w:p>
    <w:p w:rsidR="005728DD" w:rsidRDefault="005728DD" w:rsidP="005728DD">
      <w:pPr>
        <w:pStyle w:val="TextoNormal"/>
      </w:pPr>
    </w:p>
    <w:p w:rsidR="005728DD" w:rsidRDefault="005728DD" w:rsidP="005728DD">
      <w:pPr>
        <w:pStyle w:val="TextoNormal"/>
      </w:pPr>
      <w:r>
        <w:t>La regulación del ámbito de actuación de los organismos acreditados, el procedimiento para su acreditación, la determinación de sus funciones pre y post adopción —en España y en el país de origen—, su régimen económico y financiero, y su régimen de control y seguimiento se integrarían en la fase administrativa de la adopción internacional y, por lo tanto, en el ámbito de la competencia autonómica de protección del menor. No puede ampararse en la competencia estatal en materia de relaciones internacionales porque la posibilidad de actuación de los organismos acreditados esté prevista en un convenio internacional, pues la capacidad de las comunidades autónomas para ejecutar las previsiones de un convenio internacional en el ámbito de sus competencias ha sido reconocida por las SSTC 118/2011, FJ 10, y 138/2011, FJ 4 y, en el caso de Cataluña, se encuentra expresamente prevista en el art. 196.3 EAC. Tampoco encuentra cobertura en el límite que deriva de la hipotética aptitud para generar obligaciones internacionales (STC 46/2015, de 5 de marzo, FJ 4), puesto que no estamos ante la ejecución de un tratado internacional que comporte —la designación del mecanismo o mecanismos nacionales—, a los que se imponen exigencias y obligaciones de relación con otros organismos derivados del tratado. Así lo entendió el Estado en la ratificación del Convenio de La Haya de 1993 y en el art. 6 LAI, al remitir a las normas autonómicas.</w:t>
      </w:r>
    </w:p>
    <w:p w:rsidR="005728DD" w:rsidRDefault="005728DD" w:rsidP="005728DD">
      <w:pPr>
        <w:pStyle w:val="TextoNormal"/>
      </w:pPr>
    </w:p>
    <w:p w:rsidR="005728DD" w:rsidRDefault="005728DD" w:rsidP="005728DD">
      <w:pPr>
        <w:pStyle w:val="TextoNormal"/>
      </w:pPr>
      <w:r>
        <w:t>El art. 12 RAI, al establecer que los organismos acreditados podrán actuar en los expedientes de adopción que se tramiten ante cualquier comunidad autónoma, les priva de su competencia ejecutiva para determinar qué organismos pueden cooperar en los procedimientos de adopción internacional que tramiten. El art. 12.3 privaría además a la Generalitat de Cataluña de su capacidad para determinar cuáles sean, en cada caso, las funciones de intermediación de los organismos acreditados, puesto que la delimitación de esas funciones figura en la resolución estatal de acreditación (art. 25 RAI).</w:t>
      </w:r>
    </w:p>
    <w:p w:rsidR="005728DD" w:rsidRDefault="005728DD" w:rsidP="005728DD">
      <w:pPr>
        <w:pStyle w:val="TextoNormal"/>
      </w:pPr>
    </w:p>
    <w:p w:rsidR="005728DD" w:rsidRDefault="005728DD" w:rsidP="005728DD">
      <w:pPr>
        <w:pStyle w:val="TextoNormal"/>
      </w:pPr>
      <w:r>
        <w:lastRenderedPageBreak/>
        <w:t xml:space="preserve">La acreditación de organismos se integra en la función de supervisión y control administrativa del procedimiento de adopción. Del </w:t>
      </w:r>
      <w:r w:rsidRPr="005728DD">
        <w:rPr>
          <w:i/>
        </w:rPr>
        <w:t>ius contrahendi</w:t>
      </w:r>
      <w:r>
        <w:t xml:space="preserve"> o de la función coordinadora no derivaría la capacidad estatal para adoptar actos de ejecución en sustitución de las comunidades autónomas. La coordinación estatal presupone la existencia de competencias autonómicas que deben ser coordinadas, y por ello no podría llegar a tal grado de desarrollo que comporte la sustitución de las comunidades autónomas en el ejercicio de sus funciones ejecutivas.</w:t>
      </w:r>
    </w:p>
    <w:p w:rsidR="005728DD" w:rsidRDefault="005728DD" w:rsidP="005728DD">
      <w:pPr>
        <w:pStyle w:val="TextoNormal"/>
      </w:pPr>
    </w:p>
    <w:p w:rsidR="005728DD" w:rsidRDefault="005728DD" w:rsidP="005728DD">
      <w:pPr>
        <w:pStyle w:val="TextoNormal"/>
      </w:pPr>
      <w:r>
        <w:t>La acreditación estatal no puede justificarse en la evolución que en los últimos años ha experimentado la adopción internacional, como hace la memoria que acompañaba al proyecto del Real Decreto 165/2019. El problema, si existe, ha de resolverse a través de los instrumentos de coordinación entre administraciones públicas, que permiten dar respuesta a las posibles disfunciones, sin alterar el régimen de distribución de competencias.</w:t>
      </w:r>
    </w:p>
    <w:p w:rsidR="005728DD" w:rsidRDefault="005728DD" w:rsidP="005728DD">
      <w:pPr>
        <w:pStyle w:val="TextoNormal"/>
      </w:pPr>
    </w:p>
    <w:p w:rsidR="005728DD" w:rsidRDefault="005728DD" w:rsidP="005728DD">
      <w:pPr>
        <w:pStyle w:val="TextoNormal"/>
      </w:pPr>
      <w:r>
        <w:t>Por lo que se refiere a la necesidad de limitar los organismos, debe recordarse que la acreditación es una decisión administrativa unilateral que no obliga al país de origen del menor, ni por ello comporta responsabilidad internacional para el Estado, como demuestra el art 26 RAI, al regular la extinción de la acreditación. Por todo ello, los arts. 17.1 y 2, 22.1, 4 y 8, 23.4, 24, 25, 26.1 y 5, 27, 28, 30.2, y 32.2 j), y la disposición transitoria única, al atribuir al Estado la totalidad de las decisiones sobre el inicio, convocatoria, instrucción y tramitación del procedimiento de acreditación, y limitar la participación de las comunidades autónomas, directamente o a través de la comisión delegada, a la mera consulta [arts. 17.1, 22.6, y 7, 24 b), 27 y 28], vulnerarían las competencias de la Generalitat (art. 166 EAC).</w:t>
      </w:r>
    </w:p>
    <w:p w:rsidR="005728DD" w:rsidRDefault="005728DD" w:rsidP="005728DD">
      <w:pPr>
        <w:pStyle w:val="TextoNormal"/>
      </w:pPr>
    </w:p>
    <w:p w:rsidR="005728DD" w:rsidRDefault="005728DD" w:rsidP="005728DD">
      <w:pPr>
        <w:pStyle w:val="TextoNormal"/>
      </w:pPr>
      <w:r>
        <w:t>Tal regulación es claramente contradictoria con lo que establece la Ley catalana 25/2010, de 29 de julio, del Libro segundo del Código civil de Cataluña, cuyo art. 235-46, relativo a las funciones de intermediación en la adopción internacional, que atribuye a la administración de la Generalitat la función de acreditar entidades colaboradoras, establece las condiciones generales de las mismas, y determina que deben someterse a las directrices, inspección y control de la entidad pública competente.</w:t>
      </w:r>
    </w:p>
    <w:p w:rsidR="005728DD" w:rsidRDefault="005728DD" w:rsidP="005728DD">
      <w:pPr>
        <w:pStyle w:val="TextoNormal"/>
      </w:pPr>
    </w:p>
    <w:p w:rsidR="005728DD" w:rsidRDefault="005728DD" w:rsidP="005728DD">
      <w:pPr>
        <w:pStyle w:val="TextoNormal"/>
      </w:pPr>
      <w:r>
        <w:t>Los arts. 33 a 36 desarrollan los apartados 2 y 3 del art. 7 LAI, que atribuyen a la administración estatal el control y seguimiento de las actuaciones de los organismos en los países de origen del menor, y a las comunidades autónomas su control, inspección y seguimiento respecto de las actuaciones que desarrollen en su territorio. Además, se asigna a la comisión técnica de seguimiento y control —en la que las comunidades autónomas tienen una muy limitada representación— la función de coordinar las actuaciones de seguimiento y control de los organismos acreditados.</w:t>
      </w:r>
    </w:p>
    <w:p w:rsidR="005728DD" w:rsidRDefault="005728DD" w:rsidP="005728DD">
      <w:pPr>
        <w:pStyle w:val="TextoNormal"/>
      </w:pPr>
    </w:p>
    <w:p w:rsidR="005728DD" w:rsidRDefault="005728DD" w:rsidP="005728DD">
      <w:pPr>
        <w:pStyle w:val="TextoNormal"/>
      </w:pPr>
      <w:r>
        <w:t>El control autonómico previsto en el art. 33.2 RAI no puede ser efectivo si se les priva del control de las actividades y funciones que los organismos acreditados realizan en los países de origen, y tampoco si el control interno es sustituido por el que se atribuye a la comisión técnica de seguimiento y control prevista en los arts. 34 y 36 RAI. Esta delimitación de funciones de control y seguimiento supera el ámbito propio de los instrumentos de colaboración interadministrativa, no se adecua al sistema de distribución de competencias y supone redefinir el modelo de distribución competencial (STC 96/1996, de 30 de mayo, FJ 2).</w:t>
      </w:r>
    </w:p>
    <w:p w:rsidR="005728DD" w:rsidRDefault="005728DD" w:rsidP="005728DD">
      <w:pPr>
        <w:pStyle w:val="TextoNormal"/>
      </w:pPr>
    </w:p>
    <w:p w:rsidR="005728DD" w:rsidRDefault="005728DD" w:rsidP="005728DD">
      <w:pPr>
        <w:pStyle w:val="TextoNormal"/>
      </w:pPr>
      <w:r>
        <w:lastRenderedPageBreak/>
        <w:t>En conclusión, los artículos 33.1, 34, 35.1, 2, 4 y 5, y 36.1 y 2 vulnerarían la competencia de la Generalita</w:t>
      </w:r>
      <w:r w:rsidRPr="005728DD">
        <w:rPr>
          <w:i/>
        </w:rPr>
        <w:t xml:space="preserve">t </w:t>
      </w:r>
      <w:r>
        <w:t>ex art. 166 EAC.</w:t>
      </w:r>
    </w:p>
    <w:p w:rsidR="005728DD" w:rsidRDefault="005728DD" w:rsidP="005728DD">
      <w:pPr>
        <w:pStyle w:val="TextoNormal"/>
      </w:pPr>
    </w:p>
    <w:p w:rsidR="005728DD" w:rsidRDefault="005728DD" w:rsidP="005728DD">
      <w:pPr>
        <w:pStyle w:val="TextoNormal"/>
      </w:pPr>
      <w:r>
        <w:t>Idéntica vulneración competencial comportan las previsiones de los arts. 15, apartados d), f), g), h), i), y v), 26.3, 29 e), 30.1, y 38.4 RAI, relativas a un amplio conjunto de obligaciones de comunicación e información que se establecen para los organismos acreditados, que derivan de la incorrecta atribución a un órgano estatal de las funciones ejecutivas vinculadas al procedimiento de acreditación y al control y seguimiento de los organismos.</w:t>
      </w:r>
    </w:p>
    <w:p w:rsidR="005728DD" w:rsidRDefault="005728DD" w:rsidP="005728DD">
      <w:pPr>
        <w:pStyle w:val="TextoNormal"/>
      </w:pPr>
    </w:p>
    <w:p w:rsidR="005728DD" w:rsidRDefault="005728DD" w:rsidP="005728DD">
      <w:pPr>
        <w:pStyle w:val="TextoNormal"/>
      </w:pPr>
      <w:r>
        <w:t>e) Los arts. 31 y 32 RAI atribuyen a la comisión delegada la aprobación del modelo básico homologado del contrato entre los organismos acreditados y los adoptantes, y establecen, con un importante grado de detalle, cuál debe ser su contenido mínimo.</w:t>
      </w:r>
    </w:p>
    <w:p w:rsidR="005728DD" w:rsidRDefault="005728DD" w:rsidP="005728DD">
      <w:pPr>
        <w:pStyle w:val="TextoNormal"/>
      </w:pPr>
    </w:p>
    <w:p w:rsidR="005728DD" w:rsidRDefault="005728DD" w:rsidP="005728DD">
      <w:pPr>
        <w:pStyle w:val="TextoNormal"/>
      </w:pPr>
      <w:r>
        <w:t>La exhaustividad con la que se regula excede de esa calificación de “básico”. Pero, sea cual sea el detalle de ese contenido mínimo, esta regulación no puede ampararse en el título competencial estatal de relaciones internacionales. Ni las partes en el contrato son sujetos de Derecho internacional, ni su contenido es susceptible de generar alguna obligación o responsabilidad internacional para el Estado. Tampoco encuentra su justificación en la función estatal de coordinación de la política exterior. Se integra en la función administrativa autonómica de control, al tener por objeto que la administración competente pueda comprobar que se garantizan los derechos y obligaciones derivadas de la legislación en materia de adopción.</w:t>
      </w:r>
    </w:p>
    <w:p w:rsidR="005728DD" w:rsidRDefault="005728DD" w:rsidP="005728DD">
      <w:pPr>
        <w:pStyle w:val="TextoNormal"/>
      </w:pPr>
    </w:p>
    <w:p w:rsidR="005728DD" w:rsidRDefault="005728DD" w:rsidP="005728DD">
      <w:pPr>
        <w:pStyle w:val="TextoNormal"/>
      </w:pPr>
      <w:r>
        <w:t>Al designar a la autoridad competente para la homologación, sustituye a las comunidades autónomas por la comisión delegada, cuyo carácter de órgano de cooperación, no evita la vulneración competencial que comporta privar a la Generalitat de Cataluña de una función ejecutiva en el procedimiento administrativo de adopción. En ambos aspectos se vulneraría la competencia de la Generalitat de Cataluñ</w:t>
      </w:r>
      <w:r w:rsidRPr="005728DD">
        <w:rPr>
          <w:i/>
        </w:rPr>
        <w:t xml:space="preserve">a </w:t>
      </w:r>
      <w:r>
        <w:t>ex art. 166 EAC.</w:t>
      </w:r>
    </w:p>
    <w:p w:rsidR="005728DD" w:rsidRDefault="005728DD" w:rsidP="005728DD">
      <w:pPr>
        <w:pStyle w:val="TextoNormal"/>
      </w:pPr>
    </w:p>
    <w:p w:rsidR="005728DD" w:rsidRDefault="005728DD" w:rsidP="005728DD">
      <w:pPr>
        <w:pStyle w:val="TextoNormal"/>
      </w:pPr>
      <w:r>
        <w:t xml:space="preserve">f) El capítulo VI RAI regula el registro nacional de organismos acreditados de adopción internacional y de reclamaciones e incidencias, en desarrollo de los arts. 7.2 </w:t>
      </w:r>
      <w:r w:rsidRPr="005728DD">
        <w:rPr>
          <w:i/>
        </w:rPr>
        <w:t>in fine</w:t>
      </w:r>
      <w:r>
        <w:t xml:space="preserve"> y 8.3 LAI. En un ámbito que no se corresponde con una competencia estatal, el registro debería limitarse a aceptar las propuestas de inscripción que le trasladen las comunidades autónomas en el ejercicio de sus competencias ejecutivas (STC 223/2000, de 21 de septiembre, FJ 12).</w:t>
      </w:r>
    </w:p>
    <w:p w:rsidR="005728DD" w:rsidRDefault="005728DD" w:rsidP="005728DD">
      <w:pPr>
        <w:pStyle w:val="TextoNormal"/>
      </w:pPr>
    </w:p>
    <w:p w:rsidR="005728DD" w:rsidRDefault="005728DD" w:rsidP="005728DD">
      <w:pPr>
        <w:pStyle w:val="TextoNormal"/>
      </w:pPr>
      <w:r>
        <w:t xml:space="preserve">La comunicación de organismos acreditados prevista en el Convenio de La Haya de 1993 no habilita al Estado para asumir la gestión del registro, especialmente en actos objeto de inscripción que corresponden al ámbito de competencia autonómico. No se cuestiona la competencia estatal para crear y estructurar el registro, pero sí la previsión del art. 28 de que en la sección primera, referida a los organismos acreditados, la inscripción no derive de la comunicación de los órganos competentes de las comunidades autónomas. Invaden asimismo las competencias de la Generalitat </w:t>
      </w:r>
      <w:r w:rsidRPr="005728DD">
        <w:rPr>
          <w:i/>
        </w:rPr>
        <w:t>ex</w:t>
      </w:r>
      <w:r>
        <w:t xml:space="preserve"> art. 166 EAC el art. 38.2, al contener una referencia a la acreditación estatal, y el art. 38.4, al establecer la obligación de comunicación de las variaciones de los datos.</w:t>
      </w:r>
    </w:p>
    <w:p w:rsidR="005728DD" w:rsidRDefault="005728DD" w:rsidP="005728DD">
      <w:pPr>
        <w:pStyle w:val="TextoNormal"/>
      </w:pPr>
    </w:p>
    <w:p w:rsidR="005728DD" w:rsidRDefault="005728DD" w:rsidP="005728DD">
      <w:pPr>
        <w:pStyle w:val="TextoNormal"/>
      </w:pPr>
      <w:r>
        <w:t xml:space="preserve">La sección segunda del registro, regulada en el art. 39, tiene por objeto la inscripción de reclamaciones e incidencias, pero también la tramitación de las reclamaciones. El apartado 3 b) dispone la obligación de las comunidades autónomas de realizar una comunicación, en </w:t>
      </w:r>
      <w:r>
        <w:lastRenderedPageBreak/>
        <w:t>el plazo de diez días, al órgano estatal a efectos de aplicación, en su caso del art. 28 (tramitación de la retirada de la acreditación). Incurre en la misma vulneración que el art. 28, ya expuesta.</w:t>
      </w:r>
    </w:p>
    <w:p w:rsidR="005728DD" w:rsidRDefault="005728DD" w:rsidP="005728DD">
      <w:pPr>
        <w:pStyle w:val="TextoNormal"/>
      </w:pPr>
    </w:p>
    <w:p w:rsidR="005728DD" w:rsidRDefault="005728DD" w:rsidP="005728DD">
      <w:pPr>
        <w:pStyle w:val="TextoNormal"/>
      </w:pPr>
      <w:r>
        <w:t>El art. 39.4, apartados b) y c), al regular la presentación de reclamaciones o incidencias por la actuación de los organismos acreditados en los países de origen del menor, también vulnera las competencias de la Generalitat de Cataluña en materia de menores, pues la mera circunstancia de que la reclamación tenga su origen en el extranjero no habilita al Estado para atribuir el control de las actuaciones a un órgano estatal. La posibilidad de que las comunidades autónomas adopten las medidas que consideren oportunas hasta que se proceda por el órgano de la administración estatal a retirar la acreditación no sana esa vulneración competencial.</w:t>
      </w:r>
    </w:p>
    <w:p w:rsidR="005728DD" w:rsidRDefault="005728DD" w:rsidP="005728DD">
      <w:pPr>
        <w:pStyle w:val="TextoNormal"/>
      </w:pPr>
    </w:p>
    <w:p w:rsidR="005728DD" w:rsidRDefault="005728DD" w:rsidP="005728DD">
      <w:pPr>
        <w:pStyle w:val="TextoNormal"/>
      </w:pPr>
      <w:r>
        <w:t>También comportaría una vulneración competencial el art. 39.4 e), relativo a la iniciación de oficio por el Estado de un expediente contradictorio de retirada de la acreditación.</w:t>
      </w:r>
    </w:p>
    <w:p w:rsidR="005728DD" w:rsidRDefault="005728DD" w:rsidP="005728DD">
      <w:pPr>
        <w:pStyle w:val="TextoNormal"/>
      </w:pPr>
    </w:p>
    <w:p w:rsidR="005728DD" w:rsidRDefault="005728DD" w:rsidP="005728DD">
      <w:pPr>
        <w:pStyle w:val="TextoNormal"/>
      </w:pPr>
      <w:r>
        <w:t>g) La tacha de inconstitucionalidad dirigida a la disposición final primera del Real Decreto 165/2019 está vinculada a las precedentes impugnaciones (STC 212/2012, de 14 de noviembre, FJ 10), en la medida en que, los títulos competenciales que se invocan (art. 149.1.3 y 8 CE), no prestan cobertura a la regulación controvertida.</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16 de julio de 2019 (rectificada por error material mediante providencia de 26 de julio de 2019), el Pleno, a propuesta de la Sección Cuarta, acordó: admitir a trámite el presente conflicto positivo de competencia; tramitar el conflicto, a tenor de lo que dispone el art. 67 LOTC, en la forma prevista para el recurso de inconstitucionalidad. Por ello, conforme al art. 34 LOTC, se dio traslado de la demanda y documentos presentados al Congreso de los Diputados, al Senado y al Gobierno, al objeto de que, en el plazo de quince días, pudieran personarse en el procedimiento y formular las alegaciones que estimaren oportunas; comunicar la incoación del conflicto a la Sala de lo Contencioso-Administrativo del Tribunal Supremo, a los efectos del art. 61.2 LOTC; y publicar la incoación del conflicto en el “Boletín Oficial del Estado” y en el “Diari Oficial de la Generalitat de Catalunya”.</w:t>
      </w:r>
    </w:p>
    <w:p w:rsidR="005728DD" w:rsidRDefault="005728DD" w:rsidP="005728DD">
      <w:pPr>
        <w:pStyle w:val="TextoNormal"/>
      </w:pPr>
    </w:p>
    <w:p w:rsidR="005728DD" w:rsidRDefault="005728DD" w:rsidP="005728DD">
      <w:pPr>
        <w:pStyle w:val="TextoNormal"/>
      </w:pPr>
      <w:r w:rsidRPr="005728DD">
        <w:rPr>
          <w:rStyle w:val="NumeroAFNegritaCaracter"/>
        </w:rPr>
        <w:t>3</w:t>
      </w:r>
      <w:r>
        <w:t>. Con fecha 26 de julio de 2019, el abogado del Estado se personó en el proceso solicitando una prórroga del plazo concedido para formular alegaciones, que le fue concedida por ocho días mediante diligencia de ordenación de la misma fecha.</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sendos escritos registrados con fechas 31 de julio y 4 de septiembre de 2019, la presidenta del Congreso de los Diputados y el presidente del Senado comunicaron los acuerdos de las mesas de ambas Cámaras de personarse en el proceso y ofrecer su colaboración a los efectos del art. 88 LOTC.</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El abogado del Estado presentó sus alegaciones el día 23 de septiembre de 2019. Tras exponer los antecedentes de la reforma de la Ley de adopción internacional, el acuerdo aprobado en el procedimiento regulado en el art. 33.2 LOTC, y la regulación relativa a la composición y funciones de la Comisión delegada de servicios sociales (creada en el seno del Consejo Territorial de servicios sociales y del sistema para la autonomía y atención a la </w:t>
      </w:r>
      <w:r>
        <w:lastRenderedPageBreak/>
        <w:t>dependencia), interesa la íntegra desestimación del conflicto con apoyo en las razones que seguidamente se resumen.</w:t>
      </w:r>
    </w:p>
    <w:p w:rsidR="005728DD" w:rsidRDefault="005728DD" w:rsidP="005728DD">
      <w:pPr>
        <w:pStyle w:val="TextoNormal"/>
      </w:pPr>
    </w:p>
    <w:p w:rsidR="005728DD" w:rsidRDefault="005728DD" w:rsidP="005728DD">
      <w:pPr>
        <w:pStyle w:val="TextoNormal"/>
      </w:pPr>
      <w:r>
        <w:t>El título estatal prevalente es el recogido en el art. 149.1.3 CE (SSTC 141/2014, de 11 de septiembre; 26/2016, de 18 de febrero, y 144/2017, de 14 de diciembre). El real decreto impugnado desarrolla un conjunto de previsiones legales que, como reconoce la propia exposición de motivos de la Ley 26/2015, “afectan a la política exterior”, por lo que se residencia en su mayor parte en el Estado la realización de las actividades con proyección exterior en este ámbito. El tribunal ha subrayado que la acción exterior de las comunidades autónomas, además de tener que ceñirse al ámbito material de sus competencias estatutarias, debe respetar el ejercicio por el Estado de sus competencias sobre relaciones internacionales y dirección de la política exterior (art. 149.1.3 CE), incluidas las funciones de coordinación que le corresponden (por todas, SSTC 165/1994, FJ 6; 31/2010, FJ 125; 46/2015, FJ 4, 85/2016, FFJJ 4 a 8, y 228/2016, FJ 4). Un ejercicio competencial autonómico que no se ciña a estos criterios, además de un exceso del ámbito de actuación de la Generalitat de Cataluña, puede suponer tanto un menoscabo de las competencias del Estado en materia de relaciones internacionales reconocidas en el art. 149.1.3 CE (STC 34/2018, de 12 de abril), como una vulneración del principio de lealtad constitucional en el ejercicio de competencias propias (STC 247/2007, de 12 de diciembre, FJ 4, y las allí citadas).</w:t>
      </w:r>
    </w:p>
    <w:p w:rsidR="005728DD" w:rsidRDefault="005728DD" w:rsidP="005728DD">
      <w:pPr>
        <w:pStyle w:val="TextoNormal"/>
      </w:pPr>
    </w:p>
    <w:p w:rsidR="005728DD" w:rsidRDefault="005728DD" w:rsidP="005728DD">
      <w:pPr>
        <w:pStyle w:val="TextoNormal"/>
      </w:pPr>
      <w:r>
        <w:t>Junto a los títulos competenciales invocados en la disposición adicional primera del Real Decreto 165/2019, debe destacarse que en diversos preceptos impugnados no existe un punto de conexión con el territorio de la comunidad autónoma que permita vincular de forma suficiente la competencia a ejercer, en los términos de la doctrina constitucional sobre la territorialidad de las competencias autonómicas. Así lo expone el dictamen del Consejo de Estado sobre el proyecto de real decreto. La territorialidad de la competencia autonómica en materia de adopción internacional resulta de su propia designación como autoridades centrales, en la que, lejos de atribuirse a las comunidades autónomas una competencia general sobre protección de menores en el extranjero, como parece sostener la demanda de conflicto, se materializa territorialmente. Así, el instrumento de ratificación del Convenio de La Haya de 1993 establece que será autoridad central cada una de las diecisiete comunidades autónomas, en el ámbito de su territorio y en relación a los residentes en el mismo.</w:t>
      </w:r>
    </w:p>
    <w:p w:rsidR="005728DD" w:rsidRDefault="005728DD" w:rsidP="005728DD">
      <w:pPr>
        <w:pStyle w:val="TextoNormal"/>
      </w:pPr>
    </w:p>
    <w:p w:rsidR="005728DD" w:rsidRDefault="005728DD" w:rsidP="005728DD">
      <w:pPr>
        <w:pStyle w:val="TextoNormal"/>
      </w:pPr>
      <w:r>
        <w:t>Delimitados así los términos generales de esta controversia competencial, del examen de los preceptos impugnados resulta lo siguiente:</w:t>
      </w:r>
    </w:p>
    <w:p w:rsidR="005728DD" w:rsidRDefault="005728DD" w:rsidP="005728DD">
      <w:pPr>
        <w:pStyle w:val="TextoNormal"/>
      </w:pPr>
    </w:p>
    <w:p w:rsidR="005728DD" w:rsidRDefault="005728DD" w:rsidP="005728DD">
      <w:pPr>
        <w:pStyle w:val="TextoNormal"/>
      </w:pPr>
      <w:r>
        <w:t xml:space="preserve">a) La impugnación del art. 5 RAI no se atiene al contenido concreto de los acuerdos bilaterales contemplados en el precepto. Dicho contenido queda establecido en el art. 39.2 del Convenio de La Haya de 1993, del que resulta: (i) que no se trata de un acuerdo administrativo entre autoridades centrales de dos Estados, sino de un acuerdo bilateral entre Estados; (ii) que su contenido material desborda la mera “facilitación” de las relaciones entre autoridades centrales para la “tramitación del expediente administrativo de adopción” en el país de los adoptantes, pues habilita para regular aspectos competenciales y sustantivos de la adopción internacional, por lo que tiene carácter normativo y origina o es susceptible de originar nuevas obligaciones frente a poderes públicos extranjeros. A través de estos acuerdos bilaterales, el art. 39.2 del Convenio permite que dos Estados deroguen o modifiquen para sí los arts. 14, 15, 16, 18, y 19 a 21. En estos términos, la suscripción de los acuerdos bilaterales contemplados en los arts. 39.2 del Convenio y 5 RAI implica el establecimiento </w:t>
      </w:r>
      <w:r>
        <w:lastRenderedPageBreak/>
        <w:t xml:space="preserve">de una relación internacional que puede desplazar parcialmente al propio tratado, por lo que su celebración requiere el mismo </w:t>
      </w:r>
      <w:r w:rsidRPr="005728DD">
        <w:rPr>
          <w:i/>
        </w:rPr>
        <w:t>ius ad tractatum</w:t>
      </w:r>
      <w:r>
        <w:t xml:space="preserve"> que el propio convenio que modifica (STC 87/2019, de 20 de junio, FJ 7). Se ajusta estrictamente a la competencia estatal sobre relaciones internacionales </w:t>
      </w:r>
      <w:r w:rsidRPr="005728DD">
        <w:rPr>
          <w:i/>
        </w:rPr>
        <w:t>ex</w:t>
      </w:r>
      <w:r>
        <w:t xml:space="preserve"> art. 149.1.3 CE.</w:t>
      </w:r>
    </w:p>
    <w:p w:rsidR="005728DD" w:rsidRDefault="005728DD" w:rsidP="005728DD">
      <w:pPr>
        <w:pStyle w:val="TextoNormal"/>
      </w:pPr>
    </w:p>
    <w:p w:rsidR="005728DD" w:rsidRDefault="005728DD" w:rsidP="005728DD">
      <w:pPr>
        <w:pStyle w:val="TextoNormal"/>
      </w:pPr>
      <w:r>
        <w:t>b) Los arts. 6, 7, y 8.2, 3 y 4 RAI traen causa del art. 4 LAI, que los inscribe en la política exterior en esta materia. El ejercicio de las competencias recogidas en los tres preceptos, referidas a los países de origen de los menores, no sólo tiene alcance supraterritorial autonómico, sino que carece de toda conexión con intereses circunscritos al territorio de una comunidad autónoma. Las competencias reflejadas son previas a la “fase administrativa” de un procedimiento de adopción, se refieren a los países de origen de los menores. Aquí, el fenómeno objeto de la competencia no presenta conexión con el territorio autonómico. En todo caso, la decisión de iniciar o no iniciar expedientes de adopción con un determinado país, o suspenderlos o paralizarlos cuando concurran los supuestos previstos en los arts. 7 y 8, incide o puede incidir de forma directa en la política exterior reservada al Estado, por lo que encaja en el art. 149.1.3 CE.</w:t>
      </w:r>
    </w:p>
    <w:p w:rsidR="005728DD" w:rsidRDefault="005728DD" w:rsidP="005728DD">
      <w:pPr>
        <w:pStyle w:val="TextoNormal"/>
      </w:pPr>
    </w:p>
    <w:p w:rsidR="005728DD" w:rsidRDefault="005728DD" w:rsidP="005728DD">
      <w:pPr>
        <w:pStyle w:val="TextoNormal"/>
      </w:pPr>
      <w:r>
        <w:t>c) En cuanto a los arts. 10 y 11 RAI, la competencia estatal para aprobar los criterios para el establecimiento del número máximo de expedientes que se tramitarán anualmente figura en el art. 4.5 LAI, y los criterios se han aprobado por el art. 9 RAI, que no ha sido objeto de impugnación. La determinación del número máximo de nuevos expedientes que podrán tramitarse es una decisión de alcance general a adoptar sobre cada país de origen, que desborda claramente la territorialidad como límite de las competencias autonómicas. La colaboración con las comunidades autónomas se colma con la consulta a la comisión delegada.</w:t>
      </w:r>
    </w:p>
    <w:p w:rsidR="005728DD" w:rsidRDefault="005728DD" w:rsidP="005728DD">
      <w:pPr>
        <w:pStyle w:val="TextoNormal"/>
      </w:pPr>
    </w:p>
    <w:p w:rsidR="005728DD" w:rsidRDefault="005728DD" w:rsidP="005728DD">
      <w:pPr>
        <w:pStyle w:val="TextoNormal"/>
      </w:pPr>
      <w:r>
        <w:t>Dentro del art. 10, los apartados 1, 2, 4 y 5 establecen el procedimiento para la obtención de información relevante no sólo para la fijación del límite de expedientes por país de origen, sino para la propia distribución del cupo que compete a la comisión delegada (art. 11). Como no se cuestiona la necesidad de coordinación y cooperación entre administraciones competentes, estos apartados no estarían comprendidos en los fundamentos de la impugnación ofrecidos en la demanda.</w:t>
      </w:r>
    </w:p>
    <w:p w:rsidR="005728DD" w:rsidRDefault="005728DD" w:rsidP="005728DD">
      <w:pPr>
        <w:pStyle w:val="TextoNormal"/>
      </w:pPr>
    </w:p>
    <w:p w:rsidR="005728DD" w:rsidRDefault="005728DD" w:rsidP="005728DD">
      <w:pPr>
        <w:pStyle w:val="TextoNormal"/>
      </w:pPr>
      <w:r>
        <w:t>El art. 11 se limita a atribuir a la comisión delegada la determinación del cupo, a partir del criterio reglado que establece el propio precepto. No cabe el fraccionamiento de la competencia para la distribución del cupo, y además se colma el principio de cooperación desde el momento en el que dicha distribución se atribuye al órgano de la conferencia sectorial. A mayor abundamiento, el criterio de distribución, no impugnado, es de carácter objetivo.</w:t>
      </w:r>
    </w:p>
    <w:p w:rsidR="005728DD" w:rsidRDefault="005728DD" w:rsidP="005728DD">
      <w:pPr>
        <w:pStyle w:val="TextoNormal"/>
      </w:pPr>
    </w:p>
    <w:p w:rsidR="005728DD" w:rsidRDefault="005728DD" w:rsidP="005728DD">
      <w:pPr>
        <w:pStyle w:val="TextoNormal"/>
      </w:pPr>
      <w:r>
        <w:t>d) Respecto de los arts. 12 a 36, que regulan el régimen de acreditación, seguimiento y control:</w:t>
      </w:r>
    </w:p>
    <w:p w:rsidR="005728DD" w:rsidRDefault="005728DD" w:rsidP="005728DD">
      <w:pPr>
        <w:pStyle w:val="TextoNormal"/>
      </w:pPr>
    </w:p>
    <w:p w:rsidR="005728DD" w:rsidRDefault="005728DD" w:rsidP="005728DD">
      <w:pPr>
        <w:pStyle w:val="TextoNormal"/>
      </w:pPr>
      <w:r>
        <w:t xml:space="preserve">(i) La centralización de la acreditación y su correlativa eficacia en todo el territorio nacional responde a la imposibilidad de fraccionar la actividad pública de ordenación del sector y a la reducción del número de organismos acreditados, a la vista de los cambios acaecidos en la adopción internacional, como expone la memoria de análisis de impacto normativo del Real Decreto 165/2019, que se transcribe parcialmente. La participación de las comunidades autónomas se articula a través de la comisión delegada. Por todo ello, se justifica </w:t>
      </w:r>
      <w:r>
        <w:lastRenderedPageBreak/>
        <w:t>adecuadamente la utilización de la supraterritorialidad como criterio de atribución de competencias al Estado (STC 27/2014, de 13 de febrero, FJ 4).</w:t>
      </w:r>
    </w:p>
    <w:p w:rsidR="005728DD" w:rsidRDefault="005728DD" w:rsidP="005728DD">
      <w:pPr>
        <w:pStyle w:val="TextoNormal"/>
      </w:pPr>
    </w:p>
    <w:p w:rsidR="005728DD" w:rsidRDefault="005728DD" w:rsidP="005728DD">
      <w:pPr>
        <w:pStyle w:val="TextoNormal"/>
      </w:pPr>
      <w:r>
        <w:t>Por los mismos motivos, debería descartarse la impugnación por conexión de los arts. 38.2 y 4 y 39.3 b), 4 c) y 4 e), que regulan el registro de organismos acreditados, como reflejo registral de la atribución al Estado de funciones ejecutivas.</w:t>
      </w:r>
    </w:p>
    <w:p w:rsidR="005728DD" w:rsidRDefault="005728DD" w:rsidP="005728DD">
      <w:pPr>
        <w:pStyle w:val="TextoNormal"/>
      </w:pPr>
    </w:p>
    <w:p w:rsidR="005728DD" w:rsidRDefault="005728DD" w:rsidP="005728DD">
      <w:pPr>
        <w:pStyle w:val="TextoNormal"/>
      </w:pPr>
      <w:r>
        <w:t>(ii) El sistema dual de seguimiento y control recogido en el art. 33 RAI se ajusta estrictamente al alcance territorial de las competencias autonómicas, y responde asimismo a las propias funciones de la comunidad autónoma como autoridad central, de acuerdo con el art. 20 del Convenio de La Haya de 1993. El seguimiento de cada expediente no puede confundirse con el seguimiento general de la actividad que desarrollen los organismos acreditados en el país de origen, que desbordaría la competencia autonómica y su propia función como autoridad central.</w:t>
      </w:r>
    </w:p>
    <w:p w:rsidR="005728DD" w:rsidRDefault="005728DD" w:rsidP="005728DD">
      <w:pPr>
        <w:pStyle w:val="TextoNormal"/>
      </w:pPr>
    </w:p>
    <w:p w:rsidR="005728DD" w:rsidRDefault="005728DD" w:rsidP="005728DD">
      <w:pPr>
        <w:pStyle w:val="TextoNormal"/>
      </w:pPr>
      <w:r>
        <w:t>(iii) El requisito de la homologación estatal del contrato trae causa del art. 8.2 LAI, y se desarrolla en el art. 32 RAI, que no incorpora prescripción de detalle alguna, sino menciones generales como el objeto del contrato, derechos y obligaciones de las partes, pago y causas de extinción y procedimiento de liquidación, sin predeterminar su contenido obligacional concreto. Por ello, se deja margen de desarrollo a las entidades públicas para concretar su contenido. La atribución de la competencia para la homologación a la comisión delegada enerva cualquier vulneración de competencias ejecutivas autonómicas.</w:t>
      </w:r>
    </w:p>
    <w:p w:rsidR="005728DD" w:rsidRDefault="005728DD" w:rsidP="005728DD">
      <w:pPr>
        <w:pStyle w:val="TextoNormal"/>
      </w:pPr>
    </w:p>
    <w:p w:rsidR="005728DD" w:rsidRDefault="005728DD" w:rsidP="005728DD">
      <w:pPr>
        <w:pStyle w:val="TextoNormal"/>
      </w:pPr>
      <w:r w:rsidRPr="005728DD">
        <w:rPr>
          <w:rStyle w:val="NumeroAFNegritaCaracter"/>
        </w:rPr>
        <w:t>6</w:t>
      </w:r>
      <w:r>
        <w:t>. Por ATC 17/2020, de 11 de febrero, se desestimó la recusación del magistrado don Andrés Ollero Tassara formulada por el Gobierno de la Generalitat de Cataluña, entre otros procesos, en el conflicto positivo de competencia núm. 4088-2019.</w:t>
      </w:r>
    </w:p>
    <w:p w:rsidR="005728DD" w:rsidRDefault="005728DD" w:rsidP="005728DD">
      <w:pPr>
        <w:pStyle w:val="TextoNormal"/>
      </w:pPr>
    </w:p>
    <w:p w:rsidR="005728DD" w:rsidRDefault="005728DD" w:rsidP="005728DD">
      <w:pPr>
        <w:pStyle w:val="TextoNormal"/>
      </w:pPr>
      <w:r w:rsidRPr="005728DD">
        <w:rPr>
          <w:rStyle w:val="NumeroAFNegritaCaracter"/>
        </w:rPr>
        <w:t>7</w:t>
      </w:r>
      <w:r>
        <w:t>. Habiendo cesado como magistrado constitucional don Fernando Valdés Dal-Ré, el presidente de este tribunal, mediante acuerdo de 20 de octubre de 2020, designó a don Andrés Ollero Tassara ponente del presente conflicto.</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16 de febrero de 2021, se señaló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 y posiciones de las partes</w:t>
      </w:r>
      <w:r>
        <w:t>.</w:t>
      </w:r>
    </w:p>
    <w:p w:rsidR="005728DD" w:rsidRDefault="005728DD" w:rsidP="005728DD">
      <w:pPr>
        <w:pStyle w:val="TextoNormal"/>
      </w:pPr>
    </w:p>
    <w:p w:rsidR="005728DD" w:rsidRDefault="005728DD" w:rsidP="005728DD">
      <w:pPr>
        <w:pStyle w:val="TextoNormal"/>
      </w:pPr>
      <w:r>
        <w:t>La Generalitat de Cataluña impugna en este conflicto de competencia los arts. 5; 6; 7; 8.2, 3 y 4; 10; 11; 12 a 36; 38.2 y 4; 39.3 b), 4 c) y 4 e), del Reglamento de Adopción Internacional aprobado por el Real Decreto 165/2019, de 22 de marzo (RAI). Impugna asimismo, por conexión, la disposición transitoria única y la disposición final primera de este real decreto.</w:t>
      </w:r>
    </w:p>
    <w:p w:rsidR="005728DD" w:rsidRDefault="005728DD" w:rsidP="005728DD">
      <w:pPr>
        <w:pStyle w:val="TextoNormal"/>
      </w:pPr>
    </w:p>
    <w:p w:rsidR="005728DD" w:rsidRDefault="005728DD" w:rsidP="005728DD">
      <w:pPr>
        <w:pStyle w:val="TextoNormal"/>
      </w:pPr>
      <w:r>
        <w:lastRenderedPageBreak/>
        <w:t>En síntesis, el conflicto se plantea por entender que el Reglamento de adopción internacional, en cuanto se limita a regular la fase administrativa o prejudicial de la adopción internacional, invade la competencia exclusiva de la Generalitat de Cataluña en materia de protección de menores [art. 166.3 a) EAC], al sustraer las competencias de desarrollo normativo y las funciones ejecutivas que le corresponden en materia de adopción internacional.</w:t>
      </w:r>
    </w:p>
    <w:p w:rsidR="005728DD" w:rsidRDefault="005728DD" w:rsidP="005728DD">
      <w:pPr>
        <w:pStyle w:val="TextoNormal"/>
      </w:pPr>
    </w:p>
    <w:p w:rsidR="005728DD" w:rsidRDefault="005728DD" w:rsidP="005728DD">
      <w:pPr>
        <w:pStyle w:val="TextoNormal"/>
      </w:pPr>
      <w:r>
        <w:t>El abogado del Estado solicita la íntegra desestimación del conflicto, invocando como título estatal prevalente el recogido en el art. 149.1.3 CE, que atribuye al Estado la competencia exclusiva en materia de relaciones internacionales. Añade que, en diversos preceptos impugnados, no existe un punto de conexión con el territorio de la comunidad autónoma que permita vincular de forma suficiente la competencia a ejercer, en los términos de la doctrina constitucional sobre la territorialidad de las competencias autonómicas.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Tramitación del conflicto de acuerdo con lo dispuesto por el art. 67 LOTC</w:t>
      </w:r>
      <w:r>
        <w:t>.</w:t>
      </w:r>
    </w:p>
    <w:p w:rsidR="005728DD" w:rsidRDefault="005728DD" w:rsidP="005728DD">
      <w:pPr>
        <w:pStyle w:val="TextoNormal"/>
      </w:pPr>
    </w:p>
    <w:p w:rsidR="005728DD" w:rsidRDefault="005728DD" w:rsidP="005728DD">
      <w:pPr>
        <w:pStyle w:val="TextoNormal"/>
      </w:pPr>
      <w:r>
        <w:t>La demanda expone que la norma impugnada tiene por objeto desarrollar las previsiones que la Ley 26/2015, de 28 de julio, de modificación de sistema de protección a la infancia y a la adolescencia, introdujo en la Ley 54/2007, de 28 de diciembre, de adopción internacional (LAI). Esta reforma legal modificó las funciones de la administración general del Estado y las comunidades autónomas en esta materia. Sometida la Ley 26/2015 al procedimiento regulado en el art. 33.2 LOTC, este finalizó mediante acuerdo de la subcomisión de seguimiento normativo, prevención y solución de conflictos de la comisión bilateral Generalitat-Estado de 17 de marzo de 2016 (“BOE” de 27 de mayo de 2016). La Generalitat sostiene que el reglamento ahora impugnado se aprueba “pese al contenido” de dicho acuerdo, “sobre la base legal introducida por la Ley 26/2015”.</w:t>
      </w:r>
    </w:p>
    <w:p w:rsidR="005728DD" w:rsidRDefault="005728DD" w:rsidP="005728DD">
      <w:pPr>
        <w:pStyle w:val="TextoNormal"/>
      </w:pPr>
    </w:p>
    <w:p w:rsidR="005728DD" w:rsidRDefault="005728DD" w:rsidP="005728DD">
      <w:pPr>
        <w:pStyle w:val="TextoNormal"/>
      </w:pPr>
      <w:r>
        <w:t>A los fines de la presente resolución, no es preciso reseñar el contenido de dicho acuerdo, pues el mismo no es susceptible de alterar la doctrina constitucional ni impedir el pronunciamiento de este tribunal acerca de la vulneración de las competencias autonómicas que se denuncia en el proceso (SSTC 106/2009, de 4 de mayo, FJ 3; 120/2016, de 23 de junio, FJ 5, y 79/2017, de 22 de junio, FJ 10). Ante la necesidad de examinar la conexión entre determinados preceptos de la Ley de adopción internacional, que no ha sido modificada después de su reforma en 2015, y algunas de las disposiciones del Reglamento de adopción internacional traídas a este conflicto, el tribunal, en la providencia de admisión, acordó de oficio tramitar el presente conflicto en la forma prevista para el recurso de inconstitucionalidad (art. 67 LOTC). Tal supuesto se produce cuando la “‘determinación de la competencia controvertida en la disposición o acto objeto del conflicto venga a ser inseparable de la apreciación de la inadecuación o adecuación competencial de la ley’ (STC 45/1991, de 28 de febrero, FJ 1)” (STC 33/2012, de 15 de marzo, FJ 2).</w:t>
      </w:r>
    </w:p>
    <w:p w:rsidR="005728DD" w:rsidRDefault="005728DD" w:rsidP="005728DD">
      <w:pPr>
        <w:pStyle w:val="TextoNormal"/>
      </w:pPr>
    </w:p>
    <w:p w:rsidR="005728DD" w:rsidRDefault="005728DD" w:rsidP="005728DD">
      <w:pPr>
        <w:pStyle w:val="TextoNormal"/>
      </w:pPr>
      <w:r>
        <w:t>De acuerdo con la doctrina constitucional, “una interpretación sistemática y finalista permite sostener que el art. 67 LOTC arbitra un mecanismo que facilita el control de normas y la depuración del ordenamiento jurídico, permitiendo al Tribunal Constitucional, en orden a la resolución de un determinado conflicto, examinar la legitimidad constitucional de normas con rango de ley delimitadoras de competencias. Este tribunal puede enjuiciar siempre la constitucionalidad de una ley en el curso de un conflicto; lo que el art. 67 impide es que este se resuelva con un fallo que suponga la no aplicación de una ley sin haberse tramitado el conflicto como un recurso de inconstitucionalidad” (STC 5/1987, de 27 de enero, FJ 1).</w:t>
      </w:r>
    </w:p>
    <w:p w:rsidR="005728DD" w:rsidRDefault="005728DD" w:rsidP="005728DD">
      <w:pPr>
        <w:pStyle w:val="TextoNormal"/>
      </w:pPr>
    </w:p>
    <w:p w:rsidR="005728DD" w:rsidRDefault="005728DD" w:rsidP="005728DD">
      <w:pPr>
        <w:pStyle w:val="TextoNormal"/>
      </w:pPr>
      <w:r>
        <w:t>Este examen se hará caso por caso, al hilo del análisis específico de los preceptos reglamentarios impugnados en el presente conflicto, siempre que presenten la necesaria conexión con las atribuciones competenciales reguladas en la propia Ley de adopción internacional.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Régimen jurídico de la adopción internacional</w:t>
      </w:r>
      <w:r>
        <w:t>.</w:t>
      </w:r>
    </w:p>
    <w:p w:rsidR="005728DD" w:rsidRDefault="005728DD" w:rsidP="005728DD">
      <w:pPr>
        <w:pStyle w:val="TextoNormal"/>
      </w:pPr>
    </w:p>
    <w:p w:rsidR="005728DD" w:rsidRDefault="005728DD" w:rsidP="005728DD">
      <w:pPr>
        <w:pStyle w:val="TextoNormal"/>
      </w:pPr>
      <w:r>
        <w:t>El Convenio relativo a la protección del niño y a la cooperación en materia de adopción internacional, hecho en La Haya el 29 de mayo de 1993 (en lo sucesivo, Convenio de La Haya de 1993), ratificado por España el 30 de junio de 1995 (“BOE” de 1 de agosto de 1995), tiene por objeto: (i) Establecer garantías para que las adopciones internacionales tengan lugar en consideración al interés superior del niño y al respeto a los derechos fundamentales que le reconoce el Derecho internacional. Cabe destacar, por su especial relevancia, la Convención sobre los derechos del niño ratificada por España mediante instrumento de 30 de noviembre de 1990. (ii) Instaurar un sistema de cooperación entre los Estados contratantes que asegure el respeto a dichas garantías y, en consecuencia, prevenga la sustracción, la venta o el tráfico de niños. (iii) Asegurar el reconocimiento en los Estados contratantes de las adopciones realizadas de acuerdo con el convenio.</w:t>
      </w:r>
    </w:p>
    <w:p w:rsidR="005728DD" w:rsidRDefault="005728DD" w:rsidP="005728DD">
      <w:pPr>
        <w:pStyle w:val="TextoNormal"/>
      </w:pPr>
    </w:p>
    <w:p w:rsidR="005728DD" w:rsidRDefault="005728DD" w:rsidP="005728DD">
      <w:pPr>
        <w:pStyle w:val="TextoNormal"/>
      </w:pPr>
      <w:r>
        <w:t>En lo que tiene relación con el objeto de este conflicto, dispone en su art. 6 que todo Estado contratante designará una autoridad central encargada de dar cumplimiento a las obligaciones que el convenio le impone. Añade que los Estados federales, aquellos en los que estén en vigor diversos sistemas jurídicos, o los Estados con unidades territoriales autónomas, pueden designar más de una autoridad central, especificando la extensión territorial o personal de sus funciones y designando una sola autoridad para la transmisión de comunicaciones. El art. 36 especifica las reglas relativas a los Estados que tengan, en materia de adopción, dos o más sistemas jurídicos aplicables en distintas unidades territoriales: “a) cualquier referencia a la residencia habitual en dicho Estado se interpretará como una referencia a la residencia habitual en una unidad territorial de dicho Estado; b) cualquier referencia a la ley de dicho Estado se interpretará como una referencia a la ley vigente en la correspondiente unidad territorial; c) cualquier referencia a las autoridades competentes o a las autoridades públicas de dicho Estado se interpretará como una referencia a las autoridades autorizadas para actuar en la correspondiente unidad territorial; d) cualquier referencia a los organismos acreditados de dicho Estado se interpretará como una referencia a los organismos acreditados en la correspondiente unidad territorial”.</w:t>
      </w:r>
    </w:p>
    <w:p w:rsidR="005728DD" w:rsidRDefault="005728DD" w:rsidP="005728DD">
      <w:pPr>
        <w:pStyle w:val="TextoNormal"/>
      </w:pPr>
    </w:p>
    <w:p w:rsidR="005728DD" w:rsidRDefault="005728DD" w:rsidP="005728DD">
      <w:pPr>
        <w:pStyle w:val="TextoNormal"/>
      </w:pPr>
      <w:r>
        <w:t>El instrumento de ratificación del Convenio de La Haya de 1993 designó como autoridades centrales a las diecisiete comunidades autónomas, “en el ámbito de su territorio y en relación a los residentes en el mismo”, y como autoridad central a los efectos de transmisión de las comunicaciones a un órgano de la administración general del Estado (en aquel momento, la Dirección General del Menor y Familia del Ministerio de Asuntos Sociales).</w:t>
      </w:r>
    </w:p>
    <w:p w:rsidR="005728DD" w:rsidRDefault="005728DD" w:rsidP="005728DD">
      <w:pPr>
        <w:pStyle w:val="TextoNormal"/>
      </w:pPr>
    </w:p>
    <w:p w:rsidR="005728DD" w:rsidRDefault="005728DD" w:rsidP="005728DD">
      <w:pPr>
        <w:pStyle w:val="TextoNormal"/>
      </w:pPr>
      <w:r>
        <w:t xml:space="preserve">La Ley 54/2007, de 28 de diciembre, de adopción internacional (LAI) establece “el marco jurídico y los instrumentos básicos para garantizar que todas las adopciones internacionales tengan lugar en consideración al interés superior del menor” (art. 2). En lo que afecta a este conflicto de competencias, el título I del texto legal original recogía, entre las funciones a desarrollar por “las entidades públicas competentes en materia de protección de menores”, la decisión de no tramitar solicitudes de adopción en un determinado país (art. </w:t>
      </w:r>
      <w:r>
        <w:lastRenderedPageBreak/>
        <w:t>4.4), la recepción de solicitudes y su tramitación [art. 5 c)], la acreditación, control, inspección y elaboración de directrices de actuación de las entidades colaboradoras de adopción internacional que realicen funciones de intermediación en su ámbito territorial [arts. 4.5 y 5 j)], la homologación del modelo básico de contrato a suscribir entre la entidad colaboradora y el solicitante de adopción (art. 8.1), o el registro de reclamaciones relativas a la actuación de las entidades colaboradoras (art. 8.2). Se regulan en el título II las normas de Derecho internacional privado relativas a la adopción internacional (competencia para su constitución, ley aplicable a la adopción, efectos en España de la adopción constituida por autoridades extranjeras) y en el título III otras medidas de protección de menores (competencia y efectos de las decisiones extranjeras).</w:t>
      </w:r>
    </w:p>
    <w:p w:rsidR="005728DD" w:rsidRDefault="005728DD" w:rsidP="005728DD">
      <w:pPr>
        <w:pStyle w:val="TextoNormal"/>
      </w:pPr>
    </w:p>
    <w:p w:rsidR="005728DD" w:rsidRDefault="005728DD" w:rsidP="005728DD">
      <w:pPr>
        <w:pStyle w:val="TextoNormal"/>
      </w:pPr>
      <w:r>
        <w:t>Según expone el preámbulo de la Ley 26/2015, la reforma introducida en la Ley de adopción internacional, en lo que afecta a la presente controversia competencial, consiste en lo siguiente: “Se deslindan las competencias de las diversas administraciones públicas. Así, se determinan como competencias de la administración general del Estado, por afectar a la política exterior, la decisión de iniciar, suspender o limitar la tramitación de adopciones con determinados países, así como la acreditación de los organismos para actuar como intermediarios en las adopciones internacionales, en terminología del Convenio de La Haya de 1993, referido a las antes denominadas entidades colaboradoras de adopción internacional, sin perjuicio de la necesaria intervención de las entidades públicas de las comunidades autónomas. Por otra parte, se mantiene la competencia autonómica para el control, inspección y seguimiento de los organismos acreditados en cuanto a sus actuaciones en su territorio, pero se prevé que la administración general del Estado sea la competente para el control y seguimiento respecto a la intermediación que el organismo acreditado lleva a cabo en el extranjero”. Como se detallará posteriormente, el principal reflejo de este deslinde competencial se encuentra en las atribuciones a la administración general del Estado recogidas en la reforma de los arts. 4 (“Política exterior”), 5 (“Intervención de las entidades públicas”), 7 (“Acreditación, seguimiento y control de los organismos acreditados”), y 8 (“Relación de las personas que se ofrecen para la adopción y los organismos acreditados”).</w:t>
      </w:r>
    </w:p>
    <w:p w:rsidR="005728DD" w:rsidRDefault="005728DD" w:rsidP="005728DD">
      <w:pPr>
        <w:pStyle w:val="TextoNormal"/>
      </w:pPr>
    </w:p>
    <w:p w:rsidR="005728DD" w:rsidRDefault="005728DD" w:rsidP="005728DD">
      <w:pPr>
        <w:pStyle w:val="TextoNormal"/>
      </w:pPr>
      <w:r>
        <w:t>El Real Decreto 165/2019 objeto de este conflicto no constituye un desarrollo integral de la Ley de adopción internacional; se limita a desarrollar “aquellos aspectos que de acuerdo con lo previsto en la Ley 54/2007, de 28 de diciembre, requerían un desarrollo reglamentario para el correcto ejercicio de las nuevas competencias conferidas a la administración general del Estado, al tiempo que se han incluido otras cuestiones que se han considerado pertinentes para una mayor seguridad jurídica, como es el caso de la decisión única para el inicio o suspensión de la tramitación de expedientes de adopción internacional con los países de origen”, según expone su preámbulo.</w:t>
      </w:r>
    </w:p>
    <w:p w:rsidR="005728DD" w:rsidRDefault="005728DD" w:rsidP="005728DD">
      <w:pPr>
        <w:pStyle w:val="TextoNormal"/>
      </w:pPr>
    </w:p>
    <w:p w:rsidR="005728DD" w:rsidRDefault="005728DD" w:rsidP="005728DD">
      <w:pPr>
        <w:pStyle w:val="TextoNormal"/>
      </w:pPr>
      <w:r>
        <w:t xml:space="preserve">Esta evolución legislativa, aun suponiendo una importante reformulación legal en el reparto de las funciones estatales y autonómicas en materia de adopción internacional, se expone meramente a título descriptivo de los antecedentes de una controversia competencial suscitada en un ámbito que ha resultado pacífico hasta la actualidad. Pero, evidentemente, ni el reparto original de funciones recogido por la Ley de adopción internacional en 2007 ni el que es consecuencia de su reforma legal en 2015 o de su desarrollo reglamentario en 2019 resultan determinantes para la resolución de este conflicto. El Tribunal lo abordará atendiendo únicamente a lo dispuesto en el bloque de la constitucionalidad, con la finalidad de salvaguardar el principio de la irrenunciabilidad e indisponibilidad de las competencias y </w:t>
      </w:r>
      <w:r>
        <w:lastRenderedPageBreak/>
        <w:t>de custodiar la vigencia de las normas constitucionales y estatutarias atributivas de competencias al Estado y a las comunidades autónomas, que no son susceptibles de alteración por una ley ordinaria.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Encuadramiento de la controversia en el sistema de distribución de competencias</w:t>
      </w:r>
      <w:r>
        <w:t>.</w:t>
      </w:r>
    </w:p>
    <w:p w:rsidR="005728DD" w:rsidRDefault="005728DD" w:rsidP="005728DD">
      <w:pPr>
        <w:pStyle w:val="TextoNormal"/>
      </w:pPr>
    </w:p>
    <w:p w:rsidR="005728DD" w:rsidRDefault="005728DD" w:rsidP="005728DD">
      <w:pPr>
        <w:pStyle w:val="TextoNormal"/>
      </w:pPr>
      <w:r>
        <w:t>La disposición final quinta de la Ley de adopción internacional, dedicada a los títulos competenciales, no modificada por la Ley 26/2015, establece que los arts. 5, 6, 7, 8, 10, 11 y la disposición final primera se dictan al amparo de la competencia exclusiva del Estado en materia de legislación civil (art. 149.1.8 CE), “sin perjuicio de la conservación, modificación y desarrollo por las comunidades autónomas de los derechos civiles, forales o especiales, allí donde existan y de las normas aprobadas por estas en ejercicio de sus competencias en esta materia”. El art. 12 (“Derecho a conocer los orígenes biológicos”) se dicta al amparo de lo dispuesto en el art. 149.1.1 CE y el restante articulado, al amparo de las competencias exclusivas del Estado en materia de relaciones internacionales, administración de justicia y legislación civil reconocidas por el art. 149.1.3, 5 y 8 CE.</w:t>
      </w:r>
    </w:p>
    <w:p w:rsidR="005728DD" w:rsidRDefault="005728DD" w:rsidP="005728DD">
      <w:pPr>
        <w:pStyle w:val="TextoNormal"/>
      </w:pPr>
    </w:p>
    <w:p w:rsidR="005728DD" w:rsidRDefault="005728DD" w:rsidP="005728DD">
      <w:pPr>
        <w:pStyle w:val="TextoNormal"/>
      </w:pPr>
      <w:r>
        <w:t>A su vez, la disposición final primera del Real Decreto 165/2019 objeto de este conflicto invoca los títulos competenciales recogidos en los arts. 149.1.3 y 149.1.8 CE, “que establecen respectivamente la competencia exclusiva del Estado en materia de relaciones internacionales y en materia de legislación civil, sin perjuicio de la conservación, modificación y desarrollo por las comunidades autónomas de los derechos civiles, forales o especiales, allí donde existan”.</w:t>
      </w:r>
    </w:p>
    <w:p w:rsidR="005728DD" w:rsidRDefault="005728DD" w:rsidP="005728DD">
      <w:pPr>
        <w:pStyle w:val="TextoNormal"/>
      </w:pPr>
    </w:p>
    <w:p w:rsidR="005728DD" w:rsidRDefault="005728DD" w:rsidP="005728DD">
      <w:pPr>
        <w:pStyle w:val="TextoNormal"/>
      </w:pPr>
      <w:r>
        <w:t>El régimen jurídico sintéticamente expuesto en el fundamento jurídico anterior permite afirmar que, a la hora de establecer su encuadramiento en el sistema constitucional y estatutario de distribución de competencias, la adopción internacional presenta diversas facetas reconducibles a distintos títulos competenciales (a grandes rasgos, los relativos a la legislación civil y procesal, las relaciones internacionales, asistencia social a los adoptantes y protección de menores). El examen de esta controversia competencial, relativa a la impugnación extensa pero parcial del Reglamento de adopción internacional, que a su vez solo desarrolla determinados aspectos de la Ley de adopción internacional —fundamentalmente los que forman parte de la fase administrativa o prejudicial de la adopción— sitúa su encuadramiento competencial en un marco más limitado que el recogido en las normas citadas, calificación que de todos modos, como ha recordado la STC 210/2016, de 15 de diciembre, FJ 5, no puede vincular a este tribunal. En términos generales, los títulos competenciales a tener en cuenta coinciden con el encuadramiento propuesto por las partes de forma prevalente, que sitúan el debate en el quicio de las competencias atribuidas a la Generalitat de Cataluña por el art. 166.3 EAC y al Estado por el art. 149.1.3 CE, como se concreta a continuación.</w:t>
      </w:r>
    </w:p>
    <w:p w:rsidR="005728DD" w:rsidRDefault="005728DD" w:rsidP="005728DD">
      <w:pPr>
        <w:pStyle w:val="TextoNormal"/>
      </w:pPr>
    </w:p>
    <w:p w:rsidR="005728DD" w:rsidRDefault="005728DD" w:rsidP="005728DD">
      <w:pPr>
        <w:pStyle w:val="TextoNormal"/>
      </w:pPr>
      <w:r>
        <w:t xml:space="preserve">El Gobierno de Cataluña invoca su competencia exclusiva en materia de servicios sociales, donde se inscribe la protección de menores [art. 166.3 a) EAC], que constituye, sin lugar a dudas, el ámbito en el que de forma prevalente debe encuadrarse la regulación relativa a la intervención administrativa en materia de adopción internacional. Esta realiza una política de asistencia social a los adoptantes y, sobre todo, a “los menores que no pueden encontrar una familia en sus países de origen”, según expone el preámbulo de la Ley de adopción internacional (apartado II), que añade que la ley debe ser siempre interpretada “con arreglo </w:t>
      </w:r>
      <w:r>
        <w:lastRenderedPageBreak/>
        <w:t>al principio del interés superior de los menores, que prevalecerá sobre cualquier otro interés legítimo que pueda concurrir en los procesos de adopción internacional”.</w:t>
      </w:r>
    </w:p>
    <w:p w:rsidR="005728DD" w:rsidRDefault="005728DD" w:rsidP="005728DD">
      <w:pPr>
        <w:pStyle w:val="TextoNormal"/>
      </w:pPr>
    </w:p>
    <w:p w:rsidR="005728DD" w:rsidRDefault="005728DD" w:rsidP="005728DD">
      <w:pPr>
        <w:pStyle w:val="TextoNormal"/>
      </w:pPr>
      <w:r>
        <w:t>Como recordó la STC 31/2010, de 28 de junio, al analizar la impugnación del art. 166.3 EAC, “las competencias autonómicas sobre materias no incluidas en el art. 149.1 CE, aunque se enuncien como ‘competencias exclusivas’, no cierran el paso a las competencias estatales previstas en aquel precepto constitucional” (FJ 104). En el caso que nos ocupa, la propia dimensión internacional de estos procesos adoptivos en todas sus fases enlaza directamente con la competencia del Estado en materia de relaciones internacionales (art. 149.1.3 CE). A partir de la temprana doctrina constitucional que afirmó que “no puede en forma alguna excluirse que, para llevar a cabo correctamente las funciones que tenga atribuidas, una comunidad autónoma haya de realizar determinadas actividades, no ya solo fuera de su territorio, sino incluso fuera de los límites territoriales de España” (STC 165/1994, de 26 de mayo, FJ 3), el tribunal ha abordado en diversas ocasiones la relación existente entre las actividades de las comunidades autónomas con proyección exterior y el alcance de la competencia exclusiva del Estado en materia de relaciones internacionales. Ilustra esta idea la síntesis recogida en la STC 46/2015, de 5 de marzo, FJ 4:</w:t>
      </w:r>
    </w:p>
    <w:p w:rsidR="005728DD" w:rsidRDefault="005728DD" w:rsidP="005728DD">
      <w:pPr>
        <w:pStyle w:val="TextoNormal"/>
      </w:pPr>
    </w:p>
    <w:p w:rsidR="005728DD" w:rsidRDefault="005728DD" w:rsidP="005728DD">
      <w:pPr>
        <w:pStyle w:val="TextoNormal"/>
      </w:pPr>
      <w:r>
        <w:t>“a) 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w:t>
      </w:r>
    </w:p>
    <w:p w:rsidR="005728DD" w:rsidRDefault="005728DD" w:rsidP="005728DD">
      <w:pPr>
        <w:pStyle w:val="TextoNormal"/>
      </w:pPr>
    </w:p>
    <w:p w:rsidR="005728DD" w:rsidRDefault="005728DD" w:rsidP="005728DD">
      <w:pPr>
        <w:pStyle w:val="TextoNormal"/>
      </w:pPr>
      <w:r>
        <w:t>b) En la delimitación del alcance de la competencia exclusiva estatal del art. 149.1.3 CE es preciso tener en cuenta que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referido título competencial.</w:t>
      </w:r>
    </w:p>
    <w:p w:rsidR="005728DD" w:rsidRDefault="005728DD" w:rsidP="005728DD">
      <w:pPr>
        <w:pStyle w:val="TextoNormal"/>
      </w:pPr>
    </w:p>
    <w:p w:rsidR="005728DD" w:rsidRDefault="005728DD" w:rsidP="005728DD">
      <w:pPr>
        <w:pStyle w:val="TextoNormal"/>
      </w:pPr>
      <w:r>
        <w:t>c) Sin pretender una descripción exhaustiva de la reserva a favor del Estado del art. 149.1.3 CE, este tribunal ha identificado como algunos de los elementos esenciales que conforman su contenido los relativos a la celebración de tratados (</w:t>
      </w:r>
      <w:r w:rsidRPr="005728DD">
        <w:rPr>
          <w:i/>
        </w:rPr>
        <w:t>ius contrahendi</w:t>
      </w:r>
      <w:r>
        <w:t>), a la representación exterior del Estado (</w:t>
      </w:r>
      <w:r w:rsidRPr="005728DD">
        <w:rPr>
          <w:i/>
        </w:rPr>
        <w:t>ius legationis</w:t>
      </w:r>
      <w:r>
        <w:t xml:space="preserve">), así como a la creación de obligaciones internacionales y a la responsabilidad internacional del Estado; en otras palabras, las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w:t>
      </w:r>
      <w:r w:rsidRPr="005728DD">
        <w:rPr>
          <w:i/>
        </w:rPr>
        <w:t>ius contrahendi</w:t>
      </w:r>
      <w:r>
        <w:t>, no originen obligaciones inmediatas y actuales frente a los poderes públicos extranjeros, no incidan en la política exterior del Estado y no generen responsabilidad de este frente a Estados extranjeros u organizaciones inter o supranacionales.</w:t>
      </w:r>
    </w:p>
    <w:p w:rsidR="005728DD" w:rsidRDefault="005728DD" w:rsidP="005728DD">
      <w:pPr>
        <w:pStyle w:val="TextoNormal"/>
      </w:pPr>
    </w:p>
    <w:p w:rsidR="005728DD" w:rsidRDefault="005728DD" w:rsidP="005728DD">
      <w:pPr>
        <w:pStyle w:val="TextoNormal"/>
      </w:pPr>
      <w:r>
        <w:t>d) Dentro de la competencia estatal,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w:t>
      </w:r>
    </w:p>
    <w:p w:rsidR="005728DD" w:rsidRDefault="005728DD" w:rsidP="005728DD">
      <w:pPr>
        <w:pStyle w:val="TextoNormal"/>
      </w:pPr>
    </w:p>
    <w:p w:rsidR="005728DD" w:rsidRDefault="005728DD" w:rsidP="005728DD">
      <w:pPr>
        <w:pStyle w:val="TextoNormal"/>
      </w:pPr>
      <w:r>
        <w:t>Para perfilar los contornos de la competencia estatal de coordinación que corresponde al Estado a fin de garantizar los objetivos de política exterior, es preciso recordar los criterios recogidos en la STC 85/2016, de 28 de abril, FJ 4, que enjuició la Ley 2/2014, de 25 de marzo, de la acción y del servicio exterior del Estado:</w:t>
      </w:r>
    </w:p>
    <w:p w:rsidR="005728DD" w:rsidRDefault="005728DD" w:rsidP="005728DD">
      <w:pPr>
        <w:pStyle w:val="TextoNormal"/>
      </w:pPr>
    </w:p>
    <w:p w:rsidR="005728DD" w:rsidRDefault="005728DD" w:rsidP="005728DD">
      <w:pPr>
        <w:pStyle w:val="TextoNormal"/>
      </w:pPr>
      <w:r>
        <w:t>“[P]resupone, lógicamente, la existencia de competencias autonómicas que deben ser coordinadas, competencia que el Estado debe respetar, evitando que la coordinación llegue ‘a tal grado de desarrollo’ que deje vacías de contenido las correspondientes competencias de las comunidades autónomas.</w:t>
      </w:r>
    </w:p>
    <w:p w:rsidR="005728DD" w:rsidRDefault="005728DD" w:rsidP="005728DD">
      <w:pPr>
        <w:pStyle w:val="TextoNormal"/>
      </w:pPr>
    </w:p>
    <w:p w:rsidR="005728DD" w:rsidRDefault="005728DD" w:rsidP="005728DD">
      <w:pPr>
        <w:pStyle w:val="TextoNormal"/>
      </w:pPr>
      <w:r>
        <w:t>El establecimiento de ‘directrices, fines y objetivos’ que, en cuanto tales, deben ser seguidos por los sujetos coordinados, resulta pues propio de la competencia de ordenación y coordinación que, como director de la política exterior del Estado, incumbe al Gobierno en esta materia. Como también dijimos en la STC 45/1991, ‘la competencia estatal de coordinación […] busca la integración de una diversidad de competencias y administraciones afectadas en un sistema o conjunto unitario y operativo, desprovisto de contradicciones y disfunciones; siendo preciso para ello fijar medidas suficientes y mecanismos de relación que permitan la información recíproca y una acción conjunta, así como, según la naturaleza de la actividad, pensar tanto en técnicas autorizativas, o de coordinación a posteriori, como preventivas u homogeneizadoras’.</w:t>
      </w:r>
    </w:p>
    <w:p w:rsidR="005728DD" w:rsidRDefault="005728DD" w:rsidP="005728DD">
      <w:pPr>
        <w:pStyle w:val="TextoNormal"/>
      </w:pPr>
    </w:p>
    <w:p w:rsidR="005728DD" w:rsidRDefault="005728DD" w:rsidP="005728DD">
      <w:pPr>
        <w:pStyle w:val="TextoNormal"/>
      </w:pPr>
      <w:r>
        <w:t xml:space="preserve">Si la fijación de directrices y objetivos es consustancial a cualesquiera tareas de dirección y coordinación, máxime en un Estado compuesto como es el nuestro, ello es aplicable, incluso con mayor intensidad, en el ámbito de la acción exterior del Estado, en el que se ha de combinar la competencia exclusiva que el mismo ostenta en materia de relaciones internacionales </w:t>
      </w:r>
      <w:r w:rsidRPr="005728DD">
        <w:rPr>
          <w:i/>
        </w:rPr>
        <w:t>ex</w:t>
      </w:r>
      <w:r>
        <w:t xml:space="preserve"> art. 149.1.3 CE (que, entre otras cosas, se reitera, conlleva que solo el Estado pueda relacionarse en el exterior como sujeto de Derecho internacional) con la existencia, que hemos reconocido, de una multiplicidad de sujetos habilitados para realizar, en el ejercicio de sus competencias, actuaciones con proyección internacional.</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Así, ya en sentencias como la STC 80/2012, de 18 de abril, reconocimos que la dimensión internacional de algunas actividades […] tiene incidencia en la acción exterior del Estado, de forma que, aunque se trate de actividades sobre materia de competencia autonómica: ‘Los intereses que se ven afectados como consecuencia de la necesidad de atender a la imagen internacional del Estado español […] y sus consiguientes efectos simbólicos, requieren de una actuación no fragmentada, de una actuación común y coordinadora que sólo puede competer al Estado’.</w:t>
      </w:r>
    </w:p>
    <w:p w:rsidR="005728DD" w:rsidRDefault="005728DD" w:rsidP="005728DD">
      <w:pPr>
        <w:pStyle w:val="TextoNormal"/>
      </w:pPr>
    </w:p>
    <w:p w:rsidR="005728DD" w:rsidRDefault="005728DD" w:rsidP="005728DD">
      <w:pPr>
        <w:pStyle w:val="TextoNormal"/>
      </w:pPr>
      <w:r>
        <w:t>Por tanto, el principio de unidad de acción en el exterior y la fijación de directrices, fines y objetivos en este ámbito, responden a la naturaleza misma de la política exterior y de las relaciones internacionales que requieren una actuación no fragmentada, común y coordinadora, dirigida por el Estado en cuanto titular de la representatividad de nuestro país a nivel internacional.</w:t>
      </w:r>
    </w:p>
    <w:p w:rsidR="005728DD" w:rsidRDefault="005728DD" w:rsidP="005728DD">
      <w:pPr>
        <w:pStyle w:val="TextoNormal"/>
      </w:pPr>
    </w:p>
    <w:p w:rsidR="005728DD" w:rsidRDefault="005728DD" w:rsidP="005728DD">
      <w:pPr>
        <w:pStyle w:val="TextoNormal"/>
      </w:pPr>
      <w:r>
        <w:lastRenderedPageBreak/>
        <w:t>En todo caso, cabe precisar que las facultades de coordinación y ordenación que incumben al Estado a partir de su competencia exclusiva en materia de relaciones internacionales y de dirección de la política exterior, habrán de ejercerse, como es lógico, consecuentemente con su naturaleza de tales, a partir de principios rectores como los recogidos en el art. 3 de la Ley, no cuestionados por la comunidad autónoma recurrente (lealtad, cooperación, eficiencia), sin traspasar la línea de las competencias autonómicas.</w:t>
      </w:r>
    </w:p>
    <w:p w:rsidR="005728DD" w:rsidRDefault="005728DD" w:rsidP="005728DD">
      <w:pPr>
        <w:pStyle w:val="TextoNormal"/>
      </w:pPr>
    </w:p>
    <w:p w:rsidR="005728DD" w:rsidRDefault="005728DD" w:rsidP="005728DD">
      <w:pPr>
        <w:pStyle w:val="TextoNormal"/>
      </w:pPr>
      <w:r>
        <w:t>Así, el establecimiento por el Estado de directrices, fines y objetivos de la política exterior resulta compatible con las competencias asumidas por las comunidades autónomas en sus respectivos territorios, incluso partiendo de la base de su eventual proyección exterior”.</w:t>
      </w:r>
    </w:p>
    <w:p w:rsidR="005728DD" w:rsidRDefault="005728DD" w:rsidP="005728DD">
      <w:pPr>
        <w:pStyle w:val="TextoNormal"/>
      </w:pPr>
    </w:p>
    <w:p w:rsidR="005728DD" w:rsidRDefault="005728DD" w:rsidP="005728DD">
      <w:pPr>
        <w:pStyle w:val="TextoNormal"/>
      </w:pPr>
      <w:r>
        <w:t>Esta concepción no es privativa de la actividad exterior, sino que forma parte de una amplísima doctrina constitucional dedicada a definir tanto los contenidos como los límites de una competencia estatal consistente en la coordinación. Ha quedado resumida en la STC 71/2018, de 21 de junio, FJ 3, con cita de la STC 178/2015, de 7 de septiembre, FJ 9, a tenor de la cual:</w:t>
      </w:r>
    </w:p>
    <w:p w:rsidR="005728DD" w:rsidRDefault="005728DD" w:rsidP="005728DD">
      <w:pPr>
        <w:pStyle w:val="TextoNormal"/>
      </w:pPr>
    </w:p>
    <w:p w:rsidR="005728DD" w:rsidRDefault="005728DD" w:rsidP="005728DD">
      <w:pPr>
        <w:pStyle w:val="TextoNormal"/>
      </w:pPr>
      <w:r>
        <w:t>“[L]a necesidad de coordinación estatal no se solventa reservando al Estado la competencia ejecutiva (supuesto que se produce, por el contrario, cuando la coordinación no permite solucionar la cuestión), sino a través de la competencia de coordinación general que ostenta, como complemento inherente a su competencia en la materia, para garantizar que no haya disfunciones, y que presupone la existencia de competencias de las comunidades autónomas que deben ser coordinadas, y que el Estado debe respetar al desarrollar su función de coordinación […] la competencia de coordinación no otorga a su titular competencias que no ostente, especialmente facultades de gestión complementarias, de suerte que, implicando lógicamente su ejercicio la existencia de competencias autonómicas que deben ser coordinadas, en ningún caso puede aquel suponer la invasión y el vaciamiento de las mismas (STC 194/2004, FJ 8). 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w:t>
      </w:r>
    </w:p>
    <w:p w:rsidR="005728DD" w:rsidRDefault="005728DD" w:rsidP="005728DD">
      <w:pPr>
        <w:pStyle w:val="TextoNormal"/>
      </w:pPr>
    </w:p>
    <w:p w:rsidR="005728DD" w:rsidRDefault="005728DD" w:rsidP="005728DD">
      <w:pPr>
        <w:pStyle w:val="TextoNormal"/>
      </w:pPr>
      <w:r>
        <w:t xml:space="preserve">La aplicación de la doctrina constitucional citada permite ya fijar, en términos sintéticos, el canon general de enjuiciamiento de la presente controversia, que gravita en la intersección de dos enunciados: (i) en la denominada fase administrativa o prejudicial de las adopciones internacionales, la competencia autonómica en materia de servicios sociales y protección de menores presenta una legítima proyección exterior, prácticamente indisociable en este caso del propio fenómeno sobre el que recae la competencia; y (ii) esta actividad exterior de las comunidades autónomas queda enmarcada por las medidas estatales orientadas a evitar o remediar eventuales perjuicios sobre la dirección y puesta en ejecución de la política exterior, mediante una actuación no fragmentada, común y coordinadora, dirigida por el Estado en cuanto titular de la representatividad de nuestro país a nivel internacional: una actuación estatal de dirección y coordinación cuyo mayor grado de intensidad se justifica en la propia </w:t>
      </w:r>
      <w:r>
        <w:lastRenderedPageBreak/>
        <w:t>existencia de una multiplicidad de sujetos habilitados para realizar actuaciones con proyección internacional.</w:t>
      </w:r>
    </w:p>
    <w:p w:rsidR="005728DD" w:rsidRDefault="005728DD" w:rsidP="005728DD">
      <w:pPr>
        <w:pStyle w:val="TextoNormal"/>
      </w:pPr>
    </w:p>
    <w:p w:rsidR="005728DD" w:rsidRDefault="005728DD" w:rsidP="005728DD">
      <w:pPr>
        <w:pStyle w:val="TextoNormal"/>
      </w:pPr>
      <w:r>
        <w:t>La decisión de este conflicto pasa pues por delimitar, en cada caso, si la normativa estatal impugnada por el Gobierno de Cataluña responde cabalmente a la competencia estatal de dirección y coordinación de la política exterior o, por el contrario, desborda los límites trazados por la doctrina constitucional, invadiendo el ámbito de la competencia autonómica en materia de servicios sociales y protección de menores.</w:t>
      </w:r>
    </w:p>
    <w:p w:rsidR="005728DD" w:rsidRDefault="005728DD" w:rsidP="005728DD">
      <w:pPr>
        <w:pStyle w:val="TextoNormal"/>
      </w:pPr>
    </w:p>
    <w:p w:rsidR="005728DD" w:rsidRDefault="005728DD" w:rsidP="005728DD">
      <w:pPr>
        <w:pStyle w:val="TextoNormal"/>
      </w:pPr>
      <w:r>
        <w:t>Lo hasta aquí expuesto permite descartar con carácter general la pertinencia de cuanto alega el abogado del Estado sobre la supraterritorialidad como fundamento de la norma impugnada y, en particular, de la atribución a órganos estatales de funciones ejecutivas en la materia regulada. Es doctrina constitucional consolidada que la supraterritorialidad no representa por sí sola un criterio atributivo de competencia y que la posibilidad de que el Estado asuma la gestión es excepcional y debe ser objeto de interpretación restrictiva. En términos de la STC 80/2012, de 18 de abril, “el principio de supraterritorialidad no puede utilizarse como principio delimitador de competencias fuera de los casos expresamente previstos por el bloque de la constitucionalidad [SSTC 173/2005, de 23 de junio, FJ 9 b) y 194/2011, de 13 de diciembre, FJ 5]; es decir, en aquellos supuestos en que, además del alcance territorial superior al de una comunidad autónoma, la actividad pública que se ejerza sobre el objeto de la competencia no sea susceptible de fraccionamiento y requiera un grado de homogeneidad que sólo pueda garantizarse mediante su atribución a un solo titular que forzosamente tiene que ser el Estado (entre otras, SSTC 243/1994, de 21 de julio, FJ 6; 175/1999, de 30 de septiembre, FJ 6, o 223/2000, de 21 de septiembre, FJ 11)” [FJ 7 b), citada en la STC 33/2018, de 12 de abril, FJ 3]. Una vez que ha quedado constatado que la actividad administrativa relativa a la adopción internacional representa, por su propia naturaleza, el ejercicio de una competencia con proyección exterior —o, en otros términos, una dimensión supraterritorial admitida expresamente por la doctrina constitucional que ha quedado transcrita— tal dimensión no puede operar en este caso como un criterio delimitador de las competencias distinto del que deriva de la función de dirección y coordinación que corresponde al Estado en todo aquello que afecte a la política exterior.</w:t>
      </w:r>
    </w:p>
    <w:p w:rsidR="005728DD" w:rsidRDefault="005728DD" w:rsidP="005728DD">
      <w:pPr>
        <w:pStyle w:val="TextoNormal"/>
      </w:pPr>
    </w:p>
    <w:p w:rsidR="005728DD" w:rsidRDefault="005728DD" w:rsidP="005728DD">
      <w:pPr>
        <w:pStyle w:val="TextoNormal"/>
      </w:pPr>
      <w:r>
        <w:t>Antes de iniciar el análisis específico de cada impugnación, se hace precisa una aclaración terminológica: aunque la normativa estatal citada, de acuerdo con la disposición adicional primera de la Ley 26/2015, utiliza la expresión “entidades públicas” para identificar genéricamente a los órganos con competencias territoriales en materia de servicios sociales y protección de menores, en lo sucesivo la presente resolución, atendiendo a su propio objeto y en aras de la claridad, hará referencia a las comunidades autónomas, pues aquellas entidades públicas, en virtud de las competencias asumidas estatutariamente, no son otras que los órganos autonómicos que tengan atribuidas las correspondientes funciones, según lo que establezcan sus propias normas de autoorganización.</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Acuerdos bilaterales de carácter administrativo en materia de adopción internacional</w:t>
      </w:r>
      <w:r>
        <w:t>.</w:t>
      </w:r>
    </w:p>
    <w:p w:rsidR="005728DD" w:rsidRDefault="005728DD" w:rsidP="005728DD">
      <w:pPr>
        <w:pStyle w:val="TextoNormal"/>
      </w:pPr>
    </w:p>
    <w:p w:rsidR="005728DD" w:rsidRDefault="005728DD" w:rsidP="005728DD">
      <w:pPr>
        <w:pStyle w:val="TextoNormal"/>
      </w:pPr>
      <w:r>
        <w:t xml:space="preserve">El art. 5 RAI atribuye al Estado la competencia para firmar los acuerdos bilaterales de carácter administrativo en materia de adopción internacional, con la finalidad de favorecer las relaciones recíprocas, tanto con los países de origen cuya normativa lo exija, como con </w:t>
      </w:r>
      <w:r>
        <w:lastRenderedPageBreak/>
        <w:t>aquellos con los que se estime conveniente disponer de este instrumento, de conformidad con el art. 39.2 del Convenio de La Haya de 1993. La tacha competencial se argumenta respecto del párrafo primero, que contiene esta atribución.</w:t>
      </w:r>
    </w:p>
    <w:p w:rsidR="005728DD" w:rsidRDefault="005728DD" w:rsidP="005728DD">
      <w:pPr>
        <w:pStyle w:val="TextoNormal"/>
      </w:pPr>
    </w:p>
    <w:p w:rsidR="005728DD" w:rsidRDefault="005728DD" w:rsidP="005728DD">
      <w:pPr>
        <w:pStyle w:val="TextoNormal"/>
      </w:pPr>
      <w:r>
        <w:t>Se trata de un supuesto diferente al recogido en el párrafo segundo del art. 3 LAI, que atribuye al Estado la competencia para la suscripción de los acuerdos o convenios bilaterales relativos a la adopción y protección internacional de menores “con Estados no contratantes u obligados” por los instrumentos internacionales citados en el párrafo primero, entre ellos el Convenio de La Haya de 1993.</w:t>
      </w:r>
    </w:p>
    <w:p w:rsidR="005728DD" w:rsidRDefault="005728DD" w:rsidP="005728DD">
      <w:pPr>
        <w:pStyle w:val="TextoNormal"/>
      </w:pPr>
    </w:p>
    <w:p w:rsidR="005728DD" w:rsidRDefault="005728DD" w:rsidP="005728DD">
      <w:pPr>
        <w:pStyle w:val="TextoNormal"/>
      </w:pPr>
      <w:r>
        <w:t>La referencia del art. 5 RAI a los acuerdos bilaterales “de carácter administrativo” remite al “acuerdo de carácter internacional no constitutivo de tratado que se celebra por órganos, organismos o entes de un sujeto de Derecho internacional competentes por razón de la materia, cuya celebración está prevista en el tratado que ejecuta o concreta, cuyo contenido habitual es de naturaleza técnica cualquiera que sea su denominación y que se rige por el Derecho internacional”, según la definición proporcionada por el art. 2 d) de la Ley 25/2014, de 27 de noviembre, de tratados y otros acuerdos internacionales.</w:t>
      </w:r>
    </w:p>
    <w:p w:rsidR="005728DD" w:rsidRDefault="005728DD" w:rsidP="005728DD">
      <w:pPr>
        <w:pStyle w:val="TextoNormal"/>
      </w:pPr>
    </w:p>
    <w:p w:rsidR="005728DD" w:rsidRDefault="005728DD" w:rsidP="005728DD">
      <w:pPr>
        <w:pStyle w:val="TextoNormal"/>
      </w:pPr>
      <w:r>
        <w:t>El régimen jurídico de la celebración de los acuerdos internacionales de carácter administrativo está regulado por el título III y el capítulo II del título V de la citada Ley 25/2014. Contempla su celebración por las comunidades autónomas en “materias propias de su competencia y con sujeción a lo que disponga el propio tratado internacional” (art. 52.1), y requiere la emisión de un informe previo de la asesoría jurídica Internacional del Ministerio de Asuntos Exteriores y de Cooperación acerca de su naturaleza, procedimiento y más adecuada instrumentación según el Derecho internacional. En particular, el informe estatal dictaminará “sobre si dicho proyecto debería formalizarse como tratado internacional o como acuerdo internacional administrativo” (arts. 39.1 y 52.3 de la Ley 25/2014).</w:t>
      </w:r>
    </w:p>
    <w:p w:rsidR="005728DD" w:rsidRDefault="005728DD" w:rsidP="005728DD">
      <w:pPr>
        <w:pStyle w:val="TextoNormal"/>
      </w:pPr>
    </w:p>
    <w:p w:rsidR="005728DD" w:rsidRDefault="005728DD" w:rsidP="005728DD">
      <w:pPr>
        <w:pStyle w:val="TextoNormal"/>
      </w:pPr>
      <w:r>
        <w:t>A este régimen se refiere la STC 228/2016, de 22 de diciembre, cuando señala en relación con los “acuerdos de colaboración” previstos en la legislación catalana: “Nada hay en estos preceptos que permita considerar que esos ‘acuerdos de colaboración’ constituyan tratados internacionales ni que se obstaculice o dificulte la función de coordinación estatal. Esta se concreta en la obligación por parte de la comunidad autónoma de remitir los proyectos de acuerdos internacionales ‘administrativos’ y ‘no normativos’ que pretenda celebrar, en materias propias de su competencia, al Ministerio de Asuntos Exteriores y Cooperación antes de su firma, para que sean informados por la asesoría jurídica internacional acerca de su naturaleza, procedimiento y más adecuada instrumentación según el Derecho internacional, conforme establecen los arts. 52.3 y 53.3 de la Ley 25/2014, de tratados y otros acuerdos internacionales, a fin de que la celebración de tales acuerdos no provoque distorsiones en la política exterior diseñada por el Estado en ejercicio de su competencia exclusiva del art. 149.1.3 CE” (FJ 5).</w:t>
      </w:r>
    </w:p>
    <w:p w:rsidR="005728DD" w:rsidRDefault="005728DD" w:rsidP="005728DD">
      <w:pPr>
        <w:pStyle w:val="TextoNormal"/>
      </w:pPr>
    </w:p>
    <w:p w:rsidR="005728DD" w:rsidRDefault="005728DD" w:rsidP="005728DD">
      <w:pPr>
        <w:pStyle w:val="TextoNormal"/>
      </w:pPr>
      <w:r>
        <w:t xml:space="preserve">Alega el abogado del Estado que, en la medida en que el art. 39.2 del Convenio de La Haya de 1993 permite que estos acuerdos bilaterales deroguen o modifiquen determinados artículos del propio convenio, su suscripción implica el establecimiento de una relación internacional que puede desplazar parcialmente al propio tratado, por lo que su celebración requiere el mismo </w:t>
      </w:r>
      <w:r w:rsidRPr="005728DD">
        <w:rPr>
          <w:i/>
        </w:rPr>
        <w:t>ius ad tractatum</w:t>
      </w:r>
      <w:r>
        <w:t xml:space="preserve"> que el propio Convenio que modifica, lo que forma parte de la competencia estatal </w:t>
      </w:r>
      <w:r w:rsidRPr="005728DD">
        <w:rPr>
          <w:i/>
        </w:rPr>
        <w:t>ex</w:t>
      </w:r>
      <w:r>
        <w:t xml:space="preserve"> art. 149.1.3 CE. Sin embargo, el art. 39.2 del Convenio de La </w:t>
      </w:r>
      <w:r>
        <w:lastRenderedPageBreak/>
        <w:t>Haya de 1993 no impone esta alteración, sino que se limita a contemplar la posibilidad de que los acuerdos suscritos a su amparo deroguen las disposiciones recogidas en los arts. 14 a 16 y 18 a 21 del mismo. Además, con ocasión del informe previo regulado por la Ley 25/2014, el Estado puede, caso por caso, determinar si, efectivamente, el contenido del acuerdo proyectado por una comunidad autónoma desborda los límites de un acuerdo internacional de carácter administrativo. En suma, la mera posibilidad de que el contenido hipotético de los proyectos de acuerdo previstos en el art. 5 RAI, que por otra parte la propia norma califica como “administrativos” —es decir: por definición, no constitutivos de tratados, según el art. 2 d) de la Ley 25/2014—, desborde el ámbito de las competencias autonómicas, no justifica que el Estado ejerza en exclusiva la competencia para su celebración.</w:t>
      </w:r>
    </w:p>
    <w:p w:rsidR="005728DD" w:rsidRDefault="005728DD" w:rsidP="005728DD">
      <w:pPr>
        <w:pStyle w:val="TextoNormal"/>
      </w:pPr>
    </w:p>
    <w:p w:rsidR="005728DD" w:rsidRDefault="005728DD" w:rsidP="005728DD">
      <w:pPr>
        <w:pStyle w:val="TextoNormal"/>
      </w:pPr>
      <w:r>
        <w:t>Ahora bien, frente a lo alegado por el Gobierno de Cataluña, el art. 5 atribuye la competencia indicada al Estado solo en determinados casos “para favorecer relaciones recíprocas” con otros Estados y sin excluir en modo alguno la autonómica resultante de las atribuciones estatutarias. Reconocida pues la competencia autonómica para suscribir convenios administrativos vinculados a la proyección exterior de sus atribuciones estatutarias en materia de servicios sociales y protección de menores, se desvanece la invasión competencial denunciada. La posibilidad, formulada en abstracto, de que el Estado suscriba algún acuerdo bilateral “para favorecer relaciones recíprocas” se sitúa claramente en la órbita de las “relaciones internacionales” y, por tanto, dentro del ámbito de sus atribuciones (art. 149.1.3 CE).</w:t>
      </w:r>
    </w:p>
    <w:p w:rsidR="005728DD" w:rsidRDefault="005728DD" w:rsidP="005728DD">
      <w:pPr>
        <w:pStyle w:val="TextoNormal"/>
      </w:pPr>
    </w:p>
    <w:p w:rsidR="005728DD" w:rsidRDefault="005728DD" w:rsidP="005728DD">
      <w:pPr>
        <w:pStyle w:val="TextoNormal"/>
      </w:pPr>
      <w:r>
        <w:t>En consecuencia, procede desestimar la impugnación del art. 5 RAI, párrafo primero.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Iniciación, suspensión y paralización de los expedientes de adopción internacional</w:t>
      </w:r>
      <w:r>
        <w:t>.</w:t>
      </w:r>
    </w:p>
    <w:p w:rsidR="005728DD" w:rsidRDefault="005728DD" w:rsidP="005728DD">
      <w:pPr>
        <w:pStyle w:val="TextoNormal"/>
      </w:pPr>
    </w:p>
    <w:p w:rsidR="005728DD" w:rsidRDefault="005728DD" w:rsidP="005728DD">
      <w:pPr>
        <w:pStyle w:val="TextoNormal"/>
      </w:pPr>
      <w:r>
        <w:t>Los arts. 6, 7 y 8.2, 3 y 4 RAI se impugnan por atribuir a un órgano estatal, o a la Comisión delegada de servicios sociales (creada en el seno del Consejo territorial de servicios sociales y del sistema para la autonomía y atención a la dependencia), las decisiones relativas a la iniciación, suspensión o paralización de los expedientes de adopción con un determinado país. Se impugnan asimismo actuaciones conexas, tales como la publicación de las resoluciones estatales o la facultad de recabar información en el marco de estos procedimientos.</w:t>
      </w:r>
    </w:p>
    <w:p w:rsidR="005728DD" w:rsidRDefault="005728DD" w:rsidP="005728DD">
      <w:pPr>
        <w:pStyle w:val="TextoNormal"/>
      </w:pPr>
    </w:p>
    <w:p w:rsidR="005728DD" w:rsidRDefault="005728DD" w:rsidP="005728DD">
      <w:pPr>
        <w:pStyle w:val="TextoNormal"/>
      </w:pPr>
      <w:r>
        <w:t>El examen de esta impugnación requiere enjuiciar, en primer lugar, las normas recogidas en el art. 4 LAI, cuyos apartados 1, 3 y 6 atribuyen a la administración general del Estado el núcleo de las funciones objeto de regulación en los citados preceptos reglamentarios. Se impone alterar el orden del articulado a fin de analizar esta regulación en la secuencia lógica, o cronológica, que resulta de su contenido.</w:t>
      </w:r>
    </w:p>
    <w:p w:rsidR="005728DD" w:rsidRDefault="005728DD" w:rsidP="005728DD">
      <w:pPr>
        <w:pStyle w:val="TextoNormal"/>
      </w:pPr>
    </w:p>
    <w:p w:rsidR="005728DD" w:rsidRDefault="005728DD" w:rsidP="005728DD">
      <w:pPr>
        <w:pStyle w:val="TextoNormal"/>
      </w:pPr>
      <w:r>
        <w:t>a) Según lo dispuesto en el art. 4.3 LAI, la administración general del Estado, en colaboración con las comunidades autónomas, determinará en cada momento qué países están incursos en las circunstancias que, según el apartado 2, impiden tramitar ofrecimientos de adopción: situaciones de conflicto bélico o desastre natural, o ausencia de garantías suficientes para llevar a cabo la adopción en interés del menor.</w:t>
      </w:r>
    </w:p>
    <w:p w:rsidR="005728DD" w:rsidRDefault="005728DD" w:rsidP="005728DD">
      <w:pPr>
        <w:pStyle w:val="TextoNormal"/>
      </w:pPr>
    </w:p>
    <w:p w:rsidR="005728DD" w:rsidRDefault="005728DD" w:rsidP="005728DD">
      <w:pPr>
        <w:pStyle w:val="TextoNormal"/>
      </w:pPr>
      <w:r>
        <w:t xml:space="preserve">Establecer la lista de países que, en cada momento, quedan excluidos de la adopción internacional es una decisión que repercute de forma directa en la política exterior del Estado, en sus relaciones con esos países de origen, por ello, encuentra acomodo en el ámbito </w:t>
      </w:r>
      <w:r>
        <w:lastRenderedPageBreak/>
        <w:t>del art. 149.1.3 CE. Por otra parte, es fácil advertir que, al tratarse de una exclusión que afecta al entero territorio del país de origen, no admite fragmentación, pues restaría coherencia a una decisión de política exterior. Carecería además de sentido que las circunstancias recogidas en el art. 4.2 LAI fueran impeditivas de la adopción internacional en un determinado país tercero para algunas comunidades autónomas y no para otras.</w:t>
      </w:r>
    </w:p>
    <w:p w:rsidR="005728DD" w:rsidRDefault="005728DD" w:rsidP="005728DD">
      <w:pPr>
        <w:pStyle w:val="TextoNormal"/>
      </w:pPr>
    </w:p>
    <w:p w:rsidR="005728DD" w:rsidRDefault="005728DD" w:rsidP="005728DD">
      <w:pPr>
        <w:pStyle w:val="TextoNormal"/>
      </w:pPr>
      <w:r>
        <w:t>En consecuencia, ha de ser desestimada la impugnación de los siguientes preceptos reglamentarios:</w:t>
      </w:r>
    </w:p>
    <w:p w:rsidR="005728DD" w:rsidRDefault="005728DD" w:rsidP="005728DD">
      <w:pPr>
        <w:pStyle w:val="TextoNormal"/>
      </w:pPr>
    </w:p>
    <w:p w:rsidR="005728DD" w:rsidRDefault="005728DD" w:rsidP="005728DD">
      <w:pPr>
        <w:pStyle w:val="TextoNormal"/>
      </w:pPr>
      <w:r>
        <w:t>(i) El art. 7.2 RAI atribuye al órgano estatal la suspensión cautelar, de oficio, de las adopciones en trámite en un país de origen en caso de conflicto bélico, desastre natural u otras razones cuya gravedad así lo justifique. La competencia estatal responde a las mismas razones que han quedado expuestas en relación con el art. 4.3 LAI, aunque en este caso se traduzca en una decisión de ejecución inmediata, sin duda por tratarse de circunstancias idénticas o análogas a las que justifican la confección de la lista de países excluidos, pero de carácter sobrevenido a la misma, y que por su misma gravedad no admite demora en su dimensión cautelar.</w:t>
      </w:r>
    </w:p>
    <w:p w:rsidR="005728DD" w:rsidRDefault="005728DD" w:rsidP="005728DD">
      <w:pPr>
        <w:pStyle w:val="TextoNormal"/>
      </w:pPr>
    </w:p>
    <w:p w:rsidR="005728DD" w:rsidRDefault="005728DD" w:rsidP="005728DD">
      <w:pPr>
        <w:pStyle w:val="TextoNormal"/>
      </w:pPr>
      <w:r>
        <w:t>(ii) Los apartados 2, 3 y 4 del art. 8 RAI desarrollan lo dispuesto en el art. 4.3 LAI, disponiendo la previa consulta a las comunidades autónomas, que encaja en la previsión legal de colaboración, su remisión al Ministerio de Asuntos Exteriores y Cooperación para la comunicación a las representaciones españolas en el extranjero, y la más amplia difusión a través de la doble vía de la notificación a las entidades públicas y privadas concernidas y la publicación. Sean previas o posteriores, se trata de previsiones instrumentales y conexas a la decisión estatal de excluir a determinados países de origen de las adopciones internacionales.</w:t>
      </w:r>
    </w:p>
    <w:p w:rsidR="005728DD" w:rsidRDefault="005728DD" w:rsidP="005728DD">
      <w:pPr>
        <w:pStyle w:val="TextoNormal"/>
      </w:pPr>
    </w:p>
    <w:p w:rsidR="005728DD" w:rsidRDefault="005728DD" w:rsidP="005728DD">
      <w:pPr>
        <w:pStyle w:val="TextoNormal"/>
      </w:pPr>
      <w:r>
        <w:t>b) El art. 4.1 LAI atribuye a la administración general del Estado, en colaboración con las comunidades autónomas, determinar la iniciación de la tramitación de adopciones con cada país origen de los menores, así como su suspensión o paralización. Según el art. 4.6 LAI, con carácter previo se recabará información de los organismos acreditados y, en su caso, también de terceros países o de la oficina permanente de la Conferencia de La Haya de Derecho internacional privado.</w:t>
      </w:r>
    </w:p>
    <w:p w:rsidR="005728DD" w:rsidRDefault="005728DD" w:rsidP="005728DD">
      <w:pPr>
        <w:pStyle w:val="TextoNormal"/>
      </w:pPr>
    </w:p>
    <w:p w:rsidR="005728DD" w:rsidRDefault="005728DD" w:rsidP="005728DD">
      <w:pPr>
        <w:pStyle w:val="TextoNormal"/>
      </w:pPr>
      <w:r>
        <w:t>La lista de países excluidos de la adopción internacional en cada momento, previamente examinada, se confecciona precisamente “a efectos de decidir si procede iniciar o suspender la tramitación de adopciones en ellos” (art. 4.3 LAI). El art. 4.1 LAI recoge así una decisión estatal de carácter general que, a modo de reflejo, complementa la lista de países excluidos, pues supone fijar —esta vez de modo afirmativo— la lista de países en los que, en cada momento, pueden tramitarse las adopciones internacionales. Dicho de otro modo, el establecimiento tanto de la lista de países que, en cada momento, quedan excluidos de la adopción internacional (art. 4.3 LAI), como de la correlativa lista de países en los que, en cada momento, se pueden tramitar las adopciones internacionales (art. 4.1 LAI) encuentra clara cobertura en el art. 149.1.3 CE.</w:t>
      </w:r>
    </w:p>
    <w:p w:rsidR="005728DD" w:rsidRDefault="005728DD" w:rsidP="005728DD">
      <w:pPr>
        <w:pStyle w:val="TextoNormal"/>
      </w:pPr>
    </w:p>
    <w:p w:rsidR="005728DD" w:rsidRDefault="005728DD" w:rsidP="005728DD">
      <w:pPr>
        <w:pStyle w:val="TextoNormal"/>
      </w:pPr>
      <w:r>
        <w:lastRenderedPageBreak/>
        <w:t>Lo mismo cabe decir del art. 4.6 LAI, que asigna al Estado un aspecto instrumental y conexo a estas decisiones de carácter general, como es la relación con los organismos acreditados, con terceros países y con la oficina permanente de la Conferencia de La Haya de Derecho internacional privado, con la finalidad de recabar información.</w:t>
      </w:r>
    </w:p>
    <w:p w:rsidR="005728DD" w:rsidRDefault="005728DD" w:rsidP="005728DD">
      <w:pPr>
        <w:pStyle w:val="TextoNormal"/>
      </w:pPr>
    </w:p>
    <w:p w:rsidR="005728DD" w:rsidRDefault="005728DD" w:rsidP="005728DD">
      <w:pPr>
        <w:pStyle w:val="TextoNormal"/>
      </w:pPr>
      <w:r>
        <w:t>Una vez adoptada esta doble y complementaria decisión general del Estado, la aplicación de sus efectos en cada expediente singular de adopción corresponde a las comunidades autónomas en virtud de sus competencias en materia de servicios sociales y protección de menores, como dispone el art. 5.1 c) LAI.</w:t>
      </w:r>
    </w:p>
    <w:p w:rsidR="005728DD" w:rsidRDefault="005728DD" w:rsidP="005728DD">
      <w:pPr>
        <w:pStyle w:val="TextoNormal"/>
      </w:pPr>
    </w:p>
    <w:p w:rsidR="005728DD" w:rsidRDefault="005728DD" w:rsidP="005728DD">
      <w:pPr>
        <w:pStyle w:val="TextoNormal"/>
      </w:pPr>
      <w:r>
        <w:t>Lo expuesto conduce a desestimar la impugnación de los arts. 6 y 7.1 RAI, que concretan en la norma reglamentaria el modo de proceder del Estado para la adopción de estas decisiones de carácter general, concretando la colaboración con las comunidades autónomas prevista en la ley a través de la vía de consulta, directamente o por medio de la Comisión delegada de servicios sociales.</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Establecimiento y distribución del número máximo de expedientes de adopción que se tramitarán anualmente</w:t>
      </w:r>
      <w:r>
        <w:t>.</w:t>
      </w:r>
    </w:p>
    <w:p w:rsidR="005728DD" w:rsidRDefault="005728DD" w:rsidP="005728DD">
      <w:pPr>
        <w:pStyle w:val="TextoNormal"/>
      </w:pPr>
    </w:p>
    <w:p w:rsidR="005728DD" w:rsidRDefault="005728DD" w:rsidP="005728DD">
      <w:pPr>
        <w:pStyle w:val="TextoNormal"/>
      </w:pPr>
      <w:r>
        <w:t>Los arts. 10 y 11 RAI regulan el procedimiento para establecer el número máximo de expedientes de adopción internacional que se tramitarán anualmente con cada país de origen, y la distribución del número total resultante entre las comunidades autónomas y los organismos acreditados. La demanda discute la competencia estatal tanto para aprobar el procedimiento y los criterios que rigen estas decisiones, como por atribuir las mismas al órgano estatal o a la Comisión delegada de servicios sociales. Su examen requiere el previo análisis de lo dispuesto por el art. 4.5 LAI, que regula en lo sustancial las competencias estatales aquí controvertidas.</w:t>
      </w:r>
    </w:p>
    <w:p w:rsidR="005728DD" w:rsidRDefault="005728DD" w:rsidP="005728DD">
      <w:pPr>
        <w:pStyle w:val="TextoNormal"/>
      </w:pPr>
    </w:p>
    <w:p w:rsidR="005728DD" w:rsidRDefault="005728DD" w:rsidP="005728DD">
      <w:pPr>
        <w:pStyle w:val="TextoNormal"/>
      </w:pPr>
      <w:r>
        <w:t>a) El art. 4.5 LAI, párrafo primero, dispone que la administración general del Estado, en colaboración con las comunidades autónomas, establecerá el número de expedientes de adopción internacional que remitirá anualmente a cada país de origen. En el párrafo quinto se establece que la distribución de este número máximo entre comunidades autónomas y organismos acreditados se fijará por acuerdo con las comunidades autónomas.</w:t>
      </w:r>
    </w:p>
    <w:p w:rsidR="005728DD" w:rsidRDefault="005728DD" w:rsidP="005728DD">
      <w:pPr>
        <w:pStyle w:val="TextoNormal"/>
      </w:pPr>
    </w:p>
    <w:p w:rsidR="005728DD" w:rsidRDefault="005728DD" w:rsidP="005728DD">
      <w:pPr>
        <w:pStyle w:val="TextoNormal"/>
      </w:pPr>
      <w:r>
        <w:t>Se trata, como admite la demanda, de atender a la necesidad de configurar la decisión de modo que permita encajar las solicitudes generadas en distintas comunidades autónomas y las necesidades manifestadas por cada país de origen, que precisa de los oportunos mecanismos de coordinación con la finalidad de alcanzar la acción conjunta en el establecimiento de este cupo máximo.</w:t>
      </w:r>
    </w:p>
    <w:p w:rsidR="005728DD" w:rsidRDefault="005728DD" w:rsidP="005728DD">
      <w:pPr>
        <w:pStyle w:val="TextoNormal"/>
      </w:pPr>
    </w:p>
    <w:p w:rsidR="005728DD" w:rsidRDefault="005728DD" w:rsidP="005728DD">
      <w:pPr>
        <w:pStyle w:val="TextoNormal"/>
      </w:pPr>
      <w:r>
        <w:t>La referencia del primer párrafo a la colaboración no es obstáculo para interpretar que el legislador se mantiene en los márgenes de la constitucionalidad al buscar una decisión que, cabalmente, encaja sin dificultades en los márgenes de la coordinación estatal, sin sustituir a los titulares de las competencias coordinadas. No es del todo infrecuente el empleo por el legislador de términos como “coordinación”, “colaboración” o “cooperación” en un sentido que no coincide exactamente con el que se desprende de la doctrina constitucional. Pero son discrepancias terminológicas que no alteran el sentido último de la competencia ejercida [en este mismo sentido, STC 111/2016, de 9 de junio, FJ 12 d)].</w:t>
      </w:r>
    </w:p>
    <w:p w:rsidR="005728DD" w:rsidRDefault="005728DD" w:rsidP="005728DD">
      <w:pPr>
        <w:pStyle w:val="TextoNormal"/>
      </w:pPr>
    </w:p>
    <w:p w:rsidR="005728DD" w:rsidRDefault="005728DD" w:rsidP="005728DD">
      <w:pPr>
        <w:pStyle w:val="TextoNormal"/>
      </w:pPr>
      <w:r>
        <w:t>b) El art. 10 RAI, en sus apartados 1, 2 y 5, se limita a establecer mecanismos de intercambio de información recíproca entre el Estado y las comunidades autónomas a efectos de determinar el número máximo de expedientes de adopción internacional que se tramitarán anualmente con cada país de origen. No merece reproche alguno por constituir una de las herramientas prototípicas de la coordinación, por lo que debe ser desestimada la impugnación.</w:t>
      </w:r>
    </w:p>
    <w:p w:rsidR="005728DD" w:rsidRDefault="005728DD" w:rsidP="005728DD">
      <w:pPr>
        <w:pStyle w:val="TextoNormal"/>
      </w:pPr>
    </w:p>
    <w:p w:rsidR="005728DD" w:rsidRDefault="005728DD" w:rsidP="005728DD">
      <w:pPr>
        <w:pStyle w:val="TextoNormal"/>
      </w:pPr>
      <w:r>
        <w:t>En cuanto a los criterios que sirven de base a la decisión, debe señalarse que se regulan en el art. 9 RAI, que no ha sido impugnado.</w:t>
      </w:r>
    </w:p>
    <w:p w:rsidR="005728DD" w:rsidRDefault="005728DD" w:rsidP="005728DD">
      <w:pPr>
        <w:pStyle w:val="TextoNormal"/>
      </w:pPr>
    </w:p>
    <w:p w:rsidR="005728DD" w:rsidRDefault="005728DD" w:rsidP="005728DD">
      <w:pPr>
        <w:pStyle w:val="TextoNormal"/>
      </w:pPr>
      <w:r>
        <w:t>Los apartados 3 y 4 del art. 10 RAI disponen que el órgano estatal establecerá anualmente el número de nuevos expedientes con cada país de origen, así como sus eventuales modificaciones, en función de los cambios que se pudieran producir en el país de origen, o de la evolución de las adopciones. En ambos casos, esta decisión viene precedida de la consulta a la Comisión delegada de servicios sociales, órgano constituido en el seno del Consejo territorial de servicios sociales y del sistema para la autonomía y atención a la dependencia, que tiene la condición de conferencia sectorial. Así lo dispone el art. 2.1 de su reglamento interno, aprobado por el Pleno de dicho órgano el 1 de marzo de 2018 (“BOE” de 8 de marzo de 2019). En la composición de la Comisión delegada de servicios sociales participan con voz y voto, junto a cuatro representantes estatales, los designados por las diecisiete comunidades autónomas y las ciudades de Ceuta y Melilla (art. 13.1). Adopta sus decisiones por consenso de sus miembros y, en su defecto, por el voto favorable de la administración general del Estado y de la mayoría de las comunidades autónomas y las ciudades de Ceuta y de Melilla (art. 17.1). Esta configuración permite entender que se trata de un órgano y un procedimiento idóneos para articular la adopción de esta medida de coordinación, al hacer posible una acción conjunta e integrada que requiere del consenso o, en su defecto, de la decisión mayoritaria de las comunidades autónomas competentes para la tramitación de los expedientes de adopción internacional.</w:t>
      </w:r>
    </w:p>
    <w:p w:rsidR="005728DD" w:rsidRDefault="005728DD" w:rsidP="005728DD">
      <w:pPr>
        <w:pStyle w:val="TextoNormal"/>
      </w:pPr>
    </w:p>
    <w:p w:rsidR="005728DD" w:rsidRDefault="005728DD" w:rsidP="005728DD">
      <w:pPr>
        <w:pStyle w:val="TextoNormal"/>
      </w:pPr>
      <w:r>
        <w:t>Se desestima en consecuencia la impugnación del art. 10 RAI.</w:t>
      </w:r>
    </w:p>
    <w:p w:rsidR="005728DD" w:rsidRDefault="005728DD" w:rsidP="005728DD">
      <w:pPr>
        <w:pStyle w:val="TextoNormal"/>
      </w:pPr>
    </w:p>
    <w:p w:rsidR="005728DD" w:rsidRDefault="005728DD" w:rsidP="005728DD">
      <w:pPr>
        <w:pStyle w:val="TextoNormal"/>
      </w:pPr>
      <w:r>
        <w:t>c) El art. 11 RAI, en sus apartados 1 y 2, establece los criterios de distribución del número máximo de expedientes de adopción internacional que se tramitarán anualmente con cada país de origen y dispone en su apartado 3 que la comisión delegada aprobará la distribución del número máximo de expedientes, resultante del criterio previsto en los apartados anteriores —en coincidencia con la previsión recogida en el art. 13.5 h) del reglamento interno antes citado—.</w:t>
      </w:r>
    </w:p>
    <w:p w:rsidR="005728DD" w:rsidRDefault="005728DD" w:rsidP="005728DD">
      <w:pPr>
        <w:pStyle w:val="TextoNormal"/>
      </w:pPr>
    </w:p>
    <w:p w:rsidR="005728DD" w:rsidRDefault="005728DD" w:rsidP="005728DD">
      <w:pPr>
        <w:pStyle w:val="TextoNormal"/>
      </w:pPr>
      <w:r>
        <w:t>Ninguna tacha cabe oponer a estas disposiciones, que por un lado incorporan reglas que garantizan la objetividad del sistema de distribución (en atención a la antigüedad de los ofrecimientos de adopción realizados por personas idóneas), y por otro, como manifestación de la coordinación, someten la decisión a la aprobación de la comisión delegada, en consonancia con lo dispuesto por el art. 4.5 LAI y por el propio reglamento interno que rige su funcionamiento.</w:t>
      </w:r>
    </w:p>
    <w:p w:rsidR="005728DD" w:rsidRDefault="005728DD" w:rsidP="005728DD">
      <w:pPr>
        <w:pStyle w:val="TextoNormal"/>
      </w:pPr>
    </w:p>
    <w:p w:rsidR="005728DD" w:rsidRDefault="005728DD" w:rsidP="005728DD">
      <w:pPr>
        <w:pStyle w:val="TextoNormal"/>
      </w:pPr>
      <w:r>
        <w:t>Se desestima en consecuencia la impugnación del art. 11 RAI.</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xml:space="preserve">. </w:t>
      </w:r>
      <w:r w:rsidRPr="005728DD">
        <w:rPr>
          <w:i/>
        </w:rPr>
        <w:t>Organismos de intermediación en las adopciones internacionales</w:t>
      </w:r>
      <w:r>
        <w:t>.</w:t>
      </w:r>
    </w:p>
    <w:p w:rsidR="005728DD" w:rsidRDefault="005728DD" w:rsidP="005728DD">
      <w:pPr>
        <w:pStyle w:val="TextoNormal"/>
      </w:pPr>
    </w:p>
    <w:p w:rsidR="005728DD" w:rsidRDefault="005728DD" w:rsidP="005728DD">
      <w:pPr>
        <w:pStyle w:val="TextoNormal"/>
      </w:pPr>
      <w:r>
        <w:t>La demanda dirige a los arts. 12 a 36 y a la disposición transitoria única del Real Decreto 165/2019, relativos a los organismos acreditados para la intermediación en las adopciones internacionales, un conjunto de reproches cuyo examen requiere una previa y sintética exposición de las disposiciones de la Ley de adopción internacional que determinan su régimen jurídico.</w:t>
      </w:r>
    </w:p>
    <w:p w:rsidR="005728DD" w:rsidRDefault="005728DD" w:rsidP="005728DD">
      <w:pPr>
        <w:pStyle w:val="TextoNormal"/>
      </w:pPr>
    </w:p>
    <w:p w:rsidR="005728DD" w:rsidRDefault="005728DD" w:rsidP="005728DD">
      <w:pPr>
        <w:pStyle w:val="TextoNormal"/>
      </w:pPr>
      <w:r>
        <w:t>Según el art. 6. LAI, la actividad de intermediación en adopción internacional consiste en aquella “que tenga por objeto intervenir poniendo en contacto o en relación a las personas que se ofrecen para la adopción con las autoridades, organizaciones e instituciones del país de origen o residencia del menor susceptible de ser adoptado y prestar la asistencia suficiente para que la adopción se pueda llevar a cabo” (apartado 1). La intermediación puede efectuarse bien por las comunidades autónomas “directamente con las autoridades centrales en los países de origen de los menores” que hayan ratificado el Convenio de La Haya de 1993, bien por los “organismos debidamente acreditados” (apartado 2). Las funciones de los organismos acreditados se establecen en el apartado 3: consisten en síntesis en las relativas a información a los interesados; asesoramiento, formación y apoyo a los posibles adoptantes; intervención en la tramitación de los expedientes de adopción ante las autoridades competentes, tanto españolas como extranjeras; e intervención en la tramitación y realización de las gestiones correspondientes para el cumplimiento de las obligaciones postadoptivas.</w:t>
      </w:r>
    </w:p>
    <w:p w:rsidR="005728DD" w:rsidRDefault="005728DD" w:rsidP="005728DD">
      <w:pPr>
        <w:pStyle w:val="TextoNormal"/>
      </w:pPr>
    </w:p>
    <w:p w:rsidR="005728DD" w:rsidRDefault="005728DD" w:rsidP="005728DD">
      <w:pPr>
        <w:pStyle w:val="TextoNormal"/>
      </w:pPr>
      <w:r>
        <w:t>El evidente paralelismo recogido en el art. 6.2 LAI entre la intermediación a cargo de las comunidades autónomas o de los organismos acreditados se aprecia también en las funciones de los organismos acreditados (art. 6.3 LAI): su espectro es coincidente con una parte de las desarrolladas por las comunidades autónomas [art. 5 LAI, en particular en sus apartados a), b), c), g) e i)]. Son por tanto organismos privados (entidades sin ánimo de lucro, según el art. 7.1 LAI) que desenvuelven su actividad en el ámbito funcional propio de la competencia autonómica en materia de servicios sociales y protección de menores.</w:t>
      </w:r>
    </w:p>
    <w:p w:rsidR="005728DD" w:rsidRDefault="005728DD" w:rsidP="005728DD">
      <w:pPr>
        <w:pStyle w:val="TextoNormal"/>
      </w:pPr>
    </w:p>
    <w:p w:rsidR="005728DD" w:rsidRDefault="005728DD" w:rsidP="005728DD">
      <w:pPr>
        <w:pStyle w:val="TextoNormal"/>
      </w:pPr>
      <w:r>
        <w:t>Con base en este planteamiento común, los motivos de impugnación dirigidos a este bloque normativo precisan de un examen diferenciado, atendiendo a la diferente naturaleza de la competencia reivindicada.</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w:t>
      </w:r>
      <w:r w:rsidRPr="005728DD">
        <w:rPr>
          <w:i/>
        </w:rPr>
        <w:t>Acreditación de los organismos de intermediación en las adopciones internacionales</w:t>
      </w:r>
      <w:r>
        <w:t>.</w:t>
      </w:r>
    </w:p>
    <w:p w:rsidR="005728DD" w:rsidRDefault="005728DD" w:rsidP="005728DD">
      <w:pPr>
        <w:pStyle w:val="TextoNormal"/>
      </w:pPr>
    </w:p>
    <w:p w:rsidR="005728DD" w:rsidRDefault="005728DD" w:rsidP="005728DD">
      <w:pPr>
        <w:pStyle w:val="TextoNormal"/>
      </w:pPr>
      <w:r>
        <w:t>Comenzando por la aducida vulneración de las competencias ejecutivas de la Generalitat de Cataluña, se impugna la atribución a distintos órganos estatales de funciones ejecutivas relacionadas con la acreditación de los organismos intermediarios en las adopciones internacionales y funciones conexas, reduciendo la intervención de las comunidades autónomas a la mera consulta, directamente o a través de la Comisión delegada de servicios sociales. Este motivo de impugnación afecta a los arts. 17, 22.1, 4, 6, 7 y 8, 23.4, 24, 25, 26.1 y 5, 27, 28, y 30.2. Esta tacha se extiende al art. 32.2 j) RAI, que por razones sistemáticas será examinado en el fundamento jurídico 12, y a la disposición transitoria única del Real Decreto 165/2019.</w:t>
      </w:r>
    </w:p>
    <w:p w:rsidR="005728DD" w:rsidRDefault="005728DD" w:rsidP="005728DD">
      <w:pPr>
        <w:pStyle w:val="TextoNormal"/>
      </w:pPr>
    </w:p>
    <w:p w:rsidR="005728DD" w:rsidRDefault="005728DD" w:rsidP="005728DD">
      <w:pPr>
        <w:pStyle w:val="TextoNormal"/>
      </w:pPr>
      <w:r>
        <w:lastRenderedPageBreak/>
        <w:t>a) El abogado del Estado no aporta argumentos consistentes que permitan apreciar que, en un supuesto que encaja con claridad en la competencia ejecutiva autonómica en materia de servicios sociales y protección de menores, las técnicas propias de la coordinación son insuficientes o inadecuadas para solucionar los problemas que haya suscitado la acreditación de los organismos intermediarios en las adopciones internacionales; organismos que, como quedó expuesto en el fundamento jurídico 8, desarrollan actividades plenamente coincidentes con las que corresponde desarrollar a las comunidades autónomas en este ámbito.</w:t>
      </w:r>
    </w:p>
    <w:p w:rsidR="005728DD" w:rsidRDefault="005728DD" w:rsidP="005728DD">
      <w:pPr>
        <w:pStyle w:val="TextoNormal"/>
      </w:pPr>
    </w:p>
    <w:p w:rsidR="005728DD" w:rsidRDefault="005728DD" w:rsidP="005728DD">
      <w:pPr>
        <w:pStyle w:val="TextoNormal"/>
      </w:pPr>
      <w:r>
        <w:t>La memoria de impacto normativo a la que se remite en sus alegaciones expone una evolución de la adopción internacional que aboga por la reducción de los organismos acreditados ante el decreciente número de adopciones internacionales. Pero, en realidad, más allá de criterios de oportunidad o conveniencia, en rigor no justifica la razón por la que este objetivo no puede llegar a alcanzarse a través de las técnicas propias de la coordinación. Es claro que esta justificación no puede estribar en que las comunidades autónomas dispongan solo de información parcial, frente a la información global de la que dispone el Estado por su posición de centralidad: el intercambio de información es prácticamente consustancial a la idea misma de coordinación, como este tribunal ha puesto de relieve desde la STC 32/1983, de 28 de abril: “la coordinación general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(FJ 2).</w:t>
      </w:r>
    </w:p>
    <w:p w:rsidR="005728DD" w:rsidRDefault="005728DD" w:rsidP="005728DD">
      <w:pPr>
        <w:pStyle w:val="TextoNormal"/>
      </w:pPr>
    </w:p>
    <w:p w:rsidR="005728DD" w:rsidRDefault="005728DD" w:rsidP="005728DD">
      <w:pPr>
        <w:pStyle w:val="TextoNormal"/>
      </w:pPr>
      <w:r>
        <w:t>Por este motivo, la ausencia de un adecuado mecanismo de intercambio de información no puede servir en ningún caso como argumento para reservar al Estado las funciones ejecutivas que son propias de las competencias autonómicas. Sería tanto como dar por bueno que, ante la necesidad de solucionar los problemas que se hayan suscitado en este o cualquier otro sistema que requiera una gestión que favorezca la integración de actos parciales, el Estado puede optar entre ejercer su competencia de coordinación o asumir directamente el ejercicio de las competencias de las comunidades autónomas, lo que es rotundamente contrario a la lógica constitucional que rige el funcionamiento de un Estado compuesto. También en este caso, las “dificultades que pudieran existir, en primer lugar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Al contrario, la existencia de competencias de ejecución autonómica supone la necesidad de establecer los instrumentos de coordinación y colaboración de las administraciones públicas implicadas” (STC 106/1987, de 25 de junio, FJ 4). En suma, la persecución del interés general, manifestado en la dirección de la política exterior, “se ha de materializar ‘a través de’, no ‘a pesar de’ los sistemas de reparto de competencias articulado en la Constitución, pues sólo así podrá coordinarse con el conjunto de peculiaridades propias de un Estado de estructura plural” (STC 146/1986, de 25 de noviembre, FJ 3).</w:t>
      </w:r>
    </w:p>
    <w:p w:rsidR="005728DD" w:rsidRDefault="005728DD" w:rsidP="005728DD">
      <w:pPr>
        <w:pStyle w:val="TextoNormal"/>
      </w:pPr>
    </w:p>
    <w:p w:rsidR="005728DD" w:rsidRDefault="005728DD" w:rsidP="005728DD">
      <w:pPr>
        <w:pStyle w:val="TextoNormal"/>
      </w:pPr>
      <w:r>
        <w:t xml:space="preserve">En suma, tanto la acreditación de los organismos que realizan actividades de intermediación en las adopciones internacionales, como las funciones instrumentales o conexas a la misma, son manifestación de las competencias ejecutivas autonómicas en materia de servicios sociales y protección de menores. Por tanto, aun siendo obviamente susceptibles de una </w:t>
      </w:r>
      <w:r>
        <w:lastRenderedPageBreak/>
        <w:t>coordinación estatal ceñida a la dirección de la política exterior, no pueden ser sustraídas de la esfera de acción de las comunidades autónomas y atribuidas a órganos estatales, sin incurrir en vulneración del orden constitucional y estatutario de distribución de competencias.</w:t>
      </w:r>
    </w:p>
    <w:p w:rsidR="005728DD" w:rsidRDefault="005728DD" w:rsidP="005728DD">
      <w:pPr>
        <w:pStyle w:val="TextoNormal"/>
      </w:pPr>
    </w:p>
    <w:p w:rsidR="005728DD" w:rsidRDefault="005728DD" w:rsidP="005728DD">
      <w:pPr>
        <w:pStyle w:val="TextoNormal"/>
      </w:pPr>
      <w:r>
        <w:t>b) Del anterior razonamiento se desprende la inconstitucionalidad y nulidad del art. 7.2 LAI, párrafo primero, que en su primer inciso atribuye a “la administración general del Estado, en los términos y con el procedimiento que reglamentariamente se establezca, la acreditación de los organismos anteriormente referenciados, previo informe de la entidad pública en cuyo territorio tengan su sede”. Queda para un momento posterior el examen del segundo inciso de este párrafo, relativo al control y seguimiento de los organismos acreditados respecto de las actividades de intermediación que desarrollen en el país de origen de los menores.</w:t>
      </w:r>
    </w:p>
    <w:p w:rsidR="005728DD" w:rsidRDefault="005728DD" w:rsidP="005728DD">
      <w:pPr>
        <w:pStyle w:val="TextoNormal"/>
      </w:pPr>
    </w:p>
    <w:p w:rsidR="005728DD" w:rsidRDefault="005728DD" w:rsidP="005728DD">
      <w:pPr>
        <w:pStyle w:val="TextoNormal"/>
      </w:pPr>
      <w:r>
        <w:t>Incurre en el mismo exceso competencial el art. 7.7 LAI, primer inciso, al disponer que la “administración general del Estado, a iniciativa propia o a propuesta de las entidades públicas en su ámbito territorial”, podrá suspender o retirar la acreditación concedida a los organismos cuando dejen de cumplir las condiciones que motivaron su concesión o que infrinjan con su actuación el ordenamiento jurídico. Por lo mismo, invade las competencias autonómicas de ejecución en materia de servicios sociales y protección de menores el art. 8.1 LAI en su inciso “que se encuentre acreditado por la administración general del Estado”.</w:t>
      </w:r>
    </w:p>
    <w:p w:rsidR="005728DD" w:rsidRDefault="005728DD" w:rsidP="005728DD">
      <w:pPr>
        <w:pStyle w:val="TextoNormal"/>
      </w:pPr>
    </w:p>
    <w:p w:rsidR="005728DD" w:rsidRDefault="005728DD" w:rsidP="005728DD">
      <w:pPr>
        <w:pStyle w:val="TextoNormal"/>
      </w:pPr>
      <w:r>
        <w:t>c) El art. 7.6 LAI, que prevé la colaboración estatal y autonómica para establecer el número máximo de organismos acreditados para la intermediación en un país concreto, es plenamente compatible con el orden de competencias. En línea con lo señalado en el fundamento jurídico 7 a), el establecimiento de este número máximo requiere arbitrar una coordinación que, sin sustituir a los titulares de las competencias coordinadas, favorezca una decisión conjunta.</w:t>
      </w:r>
    </w:p>
    <w:p w:rsidR="005728DD" w:rsidRDefault="005728DD" w:rsidP="005728DD">
      <w:pPr>
        <w:pStyle w:val="TextoNormal"/>
      </w:pPr>
    </w:p>
    <w:p w:rsidR="005728DD" w:rsidRDefault="005728DD" w:rsidP="005728DD">
      <w:pPr>
        <w:pStyle w:val="TextoNormal"/>
      </w:pPr>
      <w:r>
        <w:t xml:space="preserve">Así lo hace el art. 17, apartados 1 y 2, RAI, estableciendo un trámite de consulta a la comisión delegada de servicios sociales que —como ya se ha dicho— es manifestación de esta actuación coordinada tanto en su composición como en la fijación del </w:t>
      </w:r>
      <w:r w:rsidRPr="005728DD">
        <w:rPr>
          <w:i/>
        </w:rPr>
        <w:t>quórum</w:t>
      </w:r>
      <w:r>
        <w:t xml:space="preserve"> necesario para la adopción de decisiones.</w:t>
      </w:r>
    </w:p>
    <w:p w:rsidR="005728DD" w:rsidRDefault="005728DD" w:rsidP="005728DD">
      <w:pPr>
        <w:pStyle w:val="TextoNormal"/>
      </w:pPr>
    </w:p>
    <w:p w:rsidR="005728DD" w:rsidRDefault="005728DD" w:rsidP="005728DD">
      <w:pPr>
        <w:pStyle w:val="TextoNormal"/>
      </w:pPr>
      <w:r>
        <w:t>d) En cuanto atribuyen a distintos órganos estatales un conjunto de funciones ejecutivas relativas a la acreditación de los organismos intermediarios en las adopciones internacionales, incurren en vulneración de las competencias ejecutivas de las comunidades autónomas en materia de servicios sociales y protección de menores los siguientes preceptos del Reglamento de adopción internacional impugnados por este motivo:</w:t>
      </w:r>
    </w:p>
    <w:p w:rsidR="005728DD" w:rsidRDefault="005728DD" w:rsidP="005728DD">
      <w:pPr>
        <w:pStyle w:val="TextoNormal"/>
      </w:pPr>
    </w:p>
    <w:p w:rsidR="005728DD" w:rsidRDefault="005728DD" w:rsidP="005728DD">
      <w:pPr>
        <w:pStyle w:val="TextoNormal"/>
      </w:pPr>
      <w:r>
        <w:t>- Art. 22.1 (aprobación y publicación de la convocatoria para la concesión de acreditaciones mediante concurso).</w:t>
      </w:r>
    </w:p>
    <w:p w:rsidR="005728DD" w:rsidRDefault="005728DD" w:rsidP="005728DD">
      <w:pPr>
        <w:pStyle w:val="TextoNormal"/>
      </w:pPr>
    </w:p>
    <w:p w:rsidR="005728DD" w:rsidRDefault="005728DD" w:rsidP="005728DD">
      <w:pPr>
        <w:pStyle w:val="TextoNormal"/>
      </w:pPr>
      <w:r>
        <w:t>- Art. 22.4 (requerimiento de subsanación).</w:t>
      </w:r>
    </w:p>
    <w:p w:rsidR="005728DD" w:rsidRDefault="005728DD" w:rsidP="005728DD">
      <w:pPr>
        <w:pStyle w:val="TextoNormal"/>
      </w:pPr>
    </w:p>
    <w:p w:rsidR="005728DD" w:rsidRDefault="005728DD" w:rsidP="005728DD">
      <w:pPr>
        <w:pStyle w:val="TextoNormal"/>
      </w:pPr>
      <w:r>
        <w:t>- Art. 22.6 (consulta a las comunidades autónomas, previa a la resolución del concurso).</w:t>
      </w:r>
    </w:p>
    <w:p w:rsidR="005728DD" w:rsidRDefault="005728DD" w:rsidP="005728DD">
      <w:pPr>
        <w:pStyle w:val="TextoNormal"/>
      </w:pPr>
    </w:p>
    <w:p w:rsidR="005728DD" w:rsidRDefault="005728DD" w:rsidP="005728DD">
      <w:pPr>
        <w:pStyle w:val="TextoNormal"/>
      </w:pPr>
      <w:r>
        <w:t>- Art. 22.7 (informe del órgano técnico de valoración).</w:t>
      </w:r>
    </w:p>
    <w:p w:rsidR="005728DD" w:rsidRDefault="005728DD" w:rsidP="005728DD">
      <w:pPr>
        <w:pStyle w:val="TextoNormal"/>
      </w:pPr>
    </w:p>
    <w:p w:rsidR="005728DD" w:rsidRDefault="005728DD" w:rsidP="005728DD">
      <w:pPr>
        <w:pStyle w:val="TextoNormal"/>
      </w:pPr>
      <w:r>
        <w:lastRenderedPageBreak/>
        <w:t>- Art. 22.8 (resolución del concurso, incluyendo el supuesto en el que se declare desierto).</w:t>
      </w:r>
    </w:p>
    <w:p w:rsidR="005728DD" w:rsidRDefault="005728DD" w:rsidP="005728DD">
      <w:pPr>
        <w:pStyle w:val="TextoNormal"/>
      </w:pPr>
    </w:p>
    <w:p w:rsidR="005728DD" w:rsidRDefault="005728DD" w:rsidP="005728DD">
      <w:pPr>
        <w:pStyle w:val="TextoNormal"/>
      </w:pPr>
      <w:r>
        <w:t>- Art. 23.4 (iniciación del procedimiento de acreditación directa).</w:t>
      </w:r>
    </w:p>
    <w:p w:rsidR="005728DD" w:rsidRDefault="005728DD" w:rsidP="005728DD">
      <w:pPr>
        <w:pStyle w:val="TextoNormal"/>
      </w:pPr>
    </w:p>
    <w:p w:rsidR="005728DD" w:rsidRDefault="005728DD" w:rsidP="005728DD">
      <w:pPr>
        <w:pStyle w:val="TextoNormal"/>
      </w:pPr>
      <w:r>
        <w:t>- Art. 23.6 (por remisión a los arts. 24 y 25).</w:t>
      </w:r>
    </w:p>
    <w:p w:rsidR="005728DD" w:rsidRDefault="005728DD" w:rsidP="005728DD">
      <w:pPr>
        <w:pStyle w:val="TextoNormal"/>
      </w:pPr>
    </w:p>
    <w:p w:rsidR="005728DD" w:rsidRDefault="005728DD" w:rsidP="005728DD">
      <w:pPr>
        <w:pStyle w:val="TextoNormal"/>
      </w:pPr>
      <w:r>
        <w:t>- Art. 24 (solicitud de informes para la valoración de los proyectos, tanto por concurso como por acreditación directa).</w:t>
      </w:r>
    </w:p>
    <w:p w:rsidR="005728DD" w:rsidRDefault="005728DD" w:rsidP="005728DD">
      <w:pPr>
        <w:pStyle w:val="TextoNormal"/>
      </w:pPr>
    </w:p>
    <w:p w:rsidR="005728DD" w:rsidRDefault="005728DD" w:rsidP="005728DD">
      <w:pPr>
        <w:pStyle w:val="TextoNormal"/>
      </w:pPr>
      <w:r>
        <w:t>- Art. 25.1 (resolución de acreditación).</w:t>
      </w:r>
    </w:p>
    <w:p w:rsidR="005728DD" w:rsidRDefault="005728DD" w:rsidP="005728DD">
      <w:pPr>
        <w:pStyle w:val="TextoNormal"/>
      </w:pPr>
    </w:p>
    <w:p w:rsidR="005728DD" w:rsidRDefault="005728DD" w:rsidP="005728DD">
      <w:pPr>
        <w:pStyle w:val="TextoNormal"/>
      </w:pPr>
      <w:r>
        <w:t>- Art. 26.1 (referencias a la acreditación estatal concedida y resolución declarando la extinción de la acreditación).</w:t>
      </w:r>
    </w:p>
    <w:p w:rsidR="005728DD" w:rsidRDefault="005728DD" w:rsidP="005728DD">
      <w:pPr>
        <w:pStyle w:val="TextoNormal"/>
      </w:pPr>
    </w:p>
    <w:p w:rsidR="005728DD" w:rsidRDefault="005728DD" w:rsidP="005728DD">
      <w:pPr>
        <w:pStyle w:val="TextoNormal"/>
      </w:pPr>
      <w:r>
        <w:t>- Art. 27, párrafo primero (suspensión temporal de la entrega de expedientes a un organismo acreditado).</w:t>
      </w:r>
    </w:p>
    <w:p w:rsidR="005728DD" w:rsidRDefault="005728DD" w:rsidP="005728DD">
      <w:pPr>
        <w:pStyle w:val="TextoNormal"/>
      </w:pPr>
    </w:p>
    <w:p w:rsidR="005728DD" w:rsidRDefault="005728DD" w:rsidP="005728DD">
      <w:pPr>
        <w:pStyle w:val="TextoNormal"/>
      </w:pPr>
      <w:r>
        <w:t>- Art. 28.1 (retirada de la acreditación).</w:t>
      </w:r>
    </w:p>
    <w:p w:rsidR="005728DD" w:rsidRDefault="005728DD" w:rsidP="005728DD">
      <w:pPr>
        <w:pStyle w:val="TextoNormal"/>
      </w:pPr>
    </w:p>
    <w:p w:rsidR="005728DD" w:rsidRDefault="005728DD" w:rsidP="005728DD">
      <w:pPr>
        <w:pStyle w:val="TextoNormal"/>
      </w:pPr>
      <w:r>
        <w:t>- Art. 30.2 (acreditación de los organismos fusionados).</w:t>
      </w:r>
    </w:p>
    <w:p w:rsidR="005728DD" w:rsidRDefault="005728DD" w:rsidP="005728DD">
      <w:pPr>
        <w:pStyle w:val="TextoNormal"/>
      </w:pPr>
    </w:p>
    <w:p w:rsidR="005728DD" w:rsidRDefault="005728DD" w:rsidP="005728DD">
      <w:pPr>
        <w:pStyle w:val="TextoNormal"/>
      </w:pPr>
      <w:r>
        <w:t>e) Por último, incurre en idéntica vulneración la disposición transitoria única del Real Decreto 165/2019, al establecer en sus apartados 1, 2 y 3 el procedimiento de acreditación por un órgano estatal de los organismos que hubieran sido previamente acreditados por las comunidades autónomas, conforme al ordenamiento anterior a la reforma de la Ley de adopción internacional en 2015.</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w:t>
      </w:r>
      <w:r w:rsidRPr="005728DD">
        <w:rPr>
          <w:i/>
        </w:rPr>
        <w:t>Regulación de los organismos de intermediación en las adopciones internacionales</w:t>
      </w:r>
      <w:r>
        <w:t>.</w:t>
      </w:r>
    </w:p>
    <w:p w:rsidR="005728DD" w:rsidRDefault="005728DD" w:rsidP="005728DD">
      <w:pPr>
        <w:pStyle w:val="TextoNormal"/>
      </w:pPr>
    </w:p>
    <w:p w:rsidR="005728DD" w:rsidRDefault="005728DD" w:rsidP="005728DD">
      <w:pPr>
        <w:pStyle w:val="TextoNormal"/>
      </w:pPr>
      <w:r>
        <w:t>El Gobierno de Cataluña sostiene que, una vez que el Convenio de La Haya de 1993 ha establecido el estándar internacional mínimo de los organismos acreditados para la intermediación, el desarrollo normativo de dichos estándares en cuanto a sus funciones, obligaciones, requisitos y régimen económico no puede ampararse en la competencia estatal en materia de relaciones internacionales, ni en el límite derivado del ejercicio de las competencias autonómicas con proyección exterior, siendo manifestación de la competencia autonómica para ejecutar, en el ámbito de sus competencias, las obligaciones derivadas de los tratados y los convenios internacionales ratificados por España o que vinculen al Estado (art. 196.4 EAC).</w:t>
      </w:r>
    </w:p>
    <w:p w:rsidR="005728DD" w:rsidRDefault="005728DD" w:rsidP="005728DD">
      <w:pPr>
        <w:pStyle w:val="TextoNormal"/>
      </w:pPr>
    </w:p>
    <w:p w:rsidR="005728DD" w:rsidRDefault="005728DD" w:rsidP="005728DD">
      <w:pPr>
        <w:pStyle w:val="TextoNormal"/>
      </w:pPr>
      <w:r>
        <w:t>Destacada en el fundamento jurídico 8 la coincidencia entre el ámbito funcional de las comunidades autónomas y el propio de los organismos de intermediación, es obligado concluir que aquellas disponen de competencia para su regulación, competencia que, no obstante, vendrá delimitada por las medidas que puedan encuadrarse en la competencia de dirección y coordinación que corresponde al Estado a fin de garantizar los objetivos de política exterior.</w:t>
      </w:r>
    </w:p>
    <w:p w:rsidR="005728DD" w:rsidRDefault="005728DD" w:rsidP="005728DD">
      <w:pPr>
        <w:pStyle w:val="TextoNormal"/>
      </w:pPr>
    </w:p>
    <w:p w:rsidR="005728DD" w:rsidRDefault="005728DD" w:rsidP="005728DD">
      <w:pPr>
        <w:pStyle w:val="TextoNormal"/>
      </w:pPr>
      <w:r>
        <w:lastRenderedPageBreak/>
        <w:t>Ahora bien, esta última salvedad, predicable de todas las actividades de las comunidades autónomas con proyección exterior, no presta cobertura a la regulación exhaustiva del régimen jurídico de los organismos acreditados, recogida en los arts. 13 a 30 RAI. La coordinación estatal no sustituye o sustrae la competencia autonómica; antes bien, “presupone lógicamente la titularidad de las competencias en favor de la entidad coordinada (STC 27/1987), por lo que no puede servir de instrumento para asumir competencias autonómicas, ni siquiera respecto de una parte del objeto material sobre el que recaen [STC 227/1988, de 29 de noviembre, FJ 20 e)]” (STC 194/2004, de 4 de noviembre, FJ 8). En ningún caso puede traducirse en una regulación como la contenida en estos preceptos, a todas luces dictada como si el Estado dispusiera de la integridad de la competencia normativa en esta materia, pero constitucionalmente impropia cuando al Estado corresponde solo dictar las medidas de dirección y coordinación encaminadas a los fines de garantizar la coherencia de la política exterior.</w:t>
      </w:r>
    </w:p>
    <w:p w:rsidR="005728DD" w:rsidRDefault="005728DD" w:rsidP="005728DD">
      <w:pPr>
        <w:pStyle w:val="TextoNormal"/>
      </w:pPr>
    </w:p>
    <w:p w:rsidR="005728DD" w:rsidRDefault="005728DD" w:rsidP="005728DD">
      <w:pPr>
        <w:pStyle w:val="TextoNormal"/>
      </w:pPr>
      <w:r>
        <w:t>Quiere ello decir que, en ejercicio de esta competencia de dirección y coordinación, podrá el Estado fijar directrices o, con cualquier otra técnica admitida por la doctrina constitucional, establecer medidas de coordinación que cumplan dos condiciones. En primer lugar, dichas medidas estatales no pueden llegar a tal grado de desarrollo que deje vacías de contenido las correspondientes competencias de las comunidades autónomas, según la doctrina recogida en la ya transcrita STC 85/2016. En segundo lugar, deben ser medidas que, por afectar directamente a la actividad desarrollada por los organismos acreditados en los países de origen de los menores, sean susceptibles de incidir en la dirección de la política exterior del Estado. Por aludir sin ánimo exhaustivo a algunos ejemplos significativos, tales serían las relativas al cumplimiento de los requisitos exigidos en los países de origen [arts. 12.2, 13 b).2, 15 a) e i)], las funciones a realizar en los países de origen (art. 14), la exigencia de velar por la prevención de la sustracción, venta o tráfico de niños, de acuerdo con lo dispuesto en el art. 1 b) del Convenio de La Haya de 1993 [art. 15 b) y c)], la necesidad de contar con uno o varios representantes con residencia en el país de origen, que sean independientes de las instituciones públicas o privadas de protección de menores en el mismo [art. 20, apartados 1 c), 2 b) y 2 d)], la exigencia de autorización o no oposición del país de origen como condición de la eficacia de la acreditación (art. 26.1) o, en fin, las causas de suspensión de la entrega de nuevos expedientes por modificación de las circunstancias en el país de origen (art. 27).</w:t>
      </w:r>
    </w:p>
    <w:p w:rsidR="005728DD" w:rsidRDefault="005728DD" w:rsidP="005728DD">
      <w:pPr>
        <w:pStyle w:val="TextoNormal"/>
      </w:pPr>
    </w:p>
    <w:p w:rsidR="005728DD" w:rsidRDefault="005728DD" w:rsidP="005728DD">
      <w:pPr>
        <w:pStyle w:val="TextoNormal"/>
      </w:pPr>
      <w:r>
        <w:t>Ahora bien, más allá de esta ejemplificación, que pone de relieve que determinados preceptos o incisos no incurren en defecto material de constitucionalidad, carecería de sentido dejarlos aisladamente vigentes una vez anulado el contexto normativo del que forman parte inescindible, por ser instrumentales para el cumplimiento del fin regulatorio de este real decreto (en sentido análogo, STC 143/2012, de 2 de julio, FJ 6). No es función del tribunal extraer de la regulación afectada la totalidad de aquellos contenidos que, hipotéticamente, pudieran encajar en los antedichos criterios, reconstruyendo este bloque normativo contra su evidente vocación de establecer una regulación integral de los organismos acreditados. Como resulta evidente, tampoco le compete determinar la técnica de coordinación más idónea en cada caso. Es esta una operación que, en el plazo fijado en el fundamento jurídico 16, debe abordar el Estado, sin perjuicio de su control posterior si llegara a entablarse una nueva controversia competencial.</w:t>
      </w:r>
    </w:p>
    <w:p w:rsidR="005728DD" w:rsidRDefault="005728DD" w:rsidP="005728DD">
      <w:pPr>
        <w:pStyle w:val="TextoNormal"/>
      </w:pPr>
    </w:p>
    <w:p w:rsidR="005728DD" w:rsidRDefault="005728DD" w:rsidP="005728DD">
      <w:pPr>
        <w:pStyle w:val="TextoNormal"/>
      </w:pPr>
      <w:r>
        <w:lastRenderedPageBreak/>
        <w:t>En estos términos, se impone en consecuencia considerar que los arts. 13 a 30 RAI, en su dimensión normativa, invaden las competencias autonómicas en materia de servicios sociales y protección de menores y son, en consecuencia, inconstitucionales y nulos.</w:t>
      </w:r>
    </w:p>
    <w:p w:rsidR="005728DD" w:rsidRDefault="005728DD" w:rsidP="005728DD">
      <w:pPr>
        <w:pStyle w:val="TextoNormal"/>
      </w:pPr>
    </w:p>
    <w:p w:rsidR="005728DD" w:rsidRDefault="005728DD" w:rsidP="005728DD">
      <w:pPr>
        <w:pStyle w:val="TextoNormal"/>
      </w:pPr>
      <w:r w:rsidRPr="005728DD">
        <w:rPr>
          <w:rStyle w:val="NumeroAFNegritaCaracter"/>
        </w:rPr>
        <w:t>11</w:t>
      </w:r>
      <w:r>
        <w:t xml:space="preserve">. </w:t>
      </w:r>
      <w:r w:rsidRPr="005728DD">
        <w:rPr>
          <w:i/>
        </w:rPr>
        <w:t>Ámbito territorial de actuación de los organismos acreditados</w:t>
      </w:r>
      <w:r>
        <w:t>.</w:t>
      </w:r>
    </w:p>
    <w:p w:rsidR="005728DD" w:rsidRDefault="005728DD" w:rsidP="005728DD">
      <w:pPr>
        <w:pStyle w:val="TextoNormal"/>
      </w:pPr>
    </w:p>
    <w:p w:rsidR="005728DD" w:rsidRDefault="005728DD" w:rsidP="005728DD">
      <w:pPr>
        <w:pStyle w:val="TextoNormal"/>
      </w:pPr>
      <w:r>
        <w:t>El art. 12 RAI se impugna por establecer en su apartado 1 que los organismos acreditados podrán desarrollar su actividad en todo el territorio nacional, actuando así en los expedientes de adopción que se tramiten ante cualquier comunidad autónoma, sin necesidad de que esta intervenga en el procedimiento de acreditación.</w:t>
      </w:r>
    </w:p>
    <w:p w:rsidR="005728DD" w:rsidRDefault="005728DD" w:rsidP="005728DD">
      <w:pPr>
        <w:pStyle w:val="TextoNormal"/>
      </w:pPr>
    </w:p>
    <w:p w:rsidR="005728DD" w:rsidRDefault="005728DD" w:rsidP="005728DD">
      <w:pPr>
        <w:pStyle w:val="TextoNormal"/>
      </w:pPr>
      <w:r>
        <w:t>La STC 79/2017, de 22 de junio, FJ 12 a), ha subrayado que el Estado puede reconocer eficacia extraterritorial o supracomunitaria a las decisiones de las administraciones autonómicas que, a la vista de la normativa aplicada, respondan a un estándar normativo igual o similar. Así ocurre cuando tales decisiones ejecutan “una normativa común de la Unión Europea armonizada” o “una legislación estatal común”. También cuando aplican normativa de la propia comunidad autónoma, si pese a la “pluralidad de legislaciones autonómicas” y a “sus posibles diferencias técnicas o metodológicas”, responden a “un estándar que pueda ser considerado equivalente”.</w:t>
      </w:r>
    </w:p>
    <w:p w:rsidR="005728DD" w:rsidRDefault="005728DD" w:rsidP="005728DD">
      <w:pPr>
        <w:pStyle w:val="TextoNormal"/>
      </w:pPr>
    </w:p>
    <w:p w:rsidR="005728DD" w:rsidRDefault="005728DD" w:rsidP="005728DD">
      <w:pPr>
        <w:pStyle w:val="TextoNormal"/>
      </w:pPr>
      <w:r>
        <w:t>Consecuentemente, “en ausencia de legislación común o centralizada, la existencia de ‘una pluralidad de legislaciones autonómicas’ no implica necesariamente la imposibilidad de articular un sistema de eficacia extraterritorial de las decisiones de las comunidades autónomas” [STC 111/2017, de 5 de octubre, FJ 3 a)]. El reconocimiento de eficacia extraterritorial a una decisión autonómica es contrario al sistema constitucional de distribución de competencias solo si falta ese estándar equivalente. Establecerlo en su ausencia “supone obligar a una comunidad autónoma a tener que aceptar dentro de su territorio una pluralidad de políticas ajenas”, lo que “choca con la capacidad para elaborar sus propias políticas públicas en las materias de su competencia (STC 13/1992, de 6 de febrero, FJ 7, entre otras) y entraña la constricción de su autonomía”; viene a “permitirse la aplicación en el territorio de la comunidad autónoma de disposiciones adoptadas por un órgano representativo en el que los ciudadanos de la comunidad autónoma en la que finalmente se aplica no se encuentran representados” (SSTC 79/2017, FJ 13, y 102/2017, de 20 de julio, FJ 4).</w:t>
      </w:r>
    </w:p>
    <w:p w:rsidR="005728DD" w:rsidRDefault="005728DD" w:rsidP="005728DD">
      <w:pPr>
        <w:pStyle w:val="TextoNormal"/>
      </w:pPr>
    </w:p>
    <w:p w:rsidR="005728DD" w:rsidRDefault="005728DD" w:rsidP="005728DD">
      <w:pPr>
        <w:pStyle w:val="TextoNormal"/>
      </w:pPr>
      <w:r>
        <w:t>En el presente caso, de acuerdo con lo razonado en el fundamento jurídico anterior, la actividad de los organismos de intermediación en la adopción internacional ha de ajustarse a la legislación que establezcan las comunidades autónomas, en cuanto competentes en materia de servicios sociales y protección de menores, en el marco del estándar internacional mínimo que impone el Convenio de la Haya de 1993 y de las normas o directrices que establezca el Estado al amparo de sus atribuciones en materia de relaciones internacionales (art. 149.1.3 CE), relativas a, entre otros aspectos, las funciones a realizar y la representación en los países de origen, las medidas contra la sustracción, venta o tráfico de niños, la exigencia de autorización o no oposición en el país de origen como condición de eficacia de la acreditación o las causas de suspensión de la entrega de nuevos expedientes por modificación de las circunstancias. Está previsto, en consecuencia, un estándar normativo común o equivalente, resultante del Derecho internacional y la legislación estatal, que permite asignar eficacia extraterritorial a la acreditación de organismos de intermediación acordada por una comunidad autónoma, sin por ello vulnerar la autonomía de las comunidades restantes.</w:t>
      </w:r>
    </w:p>
    <w:p w:rsidR="005728DD" w:rsidRDefault="005728DD" w:rsidP="005728DD">
      <w:pPr>
        <w:pStyle w:val="TextoNormal"/>
      </w:pPr>
    </w:p>
    <w:p w:rsidR="005728DD" w:rsidRDefault="005728DD" w:rsidP="005728DD">
      <w:pPr>
        <w:pStyle w:val="TextoNormal"/>
      </w:pPr>
      <w:r>
        <w:t>Consecuentemente, procede desestimar la impugnación del art. 12 RAI.</w:t>
      </w:r>
    </w:p>
    <w:p w:rsidR="005728DD" w:rsidRDefault="005728DD" w:rsidP="005728DD">
      <w:pPr>
        <w:pStyle w:val="TextoNormal"/>
      </w:pPr>
    </w:p>
    <w:p w:rsidR="005728DD" w:rsidRDefault="005728DD" w:rsidP="005728DD">
      <w:pPr>
        <w:pStyle w:val="TextoNormal"/>
      </w:pPr>
      <w:r w:rsidRPr="005728DD">
        <w:rPr>
          <w:rStyle w:val="NumeroAFNegritaCaracter"/>
        </w:rPr>
        <w:t>12</w:t>
      </w:r>
      <w:r>
        <w:t xml:space="preserve">. </w:t>
      </w:r>
      <w:r w:rsidRPr="005728DD">
        <w:rPr>
          <w:i/>
        </w:rPr>
        <w:t>Modelo básico del contrato a suscribir entre los organismos acreditados y los adoptantes</w:t>
      </w:r>
      <w:r>
        <w:t>.</w:t>
      </w:r>
    </w:p>
    <w:p w:rsidR="005728DD" w:rsidRDefault="005728DD" w:rsidP="005728DD">
      <w:pPr>
        <w:pStyle w:val="TextoNormal"/>
      </w:pPr>
    </w:p>
    <w:p w:rsidR="005728DD" w:rsidRDefault="005728DD" w:rsidP="005728DD">
      <w:pPr>
        <w:pStyle w:val="TextoNormal"/>
      </w:pPr>
      <w:r>
        <w:t>Los arts. 31 y 32 RAI se impugnan por atribuir a la Comisión delegada de servicios sociales la aprobación del modelo básico del contrato a suscribir entre los organismos acreditados y los adoptantes, y por establecer su contenido mínimo, del que además se afirma que presenta un importante grado de detalle. Estos preceptos desarrollan el art. 8.2 LAI, párrafo segundo, que dispone que el modelo básico de contrato que deben suscribir los adoptantes y los organismos acreditados para formalizar los servicios de intermediación de estos últimos, ha de ser previamente homologado por la administración general del Estado y las comunidades autónomas, en la forma que se determine reglamentariamente.</w:t>
      </w:r>
    </w:p>
    <w:p w:rsidR="005728DD" w:rsidRDefault="005728DD" w:rsidP="005728DD">
      <w:pPr>
        <w:pStyle w:val="TextoNormal"/>
      </w:pPr>
    </w:p>
    <w:p w:rsidR="005728DD" w:rsidRDefault="005728DD" w:rsidP="005728DD">
      <w:pPr>
        <w:pStyle w:val="TextoNormal"/>
      </w:pPr>
      <w:r>
        <w:t>La aprobación del modelo básico de contrato es, sin duda, una tarea “ejecutiva” y, en cuanto tal, perteneciente, en principio, a las comunidades autónomas. De acuerdo con la doctrina constitucional, las competencias de ejecución “abarcan las decisiones de pura aplicación” y “las tareas de gestión administrativa destinadas a prepararlas, como la elaboración de instrumentos o mandatos de contenido abstracto sobre organización” [STC 55/2018, de 24 de mayo, FJ 8 b)]. Por eso la aprobación de modelos, formularios, escritos administrativos normalizados o instrucciones administrativas “no puede calificarse de ‘legislación’; es una cuestión ‘meramente procedimental’ perteneciente a la autoorganización de cada administración pública” [STC 55/2018, FJ 8 b), que cita las SSTC 70/1997, de 10 de abril, FJ 4; 242/1999, de 21 de diciembre, FJ 11; 36/2012, de 15 de marzo, FJ 10; 179/2013, de 21 de octubre, FJ 8, y 87/2016, de 28 de abril, FJ 7].</w:t>
      </w:r>
    </w:p>
    <w:p w:rsidR="005728DD" w:rsidRDefault="005728DD" w:rsidP="005728DD">
      <w:pPr>
        <w:pStyle w:val="TextoNormal"/>
      </w:pPr>
    </w:p>
    <w:p w:rsidR="005728DD" w:rsidRDefault="005728DD" w:rsidP="005728DD">
      <w:pPr>
        <w:pStyle w:val="TextoNormal"/>
      </w:pPr>
      <w:r>
        <w:t xml:space="preserve">Ahora bien, en el presente caso, el Estado no se ha atribuido estrictamente una tarea ejecutiva de las comunidades autónomas. La ha conferido a un órgano de administración mixta, que cuenta con la participación de todas las comunidades y ciudades autónomas y que decide por consenso o, en su defecto, por mayoría de votos. A su vez, de acuerdo con el art. 32 RAI, el contenido del modelo de contrato homologado es un mínimo que pueden ampliar o complementar las comunidades autónomas, en ejercicio de sus competencias ejecutivas. El Estado ha arbitrado, en suma, un “instrumento de colaboración” que, reduciendo al mínimo la afectación de las competencias autonómicas, garantiza la aplicación de estándares comunes a organismos de intermediación acreditados por diferentes comunidades autónomas, pero llamados a actuar en cualquier parte del territorio nacional con vistas a su proyección internacional. Se trata pues de una medida que, en su labor de coordinación </w:t>
      </w:r>
      <w:r w:rsidRPr="005728DD">
        <w:rPr>
          <w:i/>
        </w:rPr>
        <w:t>ex</w:t>
      </w:r>
      <w:r>
        <w:t xml:space="preserve"> art. 149.1.3 CE, puede adoptar válidamente el Estado [en parecido sentido, STC 55/2018, FFJJ 8 c) y 11 e), en relación con los criterios de normalización de información, formatos y aplicaciones del esquema nacional de interoperabilidad].</w:t>
      </w:r>
    </w:p>
    <w:p w:rsidR="005728DD" w:rsidRDefault="005728DD" w:rsidP="005728DD">
      <w:pPr>
        <w:pStyle w:val="TextoNormal"/>
      </w:pPr>
    </w:p>
    <w:p w:rsidR="005728DD" w:rsidRDefault="005728DD" w:rsidP="005728DD">
      <w:pPr>
        <w:pStyle w:val="TextoNormal"/>
      </w:pPr>
      <w:r>
        <w:t xml:space="preserve">Es verdad, no obstante, tal como alega el Gobierno de Cataluña, que el art. 32, apartado 2 j), RAI va más lejos. No se limita a indicar un concreto elemento del modelo de contrato que han de aprobar las comunidades y ciudades autónomas en el seno de una conferencia sectorial. Atribuye a la dirección general de un ministerio una concreta tarea ejecutiva: la autorización previa de “la cláusula de revisión económica del contrato sobre la posibilidad de actualización de costes por la tramitación del expediente de adopción, en situaciones que </w:t>
      </w:r>
      <w:r>
        <w:lastRenderedPageBreak/>
        <w:t>lo justifiquen”. Estando igualmente prevista la autorización autonómica, a la vista de que el abogado del Estado no ha justificado específicamente las razones que, por excepción, consentirían la centralización de esta concreta atribución ejecutiva sin acudir a mecanismos de colaboración, procede estimar la impugnación en este punto.</w:t>
      </w:r>
    </w:p>
    <w:p w:rsidR="005728DD" w:rsidRDefault="005728DD" w:rsidP="005728DD">
      <w:pPr>
        <w:pStyle w:val="TextoNormal"/>
      </w:pPr>
    </w:p>
    <w:p w:rsidR="005728DD" w:rsidRDefault="005728DD" w:rsidP="005728DD">
      <w:pPr>
        <w:pStyle w:val="TextoNormal"/>
      </w:pPr>
      <w:r>
        <w:t>En consecuencia, corresponde desestimar la impugnación de los arts. 31 y 32 RAI, salvo en el inciso “de la Dirección General y” del apartado 2 j) del art. 32, que declaramos inconstitucional.</w:t>
      </w:r>
    </w:p>
    <w:p w:rsidR="005728DD" w:rsidRDefault="005728DD" w:rsidP="005728DD">
      <w:pPr>
        <w:pStyle w:val="TextoNormal"/>
      </w:pPr>
    </w:p>
    <w:p w:rsidR="005728DD" w:rsidRDefault="005728DD" w:rsidP="005728DD">
      <w:pPr>
        <w:pStyle w:val="TextoNormal"/>
      </w:pPr>
      <w:r w:rsidRPr="005728DD">
        <w:rPr>
          <w:rStyle w:val="NumeroAFNegritaCaracter"/>
        </w:rPr>
        <w:t>13</w:t>
      </w:r>
      <w:r>
        <w:t xml:space="preserve">. </w:t>
      </w:r>
      <w:r w:rsidRPr="005728DD">
        <w:rPr>
          <w:i/>
        </w:rPr>
        <w:t>Seguimiento y control de los organismos acreditados</w:t>
      </w:r>
      <w:r>
        <w:t>.</w:t>
      </w:r>
    </w:p>
    <w:p w:rsidR="005728DD" w:rsidRDefault="005728DD" w:rsidP="005728DD">
      <w:pPr>
        <w:pStyle w:val="TextoNormal"/>
      </w:pPr>
    </w:p>
    <w:p w:rsidR="005728DD" w:rsidRDefault="005728DD" w:rsidP="005728DD">
      <w:pPr>
        <w:pStyle w:val="TextoNormal"/>
      </w:pPr>
      <w:r>
        <w:t>Los arts. 33.1, 34, 35.1, 2, 4 y 5, y 36.1 y 2 RAI se impugnan por atribuir a órganos estatales la función de control y seguimiento de los organismos acreditados. Se imputa la misma vulneración competencial a los preceptos que regulan obligaciones de comunicación e información de los organismos acreditados al órgano estatal, por quedar comprendidos en esta misma función. Concretamente, se trata de los arts. 15 d), f), g), h), i) y v), 26.3, 29 e), y 30.1. Por el mismo motivo, se impugna asimismo el art. 38.4, cuyo examen queda para un momento posterior por su conexión temática con la regulación del registro de organismos acreditados.</w:t>
      </w:r>
    </w:p>
    <w:p w:rsidR="005728DD" w:rsidRDefault="005728DD" w:rsidP="005728DD">
      <w:pPr>
        <w:pStyle w:val="TextoNormal"/>
      </w:pPr>
    </w:p>
    <w:p w:rsidR="005728DD" w:rsidRDefault="005728DD" w:rsidP="005728DD">
      <w:pPr>
        <w:pStyle w:val="TextoNormal"/>
      </w:pPr>
      <w:r>
        <w:t>El art. 33.1 RAI deslinda las funciones de seguimiento y control de los organismos acreditados en función del lugar de desarrollo de su actividad, atribuyendo dicha función a las comunidades autónomas —respecto del funcionamiento general del organismo en el territorio en el que tenga su sede—, y al Estado —respecto de la actividad que desarrollen en el país de origen—.</w:t>
      </w:r>
    </w:p>
    <w:p w:rsidR="005728DD" w:rsidRDefault="005728DD" w:rsidP="005728DD">
      <w:pPr>
        <w:pStyle w:val="TextoNormal"/>
      </w:pPr>
    </w:p>
    <w:p w:rsidR="005728DD" w:rsidRDefault="005728DD" w:rsidP="005728DD">
      <w:pPr>
        <w:pStyle w:val="TextoNormal"/>
      </w:pPr>
      <w:r>
        <w:t>a) Dicho régimen de control dual deriva del art. 7.2 LAI, párrafo primero, que en su segundo inciso atribuye a la administración general del Estado el “control y seguimiento [de los organismos acreditados] respecto a las actividades de intermediación que vayan a desarrollar en el país de origen de los menores”.</w:t>
      </w:r>
    </w:p>
    <w:p w:rsidR="005728DD" w:rsidRDefault="005728DD" w:rsidP="005728DD">
      <w:pPr>
        <w:pStyle w:val="TextoNormal"/>
      </w:pPr>
    </w:p>
    <w:p w:rsidR="005728DD" w:rsidRDefault="005728DD" w:rsidP="005728DD">
      <w:pPr>
        <w:pStyle w:val="TextoNormal"/>
      </w:pPr>
      <w:r>
        <w:t>La atribución de esta función ejecutiva al Estado desborda una vez más la función de coordinación, que habilita al Estado para regular y coordinar las actividades con proyección externa de las comunidades autónomas, para evitar o remediar eventuales perjuicios sobre la dirección y puesta en ejecución de la política exterior que corresponde en exclusiva al Estado (STC 165/1994, de 26 de mayo, FFJJ 5 y 6). La coordinación estatal presupone, como venimos reiterando a lo largo de esta resolución, la titularidad de la competencia autonómica sometida a coordinación. No se traduce en su sustitución mediante la directa asunción de la función ejecutiva por el Estado, pues por esta vía se opera un vaciamiento efectivo de las competencias autonómicas que no dispone de cobertura constitucional. Es pertinente reiterar que, según la doctrina constitucional,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[art. 149.1.3 CE]” (por todas, STC 31/2010, de 28 de junio, FJ 125).</w:t>
      </w:r>
    </w:p>
    <w:p w:rsidR="005728DD" w:rsidRDefault="005728DD" w:rsidP="005728DD">
      <w:pPr>
        <w:pStyle w:val="TextoNormal"/>
      </w:pPr>
    </w:p>
    <w:p w:rsidR="005728DD" w:rsidRDefault="005728DD" w:rsidP="005728DD">
      <w:pPr>
        <w:pStyle w:val="TextoNormal"/>
      </w:pPr>
      <w:r>
        <w:lastRenderedPageBreak/>
        <w:t xml:space="preserve">La actividad de seguimiento y control de los organismos acreditados no compromete </w:t>
      </w:r>
      <w:r w:rsidRPr="005728DD">
        <w:rPr>
          <w:i/>
        </w:rPr>
        <w:t>per se</w:t>
      </w:r>
      <w:r>
        <w:t xml:space="preserve"> ninguna de las facultades que corresponden al Estado en virtud de su competencia exclusiva en materia de relaciones internacionales. En cuanto al principio de unidad de acción en el exterior, “parte de la premisa de que las comunidades autónomas y otros sujetos distintos del Estado pueden actuar en el exterior pero de forma coordinada, a fin de garantizar los objetivos de la política exterior del Gobierno que deben ser preservados […] si la fijación de directrices y objetivos es consustancial a cualesquiera tareas de dirección y coordinación, máxime en un Estado compuesto como es el nuestro, ello es aplicable, incluso con mayor intensidad, en el ámbito de la acción exterior del Estado, en el que se ha de combinar la competencia exclusiva que el mismo ostenta en materia de relaciones internacionales </w:t>
      </w:r>
      <w:r w:rsidRPr="005728DD">
        <w:rPr>
          <w:i/>
        </w:rPr>
        <w:t>ex</w:t>
      </w:r>
      <w:r>
        <w:t xml:space="preserve"> art. 149.1.3 CE (que, entre otras cosas, se reitera, conlleva que solo el Estado pueda relacionarse en el exterior como sujeto de Derecho internacional) con la existencia, que hemos reconocido, de una multiplicidad de sujetos habilitados para realizar, en el ejercicio de sus competencias, actuaciones con proyección internacional” (STC 228/2016, de 22 de diciembre, FJ 4, con cita de la STC 85/2016, de 28 de abril). Preservada siempre la posición única del Estado como sujeto de Derecho internacional, “las comunidades autónomas no pueden ser sujetos internacionales, pero nada impide que puedan presentarse como actores internacionales, estando esas entidades territoriales facultadas en determinados casos para realizar actuaciones en el ámbito exterior actuando siempre en el marco de las competencias propias de las comunidades autónomas” (</w:t>
      </w:r>
      <w:r w:rsidRPr="005728DD">
        <w:rPr>
          <w:i/>
        </w:rPr>
        <w:t>ibidem</w:t>
      </w:r>
      <w:r>
        <w:t xml:space="preserve">). La actuación autonómica, siempre que responda al ejercicio de sus competencias estatutarias, puede comprender la apertura de oficinas en el exterior que ejerzan su representación institucional (SSTC 165/1994, de 26 de mayo, y 228/2016, FJ 10), y permite entablar relaciones con gobiernos de otros Estados: “los objetivos generales que el Gobierno de la Generalitat puede promover en el ejercicio de tales relaciones […] se deben entender necesariamente enmarcados en las acciones con proyección exterior de la Generalitat de Cataluña, circunscritas al ámbito de sus competencias y para la promoción de sus intereses, con respeto de la competencia estatal exclusiva en materia de relaciones internacionales (art. 193 EAC; STC 31/2010, FJ 125, por todas). En modo alguno pueden suponer obligaciones de Derecho internacional, ni ejercicio del </w:t>
      </w:r>
      <w:r w:rsidRPr="005728DD">
        <w:rPr>
          <w:i/>
        </w:rPr>
        <w:t>ius contrahendi</w:t>
      </w:r>
      <w:r>
        <w:t xml:space="preserve"> o del </w:t>
      </w:r>
      <w:r w:rsidRPr="005728DD">
        <w:rPr>
          <w:i/>
        </w:rPr>
        <w:t>ius legationis</w:t>
      </w:r>
      <w:r>
        <w:t xml:space="preserve">, reservados ambos al Estado </w:t>
      </w:r>
      <w:r w:rsidRPr="005728DD">
        <w:rPr>
          <w:i/>
        </w:rPr>
        <w:t>ex</w:t>
      </w:r>
      <w:r>
        <w:t xml:space="preserve"> art. 149.1.3 CE. Ello sin perjuicio de que tampoco debe olvidarse que ‘las relaciones internacionales, en cuanto materia jurídica, no se identifican en modo alguno con el contenido más amplio que posee dicha expresión en sentido sociológico, ni con cualquier actividad exterior’ (STC 165/1994, FJ 5)” (STC 228/2016, FJ 9).</w:t>
      </w:r>
    </w:p>
    <w:p w:rsidR="005728DD" w:rsidRDefault="005728DD" w:rsidP="005728DD">
      <w:pPr>
        <w:pStyle w:val="TextoNormal"/>
      </w:pPr>
    </w:p>
    <w:p w:rsidR="005728DD" w:rsidRDefault="005728DD" w:rsidP="005728DD">
      <w:pPr>
        <w:pStyle w:val="TextoNormal"/>
      </w:pPr>
      <w:r>
        <w:t>En suma, se trata de un ámbito en el que, sin invadir las competencias ejecutivas de las comunidades autónomas, el Estado puede proyectar con naturalidad su competencia de coordinación, y en el que, además, las comunidades autónomas pueden solicitar de los órganos del servicio exterior del Estado el apoyo necesario a sus iniciativas (art. 14.3 de la Ley 2/2014, de 25 de marzo, de la acción y del servicio exterior del Estado, y STC 85/2016, FJ 7).</w:t>
      </w:r>
    </w:p>
    <w:p w:rsidR="005728DD" w:rsidRDefault="005728DD" w:rsidP="005728DD">
      <w:pPr>
        <w:pStyle w:val="TextoNormal"/>
      </w:pPr>
    </w:p>
    <w:p w:rsidR="005728DD" w:rsidRDefault="005728DD" w:rsidP="005728DD">
      <w:pPr>
        <w:pStyle w:val="TextoNormal"/>
      </w:pPr>
      <w:r>
        <w:t>Al desbordar esta delimitación, el art. 7.2 LAI, párrafo primero, es inconstitucional y nulo en el inciso que atribuye al Estado el seguimiento y control de los organismos acreditados respecto de sus actividades de intermediación en el país de origen.</w:t>
      </w:r>
    </w:p>
    <w:p w:rsidR="005728DD" w:rsidRDefault="005728DD" w:rsidP="005728DD">
      <w:pPr>
        <w:pStyle w:val="TextoNormal"/>
      </w:pPr>
    </w:p>
    <w:p w:rsidR="005728DD" w:rsidRDefault="005728DD" w:rsidP="005728DD">
      <w:pPr>
        <w:pStyle w:val="TextoNormal"/>
      </w:pPr>
      <w:r>
        <w:lastRenderedPageBreak/>
        <w:t>b) Examinada a partir de la conclusión alcanzada en el apartado anterior la regulación reglamentaria impugnada, en cuanto atribuye a órganos estatales funciones propias del seguimiento y control de los organismos acreditados, incurren en vulneración de las competencias ejecutivas de las comunidades autónomas en materia de servicios sociales y protección de menores los siguientes preceptos del RAI:</w:t>
      </w:r>
    </w:p>
    <w:p w:rsidR="005728DD" w:rsidRDefault="005728DD" w:rsidP="005728DD">
      <w:pPr>
        <w:pStyle w:val="TextoNormal"/>
      </w:pPr>
    </w:p>
    <w:p w:rsidR="005728DD" w:rsidRDefault="005728DD" w:rsidP="005728DD">
      <w:pPr>
        <w:pStyle w:val="TextoNormal"/>
      </w:pPr>
      <w:r>
        <w:t>- Art. 15 [referencias al órgano estatal contenidas en sus apartados d), f), g), h), i) y v), que especifican determinadas obligaciones de información de los organismos acreditados].</w:t>
      </w:r>
    </w:p>
    <w:p w:rsidR="005728DD" w:rsidRDefault="005728DD" w:rsidP="005728DD">
      <w:pPr>
        <w:pStyle w:val="TextoNormal"/>
      </w:pPr>
    </w:p>
    <w:p w:rsidR="005728DD" w:rsidRDefault="005728DD" w:rsidP="005728DD">
      <w:pPr>
        <w:pStyle w:val="TextoNormal"/>
      </w:pPr>
      <w:r>
        <w:t>- Art. 29 e) (obligación del organismo al que se le haya retirado la acreditación de dar cuenta de las liquidaciones efectuadas).</w:t>
      </w:r>
    </w:p>
    <w:p w:rsidR="005728DD" w:rsidRDefault="005728DD" w:rsidP="005728DD">
      <w:pPr>
        <w:pStyle w:val="TextoNormal"/>
      </w:pPr>
    </w:p>
    <w:p w:rsidR="005728DD" w:rsidRDefault="005728DD" w:rsidP="005728DD">
      <w:pPr>
        <w:pStyle w:val="TextoNormal"/>
      </w:pPr>
      <w:r>
        <w:t>- Art. 33.1 (funciones de seguimiento y control de la actividad desarrollada por los organismos acreditados en el país de origen).</w:t>
      </w:r>
    </w:p>
    <w:p w:rsidR="005728DD" w:rsidRDefault="005728DD" w:rsidP="005728DD">
      <w:pPr>
        <w:pStyle w:val="TextoNormal"/>
      </w:pPr>
    </w:p>
    <w:p w:rsidR="005728DD" w:rsidRDefault="005728DD" w:rsidP="005728DD">
      <w:pPr>
        <w:pStyle w:val="TextoNormal"/>
      </w:pPr>
      <w:r>
        <w:t>c) Por el contrario, teniendo presente que la invasión de las competencias ejecutivas de las comunidades autónomas que se ha apreciado previamente no deriva del carácter de coordinación de las medidas adoptadas, sino de la injerencia indebida en aquellas (STC 104/1988, de 8 de junio, FJ 2), se desestima la impugnación de los arts. 34; 35, apartados 1, 2, 4 y 5, y 36, apartados 1 y 2.</w:t>
      </w:r>
    </w:p>
    <w:p w:rsidR="005728DD" w:rsidRDefault="005728DD" w:rsidP="005728DD">
      <w:pPr>
        <w:pStyle w:val="TextoNormal"/>
      </w:pPr>
    </w:p>
    <w:p w:rsidR="005728DD" w:rsidRDefault="005728DD" w:rsidP="005728DD">
      <w:pPr>
        <w:pStyle w:val="TextoNormal"/>
      </w:pPr>
      <w:r>
        <w:t>El art. 34 constituye una comisión técnica de seguimiento y control, con la función de coordinar las actuaciones de los organismos acreditados. Tanto su composición, en la que participan todas las comunidades autónomas con peso mayoritario (apartado 2), como las decisiones encomendadas a la misma —establecer un sistema de calidad para realizar una valoración objetiva y continuada de los organismos acreditados, y un plan de auditorías— responde a un correcto ejercicio de la competencia estatal de coordinación, en cuanto facilitan la acción conjunta de los entes coordinados, sin menoscabo o invasión de las competencias autonómicas.</w:t>
      </w:r>
    </w:p>
    <w:p w:rsidR="005728DD" w:rsidRDefault="005728DD" w:rsidP="005728DD">
      <w:pPr>
        <w:pStyle w:val="TextoNormal"/>
      </w:pPr>
    </w:p>
    <w:p w:rsidR="005728DD" w:rsidRDefault="005728DD" w:rsidP="005728DD">
      <w:pPr>
        <w:pStyle w:val="TextoNormal"/>
      </w:pPr>
      <w:r>
        <w:t>Tampoco es ajeno a las medidas de coordinación constitucionalmente admisibles lo dispuesto en el art. 35, cuyos apartados 1, 2 y 4 recogen instrumentos idóneos para facilitar el intercambio de información entre el Estado y las comunidades autónomas. Ni desborda el ámbito de la competencia estatal lo dispuesto en el apartado 5, que atribuye al órgano estatal una facultad de mera iniciativa o propuesta a efectos de retirar la acreditación de un organismo en caso de pérdida de idoneidad, pérdida de la acreditación en el país de origen o incumplimiento de sus obligaciones.</w:t>
      </w:r>
    </w:p>
    <w:p w:rsidR="005728DD" w:rsidRDefault="005728DD" w:rsidP="005728DD">
      <w:pPr>
        <w:pStyle w:val="TextoNormal"/>
      </w:pPr>
    </w:p>
    <w:p w:rsidR="005728DD" w:rsidRDefault="005728DD" w:rsidP="005728DD">
      <w:pPr>
        <w:pStyle w:val="TextoNormal"/>
      </w:pPr>
      <w:r>
        <w:t>Por último, el art. 36.1, que fija obligaciones de los organismos acreditados para facilitar su correcta supervisión, coordinada a través de la comisión técnica regulada en el art. 34, tampoco excede de las medidas de homogeneización que puede establecer el Estado en ejercicio de su competencia.</w:t>
      </w:r>
    </w:p>
    <w:p w:rsidR="005728DD" w:rsidRDefault="005728DD" w:rsidP="005728DD">
      <w:pPr>
        <w:pStyle w:val="TextoNormal"/>
      </w:pPr>
    </w:p>
    <w:p w:rsidR="005728DD" w:rsidRDefault="005728DD" w:rsidP="005728DD">
      <w:pPr>
        <w:pStyle w:val="TextoNormal"/>
      </w:pPr>
      <w:r w:rsidRPr="005728DD">
        <w:rPr>
          <w:rStyle w:val="NumeroAFNegritaCaracter"/>
        </w:rPr>
        <w:t>14</w:t>
      </w:r>
      <w:r>
        <w:t xml:space="preserve">. </w:t>
      </w:r>
      <w:r w:rsidRPr="005728DD">
        <w:rPr>
          <w:i/>
        </w:rPr>
        <w:t>Registro nacional de organismos acreditados de adopción internacional y de reclamaciones e incidencias</w:t>
      </w:r>
      <w:r>
        <w:t>.</w:t>
      </w:r>
    </w:p>
    <w:p w:rsidR="005728DD" w:rsidRDefault="005728DD" w:rsidP="005728DD">
      <w:pPr>
        <w:pStyle w:val="TextoNormal"/>
      </w:pPr>
    </w:p>
    <w:p w:rsidR="005728DD" w:rsidRDefault="005728DD" w:rsidP="005728DD">
      <w:pPr>
        <w:pStyle w:val="TextoNormal"/>
      </w:pPr>
      <w:r>
        <w:lastRenderedPageBreak/>
        <w:t>Del capítulo VI RAI, que regula el registro nacional, compuesto por las secciones de organismos acreditados de adopción internacional, y de reclamaciones e incidencias, se impugnan los arts. 38. 2 y 4 y 39.3 b), 4 c) y 4 e). Sin cuestionar la existencia de un registro nacional, se reprocha a estos preceptos la atribución a órganos estatales de facultades de gestión del registro, sin que las correspondientes inscripciones deriven de las comunicaciones de las comunidades autónomas con competencias en la materia.</w:t>
      </w:r>
    </w:p>
    <w:p w:rsidR="005728DD" w:rsidRDefault="005728DD" w:rsidP="005728DD">
      <w:pPr>
        <w:pStyle w:val="TextoNormal"/>
      </w:pPr>
    </w:p>
    <w:p w:rsidR="005728DD" w:rsidRDefault="005728DD" w:rsidP="005728DD">
      <w:pPr>
        <w:pStyle w:val="TextoNormal"/>
      </w:pPr>
      <w:r>
        <w:t>Es doctrina constitucional consolidada que “el Estado puede establecer los registros administrativos que estime necesarios para ejercer sus competencias, distintas de la prevista en el artículo 149.1.8 CE, si bien al regular el régimen jurídico de esos registros deberá respetar las competencias de ejecución que hayan asumido las comunidades autónomas en relación con esa materia (SSTC 236/1991, de 12 de diciembre, FJ 6; 203/1992, de 26 de noviembre, FJ 3, y 243/1994, de 21 de julio, FJ 6, entre otras). Como tiene advertido la doctrina de este tribunal, sin olvidar las diferencias entre unas y otras materias, desde los diferentes criterios de distribución competencial, ‘es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Ello sin perjuicio de que en estos supuestos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normativa para la creación de un registro único, ‘estas otras facultades, de índole ejecutiva, exceden de su ámbito de actuación competencialmente posible’ (por todas, SSTC 243/1994, de 21 de julio, FJ 6; 197/1996, de 28 de noviembre, FJ 12; 11/2015, de 5 de febrero, FJ 6, y 32/2016, de 18 de febrero, FJ 6)”. (STC 7/2019, de 17 de enero, FJ 3).</w:t>
      </w:r>
    </w:p>
    <w:p w:rsidR="005728DD" w:rsidRDefault="005728DD" w:rsidP="005728DD">
      <w:pPr>
        <w:pStyle w:val="TextoNormal"/>
      </w:pPr>
    </w:p>
    <w:p w:rsidR="005728DD" w:rsidRDefault="005728DD" w:rsidP="005728DD">
      <w:pPr>
        <w:pStyle w:val="TextoNormal"/>
      </w:pPr>
      <w:r>
        <w:t>Las previsiones legales relativas a un registro público nacional específico de organismos acreditados (art. 7.2, párrafo segundo LAI) y de un registro de reclamaciones e incidencias sobre procesos de adopción, a llevar por la administración general del Estado y las comunidades autónomas (art. 8.3 LAI), encajan sin dificultad en la doctrina transcrita.</w:t>
      </w:r>
    </w:p>
    <w:p w:rsidR="005728DD" w:rsidRDefault="005728DD" w:rsidP="005728DD">
      <w:pPr>
        <w:pStyle w:val="TextoNormal"/>
      </w:pPr>
    </w:p>
    <w:p w:rsidR="005728DD" w:rsidRDefault="005728DD" w:rsidP="005728DD">
      <w:pPr>
        <w:pStyle w:val="TextoNormal"/>
      </w:pPr>
      <w:r>
        <w:t>Sin embargo, de la misma doctrina se deduce que incurren en vulneración de las competencias autonómicas los siguientes preceptos del Reglamento de adopción internacional:</w:t>
      </w:r>
    </w:p>
    <w:p w:rsidR="005728DD" w:rsidRDefault="005728DD" w:rsidP="005728DD">
      <w:pPr>
        <w:pStyle w:val="TextoNormal"/>
      </w:pPr>
    </w:p>
    <w:p w:rsidR="005728DD" w:rsidRDefault="005728DD" w:rsidP="005728DD">
      <w:pPr>
        <w:pStyle w:val="TextoNormal"/>
      </w:pPr>
      <w:r>
        <w:t>- Art. 38.2: Prevé la inscripción de oficio de los organismos acreditados en España por el órgano estatal. Reproduce la vulneración competencial apreciada en el fundamento jurídico 9 c). La consiguiente estimación de esta impugnación no se extiende al inciso final del precepto, que exige para la inscripción que dichos organismos hayan sido, además, autorizados en el país de origen por las autoridades competentes. Se trata de un requisito que responde a la necesidad de garantizar la regularidad de los procesos de adopción internacional en los países de origen de los menores, previsto por lo demás en el art. 12 del Convenio de La Haya de 1993.</w:t>
      </w:r>
    </w:p>
    <w:p w:rsidR="005728DD" w:rsidRDefault="005728DD" w:rsidP="005728DD">
      <w:pPr>
        <w:pStyle w:val="TextoNormal"/>
      </w:pPr>
    </w:p>
    <w:p w:rsidR="005728DD" w:rsidRDefault="005728DD" w:rsidP="005728DD">
      <w:pPr>
        <w:pStyle w:val="TextoNormal"/>
      </w:pPr>
      <w:r>
        <w:t>- Art. 38.4: Establece la obligación de los organismos acreditados de comunicar directamente al órgano estatal cualquier variación de los datos que constan en los correspondientes asientos registrales. Como ha quedado razonado en el fundamento jurídico 13, al ser com</w:t>
      </w:r>
      <w:r>
        <w:lastRenderedPageBreak/>
        <w:t>petentes las comunidades autónomas para el seguimiento y control de los organismos acreditados, son aquellas las que deben recibir esta información y comunicarla al registro nacional para su correspondiente reflejo registral.</w:t>
      </w:r>
    </w:p>
    <w:p w:rsidR="005728DD" w:rsidRDefault="005728DD" w:rsidP="005728DD">
      <w:pPr>
        <w:pStyle w:val="TextoNormal"/>
      </w:pPr>
    </w:p>
    <w:p w:rsidR="005728DD" w:rsidRDefault="005728DD" w:rsidP="005728DD">
      <w:pPr>
        <w:pStyle w:val="TextoNormal"/>
      </w:pPr>
      <w:r>
        <w:t>- Art. 39.3 b): La comunicación de la comunidad autónoma al órgano estatal de las gestiones y medidas adoptadas ante el incumplimiento por un organismo acreditado de sus obligaciones, como consecuencia de una reclamación o incidencia, no incurre en vulneración competencial, salvo en el inciso final, que remite a lo dispuesto en el art. 28 RAI en relación con la retirada de la acreditación, y que ya ha sido examinado en el fundamento jurídico 9 c).</w:t>
      </w:r>
    </w:p>
    <w:p w:rsidR="005728DD" w:rsidRDefault="005728DD" w:rsidP="005728DD">
      <w:pPr>
        <w:pStyle w:val="TextoNormal"/>
      </w:pPr>
    </w:p>
    <w:p w:rsidR="005728DD" w:rsidRDefault="005728DD" w:rsidP="005728DD">
      <w:pPr>
        <w:pStyle w:val="TextoNormal"/>
      </w:pPr>
      <w:r>
        <w:t>- Art. 39.4 c): Vulnera la competencia autonómica únicamente en cuanto dispone que las reclamaciones o incidencias presentadas directamente ante los organismos acreditados serán remitidas por estos al órgano estatal, al objeto de realizar el correspondiente asiento registral.</w:t>
      </w:r>
    </w:p>
    <w:p w:rsidR="005728DD" w:rsidRDefault="005728DD" w:rsidP="005728DD">
      <w:pPr>
        <w:pStyle w:val="TextoNormal"/>
      </w:pPr>
    </w:p>
    <w:p w:rsidR="005728DD" w:rsidRDefault="005728DD" w:rsidP="005728DD">
      <w:pPr>
        <w:pStyle w:val="TextoNormal"/>
      </w:pPr>
      <w:r>
        <w:t>- Art. 39.4 e): La vulneración competencial deriva una vez más de su conexión con el art. 28 RAI, al atribuir al órgano estatal la iniciación de oficio de un expediente contradictorio a efectos de la retirada de la acreditación.</w:t>
      </w:r>
    </w:p>
    <w:p w:rsidR="005728DD" w:rsidRDefault="005728DD" w:rsidP="005728DD">
      <w:pPr>
        <w:pStyle w:val="TextoNormal"/>
      </w:pPr>
    </w:p>
    <w:p w:rsidR="005728DD" w:rsidRDefault="005728DD" w:rsidP="005728DD">
      <w:pPr>
        <w:pStyle w:val="TextoNormal"/>
      </w:pPr>
      <w:r w:rsidRPr="005728DD">
        <w:rPr>
          <w:rStyle w:val="NumeroAFNegritaCaracter"/>
        </w:rPr>
        <w:t>15</w:t>
      </w:r>
      <w:r>
        <w:t xml:space="preserve">. </w:t>
      </w:r>
      <w:r w:rsidRPr="005728DD">
        <w:rPr>
          <w:i/>
        </w:rPr>
        <w:t>Disposición final primera del Real Decreto 165/2019: títulos competenciales</w:t>
      </w:r>
      <w:r>
        <w:t>.</w:t>
      </w:r>
    </w:p>
    <w:p w:rsidR="005728DD" w:rsidRDefault="005728DD" w:rsidP="005728DD">
      <w:pPr>
        <w:pStyle w:val="TextoNormal"/>
      </w:pPr>
    </w:p>
    <w:p w:rsidR="005728DD" w:rsidRDefault="005728DD" w:rsidP="005728DD">
      <w:pPr>
        <w:pStyle w:val="TextoNormal"/>
      </w:pPr>
      <w:r>
        <w:t>La impugnación de la disposición final primera del Real Decreto 165/2019, que recoge los títulos competenciales estatales invocados por la propia norma para su aprobación, no tiene carácter autónomo, sino que obedece a razones sistemáticas o de conexión, vinculadas a la impugnación de los preceptos previamente examinados. Por ello, en la medida en que los preceptos no amparados por las competencias del Estado han sido ya expulsados del ordenamiento mediante su declaración de inconstitucionalidad y nulidad, huelga cualquier pronunciamiento adicional sobre esta disposición final primera (por todas, STC 69/2018, de 21 de junio, FJ 11, y las allí citadas).</w:t>
      </w:r>
    </w:p>
    <w:p w:rsidR="005728DD" w:rsidRDefault="005728DD" w:rsidP="005728DD">
      <w:pPr>
        <w:pStyle w:val="TextoNormal"/>
      </w:pPr>
    </w:p>
    <w:p w:rsidR="005728DD" w:rsidRDefault="005728DD" w:rsidP="005728DD">
      <w:pPr>
        <w:pStyle w:val="TextoNormal"/>
      </w:pPr>
      <w:r w:rsidRPr="005728DD">
        <w:rPr>
          <w:rStyle w:val="NumeroAFNegritaCaracter"/>
        </w:rPr>
        <w:t>16</w:t>
      </w:r>
      <w:r>
        <w:t xml:space="preserve">. </w:t>
      </w:r>
      <w:r w:rsidRPr="005728DD">
        <w:rPr>
          <w:i/>
        </w:rPr>
        <w:t>Efectos del fallo</w:t>
      </w:r>
      <w:r>
        <w:t>.</w:t>
      </w:r>
    </w:p>
    <w:p w:rsidR="005728DD" w:rsidRDefault="005728DD" w:rsidP="005728DD">
      <w:pPr>
        <w:pStyle w:val="TextoNormal"/>
      </w:pPr>
    </w:p>
    <w:p w:rsidR="005728DD" w:rsidRDefault="005728DD" w:rsidP="005728DD">
      <w:pPr>
        <w:pStyle w:val="TextoNormal"/>
      </w:pPr>
      <w:r>
        <w:t>Resta por determinar el alcance de este pronunciamiento, que se precisa seguidamente, de conformidad con lo establecido por el art. 66 LOTC.</w:t>
      </w:r>
    </w:p>
    <w:p w:rsidR="005728DD" w:rsidRDefault="005728DD" w:rsidP="005728DD">
      <w:pPr>
        <w:pStyle w:val="TextoNormal"/>
      </w:pPr>
    </w:p>
    <w:p w:rsidR="005728DD" w:rsidRDefault="005728DD" w:rsidP="005728DD">
      <w:pPr>
        <w:pStyle w:val="TextoNormal"/>
      </w:pPr>
      <w:r>
        <w:t>En primer lugar, de acuerdo con doctrina consolidada, y por exigencias del principio constitucional de seguridad jurídica (art. 9.3 CE), las declaraciones de inconstitucionalidad y nulidad contenidas en la presente sentencia no afectarán a las situaciones jurídicas consolidadas, debiéndose considerar como tales las establecidas mediante actuaciones administrativas firmes, o las que, en la vía judicial, hayan sido decididas mediante sentencia con fuerza de cosa juzgada (art. 40.1 LOTC; STC 40/2019, de 27 de marzo, FJ 7).</w:t>
      </w:r>
    </w:p>
    <w:p w:rsidR="005728DD" w:rsidRDefault="005728DD" w:rsidP="005728DD">
      <w:pPr>
        <w:pStyle w:val="TextoNormal"/>
      </w:pPr>
    </w:p>
    <w:p w:rsidR="005728DD" w:rsidRDefault="005728DD" w:rsidP="005728DD">
      <w:pPr>
        <w:pStyle w:val="TextoNormal"/>
      </w:pPr>
      <w:r>
        <w:t xml:space="preserve">En segundo lugar, se hace necesario velar por el interés superior de los menores de edad, principio de atención preferente por todos los poderes públicos, también de este tribunal (STC 64/2019, de 9 de mayo, FFJJ 4 y 5), sin olvidar los perjuicios que también podrían experimentar los derechos de los adoptantes. A este fin, procede diferir los efectos de la nulidad por el plazo de un año a partir de la publicación de esta sentencia, con la finalidad </w:t>
      </w:r>
      <w:r>
        <w:lastRenderedPageBreak/>
        <w:t>de evitar que un vacío normativo inmediato perjudique a los menores de edad, en particular a los afectados por los expedientes de adopción internacional que, iniciados con anterioridad a esta resolución, se hallen actualmente en trámite.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parcialmente el conflicto positivo de competencias núm. 4088-2019 y, en consecuencia:</w:t>
      </w:r>
    </w:p>
    <w:p w:rsidR="005728DD" w:rsidRDefault="005728DD" w:rsidP="005728DD">
      <w:pPr>
        <w:pStyle w:val="TextoNormal"/>
      </w:pPr>
    </w:p>
    <w:p w:rsidR="005728DD" w:rsidRDefault="005728DD" w:rsidP="005728DD">
      <w:pPr>
        <w:pStyle w:val="TextoNormal"/>
      </w:pPr>
      <w:r>
        <w:t>a) Declarar la inconstitucionalidad y nulidad, al amparo de lo dispuesto en el artículo 67 LOTC, y con los efectos establecidos en el fundamento jurídico 16, de los siguientes artículos, apartados o incisos de la Ley 54/2007, de 28 de diciembre, de adopción internacional: art. 7.2, párrafo primero; art. 7.7, inciso “la administración general del Estado, a iniciativa propia o a propuesta de las entidades públicas en su ámbito territorial”, y art. 8.1, inciso “que se encuentre acreditado por la administración general del Estado”.</w:t>
      </w:r>
    </w:p>
    <w:p w:rsidR="005728DD" w:rsidRDefault="005728DD" w:rsidP="005728DD">
      <w:pPr>
        <w:pStyle w:val="TextoNormal"/>
      </w:pPr>
    </w:p>
    <w:p w:rsidR="005728DD" w:rsidRDefault="005728DD" w:rsidP="005728DD">
      <w:pPr>
        <w:pStyle w:val="TextoNormal"/>
      </w:pPr>
      <w:r>
        <w:t>b) Declarar la inconstitucionalidad y nulidad, con los efectos establecidos en el fundamento jurídico 16, de los siguientes artículos, apartados o incisos del Reglamento de adopción internacional aprobado por Real Decreto 165/2019, de 22 de marzo: arts. 13 a 30, en los términos establecidos en los fundamentos jurídicos 9 c), 10 y 13 b) de esta sentencia; art. 32, apartado 2 j), inciso “de la Dirección General y”; art. 33.1; art. 38.2, inciso “por la dirección general”; art. 38.4, inciso “a la Dirección General”; art.39.3 b), inciso “para que pueda proceder, en su caso, a la aplicación de lo establecido en el artículo 28”; art. 39.4 c), inciso “los organismos de intermediación o”, y art. 39.4 e), inciso “la Dirección General”, y de la disposición transitoria única, apartados 1, 2 y 3, del Real Decreto 165/2019.</w:t>
      </w:r>
    </w:p>
    <w:p w:rsidR="005728DD" w:rsidRDefault="005728DD" w:rsidP="005728DD">
      <w:pPr>
        <w:pStyle w:val="TextoNormal"/>
      </w:pPr>
    </w:p>
    <w:p w:rsidR="005728DD" w:rsidRDefault="005728DD" w:rsidP="005728DD">
      <w:pPr>
        <w:pStyle w:val="TextoNormal"/>
      </w:pPr>
      <w:r>
        <w:t>2º Desestimar el presente conflicto positivo de competencia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febrero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Ricardo Enríquez Sancho a la sentencia dictada en el conflicto positivo de competencia núm. 4088-2019, al que se adhiere el magistrado don Santiago Martínez-Vares García</w:t>
      </w:r>
    </w:p>
    <w:p w:rsidR="005728DD" w:rsidRDefault="005728DD" w:rsidP="005728DD">
      <w:pPr>
        <w:pStyle w:val="TextoNormalNegritaCentrado"/>
        <w:keepNext/>
      </w:pPr>
    </w:p>
    <w:p w:rsidR="005728DD" w:rsidRDefault="005728DD" w:rsidP="005728DD">
      <w:pPr>
        <w:pStyle w:val="TextoNormal"/>
      </w:pPr>
      <w:r>
        <w:t>1. De conformidad con el art. 90.2 LOTC, y con pleno respeto a la opinión de mis compañeros, expreso en este voto, tal como hice en la deliberación de la sentencia, las razones de mi discrepancia, parcial respecto al fallo, puesto estoy de acuerdo en la desestimación del conflicto en cuanto a determinados preceptos de la Ley de adopción internacional (LAI) y de su reglamento (RAI), y total, tanto en cuanto a los argumentos utilizados para ello, como en cuanto a la declaración de inconstitucionalidad que respecto a otros se declara.</w:t>
      </w:r>
    </w:p>
    <w:p w:rsidR="005728DD" w:rsidRDefault="005728DD" w:rsidP="005728DD">
      <w:pPr>
        <w:pStyle w:val="TextoNormal"/>
      </w:pPr>
    </w:p>
    <w:p w:rsidR="005728DD" w:rsidRDefault="005728DD" w:rsidP="005728DD">
      <w:pPr>
        <w:pStyle w:val="TextoNormal"/>
      </w:pPr>
      <w:r>
        <w:t>2. Discrepo radicalmente de la sentencia porque no comparto encuadramiento competencial del que parte toda su argumentación.</w:t>
      </w:r>
    </w:p>
    <w:p w:rsidR="005728DD" w:rsidRDefault="005728DD" w:rsidP="005728DD">
      <w:pPr>
        <w:pStyle w:val="TextoNormal"/>
      </w:pPr>
    </w:p>
    <w:p w:rsidR="005728DD" w:rsidRDefault="005728DD" w:rsidP="005728DD">
      <w:pPr>
        <w:pStyle w:val="TextoNormal"/>
      </w:pPr>
      <w:r>
        <w:t xml:space="preserve">Este proceso es un conflicto positivo de competencia en que, conforme a su naturaleza (arts. 63 y 66 LOTC), el Gobierno de la Generalidad de Cataluña vindica la titularidad de una competencia que considera usurpada en este caso por el Estado al dictar la disposición impugnada, el Reglamento de adopción internacional (RAI), </w:t>
      </w:r>
      <w:r w:rsidRPr="005728DD">
        <w:rPr>
          <w:i/>
        </w:rPr>
        <w:t>vindicatio potestatis</w:t>
      </w:r>
      <w:r>
        <w:t xml:space="preserve"> que es la característica definitoria de este tipo procesal (por todas STC 166/1987, de 28 de octubre, FJ 2). En este caso, la competencia reivindicada por el Gobierno de la Generalidad es únicamente la de “protección de menores” asumida en el art. 166.3 a) del Estatuto de Autonomía de Cataluña (EAC). Ni en el escrito de formalización del conflicto ni en el requerimiento de incompetencia previo, que delimita el objeto del conflicto conforme al art. 63.3 LOTC y a nuestra doctrina (STC 116/1984, FJ 3: “los motivos de incompetencia alegados en el escrito de planteamiento deben coincidir, en sustancia, con los formulados en el requerimiento”), el Gobierno autonómico ha vindicado ninguna otra. Tampoco la de “asistencia social” a los adoptantes (FJ 4) o “servicios sociales” reiteradamente mencionadas en la sentencia. No es cierta, en definitiva, la afirmación del fundamento jurídico 4 de que “el Gobierno de Cataluña invoca su competencia </w:t>
      </w:r>
      <w:r w:rsidRPr="005728DD">
        <w:rPr>
          <w:i/>
        </w:rPr>
        <w:t>en materia de servicios sociales</w:t>
      </w:r>
      <w:r>
        <w:t xml:space="preserve"> donde se inscribe la protección de menores”. En los escritos de la parte (requerimiento de incompetencia y escrito de formalización) solo se alude a la “asistencia social” para referirse a aquellas comunidades autónomas que han asumido la competencia en materia de protección de menores sin tener este título expresamente reconocido en su Estatuto de Autonomía.</w:t>
      </w:r>
    </w:p>
    <w:p w:rsidR="005728DD" w:rsidRDefault="005728DD" w:rsidP="005728DD">
      <w:pPr>
        <w:pStyle w:val="TextoNormal"/>
      </w:pPr>
    </w:p>
    <w:p w:rsidR="005728DD" w:rsidRDefault="005728DD" w:rsidP="005728DD">
      <w:pPr>
        <w:pStyle w:val="TextoNormal"/>
      </w:pPr>
      <w:r>
        <w:t>Así resulta del siguiente pasaje del escrito de formalización (págs. 22-23), único donde se menciona esa competencia:</w:t>
      </w:r>
    </w:p>
    <w:p w:rsidR="005728DD" w:rsidRDefault="005728DD" w:rsidP="005728DD">
      <w:pPr>
        <w:pStyle w:val="TextoNormal"/>
      </w:pPr>
    </w:p>
    <w:p w:rsidR="005728DD" w:rsidRDefault="005728DD" w:rsidP="005728DD">
      <w:pPr>
        <w:pStyle w:val="TextoNormal"/>
      </w:pPr>
      <w:r>
        <w:t xml:space="preserve">“La lectura de los preceptos objeto de este conflicto referidos todos ellos a la protección jurídico-pública de los menores en situación de desamparo, revela claramente que la regulación se enmarca de manera natural en el ámbito competencial de protección del menor, cuya titularidad corresponde a la Generalitat de Cataluña. En base a esa competencia en materia de menores, que recoge el artículo 166 EAC, la Generalitat, y también </w:t>
      </w:r>
      <w:r w:rsidRPr="005728DD">
        <w:rPr>
          <w:i/>
        </w:rPr>
        <w:t>otras comunidades autónomas que han asumido dicha competencia bajo el título de asistencia social</w:t>
      </w:r>
      <w:r>
        <w:t>, han adoptado una regulación de las instituciones públicas de protección del menor que comprende la organización de un sistema jurídico-público de protección del menor incluido en la fase administrativa de la adopción [énfasis añadido].</w:t>
      </w:r>
    </w:p>
    <w:p w:rsidR="005728DD" w:rsidRDefault="005728DD" w:rsidP="005728DD">
      <w:pPr>
        <w:pStyle w:val="TextoNormal"/>
      </w:pPr>
    </w:p>
    <w:p w:rsidR="005728DD" w:rsidRDefault="005728DD" w:rsidP="005728DD">
      <w:pPr>
        <w:pStyle w:val="TextoNormal"/>
      </w:pPr>
      <w:r>
        <w:t>En este sentido se ha pronunciado el Consejo de Garantías Estatutarias de Cataluña en sus dictámenes […] y añade:</w:t>
      </w:r>
    </w:p>
    <w:p w:rsidR="005728DD" w:rsidRDefault="005728DD" w:rsidP="005728DD">
      <w:pPr>
        <w:pStyle w:val="TextoNormal"/>
      </w:pPr>
    </w:p>
    <w:p w:rsidR="005728DD" w:rsidRDefault="005728DD" w:rsidP="005728DD">
      <w:pPr>
        <w:pStyle w:val="TextoNormal"/>
      </w:pPr>
      <w:r>
        <w:t xml:space="preserve">Es más, los aspectos en los que puede producirse una colisión entre la Ley 54/2007, de 28 de diciembre, de adopción internacional, y la Ley 25/2010, de 29 de julio, del libro segundo del Código civil de Cataluña, son cuestiones tan íntimamente relacionadas con la protección jurídico-pública de los menores en situación de desamparo, que las comunidades autónomas que carecen de Derecho civil propio, o cuyo Derecho civil no se ocupa de la adopción internacional, también han venido interviniendo en este ámbito </w:t>
      </w:r>
      <w:r w:rsidRPr="005728DD">
        <w:rPr>
          <w:i/>
        </w:rPr>
        <w:t>en virtud de su competencia en materia de asistencia social</w:t>
      </w:r>
      <w:r>
        <w:t>” (en este caso el énfasis es del original).</w:t>
      </w:r>
    </w:p>
    <w:p w:rsidR="005728DD" w:rsidRDefault="005728DD" w:rsidP="005728DD">
      <w:pPr>
        <w:pStyle w:val="TextoNormal"/>
      </w:pPr>
    </w:p>
    <w:p w:rsidR="005728DD" w:rsidRDefault="005728DD" w:rsidP="005728DD">
      <w:pPr>
        <w:pStyle w:val="TextoNormal"/>
      </w:pPr>
      <w:r>
        <w:t>Y también del párrafo final del requerimiento de incompetencia al Gobierno de la Nación, que alude solamente a la protección de menores:</w:t>
      </w:r>
    </w:p>
    <w:p w:rsidR="005728DD" w:rsidRDefault="005728DD" w:rsidP="005728DD">
      <w:pPr>
        <w:pStyle w:val="TextoNormal"/>
      </w:pPr>
    </w:p>
    <w:p w:rsidR="005728DD" w:rsidRDefault="005728DD" w:rsidP="005728DD">
      <w:pPr>
        <w:pStyle w:val="TextoNormal"/>
      </w:pPr>
      <w:r>
        <w:lastRenderedPageBreak/>
        <w:t xml:space="preserve">“Por todo ello, el Gobierno de la Generalitat de Catalunya requiere de incompetencia al Gobierno del Estado en relación con la regulación y la asignación de funciones ejecutivas a órganos estatales realizada por los artículos 5; 6; 7; 8.2, 3 y 4;. 10; 11; y 12 a 39 del Reglamento de adopción internacional, aprobado mediante e1 Real Decreto 165/2019, de 22 de marzo, y, asimismo, por conexión con los citados artículos del reglamento, se requiere de incompetencia al Gobierno del Estado en relación con la disposición transitoria única y la disposición final primera del Real Decreto 165/2019, al amparo del artículo 63 LOTC, a fin de que acuerde la derogación de los citados preceptos y disposiciones o, subsidiariamente, la modificación de los mismos en sentido respetuoso con </w:t>
      </w:r>
      <w:r w:rsidRPr="005728DD">
        <w:rPr>
          <w:i/>
        </w:rPr>
        <w:t>las competencias autonómicas exclusivas en materia de protección del menor</w:t>
      </w:r>
      <w:r>
        <w:t>” (énfasis añadido).</w:t>
      </w:r>
    </w:p>
    <w:p w:rsidR="005728DD" w:rsidRDefault="005728DD" w:rsidP="005728DD">
      <w:pPr>
        <w:pStyle w:val="TextoNormal"/>
      </w:pPr>
    </w:p>
    <w:p w:rsidR="005728DD" w:rsidRDefault="005728DD" w:rsidP="005728DD">
      <w:pPr>
        <w:pStyle w:val="TextoNormal"/>
      </w:pPr>
      <w:r>
        <w:t xml:space="preserve">Corolario de cuanto antecede —el cauce procesal escogido y la única competencia vindicada— es que solamente si se reconoce que la competencia en materia de protección de menores del art. 166.3 a) EAC comprende la regulación de la fase administrativa previa de la adopción internacional, el conflicto puede ser estimado. Así lo afirma apodícticamente la mayoría (“sin lugar a dudas”: FJ 4), pero yo discrepo de esta premisa, que es </w:t>
      </w:r>
      <w:r w:rsidRPr="005728DD">
        <w:rPr>
          <w:i/>
        </w:rPr>
        <w:t>conditio sine qua non</w:t>
      </w:r>
      <w:r>
        <w:t xml:space="preserve"> para la estimación, aunque sea parcial.</w:t>
      </w:r>
    </w:p>
    <w:p w:rsidR="005728DD" w:rsidRDefault="005728DD" w:rsidP="005728DD">
      <w:pPr>
        <w:pStyle w:val="TextoNormal"/>
      </w:pPr>
    </w:p>
    <w:p w:rsidR="005728DD" w:rsidRDefault="005728DD" w:rsidP="005728DD">
      <w:pPr>
        <w:pStyle w:val="TextoNormal"/>
      </w:pPr>
      <w:r>
        <w:t>3. El art. 166.3 a) EAC, en que la mayoría encuadra la materia regulada por el Reglamento de adopción internacional objeto de este conflicto, atribuye a la Generalitat “la competencia exclusiva en materia de protección de menores, que incluye, en todo caso, la regulación del régimen de la protección y de las instituciones públicas de protección y tutela de los menores desamparados, en situación de riesgo y de los menores infractores, respetando en este último caso la legislación penal”.</w:t>
      </w:r>
    </w:p>
    <w:p w:rsidR="005728DD" w:rsidRDefault="005728DD" w:rsidP="005728DD">
      <w:pPr>
        <w:pStyle w:val="TextoNormal"/>
      </w:pPr>
    </w:p>
    <w:p w:rsidR="005728DD" w:rsidRDefault="005728DD" w:rsidP="005728DD">
      <w:pPr>
        <w:pStyle w:val="TextoNormal"/>
      </w:pPr>
      <w:r>
        <w:t>Salta a la vista que el precepto no menciona la adopción, a pesar de ser una institución sobradamente conocida en 2006, al aprobarse el Estatuto de Autonomía. También la adopción internacional, que, prevista en el Convenio de La Haya de 1993, se reguló ya en derecho interno en la Ley Orgánica 1/1996 de protección jurídica del menor (art. 25, luego derogado por la LAI). Una omisión que por sí sola dificulta la interpretación expansiva del título competencial efectuada en la sentencia, que hubiera necesitado de mayor reflexión.</w:t>
      </w:r>
    </w:p>
    <w:p w:rsidR="005728DD" w:rsidRDefault="005728DD" w:rsidP="005728DD">
      <w:pPr>
        <w:pStyle w:val="TextoNormal"/>
      </w:pPr>
    </w:p>
    <w:p w:rsidR="005728DD" w:rsidRDefault="005728DD" w:rsidP="005728DD">
      <w:pPr>
        <w:pStyle w:val="TextoNormal"/>
      </w:pPr>
      <w:r>
        <w:t>Tampoco nuestra doctrina ha considerado hasta la fecha la adopción como una institución de protección de menores. La STC 243/2004, que delimita y define la protección de menores, ni siquiera la menciona (FFJJ 3 y 4). Y tampoco lo hace la Ley catalana 14/2010, de 27 de mayo, de los derechos y las oportunidades en la infancia y la adolescencia, que no menciona la adopción entre las instituciones de protección (artículos 98 y siguientes). Es más, la considera una causa de extinción de estas [art. 124 a)] de la misma manera que la resolución judicial que así lo acuerde, la mayoría de edad o el fallecimiento del menor [letras c), b) y f), respectivamente].</w:t>
      </w:r>
    </w:p>
    <w:p w:rsidR="005728DD" w:rsidRDefault="005728DD" w:rsidP="005728DD">
      <w:pPr>
        <w:pStyle w:val="TextoNormal"/>
      </w:pPr>
    </w:p>
    <w:p w:rsidR="005728DD" w:rsidRDefault="005728DD" w:rsidP="005728DD">
      <w:pPr>
        <w:pStyle w:val="TextoNormal"/>
      </w:pPr>
      <w:r>
        <w:t xml:space="preserve">Esta separación es natural. Protección de menores y adopción tienen presupuestos y finalidades diferentes. La protección presupone una situación de riesgo o desamparo que no tiene por qué concurrir en el adoptando, y que ni el Convenio de La Haya ni la Ley de adopción internacional exigen. Y sobre todo, la adopción es una de las formas por las que tiene lugar la filiación (art. 108 del Código civil), extinguiendo al mismo tiempo el vínculo anterior (art. 178 CC), todo ello de forma irrevocable (art. 180 CC), de donde resulta una clara vinculación con la legislación civil (art. 149.1.8 CE). Así lo entendieron la STC </w:t>
      </w:r>
      <w:r>
        <w:lastRenderedPageBreak/>
        <w:t>88/1993, sobre la Ley de equiparación de los hijos adoptivos de Aragón (FFJJ 2 y 3), y la STC 133/2017, sobre la regulación de la adopción en la Ley de Derecho civil de Galicia, que también diferencia protección de menores y adopción (FJ 6). E igualmente la Ley Orgánica 1/1996 antes citada que reguló con este amparo competencial la adopción internacional hasta su derogación por la Ley de adopción internacional (disposición final vigésima primera), y la propia Ley de adopción internacional (disposición final quinta). Además, tratándose de una adopción internacional, su constitución da lugar a la adquisición de la nacionalidad española (art. 19 CC), por lo que resulta igualmente implicada la competencia del Estado sobre nacionalidad (art. 149.1.2 CE).</w:t>
      </w:r>
    </w:p>
    <w:p w:rsidR="005728DD" w:rsidRDefault="005728DD" w:rsidP="005728DD">
      <w:pPr>
        <w:pStyle w:val="TextoNormal"/>
      </w:pPr>
    </w:p>
    <w:p w:rsidR="005728DD" w:rsidRDefault="005728DD" w:rsidP="005728DD">
      <w:pPr>
        <w:pStyle w:val="TextoNormal"/>
      </w:pPr>
      <w:r>
        <w:t>Es verdad, como puntualiza la sentencia, que el reglamento y por consiguiente el conflicto se refieren solamente a la fase administrativa previa a la adopción (“prejudicial”, la llama de forma elocuente la sentencia: fundamentos jurídicos 1 y 4). Pero siendo la adopción necesariamente “constituida” por resolución judicial (art. 176.1 CC) en un procedimiento que fuera de casos excepcionales precisa de una propuesta de la entidad pública (art. 176.2 CC y 35 de la Ley 15/2015 de jurisdicción voluntaria), resulta de aplicación la doctrina sobre las actuaciones previas necesarias para acceder al proceso que hemos amparado en los números 5 y 6 del art. 149.1 CE (competencia del Estado sobre administración de justicia y legislación procesal, respectivamente). Así, entre otras, SSTC 31/2010, FJ 54; 162/2012, FJ 5; 54/2018, FJ 7, y 5/2019, FJ 5.</w:t>
      </w:r>
    </w:p>
    <w:p w:rsidR="005728DD" w:rsidRDefault="005728DD" w:rsidP="005728DD">
      <w:pPr>
        <w:pStyle w:val="TextoNormal"/>
      </w:pPr>
    </w:p>
    <w:p w:rsidR="005728DD" w:rsidRDefault="005728DD" w:rsidP="005728DD">
      <w:pPr>
        <w:pStyle w:val="TextoNormal"/>
      </w:pPr>
      <w:r>
        <w:t>En definitiva, no es posible ubicar bajo el único título competencial invocado por el Gobierno de la Generalitat (protección de menores) la materia que regula la disposición impugnada.</w:t>
      </w:r>
    </w:p>
    <w:p w:rsidR="005728DD" w:rsidRDefault="005728DD" w:rsidP="005728DD">
      <w:pPr>
        <w:pStyle w:val="TextoNormal"/>
      </w:pPr>
    </w:p>
    <w:p w:rsidR="005728DD" w:rsidRDefault="005728DD" w:rsidP="005728DD">
      <w:pPr>
        <w:pStyle w:val="TextoNormal"/>
      </w:pPr>
      <w:r>
        <w:t>4. A mi juicio, la competencia de la Generalitat en materia de protección de menores, que deriva del art. 166.3 EAC, no se extiende a intervenir en la fase extrajudicial de la adopción internacional que tiene lugar en el extranjero.</w:t>
      </w:r>
    </w:p>
    <w:p w:rsidR="005728DD" w:rsidRDefault="005728DD" w:rsidP="005728DD">
      <w:pPr>
        <w:pStyle w:val="TextoNormal"/>
      </w:pPr>
    </w:p>
    <w:p w:rsidR="005728DD" w:rsidRDefault="005728DD" w:rsidP="005728DD">
      <w:pPr>
        <w:pStyle w:val="TextoNormal"/>
      </w:pPr>
      <w:r>
        <w:t>El art. 166.3 a) EAC atribuye a la Generalitat de Cataluña competencia para la protección de los menores que se encuentren en situación de desamparo o riesgo (y de los menores infractores, que aquí no interesa), pero,</w:t>
      </w:r>
    </w:p>
    <w:p w:rsidR="005728DD" w:rsidRDefault="005728DD" w:rsidP="005728DD">
      <w:pPr>
        <w:pStyle w:val="TextoNormal"/>
      </w:pPr>
    </w:p>
    <w:p w:rsidR="005728DD" w:rsidRDefault="005728DD" w:rsidP="005728DD">
      <w:pPr>
        <w:pStyle w:val="TextoNormal"/>
      </w:pPr>
      <w:r>
        <w:t>i) Esa competencia, de acuerdo con el principio de limitación territorial de las competencias autonómicas, no puede extenderse a los menores que se encuentren en otras comunidades autónomas, ni, mucho menos, a los que se encuentren en otro Estado, aunque unos y otros puedan llegar a ser adoptados por catalanes.</w:t>
      </w:r>
    </w:p>
    <w:p w:rsidR="005728DD" w:rsidRDefault="005728DD" w:rsidP="005728DD">
      <w:pPr>
        <w:pStyle w:val="TextoNormal"/>
      </w:pPr>
    </w:p>
    <w:p w:rsidR="005728DD" w:rsidRDefault="005728DD" w:rsidP="005728DD">
      <w:pPr>
        <w:pStyle w:val="TextoNormal"/>
      </w:pPr>
      <w:r>
        <w:t xml:space="preserve">Según el art. 1.2 LAI, desarrollada por el reglamento objeto de conflicto, a los efectos de la ley (y por tanto de su reglamento de desarrollo) “se entiende por adopción internacional aquella en la que un menor considerado adoptable por la autoridad extranjera competente </w:t>
      </w:r>
      <w:r w:rsidRPr="005728DD">
        <w:rPr>
          <w:i/>
        </w:rPr>
        <w:t>y con residencia habitual en el extranjero, es o va a ser desplazado a España</w:t>
      </w:r>
      <w:r>
        <w:t xml:space="preserve"> por adoptantes con residencia habitual en España, bien después de su adopción en el Estado de origen, bien con la finalidad de constituir tal adopción en España” (la cursiva es mía). Es decir, tanto la ley como, en lo que ahora importa, su reglamento de desarrollo, regulan adopciones de menores que no se encuentran en España. Esto no era así antes de la reforma de la Ley de adopción internacional que dio lugar a la aprobación del reglamento y al planteamiento del conflicto, producida por la Ley 26/2015. Antes de esa reforma, el art. 1.2 LAI disponía que </w:t>
      </w:r>
      <w:r>
        <w:lastRenderedPageBreak/>
        <w:t>“se entiende por ‘adopción internacional’ el vínculo jurídico de filiación que presenta un elemento extranjero derivado de la nacionalidad o de la residencia habitual de adoptantes o adoptandos”. Por consiguiente, bastaba uno de esos elementos de extranjería para convertir la adopción en una adopción internacional y aplicar su régimen jurídico. En suma, podía ser “internacional” a los efectos de aplicar su régimen jurídico una adopción constituida enteramente en Cataluña y entre residentes en su territorio. Tras la reforma de 2015 ello no es así. Se requiere necesariamente y siempre que el menor esté en el extranjero para que la adopción sea internacional, y el tribunal no puede prescindir de esta configuración legal en la resolución del conflicto.</w:t>
      </w:r>
    </w:p>
    <w:p w:rsidR="005728DD" w:rsidRDefault="005728DD" w:rsidP="005728DD">
      <w:pPr>
        <w:pStyle w:val="TextoNormal"/>
      </w:pPr>
    </w:p>
    <w:p w:rsidR="005728DD" w:rsidRDefault="005728DD" w:rsidP="005728DD">
      <w:pPr>
        <w:pStyle w:val="TextoNormal"/>
      </w:pPr>
      <w:r>
        <w:t>De acuerdo con el principio de territorialidad de las competencias, reiteradamente consagrado por la jurisprudencia de este tribunal, el ejercicio de las competencias autonómicas se limita a su propio ámbito territorial (por todas, STC 79/2017, FJ 13, con cita de otras). Así lo viene a reconocer también, con todo sentido, la normativa catalana de protección de menores, que se declara de aplicación “a cualquier niño o adolescente domiciliado en Cataluña o que se encuentre en Cataluña eventualmente” (art. 2.1 de la Ley 14/2010 antes citada). Pues bien, si con arreglo a este principio, por demás elemental, la Comunidad Autónoma de Cataluña no puede ejercer la competencia que vindica en materia de “protección de menores” sobre menores que se encuentren en otras comunidades autónomas, mucho menos debe poder hacerlo cuando se proyecta sobre menores que se encuentren fuera de España, en otros Estados, que es el elemento que caracteriza la adopción internacional y da lugar a la aplicación del reglamento impugnado de conformidad con el art. 1.2 LAI citado. Y no es aplicable nuestra doctrina sobre las actividades con proyección exterior que cita la sentencia puesto que las normas impugnadas regulan directamente actuaciones (de las propias administraciones autonómicas como entidades públicas o de los organismos de intermediación) referidas a menores residentes en el extranjero y que se realizan también en el extranjero.</w:t>
      </w:r>
    </w:p>
    <w:p w:rsidR="005728DD" w:rsidRDefault="005728DD" w:rsidP="005728DD">
      <w:pPr>
        <w:pStyle w:val="TextoNormal"/>
      </w:pPr>
    </w:p>
    <w:p w:rsidR="005728DD" w:rsidRDefault="005728DD" w:rsidP="005728DD">
      <w:pPr>
        <w:pStyle w:val="TextoNormal"/>
      </w:pPr>
      <w:r>
        <w:t>El principio de territorialidad hace inviable por tanto reconocer la competencia de la Comunidad Autónoma de Cataluña para proteger menores residentes en el extranjero. Y aunque así fuera, la posibilidad de que la actuaciones en el extranjero de los organismos acreditados, o de las propias comunidades autónomas, comprometa la imagen internacional de España —algo no descartable en una materia tan sensible y desarrollada además en el extranjero ante autoridades de otros Estados soberanos— daría lugar a la atracción de la competencia estatal sobre relaciones internacionales del art. 149.1.3 de la Constitución, en aplicación de la doctrina de las SSTC 80/2012 y 110/2012 sobre la representación internacional de las federaciones deportivas autonómicas, reiterada en la STC 33/2018.</w:t>
      </w:r>
    </w:p>
    <w:p w:rsidR="005728DD" w:rsidRDefault="005728DD" w:rsidP="005728DD">
      <w:pPr>
        <w:pStyle w:val="TextoNormal"/>
      </w:pPr>
    </w:p>
    <w:p w:rsidR="005728DD" w:rsidRDefault="005728DD" w:rsidP="005728DD">
      <w:pPr>
        <w:pStyle w:val="TextoNormal"/>
      </w:pPr>
      <w:r>
        <w:t>ii) Los menores susceptibles de ser adoptados que se encuentran en el extranjero, no se hallan en situación de riesgo o desamparo. Residen en instituciones que precisamente se ocupan de remediar esas situaciones.</w:t>
      </w:r>
    </w:p>
    <w:p w:rsidR="005728DD" w:rsidRDefault="005728DD" w:rsidP="005728DD">
      <w:pPr>
        <w:pStyle w:val="TextoNormal"/>
      </w:pPr>
    </w:p>
    <w:p w:rsidR="005728DD" w:rsidRDefault="005728DD" w:rsidP="005728DD">
      <w:pPr>
        <w:pStyle w:val="TextoNormal"/>
      </w:pPr>
      <w:r>
        <w:t>Una cosa es que carezcan de familia y sea deseable que encuentren una mediante su adopción, y otra que se encuentren en situación de riesgo o desamparo.</w:t>
      </w:r>
    </w:p>
    <w:p w:rsidR="005728DD" w:rsidRDefault="005728DD" w:rsidP="005728DD">
      <w:pPr>
        <w:pStyle w:val="TextoNormal"/>
      </w:pPr>
    </w:p>
    <w:p w:rsidR="005728DD" w:rsidRDefault="005728DD" w:rsidP="005728DD">
      <w:pPr>
        <w:pStyle w:val="TextoNormal"/>
      </w:pPr>
      <w:r>
        <w:t xml:space="preserve">Aunque la exposición de motivos de la Ley de adopción internacional y su art. 22, digan que el objeto de la ley es proteger los derechos de los menores, esta expresión hay que entenderla, de acuerdo con el Convenio de La Haya de 1993, que también se refiere a la </w:t>
      </w:r>
      <w:r>
        <w:lastRenderedPageBreak/>
        <w:t>“protección del niño” y a la cooperación en materia de adopción internacional. No se trata de que la adopción internacional recaiga sobre niños en situación de desamparo, sino de niños que no tienen familia y a los que hay que proteger en esa fase prejudicial del procedimiento de adopción para evitar el riesgo de que durante ese proceso se produzcan situaciones de sustracción, venta o tráfico de niños, así como para garantizar que se respeten los derechos fundamentales del adoptado.</w:t>
      </w:r>
    </w:p>
    <w:p w:rsidR="005728DD" w:rsidRDefault="005728DD" w:rsidP="005728DD">
      <w:pPr>
        <w:pStyle w:val="TextoNormal"/>
      </w:pPr>
    </w:p>
    <w:p w:rsidR="005728DD" w:rsidRDefault="005728DD" w:rsidP="005728DD">
      <w:pPr>
        <w:pStyle w:val="TextoNormal"/>
      </w:pPr>
      <w:r>
        <w:t>Si esto es así, toda la construcción de la sentencia falla. Por eso no puedo compartir la conclusión de ese encuadramiento competencial, esto es, que el objeto del conflicto se centra en decidir si el Estado se ha extralimitado en las competencias de coordinación, que son las únicas que les reconoce la sentencia.</w:t>
      </w:r>
    </w:p>
    <w:p w:rsidR="005728DD" w:rsidRDefault="005728DD" w:rsidP="005728DD">
      <w:pPr>
        <w:pStyle w:val="TextoNormal"/>
      </w:pPr>
    </w:p>
    <w:p w:rsidR="005728DD" w:rsidRDefault="005728DD" w:rsidP="005728DD">
      <w:pPr>
        <w:pStyle w:val="TextoNormal"/>
      </w:pPr>
      <w:r>
        <w:t>No se trata de un conflicto entre las competencias que a la Generalitat concede el art. 166.3 a) EAC y a las que el Estado les atribuye el art. 149.1.3 CE, porque la Generalitat no tiene la competencia que reclama.</w:t>
      </w:r>
    </w:p>
    <w:p w:rsidR="005728DD" w:rsidRDefault="005728DD" w:rsidP="005728DD">
      <w:pPr>
        <w:pStyle w:val="TextoNormal"/>
      </w:pPr>
    </w:p>
    <w:p w:rsidR="005728DD" w:rsidRDefault="005728DD" w:rsidP="005728DD">
      <w:pPr>
        <w:pStyle w:val="TextoNormal"/>
      </w:pPr>
      <w:r>
        <w:t>Si la Generalitat no tiene esa competencia la tendría el Estado, sin necesidad de invocar un título especial, sino el del 149.3 CE, la competencia residual del Estado en todas las materias que no se hayan atribuido a las comunidades autónomas.</w:t>
      </w:r>
    </w:p>
    <w:p w:rsidR="005728DD" w:rsidRDefault="005728DD" w:rsidP="005728DD">
      <w:pPr>
        <w:pStyle w:val="TextoNormal"/>
      </w:pPr>
    </w:p>
    <w:p w:rsidR="005728DD" w:rsidRDefault="005728DD" w:rsidP="005728DD">
      <w:pPr>
        <w:pStyle w:val="TextoNormal"/>
      </w:pPr>
      <w:r>
        <w:t>Pero es que, además el Estado sí tiene títulos específicos que le permitirían regular la adopción internacional como lo ha hecho.</w:t>
      </w:r>
    </w:p>
    <w:p w:rsidR="005728DD" w:rsidRDefault="005728DD" w:rsidP="005728DD">
      <w:pPr>
        <w:pStyle w:val="TextoNormal"/>
      </w:pPr>
    </w:p>
    <w:p w:rsidR="005728DD" w:rsidRDefault="005728DD" w:rsidP="005728DD">
      <w:pPr>
        <w:pStyle w:val="TextoNormal"/>
      </w:pPr>
      <w:r>
        <w:t>La adopción es una de las formas por las que tiene lugar la filiación y, de un modo indirecto, cuando se trata de adopciones internacionales, una forma de adquirir la nacionalidad española, de modo que de algún modo está implica da la competencia estatal del art. 149.1.2 CE.</w:t>
      </w:r>
    </w:p>
    <w:p w:rsidR="005728DD" w:rsidRDefault="005728DD" w:rsidP="005728DD">
      <w:pPr>
        <w:pStyle w:val="TextoNormal"/>
      </w:pPr>
    </w:p>
    <w:p w:rsidR="005728DD" w:rsidRDefault="005728DD" w:rsidP="005728DD">
      <w:pPr>
        <w:pStyle w:val="TextoNormal"/>
      </w:pPr>
      <w:r>
        <w:t>Y lo está, más acusadamente, respecto de toda actividad que los organismos de intermediación desarrollan en el extranjero, la competencia estatal, del 149.1.3 CE.</w:t>
      </w:r>
    </w:p>
    <w:p w:rsidR="005728DD" w:rsidRDefault="005728DD" w:rsidP="005728DD">
      <w:pPr>
        <w:pStyle w:val="TextoNormal"/>
      </w:pPr>
    </w:p>
    <w:p w:rsidR="005728DD" w:rsidRDefault="005728DD" w:rsidP="005728DD">
      <w:pPr>
        <w:pStyle w:val="TextoNormal"/>
      </w:pPr>
      <w:r>
        <w:t>Es cierto que hemos dicho que este art. 149.1.3 CE garantiza al Estado la competencia exclusiva para actuar en el extranjero como titular de relaciones internacionales y para contraer obligaciones internacionales que comprometan a España. Pero también hemos dicho, en STC 80/2012, a propósito de las competencias estatales en el deporte, que aunque sobre esta materia el Estado carezca de un título competencial específico, la dimensión internacional del deporte afecta a la imagen exterior que se proyecta del Estado español y constituye fundamento suficiente de la intervención reguladora del Estado en materia deportiva.</w:t>
      </w:r>
    </w:p>
    <w:p w:rsidR="005728DD" w:rsidRDefault="005728DD" w:rsidP="005728DD">
      <w:pPr>
        <w:pStyle w:val="TextoNormal"/>
      </w:pPr>
    </w:p>
    <w:p w:rsidR="005728DD" w:rsidRDefault="005728DD" w:rsidP="005728DD">
      <w:pPr>
        <w:pStyle w:val="TextoNormal"/>
      </w:pPr>
      <w:r>
        <w:t>Esta doctrina se repite en el STC 33/2018.</w:t>
      </w:r>
    </w:p>
    <w:p w:rsidR="005728DD" w:rsidRDefault="005728DD" w:rsidP="005728DD">
      <w:pPr>
        <w:pStyle w:val="TextoNormal"/>
      </w:pPr>
    </w:p>
    <w:p w:rsidR="005728DD" w:rsidRDefault="005728DD" w:rsidP="005728DD">
      <w:pPr>
        <w:pStyle w:val="TextoNormal"/>
      </w:pPr>
      <w:r>
        <w:t>Pues también aquí, la actuación de los organismos de intermediación compromete la imagen de España cuando se relacionan con instituciones de otros estados que se ocupan de dar en adopción niños que tienen bajo su cuidado.</w:t>
      </w:r>
    </w:p>
    <w:p w:rsidR="005728DD" w:rsidRDefault="005728DD" w:rsidP="005728DD">
      <w:pPr>
        <w:pStyle w:val="TextoNormal"/>
      </w:pPr>
    </w:p>
    <w:p w:rsidR="005728DD" w:rsidRDefault="005728DD" w:rsidP="005728DD">
      <w:pPr>
        <w:pStyle w:val="TextoNormal"/>
      </w:pPr>
      <w:r>
        <w:t xml:space="preserve">Y de la misma manera que el Estado español puede vetar la adopción de niños de otros estados que no respetaron las garantías mínimas exigibles, podría suceder que una actuación irregular en un país extranjero de un organismo de intermediación nacional pudiera acarrear </w:t>
      </w:r>
      <w:r>
        <w:lastRenderedPageBreak/>
        <w:t>por parte de ese estado un veto a las adopciones a España. Y, lo mismo que sucedía en los casos resueltos por esas SSTC 80/2012 y 33/2018, sin necesidad de acudir al 149.1.3 CE, existe un interés general que se sobrepone al que pudieran invocar las comunidades autónomas y justifica una regulación estatal uniforme.</w:t>
      </w:r>
    </w:p>
    <w:p w:rsidR="005728DD" w:rsidRDefault="005728DD" w:rsidP="005728DD">
      <w:pPr>
        <w:pStyle w:val="TextoNormal"/>
      </w:pPr>
    </w:p>
    <w:p w:rsidR="005728DD" w:rsidRDefault="005728DD" w:rsidP="005728DD">
      <w:pPr>
        <w:pStyle w:val="TextoNormal"/>
      </w:pPr>
      <w:r>
        <w:t>Toda esta actuación previa a la presentación por la correspondiente entidad pública de la propuesta de adopción es una actuación imprescindible para que pueda iniciarse ante el juez competente el expediente de adopción.</w:t>
      </w:r>
    </w:p>
    <w:p w:rsidR="005728DD" w:rsidRDefault="005728DD" w:rsidP="005728DD">
      <w:pPr>
        <w:pStyle w:val="TextoNormal"/>
      </w:pPr>
    </w:p>
    <w:p w:rsidR="005728DD" w:rsidRDefault="005728DD" w:rsidP="005728DD">
      <w:pPr>
        <w:pStyle w:val="TextoNormal"/>
      </w:pPr>
      <w:r>
        <w:t>El expediente de adopción se tramita conforme al procedimiento previsto en la Ley de jurisdicción voluntaria, pero este tribunal dicho que la jurisdicción voluntaria es también jurisdicción. Los jueces en la jurisdicción voluntaria también ejercen jurisdicción, por eso pueden plantear cuestiones de inconstitucionalidad.</w:t>
      </w:r>
    </w:p>
    <w:p w:rsidR="005728DD" w:rsidRDefault="005728DD" w:rsidP="005728DD">
      <w:pPr>
        <w:pStyle w:val="TextoNormal"/>
      </w:pPr>
    </w:p>
    <w:p w:rsidR="005728DD" w:rsidRDefault="005728DD" w:rsidP="005728DD">
      <w:pPr>
        <w:pStyle w:val="TextoNormal"/>
      </w:pPr>
      <w:r>
        <w:t>Entonces resulta que toda esa actuación prejurisdiccional es una actuación que condiciona el acceso a la jurisdicción, y este tribunal ha dicho, que bien al amparo del art. 149.1.5 CE (administración de justicia) o el 149.1.6 CE (legislación procesal), el Estado puede regular esas actuaciones previas a una posterior actuación jurisdiccional, pero necesarias para acceder a la jurisdicción. (SSTC 162/2012; 31/2018 y 54/2018, y 5/2019).</w:t>
      </w:r>
    </w:p>
    <w:p w:rsidR="005728DD" w:rsidRDefault="005728DD" w:rsidP="005728DD">
      <w:pPr>
        <w:pStyle w:val="TextoNormal"/>
      </w:pPr>
    </w:p>
    <w:p w:rsidR="005728DD" w:rsidRDefault="005728DD" w:rsidP="005728DD">
      <w:pPr>
        <w:pStyle w:val="TextoNormal"/>
      </w:pPr>
      <w:r>
        <w:t>Por todo ello considero que el presente conflicto positivo de competencia debería haber sido desestimado en su integridad. Y en este sentido emito mi voto particular.</w:t>
      </w:r>
    </w:p>
    <w:p w:rsidR="005728DD" w:rsidRDefault="005728DD" w:rsidP="005728DD">
      <w:pPr>
        <w:pStyle w:val="TextoNormal"/>
      </w:pPr>
    </w:p>
    <w:p w:rsidR="005728DD" w:rsidRDefault="005728DD" w:rsidP="005728DD">
      <w:pPr>
        <w:pStyle w:val="TextoNormal"/>
      </w:pPr>
      <w:r>
        <w:t>Madrid, a dieciocho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0" w:name="SENTENCIA_2021_37"/>
      <w:r>
        <w:lastRenderedPageBreak/>
        <w:t>SENTENCIA 37/2021, de 18 de febrero de 2021</w:t>
      </w:r>
    </w:p>
    <w:bookmarkEnd w:id="40"/>
    <w:p w:rsidR="005728DD" w:rsidRDefault="005728DD" w:rsidP="005728DD">
      <w:pPr>
        <w:pStyle w:val="TtuloResolucin"/>
      </w:pPr>
      <w:r>
        <w:t>Pleno</w:t>
      </w:r>
    </w:p>
    <w:p w:rsidR="005728DD" w:rsidRDefault="005728DD" w:rsidP="005728DD">
      <w:pPr>
        <w:pStyle w:val="TtuloBOE"/>
      </w:pPr>
      <w:r>
        <w:t>(BOE núm. 69, de 22 de marzo de 2021)</w:t>
      </w:r>
    </w:p>
    <w:p w:rsidR="005728DD" w:rsidRDefault="005728DD" w:rsidP="005728DD">
      <w:pPr>
        <w:pStyle w:val="TextoNormalCentrado"/>
      </w:pPr>
      <w:r>
        <w:t>ECLI:ES:TC:2021:37</w:t>
      </w:r>
    </w:p>
    <w:p w:rsidR="005728DD" w:rsidRDefault="005728DD" w:rsidP="005728DD">
      <w:pPr>
        <w:pStyle w:val="TextoNormalCentrado"/>
      </w:pPr>
    </w:p>
    <w:p w:rsidR="005728DD" w:rsidRDefault="005728DD" w:rsidP="005728DD">
      <w:pPr>
        <w:pStyle w:val="SntesisDescriptiva"/>
      </w:pPr>
      <w:r>
        <w:t>Conflicto positivo de competencia 4709-2019. Planteado por el Gobierno vasco en relación con diversos preceptos del Real Decreto 130/2019, de 8 de marzo, por el que se regula la base de datos nacional de subvenciones y la publicidad de las subvenciones y demás ayudas públicas.</w:t>
      </w:r>
    </w:p>
    <w:p w:rsidR="005728DD" w:rsidRDefault="005728DD" w:rsidP="005728DD">
      <w:pPr>
        <w:pStyle w:val="SntesisDescriptiva"/>
      </w:pPr>
    </w:p>
    <w:p w:rsidR="005728DD" w:rsidRDefault="005728DD" w:rsidP="005728DD">
      <w:pPr>
        <w:pStyle w:val="SntesisAnaltica"/>
      </w:pPr>
      <w:r>
        <w:t>Potestad de autoorganización y autonomía parlamentaria, derechos históricos de los territorios forales y régimen de cooficialidad lingüística: nulidad del precepto reglamentario que prevé la incorporación de los datos suministrados por los órganos legislativos a la base nacional de subvenciones.</w:t>
      </w:r>
    </w:p>
    <w:p w:rsidR="005728DD" w:rsidRDefault="005728DD" w:rsidP="005728DD">
      <w:pPr>
        <w:pStyle w:val="SntesisAnaltica"/>
      </w:pPr>
    </w:p>
    <w:p w:rsidR="005728DD" w:rsidRDefault="005728DD" w:rsidP="005728DD">
      <w:pPr>
        <w:pStyle w:val="Extracto"/>
      </w:pPr>
      <w:r>
        <w:t>1.</w:t>
      </w:r>
      <w:r>
        <w:tab/>
        <w:t>El Estado cuenta con competencia ex art. 149.1.18 CE para establecer una regulación básica, relativa a sujetos que no son Administración pública en sentido clásico o formal, como las cámaras de comercio (STC 20/1988), los colegios profesionales (STC 3/2013), las personificaciones instrumentales de Derecho privado vinculadas a un administración territorial (SSTC 54/2017 y 132/2018) o los particulares que manejan fondos públicos (STC 130/2013) [FJ 5].</w:t>
      </w:r>
    </w:p>
    <w:p w:rsidR="005728DD" w:rsidRDefault="005728DD" w:rsidP="005728DD">
      <w:pPr>
        <w:pStyle w:val="Extracto"/>
      </w:pPr>
    </w:p>
    <w:p w:rsidR="005728DD" w:rsidRDefault="005728DD" w:rsidP="005728DD">
      <w:pPr>
        <w:pStyle w:val="Extracto"/>
      </w:pPr>
      <w:r>
        <w:t>2.</w:t>
      </w:r>
      <w:r>
        <w:tab/>
        <w:t>El Estado no puede regular mediante real decreto la actividad administrativa de los parlamentos territoriales, por más que el contenido material de la disciplina establecida pueda respetar la autonomía que tienen estatutariamente reconocida. De modo que la exigencia general de rango legal derivada de la función delimitadora propia de las bases, en conexión con el reconocimiento de la autonomía parlamentaria, prohíbe que los reglamentos estatales impongan a las cámaras autonómicas regulaciones como la enjuiciada (SSTC 45/2015, 14/2018 y 100/2019) [FJ 5].</w:t>
      </w:r>
    </w:p>
    <w:p w:rsidR="005728DD" w:rsidRDefault="005728DD" w:rsidP="005728DD">
      <w:pPr>
        <w:pStyle w:val="Extracto"/>
      </w:pPr>
    </w:p>
    <w:p w:rsidR="005728DD" w:rsidRDefault="005728DD" w:rsidP="005728DD">
      <w:pPr>
        <w:pStyle w:val="Extracto"/>
      </w:pPr>
      <w:r>
        <w:t>3.</w:t>
      </w:r>
      <w:r>
        <w:tab/>
        <w:t>De acuerdo con el art. 63.1 LOTC, el órgano ejecutivo superior de una comunidad autónoma podrá promover el conflicto de competencia cuando estime que una disposición, resolución o acto emanado de la autoridad de otra comunidad o del estado no respeta el orden de competencias establecido en la Constitución, en los estatutos de autonomía o en las leyes correspondientes y siempre que afecte a su propio ámbito [FJ 6].</w:t>
      </w:r>
    </w:p>
    <w:p w:rsidR="005728DD" w:rsidRDefault="005728DD" w:rsidP="005728DD">
      <w:pPr>
        <w:pStyle w:val="Extracto"/>
      </w:pPr>
    </w:p>
    <w:p w:rsidR="005728DD" w:rsidRDefault="005728DD" w:rsidP="005728DD">
      <w:pPr>
        <w:pStyle w:val="Extracto"/>
      </w:pPr>
      <w:r>
        <w:t>4.</w:t>
      </w:r>
      <w:r>
        <w:tab/>
        <w:t>La doctrina constitucional admite que hay pretensión de incompetencia, no solo cuando el promotor del conflicto reclama para sí la competencia ejercida por otro, sino también cuando denuncia que el ejercicio de una competencia lesiona, perturba o desconoce el ámbito propio de atribuciones (SSTC 44/2007 y 100/2019) [FJ 6].</w:t>
      </w:r>
    </w:p>
    <w:p w:rsidR="005728DD" w:rsidRDefault="005728DD" w:rsidP="005728DD">
      <w:pPr>
        <w:pStyle w:val="Extracto"/>
      </w:pPr>
    </w:p>
    <w:p w:rsidR="005728DD" w:rsidRDefault="005728DD" w:rsidP="005728DD">
      <w:pPr>
        <w:pStyle w:val="Extracto"/>
      </w:pPr>
      <w:r>
        <w:t>5.</w:t>
      </w:r>
      <w:r>
        <w:tab/>
        <w:t>La ausencia de una reserva expresa de las competencias del Estado o de las Comunidades Autónomas no determina la inconstitucionalidad de los preceptos impugnados y la incorporación expresa de cláusulas de salvaguardia de competencias estatales no es exigible en términos constitucionales (STC 228/2016) [FJ 6].</w:t>
      </w:r>
    </w:p>
    <w:p w:rsidR="005728DD" w:rsidRDefault="005728DD" w:rsidP="005728DD">
      <w:pPr>
        <w:pStyle w:val="Extracto"/>
      </w:pPr>
    </w:p>
    <w:p w:rsidR="005728DD" w:rsidRDefault="005728DD" w:rsidP="005728DD">
      <w:pPr>
        <w:pStyle w:val="Extracto"/>
      </w:pPr>
      <w:r>
        <w:t>6.</w:t>
      </w:r>
      <w:r>
        <w:tab/>
        <w:t>La STC 33/2018 vino a confirmar la constitucionalidad de la obligación a las comunidades autónomas y resto de administraciones u organismos sujetos a la Ley general de subvenciones, de comunicar al Estado las convocatorias de subvenciones y demás datos mencionados en la Ley general de subvenciones, tales como el texto de la convocatoria y la información requerida por la Base de Datos Nacional de Subvenciones –BDNS-, que garantiza el derecho de los ciudadanos a conocer todas las subvenciones convocadas en cada momento y  que actúa mediante parámetros de publicidad y de transparencia [FJ 7].</w:t>
      </w:r>
    </w:p>
    <w:p w:rsidR="005728DD" w:rsidRDefault="005728DD" w:rsidP="005728DD">
      <w:pPr>
        <w:pStyle w:val="Extracto"/>
      </w:pPr>
    </w:p>
    <w:p w:rsidR="005728DD" w:rsidRDefault="005728DD" w:rsidP="005728DD">
      <w:pPr>
        <w:pStyle w:val="Extracto"/>
      </w:pPr>
      <w:r>
        <w:t>7.</w:t>
      </w:r>
      <w:r>
        <w:tab/>
        <w:t>La garantía del derecho de disponibilidad lingüística ha de permitir el acceso de los ciudadanos a la información tanto en castellano como en la lengua que sea oficial en su respectivo territorio [FJ 8].</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conflicto positivo de competencia núm. 4709-2019, interpuesto por el Consejo de Gobierno de la Comunidad Autónoma del País Vasco en relación con el art. 5; art. 3.1 in fine y por conexión el art. 10.1, art. 6.3 y art. 6.7 del Real Decreto 130/2019, de 8 de marzo, por el que se regula la base de datos nacional de subvenciones y la publicidad de las subvenciones y demás ayudas públicas. Ha comparecido y formulado alegaciones el abogado del Estado.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día 24 de julio de 2019, el Consejo de Gobierno de la Comunidad Autónoma del País Vasco promueve conflicto positivo de competencia en relación con el Real Decreto 130/2019, de 8 de marzo, por el que se regula la base de datos nacional de subvenciones y la publicidad de las subvenciones y demás ayudas públicas.</w:t>
      </w:r>
    </w:p>
    <w:p w:rsidR="005728DD" w:rsidRDefault="005728DD" w:rsidP="005728DD">
      <w:pPr>
        <w:pStyle w:val="TextoNormal"/>
      </w:pPr>
    </w:p>
    <w:p w:rsidR="005728DD" w:rsidRDefault="005728DD" w:rsidP="005728DD">
      <w:pPr>
        <w:pStyle w:val="TextoNormal"/>
      </w:pPr>
      <w:r>
        <w:t xml:space="preserve">Tras dar cuenta de los términos en los que se dio cumplimiento al trámite previo del requerimiento de incompetencia, exponer el contenido de la norma impugnada y examinar </w:t>
      </w:r>
      <w:r>
        <w:lastRenderedPageBreak/>
        <w:t xml:space="preserve">la jurisprudencia constitucional en esta materia, la demanda, con carácter previo al examen de los motivos de inconstitucionalidad que sirven de fundamento al conflicto planteado, formula dos reproches de carácter general: por un lado, afirma que la regulación que efectúa el Real Decreto supone un </w:t>
      </w:r>
      <w:r w:rsidRPr="005728DD">
        <w:rPr>
          <w:i/>
        </w:rPr>
        <w:t>ultra vires</w:t>
      </w:r>
      <w:r>
        <w:t xml:space="preserve"> reglamentario; por otro rechaza las afirmaciones contenidas en el preámbulo de la norma, en virtud de las cuales, la misma pretende ampararse en la obligación de atender las exigencias derivadas de una serie de normas de derecho europeo que expresamente se citan. Y ello porque, a juicio de los recurrentes, no amparan la totalidad de la regulación contenida en el Real Decreto, ni pueden servir, conforme a la doctrina constitucional, para otorgar cobertura a una normativa que resulta contraria al reparto de competencias.</w:t>
      </w:r>
    </w:p>
    <w:p w:rsidR="005728DD" w:rsidRDefault="005728DD" w:rsidP="005728DD">
      <w:pPr>
        <w:pStyle w:val="TextoNormal"/>
      </w:pPr>
    </w:p>
    <w:p w:rsidR="005728DD" w:rsidRDefault="005728DD" w:rsidP="005728DD">
      <w:pPr>
        <w:pStyle w:val="TextoNormal"/>
      </w:pPr>
      <w:r>
        <w:t>A continuación, la demanda analiza los concretos preceptos impugnados, en relación con los cuales, y siguiendo el orden en que se desarrollan en la misma, se señala sintéticamente lo siguiente:</w:t>
      </w:r>
    </w:p>
    <w:p w:rsidR="005728DD" w:rsidRDefault="005728DD" w:rsidP="005728DD">
      <w:pPr>
        <w:pStyle w:val="TextoNormal"/>
      </w:pPr>
    </w:p>
    <w:p w:rsidR="005728DD" w:rsidRDefault="005728DD" w:rsidP="005728DD">
      <w:pPr>
        <w:pStyle w:val="TextoNormal"/>
      </w:pPr>
      <w:r>
        <w:t>a) El art. 5 impone, por Real Decreto, un estricto régimen de comunicación de la información financiera desde la Comunidad Autónoma al Estado, que vulnera lo previsto en la disposición adicional primera de la Constitución, en el desarrollo dado por el apartado 4 del art. 4 de la Ley 12/2002, de 23 de mayo, por la que se aprueba el concierto económico con la Comunidad Autónoma del País Vasco, así como lo dispuesto en las normas básicas contempladas en el apartado segundo de la disposición final tercera de la Ley Orgánica 2/2012, de 27 de abril, de estabilidad presupuestaria y sostenibilidad financiera, en relación a su art. 2 y lo señalado en la disposición adicional vigésimo segunda de la Ley 38/2003, de 17 de noviembre, general de subvenciones (en adelante LGSub).</w:t>
      </w:r>
    </w:p>
    <w:p w:rsidR="005728DD" w:rsidRDefault="005728DD" w:rsidP="005728DD">
      <w:pPr>
        <w:pStyle w:val="TextoNormal"/>
      </w:pPr>
    </w:p>
    <w:p w:rsidR="005728DD" w:rsidRDefault="005728DD" w:rsidP="005728DD">
      <w:pPr>
        <w:pStyle w:val="TextoNormal"/>
      </w:pPr>
      <w:r>
        <w:t>Considera la demanda que el Real Decreto establece de forma prácticamente acabada el régimen a través del cual las comunidades autónomas y demás entidades del sector público e institucional deberán suministrar la información sobre las subvenciones y demás ayudas públicas que concedan. Del conjunto de la norma, y particularmente de su art. 5.1, se constata que el Real Decreto impone los términos del contenido y del flujo de información a suministrar, y confiere a la Intervención General de la Administración del Estado la facultad de desarrollo del procedimiento previsto para el suministro de dicha información. En la práctica, solo deja espacio a la colaboración autonómica para los aspectos informáticos —“las especificaciones y formato”— y para las cuestiones meramente operativas del suministro de información entre el Estado y el ente perteneciente al sector público obligado, ya que el régimen legal se fija unilateralmente por el Estado.</w:t>
      </w:r>
    </w:p>
    <w:p w:rsidR="005728DD" w:rsidRDefault="005728DD" w:rsidP="005728DD">
      <w:pPr>
        <w:pStyle w:val="TextoNormal"/>
      </w:pPr>
    </w:p>
    <w:p w:rsidR="005728DD" w:rsidRDefault="005728DD" w:rsidP="005728DD">
      <w:pPr>
        <w:pStyle w:val="TextoNormal"/>
      </w:pPr>
      <w:r>
        <w:t>Este sistema socava el amparo y respeto constitucional de los derechos históricos plasmados en la disposición adicional primera de la Constitución y su actualización a través de la Ley 12/2002, por la que se aprueba el concierto económico con el País Vasco. El art. 4 de esta ley regula el suministro de información de carácter financiero por la Comunidad Autónoma del País Vasco al Estado que, en la práctica, se ha venido desplegando a través de acuerdos bilaterales específicos adoptados en el seno de la comisión mixta del concierto, garantizando así la adecuada coordinación entre ambas entidades. En el apartado 4 de este art. 4 se contempla asimismo el suministro de información a instancias europeas, que es el principal argumento del Real Decreto para regular estas nuevas funciones de la base de datos nacional de subvenciones (en adelante, BDNS).</w:t>
      </w:r>
    </w:p>
    <w:p w:rsidR="005728DD" w:rsidRDefault="005728DD" w:rsidP="005728DD">
      <w:pPr>
        <w:pStyle w:val="TextoNormal"/>
      </w:pPr>
    </w:p>
    <w:p w:rsidR="005728DD" w:rsidRDefault="005728DD" w:rsidP="005728DD">
      <w:pPr>
        <w:pStyle w:val="TextoNormal"/>
      </w:pPr>
      <w:r>
        <w:lastRenderedPageBreak/>
        <w:t>Se argumenta que el apartado segundo de la disposición final tercera de la Ley Orgánica 2/2012, de estabilidad presupuestaria y sostenibilidad financiera prevé que, en virtud de su régimen foral, la aplicación a la Comunidad Autónoma del País Vasco de lo dispuesto en la misma, se entenderá sin perjuicio de lo señalado en la Ley del concierto económico. Y es en esta ley orgánica donde se establecen los principios rectores que vinculan a todos los poderes públicos y a los que deberá adecuarse la política presupuestaria del sector público.</w:t>
      </w:r>
    </w:p>
    <w:p w:rsidR="005728DD" w:rsidRDefault="005728DD" w:rsidP="005728DD">
      <w:pPr>
        <w:pStyle w:val="TextoNormal"/>
      </w:pPr>
    </w:p>
    <w:p w:rsidR="005728DD" w:rsidRDefault="005728DD" w:rsidP="005728DD">
      <w:pPr>
        <w:pStyle w:val="TextoNormal"/>
      </w:pPr>
      <w:r>
        <w:t>El Real Decreto 130/2019, dictado en desarrollo del art. 20 LGSub, no tiene tampoco en debida consideración la disposición adicional vigésima segunda de la LGSub que atiende al régimen foral del País Vasco, para lo que afirma que “en virtud de su régimen foral, la aplicación de esta ley a la Comunidad Autónoma del País Vasco se realizará con respeto a lo establecido en su estatuto de autonomía y en la disposición adicional segunda de la Ley 7/1985, de 2 de abril, reguladora de las bases del régimen local”; esta previsión ha de producir efectos en toda la normativa reglamentaria sobre régimen subvencional que produzca el Estado, y por tanto ha de ser tenido aquí en consideración.</w:t>
      </w:r>
    </w:p>
    <w:p w:rsidR="005728DD" w:rsidRDefault="005728DD" w:rsidP="005728DD">
      <w:pPr>
        <w:pStyle w:val="TextoNormal"/>
      </w:pPr>
    </w:p>
    <w:p w:rsidR="005728DD" w:rsidRDefault="005728DD" w:rsidP="005728DD">
      <w:pPr>
        <w:pStyle w:val="TextoNormal"/>
      </w:pPr>
      <w:r>
        <w:t>Frente a ello, el apartado 1 del art. 5 viene a afirmar que será la Intervención General de la Administración del Estado quién en última instancia determinará el sistema para el suministro de información, siendo así que, en el caso del País Vasco, estos acuerdos de traslado de información se toman de forma concertada por los representantes de ambas instituciones. Además, el apartado 2 del precepto impone unos breves plazos temporales para el suministro de información, que prácticamente cierran la vía a cualquier posible negociación al respecto.</w:t>
      </w:r>
    </w:p>
    <w:p w:rsidR="005728DD" w:rsidRDefault="005728DD" w:rsidP="005728DD">
      <w:pPr>
        <w:pStyle w:val="TextoNormal"/>
      </w:pPr>
    </w:p>
    <w:p w:rsidR="005728DD" w:rsidRDefault="005728DD" w:rsidP="005728DD">
      <w:pPr>
        <w:pStyle w:val="TextoNormal"/>
      </w:pPr>
      <w:r>
        <w:t>La naturaleza pactada de la relación entre el Estado y la Comunidad Autónoma del País Vasco, ratificada en la reciente STC 9/2019, de 7 de enero, y la garantía legal de salvaguarda de la disposición adicional primera de la Constitución, así como del propio concierto económico, debe reflejarse mediante la inserción de una cláusula similar a la prevista en la disposición final tercera de la Ley Orgánica de estabilidad presupuestaria y sostenibilidad financiera. De otra forma se deja a la voluntad del Estado dar cumplimiento a estas obligaciones de respeto foral, que conforme a una abundante doctrina constitucional, forman parte del contenido mínimo de la garantía institucional de la foralidad, reconocida en la propia Constitución.</w:t>
      </w:r>
    </w:p>
    <w:p w:rsidR="005728DD" w:rsidRDefault="005728DD" w:rsidP="005728DD">
      <w:pPr>
        <w:pStyle w:val="TextoNormal"/>
      </w:pPr>
    </w:p>
    <w:p w:rsidR="005728DD" w:rsidRDefault="005728DD" w:rsidP="005728DD">
      <w:pPr>
        <w:pStyle w:val="TextoNormal"/>
      </w:pPr>
      <w:r>
        <w:t xml:space="preserve">La previsión en la norma reglamentaria de una cláusula de salvaguarda del régimen foral, como la aquí demandada, fue rechazada por la STC 119/2016, de 23 de junio FJ 3 b, si bien se trataba de un caso no asimilable al que aquí nos ocupa, pues hacía referencia a una cuestión de sueldo de funcionarios, que atendía a una coyuntura económica comprometida, con medidas que solo encontraban sentido si eran adoptadas simultáneamente por todas las administraciones públicas. Aquí sin embargo, se está ante la remisión de toda la información ateniente a las ayudas públicas, porcentaje importante del gasto de cualquier administración en cuanto resultado de la actividad financiera desarrollada en el marco del concierto económico, por lo que se encuentra ínsito en el mismo centro de la foralidad; y no se trata de una medida coyuntural sino permanente en el tiempo. Además, en aquel supuesto se estableció que no era de aplicación la Ley Orgánica de estabilidad presupuestaria y sostenibilidad financiera, que en este caso sí ha de tenerse en cuenta, puesto que su art. 9 prevé que se aplicará para las obligaciones de suministro de información y transparencia, en el marco de </w:t>
      </w:r>
      <w:r>
        <w:lastRenderedPageBreak/>
        <w:t>esta y de otras disposiciones nacionales y comunitarias, siendo aplicable también su disposición final tercera.</w:t>
      </w:r>
    </w:p>
    <w:p w:rsidR="005728DD" w:rsidRDefault="005728DD" w:rsidP="005728DD">
      <w:pPr>
        <w:pStyle w:val="TextoNormal"/>
      </w:pPr>
    </w:p>
    <w:p w:rsidR="005728DD" w:rsidRDefault="005728DD" w:rsidP="005728DD">
      <w:pPr>
        <w:pStyle w:val="TextoNormal"/>
      </w:pPr>
      <w:r>
        <w:t>Recuerda la demanda que este régimen concertado de suministro de información a la Intervención General de la Administración del Estado desde las instituciones vascas se ha respetado y asumido por el Estado. Y cita, en concreto, el Acuerdo de la comisión bilateral de cooperación administración del Estado-administración de la Comunidad Autónoma del País Vasco, en relación con la Ley 5/2014, de racionalización del sector público y otras medidas de reforma administrativa (“BOE” de 9 de julio de 2015), en la cual y respecto a la modificación del art. 20 LGSub, se vino a afirmar que “la comisión mixta de concierto articulará los acuerdos necesarios para su ejecución junto con los que se adopten en materia de remisión de información […] de conformidad con lo dispuesto en la disposición final tercera de la Ley Orgánica 2/2012, de 27 de abril, de estabilidad presupuestaria y sostenibilidad financiera, en relación con lo dispuesto en la Ley 12/2002, de 23 de mayo, del concierto económico con la Comunidad Autónoma del País Vasco”.</w:t>
      </w:r>
    </w:p>
    <w:p w:rsidR="005728DD" w:rsidRDefault="005728DD" w:rsidP="005728DD">
      <w:pPr>
        <w:pStyle w:val="TextoNormal"/>
      </w:pPr>
    </w:p>
    <w:p w:rsidR="005728DD" w:rsidRDefault="005728DD" w:rsidP="005728DD">
      <w:pPr>
        <w:pStyle w:val="TextoNormal"/>
      </w:pPr>
      <w:r>
        <w:t xml:space="preserve">b) Se impugna el art. 3.1 </w:t>
      </w:r>
      <w:r w:rsidRPr="005728DD">
        <w:rPr>
          <w:i/>
        </w:rPr>
        <w:t>in fine</w:t>
      </w:r>
      <w:r>
        <w:t xml:space="preserve"> y, por conexión, el art. 10.1 del Real Decreto 130/2019, con fundamento en la ampliación subjetiva de los entes públicos obligados a suministrar información a la BDNS; en concreto, la inclusión mediante esta norma reglamentaria de las asambleas legislativas de las comunidades autónomas como sujetos sometidos a la obligación de informar. Se alega la falta de capacidad del ejecutivo estatal para imponer obligaciones a las asambleas parlamentarias autonómicas sin ley habilitante, lo que determina la infracción del art. 15 del Estatuto de Autonomía para el País Vasco (EAPV) y la vulneración del principio de autonomía parlamentaria (art. 71.2 CE), así como la infracción del art. 20.4 LGSub y de la disposición adicional octava de la Ley 19/2013, de 9 de diciembre, de transparencia, acceso a la información pública y buen gobierno, ambas de naturaleza básica.</w:t>
      </w:r>
    </w:p>
    <w:p w:rsidR="005728DD" w:rsidRDefault="005728DD" w:rsidP="005728DD">
      <w:pPr>
        <w:pStyle w:val="TextoNormal"/>
      </w:pPr>
    </w:p>
    <w:p w:rsidR="005728DD" w:rsidRDefault="005728DD" w:rsidP="005728DD">
      <w:pPr>
        <w:pStyle w:val="TextoNormal"/>
      </w:pPr>
      <w:r>
        <w:t>El establecimiento mediante real decreto de regulaciones sobre la actividad en sede parlamentaria vulnera la autonomía de las asambleas legislativas autonómicas, ya que impide a las cámaras aprobar, modificar o derogar sus propias normas de organización, funcionamiento y desarrollo, sin injerencia de otros órganos o poderes del Estado (STC 243/2000, FJ 12). Y esa autonomía funcional de las asambleas legislativas determina que una previsión como la contemplada haya de tener rango legal (STC 179/1989).</w:t>
      </w:r>
    </w:p>
    <w:p w:rsidR="005728DD" w:rsidRDefault="005728DD" w:rsidP="005728DD">
      <w:pPr>
        <w:pStyle w:val="TextoNormal"/>
      </w:pPr>
    </w:p>
    <w:p w:rsidR="005728DD" w:rsidRDefault="005728DD" w:rsidP="005728DD">
      <w:pPr>
        <w:pStyle w:val="TextoNormal"/>
      </w:pPr>
      <w:r>
        <w:t>Esta previsión es asimismo contraria a lo dispuesto en el art. 20.4 LGSub, de cuya redacción cabe interpretar que las entidades que han de suministrar información a la BDNS han de venir contempladas en la propia ley o en otras leyes, lo que implica la fijación de un principio de reserva de ley, y únicamente permite que sean los “organismos” los obligados por vía reglamentaria, a aportar datos. Debe entenderse que estos organismos son aquellos a los que hace referencia la Ley 40/2015, de 1 de octubre, de régimen jurídico del sector público, estando excluidas las cámaras parlamentarias. La remisión que el art. 20.4 LGSub hace a lo dispuesto en ella o en otras leyes para el suministro de información, ha de entenderse efectuada a lo señalado en la disposición adicional octava de la Ley 19/2013, de 9 de diciembre, de transparencia, acceso a la información pública y buen gobierno, donde se determina que las asambleas legislativas de las comunidades autónomas regularán en sus respectivos reglamentos la aplicación concreta de las disposiciones de la misma, por lo que una regulación como la contemplada en el precepto impugnado ha de efectuarse por los reglamentos de las cámaras legislativas.</w:t>
      </w:r>
    </w:p>
    <w:p w:rsidR="005728DD" w:rsidRDefault="005728DD" w:rsidP="005728DD">
      <w:pPr>
        <w:pStyle w:val="TextoNormal"/>
      </w:pPr>
    </w:p>
    <w:p w:rsidR="005728DD" w:rsidRDefault="005728DD" w:rsidP="005728DD">
      <w:pPr>
        <w:pStyle w:val="TextoNormal"/>
      </w:pPr>
      <w:r>
        <w:t>Por su parte, el art. 10.1 contempla que en cada comunidad autónoma deberá designarse un “único administrador institucional”. Ello conduce a que deberá ser el Parlamento quien comunique la información a la Administración General del País Vasco, mediador designado en este art. 10.1, para que esta, a su vez, la remita a la BDNS. Este segundo aspecto atenta también contra el principio constitucional de autonomía parlamentaria y contra el de independencia entre los poderes públicos, por lo que se invoca lo dispuesto en el art. 33.3 EAPV, según el cual el Parlamento Vasco determinará la forma de materializar las relaciones del Gobierno con el Parlamento, aspecto en el que no puede inmiscuirse el ejecutivo estatal por vía reglamentaria.</w:t>
      </w:r>
    </w:p>
    <w:p w:rsidR="005728DD" w:rsidRDefault="005728DD" w:rsidP="005728DD">
      <w:pPr>
        <w:pStyle w:val="TextoNormal"/>
      </w:pPr>
    </w:p>
    <w:p w:rsidR="005728DD" w:rsidRDefault="005728DD" w:rsidP="005728DD">
      <w:pPr>
        <w:pStyle w:val="TextoNormal"/>
      </w:pPr>
      <w:r>
        <w:t>En consecuencia, afirma la demanda que someter a obligación de suministro de información al Parlamento Vasco y exigir que el intermediario obligatorio del Parlamento con el Estado sea la Administración General del País Vasco, supone una vulneración del principio de autonomía parlamentaria (art. 71.2 CE), de las funciones propias del órgano legislativo vasco (art. 15 EAPV) y de su autoorganización (art. 10.6 EAPV).</w:t>
      </w:r>
    </w:p>
    <w:p w:rsidR="005728DD" w:rsidRDefault="005728DD" w:rsidP="005728DD">
      <w:pPr>
        <w:pStyle w:val="TextoNormal"/>
      </w:pPr>
    </w:p>
    <w:p w:rsidR="005728DD" w:rsidRDefault="005728DD" w:rsidP="005728DD">
      <w:pPr>
        <w:pStyle w:val="TextoNormal"/>
      </w:pPr>
      <w:r>
        <w:t>c) El art. 6, en sus apartados 2 y 3 viene a retomar una previsión que fue declarada inconstitucional en la STC 33/2018, de 12 de abril, FJ 11. Si bien conforme a la disposición final segunda, el art. 6.2 no tiene carácter básico, con lo que no es exigible a las comunidades autónomas, el art. 6.3 sí es básico, y en su inciso final (“y con antelación suficiente para que los interesados puedan presentar sus solicitudes dentro del plazo establecido”) resulta inconstitucional, por incidir en el mismo vicio que su antecedente anulado. Lo que viene derivado del efecto que se sigue dando a la comunicación de la información a incluir en la BDNS, así como a la brevedad del plazo previsto para ello.</w:t>
      </w:r>
    </w:p>
    <w:p w:rsidR="005728DD" w:rsidRDefault="005728DD" w:rsidP="005728DD">
      <w:pPr>
        <w:pStyle w:val="TextoNormal"/>
      </w:pPr>
    </w:p>
    <w:p w:rsidR="005728DD" w:rsidRDefault="005728DD" w:rsidP="005728DD">
      <w:pPr>
        <w:pStyle w:val="TextoNormal"/>
      </w:pPr>
      <w:r>
        <w:t>En concreto, lo que se impugna es que la comunicación/publicación en la base sirva para que los interesados puedan presentar sus solicitudes, así como el exiguo plazo para la remisión de la información. Con ello, se continua dotando a la BDNS de un papel determinante para los solicitantes de ayuda, lo que se califica como una intromisión intolerable del Estado en un procedimiento administrativo que es competencia de la comunidad autónoma, con unas consecuencias de retraso en la publicidad de la convocatoria y una subordinación y dependencia de la administración convocante a una actuación que ha de realizar el Estado.</w:t>
      </w:r>
    </w:p>
    <w:p w:rsidR="005728DD" w:rsidRDefault="005728DD" w:rsidP="005728DD">
      <w:pPr>
        <w:pStyle w:val="TextoNormal"/>
      </w:pPr>
    </w:p>
    <w:p w:rsidR="005728DD" w:rsidRDefault="005728DD" w:rsidP="005728DD">
      <w:pPr>
        <w:pStyle w:val="TextoNormal"/>
      </w:pPr>
      <w:r>
        <w:t>La función de la BDNS es la de mera publicidad, por lo que el plazo de inicio de la presentación de solicitudes y la forma de su notificación, se establecerán en las bases que publiquen las comunidades autónomas. Pretender como ya hizo el art. 20.8 LGSub, que la publicación en la base sirva para que “los interesados puedan presentar sus solicitudes” supone una intermediación necesaria del Estado que perturba el funcionamiento de la administración convocante, en términos ya rechazados en la STC 33/2018, FJ 11. No se cuestiona el control del suministro de información que el Estado ha fijado en el marco de sus competencias, tal y como han avalado las SSTC 99/2012 o 130/2013, sino que lo que se impugna es que se pretenda dar efectos jurídicos ante los interesados en las subvenciones, al cumplimiento de ese control en tan breve plazo. En efecto el plazo que se fija en el Real Decreto es muy breve: los datos se suministrarán a la BDNS (incluso puede entenderse también que habrán de estar publicados) en el período temporal comprendido entre la aprobación de las bases de la convocatoria por el órgano competente y el inicio del plazo de presentación de solicitudes; y en la práctica ese plazo es en muchas ocasiones de dos días.</w:t>
      </w:r>
    </w:p>
    <w:p w:rsidR="005728DD" w:rsidRDefault="005728DD" w:rsidP="005728DD">
      <w:pPr>
        <w:pStyle w:val="TextoNormal"/>
      </w:pPr>
    </w:p>
    <w:p w:rsidR="005728DD" w:rsidRDefault="005728DD" w:rsidP="005728DD">
      <w:pPr>
        <w:pStyle w:val="TextoNormal"/>
      </w:pPr>
      <w:r>
        <w:t>Por ello, la brevedad del plazo no tiene otro objeto que hacer posible que la publicación en la base tenga incidencia en el plazo legal de presentación de solicitudes y, con ello, sirva para algo más que una función de mera publicidad, condicionando la validez misma de la convocatoria pública al suministro y, seguramente, a la publicación en la BDNS de la información en el plazo ahí previsto. Con ello, el Estado pretende volver a hacer valer dicha publicación, como el sistema de publicación necesario de las subvenciones de cualquier institución del sector público.</w:t>
      </w:r>
    </w:p>
    <w:p w:rsidR="005728DD" w:rsidRDefault="005728DD" w:rsidP="005728DD">
      <w:pPr>
        <w:pStyle w:val="TextoNormal"/>
      </w:pPr>
    </w:p>
    <w:p w:rsidR="005728DD" w:rsidRDefault="005728DD" w:rsidP="005728DD">
      <w:pPr>
        <w:pStyle w:val="TextoNormal"/>
      </w:pPr>
      <w:r>
        <w:t>Considera así la representación autonómica que el precepto excede de las competencias estatales que amparan un procedimiento subvencional común (STC 130/2013) y menoscaba las competencias autonómicas; además se crea un trámite de comunicación en procedimientos administrativos que es contrario a la reserva de ley exigida por el art. 2.2 de la Ley del procedimiento administrativo común de las administraciones públicas (LPACAP) y con efectos determinantes en la validez del acto administrativo de convocatoria.</w:t>
      </w:r>
    </w:p>
    <w:p w:rsidR="005728DD" w:rsidRDefault="005728DD" w:rsidP="005728DD">
      <w:pPr>
        <w:pStyle w:val="TextoNormal"/>
      </w:pPr>
    </w:p>
    <w:p w:rsidR="005728DD" w:rsidRDefault="005728DD" w:rsidP="005728DD">
      <w:pPr>
        <w:pStyle w:val="TextoNormal"/>
      </w:pPr>
      <w:r>
        <w:t>d) El art. 6.7 del Real Decreto no respeta la competencia atribuida a la comunidad autónoma por el art. 6 EAPV y no garantiza el deber de disponibilidad lingüística en las lenguas cooficiales, de la actividad pública administrativa vasca.</w:t>
      </w:r>
    </w:p>
    <w:p w:rsidR="005728DD" w:rsidRDefault="005728DD" w:rsidP="005728DD">
      <w:pPr>
        <w:pStyle w:val="TextoNormal"/>
      </w:pPr>
    </w:p>
    <w:p w:rsidR="005728DD" w:rsidRDefault="005728DD" w:rsidP="005728DD">
      <w:pPr>
        <w:pStyle w:val="TextoNormal"/>
      </w:pPr>
      <w:r>
        <w:t>Este precepto no se ajusta a lo dispuesto en el art. 15.2 LPACAP y no garantiza que las resoluciones dictadas por los poderes públicos vascos sobre subvenciones y ayudas que sean objeto de publicación en la BDNS estén disponibles en bilingüe en su publicación por el sistema nacional de publicidad de las subvenciones. Ello vulnera la competencia contemplada en el art. 6 EAPV en orden a hacer efectivo el uso de las dos lenguas oficiales en Euskadi y los derechos lingüísticos de los ciudadanos del territorio vasco a consultar en cualquiera de las dos lenguas oficiales esta información emanada de los poderes públicos vascos, que oficialmente es objeto de publicación en una base de datos centralizada por el Estado, así como el deber de disponibilidad lingüística en ambas lenguas oficiales del resultado de la actividad administrativa pública vasca, en los términos dispuestos en el estatuto de autonomía.</w:t>
      </w:r>
    </w:p>
    <w:p w:rsidR="005728DD" w:rsidRDefault="005728DD" w:rsidP="005728DD">
      <w:pPr>
        <w:pStyle w:val="TextoNormal"/>
      </w:pPr>
    </w:p>
    <w:p w:rsidR="005728DD" w:rsidRDefault="005728DD" w:rsidP="005728DD">
      <w:pPr>
        <w:pStyle w:val="TextoNormal"/>
      </w:pPr>
      <w:r>
        <w:t>La doctrina constitucional (STC 88/2017) ha reconocido el derecho de los ciudadanos a usar ambas lenguas en sus relaciones con las instituciones públicas y, junto a este se encuentra el correlativo deber de los poderes públicos de hacer efectivo el derecho de los ciudadanos a acceder al resultado de sus procedimientos en las dos lenguas cooficiales; es lo que se denomina el deber de “disponibilidad lingüística” (STC 31/2010, FJ 22). En este contexto, la STC 147/1996 reconoció que los datos obligatorios en el etiquetado deberían publicarse también en lengua cooficial. Por tanto, los ciudadanos vascos así como los de aquellas comunidades autónomas con lengua cooficial tienen derecho, en cumplimiento del art. 6 EAPV, a acceder en las lenguas oficiales en su territorio a la actividad administrativa generada por sus poderes públicos, al margen de que sea una información emanada de la administración central y con exclusivas funciones de estadística y publicidad.</w:t>
      </w:r>
    </w:p>
    <w:p w:rsidR="005728DD" w:rsidRDefault="005728DD" w:rsidP="005728DD">
      <w:pPr>
        <w:pStyle w:val="TextoNormal"/>
      </w:pPr>
    </w:p>
    <w:p w:rsidR="005728DD" w:rsidRDefault="005728DD" w:rsidP="005728DD">
      <w:pPr>
        <w:pStyle w:val="TextoNormal"/>
      </w:pPr>
      <w:r>
        <w:t>Se solicita pues la declaración de inconstitucionalidad del art. 6.7 del Real Decreto 130/2019, en cuanto la BDNS no garantiza la publicación en lengua cooficial de la actividad administrativa de los poderes públicos vascos.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Por providencia del Pleno de 17 de septiembre de 2019, a propuesta de la Sección Tercera, se acordó admitir a trámite el presente conflicto positivo de competencia;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“Boletín Oficial del País Vasco”.</w:t>
      </w:r>
    </w:p>
    <w:p w:rsidR="005728DD" w:rsidRDefault="005728DD" w:rsidP="005728DD">
      <w:pPr>
        <w:pStyle w:val="TextoNormal"/>
      </w:pPr>
    </w:p>
    <w:p w:rsidR="005728DD" w:rsidRDefault="005728DD" w:rsidP="005728DD">
      <w:pPr>
        <w:pStyle w:val="TextoNormal"/>
      </w:pPr>
      <w:r w:rsidRPr="005728DD">
        <w:rPr>
          <w:rStyle w:val="NumeroAFNegritaCaracter"/>
        </w:rPr>
        <w:t>3</w:t>
      </w:r>
      <w:r>
        <w:t>. Por escrito registrado en este tribunal el día 30 de septiembre de 2019, el abogado del Estado se personó en las actuaciones y solicitó una prórroga hasta el máximo legal, del plazo concedido para formular alegaciones.</w:t>
      </w:r>
    </w:p>
    <w:p w:rsidR="005728DD" w:rsidRDefault="005728DD" w:rsidP="005728DD">
      <w:pPr>
        <w:pStyle w:val="TextoNormal"/>
      </w:pPr>
    </w:p>
    <w:p w:rsidR="005728DD" w:rsidRDefault="005728DD" w:rsidP="005728DD">
      <w:pPr>
        <w:pStyle w:val="TextoNormal"/>
      </w:pPr>
      <w:r>
        <w:t>El Pleno, mediante diligencia de 1 de octubre siguiente, acordó incorporar a las actuaciones el escrito del abogado del Estado, a quien se le tiene por personado y se le prorroga en diez días el plazo concedido por la anterior providencia, a contar desde el siguiente al de expiración del ordinario.</w:t>
      </w:r>
    </w:p>
    <w:p w:rsidR="005728DD" w:rsidRDefault="005728DD" w:rsidP="005728DD">
      <w:pPr>
        <w:pStyle w:val="TextoNormal"/>
      </w:pPr>
    </w:p>
    <w:p w:rsidR="005728DD" w:rsidRDefault="005728DD" w:rsidP="005728DD">
      <w:pPr>
        <w:pStyle w:val="TextoNormal"/>
      </w:pPr>
      <w:r w:rsidRPr="005728DD">
        <w:rPr>
          <w:rStyle w:val="NumeroAFNegritaCaracter"/>
        </w:rPr>
        <w:t>4</w:t>
      </w:r>
      <w:r>
        <w:t>. En fecha 5 de noviembre de 2019 tuvo entrada en este tribunal escrito de alegaciones del abogado del Estado, en el que solicita se tenga por evacuado el trámite y, en su día, se dicte sentencia en la que se desestime íntegramente el conflicto planteado.</w:t>
      </w:r>
    </w:p>
    <w:p w:rsidR="005728DD" w:rsidRDefault="005728DD" w:rsidP="005728DD">
      <w:pPr>
        <w:pStyle w:val="TextoNormal"/>
      </w:pPr>
    </w:p>
    <w:p w:rsidR="005728DD" w:rsidRDefault="005728DD" w:rsidP="005728DD">
      <w:pPr>
        <w:pStyle w:val="TextoNormal"/>
      </w:pPr>
      <w:r>
        <w:t>a) Comienza señalando el representante estatal que, como resulta del certificado del acuerdo adoptado por el Gobierno vasco, entre los preceptos incluidos en el requerimiento de incompetencia formulado, no se encuentra el art. 10.1 del Real Decreto 130/2019, que sin embargo sí es objeto de impugnación en la demanda que formaliza el conflicto positivo de competencia. Siendo así, la falta de voluntad impugnatoria del art. 10.1, debidamente expresada por el órgano colegiado ejecutivo superior de la comunidad autónoma (art. 60 LOTC), implica que este precepto debe quedar fuera del objeto del proceso (STC 68/2018, FJ 2). Y si bien, de conformidad con la doctrina constitucional, cabe extender los pronunciamientos de nulidad e inconstitucionalidad a preceptos no impugnados (art. 39.1 LOTC), ello es prerrogativa del tribunal, sin que pueda ser objeto de pretensión de parte. Por todo ello, el art. 10.1 quedaría al margen del objeto del presente conflicto constitucional.</w:t>
      </w:r>
    </w:p>
    <w:p w:rsidR="005728DD" w:rsidRDefault="005728DD" w:rsidP="005728DD">
      <w:pPr>
        <w:pStyle w:val="TextoNormal"/>
      </w:pPr>
    </w:p>
    <w:p w:rsidR="005728DD" w:rsidRDefault="005728DD" w:rsidP="005728DD">
      <w:pPr>
        <w:pStyle w:val="TextoNormal"/>
      </w:pPr>
      <w:r>
        <w:t>b) Se refiere a continuación al encuadramiento competencial del conflicto planteado recordando que, a tenor de la disposición final segunda, el Real Decreto se aprueba al amparo de lo dispuesto en los arts. 149.1.13, 149.1.14 y 149.1.18 CE. El título competencial prevalente, de conformidad con la doctrina constitucional, es el previsto en el art. 149.1.18 CE, que es el que permite al Estado establecer un régimen jurídico común sobre la relación subvencional. Se cita en apoyo lo señalado en las SSTC 130/2013, FFJJ 6 y 8 y 33/2018, FJ 7.</w:t>
      </w:r>
    </w:p>
    <w:p w:rsidR="005728DD" w:rsidRDefault="005728DD" w:rsidP="005728DD">
      <w:pPr>
        <w:pStyle w:val="TextoNormal"/>
      </w:pPr>
    </w:p>
    <w:p w:rsidR="005728DD" w:rsidRDefault="005728DD" w:rsidP="005728DD">
      <w:pPr>
        <w:pStyle w:val="TextoNormal"/>
      </w:pPr>
      <w:r>
        <w:t xml:space="preserve">c) Con carácter previo al examen de fondo se realizan dos consideraciones de carácter general. En primer lugar, considera el abogado del Estado que, por no referirse a un controversia competencial, debe quedar fuera del ámbito del conflicto el presunto </w:t>
      </w:r>
      <w:r w:rsidRPr="005728DD">
        <w:rPr>
          <w:i/>
        </w:rPr>
        <w:t>ultra vires</w:t>
      </w:r>
      <w:r>
        <w:t xml:space="preserve"> en </w:t>
      </w:r>
      <w:r>
        <w:lastRenderedPageBreak/>
        <w:t>que según la demanda podría incurrir el Real Decreto 130/2019, por exceso en el desarrollo del art. 20 LGSub, pues el control de legalidad de las normas reglamentarias es competencia propia de los órganos judiciales de la jurisdicción ordinaria (STC 9/1995, FJ 2, y art. 5 de la Ley Orgánica del Poder Judicial). En segundo término, y tras hacer referencia a la doctrina constitucional relativa a la naturaleza y objeto del conflicto positivo de competencia (SSTC 143/1985, FJ 6, y 88/1989, FJ 2), considera que carece de contenido constitucional la alegación relativa a la indebida extensión de los sujetos, objeto y funciones de la BDNS, sobre la base de la que se afirma inexistente obligación de atender a las exigencias europeas contenidas en una serie de normas de derecho derivado. Lo alegado en este punto carece de conexión con los preceptos impugnados en el conflicto y con la propia argumentación contenida en la demanda para sustentar la controversia suscitada.</w:t>
      </w:r>
    </w:p>
    <w:p w:rsidR="005728DD" w:rsidRDefault="005728DD" w:rsidP="005728DD">
      <w:pPr>
        <w:pStyle w:val="TextoNormal"/>
      </w:pPr>
    </w:p>
    <w:p w:rsidR="005728DD" w:rsidRDefault="005728DD" w:rsidP="005728DD">
      <w:pPr>
        <w:pStyle w:val="TextoNormal"/>
      </w:pPr>
      <w:r>
        <w:t>d) En relación al art. 5 señala el abogado del Estado que la demanda solo argumenta la impugnación del apartado 1 de este precepto, que prevé el suministro de información a la BDNS a través del sistema que determine la Intervención General de la Administración del Estado. Adicionalmente, el apartado 2 a) del art. 5 puede considerarse conexo con el art. 6.3 del Real Decreto, y en tal sentido, admitirse su impugnación. Sin embargo, respecto del art. 5.2 b); 5.3 y 5.4 la demanda no cumple con su carga de alegar, por lo que ha de estarse a la reiterada doctrina de este tribunal, conforme a la cual, no cabe reconstruir de oficio la demanda ni suplir las razones de los recurrentes, cuando estas no se aportan en su recurso (STC 85/2016, FJ 2). Lo que lleva a la conclusión de que únicamente en el apartado 1 del art. 5 concurre la carga argumental mínima exigible, en relación con la vulneración de las competencias autonómicas.</w:t>
      </w:r>
    </w:p>
    <w:p w:rsidR="005728DD" w:rsidRDefault="005728DD" w:rsidP="005728DD">
      <w:pPr>
        <w:pStyle w:val="TextoNormal"/>
      </w:pPr>
    </w:p>
    <w:p w:rsidR="005728DD" w:rsidRDefault="005728DD" w:rsidP="005728DD">
      <w:pPr>
        <w:pStyle w:val="TextoNormal"/>
      </w:pPr>
      <w:r>
        <w:t>Respecto de dicho apartado, se reclama al tribunal por la vía del conflicto, la inclusión de una cláusula de salvaguarda expresa de la garantía de la foralidad y del régimen del concierto económico, al amparo de la disposición adicional primera de la Constitución; cláusula que sería similar a la contenida en la disposición final tercera de la Ley Orgánica 2/2012, de 27 de abril, de estabilidad presupuestaria y sostenibilidad financiera. Al efecto, recuerda el abogado del Estado que la demanda aporta como documento, una carta dirigida a la Intervención de la administración vasca por la que el interventor general de la administración del Estado llama a una reunión de la comisión mixta, a fin de acordar los términos del suministro de datos por la administración vasca a la BDNS. En estos términos, y ante la inexistencia, puesta de manifiesto por el propio escrito de demanda, de una actuación del Estado que implique un menoscabo competencial, efectivo y real, el conflicto trabado sobre este precepto tiene un carácter meramente preventivo y cautelar, por lo que resulta procedente su desestimación, de conformidad con la doctrina contenida en la STC 120/2012, FJ 8. Subsidiariamente, apela a la jurisprudencia constitucional que ha recordado que la ausencia de una reserva expresa de las competencias del Estado o de las comunidades autónomas no determina la inconstitucionalidad de los preceptos impugnados, toda vez que la incorporación expresa de cláusulas de salvaguarda de las competencias no es exigible en términos constitucionales (STC 228/2016, FJ 4).</w:t>
      </w:r>
    </w:p>
    <w:p w:rsidR="005728DD" w:rsidRDefault="005728DD" w:rsidP="005728DD">
      <w:pPr>
        <w:pStyle w:val="TextoNormal"/>
      </w:pPr>
    </w:p>
    <w:p w:rsidR="005728DD" w:rsidRDefault="005728DD" w:rsidP="005728DD">
      <w:pPr>
        <w:pStyle w:val="TextoNormal"/>
      </w:pPr>
      <w:r>
        <w:t xml:space="preserve">Desde otro punto de vista, el establecimiento de un sistema nacional de publicidad de subvenciones y el subsiguiente deber de las administraciones y entes públicos vascos de comunicar la información que contempla el Real Decreto 130/2019 a la BDNS, no afecta al régimen foral entendido como “garantía institucional”, tal y como argumenta el escrito de </w:t>
      </w:r>
      <w:r>
        <w:lastRenderedPageBreak/>
        <w:t>demanda. A estos efectos, la limitación del régimen foral a lo tributario, y no a toda la actividad financiera pública, ya se proclamó en las SSTC 11/1984, FJ 5, y 203/2016, FJ 4. Considera el representante estatal, que, detrás del conflicto que esgrime el Gobierno vasco, se puede observar la pretensión de expandir interpretativamente el ámbito específico de la relación Estado-Comunidad Autónoma del País Vasco, derivado de los órganos del concierto económico, a un ámbito material que excede, en realidad, del alcance establecido en la regulación actualmente vigente de dicho concierto económico y el garantizado por la disposición adicional primera de la Constitución.</w:t>
      </w:r>
    </w:p>
    <w:p w:rsidR="005728DD" w:rsidRDefault="005728DD" w:rsidP="005728DD">
      <w:pPr>
        <w:pStyle w:val="TextoNormal"/>
      </w:pPr>
    </w:p>
    <w:p w:rsidR="005728DD" w:rsidRDefault="005728DD" w:rsidP="005728DD">
      <w:pPr>
        <w:pStyle w:val="TextoNormal"/>
      </w:pPr>
      <w:r>
        <w:t>Afirma así que en la propia regulación del concierto económico no se encuentra apoyo para establecer un régimen específico y propio para el País Vasco en materia de base de datos nacional de subvenciones, debiéndose rechazar, en consecuencia, la pretensión de la comunidad. El alcance material de los aspectos financieros del concierto no puede considerarse abierto a un marco genérico de relaciones financieras, sino que queda acotado al concreto contenido material regulado en el art. 62 de la propia Ley del concierto que, a su vez, debe mantener la debida conexión con la disposición adicional primera de la Constitución y la doctrina del Tribunal Constitucional.</w:t>
      </w:r>
    </w:p>
    <w:p w:rsidR="005728DD" w:rsidRDefault="005728DD" w:rsidP="005728DD">
      <w:pPr>
        <w:pStyle w:val="TextoNormal"/>
      </w:pPr>
    </w:p>
    <w:p w:rsidR="005728DD" w:rsidRDefault="005728DD" w:rsidP="005728DD">
      <w:pPr>
        <w:pStyle w:val="TextoNormal"/>
      </w:pPr>
      <w:r>
        <w:t>e) Se analiza a continuación la impugnación dirigida contra el art. 3.1, último párrafo, recordando primariamente que los órganos constitucionales del Estado y las asambleas legislativas de las comunidades autónomas están obligados a proporcionar información a la BDNS en virtud del art. 20.4 LGSub. Por su parte, según la Ley 19/2013, de 9 de diciembre, de transparencia, acceso a la información pública y buen gobierno, las asambleas legislativas de las comunidades autónomas están vinculadas a la misma respecto de su actividad sujeta a derecho administrativo. En este sentido, resultan de aplicación a dichas asambleas aquellos aspectos de los arts. 6, 7 y 8, que abordan las obligaciones de publicidad activa, y que puedan insertarse en la noción de “actividad sujeta a Derecho administrativo”. Asimismo, el art. 8.1 c) de la Ley de transparencia prevé que los sujetos incluidos en su ámbito de aplicación, en el que pueden considerarse incluidas las asambleas legislativas de las comunidades autónomas, están obligados a publicar “las subvenciones y ayudas públicas concedidas, con indicación de su importe, objetivo o finalidad y beneficiarios”. Esta obligación legal ha de completarse con lo fijado en la disposición adicional octava de la propia Ley de transparencia, según la cual, las asambleas legislativas de las comunidades autónomas regularán en sus respectivos reglamentos la aplicación concreta de las disposiciones de esta ley.</w:t>
      </w:r>
    </w:p>
    <w:p w:rsidR="005728DD" w:rsidRDefault="005728DD" w:rsidP="005728DD">
      <w:pPr>
        <w:pStyle w:val="TextoNormal"/>
      </w:pPr>
    </w:p>
    <w:p w:rsidR="005728DD" w:rsidRDefault="005728DD" w:rsidP="005728DD">
      <w:pPr>
        <w:pStyle w:val="TextoNormal"/>
      </w:pPr>
      <w:r>
        <w:t>En definitiva, a juicio del abogado del Estado, existiendo una disposición con rango de ley que obliga a las asambleas legislativas a la publicidad activa, suministrando información sobre las subvenciones que convoquen, el precepto impugnado se limita a recoger esta obligación, sin perjudicar la autonomía organizativa y reglamentaria de la Cámara a la hora de cumplir con el suministro de información.</w:t>
      </w:r>
    </w:p>
    <w:p w:rsidR="005728DD" w:rsidRDefault="005728DD" w:rsidP="005728DD">
      <w:pPr>
        <w:pStyle w:val="TextoNormal"/>
      </w:pPr>
    </w:p>
    <w:p w:rsidR="005728DD" w:rsidRDefault="005728DD" w:rsidP="005728DD">
      <w:pPr>
        <w:pStyle w:val="TextoNormal"/>
      </w:pPr>
      <w:r>
        <w:t xml:space="preserve">f) A continuación, y en relación con el art. 6.3, considera el representante estatal que dicho apartado pretende cumplir la STC 33/2018, respecto del papel de la BDNS como intermediaria en el procedimiento de convocatoria de las subvenciones. Este precepto reconoce a las comunidades autónomas la posibilidad de optar por dirigirse directamente a su diario oficial sin que intermedie la BDNS; ahora bien, tal y como se prevé en el art. 20.8 </w:t>
      </w:r>
      <w:r>
        <w:lastRenderedPageBreak/>
        <w:t>LGSub, la información sobre las convocatorias se recoge en la base para garantizar el derecho de los ciudadanos a conocer todas las subvenciones convocadas en cada momento; es decir, el ciudadano debe conocer las convocatorias a tiempo para poder optar a solicitar la subvención, si es que le resulta de interés.</w:t>
      </w:r>
    </w:p>
    <w:p w:rsidR="005728DD" w:rsidRDefault="005728DD" w:rsidP="005728DD">
      <w:pPr>
        <w:pStyle w:val="TextoNormal"/>
      </w:pPr>
    </w:p>
    <w:p w:rsidR="005728DD" w:rsidRDefault="005728DD" w:rsidP="005728DD">
      <w:pPr>
        <w:pStyle w:val="TextoNormal"/>
      </w:pPr>
      <w:r>
        <w:t xml:space="preserve">La exigencia contenida en el art. 6.3, de registrar la información a incluir en la BDNS acompañada del texto de la convocatoria, una vez que esta haya sido aprobada, y con antelación suficiente para que los interesados puedan presentar sus solicitudes dentro del plazo establecido, es una exigencia de mínimos para que la base sirva de instrumento de publicidad </w:t>
      </w:r>
      <w:r w:rsidRPr="005728DD">
        <w:rPr>
          <w:i/>
        </w:rPr>
        <w:t>ex ante</w:t>
      </w:r>
      <w:r>
        <w:t xml:space="preserve"> y, por lo tanto, para que los interesados puedan presentar su solicitudes en plazo. En estos términos, la disposición persigue el objetivo de asegurar el interés público, fortaleciendo la transparencia de la administración y facilitando el conocimiento de la gestión de los fondos públicos, dando así a conocer actuaciones administrativas concretas que interesan a un grupo determinado, los posibles beneficiarios de la subvención. Desde este punto de vista de protección mínima de los intereses de terceros y de asegurar la publicidad general, ninguna tacha cabe imputar al precepto, respecto de su adecuación al art. 149.1.18 CE.</w:t>
      </w:r>
    </w:p>
    <w:p w:rsidR="005728DD" w:rsidRDefault="005728DD" w:rsidP="005728DD">
      <w:pPr>
        <w:pStyle w:val="TextoNormal"/>
      </w:pPr>
    </w:p>
    <w:p w:rsidR="005728DD" w:rsidRDefault="005728DD" w:rsidP="005728DD">
      <w:pPr>
        <w:pStyle w:val="TextoNormal"/>
      </w:pPr>
      <w:r>
        <w:t>Aún más, el precepto cumple expresamente con la doctrina constitucional, al haber señalado la STC 33/2018 que la competencia para establecer las normas de procedimiento administrativo común del art. 149.1.18 CE comprende la de señalar los requisitos de validez y eficacia de los actos administrativos. Comunicada la convocatoria, una vez aprobada y con antelación suficiente para su resolución, como exige el principio de lealtad constitucional, es ya responsabilidad del Estado y de la base de datos, en aplicación del mismo principio, asegurar su publicidad general.</w:t>
      </w:r>
    </w:p>
    <w:p w:rsidR="005728DD" w:rsidRDefault="005728DD" w:rsidP="005728DD">
      <w:pPr>
        <w:pStyle w:val="TextoNormal"/>
      </w:pPr>
    </w:p>
    <w:p w:rsidR="005728DD" w:rsidRDefault="005728DD" w:rsidP="005728DD">
      <w:pPr>
        <w:pStyle w:val="TextoNormal"/>
      </w:pPr>
      <w:r>
        <w:t>g) Finalmente, y en relación al art. 6.7 del Real Decreto, afirma el abogado del Estado que este precepto es concreción en su ámbito material del art. 15.3 de la Ley 39/2015, conforme al cual, la administración pública instructora deberá traducir al castellano los documentos, expedientes o partes de los mismos que deban surtir efectos fuera del territorio de la comunidad autónoma y los documentos dirigidos a los interesados que así lo soliciten expresamente. Si debieran surtir efectos fuera del territorio de una comunidad autónoma donde sea cooficial esa misma lengua distinta del castellano, no será precisa su traducción.</w:t>
      </w:r>
    </w:p>
    <w:p w:rsidR="005728DD" w:rsidRDefault="005728DD" w:rsidP="005728DD">
      <w:pPr>
        <w:pStyle w:val="TextoNormal"/>
      </w:pPr>
    </w:p>
    <w:p w:rsidR="005728DD" w:rsidRDefault="005728DD" w:rsidP="005728DD">
      <w:pPr>
        <w:pStyle w:val="TextoNormal"/>
      </w:pPr>
      <w:r>
        <w:t>Considera que la BDNS muestra un absoluto respeto por las lenguas oficiales en las respectivas comunidades autónomas y prueba de ello es que el portal del sistema nacional de publicidad de subvenciones y ayudas públicas además de poder consultarse en lengua española, puede visualizarse también en catalán, gallego y euskera. Asimismo, la publicidad de las convocatorias que promueven las administraciones del País Vasco garantiza los derechos lingüísticos de los ciudadanos de esa comunidad autónoma, en cuanto pone a su disposición el texto íntegro de la convocatoria tanto en lengua española como en euskera, tal y como resulta del artículo impugnado y como se puede comprobar si se accede a la web indicada.</w:t>
      </w:r>
    </w:p>
    <w:p w:rsidR="005728DD" w:rsidRDefault="005728DD" w:rsidP="005728DD">
      <w:pPr>
        <w:pStyle w:val="TextoNormal"/>
      </w:pPr>
    </w:p>
    <w:p w:rsidR="005728DD" w:rsidRDefault="005728DD" w:rsidP="005728DD">
      <w:pPr>
        <w:pStyle w:val="TextoNormal"/>
      </w:pPr>
      <w:r>
        <w:t xml:space="preserve">De conformidad con el art. 15.3 de la Ley 30/2015, para que la convocatoria aprobada por cualquier administración pública sea publicada en el sistema nacional de publicidad en español y en la lengua cooficial en el territorio autonómico correspondiente, la administración pública convocante debe registrar en la BDNS el texto íntegro de la convocatoria tanto en español como en la lengua cooficial; una vez registrada, el sistema proporciona de forma </w:t>
      </w:r>
      <w:r>
        <w:lastRenderedPageBreak/>
        <w:t>automática la información suministrada. Por tanto, el responsable de garantizar el derecho de opción lingüística de los ciudadanos es la administración convocante.</w:t>
      </w:r>
    </w:p>
    <w:p w:rsidR="005728DD" w:rsidRDefault="005728DD" w:rsidP="005728DD">
      <w:pPr>
        <w:pStyle w:val="TextoNormal"/>
      </w:pPr>
    </w:p>
    <w:p w:rsidR="005728DD" w:rsidRDefault="005728DD" w:rsidP="005728DD">
      <w:pPr>
        <w:pStyle w:val="TextoNormal"/>
      </w:pPr>
      <w:r>
        <w:t>En otros términos, conforme al principio de territorialidad, la información debe registrarse en castellano, y el sistema de la BDNS ofrece la posibilidad de que los textos íntegros de las convocatorias puedan mostrarse en ambas lenguas, pero es la administración convocante la que decide si ejerce o no esa opción y registra la información según su propia decisión. Además, para fortalecer el derecho de acceso a la información plurilingüe, el art. 6.7 ofrece a las administraciones públicas remitentes la posibilidad de registrar también el título de la convocatoria en español y en la lengua cooficial. Si la administración pública remitente opta por cumplimentar el campo de descripción de la convocatoria en una lengua cooficial, el sistema nacional de publicidad publicará esta información en ambas lenguas para facilitar las búsquedas a los ciudadanos en ambas lenguas. Procede, en consecuencia, la desestimación del conflicto también en este punto.</w:t>
      </w:r>
    </w:p>
    <w:p w:rsidR="005728DD" w:rsidRDefault="005728DD" w:rsidP="005728DD">
      <w:pPr>
        <w:pStyle w:val="TextoNormal"/>
      </w:pPr>
    </w:p>
    <w:p w:rsidR="005728DD" w:rsidRDefault="005728DD" w:rsidP="005728DD">
      <w:pPr>
        <w:pStyle w:val="TextoNormal"/>
      </w:pPr>
      <w:r w:rsidRPr="005728DD">
        <w:rPr>
          <w:rStyle w:val="NumeroAFNegritaCaracter"/>
        </w:rPr>
        <w:t>5</w:t>
      </w:r>
      <w:r>
        <w:t>. Por providencia de 16 de febrero de 2021, se señaló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El presente conflicto positivo de competencia se interpone por el Consejo de Gobierno del País Vasco en relación con: el art. 3.1 </w:t>
      </w:r>
      <w:r w:rsidRPr="005728DD">
        <w:rPr>
          <w:i/>
        </w:rPr>
        <w:t>in fine</w:t>
      </w:r>
      <w:r>
        <w:t xml:space="preserve"> en conexión con el art. 10.1; art. 5, y art. 6, apartados 3 y 7 del Real Decreto 130/2019, de 8 de marzo, por el que se regula la base de datos nacional de subvenciones y la publicidad de las subvenciones y demás ayudas públicas.</w:t>
      </w:r>
    </w:p>
    <w:p w:rsidR="005728DD" w:rsidRDefault="005728DD" w:rsidP="005728DD">
      <w:pPr>
        <w:pStyle w:val="TextoNormal"/>
      </w:pPr>
    </w:p>
    <w:p w:rsidR="005728DD" w:rsidRDefault="005728DD" w:rsidP="005728DD">
      <w:pPr>
        <w:pStyle w:val="TextoNormal"/>
      </w:pPr>
      <w:r>
        <w:t>Como de forma más detallada se expone en los antecedentes, la demanda argumenta que: (i) el art. 3.1 en la mención que efectúa a los “órganos legislativos autonómicos”, en conexión con el art. 10.1, supone una vulneración del principio de autonomía parlamentaria consagrado en el art. 71.2 CE, de las funciones propias del órgano legislativo vasco (art. 15 EAPV) y de su autoorganización (art. 10.6 EAPV), así como una infracción del art. 20.4 LGSub y de la disposición adicional octava de la Ley 19/2013; (ii) el art. 5, en cuanto omite una previsión expresa que garantice el carácter paccionado de la forma en que desde el País Vasco ha de remitirse la información financiera a la BDNS, vulnera los derechos históricos de los territorios forales contemplados en la disposición adicional primera de la Constitución, en el desarrollo dado por el apartado 4 del art. 4 de la Ley 12/2002, por la que se aprueba el concierto económico con la comunidad autónoma del País Vasco, así como la disposición final tercera de la Ley Orgánica 2/2012, de 27 de abril, de estabilidad presupuestaria y sostenibilidad financiera, y la disposición final vigésimo segunda de la Ley 38/2003, de 17 de noviembre, general de subvenciones; (iii) el art. 6.3 incide en el mismo vicio de inconstitucionalidad anulado por la STC 33/2018; y iv) el art. 6.7 no respeta la competencia autonómica en materia de cooficialidad lingüística contemplada en el art. 6 EAPV.</w:t>
      </w:r>
    </w:p>
    <w:p w:rsidR="005728DD" w:rsidRDefault="005728DD" w:rsidP="005728DD">
      <w:pPr>
        <w:pStyle w:val="TextoNormal"/>
      </w:pPr>
    </w:p>
    <w:p w:rsidR="005728DD" w:rsidRDefault="005728DD" w:rsidP="005728DD">
      <w:pPr>
        <w:pStyle w:val="TextoNormal"/>
      </w:pPr>
      <w:r>
        <w:t>El abogado del Estado rechaza las vulneraciones denunciadas y solicita la desestimación íntegra del conflicto planteado, en los términos que se recogen en los antecedentes.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Con carácter previo al examen de fondo es preciso efectuar una serie de consideraciones, a fin de delimitar con precisión el objeto y alcance del presente conflicto:</w:t>
      </w:r>
    </w:p>
    <w:p w:rsidR="005728DD" w:rsidRDefault="005728DD" w:rsidP="005728DD">
      <w:pPr>
        <w:pStyle w:val="TextoNormal"/>
      </w:pPr>
    </w:p>
    <w:p w:rsidR="005728DD" w:rsidRDefault="005728DD" w:rsidP="005728DD">
      <w:pPr>
        <w:pStyle w:val="TextoNormal"/>
      </w:pPr>
      <w:r>
        <w:t>a) La demanda se inicia con dos reproches de carácter genérico, que preceden al concreto análisis de las tachas de naturaleza competencial que se alegan para fundamentar el conflicto. Ambos reproches deben ser rechazados por carecer de contenido competencial y por no figurar en el suplico de la demanda, que es donde se expresa la voluntad impugnatoria de los recurrentes.</w:t>
      </w:r>
    </w:p>
    <w:p w:rsidR="005728DD" w:rsidRDefault="005728DD" w:rsidP="005728DD">
      <w:pPr>
        <w:pStyle w:val="TextoNormal"/>
      </w:pPr>
    </w:p>
    <w:p w:rsidR="005728DD" w:rsidRDefault="005728DD" w:rsidP="005728DD">
      <w:pPr>
        <w:pStyle w:val="TextoNormal"/>
      </w:pPr>
      <w:r>
        <w:t xml:space="preserve">Se afirma, en primer término, la concurrencia de un </w:t>
      </w:r>
      <w:r w:rsidRPr="005728DD">
        <w:rPr>
          <w:i/>
        </w:rPr>
        <w:t>ultra vires</w:t>
      </w:r>
      <w:r>
        <w:t xml:space="preserve"> del Real Decreto por exceso de desarrollo reglamentario de las previsiones del art. 20 LGSub; alegación que abarcaría a la totalidad de la norma, que no va acompañada de argumentación específica alguna, y que resulta en todo caso ajena a este proceso constitucional, en la medida en que lo que pretende es propiamente un control genérico de legalidad de la norma, que constituye competencia propia de los órganos de la jurisdicción ordinaria. En segundo término, se formulan determinadas críticas al contenido del preámbulo, que se concretan en lo que se considera una “incorrecta invocación y justificación en el derecho de la Unión” de la norma controvertida. A tal efecto, y como hemos tenido ocasión de señalar reiteradamente, las pretensiones de declaración de inconstitucionalidad y nulidad de párrafos o apartados del preámbulo deben ser rechazadas </w:t>
      </w:r>
      <w:r w:rsidRPr="005728DD">
        <w:rPr>
          <w:i/>
        </w:rPr>
        <w:t>a limine</w:t>
      </w:r>
      <w:r>
        <w:t>, pues los preámbulos o las exposiciones de motivos carecen de valor normativo y no pueden ser objeto propio de un proceso competencial (por todas, STC 131/2020, de 22 de septiembre, FJ 6).</w:t>
      </w:r>
    </w:p>
    <w:p w:rsidR="005728DD" w:rsidRDefault="005728DD" w:rsidP="005728DD">
      <w:pPr>
        <w:pStyle w:val="TextoNormal"/>
      </w:pPr>
    </w:p>
    <w:p w:rsidR="005728DD" w:rsidRDefault="005728DD" w:rsidP="005728DD">
      <w:pPr>
        <w:pStyle w:val="TextoNormal"/>
      </w:pPr>
      <w:r>
        <w:t xml:space="preserve">b) La impugnación dirigida contra el art. 3.1 </w:t>
      </w:r>
      <w:r w:rsidRPr="005728DD">
        <w:rPr>
          <w:i/>
        </w:rPr>
        <w:t>in fine</w:t>
      </w:r>
      <w:r>
        <w:t>, se contrae con carácter exclusivo al inciso referido a “órganos legislativos” autonómicos, habida cuenta de que el argumento que la sustenta es únicamente la inclusión de las asambleas o parlamentos autonómicos entre las entidades obligadas a suministrar información a la BDNS.</w:t>
      </w:r>
    </w:p>
    <w:p w:rsidR="005728DD" w:rsidRDefault="005728DD" w:rsidP="005728DD">
      <w:pPr>
        <w:pStyle w:val="TextoNormal"/>
      </w:pPr>
    </w:p>
    <w:p w:rsidR="005728DD" w:rsidRDefault="005728DD" w:rsidP="005728DD">
      <w:pPr>
        <w:pStyle w:val="TextoNormal"/>
      </w:pPr>
      <w:r>
        <w:t>c) Debe quedar excluida del presente conflicto la impugnación dirigida contra el art. 10.1 del Real Decreto, que se efectúa por conexión a lo dispuesto en el art. 3.1. Este art. 10.1 no fue incluido en el texto del requerimiento de incompetencia dirigido al Gobierno de la Nación por acuerdo del Gobierno Vasco de 28 de mayo de 2019.</w:t>
      </w:r>
    </w:p>
    <w:p w:rsidR="005728DD" w:rsidRDefault="005728DD" w:rsidP="005728DD">
      <w:pPr>
        <w:pStyle w:val="TextoNormal"/>
      </w:pPr>
    </w:p>
    <w:p w:rsidR="005728DD" w:rsidRDefault="005728DD" w:rsidP="005728DD">
      <w:pPr>
        <w:pStyle w:val="TextoNormal"/>
      </w:pPr>
      <w:r>
        <w:t>De conformidad con una jurisprudencia constante de este tribunal, el art. 63.3 LOTC exige que el requerimiento de incompetencia especifique con claridad los preceptos de la disposición o los puntos concretos de la resolución o acto viciados de incompetencia, así como las disposiciones legales o constitucionales de las que el vicio resulte. La finalidad de esta exigencia es que el gobierno al que se imputa la extralimitación competencial pueda conocer la invasión denunciada y, en su caso, corregirla. Por eso, el art. 63.3 LOTC obliga a entender que el conflicto competencial no se ha planteado respecto de los preceptos no mencionados en el requerimiento previo [por todas, STC 45/2015, de 5 de marzo, FJ 2 a), a la que se remite la STC 100/2019, FJ 2]. En consecuencia, se inadmite el conflicto en relación con el art. 10.1.</w:t>
      </w:r>
    </w:p>
    <w:p w:rsidR="005728DD" w:rsidRDefault="005728DD" w:rsidP="005728DD">
      <w:pPr>
        <w:pStyle w:val="TextoNormal"/>
      </w:pPr>
    </w:p>
    <w:p w:rsidR="005728DD" w:rsidRDefault="005728DD" w:rsidP="005728DD">
      <w:pPr>
        <w:pStyle w:val="TextoNormal"/>
      </w:pPr>
      <w:r>
        <w:t xml:space="preserve">d) Respecto del art. 5, el suplico de la demanda dirige el conflicto contra la totalidad del precepto, pero el texto de la misma únicamente argumenta su reivindicación competencial respecto de su apartado 1, esto es, sobre el procedimiento previsto para el suministro de información a la BDNS a través del sistema que determine la Intervención General de la </w:t>
      </w:r>
      <w:r>
        <w:lastRenderedPageBreak/>
        <w:t>Administración General del Estado, sin que se haga mención al contenido de los restantes apartados. Se incumple así la carga argumental que resulta exigible a quien postula la declaración de inconstitucionalidad de un precepto, lo que determina que no proceda pronunciarse sobre los restantes apartados (por todas, STC 63/2018, de 7 de junio, FJ 4). Debe tenerse en cuenta, además, que si bien dicho precepto no aparece tampoco expresamente mencionado en el texto del requerimiento de incompetencia dirigido al Gobierno de la Nación, cabe no obstante entender que es en el mismo en el que puede subsumirse la pretensión formulada en el requerimiento de incompetencia que, literalmente, solicita la “incorporación de una mención expresa a que los términos del suministro de información sobre ayudas desde Euskadi al Estado se concretarán en el marco de una comisión mixta del concierto o en la correspondiente comisión bilateral”.</w:t>
      </w:r>
    </w:p>
    <w:p w:rsidR="005728DD" w:rsidRDefault="005728DD" w:rsidP="005728DD">
      <w:pPr>
        <w:pStyle w:val="TextoNormal"/>
      </w:pPr>
    </w:p>
    <w:p w:rsidR="005728DD" w:rsidRDefault="005728DD" w:rsidP="005728DD">
      <w:pPr>
        <w:pStyle w:val="TextoNormal"/>
      </w:pPr>
      <w:r>
        <w:t>e) Finalmente, en relación con el art. 6.3, y en términos análogos a los que acaban de señalarse en el apartado c), la voluntad impugnatoria, concretada en el requerimiento de incompetencia formulado por el Gobierno Vasco y reiterada en el texto de la demanda, se limita al inciso final del precepto “y con antelación suficiente para que los interesados puedan presentar sus solicitudes dentro del plazo establecido”; y es por tanto a este al que deberá contraerse nuestro pronunciamiento.</w:t>
      </w:r>
    </w:p>
    <w:p w:rsidR="005728DD" w:rsidRDefault="005728DD" w:rsidP="005728DD">
      <w:pPr>
        <w:pStyle w:val="TextoNormal"/>
      </w:pPr>
    </w:p>
    <w:p w:rsidR="005728DD" w:rsidRDefault="005728DD" w:rsidP="005728DD">
      <w:pPr>
        <w:pStyle w:val="TextoNormal"/>
      </w:pPr>
      <w:r>
        <w:t xml:space="preserve">En consecuencia el presente conflicto ha de entenderse planteado en relación a lo dispuesto en el art. 3.1 </w:t>
      </w:r>
      <w:r w:rsidRPr="005728DD">
        <w:rPr>
          <w:i/>
        </w:rPr>
        <w:t>in fine</w:t>
      </w:r>
      <w:r>
        <w:t>, en la mención que realiza a los órganos legislativos autonómicos; art. 5.1; art. 6.3, inciso final, y art. 6.7 del Real Decreto 130/2019. Los preceptos impugnados disponen literalmente lo siguiente:</w:t>
      </w:r>
    </w:p>
    <w:p w:rsidR="005728DD" w:rsidRDefault="005728DD" w:rsidP="005728DD">
      <w:pPr>
        <w:pStyle w:val="TextoNormal"/>
      </w:pPr>
    </w:p>
    <w:p w:rsidR="005728DD" w:rsidRDefault="005728DD" w:rsidP="005728DD">
      <w:pPr>
        <w:pStyle w:val="TextoNormal"/>
      </w:pPr>
      <w:r>
        <w:t>“Artículo 3. Ámbito subjetivo de la BDNS.</w:t>
      </w:r>
    </w:p>
    <w:p w:rsidR="005728DD" w:rsidRDefault="005728DD" w:rsidP="005728DD">
      <w:pPr>
        <w:pStyle w:val="TextoNormal"/>
      </w:pPr>
    </w:p>
    <w:p w:rsidR="005728DD" w:rsidRDefault="005728DD" w:rsidP="005728DD">
      <w:pPr>
        <w:pStyle w:val="TextoNormal"/>
      </w:pPr>
      <w:r>
        <w:t>1. […]</w:t>
      </w:r>
    </w:p>
    <w:p w:rsidR="005728DD" w:rsidRDefault="005728DD" w:rsidP="005728DD">
      <w:pPr>
        <w:pStyle w:val="TextoNormal"/>
      </w:pPr>
    </w:p>
    <w:p w:rsidR="005728DD" w:rsidRDefault="005728DD" w:rsidP="005728DD">
      <w:pPr>
        <w:pStyle w:val="TextoNormal"/>
      </w:pPr>
      <w:r>
        <w:t>La BDNS recogerá igualmente la información que suministren, según lo previsto en este real decreto, los órganos constitucionales del Estado, los órganos legislativos y de control autonómicos y demás órganos y entidades de derecho público”.</w:t>
      </w:r>
    </w:p>
    <w:p w:rsidR="005728DD" w:rsidRDefault="005728DD" w:rsidP="005728DD">
      <w:pPr>
        <w:pStyle w:val="TextoNormal"/>
      </w:pPr>
    </w:p>
    <w:p w:rsidR="005728DD" w:rsidRDefault="005728DD" w:rsidP="005728DD">
      <w:pPr>
        <w:pStyle w:val="TextoNormal"/>
      </w:pPr>
      <w:r>
        <w:t>“Artículo 5. Procedimiento para el suministro de información.</w:t>
      </w:r>
    </w:p>
    <w:p w:rsidR="005728DD" w:rsidRDefault="005728DD" w:rsidP="005728DD">
      <w:pPr>
        <w:pStyle w:val="TextoNormal"/>
      </w:pPr>
    </w:p>
    <w:p w:rsidR="005728DD" w:rsidRDefault="005728DD" w:rsidP="005728DD">
      <w:pPr>
        <w:pStyle w:val="TextoNormal"/>
      </w:pPr>
      <w:r>
        <w:t>1. El suministro de información se realizará a través del sistema de información que determine la Intervención General de la Administración del Estado, utilizando un certificado electrónico reconocido de acuerdo con lo previsto en la normativa europea y española en materia de identificación electrónica y servicios de confianza para las transacciones electrónicas, y de acuerdo con las especificaciones y formato que se establezcan en cumplimiento de lo previsto en este real decreto, en colaboración, en todo caso, con las Administraciones Públicas y entidades afectadas”.</w:t>
      </w:r>
    </w:p>
    <w:p w:rsidR="005728DD" w:rsidRDefault="005728DD" w:rsidP="005728DD">
      <w:pPr>
        <w:pStyle w:val="TextoNormal"/>
      </w:pPr>
    </w:p>
    <w:p w:rsidR="005728DD" w:rsidRDefault="005728DD" w:rsidP="005728DD">
      <w:pPr>
        <w:pStyle w:val="TextoNormal"/>
      </w:pPr>
      <w:r>
        <w:t>“Artículo 6. Tramitación de la convocatoria. […]</w:t>
      </w:r>
    </w:p>
    <w:p w:rsidR="005728DD" w:rsidRDefault="005728DD" w:rsidP="005728DD">
      <w:pPr>
        <w:pStyle w:val="TextoNormal"/>
      </w:pPr>
    </w:p>
    <w:p w:rsidR="005728DD" w:rsidRDefault="005728DD" w:rsidP="005728DD">
      <w:pPr>
        <w:pStyle w:val="TextoNormal"/>
      </w:pPr>
      <w:r>
        <w:t xml:space="preserve">3. En aquellos casos en que las comunidades autónomas opten por prescindir de la intermediación de la BDNS para la publicación en su diario oficial, únicamente se deberá registrar la información a incluir en la BDNS acompañada del texto de la convocatoria, una vez </w:t>
      </w:r>
      <w:r>
        <w:lastRenderedPageBreak/>
        <w:t>que esta haya sido aprobada y con antelación suficiente para que los interesados puedan presentar sus solicitudes dentro del plazo establecido. […]</w:t>
      </w:r>
    </w:p>
    <w:p w:rsidR="005728DD" w:rsidRDefault="005728DD" w:rsidP="005728DD">
      <w:pPr>
        <w:pStyle w:val="TextoNormal"/>
      </w:pPr>
    </w:p>
    <w:p w:rsidR="005728DD" w:rsidRDefault="005728DD" w:rsidP="005728DD">
      <w:pPr>
        <w:pStyle w:val="TextoNormal"/>
      </w:pPr>
      <w:r>
        <w:t>7. A efectos de permitir su tratamiento homogéneo y su consulta por todos los ciudadanos, la información a incluir en la BDNS se cumplimentará en castellano, si bien el título y el texto de la convocatoria y de sus extractos se podrán remitir, además de en castellano, también en otra lengua cooficial”.</w:t>
      </w:r>
    </w:p>
    <w:p w:rsidR="005728DD" w:rsidRDefault="005728DD" w:rsidP="005728DD">
      <w:pPr>
        <w:pStyle w:val="TextoNormal"/>
      </w:pPr>
    </w:p>
    <w:p w:rsidR="005728DD" w:rsidRDefault="005728DD" w:rsidP="005728DD">
      <w:pPr>
        <w:pStyle w:val="TextoNormal"/>
      </w:pPr>
      <w:r w:rsidRPr="005728DD">
        <w:rPr>
          <w:rStyle w:val="NumeroAFNegritaCaracter"/>
        </w:rPr>
        <w:t>3</w:t>
      </w:r>
      <w:r>
        <w:t>. Con el fin de situar en su contexto la norma aquí controvertida, conviene recordar que el Real Decreto 130/2019 viene a regular la base de datos nacional de subvenciones y la publicidad de las subvenciones y demás ayudas públicas, en desarrollo de las previsiones contenidas en el art. 20 de la Ley 38/2003, de 17 de noviembre, general de subvenciones, en la Ley 19/2013, de 9 de diciembre, de transparencia, acceso a la información pública y buen gobierno, y en la normativa europea en materia de ayudas de Estado y ayudas de mínimis. El reglamento de la Ley general de subvenciones fue inicialmente aprobado por Real Decreto 887/2006, de 21 de julio, regulación que ha sido parcialmente sustituida por la disposición que ahora se examina.</w:t>
      </w:r>
    </w:p>
    <w:p w:rsidR="005728DD" w:rsidRDefault="005728DD" w:rsidP="005728DD">
      <w:pPr>
        <w:pStyle w:val="TextoNormal"/>
      </w:pPr>
    </w:p>
    <w:p w:rsidR="005728DD" w:rsidRDefault="005728DD" w:rsidP="005728DD">
      <w:pPr>
        <w:pStyle w:val="TextoNormal"/>
      </w:pPr>
      <w:r>
        <w:t>En el preámbulo de la norma se afirma que el modelo de publicidad de las subvenciones y ayudas públicas se ha instrumentado a través de la BDNS para dar respuesta a una doble finalidad: mostrar a través de un único punto de información la totalidad de las subvenciones y ayudas públicas concedidas por todas las administraciones públicas y reforzar la integridad del contenido de la base de datos. Los objetivos que se pretenden lograr con el rediseño de la BDNS se citan también en el preámbulo del Real Decreto: 1) Poner en común en un único punto todas las convocatorias de subvenciones y ayudas públicas cuyo plazo de solicitud esté abierto para cada momento determinado, permitiendo su consulta a todos los posibles interesados; 2) Extender su ámbito objetivo a todo tipo de ayudas, avanzando más allá del contenido anterior centrado fundamentalmente en las subvenciones; 3) Extender el ámbito subjetivo de la base a todas las administraciones públicas y a sus entidades vinculadas o dependientes, sea cual sea su naturaleza, pública o privada, siempre que concedan subvenciones o ayudas públicas. Además, a partir de la generalización de los principios recogidos en las leyes 39/2015, de 1 de octubre, de procedimiento administrativo común de las administraciones públicas, y 40/2015, de 1 de octubre, de régimen jurídico del sector público, se extiende el deber de publicidad de la BDNS a todas las subvenciones y ayudas que concedan los órganos constitucionales del Estado, los órganos legislativos y de control autonómicos y demás instituciones de derecho público; 4) Dar respuesta a los requerimientos de información establecidos por la Unión Europea en materia de ayudas de estado; y 5) Servir como instrumento para la planificación de las políticas públicas, para la mejora de la gestión y para la lucha contra el fraude.</w:t>
      </w:r>
    </w:p>
    <w:p w:rsidR="005728DD" w:rsidRDefault="005728DD" w:rsidP="005728DD">
      <w:pPr>
        <w:pStyle w:val="TextoNormal"/>
      </w:pPr>
    </w:p>
    <w:p w:rsidR="005728DD" w:rsidRDefault="005728DD" w:rsidP="005728DD">
      <w:pPr>
        <w:pStyle w:val="TextoNormal"/>
      </w:pPr>
      <w:r>
        <w:t>El Real Decreto, en su disposición final segunda, señala que el mismo se dicta al amparo de lo dispuesto en el art. 149.1.13, 14 y 18 CE, salvo el apartado 2 del art. 6; el apartado 5 del art. 10 y el art.11.</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El examen de fondo del presente conflicto exige comenzar con una referencia general al encuadramiento competencial de la materia regulada, a partir de la mención que efectúa la ya citada disposición final segunda del propio Real Decreto, donde se afirma que la norma se dicta al amparo de lo dispuesto en el art. 149.1. 13, 14 y 18 CE. Si bien en el texto de la </w:t>
      </w:r>
      <w:r>
        <w:lastRenderedPageBreak/>
        <w:t>demanda no entra a examinar esa delimitación competencial, sí lo hace el abogado del Estado, cuyas afirmaciones en este punto pueden suscribirse, cuando señala que, de conformidad con la doctrina constitucional, el título competencial prevalente que ampara la regulación que realiza el Real Decreto controvertido, es el atribuido al Estado en el art. 149.1.18 CE.</w:t>
      </w:r>
    </w:p>
    <w:p w:rsidR="005728DD" w:rsidRDefault="005728DD" w:rsidP="005728DD">
      <w:pPr>
        <w:pStyle w:val="TextoNormal"/>
      </w:pPr>
    </w:p>
    <w:p w:rsidR="005728DD" w:rsidRDefault="005728DD" w:rsidP="005728DD">
      <w:pPr>
        <w:pStyle w:val="TextoNormal"/>
      </w:pPr>
      <w:r>
        <w:t>Así se afirma en la STC 33/2018, de 12 de abril, que tuvo ocasión de pronunciarse sobre las modificaciones introducidas en la Ley general de subvenciones por la Ley 15/2014, de 16 de septiembre, de racionalización del sector público y otras medidas de reforma administrativa, y, en concreto, sobre la regulación que el art. 20 de dicha ley efectúa de la BDNS, y que el Real Decreto hoy controvertido viene a desarrollar. Afirma la sentencia que “el genérico deber de comunicar a un órgano del Estado ciertos datos relativos a las subvenciones gestionadas por la comunidad autónoma […] encuentra perfecto acomodo en el deber general de coordinación entre administraciones y en el servicio al ciudadano impuestos por el art. 103.1 CE y, desde la perspectiva estrictamente competencial, en el título del art. 149.1.18 CE, de acuerdo con lo razonado en las SSTC 99/2012, FJ 8, y 103/2013, FJ 6” (FJ 9).</w:t>
      </w:r>
    </w:p>
    <w:p w:rsidR="005728DD" w:rsidRDefault="005728DD" w:rsidP="005728DD">
      <w:pPr>
        <w:pStyle w:val="TextoNormal"/>
      </w:pPr>
    </w:p>
    <w:p w:rsidR="005728DD" w:rsidRDefault="005728DD" w:rsidP="005728DD">
      <w:pPr>
        <w:pStyle w:val="TextoNormal"/>
      </w:pPr>
      <w:r>
        <w:t>Reitera más adelante el mismo fundamento jurídico 9, que “el establecimiento de la obligación de las comunidades autónomas y resto de administraciones u organismos sujetos a la Ley general de subvenciones de comunicar al Estado las convocatorias de subvenciones y demás datos mencionados en el art. 20, apartados segundo y octavo, de la Ley general de subvenciones […] encaja con naturalidad y sin esfuerzo en la doctrina general comentada. Se trata solamente, como dice el art. 20.8 de la Ley general de subvenciones, de instituir un ‘sistema nacional de publicidad de las subvenciones’ […] para garantizar el derecho de los ciudadanos a conocer todas las subvenciones convocadas en cada momento y para contribuir a los principios de publicidad y transparencia´, algo para lo que el Estado tiene competencia al amparo del art. 149.1.18 CE”.</w:t>
      </w:r>
    </w:p>
    <w:p w:rsidR="005728DD" w:rsidRDefault="005728DD" w:rsidP="005728DD">
      <w:pPr>
        <w:pStyle w:val="TextoNormal"/>
      </w:pPr>
    </w:p>
    <w:p w:rsidR="005728DD" w:rsidRDefault="005728DD" w:rsidP="005728DD">
      <w:pPr>
        <w:pStyle w:val="TextoNormal"/>
      </w:pPr>
      <w:r>
        <w:t>El Real Decreto que se examina, en la medida en que constituye una norma de desarrollo de lo dispuesto en el citado art. 20 LGSub, participa de idéntica cobertura competencial, por lo que la competencia para dictarlo ha de encuadrarse en los títulos competenciales que ostentan, respectivamente, el Estado (art. 149.1.18 CE) y la Comunidad Autónoma del País Vasco (arts. 10, apartados 2, 4 y 6, y 15 EAPV), sobre cuyo alcance hemos de remitirnos, con carácter general, a lo señalado en las SSTC 132/2018, de 13 de diciembre, FJ 4, y 55/2018, de 24 de mayo, FJ 4.</w:t>
      </w:r>
    </w:p>
    <w:p w:rsidR="005728DD" w:rsidRDefault="005728DD" w:rsidP="005728DD">
      <w:pPr>
        <w:pStyle w:val="TextoNormal"/>
      </w:pPr>
    </w:p>
    <w:p w:rsidR="005728DD" w:rsidRDefault="005728DD" w:rsidP="005728DD">
      <w:pPr>
        <w:pStyle w:val="TextoNormal"/>
      </w:pPr>
      <w:r>
        <w:t>Delimitados así los términos generales de la controversia competencial, procede entrar en el examen de los concretos preceptos sobre los que se ha trabado el conflicto, siguiendo para ello el orden lógico de la propia norma controvertida.</w:t>
      </w:r>
    </w:p>
    <w:p w:rsidR="005728DD" w:rsidRDefault="005728DD" w:rsidP="005728DD">
      <w:pPr>
        <w:pStyle w:val="TextoNormal"/>
      </w:pPr>
    </w:p>
    <w:p w:rsidR="005728DD" w:rsidRDefault="005728DD" w:rsidP="005728DD">
      <w:pPr>
        <w:pStyle w:val="TextoNormal"/>
      </w:pPr>
      <w:r w:rsidRPr="005728DD">
        <w:rPr>
          <w:rStyle w:val="NumeroAFNegritaCaracter"/>
        </w:rPr>
        <w:t>5</w:t>
      </w:r>
      <w:r>
        <w:t>. El conflicto se dirige en primer lugar contra el art. 3.1, en la medida en que dispone que la BDNS “recogerá la información que suministren, según lo previsto en este real decreto […] los órganos legislativos […] autonómicos”. Se cuestiona por los recurrentes la inclusión del Parlamento vasco entre los órganos o entidades obligados a suministrar información a la base de datos estatal.</w:t>
      </w:r>
    </w:p>
    <w:p w:rsidR="005728DD" w:rsidRDefault="005728DD" w:rsidP="005728DD">
      <w:pPr>
        <w:pStyle w:val="TextoNormal"/>
      </w:pPr>
    </w:p>
    <w:p w:rsidR="005728DD" w:rsidRDefault="005728DD" w:rsidP="005728DD">
      <w:pPr>
        <w:pStyle w:val="TextoNormal"/>
      </w:pPr>
      <w:r>
        <w:lastRenderedPageBreak/>
        <w:t>La representación autonómica afirma que dicha previsión vulnera el principio de autonomía parlamentaria (art. 71.2 CE), la competencia del País Vasco para, mediante ley, crear y organizar su propio parlamento (art. 15 EAPV) y las competencias autonómicas en materia de autoorganización (art. 10.6 EAPV); e infringe lo dispuesto en el art. 20.4 LGSub y en la disposición adicional octava de la Ley 19/2013, de 9 de diciembre, de transparencia, acceso a la información pública y buen gobierno, ambas de naturaleza básica. El abogado del Estado considera, por el contrario, que las asambleas legislativas autonómicas están obligadas a suministrar información en virtud de lo previsto en el art. 20.4 LGSub y en la Ley 19/2013, por lo que el precepto impugnado se limita a recoger esta obligación, sin perjudicar la autonomía organizativa y reglamentaria de la Cámara a la hora de cumplir con el suministro de información.</w:t>
      </w:r>
    </w:p>
    <w:p w:rsidR="005728DD" w:rsidRDefault="005728DD" w:rsidP="005728DD">
      <w:pPr>
        <w:pStyle w:val="TextoNormal"/>
      </w:pPr>
    </w:p>
    <w:p w:rsidR="005728DD" w:rsidRDefault="005728DD" w:rsidP="005728DD">
      <w:pPr>
        <w:pStyle w:val="TextoNormal"/>
      </w:pPr>
      <w:r>
        <w:t xml:space="preserve">Sobre una cuestión análoga a la presente, planteada también por el Gobierno vasco, hemos tenido ocasión de pronunciarnos en la STC 100/2019, FJ 8 b), donde afirmamos, en referencia a las asambleas legislativas autonómicas, que “[e]l Estado cuenta con competencia </w:t>
      </w:r>
      <w:r w:rsidRPr="005728DD">
        <w:rPr>
          <w:i/>
        </w:rPr>
        <w:t>ex</w:t>
      </w:r>
      <w:r>
        <w:t xml:space="preserve"> art. 149.1.18 CE para establecer una regulación básica relativa a sujetos que no son administración pública en sentido clásico o formal, como las cámaras de comercio (STC 20/1988, de 18 de febrero, FJ 3), los colegios profesionales (por todas, STC 3/2013, de 17 de enero, FJ 5), las personificaciones instrumentales de Derecho privado vinculadas a un administración territorial [SSTC 54/2017, FJ 6, y 132/2018, FJ 10.a)] o los particulares que manejan fondos públicos (STC 130/2013, de 4 de junio, FFJJ 4 y 5). No obstante, en el caso de la actividad materialmente administrativa de los citados órganos constitucionales, legislativos o de control, el Estado está obligado a respetar su autonomía constitucional o estatutariamente reconocida”.</w:t>
      </w:r>
    </w:p>
    <w:p w:rsidR="005728DD" w:rsidRDefault="005728DD" w:rsidP="005728DD">
      <w:pPr>
        <w:pStyle w:val="TextoNormal"/>
      </w:pPr>
    </w:p>
    <w:p w:rsidR="005728DD" w:rsidRDefault="005728DD" w:rsidP="005728DD">
      <w:pPr>
        <w:pStyle w:val="TextoNormal"/>
      </w:pPr>
      <w:r>
        <w:t>A partir de ese reconocimiento general de la competencia estatal para establecer la regulación básica en la materia, es preciso examinar, siguiendo lo señalado en la citada sentencia, dos cuestiones diferenciadas: por un lado, si a través de una norma reglamentaria como el real decreto, puede efectuarse una regulación como la enjuiciada; es decir, someter a las asambleas legislativas autonómicas al deber de comunicación al registro estatal de las subvenciones y ayudas públicas que otorguen; y, en segundo lugar, si respeta la autonomía estatutariamente garantizada la previsión de que dicha comunicación ha de seguir el cauce “previsto en este real decreto”, tal y como contempla el precepto enjuiciado.</w:t>
      </w:r>
    </w:p>
    <w:p w:rsidR="005728DD" w:rsidRDefault="005728DD" w:rsidP="005728DD">
      <w:pPr>
        <w:pStyle w:val="TextoNormal"/>
      </w:pPr>
    </w:p>
    <w:p w:rsidR="005728DD" w:rsidRDefault="005728DD" w:rsidP="005728DD">
      <w:pPr>
        <w:pStyle w:val="TextoNormal"/>
      </w:pPr>
      <w:r>
        <w:t>De acuerdo con la citada STC 100/2019, FJ 8 b), “ninguna de las excepciones que ha llegado a justificar la doctrina constitucional (sistematizadas en las SSTC 45/2015, FJ 4, y 14/2018, de 20 de febrero, FJ 8) alcanza a que el Estado pueda regular mediante real decreto la actividad administrativa de los parlamentos territoriales, por más que el contenido material de la disciplina establecida pueda respetar la autonomía que tienen estatutariamente reconocida. De modo que la exigencia general de rango legal derivada de la función delimitadora propia de las bases, en conexión con el reconocimiento de la autonomía parlamentaria (arts. 15, 25 y 27 EAPV), prohíbe que los reglamentos estatales impongan a las cámaras autonómicas regulaciones como la enjuiciada”.</w:t>
      </w:r>
    </w:p>
    <w:p w:rsidR="005728DD" w:rsidRDefault="005728DD" w:rsidP="005728DD">
      <w:pPr>
        <w:pStyle w:val="TextoNormal"/>
      </w:pPr>
    </w:p>
    <w:p w:rsidR="005728DD" w:rsidRDefault="005728DD" w:rsidP="005728DD">
      <w:pPr>
        <w:pStyle w:val="TextoNormal"/>
      </w:pPr>
      <w:r>
        <w:t xml:space="preserve">En consecuencia, procede declarar la inconstitucionalidad y nulidad del inciso “legislativos y”, del art. 3.1 </w:t>
      </w:r>
      <w:r w:rsidRPr="005728DD">
        <w:rPr>
          <w:i/>
        </w:rPr>
        <w:t>in fine</w:t>
      </w:r>
      <w:r>
        <w:t xml:space="preserve"> del Real Decreto 130/2019, de 8 de marzo.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En relación con el art. 5.1 alega la representación autonómica que la imposición por real decreto de un estricto régimen de comunicación financiera desde la Comunidad Autónoma del País Vasco al Estado, infringe la naturaleza pactada de la forma en que ha de suministrarse la información financiera desde el País Vasco al Estado, vulnerando lo previsto en la disposición adicional primera de la Constitución, en el desarrollo dado por el art. 4 de la Ley 12/2002, por la que se aprueba el concierto económico con la Comunidad Autónoma del País Vasco; así como señalado en las normas básicas contempladas en el apartado segundo de la disposición final tercera de la Ley Orgánica 2/2012, de estabilidad presupuestaria y sostenibilidad financiera en relación a su art. 9; y en la disposición adicional vigésima segunda de la LGSub.</w:t>
      </w:r>
    </w:p>
    <w:p w:rsidR="005728DD" w:rsidRDefault="005728DD" w:rsidP="005728DD">
      <w:pPr>
        <w:pStyle w:val="TextoNormal"/>
      </w:pPr>
    </w:p>
    <w:p w:rsidR="005728DD" w:rsidRDefault="005728DD" w:rsidP="005728DD">
      <w:pPr>
        <w:pStyle w:val="TextoNormal"/>
      </w:pPr>
      <w:r>
        <w:t>El abogado del Estado considera que no deriva del precepto un menoscabo competencial efectivo y real, por lo que el conflicto tienen un carácter meramente preventivo y cautelar; recuerda que la doctrina constitucional ha rechazado la necesidad de inclusión de cláusulas expresas de salvaguarda de las competencias estatales y autonómicas, y considera que el precepto no afecta al régimen foral, que únicamente prevé ese carácter paccionado en el ámbito tributario, sin que resulte extensivo a toda la actividad financiera pública.</w:t>
      </w:r>
    </w:p>
    <w:p w:rsidR="005728DD" w:rsidRDefault="005728DD" w:rsidP="005728DD">
      <w:pPr>
        <w:pStyle w:val="TextoNormal"/>
      </w:pPr>
    </w:p>
    <w:p w:rsidR="005728DD" w:rsidRDefault="005728DD" w:rsidP="005728DD">
      <w:pPr>
        <w:pStyle w:val="TextoNormal"/>
      </w:pPr>
      <w:r>
        <w:t>Resulta necesario, en primer término fijar con precisión la reivindicación competencial aquí planteada, pues si bien en el suplico de la demanda se solicita la declaración de inconstitucionalidad del art. 5 del Real Decreto, en el texto de la misma se argumenta exclusivamente en relación con lo señalado en el apartado 1 del precepto, a lo que cabe añadir que la reivindicación competencial se concreta en la demanda en los siguientes términos: “la garantía legal de la salvaguarda de la disposición adicional primera de la Constitución y, por ende, del concierto económico, debe reflejarse mediante la inserción de una cláusula similar a la de la disposición final tercera de la Ley Orgánica 2/2012, de 27 de abril, de estabilidad presupuestaria y sostenibilidad financiera”; y en otro pasaje se alude a que “es precisamente la ausencia en el reglamento de una previsión expresa para garantizar el carácter paccionado de la forma en que desde el País Vasco se remitirá la información financiera”, lo que se invoca “como vulneración a los derechos históricos de los territorios forales consagrado en la disposición adicional primera de la Constitución”.</w:t>
      </w:r>
    </w:p>
    <w:p w:rsidR="005728DD" w:rsidRDefault="005728DD" w:rsidP="005728DD">
      <w:pPr>
        <w:pStyle w:val="TextoNormal"/>
      </w:pPr>
    </w:p>
    <w:p w:rsidR="005728DD" w:rsidRDefault="005728DD" w:rsidP="005728DD">
      <w:pPr>
        <w:pStyle w:val="TextoNormal"/>
      </w:pPr>
      <w:r>
        <w:t>La dicción literal de estos pasajes revela con claridad que la pretensión que se sustancia no es otra que la de inclusión en el texto del precepto de una cláusula expresa de reconocimiento de las peculiaridades competenciales derivadas del régimen foral vasco, excepcionando la aplicación del precepto en el territorio de la Comunidad Autónoma; esto es, que “declare la inconstitucionalidad de la aplicación del art. 5 del Real Decreto en el País Vasco, toda vez que el suministro de la información relativa a las subvenciones y ayudas deberá enmarcarse en un régimen concertado entre ambas instituciones”. Esta pretensión coincide, como ya se ha señalado, con la formulada en el requerimiento de incompetencia formulado por el Gobierno vasco.</w:t>
      </w:r>
    </w:p>
    <w:p w:rsidR="005728DD" w:rsidRDefault="005728DD" w:rsidP="005728DD">
      <w:pPr>
        <w:pStyle w:val="TextoNormal"/>
      </w:pPr>
    </w:p>
    <w:p w:rsidR="005728DD" w:rsidRDefault="005728DD" w:rsidP="005728DD">
      <w:pPr>
        <w:pStyle w:val="TextoNormal"/>
      </w:pPr>
      <w:r>
        <w:t xml:space="preserve">Para dar respuesta a la concreta pretensión planteada, conviene comenzar recordando que, de acuerdo con el art. 63.1 LOTC, “el órgano ejecutivo superior de una comunidad autónoma” podrá promover el conflicto de competencia cuando estime “que una disposición, resolución o acto emanado de la autoridad de otra comunidad o del estado no respeta el orden de competencias establecido en la Constitución, en los estatutos de autonomía o en las leyes correspondientes y siempre que afecte a su propio ámbito”. Recuerda la STC </w:t>
      </w:r>
      <w:r>
        <w:lastRenderedPageBreak/>
        <w:t>100/2019, FJ 2 b), que “la doctrina constitucional es flexible a la hora de interpretar este precepto; admite que hay pretensión de incompetencia, no solo cuando el promotor del conflicto reclama para sí la competencia ejercida por otro, sino también cuando denuncia que el ejercicio de una competencia lesiona, perturba o desconoce el ámbito propio de atribuciones (STC 44/2007, de 1 de marzo, FJ 3). Ahora bien, el objeto de este proceso constitucional ha de ser, en todo caso, una pretensión o vicio competencial (STC 195/2001, FJ 3)”.</w:t>
      </w:r>
    </w:p>
    <w:p w:rsidR="005728DD" w:rsidRDefault="005728DD" w:rsidP="005728DD">
      <w:pPr>
        <w:pStyle w:val="TextoNormal"/>
      </w:pPr>
    </w:p>
    <w:p w:rsidR="005728DD" w:rsidRDefault="005728DD" w:rsidP="005728DD">
      <w:pPr>
        <w:pStyle w:val="TextoNormal"/>
      </w:pPr>
      <w:r>
        <w:t>No se dan en el presente caso ninguno de los dos presupuestos que configuran la naturaleza de este proceso, pues la Comunidad Autónoma del País Vasco no reivindica para sí la competencia para determinar la forma en que haya de efectuarse el suministro de información a la BDNS; y tampoco afirma con carácter positivo que la regulación que efectúa el art. 5.1 suponga un menoscabo efectivo y real de su ámbito competencial propio. La infracción constitucional que sustenta deriva únicamente de la omisión en este precepto de una cláusula expresa de salvaguarda de las competencias estatutarias derivadas del régimen foral vasco, en el desarrollo dado por la Ley que aprueba el concierto económico con el País Vasco.</w:t>
      </w:r>
    </w:p>
    <w:p w:rsidR="005728DD" w:rsidRDefault="005728DD" w:rsidP="005728DD">
      <w:pPr>
        <w:pStyle w:val="TextoNormal"/>
      </w:pPr>
    </w:p>
    <w:p w:rsidR="005728DD" w:rsidRDefault="005728DD" w:rsidP="005728DD">
      <w:pPr>
        <w:pStyle w:val="TextoNormal"/>
      </w:pPr>
      <w:r>
        <w:t>Es por ello que para desestimar esta queja basta con la mención a la doctrina de la STC 32/2016, de 18 de febrero, FJ 9, en la que descartamos de plano una tacha similar, afirmando que “la queja, centrada en la falta de mención de la eventual normativa autonómica en esta materia, no puede ser estimada pues el hecho de que no se recoja en el precepto una cláusula de salvaguarda como la reclamada no lo vicia de inconstitucionalidad dada la innecesariedad de la previsión expresa de este tipo de cláusulas”. Este pronunciamiento no hace sino recoger una reiterada y constante jurisprudencia constitucional que ha venido señalando que este tipo de tacha de inconstitucionalidad no puede ser estimada, pues resulta innecesaria, dado que “la ausencia de una reserva expresa de las competencias del Estado o de las Comunidades Autónomas no determina la inconstitucionalidad de los preceptos impugnados” y que “la incorporación expresa de cláusulas de salvaguardia de competencias estatales no es exigible en términos constitucionales” (por todas, STC 228/2016, FJ 4).</w:t>
      </w:r>
    </w:p>
    <w:p w:rsidR="005728DD" w:rsidRDefault="005728DD" w:rsidP="005728DD">
      <w:pPr>
        <w:pStyle w:val="TextoNormal"/>
      </w:pPr>
    </w:p>
    <w:p w:rsidR="005728DD" w:rsidRDefault="005728DD" w:rsidP="005728DD">
      <w:pPr>
        <w:pStyle w:val="TextoNormal"/>
      </w:pPr>
      <w:r>
        <w:t>Sentado lo anterior, no resulta ocioso, sin embargo, efectuar algunas precisiones adicionales.</w:t>
      </w:r>
    </w:p>
    <w:p w:rsidR="005728DD" w:rsidRDefault="005728DD" w:rsidP="005728DD">
      <w:pPr>
        <w:pStyle w:val="TextoNormal"/>
      </w:pPr>
    </w:p>
    <w:p w:rsidR="005728DD" w:rsidRDefault="005728DD" w:rsidP="005728DD">
      <w:pPr>
        <w:pStyle w:val="TextoNormal"/>
      </w:pPr>
      <w:r>
        <w:t>En primer término, la disposición adicional vigésimo segunda de la LGSub afirma expresamente que: “En virtud de su régimen foral, la aplicación de esta ley a la Comunidad Autónoma del País Vasco se realizará con respeto a lo establecido en su estatuto de autonomía y en la disposición adicional segunda de la Ley 7/1985, de 2 de abril, reguladora de las bases del régimen local”. Y en esta última norma se contiene una expresa garantía de respeto a las peculiaridades forales que, de conformidad con la disposición adicional primera de la Constitución y con el estatuto de autonomía, resultan de aplicación a los territorios históricos del País Vasco. Esta específica previsión, contenida en la norma de rango legal que presta cobertura al desarrollo reglamentario que efectúa el Real Decreto 130/2019, garantiza de manera expresa y de forma suficiente el respeto al régimen foral vasco que deriva de la disposición adicional primera del texto constitucional, haciendo innecesaria su inclusión reiterativa en el texto de la presente norma reglamentaria.</w:t>
      </w:r>
    </w:p>
    <w:p w:rsidR="005728DD" w:rsidRDefault="005728DD" w:rsidP="005728DD">
      <w:pPr>
        <w:pStyle w:val="TextoNormal"/>
      </w:pPr>
    </w:p>
    <w:p w:rsidR="005728DD" w:rsidRDefault="005728DD" w:rsidP="005728DD">
      <w:pPr>
        <w:pStyle w:val="TextoNormal"/>
      </w:pPr>
      <w:r>
        <w:t xml:space="preserve">En términos similares, la alegada disposición final tercera de la Ley Orgánica 2/2012, de 27 de abril, de estabilidad presupuestaria y sostenibilidad financiera se limita a señalar que, </w:t>
      </w:r>
      <w:r>
        <w:lastRenderedPageBreak/>
        <w:t>“en virtud de su régimen foral, la aplicación a la Comunidad Autónoma del País Vasco de lo dispuesto en esta ley, se entenderá sin perjuicio de los dispuesto en la Ley del concierto económico”. Tampoco en este punto, y por las razones ya expuestas, puede aceptarse la pretensión autonómica, que se limita a solicitar la inclusión en el Real Decreto de una cláusula de salvaguarda, similar a la contenida en dicha ley, afirmando literalmente que: “la garantía del régimen foral deba reflejarse mediante la inserción de una cláusula similar a la de la disposición final tercera de la Ley Orgánica 2/2012, de 27 de abril, de estabilidad presupuestaria y sostenibilidad financiera”.</w:t>
      </w:r>
    </w:p>
    <w:p w:rsidR="005728DD" w:rsidRDefault="005728DD" w:rsidP="005728DD">
      <w:pPr>
        <w:pStyle w:val="TextoNormal"/>
      </w:pPr>
    </w:p>
    <w:p w:rsidR="005728DD" w:rsidRDefault="005728DD" w:rsidP="005728DD">
      <w:pPr>
        <w:pStyle w:val="TextoNormal"/>
      </w:pPr>
      <w:r>
        <w:t>En segundo lugar, se alega la infracción de lo dispuesto en la Ley estatal 12/2002, por la que se aprueba el concierto económico con la Comunidad Autónoma del País Vasco. En relación con ello, y como ya señalamos en la STC 119/2016, FJ 3, “no puede fundarse la inconstitucionalidad de la norma impugnada, cual pretende el Gobierno vasco, en el hecho de que se haya omitido en la norma impugnada ‘una referencia que salvaguarda las particularidades que derivan del Concierto Económico’, pues el pretendido vicio de la norma no puede fundarse, en modo alguno, en la existencia o no de esa referencia, sino en la obligación o no, en su caso, conforme a las normas que integran el bloque de constitucionalidad [art. 28 de la Ley Orgánica del Tribunal Constitucional (LOTC)], de la activación de los correspondientes mecanismos de coordinación o cooperación.”</w:t>
      </w:r>
    </w:p>
    <w:p w:rsidR="005728DD" w:rsidRDefault="005728DD" w:rsidP="005728DD">
      <w:pPr>
        <w:pStyle w:val="TextoNormal"/>
      </w:pPr>
    </w:p>
    <w:p w:rsidR="005728DD" w:rsidRDefault="005728DD" w:rsidP="005728DD">
      <w:pPr>
        <w:pStyle w:val="TextoNormal"/>
      </w:pPr>
      <w:r>
        <w:t>Y esa activación de los mecanismos de cooperación se ha producido en el presente caso, y así lo reconoce la propia demanda, que acompaña una carta dirigida al servicio de Intervención de la Administración vasca, por el Interventor General de la Administración del Estado, en la que llama a una reunión de la comisión mixta del concierto a fin de acordar los términos del suministro de datos por la Administración vasca a la base de datos nacional de subvenciones, y en la que se apela a la celebración de un acuerdo en la comisión mixta del concierto para la efectividad del suministro de información previsto en el Real Decreto 130/2019; lo que no cabe sino entender como un explícito reconocimiento del carácter pactado, en el seno de la citada comisión, del suministro de información que aquí se controvierte.</w:t>
      </w:r>
    </w:p>
    <w:p w:rsidR="005728DD" w:rsidRDefault="005728DD" w:rsidP="005728DD">
      <w:pPr>
        <w:pStyle w:val="TextoNormal"/>
      </w:pPr>
    </w:p>
    <w:p w:rsidR="005728DD" w:rsidRDefault="005728DD" w:rsidP="005728DD">
      <w:pPr>
        <w:pStyle w:val="TextoNormal"/>
      </w:pPr>
      <w:r>
        <w:t>Procede, en consecuencia, rechazar la impugnación dirigida contra este precepto.</w:t>
      </w:r>
    </w:p>
    <w:p w:rsidR="005728DD" w:rsidRDefault="005728DD" w:rsidP="005728DD">
      <w:pPr>
        <w:pStyle w:val="TextoNormal"/>
      </w:pPr>
    </w:p>
    <w:p w:rsidR="005728DD" w:rsidRDefault="005728DD" w:rsidP="005728DD">
      <w:pPr>
        <w:pStyle w:val="TextoNormal"/>
      </w:pPr>
      <w:r w:rsidRPr="005728DD">
        <w:rPr>
          <w:rStyle w:val="NumeroAFNegritaCaracter"/>
        </w:rPr>
        <w:t>7</w:t>
      </w:r>
      <w:r>
        <w:t>. El art. 6 regula la tramitación de la convocatoria de las ayudas y subvenciones, y, en su apartado 3 dispone que, para el supuesto de que las comunidades autónomas opten por prescindir de la intermediación de la BDNS para la publicación de la convocatoria de las ayudas en su diario oficial, “únicamente se deberá registrar la información a incluir en la BDNS acompañada del texto de la convocatoria, una vez que ésta haya sido aprobada y con antelación suficiente para que los interesados puedan presentar sus solicitudes en el plazo establecido”.</w:t>
      </w:r>
    </w:p>
    <w:p w:rsidR="005728DD" w:rsidRDefault="005728DD" w:rsidP="005728DD">
      <w:pPr>
        <w:pStyle w:val="TextoNormal"/>
      </w:pPr>
    </w:p>
    <w:p w:rsidR="005728DD" w:rsidRDefault="005728DD" w:rsidP="005728DD">
      <w:pPr>
        <w:pStyle w:val="TextoNormal"/>
      </w:pPr>
      <w:r>
        <w:t xml:space="preserve">Afirma la demanda que el inciso final del precepto (“y con antelación suficiente para que los interesados puedan presentar sus solicitudes dentro del plazo establecido”) es inconstitucional, en cuanto supone la injerencia del Estado en un procedimiento administrativo de competencia de la comunidad autónoma, que perturba el funcionamiento de la administración convocante, en términos ya rechazados en la STC 33/2018, ocasionando un retraso en la publicidad de la convocatoria y una subordinación y dependencia de la administración </w:t>
      </w:r>
      <w:r>
        <w:lastRenderedPageBreak/>
        <w:t>convocante a una actuación que ha de realizar el Estado. Afirma, pues, que el precepto excede de las competencias estatales que amparan el procedimiento subvencional común (STC 130/2013) y menoscaba las competencias autonómicas, creando un trámite de comunicación en procedimientos administrativos que es contrario a la reserva de ley exigida por el art. 2.2 LPACAP, con efectos determinantes en la validez del acto administrativo de convocatoria.</w:t>
      </w:r>
    </w:p>
    <w:p w:rsidR="005728DD" w:rsidRDefault="005728DD" w:rsidP="005728DD">
      <w:pPr>
        <w:pStyle w:val="TextoNormal"/>
      </w:pPr>
    </w:p>
    <w:p w:rsidR="005728DD" w:rsidRDefault="005728DD" w:rsidP="005728DD">
      <w:pPr>
        <w:pStyle w:val="TextoNormal"/>
      </w:pPr>
      <w:r>
        <w:t xml:space="preserve">El abogado del Estado entiende, por el contrario, que el precepto viene a dar cumplimiento a lo dispuesto en el art. 20.8 LGSub y a lo señalado en la parte expositiva del propio Real Decreto, mediante la previsión de una exigencia de mínimos, con el objeto de que la BDNS sirva de instrumento de publicidad </w:t>
      </w:r>
      <w:r w:rsidRPr="005728DD">
        <w:rPr>
          <w:i/>
        </w:rPr>
        <w:t>ex ante</w:t>
      </w:r>
      <w:r>
        <w:t xml:space="preserve"> y permita a los interesados presentar sus solicitudes en el plazo establecido, haciendo posible asegurar el interés público, favorecer la transparencia y facilitar el conocimiento de la gestión de los fondos públicos; y, finalmente, que el precepto se acomoda a lo señalado en la STC 33/2018.</w:t>
      </w:r>
    </w:p>
    <w:p w:rsidR="005728DD" w:rsidRDefault="005728DD" w:rsidP="005728DD">
      <w:pPr>
        <w:pStyle w:val="TextoNormal"/>
      </w:pPr>
    </w:p>
    <w:p w:rsidR="005728DD" w:rsidRDefault="005728DD" w:rsidP="005728DD">
      <w:pPr>
        <w:pStyle w:val="TextoNormal"/>
      </w:pPr>
      <w:r>
        <w:t>Como ya se ha señalado, el fundamento jurídico 9 de la STC 33/2018 vino a confirmar la constitucionalidad de la obligación a las comunidades autónomas y resto de administraciones u organismos sujetos a la Ley general de subvenciones, de comunicar al Estado las convocatorias de subvenciones y demás datos mencionados en el art. 20, apartados segundo y octavo de la Ley general de subvenciones. El apartado 8 del art. 20 de esta ley determina que la BDNS opera como un “sistema nacional de publicidad de las subvenciones”, para “garantizar el derecho de los ciudadanos a conocer todas las subvenciones convocadas en cada momento y para contribuir a los principios de publicidad y transparencia”, a cuyo efecto, y según dispone su apartado a), “las administraciones concedentes comunicarán a la base de datos nacional de subvenciones el texto de la convocatoria y la información requerida por la base de datos”.</w:t>
      </w:r>
    </w:p>
    <w:p w:rsidR="005728DD" w:rsidRDefault="005728DD" w:rsidP="005728DD">
      <w:pPr>
        <w:pStyle w:val="TextoNormal"/>
      </w:pPr>
    </w:p>
    <w:p w:rsidR="005728DD" w:rsidRDefault="005728DD" w:rsidP="005728DD">
      <w:pPr>
        <w:pStyle w:val="TextoNormal"/>
      </w:pPr>
      <w:r>
        <w:t>El objeto de esta comunicación es garantizar la publicidad y transparencia de las ayudas que se concedan por todos los organismos públicos obligados, con la finalidad de facilitar el conocimiento y acceso a las mismas, en condiciones de igualdad, de cualesquiera interesados en todo el territorio nacional, permitiéndoles presentar sus solicitudes dentro del plazo establecido. Así se señala también en el preámbulo del Real Decreto 130/2019, al afirmar unos de los objetivos que se pretende lograr con el rediseño de la BDNS es: “1. Poner en común en un único punto todas las convocatorias cuyo plazo de solicitud esté abierto para cada momento determinado, permitiendo su consulta a todos los posibles interesados”.</w:t>
      </w:r>
    </w:p>
    <w:p w:rsidR="005728DD" w:rsidRDefault="005728DD" w:rsidP="005728DD">
      <w:pPr>
        <w:pStyle w:val="TextoNormal"/>
      </w:pPr>
    </w:p>
    <w:p w:rsidR="005728DD" w:rsidRDefault="005728DD" w:rsidP="005728DD">
      <w:pPr>
        <w:pStyle w:val="TextoNormal"/>
      </w:pPr>
      <w:r>
        <w:t>En el presente caso, el adecuado cumplimiento del objetivo previsto en la norma, esto es, la garantía del conocimiento generalizado de la convocatoria, justifica que su publicación en la base estatal se produzca con un margen temporal suficiente para permitir a todos los interesados el acceso y conocimiento de la misma. Es esta una previsión de mínimos que, en los términos señalados en la STC 33/2018, FJ 11, no “condiciona en exceso” ni llega a “paralizar” el ejercicio de la acción administrativa autonómica para la regulación en detalle de este procedimiento especial.</w:t>
      </w:r>
    </w:p>
    <w:p w:rsidR="005728DD" w:rsidRDefault="005728DD" w:rsidP="005728DD">
      <w:pPr>
        <w:pStyle w:val="TextoNormal"/>
      </w:pPr>
    </w:p>
    <w:p w:rsidR="005728DD" w:rsidRDefault="005728DD" w:rsidP="005728DD">
      <w:pPr>
        <w:pStyle w:val="TextoNormal"/>
      </w:pPr>
      <w:r>
        <w:t xml:space="preserve">La propia STC 33/2018 viene a reconocer expresamente la constitucionalidad de la regulación contenida en el inciso impugnado, afirmando que “la competencia para establecer las normas de procedimiento administrativo común del art. 149.1.18 CE comprende la de ‘señalar los requisitos de validez y eficacia’ de los actos administrativos (STC 227/1988, FJ 32, de constante referencia y otras muchas posteriores en el mismo sentido antes citadas). </w:t>
      </w:r>
      <w:r>
        <w:lastRenderedPageBreak/>
        <w:t>Comunicada la convocatoria, una vez aprobada y con antelación suficiente para su resolución, como exige el principio de lealtad constitucional al que constantemente alude este tribunal como ‘soporte esencial del funcionamiento del Estado autonómico y cuya observancia resulta obligada’ [así, entre otras, STC 215/2014, de 18 de diciembre, FJ 4 A) y las allí citadas], es ya responsabilidad del Estado y de la base de datos nacional de subvenciones, en aplicación del mismo principio, asegurar su publicidad general”.</w:t>
      </w:r>
    </w:p>
    <w:p w:rsidR="005728DD" w:rsidRDefault="005728DD" w:rsidP="005728DD">
      <w:pPr>
        <w:pStyle w:val="TextoNormal"/>
      </w:pPr>
    </w:p>
    <w:p w:rsidR="005728DD" w:rsidRDefault="005728DD" w:rsidP="005728DD">
      <w:pPr>
        <w:pStyle w:val="TextoNormal"/>
      </w:pPr>
      <w:r>
        <w:t>En virtud de lo expuesto, se rechaza la inconstitucionalidad del art. 6.3 del Real Decreto, en el inciso objeto de la presente impugnación.</w:t>
      </w:r>
    </w:p>
    <w:p w:rsidR="005728DD" w:rsidRDefault="005728DD" w:rsidP="005728DD">
      <w:pPr>
        <w:pStyle w:val="TextoNormal"/>
      </w:pPr>
    </w:p>
    <w:p w:rsidR="005728DD" w:rsidRDefault="005728DD" w:rsidP="005728DD">
      <w:pPr>
        <w:pStyle w:val="TextoNormal"/>
      </w:pPr>
      <w:r w:rsidRPr="005728DD">
        <w:rPr>
          <w:rStyle w:val="NumeroAFNegritaCaracter"/>
        </w:rPr>
        <w:t>8</w:t>
      </w:r>
      <w:r>
        <w:t>. La última de las impugnaciones formuladas se dirige contra el art. 6.7, en el que se contempla que la información a incluir en la BDNS “se cumplimentará en castellano, si bien el título y el texto de la convocatoria y sus extractos se podrán remitir, además de en castellano, también en otra lengua cooficial”.</w:t>
      </w:r>
    </w:p>
    <w:p w:rsidR="005728DD" w:rsidRDefault="005728DD" w:rsidP="005728DD">
      <w:pPr>
        <w:pStyle w:val="TextoNormal"/>
      </w:pPr>
    </w:p>
    <w:p w:rsidR="005728DD" w:rsidRDefault="005728DD" w:rsidP="005728DD">
      <w:pPr>
        <w:pStyle w:val="TextoNormal"/>
      </w:pPr>
      <w:r>
        <w:t>Considera la demanda que el precepto vulnera lo dispuesto en el art. 6 EAPV e infringe lo señalado en el art. 15.2 de la Ley 39/2015, de 1 de octubre (LPACAP), en cuanto no garantiza el deber de disponibilidad lingüística en ambas lenguas oficiales del resultado de la actividad administrativa vasca. Recuerda que la doctrina constitucional (SSTC 88/2017 y 31/2010, FJ 22) ha venido a reconocer el derecho de los ciudadanos a usar ambas lenguas en sus relaciones con las instituciones públicas, y el correlativo deber de los poderes públicos de hacer efectivo ese derecho; y, en el presente caso, ello se traduce en el derecho de los ciudadanos situados en el territorio vasco a acceder en las lenguas que son oficiales en su territorio, a la actividad administrativa generada por los poderes públicos autonómicos, aun cuando dicha actividad se concrete en una información emanada de un órgano estatal, y con exclusivas funciones de estadística y publicidad.</w:t>
      </w:r>
    </w:p>
    <w:p w:rsidR="005728DD" w:rsidRDefault="005728DD" w:rsidP="005728DD">
      <w:pPr>
        <w:pStyle w:val="TextoNormal"/>
      </w:pPr>
    </w:p>
    <w:p w:rsidR="005728DD" w:rsidRDefault="005728DD" w:rsidP="005728DD">
      <w:pPr>
        <w:pStyle w:val="TextoNormal"/>
      </w:pPr>
      <w:r>
        <w:t>El abogado del Estado sostiene, de contrario, que el precepto contempla un sistema que garantiza los derechos lingüísticos de los ciudadanos vascos, en la medida en que pone a su disposición el texto íntegro de la convocatoria en ambas lenguas oficiales, y así se puede comprobar en el portal del sistema nacional de publicidad de las subvenciones y ayudas públicas (www.infosubvenciones.gob.es). Añade que, de conformidad con lo dispuesto en el art. 15.3 de la Ley 39/2015, la administración convocante debe registrar en la base el texto íntegro de la convocatoria en ambas lenguas, en cuyo caso, el sistema proporciona automáticamente la información en dichas lenguas, siendo pues la propia administración convocante la responsable de garantizar el derecho de opción lingüística. Y si la administración convocante, conforme a lo señalado en el art. 6.7 opta por registrar el título de la convocatoria en español y en la lengua cooficial, el sistema publica esta información en ambas lenguas para facilitar la búsqueda a los ciudadanos en ambas lenguas.</w:t>
      </w:r>
    </w:p>
    <w:p w:rsidR="005728DD" w:rsidRDefault="005728DD" w:rsidP="005728DD">
      <w:pPr>
        <w:pStyle w:val="TextoNormal"/>
      </w:pPr>
    </w:p>
    <w:p w:rsidR="005728DD" w:rsidRDefault="005728DD" w:rsidP="005728DD">
      <w:pPr>
        <w:pStyle w:val="TextoNormal"/>
      </w:pPr>
      <w:r>
        <w:t>El art. 6.7 del Real Decreto contempla expresamente que tanto el título como el texto de la convocatoria puedan remitirse a la base estatal, además de en castellano, en la otra lengua que sea oficial en la comunidad autónoma respectiva, previsión que se acomoda a lo dispuesto con carácter general en el art. 15.3 de la Ley 39/2015, de 1 de octubre, del procedimiento administrativo común de las administraciones públicas (“La administración pública instructora deberá traducir al castellano los documentos o partes de los mismos que deba surtir efecto fuera del territorio de la comunidad autónoma”).</w:t>
      </w:r>
    </w:p>
    <w:p w:rsidR="005728DD" w:rsidRDefault="005728DD" w:rsidP="005728DD">
      <w:pPr>
        <w:pStyle w:val="TextoNormal"/>
      </w:pPr>
    </w:p>
    <w:p w:rsidR="005728DD" w:rsidRDefault="005728DD" w:rsidP="005728DD">
      <w:pPr>
        <w:pStyle w:val="TextoNormal"/>
      </w:pPr>
      <w:r>
        <w:lastRenderedPageBreak/>
        <w:t>Cumplido lo anterior, la garantía del derecho de disponibilidad lingüística ha de permitir el acceso de los ciudadanos a esa información tanto en castellano como en la lengua que sea oficial en su respectivo territorio, posibilidad esta que el precepto no recoge expresamente pero tampoco excluye.</w:t>
      </w:r>
    </w:p>
    <w:p w:rsidR="005728DD" w:rsidRDefault="005728DD" w:rsidP="005728DD">
      <w:pPr>
        <w:pStyle w:val="TextoNormal"/>
      </w:pPr>
    </w:p>
    <w:p w:rsidR="005728DD" w:rsidRDefault="005728DD" w:rsidP="005728DD">
      <w:pPr>
        <w:pStyle w:val="TextoNormal"/>
      </w:pPr>
      <w:r>
        <w:t>De acuerdo con la doctrina de este tribunal, “es necesario apurar todas las posibilidades de interpretar los preceptos de conformidad con la Constitución y declarar tan solo la inconstitucionalidad de aquellos cuya incompatibilidad con ella resulte indudable por ser imposible llevar a cabo dicha interpretación” [SSTC 14/2015, de 5 de febrero, FJ 5; 17/2016, de 4 de febrero, FJ 4; 118/2016, de 23 de junio, FJ 3 d); 26/2017, de 16 de febrero, FJ 6; 62/2017, de 25 de mayo, FJ 4, y 116/2017, de 19 de octubre, FJ 3]. En el presente supuesto, cabe sin duda una interpretación conforme del art. 6.7, que permite entender que la previsión contenida en el mismo tiene por objeto, precisamente, hacer posible el acceso a la información en la lengua que, junto con el castellano, sea oficial en el respectivo territorio.</w:t>
      </w:r>
    </w:p>
    <w:p w:rsidR="005728DD" w:rsidRDefault="005728DD" w:rsidP="005728DD">
      <w:pPr>
        <w:pStyle w:val="TextoNormal"/>
      </w:pPr>
    </w:p>
    <w:p w:rsidR="005728DD" w:rsidRDefault="005728DD" w:rsidP="005728DD">
      <w:pPr>
        <w:pStyle w:val="TextoNormal"/>
      </w:pPr>
      <w:r>
        <w:t>Esa interpretación resulta deducible “de forma natural y no forzada, de la disposición impugnada” (STC 185/2014, de 6 de noviembre, FJ 7), si se toma en consideración que, en la práctica, ha venido a hacerse efectiva a través del sistema digital de consulta a que hace referencia explícita el abogado del Estado, pues el portal del sistema nacional de publicidad de las subvenciones y ayudas públicas, permite a todos los ciudadanos el acceso y consulta de las convocatorias en cualquiera de las lenguas que son oficiales en los respectivos territorios. El derecho de opción lingüística ha quedado así efectivamente garantizado, sin que se produzca la alegada vulneración de las competencias autonómicas previstas en el art. 6 EAPV.</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parcialmente el conflicto positivo de competencia interpuesto por el Consejo de Gobierno de la Comunidad Autónoma del País Vasco contra el Real Decreto 130/2019, de 8 de marzo, por el que se regula la base de datos nacional de subvenciones y la publicidad de las subvenciones y demás ayudas públicas, y, en consecuencia, declarar que:</w:t>
      </w:r>
    </w:p>
    <w:p w:rsidR="005728DD" w:rsidRDefault="005728DD" w:rsidP="005728DD">
      <w:pPr>
        <w:pStyle w:val="TextoNormal"/>
      </w:pPr>
    </w:p>
    <w:p w:rsidR="005728DD" w:rsidRDefault="005728DD" w:rsidP="005728DD">
      <w:pPr>
        <w:pStyle w:val="TextoNormal"/>
      </w:pPr>
      <w:r>
        <w:t xml:space="preserve">1º El inciso “legislativos y”, del art. 3.1 </w:t>
      </w:r>
      <w:r w:rsidRPr="005728DD">
        <w:rPr>
          <w:i/>
        </w:rPr>
        <w:t>in fine</w:t>
      </w:r>
      <w:r>
        <w:t>, es inconstitucional y nulo.</w:t>
      </w:r>
    </w:p>
    <w:p w:rsidR="005728DD" w:rsidRDefault="005728DD" w:rsidP="005728DD">
      <w:pPr>
        <w:pStyle w:val="TextoNormal"/>
      </w:pPr>
    </w:p>
    <w:p w:rsidR="005728DD" w:rsidRDefault="005728DD" w:rsidP="005728DD">
      <w:pPr>
        <w:pStyle w:val="TextoNormal"/>
      </w:pPr>
      <w:r>
        <w:t>2º Desestimar el conflicto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1" w:name="SENTENCIA_2021_38"/>
      <w:r>
        <w:lastRenderedPageBreak/>
        <w:t>SENTENCIA 38/2021, de 18 de febrero de 2021</w:t>
      </w:r>
    </w:p>
    <w:bookmarkEnd w:id="41"/>
    <w:p w:rsidR="005728DD" w:rsidRDefault="005728DD" w:rsidP="005728DD">
      <w:pPr>
        <w:pStyle w:val="TtuloResolucin"/>
      </w:pPr>
      <w:r>
        <w:t>Pleno</w:t>
      </w:r>
    </w:p>
    <w:p w:rsidR="005728DD" w:rsidRDefault="005728DD" w:rsidP="005728DD">
      <w:pPr>
        <w:pStyle w:val="TtuloBOE"/>
      </w:pPr>
      <w:r>
        <w:t>(BOE núm. 69, de 22 de marzo de 2021)</w:t>
      </w:r>
    </w:p>
    <w:p w:rsidR="005728DD" w:rsidRDefault="005728DD" w:rsidP="005728DD">
      <w:pPr>
        <w:pStyle w:val="TextoNormalCentrado"/>
      </w:pPr>
      <w:r>
        <w:t>ECLI:ES:TC:2021:38</w:t>
      </w:r>
    </w:p>
    <w:p w:rsidR="005728DD" w:rsidRDefault="005728DD" w:rsidP="005728DD">
      <w:pPr>
        <w:pStyle w:val="TextoNormalCentrado"/>
      </w:pPr>
    </w:p>
    <w:p w:rsidR="005728DD" w:rsidRDefault="005728DD" w:rsidP="005728DD">
      <w:pPr>
        <w:pStyle w:val="SntesisDescriptiva"/>
      </w:pPr>
      <w:r>
        <w:t>Recurso de inconstitucionalidad 3681-2020. Interpuesto por el presidente del Gobierno respecto del apartado segundo de la disposición transitoria décima de la Ley del Parlamento Vasco 7/2019, de 27 de junio, de quinta modificación de la Ley de policía del País Vasco.</w:t>
      </w:r>
    </w:p>
    <w:p w:rsidR="005728DD" w:rsidRDefault="005728DD" w:rsidP="005728DD">
      <w:pPr>
        <w:pStyle w:val="SntesisDescriptiva"/>
      </w:pPr>
    </w:p>
    <w:p w:rsidR="005728DD" w:rsidRDefault="005728DD" w:rsidP="005728DD">
      <w:pPr>
        <w:pStyle w:val="SntesisAnaltica"/>
      </w:pPr>
      <w:r>
        <w:t>Competencias sobre función pública: pruebas de acceso restringidas que contravienen las bases estatales en la materia (STC 38/2004).</w:t>
      </w:r>
    </w:p>
    <w:p w:rsidR="005728DD" w:rsidRDefault="005728DD" w:rsidP="005728DD">
      <w:pPr>
        <w:pStyle w:val="SntesisAnaltica"/>
      </w:pPr>
    </w:p>
    <w:p w:rsidR="005728DD" w:rsidRDefault="005728DD" w:rsidP="005728DD">
      <w:pPr>
        <w:pStyle w:val="Extracto"/>
      </w:pPr>
      <w:r>
        <w:t>1.</w:t>
      </w:r>
      <w:r>
        <w:tab/>
        <w:t>En materia de función pública al Estado le corresponde, en virtud de lo establecido en el art. 149.1.18 CE, la competencia exclusiva para establecer las bases del régimen estatutario de los funcionarios públicos, expresión que ha de entenderse referida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(STC 154/2017) [FJ 3].</w:t>
      </w:r>
    </w:p>
    <w:p w:rsidR="005728DD" w:rsidRDefault="005728DD" w:rsidP="005728DD">
      <w:pPr>
        <w:pStyle w:val="Extracto"/>
      </w:pPr>
    </w:p>
    <w:p w:rsidR="005728DD" w:rsidRDefault="005728DD" w:rsidP="005728DD">
      <w:pPr>
        <w:pStyle w:val="Extracto"/>
      </w:pPr>
      <w:r>
        <w:t>2.</w:t>
      </w:r>
      <w:r>
        <w:tab/>
        <w:t>A la comunidad autónoma que, en el marco de la legislación básica del Estado, asuma en su Estatuto de Autonomía competencia de desarrollo legislativo y ejecución en materia del estatuto de los funcionarios de sus administraciones autonómica y local, le corresponde el desarrollo legislativo y la ejecución de las bases de dicho régimen estatutario en lo que se refiere a los funcionarios al servicio de la comunidad autónoma y al servicio de las corporaciones locales radicadas en su ámbito territorial [FJ 3].</w:t>
      </w:r>
    </w:p>
    <w:p w:rsidR="005728DD" w:rsidRDefault="005728DD" w:rsidP="005728DD">
      <w:pPr>
        <w:pStyle w:val="Extracto"/>
      </w:pPr>
    </w:p>
    <w:p w:rsidR="005728DD" w:rsidRDefault="005728DD" w:rsidP="005728DD">
      <w:pPr>
        <w:pStyle w:val="Extracto"/>
      </w:pPr>
      <w:r>
        <w:t>3.</w:t>
      </w:r>
      <w:r>
        <w:tab/>
        <w:t xml:space="preserve">El régimen de acceso a la función pública establecido por el Estatuto básico del empleado público (LEEP) tiene carácter básico </w:t>
      </w:r>
      <w:r w:rsidRPr="005728DD">
        <w:rPr>
          <w:i/>
        </w:rPr>
        <w:t>ex</w:t>
      </w:r>
      <w:r>
        <w:t xml:space="preserve"> artículo 149.1.18 CE  y la regulación de la consolidación de empleo temporal que contiene deben considerarse asimismo formal y materialmente básicos [FJ 3].</w:t>
      </w:r>
    </w:p>
    <w:p w:rsidR="005728DD" w:rsidRDefault="005728DD" w:rsidP="005728DD">
      <w:pPr>
        <w:pStyle w:val="Extracto"/>
      </w:pPr>
    </w:p>
    <w:p w:rsidR="005728DD" w:rsidRDefault="005728DD" w:rsidP="005728DD">
      <w:pPr>
        <w:pStyle w:val="Extracto"/>
      </w:pPr>
      <w:r>
        <w:t>4.</w:t>
      </w:r>
      <w:r>
        <w:tab/>
        <w:t>El legislador autonómico no actuará dentro de sus competencias si regula supuestos de acceso a la función pública en que la participación no sea libre, más allá de aquellos que encuentren amparo en la normativa básica (SSTC 151/1992 y 302/1993) [FJ 3].</w:t>
      </w:r>
    </w:p>
    <w:p w:rsidR="005728DD" w:rsidRDefault="005728DD" w:rsidP="005728DD">
      <w:pPr>
        <w:pStyle w:val="Extracto"/>
      </w:pPr>
    </w:p>
    <w:p w:rsidR="005728DD" w:rsidRDefault="005728DD" w:rsidP="005728DD">
      <w:pPr>
        <w:pStyle w:val="Extracto"/>
      </w:pPr>
      <w:r>
        <w:t>5.</w:t>
      </w:r>
      <w:r>
        <w:tab/>
        <w:t>Este Tribunal ha establecido el carácter básico del principio de que las convocatorias tienen que ser por regla general abiertas o libres (SSTC 51/1992, 302/1993 y 174/1998,); tal carácter básico se traslada al texto refundido de la Ley del Estatuto del Empleado Público (TRLEEP) que en relación con los procesos selectivos dispone que tendrán carácter abierto y garantizarán la libre concurrencia, sin perjuicio de lo establecido para la promoción interna y de las medidas de discriminación positiva previstas en dicho estatuto [FJ 4].</w:t>
      </w:r>
    </w:p>
    <w:p w:rsidR="005728DD" w:rsidRDefault="005728DD" w:rsidP="005728DD">
      <w:pPr>
        <w:pStyle w:val="Extracto"/>
      </w:pPr>
    </w:p>
    <w:p w:rsidR="005728DD" w:rsidRDefault="005728DD" w:rsidP="005728DD">
      <w:pPr>
        <w:pStyle w:val="Extracto"/>
      </w:pPr>
      <w:r>
        <w:t>6.</w:t>
      </w:r>
      <w:r>
        <w:tab/>
        <w:t xml:space="preserve">La exclusión de las pruebas selectivas de quienes no estén previamente unidos a la administración por no haber prestado servicios para la misma, supone eliminar </w:t>
      </w:r>
      <w:r>
        <w:lastRenderedPageBreak/>
        <w:t>de la posibilidad de participar en el proceso selectivo a los “aspirantes libres”, que no han prestado servicios ni en la administración convocante ni en la categoría de la policía local a la que pertenece la plaza convocada. Dichas pruebas no pueden calificarse de libres o abiertas y por tanto son contrarias al precepto básico estatal infringiendo así el orden constitucional de competencias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3681-2020, interpuesto por el presidente del Gobierno contra el apartado segundo de la disposición transitoria décima de la Ley del Parlamento Vasco 7/2019, de 27 de junio, de quinta modificación de la Ley de policía del País Vasco. Ha comparecido el Congreso de los Diputados. Han comparecido y formulado alegaciones el Parlamento y el Gobierno del País Vasco.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24 de julio de 2020, el abogado del Estado, en representación del presidente del Gobierno, interpuso recurso de inconstitucionalidad contra el apartado segundo de la disposición transitoria décima de la Ley 7/2019, de 27 de junio, de quinta modificación de la Ley de policía del País Vasco.</w:t>
      </w:r>
    </w:p>
    <w:p w:rsidR="005728DD" w:rsidRDefault="005728DD" w:rsidP="005728DD">
      <w:pPr>
        <w:pStyle w:val="TextoNormal"/>
      </w:pPr>
    </w:p>
    <w:p w:rsidR="005728DD" w:rsidRDefault="005728DD" w:rsidP="005728DD">
      <w:pPr>
        <w:pStyle w:val="TextoNormal"/>
      </w:pPr>
      <w:r>
        <w:t>a) El escrito de interposición comienza con la reproducción de la disposición impugnada e identifica los títulos competenciales que, a su juicio, justifican la declaración de inconstitucionalidad de la norma recurrida. A tal fin transcribe diversos fragmentos de las SSTC 37/2002, de 14 de febrero; 175/2011, de 8 de noviembre, FJ 5; 156/2015, de 9 de julio, y 154/2017, de 21 de diciembre, FJ 5, que se refieren al alcance del enunciado constitucional “estatuto de los funcionarios públicos,” a la reserva de ley de la regulación del “régimen estatutario” de los funcionarios públicos, y al sistema de distribución de competencias previsto en el art. 149.1.18 CE por el que le corresponde al Estado establecer las bases del régimen estatuario de los funcionarios públicos de todas las administraciones públicas.</w:t>
      </w:r>
    </w:p>
    <w:p w:rsidR="005728DD" w:rsidRDefault="005728DD" w:rsidP="005728DD">
      <w:pPr>
        <w:pStyle w:val="TextoNormal"/>
      </w:pPr>
    </w:p>
    <w:p w:rsidR="005728DD" w:rsidRDefault="005728DD" w:rsidP="005728DD">
      <w:pPr>
        <w:pStyle w:val="TextoNormal"/>
      </w:pPr>
      <w:r>
        <w:lastRenderedPageBreak/>
        <w:t>A continuación con apoyo en los dictámenes del Consejo de Estado números 951/2018, de 29 de noviembre, 244/2019, de 4 de abril, y 217/2020, de 26 de marzo, que a su vez se sustentan en las sentencias anteriormente citadas, refiere que la competencia del Estado para la regulación de las bases del régimen estatutario de los funcionarios (art. 149.1.18 CE) alcanza a los miembros de la policía local, que son funcionarios públicos cuya singularidad radica en su condición de “agentes de la autoridad que desempeñan especiales funciones y ostentan específicas atribuciones al participar del ejercicio de la autoridad”. De modo que el texto refundido de la Ley del estatuto básico del empleado público (en adelante TRLEEP), también sujeta a su regulación a los cuerpos de la policía local, excepto en lo establecido para ellos en la Ley Orgánica 2/1986, de 13 de marzo, de fuerzas y cuerpos de seguridad.</w:t>
      </w:r>
    </w:p>
    <w:p w:rsidR="005728DD" w:rsidRDefault="005728DD" w:rsidP="005728DD">
      <w:pPr>
        <w:pStyle w:val="TextoNormal"/>
      </w:pPr>
    </w:p>
    <w:p w:rsidR="005728DD" w:rsidRDefault="005728DD" w:rsidP="005728DD">
      <w:pPr>
        <w:pStyle w:val="TextoNormal"/>
      </w:pPr>
      <w:r>
        <w:t>Finalmente, dentro del apartado en el que identifica los títulos competenciales aplicables con cita de la regla 13 del artículo 149.1 CE, alude a la doctrina constitucional sobre las medidas de limitación de las retribuciones adoptadas por el Estado. Con apoyo en las SSTC 88/2016, de 28 de abril, FJ 2, y 18/2016, de 4 de febrero, FJ 6 a), afirma que la competencia exclusiva estatal relativa a las “bases y coordinación de la planificación general de la actividad económica” prevista en el art. 149.1.13 CE en relación con el principio de coordinación entre las haciendas autonómicas y la estatal (art. 156.1 CE), incluye las medidas orientadas a la contención del gasto público en materia de personal. Considera que dicha doctrina, conforme a la STC 178/2006, de 6 de junio, FJ 3, es aplicable a las medidas restrictivas de la contratación de personal.</w:t>
      </w:r>
    </w:p>
    <w:p w:rsidR="005728DD" w:rsidRDefault="005728DD" w:rsidP="005728DD">
      <w:pPr>
        <w:pStyle w:val="TextoNormal"/>
      </w:pPr>
    </w:p>
    <w:p w:rsidR="005728DD" w:rsidRDefault="005728DD" w:rsidP="005728DD">
      <w:pPr>
        <w:pStyle w:val="TextoNormal"/>
      </w:pPr>
      <w:r>
        <w:t>b) Bajo el título “aplicación de la doctrina constitucional referida al caso concreto de la disposición legal objeto de recurso”, sostiene que el legislador estatal ha disciplinado el acceso a la función pública en el art. 61 TRLEEP, sujetando cualquier proceso a los principios de igualdad, mérito y capacidad. Dicho precepto es básico desde el punto de vista material y formal (conforme a la disposición final primera del TRLEEP) e indica en su apartado tercero que “los procesos selectivos que incluyan, además de las preceptivas pruebas de capacidad, la valoración de méritos de los aspirantes solo podrán otorgar a dicha valoración una puntuación proporcionada que no determinará, en ningún caso, por sí misma el resultado del proceso selectivo”.</w:t>
      </w:r>
    </w:p>
    <w:p w:rsidR="005728DD" w:rsidRDefault="005728DD" w:rsidP="005728DD">
      <w:pPr>
        <w:pStyle w:val="TextoNormal"/>
      </w:pPr>
    </w:p>
    <w:p w:rsidR="005728DD" w:rsidRDefault="005728DD" w:rsidP="005728DD">
      <w:pPr>
        <w:pStyle w:val="TextoNormal"/>
      </w:pPr>
      <w:r>
        <w:t>Añade que los expedientes de consolidación de empleo temporal se encuentran previstos en la disposición transitoria cuarta del TRLEEP, que en su apartado segundo, sujeta los procesos selectivos que se articulen al respecto a la garantía del cumplimiento de los principios de igualdad, mérito, capacidad y publicidad y en su apartado tercero refiere que los procesos selectivos se desarrollarán conforme a lo dispuesto en los apartados 1 y 3 del artículo 61 del presente Estatuto. Por tanto tales procesos tendrán carácter abierto y garantizarán la libre concurrencia (art. 61.1 TRLEEP) y que en la valoración de méritos de los aspirantes solo podrán otorgar a dicha valoración una puntuación proporcionada que no determinará, en ningún caso, por sí misma el resultado del proceso selectivo (art. 61.3 TRLEEP).</w:t>
      </w:r>
    </w:p>
    <w:p w:rsidR="005728DD" w:rsidRDefault="005728DD" w:rsidP="005728DD">
      <w:pPr>
        <w:pStyle w:val="TextoNormal"/>
      </w:pPr>
    </w:p>
    <w:p w:rsidR="005728DD" w:rsidRDefault="005728DD" w:rsidP="005728DD">
      <w:pPr>
        <w:pStyle w:val="TextoNormal"/>
      </w:pPr>
      <w:r>
        <w:t xml:space="preserve">Considera que la disposición impugnada, conculca las previsiones establecidas por la legislación básica estatal en la medida en la que establece “‘un turno diferenciado de acceso para quienes acrediten un mínimo de ocho años de antigüedad en la administración convocante’ en la categoría a la que pertenecen las plazas ‘reservando para dicho turno diferenciado de acceso hasta el 60 por 100 de las plazas ofertadas’”. Dicha previsión normativa </w:t>
      </w:r>
      <w:r>
        <w:lastRenderedPageBreak/>
        <w:t>comporta la regulación de un proceso restringido contrario al art. 149.1.18 CE en la medida que contraviene la legislación estatal, “sin que sea posible la interpretación conforme en modo alguno”. Continúa refiriendo que la disposición autonómica contempla una excepción a la norma consagrada por la norma básica, sin que en realidad exista “hueco” posible en el precepto estatal cuya dicción literal no contempla alternativas, o mejor dicho, una alternativa de desarrollo regulatorio como la que de hecho la disposición legal autonómica incorpora en este caso”. Sostiene que la interpretación lógica del art. 61 TRLEEP, no da margen a una excepción como la que prevé la norma vasca. Añade que la asunción de la norma impugnada supondría reconocer como factible la convivencia de un precepto materialmente contradictorio con el texto de la norma básica de contraste.</w:t>
      </w:r>
    </w:p>
    <w:p w:rsidR="005728DD" w:rsidRDefault="005728DD" w:rsidP="005728DD">
      <w:pPr>
        <w:pStyle w:val="TextoNormal"/>
      </w:pPr>
    </w:p>
    <w:p w:rsidR="005728DD" w:rsidRDefault="005728DD" w:rsidP="005728DD">
      <w:pPr>
        <w:pStyle w:val="TextoNormal"/>
      </w:pPr>
      <w:r>
        <w:t>Continúa refiriendo que nos hallamos ante un precepto legal autonómico que incurre en inconstitucionalidad mediata por contravención de la competencia exclusiva del Estado, que le otorga a este el art. 149.1.18 CE, para establecer las bases del régimen estatutario de los funcionarios públicos.</w:t>
      </w:r>
    </w:p>
    <w:p w:rsidR="005728DD" w:rsidRDefault="005728DD" w:rsidP="005728DD">
      <w:pPr>
        <w:pStyle w:val="TextoNormal"/>
      </w:pPr>
    </w:p>
    <w:p w:rsidR="005728DD" w:rsidRDefault="005728DD" w:rsidP="005728DD">
      <w:pPr>
        <w:pStyle w:val="TextoNormal"/>
      </w:pPr>
      <w:r>
        <w:t xml:space="preserve">Por último sostiene la íntima conexión que existe entre el título competencial de la planificación general de la economía, como título competencial del Estado (art. 149.1.13 CE), y el aspecto o campo material que ahora nos ocupa, pues la competencia autonómica en materia de régimen estatutario de sus funcionarios públicos puede encontrar, en este título competencial (art. 149.1.13 CE) también, un límite en el ejercicio legítimo de la mencionada competencia estatal para establecer las bases de la planificación económica general </w:t>
      </w:r>
      <w:r w:rsidRPr="005728DD">
        <w:rPr>
          <w:i/>
        </w:rPr>
        <w:t>ex</w:t>
      </w:r>
      <w:r>
        <w:t xml:space="preserve"> artículo 149.1.13 CE. Recuerda que la STC 34/2013, de 14 de febrero, FJ 16, indicó que “esa competencia puede limitar decisiones de la administración sobre ámbitos de su organización como la tasa de reposición de efectivos (SSTC 171/1996, de 30 de octubre, FFJJ 2 y 3; 62/2001, de 1 de marzo, FJ 4, y 24/2002, de 31 de enero, FJ 5) o el incremento de la retribución de sus funcionarios, (por todas, STC 222/2006, de 6 de julio)”.</w:t>
      </w:r>
    </w:p>
    <w:p w:rsidR="005728DD" w:rsidRDefault="005728DD" w:rsidP="005728DD">
      <w:pPr>
        <w:pStyle w:val="TextoNormal"/>
      </w:pPr>
    </w:p>
    <w:p w:rsidR="005728DD" w:rsidRDefault="005728DD" w:rsidP="005728DD">
      <w:pPr>
        <w:pStyle w:val="TextoNormal"/>
      </w:pPr>
      <w:r w:rsidRPr="005728DD">
        <w:rPr>
          <w:rStyle w:val="NumeroAFNegritaCaracter"/>
        </w:rPr>
        <w:t>2</w:t>
      </w:r>
      <w:r>
        <w:t>. El Pleno del Tribunal Constitucional, mediante providencia de 9 de septiembre de 2020, acordó admitir a trámite el recurso de inconstitucionalidad interpuesto y dar traslado de la demanda y de los documentos presentados, conforme establece el art. 34 de la Ley Orgánica del Tribunal Constitucional (LOTC), al Congreso de los Diputados, al Senado, al Gobierno y al Parlamento del País Vasco, por conducto de sus presidentes, al objeto de que en el plazo de quince días, pudieran personarse en el proceso y formular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3</w:t>
      </w:r>
      <w:r>
        <w:t>. Por escrito registrado en el tribunal el día 18 de septiembre de 2020, la presidenta del Congreso de los Diputados puso en conocimiento el acuerdo de la mesa dando por personada a la Cámara y ofreciendo su colaboración a los efectos del art. 88.1 LOTC. No consta la personación del Senado.</w:t>
      </w:r>
    </w:p>
    <w:p w:rsidR="005728DD" w:rsidRDefault="005728DD" w:rsidP="005728DD">
      <w:pPr>
        <w:pStyle w:val="TextoNormal"/>
      </w:pPr>
    </w:p>
    <w:p w:rsidR="005728DD" w:rsidRDefault="005728DD" w:rsidP="005728DD">
      <w:pPr>
        <w:pStyle w:val="TextoNormal"/>
      </w:pPr>
      <w:r w:rsidRPr="005728DD">
        <w:rPr>
          <w:rStyle w:val="NumeroAFNegritaCaracter"/>
        </w:rPr>
        <w:t>4</w:t>
      </w:r>
      <w:r>
        <w:t>. Los días 5 y 6 de octubre de 2020 fueron registrados escritos de la letrada del Parlamento Vasco y de los servicios jurídicos centrales del Gobierno Vasco solicitando que se les tuviera por comparecidos y personados en el procedimiento y se les concediera la máxima prórroga para formular alegaciones.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El día 27 de octubre de 2020 se registró el escrito de alegaciones del Gobierno del País Vasco.</w:t>
      </w:r>
    </w:p>
    <w:p w:rsidR="005728DD" w:rsidRDefault="005728DD" w:rsidP="005728DD">
      <w:pPr>
        <w:pStyle w:val="TextoNormal"/>
      </w:pPr>
    </w:p>
    <w:p w:rsidR="005728DD" w:rsidRDefault="005728DD" w:rsidP="005728DD">
      <w:pPr>
        <w:pStyle w:val="TextoNormal"/>
      </w:pPr>
      <w:r>
        <w:t>El escrito comienza con una referencia al procedimiento de aprobación del proyecto de ley de la quinta modificación de la Ley de policía del País Vasco así como a su tramitación parlamentaria, aprobación y publicación como Ley 7/2019, de 27 de junio. Alude al acuerdo de la comisión bilateral de cooperación administración del Estado-administración de la Comunidad Autónoma del País Vasco, que en relación con dicha ley fue suscrito el 16 de septiembre de 2019, y que finalizó sin acuerdo en relación con la disposición impugnada.</w:t>
      </w:r>
    </w:p>
    <w:p w:rsidR="005728DD" w:rsidRDefault="005728DD" w:rsidP="005728DD">
      <w:pPr>
        <w:pStyle w:val="TextoNormal"/>
      </w:pPr>
    </w:p>
    <w:p w:rsidR="005728DD" w:rsidRDefault="005728DD" w:rsidP="005728DD">
      <w:pPr>
        <w:pStyle w:val="TextoNormal"/>
      </w:pPr>
      <w:r>
        <w:t>Bajo la rúbrica “Consideraciones jurídicas” desarrolla en cinco apartados las razones por las que se impugna el recurso de inconstitucionalidad:</w:t>
      </w:r>
    </w:p>
    <w:p w:rsidR="005728DD" w:rsidRDefault="005728DD" w:rsidP="005728DD">
      <w:pPr>
        <w:pStyle w:val="TextoNormal"/>
      </w:pPr>
    </w:p>
    <w:p w:rsidR="005728DD" w:rsidRDefault="005728DD" w:rsidP="005728DD">
      <w:pPr>
        <w:pStyle w:val="TextoNormal"/>
      </w:pPr>
      <w:r>
        <w:t>a) Como cuestión previa considera que no se formula una argumentación específica que permita conocer los concretos motivos por los que se produce la infracción constitucional invocada. Para alcanzar dicha conclusión efectúa una síntesis del contenido del recurso de inconstitucionalidad y sostiene que se desconocen cuáles son los preceptos de la legislación básica conculcados y el porqué de la contradicción afirmada. Considera que la indefinición practicada en el escrito y la falta de argumentación necesaria de las afirmaciones vertidas impide el ejercicio del derecho de defensa e impide que el Gobierno Vasco se enfrente a unos argumentos específicos desconocidos que, además, son exigibles de acuerdo a la doctrina constitucional. Si bien reconoce que el recurso incorpora dos párrafos que “finalmente” parecen venir a concretar la insuficiente argumentación estatal hasta ahora analizada, sin embargo, los mismos comportan tal nivel de abstracción que no hacen sino acrecentar las dudas y la incomprensión del contenido concreto del recurso presentado, lo cual “impide, en principio, desarrollar unas alegaciones ‘a lo desconocido’ en el ejercicio legítimo de nuestro derecho de defensa”. Con cita de la doctrina expuesta en la STC 82/2020, de 15 de julio, concluye que la abogacía del Estado no ha realizado el esfuerzo argumentativo suficiente exigible y exigido por dicha doctrina constitucional y que el Tribunal Constitucional ha determinado como una “carga del recurrente”.</w:t>
      </w:r>
    </w:p>
    <w:p w:rsidR="005728DD" w:rsidRDefault="005728DD" w:rsidP="005728DD">
      <w:pPr>
        <w:pStyle w:val="TextoNormal"/>
      </w:pPr>
    </w:p>
    <w:p w:rsidR="005728DD" w:rsidRDefault="005728DD" w:rsidP="005728DD">
      <w:pPr>
        <w:pStyle w:val="TextoNormal"/>
      </w:pPr>
      <w:r>
        <w:t xml:space="preserve">b) En el segundo apartado de sus alegaciones expone los títulos competenciales que sustentan la Ley 7/2019, de 27 de junio. Tras reproducir parte de uno de los fundamentos de la STC 156/2015, de 9 de julio, en el que se afirma que “[d]e una interpretación conjunta de los preceptos recogidos en la Constitución y en los estatutos de autonomía, este tribunal ha interpretado que ‘al Estado le corresponde el establecimiento de las bases del régimen estatutario de los funcionarios de las administraciones públicas y a la comunidad autónoma […] el desarrollo legislativo y la ejecución de las bases de dicho régimen estatutario en lo que se refiere a los funcionarios al servicio de la comunidad autónoma y al servicio de las corporaciones locales radicadas en su ámbito territorial’ (STC 37/2002, de 14 de febrero, FJ 8)”, alude a que la Comisión Jurídica Asesora de Euskadi ha analizado en profundidad la competencia de la comunidad autónoma en la materia a lo largo de diversos dictámenes emitidos con ocasión del examen de los diferentes anteproyectos de modificación de la Ley de policía del País Vasco (67/2006, 120/2007, 132/2007, 130/2011, 62/2016 y 98/2020). En tales dictámenes se declara el carácter incuestionable de la competencia autonómica para ordenar la materia en virtud del título competencial que el artículo 17 del Estatuto de Autonomía del País Vasco (EAPV) le atribuye en cuanto al “régimen de la policía autónoma” en </w:t>
      </w:r>
      <w:r>
        <w:lastRenderedPageBreak/>
        <w:t>actualización del régimen foral previsto en la disposición adicional primera de la Constitución.</w:t>
      </w:r>
    </w:p>
    <w:p w:rsidR="005728DD" w:rsidRDefault="005728DD" w:rsidP="005728DD">
      <w:pPr>
        <w:pStyle w:val="TextoNormal"/>
      </w:pPr>
    </w:p>
    <w:p w:rsidR="005728DD" w:rsidRDefault="005728DD" w:rsidP="005728DD">
      <w:pPr>
        <w:pStyle w:val="TextoNormal"/>
      </w:pPr>
      <w:r>
        <w:t>En este sentido, reproduce extensamente parte del dictamen número 98/2020 y el dictamen 22/2020 en el que con cita de la “parte expositiva” del texto refundido de la Ley del estatuto básico del empleado público, se indica que “el régimen de la función pública no puede configurarse hoy sobre la base de un sistema homogéneo que tenga como modelo único de referencia a la administración del Estado. Por el contrario, cada administración debe poder configurar su propia política de personal, sin merma de los necesarios elementos de cohesión y de los instrumentos de coordinación consiguientes”.</w:t>
      </w:r>
    </w:p>
    <w:p w:rsidR="005728DD" w:rsidRDefault="005728DD" w:rsidP="005728DD">
      <w:pPr>
        <w:pStyle w:val="TextoNormal"/>
      </w:pPr>
    </w:p>
    <w:p w:rsidR="005728DD" w:rsidRDefault="005728DD" w:rsidP="005728DD">
      <w:pPr>
        <w:pStyle w:val="TextoNormal"/>
      </w:pPr>
      <w:r>
        <w:t>c) El tercer bloque de alegaciones lo dedica a desarrollar la razón por la que avala la constitucionalidad del apartado segundo de la disposición transitoria impugnada, tomando en consideración para ello la situación excepcional a la que el legislador autonómico ha querido dar respuesta y la dificultad de cuestionar los argumentos del recurso.</w:t>
      </w:r>
    </w:p>
    <w:p w:rsidR="005728DD" w:rsidRDefault="005728DD" w:rsidP="005728DD">
      <w:pPr>
        <w:pStyle w:val="TextoNormal"/>
      </w:pPr>
    </w:p>
    <w:p w:rsidR="005728DD" w:rsidRDefault="005728DD" w:rsidP="005728DD">
      <w:pPr>
        <w:pStyle w:val="TextoNormal"/>
      </w:pPr>
      <w:r>
        <w:t xml:space="preserve">Indica que no es un aspecto cuestionado “por esta representación” que la competencia exclusiva que al Estado atribuye el artículo 149.1.18 CE para establecer las bases del régimen estatutario de los funcionarios públicos se extiende subjetivamente a todos los funcionarios de todas las administraciones públicas, incluidos los de las administraciones de las comunidades autónomas y los de las corporaciones locales (STC 154/2017, de 21 de diciembre, FJ 5), y por consiguiente a los miembros de los cuerpos de policía local a los que se refiere el precepto impugnado. Y del mismo modo no resulta objeto de controversia el alcance de la expresión “régimen estatutario” que el tribunal ha delimitado poniendo en conexión los artículos 103.3 y 149.1.18 CE, y reconoce que aun cuando “sus contornos no pueden definirse en abstracto y </w:t>
      </w:r>
      <w:r w:rsidRPr="005728DD">
        <w:rPr>
          <w:i/>
        </w:rPr>
        <w:t>a priori</w:t>
      </w:r>
      <w:r>
        <w:t>”, sí se encontraría comprendida en su ámbito “en principio” la regulación relativa a la adquisición y pérdida de la condición de funcionario (por todas, STC 156/2015, de 9 de julio, FJ 8).</w:t>
      </w:r>
    </w:p>
    <w:p w:rsidR="005728DD" w:rsidRDefault="005728DD" w:rsidP="005728DD">
      <w:pPr>
        <w:pStyle w:val="TextoNormal"/>
      </w:pPr>
    </w:p>
    <w:p w:rsidR="005728DD" w:rsidRDefault="005728DD" w:rsidP="005728DD">
      <w:pPr>
        <w:pStyle w:val="TextoNormal"/>
      </w:pPr>
      <w:r>
        <w:t>En tal sentido, trayendo a colación el dictamen del Consejo de Estado núm. 217/2020 indica que “en ejercicio de estas competencias, el legislador estatal ha disciplinado el acceso a la función pública en el artículo 61 TRLEEP, sujetando cualquier proceso a los principios de igualdad, mérito y capacidad”, un horizonte que debe ser considerado desde las presentes alegaciones a la vista de las menciones incorporadas al recurso, tanto al propio artículo 61 TRLEEP como a los principios señalados, dada la materia concreta en la que estimamos debe centrarse el presente debate, esto es, los procesos selectivos para el acceso a la función pública sujetos a los principios de igualdad, mérito y capacidad y en particular, los procesos selectivos de consolidación de empleo temporal en las administraciones públicas. Afirma que estos procesos selectivos de consolidación de empleo temporal, en lo que se refiere a la legislación básica estatal, se contemplan en la disposición transitoria cuarta del referido texto refundido, que a su vez, resulta claro que remite a los apartados 1 y 3 del art. 61 TRLEEP.</w:t>
      </w:r>
    </w:p>
    <w:p w:rsidR="005728DD" w:rsidRDefault="005728DD" w:rsidP="005728DD">
      <w:pPr>
        <w:pStyle w:val="TextoNormal"/>
      </w:pPr>
    </w:p>
    <w:p w:rsidR="005728DD" w:rsidRDefault="005728DD" w:rsidP="005728DD">
      <w:pPr>
        <w:pStyle w:val="TextoNormal"/>
      </w:pPr>
      <w:r>
        <w:t xml:space="preserve">Refiere que el contenido general de la regulación de los procesos selectivos especiales de consolidación de empleo en los cuerpos de policía local de la Comunidad Autónoma del País Vasco respeta el marco normativo básico estatal, pues se observa lo dispuesto en los apartados 1 y 3 del artículo 61 TRLEEP y se garantiza asimismo el cumplimiento de los principios de igualdad, mérito, capacidad y publicidad en los procesos selectivos especiales </w:t>
      </w:r>
      <w:r>
        <w:lastRenderedPageBreak/>
        <w:t>regulados en la disposición transitoria décima de la Ley impugnada. Y en cuanto al apartado segundo que regula la “posibilidad” de incorporar a los procesos selectivos especiales de consolidación de empleo en los cuerpos de policía local de la Comunidad Autónoma del País Vasco, justifica su regulación porque no ha sido establecida por el legislador autonómico de forma general, y se limita a supuestos en los que en la categoría correspondiente del cuerpo de policía local exista un porcentaje de interinidad superior al 40 por 100, lo que viene a suponer un elevadísimo porcentaje de empleo público de carácter temporal.</w:t>
      </w:r>
    </w:p>
    <w:p w:rsidR="005728DD" w:rsidRDefault="005728DD" w:rsidP="005728DD">
      <w:pPr>
        <w:pStyle w:val="TextoNormal"/>
      </w:pPr>
    </w:p>
    <w:p w:rsidR="005728DD" w:rsidRDefault="005728DD" w:rsidP="005728DD">
      <w:pPr>
        <w:pStyle w:val="TextoNormal"/>
      </w:pPr>
      <w:r>
        <w:t>d) El cuarto bloque argumental lo dedica a exponer el “contexto normativo y jurisprudencial europeo” que informa y justifica la adopción del precepto impugnado. A tal fin se refiere a la prohibición del “abuso en la contratación temporal sucesiva del personal público” y obligando a los Estados miembros a sancionar los abusos que se produzcan” y la “necesidad de una sanción” a los Estados miembros ante el abuso existente, y ello a través del establecimiento de una medida adecuada para sancionar debidamente el abuso constatado que contiene la Directiva 1999/70/CE, del Consejo, de 28 de junio. Detalla el contenido de la sentencia del Tribunal de Justicia de la Unión Europea, Sala Segunda, de 19 de marzo de 2020, en los asuntos acumulados C-103/18 y C-429/18 (apartados 85, 86, 87, 97, 99, 100 y 101) así como las consideraciones previas desarrolladas por la abogada general, Juliane Kokott. Reconoce como cierto que el Tribunal de Justicia de la Unión Europea por su parte no determina el contenido de la medida adecuada para sancionar el abuso, si bien entiende que el apartado segundo impugnado tomaría en consideración la existencia del abuso señalado por el Tribunal de Justicia de la Unión Europea, constituyéndose en un instrumento normativo válido tanto a modo de sanción de la misma como para eliminar las consecuencias de la infracción del derecho de la Unión Europea, dando respuesta de un modo adecuado a dos aspectos de enorme trascendencia evidenciados por el Tribunal de Justicia de la Unión Europea. Cierra esta línea argumental con la cita del auto de 30 de septiembre de 2020, de su Sala Octava, en el asunto C-135/20, por el que el Tribunal de Justicia de la Unión Europea declara que la Directiva 1999/70/CE se opone a la “legislación de un Estado miembro que prohíbe totalmente, en el sector público, la conversión de una sucesión de contratos de trabajo de duración determinada, en tanto esta legislación no prevea, en relación con este sector, otras medidas efectivas que eviten y, en este caso, sancionen la utilización abusiva de contratos de duración determinada sucesivos”.</w:t>
      </w:r>
    </w:p>
    <w:p w:rsidR="005728DD" w:rsidRDefault="005728DD" w:rsidP="005728DD">
      <w:pPr>
        <w:pStyle w:val="TextoNormal"/>
      </w:pPr>
    </w:p>
    <w:p w:rsidR="005728DD" w:rsidRDefault="005728DD" w:rsidP="005728DD">
      <w:pPr>
        <w:pStyle w:val="TextoNormal"/>
      </w:pPr>
      <w:r>
        <w:t xml:space="preserve">e) Dedica la quinta y última parte de sus alegaciones a lo que denomina contextualización de la situación excepcional del alto grado de interinidad en determinados cuerpos de policía local de la Comunidad Autónoma del País Vasco para justificar el apartado segundo de la disposición transitoria décima. Afirma que la profesión policial requiere unas destrezas y conocimientos que no se adquieren hasta superar los procesos selectivos de ingreso. Alude a la resolución de 29 de noviembre de 2019, de la directora general de la Academia vasca de policía y emergencias, por la que se convocaba un procedimiento de selección, mediante sistema de oposición, para la creación de una bolsa de agentes interinos e interinas de policía local en la escala básica y grupo de clasificación C-1 para prestar servicio de forma temporal en dicho cuerpo. Indica que los integrantes de dicha bolsa son aquellos a quienes se dirige la disposición transitoria décima de la Ley del Parlamento Vasco 7/2019, así como su apartado segundo en particular. Considera que interesa destacar la realidad de las conformaciones de las plantillas de policía local en la Comunidad Autónoma del País Vasco, en las que existe un alto porcentaje de interinidad en general y sobre todo en determinados cuerpos. Mientras la temporalidad del sector público alcanza el 23 por 100 de media y, recordemos, </w:t>
      </w:r>
      <w:r>
        <w:lastRenderedPageBreak/>
        <w:t>se ha establecido como objetivo europeo su reducción a un 8 por 100, existen cuerpos de policía local en determinados ayuntamientos con un porcentaje de interinidad superior al 40 por 100, en algunos casos con más del 60 por 100 o el 70 por 100. Como causas de dicha interinidad destaca (1) las cicateras tasas de reposición, alejadas de las necesidades reales de los ayuntamientos de la Comunidad Autónoma del País Vasco; y (2) las jubilaciones voluntarias a lo largo del año 2020 por influjo del adelanto de la edad de jubilación.</w:t>
      </w:r>
    </w:p>
    <w:p w:rsidR="005728DD" w:rsidRDefault="005728DD" w:rsidP="005728DD">
      <w:pPr>
        <w:pStyle w:val="TextoNormal"/>
      </w:pPr>
    </w:p>
    <w:p w:rsidR="005728DD" w:rsidRDefault="005728DD" w:rsidP="005728DD">
      <w:pPr>
        <w:pStyle w:val="TextoNormal"/>
      </w:pPr>
      <w:r>
        <w:t>Afirma que observando la situación global a nivel de la Comunidad Autónoma del País Vasco, los datos revelan que existen cuerpos de policía local en 82 municipios del País Vasco, conformando una plantilla global de 3.300 agentes, de los cuales, 434 son interinos en la actualidad. Refiere que en veintiocho municipios vascos existe un porcentaje de interinidad en la policía local superior a 40 por 100 de la plantilla, si bien de estos únicamente doce municipios cuentan en plantilla con funcionarios interinos con más de ocho años de antigüedad, y concretamente tres municipios presentan un porcentaje de interinidad superior al 60 por 100. Son doce las plantillas de policía local de municipios del País Vasco que podrían acogerse a los procesos de consolidación con el turno diferenciado regulado en el apartado segundo de la disposición transitoria décima de la ley impugnada. Sostiene que el legislador autonómico vasco, ante esta situación excepcional, singular, puntual y transitoria, ha optado por adoptar medidas para restringir o limitar la interinidad. Y lo hace consciente de la necesidad de completar la profesionalización de la policía local mediante la estabilización de sus plantillas con funcionarios de carrera por razones de seguridad jurídica, por razones operativas, y consciente de la necesidad del cumplimiento del marco normativo y jurisprudencial europeo anteriormente expuestos.</w:t>
      </w:r>
    </w:p>
    <w:p w:rsidR="005728DD" w:rsidRDefault="005728DD" w:rsidP="005728DD">
      <w:pPr>
        <w:pStyle w:val="TextoNormal"/>
      </w:pPr>
    </w:p>
    <w:p w:rsidR="005728DD" w:rsidRDefault="005728DD" w:rsidP="005728DD">
      <w:pPr>
        <w:pStyle w:val="TextoNormal"/>
      </w:pPr>
      <w:r>
        <w:t>Recuerda que disposiciones similares a la impugnada se encuentran en la propia Ley 6/1989, de 6 de julio, de la función pública vasca —aún vigente— que dio lugar a la conformación de la doctrina constitucional reflejada en la STC 27/2012, de 1 de marzo. Añade que trascurridos más de treinta años, la Comunidad Autónoma del País Vasco está afrontando una situación singular, puntual, transitoria y de carácter excepcional en lo que respecta a la conformación del empleo en su sector público. Reconoce que el País Vasco es la comunidad autónoma con mayor tasa de temporalidad del Estado en su sector público, con un 38,7 por 100, es decir, alrededor de 58700 personas interinas/temporales. Alude, como razón que justificaría la validez constitucional de la norma impugnada, a los diferentes turnos de acceso con reserva de plazas a distintos colectivos en las ofertas de empleo público tanto estatales (Real Decreto Legislativo 5/2015, de 30 de octubre, por el que se aprueba la Ley del estatuto básico del empleado público; Ley 8/2006, de 24 de abril, de tropa y marinería, y Ley 6/2018, de 3 de julio, de presupuestos generales del Estado para 2018) y autonómicas, (art. 27 de la Ley 4/2018, de 19 de abril, de identidad y expresión de género e igualdad social y no discriminación de la Comunidad Autónoma de Aragón; art. 50 de la Ley 7/2018, de 28 de junio, de igualdad de oportunidades entre mujeres y hombres en Aragón, y disposición adicional segunda de la Ley 4/2008, de 17 de junio, de medidas a favor de las víctimas del terrorismo de la Comunidad Autónoma de Aragón). Sostiene que las tres leyes autonómicas citadas no han sido impugnadas por el Estado, así como tampoco lo han sido las diversas y numerosas ofertas públicas de empleo de las administraciones aragonesas que incorporan las reservas de plazas reguladas en estas tres leyes autonómicas.</w:t>
      </w:r>
    </w:p>
    <w:p w:rsidR="005728DD" w:rsidRDefault="005728DD" w:rsidP="005728DD">
      <w:pPr>
        <w:pStyle w:val="TextoNormal"/>
      </w:pPr>
    </w:p>
    <w:p w:rsidR="005728DD" w:rsidRDefault="005728DD" w:rsidP="005728DD">
      <w:pPr>
        <w:pStyle w:val="TextoNormal"/>
      </w:pPr>
      <w:r>
        <w:t xml:space="preserve">Por último recuerda la doctrina constitucional expuesta en las SSTC 27/2012, de 1 marzo; 238/2015, de 19 de noviembre, FJ 4, y 86/2016, de 28 de abril, FJ 4, y entiende que resulta </w:t>
      </w:r>
      <w:r>
        <w:lastRenderedPageBreak/>
        <w:t>innegable que la medida normativa autonómica impugnada, además de adecuada para dar cumplimiento a la obligación establecida en el marco normativo y jurisprudencial europeo con las autoridades nacionales por destinatarias, se constituye además como medida normativa para dar respuesta a los elevados porcentajes de interinidad en determinadas administraciones públicas del País Vasco por lo que cumpliría los requisitos constitucionalmente exigidos.</w:t>
      </w:r>
    </w:p>
    <w:p w:rsidR="005728DD" w:rsidRDefault="005728DD" w:rsidP="005728DD">
      <w:pPr>
        <w:pStyle w:val="TextoNormal"/>
      </w:pPr>
    </w:p>
    <w:p w:rsidR="005728DD" w:rsidRDefault="005728DD" w:rsidP="005728DD">
      <w:pPr>
        <w:pStyle w:val="TextoNormal"/>
      </w:pPr>
      <w:r w:rsidRPr="005728DD">
        <w:rPr>
          <w:rStyle w:val="NumeroAFNegritaCaracter"/>
        </w:rPr>
        <w:t>6</w:t>
      </w:r>
      <w:r>
        <w:t>. El día 30 de octubre de 2020 tuvo entrada en el registro general del Tribunal el escrito de alegaciones del Parlamento Vasco.</w:t>
      </w:r>
    </w:p>
    <w:p w:rsidR="005728DD" w:rsidRDefault="005728DD" w:rsidP="005728DD">
      <w:pPr>
        <w:pStyle w:val="TextoNormal"/>
      </w:pPr>
    </w:p>
    <w:p w:rsidR="005728DD" w:rsidRDefault="005728DD" w:rsidP="005728DD">
      <w:pPr>
        <w:pStyle w:val="TextoNormal"/>
      </w:pPr>
      <w:r>
        <w:t>a) Comienza examinando las disposiciones objeto del recurso. A continuación, alega la existencia de un nexo de unión entre la estabilidad (y consolidación) en el empleo y la dignidad de la persona (art. 10.1 CE). Refiere que el derecho al trabajo (art. 35 CE) y a la promoción profesional es un valor informador de la política social y económica de los poderes públicos. Considera que el “binomio estabilidad en el trabajo/dignidad de la persona, como dúo indisoluble que se colige de los diferentes preceptos del texto constitucional ha llevado al legislador estatal a establecer la posibilidad de tomar medidas de consolidación de empleo en las administraciones públicas, tal como señala la mencionada disposición transitoria cuarta del texto refundido del Estatuto básico del empleado público”.</w:t>
      </w:r>
    </w:p>
    <w:p w:rsidR="005728DD" w:rsidRDefault="005728DD" w:rsidP="005728DD">
      <w:pPr>
        <w:pStyle w:val="TextoNormal"/>
      </w:pPr>
    </w:p>
    <w:p w:rsidR="005728DD" w:rsidRDefault="005728DD" w:rsidP="005728DD">
      <w:pPr>
        <w:pStyle w:val="TextoNormal"/>
      </w:pPr>
      <w:r>
        <w:t>b) Se refiere en términos análogos a las alegaciones del Gobierno Vasco a la Directiva 1999/70/CE, del Consejo, de 28 de junio de 1999, relativa al acuerdo marco de la CES [Confederación Europea de Sindicatos], la UNICE [Unión de Confederaciones de la Industria Europea] y el CEEP [Centro Europeo de la Empresa Pública] sobre el trabajo de duración determinada, con cita de las mismas sentencias del Tribunal de Justicia de la Unión Europea, señalando que la disposición impugnada sanciona debidamente el uso abusivo de sucesiones de contratos y relaciones laborales de duración determinada y redundará en una adecuada compensación a las personas que han sufrido la incertidumbre de una prolongada interinidad.</w:t>
      </w:r>
    </w:p>
    <w:p w:rsidR="005728DD" w:rsidRDefault="005728DD" w:rsidP="005728DD">
      <w:pPr>
        <w:pStyle w:val="TextoNormal"/>
      </w:pPr>
    </w:p>
    <w:p w:rsidR="005728DD" w:rsidRDefault="005728DD" w:rsidP="005728DD">
      <w:pPr>
        <w:pStyle w:val="TextoNormal"/>
      </w:pPr>
      <w:r>
        <w:t>c) Acepta que el recurso de inconstitucionalidad plantea un problema competencial, que gira en torno a la competencia del Estado para regular el régimen estatutario de sus funcionarios públicos (art. 149.1.18 CE). Recuerda que Estatuto del País Vasco, en su artículo l0.4 consagra la competencia de Euskadi en materia de régimen local y estatuto de los funcionarios del País Vasco y de su administración local, sin perjuicio de lo establecido en el artículo 149.1.18 CE. Afirma que el art. 39 de la Ley Orgánica de fuerzas y cuerpos de seguridad otorga a las comunidades autónomas amplias competencias de contenido normativo, que abarcan, entre otras cuestiones, los criterios de selección, formación, promoción y movilidad, cuestiones que tienen un profundo nexo con la disposición impugnada. Concluye afirmando que las previsiones contenidas en la disposición cuestionada son conformes con la realidad de la propia administración de la comunidad autónoma y con las previsiones contenidas en la legislación básica.</w:t>
      </w:r>
    </w:p>
    <w:p w:rsidR="005728DD" w:rsidRDefault="005728DD" w:rsidP="005728DD">
      <w:pPr>
        <w:pStyle w:val="TextoNormal"/>
      </w:pPr>
    </w:p>
    <w:p w:rsidR="005728DD" w:rsidRDefault="005728DD" w:rsidP="005728DD">
      <w:pPr>
        <w:pStyle w:val="TextoNormal"/>
      </w:pPr>
      <w:r>
        <w:t xml:space="preserve">d) Para la doctrina constitucional serían procesos cerrados o restringidos aquellos en los que para tomar parte en los mismos se exige haber prestado servicios profesionales en la administración convocante (SSTC 22/1981, 59/1982, 67/1989, 50/1991 y 340/1993, entre otras). Tales procesos serían compatibles con el art. 23 CE en determinados casos excepcionales, siempre que el proceso selectivo restringido, además de estar previsto en la ley, </w:t>
      </w:r>
      <w:r>
        <w:lastRenderedPageBreak/>
        <w:t>sea un medio excepcional y adecuado para resolver una situación excepcional, así como que la diferencia de trato tenga una fundamentación razonable y objetiva y que no establezca diferencias que no guarden relación con el mérito y la capacidad. A ello se le debe añadir que tenga por objeto una finalidad constitucionalmente legítima, y que se justifique la excepcionalidad de la medida a adoptar, y que se fundamente exclusivamente en una singular, puntual y transitoria necesidad de la administración. Entiende que la disposición impugnada satisface tales exigencias.</w:t>
      </w:r>
    </w:p>
    <w:p w:rsidR="005728DD" w:rsidRDefault="005728DD" w:rsidP="005728DD">
      <w:pPr>
        <w:pStyle w:val="TextoNormal"/>
      </w:pPr>
    </w:p>
    <w:p w:rsidR="005728DD" w:rsidRDefault="005728DD" w:rsidP="005728DD">
      <w:pPr>
        <w:pStyle w:val="TextoNormal"/>
      </w:pPr>
      <w:r>
        <w:t>Recuerda que el Tribunal Constitucional reconoció la constitucionalidad de los procesos restringidos convocados por las administraciones andaluzas y canarias en la STC 27/1991, de 14 de febrero. Y, de modo similar a las alegaciones formuladas por el Gobierno Vasco, pone de manifiesto el alto porcentaje de interinidad existente y las causas del mismo. Y justifica la finalidad de la disposición impugnada en términos análogos a los realizados por el Gobierno Vasco.</w:t>
      </w:r>
    </w:p>
    <w:p w:rsidR="005728DD" w:rsidRDefault="005728DD" w:rsidP="005728DD">
      <w:pPr>
        <w:pStyle w:val="TextoNormal"/>
      </w:pPr>
    </w:p>
    <w:p w:rsidR="005728DD" w:rsidRDefault="005728DD" w:rsidP="005728DD">
      <w:pPr>
        <w:pStyle w:val="TextoNormal"/>
      </w:pPr>
      <w:r>
        <w:t>Tras justificar que se reúnen los requisitos constitucionalmente exigidos para regular un proceso de acceso restringido, señala que incluso es cuestionable que la disposición impugnada contemple en sentido propio un proceso restringido, pues “no se restringe la participación en el proceso selectivo únicamente a la persona que ocupaba las plazas contempladas en la oferta de empleo”, pues “lo único que se contempla es la posibilidad de un turno diferenciado de acceso a un porcentaje máximo de las plazas vacantes convocadas”.</w:t>
      </w:r>
    </w:p>
    <w:p w:rsidR="005728DD" w:rsidRDefault="005728DD" w:rsidP="005728DD">
      <w:pPr>
        <w:pStyle w:val="TextoNormal"/>
      </w:pPr>
    </w:p>
    <w:p w:rsidR="005728DD" w:rsidRDefault="005728DD" w:rsidP="005728DD">
      <w:pPr>
        <w:pStyle w:val="TextoNormal"/>
      </w:pPr>
      <w:r>
        <w:t>Coincidiendo con las alegaciones del Gobierno Vasco indica que la posibilidad de un turno diferenciado ha sido reconocida en diversas leyes estatales. Reconoce el carácter básico de la disposición transitoria cuarta del texto refundido de la Ley del estatuto básico del empleado público y con similares argumentos a los empleados por el Gobierno Vasco —con cita en su apoyo de la STC 107/2003, de 2 de junio—, insiste en que no se plantea un concurso-oposición restringido, sino un turno específico en el seno de un concurso-oposición público, concretado a un número extremadamente limitado de casos.</w:t>
      </w:r>
    </w:p>
    <w:p w:rsidR="005728DD" w:rsidRDefault="005728DD" w:rsidP="005728DD">
      <w:pPr>
        <w:pStyle w:val="TextoNormal"/>
      </w:pPr>
    </w:p>
    <w:p w:rsidR="005728DD" w:rsidRDefault="005728DD" w:rsidP="005728DD">
      <w:pPr>
        <w:pStyle w:val="TextoNormal"/>
      </w:pPr>
      <w:r>
        <w:t>Finalmente, en relación con la invocación del art. 149.1.13 CE sostiene que no se aportan datos de que la disposición recurrida incremente el gasto de personal, ni puede colegirse que la convocatoria consuma plazas susceptibles de ser convocadas en el marco de lo establecido en la normativa básica presupuestaria estatal.</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providencia de 16 de febrero de 2021, se señaló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inconstitucionalidad y posiciones de las partes</w:t>
      </w:r>
      <w:r>
        <w:t>. En el presente recurso de inconstitucionalidad se impugna el apartado segundo de la disposición transitoria décima de la Ley 7/2019, de 27 de junio, de quinta modificación de la Ley de policía del País Vasco. El indicado apartado tiene el siguiente tenor literal:</w:t>
      </w:r>
    </w:p>
    <w:p w:rsidR="005728DD" w:rsidRDefault="005728DD" w:rsidP="005728DD">
      <w:pPr>
        <w:pStyle w:val="TextoNormal"/>
      </w:pPr>
    </w:p>
    <w:p w:rsidR="005728DD" w:rsidRDefault="005728DD" w:rsidP="005728DD">
      <w:pPr>
        <w:pStyle w:val="TextoNormal"/>
      </w:pPr>
      <w:r>
        <w:t xml:space="preserve">“De existir en la categoría correspondiente del cuerpo de policía local un porcentaje de interinidad superior al 40 por 100 podrá incorporarse al proceso especial de consolidación </w:t>
      </w:r>
      <w:r>
        <w:lastRenderedPageBreak/>
        <w:t>de empleo, un turno diferenciado de acceso para quienes acrediten un mínimo de ocho años de antigüedad en la administración convocante en la categoría de la policía local a la que pertenecen las plazas convocadas, reservando para dicho turno diferenciado de acceso hasta el 60 por 100 de las plazas ofertadas”.</w:t>
      </w:r>
    </w:p>
    <w:p w:rsidR="005728DD" w:rsidRDefault="005728DD" w:rsidP="005728DD">
      <w:pPr>
        <w:pStyle w:val="TextoNormal"/>
      </w:pPr>
    </w:p>
    <w:p w:rsidR="005728DD" w:rsidRDefault="005728DD" w:rsidP="005728DD">
      <w:pPr>
        <w:pStyle w:val="TextoNormal"/>
      </w:pPr>
      <w:r>
        <w:t>El recurso de inconstitucionalidad denuncia que dicho apartado vulnera el orden constitucional de distribución de competencias al establecer un turno diferenciado de acceso a la función pública para quienes acrediten un mínimo de ocho años de antigüedad en la administración convocante en la categoría de la policía local a la que pertenecen las plazas convocadas contraviniendo la norma básica estatal dictada al amparo del art. 149.1.18 CE. En concreto, para el Gobierno de la Nación la vulneración del orden de distribución de competencias por la norma impugnada resultaría de la articulación de unas pruebas de acceso que tienen carácter restringido que quebrantaría la garantía del cumplimiento de los principios de igualdad, mérito, capacidad y publicidad exigida en la disposición transitoria cuarta del Real Decreto Legislativo 5/2015, de 30 de octubre, por el que se aprueba el texto refundido de la Ley del estatuto básico del empleado público y que en su apartado tercero refiere que “los procesos selectivos se desarrollarán conforme a lo dispuesto en los apartados 1 y 3 del artículo 61 del presente estatuto”. Por otra parte afirma que la competencia autonómica en materia de régimen estatutario de sus funcionarios públicos puede encontrar en el art. 149.1.13 CE, un límite en el ejercicio legítimo de la mencionada competencia estatal para establecer las bases de la planificación económica general. Los letrados del Gobierno y del Parlamento del País Vasco, como consta en los antecedentes, solicitan la desestimación íntegra del recurso.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Consideraciones previas</w:t>
      </w:r>
      <w:r>
        <w:t>. Antes de abordar el examen de la impugnación contenida en el recurso de inconstitucionalidad interpuesto, debemos realizar una serie de observaciones preliminares.</w:t>
      </w:r>
    </w:p>
    <w:p w:rsidR="005728DD" w:rsidRDefault="005728DD" w:rsidP="005728DD">
      <w:pPr>
        <w:pStyle w:val="TextoNormal"/>
      </w:pPr>
    </w:p>
    <w:p w:rsidR="005728DD" w:rsidRDefault="005728DD" w:rsidP="005728DD">
      <w:pPr>
        <w:pStyle w:val="TextoNormal"/>
      </w:pPr>
      <w:r>
        <w:t>a) Con carácter previo al examen de fondo, aun cuando las partes no lo han puesto de manifiesto, procede precisar que con posterioridad a la interposición del recurso de inconstitucionalidad, la Ley de quinta modificación de la Ley de policía del País Vasco ha sido objeto de derogación expresa mediante la disposición derogatoria del Decreto Legislativo 1/2020, de 22 de julio, por el que se aprueba el texto refundido de la Ley de policía del País Vasco (“Boletín Oficial del Estado” núm. 220, de 15 de agosto de 2020, y “Boletín Oficial del País Vasco” de 6 de agosto de 2020, que entró en vigor el día siguiente de su publicación), y que en el apartado segundo de su disposición transitoria novena reproduce la misma norma impugnada.</w:t>
      </w:r>
    </w:p>
    <w:p w:rsidR="005728DD" w:rsidRDefault="005728DD" w:rsidP="005728DD">
      <w:pPr>
        <w:pStyle w:val="TextoNormal"/>
      </w:pPr>
    </w:p>
    <w:p w:rsidR="005728DD" w:rsidRDefault="005728DD" w:rsidP="005728DD">
      <w:pPr>
        <w:pStyle w:val="TextoNormal"/>
      </w:pPr>
      <w:r>
        <w:t xml:space="preserve">La realidad que supone la aprobación del Decreto Legislativo 1/2020 sobre el objeto del presente recurso debe ser evaluada tomando en consideración que en relación con las modificaciones normativas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w:t>
      </w:r>
      <w:r>
        <w:lastRenderedPageBreak/>
        <w:t>procesos” (entre otras, STC 82/2020, de 15 de julio, FJ 2, y las allí citadas). De modo que si la normativa en torno a la cual se trabó el conflicto resulta sustituida por otra que viene a plantear los mismos problemas competenciales la consecuencia será la no desaparición del conflicto (por todas, STC 133/2012, de 19 de junio, FJ 2).</w:t>
      </w:r>
    </w:p>
    <w:p w:rsidR="005728DD" w:rsidRDefault="005728DD" w:rsidP="005728DD">
      <w:pPr>
        <w:pStyle w:val="TextoNormal"/>
      </w:pPr>
    </w:p>
    <w:p w:rsidR="005728DD" w:rsidRDefault="005728DD" w:rsidP="005728DD">
      <w:pPr>
        <w:pStyle w:val="TextoNormal"/>
      </w:pPr>
      <w:r>
        <w:t>Esto es, precisamente, lo que ocurre en el presente caso, en el que, como ha quedado expuesto, el apartado segundo de la disposición transitoria décima impugnado, así como el resto de los preceptos de la Ley 7/2019, han sido derogados expresamente mediante la disposición derogatoria del Decreto Legislativo 1/2020, de 22 de julio que en el apartado segundo de su disposición transitoria novena reproduce la misma norma impugnada, por lo que debemos proceder a su enjuiciamiento.</w:t>
      </w:r>
    </w:p>
    <w:p w:rsidR="005728DD" w:rsidRDefault="005728DD" w:rsidP="005728DD">
      <w:pPr>
        <w:pStyle w:val="TextoNormal"/>
      </w:pPr>
    </w:p>
    <w:p w:rsidR="005728DD" w:rsidRDefault="005728DD" w:rsidP="005728DD">
      <w:pPr>
        <w:pStyle w:val="TextoNormal"/>
      </w:pPr>
      <w:r>
        <w:t>Ahora bien, conforme a la doctrina constitucional, descartada la pérdida de objeto del presente recurso por las razones indicadas, debe advertirse que la eventual declaración de inconstitucionalidad del precepto impugnado, conforme al art. 39.1 LOTC, deberá, en su caso, hacerse extensible lógica y consecuentemente, conforme a nuestra doctrina, al apartado segundo de la disposición transitoria novena del Decreto Legislativo 1/2020, de 22 de julio. En efecto, en las SSTC 196/1997, de 13 de noviembre, FJ 4; 194/2000, de 19 de julio, FJ 11; 272/2015, de 17 de diciembre, FJ 2; 80/2017, de 22 de junio, FJ 2; 102/2017, de 20 de julio, FJ 3, y 143/2017, de 14 de diciembre, FJ 1, extendimos los pronunciamientos de inconstitucionalidad entonces emitidos a preceptos de textos refundidos no impugnados pero que reproducían los preceptos legales declarados inconstitucionales, por concurrir la conexión a la que se refiere el art. 39.1 LOTC entre un texto legal y su refundición no innovadora. Otra conclusión, conllevaría mantener en el ordenamiento normas que son reproducción de otras que han sido declaradas inconstitucionales, lo que introduciría un elemento de inseguridad jurídica que este tribunal en el marco de sus competencias está llamado a evitar.</w:t>
      </w:r>
    </w:p>
    <w:p w:rsidR="005728DD" w:rsidRDefault="005728DD" w:rsidP="005728DD">
      <w:pPr>
        <w:pStyle w:val="TextoNormal"/>
      </w:pPr>
    </w:p>
    <w:p w:rsidR="005728DD" w:rsidRDefault="005728DD" w:rsidP="005728DD">
      <w:pPr>
        <w:pStyle w:val="TextoNormal"/>
      </w:pPr>
      <w:r>
        <w:t xml:space="preserve">b) Por otra parte, procede desestimar por carecer de fundamento alguno la solicitud de inadmisión del recurso de inconstitucionalidad por falta de satisfacción de la carga argumental que plantea el Gobierno del País Vasco. La demanda, cuyo contenido ha quedado expuesto en los antecedentes, cumple con lo dispuesto en los arts. 33.1 y 85.1 LOTC, al señalar que se dirige contra el apartado segundo de la disposición transitoria décima de la Ley 7/2019, de 27 de junio, de quinta modificación de la Ley de policía del País Vasco, especificando los preceptos constitucionales que entiende infringidos, y expone las razones en las que funda su pretensión. Tanto el objeto del recurso como la causa </w:t>
      </w:r>
      <w:r w:rsidRPr="005728DD">
        <w:rPr>
          <w:i/>
        </w:rPr>
        <w:t>petendi</w:t>
      </w:r>
      <w:r>
        <w:t xml:space="preserve">, elementos sin los cuales no resulta concebible el proceso, han quedado perfectamente precisados por la parte actora. Las razones de la supuesta inconstitucionalidad afloran con nitidez en el recurso interpuesto. El presidente del Gobierno de la Nación sostiene la inconstitucionalidad de la norma por contravenir el orden constitucional de distribución de competencias y cuando alude al incumplimiento de lo previsto en la regla 18 del art. 149.1 CE, de modo congruente con su planteamiento —pese a lo alegado por la representación del Gobierno Vasco—, identifica los preceptos básicos que la disposición autonómica impugnada infringe, en concreto los apartados 1 y 3 del art. 61 y la disposición transitoria cuarta del TRLEEP, de cuyo tenor literal resulta que: “1. Los procesos selectivos tendrán carácter abierto y garantizarán la libre concurrencia, sin perjuicio de lo establecido para la promoción interna y de las medidas de discriminación positiva previstas en este estatuto […] 3. Los </w:t>
      </w:r>
      <w:r>
        <w:lastRenderedPageBreak/>
        <w:t>procesos selectivos que incluyan, además de las preceptivas pruebas de capacidad, la valoración de méritos de los aspirantes solo podrán otorgar a dicha valoración una puntuación proporcionada que no determinará, en ningún caso, por sí misma el resultado del proceso selectivo”.</w:t>
      </w:r>
    </w:p>
    <w:p w:rsidR="005728DD" w:rsidRDefault="005728DD" w:rsidP="005728DD">
      <w:pPr>
        <w:pStyle w:val="TextoNormal"/>
      </w:pPr>
    </w:p>
    <w:p w:rsidR="005728DD" w:rsidRDefault="005728DD" w:rsidP="005728DD">
      <w:pPr>
        <w:pStyle w:val="TextoNormal"/>
      </w:pPr>
      <w:r>
        <w:t>No es acertado confundir el incumplimiento de la carga argumental del recurrente con la discrepancia que el representante procesal del Gobierno del País Vasco pone de manifiesto en su alegato contradictorio. Es consustancial a toda controversia jurídica que se somete a nuestra consideración la existencia de una desavenencia entre las partes, pero no le compete a este tribunal pronunciarse sobre el mayor o menor acierto técnico de los recursos de inconstitucionalidad —ni tampoco de sus réplicas—, basta para poder examinar las demandas que se pueda vislumbrar algún motivo de inconstitucionalidad suficientemente fundado que levante la referida carga en los términos que hemos reiterado [por todas, STC 96/2013, de 23 de abril, FJ 3, con cita de otras anteriores].</w:t>
      </w:r>
    </w:p>
    <w:p w:rsidR="005728DD" w:rsidRDefault="005728DD" w:rsidP="005728DD">
      <w:pPr>
        <w:pStyle w:val="TextoNormal"/>
      </w:pPr>
    </w:p>
    <w:p w:rsidR="005728DD" w:rsidRDefault="005728DD" w:rsidP="005728DD">
      <w:pPr>
        <w:pStyle w:val="TextoNormal"/>
      </w:pPr>
      <w:r>
        <w:t xml:space="preserve">Precisamente lo que debemos resolver es si puede aceptarse o no el motivo de inconstitucionalidad invocado, lo que concluirá en la estimación o desestimación del recurso. “Pretender que dicho examen de fondo sea sustituido por una inadmisión que zanje sin más el debate y ponga fin al proceso equivale, pura y simplemente, a desconocer la naturaleza y el régimen jurídico propios del recurso de inconstitucionalidad, que —a diferencia de otros procesos constitucionales (arts. 37.1 y 75 </w:t>
      </w:r>
      <w:r w:rsidRPr="005728DD">
        <w:rPr>
          <w:i/>
        </w:rPr>
        <w:t>quinquies</w:t>
      </w:r>
      <w:r>
        <w:t>.1 LOTC)— no contempla la inadmisión basada en su carácter notoriamente infundado” (STC 111/2014, de 26 de junio, FJ 1).</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Método para la resolución de la impugnación. Encuadre de la materia regulada y marco competencial de referencia</w:t>
      </w:r>
      <w:r>
        <w:t>. Como se ha adelantado el recurso denuncia la vulneración del orden constitucional de distribución de competencias, al establecer el apartado segundo de la disposición transitoria décima de la Ley de quinta modificación de la Ley de policía del País Vasco un sistema de acceso a la función pública que, a juicio del Gobierno de la Nación, se situaría al margen de la norma básica estatal dictada al amparo del art. 149.1.18 CE.</w:t>
      </w:r>
    </w:p>
    <w:p w:rsidR="005728DD" w:rsidRDefault="005728DD" w:rsidP="005728DD">
      <w:pPr>
        <w:pStyle w:val="TextoNormal"/>
      </w:pPr>
    </w:p>
    <w:p w:rsidR="005728DD" w:rsidRDefault="005728DD" w:rsidP="005728DD">
      <w:pPr>
        <w:pStyle w:val="TextoNormal"/>
      </w:pPr>
      <w:r>
        <w:t>Planteado el problema constitucional en estos términos, con arreglo a nuestra reiterada doctrina, es preciso proceder al encuadre competencial de la regulación controvertida, para posteriormente, tratándose de la declaración de inconstitucionalidad mediata de una disposición autonómica por vulnerar lo previsto en una norma básica, realizar dos operaciones sucesivas: por una parte, constatar si efectivamente la norma estatal en la que se encuadra la materia reúne la condición de básica; y, por otra, verificar que existe una verdadera contradicción entre la norma impugnada y la norma estatal básica que no pueda ser salvada con una interpretación de la norma cuestionada conforme con la Constitución (por todas, STC 51/2019, de 11 de abril, FJ 4).</w:t>
      </w:r>
    </w:p>
    <w:p w:rsidR="005728DD" w:rsidRDefault="005728DD" w:rsidP="005728DD">
      <w:pPr>
        <w:pStyle w:val="TextoNormal"/>
      </w:pPr>
    </w:p>
    <w:p w:rsidR="005728DD" w:rsidRDefault="005728DD" w:rsidP="005728DD">
      <w:pPr>
        <w:pStyle w:val="TextoNormal"/>
      </w:pPr>
      <w:r>
        <w:t xml:space="preserve">De la lectura del apartado segundo de la disposición transitoria décima de la Ley de quinta modificación de la Ley de policía del País Vasco se advierte claramente que regula la posibilidad de un turno diferenciado de acceso al cuerpo de la policía local para quienes acrediten una determinada antigüedad tanto en la administración que convoca el proceso selectivo como en la categoría de la policía local a la que pertenezcan las plazas convocadas. Se preceptúa por tanto una forma de acceso a la función pública que, al ordenar el modo de provisión de puestos de trabajo al servicio de las administraciones públicas, debe entenderse </w:t>
      </w:r>
      <w:r>
        <w:lastRenderedPageBreak/>
        <w:t>comprendida —y así lo reconocen las partes— en el contenido de la expresión “régimen estatutario de los funcionarios públicos” recogida en el art. 149.1.18 CE (entre otras, SSTC 183/2016, de 3 de noviembre, FJ 4, y 20/2017, de 2 de febrero, FJ 2). De ello se deriva, y en esto también muestran su asentimiento las partes, que el título competencial que resulta aquí de aplicación es el que se refiere a las bases del régimen estatutario de los funcionarios públicos (art. 149.1.18 CE).</w:t>
      </w:r>
    </w:p>
    <w:p w:rsidR="005728DD" w:rsidRDefault="005728DD" w:rsidP="005728DD">
      <w:pPr>
        <w:pStyle w:val="TextoNormal"/>
      </w:pPr>
    </w:p>
    <w:p w:rsidR="005728DD" w:rsidRDefault="005728DD" w:rsidP="005728DD">
      <w:pPr>
        <w:pStyle w:val="TextoNormal"/>
      </w:pPr>
      <w:r>
        <w:t>En efecto, en materia de función pública al Estado le corresponde, en virtud de lo establecido en el art. 149.1.18 CE, la competencia exclusiva para establecer las bases del régimen estatutario de los funcionarios públicos, expresión que ha de entenderse referida, como ha tenido ocasión de declarar este Tribunal Constitucional,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(por todas STC 154/2017, de 21 de diciembre, FJ 5).</w:t>
      </w:r>
    </w:p>
    <w:p w:rsidR="005728DD" w:rsidRDefault="005728DD" w:rsidP="005728DD">
      <w:pPr>
        <w:pStyle w:val="TextoNormal"/>
      </w:pPr>
    </w:p>
    <w:p w:rsidR="005728DD" w:rsidRDefault="005728DD" w:rsidP="005728DD">
      <w:pPr>
        <w:pStyle w:val="TextoNormal"/>
      </w:pPr>
      <w:r>
        <w:t>Por su parte la Comunidad Autónoma del País Vasco ha asumido en su Estatuto de Autonomía, aprobado por la Ley Orgánica 3/1979, de 18 de diciembre, y en el marco de la legislación básica del Estado, competencia de desarrollo legislativo y ejecución en la materia del estatuto de los funcionarios del País Vasco y de su administración local (art. 10.4 EAPV). Es por ello que al Estado le corresponde el establecimiento de las bases del régimen estatutario de los funcionarios de todas las administraciones públicas (art. 149.1.18 CE) y a la Comunidad Autónoma del País Vasco, el desarrollo legislativo y la ejecución de las bases de dicho régimen estatutario en lo que se refiere a los funcionarios al servicio de la comunidad autónoma y al servicio de las corporaciones locales radicadas en su ámbito territorial (art. 10.4 EAPV), como es el caso que nos ocupa. A su vez, debe descartarse que la norma impugnada pueda encuadrarse en el art. 17 EAPV, como pretende el Gobierno del País Vasco con sustento en la reproducción parcial de dictámenes de la comisión jurídica asesora de Euskadi, pues en tales alegaciones se parte de un entendimiento del precepto estatutario que no se corresponde con los términos en los que ha sido interpretado por la doctrina constitucional (por todas, STC 186/2016, de 3 de noviembre, FJ 3, y las que allí se citan). En efecto, conforme a dicha doctrina, la competencia del art. 17 EAPV, al aludir al “régimen de la policía autónoma”, se refiere a la función policial prestada por dicha policía autónoma, esto es, a las competencias orgánicas y funcionales sobre la propia policía y potestades administrativas inherentes o complementarias a la actividad estrictamente policial que quedan extramuros del “régimen de acceso a la función pública”.</w:t>
      </w:r>
    </w:p>
    <w:p w:rsidR="005728DD" w:rsidRDefault="005728DD" w:rsidP="005728DD">
      <w:pPr>
        <w:pStyle w:val="TextoNormal"/>
      </w:pPr>
    </w:p>
    <w:p w:rsidR="005728DD" w:rsidRDefault="005728DD" w:rsidP="005728DD">
      <w:pPr>
        <w:pStyle w:val="TextoNormal"/>
      </w:pPr>
      <w:r>
        <w:t xml:space="preserve">Llegados a este punto hemos afirmado, y de nuestra doctrina se han hecho eco las partes, que “el régimen de acceso a la función pública establecido por la Ley 7/2007, de 12 de abril, del estatuto básico del empleado público (LEEP), además de tener carácter básico </w:t>
      </w:r>
      <w:r w:rsidRPr="005728DD">
        <w:rPr>
          <w:i/>
        </w:rPr>
        <w:t>ex</w:t>
      </w:r>
      <w:r>
        <w:t xml:space="preserve"> artículo 149.1.18 CE” (STC 111/2014, de 26 de junio, FJ 3), afirmación que resulta trasladable al régimen de acceso establecido en el texto refundido de la Ley del estatuto básico del empleado público, que establece una regulación idéntica a la que preveía la Ley 7/2007. Esta identidad determina, por las mismas razones indicadas en nuestra STC 111/2014, en relación entonces con la disposición transitoria segunda de la Ley del estatuto básico del empleado público, que debamos ahora afirmar que la regulación de la consolidación de empleo temporal que contiene la disposición transitoria cuarta y los apartados 1 y 3 del art. 61 </w:t>
      </w:r>
      <w:r>
        <w:lastRenderedPageBreak/>
        <w:t>TRLEEP a los que esta se remite, deban considerarse formal y materialmente básicos, extremo este con el que las partes también muestran su conformidad sin denunciar exceso alguno en lo que a lo básico se refiere.</w:t>
      </w:r>
    </w:p>
    <w:p w:rsidR="005728DD" w:rsidRDefault="005728DD" w:rsidP="005728DD">
      <w:pPr>
        <w:pStyle w:val="TextoNormal"/>
      </w:pPr>
    </w:p>
    <w:p w:rsidR="005728DD" w:rsidRDefault="005728DD" w:rsidP="005728DD">
      <w:pPr>
        <w:pStyle w:val="TextoNormal"/>
      </w:pPr>
      <w:r>
        <w:t>La STC 238/2015, de 19 de noviembre, FJ 3, evidenció que la doctrina constitucional encuadra en las bases del régimen estatutario de los funcionarios públicos la regulación estatal que impone que la adquisición de la condición de funcionario público se verifique mediante convocatorias abiertas. Y recordó que también encajan en tales bases las excepciones que eventualmente se puedan prever a tal regla general “por implicar una modulación de dicha norma”. De este modo, “el legislador autonómico no actuará dentro de sus competencias si regula supuestos de acceso a la función pública en que la participación no sea libre más allá de aquellos que encuentren amparo en la normativa básica. Así lo ha declarado este tribunal a la vista tanto del régimen básico previsto en la Ley 30/1984 (por todas, SSTC 151/1992, de 19 de octubre, FJ 3, y 302/1993, de 21 de octubre, FJ 3) como del regulado en la LEEP (STC 111/2014, de 26 de junio, FJ 3), debiendo extender ahora esta declaración al previsto en el texto refundido de la Ley del estatuto básico del empleado público y actualmente vigente”.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Contraste entre la norma básica estatal y la norma autonómica impugnada</w:t>
      </w:r>
      <w:r>
        <w:t>. Una vez encuadrada la materia en las bases del régimen estatutario de los funcionarios públicos y afirmada la condición básica de la norma estatal (disposición transitoria cuarta de dicho texto refundido y los apartados 1 y 3 del art. 61 TRLEEP), procede, siguiendo el método de enjuiciamiento anunciado, comprobar si existe una verdadera y real contradicción entre la norma impugnada (apartado segundo de la disposición transitoria décima de la Ley de quinta modificación de la Ley de policía del País Vasco) y la norma estatal básica que no pueda ser salvada con una interpretación de la norma cuestionada conforme con la Constitución.</w:t>
      </w:r>
    </w:p>
    <w:p w:rsidR="005728DD" w:rsidRDefault="005728DD" w:rsidP="005728DD">
      <w:pPr>
        <w:pStyle w:val="TextoNormal"/>
      </w:pPr>
    </w:p>
    <w:p w:rsidR="005728DD" w:rsidRDefault="005728DD" w:rsidP="005728DD">
      <w:pPr>
        <w:pStyle w:val="TextoNormal"/>
      </w:pPr>
      <w:r>
        <w:t>Como se ha expuesto en los antecedentes, el Gobierno de la Nación sostiene que dicha contradicción se evidencia porque la norma impugnada establece “un turno diferenciado de acceso para quienes acrediten un mínimo de ocho años de antigüedad en la administración convocante” en la categoría a la que pertenecen las plazas reservando para dicho turno diferenciado hasta el 60 por 100 de las plazas ofertadas. Dicha previsión normativa comporta para el abogado del Estado la regulación de un proceso restringido contrario al art. 149.1.18 CE en la medida que contraviene la legislación estatal, “sin que sea posible la interpretación conforme en modo alguno”.</w:t>
      </w:r>
    </w:p>
    <w:p w:rsidR="005728DD" w:rsidRDefault="005728DD" w:rsidP="005728DD">
      <w:pPr>
        <w:pStyle w:val="TextoNormal"/>
      </w:pPr>
    </w:p>
    <w:p w:rsidR="005728DD" w:rsidRDefault="005728DD" w:rsidP="005728DD">
      <w:pPr>
        <w:pStyle w:val="TextoNormal"/>
      </w:pPr>
      <w:r>
        <w:t xml:space="preserve">Por su parte, el Gobierno y el Parlamento del País Vasco postulan en sus alegaciones que cada administración debe poder configurar su propia política de personal y justifican la norma impugnada por el contexto normativo y jurisprudencial europeo y porque la Comunidad Autónoma del País Vasco tiene la mayor tasa de temporalidad del Estado en su sector público, así como en la existencia de regulaciones similares estatales y autonómicas. En lo que a la contradicción entre la disposición impugnada y las bases estatales se refiere, el Gobierno del País Vasco expresa —sin negar que dicha contradicción pueda existir— que el apartado segundo de la disposición transitoria décima impugnada se justifica porque no tiene carácter general y por limitar el proceso selectivo a supuestos en los que en la categoría correspondiente del cuerpo de policía local exista un porcentaje de interinidad superior al 40 por 100. Por su parte el Parlamento del País Vasco, tras recordar la doctrina constitucional sobre la compatibilidad excepcional de los procesos selectivos restringidos con el art. </w:t>
      </w:r>
      <w:r>
        <w:lastRenderedPageBreak/>
        <w:t>23 CE, precepto que no ha sido invocado por el Gobierno de la Nación y que es ajeno al objeto competencial del recurso de inconstitucionalidad interpuesto, afirma que no se plantea un concurso-oposición restringido, sino un turno específico en el seno de un concurso-oposición público.</w:t>
      </w:r>
    </w:p>
    <w:p w:rsidR="005728DD" w:rsidRDefault="005728DD" w:rsidP="005728DD">
      <w:pPr>
        <w:pStyle w:val="TextoNormal"/>
      </w:pPr>
    </w:p>
    <w:p w:rsidR="005728DD" w:rsidRDefault="005728DD" w:rsidP="005728DD">
      <w:pPr>
        <w:pStyle w:val="TextoNormal"/>
      </w:pPr>
      <w:r>
        <w:t>Para el examen de la aducida contradicción material entre la disposición impugnada y los preceptos básicos indicados es conveniente recordar que ya la STC 174/1998, de 23 de julio, FJ 4, recogiendo la doctrina sentada en las SSTC 151/1992, de 19 de octubre, y 302/1993, de 21 de octubre, afirmó que el art. 19.1 de la Ley 30/1984, de 2 de agosto, de medidas para la reforma de la función pública, derogado con el alcance y vigencia establecidos por la disposición final cuarta, apartado 2, por la disposición derogatoria única, apartado b) TRLEEP establecía con carácter básico el principio de que las convocatorias tienen que ser por regla general abiertas o libres. Dicha disposición ha pasado en términos similares al art. 61.1 TRLEEP que en relación con los procesos selectivos dispone que tendrán carácter abierto y garantizarán la libre concurrencia, sin perjuicio de lo establecido para la promoción interna y de las medidas de discriminación positiva previstas en el estatuto. Este precepto que es de aplicación por la remisión que al mismo realiza el apartado tercero de la disposición transitoria cuarta TRLEEP al regular las convocatorias de consolidación de empleo temporal, estatuye como excepciones, con carácter igualmente básico, lo que prevea el estatuto para la promoción interna y las medidas de discriminación positiva.</w:t>
      </w:r>
    </w:p>
    <w:p w:rsidR="005728DD" w:rsidRDefault="005728DD" w:rsidP="005728DD">
      <w:pPr>
        <w:pStyle w:val="TextoNormal"/>
      </w:pPr>
    </w:p>
    <w:p w:rsidR="005728DD" w:rsidRDefault="005728DD" w:rsidP="005728DD">
      <w:pPr>
        <w:pStyle w:val="TextoNormal"/>
      </w:pPr>
      <w:r>
        <w:t>De lo anterior se sigue que debe indagarse si en el supuesto sometido a nuestra consideración estamos en presencia de unas pruebas de las llamadas restringidas contrarias al principio de libre concurrencia. Para abordar tal cuestión conviene recordar que el apartado segundo de la disposición transitoria décima de la Ley de quinta modificación de la Ley de policía del País Vasco impugnado, prevé un turno diferenciado de acceso en los procesos selectivos para la consolidación del empleo temporal en plazas de la policía local para quienes acrediten un mínimo de ocho años de antigüedad en la administración convocante en la categoría de la policía local a la que pertenecen las plazas convocadas. El diseño del sistema de acceso a la función pública que resulta de la disposición impugnada es evidentemente contrario al principio básico de libre concurrencia garantizado en los arts. 61.1 TRLEEP al que remite el apartado tercero de su disposición transitoria cuarta. En efecto la configuración de un proceso selectivo de acceso a la función pública reservado a quienes tengan una previa experiencia en puestos de policía local, ha de calificarse de restringido y cerrado, pues reserva las plazas convocadas a quienes acrediten un mínimo de antigüedad en la administración convocante, en la categoría de la policía local a la que pertenecen las plazas convocadas, y excluye de las pruebas selectivas a quienes no tengan dicha antigüedad o carezcan de vinculo temporal con la administración.</w:t>
      </w:r>
    </w:p>
    <w:p w:rsidR="005728DD" w:rsidRDefault="005728DD" w:rsidP="005728DD">
      <w:pPr>
        <w:pStyle w:val="TextoNormal"/>
      </w:pPr>
    </w:p>
    <w:p w:rsidR="005728DD" w:rsidRDefault="005728DD" w:rsidP="005728DD">
      <w:pPr>
        <w:pStyle w:val="TextoNormal"/>
      </w:pPr>
      <w:r>
        <w:t xml:space="preserve">Dicha exclusión de las pruebas selectivas de quienes no estén previamente unidos a la administración por no haber prestado servicios para la misma, supone eliminar de la posibilidad de participar en el proceso selectivo a los “aspirantes libres”, que no han prestado servicios ni en la administración convocante ni en la categoría de la policía local a la que pertenece la plaza convocada. Dichas pruebas no pueden calificarse de libres o abiertas y por tanto son contrarias al precepto básico estatal contenido en el art. 61.1 TRLEEP, sin que el caso regulado por la disposición recurrida reúna las condiciones excepcionales que el propio precepto admite. Por dicha razón ha de concluirse que el apartado segundo de la disposición transitoria décima de la Ley de quinta modificación de la Ley de policía del País </w:t>
      </w:r>
      <w:r>
        <w:lastRenderedPageBreak/>
        <w:t>Vasco, al no haber respetado los límites que establece la legislación básica estatal, ha infringido el orden constitucional de competencias.</w:t>
      </w:r>
    </w:p>
    <w:p w:rsidR="005728DD" w:rsidRDefault="005728DD" w:rsidP="005728DD">
      <w:pPr>
        <w:pStyle w:val="TextoNormal"/>
      </w:pPr>
    </w:p>
    <w:p w:rsidR="005728DD" w:rsidRDefault="005728DD" w:rsidP="005728DD">
      <w:pPr>
        <w:pStyle w:val="TextoNormal"/>
      </w:pPr>
      <w:r>
        <w:t>A la anterior conclusión no se le puede oponer que la finalidad de la norma sea solucionar, a la luz de las exigencias normativas y jurisprudenciales de la Unión Europea, el abuso en la contratación temporal sucesiva del personal público, agravado por ser la Comunidad Autónoma del País Vasco la que tiene —según sus propias alegaciones— la mayor tasa de temporalidad del Estado en su sector público, pues dicho propósito se debe lograr sin vulnerar la norma básica estatal que proscribe, salvo excepciones tasadas, las pruebas de acceso restringidas o específicas (STC 38/2004, de 11 de marzo, FJ 5).</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Alcance de la declaración de inconstitucionalidad</w:t>
      </w:r>
      <w:r>
        <w:t>. Conforme a la doctrina, expuesta en el fundamento jurídico 2 a), la declaración de inconstitucionalidad y nulidad del apartado segundo de la disposición transitoria décima de la Ley del Parlamento Vasco 7/2019, de 27 de junio, de quinta modificación de la Ley de policía del País Vasco debe extenderse al apartado segundo de la disposición transitoria novena del Decreto Legislativo 1/2020, de 22 de julio, por el que se aprueba el texto refundido de la Ley de policía del País Vasco que reproduce el precepto legal declarado inconstitucional.</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declarar la inconstitucionalidad y nulidad del apartado segundo de la disposición transitoria décima de la Ley del Parlamento vasco 7/2019, de 27 de junio, de quinta modificación de la Ley de policía del País Vasco. Declaración que se ha de extender al apartado segundo de la disposición transitoria novena del Decreto Legislativo 1/2020, de 22 de julio, por el que se aprueba el texto refundido de la Ley de policía del País Vasco.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2" w:name="SENTENCIA_2021_39"/>
      <w:r>
        <w:lastRenderedPageBreak/>
        <w:t>SENTENCIA 39/2021, de 18 de febrero de 2021</w:t>
      </w:r>
    </w:p>
    <w:bookmarkEnd w:id="42"/>
    <w:p w:rsidR="005728DD" w:rsidRDefault="005728DD" w:rsidP="005728DD">
      <w:pPr>
        <w:pStyle w:val="TtuloResolucin"/>
      </w:pPr>
      <w:r>
        <w:t>Pleno</w:t>
      </w:r>
    </w:p>
    <w:p w:rsidR="005728DD" w:rsidRDefault="005728DD" w:rsidP="005728DD">
      <w:pPr>
        <w:pStyle w:val="TtuloBOE"/>
      </w:pPr>
      <w:r>
        <w:t>(BOE núm. 69, de 22 de marzo de 2021)</w:t>
      </w:r>
    </w:p>
    <w:p w:rsidR="005728DD" w:rsidRDefault="005728DD" w:rsidP="005728DD">
      <w:pPr>
        <w:pStyle w:val="TextoNormalCentrado"/>
      </w:pPr>
      <w:r>
        <w:t>ECLI:ES:TC:2021:39</w:t>
      </w:r>
    </w:p>
    <w:p w:rsidR="005728DD" w:rsidRDefault="005728DD" w:rsidP="005728DD">
      <w:pPr>
        <w:pStyle w:val="TextoNormalCentrado"/>
      </w:pPr>
    </w:p>
    <w:p w:rsidR="005728DD" w:rsidRDefault="005728DD" w:rsidP="005728DD">
      <w:pPr>
        <w:pStyle w:val="SntesisDescriptiva"/>
      </w:pPr>
      <w:r>
        <w:t>Conflicto positivo de competencia 4491-2020. Planteado por el Gobierno de la Junta de Andalucía en relación con el artículo 5.3 a) del Real Decreto 498/2020, de 28 de abril, por el que se desarrolla la estructura orgánica básica del Ministerio de Educación y Formación Profesional.</w:t>
      </w:r>
    </w:p>
    <w:p w:rsidR="005728DD" w:rsidRDefault="005728DD" w:rsidP="005728DD">
      <w:pPr>
        <w:pStyle w:val="SntesisDescriptiva"/>
      </w:pPr>
    </w:p>
    <w:p w:rsidR="005728DD" w:rsidRDefault="005728DD" w:rsidP="005728DD">
      <w:pPr>
        <w:pStyle w:val="SntesisAnaltica"/>
      </w:pPr>
      <w:r>
        <w:t>Competencias sobre legislación laboral: nulidad del precepto reglamentario que presupone la reserva de potestades de ejecución a un órgano estatal.</w:t>
      </w:r>
    </w:p>
    <w:p w:rsidR="005728DD" w:rsidRDefault="005728DD" w:rsidP="005728DD">
      <w:pPr>
        <w:pStyle w:val="SntesisAnaltica"/>
      </w:pPr>
    </w:p>
    <w:p w:rsidR="005728DD" w:rsidRDefault="005728DD" w:rsidP="005728DD">
      <w:pPr>
        <w:pStyle w:val="Extracto"/>
      </w:pPr>
      <w:r>
        <w:t>1.</w:t>
      </w:r>
      <w:r>
        <w:tab/>
        <w:t>Los “Certificados de profesionalidad” persiguen la acreditación de las correspondientes competencias profesionales adquiridas por vías en todo caso distintas de las previstas en la formación profesional reglada; se enmarcan en la categoría de ‘figuras acreditativas de capacitaciones profesionales adquiridas en otros ámbitos’, en contraposición a los títulos académicos de formación profesional de grado medio y de grado superior, propios de la formación profesional reglada que, al ser cursada, conlleva la posibilidad de obtener un determinado título académico (SSTC 111/2012 y 194/2012) [FJ 2].</w:t>
      </w:r>
    </w:p>
    <w:p w:rsidR="005728DD" w:rsidRDefault="005728DD" w:rsidP="005728DD">
      <w:pPr>
        <w:pStyle w:val="Extracto"/>
      </w:pPr>
    </w:p>
    <w:p w:rsidR="005728DD" w:rsidRDefault="005728DD" w:rsidP="005728DD">
      <w:pPr>
        <w:pStyle w:val="Extracto"/>
      </w:pPr>
      <w:r>
        <w:t>2.</w:t>
      </w:r>
      <w:r>
        <w:tab/>
        <w:t>La “formación profesional reglada” forma parte del sistema educativo y se ubica en el ámbito de las competencias relativas a la educación (art. 149.1.30 CE) [FJ 2].</w:t>
      </w:r>
    </w:p>
    <w:p w:rsidR="005728DD" w:rsidRDefault="005728DD" w:rsidP="005728DD">
      <w:pPr>
        <w:pStyle w:val="Extracto"/>
      </w:pPr>
    </w:p>
    <w:p w:rsidR="005728DD" w:rsidRDefault="005728DD" w:rsidP="005728DD">
      <w:pPr>
        <w:pStyle w:val="Extracto"/>
      </w:pPr>
      <w:r>
        <w:t>3.</w:t>
      </w:r>
      <w:r>
        <w:tab/>
        <w:t xml:space="preserve">La “formación profesional para el empleo” se dirige a los trabajadores ocupados y desempleados con el objeto de proporcionarles una formación que responda a sus necesidades y da lugar a la obtención de un certificado de profesionalidad; se incardina en la materia laboral y en las competencias relacionadas con la misma </w:t>
      </w:r>
      <w:r w:rsidRPr="005728DD">
        <w:rPr>
          <w:i/>
        </w:rPr>
        <w:t>ex</w:t>
      </w:r>
      <w:r>
        <w:t xml:space="preserve"> art. 149.1.7 CE que atribuye al Estado competencia exclusiva sobre legislación laboral, sin perjuicio de su ejecución por los órganos de las comunidades autónomas (SSTC  111/2012, 194/2012, 88/2014, 198/2014, 61/2015, y 81/2017) [FJ 2].</w:t>
      </w:r>
    </w:p>
    <w:p w:rsidR="005728DD" w:rsidRDefault="005728DD" w:rsidP="005728DD">
      <w:pPr>
        <w:pStyle w:val="Extracto"/>
      </w:pPr>
    </w:p>
    <w:p w:rsidR="005728DD" w:rsidRDefault="005728DD" w:rsidP="005728DD">
      <w:pPr>
        <w:pStyle w:val="Extracto"/>
      </w:pPr>
      <w:r>
        <w:t>4.</w:t>
      </w:r>
      <w:r>
        <w:tab/>
        <w:t>En relación con la competencia exclusiva que la Constitución atribuye al Estado en materia de legislación laboral, las comunidades autónomas únicamente pueden disponer de una competencia de mera ejecución de la normación estatal, que incluye la emanación de reglamentos internos de organización de los servicios necesarios,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(STC 176/2014) [FJ 2].</w:t>
      </w:r>
    </w:p>
    <w:p w:rsidR="005728DD" w:rsidRDefault="005728DD" w:rsidP="005728DD">
      <w:pPr>
        <w:pStyle w:val="Extracto"/>
      </w:pPr>
    </w:p>
    <w:p w:rsidR="005728DD" w:rsidRDefault="005728DD" w:rsidP="005728DD">
      <w:pPr>
        <w:pStyle w:val="Extracto"/>
      </w:pPr>
      <w:r>
        <w:t>5.</w:t>
      </w:r>
      <w:r>
        <w:tab/>
        <w:t>Son competencia de la comunidad autónoma las convocatorias dirigidas al fin de obtener “Certificados profesionales”, su evaluación y la correspondiente acreditación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lastRenderedPageBreak/>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conflicto positivo de competencia núm. 4491-2020, promovido por el Consejo de Gobierno de la Comunidad Autónoma de Andalucía, contra el art. 5.3 a) del Real Decreto 498/2020, de 28 de abril, por el que se desarrolla la estructura orgánica básica del Ministerio de Educación y Formación Profesional. Ha comparecido y formulado alegaciones el abogado del Estado. Ha sido ponente el magistrado don Alfredo Montoya Melgar.</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día 22 de septiembre de 2020 la letrada de la Junta de Andalucía, en la representación que legalmente ostenta del Consejo de Gobierno de esa comunidad autónoma, promueve conflicto positivo de competencia contra el art. 5.3 a) del Real Decreto 498/2020, de 28 de abril, por el que se desarrolla la estructura orgánica básica del Ministerio de Educación y Formación Profesional.</w:t>
      </w:r>
    </w:p>
    <w:p w:rsidR="005728DD" w:rsidRDefault="005728DD" w:rsidP="005728DD">
      <w:pPr>
        <w:pStyle w:val="TextoNormal"/>
      </w:pPr>
    </w:p>
    <w:p w:rsidR="005728DD" w:rsidRDefault="005728DD" w:rsidP="005728DD">
      <w:pPr>
        <w:pStyle w:val="TextoNormal"/>
      </w:pPr>
      <w:r>
        <w:t>Los motivos del conflicto son, resumidamente expuestos, los siguientes:</w:t>
      </w:r>
    </w:p>
    <w:p w:rsidR="005728DD" w:rsidRDefault="005728DD" w:rsidP="005728DD">
      <w:pPr>
        <w:pStyle w:val="TextoNormal"/>
      </w:pPr>
    </w:p>
    <w:p w:rsidR="005728DD" w:rsidRDefault="005728DD" w:rsidP="005728DD">
      <w:pPr>
        <w:pStyle w:val="TextoNormal"/>
      </w:pPr>
      <w:r>
        <w:t xml:space="preserve">El precepto cuestionado atribuye a la Secretaría General de Formación Profesional la función relativa a (en cursiva el inciso controvertido) “[l]a ordenación, desarrollo, evaluación, gestión e innovación, de la formación profesional en el sistema educativo y para el empleo, y en concreto, respecto a esta última, la formación profesional de desempleados y la formación profesional de ocupados, </w:t>
      </w:r>
      <w:r w:rsidRPr="005728DD">
        <w:rPr>
          <w:i/>
        </w:rPr>
        <w:t>incluyendo las convocatorias</w:t>
      </w:r>
      <w:r>
        <w:t xml:space="preserve"> nacionales y las </w:t>
      </w:r>
      <w:r w:rsidRPr="005728DD">
        <w:rPr>
          <w:i/>
        </w:rPr>
        <w:t>autonómicas, cuando estas respondan a formación vinculada a los certificados de profesionalidad, incluida la formación profesional dual del ámbito educativo</w:t>
      </w:r>
      <w:r>
        <w:t>. Asimismo le corresponde el establecimiento y actualización de los títulos de formación profesional, cursos de especialización y certificados de profesionalidad”.</w:t>
      </w:r>
    </w:p>
    <w:p w:rsidR="005728DD" w:rsidRDefault="005728DD" w:rsidP="005728DD">
      <w:pPr>
        <w:pStyle w:val="TextoNormal"/>
      </w:pPr>
    </w:p>
    <w:p w:rsidR="005728DD" w:rsidRDefault="005728DD" w:rsidP="005728DD">
      <w:pPr>
        <w:pStyle w:val="TextoNormal"/>
      </w:pPr>
      <w:r>
        <w:t>Se trata de un precepto organizativo que, sin embargo, incurre en una vulneración competencial, al atribuirse una competencia de ejecución que corresponde a las comunidades autónomas.</w:t>
      </w:r>
    </w:p>
    <w:p w:rsidR="005728DD" w:rsidRDefault="005728DD" w:rsidP="005728DD">
      <w:pPr>
        <w:pStyle w:val="TextoNormal"/>
      </w:pPr>
    </w:p>
    <w:p w:rsidR="005728DD" w:rsidRDefault="005728DD" w:rsidP="005728DD">
      <w:pPr>
        <w:pStyle w:val="TextoNormal"/>
      </w:pPr>
      <w:r>
        <w:t>a) Se alega, en primer lugar, la vulneración de la competencia autonómica en materia de ejecución de la legislación laboral.</w:t>
      </w:r>
    </w:p>
    <w:p w:rsidR="005728DD" w:rsidRDefault="005728DD" w:rsidP="005728DD">
      <w:pPr>
        <w:pStyle w:val="TextoNormal"/>
      </w:pPr>
    </w:p>
    <w:p w:rsidR="005728DD" w:rsidRDefault="005728DD" w:rsidP="005728DD">
      <w:pPr>
        <w:pStyle w:val="TextoNormal"/>
      </w:pPr>
      <w:r>
        <w:t>La letrada de la Junta de Andalucía argumenta que el art. 5.3 a) del Real Decreto 498/2020 incurre en extralimitación competencial en el punto en que atribuye a la Secretaría General de Formación Profesional del Ministerio de Educación y Formación Profesional la competencia para la realización de convocatorias autonómicas de formación vinculada a los certificados de profesionalidad, incluida la formación profesional dual del ámbito educativo. No respetaría el orden competencial derivado de lo establecido en el art. 149.1.7 CE en relación con el art. 63.1, apartados 1 y 2 del Estatuto de Autonomía para Andalucía.</w:t>
      </w:r>
    </w:p>
    <w:p w:rsidR="005728DD" w:rsidRDefault="005728DD" w:rsidP="005728DD">
      <w:pPr>
        <w:pStyle w:val="TextoNormal"/>
      </w:pPr>
    </w:p>
    <w:p w:rsidR="005728DD" w:rsidRDefault="005728DD" w:rsidP="005728DD">
      <w:pPr>
        <w:pStyle w:val="TextoNormal"/>
      </w:pPr>
      <w:r>
        <w:t>El escrito de interposición del conflicto recuerda, con cita de la STC 111/2012, de 24 de mayo, que la formación profesional inicial se enmarca en el ámbito de la competencia de las administraciones públicas en materia de educación con su regulación específica en este área, mientras la formación profesional para el empleo, dirigida a las acciones de inserción y reinserción laboral de los trabajadores, así como las orientadas a la formación continua en las empresas, se inscribe en el ámbito de las competencias en materia laboral. Al respecto recuerda la delimitación de competencias en esta materia que deriva de la Constitución y del Estatuto de Autonomía para Andalucía, haciendo referencia a que se trata de una competencia de ejecución, así como al Real Decreto 427/1993, de 26 de marzo, de traspaso de competencias a la Junta de Andalucía en relación con esta materia.</w:t>
      </w:r>
    </w:p>
    <w:p w:rsidR="005728DD" w:rsidRDefault="005728DD" w:rsidP="005728DD">
      <w:pPr>
        <w:pStyle w:val="TextoNormal"/>
      </w:pPr>
    </w:p>
    <w:p w:rsidR="005728DD" w:rsidRDefault="005728DD" w:rsidP="005728DD">
      <w:pPr>
        <w:pStyle w:val="TextoNormal"/>
      </w:pPr>
      <w:r>
        <w:t>Se refiere a continuación al marco normativo que regula esta cuestión, haciendo referencia a la Ley Orgánica 5/2002, de 19 de junio, de las cualificaciones y formación profesional, así como al texto refundido de la Ley de empleo aprobado por el Real Decreto Legislativo 3/2015, de 23 de octubre, desarrollado por el Real Decreto 694/2017, de 3 de junio, y a la Ley 30/2015, de 9 de septiembre, por la que se regula el sistema de formación profesional para el empleo en el ámbito laboral, que se completa con lo establecido en el Real Decreto 34/2008, de 18 de enero por el que se regulan los certificados de profesionalidad; el Real Decreto 1224/2009, de 17 de julio, de reconocimiento de las competencias profesionales adquiridas por experiencia laboral y el Real Decreto 1529/2012, de 8 de noviembre, por el que se desarrolla el contrato para la formación y el aprendizaje y se establecen las bases de la formación profesional dual. En tanto que parte integrante de dicha formación profesional para el empleo, los certificados de profesionalidad se definen en el art. 41.7 de la Ley 3/2015, como “el instrumento de acreditación, en el ámbito laboral, de las cualificaciones profesionales del Catálogo Nacional de Cualificaciones Profesionales adquiridas a través de procesos formativos o del proceso de reconocimiento de la experiencia laboral y de vías no formales de formación”.</w:t>
      </w:r>
    </w:p>
    <w:p w:rsidR="005728DD" w:rsidRDefault="005728DD" w:rsidP="005728DD">
      <w:pPr>
        <w:pStyle w:val="TextoNormal"/>
      </w:pPr>
    </w:p>
    <w:p w:rsidR="005728DD" w:rsidRDefault="005728DD" w:rsidP="005728DD">
      <w:pPr>
        <w:pStyle w:val="TextoNormal"/>
      </w:pPr>
      <w:r>
        <w:t>Por tanto, frente a la formación profesional reglada, que forma parte del sistema educativo, —lo que conllevaría que el encuadramiento competencial procedente fuera el relativo a educación—, la formación profesional ocupacional y continua, se inserta en el ámbito laboral (STC 111/2012, FJ 5), siendo así que los certificados de profesionalidad persiguen la acreditación de las correspondientes competencias profesionales adquiridas por vías distintas de las previstas en la formación profesional reglada, ya sea por la experiencia laboral o formación profesional dual. Sobre estos certificados de profesionalidad el reconocimiento de competencias a la secretaria general mencionada incluye todas las convocatorias —nacionales y autonómicas— que se producen en el ámbito laboral vinculadas a los certificados de profesionalidad incluida la formación profesional dual del ámbito educativo.</w:t>
      </w:r>
    </w:p>
    <w:p w:rsidR="005728DD" w:rsidRDefault="005728DD" w:rsidP="005728DD">
      <w:pPr>
        <w:pStyle w:val="TextoNormal"/>
      </w:pPr>
    </w:p>
    <w:p w:rsidR="005728DD" w:rsidRDefault="005728DD" w:rsidP="005728DD">
      <w:pPr>
        <w:pStyle w:val="TextoNormal"/>
      </w:pPr>
      <w:r>
        <w:lastRenderedPageBreak/>
        <w:t>La regulación específica en esta materia viene recogida en el Real Decreto 34/2008, en el Real Decreto 1224/2009, que desarrolla las previsiones del artículo 8.2 de la Ley Orgánica 5/2002, y en el Real Decreto 1529/2012. Aunque en los tres casos se trata de normas dictadas por el Estado al amparo de un doble título competencial, —el del art. 149.1.7 CE, que atribuye al Estado la legislación laboral, y el del art. 149.1.30 CE, sobre la regulación de las condiciones de obtención, expedición y homologación de títulos académicos y profesionales—, dado que el debate se centra en la competencia para la realización de la convocatoria destinada a la obtención de los certificados de profesionalidad, la cuestión controvertida ha de encuadrarse en la materia laboral y en concreto, en el ámbito de la ejecución de las mencionadas normas estatales. De hecho, la regulación estatal de los Reales Decretos 34/2008 y 1224/2009, en particular el art. 10 de este último, deja a salvo las competencias autonómicas implicadas para la realización de las convocatorias del procedimiento de evaluación y acreditación de las competencias profesionales, reservándose en exclusiva el Estado tan solo el de aquellas convocatorias referidas a la acreditación de competencias para determinados sectores o colectivos de carácter supraautonómico. Reflejo de lo anterior es la regulación autonómica, en especial el Decreto 335/2009, de 22 de septiembre.</w:t>
      </w:r>
    </w:p>
    <w:p w:rsidR="005728DD" w:rsidRDefault="005728DD" w:rsidP="005728DD">
      <w:pPr>
        <w:pStyle w:val="TextoNormal"/>
      </w:pPr>
    </w:p>
    <w:p w:rsidR="005728DD" w:rsidRDefault="005728DD" w:rsidP="005728DD">
      <w:pPr>
        <w:pStyle w:val="TextoNormal"/>
      </w:pPr>
      <w:r>
        <w:t>Carece por ello de sentido que una norma organizativa, al aludir a las funciones de ordenación y desarrollo de la formación profesional para el empleo, reserve a un órgano estatal las convocatorias tanto nacionales como autonómicas vinculadas a los certificados de profesionalidad en el procedimiento de evaluación y acreditación de las competencias profesionales. El único supuesto en el que la administración del Estado podría reservarse en exclusiva la realización de estas convocatorias, sería en el de sectores o colectivos supraautonómicos, que, por definición, desbordan el campo de la competencia autonómica.</w:t>
      </w:r>
    </w:p>
    <w:p w:rsidR="005728DD" w:rsidRDefault="005728DD" w:rsidP="005728DD">
      <w:pPr>
        <w:pStyle w:val="TextoNormal"/>
      </w:pPr>
    </w:p>
    <w:p w:rsidR="005728DD" w:rsidRDefault="005728DD" w:rsidP="005728DD">
      <w:pPr>
        <w:pStyle w:val="TextoNormal"/>
      </w:pPr>
      <w:r>
        <w:t xml:space="preserve">Por todo ello, y siguiendo la doctrina constitucional en la materia, representada entre otras por la STC 194/2012, de 31 de octubre, dictada en el conflicto positivo de competencia 2624-2004, planteado por el gobierno de la Generalitat de Cataluña en relación con diversos preceptos del Real Decreto 1506/2003, de 28 de noviembre, por el que se establecen las directrices de los certificados de profesionalidad, resulta claro que la administración del Estado debe respetar en todo caso el ámbito autonómico de ejecución de competencias en materia laboral. Y aun cuando es pacífico que se halla competencialmente habilitado </w:t>
      </w:r>
      <w:r w:rsidRPr="005728DD">
        <w:rPr>
          <w:i/>
        </w:rPr>
        <w:t>ex</w:t>
      </w:r>
      <w:r>
        <w:t xml:space="preserve"> art. 149.1.7 CE para establecer una regulación que contenga “los requisitos y procedimientos para la evaluación y acreditación de las competencias a efectos de la obtención de un certificado de profesionalidad”, para lo que no lo estaría sería para anular las posibilidades de gestión autonómica en este punto, realizando todas las convocatorias para acreditación de las competencias profesionales adquiridas a través de la experiencia profesional o por vías no formales de formación.</w:t>
      </w:r>
    </w:p>
    <w:p w:rsidR="005728DD" w:rsidRDefault="005728DD" w:rsidP="005728DD">
      <w:pPr>
        <w:pStyle w:val="TextoNormal"/>
      </w:pPr>
    </w:p>
    <w:p w:rsidR="005728DD" w:rsidRDefault="005728DD" w:rsidP="005728DD">
      <w:pPr>
        <w:pStyle w:val="TextoNormal"/>
      </w:pPr>
      <w:r>
        <w:t>b) En segundo lugar se alega la infracción del principio de territorialidad. Conforme al escrito de interposición, el único supuesto en el que la administración del Estado podría reservarse en exclusiva la realización de estas convocatorias sería en el caso de que se tratara de sectores o colectivos supraautonómicos, que, por definición, desbordan el campo de la competencia autonómica. En el supuesto controvertido es claro que no concurre ninguna de las circunstancias que, conforme a la doctrina constitucional (entre otras, cita SSTC 208/1999, 306/2000 y 35/2012), permiten el uso del criterio de territorialidad para atribuir competencias ejecutivas al Estado.</w:t>
      </w:r>
    </w:p>
    <w:p w:rsidR="005728DD" w:rsidRDefault="005728DD" w:rsidP="005728DD">
      <w:pPr>
        <w:pStyle w:val="TextoNormal"/>
      </w:pPr>
    </w:p>
    <w:p w:rsidR="005728DD" w:rsidRDefault="005728DD" w:rsidP="005728DD">
      <w:pPr>
        <w:pStyle w:val="TextoNormal"/>
      </w:pPr>
      <w:r>
        <w:lastRenderedPageBreak/>
        <w:t>c) Por último, según el escrito de interposición, el precepto impugnado sería contrario a los principios de legalidad, seguridad jurídica y jerarquía normativa del art. 9.3 CE, por cuanto el inciso cuestionado vulnera la normativa estatal y autonómica aplicable en este ámbito. Se trata de una norma organizativa sin rango suficiente para modificar el régimen establecido en las disposiciones legales y reglamentarias ya citadas y menos aún para vaciar las competencias de la comunidad autónoma de Andalucía.</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20 de octubre de 2020, el Pleno del Tribunal Constitucional, a propuesta de la Sección Primera, acordó admitir a trámite el conflicto positivo de competencia en relación con el art. 5.3 a) del Real Decreto 498/2020, de 28 de abril, por el que se desarrolla la estructura orgánica básica del Ministerio de Educación y Formación Profesional, y dar traslado de la demanda y documentos presentados al Gobierno de la Nación, por conducto de su presidente, al objeto de que, en el plazo de veinte días aportase cuantos documentos y alegaciones considerase convenientes. También se acordó comunicar la interposición del presente conflicto a la Sala de lo Contencioso-Administrativo del Tribunal Supremo, por si ante la misma estuviera impugnado o se impugnare el citado precepto, en cuyo caso se suspenderá el curso del proceso hasta la decisión del conflicto, según dispone el art. 61.2 de la Ley Orgánica del Tribunal Constitucional, así como publicar la incoación del conflicto en el “Boletín Oficial del Estado” y en el “Boletín Oficial de la Junta de Andalucía”.</w:t>
      </w:r>
    </w:p>
    <w:p w:rsidR="005728DD" w:rsidRDefault="005728DD" w:rsidP="005728DD">
      <w:pPr>
        <w:pStyle w:val="TextoNormal"/>
      </w:pPr>
    </w:p>
    <w:p w:rsidR="005728DD" w:rsidRDefault="005728DD" w:rsidP="005728DD">
      <w:pPr>
        <w:pStyle w:val="TextoNormal"/>
      </w:pPr>
      <w:r w:rsidRPr="005728DD">
        <w:rPr>
          <w:rStyle w:val="NumeroAFNegritaCaracter"/>
        </w:rPr>
        <w:t>3</w:t>
      </w:r>
      <w:r>
        <w:t>. El abogado del Estado formuló sus alegaciones mediante escrito registrado el día 26 de noviembre en el que interesa la desestimación del conflicto o, en su caso, la interpretación conforme del precepto impugnado.</w:t>
      </w:r>
    </w:p>
    <w:p w:rsidR="005728DD" w:rsidRDefault="005728DD" w:rsidP="005728DD">
      <w:pPr>
        <w:pStyle w:val="TextoNormal"/>
      </w:pPr>
    </w:p>
    <w:p w:rsidR="005728DD" w:rsidRDefault="005728DD" w:rsidP="005728DD">
      <w:pPr>
        <w:pStyle w:val="TextoNormal"/>
      </w:pPr>
      <w:r>
        <w:t>Reproduce la norma impugnada y entiende que el punto de partida del conflicto se refiere a la delimitación de competencias en materia de formación profesional, ya que la Junta de Andalucía considera que se refiere a una cuestión que se inserta en el ámbito laboral. Sin embargo, según el abogado del Estado, “la cuestión se debate entre si las convocatorias a efectuarse de acuerdo con lo previsto en la letra a) del art. 5.3 del Real Decreto 498/2020, de 28 de abril (la norma controvertida), se enmarcarían adecuadamente dentro del ámbito, primigenio educacional (reglado) de la formación profesional, que al Estado corresponde; o quizá si estaríamos, más bien en el plano de la formación ocupacional por tratarse de una actividad para el empleo, de formación de los demandantes de empleo u ocupacional de perfeccionamiento laboral de quienes se hallan empleado, en todo caso, pues, en el plano conceptual de la formación profesional en el ámbito laboral”.</w:t>
      </w:r>
    </w:p>
    <w:p w:rsidR="005728DD" w:rsidRDefault="005728DD" w:rsidP="005728DD">
      <w:pPr>
        <w:pStyle w:val="TextoNormal"/>
      </w:pPr>
    </w:p>
    <w:p w:rsidR="005728DD" w:rsidRDefault="005728DD" w:rsidP="005728DD">
      <w:pPr>
        <w:pStyle w:val="TextoNormal"/>
      </w:pPr>
      <w:r>
        <w:t xml:space="preserve">Alude a que se trata, en todo caso, de una materia compartida entre el Estado y las comunidades autónomas en los tres ámbitos que integran la formación profesional, recordando que los títulos de formación profesional del ámbito educativo y los certificados de profesionalidad tienen carácter oficial y validez en todo el territorio nacional. Señala que tales cualificaciones pueden adquirirse a través de procesos formativos, experiencia laboral y vías no formales de formación, citando la regulación del Real Decreto 34/2008. Indica que, a la vista de dicha norma, habría dos posibles alternativas para justificar la competencia estatal en este ámbito, (vinculación a las competencias ejecutivas de la administración del Estado o falta aún de traspaso de medios). Se centra especialmente en la primera de las razones, de la que reconoce que ha de ser un supuesto excepcional, que vendría dado en este caso por la expedición de certificados de profesionalidad en el ámbito de la formación profesional </w:t>
      </w:r>
      <w:r>
        <w:lastRenderedPageBreak/>
        <w:t>reglada propia del sistema educativo. Para ello, menciona que los certificados de profesionalidad se adquieren a través de formación específicamente dirigida a esa finalidad. Así, sostiene que “si la obtención de los certificados se efectúa, o se puede efectuar, lograr, mediante módulos o a través de procedimientos de formación reglada, esto es, en el ámbito de la educación general mediante la impartición de unidades o módulos que versaran de manera concreta sobre la materia, y habilitantes para la adquisición de aptitudes en el ámbito de la actividad laboral especializada o concretada a través de esta segunda vía (como una de las posibilidades o alternativas que ofrecen las normas citadas: Ley Orgánica 5/2002, de 19 de junio, Real Decreto 34/2008, de 18 de enero), su ejecución sería en el caso competencia del Estado, pues no estaríamos en el ámbito de la actividad de ejecución de la legislación laboral, sino en el ámbito de la ejecución de una competencia de educación, y vinculada en su caso a titulaciones o certificados con validez en todo el territorio nacional”.</w:t>
      </w:r>
    </w:p>
    <w:p w:rsidR="005728DD" w:rsidRDefault="005728DD" w:rsidP="005728DD">
      <w:pPr>
        <w:pStyle w:val="TextoNormal"/>
      </w:pPr>
    </w:p>
    <w:p w:rsidR="005728DD" w:rsidRDefault="005728DD" w:rsidP="005728DD">
      <w:pPr>
        <w:pStyle w:val="TextoNormal"/>
      </w:pPr>
      <w:r>
        <w:t>Por eso, el abogado del Estado entiende que el texto no vulnera las competencias autonómicas, ya que, por ser una norma organizativa no podría hacerlo o, subsidiariamente, sería susceptible de una interpretación conforme, en cuanto referida a la obtención de certificados de profesionalidad en el ámbito de la formación profesional reglada, propia de la materia educación.</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16 de febrero de 2021, se acordó señalar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conflicto y posiciones de las partes</w:t>
      </w:r>
      <w:r>
        <w:t>.</w:t>
      </w:r>
    </w:p>
    <w:p w:rsidR="005728DD" w:rsidRDefault="005728DD" w:rsidP="005728DD">
      <w:pPr>
        <w:pStyle w:val="TextoNormal"/>
      </w:pPr>
    </w:p>
    <w:p w:rsidR="005728DD" w:rsidRDefault="005728DD" w:rsidP="005728DD">
      <w:pPr>
        <w:pStyle w:val="TextoNormal"/>
      </w:pPr>
      <w:r>
        <w:t>Este proceso constitucional tiene por objeto resolver el conflicto positivo de competencia promovido por el Consejo de Gobierno de la Comunidad Autónoma de Andalucía contra el art. 5.3 a) del Real Decreto 498/2020, de 28 de abril, por el que se desarrolla la estructura orgánica básica del Ministerio de Educación y Formación Profesional.</w:t>
      </w:r>
    </w:p>
    <w:p w:rsidR="005728DD" w:rsidRDefault="005728DD" w:rsidP="005728DD">
      <w:pPr>
        <w:pStyle w:val="TextoNormal"/>
      </w:pPr>
    </w:p>
    <w:p w:rsidR="005728DD" w:rsidRDefault="005728DD" w:rsidP="005728DD">
      <w:pPr>
        <w:pStyle w:val="TextoNormal"/>
      </w:pPr>
      <w:r>
        <w:t>El citado precepto atribuye a la Secretaría General de Formación Profesional la función relativa a “[l]a ordenación, desarrollo, evaluación, gestión e innovación, de la formación profesional en el sistema educativo y para el empleo, y en concreto, respecto a esta última, la formación profesional de desempleados y la formación profesional de ocupados, incluyendo las convocatorias nacionales y las autonómicas, cuando estas respondan a formación vinculada a los certificados de profesionalidad, incluida la formación profesional dual del ámbito educativo. Asimismo le corresponde el establecimiento y actualización de los títulos de formación profesional, cursos de especialización y certificados de profesionalidad”.</w:t>
      </w:r>
    </w:p>
    <w:p w:rsidR="005728DD" w:rsidRDefault="005728DD" w:rsidP="005728DD">
      <w:pPr>
        <w:pStyle w:val="TextoNormal"/>
      </w:pPr>
    </w:p>
    <w:p w:rsidR="005728DD" w:rsidRDefault="005728DD" w:rsidP="005728DD">
      <w:pPr>
        <w:pStyle w:val="TextoNormal"/>
      </w:pPr>
      <w:r>
        <w:t>La cuestión controvertida se circunscribe a la atribución al mencionado órgano estatal de las competencias para, en el ámbito de la formación profesional de trabajadores desempleados y ocupados, realizar las convocatorias autonómicas “cuando estas respondan a formación vinculada a los certificados de profesionalidad, incluida la formación profesional dual del ámbito educativo”.</w:t>
      </w:r>
    </w:p>
    <w:p w:rsidR="005728DD" w:rsidRDefault="005728DD" w:rsidP="005728DD">
      <w:pPr>
        <w:pStyle w:val="TextoNormal"/>
      </w:pPr>
    </w:p>
    <w:p w:rsidR="005728DD" w:rsidRDefault="005728DD" w:rsidP="005728DD">
      <w:pPr>
        <w:pStyle w:val="TextoNormal"/>
      </w:pPr>
      <w:r>
        <w:lastRenderedPageBreak/>
        <w:t>La impugnación tiene un fundamento esencialmente competencial, por cuanto entiende el recurrente que el precepto, en lo concretamente discutido, es contrario a las competencias autonómicas en materia de ejecución de la legislación laboral del art. 63.1, apartados 1 y 2 del Estatuto de Autonomía para Andalucía. Tampoco se ajustaría a la doctrina constitucional que, excepcionalmente, ha permitido la utilización del criterio de supraterritorialidad para la atribución de competencias al Estado y, en fin, sería contrario a los principios de legalidad, seguridad jurídica y jerarquía normativa, por cuanto contravendría la regulación sustantiva estatal en esta materia.</w:t>
      </w:r>
    </w:p>
    <w:p w:rsidR="005728DD" w:rsidRDefault="005728DD" w:rsidP="005728DD">
      <w:pPr>
        <w:pStyle w:val="TextoNormal"/>
      </w:pPr>
    </w:p>
    <w:p w:rsidR="005728DD" w:rsidRDefault="005728DD" w:rsidP="005728DD">
      <w:pPr>
        <w:pStyle w:val="TextoNormal"/>
      </w:pPr>
      <w:r>
        <w:t>El abogado del Estado, por los motivos que se han expuesto en los antecedentes, ha negado la vulneración denunciada interesando, en consecuencia, la desestimación del conflicto o, en su defecto, la interpretación conforme del inciso controvertido.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Encuadramiento competencial de la controversia planteada</w:t>
      </w:r>
      <w:r>
        <w:t>.</w:t>
      </w:r>
    </w:p>
    <w:p w:rsidR="005728DD" w:rsidRDefault="005728DD" w:rsidP="005728DD">
      <w:pPr>
        <w:pStyle w:val="TextoNormal"/>
      </w:pPr>
    </w:p>
    <w:p w:rsidR="005728DD" w:rsidRDefault="005728DD" w:rsidP="005728DD">
      <w:pPr>
        <w:pStyle w:val="TextoNormal"/>
      </w:pPr>
      <w:r>
        <w:t>Analizaremos los motivos de impugnación en el orden en el que se plantean en el escrito de interposición. Comenzaremos, por tanto, por la denuncia de vulneración de las competencias autonómicas en materia de ejecución de la legislación laboral.</w:t>
      </w:r>
    </w:p>
    <w:p w:rsidR="005728DD" w:rsidRDefault="005728DD" w:rsidP="005728DD">
      <w:pPr>
        <w:pStyle w:val="TextoNormal"/>
      </w:pPr>
    </w:p>
    <w:p w:rsidR="005728DD" w:rsidRDefault="005728DD" w:rsidP="005728DD">
      <w:pPr>
        <w:pStyle w:val="TextoNormal"/>
      </w:pPr>
      <w:r>
        <w:t>Tratándose de una controversia competencial, el primer paso para su resolución debe ser el encuadramiento de la materia entre las enumeradas en la Constitución y en el Estatuto de Autonomía de Andalucía.</w:t>
      </w:r>
    </w:p>
    <w:p w:rsidR="005728DD" w:rsidRDefault="005728DD" w:rsidP="005728DD">
      <w:pPr>
        <w:pStyle w:val="TextoNormal"/>
      </w:pPr>
    </w:p>
    <w:p w:rsidR="005728DD" w:rsidRDefault="005728DD" w:rsidP="005728DD">
      <w:pPr>
        <w:pStyle w:val="TextoNormal"/>
      </w:pPr>
      <w:r>
        <w:t xml:space="preserve">A estos efectos, ha de tenerse en cuenta que las convocatorias discutidas se refieren a la evaluación y acreditación de las competencias adquiridas por los trabajadores ocupados y desempleados a fin de obtener un certificado de profesionalidad. El art. 8 de la Ley Orgánica 5/2002 de 19 de junio, de las cualificaciones y de la formación profesional, establece dos instrumentos para el reconocimiento y acreditación de las cualificaciones profesionales: los títulos de formación profesional reglada, propios del sistema educativo, y los certificados de profesionalidad. Tales certificados de profesionalidad se insertan en el sistema de formación profesional para el empleo en el ámbito laboral, constituido por el conjunto de iniciativas, programas e instrumentos que tienen como finalidad impulsar y extender entre las empresas y los trabajadores ocupados y desempleados una formación que contribuya al desarrollo personal y profesional de los trabajadores y a su promoción en el trabajo que responda a las necesidades del mercado laboral y esté orientada a la mejora de la empleabilidad de los trabajadores y la competitividad empresarial. En dicho sistema, los certificados son los instrumentos de acreditación, en el ámbito laboral, de las cualificaciones profesionales del catálogo nacional de cualificaciones profesionales adquiridas a través de procesos formativos, del proceso de reconocimiento de la experiencia laboral y de vías no formales de formación (art. 40.7 del texto refundido de la Ley de empleo, aprobado por Real Decreto Legislativo 3/2015, de 23 de octubre). Acreditan así, en el ámbito laboral, la capacitación para el desarrollo de una actividad con significación para el empleo y aseguran la formación necesaria para su adquisición. Esas competencias profesionales, acreditadas mediante los mencionados certificados, se adquieren a través de la experiencia laboral, de vías formales de formación o de vías no formales de formación que se establezcan en el desarrollo normativo del art. 8.4 de la Ley Orgánica 5/2002 (art. 8.2 del Real Decreto 34/2008, de 18 de enero, por el que se regulan los certificados de profesionalidad). Dicho desarrollo normativo </w:t>
      </w:r>
      <w:r>
        <w:lastRenderedPageBreak/>
        <w:t>se llevó a cabo por Real Decreto 1224/2009, de 17 de julio, de reconocimiento de las competencias profesionales adquiridas por experiencia laboral, norma que fija los requisitos y procedimientos para la evaluación y acreditación de las competencias, así como los efectos de las mismas. Entre tales procedimientos se encuentran las convocatorias objeto del presente conflicto.</w:t>
      </w:r>
    </w:p>
    <w:p w:rsidR="005728DD" w:rsidRDefault="005728DD" w:rsidP="005728DD">
      <w:pPr>
        <w:pStyle w:val="TextoNormal"/>
      </w:pPr>
    </w:p>
    <w:p w:rsidR="005728DD" w:rsidRDefault="005728DD" w:rsidP="005728DD">
      <w:pPr>
        <w:pStyle w:val="TextoNormal"/>
      </w:pPr>
      <w:r>
        <w:t>En suma, los mencionados certificados de profesionalidad persiguen la acreditación de las correspondientes competencias profesionales adquiridas por vías distintas de las previstas en la formación profesional reglada, en cuanto se obtienen a través de la experiencia laboral, vías no formales de formación y acciones de formación profesional para el empleo. Las convocatorias aquí discutidas sirven para evaluar la adquisición de tales capacidades.</w:t>
      </w:r>
    </w:p>
    <w:p w:rsidR="005728DD" w:rsidRDefault="005728DD" w:rsidP="005728DD">
      <w:pPr>
        <w:pStyle w:val="TextoNormal"/>
      </w:pPr>
    </w:p>
    <w:p w:rsidR="005728DD" w:rsidRDefault="005728DD" w:rsidP="005728DD">
      <w:pPr>
        <w:pStyle w:val="TextoNormal"/>
      </w:pPr>
      <w:r>
        <w:t>Por tanto, tal y como se afirmó en la STC 194/2012, de 31 de octubre, FJ 4:</w:t>
      </w:r>
    </w:p>
    <w:p w:rsidR="005728DD" w:rsidRDefault="005728DD" w:rsidP="005728DD">
      <w:pPr>
        <w:pStyle w:val="TextoNormal"/>
      </w:pPr>
    </w:p>
    <w:p w:rsidR="005728DD" w:rsidRDefault="005728DD" w:rsidP="005728DD">
      <w:pPr>
        <w:pStyle w:val="TextoNormal"/>
      </w:pPr>
      <w:r>
        <w:t>“Resulta claro entonces que tales certificados de profesionalidad persiguen la acreditación de las correspondientes competencias profesionales adquiridas por vías en todo caso distintas de las previstas en la formación profesional reglada, tal como ya razonamos en la STC 111/2012, FJ 5, cuando hicimos referencia a ‘otras figuras acreditativas de capacitaciones profesionales adquiridas en otros ámbitos’, en contraposición a los títulos académicos de formación profesional de grado medio y de grado superior, propios de la formación profesional reglada que, al ser cursada, conlleva la posibilidad de obtener un determinado título académico.</w:t>
      </w:r>
    </w:p>
    <w:p w:rsidR="005728DD" w:rsidRDefault="005728DD" w:rsidP="005728DD">
      <w:pPr>
        <w:pStyle w:val="TextoNormal"/>
      </w:pPr>
    </w:p>
    <w:p w:rsidR="005728DD" w:rsidRDefault="005728DD" w:rsidP="005728DD">
      <w:pPr>
        <w:pStyle w:val="TextoNormal"/>
      </w:pPr>
      <w:r>
        <w:t>Ello guarda directa relación con el mandato que la Ley Orgánica 5/2002 impone al sistema nacional de cualificaciones y formación profesional en lo que respecta a la evaluación y acreditación de las competencias profesionales alcanzadas tanto a través de las acciones de formación profesional reglada como de las vinculadas a la formación profesional ocupacional y a la continua y de la experiencia laboral. Es por ello que la norma de la que los preceptos impugnados forman parte se refiere a estos últimos aspectos cuando alude a la posibilidad de otorgar certificados de profesionalidad por las vías antes mencionadas, estableciendo un procedimiento específico de evaluación, obtención y expedición de los certificados de profesionalidad en atención a la realización de aprendizajes no formales o de la experiencia laboral previa, que se deberá efectuar teniendo en cuenta las correspondientes cualificaciones profesionales incluidas en el Catálogo nacional de cualificaciones profesionales”.</w:t>
      </w:r>
    </w:p>
    <w:p w:rsidR="005728DD" w:rsidRDefault="005728DD" w:rsidP="005728DD">
      <w:pPr>
        <w:pStyle w:val="TextoNormal"/>
      </w:pPr>
    </w:p>
    <w:p w:rsidR="005728DD" w:rsidRDefault="005728DD" w:rsidP="005728DD">
      <w:pPr>
        <w:pStyle w:val="TextoNormal"/>
      </w:pPr>
      <w:r>
        <w:t>De acuerdo con esa doctrina, la cuestión controvertida no afecta pues a la “formación profesional reglada”, que forma parte del sistema educativo y se ubica en el ámbito de las competencias relativas a la educación (art. 149.1.30 CE), sino a la “formación profesional para el empleo”, que se dirige a los trabajadores ocupados y desempleados con el objeto de proporcionarles una formación que responda a sus necesidades y da lugar a la obtención de un certificado de profesionalidad (Real Decreto 694/2017, de 3 de julio, por el que se desarrolla la Ley 30/2015, de 9 de septiembre, por la que se regula el sistema de formación profesional para el empleo en el ámbito laboral). Se incardina, por tanto, en la materia laboral y en las competencias relacionadas con la misma (art. 149.1.7 CE), tal como, por otra parte, ya había dejado sentado la doctrina constitucional [STC 111/2012, de 24 de mayo, FFJJ 4 y 7; 194/2012, de 31 de octubre, FFJJ 4 y 6; 88/2014, de 9 de junio, FJ 3; 198/2014, de 15 de diciembre, FJ 3; 61/2015, de 18 de marzo, FJ 2, y 81/2017, de 22 de junio, FJ 2].</w:t>
      </w:r>
    </w:p>
    <w:p w:rsidR="005728DD" w:rsidRDefault="005728DD" w:rsidP="005728DD">
      <w:pPr>
        <w:pStyle w:val="TextoNormal"/>
      </w:pPr>
    </w:p>
    <w:p w:rsidR="005728DD" w:rsidRDefault="005728DD" w:rsidP="005728DD">
      <w:pPr>
        <w:pStyle w:val="TextoNormal"/>
      </w:pPr>
      <w:r>
        <w:t>Partiendo, pues, de que las normas controvertidas se incardinan en la materia “legislación laboral”, el reparto competencial relativo a ella viene dado por lo dispuesto en el art. 149.1.7 CE y en el art. 63.1, apartados 1 y 2 del Estatuto de Autonomía para Andalucía. El primero de los preceptos atribuye al Estado competencia exclusiva sobre legislación laboral, sin perjuicio de su ejecución por los órganos de las comunidades autónomas; el segundo dispone que corresponde a la Comunidad Autónoma de Andalucía las competencias ejecutivas en materia de empleo y relaciones laborales que incluyen, entre otras cuestiones “la formación de los demandantes de empleo y de los trabajadores en activo” y “las cualificaciones profesionales en Andalucía”.</w:t>
      </w:r>
    </w:p>
    <w:p w:rsidR="005728DD" w:rsidRDefault="005728DD" w:rsidP="005728DD">
      <w:pPr>
        <w:pStyle w:val="TextoNormal"/>
      </w:pPr>
    </w:p>
    <w:p w:rsidR="005728DD" w:rsidRDefault="005728DD" w:rsidP="005728DD">
      <w:pPr>
        <w:pStyle w:val="TextoNormal"/>
      </w:pPr>
      <w:r>
        <w:t>El deslinde competencial en esta materia ha sido precisado por este tribunal en reiteradas ocasiones. Ha señalado que la Constitución Española atribuye al Estado la ordenación general de la materia laboral, sin que ningún espacio de regulación externa les quede a las comunidades autónomas. En materia de legislación laboral la competencia estatal es exclusiva y plena, comprendiendo tanto las leyes y normas con rango de ley como los reglamentos, de conformidad con el art. 149.1.7 CE lo que excluye absolutamente la intervención legislativa de las comunidades autónomas en esta materia (por todas, SSTC 18/1982, de 4 de mayo, FFJJ 2 y 5; 35/1982, de 14 de junio, FJ 2; 7/1985, de 25 de enero, FJ 2; 86/1991, de 25 de abril, FJ 3; 51/2006, de 16 de febrero, FJ 4, y 244/2012, de 18 de diciembre, FJ 4). Las comunidades autónomas únicamente pueden disponer de una competencia de mera ejecución de la normación estatal, que incluye la emanación de reglamentos internos de organización de los servicios necesarios, de regulación de la propia competencia funcional de ejecución y, en general, el desarrollo del conjunto de actuaciones preciso para la puesta en práctica de la normativa reguladora del conjunto del sistema de relaciones laborales, así como la potestad sancionadora en la materia (por todas, STC 176/2014, de 3 de noviembre, FJ 3).</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Resolución de la controversia planteada</w:t>
      </w:r>
      <w:r>
        <w:t>.</w:t>
      </w:r>
    </w:p>
    <w:p w:rsidR="005728DD" w:rsidRDefault="005728DD" w:rsidP="005728DD">
      <w:pPr>
        <w:pStyle w:val="TextoNormal"/>
      </w:pPr>
    </w:p>
    <w:p w:rsidR="005728DD" w:rsidRDefault="005728DD" w:rsidP="005728DD">
      <w:pPr>
        <w:pStyle w:val="TextoNormal"/>
      </w:pPr>
      <w:r>
        <w:t>Una vez precisado el encuadramiento y reparto competencial en la materia, es preciso dar respuesta a la controversia planteada.</w:t>
      </w:r>
    </w:p>
    <w:p w:rsidR="005728DD" w:rsidRDefault="005728DD" w:rsidP="005728DD">
      <w:pPr>
        <w:pStyle w:val="TextoNormal"/>
      </w:pPr>
    </w:p>
    <w:p w:rsidR="005728DD" w:rsidRDefault="005728DD" w:rsidP="005728DD">
      <w:pPr>
        <w:pStyle w:val="TextoNormal"/>
      </w:pPr>
      <w:r>
        <w:t>Las convocatorias que el inciso cuestionado reserva a un órgano estatal son, sin duda, una actividad ejecutiva, relacionada con la evaluación y acreditación de las competencias profesionales, en los términos que definen las normas estatales, en la medida en que tal evaluación y acreditación es necesaria para la obtención de certificados de profesionalidad. Se trata, en el marco del subsistema de formación profesional para el empleo definido normativamente en su totalidad por el Estado, de una actividad administrativa dirigida a acreditar que la experiencia laboral o la formación adquirida capacitan para el desarrollo de determinadas tareas en el mercado de trabajo.</w:t>
      </w:r>
    </w:p>
    <w:p w:rsidR="005728DD" w:rsidRDefault="005728DD" w:rsidP="005728DD">
      <w:pPr>
        <w:pStyle w:val="TextoNormal"/>
      </w:pPr>
    </w:p>
    <w:p w:rsidR="005728DD" w:rsidRDefault="005728DD" w:rsidP="005728DD">
      <w:pPr>
        <w:pStyle w:val="TextoNormal"/>
      </w:pPr>
      <w:r>
        <w:t>a) Dado su contenido, dirigido a la acreditación de la adquisición de competencias profesionales necesarias para la obtención de un certificado de profesionalidad, y su consecuente inserción en la materia laboral según se ha expuesto, es forzoso concluir que la competencia para las convocatorias en cuestión, en el ámbito territorial autonómico que es el aquí discutido, ha de corresponder, como regla general, a quien ostente las competencias de ejecución en materia laboral, que no es otra que la comunidad autónoma.</w:t>
      </w:r>
    </w:p>
    <w:p w:rsidR="005728DD" w:rsidRDefault="005728DD" w:rsidP="005728DD">
      <w:pPr>
        <w:pStyle w:val="TextoNormal"/>
      </w:pPr>
    </w:p>
    <w:p w:rsidR="005728DD" w:rsidRDefault="005728DD" w:rsidP="005728DD">
      <w:pPr>
        <w:pStyle w:val="TextoNormal"/>
      </w:pPr>
      <w:r>
        <w:t>La cuestión es pues, señalado ya que la regla general en esta materia es la ejecución autonómica de la normativa estatal, si las razones a las que alude el abogado del Estado resultan de utilidad para justificar, por excepción, la retención en un órgano estatal de competencias ejecutivas relacionadas con estas convocatorias de ámbito autonómico.</w:t>
      </w:r>
    </w:p>
    <w:p w:rsidR="005728DD" w:rsidRDefault="005728DD" w:rsidP="005728DD">
      <w:pPr>
        <w:pStyle w:val="TextoNormal"/>
      </w:pPr>
    </w:p>
    <w:p w:rsidR="005728DD" w:rsidRDefault="005728DD" w:rsidP="005728DD">
      <w:pPr>
        <w:pStyle w:val="TextoNormal"/>
      </w:pPr>
      <w:r>
        <w:t>El abogado del Estado, citando el preámbulo del Real Decreto 34/2008, de 18 de enero, por el que se regulan los certificados de profesionalidad, alude, en primer término, a que tales razones podrían ser que se trate de supuestos en los que se haya reservado esta tarea a la administración general del Estado por haberle reservado a la misma las competencias ejecutivas en materia de formación profesional para el empleo o bien por no existir traspaso.</w:t>
      </w:r>
    </w:p>
    <w:p w:rsidR="005728DD" w:rsidRDefault="005728DD" w:rsidP="005728DD">
      <w:pPr>
        <w:pStyle w:val="TextoNormal"/>
      </w:pPr>
    </w:p>
    <w:p w:rsidR="005728DD" w:rsidRDefault="005728DD" w:rsidP="005728DD">
      <w:pPr>
        <w:pStyle w:val="TextoNormal"/>
      </w:pPr>
      <w:r>
        <w:t>Esta última razón debe ser ya descartada, ya que por Real Decreto 427/1993, de 26 de marzo, se realizó el traspaso de funciones y servicios de la gestión de la —entonces denominada— formación profesional ocupacional a la Comunidad Autónoma de Andalucía.</w:t>
      </w:r>
    </w:p>
    <w:p w:rsidR="005728DD" w:rsidRDefault="005728DD" w:rsidP="005728DD">
      <w:pPr>
        <w:pStyle w:val="TextoNormal"/>
      </w:pPr>
    </w:p>
    <w:p w:rsidR="005728DD" w:rsidRDefault="005728DD" w:rsidP="005728DD">
      <w:pPr>
        <w:pStyle w:val="TextoNormal"/>
      </w:pPr>
      <w:r>
        <w:t>La misma conclusión se alcanza respecto a la supuesta reserva de competencias ejecutivas estatales en el ámbito territorial autonómico examinando la normativa estatal que regula esta cuestión. Concretamente, la Ley Orgánica 5/2002, de 19 de junio, de las cualificaciones y de la formación profesional establece en el apartado 1 de su art. 8 que los certificados de profesionalidad tienen carácter oficial y validez en todo el territorio nacional, acreditan las correspondientes cualificaciones profesionales a quienes los hayan obtenido y serán expedidos por la administración laboral competente. El art. 8.2 alude a la cuestión aquí controvertida, relativa a la evaluación y la acreditación de las competencias profesionales adquiridas a través de la experiencia laboral o de vías no formales de formación. Como ya se ha mencionado, en desarrollo de este art. 8 se dictó el Real Decreto 1224/2009, cuyo preámbulo señala que “la gestión del sistema se descentraliza en las comunidades autónomas, a las que corresponderá la convocatoria y gestión de los procesos de evaluación y acreditación de competencias”, aludiendo a continuación a una serie de supuestos, en los que, por excepción, la competencia queda reservada a la administración del Estado.</w:t>
      </w:r>
    </w:p>
    <w:p w:rsidR="005728DD" w:rsidRDefault="005728DD" w:rsidP="005728DD">
      <w:pPr>
        <w:pStyle w:val="TextoNormal"/>
      </w:pPr>
    </w:p>
    <w:p w:rsidR="005728DD" w:rsidRDefault="005728DD" w:rsidP="005728DD">
      <w:pPr>
        <w:pStyle w:val="TextoNormal"/>
      </w:pPr>
      <w:r>
        <w:t>Conforme con lo anunciado en el preámbulo, la regulación sustantiva estatal [arts. 10, 21.1 b), 22 y 26 del Real Decreto 1224/2009] faculta a las administraciones autonómicas para llevar a cabo la convocatoria pública del procedimiento de evaluación y acreditación de las competencias profesionales, adquiridas a través de la experiencia laboral o de vías no formales de formación, posibilitando que la administración general del Estado, con la colaboración de las comunidades autónomas, pueda realizar tales convocatorias de evaluación y acreditación de competencias únicamente para determinados sectores o colectivos de carácter supraautonómico [arts. 10.6 y 21.1.a) 5]. De hecho, la disposición final tercera del citado Real Decreto 1224/2009 otorgaba un plazo de un año para que las comunidades autónomas iniciarán las actuaciones necesarias para implantar el procedimiento de evaluación y acreditación de las competencias profesionales adquiridas a través de la experiencia laboral o de vías no formales de formación.</w:t>
      </w:r>
    </w:p>
    <w:p w:rsidR="005728DD" w:rsidRDefault="005728DD" w:rsidP="005728DD">
      <w:pPr>
        <w:pStyle w:val="TextoNormal"/>
      </w:pPr>
    </w:p>
    <w:p w:rsidR="005728DD" w:rsidRDefault="005728DD" w:rsidP="005728DD">
      <w:pPr>
        <w:pStyle w:val="TextoNormal"/>
      </w:pPr>
      <w:r>
        <w:t xml:space="preserve">Tampoco justifica la asunción de competencias por el Estado la referencia a que tales capacidades se adquieran a través de módulos formativos específicos, argumento también expuesto por el abogado del Estado. Esta posibilidad tiene que ver con la compatibilidad y equivalencia (disposición adicional primera del Real Decreto 34/2008) entre la superación </w:t>
      </w:r>
      <w:r>
        <w:lastRenderedPageBreak/>
        <w:t>de las unidades de competencia de un certificado de profesionalidad y la acreditación académica de la formación profesional reglada, de tal forma que exista un reconocimiento entre las certificaciones de las administraciones laborales y las educativas. Pero en este caso, en cuanto dirigida a la obtención de certificados de profesionalidad, y, por tanto, a la evaluación y reconocimiento de las competencias profesionales de los trabajadores, se trata de formación vinculada al ámbito laboral y no al sistema educativo, formación regulada en el ya mencionado Real Decreto 694/2017. Y, por otra parte, las convocatorias discutidas se dirigen, como ya se ha señalado, a evaluar y acreditar competencias profesionales adquiridas, bien por vía de formación, bien por experiencia laboral, para hacer posible que, en tanto que modos de mejorar la capacidad profesional de los trabajadores, puedan surtir efectos a la hora de obtener un certificado de profesionalidad (arts. 8.2 y 3 del citado Real Decreto 694/2017).</w:t>
      </w:r>
    </w:p>
    <w:p w:rsidR="005728DD" w:rsidRDefault="005728DD" w:rsidP="005728DD">
      <w:pPr>
        <w:pStyle w:val="TextoNormal"/>
      </w:pPr>
    </w:p>
    <w:p w:rsidR="005728DD" w:rsidRDefault="005728DD" w:rsidP="005728DD">
      <w:pPr>
        <w:pStyle w:val="TextoNormal"/>
      </w:pPr>
      <w:r>
        <w:t>Por último, frente a lo que también se sostiene por el abogado del Estado, la STC 111/2012, FJ 5, ya descartó, a partir de la regulación de la propia Ley Orgánica 5/2002, la equiparación a efectos competenciales entre los títulos académicos de formación profesional y los certificados de profesionalidad, señalando que el aspecto en el que entraría en juego la competencia del primer inciso del art. 149.1.30 CE sería para el caso de que las actividades formativas pudieran ser objeto de homologación a los efectos de acreditación de las enseñanzas correspondientes a las titulaciones de la formación profesional reglada. Cuestión que, prevista en la ya mencionada disposición adicional primera del Real Decreto 34/2008, no es la que aquí se debate, centrada en la ejecución de los procedimientos para la evaluación y acreditación de las competencias profesionales a efectos de la obtención de certificados de profesionalidad, que no forman parte del sistema educativo, sino que, como ya se ha mencionado, se insertan en el ámbito laboral.</w:t>
      </w:r>
    </w:p>
    <w:p w:rsidR="005728DD" w:rsidRDefault="005728DD" w:rsidP="005728DD">
      <w:pPr>
        <w:pStyle w:val="TextoNormal"/>
      </w:pPr>
    </w:p>
    <w:p w:rsidR="005728DD" w:rsidRDefault="005728DD" w:rsidP="005728DD">
      <w:pPr>
        <w:pStyle w:val="TextoNormal"/>
      </w:pPr>
      <w:r>
        <w:t>Por lo expuesto, el inciso cuestionado, en cuanto supone la reserva de potestades de ejecución a un órgano estatal, no se ajusta a la delimitación de competencias en materia laboral, incurriendo en vulneración de las competencias autonómicas.</w:t>
      </w:r>
    </w:p>
    <w:p w:rsidR="005728DD" w:rsidRDefault="005728DD" w:rsidP="005728DD">
      <w:pPr>
        <w:pStyle w:val="TextoNormal"/>
      </w:pPr>
    </w:p>
    <w:p w:rsidR="005728DD" w:rsidRDefault="005728DD" w:rsidP="005728DD">
      <w:pPr>
        <w:pStyle w:val="TextoNormal"/>
      </w:pPr>
      <w:r>
        <w:t>b) La conclusión así alcanzada no queda enervada por lo también argumentado por el abogado del Estado respecto a la imposibilidad de que la norma cuestionada produzca por sí misma una vulneración competencial o que, subsidiariamente, pudiera ser objeto de una interpretación conforme con el orden constitucional de distribución de competencias.</w:t>
      </w:r>
    </w:p>
    <w:p w:rsidR="005728DD" w:rsidRDefault="005728DD" w:rsidP="005728DD">
      <w:pPr>
        <w:pStyle w:val="TextoNormal"/>
      </w:pPr>
    </w:p>
    <w:p w:rsidR="005728DD" w:rsidRDefault="005728DD" w:rsidP="005728DD">
      <w:pPr>
        <w:pStyle w:val="TextoNormal"/>
      </w:pPr>
      <w:r>
        <w:t xml:space="preserve">(i) Sugiere, en primer término, que el hecho de tratarse de una norma organizativa permitiría excluir la vulneración competencial que se denuncia. Sin embargo, frente a lo que sucedía en otros casos examinados por este tribunal (por ejemplo, STC 121/2014, de 17 de julio, FJ 3) es de apreciar que la disposición cuestionada sí que produce un efecto de atribución competencial, ya que implica la asignación a un órgano estatal, en una norma del mismo rango y posterior a aquella que fija la regulación sustantiva, de una concreta facultad de convocatoria en un ámbito territorial determinado, el autonómico. Previsión que, en sí misma, supone una asunción de competencia en ese concreto ámbito territorial que es discutida por el Consejo de Gobierno de Andalucía por entenderla contraria a la delimitación de competencias derivada de la Constitución y del Estatuto de Autonomía de Andalucía. El inciso cuestionado, por tanto, ha llevado a cabo una afirmación competencial en favor de un órgano estatal para la realización de las mencionadas convocatorias, que, por las razones </w:t>
      </w:r>
      <w:r>
        <w:lastRenderedPageBreak/>
        <w:t>que se han expuesto anteriormente, ha incurrido en una inconstitucionalidad actual y efectiva [en similares términos, STC 142/2018, de 20 de diciembre, FJ 2 a)].</w:t>
      </w:r>
    </w:p>
    <w:p w:rsidR="005728DD" w:rsidRDefault="005728DD" w:rsidP="005728DD">
      <w:pPr>
        <w:pStyle w:val="TextoNormal"/>
      </w:pPr>
    </w:p>
    <w:p w:rsidR="005728DD" w:rsidRDefault="005728DD" w:rsidP="005728DD">
      <w:pPr>
        <w:pStyle w:val="TextoNormal"/>
      </w:pPr>
      <w:r>
        <w:t>(ii) También alega, en segundo lugar, que el inciso cuestionado puede ser objeto de una interpretación conforme, entendiendo que se trataría de la expedición de certificados de profesionalidad en el ámbito de la formación profesional reglada, en concreto, en la formación profesional dual del ámbito educativo.</w:t>
      </w:r>
    </w:p>
    <w:p w:rsidR="005728DD" w:rsidRDefault="005728DD" w:rsidP="005728DD">
      <w:pPr>
        <w:pStyle w:val="TextoNormal"/>
      </w:pPr>
    </w:p>
    <w:p w:rsidR="005728DD" w:rsidRDefault="005728DD" w:rsidP="005728DD">
      <w:pPr>
        <w:pStyle w:val="TextoNormal"/>
      </w:pPr>
      <w:r>
        <w:t>Es doctrina constitucional consolidada [por todas, STC 65/2020, de 18 de junio, FJ 2 b)]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[SSTC 14/2015, FJ 5; 118/2016, FJ 3 d); 20/2017, FJ 9; 26/2017, FJ 6; 37/2017, FJ 4 e); 62/2017, FJ 7, y 116/2017, FJ 3]. Y, en todo caso, la búsqueda de las posibilidades de interpretación conforme de los preceptos impugnados deberá realizarse caso a caso y con el debido razonamiento.</w:t>
      </w:r>
    </w:p>
    <w:p w:rsidR="005728DD" w:rsidRDefault="005728DD" w:rsidP="005728DD">
      <w:pPr>
        <w:pStyle w:val="TextoNormal"/>
      </w:pPr>
    </w:p>
    <w:p w:rsidR="005728DD" w:rsidRDefault="005728DD" w:rsidP="005728DD">
      <w:pPr>
        <w:pStyle w:val="TextoNormal"/>
      </w:pPr>
      <w:r>
        <w:t>La interpretación que propone el abogado del Estado no puede ser acogida por dos razones. La primera es que el propio tenor del precepto la excluye, en cuanto enmarca las convocatorias discutidas “en el ámbito de la formación profesional para el empleo, y en concreto, respecto a esta última, la formación profesional de desempleados y la formación profesional de ocupados”, diferenciada en el propio precepto, de modo concordante con la doctrina constitucional, de la que es propia del sistema educativo. La segunda es que lo que con ese planteamiento se viene a sostener es que, aún insertado en el ámbito de la formación continua u ocupacional, ha de reconocerse la aplicación de los criterios de delimitación competencial propios de la materia educación, algo ya descartado por la doctrina constitucional (SSTC 111/2012, FJ 3, y 194/2012, FJ 4).</w:t>
      </w:r>
    </w:p>
    <w:p w:rsidR="005728DD" w:rsidRDefault="005728DD" w:rsidP="005728DD">
      <w:pPr>
        <w:pStyle w:val="TextoNormal"/>
      </w:pPr>
    </w:p>
    <w:p w:rsidR="005728DD" w:rsidRDefault="005728DD" w:rsidP="005728DD">
      <w:pPr>
        <w:pStyle w:val="TextoNormal"/>
      </w:pPr>
      <w:r>
        <w:t>Por lo demás, la regulación de la formación profesional dual en el ámbito educativo (arts. 28 a 34 del Real Decreto 1529/2012, de 8 de noviembre, por el que se desarrolla el contrato para la formación y el aprendizaje y se establecen las bases de la formación profesional dual) no alude, entre las finalidades que persigue el desarrollo de proyectos de formación profesional dual en dicho ámbito, a la obtención de certificados de profesionalidad (art. 28.2). Tales proyectos se refieren, en su caso, a la adquisición de capacidades profesionales por parte de quien participa en ellos. Sin embargo, lo que aquí se discute no es la vía a través de la que se adquieren esas capacidades, sino la instancia a la que corresponde, mediante las pertinentes convocatorias dirigidas a ese fin, su evaluación y acreditación a los exclusivos efectos de obtener un certificado de profesionalidad.</w:t>
      </w:r>
    </w:p>
    <w:p w:rsidR="005728DD" w:rsidRDefault="005728DD" w:rsidP="005728DD">
      <w:pPr>
        <w:pStyle w:val="TextoNormal"/>
      </w:pPr>
    </w:p>
    <w:p w:rsidR="005728DD" w:rsidRDefault="005728DD" w:rsidP="005728DD">
      <w:pPr>
        <w:pStyle w:val="TextoNormal"/>
      </w:pPr>
      <w:r>
        <w:t>Consecuentemente, la competencia controvertida corresponde a la comunidad autónoma, de suerte que el inciso “y las autonómicas” del art. 5.3 a) del Real Decreto 498/2020, es contrario al orden de distribución de competencias y, por tanto, inconstitucional y nulo.</w:t>
      </w:r>
    </w:p>
    <w:p w:rsidR="005728DD" w:rsidRDefault="005728DD" w:rsidP="005728DD">
      <w:pPr>
        <w:pStyle w:val="TextoNormal"/>
      </w:pPr>
    </w:p>
    <w:p w:rsidR="005728DD" w:rsidRDefault="005728DD" w:rsidP="005728DD">
      <w:pPr>
        <w:pStyle w:val="TextoNormal"/>
      </w:pPr>
      <w:r>
        <w:lastRenderedPageBreak/>
        <w:t>La estimación de este primer motivo hace ya innecesario el examen de los restantes motivos de inconstitucionalidad aducidos en la demanda.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conflicto positivo de competencia promovido por el Consejo de Gobierno de la Comunidad Autónoma de Andalucía, contra el art. 5.3 a) del Real Decreto 498/2020, de 28 de abril, por el que se desarrolla la estructura orgánica básica del Ministerio de Educación y Formación Profesional y declarar que el inciso “y las autonómicas” es contrario al orden constitucional de distribución de competencias, y, en consecuencia, inconstitucional y nulo.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3" w:name="SENTENCIA_2021_40"/>
      <w:r>
        <w:lastRenderedPageBreak/>
        <w:t>SENTENCIA 40/2021, de 18 de febrero de 2021</w:t>
      </w:r>
    </w:p>
    <w:bookmarkEnd w:id="43"/>
    <w:p w:rsidR="005728DD" w:rsidRDefault="005728DD" w:rsidP="005728DD">
      <w:pPr>
        <w:pStyle w:val="TtuloResolucin"/>
      </w:pPr>
      <w:r>
        <w:t>Pleno</w:t>
      </w:r>
    </w:p>
    <w:p w:rsidR="005728DD" w:rsidRDefault="005728DD" w:rsidP="005728DD">
      <w:pPr>
        <w:pStyle w:val="TtuloBOE"/>
      </w:pPr>
      <w:r>
        <w:t>(BOE núm. 69, de 22 de marzo de 2021)</w:t>
      </w:r>
    </w:p>
    <w:p w:rsidR="005728DD" w:rsidRDefault="005728DD" w:rsidP="005728DD">
      <w:pPr>
        <w:pStyle w:val="TextoNormalCentrado"/>
      </w:pPr>
      <w:r>
        <w:t>ECLI:ES:TC:2021:40</w:t>
      </w:r>
    </w:p>
    <w:p w:rsidR="005728DD" w:rsidRDefault="005728DD" w:rsidP="005728DD">
      <w:pPr>
        <w:pStyle w:val="TextoNormalCentrado"/>
      </w:pPr>
    </w:p>
    <w:p w:rsidR="005728DD" w:rsidRDefault="005728DD" w:rsidP="005728DD">
      <w:pPr>
        <w:pStyle w:val="SntesisDescriptiva"/>
      </w:pPr>
      <w:r>
        <w:t>Recurso de inconstitucionalidad 4649-2020. Interpuesto por más de cincuenta senadores del Grupo Parlamentario Socialista respecto del Decreto-ley de la Junta de Castilla y León 6/2020, de 2 de julio, de medidas urgentes para incentivar las medidas de recuperación económica y social en el ámbito local.</w:t>
      </w:r>
    </w:p>
    <w:p w:rsidR="005728DD" w:rsidRDefault="005728DD" w:rsidP="005728DD">
      <w:pPr>
        <w:pStyle w:val="SntesisDescriptiva"/>
      </w:pPr>
    </w:p>
    <w:p w:rsidR="005728DD" w:rsidRDefault="005728DD" w:rsidP="005728DD">
      <w:pPr>
        <w:pStyle w:val="SntesisAnaltica"/>
      </w:pPr>
      <w:r>
        <w:t>Límites materiales de los decretos leyes: justificación suficiente de la concurrencia del presupuesto habilitante de la extraordinaria y urgente necesidad en la reforma de la participación de los entes locales en fondos de titularidad autonómica.</w:t>
      </w:r>
    </w:p>
    <w:p w:rsidR="005728DD" w:rsidRDefault="005728DD" w:rsidP="005728DD">
      <w:pPr>
        <w:pStyle w:val="SntesisAnaltica"/>
      </w:pPr>
    </w:p>
    <w:p w:rsidR="005728DD" w:rsidRDefault="005728DD" w:rsidP="005728DD">
      <w:pPr>
        <w:pStyle w:val="Extracto"/>
      </w:pPr>
      <w:r>
        <w:t>1.</w:t>
      </w:r>
      <w:r>
        <w:tab/>
        <w:t>Los términos “extraordinaria y urgente necesidad” que el artículo 86 de la Constitución atribuye a los decretos-leyes no constituyen una cláusula o expresión vacía de significado dentro de la cual el margen de apreciación política del Gobierno se mueve libremente sin restricción alguna, sino un verdadero límite jurídico a su actuación [FJ 2].</w:t>
      </w:r>
    </w:p>
    <w:p w:rsidR="005728DD" w:rsidRDefault="005728DD" w:rsidP="005728DD">
      <w:pPr>
        <w:pStyle w:val="Extracto"/>
      </w:pPr>
    </w:p>
    <w:p w:rsidR="005728DD" w:rsidRDefault="005728DD" w:rsidP="005728DD">
      <w:pPr>
        <w:pStyle w:val="Extracto"/>
      </w:pPr>
      <w:r>
        <w:t>2.</w:t>
      </w:r>
      <w:r>
        <w:tab/>
        <w:t>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decretos-leyes [FJ 2].</w:t>
      </w:r>
    </w:p>
    <w:p w:rsidR="005728DD" w:rsidRDefault="005728DD" w:rsidP="005728DD">
      <w:pPr>
        <w:pStyle w:val="Extracto"/>
      </w:pPr>
    </w:p>
    <w:p w:rsidR="005728DD" w:rsidRDefault="005728DD" w:rsidP="005728DD">
      <w:pPr>
        <w:pStyle w:val="Extracto"/>
      </w:pPr>
      <w:r>
        <w:t>3.</w:t>
      </w:r>
      <w:r>
        <w:tab/>
        <w:t>El control externo que efectúa este Tribunal se concreta en la comprobación de que el Gobierno haya definido, de manera explícita y razonada, una situación de extraordinaria y urgente necesidad que precise de una respuesta normativa con rango de ley, y de que, además, exista una conexión de sentido entre la situación definida y las medidas adoptadas para hacerle frente [FJ 2].</w:t>
      </w:r>
    </w:p>
    <w:p w:rsidR="005728DD" w:rsidRDefault="005728DD" w:rsidP="005728DD">
      <w:pPr>
        <w:pStyle w:val="Extracto"/>
      </w:pPr>
    </w:p>
    <w:p w:rsidR="005728DD" w:rsidRDefault="005728DD" w:rsidP="005728DD">
      <w:pPr>
        <w:pStyle w:val="Extracto"/>
      </w:pPr>
      <w:r>
        <w:t>4.</w:t>
      </w:r>
      <w:r>
        <w:tab/>
        <w:t>Aunque la Constitución no lo prevea, nada impide que el legislador estatutario pueda atribuir a los Gobiernos autonómicos la potestad de dictar normas provisionales con rango de ley, siempre que los límites formales y materiales a los que se encuentren sometidas sean, como mínimo, los mismos que la Constitución impone al decreto-ley estatal (SSTC 93/2015, 104/2015, 38/2016  y 105/2018) [FJ 2].</w:t>
      </w:r>
    </w:p>
    <w:p w:rsidR="005728DD" w:rsidRDefault="005728DD" w:rsidP="005728DD">
      <w:pPr>
        <w:pStyle w:val="Extracto"/>
      </w:pPr>
    </w:p>
    <w:p w:rsidR="005728DD" w:rsidRDefault="005728DD" w:rsidP="005728DD">
      <w:pPr>
        <w:pStyle w:val="Extracto"/>
      </w:pPr>
      <w:r>
        <w:t>5.</w:t>
      </w:r>
      <w:r>
        <w:tab/>
        <w:t xml:space="preserve">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w:t>
      </w:r>
      <w:r>
        <w:lastRenderedPageBreak/>
        <w:t>atendidas tempestivamente mediante la aprobación de leyes, decayendo así la necesidad de intervención extraordinaria del ejecutivo, con lo que dejaría de concurrir el presupuesto habilitante (SSTC 93/2015 o 157/2016) [FJ 2].</w:t>
      </w:r>
    </w:p>
    <w:p w:rsidR="005728DD" w:rsidRDefault="005728DD" w:rsidP="005728DD">
      <w:pPr>
        <w:pStyle w:val="Extracto"/>
      </w:pPr>
    </w:p>
    <w:p w:rsidR="005728DD" w:rsidRDefault="005728DD" w:rsidP="005728DD">
      <w:pPr>
        <w:pStyle w:val="Extracto"/>
      </w:pPr>
      <w:r>
        <w:t>6.</w:t>
      </w:r>
      <w:r>
        <w:tab/>
        <w:t xml:space="preserve">Si algo define la crisis económica causada por la pandemia de la Covid-19 es su gravedad e imprevisibilidad; es una pandemia global muy grave, que ha producido un gran número de afectados y de fallecidos y que ha puesto a prueba a las instituciones democráticas y a la propia sociedad y los ciudadanos, en cuanto se han convertido, en conjunto, en elementos esenciales para luchar contra esta situación de crisis sanitaria y económica que afecta a todo el país; las necesidades económicas originadas no pueden considerarse “estructurales” en el sentido constitucional del término, por más que ello tampoco sería determinante </w:t>
      </w:r>
      <w:r w:rsidRPr="005728DD">
        <w:rPr>
          <w:i/>
        </w:rPr>
        <w:t xml:space="preserve">per se </w:t>
      </w:r>
      <w:r>
        <w:t>para estimar constitucionalmente inadecuado el uso del decreto-ley (STC 139/2016, ATC 40/2020) [FJ 3].</w:t>
      </w:r>
    </w:p>
    <w:p w:rsidR="005728DD" w:rsidRDefault="005728DD" w:rsidP="005728DD">
      <w:pPr>
        <w:pStyle w:val="Extracto"/>
      </w:pPr>
    </w:p>
    <w:p w:rsidR="005728DD" w:rsidRDefault="005728DD" w:rsidP="005728DD">
      <w:pPr>
        <w:pStyle w:val="Extracto"/>
      </w:pPr>
      <w:r>
        <w:t>7.</w:t>
      </w:r>
      <w:r>
        <w:tab/>
        <w:t>La dimensión del presupuesto habilitante exige que las medidas aprobadas mediante decreto-ley guarden una “conexión de sentido” con la situación de extraordinaria y urgente necesidad (STC 29/1982); es decir, una relación directa o de congruencia con la situación que se trata de afrontar (STC 182/1997). En particular, nuestra doctrina ha establecido una doble perspectiva para valorarla: el contenido, por un lado, y la estructura, por otro, de las disposiciones incluidas en el decreto-ley controvertido [FJ 4].</w:t>
      </w:r>
    </w:p>
    <w:p w:rsidR="005728DD" w:rsidRDefault="005728DD" w:rsidP="005728DD">
      <w:pPr>
        <w:pStyle w:val="Extracto"/>
      </w:pPr>
    </w:p>
    <w:p w:rsidR="005728DD" w:rsidRDefault="005728DD" w:rsidP="005728DD">
      <w:pPr>
        <w:pStyle w:val="Extracto"/>
      </w:pPr>
      <w:r>
        <w:t>8.</w:t>
      </w:r>
      <w:r>
        <w:tab/>
        <w:t>Exigir que las entidades locales destinen los recursos recibidos de la comunidad autónoma a inversiones, en lugar de sufragar operaciones corrientes o financieras (por ejemplo, reducir el endeudamiento), se ajusta al objetivo de impulsar la reactivación económica [FJ 4].</w:t>
      </w:r>
    </w:p>
    <w:p w:rsidR="005728DD" w:rsidRDefault="005728DD" w:rsidP="005728DD">
      <w:pPr>
        <w:pStyle w:val="Extracto"/>
      </w:pPr>
    </w:p>
    <w:p w:rsidR="005728DD" w:rsidRDefault="005728DD" w:rsidP="005728DD">
      <w:pPr>
        <w:pStyle w:val="Extracto"/>
      </w:pPr>
      <w:r>
        <w:t>9.</w:t>
      </w:r>
      <w:r>
        <w:tab/>
        <w:t>El margen de discrecionalidad del gobierno autonómico justifica que las inversiones se vinculen a los objetivos de desarrollo sostenible de la Agenda 2030. Son metas compartidas a nivel nacional, europeo y mundial y de una gran amplitud, que incluyen, a título de ejemplo: el poner fin a la pobreza; garantizar la disponibilidad de agua y energía asequible y sostenible; promover el crecimiento económico y el pleno empleo; impulsar la industria, la innovación y las infraestructuras; fomentar ciudades inclusivas, seguras, resilientes y sostenibles; luchar contra el cambio climático, etc. [FJ 4].</w:t>
      </w:r>
    </w:p>
    <w:p w:rsidR="005728DD" w:rsidRDefault="005728DD" w:rsidP="005728DD">
      <w:pPr>
        <w:pStyle w:val="Extracto"/>
      </w:pPr>
    </w:p>
    <w:p w:rsidR="005728DD" w:rsidRDefault="005728DD" w:rsidP="005728DD">
      <w:pPr>
        <w:pStyle w:val="Extracto"/>
      </w:pPr>
      <w:r>
        <w:t>10.</w:t>
      </w:r>
      <w:r>
        <w:tab/>
        <w:t>Lo determinante del decreto-ley es que transformará unos gastos corrientes en inversiones productivas, lo que favorecerá a las entidades locales a la hora de cumplir con la “regla de gasto”, de estabilidad presupuestaria y sostenibilidad financiera, toda vez que, para su cálculo, no computa la parte del gasto financiado con fondos finalistas procedentes de otras administraciones públicas; por lo que los entes locales también tendrán un mayor límite de gasto para responder a la crisis, lo que cumple con la exigencia de conexión de sentido con la situación de extraordinaria y urgente necesidad [FJ 4].</w:t>
      </w:r>
    </w:p>
    <w:p w:rsidR="005728DD" w:rsidRDefault="005728DD" w:rsidP="005728DD">
      <w:pPr>
        <w:pStyle w:val="Extracto"/>
      </w:pPr>
    </w:p>
    <w:p w:rsidR="005728DD" w:rsidRDefault="005728DD" w:rsidP="005728DD">
      <w:pPr>
        <w:pStyle w:val="Extracto"/>
      </w:pPr>
      <w:r>
        <w:t>11.</w:t>
      </w:r>
      <w:r>
        <w:tab/>
        <w:t xml:space="preserve">Los límites materiales que deben respetar los decretos-leyes autonómicos son, además de los consignados en el art. 86.1 CE, los que pueda añadir o regular de forma </w:t>
      </w:r>
      <w:r>
        <w:lastRenderedPageBreak/>
        <w:t xml:space="preserve">más estricta el estatuto de autonomía, como norma institucional básica de cada comunidad autónoma </w:t>
      </w:r>
      <w:r w:rsidRPr="005728DD">
        <w:rPr>
          <w:i/>
        </w:rPr>
        <w:t>ex</w:t>
      </w:r>
      <w:r>
        <w:t xml:space="preserve"> art. 147.1 CE [FJ 5].</w:t>
      </w:r>
    </w:p>
    <w:p w:rsidR="005728DD" w:rsidRDefault="005728DD" w:rsidP="005728DD">
      <w:pPr>
        <w:pStyle w:val="Extracto"/>
      </w:pPr>
    </w:p>
    <w:p w:rsidR="005728DD" w:rsidRDefault="005728DD" w:rsidP="005728DD">
      <w:pPr>
        <w:pStyle w:val="Extracto"/>
      </w:pPr>
      <w:r>
        <w:t>12.</w:t>
      </w:r>
      <w:r>
        <w:tab/>
        <w:t>Si los tributos propios de la comunidad autónoma devienen en “coparticipados” entre la comunidad autónoma y las entidades locales, dan cumplimiento al art. 142 CE que prevé que estas “se nutrirán fundamentalmente de tributos propios y participación en los del Estado y de las Comunidades Autónomas” [FJ 5].</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4649-2020, interpuesto por cincuenta y tres senadores del Grupo Parlamentario Socialista contra el Decreto-ley 6/2020, de 2 de julio, de la Junta de Castilla y León, de medidas urgentes para incentivar las medidas de recuperación económica y social en el ámbito local [“Boletín Oficial de Castilla y León” (“BOCL”) núm. 133, de 3 de julio de 2020]. Se han personado en las actuaciones el abogado del Estado y el letrado de la Junta de Castilla y León.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día 2 de octubre de 2020, la procuradora de los tribunales doña Virginia Aragón Segura, actuando en nombre y representación de cincuenta y tres senadores del Grupo Parlamentario Socialista, interpuso recurso de inconstitucionalidad contra el Decreto-ley de la Junta de Castilla y León que se cita en el encabezamiento.</w:t>
      </w:r>
    </w:p>
    <w:p w:rsidR="005728DD" w:rsidRDefault="005728DD" w:rsidP="005728DD">
      <w:pPr>
        <w:pStyle w:val="TextoNormal"/>
      </w:pPr>
    </w:p>
    <w:p w:rsidR="005728DD" w:rsidRDefault="005728DD" w:rsidP="005728DD">
      <w:pPr>
        <w:pStyle w:val="TextoNormal"/>
      </w:pPr>
      <w:r>
        <w:t>Tras referirse a los presupuestos procesales, expone los siguientes motivos del recurso:</w:t>
      </w:r>
    </w:p>
    <w:p w:rsidR="005728DD" w:rsidRDefault="005728DD" w:rsidP="005728DD">
      <w:pPr>
        <w:pStyle w:val="TextoNormal"/>
      </w:pPr>
    </w:p>
    <w:p w:rsidR="005728DD" w:rsidRDefault="005728DD" w:rsidP="005728DD">
      <w:pPr>
        <w:pStyle w:val="TextoNormal"/>
      </w:pPr>
      <w:r>
        <w:t>a) No hay una motivación explícita y razonada de la circunstancia fáctica que justifica el Decreto-ley, es decir, “la extraordinaria y urgente necesidad”. Por un lado, se invocan la situación creada por la pandemia de la Covid-19 y la necesidad de reactivar la economía local y, por otro, la Agenda 2030 y los diecisiete objetivos de desarrollo sostenible que la integran.</w:t>
      </w:r>
    </w:p>
    <w:p w:rsidR="005728DD" w:rsidRDefault="005728DD" w:rsidP="005728DD">
      <w:pPr>
        <w:pStyle w:val="TextoNormal"/>
      </w:pPr>
    </w:p>
    <w:p w:rsidR="005728DD" w:rsidRDefault="005728DD" w:rsidP="005728DD">
      <w:pPr>
        <w:pStyle w:val="TextoNormal"/>
      </w:pPr>
      <w:r>
        <w:t>El recurso señala que, como resulta patente de la exposición de motivos y de las modificaciones legislativas introducidas por el Decreto-ley, los objetivos “urgentes” pretendidos, es decir, de desarrollo sostenible y erradicación de la pobreza incluidos en la Agenda 2030, no tienen relación directa con la pandemia; más bien, exigen afrontar cambios sociales y económicos importantes de manera sostenida en el tiempo, para su consecución a medio-largo plazo, de cara al año 2030. Se transcribe la intervención del secretario general de la Organización de Naciones Unidas tras la cumbre del G20 de 31 de marzo de 2020, que confirma que los retos urgentes debidos a la pandemia son diferentes de los que se afrontan con la Agenda 2030.</w:t>
      </w:r>
    </w:p>
    <w:p w:rsidR="005728DD" w:rsidRDefault="005728DD" w:rsidP="005728DD">
      <w:pPr>
        <w:pStyle w:val="TextoNormal"/>
      </w:pPr>
    </w:p>
    <w:p w:rsidR="005728DD" w:rsidRDefault="005728DD" w:rsidP="005728DD">
      <w:pPr>
        <w:pStyle w:val="TextoNormal"/>
      </w:pPr>
      <w:r>
        <w:t>El Gobierno de Castilla y León ha utilizado con profusión su potestad legislativa de urgencia durante la pandemia, pero, en el caso concreto aquí impugnado, el punto de partida es la coyuntura económica existente a nivel global y no la sanitaria provocada por la Covid-19.</w:t>
      </w:r>
    </w:p>
    <w:p w:rsidR="005728DD" w:rsidRDefault="005728DD" w:rsidP="005728DD">
      <w:pPr>
        <w:pStyle w:val="TextoNormal"/>
      </w:pPr>
    </w:p>
    <w:p w:rsidR="005728DD" w:rsidRDefault="005728DD" w:rsidP="005728DD">
      <w:pPr>
        <w:pStyle w:val="TextoNormal"/>
      </w:pPr>
      <w:r>
        <w:t>Tras exponer la doctrina constitucional sobre el requisito de la “extraordinaria y urgente necesidad”, los recurrentes sostienen que las razones expuestas por el Gobierno castellano-leonés y explicitadas en el Decreto-ley objeto de recurso podrían explicar la necesidad de modificar el marco de la participación de los entes locales en los ingresos autonómicos de cara a la consecución de los objetivos 2030, “pero no justifican la existencia de una situación de extraordinaria y urgente necesidad” (cita la STC 38/2016, de 3 de marzo, FJ 4). Por tanto, la justificación aportada, desde una perspectiva jurídico-constitucional, no permite conocer cuál es el motivo que justifica el uso del decreto-ley y no de la ley parlamentaria.</w:t>
      </w:r>
    </w:p>
    <w:p w:rsidR="005728DD" w:rsidRDefault="005728DD" w:rsidP="005728DD">
      <w:pPr>
        <w:pStyle w:val="TextoNormal"/>
      </w:pPr>
    </w:p>
    <w:p w:rsidR="005728DD" w:rsidRDefault="005728DD" w:rsidP="005728DD">
      <w:pPr>
        <w:pStyle w:val="TextoNormal"/>
      </w:pPr>
      <w:r>
        <w:t>La palabra “urgencia” solo se cita una vez en la exposición de motivos y, además, se hace en referencia a la consecución de los objetivos de la Agenda 2030, sin que en ningún momento se mencione por qué la finalidad perseguida no puede alcanzarse mediante la tramitación de una ley del parlamento, aunque lo fuera mediante el procedimiento de lectura única. Aduce, en este sentido, que el mismo día en que se estaba convalidando el decreto-ley impugnado se aprobó por lectura única un proyecto de ley que modifica la Ley 2/2006, de 3 de mayo, de hacienda y del sector público de la Comunidad de Castilla y León.</w:t>
      </w:r>
    </w:p>
    <w:p w:rsidR="005728DD" w:rsidRDefault="005728DD" w:rsidP="005728DD">
      <w:pPr>
        <w:pStyle w:val="TextoNormal"/>
      </w:pPr>
    </w:p>
    <w:p w:rsidR="005728DD" w:rsidRDefault="005728DD" w:rsidP="005728DD">
      <w:pPr>
        <w:pStyle w:val="TextoNormal"/>
      </w:pPr>
      <w:r>
        <w:t>Añaden que la situación fáctica pretendidamente urgente carece de la más mínima nota de imprevisibilidad. Sin negar la existencia de la futura y presente crisis económica y social de la Covid-19 que es necesario afrontar, insisten en que el Decreto-ley 6/2020 “omite llevar una justificación explícita y razonada, en términos específicos, de cuál sea la efectiva circunstancia fáctica que determina la necesidad excepcional de que esta reforma tenga que llevarse a cabo mediante la figura del decreto-ley”.</w:t>
      </w:r>
    </w:p>
    <w:p w:rsidR="005728DD" w:rsidRDefault="005728DD" w:rsidP="005728DD">
      <w:pPr>
        <w:pStyle w:val="TextoNormal"/>
      </w:pPr>
    </w:p>
    <w:p w:rsidR="005728DD" w:rsidRDefault="005728DD" w:rsidP="005728DD">
      <w:pPr>
        <w:pStyle w:val="TextoNormal"/>
      </w:pPr>
      <w:r>
        <w:t>La referencia al elemento temporal tiene mayor importancia en el caso del decreto-ley autonómico porque, como ha señalado la doctrina constitucional, el margen de actuación que se reconoce a esta figura es menor que el de su equivalente estatal, debido al menor tiempo que requiere tramitar un proyecto de ley en una cámara autonómica. No obstante —añade— el propio Tribunal Constitucional ha aclarado que el elemento temporal debe ponderarse caso por caso.</w:t>
      </w:r>
    </w:p>
    <w:p w:rsidR="005728DD" w:rsidRDefault="005728DD" w:rsidP="005728DD">
      <w:pPr>
        <w:pStyle w:val="TextoNormal"/>
      </w:pPr>
    </w:p>
    <w:p w:rsidR="005728DD" w:rsidRDefault="005728DD" w:rsidP="005728DD">
      <w:pPr>
        <w:pStyle w:val="TextoNormal"/>
      </w:pPr>
      <w:r>
        <w:lastRenderedPageBreak/>
        <w:t>Además, el Decreto-ley impugnado modifica de modo sustancial el marco de las relaciones económicas entre la comunidad autónoma y los entes locales en relación con su financiación a cargo de los tributos autonómicos, pues, antes de la aprobación de la norma impugnada, los fondos no estaban condicionados y ahora pasan a estarlo. Esta es una decisión estructural. Y, tratándose de reformas estructurales, la doctrina constitucional solo ha admitido el uso del decreto-ley “en situaciones especialmente cualificadas por las notas de gravedad, imprevisibilidad o relevancia” (cita las SSTC 68/2007, de 28 de marzo, FJ 10; 31/2011, de 17 de marzo, FJ 4, y 27/2015, de 19 de febrero, FJ 6). Asimismo, recuerda que la naturaleza y alcance de las competencias autonómicas hacen, en principio, menos necesario el recurso a la aprobación de normas legales de urgencia (cita la STC 93/2015, de 14 de mayo, FJ 5).</w:t>
      </w:r>
    </w:p>
    <w:p w:rsidR="005728DD" w:rsidRDefault="005728DD" w:rsidP="005728DD">
      <w:pPr>
        <w:pStyle w:val="TextoNormal"/>
      </w:pPr>
    </w:p>
    <w:p w:rsidR="005728DD" w:rsidRDefault="005728DD" w:rsidP="005728DD">
      <w:pPr>
        <w:pStyle w:val="TextoNormal"/>
      </w:pPr>
      <w:r>
        <w:t>b) Tampoco se cumple la exigible “conexión de sentido” entre la situación definida y las medidas que se adoptan en el Decreto-ley 6/2020. Estas son de dos tipos: flexibilización para que los entes locales menores accedan antes a los fondos y mayor condicionalidad en su uso.</w:t>
      </w:r>
    </w:p>
    <w:p w:rsidR="005728DD" w:rsidRDefault="005728DD" w:rsidP="005728DD">
      <w:pPr>
        <w:pStyle w:val="TextoNormal"/>
      </w:pPr>
    </w:p>
    <w:p w:rsidR="005728DD" w:rsidRDefault="005728DD" w:rsidP="005728DD">
      <w:pPr>
        <w:pStyle w:val="TextoNormal"/>
      </w:pPr>
      <w:r>
        <w:t>Pues bien, las medidas de flexibilidad que se introducen sí podrían ser razonables en cuanto al logro de los objetivos previstos. Aunque no se justifica la urgencia, es evidente que, cuanto antes se pueda disponer de los fondos por las entidades locales, antes se podrán invertir en lograr los fines pretendidos.</w:t>
      </w:r>
    </w:p>
    <w:p w:rsidR="005728DD" w:rsidRDefault="005728DD" w:rsidP="005728DD">
      <w:pPr>
        <w:pStyle w:val="TextoNormal"/>
      </w:pPr>
    </w:p>
    <w:p w:rsidR="005728DD" w:rsidRDefault="005728DD" w:rsidP="005728DD">
      <w:pPr>
        <w:pStyle w:val="TextoNormal"/>
      </w:pPr>
      <w:r>
        <w:t>Lo que de ningún modo se justifica es la condicionalidad que se impone para financiar inversiones de la Agenda 2030. Este requisito no supera el juicio de razonabilidad o idoneidad porque no se garantiza que tales objetivos se consigan antes, ni cabe deducir que no pudieran lograrse sin la condicionalidad impuesta.</w:t>
      </w:r>
    </w:p>
    <w:p w:rsidR="005728DD" w:rsidRDefault="005728DD" w:rsidP="005728DD">
      <w:pPr>
        <w:pStyle w:val="TextoNormal"/>
      </w:pPr>
    </w:p>
    <w:p w:rsidR="005728DD" w:rsidRDefault="005728DD" w:rsidP="005728DD">
      <w:pPr>
        <w:pStyle w:val="TextoNormal"/>
      </w:pPr>
      <w:r>
        <w:t>c) En tercer lugar, se incumplen los límites materiales al uso de los decretos-leyes. El art. 25.4 del Estatuto de Autonomía Castilla y León (EACL) prohíbe utilizar el decreto-ley en materias para las que se exija expresamente la aprobación de una ley de Cortes. El decreto-ley impugnado modifica la Ley 10/2014, de 22 de diciembre, de medidas tributarias y de financiación de las entidades locales, vinculada a los ingresos impositivos de la Comunidad de Castilla y León, que se aprobó para dar cumplimiento al art. 55.3 EACL, según el cual “[l]as entidades locales podrán participar en los ingresos de la comunidad, según lo dispuesto en el art. 142 de la Constitución, en los términos que establezca una ley de Cortes”. Por tanto, dado que afecta a la participación de las entidades locales en los ingresos de la comunidad autónoma, el Decreto-ley 6/2020 contraviene de manera directa lo establecido en los arts. 25.4 y 55.3 EACL, que constituye aquí el parámetro de constitucionalidad.</w:t>
      </w:r>
    </w:p>
    <w:p w:rsidR="005728DD" w:rsidRDefault="005728DD" w:rsidP="005728DD">
      <w:pPr>
        <w:pStyle w:val="TextoNormal"/>
      </w:pPr>
    </w:p>
    <w:p w:rsidR="005728DD" w:rsidRDefault="005728DD" w:rsidP="005728DD">
      <w:pPr>
        <w:pStyle w:val="TextoNormal"/>
      </w:pPr>
      <w:r>
        <w:t>En apoyo de lo anterior se cita la STC 107/2015, de 28 de mayo, que anuló el Decreto-ley catalán 5/2012, de 18 de diciembre, de creación del impuesto sobre depósitos en entidades de crédito por tal razón, y ello aunque en el Estatuto de Autonomía de Cataluña no existe un precepto equivalente al art. 25.4 EACL, es decir, un límite expreso a que pueda utilizarse el decreto-ley en materias para las que el propio estatuto exija la aprobación de una ley de Cortes. Pese a ello, en dicha sentencia el Tribunal consideró que la reserva de ley del art. 203.5 del Estatuto de Autonomía de Cataluña era suficiente para impedir que dicha materia pueda ser regulada por decreto-ley, pues dicha reserva de ley del Parlamento es una garantía instrumental, entre otros principios constitucionales, del principio democrático (art. 1.1 CE).</w:t>
      </w:r>
    </w:p>
    <w:p w:rsidR="005728DD" w:rsidRDefault="005728DD" w:rsidP="005728DD">
      <w:pPr>
        <w:pStyle w:val="TextoNormal"/>
      </w:pPr>
    </w:p>
    <w:p w:rsidR="005728DD" w:rsidRDefault="005728DD" w:rsidP="005728DD">
      <w:pPr>
        <w:pStyle w:val="TextoNormal"/>
      </w:pPr>
      <w:r>
        <w:t>En conclusión, la demanda interesa la declaración de inconstitucionalidad, además de por incumplimiento del presupuesto habilitante y de la exigible conexión de sentido, por vulneración de los arts. 25.4 y 55.3 EACL, en relación con art 1.1 CE, al regular por Decreto-ley la participación de las entidades locales en los ingresos de la comunidad autónoma, materia reservada a ley de Cortes.</w:t>
      </w:r>
    </w:p>
    <w:p w:rsidR="005728DD" w:rsidRDefault="005728DD" w:rsidP="005728DD">
      <w:pPr>
        <w:pStyle w:val="TextoNormal"/>
      </w:pPr>
    </w:p>
    <w:p w:rsidR="005728DD" w:rsidRDefault="005728DD" w:rsidP="005728DD">
      <w:pPr>
        <w:pStyle w:val="TextoNormal"/>
      </w:pPr>
      <w:r>
        <w:t>Subsidiariamente, para el caso de que el Tribunal entendiera que no procede declarar la inconstitucionalidad de todo el Decreto-ley 6/2020, se interesa que se declare inconstitucional el apartado cinco de su artículo único, por el que se modifica la Ley 10/2014 para aumentar la condicionalidad del “Fondo de cooperación económica local general”.</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20 de octubre de 2020, el Pleno de este tribunal, a propuesta de la Sección Cuarta, acordó admitir a trámite el recurso de inconstitucionalidad y dar traslado de la demanda y documentos presentados, conforme al art. 34 de la Ley Orgánica del Tribunal Constitucional (LOTC), al Congreso de los Diputados y al Senado, por conducto de sus presidentes, al Gobierno, a través del ministro de Justicia, así como a las Cortes y a la Junta de Castilla y León, por conducto de sus presidentes, al objeto de que, en el plazo de quince días, pudieran personarse en el proceso y formular alegaciones. La providencia acordó, asimismo, publicar la incoación del recurso en el “Boletín Oficial del Estado” (lo que tuvo lugar en el “BOE” núm. 285, de 28 de octubre de 2020) y en el “Boletín Oficial de Castilla y León” (“BOCL” núm. 232, de 9 de noviembre de 2020).</w:t>
      </w:r>
    </w:p>
    <w:p w:rsidR="005728DD" w:rsidRDefault="005728DD" w:rsidP="005728DD">
      <w:pPr>
        <w:pStyle w:val="TextoNormal"/>
      </w:pPr>
    </w:p>
    <w:p w:rsidR="005728DD" w:rsidRDefault="005728DD" w:rsidP="005728DD">
      <w:pPr>
        <w:pStyle w:val="TextoNormal"/>
      </w:pPr>
      <w:r w:rsidRPr="005728DD">
        <w:rPr>
          <w:rStyle w:val="NumeroAFNegritaCaracter"/>
        </w:rPr>
        <w:t>3</w:t>
      </w:r>
      <w:r>
        <w:t>. La presidenta del Congreso de los Diputados, mediante escrito registrado el día 5 de noviembre de 2020, comunicó que la Mesa de la Cámara, en su reunión del mismo día, había acordado la personación en este procedimiento al tiempo que daba por ofrecida su colaboración a los efectos del artículo 88.1 LOTC. Por escrito registrado el día 10 de noviembre, la presidenta del Senado se expresó en iguales términos.</w:t>
      </w:r>
    </w:p>
    <w:p w:rsidR="005728DD" w:rsidRDefault="005728DD" w:rsidP="005728DD">
      <w:pPr>
        <w:pStyle w:val="TextoNormal"/>
      </w:pPr>
    </w:p>
    <w:p w:rsidR="005728DD" w:rsidRDefault="005728DD" w:rsidP="005728DD">
      <w:pPr>
        <w:pStyle w:val="TextoNormal"/>
      </w:pPr>
      <w:r w:rsidRPr="005728DD">
        <w:rPr>
          <w:rStyle w:val="NumeroAFNegritaCaracter"/>
        </w:rPr>
        <w:t>4</w:t>
      </w:r>
      <w:r>
        <w:t>. El día 13 de noviembre de 2020 tuvo entrada en el registro de este tribunal un escrito del abogado del Estado mediante el que comunica que no va a formular alegaciones en el presente procedimiento, personándose a los efectos de que en su día se le notifiquen las resoluciones que en él se dicten.</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registrado en fecha 23 de noviembre de 2020, el letrado de la Comunidad de Castilla y León se personó en el proceso, interesando la desestimación íntegra del recurso, con apoyo en los siguientes argumentos:</w:t>
      </w:r>
    </w:p>
    <w:p w:rsidR="005728DD" w:rsidRDefault="005728DD" w:rsidP="005728DD">
      <w:pPr>
        <w:pStyle w:val="TextoNormal"/>
      </w:pPr>
    </w:p>
    <w:p w:rsidR="005728DD" w:rsidRDefault="005728DD" w:rsidP="005728DD">
      <w:pPr>
        <w:pStyle w:val="TextoNormal"/>
      </w:pPr>
      <w:r>
        <w:t>a) Respecto de la situación de “extraordinaria y urgente necesidad”, ya la exposición de motivos alude a la necesidad de “reactivar la recuperación del tejido económico local en toda Castilla y León” para lo que se modifica la Ley 10/2014 con el fin de que las entidades locales dediquen a medidas inversoras una parte de los fondos recibidos de la comunidad autónoma.</w:t>
      </w:r>
    </w:p>
    <w:p w:rsidR="005728DD" w:rsidRDefault="005728DD" w:rsidP="005728DD">
      <w:pPr>
        <w:pStyle w:val="TextoNormal"/>
      </w:pPr>
    </w:p>
    <w:p w:rsidR="005728DD" w:rsidRDefault="005728DD" w:rsidP="005728DD">
      <w:pPr>
        <w:pStyle w:val="TextoNormal"/>
      </w:pPr>
      <w:r>
        <w:t xml:space="preserve">Asimismo, resalta que, según la exposición de motivos, la modificación “pretende dotar de mayor agilidad a la tramitación y percepción de los fondos de financiación local de forma </w:t>
      </w:r>
      <w:r>
        <w:lastRenderedPageBreak/>
        <w:t>que puedan acometer cuanto antes distintas actuaciones en beneficio de su comunidad vecinal”.</w:t>
      </w:r>
    </w:p>
    <w:p w:rsidR="005728DD" w:rsidRDefault="005728DD" w:rsidP="005728DD">
      <w:pPr>
        <w:pStyle w:val="TextoNormal"/>
      </w:pPr>
    </w:p>
    <w:p w:rsidR="005728DD" w:rsidRDefault="005728DD" w:rsidP="005728DD">
      <w:pPr>
        <w:pStyle w:val="TextoNormal"/>
      </w:pPr>
      <w:r>
        <w:t>Los argumentos que justifican el Decreto-ley 6/2020 son la recuperación económica y social en cada ente local, ante la importante crisis ocasionada por la pandemia de la Covid-19. Y, a tal fin, se reconvierte una parte de las subvenciones recibidas de incondicionadas a condicionadas, para fomentar la inversión y la recuperación económica en lugar de a incrementar los gastos corrientes no productivos o a rebajar el endeudamiento local.</w:t>
      </w:r>
    </w:p>
    <w:p w:rsidR="005728DD" w:rsidRDefault="005728DD" w:rsidP="005728DD">
      <w:pPr>
        <w:pStyle w:val="TextoNormal"/>
      </w:pPr>
    </w:p>
    <w:p w:rsidR="005728DD" w:rsidRDefault="005728DD" w:rsidP="005728DD">
      <w:pPr>
        <w:pStyle w:val="TextoNormal"/>
      </w:pPr>
      <w:r>
        <w:t>El debate de convalidación también aportó razones que avalan la “extraordinaria y urgente necesidad”. El consejero de presidencia de la Junta argumentó que el Fondo de cooperación económica local general nació para afrontar el reto demográfico y la sostenibilidad financiera. Y, si bien el primer objetivo sigue existiendo, la prioridad del mundo local ya no es la sostenibilidad financiera sino la recuperación económica y social de los efectos causados por la Covid-19. Asimismo, recordó que, a nivel estatal, desde la declaración del estado de alarma, se habían aprobado un total de veintiún reales decretos-leyes, tres de los cuales han supuesto limitaciones para las entidades locales y su financiación. En conexión con esto, el letrado autonómico recuerda que, según la doctrina constitucional, el decreto-ley es apto para atender las “coyunturas económicas problemáticas”, a menudo relacionadas con la situación de las finanzas públicas.</w:t>
      </w:r>
    </w:p>
    <w:p w:rsidR="005728DD" w:rsidRDefault="005728DD" w:rsidP="005728DD">
      <w:pPr>
        <w:pStyle w:val="TextoNormal"/>
      </w:pPr>
    </w:p>
    <w:p w:rsidR="005728DD" w:rsidRDefault="005728DD" w:rsidP="005728DD">
      <w:pPr>
        <w:pStyle w:val="TextoNormal"/>
      </w:pPr>
      <w:r>
        <w:t>Por último, en la memoria del decreto-ley impugnado se aducía que con él se adapta la normativa modificada, a fin de “reaccionar de forma rápida y adoptar medidas urgentes y contundentes con el objetivo de amortiguar el impacto de esta crisis sin precedentes”.</w:t>
      </w:r>
    </w:p>
    <w:p w:rsidR="005728DD" w:rsidRDefault="005728DD" w:rsidP="005728DD">
      <w:pPr>
        <w:pStyle w:val="TextoNormal"/>
      </w:pPr>
    </w:p>
    <w:p w:rsidR="005728DD" w:rsidRDefault="005728DD" w:rsidP="005728DD">
      <w:pPr>
        <w:pStyle w:val="TextoNormal"/>
      </w:pPr>
      <w:r>
        <w:t>En suma, de la exposición de motivos, del debate de convalidación y de la memoria se deduce que la “extraordinaria y urgente necesidad”, apreciada por la Junta para aprobar el Decreto-ley 6/2020, fue la crisis económica que la pandemia y el estado de alarma han causado en todos los sectores. Y recuerda que, en cumplimiento de la doctrina constitucional, no se ha recurrido a fórmulas rituales o genéricas y que el juicio político de oportunidad corresponde al gobierno, en este caso autonómico, que aprueba la medida de urgencia.</w:t>
      </w:r>
    </w:p>
    <w:p w:rsidR="005728DD" w:rsidRDefault="005728DD" w:rsidP="005728DD">
      <w:pPr>
        <w:pStyle w:val="TextoNormal"/>
      </w:pPr>
    </w:p>
    <w:p w:rsidR="005728DD" w:rsidRDefault="005728DD" w:rsidP="005728DD">
      <w:pPr>
        <w:pStyle w:val="TextoNormal"/>
      </w:pPr>
      <w:r>
        <w:t>Abundando en lo anterior, cita precedentes del uso del decreto ley en otras crisis económicas. En concreto, el Real Decreto-ley 9/2008, de 28 de noviembre, por el que se crea un Fondo estatal de inversión local; el Real Decreto-ley 8/2013, de 28 de junio, de medidas urgentes contra la morosidad de las administraciones públicas y de apoyo a entidades locales con problemas financieros; y, específicamente para hacer frente a la Covid-19, el Real Decreto-ley 23/2020, de 23 de junio, por el que se aprueban medidas en materia de energía y en otros ámbitos para la reactivación económica.</w:t>
      </w:r>
    </w:p>
    <w:p w:rsidR="005728DD" w:rsidRDefault="005728DD" w:rsidP="005728DD">
      <w:pPr>
        <w:pStyle w:val="TextoNormal"/>
      </w:pPr>
    </w:p>
    <w:p w:rsidR="005728DD" w:rsidRDefault="005728DD" w:rsidP="005728DD">
      <w:pPr>
        <w:pStyle w:val="TextoNormal"/>
      </w:pPr>
      <w:r>
        <w:t>Deteniéndose en el último real decreto-ley citado, destaca que, gracias al mismo, las entidades locales podrán destinar en 2020, hasta un 7 por 100 del superávit correspondiente a 2019 para financiar gastos de inversión en vehículos eléctricos “limpios”. Alega que este es uno de los numerosos reales decretos leyes aprobados por el Gobierno de la Nación desde el inicio de la pandemia, de la misma forma que otros gobiernos autonómicos también han acudido con profusión a dicho instrumento (más de veinticinco decretos-leyes andaluces, diez valencianos o treinta catalanes, indica).</w:t>
      </w:r>
    </w:p>
    <w:p w:rsidR="005728DD" w:rsidRDefault="005728DD" w:rsidP="005728DD">
      <w:pPr>
        <w:pStyle w:val="TextoNormal"/>
      </w:pPr>
    </w:p>
    <w:p w:rsidR="005728DD" w:rsidRDefault="005728DD" w:rsidP="005728DD">
      <w:pPr>
        <w:pStyle w:val="TextoNormal"/>
      </w:pPr>
      <w:r>
        <w:lastRenderedPageBreak/>
        <w:t>Acerca de si es una medida estructural y no coyuntural, insiste en que la adopción de medidas económicas mediante un decreto-ley ha sido avalada por el Tribunal Constitucional y que la situación a la que hace frente el Decreto-ley 6/2020 es la misma que la que motiva el Real Decreto-ley 8/2020, de 17 de marzo, de medidas urgentes extraordinarias para hacer frente al impacto económico y social de la Covid-19, cuyo preámbulo transcribe parcialmente: “en el actual escenario de contención y prevención de la Covid-19 es urgente y necesario atajar la pandemia y evitar su propagación para proteger la salud pública, a la vez que se adoptan medidas de contenido económico para afrontar sus consecuencias”. Lo que puede servir de justificación a nivel estatal para acudir a la legislación de urgencia con el apoyo del mismo grupo parlamentario que impugna el Decreto-ley 6/2020, y no se ha discutido constitucionalmente, puede servir, evidentemente y con la misma intensidad, a los gobiernos autonómicos.</w:t>
      </w:r>
    </w:p>
    <w:p w:rsidR="005728DD" w:rsidRDefault="005728DD" w:rsidP="005728DD">
      <w:pPr>
        <w:pStyle w:val="TextoNormal"/>
      </w:pPr>
    </w:p>
    <w:p w:rsidR="005728DD" w:rsidRDefault="005728DD" w:rsidP="005728DD">
      <w:pPr>
        <w:pStyle w:val="TextoNormal"/>
      </w:pPr>
      <w:r>
        <w:t>Añade que el decreto-ley impugnado pretende que sus previsiones se apliquen en este año 2020 para que sus efectos se pongan de manifiesto cuanto antes, lo que no hubiera sido posible con la tramitación ordinaria de un proyecto de ley que, por las limitaciones derivadas de la pandemia para el trabajo administrativo y parlamentario, se hubiera aprobado a finales del año 2021, con lo que las inversiones locales no se habrían ejecutado, como pronto, hasta finales del año 2022.</w:t>
      </w:r>
    </w:p>
    <w:p w:rsidR="005728DD" w:rsidRDefault="005728DD" w:rsidP="005728DD">
      <w:pPr>
        <w:pStyle w:val="TextoNormal"/>
      </w:pPr>
    </w:p>
    <w:p w:rsidR="005728DD" w:rsidRDefault="005728DD" w:rsidP="005728DD">
      <w:pPr>
        <w:pStyle w:val="TextoNormal"/>
      </w:pPr>
      <w:r>
        <w:t>b) Por lo que se refiere a la “conexión de sentido” de la norma impugnada con la situación de extraordinaria y urgente necesidad, el letrado de la Junta pone de manifiesto que los propios recurrentes la dan por cumplida respecto de lo que denominan “medidas de flexibilidad” (nuevos plazos de pago de los fondos).</w:t>
      </w:r>
    </w:p>
    <w:p w:rsidR="005728DD" w:rsidRDefault="005728DD" w:rsidP="005728DD">
      <w:pPr>
        <w:pStyle w:val="TextoNormal"/>
      </w:pPr>
    </w:p>
    <w:p w:rsidR="005728DD" w:rsidRDefault="005728DD" w:rsidP="005728DD">
      <w:pPr>
        <w:pStyle w:val="TextoNormal"/>
      </w:pPr>
      <w:r>
        <w:t>En cuanto a las “medidas de condicionalidad”, único aspecto realmente controvertido, la conexión de sentido se cumple, tanto por su contenido como por su estructura, ya que se trata de abrir la vía a inversiones productivas para salir de la crisis de la Covid-19, en línea con las decisiones del Gobierno de España y la Unión Europea. Y se hace a través de una norma que innova de modo inmediato la situación jurídica existente, modificando de forma instantánea el régimen anterior.</w:t>
      </w:r>
    </w:p>
    <w:p w:rsidR="005728DD" w:rsidRDefault="005728DD" w:rsidP="005728DD">
      <w:pPr>
        <w:pStyle w:val="TextoNormal"/>
      </w:pPr>
    </w:p>
    <w:p w:rsidR="005728DD" w:rsidRDefault="005728DD" w:rsidP="005728DD">
      <w:pPr>
        <w:pStyle w:val="TextoNormal"/>
      </w:pPr>
      <w:r>
        <w:t>c) Para abordar la tacha de vulneración de los límites materiales del decreto-ley, el escrito de alegaciones comienza exponiendo los principales rasgos del régimen de financiación local en Castilla y León. La Constitución y el texto refundido de la Ley reguladora de las haciendas locales permiten diferenciar dos categorías distintas de ingresos: la participación en tributos del Estado y de las comunidades autónomas y las subvenciones. La STC 331/1993, de 12 de noviembre, distingue con claridad ambas fuentes.</w:t>
      </w:r>
    </w:p>
    <w:p w:rsidR="005728DD" w:rsidRDefault="005728DD" w:rsidP="005728DD">
      <w:pPr>
        <w:pStyle w:val="TextoNormal"/>
      </w:pPr>
    </w:p>
    <w:p w:rsidR="005728DD" w:rsidRDefault="005728DD" w:rsidP="005728DD">
      <w:pPr>
        <w:pStyle w:val="TextoNormal"/>
      </w:pPr>
      <w:r>
        <w:t>En el caso de Castilla y León, existe, por un lado, un mecanismo de cooperación local de carácter puramente subvencional, con la dotación presupuestaria fijada anualmente en la ley de presupuestos generales de la comunidad autónoma. A él se refiere la disposición adicional cuarta de la Ley 5/2008, de 25 de septiembre, de subvenciones de Castilla y León, conforme a la cual la cooperación económica local general se llevará a cabo mediante trasferencias corrientes o de capital en el estado de gastos del presupuesto autonómico.</w:t>
      </w:r>
    </w:p>
    <w:p w:rsidR="005728DD" w:rsidRDefault="005728DD" w:rsidP="005728DD">
      <w:pPr>
        <w:pStyle w:val="TextoNormal"/>
      </w:pPr>
    </w:p>
    <w:p w:rsidR="005728DD" w:rsidRDefault="005728DD" w:rsidP="005728DD">
      <w:pPr>
        <w:pStyle w:val="TextoNormal"/>
      </w:pPr>
      <w:r>
        <w:lastRenderedPageBreak/>
        <w:t>Por otro lado y, de forma diferenciada, la Ley 10/2014 introdujo por primera vez una participación real de las entidades locales castellano-leonesas en los tributos propios autonómicos. La cual trae causa del art. 55.3 del Estatuto reformado en 2007 y de la Ley 7/2013, de 27 de septiembre, de ordenación, servicios y gobierno del territorio de Castilla y León, cuya disposición final novena encomendaba a la Junta elaborar un proyecto de ley que materializara la participación local en los ingresos propios de la comunidad autónoma. A tal efecto, el capítulo II del título II de la Ley 10/2014 crea el Fondo de participación en los impuestos propios de la comunidad.</w:t>
      </w:r>
    </w:p>
    <w:p w:rsidR="005728DD" w:rsidRDefault="005728DD" w:rsidP="005728DD">
      <w:pPr>
        <w:pStyle w:val="TextoNormal"/>
      </w:pPr>
    </w:p>
    <w:p w:rsidR="005728DD" w:rsidRDefault="005728DD" w:rsidP="005728DD">
      <w:pPr>
        <w:pStyle w:val="TextoNormal"/>
      </w:pPr>
      <w:r>
        <w:t>Así pues, la Ley 10/2014 organiza la financiación local a cargo de la comunidad autónoma mediante dos fondos totalmente distintos: i) un fondo de participación en impuestos propios; ii) un fondo de cooperación económica local general, que no es de participación en impuestos, y que solo está vinculado a los ingresos derivados de los impuestos cedidos por el Estado a la comunidad autónoma en el sentido remoto de que se financia, entre otros, con los recursos que la comunidad autónoma obtiene gracias a ellos. Pero ni la dotación inicial ni la evolución de este fondo de cooperación se vinculan en modo alguno a la recaudación de los tributos cedidos, sino que se dota anualmente en una cantidad global. El fundamento último de este fondo no es el art. 142 CE sino los arts. 43 y 55.1 del Estatuto y la disposición adicional cuarta de la Ley de subvenciones castellano-leonesa.</w:t>
      </w:r>
    </w:p>
    <w:p w:rsidR="005728DD" w:rsidRDefault="005728DD" w:rsidP="005728DD">
      <w:pPr>
        <w:pStyle w:val="TextoNormal"/>
      </w:pPr>
    </w:p>
    <w:p w:rsidR="005728DD" w:rsidRDefault="005728DD" w:rsidP="005728DD">
      <w:pPr>
        <w:pStyle w:val="TextoNormal"/>
      </w:pPr>
      <w:r>
        <w:t>Para el letrado autonómico, el art. 55.3 EACL no se refiere a una participación general en los ingresos autonómicos sino, en coherencia con el tenor del art. 142 CE, a una participación en los tributos propios de la comunidad autónoma. Por tanto, la exigencia de una ley de Cortes para establecer los términos de la participación solo puede predicarse de la participación en los impuestos propios.</w:t>
      </w:r>
    </w:p>
    <w:p w:rsidR="005728DD" w:rsidRDefault="005728DD" w:rsidP="005728DD">
      <w:pPr>
        <w:pStyle w:val="TextoNormal"/>
      </w:pPr>
    </w:p>
    <w:p w:rsidR="005728DD" w:rsidRDefault="005728DD" w:rsidP="005728DD">
      <w:pPr>
        <w:pStyle w:val="TextoNormal"/>
      </w:pPr>
      <w:r>
        <w:t>d) Retomando las impugnaciones del recurso, el letrado autonómico enfatiza que, respecto del Fondo de participación en impuestos propios, el decreto-ley solo ha adelantado el momento de percepción de los fondos y que, sobre esta medida, los recurrentes no plantean ningún reproche constitucional. La argumentación del recurso sobre la vulneración estatutaria se circunscribe, a su entender, a la nueva regla de condicionalidad para el Fondo de cooperación económica local general (nueva redacción del art. 10 de la Ley 10/2014), que, hasta ahora, solo alcanzaba a un 50 por 100 de su importe y el decreto-ley extiende al 50 por 100 restante, salvo para municipios de menos de 1000 habitantes. Esto debe llevar a desestimar, de entrada, la pretensión de inconstitucionalidad global. Y respecto de la petición subsidiaria, dirigida a que se declare inconstitucional la citada regla de condicionalidad, también debe desestimarse, toda vez que no le afecta el límite material del art. 55.3 EACL, referido a la participación en ingresos tributarios propios de la comunidad autónoma y no al Fondo de cooperación.</w:t>
      </w:r>
    </w:p>
    <w:p w:rsidR="005728DD" w:rsidRDefault="005728DD" w:rsidP="005728DD">
      <w:pPr>
        <w:pStyle w:val="TextoNormal"/>
      </w:pPr>
    </w:p>
    <w:p w:rsidR="005728DD" w:rsidRDefault="005728DD" w:rsidP="005728DD">
      <w:pPr>
        <w:pStyle w:val="TextoNormal"/>
      </w:pPr>
      <w:r w:rsidRPr="005728DD">
        <w:rPr>
          <w:rStyle w:val="NumeroAFNegritaCaracter"/>
        </w:rPr>
        <w:t>6</w:t>
      </w:r>
      <w:r>
        <w:t>. Por providencia de 16 de febrero de 2021, se señaló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w:t>
      </w:r>
      <w:r>
        <w:t>.</w:t>
      </w:r>
    </w:p>
    <w:p w:rsidR="005728DD" w:rsidRDefault="005728DD" w:rsidP="005728DD">
      <w:pPr>
        <w:pStyle w:val="TextoNormal"/>
      </w:pPr>
    </w:p>
    <w:p w:rsidR="005728DD" w:rsidRDefault="005728DD" w:rsidP="005728DD">
      <w:pPr>
        <w:pStyle w:val="TextoNormal"/>
      </w:pPr>
      <w:r>
        <w:lastRenderedPageBreak/>
        <w:t>El presente recurso de inconstitucionalidad ha sido interpuesto por cincuenta y tres senadores del Grupo Parlamentario Socialista contra el Decreto-ley 6/2020, de 2 de julio, de la Junta de Castilla y León (en adelante, Decreto-ley 6/2020), de medidas urgentes para incentivar las medidas de recuperación económica y social en el ámbito local.</w:t>
      </w:r>
    </w:p>
    <w:p w:rsidR="005728DD" w:rsidRDefault="005728DD" w:rsidP="005728DD">
      <w:pPr>
        <w:pStyle w:val="TextoNormal"/>
      </w:pPr>
    </w:p>
    <w:p w:rsidR="005728DD" w:rsidRDefault="005728DD" w:rsidP="005728DD">
      <w:pPr>
        <w:pStyle w:val="TextoNormal"/>
      </w:pPr>
      <w:r>
        <w:t>a) El decreto-ley impugnado tiene un artículo único, con cinco apartados, por los que se modifican determinados aspectos de la Ley 10/2014, de 22 de diciembre, de medidas tributarias y de financiación de las entidades locales vinculada a los ingresos impositivos de la Comunidad de Castilla y León (Ley 10/2014, en lo sucesivo); una disposición adicional sobre “adaptación normativa” y dos finales: “desarrollo reglamentario” y “entrada en vigor”, produciéndose esta el día siguiente al de su publicación en el “BOCL”.</w:t>
      </w:r>
    </w:p>
    <w:p w:rsidR="005728DD" w:rsidRDefault="005728DD" w:rsidP="005728DD">
      <w:pPr>
        <w:pStyle w:val="TextoNormal"/>
      </w:pPr>
    </w:p>
    <w:p w:rsidR="005728DD" w:rsidRDefault="005728DD" w:rsidP="005728DD">
      <w:pPr>
        <w:pStyle w:val="TextoNormal"/>
      </w:pPr>
      <w:r>
        <w:t>Los apartados uno, dos y tres del artículo único tan solo introducen adaptaciones terminológicas en las rúbricas de un título y dos artículos de la Ley 10/2014. Las modificaciones sustantivas se encuentran en los apartados cuatro y cinco, dedicados, respectivamente, al “Fondo de participación en los impuestos propios de la Comunidad de Castilla y León” (en adelante, Fondo de participación) y al “Fondo de cooperación económica local general” (en lo sucesivo, Fondo de cooperación).</w:t>
      </w:r>
    </w:p>
    <w:p w:rsidR="005728DD" w:rsidRDefault="005728DD" w:rsidP="005728DD">
      <w:pPr>
        <w:pStyle w:val="TextoNormal"/>
      </w:pPr>
    </w:p>
    <w:p w:rsidR="005728DD" w:rsidRDefault="005728DD" w:rsidP="005728DD">
      <w:pPr>
        <w:pStyle w:val="TextoNormal"/>
      </w:pPr>
      <w:r>
        <w:t>i) En la regulación del Fondo de participación, se modifica el apartado 3 del art. 7, en materia de plazos de pago. El cambio, que afecta solo a los municipios de población igual o inferior a 1000 habitantes, consiste en sustituir el pago por terceras partes en cada cuatrimestre por un único pago en el primer cuatrimestre del año.</w:t>
      </w:r>
    </w:p>
    <w:p w:rsidR="005728DD" w:rsidRDefault="005728DD" w:rsidP="005728DD">
      <w:pPr>
        <w:pStyle w:val="TextoNormal"/>
      </w:pPr>
    </w:p>
    <w:p w:rsidR="005728DD" w:rsidRDefault="005728DD" w:rsidP="005728DD">
      <w:pPr>
        <w:pStyle w:val="TextoNormal"/>
      </w:pPr>
      <w:r>
        <w:t>El destino de este fondo, regulado en el capítulo segundo del título segundo de la Ley 10/2014, era y continúa siendo totalmente incondicionado, esto es, de libre disposición para los entes locales, que lo pueden destinar a gastos por operaciones corrientes, de capital (inversiones) o financieras, conforme al art. 7, apartado 2, de la Ley, que no se modifica.</w:t>
      </w:r>
    </w:p>
    <w:p w:rsidR="005728DD" w:rsidRDefault="005728DD" w:rsidP="005728DD">
      <w:pPr>
        <w:pStyle w:val="TextoNormal"/>
      </w:pPr>
    </w:p>
    <w:p w:rsidR="005728DD" w:rsidRDefault="005728DD" w:rsidP="005728DD">
      <w:pPr>
        <w:pStyle w:val="TextoNormal"/>
      </w:pPr>
      <w:r>
        <w:t>ii) Respecto del Fondo de cooperación (capítulo III del mismo título de la Ley) los cambios son dos. Por un lado, se adelanta el momento de su percepción por los municipios de población igual o inferior a 1000 habitantes, en los mismos términos que el Fondo de participación. Por otro, se introducen cambios en el destino que se le debe dar. A diferencia del primero, el Fondo de cooperación era ya parcialmente condicionado, acentuando el Decreto-ley dicho carácter, en los siguientes términos:</w:t>
      </w:r>
    </w:p>
    <w:p w:rsidR="005728DD" w:rsidRDefault="005728DD" w:rsidP="005728DD">
      <w:pPr>
        <w:pStyle w:val="TextoNormal"/>
      </w:pPr>
    </w:p>
    <w:p w:rsidR="005728DD" w:rsidRDefault="005728DD" w:rsidP="005728DD">
      <w:pPr>
        <w:pStyle w:val="TextoNormal"/>
      </w:pPr>
      <w:r>
        <w:t>Así, para las provincias y municipios de población superior a 20 000 habitantes, un 50 por 100 de los recursos era incondicionado, mientras que ahora ha de destinarse necesariamente a inversiones; más específicamente, a aquellas orientadas al cumplimiento de alguno de los objetivos de desarrollo sostenible de Naciones Unidas para 2030 (nueva redacción del apartado 2 del art. 10 de la Ley 10/2014). El 50 por 100 restante deberá continuar gastándose en afrontar el reto demográfico, sin cambios sustanciales respecto de la situación anterior.</w:t>
      </w:r>
    </w:p>
    <w:p w:rsidR="005728DD" w:rsidRDefault="005728DD" w:rsidP="005728DD">
      <w:pPr>
        <w:pStyle w:val="TextoNormal"/>
      </w:pPr>
    </w:p>
    <w:p w:rsidR="005728DD" w:rsidRDefault="005728DD" w:rsidP="005728DD">
      <w:pPr>
        <w:pStyle w:val="TextoNormal"/>
      </w:pPr>
      <w:r>
        <w:t>Los municipios con población entre 1000 y 20 000 habitantes, cuya financiación por dicho fondo era incondicionada en su totalidad, también deberán ahora destinarlo obligatoriamente de forma íntegra a inversiones orientadas a los objetivos de la Agenda 2030 (nueva redacción del apartado 3 del art. 10 de la Ley 10/2014).</w:t>
      </w:r>
    </w:p>
    <w:p w:rsidR="005728DD" w:rsidRDefault="005728DD" w:rsidP="005728DD">
      <w:pPr>
        <w:pStyle w:val="TextoNormal"/>
      </w:pPr>
    </w:p>
    <w:p w:rsidR="005728DD" w:rsidRDefault="005728DD" w:rsidP="005728DD">
      <w:pPr>
        <w:pStyle w:val="TextoNormal"/>
      </w:pPr>
      <w:r>
        <w:t>Por último, se mantiene inalterado el carácter incondicionado de los recursos recibidos por los municipios de población igual o inferior a 1000 habitantes.</w:t>
      </w:r>
    </w:p>
    <w:p w:rsidR="005728DD" w:rsidRDefault="005728DD" w:rsidP="005728DD">
      <w:pPr>
        <w:pStyle w:val="TextoNormal"/>
      </w:pPr>
    </w:p>
    <w:p w:rsidR="005728DD" w:rsidRDefault="005728DD" w:rsidP="005728DD">
      <w:pPr>
        <w:pStyle w:val="TextoNormal"/>
      </w:pPr>
      <w:r>
        <w:t>En conclusión, la anticipación del plazo de pago a los entes locales menores se aplica a los dos fondos, mientras que las nuevas reglas de condicionalidad solo afectan al Fondo de cooperación.</w:t>
      </w:r>
    </w:p>
    <w:p w:rsidR="005728DD" w:rsidRDefault="005728DD" w:rsidP="005728DD">
      <w:pPr>
        <w:pStyle w:val="TextoNormal"/>
      </w:pPr>
    </w:p>
    <w:p w:rsidR="005728DD" w:rsidRDefault="005728DD" w:rsidP="005728DD">
      <w:pPr>
        <w:pStyle w:val="TextoNormal"/>
      </w:pPr>
      <w:r>
        <w:t>b) Los senadores recurrentes impugnan el decreto-ley en su conjunto, solicitando, subsidiariamente, que se declare inconstitucional el apartado cinco del art. único, que modifica el art. 10 de la Ley 10/2014, referido al Fondo de cooperación económica local general.</w:t>
      </w:r>
    </w:p>
    <w:p w:rsidR="005728DD" w:rsidRDefault="005728DD" w:rsidP="005728DD">
      <w:pPr>
        <w:pStyle w:val="TextoNormal"/>
      </w:pPr>
    </w:p>
    <w:p w:rsidR="005728DD" w:rsidRDefault="005728DD" w:rsidP="005728DD">
      <w:pPr>
        <w:pStyle w:val="TextoNormal"/>
      </w:pPr>
      <w:r>
        <w:t>Con los argumentos que se han detallado en los antecedentes, el recurso aduce que: i) las razones aportadas por la Junta de Castilla y León no justifican la “situación de extraordinaria y urgente necesidad”; ii) se incumple además la exigible “conexión de sentido”, puesto que la condicionalidad que se impone a los entes locales para el uso de los fondos autonómicos no supera el juicio de razonabilidad; y iii) se vulnera la previsión del art. 25.4 del Estatuto de Autonomía de Castilla y León, aprobado por Ley Orgánica 14/2007, de 30 de noviembre (EACL), que prohíbe el uso del decreto-ley “para la regulación de materias para las que el presente Estatuto exija expresamente la aprobación de una ley de Cortes”, siendo una de ellas la participación de las entidades locales en los ingresos de la comunidad autónoma.</w:t>
      </w:r>
    </w:p>
    <w:p w:rsidR="005728DD" w:rsidRDefault="005728DD" w:rsidP="005728DD">
      <w:pPr>
        <w:pStyle w:val="TextoNormal"/>
      </w:pPr>
    </w:p>
    <w:p w:rsidR="005728DD" w:rsidRDefault="005728DD" w:rsidP="005728DD">
      <w:pPr>
        <w:pStyle w:val="TextoNormal"/>
      </w:pPr>
      <w:r>
        <w:t>El letrado de la Junta de Castilla y León solicita la desestimación íntegra del recurso, alegando que sí concurre el presupuesto habilitante para la aprobación del decreto-ley, en su doble dimensión de existencia de una “situación de extraordinaria y urgente necesidad” y “conexión de sentido” con ella de las normas aprobadas; y que se respeta, asimismo, el límite material para el uso del decreto-ley que alegan los recurrentes.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constitucional</w:t>
      </w:r>
      <w:r>
        <w:t>.</w:t>
      </w:r>
    </w:p>
    <w:p w:rsidR="005728DD" w:rsidRDefault="005728DD" w:rsidP="005728DD">
      <w:pPr>
        <w:pStyle w:val="TextoNormal"/>
      </w:pPr>
    </w:p>
    <w:p w:rsidR="005728DD" w:rsidRDefault="005728DD" w:rsidP="005728DD">
      <w:pPr>
        <w:pStyle w:val="TextoNormal"/>
      </w:pPr>
      <w:r>
        <w:t>Este tribunal ha resumido en numerosas sentencias (por todas, las SSTC 34/2017, de 1 de marzo, FJ 3, y 14/2020, de 28 de enero, FJ 2) la doctrina constitucional elaborada en relación con el presupuesto que habilita al Gobierno para aprobar normas provisionales con rango de ley, lo que nos dispensa de reiterarla una vez más. Bastará recordar ahora que: i)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ii)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 leyes; y iii) ese control externo se concreta en la comprobación de que el Gobierno haya definido, de manera explícita y razonada, una situación de extraordinaria y urgente necesidad que precise de una respuesta normativa con rango de ley, y de que, además, exista una conexión de sentido entre la situación definida y las medidas adoptadas para hacerle frente.</w:t>
      </w:r>
    </w:p>
    <w:p w:rsidR="005728DD" w:rsidRDefault="005728DD" w:rsidP="005728DD">
      <w:pPr>
        <w:pStyle w:val="TextoNormal"/>
      </w:pPr>
    </w:p>
    <w:p w:rsidR="005728DD" w:rsidRDefault="005728DD" w:rsidP="005728DD">
      <w:pPr>
        <w:pStyle w:val="TextoNormal"/>
      </w:pPr>
      <w:r>
        <w:t>Este tribunal ha considerado, asimismo, que, aunque la Constitución no lo prevea, nada impide que el legislador estatutario pueda atribuir a los Gobiernos autonómicos la potestad de dictar normas provisionales con rango de ley, siempre que los límites formales y materiales a los que se encuentren sometidas sean, como mínimo, los mismos que la Constitución impone al decreto-ley estatal (SSTC 93/2015, de 14 de mayo, FFJJ 3 a 6; 104/2015, de 28 de mayo, FJ 4; 38/2016, de 3 de marzo, FJ 2, y 105/2018, de 4 de octubre, FJ 3, entre otras).</w:t>
      </w:r>
    </w:p>
    <w:p w:rsidR="005728DD" w:rsidRDefault="005728DD" w:rsidP="005728DD">
      <w:pPr>
        <w:pStyle w:val="TextoNormal"/>
      </w:pPr>
    </w:p>
    <w:p w:rsidR="005728DD" w:rsidRDefault="005728DD" w:rsidP="005728DD">
      <w:pPr>
        <w:pStyle w:val="TextoNormal"/>
      </w:pPr>
      <w:r>
        <w:t>Esto implica que, para resolver la impugnación planteada frente al Decreto-ley 6/2020 debamos tomar en consideración la doctrina constitucional sobre el presupuesto habilitante elaborada en torno al artículo 86.1 CE, cuyo tenor reproduce el art. 25.4 EACL cuando prevé que “[e]n caso de extraordinaria y urgente necesidad”, la Junta podrá dictar disposiciones legislativas provisionales que tomarán la forma de decretos leyes.</w:t>
      </w:r>
    </w:p>
    <w:p w:rsidR="005728DD" w:rsidRDefault="005728DD" w:rsidP="005728DD">
      <w:pPr>
        <w:pStyle w:val="TextoNormal"/>
      </w:pPr>
    </w:p>
    <w:p w:rsidR="005728DD" w:rsidRDefault="005728DD" w:rsidP="005728DD">
      <w:pPr>
        <w:pStyle w:val="TextoNormal"/>
      </w:pPr>
      <w:r>
        <w:t>La doctrina de este tribunal ha sostenido, también, que, 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93/2015, de 14 de mayo, FJ 6, reiterada, entre otras, por la STC 157/2016, de 22 de septiembre, FJ 5).</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Presupuesto habilitante del Decreto-ley 6/2020 (I): definición explícita y razonada de la situación de “extraordinaria y urgente necesidad</w:t>
      </w:r>
      <w:r>
        <w:t>”.</w:t>
      </w:r>
    </w:p>
    <w:p w:rsidR="005728DD" w:rsidRDefault="005728DD" w:rsidP="005728DD">
      <w:pPr>
        <w:pStyle w:val="TextoNormal"/>
      </w:pPr>
    </w:p>
    <w:p w:rsidR="005728DD" w:rsidRDefault="005728DD" w:rsidP="005728DD">
      <w:pPr>
        <w:pStyle w:val="TextoNormal"/>
      </w:pPr>
      <w:r>
        <w:t>Debemos comenzar analizando las razones que invoca la Junta de Castilla y León para justificar la aprobación del Decreto-ley 6/2020. Este examen se ha de llevar a cabo mediante la valoración conjunta del preámbulo de la norma, el debate parlamentario de convalidación y el propio expediente de elaboración (por todas, la STC 103/2017, de 6 de septiembre, FJ 4).</w:t>
      </w:r>
    </w:p>
    <w:p w:rsidR="005728DD" w:rsidRDefault="005728DD" w:rsidP="005728DD">
      <w:pPr>
        <w:pStyle w:val="TextoNormal"/>
      </w:pPr>
    </w:p>
    <w:p w:rsidR="005728DD" w:rsidRDefault="005728DD" w:rsidP="005728DD">
      <w:pPr>
        <w:pStyle w:val="TextoNormal"/>
      </w:pPr>
      <w:r>
        <w:t>a) El preámbulo, apartado I, empieza exponiendo la situación de “crisis sin precedentes” causada por la pandemia de la Covid-19 y afirma que “son múltiples las medidas urgentes y extraordinarias que todas las administraciones nos vemos obligadas a adoptar, con el único objetivo de evitar que la epidemia deje cicatrices permanentes”.</w:t>
      </w:r>
    </w:p>
    <w:p w:rsidR="005728DD" w:rsidRDefault="005728DD" w:rsidP="005728DD">
      <w:pPr>
        <w:pStyle w:val="TextoNormal"/>
      </w:pPr>
    </w:p>
    <w:p w:rsidR="005728DD" w:rsidRDefault="005728DD" w:rsidP="005728DD">
      <w:pPr>
        <w:pStyle w:val="TextoNormal"/>
      </w:pPr>
      <w:r>
        <w:t>El apartado III concreta que el Decreto-ley pretende fomentar “medidas inversoras que impulsen y reactiven de manera urgente e inmediata la economía y el tejido social de la comunidad autónoma, contribuyendo activamente a la recuperación económica y social de la crisis derivada de los efectos provocados por la declaración del estado de alarma por el Gobierno del Estado como consecuencia de la crisis sanitaria de la Covid-19”. Junto a lo anterior, “se pretende dotar de mayor agilidad en la tramitación y percepción de los fondos de financiación local por los municipios más pequeños, de tal forma que puedan acometer cuanto antes distintas actuaciones en beneficio de su comunidad vecinal”.</w:t>
      </w:r>
    </w:p>
    <w:p w:rsidR="005728DD" w:rsidRDefault="005728DD" w:rsidP="005728DD">
      <w:pPr>
        <w:pStyle w:val="TextoNormal"/>
      </w:pPr>
    </w:p>
    <w:p w:rsidR="005728DD" w:rsidRDefault="005728DD" w:rsidP="005728DD">
      <w:pPr>
        <w:pStyle w:val="TextoNormal"/>
      </w:pPr>
      <w:r>
        <w:lastRenderedPageBreak/>
        <w:t>Tras explicar que la financiación de los entes locales a cargo de la comunidad autónoma se estructura en dos fondos, el de participación en los impuestos propios y el de cooperación económica local general, explica que la anticipación del momento de pago se aplicará a ambos. Respecto al segundo, las modificaciones van más allá “con la misma idea de adaptar estos fondos públicos, al menos en parte, a la nueva realidad económica y social en que están inmersas todas las administraciones públicas, y, por tanto, procurar actuaciones que favorezcan cuanto antes la recuperación económica y social”.</w:t>
      </w:r>
    </w:p>
    <w:p w:rsidR="005728DD" w:rsidRDefault="005728DD" w:rsidP="005728DD">
      <w:pPr>
        <w:pStyle w:val="TextoNormal"/>
      </w:pPr>
    </w:p>
    <w:p w:rsidR="005728DD" w:rsidRDefault="005728DD" w:rsidP="005728DD">
      <w:pPr>
        <w:pStyle w:val="TextoNormal"/>
      </w:pPr>
      <w:r>
        <w:t>Aclara que el Fondo de cooperación “nació con la filosofía de colaborar en el cumplimiento de los principales retos de futuro que en cada momento tenga que afrontar nuestro territorio. Inicialmente el desafío demográfico y la sostenibilidad financiera de las entidades locales tras la grave crisis que se atravesaba fueron las materias a los que se destinó el fondo”. Sin embargo, —prosigue— “[e]n la actualidad al desafío demográfico se unen otras prioridades dirigidas a la recuperación económica y social de los efectos causados por las medidas del estado de alarma derivadas de la crisis sanitaria de la Covid-19. Muchas de las actuaciones que tendrán que afrontar las administraciones locales para lograr esta recuperación social y económica, están ligadas íntimamente con los compromisos de las administraciones públicas con los objetivos de desarrollo sostenible incluidos en la Agenda 2030, que siguen siendo los grandes retos de un futuro próximo y que necesita la colaboración entre las administraciones”, para concluir que “las modificaciones propuestas del Fondo de cooperación económica local general reflejan la adaptación de este fondo a satisfacer estas necesidades de manera inmediata”.</w:t>
      </w:r>
    </w:p>
    <w:p w:rsidR="005728DD" w:rsidRDefault="005728DD" w:rsidP="005728DD">
      <w:pPr>
        <w:pStyle w:val="TextoNormal"/>
      </w:pPr>
    </w:p>
    <w:p w:rsidR="005728DD" w:rsidRDefault="005728DD" w:rsidP="005728DD">
      <w:pPr>
        <w:pStyle w:val="TextoNormal"/>
      </w:pPr>
      <w:r>
        <w:t>Por último, el apartado IV recalca que el interés general al que sirve la norma de urgencia es procurar “el impulso y reactivación urgente e inmediata de la economía y del tejido social de la comunidad autónoma, contribuyendo activamente a la recuperación económica y social de la crisis derivada de los efectos provocados por la declaración del estado de alarma por el Gobierno del Estado como consecuencia de la crisis sanitaria de la Covid-19”.</w:t>
      </w:r>
    </w:p>
    <w:p w:rsidR="005728DD" w:rsidRDefault="005728DD" w:rsidP="005728DD">
      <w:pPr>
        <w:pStyle w:val="TextoNormal"/>
      </w:pPr>
    </w:p>
    <w:p w:rsidR="005728DD" w:rsidRDefault="005728DD" w:rsidP="005728DD">
      <w:pPr>
        <w:pStyle w:val="TextoNormal"/>
      </w:pPr>
      <w:r>
        <w:t>b) En el debate parlamentario de convalidación (“Diario de Sesiones de las Cortes de Castilla y León”, X legislatura, núm. 34, de 22 de julio de 2020, págs. 2359-2377) la presentación del Decreto-ley 6/2020 correspondió al consejero de presidencia. En su intervención, comenzó afirmando que el “parón económico histórico, sin precedentes” que ha causado la pandemia exige adoptar “múltiples medidas urgentes y extraordinarias por parte de todas las administraciones”. Tras diferenciar los dos fondos de financiación local, aclara que el primero de ellos, de participación en los tributos propios autonómicos, continuará siendo íntegramente incondicionado. Se centra, a continuación, en el Fondo de cooperación económica local general para explicar que se creó para hacer frente al reto demográfico y a la sostenibilidad financiera pero que “la prioridad del mundo local ya no es la sostenibilidad financiera sino la recuperación económica y social de los efectos causados por la Covid-19”. Por ello, “este decreto-ley busca la generación de empleo y la reactivación económica y social de manera urgente […] y uno de los mecanismos será vía inversiones productivas, según la estrategia marcada ya por el G-20 para salir de esta crisis de la Covid-19, entre los que participó el Gobierno de España, y que fijaba la Agenda 2030 como instrumento adecuado para su desarrollo”.</w:t>
      </w:r>
    </w:p>
    <w:p w:rsidR="005728DD" w:rsidRDefault="005728DD" w:rsidP="005728DD">
      <w:pPr>
        <w:pStyle w:val="TextoNormal"/>
      </w:pPr>
    </w:p>
    <w:p w:rsidR="005728DD" w:rsidRDefault="005728DD" w:rsidP="005728DD">
      <w:pPr>
        <w:pStyle w:val="TextoNormal"/>
      </w:pPr>
      <w:r>
        <w:lastRenderedPageBreak/>
        <w:t>Añade que el decreto-ley tendrá otro efecto beneficioso para las arcas locales pues, “al pasar la parte restante del Fondo de cooperación económica local general de carácter incondicionado a condicionado, pasa de no computar a sí computar en la regla de gasto y, por tanto, posibilitar el aumento del techo de gasto de las entidades locales de Castilla y León”.</w:t>
      </w:r>
    </w:p>
    <w:p w:rsidR="005728DD" w:rsidRDefault="005728DD" w:rsidP="005728DD">
      <w:pPr>
        <w:pStyle w:val="TextoNormal"/>
      </w:pPr>
    </w:p>
    <w:p w:rsidR="005728DD" w:rsidRDefault="005728DD" w:rsidP="005728DD">
      <w:pPr>
        <w:pStyle w:val="TextoNormal"/>
      </w:pPr>
      <w:r>
        <w:t>Termina reiterando que “el decreto-ley no altera la financiación local proveniente de la participación en los ingresos propios de la Comunidad Autónoma, que seguirá siendo incondicionada […] [ni] altera la cuantía total que perciben las entidades locales […] [ni] el cálculo del reparto”.</w:t>
      </w:r>
    </w:p>
    <w:p w:rsidR="005728DD" w:rsidRDefault="005728DD" w:rsidP="005728DD">
      <w:pPr>
        <w:pStyle w:val="TextoNormal"/>
      </w:pPr>
    </w:p>
    <w:p w:rsidR="005728DD" w:rsidRDefault="005728DD" w:rsidP="005728DD">
      <w:pPr>
        <w:pStyle w:val="TextoNormal"/>
      </w:pPr>
      <w:r>
        <w:t>c) Por último, la memoria del análisis de impacto normativo (apartados 3 y 4) abunda en que, para la recuperación económica y social de los efectos de la crisis de la Covid-19, las administraciones locales deben afrontar actuaciones ligadas con los objetivos de la Agenda 2030 y que “las modificaciones propuestas del Fondo de cooperación económica local general reflejan la adaptación de este fondo a satisfacer estas necesidades de manera inmediata” para lo que “se modifican en parte los objetivos a que se destinan los recursos públicos que transfiere la comunidad autónoma a las entidades locales”.</w:t>
      </w:r>
    </w:p>
    <w:p w:rsidR="005728DD" w:rsidRDefault="005728DD" w:rsidP="005728DD">
      <w:pPr>
        <w:pStyle w:val="TextoNormal"/>
      </w:pPr>
    </w:p>
    <w:p w:rsidR="005728DD" w:rsidRDefault="005728DD" w:rsidP="005728DD">
      <w:pPr>
        <w:pStyle w:val="TextoNormal"/>
      </w:pPr>
      <w:r>
        <w:t>d) De lo expuesto se colige que, en el preámbulo y en la memoria del Decreto-ley impugnado, así como en su presentación en el trámite parlamentario de convalidación, la Junta de Castilla y León ha ofrecido, de forma explícita y razonada, una justificación para la adopción de las medidas aprobadas.</w:t>
      </w:r>
    </w:p>
    <w:p w:rsidR="005728DD" w:rsidRDefault="005728DD" w:rsidP="005728DD">
      <w:pPr>
        <w:pStyle w:val="TextoNormal"/>
      </w:pPr>
    </w:p>
    <w:p w:rsidR="005728DD" w:rsidRDefault="005728DD" w:rsidP="005728DD">
      <w:pPr>
        <w:pStyle w:val="TextoNormal"/>
      </w:pPr>
      <w:r>
        <w:t>El gobierno autonómico ha evocado la crisis económica “sin precedentes” causada por el parón de actividad derivado de la pandemia de la Covid-19 y por el estado de alarma declarado a raíz de la misma y ha enmarcado el decreto-ley en la relación de medidas de reactivación económica adoptadas, para así darle respuesta. La situación descrita responde a lo que cabe calificar como una “coyuntura económica problemática”, en los términos expresamente aceptados por la doctrina constitucional (entre otras, SSTC 215/2015, de 22 de octubre, FJ 4, y 18/2016, de 4 de febrero, FJ 5), lo que demanda medidas urgentes de reactivación económica. En el caso que nos ocupa, tales medidas van dirigidas a fomentar la inversión por parte de las entidades locales.</w:t>
      </w:r>
    </w:p>
    <w:p w:rsidR="005728DD" w:rsidRDefault="005728DD" w:rsidP="005728DD">
      <w:pPr>
        <w:pStyle w:val="TextoNormal"/>
      </w:pPr>
    </w:p>
    <w:p w:rsidR="005728DD" w:rsidRDefault="005728DD" w:rsidP="005728DD">
      <w:pPr>
        <w:pStyle w:val="TextoNormal"/>
      </w:pPr>
      <w:r>
        <w:t>Aunque los demandantes sostienen que los objetivos de la Agenda 2030 no tienen relación directa con la pandemia y que, dado el plazo para su consecución, no pueden calificarse de urgentes, con este argumento no discuten realmente que la crisis económica causada por la pandemia sea una situación de “extraordinaria y urgente necesidad”, sino la idoneidad de las medidas del Decreto-ley 6/2020 para abordarla. Esto es, no están poniendo en duda que tal situación justifique acudir a la norma de urgencia, sino, en términos de nuestra doctrina, la “conexión de sentido” con la pandemia de las medidas adoptadas. Por ello, analizaremos esta queja en el siguiente fundamento jurídico, al enjuiciar la segunda dimensión del presupuesto habilitante.</w:t>
      </w:r>
    </w:p>
    <w:p w:rsidR="005728DD" w:rsidRDefault="005728DD" w:rsidP="005728DD">
      <w:pPr>
        <w:pStyle w:val="TextoNormal"/>
      </w:pPr>
    </w:p>
    <w:p w:rsidR="005728DD" w:rsidRDefault="005728DD" w:rsidP="005728DD">
      <w:pPr>
        <w:pStyle w:val="TextoNormal"/>
      </w:pPr>
      <w:r>
        <w:t>e) Dentro del apartado que dedica a la justificación de la situación de extraordinaria y urgente necesidad, la demanda denuncia también que no se ha explicado por qué la finalidad perseguida no puede lograrse mediante la tramitación de una ley de Cortes, máxime si se tiene en cuenta que así se ha hecho en el caso de otras normas relacionadas con la pandemia.</w:t>
      </w:r>
    </w:p>
    <w:p w:rsidR="005728DD" w:rsidRDefault="005728DD" w:rsidP="005728DD">
      <w:pPr>
        <w:pStyle w:val="TextoNormal"/>
      </w:pPr>
    </w:p>
    <w:p w:rsidR="005728DD" w:rsidRDefault="005728DD" w:rsidP="005728DD">
      <w:pPr>
        <w:pStyle w:val="TextoNormal"/>
      </w:pPr>
      <w:r>
        <w:lastRenderedPageBreak/>
        <w:t>Desde el plano del control externo que corresponde al Tribunal, una vez descrita de forma suficiente la situación de extraordinaria y urgente necesidad, como aquí hemos apreciado, es jurídicamente admisible una “acción normativa absolutamente inmediata sin que la actuación pública orientada al logro de esos objetivos gubernamentales admita ningún retraso, ni siquiera la corta demora que conllevaría la tramitación legislativa particularmente ágil que caracteriza la aprobación de las leyes en las cámaras autonómicas” [por todas, STC 93/2015, FJ 9 b)].</w:t>
      </w:r>
    </w:p>
    <w:p w:rsidR="005728DD" w:rsidRDefault="005728DD" w:rsidP="005728DD">
      <w:pPr>
        <w:pStyle w:val="TextoNormal"/>
      </w:pPr>
    </w:p>
    <w:p w:rsidR="005728DD" w:rsidRDefault="005728DD" w:rsidP="005728DD">
      <w:pPr>
        <w:pStyle w:val="TextoNormal"/>
      </w:pPr>
      <w:r>
        <w:t>Además, como afirma el letrado de la Junta de Castilla y León, la tramitación ordinaria de un proyecto de ley habría llevado a que las medidas inversoras que se persiguen no se ejecutaran, como pronto, hasta finales del año 2022, retrasando así su eficacia para la reactivación económica pretendida. No es casual que el Decreto-ley 6/2020 se aprobara en julio, cuando las distintas administraciones comienzan a elaborar los presupuestos del año 2021 (</w:t>
      </w:r>
      <w:r w:rsidRPr="005728DD">
        <w:rPr>
          <w:i/>
        </w:rPr>
        <w:t>vid</w:t>
      </w:r>
      <w:r>
        <w:t>. Orden HAC/641/2020, de 14 de julio, por la que se dictan las normas para la elaboración de los presupuestos generales del Estado para 2021 y la Orden EYH/717/2020, de 29 de julio, por la que se dictan las normas para la elaboración de los presupuestos generales de la comunidad autónoma de Castilla y León para el año 2021). Solo introduciendo las modificaciones normativas a tiempo para integrarlas en el ciclo presupuestario de 2021 podrán ejecutarse las inversiones durante dicho año, contribuyendo así a la recuperación económica lo antes posible.</w:t>
      </w:r>
    </w:p>
    <w:p w:rsidR="005728DD" w:rsidRDefault="005728DD" w:rsidP="005728DD">
      <w:pPr>
        <w:pStyle w:val="TextoNormal"/>
      </w:pPr>
    </w:p>
    <w:p w:rsidR="005728DD" w:rsidRDefault="005728DD" w:rsidP="005728DD">
      <w:pPr>
        <w:pStyle w:val="TextoNormal"/>
      </w:pPr>
      <w:r>
        <w:t>f) Por último, los recurrentes aducen que la situación fáctica pretendidamente urgente carece de la más mínima nota de imprevisibilidad y que, mediante el decreto-ley impugnado, se introduce una reforma estructural en la financiación local a cargo de la comunidad autónoma.</w:t>
      </w:r>
    </w:p>
    <w:p w:rsidR="005728DD" w:rsidRDefault="005728DD" w:rsidP="005728DD">
      <w:pPr>
        <w:pStyle w:val="TextoNormal"/>
      </w:pPr>
    </w:p>
    <w:p w:rsidR="005728DD" w:rsidRDefault="005728DD" w:rsidP="005728DD">
      <w:pPr>
        <w:pStyle w:val="TextoNormal"/>
      </w:pPr>
      <w:r>
        <w:t>Si algo define la crisis económica causada por la pandemia de la Covid-19 es su gravedad e imprevisibilidad. En concreto, este tribunal se ha referido a ella como una “pandemia global muy grave, que ha producido un gran número de afectados y de fallecidos en nuestro país, y que ha puesto a prueba a las instituciones democráticas y a la propia sociedad y los ciudadanos, en cuanto se han convertido, en conjunto, en elementos esenciales para luchar contra esta situación de crisis sanitaria y económica que afecta a todo el país, situado por mor de la misma ante una situación que, pese a no ser la primera vez que se produce (ya sufrimos, entre otras, la pandemia de 1918), sí es la primera vez que nuestra actual democracia se ha visto en la necesidad de enfrentarse ante un desafío de esta magnitud y de poner en marcha los mecanismos precisos para hacerle frente” (ATC 40/2020, de 30 de abril, FJ 2).</w:t>
      </w:r>
    </w:p>
    <w:p w:rsidR="005728DD" w:rsidRDefault="005728DD" w:rsidP="005728DD">
      <w:pPr>
        <w:pStyle w:val="TextoNormal"/>
      </w:pPr>
    </w:p>
    <w:p w:rsidR="005728DD" w:rsidRDefault="005728DD" w:rsidP="005728DD">
      <w:pPr>
        <w:pStyle w:val="TextoNormal"/>
      </w:pPr>
      <w:r>
        <w:t xml:space="preserve">Finalmente, en contra de lo pretendido por los recurrentes, las necesidades económicas que ha originado la pandemia no pueden considerarse “estructurales” en el sentido constitucional del término, por más que ello tampoco sería determinante </w:t>
      </w:r>
      <w:r w:rsidRPr="005728DD">
        <w:rPr>
          <w:i/>
        </w:rPr>
        <w:t>per se</w:t>
      </w:r>
      <w:r>
        <w:t xml:space="preserve"> para estimar constitucionalmente inadecuado el uso del decreto-ley (por todas, STC 139/2016, de 21 de julio, FJ 5).</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Presupuesto habilitante y conexión de sentido de las medidas aprobadas</w:t>
      </w:r>
      <w:r>
        <w:t>.</w:t>
      </w:r>
    </w:p>
    <w:p w:rsidR="005728DD" w:rsidRDefault="005728DD" w:rsidP="005728DD">
      <w:pPr>
        <w:pStyle w:val="TextoNormal"/>
      </w:pPr>
    </w:p>
    <w:p w:rsidR="005728DD" w:rsidRDefault="005728DD" w:rsidP="005728DD">
      <w:pPr>
        <w:pStyle w:val="TextoNormal"/>
      </w:pPr>
      <w:r>
        <w:t xml:space="preserve">a) La segunda dimensión del presupuesto habilitante exige que las medidas aprobadas guarden una “conexión de sentido” con la situación de extraordinaria y urgente necesidad </w:t>
      </w:r>
      <w:r>
        <w:lastRenderedPageBreak/>
        <w:t>(STC 29/1982, de 31 de mayo, FJ 3) o, dicho de otro modo, “una relación directa o de congruencia con la situación que se trata de afrontar” (STC 182/1997, de 28 de octubre, FJ 3). En particular, nuestra doctrina ha establecido una doble perspectiva para valorarla: el contenido, por un lado, y la estructura, por otro, de las disposiciones incluidas en el decreto-ley controvertido. Así, ya en la citada STC 29/1982, FJ 3, este tribunal excluyó aquellas disposiciones “que, por su contenido y de manera evidente, no guarden relación alguna, directa ni indirecta, con la situación que se trata de afrontar y, muy especialmente, aquellas que, por su estructura misma, independientemente de su contenido, no modifican de manera instantánea la situación jurídica existente”.</w:t>
      </w:r>
    </w:p>
    <w:p w:rsidR="005728DD" w:rsidRDefault="005728DD" w:rsidP="005728DD">
      <w:pPr>
        <w:pStyle w:val="TextoNormal"/>
      </w:pPr>
    </w:p>
    <w:p w:rsidR="005728DD" w:rsidRDefault="005728DD" w:rsidP="005728DD">
      <w:pPr>
        <w:pStyle w:val="TextoNormal"/>
      </w:pPr>
      <w:r>
        <w:t>Tras admitir que el Tribunal Constitucional ha reconocido el margen de discrecionalidad que corresponde al Gobierno, limitándose a realizar un juicio de razonabilidad de las medidas de la norma de urgencia, la demanda diferencia entre las dos modificaciones que introduce el decreto-ley examinado: i) respecto al adelantamiento del pago a los municipios de pequeña población, aplicable a ambos fondos, considera que “podría ser razonable en cuanto al logro de los objetivos pretendidos”; ii) entiende, por el contrario, que las nuevas medidas de condicionalidad introducidas en el Fondo de cooperación “de ninguna manera parece que superen ese juicio de razonabilidad o idoneidad”, porque “no tiene que suponer necesariamente que tales objetivos se consigan antes”, ni “de la imposición ahora establecida se puede concluir que antes, sin esta, los mismos por parte de las entidades locales igualmente fueran conseguidos”.</w:t>
      </w:r>
    </w:p>
    <w:p w:rsidR="005728DD" w:rsidRDefault="005728DD" w:rsidP="005728DD">
      <w:pPr>
        <w:pStyle w:val="TextoNormal"/>
      </w:pPr>
    </w:p>
    <w:p w:rsidR="005728DD" w:rsidRDefault="005728DD" w:rsidP="005728DD">
      <w:pPr>
        <w:pStyle w:val="TextoNormal"/>
      </w:pPr>
      <w:r>
        <w:t>Por tanto, lo que se discute es que la obligación de dedicar el Fondo de cooperación económica local general a determinadas inversiones sea adecuada a la coyuntura existente. Y exclusivamente por razón de su contenido, sin poner en cuestión que modifiquen, de manera instantánea, la situación jurídica previa.</w:t>
      </w:r>
    </w:p>
    <w:p w:rsidR="005728DD" w:rsidRDefault="005728DD" w:rsidP="005728DD">
      <w:pPr>
        <w:pStyle w:val="TextoNormal"/>
      </w:pPr>
    </w:p>
    <w:p w:rsidR="005728DD" w:rsidRDefault="005728DD" w:rsidP="005728DD">
      <w:pPr>
        <w:pStyle w:val="TextoNormal"/>
      </w:pPr>
      <w:r>
        <w:t>b) Atendiendo al control que corresponde a este tribunal, que —como recuerda la demanda—, debe respetar el margen de discrecionalidad política del ejecutivo autonómico, la alegación debe ser desestimada.</w:t>
      </w:r>
    </w:p>
    <w:p w:rsidR="005728DD" w:rsidRDefault="005728DD" w:rsidP="005728DD">
      <w:pPr>
        <w:pStyle w:val="TextoNormal"/>
      </w:pPr>
    </w:p>
    <w:p w:rsidR="005728DD" w:rsidRDefault="005728DD" w:rsidP="005728DD">
      <w:pPr>
        <w:pStyle w:val="TextoNormal"/>
      </w:pPr>
      <w:r>
        <w:t>Exigir que las entidades locales destinen los recursos recibidos de la comunidad autónoma a inversiones, en lugar de sufragar operaciones corrientes o financieras (por ejemplo, reducir el endeudamiento), se ajusta al objetivo de impulsar la reactivación económica. De hecho, como argumenta el letrado autonómico, el fomento de la inversión local ha sido una respuesta habitual ante situaciones de crisis económica, como lo demuestra, por ejemplo, el Real Decreto-ley 9/2008, de 28 de noviembre, por el que se crea un fondo estatal de inversión local. Y particularmente para la crisis económica causada por la pandemia de la Covid-19, el Real Decreto-ley 23/2020, de 23 de junio, por el que se aprueban medidas en materia de energía y en otros ámbitos para la reactivación económica, cuyo art. 6 también tiene por finalidad fomentar la inversión de las entidades locales en objetivos relacionados con las energías limpias.</w:t>
      </w:r>
    </w:p>
    <w:p w:rsidR="005728DD" w:rsidRDefault="005728DD" w:rsidP="005728DD">
      <w:pPr>
        <w:pStyle w:val="TextoNormal"/>
      </w:pPr>
    </w:p>
    <w:p w:rsidR="005728DD" w:rsidRDefault="005728DD" w:rsidP="005728DD">
      <w:pPr>
        <w:pStyle w:val="TextoNormal"/>
      </w:pPr>
      <w:r>
        <w:t xml:space="preserve">Los recurrentes objetan que los objetivos de la Agenda 2030 están desvinculados de la situación creada por la pandemia. Sin embargo, la conexión de sentido radica en que, en un contexto en el que la sostenibilidad financiera local ya no es una prioridad —según afirmó el consejero de presidencia—, la sustitución de gasto corriente por inversiones productivas </w:t>
      </w:r>
      <w:r>
        <w:lastRenderedPageBreak/>
        <w:t>puede contribuir a la recuperación, dado el efecto multiplicador que tienen las inversiones sobre la actividad económica.</w:t>
      </w:r>
    </w:p>
    <w:p w:rsidR="005728DD" w:rsidRDefault="005728DD" w:rsidP="005728DD">
      <w:pPr>
        <w:pStyle w:val="TextoNormal"/>
      </w:pPr>
    </w:p>
    <w:p w:rsidR="005728DD" w:rsidRDefault="005728DD" w:rsidP="005728DD">
      <w:pPr>
        <w:pStyle w:val="TextoNormal"/>
      </w:pPr>
      <w:r>
        <w:t>El margen de discrecionalidad del gobierno autonómico justifica, asimismo, que las inversiones se vinculen a los objetivos de desarrollo sostenible de la Agenda 2030. Son metas compartidas a nivel nacional, europeo y mundial y de una gran amplitud, que incluyen, a título de ejemplo, el poner fin a la pobreza; garantizar la disponibilidad de agua y energía asequible y sostenible; promover el crecimiento económico y el pleno empleo; impulsar la industria, la innovación y las infraestructuras; fomentar ciudades inclusivas, seguras, resilientes y sostenibles; luchar contra el cambio climático, etc.</w:t>
      </w:r>
    </w:p>
    <w:p w:rsidR="005728DD" w:rsidRDefault="005728DD" w:rsidP="005728DD">
      <w:pPr>
        <w:pStyle w:val="TextoNormal"/>
      </w:pPr>
    </w:p>
    <w:p w:rsidR="005728DD" w:rsidRDefault="005728DD" w:rsidP="005728DD">
      <w:pPr>
        <w:pStyle w:val="TextoNormal"/>
      </w:pPr>
      <w:r>
        <w:t>Dada la extensión de estos objetivos, debemos concluir que lo determinante del decreto-ley es que transformará unos gastos corrientes en inversiones productivas, más allá de la rúbrica concreta de la Agenda 2030 en que puedan inscribirse. Lo cual también favorecerá a las entidades locales a la hora de cumplir con la “regla de gasto” establecida en el art. 12 de la Ley Orgánica 2/2012, de 27 de abril, de estabilidad presupuestaria y sostenibilidad financiera, toda vez que, para su cálculo, no computa “la parte del gasto financiado con fondos finalistas procedentes de otras administraciones públicas” (art. 12.2 de la Ley). Es decir, gracias a la modificación, los entes locales también tendrán un mayor límite de gasto para responder a la crisis.</w:t>
      </w:r>
    </w:p>
    <w:p w:rsidR="005728DD" w:rsidRDefault="005728DD" w:rsidP="005728DD">
      <w:pPr>
        <w:pStyle w:val="TextoNormal"/>
      </w:pPr>
    </w:p>
    <w:p w:rsidR="005728DD" w:rsidRDefault="005728DD" w:rsidP="005728DD">
      <w:pPr>
        <w:pStyle w:val="TextoNormal"/>
      </w:pPr>
      <w:r>
        <w:t>En suma, el Tribunal aprecia en las medidas aprobadas la exigible “conexión de sentido” con la situación de “extraordinaria y urgente necesidad” previamente descrita, por lo que debemos desestimar la impugnación por falta del presupuesto habilitante del Decreto-ley 6/2020.</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Límite material al decreto-ley fijado por el art. 25.4 en conexión con el art. 55.3 EACL</w:t>
      </w:r>
      <w:r>
        <w:t>.</w:t>
      </w:r>
    </w:p>
    <w:p w:rsidR="005728DD" w:rsidRDefault="005728DD" w:rsidP="005728DD">
      <w:pPr>
        <w:pStyle w:val="TextoNormal"/>
      </w:pPr>
    </w:p>
    <w:p w:rsidR="005728DD" w:rsidRDefault="005728DD" w:rsidP="005728DD">
      <w:pPr>
        <w:pStyle w:val="TextoNormal"/>
      </w:pPr>
      <w:r>
        <w:t>Resta por examinar la alegada vulneración de uno de los límites materiales del decreto-ley.</w:t>
      </w:r>
    </w:p>
    <w:p w:rsidR="005728DD" w:rsidRDefault="005728DD" w:rsidP="005728DD">
      <w:pPr>
        <w:pStyle w:val="TextoNormal"/>
      </w:pPr>
    </w:p>
    <w:p w:rsidR="005728DD" w:rsidRDefault="005728DD" w:rsidP="005728DD">
      <w:pPr>
        <w:pStyle w:val="TextoNormal"/>
      </w:pPr>
      <w:r>
        <w:t>a) Debemos partir, nuevamente, de la doctrina citada en el fundamento jurídico segundo, que ha declarado que los límites materiales que deben respetar los decretos-leyes autonómicos son, además de los consignados en el art. 86.1 CE, los que pueda añadir o regular de forma más estricta el estatuto de autonomía, como “norma institucional básica de cada comunidad autónoma” (art. 147.1 CE).</w:t>
      </w:r>
    </w:p>
    <w:p w:rsidR="005728DD" w:rsidRDefault="005728DD" w:rsidP="005728DD">
      <w:pPr>
        <w:pStyle w:val="TextoNormal"/>
      </w:pPr>
    </w:p>
    <w:p w:rsidR="005728DD" w:rsidRDefault="005728DD" w:rsidP="005728DD">
      <w:pPr>
        <w:pStyle w:val="TextoNormal"/>
      </w:pPr>
      <w:r>
        <w:t xml:space="preserve">El art. 25.4 EACL, entre otros límites, prohíbe que los decretos-leyes de la Junta de Castilla y León se utilicen “para la regulación de materias para las que el presente estatuto exija expresamente la aprobación de una ley de Cortes”. Por su parte, el art. 55.3 EACL dispone que “[l]as entidades locales podrán participar en los ingresos de la Comunidad, según lo dispuesto en el art. 142 de la Constitución, </w:t>
      </w:r>
      <w:r w:rsidRPr="005728DD">
        <w:rPr>
          <w:i/>
        </w:rPr>
        <w:t>en los términos que establezca una ley de Cortes</w:t>
      </w:r>
      <w:r>
        <w:t>”.</w:t>
      </w:r>
    </w:p>
    <w:p w:rsidR="005728DD" w:rsidRDefault="005728DD" w:rsidP="005728DD">
      <w:pPr>
        <w:pStyle w:val="TextoNormal"/>
      </w:pPr>
    </w:p>
    <w:p w:rsidR="005728DD" w:rsidRDefault="005728DD" w:rsidP="005728DD">
      <w:pPr>
        <w:pStyle w:val="TextoNormal"/>
      </w:pPr>
      <w:r>
        <w:t>Los recurrentes mantienen que la Ley 10/2014 es la llamada por el art. 55.3 EACL a regular la participación de las entidades locales en los ingresos de la comunidad autónoma, de manera que, al modificar dicha ley, el decreto-ley impugnado vulnera el Estatuto.</w:t>
      </w:r>
    </w:p>
    <w:p w:rsidR="005728DD" w:rsidRDefault="005728DD" w:rsidP="005728DD">
      <w:pPr>
        <w:pStyle w:val="TextoNormal"/>
      </w:pPr>
    </w:p>
    <w:p w:rsidR="005728DD" w:rsidRDefault="005728DD" w:rsidP="005728DD">
      <w:pPr>
        <w:pStyle w:val="TextoNormal"/>
      </w:pPr>
      <w:r>
        <w:t>El letrado de la Junta razona que la Ley 10/2014 regula dos fondos de naturaleza diferente y que solo el Fondo de participación responde a una auténtica participación en ingresos autonómicos, mientras que el Fondo de cooperación es una subvención, que solo se vincula a los ingresos autonómicos en el sentido genérico de que se financia con los ingresos generales del presupuesto autonómico (fundamentalmente, tributos cedidos y transferencias del Estado). A su juicio, la reserva de ley de Cortes que establece el art. 55.3 EACL se ciñe solo al primero, de modo que el uso del decreto-ley sí estaría permitido para regular el segundo. Y respecto al único aspecto del Fondo de participación que modifica el Decreto-ley (el momento temporal de pago a los municipios de menos de 1000 habitantes), concluye que los recurrentes no formulan ningún reproche constitucional. En todo caso —aclara— es un mero aspecto de gestión económica que no afecta realmente a la regulación de dicho fondo.</w:t>
      </w:r>
    </w:p>
    <w:p w:rsidR="005728DD" w:rsidRDefault="005728DD" w:rsidP="005728DD">
      <w:pPr>
        <w:pStyle w:val="TextoNormal"/>
      </w:pPr>
    </w:p>
    <w:p w:rsidR="005728DD" w:rsidRDefault="005728DD" w:rsidP="005728DD">
      <w:pPr>
        <w:pStyle w:val="TextoNormal"/>
      </w:pPr>
      <w:r>
        <w:t>b) Un examen de las normas en liza corrobora la interpretación que postula el gobierno autonómico.</w:t>
      </w:r>
    </w:p>
    <w:p w:rsidR="005728DD" w:rsidRDefault="005728DD" w:rsidP="005728DD">
      <w:pPr>
        <w:pStyle w:val="TextoNormal"/>
      </w:pPr>
    </w:p>
    <w:p w:rsidR="005728DD" w:rsidRDefault="005728DD" w:rsidP="005728DD">
      <w:pPr>
        <w:pStyle w:val="TextoNormal"/>
      </w:pPr>
      <w:r>
        <w:t>Los razonamientos de los recurrentes van dirigidos en exclusiva contra la ampliación de la condicionalidad del Fondo de cooperación mediante la modificación del art. 10 de la Ley, precepto al que se ciñe la solicitud subsidiaria en caso de no estimarse la impugnación global por incumplimiento del presupuesto habilitante. Así lo confirma también el pasaje de la demanda según el cual “la importancia de la modificación no es pequeña, aunque se trate tan solo del art. 10 de la Ley 10/2014” (pág. 58), habiendo afirmado previamente que “los nuevos plazos de pago sí podrían ser razonables” (pág. 47).</w:t>
      </w:r>
    </w:p>
    <w:p w:rsidR="005728DD" w:rsidRDefault="005728DD" w:rsidP="005728DD">
      <w:pPr>
        <w:pStyle w:val="TextoNormal"/>
      </w:pPr>
    </w:p>
    <w:p w:rsidR="005728DD" w:rsidRDefault="005728DD" w:rsidP="005728DD">
      <w:pPr>
        <w:pStyle w:val="TextoNormal"/>
      </w:pPr>
      <w:r>
        <w:t>Así pues, la vulneración estatutaria no se imputa al adelantamiento del pago del Fondo de participación a los municipios de menos de 1000 habitantes (art. 7 de la Ley 10/2014), único aspecto del mismo afectado por el Decreto-ley 6/2020. Y aunque se interpretara lo contrario, la impugnación estaría huérfana del más mínimo argumento que permita valorar si el cambio en el momento del pago conlleva regular “los términos” de la participación en el sentido del Estatuto, incumpliendo con ello la carga que incumbe a los recurrentes, según nuestra consolidada doctrina [STC 82/2020, de 15 de julio, FJ 7 a), por todas].</w:t>
      </w:r>
    </w:p>
    <w:p w:rsidR="005728DD" w:rsidRDefault="005728DD" w:rsidP="005728DD">
      <w:pPr>
        <w:pStyle w:val="TextoNormal"/>
      </w:pPr>
    </w:p>
    <w:p w:rsidR="005728DD" w:rsidRDefault="005728DD" w:rsidP="005728DD">
      <w:pPr>
        <w:pStyle w:val="TextoNormal"/>
      </w:pPr>
      <w:r>
        <w:t>Centrado el objeto de la impugnación, constatamos que la Ley 10/2014 tiene un contenido más amplio que el que le atribuyen los recurrentes. Por un lado, su título I contiene normas que afectan a diversos ingresos tributarios de la comunidad autónoma. Por otro, el título II aborda la financiación de las entidades locales con cargo a recursos autonómicos, distinguiendo los dos fondos ya conocidos: el de participación en los impuestos propios (capítulo II) y el de cooperación económica local general (capítulo III). A lo anterior se suman siete disposiciones adicionales y quince finales, mediante las que se introducen numerosas y variadas modificaciones en el ordenamiento autonómico.</w:t>
      </w:r>
    </w:p>
    <w:p w:rsidR="005728DD" w:rsidRDefault="005728DD" w:rsidP="005728DD">
      <w:pPr>
        <w:pStyle w:val="TextoNormal"/>
      </w:pPr>
    </w:p>
    <w:p w:rsidR="005728DD" w:rsidRDefault="005728DD" w:rsidP="005728DD">
      <w:pPr>
        <w:pStyle w:val="TextoNormal"/>
      </w:pPr>
      <w:r>
        <w:t>Este tribunal considera que, de los dos fondos indicados, solo el primero responde al mandato del art. 55.3 EACL de que por una ley de Cortes se podrán regular los términos en los que las entidades locales participen en los ingresos de la comunidad autónoma. Y ello con base en las razones siguientes:</w:t>
      </w:r>
    </w:p>
    <w:p w:rsidR="005728DD" w:rsidRDefault="005728DD" w:rsidP="005728DD">
      <w:pPr>
        <w:pStyle w:val="TextoNormal"/>
      </w:pPr>
    </w:p>
    <w:p w:rsidR="005728DD" w:rsidRDefault="005728DD" w:rsidP="005728DD">
      <w:pPr>
        <w:pStyle w:val="TextoNormal"/>
      </w:pPr>
      <w:r>
        <w:t>i) El art. 5 de la ley dispone que el Fondo de participación:</w:t>
      </w:r>
    </w:p>
    <w:p w:rsidR="005728DD" w:rsidRDefault="005728DD" w:rsidP="005728DD">
      <w:pPr>
        <w:pStyle w:val="TextoNormal"/>
      </w:pPr>
    </w:p>
    <w:p w:rsidR="005728DD" w:rsidRDefault="005728DD" w:rsidP="005728DD">
      <w:pPr>
        <w:pStyle w:val="TextoNormal"/>
      </w:pPr>
      <w:r>
        <w:lastRenderedPageBreak/>
        <w:t>“[S]e dotará cada año con una cantidad equivalente a un 20 por 100 de la recaudación por los impuestos propios del último ejercicio cerrado a la fecha de elaboración de los presupuestos de la Comunidad Autónoma. A estos efectos, se entienden por impuestos propios los establecidos por la propia Comunidad Autónoma, dentro de los márgenes regulados en el artículo 9 de la Ley Orgánica 8/1980, de 22 de septiembre, de financiación de las comunidades autónomas [LOFCA], y que actualmente son: a) El impuesto sobre la afección medioambiental causada por determinados aprovechamientos del agua embalsada, por los parques eólicos y por las instalaciones de transporte de energía eléctrica de alta tensión. b) El impuesto sobre la eliminación de residuos en vertederos”.</w:t>
      </w:r>
    </w:p>
    <w:p w:rsidR="005728DD" w:rsidRDefault="005728DD" w:rsidP="005728DD">
      <w:pPr>
        <w:pStyle w:val="TextoNormal"/>
      </w:pPr>
    </w:p>
    <w:p w:rsidR="005728DD" w:rsidRDefault="005728DD" w:rsidP="005728DD">
      <w:pPr>
        <w:pStyle w:val="TextoNormal"/>
      </w:pPr>
      <w:r>
        <w:t xml:space="preserve">Así pues, se trata de una auténtica “participación” —y de ahí la denominación que le da la ley— en la recaudación de tributos propios de la comunidad autónoma. Estos tributos devienen así en “coparticipados” entre la comunidad autónoma y las entidades locales, en cumplimiento del art. 142 CE que prevé que estas “se nutrirán fundamentalmente de </w:t>
      </w:r>
      <w:r w:rsidRPr="005728DD">
        <w:rPr>
          <w:i/>
        </w:rPr>
        <w:t>tributos</w:t>
      </w:r>
      <w:r>
        <w:t xml:space="preserve"> propios y participación en los del Estado </w:t>
      </w:r>
      <w:r w:rsidRPr="005728DD">
        <w:rPr>
          <w:i/>
        </w:rPr>
        <w:t>y de las Comunidades Autónomas</w:t>
      </w:r>
      <w:r>
        <w:t>”.</w:t>
      </w:r>
    </w:p>
    <w:p w:rsidR="005728DD" w:rsidRDefault="005728DD" w:rsidP="005728DD">
      <w:pPr>
        <w:pStyle w:val="TextoNormal"/>
      </w:pPr>
    </w:p>
    <w:p w:rsidR="005728DD" w:rsidRDefault="005728DD" w:rsidP="005728DD">
      <w:pPr>
        <w:pStyle w:val="TextoNormal"/>
      </w:pPr>
      <w:r>
        <w:t>Lo que reciban las entidades locales en cada ejercicio por este fondo dependerá directamente de lo que se recaude por los tributos “participados”, sin que se les garantice un mínimo, lo que resulta coherente con el principio de “corresponsabilidad fiscal” (por todas, SSTC 289/2000, de 30 de noviembre, FJ 3, y 65/2020, de 18 de junio, FJ 4).</w:t>
      </w:r>
    </w:p>
    <w:p w:rsidR="005728DD" w:rsidRDefault="005728DD" w:rsidP="005728DD">
      <w:pPr>
        <w:pStyle w:val="TextoNormal"/>
      </w:pPr>
    </w:p>
    <w:p w:rsidR="005728DD" w:rsidRDefault="005728DD" w:rsidP="005728DD">
      <w:pPr>
        <w:pStyle w:val="TextoNormal"/>
      </w:pPr>
      <w:r>
        <w:t>ii) Por el contrario, el segundo fondo, que se llama “de cooperación” y no de “participación”, se dota cada año en el presupuesto autonómico con un importe global, conforme prevé el art. 8 de la Ley 10/2014. En concreto, el art. 8.1 fija una cantidad de partida para el año base 2015 y a partir de ahí evolucionará los años siguientes conforme lo haga el presupuesto de ingresos no financieros de la comunidad autónoma, garantizándose que “la cuantía global del Fondo de cooperación económica local general de los ejercicios posteriores no podrá ser inferior, en ningún caso, a la presupuestada para 2015” (art. 8.2).</w:t>
      </w:r>
    </w:p>
    <w:p w:rsidR="005728DD" w:rsidRDefault="005728DD" w:rsidP="005728DD">
      <w:pPr>
        <w:pStyle w:val="TextoNormal"/>
      </w:pPr>
    </w:p>
    <w:p w:rsidR="005728DD" w:rsidRDefault="005728DD" w:rsidP="005728DD">
      <w:pPr>
        <w:pStyle w:val="TextoNormal"/>
      </w:pPr>
      <w:r>
        <w:t>La única conexión de este fondo con los ingresos autonómicos es que se sostiene gracias a ellos, como cualquier otro gasto de la comunidad autónoma, pero, vista su forma de cuantificación inicial y su evolución en el tiempo, no constituye una “participación” en el sentido del art. 55.3 EACL. Este precepto se debe interpretar conforme al art. 142 CE, referido a la participación en los tributos “de las Comunidades Autónomas”, cualidad que solo tienen los tributos propios establecidos por el legislador autonómico dentro de los márgenes de la LOFCA, no el resto de ingresos autonómicos.</w:t>
      </w:r>
    </w:p>
    <w:p w:rsidR="005728DD" w:rsidRDefault="005728DD" w:rsidP="005728DD">
      <w:pPr>
        <w:pStyle w:val="TextoNormal"/>
      </w:pPr>
    </w:p>
    <w:p w:rsidR="005728DD" w:rsidRDefault="005728DD" w:rsidP="005728DD">
      <w:pPr>
        <w:pStyle w:val="TextoNormal"/>
      </w:pPr>
      <w:r>
        <w:t>Como aduce el letrado autonómico, este fondo tiene los rasgos propios de las subvenciones, y así lo confirma la Ley 5/2008, de 25 de septiembre, de subvenciones de Castilla y León (disposición adicional cuarta), al referirse a la “cooperación económica local general”.</w:t>
      </w:r>
    </w:p>
    <w:p w:rsidR="005728DD" w:rsidRDefault="005728DD" w:rsidP="005728DD">
      <w:pPr>
        <w:pStyle w:val="TextoNormal"/>
      </w:pPr>
    </w:p>
    <w:p w:rsidR="005728DD" w:rsidRDefault="005728DD" w:rsidP="005728DD">
      <w:pPr>
        <w:pStyle w:val="TextoNormal"/>
      </w:pPr>
      <w:r>
        <w:t>En consecuencia, la modificación que introduce el Decreto-ley 6/2020 en las reglas de condicionalidad, al no referirse al Fondo de participación sino únicamente al de cooperación, no incumple el límite material fijado por el art. 25.4, en conexión con el art. 55.3 EACL. Debe, por ello, desestimarse este motivo de impugnación y con ello la totalidad del recurso.</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presente recurso de inconstitucionalidad.</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febrero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4" w:name="SENTENCIA_2021_41"/>
      <w:r>
        <w:lastRenderedPageBreak/>
        <w:t>SENTENCIA 41/2021, de 3 de marzo de 2021</w:t>
      </w:r>
    </w:p>
    <w:bookmarkEnd w:id="44"/>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ECLI:ES:TC:2021:41</w:t>
      </w:r>
    </w:p>
    <w:p w:rsidR="005728DD" w:rsidRDefault="005728DD" w:rsidP="005728DD">
      <w:pPr>
        <w:pStyle w:val="TextoNormalCentrado"/>
      </w:pPr>
    </w:p>
    <w:p w:rsidR="005728DD" w:rsidRDefault="005728DD" w:rsidP="005728DD">
      <w:pPr>
        <w:pStyle w:val="SntesisDescriptiva"/>
      </w:pPr>
      <w:r>
        <w:t>Recurso de amparo 1128-2018. Promovido por don Gerardo González León en relación con las resoluciones dictadas por las salas de lo contencioso-administrativo del Tribunal Supremo y de la Audiencia Nacional en procedimiento por responsabilidad patrimonial de la administración de Justicia.</w:t>
      </w:r>
    </w:p>
    <w:p w:rsidR="005728DD" w:rsidRDefault="005728DD" w:rsidP="005728DD">
      <w:pPr>
        <w:pStyle w:val="SntesisDescriptiva"/>
      </w:pPr>
    </w:p>
    <w:p w:rsidR="005728DD" w:rsidRDefault="005728DD" w:rsidP="005728DD">
      <w:pPr>
        <w:pStyle w:val="SntesisAnaltica"/>
      </w:pPr>
      <w:r>
        <w:t>Vulneración de los derechos a la igualdad y a la presunción de inocencia: STC 125/2019 (denegación de indemnización resultante de la aplicación del precepto legal anulado por la STC 85/2019, de 19 de junio).</w:t>
      </w:r>
    </w:p>
    <w:p w:rsidR="005728DD" w:rsidRDefault="005728DD" w:rsidP="005728DD">
      <w:pPr>
        <w:pStyle w:val="SntesisAnaltica"/>
      </w:pPr>
    </w:p>
    <w:p w:rsidR="005728DD" w:rsidRDefault="005728DD" w:rsidP="005728DD">
      <w:pPr>
        <w:pStyle w:val="Extracto"/>
      </w:pPr>
      <w:r>
        <w:t>1.</w:t>
      </w:r>
      <w:r>
        <w:tab/>
        <w:t>Aplicación de doctrina sobre indemnización por responsabilidad patrimonial de la Administración de Justicia en casos de prisión provisional seguida de absolución (SSTC 85/2019 y 125/2019) [FFJJ 2 y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1128-2018, promovido por don Gerardo González León, representado por la procuradora de los tribunales doña Rosa María del Pardo Moreno y asistido por la letrada doña Eva María Fernández Moray, contra las siguientes resoluciones: la resolución de la secretaria de Estado de Justicia, de fecha 3 de septiembre de 2014 (expediente núm. 361-2013), que denegó la reclamación de responsabilidad patrimonial del Estado formulada por el recurrente, por el tiempo que estuvo en prisión provisional; la sentencia de 3 de marzo de 2016, de la Sección Tercera de Sala de lo Contencioso-Administrativo de la Audiencia Nacional, que desestimó el recurso contencioso-administrativo núm. 242-2014, que fue interpuesto frente a la resolución de la secretaria administrativa antes indicada; la sentencia núm. 36/2018, dictada por la Sección Quinta de la Sala de lo Contencioso-Administrativo del Tribunal Supremo, de fecha 16 de enero de 2018, que declaró no haber lugar al recurso de casación para la unificación de doctrina núm. 2282-2016, interpuesto contra la sentencia identificada en primer lugar. Han intervenido la Abogacía del Estado y el Ministerio Fiscal.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1 de marzo de 2018, la procuradora de los tribunales doña Rosa María del Pardo Moreno, en nombre y representación de don Gerardo González León, interpuso recurso de amparo contra las resoluciones que se mencionan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y antecedentes procesales de los que trae causa la demanda de amparo son, en síntesis, los siguientes:</w:t>
      </w:r>
    </w:p>
    <w:p w:rsidR="005728DD" w:rsidRDefault="005728DD" w:rsidP="005728DD">
      <w:pPr>
        <w:pStyle w:val="TextoNormal"/>
      </w:pPr>
    </w:p>
    <w:p w:rsidR="005728DD" w:rsidRDefault="005728DD" w:rsidP="005728DD">
      <w:pPr>
        <w:pStyle w:val="TextoNormal"/>
      </w:pPr>
      <w:r>
        <w:t>a) El Juzgado de Instrucción núm. 4 de Torremolinos incoó las diligencias previas núm. 1538-2005, ulteriormente transformadas en el procedimiento del Tribunal del Jurado 1-2012, por la presunta comisión de un delito de homicidio. En el curso del referido procedimiento se acordó la prisión provisional del demandante de amparo, por auto de fecha 15 de julio de 2005, situación en la que permaneció hasta el día 26 de junio de 2006, data en la que se acordó su libertad provisional tras la prestación de la fianza establecida.</w:t>
      </w:r>
    </w:p>
    <w:p w:rsidR="005728DD" w:rsidRDefault="005728DD" w:rsidP="005728DD">
      <w:pPr>
        <w:pStyle w:val="TextoNormal"/>
      </w:pPr>
    </w:p>
    <w:p w:rsidR="005728DD" w:rsidRDefault="005728DD" w:rsidP="005728DD">
      <w:pPr>
        <w:pStyle w:val="TextoNormal"/>
      </w:pPr>
      <w:r>
        <w:t>b) Por auto de fecha 6 de junio de 2012, el órgano judicial indicado dispuso “el sobreseimiento provisional y archivo de las presentes actuaciones por falta de autor conocido de los hechos, de conformidad con el art. 641.2 LECrim”. Una vez finalizada la investigación procesal, en el fundamento jurídico segundo del indicado auto, el órgano judicial analizó detalladamente el potencial incriminatorio de los indicios inicialmente tenidos en cuenta para dirigir el procedimiento contra el demandante de amparo; y de consuno con lo interesado por el fiscal, concluyó que “no existe fundamento suficiente para sostener la acusación contra el imputado”.</w:t>
      </w:r>
    </w:p>
    <w:p w:rsidR="005728DD" w:rsidRDefault="005728DD" w:rsidP="005728DD">
      <w:pPr>
        <w:pStyle w:val="TextoNormal"/>
      </w:pPr>
    </w:p>
    <w:p w:rsidR="005728DD" w:rsidRDefault="005728DD" w:rsidP="005728DD">
      <w:pPr>
        <w:pStyle w:val="TextoNormal"/>
      </w:pPr>
      <w:r>
        <w:t>c) En fecha 6 de junio de 2013, el recurrente formuló reclamación de responsabilidad patrimonial por importe de 300 000 €, por el tiempo en que estuvo en situación de prisión provisional, concretamente, 346 días. Dicha solicitud dio lugar a la incoación del expediente de responsabilidad patrimonial núm. 361-2013.</w:t>
      </w:r>
    </w:p>
    <w:p w:rsidR="005728DD" w:rsidRDefault="005728DD" w:rsidP="005728DD">
      <w:pPr>
        <w:pStyle w:val="TextoNormal"/>
      </w:pPr>
    </w:p>
    <w:p w:rsidR="005728DD" w:rsidRDefault="005728DD" w:rsidP="005728DD">
      <w:pPr>
        <w:pStyle w:val="TextoNormal"/>
      </w:pPr>
      <w:r>
        <w:t>d) Por resolución del secretario de Estado de Justicia, de fecha 3 de septiembre de 2014, se acordó, de conformidad con el dictamen del Consejo de Estado, desestimar la reclamación de indemnización formulada por el recurrente. En síntesis, la desestimación se fundó en los siguientes motivos: i) que en el procedimiento penal “no se dictó sentencia absolutoria ni auto de sobreseimiento libre, sino acto de sobreseimiento provisional, sin que conste que el interesado haya solicitado y haya obtenido que se dicte el sobreseimiento libre respecto de su persona”; ii) que el razonamiento que lleva a acordar el sobreseimiento “evidencia que ese sobreseimiento no se basó en la inexistencia del hecho imputado, sino, expresamente, en la insuficiencia de fundamentos suficientes para sostener la acusación contra el imputado”.</w:t>
      </w:r>
    </w:p>
    <w:p w:rsidR="005728DD" w:rsidRDefault="005728DD" w:rsidP="005728DD">
      <w:pPr>
        <w:pStyle w:val="TextoNormal"/>
      </w:pPr>
    </w:p>
    <w:p w:rsidR="005728DD" w:rsidRDefault="005728DD" w:rsidP="005728DD">
      <w:pPr>
        <w:pStyle w:val="TextoNormal"/>
      </w:pPr>
      <w:r>
        <w:t xml:space="preserve">e) Disconforme con lo resuelto, el demandante interpuso recurso contencioso-administrativo, que dio lugar a la incoación del procedimiento ordinario núm. 242-2014, de la Sección Tercera de la Sala de lo Contencioso-Administrativo de la Audiencia Nacional. Por sentencia de fecha 3 de marzo de 2016, el órgano judicial desestimó la pretensión del demandante de amparo. El fundamento jurídico tercero expresa cuál es el contenido y alcance </w:t>
      </w:r>
      <w:r>
        <w:lastRenderedPageBreak/>
        <w:t>que se confiere al término “inexistencia del hecho imputado” que figuraba en la anterior redacción art. 294.1 de la Ley Orgánica del Poder Judicial (LOPJ).</w:t>
      </w:r>
    </w:p>
    <w:p w:rsidR="005728DD" w:rsidRDefault="005728DD" w:rsidP="005728DD">
      <w:pPr>
        <w:pStyle w:val="TextoNormal"/>
      </w:pPr>
    </w:p>
    <w:p w:rsidR="005728DD" w:rsidRDefault="005728DD" w:rsidP="005728DD">
      <w:pPr>
        <w:pStyle w:val="TextoNormal"/>
      </w:pPr>
      <w:r>
        <w:t xml:space="preserve">«[E]l supuesto contemplado en el artículo 294 de la LOPJ se limita, de acuerdo con la interpretación restrictiva imperante, a aquellos de inexistencia objetiva del hecho imputado —no existe tal hecho— o bien los supuesto de atipicidad, tal y como ha recogido la última Jurisprudencia (a partir de las sentencias del Tribunal Europeo de Derechos Humanos de 25 de abril de 2006, asunto </w:t>
      </w:r>
      <w:r w:rsidRPr="005728DD">
        <w:rPr>
          <w:i/>
        </w:rPr>
        <w:t>Panella c. España</w:t>
      </w:r>
      <w:r>
        <w:t xml:space="preserve">, núm. 1483/2002, y posteriormente la de 13 de julio de 2010, asunto </w:t>
      </w:r>
      <w:r w:rsidRPr="005728DD">
        <w:rPr>
          <w:i/>
        </w:rPr>
        <w:t>Tendam c. España</w:t>
      </w:r>
      <w:r>
        <w:t>, núm. 25720/2005). La interpretación vigente hasta entonces recogía en el marco del precepto tanto los supuestos de inexistencia objetiva como los de inexistencia subjetiva (falta de participación); pero tal interpretación es abandonada a raíz de las mencionadas sentencias, plasmándose en las pronunciadas por el Tribunal Supremo el 23 de noviembre de 2010, recurso 1908-2006 y 4288-2006.</w:t>
      </w:r>
    </w:p>
    <w:p w:rsidR="005728DD" w:rsidRDefault="005728DD" w:rsidP="005728DD">
      <w:pPr>
        <w:pStyle w:val="TextoNormal"/>
      </w:pPr>
    </w:p>
    <w:p w:rsidR="005728DD" w:rsidRDefault="005728DD" w:rsidP="005728DD">
      <w:pPr>
        <w:pStyle w:val="TextoNormal"/>
      </w:pPr>
      <w:r>
        <w:t>Dicha doctrina ha sido reiterada, en sentencia de 21 de mayo de 2012, recurso 4357-2010, entre otras, en la que se afirma que: “Pues bien, siendo clara la improcedencia de una interpretación del precepto como título de imputación de responsabilidad patrimonial en todo supuesto de prisión preventiva seguida de una sentencia absolutoria o auto de sobreseimiento libre y descartada la posibilidad de argumentar sobre la inexistencia subjetiva, en cuanto ello supone atender a la participación del imputado en la realización del hecho delictivo, poniendo en cuestión, en los términos que indica el Tribunal Europeo de Derechos Humanos en las citadas sentencias, el derecho a la presunción de inocencia y el respeto debido a la previa declaración absolutoria, que debe ser respetada por toda autoridad judicial, sean cuales sean los motivos referidos por el juez penal, en esta situación decimos, no se ofrece a la Sala otra solución que la de abandonar aquella interpretación extensiva del art. 294.1 LOPJ y acudir a una interpretación estricta del mismo, en el sentido literal de sus términos, limitando su ámbito a los supuestos de reclamación de responsabilidad patrimonial con apoyo en sentencia absolutoria o auto de sobreseimiento libre ‘por inexistencia del hecho imputado’, es decir, cuando tal pronunciamiento se produzca porque objetivamente el hecho delictivo ha resultado inexistente, entendida tal inexistencia objetiva en los términos que se han indicado por la jurisprudencia de esta Sala, que supone la ausencia del presupuesto de toda imputación, cualesquiera que sean las razones a las que atienda el Juez penal [...]”».</w:t>
      </w:r>
    </w:p>
    <w:p w:rsidR="005728DD" w:rsidRDefault="005728DD" w:rsidP="005728DD">
      <w:pPr>
        <w:pStyle w:val="TextoNormal"/>
      </w:pPr>
    </w:p>
    <w:p w:rsidR="005728DD" w:rsidRDefault="005728DD" w:rsidP="005728DD">
      <w:pPr>
        <w:pStyle w:val="TextoNormal"/>
      </w:pPr>
      <w:r>
        <w:t>Y en el fundamento jurídico cuarto se razona específicamente sobre la resolución que, en el presente caso, puso fin a la vía penal:</w:t>
      </w:r>
    </w:p>
    <w:p w:rsidR="005728DD" w:rsidRDefault="005728DD" w:rsidP="005728DD">
      <w:pPr>
        <w:pStyle w:val="TextoNormal"/>
      </w:pPr>
    </w:p>
    <w:p w:rsidR="005728DD" w:rsidRDefault="005728DD" w:rsidP="005728DD">
      <w:pPr>
        <w:pStyle w:val="TextoNormal"/>
      </w:pPr>
      <w:r>
        <w:t xml:space="preserve">“En este caso, el auto de sobreseimiento se dictó al amparo del artículo 641.2 de la Ley de Enjuiciamiento Criminal (sobreseimiento provisional ‘cuando resulte del sumario haberse cometido un delito y no haya motivos suficientes para acusar a determinada o determinadas personas como autores, cómplices o encubridores’). El instructor razona que ‘el Ministerio Fiscal ha interesado el archivo de las actuaciones por considerar que no existen indicios suficientes para imputar al acusado del delito de homicidio/asesinato que es objeto de procedimiento’; ‘los indicios existentes contra el imputado son insuficientes para sostener la acusación frente a él. Sin perjuicio de que en su momento todos los indicios apuntaban a su autoría, habida cuenta de las exposiciones policiales ciertamente razonables por otra parte, lo cierto es que habiéndose concluido todas las diligencias acordadas en su momento </w:t>
      </w:r>
      <w:r>
        <w:lastRenderedPageBreak/>
        <w:t>y habiendo hecho un examen y estudio de los actuado, este magistrado comparte la conclusión a la que llega el Ministerio Fiscal por las siguientes razones’. Y a continuación analiza las diferentes pruebas y vestigios existentes, para concluir que no existe fundamento suficiente para sostener la acusación.</w:t>
      </w:r>
    </w:p>
    <w:p w:rsidR="005728DD" w:rsidRDefault="005728DD" w:rsidP="005728DD">
      <w:pPr>
        <w:pStyle w:val="TextoNormal"/>
      </w:pPr>
    </w:p>
    <w:p w:rsidR="005728DD" w:rsidRDefault="005728DD" w:rsidP="005728DD">
      <w:pPr>
        <w:pStyle w:val="TextoNormal"/>
      </w:pPr>
      <w:r>
        <w:t>Por lo tanto, aun cuando atendamos al verdadero significado del auto, conforme venimos haciendo en línea con las exigencias de la doctrina del Tribunal Supremo, el fundamento del mismo no es que no hayan existido los hechos, sino que las pruebas no arrojan indicios con suficiente contundencia como para mantener la acusación contra quien venía siendo imputado. El archivo de la causa se plantea en términos de suficiencia probatoria no de ausencia o atipicidad de los hechos. Y por consiguiente teniendo en cuenta el título de imputación —artículo 294.1 LOPJ— la sentencia no puede ser sino confirmatoria de la resolución denegatoria de la reclamación, por ser la misma conforme a derecho y a la interpretación correcta de la norma”.</w:t>
      </w:r>
    </w:p>
    <w:p w:rsidR="005728DD" w:rsidRDefault="005728DD" w:rsidP="005728DD">
      <w:pPr>
        <w:pStyle w:val="TextoNormal"/>
      </w:pPr>
    </w:p>
    <w:p w:rsidR="005728DD" w:rsidRDefault="005728DD" w:rsidP="005728DD">
      <w:pPr>
        <w:pStyle w:val="TextoNormal"/>
      </w:pPr>
      <w:r>
        <w:t>f) El demandante interpuso recurso de casación para la unificación de doctrina contra la sentencia antes mencionada, que fue desestimado por sentencia de la Sección Quinta de la Sala de lo Contencioso- Administrativo del Tribunal Supremo, de fecha 16 de enero de 2018 (recurso núm. 2282-2016), al no apreciar la contradicción exigida entre las sentencias contrastadas en el recurso.</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se alega la vulneración del derecho a la presunción de inocencia reconocida en el art. 24.2 CE. Tras resumir los aspectos más relevantes de la reclamación de responsabilidad patrimonial que le fue desestimada y transcribir parte de la fundamentación jurídica de la sentencia recaída en la instancia, el recurrente funda la lesión en el hecho de que su pretensión fuera desestimada porque el sobreseimiento provisional acordado no se basó en la inexistencia del hecho imputado, sino en una valoración sobre la insuficiencia de la prueba. Y esa motivación, afirma, cuestiona y pone en duda su inocencia.</w:t>
      </w:r>
    </w:p>
    <w:p w:rsidR="005728DD" w:rsidRDefault="005728DD" w:rsidP="005728DD">
      <w:pPr>
        <w:pStyle w:val="TextoNormal"/>
      </w:pPr>
    </w:p>
    <w:p w:rsidR="005728DD" w:rsidRDefault="005728DD" w:rsidP="005728DD">
      <w:pPr>
        <w:pStyle w:val="TextoNormal"/>
      </w:pPr>
      <w:r>
        <w:t>Trae a colación las SSTC 8/2017, de 19 de enero, y 10/2017, de 30 de enero, pues considera que las resoluciones impugnadas contravienen la doctrina establecida en esas sentencias, al suscitar dudas sobre inocencia del demandante de amparo. Por ello, afirma que aquellas deben ser anuladas y sustituidas por otras que sean compatibles con el derecho a la presunción de inocencia. También refiere que, conforme a la doctrina asentada por el Tribunal Europeo de Derechos Humanos, se menosprecia la presunción de inocencia si una decisión judicial refleja la sensación de que el afectado es culpable, cuando su culpabilidad no ha sido previamente establecida.</w:t>
      </w:r>
    </w:p>
    <w:p w:rsidR="005728DD" w:rsidRDefault="005728DD" w:rsidP="005728DD">
      <w:pPr>
        <w:pStyle w:val="TextoNormal"/>
      </w:pPr>
    </w:p>
    <w:p w:rsidR="005728DD" w:rsidRDefault="005728DD" w:rsidP="005728DD">
      <w:pPr>
        <w:pStyle w:val="TextoNormal"/>
      </w:pPr>
      <w:r>
        <w:t>Por todo lo expuesto, interesa que se reconozca la vulneración del referido derecho fundamental; que se declare la nulidad de las sentencias judiciales y de la resolución dictada por el secretario de Estado de Justica; y que se retrotraigan las actuaciones al momento de dictar esta última resolución, para que se resuelva nuevamente sobre la reclamación de responsabilidad patrimonial de conformidad con el derecho que ha sido vulnerado.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Por providencia de fecha 15 de octubre de 2020, la Sección Tercera de este tribunal acordó admitir a trámite el presente recurso, al apreciar que concurre en el mismo una especial trascendencia constitucional [art. 50.1 de la Ley Orgánica del Tribunal Constitucional </w:t>
      </w:r>
      <w:r>
        <w:lastRenderedPageBreak/>
        <w:t>(LOTC)], ya que el recurso plantea un problema o afecta a una faceta de un derecho fundamental sobre el que no hay doctrina de este tribunal [STC 155/2009, FJ 2 a)] y porque la posible vulneración del derecho fundamental que se denuncia pudiera provenir de la ley o de otra disposición de carácter general [STC 155/2009, FJ 2 c)].</w:t>
      </w:r>
    </w:p>
    <w:p w:rsidR="005728DD" w:rsidRDefault="005728DD" w:rsidP="005728DD">
      <w:pPr>
        <w:pStyle w:val="TextoNormal"/>
      </w:pPr>
    </w:p>
    <w:p w:rsidR="005728DD" w:rsidRDefault="005728DD" w:rsidP="005728DD">
      <w:pPr>
        <w:pStyle w:val="TextoNormal"/>
      </w:pPr>
      <w:r>
        <w:t>En aplicación de lo dispuesto en el art. 51 LOTC, se resolvió dirigir atenta comunicación a la Sección Quinta de Sala de lo Contencioso-Administrativo del Tribunal Supremo, a fin de que, en plazo que no exceda de diez días, remita certificación o fotocopia adverada de las actuaciones correspondientes al recurso núm. 2282-2016. Al haberse remitido previamente testimonio del procedimiento ordinario núm. 242-2014, solamente se dispuso remitir atenta comunicación a la Sección Tercera de la Sala de lo Contencioso-Administrativo de la Audiencia Nacional, a fin de que, en plazo que no exceda de diez días, emplace a quienes hubieran sido parte en el citado procedimiento, excepto la parte recurrente en amparo, para que, dentro del término de diez días puedan comparecer, si lo desean,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En fecha 4 de noviembre de 2020, la Abogacía del Estado interesó que se la tuviera por personada y parte en el presente procedimiento.</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la Secretaria de Justicia de la Sección Tercera de este tribunal, de fecha 17 de diciembre de 2020, se acordó tener por personado y parte en el procedimiento a la Abogacía del Estado. También se dispuso dar vista de las actuaciones recibidas a las partes personadas y al Ministerio Fiscal por plazo común de veinte días, dentro de los cuales podrán presentar las alegaciones que estimasen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28 de enero de 2021 presentó sus alegaciones el fiscal. Tras compendiar los antecedentes que estimó de interés y el contenido de la demanda, trae a colación la doctrina establecida por el Pleno de este tribunal en los fundamentos jurídicos 4 y 5 de la STC 125/2019, de 31 de octubre, en los que se determinaron los efectos que sobre el recurso de amparo debía producir la STC 85/2019, que declaró la inconstitucionalidad de los incisos “inexistencia del hecho imputado” y “por esta misma causa” del art. 294.1 LOPJ y se concretó el alcance que la estimación del amparo debía producir. En consecuencia, el fiscal estima que procede otorgar el amparo y reconocer el derecho del recurrente a que la decisión sobre su solicitud de indemnización se adopte, en cuanto a sus criterios rectores, de acuerdo con las exigencias constitucionales del art. 14 CE y del art. 24.2 CE señaladas en las SSTC 85/2019 y 125/2019.</w:t>
      </w:r>
    </w:p>
    <w:p w:rsidR="005728DD" w:rsidRDefault="005728DD" w:rsidP="005728DD">
      <w:pPr>
        <w:pStyle w:val="TextoNormal"/>
      </w:pPr>
    </w:p>
    <w:p w:rsidR="005728DD" w:rsidRDefault="005728DD" w:rsidP="005728DD">
      <w:pPr>
        <w:pStyle w:val="TextoNormal"/>
      </w:pPr>
      <w:r>
        <w:t xml:space="preserve">Por último sostiene que, si bien de la literalidad del precepto depurado de su tacha de inconstitucionalidad, cabría entender que cuando el proceso penal concluya con un pronunciamiento de absolución o de sobreseimiento libre procederá la indemnización, no obstante señala que de lo establecido en la STC 85/2019 no se desprende, por sí solo, que el derecho a la indemnización sea automático, en tanto se acredite por el solicitante el tiempo pasado en prisión. Sobre ese aspecto, refiere que deberán aplicarse los criterios propios del derecho general de daños (como puede ser la </w:t>
      </w:r>
      <w:r w:rsidRPr="005728DD">
        <w:rPr>
          <w:i/>
        </w:rPr>
        <w:t>compensatio lucri cum damno</w:t>
      </w:r>
      <w:r>
        <w:t xml:space="preserve"> o la relevancia causal de la conducta de la propia víctima). Por ello, “también en el caso subyacente, cabría el juego de estos criterios de atemperación o incluso rechazo total o parcial tomando en cuenta </w:t>
      </w:r>
      <w:r>
        <w:lastRenderedPageBreak/>
        <w:t>las particulares circunstancias concurrentes que podrán valorar las autoridades administrativas y, en su caso, judiciales”. Por todo lo expuesto, el fiscal interesa que se declare vulnerado el derecho fundamental a la presunción de inocencia del recurrente (art. 24.2 CE); que se anulen las sentencias judiciales y la resolución de la secretaría de Estado de Justicia que denegó la reclamación de responsabilidad patrimonial formulada por el demandante; y que se retrotraigan las actuaciones al momento anterior al dictado de la resolución indicada, para que la administración resuelva la reclamación de responsabilidad patrimonial en términos respetuosos con el derecho fundamentales del demandante de amparo a la presunción de inocencia (art. 24.2 CE) y a la igualdad ( art. 14 CE).</w:t>
      </w:r>
    </w:p>
    <w:p w:rsidR="005728DD" w:rsidRDefault="005728DD" w:rsidP="005728DD">
      <w:pPr>
        <w:pStyle w:val="TextoNormal"/>
      </w:pPr>
    </w:p>
    <w:p w:rsidR="005728DD" w:rsidRDefault="005728DD" w:rsidP="005728DD">
      <w:pPr>
        <w:pStyle w:val="TextoNormal"/>
      </w:pPr>
      <w:r w:rsidRPr="005728DD">
        <w:rPr>
          <w:rStyle w:val="NumeroAFNegritaCaracter"/>
        </w:rPr>
        <w:t>8</w:t>
      </w:r>
      <w:r>
        <w:t>. El 29 de enero de 2021 presentó sus alegaciones la Abogacía del Estado. Tras resumir los antecedentes que consideró relevantes, puso de relieve la similitud del presente caso con los que dieron lugar a la SSTC 8/2017, de 19 de enero, y 10/2017, de 30 de enero, así como con el que suscitó la cuestión interna de inconstitucionalidad que fue resuelta por la STC 85/2019, de 19 de junio, en la que se declara la inconstitucionalidad y nulidad de los incisos del art. 294.1 “por inexistencia del hecho imputado” y “por esta misma causa”. Sin embargo, señala que en el presente supuesto concurre un aspecto diferencial, puesto que se acordó el sobreseimiento provisional y archivo de las actuaciones por falta de autor conocido. Ello supone, según afirma, la pendencia del proceso penal puesto que, a diferencia del sobreseimiento libre, que produce la terminación del procedimiento y el efecto de la cosa juzgada material, el sobreseimiento provisional solo supone la paralización del proceso.</w:t>
      </w:r>
    </w:p>
    <w:p w:rsidR="005728DD" w:rsidRDefault="005728DD" w:rsidP="005728DD">
      <w:pPr>
        <w:pStyle w:val="TextoNormal"/>
      </w:pPr>
    </w:p>
    <w:p w:rsidR="005728DD" w:rsidRDefault="005728DD" w:rsidP="005728DD">
      <w:pPr>
        <w:pStyle w:val="TextoNormal"/>
      </w:pPr>
      <w:r>
        <w:t>A continuación, recuerda que la STC 85/2019 no declaró inconstitucional la referencia al sobreseimiento libre que aparece en el art. 294.1 LOPJ. Por ello, en el presente supuesto no está en juego el derecho a la presunción de inocencia sino la concurrencia de los requisitos legales para que proceda reconocer el derecho al resarcimiento. Por tanto, hasta que no se convierta el sobreseimiento provisional en libre no cabría apreciar la vulneración del derecho a la presunción de inocencia con fundamento en la doctrina asentada en la STC 85/2019, por lo que procede desestimar el presente recurso.</w:t>
      </w:r>
    </w:p>
    <w:p w:rsidR="005728DD" w:rsidRDefault="005728DD" w:rsidP="005728DD">
      <w:pPr>
        <w:pStyle w:val="TextoNormal"/>
      </w:pPr>
    </w:p>
    <w:p w:rsidR="005728DD" w:rsidRDefault="005728DD" w:rsidP="005728DD">
      <w:pPr>
        <w:pStyle w:val="TextoNormal"/>
      </w:pPr>
      <w:r>
        <w:t>Subsidiariamente, la Abogacía del Estado afirma que la STC 85/2019 deja incólume la expresión del art. 294.1 “siempre que se le hayan irrogado perjuicios”. De esta constatación, deduce que la sola acreditación del tiempo pasado en prisión preventiva —seguida de absolución— no genera un derecho automático al resarcimiento, pues el interesado ha de probar los supuestos daños acaecidos, más allá solo del hecho de haber padecido prisión por un tiempo determinado, “de acuerdo con la aplicación de criterios propios del Derecho general de daños”, conforme a las razones asentadas en el fundamento jurídico 13 de la indicada sentencia. En aplicación de este principio, entiende la Abogacía del Estado que, en el presente caso, el recurrente solicita una indemnización, pero no acredita la hipotética correlación de los daños sufridos con la cantidad específica y concreta en la que los valora, pues se limita a pedir una cantidad en abstracto. Señala que a este tribunal no le corresponde “la determinación y valoración de la suficiencia de la prueba y de liquidación de los eventuales daños; máxime en tanto que en el caso concreto no se han acreditado debidamente”. Y ello, porque la eventual fijación de esos daños debe hacerse en un procedimiento autónomo y estrictamente sujeto a las reglas sustantivas y procesales del Derecho de daños, no “vicarial o seguidista del previo proceso penal habido”.</w:t>
      </w:r>
    </w:p>
    <w:p w:rsidR="005728DD" w:rsidRDefault="005728DD" w:rsidP="005728DD">
      <w:pPr>
        <w:pStyle w:val="TextoNormal"/>
      </w:pPr>
    </w:p>
    <w:p w:rsidR="005728DD" w:rsidRDefault="005728DD" w:rsidP="005728DD">
      <w:pPr>
        <w:pStyle w:val="TextoNormal"/>
      </w:pPr>
      <w:r>
        <w:lastRenderedPageBreak/>
        <w:t>Por todo lo expuesto, en primer lugar interesa que se desestime la demanda. Y con carácter subsidiario, de no acordarse la desestimación, solicita que el Tribunal Constitucional dicte una sentencia conforme a Derecho. Y para el caso de que la sentencia que se dictase fuera de carácter estimatorio del amparo formulado, interesa que se ordene la retroacción del expediente a la vía administrativa, a fin de que, de acuerdo con lo que dispone el art. 294 LOPJ y siguiendo siempre el cauce procedimental adecuado, se acrediten los posibles daños y perjuicios que, en su caso, hubiera podido sufrir el recurrente.</w:t>
      </w:r>
    </w:p>
    <w:p w:rsidR="005728DD" w:rsidRDefault="005728DD" w:rsidP="005728DD">
      <w:pPr>
        <w:pStyle w:val="TextoNormal"/>
      </w:pPr>
    </w:p>
    <w:p w:rsidR="005728DD" w:rsidRDefault="005728DD" w:rsidP="005728DD">
      <w:pPr>
        <w:pStyle w:val="TextoNormal"/>
      </w:pPr>
      <w:r w:rsidRPr="005728DD">
        <w:rPr>
          <w:rStyle w:val="NumeroAFNegritaCaracter"/>
        </w:rPr>
        <w:t>9</w:t>
      </w:r>
      <w:r>
        <w:t>. El demandante de amparo no ha formulado alegaciones.</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fecha 25 de febrero 2021, se señaló para deliberación y votación de la presente sentencia el día 3 de marzo del mismo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recurso de amparo se dirige contra la resolución de la secretaria de Estado de Justicia, de fecha 3 de septiembre de 2014, recaída en el expediente núm. 361-2013; la sentencia de 3 de marzo de 2016, de la Sección Tercera de Sala de lo Contencioso-Administrativo de la Audiencia Nacional, dictada en el recurso contencioso-administrativo núm. 242-2014; y contra la sentencia núm. 36/2018, dictada por la Sección Quinta de la Sala de lo Contencioso-Administrativo del Tribunal Supremo, de fecha 16 de enero de 2018, que fue pronunciada en el recurso de casación para la unificación de doctrina núm. 2282-2016.</w:t>
      </w:r>
    </w:p>
    <w:p w:rsidR="005728DD" w:rsidRDefault="005728DD" w:rsidP="005728DD">
      <w:pPr>
        <w:pStyle w:val="TextoNormal"/>
      </w:pPr>
    </w:p>
    <w:p w:rsidR="005728DD" w:rsidRDefault="005728DD" w:rsidP="005728DD">
      <w:pPr>
        <w:pStyle w:val="TextoNormal"/>
      </w:pPr>
      <w:r>
        <w:t>El demandante interesa la estimación de la demanda, pues afirma que tanto la resolución administrativa como la sentencia que puso fin al recurso contencioso-administrativo vulneran su derecho a la presunción de inocencia, al emplear una argumentación para denegar la responsabilidad patrimonial interesada, por la prisión provisional sufrida, que siembra dudas sobre su inocencia.</w:t>
      </w:r>
    </w:p>
    <w:p w:rsidR="005728DD" w:rsidRDefault="005728DD" w:rsidP="005728DD">
      <w:pPr>
        <w:pStyle w:val="TextoNormal"/>
      </w:pPr>
    </w:p>
    <w:p w:rsidR="005728DD" w:rsidRDefault="005728DD" w:rsidP="005728DD">
      <w:pPr>
        <w:pStyle w:val="TextoNormal"/>
      </w:pPr>
      <w:r>
        <w:t>La Abogacía del Estado interesa la desestimación del recurso, toda vez que la resolución que puso fin al proceso penal no es una sentencia absolutoria ni un auto de sobreseimiento libre. Subsidiariamente, interesó que se dictara por este tribunal una sentencia conforme a Derecho y, para el caso de resultar estimatoria, que se acordará la retroacción de actuaciones a la vía administrativa.</w:t>
      </w:r>
    </w:p>
    <w:p w:rsidR="005728DD" w:rsidRDefault="005728DD" w:rsidP="005728DD">
      <w:pPr>
        <w:pStyle w:val="TextoNormal"/>
      </w:pPr>
    </w:p>
    <w:p w:rsidR="005728DD" w:rsidRDefault="005728DD" w:rsidP="005728DD">
      <w:pPr>
        <w:pStyle w:val="TextoNormal"/>
      </w:pPr>
      <w:r>
        <w:t>El fiscal, con sustento en los argumentos que detalladamente se han expuesto en los antecedentes, solicita la estimación del recurso de amparo, al considerar que se ha vulnerado el derecho de la demandante a la presunción de inocencia (art. 24.2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Para la resolución del presente recurso procede tomar en consideración los siguientes extremos: i) el sobreseimiento provisional que puso fin al procedimiento penal se basó en la “insuficiencia de fundamentos suficientes para sostener la acusación contra el imputado”; ii) la resolución administrativa que denegó la reclamación de responsabilidad patrimonial se sustentó tanto en la naturaleza del sobreseimiento provisional acordado, como en el dato de que esa resolución no tuvo su razón de ser en la inexistencia del hecho imputado; iii) la sentencia dictada por la Sala de lo Contencioso-Administrativo de la Audiencia Nacional, </w:t>
      </w:r>
      <w:r>
        <w:lastRenderedPageBreak/>
        <w:t>que desestimó el recurso contencioso- administrativo interpuesto por el demandante, argumentó que aunque se atendiera “al verdadero significado del auto” (de sobreseimiento provisional), el fundamento del mismo no fue la inexistencia del hecho imputado.</w:t>
      </w:r>
    </w:p>
    <w:p w:rsidR="005728DD" w:rsidRDefault="005728DD" w:rsidP="005728DD">
      <w:pPr>
        <w:pStyle w:val="TextoNormal"/>
      </w:pPr>
    </w:p>
    <w:p w:rsidR="005728DD" w:rsidRDefault="005728DD" w:rsidP="005728DD">
      <w:pPr>
        <w:pStyle w:val="TextoNormal"/>
      </w:pPr>
      <w:r>
        <w:t>Para resolver la pretensión del recurrente, en primer lugar debemos dilucidar si la circunstancia de que el sobreseimiento acordado no tuviera por causa la inexistencia del hecho imputado, que tanto la resolución administrativa como la sentencia que puso fin al recurso contencioso administrativo invocan, es conforme con la doctrina de este tribunal. Una vez esclarecido este aspecto, seguidamente valoraremos la incidencia que presenta, a efectos del presente recurso, el hecho de que el referido sobreseimiento fuera de carácter provisional.</w:t>
      </w:r>
    </w:p>
    <w:p w:rsidR="005728DD" w:rsidRDefault="005728DD" w:rsidP="005728DD">
      <w:pPr>
        <w:pStyle w:val="TextoNormal"/>
      </w:pPr>
    </w:p>
    <w:p w:rsidR="005728DD" w:rsidRDefault="005728DD" w:rsidP="005728DD">
      <w:pPr>
        <w:pStyle w:val="TextoNormal"/>
      </w:pPr>
      <w:r>
        <w:t>En relación con el primer aspecto enunciado, procede reproducir la argumentación que a continuación se transcribe, que obra en el FJ 4 de la STC 125/2019:</w:t>
      </w:r>
    </w:p>
    <w:p w:rsidR="005728DD" w:rsidRDefault="005728DD" w:rsidP="005728DD">
      <w:pPr>
        <w:pStyle w:val="TextoNormal"/>
      </w:pPr>
    </w:p>
    <w:p w:rsidR="005728DD" w:rsidRDefault="005728DD" w:rsidP="005728DD">
      <w:pPr>
        <w:pStyle w:val="TextoNormal"/>
      </w:pPr>
      <w:r>
        <w:t>«Sin perjuicio de remitirnos de forma íntegra a los razonamientos de la STC 85/2019, FFJJ 6 a 13, cabe recordar que, como expresa sintéticamente su fundamento jurídico 13, “[l]os incisos del art. 294 LOPJ ‘por inexistencia del hecho imputado’ y ‘por esta misma causa’ reducen el derecho a ser compensado por haber padecido una prisión provisional acordada conforme a las exigencias constitucionales y legales en un proceso que no concluyó en condena de forma incompatible con los derechos a la igualdad y a la presunción de inocencia. La selección de supuestos indemnizables excluye otros abarcados por la finalidad de la previsión resarcitoria, atenta a indemnizar los daños fruto del sacrificio de la libertad de un ciudadano en aras del interés común, de modo que introduce una diferencia entre supuestos de prisión provisional no seguida de condena contraria al art. 14 CE, en tanto que injustificada, por no responder a la finalidad de la indemnización, y conducente a resultados desproporcionados. De otro lado, en tanto la referida delimitación del ámbito resarcible obedece a las razones de fondo de la absolución, establece de forma inevitable diferencias entre los sujetos absueltos vinculadas a la eficacia del derecho a la presunción de inocencia, obliga a argumentar con base en esas diferencias y deja latentes dudas sobre su inocencia incompatibles con las exigencias del art. 24.2 CE”».</w:t>
      </w:r>
    </w:p>
    <w:p w:rsidR="005728DD" w:rsidRDefault="005728DD" w:rsidP="005728DD">
      <w:pPr>
        <w:pStyle w:val="TextoNormal"/>
      </w:pPr>
    </w:p>
    <w:p w:rsidR="005728DD" w:rsidRDefault="005728DD" w:rsidP="005728DD">
      <w:pPr>
        <w:pStyle w:val="TextoNormal"/>
      </w:pPr>
      <w:r>
        <w:t>En el presente caso, el rechazo de la indemnización interesada también derivó de que el auto que puso fin al proceso penal no consideró acreditada la inexistencia del hecho imputado. Por ello, las consideraciones efectuadas en el párrafo transcrito resultan aplicables al caso que nos ocupa, al producirse también una diferencia de trato injustificada que conduce a resultados desproporcionados y, a su vez, por arrojar dudas sobre la inocencia del demandante.</w:t>
      </w:r>
    </w:p>
    <w:p w:rsidR="005728DD" w:rsidRDefault="005728DD" w:rsidP="005728DD">
      <w:pPr>
        <w:pStyle w:val="TextoNormal"/>
      </w:pPr>
    </w:p>
    <w:p w:rsidR="005728DD" w:rsidRDefault="005728DD" w:rsidP="005728DD">
      <w:pPr>
        <w:pStyle w:val="TextoNormal"/>
      </w:pPr>
      <w:r w:rsidRPr="005728DD">
        <w:rPr>
          <w:rStyle w:val="NumeroAFNegritaCaracter"/>
        </w:rPr>
        <w:t>3</w:t>
      </w:r>
      <w:r>
        <w:t>. La resolución que dio lugar al archivo de la causa penal fue un auto de sobreseimiento provisional, que fue acordado al amparo de lo dispuesto en el art. 641.2 de la Ley de enjuiciamiento criminal (LECrim). Para la abogacía del Estado, este dato determina la desestimación del recurso de amparo, habida cuenta de que, al no ser libre el sobreseimiento, no se cumple el requisito que prevé el art. 294.1 LOPJ: que la resolución que ponga fin al procedimiento penal sea una sentencia absolutoria o auto de sobreseimiento libre. Por otro lado, también advierte que mientras el sobreseimiento libre produce efectos de cosa juzgada material, el sobreseimiento provisional solamente determina la paralización del procedimiento.</w:t>
      </w:r>
    </w:p>
    <w:p w:rsidR="005728DD" w:rsidRDefault="005728DD" w:rsidP="005728DD">
      <w:pPr>
        <w:pStyle w:val="TextoNormal"/>
      </w:pPr>
    </w:p>
    <w:p w:rsidR="005728DD" w:rsidRDefault="005728DD" w:rsidP="005728DD">
      <w:pPr>
        <w:pStyle w:val="TextoNormal"/>
      </w:pPr>
      <w:r>
        <w:lastRenderedPageBreak/>
        <w:t>Este tribunal ya se ha pronunciado, concretamente en la STC 166/2020, de 16 de noviembre, respecto de un supuesto similar al presente, en el que la causa penal finalizó también con el dictado de un auto de sobreseimiento provisional previsto en el art. 641.2 LECrim. Y en relación con este aspecto, en el fundamento jurídico 6 de la citada sentencia figura la siguiente argumentación:</w:t>
      </w:r>
    </w:p>
    <w:p w:rsidR="005728DD" w:rsidRDefault="005728DD" w:rsidP="005728DD">
      <w:pPr>
        <w:pStyle w:val="TextoNormal"/>
      </w:pPr>
    </w:p>
    <w:p w:rsidR="005728DD" w:rsidRDefault="005728DD" w:rsidP="005728DD">
      <w:pPr>
        <w:pStyle w:val="TextoNormal"/>
      </w:pPr>
      <w:r>
        <w:t>“Más limitadamente, debemos pronunciarnos sobre si por su conclusión, o por su razonamiento, la decisión desestimatoria de la indemnización solicitada vulneró o no los derechos fundamentales alegados. Ya hemos expuesto que, en el presente caso son las razones del sobreseimiento, y no su carácter provisional, lo que, en las resoluciones cuestionadas, justificó la desestimación de la pretensión indemnizatoria. No es la denegación, sino su fundamentación, lo que vulnera los derechos fundamentales alegados. Al hacerlo, tanto la resolución administrativa como la judicial, utilizaron una interpretación jurisprudencial que excluye genéricamente de la compensación del sacrificio de la libertad personal a las absoluciones o terminaciones anticipadas del proceso penal que tengan su origen en la insuficiencia de pruebas para condenar. Lo hicieron utilizando argumentos que afectan a la presunción de inocencia, cuestionando su vertiente extraprocesal, al distinguir para conceder la indemnización entre las razones que llevan a no condenar o a no seguir el procedimiento contra el sospechoso de haber participado en el hecho. Así fue ya apreciado, en un caso similar de sobreseimiento provisional, en la STEDH de 16 de febrero de 2016 (</w:t>
      </w:r>
      <w:r w:rsidRPr="005728DD">
        <w:rPr>
          <w:i/>
        </w:rPr>
        <w:t>Vlieeland Boddy y Marcelo Lanni c. España</w:t>
      </w:r>
      <w:r>
        <w:t>, § 45 a 48), que consideró que el carácter provisional del sobreseimiento no podía ser determinante al valorar la vulneración aducida de la presunción de inocencia.</w:t>
      </w:r>
    </w:p>
    <w:p w:rsidR="005728DD" w:rsidRDefault="005728DD" w:rsidP="005728DD">
      <w:pPr>
        <w:pStyle w:val="TextoNormal"/>
      </w:pPr>
    </w:p>
    <w:p w:rsidR="005728DD" w:rsidRDefault="005728DD" w:rsidP="005728DD">
      <w:pPr>
        <w:pStyle w:val="TextoNormal"/>
      </w:pPr>
      <w:r>
        <w:t>Es dicha constatación la que, también en este caso, justifica el otorgamiento del amparo pretendido, que debe limitarse a reconocer el derecho del recurrente a que la decisión sobre su solicitud de indemnización se adopte, en cuanto a sus criterios rectores, de acuerdo con las exigencias constitucionales del art. 14 CE y del art. 24.2 CE, sin vulnerarlos. Por ello, la retroacción debe remontarse al momento anterior a dictarse la resolución de la secretaria de Estado de Justicia de 21 de julio de 2015, que denegó la indemnización y que origina la lesión de los derechos fundamentales a la igualdad y a la presunción de inocencia, para que, tomando en consideración todas las circunstancias concurrentes en el caso presente, incluido el carácter provisional del sobreseimiento, la administración resuelva de nuevo la cuestión planteada conforme a las exigencias de los arts. 14 y 24.2 CE señaladas en la STC 85/2019 y en la presente resolución”.</w:t>
      </w:r>
    </w:p>
    <w:p w:rsidR="005728DD" w:rsidRDefault="005728DD" w:rsidP="005728DD">
      <w:pPr>
        <w:pStyle w:val="TextoNormal"/>
      </w:pPr>
    </w:p>
    <w:p w:rsidR="005728DD" w:rsidRDefault="005728DD" w:rsidP="005728DD">
      <w:pPr>
        <w:pStyle w:val="TextoNormal"/>
      </w:pPr>
      <w:r>
        <w:t>Como ha quedado reflejado en los antecedentes de esta resolución, la denegación de la responsabilidad patrimonial por parte de la administración se sustentó tanto en la naturaleza provisional del sobreseimiento como en la circunstancia de que el archivo de la causa penal no se fundó en la inexistencia del hecho imputado. Sin embargo, la sentencia dictada por la Sala de lo Contencioso-Administrativo de la Audiencia Nacional se basó, exclusivamente, en esta última circunstancia para desestimar el recurso contencioso-administrativo, de conformidad con la restrictiva doctrina jurisprudencial imperante sobre el contenido y alcance del término “inexistencia del hecho imputado”.</w:t>
      </w:r>
    </w:p>
    <w:p w:rsidR="005728DD" w:rsidRDefault="005728DD" w:rsidP="005728DD">
      <w:pPr>
        <w:pStyle w:val="TextoNormal"/>
      </w:pPr>
    </w:p>
    <w:p w:rsidR="005728DD" w:rsidRDefault="005728DD" w:rsidP="005728DD">
      <w:pPr>
        <w:pStyle w:val="TextoNormal"/>
      </w:pPr>
      <w:r>
        <w:t xml:space="preserve">Sentado lo anterior, de conformidad con los postulados de la sentencia última citada debemos indicar que a este tribunal solamente le corresponde proclamar, en consonancia con la doctrina establecida en la SSTC 85/2019 y 125/2019, que las resoluciones impugnadas </w:t>
      </w:r>
      <w:r>
        <w:lastRenderedPageBreak/>
        <w:t>en el presente recurso vulneran el derecho del recurrente a la presunción de inocencia (art. 24.2 CE) y a la igualdad (art. 14 CE), por rechazar la pretensión del demandante porque la resolución que puso fin al proceso penal no se fundó en el cumplimiento de un requisito previsto en el art. 294.1 LOPJ, que ulteriormente fue declarado nulo e inconstitucional.</w:t>
      </w:r>
    </w:p>
    <w:p w:rsidR="005728DD" w:rsidRDefault="005728DD" w:rsidP="005728DD">
      <w:pPr>
        <w:pStyle w:val="TextoNormal"/>
      </w:pPr>
    </w:p>
    <w:p w:rsidR="005728DD" w:rsidRDefault="005728DD" w:rsidP="005728DD">
      <w:pPr>
        <w:pStyle w:val="TextoNormal"/>
      </w:pPr>
      <w:r>
        <w:t>Una vez anulados los incisos del art. 294.1 LOPJ que condicionaban el éxito de la indemnización a la inexistencia del hecho imputado, será fuera de esta sede constitucional donde, de manera respetuosa con los derechos fundamentales reconocidos, se deberá resolver, de acuerdo a las circunstancias que concurren en el presente supuesto, sobre la reclamación por la prisión provisional sufrida por el demandante.</w:t>
      </w:r>
    </w:p>
    <w:p w:rsidR="005728DD" w:rsidRDefault="005728DD" w:rsidP="005728DD">
      <w:pPr>
        <w:pStyle w:val="TextoNormal"/>
      </w:pPr>
    </w:p>
    <w:p w:rsidR="005728DD" w:rsidRDefault="005728DD" w:rsidP="005728DD">
      <w:pPr>
        <w:pStyle w:val="TextoNormal"/>
      </w:pPr>
      <w:r w:rsidRPr="005728DD">
        <w:rPr>
          <w:rStyle w:val="NumeroAFNegritaCaracter"/>
        </w:rPr>
        <w:t>4</w:t>
      </w:r>
      <w:r>
        <w:t>. Por todo lo expuesto, debemos reconocer la vulneración de los derechos del recurrente a la presunción de inocencia (art. 24.2 CE) y a la igualdad (art. 14 CE), con la consiguiente nulidad de las resoluciones impugnadas en este recurso. También procede acordar la retroacción al momento anterior al dictado de la resolución de la secretaría de Estado de Justicia, a fin de que dicte nueva resolución que, ponderando las circunstancias concurrentes en el presente caso, sea respetuosa con los derechos fundamentales reconocidos.</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el recurso de amparo interpuesto por don Gerardo González León, por vulneración de sus derechos fundamentales a la igualdad (art. 14 CE) y a la presunción de inocencia (art. 24.2 CE).</w:t>
      </w:r>
    </w:p>
    <w:p w:rsidR="005728DD" w:rsidRDefault="005728DD" w:rsidP="005728DD">
      <w:pPr>
        <w:pStyle w:val="TextoNormal"/>
      </w:pPr>
    </w:p>
    <w:p w:rsidR="005728DD" w:rsidRDefault="005728DD" w:rsidP="005728DD">
      <w:pPr>
        <w:pStyle w:val="TextoNormal"/>
      </w:pPr>
      <w:r>
        <w:t>2º Declarar la nulidad de la resolución de la secretaria de Estado de Justicia, de fecha 3 de septiembre de 2014, dictada en el expediente de responsabilidad patrimonial núm. 361-2013; de la sentencia de 3 de marzo de 2016, de la Sección Tercera de Sala de lo Contencioso-Administrativo de la Audiencia Nacional, recaída en el recurso contencioso-administrativo núm. 242-2014; y de la sentencia núm. 36/2018, dictada por la Sección Quinta de la Sala de lo Contencioso-Administrativo del Tribunal Supremo, de fecha 16 de enero de 2018, que resolvió el recurso de casación para la unificación de doctrina núm. 2282-2016.</w:t>
      </w:r>
    </w:p>
    <w:p w:rsidR="005728DD" w:rsidRDefault="005728DD" w:rsidP="005728DD">
      <w:pPr>
        <w:pStyle w:val="TextoNormal"/>
      </w:pPr>
    </w:p>
    <w:p w:rsidR="005728DD" w:rsidRDefault="005728DD" w:rsidP="005728DD">
      <w:pPr>
        <w:pStyle w:val="TextoNormal"/>
      </w:pPr>
      <w:r>
        <w:t>3º Retrotraer las actuaciones al momento anterior al dictado de la resolución administrativa indicada, para que se resuelva la reclamación de responsabilidad patrimonial de forma respetuosa con los derechos fundamentales vulnerados.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5" w:name="SENTENCIA_2021_42"/>
      <w:r>
        <w:lastRenderedPageBreak/>
        <w:t>SENTENCIA 42/2021, de 3 de marzo de 2021</w:t>
      </w:r>
    </w:p>
    <w:bookmarkEnd w:id="45"/>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ECLI:ES:TC:2021:42</w:t>
      </w:r>
    </w:p>
    <w:p w:rsidR="005728DD" w:rsidRDefault="005728DD" w:rsidP="005728DD">
      <w:pPr>
        <w:pStyle w:val="TextoNormalCentrado"/>
      </w:pPr>
    </w:p>
    <w:p w:rsidR="005728DD" w:rsidRDefault="005728DD" w:rsidP="005728DD">
      <w:pPr>
        <w:pStyle w:val="SntesisDescriptiva"/>
      </w:pPr>
      <w:r>
        <w:t>Recurso de amparo 1575-2019. Promovido por la Universidad Católica de Valencia San Vicente Mártir respecto de la Resolución de 26 de junio de 2016 de la Consellería de Educación, Investigación, Cultura y Deporte, de la Generalitat Valenciana, por la que se convocan becas para la realización de estudios universitarios durante el curso académico 2015-2016 en las Universidades de la Comunitat Valenciana.</w:t>
      </w:r>
    </w:p>
    <w:p w:rsidR="005728DD" w:rsidRDefault="005728DD" w:rsidP="005728DD">
      <w:pPr>
        <w:pStyle w:val="SntesisDescriptiva"/>
      </w:pPr>
    </w:p>
    <w:p w:rsidR="005728DD" w:rsidRDefault="005728DD" w:rsidP="005728DD">
      <w:pPr>
        <w:pStyle w:val="SntesisAnaltica"/>
      </w:pPr>
      <w:r>
        <w:t>Vulneración del derecho a la igualdad en relación con el derecho a la creación de centros docentes: nulidad de los preceptos reglamentarios que limitan el disfrute de becas a los alumnos matriculados en universidades públicas integrantes del sistema universitario valenciano (STC 191/2020) y de las resoluciones judiciales que afirmaron su legalidad. Voto particular.</w:t>
      </w:r>
    </w:p>
    <w:p w:rsidR="005728DD" w:rsidRDefault="005728DD" w:rsidP="005728DD">
      <w:pPr>
        <w:pStyle w:val="SntesisAnaltica"/>
      </w:pPr>
    </w:p>
    <w:p w:rsidR="005728DD" w:rsidRDefault="005728DD" w:rsidP="005728DD">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1575-2019, promovido por la Universidad Católica de Valencia San Vicente Mártir, contra los siguientes actos de los poderes públicos: (i) la Resolución de 26 de junio de 2016 de la Consellería de Educación, Investigación, Cultura y Deporte, de la Generalitat Valenciana, por la que se convocan becas para la realización de estudios universitarios durante el curso académico 2015-2016 en las Universidades de la Comunitat Valenciana; (ii) la sentencia de la Sección Quinta de la Sala de lo Contencioso-Administrativo del Tribunal Superior de Justicia de la Comunidad Valenciana, de 15 de noviembre de 2017, que desestimó el recurso contencioso-administrativo interpuesto contra la anterior resolución; (iii) la providencia de la Sección Primera de la Sala de lo Contencioso-Administrativo del Tribunal Supremo, de 19 de julio de 2018, que inadmitió a trámite </w:t>
      </w:r>
      <w:r>
        <w:lastRenderedPageBreak/>
        <w:t>el recurso de casación promovido contra la sentencia que acaba de citarse, y (iv) la providencia de la misma Sección Primera, Sala Tercera del Tribunal Supremo, de 7 de febrero de 2019, que inadmitió el incidente de nulidad interpuesto contra la anterior providencia. Ha actuado la abogada de la Generalitat Valenciana con la representación que legalmente ostenta e intervenido el Ministerio Fiscal.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12 de marzo de 2019, la procuradora de los tribunales doña Ana Lázaro Gogorza, actuando en nombre y representación de la Universidad Católica de Valencia San Vicente Mártir, bajo la defensa del letrado don Gonzalo Fernández de Arévalo,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Con fecha 14 de junio de 2016 se publicó en el “Diario Oficial de la Comunidad Valenciana” (“DOCV”) núm. 7805, la Orden 21/2016, de 10 de junio, de la Consellería de Educación, Investigación, Cultura y Deporte, de la Generalitat Valenciana, “por la que se establecen las bases reguladoras para la concesión de las becas para la realización de estudios universitarios en las universidades de la Comunitat Valenciana”. En lo que importa a este proceso, el art. 2, apartado 1 de dicha Orden señalaba:</w:t>
      </w:r>
    </w:p>
    <w:p w:rsidR="005728DD" w:rsidRDefault="005728DD" w:rsidP="005728DD">
      <w:pPr>
        <w:pStyle w:val="TextoNormal"/>
      </w:pPr>
    </w:p>
    <w:p w:rsidR="005728DD" w:rsidRDefault="005728DD" w:rsidP="005728DD">
      <w:pPr>
        <w:pStyle w:val="TextoNormal"/>
      </w:pPr>
      <w:r>
        <w:t>“1. Podrá solicitarse la beca para la realización de estudios universitarios por el alumnado matriculado, durante el curso académico 2015-2016, en las universidades públicas que integran el sistema universitario valenciano, así como sus centros públicos adscritos, en cualquiera de las enseñanzas siguientes […]”.</w:t>
      </w:r>
    </w:p>
    <w:p w:rsidR="005728DD" w:rsidRDefault="005728DD" w:rsidP="005728DD">
      <w:pPr>
        <w:pStyle w:val="TextoNormal"/>
      </w:pPr>
    </w:p>
    <w:p w:rsidR="005728DD" w:rsidRDefault="005728DD" w:rsidP="005728DD">
      <w:pPr>
        <w:pStyle w:val="TextoNormal"/>
      </w:pPr>
      <w:r>
        <w:t>Asimismo, el apartado 3 del mismo art. 2 de la orden preceptuaba:</w:t>
      </w:r>
    </w:p>
    <w:p w:rsidR="005728DD" w:rsidRDefault="005728DD" w:rsidP="005728DD">
      <w:pPr>
        <w:pStyle w:val="TextoNormal"/>
      </w:pPr>
    </w:p>
    <w:p w:rsidR="005728DD" w:rsidRDefault="005728DD" w:rsidP="005728DD">
      <w:pPr>
        <w:pStyle w:val="TextoNormal"/>
      </w:pPr>
      <w:r>
        <w:t>“3. El alumnado matriculado en universidades privadas y centros privados adscritos a universidades públicas podrá solicitar beca únicamente para las siguientes enseñanzas:</w:t>
      </w:r>
    </w:p>
    <w:p w:rsidR="005728DD" w:rsidRDefault="005728DD" w:rsidP="005728DD">
      <w:pPr>
        <w:pStyle w:val="TextoNormal"/>
      </w:pPr>
    </w:p>
    <w:p w:rsidR="005728DD" w:rsidRDefault="005728DD" w:rsidP="005728DD">
      <w:pPr>
        <w:pStyle w:val="TextoNormal"/>
      </w:pPr>
      <w:r>
        <w:t>- Graduado/a en Veterinaria.</w:t>
      </w:r>
    </w:p>
    <w:p w:rsidR="005728DD" w:rsidRDefault="005728DD" w:rsidP="005728DD">
      <w:pPr>
        <w:pStyle w:val="TextoNormal"/>
      </w:pPr>
    </w:p>
    <w:p w:rsidR="005728DD" w:rsidRDefault="005728DD" w:rsidP="005728DD">
      <w:pPr>
        <w:pStyle w:val="TextoNormal"/>
      </w:pPr>
      <w:r>
        <w:t>- Licenciado/a en Veterinaria”.</w:t>
      </w:r>
    </w:p>
    <w:p w:rsidR="005728DD" w:rsidRDefault="005728DD" w:rsidP="005728DD">
      <w:pPr>
        <w:pStyle w:val="TextoNormal"/>
      </w:pPr>
    </w:p>
    <w:p w:rsidR="005728DD" w:rsidRDefault="005728DD" w:rsidP="005728DD">
      <w:pPr>
        <w:pStyle w:val="TextoNormal"/>
      </w:pPr>
      <w:r>
        <w:t>b) En aplicación de lo dispuesto en dicha orden, con fecha 26 de junio de 2016 la Consellería de Educación, Investigación, Cultura y Deporte de la Generalitat Valenciana dictó una resolución “por la que se convocan becas para la realización de estudios universitarios durante el año académico 2015-2016 en las universidades de la Comunidad Valenciana”. Un extracto de dicha resolución se publicó en el “DOCV” núm. 7817 del 29 de junio de 2016, y el texto completo aparece en la base de datos nacional de subvenciones del sistema nacional de publicidad de subvenciones y ayudas públicas del Ministerio de Hacienda, con el código 310016. Puede consultarse en las páginas web:</w:t>
      </w:r>
    </w:p>
    <w:p w:rsidR="005728DD" w:rsidRDefault="005728DD" w:rsidP="005728DD">
      <w:pPr>
        <w:pStyle w:val="TextoNormal"/>
      </w:pPr>
    </w:p>
    <w:p w:rsidR="005728DD" w:rsidRDefault="005728DD" w:rsidP="005728DD">
      <w:pPr>
        <w:pStyle w:val="TextoNormal"/>
      </w:pPr>
      <w:r>
        <w:t>http://www.pap.minhap.gob.es/bdnstrans/index</w:t>
      </w:r>
    </w:p>
    <w:p w:rsidR="005728DD" w:rsidRDefault="005728DD" w:rsidP="005728DD">
      <w:pPr>
        <w:pStyle w:val="TextoNormal"/>
      </w:pPr>
      <w:r>
        <w:t>https://www.pap.hacienda.gob.es/bdnstrans/GE/es/convocatorias</w:t>
      </w:r>
    </w:p>
    <w:p w:rsidR="005728DD" w:rsidRDefault="005728DD" w:rsidP="005728DD">
      <w:pPr>
        <w:pStyle w:val="TextoNormal"/>
      </w:pPr>
    </w:p>
    <w:p w:rsidR="005728DD" w:rsidRDefault="005728DD" w:rsidP="005728DD">
      <w:pPr>
        <w:pStyle w:val="TextoNormal"/>
      </w:pPr>
      <w:r>
        <w:t>En lo que importa a este proceso, el apartado segundo, números 1 y 3 de dicha resolución, señalan:</w:t>
      </w:r>
    </w:p>
    <w:p w:rsidR="005728DD" w:rsidRDefault="005728DD" w:rsidP="005728DD">
      <w:pPr>
        <w:pStyle w:val="TextoNormal"/>
      </w:pPr>
    </w:p>
    <w:p w:rsidR="005728DD" w:rsidRDefault="005728DD" w:rsidP="005728DD">
      <w:pPr>
        <w:pStyle w:val="TextoNormal"/>
      </w:pPr>
      <w:r>
        <w:t>“</w:t>
      </w:r>
      <w:r w:rsidRPr="005728DD">
        <w:rPr>
          <w:i/>
        </w:rPr>
        <w:t>Apartado segundo. Beneficiarios y estudios comprendidos</w:t>
      </w:r>
    </w:p>
    <w:p w:rsidR="005728DD" w:rsidRDefault="005728DD" w:rsidP="005728DD">
      <w:pPr>
        <w:pStyle w:val="TextoNormal"/>
      </w:pPr>
    </w:p>
    <w:p w:rsidR="005728DD" w:rsidRDefault="005728DD" w:rsidP="005728DD">
      <w:pPr>
        <w:pStyle w:val="TextoNormal"/>
      </w:pPr>
      <w:r>
        <w:t>1. Podrá solicitarse la beca para la realización de estudios universitarios por el alumnado matriculado, durante el curso académico 2015-2016, en las universidades públicas que integran el sistema universitario valenciano, así como sus centros públicos adscritos.</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3. El alumnado matriculado en universidades privadas y centros privados adscritos a universidades públicas podrá solicitar beca únicamente para las siguientes enseñanzas:</w:t>
      </w:r>
    </w:p>
    <w:p w:rsidR="005728DD" w:rsidRDefault="005728DD" w:rsidP="005728DD">
      <w:pPr>
        <w:pStyle w:val="TextoNormal"/>
      </w:pPr>
    </w:p>
    <w:p w:rsidR="005728DD" w:rsidRDefault="005728DD" w:rsidP="005728DD">
      <w:pPr>
        <w:pStyle w:val="TextoNormal"/>
      </w:pPr>
      <w:r>
        <w:t>- Graduado/a en Veterinaria.</w:t>
      </w:r>
    </w:p>
    <w:p w:rsidR="005728DD" w:rsidRDefault="005728DD" w:rsidP="005728DD">
      <w:pPr>
        <w:pStyle w:val="TextoNormal"/>
      </w:pPr>
    </w:p>
    <w:p w:rsidR="005728DD" w:rsidRDefault="005728DD" w:rsidP="005728DD">
      <w:pPr>
        <w:pStyle w:val="TextoNormal"/>
      </w:pPr>
      <w:r>
        <w:t>- Licenciado/a en Veterinaria”.</w:t>
      </w:r>
    </w:p>
    <w:p w:rsidR="005728DD" w:rsidRDefault="005728DD" w:rsidP="005728DD">
      <w:pPr>
        <w:pStyle w:val="TextoNormal"/>
      </w:pPr>
    </w:p>
    <w:p w:rsidR="005728DD" w:rsidRDefault="005728DD" w:rsidP="005728DD">
      <w:pPr>
        <w:pStyle w:val="TextoNormal"/>
      </w:pPr>
      <w:r>
        <w:t>Este texto se corresponde con el que aparece publicado en el “DOCV” núm. 7817 como apartados primero, 1 y 2, respectivamente, del extracto de la resolución citada.</w:t>
      </w:r>
    </w:p>
    <w:p w:rsidR="005728DD" w:rsidRDefault="005728DD" w:rsidP="005728DD">
      <w:pPr>
        <w:pStyle w:val="TextoNormal"/>
      </w:pPr>
    </w:p>
    <w:p w:rsidR="005728DD" w:rsidRDefault="005728DD" w:rsidP="005728DD">
      <w:pPr>
        <w:pStyle w:val="TextoNormal"/>
      </w:pPr>
      <w:r>
        <w:t>c) Contra la resolución de 26 de junio de 2016, la representación procesal de la universidad recurrente interpuso recurso contencioso-administrativo por la vía del procedimiento para la tutela de los derechos fundamentales de los arts. 114 a 122 de la Ley reguladora de la jurisdicción contencioso-administrativa (LJCA), alegando la vulneración de los derechos fundamentales: (i) a la libertad de creación de centros del art. 27.6 CE, en cuanto este se restringe si a los alumnos que quieren estudiar en su centro se les niega el derecho a una beca, por el solo hecho de querer hacerlo en una universidad privada; (ii) a la libertad religiosa del art. 16 CE, al afectar a una comunidad universitaria organizada de acuerdo al ideario católico, limitando la posibilidad de integrarse en ella a los alumnos que necesitan una beca, y (iii) a la igualdad ante la ley (art. 14 CE), al establecer la resolución citada una diferencia no justificada entre las universidades públicas y las privadas en materia de becas para el alumnado.</w:t>
      </w:r>
    </w:p>
    <w:p w:rsidR="005728DD" w:rsidRDefault="005728DD" w:rsidP="005728DD">
      <w:pPr>
        <w:pStyle w:val="TextoNormal"/>
      </w:pPr>
    </w:p>
    <w:p w:rsidR="005728DD" w:rsidRDefault="005728DD" w:rsidP="005728DD">
      <w:pPr>
        <w:pStyle w:val="TextoNormal"/>
      </w:pPr>
      <w:r>
        <w:t xml:space="preserve">El asunto recayó en el conocimiento de la Sección Quinta de la Sala de lo Contencioso-Administrativo del Tribunal Superior de Justicia de la Comunidad Valenciana (recurso 494-2016), la cual, una vez tramitado el proceso, dictó sentencia 1.033/2017, de 15 de noviembre de 2017, desestimando el recurso interpuesto y confirmando el acto administrativo impugnado, al apreciar en el fundamento de Derecho segundo la falta de legitimación activa de la entidad recurrente para promover la acción ejercitada. A tal efecto, se advierte que el objeto del presente litigio ya ha sido resuelto por la misma Sala y Sección al resolver el recurso presentado por la recurrente contra la Orden 21/1016 “que sustenta el acuerdo de convocatoria de becas de 26 de junio 2016”, concretamente en la sentencia núm. 561/2017 de 31 de mayo de 2017, procedimiento 455-2016, donde declaró justamente la falta de legitimación </w:t>
      </w:r>
      <w:r>
        <w:lastRenderedPageBreak/>
        <w:t>activa de la universidad recurrente. Luego de reproducir algunos pasajes del fundamento de Derecho quinto de esta última, la Sección aplica estos criterios a la pretensión aquí deducida, diciendo que:</w:t>
      </w:r>
    </w:p>
    <w:p w:rsidR="005728DD" w:rsidRDefault="005728DD" w:rsidP="005728DD">
      <w:pPr>
        <w:pStyle w:val="TextoNormal"/>
      </w:pPr>
    </w:p>
    <w:p w:rsidR="005728DD" w:rsidRDefault="005728DD" w:rsidP="005728DD">
      <w:pPr>
        <w:pStyle w:val="TextoNormal"/>
      </w:pPr>
      <w:r>
        <w:t>«La Sala ha establecido ya que esta corporación no dispone del carácter de titular de un derecho legítimo afectado por la regulación que introduce la Orden 21/2016, de 10 de junio, de la Consellería de Educación, Investigación, Cultura y Deporte, que fija las bases reguladoras para la concesión de las becas para la realización de estudios universitarios:</w:t>
      </w:r>
    </w:p>
    <w:p w:rsidR="005728DD" w:rsidRDefault="005728DD" w:rsidP="005728DD">
      <w:pPr>
        <w:pStyle w:val="TextoNormal"/>
      </w:pPr>
    </w:p>
    <w:p w:rsidR="005728DD" w:rsidRDefault="005728DD" w:rsidP="005728DD">
      <w:pPr>
        <w:pStyle w:val="TextoNormal"/>
      </w:pPr>
      <w:r>
        <w:t>“[…] el trato diferenciado —en su caso— viene referido a ‘el alumnado matriculado [...] en las universidades públicas [...] así como sus centros públicos adscritos [...]’ —párrafo 1— y ‘los alumnos y alumnas matriculados en universidades privadas y centros privados adscritos a universidades públicas [...]’ —párrafo 3— porque no se trata de cantidades que la administración facilite a los centros universitarios públicos o privados, sino que se trata de cantidades que la administración proporciona a los propios alumnos y ya dijimos en el trámite de admisión del presente recurso, auto de 7 de septiembre de 2016, que la universidad carece de la facultad de representación de sus alumnos ya que el objeto debatido es un derecho que se ostenta con carácter personal y, dependiendo del tipo de beca de que se trate, por una serie de circunstancias que deben concurrir en el solicitante también de forma personal, no por el mero hecho de ser alumno universitario, siendo este el requisito que constituye —exclusivamente— el punto de partida o la determinación subjetiva general del destinatario de aquellas, nunca del beneficiario concreto por el mero hecho de serlo”.</w:t>
      </w:r>
    </w:p>
    <w:p w:rsidR="005728DD" w:rsidRDefault="005728DD" w:rsidP="005728DD">
      <w:pPr>
        <w:pStyle w:val="TextoNormal"/>
      </w:pPr>
    </w:p>
    <w:p w:rsidR="005728DD" w:rsidRDefault="005728DD" w:rsidP="005728DD">
      <w:pPr>
        <w:pStyle w:val="TextoNormal"/>
      </w:pPr>
      <w:r>
        <w:t>“[…] No hay en los preceptos que se consideran infractores del principio de igualdad contenido alguno de un derecho que reconocido a la universidad pública, como centro, no le sea reconocido a la universidad privada con esta misma consideración ya que la única mención que los mismos hacen de una y de otra es con referencia a la procedencia del alumnado solicitante de las respectivas becas”.</w:t>
      </w:r>
    </w:p>
    <w:p w:rsidR="005728DD" w:rsidRDefault="005728DD" w:rsidP="005728DD">
      <w:pPr>
        <w:pStyle w:val="TextoNormal"/>
      </w:pPr>
    </w:p>
    <w:p w:rsidR="005728DD" w:rsidRDefault="005728DD" w:rsidP="005728DD">
      <w:pPr>
        <w:pStyle w:val="TextoNormal"/>
      </w:pPr>
      <w:r>
        <w:t>“[…] Es decir, la propia demanda, en cuanto concreta sus motivos de impugnación, no deja de referirse a derechos que no le corresponden como tal centro universitario, irrogándose la representación no ya del alumnado, sino de cada uno de los alumnos”.</w:t>
      </w:r>
    </w:p>
    <w:p w:rsidR="005728DD" w:rsidRDefault="005728DD" w:rsidP="005728DD">
      <w:pPr>
        <w:pStyle w:val="TextoNormal"/>
      </w:pPr>
    </w:p>
    <w:p w:rsidR="005728DD" w:rsidRDefault="005728DD" w:rsidP="005728DD">
      <w:pPr>
        <w:pStyle w:val="TextoNormal"/>
      </w:pPr>
      <w:r>
        <w:t>Las personas afectadas, en su caso, en su derecho de igualdad de trato son los estudiantes de la Universidad Católica de Valencia San Vicente Mártir.</w:t>
      </w:r>
    </w:p>
    <w:p w:rsidR="005728DD" w:rsidRDefault="005728DD" w:rsidP="005728DD">
      <w:pPr>
        <w:pStyle w:val="TextoNormal"/>
      </w:pPr>
    </w:p>
    <w:p w:rsidR="005728DD" w:rsidRDefault="005728DD" w:rsidP="005728DD">
      <w:pPr>
        <w:pStyle w:val="TextoNormal"/>
      </w:pPr>
      <w:r>
        <w:t>La Sala también detalla, con suficiente precisión, que no puede analizar las infracciones vinculadas con los derechos de libertad religiosa y educación al existir un auto de inadmisión (parcial) de la Sala, dictado en el proceso 455-2016, que impide examinar, en el seno de la sentencia que pone punto final a dicho proceso de declaración, tales cuestiones:</w:t>
      </w:r>
    </w:p>
    <w:p w:rsidR="005728DD" w:rsidRDefault="005728DD" w:rsidP="005728DD">
      <w:pPr>
        <w:pStyle w:val="TextoNormal"/>
      </w:pPr>
    </w:p>
    <w:p w:rsidR="005728DD" w:rsidRDefault="005728DD" w:rsidP="005728DD">
      <w:pPr>
        <w:pStyle w:val="TextoNormal"/>
      </w:pPr>
      <w:r>
        <w:t>“[…] Por otra parte, como afirma la propia demanda, quedan fuera del presente procedimiento las cuestiones de legalidad ordinaria, objeto de otro procedimiento seguido ante esta misma Sala y también las denuncias relativas a los derechos a la educación y a recibir formación católica en un centro de enseñanza universitario, en virtud de lo dispuesto en el auto de 7 de septiembre pasado”.</w:t>
      </w:r>
    </w:p>
    <w:p w:rsidR="005728DD" w:rsidRDefault="005728DD" w:rsidP="005728DD">
      <w:pPr>
        <w:pStyle w:val="TextoNormal"/>
      </w:pPr>
    </w:p>
    <w:p w:rsidR="005728DD" w:rsidRDefault="005728DD" w:rsidP="005728DD">
      <w:pPr>
        <w:pStyle w:val="TextoNormal"/>
      </w:pPr>
      <w:r>
        <w:lastRenderedPageBreak/>
        <w:t>Esa consecuencia de inadmisión declarada por el auto de 09 de septiembre de 2016, recurso 455-2016, vincula también al tribunal en el marco de la decisión que adopte en el actual proceso 494-2016, seguido también bajo el trámite especial de los de tutela de los derechos fundamentales y libertades públicas:</w:t>
      </w:r>
    </w:p>
    <w:p w:rsidR="005728DD" w:rsidRDefault="005728DD" w:rsidP="005728DD">
      <w:pPr>
        <w:pStyle w:val="TextoNormal"/>
      </w:pPr>
    </w:p>
    <w:p w:rsidR="005728DD" w:rsidRDefault="005728DD" w:rsidP="005728DD">
      <w:pPr>
        <w:pStyle w:val="TextoNormal"/>
      </w:pPr>
      <w:r>
        <w:t>“Así, de los tres derechos constitucionales invocados, igualdad, educación y libertad religiosa, vemos que el último, ni siquiera a nivel indiciario puede estimarse comprometido puesto que siendo cierto que el carácter privado de la demandante supone que sus estudiantes no pueden acceder a las medidas de la resolución impugnada, en ningún momento el carácter de católica guarda relación alguna con dicha negativa, por lo que su invocación carece de la forma más absoluta de fundamento alguno siquiera debatible.</w:t>
      </w:r>
    </w:p>
    <w:p w:rsidR="005728DD" w:rsidRDefault="005728DD" w:rsidP="005728DD">
      <w:pPr>
        <w:pStyle w:val="TextoNormal"/>
      </w:pPr>
    </w:p>
    <w:p w:rsidR="005728DD" w:rsidRDefault="005728DD" w:rsidP="005728DD">
      <w:pPr>
        <w:pStyle w:val="TextoNormal"/>
      </w:pPr>
      <w:r>
        <w:t>En cuanto al derecho a la educación, su planteamiento en los términos en que lo ha hecho nos lleva a considerar que, efectivamente, carece de legitimación activa ya que por el hecho de la intervención activa del alumnado en el funcionamiento de la universidad, ha deducido una representatividad de los derechos de aquel, entendido en su sentido amplio y genérico, cuando —por definición— la vulneración de este derecho a través del acto impugnado supone siempre la aplicación directa respecto a un individuo concreto, representatividad que ni ostenta en la forma que pretende ni tampoco implica la titularidad de un derecho fundamental en cuya defensa litigar en el presente procedimiento.</w:t>
      </w:r>
    </w:p>
    <w:p w:rsidR="005728DD" w:rsidRDefault="005728DD" w:rsidP="005728DD">
      <w:pPr>
        <w:pStyle w:val="TextoNormal"/>
      </w:pPr>
    </w:p>
    <w:p w:rsidR="005728DD" w:rsidRDefault="005728DD" w:rsidP="005728DD">
      <w:pPr>
        <w:pStyle w:val="TextoNormal"/>
      </w:pPr>
      <w:r>
        <w:t>Tampoco puede, válidamente, actuar en nombre de la Iglesia católica en defensa de sus derechos fundamentales puesto que el carácter católico del centro no le otorga, por sí mismo, la representatividad de tal institución.</w:t>
      </w:r>
    </w:p>
    <w:p w:rsidR="005728DD" w:rsidRDefault="005728DD" w:rsidP="005728DD">
      <w:pPr>
        <w:pStyle w:val="TextoNormal"/>
      </w:pPr>
    </w:p>
    <w:p w:rsidR="005728DD" w:rsidRDefault="005728DD" w:rsidP="005728DD">
      <w:pPr>
        <w:pStyle w:val="TextoNormal"/>
      </w:pPr>
      <w:r>
        <w:t>Por último, el derecho a la igualdad ha sido invocado en un doble sentido, como representante de los alumnos —a lo que sería de aplicación cuanto acabamos de exponer— y también en su condición de centro, en la medida en que estima comprometido su derecho en los mismos términos que la universidad pública y es en este aspecto y solo en este, en el que el presente procedimiento debe continuar habida cuenta de que se trata de un derecho fundamental y en este caso sí, es la demandante la titular del mismo, porque cualquier otro análisis que vaya más allá de estas dos consideraciones supone ya entrar en materia propia del fondo del asunto, vetado en este trámite incidental” (auto de 9 septiembre 2016)».</w:t>
      </w:r>
    </w:p>
    <w:p w:rsidR="005728DD" w:rsidRDefault="005728DD" w:rsidP="005728DD">
      <w:pPr>
        <w:pStyle w:val="TextoNormal"/>
      </w:pPr>
    </w:p>
    <w:p w:rsidR="005728DD" w:rsidRDefault="005728DD" w:rsidP="005728DD">
      <w:pPr>
        <w:pStyle w:val="TextoNormal"/>
      </w:pPr>
      <w:r>
        <w:t>Finalmente, la Sección rechazó los óbices de inadmisibilidad del recurso por inadecuación del procedimiento y por litispendencia, planteados por la administración demandada y por otras universidades personadas como codemandadas.</w:t>
      </w:r>
    </w:p>
    <w:p w:rsidR="005728DD" w:rsidRDefault="005728DD" w:rsidP="005728DD">
      <w:pPr>
        <w:pStyle w:val="TextoNormal"/>
      </w:pPr>
    </w:p>
    <w:p w:rsidR="005728DD" w:rsidRDefault="005728DD" w:rsidP="005728DD">
      <w:pPr>
        <w:pStyle w:val="TextoNormal"/>
      </w:pPr>
      <w:r>
        <w:t>d) Contra la sentencia de instancia la representación procesal de la recurrente presentó un escrito de preparación de recurso de casación, alegando la vulneración de los arts. 14, 27 y 16 CE. La Sección Quinta competente dictó auto el 23 de febrero de 2017 teniendo por preparado dicho recurso y emplazando a las partes a su personación ante la Sala de lo Contencioso-Administrativo del Tribunal Supremo, con remisión de las actuaciones.</w:t>
      </w:r>
    </w:p>
    <w:p w:rsidR="005728DD" w:rsidRDefault="005728DD" w:rsidP="005728DD">
      <w:pPr>
        <w:pStyle w:val="TextoNormal"/>
      </w:pPr>
    </w:p>
    <w:p w:rsidR="005728DD" w:rsidRDefault="005728DD" w:rsidP="005728DD">
      <w:pPr>
        <w:pStyle w:val="TextoNormal"/>
      </w:pPr>
      <w:r>
        <w:t>e) Con fecha 19 de julio de 2018, la Sección Primera de la Sala de lo Contencioso-Administrativo del Tribunal Supremo dictó providencia (recurso núm. 1984-2018) inadmitiendo a trámite el recurso, razonando esta decisión:</w:t>
      </w:r>
    </w:p>
    <w:p w:rsidR="005728DD" w:rsidRDefault="005728DD" w:rsidP="005728DD">
      <w:pPr>
        <w:pStyle w:val="TextoNormal"/>
      </w:pPr>
    </w:p>
    <w:p w:rsidR="005728DD" w:rsidRDefault="005728DD" w:rsidP="005728DD">
      <w:pPr>
        <w:pStyle w:val="TextoNormal"/>
      </w:pPr>
      <w:r>
        <w:lastRenderedPageBreak/>
        <w:t>“[E]n aplicación de lo dispuesto en el artículo 90.4 b) de la Ley 29/1998, de 13 de julio, reguladora de la jurisdicción contencioso-administrativa (LJCA), por cuanto en el escrito de preparación no se ha fundamentado de forma suficiente, con singular referencia al caso, que concurran alguno o algunos de los supuestos que permiten apreciar el interés casacional objetivo y la conveniencia de un pronunciamiento de la Sala de lo Contencioso-Administrativo del Tribunal Supremo, incumpliéndose, de este modo, las exigencias que el artículo 89.2 f) de la citada ley impone para dicho escrito”.</w:t>
      </w:r>
    </w:p>
    <w:p w:rsidR="005728DD" w:rsidRDefault="005728DD" w:rsidP="005728DD">
      <w:pPr>
        <w:pStyle w:val="TextoNormal"/>
      </w:pPr>
    </w:p>
    <w:p w:rsidR="005728DD" w:rsidRDefault="005728DD" w:rsidP="005728DD">
      <w:pPr>
        <w:pStyle w:val="TextoNormal"/>
      </w:pPr>
      <w:r>
        <w:t>f) Contra la providencia recién citada, la representación procesal de la recurrente formalizó incidente de nulidad alegando que dicha resolución era errónea, ilógica e irrazonable, conculcando su derecho a la tutela judicial efectiva (art. 24.1 CE) al impedir que el Tribunal Supremo entrara a conocer del fondo de su recurso de casación en el que se alegaban las lesiones “a los derechos fundamentales reconocidos en los artículos 14, 27 y 16 de la Constitución española, alegadas por esta parte en el correspondiente recurso”.</w:t>
      </w:r>
    </w:p>
    <w:p w:rsidR="005728DD" w:rsidRDefault="005728DD" w:rsidP="005728DD">
      <w:pPr>
        <w:pStyle w:val="TextoNormal"/>
      </w:pPr>
    </w:p>
    <w:p w:rsidR="005728DD" w:rsidRDefault="005728DD" w:rsidP="005728DD">
      <w:pPr>
        <w:pStyle w:val="TextoNormal"/>
      </w:pPr>
      <w:r>
        <w:t>g) Con fecha 7 de febrero de 2019, la Sección Primera de la Sala de lo Contencioso-Administrativo del Tribunal Supremo dictó providencia inadmitiendo a trámite el incidente de nulidad promovido contra la anterior resolución de 19 de julio de 2018. En tal sentido razonó:</w:t>
      </w:r>
    </w:p>
    <w:p w:rsidR="005728DD" w:rsidRDefault="005728DD" w:rsidP="005728DD">
      <w:pPr>
        <w:pStyle w:val="TextoNormal"/>
      </w:pPr>
    </w:p>
    <w:p w:rsidR="005728DD" w:rsidRDefault="005728DD" w:rsidP="005728DD">
      <w:pPr>
        <w:pStyle w:val="TextoNormal"/>
      </w:pPr>
      <w:r>
        <w:t>“La providencia mencionada se ajusta íntegramente a las exigencias previstas en el artículo 90.4 de la Ley 29/1998, de 13 de julio, reguladora de la jurisdicción contencioso-administrativa (LJCA), que recoge, como única indicación de las providencias de inadmisión, la concurrencia en el caso de alguna de las circunstancias que prevé, si bien la propia norma determina que la motivación sea sucinta ‘Las providencias de inadmisión únicamente indicarán [...]’.</w:t>
      </w:r>
    </w:p>
    <w:p w:rsidR="005728DD" w:rsidRDefault="005728DD" w:rsidP="005728DD">
      <w:pPr>
        <w:pStyle w:val="TextoNormal"/>
      </w:pPr>
    </w:p>
    <w:p w:rsidR="005728DD" w:rsidRDefault="005728DD" w:rsidP="005728DD">
      <w:pPr>
        <w:pStyle w:val="TextoNormal"/>
      </w:pPr>
      <w:r>
        <w:t>Así, la providencia inadmite el recurso de casación con fundamento en una causa legalmente prevista, aplicada razonadamente, sin que el recurrente acredite que esa motivación resulte irrazonable, arbitraria, carente de justificación o sea resultado de un error patente y, por ello, vulneradora del artículo 24 de la Constitución. De hecho, el escrito en el que se promueve el incidente de nulidad de actuaciones, realmente no contiene un razonamiento adecuado en relación a la causa por la que se inadmite tener por preparado el recurso de casación planteado, ya que nada dice sobre el incumplimiento de lo dispuesto en el artículo 89.2 f) LJCA, en aplicación del artículo 90.4 b) LJCA, que es la causa de inadmisión que se le aplica.</w:t>
      </w:r>
    </w:p>
    <w:p w:rsidR="005728DD" w:rsidRDefault="005728DD" w:rsidP="005728DD">
      <w:pPr>
        <w:pStyle w:val="TextoNormal"/>
      </w:pPr>
    </w:p>
    <w:p w:rsidR="005728DD" w:rsidRDefault="005728DD" w:rsidP="005728DD">
      <w:pPr>
        <w:pStyle w:val="TextoNormal"/>
      </w:pPr>
      <w:r>
        <w:t>La afirmación del recurrente de que ante dos recursos similares se ha resuelto de manera dispar, no puede conllevar una estimación de sus pretensiones, en la medida de que el escrito de preparación puede adolecer de varios defectos formales sin perjuicio de que la resolución de inadmisión solo constate alguno de ellos, causa de inadmisión que es la que ha de combatirse a través de los cauces procesales adecuados, como así sucedió en el recurso de casación núm. 5930-2017 respecto del que se planteó incidente de nulidad de actuaciones, que fue inadmitido a trámite por providencia de esta Sección de 20 de julio de 2018.</w:t>
      </w:r>
    </w:p>
    <w:p w:rsidR="005728DD" w:rsidRDefault="005728DD" w:rsidP="005728DD">
      <w:pPr>
        <w:pStyle w:val="TextoNormal"/>
      </w:pPr>
    </w:p>
    <w:p w:rsidR="005728DD" w:rsidRDefault="005728DD" w:rsidP="005728DD">
      <w:pPr>
        <w:pStyle w:val="TextoNormal"/>
      </w:pPr>
      <w:r>
        <w:t xml:space="preserve">Por último, se ha recordar que la conclusión alcanzada en la providencia no supone merma alguna del derecho fundamental a la tutela judicial efectiva, pues según ha declarado el Tribunal Constitucional, el derecho a la tutela judicial efectiva es ‘un derecho prestacional </w:t>
      </w:r>
      <w:r>
        <w:lastRenderedPageBreak/>
        <w:t>de configuración legal’ cuyo ejercicio y prestación ‘están supeditados a la concurrencia de los presupuestos y requisitos que, en cada caso, haya establecido el legislador’.</w:t>
      </w:r>
    </w:p>
    <w:p w:rsidR="005728DD" w:rsidRDefault="005728DD" w:rsidP="005728DD">
      <w:pPr>
        <w:pStyle w:val="TextoNormal"/>
      </w:pPr>
    </w:p>
    <w:p w:rsidR="005728DD" w:rsidRDefault="005728DD" w:rsidP="005728DD">
      <w:pPr>
        <w:pStyle w:val="TextoNormal"/>
      </w:pPr>
      <w:r>
        <w:t>El incidente de nulidad de actuaciones es un remedio excepcional que no puede fundarse válidamente en la mera discrepancia con la resolución cuya nulidad se pretende como si se tratase de una nueva instancia ni un nuevo recurso ordinario o extraordinario (por todos, auto de 25 de febrero de 2015, recurso núm. 4461-2012). Y en el presente caso las alegaciones formuladas por el recurrente constituyen una mera discrepancia con el sustento jurídico de la providencia a que se impugna, sin que proceda volver a examinar ahora, por la vía del incidente de nulidad de actuaciones que se pretende, las mismas cuestiones que ya fueron examinadas y resueltas en la referida providencia.</w:t>
      </w:r>
    </w:p>
    <w:p w:rsidR="005728DD" w:rsidRDefault="005728DD" w:rsidP="005728DD">
      <w:pPr>
        <w:pStyle w:val="TextoNormal"/>
      </w:pPr>
    </w:p>
    <w:p w:rsidR="005728DD" w:rsidRDefault="005728DD" w:rsidP="005728DD">
      <w:pPr>
        <w:pStyle w:val="TextoNormal"/>
      </w:pPr>
      <w:r>
        <w:t>No se cumplen, por tanto, los requisitos establecidos en el art. 241.1 de la Ley Orgánica del Poder Judicial para la admisión del incidente de nulidad de actuaciones. Contra la presente providencia no cabe recurso alguno”.</w:t>
      </w:r>
    </w:p>
    <w:p w:rsidR="005728DD" w:rsidRDefault="005728DD" w:rsidP="005728DD">
      <w:pPr>
        <w:pStyle w:val="TextoNormal"/>
      </w:pPr>
    </w:p>
    <w:p w:rsidR="005728DD" w:rsidRDefault="005728DD" w:rsidP="005728DD">
      <w:pPr>
        <w:pStyle w:val="TextoNormal"/>
      </w:pPr>
      <w:r>
        <w:t>h) Notificada esta última providencia, se interpuso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articula su pretensión denunciando tres quejas esenciales:</w:t>
      </w:r>
    </w:p>
    <w:p w:rsidR="005728DD" w:rsidRDefault="005728DD" w:rsidP="005728DD">
      <w:pPr>
        <w:pStyle w:val="TextoNormal"/>
      </w:pPr>
    </w:p>
    <w:p w:rsidR="005728DD" w:rsidRDefault="005728DD" w:rsidP="005728DD">
      <w:pPr>
        <w:pStyle w:val="TextoNormal"/>
      </w:pPr>
      <w:r>
        <w:t>a) La primera de ellas plantea la vulneración conjunta, por la resolución de 26 de junio de 2016 de la Consellería de Educación, Investigación, Cultura y deporte, de la Generalitat Valenciana, de los derechos fundamentales del art. 27 (derecho a la educación) en relación con el art. 14 (derecho a la igualdad ante la ley) de la Constitución (CE); y la vulneración en segundo lugar del art. 16 CE (derecho a la libertad ideológica y religiosa). Se argumenta que dicha resolución excluye al alumnado de las universidades privadas del derecho a recibir una beca para la realización de estudios (excepto para veterinaria, donde no hay discriminación), a pesar de que tales centros están integrados dentro del sistema universitario valenciano. Se establece así, prosigue la demanda, una diferencia arbitraria entre las universidades públicas y las privadas, sin motivación alguna ni razón objetiva y razonada que lo justifique, ni proporcionalidad entre el supuesto de hecho y la finalidad que se persigue. Las razones de esa diferencia son “puramente ideológicas […], lesionando también con ello el principio de confianza legítima de esta universidad y de los más de 13 000 alumnos matriculados en ella, a mitad de sus estudios”. Ese “inmotivado cambio lesiona además los compromisos libremente asumidos por el Estado sobre un trato no discriminatorio a las universidades de identidad católica”, con cita del art. X del Acuerdo entre el Estado español y la Santa Sede sobre enseñanza y asuntos culturales, de 3 de enero de 1979.</w:t>
      </w:r>
    </w:p>
    <w:p w:rsidR="005728DD" w:rsidRDefault="005728DD" w:rsidP="005728DD">
      <w:pPr>
        <w:pStyle w:val="TextoNormal"/>
      </w:pPr>
    </w:p>
    <w:p w:rsidR="005728DD" w:rsidRDefault="005728DD" w:rsidP="005728DD">
      <w:pPr>
        <w:pStyle w:val="TextoNormal"/>
      </w:pPr>
      <w:r>
        <w:t xml:space="preserve">Añade la demanda que la desigualdad entre universidades públicas y privadas que plasma la mencionada resolución de 26 de junio de 2016 de la Consellería de Educación, Investigación, Cultura y Deporte, no está contemplada en la Ley Orgánica de universidades, al contrario, el art. 45.4 de esta equipara ambos tipos de universidades en materia de becas, y tal desigualdad conculca también el derecho de la Unión Europea. La obtención de una beca puede hacerse depender de criterios objetivos “como el rendimiento académico o la renta personal o familiar, pero no de criterios arbitrarios, como el tipo de centro en el que se estudie y su ideario, frente a los que la administración debe mantenerse neutral […], podría llegar a defenderse que la administración puede decidir establecer o no una determinada beca, pero lo que no puede hacer […] es, una vez creada una determinada beca, discriminar </w:t>
      </w:r>
      <w:r>
        <w:lastRenderedPageBreak/>
        <w:t>con ella a unas universidades respecto de otras, máxime sin siquiera motivar dicha discriminación de los diferentes centros universitarios y de su alumnado”. De este modo, prosigue diciendo, se procede: “Discriminando a una universidad, creada y reconocida en pie de igualdad respecto a las restantes universidades del sistema universitario valenciano —aunque con un origen privado y católico amparado en el artículo 27.6 de la Constitución por tener y profesar un ideario propio, siendo un derecho fundamental confesar este ideario o cualquier otro sin que ello acarree discriminación o desventaja pública alguna”. La consecuencia es que los alumnos que tenían pensado estudiar en su centro, “si quieren obtener una beca, aunque reúnan todas las condiciones objetivas para su obtención”, se ven “económicamente forzados, o a uno estudiar, o a estudiar en una universidad pública”. Cita la demanda resoluciones donde, dice, este tribunal reconoce la obtención de becas para los estudiantes como núcleo esencial del derecho a la educación (SSTC 214/1994, de 14 de julio, FJ 8; 188/2001, de 20 de septiembre, FFJJ 4, 5 y 6; 212/2005, de 21 de julio, y 25/2015, de 19 de febrero).</w:t>
      </w:r>
    </w:p>
    <w:p w:rsidR="005728DD" w:rsidRDefault="005728DD" w:rsidP="005728DD">
      <w:pPr>
        <w:pStyle w:val="TextoNormal"/>
      </w:pPr>
    </w:p>
    <w:p w:rsidR="005728DD" w:rsidRDefault="005728DD" w:rsidP="005728DD">
      <w:pPr>
        <w:pStyle w:val="TextoNormal"/>
      </w:pPr>
      <w:r>
        <w:t>b) Finalmente, la demanda alega la vulneración del derecho a la tutela judicial efectiva (art. 24.1 CE), que atribuye a las resoluciones judiciales también impugnadas en este amparo. En primer término la sentencia de instancia dictada por la Sección y Sala competente del Tribunal Superior de Justicia de la Comunidad Valenciana, al no haber entrado en el fondo de su recurso contra la resolución impugnada, negando su legitimación para interponerlo (acceso a la jurisdicción). En segundo término a las providencias dictadas después por la Sala Tercera del Tribunal Supremo, inadmitiendo el recurso de casación promovido por dicha parte actora contra aquella sentencia (derecho al recurso), recayendo al respecto una resolución que adolece de “una motivación ilógica e irrazonable […], ya que sólo puede deberse a un error el que, ante dos cuestiones totalmente equivalentes, se den motivaciones contradictorias, denegándose a esta parte su derecho a la doble instancia y al examen de su recurso”.</w:t>
      </w:r>
    </w:p>
    <w:p w:rsidR="005728DD" w:rsidRDefault="005728DD" w:rsidP="005728DD">
      <w:pPr>
        <w:pStyle w:val="TextoNormal"/>
      </w:pPr>
    </w:p>
    <w:p w:rsidR="005728DD" w:rsidRDefault="005728DD" w:rsidP="005728DD">
      <w:pPr>
        <w:pStyle w:val="TextoNormal"/>
      </w:pPr>
      <w:r>
        <w:t>El suplico de la demanda interesa que se dicte sentencia estimatoria del amparo y, en su consecuencia, se declare la nulidad de las resoluciones administrativas impugnadas.</w:t>
      </w:r>
    </w:p>
    <w:p w:rsidR="005728DD" w:rsidRDefault="005728DD" w:rsidP="005728DD">
      <w:pPr>
        <w:pStyle w:val="TextoNormal"/>
      </w:pPr>
    </w:p>
    <w:p w:rsidR="005728DD" w:rsidRDefault="005728DD" w:rsidP="005728DD">
      <w:pPr>
        <w:pStyle w:val="TextoNormal"/>
      </w:pPr>
      <w:r w:rsidRPr="005728DD">
        <w:rPr>
          <w:rStyle w:val="NumeroAFNegritaCaracter"/>
        </w:rPr>
        <w:t>4</w:t>
      </w:r>
      <w:r>
        <w:t>. Una vez recibidas las actuaciones, la Sección Cuarta, Sala Segunda, de este tribunal, dictó providencia el 30 de septiembre de 2019 por la que acordó admitir a trámite el recurso, “por los siguientes motivos: 1.- El presente recurso plantea un problema o afecta a una faceta de un derecho fundamental sobre el que no hay doctrina de este tribunal [STC 155/2009, FJ 2 a)]. 2.- El asunto suscitado trasciende del caso concreto porque plantea una cuestión jurídica de relevante y general repercusión social o económica [STC 155/2009, FJ 2 g)]”.</w:t>
      </w:r>
    </w:p>
    <w:p w:rsidR="005728DD" w:rsidRDefault="005728DD" w:rsidP="005728DD">
      <w:pPr>
        <w:pStyle w:val="TextoNormal"/>
      </w:pPr>
    </w:p>
    <w:p w:rsidR="005728DD" w:rsidRDefault="005728DD" w:rsidP="005728DD">
      <w:pPr>
        <w:pStyle w:val="TextoNormal"/>
      </w:pPr>
      <w:r>
        <w:t>En la misma resolución se acordó: “en aplicación de lo dispuesto en el art. 51 LOTC, diríjase atenta comunicación a la Sección Primera de la Sala de lo Contencioso-Administrativo del Tribunal Supremo a fin de que, en plazo que no exceda de diez días, remita certificación o fotocopia adverada de las actuaciones correspondientes al recurso 1984-2018.</w:t>
      </w:r>
    </w:p>
    <w:p w:rsidR="005728DD" w:rsidRDefault="005728DD" w:rsidP="005728DD">
      <w:pPr>
        <w:pStyle w:val="TextoNormal"/>
      </w:pPr>
    </w:p>
    <w:p w:rsidR="005728DD" w:rsidRDefault="005728DD" w:rsidP="005728DD">
      <w:pPr>
        <w:pStyle w:val="TextoNormal"/>
      </w:pPr>
      <w:r>
        <w:t>Así mismo, diríjase atenta comunicación a la Consellería de Educación, Investigación, Cultura y Deporte de la Generalitat Valenciana a fin de que, en plazo que no exceda de diez días, remita certificación o fotocopia adverada del expediente administrativo en relación con la resolución de 26 de junio de 2016. (‘DOGV’ del día 29).</w:t>
      </w:r>
    </w:p>
    <w:p w:rsidR="005728DD" w:rsidRDefault="005728DD" w:rsidP="005728DD">
      <w:pPr>
        <w:pStyle w:val="TextoNormal"/>
      </w:pPr>
    </w:p>
    <w:p w:rsidR="005728DD" w:rsidRDefault="005728DD" w:rsidP="005728DD">
      <w:pPr>
        <w:pStyle w:val="TextoNormal"/>
      </w:pPr>
      <w:r>
        <w:lastRenderedPageBreak/>
        <w:t>Diríjase igualmente atenta comunicación a la Sección Quinta de la Sala de lo Contencioso-Administrativo del Tribunal Superior de Justicia de la Comunidad Valenciana a fin de que, en plazo que no exceda de diez días, remita certificación o fotocopia adverada de las actuaciones correspondientes al recurso contencioso-administrativo núm. 494-2016; debiendo previamente emplazarse, para que en el plazo de diez días puedan comparecer, si lo desean,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5</w:t>
      </w:r>
      <w:r>
        <w:t>. Con fecha 4 de noviembre de 2019, la abogada de la Generalitat Valenciana presentó un escrito en el registro de este tribunal, con el fin de “comparecer […] en el citado proceso constitucional, en representación de la Generalitat”, suplicando se sirviera tenerla por comparecida en el presente recurso de amparo 1575-2019.</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18 de febrero de 2020, la secretaría de justicia de la Sección Cuarta de este tribunal dictó diligencia de ordenación por la que, de un lado, decidió tener por personado y parte a en el procedimiento “a la abogada de la Generalitat en la representación que ostenta, acordándose entender con la misma las sucesivas actuaciones”, y de otro lado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7</w:t>
      </w:r>
      <w:r>
        <w:t>. La representación procesal de la entidad recurrente presentó escrito de alegaciones el 23 de marzo de 2020, por el que se reafirmó en todo lo expuesto en su demanda, y solicitó se tuviera por evacuado el requerimiento conferido, dictando sentencia estimatoria del recurso de amparo “y cuando más pudiera proceder en Derecho”.</w:t>
      </w:r>
    </w:p>
    <w:p w:rsidR="005728DD" w:rsidRDefault="005728DD" w:rsidP="005728DD">
      <w:pPr>
        <w:pStyle w:val="TextoNormal"/>
      </w:pPr>
    </w:p>
    <w:p w:rsidR="005728DD" w:rsidRDefault="005728DD" w:rsidP="005728DD">
      <w:pPr>
        <w:pStyle w:val="TextoNormal"/>
      </w:pPr>
      <w:r w:rsidRPr="005728DD">
        <w:rPr>
          <w:rStyle w:val="NumeroAFNegritaCaracter"/>
        </w:rPr>
        <w:t>8</w:t>
      </w:r>
      <w:r>
        <w:t>. Asimismo, la abogada de la Generalitat Valenciana presentó su escrito de alegaciones el 16 de marzo de 2020, interesando de este tribunal que se dictase sentencia desestimatoria del recurso:</w:t>
      </w:r>
    </w:p>
    <w:p w:rsidR="005728DD" w:rsidRDefault="005728DD" w:rsidP="005728DD">
      <w:pPr>
        <w:pStyle w:val="TextoNormal"/>
      </w:pPr>
    </w:p>
    <w:p w:rsidR="005728DD" w:rsidRDefault="005728DD" w:rsidP="005728DD">
      <w:pPr>
        <w:pStyle w:val="TextoNormal"/>
      </w:pPr>
      <w:r>
        <w:t>a) Así, en primer lugar, se refiere la administración comparecida a la última queja de la demanda, la vulneración del derecho a la tutela judicial efectiva (art. 24.1 CE) por haberse inadmitido el recurso de casación intentado contra la sentencia de instancia. Sostiene en sentido contrario la Generalitat, que tal inadmisión satisfizo el derecho fundamental invocado y no generó indefensión pues se razonó con base en una causa legal sin resultar ambas providencias impugnadas arbitrarias, manifiestamente irrazonables, fruto de un error patente, “ni resultado de una interpretación rigorista, formalista o desproporcionada, siendo además una decisión que afecta a cuestiones de estricta legalidad ordinaria, cuya resolución solo corresponde al órgano judicial, en este caso al Tribunal Supremo”; citando la STC 112/2019, de 3 de octubre.</w:t>
      </w:r>
    </w:p>
    <w:p w:rsidR="005728DD" w:rsidRDefault="005728DD" w:rsidP="005728DD">
      <w:pPr>
        <w:pStyle w:val="TextoNormal"/>
      </w:pPr>
    </w:p>
    <w:p w:rsidR="005728DD" w:rsidRDefault="005728DD" w:rsidP="005728DD">
      <w:pPr>
        <w:pStyle w:val="TextoNormal"/>
      </w:pPr>
      <w:r>
        <w:t xml:space="preserve">b) Respecto a la queja de lesión del art. 14 CE, señala al escrito de la abogada de la Generalitat que tal y como afirmó la sentencia de instancia, la resolución administrativa impugnada no vulnera el derecho a la igualdad de la demandante, la cual “no se ve afectada en modo alguno por la misma, reguladora de derechos de los alumnos”, es decir, “no se ve afectado de manera directa e inmediata un derecho fundamental del que sea titular, no es </w:t>
      </w:r>
      <w:r>
        <w:lastRenderedPageBreak/>
        <w:t>titular del derecho a la igualdad”. El recurso debe desestimarse, prosigue, porque existen “razones objetivas que justifican el trato diferenciado que se dispensa a los alumnos de las universidades públicas y […] de las universidades privadas”, como son:</w:t>
      </w:r>
    </w:p>
    <w:p w:rsidR="005728DD" w:rsidRDefault="005728DD" w:rsidP="005728DD">
      <w:pPr>
        <w:pStyle w:val="TextoNormal"/>
      </w:pPr>
    </w:p>
    <w:p w:rsidR="005728DD" w:rsidRDefault="005728DD" w:rsidP="005728DD">
      <w:pPr>
        <w:pStyle w:val="TextoNormal"/>
      </w:pPr>
      <w:r>
        <w:t>(i) Las becas del Consell no se sustentan en normativa estatal, la cual tiene por finalidad garantizar las condiciones de igualdad a nivel nacional, sino en el Decreto 40/2002 del Consell, siendo que “la Comunitat Valenciana (como otras comunidades autónomas), con su presupuesto, y conforme a su normativa de ayudas, complementa el sistema de becas para los alumnos de la universidad pública”.</w:t>
      </w:r>
    </w:p>
    <w:p w:rsidR="005728DD" w:rsidRDefault="005728DD" w:rsidP="005728DD">
      <w:pPr>
        <w:pStyle w:val="TextoNormal"/>
      </w:pPr>
    </w:p>
    <w:p w:rsidR="005728DD" w:rsidRDefault="005728DD" w:rsidP="005728DD">
      <w:pPr>
        <w:pStyle w:val="TextoNormal"/>
      </w:pPr>
      <w:r>
        <w:t>(ii) Los “alumnos, y sus familias, en cada caso, son los que optan por acudir a la universidad privada y no a la pública (como se puede optar por acudir a la sanidad privada, o a servicios sociales privados”. Esa opción la ejercitan “bien porque, pudiendo acceder a la pública, optan libremente por otro modelo; bien porque no han alcanzado la nota de corte necesaria; bien por otros motivos personales; y, en todo caso, porque se está en disposición de costear los gastos que ello supone”; por tanto “al alumno que ha superado la nota de corte establecida y ha accedido a la universidad pública, se le pueda dar un trato diferenciado, respecto a aquel que no ha alcanzado esa nota. Precisamente el principio de igualdad, acompañado por los principios de mérito y capacidad, justifica el trato diferenciado. Del mismo modo, si se ha optado libremente por la privada, porque así se ha preferido, por su ideario o por otro motivo, también existe una clara razón objetiva que justifica la diferencia de trato respecto a los alumnos de la pública”. Además, “la universidad pública es la única que garantiza el acceso a todo tipo de alumnado, independientemente de sus condiciones socioeconómicas”, con cita del art. 45.4 de la Ley Orgánica de universidades; situación en la que no se encuentran las universidades privadas “en las que el coste de la prestación del servicio lo establece libremente cada una de ellas, acorde a sus necesidades financieras y la oferta-demanda del mercado”.</w:t>
      </w:r>
    </w:p>
    <w:p w:rsidR="005728DD" w:rsidRDefault="005728DD" w:rsidP="005728DD">
      <w:pPr>
        <w:pStyle w:val="TextoNormal"/>
      </w:pPr>
    </w:p>
    <w:p w:rsidR="005728DD" w:rsidRDefault="005728DD" w:rsidP="005728DD">
      <w:pPr>
        <w:pStyle w:val="TextoNormal"/>
      </w:pPr>
      <w:r>
        <w:t>(iii) Porque “el alumnado de la Universidad Católica de Valencia tiene a su alcance, también, becas complementarias, que se suman al sistema básico de becas del Estado”, y,</w:t>
      </w:r>
    </w:p>
    <w:p w:rsidR="005728DD" w:rsidRDefault="005728DD" w:rsidP="005728DD">
      <w:pPr>
        <w:pStyle w:val="TextoNormal"/>
      </w:pPr>
    </w:p>
    <w:p w:rsidR="005728DD" w:rsidRDefault="005728DD" w:rsidP="005728DD">
      <w:pPr>
        <w:pStyle w:val="TextoNormal"/>
      </w:pPr>
      <w:r>
        <w:t>(iv) “El acceso a la universidad pública supone el abono de unas tasas que fija el Gobierno Valenciano, suponiendo el acceso a la privada un coste mucho mayor. Siendo muy abultada la diferencia de coste, evidente es que quien opta por acudir a la universidad privada, sea por el motivo que sea, es porque dispone de recursos económicos para ello. También es evidente que la obtención de una beca de 500, de 1000, o de 1500 €, no tiene la misma incidencia para el alumno de la pública, que para el de la privada. En el primer caso puede ser determinante y decisivo, y puede incluso condicionar el acceso o la permanencia en la universidad; por contra, para el alumno de la privada, no parece que el importe de la ayuda pueda condicionar la decisión del estudiante, o de su familia”.</w:t>
      </w:r>
    </w:p>
    <w:p w:rsidR="005728DD" w:rsidRDefault="005728DD" w:rsidP="005728DD">
      <w:pPr>
        <w:pStyle w:val="TextoNormal"/>
      </w:pPr>
    </w:p>
    <w:p w:rsidR="005728DD" w:rsidRDefault="005728DD" w:rsidP="005728DD">
      <w:pPr>
        <w:pStyle w:val="TextoNormal"/>
      </w:pPr>
      <w:r>
        <w:t>Finaliza este punto la abogada de la Generalitat diciendo que la resolución administrativa impugnada resulta respetuosa con la doctrina dictada por este tribunal en materia de becas, con cita de las SSTC 63/2011, de 16 de mayo; 117/2011, de 4 de julio; 79/2011, de 6 de junio, y 61/2013, de 14 de marzo; y no cabe apreciar la lesión del art. 13 CE que se denuncia.</w:t>
      </w:r>
    </w:p>
    <w:p w:rsidR="005728DD" w:rsidRDefault="005728DD" w:rsidP="005728DD">
      <w:pPr>
        <w:pStyle w:val="TextoNormal"/>
      </w:pPr>
    </w:p>
    <w:p w:rsidR="005728DD" w:rsidRDefault="005728DD" w:rsidP="005728DD">
      <w:pPr>
        <w:pStyle w:val="TextoNormal"/>
      </w:pPr>
      <w:r>
        <w:lastRenderedPageBreak/>
        <w:t>c) En lo que atañe a la lesión del derecho a la educación del art. 27 CE, señala el escrito de alegaciones que la doctrina de este tribunal determina que en aquel precepto constitucional “no se enuncia como tal un derecho fundamental a la prestación pública, un derecho a la beca”, con cita de las SSTC 188/2001, de 20 de septiembre, y 95/2016, de 12 de mayo, por lo que “no nos hallamos ante un debate en el que pueda alegarse como vulnerado el derecho fundamental a la educación”. Es un derecho de configuración legal que requiere de normas reglamentarias y no estamos ante el contenido primario de aquel derecho, solo ante su “dimensión prestacional”, con cita de las SSTC 86/1985, de 10 de julio; 214/1994, de 14 de julio; 188/2001, de 20 de septiembre; 212/2005, de 21 de julio; 25/2015, de 19 de febrero; 25/2016, de 15 de febrero, y 95/2016, de 12 de mayo.</w:t>
      </w:r>
    </w:p>
    <w:p w:rsidR="005728DD" w:rsidRDefault="005728DD" w:rsidP="005728DD">
      <w:pPr>
        <w:pStyle w:val="TextoNormal"/>
      </w:pPr>
    </w:p>
    <w:p w:rsidR="005728DD" w:rsidRDefault="005728DD" w:rsidP="005728DD">
      <w:pPr>
        <w:pStyle w:val="TextoNormal"/>
      </w:pPr>
      <w:r>
        <w:t>d) Finalmente, respecto de la alegada lesión del derecho a la libertad ideológica y religiosa (art. 16 CE), el escrito de la abogada de la Generalitat Valenciana dice que también debe ser rechazada porque la Orden 21/2016 se limita a prever becas para el alumnado de las universidades públicas valencianas “sin hacer ninguna referencia a la Universidad Católica de Valencia, ni a su alumnado, ni a su ideario católico (tampoco a ninguna otra universidad, ni a ningún otro ideario)”, por lo que, como señaló la sentencia de instancia, “ni siquiera a nivel indiciario puede estimarse comprometido” este derecho fundamental.</w:t>
      </w:r>
    </w:p>
    <w:p w:rsidR="005728DD" w:rsidRDefault="005728DD" w:rsidP="005728DD">
      <w:pPr>
        <w:pStyle w:val="TextoNormal"/>
      </w:pPr>
    </w:p>
    <w:p w:rsidR="005728DD" w:rsidRDefault="005728DD" w:rsidP="005728DD">
      <w:pPr>
        <w:pStyle w:val="TextoNormal"/>
      </w:pPr>
      <w:r w:rsidRPr="005728DD">
        <w:rPr>
          <w:rStyle w:val="NumeroAFNegritaCaracter"/>
        </w:rPr>
        <w:t>9</w:t>
      </w:r>
      <w:r>
        <w:t>. El fiscal ante este Tribunal Constitucional presentó escrito de alegaciones el 11 de marzo de 2020, por el que interesó de este tribunal que dictara sentencia estimatoria del recurso de amparo, con reconocimiento de haberse vulnerado el derecho fundamental de la universidad recurrente a la igualdad ante la ley (art. 14 CE) por la resolución administrativa impugnada, declarando su nulidad así como la de la sentencia de instancia y la de las providencias dictadas por la Sala Primera del Tribunal Supremo, igualmente recurridas:</w:t>
      </w:r>
    </w:p>
    <w:p w:rsidR="005728DD" w:rsidRDefault="005728DD" w:rsidP="005728DD">
      <w:pPr>
        <w:pStyle w:val="TextoNormal"/>
      </w:pPr>
    </w:p>
    <w:p w:rsidR="005728DD" w:rsidRDefault="005728DD" w:rsidP="005728DD">
      <w:pPr>
        <w:pStyle w:val="TextoNormal"/>
      </w:pPr>
      <w:r>
        <w:t xml:space="preserve">a) Luego de hacer un repaso por los antecedentes de hecho del recurso, identificar las resoluciones impugnadas y los motivos y el suplico que articulan la demanda de amparo, el fiscal efectúa unas consideraciones previas al debate de fondo: (i) precisa que la resolución administrativa impugnada tiene por fin la convocatoria de becas dispuestas por la Orden 21/2016, de 10 de junio, de la Consellería de Educación, Investigación, Cultura y Deporte de la Comunitat Valenciana, objeto a su vez del recurso de amparo núm. 5099-2018 promovido por la misma universidad. En atención a esa estrecha vinculación de los actos, el presente escrito de alegaciones sigue la línea argumental del presentado en el otro recurso mencionado; (ii) se reiteran las lesiones denunciadas en la demanda; (iii) respecto del orden de examen de las quejas de la demanda, con base en la doctrina de la STC 56/2019, de 6 de mayo, FJ 2, ha de empezarse con las lesiones atribuidas a la resolución administrativa impugnada, tanto por responder a la lógica de la mayor retroacción, como porque la especial trascendencia constitucional que ha permitido la admisión a trámite del presente recurso concierne justamente a fijar doctrina sobre la posible lesión del derecho sustantivo a la igualdad entre alumnos de universidades públicas y privadas en materia de concesión de becas; (iv) ha de afirmarse la legitimación de la universidad demandante para promover el presente recurso de amparo, al tener interés legítimo [art. 162.1 b) CE] “habida cuenta de que la imposibilidad de los estudiantes de una universidad privada de acceder a las becas que están reconocidas a los estudiantes de las universidades públicas, además de perjudicar a los estudiantes de aquellas, puede constituir un elemento disuasorio para la matriculación de determinados estudiantes (quienes reunieran los requisitos para la obtención de las becas) </w:t>
      </w:r>
      <w:r>
        <w:lastRenderedPageBreak/>
        <w:t>en universidades privadas, lo que para estas habría de significar, en definitiva, menor número de estudiantes, con el consiguiente perjuicio en el ámbito económico y la correlativa incertidumbre sobre su supervivencia futura, a cuya afectación habría que sumar, por no ser en absoluto desdeñable, la correlativa limitación de su libertad de enseñanza. A lo que habría que añadir, para reforzar tal legitimación, que no es descartable que una universidad privada pudiera actuar por sus alumnos, a tenor de que estos, más allá de ser meros receptores de la educación que se imparte, se integran en los organismos universitarios (ver artículos 15.2, sobre el consejo de gobierno, y 16.3, sobre el claustro universitario, de la Ley Orgánica 6/2001, de 21 de diciembre, de universidades)”; y (v) se defiende que las disposiciones reglamentarias pueden ser objeto de un recurso de amparo, si son de aplicación directa y violan un derecho fundamental de los protegibles en este proceso, con cita de las SSTC 141/1985, de 22 de octubre, FJ 2; 189/1987, de 24 de noviembre, FJ 3; 192/1991, de 14 de octubre, FJ 2, y 57/2004, de 19 de abril, FJ 2. “En todo caso”, añade, la resolución administrativa aquí impugnada “sería al menos un ‘acto jurídico’ de los contemplados en el artículo 43.1 LOTC”.</w:t>
      </w:r>
    </w:p>
    <w:p w:rsidR="005728DD" w:rsidRDefault="005728DD" w:rsidP="005728DD">
      <w:pPr>
        <w:pStyle w:val="TextoNormal"/>
      </w:pPr>
    </w:p>
    <w:p w:rsidR="005728DD" w:rsidRDefault="005728DD" w:rsidP="005728DD">
      <w:pPr>
        <w:pStyle w:val="TextoNormal"/>
      </w:pPr>
      <w:r>
        <w:t>b) En cuanto al examen de fondo, el escrito de alegaciones del fiscal empieza por hacer un resumen de la doctrina constitucional tanto del derecho de igualdad ante la ley del art. 14 CE, con cita de las SSTC 91/2019, de 3 de julio, FJ 4, y 200/2001, de 4 de octubre, FJ 4; como del derecho a no padecer discriminación por alguna de las circunstancias mencionadas en aquel mismo precepto constitucional, de nuevo con apoyo en la STC 91/2019, FJ 4 —y otras sentencias anteriores que esta cita—. Sentado esto, y tras reiterar una vez más los términos de la queja de lesión del art. 14 CE de la demanda de amparo, el fiscal ante este tribunal centra sus consideraciones favorables a entender cometida la lesión denunciada, a partir de tres elementos:</w:t>
      </w:r>
    </w:p>
    <w:p w:rsidR="005728DD" w:rsidRDefault="005728DD" w:rsidP="005728DD">
      <w:pPr>
        <w:pStyle w:val="TextoNormal"/>
      </w:pPr>
    </w:p>
    <w:p w:rsidR="005728DD" w:rsidRDefault="005728DD" w:rsidP="005728DD">
      <w:pPr>
        <w:pStyle w:val="TextoNormal"/>
      </w:pPr>
      <w:r>
        <w:t>(i) La afirmación de que, a efectos jurídicos, atendida la normativa universitaria estatal y de la Comunitat Valenciana, así como la doctrina de la STC 176/2015, de 22 de julio, FJ 2, resulta que “las universidades públicas y las universidades privadas pueden considerarse iguales en lo sustancial, como puede afirmarse, ya con carácter particular, que la universidad privada aquí recurrente es, a esos efectos jurídicos, igual a las universidades públicas de la Comunitat Valenciana”.</w:t>
      </w:r>
    </w:p>
    <w:p w:rsidR="005728DD" w:rsidRDefault="005728DD" w:rsidP="005728DD">
      <w:pPr>
        <w:pStyle w:val="TextoNormal"/>
      </w:pPr>
    </w:p>
    <w:p w:rsidR="005728DD" w:rsidRDefault="005728DD" w:rsidP="005728DD">
      <w:pPr>
        <w:pStyle w:val="TextoNormal"/>
      </w:pPr>
      <w:r>
        <w:t>(ii) Con arreglo a lo dispuesto en el art. 27 CE y la doctrina de la STC 188/2001, de 20 de septiembre, FJ 5, entiende el fiscal que “las becas y ayudas en la enseñanza postobligatoria son un elemento esencial del derecho a la educación que se sustenta en un doble principio: han de compensar las condiciones socioeconómicas desfavorables de sus beneficiarios y deben otorgarse en función de la capacidad y rendimiento escolar […], ello ha de ser así porque en un Estado social de Derecho (artículo 1 CE) que debe promover las condiciones para que la libertad y la igualdad del individuo sean reales y efectivas (artículo 9.2 CE), que proclama el libre desarrollo de la personalidad (artículo 10.1 CE) y que reconoce el derecho a la educación (artículo 27.l CE), es evidente que los poderes públicos deben establecer un programa de ayudas al estudio que garantice a los ciudadanos con menos recursos económicos el acceso a la educación”, y,</w:t>
      </w:r>
    </w:p>
    <w:p w:rsidR="005728DD" w:rsidRDefault="005728DD" w:rsidP="005728DD">
      <w:pPr>
        <w:pStyle w:val="TextoNormal"/>
      </w:pPr>
    </w:p>
    <w:p w:rsidR="005728DD" w:rsidRDefault="005728DD" w:rsidP="005728DD">
      <w:pPr>
        <w:pStyle w:val="TextoNormal"/>
      </w:pPr>
      <w:r>
        <w:t xml:space="preserve">(iii) El tratamiento que ha de tener el sistema de becas dentro de la distribución competencial entre el Estado y las comunidades autónomas, a partir de lo dispuesto en el art. 149.1.30 CE, en relación con el art. 27 de esta, y la doctrina de la STC 188/2001, de 20 de </w:t>
      </w:r>
      <w:r>
        <w:lastRenderedPageBreak/>
        <w:t>septiembre, de lo que resulta en palabras de esta, que “el legislador orgánico, al desarrollar el derecho a la educación (art. 27 CE), ha considerado a las becas como un elemento central para la efectividad de tal derecho” y que “dicho legislador orgánico no ha regulado el entero régimen jurídico de las becas, pues dicha configuración central se complementa con la normativa de rango reglamentario”. Siendo así, y tras identificar los reglamentos que se han dictado en el Estado y en la Comunitat Valenciana con incidencia en esta materia, precisa el escrito de alegaciones que “ha de rechazarse inmediatamente cualquier intento dirigido a entender que la comunidad autónoma está ejerciendo su competencia por razón de la materia (en la actualidad, artículo 53.1 del estatuto) para promover la convocatoria en los términos previstos en la resolución impugnada sobre la base de considerar que la financiación de las ayudas y de las becas financiadas con cargo a los presupuestos generales de la comunidad autónoma no interfiere en la financiación estatal con cargo a los presupuestos generales del Estado, con arreglo a lo cual la legislación básica del Estado en esta materia solo operaría respecto del sistema de ayudas y becas cuando se financien con cargo a los presupuestos generales del Estado”. Y ello porque, explica, “la referencia contenida en estas normas [estatales] a que el sistema de ayudas se financia con cargo a los presupuestos del Estado ha de ser entendida como la consecuencia lógica que deriva del ejercicio de una competencia propia y la necesidad de financiar las ayudas derivadas de su ejercicio con fondos propios, pero no implica que la regulación establecida en dichas normas deje de ser básica para las comunidades autónomas y no deba ser respetada por ellas, por lo que no es posible admitir que la normativa básica dictada solo rija para la administración del Estado, como no es posible entender que las comunidades autónomas puedan apartarse de la misma”; citando de nuevo en su apoyo la STC 188/2001, FJ 10 a).</w:t>
      </w:r>
    </w:p>
    <w:p w:rsidR="005728DD" w:rsidRDefault="005728DD" w:rsidP="005728DD">
      <w:pPr>
        <w:pStyle w:val="TextoNormal"/>
      </w:pPr>
    </w:p>
    <w:p w:rsidR="005728DD" w:rsidRDefault="005728DD" w:rsidP="005728DD">
      <w:pPr>
        <w:pStyle w:val="TextoNormal"/>
      </w:pPr>
      <w:r>
        <w:t xml:space="preserve">En aplicación de esta doctrina al caso, alega el fiscal que la resolución administrativa aquí impugnada “no hace sino materializar lo establecido en la Orden 21/2016, de 10 de junio, por la que se establecen las bases reguladoras para la concesión de las becas para la realización de estudios universitarios en las universidades de la Comunitat Valenciana (‘DOCV’ número 7805, de 14 de junio de 2016), norma que en su artículo 2, dedicado a los ‘beneficiarios y estudios comprendidos’, vino a restringir su obtención al ámbito de los estudios cursados en universidades públicas, pues en cuanto a los estudios cursados en universidades privadas sólo permitía solicitar la beca para los estudios que se concretaran en cada convocatoria, lo que se efectuó en esa Resolución de 26 de junio de 2016, de la Consellería de Educación, Investigación, Cultura y Deporte, contemplando el otorgamiento de becas en universidades privadas para cursar el grado o licenciatura en veterinaria. Lo que implica necesariamente que, salvo en el caso de excepción, para poder disfrutar de esas becas de estudios, la opción prioritaria sería la universidad pública frente a la universidad privada. […] Lo que revela a todas luces una justificación no razonable del trato desigualitario”, conforme a lo que se ha razonado antes en este escrito, además de que se “opone frontalmente a la normativa básica del Estado, que no distingue entre universidades públicas y privadas”. Asimismo, la resolución administrativa recurrida ha desconocido el art. X, apartado 3, del Acuerdo entre el Estado español y la Santa Sede sobre enseñanzas y asuntos culturales, de 3 de enero de 1979, que garantiza para las universidades, colegios universitarios, escuelas universitarias y otros centros universitarios de la Iglesia católica, los mismos beneficios en materia de ayudas al estudio y a la investigación, que las establecidas para los alumnos de las universidades del Estado, norma integrada en el ordenamiento jurídico nacional (SSTC 66/1982, de 12 de noviembre, FJ 5, y 187/ 1991, de 3 de octubre, FJ 1)”. </w:t>
      </w:r>
      <w:r>
        <w:lastRenderedPageBreak/>
        <w:t>Teniendo en cuenta lo alegado previamente, y que “no se ha demostrado por la administración educativa autonómica el carácter justificado de la diferenciación, avala la vulneración por parte aquella disposición autonómica de la cláusula general de igualdad del artículo 14 CE”.</w:t>
      </w:r>
    </w:p>
    <w:p w:rsidR="005728DD" w:rsidRDefault="005728DD" w:rsidP="005728DD">
      <w:pPr>
        <w:pStyle w:val="TextoNormal"/>
      </w:pPr>
    </w:p>
    <w:p w:rsidR="005728DD" w:rsidRDefault="005728DD" w:rsidP="005728DD">
      <w:pPr>
        <w:pStyle w:val="TextoNormal"/>
      </w:pPr>
      <w:r>
        <w:t>Como consecuencia, “el número 3 apartado segundo de la Resolución de 26 de junio de 2016 […], que es el número 2 del apartado primero del extracto de dicha resolución publicado en el ‘DOGV’ […] ha lesionado el derecho fundamental a la igualdad ante la ley (artículo 14 CE) de la demandante de amparo”. Como medidas de restablecimiento del derecho, el fiscal entiende que procede la nulidad tanto “del indicado precepto”, como de la sentencia de instancia y de las resoluciones dictadas en casación por la Sala Tercera del Tribunal Supremo, siendo “consecuencia necesaria de todo ello que carezca de interés el análisis de las demás lesiones de derechos fundamentales que han sido denunciadas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A los efectos que interesan a este proceso, ha de indicarse que el recurso de amparo núm. 5099-2018 promovido por la universidad aquí recurrente contra la Orden de la Consellería de Educación, Investigación, Cultura y Deporte de la Generalitat Valenciana 21/2016, de 10 de junio, ha sido estimado por STC 191/2020, de 17 de diciembre, del Pleno, en cuyo fallo se estableció lo siguiente:</w:t>
      </w:r>
    </w:p>
    <w:p w:rsidR="005728DD" w:rsidRDefault="005728DD" w:rsidP="005728DD">
      <w:pPr>
        <w:pStyle w:val="TextoNormal"/>
      </w:pPr>
    </w:p>
    <w:p w:rsidR="005728DD" w:rsidRDefault="005728DD" w:rsidP="005728DD">
      <w:pPr>
        <w:pStyle w:val="TextoNormal"/>
      </w:pPr>
      <w:r>
        <w:t>“1º Declarar que ha sido vulnerado su derecho fundamental a la igualdad (artículo 14 CE), en relación con su derecho fundamental a la creación de centros docentes (apartado 6 del artículo 27 CE).</w:t>
      </w:r>
    </w:p>
    <w:p w:rsidR="005728DD" w:rsidRDefault="005728DD" w:rsidP="005728DD">
      <w:pPr>
        <w:pStyle w:val="TextoNormal"/>
      </w:pPr>
    </w:p>
    <w:p w:rsidR="005728DD" w:rsidRDefault="005728DD" w:rsidP="005728DD">
      <w:pPr>
        <w:pStyle w:val="TextoNormal"/>
      </w:pPr>
      <w:r>
        <w:t>2º Restablecerla en sus derechos y, en consecuencia, declarar la nulidad del término ‘públicas’ del apartado 1 del artículo 2 de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así como la nulidad del apartado 3 de dicho artículo 2”.</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fecha 25 de febrero de 2021, se señaló para deliberación y votación de la presente sentencia el día 3 de marzo de 2021.</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 y cuestiones previas al examen de las quejas</w:t>
      </w:r>
      <w:r>
        <w:t>.</w:t>
      </w:r>
    </w:p>
    <w:p w:rsidR="005728DD" w:rsidRDefault="005728DD" w:rsidP="005728DD">
      <w:pPr>
        <w:pStyle w:val="TextoNormal"/>
      </w:pPr>
    </w:p>
    <w:p w:rsidR="005728DD" w:rsidRDefault="005728DD" w:rsidP="005728DD">
      <w:pPr>
        <w:pStyle w:val="TextoNormal"/>
      </w:pPr>
      <w:r>
        <w:t xml:space="preserve">En los términos que se han descrito en los antecedentes, la demanda de amparo alega que la resolución administrativa impugnada vulnera el derecho a la igualdad ante la ley (art. 14 CE) de la universidad recurrente, con proyección también en su derecho a la creación de centros universitarios (art. 27.6 CE) y a la libertad ideológica y religiosa (art. 16 CE), porque la convocatoria de becas que aprueba dicha resolución discrimina a las universidades privadas de la Comunidad Valenciana, entre ellas y en lo que aquí importa a la recurrente, al excluir de la relación de beneficiarios a las personas interesadas en realizar estudios impartidos en universidades privadas, quedando así reservadas tales becas a los alumnos de las </w:t>
      </w:r>
      <w:r>
        <w:lastRenderedPageBreak/>
        <w:t>universidades públicas del sistema universitario valenciano, con la única excepción del grado o licenciatura en veterinaria, donde sí se ofrece a todos. Asimismo, la demanda de amparo denuncia la vulneración de su derecho a la tutela judicial efectiva (art. 24.1 CE) contra la sentencia de la Sección Quinta de la Sala de lo Contencioso-Administrativo del Tribunal Superior de Justicia de la Comunidad Valenciana, por haber desestimado por falta de legitimación activa el recurso contencioso-administrativo interpuesto contra aquella resolución, dejando así de resolver el fondo controvertido (lesión del derecho de acceso a la jurisdicción); y contra las providencias de la Sala Tercera del Tribunal Supremo que inadmitieron el recurso de casación promovido por dicha parte contra la sentencia citada (lesión del derecho de acceso al recurso).</w:t>
      </w:r>
    </w:p>
    <w:p w:rsidR="005728DD" w:rsidRDefault="005728DD" w:rsidP="005728DD">
      <w:pPr>
        <w:pStyle w:val="TextoNormal"/>
      </w:pPr>
    </w:p>
    <w:p w:rsidR="005728DD" w:rsidRDefault="005728DD" w:rsidP="005728DD">
      <w:pPr>
        <w:pStyle w:val="TextoNormal"/>
      </w:pPr>
      <w:r>
        <w:t>La pretensión estimatoria de la demanda de amparo ha sido respaldada en su escrito de alegaciones por el fiscal ante este tribunal, en concreto respecto de la lesión a no sufrir discriminación del art. 14 CE, mientras que la letrada de la Generalitat Valenciana, en la representación que legalmente ostenta, ha interesado la desestimación del recurso por considerar conformes a Derecho las resoluciones impugnadas. No se han opuesto óbices a la admisibilidad del recurso.</w:t>
      </w:r>
    </w:p>
    <w:p w:rsidR="005728DD" w:rsidRDefault="005728DD" w:rsidP="005728DD">
      <w:pPr>
        <w:pStyle w:val="TextoNormal"/>
      </w:pPr>
    </w:p>
    <w:p w:rsidR="005728DD" w:rsidRDefault="005728DD" w:rsidP="005728DD">
      <w:pPr>
        <w:pStyle w:val="TextoNormal"/>
      </w:pPr>
      <w:r>
        <w:t>Trabado así el debate constitucional, antes de analizar las quejas de fondo de la demanda procede hacer algunas consideraciones previas:</w:t>
      </w:r>
    </w:p>
    <w:p w:rsidR="005728DD" w:rsidRDefault="005728DD" w:rsidP="005728DD">
      <w:pPr>
        <w:pStyle w:val="TextoNormal"/>
      </w:pPr>
    </w:p>
    <w:p w:rsidR="005728DD" w:rsidRDefault="005728DD" w:rsidP="005728DD">
      <w:pPr>
        <w:pStyle w:val="TextoNormal"/>
      </w:pPr>
      <w:r>
        <w:t>(i) Aunque el escrito de demanda se refiere en su totalidad a la resolución de 26 de junio de 2016 de la Consellería de Educación, Investigación, Cultura y Deporte, de la Generalitat Valenciana, “por la que se convocan becas para la realización de estudios universitarios durante el curso académico 2015-2016 en las universidades de la Comunitat Valenciana”, sin embargo del contenido de las quejas que formula la recurrente se deduce que únicamente cuestiona de dicha resolución, las siguientes menciones cuyo texto se ha transcrito en el antecedente 2 a) de esta sentencia: a) de un lado, los términos “públicas” y “centros públicos adscritos” que trae el apartado segundo, 1, para definir respectivamente a las universidades y a los centros adscritos a estas que imparten los estudios que pueden sufragarse a través de dichas becas, siendo su alumnado los únicos beneficiarios; y b) de otro lado, el apartado segundo 3, que limita la obtención de becas a los alumnos matriculados de “universidades privadas y centros privados”, a la realización de estudios de grado o licenciatura en veterinaria. Estas reglas se incluyen a su vez y respectivamente, en los apartados primero 1 y 2, del extracto de la resolución citada.</w:t>
      </w:r>
    </w:p>
    <w:p w:rsidR="005728DD" w:rsidRDefault="005728DD" w:rsidP="005728DD">
      <w:pPr>
        <w:pStyle w:val="TextoNormal"/>
      </w:pPr>
    </w:p>
    <w:p w:rsidR="005728DD" w:rsidRDefault="005728DD" w:rsidP="005728DD">
      <w:pPr>
        <w:pStyle w:val="TextoNormal"/>
      </w:pPr>
      <w:r>
        <w:t>En consecuencia, nuestro examen de fondo se contraerá a lo dispuesto en el inciso y apartados que se acaban de identificar.</w:t>
      </w:r>
    </w:p>
    <w:p w:rsidR="005728DD" w:rsidRDefault="005728DD" w:rsidP="005728DD">
      <w:pPr>
        <w:pStyle w:val="TextoNormal"/>
      </w:pPr>
    </w:p>
    <w:p w:rsidR="005728DD" w:rsidRDefault="005728DD" w:rsidP="005728DD">
      <w:pPr>
        <w:pStyle w:val="TextoNormal"/>
      </w:pPr>
      <w:r>
        <w:t>(ii) Tanto la resolución de la Consellería de Educación, Investigación, Cultura y Deporte de 26 de junio de 2016, que es un acto administrativo general que se limita a aplicar las previsiones contenidas en una orden autonómica previa; como las resoluciones judiciales igualmente impugnadas por la demanda, son actos jurídicos de los poderes públicos susceptibles de control en el presente proceso de amparo, conforme a lo dispuesto en los arts. 41.2, 43.1 y 44.1 de nuestra Ley Orgánica reguladora.</w:t>
      </w:r>
    </w:p>
    <w:p w:rsidR="005728DD" w:rsidRDefault="005728DD" w:rsidP="005728DD">
      <w:pPr>
        <w:pStyle w:val="TextoNormal"/>
      </w:pPr>
    </w:p>
    <w:p w:rsidR="005728DD" w:rsidRDefault="005728DD" w:rsidP="005728DD">
      <w:pPr>
        <w:pStyle w:val="TextoNormal"/>
      </w:pPr>
      <w:r>
        <w:t xml:space="preserve">(iii) Del mismo modo como hemos declarado en la STC 191/2020, de 17 de diciembre, en un asunto que guarda directa conexión con el presente recurso de amparo —tal y como </w:t>
      </w:r>
      <w:r>
        <w:lastRenderedPageBreak/>
        <w:t>se explicará en el siguiente fundamento jurídico—, la entidad aquí recurrente ostenta interés legítimo [art. 162.1 b) CE] para su interposición porque “la exclusión de los estudiantes de las universidades privadas del régimen de becas […] concierne, tanto al derecho del titular de la universidad a crear instituciones educativas (artículo 27.6 CE), como al de los estudiantes matriculados en dicha universidad (artículo 27.5 CE)” [STC 191/2020, FJ 2 a)].</w:t>
      </w:r>
    </w:p>
    <w:p w:rsidR="005728DD" w:rsidRDefault="005728DD" w:rsidP="005728DD">
      <w:pPr>
        <w:pStyle w:val="TextoNormal"/>
      </w:pPr>
    </w:p>
    <w:p w:rsidR="005728DD" w:rsidRDefault="005728DD" w:rsidP="005728DD">
      <w:pPr>
        <w:pStyle w:val="TextoNormal"/>
      </w:pPr>
      <w:r>
        <w:t>(iv) Finalmente, en cuanto al orden de enjuiciamiento de las quejas planteadas, siguiendo también a la STC 191/2020, que cita doctrina constitucional previa: “El recurso de amparo se interpone de acuerdo con los artículos 43 y 44 LOTC, por lo que, tal y como también señala el Ministerio Fiscal, se trata de un recurso de amparo ‘mixto’, que imputa a la administración vulneraciones de derechos fundamentales de carácter sustantivo y atribuye al mismo tiempo lesiones procesales a los tribunales que intervinieron después. Por lo tanto, de conformidad con nuestra doctrina y, entre otras, con la STC 56/2019, de 6 de mayo, FJ 2, a cuyo razonamiento nos remitimos, abordaremos, en primer término, las quejas relativas a los artículos 14, 16 y 27 CE y, solo después, si fueran desestimadas, nos ocuparíamos de la denunciada vulneración del derecho a la tutela judicial efectiva. A ello ha de añadirse, atendiendo a la doctrina de este tribunal construida en torno a procedimientos de tutela de derechos fundamentales como el instado por la parte recurrente en la vía judicial, que ‘cuando junto a la pretensión relativa al derecho fundamental sustantivo se invoca el artículo 24 CE y se solicita la nulidad de la resolución judicial de inadmisión del recurso interpuesto, pierde sentido la invocación del artículo 24.1 CE y se abre el camino para considerar la pretensión de fondo, más si, como será el caso esta vez, cuenta el tribunal con todos los datos necesarios para resolver materialmente la cuestión sustantiva. En consecuencia, planteada la cuestión principal, puede y debe resolverse sin más dilación’ (SSTC 143/2003, de 14 de julio, FJ 2, y 118/2012, de 4 de junio, FJ 3)” (STC 191/2020, FJ 3).</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Examen de fondo. Aplicación de la doctrina sentada por la STC 191/2020, de 17 de diciembre</w:t>
      </w:r>
      <w:r>
        <w:t>.</w:t>
      </w:r>
    </w:p>
    <w:p w:rsidR="005728DD" w:rsidRDefault="005728DD" w:rsidP="005728DD">
      <w:pPr>
        <w:pStyle w:val="TextoNormal"/>
      </w:pPr>
    </w:p>
    <w:p w:rsidR="005728DD" w:rsidRDefault="005728DD" w:rsidP="005728DD">
      <w:pPr>
        <w:pStyle w:val="TextoNormal"/>
      </w:pPr>
      <w:r>
        <w:t>a) Damos así comienzo al examen de las quejas de fondo de la demanda, con la deducida por vulneración de los arts. 14 (igualdad ante la ley) y 27.6 (libertad de creación —y funcionamiento— de centros docentes) CE, al quedar excluidos los alumnos de las universidades privadas valencianas de los beneficiarios de becas para la realización de estudios universitarios excepto en veterinaria, en los términos contenidos en la convocatoria de 2016 aprobada en la resolución administrativa que se impugna. Para dar respuesta al motivo planteado hemos de atender a los pronunciamientos efectuados por este tribunal en la ya citada STC 191/2020, de 17 de diciembre, en la que se resolvió idéntica cuestión, en concreto a propósito del término “públicas” del art. 2, apartado 1, y de todo el enunciado del apartado 3 del mismo artículo, de la Orden 21/2016, de 10 de junio, de la Consellería de Educación, Investigación, Cultura y Deporte de la Generalitat Valenciana, “por la que se establecen las bases reguladoras para la concesión de las becas para la realización de estudios universitarios en las universidades de la Comunitat Valenciana”, cuyo texto se reprodujo en el antecedente 2 a) de esta sentencia. Ya hemos dicho que la resolución impugnada en el presente amparo fue dictada en aplicación precisamente de las bases previstas en la Orden 21/2016, y la exclusión de los beneficiarios al goce de estas becas se formula en los mismos términos.</w:t>
      </w:r>
    </w:p>
    <w:p w:rsidR="005728DD" w:rsidRDefault="005728DD" w:rsidP="005728DD">
      <w:pPr>
        <w:pStyle w:val="TextoNormal"/>
      </w:pPr>
    </w:p>
    <w:p w:rsidR="005728DD" w:rsidRDefault="005728DD" w:rsidP="005728DD">
      <w:pPr>
        <w:pStyle w:val="TextoNormal"/>
      </w:pPr>
      <w:r>
        <w:lastRenderedPageBreak/>
        <w:t>Procede por tanto traer a colación los pasajes más destacados del FJ 5 de dicha STC 191/2020 —sin perjuicio de remitir a su total lectura—, donde se ofrecen las razones por las que cabe entender cometida la vulneración alegada:</w:t>
      </w:r>
    </w:p>
    <w:p w:rsidR="005728DD" w:rsidRDefault="005728DD" w:rsidP="005728DD">
      <w:pPr>
        <w:pStyle w:val="TextoNormal"/>
      </w:pPr>
    </w:p>
    <w:p w:rsidR="005728DD" w:rsidRDefault="005728DD" w:rsidP="005728DD">
      <w:pPr>
        <w:pStyle w:val="TextoNormal"/>
      </w:pPr>
      <w:r>
        <w:t>«Afirmada la diferencia de trato entre las universidades públicas y privadas, por la exclusión de las becas reguladas en la orden de los alumnos y de las enseñanzas de las universidades privadas, en este caso concreto, hay un término de comparación válido, tal y como aduce el Ministerio Fiscal.</w:t>
      </w:r>
    </w:p>
    <w:p w:rsidR="005728DD" w:rsidRDefault="005728DD" w:rsidP="005728DD">
      <w:pPr>
        <w:pStyle w:val="TextoNormal"/>
      </w:pPr>
    </w:p>
    <w:p w:rsidR="005728DD" w:rsidRDefault="005728DD" w:rsidP="005728DD">
      <w:pPr>
        <w:pStyle w:val="TextoNormal"/>
      </w:pPr>
      <w:r>
        <w:t>En primer lugar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[artículo 1.1 Ley Orgánica de universidades (LOU)]. Por su parte, el artículo 2 de la Ley 4/2007, de 9 de febrero, de coordinación del sistema universitario valenciano, determina que este está formado por las universidades de titularidad pública y las de titularidad privada, entre las que se encuentra la Universidad Católica de Valencia San Vicente Mártir (artículo 2.1 b) de la Ley), ahora recurrente en amparo.</w:t>
      </w:r>
    </w:p>
    <w:p w:rsidR="005728DD" w:rsidRDefault="005728DD" w:rsidP="005728DD">
      <w:pPr>
        <w:pStyle w:val="TextoNormal"/>
      </w:pPr>
    </w:p>
    <w:p w:rsidR="005728DD" w:rsidRDefault="005728DD" w:rsidP="005728DD">
      <w:pPr>
        <w:pStyle w:val="TextoNormal"/>
      </w:pPr>
      <w:r>
        <w:t>Al respecto, este tribunal ha afirmado que “todas las universidades sin distinción, también por tanto las de titularidad privada (artículo 3.2 LOU), realizan un ‘servicio público de educación superior’ a través de las funciones que les asigna la Ley Orgánica de universidades en su artículo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artículo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(artículo 4.4 LOU)’ (entre otras, SSTC 176/2015, de 22 de julio, FJ 2, y 74/2019, de 22 de mayo, FJ 4)”» [FJ 5 b)].</w:t>
      </w:r>
    </w:p>
    <w:p w:rsidR="005728DD" w:rsidRDefault="005728DD" w:rsidP="005728DD">
      <w:pPr>
        <w:pStyle w:val="TextoNormal"/>
      </w:pPr>
    </w:p>
    <w:p w:rsidR="005728DD" w:rsidRDefault="005728DD" w:rsidP="005728DD">
      <w:pPr>
        <w:pStyle w:val="TextoNormal"/>
      </w:pPr>
      <w:r>
        <w:t>“Además, la legislación orgánica, a la hora de configurar las becas y ayudas al estudio (artículo 45 LOU) no ha establecido distinción entre los alumnos matriculados en las universidades públicas y privadas ni en relación con las enseñanzas que imparten las mismas” [FJ 5 b)].</w:t>
      </w:r>
    </w:p>
    <w:p w:rsidR="005728DD" w:rsidRDefault="005728DD" w:rsidP="005728DD">
      <w:pPr>
        <w:pStyle w:val="TextoNormal"/>
      </w:pPr>
    </w:p>
    <w:p w:rsidR="005728DD" w:rsidRDefault="005728DD" w:rsidP="005728DD">
      <w:pPr>
        <w:pStyle w:val="TextoNormal"/>
      </w:pPr>
      <w:r>
        <w:t>“Tampoco en la regulación del sistema de becas en la Comunitat valenciana se establece esta distinción entre universidades públicas y privadas, que solo se evidencia en el artículo 2 de la orden que ha dado lugar al presente recurso de amparo” [FJ 5 b)].</w:t>
      </w:r>
    </w:p>
    <w:p w:rsidR="005728DD" w:rsidRDefault="005728DD" w:rsidP="005728DD">
      <w:pPr>
        <w:pStyle w:val="TextoNormal"/>
      </w:pPr>
    </w:p>
    <w:p w:rsidR="005728DD" w:rsidRDefault="005728DD" w:rsidP="005728DD">
      <w:pPr>
        <w:pStyle w:val="TextoNormal"/>
      </w:pPr>
      <w:r>
        <w:t xml:space="preserve">“En cuanto a la justificación del trato dispar [del tenor de los apartados concernidos no] es posible encontrar una finalidad que justifique el establecimiento del tratamiento diferenciado al que se ha hecho referencia entre las universidades públicas y las universidades privadas. Tampoco las alegaciones de la comunidad autónoma permiten justificar desde la perspectiva del artículo 14 CE, la diferencia de trato denunciada. […] Pues bien, aunque se pudiera considerar, tal y como alega el representante de la Generalitat, que las comunidades </w:t>
      </w:r>
      <w:r>
        <w:lastRenderedPageBreak/>
        <w:t>autónomas puedan establecer otras modalidades de ayudas con cargo a su presupuesto, no pueden hacerlo distinguiendo sin justificación y al margen de la legislación vigente, que no diferencia entre universidades públicas y privadas. El tribunal ha entendido que el poder de gastar no es un título atributivo de competencias (STC 13/1992, de 6 de febrero, FJ 5) sino que el poder de gastar y subvencionar va unido a la competencia de la materia sobre la que se incide, esto es, que la subvención no es concepto que delimite competencias, atrayendo toda regulación que, desde uno u otro aspecto, tenga conexión con aquella (STC 38/1992, de 30 de junio, FJ 5). De esta manera, y conforme al régimen de distribución de competencias en materia de educación (entre otras STC 188/2001, 20 de septiembre), el sistema de ayudas que establezca la comunidad autónoma no puede desconocer lo dispuesto por el legislador estatal, y en concreto el mandato de igualdad en las ayudas. Al respecto, afirmó este tribunal que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188/2001, de 20 de septiembre, FJ 4)”. [FJ 5 c)]</w:t>
      </w:r>
    </w:p>
    <w:p w:rsidR="005728DD" w:rsidRDefault="005728DD" w:rsidP="005728DD">
      <w:pPr>
        <w:pStyle w:val="TextoNormal"/>
      </w:pPr>
    </w:p>
    <w:p w:rsidR="005728DD" w:rsidRDefault="005728DD" w:rsidP="005728DD">
      <w:pPr>
        <w:pStyle w:val="TextoNormal"/>
      </w:pPr>
      <w:r>
        <w:t>“El resto de las razones aducidas tampoco pueden sustentar la diferencia de trato. Los requisitos económicos así como los requisitos de mérito y capacidad ya están previstos en los artículos 5 y siguientes de la orden, así como en las normas que desarrollan el artículo 27.5 CE sin que por lo tanto pueda justificar una diferencia de trato entre las universidades públicas y privadas. Tampoco el hecho de que el alumno haya optado por la universidad privada por razón de su ideario puede justificar la diferencia de trato establecida pues no puede aducir desigualdad una causa de discriminación vedada por la Constitución”. [FJ 5 c)]</w:t>
      </w:r>
    </w:p>
    <w:p w:rsidR="005728DD" w:rsidRDefault="005728DD" w:rsidP="005728DD">
      <w:pPr>
        <w:pStyle w:val="TextoNormal"/>
      </w:pPr>
    </w:p>
    <w:p w:rsidR="005728DD" w:rsidRDefault="005728DD" w:rsidP="005728DD">
      <w:pPr>
        <w:pStyle w:val="TextoNormal"/>
      </w:pPr>
      <w:r>
        <w:t>b) La aplicación de la doctrina de referencia conduce a la estimación de esta primera queja de la demanda de amparo. En estricta correlación con los preceptos de la Orden 21/2016, de 10 de junio, cuestionados por la universidad aquí recurrente en el recurso de amparo núm. 5099-2018, el apartado segundo, punto1, de la resolución de 26 de junio de 2016 de la misma Consellería de la Generalitat Valenciana (apartado primero, punto 1, del extracto de la resolución publicado en el “DOCV” núm. 7817) dispuso que las becas convocadas lo eran exclusivamente para la realización de estudios universitarios durante el curso académico 2015-2016, “en las universidades públicas” que integran el sistema universitario valenciano, “así como sus centros adscritos”, de modo que solamente su alumnado podían solicitarlas. Como única excepción que confirmaba esa exclusión general, el apartado segundo, 3, de la misma resolución impugnada (apartado primero, 2, del extracto publicado), a su vez, previó que el alumnado matriculado en las universidades privadas, como es el caso de la demandante de amparo, o en los centros privados adscritos a universidades públicas, únicamente podrían solicitar las becas para realizar estudios de grado o licenciatura en veterinaria.</w:t>
      </w:r>
    </w:p>
    <w:p w:rsidR="005728DD" w:rsidRDefault="005728DD" w:rsidP="005728DD">
      <w:pPr>
        <w:pStyle w:val="TextoNormal"/>
      </w:pPr>
    </w:p>
    <w:p w:rsidR="005728DD" w:rsidRDefault="005728DD" w:rsidP="005728DD">
      <w:pPr>
        <w:pStyle w:val="TextoNormal"/>
      </w:pPr>
      <w:r>
        <w:t xml:space="preserve">En esta perspectiva y en línea con lo dicho en el fundamento jurídico 6 de la STC 191/2020, ha de concluirse así que “la universidad recurrente sufre las consecuencias de un trato desigual […] por estar sus alumnos y sus enseñanzas excluidos” de la convocatoria de </w:t>
      </w:r>
      <w:r>
        <w:lastRenderedPageBreak/>
        <w:t>becas para la realización de estudios universitarios en el curso 2015-2016, lo que trae consigo la estimación del presente recurso de amparo, con la consiguiente declaración de nulidad de los incisos “públicas” y “sus centros públicos adscritos” del apartado segundo, 1, de la resolución de 26 de junio de 2016 (apartado primero, 1, de su extracto), así como de todo el apartado segundo, 3 de la misma resolución impugnada (apartado primero, 2, de su extracto). Vulneración por tanto “del derecho de la universidad solicitante de amparo recogido en el artículo 14 CE en relación con el artículo 27 CE, al establecer una diferencia de trato entre las universidades públicas y privadas en relación con la posibilidad de solicitar las becas reguladas en la misma para cursar estudios universitarios”.</w:t>
      </w:r>
    </w:p>
    <w:p w:rsidR="005728DD" w:rsidRDefault="005728DD" w:rsidP="005728DD">
      <w:pPr>
        <w:pStyle w:val="TextoNormal"/>
      </w:pPr>
    </w:p>
    <w:p w:rsidR="005728DD" w:rsidRDefault="005728DD" w:rsidP="005728DD">
      <w:pPr>
        <w:pStyle w:val="TextoNormal"/>
      </w:pPr>
      <w:r>
        <w:t>c) Finalmente, y también con aplicación de lo resuelto en la STC 191/2020, FJ 6,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 Ha de acordarse en todo caso la nulidad también de las resoluciones judiciales impugnadas, en cuanto no repararon los derechos sustantivos conculcados y confirmaron en su totalidad la validez de la resolución administrativa recurrida.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la Universidad Católica de Valencia San Vicente Mártir, por vulneración de su derecho fundamental a la igualdad (artículo 14 CE), en relación con su derecho fundamental a la creación de centros docentes (apartado 6 del artículo 27 CE); con reconocimiento de tales derechos.</w:t>
      </w:r>
    </w:p>
    <w:p w:rsidR="005728DD" w:rsidRDefault="005728DD" w:rsidP="005728DD">
      <w:pPr>
        <w:pStyle w:val="TextoNormal"/>
      </w:pPr>
    </w:p>
    <w:p w:rsidR="005728DD" w:rsidRDefault="005728DD" w:rsidP="005728DD">
      <w:pPr>
        <w:pStyle w:val="TextoNormal"/>
      </w:pPr>
      <w:r>
        <w:t>2º Declarar la nulidad de los siguientes actos de los poderes públicos: (i) la resolución de 26 de junio de 2016, de la Consellería de Educación, Investigación, Cultura y Deporte de la Generalitat Valenciana, por la que se convocan becas para la realización de estudios universitarios durante el recurso académico 2015-2016 en las universidades de la Comunitat Valenciana, solamente en los incisos “públicas” y “sus centros públicos adscritos” del apartado segundo, 1 (correspondiente al apartado primero, 1, de su extracto publicado), y todo el apartado segundo, 3, de la misma resolución (correspondiente al apartado primero, 2, de su extracto); (ii) la sentencia de la Sección Quinta de la Sala de lo Contencioso-Administrativo del Tribunal Superior de Justicia de la Comunidad Valenciana, recaída el 15 de noviembre de 2017 en el recurso contencioso-administrativo núm. 494-2016; (iii) la providencia dictada por la Sección Primera de la Sala de lo Contencioso-Administrativo del Tribunal Supremo, de 19 de julio de 2018, en el recurso de casación núm. 1984-2018; y (iv) la providencia dictada el 7 de febrero de 2019 por la propia Sección Primera de la Sala Tercera del Alto Tribunal, en el mismo rollo de casación.</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rsidP="005728DD">
      <w:pPr>
        <w:pStyle w:val="ParrafoNormal"/>
      </w:pPr>
    </w:p>
    <w:p w:rsidR="005728DD" w:rsidRDefault="005728DD" w:rsidP="005728DD">
      <w:pPr>
        <w:pStyle w:val="TextoNormalNegritaCentrado"/>
        <w:keepNext/>
      </w:pPr>
      <w:r>
        <w:lastRenderedPageBreak/>
        <w:t>Voto particular que formula el magistrado don Juan Antonio Xiol Ríos a la sentencia dictada en el recurso de amparo número 1575-2019</w:t>
      </w:r>
    </w:p>
    <w:p w:rsidR="005728DD" w:rsidRDefault="005728DD" w:rsidP="005728DD">
      <w:pPr>
        <w:pStyle w:val="TextoNormalNegritaCentrado"/>
        <w:keepNext/>
      </w:pPr>
    </w:p>
    <w:p w:rsidR="005728DD" w:rsidRDefault="005728DD" w:rsidP="005728DD">
      <w:pPr>
        <w:pStyle w:val="TextoNormal"/>
      </w:pPr>
      <w:r>
        <w:t>Con el máximo respeto a la opinión mayoritaria de mis compañeros de Sala en la que se sustenta la sentencia, manifiesto mi discrepancia con su fundamentación y su fallo, que considero que debió de ser desestimatorio por las razones que ya expuse en el voto particular conjunto que formulé a la STC 191/2020, de 17 de diciembre, al que me remito.</w:t>
      </w:r>
    </w:p>
    <w:p w:rsidR="005728DD" w:rsidRDefault="005728DD" w:rsidP="005728DD">
      <w:pPr>
        <w:pStyle w:val="TextoNormal"/>
      </w:pPr>
    </w:p>
    <w:p w:rsidR="005728DD" w:rsidRDefault="005728DD" w:rsidP="005728DD">
      <w:pPr>
        <w:pStyle w:val="TextoNormal"/>
      </w:pPr>
      <w:r>
        <w:t>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6" w:name="SENTENCIA_2021_43"/>
      <w:r>
        <w:lastRenderedPageBreak/>
        <w:t>SENTENCIA 43/2021, de 3 de marzo de 2021</w:t>
      </w:r>
    </w:p>
    <w:bookmarkEnd w:id="46"/>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ECLI:ES:TC:2021:43</w:t>
      </w:r>
    </w:p>
    <w:p w:rsidR="005728DD" w:rsidRDefault="005728DD" w:rsidP="005728DD">
      <w:pPr>
        <w:pStyle w:val="TextoNormalCentrado"/>
      </w:pPr>
    </w:p>
    <w:p w:rsidR="005728DD" w:rsidRDefault="005728DD" w:rsidP="005728DD">
      <w:pPr>
        <w:pStyle w:val="SntesisDescriptiva"/>
      </w:pPr>
      <w:r>
        <w:t>Recurso de amparo 1963-2019. Promovido por doña Mónica Sorina Popescu en relación con las resoluciones dictadas por un juzgado de primera instancia e instrucción de Arganda del Rey (Madrid)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llevado a cabo sin apurar previamente las posibilidades de averiguación del domicilio efectivo (STC 122/2013).</w:t>
      </w:r>
    </w:p>
    <w:p w:rsidR="005728DD" w:rsidRDefault="005728DD" w:rsidP="005728DD">
      <w:pPr>
        <w:pStyle w:val="SntesisAnaltica"/>
      </w:pPr>
    </w:p>
    <w:p w:rsidR="005728DD" w:rsidRDefault="005728DD" w:rsidP="005728DD">
      <w:pPr>
        <w:pStyle w:val="Extracto"/>
      </w:pPr>
      <w:r>
        <w:t>1.</w:t>
      </w:r>
      <w:r>
        <w:tab/>
        <w:t>Aplica la doctrina relativa a la carga que pesa sobre los órganos judiciales de agotar todas las posibilidades de comunicación personal antes de acudir al emplazamiento edictal (STC 122/2013) [FFJJ 2 y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1963-2019, interpuesto por doña Mónica Sorina Popescu, contra el auto de 12 de febrero de 2019 en cuya virtud se desestimó el incidente excepcional de nulidad de actuaciones y contra la providencia de 5 de marzo de 2019, ambos dictados por el Juzgado de Primera Instancia e Instrucción núm. 5 de Arganda del Rey, en los autos del procedimiento de ejecución hipotecaria núm. 827-2013 instado por la entidad Bankia, S.A.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26 de marzo de 2019, doña Mónica Sorina Popescu, representada por el procurador de los tribunales don Ángel Luis Lozano Nuño y bajo la dirección de los letrados don Guzmán García Arrillaga y doña Rabab Al Llabili, interpuso recurso de amparo contra el auto de 12 de febrero de 2019, así como contra la providencia de 5 marzo de 2019, ambos del Juzgado de Primera Instancia e Instrucción núm. 5 de Arganda del Rey, dictados en el procedimiento de ejecución hipotecaria núm. 827-</w:t>
      </w:r>
      <w:r>
        <w:lastRenderedPageBreak/>
        <w:t>2013, por los que se desestimaron el incidente excepcional de nulidad de actuaciones y el recurso de reposición interpuesto frente a la diligencia de ordenación que acordaba expedir testimonio del decreto de adjudicación para practicar la correspondiente inscripción en el registro y, en segundo lugar, librar mandamiento al registro de la propiedad núm. 2 de Alcalá de Henares, a fin de que procediera a la cancelación de la anotación o inscripción del gravamen derivado de la adjudicación.</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relevantes para la resolución del presente recurso de amparo son, sucintamente, los siguientes:</w:t>
      </w:r>
    </w:p>
    <w:p w:rsidR="005728DD" w:rsidRDefault="005728DD" w:rsidP="005728DD">
      <w:pPr>
        <w:pStyle w:val="TextoNormal"/>
      </w:pPr>
    </w:p>
    <w:p w:rsidR="005728DD" w:rsidRDefault="005728DD" w:rsidP="005728DD">
      <w:pPr>
        <w:pStyle w:val="TextoNormal"/>
      </w:pPr>
      <w:r>
        <w:t>a) La recurrente de amparo contrajo matrimonio en el año 2009, en régimen de sociedad de gananciales y, en virtud de contrato de compraventa suscrito en el año 2010, el matrimonio adquirió una vivienda sita en el Paseo de Pozuelo, parcela y vivienda núm. 76, 28510, Campo Real (Madrid), sobre la que se constituyó hipoteca.</w:t>
      </w:r>
    </w:p>
    <w:p w:rsidR="005728DD" w:rsidRDefault="005728DD" w:rsidP="005728DD">
      <w:pPr>
        <w:pStyle w:val="TextoNormal"/>
      </w:pPr>
    </w:p>
    <w:p w:rsidR="005728DD" w:rsidRDefault="005728DD" w:rsidP="005728DD">
      <w:pPr>
        <w:pStyle w:val="TextoNormal"/>
      </w:pPr>
      <w:r>
        <w:t>b) En fecha 29 de agosto de 2011, por causas sobrevenidas, la demandante de amparo abandonó la vivienda habitual familiar, para trasladarse con sus hijos a la Avenida de la Constitución núm. 85, piso 18, puerta 10, de Coslada (Madrid).</w:t>
      </w:r>
    </w:p>
    <w:p w:rsidR="005728DD" w:rsidRDefault="005728DD" w:rsidP="005728DD">
      <w:pPr>
        <w:pStyle w:val="TextoNormal"/>
      </w:pPr>
    </w:p>
    <w:p w:rsidR="005728DD" w:rsidRDefault="005728DD" w:rsidP="005728DD">
      <w:pPr>
        <w:pStyle w:val="TextoNormal"/>
      </w:pPr>
      <w:r>
        <w:t>c) Con fecha 29 de abril de 2013 recayó sentencia en el procedimiento de divorcio instado por la recurrente.</w:t>
      </w:r>
    </w:p>
    <w:p w:rsidR="005728DD" w:rsidRDefault="005728DD" w:rsidP="005728DD">
      <w:pPr>
        <w:pStyle w:val="TextoNormal"/>
      </w:pPr>
    </w:p>
    <w:p w:rsidR="005728DD" w:rsidRDefault="005728DD" w:rsidP="005728DD">
      <w:pPr>
        <w:pStyle w:val="TextoNormal"/>
      </w:pPr>
      <w:r>
        <w:t>d) Antes de resolverse el procedimiento de divorcio, de manera paralela, el acreedor hipotecario de la vivienda, la entidad Bankia, S.A., como consecuencia del impago de las cuotas hipotecarias, había iniciado el procedimiento de ejecución hipotecaria.</w:t>
      </w:r>
    </w:p>
    <w:p w:rsidR="005728DD" w:rsidRDefault="005728DD" w:rsidP="005728DD">
      <w:pPr>
        <w:pStyle w:val="TextoNormal"/>
      </w:pPr>
    </w:p>
    <w:p w:rsidR="005728DD" w:rsidRDefault="005728DD" w:rsidP="005728DD">
      <w:pPr>
        <w:pStyle w:val="TextoNormal"/>
      </w:pPr>
      <w:r>
        <w:t>Hay que subrayar que, previamente al inicio del proceso y antes de producirse el divorcio de los deudores hipotecarios, Bankia, S.A., al tener conocimiento de la separación del matrimonio, remitió un requerimiento a nombre de doña Mónica Sorina Popescu, demandante de amparo, que fue enviado a la dirección de la finca hipotecada, es decir, al Paseo de Pozuelo, parcela y vivienda núm. 76, 28510, Campo Real (Madrid), la cual no fue recibida por la misma, puesto que había abandonado dicho domicilio por los motivos expuestos. Así, cabe destacar que el propio funcionario de correos señala: “No entregado por dirección incorrecta”. También se dirigieron otras notificaciones a la calle del Puerto de Valencia núm. 6, 28821, de Coslada y a la calle del Mar de Caspio núm. 7, 6º A, 28821, Coslada, con el mismo resultado negativo, en este caso, “[n]o entregado por desconocido”.</w:t>
      </w:r>
    </w:p>
    <w:p w:rsidR="005728DD" w:rsidRDefault="005728DD" w:rsidP="005728DD">
      <w:pPr>
        <w:pStyle w:val="TextoNormal"/>
      </w:pPr>
    </w:p>
    <w:p w:rsidR="005728DD" w:rsidRDefault="005728DD" w:rsidP="005728DD">
      <w:pPr>
        <w:pStyle w:val="TextoNormal"/>
      </w:pPr>
      <w:r>
        <w:t>Por lo demás, en la demanda se llama la atención sobre el hecho de que en el año 2011, la recurrente de amparo había contratado nuevos servicios financieros con Bankia, S.A., en los que ya constaba que su domicilio real estaba en la Avenida de la Constitución núm. 85, piso 18, puerta 10, de Coslada (Madrid).</w:t>
      </w:r>
    </w:p>
    <w:p w:rsidR="005728DD" w:rsidRDefault="005728DD" w:rsidP="005728DD">
      <w:pPr>
        <w:pStyle w:val="TextoNormal"/>
      </w:pPr>
    </w:p>
    <w:p w:rsidR="005728DD" w:rsidRDefault="005728DD" w:rsidP="005728DD">
      <w:pPr>
        <w:pStyle w:val="TextoNormal"/>
      </w:pPr>
      <w:r>
        <w:t>e) Volviendo al procedimiento judicial en cuestión, el juzgado, en fecha 25 de marzo de 2014, realizó un primer intento de notificación en la vivienda ejecutada sita en el Paseo de Pozuelo, parcela y vivienda núm. 76, 28510, Campo Real (Madrid), que resultó infructuosa.</w:t>
      </w:r>
    </w:p>
    <w:p w:rsidR="005728DD" w:rsidRDefault="005728DD" w:rsidP="005728DD">
      <w:pPr>
        <w:pStyle w:val="TextoNormal"/>
      </w:pPr>
    </w:p>
    <w:p w:rsidR="005728DD" w:rsidRDefault="005728DD" w:rsidP="005728DD">
      <w:pPr>
        <w:pStyle w:val="TextoNormal"/>
      </w:pPr>
      <w:r>
        <w:t xml:space="preserve">Tras la cadena lógica de actos procesales, en fecha de 1 de septiembre de 2014, el letrado de la administración de justicia ordenó la averiguación domiciliaria a través del punto neutro </w:t>
      </w:r>
      <w:r>
        <w:lastRenderedPageBreak/>
        <w:t>judicial, pero solo respecto del demandado don Raúl Sevillano González, dando como resultado un nuevo domicilio en la calle del Puerto de Valencia núm. 6, 28821 de Coslada. En este domicilio, se intentó, por medio de correo certificado, una nueva notificación, el día 4 de septiembre de 2014, que fue recogida por el padre del ejecutado, don Eusebio Sevillano.</w:t>
      </w:r>
    </w:p>
    <w:p w:rsidR="005728DD" w:rsidRDefault="005728DD" w:rsidP="005728DD">
      <w:pPr>
        <w:pStyle w:val="TextoNormal"/>
      </w:pPr>
    </w:p>
    <w:p w:rsidR="005728DD" w:rsidRDefault="005728DD" w:rsidP="005728DD">
      <w:pPr>
        <w:pStyle w:val="TextoNormal"/>
      </w:pPr>
      <w:r>
        <w:t>No hubo más intentos de notificación, prosiguiendo el procedimiento sin la presencia de los ejecutados, acordándose la subasta de la finca que quedó desierta, adjudicándose la finca a la entidad ejecutante.</w:t>
      </w:r>
    </w:p>
    <w:p w:rsidR="005728DD" w:rsidRDefault="005728DD" w:rsidP="005728DD">
      <w:pPr>
        <w:pStyle w:val="TextoNormal"/>
      </w:pPr>
    </w:p>
    <w:p w:rsidR="005728DD" w:rsidRDefault="005728DD" w:rsidP="005728DD">
      <w:pPr>
        <w:pStyle w:val="TextoNormal"/>
      </w:pPr>
      <w:r>
        <w:t>f) Concluida la subasta, la demandante de amparo tuvo conocimiento de forma extrajudicial (si bien en el escrito de la demandante no consta el cauce), por lo que, con fecha de 11 de octubre de 2018, se personó en el procedimiento de ejecución y el día 25 de octubre de 2018, promovió la nulidad de actuaciones, por vulneración del derecho a la tutela judicial efectiva con indefensión (art. 24 CE), alegando que el juzgado no había agotado todas las posibilidades de averiguación de su domicilio real, con mayor motivo dada la ausencia de contacto o relación alguna con su ex marido y su familia desde que salió del domicilio por causa de la separación matrimonial. En dicho escrito hizo saber al juzgado que habitaba en Coslada, con aportación de los documentos que acreditaban que estaba empadronada en dicha localidad, por lo que el juzgado la podría haber localizado sin especiales dificultades.</w:t>
      </w:r>
    </w:p>
    <w:p w:rsidR="005728DD" w:rsidRDefault="005728DD" w:rsidP="005728DD">
      <w:pPr>
        <w:pStyle w:val="TextoNormal"/>
      </w:pPr>
    </w:p>
    <w:p w:rsidR="005728DD" w:rsidRDefault="005728DD" w:rsidP="005728DD">
      <w:pPr>
        <w:pStyle w:val="TextoNormal"/>
      </w:pPr>
      <w:r>
        <w:t>g) El Ministerio Fiscal, con fecha de 10 de enero de 2019, informó interesando la nulidad por la falta de citación de la recurrente. Concretamente se expresa del siguiente modo: “Que nos adherimos a la solicitud de nulidad de actuaciones. En todo caso no consta la citación en forma de la parte ejecutada Mónica Sorina. La citación que se hace al padre de la otra parte Raúl Sevillano, del cual consta el divorcio del mismo y que no se le atribuyó la vivienda en cuestión. Por lo tanto y existiendo una causa objetiva para verificar que la falta de citación efectiva de dicha parte ejecutada, sí que ha provocado indefensión, procede la admisión instada con sus efectos inherentes”.</w:t>
      </w:r>
    </w:p>
    <w:p w:rsidR="005728DD" w:rsidRDefault="005728DD" w:rsidP="005728DD">
      <w:pPr>
        <w:pStyle w:val="TextoNormal"/>
      </w:pPr>
    </w:p>
    <w:p w:rsidR="005728DD" w:rsidRDefault="005728DD" w:rsidP="005728DD">
      <w:pPr>
        <w:pStyle w:val="TextoNormal"/>
      </w:pPr>
      <w:r>
        <w:t xml:space="preserve">h) Sin embargo, el órgano judicial rechazó la nulidad por auto de 12 de febrero de 2019, en el que se razona, en síntesis, que “[p]ues bien, examinados los autos, no consta que las actuaciones procesales realizadas por este juzgado hayan vulnerado la ley, y menos aún el derecho a la tutela judicial efectiva de la deudora produciendo indefensión, ya que no consta que doña Mónica Sorina Popescu haya efectuado alguna de las notificaciones referidas anteriormente, constando que este juzgado ha practicado un primer intento de notificación de requerimiento de pago en el domicilio pactado en la escritura a efectos de notificaciones, es decir en Paseo de Pozuelo, parcela y vivienda número 76, 28510, Campo Real el día 12 junio 2014 con resultado negativo, dejándose el oportuno aviso. Posteriormente se realizó averiguación a través del punto neutro judicial, apareciendo un nuevo domicilio sito en la calle Puerto de Valencia núm. 6 de Coslada, donde volvió a practicarse notificación que fue recogida por el señor Eusebio Sevillano constando justificante de recepción de la misma. El juzgado, por tanto, ha practicado los actos procesales acogiéndose a las normas que rigen los mismos. El hecho de que otro juzgado de la misma población no atribuyera a la deudora el uso del domicilio conyugal no implica el necesario conocimiento por parte de este de dichos extremos, que tampoco fueron puestos en su conocimiento por la reclamante; como tampoco implica vulneración de las normas procesales por parte de este juzgado el hecho de que doña Mónica Sorina Popescu figure empadronada en Coslada, o su domicilio obre </w:t>
      </w:r>
      <w:r>
        <w:lastRenderedPageBreak/>
        <w:t>en una asistencia hospitalaria”. En el pie del auto que rechaza la nulidad, se informa a la recurrente de que “[c]ontra este auto no cabe interponer recurso alguno”.</w:t>
      </w:r>
    </w:p>
    <w:p w:rsidR="005728DD" w:rsidRDefault="005728DD" w:rsidP="005728DD">
      <w:pPr>
        <w:pStyle w:val="TextoNormal"/>
      </w:pPr>
    </w:p>
    <w:p w:rsidR="005728DD" w:rsidRDefault="005728DD" w:rsidP="005728DD">
      <w:pPr>
        <w:pStyle w:val="TextoNormal"/>
      </w:pPr>
      <w:r>
        <w:t>i) Posteriormente, en fecha de 22 de febrero de 2019, fue dictada por el Juzgado de Primera Instancia e Instrucción núm. 5 de Arganda del Rey, diligencia de ordenación, acordando en primer lugar expedir testimonio del decreto de adjudicación para practicar la correspondiente inscripción en el registro y, en segundo lugar, librar mandamiento al registro de la propiedad núm. 2 de Alcalá de Henares, a fin de que procediera a la cancelación de la anotación o inscripción del gravamen derivado de la adjudicación.</w:t>
      </w:r>
    </w:p>
    <w:p w:rsidR="005728DD" w:rsidRDefault="005728DD" w:rsidP="005728DD">
      <w:pPr>
        <w:pStyle w:val="TextoNormal"/>
      </w:pPr>
    </w:p>
    <w:p w:rsidR="005728DD" w:rsidRDefault="005728DD" w:rsidP="005728DD">
      <w:pPr>
        <w:pStyle w:val="TextoNormal"/>
      </w:pPr>
      <w:r>
        <w:t>j) Frente a la misma, la demandante de amparo interpuso recurso de reposición, solicitando suspender la referida resolución judicial, debido a que con ella una vez más se infringía gravemente su derecho fundamental a la tutela judicial efectiva (art. 24 CE), puesto que la resolución resultaba extremadamente dañosa, perjudicial e irreparable para la ejecutada. Sin embargo, el recurso fue desestimado por providencia de fecha 5 de marzo de 2019, pues, a juicio del órgano judicial, no se expresaba correctamente la infracción supuestamente cometida, en virtud de las previsiones del art. 452 de la Ley de enjuiciamiento civil (LEC).</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aduce en su recurso la vulneración del derecho a la tutela judicial efectiva sin indefensión (art. 24.1 y 2 CE), en su vertiente de acceso al proceso, denunciando la indefensión padecida por la falta de notificación y emplazamiento personal en el procedimiento de ejecución hipotecaria del que era parte demandada.</w:t>
      </w:r>
    </w:p>
    <w:p w:rsidR="005728DD" w:rsidRDefault="005728DD" w:rsidP="005728DD">
      <w:pPr>
        <w:pStyle w:val="TextoNormal"/>
      </w:pPr>
    </w:p>
    <w:p w:rsidR="005728DD" w:rsidRDefault="005728DD" w:rsidP="005728DD">
      <w:pPr>
        <w:pStyle w:val="TextoNormal"/>
      </w:pPr>
      <w:r>
        <w:t>Subraya que no se encontraba en paradero desconocido, por lo que, sin haberse tratado de averiguar su domicilio real, tal como exige la jurisprudencia constitucional, ya que estaba dada de alta residiendo en otro domicilio de forma pública, su notificación personal resultaba obligada de todo punto, so pena de infringir gravemente sus derechos constitucionales a la tutela judicial efectiva sin indefensión y a intervenir en un proceso dotado de todas las garantías para su eficaz defensa.</w:t>
      </w:r>
    </w:p>
    <w:p w:rsidR="005728DD" w:rsidRDefault="005728DD" w:rsidP="005728DD">
      <w:pPr>
        <w:pStyle w:val="TextoNormal"/>
      </w:pPr>
    </w:p>
    <w:p w:rsidR="005728DD" w:rsidRDefault="005728DD" w:rsidP="005728DD">
      <w:pPr>
        <w:pStyle w:val="TextoNormal"/>
      </w:pPr>
      <w:r>
        <w:t>Así, entiende que, de conformidad con la constante doctrina de este tribunal (STC 181/2015, de 7 de septiembre, FJ 4), en atención a las actuaciones acaecidas en el marco del procedimiento de ejecución hipotecaria, al no haber podido comunicar la ejecución personalmente a la ejecutada ni en la dirección de la finca hipotecada, ni naturalmente en el domicilio de su ex cónyuge, ni en el del padre de este último, el órgano judicial debió ordenar la práctica de otras actuaciones encaminadas a conocer otro domicilio de la ejecutada a través de los diferentes organismos públicos a los que se remite la Ley de enjuiciamiento civil.</w:t>
      </w:r>
    </w:p>
    <w:p w:rsidR="005728DD" w:rsidRDefault="005728DD" w:rsidP="005728DD">
      <w:pPr>
        <w:pStyle w:val="TextoNormal"/>
      </w:pPr>
    </w:p>
    <w:p w:rsidR="005728DD" w:rsidRDefault="005728DD" w:rsidP="005728DD">
      <w:pPr>
        <w:pStyle w:val="TextoNormal"/>
      </w:pPr>
      <w:r>
        <w:t xml:space="preserve">A mayor abundamiento, señala que en el escrito por el que se promovió la nulidad de actuaciones se acreditó la actitud de la demandante de amparo, encaminada a no dificultar su localización y entorpecer el proceso judicial, ni que la imposibilidad de emplazarla hubiera obedecido a su posible negligencia, desidia o impericia, supuestos que privarían de relevancia constitucional a la queja. Al respecto, insiste en que la falta o deficiente realización del acto de comunicación tiene relevancia constitucional, siempre que las situaciones de incomunicación no sean imputables a la propia conducta del afectado por haberse situado voluntaria o negligentemente al margen del proceso, si bien matiza que no puede imputársele la invalidez de la comunicación, máxime estando empadronada en el municipio de Coslada desde el año 2011 tal y como se puso de manifiesto en el escrito de incidente de nulidad, </w:t>
      </w:r>
      <w:r>
        <w:lastRenderedPageBreak/>
        <w:t>acreditando el desconocimiento de la existencia de la ejecución frente a la misma, que en el caso de que se hubiera realizado una mínima averiguación domiciliaria, hubiera dado lugar a poder localizarla de forma sencilla.</w:t>
      </w:r>
    </w:p>
    <w:p w:rsidR="005728DD" w:rsidRDefault="005728DD" w:rsidP="005728DD">
      <w:pPr>
        <w:pStyle w:val="TextoNormal"/>
      </w:pPr>
    </w:p>
    <w:p w:rsidR="005728DD" w:rsidRDefault="005728DD" w:rsidP="005728DD">
      <w:pPr>
        <w:pStyle w:val="TextoNormal"/>
      </w:pPr>
      <w:r>
        <w:t>Reprocha, por lo demás, al órgano judicial, que haya tenido dos ocasiones de enmendar las vulneraciones infringidas —mediante la estimación, primero, del incidente excepcional de nulidad de actuaciones y, después, acogiendo el recurso de reposición—, y, sin embargo, haya persistido en su actitud, a pesar de habérsele invocado la doctrina constitucional aplicable al supuesto de hecho e, incluso contar con el apoyo del Ministerio Fiscal que se había adherido a la pretensión anulatoria de la demandante.</w:t>
      </w:r>
    </w:p>
    <w:p w:rsidR="005728DD" w:rsidRDefault="005728DD" w:rsidP="005728DD">
      <w:pPr>
        <w:pStyle w:val="TextoNormal"/>
      </w:pPr>
    </w:p>
    <w:p w:rsidR="005728DD" w:rsidRDefault="005728DD" w:rsidP="005728DD">
      <w:pPr>
        <w:pStyle w:val="TextoNormal"/>
      </w:pPr>
      <w:r>
        <w:t>En definitiva, según concluye la demandante de amparo, las resoluciones impugnadas ponen de manifiesto que algunos órganos judiciales no siguen o se resisten a aplicar la doctrina de este Tribunal Constitucional en materia de emplazamiento y notificaciones, o alegan diversas excusas en la tramitación que en modo alguno justifican la vulneración del derecho a la tutela judicial efectiva y la indefensión de las partes. Por esa razón, considera indispensable que este tribunal “siga protegiendo al ciudadano, como último recurso, ahondando en la línea marcada en sus pronunciamientos previos, conformando así un importante cuerpo jurisprudencial que detenga la reiteración de interpretaciones y actos como la que ha consumado el órgano judicial”.</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16 de junio de 2020, la Sección Cuarta de este tribunal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005728DD" w:rsidRDefault="005728DD" w:rsidP="005728DD">
      <w:pPr>
        <w:pStyle w:val="TextoNormal"/>
      </w:pPr>
    </w:p>
    <w:p w:rsidR="005728DD" w:rsidRDefault="005728DD" w:rsidP="005728DD">
      <w:pPr>
        <w:pStyle w:val="TextoNormal"/>
      </w:pPr>
      <w:r>
        <w:t>Por ello, en aplicación de lo dispuesto en el art. 51 LOTC, habiéndose interesado ya la remisión de certificación de las actuaciones judiciales, se ordena dirigir atenta comunicación al Juzgado de Primera Instancia e Instrucción núm. 5 de Arganda del Rey a fin de que, en plazo que no exceda de diez días, proceda a emplazar a quienes hubieran sido parte en el procedimiento, excepto la parte recurrente en amparo, para que, si lo desean, puedan comparecer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17 de septiembre de 2020, la Sección Cuarta de este tribunal acordó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Doña Mónica Sorina Popescu presentó escrito de alegaciones con fecha de 21 de octubre de 2020, en el que se ratifica íntegramente en la demanda de amparo constitucional presentada, reiterando que la interpone por entender que el juzgador de instancia, no agotó las vías legales de notificación, lo que supuso su falta de conocimiento y defensa en el procedimiento de ejecución hipotecaria, no pudiendo hacer valer sus derechos. Incide en que el juzgado procedió a la notificación y requerimiento de pago mediante notificaciones cursadas en los domicilios de su ex marido y del padre del mismo, con los que no tiene relación, </w:t>
      </w:r>
      <w:r>
        <w:lastRenderedPageBreak/>
        <w:t>y en la finca hipotecada, respecto a la que, por sentencia de divorcio, no se le concedió su uso y abandonó en el momento de su separación matrimonial para, finalmente tenerla por notificada a través de tercero (su ex cónyuge), sin intentar previamente averiguar su domicilio real como exige la jurisprudencia constitucional.</w:t>
      </w:r>
    </w:p>
    <w:p w:rsidR="005728DD" w:rsidRDefault="005728DD" w:rsidP="005728DD">
      <w:pPr>
        <w:pStyle w:val="TextoNormal"/>
      </w:pPr>
    </w:p>
    <w:p w:rsidR="005728DD" w:rsidRDefault="005728DD" w:rsidP="005728DD">
      <w:pPr>
        <w:pStyle w:val="TextoNormal"/>
      </w:pPr>
      <w:r>
        <w:t xml:space="preserve">En apoyo de su razonamiento, cita y traslada en parte la reciente STC 125/2020, de 21 de septiembre de 2020, para concluir que “[l]a garantía de emplazamiento personal de la demandada o ejecutada en los procesos regidos en esta materia debieron salvaguardarse por el juzgado </w:t>
      </w:r>
      <w:r w:rsidRPr="005728DD">
        <w:rPr>
          <w:i/>
        </w:rPr>
        <w:t>a quo</w:t>
      </w:r>
      <w:r>
        <w:t xml:space="preserve"> ordenando la práctica de otras actuaciones encaminadas a conocer otro domicilio de la ejecutada a través de los diferentes organismos públicos a los que se remite la Ley de enjuiciamiento civil en su art. 155.3, o bien por los medios que se recogen en el art. 156 de la misma Ley procesal, sin que se hubiera acudido directamente a la notificación edictal (en igual sentido, STC 181/2015, de 7 de septiembre, FJ 4), tal como viene exigiendo el Alto Tribunal”.</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de 23 de octubre de 2020, el Ministerio Fiscal presentó sus alegaciones ante este Tribunal, solicitando la estimación del recurso de amparo. Tras llevar a cabo un análisis de la doctrina de este tribunal sobre la necesidad de proceder correcta y diligentemente en los actos de comunicación procesal, para así garantizar el derecho de acceso a la jurisdicción y de defensa (art. 24. CE) de quien ha sido demandado o pueda ser parte interesada en el procedimiento, reitera la necesidad de agotar las posibilidades de citación directa antes de acudir a la de edictos. Cita en este sentido la STC 89/2015, FJ 3, subrayando que “lo anterior supone que el órgano judicial concernido debe extremar la diligencia para la averiguación del paradero o domicilio de los interesados, y para ello deberá utilizar los medios de averiguación que estén razonablemente a su alcance. La clave —advierte el fiscal— está precisamente en la nota de razonabilidad, pues ni es exigible al juez realizar sacrificios extremos, con la utilización de medidas que excedan de lo proporcional, ni puede tampoco resolver de forma simplista y acudir de forma mecánica o automática al expediente edictal. Entre estos dos extremos se encuentra la razonabilidad de la decisión correcta”.</w:t>
      </w:r>
    </w:p>
    <w:p w:rsidR="005728DD" w:rsidRDefault="005728DD" w:rsidP="005728DD">
      <w:pPr>
        <w:pStyle w:val="TextoNormal"/>
      </w:pPr>
    </w:p>
    <w:p w:rsidR="005728DD" w:rsidRDefault="005728DD" w:rsidP="005728DD">
      <w:pPr>
        <w:pStyle w:val="TextoNormal"/>
      </w:pPr>
      <w:r>
        <w:t>Trasladando nuestra doctrina al presente recurso de amparo, el fiscal expresa la hipótesis de que el órgano judicial, al observar que la vivienda hipotecada era propiedad de un matrimonio, cuyo régimen económico es el de gananciales, entendiese que notificado el procedimiento correctamente a uno de ellos, el otro hubiera tenido lógicamente conocimiento de la ejecución. Ahora bien, a juicio del Ministerio Fiscal, una vez que, por el planteamiento del incidente excepcional de nulidad de actuaciones tuvo conocimiento del divorcio de los ejecutados y que la demandante de amparo habitaba desde entonces en otro domicilio, no debió hacer caso omiso y perpetuar la vulneración del derecho a la tutela judicial efectiva, mucho más cuando le fue reclamada en el pertinente recurso de revisión, en el que lejos de solventar la vulneración, reincidió en ella.</w:t>
      </w:r>
    </w:p>
    <w:p w:rsidR="005728DD" w:rsidRDefault="005728DD" w:rsidP="005728DD">
      <w:pPr>
        <w:pStyle w:val="TextoNormal"/>
      </w:pPr>
    </w:p>
    <w:p w:rsidR="005728DD" w:rsidRDefault="005728DD" w:rsidP="005728DD">
      <w:pPr>
        <w:pStyle w:val="TextoNormal"/>
      </w:pPr>
      <w:r>
        <w:t>Para el fiscal, es obvio que existía alguna forma, que sin suponer una actividad desproporcionada para el órgano judicial, le sirviera para conocer la verdadera ubicación de la demandada, sin necesidad de acudir a la vía edictal. “Y desde luego —afirma con rotundidad— el hecho de no haber atendido a lo solicitado por la recurrente en el incidente de nulidad supone desconocer de manera palmaria la doctrina del Tribunal Constitucional en materia de notificaciones”.</w:t>
      </w:r>
    </w:p>
    <w:p w:rsidR="005728DD" w:rsidRDefault="005728DD" w:rsidP="005728DD">
      <w:pPr>
        <w:pStyle w:val="TextoNormal"/>
      </w:pPr>
    </w:p>
    <w:p w:rsidR="005728DD" w:rsidRDefault="005728DD" w:rsidP="005728DD">
      <w:pPr>
        <w:pStyle w:val="TextoNormal"/>
      </w:pPr>
      <w:r>
        <w:lastRenderedPageBreak/>
        <w:t>Por último, subraya que no existe razón alguna para excluir la vulneración del derecho denunciado por la propia actitud de la recurrente, pues no consta que hubiera tenido un conocimiento extraprocesal de la demanda, hasta el momento en que ella misma así lo reconoce y actúa personándose en el proceso, intentando subsanar el déficit de tutela denunciado. Añade, por lo demás, que el hecho de haber sido el inmueble ejecutado la vivienda conjunta de los cónyuges, no distorsiona el régimen general de las citaciones, de manera que baste la que se realiza a uno solo de ellos.</w:t>
      </w:r>
    </w:p>
    <w:p w:rsidR="005728DD" w:rsidRDefault="005728DD" w:rsidP="005728DD">
      <w:pPr>
        <w:pStyle w:val="TextoNormal"/>
      </w:pPr>
    </w:p>
    <w:p w:rsidR="005728DD" w:rsidRDefault="005728DD" w:rsidP="005728DD">
      <w:pPr>
        <w:pStyle w:val="TextoNormal"/>
      </w:pPr>
      <w:r>
        <w:t>Por todo ello, solicita la estimación del presente recurso de amparo, la nulidad de lo actuado en el procedimiento de ejecución hipotecaria y la retroacción de las actuaciones al momento en el que se acordó notificar el auto despachando ejecución; el decreto del letrado de la administración de justicia y la copia de la demanda a través de la dirección electrónica habilitada, y en su lugar, se proceda a la notificación personal que exige el art. 155 LEC, con el fin de que se comunique a la demandante de amparo lo allí acordado y se le otorgue la posibilidad de ejercer su derecho.</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providencia de fecha 25 de febrero de 2021, se señaló para deliberación y votación de la presente sentencia el día 3 de marzo del mismo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demanda de amparo impugna el auto de 12 de febrero de 2019, que desestima el incidente excepcional de nulidad de actuaciones, así como la providencia de 5 de marzo de 2019, que desestima el recurso de reposición planteado contra la diligencia de ordenación de 22 de febrero de 2019, ambos dictados por el Juzgado de Primera Instancia e Instrucción núm. 5 de Arganda del Rey y promovidos por la actora en el procedimiento de ejecución hipotecaria núm. 827-2013, instado por la entidad Bankia, S.A.</w:t>
      </w:r>
    </w:p>
    <w:p w:rsidR="005728DD" w:rsidRDefault="005728DD" w:rsidP="005728DD">
      <w:pPr>
        <w:pStyle w:val="TextoNormal"/>
      </w:pPr>
    </w:p>
    <w:p w:rsidR="005728DD" w:rsidRDefault="005728DD" w:rsidP="005728DD">
      <w:pPr>
        <w:pStyle w:val="TextoNormal"/>
      </w:pPr>
      <w:r>
        <w:t>La demandante de amparo denuncia que el auto impugnado ha vulnerado su derecho a la tutela judicial efectiva y a no sufrir indefensión (art. 24.1 CE), porque el órgano judicial debió haber desplegado la actividad suficiente para averiguar su domicilio real, lo que no era especialmente difícil, dado que, desde que abandonó el domicilio conyugal, habita en el mismo, constando asimismo en el padrón municipal y otros archivos administrativos.</w:t>
      </w:r>
    </w:p>
    <w:p w:rsidR="005728DD" w:rsidRDefault="005728DD" w:rsidP="005728DD">
      <w:pPr>
        <w:pStyle w:val="TextoNormal"/>
      </w:pPr>
    </w:p>
    <w:p w:rsidR="005728DD" w:rsidRDefault="005728DD" w:rsidP="005728DD">
      <w:pPr>
        <w:pStyle w:val="TextoNormal"/>
      </w:pPr>
      <w:r>
        <w:t>El Ministerio Fiscal, como ha quedado reflejado en los antecedentes de esta resolución, considera que procede estimar el recurso y declarar que el citado derecho fundamental ha sido vulnerado, en aplicación de la doctrina reiterada de este tribunal relativa al agotamiento de las vías de notificación personal de los ejecutados, so pena de vulnerar su derecho a la jurisdicción y causarles indefensión, doctrina que entiende que ha sido palmariamente incumplida por el órgano judicial en el presente caso.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del Tribunal Constitucional sobre la correcta constitución jurídico-procesal y los actos de comunicación</w:t>
      </w:r>
      <w:r>
        <w:t>.</w:t>
      </w:r>
    </w:p>
    <w:p w:rsidR="005728DD" w:rsidRDefault="005728DD" w:rsidP="005728DD">
      <w:pPr>
        <w:pStyle w:val="TextoNormal"/>
      </w:pPr>
    </w:p>
    <w:p w:rsidR="005728DD" w:rsidRDefault="005728DD" w:rsidP="005728DD">
      <w:pPr>
        <w:pStyle w:val="TextoNormal"/>
      </w:pPr>
      <w:r>
        <w:lastRenderedPageBreak/>
        <w:t>Como acertadamente exponen tanto la demandante de amparo, como el Ministerio Fiscal, este tribunal ya ha tenido ocasión de pronunciarse sobre la cuestión planteada en más de un centenar de resoluciones, siendo conocida nuestra consolidada doctrina sobre el deber de agotamiento de las posibilidades de averiguación del domicilio del demandado en el procedimiento de ejecución hipotecaria y, en general, en cualquier tipo de procedimiento. Basta ahora con citar algunas de las más recientes como las SSTC 29/2020, de 24 de febrero; 41/2020, de 9 de marzo, y 125/2020, de 21 de septiembre, entre otras, a las que, en aras a la brevedad, nos remitimos.</w:t>
      </w:r>
    </w:p>
    <w:p w:rsidR="005728DD" w:rsidRDefault="005728DD" w:rsidP="005728DD">
      <w:pPr>
        <w:pStyle w:val="TextoNormal"/>
      </w:pPr>
    </w:p>
    <w:p w:rsidR="005728DD" w:rsidRDefault="005728DD" w:rsidP="005728DD">
      <w:pPr>
        <w:pStyle w:val="TextoNormal"/>
      </w:pPr>
      <w:r>
        <w:t>En todas ellas hemos insistido en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Incluso cuando no conste ese domicilio en las actuaciones habría que realizar otras gestiones en orden a la averiguación del domicilio real (por todas, STC 19/2004, de 23 de febrero, FJ 4, y 126/2006 de 24 de abril, FJ 4), siempre que ello no suponga exigir al órgano judicial una desmedida labor investigadora sobre la efectividad del acto de comunicación (SSTC 126/1999, de 28 de junio, FJ 4; 82/2000, de 27 de marzo, FJ 6; 113/2001, de 7 de mayo, FJ 5; 131/2014, de 21 de julio, FJ 2, y 83/2018, de 16 de julio, FJ 4, entre otras)”. Se trata, en definitiva, de garantizar al deudor o ejecutado el derecho de acceso al proceso del art. 24.1 CE (STC 122/2013, de 20 de mayo, FJ 5).</w:t>
      </w:r>
    </w:p>
    <w:p w:rsidR="005728DD" w:rsidRDefault="005728DD" w:rsidP="005728DD">
      <w:pPr>
        <w:pStyle w:val="TextoNormal"/>
      </w:pPr>
    </w:p>
    <w:p w:rsidR="005728DD" w:rsidRDefault="005728DD" w:rsidP="005728DD">
      <w:pPr>
        <w:pStyle w:val="TextoNormal"/>
      </w:pPr>
      <w:r>
        <w:t>Por lo demás, especialmente, sobre las notificaciones realizadas a través de terceras personas este tribunal ha declarado que “ la exigencia que pesa sobre los órganos judiciales de velar por que el acto de comunicación procesal cumpla eficazmente con su fin, que, como hemos dicho, no es otro que el de hacer llegar al interesado, o a quien legalmente le represente, las decisiones judiciales para que acomode su proceder a las mismas o tome las oportunas decisiones en defensa de sus intereses y derechos (STC 326/1993, de 8 de noviembre, FJ 3, con cita de las SSTC 115/1988, de 10 de junio, FJ 1, y 195/1990, de 29 de noviembre, FJ 3), conlleva la necesidad de que no otorguen mecánicamente un valor absoluto al simple contenido formal de la diligencia de notificación, prescindiendo de cualquier enjuiciamiento sobre los motivos alegados por la parte acerca de la no recepción en plazo de la notificación, o más simplemente, haciendo caso omiso de los defectos de la notificación puestos de manifiesto en su diligencia.</w:t>
      </w:r>
    </w:p>
    <w:p w:rsidR="005728DD" w:rsidRDefault="005728DD" w:rsidP="005728DD">
      <w:pPr>
        <w:pStyle w:val="TextoNormal"/>
      </w:pPr>
    </w:p>
    <w:p w:rsidR="005728DD" w:rsidRDefault="005728DD" w:rsidP="005728DD">
      <w:pPr>
        <w:pStyle w:val="TextoNormal"/>
      </w:pPr>
      <w:r>
        <w:t>Los órganos judiciales, ante un caso como el suscitado en el presente recurso de amparo, no pueden presumir sin más, sin poner en riesgo el derecho a la tutela judicial efectiva sin padecer indefensión garantizado en el art. 24.1 CE, que las notificaciones realizadas a través de terceras personas hayan llegado al conocimiento de la parte interesada cuando la misma cuestiona con datos objetivos que así ha sido, o si tal cosa puede inducirse del tenor de la diligencia, comprobando, a la vista de las circunstancias del caso, si el modo de practicarse la notificación fue suficiente para que surta su efecto informador (STC 39/1996, de 11 de marzo, FJ 3, con cita de la STC 275/1993, de 20 de septiembre).</w:t>
      </w:r>
    </w:p>
    <w:p w:rsidR="005728DD" w:rsidRDefault="005728DD" w:rsidP="005728DD">
      <w:pPr>
        <w:pStyle w:val="TextoNormal"/>
      </w:pPr>
    </w:p>
    <w:p w:rsidR="005728DD" w:rsidRDefault="005728DD" w:rsidP="005728DD">
      <w:pPr>
        <w:pStyle w:val="TextoNormal"/>
      </w:pPr>
      <w:r>
        <w:t xml:space="preserve">Si el órgano judicial debe acudir a la notificación por cédula a terceros, que es una forma de notificación personal ordinaria como cualquiera otra de las previstas en la LEC (salvo la </w:t>
      </w:r>
      <w:r>
        <w:lastRenderedPageBreak/>
        <w:t>edictal), será preciso en todo caso que esta última modalidad se practique con riguroso sometimiento a los requisitos y condiciones que exigen el art. 267 y el citado art. 268, ambos LEC. El cumplimiento de esas exigencias, como se indicó ya en las SSTC 110/1989, de 12 de junio; 195/1990, de 29 de noviembre, y 326/1993, de 10 de diciembre, constituye garantía del real conocimiento por el interesado del acto o resolución que se le notifica por terceros, asegurando su derecho a intervenir en el proceso desde tal momento y a interponer los recursos procedentes contra la resolución judicial, y del cercioramiento judicial de que así ha sido. Por todo ello el emplazamiento y citación han de ser realizados por el órgano judicial con todo el cuidado y respeto de las normas procesales que regulan dichos actos de comunicación, como deber específico integrado en el de la tutela judicial efectiva, dado que no son un formalismo, sino una garantía para las partes en el procedimiento y una carga que corresponde llevar a cabo al órgano judicial, integrante del contenido esencial del derecho consagrado en el art. 24 de la Constitución.</w:t>
      </w:r>
    </w:p>
    <w:p w:rsidR="005728DD" w:rsidRDefault="005728DD" w:rsidP="005728DD">
      <w:pPr>
        <w:pStyle w:val="TextoNormal"/>
      </w:pPr>
    </w:p>
    <w:p w:rsidR="005728DD" w:rsidRDefault="005728DD" w:rsidP="005728DD">
      <w:pPr>
        <w:pStyle w:val="TextoNormal"/>
      </w:pPr>
      <w:r>
        <w:t>En consecuencia, es esencial a los referidos actos de comunicación la recepción de la cédula por el destinatario y la constancia en las actuaciones, a salvo los casos de citación por edictos, de que se ha entregado a quien debe recibirla, siempre con la finalidad de que, llegando a poder del interesado, pueda este disponer de su defensa. Por ello, nuestras normas procesales y, en concreto, el art. 271 de la Ley Orgánica del Poder Judicial, aun cuando permiten que los actos de comunicación puedan practicarse por medio de correo, del telégrafo o de cualquier otro medio técnico, condicionan su utilización a la constancia de su práctica y de las circunstancias esenciales de la misma” (STC 113/2001, de 7 de mayo, FJ 6).</w:t>
      </w:r>
    </w:p>
    <w:p w:rsidR="005728DD" w:rsidRDefault="005728DD" w:rsidP="005728DD">
      <w:pPr>
        <w:pStyle w:val="TextoNormal"/>
      </w:pPr>
    </w:p>
    <w:p w:rsidR="005728DD" w:rsidRDefault="005728DD" w:rsidP="005728DD">
      <w:pPr>
        <w:pStyle w:val="TextoNormal"/>
      </w:pPr>
      <w:r>
        <w:t>Y en la STC 245/2006, de 24 de julio, FJ 3, en un supuesto similar al ahora enjuiciado en el que se había notificado la ejecución solo a la ex pareja del demandante de amparo, declaramos que “del examen de las actuaciones no se desprende que el recurrente hubiese actuado con pasividad o negligencia, ni que tuviera conocimiento extraprocesal del proceso de ejecución hipotecaria tramitado inaudita parte, toda vez que la presunción, alegada por la representación del BBVA en su escrito de alegaciones, de que la codemandada señora Vega Álvarez hubiera puesto en conocimiento del recurrente en amparo la existencia del proceso en cuestión es una simple conjetura, carente de virtualidad a estos efectos, pues, como ya hemos señalado, en estos casos ‘lo presumido es, justamente, el desconocimiento del proceso si así se alega’ (SSTC 219/1999, de 29 de noviembre, FJ 2; 128/2000, de 16 de mayo, FJ 5, y 268/2000, de 13 de noviembre, FJ 4, por todas).</w:t>
      </w:r>
    </w:p>
    <w:p w:rsidR="005728DD" w:rsidRDefault="005728DD" w:rsidP="005728DD">
      <w:pPr>
        <w:pStyle w:val="TextoNormal"/>
      </w:pPr>
    </w:p>
    <w:p w:rsidR="005728DD" w:rsidRDefault="005728DD" w:rsidP="005728DD">
      <w:pPr>
        <w:pStyle w:val="TextoNormal"/>
      </w:pPr>
      <w:r>
        <w:t>Por consiguiente, el órgano judicial, al proseguir la tramitación del proceso de ejecución hipotecaria hasta su conclusión sin agotar previamente los medios que tenía a su alcance para notificar al recurrente en su domicilio real la existencia del proceso, cuando ya existían dudas razonables de que el recurrente pudiera no tener conocimiento del mismo —y existiendo además otro domicilio en las actuaciones que, a la postre, resultó ser su domicilio real—, no satisfizo las exigencias derivadas del derecho a la tutela judicial efectiva y causó al recurrente en amparo una efectiva indefensión, al no poder personarse en el proceso a fin de defender sus derechos e intereses, lo que solo aconteció cuando el juzgado le notificó en su domicilio el auto de remate que ponía fin al procedimiento, sin que el juzgado accediese a reparar la indefensión causada con ocasión de resolver el recurso de reposición formulado por el recurrente contra el auto de remate, por lo que —conforme se ha adelantado— procede otorgar al recurrente el amparo solicitado”.</w:t>
      </w:r>
    </w:p>
    <w:p w:rsidR="005728DD" w:rsidRDefault="005728DD" w:rsidP="005728DD">
      <w:pPr>
        <w:pStyle w:val="TextoNormal"/>
      </w:pPr>
    </w:p>
    <w:p w:rsidR="005728DD" w:rsidRDefault="005728DD" w:rsidP="005728DD">
      <w:pPr>
        <w:pStyle w:val="TextoNormal"/>
      </w:pPr>
      <w:r>
        <w:t>Por todo ello, ahora, este tribunal reitera lo tantas veces declarado. Esto es, que los órganos judiciales están obligados a velar por la correcta constitución de la relación jurídica procesal, lo que se logra agotando los medios que el ordenamiento jurídico pone a su alcance, sin que se pueda presumir que la notificación hecha a un tercero haya sido puesta en conocimiento del demandado.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al caso</w:t>
      </w:r>
      <w:r>
        <w:t>.</w:t>
      </w:r>
    </w:p>
    <w:p w:rsidR="005728DD" w:rsidRDefault="005728DD" w:rsidP="005728DD">
      <w:pPr>
        <w:pStyle w:val="TextoNormal"/>
      </w:pPr>
    </w:p>
    <w:p w:rsidR="005728DD" w:rsidRDefault="005728DD" w:rsidP="005728DD">
      <w:pPr>
        <w:pStyle w:val="TextoNormal"/>
      </w:pPr>
      <w:r>
        <w:t>La doctrina constitucional expuesta resulta aplicable al supuesto que analizamos, de manera que el Juzgado de Primera Instancia e Instrucción núm. 5 de Arganda del Rey debería haber efectuado la citación o emplazamiento personal de la demandante, tras desplegar la actividad necesaria para averiguar su real domicilio, en lugar de tenerla por notificada por medio de su ex cónyuge.</w:t>
      </w:r>
    </w:p>
    <w:p w:rsidR="005728DD" w:rsidRDefault="005728DD" w:rsidP="005728DD">
      <w:pPr>
        <w:pStyle w:val="TextoNormal"/>
      </w:pPr>
    </w:p>
    <w:p w:rsidR="005728DD" w:rsidRDefault="005728DD" w:rsidP="005728DD">
      <w:pPr>
        <w:pStyle w:val="TextoNormal"/>
      </w:pPr>
      <w:r>
        <w:t>Como expusimos, entre otras en la STC 136/2014, de 8 de septiembre, FJ 2 “cuatro son los presupuestos que venimos analizando para acreditar la vulneración de este derecho fundamental por falta de emplazamiento personal: 1) La titularidad por el demandante de amparo, al tiempo de la iniciación del proceso, de un derecho e interés legítimo y propio, susceptible de afectación por la causa enjuiciada, en las resoluciones judiciales recurridas. La situación de interés legítimo resulta identificable con cualquier ventaja o utilidad jurídica derivada de la reparación pretendida; 2) La posibilidad de identificación del interesado por el órgano jurisdiccional; 3) El cumplimiento por el órgano judicial de su obligación constitucional de velar para que los actos de comunicación procesal alcanzasen eficazmente su fin, lo que significa, entre otras cosas, concebir los emplazamientos edictales como modalidades de comunicación de carácter supletorio y excepcional (STC 126/1999, de 28 de junio) o no presumir sin más que las notificaciones realizadas a través de terceras personas hayan llegado a conocimiento de la parte interesada cuando la misma cuestiona con datos objetivos que así haya sido (STC 113/2001, de 7 de mayo); y 4)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(por todas, SSTC, 102/2003, de 2 de junio, FJ 2; 102/2004, de 2 de junio, FJ 3; 207/2005, de 18 de junio, FJ 2; 246/2005, de 10 de octubre, FJ 3, y 124/2006, de 24 de abril, FJ 2)”.</w:t>
      </w:r>
    </w:p>
    <w:p w:rsidR="005728DD" w:rsidRDefault="005728DD" w:rsidP="005728DD">
      <w:pPr>
        <w:pStyle w:val="TextoNormal"/>
      </w:pPr>
    </w:p>
    <w:p w:rsidR="005728DD" w:rsidRDefault="005728DD" w:rsidP="005728DD">
      <w:pPr>
        <w:pStyle w:val="TextoNormal"/>
      </w:pPr>
      <w:r>
        <w:t>Pues bien, en el presente caso, se puede afirmar que concurren estos cuatro presupuestos necesarios para declarar vulnerado el derecho a la tutela judicial efectiva (art. 24.1 CE) de la demandante de amparo. En primer lugar, porque no cabe duda de que doña Mónica Sorina Popescu ostentaba un evidente y legítimo interés en el proceso de ejecución hipotecaria en su condición de deudora hipotecante y, por tanto, ejecutada. Resulta también incuestionable que la demandante de amparo era perfectamente identificable a partir de los datos que figuraban en los distintos organismos públicos (padrón municipal e INSALUD) y que habita en la misma vivienda desde que tuvo lugar la ruptura matrimonial. A pesar de la constancia de tan significativos datos, el juzgado no realizó ningún intento de averiguación de su domicilio, sino solo del de su ex cónyuge también ejecutado, presumiendo finalmente que las notificaciones realizadas a este último en su nuevo domicilio iban a llegar a su conocimiento.</w:t>
      </w:r>
    </w:p>
    <w:p w:rsidR="005728DD" w:rsidRDefault="005728DD" w:rsidP="005728DD">
      <w:pPr>
        <w:pStyle w:val="TextoNormal"/>
      </w:pPr>
    </w:p>
    <w:p w:rsidR="005728DD" w:rsidRDefault="005728DD" w:rsidP="005728DD">
      <w:pPr>
        <w:pStyle w:val="TextoNormal"/>
      </w:pPr>
      <w:r>
        <w:lastRenderedPageBreak/>
        <w:t>Así pues, además de ser necesario el emplazamiento personal de la demandante de amparo al ostentar derechos e intereses legítimos en el proceso ejecutivo impugnado, también era factible localizarla en su domicilio real. En todo caso, el art. 156 LEC obligaba al juzgado a la práctica de diligencias de averiguación del domicilio, incluso a través del padrón de habitantes y otros registros públicos. Sin embargo, no lo hizo así el órgano judicial, que se limitó a seguir adelante con la ejecución, a pesar de tener pleno conocimiento de que el domicilio al que se dirigían las notificaciones no era el de la demandante de amparo. Todo ello hace que se deba afirmar que la falta de emplazamiento, en cualquier caso, debía haber sido corregida por el juez, como así resulta del art. 24.1 CE, ya que el derecho a no padecer indefensión debe ser restaurado por quien presta la tutela judicial (SSTC 197/1997, de 24 de noviembre, FJ 3, y 1/2000, de 17 de enero, FJ 5).</w:t>
      </w:r>
    </w:p>
    <w:p w:rsidR="005728DD" w:rsidRDefault="005728DD" w:rsidP="005728DD">
      <w:pPr>
        <w:pStyle w:val="TextoNormal"/>
      </w:pPr>
    </w:p>
    <w:p w:rsidR="005728DD" w:rsidRDefault="005728DD" w:rsidP="005728DD">
      <w:pPr>
        <w:pStyle w:val="TextoNormal"/>
      </w:pPr>
      <w:r>
        <w:t>Además, debe señalarse que la falta de emplazamiento de la demandante de amparo en el proceso le ha producido un perjuicio real y efectivo, puesto que le ha impedido defender sus derechos e intereses en el procedimiento ejecutivo, no existiendo dato alguno en las actuaciones que permita deducir o inferir de manera suficiente y razonada que hubiera tenido un conocimiento extraprocesal del pleito. En este sentido, frente al criterio del órgano judicial en la resolución de inadmisión del incidente de nulidad de actuaciones, ha de recordarse que, según nuestra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20/2000, de 31 de enero, FJ 5, y 102/2003, de 2 de junio, FJ 3).</w:t>
      </w:r>
    </w:p>
    <w:p w:rsidR="005728DD" w:rsidRDefault="005728DD" w:rsidP="005728DD">
      <w:pPr>
        <w:pStyle w:val="TextoNormal"/>
      </w:pPr>
    </w:p>
    <w:p w:rsidR="005728DD" w:rsidRDefault="005728DD" w:rsidP="005728DD">
      <w:pPr>
        <w:pStyle w:val="TextoNormal"/>
      </w:pPr>
      <w:r>
        <w:t>En este caso, como aprecia el Ministerio Fiscal, no aparece dato alguno en las actuaciones que permita deducir de manera suficiente y razonada la carencia o insuficiente diligencia por parte de la señora Popescu para conocer extraprocesalmente la existencia del proceso. Al contrario, conviene no pasar por alto el hecho de que los requerimientos realizados por la entidad financiera y los posteriores arrojaron un resultado negativo por la ausencia de la demandante en las direcciones intentadas, así como el esfuerzo infructuoso de ejercicio de su derecho de defensa mediante el planteamiento del incidente excepcional de nulidad de actuaciones —al que recordemos que se adhirió el Ministerio Fiscal— y mediante el intento de paralización de la inscripción de la adquisición a favor de la entidad ejecutante en el registro de la propiedad.</w:t>
      </w:r>
    </w:p>
    <w:p w:rsidR="005728DD" w:rsidRDefault="005728DD" w:rsidP="005728DD">
      <w:pPr>
        <w:pStyle w:val="TextoNormal"/>
      </w:pPr>
    </w:p>
    <w:p w:rsidR="005728DD" w:rsidRDefault="005728DD" w:rsidP="005728DD">
      <w:pPr>
        <w:pStyle w:val="TextoNormal"/>
      </w:pPr>
      <w:r>
        <w:t>Igualmente concurren los otros dos presupuestos, pues el órgano judicial no cumplió su obligación constitucional de velar para que los actos de comunicación procesal alcanzasen eficazmente su fin, al presumir sin más que las notificaciones realizadas al ex cónyuge llegaron a conocimiento de la demandante de amparo y que esta sufrió como consecuencia de la omisión del emplazamiento una situación de indefensión real y efectiva, perdiendo el inmueble y la posibilidad de defenderse, sin que se haya acreditado que haya tenido conocimiento extraprocesal del asunto y, que por su propia falta de diligencia, no se personara en la causa.</w:t>
      </w:r>
    </w:p>
    <w:p w:rsidR="005728DD" w:rsidRDefault="005728DD" w:rsidP="005728DD">
      <w:pPr>
        <w:pStyle w:val="TextoNormal"/>
      </w:pPr>
    </w:p>
    <w:p w:rsidR="005728DD" w:rsidRDefault="005728DD" w:rsidP="005728DD">
      <w:pPr>
        <w:pStyle w:val="TextoNormal"/>
      </w:pPr>
      <w:r>
        <w:t>Establecido lo anterior, sin embargo, este tribunal debe subrayar que la reprobación de la actuación del órgano judicial debe concentrarse especialmente en el momento en que conoció la situación de la recurrente, a través de la interposición del incidente excepcional de nulidad de actuaciones. Como acertadamente observa el Ministerio Fiscal, una vez que, por su planteamiento, tuvo conocimiento del divorcio de los ejecutados y que la demandante de amparo habitaba desde entonces en otro domicilio, no debió hacer caso omiso a los datos que se le acreditaban y perpetuar la vulneración del derecho a la tutela judicial efectiva, sino repararla mediante la declaración de nulidad de lo actuado hasta el momento inmediatamente posterior a la admisión de la demanda y despacho de la ejecución, de modo que posibilitase el ejercicio de defensa de la demandante de amparo. No lo hizo así y por tanto, lejos de solventar la vulneración, reincidió en ella.</w:t>
      </w:r>
    </w:p>
    <w:p w:rsidR="005728DD" w:rsidRDefault="005728DD" w:rsidP="005728DD">
      <w:pPr>
        <w:pStyle w:val="TextoNormal"/>
      </w:pPr>
    </w:p>
    <w:p w:rsidR="005728DD" w:rsidRDefault="005728DD" w:rsidP="005728DD">
      <w:pPr>
        <w:pStyle w:val="TextoNormal"/>
      </w:pPr>
      <w:r>
        <w:t>En consecuencia, debe declararse la vulneración del derecho a la tutela judicial efectiva sin indefensión (art. 24.1 CE) de la demandante y estimar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Alcance de este pronunciamiento</w:t>
      </w:r>
      <w:r>
        <w:t>.</w:t>
      </w:r>
    </w:p>
    <w:p w:rsidR="005728DD" w:rsidRDefault="005728DD" w:rsidP="005728DD">
      <w:pPr>
        <w:pStyle w:val="TextoNormal"/>
      </w:pPr>
    </w:p>
    <w:p w:rsidR="005728DD" w:rsidRDefault="005728DD" w:rsidP="005728DD">
      <w:pPr>
        <w:pStyle w:val="TextoNormal"/>
      </w:pPr>
      <w:r>
        <w:t>El Ministerio Fiscal ha planteado en su escrito de alegaciones la necesidad de proceder a concretar las vulneraciones alegadas por la demandante en el presente recurso de amparo, puesto que si bien formalmente las imputa al auto de 12 de febrero de 2019 del Juzgado de Primera Instancia e Instrucción núm. 5 de Arganda del Rey, dictado en el procedimiento de ejecución hipotecaria núm. 827-2013, lo cierto es que su queja se dirige a todas las actuaciones anteriores, desde el momento procesal en que se acordó seguir los trámites sin darle traslado de la demanda.</w:t>
      </w:r>
    </w:p>
    <w:p w:rsidR="005728DD" w:rsidRDefault="005728DD" w:rsidP="005728DD">
      <w:pPr>
        <w:pStyle w:val="TextoNormal"/>
      </w:pPr>
    </w:p>
    <w:p w:rsidR="005728DD" w:rsidRDefault="005728DD" w:rsidP="005728DD">
      <w:pPr>
        <w:pStyle w:val="TextoNormal"/>
      </w:pPr>
      <w:r>
        <w:t>En efecto, a juicio de este tribunal, le asiste la razón al fiscal. Dado que la demandante de amparo ha denunciado la vulneración del derecho a la tutela judicial efectiva (art. 24.1 CE) con referencia a todos los actos de comunicación procesal habidos desde la admisión a trámite de la demanda y despacho de la ejecución, de conformidad con lo establecido en el art. 55 LOTC, procede declarar la nulidad del auto del Juzgado de Primera Instancia e Instrucción núm. 5 de Arganda del Rey, de fecha 12 de febrero de 2019, por el que se desestima el incidente excepcional de nulidad de actuaciones promovido por la demandante de amparo, en el procedimiento de ejecución hipotecaria núm. 827-2013, acordando la retroacción de las actuaciones hasta el dictado del auto despachando la ejecución, a fin de que se proceda de nuevo al emplazamiento de la recurrente, por los medios previstos en la Ley de enjuiciamiento civil, de modo que se le otorgue la posibilidad de ejercer su derecho.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Mónica Sorina Popescu Popescu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lastRenderedPageBreak/>
        <w:t>2º Restablecerla en su derecho y, a tal fin, declarar la nulidad de todo lo actuado desde la admisión de la demanda de ejecución hipotecaria núm. 827-2013, del Juzgado de Primera Instancia e Instrucción núm. 5 de Arganda del Rey.</w:t>
      </w:r>
    </w:p>
    <w:p w:rsidR="005728DD" w:rsidRDefault="005728DD" w:rsidP="005728DD">
      <w:pPr>
        <w:pStyle w:val="TextoNormal"/>
      </w:pPr>
    </w:p>
    <w:p w:rsidR="005728DD" w:rsidRDefault="005728DD" w:rsidP="005728DD">
      <w:pPr>
        <w:pStyle w:val="TextoNormal"/>
      </w:pPr>
      <w:r>
        <w:t>3º Retrotraer las actuaciones al momento inmediatamente posterior a dicha actuación para que, llevándose a cabo la notificación a la parte ejecutada de forma que resulte respetuosa con el derecho fundamental reconocido, se le dé a la demandante de amparo la posibilidad de contestar a la demanda y realizar cuantas actuaciones legales posibiliten el ejercicio de su derecho.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7" w:name="SENTENCIA_2021_44"/>
      <w:r>
        <w:lastRenderedPageBreak/>
        <w:t>SENTENCIA 44/2021, de 3 de marzo de 2021</w:t>
      </w:r>
    </w:p>
    <w:bookmarkEnd w:id="47"/>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ECLI:ES:TC:2021:44</w:t>
      </w:r>
    </w:p>
    <w:p w:rsidR="005728DD" w:rsidRDefault="005728DD" w:rsidP="005728DD">
      <w:pPr>
        <w:pStyle w:val="TextoNormalCentrado"/>
      </w:pPr>
    </w:p>
    <w:p w:rsidR="005728DD" w:rsidRDefault="005728DD" w:rsidP="005728DD">
      <w:pPr>
        <w:pStyle w:val="SntesisDescriptiva"/>
      </w:pPr>
      <w:r>
        <w:t>Recurso de amparo 2535-2019.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Aplicación de doctrina sobre vulneración del derecho a la tutela judicial efectiva por inadecuada utilización de la dirección electrónica habilitada como cauce de comunicación del primer emplazamiento procesal (STC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2535-2019, promovido por Euroinversiones Inmobiliarias Costa Sur, S.L., representada por la procuradora de los tribunales doña Blanca Berriatua Horta y bajo la dirección del letrado don Marcelino Gilabert García, contra los autos de 27 de febrero de 2019 y 21 de septiembre de 2018 dictados por el Juzgado de Primera Instancia núm. 5 de Lorca en el proceso de ejecución hipotecaria núm. 362-2018.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22 de abril de 2019, Euroinversiones Inmobiliarias Costa Sur, S.L., representada por la procuradora de los tribunales doña Blanca Berriatua Horta y bajo la dirección del letrado don Marcelino Gilabert García, interpone recurso contra las resoluciones mencionadas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resolver el presente recurso de amparo son los siguientes:</w:t>
      </w:r>
    </w:p>
    <w:p w:rsidR="005728DD" w:rsidRDefault="005728DD" w:rsidP="005728DD">
      <w:pPr>
        <w:pStyle w:val="TextoNormal"/>
      </w:pPr>
    </w:p>
    <w:p w:rsidR="005728DD" w:rsidRDefault="005728DD" w:rsidP="005728DD">
      <w:pPr>
        <w:pStyle w:val="TextoNormal"/>
      </w:pPr>
      <w:r>
        <w:t>a) En el Juzgado de Primera Instancia e Instrucción núm. 5 de Lorca, a instancias de la entidad Banco de Sabadell, S.A., se sigue procedimiento de ejecución núm. 362-2018 frente a la sociedad Euroinversiones Inmobiliarias Costa Sur, S.L., en calidad de prestataria e hipotecante y Penrei Inversiones, S.L.</w:t>
      </w:r>
    </w:p>
    <w:p w:rsidR="005728DD" w:rsidRDefault="005728DD" w:rsidP="005728DD">
      <w:pPr>
        <w:pStyle w:val="TextoNormal"/>
      </w:pPr>
    </w:p>
    <w:p w:rsidR="005728DD" w:rsidRDefault="005728DD" w:rsidP="005728DD">
      <w:pPr>
        <w:pStyle w:val="TextoNormal"/>
      </w:pPr>
      <w:r>
        <w:t>b) Despachada ejecución por auto de 8 de junio de 2018, el servicio de notificaciones de la Fábrica Nacional de Moneda y Timbre remite a la demandante de amparo, a través de la dirección electrónica habilitada, un aviso de notificación.</w:t>
      </w:r>
    </w:p>
    <w:p w:rsidR="005728DD" w:rsidRDefault="005728DD" w:rsidP="005728DD">
      <w:pPr>
        <w:pStyle w:val="TextoNormal"/>
      </w:pPr>
    </w:p>
    <w:p w:rsidR="005728DD" w:rsidRDefault="005728DD" w:rsidP="005728DD">
      <w:pPr>
        <w:pStyle w:val="TextoNormal"/>
      </w:pPr>
      <w:r>
        <w:t>c) Con fecha de 24 de julio de 2018, dentro del plazo concedido para acceder a la notificación, la demandante de amparo accedió a la página web indicada teniendo acceso a la notificación y a los documentos que la acompañaban, en concreto, al auto de despacho de la ejecución, el decreto dictado por el letrado de la administración de justicia y a la copia de la demanda. En la misma fecha el servicio de notificaciones emitió un certificado en el que consta la aceptación de la notificación por su destinatario.</w:t>
      </w:r>
    </w:p>
    <w:p w:rsidR="005728DD" w:rsidRDefault="005728DD" w:rsidP="005728DD">
      <w:pPr>
        <w:pStyle w:val="TextoNormal"/>
      </w:pPr>
    </w:p>
    <w:p w:rsidR="005728DD" w:rsidRDefault="005728DD" w:rsidP="005728DD">
      <w:pPr>
        <w:pStyle w:val="TextoNormal"/>
      </w:pPr>
      <w:r>
        <w:t>d) El 31 de julio de 2018, la demandante de amparo formuló oposición a la ejecución despachada. Por auto de 21 de septiembre de 2018, el juzgado tiene por efectuada la notificación el 13 de junio anterior e inadmite el escrito de oposición por extemporáneo. En el antecedente de hecho segundo se dice que “en fecha de 13 de junio de 2018 se notificó y requirió en legal forma a través de la sede judicial electrónica a ambas ejecutadas, y en fecha 31-07-18 se ha presentado por Euroinversiones Inmobiliarias Costa Sur, S.L., oposición a la ejecución hipotecaria”.</w:t>
      </w:r>
    </w:p>
    <w:p w:rsidR="005728DD" w:rsidRDefault="005728DD" w:rsidP="005728DD">
      <w:pPr>
        <w:pStyle w:val="TextoNormal"/>
      </w:pPr>
    </w:p>
    <w:p w:rsidR="005728DD" w:rsidRDefault="005728DD" w:rsidP="005728DD">
      <w:pPr>
        <w:pStyle w:val="TextoNormal"/>
      </w:pPr>
      <w:r>
        <w:t>e) La mercantil solicitante de amparo interpuso recurso de reposición. Alegaba que las diligencias de notificación y requerimiento no habían sido realizadas el día 13 de junio de 2018, sino el 31 de julio de 2018 y que la comunicación remitida a través de la dirección electrónica habilitada no podía entenderse más que como aviso de puesta a disposición o descarga de su contenido durante un plazo determinado (en el caso desde el 13 de junio al 29 de julio de 2018) y entenderlo de otro modo, además de infringir los arts. 135, 152, 160, 162 de la Ley de enjuiciamiento civil (LEC), vulneraba el art. 24 CE.</w:t>
      </w:r>
    </w:p>
    <w:p w:rsidR="005728DD" w:rsidRDefault="005728DD" w:rsidP="005728DD">
      <w:pPr>
        <w:pStyle w:val="TextoNormal"/>
      </w:pPr>
    </w:p>
    <w:p w:rsidR="005728DD" w:rsidRDefault="005728DD" w:rsidP="005728DD">
      <w:pPr>
        <w:pStyle w:val="TextoNormal"/>
      </w:pPr>
      <w:r>
        <w:t>f) El recurso fue desestimado por auto de 27 de febrero de 2019. El órgano judicial, tras razonar que es indiscutible que la recurrente reúne la condición de persona jurídica obligada a relacionarse telemáticamente con la administración de justicia, de conformidad con lo previsto en la disposición transitoria cuarta de la Ley 42/2015, de 5 de octubre, de reforma de la Ley 1/2000, de 7 de enero, de enjuiciamiento civil así como en los arts. 14.2 Ley 39/2015 y del art. 373.3 LEC, señala que la recurrente “yerra en el plazo en el que puede acceder a su contenido a efectos de la práctica de la notificación el cual es de diez días naturales desde el puesta a su disposición y ello por imperativo del art. 43 de la citada Ley 39/2015, de 1 de octubre, del procedimiento administrativo común de las administraciones públicas”, que reproduce.</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La demanda de amparo atribuye a los autos impugnados la vulneración del derecho fundamental de la sociedad recurrente al proceso “al darle conocimiento de la existencia del </w:t>
      </w:r>
      <w:r>
        <w:lastRenderedPageBreak/>
        <w:t>procedimiento a través de un correo electrónico al que se le da el carácter de emplazamiento y primera notificación para personarse en unas actuaciones sin constatar la existencia misma de su recepción íntegra y del acceso de mi representada al contenido de los documentos que se pretendían notificar mediante el emplazamiento por vía telemática y, a pesar de ello, no se realiza otro tipo de gestión para dejar constancia en las actuaciones de la efectiva recepción de la notificación por el destinatario de misma”. Considera que la interpretación ofrecida en el auto objeto de impugnación, que se apoya en la Ley de procedimiento administrativo eludiendo las garantías de un proceso judicial, cercena el derecho a la tutela judicial efectiva al privar a la recurrente del derecho a formular oposición en un proceso de ejecución hipotecaria.</w:t>
      </w:r>
    </w:p>
    <w:p w:rsidR="005728DD" w:rsidRDefault="005728DD" w:rsidP="005728DD">
      <w:pPr>
        <w:pStyle w:val="TextoNormal"/>
      </w:pPr>
    </w:p>
    <w:p w:rsidR="005728DD" w:rsidRDefault="005728DD" w:rsidP="005728DD">
      <w:pPr>
        <w:pStyle w:val="TextoNormal"/>
      </w:pPr>
      <w:r>
        <w:t>Igualmente precisa que, en efecto, recibió un correo de la Fábrica Nacional de Moneda y Timbre en el que se indica que ha recibido una notificación del órgano emisor juzgados y tribunales (Secretaría General de la Administración de Justicia) en la dirección electrónica habilitada del titular Euroinversiones Inmobiliarias Costa Sur, S.L., NIF B73258006 en los siguientes términos: “La notificación estará disponible en su dirección electrónica habilitada única desde el 13-06-2018 hasta el 29-07-2018. Si no procediera a su lectura en el plazo indicado se producirán los efectos correspondientes, según la normativa aplicable. Para que conste como leída, por favor acceda a http://notificaciones060.es Asunto: “JDO. 1 INST. E INSTR. N 5 DE LORCA EHJ/00000362/2018”.</w:t>
      </w:r>
    </w:p>
    <w:p w:rsidR="005728DD" w:rsidRDefault="005728DD" w:rsidP="005728DD">
      <w:pPr>
        <w:pStyle w:val="TextoNormal"/>
      </w:pPr>
    </w:p>
    <w:p w:rsidR="005728DD" w:rsidRDefault="005728DD" w:rsidP="005728DD">
      <w:pPr>
        <w:pStyle w:val="TextoNormal"/>
      </w:pPr>
      <w:r>
        <w:t>Subraya que, de conformidad con el art. 273 LEC, su pretendida obligación de comunicarse telemáticamente con la administración de justicia no nace hasta sino después del primer emplazamiento pues, hasta entonces, ninguna relación ha tenido con dicha administración, lo que viene avalado por una interpretación sistemática de este precepto con los arts. 152, 155, 160 y 162 LEC.</w:t>
      </w:r>
    </w:p>
    <w:p w:rsidR="005728DD" w:rsidRDefault="005728DD" w:rsidP="005728DD">
      <w:pPr>
        <w:pStyle w:val="TextoNormal"/>
      </w:pPr>
    </w:p>
    <w:p w:rsidR="005728DD" w:rsidRDefault="005728DD" w:rsidP="005728DD">
      <w:pPr>
        <w:pStyle w:val="TextoNormal"/>
      </w:pPr>
      <w:r>
        <w:t>La demandante de amparo solicita, en consecuencia, la anulación de las resoluciones indicadas, así como la retroacción al momento procesal oportuno, previo al dictado del auto de 21 de septiembre de 2018, a fin de que el juzgado admita a trámite su oposición al despacho de ejecución. El recurso pide también por otrosí la suspensión del proceso de ejecución.</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28 de octubre de 2019, la Sección Tercera de este tribunal acuerda admitir a trámite el recurso, apreciando que reviste especial trascendencia constitucional (art. 50.1 de la Ley Orgánica del Tribunal Constitucional), toda vez que plantea un problema o afecta a una faceta de un derecho fundamental sobre el que no hay doctrina de este tribunal [STC 155/2009, FJ 2 a)] y puede dar ocasión al tribunal para aclarar o cambiar su doctrina, como consecuencia de cambios normativos relevantes para la configuración del contenido del derecho fundamental [ STC 155/2009, FJ 2 b) ]. Acuerda igualmente dirigir atenta comunicación al Juzgado de Primera Instancia e Instrucción núm. 5 de Lorca, a fin de que, en el plazo de diez días, remita certificación o fotocopia adveradas de las actuaciones correspondientes a la ejecución hipotecaria núm. 57-2018 y emplace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Por providencia de la misma fecha, la Sección acuerda formar la oportuna pieza para la tramitación del incidente de suspensión. Seguidos los trámites correspondientes, la Sala </w:t>
      </w:r>
      <w:r>
        <w:lastRenderedPageBreak/>
        <w:t>Segunda de este tribunal, mediante el ATC 177/2019, de 16 de diciembre, deniega la suspensión cautelar solicitada y ordena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14 de diciembre de 2019, el secretario de justicia de la Sala Segunda acuerda unir a las actuaciones las resoluciones de 6 de marzo de 2020, 30 de septiembre de 2020 y 24 de noviembre de 2020, dictados por el Juzgado de Primera Instancia e Instrucción núm. 5 de Lorca en la ejecución hipotecaria 362-2018 y, a la vista de lo dictaminado en este último, dar vista de las actuaciones a la parte recurrente y al Ministerio Fiscal por plazo común de veinte días, para que puedan presentar las alegaciones que estimen pertinentes, conforme determina el art. 52.1 de la Ley Orgánica de este tribunal.</w:t>
      </w:r>
    </w:p>
    <w:p w:rsidR="005728DD" w:rsidRDefault="005728DD" w:rsidP="005728DD">
      <w:pPr>
        <w:pStyle w:val="TextoNormal"/>
      </w:pPr>
    </w:p>
    <w:p w:rsidR="005728DD" w:rsidRDefault="005728DD" w:rsidP="005728DD">
      <w:pPr>
        <w:pStyle w:val="TextoNormal"/>
      </w:pPr>
      <w:r w:rsidRPr="005728DD">
        <w:rPr>
          <w:rStyle w:val="NumeroAFNegritaCaracter"/>
        </w:rPr>
        <w:t>7</w:t>
      </w:r>
      <w:r>
        <w:t>. El 20 de enero de 2020 tiene entrada en el registro de este tribunal escrito de la recurrente en amparo, que ratifica las alegaciones expuestas en la demanda y trascribe en parte los fundamentos jurídicos de la STC 40/2020, de 27 de febrero, en las que el Pleno de este tribunal ha resuelto un recurso de amparo casi idéntico señalando que, el primer emplazamiento o citación al demandado, ha de efectuarse en papel en el domicilio del litigante como impone el art. 155.1 LEC, pues de lo contrario, se estaría vulnerando el derecho a la tutela judicial efectiva sin indefensión del art. 24 CE.</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presentó su escrito de alegaciones en este tribunal el 19 de enero de 2020.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40/2020, cuyos fundamentos jurídicos transcribe parcialmente,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40/2020, FJ 4, la finalidad que racionalmente se infiere de ese mandato no es otra que la de trasladar al referido demandado las copias presentadas en papel. A la vista de tales preceptos y de la referida STC 40/2020, así como las emitidas por este tribunal resolviendo otras demandas de amparo idénticas promovidas por Euroinversiones Inmobiliarias Costa Sur, S.L., la fiscal concluye que el juzgado no debió prescindir de la notificación personal. La omisión de la notificación personal habría vulnerado el art. 24.1 CE.</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25 de febrero de 2021 se señala para votación y fallo del presente recurso el día 3 de marzo del mismo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t>Único. El presente recurso de amparo tiene por objeto la impugnación de los autos de 27 de febrero de 2019 y 21 de septiembre de 2018, dictados por el Juzgado de Primera Instancia núm. 5 de Lorca en el proceso de ejecución hipotecaria núm. 362-2018.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21 de septiembre de 2018, a fin de que el juzgado admita a trámite su oposición al despacho de ejecución.</w:t>
      </w:r>
    </w:p>
    <w:p w:rsidR="005728DD" w:rsidRDefault="005728DD" w:rsidP="005728DD">
      <w:pPr>
        <w:pStyle w:val="TextoNormal"/>
      </w:pPr>
    </w:p>
    <w:p w:rsidR="005728DD" w:rsidRDefault="005728DD" w:rsidP="005728DD">
      <w:pPr>
        <w:pStyle w:val="TextoNormal"/>
      </w:pPr>
      <w:r>
        <w:t>El Ministerio Fiscal solicita la estimación de la demanda de amparo y la nulidad de todo lo actuado desde la notificación electrónica del auto de despacho de la ejecución con retroacción de las actuaciones al momento anterior. En tal sentido, subraya que la STC 40/2020, de 27 de febrero, del Pleno, ha estimado un recurso de amparo basado en los mismos motivos, interpuesto por la misma entidad mercantil y dirigido contra autos de contenido muy similar de otro juzgado de lo contencioso-administrativo de Lorca.</w:t>
      </w:r>
    </w:p>
    <w:p w:rsidR="005728DD" w:rsidRDefault="005728DD" w:rsidP="005728DD">
      <w:pPr>
        <w:pStyle w:val="TextoNormal"/>
      </w:pPr>
    </w:p>
    <w:p w:rsidR="005728DD" w:rsidRDefault="005728DD" w:rsidP="005728DD">
      <w:pPr>
        <w:pStyle w:val="TextoNormal"/>
      </w:pPr>
      <w:r>
        <w:t xml:space="preserve">Corresponde, en consecuencia, dar por reproducidos los fundamentos jurídicos de aquella sentencia y, declarar que los autos de 27 de febrero de 2019 y 21 de septiembre de 2018 del Juzgado de Primera Instancia núm. 5 de Lorca han vulnerado el derecho a la tutela judicial efectiva de la recurrente en amparo (art. 24.1 CE). Como en aquel caso, la estimación del amparo trae consigo la nulidad de los autos recurridos, así como de todo lo actuado en el procedimiento hipotecario </w:t>
      </w:r>
      <w:r w:rsidRPr="005728DD">
        <w:rPr>
          <w:i/>
        </w:rPr>
        <w:t>a quo</w:t>
      </w:r>
      <w:r>
        <w:t xml:space="preserve"> desde el momento en que se proveyó al emplazamiento de la entidad mercantil solicitante de amparo a través de la dirección electrónica habilitada.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S.L., y, en su virtud:</w:t>
      </w:r>
    </w:p>
    <w:p w:rsidR="005728DD" w:rsidRDefault="005728DD" w:rsidP="005728DD">
      <w:pPr>
        <w:pStyle w:val="TextoNormal"/>
      </w:pPr>
    </w:p>
    <w:p w:rsidR="005728DD" w:rsidRDefault="005728DD" w:rsidP="005728DD">
      <w:pPr>
        <w:pStyle w:val="TextoNormal"/>
      </w:pPr>
      <w:r>
        <w:t>1º Declarar que ha sido vulnerado el derecho fundamental de la recurrente en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 los autos de 27 de febrero de 2019 y 21 de septiembre de 2018 dictados por el Juzgado de Primera Instancia núm. 5 de Lorca en el proceso de ejecución hipotecaria núm. 362-2018,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8" w:name="SENTENCIA_2021_45"/>
      <w:r>
        <w:lastRenderedPageBreak/>
        <w:t>SENTENCIA 45/2021, de 3 de marzo de 2021</w:t>
      </w:r>
    </w:p>
    <w:bookmarkEnd w:id="48"/>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ECLI:ES:TC:2021:45</w:t>
      </w:r>
    </w:p>
    <w:p w:rsidR="005728DD" w:rsidRDefault="005728DD" w:rsidP="005728DD">
      <w:pPr>
        <w:pStyle w:val="TextoNormalCentrado"/>
      </w:pPr>
    </w:p>
    <w:p w:rsidR="005728DD" w:rsidRDefault="005728DD" w:rsidP="005728DD">
      <w:pPr>
        <w:pStyle w:val="SntesisDescriptiva"/>
      </w:pPr>
      <w:r>
        <w:t>Recurso de amparo 2537-2019.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2537-2019, promovido por Penrei Inversiones, S.L., contra el auto del Juzgado de Primera Instancia e Instrucción núm. 5 de Lorca de 27 de febrero de 2019, por el que se desestima el recurso de reposición interpuesto contra el auto de 21 de septiembre de 2018, por el que se inadmite el escrito de oposición a la ejecución hipotecaria en el procedimiento de ejecución hipotecaria núm. 362-2018. Ha comparecido la entidad Pera Assets Designated Activity Company.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entidad Penrei Inversiones, S.L., representada por la procuradora de los tribunales doña Blanca Berriatua Horta y bajo la asistencia de la letrada doña Anju Nirmala Benavent Rodríguez, interpuso recurso de amparo contra las resoluciones judiciales que se mencionan en el encabezamiento de esta sentencia mediante escrito registrado en este tribunal el 22 de abril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5 de Lorca con el número 362-2018.</w:t>
      </w:r>
    </w:p>
    <w:p w:rsidR="005728DD" w:rsidRDefault="005728DD" w:rsidP="005728DD">
      <w:pPr>
        <w:pStyle w:val="TextoNormal"/>
      </w:pPr>
    </w:p>
    <w:p w:rsidR="005728DD" w:rsidRDefault="005728DD" w:rsidP="005728DD">
      <w:pPr>
        <w:pStyle w:val="TextoNormal"/>
      </w:pPr>
      <w:r>
        <w:t>b) El juzgado acordó despachar ejecución mediante auto de 8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13 de junio de 2018; fecha en la que se recibió en la dirección electrónica habilitada de ambas entidades un mensaje del servicio de notificaciones electrónicas de la Fábrica Nacional de Moneda y Timbre con el aviso de que hasta el 29 de julio siguiente tendrían disponible una notificación del juzgado de Lorca relacionada con el procedimiento EHJ 0362-2018, a la que, para que constase como leída, debía acceder a través de un enlace adjunto. La ejecutada accedió a dicho enlace el 24 de julio de 2018.</w:t>
      </w:r>
    </w:p>
    <w:p w:rsidR="005728DD" w:rsidRDefault="005728DD" w:rsidP="005728DD">
      <w:pPr>
        <w:pStyle w:val="TextoNormal"/>
      </w:pPr>
    </w:p>
    <w:p w:rsidR="005728DD" w:rsidRDefault="005728DD" w:rsidP="005728DD">
      <w:pPr>
        <w:pStyle w:val="TextoNormal"/>
      </w:pPr>
      <w:r>
        <w:t>c) La entidad demandante de amparo presentó el 31 de julio de 2018 escrito de oposición a la ejecución despachada. Por auto de 21 de septiembre de 2018, el órgano judicial acordó la inadmisión de la oposición formulada por entender extemporánea su presentación, tras tomar como fecha de emplazamiento el 13 de junio de 2018.</w:t>
      </w:r>
    </w:p>
    <w:p w:rsidR="005728DD" w:rsidRDefault="005728DD" w:rsidP="005728DD">
      <w:pPr>
        <w:pStyle w:val="TextoNormal"/>
      </w:pPr>
    </w:p>
    <w:p w:rsidR="005728DD" w:rsidRDefault="005728DD" w:rsidP="005728DD">
      <w:pPr>
        <w:pStyle w:val="TextoNormal"/>
      </w:pPr>
      <w:r>
        <w:t>d) La entidad demandante de amparo interpuso recurso de reposición, alegando que la notificación y requerimiento no habían de entenderse realizadas el 13 de junio de 2018, sino el 25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005728DD" w:rsidRDefault="005728DD" w:rsidP="005728DD">
      <w:pPr>
        <w:pStyle w:val="TextoNormal"/>
      </w:pPr>
    </w:p>
    <w:p w:rsidR="005728DD" w:rsidRDefault="005728DD" w:rsidP="005728DD">
      <w:pPr>
        <w:pStyle w:val="TextoNormal"/>
      </w:pPr>
      <w:r>
        <w:t xml:space="preserve">e) El recurso fue desestimado por auto de 27 de febrero de 2019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w:t>
      </w:r>
      <w:r>
        <w:lastRenderedPageBreak/>
        <w:t>Según el auto, el art. 162.2 LEC impone que la comunicación electrónica surte efecto trascurridos tres días desde que fue efectuada sin que el destinatario acceda a su contenido. Concluye que, al constar que la notificación se puso a disposición de las ejecutadas el 13 de junio de 2018, la presentación del escrito de oposición el 31 de julio de 2018 se produjo fuera del plazo legalmente establecido en el art. 556.1 LEC, esto es más allá de los diez días siguientes al de la notificación del auto despachando la ejecución.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dentro del plazo fijado de disponibilidad; fecha que, sin embargo, el órgano judicial ha considerado fuera de plazo, por lo que acordó la inadmisión del escrito de oposición presentado dentro de los diez días que prevé el art. 556 LEC.</w:t>
      </w:r>
    </w:p>
    <w:p w:rsidR="005728DD" w:rsidRDefault="005728DD" w:rsidP="005728DD">
      <w:pPr>
        <w:pStyle w:val="TextoNormal"/>
      </w:pPr>
    </w:p>
    <w:p w:rsidR="005728DD" w:rsidRDefault="005728DD" w:rsidP="005728DD">
      <w:pPr>
        <w:pStyle w:val="TextoNormal"/>
      </w:pPr>
      <w:r>
        <w:t>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se no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5728DD" w:rsidRDefault="005728DD" w:rsidP="005728DD">
      <w:pPr>
        <w:pStyle w:val="TextoNormal"/>
      </w:pPr>
    </w:p>
    <w:p w:rsidR="005728DD" w:rsidRDefault="005728DD" w:rsidP="005728DD">
      <w:pPr>
        <w:pStyle w:val="TextoNormal"/>
      </w:pPr>
      <w:r>
        <w:t>La demandante de amparo, además, expone que el auto de 27 de febrero de 2019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w:t>
      </w:r>
    </w:p>
    <w:p w:rsidR="005728DD" w:rsidRDefault="005728DD" w:rsidP="005728DD">
      <w:pPr>
        <w:pStyle w:val="TextoNormal"/>
      </w:pPr>
    </w:p>
    <w:p w:rsidR="005728DD" w:rsidRDefault="005728DD" w:rsidP="005728DD">
      <w:pPr>
        <w:pStyle w:val="TextoNormal"/>
      </w:pPr>
      <w:r>
        <w:t>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La Sección Tercera de este tribunal, por providencia de 16 de septiembre de 2019, acordó admitir a trámite el recurso de amparo apreciando que concurre en el mismo una </w:t>
      </w:r>
      <w:r>
        <w:lastRenderedPageBreak/>
        <w:t>especial trascendencia constitucional [art. 50.1 de la Ley Orgánica del Tribunal Constitucional (LOTC)] porque puede dar ocasión para aclarar o cambiar su doctrina, como consecuencia de cambios normativos relevantes para la configuración del contenido del derecho fundamental [STC 155/2009, FJ 2 b)]”; dirigir atenta comunicación al órgano judicial para la remisión de testimonio o copia adverada de las actuaciones y el emplazamiento de quienes hubieran sido parte en el procedimiento para que puedan comparecen en el recurso de amparo; y la formación de la pieza separada de suspensión, que fue resuelta por ATC 129/2019, de 28 de octubre.</w:t>
      </w:r>
    </w:p>
    <w:p w:rsidR="005728DD" w:rsidRDefault="005728DD" w:rsidP="005728DD">
      <w:pPr>
        <w:pStyle w:val="TextoNormal"/>
      </w:pPr>
    </w:p>
    <w:p w:rsidR="005728DD" w:rsidRDefault="005728DD" w:rsidP="005728DD">
      <w:pPr>
        <w:pStyle w:val="TextoNormal"/>
      </w:pPr>
      <w:r w:rsidRPr="005728DD">
        <w:rPr>
          <w:rStyle w:val="NumeroAFNegritaCaracter"/>
        </w:rPr>
        <w:t>5</w:t>
      </w:r>
      <w:r>
        <w:t>. La entidad Pera Assets Designated Activity Company, representada por la procuradora de los tribunales doña Blanca María Grande Pesquero y bajo la asistencia del letrado don Alejandro Ingram Solís, por escrito registrado el 4 de octubre de 2019,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5 de Lorca para comparecer ante este tribunal, por lo que solicitó que se le tuviera por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t>La Sección Tercera de este tribunal, por providencia de 14 de diciembre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mediante escrito registrado el 29 de enero de 2021,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 El Ministerio Fiscal fundamenta esta petición en la jurisprudencia constitucional establecida en las SSTC 40/2020, de 27 de febrero, y 43/2020, de 9 de marzo, en las que, entre otras, se han resuelto demandas de amparo semejantes a la presente.</w:t>
      </w:r>
    </w:p>
    <w:p w:rsidR="005728DD" w:rsidRDefault="005728DD" w:rsidP="005728DD">
      <w:pPr>
        <w:pStyle w:val="TextoNormal"/>
      </w:pPr>
    </w:p>
    <w:p w:rsidR="005728DD" w:rsidRDefault="005728DD" w:rsidP="005728DD">
      <w:pPr>
        <w:pStyle w:val="TextoNormal"/>
      </w:pPr>
      <w:r w:rsidRPr="005728DD">
        <w:rPr>
          <w:rStyle w:val="NumeroAFNegritaCaracter"/>
        </w:rPr>
        <w:t>7</w:t>
      </w:r>
      <w:r>
        <w:t>. La entidad recurrente presentó sus alegaciones el 21 de enero de 2021, remitiéndose a lo expuesto en su demanda, haciendo mención adicional a la STC 40/2020, de 27 de febrero, en la que el tribunal resolvió estimatoriamente un asunto prácticamente idéntico al actual.</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25 de febrero 2021, se señaló para deliberación y votación de la presente sentencia el día 3 de marzo del mismo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jurisprudencia constitucional establecida por las SSTC 6/2019, 47/2019 y</w:t>
      </w:r>
      <w:r>
        <w:t xml:space="preserve"> 40/2020.</w:t>
      </w:r>
    </w:p>
    <w:p w:rsidR="005728DD" w:rsidRDefault="005728DD" w:rsidP="005728DD">
      <w:pPr>
        <w:pStyle w:val="TextoNormal"/>
      </w:pPr>
    </w:p>
    <w:p w:rsidR="005728DD" w:rsidRDefault="005728DD" w:rsidP="005728DD">
      <w:pPr>
        <w:pStyle w:val="TextoNormal"/>
      </w:pPr>
      <w:r>
        <w:t>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del tribunal plasmada en las SSTC 6/2019, de 17 de enero, FJ 4 a) (iii), dictada al resolver una cuestión de inconstitucionalidad planteada en relación con el último inciso del artículo 152.2 LEC, y 47/2019, de 8 de abril, FJ 4 a), recaída en un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estos actos deben realizarse por remisión a su domicilio, y que dicha forma de comunicación no puede ser sustituida por otra electrónica, como la efectuada a través de la dirección electrónica habilitada. Tal emplazamiento personal se exige en el art. 155.1 LEC. Es complemento de este requisito la regla establecida en el art. 273.4 LEC sobre la presentación en papel de las copias de los escritos y documentos que sustenten la acción. El incumplimiento de aquel deber del órgano judicial, “acarrea por tanto la conculcación de aquel derecho fundamental”, tal como tiene declarado el tribunal en varios recursos de amparo que se refieren a procesos laborales, civiles y concursales, los cuales aparecen especificados en el mismo fundamento jurídico 3, en aplicación de la doctrina de referencia.</w:t>
      </w:r>
    </w:p>
    <w:p w:rsidR="005728DD" w:rsidRDefault="005728DD" w:rsidP="005728DD">
      <w:pPr>
        <w:pStyle w:val="TextoNormal"/>
      </w:pPr>
    </w:p>
    <w:p w:rsidR="005728DD" w:rsidRDefault="005728DD" w:rsidP="005728DD">
      <w:pPr>
        <w:pStyle w:val="TextoNormal"/>
      </w:pPr>
      <w:r>
        <w:t>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ya que el órgano judicial optó, en cambio, por un emplazamiento electrónico mediante el servicio de notificaciones electrónicas y dirección electrónica habilitada de la Fábrica Nacional de Moneda y Timbre. Por otra parte, el plazo para presentar el escrito de oposición fue computado invocando normas del procedimiento administrativo común que son ajenas al ámbito jurisdiccional en el que nos encontramos.</w:t>
      </w:r>
    </w:p>
    <w:p w:rsidR="005728DD" w:rsidRDefault="005728DD" w:rsidP="005728DD">
      <w:pPr>
        <w:pStyle w:val="TextoNormal"/>
      </w:pPr>
    </w:p>
    <w:p w:rsidR="005728DD" w:rsidRDefault="005728DD" w:rsidP="005728DD">
      <w:pPr>
        <w:pStyle w:val="TextoNormal"/>
      </w:pPr>
      <w:r>
        <w:t>En resolución, el presente recurso de amparo ha de ser estimado en aplicación de la doctrina fijada en las SSTC 47/2019 y 40/2020 apreciando la vulneración del derecho a la tutela judicial efectiva sin indefensión de la entidad demandante (art. 24.1 CE). De conformidad con lo establecido en el art. 55 LOTC, procede declarar la nulidad de los autos impugnados del Juzgado de Primera Instancia e Instrucción núm. 5 de Lorca, así como de todo lo actuado en el procedimiento de ejecución hipotecaria desde que se proveyó a su emplazamiento por medio de la dirección electrónica habilitada, y ordenar la retroacción de las actuaciones a este momento a fin de que el juzgado lleve a cabo dicho emplazamiento de manera respetuosa con el derecho fundamental de la demandante de amparo.</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Penrei Inversiones, S.L., y, en consecuencia:</w:t>
      </w:r>
    </w:p>
    <w:p w:rsidR="005728DD" w:rsidRDefault="005728DD" w:rsidP="005728DD">
      <w:pPr>
        <w:pStyle w:val="TextoNormal"/>
      </w:pPr>
    </w:p>
    <w:p w:rsidR="005728DD" w:rsidRDefault="005728DD" w:rsidP="005728DD">
      <w:pPr>
        <w:pStyle w:val="TextoNormal"/>
      </w:pPr>
      <w:r>
        <w:t>1º Declarar que ha sido vulnerado el derecho fundamental de la recurrente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 los autos de 21 de septiembre de 2018 y 27 de febrero de 2019, dictados por el Juzgado de Primera Instancia e Instrucción núm. 5 de Lorca en el proceso de ejecución hipotecaria núm. 362-2018, así como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demandante de amparo, debiendo llevarse a cabo de nuevo este último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49" w:name="SENTENCIA_2021_46"/>
      <w:r>
        <w:lastRenderedPageBreak/>
        <w:t>SENTENCIA 46/2021, de 3 de marzo de 2021</w:t>
      </w:r>
    </w:p>
    <w:bookmarkEnd w:id="49"/>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ECLI:ES:TC:2021:46</w:t>
      </w:r>
    </w:p>
    <w:p w:rsidR="005728DD" w:rsidRDefault="005728DD" w:rsidP="005728DD">
      <w:pPr>
        <w:pStyle w:val="TextoNormalCentrado"/>
      </w:pPr>
    </w:p>
    <w:p w:rsidR="005728DD" w:rsidRDefault="005728DD" w:rsidP="005728DD">
      <w:pPr>
        <w:pStyle w:val="SntesisDescriptiva"/>
      </w:pPr>
      <w:r>
        <w:t>Recurso de amparo 3057-2019.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Aplicación de doctrina sobre vulneración del derecho a la tutela judicial efectiva por inadecuada utilización de la dirección electrónica habilitada como cauce de comunicación del primer emplazamiento procesal (STC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3057-2019, promovido por Euroinversiones Inmobiliarias Costa Sur, S.L., representada por la procuradora de los tribunales doña Blanca Berriatua Horta y bajo la dirección del letrado don Marcelino Gilabert García, contra los autos de 18 de diciembre de 2018 y de 21 de marzo de 2019, dictados por el Juzgado de Primera Instancia e Instrucción núm. 6 de Lorca en el proceso de ejecución hipotecaria núm. 45-2018. Han intervenido el Ministerio Fiscal. Se ha personado la entidad Pera Assets Designated Activity Company, actuando como sucesora procesal de la entidad ejecutante.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El 16 de mayo de 2019, la mercantil Euroinversiones Inmobiliarias Costa Sur, S.L., representada por la procuradora de los tribunales doña Blanca Berriatua Horta y bajo la </w:t>
      </w:r>
      <w:r>
        <w:lastRenderedPageBreak/>
        <w:t>dirección del letrado don Marcelino Gilabert García, interpuso recurso de amparo contra las resoluciones mencionadas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resolver el presente recurso de amparo son los siguientes:</w:t>
      </w:r>
    </w:p>
    <w:p w:rsidR="005728DD" w:rsidRDefault="005728DD" w:rsidP="005728DD">
      <w:pPr>
        <w:pStyle w:val="TextoNormal"/>
      </w:pPr>
    </w:p>
    <w:p w:rsidR="005728DD" w:rsidRDefault="005728DD" w:rsidP="005728DD">
      <w:pPr>
        <w:pStyle w:val="TextoNormal"/>
      </w:pPr>
      <w:r>
        <w:t>a) En el Juzgado de Primera Instancia e Instrucción núm. 6 de Lorca, a instancias de la entidad Banco de Sabadell, S.A., se sigue procedimiento de ejecución núm. 45-2018 frente a la sociedad Euroinversiones Inmobiliarias Costa Sur, S.L., en calidad de prestataria e hipotecante y Penrei Inversiones, S.L., como titular del derecho de uso del citado bien inmueble.</w:t>
      </w:r>
    </w:p>
    <w:p w:rsidR="005728DD" w:rsidRDefault="005728DD" w:rsidP="005728DD">
      <w:pPr>
        <w:pStyle w:val="TextoNormal"/>
      </w:pPr>
    </w:p>
    <w:p w:rsidR="005728DD" w:rsidRDefault="005728DD" w:rsidP="005728DD">
      <w:pPr>
        <w:pStyle w:val="TextoNormal"/>
      </w:pPr>
      <w:r>
        <w:t>b) Despachada ejecución por auto de 23 de mayo de 2018, el día 25 de mayo de 2018, el servicio de notificaciones de la Fábrica Nacional de Moneda y Timbre remitió a la demandante de amparo, a través de la dirección electrónica habilitada, sendos avisos de notificación, a las 15:39 y 16:00 horas, con idéntico contenido, en que se dice lo siguiente: “ha recibido una notificación del organismo emisor de los Juzgados y Tribunales (SGAJ) en la Dirección Electrónica Habilitada única de su titular Euroinversiones Inmobiliarias Costa Sur, S.L. NIF B73258006. La notificación estará disponible en su Dirección Electrónica Habilitada única desde el 25-05-2018 hasta el 10-07-2018.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INTR. N6 DE LORCA EJH 000045/2018. Reciba un cordial saludo”. Hay que advertir que no se contiene en estos avisos ninguna información adicional en la que se faciliten los enlaces para consultar la comunicación judicial.</w:t>
      </w:r>
    </w:p>
    <w:p w:rsidR="005728DD" w:rsidRDefault="005728DD" w:rsidP="005728DD">
      <w:pPr>
        <w:pStyle w:val="TextoNormal"/>
      </w:pPr>
    </w:p>
    <w:p w:rsidR="005728DD" w:rsidRDefault="005728DD" w:rsidP="005728DD">
      <w:pPr>
        <w:pStyle w:val="TextoNormal"/>
      </w:pPr>
      <w:r>
        <w:t>c) El día 9 de julio de 2018, es decir, un día antes de la finalización del plazo concedido en los anteriores avisos, la sede electrónica remitió un nuevo correo electrónico, en el que se avisa a la demandante de amparo que tiene “notificaciones y/o comunicaciones” sin recoger en la dirección electrónica habilitada única de la que es titular, recordándole el plazo de caducidad, esto es, el día 10 de julio de 2018, a las 23:59 horas.</w:t>
      </w:r>
    </w:p>
    <w:p w:rsidR="005728DD" w:rsidRDefault="005728DD" w:rsidP="005728DD">
      <w:pPr>
        <w:pStyle w:val="TextoNormal"/>
      </w:pPr>
    </w:p>
    <w:p w:rsidR="005728DD" w:rsidRDefault="005728DD" w:rsidP="005728DD">
      <w:pPr>
        <w:pStyle w:val="TextoNormal"/>
      </w:pPr>
      <w:r>
        <w:t>d) El día 10 de julio de 2018, último día del plazo concedido para acceder a la notificación, la demandante de amparo accedió a la página web indicada, teniendo acceso a la notificación y documentación que la acompañaba, emitiéndose en esa misma fecha por el servicio de notificaciones dos certificados en los que se hace constar el resultado de dichas notificaciones, concretamente la fecha de puesta a disposición y la de aceptación por la destinataria. Sin embargo, al acceder a la documentación, repara en que entre los mismos no se encuentra el auto de despacho de ejecución.</w:t>
      </w:r>
    </w:p>
    <w:p w:rsidR="005728DD" w:rsidRDefault="005728DD" w:rsidP="005728DD">
      <w:pPr>
        <w:pStyle w:val="TextoNormal"/>
      </w:pPr>
    </w:p>
    <w:p w:rsidR="005728DD" w:rsidRDefault="005728DD" w:rsidP="005728DD">
      <w:pPr>
        <w:pStyle w:val="TextoNormal"/>
      </w:pPr>
      <w:r>
        <w:t xml:space="preserve">e) La sociedad demandante de amparo se personó en las actuaciones el 28 de agosto de 2018, para poner de manifiesto que, con fecha 10 de julio de 2018, había recibido una comunicación del servicio de notificaciones electrónicas en la que le participaban la existencia de una notificación pendiente de entrega y que, al acceder a su contenido, constata que no todos los archivos que se dicen enviados habían sido recepcionados. Expuso en su escrito que, a su entender, la comunicación practicada carecía de validez, al no constar enviados todos los documentos que se citaban, en particular el auto que acordada el despacho de </w:t>
      </w:r>
      <w:r>
        <w:lastRenderedPageBreak/>
        <w:t>ejecución. Por ello, con amparo en el art. 166 de la Ley de enjuiciamiento civil (LEC), solicitaba la nulidad del acto de comunicación.</w:t>
      </w:r>
    </w:p>
    <w:p w:rsidR="005728DD" w:rsidRDefault="005728DD" w:rsidP="005728DD">
      <w:pPr>
        <w:pStyle w:val="TextoNormal"/>
      </w:pPr>
    </w:p>
    <w:p w:rsidR="005728DD" w:rsidRDefault="005728DD" w:rsidP="005728DD">
      <w:pPr>
        <w:pStyle w:val="TextoNormal"/>
      </w:pPr>
      <w:r>
        <w:t>f) El anterior escrito de nulidad fue tramitado y resuelto por auto de13 de diciembre de 2018 en sentido desestimatorio. En el fundamento jurídico único el órgano judicial razona que “[e]n el caso que nos ocupa, es cierto que el auto por el que se despachaba ejecución no se incluyó entre la documentación que se remitió a la mercantil ejecutada a través de la sede electrónica, y que reconoce recibida el día 25/05/2018, esto es, la demanda de ejecución y los documentos que la acompañaban, así como el decreto despachando ejecución, donde se incluía igualmente la mención a las cantidades reclamadas y por las que se debía realizar el requerimiento de pago y la propia cédula de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solo al mismo es achacable la supuesta indefensión que se alega. En consecuencia, procede la desestimación de la nulidad de actuaciones interesada”.</w:t>
      </w:r>
    </w:p>
    <w:p w:rsidR="005728DD" w:rsidRDefault="005728DD" w:rsidP="005728DD">
      <w:pPr>
        <w:pStyle w:val="TextoNormal"/>
      </w:pPr>
    </w:p>
    <w:p w:rsidR="005728DD" w:rsidRDefault="005728DD" w:rsidP="005728DD">
      <w:pPr>
        <w:pStyle w:val="TextoNormal"/>
      </w:pPr>
      <w:r>
        <w:t>g) Durante la sustanciación del incidente de nulidad, el órgano judicial volvió a emitir el 1 de junio de 2018, por la misma vía telemática, otra notificación con relación al mismo proceso de ejecución, adjuntando el auto de despacho de ejecución, advirtiendo, de nuevo, que dicha notificación estaría disponible hasta el 17 de julio de 2018. El último día del plazo, la demandante accedió y descargó los documentos adjuntos, entre los cuales se encontraba el decreto de ejecución.</w:t>
      </w:r>
    </w:p>
    <w:p w:rsidR="005728DD" w:rsidRDefault="005728DD" w:rsidP="005728DD">
      <w:pPr>
        <w:pStyle w:val="TextoNormal"/>
      </w:pPr>
    </w:p>
    <w:p w:rsidR="005728DD" w:rsidRDefault="005728DD" w:rsidP="005728DD">
      <w:pPr>
        <w:pStyle w:val="TextoNormal"/>
      </w:pPr>
      <w:r>
        <w:t>h) Con fecha 20 de julio de 2018, se remite un nuevo archivo, dando plazo hasta el 4 de septiembre de 2018 para acceder al mismo, cuyo contenido era un auto aclaratorio del anterior. Lo que llevó a cabo la demandante de amparo en fecha de 26 de julio de 2018.</w:t>
      </w:r>
    </w:p>
    <w:p w:rsidR="005728DD" w:rsidRDefault="005728DD" w:rsidP="005728DD">
      <w:pPr>
        <w:pStyle w:val="TextoNormal"/>
      </w:pPr>
    </w:p>
    <w:p w:rsidR="005728DD" w:rsidRDefault="005728DD" w:rsidP="005728DD">
      <w:pPr>
        <w:pStyle w:val="TextoNormal"/>
      </w:pPr>
      <w:r>
        <w:t>i) El día 3 de septiembre de 2018, la sociedad ejecutada formuló oposición al despacho de ejecución, que fue inadmitida por presentación extemporánea, mediante auto de 14 de septiembre de 2018. Para el órgano judicial, “en fecha de 30-5-18 se notificó y requirió a la ejecutada en legal forma a través de la sede judicial electrónica y en fecha 4-9-18 se ha presentado por Euroinversiones Inmobiliarias Costa Sur, S.L., y Penrei Inversiones, S.L., oposición a la ejecución hipotecaria”.</w:t>
      </w:r>
    </w:p>
    <w:p w:rsidR="005728DD" w:rsidRDefault="005728DD" w:rsidP="005728DD">
      <w:pPr>
        <w:pStyle w:val="TextoNormal"/>
      </w:pPr>
    </w:p>
    <w:p w:rsidR="005728DD" w:rsidRDefault="005728DD" w:rsidP="005728DD">
      <w:pPr>
        <w:pStyle w:val="TextoNormal"/>
      </w:pPr>
      <w:r>
        <w:t>j) Por auto de 18 de diciembre de 2018, se vuelve a dictar auto por el que se vuelve a inadmitir el trámite de oposición por las mismas razones y fundamentos. Así, se afirma que “en fecha 25-05-2018 se notificó y requirió en legal forma a través de la sede electrónica al demandado y en fecha 04-09-18 se ha presentado por Euroinversiones Inmobiliarias Costa Sur, S.L., y Penrei Inversiones, S.L., oposición a la ejecución hipotecaria”.</w:t>
      </w:r>
    </w:p>
    <w:p w:rsidR="005728DD" w:rsidRDefault="005728DD" w:rsidP="005728DD">
      <w:pPr>
        <w:pStyle w:val="TextoNormal"/>
      </w:pPr>
    </w:p>
    <w:p w:rsidR="005728DD" w:rsidRDefault="005728DD" w:rsidP="005728DD">
      <w:pPr>
        <w:pStyle w:val="TextoNormal"/>
      </w:pPr>
      <w:r>
        <w:t xml:space="preserve">k) Contra estas dos últimas resoluciones, la ejecutada interpuso sendos recursos de reposición, en la consideración de que las diligencias de notificación y requerimiento no habían sido realizadas el día 25 de mayo de 2018, sino, en su caso, a partir de esa fecha y hasta el 10 de julio de 2018, dado que la comunicación remitida a través de la dirección electrónica habilitada no podía entenderse más que un aviso de puesta a disposición o descarga de su contenido durante un plazo determinado (en el caso desde el 25 de mayo al 10 de julio de </w:t>
      </w:r>
      <w:r>
        <w:lastRenderedPageBreak/>
        <w:t>2018); entenderlo de otro modo, además de infringir los arts. 135, 152, 160, y 162 LEC, vulneraría el art. 24 CE.</w:t>
      </w:r>
    </w:p>
    <w:p w:rsidR="005728DD" w:rsidRDefault="005728DD" w:rsidP="005728DD">
      <w:pPr>
        <w:pStyle w:val="TextoNormal"/>
      </w:pPr>
    </w:p>
    <w:p w:rsidR="005728DD" w:rsidRDefault="005728DD" w:rsidP="005728DD">
      <w:pPr>
        <w:pStyle w:val="TextoNormal"/>
      </w:pPr>
      <w:r>
        <w:t>l) Ambos recursos fueron resueltos en sentido desestimatorio por auto de 21 de marzo de 2019. El órgano judicial, al constatar su condición de persona jurídica, confirma su obligación de relacionarse con la administración de justicia por medios electrónicos, de conformidad con lo previsto en la disposición transitoria cuarta de la Ley 42/2015, de 5 de octubre, de reforma de la Ley de enjuiciamiento civil, así como en el art. 14.2 de la Ley 39/2015 y en el Real Decreto 1065/2015, de 27 de enero, sobre comunicaciones electrónicas en la administración de justicia en el ámbito territorial del Ministerio de Justicia y por el que se regula el sistema LexNet.</w:t>
      </w:r>
    </w:p>
    <w:p w:rsidR="005728DD" w:rsidRDefault="005728DD" w:rsidP="005728DD">
      <w:pPr>
        <w:pStyle w:val="TextoNormal"/>
      </w:pPr>
    </w:p>
    <w:p w:rsidR="005728DD" w:rsidRDefault="005728DD" w:rsidP="005728DD">
      <w:pPr>
        <w:pStyle w:val="TextoNormal"/>
      </w:pPr>
      <w:r>
        <w:t>En su fundamento jurídico segundo, el órgano judicial razona que “en el presente caso, consta que la notificación se puso a disposición de las recurrentes en fecha 25-05-2018 no accediendo al contenido hasta el día 26-07-2018 (fuera de los tres días que establece la normativa procesal), presentando los escritos de oposición a la ejecución en fecha 04-09-2018 claramente fuera del plazo legalmente establecido en el art. 556.1 de la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atribuye a los autos impugnados de 18 de diciembre de 2018 y de 21 de marzo de 2019, la vulneración del derecho fundamental de la sociedad recurrente al proceso (art. 24 CE), “al darle conocimiento de la existencia del procedimiento a través de un correo electrónico al que se le da el carácter de emplazamiento y primera notificación para personarse en unas actuaciones sin constatar la existencia misma de su recepción íntegra y del acceso de mi representada al contenido de los documentos que se pretendían notificar mediante el emplazamiento por vía telemática y, a pesar de ello, no se realiza otro tipo de gestión para dejar constancia en las actuaciones de la efectiva recepción de la notificación por el destinatario de misma”. Considera que la interpretación ofrecida en el auto objeto de impugnación, que se apoya en la Ley del procedimiento administrativo eludiendo las garantías de un proceso judicial, cercena el derecho a la tutela judicial efectiva al privar a la recurrente del derecho a formular oposición en un proceso de ejecución hipotecaria.</w:t>
      </w:r>
    </w:p>
    <w:p w:rsidR="005728DD" w:rsidRDefault="005728DD" w:rsidP="005728DD">
      <w:pPr>
        <w:pStyle w:val="TextoNormal"/>
      </w:pPr>
    </w:p>
    <w:p w:rsidR="005728DD" w:rsidRDefault="005728DD" w:rsidP="005728DD">
      <w:pPr>
        <w:pStyle w:val="TextoNormal"/>
      </w:pPr>
      <w:r>
        <w:t>Subraya que, de conformidad con el art. 273 LEC, su pretendida obligación de comunicarse telemáticamente con la administración de justicia no nace hasta después del primer emplazamiento pues, hasta entonces, ninguna relación ha tenido con dicha administración, lo que viene avalado por una interpretación sistemática de este precepto con los arts. 152, 155, 160 y 162 LEC.</w:t>
      </w:r>
    </w:p>
    <w:p w:rsidR="005728DD" w:rsidRDefault="005728DD" w:rsidP="005728DD">
      <w:pPr>
        <w:pStyle w:val="TextoNormal"/>
      </w:pPr>
    </w:p>
    <w:p w:rsidR="005728DD" w:rsidRDefault="005728DD" w:rsidP="005728DD">
      <w:pPr>
        <w:pStyle w:val="TextoNormal"/>
      </w:pPr>
      <w:r>
        <w:t>La demandante de amparo solicita, en consecuencia, la anulación de las resoluciones indicadas, así como la retroacción al momento procesal oportuno, previo al dictado del auto de 14 de septiembre de 2018, a fin de que el juzgado admita a trámite su oposición al despacho de ejecución. El recurso pide también por otrosí la suspensión del proceso de ejecución.</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Mediante providencia de 15 de junio de 2020, la Sección Tercera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y puede dar ocasión al tribunal para aclarar o cambiar su doctrina, como consecuencia de cambios normativos relevantes para la configuración del contenido del derecho fundamental [STC 155/2009, FJ 2 b)]. Acuerda igualmente dirigir atenta comunicación al Juzgado de Primera Instancia e Instrucción núm. 6 de Lorca, a fin de que, en el plazo de diez días, remita certificación o fotocopia adveradas de las actuaciones correspondientes a la ejecución hipotecaria núm. 45-2018 y emplace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providencia de la misma fecha, la Sección acuerda formar la oportuna pieza para la tramitación del incidente de suspensión. Seguidos los trámites correspondientes, la Sala Primera de este tribunal, mediante ATC 103/2020, de 23 de septiembre, deniega la suspensión cautelar solicitada y ordena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de 13 de julio de 2020, doña María Claudia Munteanu, procuradora de los tribunales, en nombre de la mercantil Pera Assets Designated Activity Company y bajo la dirección técnica del letrado don Alejandro Ingram Solís, compareció ante este tribunal, haciendo constar que la entidad Banco de Sabadell le ha cedido el crédito hipotecario y que, en virtud del régimen de sucesión procesal, las actuaciones deben continuarse con ella. Solicita que se la tenga por parte y que se entiendan con ella las diligencias sucesivas del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diligencia de ordenación de 28 de octubre de 2020, el secretario de justicia de la Sala Segunda acordó tener por personado y parte en el procedimiento a la procuradora doña María Claudia Munteanu en nombre y representación de la mercantil Pera Assets Designated Activity Company, acordándose entender con ella las sucesivas actuaciones, así como dar vista de las actuaciones a la parte recurrente y al Ministerio Fiscal por plazo común de veinte días, para que puedan presentar las alegaciones que estimen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8</w:t>
      </w:r>
      <w:r>
        <w:t>. El 1 de diciembre de 2020 tiene entrada en el registro de este tribunal escrito de la recurrente en amparo, en el que ratifica las alegaciones expuestas en la demanda y trascribe en parte los fundamentos jurídicos de la STC 40/2020, de 27 de febrero, en la que el Pleno de este tribunal ha resuelto un recurso de amparo casi idéntico, señalando que, tratándose del primer emplazamiento o citación al demandado, este ha de efectuarse en el domicilio del litigante en papel, como impone el art. 155.1 LEC, pues de lo contrario se estaría vulnerando el derecho a la tutela judicial efectiva sin indefensión del art. 24 CE.</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El Ministerio Fiscal presentó su escrito de alegaciones en este tribunal el 23 de noviembre de 2020, solicitando el otorgamiento del amparo, el reconocimiento de la vulneración del derecho de la recurrente a la tutela judicial efectiva sin indefensión y la nulidad de todo lo actuado desde la notificación electrónica del auto de despacho de la ejecución, con </w:t>
      </w:r>
      <w:r>
        <w:lastRenderedPageBreak/>
        <w:t>retroacción de las actuaciones al momento anterior. Advierte, en primer lugar, la diferencia existente entre el supuesto planteado en este recurso de amparo con los del resto de la serie de los interpuestos por Euroinversiones Inmobiliarias Costa Sur, S.L., a los que les es aplicable la doctrina contenida en la STC 40/2020, relativa a la necesidad de que los actos de comunicación se realicen en el domicilio de los litigantes cuando se trata del primer emplazamiento o citación del demandado.</w:t>
      </w:r>
    </w:p>
    <w:p w:rsidR="005728DD" w:rsidRDefault="005728DD" w:rsidP="005728DD">
      <w:pPr>
        <w:pStyle w:val="TextoNormal"/>
      </w:pPr>
    </w:p>
    <w:p w:rsidR="005728DD" w:rsidRDefault="005728DD" w:rsidP="005728DD">
      <w:pPr>
        <w:pStyle w:val="TextoNormal"/>
      </w:pPr>
      <w:r>
        <w:t xml:space="preserve">En el presente caso, sin embargo, se ha producido un error en las fechas a tener en cuenta por el órgano judicial para valorar la posible extemporaneidad de la oposición a la ejecución, pues debió considerarse como </w:t>
      </w:r>
      <w:r w:rsidRPr="005728DD">
        <w:rPr>
          <w:i/>
        </w:rPr>
        <w:t>dies a quo</w:t>
      </w:r>
      <w:r>
        <w:t>, no el de la primera notificación, con independencia de que pudiera haber devenido nula por no haberse practicado personalmente y con traslado de toda la documentación de conformidad con los arts. 152.2 y 273.4 LEC, sino que la fecha de inicio del cómputo era la de 20 de julio de 2018, en la que se le dio traslado del auto de aclaración de aquel que despacha la ejecución.</w:t>
      </w:r>
    </w:p>
    <w:p w:rsidR="005728DD" w:rsidRDefault="005728DD" w:rsidP="005728DD">
      <w:pPr>
        <w:pStyle w:val="TextoNormal"/>
      </w:pPr>
    </w:p>
    <w:p w:rsidR="005728DD" w:rsidRDefault="005728DD" w:rsidP="005728DD">
      <w:pPr>
        <w:pStyle w:val="TextoNormal"/>
      </w:pPr>
      <w:r>
        <w:t xml:space="preserve">En apoyo de este argumento, se cita la STC 90/2010, FJ 3, en la que incidimos en que, en supuestos como este, “debe tenerse en cuenta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w:t>
      </w:r>
      <w:r w:rsidRPr="005728DD">
        <w:rPr>
          <w:i/>
        </w:rPr>
        <w:t>dies a quo</w:t>
      </w:r>
      <w:r>
        <w:t xml:space="preserve"> para el cómputo del plazo de un recurso contra una resolución que ha sido objeto de aclaración se debe tomar necesariamente en consideración la fecha de notificación de la resolución aclaratoria.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2 del art. 448 LEC de 2000 (‘[l]os plazos para recurrir se contarán desde el día siguiente al de la notificación de la resolución que se recurra, o, en su caso, a la notificación de su aclaración o de la denegación de esta’), como el apartado 8 del art. 267 LOPJ (en la redacción dada a este precepto por la Ley Orgánica 19/2003, de 23 de diciembre), que prevé que: ‘Los plazos para los recursos que procedan contra la resolución de que se trate se interrumpirán desde que se solicite su aclaración, rectificación, subsanación o complemento y, en todo caso, comenzarán a computarse desde el día siguiente a la notificación del auto que reconociera o negase la omisión de pronunciamiento y acordase o denegara remediarla’”. En consecuencia, aplicada esta doctrina al caso que nos ocupa, debe tomarse como </w:t>
      </w:r>
      <w:r w:rsidRPr="005728DD">
        <w:rPr>
          <w:i/>
        </w:rPr>
        <w:t>dies a quo</w:t>
      </w:r>
      <w:r>
        <w:t>, la fecha de notificación del auto de aclaración del despacho de ejecución, esto es, la de 20 de julio de 2018.</w:t>
      </w:r>
    </w:p>
    <w:p w:rsidR="005728DD" w:rsidRDefault="005728DD" w:rsidP="005728DD">
      <w:pPr>
        <w:pStyle w:val="TextoNormal"/>
      </w:pPr>
    </w:p>
    <w:p w:rsidR="005728DD" w:rsidRDefault="005728DD" w:rsidP="005728DD">
      <w:pPr>
        <w:pStyle w:val="TextoNormal"/>
      </w:pPr>
      <w:r>
        <w:t xml:space="preserve">Igualmente, señala la fiscal, que de conformidad con lo declarado por este tribunal en su STC 217/2009, FJ 3,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más recientes, 8/1998, de 13 de enero, y 122/1999, de 28 de junio). Por ello, las decisiones judiciales de inadmisión no son, en principio, revisables en la vía de amparo, salvo que vulneren el derecho a la tutela judicial efectiva, lo que ocurre cuando carecen de </w:t>
      </w:r>
      <w:r>
        <w:lastRenderedPageBreak/>
        <w:t>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w:t>
      </w:r>
    </w:p>
    <w:p w:rsidR="005728DD" w:rsidRDefault="005728DD" w:rsidP="005728DD">
      <w:pPr>
        <w:pStyle w:val="TextoNormal"/>
      </w:pPr>
    </w:p>
    <w:p w:rsidR="005728DD" w:rsidRDefault="005728DD" w:rsidP="005728DD">
      <w:pPr>
        <w:pStyle w:val="TextoNormal"/>
      </w:pPr>
      <w:r>
        <w:t>A ello, a juicio del Ministerio Fiscal, hay que añadirle lo declarado en la STC 11/2011, FJ 17, respecto a la posibilidad de apreciar la lesión del derecho a la tutela judicial efectiva (art. 24.1 CE), en aquellos pronunciamientos judiciales relativos a la caducidad de la acción “cuando determina bien la inadmisión de la acción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005728DD" w:rsidRDefault="005728DD" w:rsidP="005728DD">
      <w:pPr>
        <w:pStyle w:val="TextoNormal"/>
      </w:pPr>
    </w:p>
    <w:p w:rsidR="005728DD" w:rsidRDefault="005728DD" w:rsidP="005728DD">
      <w:pPr>
        <w:pStyle w:val="TextoNormal"/>
      </w:pPr>
      <w:r>
        <w:t xml:space="preserve">A la vista de la referida doctrina, la fiscal concluye que el juzgado erró en la determinación del </w:t>
      </w:r>
      <w:r w:rsidRPr="005728DD">
        <w:rPr>
          <w:i/>
        </w:rPr>
        <w:t>dies a quo</w:t>
      </w:r>
      <w:r>
        <w:t xml:space="preserve"> y, en consecuencia, vulneró el derecho a la tutela judicial efectiva </w:t>
      </w:r>
      <w:r w:rsidRPr="005728DD">
        <w:rPr>
          <w:i/>
        </w:rPr>
        <w:t>ex</w:t>
      </w:r>
      <w:r>
        <w:t xml:space="preserve"> art. 24.1 CE de la demandante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25 de febrero de 2021, se señaló para votación y fallo del presente recurso el día 3 de marzo del mismo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Único. El presente recurso de amparo tiene por objeto la impugnación de los autos de 18 de diciembre de 2018 y de 21 de marzo de 2019, dictados por el Juzgado de Primera Instancia e Instrucción núm. 6 de Lorca en el proceso de ejecución hipotecaria núm. 45-2018.</w:t>
      </w:r>
    </w:p>
    <w:p w:rsidR="005728DD" w:rsidRDefault="005728DD" w:rsidP="005728DD">
      <w:pPr>
        <w:pStyle w:val="TextoNormal"/>
      </w:pPr>
    </w:p>
    <w:p w:rsidR="005728DD" w:rsidRDefault="005728DD" w:rsidP="005728DD">
      <w:pPr>
        <w:pStyle w:val="TextoNormal"/>
      </w:pPr>
      <w:r>
        <w:t xml:space="preserve">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w:t>
      </w:r>
      <w:r>
        <w:lastRenderedPageBreak/>
        <w:t>la legalidad formal de los actos de comunicación, sino el cumplimiento efectivo de su finalidad constitucional. Añade que el órgano judicial igualmente habría incurrido en un error en el cómputo del plazo para presentar la oposición a la ejecución, en tanto no podía iniciarse hasta que no le fue notificado el auto aclaratorio del auto de despacho de la ejecución, es decir, hasta el 20 de julio de 2018.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14 de septiembre de 2018, a fin de que el juzgado admita a trámite su oposición al despacho de ejecución.</w:t>
      </w:r>
    </w:p>
    <w:p w:rsidR="005728DD" w:rsidRDefault="005728DD" w:rsidP="005728DD">
      <w:pPr>
        <w:pStyle w:val="TextoNormal"/>
      </w:pPr>
    </w:p>
    <w:p w:rsidR="005728DD" w:rsidRDefault="005728DD" w:rsidP="005728DD">
      <w:pPr>
        <w:pStyle w:val="TextoNormal"/>
      </w:pPr>
      <w:r>
        <w:t xml:space="preserve">Por su parte, el Ministerio Fiscal solicita la estimación de la demanda de amparo y la nulidad de todo lo actuado desde la notificación electrónica del auto de despacho de la ejecución con retroacción de las actuaciones al momento anterior. En tal sentido, subraya que, a diferencia de lo acontecido en recursos de amparo similares que han sido interpuestos por la misma demandante de amparo contra el sistema de notificación electrónica del primer emplazamiento del demandado, en este caso, el problema se ciñe a un error respecto al cómputo del plazo para ejercitar la oposición a la ejecución hipotecaria, pues el órgano judicial ha tomado como </w:t>
      </w:r>
      <w:r w:rsidRPr="005728DD">
        <w:rPr>
          <w:i/>
        </w:rPr>
        <w:t>dies a quo</w:t>
      </w:r>
      <w:r>
        <w:t xml:space="preserve"> la fecha de la primera notificación, sin tener en consideración el </w:t>
      </w:r>
      <w:r w:rsidRPr="005728DD">
        <w:rPr>
          <w:i/>
        </w:rPr>
        <w:t>iter</w:t>
      </w:r>
      <w:r>
        <w:t xml:space="preserve"> procesal habido desde entonces. Entiende que, de acuerdo con la jurisprudencia de este tribunal, debe tomarse como fecha de inicio del plazo la de 20 de julio de 2018, pues es aquella en la que se comunicó el auto aclaratorio del auto por el que se despachó la ejecución.</w:t>
      </w:r>
    </w:p>
    <w:p w:rsidR="005728DD" w:rsidRDefault="005728DD" w:rsidP="005728DD">
      <w:pPr>
        <w:pStyle w:val="TextoNormal"/>
      </w:pPr>
    </w:p>
    <w:p w:rsidR="005728DD" w:rsidRDefault="005728DD" w:rsidP="005728DD">
      <w:pPr>
        <w:pStyle w:val="TextoNormal"/>
      </w:pPr>
      <w:r>
        <w:t>En efecto, como acertadamente pone de manifiesto la fiscal, el asunto sometido a nuestra consideración, si bien vuelve a plantear el problema de la posible vulneración del derecho a la tutela judicial efectiva debida a la notificación al demandado del primer emplazamiento por vía electrónica, su análisis debe comenzar por la primera de las lesiones causadas a la recurrente en tal derecho fundamental (art. 24.1 CE), es decir por el cálculo erróneo del plazo para oponerse a la ejecución llevado a cabo por el órgano judicial.</w:t>
      </w:r>
    </w:p>
    <w:p w:rsidR="005728DD" w:rsidRDefault="005728DD" w:rsidP="005728DD">
      <w:pPr>
        <w:pStyle w:val="TextoNormal"/>
      </w:pPr>
    </w:p>
    <w:p w:rsidR="005728DD" w:rsidRDefault="005728DD" w:rsidP="005728DD">
      <w:pPr>
        <w:pStyle w:val="TextoNormal"/>
      </w:pPr>
      <w:r>
        <w:t xml:space="preserve">Sobre este particular, hemos de llamar la atención sobre el hecho de que no es la primera vez que este tribunal debe pronunciarse sobre esta cuestión, pues son numerosos nuestros pronunciamientos. De este modo, basta con recordar que, si bien “el cómputo de los plazos procesales es una cuestión de legalidad ordinaria que compete resolver a los órganos judiciales en el ejercicio de su propia y exclusiva potestad jurisdiccional, </w:t>
      </w:r>
      <w:r w:rsidRPr="005728DD">
        <w:rPr>
          <w:i/>
        </w:rPr>
        <w:t>ex</w:t>
      </w:r>
      <w:r>
        <w:t xml:space="preserve"> art. 117.3 CE”, también lo es que “el problema solo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(SSTC 201/1987, 200/1988, 32/1989, 155/1991, 132/1992, 75/1993, 302/1994 y 165/1996)” (STC 209/2013, de 16 de diciembre, FJ 4).</w:t>
      </w:r>
    </w:p>
    <w:p w:rsidR="005728DD" w:rsidRDefault="005728DD" w:rsidP="005728DD">
      <w:pPr>
        <w:pStyle w:val="TextoNormal"/>
      </w:pPr>
    </w:p>
    <w:p w:rsidR="005728DD" w:rsidRDefault="005728DD" w:rsidP="005728DD">
      <w:pPr>
        <w:pStyle w:val="TextoNormal"/>
      </w:pPr>
      <w:r>
        <w:t xml:space="preserve">Más concretamente se ha insistido en que la caducidad de la acción “constituye una de esas causas legales que impiden un pronunciamiento sobre el fondo, siendo su cómputo —como, en general, el de todos los plazos sustantivos y procesales— una cuestión de estricta legalidad ordinaria que corresponde valorar a los órganos judiciales”. No obstante, pese a ello, se ha mantenido reiteradamente que la interpretación de las normas legales que realizan aquellos es revisable en amparo cuando la apreciación de la caducidad afecta a un derecho </w:t>
      </w:r>
      <w:r>
        <w:lastRenderedPageBreak/>
        <w:t>fundamental, como ocurre cuando determina, bien la inadmisión de la demanda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005728DD" w:rsidRDefault="005728DD" w:rsidP="005728DD">
      <w:pPr>
        <w:pStyle w:val="TextoNormal"/>
      </w:pPr>
    </w:p>
    <w:p w:rsidR="005728DD" w:rsidRDefault="005728DD" w:rsidP="005728DD">
      <w:pPr>
        <w:pStyle w:val="TextoNormal"/>
      </w:pPr>
      <w:r>
        <w:t xml:space="preserve">Pues bien, en este caso, el tribunal entiende que el Juzgado de Primera Instancia e Instrucción núm. 6 de Lorca ha padecido un error de hecho al considerar que el cómputo para la oposición a la ejecución debía comenzar en el momento en el que se notificó a la demandante de amparo el auto despachando la ejecución, esto es, el 25 de mayo de 2018, obviando por consiguiente el trámite de aclaración del mismo que concluyó con su pertinente auto de fecha de 20 de julio de 2018, pues como expresa la STC 90/2010, FJ 3,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w:t>
      </w:r>
      <w:r w:rsidRPr="005728DD">
        <w:rPr>
          <w:i/>
        </w:rPr>
        <w:t>dies a quo</w:t>
      </w:r>
      <w:r>
        <w:t xml:space="preserve"> para el cómputo del plazo de un recurso contra una resolución que ha sido objeto de aclaración se debe tomar necesariamente en consideración la fecha de notificación de la resolución aclaratoria”.</w:t>
      </w:r>
    </w:p>
    <w:p w:rsidR="005728DD" w:rsidRDefault="005728DD" w:rsidP="005728DD">
      <w:pPr>
        <w:pStyle w:val="TextoNormal"/>
      </w:pPr>
    </w:p>
    <w:p w:rsidR="005728DD" w:rsidRDefault="005728DD" w:rsidP="005728DD">
      <w:pPr>
        <w:pStyle w:val="TextoNormal"/>
      </w:pPr>
      <w:r>
        <w:t xml:space="preserve">En consecuencia, debe aplicarse la doctrina recogida en la STC 11/2011, según la cual entendemos que “son casos de </w:t>
      </w:r>
      <w:r w:rsidRPr="005728DD">
        <w:rPr>
          <w:i/>
        </w:rPr>
        <w:t>error facti</w:t>
      </w:r>
      <w:r>
        <w:t xml:space="preserve"> aquellos en los que únicamente está en cuestión el cómputo o cálculo de un plazo a la vista de una inequívoca redacción de norma que lo regula, o de una interpretación constante y reiterada de la misma que aplican los órganos judiciales. En otras palabras, son supuestos en los que, sin existir duda o debate alguno sobre la interpretación de las normas que regulan el plazo, o determinada en todo caso la interpretación de la norma que contiene su régimen, se produce un mero error de cálculo, bien por errarse en la determinación del </w:t>
      </w:r>
      <w:r w:rsidRPr="005728DD">
        <w:rPr>
          <w:i/>
        </w:rPr>
        <w:t>dies a quo</w:t>
      </w:r>
      <w:r>
        <w:t xml:space="preserve">, bien por equivocarse el juzgador en el cómputo, errando en la determinación del </w:t>
      </w:r>
      <w:r w:rsidRPr="005728DD">
        <w:rPr>
          <w:i/>
        </w:rPr>
        <w:t>dies ad quem</w:t>
      </w:r>
      <w:r>
        <w:t xml:space="preserve"> del plazo. Ejemplos de ello se encuentran en nuestras SSTC 25/1986, de 19 de febrero; 167/1999, de 27 de septiembre; 66/2000, de 13 de marzo; 89/2000, de 27 de marzo; 150/2000, de 12 de junio, o 362/2006, de 18 de diciembre, en las que se opera la revisión constitucional de la resolución recurrida con los criterios del error de hecho a los que hacíamos referencia en fundamentos anteriores”.</w:t>
      </w:r>
    </w:p>
    <w:p w:rsidR="005728DD" w:rsidRDefault="005728DD" w:rsidP="005728DD">
      <w:pPr>
        <w:pStyle w:val="TextoNormal"/>
      </w:pPr>
    </w:p>
    <w:p w:rsidR="005728DD" w:rsidRDefault="005728DD" w:rsidP="005728DD">
      <w:pPr>
        <w:pStyle w:val="TextoNormal"/>
      </w:pPr>
      <w:r>
        <w:t>Por todo ello, corresponde declarar que los autos de 18 de diciembre de 2018 y de 21 de marzo de 2019 del Juzgado de Primera Instancia e Instrucción núm. 6 de Lorca han vulnerado el derecho a la tutela judicial efectiva de la recurrente en amparo (art. 24.1 CE).</w:t>
      </w:r>
    </w:p>
    <w:p w:rsidR="005728DD" w:rsidRDefault="005728DD" w:rsidP="005728DD">
      <w:pPr>
        <w:pStyle w:val="TextoNormal"/>
      </w:pPr>
    </w:p>
    <w:p w:rsidR="005728DD" w:rsidRDefault="005728DD" w:rsidP="005728DD">
      <w:pPr>
        <w:pStyle w:val="TextoNormal"/>
      </w:pPr>
      <w:r>
        <w:t xml:space="preserve">A mayor abundamiento y con el fin de evitar una nueva notificación del primer emplazamiento de la demandante de amparo por vía electrónica, este tribunal debe recordar lo expresado en la STC 40/2020, de 27 de febrero, en el sentido de que “en relación con la garantía de emplazamiento personal del demandado o ejecutado en los procesos regidos en esta materia por la LEC (directa o supletoriamente), como primera comunicación con el </w:t>
      </w:r>
      <w:r>
        <w:lastRenderedPageBreak/>
        <w:t>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S.L., y, en su virtud:</w:t>
      </w:r>
    </w:p>
    <w:p w:rsidR="005728DD" w:rsidRDefault="005728DD" w:rsidP="005728DD">
      <w:pPr>
        <w:pStyle w:val="TextoNormal"/>
      </w:pPr>
    </w:p>
    <w:p w:rsidR="005728DD" w:rsidRDefault="005728DD" w:rsidP="005728DD">
      <w:pPr>
        <w:pStyle w:val="TextoNormal"/>
      </w:pPr>
      <w:r>
        <w:t>1º Declarar que ha sido vulnerado el derecho fundamental de la recurrente en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 los autos de 18 de diciembre de 2018 y de 21 de marzo de 2019, dictados por el Juzgado de Primera Instancia e Instrucción núm. 6 de Lorca en el proceso de ejecución hipotecaria núm. 45-2018,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juzgado ejecutor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0" w:name="SENTENCIA_2021_47"/>
      <w:r>
        <w:lastRenderedPageBreak/>
        <w:t>SENTENCIA 47/2021, de 3 de marzo de 2021</w:t>
      </w:r>
    </w:p>
    <w:bookmarkEnd w:id="50"/>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ECLI:ES:TC:2021:47</w:t>
      </w:r>
    </w:p>
    <w:p w:rsidR="005728DD" w:rsidRDefault="005728DD" w:rsidP="005728DD">
      <w:pPr>
        <w:pStyle w:val="TextoNormalCentrado"/>
      </w:pPr>
    </w:p>
    <w:p w:rsidR="005728DD" w:rsidRDefault="005728DD" w:rsidP="005728DD">
      <w:pPr>
        <w:pStyle w:val="SntesisDescriptiva"/>
      </w:pPr>
      <w:r>
        <w:t>Recurso de amparo 3068-2019.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(STC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 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3068-2019, promovido por Penrei Inversiones, S.L., representada por la procuradora de los tribunales doña Blanca Berriatua Horta y bajo la dirección de la letrada doña Anju Nirmala Benavent Rodríguez, contra los autos de 18 de diciembre de 2018 y de 21 de marzo de 2019, dictados por el Juzgado de Primera Instancia e Instrucción núm. 6 de Lorca en el proceso de ejecución hipotecaria núm. 45-2018. Ha intervenido el Ministerio Fiscal. Se ha personado la entidad Pera Assets Designated Activity Company, actuando como sucesora procesal de la entidad ejecutante.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16 de mayo de 2019, la mercantil Penrei Inversiones, S.L., representada por la procuradora de los tribunales doña Blanca Berriatua Horta y bajo la dirección de la letrada doña Anju Nirmala Benavent Rodríguez, interpuso recurso de amparo contra las resoluciones mencionadas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resolver el presente recurso de amparo son los siguientes:</w:t>
      </w:r>
    </w:p>
    <w:p w:rsidR="005728DD" w:rsidRDefault="005728DD" w:rsidP="005728DD">
      <w:pPr>
        <w:pStyle w:val="TextoNormal"/>
      </w:pPr>
    </w:p>
    <w:p w:rsidR="005728DD" w:rsidRDefault="005728DD" w:rsidP="005728DD">
      <w:pPr>
        <w:pStyle w:val="TextoNormal"/>
      </w:pPr>
      <w:r>
        <w:t>a) En el Juzgado de Primera Instancia e Instrucción núm. 6 de Lorca, a instancias de la entidad Banco de Sabadell, S.A., se sigue procedimiento de ejecución núm. 45-2018 frente a la sociedad Penrei Inversiones, S.L., como titular de un derecho de uso y Euroinversiones Inmobiliarias Costa Sur, S.L., como deudora hipotecante.</w:t>
      </w:r>
    </w:p>
    <w:p w:rsidR="005728DD" w:rsidRDefault="005728DD" w:rsidP="005728DD">
      <w:pPr>
        <w:pStyle w:val="TextoNormal"/>
      </w:pPr>
    </w:p>
    <w:p w:rsidR="005728DD" w:rsidRDefault="005728DD" w:rsidP="005728DD">
      <w:pPr>
        <w:pStyle w:val="TextoNormal"/>
      </w:pPr>
      <w:r>
        <w:t>b) Despachada ejecución por auto de 23 de mayo de 2018, el siguiente día 25 de mayo de 2018, el servicio de notificaciones de la Fábrica Nacional de Moneda y Timbre remitió a la demandante de amparo, a través de la dirección electrónica habilitada, sendos avisos de notificación, con idéntico contenido, en que se dice lo siguiente: “Ha recibido una notificación del organismo emisor de los Juzgados y Tribunales (SGAJ) en la Dirección Electrónica Habilitada única de su titular Penrei Inversiones, S.L. NIF B73836173. La notificación estará disponible en su Dirección Electrónica Habilitada única desde el 25-05-2018 hasta el 10-07-2018.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INTR. N6 DE LORCA EJH 000045/2018. Reciba un cordial saludo”.</w:t>
      </w:r>
    </w:p>
    <w:p w:rsidR="005728DD" w:rsidRDefault="005728DD" w:rsidP="005728DD">
      <w:pPr>
        <w:pStyle w:val="TextoNormal"/>
      </w:pPr>
    </w:p>
    <w:p w:rsidR="005728DD" w:rsidRDefault="005728DD" w:rsidP="005728DD">
      <w:pPr>
        <w:pStyle w:val="TextoNormal"/>
      </w:pPr>
      <w:r>
        <w:t xml:space="preserve">c) Hay que advertir que cuando la recurrente, en fecha de 10 de julio de 2018, dentro del plazo en el que se le indica en el correo electrónico, accede a la notificación, comprueba que se trata del procedimiento de ejecución hipotecaria núm. 45-2018 del Juzgado de Primera Instancia e Instrucción número 6 de Lorca, pero que, de entre toda la documentación que se adjunta, falta el auto por el que se despacha ejecución. Ante esta situación, la demandante de amparo se personó en las actuaciones e interpuso la correspondiente nulidad de actuaciones, que fue resuelta mediante auto de fecha 13 de diciembre de 2018, resolviendo que efectivamente en la notificación faltaba el auto por el que se despacha ejecución, pero que no se causa indefensión, puesto que no se presentó el escrito instando la nulidad de actuaciones en el plazo para oponerse al despacho de ejecución. Así, expresamente se afirma que “en el caso que nos ocupa, es cierto que el auto por el que se despachaba ejecución no se incluyó entre la documentación que se remitió a la mercantil ejecutada a través de la sede electrónica, y que reconoce recibida el día 25/05/2018, esto es, la demanda de ejecución y los documentos que la acompañaban, así como el decreto despachando ejecución, donde se incluía igualmente la mención a las cantidades reclamadas y por las que se debía realizar el requerimiento de pago y la propia cédula de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w:t>
      </w:r>
      <w:r>
        <w:lastRenderedPageBreak/>
        <w:t>la ejecución, algo que no realizó, por lo que solo al mismo es achacable la supuesta indefensión que se alega. En consecuencia, procede la desestimación de la nulidad de actuaciones interesada”.</w:t>
      </w:r>
    </w:p>
    <w:p w:rsidR="005728DD" w:rsidRDefault="005728DD" w:rsidP="005728DD">
      <w:pPr>
        <w:pStyle w:val="TextoNormal"/>
      </w:pPr>
    </w:p>
    <w:p w:rsidR="005728DD" w:rsidRDefault="005728DD" w:rsidP="005728DD">
      <w:pPr>
        <w:pStyle w:val="TextoNormal"/>
      </w:pPr>
      <w:r>
        <w:t>d) El día 1 de junio de 2018, la sede electrónica remitió un nuevo correo electrónico, en el que se avisa a la demandante de amparo que “ha recibido una notificación del organismo emisor de los Juzgados y Tribunales (SGAJ) en la Dirección Electrónica Habilitada única de su titular Penrei Inversiones, S.L. NIF B73836173. La notificación estará disponible en su Dirección Electrónica Habilitada única desde el 01-06-2018 hasta el 17-07-2018.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INTR. N6 DE LORCA EJH 000045/2018. Reciba un cordial saludo”.</w:t>
      </w:r>
    </w:p>
    <w:p w:rsidR="005728DD" w:rsidRDefault="005728DD" w:rsidP="005728DD">
      <w:pPr>
        <w:pStyle w:val="TextoNormal"/>
      </w:pPr>
    </w:p>
    <w:p w:rsidR="005728DD" w:rsidRDefault="005728DD" w:rsidP="005728DD">
      <w:pPr>
        <w:pStyle w:val="TextoNormal"/>
      </w:pPr>
      <w:r>
        <w:t>e) De nuevo, la recurrente accedió a la notificación dentro del plazo concedido, en fecha de 17 de julio de 2018, constatando la existencia del auto de despacho de ejecución, más cinco documentos y un índice documental.</w:t>
      </w:r>
    </w:p>
    <w:p w:rsidR="005728DD" w:rsidRDefault="005728DD" w:rsidP="005728DD">
      <w:pPr>
        <w:pStyle w:val="TextoNormal"/>
      </w:pPr>
    </w:p>
    <w:p w:rsidR="005728DD" w:rsidRDefault="005728DD" w:rsidP="005728DD">
      <w:pPr>
        <w:pStyle w:val="TextoNormal"/>
      </w:pPr>
      <w:r>
        <w:t>f) En fecha de 20 de julio de 2018 se le vuelve a remitir un nuevo correo electrónico, también del servicio de notificaciones electrónicas de la Fábrica Nacional de Moneda y Timbre en el que se le indica: “Ha recibido una Notificación del organismo emisor Juzgados y Tribunales (SGAJ) en la Dirección Electrónica Habilitada Única del titular PENREI INVERSIONES - NIF B73836173. La Notificación estará disponible en su Dirección Electrónica Habilitada única desde el 20-07-2018 hasta el 04-09-2018.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INSTR. N 6 DE LORCA EJH/0000045/2018 Información adicional: Ha recibido un acto de comunicación Judicial. Podrá consultarlo en los siguientes enlaces: https://sede.administracion.gob.es/carpeta, https://notificaciones.060.es y https://sedejudicial.justicia.es. 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de la LECivil. Este aviso conforme a lo dispuesto en el art. 25 del RD 1065/2015 no tiene efecto procesal alguno Reciba un cordial saludo”. El contenido de dicha notificación era un auto aclaratorio del auto de despacho de ejecución anterior. En él, se estima “la petición formulada por el procurador señor Jiménez Martínez de aclarar el auto despachando ejecución de fecha 23-5-18, dictada en el presente procedimiento, en el sentido que se indica: que la cantidad reclamada asciende a 128.587,44 euros, y no la de 128.567,44 euros que por error se hizo constar”.</w:t>
      </w:r>
    </w:p>
    <w:p w:rsidR="005728DD" w:rsidRDefault="005728DD" w:rsidP="005728DD">
      <w:pPr>
        <w:pStyle w:val="TextoNormal"/>
      </w:pPr>
    </w:p>
    <w:p w:rsidR="005728DD" w:rsidRDefault="005728DD" w:rsidP="005728DD">
      <w:pPr>
        <w:pStyle w:val="TextoNormal"/>
      </w:pPr>
      <w:r>
        <w:t>g) El día 3 de septiembre de 2018, la sociedad ejecutada formuló oposición al despacho de ejecución, que fue inadmitida por presentación extemporánea mediante auto de 14 de septiembre de 2018. Para el órgano judicial, “en fecha de 30-5-18 se notificó y requirió en legal forma a través de la sede judicial electrónica a la ejecutada y en fecha 4-9-18 se ha presentado por Euroinversiones Inmobiliarias Costa Sur, S.L., y Penrei Inversiones, S.L., oposición a la ejecución hipotecaria”.</w:t>
      </w:r>
    </w:p>
    <w:p w:rsidR="005728DD" w:rsidRDefault="005728DD" w:rsidP="005728DD">
      <w:pPr>
        <w:pStyle w:val="TextoNormal"/>
      </w:pPr>
    </w:p>
    <w:p w:rsidR="005728DD" w:rsidRDefault="005728DD" w:rsidP="005728DD">
      <w:pPr>
        <w:pStyle w:val="TextoNormal"/>
      </w:pPr>
      <w:r>
        <w:t>h) Por auto de 18 de diciembre de 2018, se vuelve a dictar auto por el que se vuelve a inadmitir el trámite de oposición por las mismas razones y fundamentos. Así, se afirma que “en fecha 25-05-2018 se notificó y requirió en legal forma a través de la sede electrónica al demandado y en fecha 04-09-18 se ha presentado por Euroinversiones Inmobiliarias Costa Sur, S.L., y Penrei Inversiones, S.L., oposición a la ejecución hipotecaria”. Fundando, ambos autos, en la improrrogabilidad de plazos, en la preclusión [artículos 134 y 136 de la Ley de enjuiciamiento civil (LEC)], en relación al art. 695 LEC, el órgano judicial sostiene que la oposición había de haberse presentado dentro de los diez días siguientes a la notificación del auto y decreto por el que se despachó la ejecución y, por tanto, constando que la ejecutada se opuso pasado el plazo legalmente establecido, se debe inadmitir su oposición.</w:t>
      </w:r>
    </w:p>
    <w:p w:rsidR="005728DD" w:rsidRDefault="005728DD" w:rsidP="005728DD">
      <w:pPr>
        <w:pStyle w:val="TextoNormal"/>
      </w:pPr>
    </w:p>
    <w:p w:rsidR="005728DD" w:rsidRDefault="005728DD" w:rsidP="005728DD">
      <w:pPr>
        <w:pStyle w:val="TextoNormal"/>
      </w:pPr>
      <w:r>
        <w:t>i) Contra estas dos últimas resoluciones la ejecutada interpuso sendos recursos de reposición, en la consideración de que las diligencias de notificación y requerimiento no habían sido realizadas el día 25 de mayo de 2018, sino, en su caso, a partir de esa fecha y hasta el 10 de julio de 2018, dado que la comunicación remitida a través de la dirección electrónica habilitada no podía entenderse más que un aviso de puesta a disposición o descarga de su contenido durante un plazo determinado (en el caso desde el 25 de mayo al 10 de julio de 2018); entenderlo de otro modo, además de infringir los arts. 135, 152, 160, y 162 LEC, vulneraría el art. 24 CE.</w:t>
      </w:r>
    </w:p>
    <w:p w:rsidR="005728DD" w:rsidRDefault="005728DD" w:rsidP="005728DD">
      <w:pPr>
        <w:pStyle w:val="TextoNormal"/>
      </w:pPr>
    </w:p>
    <w:p w:rsidR="005728DD" w:rsidRDefault="005728DD" w:rsidP="005728DD">
      <w:pPr>
        <w:pStyle w:val="TextoNormal"/>
      </w:pPr>
      <w:r>
        <w:t>j) Ambos recursos fueron resueltos en sentido desestimatorio por auto de 21 de marzo de 2019. El órgano judicial, al constatar su condición de persona jurídica confirma su obligación de relacionarse con la administración de justicia por medios electrónicos, de conformidad con lo previsto en la disposición transitoria cuarta de la Ley 42/2015, de 5 de octubre, de reforma de la Ley de enjuiciamiento civil, así como en el art. 14.2 de la Ley 39/2015 y en el Real Decreto 1065/2015, de 27 de enero, sobre comunicaciones electrónicas en la administración de justicia en el ámbito territorial del Ministerio de Justicia y por el que se regula el sistema LexNet.</w:t>
      </w:r>
    </w:p>
    <w:p w:rsidR="005728DD" w:rsidRDefault="005728DD" w:rsidP="005728DD">
      <w:pPr>
        <w:pStyle w:val="TextoNormal"/>
      </w:pPr>
    </w:p>
    <w:p w:rsidR="005728DD" w:rsidRDefault="005728DD" w:rsidP="005728DD">
      <w:pPr>
        <w:pStyle w:val="TextoNormal"/>
      </w:pPr>
      <w:r>
        <w:t>En su fundamento jurídico segundo, el órgano judicial razona que “en el presente caso, consta que la notificación se puso a disposición de las recurrentes en fecha 25-05-2018 no accediendo al contenido hasta el día 26-07-2018 (fuera de los tres días que establece la normativa procesal), presentando los escritos de oposición a la ejecución en fecha 04-09-2018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La demanda de amparo atribuye a los autos impugnados de 18 de diciembre de 2018 y de 21 de marzo de 2019, la vulneración del derecho fundamental de la sociedad recurrente al proceso (art. 24 CE), al darle conocimiento de la existencia del procedimiento a través de un correo electrónico, otorgándole el carácter de emplazamiento y primera notificación para personarse en unas actuaciones sin constatar, la existencia misma de su recepción íntegra y de acceso a su contenido. Subraya que, de conformidad con el art. 273 LEC, su pretendida obligación de comunicarse telemáticamente con la administración de justicia no nace hasta </w:t>
      </w:r>
      <w:r>
        <w:lastRenderedPageBreak/>
        <w:t>después del primer emplazamiento pues, hasta entonces, ninguna relación ha tenido con dicha administración, lo que viene avalado por una interpretación sistemática de este precepto con los arts. 152, 155, 160 y 162 LEC.</w:t>
      </w:r>
    </w:p>
    <w:p w:rsidR="005728DD" w:rsidRDefault="005728DD" w:rsidP="005728DD">
      <w:pPr>
        <w:pStyle w:val="TextoNormal"/>
      </w:pPr>
    </w:p>
    <w:p w:rsidR="005728DD" w:rsidRDefault="005728DD" w:rsidP="005728DD">
      <w:pPr>
        <w:pStyle w:val="TextoNormal"/>
      </w:pPr>
      <w:r>
        <w:t>La demandante de amparo solicita, en consecuencia, la anulación de las resoluciones indicadas, así como la retroacción al momento procesal oportuno, previo al dictado del auto de 14 de septiembre de 2018, a fin de que el juzgado admita a trámite su oposición al despacho de ejecución. El recurso pide también por otrosí la suspensión del proceso de ejecución.</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15 de junio de 2020, la Sección Tercera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y puede dar ocasión al tribunal para aclarar o cambiar su doctrina, como consecuencia de cambios normativos relevantes para la configuración del contenido del derecho fundamental [STC 155/2009, FJ 2 b) ]. Acuerda igualmente dirigir atenta comunicación al Juzgado de Primera Instancia e Instrucción núm. 6 de Lorca, a fin de que, en el plazo de diez días, remita certificación o fotocopia adveradas de las actuaciones correspondientes a la ejecución hipotecaria núm. 45-2018 y emplace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providencia de la misma fecha, la Sección acuerda formar la oportuna pieza para la tramitación del incidente de suspensión. Seguidos los trámites correspondientes, la Sala Primera de este tribunal, mediante ATC 104/2020, de 21 de septiembre de 2020, deniega la suspensión cautelar solicitada y ordena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28 de octubre de 2020, el secretario de justicia de la Sala Segunda acordó tener por personado y parte en el procedimiento a la procuradora doña María Claudia Munteanu en nombre y representación de la mercantil Pera Assets Designated Activity Company, acordándose entender con ella las sucesivas actuaciones, así como dar vista de las actuaciones a la parte recurrente y al Ministerio Fiscal por plazo común de veinte días, para que puedan presentar las alegaciones que estimen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El 2 de diciembre de 2020 tiene entrada en el registro de este tribunal escrito de la recurrente en amparo, en el que ratifica las alegaciones expuestas en la demanda y transcribe en parte los fundamentos jurídicos de la STC 40/2020, de 27 de febrero, en las que el Pleno de este tribunal ha resuelto un recurso de amparo casi idéntico señalando que, tratándose del primer emplazamiento o citación al demandado, este ha de efectuarse en el domicilio del litigante en papel, como impone el art. 155.1 LEC, pues de lo contrario se estaría vulnerando el derecho a la tutela judicial efectiva sin indefensión del art. 24 CE.</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El Ministerio Fiscal presentó su escrito de alegaciones en este tribunal el 3 de diciembre de 2020, solicitando el otorgamiento del amparo, el reconocimiento de la vulneración del derecho de la recurrente a la tutela judicial efectiva sin indefensión y la nulidad de todo </w:t>
      </w:r>
      <w:r>
        <w:lastRenderedPageBreak/>
        <w:t>lo actuado desde la notificación electrónica del auto de despacho de la ejecución, con retroacción de las actuaciones al momento anterior. Advierte, en primer lugar, la diferencia existente entre el supuesto planteado en este recurso de amparo con los del resto de la serie de los interpuestos por Penrei Inversiones, S.L., a los que les es aplicable la doctrina contenida en la STC 40/2020, relativa a la necesidad de que los actos de comunicación se realicen en el domicilio de los litigantes cuando se trata del primer emplazamiento o citación del demandado.</w:t>
      </w:r>
    </w:p>
    <w:p w:rsidR="005728DD" w:rsidRDefault="005728DD" w:rsidP="005728DD">
      <w:pPr>
        <w:pStyle w:val="TextoNormal"/>
      </w:pPr>
    </w:p>
    <w:p w:rsidR="005728DD" w:rsidRDefault="005728DD" w:rsidP="005728DD">
      <w:pPr>
        <w:pStyle w:val="TextoNormal"/>
      </w:pPr>
      <w:r>
        <w:t xml:space="preserve">En el presente caso, sin embargo, se ha producido un error en las fechas a tener en cuenta por el órgano judicial para valorar la posible extemporaneidad de la oposición a la ejecución, pues debió considerarse como </w:t>
      </w:r>
      <w:r w:rsidRPr="005728DD">
        <w:rPr>
          <w:i/>
        </w:rPr>
        <w:t>dies a quo</w:t>
      </w:r>
      <w:r>
        <w:t>, no el de la primera notificación, con independencia de que pudiera haber devenido nula por no haberse practicado personalmente y con traslado de toda la documentación de conformidad con los arts. 152.2 y 273.4 LEC, sino que la fecha de inicio del cómputo era la de 20 de julio de 2018, fecha en la que se le dio traslado del auto de aclaración de aquel que despacha la ejecución.</w:t>
      </w:r>
    </w:p>
    <w:p w:rsidR="005728DD" w:rsidRDefault="005728DD" w:rsidP="005728DD">
      <w:pPr>
        <w:pStyle w:val="TextoNormal"/>
      </w:pPr>
    </w:p>
    <w:p w:rsidR="005728DD" w:rsidRDefault="005728DD" w:rsidP="005728DD">
      <w:pPr>
        <w:pStyle w:val="TextoNormal"/>
      </w:pPr>
      <w:r>
        <w:t xml:space="preserve">En apoyo de este argumento se cita la STC 90/2010, FJ 3, en la que incidimos en que, en supuestos como este, “debe tenerse en cuenta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w:t>
      </w:r>
      <w:r w:rsidRPr="005728DD">
        <w:rPr>
          <w:i/>
        </w:rPr>
        <w:t>dies a quo</w:t>
      </w:r>
      <w:r>
        <w:t xml:space="preserve"> para el cómputo del plazo de un recurso contra una resolución que ha sido objeto de aclaración se debe tomar necesariamente en consideración la fecha de notificación de la resolución aclaratoria.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2 del art. 448 LEC de 2000 (‘[l]os plazos para recurrir se contarán desde el día siguiente al de la notificación de la resolución que se recurra, o, en su caso, a la notificación de su aclaración o de la denegación de esta’), como el apartado 8 del art. 267 LOPJ (en la redacción dada a este precepto por la Ley Orgánica 19/2003, de 23 de diciembre), que prevé que: ‘Los plazos para los recursos que procedan contra la resolución de que se trate se interrumpirán desde que se solicite su aclaración, rectificación, subsanación o complemento y, en todo caso, comenzarán a computarse desde el día siguiente a la notificación del auto que reconociera o negase la omisión de pronunciamiento y acordase o denegara remediarla’”. En consecuencia, aplicada esta doctrina al caso que nos ocupa, debe tomarse como </w:t>
      </w:r>
      <w:r w:rsidRPr="005728DD">
        <w:rPr>
          <w:i/>
        </w:rPr>
        <w:t>dies a quo</w:t>
      </w:r>
      <w:r>
        <w:t>, la fecha de notificación del auto de aclaración del despacho de ejecución, esto es, la de 20 de julio de 2018, por lo que el plazo expiraba el siguiente 5 de septiembre de 2018. La oposición se formuló en fecha de 3 de septiembre de 2018, por tanto, dentro del plazo legal.</w:t>
      </w:r>
    </w:p>
    <w:p w:rsidR="005728DD" w:rsidRDefault="005728DD" w:rsidP="005728DD">
      <w:pPr>
        <w:pStyle w:val="TextoNormal"/>
      </w:pPr>
    </w:p>
    <w:p w:rsidR="005728DD" w:rsidRDefault="005728DD" w:rsidP="005728DD">
      <w:pPr>
        <w:pStyle w:val="TextoNormal"/>
      </w:pPr>
      <w:r>
        <w:t xml:space="preserve">Igualmente, señala la fiscal, que de conformidad con lo declarado por este tribunal en su STC 217/2009, FJ 3,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w:t>
      </w:r>
      <w:r>
        <w:lastRenderedPageBreak/>
        <w:t>y, entre las 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w:t>
      </w:r>
    </w:p>
    <w:p w:rsidR="005728DD" w:rsidRDefault="005728DD" w:rsidP="005728DD">
      <w:pPr>
        <w:pStyle w:val="TextoNormal"/>
      </w:pPr>
    </w:p>
    <w:p w:rsidR="005728DD" w:rsidRDefault="005728DD" w:rsidP="005728DD">
      <w:pPr>
        <w:pStyle w:val="TextoNormal"/>
      </w:pPr>
      <w:r>
        <w:t>A ello, a juicio del Ministerio Fiscal, hay que añadirle lo declarado en la STC 11/2011, FJ 17, respecto a la posibilidad de apreciar la lesión del derecho a la tutela judicial efectiva (art. 24.1 CE), en aquellos pronunciamientos judiciales relativos a la caducidad de la acción “cuando determina bien la inadmisión de la acción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005728DD" w:rsidRDefault="005728DD" w:rsidP="005728DD">
      <w:pPr>
        <w:pStyle w:val="TextoNormal"/>
      </w:pPr>
    </w:p>
    <w:p w:rsidR="005728DD" w:rsidRDefault="005728DD" w:rsidP="005728DD">
      <w:pPr>
        <w:pStyle w:val="TextoNormal"/>
      </w:pPr>
      <w:r>
        <w:t xml:space="preserve">A la vista de la referida doctrina, la fiscal concluye que el juzgado erró en la determinación del </w:t>
      </w:r>
      <w:r w:rsidRPr="005728DD">
        <w:rPr>
          <w:i/>
        </w:rPr>
        <w:t>dies a quo</w:t>
      </w:r>
      <w:r>
        <w:t xml:space="preserve"> y, en consecuencia, vulneró el derecho a la tutela judicial efectiva </w:t>
      </w:r>
      <w:r w:rsidRPr="005728DD">
        <w:rPr>
          <w:i/>
        </w:rPr>
        <w:t>ex</w:t>
      </w:r>
      <w:r>
        <w:t xml:space="preserve"> art. 24.1 CE de la demandante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Con fecha de 13 de julio de 2020, la mercantil Pera Assets Designated Activity Company representada la procuradora de los tribunales, doña María Claudia Munteanu, y bajo la dirección técnica del letrado don Alejandro Ingram Solís, compareció ante este tribunal, haciendo constar que la entidad Banco de Sabadell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25 de febrero de 2021 se señaló para votación y fallo del presente recurso el día 3 de marzo del mismo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t>Único. El presente recurso de amparo tiene por objeto la impugnación de los autos de 18 de diciembre de 2018 y de 21 de marzo de 2019, dictados por el Juzgado de Primera Instancia e Instrucción núm. 6 de Lorca en el proceso de ejecución hipotecaria núm. 45-2018.</w:t>
      </w:r>
    </w:p>
    <w:p w:rsidR="005728DD" w:rsidRDefault="005728DD" w:rsidP="005728DD">
      <w:pPr>
        <w:pStyle w:val="TextoNormal"/>
      </w:pPr>
    </w:p>
    <w:p w:rsidR="005728DD" w:rsidRDefault="005728DD" w:rsidP="005728DD">
      <w:pPr>
        <w:pStyle w:val="TextoNormal"/>
      </w:pPr>
      <w:r>
        <w:t>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Añade que el órgano judicial igualmente habría incurrido en un error en el cómputo del plazo para presentar la oposición a la ejecución, en tanto no podía iniciarse hasta que no le fue notificado el auto aclaratorio del auto de despacho de la ejecución, es decir, hasta el 20 de julio de 2018.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14 de septiembre de 2018, a fin de que el juzgado admita a trámite su oposición al despacho de ejecución.</w:t>
      </w:r>
    </w:p>
    <w:p w:rsidR="005728DD" w:rsidRDefault="005728DD" w:rsidP="005728DD">
      <w:pPr>
        <w:pStyle w:val="TextoNormal"/>
      </w:pPr>
    </w:p>
    <w:p w:rsidR="005728DD" w:rsidRDefault="005728DD" w:rsidP="005728DD">
      <w:pPr>
        <w:pStyle w:val="TextoNormal"/>
      </w:pPr>
      <w:r>
        <w:t xml:space="preserve">Por su parte, el Ministerio Fiscal solicita la estimación de la demanda de amparo y la nulidad de todo lo actuado desde la notificación electrónica del auto de despacho de la ejecución, con retroacción de las actuaciones al momento anterior. En tal sentido, subraya que, a diferencia de lo acontecido en recursos de amparo similares que han sido interpuestos por la misma demandante de amparo contra el sistema de notificación electrónica del primer emplazamiento del demandado, en este caso, el problema se ciñe a un error respecto al cómputo del plazo para ejercitar la oposición a la ejecución hipotecaria, pues el órgano judicial ha tomado como </w:t>
      </w:r>
      <w:r w:rsidRPr="005728DD">
        <w:rPr>
          <w:i/>
        </w:rPr>
        <w:t>dies a quo</w:t>
      </w:r>
      <w:r>
        <w:t xml:space="preserve"> la fecha de la primera notificación, sin tener en consideración el </w:t>
      </w:r>
      <w:r w:rsidRPr="005728DD">
        <w:rPr>
          <w:i/>
        </w:rPr>
        <w:t>iter</w:t>
      </w:r>
      <w:r>
        <w:t xml:space="preserve"> procesal habido desde entonces. Entiende que, de acuerdo con la jurisprudencia de este tribunal, debe tomarse como fecha de inicio del plazo la de 20 de julio de 2018, pues es aquella en la que se comunicó el auto aclaratorio del auto por el que se despachó la ejecución.</w:t>
      </w:r>
    </w:p>
    <w:p w:rsidR="005728DD" w:rsidRDefault="005728DD" w:rsidP="005728DD">
      <w:pPr>
        <w:pStyle w:val="TextoNormal"/>
      </w:pPr>
    </w:p>
    <w:p w:rsidR="005728DD" w:rsidRDefault="005728DD" w:rsidP="005728DD">
      <w:pPr>
        <w:pStyle w:val="TextoNormal"/>
      </w:pPr>
      <w:r>
        <w:t>En efecto, como acertadamente pone de manifiesto la fiscal, el asunto sometido a nuestra consideración, si bien vuelve a plantear el problema de la posible vulneración del derecho a la tutela judicial efectiva debida a la notificación al demandado del primer emplazamiento por vía electrónica, su análisis debe comenzar por la primera de las lesiones causadas a la recurrente en tal derecho fundamental (art. 24.1 CE), es decir, por el cálculo erróneo del plazo para oponerse a la ejecución llevado a cabo por el órgano judicial.</w:t>
      </w:r>
    </w:p>
    <w:p w:rsidR="005728DD" w:rsidRDefault="005728DD" w:rsidP="005728DD">
      <w:pPr>
        <w:pStyle w:val="TextoNormal"/>
      </w:pPr>
    </w:p>
    <w:p w:rsidR="005728DD" w:rsidRDefault="005728DD" w:rsidP="005728DD">
      <w:pPr>
        <w:pStyle w:val="TextoNormal"/>
      </w:pPr>
      <w:r>
        <w:t xml:space="preserve">Sobre este particular, hemos de llamar la atención sobre el hecho de que no es la primera vez que este tribunal debe pronunciarse sobre esta cuestión, pues son numerosos nuestros pronunciamientos. De este modo, basta con recordar que, si bien “el cómputo de los plazos procesales es una cuestión de legalidad ordinaria que compete resolver a los órganos judiciales en el ejercicio de su propia y exclusiva potestad jurisdiccional, </w:t>
      </w:r>
      <w:r w:rsidRPr="005728DD">
        <w:rPr>
          <w:i/>
        </w:rPr>
        <w:t>ex</w:t>
      </w:r>
      <w:r>
        <w:t xml:space="preserve"> art. 117.3 CE”, </w:t>
      </w:r>
      <w:r>
        <w:lastRenderedPageBreak/>
        <w:t>también lo es que “el problema solo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(SSTC 201/1987, 200/1988, 32/1989, 155/1991, 132/1992, 75/1993, 302/1994 y 165/1996)” (STC 209/2013, de 16 de diciembre, FJ 4).</w:t>
      </w:r>
    </w:p>
    <w:p w:rsidR="005728DD" w:rsidRDefault="005728DD" w:rsidP="005728DD">
      <w:pPr>
        <w:pStyle w:val="TextoNormal"/>
      </w:pPr>
    </w:p>
    <w:p w:rsidR="005728DD" w:rsidRDefault="005728DD" w:rsidP="005728DD">
      <w:pPr>
        <w:pStyle w:val="TextoNormal"/>
      </w:pPr>
      <w:r>
        <w:t>Más concretamente se ha insistido en que la caducidad de la acción “constituye una de esas causas legales que impiden un pronunciamiento sobre el fondo, siendo su cómputo —como, en general, el de todos los plazos sustantivos y procesales— una cuestión de estricta legalidad ordinaria que corresponde valorar a los órganos judiciales”. No obstante, pese a ello, se ha mantenido reiteradamente que la interpretación de las normas legales que realizan aquellos es revisable en amparo cuando la apreciación de la caducidad afecta a un derecho fundamental, como ocurre cuando determina, bien la inadmisión de la demanda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005728DD" w:rsidRDefault="005728DD" w:rsidP="005728DD">
      <w:pPr>
        <w:pStyle w:val="TextoNormal"/>
      </w:pPr>
    </w:p>
    <w:p w:rsidR="005728DD" w:rsidRDefault="005728DD" w:rsidP="005728DD">
      <w:pPr>
        <w:pStyle w:val="TextoNormal"/>
      </w:pPr>
      <w:r>
        <w:t xml:space="preserve">Pues bien, en este caso, el tribunal entiende que el Juzgado de Primera Instancia e Instrucción núm. 6 de Lorca ha padecido un error de hecho al considerar que el cómputo para la oposición a la ejecución debía comenzar en el momento en el que se notificó a la demandante de amparo el auto despachando la ejecución, esto es, el 25 de mayo de 2018, obviando por consiguiente el trámite de aclaración del mismo que concluyó con su pertinente auto de fecha de 20 de julio de 2018, pues como expresa la STC 90/2010, FJ 3,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w:t>
      </w:r>
      <w:r w:rsidRPr="005728DD">
        <w:rPr>
          <w:i/>
        </w:rPr>
        <w:t>dies a quo</w:t>
      </w:r>
      <w:r>
        <w:t xml:space="preserve"> para el cómputo del plazo de un recurso contra una resolución que ha sido objeto de aclaración se debe tomar necesariamente en consideración la fecha de notificación de la resolución aclaratoria”.</w:t>
      </w:r>
    </w:p>
    <w:p w:rsidR="005728DD" w:rsidRDefault="005728DD" w:rsidP="005728DD">
      <w:pPr>
        <w:pStyle w:val="TextoNormal"/>
      </w:pPr>
    </w:p>
    <w:p w:rsidR="005728DD" w:rsidRDefault="005728DD" w:rsidP="005728DD">
      <w:pPr>
        <w:pStyle w:val="TextoNormal"/>
      </w:pPr>
      <w:r>
        <w:t xml:space="preserve">En consecuencia debe aplicarse la doctrina recogida en la STC 11/2011, según la cual “son casos de </w:t>
      </w:r>
      <w:r w:rsidRPr="005728DD">
        <w:rPr>
          <w:i/>
        </w:rPr>
        <w:t>error facti</w:t>
      </w:r>
      <w:r>
        <w:t xml:space="preserve"> aquellos en los que únicamente está en cuestión el cómputo o cálculo de un plazo a la vista de una inequívoca redacción de norma que lo regula, o de una interpretación constante y reiterada de la misma que aplican los órganos judiciales. En otras palabras, son supuestos en los que, sin existir duda o debate alguno sobre la interpretación de las normas que regulan el plazo, o determinada en todo caso la interpretación de la norma que contiene su régimen, se produce un mero error de cálculo, bien por errarse en la determinación del </w:t>
      </w:r>
      <w:r w:rsidRPr="005728DD">
        <w:rPr>
          <w:i/>
        </w:rPr>
        <w:t>dies a quo</w:t>
      </w:r>
      <w:r>
        <w:t xml:space="preserve">, bien por equivocarse el juzgador en el cómputo, errando en la determinación del </w:t>
      </w:r>
      <w:r w:rsidRPr="005728DD">
        <w:rPr>
          <w:i/>
        </w:rPr>
        <w:t>dies ad quem</w:t>
      </w:r>
      <w:r>
        <w:t xml:space="preserve"> del plazo. Ejemplos de ello se encuentran en nuestras SSTC 25/1986, de 19 de febrero; 167/1999, de 27 de septiembre; 66/2000, de 13 de marzo; </w:t>
      </w:r>
      <w:r>
        <w:lastRenderedPageBreak/>
        <w:t>89/2000, de 27 de marzo; 150/2000, de 12 de junio, o 362/2006, de 18 de diciembre, en las que se opera la revisión constitucional de la resolución recurrida con los criterios del error de hecho a los que hacíamos referencia en fundamentos anteriores”.</w:t>
      </w:r>
    </w:p>
    <w:p w:rsidR="005728DD" w:rsidRDefault="005728DD" w:rsidP="005728DD">
      <w:pPr>
        <w:pStyle w:val="TextoNormal"/>
      </w:pPr>
    </w:p>
    <w:p w:rsidR="005728DD" w:rsidRDefault="005728DD" w:rsidP="005728DD">
      <w:pPr>
        <w:pStyle w:val="TextoNormal"/>
      </w:pPr>
      <w:r>
        <w:t>Por todo ello, corresponde declarar que los autos de 18 de diciembre de 2018 y de 21 de marzo de 2019 del Juzgado de Primera Instancia e Instrucción núm. 6 de Lorca han vulnerado el derecho a la tutela judicial efectiva de la recurrente en amparo (art. 24.1 CE).</w:t>
      </w:r>
    </w:p>
    <w:p w:rsidR="005728DD" w:rsidRDefault="005728DD" w:rsidP="005728DD">
      <w:pPr>
        <w:pStyle w:val="TextoNormal"/>
      </w:pPr>
    </w:p>
    <w:p w:rsidR="005728DD" w:rsidRDefault="005728DD" w:rsidP="005728DD">
      <w:pPr>
        <w:pStyle w:val="TextoNormal"/>
      </w:pPr>
      <w:r>
        <w:t>A mayor abundamiento y con el fin de evitar una nueva notificación del primer emplazamiento de la demandante de amparo por vía electrónica, este tribunal debe recordar lo expresado en la STC 40/2020, de 27 de febrero, en el sentido de que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Penrei Inversiones, S.L., y, en su virtud:</w:t>
      </w:r>
    </w:p>
    <w:p w:rsidR="005728DD" w:rsidRDefault="005728DD" w:rsidP="005728DD">
      <w:pPr>
        <w:pStyle w:val="TextoNormal"/>
      </w:pPr>
    </w:p>
    <w:p w:rsidR="005728DD" w:rsidRDefault="005728DD" w:rsidP="005728DD">
      <w:pPr>
        <w:pStyle w:val="TextoNormal"/>
      </w:pPr>
      <w:r>
        <w:t>1º Declarar que ha sido vulnerado el derecho fundamental de la recurrente en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 los autos de 18 de diciembre de 2018 y de 21 de marzo de 2019, dictados por el Juzgado de Primera Instancia e Instrucción núm. 6 de Lorca en el proceso de ejecución hipotecaria núm. 45-2018,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1" w:name="SENTENCIA_2021_48"/>
      <w:r>
        <w:lastRenderedPageBreak/>
        <w:t>SENTENCIA 48/2021, de 3 de marzo de 2021</w:t>
      </w:r>
    </w:p>
    <w:bookmarkEnd w:id="51"/>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ECLI:ES:TC:2021:48</w:t>
      </w:r>
    </w:p>
    <w:p w:rsidR="005728DD" w:rsidRDefault="005728DD" w:rsidP="005728DD">
      <w:pPr>
        <w:pStyle w:val="TextoNormalCentrado"/>
      </w:pPr>
    </w:p>
    <w:p w:rsidR="005728DD" w:rsidRDefault="005728DD" w:rsidP="005728DD">
      <w:pPr>
        <w:pStyle w:val="SntesisDescriptiva"/>
      </w:pPr>
      <w:r>
        <w:t>Recurso de amparo 3507-2019. Promovido por Grupo Inversiones Nicolás Serrano, S.L., en relación con las resoluciones dictadas por un juzgado de primera instancia e instrucción de Murcia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sin indefensión: STC 47/2019 (inadecuada utilización de medios telemáticos para llevar a efecto el primer emplazamiento de la ejecutada).</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y 47/2019) [FFJJ 2 y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3507-2019, interpuesto por Grupo Inversiones Nicolás Serrano, S.L., contra el auto de 14 de mayo de 2019, dictado por el Juzgado de Primera Instancia e Instrucción núm. 4 de Murcia, en cuya virtud se desestimó el recurso de revisión y subsidiario de nulidad de actuaciones interpuesto contra el decreto de adjudicación de la finca hipotecada de fecha de 19 de noviembre de 2018, en el procedimiento de ejecución hipotecaria núm. 48-2017 instado por la entidad Banco de Sabadell, S.A., que se ha personado y formulado alegaciones.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Por escrito registrado en este tribunal el 5 de junio de 2019, la entidad Grupo Inversiones Nicolás Serrano, S.L., representada por la procuradora de los tribunales doña Águeda María Meseguer Guillén y bajo la dirección de la letrada doña Carmen García Hernández, </w:t>
      </w:r>
      <w:r>
        <w:lastRenderedPageBreak/>
        <w:t>interpuso recurso de amparo contra el auto de 14 de mayo de 2019 del Juzgado de Primera Instancia e Instrucción núm. 4 de Murcia, dictado en el procedimiento de ejecución hipotecaria núm. 48-2017, por el que se desestimó el recurso de revisión y subsidiario de nulidad de actuaciones interpuesto contra el decreto de 19 de noviembre de 2018 que adjudicaba la finca de la mercantil recurrente núm. 41.482 del registro de la propiedad núm.1 de Murcia a favor del Banco de Sabadell, S.A.</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relevantes para la resolución del presente recurso de amparo son, sucintamente, los siguientes:</w:t>
      </w:r>
    </w:p>
    <w:p w:rsidR="005728DD" w:rsidRDefault="005728DD" w:rsidP="005728DD">
      <w:pPr>
        <w:pStyle w:val="TextoNormal"/>
      </w:pPr>
    </w:p>
    <w:p w:rsidR="005728DD" w:rsidRDefault="005728DD" w:rsidP="005728DD">
      <w:pPr>
        <w:pStyle w:val="TextoNormal"/>
      </w:pPr>
      <w:r>
        <w:t>a) Ante el Juzgado de Primera Instancia e Instrucción núm. 4 de Murcia se tramita, a instancias de Banco de Sabadell, S.A., frente a la sociedad recurrente en amparo Grupo Inversiones Nicolás Serrano, S.L., y frente a Ferroatalaya, S.L., proceso de ejecución de título no judicial (escritura pública de préstamo con garantía hipotecaria otorgada el 22 de marzo de 2007 y novada el 10 de junio de 2010).</w:t>
      </w:r>
    </w:p>
    <w:p w:rsidR="005728DD" w:rsidRDefault="005728DD" w:rsidP="005728DD">
      <w:pPr>
        <w:pStyle w:val="TextoNormal"/>
      </w:pPr>
    </w:p>
    <w:p w:rsidR="005728DD" w:rsidRDefault="005728DD" w:rsidP="005728DD">
      <w:pPr>
        <w:pStyle w:val="TextoNormal"/>
      </w:pPr>
      <w:r>
        <w:t>La entidad ejecutante interesa en su demanda de ejecución del bien hipotecado que, por no haber realizado el requerimiento de pago con carácter previo, este fuera acordado y practicado en el domicilio designado en la escritura pública, a saber: Avenida Alto Atalayas núm. 254, de Cabezo de Torres.</w:t>
      </w:r>
    </w:p>
    <w:p w:rsidR="005728DD" w:rsidRDefault="005728DD" w:rsidP="005728DD">
      <w:pPr>
        <w:pStyle w:val="TextoNormal"/>
      </w:pPr>
    </w:p>
    <w:p w:rsidR="005728DD" w:rsidRDefault="005728DD" w:rsidP="005728DD">
      <w:pPr>
        <w:pStyle w:val="TextoNormal"/>
      </w:pPr>
      <w:r>
        <w:t>b) Tras los correspondientes trámites, el auto de fecha de 15 de marzo de 2017 ordenó la ejecución del título de escritura de préstamo hipotecario, acordando requerir a las ejecutadas al pago. El requerimiento y la notificación del proceso fueron practicados a través de la dirección electrónica habilitada —sede judicial electrónica— con fecha de 26 de mayo de 2017.</w:t>
      </w:r>
    </w:p>
    <w:p w:rsidR="005728DD" w:rsidRDefault="005728DD" w:rsidP="005728DD">
      <w:pPr>
        <w:pStyle w:val="TextoNormal"/>
      </w:pPr>
    </w:p>
    <w:p w:rsidR="005728DD" w:rsidRDefault="005728DD" w:rsidP="005728DD">
      <w:pPr>
        <w:pStyle w:val="TextoNormal"/>
      </w:pPr>
      <w:r>
        <w:t>c) El procedimiento siguió su curso sin que ninguna de las dos sociedades demandadas se personara. Así, se anunció la celebración de la subasta, su señalamiento a través del portal de subastas electrónicas provinciales y, finalmente, por decreto de 19 de noviembre de 2018, fue adjudicada la finca objeto de ejecución a favor de la ejecutante por el 50 por 100 del valor de tasación.</w:t>
      </w:r>
    </w:p>
    <w:p w:rsidR="005728DD" w:rsidRDefault="005728DD" w:rsidP="005728DD">
      <w:pPr>
        <w:pStyle w:val="TextoNormal"/>
      </w:pPr>
    </w:p>
    <w:p w:rsidR="005728DD" w:rsidRDefault="005728DD" w:rsidP="005728DD">
      <w:pPr>
        <w:pStyle w:val="TextoNormal"/>
      </w:pPr>
      <w:r>
        <w:t>d) La sociedad recurrente en amparo, mediante escrito de fecha de 15 de enero de 2019, se personó en las actuaciones e interpuso recurso de revisión contra el decreto de adjudicación, denunciando la infracción del art. 16.2 del Real Decreto 1065/2015, de 27 de noviembre, y del art. 155.1 de la Ley de enjuiciamiento civil (LEC) por ausencia de un primer emplazamiento personal en el domicilio social, ya que, a su juicio, dicha regulación normativa obligaba al órgano judicial a efectuarlo de ese modo y no por medios electrónicos, razón por la cual desconoció de la existencia del proceso a su debido tiempo, lo que le habría causado indefensión (art. 24 CE).</w:t>
      </w:r>
    </w:p>
    <w:p w:rsidR="005728DD" w:rsidRDefault="005728DD" w:rsidP="005728DD">
      <w:pPr>
        <w:pStyle w:val="TextoNormal"/>
      </w:pPr>
    </w:p>
    <w:p w:rsidR="005728DD" w:rsidRDefault="005728DD" w:rsidP="005728DD">
      <w:pPr>
        <w:pStyle w:val="TextoNormal"/>
      </w:pPr>
      <w:r>
        <w:t xml:space="preserve">e) El recurso de revisión fue desestimado por auto de 14 de mayo de 2019. Para alcanzar este fallo, el órgano judicial razona en su fundamento jurídico 3 que “partiendo de esta doctrina y examinadas las actuaciones ha de indicarse que no se observa causa de nulidad alguna en las actuaciones, ni puede fundarse la misma en el hecho de que la recurrente no tuviera conocimiento del emplazamiento realizado en fecha 24-05-2017 y ello porque del examen de las actuaciones resulta acreditado, que la mercantil ejecutada fue correctamente </w:t>
      </w:r>
      <w:r>
        <w:lastRenderedPageBreak/>
        <w:t>emplazada mediante sede electrónica, habiendo sido enviada cédula de requerimiento, auto, auto ejecución hipotecaria, decreto despachando ejecución, demanda y todos los documentos acompañados a la misma en fecha 24-05-2017, siendo recepcionada en destino el 26-05-17 y retirada por la mercantil Grupo Inversiones Nicolás Serrano, S.L., en fecha 30-05-2017. Por consiguiente, habiendo quedado demostrado que las resoluciones en virtud de las cuales fue emplazada, por primera vez la mercantil ejecutada, fueron debidamente notificadas a través de la sede judicial electrónica, de conformidad con lo prevenido en los arts. 152.2, 161.1, 273.3 de la LEC, arts. 4 y 11 del RD 1065/2015 de 27 de noviembre sobre comunicaciones electrónicas en la administración de justicia en el ámbito territorial del Ministerio de Justicia y por el que se regula el sistema Lexnet y art. 230 LOPJ, no resulta procedente estimar el recurso de revisión ni declarar la nulidad de actuaciones con carácter subsidiario pretendida, en cuanto que no se han producido infracciones de normas esenciales del procedimiento”.</w:t>
      </w:r>
    </w:p>
    <w:p w:rsidR="005728DD" w:rsidRDefault="005728DD" w:rsidP="005728DD">
      <w:pPr>
        <w:pStyle w:val="TextoNormal"/>
      </w:pPr>
    </w:p>
    <w:p w:rsidR="005728DD" w:rsidRDefault="005728DD" w:rsidP="005728DD">
      <w:pPr>
        <w:pStyle w:val="TextoNormal"/>
      </w:pPr>
      <w:r>
        <w:t>El auto contenía la indicación de que contra él no cabía recurso alguno.</w:t>
      </w:r>
    </w:p>
    <w:p w:rsidR="005728DD" w:rsidRDefault="005728DD" w:rsidP="005728DD">
      <w:pPr>
        <w:pStyle w:val="TextoNormal"/>
      </w:pPr>
    </w:p>
    <w:p w:rsidR="005728DD" w:rsidRDefault="005728DD" w:rsidP="005728DD">
      <w:pPr>
        <w:pStyle w:val="TextoNormal"/>
      </w:pPr>
      <w:r w:rsidRPr="005728DD">
        <w:rPr>
          <w:rStyle w:val="NumeroAFNegritaCaracter"/>
        </w:rPr>
        <w:t>3</w:t>
      </w:r>
      <w:r>
        <w:t>. La mercantil demandante de amparo aduce en su recurso la vulneración del derecho a la tutela judicial efectiva sin indefensión (art. 24.1 CE), en su vertiente de acceso al proceso, denunciando el modo de efectuar la primera citación o emplazamiento del demandado en el proceso de ejecución, todo ello en relación con lo dispuesto en los arts. 16.2, 16.3 y 21.2 a) del Real Decreto 1065/2015, de 27 de noviembre, el art. 155.1 LEC y en la doctrina que recoge la STC 47/2019, de 8 de abril.</w:t>
      </w:r>
    </w:p>
    <w:p w:rsidR="005728DD" w:rsidRDefault="005728DD" w:rsidP="005728DD">
      <w:pPr>
        <w:pStyle w:val="TextoNormal"/>
      </w:pPr>
    </w:p>
    <w:p w:rsidR="005728DD" w:rsidRDefault="005728DD" w:rsidP="005728DD">
      <w:pPr>
        <w:pStyle w:val="TextoNormal"/>
      </w:pPr>
      <w:r>
        <w:t>Así, a la vista de nuestra sentencia 47/2019, de 8 de abril, cuyos fundamentos traslada a su escrito de demanda y que resuelve un caso muy similar al presente, entiende que los actos de comunicación con las partes, y en particular el primer emplazamiento a quien debe ser parte en el procedimiento, no ha sido todo lo diligente que era de esperar y, además, se ha incumplido la prevención del apartado 1 del art. 155 LEC, que impone que el primer emplazamiento se haga en el domicilio de los litigantes.</w:t>
      </w:r>
    </w:p>
    <w:p w:rsidR="005728DD" w:rsidRDefault="005728DD" w:rsidP="005728DD">
      <w:pPr>
        <w:pStyle w:val="TextoNormal"/>
      </w:pPr>
    </w:p>
    <w:p w:rsidR="005728DD" w:rsidRDefault="005728DD" w:rsidP="005728DD">
      <w:pPr>
        <w:pStyle w:val="TextoNormal"/>
      </w:pPr>
      <w:r>
        <w:t>En segundo lugar, denuncia la vulneración del derecho a la tutela judicial efectiva sin indefensión del art. 24.1 CE, en cuanto a los avisos que preceden las notificaciones por incumplir los arts. 16.2, 16.3 y 21.2 a) del Real Decreto 1065/2015, de 27 de noviembre, sobre comunicaciones electrónicas en la administración de justicia en el ámbito territorial del Ministerio de Justicia y por el que se regula el sistema Lexnet de la Ley de enjuiciamiento civil. En este sentido, subraya que en el primer aviso de emplazamiento enviado a la sede electrónica con fecha de 24 de mayo de 2017, ni tan siquiera se indicó el tipo de procedimiento, la naturaleza del emplazamiento o las consecuencias de no recibir la notificación durante los tres días siguientes a su puesta a disposición del destinatario.</w:t>
      </w:r>
    </w:p>
    <w:p w:rsidR="005728DD" w:rsidRDefault="005728DD" w:rsidP="005728DD">
      <w:pPr>
        <w:pStyle w:val="TextoNormal"/>
      </w:pPr>
    </w:p>
    <w:p w:rsidR="005728DD" w:rsidRDefault="005728DD" w:rsidP="005728DD">
      <w:pPr>
        <w:pStyle w:val="TextoNormal"/>
      </w:pPr>
      <w:r>
        <w:t xml:space="preserve">Entiende que “este aviso, máxime cuando es el primer emplazamiento, no constituye un mero formalismo, pues su finalidad es que la demandada, en este caso mi representada, hubiera podido adoptar la conducta procesal oportuna y debe ser un instrumento que facilite la defensa en el proceso de los derechos e intereses cuestionados, por lo que su correcta ejecución indudablemente reviste una especial trascendencia y los órganos judiciales deben asegurarse de que sirven a su propósito (en este sentido, SSTC de 27 de abril de 2010 y de 16 de julio de 2009)”. En este mismo sentido, recuerda que los órganos judiciales tienen el </w:t>
      </w:r>
      <w:r>
        <w:lastRenderedPageBreak/>
        <w:t>deber específico de adoptar todas las cautelas y garantías que resulten razonablemente adecuadas para que la comunicación con el interesado sea real y efectiva y asegurar que esa finalidad no se frustre por causas ajenas a la voluntad de los sujetos a quienes afecte, sin que ello signifique exigirles el despliegue de una desmedida labor investigadora que pudiera conducir a la indebida restricción de los derechos de defensa de los restantes personados en el proceso.</w:t>
      </w:r>
    </w:p>
    <w:p w:rsidR="005728DD" w:rsidRDefault="005728DD" w:rsidP="005728DD">
      <w:pPr>
        <w:pStyle w:val="TextoNormal"/>
      </w:pPr>
    </w:p>
    <w:p w:rsidR="005728DD" w:rsidRDefault="005728DD" w:rsidP="005728DD">
      <w:pPr>
        <w:pStyle w:val="TextoNormal"/>
      </w:pPr>
      <w:r>
        <w:t>Idéntica situación de indefensión afirma que le han causado las posteriores notificaciones electrónicas, insistiendo en denunciar que “desde el inicio del proceso ejecutivo, el artículo 16.2 del Real Decreto 1065/2015, de 27 de noviembre, se ha vulnerado sistemáticamente, siendo notificaciones defectuosas, confusas, erróneas en cuanto a los términos y plazos, ya que los avisos han sido incompletos y han llevado a una grave confusión, confiando de manera equivocada a mi representada y que le han causado indefensión. Teniendo en cuenta que mi representada a pesar de que es una persona jurídica, no es profesional del Derecho, y que las notificaciones recibidas en sede electrónica y sus avisos no habían hecho más que comenzar a andar a primeros de 2017 cuando pasó a ser obligatoria esta forma de comunicación, con la implantación de las nuevas tecnológicas en el ámbito de la administración de justicia le ha causado a mi representada una vulneración de sus derechos constitucionales viéndose afectada o lesionada, por el devenir de las nuevas aplicaciones tecnológicas”.</w:t>
      </w:r>
    </w:p>
    <w:p w:rsidR="005728DD" w:rsidRDefault="005728DD" w:rsidP="005728DD">
      <w:pPr>
        <w:pStyle w:val="TextoNormal"/>
      </w:pPr>
    </w:p>
    <w:p w:rsidR="005728DD" w:rsidRDefault="005728DD" w:rsidP="005728DD">
      <w:pPr>
        <w:pStyle w:val="TextoNormal"/>
      </w:pPr>
      <w:r>
        <w:t>En definitiva, para la mercantil demandante de amparo, dichos avisos son notificaciones defectuosas que vulneran el art. 24 CE, porque han impedido el cumplimiento de la finalidad de los actos de comunicación procesal en términos que permitan realizar alegaciones o formular los recursos oportunos. En tal sentido, es reiterada la doctrina constitucional que exige a los órganos judiciales no solo que velen por la práctica de esos actos con sujeción a sus requisitos legales, sino que, además, se aseguren de que sirven a su propósito, de forma que, efectivamente, el acto de comunicación procesal llegue al conocimiento de su destinatario, debiendo desplegar la oportuna diligencia y actividad dirigida a asegurarse de que se ha cumplido con la finalidad perseguida con el acto de comunicación procesal.</w:t>
      </w:r>
    </w:p>
    <w:p w:rsidR="005728DD" w:rsidRDefault="005728DD" w:rsidP="005728DD">
      <w:pPr>
        <w:pStyle w:val="TextoNormal"/>
      </w:pPr>
    </w:p>
    <w:p w:rsidR="005728DD" w:rsidRDefault="005728DD" w:rsidP="005728DD">
      <w:pPr>
        <w:pStyle w:val="TextoNormal"/>
      </w:pPr>
      <w:r>
        <w:t>Por último cabe subrayar que en la demanda, al amparo del art. 56.2 de la Ley Orgánica del Tribunal Constitucional (en adelante, LOTC) se solicita por medio de otrosí la suspensión del procedimiento de ejecución hipotecaria, “evitando la entrega de la posesión del inmueble”, pues esta podría hacer perder al recurso de amparo su finalidad, causando perjuicios de muy difícil reparación.</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28 de octubre de 2019 la Sección Cuarta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005728DD" w:rsidRDefault="005728DD" w:rsidP="005728DD">
      <w:pPr>
        <w:pStyle w:val="TextoNormal"/>
      </w:pPr>
    </w:p>
    <w:p w:rsidR="005728DD" w:rsidRDefault="005728DD" w:rsidP="005728DD">
      <w:pPr>
        <w:pStyle w:val="TextoNormal"/>
      </w:pPr>
      <w:r>
        <w:t xml:space="preserve">Por ello, en aplicación de lo dispuesto en el art. 51 LOTC, habiéndose interesado ya la remisión de certificación de las actuaciones judiciales, se ordena dirigir atenta comunicación al Juzgado de Primera Instancia e Instrucción núm. 4 de Murcia a fin de que, en plazo que </w:t>
      </w:r>
      <w:r>
        <w:lastRenderedPageBreak/>
        <w:t>no exceda de diez días, proceda a emplazar a quienes hubieran sido parte en el procedimiento, excepto la parte recurrente en amparo, para que, si lo desean, puedan comparecer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providencia de la misma fecha de 28 de octubre de 2019,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5728DD" w:rsidRDefault="005728DD" w:rsidP="005728DD">
      <w:pPr>
        <w:pStyle w:val="TextoNormal"/>
      </w:pPr>
    </w:p>
    <w:p w:rsidR="005728DD" w:rsidRDefault="005728DD" w:rsidP="005728DD">
      <w:pPr>
        <w:pStyle w:val="TextoNormal"/>
      </w:pPr>
      <w:r>
        <w:t>El traslado fue cumplimentado por la parte demandante de amparo, quien mediante escrito presentado el 5 de noviembre de 2019, reiteró la necesidad de evitar la entrega de la posesión del inmueble al banco ejecutante para evitar daños y perjuicios de imposible o muy difícil reparación.</w:t>
      </w:r>
    </w:p>
    <w:p w:rsidR="005728DD" w:rsidRDefault="005728DD" w:rsidP="005728DD">
      <w:pPr>
        <w:pStyle w:val="TextoNormal"/>
      </w:pPr>
    </w:p>
    <w:p w:rsidR="005728DD" w:rsidRDefault="005728DD" w:rsidP="005728DD">
      <w:pPr>
        <w:pStyle w:val="TextoNormal"/>
      </w:pPr>
      <w:r>
        <w:t>El Ministerio Fiscal, por escrito de 8 de noviembre de 2019, interesó que se adoptara únicamente la medida de anotación preventiva de la demanda de amparo, pues de ese modo se asegura el fiel reflejo de la realidad, evitando situaciones cuya reversibilidad deviniera poco menos que imposible.</w:t>
      </w:r>
    </w:p>
    <w:p w:rsidR="005728DD" w:rsidRDefault="005728DD" w:rsidP="005728DD">
      <w:pPr>
        <w:pStyle w:val="TextoNormal"/>
      </w:pPr>
    </w:p>
    <w:p w:rsidR="005728DD" w:rsidRDefault="005728DD" w:rsidP="005728DD">
      <w:pPr>
        <w:pStyle w:val="TextoNormal"/>
      </w:pPr>
      <w:r>
        <w:t>Así, se acordó por medio de ATC 178/2019, de 16 de diciembre, dictado por la Sala Segunda de este tribunal, denegar la suspensión solicitada y ordenar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providencia de 10 de marzo de 2020, la Sección Cuarta de este tribunal acordó tener por personada y parte en el procedimiento a la procuradora doña Blanca María Grande Pesquero, en nombre y representación de Banco de Sabadell, S.A., quien lo había solicitado por escrito de fecha de 27 de noviembre de 2019. Igualmente, esta resolución acordó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Con fecha de 8 de junio de 2020, el Ministerio Fiscal presentó sus alegaciones ante este tribunal, solicitando la estimación del recurso de amparo. Tras llevar a cabo un análisis de la doctrina de este tribunal sobre la necesidad de proceder correcta y diligentemente en los actos de comunicación procesal (especialmente, las SSTC 6/2019 y 47/2019), para así garantizar el derecho de acceso a la jurisdicción (art. 24.1 CE) de quien ha sido demandado o pueda ser parte interesada en el procedimiento, entra a analizar la normativa aplicable a los actos de comunicación procesal, especialmente en el procedimiento de ejecución hipotecaria y concretamente los arts. 155 y 273 LEC. En este punto, concluye que las comunicaciones y aportaciones de documentos, tanto desde el órgano judicial hacia las partes como a la inversa, se realiza como una obligación para algunas partes como los profesionales de la Justicia y las personas jurídicas, y como un derecho para las que pudiendo optar lo hacen así. Ahora bien, subraya el fiscal que dicha regla posee excepciones como la de la primera </w:t>
      </w:r>
      <w:r>
        <w:lastRenderedPageBreak/>
        <w:t>notificación, pues en este caso lo que está en juego es la más elemental de las manifestaciones de la tutela judicial efectiva, a la que el legislador procesal no ha sido ajeno, estableciendo la obligación de notificación personal en el domicilio y respecto a las copias, su aportación en soporte papel.</w:t>
      </w:r>
    </w:p>
    <w:p w:rsidR="005728DD" w:rsidRDefault="005728DD" w:rsidP="005728DD">
      <w:pPr>
        <w:pStyle w:val="TextoNormal"/>
      </w:pPr>
    </w:p>
    <w:p w:rsidR="005728DD" w:rsidRDefault="005728DD" w:rsidP="005728DD">
      <w:pPr>
        <w:pStyle w:val="TextoNormal"/>
      </w:pPr>
      <w:r>
        <w:t>En consecuencia, a juicio del Ministerio Fiscal, en este caso el órgano judicial no debió prescindir de la notificación personal, mucho más cuando le fue reclamada en el pertinente recurso de revisión, en el que lejos de solventar la vulneración, reincidió en ella.</w:t>
      </w:r>
    </w:p>
    <w:p w:rsidR="005728DD" w:rsidRDefault="005728DD" w:rsidP="005728DD">
      <w:pPr>
        <w:pStyle w:val="TextoNormal"/>
      </w:pPr>
    </w:p>
    <w:p w:rsidR="005728DD" w:rsidRDefault="005728DD" w:rsidP="005728DD">
      <w:pPr>
        <w:pStyle w:val="TextoNormal"/>
      </w:pPr>
      <w:r>
        <w:t>Por todo ello, solicita la estimación del presente recurso de amparo, la nulidad de lo actuado en el procedimiento de ejecución hipotecaria y la retroacción de las actuaciones al momento en el que se acordó notificar el auto despachando ejecución. El decreto del letrado de la administración de justicia y la copia de la demanda a través de la dirección electrónica habilitada, y en su lugar, se proceda a la notificación personal que exige el art. 155 LEC, con el fin de que se comunique a la mercantil demandante de amparo lo allí acordado y se le otorgue la posibilidad de ejercer su derecho.</w:t>
      </w:r>
    </w:p>
    <w:p w:rsidR="005728DD" w:rsidRDefault="005728DD" w:rsidP="005728DD">
      <w:pPr>
        <w:pStyle w:val="TextoNormal"/>
      </w:pPr>
    </w:p>
    <w:p w:rsidR="005728DD" w:rsidRDefault="005728DD" w:rsidP="005728DD">
      <w:pPr>
        <w:pStyle w:val="TextoNormal"/>
      </w:pPr>
      <w:r w:rsidRPr="005728DD">
        <w:rPr>
          <w:rStyle w:val="NumeroAFNegritaCaracter"/>
        </w:rPr>
        <w:t>8</w:t>
      </w:r>
      <w:r>
        <w:t>. Por escrito de fecha 9 de julio de 2020, la entidad ejecutante Banco de Sabadell, S.A., presentó sus alegaciones. En primer lugar, muestra su disconformidad con las realizadas de contrario, por entender que no se ha vulnerado el derecho a la tutela judicial efectiva (art. 24.1 CE), no pudiendo sostenerse que la recurrente no tuviera conocimiento del emplazamiento realizado en fecha 24 de mayo de 2017, porque del examen de las actuaciones resulta acreditado que la mercantil ejecutada fue correctamente emplazada mediante la sede judicial electrónica, habiendo sido enviada la cédula de requerimiento, el auto y el decreto despachando la ejecución hipotecaria, la demanda y todos los documentos acompañados a la misma. Por lo demás, consta su recepción el día 26 de mayo de 2017 y que fue retirada en fecha 30 de mayo de 2017.</w:t>
      </w:r>
    </w:p>
    <w:p w:rsidR="005728DD" w:rsidRDefault="005728DD" w:rsidP="005728DD">
      <w:pPr>
        <w:pStyle w:val="TextoNormal"/>
      </w:pPr>
    </w:p>
    <w:p w:rsidR="005728DD" w:rsidRDefault="005728DD" w:rsidP="005728DD">
      <w:pPr>
        <w:pStyle w:val="TextoNormal"/>
      </w:pPr>
      <w:r>
        <w:t>La entidad financiera recuerda que son muy numerosas las resoluciones de este tribunal que insisten en que no puede invocarse indefensión cuando la razón de la misma se debe de manera relevante a la propia inactividad o negligencia de la parte, a la falta de diligencia procesal exigible al lesionado o a su propia voluntaria actuación desacertada, equivocada o errónea. Por consiguiente, habiendo quedado demostrado que las resoluciones en virtud de las cuales la mercantil ejecutada fue emplazada por primera vez fueron debidamente notificadas a través de la sede judicial electrónica, de conformidad con lo prevenido en los arts. 152.2, 161.1, 273.3 LEC, arts. 4 y 11 del Real Decreto 1065/2015, de 27 de noviembre, sobre comunicaciones electrónicas en la administración de justicia en el ámbito territorial del Ministerio de Justicia y por el que se regula el sistema el sistema Lexnet y art. 230 de la Ley Orgánica del Poder Judicial, no resulta procedente estimar el recurso.</w:t>
      </w:r>
    </w:p>
    <w:p w:rsidR="005728DD" w:rsidRDefault="005728DD" w:rsidP="005728DD">
      <w:pPr>
        <w:pStyle w:val="TextoNormal"/>
      </w:pPr>
    </w:p>
    <w:p w:rsidR="005728DD" w:rsidRDefault="005728DD" w:rsidP="005728DD">
      <w:pPr>
        <w:pStyle w:val="TextoNormal"/>
      </w:pPr>
      <w:r w:rsidRPr="005728DD">
        <w:rPr>
          <w:rStyle w:val="NumeroAFNegritaCaracter"/>
        </w:rPr>
        <w:t>9</w:t>
      </w:r>
      <w:r>
        <w:t>. La mercantil demandante de amparo Grupo Inversiones Nicolás Serrano, S.L., presentó escrito de alegaciones con fecha 9 de julio de 2020, en el que exclusivamente se ratifica íntegramente la demanda de amparo constitucional presentada.</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25 de febrero de 2021 se señala para votación y fallo del presente recurso el día 3 de marzo del mismo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demanda de amparo impugna el auto de 14 de mayo de 2019, dictado por el Juzgado de Primera Instancia e Instrucción núm. 4 de Murcia, que desestima el recurso de revisión y el incidente excepcional de nulidad de actuaciones subsidiario, promovidos por la actora en el procedimiento de ejecución hipotecaria núm. 48-2017, instado por la entidad Banco de Sabadell, S.A.</w:t>
      </w:r>
    </w:p>
    <w:p w:rsidR="005728DD" w:rsidRDefault="005728DD" w:rsidP="005728DD">
      <w:pPr>
        <w:pStyle w:val="TextoNormal"/>
      </w:pPr>
    </w:p>
    <w:p w:rsidR="005728DD" w:rsidRDefault="005728DD" w:rsidP="005728DD">
      <w:pPr>
        <w:pStyle w:val="TextoNormal"/>
      </w:pPr>
      <w:r>
        <w:t>La demandante de amparo denuncia que el auto impugnado ha vulnerado su derecho a la tutela judicial efectiva y a no sufrir indefensión (art. 24.1 CE) en una doble dimensión: (i) porque entiende que, tratándose del primer emplazamiento, debió comunicársele el despacho de ejecución de manera personal en su domicilio, con copia en soporte papel de la demanda y del resto de los documentos; y (ii) porque las notificaciones electrónicas que se han realizado hasta el momento son defectuosas.</w:t>
      </w:r>
    </w:p>
    <w:p w:rsidR="005728DD" w:rsidRDefault="005728DD" w:rsidP="005728DD">
      <w:pPr>
        <w:pStyle w:val="TextoNormal"/>
      </w:pPr>
    </w:p>
    <w:p w:rsidR="005728DD" w:rsidRDefault="005728DD" w:rsidP="005728DD">
      <w:pPr>
        <w:pStyle w:val="TextoNormal"/>
      </w:pPr>
      <w:r>
        <w:t>El Ministerio Fiscal considera que procede estimar el recurso y declarar que el citado derecho fundamental ha sido vulnerado, dado que el art. 155 LEC obliga a realizar una notificación personal cuando se trata del primer emplazamiento del demandado, so pena de vulnerar su derecho a la jurisdicción y causarle indefensión. Por su parte, la entidad Banco de Sabadell, S.A., solicita su desestimación, por entender que la ejecutada fue correctamente emplazada mediante la sede judicial electrónica y que si no tuvo conocimiento de la existencia del procedimiento fue debido a su propia negligencia.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del Tribunal Constitucional sobre los actos de comunicación telemática</w:t>
      </w:r>
      <w:r>
        <w:t>.</w:t>
      </w:r>
    </w:p>
    <w:p w:rsidR="005728DD" w:rsidRDefault="005728DD" w:rsidP="005728DD">
      <w:pPr>
        <w:pStyle w:val="TextoNormal"/>
      </w:pPr>
    </w:p>
    <w:p w:rsidR="005728DD" w:rsidRDefault="005728DD" w:rsidP="005728DD">
      <w:pPr>
        <w:pStyle w:val="TextoNormal"/>
      </w:pPr>
      <w:r>
        <w:t>Como acertadamente exponen tanto la demandante de amparo, como el Ministerio Fiscal, este tribunal ya ha tenido ocasión de pronunciarse sobre la cuestión planteada en numerosas resoluciones. La primera fue la STC 47/2019, de 8 de abril, FFJJ 3 y 4, analizando el problema respecto de la Ley reguladora de la jurisdicción social (art. 56 LJS), que se remite en cuanto a la utilización de medios electrónicos a lo previsto con carácter general en la Ley de enjuiciamiento civil (en adelante, LEC).</w:t>
      </w:r>
    </w:p>
    <w:p w:rsidR="005728DD" w:rsidRDefault="005728DD" w:rsidP="005728DD">
      <w:pPr>
        <w:pStyle w:val="TextoNormal"/>
      </w:pPr>
    </w:p>
    <w:p w:rsidR="005728DD" w:rsidRDefault="005728DD" w:rsidP="005728DD">
      <w:pPr>
        <w:pStyle w:val="TextoNormal"/>
      </w:pPr>
      <w:r>
        <w:t>Así, al estudiar en el proceso laboral la posible incidencia de las comunicaciones procesales telemáticas en el derecho a la tutela judicial efectiva, el Tribunal Constitucional ha considerado, “en línea con lo anticipado en la STC 6/2019, de 17 de enero, FJ 3, dictada por el Pleno de este tribunal, que, si bien dicha ley procesal impone a la personas jurídicas la obligación general de comunicar con la administración de justicia a través de medios electrónicos [art. 273.3 a) LEC], el régimen jurídico específicamente aplicable al primer emplazamiento es el del art. 155.1, 2 y 3 LEC y del art. 273.4, párrafo 2,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párrafo 2, LEC)”.</w:t>
      </w:r>
    </w:p>
    <w:p w:rsidR="005728DD" w:rsidRDefault="005728DD" w:rsidP="005728DD">
      <w:pPr>
        <w:pStyle w:val="TextoNormal"/>
      </w:pPr>
    </w:p>
    <w:p w:rsidR="005728DD" w:rsidRDefault="005728DD" w:rsidP="005728DD">
      <w:pPr>
        <w:pStyle w:val="TextoNormal"/>
      </w:pPr>
      <w:r>
        <w:t xml:space="preserve">En esa misma citada STC 47/2019 —y en todas las posteriores a ella— hemos aclarado que “no se ha de llevar a cabo por medios electrónicos la comunicación al demandado aún no personado en el procedimiento, en cuanto al acto de citación o emplazamiento, conforme a lo previsto en el art. 155.1 LEC, los cuales ‘se harán por remisión al domicilio de los litigantes’, regla que también opera en el proceso laboral (art. 53.1 LJS)”. Además, ha declarado que la ignorancia de esta excepción legal a la regla general de utilización de medios electrónicos puede producir la vulneración del derecho a la tutela judicial efectiva, en su dimensión de acceso al proceso, cuando, en los términos generales de nuestra doctrina, impide la adecuada constitución de la relación jurídica procesal, dando lugar a la tramitación del procedimiento </w:t>
      </w:r>
      <w:r w:rsidRPr="005728DD">
        <w:rPr>
          <w:i/>
        </w:rPr>
        <w:t>inaudita parte</w:t>
      </w:r>
      <w:r>
        <w:t>.</w:t>
      </w:r>
    </w:p>
    <w:p w:rsidR="005728DD" w:rsidRDefault="005728DD" w:rsidP="005728DD">
      <w:pPr>
        <w:pStyle w:val="TextoNormal"/>
      </w:pPr>
    </w:p>
    <w:p w:rsidR="005728DD" w:rsidRDefault="005728DD" w:rsidP="005728DD">
      <w:pPr>
        <w:pStyle w:val="TextoNormal"/>
      </w:pPr>
      <w:r>
        <w:t xml:space="preserve">También hemos reiterado esta doctrina en todos aquellos asuntos que nos han llegado provenientes de la jurisdicción civil. Así, en la STC 122/2019, de 28 de octubre, FJ 3, recordamos que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w:t>
      </w:r>
      <w:r w:rsidRPr="005728DD">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30/2014, de 24 de febrero, FJ 3, con expresa cita de la precedente STC 268/2000, de 13 de noviembre, FJ 4).</w:t>
      </w:r>
    </w:p>
    <w:p w:rsidR="005728DD" w:rsidRDefault="005728DD" w:rsidP="005728DD">
      <w:pPr>
        <w:pStyle w:val="TextoNormal"/>
      </w:pPr>
    </w:p>
    <w:p w:rsidR="005728DD" w:rsidRDefault="005728DD" w:rsidP="005728DD">
      <w:pPr>
        <w:pStyle w:val="TextoNormal"/>
      </w:pPr>
      <w:r>
        <w:t xml:space="preserve">Por consiguiente, este tribunal solo puede volver a reiterar lo tantas veces declarado. Esto es, que “[e]l hecho de que, por imperativo legal (los sujetos mencionados en el art. 273.3 LEC) tengan que actuar en el proceso sirviéndose de esas vías tecnológicas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constreñidos,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155.1 y 2 LEC. Tan es así que, por su vinculación a los poderes públicos, tras la publicación el 19 de mayo de 2019 en el ‘BOE’ de la STC 47/2019 (arts. 40.2 LOTC y 5.1 de la Ley Orgánica del Poder Judicial), la secretaría general de la administración de justicia del Ministerio de Justicia dirigió una comunicación el 21 de mayo de 2019 a las secretarías de gobierno del Tribunal Supremo, Audiencia Nacional y tribunales superiores de justicia de las comunidades autónomas, citando la STC 47/2019, en su fundamento jurídico 4, para que cuiden ‘que </w:t>
      </w:r>
      <w:r>
        <w:lastRenderedPageBreak/>
        <w:t>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 (STC 19/2020, de 10 de febrero, FJ 2).</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al caso</w:t>
      </w:r>
      <w:r>
        <w:t>.</w:t>
      </w:r>
    </w:p>
    <w:p w:rsidR="005728DD" w:rsidRDefault="005728DD" w:rsidP="005728DD">
      <w:pPr>
        <w:pStyle w:val="TextoNormal"/>
      </w:pPr>
    </w:p>
    <w:p w:rsidR="005728DD" w:rsidRDefault="005728DD" w:rsidP="005728DD">
      <w:pPr>
        <w:pStyle w:val="TextoNormal"/>
      </w:pPr>
      <w:r>
        <w:t>La doctrina constitucional expuesta resulta aplicable al supuesto que analizamos, de manera que el Juzgado de Primera Instancia e Instrucción núm. 4 de Murcia debería haber efectuado la primera citación o emplazamiento de la mercantil Grupo de Inversiones Nicolás Serrano, S.L., por correo certificado con acuse de recibo en el domicilio designado por la demandante, en lugar de realizarla por medios telemáticos a través de la dirección electrónica habilitada.</w:t>
      </w:r>
    </w:p>
    <w:p w:rsidR="005728DD" w:rsidRDefault="005728DD" w:rsidP="005728DD">
      <w:pPr>
        <w:pStyle w:val="TextoNormal"/>
      </w:pPr>
    </w:p>
    <w:p w:rsidR="005728DD" w:rsidRDefault="005728DD" w:rsidP="005728DD">
      <w:pPr>
        <w:pStyle w:val="TextoNormal"/>
      </w:pPr>
      <w:r>
        <w:t>Recordemos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En este sentido,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solo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 En tal sentido, hay que volver a incidir en que el órgano judicial tiene el deber de “asegurarse de que dichos actos sirven a su propósito de garantizar que la parte sea oída en el proceso” (SSTC 122/2013, de 20 de mayo, FJ 3; 167/2015, de 20 de julio, FJ 3, y STC 200/2016, de 28 de noviembre, FJ 4). Es obvio, ya se ha dicho, que esta doctrina es igualmente aplicable a aquellos casos en los que la primera citación, emplazamiento o notificación se realiza a través de medios telemáticos, porque no asegura su efectivo conocimiento por el destinatario y puede colocar al demandado en una situación de indefensión, contraria al art. 24 CE, en el caso de no poder acceder por cualquier causa a él no imputable, a los escritos procesales.</w:t>
      </w:r>
    </w:p>
    <w:p w:rsidR="005728DD" w:rsidRDefault="005728DD" w:rsidP="005728DD">
      <w:pPr>
        <w:pStyle w:val="TextoNormal"/>
      </w:pPr>
    </w:p>
    <w:p w:rsidR="005728DD" w:rsidRDefault="005728DD" w:rsidP="005728DD">
      <w:pPr>
        <w:pStyle w:val="TextoNormal"/>
      </w:pPr>
      <w:r>
        <w:t>En consecuencia, la doctrina iniciada por la STC 47/2019, de 8 de abril, debe aplicarse al presente recurso de amparo y, en consecuencia, debe declararse la vulneración del derecho a la tutela judicial efectiva sin indefensión (art. 24.1 CE) de la demandante y estimar el presente recurso de amparo. Por ello, de conformidad con lo establecido en el art. 55 LOTC, procede declarar la nulidad del auto del Juzgado de Primera Instancia e Instrucción núm. 4 de Murcia, de fecha 14 de mayo de 2019, por el que se desestima el recurso de revisión contra el decreto de adjudicación del bien ejecutado y subsidiario incidente excepcional de nulidad de actuaciones, promovido en el procedimiento de ejecución hipotecaria núm. 48-2017, acordando la retroacción de las actuaciones hasta el dictado del auto de 15 de marzo de 2017 despachando la ejecución, a fin de que se proceda de nuevo al emplazamiento de la mercantil recurrente, por los medios previstos en la Ley de enjuiciamiento civil.</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Grupo Inversiones Nicolás Serrano, S.L.,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Restablecerla en su derecho y, a tal fin, declarar la nulidad del auto de 14 de mayo de 2019, dictado por el Juzgado de Primera Instancia e Instrucción núm. 4 de Murcia, en el proceso de ejecución hipotecaria núm. 48-2017, así como la nulidad de las actuaciones realizadas a partir del auto de 15 de marzo de 2017, por el que se acordó el despacho de la ejecución y el requerimiento de pago a la entidad deudora.</w:t>
      </w:r>
    </w:p>
    <w:p w:rsidR="005728DD" w:rsidRDefault="005728DD" w:rsidP="005728DD">
      <w:pPr>
        <w:pStyle w:val="TextoNormal"/>
      </w:pPr>
    </w:p>
    <w:p w:rsidR="005728DD" w:rsidRDefault="005728DD" w:rsidP="005728DD">
      <w:pPr>
        <w:pStyle w:val="TextoNormal"/>
      </w:pPr>
      <w:r>
        <w:t>3º Retrotraer el procedimiento al momento inmediatamente anterior al requerimiento de pago a Grupo de Inversiones Nicolás Serrano, S.L., debiendo llevarse a cabo su notificación a la parte ejecutada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2" w:name="SENTENCIA_2021_49"/>
      <w:r>
        <w:lastRenderedPageBreak/>
        <w:t>SENTENCIA 49/2021, de 3 de marzo de 2021</w:t>
      </w:r>
    </w:p>
    <w:bookmarkEnd w:id="52"/>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ECLI:ES:TC:2021:49</w:t>
      </w:r>
    </w:p>
    <w:p w:rsidR="005728DD" w:rsidRDefault="005728DD" w:rsidP="005728DD">
      <w:pPr>
        <w:pStyle w:val="TextoNormalCentrado"/>
      </w:pPr>
    </w:p>
    <w:p w:rsidR="005728DD" w:rsidRDefault="005728DD" w:rsidP="005728DD">
      <w:pPr>
        <w:pStyle w:val="SntesisDescriptiva"/>
      </w:pPr>
      <w:r>
        <w:t>Recurso de amparo 3547-2019.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3547-2019, promovido por Euroinversiones Inmobiliarias Costa Sur, S.L., contra el auto del Juzgado de Primera Instancia e Instrucción núm. 5 de Lorca, de 21 de septiembre de 2018, que inadmitió la demanda de oposición a la ejecución formulada por dicha mercantil, en el procedimiento de ejecución hipotecaria núm. 353-2018; y contra el auto del mismo juzgado, de fecha 23 de abril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6 de junio de 2019,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son los siguientes:</w:t>
      </w:r>
    </w:p>
    <w:p w:rsidR="005728DD" w:rsidRDefault="005728DD" w:rsidP="005728DD">
      <w:pPr>
        <w:pStyle w:val="TextoNormal"/>
      </w:pPr>
    </w:p>
    <w:p w:rsidR="005728DD" w:rsidRDefault="005728DD" w:rsidP="005728DD">
      <w:pPr>
        <w:pStyle w:val="TextoNormal"/>
      </w:pPr>
      <w:r>
        <w:t xml:space="preserve">a) La entidad Banco de Sabadell, S.A., interpuso demanda de ejecución hipotecaria contra la mercantil Euroinversiones Inmobiliarias Costa Sur, S.L., relativa a la finca inscrita con el núm. 43.284 en el Registro de la Propiedad núm. 3 de Lorca. El Juzgado de Primera Instancia e Instrucción núm. 5 de Lorca, al que correspondió el conocimiento de la causa, dictó auto, el día 8 de junio de 2018, por el que acordó el despacho de ejecución en el procedimiento de ejecución hipotecaria núm. 353-2018;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5728DD">
        <w:rPr>
          <w:i/>
        </w:rPr>
        <w:t>a quo</w:t>
      </w:r>
      <w:r>
        <w:t xml:space="preserve"> en la misma fecha, el cual dispuso la expedición de mandamiento de certificación de la finca al registro de la propiedad competente y el requerimiento de pago a los ejecutados.</w:t>
      </w:r>
    </w:p>
    <w:p w:rsidR="005728DD" w:rsidRDefault="005728DD" w:rsidP="005728DD">
      <w:pPr>
        <w:pStyle w:val="TextoNormal"/>
      </w:pPr>
    </w:p>
    <w:p w:rsidR="005728DD" w:rsidRDefault="005728DD" w:rsidP="005728DD">
      <w:pPr>
        <w:pStyle w:val="TextoNormal"/>
      </w:pPr>
      <w:r>
        <w:t>b) Con fecha 13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5 de Lorca, relativa al proceso EJH/0000353/2018, notificación a la que podía acceder entre los días 13 de junio a 29 de julio de 2018, a través de unos enlaces electrónicos que también indicaba. Como información adicional se añadía que “si no procediera a su lectura en el plazo indicado se producirán los efectos correspondientes, según la normativa aplicable”.</w:t>
      </w:r>
    </w:p>
    <w:p w:rsidR="005728DD" w:rsidRDefault="005728DD" w:rsidP="005728DD">
      <w:pPr>
        <w:pStyle w:val="TextoNormal"/>
      </w:pPr>
    </w:p>
    <w:p w:rsidR="005728DD" w:rsidRDefault="005728DD" w:rsidP="005728DD">
      <w:pPr>
        <w:pStyle w:val="TextoNormal"/>
      </w:pPr>
      <w:r>
        <w:t>c) El día 24 de julio de 2018, por personal de la recurrente se accedió al enlace remitido por la dirección electrónica habilitada y, con ello, a la notificación enviada por el juzgado de primera instancia ejecutante, en relación con el procedimiento hipotecario núm. 353-2018. Ese mismo día, la Fábrica Nacional de Moneda y Timbre emitió un certificado electrónico que obra en las actuaciones del proceso (al igual que los anteriores correos) dejando constancia de que la notificación había sido “aceptada” en esa fecha.</w:t>
      </w:r>
    </w:p>
    <w:p w:rsidR="005728DD" w:rsidRDefault="005728DD" w:rsidP="005728DD">
      <w:pPr>
        <w:pStyle w:val="TextoNormal"/>
      </w:pPr>
    </w:p>
    <w:p w:rsidR="005728DD" w:rsidRDefault="005728DD" w:rsidP="005728DD">
      <w:pPr>
        <w:pStyle w:val="TextoNormal"/>
      </w:pPr>
      <w:r>
        <w:t xml:space="preserve">d) El 31 de julio de 2018, el representante procesal de la demandante de amparo formalizó ante el juzgado </w:t>
      </w:r>
      <w:r w:rsidRPr="005728DD">
        <w:rPr>
          <w:i/>
        </w:rPr>
        <w:t>a quo</w:t>
      </w:r>
      <w:r>
        <w:t xml:space="preserve"> el escrito de oposición al despacho de ejecución.</w:t>
      </w:r>
    </w:p>
    <w:p w:rsidR="005728DD" w:rsidRDefault="005728DD" w:rsidP="005728DD">
      <w:pPr>
        <w:pStyle w:val="TextoNormal"/>
      </w:pPr>
    </w:p>
    <w:p w:rsidR="005728DD" w:rsidRDefault="005728DD" w:rsidP="005728DD">
      <w:pPr>
        <w:pStyle w:val="TextoNormal"/>
      </w:pPr>
      <w:r>
        <w:t>e) El Juzgado de Primera Instancia e Instrucción núm. 5 de Lorca dictó auto, el 21 de septiembre de 2018, en cuya virtud inadmitió la oposición planteada. En dicha resolución se expone que “[e]n fecha 12 de junio de 2018 se notificó y requirió en legal forma a través de la sede judicial electrónica a la ejecutada y en fecha 31/7/18 se ha presentado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la oposición presentada por extemporánea.</w:t>
      </w:r>
    </w:p>
    <w:p w:rsidR="005728DD" w:rsidRDefault="005728DD" w:rsidP="005728DD">
      <w:pPr>
        <w:pStyle w:val="TextoNormal"/>
      </w:pPr>
    </w:p>
    <w:p w:rsidR="005728DD" w:rsidRDefault="005728DD" w:rsidP="005728DD">
      <w:pPr>
        <w:pStyle w:val="TextoNormal"/>
      </w:pPr>
      <w:r>
        <w:t>f) Por la demandante de amparo se interpuso recurso de reposición contra el anterior auto, en el que defendió que la notificación y requerimiento de pago tuvo lugar cuando accedió al contenido de la notificación electrónica remitida y no antes, siendo desde entonces que cabía computar el plazo de diez días del art. 556 LEC. Con invocación también de los arts. 135, 152,158, 158, 160, 162 LEC y la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w:t>
      </w:r>
    </w:p>
    <w:p w:rsidR="005728DD" w:rsidRDefault="005728DD" w:rsidP="005728DD">
      <w:pPr>
        <w:pStyle w:val="TextoNormal"/>
      </w:pPr>
    </w:p>
    <w:p w:rsidR="005728DD" w:rsidRDefault="005728DD" w:rsidP="005728DD">
      <w:pPr>
        <w:pStyle w:val="TextoNormal"/>
      </w:pPr>
      <w:r>
        <w:t>g) Por auto de 23 de abril de 2019, el recurso de reposición interpuesto fue desestimado, con los argumentos que constan en su razonamiento jurídico segundo:</w:t>
      </w:r>
    </w:p>
    <w:p w:rsidR="005728DD" w:rsidRDefault="005728DD" w:rsidP="005728DD">
      <w:pPr>
        <w:pStyle w:val="TextoNormal"/>
      </w:pPr>
    </w:p>
    <w:p w:rsidR="005728DD" w:rsidRDefault="005728DD" w:rsidP="005728DD">
      <w:pPr>
        <w:pStyle w:val="TextoNormal"/>
      </w:pPr>
      <w:r>
        <w:t>“El recurso debe ser desestimado pues ninguna infracción se comete en la resolución recurrida. En el presente caso, siendo indiscutible la condición de personas jurídicas de los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 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005728DD" w:rsidRDefault="005728DD" w:rsidP="005728DD">
      <w:pPr>
        <w:pStyle w:val="TextoNormal"/>
      </w:pPr>
    </w:p>
    <w:p w:rsidR="005728DD" w:rsidRDefault="005728DD" w:rsidP="005728DD">
      <w:pPr>
        <w:pStyle w:val="TextoNormal"/>
      </w:pPr>
      <w:r>
        <w:t>En el presente caso, consta que la notificación se puso a disposición de las recurrentes en fecha 13/6/2018 no accediendo al contenido hasta el día 24/7/2018 (fuera de los tres días que establece la normativa procesal), presentando los escritos de oposición a la ejecución en fecha 31/7/2018,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005728DD" w:rsidRDefault="005728DD" w:rsidP="005728DD">
      <w:pPr>
        <w:pStyle w:val="TextoNormal"/>
      </w:pPr>
    </w:p>
    <w:p w:rsidR="005728DD" w:rsidRDefault="005728DD" w:rsidP="005728DD">
      <w:pPr>
        <w:pStyle w:val="TextoNormal"/>
      </w:pPr>
      <w:r>
        <w:t>Se reconoce en la demanda que, si bien la recurrente, por ser una persona jurídica, viene obligada a relacionarse con la administración de justicia a través de medios electrónicos, según dispone el art. 273 LEC, sin embargo,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dispone que “cuando las partes no actúen representadas por procurador o se trate del primer emplazamiento o citación al demandado, los actos de comunicación se harán por remisión al domicilio de los litigantes”. Corrobora la expuesto, según indica, la reciente STC 47/2019, de 8 de abril, parte de cuya fundamentación jurídica transcribe y de cuyo contenido deduce “que en modo alguno debe entenderse que, tratándose del emplazamiento, este no se efectúe en el domicilio como impone el artículo 155.1 de la Ley de Enjuiciamiento Civil, y que todas las normas que se hace mención en el auto recurrido y en los escritos de impugnación del recurso, para nada cuestionan el carácter imperativo de esa obligación, cuando de aquel acto se trata, máxime cuando se constata que el medio telemático no dio resultado como primera llamada al proceso”.</w:t>
      </w:r>
    </w:p>
    <w:p w:rsidR="005728DD" w:rsidRDefault="005728DD" w:rsidP="005728DD">
      <w:pPr>
        <w:pStyle w:val="TextoNormal"/>
      </w:pPr>
    </w:p>
    <w:p w:rsidR="005728DD" w:rsidRDefault="005728DD" w:rsidP="005728DD">
      <w:pPr>
        <w:pStyle w:val="TextoNormal"/>
      </w:pPr>
      <w:r>
        <w:t>Respecto del auto de 10 de septiembre del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previsto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005728DD" w:rsidRDefault="005728DD" w:rsidP="005728DD">
      <w:pPr>
        <w:pStyle w:val="TextoNormal"/>
      </w:pPr>
    </w:p>
    <w:p w:rsidR="005728DD" w:rsidRDefault="005728DD" w:rsidP="005728DD">
      <w:pPr>
        <w:pStyle w:val="TextoNormal"/>
      </w:pPr>
      <w:r w:rsidRPr="005728DD">
        <w:rPr>
          <w:rStyle w:val="NumeroAFNegritaCaracter"/>
        </w:rPr>
        <w:t>4</w:t>
      </w:r>
      <w:r>
        <w:t>. Por diligencia de ordenación de la secretaría de la Sección Tercera de este tribunal, de fecha 5 de septiembre de 2019, se acordó requerir al Juzgado de Primera Instancia e Instrucción núm. 5 de Lorca, a fin de que, a la mayor brevedad posible, remita certificación acreditativa de la interposición o no de recurso de apelación contra alguna de las resoluciones dictadas en las actuaciones principales o en alguna pieza separada en el procedimiento de ejecución hipotecaria seguido en ese juzgado con el número 353-2018, y si ha recaído resolución se remita a esta Sala testimonio de la misma.</w:t>
      </w:r>
    </w:p>
    <w:p w:rsidR="005728DD" w:rsidRDefault="005728DD" w:rsidP="005728DD">
      <w:pPr>
        <w:pStyle w:val="TextoNormal"/>
      </w:pPr>
    </w:p>
    <w:p w:rsidR="005728DD" w:rsidRDefault="005728DD" w:rsidP="005728DD">
      <w:pPr>
        <w:pStyle w:val="TextoNormal"/>
      </w:pPr>
      <w:r w:rsidRPr="005728DD">
        <w:rPr>
          <w:rStyle w:val="NumeroAFNegritaCaracter"/>
        </w:rPr>
        <w:t>5</w:t>
      </w:r>
      <w:r>
        <w:t>. Por certificación expedida por el letrado de la administración de justicia de requerido órgano judicial, de fecha 17 de septiembre de 2019, se hizo constar que no se había interpuesto recurso de apelación contra ninguna resolución recaída en el procedimiento.</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providencia de 26 de noviembre de 2019, la Sección Tercera de este tribunal acordó admitir a trámite el recurso de amparo “al apreciar que concurre en el mismo una especial trascendencia constitucional (art. 50.1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005728DD" w:rsidRDefault="005728DD" w:rsidP="005728DD">
      <w:pPr>
        <w:pStyle w:val="TextoNormal"/>
      </w:pPr>
    </w:p>
    <w:p w:rsidR="005728DD" w:rsidRDefault="005728DD" w:rsidP="005728DD">
      <w:pPr>
        <w:pStyle w:val="TextoNormal"/>
      </w:pPr>
      <w:r>
        <w:t>Al haberse recibido con anterioridad copia autenticada del procedimiento de ejecución hipotecaria núm. 353-2018, solamente se resolvió, con arreglo a lo dispuesto en el art. 51 de la Ley Orgánica del Tribunal Constitucional (LOTC), dirigir atenta comunicación al Juzgado de Primera Instancia e Instrucción núm. 5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7</w:t>
      </w:r>
      <w:r>
        <w:t>. Por escrito presentado en el registro de este tribunal el 16 de diciembre de 2019,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005728DD" w:rsidRDefault="005728DD" w:rsidP="005728DD">
      <w:pPr>
        <w:pStyle w:val="TextoNormal"/>
      </w:pPr>
    </w:p>
    <w:p w:rsidR="005728DD" w:rsidRDefault="005728DD" w:rsidP="005728DD">
      <w:pPr>
        <w:pStyle w:val="TextoNormal"/>
      </w:pPr>
      <w:r w:rsidRPr="005728DD">
        <w:rPr>
          <w:rStyle w:val="NumeroAFNegritaCaracter"/>
        </w:rPr>
        <w:t>8</w:t>
      </w:r>
      <w:r>
        <w:t>. Por diligencia de ordenación de la secretaría de la Sección Tercera de este tribunal, de 28 de diciembre de 2020, se acordó tener por personada y parte en el procedimiento a la procuradora de tribunales doña María Claudia Munteanu en nombre y representación de Pera Assets Designated Activity Company. A su vez, se resolvió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005728DD" w:rsidRDefault="005728DD" w:rsidP="005728DD">
      <w:pPr>
        <w:pStyle w:val="TextoNormal"/>
      </w:pPr>
    </w:p>
    <w:p w:rsidR="005728DD" w:rsidRDefault="005728DD" w:rsidP="005728DD">
      <w:pPr>
        <w:pStyle w:val="TextoNormal"/>
      </w:pPr>
      <w:r w:rsidRPr="005728DD">
        <w:rPr>
          <w:rStyle w:val="NumeroAFNegritaCaracter"/>
        </w:rPr>
        <w:t>9</w:t>
      </w:r>
      <w:r>
        <w:t>. El 29 de enero de 2021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Costa Sur, S.L., y Penrei Inversiones, S.L.</w:t>
      </w:r>
    </w:p>
    <w:p w:rsidR="005728DD" w:rsidRDefault="005728DD" w:rsidP="005728DD">
      <w:pPr>
        <w:pStyle w:val="TextoNormal"/>
      </w:pPr>
    </w:p>
    <w:p w:rsidR="005728DD" w:rsidRDefault="005728DD" w:rsidP="005728DD">
      <w:pPr>
        <w:pStyle w:val="TextoNormal"/>
      </w:pPr>
      <w:r>
        <w:lastRenderedPageBreak/>
        <w:t>Al respecto, el fiscal pone de relieve que algunos de esos recursos ya han sido resueltos por el Tribunal Constitucional, en concreto por las SSTC 40/2020, de 27 de febrero, dictada por el Pleno, y la 43/2020, de 9 de marzo, de la Sala Segunda. En relación con las citadas sentencias, señala que recogen la doctrina establecida por las SSTC 6/2019, de 17 de enero, y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005728DD" w:rsidRDefault="005728DD" w:rsidP="005728DD">
      <w:pPr>
        <w:pStyle w:val="TextoNormal"/>
      </w:pPr>
    </w:p>
    <w:p w:rsidR="005728DD" w:rsidRDefault="005728DD" w:rsidP="005728DD">
      <w:pPr>
        <w:pStyle w:val="TextoNormal"/>
      </w:pPr>
      <w:r>
        <w:t>Seguidamente, el fiscal transcribe parte de la fundamentación jurídica de la STC 40/2020 y recuerda que la STC 43/2020 resuelve en el mismo sentido por remisión a la anterior y, asimismo, reproduce la parte de la argumentación de la STC 19/2020, de 10 de febrero, que recoge la doctrina establecida en las SSTC 6 y 47/2019 ya indicadas. Finalmente, afirma que la doctrina expuesta resulta íntegramente aplicable, por lo que interesa su estimación, por haberse vulnerado el derecho a la tutela judicial efectiva sin indefensión (art. 24.1 CE).</w:t>
      </w:r>
    </w:p>
    <w:p w:rsidR="005728DD" w:rsidRDefault="005728DD" w:rsidP="005728DD">
      <w:pPr>
        <w:pStyle w:val="TextoNormal"/>
      </w:pPr>
    </w:p>
    <w:p w:rsidR="005728DD" w:rsidRDefault="005728DD" w:rsidP="005728DD">
      <w:pPr>
        <w:pStyle w:val="TextoNormal"/>
      </w:pPr>
      <w:r w:rsidRPr="005728DD">
        <w:rPr>
          <w:rStyle w:val="NumeroAFNegritaCaracter"/>
        </w:rPr>
        <w:t>10</w:t>
      </w:r>
      <w:r>
        <w:t>. En fecha 1 de febrero de 2021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40/2020, de 27 de febrero, que resuelve el recurso de amparo núm. 5377-2018, promovido por Euroinversiones Inmobiliarias Costa Sur, S.L., en un asunto prácticamente igual al del presente recurso de amparo, en el que el citado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 Por último, tras reproducir parte de la fundamentación jurídica de la referida sentencia, solicita que se dicte sentencia estimatoria, en los términos interesados en el escrito de interposición del recurso.</w:t>
      </w:r>
    </w:p>
    <w:p w:rsidR="005728DD" w:rsidRDefault="005728DD" w:rsidP="005728DD">
      <w:pPr>
        <w:pStyle w:val="TextoNormal"/>
      </w:pPr>
    </w:p>
    <w:p w:rsidR="005728DD" w:rsidRDefault="005728DD" w:rsidP="005728DD">
      <w:pPr>
        <w:pStyle w:val="TextoNormal"/>
      </w:pPr>
      <w:r w:rsidRPr="005728DD">
        <w:rPr>
          <w:rStyle w:val="NumeroAFNegritaCaracter"/>
        </w:rPr>
        <w:t>11</w:t>
      </w:r>
      <w:r>
        <w:t>. La entidad Pera Assets Designated Activity Company no ha presentado alegaciones.</w:t>
      </w:r>
    </w:p>
    <w:p w:rsidR="005728DD" w:rsidRDefault="005728DD" w:rsidP="005728DD">
      <w:pPr>
        <w:pStyle w:val="TextoNormal"/>
      </w:pPr>
    </w:p>
    <w:p w:rsidR="005728DD" w:rsidRDefault="005728DD" w:rsidP="005728DD">
      <w:pPr>
        <w:pStyle w:val="TextoNormal"/>
      </w:pPr>
      <w:r w:rsidRPr="005728DD">
        <w:rPr>
          <w:rStyle w:val="NumeroAFNegritaCaracter"/>
        </w:rPr>
        <w:t>12</w:t>
      </w:r>
      <w:r>
        <w:t>. Mediante providencia de 25 febrero de 2021, se señaló para deliberación y votación de la presente sentencia el 3 de marzo del mismo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w:t>
      </w:r>
      <w:r>
        <w:lastRenderedPageBreak/>
        <w:t>Instancia e Instrucción núm. 5 de Lorca, de 21 de septiembre de 2018 y 23 de abril de 2019, recaídos en el proceso de ejecución hipotecaria núm. 353-2018.</w:t>
      </w:r>
    </w:p>
    <w:p w:rsidR="005728DD" w:rsidRDefault="005728DD" w:rsidP="005728DD">
      <w:pPr>
        <w:pStyle w:val="TextoNormal"/>
      </w:pPr>
    </w:p>
    <w:p w:rsidR="005728DD" w:rsidRDefault="005728DD" w:rsidP="005728DD">
      <w:pPr>
        <w:pStyle w:val="TextoNormal"/>
      </w:pPr>
      <w:r>
        <w:t>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 mientras que la entidad comparecida se opone a la demanda en cuanto al fondo, interesando su desestimación.</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005728DD" w:rsidRDefault="005728DD" w:rsidP="005728DD">
      <w:pPr>
        <w:pStyle w:val="TextoNormal"/>
      </w:pPr>
    </w:p>
    <w:p w:rsidR="005728DD" w:rsidRDefault="005728DD" w:rsidP="005728DD">
      <w:pPr>
        <w:pStyle w:val="TextoNormal"/>
      </w:pPr>
      <w: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w:t>
      </w:r>
      <w:r>
        <w:lastRenderedPageBreak/>
        <w:t>en el que nos encontramos, en alegal conjunción con el plazo del art. 556 LEC. Todo lo cual determina la estimación del amparo por vulneración de su derecho a la tutela judicial efectiva sin indefensión,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fechas 21 de septiembre de 2018 y 23 de abril de 2019, dictados por el Juzgado de Primera Instancia e Instrucción núm. 5 de Lorca en el proceso de ejecución hipotecaria núm. 353-2018,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a fin de que se practique nuevamente de forma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3" w:name="SENTENCIA_2021_50"/>
      <w:r>
        <w:lastRenderedPageBreak/>
        <w:t>SENTENCIA 50/2021, de 3 de marzo de 2021</w:t>
      </w:r>
    </w:p>
    <w:bookmarkEnd w:id="53"/>
    <w:p w:rsidR="005728DD" w:rsidRDefault="005728DD" w:rsidP="005728DD">
      <w:pPr>
        <w:pStyle w:val="TtuloResolucin"/>
      </w:pPr>
      <w:r>
        <w:t>Sala Segunda</w:t>
      </w:r>
    </w:p>
    <w:p w:rsidR="005728DD" w:rsidRDefault="005728DD" w:rsidP="005728DD">
      <w:pPr>
        <w:pStyle w:val="TtuloBOE"/>
      </w:pPr>
      <w:r>
        <w:t>(BOE núm. 77, de 31 de marzo de 2021)</w:t>
      </w:r>
    </w:p>
    <w:p w:rsidR="005728DD" w:rsidRDefault="005728DD" w:rsidP="005728DD">
      <w:pPr>
        <w:pStyle w:val="TextoNormalCentrado"/>
      </w:pPr>
      <w:r>
        <w:t>ECLI:ES:TC:2021:50</w:t>
      </w:r>
    </w:p>
    <w:p w:rsidR="005728DD" w:rsidRDefault="005728DD" w:rsidP="005728DD">
      <w:pPr>
        <w:pStyle w:val="TextoNormalCentrado"/>
      </w:pPr>
    </w:p>
    <w:p w:rsidR="005728DD" w:rsidRDefault="005728DD" w:rsidP="005728DD">
      <w:pPr>
        <w:pStyle w:val="SntesisDescriptiva"/>
      </w:pPr>
      <w:r>
        <w:t>Recurso de amparo 7580-2019. Promovido por don Hugo Martín Francisco Ravanelli respecto de las resoluciones dictadas por un juzgado de primera instancia de Gavà (Barcelona) en procedimiento de ejecución de títulos no judiciales.</w:t>
      </w:r>
    </w:p>
    <w:p w:rsidR="005728DD" w:rsidRDefault="005728DD" w:rsidP="005728DD">
      <w:pPr>
        <w:pStyle w:val="SntesisDescriptiva"/>
      </w:pPr>
    </w:p>
    <w:p w:rsidR="005728DD" w:rsidRDefault="005728DD" w:rsidP="005728DD">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2, 3].</w:t>
      </w:r>
    </w:p>
    <w:p w:rsidR="005728DD" w:rsidRDefault="005728DD" w:rsidP="005728DD">
      <w:pPr>
        <w:pStyle w:val="Extracto"/>
      </w:pPr>
    </w:p>
    <w:p w:rsidR="005728DD" w:rsidRDefault="005728DD" w:rsidP="005728DD">
      <w:pPr>
        <w:pStyle w:val="Extracto"/>
      </w:pPr>
      <w:r>
        <w:t>2.</w:t>
      </w:r>
      <w:r>
        <w:tab/>
        <w:t xml:space="preserve">Aplicación de la Directiva 93/13/CEE, del Consejo, de 5 de abril, sobre cláusulas abusivas en los contratos celebrados con consumidores, y de la STJUE de 26 de enero de 2017, Asunto </w:t>
      </w:r>
      <w:r w:rsidRPr="005728DD">
        <w:rPr>
          <w:i/>
        </w:rPr>
        <w:t xml:space="preserve">Banco Primus, S.A. v. Jesús Gutiérrez García </w:t>
      </w:r>
      <w:r>
        <w:t>(asunto C-421/14), que instan a los órganos judiciales al control del carácter abusivo del clausulado de un contrato de préstamo con garantía hipotecaria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7580-2019, promovido por don Hugo Martín Francisco Ravanelli contra el auto del Juzgado de Primera Instancia núm. 4 de Gavà de 14 de noviembre de 2019, pronunciado en el procedimiento de ejecución de títulos no judiciales núm. 172-2015. Ha sido parte la entidad Banco Santander, S.A.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Don Hugo Martín Francisco Ravanelli, representado por el procurador de los tribunales don José Noguera Chaparro, bajo la dirección de la letrada doña Susana Beatriz Natale Romasco, interpuso recurso de amparo contra la resolución judicial que se menciona en el encabezamiento de esta sentencia mediante escrito registrado en el tribunal el 30 de diciembre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El 5 de marzo de 2015, la entidad Banco Popular Español, S.A., presentó demanda de ejecución de título no judicial contra dos personas, como prestatarios, y el demandante de amparo, como avalista de los anteriores, por el impago de determinadas cuotas, siendo tramitado con el núm. 172-2015 por el Juzgado de Primera Instancia núm. 4 de Gavà.</w:t>
      </w:r>
    </w:p>
    <w:p w:rsidR="005728DD" w:rsidRDefault="005728DD" w:rsidP="005728DD">
      <w:pPr>
        <w:pStyle w:val="TextoNormal"/>
      </w:pPr>
    </w:p>
    <w:p w:rsidR="005728DD" w:rsidRDefault="005728DD" w:rsidP="005728DD">
      <w:pPr>
        <w:pStyle w:val="TextoNormal"/>
      </w:pPr>
      <w:r>
        <w:t>El letrado de la administración de justicia, por diligencia de ordenación de 26 de mayo de 2015, acordó dar cuenta de la demanda al considerar que pudiera “encontrarse en el supuesto de que los intereses reclamados pudieran ser abusivos”.</w:t>
      </w:r>
    </w:p>
    <w:p w:rsidR="005728DD" w:rsidRDefault="005728DD" w:rsidP="005728DD">
      <w:pPr>
        <w:pStyle w:val="TextoNormal"/>
      </w:pPr>
    </w:p>
    <w:p w:rsidR="005728DD" w:rsidRDefault="005728DD" w:rsidP="005728DD">
      <w:pPr>
        <w:pStyle w:val="TextoNormal"/>
      </w:pPr>
      <w:r>
        <w:t>Por auto de 26 de abril de 2016, tras exponer la legislación y jurisprudencia del Tribunal de Justicia de la Unión Europea sobre el particular, se procede al control de oficio de la abusividad de las cláusulas del título no judicial cuya ejecución se instaba relativas a los intereses moratorios (FJ 7), que se considera abusiva; la de vencimiento anticipado (FJ 8), que no se considera abusiva; y la de intereses remuneratorios (FJ 9), afirmando que no cabe hacer ningún pronunciamiento por no autorizar la jurisprudencia del Tribunal Supremo su control de oficio. En coherencia con ello, el auto acordó (i) considerar nula la cláusula de interés moratorio del título no judicial a ejecutar, “no habiendo lugar al decreto de la nulidad de las restantes cláusulas analizadas en la presente resolución, sin perjuicio de lo dispuesto en el artículo 557.1.7 de la Ley de enjuiciamiento civil”; y (ii) despachar ejecución de manera solidaria, entre otros, contra el recurrente.</w:t>
      </w:r>
    </w:p>
    <w:p w:rsidR="005728DD" w:rsidRDefault="005728DD" w:rsidP="005728DD">
      <w:pPr>
        <w:pStyle w:val="TextoNormal"/>
      </w:pPr>
    </w:p>
    <w:p w:rsidR="005728DD" w:rsidRDefault="005728DD" w:rsidP="005728DD">
      <w:pPr>
        <w:pStyle w:val="TextoNormal"/>
      </w:pPr>
      <w:r>
        <w:t>b) El demandante, mediante escrito registrado el 29 de noviembre de 2017, alegó, al amparo del art. 562.1.3 de la Ley de enjuiciamiento civil (LEC), una infracción procesal que entraña nulidad de actuaciones, consistente en que el examen de oficio desarrollado por el auto de 26 de abril de 2016 no incluía un pronunciamiento sobre la cláusula novena del título no judicial a ejecutar en que se establece la solidaridad del afianzamiento y la renuncia del fiador a los beneficios de excusión, orden y división, que, sin embargo, estaba siendo considerada abusiva por determinada jurisprudencia. Por tanto, en aplicación de la normativa y jurisprudencia sobre el particular se solicita del órgano judicial el control de la abusividad de dicha cláusula y su anulación.</w:t>
      </w:r>
    </w:p>
    <w:p w:rsidR="005728DD" w:rsidRDefault="005728DD" w:rsidP="005728DD">
      <w:pPr>
        <w:pStyle w:val="TextoNormal"/>
      </w:pPr>
    </w:p>
    <w:p w:rsidR="005728DD" w:rsidRDefault="005728DD" w:rsidP="005728DD">
      <w:pPr>
        <w:pStyle w:val="TextoNormal"/>
      </w:pPr>
      <w:r>
        <w:t>Por auto de 10 de enero de 2019, se acordó desestimar dicha petición, argumentando que el auto en que se desarrolló el control de abusividad del clausulado era susceptible de recurso y cualquier voluntad relativa a la existencia de cláusulas abusivas tendría que haberse hecho valer por el sistema de recurso o del incidente de oposición a la ejecución.</w:t>
      </w:r>
    </w:p>
    <w:p w:rsidR="005728DD" w:rsidRDefault="005728DD" w:rsidP="005728DD">
      <w:pPr>
        <w:pStyle w:val="TextoNormal"/>
      </w:pPr>
    </w:p>
    <w:p w:rsidR="005728DD" w:rsidRDefault="005728DD" w:rsidP="005728DD">
      <w:pPr>
        <w:pStyle w:val="TextoNormal"/>
      </w:pPr>
      <w:r>
        <w:lastRenderedPageBreak/>
        <w:t>c) El letrado de la administración de justicia, mediante diligencia de ordenación de 16 de enero de 2019, acordó librar mandamiento al registro civil para la anotación preventiva de embargo. El demandante de amparo interpuso recurso de reposición contra dicha decisión insistiendo en que, de conformidad con la jurisprudencia comunitaria establecida en la STJUE de 26 de enero de 2017, cuando existan una o varias cláusulas contractuales cuyo eventual carácter abusivo no haya sido todavía examinado en un anterior control judicial concluido con una resolución con efecto de cosa juzgada, lo que sería el caso, el juez está obligado a apreciar, a instancia de parte o de oficio, cuando disponga de los elementos de hecho y de derecho necesarios, el eventual carácter abusivo de esas cláusulas. El recurso fue desestimado por decreto de 14 de marzo de 2019.</w:t>
      </w:r>
    </w:p>
    <w:p w:rsidR="005728DD" w:rsidRDefault="005728DD" w:rsidP="005728DD">
      <w:pPr>
        <w:pStyle w:val="TextoNormal"/>
      </w:pPr>
    </w:p>
    <w:p w:rsidR="005728DD" w:rsidRDefault="005728DD" w:rsidP="005728DD">
      <w:pPr>
        <w:pStyle w:val="TextoNormal"/>
      </w:pPr>
      <w:r>
        <w:t>El demandante interpuso recurso de revisión, mediante escrito registrado el 26 de marzo de 2019, reiterando la necesidad de un control de la abusividad de la cláusula novena del título no judicial que se estaba ejecutando, habida cuenta de la primacía del Derecho de la Unión Europea y de que la inexistencia de dicho control en un contexto en que no había existido un pronunciamiento con efecto de cosa juzgada sobre el particular suponía una vulneración del derecho a la tutela judicial efectiva (art. 24.1 CE). La representación del Banco Santander, S.A., por sucesión procesal de la entidad ejecutante Banco Popular Español, S.A., mediante escrito de 11 de abril de 2019 se opuso a la solicitud, argumentando que había precluido el plazo de oposición sin que se hubiera alegado la abusividad de dicha cláusula.</w:t>
      </w:r>
    </w:p>
    <w:p w:rsidR="005728DD" w:rsidRDefault="005728DD" w:rsidP="005728DD">
      <w:pPr>
        <w:pStyle w:val="TextoNormal"/>
      </w:pPr>
    </w:p>
    <w:p w:rsidR="005728DD" w:rsidRDefault="005728DD" w:rsidP="005728DD">
      <w:pPr>
        <w:pStyle w:val="TextoNormal"/>
      </w:pPr>
      <w:r>
        <w:t>d) Por auto de 14 de noviembre de 2019 se desestimó el recurso de revisión, afirmando que “este juzgado ya efectuó un control de abusividad al amparo del artículo 552 de la LEC por lo que, sin perjuicio de su reproducción en segunda instancia, no puedo de nuevo entrar a examinar el carácter abusivo de una cláusula cuando con anterioridad dicho control se llevó a cabo, por lo que ninguna vulneración se ha producido”.</w:t>
      </w:r>
    </w:p>
    <w:p w:rsidR="005728DD" w:rsidRDefault="005728DD" w:rsidP="005728DD">
      <w:pPr>
        <w:pStyle w:val="TextoNormal"/>
      </w:pPr>
    </w:p>
    <w:p w:rsidR="005728DD" w:rsidRDefault="005728DD" w:rsidP="005728DD">
      <w:pPr>
        <w:pStyle w:val="TextoNormal"/>
      </w:pPr>
      <w:r w:rsidRPr="005728DD">
        <w:rPr>
          <w:rStyle w:val="NumeroAFNegritaCaracter"/>
        </w:rPr>
        <w:t>3</w:t>
      </w:r>
      <w:r>
        <w:t>. El demandante solicita que se otorgue el amparo por vulneración del derecho a la tutela judicial efectiva (art. 24.1 CE), declarándose la nulidad de la resolución impugnada con retroacción de actuaciones para que se pronuncie una resolución respetuosa con dicho derecho, con fundamento en que la decisión judicial de negarse a realizar dicho control sobre la cláusula novena referida a la renuncia de determinados derechos por parte del fiador cuando en el primer control no había existido un pronunciamiento sobre el particular con la fuerza de cosa juzgada, es contraria a la jurisprudencia del Tribunal de Justicia de la Unión Europea en materia de cláusulas abusivas, que obliga a los tribunales a examinar de oficio y en cualquier momento del proceso la abusividad de las cláusulas del contrato sobre las que no ha recaído una decisión judicial con la fuerza de cosa juzgada.</w:t>
      </w:r>
    </w:p>
    <w:p w:rsidR="005728DD" w:rsidRDefault="005728DD" w:rsidP="005728DD">
      <w:pPr>
        <w:pStyle w:val="TextoNormal"/>
      </w:pPr>
    </w:p>
    <w:p w:rsidR="005728DD" w:rsidRDefault="005728DD" w:rsidP="005728DD">
      <w:pPr>
        <w:pStyle w:val="TextoNormal"/>
      </w:pPr>
      <w:r>
        <w:t>El demandante de amparo argumenta, en un apartado específico dedicado al efecto, que “el fallo que se dicte en el presente recurso trascenderá del caso, porque plantea cuestiones jurídicas relevantes y generales de repercusión social innegable, al afectar a la propia seguridad jurídica y la especial protección procesal del consumidor (art. 51.1 CE) ante la existencia de cláusulas abusivas en el título, el principio de no vinculación de las mismas como principio imperativo (art. 6 de la Directiva 93/13/CEE) que debe primar como consecuencia del principio de efectividad y por encima de la autonomía procesal de los Estados”.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La Sección Tercera de este tribunal, por sendas providencias de 17 de septiembre de 2020, acordó la admisión a trámite del presente recurso, apreciando que concurre en el mismo una especial trascendencia constitucional [art. 50.1 de la Ley Orgánica del Tribunal Constitucional (LOTC)] porque el asunto suscitado transciende el caso concreto porque plantea una cuestión jurídica de relevante y general repercusión social o económica [STC 155/2009, FJ 2 g)]; dirigir atenta comunicación al órgano judicial para que remita certificación o fotocopia adverada de las actuaciones y emplazamiento para que puedan comparecen en el recurso de amparo quienes hubieran sido parte en el procedimiento; y la formación de pieza separada para la tramitación del incidente sobre la suspensión solicitada, que fue denegada por ATC 134/2020, de 4 de noviembre.</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26 de noviembre de 2020, acordó tener por personada a la entidad Banco Santander, S.A., representada por el procurador de los tribunales don Eduardo Codes Feijoó, y dar vista de las actuaciones al Ministerio Fiscal y a las partes personadas por plazo común de veinte días para presentar las alegaciones que estimasen pertinentes, de conformidad con el art. 52 LOTC.</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en este tribunal el 19 de enero de 2021, interesó que se estimara el recurso por vulneración del derecho a la tutela judicial efectiva (art. 24.1 CE) anulándose el auto impugnado con retroacción de actuaciones. Tras la transcripción de la jurisprudencia establecida en la STC 31/2019, de 28 de febrero, con amplia referencia a los diferentes fundamentos de la STJUE de 26 de enero de 2017, el fiscal concluye que el juzgado, si bien realizó un análisis de abusividad de algunas de las cláusulas del título no judicial a ejecutar mediante el auto de 16 de abril de 2016, no hubo ningún pronunciamiento sobre la cláusula novena sino sobre otras cláusulas, que son respecto de las que se proyecta el efecto de cosa juzgada, por lo que al rechazarse analizar dicha cláusula por el efecto de cosa juzgada se está incumpliendo la obligación de pronunciamiento derivada del art. 24.1 CE.</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comparecida, por escrito registrado el 8 de enero de 2021, presentó sus alegaciones solicitando que se desestime el recurso, argumentando que (i) el auto por el que se despachó la ejecución ya hizo un control del clausulado considerando que solo resultaba abusiva la reguladora de los intereses moratorios; (ii) el demandante de amparo, tras ser requerido de pago, se aquietó sin solicitar examen de abusividad, dejando precluir su derecho; (iii) el demandante de amparo mostró una conducta pasiva al serle concedida audiencia en el trámite iniciado por el juzgado para la apreciación de oficio respecto de la posible abusividad de cláusulas del contrato.</w:t>
      </w:r>
    </w:p>
    <w:p w:rsidR="005728DD" w:rsidRDefault="005728DD" w:rsidP="005728DD">
      <w:pPr>
        <w:pStyle w:val="TextoNormal"/>
      </w:pPr>
    </w:p>
    <w:p w:rsidR="005728DD" w:rsidRDefault="005728DD" w:rsidP="005728DD">
      <w:pPr>
        <w:pStyle w:val="TextoNormal"/>
      </w:pPr>
      <w:r w:rsidRPr="005728DD">
        <w:rPr>
          <w:rStyle w:val="NumeroAFNegritaCaracter"/>
        </w:rPr>
        <w:t>8</w:t>
      </w:r>
      <w:r>
        <w:t>. El demandante presentó sus alegaciones mediante escrito registrado el 4 de enero de 2021 ratificándose en las formuladas en su demanda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25 de febrero de 2021, se señaló para la deliberación y votación de la presente sentencia el día 3 de marzo del mismo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w:t>
      </w:r>
      <w:r>
        <w:t>.- El objeto de este recurso es determinar si vulnera el derecho a la tutela judicial efectiva del recurrente (art. 24.1 CE) la decisión judicial adoptada en el procedimiento de ejecución de títulos no judiciales de rechazar la petición, amparada en la aplicación de la normativa comunitaria y en la jurisprudencia que la interpreta, de analizar la abusividad de la cláusula novena del contrato de préstamo cuya ejecución se instaba, con el argumento de que el auto despachando la ejecución ya había desarrollado el control de oficio de la abusividad del clausulado del título no judicial a ejecutar.</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 jurisprudencia constitucional sobre el control de abusividad en los procedimientos ejecutivos y su vinculación con el derecho a la tutela judicial efectiva (art. 24.1 CE</w:t>
      </w:r>
      <w:r>
        <w:t xml:space="preserve">).- El tribunal se ha pronunciado en la STC 31/2019, de 28 de febrero, sobre la proyección que respecto del derecho a la tutela judicial efectiva (art. 24.1 CE) tiene el deber de control de abusividad del clausulado de los títulos no judiciales en los procedimientos judiciales amparado en el Derecho de la Unión Europea (Directiva 93/13/CEE, del Consejo, de 5 de abril, sobre cláusulas abusivas en los contratos celebrados con consumidores y STJUE de 26 de enero de 2017, C-421/14, asunto </w:t>
      </w:r>
      <w:r w:rsidRPr="005728DD">
        <w:rPr>
          <w:i/>
        </w:rPr>
        <w:t>Banco Primus, S.A., c. Jesús Gutiérrez García</w:t>
      </w:r>
      <w:r>
        <w:t>). En dicha resolución, este tribunal ha declarado que, de acuerdo con la Directiva 93/13/CEE, conforme a la interpretación realizada por parte del Tribunal de Justicia de la Unión Europea (sentencia de 26 de enero de 2017),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(FJ 6). De ese modo, la STC 31/2019 establece (i) que no cabe considerar que el plazo para denunciar la existencia de cláusulas abusivas haya precluido solo porque la parte ejecutada no formulase oposición a la ejecución en el plazo de diez días previsto en el art. 557, en relación con el art. 556, ambos de la LEC (FJ 6); y (ii) que si “no consta en ningún apartado del auto despachando la ejecución que se haya producido un examen del clausulado contractual”, no puede entenderse realizado y justificado con la simple afirmación de que la demanda ejecutiva “cumple los requisitos establecidos en el artículo 685 de la LEC” (FJ 8). Por ello concluye “que el juzgado vulneró el derecho fundamental a la tutela judicial efectiva (art. 24.1 CE) con su inmotivada contestación acerca de la existencia de un control de la cláusula previo a la denuncia —única excepción contemplada por el Tribunal de Justicia para excluir, de haberse dictado resolución firme, un examen posterior—, pues ‘[m]al se puede realizar un control —ni siquiera externo— de lo que carece de un razonamiento expreso’” (FJ 8).</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jurisprudencia constitucional al caso planteado</w:t>
      </w:r>
      <w:r>
        <w:t>.- En el presente caso, han quedado acreditados como relevantes los siguientes extremos:</w:t>
      </w:r>
    </w:p>
    <w:p w:rsidR="005728DD" w:rsidRDefault="005728DD" w:rsidP="005728DD">
      <w:pPr>
        <w:pStyle w:val="TextoNormal"/>
      </w:pPr>
    </w:p>
    <w:p w:rsidR="005728DD" w:rsidRDefault="005728DD" w:rsidP="005728DD">
      <w:pPr>
        <w:pStyle w:val="TextoNormal"/>
      </w:pPr>
      <w:r>
        <w:t xml:space="preserve">(i) El órgano judicial realizó de oficio en el auto de 26 de abril de 2016 por el que se despachó la ejecución solicitada un control de la abusividad de las cláusulas del título no judicial cuya ejecución se instaba relativas a los intereses moratorios (FJ 7), que se consideró abusiva; la de vencimiento anticipado (FJ 8), que no se consideró abusiva; y la de intereses remuneratorios (FJ 9), afirmando que no cabe hacer ningún pronunciamiento por no autorizar la jurisprudencia del Tribunal Supremo su control de oficio. En atención a ello, acordó considerar nula la cláusula de interés moratorio del título no judicial respecto del </w:t>
      </w:r>
      <w:r>
        <w:lastRenderedPageBreak/>
        <w:t>que se solicitaba la ejecución, “no habiendo lugar al decreto de la nulidad de las restantes cláusulas analizadas en la presente resolución, sin perjuicio de lo dispuesto en el artículo 557.1.7 de la Ley de enjuiciamiento civil”.</w:t>
      </w:r>
    </w:p>
    <w:p w:rsidR="005728DD" w:rsidRDefault="005728DD" w:rsidP="005728DD">
      <w:pPr>
        <w:pStyle w:val="TextoNormal"/>
      </w:pPr>
    </w:p>
    <w:p w:rsidR="005728DD" w:rsidRDefault="005728DD" w:rsidP="005728DD">
      <w:pPr>
        <w:pStyle w:val="TextoNormal"/>
      </w:pPr>
      <w:r>
        <w:t>(ii) El demandante de amparo, respecto del que se despachó ejecución en su condición de avalista de manera solidaria con los deudores principales, instó en sucesivas ocasiones, alegando la primacía del Derecho de la Unión Europea, que el órgano judicial procediera a hacer un control de la abusividad de la cláusula novena del título no judicial que se estaba ejecutando, referida a la solidaridad del afianzamiento y la renuncia del fiador a los beneficios de excusión, orden y división.</w:t>
      </w:r>
    </w:p>
    <w:p w:rsidR="005728DD" w:rsidRDefault="005728DD" w:rsidP="005728DD">
      <w:pPr>
        <w:pStyle w:val="TextoNormal"/>
      </w:pPr>
    </w:p>
    <w:p w:rsidR="005728DD" w:rsidRDefault="005728DD" w:rsidP="005728DD">
      <w:pPr>
        <w:pStyle w:val="TextoNormal"/>
      </w:pPr>
      <w:r>
        <w:t>(iii) La resolución judicial impugnada en este amparo denegó el control judicial sobre la abusividad de dicha cláusula con el único argumento de que el juzgado ya había efectuado un control de abusividad del articulado.</w:t>
      </w:r>
    </w:p>
    <w:p w:rsidR="005728DD" w:rsidRDefault="005728DD" w:rsidP="005728DD">
      <w:pPr>
        <w:pStyle w:val="TextoNormal"/>
      </w:pPr>
    </w:p>
    <w:p w:rsidR="005728DD" w:rsidRDefault="005728DD" w:rsidP="005728DD">
      <w:pPr>
        <w:pStyle w:val="TextoNormal"/>
      </w:pPr>
      <w:r>
        <w:t>En atención a estos antecedentes y tomando en consideración la jurisprudencia establecida en la citada STC 31/2019, el Tribunal concluye, de conformidad con lo también solicitado por el Ministerio Fiscal, que se ha producido una vulneración del derecho a la tutela judicial efectiva (art. 24.1 CE).</w:t>
      </w:r>
    </w:p>
    <w:p w:rsidR="005728DD" w:rsidRDefault="005728DD" w:rsidP="005728DD">
      <w:pPr>
        <w:pStyle w:val="TextoNormal"/>
      </w:pPr>
    </w:p>
    <w:p w:rsidR="005728DD" w:rsidRDefault="005728DD" w:rsidP="005728DD">
      <w:pPr>
        <w:pStyle w:val="TextoNormal"/>
      </w:pPr>
      <w:r>
        <w:t>El caso enjuiciado presenta, respecto de otros anteriores, la particularidad de que en el fallo se declaraba, sin motivación específica alguna, que no había lugar a decretar la nulidad de “las restantes cláusulas analizadas en la presente resolución”. Pues bien, la circunstancia de que el órgano judicial hubiera analizado de oficio en el cuerpo de su resolución la eventual abusividad de tres concretas cláusulas del título no judicial cuya ejecución se instaba es suficientemente expresivo de que, con ocasión del auto despachando la ejecución, el control judicial quedó limitado a aquellas concretas cláusulas. La afirmación contenida en el fallo de dicha resolución en el sentido de que no había lugar a decretar la nulidad de “las restantes cláusulas analizadas en la presente resolución” constituye un mero corolario de la decisión anterior, que no puede ser entendida como una motivación expresa por la que se desestima la nulidad de alguna otra cláusula en concreto. Por tanto, solo respecto de las primeras podría jugar la excepción de cosa juzgada aceptada por la jurisprudencia constitucional en relación con la obligación del control del clausulado. Resulta concluyente, en efecto, la especial incidencia que se hizo en la STC 31/2019 a la irrazonabilidad que, desde la perspectiva del art. 24.1 CE, implica argumentar que se había realizado un determinado control judicial en una resolución que carecía de ningún razonamiento expreso sobre el particular, como ocurre en el caso examinado.</w:t>
      </w:r>
    </w:p>
    <w:p w:rsidR="005728DD" w:rsidRDefault="005728DD" w:rsidP="005728DD">
      <w:pPr>
        <w:pStyle w:val="TextoNormal"/>
      </w:pPr>
    </w:p>
    <w:p w:rsidR="005728DD" w:rsidRDefault="005728DD" w:rsidP="005728DD">
      <w:pPr>
        <w:pStyle w:val="TextoNormal"/>
      </w:pPr>
      <w:r>
        <w:t>Por tanto, debe otorgarse el amparo por vulneración del derecho a la tutela judicial efectiva (art. 24.1 CE) con los efectos de la declaración de nulidad la resolución impugnada y ordenar la retroacción de actuaciones para que haya un pronunciamiento respetuoso con el derecho constitucional reconocido.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Hugo Martín Francisco Ravanelli y, en su virtud:</w:t>
      </w:r>
    </w:p>
    <w:p w:rsidR="005728DD" w:rsidRDefault="005728DD" w:rsidP="005728DD">
      <w:pPr>
        <w:pStyle w:val="TextoNormal"/>
      </w:pPr>
    </w:p>
    <w:p w:rsidR="005728DD" w:rsidRDefault="005728DD" w:rsidP="005728DD">
      <w:pPr>
        <w:pStyle w:val="TextoNormal"/>
      </w:pPr>
      <w:r>
        <w:t>1º Declarar que ha sido vulnerado el derecho fundamental del demandante de amparo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en consecuencia, declarar la nulidad del auto del Juzgado de Primera Instancia núm. 4 de Gavà de 14 de noviembre de 2019, pronunciado en el procedimiento de ejecución de títulos no judiciales núm. 172-2015.</w:t>
      </w:r>
    </w:p>
    <w:p w:rsidR="005728DD" w:rsidRDefault="005728DD" w:rsidP="005728DD">
      <w:pPr>
        <w:pStyle w:val="TextoNormal"/>
      </w:pPr>
    </w:p>
    <w:p w:rsidR="005728DD" w:rsidRDefault="005728DD" w:rsidP="005728DD">
      <w:pPr>
        <w:pStyle w:val="TextoNormal"/>
      </w:pPr>
      <w:r>
        <w:t>3º Retrotraer las actuaciones al momento inmediatamente anterior a la citada resolución para que el órgano judicial pronuncie una nueva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marzo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Ricardo Enríquez Sancho a la sentencia dictada en el recurso de amparo núm. 7580-2019</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7580-2019, el cual a mi juicio debió ser desestimado.</w:t>
      </w:r>
    </w:p>
    <w:p w:rsidR="005728DD" w:rsidRDefault="005728DD" w:rsidP="005728DD">
      <w:pPr>
        <w:pStyle w:val="TextoNormal"/>
      </w:pPr>
    </w:p>
    <w:p w:rsidR="005728DD" w:rsidRDefault="005728DD" w:rsidP="005728DD">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5728DD" w:rsidRDefault="005728DD" w:rsidP="005728DD">
      <w:pPr>
        <w:pStyle w:val="TextoNormal"/>
      </w:pPr>
    </w:p>
    <w:p w:rsidR="005728DD" w:rsidRDefault="005728DD" w:rsidP="005728DD">
      <w:pPr>
        <w:pStyle w:val="TextoNormal"/>
      </w:pPr>
      <w:r>
        <w:t>Y en tal sentido emito mi voto particular.</w:t>
      </w:r>
    </w:p>
    <w:p w:rsidR="005728DD" w:rsidRDefault="005728DD" w:rsidP="005728DD">
      <w:pPr>
        <w:pStyle w:val="TextoNormal"/>
      </w:pPr>
    </w:p>
    <w:p w:rsidR="005728DD" w:rsidRDefault="005728DD" w:rsidP="005728DD">
      <w:pPr>
        <w:pStyle w:val="TextoNormal"/>
      </w:pPr>
      <w:r>
        <w:t>Madrid, a tres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4" w:name="SENTENCIA_2021_51"/>
      <w:r>
        <w:lastRenderedPageBreak/>
        <w:t>SENTENCIA 51/2021, de 15 de marzo de 2021</w:t>
      </w:r>
    </w:p>
    <w:bookmarkEnd w:id="54"/>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ECLI:ES:TC:2021:51</w:t>
      </w:r>
    </w:p>
    <w:p w:rsidR="005728DD" w:rsidRDefault="005728DD" w:rsidP="005728DD">
      <w:pPr>
        <w:pStyle w:val="TextoNormalCentrado"/>
      </w:pPr>
    </w:p>
    <w:p w:rsidR="005728DD" w:rsidRDefault="005728DD" w:rsidP="005728DD">
      <w:pPr>
        <w:pStyle w:val="SntesisDescriptiva"/>
      </w:pPr>
      <w:r>
        <w:t>Recurso de amparo 2950-2018. Promovido por don A.M.Z., respecto de la sanción impuesta por la Secretaría de Estado de Justicia y la sentencia de la Sección Tercera de la Sala de lo Contencioso-Administrativo de la Audiencia Nacional que confirmó su legalidad.</w:t>
      </w:r>
    </w:p>
    <w:p w:rsidR="005728DD" w:rsidRDefault="005728DD" w:rsidP="005728DD">
      <w:pPr>
        <w:pStyle w:val="SntesisDescriptiva"/>
      </w:pPr>
    </w:p>
    <w:p w:rsidR="005728DD" w:rsidRDefault="005728DD" w:rsidP="005728DD">
      <w:pPr>
        <w:pStyle w:val="SntesisAnaltica"/>
      </w:pPr>
      <w:r>
        <w:t>Vulneración de los derechos a la igualdad y no discriminación por razón de discapacidad, a un proceso con todas las garantías, a la presunción de inocencia y a la legalidad sancionadora (principio de culpabilidad): resoluciones que no toman adecuadamente en consideración la discapacidad aducida ni la petición de ajustes razonables en el puesto de trabajo.</w:t>
      </w:r>
    </w:p>
    <w:p w:rsidR="005728DD" w:rsidRDefault="005728DD" w:rsidP="005728DD">
      <w:pPr>
        <w:pStyle w:val="SntesisAnaltica"/>
      </w:pPr>
    </w:p>
    <w:p w:rsidR="005728DD" w:rsidRDefault="005728DD" w:rsidP="005728DD">
      <w:pPr>
        <w:pStyle w:val="Extracto"/>
      </w:pPr>
      <w:r>
        <w:t>1.</w:t>
      </w:r>
      <w:r>
        <w:tab/>
        <w:t>La discapacidad constituye una circunstancia personal que el artículo 14 CE protege contra cualquier forma de discriminación (SSTC 269/1994 y 3/2018) [FJ 3].</w:t>
      </w:r>
    </w:p>
    <w:p w:rsidR="005728DD" w:rsidRDefault="005728DD" w:rsidP="005728DD">
      <w:pPr>
        <w:pStyle w:val="Extracto"/>
      </w:pPr>
    </w:p>
    <w:p w:rsidR="005728DD" w:rsidRDefault="005728DD" w:rsidP="005728DD">
      <w:pPr>
        <w:pStyle w:val="Extracto"/>
      </w:pPr>
      <w:r>
        <w:t>2.</w:t>
      </w:r>
      <w:r>
        <w:tab/>
        <w:t>Las medidas que se instrumentan para procurar la igualdad de oportunidades y la integración social y profesional de las personas con discapacidad, incluyendo aquellas de acción positiva, tienen una estrecha conexión con el mandato contenido en el artículo 9.2 CE y, específicamente, con su plasmación en el art. 49 CE que, sin reconocer derechos fundamentales, ordena a los poderes públicos realizar una política de integración de las personas con discapacidades físicas, sensoriales y psíquicas, que les ampare especialmente para el disfrute de los derechos que este título otorga a todos los ciudadanos (SSTC 10/2014 o 18/2017) [FJ 3].</w:t>
      </w:r>
    </w:p>
    <w:p w:rsidR="005728DD" w:rsidRDefault="005728DD" w:rsidP="005728DD">
      <w:pPr>
        <w:pStyle w:val="Extracto"/>
      </w:pPr>
    </w:p>
    <w:p w:rsidR="005728DD" w:rsidRDefault="005728DD" w:rsidP="005728DD">
      <w:pPr>
        <w:pStyle w:val="Extracto"/>
      </w:pPr>
      <w:r>
        <w:t>3.</w:t>
      </w:r>
      <w:r>
        <w:tab/>
        <w:t>La aplicación de la cláusula del artículo 10.2 CE conlleva que el Tribunal otorgue especial relevancia exegética a la Convención de la ONU sobre los derechos de las personas con discapacidad, que protege en su art. 1 a quienes tengan deficiencias físicas, mentales, intelectuales o sensoriales a largo plazo que, al interactuar con diversas barreras, puedan impedir su participación plena y efectiva en la sociedad, en igualdad de condiciones con las demás; proscribe en su art. 2 la discriminación por motivo de discapacidad; y señala en el art. 5.3 que los Estados parte adoptarán todas las medidas pertinentes para asegurar la realización de ajustes razonables [FJ 3].</w:t>
      </w:r>
    </w:p>
    <w:p w:rsidR="005728DD" w:rsidRDefault="005728DD" w:rsidP="005728DD">
      <w:pPr>
        <w:pStyle w:val="Extracto"/>
      </w:pPr>
    </w:p>
    <w:p w:rsidR="005728DD" w:rsidRDefault="005728DD" w:rsidP="005728DD">
      <w:pPr>
        <w:pStyle w:val="Extracto"/>
      </w:pPr>
      <w:r>
        <w:t>4.</w:t>
      </w:r>
      <w:r>
        <w:tab/>
        <w:t>Doctrina constitucional sobre el derecho a los “ajustes razonables” necesarios para evitar situaciones de discriminación, desde diferentes ámbitos: educación (STC 10/2014); tutela judicial efectiva, particularmente la salvaguarda del derecho de defensa del presunto discapacitado psíquico durante la instrucción penal (STC 77/2014); y el acceso a la asistencia o servicios sociales (STC 3/2018) [FJ 3].</w:t>
      </w:r>
    </w:p>
    <w:p w:rsidR="005728DD" w:rsidRDefault="005728DD" w:rsidP="005728DD">
      <w:pPr>
        <w:pStyle w:val="Extracto"/>
      </w:pPr>
    </w:p>
    <w:p w:rsidR="005728DD" w:rsidRDefault="005728DD" w:rsidP="005728DD">
      <w:pPr>
        <w:pStyle w:val="Extracto"/>
      </w:pPr>
      <w:r>
        <w:t>5.</w:t>
      </w:r>
      <w:r>
        <w:tab/>
        <w:t xml:space="preserve">No constituye indicio la mera alegación de la vulneración constitucional, ni una retórica invocación del factor protegido, sino un hecho o conjunto de hechos que permita deducir la posibilidad de la lesión; sólo cumplido este inexcusable deber, recaerá sobre la parte demandada la carga de probar que su actuación tuvo causas </w:t>
      </w:r>
      <w:r>
        <w:lastRenderedPageBreak/>
        <w:t>reales absolutamente extrañas a la pretendida vulneración, indiciariamente probada, así como que tenían entidad suficiente para justificar la decisión adoptada al margen del derecho fundamental alegado (STC 104/2014) [FJ 3].</w:t>
      </w:r>
    </w:p>
    <w:p w:rsidR="005728DD" w:rsidRDefault="005728DD" w:rsidP="005728DD">
      <w:pPr>
        <w:pStyle w:val="Extracto"/>
      </w:pPr>
    </w:p>
    <w:p w:rsidR="005728DD" w:rsidRDefault="005728DD" w:rsidP="005728DD">
      <w:pPr>
        <w:pStyle w:val="Extracto"/>
      </w:pPr>
      <w:r>
        <w:t>6.</w:t>
      </w:r>
      <w:r>
        <w:tab/>
        <w:t>El incumplimiento del deber probatorio de la parte demandada —que no supone una inversión de la carga de la prueba, pues nace solo una vez que la parte demandante ha aportado indicios de la vulneración que denuncia— trasciende el ámbito puramente procesal y determina, en última instancia, que los indicios aportados desplieguen toda su operatividad para declarar la lesión del derecho fundamental sustantivo que haya sido invocado (STC 104/2014) [FJ 3].</w:t>
      </w:r>
    </w:p>
    <w:p w:rsidR="005728DD" w:rsidRDefault="005728DD" w:rsidP="005728DD">
      <w:pPr>
        <w:pStyle w:val="Extracto"/>
      </w:pPr>
    </w:p>
    <w:p w:rsidR="005728DD" w:rsidRDefault="005728DD" w:rsidP="005728DD">
      <w:pPr>
        <w:pStyle w:val="Extracto"/>
      </w:pPr>
      <w:r>
        <w:t>7.</w:t>
      </w:r>
      <w:r>
        <w:tab/>
        <w:t>Incluso si la intencionalidad discriminatoria no existe, corresponde al empleador probar que la vulneración que se le atribuye no represente objetivamente actos contrarios a la prohibición de discriminación (STC 233/2007) [FJ 3].</w:t>
      </w:r>
    </w:p>
    <w:p w:rsidR="005728DD" w:rsidRDefault="005728DD" w:rsidP="005728DD">
      <w:pPr>
        <w:pStyle w:val="Extracto"/>
      </w:pPr>
    </w:p>
    <w:p w:rsidR="005728DD" w:rsidRDefault="005728DD" w:rsidP="005728DD">
      <w:pPr>
        <w:pStyle w:val="Extracto"/>
      </w:pPr>
      <w:r>
        <w:t>8.</w:t>
      </w:r>
      <w:r>
        <w:tab/>
        <w:t xml:space="preserve">Para que se produzca el desplazamiento al demandado del </w:t>
      </w:r>
      <w:r w:rsidRPr="005728DD">
        <w:rPr>
          <w:i/>
        </w:rPr>
        <w:t xml:space="preserve">onus probandi </w:t>
      </w:r>
      <w:r>
        <w:t>no basta simplemente con que el actor tache la medida de discriminatoria, sino que, además, ha de acreditar la existencia de indicios que generen una razonable sospecha, apariencia o presunción a favor de su alegato (SSTC 136/1996, 48/2002 y 31/2014) [FJ 3].</w:t>
      </w:r>
    </w:p>
    <w:p w:rsidR="005728DD" w:rsidRDefault="005728DD" w:rsidP="005728DD">
      <w:pPr>
        <w:pStyle w:val="Extracto"/>
      </w:pPr>
    </w:p>
    <w:p w:rsidR="005728DD" w:rsidRDefault="005728DD" w:rsidP="005728DD">
      <w:pPr>
        <w:pStyle w:val="Extracto"/>
      </w:pPr>
      <w:r>
        <w:t>9.</w:t>
      </w:r>
      <w:r>
        <w:tab/>
        <w:t>Si quien invoca la aplicación de la regla de la prueba indiciaria desarrolla una actividad alegatoria suficientemente precisa y concreta en torno a los indicios de la existencia de discriminación, recaerá sobre la parte demandada la carga de probar la existencia de causas suficientes, reales y serias, para calificar de razonable y ajena a todo propósito lesivo del derecho fundamental la decisión o práctica empresarial cuestionada, único medio de destruir la apariencia lesiva creada por tales indicios (SSTC 2/2009 y 31/2014) [FJ 3].</w:t>
      </w:r>
    </w:p>
    <w:p w:rsidR="005728DD" w:rsidRDefault="005728DD" w:rsidP="005728DD">
      <w:pPr>
        <w:pStyle w:val="Extracto"/>
      </w:pPr>
    </w:p>
    <w:p w:rsidR="005728DD" w:rsidRDefault="005728DD" w:rsidP="005728DD">
      <w:pPr>
        <w:pStyle w:val="Extracto"/>
      </w:pPr>
      <w:r>
        <w:t>10.</w:t>
      </w:r>
      <w:r>
        <w:tab/>
        <w:t>La doctrina constitucional sobre la prueba en casos de discriminación es aplicable en el seno de las relaciones de los empleados públicos y la Administración, incluso en supuestos de decisiones discrecionales -como el caso de cese en un puesto de libre designación-, cuando tales decisiones son contrarias a los derechos fundamentales (STC 98/2003), pues la correlativa libertad de cese es una libre facultad que, en el plano de la constitucionalidad, también queda limitada por el respeto a los derechos fundamentales (SSTC 17/1996 y 202/1997). Doctrina que opera también en el ámbito de cualquier actuación de la administración ya sea discrecional o reglada, como es el caso de la adopción de resoluciones disciplinarias o sancionadoras [FJ 3].</w:t>
      </w:r>
    </w:p>
    <w:p w:rsidR="005728DD" w:rsidRDefault="005728DD" w:rsidP="005728DD">
      <w:pPr>
        <w:pStyle w:val="Extracto"/>
      </w:pPr>
    </w:p>
    <w:p w:rsidR="005728DD" w:rsidRDefault="005728DD" w:rsidP="005728DD">
      <w:pPr>
        <w:pStyle w:val="Extracto"/>
      </w:pPr>
      <w:r>
        <w:t>11.</w:t>
      </w:r>
      <w:r>
        <w:tab/>
        <w:t>Los “ajustes razonables” se integran en el derecho a la igualdad de trato y a la no discriminación de las personas con discapacidad allí donde sean necesarios para garantizar el ejercicio, en igualdad de condiciones, de sus derechos en el ámbito laboral [Observación general núm. 6 (2018) sobre la igualdad y la no discriminación del Comité sobre los Derechos de las Personas con Discapacidad (CRPD/C/GC/6)]. Son esenciales, asimismo, para dar cumplimiento a los mandatos que los arts. 9.2 y 49 CE imponen a todos los poderes públicos [FJ 4].</w:t>
      </w:r>
    </w:p>
    <w:p w:rsidR="005728DD" w:rsidRDefault="005728DD" w:rsidP="005728DD">
      <w:pPr>
        <w:pStyle w:val="Extracto"/>
      </w:pPr>
    </w:p>
    <w:p w:rsidR="005728DD" w:rsidRDefault="005728DD" w:rsidP="005728DD">
      <w:pPr>
        <w:pStyle w:val="Extracto"/>
      </w:pPr>
      <w:r>
        <w:lastRenderedPageBreak/>
        <w:t>12.</w:t>
      </w:r>
      <w:r>
        <w:tab/>
        <w:t>El incumplimiento de la obligación por parte del empleador de adoptar los ajustes razonables priva de legitimidad la adopción de medidas como el despido o la adopción de medidas disciplinarias motivadas en posibles insuficiencias en el desempeño de sus funciones por incurrir en discriminación. Aunque tales medidas puedan estar fundadas, en principio, en razones objetivas y aparentemente neutras relacionadas con dicho desempeño, incurren en discriminación si no se ha garantizado antes la observancia del principio de igualdad de trato de las personas discapacitadas mediante los debidos ajustes [FJ 4].</w:t>
      </w:r>
    </w:p>
    <w:p w:rsidR="005728DD" w:rsidRDefault="005728DD" w:rsidP="005728DD">
      <w:pPr>
        <w:pStyle w:val="Extracto"/>
      </w:pPr>
    </w:p>
    <w:p w:rsidR="005728DD" w:rsidRDefault="005728DD" w:rsidP="005728DD">
      <w:pPr>
        <w:pStyle w:val="Extracto"/>
      </w:pPr>
      <w:r>
        <w:t>13.</w:t>
      </w:r>
      <w:r>
        <w:tab/>
        <w:t>Cuando una persona solicita en su empleo ajustes razonables por razón de su discapacidad, su petición debe ser objeto de consideración desde el momento en que se solicite y se acredite —conforme a la normativa aplicable— el alcance de la discapacidad. La respuesta del empleador debe ser expresa y estar debidamente motivada; en particular cuando deniegue los ajustes solicitados por considerarlos desproporcionados o indebidos, ya que de lo contrario incurrirá en una denegación tácita carente de la debida justificación que vulnera el derecho a la igualdad de trato de las personas discapacitadas [FJ 4].</w:t>
      </w:r>
    </w:p>
    <w:p w:rsidR="005728DD" w:rsidRDefault="005728DD" w:rsidP="005728DD">
      <w:pPr>
        <w:pStyle w:val="Extracto"/>
      </w:pPr>
    </w:p>
    <w:p w:rsidR="005728DD" w:rsidRDefault="005728DD" w:rsidP="005728DD">
      <w:pPr>
        <w:pStyle w:val="Extracto"/>
      </w:pPr>
      <w:r>
        <w:t>14.</w:t>
      </w:r>
      <w:r>
        <w:tab/>
        <w:t>La obligación de realizar los ajustes razonables no se limita únicamente a aquellos casos en que se soliciten expresa y formalmente por el afectado; alcanza también a los supuestos en que, aun cuando no se haya procedido a su petición formal por la persona que sufre discapacidad, quien deba garantizar su derecho a no ser discriminado tenga conocimiento de dicha discapacidad [FJ 4].</w:t>
      </w:r>
    </w:p>
    <w:p w:rsidR="005728DD" w:rsidRDefault="005728DD" w:rsidP="005728DD">
      <w:pPr>
        <w:pStyle w:val="Extracto"/>
      </w:pPr>
    </w:p>
    <w:p w:rsidR="005728DD" w:rsidRDefault="005728DD" w:rsidP="005728DD">
      <w:pPr>
        <w:pStyle w:val="Extracto"/>
      </w:pPr>
      <w:r>
        <w:t>15.</w:t>
      </w:r>
      <w:r>
        <w:tab/>
        <w:t>En el caso particular de las personas con discapacidad mental, por causas psíquicas, intelectuales o cognitivas, no pueden ignorarse los prejuicios y la discriminación que han sufrido secularmente quienes la padecen. El empleador adoptará los ajustes razonables que sean necesarios y adecuados para garantizar su igualdad de trato y no discriminación tan pronto como tenga conocimiento de tal discapacidad; y, en todo caso, antes de emprender cualquier acción que pueda ir en menoscabo del empleo y trabajo de una persona que la sufre, como lo es en todo caso el despido, la jubilación, o la imposición de medidas disciplinarias [FJ 4].</w:t>
      </w:r>
    </w:p>
    <w:p w:rsidR="005728DD" w:rsidRDefault="005728DD" w:rsidP="005728DD">
      <w:pPr>
        <w:pStyle w:val="Extracto"/>
      </w:pPr>
    </w:p>
    <w:p w:rsidR="005728DD" w:rsidRDefault="005728DD" w:rsidP="005728DD">
      <w:pPr>
        <w:pStyle w:val="Extracto"/>
      </w:pPr>
      <w:r>
        <w:t>16.</w:t>
      </w:r>
      <w:r>
        <w:tab/>
        <w:t>El empleador, por respeto a los derechos fundamentales y bienes jurídicos afectados, debe exteriorizar debidamente la motivación de la decisión adoptada, en particular si se aprecia la improcedencia o imposibilidad de los ajustes solicitados. En caso contrario, la adopción de medidas como el despido o la imposición de una sanción de carácter disciplinario, que estén relacionadas con dificultades en el desempeño de sus funciones que puedan ser solventadas mediante ajustes razonables, incurrirán en discriminación prohibida por el art. 14 CE aun cuando estén basadas en razones objetivas aparentemente neutras [FJ 4].</w:t>
      </w:r>
    </w:p>
    <w:p w:rsidR="005728DD" w:rsidRDefault="005728DD" w:rsidP="005728DD">
      <w:pPr>
        <w:pStyle w:val="Extracto"/>
      </w:pPr>
    </w:p>
    <w:p w:rsidR="005728DD" w:rsidRDefault="005728DD" w:rsidP="005728DD">
      <w:pPr>
        <w:pStyle w:val="Extracto"/>
      </w:pPr>
      <w:r>
        <w:t>17.</w:t>
      </w:r>
      <w:r>
        <w:tab/>
        <w:t>Vulneración de los arts. 24.2 CE y 25 CE: doctrina constitucional sobre el principio de culpabilidad y el derecho a la presunción de inocencia [FJ 5].</w:t>
      </w:r>
    </w:p>
    <w:p w:rsidR="005728DD" w:rsidRDefault="005728DD" w:rsidP="005728DD">
      <w:pPr>
        <w:pStyle w:val="Extracto"/>
      </w:pPr>
    </w:p>
    <w:p w:rsidR="005728DD" w:rsidRDefault="005728DD" w:rsidP="005728DD">
      <w:pPr>
        <w:pStyle w:val="Extracto"/>
      </w:pPr>
      <w:r>
        <w:t>18.</w:t>
      </w:r>
      <w:r>
        <w:tab/>
        <w:t xml:space="preserve">Una vez el recurrente aporta un panorama indiciario suficiente, corresponde a la Administración dar respuesta expresa y adecuadamente fundada a tal alegato, desvirtuando la pertinencia o necesidad de ajustes razonables, y justificando que </w:t>
      </w:r>
      <w:r>
        <w:lastRenderedPageBreak/>
        <w:t>la actuación responde a razones objetivas, ajenas a cualquier ánimo o resultado discriminatorio; y, en su caso, determinando los motivos que exigen incoar o continuar un procedimiento disciplinario [FJ 6].</w:t>
      </w:r>
    </w:p>
    <w:p w:rsidR="005728DD" w:rsidRDefault="005728DD" w:rsidP="005728DD">
      <w:pPr>
        <w:pStyle w:val="Extracto"/>
      </w:pPr>
    </w:p>
    <w:p w:rsidR="005728DD" w:rsidRDefault="005728DD" w:rsidP="005728DD">
      <w:pPr>
        <w:pStyle w:val="Extracto"/>
      </w:pPr>
      <w:r>
        <w:t>19.</w:t>
      </w:r>
      <w:r>
        <w:tab/>
        <w:t>La Administración pública ha de actuar siempre con objetividad y plena sumisión a la legalidad (arts. 103.1 y 106.1 CE), sin asomo de arbitrariedad (art. 9.3 CE), por lo que tiene la obligación de acreditar la regularidad de sus actos cuando por parte de sus empleados se haya ofrecido un principio de prueba indicativo de una posible vulneración de un derecho fundamental (STC 111/2003) [FJ 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2950-2018, promovido a instancias de don A.M.Z., representado por el procurador de los tribunales don Manuel de Benito Oteo y asistido por el letrado don Isaac Salama Salama, contra la resolución de la Secretaría de Estado de Justicia (por delegación del ministro de Justicia) de 8 de junio de 2016 y contra la sentencia núm. 2686/2017 dictada en la apelación (derechos fundamentales) núm. 2-2017 por la Sección Tercera de la Sala de lo Contencioso-Administrativo de la Audiencia Nacional el 22 de junio de 2017. Ha sido parte el abogado del Estado en representación de la administración del Estado.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presentando en el registro general de este tribunal el 25 de mayo de 2018, el procurador de los tribunales don Manuel de Benito Oteo, actuando en nombre y representación de don A.M.Z., interpuso recurso de amparo contra las resoluciones indicadas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en los que se funda el presente recurso de amparo son, en síntesis, los siguientes:</w:t>
      </w:r>
    </w:p>
    <w:p w:rsidR="005728DD" w:rsidRDefault="005728DD" w:rsidP="005728DD">
      <w:pPr>
        <w:pStyle w:val="TextoNormal"/>
      </w:pPr>
    </w:p>
    <w:p w:rsidR="005728DD" w:rsidRDefault="005728DD" w:rsidP="005728DD">
      <w:pPr>
        <w:pStyle w:val="TextoNormal"/>
      </w:pPr>
      <w:r>
        <w:t xml:space="preserve">a) Mediante resolución de 8 de junio de 2016, la secretaria de Estado de Justicia impuso al recurrente, en su condición de letrado de la administración de justicia, la sanción de un año y un día de suspensión de empleo y sueldo por la comisión de una falta muy grave de </w:t>
      </w:r>
      <w:r>
        <w:lastRenderedPageBreak/>
        <w:t xml:space="preserve">“incumplimiento reiterado de las funciones inherentes al puesto de trabajo o funciones encomendadas” (art. 154.7 del Reglamento Orgánico del cuerpo de secretarios judiciales), y de “retraso, la desatención o el incumplimiento reiterados de las funciones inherentes al puesto de trabajo o funciones encomendadas” [art. 468 </w:t>
      </w:r>
      <w:r w:rsidRPr="005728DD">
        <w:rPr>
          <w:i/>
        </w:rPr>
        <w:t>bis</w:t>
      </w:r>
      <w:r>
        <w:t>.1 h) de la Ley 6/1985, de 1 de julio, del Poder Judicial (LOPJ)].</w:t>
      </w:r>
    </w:p>
    <w:p w:rsidR="005728DD" w:rsidRDefault="005728DD" w:rsidP="005728DD">
      <w:pPr>
        <w:pStyle w:val="TextoNormal"/>
      </w:pPr>
    </w:p>
    <w:p w:rsidR="005728DD" w:rsidRDefault="005728DD" w:rsidP="005728DD">
      <w:pPr>
        <w:pStyle w:val="TextoNormal"/>
      </w:pPr>
      <w:r>
        <w:t>b) El expediente se inició con motivo de una inspección ordinaria realizada los días 2 y 6 de junio de 2013 por la unidad inspectora tercera del Consejo General del Poder Judicial al Juzgado de Primera Instancia e Instrucción núm. 2 de Haro (información previa 142-2013), en el que el recurrente había tomado posesión como secretario judicial mes y medio antes. En el informe de la unidad, de 15 de julio de 2013, se ponía de relieve que la situación del juzgado era “muy satisfactoria”, y como “propuesta externa” se proponía que “por el secretario de gobierno se procediera a un seguimiento individualizado sobre el letrado de la administración de justicia para valorar su idoneidad y capacidad para el cargo”, consignándose una serie de deficiencias que se atribuían a don A.M.Z.</w:t>
      </w:r>
    </w:p>
    <w:p w:rsidR="005728DD" w:rsidRDefault="005728DD" w:rsidP="005728DD">
      <w:pPr>
        <w:pStyle w:val="TextoNormal"/>
      </w:pPr>
    </w:p>
    <w:p w:rsidR="005728DD" w:rsidRDefault="005728DD" w:rsidP="005728DD">
      <w:pPr>
        <w:pStyle w:val="TextoNormal"/>
      </w:pPr>
      <w:r>
        <w:t>c) El secretario de gobierno del Tribunal Superior de Justicia de La Rioja elaboró un primer informe de seguimiento el 25 de octubre de 2013, en el que reconocía haber indicios objetivos de incumplimiento de sus funciones, pero advertía que no parecía tratarse de un caso de indisciplina, sino de falta de preparación suficiente o de competencia, actitud y aptitud para ejercer como secretario judicial. Por esta razón se inició procedimiento de jubilación por incapacidad permanente del ahora recurrente en amparo. Sin embargo, por resolución de 31 de marzo de 2014, y a la vista del informe del equipo de valoración de incapacidades del Instituto Nacional de la Seguridad Social, el gerente territorial del Ministerio de Justicia en La Rioja concluyó que no procedía la jubilación por incapacidad permanente para el servicio de don A.M.Z. porque “el citado funcionario no está afectado por lesión o proceso patológico, estabilizado e irreversible o de incierta reversibilidad, que le imposibilite totalmente para las funciones que desempeña en su puesto de trabajo”.</w:t>
      </w:r>
    </w:p>
    <w:p w:rsidR="005728DD" w:rsidRDefault="005728DD" w:rsidP="005728DD">
      <w:pPr>
        <w:pStyle w:val="TextoNormal"/>
      </w:pPr>
    </w:p>
    <w:p w:rsidR="005728DD" w:rsidRDefault="005728DD" w:rsidP="005728DD">
      <w:pPr>
        <w:pStyle w:val="TextoNormal"/>
      </w:pPr>
      <w:r>
        <w:t>d) En este contexto, el 24 de junio de 2014 el secretario de gobierno del Tribunal Superior de Justicia de La Rioja acordó un seguimiento de la situación del juzgado. Mediante informe de 19 de mayo de 2015 propuso que se iniciase la vía disciplinaria, al advertirse deficiencias en la llevanza informática de la cuenta de consignaciones del juzgado y del sistema integrado de registros administrativos al servicio de la administración de justicia. En el curso de la inspección, que concluye con un informe final fechado el 24 de junio de 2015, se aprecian los siguientes hechos como motivos para la apertura del expediente disciplinario, que finalmente se recogen como hechos probados en la resolución recurrida:</w:t>
      </w:r>
    </w:p>
    <w:p w:rsidR="005728DD" w:rsidRDefault="005728DD" w:rsidP="005728DD">
      <w:pPr>
        <w:pStyle w:val="TextoNormal"/>
      </w:pPr>
    </w:p>
    <w:p w:rsidR="005728DD" w:rsidRDefault="005728DD" w:rsidP="005728DD">
      <w:pPr>
        <w:pStyle w:val="TextoNormal"/>
      </w:pPr>
      <w:r>
        <w:t>“A.- Desconoce la necesidad de visionar los juicios mientras se celebran […].</w:t>
      </w:r>
    </w:p>
    <w:p w:rsidR="005728DD" w:rsidRDefault="005728DD" w:rsidP="005728DD">
      <w:pPr>
        <w:pStyle w:val="TextoNormal"/>
      </w:pPr>
    </w:p>
    <w:p w:rsidR="005728DD" w:rsidRDefault="005728DD" w:rsidP="005728DD">
      <w:pPr>
        <w:pStyle w:val="TextoNormal"/>
      </w:pPr>
      <w:r>
        <w:t>B.- Reiterada negligencia y retraso injustificado en el cumplimiento de la función de velar por la exactitud de la información transmitida a los registros centrales que conforman el sistema integrado de registros al servicio de la administración de justicia […].</w:t>
      </w:r>
    </w:p>
    <w:p w:rsidR="005728DD" w:rsidRDefault="005728DD" w:rsidP="005728DD">
      <w:pPr>
        <w:pStyle w:val="TextoNormal"/>
      </w:pPr>
    </w:p>
    <w:p w:rsidR="005728DD" w:rsidRDefault="005728DD" w:rsidP="005728DD">
      <w:pPr>
        <w:pStyle w:val="TextoNormal"/>
      </w:pPr>
      <w:r>
        <w:t>C.- Reiterada negligencia y retraso injustificado en el cumplimiento de la función de responder por el debido depósito de las cantidades, valores, consignaciones y fianzas, siguiendo instrucciones que al efecto se dicten […].</w:t>
      </w:r>
    </w:p>
    <w:p w:rsidR="005728DD" w:rsidRDefault="005728DD" w:rsidP="005728DD">
      <w:pPr>
        <w:pStyle w:val="TextoNormal"/>
      </w:pPr>
    </w:p>
    <w:p w:rsidR="005728DD" w:rsidRDefault="005728DD" w:rsidP="005728DD">
      <w:pPr>
        <w:pStyle w:val="TextoNormal"/>
      </w:pPr>
      <w:r>
        <w:lastRenderedPageBreak/>
        <w:t>D- Incumplimiento de forma reiterada de la obligación de organización, gestión, inspección y dirección del personal en aspectos técnicos procesales y dirección técnico procesal del personal integrante de su oficina judicial […]”.</w:t>
      </w:r>
    </w:p>
    <w:p w:rsidR="005728DD" w:rsidRDefault="005728DD" w:rsidP="005728DD">
      <w:pPr>
        <w:pStyle w:val="TextoNormal"/>
      </w:pPr>
    </w:p>
    <w:p w:rsidR="005728DD" w:rsidRDefault="005728DD" w:rsidP="005728DD">
      <w:pPr>
        <w:pStyle w:val="TextoNormal"/>
      </w:pPr>
      <w:r>
        <w:t>En el citado informe final, que avalaba el uso de la vía disciplinaria, se afirma que “[s]i conforme al equipo de valoración de incapacidades don A.M.Z., está totalmente posibilitado para las funciones que desempeña en su puesto de trabajo, de las posibles irregularidades detectadas por la inspección del CGPJ, sería responsable directo don [A.M.Z.]” (pág. 4).</w:t>
      </w:r>
    </w:p>
    <w:p w:rsidR="005728DD" w:rsidRDefault="005728DD" w:rsidP="005728DD">
      <w:pPr>
        <w:pStyle w:val="TextoNormal"/>
      </w:pPr>
    </w:p>
    <w:p w:rsidR="005728DD" w:rsidRDefault="005728DD" w:rsidP="005728DD">
      <w:pPr>
        <w:pStyle w:val="TextoNormal"/>
      </w:pPr>
      <w:r>
        <w:t>e) El expediente disciplinario se incoa formalmente por acuerdo del secretario de gobierno del Tribunal Superior de Justicia de La Rioja de 8 de julio de 2015, en el que se afirma —apartado cuarto— que “ha sido descartada la posibilidad de que las disfunciones detectadas se deban a razones médicas”, y se plantea la posible comisión de una falta muy grave del art. 154.7, así como de una falta grave del art. 155.10, ambos del Reglamento Orgánico del cuerpo de secretarios judiciales.</w:t>
      </w:r>
    </w:p>
    <w:p w:rsidR="005728DD" w:rsidRDefault="005728DD" w:rsidP="005728DD">
      <w:pPr>
        <w:pStyle w:val="TextoNormal"/>
      </w:pPr>
    </w:p>
    <w:p w:rsidR="005728DD" w:rsidRDefault="005728DD" w:rsidP="005728DD">
      <w:pPr>
        <w:pStyle w:val="TextoNormal"/>
      </w:pPr>
      <w:r>
        <w:t>Tras haber omitido notificar al ahora recurrente el acuerdo de incoación del procedimiento disciplinario —lo que se tradujo en una primera nulidad de actuaciones—, la instructora tomó declaración el 4 de agosto de 2015 a cuatro testigos anónimos, que testificaron sin intervención alguna ni del letrado representante de don A.M.Z. ni de este mismo, quedando consignada su identidad individual en “sobre aparte de carácter reservado” (testigos secretos) al que el expedientado no tuvo acceso. Además, la instructora admitió también la declaración de un testigo espontáneo de cargo sin dar intervención en ella ni al expedientado ni a su representante letrado (testigo-sorpresa).</w:t>
      </w:r>
    </w:p>
    <w:p w:rsidR="005728DD" w:rsidRDefault="005728DD" w:rsidP="005728DD">
      <w:pPr>
        <w:pStyle w:val="TextoNormal"/>
      </w:pPr>
    </w:p>
    <w:p w:rsidR="005728DD" w:rsidRDefault="005728DD" w:rsidP="005728DD">
      <w:pPr>
        <w:pStyle w:val="TextoNormal"/>
      </w:pPr>
      <w:r>
        <w:t>En la contestación al pliego de cargos formulado el 2 de septiembre de 2015 el recurrente reveló sufrir síndrome de Asperger (información que se había reservado hasta ese momento alegando que lo consideraba perteneciente al ámbito de su intimidad), y aportó informe psiquiátrico con tal diagnóstico del doctor que venía tratándole desde el año 2002; propuso que la instructora acordara una diligencia de reconocimiento psiquiátrico para confirmarlo, ofrecimiento que no fue aceptado; alegó una posible discriminación por razón de discapacidad (art. 14 CE) en la actuación administrativa dirigida a apartarle del servicio, así como el derecho a “ajustes razonables” en su puesto de trabajo, conforme a las normas que regulan los derechos de las personas discapacitadas; y denunció la vulneración de su derecho a un proceso con todas las garantías y a la presunción de inocencia (por la práctica de la testifical anónima y la del testigo-sorpresa).</w:t>
      </w:r>
    </w:p>
    <w:p w:rsidR="005728DD" w:rsidRDefault="005728DD" w:rsidP="005728DD">
      <w:pPr>
        <w:pStyle w:val="TextoNormal"/>
      </w:pPr>
    </w:p>
    <w:p w:rsidR="005728DD" w:rsidRDefault="005728DD" w:rsidP="005728DD">
      <w:pPr>
        <w:pStyle w:val="TextoNormal"/>
      </w:pPr>
      <w:r>
        <w:t xml:space="preserve">f) La propuesta de resolución se formuló el 13 de noviembre de 2015, solicitando la imposición de una multa de 1000 € por la infracción grave del art. 155.10 del Reglamento Orgánico del cuerpo de secretarios judiciales y una sanción de suspensión de dieciocho meses o de traslado forzoso por la infracción muy grave del art. 154.7 del mismo reglamento. El recurrente presentó sus alegaciones argumentando la falta de valoración de las alegaciones y pruebas de descargo, al entender que, de habérsele permitido acreditar debidamente su discapacidad, los hechos que determinan las infracciones impugnadas no serían sino manifestaciones de la discapacidad que sufre y que dificulta el desempeño de su trabajo. En este trámite el ahora recurrente en amparo invocó el derecho protector de las personas discapacitadas, y la obligación de la Administración General del Estado de adoptar medidas de ajuste razonable compensadoras de su discapacidad, pidiendo expresamente la satisfacción </w:t>
      </w:r>
      <w:r>
        <w:lastRenderedPageBreak/>
        <w:t>del correlativo derecho del expedientado. Exponiendo que simultáneamente se estaba desarrollando un procedimiento administrativo de reconocimiento de discapacidad, tras solicitar el sobreseimiento del procedimiento administrativo sancionador o su suspensión hasta que el de reconocimiento de la discapacidad fuera firme, dio cuenta a la administración de la resolución de 10 de febrero de 2016 del Gobierno de La Rioja reconociéndole un “trastorno del desarrollo de etiología no filiada”, con una discapacidad del 10 por 100.</w:t>
      </w:r>
    </w:p>
    <w:p w:rsidR="005728DD" w:rsidRDefault="005728DD" w:rsidP="005728DD">
      <w:pPr>
        <w:pStyle w:val="TextoNormal"/>
      </w:pPr>
    </w:p>
    <w:p w:rsidR="005728DD" w:rsidRDefault="005728DD" w:rsidP="005728DD">
      <w:pPr>
        <w:pStyle w:val="TextoNormal"/>
      </w:pPr>
      <w:r>
        <w:t>g) Mediante resolución de la Secretaría de Estado de Justicia de 8 de junio de 2016, por delegación del ministro, se le impuso la sanción disciplinaria de suspensión de empleo y sueldo de un año y un día por la comisión de una falta muy grave tipificada en el art. 154.7 del Reglamento Orgánico del cuerpo de secretarios judiciales y en el art. 46</w:t>
      </w:r>
      <w:r w:rsidRPr="005728DD">
        <w:rPr>
          <w:i/>
        </w:rPr>
        <w:t>8 b</w:t>
      </w:r>
      <w:r>
        <w:t>is.1 h) LOPJ.</w:t>
      </w:r>
    </w:p>
    <w:p w:rsidR="005728DD" w:rsidRDefault="005728DD" w:rsidP="005728DD">
      <w:pPr>
        <w:pStyle w:val="TextoNormal"/>
      </w:pPr>
    </w:p>
    <w:p w:rsidR="005728DD" w:rsidRDefault="005728DD" w:rsidP="005728DD">
      <w:pPr>
        <w:pStyle w:val="TextoNormal"/>
      </w:pPr>
      <w:r>
        <w:t>En la resolución, como respuesta a las alegaciones del letrado de la administración de justicia relacionadas con su discapacidad se afirma que “si conforme al equipo de valoración de incapacidades don [A.M.Z.], está totalmente posibilitado para las funciones que desempeña en su puesto de trabajo, de las irregularidades detectadas por el servicio de inspección del CGPJ y posteriormente por el seguimiento del secretario de gobierno del Tribunal Superior de Justicia de La Rioja, sería responsable directo don [A.M.Z.]”, de modo que descartado que “la razón de las disfunciones del inspeccionado sean médicas, no cabe sino concluir que el inspeccionado incumplió de forma reiterada con las funciones inherentes a su cargo como letrado de la administración de justicia”. Y declara que de la instrucción desarrollada ha quedado demostrado una reiterada negligencia y retraso injustificado en el cumplimiento sus obligaciones, y que “[a]unque se ha podido comprobar una importante corrección de las disfunciones detectadas”, destaca que para ello fue necesario darle traslado de diversos informes de seguimiento y de la inspección de la que fue objeto.</w:t>
      </w:r>
    </w:p>
    <w:p w:rsidR="005728DD" w:rsidRDefault="005728DD" w:rsidP="005728DD">
      <w:pPr>
        <w:pStyle w:val="TextoNormal"/>
      </w:pPr>
    </w:p>
    <w:p w:rsidR="005728DD" w:rsidRDefault="005728DD" w:rsidP="005728DD">
      <w:pPr>
        <w:pStyle w:val="TextoNormal"/>
      </w:pPr>
      <w:r>
        <w:t>Por lo que hace a los efectos concretos de la sanción, y teniendo en cuenta que el recurrente en amparo ya no prestaba servicios en el Juzgado de Primera Instancia e Instrucción núm. 2 de Haro, como las sanciones superiores a seis meses comportan la pérdida de destino (art. 70.2 del Reglamento Orgánico del cuerpo de secretarios judiciales), la ejecución de la sanción a partir del 6 de noviembre de 2017 supuso la pérdida de su último destino en el Juzgado de Primera Instancia e Instrucción núm. 1 de Torrelaguna (Orden JUS/459/2018, de 23 de abril), en donde alegaba estar bien integrado.</w:t>
      </w:r>
    </w:p>
    <w:p w:rsidR="005728DD" w:rsidRDefault="005728DD" w:rsidP="005728DD">
      <w:pPr>
        <w:pStyle w:val="TextoNormal"/>
      </w:pPr>
    </w:p>
    <w:p w:rsidR="005728DD" w:rsidRDefault="005728DD" w:rsidP="005728DD">
      <w:pPr>
        <w:pStyle w:val="TextoNormal"/>
      </w:pPr>
      <w:r>
        <w:t>h) Contra la resolución sancionadora, la representación procesal del demandante de amparo promovió recurso contencioso-administrativo, por el procedimiento especial de protección de los derechos fundamentales, denunciando discriminación por causa de discapacidad no incapacitante (art. 14 CE); vulneración del derecho fundamental a la integridad moral (art. 15 CE); lesión del derecho a mantenerse sin perturbaciones ilegítimas en el desempeño de su función como letrado de la administración de justicia (art. 23.2 CE); violación del derecho a la prueba pertinente para su defensa y al proceso con todas las garantías y a la defensa (art. 24.2 CE) y vulneración del derecho a la presunción de inocencia (art. 24.2 CE).</w:t>
      </w:r>
    </w:p>
    <w:p w:rsidR="005728DD" w:rsidRDefault="005728DD" w:rsidP="005728DD">
      <w:pPr>
        <w:pStyle w:val="TextoNormal"/>
      </w:pPr>
    </w:p>
    <w:p w:rsidR="005728DD" w:rsidRDefault="005728DD" w:rsidP="005728DD">
      <w:pPr>
        <w:pStyle w:val="TextoNormal"/>
      </w:pPr>
      <w:r>
        <w:t xml:space="preserve">En la demanda se argumenta que, al sufrir síndrome de Asperger, como resulta de la pericial que aporta y de la resolución de 10 de febrero de 2016 del Gobierno de La Rioja que le reconoce un trastorno del desarrollo de etiología no filiada, con una discapacidad del </w:t>
      </w:r>
      <w:r>
        <w:lastRenderedPageBreak/>
        <w:t>10 por 100, tenía derecho a beneficiarse de medidas de ajuste razonable a su puesto de trabajo, pese a lo cual, la administración de justicia le incoó un expediente de jubilación por incapacidad que, una vez fracasado, fue seguido de un procedimiento sancionador en el que se le causó indefensión. La demanda solicita la anulación de la resolución recurrida, con reposición, en su caso, a tenor de la violación de derecho fundamental apreciada de las actuaciones, al momento en cada supuesto pertinente. Ejercita también pretensión de plena jurisdicción, reclamando que se reconozcan con su íntegro contenido constitucional los derechos fundamentales lesionados.</w:t>
      </w:r>
    </w:p>
    <w:p w:rsidR="005728DD" w:rsidRDefault="005728DD" w:rsidP="005728DD">
      <w:pPr>
        <w:pStyle w:val="TextoNormal"/>
      </w:pPr>
    </w:p>
    <w:p w:rsidR="005728DD" w:rsidRDefault="005728DD" w:rsidP="005728DD">
      <w:pPr>
        <w:pStyle w:val="TextoNormal"/>
      </w:pPr>
      <w:r>
        <w:t>i) El recurso fue estimado parcialmente por sentencia 134/2016 del Juzgado Central de lo Contencioso-Administrativo núm. 6, de 11 de noviembre de 2016.</w:t>
      </w:r>
    </w:p>
    <w:p w:rsidR="005728DD" w:rsidRDefault="005728DD" w:rsidP="005728DD">
      <w:pPr>
        <w:pStyle w:val="TextoNormal"/>
      </w:pPr>
    </w:p>
    <w:p w:rsidR="005728DD" w:rsidRDefault="005728DD" w:rsidP="005728DD">
      <w:pPr>
        <w:pStyle w:val="TextoNormal"/>
      </w:pPr>
      <w:r>
        <w:t>En relación con la vulneración de los derechos fundamentales reconocidos en los arts. 14, 15 y 23.2 CE, el juzgado razona que no existen indicios de que la actuación administrativa impugnada sea discriminatoria por causa de discapacidad, ni que esté afectada de desviación de poder por atentar contra la integridad moral del recurrente o lesionar el derecho al ejercicio de la función. El juzgado rechaza que pueda considerarse como indicio el hecho de que el expediente sancionador se iniciara tras haberse seguido un procedimiento de jubilación por incapacidad permanente que concluyó declarando que no procedía la jubilación por tal motivo, por no estar afectado por enfermedad o patología alguna que le impidiese el ejercicio de su profesión habitual. Destaca en particular que la administración no conocía que el recurrente sufriera alguna enfermedad incapacitante, ya que el demandante —que había ocupado antes otros dos destinos sin que en ellos conste que hubiese tenido problemas derivados del ejercicio de su función— no lo había puesto en conocimiento del Ministerio de Justicia, ni había reclamado la adecuación de su puesto de trabajo o la adopción de medidas compensatorias, si procedieren, a las exigencia derivadas de la enfermedad que padece. Constata, además, que el reconocimiento de discapacidad leve del recurrente es de 16 de febrero de 2016, sin que constase que dicha resolución hubiera sido recurrida por el demandante. Rechaza también la alegación de que corresponde a la administración la prueba de que su actuación no ha sido discriminatoria, puesto que el artículo 77 del Real Decreto Legislativo 1/2013, de 29 de noviembre, por el que se aprueba el texto refundido de la Ley general de derechos de las personas con discapacidad y de su inclusión social excluye que la regla de la inversión de la carga de la prueba sea de aplicación a los procesos penales o a los contencioso-administrativos interpuestos contra resoluciones sancionadoras. Por otra parte, del examen de la prueba pericial médica aportada por el recurrente el juzgado concluye que, más allá de establecer el diagnóstico de síndrome de Asperger y su evolución, no aporta dato alguno relevante, ni indicio que permita tener por acreditado que el recurrente ha sido objeto de acoso y de discriminación por razón de discapacidad.</w:t>
      </w:r>
    </w:p>
    <w:p w:rsidR="005728DD" w:rsidRDefault="005728DD" w:rsidP="005728DD">
      <w:pPr>
        <w:pStyle w:val="TextoNormal"/>
      </w:pPr>
    </w:p>
    <w:p w:rsidR="005728DD" w:rsidRDefault="005728DD" w:rsidP="005728DD">
      <w:pPr>
        <w:pStyle w:val="TextoNormal"/>
      </w:pPr>
      <w:r>
        <w:t xml:space="preserve">En relación con los derechos reconocidos en el art. 24.2 CE, el juzgado estima que la toma de declaraciones a testigos anónimos vulneró el derecho del recurrente a un proceso con todas las garantías, a la defensa y a la prueba (art. 24.2 CE), puesto que el expedientado, al desconocer que iban a realizarse y la identidad de quienes las prestaron, no pudo intervenir en su práctica ni contradecirlas con plenitud de medios de defensa. Considera que esos testimonios fueron relevantes en el dictado de la resolución impugnada y que la reserva de la identidad de los testigos se mantuvo sin fundamento solvente, ni apoyo legal expreso. Por </w:t>
      </w:r>
      <w:r>
        <w:lastRenderedPageBreak/>
        <w:t>último, la sentencia desestima la alegada vulneración del derecho a la presunción de inocencia y del derecho a la legalidad sancionadora, ya que se ha practicado una actividad probatoria suficiente a efectos de tener por salvaguardado el derecho a la presunción de inocencia.</w:t>
      </w:r>
    </w:p>
    <w:p w:rsidR="005728DD" w:rsidRDefault="005728DD" w:rsidP="005728DD">
      <w:pPr>
        <w:pStyle w:val="TextoNormal"/>
      </w:pPr>
    </w:p>
    <w:p w:rsidR="005728DD" w:rsidRDefault="005728DD" w:rsidP="005728DD">
      <w:pPr>
        <w:pStyle w:val="TextoNormal"/>
      </w:pPr>
      <w:r>
        <w:t>El fallo declara que la sanción es disconforme a derecho, anulándola y ordenando retrotraer las actuaciones a la propuesta de resolución, para su formulación “sin hacer mención ni tener en cuenta” las declaraciones testificales vulneradoras del art. 24.2 CE, “ni siquiera para corroborar el resultado de otras pruebas legalmente obtenidas, siguiendo después el curso del expediente hasta dictar la resolución que en Derecho proceda”.</w:t>
      </w:r>
    </w:p>
    <w:p w:rsidR="005728DD" w:rsidRDefault="005728DD" w:rsidP="005728DD">
      <w:pPr>
        <w:pStyle w:val="TextoNormal"/>
      </w:pPr>
    </w:p>
    <w:p w:rsidR="005728DD" w:rsidRDefault="005728DD" w:rsidP="005728DD">
      <w:pPr>
        <w:pStyle w:val="TextoNormal"/>
      </w:pPr>
      <w:r>
        <w:t>j) Ambas partes interpusieron recurso de apelación contra la sentencia ante la Sala de lo Contencioso-Administrativo de la Audiencia Nacional, al tiempo que proseguían las actuaciones administrativas.</w:t>
      </w:r>
    </w:p>
    <w:p w:rsidR="005728DD" w:rsidRDefault="005728DD" w:rsidP="005728DD">
      <w:pPr>
        <w:pStyle w:val="TextoNormal"/>
      </w:pPr>
    </w:p>
    <w:p w:rsidR="005728DD" w:rsidRDefault="005728DD" w:rsidP="005728DD">
      <w:pPr>
        <w:pStyle w:val="TextoNormal"/>
      </w:pPr>
      <w:r>
        <w:t>Así, de un lado la administración dictó nueva propuesta de resolución eliminando la referencia a los testimonios anulados, pero manteniendo idéntica sanción por resolución del Ministerio de Justicia de 23 de marzo de 2017, confirmada por resolución del Ministerio de Justicia de 18 de septiembre de 2017. Contra ambas se interpuso recurso contencioso-administrativo, que fue suspendido por el Juzgado Central núm. 5, a la espera de lo que resultara de la impugnación de la primera resolución sancionadora.</w:t>
      </w:r>
    </w:p>
    <w:p w:rsidR="005728DD" w:rsidRDefault="005728DD" w:rsidP="005728DD">
      <w:pPr>
        <w:pStyle w:val="TextoNormal"/>
      </w:pPr>
    </w:p>
    <w:p w:rsidR="005728DD" w:rsidRDefault="005728DD" w:rsidP="005728DD">
      <w:pPr>
        <w:pStyle w:val="TextoNormal"/>
      </w:pPr>
      <w:r>
        <w:t>En paralelo, la sentencia de la Sección Tercera de la Sala de lo Contencioso-Administrativo de la Audiencia Nacional de 22 de junio de 2017 desestima el recurso de apelación del recurrente estimando el del abogado del Estado. La resolución declara que no ha habido lesión de los derechos fundamentales de don A.M.Z., porque la sanción impuesta podía mantenerse con la sola prueba documental de cargo que existía, siendo la testifical anónima meramente corroboradora de esta, por lo que no procede anular las actuaciones y retrotraer el expediente, sino simplemente prescindir de esa prueba confirmando la resolución.</w:t>
      </w:r>
    </w:p>
    <w:p w:rsidR="005728DD" w:rsidRDefault="005728DD" w:rsidP="005728DD">
      <w:pPr>
        <w:pStyle w:val="TextoNormal"/>
      </w:pPr>
    </w:p>
    <w:p w:rsidR="005728DD" w:rsidRDefault="005728DD" w:rsidP="005728DD">
      <w:pPr>
        <w:pStyle w:val="TextoNormal"/>
      </w:pPr>
      <w:r>
        <w:t xml:space="preserve">En cuanto a la discapacidad, considera que un procedimiento disciplinario no es el cauce adecuado para pedir las medidas de ajuste reclamadas al amparo de la Ley general de derechos de las personas con discapacidad y rechaza la tesis de la discriminación por discapacidad. Considera que dicho motivo se asienta sobre una norma que no puede aplicarse al apelante por razones subjetivas, ya que el artículo 4 de la Ley general de derechos de las personas con discapacidad define el ámbito subjetivo de la ley considerando persona discapacitada a la que tenga una discapacidad reconocida de más del 33 por 100, en tanto que la discapacidad reconocida por el órgano competente de la comunidad de La Rioja al apelante es del 10 por 100, lo que le excluye de la posibilidad de ser acreedor de las medidas contempladas en la norma. Además, según el Real Decreto 1971/1999, de procedimiento para el reconocimiento, declaración y calificación del grado de minusvalía, una discapacidad leve (entre 1 y 24 por 100) permite “realizar una vida autónoma y una actividad laboral normalizada salvo periodos de descompensación”, sin precisar especiales medidas de protección o adaptación. La sentencia añade que al incoarse el procedimiento disciplinario no se tenía conocimiento de la discapacidad del recurrente por lo que no pudo haber discriminación por razón de esa circunstancia, y que este tampoco acredita que durante el seguimiento y las actuaciones disciplinarias hubiera caído en crisis o limitación especial. Por último, concluye que los incumplimientos son ajenos a las habilidades de relación social del </w:t>
      </w:r>
      <w:r>
        <w:lastRenderedPageBreak/>
        <w:t>recurrente, y destaca que no se ha alegado ni probado que esta carencia de habilidades sociales haya tenido manifestaciones específicas en los anteriores destinos del interesado, o que haya precisado medidas de apoyo complementario.</w:t>
      </w:r>
    </w:p>
    <w:p w:rsidR="005728DD" w:rsidRDefault="005728DD" w:rsidP="005728DD">
      <w:pPr>
        <w:pStyle w:val="TextoNormal"/>
      </w:pPr>
    </w:p>
    <w:p w:rsidR="005728DD" w:rsidRDefault="005728DD" w:rsidP="005728DD">
      <w:pPr>
        <w:pStyle w:val="TextoNormal"/>
      </w:pPr>
      <w:r>
        <w:t>k) Finalmente, la representación procesal del recurrente planteó recurso de casación que fue inadmitido a trámite por providencia de 26 de abril de 2018 de la Sección Primera de la Sala de lo Contencioso-Administrativo del Tribunal Supremo, que considera que la controversia es fundamentalmente fáctica, sin que quepa identificar en el escrito de preparación cuestión jurídica a interpretar con alcance general que conecte con la razón de decidir de la sentencia.</w:t>
      </w:r>
    </w:p>
    <w:p w:rsidR="005728DD" w:rsidRDefault="005728DD" w:rsidP="005728DD">
      <w:pPr>
        <w:pStyle w:val="TextoNormal"/>
      </w:pPr>
    </w:p>
    <w:p w:rsidR="005728DD" w:rsidRDefault="005728DD" w:rsidP="005728DD">
      <w:pPr>
        <w:pStyle w:val="TextoNormal"/>
      </w:pPr>
      <w:r w:rsidRPr="005728DD">
        <w:rPr>
          <w:rStyle w:val="NumeroAFNegritaCaracter"/>
        </w:rPr>
        <w:t>3</w:t>
      </w:r>
      <w:r>
        <w:t>. El recurso de amparo se dirige frente a la resolución la secretaria de Estado de Justicia (por delegación del señor ministro de Justicia) de 8 de junio de 2016, mediante la que se impone al recurrente la sanción disciplinaria en cuestión, y, subsidiariamente, frente a la sentencia dictada por la Sección Tercera de la Sala de lo Contencioso-Administrativo de la Audiencia Nacional el 22 de junio de 2017, dictada en apelación, por la que se desestima íntegramente el recurso contencioso-administrativo del recurrente confirmando la resolución impugnada. La demanda plantea las siguientes quejas constitucionales: en primer lugar, atribuye a la resolución sancionadora de 8 de junio de 2016 (i) violación del derecho a no sufrir discriminación por razón de discapacidad (art. 14 CE); (ii) violación de los derechos al proceso con todas las garantías y a la presunción de inocencia (art. 24.2 CE) por la utilización de los testigos anónimos y un testigo-sorpresa; y (iii) violación del derecho a la presunción de inocencia por la motivación insuficiente de la resolución sancionadora en lo que se refiere a las alegaciones de descargo del expedientado. Por lo que se refiere a la sentencia de la Audiencia Nacional de 22 de junio de 2017, que estima el recurso de apelación del abogado del Estado, le atribuye también violación del derecho a no ser discriminado (art. 14 CE) y a los derechos al proceso con todas las garantías y a la presunción de inocencia (art. 24.2 CE).</w:t>
      </w:r>
    </w:p>
    <w:p w:rsidR="005728DD" w:rsidRDefault="005728DD" w:rsidP="005728DD">
      <w:pPr>
        <w:pStyle w:val="TextoNormal"/>
      </w:pPr>
    </w:p>
    <w:p w:rsidR="005728DD" w:rsidRDefault="005728DD" w:rsidP="005728DD">
      <w:pPr>
        <w:pStyle w:val="TextoNormal"/>
      </w:pPr>
      <w:r>
        <w:t>a) Respecto de la violación del derecho del recurrente a no ser discriminado por causa de discapacidad, protegido por el art. 14 CE, la demanda invoca la doctrina constitucional sobre el régimen protector de las personas discapacitadas frente a la discriminación que recoge la STC 3/2018, y cuestiona el silencio o negativa de la administración en relación con el panorama indiciario de discriminación que a su juicio revelan los hechos expuestos. Entiende que la resolución sancionadora se limita a considerar las disfunciones en la llevanza o dirección de la oficina judicial haciendo abstracción de que pueden ser manifestación de la discapacidad del recurrente, que se manifiesta en contextos de tensión y estrés. Afirma que la graduación de la discapacidad del actor en un 10 por 100 puede ser engañosa y que, tal como advierte el capítulo 16 del anexo 1.A del Real Decreto 1971/1999, de 23 de diciembre, las discapacidades psiquiátricas graduadas leves pueden perturbar la actividad laboral si hay aumento de “estrés psicosocial o descompensación”, como expresamente afirma que ocurre con don A.M.Z., el informe psiquiátrico aportado por el recurrente.</w:t>
      </w:r>
    </w:p>
    <w:p w:rsidR="005728DD" w:rsidRDefault="005728DD" w:rsidP="005728DD">
      <w:pPr>
        <w:pStyle w:val="TextoNormal"/>
      </w:pPr>
    </w:p>
    <w:p w:rsidR="005728DD" w:rsidRDefault="005728DD" w:rsidP="005728DD">
      <w:pPr>
        <w:pStyle w:val="TextoNormal"/>
      </w:pPr>
      <w:r>
        <w:t xml:space="preserve">Considera que existe un panorama indiciario de discriminación y que las alegaciones del recurrente contra la resolución sancionadora no prosperaron por una incorrecta aplicación del artículo 77 de la Ley general de derechos de las personas con discapacidad que rige en todos los procedimientos administrativos (también en los disciplinarios) por aplicación de la doctrina constitucional relativa a las discriminaciones prohibidas por el art. 14 CE (con </w:t>
      </w:r>
      <w:r>
        <w:lastRenderedPageBreak/>
        <w:t>cita, en particular, de la STC 31/2014, de 24 de febrero). El panorama indiciario de discriminación, que pondría de manifiesto que la administración percibía la existencia de una posible discapacidad, vendría dado por: la incoación y fracaso del procedimiento de jubilación por incapacidad de don A.M.Z.; el cambio de criterio de la administración al no prosperar la jubilación por incapacidad, pasando a tratarse como una cuestión disciplinaria, excluyendo la aplicación de la legislación sobre derechos de los discapacitados; la secuencia de seguimientos e inspecciones entre diciembre de 2014 y mayo de 2015, en las que hubo un solo intento de formación (en relación con la llevanza de las cuentas de consignaciones y el sistema integrado de registros administrativos al servicio de la administración de justicia) que compensó en parte las dificultades que experimentaba el recurrente en estos aspectos, de forma que en la propia resolución sancionadora se reconoce “una importante corrección de las disfunciones detectadas” (fundamento 7); la solicitud de medidas de ajuste razonable en las alegaciones a la propuesta de resolución sancionadora, sobre la que esta no se pronuncia. Considera la demanda que la administración ignoró la Convención sobre los derechos de las personas con discapacidad y su protocolo facultativo, ambos de 13 de diciembre de 2006, ratificados por España el 23 de noviembre de 2007), el derecho de la Unión Europea (la Directiva 2000/78/CE del Consejo, relativa al establecimiento de un marco general para la igualdad de trato en el empleo y la ocupación) y la legislación interna sobre derechos de las personas discapacitadas. La demanda denuncia que ninguna de las sentencias de instancia entra a estudiar y valorar el panorama indiciario de la discriminación, ni examinando uno por uno los indicios ni apreciándolos conjuntamente, y ello fundamentalmente por no interpretar y aplicar correctamente el art. 77 de la Ley general de derechos de las personas con discapacidad.</w:t>
      </w:r>
    </w:p>
    <w:p w:rsidR="005728DD" w:rsidRDefault="005728DD" w:rsidP="005728DD">
      <w:pPr>
        <w:pStyle w:val="TextoNormal"/>
      </w:pPr>
    </w:p>
    <w:p w:rsidR="005728DD" w:rsidRDefault="005728DD" w:rsidP="005728DD">
      <w:pPr>
        <w:pStyle w:val="TextoNormal"/>
      </w:pPr>
      <w:r>
        <w:t xml:space="preserve">Por lo que se refiere a la vulneración de este derecho específicamente por la sentencia de 22 de junio de 2017, de la Sección Tercera de la Sala de lo Contencioso-Administrativo de la Audiencia Nacional, la demanda conecta la invocación del art. 14 CE con los artículos 4 (apartados 1 y 2), 63 y 64.2 de la Ley general de derechos de las personas con discapacidad, argumentando que el rechazo de la sentencia a que el apelante haya podido ser discriminado por discapacidad por considerar que queda fuera del “ámbito subjetivo” de dicha ley incurre en una interpretación </w:t>
      </w:r>
      <w:r w:rsidRPr="005728DD">
        <w:rPr>
          <w:i/>
        </w:rPr>
        <w:t>contra legem</w:t>
      </w:r>
      <w:r>
        <w:t xml:space="preserve"> de sus disposiciones. La audiencia considera como discapacitados únicamente a quienes se haya reconocido un grado de discapacidad igual o superior al 33 por 100 conforme al art. 4.2 de la ley; sin embargo, obvia que el art. 4.1 de la misma establece que: “Son personas con discapacidad aquellas que presentan deficiencias físicas, mentales, intelectuales o sensoriales, previsiblemente permanentes que, al interactuar con diversas barreras, puedan impedir su participación plena y efectiva en la sociedad, en igualdad de condiciones con los demás”, en línea con el art. 1 de la Convención de la Organización de Naciones Unidas (ONU). El art. 4.2 de la ley añade a dicha definición general que “[a]demás de lo establecido en el apartado anterior, y a todos los efectos, tendrán la consideración de personas con discapacidad aquellas a quienes se les haya reconocido un grado de discapacidad igual o superior al 33 por 100”. Por tanto, no se excluye del ámbito de aplicación de dicha ley a las personas que puedan cumplir la definición del art. 4.1 y ser “personas con discapacidad” aunque carezcan de reconocimiento administrativo de su grado de discapacidad o lo tengan reconocido en porcentaje menor. Conclusión que considera avalada por el art. 63 de la ley, que dispone que “se vulnera el derecho a la igualdad de oportunidades de las personas con discapacidad, definidas en el artículo 4.1, cuando, por motivo de o por razón de discapacidad, se produzcan […] incumplimientos de las exigencias de accesibilidad y de realizar ajustes razonables, así como el incumplimiento de las medidas </w:t>
      </w:r>
      <w:r>
        <w:lastRenderedPageBreak/>
        <w:t>de acción positiva legalmente establecidas”. Así como por el apartado 2 del art. 64 según el cual “[l]as medidas de defensa, de arbitraje y de carácter judicial, contempladas en esta ley serán de aplicación a las situaciones previstas en el artículo 63, con independencia de la existencia de reconocimiento oficial de la situación de discapacidad o de su transitoriedad. En todo caso, las administraciones públicas velarán por evitar cualquier forma de discriminación que les afecte o pueda afectar”.</w:t>
      </w:r>
    </w:p>
    <w:p w:rsidR="005728DD" w:rsidRDefault="005728DD" w:rsidP="005728DD">
      <w:pPr>
        <w:pStyle w:val="TextoNormal"/>
      </w:pPr>
    </w:p>
    <w:p w:rsidR="005728DD" w:rsidRDefault="005728DD" w:rsidP="005728DD">
      <w:pPr>
        <w:pStyle w:val="TextoNormal"/>
      </w:pPr>
      <w:r>
        <w:t>b) En relación con la violación del derecho al proceso con todas las garantías y a la presunción de inocencia (art. 24.2 CE), la demanda alega que la resolución administrativa sancionadora en cuestión se asienta en pruebas testificales de cargo (los testigos anónimos y el testigo sorpresa) que violan los derechos fundamentales al procedimiento con todas las garantías, y a la presunción de inocencia, conforme a la doctrina constitucional que recoge la STC 75/2013, de 8 de abril, FJ 5, y a la doctrina del Tribunal Europeo de Derechos Humanos allí citada.</w:t>
      </w:r>
    </w:p>
    <w:p w:rsidR="005728DD" w:rsidRDefault="005728DD" w:rsidP="005728DD">
      <w:pPr>
        <w:pStyle w:val="TextoNormal"/>
      </w:pPr>
    </w:p>
    <w:p w:rsidR="005728DD" w:rsidRDefault="005728DD" w:rsidP="005728DD">
      <w:pPr>
        <w:pStyle w:val="TextoNormal"/>
      </w:pPr>
      <w:r>
        <w:t>Funda la violación del derecho a la presunción de inocencia (art. 24.2 CE) en una motivación insuficiente de la resolución sancionadora, que conduzca a un convencimiento sobre la culpabilidad del responsable “más allá de toda duda razonable” (STC 185/2014, de 6 de noviembre, FJ 3). Alega que la administración se ha abstenido de dar una respuesta suficiente y razonable a los argumentos motivando la existencia de una discriminación por discapacidad lesiva del art. 14 CE, así como a las demás violaciones de derechos fundamentales invocadas con fundamento en el art. 24.2 CE y 25.1 CE, incluida la violación relativa a los testigos anónimos y testigo sorpresa, sobre la que la resolución sancionadora no dice absolutamente nada. Ni siquiera menciona la prueba pericial psiquiátrica aportada y el acto administrativo de reconocimiento de discapacidad, de modo que la resolución sancionadora no satisface el estándar de motivación que impone el derecho fundamental a la presunción de inocencia por la inexistente o insuficiente valoración de alegaciones y pruebas de descargo que se basan en la violación de derechos fundamentales que no ha sido reparada en la vía judicial previa al amparo.</w:t>
      </w:r>
    </w:p>
    <w:p w:rsidR="005728DD" w:rsidRDefault="005728DD" w:rsidP="005728DD">
      <w:pPr>
        <w:pStyle w:val="TextoNormal"/>
      </w:pPr>
    </w:p>
    <w:p w:rsidR="005728DD" w:rsidRDefault="005728DD" w:rsidP="005728DD">
      <w:pPr>
        <w:pStyle w:val="TextoNormal"/>
      </w:pPr>
      <w:r>
        <w:t>Por su parte, la sentencia desestimatoria del recurso de apelación del recurrente en amparo vulnera el derecho a un proceso con todas las garantías y a la presunción de inocencia (art. 24.2 CE), en relación con la doctrina constitucional que prohíbe utilizar el proceso contencioso-administrativo para remediar las posibles lesiones de garantías constitucionales causadas por la administración en el ejercicio de su potestad sancionadora. Según la demanda, cuando la sentencia afirma que la prueba documental de cargo bastaba para justificar la sanción trivializa la vulneración de derechos fundamentales en que se incurrió en vía administrativa por el empleo de testigos de cargo anónimos o sorpresivos, hasta el punto de hacerla inocua para la administración que lesionó tales derechos, al tiempo que participa indebidamente en el ejercicio de una potestad represiva, cooperando en la represión disciplinaria en vez de controlarla. Así, la sentencia sana las vulneraciones de derechos fundamentales incurridos en la vía administrativa contra el criterio mantenido por la jurisprudencia constitucional (con cita de las SSTC 59/2004, de 19 de abril, FJ 4; 35/2006, de 13 de febrero, FJ 4, y 145/2011, de 26 de septiembre, FJ 5).</w:t>
      </w:r>
    </w:p>
    <w:p w:rsidR="005728DD" w:rsidRDefault="005728DD" w:rsidP="005728DD">
      <w:pPr>
        <w:pStyle w:val="TextoNormal"/>
      </w:pPr>
    </w:p>
    <w:p w:rsidR="005728DD" w:rsidRDefault="005728DD" w:rsidP="005728DD">
      <w:pPr>
        <w:pStyle w:val="TextoNormal"/>
      </w:pPr>
      <w:r>
        <w:t xml:space="preserve">Finalmente, se alega la lesión por parte de la sentencia de apelación, de los derechos al proceso con todas las garantías y a la presunción de inocencia al considerar que ha realizado una interpretación errónea del art. 11.1 LOPJ cuando preserva la validez de la resolución </w:t>
      </w:r>
      <w:r>
        <w:lastRenderedPageBreak/>
        <w:t>sancionadora. La demanda argumenta que el art. 11.1 LOPJ debió aplicarse en combinación con el art. 62.1 a) de la Ley de régimen jurídico de las administraciones públicas y del procedimiento administrativo común (LPC) que declara nulos los actos administrativos que lesionen los derechos fundamentales susceptibles de amparo constitucional (art. 53.2 CE). De modo que, puesto que la resolución sancionadora se fundamenta en una prueba de cargo testifical que viola el art. 24.2 CE, la consecuencia debió ser la declaración de nulidad de pleno derecho de la actuación.</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15 de octubre de 2018, la Sección Segunda de este tribunal, acordó la admisión a trámite del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En aplicación de lo previsto en el art. 51 LOTC, acordó dirigir atenta comunicación a la Sección Primera de la Sala de lo Contencioso-Administrativo del Tribunal Supremo, para que en el plazo de diez días remitiese certificación o fotocopia adverada de las actuaciones correspondientes al recurso de casación núm. 6040-2017, así como a la Sección Tercera de la Sala de lo Contencioso-Administrativo de la Audiencia Nacional y Juzgado Central de lo Contencioso-Administrativo núm. 6 a fin de que, en igual plazo, remitiesen certificación o fotocopia adverada de las actuaciones correspondientes respectivamente al rollo de apelación núm. 2-2017 y procedimiento especial para la protección de derechos fundamentales núm. 2-2016; debiendo previamente emplazarse, para que en el plazo de diez días pudieran comparecer, si así lo deseaban, en el recurso de amparo, a quienes hubieran sido parte en el procedimiento, excepto la parte recurrente en amparo. Se notificó también esta resolución a la abogacía del Estado, en representación de la administración para que en el plazo de diez días pudiera comparecer en el presente proceso constitucional, con traslado asimismo y a dichos efectos de copia de la demanda presentada.</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27 de noviembre de 2019 se acordó tener por personado y parte al abogado del Estado en nombre y representación de la administración del Estado, y con arreglo al art. 52 LOTC, conceder al Ministerio Fiscal y a las partes personadas plazo común de veinte días para que, con vista de las actuaciones, formulasen alegaciones.</w:t>
      </w:r>
    </w:p>
    <w:p w:rsidR="005728DD" w:rsidRDefault="005728DD" w:rsidP="005728DD">
      <w:pPr>
        <w:pStyle w:val="TextoNormal"/>
      </w:pPr>
    </w:p>
    <w:p w:rsidR="005728DD" w:rsidRDefault="005728DD" w:rsidP="005728DD">
      <w:pPr>
        <w:pStyle w:val="TextoNormal"/>
      </w:pPr>
      <w:r w:rsidRPr="005728DD">
        <w:rPr>
          <w:rStyle w:val="NumeroAFNegritaCaracter"/>
        </w:rPr>
        <w:t>6</w:t>
      </w:r>
      <w:r>
        <w:t>. El 30 de diciembre de 2018 tuvo entrara en este tribunal el escrito de alegaciones del recurrente en amparo, en las que tras dar por reproducida la demanda, pone en conocimiento del tribunal hechos sobrevenidos que considera relevantes en la resolución de este asunto, y añade algunas consideraciones complementarias en relación con la influencia del Derecho internacional y de la Unión en este asunto.</w:t>
      </w:r>
    </w:p>
    <w:p w:rsidR="005728DD" w:rsidRDefault="005728DD" w:rsidP="005728DD">
      <w:pPr>
        <w:pStyle w:val="TextoNormal"/>
      </w:pPr>
    </w:p>
    <w:p w:rsidR="005728DD" w:rsidRDefault="005728DD" w:rsidP="005728DD">
      <w:pPr>
        <w:pStyle w:val="TextoNormal"/>
      </w:pPr>
      <w:r>
        <w:t xml:space="preserve">Informa, en primer lugar, que el 11 de octubre de 2018, con efectos a partir del 3 de marzo de 2018, quedó resuelto el procedimiento de revisión del grado de discapacidad instando por el recurrente don A.M.Z., reconociéndosele un grado total de discapacidad del treinta y cuatro por ciento (34 por 100). Comunicada esta circunstancia al órgano competente de la secretaría general de la administración de justicia el 23 de octubre de 2018, para que constara en su expediente personal, solicitó que se le reconociera su derecho al ajuste </w:t>
      </w:r>
      <w:r>
        <w:lastRenderedPageBreak/>
        <w:t xml:space="preserve">razonable. El escrito alega que no puede discernirse en qué medida la nueva graduación es consecuencia de la pérdida de un entorno rehabilitador y de socialización resultante de la sanción disciplinaria o se limita a corregir el insuficiente grado previamente reconocido a don A.M.Z. en el informe de 10 de febrero de 2016. Finalmente, argumenta que la doctrina del Tribunal de Justicia de la Unión Europea en materia de discriminación, así como los tratados y acuerdos internacionales, y el Derecho derivado de la Unión Europea son criterios hermenéuticos del sentido y alcance de los derechos y libertades que la Constitución reconoce (STC 61/2013, de 14 de marzo, FJ 5), refiriéndose, entre otras, a la STJUE de 9 de marzo de 2017, C-406/15, asunto </w:t>
      </w:r>
      <w:r w:rsidRPr="005728DD">
        <w:rPr>
          <w:i/>
        </w:rPr>
        <w:t>Petya Milkova c. Izpalnitelen direktor na Agentsiata za privatizatsia i sledprivatizatsionen kontrol</w:t>
      </w:r>
      <w:r>
        <w:t>.</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de 3 de enero de 2019 tuvo entrada en el tribunal el escrito de alegaciones del abogado del Estado, interesando la inadmisión del recurso o, subsidiariamente, su desestimación.</w:t>
      </w:r>
    </w:p>
    <w:p w:rsidR="005728DD" w:rsidRDefault="005728DD" w:rsidP="005728DD">
      <w:pPr>
        <w:pStyle w:val="TextoNormal"/>
      </w:pPr>
    </w:p>
    <w:p w:rsidR="005728DD" w:rsidRDefault="005728DD" w:rsidP="005728DD">
      <w:pPr>
        <w:pStyle w:val="TextoNormal"/>
      </w:pPr>
      <w:r>
        <w:t>Alega esta parte que el recurso de amparo plantea en realidad una cuestión de legalidad ordinaria, de subsunción de los hechos en la norma legal aplicable y de admisión de medios de prueba por el tribunal de instancia que ya ha sido resuelta por la jurisdicción ordinaria, sin que pueda utilizarse el recurso de amparo como una ulterior instancia para tratar de obtener una nueva resolución.</w:t>
      </w:r>
    </w:p>
    <w:p w:rsidR="005728DD" w:rsidRDefault="005728DD" w:rsidP="005728DD">
      <w:pPr>
        <w:pStyle w:val="TextoNormal"/>
      </w:pPr>
    </w:p>
    <w:p w:rsidR="005728DD" w:rsidRDefault="005728DD" w:rsidP="005728DD">
      <w:pPr>
        <w:pStyle w:val="TextoNormal"/>
      </w:pPr>
      <w:r>
        <w:t>Considera que no concurre la necesidad de valorar ningún derecho fundamental porque no hay discriminación (art. 14 CE), en tanto que la discapacidad que padece el recurrente no le impide cometer infracciones; y porque no se ha desconocido ni dejado de tener en cuenta la incapacidad del funcionario recurrente en vía contenciosa, aunque no se haya apreciado como eximente de su actuación infractora, por considerar que el grado en que la padece no era razón para ello. Por otro lado, y en lo relativo al art. 24 CE, entiende que la sentencia de la Audiencia Nacional que no aprecia la insuficiencia de la prueba practicada, resuelve la pretensión de fondo sobre la base de la legalidad ordinaria aplicable al supuesto de hecho, considerando la sanción disciplinaria impuesta por la administración conforme a derecho y coherente con los hechos acreditados, declarando que la invalidez de la prueba indebidamente obtenida no supera el límite de sí misma en aplicación del art. 11 LOPJ, de tal modo que no cabe invocar el art. 24 CE en lo que a una supuesta infracción del derecho a la tutela judicial efectiva se refiere.</w:t>
      </w:r>
    </w:p>
    <w:p w:rsidR="005728DD" w:rsidRDefault="005728DD" w:rsidP="005728DD">
      <w:pPr>
        <w:pStyle w:val="TextoNormal"/>
      </w:pPr>
    </w:p>
    <w:p w:rsidR="005728DD" w:rsidRDefault="005728DD" w:rsidP="005728DD">
      <w:pPr>
        <w:pStyle w:val="TextoNormal"/>
      </w:pPr>
      <w:r w:rsidRPr="005728DD">
        <w:rPr>
          <w:rStyle w:val="NumeroAFNegritaCaracter"/>
        </w:rPr>
        <w:t>8</w:t>
      </w:r>
      <w:r>
        <w:t>. El escrito de alegaciones del Ministerio Fiscal tuvo entrada en el Tribunal el 11 de enero de 2019 interesando la estimación del recurso.</w:t>
      </w:r>
    </w:p>
    <w:p w:rsidR="005728DD" w:rsidRDefault="005728DD" w:rsidP="005728DD">
      <w:pPr>
        <w:pStyle w:val="TextoNormal"/>
      </w:pPr>
    </w:p>
    <w:p w:rsidR="005728DD" w:rsidRDefault="005728DD" w:rsidP="005728DD">
      <w:pPr>
        <w:pStyle w:val="TextoNormal"/>
      </w:pPr>
      <w:r>
        <w:t>a) Tras exponer los antecedentes del caso y analizar el objeto de la demanda, el fiscal constata que el recurso se formula tanto por el cauce del art. 43 LOTC como por el del art. 44 LOTC y señala que, tratándose de un recurso mixto, se plantea el examen prioritario de las lesiones atribuidas a la actividad administrativa, de cuyo resultado dependerá el análisis de las quiebras de constitucionalidad que se proclaman de la resolución jurisdiccional impugnada, conforme a la doctrina constitucional en la que se destaca el carácter autónomo y preferente que en tales procesos ofrece la pretensión deducida por el cauce del art. 43 LOTC (por todas, STC 156/2009, de 29 de junio, FJ 3).</w:t>
      </w:r>
    </w:p>
    <w:p w:rsidR="005728DD" w:rsidRDefault="005728DD" w:rsidP="005728DD">
      <w:pPr>
        <w:pStyle w:val="TextoNormal"/>
      </w:pPr>
    </w:p>
    <w:p w:rsidR="005728DD" w:rsidRDefault="005728DD" w:rsidP="005728DD">
      <w:pPr>
        <w:pStyle w:val="TextoNormal"/>
      </w:pPr>
      <w:r>
        <w:lastRenderedPageBreak/>
        <w:t>b) Por lo que hace a la denuncia de la vulneración del derecho a no ser discriminado por razón de la discapacidad (art. 14 CE), el fiscal razona que no es aplicable a este caso la doctrina constitucional que invoca la demanda, recogida en la STC 31/2014, de 25 de marzo, en relación con la existencia de un “panorama indiciario de discriminación” por discapacidad en la imposición de la sanción disciplinaria en cuestión. Pone de manifiesto que en el caso de la STC 31/2014 se aborda el supuesto del cese de una trabajadora del Centro Nacional de Inteligencia en el que se apreció la existencia de un panorama indiciario de discriminación suficiente, que no fue desvirtuado por parte de la administración mediante la acreditación de que dicho cese obedeció a razones objetivas y ajenas por completo a cualquier ánimo discriminatorio, dando lugar a la declaración de nulidad tanto de la resolución administrativa como de las resoluciones judiciales subsiguientes. Sin embargo, considera que el supuesto que da lugar al actual recurso de amparo presenta una serie de peculiaridades que impiden la aplicación de dicha doctrina: se ha considerado acreditado en el seno de un procedimiento administrativo sancionador que el demandante de amparo incurrió en actuaciones previamente definidas por la norma como constitutivas de una infracción disciplinaria y que, siendo responsable de los mismos, merecía ser sancionado en los términos que constan en la resolución de fecha 8 de junio de 2016.</w:t>
      </w:r>
    </w:p>
    <w:p w:rsidR="005728DD" w:rsidRDefault="005728DD" w:rsidP="005728DD">
      <w:pPr>
        <w:pStyle w:val="TextoNormal"/>
      </w:pPr>
    </w:p>
    <w:p w:rsidR="005728DD" w:rsidRDefault="005728DD" w:rsidP="005728DD">
      <w:pPr>
        <w:pStyle w:val="TextoNormal"/>
      </w:pPr>
      <w:r>
        <w:t>c) Recuerda a continuación que en el ámbito del derecho administrativo sancionador —y, por tanto, también en el ámbito disciplinario— está proscrito en nuestro ordenamiento el régimen de responsabilidad objetiva (con cita de la STC 76/1990, de 14 de abril, y del art. 28 de la Ley 40/2015, de 1 de octubre, de régimen jurídico del sector público). De modo que la exigencia de la necesaria concurrencia de una responsabilidad subjetiva en el infractor ha de implicar que deban ser tomadas en consideración todas aquellas patologías que pudieran disminuir o, incluso, excluir la responsabilidad subjetiva del infractor. En consecuencia, su presencia debe considerarse para valorar si el presunto infractor fue responsable, en cualquiera de los grados imaginables, de la conducta sancionable “a título de dolo o culpa”. Esto justifica, a su juicio, que el apartado 2 del art. 77 de la Ley general de derechos de las personas con discapacidad exceptúe a los contencioso-administrativos interpuestos contra resoluciones sancionadoras de lo establecido en el apartado 1 en relación con la carga de la prueba, según el cual “para aquellos procesos jurisdiccionales en que de las alegaciones de la parte actora se deduzca la existencia de indicios fundados de discriminación por motivo de o por razón de discapacidad, corresponderá a la parte demandada la aportación de una justificación objetiva y razonable, suficientemente probada, de la conducta y de las medidas adoptadas y de su proporcionalidad”. De modo que la discapacidad opera en estos casos en la esfera de la “culpabilidad”, cuestión que debe ser ajena a todo tipo de presunciones, mientras que en el resto de los procesos jurisdiccionales no existe inconveniente alguno en que rijan reglas presuntivas, como las que se establecen en el artículo 77.1 de la citada ley.</w:t>
      </w:r>
    </w:p>
    <w:p w:rsidR="005728DD" w:rsidRDefault="005728DD" w:rsidP="005728DD">
      <w:pPr>
        <w:pStyle w:val="TextoNormal"/>
      </w:pPr>
    </w:p>
    <w:p w:rsidR="005728DD" w:rsidRDefault="005728DD" w:rsidP="005728DD">
      <w:pPr>
        <w:pStyle w:val="TextoNormal"/>
      </w:pPr>
      <w:r>
        <w:t xml:space="preserve">Considera el fiscal que por estas razones no puede compartir la tesis de la parte demandante de amparo conforme a la cual rige </w:t>
      </w:r>
      <w:r w:rsidRPr="005728DD">
        <w:rPr>
          <w:i/>
        </w:rPr>
        <w:t>a fortiori</w:t>
      </w:r>
      <w:r>
        <w:t xml:space="preserve"> y plenamente la llamada inversión de la carga de la prueba que establece el art. 77.1 de la Ley general de derechos de las personas con discapacidad cuando se alegan indicios o sospechas de discriminación por discapacidad en los procedimientos administrativos “por simple aplicación de la conocida doctrina constitucional establecida en relación con las discriminaciones prohibidas por el artículo 14 CE”, pues ni atiende a la distinta naturaleza de los procedimientos administrativos sancionadores </w:t>
      </w:r>
      <w:r>
        <w:lastRenderedPageBreak/>
        <w:t>respecto del resto de los expedientes administrativos ni sería congruente con las disposiciones del artículo 77.1 y 2 de la ley. En consecuencia, el fiscal concluye que la queja relativa a la vulneración por la administración del derecho a la no discriminación (art. 14 CE) debe ser desestimada, ya que la única línea argumental de la demanda en relación con este primer motivo de amparo frente a la resolución sancionadora se fundamenta en que el interesado acreditó durante la tramitación del expediente disciplinario un panorama indiciario suficiente de discriminación, y que este no fue desvirtuado por parte de la administración mediante la acreditación de que la imposición de la sanción había obedecido a razones objetivas y ajenas por completo a cualquier ánimo discriminatorio.</w:t>
      </w:r>
    </w:p>
    <w:p w:rsidR="005728DD" w:rsidRDefault="005728DD" w:rsidP="005728DD">
      <w:pPr>
        <w:pStyle w:val="TextoNormal"/>
      </w:pPr>
    </w:p>
    <w:p w:rsidR="005728DD" w:rsidRDefault="005728DD" w:rsidP="005728DD">
      <w:pPr>
        <w:pStyle w:val="TextoNormal"/>
      </w:pPr>
      <w:r>
        <w:t xml:space="preserve">d) Prosigue su escrito examinando la vulneración del mismo derecho que se atribuye a la sentencia dictada por la Sección Tercera de la Sala de lo Contencioso-Administrativo de la Audiencia Nacional en relación con los artículos 4.1 y 2, 63 y 64.2 de la Ley general de derechos de las personas con discapacidad. Considera que las alegaciones de la demanda en este punto tampoco pueden prosperar porque la sentencia de la Audiencia Nacional motiva su resolución examinando, en primer lugar, el acuerdo de los servicios sociales del Gobierno de La Rioja de 10 de febrero de 2016, de reconocimiento al interesado de una discapacidad total del 10 por 100 por “trastorno del desarrollo de etiología no filiada”, y su valoración de conformidad con el contenido del Real Decreto 1971/1999, de 23 de diciembre, de procedimiento para el reconocimiento, declaración y calificación del grado de minusvalía, concluyendo que la discapacidad reconocida comporta por definición la posibilidad de realizar una vida autónoma y una actividad laboral normalizada, y que los informes periciales de parte no permiten llegar a las consecuencias que extrae el recurrente, sin que pueda extraerse que la referida sentencia de la Audiencia Nacional contenga una interpretación </w:t>
      </w:r>
      <w:r w:rsidRPr="005728DD">
        <w:rPr>
          <w:i/>
        </w:rPr>
        <w:t>contra legem</w:t>
      </w:r>
      <w:r>
        <w:t xml:space="preserve"> de la normativa aplicable, y sin que haya producido un efecto discriminatorio para el recurrente.</w:t>
      </w:r>
    </w:p>
    <w:p w:rsidR="005728DD" w:rsidRDefault="005728DD" w:rsidP="005728DD">
      <w:pPr>
        <w:pStyle w:val="TextoNormal"/>
      </w:pPr>
    </w:p>
    <w:p w:rsidR="005728DD" w:rsidRDefault="005728DD" w:rsidP="005728DD">
      <w:pPr>
        <w:pStyle w:val="TextoNormal"/>
      </w:pPr>
      <w:r>
        <w:t>e) En cuanto a los demás motivos de amparo, el fiscal considera que deben ser estimados. Recuerda que tanto la sentencia dictada por el Juzgado Central de lo Contencioso-Administrativo núm. 6 como la sentencia de la Audiencia Nacional consideraron nulas las pruebas de los testigos anónimos y del testigo sorpresa por no haberse dado intervención en ellas al interesado. Por lo tanto, en la práctica de tales diligencias probatorias en el curso del expediente disciplinario se vulneró el derecho del demandante de amparo a un proceso con todas las garantías (artículo 24.2 CE), vulneración que se extendió a la propia resolución sancionadora, en tanto en cuanto esta se fundó también en esas declaraciones. Siendo evidente para el fiscal que la resolución sancionadora valoró las indicadas pruebas testificales y se basó en ellas para entender acreditada la conducta sancionada, concluye que la indicada resolución sancionadora resultó viciada por la ausencia de participación del interesado en la práctica de tales diligencias probatorias, lesionando derechos susceptibles de amparo constitucional (el derecho a un proceso con todas las garantías y el derecho a la presunción de inocencia), lo que a su vez determina, con arreglo al art. 62.1 a) LPC, la nulidad de pleno derecho de la resolución sancionadora. Y como la sentencia de la Audiencia Nacional no reparó tales vulneraciones, dicha sentencia habría infringido también iguales derechos fundamentales del recurrente.</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w:t>
      </w:r>
      <w:r>
        <w:t>.</w:t>
      </w:r>
    </w:p>
    <w:p w:rsidR="005728DD" w:rsidRDefault="005728DD" w:rsidP="005728DD">
      <w:pPr>
        <w:pStyle w:val="TextoNormal"/>
      </w:pPr>
    </w:p>
    <w:p w:rsidR="005728DD" w:rsidRDefault="005728DD" w:rsidP="005728DD">
      <w:pPr>
        <w:pStyle w:val="TextoNormal"/>
      </w:pPr>
      <w:r>
        <w:t xml:space="preserve">El presente recurso de amparo se dirige contra la resolución de la secretaria de Estado de Justicia de 8 de junio de 2016, mediante la que se impuso al demandante de amparo la sanción disciplinaria de un año y un día de suspensión de empleo y sueldo por la comisión de una falta muy grave en aplicación de los arts. 154.7 del Reglamento Orgánico del cuerpo de secretarios judiciales y 468 </w:t>
      </w:r>
      <w:r w:rsidRPr="005728DD">
        <w:rPr>
          <w:i/>
        </w:rPr>
        <w:t>bis</w:t>
      </w:r>
      <w:r>
        <w:t>.1 h) LOPJ, así como contra la sentencia de 22 de junio de 2017 de la Sección Tercera de la Sala de lo Contencioso-Administrativo de la Audiencia Nacional, que declaró la resolución administrativa impugnada conforme a derecho.</w:t>
      </w:r>
    </w:p>
    <w:p w:rsidR="005728DD" w:rsidRDefault="005728DD" w:rsidP="005728DD">
      <w:pPr>
        <w:pStyle w:val="TextoNormal"/>
      </w:pPr>
    </w:p>
    <w:p w:rsidR="005728DD" w:rsidRDefault="005728DD" w:rsidP="005728DD">
      <w:pPr>
        <w:pStyle w:val="TextoNormal"/>
      </w:pPr>
      <w:r>
        <w:t>La demanda denuncia que la administración ha vulnerado: a) el derecho a no sufrir discriminación por razón de discapacidad (art. 14 CE), al no haber dado respuesta al panorama indiciario de discriminación por tal motivo y limitarse a considerar las disfunciones en la llevanza o dirección de la oficina judicial en la que el recurrente ejercía las funciones de letrado de la administración de justicia, haciendo abstracción de que pudieran ser manifestaciones de la discapacidad alegada; b) el derecho a un proceso con todas las garantías (art. 24.2 CE) por la utilización de testigos anónimos y de un testigo-sorpresa en el marco del procedimiento disciplinario; y c) el derecho a la presunción de inocencia del (art. 24.2 CE) por la motivación insuficiente de la resolución sancionadora en lo que se refiere a las alegaciones de descargo del expedientado. Por lo que se refiere a la sentencia dictada por la Sección Tercera de la Sala de lo Contencioso-Administrativo de la Audiencia Nacional, de 22 de junio de 2017, la demanda de amparo le atribuye la vulneración de los mismos derechos fundamentales por los motivos que se detallan en los antecedentes.</w:t>
      </w:r>
    </w:p>
    <w:p w:rsidR="005728DD" w:rsidRDefault="005728DD" w:rsidP="005728DD">
      <w:pPr>
        <w:pStyle w:val="TextoNormal"/>
      </w:pPr>
    </w:p>
    <w:p w:rsidR="005728DD" w:rsidRDefault="005728DD" w:rsidP="005728DD">
      <w:pPr>
        <w:pStyle w:val="TextoNormal"/>
      </w:pPr>
      <w:r>
        <w:t>El abogado del Estado y el ministerio público coinciden en negar que se haya producido vulneración del principio de igualdad, pero discrepan en cuanto a la existencia de las vulneraciones del art. 24.2 CE denunciadas. El abogado del Estado interesa en primer término la inadmisión de la demanda por entender que plantea cuestiones de legalidad ordinaria y, en su defecto, la desestimación, por no concurrir lesión de derechos fundamentales alguna. El Ministerio Fiscal, por su parte, sostiene que se otorgue el amparo por apreciar que la resolución sancionadora objeto de este recurso vulneró el derecho fundamental del recurrente a un proceso con todas las garantías (artículo 24.2 CE) y a la presunción de inocencia (artículo 24.2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Consideraciones previas</w:t>
      </w:r>
      <w:r>
        <w:t>.</w:t>
      </w:r>
    </w:p>
    <w:p w:rsidR="005728DD" w:rsidRDefault="005728DD" w:rsidP="005728DD">
      <w:pPr>
        <w:pStyle w:val="TextoNormal"/>
      </w:pPr>
    </w:p>
    <w:p w:rsidR="005728DD" w:rsidRDefault="005728DD" w:rsidP="005728DD">
      <w:pPr>
        <w:pStyle w:val="TextoNormal"/>
      </w:pPr>
      <w:r>
        <w:t>Antes de entrar al fondo de las pretensiones deducidas en el recurso de amparo resulta preciso abordar las siguientes cuestiones:</w:t>
      </w:r>
    </w:p>
    <w:p w:rsidR="005728DD" w:rsidRDefault="005728DD" w:rsidP="005728DD">
      <w:pPr>
        <w:pStyle w:val="TextoNormal"/>
      </w:pPr>
    </w:p>
    <w:p w:rsidR="005728DD" w:rsidRDefault="005728DD" w:rsidP="005728DD">
      <w:pPr>
        <w:pStyle w:val="TextoNormal"/>
      </w:pPr>
      <w:r>
        <w:t xml:space="preserve">a) La excepción de admisibilidad opuesta por el abogado del Estado debe ser rechazada. Una vez admitida a trámite la demanda de amparo, la sentencia solo puede acordar la inadmisión del recurso cuando se aprecie posteriormente la concurrencia de uno de los motivos del art. 50.1 LOTC. Sin embargo, a diferencia de lo que ocurre cuando lo que faltan son requisitos o exigencias extrínsecas a la pretensión, cuando lo que se alega es la carencia de contenido constitucional del asunto —y al ser esta la cuestión de fondo planteada—, su </w:t>
      </w:r>
      <w:r>
        <w:lastRenderedPageBreak/>
        <w:t>análisis conducirá bien a la estimación o a la desestimación del recurso (en este sentido, STC 11/1996, de 29 de enero, FJ 1).</w:t>
      </w:r>
    </w:p>
    <w:p w:rsidR="005728DD" w:rsidRDefault="005728DD" w:rsidP="005728DD">
      <w:pPr>
        <w:pStyle w:val="TextoNormal"/>
      </w:pPr>
    </w:p>
    <w:p w:rsidR="005728DD" w:rsidRDefault="005728DD" w:rsidP="005728DD">
      <w:pPr>
        <w:pStyle w:val="TextoNormal"/>
      </w:pPr>
      <w:r>
        <w:t>b) La presente sentencia no incluye la identificación completa del recurrente, cuyo expediente administrativo, así como las resoluciones judiciales impugnadas contienen datos personales de salud y relativos a su situación personal, a fin de preservar su intimidad. Esta decisión responde a las potestades atribuidas a este tribunal por el art. 86.3 LOTC y el Acuerdo del Pleno de 23 de julio de 2015, en materia de protección de datos de carácter personal en el ámbito de la publicación y difusión de sus resoluciones jurisdiccionales [en el mismo sentido, SSTC 132/2016, de 18 de julio, FJ 1 c); 31/2017, de 27 de febrero, FJ 1 c), y 85/2017, de 3 de julio, FJ 1]. Atendemos de este modo, asimismo, a la solicitud del recurrente, contenida en la demanda, que solicitaba que su identificación se realizara a través de iniciales elegidas aleatoriamente.</w:t>
      </w:r>
    </w:p>
    <w:p w:rsidR="005728DD" w:rsidRDefault="005728DD" w:rsidP="005728DD">
      <w:pPr>
        <w:pStyle w:val="TextoNormal"/>
      </w:pPr>
    </w:p>
    <w:p w:rsidR="005728DD" w:rsidRDefault="005728DD" w:rsidP="005728DD">
      <w:pPr>
        <w:pStyle w:val="TextoNormal"/>
      </w:pPr>
      <w:r>
        <w:t>c) Por lo que se refiere a la naturaleza de esta demanda, ha de entenderse formulada por el cauce del art. 43 LOTC. La demanda se dirige formalmente frente a la resolución administrativa que impone la sanción disciplinaria al recurrente y frente a la sentencia dictada en el procedimiento contencioso de derechos fundamentales por la Audiencia Nacional que declara en apelación que dicha sanción es conforme a derecho. Atribuye a ambas la vulneración de los mismos derechos fundamentales del recurrente: el derecho a no ser discriminado por razón de discapacidad del art. 14 CE; y los derechos a un proceso con todas las garantías y a la presunción de inocencia del art. 24.2 CE. Pero de su lectura atenta se infiere que tales lesiones se imputan en primer término, de modo inmediato y directo, a la actuación administrativa del Ministerio de Justicia. El reproche que se dirige contra la sentencia judicial no es autónomo, sino que radica en el hecho de no haber reparado las lesiones que la demanda imputa en origen a la administración al rechazar las alegaciones del recurrente frente a la misma. En este tipo de supuestos el tribunal ha venido destacando “el carácter instrumental que tiene la vía previa al amparo constitucional en relación con el acto que produjo la vulneración del derecho, en tanto que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 de lesión. Otra interpretación llevaría a entender, en definitiva, que no hay más actos u omisiones atacables en vía de amparo constitucional que los actos u omisiones de los órganos judiciales’ (STC 6/1981, de 6 de marzo, FJ 2)” (ATC 51/2010, de 6 de mayo, FJ 1, y STC 75/2019, de 22 de mayo, entre otras muchas).</w:t>
      </w:r>
    </w:p>
    <w:p w:rsidR="005728DD" w:rsidRDefault="005728DD" w:rsidP="005728DD">
      <w:pPr>
        <w:pStyle w:val="TextoNormal"/>
      </w:pPr>
    </w:p>
    <w:p w:rsidR="005728DD" w:rsidRDefault="005728DD" w:rsidP="005728DD">
      <w:pPr>
        <w:pStyle w:val="TextoNormal"/>
      </w:pPr>
      <w:r>
        <w:t xml:space="preserve">La circunstancia de que exista una sentencia de instancia total o parcialmente estimatoria del recurso contencioso-administrativo interpuesto por el demandante (como ocurre en este caso con la sentencia del juzgado), no conlleva que las lesiones de los derechos fundamentales que se alegan puedan imputarse de forma autónoma a la sentencia dictada en el marco de un ulterior recurso que resuelva en sentido contrario a las alegaciones del recurrente (en este caso, la sentencia de la Audiencia Nacional). Tal y como se declara en la STC 28/2014, de 24 de febrero, FJ 2, “la lesión del derecho fundamental no desaparece o aparece a lo largo de la vía previa ante la jurisdicción ordinaria dependiendo de los distintos pronunciamientos que se vayan sucediendo, sino que, con ocasión de la resolución que pone fin a esta vía, quedará reparada o no, en cuyo caso el demandante encuentra expedito el acceso ante esta </w:t>
      </w:r>
      <w:r>
        <w:lastRenderedPageBreak/>
        <w:t>sede (ATC 51/2010, de 6 de mayo, FJ 6)”. Cabe advertir, por lo demás, que este recurso de amparo se presentó dentro del plazo establecido en el art. 43.2 LOTC.</w:t>
      </w:r>
    </w:p>
    <w:p w:rsidR="005728DD" w:rsidRDefault="005728DD" w:rsidP="005728DD">
      <w:pPr>
        <w:pStyle w:val="TextoNormal"/>
      </w:pPr>
    </w:p>
    <w:p w:rsidR="005728DD" w:rsidRDefault="005728DD" w:rsidP="005728DD">
      <w:pPr>
        <w:pStyle w:val="TextoNormal"/>
      </w:pPr>
      <w:r>
        <w:t>Por otra parte, y en cuanto a “la realidad de los hechos” que se plantean en este recurso, tal y como recuerda la STC 56/2019, de 16 de mayo, FJ 3, “cuando este tribunal conoce de la presunta vulneración de un derecho fundamental por parte de una autoridad administrativa, en el cauce del art. 43 LOTC, no resultan de aplicación los límites que establece el art. 44.1 b) LOTC” (STC 93/1992, de 11 de junio, FJ 4). Dicho de otro modo: en este asunto, en lo concerniente a las vulneraciones atribuidas a la administración, este tribunal no está vinculado por las valoraciones fácticas realizadas en la jurisdicción ordinaria”. Como se expone más ampliamente en los antecedentes, en este caso han quedado acreditados —mediante el expediente administrativo y las actuaciones llevadas a cabo— una serie de hechos y acciones de la administración que el recurrente presenta como constitutivos de un panorama indiciario de discriminación por razón de discapacidad que imputa a la actuación de la administración.</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Vulneración del art. 14 CE: doctrina constitucional en materia de discriminación por razón de discapacidad y reparto de la carga de la prueba</w:t>
      </w:r>
      <w:r>
        <w:t>.</w:t>
      </w:r>
    </w:p>
    <w:p w:rsidR="005728DD" w:rsidRDefault="005728DD" w:rsidP="005728DD">
      <w:pPr>
        <w:pStyle w:val="TextoNormal"/>
      </w:pPr>
    </w:p>
    <w:p w:rsidR="005728DD" w:rsidRDefault="005728DD" w:rsidP="005728DD">
      <w:pPr>
        <w:pStyle w:val="TextoNormal"/>
      </w:pPr>
      <w:r>
        <w:t>El recurrente alega que se ha vulnerado su derecho a no ser discriminado por razón de discapacidad en los términos que ha reconocido la doctrina constitucional (con especial referencia a la STC 3/2018, de 22 de enero, FJ 5). Considera, asimismo, que la administración no ha dado respuesta al panorama indiciario de discriminación que a su juicio revelan los hechos que preceden a la imposición de la medida sancionadora, conforme exige la doctrina constitucional en relación con las discriminaciones prohibidas por el art. 14 CE (en particular, en la STC 31/2014, de 24 de febrero). Para dar respuesta a esta alegación hay que partir de la doctrina constitucional existente sobre discriminación por razón de discapacidad y sobre el reparto de la carga de la prueba.</w:t>
      </w:r>
    </w:p>
    <w:p w:rsidR="005728DD" w:rsidRDefault="005728DD" w:rsidP="005728DD">
      <w:pPr>
        <w:pStyle w:val="TextoNormal"/>
      </w:pPr>
    </w:p>
    <w:p w:rsidR="005728DD" w:rsidRDefault="005728DD" w:rsidP="005728DD">
      <w:pPr>
        <w:pStyle w:val="TextoNormal"/>
      </w:pPr>
      <w:r w:rsidRPr="005728DD">
        <w:rPr>
          <w:i/>
        </w:rPr>
        <w:t>a) La doctrina constitucional sobre discriminación por razón de discapacidad</w:t>
      </w:r>
      <w:r>
        <w:t>.</w:t>
      </w:r>
    </w:p>
    <w:p w:rsidR="005728DD" w:rsidRDefault="005728DD" w:rsidP="005728DD">
      <w:pPr>
        <w:pStyle w:val="TextoNormal"/>
      </w:pPr>
    </w:p>
    <w:p w:rsidR="005728DD" w:rsidRDefault="005728DD" w:rsidP="005728DD">
      <w:pPr>
        <w:pStyle w:val="TextoNormal"/>
      </w:pPr>
      <w:r>
        <w:t>La discapacidad constituye una circunstancia personal que el artículo 14 CE protege contra cualquier forma de discriminación (tal y como recuerda la STC 3/2018, de 22 de enero, con cita, entre otras, de la STC 269/1994, de 3 de octubre). Las medidas que se instrumentan para procurar la igualdad de oportunidades y la integración social y profesional de las personas con discapacidad, incluyendo aquellas de acción positiva, tienen una estrecha conexión con el mandato contenido en el artículo 9.2 CE y, específicamente, con su plasmación en el art. 49 CE que, sin reconocer derechos fundamentales, ordena a los poderes públicos realizar una política de integración de las personas con discapacidades físicas, sensoriales y psíquicas, que les ampare “especialmente para el disfrute de los derechos que este título otorga a todos los ciudadanos” (entre otras, las SSTC 10/2014, de 27 de enero, FJ 4, y 18/2017, de 2 de febrero, FJ 3).</w:t>
      </w:r>
    </w:p>
    <w:p w:rsidR="005728DD" w:rsidRDefault="005728DD" w:rsidP="005728DD">
      <w:pPr>
        <w:pStyle w:val="TextoNormal"/>
      </w:pPr>
    </w:p>
    <w:p w:rsidR="005728DD" w:rsidRDefault="005728DD" w:rsidP="005728DD">
      <w:pPr>
        <w:pStyle w:val="TextoNormal"/>
      </w:pPr>
      <w:r>
        <w:t xml:space="preserve">La aplicación de la cláusula del artículo 10.2 CE conlleva que, en este tipo de casos, el tribunal otorgue especial relevancia exegética a la Convención de la ONU sobre los derechos de las personas con discapacidad, de 13 de diciembre de 2006, ratificada el 23 de noviembre de 2007, y cuya entrada en vigor para España se produjo el 3 de mayo de 2008. La </w:t>
      </w:r>
      <w:r>
        <w:lastRenderedPageBreak/>
        <w:t>Convención protege en su artículo 1 a quienes “tengan deficiencias físicas, mentales, intelectuales o sensoriales a largo plazo que, al interactuar con diversas barreras, puedan impedir su participación plena y efectiva en la sociedad, en igualdad de condiciones con las demás”. Y proscribe en su artículo 2 la “discriminación por motivo de discapacidad”, ante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 señalando el artículo 5.3 que los Estados parte “adoptarán todas las medidas pertinentes para asegurar la realización de ajustes razonables”.</w:t>
      </w:r>
    </w:p>
    <w:p w:rsidR="005728DD" w:rsidRDefault="005728DD" w:rsidP="005728DD">
      <w:pPr>
        <w:pStyle w:val="TextoNormal"/>
      </w:pPr>
    </w:p>
    <w:p w:rsidR="005728DD" w:rsidRDefault="005728DD" w:rsidP="005728DD">
      <w:pPr>
        <w:pStyle w:val="TextoNormal"/>
      </w:pPr>
      <w:r>
        <w:t>La STC 3/2018, de 22 de enero, destaca que “según el Convenio existe discriminación por razón de la discapacidad tanto si se acredita un propósito de causar perjuicio a la persona por el mero hecho de ser discapacitada, como si se constata que se ha producido un resultado (el “efecto”, en palabras del art. 2) debido a la acción de un responsable, que causa la ‘distinción, exclusión o restricción’ de alguno de los derechos de quien es discapacitado, sin que tenga que concurrir la afectación de ninguna otra circunstancia personal. De allí, la importancia que la propia Convención confiere a quien tiene a su cargo el evitar esas barreras restrictivas, de emplear los ‘ajustes razonables’ que eviten el resultado discriminatorio, esto es,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(art. 2)” (STC 3/2018, de 22 de enero, FJ 5).</w:t>
      </w:r>
    </w:p>
    <w:p w:rsidR="005728DD" w:rsidRDefault="005728DD" w:rsidP="005728DD">
      <w:pPr>
        <w:pStyle w:val="TextoNormal"/>
      </w:pPr>
    </w:p>
    <w:p w:rsidR="005728DD" w:rsidRDefault="005728DD" w:rsidP="005728DD">
      <w:pPr>
        <w:pStyle w:val="TextoNormal"/>
      </w:pPr>
      <w:r>
        <w:t>El modelo de protección jurídica de los derechos de las personas con discapacidad, previsto en la Convención de la ONU, tiene reflejo en el Real Decreto Legislativo 1/2013, de 29 de noviembre, por el que se aprueba el texto refundido de la Ley general de derechos de las personas con discapacidad y de su inclusión social. Respecto de esta disposición, el tribunal ha subrayado que “a partir de una definición similar de la discapacidad en el artículo 4 (aunque emplea el término ‘previsiblemente permanente’, en vez de ‘a largo plazo’ de la Convención, y reconoce en todo caso como tal, a la que haya sido reconocida en un ‘grado igual o superior al 33 por 100 […]’), se consagra también el principio de no discriminación por razón de la discapacidad [art. 3 a)], sea directa como indirecta [art. 2 c) y d)], así como la exigencia a las autoridades para la adopción de ‘los ajustes razonables’ que se requieran [arts. 2 m) y 66]” [STC 3/2018, FJ 5 c)]. Ajustes que se definen como “las modificaciones y adaptaciones necesarias y adecuadas del ambiente físico, social y actitudinal a las necesidades específicas de las personas con discapacidad que no impongan una carga desproporcionada o indebida, cuando se requieran en un caso particular de manera eficaz y práctica, para facilitar la accesibilidad y la participación y para garantizar a las personas con discapacidad el goce o ejercicio, en igualdad de condiciones con las demás, de todos los derechos” [art. 2 m)].</w:t>
      </w:r>
    </w:p>
    <w:p w:rsidR="005728DD" w:rsidRDefault="005728DD" w:rsidP="005728DD">
      <w:pPr>
        <w:pStyle w:val="TextoNormal"/>
      </w:pPr>
    </w:p>
    <w:p w:rsidR="005728DD" w:rsidRDefault="005728DD" w:rsidP="005728DD">
      <w:pPr>
        <w:pStyle w:val="TextoNormal"/>
      </w:pPr>
      <w:r>
        <w:t xml:space="preserve">El tribunal también ha observado que, en el marco del Convenio europeo de derechos humanos (CEDH), el Tribunal de Estrasburgo ha declarado que el principio de no discriminación consagrado en el artículo 14 CEDH se refiere también a los discapacitados, a través de la cláusula final de dicho precepto, incluyéndolos dentro de los grupos que considera </w:t>
      </w:r>
      <w:r>
        <w:lastRenderedPageBreak/>
        <w:t xml:space="preserve">como “particularmente vulnerables” (entre otras, SSTEDH de 30 de abril de 2009, asunto </w:t>
      </w:r>
      <w:r w:rsidRPr="005728DD">
        <w:rPr>
          <w:i/>
        </w:rPr>
        <w:t>Glor c. Suiza</w:t>
      </w:r>
      <w:r>
        <w:t xml:space="preserve">, § 80, de 22 de marzo de 2016, asunto </w:t>
      </w:r>
      <w:r w:rsidRPr="005728DD">
        <w:rPr>
          <w:i/>
        </w:rPr>
        <w:t>Guberina c. Croacia</w:t>
      </w:r>
      <w:r>
        <w:t xml:space="preserve">, §73, y de 23 de marzo de 2017, asunto </w:t>
      </w:r>
      <w:r w:rsidRPr="005728DD">
        <w:rPr>
          <w:i/>
        </w:rPr>
        <w:t>A.-M.V. c. Finlandia</w:t>
      </w:r>
      <w:r>
        <w:t xml:space="preserve">, § 73). A tal efecto, reconoce la Convención de las Naciones Unidas sobre los derechos de las personas con discapacidad como fuente para la interpretación de las garantías del Convenio europeo para la protección de los derechos humanos y de las libertades fundamentales de 1950 (STEDH de 23 de marzo de 2017, asunto </w:t>
      </w:r>
      <w:r w:rsidRPr="005728DD">
        <w:rPr>
          <w:i/>
        </w:rPr>
        <w:t>A.-M.V. c. Finlandia</w:t>
      </w:r>
      <w:r>
        <w:t xml:space="preserve">, cit., §74), tomando también de la Convención la exigencia a los Estados parte para que adopten los “ajustes razonables” (que el Tribunal Europeo de Derechos Humanos denomina “acomodo razonable”) que resulten necesarios para evitar la discriminación (STEDH de 23 de febrero de 2016, asunto </w:t>
      </w:r>
      <w:r w:rsidRPr="005728DD">
        <w:rPr>
          <w:i/>
        </w:rPr>
        <w:t>Çam c. Turquía</w:t>
      </w:r>
      <w:r>
        <w:t>, § 65 y 69).</w:t>
      </w:r>
    </w:p>
    <w:p w:rsidR="005728DD" w:rsidRDefault="005728DD" w:rsidP="005728DD">
      <w:pPr>
        <w:pStyle w:val="TextoNormal"/>
      </w:pPr>
    </w:p>
    <w:p w:rsidR="005728DD" w:rsidRDefault="005728DD" w:rsidP="005728DD">
      <w:pPr>
        <w:pStyle w:val="TextoNormal"/>
      </w:pPr>
      <w:r>
        <w:t xml:space="preserve">En relación con el Derecho de la Unión Europea, la STC 3/2008, FJ 5, recuerda que el art. 21 de la Carta de derechos fundamentales incluye la discapacidad como uno de los factores expresos de protección contra discriminaciones, mientras que el artículo 26 “reconoce y respeta el derecho de las personas discapacitadas” a beneficiarse de medidas para su integración. Por su parte, la Decisión 2010/48/CE, del Consejo, de 26 de noviembre de 2009, ha integrado la Convención de las Naciones Unidas sobre los derechos de las personas con discapacidad en el ordenamiento de la Unión. Como resultado, el propio Tribunal de Justicia de la Unión Europea, viene utilizando la Convención ONU de 2006 como fuente interpretativa de la Directiva 2000/78/CE, en particular en lo relativo al derecho a la no discriminación por razón de la discapacidad en el trabajo [en este sentido SSTJUE de 11 de abril de 2013, C-335/11 y C-337/11 acumulados, asunto </w:t>
      </w:r>
      <w:r w:rsidRPr="005728DD">
        <w:rPr>
          <w:i/>
        </w:rPr>
        <w:t>HK Danmark y otros</w:t>
      </w:r>
      <w:r>
        <w:t xml:space="preserve">, § 37 a 41, 47 y 93; de 18 de marzo de 2014, Gran Sala, C-363/12, asunto </w:t>
      </w:r>
      <w:r w:rsidRPr="005728DD">
        <w:rPr>
          <w:i/>
        </w:rPr>
        <w:t>Z. c. A Government department and the Board of management of a community school</w:t>
      </w:r>
      <w:r>
        <w:t xml:space="preserve">, § 76 y 77; de 18 de diciembre de 2014, C-354/13, asunto </w:t>
      </w:r>
      <w:r w:rsidRPr="005728DD">
        <w:rPr>
          <w:i/>
        </w:rPr>
        <w:t>Fag og Arbejde (FOA) c. Kommunernes Landsforening (KL</w:t>
      </w:r>
      <w:r>
        <w:t xml:space="preserve">), § 53, 54, 64 y 65; de 1 de diciembre de 2016, C-395/15, asunto </w:t>
      </w:r>
      <w:r w:rsidRPr="005728DD">
        <w:rPr>
          <w:i/>
        </w:rPr>
        <w:t>Mohamed Daouidi c. Bootes Plus, S.L. y otros</w:t>
      </w:r>
      <w:r>
        <w:t xml:space="preserve">, § 42 a 45, y de 9 de marzo de 2017, C-406/15, asunto </w:t>
      </w:r>
      <w:r w:rsidRPr="005728DD">
        <w:rPr>
          <w:i/>
        </w:rPr>
        <w:t>Petya Milkova c. Izpalnitelen direktor na Agentsiata za privatizatsia i sledprivatizatsionen kontrol</w:t>
      </w:r>
      <w:r>
        <w:t>, § 36].</w:t>
      </w:r>
    </w:p>
    <w:p w:rsidR="005728DD" w:rsidRDefault="005728DD" w:rsidP="005728DD">
      <w:pPr>
        <w:pStyle w:val="TextoNormal"/>
      </w:pPr>
    </w:p>
    <w:p w:rsidR="005728DD" w:rsidRDefault="005728DD" w:rsidP="005728DD">
      <w:pPr>
        <w:pStyle w:val="TextoNormal"/>
      </w:pPr>
      <w:r>
        <w:t xml:space="preserve">Por lo que se refiere al derecho a los “ajustes razonables” necesarios para evitar situaciones de discriminación, el Tribunal Constitucional ha abordado esta cuestión en los ámbitos de la educación, de la tutela judicial y del acceso a la asistencia o servicios sociales en los siguientes términos: (i) En relación con el derecho a la educación la STC 10/2014, de 27 de enero, estableció que la administración educativa debe tender a la escolarización inclusiva de las personas discapacitadas y, tan solo cuando los ajustes que deba realizar para dicha inclusión sean desproporcionados o no razonables, podrá disponer la escolarización de estos alumnos en centros de educación especial, debiendo en este último caso, por respeto a los derechos fundamentales y bienes jurídicos afectados, exteriorizar los motivos por los que ha seguido esta opción y considerado inviable la integración del menor discapacitado en un centro ordinario (FJ 4). (ii) En relación con la salvaguarda del derecho de defensa del presunto discapacitado psíquico durante la instrucción penal, la STC 77/2014, de 22 de mayo, declaró que “la existencia de indicios de que dicho acusado pueda sufrir trastornos mentales que limiten su capacidad de comprensión y, por tanto, de la relevancia de las consecuencias legales de su incomparecencia, impone a los órganos judiciales un deber positivo de desarrollar la actividad necesaria para despejar cualquier duda al respecto” (FJ 2). (iii) Finalmente, en la STC 3/2018 el tribunal estimó el amparo a favor de una persona, con discapacidad psíquica severa, a la que por ser mayor de sesenta años se había denegado la inclusión en un programa de atención individualizada en un centro de asistencia para personas con </w:t>
      </w:r>
      <w:r>
        <w:lastRenderedPageBreak/>
        <w:t>discapacidad, prescindiendo de toda valoración médica sobre su estado y sus necesidades de tratamiento especializado, declarando en este caso que “la exigencia de ‘ajustes razonables’ […] pasaba justamente por asegurar la prestación del servicio asistencial adaptado a sus necesidades de discapacidad; reconociendo la administración en el requerimiento efectuado por este tribunal, que dispone de centros para ello”; en un caso, además, en el que el aplicador primario de la norma disponía de posibilidades para no incurrir en un resultado discriminatorio.</w:t>
      </w:r>
    </w:p>
    <w:p w:rsidR="005728DD" w:rsidRDefault="005728DD" w:rsidP="005728DD">
      <w:pPr>
        <w:pStyle w:val="TextoNormal"/>
      </w:pPr>
    </w:p>
    <w:p w:rsidR="005728DD" w:rsidRDefault="005728DD" w:rsidP="005728DD">
      <w:pPr>
        <w:pStyle w:val="TextoNormal"/>
      </w:pPr>
      <w:r w:rsidRPr="005728DD">
        <w:rPr>
          <w:i/>
        </w:rPr>
        <w:t>b) La doctrina constitucional sobre la distribución de la carga de la prueba y su aplicación a la administración</w:t>
      </w:r>
      <w:r>
        <w:t>.</w:t>
      </w:r>
    </w:p>
    <w:p w:rsidR="005728DD" w:rsidRDefault="005728DD" w:rsidP="005728DD">
      <w:pPr>
        <w:pStyle w:val="TextoNormal"/>
      </w:pPr>
    </w:p>
    <w:p w:rsidR="005728DD" w:rsidRDefault="005728DD" w:rsidP="005728DD">
      <w:pPr>
        <w:pStyle w:val="TextoNormal"/>
      </w:pPr>
      <w:r>
        <w:t>Tal y como declara con carácter general la STC 104/2014, de 23 de junio, FJ 7, “[l]a necesidad de garantizar que los derechos fundamentales no sean desconocidos bajo la cobertura formal del ejercicio de derechos y facultades reconocidos por las normas, pasa por considerar la especial dificultad que en no pocas ocasiones ofrece la operación de desvelar la lesión constitucional, encubierta tras la legalidad solo aparente del acto litigioso. […] Dificultades de acreditación como las indicadas, decíamos, han llevado a este tribunal a elaborar su doctrina sobre la prueba indiciaria, dirigida a favorecer que se desvelen las razones latentes de actos que puedan enmascarar una lesión de derechos fundamentales”. Precisa también que “[n]o constituye un indicio, sin embargo, la mera alegación de la vulneración constitucional, ni una retórica invocación del factor protegido, sino un hecho o conjunto de hechos que permita deducir la posibilidad de la lesión. Solo una vez cumplido este primer e inexcusable deber, recaerá sobre la parte demandada la carga de probar que su actuación tuvo causas reales absolutamente extrañas a la pretendida vulneración, indiciariamente probada, así como que tenían entidad suficiente para justificar la decisión adoptada al margen del derecho fundamental alegado. En otro caso, el incumplimiento de ese deber probatorio de la parte demandada —que como se ha expuesto no supone una inversión de la carga de la prueba, pues nace solo una vez que la parte demandante ha aportado indicios de la vulneración que denuncia— trasciende el ámbito puramente procesal y determina, en última instancia, que los indicios aportados desplieguen toda su operatividad para declarar la lesión del derecho fundamental sustantivo que haya sido invocado” (FJ 7).</w:t>
      </w:r>
    </w:p>
    <w:p w:rsidR="005728DD" w:rsidRDefault="005728DD" w:rsidP="005728DD">
      <w:pPr>
        <w:pStyle w:val="TextoNormal"/>
      </w:pPr>
    </w:p>
    <w:p w:rsidR="005728DD" w:rsidRDefault="005728DD" w:rsidP="005728DD">
      <w:pPr>
        <w:pStyle w:val="TextoNormal"/>
      </w:pPr>
      <w:r>
        <w:t>Según esta doctrina constitucional cuando el recurrente alega una discriminación prohibida por el art. 14 CE —en los términos que recoge, entre otras, la STC 31/2014, de 24 de febrero, FJ 3—, aportando indicios racionales de discriminación, corresponde a la empleadora la obligación de rebatirlos justificando que su actuación fue absolutamente ajena a todo propósito atentatorio de derechos fundamentales (SSTC 17/2007, de 12 de febrero, FJ 4, y 173/2013, de 10 de octubre, FJ 6, entre otras). Pero, incluso si dicha intencionalidad discriminatoria no existe, corresponde también al empleador probar que la vulneración que se le atribuye no represente objetivamente actos contrarios a la prohibición de discriminación (en este sentido, STC 233/2007, de 5 de noviembre, FJ 4). Esta doctrina se aplica a la discriminación por razón de discapacidad, en tanto que el art. 14 CE proscribe todo acto que tenga tanto el propósito como el efecto de lesionar el derecho a la igualdad de trato de las personas que la padecen. De manera que corresponde al empleador, también cuando es una administración, acreditar que sus decisiones o actos fueron legítimos y carentes del móvil o efecto discriminatorio que se les imputa.</w:t>
      </w:r>
    </w:p>
    <w:p w:rsidR="005728DD" w:rsidRDefault="005728DD" w:rsidP="005728DD">
      <w:pPr>
        <w:pStyle w:val="TextoNormal"/>
      </w:pPr>
    </w:p>
    <w:p w:rsidR="005728DD" w:rsidRDefault="005728DD" w:rsidP="005728DD">
      <w:pPr>
        <w:pStyle w:val="TextoNormal"/>
      </w:pPr>
      <w:r>
        <w:lastRenderedPageBreak/>
        <w:t xml:space="preserve">La STC 31/2014, de 24 de febrero, establece además que “para que se produzca ese desplazamiento al demandado del </w:t>
      </w:r>
      <w:r w:rsidRPr="005728DD">
        <w:rPr>
          <w:i/>
        </w:rPr>
        <w:t>onus probandi</w:t>
      </w:r>
      <w:r>
        <w:t xml:space="preserve"> no basta simplemente con que el actor tache la medida de discriminatoria, sino que, además, ha de acreditar la existencia de indicios que generen una razonable sospecha, apariencia o presunción a favor de su alegato (SSTC 136/1996, de 23 de julio, FJ 6, y 48/2002, de 25 de junio, FJ 5)” (FJ 3). De modo que si quien invoca la aplicación de la regla de la prueba indiciaria desarrolla una actividad alegatoria suficientemente precisa y concreta en torno a los indicios de la existencia de discriminación, recaerá sobre la parte demandada “la carga de probar la existencia de causas suficientes, reales y serias, para calificar de razonable y ajena a todo propósito lesivo del derecho fundamental la decisión o práctica empresarial cuestionada, único medio de destruir la apariencia lesiva creada por tales indicios (STC 2/2009, de 12 de enero, FJ 3)”(STC 31/2014, FJ 3).</w:t>
      </w:r>
    </w:p>
    <w:p w:rsidR="005728DD" w:rsidRDefault="005728DD" w:rsidP="005728DD">
      <w:pPr>
        <w:pStyle w:val="TextoNormal"/>
      </w:pPr>
    </w:p>
    <w:p w:rsidR="005728DD" w:rsidRDefault="005728DD" w:rsidP="005728DD">
      <w:pPr>
        <w:pStyle w:val="TextoNormal"/>
      </w:pPr>
      <w:r>
        <w:t>Esta doctrina es aplicable en el seno de las relaciones de los empleados públicos y la administración como pone de relieve la STC 31/2014, en la que el tribunal declaró que opera en supuestos de decisiones discrecionales de una administración como puede ser el cese en un puesto de libre designación, cuando tales decisiones son contrarias a los derechos fundamentales (STC 98/2003, de 2 de junio, FJ 2) , pues “la correlativa libertad de cese [que está implícita en la de libre nombramiento] es una libre facultad que, en el plano de la constitucionalidad, también queda limitada por el respeto a los derechos fundamentales” (SSTC 17/1996, de 7 de febrero, FJ 4, y 202/1997, de 25 de noviembre, FJ 6). Doctrina que opera también en el ámbito de cualquier actuación de la administración ya sea discrecional o reglada, como es el caso de la adopción de resoluciones disciplinarias o sancionadoras, como es ahora el caso, conforme se examina en el fundamento jurídico 5.</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El derecho a no ser discriminado por motivo de discapacidad y los “ajustes razonables” en el ámbito del empleo, con especial referencia a la discapacidad mental</w:t>
      </w:r>
      <w:r>
        <w:t>.</w:t>
      </w:r>
    </w:p>
    <w:p w:rsidR="005728DD" w:rsidRDefault="005728DD" w:rsidP="005728DD">
      <w:pPr>
        <w:pStyle w:val="TextoNormal"/>
      </w:pPr>
    </w:p>
    <w:p w:rsidR="005728DD" w:rsidRDefault="005728DD" w:rsidP="005728DD">
      <w:pPr>
        <w:pStyle w:val="TextoNormal"/>
      </w:pPr>
      <w:r>
        <w:t>La adopción de los “ajustes razonables” en el empleo desempeña un papel fundamental a la hora de combatir la discriminación por razón de discapacidad prohibida por el art. 14 CE.</w:t>
      </w:r>
    </w:p>
    <w:p w:rsidR="005728DD" w:rsidRDefault="005728DD" w:rsidP="005728DD">
      <w:pPr>
        <w:pStyle w:val="TextoNormal"/>
      </w:pPr>
    </w:p>
    <w:p w:rsidR="005728DD" w:rsidRDefault="005728DD" w:rsidP="005728DD">
      <w:pPr>
        <w:pStyle w:val="TextoNormal"/>
      </w:pPr>
      <w:r>
        <w:t>Dichos ajustes se integran en el derecho a la igualdad de trato y a la no discriminación de las personas con discapacidad allí donde sean necesarios para garantizar el ejercicio, en igualdad de condiciones, de sus derechos en el ámbito laboral [en este sentido se manifiesta la Observación general núm. 6 (2018) sobre la igualdad y la no discriminación del Comité sobre los Derechos de las Personas con Discapacidad (CRPD/C/GC/6)]. Son esenciales, asimismo, para dar cumplimiento a los mandatos que los arts. 9.2 y 49 CE imponen a todos los poderes públicos.</w:t>
      </w:r>
    </w:p>
    <w:p w:rsidR="005728DD" w:rsidRDefault="005728DD" w:rsidP="005728DD">
      <w:pPr>
        <w:pStyle w:val="TextoNormal"/>
      </w:pPr>
    </w:p>
    <w:p w:rsidR="005728DD" w:rsidRDefault="005728DD" w:rsidP="005728DD">
      <w:pPr>
        <w:pStyle w:val="TextoNormal"/>
      </w:pPr>
      <w:r>
        <w:t xml:space="preserve">El empleo es, de hecho, una de las esferas en las que la discriminación por motivos de discapacidad ha sido “tan preeminente como persistente” (Observación general núm. 5 sobre las personas con discapacidad del Comité de Derechos Económicos, Sociales y Culturales de Naciones Unidas, 1994, párrafo 20). La relevancia de los ajustes razonables como herramienta para garantizar a las personas con discapacidad el goce o ejercicio de sus derechos en igualdad de condiciones ha sido subrayada por la Convención de la ONU, que incluye en su art. 2 como forma de discriminación por motivos de discapacidad la “denegación de ajustes razonables”; por el Tribunal Europeo de Derechos Humanos que se ha hecho eco </w:t>
      </w:r>
      <w:r>
        <w:lastRenderedPageBreak/>
        <w:t xml:space="preserve">de tal disposición en su sentencia de 30 de enero de 2018, asunto </w:t>
      </w:r>
      <w:r w:rsidRPr="005728DD">
        <w:rPr>
          <w:i/>
        </w:rPr>
        <w:t>Enver Şahin c. Turquía</w:t>
      </w:r>
      <w:r>
        <w:t xml:space="preserve">, declarando expresamente, en el marco de la aplicación del art. 14 CEDH, que “la discriminación por razón de discapacidad comprende todas las formas de discriminación, incluyendo la denegación de acomodo razonable” (§ 60); y por el Tribunal de Justicia de la Unión Europea, que interpreta el art. 2.2 b) de la Directiva 2000/78/CE en el sentido de que el despido por “causas objetivas” de un trabajador con discapacidad, debido a que este cumple los criterios de selección generales tomados en consideración para determinar a las personas que van a ser despedidas —como presentar una productividad inferior a un determinado nivel, una menor polivalencia en los puestos de trabajo de la empresa y un elevado índice de absentismo—, constituye una discriminación indirecta por motivos de discapacidad, “a no ser que el empresario haya realizado previamente con respecto a ese trabajador ajustes razonables, en el sentido del artículo 5 de la misma Directiva, a fin de garantizar la observancia del principio de igualdad de trato en relación con las personas con discapacidades” (STJUE de 11 de septiembre de 2019, asunto </w:t>
      </w:r>
      <w:r w:rsidRPr="005728DD">
        <w:rPr>
          <w:i/>
        </w:rPr>
        <w:t>DW</w:t>
      </w:r>
      <w:r>
        <w:t>, C-397/18, § 75).</w:t>
      </w:r>
    </w:p>
    <w:p w:rsidR="005728DD" w:rsidRDefault="005728DD" w:rsidP="005728DD">
      <w:pPr>
        <w:pStyle w:val="TextoNormal"/>
      </w:pPr>
    </w:p>
    <w:p w:rsidR="005728DD" w:rsidRDefault="005728DD" w:rsidP="005728DD">
      <w:pPr>
        <w:pStyle w:val="TextoNormal"/>
      </w:pPr>
      <w:r>
        <w:t>La Ley general de los derechos de las personas con discapacidad, en consonancia con el art. 14 CE, regula en su art. 35 las garantías del derecho al trabajo, precisando los distintos tipos de discriminación y las consecuencias que tiene, en los casos de discriminación indirecta, la no adopción de medidas adecuadas para eliminar las desventajas que suponga una disposición, cláusula, pacto o decisión aparentemente neutros. Por otra parte, según su art. 63 “se vulnera el derecho a la igualdad de oportunidades de las personas con discapacidad, definidas en el artículo 4.1, cuando, por motivo de o por razón de discapacidad, se produzcan discriminaciones directas o indirectas, discriminación por asociación, acosos, incumplimientos de las exigencias de accesibilidad y de realizar ajustes razonables, así como el incumplimiento de las medidas de acción positiva legalmente establecidas”.</w:t>
      </w:r>
    </w:p>
    <w:p w:rsidR="005728DD" w:rsidRDefault="005728DD" w:rsidP="005728DD">
      <w:pPr>
        <w:pStyle w:val="TextoNormal"/>
      </w:pPr>
    </w:p>
    <w:p w:rsidR="005728DD" w:rsidRDefault="005728DD" w:rsidP="005728DD">
      <w:pPr>
        <w:pStyle w:val="TextoNormal"/>
      </w:pPr>
      <w:r>
        <w:t>En el ámbito del empleo público, en particular, el Real Decreto Legislativo 5/2015, de 30 de octubre, por el que se aprueba el estatuto básico del empleado público, recoge en su art. 59.2 la obligación de cada administración pública de adoptar “las adaptaciones y ajustes razonables de tiempos y medios en el proceso selectivo y, una vez superado dicho proceso, las adaptaciones en el puesto de trabajo a las necesidades de las personas con discapacidad”.</w:t>
      </w:r>
    </w:p>
    <w:p w:rsidR="005728DD" w:rsidRDefault="005728DD" w:rsidP="005728DD">
      <w:pPr>
        <w:pStyle w:val="TextoNormal"/>
      </w:pPr>
    </w:p>
    <w:p w:rsidR="005728DD" w:rsidRDefault="005728DD" w:rsidP="005728DD">
      <w:pPr>
        <w:pStyle w:val="TextoNormal"/>
      </w:pPr>
      <w:r>
        <w:t>Teniendo en cuenta el contexto expuesto, actualmente puede llegar a concluirse que el derecho a no ser discriminado por razón de discapacidad que consagra el art. 14 CE comprende el derecho a los ajustes razonables, que no impongan una carga desproporcionada o indebida, que son necesarios para garantizar el derecho de las personas con discapacidad a trabajar en igualdad de condiciones con las demás. El incumplimiento de la obligación por parte del empleador de adoptar los ajustes razonables priva de legitimidad la adopción de medidas como el despido o la adopción de medidas disciplinarias motivadas en posibles insuficiencias en el desempeño de sus funciones por incurrir en discriminación. Aunque tales medidas puedan estar fundadas, en principio, en razones objetivas y aparentemente neutras relacionadas con dicho desempeño, incurren en discriminación si no se ha garantizado antes la observancia del principio de igualdad de trato de las personas discapacitadas mediante los debidos ajustes.</w:t>
      </w:r>
    </w:p>
    <w:p w:rsidR="005728DD" w:rsidRDefault="005728DD" w:rsidP="005728DD">
      <w:pPr>
        <w:pStyle w:val="TextoNormal"/>
      </w:pPr>
    </w:p>
    <w:p w:rsidR="005728DD" w:rsidRDefault="005728DD" w:rsidP="005728DD">
      <w:pPr>
        <w:pStyle w:val="TextoNormal"/>
      </w:pPr>
      <w:r>
        <w:t xml:space="preserve">Cuando una persona solicita en su empleo ajustes razonables por razón de su discapacidad su petición debe ser objeto de consideración desde el momento en que se solicite y se acredite —conforme a la normativa aplicable— el alcance de la discapacidad. La respuesta </w:t>
      </w:r>
      <w:r>
        <w:lastRenderedPageBreak/>
        <w:t>del empleador debe ser expresa y estar debidamente motivada; en particular cuando deniegue los ajustes solicitados por considerarlos desproporcionados o indebidos, ya que de lo contrario incurrirá en una denegación tácita carente de la debida justificación que vulnera dicho derecho.</w:t>
      </w:r>
    </w:p>
    <w:p w:rsidR="005728DD" w:rsidRDefault="005728DD" w:rsidP="005728DD">
      <w:pPr>
        <w:pStyle w:val="TextoNormal"/>
      </w:pPr>
    </w:p>
    <w:p w:rsidR="005728DD" w:rsidRDefault="005728DD" w:rsidP="005728DD">
      <w:pPr>
        <w:pStyle w:val="TextoNormal"/>
      </w:pPr>
      <w:r>
        <w:t xml:space="preserve">La constatación de que una persona tiene una “discapacidad” en el sentido asumido por el legislador en el 4 de la Ley general de derechos de las personas con discapacidad, y la determinación de su alcance, precede lógicamente a la consideración y adopción de las medidas necesarias para cumplir con la obligación de proceder a los ajustes razonables. Sin embargo, hay que precisar que la obligación de realizar dichos ajustes no se limita únicamente a aquellos casos en que se soliciten expresa y formalmente por el afectado; alcanza también a los supuestos en que, aun cuando no se haya procedido a su petición formal por la persona que sufre discapacidad, quien deba garantizar su derecho a no ser discriminado tenga conocimiento de dicha discapacidad. En esta línea, la observación general núm. 6 (2018) sobre la igualdad y la no discriminación del Comité sobre los Derechos de las Personas con Discapacidad de la Convención de la ONU puntualiza que “la obligación de proporcionar ajustes razonables no se limita a situaciones en que una persona con discapacidad haya pedido un ajuste o en que se pueda demostrar que el garante de los derechos en cuestión era consciente de que esa persona tenía una discapacidad. También se aplica cuando el posible garante de los derechos debería haberse dado cuenta de que la persona en cuestión tenía una discapacidad que tal vez obligara a realizar ajustes para que esta pudiera superar obstáculos al ejercicio de sus derechos” (CRPD/C/GC/6, párrafo 24 </w:t>
      </w:r>
      <w:r w:rsidRPr="005728DD">
        <w:rPr>
          <w:i/>
        </w:rPr>
        <w:t>in fine</w:t>
      </w:r>
      <w:r>
        <w:t xml:space="preserve">; en la misma dirección, véanse las conclusiones de la abogada general Eleanor Sharpston, de 19 de octubre de 2017, en el asunto </w:t>
      </w:r>
      <w:r w:rsidRPr="005728DD">
        <w:rPr>
          <w:i/>
        </w:rPr>
        <w:t>Carlos Enrique Ruiz Conejero</w:t>
      </w:r>
      <w:r>
        <w:t>, C-270/16, puntos 39 y 41). En estos últimos casos, ciertamente, el cumplimiento de la obligación de proceder a ajustes razonables puede verse obstaculizado o impedido por la falta de datos relevantes facilitados por el empleado o empleada, en cuyo caso, y hasta que no tenga la información necesaria, tan solo estará en manos del empleador informarle de este derecho. Sin embargo, tan pronto como se constate la discapacidad, el empleador deberá cumplir con su obligación de garantizar la igualdad de trato y la no discriminación de las personas con discapacidad a través de los ajustes razonables que sean necesarios y factibles.</w:t>
      </w:r>
    </w:p>
    <w:p w:rsidR="005728DD" w:rsidRDefault="005728DD" w:rsidP="005728DD">
      <w:pPr>
        <w:pStyle w:val="TextoNormal"/>
      </w:pPr>
    </w:p>
    <w:p w:rsidR="005728DD" w:rsidRDefault="005728DD" w:rsidP="005728DD">
      <w:pPr>
        <w:pStyle w:val="TextoNormal"/>
      </w:pPr>
      <w:r>
        <w:t>El cumplimiento de esta obligación responde, además, a una triple exigencia constitucional cuando quien emplea es la administración pública, dado que por una parte debe velar por el respeto del derecho fundamental consagrado en el art. 14 CE y, por otra, sobre la misma recaen directamente los mandatos de los arts. 9.2 y 49 CE.</w:t>
      </w:r>
    </w:p>
    <w:p w:rsidR="005728DD" w:rsidRDefault="005728DD" w:rsidP="005728DD">
      <w:pPr>
        <w:pStyle w:val="TextoNormal"/>
      </w:pPr>
    </w:p>
    <w:p w:rsidR="005728DD" w:rsidRDefault="005728DD" w:rsidP="005728DD">
      <w:pPr>
        <w:pStyle w:val="TextoNormal"/>
      </w:pPr>
      <w:r>
        <w:t xml:space="preserve">En el caso particular de las personas con discapacidad mental, por causas psíquicas, intelectuales o cognitivas, no se puede ignorar que los prejuicios y la discriminación que han sufrido secularmente quienes la padecen, constituyen importantes barreras a la hora de informar de esta forma de discapacidad en el lugar de trabajo. Barreras a las que, en algunos casos, puede sumarse la autopercepción que de la discapacidad pueda tener la persona afectada. Se trata de formas de discapacidad menos conocidas y comprendidas que las discapacidades físicas, y que todavía siguen rodeadas de mitos, miedos y estereotipos que hacen que quienes las padecen sean especialmente vulnerables a la discriminación. Razón por la que la recomendación sobre la política integrada de salud mental, competencias y empleo adoptada por el Consejo de la Organización para la Cooperación y Desarrollo Económico (OCDE) el 14 de diciembre de 2015, a la que se ha adherido España, plantea la necesidad </w:t>
      </w:r>
      <w:r>
        <w:lastRenderedPageBreak/>
        <w:t>de que las autoridades tomen medidas para hacer frente a esta realidad. Una realidad que puede dificultar el ejercicio del derecho a que se efectúen ajustes razonables en el empleo, esencial para garantizar la igualdad de trato y de oportunidades de las personas con discapacidad mental. Por consiguiente, en estos casos es particularmente importante que el empleador adopte los ajustes razonables que sean necesarios y adecuados para garantizar su igualdad de trato y no discriminación tan pronto como tenga conocimiento de tal discapacidad; y, en todo caso, antes de emprender cualquier acción que pueda ir en menoscabo del empleo y trabajo de una persona que la sufre, como lo es en todo caso el despido, la jubilación, o la imposición de medidas disciplinarias.</w:t>
      </w:r>
    </w:p>
    <w:p w:rsidR="005728DD" w:rsidRDefault="005728DD" w:rsidP="005728DD">
      <w:pPr>
        <w:pStyle w:val="TextoNormal"/>
      </w:pPr>
    </w:p>
    <w:p w:rsidR="005728DD" w:rsidRDefault="005728DD" w:rsidP="005728DD">
      <w:pPr>
        <w:pStyle w:val="TextoNormal"/>
      </w:pPr>
      <w:r>
        <w:t>En todo caso, tan pronto como un trabajador o trabajadora acredite la existencia de una discapacidad el empleador debe tener en cuenta debidamente los obstáculos específicos con los que este se enfrenta y cumplir con su obligación de adoptar ajustes razonables en el puesto de trabajo para garantizar a quien la padece el ejercicio de sus derechos en el ámbito del empleo en igualdad de condiciones que las demás personas. Asimismo, por respeto a los derechos fundamentales y bienes jurídicos afectados, debe exteriorizar debidamente la motivación de la decisión adoptada, en particular si se aprecia la improcedencia o imposibilidad de los ajustes solicitados. En caso contrario, la adopción de medidas como el despido o la imposición de una sanción de carácter disciplinario, que estén relacionadas con dificultades en el desempeño de sus funciones que puedan ser solventadas mediante ajustes razonables, incurrirán en discriminación prohibida por el art. 14 CE aun cuando estén basadas en razones objetivas aparentemente neutras.</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Vulneración de los arts. 24.2 CE y 25 CE: doctrina constitucional sobre el principio de culpabilidad y el derecho a la presunción de inocencia</w:t>
      </w:r>
      <w:r>
        <w:t>.</w:t>
      </w:r>
    </w:p>
    <w:p w:rsidR="005728DD" w:rsidRDefault="005728DD" w:rsidP="005728DD">
      <w:pPr>
        <w:pStyle w:val="TextoNormal"/>
      </w:pPr>
    </w:p>
    <w:p w:rsidR="005728DD" w:rsidRDefault="005728DD" w:rsidP="005728DD">
      <w:pPr>
        <w:pStyle w:val="TextoNormal"/>
      </w:pPr>
      <w:r>
        <w:t>Este tribunal ha declarado que la Constitución consagra sin duda el principio de culpabilidad como principio estructural básico tanto del Derecho penal como del Derecho administrativo sancionador [por todas las SSTC 76/1990, de 26 de abril, FFJJ 4 y 5; 246/1991, de 19 de diciembre, FJ 2, y 86/2017, de 4 de julio, FJ 5 e)], vinculándolo con los arts. 10, 24 y 25 CE (por todas, STC 14/2021, de 28 de enero, FJ 5 y jurisprudencia allí citada).</w:t>
      </w:r>
    </w:p>
    <w:p w:rsidR="005728DD" w:rsidRDefault="005728DD" w:rsidP="005728DD">
      <w:pPr>
        <w:pStyle w:val="TextoNormal"/>
      </w:pPr>
    </w:p>
    <w:p w:rsidR="005728DD" w:rsidRDefault="005728DD" w:rsidP="005728DD">
      <w:pPr>
        <w:pStyle w:val="TextoNormal"/>
      </w:pPr>
      <w:r>
        <w:t>Si bien nuestra doctrina no ha identificado un solo modo de entender el principio de culpabilidad, sí ha excluido una comprensión del mismo que permita admitir la existencia de un derecho penal “de autor” que determine las penas en atención a la personalidad del reo y no según la culpabilidad de este en la comisión de los hechos (por todas, STC 150/1991, de 4 de julio, FJ 4). Ello supone que no resulta constitucionalmente legítimo tampoco un “derecho sancionador que determina las penas en atención al mero resultado y sin atender a la conducta diligente del presunto sujeto responsable [STC 76/1990, de 26 de abril, FJ 4 A)]” (STC 14/2021, de 28 de enero, FJ 5).</w:t>
      </w:r>
    </w:p>
    <w:p w:rsidR="005728DD" w:rsidRDefault="005728DD" w:rsidP="005728DD">
      <w:pPr>
        <w:pStyle w:val="TextoNormal"/>
      </w:pPr>
    </w:p>
    <w:p w:rsidR="005728DD" w:rsidRDefault="005728DD" w:rsidP="005728DD">
      <w:pPr>
        <w:pStyle w:val="TextoNormal"/>
      </w:pPr>
      <w:r>
        <w:t xml:space="preserve">El principio de culpabilidad, tal y como se entiende en la jurisprudencia constitucional, proscribe la responsabilidad sin culpa, exigiendo no solo la autoría de la acción o de la omisión sancionables, sino también la necesidad de determinar la presencia de dolo o imprudencia. Tal y como se sintetiza en la STC 14/2021, de 28 de enero: “‘Al principio de culpabilidad se anuda asimismo la proscripción de la responsabilidad sin culpa o responsabilidad objetiva en el ámbito del </w:t>
      </w:r>
      <w:r w:rsidRPr="005728DD">
        <w:rPr>
          <w:i/>
        </w:rPr>
        <w:t>ius puniendi</w:t>
      </w:r>
      <w:r>
        <w:t xml:space="preserve">, lo que, además de exigir la presencia de dolo o imprudencia, conlleva también la necesidad de determinar la autoría de la acción o de la </w:t>
      </w:r>
      <w:r>
        <w:lastRenderedPageBreak/>
        <w:t>omisión sancionable (SSTC 120/1994, de 25 de abril, FJ 2; 103/1995, de 3 de julio, FJ 3, y 57/2010, de 10 de octubre, FJ 9; ATC 237/2012, de 11 de diciembre, FJ 3), así como el principio de la responsabilidad personal por hechos propios y no ajenos —principio de la personalidad de la pena o sanción— [SSTC 131/1987, de 20 de julio, FJ 6; 219/1988, de 22 de noviembre, FJ 3; 254/1988, de 21 de diciembre, FJ 5; 246/1991, de 19 de diciembre, FJ 2; 146/1994, de 12 de mayo, FJ 4 b); 93/1996, de 28 de mayo, FJ 1; 137/1997, de 21 de julio, FJ 5; 125/2001, de 4 de junio, FJ 6, y 60/2010, de 7 de octubre, FJ 4]’. (STC 185/2014, de 6 de noviembre, FJ 3)” (FJ 5).</w:t>
      </w:r>
    </w:p>
    <w:p w:rsidR="005728DD" w:rsidRDefault="005728DD" w:rsidP="005728DD">
      <w:pPr>
        <w:pStyle w:val="TextoNormal"/>
      </w:pPr>
    </w:p>
    <w:p w:rsidR="005728DD" w:rsidRDefault="005728DD" w:rsidP="005728DD">
      <w:pPr>
        <w:pStyle w:val="TextoNormal"/>
      </w:pPr>
      <w:r>
        <w:t xml:space="preserve">En suma, el principio de culpabilidad exige que “la responsabilidad penal surja por la realización de un hecho antijurídico doloso imputable a una persona concreta por haber quedado así acreditado ‘más allá de toda duda razonable’ [SSTC 81/1998, de 2 de abril, FJ 3; 145/2005, de 6 de junio, FJ 5 a), y 141/2006, de 8 de mayo, FJ 3]. Como ha dicho este tribunal, el principio de culpabilidad es el elemento ‘que marca la frontera de la </w:t>
      </w:r>
      <w:r w:rsidRPr="005728DD">
        <w:rPr>
          <w:i/>
        </w:rPr>
        <w:t>vindicta</w:t>
      </w:r>
      <w:r>
        <w:t xml:space="preserve"> con la justicia’ (STC 133/1995, de 25 de septiembre, FJ 2; y en el mismo sentido, SSTC 102/1994, de 11 de abril, FJ 3; 34/1996, de 11 de marzo, FJ 3, y ATC 43/1996, de 26 de febrero, FJ 2)” (STC 57/2010, de 4 de octubre, FJ 9).</w:t>
      </w:r>
    </w:p>
    <w:p w:rsidR="005728DD" w:rsidRDefault="005728DD" w:rsidP="005728DD">
      <w:pPr>
        <w:pStyle w:val="TextoNormal"/>
      </w:pPr>
    </w:p>
    <w:p w:rsidR="005728DD" w:rsidRDefault="005728DD" w:rsidP="005728DD">
      <w:pPr>
        <w:pStyle w:val="TextoNormal"/>
      </w:pPr>
      <w:r>
        <w:t>Ha de insistirse, por último, en relación con el principio de culpabilidad, que, en el ámbito del Derecho administrativo sancionador, el principio de culpabilidad “excluye la imposición de sanciones por el mero resultado y sin atender a la conducta diligente” del presunto sujeto responsable [STC 76/1990, de 26 de abril, FJ 4 A)].</w:t>
      </w:r>
    </w:p>
    <w:p w:rsidR="005728DD" w:rsidRDefault="005728DD" w:rsidP="005728DD">
      <w:pPr>
        <w:pStyle w:val="TextoNormal"/>
      </w:pPr>
    </w:p>
    <w:p w:rsidR="005728DD" w:rsidRDefault="005728DD" w:rsidP="005728DD">
      <w:pPr>
        <w:pStyle w:val="TextoNormal"/>
      </w:pPr>
      <w:r>
        <w:t>En cuanto al derecho a la presunción de inocencia (art. 24.2 CE), que puede plantear estrechos vínculos con el principio de culpabilidad, la doctrina de este tribunal ha reconocido que tal derecho es uno de los principios cardinales del Derecho sancionador contemporáneo y es consciente de la importancia garantista del mismo, al que considera “la principal manifestación constitucional de la especial necesidad de proteger a la persona frente a una reacción estatal sancionadora injustificada” (SSTC 141/2006, de 8 de mayo, FJ 3, y 201/2012, de 12 de noviembre, FJ 4). Como regla, se configura como derecho a no sufrir una sanción a menos que la culpabilidad haya quedado establecida más allá de toda duda razonable.</w:t>
      </w:r>
    </w:p>
    <w:p w:rsidR="005728DD" w:rsidRDefault="005728DD" w:rsidP="005728DD">
      <w:pPr>
        <w:pStyle w:val="TextoNormal"/>
      </w:pPr>
    </w:p>
    <w:p w:rsidR="005728DD" w:rsidRDefault="005728DD" w:rsidP="005728DD">
      <w:pPr>
        <w:pStyle w:val="TextoNormal"/>
      </w:pPr>
      <w:r>
        <w:t xml:space="preserve">En el fundamento jurídico 3 de la STC 185/2014, de 6 de noviembre, se sintetiza el contenido del derecho a la presunción de inocencia, poniéndolo claramente en conexión con el respeto al principio de culpabilidad, cuando se establece que “como regla de tratamiento, la presunción de inocencia impide tener por culpable a quien no ha sido así declarado tras un previo juicio justo (por todas, STC 153/2009, de 25 de junio, FJ 5) y, como regla de juicio en el ámbito de la jurisdicción ordinaria, se configura como derecho del acusado a no sufrir una condena a menos que la culpabilidad haya quedado establecida más allá de toda duda razonable (entre muchas, últimamente, STC 78/2013, de 8 de abril, FJ 2). El art. 24.2 CE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(STC 105/1988, de 8 de junio, FJ 3). Como regla presuntiva supone que ‘el acusado llega al juicio como inocente y solo puede salir de él como culpable si su primitiva condición es desvirtuada plenamente a partir de las pruebas aportadas por las acusaciones’ (SSTC 124/2001, de 4 de junio, FJ 9, y 145/2005, FJ 5). La presunción de </w:t>
      </w:r>
      <w:r>
        <w:lastRenderedPageBreak/>
        <w:t xml:space="preserve">inocencia es, por tanto, una presunción </w:t>
      </w:r>
      <w:r w:rsidRPr="005728DD">
        <w:rPr>
          <w:i/>
        </w:rPr>
        <w:t>iuris tantum</w:t>
      </w:r>
      <w:r>
        <w:t xml:space="preserve"> de ausencia de culpabilidad ‘que determina la exclusión de la presunción inversa de culpabilidad criminal de cualquier persona durante el desarrollo del proceso, por estimarse que no es culpable hasta que así se declare en sentencia condenatoria’ (STC 107/1983, de 29 de noviembre, FJ 2)”.</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Análisis de la pretensión de amparo: apreciación de las lesiones alegadas</w:t>
      </w:r>
      <w:r>
        <w:t>.</w:t>
      </w:r>
    </w:p>
    <w:p w:rsidR="005728DD" w:rsidRDefault="005728DD" w:rsidP="005728DD">
      <w:pPr>
        <w:pStyle w:val="TextoNormal"/>
      </w:pPr>
    </w:p>
    <w:p w:rsidR="005728DD" w:rsidRDefault="005728DD" w:rsidP="005728DD">
      <w:pPr>
        <w:pStyle w:val="TextoNormal"/>
      </w:pPr>
      <w:r>
        <w:t>Tal y como se expone de forma detallada en los antecedentes, en el caso concreto que da lugar a este recurso de amparo el recurrente reveló padecer síndrome de Asperger en el curso del procedimiento disciplinario, y argumentó como defensa ante la administración que las deficiencias que se le imputaban en el ejercicio de sus funciones se debían a que su discapacidad dificultaba su desempeño, solicitando por ello ajustes conforme a la normativa ya expuesta.</w:t>
      </w:r>
    </w:p>
    <w:p w:rsidR="005728DD" w:rsidRDefault="005728DD" w:rsidP="005728DD">
      <w:pPr>
        <w:pStyle w:val="TextoNormal"/>
      </w:pPr>
    </w:p>
    <w:p w:rsidR="005728DD" w:rsidRDefault="005728DD" w:rsidP="005728DD">
      <w:pPr>
        <w:pStyle w:val="TextoNormal"/>
      </w:pPr>
      <w:r>
        <w:t>Hay que advertir en este punto que queda fuera del ámbito de esta sentencia cualquier consideración general sobre la naturaleza del síndrome de Asperger, o sobre el grado o supuestos en que puede llegar a limitar de manera significativa la capacidad de quien lo padece. Baste aquí con recordar que recientemente la Organización Mundial de la Salud ha incluido el síndrome de Asperger en la categoría de “trastornos del espectro del autismo” (clasificación internacional de enfermedades, CIE-11, 2018), y que conforme a la Resolución de la Asamblea Mundial de la Salud sobre medidas integrales y coordinadas para gestionar los trastornos del espectro autista, las manifestaciones de esos trastornos “varían mucho en cuanto a las combinaciones y la gravedad de los síntomas”, y que las personas que los sufren pueden encontrar “barreras para participar en condiciones de igualdad en la sociedad” y ser, en definitiva, víctimas de discriminación por razón de discapacidad (WHA67.8, 19-24 de mayo de 2014, pág. 13).</w:t>
      </w:r>
    </w:p>
    <w:p w:rsidR="005728DD" w:rsidRDefault="005728DD" w:rsidP="005728DD">
      <w:pPr>
        <w:pStyle w:val="TextoNormal"/>
      </w:pPr>
    </w:p>
    <w:p w:rsidR="005728DD" w:rsidRDefault="005728DD" w:rsidP="005728DD">
      <w:pPr>
        <w:pStyle w:val="TextoNormal"/>
      </w:pPr>
      <w:r>
        <w:t xml:space="preserve">Partiendo de que en este caso estamos, por tanto, ante un trastorno que puede derivar en discapacidad mental, corresponde al tribunal analizar si, tal y como se recoge en el canon expuesto en los fundamentos precedentes, esa discapacidad debió provocar en la administración, y no lo hizo, una serie de ajustes razonables en el puesto de trabajo, y si de la falta de ajustes pudo derivarse la imposibilidad de cumplimiento de las obligaciones laborales que desencadenó la apertura del expediente disciplinario cuyas consecuencias se contestan en el presente recurso de amparo. En conexión con lo anterior, deberá determinarse si estas circunstancias (la ausencia de ajustes razonables de la que podría haber derivado una imposibilidad de cumplimiento de sus obligaciones) influyen en la observancia del principio de culpabilidad, en la medida en que puedan haber hecho imposible respetar una conducta diligente por parte del recurrente en amparo. Excluyéndose la imposición de sanciones por el mero resultado, y sin atender a si la conducta fue o no diligente, es decir, excluyéndose la culpabilidad en estos supuestos, la imposición de la sanción no solo habría vulnerado el principio de culpabilidad </w:t>
      </w:r>
      <w:r w:rsidRPr="005728DD">
        <w:rPr>
          <w:i/>
        </w:rPr>
        <w:t>ex</w:t>
      </w:r>
      <w:r>
        <w:t xml:space="preserve"> art. 25.1 CE, sino también el derecho a la presunción de inocencia (art. 24.2 CE), que no puede decaer por la imposición de una condena a no ser que la culpabilidad haya quedado establecida más allá de toda duda razonable.</w:t>
      </w:r>
    </w:p>
    <w:p w:rsidR="005728DD" w:rsidRDefault="005728DD" w:rsidP="005728DD">
      <w:pPr>
        <w:pStyle w:val="TextoNormal"/>
      </w:pPr>
    </w:p>
    <w:p w:rsidR="005728DD" w:rsidRDefault="005728DD" w:rsidP="005728DD">
      <w:pPr>
        <w:pStyle w:val="TextoNormal"/>
      </w:pPr>
      <w:r>
        <w:t>El recurrente expone en la demanda que en el marco del procedimiento disciplinario —en el pliego de descargo y en las alegaciones a la propuesta de resolución sancionadora—, aportó un panorama indiciario de discriminación por discapacidad, sustentado en una acti</w:t>
      </w:r>
      <w:r>
        <w:lastRenderedPageBreak/>
        <w:t>vidad alegatoria precisa, concreta y basada en hechos probados, pese a lo cual la administración se abstuvo de dar una respuesta suficiente y razonable a los indicios aportados, tal y como exige la doctrina constitucional sobre el reparto de la carga de la prueba ya expuesta en el fundamento jurídico 3 b). Afirma que la resolución sancionadora se limitó a considerar las disfunciones en la llevanza o dirección de la oficina judicial, haciendo abstracción de que pudieran ser manifestaciones de la discapacidad que sufre por padecer síndrome de Asperger, partiendo del sofisma de que al no ser declarado como “totalmente incapacitado” por el informe del equipo de valoración de incapacidades del Instituto Nacional de la Seguridad Social (INSS), está “totalmente posibilitado” para las funciones que desempeña en su puesto de trabajo.</w:t>
      </w:r>
    </w:p>
    <w:p w:rsidR="005728DD" w:rsidRDefault="005728DD" w:rsidP="005728DD">
      <w:pPr>
        <w:pStyle w:val="TextoNormal"/>
      </w:pPr>
    </w:p>
    <w:p w:rsidR="005728DD" w:rsidRDefault="005728DD" w:rsidP="005728DD">
      <w:pPr>
        <w:pStyle w:val="TextoNormal"/>
      </w:pPr>
      <w:r>
        <w:t>Pues bien, teniendo en cuenta la doctrina contenida en los fundamentos precedentes, es posible estimar las pretensiones deducidas en la demanda de amparo.</w:t>
      </w:r>
    </w:p>
    <w:p w:rsidR="005728DD" w:rsidRDefault="005728DD" w:rsidP="005728DD">
      <w:pPr>
        <w:pStyle w:val="TextoNormal"/>
      </w:pPr>
    </w:p>
    <w:p w:rsidR="005728DD" w:rsidRDefault="005728DD" w:rsidP="005728DD">
      <w:pPr>
        <w:pStyle w:val="TextoNormal"/>
      </w:pPr>
      <w:r>
        <w:t>a) La ausencia de respuesta suficiente y razonable a las alegaciones del recurrente en el pliego de descargo, relacionadas con los indicios de estar sufriendo discriminación por razón de su situación personal, supone en este caso, tal y como aprecia el Ministerio Fiscal, una vulneración del derecho a la presunción de inocencia (art. 24.2 CE), al influir de manera directa sobre la aplicación del principio de culpabilidad (art. 25.1 CE). Si bien la administración ha acreditado suficientemente la concurrencia del elemento objetivo del tipo de la infracción que se le imputa al recurrente mediante los diversos informes y actas de inspección emitidos, no cabe apreciar lo mismo en relación con el elemento subjetivo de la infracción: el recurrente aportó informe psiquiátrico, y propuso a la administración la práctica de prueba de descargo que esta acordó no practicar. Sí utilizó, por el contrario, declaración de testigos anónimos, vulnerando el derecho a un proceso con todas las garantías, conforme a nuestra consolidada doctrina (por todas, véase la STC 75/2013, de 8 de abril, FJ 5).</w:t>
      </w:r>
    </w:p>
    <w:p w:rsidR="005728DD" w:rsidRDefault="005728DD" w:rsidP="005728DD">
      <w:pPr>
        <w:pStyle w:val="TextoNormal"/>
      </w:pPr>
    </w:p>
    <w:p w:rsidR="005728DD" w:rsidRDefault="005728DD" w:rsidP="005728DD">
      <w:pPr>
        <w:pStyle w:val="TextoNormal"/>
      </w:pPr>
      <w:r>
        <w:t>Posteriormente, el recurrente aportó certificado administrativo acreditando en aquel momento una discapacidad, ciertamente menor. Sin embargo, la administración dio por acreditada la existencia de negligencia en los términos ya expuestos sin dar respuesta expresa a las alegaciones que ponían en cuestión la plena concurrencia del elemento subjetivo de la culpabilidad por razón de la discapacidad aducida, ni valorar la prueba de descargo que el recurrente ofrecía.</w:t>
      </w:r>
    </w:p>
    <w:p w:rsidR="005728DD" w:rsidRDefault="005728DD" w:rsidP="005728DD">
      <w:pPr>
        <w:pStyle w:val="TextoNormal"/>
      </w:pPr>
    </w:p>
    <w:p w:rsidR="005728DD" w:rsidRDefault="005728DD" w:rsidP="005728DD">
      <w:pPr>
        <w:pStyle w:val="TextoNormal"/>
      </w:pPr>
      <w:r>
        <w:t xml:space="preserve">En este caso, además, la administración pudo advertir tempranamente indicios de que don A.M.Z. experimentaba dificultades particulares que menoscababan su capacidad para desempeñar correctamente sus funciones como letrado de la administración de justicia (como las asociadas al uso de nuevos instrumentos o tecnologías o de índole relacional). De hecho, la afirmación de la resolución sancionadora según la cual “se ha podido comprobar una importante corrección de las disfunciones detectadas” (fundamento jurídico 9), pero destacando que para ello fue necesario dar traslado al letrado de la administración de justicia de los informes de inspección y seguimiento —en cuyo marco tuvo lugar alguna acción puntual de instrucción sobre la llevanza de la cuenta de consignaciones y del sistema integrado de registros administrativos al servicio de la administración de justicia, como se pone de manifiesto en el expediente administrativo—, arroja dudas sobre si la adopción de ciertos ajustes razonables no podría haber solventado o al menos mitigado las dificultades que experimentaba el recurrente en relación con estos aspectos técnicos. La administración debió llegar, en definitiva, a un convencimiento sobre la culpabilidad del responsable “más allá </w:t>
      </w:r>
      <w:r>
        <w:lastRenderedPageBreak/>
        <w:t>de toda duda razonable” (en este sentido, véase, STC 185/2014, de 6 de noviembre, FJ 3), valorando la prueba de descargo aportada, y explicando suficientemente su aceptación o rechazo (conforme exige también la STC 74/2007, de 16 de abril, FJ 3). Al no hacerlo, y proceder en los términos expuestos, la administración vulneró también el derecho a un proceso con todas las garantías y a la presunción de inocencia (art. 24.2 CE), así como el principio de culpabilidad (art. 25.1 CE), pues no se llegaron a valorar todos los elementos necesarios para calificar como no diligente la conducta del recurrente en amparo. La consecuencia de todo ello fue la imposición de una sanción por el mero resultado producido.</w:t>
      </w:r>
    </w:p>
    <w:p w:rsidR="005728DD" w:rsidRDefault="005728DD" w:rsidP="005728DD">
      <w:pPr>
        <w:pStyle w:val="TextoNormal"/>
      </w:pPr>
    </w:p>
    <w:p w:rsidR="005728DD" w:rsidRDefault="005728DD" w:rsidP="005728DD">
      <w:pPr>
        <w:pStyle w:val="TextoNormal"/>
      </w:pPr>
      <w:r>
        <w:t>b) La falta de valoración de todos los elementos presentes en el supuesto de hecho tiene su origen en la inadecuada inversión de la carga de la prueba, que debería haberse realizado desde el momento en que el recurrente invocó indicios suficientes de discriminación.</w:t>
      </w:r>
    </w:p>
    <w:p w:rsidR="005728DD" w:rsidRDefault="005728DD" w:rsidP="005728DD">
      <w:pPr>
        <w:pStyle w:val="TextoNormal"/>
      </w:pPr>
    </w:p>
    <w:p w:rsidR="005728DD" w:rsidRDefault="005728DD" w:rsidP="005728DD">
      <w:pPr>
        <w:pStyle w:val="TextoNormal"/>
      </w:pPr>
      <w:r>
        <w:t>La doctrina de la inversión de la carga de la prueba, en los términos expuestos en el fundamento jurídico 3 b), opera en el ámbito de cualquier actuación de la administración ya sea en ejercicio de potestades discrecionales o regladas, como es el caso de la adopción de resoluciones disciplinarias o sancionadoras.</w:t>
      </w:r>
    </w:p>
    <w:p w:rsidR="005728DD" w:rsidRDefault="005728DD" w:rsidP="005728DD">
      <w:pPr>
        <w:pStyle w:val="TextoNormal"/>
      </w:pPr>
    </w:p>
    <w:p w:rsidR="005728DD" w:rsidRDefault="005728DD" w:rsidP="005728DD">
      <w:pPr>
        <w:pStyle w:val="TextoNormal"/>
      </w:pPr>
      <w:r>
        <w:t>En este caso, la excepción a la inversión de la carga de la prueba para los procesos penales o sancionadores contencioso-administrativos, prevista en el art. 77.2 de la Ley general de derechos de las personas con discapacidad, ha de ser objeto de una interpretación estricta y conforme a la doctrina constitucional arriba expuesta, de manera que no es aplicable en el marco de un procedimiento administrativo disciplinario o sancionador en detrimento de las personas con discapacidad que acrediten la existencia de indicios que generen una razonable sospecha, apariencia o presunción de discriminación. Dicha excepción, prevista únicamente para los procesos judiciales penales o contencioso-administrativos sancionadores, está vinculada a la preservación del derecho a la presunción de inocencia cuando los poderes públicos ejercen su potestad punitiva o sancionadora frente a conductas a las que se impute o atribuya discriminación por razón de discapacidad (como las tipificadas en el título III de la citada ley).</w:t>
      </w:r>
    </w:p>
    <w:p w:rsidR="005728DD" w:rsidRDefault="005728DD" w:rsidP="005728DD">
      <w:pPr>
        <w:pStyle w:val="TextoNormal"/>
      </w:pPr>
    </w:p>
    <w:p w:rsidR="005728DD" w:rsidRDefault="005728DD" w:rsidP="005728DD">
      <w:pPr>
        <w:pStyle w:val="TextoNormal"/>
      </w:pPr>
      <w:r>
        <w:t>Supuestos en los que, en efecto, los tribunales y las administraciones deben actuar siempre con pleno respeto al derecho de defensa y a la presunción de inocencia, y en los que les compete en todo caso probar que, junto a los elementos objetivos del ilícito concurren también los elementos subjetivos determinantes de la culpabilidad de aquel al que se le imputa la infracción en cuestión. Ello sin perjuicio de que, conforme a la doctrina general de este tribunal sobre la prueba indiciaria, “el derecho a la presunción de inocencia se destruye cuando un tribunal independiente, imparcial y establecido por la Ley declara la culpabilidad de una persona tras un proceso celebrado con todas las garantías al cual se aporte una suficiente prueba de cargo sin que a ello se oponga que la convicción del órgano sancionador se logre a través de la denominada prueba indiciaria” (STC 135/2008, de 26 de mayo, y las allí citadas). En definitiva, el apartado 2 del art. 77 de la Ley general de derechos de las personas con discapacidad no puede interpretarse en el sentido de que impide el reparto de la carga de la prueba, conforme a la doctrina constitucional expuesta, cuando se alega un panorama indiciario de discriminación por discapacidad que genere una razonable sospecha, apariencia o presunción a favor de dicho alegato frente a una administración que actúa en ejercicio de su potestad disciplinaria o sancionadora.</w:t>
      </w:r>
    </w:p>
    <w:p w:rsidR="005728DD" w:rsidRDefault="005728DD" w:rsidP="005728DD">
      <w:pPr>
        <w:pStyle w:val="TextoNormal"/>
      </w:pPr>
    </w:p>
    <w:p w:rsidR="005728DD" w:rsidRDefault="005728DD" w:rsidP="005728DD">
      <w:pPr>
        <w:pStyle w:val="TextoNormal"/>
      </w:pPr>
      <w:r>
        <w:lastRenderedPageBreak/>
        <w:t xml:space="preserve">c) En este caso, el recurrente desarrolló, ya en el marco del procedimiento administrativo disciplinario, una actividad alegatoria suficientemente precisa y concreta en torno a la existencia de indicios de discriminación por razón de discapacidad sobre la base de los hechos probados descritos en los antecedentes. De manera que recaía en la administración la carga de desvirtuar en el marco de dicho procedimiento cualquier duda fundada sobre la existencia de discriminación. Carga que compete en primer término a la administración y que no puede ser suplida </w:t>
      </w:r>
      <w:r w:rsidRPr="005728DD">
        <w:rPr>
          <w:i/>
        </w:rPr>
        <w:t>a posteriori</w:t>
      </w:r>
      <w:r>
        <w:t xml:space="preserve"> en el marco de los procedimientos judiciales ulteriores en línea con la argumentación de la abogacía del Estado.</w:t>
      </w:r>
    </w:p>
    <w:p w:rsidR="005728DD" w:rsidRDefault="005728DD" w:rsidP="005728DD">
      <w:pPr>
        <w:pStyle w:val="TextoNormal"/>
      </w:pPr>
    </w:p>
    <w:p w:rsidR="005728DD" w:rsidRDefault="005728DD" w:rsidP="005728DD">
      <w:pPr>
        <w:pStyle w:val="TextoNormal"/>
      </w:pPr>
      <w:r>
        <w:t>En la contestación al pliego de cargos formulado el 2 de septiembre de 2015 el recurrente alegó sufrir síndrome de Asperger (información que se había reservado, según alega, por considerarla perteneciente a su intimidad). Aportó entonces informe del psiquiatra que venía tratándole desde el año 2002 con tal diagnóstico, y accedió a someterse a un reconocimiento por psiquiatra designado por la administración para confirmarlo (ofrecimiento que fue rechazado por la instructora del procedimiento). Invocó, asimismo, el derecho a ajustes razonables en su puesto de trabajo para solventar las dificultades que experimentaba. Por otra parte, argumentó también que los servicios y órganos de la administración de justicia que intervinieron en este procedimiento eran conscientes de que tenía algún tipo de discapacidad, afirmación que el recurrente infería de los siguientes hechos que constan en el expediente administrativo en los términos detallados en los antecedentes: (i) las manifestaciones del secretario de gobierno del Tribunal Superior de Justicia de La Rioja y de las inspectoras en las que se vierten dudas sobre su capacidad y aptitud para llevar a cabo las funciones que le competente como letrado de la administración de justicia; (ii) la iniciación de oficio a propuesta del secretario de gobierno del Tribunal Superior de Justicia de La Rioja del procedimiento para jubilarle por incapacidad permanente, que no prosperó por emitir el equipo de valoración de incapacidades del (INSS) un informe negativo; (iii) la incoación a continuación de un procedimiento disciplinario, tratando como una cuestión de indisciplina lo que antes se dudaba que lo fuera, en cuyo seno solicitó ajustes razonables, y en el que denunció la falta de valoración de las alegaciones y pruebas de descargo, así como la falta de consideración de su solicitud de ajustes razonables.</w:t>
      </w:r>
    </w:p>
    <w:p w:rsidR="005728DD" w:rsidRDefault="005728DD" w:rsidP="005728DD">
      <w:pPr>
        <w:pStyle w:val="TextoNormal"/>
      </w:pPr>
    </w:p>
    <w:p w:rsidR="005728DD" w:rsidRDefault="005728DD" w:rsidP="005728DD">
      <w:pPr>
        <w:pStyle w:val="TextoNormal"/>
      </w:pPr>
      <w:r>
        <w:t>En la demanda de amparo pone de manifiesto que, posteriormente, antes de que recayese resolución definitiva, dio cuenta a la administración de la resolución de 10 de febrero de 2016 del Gobierno de La Rioja reconociéndole un “trastorno del desarrollo de etiología no filiada”, con una discapacidad del 10 por 100. Y que en la resolución sancionadora se afirma que “se ha podido comprobar una importante corrección de las disfunciones detectadas”, pero que para ello fue necesario dar traslado al letrado de la administración de justicia de los informes de inspección y seguimiento (constando en una de las actas de inspección una acción puntual de instrucción al recurrente sobre la llevanza de la cuenta de consignaciones y del sistema integrado de registros administrativos al servicio de la administración de justicia), lo que la demanda considera también como un indicio de que era posible proceder a ajustes razonables para solventar las dificultades que experimentaba el recurrente en estos aspectos técnicos.</w:t>
      </w:r>
    </w:p>
    <w:p w:rsidR="005728DD" w:rsidRDefault="005728DD" w:rsidP="005728DD">
      <w:pPr>
        <w:pStyle w:val="TextoNormal"/>
      </w:pPr>
    </w:p>
    <w:p w:rsidR="005728DD" w:rsidRDefault="005728DD" w:rsidP="005728DD">
      <w:pPr>
        <w:pStyle w:val="TextoNormal"/>
      </w:pPr>
      <w:r>
        <w:t xml:space="preserve">d) Ante ello la administración estaba obligada a aportar una prueba precisa y suficiente de que la sanción del demandante de amparo tuvo causas reales absolutamente extrañas a la pretendida vulneración de derechos fundamentales. Sin embargo, frente a las alegaciones de don A.M.Z. en el procedimiento disciplinario, la respuesta que dio la administración fue </w:t>
      </w:r>
      <w:r>
        <w:lastRenderedPageBreak/>
        <w:t>la de considerar acreditada la concurrencia de negligencia como elemento subjetivo de la infracción. Negligencia que se fundamenta en el informe del equipo de valoración de incapacidades del INSS sobre cuya base se descarta “que la razón de las disfunciones del inspeccionado sea médica”, concluyendo que “el inspeccionado incumplió de forma reiterada con las funciones inherentes a su cargo como letrado de la administración de justicia”. Cabe recordar que dicho informe declaraba, en el marco concreto de un procedimiento de oficio para su jubilación por incapacidad, que el recurrente no se veía afectado “por una lesión o proceso patológico, estabilizado e irreversible o de incierta reversibilidad, que le imposibilite totalmente para las funciones que desempeña”. De esta conclusión (“no está afectado por lesión o proceso patológico […] que le imposibilite totalmente”), la administración infiere que “si conforme al equipo de valoración de incapacidades don [A.M.Z.] está totalmente posibilitado para las funciones que desempeña en su puesto de trabajo, de las irregularidades detectadas por el servicio de inspección del CGPJ y posteriormente por el seguimiento del secretario de gobierno del Tribunal Superior de Justicia de La Rioja, sería responsable directo don [A.M.Z.]” (fundamento de Derecho 2). Y concluye, a continuación, que en la instrucción del expediente ha quedado probada una reiterada negligencia y retraso injustificado en el cumplimiento de sus obligaciones, constitutiva de falta disciplinaria tipificada en el artículo 154.7 del Reglamento Orgánico del cuerpo de secretarios judiciales.</w:t>
      </w:r>
    </w:p>
    <w:p w:rsidR="005728DD" w:rsidRDefault="005728DD" w:rsidP="005728DD">
      <w:pPr>
        <w:pStyle w:val="TextoNormal"/>
      </w:pPr>
    </w:p>
    <w:p w:rsidR="005728DD" w:rsidRDefault="005728DD" w:rsidP="005728DD">
      <w:pPr>
        <w:pStyle w:val="TextoNormal"/>
      </w:pPr>
      <w:r>
        <w:t>Tal motivación no da una respuesta al panorama indiciario aportado por el recurrente que pueda considerarse razonable o suficiente. No es razonable porque parte de una premisa falsa, y no es suficiente porque no da una respuesta expresa a la cuestión de la discapacidad alegada:</w:t>
      </w:r>
    </w:p>
    <w:p w:rsidR="005728DD" w:rsidRDefault="005728DD" w:rsidP="005728DD">
      <w:pPr>
        <w:pStyle w:val="TextoNormal"/>
      </w:pPr>
    </w:p>
    <w:p w:rsidR="005728DD" w:rsidRDefault="005728DD" w:rsidP="005728DD">
      <w:pPr>
        <w:pStyle w:val="TextoNormal"/>
      </w:pPr>
      <w:r>
        <w:t>(i) La resolución de la administración parte de la premisa de que el informe emitido en el curso de un proceso de jubilación del recurrente iniciado de oficio, descarta totalmente que las deficiencias en el desempeño de sus funciones “tengan origen médico”. Es más, fundamenta en el informe del equipo de valoración de incapacidades una afirmación que no tiene base en el mismo: que don A.M.Z. “está totalmente posibilitado para las funciones que desempeña en su puesto de trabajo”. Como alega el recurrente, de este argumento sofista se infiere que él sería “responsable directo” de las irregularidades detectadas y, por tanto, que concurre negligencia como elemento subjetivo del tipo infractor. Pero tal argumento es irrazonable porque la administración deriva la negligencia del recurrente de la afirmación de que está “totalmente posibilitado para las funciones que desempeña”, conclusión que no se sustentan en el tenor literal del informe en el que se apoya la administración. El hecho de que una persona no esté totalmente imposibilitada para ejercer una actividad profesional, que es lo que afirma el informe del equipo de valoración de incapacidades, no es óbice para que experimente obstáculos o barreras en el ejercicio de la misma debido a una discapacidad.</w:t>
      </w:r>
    </w:p>
    <w:p w:rsidR="005728DD" w:rsidRDefault="005728DD" w:rsidP="005728DD">
      <w:pPr>
        <w:pStyle w:val="TextoNormal"/>
      </w:pPr>
    </w:p>
    <w:p w:rsidR="005728DD" w:rsidRDefault="005728DD" w:rsidP="005728DD">
      <w:pPr>
        <w:pStyle w:val="TextoNormal"/>
      </w:pPr>
      <w:r>
        <w:t xml:space="preserve">(ii) La motivación de la administración es insuficiente porque no responde expresamente, ni en el marco del procedimiento disciplinario ni en la resolución sancionadora, a las alegaciones de discapacidad por padecer síndrome de Asperger, ni a la petición de ajustes razonables que el recurrente solicita por considerarlos necesarios para eliminar de las barreras que experimenta y garantizar su desempeño en la vida profesional en igualdad de condiciones con los demás trabajadores. Sin embargo, conforme a la doctrina arriba expuesta, una vez el recurrente aporta un panorama indiciario suficiente, corresponderá a la administración dar respuesta expresa y adecuadamente fundada a dicho alegato, desvirtuando en su </w:t>
      </w:r>
      <w:r>
        <w:lastRenderedPageBreak/>
        <w:t>caso la pertinencia o necesidad de ajustes razonables, y justificando que la actuación respondía a razones objetivas, ajenas a cualquier ánimo o resultado discriminatorio. En todo caso, y por respeto a los derechos fundamentales y bienes jurídicos afectados, en este caso la administración debió exteriorizar de forma fundada los motivos por los que rechazó los alegatos de discriminación del recurrente y la petición de ajustes razonables, y por los que decidió seguir adelante con el procedimiento disciplinario.</w:t>
      </w:r>
    </w:p>
    <w:p w:rsidR="005728DD" w:rsidRDefault="005728DD" w:rsidP="005728DD">
      <w:pPr>
        <w:pStyle w:val="TextoNormal"/>
      </w:pPr>
    </w:p>
    <w:p w:rsidR="005728DD" w:rsidRDefault="005728DD" w:rsidP="005728DD">
      <w:pPr>
        <w:pStyle w:val="TextoNormal"/>
      </w:pPr>
      <w:r>
        <w:t>Hemos de recordar, una vez más, que la administración pública ha de actuar siempre con objetividad y plena sumisión a la legalidad (arts. 103.1 y 106.1 CE), sin asomo de arbitrariedad (art. 9.3 CE), por lo que tiene la obligación de acreditar la regularidad de sus actos cuando por parte de sus empleados se haya ofrecido un principio de prueba indicativo de una posible vulneración de un derecho fundamental (STC 111/2003, de 16 de junio, FJ 5). Es evidente que es la propia administración quien, en este caso, podía y debía desvirtuar la afirmación del recurrente de amparo, acreditando que tuvo en consideración la discapacidad y el derecho a los ajustes razonables que invocó el recurrente y su correlativa obligación, y que la resolución adoptada obedeció a razones objetivas —como lo es, evidentemente, garantizar el buen funcionamiento de la administración de justicia— ajenas a toda intención o efecto discriminatorio.</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Conclusión: otorgamiento del amparo</w:t>
      </w:r>
      <w:r>
        <w:t>.</w:t>
      </w:r>
    </w:p>
    <w:p w:rsidR="005728DD" w:rsidRDefault="005728DD" w:rsidP="005728DD">
      <w:pPr>
        <w:pStyle w:val="TextoNormal"/>
      </w:pPr>
    </w:p>
    <w:p w:rsidR="005728DD" w:rsidRDefault="005728DD" w:rsidP="005728DD">
      <w:pPr>
        <w:pStyle w:val="TextoNormal"/>
      </w:pPr>
      <w:r>
        <w:t>Las consideraciones hasta aquí expuestas conducen a apreciar que se han vulnerado tanto el derecho del recurrente a la igualdad de trato y no discriminación por razón de discapacidad (art. 14 CE), como sus derechos a un proceso con todas las garantías y a la presunción de inocencia (art. 24.2 CE), así como al principio de legalidad penal en su vertiente del principio de culpabilidad (art. 25.1 CE), lo que determina la estimación del recurso de amparo, y, consiguientemente, la declaración de nulidad radical de la resolución administrativa sancionadora dictada por la secretaria de Estado de Justicia, por delegación del Ministro de Justicia, con fecha 8 de junio de 2016, e, igualmente, de las resoluciones judiciales confirmatorias de aquella que no repararon los derechos fundamentales concernidos, todo ello con la consiguiente reposición del actor en la situación en que se encontraba antes de la imposición de la sanción, instando a la administración a que adopte las medidas de ajuste razonable a las que se refiere el fundamento jurídico 4 de esta resolución.</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A.M.Z., y, en su virtud:</w:t>
      </w:r>
    </w:p>
    <w:p w:rsidR="005728DD" w:rsidRDefault="005728DD" w:rsidP="005728DD">
      <w:pPr>
        <w:pStyle w:val="TextoNormal"/>
      </w:pPr>
    </w:p>
    <w:p w:rsidR="005728DD" w:rsidRDefault="005728DD" w:rsidP="005728DD">
      <w:pPr>
        <w:pStyle w:val="TextoNormal"/>
      </w:pPr>
      <w:r>
        <w:t>1º Declarar que se ha vulnerado el derecho del recurrente a la igualdad de trato y no discriminación por razón de discapacidad (art. 14 CE), y los derechos a un proceso con todas las garantías y a la presunción de inocencia (art. 24.2 CE) y el principio de culpabilidad (art. 25.1 CE).</w:t>
      </w:r>
    </w:p>
    <w:p w:rsidR="005728DD" w:rsidRDefault="005728DD" w:rsidP="005728DD">
      <w:pPr>
        <w:pStyle w:val="TextoNormal"/>
      </w:pPr>
    </w:p>
    <w:p w:rsidR="005728DD" w:rsidRDefault="005728DD" w:rsidP="005728DD">
      <w:pPr>
        <w:pStyle w:val="TextoNormal"/>
      </w:pPr>
      <w:r>
        <w:t xml:space="preserve">2º Reestablecerle en su derecho y, en consecuencia, declarar la nulidad de la resolución de la secretaria de Estado de justicia (por delegación del ministro de Justicia) de 8 de junio </w:t>
      </w:r>
      <w:r>
        <w:lastRenderedPageBreak/>
        <w:t>de 2016; de la sentencia dictada por el Juzgado Central de lo Contencioso-Administrativo núm. 6 en el recurso núm. 134-2016 (derechos fundamentales), con fecha de 11 de noviembre de 2016; y de la sentencia de la Sección Tercera de la Sala de lo Contencioso-Administrativo de la Audiencia Nacional de 22 de junio de 2017, dictada en el recurso de apelación (derechos fundamentales) núm. 2-2017.</w:t>
      </w:r>
    </w:p>
    <w:p w:rsidR="005728DD" w:rsidRDefault="005728DD" w:rsidP="005728DD">
      <w:pPr>
        <w:pStyle w:val="TextoNormal"/>
      </w:pPr>
    </w:p>
    <w:p w:rsidR="005728DD" w:rsidRDefault="005728DD" w:rsidP="005728DD">
      <w:pPr>
        <w:pStyle w:val="TextoNormal"/>
      </w:pPr>
      <w:r>
        <w:t>3º Ordenar la reposición del actor a la situación en que se encontraba antes de la imposición de la sanción, sin perjuicio de los derechos adquiridos por el recurrente en el momento actual, para que la administración adopte las medidas oportunas teniendo en cuenta lo dispuesto en el fundamento jurídico 4.</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5" w:name="SENTENCIA_2021_52"/>
      <w:r>
        <w:lastRenderedPageBreak/>
        <w:t>SENTENCIA 52/2021, de 15 de marzo de 2021</w:t>
      </w:r>
    </w:p>
    <w:bookmarkEnd w:id="55"/>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ECLI:ES:TC:2021:52</w:t>
      </w:r>
    </w:p>
    <w:p w:rsidR="005728DD" w:rsidRDefault="005728DD" w:rsidP="005728DD">
      <w:pPr>
        <w:pStyle w:val="TextoNormalCentrado"/>
      </w:pPr>
    </w:p>
    <w:p w:rsidR="005728DD" w:rsidRDefault="005728DD" w:rsidP="005728DD">
      <w:pPr>
        <w:pStyle w:val="SntesisDescriptiva"/>
      </w:pPr>
      <w:r>
        <w:t>Recurso de amparo 5565-2018. Promovido por don Carlos Santiago Contreras respecto de las resoluciones dictadas por un juzgado de primera instancia e instrucción de Valdemoro (Madrid) en procedimiento de ejecución hipotecaria.</w:t>
      </w:r>
    </w:p>
    <w:p w:rsidR="005728DD" w:rsidRDefault="005728DD" w:rsidP="005728DD">
      <w:pPr>
        <w:pStyle w:val="SntesisDescriptiva"/>
      </w:pPr>
    </w:p>
    <w:p w:rsidR="005728DD" w:rsidRDefault="005728DD" w:rsidP="005728DD">
      <w:pPr>
        <w:pStyle w:val="SntesisAnaltica"/>
      </w:pPr>
      <w:r>
        <w:t>Alegada vulneración del derecho a la tutela judicial sin indefensión: inadmisión, por prematuro, del recurso de amparo.</w:t>
      </w:r>
    </w:p>
    <w:p w:rsidR="005728DD" w:rsidRDefault="005728DD" w:rsidP="005728DD">
      <w:pPr>
        <w:pStyle w:val="SntesisAnaltica"/>
      </w:pPr>
    </w:p>
    <w:p w:rsidR="005728DD" w:rsidRDefault="005728DD" w:rsidP="005728DD">
      <w:pPr>
        <w:pStyle w:val="Extracto"/>
      </w:pPr>
      <w:r>
        <w:t>1.</w:t>
      </w:r>
      <w:r>
        <w:tab/>
        <w:t>Resulta improcedente la coexistencia temporal de un proceso de amparo con la vía judicial (STC 97/2004); anomalía que acontece de forma evidente cuando se inicia el proceso de amparo antes de que se resuelvan los recursos interpuestos en la vía judicial ordinaria contra la resolución jurisdiccional que se recurre en amparo (STC 72/2004), pero que puede producirse también cuando, con posterioridad a presentarse la demanda de amparo, se ha procedido en la vía judicial ordinaria, bien de oficio, bien a instancia del recurrente, al examen y resolución de la queja constitutiva del amparo impetrado ante este Tribunal [FJ 2].</w:t>
      </w:r>
    </w:p>
    <w:p w:rsidR="005728DD" w:rsidRDefault="005728DD" w:rsidP="005728DD">
      <w:pPr>
        <w:pStyle w:val="Extracto"/>
      </w:pPr>
    </w:p>
    <w:p w:rsidR="005728DD" w:rsidRDefault="005728DD" w:rsidP="005728DD">
      <w:pPr>
        <w:pStyle w:val="Extracto"/>
      </w:pPr>
      <w:r>
        <w:t>2.</w:t>
      </w:r>
      <w:r>
        <w:tab/>
        <w:t>Las actuaciones procesales acaecidas en el procedimiento de ejecución hipotecaria con posterioridad a la interposición del recurso de amparo lo convierten en prematuro, con la consiguiente declaración de inadmisibilidad del mismo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5565-2018, promovido por don Carlos Santiago Contreras, representado por la procuradora de los tribunales doña María Teresa Marcos Moreno, y asistido por el letrado don Juan Carlos Rois Alonso, contra la providencia de 1 de octubre de 2018, dictada por el Juzgado de Primera Instancia e Instrucción núm. 1 de Valdemoro en el procedimiento de ejecución hipotecaria núm. 31-2009, que inadmite el incidente de nulidad de actuaciones planteado en dicho procedimiento. Ha sido parte en el presente recurso la entidad BBVA RMBS 3 Fondo de Titulación de Activos, representada por la procuradora de los tribunales doña Leonor María Guillén Casado y asistida por la letrada doña Verónica </w:t>
      </w:r>
      <w:r>
        <w:lastRenderedPageBreak/>
        <w:t>Alejandra Mércuri Cuesta, y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28 de octubre de 2018 la procuradora de los tribunales doña María Teresa Marcos Moreno, en nombre y representación de don Carlos Santiago Contreras, interpuso recurso de amparo contra la resolución que se cita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de los que trae causa la demanda de amparo son, sucintamente expuestos, los siguientes:</w:t>
      </w:r>
    </w:p>
    <w:p w:rsidR="005728DD" w:rsidRDefault="005728DD" w:rsidP="005728DD">
      <w:pPr>
        <w:pStyle w:val="TextoNormal"/>
      </w:pPr>
    </w:p>
    <w:p w:rsidR="005728DD" w:rsidRDefault="005728DD" w:rsidP="005728DD">
      <w:pPr>
        <w:pStyle w:val="TextoNormal"/>
      </w:pPr>
      <w:r>
        <w:t>a) Ante el Juzgado de Primera Instancia e Instrucción núm. 1 de Valdemoro se tramita el proceso de ejecución hipotecaria núm. 31-2009, seguido frente al recurrente en amparo a instancia de BBVA, S.A. El 21 de septiembre de 2009 se dictó auto despachando la ejecución, que no hizo mención alguna al examen de oficio de las cláusulas contractuales que pudieran resultar abusivas. Tras la asignación al ejecutado de procuradora y abogado de oficio, formuló oposición a la demanda mediante escrito presentado el 27 de septiembre de 2010, fundándose en la norma en aquel momento vigente, y sin invocar la abusividad de las cláusulas del contrato de préstamo hipotecario.</w:t>
      </w:r>
    </w:p>
    <w:p w:rsidR="005728DD" w:rsidRDefault="005728DD" w:rsidP="005728DD">
      <w:pPr>
        <w:pStyle w:val="TextoNormal"/>
      </w:pPr>
    </w:p>
    <w:p w:rsidR="005728DD" w:rsidRDefault="005728DD" w:rsidP="005728DD">
      <w:pPr>
        <w:pStyle w:val="TextoNormal"/>
      </w:pPr>
      <w:r>
        <w:t>b) El juzgado dictó auto el 21 de enero de 2011 inadmitiendo la oposición, sin hacer referencia alguna a las cláusulas abusivas que pudiera contener el título traído a ejecución ni ejercer ningún control de oficio de la abusividad. Se razona en el auto que “[c]onforme a lo dispuesto en el art. 695.1 de la Ley de enjuiciamiento civil, en los procedimientos de ejecución hipotecaria solo se admitirá la oposición del ejecutado cuando se funde en alguna de las causas tasadas que establece dicho precepto. En el presente caso la parte ejecutada se opone reconociendo no haber abonado el vencimiento del crédito hipotecario que ha dado lugar a este procedimiento, pero alegando que en la demanda no se hace constar la cantidad exacta que se reclama y que el banco ha exigido anticipadamente la devolución del capital con intereses y gastos por falta de pago de un vencimiento, cuando en la escritura se hace constar que podrá ejercitar dicha facultad cuando se produzcan ‘vencimientos’ en plural, así como que genera indefensión la pretensión efectuada en la demanda respecto de los intereses. En tanto que ninguno de los motivos de oposición esgrimidos por la parte ejecutada se corresponde con los establecidos en el apartado primero del art. 695 de la Ley de enjuiciamiento civil, siendo tasadas las causas de oposición a la ejecución, debe inadmitirse la oposición a la ejecución planteada por la parte ejecutada”.</w:t>
      </w:r>
    </w:p>
    <w:p w:rsidR="005728DD" w:rsidRDefault="005728DD" w:rsidP="005728DD">
      <w:pPr>
        <w:pStyle w:val="TextoNormal"/>
      </w:pPr>
    </w:p>
    <w:p w:rsidR="005728DD" w:rsidRDefault="005728DD" w:rsidP="005728DD">
      <w:pPr>
        <w:pStyle w:val="TextoNormal"/>
      </w:pPr>
      <w:r>
        <w:t>c) El juzgado prosiguió los trámites y mandó subastar la finca hipotecada. Al quedar desierta la subasta, se adjudicó la finca al propio banco. Acordado el lanzamiento, fue suspendido por la incorrección de las notificaciones personales efectuadas.</w:t>
      </w:r>
    </w:p>
    <w:p w:rsidR="005728DD" w:rsidRDefault="005728DD" w:rsidP="005728DD">
      <w:pPr>
        <w:pStyle w:val="TextoNormal"/>
      </w:pPr>
    </w:p>
    <w:p w:rsidR="005728DD" w:rsidRDefault="005728DD" w:rsidP="005728DD">
      <w:pPr>
        <w:pStyle w:val="TextoNormal"/>
      </w:pPr>
      <w:r>
        <w:t xml:space="preserve">d) El demandante de amparo planteó incidente excepcional de nulidad de actuaciones, en el que denunció la existencia de cláusulas abusivas de vencimiento anticipado e intereses moratorios en el título ejecutado, y señaló la obligación del órgano judicial de proceder a su </w:t>
      </w:r>
      <w:r>
        <w:lastRenderedPageBreak/>
        <w:t>control de oficio, con suspensión del procedimiento, con arreglo a las sentencias del Tribunal Supremo y del Tribunal de Justicia de la Unión Europea, y en aplicación de la reforma del art. 695 de la Ley de enjuiciamiento civil (LEC) introducida por la Ley 1/2013. Mediante providencia de 1 de octubre de 2018, el juzgado inadmitió el incidente al entender que la pretensión de nulidad debía haberse formulado por medio de oposición dentro del plazo otorgado. Razona que la denunciada vulneración de un derecho fundamental de los referidos en el art. 53.2 CE cabe si no ha podido denunciarse antes de recaer resolución que ponga fin al proceso y siempre que dicha resolución no sea susceptible de recurso ordinario ni extraordinario. En el presente caso, la pretensión debía haberse formulado mediante oposición en plazo. Notificada al ejecutado la anterior providencia, interpuso el presente recurso de amparo.</w:t>
      </w:r>
    </w:p>
    <w:p w:rsidR="005728DD" w:rsidRDefault="005728DD" w:rsidP="005728DD">
      <w:pPr>
        <w:pStyle w:val="TextoNormal"/>
      </w:pPr>
    </w:p>
    <w:p w:rsidR="005728DD" w:rsidRDefault="005728DD" w:rsidP="005728DD">
      <w:pPr>
        <w:pStyle w:val="TextoNormal"/>
      </w:pPr>
      <w:r>
        <w:t xml:space="preserve">e) Mediante diligencia de ordenación de 20 de junio de 2019, conforme a la disposición transitoria tercera de la Ley 5/2019, de 15 de marzo, de crédito inmobiliario, se dio a la parte ejecutada un plazo de diez días para formular un incidente extraordinario de oposición basado en las causas previstas en los arts. 557.1.7 y 695.1.4 LEC. El 25 de junio de 2019, promovió el actor ante el juzgado incidente extraordinario de oposición a la demanda, denunciando el carácter abusivo de las cláusulas de intereses de demora (sexta) y de vencimiento anticipado (sexta </w:t>
      </w:r>
      <w:r w:rsidRPr="005728DD">
        <w:rPr>
          <w:i/>
        </w:rPr>
        <w:t>bis</w:t>
      </w:r>
      <w:r>
        <w:t>). Por diligencia de ordenación de 6 de septiembre de 2019 se tuvo por formulada la oposición a la ejecución únicamente por la presencia de cláusulas abusivas, se acordó la suspensión de la ejecución y convocar a las partes a una vista el 13 de noviembre de 2019. A dicho acto no compareció el ejecutado, por lo que, por auto de 19 de noviembre de 2019, se le tuvo por desistido de la oposición.</w:t>
      </w:r>
    </w:p>
    <w:p w:rsidR="005728DD" w:rsidRDefault="005728DD" w:rsidP="005728DD">
      <w:pPr>
        <w:pStyle w:val="TextoNormal"/>
      </w:pPr>
    </w:p>
    <w:p w:rsidR="005728DD" w:rsidRDefault="005728DD" w:rsidP="005728DD">
      <w:pPr>
        <w:pStyle w:val="TextoNormal"/>
      </w:pPr>
      <w:r>
        <w:t>f) Frente a esta última resolución interpuso el actor recurso de nulidad y recurso de apelación, denunciando, básicamente, que no procedía haber celebrado la vista, ya que el Tribunal Constitucional había suspendido el procedimiento mediante auto, así como el carácter abusivo de determinadas cláusulas, sobre el que se debería haber pronunciado el juez incluso de oficio, de acuerdo con la jurisprudencia constitucional y del Tribunal de Justicia de la Unión Europea. El juzgado tuvo por interpuesto el recurso de apelación y elevó las actuaciones a la Audiencia Provincial de Madrid, encontrándose pendiente de resolución por su Sección Decimonovena (recurso de apelación núm. 317-2020).</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planteada contra la providencia que inadmitió a trámite el incidente de nulidad de actuaciones, cuya anulación se solicita, se fundamenta en la denuncia de la vulneración del derecho a la tutela judicial efectiva sin indefensión (24.1 CE), en sus vertientes de acceso a la jurisdicción y de falta de resolución expresa y motivada sobre el fondo, por motivación errónea e insuficiente en la providencia impugnada. Aduce el demandante de amparo la vulneración de su derecho a la tutela judicial efectiva en relación con los arts. 10.2 y 96.1 (principio de primacía del derecho comunitario), 47 (derecho a una vivienda digna) y 51 (especial protección de los consumidores) CE.</w:t>
      </w:r>
    </w:p>
    <w:p w:rsidR="005728DD" w:rsidRDefault="005728DD" w:rsidP="005728DD">
      <w:pPr>
        <w:pStyle w:val="TextoNormal"/>
      </w:pPr>
    </w:p>
    <w:p w:rsidR="005728DD" w:rsidRDefault="005728DD" w:rsidP="005728DD">
      <w:pPr>
        <w:pStyle w:val="TextoNormal"/>
      </w:pPr>
      <w:r>
        <w:t xml:space="preserve">Comienza señalando que el proceso hipotecario hasta su finalización tiene por objeto la vivienda del recurrente, de modo que el derecho cuya lesión se denuncia es el de acceso a la jurisdicción, entendido aquí como derecho en el ámbito del consumo, amparado por la Directiva 93/13/CEE del Consejo, de 5 de abril de 1993, sobre las cláusulas abusivas en los contratos celebrados con consumidores. Es el derecho a obtener del juzgador en el curso de un procedimiento hipotecario, aún no finalizado, y en el que el usuario no ha sido todavía </w:t>
      </w:r>
      <w:r>
        <w:lastRenderedPageBreak/>
        <w:t>despojado de la vivienda, un pronunciamiento expreso sobre cláusulas de carácter esencial y abusivo contenidas en el título traído a ejecución, a tenor de un cambio jurisprudencial que expresamente las declara como abusivas. A continuación sistematiza y desarrolla las vulneraciones de acuerdo con el siguiente esquema:</w:t>
      </w:r>
    </w:p>
    <w:p w:rsidR="005728DD" w:rsidRDefault="005728DD" w:rsidP="005728DD">
      <w:pPr>
        <w:pStyle w:val="TextoNormal"/>
      </w:pPr>
    </w:p>
    <w:p w:rsidR="005728DD" w:rsidRDefault="005728DD" w:rsidP="005728DD">
      <w:pPr>
        <w:pStyle w:val="TextoNormal"/>
      </w:pPr>
      <w:r>
        <w:t xml:space="preserve">(i) </w:t>
      </w:r>
      <w:r w:rsidRPr="005728DD">
        <w:rPr>
          <w:i/>
        </w:rPr>
        <w:t>Retrospective overruling</w:t>
      </w:r>
      <w:r>
        <w:t xml:space="preserve"> y ausencia de motivación, pues el pronunciamiento del juzgado genera indefensión al recurrente. Se trata, en suma, de un pronunciamiento sobre el valor constitucional, y para el ámbito desplegado por el art. 24.1 CE, de la nueva jurisprudencia tanto europea como española acerca de las cláusulas abusivas y de su significado retroactivo (</w:t>
      </w:r>
      <w:r w:rsidRPr="005728DD">
        <w:rPr>
          <w:i/>
        </w:rPr>
        <w:t>retrospective overruling</w:t>
      </w:r>
      <w:r>
        <w:t>) o prospectivo (</w:t>
      </w:r>
      <w:r w:rsidRPr="005728DD">
        <w:rPr>
          <w:i/>
        </w:rPr>
        <w:t>prospective overruling</w:t>
      </w:r>
      <w:r>
        <w:t>) en un asunto sometido a un tribunal de justicia que niega el acceso a este análisis a pesar de no haberse pronunciado antes al respecto y de no haber finalizado de forma irreversible y procesal el procedimiento (de hecho, no se ha tomado posesión de la vivienda por ningún tercero ni el juzgado ha archivado el asunto).</w:t>
      </w:r>
    </w:p>
    <w:p w:rsidR="005728DD" w:rsidRDefault="005728DD" w:rsidP="005728DD">
      <w:pPr>
        <w:pStyle w:val="TextoNormal"/>
      </w:pPr>
    </w:p>
    <w:p w:rsidR="005728DD" w:rsidRDefault="005728DD" w:rsidP="005728DD">
      <w:pPr>
        <w:pStyle w:val="TextoNormal"/>
      </w:pPr>
      <w:r>
        <w:t>(ii) Falta de una resolución expresa y motivada sobre el fondo, pues, en el presente caso, el juzgador inadmite la pretensión formulada mediante incidente de nulidad porque entiende que la abusividad debió oponerse en el plazo de oposición (es decir, en 2009), cuando por entonces la ley lo vedaba, lo que asimismo recogía el auto que resolvió sobre la oposición planteada al decir que los motivos esgrimidos no se encontraban entre los motivos tasados admisibles conforme al art. 695 LEC. Ello equivale a pretender que un auto de despacho de ejecución, que no tiene contenido declarativo, imponga la preclusión de cualquier pretensión o la cosa juzgada respecto de algo sobre lo que el juzgado no se ha pronunciado nunca.</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15 de julio de 2019, la Sección Segunda de este tribunal acordó admitir a trámite el recurso de amparo apreciando que concurre en el mismo una especial trascendencia constitucional (art. 50.1 de la Ley Orgánica del Tribunal Constitucional, en adelante LOTC), ya que el asunto suscitado trasciende el caso concreto porque plantea una cuestión jurídica de relevante y general repercusión social o económica [STC 155/2009, FJ 2 g)]. Asimismo, en cumplimiento de lo preceptuado por el art. 51 LOTC, se dispuso dirigir atenta comunicación al Juzgado de Primera Instancia e Instrucción núm. 1 de Valdemoro, interesando la remisión de certificación o copia adverada de las actuaciones correspondientes al procedimiento de ejecución hipotecaria núm. 31-2009, previo emplazamiento de quienes hubieran sido parte en el procedimiento, con excepción de la parte demandante de amparo, al objeto de que, si así lo desearan, pudieran comparecer en el plazo de diez días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La Sección acordó, asimismo y mediante providencia de la misma fecha, formar la oportuna pieza para la tramitación del incidente de suspensión y, conforme a lo dispuesto en el art. 56 LOTC, concedió un plazo común de tres días a la parte solicitante de amparo y al Ministerio Fiscal para que alegaran lo que estimasen pertinente sobre la petición de suspensión. A través de escrito presentado el 18 de julio de 2019, la parte demandante formuló sus alegaciones, insistiendo en lo dicho en el otrosí de su demanda y reseñando la similitud entre este caso y el resuelto por la STC 31/2019, así como que el lanzamiento estaba señalado para el 8 de octubre de 2019. Por su parte el Ministerio Fiscal, en escrito registrado el 29 de julio de 2019, interesó que se otorgara la suspensión solicitada, o, alternativamente, que se acordara la anotación preventiva de la demanda en el registro de la propiedad.</w:t>
      </w:r>
    </w:p>
    <w:p w:rsidR="005728DD" w:rsidRDefault="005728DD" w:rsidP="005728DD">
      <w:pPr>
        <w:pStyle w:val="TextoNormal"/>
      </w:pPr>
    </w:p>
    <w:p w:rsidR="005728DD" w:rsidRDefault="005728DD" w:rsidP="005728DD">
      <w:pPr>
        <w:pStyle w:val="TextoNormal"/>
      </w:pPr>
      <w:r>
        <w:lastRenderedPageBreak/>
        <w:t>El ATC 102/2019, de 16 de septiembre, resolvió suspender cautelarmente el lanzamiento acordado en el procedimiento de ejecución hipotecaria y que se procediera a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6</w:t>
      </w:r>
      <w:r>
        <w:t>. A través de escrito registrado en este tribunal el 24 de septiembre de 2019, la procuradora de los tribunales doña Leonor María Guillén Casado, actuando en nombre y representación de BBVA RMBS 3 Fondo de Titulación de Activos, solicitó que se tuviera a esta última entidad por personada como parte recurrida, entendiéndose con dicha procuradora las actuaciones sucesivas de este proceso. Asimismo, puso en conocimiento del tribunal que en el proceso de ejecución hipotecaria núm. 31-2009 se encuentra señalada (mediante diligencia de ordenación de 6 de septiembre de 2019, del letrado de la administración de justicia del Juzgado de Primera Instancia e Instrucción núm. 1 de Valdemoro) para el 13 de noviembre de 2019 la comparecencia prevista en el art. 695.2 LEC, en el incidente de oposición a la ejecución. Manifiesta que, siendo el examen de las cláusulas abusivas del título la petición de contrario en la interposición del recurso de amparo, interesa que se dé traslado a la parte recurrente para que realice alegaciones sobre la posibilidad de desistir del presente recurso.</w:t>
      </w:r>
    </w:p>
    <w:p w:rsidR="005728DD" w:rsidRDefault="005728DD" w:rsidP="005728DD">
      <w:pPr>
        <w:pStyle w:val="TextoNormal"/>
      </w:pPr>
    </w:p>
    <w:p w:rsidR="005728DD" w:rsidRDefault="005728DD" w:rsidP="005728DD">
      <w:pPr>
        <w:pStyle w:val="TextoNormal"/>
      </w:pPr>
      <w:r>
        <w:t>La pretensión de dar traslado al recurrente para alegaciones sobre la posibilidad de que desistiera del presente recurso es reiterada por la entidad mediante escrito de su procuradora análogo al anterior, registrado en este tribunal el 23 de octubre de 2019, del que se dio traslado al Ministerio Fiscal y al demandante de amparo, a los efectos oportunos, por diligencia de ordenación de 7 de noviembre de 2019.</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diligencia de ordenación de 15 de octubre de 2019, se decidió dar vista de las actuaciones recibidas al Ministerio Fiscal, al recurrente en amparo y a la parte personada, para que pudieran presentar las alegaciones que estimaran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presentó su escrito de alegaciones el 8 de noviembre de 2019, interesando la estimación del recurso de amparo y planteando la posible pérdida de su objeto, sobrevenida por la propia actuación del órgano judicial, que señaló para el 13 de noviembre de 2019 una vista con el fin de dilucidar la oposición formulada por el recurrente en amparo y que el juez examinara las cláusulas denunciadas como abusivas. Al efecto, interesa que se oficie al juzgado para que por el letrado de la administración de justicia se remita a este tribunal testimonio fehaciente de la decisión y, en su caso, del resultado de la comparecencia señalada.</w:t>
      </w:r>
    </w:p>
    <w:p w:rsidR="005728DD" w:rsidRDefault="005728DD" w:rsidP="005728DD">
      <w:pPr>
        <w:pStyle w:val="TextoNormal"/>
      </w:pPr>
    </w:p>
    <w:p w:rsidR="005728DD" w:rsidRDefault="005728DD" w:rsidP="005728DD">
      <w:pPr>
        <w:pStyle w:val="TextoNormal"/>
      </w:pPr>
      <w:r>
        <w:t xml:space="preserve">Tras una exposición de los hechos comienza el fiscal con una reflexión sobre los pasos dados en el procedimiento de ejecución por el recurrente en amparo, que puede resultar esencial para decidir si ha habido o no vulneración y cuál ha sido esta, un paso previo, además, para determinar el alcance del amparo respecto de los derechos fundamentales cuya vulneración es denunciada, referida al derecho a la tutela judicial efectiva, en su manifestación de errónea motivación de la resolución (art. 24.1 CE, en relación con los arts. 10.2 y 96.1 CE sobre primacía del derecho comunitario, y 47 sobre derecho a una vivienda digna). Desde la premisa de la existencia en el contrato de préstamo de dos cláusulas abusivas —la que fija los intereses de demora, que se consideran excesivos, y la que recoge el vencimiento </w:t>
      </w:r>
      <w:r>
        <w:lastRenderedPageBreak/>
        <w:t>anticipado de la deuda—, el presente amparo plantea que estas cláusulas debieron ser anuladas de oficio conforme a la doctrina del Tribunal de Justicia de la Unión Europea, consagrada en nuestro país por el Tribunal Supremo y el propio Tribunal Constitucional. No es, por tanto, determinante si el recurrente solicitó o no esa nulidad ya que el órgano judicial viene obligado a un examen de oficio del contenido del contrato para expulsar las condiciones que incurran en abusividad. Tampoco es determinante el momento en que se planteara la revisión de esas cláusulas, pues, contra lo que se desprende de la escueta providencia recurrida, que declara precluido el trámite para el ejecutado, la doctrina del tribunal europeo y de los altos tribunales españoles ha señalado la posibilidad de revisión mientras el procedimiento siga vivo, hasta su definitivo archivo. Tras referir el contexto legal para dilucidar la cuestión (la defensa de los consumidores: Directiva 93/13/CEE, Ley general para la defensa de los consumidores y usuarios y otras leyes complementarias, texto refundido aprobado por Real Decreto Legislativo 1/2007, de 16 de noviembre), señala que el órgano judicial se ha negado a examinar las cláusulas denunciadas como abusivas, por considerar la pretensión extemporánea o improcedente.</w:t>
      </w:r>
    </w:p>
    <w:p w:rsidR="005728DD" w:rsidRDefault="005728DD" w:rsidP="005728DD">
      <w:pPr>
        <w:pStyle w:val="TextoNormal"/>
      </w:pPr>
    </w:p>
    <w:p w:rsidR="005728DD" w:rsidRDefault="005728DD" w:rsidP="005728DD">
      <w:pPr>
        <w:pStyle w:val="TextoNormal"/>
      </w:pPr>
      <w:r>
        <w:t>Trata el fiscal separadamente la cuestión de la necesidad de que el examen de esas cláusulas se haga por el propio juzgador, de oficio o a requerimiento de parte, y la del momento en que puede ser declarado el carácter abusivo (STJUE de 26 de enero de 2017). Concluye que el órgano judicial ha desoído la doctrina del Tribunal de Justicia de la Unión Europea pues apoya su decisión de inadmitir el incidente de nulidad en el carácter preclusivo de la posible oposición y en el carácter inatacable del auto que despachó la ejecución. Por tanto, procede el otorgamiento del amparo con retroacción de las actuaciones al momento en que se produjo la vulneración denunciada, por tanto, al de dictarse la providencia el 1 de octubre de 2018.</w:t>
      </w:r>
    </w:p>
    <w:p w:rsidR="005728DD" w:rsidRDefault="005728DD" w:rsidP="005728DD">
      <w:pPr>
        <w:pStyle w:val="TextoNormal"/>
      </w:pPr>
    </w:p>
    <w:p w:rsidR="005728DD" w:rsidRDefault="005728DD" w:rsidP="005728DD">
      <w:pPr>
        <w:pStyle w:val="TextoNormal"/>
      </w:pPr>
      <w:r>
        <w:t>Expuesta su postura, el fiscal señala, además, que, por circunstancias posteriores, podemos estar ante una pérdida sobrevenida del objeto del recurso, atendiendo a que se ha señalado para el 13 de noviembre de 2019 una vista, con citación de las partes del procedimiento de ejecución hipotecaria, para dilucidar la oposición formulada por el recurrente en amparo, para que el juez examine las cláusulas denunciadas como abusivas. Si se constata que, en efecto, se va a producir ese examen judicial, parece que se debería considerar cumplido todo lo exigible al órgano judicial, aunque con posterioridad a la demanda de amparo, lo que haría innecesario el pronunciamiento del Tribunal Constitucional.</w:t>
      </w:r>
    </w:p>
    <w:p w:rsidR="005728DD" w:rsidRDefault="005728DD" w:rsidP="005728DD">
      <w:pPr>
        <w:pStyle w:val="TextoNormal"/>
      </w:pPr>
    </w:p>
    <w:p w:rsidR="005728DD" w:rsidRDefault="005728DD" w:rsidP="005728DD">
      <w:pPr>
        <w:pStyle w:val="TextoNormal"/>
      </w:pPr>
      <w:r w:rsidRPr="005728DD">
        <w:rPr>
          <w:rStyle w:val="NumeroAFNegritaCaracter"/>
        </w:rPr>
        <w:t>9</w:t>
      </w:r>
      <w:r>
        <w:t>. El escrito de alegaciones de la representación de la entidad BBVA RMBS 3 Fondo de Titulación de Activos tuvo entrada en el registro de este tribunal el 15 de noviembre de 2019. Como alegación previa se refiere a las solicitudes anteriores, no proveídas, de que se dé traslado a la parte recurrente para que realice alegaciones sobre la posibilidad de desistir del recurso de amparo planteado. Recuerda que, en el seno de la ejecución hipotecaria núm. 31-2009, fue señalada para el 13 de noviembre de 2019 la comparecencia prevista en el art. 695.2 LEC, en el incidente de oposición a la ejecución, por la posible existencia de cláusulas abusivas en el título ejecutado. Entiende la parte que, siendo ese examen de las cláusulas abusivas la petición de contrario en el presente amparo, carece de sentido continuar la tramitación del recurso, puesto que el juzgado ha dado trámite a la petición del recurrente en amparo. Asimismo, pone en conocimiento del tribunal que, pese a haber sido admitida a trámite la petición de revisión de cláusulas abusivas y señalada comparecencia para ese fin, el recurrente, debidamente citado, no compareció en el acto.</w:t>
      </w:r>
    </w:p>
    <w:p w:rsidR="005728DD" w:rsidRDefault="005728DD" w:rsidP="005728DD">
      <w:pPr>
        <w:pStyle w:val="TextoNormal"/>
      </w:pPr>
    </w:p>
    <w:p w:rsidR="005728DD" w:rsidRDefault="005728DD" w:rsidP="005728DD">
      <w:pPr>
        <w:pStyle w:val="TextoNormal"/>
      </w:pPr>
      <w:r>
        <w:t>Por otra parte, se refiere el escrito a la inadmisión del incidente excepcional de nulidad de actuaciones y a la plena motivación de la providencia de 1 de octubre de 2018, recurrida en amparo, que inadmite a trámite dicho incidente (art. 228 LEC), y que la entidad bancaria considera totalmente ajustada a Derecho. El incidente excepcional no se encuentra amparado en la vulneración de un derecho fundamental de los referidos en el art. 53.2 CE. Le parece evidente que el mecanismo, utilizado de contrario para hacer valer sus pretensiones, no era el adecuado y que por ello el juzgado debía proceder a su inadmisión, sin que esta incurriera en vulneración de derechos fundamentales, contra lo sostenido en el recurso de amparo. A mayor abundamiento, sí ha sido admitida a trámite la oposición a la ejecución por cláusulas abusivas. Con ello se deja plena constancia de que el juzgado aplica correctamente las normas procesales en lo relativo a los trámites y facultades de las partes en el proceso de ejecución hipotecaria, admitiendo a trámite las peticiones de las partes siempre que cumplan los requisitos legales en cuanto a contenido y plazos tasados en la ley.</w:t>
      </w:r>
    </w:p>
    <w:p w:rsidR="005728DD" w:rsidRDefault="005728DD" w:rsidP="005728DD">
      <w:pPr>
        <w:pStyle w:val="TextoNormal"/>
      </w:pPr>
    </w:p>
    <w:p w:rsidR="005728DD" w:rsidRDefault="005728DD" w:rsidP="005728DD">
      <w:pPr>
        <w:pStyle w:val="TextoNormal"/>
      </w:pPr>
      <w:r>
        <w:t>Por lo expuesto, la entidad BBVA RMBS 3 Fondo de Titulación de Activos solicita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A la vista de las alegaciones efectuadas por el fiscal y por las partes, por providencia de la Sala Primera de 16 de noviembre de 2020, de conformidad con lo previsto en el art. 88 LOTC, se acordó requerir al Juzgado de Primera Instancia e Instrucción núm. 1 de Valdemoro para que, en el plazo de diez días, remitiera testimonio de las actuaciones producidas en el procedimiento de ejecución hipotecaria núm. 31-2009, a partir de la diligencia de ordenación del letrado de la administración de justicia de 6 de septiembre de 2009, por la que se convocó a las partes a una comparecencia para decidir sobre la oposición a la ejecución fundada en la presencia de cláusulas abusivas en el título de ejecución.</w:t>
      </w:r>
    </w:p>
    <w:p w:rsidR="005728DD" w:rsidRDefault="005728DD" w:rsidP="005728DD">
      <w:pPr>
        <w:pStyle w:val="TextoNormal"/>
      </w:pPr>
    </w:p>
    <w:p w:rsidR="005728DD" w:rsidRDefault="005728DD" w:rsidP="005728DD">
      <w:pPr>
        <w:pStyle w:val="TextoNormal"/>
      </w:pPr>
      <w:r w:rsidRPr="005728DD">
        <w:rPr>
          <w:rStyle w:val="NumeroAFNegritaCaracter"/>
        </w:rPr>
        <w:t>11</w:t>
      </w:r>
      <w:r>
        <w:t>. Remitido oficio al juzgado interesando remisión de las actuaciones, por este se puso en conocimiento de este tribunal que las mismas se encontraban en la Sección Decimonovena de la Audiencia Provincial de Madrid, por haberse interpuesto recurso de apelación. Ello motivó que se recabara de esta última el envío de aquellas, que tuvieron entrada en este tribunal el 4 de febrero de 2021.</w:t>
      </w:r>
    </w:p>
    <w:p w:rsidR="005728DD" w:rsidRDefault="005728DD" w:rsidP="005728DD">
      <w:pPr>
        <w:pStyle w:val="TextoNormal"/>
      </w:pPr>
    </w:p>
    <w:p w:rsidR="005728DD" w:rsidRDefault="005728DD" w:rsidP="005728DD">
      <w:pPr>
        <w:pStyle w:val="TextoNormal"/>
      </w:pPr>
      <w:r w:rsidRPr="005728DD">
        <w:rPr>
          <w:rStyle w:val="NumeroAFNegritaCaracter"/>
        </w:rPr>
        <w:t>12</w:t>
      </w:r>
      <w:r>
        <w:t>. Por diligencia de ordenación de 5 de febrero de 2021 se acordó dar vista de las actuaciones al Ministerio Fiscal y a las partes para que en el plazo de cinco días pudieran alegar sobre la posibilidad de desistir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13</w:t>
      </w:r>
      <w:r>
        <w:t>. El fiscal presentó escrito el 12 de febrero de 2021, razonando, en primer lugar, que el Juzgado de Primera Instancia e Instrucción núm. 1 de Valdemoro dictó auto el 19 de noviembre de 2019 teniendo por desistido al demandante de amparo por su incomparecencia a la vista que se señaló, pero lo cierto es que, como defendió la fiscalía en su anterior escrito, la revisión de las cláusulas de estos contratos se debe realizar de oficio, de acuerdo con la doctrina del Tribunal de Justicia de la Unión Europea y del Tribunal Constitucional, hoy elevada a rango legal, por lo que el desistimiento presunto no debería haber impedido que el órgano judicial se pronunciara sobre la validez de la cláusulas cuestionadas. En este sentido, el amparo debería seguir adelante, ratificándose en su anterior informe.</w:t>
      </w:r>
    </w:p>
    <w:p w:rsidR="005728DD" w:rsidRDefault="005728DD" w:rsidP="005728DD">
      <w:pPr>
        <w:pStyle w:val="TextoNormal"/>
      </w:pPr>
    </w:p>
    <w:p w:rsidR="005728DD" w:rsidRDefault="005728DD" w:rsidP="005728DD">
      <w:pPr>
        <w:pStyle w:val="TextoNormal"/>
      </w:pPr>
      <w:r>
        <w:lastRenderedPageBreak/>
        <w:t xml:space="preserve">Pero, por otro lado, pone de relieve el acaecimiento de otro hecho que puede tener incidencia en el recurso de amparo, pues, como se desprende de las actuaciones remitidas, el pleito pende de un recurso de apelación promovido por el demandante de amparo, en el que se solicita expresamente de la Audiencia Provincial que se pronuncie sobre la validez de las cláusulas sexta y sexta </w:t>
      </w:r>
      <w:r w:rsidRPr="005728DD">
        <w:rPr>
          <w:i/>
        </w:rPr>
        <w:t>bis</w:t>
      </w:r>
      <w:r>
        <w:t>, y en el recurso de amparo se alega precisamente la falta de pronunciamiento de los órganos judiciales sobre esa cuestión como vulneración del derecho a la tutela judicial efectiva. Por tal razón, entiende el fiscal que, antes de entrar a resolver el fondo del asunto, se debería examinar la existencia de una causa de inadmisión del recurso, ya que parece obvio, a su juicio, que no se ha agotado la vía judicial previa, lo que conlleva, de acuerdo con el art. 44.1 a) LOTC, que deba acordarse dicha inadmisión.</w:t>
      </w:r>
    </w:p>
    <w:p w:rsidR="005728DD" w:rsidRDefault="005728DD" w:rsidP="005728DD">
      <w:pPr>
        <w:pStyle w:val="TextoNormal"/>
      </w:pPr>
    </w:p>
    <w:p w:rsidR="005728DD" w:rsidRDefault="005728DD" w:rsidP="005728DD">
      <w:pPr>
        <w:pStyle w:val="TextoNormal"/>
      </w:pPr>
      <w:r w:rsidRPr="005728DD">
        <w:rPr>
          <w:rStyle w:val="NumeroAFNegritaCaracter"/>
        </w:rPr>
        <w:t>14</w:t>
      </w:r>
      <w:r>
        <w:t xml:space="preserve">. Con fecha 15 de febrero de 2021 tuvo entrada en este tribunal el escrito de alegaciones de la representación del demandante de amparo, en el cual manifestaba su oposición al desistimiento. Tras referirse a los motivos que dieron lugar al planteamiento del presente recurso de amparo, señala que, antes de que este tribunal se pronunciara sobre el fondo del asunto o sobre las medidas cautelares, el juzgado abrió un nuevo cauce de oposición, en el que el actor reiteró su postura acerca de las cláusulas impugnadas y señaló que además se había instado el recurso de amparo, resolviendo el juzgado señalar la celebración de vista. Poco después, este tribunal acordó la suspensión del procedimiento de ejecución hipotecaria, mediante resolución que fue notificada al juzgado, entendiendo la parte que el amparo es previo y suspende el curso del proceso, por lo que no tenía sentido la vista señalada. Y dictado por el juzgado auto teniéndole por desistido de la oposición en una vista que no debió celebrarse, promovió incidente de nulidad de actuaciones, no resuelto por el juzgado, y, subsidiariamente, recurso de apelación, alegando la pendencia del procedimiento ante el Tribunal Constitucional para justificar la inasistencia a la vista, así como la obligación del juez de resolver sobre el carácter abusivo de las cláusulas a instancia de parte o de oficio, tan pronto como disponga de los elementos de hecho y de Derecho necesarios para ello, según la doctrina del Tribunal de Justicia de la Unión Europea. Por tanto, el desistimiento acordado por el juzgado se encuentra </w:t>
      </w:r>
      <w:r w:rsidRPr="005728DD">
        <w:rPr>
          <w:i/>
        </w:rPr>
        <w:t>sub iudice</w:t>
      </w:r>
      <w:r>
        <w:t>, impugnado ante la Audiencia Provincial, y, en esta situación, el pronunciamiento en este recurso de amparo se torna, aun si cabe, más pertinente. En último término, podría darse el caso de que, si se archivara el recurso de amparo, promoviera nuevo incidente extraordinario ante el juzgado, invocando la doctrina de la STC 31/2019 y del Tribunal de Justicia de la Unión Europea, al no haber concluido el procedimiento de ejecución, con la finalidad de obligar al órgano judicial a un pronunciamiento expreso sobre la cláusula de vencimiento anticipado. Por todo ello, interesa la continuación del procedimiento.</w:t>
      </w:r>
    </w:p>
    <w:p w:rsidR="005728DD" w:rsidRDefault="005728DD" w:rsidP="005728DD">
      <w:pPr>
        <w:pStyle w:val="TextoNormal"/>
      </w:pPr>
    </w:p>
    <w:p w:rsidR="005728DD" w:rsidRDefault="005728DD" w:rsidP="005728DD">
      <w:pPr>
        <w:pStyle w:val="TextoNormal"/>
      </w:pPr>
      <w:r w:rsidRPr="005728DD">
        <w:rPr>
          <w:rStyle w:val="NumeroAFNegritaCaracter"/>
        </w:rPr>
        <w:t>15</w:t>
      </w:r>
      <w:r>
        <w:t xml:space="preserve">. La representación de la entidad BBVA RMBS 3 Fondo de Titulación de Activos presentó sus alegaciones el 16 de febrero de 2021, interesando que se acuerde la desestimación del recurso de amparo. Señala que ha solicitado en varias ocasiones que se diera traslado a la parte actora para que alegara sobre la posibilidad de desistir, dado que el Juzgado de Primera Instancia e Instrucción núm. 1 de Valdemoro señaló la comparecencia prevista en el artículo 695.2 LEC en el incidente de oposición a la ejecución por la posible existencia de cláusulas abusivas en el título ejecutado, destacando que el recurrente no ha comparecido, pese a estar citado en forma. Recuerda, asimismo, que el amparo se promovió contra la providencia de 1 de octubre de 2018, que inadmitió el incidente excepcional de nulidad de actuaciones planteado por el recurrente, incidente que, a su juicio, no era el cauce adecuado para obtener lo interesado, por lo cual fue correctamente inadmitido. En todo caso, el </w:t>
      </w:r>
      <w:r>
        <w:lastRenderedPageBreak/>
        <w:t>juzgado ha admitido a trámite la petición de contrario de oposición a la ejecución por cláusulas abusivas, lo que pone de relieve la correcta aplicación de las normas procesales, y, además, priva de sentido al presente procedimiento, al ser la obtención del examen de las cláusulas abusivas del título el objeto de la pretensión de amparo que aquí se articula.</w:t>
      </w:r>
    </w:p>
    <w:p w:rsidR="005728DD" w:rsidRDefault="005728DD" w:rsidP="005728DD">
      <w:pPr>
        <w:pStyle w:val="TextoNormal"/>
      </w:pPr>
    </w:p>
    <w:p w:rsidR="005728DD" w:rsidRDefault="005728DD" w:rsidP="005728DD">
      <w:pPr>
        <w:pStyle w:val="TextoNormal"/>
      </w:pPr>
      <w:r w:rsidRPr="005728DD">
        <w:rPr>
          <w:rStyle w:val="NumeroAFNegritaCaracter"/>
        </w:rPr>
        <w:t>16</w:t>
      </w:r>
      <w:r>
        <w:t>. Por providencia de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
      </w:pPr>
      <w:r w:rsidRPr="005728DD">
        <w:rPr>
          <w:rStyle w:val="NumeroAFNegritaCaracter"/>
        </w:rPr>
        <w:t>17</w:t>
      </w:r>
      <w:r>
        <w:t xml:space="preserve">. </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w:t>
      </w:r>
      <w:r>
        <w:t>.</w:t>
      </w:r>
    </w:p>
    <w:p w:rsidR="005728DD" w:rsidRDefault="005728DD" w:rsidP="005728DD">
      <w:pPr>
        <w:pStyle w:val="TextoNormal"/>
      </w:pPr>
    </w:p>
    <w:p w:rsidR="005728DD" w:rsidRDefault="005728DD" w:rsidP="005728DD">
      <w:pPr>
        <w:pStyle w:val="TextoNormal"/>
      </w:pPr>
      <w:r>
        <w:t>El presente recurso de amparo se dirige contra la providencia de 1 de octubre de 2018, del Juzgado de Primera Instancia e Instrucción núm. 1 de Valdemoro, dictada en el procedimiento de ejecución hipotecaria núm. 31-2009, y por la que inadmite a trámite el incidente de nulidad de actuaciones planteado frente el auto de 21 de enero de 2011, que inadmitió la oposición a la ejecución despachada mediante auto de 21 de septiembre de 2009.</w:t>
      </w:r>
    </w:p>
    <w:p w:rsidR="005728DD" w:rsidRDefault="005728DD" w:rsidP="005728DD">
      <w:pPr>
        <w:pStyle w:val="TextoNormal"/>
      </w:pPr>
    </w:p>
    <w:p w:rsidR="005728DD" w:rsidRDefault="005728DD" w:rsidP="005728DD">
      <w:pPr>
        <w:pStyle w:val="TextoNormal"/>
      </w:pPr>
      <w:r>
        <w:t>El demandante de amparo denuncia la vulneración de su derecho a la tutela judicial efectiva sin indefensión (art. 24.1 CE), en sus vertientes de acceso a la jurisdicción y del derecho a obtener una resolución expresa y motivada sobre el fondo de la cuestión planteada, por haber inadmitido el juzgado el incidente en el que se instaba su pronunciamiento sobre el carácter abusivo, entre otras, de la cláusula de vencimiento anticipado. Respalda la petición de amparo el Ministerio Fiscal, si bien señala la posibilidad de que el recurso haya perdido su objeto e, incluso, que resulte inadmisible. Por su parte, la entidad BBVA RMBS 3 Fondo de Titulación de Activos solicita la desestimación del amparo por ser la resolución impugnada plenamente conforme a Derecho, habiendo puesto de relieve en reiteradas ocasiones, además, que se han producido actuaciones en el seno del procedimiento de ejecución hipotecaria que determinarían que la parte actora debiera desistir del presente recurso, al haber quedado satisfechas sus pretensiones en vía judicial.</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Óbices procesales que afectan a la pervivencia o a la admisibilidad del amparo</w:t>
      </w:r>
      <w:r>
        <w:t>.</w:t>
      </w:r>
    </w:p>
    <w:p w:rsidR="005728DD" w:rsidRDefault="005728DD" w:rsidP="005728DD">
      <w:pPr>
        <w:pStyle w:val="TextoNormal"/>
      </w:pPr>
    </w:p>
    <w:p w:rsidR="005728DD" w:rsidRDefault="005728DD" w:rsidP="005728DD">
      <w:pPr>
        <w:pStyle w:val="TextoNormal"/>
      </w:pPr>
      <w:r>
        <w:t xml:space="preserve">Antes de entrar en el análisis del fondo del asunto, es preciso examinar las cuestiones de índole procesal planteadas por la parte recurrida y por el Ministerio Fiscal. La primera entiende que, a consecuencia de las actuaciones producidas posteriormente en el procedimiento de ejecución hipotecaria, la parte actora debería desistir del presente procedimiento. Por su parte, el fiscal, que, inicialmente, en su escrito de alegaciones del art. 52 LOTC, se refirió a la posible pérdida de objeto del presente recurso de amparo en virtud de tales actuaciones, posteriormente, tras haberse requerido el envío de testimonio de nuevas actuaciones judiciales producidas en el procedimiento </w:t>
      </w:r>
      <w:r w:rsidRPr="005728DD">
        <w:rPr>
          <w:i/>
        </w:rPr>
        <w:t>a quo</w:t>
      </w:r>
      <w:r>
        <w:t>, sostuvo que existía causa de inadmisión del recurso de amparo.</w:t>
      </w:r>
    </w:p>
    <w:p w:rsidR="005728DD" w:rsidRDefault="005728DD" w:rsidP="005728DD">
      <w:pPr>
        <w:pStyle w:val="TextoNormal"/>
      </w:pPr>
    </w:p>
    <w:p w:rsidR="005728DD" w:rsidRDefault="005728DD" w:rsidP="005728DD">
      <w:pPr>
        <w:pStyle w:val="TextoNormal"/>
      </w:pPr>
      <w:r>
        <w:lastRenderedPageBreak/>
        <w:t xml:space="preserve">Como ponen de relieve las actuaciones remitidas por la Sección Decimonovena de la Audiencia Provincial de Madrid, con fecha 20 de junio de 2019, el juzgado, conforme a la disposición transitoria tercera de la Ley 5/2019, de 15 de marzo, reguladora de los contratos de crédito inmobiliario, concedió al demandante de amparo un plazo de diez días para formular un incidente extraordinario de oposición, lo que aquel materializó en escrito presentado el 25 de junio de 2019, en el que denunció el carácter abusivo de las cláusulas de intereses moratorios y de vencimiento anticipado. Por diligencia de ordenación de 6 de septiembre de 2019 (habiendo sido ya admitido a trámite el presente recurso de amparo), el Juzgado de Primera Instancia e Instrucción núm. 1 de Valdemoro acordó tener por formulada oposición a la ejecución por la parte ejecutada, únicamente por la presencia de cláusulas abusivas en el título de ejecución, y, para decidir sobre dicho motivo de oposición, se acordó suspender la ejecución y, conforme a lo previsto en el apartado 2 del art. 695 LEC, convocar a las partes a una comparecencia para el día 13 de noviembre de 2019. Las actuaciones remitidas por la Sección Decimonovena de la Audiencia Provincial de Madrid muestran que el demandante de amparo no compareció en dicha vista, por lo que el juzgado, mediante auto de 19 de noviembre de 2019, le tuvo por desistido de la oposición por su incomparecencia. Frente a dicha resolución promovió el actor, en un mismo escrito, recurso de nulidad de actuaciones por el cauce del art. 227 LEC y recurso de apelación, con fecha 18 de diciembre de 2019. El incidente se basaba en la previa suspensión del proceso acordada por auto de este tribunal (concretamente, el ATC 102/2019, de 16 de septiembre), y en la infracción del derecho a la tutela judicial efectiva en relación con las exigencias derivadas del art. 6 de la Directiva 93/13/CEE, en cuanto a la necesidad de un pronunciamiento expreso del juzgador sobre la eventual existencia de cláusulas abusivas. Por su parte, el recurso de apelación se fundó en la infracción de garantías procesales, no solo por incumplimiento de la exigencia de pronunciarse sobre las cláusulas abusivas, de acuerdo con las normas de la Unión Europea y la jurisprudencia del Tribunal de Justicia de la Unión Europea, sino por las consecuencias extraídas de una incomparecencia justificada porque la vista no debió celebrarse, a tenor de un auto previo del Tribunal Constitucional que suspendió el curso del proceso. Y, asimismo, solicita del órgano </w:t>
      </w:r>
      <w:r w:rsidRPr="005728DD">
        <w:rPr>
          <w:i/>
        </w:rPr>
        <w:t>ad quem</w:t>
      </w:r>
      <w:r>
        <w:t xml:space="preserve"> que se pronuncie sobre el carácter abusivo de la cláusula de vencimiento anticipado inserta en el título ejecutivo (sexta </w:t>
      </w:r>
      <w:r w:rsidRPr="005728DD">
        <w:rPr>
          <w:i/>
        </w:rPr>
        <w:t>bis</w:t>
      </w:r>
      <w:r>
        <w:t>), pronunciamiento que debía haber efectuado el juzgado, incluso de oficio. El juzgado tuvo por interpuesto recurso de apelación y remitió los autos a la Audiencia Provincial de Madrid, encontrándose pendiente de resolución por la Sección Decimonovena (recurso de apelación 317-2020).</w:t>
      </w:r>
    </w:p>
    <w:p w:rsidR="005728DD" w:rsidRDefault="005728DD" w:rsidP="005728DD">
      <w:pPr>
        <w:pStyle w:val="TextoNormal"/>
      </w:pPr>
    </w:p>
    <w:p w:rsidR="005728DD" w:rsidRDefault="005728DD" w:rsidP="005728DD">
      <w:pPr>
        <w:pStyle w:val="TextoNormal"/>
      </w:pPr>
      <w:r>
        <w:t>Pues bien, a la vista de estos antecedentes, podemos ya dilucidar si concurren o no los óbices aducidos en sus distintos escritos por la entidad BBVA RMBS 3 Fondo de Titulación de Activos y por el Ministerio Fiscal.</w:t>
      </w:r>
    </w:p>
    <w:p w:rsidR="005728DD" w:rsidRDefault="005728DD" w:rsidP="005728DD">
      <w:pPr>
        <w:pStyle w:val="TextoNormal"/>
      </w:pPr>
    </w:p>
    <w:p w:rsidR="005728DD" w:rsidRDefault="005728DD" w:rsidP="005728DD">
      <w:pPr>
        <w:pStyle w:val="TextoNormal"/>
      </w:pPr>
      <w:r>
        <w:t xml:space="preserve">a) En primer lugar, defiende la entidad recurrida, y ejecutante en el procedimiento </w:t>
      </w:r>
      <w:r w:rsidRPr="005728DD">
        <w:rPr>
          <w:i/>
        </w:rPr>
        <w:t>a quo</w:t>
      </w:r>
      <w:r>
        <w:t xml:space="preserve">, que a la luz de las actuaciones relatadas, el actor tendría que desistir del recurso de amparo. Tal planteamiento no puede ser aceptado, pues, aunque el desistimiento sea, conforme a reiterada doctrina de este tribunal (por todos, ATC 31/2016, de 15 de febrero, FJ 1), una forma de terminación del procedimiento prevista en los artículos 80 y 86 LOTC (que se remite en el primero de dichos preceptos, en cuanto a requisitos y procedimiento, a lo establecido en la Ley Orgánica del Poder Judicial y en la Ley de enjuiciamiento civil), se configura técnicamente como un acto que expresa la voluntad del demandante de abandonar el proceso y que por ello ha de tener su causa en una voluntad expresa del actor del proceso </w:t>
      </w:r>
      <w:r>
        <w:lastRenderedPageBreak/>
        <w:t>de apartarse de él (SSTC 21/1989, de 21 de enero, FJ 3, y 9/1993, de 18 de enero, FJ 3), a salvo aquellos casos en que la ley procesal configura, respecto del desistimiento tácito, “una presunción, cuya base es el hecho cierto de la incomparecencia sin aviso previo, a partir del cual se deduce una voluntad de abandono de la acción o pretensión, voluntad no expresa, sino presunta o tácita” (STC 304/1994, de 14 de noviembre, FJ 3). En todo caso, no cabe presumir el desistimiento cuando el demandante manifiesta claramente su decisión de continuar el proceso o su oposición a la conclusión del mismo (STC 21/1989, de 31 de enero, FJ 3), como ocurre en el presente supuesto, en el que no solo no existe una voluntad expresa del recurrente en amparo de desistir, sino que, además, se ha opuesto explícitamente al desistimiento interesado por la parte recurrida, por lo que en ningún caso cabe imponerle la decisión de desistir.</w:t>
      </w:r>
    </w:p>
    <w:p w:rsidR="005728DD" w:rsidRDefault="005728DD" w:rsidP="005728DD">
      <w:pPr>
        <w:pStyle w:val="TextoNormal"/>
      </w:pPr>
    </w:p>
    <w:p w:rsidR="005728DD" w:rsidRDefault="005728DD" w:rsidP="005728DD">
      <w:pPr>
        <w:pStyle w:val="TextoNormal"/>
      </w:pPr>
      <w:r>
        <w:t>b) Por otra parte, ha señalado el fiscal en sus alegaciones que podría haberse producido pérdida de objeto del recurso de amparo ante las actuaciones subsiguientes a su interposición y admisión a trámite, que han tenido lugar en el procedimiento de ejecución hipotecaria del que trae causa la demanda de amparo, en concreto por el señalamiento de la vista para dilucidar el incidente extraordinario de oposición.</w:t>
      </w:r>
    </w:p>
    <w:p w:rsidR="005728DD" w:rsidRDefault="005728DD" w:rsidP="005728DD">
      <w:pPr>
        <w:pStyle w:val="TextoNormal"/>
      </w:pPr>
    </w:p>
    <w:p w:rsidR="005728DD" w:rsidRDefault="005728DD" w:rsidP="005728DD">
      <w:pPr>
        <w:pStyle w:val="TextoNormal"/>
      </w:pPr>
      <w:r>
        <w:t>La desaparición sobrevenida del objeto es una de las formas de terminación del proceso constitucional iniciado por el recurso de amparo cuando las circunstancias posteriores a la presentación de la demanda hacen innecesario un pronunciamiento del Tribunal Constitucional al haberse modificado de manera sustancial la controversia (por todos, ATC 32/2014, de 10 de febrero, FJ 1, con los autos ahí citados). Son numerosos los pronunciamientos en que la desaparición sobrevenida del objeto del proceso, aun sin estar expresamente contemplada en el art. 86.1 LOTC, ha sido admitida por este tribunal como una de las formas de terminación de los distintos procesos constitucionales (entre otras, la STC 52/2019, de 11 de abril), pues el recurso de amparo constituye un remedio jurisdiccional idóneo solo para la reparación de lesiones singulares y efectivas de los derechos fundamentales, sin que puedan hacerse valer por esta vía otras pretensiones que las dirigidas al restablecimiento o la preservación de aquellos derechos (art. 41.3 LOTC), de modo que cuando la pretensión se ha visto satisfecha fuera del propio proceso de amparo “no cabe sino concluir, en principio, que este carece desde ese momento de objeto sobre el que deba pronunciarse este tribunal” (STC 73/2018, FJ 2).</w:t>
      </w:r>
    </w:p>
    <w:p w:rsidR="005728DD" w:rsidRDefault="005728DD" w:rsidP="005728DD">
      <w:pPr>
        <w:pStyle w:val="TextoNormal"/>
      </w:pPr>
    </w:p>
    <w:p w:rsidR="005728DD" w:rsidRDefault="005728DD" w:rsidP="005728DD">
      <w:pPr>
        <w:pStyle w:val="TextoNormal"/>
      </w:pPr>
      <w:r>
        <w:t xml:space="preserve">En el presente caso la circunstancia aducida por el fiscal es el señalamiento efectuado el 6 de septiembre de 2019 por el órgano judicial para una vista del art. 695.2 LEC. Viene entonces a alegarse que el propio órgano judicial habría reparado las lesiones del derecho invocado en sede constitucional, uno de los casos en que hemos apreciado la pérdida sobrevenida del objeto (STC 13/2005, de 31 de enero, FJ 2). No obstante, para llegar a una conclusión sobre este extremo hemos de partir del objeto del presente recurso de amparo, en el que —recordemos— se denuncia la vulneración del derecho a la tutela judicial efectiva porque el juzgado inadmitió el incidente de nulidad de actuaciones en el que se solicitaba, al amparo de la jurisprudencia del Tribunal de Justicia de la Unión Europea, que el órgano judicial se pronunciara sobre el carácter abusivo de determinadas cláusulas del contrato de préstamo con garantía de hipoteca inmobiliaria que sirvió de fundamento al procedimiento de ejecución de títulos no judiciales. En último término, y no pudiendo constituir propiamente el objeto del presente recurso de amparo decidir si las cláusulas denunciadas son o no abusivas, la pretensión del recurrente es que, con anulación de la resolución impugnada, </w:t>
      </w:r>
      <w:r>
        <w:lastRenderedPageBreak/>
        <w:t>se retrotraigan las actuaciones para que el juzgado se pronuncie necesariamente sobre el carácter abusivo de esas cláusulas del contrato.</w:t>
      </w:r>
    </w:p>
    <w:p w:rsidR="005728DD" w:rsidRDefault="005728DD" w:rsidP="005728DD">
      <w:pPr>
        <w:pStyle w:val="TextoNormal"/>
      </w:pPr>
    </w:p>
    <w:p w:rsidR="005728DD" w:rsidRDefault="005728DD" w:rsidP="005728DD">
      <w:pPr>
        <w:pStyle w:val="TextoNormal"/>
      </w:pPr>
      <w:r>
        <w:t>El señalamiento de una vista (art. 695.2 LEC) en la que dilucidar la oposición formulada por el recurrente no es una decisión que presuponga el examen judicial de las cláusulas denunciadas como abusivas, ya que lo que se impugna en amparo no es la imposibilidad del recurrente de haber sido oído, sino el rechazo judicial a examinar el clausulado. Y el hecho de que el juez haya omitido pronunciarse sobre dicha oposición so pretexto de la incomparecencia del ejecutado en la vista, aleja más la posibilidad de entender que ha quedado satisfecha la pretensión del demandante de amparo, olvidando, además, con dicha decisión que, como se señalara de manera insistente en la STC 31/2019, de 28 de febrero, FFJJ 5 y 6, de acuerdo con la doctrina establecida por el Tribunal de Justicia de la Unión Europea, el juez nacional deberá apreciar de oficio el carácter abusivo de una cláusula contractual incluida en el ámbito de aplicación de la Directiva 93/13/CEE tan pronto como disponga de los elementos de hecho y de Derecho necesarios para ello.</w:t>
      </w:r>
    </w:p>
    <w:p w:rsidR="005728DD" w:rsidRDefault="005728DD" w:rsidP="005728DD">
      <w:pPr>
        <w:pStyle w:val="TextoNormal"/>
      </w:pPr>
    </w:p>
    <w:p w:rsidR="005728DD" w:rsidRDefault="005728DD" w:rsidP="005728DD">
      <w:pPr>
        <w:pStyle w:val="TextoNormal"/>
      </w:pPr>
      <w:r>
        <w:t>Por tanto, en la medida en que no se ha dictado una resolución en la que se examinaran las cláusulas del contrato y se determinara motivada y fundadamente si alguna de ellas podía ser considerada abusiva o si no lo eran, no puede entenderse que haya habido desaparición sobrevenida del objeto como consecuencia de la actuación judicial desplegada a raíz del incidente extraordinario de oposición promovido por el recurrente. Esa actuación no modifica de manera sustancial la controversia, de forma que el presente recurso seguiría siendo en este momento un remedio jurisdiccional idóneo para, en su caso, reparar la lesión singular y efectiva del derecho del recurrente a la tutela judicial efectiva, sin perjuicio de lo que se expondrá a continuación.</w:t>
      </w:r>
    </w:p>
    <w:p w:rsidR="005728DD" w:rsidRDefault="005728DD" w:rsidP="005728DD">
      <w:pPr>
        <w:pStyle w:val="TextoNormal"/>
      </w:pPr>
    </w:p>
    <w:p w:rsidR="005728DD" w:rsidRDefault="005728DD" w:rsidP="005728DD">
      <w:pPr>
        <w:pStyle w:val="TextoNormal"/>
      </w:pPr>
      <w:r>
        <w:t>c) Una vez excluida la posible pérdida de objeto del recurso de amparo, hemos de examinar la otra alegación, formulada también por el Ministerio Fiscal, a raíz de las actuaciones producidas en el procedimiento de ejecución hipotecaria con posterioridad a la interposición del recurso de amparo. En concreto, el fiscal aduce la falta de agotamiento de la vía judicial previa, de acuerdo con lo exigido por el art. 44.1 a) LOTC, lo que debería determinar la inadmisión del recurso.</w:t>
      </w:r>
    </w:p>
    <w:p w:rsidR="005728DD" w:rsidRDefault="005728DD" w:rsidP="005728DD">
      <w:pPr>
        <w:pStyle w:val="TextoNormal"/>
      </w:pPr>
    </w:p>
    <w:p w:rsidR="005728DD" w:rsidRDefault="005728DD" w:rsidP="005728DD">
      <w:pPr>
        <w:pStyle w:val="TextoNormal"/>
      </w:pPr>
      <w:r>
        <w:t>En cuanto a este planteamiento, es preciso recordar aquí la doctrina reiterada de este tribunal según la cual “los defectos insubsanables de que pudiera estar afectado el recurso de amparo no resultan sanados porque la demanda haya sido inicialmente admitida a trámite y así lo declaramos, entre otras, en la STC 69/2011, de 16 de mayo, cuyo fundamento jurídico 2 afirma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32/2002, de 11 de febrero, FJ 2; 204/2005, de 18 de julio, FJ 2; 237/2006, de 17 de julio, FJ 4; 7/2007, de 15 de enero, FJ 2; 28/2011, de 14 de marzo, FJ 3; y 29/2011 de 14 de marzo, FJ 3)’” (STC 200/2012, de 12 de noviembre, FJ 2).</w:t>
      </w:r>
    </w:p>
    <w:p w:rsidR="005728DD" w:rsidRDefault="005728DD" w:rsidP="005728DD">
      <w:pPr>
        <w:pStyle w:val="TextoNormal"/>
      </w:pPr>
    </w:p>
    <w:p w:rsidR="005728DD" w:rsidRDefault="005728DD" w:rsidP="005728DD">
      <w:pPr>
        <w:pStyle w:val="TextoNormal"/>
      </w:pPr>
      <w:r>
        <w:t xml:space="preserve">Pues bien, este tribunal no puede sino compartir el planteamiento del fiscal, pues el devenir del procedimiento en la vía judicial ordinaria con posterioridad a la interposición del presente recurso de amparo ha convertido la queja objeto del mismo en prematura. En </w:t>
      </w:r>
      <w:r>
        <w:lastRenderedPageBreak/>
        <w:t xml:space="preserve">efecto, la actuación judicial, que ha abierto la posibilidad de plantear un incidente extraordinario de oposición para suscitar la cuestión relativa al carácter abusivo de determinadas cláusulas del contrato de préstamo que sirvió de título a la ejecución, ha creado una situación en la que cabe que un órgano judicial adopte una decisión sobre el carácter abusivo o no de las cláusulas del contrato, que es a lo que habría lugar en el caso de que este tribunal otorgara el amparo y apreciara la vulneración del derecho a la tutela judicial efectiva del actor por habérsele negado ese pronunciamiento al inadmitir el juzgado el incidente de nulidad de actuaciones promovido con tal fin: retroacción de actuaciones para que el órgano judicial se pronuncie motivadamente acerca de la abusividad de las cláusulas del contrato. Bien es cierto que el Juzgado de Primera Instancia e Instrucción núm. 1 de Valdemoro ha dictado auto teniendo por desistido al demandante de amparo del incidente extraordinario de oposición, por su incomparecencia en la vista que a tal efecto se había señalado, y que no ha procedido a examinar el posible carácter abusivo de las cláusulas. Pero no lo es menos que, como advierte el fiscal, el actor ha interpuesto recurso de apelación contra dicha resolución, en el que, aparte de otras cuestiones, ha planteado la relativa al carácter abusivo de determinadas cláusulas, particularmente de la de vencimiento anticipado, con exposición de la doctrina que sobre el particular tienen establecido el Tribunal de Justicia de la Unión Europea y este tribunal, solicitando de la Audiencia Provincial de Madrid que se pronuncie sobre esa cuestión. Es decir, que puede producirse aún de manera efectiva el examen judicial de las cláusulas del contrato de préstamo en la vía ordinaria, por lo que no procede que este tribunal se pronuncie sobre la queja que se le ha planteado, en tanto que se encuentra pendiente de resolver ante la Sección Decimonovena de la Audiencia Provincial de Madrid la pretensión objeto del recurso de apelación, que podría dar lugar a la reparación en el propio procedimiento </w:t>
      </w:r>
      <w:r w:rsidRPr="005728DD">
        <w:rPr>
          <w:i/>
        </w:rPr>
        <w:t>a quo</w:t>
      </w:r>
      <w:r>
        <w:t xml:space="preserve"> del derecho fundamental invocado ante nosotros.</w:t>
      </w:r>
    </w:p>
    <w:p w:rsidR="005728DD" w:rsidRDefault="005728DD" w:rsidP="005728DD">
      <w:pPr>
        <w:pStyle w:val="TextoNormal"/>
      </w:pPr>
    </w:p>
    <w:p w:rsidR="005728DD" w:rsidRDefault="005728DD" w:rsidP="005728DD">
      <w:pPr>
        <w:pStyle w:val="TextoNormal"/>
      </w:pPr>
      <w:r>
        <w:t>Esta consecuencia, como nos indica la STC 13/2005, de 31 de enero, FJ 3, “es la que impone la lógica para que pueda quedar salvaguardado el carácter subsidiario del amparo, que solo procede cuando no hayan tenido éxito las demás vías que el ordenamiento ofrece para la reparación del derecho fundamental ante los jueces y tribunales ordinarios (STC 147/1994, de 12 de mayo, FJ 2), con lo cual se evita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(en este sentido, por todas, SSTC 71/2000, FJ 3, y 72/2000, FJ 3, ambas de 13 de marzo)’ (STC 214/2000, de 18 de septiembre, FJ 3). De tal suerte que, en principio, solo cuando el proceso haya finalizado, por haber recaído una resolución definitiva, puede entenderse agotada la vía judicial y, consecuentemente, es posible acudir ante este tribunal en demanda de amparo (STC 174/1994, de 7 de junio, FJ 2). En suma, resulta improcedente la coexistencia temporal de un proceso de amparo con la vía judicial (por todas, STC 97/2004, de 24 de mayo, FJ 3), anomalía que acontece de forma evidente cuando se inicia el proceso de amparo antes de que se resuelvan los recursos interpuestos en la vía judicial ordinaria contra la resolución jurisdiccional que se recurre en amparo (STC 72/2004, de 19 de abril, FJ 3), pero que puede producirse también, como es el caso, cuando, con posterioridad a presentarse la demanda de amparo, se ha procedido en la vía judicial ordinaria, bien de oficio, bien a instancia del recurrente, al examen y resolución de la queja constitutiva del amparo impetrado ante este tribunal”.</w:t>
      </w:r>
    </w:p>
    <w:p w:rsidR="005728DD" w:rsidRDefault="005728DD" w:rsidP="005728DD">
      <w:pPr>
        <w:pStyle w:val="TextoNormal"/>
      </w:pPr>
    </w:p>
    <w:p w:rsidR="005728DD" w:rsidRDefault="005728DD" w:rsidP="005728DD">
      <w:pPr>
        <w:pStyle w:val="TextoNormal"/>
      </w:pPr>
      <w:r>
        <w:lastRenderedPageBreak/>
        <w:t xml:space="preserve">No altera la anterior conclusión el hecho de que el juzgado ante el que se sigue la ejecución ya haya resuelto, según se ha reseñado, teniendo por desistido al demandante de amparo del incidente extraordinario de oposición, sin entrar a examinar las cláusulas del contrato y su posible carácter abusivo, pues, aparte de que esa decisión no es firme y se encuentra pendiente de recurso de apelación en el que aún no ha recaído resolución, no podemos convertirla en objeto de nuestro enjuiciamiento en el presente recurso, ya que ello supondría una ampliación de la demanda de amparo que no resulta admisible. En efecto, según reiterada jurisprudencia de este tribunal, el objeto procesal queda fijado en la demanda de amparo, definiendo y delimitando la pretensión (SSTC 235/1994, de 20 de julio, FJ 1; 26/1995, de 6 de febrero, FJ 3; 124/1999, de 28 de junio, FJ 1, y 205/1999, de 8 de noviembre, FJ 4), pues en ella ha de individualizarse el acto o la disposición cuya nulidad se pretenda, con indicación de la razón para pedirla o </w:t>
      </w:r>
      <w:r w:rsidRPr="005728DD">
        <w:rPr>
          <w:i/>
        </w:rPr>
        <w:t>causa petendi</w:t>
      </w:r>
      <w:r>
        <w:t xml:space="preserve"> (STC 185/1996, de 25 de noviembre, FJ 1), sin que sean viables las alteraciones introducidas con posteriores alegaciones (SSTC 109/1997, de 2 de junio, FJ 1, y 39/1999, de 22 de marzo, FJ 2), cuya razón de ser es completar y, en su caso, reforzar la fundamentación del recurso, mas no ampliarlo o variarlo sustancialmente (STC 85/1999, de 10 de mayo, FJ 2).</w:t>
      </w:r>
    </w:p>
    <w:p w:rsidR="005728DD" w:rsidRDefault="005728DD" w:rsidP="005728DD">
      <w:pPr>
        <w:pStyle w:val="TextoNormal"/>
      </w:pPr>
    </w:p>
    <w:p w:rsidR="005728DD" w:rsidRDefault="005728DD" w:rsidP="005728DD">
      <w:pPr>
        <w:pStyle w:val="TextoNormal"/>
      </w:pPr>
      <w:r>
        <w:t>En definitiva, las actuaciones procesales acaecidas en el procedimiento de ejecución hipotecaria con posterioridad a la interposición del presente recurso de amparo lo convierten en prematuro, con la consiguiente declaración de inadmisibilidad del mismo. En todo caso, quedaría abierta al recurrente la posibilidad de venir nuevamente en amparo contra la decisión que adopte la Audiencia Provincial de Madrid, así como contra la del juzgado de instancia, en el caso de que considere que no han llevado a cabo la reparación del derecho fundamental a la tutela judicial efectiva impetrado en el incidente de nulidad de actuaciones, y reiterado, posteriormente, en el incidente extraordinario de oposición a la ejecución y en el escrito en el que planteó su recurso de apelación.</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inadmitir el recurso de amparo interpuesto por don Carlos Santiago Contreras.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6" w:name="SENTENCIA_2021_53"/>
      <w:r>
        <w:lastRenderedPageBreak/>
        <w:t>SENTENCIA 53/2021, de 15 de marzo de 2021</w:t>
      </w:r>
    </w:p>
    <w:bookmarkEnd w:id="56"/>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ECLI:ES:TC:2021:53</w:t>
      </w:r>
    </w:p>
    <w:p w:rsidR="005728DD" w:rsidRDefault="005728DD" w:rsidP="005728DD">
      <w:pPr>
        <w:pStyle w:val="TextoNormalCentrado"/>
      </w:pPr>
    </w:p>
    <w:p w:rsidR="005728DD" w:rsidRDefault="005728DD" w:rsidP="005728DD">
      <w:pPr>
        <w:pStyle w:val="SntesisDescriptiva"/>
      </w:pPr>
      <w:r>
        <w:t>Recurso de amparo 6546-2018. Promovido por don Óscar Urralburu Arza, diputado y portavoz del Grupo Parlamentario Podemos en la Asamblea Regional de Murcia, respecto de la inadmisión de una proposición de ley sobre derechos y deberes de los usuarios del sistema sanitario regional.</w:t>
      </w:r>
    </w:p>
    <w:p w:rsidR="005728DD" w:rsidRDefault="005728DD" w:rsidP="005728DD">
      <w:pPr>
        <w:pStyle w:val="SntesisDescriptiva"/>
      </w:pPr>
    </w:p>
    <w:p w:rsidR="005728DD" w:rsidRDefault="005728DD" w:rsidP="005728DD">
      <w:pPr>
        <w:pStyle w:val="SntesisAnaltica"/>
      </w:pPr>
      <w:r>
        <w:t>Vulneración del derecho al ejercicio del cargo público representativo en conexión con el derecho de los ciudadanos a la participación: inadmisión de una iniciativa parlamentaria fundada en el veto presupuestario gubernamental cuya suficiencia y razonabilidad no examinó la mesa de la cámara (SSTC 223/2006 y 242/2006).</w:t>
      </w:r>
    </w:p>
    <w:p w:rsidR="005728DD" w:rsidRDefault="005728DD" w:rsidP="005728DD">
      <w:pPr>
        <w:pStyle w:val="SntesisAnaltica"/>
      </w:pPr>
    </w:p>
    <w:p w:rsidR="005728DD" w:rsidRDefault="005728DD" w:rsidP="005728DD">
      <w:pPr>
        <w:pStyle w:val="Extracto"/>
      </w:pPr>
      <w:r>
        <w:t>1.</w:t>
      </w:r>
      <w:r>
        <w:tab/>
        <w:t>Reitera la doctrina sobre la conexión directa entre el derecho de los parlamentarios al ejercicio de sus funciones, (art. 23.2 CE) y el que la Constitución atribuye a los ciudadanos a participar en los asuntos públicos (art. 23.1 CE), (SSTC 202/2014; 1/2015 y 94/2018) [FJ 3].</w:t>
      </w:r>
    </w:p>
    <w:p w:rsidR="005728DD" w:rsidRDefault="005728DD" w:rsidP="005728DD">
      <w:pPr>
        <w:pStyle w:val="Extracto"/>
      </w:pPr>
    </w:p>
    <w:p w:rsidR="005728DD" w:rsidRDefault="005728DD" w:rsidP="005728DD">
      <w:pPr>
        <w:pStyle w:val="Extracto"/>
      </w:pPr>
      <w:r>
        <w:t>2.</w:t>
      </w:r>
      <w:r>
        <w:tab/>
        <w:t xml:space="preserve">La presentación de una proposición de ley a la mesa de la cámara legislativa por parte de un grupo parlamentario forma parte del núcleo esencial del ius </w:t>
      </w:r>
      <w:r w:rsidRPr="005728DD">
        <w:rPr>
          <w:i/>
        </w:rPr>
        <w:t xml:space="preserve">in officium </w:t>
      </w:r>
      <w:r>
        <w:t>de los representantes elegidos que lo integran, de modo que la inadmisión de esa iniciativa legislativa por la mesa incide de modo esencial y directo en el ejercicio de la función parlamentaria [FJ 3].</w:t>
      </w:r>
    </w:p>
    <w:p w:rsidR="005728DD" w:rsidRDefault="005728DD" w:rsidP="005728DD">
      <w:pPr>
        <w:pStyle w:val="Extracto"/>
      </w:pPr>
    </w:p>
    <w:p w:rsidR="005728DD" w:rsidRDefault="005728DD" w:rsidP="005728DD">
      <w:pPr>
        <w:pStyle w:val="Extracto"/>
      </w:pPr>
      <w:r>
        <w:t>3.</w:t>
      </w:r>
      <w:r>
        <w:tab/>
        <w:t>Respecto a la doctrina sobre el control por las mesas de los Parlamentos del ejercicio por los gobiernos y su facultad de oponerse a la tramitación de proposiciones de ley que supongan aumento de créditos presupuestarios o disminución de ingresos, las SSTC 223/2006 y 242/2006 se refirieron a la facultad de veto presupuestario de los gobiernos autonómicos, sentando una doctrina que luego ha sido extendida al supuesto del ejercicio por el Gobierno de la Nación de su facultad de veto presupuestario (SSTC 34/2018, 44/2018, 94/2018, 139/2018 y 17/2019) [FJ 5].</w:t>
      </w:r>
    </w:p>
    <w:p w:rsidR="005728DD" w:rsidRDefault="005728DD" w:rsidP="005728DD">
      <w:pPr>
        <w:pStyle w:val="Extracto"/>
      </w:pPr>
    </w:p>
    <w:p w:rsidR="005728DD" w:rsidRDefault="005728DD" w:rsidP="005728DD">
      <w:pPr>
        <w:pStyle w:val="Extracto"/>
      </w:pPr>
      <w:r>
        <w:t>4.</w:t>
      </w:r>
      <w:r>
        <w:tab/>
        <w:t>Es preciso distinguir entre la facultad de veto presupuestario conferida a los gobiernos (en el caso del Gobierno de la Nación, por el art. 134.6 CE y el art. 126.2 del Reglamento del Congreso de los Diputados y, en el caso de los gobiernos autonómicos por los Estatutos de Autonomía o, en su caso, por el Reglamento de la correspondiente Asamblea legislativa) y las funciones de control que corresponden a las mesas de los Parlamentos respectivos (Congreso de los Diputados y asambleas legislativas de cada comunidad autónoma) [SSTC 94/2018 y 17/2019] [FJ 5].</w:t>
      </w:r>
    </w:p>
    <w:p w:rsidR="005728DD" w:rsidRDefault="005728DD" w:rsidP="005728DD">
      <w:pPr>
        <w:pStyle w:val="Extracto"/>
      </w:pPr>
    </w:p>
    <w:p w:rsidR="005728DD" w:rsidRDefault="005728DD" w:rsidP="005728DD">
      <w:pPr>
        <w:pStyle w:val="Extracto"/>
      </w:pPr>
      <w:r>
        <w:t>5.</w:t>
      </w:r>
      <w:r>
        <w:tab/>
        <w:t>En lo que se refiere al alcance temporal del veto presupuestario, la conformidad del Gobierno ha de referirse siempre al presupuesto en vigor en cada momento, en coherencia con el propio principio de anualidad presupuestaria [FJ 5].</w:t>
      </w:r>
    </w:p>
    <w:p w:rsidR="005728DD" w:rsidRDefault="005728DD" w:rsidP="005728DD">
      <w:pPr>
        <w:pStyle w:val="Extracto"/>
      </w:pPr>
    </w:p>
    <w:p w:rsidR="005728DD" w:rsidRDefault="005728DD" w:rsidP="005728DD">
      <w:pPr>
        <w:pStyle w:val="Extracto"/>
      </w:pPr>
      <w:r>
        <w:t>6.</w:t>
      </w:r>
      <w:r>
        <w:tab/>
        <w:t xml:space="preserve">En lo que se refiere a los denominados “ejercicios plurianuales”, si bien todo presupuesto está temporalmente conectado con las cuentas públicas aprobadas en </w:t>
      </w:r>
      <w:r>
        <w:lastRenderedPageBreak/>
        <w:t>ejercicios anteriores y con las que se prevé elaborar para los ejercicios futuros, no lo es menos que tal conexión plurianual no desnaturaliza el carácter anual del presupuesto, por lo que el ejercicio de la facultad gubernamental de veto presupuestario se restringe, igualmente, a la afectación de una medida al presupuesto del ejercicio en curso [FJ 5].</w:t>
      </w:r>
    </w:p>
    <w:p w:rsidR="005728DD" w:rsidRDefault="005728DD" w:rsidP="005728DD">
      <w:pPr>
        <w:pStyle w:val="Extracto"/>
      </w:pPr>
    </w:p>
    <w:p w:rsidR="005728DD" w:rsidRDefault="005728DD" w:rsidP="005728DD">
      <w:pPr>
        <w:pStyle w:val="Extracto"/>
      </w:pPr>
      <w:r>
        <w:t>7.</w:t>
      </w:r>
      <w:r>
        <w:tab/>
        <w:t>En relación con las facultades de la mesa de control de la facultad de veto del Gobierno, en garantía de los derechos reconocidos en el art. 23 CE, incumbe a las mesas parlamentarias llevar a cabo un control reglado sobre el ejercicio de la facultad del Gobierno, de carácter técnico-jurídico, no pudiendo responder en ningún caso a criterios de oportunidad política; y se trata de un doble control, formal y material. La mesa debe verificar la motivación aportada por el Gobierno, pero sin que le corresponda sustituir al mismo en el enjuiciamiento del impacto, sino tan solo constatar que el mismo es real y efectivo, y no una mera hipótesis [FJ 5].</w:t>
      </w:r>
    </w:p>
    <w:p w:rsidR="005728DD" w:rsidRDefault="005728DD" w:rsidP="005728DD">
      <w:pPr>
        <w:pStyle w:val="Extracto"/>
      </w:pPr>
    </w:p>
    <w:p w:rsidR="005728DD" w:rsidRDefault="005728DD" w:rsidP="005728DD">
      <w:pPr>
        <w:pStyle w:val="Extracto"/>
      </w:pPr>
      <w:r>
        <w:t>8.</w:t>
      </w:r>
      <w:r>
        <w:tab/>
        <w:t>La mesa parlamentaria debe velar por los derechos fundamentales de los parlamentarios, derivados del art. 23 CE, de tal manera que, en los supuestos en que decida mostrar su acuerdo con el ejercicio de la facultad de veto por parte del Gobierno a la iniciativa legislativa de un grupo parlamentario, y, en consecuencia inadmitirla, su respuesta debe estar formal y materialmente motivada, a fin de que tras ella no se esconda un juicio sobre la oportunidad política de esa iniciativa, lesivo del derecho a ejercer la función parlamentaria y, con él, del derecho de participación ciudadana [FJ 5].</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6546-2018, promovido por don Óscar Urralburu Arza, diputado de la Asamblea Regional de Murcia y portavoz del Grupo Parlamentario Podemos de dicha cámara legislativa, contra el acuerdo de la mesa de la Asamblea Regional de Murcia de 6 de septiembre de 2018, por el que se desestima la solicitud de reconsideración presentada contra el acuerdo del mismo órgano de gobierno de la Cámara de 28 de mayo de 2018, que inadmite a trámite una proposición de ley presentada por el recurrente en calidad de portavoz de su grupo parlamentario. Ha comparecido y formulado alegaciones la Asamblea Regional de Murcia, representada por letrada de esta Cámara. Ha intervenido el Ministerio Fiscal. Ha sido ponente el magistrado don Andrés Ollero Tassara.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10 de diciembre de 2018, doña Alejandra Ania Martínez, procuradora de los tribunales, en nombre y representación de don Óscar Urralburu Arza, asistida por el abogado don Ginés Ruiz Macía, interpuso recurso de amparo contra los acuerdos de la mesa de la Asamblea Regional de Murcia a los que se ha hecho mención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en que se fundamenta la demanda de amparo son, en síntesis, los que seguidamente se relacionan.</w:t>
      </w:r>
    </w:p>
    <w:p w:rsidR="005728DD" w:rsidRDefault="005728DD" w:rsidP="005728DD">
      <w:pPr>
        <w:pStyle w:val="TextoNormal"/>
      </w:pPr>
    </w:p>
    <w:p w:rsidR="005728DD" w:rsidRDefault="005728DD" w:rsidP="005728DD">
      <w:pPr>
        <w:pStyle w:val="TextoNormal"/>
      </w:pPr>
      <w:r>
        <w:t>a) El 25 de abril de 2018, el demandante de amparo, en su calidad de portavoz del Grupo Parlamentario Podemos en la Asamblea Regional de Murcia, presentó, en el registro de la Cámara la “proposición de ley de modificación de la Ley 3/2009, de 11 de mayo, de los derechos y deberes de los usuarios del sistema sanitario de la Comunidad Autónoma de la Región de Murcia” (9L/PPL-085). En la disposición final primera de dicha iniciativa se establecía que “las medidas contempladas en la presente ley que impliquen la realización de gastos, por la puesta en marcha de la misma norma o en virtud de su desarrollo reglamentario, serán presupuestadas en sus correspondientes programas y capítulos con cargo a los presupuestos de la Comunidad Autónoma de la Región de Murcia del ejercicio siguiente a la entrada en vigor de las disposiciones adoptadas para su aplicación”.</w:t>
      </w:r>
    </w:p>
    <w:p w:rsidR="005728DD" w:rsidRDefault="005728DD" w:rsidP="005728DD">
      <w:pPr>
        <w:pStyle w:val="TextoNormal"/>
      </w:pPr>
    </w:p>
    <w:p w:rsidR="005728DD" w:rsidRDefault="005728DD" w:rsidP="005728DD">
      <w:pPr>
        <w:pStyle w:val="TextoNormal"/>
      </w:pPr>
      <w:r>
        <w:t>b) La mesa de la Cámara, en sesión celebrada el 7 de mayo de 2018, acordó en relación con dicha iniciativa legislativa lo siguiente: “De conformidad con lo que establece el artículo 120 del Reglamento de la Cámara, solicitar la previa conformidad del Consejo de Gobierno, al considerar que la misma podría implicar aumento de créditos presupuestarios”.</w:t>
      </w:r>
    </w:p>
    <w:p w:rsidR="005728DD" w:rsidRDefault="005728DD" w:rsidP="005728DD">
      <w:pPr>
        <w:pStyle w:val="TextoNormal"/>
      </w:pPr>
    </w:p>
    <w:p w:rsidR="005728DD" w:rsidRDefault="005728DD" w:rsidP="005728DD">
      <w:pPr>
        <w:pStyle w:val="TextoNormal"/>
      </w:pPr>
      <w:r>
        <w:t>c) El Consejo de Gobierno de la Región de Murcia acordó el 16 de mayo de 2018 oponerse a la tramitación de la proposición de ley, porque su aprobación supondría un aumento de gasto no presupuestado, estimado en casi cinco millones de euros, a la vista de lo cual la mesa de la Asamblea Regional de Murcia, en sesión celebrada el 28 de mayo de 2018, decidió por tres votos a favor y dos en contra no admitir a trámite la referida iniciativa, “visto que en dicho acuerdo se contiene explicación razonada en la que se fundamenta la oposición a la admisión a trámite”.</w:t>
      </w:r>
    </w:p>
    <w:p w:rsidR="005728DD" w:rsidRDefault="005728DD" w:rsidP="005728DD">
      <w:pPr>
        <w:pStyle w:val="TextoNormal"/>
      </w:pPr>
    </w:p>
    <w:p w:rsidR="005728DD" w:rsidRDefault="005728DD" w:rsidP="005728DD">
      <w:pPr>
        <w:pStyle w:val="TextoNormal"/>
      </w:pPr>
      <w:r>
        <w:t>d) Contra el acuerdo de la mesa de la Cámara de 28 de mayo de 2018 se formuló por el demandante de amparo recurso de reconsideración, en el que se solicitaba la modificación de ese acuerdo y la admisión a trámite de la iniciativa legislativa.</w:t>
      </w:r>
    </w:p>
    <w:p w:rsidR="005728DD" w:rsidRDefault="005728DD" w:rsidP="005728DD">
      <w:pPr>
        <w:pStyle w:val="TextoNormal"/>
      </w:pPr>
    </w:p>
    <w:p w:rsidR="005728DD" w:rsidRDefault="005728DD" w:rsidP="005728DD">
      <w:pPr>
        <w:pStyle w:val="TextoNormal"/>
      </w:pPr>
      <w:r>
        <w:t xml:space="preserve">El recurso de reconsideración, una vez oída la junta de portavoces según lo exigido por el art. 45 del Reglamento de la Cámara (RARM), fue desestimado por la mesa mediante acuerdo adoptado en su sesión de 6 de septiembre de 2018, por tres votos a favor y dos en contra. Se afirma en este acuerdo que “la motivación del acuerdo del Consejo de Gobierno para oponerse a la tramitación cumple con los requisitos establecidos en artículo 120 del reglamento, quedando plenamente justificada la insuficiencia presupuestaria en este ejercicio para implementar las disposiciones de la proposición de ley si fuera aprobada, que tendrían un coste económico que se establece en casi cinco millones de euros, considerando la </w:t>
      </w:r>
      <w:r>
        <w:lastRenderedPageBreak/>
        <w:t>mayoría de la mesa que, tal y como el Gobierno manifiesta, es imposible atender dicho gasto con el presupuesto del presente ejercicio”. Este acuerdo fue notificado al demandante de amparo el 10 de septiembre de 2018.</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se interpone al amparo del art. 42 de la Ley Orgánica del Tribunal Constitucional (LOTC), alegándose la vulneración del derecho del demandante a acceder en condiciones de igualdad a las funciones y cargos públicos según lo dispuesto en el art. 23.2 CE, en relación con el derecho de los ciudadanos a participar en tales asuntos a través de sus representantes, previsto en el art. 23.1 CE, habiendo afectado la decisión de la mesa de la Asamblea Regional de Murcia que se impugna al núcleo de la función parlamentaria.</w:t>
      </w:r>
    </w:p>
    <w:p w:rsidR="005728DD" w:rsidRDefault="005728DD" w:rsidP="005728DD">
      <w:pPr>
        <w:pStyle w:val="TextoNormal"/>
      </w:pPr>
    </w:p>
    <w:p w:rsidR="005728DD" w:rsidRDefault="005728DD" w:rsidP="005728DD">
      <w:pPr>
        <w:pStyle w:val="TextoNormal"/>
      </w:pPr>
      <w:r>
        <w:t>Apoyándose en la doctrina constitucional en la materia, resalta el demandante que la mesa de la Asamblea Regional de Murcia, en el ejercicio de su función de calificación y admisión de las iniciativas, debe limitarse a verificar el cumplimiento de los requisitos formales, eludiendo decisiones que se puedan interpretar como intromisión en la actividad política de los grupos parlamentarios de la Cámara. Además, sus decisiones de inadmisión de cualquier iniciativa (y, en particular, de una proposición de ley) deben estar formal y materialmente motivadas, pues implican una limitación del derecho a ejercer una actividad que forma parte del núcleo de la función representativa y, con él, del derecho de participación ciudadana.</w:t>
      </w:r>
    </w:p>
    <w:p w:rsidR="005728DD" w:rsidRDefault="005728DD" w:rsidP="005728DD">
      <w:pPr>
        <w:pStyle w:val="TextoNormal"/>
      </w:pPr>
    </w:p>
    <w:p w:rsidR="005728DD" w:rsidRDefault="005728DD" w:rsidP="005728DD">
      <w:pPr>
        <w:pStyle w:val="TextoNormal"/>
      </w:pPr>
      <w:r>
        <w:t>Sostiene el demandante que la decisión de inadmisión de la mesa de 28 de mayo de 2018, basada en el veto del Consejo de Gobierno de la Región de Murcia, no resulta justificada, pues ignora lo establecido en la disposición final primera de la propia iniciativa legislativa, a cuyo tenor ni siquiera la tramitación parlamentaria y la aprobación de la proposición de ley podía suponer un aumento de los créditos presupuestarios reales y efectivos ya aprobados. Además, la mesa no notificó al grupo parlamentario autor de la iniciativa el acuerdo de recabar, conforme a lo previsto en el art. 120 RARM, el parecer del Consejo de Gobierno, lo que impidió que pudiera solicitar la reconsideración de ese acuerdo.</w:t>
      </w:r>
    </w:p>
    <w:p w:rsidR="005728DD" w:rsidRDefault="005728DD" w:rsidP="005728DD">
      <w:pPr>
        <w:pStyle w:val="TextoNormal"/>
      </w:pPr>
    </w:p>
    <w:p w:rsidR="005728DD" w:rsidRDefault="005728DD" w:rsidP="005728DD">
      <w:pPr>
        <w:pStyle w:val="TextoNormal"/>
      </w:pPr>
      <w:r>
        <w:t>Por otra parte, al rechazar la reconsideración planteada por el Grupo Parlamentario Podemos frente a la decisión de inadmisión de la proposición de ley, la mesa hizo caso omiso del asesoramiento verbal que recibió de la letrada-secretaria general de la Cámara, quien recomendó que se estimara la solicitud, “dado que el acuerdo del Consejo de Gobierno justifica el coste económico de las medidas que la proposición de ley contiene, pero no justifica que las mismas incidan directamente en el presupuesto en curso, con referencia a las partidas presupuestarias que resultaran insuficientes o que se vieren afectadas directamente”. Tal asesoramiento se encuentra en consonancia con la doctrina sobre el veto presupuestario recogida en la STC 34/2018, de 12 de abril, y reiterada en la STC 44/2018, de 26 de abril. De acuerdo con esta doctrina, resulta fundamental tener en cuenta el alcance temporal del veto presupuestario, que no podrá ejercerse en relación con presupuestos futuros, que aún no han sido elaborados por el Gobierno ni sometidos por tanto al proceso de aprobación parlamentaria.</w:t>
      </w:r>
    </w:p>
    <w:p w:rsidR="005728DD" w:rsidRDefault="005728DD" w:rsidP="005728DD">
      <w:pPr>
        <w:pStyle w:val="TextoNormal"/>
      </w:pPr>
    </w:p>
    <w:p w:rsidR="005728DD" w:rsidRDefault="005728DD" w:rsidP="005728DD">
      <w:pPr>
        <w:pStyle w:val="TextoNormal"/>
      </w:pPr>
      <w:r>
        <w:t xml:space="preserve">Pues bien, en este caso el Consejo de Gobierno de la Región de Murcia fundamenta su veto presupuestario en la afirmación de que la aprobación de la proposición de ley “supondría un aumento de gasto no presupuestado”, con fundamento en un informe elaborado por la Consejería de Salud que parte de unas premisas interesadas, no contrastadas y carentes </w:t>
      </w:r>
      <w:r>
        <w:lastRenderedPageBreak/>
        <w:t xml:space="preserve">de rigor técnico. En suma, el ejecutivo autonómico hace uso de la facultad de veto de forma abusiva e injustificada, con infracción palmaria de la doctrina constitucional según la cual la incidencia de la iniciativa legislativa sobre el presupuesto debe ser real, directa, concreta y efectiva, como señala STC 94/2018, de 17 septiembre. Por ello, la mesa de la Asamblea Regional de Murcia debiera haber rechazado el veto del Consejo de Gobierno, al no haber concretado este la afectación al presupuesto en curso. Al no hacerlo así, la inadmisión de la proposición de ley constituye una decisión arbitraria, que contraviene la doctrina constitucional sobre el veto presupuestario y evidencia que la mesa ha resuelto conforme a criterios de oportunidad política, vulnerando el </w:t>
      </w:r>
      <w:r w:rsidRPr="005728DD">
        <w:rPr>
          <w:i/>
        </w:rPr>
        <w:t>ius in officium</w:t>
      </w:r>
      <w:r>
        <w:t xml:space="preserve"> del demandante, portavoz del Grupo Parlamentario Podemos.</w:t>
      </w:r>
    </w:p>
    <w:p w:rsidR="005728DD" w:rsidRDefault="005728DD" w:rsidP="005728DD">
      <w:pPr>
        <w:pStyle w:val="TextoNormal"/>
      </w:pPr>
    </w:p>
    <w:p w:rsidR="005728DD" w:rsidRDefault="005728DD" w:rsidP="005728DD">
      <w:pPr>
        <w:pStyle w:val="TextoNormal"/>
      </w:pPr>
      <w:r>
        <w:t>Alega asimismo el demandante que el presente recurso de amparo reviste especial trascendencia constitucional porque permitirá al Tribunal Constitucional sentar doctrina que fije el alcance de la potestad que tiene la mesa de la Asamblea de la Región de Murcia para decidir enviar una proposición de ley al Consejo de Gobierno antes de su admisión a trámite, porque estime que esa iniciativa pueda implicar aumento de créditos o disminución de ingresos presupuestarios, conforme a lo previsto en el art. 120 RARM. A ello se añade que no hay cauce de tutela ante la jurisdicción ordinaria de este tipo de actos parlamentarios, por lo que el recurso de amparo aparece como el único remedio posible para defender no solo los derechos de representación política de los diputados de la Cámara, sino también los de la ciudadanía.</w:t>
      </w:r>
    </w:p>
    <w:p w:rsidR="005728DD" w:rsidRDefault="005728DD" w:rsidP="005728DD">
      <w:pPr>
        <w:pStyle w:val="TextoNormal"/>
      </w:pPr>
    </w:p>
    <w:p w:rsidR="005728DD" w:rsidRDefault="005728DD" w:rsidP="005728DD">
      <w:pPr>
        <w:pStyle w:val="TextoNormal"/>
      </w:pPr>
      <w:r>
        <w:t>Por todo ello, solicita el demandante que se le otorgue el amparo, declarando que se ha vulnerado su derecho a ejercer las funciones representativas con los requisitos que señalan las leyes (art. 23.2 CE), en conexión con el derecho de la ciudadanía a participar en los asuntos públicos a través de sus representantes (art. 23.1 CE), y que se le restablezca en su derecho, para lo cual deberá declararse la nulidad de los acuerdos impugnados de la mesa de la Asamblea Regional de Murcia y ordenar que se retrotraigan las actuaciones al momento inmediatamente anterior a la resolución del recurso de reconsideración, para que la mesa dicte un nuevo acuerdo sobre la iniciativa presentada por el Grupo Parlamentario Podemos que sea respetuosa con el derecho de participación política del art. 23 CE.</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19 de octubre de 2020, la Sección Segunda de este tribunal acordó admitir a trámite el recurso de amparo, apreciando que concurre una especial trascendencia constitucional (art. 50.1 LOTC), por cuanto el asunto suscitado trasciende del caso concreto porque pudiera tener unas consecuencias políticas generales [STC 155/2009, FJ 2, g)]. Por ello, en aplicación de lo dispuesto en el art. 51 LOTC, se ordena dirigir atenta comunicación a la presidencia de la Asamblea Regional de Murcia, a fin de que, en plazo que no exceda de diez días, remita certificación o fotocopia adverada del expediente correspondiente al acuerdo de la mesa de dicha asamblea de 6 de septiembre de 2018. Se acompaña a la comunicación copia de la demanda de amparo, a efectos de la posible personación de la Cámara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5</w:t>
      </w:r>
      <w:r>
        <w:t>. En escrito registrado en este tribunal el 20 de noviembre de 2020, el presidente de la Asamblea Regional de Murcia remitió testimonio íntegro del expediente relativo al acuerdo adoptado por la mesa de la Cámara el 6 de septiembre de 2018. Asimismo, se adjunta certi</w:t>
      </w:r>
      <w:r>
        <w:lastRenderedPageBreak/>
        <w:t>ficación acreditativa del acuerdo adoptado por la mesa el 16 de noviembre de 2020, de personación en el recurso de amparo, encomendando a la letrada de la asamblea designada, con las facultades que para ello se requieren, su representación y defensa en el proceso.</w:t>
      </w:r>
    </w:p>
    <w:p w:rsidR="005728DD" w:rsidRDefault="005728DD" w:rsidP="005728DD">
      <w:pPr>
        <w:pStyle w:val="TextoNormal"/>
      </w:pPr>
    </w:p>
    <w:p w:rsidR="005728DD" w:rsidRDefault="005728DD" w:rsidP="005728DD">
      <w:pPr>
        <w:pStyle w:val="TextoNormal"/>
      </w:pPr>
      <w:r>
        <w:t>Mediante escrito registrado en este tribunal en la misma fecha, la letrada de la Asamblea Regional de Murcia designada se personó en el presente recurso de amparo, en la representación que legalmente ostenta.</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23 de noviembre de 2020 se tuvieron por recibidos el testimonio de expediente remitido por la Asamblea Regional de Murcia y el escrito de personación presentado por letrada de la Asamblea designada, teniendo a esta por personada y parte en nombre y representación de esa Cámara. Asimismo, a tenor de lo dispuesto en el art. 52 LOTC, se ordenó dar vista de todas las actuaciones, en la secretaría de la Sala, por un plazo común de veinte días, al Ministerio Fiscal y a las partes personadas, para que dentro de dicho término pudieran presentar las alegaciones que a su derecho conviniesen.</w:t>
      </w:r>
    </w:p>
    <w:p w:rsidR="005728DD" w:rsidRDefault="005728DD" w:rsidP="005728DD">
      <w:pPr>
        <w:pStyle w:val="TextoNormal"/>
      </w:pPr>
    </w:p>
    <w:p w:rsidR="005728DD" w:rsidRDefault="005728DD" w:rsidP="005728DD">
      <w:pPr>
        <w:pStyle w:val="TextoNormal"/>
      </w:pPr>
      <w:r w:rsidRPr="005728DD">
        <w:rPr>
          <w:rStyle w:val="NumeroAFNegritaCaracter"/>
        </w:rPr>
        <w:t>7</w:t>
      </w:r>
      <w:r>
        <w:t>. El 21 de diciembre de 2020 tuvo entrada en el registro de este tribunal, el escrito de alegaciones presentado por la procuradora de los tribunales que representa al demandante, y que se remite íntegramente a lo razonado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escrito presentado en este tribunal el 8 de enero de 2021, la letrada de la Asamblea Regional de Murcia formuló sus alegaciones, que a continuación se resumen.</w:t>
      </w:r>
    </w:p>
    <w:p w:rsidR="005728DD" w:rsidRDefault="005728DD" w:rsidP="005728DD">
      <w:pPr>
        <w:pStyle w:val="TextoNormal"/>
      </w:pPr>
    </w:p>
    <w:p w:rsidR="005728DD" w:rsidRDefault="005728DD" w:rsidP="005728DD">
      <w:pPr>
        <w:pStyle w:val="TextoNormal"/>
      </w:pPr>
      <w:r>
        <w:t xml:space="preserve">Niega en primer lugar que el recurso de amparo revista la especial trascendencia constitucional exigida por el art. 50.1 b) LOTC y considera que no puede entenderse que el demandante haya cumplido la carga de justificar esa especial trascendencia, como determina el art. 49.1 </w:t>
      </w:r>
      <w:r w:rsidRPr="005728DD">
        <w:rPr>
          <w:i/>
        </w:rPr>
        <w:t>in fine</w:t>
      </w:r>
      <w:r>
        <w:t xml:space="preserve"> LOTC. La figura del veto presupuestario no se establece en el Estatuto de Autonomía de la Región de Murcia, quedando su marco normativo conformado en exclusiva por lo establecido en el Reglamento de la Asamblea Regional de Murcia. En el momento de los hechos que dan lugar al presente recurso de amparo, esa regulación del veto presupuestario se contenía en el art. 120 del reglamento a la sazón en vigor. Fue precisamente el precepto invocado por la mesa de la Cámara para solicitar la previa conformidad del Consejo de Gobierno antes de decidir sobre la admisión a trámite de la proposición de ley presentada por el demandante como portavoz del Grupo Parlamentario Podemos. Sin embargo el 7 de marzo de 2019 el pleno de la Asamblea Regional de Murcia aprobó un nuevo reglamento, derogando de forma expresa el vigente hasta entonces y regulando el veto presupuestario de manera sustancialmente diferente (arts. 124 y 125 del nuevo Reglamento) a como lo hacía el art. 120 del anterior. Ahora ya no es la mesa la que debe solicitar, en su caso, la previa conformidad del Consejo de Gobierno, sino que han de ser los mismos autores de la iniciativa quienes adjunten a esta un informe estimativo del coste económico que supondría su aplicación y sobre su incidencia o no en el presupuesto en vigor; por lo que el juicio ponderativo de la mesa de la Cámara al que se refiere el demandante ya no resulta posible. Por tanto, tras la entrada en vigor del nuevo reglamento de la Cámara un pronunciamiento del Tribunal Constitucional sobre el contenido y alcance del derecho a la participación política en relación con la figura del veto presupuestario no contribuiría en modo alguno a una mejor aplicación e interpretación de las disposiciones de ese reglamento de la </w:t>
      </w:r>
      <w:r>
        <w:lastRenderedPageBreak/>
        <w:t>Cámara que regulan actualmente esa figura, ni tampoco a la determinación de su alcance y contenido. En consecuencia, el recurso de amparo debe ser inadmitido.</w:t>
      </w:r>
    </w:p>
    <w:p w:rsidR="005728DD" w:rsidRDefault="005728DD" w:rsidP="005728DD">
      <w:pPr>
        <w:pStyle w:val="TextoNormal"/>
      </w:pPr>
    </w:p>
    <w:p w:rsidR="005728DD" w:rsidRDefault="005728DD" w:rsidP="005728DD">
      <w:pPr>
        <w:pStyle w:val="TextoNormal"/>
      </w:pPr>
      <w:r>
        <w:t>En cuanto al fondo del asunto, la letrada de la Asamblea Regional de Murcia niega que los actos parlamentarios impugnados supongan lesión alguna de derechos fundamentales. Precisa que el acuerdo adoptado por la mesa el 7 de mayo de 2018 no fue de inadmisión de la iniciativa legislativa presentada por el demandante, como este llega a afirmar erróneamente en su demanda, sino que se limitó, a la vista de lo dispuesto en el art. 120 RARM, a solicitar la previa conformidad del Consejo de Gobierno, al considerar que esa iniciativa podría implicar aumento de créditos presupuestarios. Se trata, pues, de un mero acto de trámite, cuya notificación al demandante no resultaba por tanto preceptiva. Ello sin perjuicio de que huelga hablar de indefensión por esa ausencia de notificación, toda vez que la vicepresidenta primera de la mesa formaba parte del mismo grupo parlamentario que el demandante y asistió a la sesión en la que se adoptó el acuerdo de solicitar la previa conformidad del Consejo de Gobierno para la tramitación de la proposición de ley presentada por el demandante en calidad de portavoz de su grupo parlamentario; en suma, tuvo oportuno conocimiento de ese acuerdo.</w:t>
      </w:r>
    </w:p>
    <w:p w:rsidR="005728DD" w:rsidRDefault="005728DD" w:rsidP="005728DD">
      <w:pPr>
        <w:pStyle w:val="TextoNormal"/>
      </w:pPr>
    </w:p>
    <w:p w:rsidR="005728DD" w:rsidRDefault="005728DD" w:rsidP="005728DD">
      <w:pPr>
        <w:pStyle w:val="TextoNormal"/>
      </w:pPr>
      <w:r>
        <w:t>Por otra parte, resulta insostenible afirmar que el retraso en la tramitación de la iniciativa, como consecuencia de su remisión por la mesa de la Cámara al Consejo de Gobierno, ocasionase al demandante un perjuicio lesivo de su derecho de participación política. La mesa actuó en cumplimiento de lo dispuesto en el art. 120 RARM y el plazo de ocho días previsto para la emisión de informe por parte del Consejo de Gobierno no puede ser considerado en ningún caso como un retraso perturbador de su devenir político.</w:t>
      </w:r>
    </w:p>
    <w:p w:rsidR="005728DD" w:rsidRDefault="005728DD" w:rsidP="005728DD">
      <w:pPr>
        <w:pStyle w:val="TextoNormal"/>
      </w:pPr>
    </w:p>
    <w:p w:rsidR="005728DD" w:rsidRDefault="005728DD" w:rsidP="005728DD">
      <w:pPr>
        <w:pStyle w:val="TextoNormal"/>
      </w:pPr>
      <w:r>
        <w:t xml:space="preserve">Recibido el acuerdo del Consejo de Gobierno oponiéndose razonadamente a la tramitación de la iniciativa, la mesa acordó por mayoría de votos, en su sesión de 28 de mayo de 2018, no admitir a trámite la proposición de ley. Esta decisión fue confirmada por el acuerdo de 6 de septiembre de 2018, al rechazar la reconsideración solicitada por el demandante. Ambos acuerdos son perfectamente conformes con la doctrina constitucional sobre el veto presupuestario, no siendo cierto, frente a lo que se afirma en la demanda, que la previsión contenida en la disposición final primera de la proposición de ley excluyese la posibilidad de que su aprobación implicara un incremento del gasto presupuestariamente previsto en el ejercicio vigente. La confusa redacción de esa disposición descarta esa conclusión. De ella no se infiere que todas las medidas que impliquen realización de gastos se difieren a otro ejercicio presupuestario: solo se difieren aquellas que inicialmente no generan gastos, sino que lo generarán cuando sean objeto de desarrollo normativo. La previsión presupuestaria de las medidas que implican gastos de forma inmediata no queda por tanto diferida al ejercicio siguiente, sino que ese incremento de gasto afecta al presupuesto en vigor. Alternativamente, si se interpreta que la disposición no pospone el previsible aumento de gastos al ejercicio presupuestario siguiente, sino a “otro presupuesto”, sin concretar, resulta que, con una </w:t>
      </w:r>
      <w:r w:rsidRPr="005728DD">
        <w:rPr>
          <w:i/>
        </w:rPr>
        <w:t>vacatio legis</w:t>
      </w:r>
      <w:r>
        <w:t xml:space="preserve"> de un mes a partir de la publicación oficial, no sería posible, sin vulneración legal, posponer el gasto y por tanto el desarrollo reglamentario de las medidas legales a ese otro ejercicio presupuestario. En suma, resulta evidente que la disposición adicional de la proposición de ley no podía ser tenida en cuenta por la mesa de la Cámara para eludir la aplicación del art. 120 RARM, ni puede tampoco servir de fundamento al amparo solicitado.</w:t>
      </w:r>
    </w:p>
    <w:p w:rsidR="005728DD" w:rsidRDefault="005728DD" w:rsidP="005728DD">
      <w:pPr>
        <w:pStyle w:val="TextoNormal"/>
      </w:pPr>
    </w:p>
    <w:p w:rsidR="005728DD" w:rsidRDefault="005728DD" w:rsidP="005728DD">
      <w:pPr>
        <w:pStyle w:val="TextoNormal"/>
      </w:pPr>
      <w:r>
        <w:lastRenderedPageBreak/>
        <w:t>Por lo expuesto, considera la letrada de la Asamblea Regional de Murcia que queda acreditado el requisito de la doctrina constitucional referido al alcance temporal del veto presupuestario y procede a examinar seguidamente el cumplimiento del resto de requisitos exigidos por esa doctrina.</w:t>
      </w:r>
    </w:p>
    <w:p w:rsidR="005728DD" w:rsidRDefault="005728DD" w:rsidP="005728DD">
      <w:pPr>
        <w:pStyle w:val="TextoNormal"/>
      </w:pPr>
    </w:p>
    <w:p w:rsidR="005728DD" w:rsidRDefault="005728DD" w:rsidP="005728DD">
      <w:pPr>
        <w:pStyle w:val="TextoNormal"/>
      </w:pPr>
      <w:r>
        <w:t>Sostiene que la mesa de la Cámara cumplió la exigencia de limitarse a verificar la motivación aportada por el Consejo de Gobierno para oponerse a la tramitación de la iniciativa legislativa por suponer incremento de gasto en el presupuesto vigente, sin que le corresponda sustituir a aquel en el enjuiciamiento del impacto. La mesa constató que la oposición del Consejo de Gobierno estaba suficientemente razonada, pues este justificó su veto mediante un informe del Consejero de Salud sobre el incremento del gasto no presupuestado que supondría la aprobación de la iniciativa, informe que se adjuntó a la certificación del acuerdo del Consejo de Gobierno de 16 de mayo de 2018. En ese informe se concretan de forma detallada los aspectos de la proposición de ley cuya aprobación determinaría un aumento de gasto no presupuestado, próximo a los cinco millones de euros en total, desglosando los incrementos parciales en relación con las medidas previstas en la iniciativa: aumento de plantilla para reconocer el derecho de los pacientes a la libre elección del personal de enfermería, creación de la figura del Defensor del paciente con la consiguiente dotación de personal y recursos materiales e implantación de la historia clínica electrónica. Si bien es cierto que en el informe no se precisan las concretas partidas presupuestarias afectadas por el incremento del gasto, no lo es menos que esa omisión no puede llevar a entender que la justificación ofrecida por el Consejo de Gobierno no está razonada, pues debe tenerse en cuenta que la exigencia de concretar las partidas presupuestarias fue introducida por el Tribunal Constitucional en sus SSTC 34/2018 y 44/2018, publicadas en el “Boletín Oficial del Estado” los días 21 y 28 de mayo de 2018, respectivamente, mientras que el informe y el acuerdo del Consejo de Gobierno son anteriores a esas fechas. En suma, la justificación contenida en el acuerdo del Consejo de Gobierno remitido a la mesa de la Cámara cumplía todos los requisitos exigidos por la doctrina constitucional en el momento en que fue emitido.</w:t>
      </w:r>
    </w:p>
    <w:p w:rsidR="005728DD" w:rsidRDefault="005728DD" w:rsidP="005728DD">
      <w:pPr>
        <w:pStyle w:val="TextoNormal"/>
      </w:pPr>
    </w:p>
    <w:p w:rsidR="005728DD" w:rsidRDefault="005728DD" w:rsidP="005728DD">
      <w:pPr>
        <w:pStyle w:val="TextoNormal"/>
      </w:pPr>
      <w:r>
        <w:t>En cualquier caso, no debe olvidarse que el Tribunal Constitucional en otras ocasiones se refiere simplemente a “créditos afectados”, de entre los contenidos en el presupuesto en vigor, como lo hace en la citada STC 34/2018. En el presente caso el Consejo de Gobierno de la Región de Murcia precisó adecuadamente los concretos créditos del presupuesto vigente que se verían directamente afectados por el incremento de gasto que supondría la aprobación de la proposición de ley presentada por el demandante. Esos créditos se encuentran identificados en el informe en que se funda el acuerdo del Consejo de Gobierno, al referirse a créditos del capítulo I (en su gran mayoría), esto es, gastos de personal, y a créditos del capítulo II, es decir, gastos corrientes en bienes y servicios. En particular, los gastos de personal derivados de las medidas previstas en la iniciativa se encuentran incluso desglosados por categorías profesionales, lo que permite identificar de manera relativamente sencilla cuáles serían las partidas presupuestarias que se verían afectadas.</w:t>
      </w:r>
    </w:p>
    <w:p w:rsidR="005728DD" w:rsidRDefault="005728DD" w:rsidP="005728DD">
      <w:pPr>
        <w:pStyle w:val="TextoNormal"/>
      </w:pPr>
    </w:p>
    <w:p w:rsidR="005728DD" w:rsidRDefault="005728DD" w:rsidP="005728DD">
      <w:pPr>
        <w:pStyle w:val="TextoNormal"/>
      </w:pPr>
      <w:r>
        <w:t xml:space="preserve">En consecuencia, la mesa de la Asamblea Regional de Murcia, aplicando un juicio de proporcionalidad y razonabilidad en atención a las circunstancias mencionadas, consideró cumplidos los requisitos exigidos por la doctrina constitucional sobre el veto presupuestario, lo que condujo a la adopción del acuerdo de 6 de septiembre de 2018, de inadmisión a trámite de la proposición de ley. La mesa de la Cámara se limitó pues a llevar a cabo su </w:t>
      </w:r>
      <w:r>
        <w:lastRenderedPageBreak/>
        <w:t>labor de control técnico-jurídico del veto presupuestario ejercido por el Consejo de Gobierno, sin que pueda tacharse la misma de arbitraria ni de irrazonable. Fue una decisión motivada de forma suficiente y adecuada, al corresponder a la mesa, en el ejercicio de la autonomía parlamentaria constitucionalmente garantizada, la labor de enjuiciar la razonabilidad y proporcionalidad de la justificación ofrecida por el Consejo de Gobierno al emitir su veto, a la vista de las circunstancias concurrentes en el caso y en cumplimiento de los requisitos exigidos por la doctrina constitucional. No existe, por tanto, vulneración de los derechos de participación política del demandante de amparo.</w:t>
      </w:r>
    </w:p>
    <w:p w:rsidR="005728DD" w:rsidRDefault="005728DD" w:rsidP="005728DD">
      <w:pPr>
        <w:pStyle w:val="TextoNormal"/>
      </w:pPr>
    </w:p>
    <w:p w:rsidR="005728DD" w:rsidRDefault="005728DD" w:rsidP="005728DD">
      <w:pPr>
        <w:pStyle w:val="TextoNormal"/>
      </w:pPr>
      <w:r>
        <w:t>Por todo ello, la letrada de la Asamblea Regional de Murcia concluye solicitando a este tribunal que inadmita el recurso de amparo y, subsidiariamente, que lo desestime.</w:t>
      </w:r>
    </w:p>
    <w:p w:rsidR="005728DD" w:rsidRDefault="005728DD" w:rsidP="005728DD">
      <w:pPr>
        <w:pStyle w:val="TextoNormal"/>
      </w:pPr>
    </w:p>
    <w:p w:rsidR="005728DD" w:rsidRDefault="005728DD" w:rsidP="005728DD">
      <w:pPr>
        <w:pStyle w:val="TextoNormal"/>
      </w:pPr>
      <w:r w:rsidRPr="005728DD">
        <w:rPr>
          <w:rStyle w:val="NumeroAFNegritaCaracter"/>
        </w:rPr>
        <w:t>9</w:t>
      </w:r>
      <w:r>
        <w:t>. El día 29 de enero de 2021 tuvo entrada en el registro general de este tribunal el escrito de alegaciones del Ministerio Fiscal en el que solicita la estimación del recurso, interesando la declaración de nulidad de los acuerdos de 28 de mayo y 6 de septiembre de 2018 de la mesa de la Asamblea Regional de Murcia, por haber vulnerado el derecho del demandante al ejercicio del cargo parlamentario reconocido en el art. 23.2 CE, en relación con el derecho de los ciudadanos a participar en los asuntos públicos a través de sus representantes (art. 23.1 CE). En orden al restablecimiento del derecho vulnerado señala que no procede la retroacción de actuaciones, dado que los acuerdos impugnados se dictaron en una legislatura ya concluida.</w:t>
      </w:r>
    </w:p>
    <w:p w:rsidR="005728DD" w:rsidRDefault="005728DD" w:rsidP="005728DD">
      <w:pPr>
        <w:pStyle w:val="TextoNormal"/>
      </w:pPr>
    </w:p>
    <w:p w:rsidR="005728DD" w:rsidRDefault="005728DD" w:rsidP="005728DD">
      <w:pPr>
        <w:pStyle w:val="TextoNormal"/>
      </w:pPr>
      <w:r>
        <w:t xml:space="preserve">Tras detallar los antecedentes fácticos de los que trae causa el presente recurso, delimitar su objeto y sintetizar la doctrina constitucional sobre el </w:t>
      </w:r>
      <w:r w:rsidRPr="005728DD">
        <w:rPr>
          <w:i/>
        </w:rPr>
        <w:t>ius in officium</w:t>
      </w:r>
      <w:r>
        <w:t xml:space="preserve"> reconocido en el art. 23.2 CE, especialmente en lo relativo a la inadmisión de iniciativas parlamentarias por parte de las mesas de las Cámaras, las alegaciones del Ministerio Fiscal se adentran en el caso concreto. Ponen de relieve los aspectos esenciales de la queja del demandante de amparo: que el acuerdo de la mesa de la Asamblea Regional de Murcia de 28 de mayo de 2018 se limita a remitirse al criterio expresado por el Consejo de Gobierno al comunicar su disconformidad, sin ningún tipo de valoración sobre el mismo; también que el acuerdo de la mesa de 6 de septiembre de 2018, que desestimó la solicitud de reconsideración, no contiene ningún razonamiento sobre los efectos que realmente se derivan de la proposición de ley. Por ello, afirma que los acuerdos impugnados carecen de la motivación exigida, pues no llevan a cabo un efectivo control de la facultad de veto presupuestario del ejecutivo autonómico, al limitarse a aceptar la argumentación dada por este.</w:t>
      </w:r>
    </w:p>
    <w:p w:rsidR="005728DD" w:rsidRDefault="005728DD" w:rsidP="005728DD">
      <w:pPr>
        <w:pStyle w:val="TextoNormal"/>
      </w:pPr>
    </w:p>
    <w:p w:rsidR="005728DD" w:rsidRDefault="005728DD" w:rsidP="005728DD">
      <w:pPr>
        <w:pStyle w:val="TextoNormal"/>
      </w:pPr>
      <w:r>
        <w:t>Advierte el fiscal que la cuestión suscitada en el presente recurso de amparo parlamentario guarda similitud con la planteada en anteriores recursos de amparo, resueltos por las SSTC 94/2018, 139/2018, de 17 de diciembre, y 17/2019, de 11 de febrero, en las que el Tribunal Constitucional se pronunció sobre esa posible vulneración del derecho garantizado por el art. 23.2 CE con ocasión del ejercicio por el Gobierno de la Nación de su facultad de veto presupuestario (art. 134.6 CE). La doctrina sentada en esas sentencias sobre el control por la mesa del Congreso de los Diputados del ejercicio por el Gobierno de su facultad de oponerse a la tramitación de proposiciones de ley, si suponen aumento de créditos presupuestarios o disminución de ingresos, resulta trasladable al presente recurso, en el que el veto presupuestario se lleva a cabo por un ejecutivo autonómico, conforme a las previsiones del Reglamento de la Asamblea legislativa de la comunidad autónoma (art. 120 RARM).</w:t>
      </w:r>
    </w:p>
    <w:p w:rsidR="005728DD" w:rsidRDefault="005728DD" w:rsidP="005728DD">
      <w:pPr>
        <w:pStyle w:val="TextoNormal"/>
      </w:pPr>
    </w:p>
    <w:p w:rsidR="005728DD" w:rsidRDefault="005728DD" w:rsidP="005728DD">
      <w:pPr>
        <w:pStyle w:val="TextoNormal"/>
      </w:pPr>
      <w:r>
        <w:lastRenderedPageBreak/>
        <w:t>En relación con el fundamento al que responde la facultad otorgada al Gobierno de prestar conformidad a la tramitación de proposiciones de ley que supongan aumento de créditos presupuestarios o disminución de ingresos, ya las SSTC 223/2006, de 6 de julio, FJ 5, y 242/2006, de 24 de julio, FJ 3, pusieron de manifiesto, refiriéndose a la facultad de veto presupuestario de los gobiernos autonómicos, que esa facultad se funda en la confianza concreta dada al Gobierno para ejecutar su plan anual de política económica a través de la aprobación parlamentaria de la ley de presupuestos. Esa doctrina se ha consolidado posteriormente, en relación con la facultad de veto presupuestario que al Gobierno de la Nación le conceden el art. 134.6 CE y el art. 126.2 del Reglamento del Congreso de los Diputados, por las SSTC 34/2018, 44/2018 y 94/2018.</w:t>
      </w:r>
    </w:p>
    <w:p w:rsidR="005728DD" w:rsidRDefault="005728DD" w:rsidP="005728DD">
      <w:pPr>
        <w:pStyle w:val="TextoNormal"/>
      </w:pPr>
    </w:p>
    <w:p w:rsidR="005728DD" w:rsidRDefault="005728DD" w:rsidP="005728DD">
      <w:pPr>
        <w:pStyle w:val="TextoNormal"/>
      </w:pPr>
      <w:r>
        <w:t>De acuerdo con esa consolidada doctrina constitucional, resulta que el ejercicio por los gobiernos de su facultad de veto presupuestario les exige que el presupuesto material habilitante del veto, esto es, que la proposición de ley suponga aumento de créditos presupuestarios o disminución de ingresos respecto del presupuesto en vigor, se encuentre justificado suficiente y razonablemente, dada la incidencia directa que el veto tiene no solo sobre el derecho de los parlamentarios al desempeño del cargo político, sino también sobre la propia función del poder legislativo.</w:t>
      </w:r>
    </w:p>
    <w:p w:rsidR="005728DD" w:rsidRDefault="005728DD" w:rsidP="005728DD">
      <w:pPr>
        <w:pStyle w:val="TextoNormal"/>
      </w:pPr>
    </w:p>
    <w:p w:rsidR="005728DD" w:rsidRDefault="005728DD" w:rsidP="005728DD">
      <w:pPr>
        <w:pStyle w:val="TextoNormal"/>
      </w:pPr>
      <w:r>
        <w:t>Esa misma doctrina pone de manifiesto que corresponde a las mesas de los Parlamentos un doble control, formal y material, del ejercicio por los gobiernos de su facultad de veto presupuestario. En lo que respecta al control formal, bastará que la mesa de la Cámara verifique que el Gobierno ha dado respuesta expresa y motivada a la remisión de la proposición de ley a los efectos de mostrar su conformidad o disconformidad; en este último caso a la concurrencia del presupuesto de hecho habilitante (aumento de los créditos o disminución de los ingresos) y que lo haya hecho dentro de plazo. En lo que se refiere al control material, la mesa dispone de un margen de aplicación en la interpretación de la legalidad parlamentaria que se puede llevar a efecto mediante un pronunciamiento sobre el carácter manifiestamente infundado del criterio del Gobierno, siempre y cuando resulte evidente, a la luz de la propia motivación aportada por este, que no se ha justificado la afectación de la iniciativa a los ingresos y gastos contenidos en el propio presupuesto que, en cada ejercicio, cumple una función instrumental a la propia acción de gobierno. En definitiva, la mesa debe verificar la motivación aportada por el Gobierno, pero sin que le corresponda sustituir al mismo en el enjuiciamiento del impacto, sino tan sólo constatar que el mismo es real y efectivo, y no una mera hipótesis.</w:t>
      </w:r>
    </w:p>
    <w:p w:rsidR="005728DD" w:rsidRDefault="005728DD" w:rsidP="005728DD">
      <w:pPr>
        <w:pStyle w:val="TextoNormal"/>
      </w:pPr>
    </w:p>
    <w:p w:rsidR="005728DD" w:rsidRDefault="005728DD" w:rsidP="005728DD">
      <w:pPr>
        <w:pStyle w:val="TextoNormal"/>
      </w:pPr>
      <w:r>
        <w:t xml:space="preserve">Seguidamente, el fiscal se detiene en el examen de los argumentos expuestos por el Consejo de Gobierno de la Región de Murcia en su acuerdo de 16 de mayo de 2018 para justificar su decisión de veto a la tramitación de la proposición de ley, basados en el informe emitido por la Consejería de Salud. Este informe analiza varias de las medidas previstas en algunas disposiciones de la proposición de ley (derecho de elección de profesionales sanitarios, figura del Defensor del paciente, historia clínica electrónica) y calcula el coste económico que podrían suponer, estimado en alrededor de cinco millones de euros, suponiendo un incremento de gasto no presupuestado. Según el fiscal, este informe en el que se sustenta el citado acuerdo del Consejo de Gobierno no puede considerarse como una justificación adecuada y razonable del ejercicio de su facultad de veto presupuestario, conforme a la doctrina constitucional, puesto que no se refiere al impacto directo y actual de las medidas </w:t>
      </w:r>
      <w:r>
        <w:lastRenderedPageBreak/>
        <w:t>previstas en la iniciativa legislativa sobre los créditos de los presupuestos en vigor, señalando las concretas partidas en las que se produciría un aumento del gasto no presupuestado. Además, el informe no hace ninguna referencia a la previsión de diferimiento de gastos contenida en la disposición final de la proposición de ley presentada por el demandante, en calidad de portavoz de su grupo parlamentario.</w:t>
      </w:r>
    </w:p>
    <w:p w:rsidR="005728DD" w:rsidRDefault="005728DD" w:rsidP="005728DD">
      <w:pPr>
        <w:pStyle w:val="TextoNormal"/>
      </w:pPr>
    </w:p>
    <w:p w:rsidR="005728DD" w:rsidRDefault="005728DD" w:rsidP="005728DD">
      <w:pPr>
        <w:pStyle w:val="TextoNormal"/>
      </w:pPr>
      <w:r>
        <w:t>Por lo que se refiere al acuerdo de la mesa de la Asamblea Regional de Murcia que inadmite a trámite la proposición de ley y al acuerdo de la mesa que rechaza la reconsideración de esa decisión de inadmisión, sostiene el fiscal que ambos acuerdos incumplen la citada doctrina constitucional, pues carecen de la motivación formal y material exigible para restringir el núcleo esencial de la función parlamentaria, evidenciando que la mesa no ha cumplido su deber de control, formal y material, del ejercicio por el Gobierno autonómico de su facultad de veto presupuestario, que restringe la función legislativa de la Cámara.</w:t>
      </w:r>
    </w:p>
    <w:p w:rsidR="005728DD" w:rsidRDefault="005728DD" w:rsidP="005728DD">
      <w:pPr>
        <w:pStyle w:val="TextoNormal"/>
      </w:pPr>
    </w:p>
    <w:p w:rsidR="005728DD" w:rsidRDefault="005728DD" w:rsidP="005728DD">
      <w:pPr>
        <w:pStyle w:val="TextoNormal"/>
      </w:pPr>
      <w:r>
        <w:t>En particular, considera el fiscal que resulta evidente que la mesa de la Asamblea Regional de Murcia no ha realizado ningún tipo de control material del presupuesto habilitante de la facultad de veto del Consejo de Gobierno, referido al dato objetivo de que la proposición de ley produzca un efectivo aumento de los créditos del presupuesto en vigor, como se afirma en el acuerdo del Ejecutivo autonómico para oponerse a la tramitación de esa iniciativa, lo que determina la vulneración del derecho del demandante de amparo al ejercicio del cargo parlamentario (art. 23.2 CE), y correlativamente la del derecho de los ciudadanos a participar en los asuntos públicos a través de sus legítimos representantes (art. 23.1 CE).</w:t>
      </w:r>
    </w:p>
    <w:p w:rsidR="005728DD" w:rsidRDefault="005728DD" w:rsidP="005728DD">
      <w:pPr>
        <w:pStyle w:val="TextoNormal"/>
      </w:pPr>
    </w:p>
    <w:p w:rsidR="005728DD" w:rsidRDefault="005728DD" w:rsidP="005728DD">
      <w:pPr>
        <w:pStyle w:val="TextoNormal"/>
      </w:pPr>
      <w:r>
        <w:t>Por todo ello, concluye el Ministerio Fiscal solicitando que se dicte una sentencia estimatoria del recurso de amparo, en los términos que han quedado reflejados al comienzo de este apartado de antecedentes.</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11 de marzo de 2021 se señaló para la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presente recurso de amparo se interpone contra los acuerdos de la mesa de la Asamblea Regional de Murcia que se detallan en el encabezamiento de esta sentencia y de cuyo contenido se ha dado ya cumplida cuenta en los antecedentes.</w:t>
      </w:r>
    </w:p>
    <w:p w:rsidR="005728DD" w:rsidRDefault="005728DD" w:rsidP="005728DD">
      <w:pPr>
        <w:pStyle w:val="TextoNormal"/>
      </w:pPr>
    </w:p>
    <w:p w:rsidR="005728DD" w:rsidRDefault="005728DD" w:rsidP="005728DD">
      <w:pPr>
        <w:pStyle w:val="TextoNormal"/>
      </w:pPr>
      <w:r>
        <w:t xml:space="preserve">El demandante, portavoz del Grupo Parlamentario Podemos en dicha asamblea, aduce, en los términos que se han expuesto igualmente con detalle en los antecedentes, que los acuerdos impugnados vulneran el </w:t>
      </w:r>
      <w:r w:rsidRPr="005728DD">
        <w:rPr>
          <w:i/>
        </w:rPr>
        <w:t>ius in officium</w:t>
      </w:r>
      <w:r>
        <w:t xml:space="preserve"> propio del cargo de parlamentario protegido por el art. 23.2 CE y el correlativo derecho de los ciudadanos a participar en las funciones públicas a través de sus representantes (art. 23.1 CE).</w:t>
      </w:r>
    </w:p>
    <w:p w:rsidR="005728DD" w:rsidRDefault="005728DD" w:rsidP="005728DD">
      <w:pPr>
        <w:pStyle w:val="TextoNormal"/>
      </w:pPr>
    </w:p>
    <w:p w:rsidR="005728DD" w:rsidRDefault="005728DD" w:rsidP="005728DD">
      <w:pPr>
        <w:pStyle w:val="TextoNormal"/>
      </w:pPr>
      <w:r>
        <w:t>Esa vulneración se habría producido, en síntesis, porque la inadmisión a trámite de la proposición de ley presentada por el demandante en calidad de portavoz de su grupo parlamentario, carece de verdadera motivación formal y material. La mesa de la Asamblea Regional de Murcia se ha limitado a mostrar su conformidad con el veto gubernamental for</w:t>
      </w:r>
      <w:r>
        <w:lastRenderedPageBreak/>
        <w:t>mulado al amparo del art. 120 del Reglamento de la Cámara (RARM), asumiendo la injustificada apreciación del Consejo de Gobierno de la Región de Murcia respecto del supuesto aumento de gasto no presupuestado de la proposición de ley. De este modo, la mesa ha eludido llevar a cabo su función de control del ejercicio de aquella facultad del Gobierno, como exige la reiterada doctrina constitucional al respecto.</w:t>
      </w:r>
    </w:p>
    <w:p w:rsidR="005728DD" w:rsidRDefault="005728DD" w:rsidP="005728DD">
      <w:pPr>
        <w:pStyle w:val="TextoNormal"/>
      </w:pPr>
    </w:p>
    <w:p w:rsidR="005728DD" w:rsidRDefault="005728DD" w:rsidP="005728DD">
      <w:pPr>
        <w:pStyle w:val="TextoNormal"/>
      </w:pPr>
      <w:r>
        <w:t>La letrada de la Asamblea Regional de Murcia solicita la inadmisión del recurso de amparo y subsidiariamente su desestimación. Sostiene, en primer lugar, que no puede entenderse que el demandante haya cumplido la carga de justificar la especial trascendencia constitucional del recurso y que, en todo caso, el asunto no reviste esa especial trascendencia. El veto presupuestario fue ejercido en este caso conforme a la regulación contenida en el art. 120 RARM, a la sazón aplicable; pero esa regulación ha sido modificada sustancialmente por el nuevo Reglamento de la Cámara, por lo que un pronunciamiento del Tribunal Constitucional no contribuiría en modo alguno a una mejor aplicación e interpretación de las disposiciones del Reglamento de la Cámara que regulan actualmente la figura del veto presupuestario. En cuanto al fondo del asunto, niega que los acuerdos impugnados hayan vulnerado los derechos de participación política del demandante. La mesa de la Cámara, en el ejercicio de la autonomía parlamentaria, constitucionalmente garantizada, llevó a cabo su labor de control técnico-jurídico del veto presupuestario ejercido por el Consejo de Gobierno conforme a las exigencias dimanantes de la doctrina constitucional, sin que pueda, por tanto, tacharse de arbitraria ni de irrazonable la decisión de inadmitir a trámite de la proposición de ley.</w:t>
      </w:r>
    </w:p>
    <w:p w:rsidR="005728DD" w:rsidRDefault="005728DD" w:rsidP="005728DD">
      <w:pPr>
        <w:pStyle w:val="TextoNormal"/>
      </w:pPr>
    </w:p>
    <w:p w:rsidR="005728DD" w:rsidRDefault="005728DD" w:rsidP="005728DD">
      <w:pPr>
        <w:pStyle w:val="TextoNormal"/>
      </w:pPr>
      <w:r>
        <w:t xml:space="preserve">El Ministerio Fiscal interesa la estimación del recurso de amparo. Sostiene que los acuerdos parlamentarios impugnados vulneran el </w:t>
      </w:r>
      <w:r w:rsidRPr="005728DD">
        <w:rPr>
          <w:i/>
        </w:rPr>
        <w:t>ius in officium</w:t>
      </w:r>
      <w:r>
        <w:t xml:space="preserve"> del demandante, coincidiendo esencialmente con los argumentos mantenidos por este.</w:t>
      </w:r>
    </w:p>
    <w:p w:rsidR="005728DD" w:rsidRDefault="005728DD" w:rsidP="005728DD">
      <w:pPr>
        <w:pStyle w:val="TextoNormal"/>
      </w:pPr>
    </w:p>
    <w:p w:rsidR="005728DD" w:rsidRDefault="005728DD" w:rsidP="005728DD">
      <w:pPr>
        <w:pStyle w:val="TextoNormal"/>
      </w:pPr>
      <w:r w:rsidRPr="005728DD">
        <w:rPr>
          <w:rStyle w:val="NumeroAFNegritaCaracter"/>
        </w:rPr>
        <w:t>2</w:t>
      </w:r>
      <w:r>
        <w:t>. Este tribunal no comparte los reparos que formula la letrada de la Asamblea Regional de Murcia a la admisión del presente recurso de amparo.</w:t>
      </w:r>
    </w:p>
    <w:p w:rsidR="005728DD" w:rsidRDefault="005728DD" w:rsidP="005728DD">
      <w:pPr>
        <w:pStyle w:val="TextoNormal"/>
      </w:pPr>
    </w:p>
    <w:p w:rsidR="005728DD" w:rsidRDefault="005728DD" w:rsidP="005728DD">
      <w:pPr>
        <w:pStyle w:val="TextoNormal"/>
      </w:pPr>
      <w:r>
        <w:t>El demandante ha satisfecho la carga que le impone el art. 49.2 LOTC, precepto que de ninguna manera exige que quien recurra en amparo invoque todas y cada una de las causas de especial trascendencia constitucional que pudieran concurrir en el caso, y menos aún que se anticipe a eventuales cambios de la regulación que pudieran afectar a controversias futuras que pudiesen suscitarse en relación con asuntos similares al planteado en la demanda de amparo.</w:t>
      </w:r>
    </w:p>
    <w:p w:rsidR="005728DD" w:rsidRDefault="005728DD" w:rsidP="005728DD">
      <w:pPr>
        <w:pStyle w:val="TextoNormal"/>
      </w:pPr>
    </w:p>
    <w:p w:rsidR="005728DD" w:rsidRDefault="005728DD" w:rsidP="005728DD">
      <w:pPr>
        <w:pStyle w:val="TextoNormal"/>
      </w:pPr>
      <w:r>
        <w:t>Por lo demás, el presente recurso de amparo muestra, ya en el plano objetivo [art. 50.1 b) LOTC], especial trascendencia constitucional en atención a lo razonado en la providencia por la que fue admitido a trámite (antecedente 4 de esta sentencia), esto es, que el asunto suscitado trasciende del caso concreto porque pudiera tener unas consecuencias políticas generales [STC 155/2009, FJ 2 g)]. Debe adicionalmente tenerse en cuenta, a estos efectos, la especial posición de los recursos de amparo de origen parlamentario (art. 42 LOTC), recursos que, además de su posible repercusión general, ya constatada en aquella providencia, se promueven siempre sin haber contado con una vía judicial previa en la que defender los derechos fundamentales que se dicen infringidos (SSTC 110/2019, de 2 de octubre, FJ 1, y 97/2020, de 21 de julio, FJ 2, por todas).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Según constante doctrina constitucional, el art. 23.2 CE, que reconoce el derecho de los ciudadanos “a acceder en condiciones de igualdad a las funciones y cargos públicos, con los requisitos que señalen las leyes”, no solo garantiza el acceso igualitario a las funciones y cargos públicos, sino también que los que hayan accedido a los mismos se mantengan en ellos y los desempeñen de conformidad con lo que la ley disponga (SSTC 5/1983, de 4 de febrero, FJ 3; 28/1984, de 28 de febrero, FJ 2; 32/1985, de 6 de marzo, FJ 3; 161/1988, de 20 de septiembre, FJ 6; 40/2003, FJ 2, y 202/2014, de 15 de diciembre, FJ 3, entre otras muchas). Esta garantía añadida reviste particular relevancia cuando, como ocurre en el presente caso, la petición de amparo es deducida por un representante parlamentario en defensa del ejercicio de sus funciones, ya que, en esos casos, resulta también afectado el derecho de los ciudadanos a participar en los asuntos públicos a través de sus representantes, reconocido en el art. 23.1 CE. Así lo ha declarado este tribunal, destacando que existe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(SSTC 202/2014, de 15 de diciembre, FJ 3; 1/2015, de 19 de enero, FJ 3, y 94/2018, de 17 de septiembre, FJ 4, entre otras). En consecuencia, ambos derechos, el del ejercicio del cargo público representativo y el de participación en asuntos públicos de los ciudadanos, deben ser tenidos en cuenta a la hora de enjuiciar la vulneración de derechos fundamentales que se denuncia en el presente recurso de amparo.</w:t>
      </w:r>
    </w:p>
    <w:p w:rsidR="005728DD" w:rsidRDefault="005728DD" w:rsidP="005728DD">
      <w:pPr>
        <w:pStyle w:val="TextoNormal"/>
      </w:pPr>
    </w:p>
    <w:p w:rsidR="005728DD" w:rsidRDefault="005728DD" w:rsidP="005728DD">
      <w:pPr>
        <w:pStyle w:val="TextoNormal"/>
      </w:pPr>
      <w:r>
        <w:t xml:space="preserve">De igual modo, este tribunal ha reiterado que no cualquier acto del órgano parlamentario que infrinja la legalidad del </w:t>
      </w:r>
      <w:r w:rsidRPr="005728DD">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 23.2 CE (y por extensión el art. 23.1 CE). Así sucede cuando los propios órganos de las asambleas impiden o coartan su práctica o adoptan decisiones que contraríen la naturaleza de la representación o la igualdad de los representantes (entre otras muchas, SSTC 38/1999, de 22 de marzo, FJ 2; 107/2001, de 23 de abril, FJ 3; 23/2015, de 16 de febrero, FJ 3, y 10/2018, de 5 de febrero, FJ 3).</w:t>
      </w:r>
    </w:p>
    <w:p w:rsidR="005728DD" w:rsidRDefault="005728DD" w:rsidP="005728DD">
      <w:pPr>
        <w:pStyle w:val="TextoNormal"/>
      </w:pPr>
    </w:p>
    <w:p w:rsidR="005728DD" w:rsidRDefault="005728DD" w:rsidP="005728DD">
      <w:pPr>
        <w:pStyle w:val="TextoNormal"/>
      </w:pPr>
      <w:r>
        <w:t xml:space="preserve">En relación con lo anterior, valga recordar que este tribunal ha venido afirmando que “las proposiciones de ley promovidas por los grupos parlamentarios no solo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este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(STC 124/1995, de 18 de julio, FJ 3). El ejercicio de la función legislativa por los representantes de los ciudadanos constituye, pues, “la máxima expresión del ejercicio de la soberanía popular en el Estado democrático. Puesto que la participación en el ejercicio de dicha función y el desempeño de los derechos y facultades que la acompañan […] </w:t>
      </w:r>
      <w:r>
        <w:lastRenderedPageBreak/>
        <w:t xml:space="preserve">constituyen una manifestación constitucionalmente relevante del </w:t>
      </w:r>
      <w:r w:rsidRPr="005728DD">
        <w:rPr>
          <w:i/>
        </w:rPr>
        <w:t>ius in officium</w:t>
      </w:r>
      <w:r>
        <w:t xml:space="preserve"> del representante” (SSTC 10/2016, de 1 de febrero, FJ 4; 10/2018, de 5 de febrero, FJ 3, y 94/2018, de 17 de septiembre, FJ 4).</w:t>
      </w:r>
    </w:p>
    <w:p w:rsidR="005728DD" w:rsidRDefault="005728DD" w:rsidP="005728DD">
      <w:pPr>
        <w:pStyle w:val="TextoNormal"/>
      </w:pPr>
    </w:p>
    <w:p w:rsidR="005728DD" w:rsidRDefault="005728DD" w:rsidP="005728DD">
      <w:pPr>
        <w:pStyle w:val="TextoNormal"/>
      </w:pPr>
      <w:r>
        <w:t xml:space="preserve">Así pues, la presentación de una proposición de ley a la mesa de la cámara legislativa por parte de un grupo parlamentario forma parte del núcleo esencial del </w:t>
      </w:r>
      <w:r w:rsidRPr="005728DD">
        <w:rPr>
          <w:i/>
        </w:rPr>
        <w:t>ius in officium</w:t>
      </w:r>
      <w:r>
        <w:t xml:space="preserve"> de los representantes elegidos que lo integran, de modo que la inadmisión de esa iniciativa legislativa, por parte de la mesa incide de modo esencial y directo en el ejercicio de la función parlamentaria.</w:t>
      </w:r>
    </w:p>
    <w:p w:rsidR="005728DD" w:rsidRDefault="005728DD" w:rsidP="005728DD">
      <w:pPr>
        <w:pStyle w:val="TextoNormal"/>
      </w:pPr>
    </w:p>
    <w:p w:rsidR="005728DD" w:rsidRDefault="005728DD" w:rsidP="005728DD">
      <w:pPr>
        <w:pStyle w:val="TextoNormal"/>
      </w:pPr>
      <w:r>
        <w:t xml:space="preserve">Por su parte, a este tribunal le corresponde controlar, cuando el asunto sea sometido a su jurisdicción por la vía del art. 42 LOTC, que en los supuestos en que los acuerdos de las mesas de las cámaras legislativas, adoptados en el ejercicio de su función de calificación y admisión, sean restrictivos del </w:t>
      </w:r>
      <w:r w:rsidRPr="005728DD">
        <w:rPr>
          <w:i/>
        </w:rPr>
        <w:t>ius in officium</w:t>
      </w:r>
      <w:r>
        <w:t xml:space="preserve"> de los parlamentarios, tales acuerdos incorporen una motivación expresa, suficiente y adecuada, en aplicación de las normas a las que está sujeta la mesa de que se trate en el ejercicio de su función de calificación y admisión de los escritos y documentos de índole parlamentaria.</w:t>
      </w:r>
    </w:p>
    <w:p w:rsidR="005728DD" w:rsidRDefault="005728DD" w:rsidP="005728DD">
      <w:pPr>
        <w:pStyle w:val="TextoNormal"/>
      </w:pPr>
    </w:p>
    <w:p w:rsidR="005728DD" w:rsidRDefault="005728DD" w:rsidP="005728DD">
      <w:pPr>
        <w:pStyle w:val="TextoNormal"/>
      </w:pPr>
      <w:r>
        <w:t>En todo caso, no puede dejarse de recordar a estos efectos que este tribunal ha afirmado también en numerosas ocasiones (por todas, STC 242/2006, de 24 de julio, FJ 2) que, en virtud del respeto a la autonomía parlamentaria, su fiscalización de las decisiones de los órganos de las cámaras ha de limitarse a las decisiones arbitrarias o manifiestamente irrazonables, dejándoles, por lo demás, un amplio margen para la decisión. Por esa razón, hemos declarado reiteradamente que “respecto a la función de calificación de los órganos parlamentarios, hay que partir de que este tribunal solo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[SSTC 213/2016, de 15 de diciembre, FJ 4, y 4/2018, de 22 de enero, FJ 5; en sentido similar, SSTC 153/2016, de 22 de septiembre, FJ 3, y 185/2016, de 3 de noviembre, FJ 5 c)].</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Como se ha indicado, el demandante sostiene que se ha vulnerado su </w:t>
      </w:r>
      <w:r w:rsidRPr="005728DD">
        <w:rPr>
          <w:i/>
        </w:rPr>
        <w:t>ius in officium</w:t>
      </w:r>
      <w:r>
        <w:t xml:space="preserve"> como diputado regional, porque la mesa de la Asamblea Regional de Murcia inadmitió —tras emitir el Consejo de Gobierno </w:t>
      </w:r>
      <w:r w:rsidRPr="005728DD">
        <w:rPr>
          <w:i/>
        </w:rPr>
        <w:t>ex</w:t>
      </w:r>
      <w:r>
        <w:t xml:space="preserve"> art. 120 RARM su veto presupuestario— la proposición de ley de modificación de la Ley 3/2009, de 11 de mayo, de los derechos y deberes de los usuarios del sistema sanitario de la Comunidad Autónoma de la Región de Murcia, que había presentado como portavoz de su grupo parlamentario; decisión de inadmisión que fue confirmada por la mesa al rechazar la solicitud de reconsideración.</w:t>
      </w:r>
    </w:p>
    <w:p w:rsidR="005728DD" w:rsidRDefault="005728DD" w:rsidP="005728DD">
      <w:pPr>
        <w:pStyle w:val="TextoNormal"/>
      </w:pPr>
    </w:p>
    <w:p w:rsidR="005728DD" w:rsidRDefault="005728DD" w:rsidP="005728DD">
      <w:pPr>
        <w:pStyle w:val="TextoNormal"/>
      </w:pPr>
      <w:r>
        <w:t xml:space="preserve">A juicio del demandante, cuya posición es compartida por el Ministerio Fiscal, esa decisión de inadmisión de la iniciativa legislativa no puede considerarse motivada, toda vez que la mesa no ha realizado el adecuado control sobre la suficiencia y razonabilidad del veto ejercido por el ejecutivo autonómico, en relación con la concurrencia del requisito material de justificación del aumento de los créditos presupuestarios que se aduce, así como respecto del presupuesto del ámbito temporal para el ejercicio de la facultad de veto, con infracción de la reiterada doctrina constitucional al respecto. Entiende el demandante que ni siquiera era procedente que la mesa recabara la previa conformidad del Consejo de Gobierno, a lo </w:t>
      </w:r>
      <w:r>
        <w:lastRenderedPageBreak/>
        <w:t>que añade que esta decisión no le fue comunicada al grupo parlamentario autor de la iniciativa legislativa.</w:t>
      </w:r>
    </w:p>
    <w:p w:rsidR="005728DD" w:rsidRDefault="005728DD" w:rsidP="005728DD">
      <w:pPr>
        <w:pStyle w:val="TextoNormal"/>
      </w:pPr>
    </w:p>
    <w:p w:rsidR="005728DD" w:rsidRDefault="005728DD" w:rsidP="005728DD">
      <w:pPr>
        <w:pStyle w:val="TextoNormal"/>
      </w:pPr>
      <w:r>
        <w:t>Conviene advertir, para dar cumplida respuesta a los alegatos del demandante, que el art. 120.1 RARM, en la versión vigente en el momento en el que se adoptaron los acuerdos parlamentarios que dieron lugar al presente recurso de amparo, establecía lo siguiente:</w:t>
      </w:r>
    </w:p>
    <w:p w:rsidR="005728DD" w:rsidRDefault="005728DD" w:rsidP="005728DD">
      <w:pPr>
        <w:pStyle w:val="TextoNormal"/>
      </w:pPr>
    </w:p>
    <w:p w:rsidR="005728DD" w:rsidRDefault="005728DD" w:rsidP="005728DD">
      <w:pPr>
        <w:pStyle w:val="TextoNormal"/>
      </w:pPr>
      <w:r>
        <w:t>“Cuando se estime que una proposición de ley o no de ley implica aumento de créditos o disminución de ingresos presupuestarios, la mesa de la Asamblea, que resolverá en última instancia, solicitará la previa conformidad del Consejo de Gobierno para su admisión a trámite. La respuesta del Consejo de Gobierno deberá ser razonada y producirse dentro del plazo de ocho días, transcurridos los cuales su silencio se interpretará como de conformidad”.</w:t>
      </w:r>
    </w:p>
    <w:p w:rsidR="005728DD" w:rsidRDefault="005728DD" w:rsidP="005728DD">
      <w:pPr>
        <w:pStyle w:val="TextoNormal"/>
      </w:pPr>
    </w:p>
    <w:p w:rsidR="005728DD" w:rsidRDefault="005728DD" w:rsidP="005728DD">
      <w:pPr>
        <w:pStyle w:val="TextoNormal"/>
      </w:pPr>
      <w:r>
        <w:t xml:space="preserve">Atendiendo al contenido de la proposición de ley, en la que se prevén medidas tales como el reconocimiento del derecho de los pacientes a la libre elección del personal de enfermería, la creación de la figura del Defensor del paciente y la implantación de la historia clínica electrónica, no era descartable </w:t>
      </w:r>
      <w:r w:rsidRPr="005728DD">
        <w:rPr>
          <w:i/>
        </w:rPr>
        <w:t>a priori</w:t>
      </w:r>
      <w:r>
        <w:t xml:space="preserve"> que la aprobación de tales medidas pudiera suponer un incremento de créditos presupuestarios. El acuerdo de la mesa de la Asamblea Regional de Murcia, adoptado en su sesión de 7 de mayo de 2018, de recabar la previa conformidad del Consejo de Gobierno para la admisión a trámite de la iniciativa legislativa, conforme a lo previsto en el 120 RARM, no puede pues tildarse de inmotivado ni de irrazonable. Tampoco puede, por tanto, entenderse que la decisión de recabar la previa conformidad del Consejo de Gobierno, fundada en lo dispuesto en el vigente Reglamento de la Cámara, haya deparado al demandante un perjuicio lesivo de su derecho de participación política (art. 23.2 CE).</w:t>
      </w:r>
    </w:p>
    <w:p w:rsidR="005728DD" w:rsidRDefault="005728DD" w:rsidP="005728DD">
      <w:pPr>
        <w:pStyle w:val="TextoNormal"/>
      </w:pPr>
    </w:p>
    <w:p w:rsidR="005728DD" w:rsidRDefault="005728DD" w:rsidP="005728DD">
      <w:pPr>
        <w:pStyle w:val="TextoNormal"/>
      </w:pPr>
      <w:r>
        <w:t>No cabe apreciar vulneración alguna de ese derecho fundamental por el hecho de que el acuerdo de 7 de mayo de 2018 no fuera notificado al demandante de amparo, pues, sin necesidad de entrar a dilucidar si esa notificación era o no exigible —la letrada de la Asamblea Regional de Murcia sostiene que no lo era, por tratarse de un acto de trámite—, lo determinante es que la vicepresidenta primera de la mesa, perteneciente al mismo grupo parlamentario que el demandante, asistió a la sesión en la que la mesa adoptó el acuerdo de solicitar la previa conformidad del Consejo de Gobierno para la tramitación de la proposición de ley presentada por el demandante; por tanto, el grupo parlamentario autor de la iniciativa legislativa tuvo oportuno conocimiento del acuerdo.</w:t>
      </w:r>
    </w:p>
    <w:p w:rsidR="005728DD" w:rsidRDefault="005728DD" w:rsidP="005728DD">
      <w:pPr>
        <w:pStyle w:val="TextoNormal"/>
      </w:pPr>
    </w:p>
    <w:p w:rsidR="005728DD" w:rsidRDefault="005728DD" w:rsidP="005728DD">
      <w:pPr>
        <w:pStyle w:val="TextoNormal"/>
      </w:pPr>
      <w:r>
        <w:t>Procede dilucidar, por tanto, si la decisión de la mesa de la Asamblea Regional de Murcia de inadmitir a trámite la proposición de ley del Grupo Parlamentario Podemos, adoptada en su sesión de 28 de mayo de 2018 y confirmada por el acuerdo adoptado el 6 de septiembre de 2018, por el que se desestima la solicitud de reconsideración formulada por el demandante, ha vulnerado los derechos fundamentales al ejercicio del cargo público parlamentario y a la participación en asuntos públicos por medio de representantes.</w:t>
      </w:r>
    </w:p>
    <w:p w:rsidR="005728DD" w:rsidRDefault="005728DD" w:rsidP="005728DD">
      <w:pPr>
        <w:pStyle w:val="TextoNormal"/>
      </w:pPr>
    </w:p>
    <w:p w:rsidR="005728DD" w:rsidRDefault="005728DD" w:rsidP="005728DD">
      <w:pPr>
        <w:pStyle w:val="TextoNormal"/>
      </w:pPr>
      <w:r w:rsidRPr="005728DD">
        <w:rPr>
          <w:rStyle w:val="NumeroAFNegritaCaracter"/>
        </w:rPr>
        <w:t>5</w:t>
      </w:r>
      <w:r>
        <w:t>. La cuestión suscitada en el presente recurso de amparo debe ser resuelta a la luz de la consolidada doctrina sentada por este tribunal sobre el control por las mesas de los Parlamentos del ejercicio por los gobiernos de su facultad de oponerse a la tramitación de propo</w:t>
      </w:r>
      <w:r>
        <w:lastRenderedPageBreak/>
        <w:t>siciones de ley que supongan aumento de créditos presupuestarios o disminución de ingresos. Las SSTC 223/2006, de 6 de julio, y 242/2006, de 24 de julio, se refirieron a la facultad de veto presupuestario de los gobiernos autonómicos, sentando una doctrina que luego ha sido extendida al supuesto del ejercicio por el Gobierno de la Nación de su facultad de veto presupuestario (art. 134.6 CE y art. 126.2 del Reglamento del Congreso de los Diputados), en las SSTC 34/2018, de 12 de abril; 44/2018, de 26 de abril; 94/2018, de 17 de septiembre; 139/2018, de 17 de diciembre, y 17/2019, de 11 de febrero. Jurisprudencia constitucional invocada en el presente recurso por las partes y por el Ministerio Fiscal, como se ha visto.</w:t>
      </w:r>
    </w:p>
    <w:p w:rsidR="005728DD" w:rsidRDefault="005728DD" w:rsidP="005728DD">
      <w:pPr>
        <w:pStyle w:val="TextoNormal"/>
      </w:pPr>
    </w:p>
    <w:p w:rsidR="005728DD" w:rsidRDefault="005728DD" w:rsidP="005728DD">
      <w:pPr>
        <w:pStyle w:val="TextoNormal"/>
      </w:pPr>
      <w:r>
        <w:t>De acuerdo con esta consolidada doctrina constitucional, compendiada en las SSTC 94/2018, FJ 5, y 17/2019, FJ 3, es preciso distinguir entre la facultad de veto presupuestario conferida a los gobiernos (en el caso del Gobierno de la Nación, por el art. 134.6 CE y el art. 126.2 del Reglamento del Congreso de los Diputados, y en el caso de los gobiernos autonómicos, por los Estatutos de Autonomía o, en su caso, como sucede con la Región de Murcia, por el Reglamento de la Asamblea legislativa) y las funciones de control que corresponden a las mesas de los Parlamentos respectivos (Congreso de los Diputados y asambleas legislativas de cada comunidad autónoma).</w:t>
      </w:r>
    </w:p>
    <w:p w:rsidR="005728DD" w:rsidRDefault="005728DD" w:rsidP="005728DD">
      <w:pPr>
        <w:pStyle w:val="TextoNormal"/>
      </w:pPr>
    </w:p>
    <w:p w:rsidR="005728DD" w:rsidRDefault="005728DD" w:rsidP="005728DD">
      <w:pPr>
        <w:pStyle w:val="TextoNormal"/>
      </w:pPr>
      <w:r>
        <w:t>En relación con la facultad de veto presupuestario que los preceptos aplicables atribuyen al gobierno respectivo, deben destacarse las siguientes consideraciones que señala nuestra doctrina, en relación con el ámbito temporal del veto gubernamental y la motivación que dicho órgano ejecutivo debe ofrecer.</w:t>
      </w:r>
    </w:p>
    <w:p w:rsidR="005728DD" w:rsidRDefault="005728DD" w:rsidP="005728DD">
      <w:pPr>
        <w:pStyle w:val="TextoNormal"/>
      </w:pPr>
    </w:p>
    <w:p w:rsidR="005728DD" w:rsidRDefault="005728DD" w:rsidP="005728DD">
      <w:pPr>
        <w:pStyle w:val="TextoNormal"/>
      </w:pPr>
      <w:r>
        <w:t>En lo que se refiere al alcance temporal del veto presupuestario, la conformidad del Gobierno ha de referirse siempre al presupuesto en vigor en cada momento, en coherencia con el propio principio de anualidad presupuestaria. Consecuencia de lo anterior es que el veto presupuestario no podrá ejercerse respecto de presupuestos futuros, que aún no han sido elaborados por el Gobierno ni sometidos por tanto al proceso de aprobación regulado en el art. 134 CE o en el estatuto de autonomía correspondiente, según se trata de la ley de presupuestos generales del Estado o de una ley autonómica de presupuestos. En lo que se refiere a los denominados “ejercicios plurianuales”, si bien es cierto que todo presupuesto está lógica y temporalmente conectado con las cuentas públicas aprobadas en ejercicios anteriores y con las que se prevé elaborar para los ejercicios futuros, no lo es menos que tal conexión plurianual no desnaturaliza el carácter anual del presupuesto, por lo que el ejercicio de la facultad gubernamental de veto presupuestario se restringe, igualmente, a la afectación de una medida al presupuesto del ejercicio en curso.</w:t>
      </w:r>
    </w:p>
    <w:p w:rsidR="005728DD" w:rsidRDefault="005728DD" w:rsidP="005728DD">
      <w:pPr>
        <w:pStyle w:val="TextoNormal"/>
      </w:pPr>
    </w:p>
    <w:p w:rsidR="005728DD" w:rsidRDefault="005728DD" w:rsidP="005728DD">
      <w:pPr>
        <w:pStyle w:val="TextoNormal"/>
      </w:pPr>
      <w:r>
        <w:t>Respecto de la motivación que debe contener la resolución del Gobierno cuando haga uso de la facultad de veto presupuestario, la doctrina de este tribunal ha declarado que el Gobierno podrá oponer su veto solo en aquellos casos en los cuales una proposición de ley tenga incidencia directa e inmediata en el presupuesto vigente, esto es, que implique razonablemente un incremento de los créditos o una disminución de los ingresos en el mismo ejercicio presupuestario. La motivación del Gobierno debe expresar tal incidencia, precisando las concretas partidas presupuestarias que se verían afectadas, teniendo en cuenta que el veto presupuestario tiene una incidencia directa sobre la propia función del legislativo.</w:t>
      </w:r>
    </w:p>
    <w:p w:rsidR="005728DD" w:rsidRDefault="005728DD" w:rsidP="005728DD">
      <w:pPr>
        <w:pStyle w:val="TextoNormal"/>
      </w:pPr>
    </w:p>
    <w:p w:rsidR="005728DD" w:rsidRDefault="005728DD" w:rsidP="005728DD">
      <w:pPr>
        <w:pStyle w:val="TextoNormal"/>
      </w:pPr>
      <w:r>
        <w:t xml:space="preserve">En relación con las facultades de la mesa de control de la facultad de veto del Gobierno, en garantía de los derechos reconocidos en el art. 23 CE, nuestra doctrina ha reiterado que </w:t>
      </w:r>
      <w:r>
        <w:lastRenderedPageBreak/>
        <w:t>incumbe a las mesas parlamentarias llevar a cabo un control reglado sobre el ejercicio de la facultad del Gobierno, de carácter técnico-jurídico, no pudiendo responder en ningún caso a criterios de oportunidad política. Se trata de un doble control, formal y material. En lo que respecta al primero de ellos, bastará con verificar que el Gobierno ha dado respuesta expresa y motivada, dentro de plazo, a la remisión de la proposición de ley, a los efectos de mostrar su disconformidad, en su caso, en cuanto a la concurrencia del presupuesto de hecho habilitante (aumento de los créditos o disminución de los ingresos). En lo que se refiere al control material, este tribunal ha reconocido a las mesas parlamentarias un margen de aplicación en la interpretación de la legalidad parlamentaria que se puede llevar a efecto mediante un pronunciamiento de la mesa sobre el carácter manifiestamente infundado del criterio del Gobierno, siempre y cuando resulte evidente, a la luz de la propia motivación aportada por este, que no se ha justificado la afectación de la iniciativa a los ingresos y gastos contenidos en el propio presupuesto que, en cada ejercicio, cumple la función instrumental a la propia acción de Gobierno. En definitiva, la mesa debe verificar la motivación aportada por el Gobierno, pero sin que le corresponda sustituir al mismo en el enjuiciamiento del impacto, sino tan solo constatar que el mismo es real y efectivo, y no una mera hipótesis.</w:t>
      </w:r>
    </w:p>
    <w:p w:rsidR="005728DD" w:rsidRDefault="005728DD" w:rsidP="005728DD">
      <w:pPr>
        <w:pStyle w:val="TextoNormal"/>
      </w:pPr>
    </w:p>
    <w:p w:rsidR="005728DD" w:rsidRDefault="005728DD" w:rsidP="005728DD">
      <w:pPr>
        <w:pStyle w:val="TextoNormal"/>
      </w:pPr>
      <w:r>
        <w:t>Teniendo en cuenta lo anterior, la mesa debe velar por los derechos fundamentales de los parlamentarios, derivados del art. 23 CE, de tal manera que, en los supuestos como el que nos ahora nos ocupa, en que decida mostrar su acuerdo con el ejercicio de la facultad de veto por parte del Gobierno a la iniciativa legislativa de un grupo parlamentario, y, en consecuencia inadmitirla, su respuesta debe estar formal y materialmente motivada, a fin de que tras ella no se esconda un juicio sobre la oportunidad política de esa iniciativa, lesivo del derecho a ejercer la función parlamentaria y, con él, del derecho de participación ciudadana.</w:t>
      </w:r>
    </w:p>
    <w:p w:rsidR="005728DD" w:rsidRDefault="005728DD" w:rsidP="005728DD">
      <w:pPr>
        <w:pStyle w:val="TextoNormal"/>
      </w:pPr>
    </w:p>
    <w:p w:rsidR="005728DD" w:rsidRDefault="005728DD" w:rsidP="005728DD">
      <w:pPr>
        <w:pStyle w:val="TextoNormal"/>
      </w:pPr>
      <w:r w:rsidRPr="005728DD">
        <w:rPr>
          <w:rStyle w:val="NumeroAFNegritaCaracter"/>
        </w:rPr>
        <w:t>6</w:t>
      </w:r>
      <w:r>
        <w:t>. Atendida la doctrina constitucional expuesta, estamos en disposición de dilucidar si los acuerdos parlamentarios impugnados han vulnerado los derechos fundamentales invocados en la demanda de amparo.</w:t>
      </w:r>
    </w:p>
    <w:p w:rsidR="005728DD" w:rsidRDefault="005728DD" w:rsidP="005728DD">
      <w:pPr>
        <w:pStyle w:val="TextoNormal"/>
      </w:pPr>
    </w:p>
    <w:p w:rsidR="005728DD" w:rsidRDefault="005728DD" w:rsidP="005728DD">
      <w:pPr>
        <w:pStyle w:val="TextoNormal"/>
      </w:pPr>
      <w:r>
        <w:t>Procede así efectuar en primer lugar un análisis del acuerdo del Consejo de Gobierno de la Región de Murcia de 16 de mayo de 2018, en el que este se opuso a la tramitación de la proposición de ley presentada por el demandante. Si bien el objeto del presente recurso de amparo lo constituyen los referidos acuerdos de la mesa de la Asamblea Regional de Murcia de 28 de mayo y 6 de septiembre de 2018, que decidieron no admitir a trámite esa iniciativa legislativa, no cabe ignorar que estos acuerdos parlamentarios, como ya se dijo, se fundamentan en ese acuerdo de disconformidad del Ejecutivo autonómico, en el ejercicio de la facultad de veto que le atribuye el art. 120.1 RARM (en la versión entonces vigente).</w:t>
      </w:r>
    </w:p>
    <w:p w:rsidR="005728DD" w:rsidRDefault="005728DD" w:rsidP="005728DD">
      <w:pPr>
        <w:pStyle w:val="TextoNormal"/>
      </w:pPr>
    </w:p>
    <w:p w:rsidR="005728DD" w:rsidRDefault="005728DD" w:rsidP="005728DD">
      <w:pPr>
        <w:pStyle w:val="TextoNormal"/>
      </w:pPr>
      <w:r>
        <w:t xml:space="preserve">El referido acuerdo del Consejo de Gobierno se basa en el informe adjunto al mismo, emitido por la Consejería de Salud, que considera que la aprobación de la proposición de ley comportaría un incremento de gasto no presupuestado. En este informe se refleja el impacto presupuestario que se supone podría comportar la iniciativa legislativa si llegara a prosperar, estimado en un coste económico global de alrededor de cinco millones de euros; resultado de sumar los incrementos parciales a que podrían dar lugar la aplicación de diversas medidas previstas en la proposición de ley “de modificación de la Ley 3/2009, de 11 de mayo, de los derechos y deberes de los usuarios del sistema sanitario de la Comunidad Autónoma de la Región de Murcia”. Se trata concretamente de la extensión del derecho del paciente a la elección de profesionales sanitarios (para permitir la elección de personal de </w:t>
      </w:r>
      <w:r>
        <w:lastRenderedPageBreak/>
        <w:t>enfermería), de la creación de la figura del Defensor del paciente y de la implantación de la historia clínica electrónica. La libre elección de enfermeros exigiría aumentar la plantilla de personal de enfermería, así como de auxiliares administrativos para la gestión de los cambios de cupo, en los centros de salud en que se estima preciso, con el consiguiente aumento de los gastos de personal (capítulo I de los presupuestos), en los términos que el informe detalla. La creación de la figura del Defensor del paciente supondría la necesidad de dotar a este alto cargo, con la plantilla y los recursos materiales correspondientes para el desarrollo de su labor, lo que implicaría hacer frente a un aumento de gastos de personal (capítulo I) y de gastos corrientes y de servicios (capítulo II), que el informe asimismo detalla. Por último, la implantación de la historia clínica electrónica supondría el mayor impacto de la iniciativa, estimado en una inversión de unos cuatro millones de euros, con un coste de mantenimiento posterior calculado en torno del 20 por 100 de la inversión. De acuerdo con este informe, el Consejo de Gobierno comunicó a la mesa de la Cámara su decisión de no prestar su conformidad a la tramitación de la proposición de ley, porque su aprobación supondría un aumento de los créditos presupuestarios.</w:t>
      </w:r>
    </w:p>
    <w:p w:rsidR="005728DD" w:rsidRDefault="005728DD" w:rsidP="005728DD">
      <w:pPr>
        <w:pStyle w:val="TextoNormal"/>
      </w:pPr>
    </w:p>
    <w:p w:rsidR="005728DD" w:rsidRDefault="005728DD" w:rsidP="005728DD">
      <w:pPr>
        <w:pStyle w:val="TextoNormal"/>
      </w:pPr>
      <w:r>
        <w:t xml:space="preserve">Como señala el Ministerio Fiscal, este informe en el que se sustenta el acuerdo del Consejo de Gobierno no puede considerarse como una justificación adecuada del ejercicio de su facultad de veto presupuestario </w:t>
      </w:r>
      <w:r w:rsidRPr="005728DD">
        <w:rPr>
          <w:i/>
        </w:rPr>
        <w:t>ex</w:t>
      </w:r>
      <w:r>
        <w:t xml:space="preserve"> art. 120.1 RARM, conforme a la doctrina constitucional, dado que no se refiere al impacto directo y actual de las medidas previstas en la proposición de ley sobre los créditos presupuestarios vigentes, señalando las concretas partidas en las que se produciría un aumento del gasto no presupuestado. Además, el informe no toma en consideración el contenido de la disposición final de la proposición de ley, que difiere al ejercicio presupuestario siguiente a la entrada en vigor de las normas adoptadas para el desarrollo de la ley, la presupuestación de las medidas previstas en esta que impliquen la realización de gastos.</w:t>
      </w:r>
    </w:p>
    <w:p w:rsidR="005728DD" w:rsidRDefault="005728DD" w:rsidP="005728DD">
      <w:pPr>
        <w:pStyle w:val="TextoNormal"/>
      </w:pPr>
    </w:p>
    <w:p w:rsidR="005728DD" w:rsidRDefault="005728DD" w:rsidP="005728DD">
      <w:pPr>
        <w:pStyle w:val="TextoNormal"/>
      </w:pPr>
      <w:r>
        <w:t>La argumentación expuesta por el Consejo de Gobierno fue aceptada por la mesa de la Asamblea Regional de Murcia, que acordó por ello no admitir a trámite la referida iniciativa legislativa. Como ya se dijo, en su acuerdo de 28 de mayo de 2018 la mesa señaló que, visto que en el acuerdo del Consejo de Gobierno de la Región de Murcia de 16 de mayo de 2018 “se contiene explicación razonada en la que se fundamenta la oposición a la admisión a trámite” de la proposición de ley “de modificación de la Ley 3/2009, de 11 de mayo, de los derechos y deberes de los usuarios del sistema sanitario de la Comunidad Autónoma de la Región de Murcia”, porque su aprobación supondría un aumento de gasto no presupuestado, se acuerda, por tres votos a favor y dos en contra, “no admitir a trámite la referida proposición de ley”.</w:t>
      </w:r>
    </w:p>
    <w:p w:rsidR="005728DD" w:rsidRDefault="005728DD" w:rsidP="005728DD">
      <w:pPr>
        <w:pStyle w:val="TextoNormal"/>
      </w:pPr>
    </w:p>
    <w:p w:rsidR="005728DD" w:rsidRDefault="005728DD" w:rsidP="005728DD">
      <w:pPr>
        <w:pStyle w:val="TextoNormal"/>
      </w:pPr>
      <w:r>
        <w:t>Por tanto, la mesa de la Cámara se limita a indicar como fundamento de su decisión que considera que el Consejo de Gobierno ha dado una explicación razonada de su veto, sin hacer explícitas las razones que permiten considerar acreditado el presupuesto material del impacto directo y actual de la proposición de ley en los créditos presupuestarios vigentes. Tampoco hace consideración alguna acerca de las observaciones realizadas por la vicepresidenta primera de la mesa en cuanto a la previsión de diferimiento de gastos contenida en la disposición final de la proposición de ley.</w:t>
      </w:r>
    </w:p>
    <w:p w:rsidR="005728DD" w:rsidRDefault="005728DD" w:rsidP="005728DD">
      <w:pPr>
        <w:pStyle w:val="TextoNormal"/>
      </w:pPr>
    </w:p>
    <w:p w:rsidR="005728DD" w:rsidRDefault="005728DD" w:rsidP="005728DD">
      <w:pPr>
        <w:pStyle w:val="TextoNormal"/>
      </w:pPr>
      <w:r>
        <w:t xml:space="preserve">Por lo que se refiere al acuerdo adoptado en la sesión del 6 de septiembre de 2018, por el que se desestima la solicitud de reconsideración, por tres votos a favor y dos en contra, </w:t>
      </w:r>
      <w:r>
        <w:lastRenderedPageBreak/>
        <w:t>señala la mesa que “la motivación del acuerdo del Consejo de Gobierno para oponerse a la tramitación cumple con los requisitos establecidos en artículo 120 del Reglamento, quedando plenamente justificada la insuficiencia presupuestaria en este ejercicio para implementar las disposiciones de la proposición de ley si fuera aprobada, que tendrían un coste económico que se establece en casi cinco millones de euros, considerando la mayoría de la mesa que, tal y como el Gobierno manifiesta, es imposible atender dicho gasto con el presupuesto del presente ejercicio”. En suma, la mesa se limita a reiterar que considera razonado el veto presupuestario del Consejo de Gobierno, sin realizar consideración alguna respecto del asesoramiento verbal prestado en dicha sesión por la Letrada-Secretaria General de la Cámara, quien recomendó que se estimara la solicitud de reconsideración, dado que el acuerdo del Consejo de Gobierno que no presta conformidad a la tramitación de la proposición de ley justifica el coste económico de las medidas que esta iniciativa contiene, “pero no justifica que las mismas incidan directamente en el presupuesto en curso, con referencia a las partidas presupuestarias que resultaran insuficientes o que se vieren afectadas directamente”.</w:t>
      </w:r>
    </w:p>
    <w:p w:rsidR="005728DD" w:rsidRDefault="005728DD" w:rsidP="005728DD">
      <w:pPr>
        <w:pStyle w:val="TextoNormal"/>
      </w:pPr>
    </w:p>
    <w:p w:rsidR="005728DD" w:rsidRDefault="005728DD" w:rsidP="005728DD">
      <w:pPr>
        <w:pStyle w:val="TextoNormal"/>
      </w:pPr>
      <w:r>
        <w:t xml:space="preserve">A la vista de lo expuesto, apreciamos que los referidos acuerdos parlamentarios contravienen la doctrina de este tribunal expuesta en fundamentos jurídicos anteriores, que con claridad ha delimitado el ámbito temporal de la aplicación de la potestad gubernamental de veto al ejercicio presupuestario en curso. La contravención indicada ocasiona una limitación del </w:t>
      </w:r>
      <w:r w:rsidRPr="005728DD">
        <w:rPr>
          <w:i/>
        </w:rPr>
        <w:t>ius in officium</w:t>
      </w:r>
      <w:r>
        <w:t xml:space="preserve"> que es contraria a los derechos del art. 23 CE del demandante, pues la decisión asumida por la mesa de la Asamblea Regional de Murcia de no admitir a trámite la proposición de ley que presentó como portavoz de su grupo parlamentario, fundamentada en la aplicación extensiva de la facultad de veto del art. 120.1 RARM (en la redacción aplicable a la fecha de los hechos) a supuestos que van más allá en el tiempo del marco del presupuesto anual, constituye una limitación contraria al ejercicio de la vertiente esencial y más genuina del </w:t>
      </w:r>
      <w:r w:rsidRPr="005728DD">
        <w:rPr>
          <w:i/>
        </w:rPr>
        <w:t>ius in officium</w:t>
      </w:r>
      <w:r>
        <w:t xml:space="preserve"> de los parlamentarios, como es la del derecho a la iniciativa legislativa y a que las proposiciones de ley presentadas por los grupos parlamentarios puedan ser sometidas al debate de oportunidad política ante el pleno de la Cámara.</w:t>
      </w:r>
    </w:p>
    <w:p w:rsidR="005728DD" w:rsidRDefault="005728DD" w:rsidP="005728DD">
      <w:pPr>
        <w:pStyle w:val="TextoNormal"/>
      </w:pPr>
    </w:p>
    <w:p w:rsidR="005728DD" w:rsidRDefault="005728DD" w:rsidP="005728DD">
      <w:pPr>
        <w:pStyle w:val="TextoNormal"/>
      </w:pPr>
      <w:r>
        <w:t>A su vez, como refiere el Ministerio Fiscal en sus alegaciones, la motivación que ofrecen los acuerdos de la mesa de la Asamblea Regional de Murcia respecto de la concurrencia del presupuesto material habilitante de la facultad de veto presupuestario reconocida en el art. 120.1 RARM a la sazón vigente es abstracta y formalista y, por tanto, incumple la función de control que le corresponde a ese órgano parlamentario respecto de la disconformidad planteada por el Gobierno autonómico. En síntesis, según ha quedado expuesto, dicha motivación se limita a señalar que el Consejo de Gobierno de la Región de Murcia ha ofrecido una explicación razonada de su oposición a la admisión a trámite de la proposición de ley, pero no ofrece respuesta a los concretos argumentos dados por el diputado demandante y su grupo parlamentario acerca de que la iniciativa legislativa no supone un aumento de los créditos presupuestarios en el ejercicio actual.</w:t>
      </w:r>
    </w:p>
    <w:p w:rsidR="005728DD" w:rsidRDefault="005728DD" w:rsidP="005728DD">
      <w:pPr>
        <w:pStyle w:val="TextoNormal"/>
      </w:pPr>
    </w:p>
    <w:p w:rsidR="005728DD" w:rsidRDefault="005728DD" w:rsidP="005728DD">
      <w:pPr>
        <w:pStyle w:val="TextoNormal"/>
      </w:pPr>
      <w:r>
        <w:t>Por todo lo expuesto, procede declarar que los acuerdos de la mesa de la Asamblea Regional de Murcia que se impugnan en este recurso de amparo han vulnerado el derecho del recurrente al ejercicio del cargo público parlamentario con los requisitos que señalan las leyes (art. 23.2 CE), en conexión con el derecho de los ciudadanos a participar en los asuntos públicos a través de sus representantes (art. 23.1 CE).</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7</w:t>
      </w:r>
      <w:r>
        <w:t>. Para concluir, debemos precisar el alcance del otorgamiento del amparo (art. 55.1 LOTC), toda vez que al dictarse la presente sentencia nos encontramos con que la adopción de los acuerdos parlamentarios impugnados tuvo lugar en una legislatura ya finalizada (IX legislatura de la Asamblea Regional de Murcia), como bien advierte el Ministerio Fiscal.</w:t>
      </w:r>
    </w:p>
    <w:p w:rsidR="005728DD" w:rsidRDefault="005728DD" w:rsidP="005728DD">
      <w:pPr>
        <w:pStyle w:val="TextoNormal"/>
      </w:pPr>
    </w:p>
    <w:p w:rsidR="005728DD" w:rsidRDefault="005728DD" w:rsidP="005728DD">
      <w:pPr>
        <w:pStyle w:val="TextoNormal"/>
      </w:pPr>
      <w:r>
        <w:t>Por ello, como venimos declarando para este tipo de supuestos (así, SSTC 107/2001, de 23 de abril, FJ 10; 203/2001, de 15 de octubre, FJ 6; 177/2002, de 14 de octubre, FJ 11; 90/2005, de 18 de abril, FJ 8; 141/2007, de 18 de junio, FJ 6; 33/2010, de 19 de julio, FJ 6, y 212/2016, de 15 de diciembre, FJ 7), no cabe adoptar en el fallo de nuestra sentencia una medida destinada al pleno restablecimiento del derecho vulnerado por la mesa de la Asamblea Regional de Murcia, de suerte que la pretensión del recurrente ha de quedar satisfecha mediante la declaración de la lesión de su derecho garantizado en el art. 23.2 CE, en relación con el derecho reconocido por el art. 23.1 CE, y la declaración de la nulidad de los acuerdos parlamentarios que impidieron su ejercicio.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Óscar Urralburu Arza y, en su virtud:</w:t>
      </w:r>
    </w:p>
    <w:p w:rsidR="005728DD" w:rsidRDefault="005728DD" w:rsidP="005728DD">
      <w:pPr>
        <w:pStyle w:val="TextoNormal"/>
      </w:pPr>
    </w:p>
    <w:p w:rsidR="005728DD" w:rsidRDefault="005728DD" w:rsidP="005728DD">
      <w:pPr>
        <w:pStyle w:val="TextoNormal"/>
      </w:pPr>
      <w:r>
        <w:t>1º Declarar que ha sido vulnerado su derecho al ejercicio del cargo público parlamentario con los requisitos que señalan las leyes (art. 23.2 CE), en conexión con el derecho de los ciudadanos a participar en los asuntos públicos a través de sus representantes (art. 23.1 CE).</w:t>
      </w:r>
    </w:p>
    <w:p w:rsidR="005728DD" w:rsidRDefault="005728DD" w:rsidP="005728DD">
      <w:pPr>
        <w:pStyle w:val="TextoNormal"/>
      </w:pPr>
    </w:p>
    <w:p w:rsidR="005728DD" w:rsidRDefault="005728DD" w:rsidP="005728DD">
      <w:pPr>
        <w:pStyle w:val="TextoNormal"/>
      </w:pPr>
      <w:r>
        <w:t>2º Restablecer al recurrente en su derecho y, a tal fin, declarar la nulidad del acuerdo de 28 de mayo de 2018 de la mesa de la Asamblea Regional de Murcia, que decidió la no admisión a trámite de la proposición de ley “de modificación de la Ley 3/2009, de 11 de mayo, de los derechos y deberes de los usuarios del sistema sanitario de la Comunidad Autónoma de la Región de Murcia” (9L/PPL-085), presentada por el recurrente como portavoz del Grupo Parlamentario Podemos, y del acuerdo 6 de septiembre de 2018, desestimatorio de la solicitud de reconsideración del anterior.</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7" w:name="SENTENCIA_2021_54"/>
      <w:r>
        <w:lastRenderedPageBreak/>
        <w:t>SENTENCIA 54/2021, de 15 de marzo de 2021</w:t>
      </w:r>
    </w:p>
    <w:bookmarkEnd w:id="57"/>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ECLI:ES:TC:2021:54</w:t>
      </w:r>
    </w:p>
    <w:p w:rsidR="005728DD" w:rsidRDefault="005728DD" w:rsidP="005728DD">
      <w:pPr>
        <w:pStyle w:val="TextoNormalCentrado"/>
      </w:pPr>
    </w:p>
    <w:p w:rsidR="005728DD" w:rsidRDefault="005728DD" w:rsidP="005728DD">
      <w:pPr>
        <w:pStyle w:val="SntesisDescriptiva"/>
      </w:pPr>
      <w:r>
        <w:t>Recurso de amparo 1728-2019. Promovido por doña María Pilar Ruiz Lorente respecto de las resoluciones dictadas por un juzgado de primera instancia e instrucción de Tafalla (Navarra), en procedimiento de ejecución de títulos judiciales.</w:t>
      </w:r>
    </w:p>
    <w:p w:rsidR="005728DD" w:rsidRDefault="005728DD" w:rsidP="005728DD">
      <w:pPr>
        <w:pStyle w:val="SntesisDescriptiva"/>
      </w:pPr>
    </w:p>
    <w:p w:rsidR="005728DD" w:rsidRDefault="005728DD" w:rsidP="005728DD">
      <w:pPr>
        <w:pStyle w:val="SntesisAnaltica"/>
      </w:pPr>
      <w:r>
        <w:t>Vulneración del derecho a la tutela judicial efectiva (acceso a la jurisdicción): resolución que, al aplicar el precepto legal anulado por la STC 15/2020, de 28 de enero, deniega la revisión judicial del decreto de la letrada de la administración de justicia (STC 17/2020).</w:t>
      </w:r>
    </w:p>
    <w:p w:rsidR="005728DD" w:rsidRDefault="005728DD" w:rsidP="005728DD">
      <w:pPr>
        <w:pStyle w:val="SntesisAnaltica"/>
      </w:pPr>
    </w:p>
    <w:p w:rsidR="005728DD" w:rsidRDefault="005728DD" w:rsidP="005728DD">
      <w:pPr>
        <w:pStyle w:val="Extracto"/>
      </w:pPr>
      <w:r>
        <w:t>1.</w:t>
      </w:r>
      <w:r>
        <w:tab/>
        <w:t>Se aplica la doctrina constitucional sobre la revisión judicial de resoluciones de los letrados de la Administración de justicia, en el ámbito de la Ley de enjuiciamiento civil (SSTC 15/2020 y 17/2020)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1728-2019, promovido por doña María Pilar Ruiz Lorente, representada por el procurador de los tribunales don Álvaro-Ignacio García Gómez y asistida por el abogado don Aitor Tapias Prieto, contra la diligencia de ordenación de 25 de enero de 2019 del letrado de la administración de justicia del Juzgado de Primera Instancia e Instrucción núm. 2 de Tafalla en el procedimiento de ejecución de títulos judiciales 108-2018. Ha comparecido don Javier Sota Domínguez, representado por el procurador de los tribunales don Federico Pinilla Romero y asistido por el abogado don Pedro Madorrán Herguera. Ha intervenido el Ministerio Fiscal. Ha sido ponente el magistrado don Alfredo Montoya Melgar.</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demandante de amparo dirigió escrito a este tribunal, que tuvo entrada en su registro general el 18 de marzo de 2019, comunicando su voluntad de interponer recurso de amparo contra la resolución anteriormente indicada y solicitando la designación de procurador de oficio.</w:t>
      </w:r>
    </w:p>
    <w:p w:rsidR="005728DD" w:rsidRDefault="005728DD" w:rsidP="005728DD">
      <w:pPr>
        <w:pStyle w:val="TextoNormal"/>
      </w:pPr>
    </w:p>
    <w:p w:rsidR="005728DD" w:rsidRDefault="005728DD" w:rsidP="005728DD">
      <w:pPr>
        <w:pStyle w:val="TextoNormal"/>
      </w:pPr>
      <w:r w:rsidRPr="005728DD">
        <w:rPr>
          <w:rStyle w:val="NumeroAFNegritaCaracter"/>
        </w:rPr>
        <w:t>2</w:t>
      </w:r>
      <w:r>
        <w:t>. Mediante diligencia de ordenación de 21 de marzo de 2019 de la secretaría de justicia de la Sala Primera de este tribunal se acordó conceder a la recurrente, por medio del abogado don Aitor Tapias Prieto, un plazo de diez días para que de conformidad con lo dispuesto en los arts. 2.1 y 4.2 del acuerdo del Pleno del Tribunal Constitucional de 18 de junio de 1996, sobre asistencia jurídica gratuita en los procesos de amparo constitucional, se ratifique doña Maria Pilar Ruiz Lorente, en el escrito de interposición de la demanda de amparo, debiendo, asimismo, facilitar el domicilio donde localizar al recurrente a efectos de notificaciones posteriores, si fuere distinto al obrante en autos; apercibiéndole que de no subsanar el defecto, se acordará la inadmisión del recurso.</w:t>
      </w:r>
    </w:p>
    <w:p w:rsidR="005728DD" w:rsidRDefault="005728DD" w:rsidP="005728DD">
      <w:pPr>
        <w:pStyle w:val="TextoNormal"/>
      </w:pPr>
    </w:p>
    <w:p w:rsidR="005728DD" w:rsidRDefault="005728DD" w:rsidP="005728DD">
      <w:pPr>
        <w:pStyle w:val="TextoNormal"/>
      </w:pPr>
      <w:r>
        <w:t>Por escrito registrado el 15 de abril de 2019 la interesada se ratificó en su escrito de interposición de la demanda de amparo y solicitó la designación de procurador del turno de oficio.</w:t>
      </w:r>
    </w:p>
    <w:p w:rsidR="005728DD" w:rsidRDefault="005728DD" w:rsidP="005728DD">
      <w:pPr>
        <w:pStyle w:val="TextoNormal"/>
      </w:pPr>
    </w:p>
    <w:p w:rsidR="005728DD" w:rsidRDefault="005728DD" w:rsidP="005728DD">
      <w:pPr>
        <w:pStyle w:val="TextoNormal"/>
      </w:pPr>
      <w:r w:rsidRPr="005728DD">
        <w:rPr>
          <w:rStyle w:val="NumeroAFNegritaCaracter"/>
        </w:rPr>
        <w:t>3</w:t>
      </w:r>
      <w:r>
        <w:t>. El secretario de justicia de la Sala Primera solicitó, con fecha 22 de abril de 2019, al decano del Colegio de Procuradores la designación del turno de oficio de procurador que represente a la recurrente en el recurso de amparo núm. 1728-2019.</w:t>
      </w:r>
    </w:p>
    <w:p w:rsidR="005728DD" w:rsidRDefault="005728DD" w:rsidP="005728DD">
      <w:pPr>
        <w:pStyle w:val="TextoNormal"/>
      </w:pPr>
    </w:p>
    <w:p w:rsidR="005728DD" w:rsidRDefault="005728DD" w:rsidP="005728DD">
      <w:pPr>
        <w:pStyle w:val="TextoNormal"/>
      </w:pPr>
      <w:r>
        <w:t>Por escrito del Ilustre Colegio de Procuradores registrado el 22 de mayo de 2019 se designa como procurador a don Álvaro-Ignacio García Gómez.</w:t>
      </w:r>
    </w:p>
    <w:p w:rsidR="005728DD" w:rsidRDefault="005728DD" w:rsidP="005728DD">
      <w:pPr>
        <w:pStyle w:val="TextoNormal"/>
      </w:pPr>
    </w:p>
    <w:p w:rsidR="005728DD" w:rsidRDefault="005728DD" w:rsidP="005728DD">
      <w:pPr>
        <w:pStyle w:val="TextoNormal"/>
      </w:pPr>
      <w:r w:rsidRPr="005728DD">
        <w:rPr>
          <w:rStyle w:val="NumeroAFNegritaCaracter"/>
        </w:rPr>
        <w:t>4</w:t>
      </w:r>
      <w:r>
        <w:t>. Por diligencia de ordenación de 27 de mayo de 2019 se tiene por hecha dicha designación. Con traslado de los escritos y documentos presentados por la parte recurrente, al citado procurador don Álvaro Ignacio García Gómez, se le concede un plazo de treinta días para que bajo la dirección del letrado don Aitor Tapias Prieto formulen la correspondiente demanda de amparo con los requisitos prevenidos en el art. 49 de la Ley Orgánica del Tribunal Constitucional (LOTC), sin perjuicio del letrado a proceder, en su caso, conforme a lo dispuesto en los arts. 32 y siguientes de la Ley 1/1996, de 10 de enero, de asistencia jurídica gratuita. Debiendo el recurrente facilitar a los citados profesionales, cuantos datos y documentos les sean necesarios para la formalización de la demanda.</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presentado en el registro general de este tribunal el 10 de julio de 2019, el procurador de los tribunales indicado, en nombre y representación de doña María Pilar Ruiz Lorente, formalizó la demanda de amparo contra la resolución a la que se ha hecho mención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6</w:t>
      </w:r>
      <w:r>
        <w:t>. Los hechos en que se fundamenta la demanda de amparo son, sucintamente expuestos, los siguientes:</w:t>
      </w:r>
    </w:p>
    <w:p w:rsidR="005728DD" w:rsidRDefault="005728DD" w:rsidP="005728DD">
      <w:pPr>
        <w:pStyle w:val="TextoNormal"/>
      </w:pPr>
    </w:p>
    <w:p w:rsidR="005728DD" w:rsidRDefault="005728DD" w:rsidP="005728DD">
      <w:pPr>
        <w:pStyle w:val="TextoNormal"/>
      </w:pPr>
      <w:r>
        <w:t>a) Por sentencia del Juzgado de Primera Instancia núm. 2 de Tafalla de 12 de enero de 2018 se cesó a la recurrente en la comunidad proindiviso que mantenía con don Francisco Javier Sota Domínguez. En ejecución de esa sentencia promovió expediente de ejecución ante el mismo juzgado que lo tramitó con el núm. 108-2018.</w:t>
      </w:r>
    </w:p>
    <w:p w:rsidR="005728DD" w:rsidRDefault="005728DD" w:rsidP="005728DD">
      <w:pPr>
        <w:pStyle w:val="TextoNormal"/>
      </w:pPr>
    </w:p>
    <w:p w:rsidR="005728DD" w:rsidRDefault="005728DD" w:rsidP="005728DD">
      <w:pPr>
        <w:pStyle w:val="TextoNormal"/>
      </w:pPr>
      <w:r>
        <w:lastRenderedPageBreak/>
        <w:t>b) Por auto de 3 de octubre de 2018 se dictó orden general de ejecución, tasando la finca que había sido objeto de la comunidad en 55 403,52 €. Ambas partes solicitaron la adjudicación del bien. Por diligencia de 6 de noviembre de 2018 se dio traslado a las partes para que ejercieran el derecho de sexteo, de la ley 374 del Fuero Nuevo de Navarra, mediante la consignación del precio de tasación mejorado en una sexta parte por lo menos. También ambas partes ejercitaron ese derecho, consignando el señor. Sota Domínguez la cantidad de 67 400 € (la totalidad de la tasación más una sexta parte), y la señora. Ruíz Lorente la cantidad de 32 316,72 € (la mitad de la tasación más una sexta parte del total).</w:t>
      </w:r>
    </w:p>
    <w:p w:rsidR="005728DD" w:rsidRDefault="005728DD" w:rsidP="005728DD">
      <w:pPr>
        <w:pStyle w:val="TextoNormal"/>
      </w:pPr>
    </w:p>
    <w:p w:rsidR="005728DD" w:rsidRDefault="005728DD" w:rsidP="005728DD">
      <w:pPr>
        <w:pStyle w:val="TextoNormal"/>
      </w:pPr>
      <w:r>
        <w:t>c) Por decreto de la letrada de la administración de justicia de 14 de noviembre de 2018 se adjudicó la vivienda al señor Sota Domínguez por entender que solo él había cumplido lo acordado en la diligencia de ordenación.</w:t>
      </w:r>
    </w:p>
    <w:p w:rsidR="005728DD" w:rsidRDefault="005728DD" w:rsidP="005728DD">
      <w:pPr>
        <w:pStyle w:val="TextoNormal"/>
      </w:pPr>
    </w:p>
    <w:p w:rsidR="005728DD" w:rsidRDefault="005728DD" w:rsidP="005728DD">
      <w:pPr>
        <w:pStyle w:val="TextoNormal"/>
      </w:pPr>
      <w:r>
        <w:t>d) Frente a este decreto la recurrente en amparo formuló recurso de reposición por entender que también ella había cumplido lo establecido en la ley 374 del Fuero Nuevo, ya que no era procedente consignar la totalidad del valor de la vivienda, ya que la mitad le pertenecía. Por ello, considera que lo procedente, según la citada ley 374, era señalar una subasta entre los dos copropietarios para adjudicarle el bien al mejor postor, o al menos otorgarle el resto del plazo para consignar la totalidad de la tasación más la sexta parte, pues de otro modo se conculcaría su derecho a la tutela judicial efectiva del art. 24 CE.</w:t>
      </w:r>
    </w:p>
    <w:p w:rsidR="005728DD" w:rsidRDefault="005728DD" w:rsidP="005728DD">
      <w:pPr>
        <w:pStyle w:val="TextoNormal"/>
      </w:pPr>
    </w:p>
    <w:p w:rsidR="005728DD" w:rsidRDefault="005728DD" w:rsidP="005728DD">
      <w:pPr>
        <w:pStyle w:val="TextoNormal"/>
      </w:pPr>
      <w:r>
        <w:t xml:space="preserve">e) Por decreto de 14 de diciembre de 2018 la letrada de la administración de justicia desestimó la reposición, reiterando la necesidad de consignar la totalidad de la tasación mejorada y respecto a la posibilidad de subsanar, indica que el plazo era de caducidad y ya lo había agotado la recurrente. Terminaba el decreto diciendo: “contra este decreto no cabe recurso alguno, sin perjuicio de reproducir la cuestión necesariamente, en la primera audiencia ante el tribunal tras la toma de decisión y, si no fuera posible por el estado de los autos, se podrá solicitar mediante escrito antes de que se dicte la resolución definitiva para que se solvente en ella (art. 454 </w:t>
      </w:r>
      <w:r w:rsidRPr="005728DD">
        <w:rPr>
          <w:i/>
        </w:rPr>
        <w:t>bis</w:t>
      </w:r>
      <w:r>
        <w:t xml:space="preserve"> LEC)”.</w:t>
      </w:r>
    </w:p>
    <w:p w:rsidR="005728DD" w:rsidRDefault="005728DD" w:rsidP="005728DD">
      <w:pPr>
        <w:pStyle w:val="TextoNormal"/>
      </w:pPr>
    </w:p>
    <w:p w:rsidR="005728DD" w:rsidRDefault="005728DD" w:rsidP="005728DD">
      <w:pPr>
        <w:pStyle w:val="TextoNormal"/>
      </w:pPr>
      <w:r>
        <w:t>f) En fecha 24 de enero de 2019 la recurrente en amparo presentó escrito en el que se reprodujo ante el órgano judicial la petición del recurso de reposición.</w:t>
      </w:r>
    </w:p>
    <w:p w:rsidR="005728DD" w:rsidRDefault="005728DD" w:rsidP="005728DD">
      <w:pPr>
        <w:pStyle w:val="TextoNormal"/>
      </w:pPr>
    </w:p>
    <w:p w:rsidR="005728DD" w:rsidRDefault="005728DD" w:rsidP="005728DD">
      <w:pPr>
        <w:pStyle w:val="TextoNormal"/>
      </w:pPr>
      <w:r>
        <w:t>Por diligencia de ordenación de 25 de enero de 2019 la letrada de la administración de justicia acordó unir el escrito a los autos “sin efecto alguno ya que el decreto de 14 de diciembre de 2018 es firme”.</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El 9 de julio de 2019 fue presentada en el registro general del Tribunal Constitucional demanda de amparo contra la diligencia de ordenación de 25 de enero de 2019, del Juzgado de Primera Instancia e Instrucción núm. 2 de Tafalla, alegando vulneración del derecho a la tutela judicial efectiva. La recurrente alega las SSTC 72/2018, de 21 de junio, y 58/2016, de 17 de marzo, que han declarado, respectivamente, la inconstitucionalidad y nulidad del primer párrafo del artículo 188.1 de la Ley 36/2011, de 10 de octubre, reguladora de la jurisdicción social (LJS), y del primer párrafo del art. 102 </w:t>
      </w:r>
      <w:r w:rsidRPr="005728DD">
        <w:rPr>
          <w:i/>
        </w:rPr>
        <w:t>bis</w:t>
      </w:r>
      <w:r>
        <w:t xml:space="preserve">.2 de la Ley 29/1998, de 13 de julio, reguladora de la jurisdicción contencioso-administrativa (LJCA), en la redacción dada por la Ley 13/2009, de 3 de noviembre, de reforma de la legislación procesal para la implantación de la nueva oficina judicial. Recuerda que dichos preceptos han sido declarados inconstitucionales porque al excluir del recurso judicial a determinados decretos definitivos </w:t>
      </w:r>
      <w:r>
        <w:lastRenderedPageBreak/>
        <w:t>del letrado de la administración de justicia (aquellos que resuelven la reposición), se “cercena el derecho del justiciable a someter a la decisión última del juez o tribunal, a quien compete de modo exclusivo la potestad jurisdiccional, la resolución de una cuestión que atañe a sus derechos e intereses y legítimos” (STC 58/2016, FJ 7).</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providencia de 16 de noviembre de 2020, la Sección Primera de este tribunal acordó la admisión a trámite del recurso de amparo presentado al apreciar que concurre en el mismo una especial trascendencia constitucional (art. 50.1 LOTC), como consecuencia de que la posible vulneración del derecho fundamental que se denuncia pudiera provenir de la ley o de otra disposición de carácter general [STC 155/2009, FJ 2 c)].</w:t>
      </w:r>
    </w:p>
    <w:p w:rsidR="005728DD" w:rsidRDefault="005728DD" w:rsidP="005728DD">
      <w:pPr>
        <w:pStyle w:val="TextoNormal"/>
      </w:pPr>
    </w:p>
    <w:p w:rsidR="005728DD" w:rsidRDefault="005728DD" w:rsidP="005728DD">
      <w:pPr>
        <w:pStyle w:val="TextoNormal"/>
      </w:pPr>
      <w:r>
        <w:t>En aplicación de lo dispuesto en el art. 51 LOTC, se acordó dirigir atenta comunicación al Juzgado de Primera Instancia e Instrucción núm. 2 de Tafalla a fin de que procediese a emplazar a quienes hubieran sido parte en el procedimiento, a excepción de la parte recurrente en amparo, para que en el plazo de diez días pudiesen comparecer, si lo desean,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El 10 de diciembre de 2020 presentó escrito en el registro general del Tribunal Constitucional el procurador de los tribunales don Federico Pinilla Romeo, en nombre y representación, que acredita mediante documento </w:t>
      </w:r>
      <w:r w:rsidRPr="005728DD">
        <w:rPr>
          <w:i/>
        </w:rPr>
        <w:t>apud acta</w:t>
      </w:r>
      <w:r>
        <w:t xml:space="preserve"> que acompaña a su escrito, de don Javier Sota Domínguez. En su escrito solicita que se le tenga por comparecido y parte en el presente procedimiento y se entiendan con él las sucesivas actuaciones.</w:t>
      </w:r>
    </w:p>
    <w:p w:rsidR="005728DD" w:rsidRDefault="005728DD" w:rsidP="005728DD">
      <w:pPr>
        <w:pStyle w:val="TextoNormal"/>
      </w:pPr>
    </w:p>
    <w:p w:rsidR="005728DD" w:rsidRDefault="005728DD" w:rsidP="005728DD">
      <w:pPr>
        <w:pStyle w:val="TextoNormal"/>
      </w:pPr>
      <w:r>
        <w:t>Por diligencia de ordenación de la Sala Primera de 17 de diciembre de 2020 se le tiene por personado y parte. A tenor de lo dispuesto en el art. 52 LOTC, se da vista de todas las actuaciones del presente recurso de amparo, en la secretaría de esta sala, por un plazo común de veinte días, al Ministerio Fiscal y a las partes personadas, para que dentro de dicho término puedan presentar las alegaciones que a su derecho convenga. Los procuradores tendrán acceso a los escritos y documentos, a través de la sede electrónica de este tribunal.</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Por escrito registrado el 25 de enero de 2021 presentó sus alegaciones la recurrente en amparo. En su escrito señala que la STC 15/2020, de 28 de enero, ha declarado inconstitucional y nulo el párrafo primero del art. 454 </w:t>
      </w:r>
      <w:r w:rsidRPr="005728DD">
        <w:rPr>
          <w:i/>
        </w:rPr>
        <w:t>bis</w:t>
      </w:r>
      <w:r>
        <w:t>.1 de la Ley de enjuiciamiento civil (LEC), por crear esa norma “un espacio inmune al control jurisdiccional de determinadas decisiones del letrado de la administración de justicia”. En base a esta sentencia considera que su recurso de amparo debe ser estimado.</w:t>
      </w:r>
    </w:p>
    <w:p w:rsidR="005728DD" w:rsidRDefault="005728DD" w:rsidP="005728DD">
      <w:pPr>
        <w:pStyle w:val="TextoNormal"/>
      </w:pPr>
    </w:p>
    <w:p w:rsidR="005728DD" w:rsidRDefault="005728DD" w:rsidP="005728DD">
      <w:pPr>
        <w:pStyle w:val="TextoNormal"/>
      </w:pPr>
      <w:r w:rsidRPr="005728DD">
        <w:rPr>
          <w:rStyle w:val="NumeroAFNegritaCaracter"/>
        </w:rPr>
        <w:t>11</w:t>
      </w:r>
      <w:r>
        <w:t>. El 26 de enero de 2021 presentó su escrito de alegaciones el procurador de los tribunales don Federico Pinilla Romeo, en nombre y representación de don Javier Sota Domínguez.</w:t>
      </w:r>
    </w:p>
    <w:p w:rsidR="005728DD" w:rsidRDefault="005728DD" w:rsidP="005728DD">
      <w:pPr>
        <w:pStyle w:val="TextoNormal"/>
      </w:pPr>
    </w:p>
    <w:p w:rsidR="005728DD" w:rsidRDefault="005728DD" w:rsidP="005728DD">
      <w:pPr>
        <w:pStyle w:val="TextoNormal"/>
      </w:pPr>
      <w:r>
        <w:t xml:space="preserve">Señala que la STC 15/2020, a partir de la declaración de inconstitucionalidad y nulidad del art. 454 </w:t>
      </w:r>
      <w:r w:rsidRPr="005728DD">
        <w:rPr>
          <w:i/>
        </w:rPr>
        <w:t>bis</w:t>
      </w:r>
      <w:r>
        <w:t>.1 LEC, ha establecido un régimen transitorio, en tanto que el legislador se pronuncie al respecto, por el cual frente al decreto del letrado de la administración de justicia cabe interponer recurso directo de revisión. Por ello entiende que este recurso de amparo queda sin contenido, dado que en la citada sentencia ya se indica la procedencia del recurso de revisión.</w:t>
      </w:r>
    </w:p>
    <w:p w:rsidR="005728DD" w:rsidRDefault="005728DD" w:rsidP="005728DD">
      <w:pPr>
        <w:pStyle w:val="TextoNormal"/>
      </w:pPr>
    </w:p>
    <w:p w:rsidR="005728DD" w:rsidRDefault="005728DD" w:rsidP="005728DD">
      <w:pPr>
        <w:pStyle w:val="TextoNormal"/>
      </w:pPr>
      <w:r w:rsidRPr="005728DD">
        <w:rPr>
          <w:rStyle w:val="NumeroAFNegritaCaracter"/>
        </w:rPr>
        <w:t>12</w:t>
      </w:r>
      <w:r>
        <w:t>. El 10 de febrero de 2021 el Ministerio Fiscal presentó su escrito de alegaciones en el que termina solicitando que se estime el recurso de amparo.</w:t>
      </w:r>
    </w:p>
    <w:p w:rsidR="005728DD" w:rsidRDefault="005728DD" w:rsidP="005728DD">
      <w:pPr>
        <w:pStyle w:val="TextoNormal"/>
      </w:pPr>
    </w:p>
    <w:p w:rsidR="005728DD" w:rsidRDefault="005728DD" w:rsidP="005728DD">
      <w:pPr>
        <w:pStyle w:val="TextoNormal"/>
      </w:pPr>
      <w:r>
        <w:t xml:space="preserve">Señala que nos encontramos en este recurso ante una cuestión que ya ha sido objeto de pronunciamiento reiteradamente por este tribunal, al haberse planteado diversos recursos de amparo que cuestionaban la supuesta irrecurribilidad de las decisiones de los letrados de la administración de justicia ante los órganos judiciales </w:t>
      </w:r>
      <w:r w:rsidRPr="005728DD">
        <w:rPr>
          <w:i/>
        </w:rPr>
        <w:t>stricto sensu</w:t>
      </w:r>
      <w:r>
        <w:t xml:space="preserve">. Estos recursos de amparo dieron lugar a que por el propio Tribunal Constitucional se plantearan diversas cuestiones internas de inconstitucionalidad por entender que la posible vulneración del derecho fundamental pudiera provenir de la propia norma. Recuerda que estas circunstancias se fueron produciendo en los distintos órdenes jurisdiccionales. Así, en el orden jurisdiccional civil la STC 15/2020, de 28 de enero, declaró la inconstitucionalidad del párrafo primero del art. 454 </w:t>
      </w:r>
      <w:r w:rsidRPr="005728DD">
        <w:rPr>
          <w:i/>
        </w:rPr>
        <w:t>bis</w:t>
      </w:r>
      <w:r>
        <w:t>.1 LEC.</w:t>
      </w:r>
    </w:p>
    <w:p w:rsidR="005728DD" w:rsidRDefault="005728DD" w:rsidP="005728DD">
      <w:pPr>
        <w:pStyle w:val="TextoNormal"/>
      </w:pPr>
    </w:p>
    <w:p w:rsidR="005728DD" w:rsidRDefault="005728DD" w:rsidP="005728DD">
      <w:pPr>
        <w:pStyle w:val="TextoNormal"/>
      </w:pPr>
      <w:r>
        <w:t>Tras reproducir el contenido de la STC 15/2020, indica que aunque el supuesto que analiza esta sentencia se inscribe en el marco de un proceso de ejecución dineraria, no hay razones para no hacerlo extensivo al caso que nos ocupa, si tenemos en cuenta que lo decisivo es que no se haya privado a la parte del preceptivo control judicial. La recurrente había solicitado que se considerara su derecho a que le adjudicara la vivienda tan bien constituido como el de la parte contraria, o, en otro caso, puesto que no agotó el tiempo para hacer la consignación económica, que vencía el día 16, cuando el decreto que se lo adjudica a la contraparte es del día 14, se le permitiera subsanar el defecto. Parece evidente, para el Ministerio Fiscal, que la cuestión que planteó excede del mero trámite procesal, ya que la interpretación de la ley 374 del Fuero Nuevo de Navarra forma parte de las decisiones de naturaleza claramente jurisdiccional. Por el contrario, el actuario decidió resolver la cuestión, a pesar de esa naturaleza.</w:t>
      </w:r>
    </w:p>
    <w:p w:rsidR="005728DD" w:rsidRDefault="005728DD" w:rsidP="005728DD">
      <w:pPr>
        <w:pStyle w:val="TextoNormal"/>
      </w:pPr>
    </w:p>
    <w:p w:rsidR="005728DD" w:rsidRDefault="005728DD" w:rsidP="005728DD">
      <w:pPr>
        <w:pStyle w:val="TextoNormal"/>
      </w:pPr>
      <w:r>
        <w:t>Considera que esta es la decisión que nunca ha sido sometida a control judicial, ya que el instrumento procesal que utilizó la parte para obtener ese control fue el de solicitar por escrito, de fecha 24 de enero de 2019, que el juez resolviera esta controversia sobre la suficiencia de su consignación, y esta pretensión le fue denegada el día siguiente 25 del mismo mes y año, por una diligencia que se limita a decir se una sin efecto alguno, y que no procede del juez sino de la propia letrada.</w:t>
      </w:r>
    </w:p>
    <w:p w:rsidR="005728DD" w:rsidRDefault="005728DD" w:rsidP="005728DD">
      <w:pPr>
        <w:pStyle w:val="TextoNormal"/>
      </w:pPr>
    </w:p>
    <w:p w:rsidR="005728DD" w:rsidRDefault="005728DD" w:rsidP="005728DD">
      <w:pPr>
        <w:pStyle w:val="TextoNormal"/>
      </w:pPr>
      <w:r>
        <w:t>Insiste en que es cierto que la parte no acudió a la figura del recurso, sino que se limitó a la petición de audiencia, pero eso no desvirtúa la esencia de petición de pronunciamiento judicial, y es notoriamente conforme con lo que se desprende de la decisión adoptada por las distintas decisiones del Tribunal Constitucional en los diversos órdenes jurisdiccionales, por lo que concluye que la parte ejecutante vio cómo una pretensión, de indudable contenido relevante en el proceso, pues de ello dependía la resolución del pleito, se quedaba huérfana de respuesta judicial. Por todo ello, interesa que se otorgue el amparo solicitado.</w:t>
      </w:r>
    </w:p>
    <w:p w:rsidR="005728DD" w:rsidRDefault="005728DD" w:rsidP="005728DD">
      <w:pPr>
        <w:pStyle w:val="TextoNormal"/>
      </w:pPr>
    </w:p>
    <w:p w:rsidR="005728DD" w:rsidRDefault="005728DD" w:rsidP="005728DD">
      <w:pPr>
        <w:pStyle w:val="TextoNormal"/>
      </w:pPr>
      <w:r w:rsidRPr="005728DD">
        <w:rPr>
          <w:rStyle w:val="NumeroAFNegritaCaracter"/>
        </w:rPr>
        <w:t>13</w:t>
      </w:r>
      <w:r>
        <w:t>. Mediante providencia de fecha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El presente recurso de amparo se dirige contra la diligencia de ordenación de 25 de enero de 2019 dictada por la letrada de la administración de justicia del Juzgado de Primera Instancia de Instrucción núm. 2 de Tafalla, en el procedimiento de ejecución de títulos judiciales 108-2018, por la que se acuerda unir a los autos, sin efecto alguno, el escrito presentado por la recurrente en amparo contra el decreto de la letrada de la administración de justicia del señalado juzgado, de 14 de diciembre de 2018, por el que se desestimó el recurso de reposición interpuesto contra decreto de 14 de noviembre de 2018.</w:t>
      </w:r>
    </w:p>
    <w:p w:rsidR="005728DD" w:rsidRDefault="005728DD" w:rsidP="005728DD">
      <w:pPr>
        <w:pStyle w:val="TextoNormal"/>
      </w:pPr>
    </w:p>
    <w:p w:rsidR="005728DD" w:rsidRDefault="005728DD" w:rsidP="005728DD">
      <w:pPr>
        <w:pStyle w:val="TextoNormal"/>
      </w:pPr>
      <w:r>
        <w:t xml:space="preserve">En la demanda se alega la vulneración del derecho a la tutela judicial efectiva (art. 24.1 CE), porque se considera que la resolución impugnada ha impedido el control judicial de una resolución del letrado de la administración de justicia, obviando la doctrina constitucional resultante de las SSTC 58/2016, de 17 de marzo y 72/2018, de 21 de junio, en las que, en circunstancias similares, se había declarado la inconstitucionalidad y nulidad del art. 102 </w:t>
      </w:r>
      <w:r w:rsidRPr="005728DD">
        <w:rPr>
          <w:i/>
        </w:rPr>
        <w:t>bis</w:t>
      </w:r>
      <w:r>
        <w:t>.2 LJCA y el párrafo primero del art. 188.1 LJS, respectivamente; y reconociendo al propio tiempo la virtualidad de la vía impugnativa, que en los presentes autos se encuentra vedada.</w:t>
      </w:r>
    </w:p>
    <w:p w:rsidR="005728DD" w:rsidRDefault="005728DD" w:rsidP="005728DD">
      <w:pPr>
        <w:pStyle w:val="TextoNormal"/>
      </w:pPr>
    </w:p>
    <w:p w:rsidR="005728DD" w:rsidRDefault="005728DD" w:rsidP="005728DD">
      <w:pPr>
        <w:pStyle w:val="TextoNormal"/>
      </w:pPr>
      <w:r>
        <w:t>El Ministerio Fiscal interesa la estimación del recurso partiendo de la doctrina de la STC 15/2020, de 28 de enero.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constitucional sobre el art</w:t>
      </w:r>
      <w:r>
        <w:t xml:space="preserve">. 454 bis.1, </w:t>
      </w:r>
      <w:r w:rsidRPr="005728DD">
        <w:rPr>
          <w:i/>
        </w:rPr>
        <w:t>párrafo primero, LEC y su relación con el derecho a la tutela judicial efectiva: STC 15/2020, de 28 de enero</w:t>
      </w:r>
      <w:r>
        <w:t>.</w:t>
      </w:r>
    </w:p>
    <w:p w:rsidR="005728DD" w:rsidRDefault="005728DD" w:rsidP="005728DD">
      <w:pPr>
        <w:pStyle w:val="TextoNormal"/>
      </w:pPr>
    </w:p>
    <w:p w:rsidR="005728DD" w:rsidRDefault="005728DD" w:rsidP="005728DD">
      <w:pPr>
        <w:pStyle w:val="TextoNormal"/>
      </w:pPr>
      <w:r>
        <w:t xml:space="preserve">El art. 454 </w:t>
      </w:r>
      <w:r w:rsidRPr="005728DD">
        <w:rPr>
          <w:i/>
        </w:rPr>
        <w:t>bis</w:t>
      </w:r>
      <w:r>
        <w:t>.1, párrafo primero, LEC dispone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 28 de enero, del Pleno de este tribunal, que estimó la cuestión interna de inconstitucionalidad núm. 2754-2019, declaró, precisamente, la inconstitucionalidad y nulidad de dicho precepto por vulnerar el derecho a la tutela judicial efectiva consagrado en el art. 24.1 CE.</w:t>
      </w:r>
    </w:p>
    <w:p w:rsidR="005728DD" w:rsidRDefault="005728DD" w:rsidP="005728DD">
      <w:pPr>
        <w:pStyle w:val="TextoNormal"/>
      </w:pPr>
    </w:p>
    <w:p w:rsidR="005728DD" w:rsidRDefault="005728DD" w:rsidP="005728DD">
      <w:pPr>
        <w:pStyle w:val="TextoNormal"/>
      </w:pPr>
      <w:r>
        <w:t>La exclusión del recurso de revisión —y de cualquier otro recurso— en relación con los decretos no definitivos del letrado de la administración de justicia se desprende del propio texto del precepto citado, en la redacción dada al mismo por la Ley 37/2011, de 10 de octubre, de medidas de agilización procesal.</w:t>
      </w:r>
    </w:p>
    <w:p w:rsidR="005728DD" w:rsidRDefault="005728DD" w:rsidP="005728DD">
      <w:pPr>
        <w:pStyle w:val="TextoNormal"/>
      </w:pPr>
    </w:p>
    <w:p w:rsidR="005728DD" w:rsidRDefault="005728DD" w:rsidP="005728DD">
      <w:pPr>
        <w:pStyle w:val="TextoNormal"/>
      </w:pPr>
      <w:r>
        <w:t xml:space="preserve">Al respecto, conviene recordar en primer lugar que, tal y como expusimos en el fundamento jurídico 3 de la STC 15/2020, con la constatación de que esa norma prohíbe la impugnación directa en revisión ante el juez o magistrado del decreto dictado por el letrado de la administración de justicia resolutorio del recurso de reposición promovido contra sus propias resoluciones, se puede concluir que “no cabe este control judicial directo frente a la generalidad de los dictados en el proceso civil, con independencia de la importancia del </w:t>
      </w:r>
      <w:r>
        <w:lastRenderedPageBreak/>
        <w:t xml:space="preserve">asunto resuelto por el decreto correspondiente”. Pero además, que “tampoco cabe apreciar que este control judicial pueda obtenerse de manera real y efectiva en el marco del propio proceso de una manera indirecta a través de instrumentos o remedios alternativos al régimen de recursos”; pues, aunque “el párrafo primero del art. 454 </w:t>
      </w:r>
      <w:r w:rsidRPr="005728DD">
        <w:rPr>
          <w:i/>
        </w:rPr>
        <w:t>bis</w:t>
      </w:r>
      <w:r>
        <w:t>.1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 tal posibilidad no satisface en todos los casos la garantía de control judicial impuesta por el derecho a la tutela judicial efectiva”.</w:t>
      </w:r>
    </w:p>
    <w:p w:rsidR="005728DD" w:rsidRDefault="005728DD" w:rsidP="005728DD">
      <w:pPr>
        <w:pStyle w:val="TextoNormal"/>
      </w:pPr>
    </w:p>
    <w:p w:rsidR="005728DD" w:rsidRDefault="005728DD" w:rsidP="005728DD">
      <w:pPr>
        <w:pStyle w:val="TextoNormal"/>
      </w:pPr>
      <w:r>
        <w:t xml:space="preserve">La sentencia rememorada —y las posteriores SSTC 17/2020, de 10 de febrero, 33/2020, de 24 de febrero, 145/2020, de 19 de octubre, y 162/2020, de 16 de noviembre— tiene su origen en un proceso de ejecución civil, destacándose en su fundamento jurídico 4, que, en semejante marco procedimental, no está contemplada ni “la realización de comparecencias (audiencia) ante el titular del órgano judicial, excepto en el incidente de oposición a la ejecución (arts. 560 y 695 LEC)”, que posibiliten “reproducir la cuestión […] en la primera audiencia ante el tribunal”; ni tampoco cabe su planteamiento por escrito ”antes de que se dicte la resolución definitiva para que se solvente en ella”, meramente, porque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w:t>
      </w:r>
      <w:r w:rsidRPr="005728DD">
        <w:rPr>
          <w:i/>
        </w:rPr>
        <w:t>ex lege</w:t>
      </w:r>
      <w:r>
        <w:t xml:space="preserve"> cuando se constata que se ha satisfecho completamente al acreedor (art. 570 LEC)”. De modo que tampoco era posible un control judicial indirecto, como prevé el precepto cuestionado.</w:t>
      </w:r>
    </w:p>
    <w:p w:rsidR="005728DD" w:rsidRDefault="005728DD" w:rsidP="005728DD">
      <w:pPr>
        <w:pStyle w:val="TextoNormal"/>
      </w:pPr>
    </w:p>
    <w:p w:rsidR="005728DD" w:rsidRDefault="005728DD" w:rsidP="005728DD">
      <w:pPr>
        <w:pStyle w:val="TextoNormal"/>
      </w:pPr>
      <w:r>
        <w:t xml:space="preserve">La STC 15/2020 concluye señalando en su fundamento jurídico 3 que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5728DD">
        <w:rPr>
          <w:i/>
        </w:rPr>
        <w:t>bis</w:t>
      </w:r>
      <w:r>
        <w:t xml:space="preserve"> LEC”.</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al caso: vulneración del derecho a la tutela judicial efectiva (art. 24.1 CE</w:t>
      </w:r>
      <w:r>
        <w:t>).</w:t>
      </w:r>
    </w:p>
    <w:p w:rsidR="005728DD" w:rsidRDefault="005728DD" w:rsidP="005728DD">
      <w:pPr>
        <w:pStyle w:val="TextoNormal"/>
      </w:pPr>
    </w:p>
    <w:p w:rsidR="005728DD" w:rsidRDefault="005728DD" w:rsidP="005728DD">
      <w:pPr>
        <w:pStyle w:val="TextoNormal"/>
      </w:pPr>
      <w:r>
        <w:t>Los mismos razonamientos que han determinado la nulidad del párrafo primero del art. 454.</w:t>
      </w:r>
      <w:r w:rsidRPr="005728DD">
        <w:rPr>
          <w:i/>
        </w:rPr>
        <w:t>bis</w:t>
      </w:r>
      <w:r>
        <w:t>.1 LEC efectuada por la STC 15/2020 son los que deben conducir a la estimación del presente recurso de amparo por vulneración del derecho a la tutela judicial efectiva de la recurrente.</w:t>
      </w:r>
    </w:p>
    <w:p w:rsidR="005728DD" w:rsidRDefault="005728DD" w:rsidP="005728DD">
      <w:pPr>
        <w:pStyle w:val="TextoNormal"/>
      </w:pPr>
    </w:p>
    <w:p w:rsidR="005728DD" w:rsidRDefault="005728DD" w:rsidP="005728DD">
      <w:pPr>
        <w:pStyle w:val="TextoNormal"/>
      </w:pPr>
      <w:r>
        <w:t xml:space="preserve">La recurrente en amparo, de acuerdo con lo indicado en el pie de recurso del decreto por el que se desestimó el recurso de reposición que trascribió el contenido del párrafo primero del art. 454 </w:t>
      </w:r>
      <w:r w:rsidRPr="005728DD">
        <w:rPr>
          <w:i/>
        </w:rPr>
        <w:t>bis</w:t>
      </w:r>
      <w:r>
        <w:t xml:space="preserve"> LEC —“[c]ontra este decreto no cabe recurso alguno, sin perjuicio de reproducir la cuestión necesariamente en la primera audiencia ante el tribunal tras la toma de la </w:t>
      </w:r>
      <w:r>
        <w:lastRenderedPageBreak/>
        <w:t xml:space="preserve">decisión y si no fuera posible por el estado de los autos, se podrá solicitar mediante escrito antes de que se dicte la resolución definitiva para que se solvente en ella (art. 454 </w:t>
      </w:r>
      <w:r w:rsidRPr="005728DD">
        <w:rPr>
          <w:i/>
        </w:rPr>
        <w:t>bis</w:t>
      </w:r>
      <w:r>
        <w:t xml:space="preserve"> LEC)”—, solicitó por escrito de 24 de enero de 2019 que el juez resolviera la controversia sobre la suficiencia de su consignación. Esta pretensión le fue denegada por una diligencia de ordenación de la letrada de la administración de justicia de 25 de enero de 2019 que se limita a decir que se “una el escrito a las actuaciones sin efecto alguno” porque el decreto de 14 de diciembre de 2018 que desestimó el recurso de reposición es firme.</w:t>
      </w:r>
    </w:p>
    <w:p w:rsidR="005728DD" w:rsidRDefault="005728DD" w:rsidP="005728DD">
      <w:pPr>
        <w:pStyle w:val="TextoNormal"/>
      </w:pPr>
    </w:p>
    <w:p w:rsidR="005728DD" w:rsidRDefault="005728DD" w:rsidP="005728DD">
      <w:pPr>
        <w:pStyle w:val="TextoNormal"/>
      </w:pPr>
      <w:r>
        <w:t>La recurrente se limitó a la petición de audiencia en lugar de acudir a la figura del recurso, pero, como señala el Ministerio Fiscal, ello no desvirtúa la esencia de petición de pronunciamiento judicial. Nos encontramos ante una decisión del letrado de la administración de justicia que concierne a cuestiones relevantes en el marco del proceso, pues de ella despendía la resolución del pleito, y que, sin embargo, quedaron excluidas de respuesta del titular de la potestad jurisdiccional.</w:t>
      </w:r>
    </w:p>
    <w:p w:rsidR="005728DD" w:rsidRDefault="005728DD" w:rsidP="005728DD">
      <w:pPr>
        <w:pStyle w:val="TextoNormal"/>
      </w:pPr>
    </w:p>
    <w:p w:rsidR="005728DD" w:rsidRDefault="005728DD" w:rsidP="005728DD">
      <w:pPr>
        <w:pStyle w:val="TextoNormal"/>
      </w:pPr>
      <w:r>
        <w:t>En consecuencia, de acuerdo con la doctrina expuesta, procede estimar la queja de la recurrente, fundada en la vulneración de su derecho a la tutela judicial efectiva, y conceder el amparo solicitado, con declaración de nulidad de la diligencia impugnada. Como efectos derivados de la estimación de la demanda, procede acordar la nulidad del pie de recurso del decreto de la letrada de la administración de justicia de 14 de diciembre de 2018 y retrotraer las actuaciones para que el órgano judicial le confiera la posibilidad de interponer recurso de revisión frente al referido decreto, de acuerdo con lo establecido en la STC 15/2020, FJ 3.</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María Pilar Ruiz Lorente y, en consecuencia:</w:t>
      </w:r>
    </w:p>
    <w:p w:rsidR="005728DD" w:rsidRDefault="005728DD" w:rsidP="005728DD">
      <w:pPr>
        <w:pStyle w:val="TextoNormal"/>
      </w:pPr>
    </w:p>
    <w:p w:rsidR="005728DD" w:rsidRDefault="005728DD" w:rsidP="005728DD">
      <w:pPr>
        <w:pStyle w:val="TextoNormal"/>
      </w:pPr>
      <w:r>
        <w:t>1º Declarar que ha sido vulnerado el derecho fundamental de la actora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a tal fin, declarar la nulidad del pie de recurso del decreto de 14 de diciembre de 2018 y de la diligencia de ordenación de 25 de enero de 2019, dictados por la letrada de la administración de justicia del Juzgado de Primera Instancia e Instrucción núm. 2 de Tafalla en el procedimiento de ejecución de títulos judiciales núm. 108-2018.</w:t>
      </w:r>
    </w:p>
    <w:p w:rsidR="005728DD" w:rsidRDefault="005728DD" w:rsidP="005728DD">
      <w:pPr>
        <w:pStyle w:val="TextoNormal"/>
      </w:pPr>
    </w:p>
    <w:p w:rsidR="005728DD" w:rsidRDefault="005728DD" w:rsidP="005728DD">
      <w:pPr>
        <w:pStyle w:val="TextoNormal"/>
      </w:pPr>
      <w:r>
        <w:t>3º Retrotraer las actuaciones al momento inmediatamente posterior al dictado del decreto de 14 de diciembre de 2018, para que el Juzgado de Primera Instancia e Instrucción núm. 2 de Tafalla provea a la reparación del derecho fundamental vulnerado, en los términos que se especifican en el último párrafo del fundamento jurídico 3 de esta sentencia.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8" w:name="SENTENCIA_2021_55"/>
      <w:r>
        <w:lastRenderedPageBreak/>
        <w:t>SENTENCIA 55/2021, de 15 de marzo de 2021</w:t>
      </w:r>
    </w:p>
    <w:bookmarkEnd w:id="58"/>
    <w:p w:rsidR="005728DD" w:rsidRDefault="005728DD" w:rsidP="005728DD">
      <w:pPr>
        <w:pStyle w:val="TtuloResolucin"/>
      </w:pPr>
      <w:r>
        <w:t>Sala Segunda</w:t>
      </w:r>
    </w:p>
    <w:p w:rsidR="005728DD" w:rsidRDefault="005728DD" w:rsidP="005728DD">
      <w:pPr>
        <w:pStyle w:val="TtuloBOE"/>
      </w:pPr>
      <w:r>
        <w:t>(BOE núm. 97, de 23 de abril de 2021)</w:t>
      </w:r>
    </w:p>
    <w:p w:rsidR="005728DD" w:rsidRDefault="005728DD" w:rsidP="005728DD">
      <w:pPr>
        <w:pStyle w:val="TextoNormalCentrado"/>
      </w:pPr>
      <w:r>
        <w:t>ECLI:ES:TC:2021:55</w:t>
      </w:r>
    </w:p>
    <w:p w:rsidR="005728DD" w:rsidRDefault="005728DD" w:rsidP="005728DD">
      <w:pPr>
        <w:pStyle w:val="TextoNormalCentrado"/>
      </w:pPr>
    </w:p>
    <w:p w:rsidR="005728DD" w:rsidRDefault="005728DD" w:rsidP="005728DD">
      <w:pPr>
        <w:pStyle w:val="SntesisDescriptiva"/>
      </w:pPr>
      <w:r>
        <w:t>Recurso de amparo 2563-2019. Promovido por la entidad mercantil Izo Corporate, S.L., respecto de la sentencia de la Sala de lo Civil y Penal del Tribunal Superior de Justicia de Madrid anulatoria de laudo arbitral.</w:t>
      </w:r>
    </w:p>
    <w:p w:rsidR="005728DD" w:rsidRDefault="005728DD" w:rsidP="005728DD">
      <w:pPr>
        <w:pStyle w:val="SntesisDescriptiva"/>
      </w:pPr>
    </w:p>
    <w:p w:rsidR="005728DD" w:rsidRDefault="005728DD" w:rsidP="005728DD">
      <w:pPr>
        <w:pStyle w:val="SntesisAnaltica"/>
      </w:pPr>
      <w:r>
        <w:t>Vulneración del derecho a la tutela judicial efectiva (motivación): irrazonable negativa judicial a proceder al archivo del proceso de anulación del laudo, instado por las partes tras alcanzar un acuerdo extrajudicial (STC 46/2020).</w:t>
      </w:r>
    </w:p>
    <w:p w:rsidR="005728DD" w:rsidRDefault="005728DD" w:rsidP="005728DD">
      <w:pPr>
        <w:pStyle w:val="SntesisAnaltica"/>
      </w:pPr>
    </w:p>
    <w:p w:rsidR="005728DD" w:rsidRDefault="005728DD" w:rsidP="005728DD">
      <w:pPr>
        <w:pStyle w:val="Extracto"/>
      </w:pPr>
      <w:r>
        <w:t>1.</w:t>
      </w:r>
      <w:r>
        <w:tab/>
        <w:t>Fruto del poder de disposición de las partes -que consagra el principio dispositivo-, el proceso puede finalizar antes de dictarse sentencia a través de una resolución judicial que, sin entrar a resolver sobre el fondo del asunto, refleje la voluntad de las partes de ponerle fin, por no subsistir el interés legítimo que subyace en la pretensión de tutela [FJ 3].</w:t>
      </w:r>
    </w:p>
    <w:p w:rsidR="005728DD" w:rsidRDefault="005728DD" w:rsidP="005728DD">
      <w:pPr>
        <w:pStyle w:val="Extracto"/>
      </w:pPr>
    </w:p>
    <w:p w:rsidR="005728DD" w:rsidRDefault="005728DD" w:rsidP="005728DD">
      <w:pPr>
        <w:pStyle w:val="Extracto"/>
      </w:pPr>
      <w:r>
        <w:t>2.</w:t>
      </w:r>
      <w:r>
        <w:tab/>
        <w:t>Debe reputarse contrario al derecho a la tutela judicial efectiva de los recurrentes el razonamiento del órgano judicial que niega virtualidad a un acuerdo basado en el poder dispositivo de las partes sin que medie norma prohibitiva que así lo autorice, imponiendo una decisión que subvierte el sentido del proceso civil y niega los principios en que se basa, en concreto, el principio dispositivo o de justicia rogada (STC 46/2020) [FJ 3].</w:t>
      </w:r>
    </w:p>
    <w:p w:rsidR="005728DD" w:rsidRDefault="005728DD" w:rsidP="005728DD">
      <w:pPr>
        <w:pStyle w:val="Extracto"/>
      </w:pPr>
    </w:p>
    <w:p w:rsidR="005728DD" w:rsidRDefault="005728DD" w:rsidP="005728DD">
      <w:pPr>
        <w:pStyle w:val="Extracto"/>
      </w:pPr>
      <w:r>
        <w:t>3.</w:t>
      </w:r>
      <w:r>
        <w:tab/>
        <w:t>El pronunciamiento judicial sobre el desistimiento precede necesariamente al análisis de una posible vulneración del orden público, por lo que el órgano judicial no puede ampararse en su deber de velar por el orden público y por el interés general para rechazar una solicitud de archivo de la causa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2563-2019, promovido por la entidad mercantil Izo Corporate, S.L., contra el auto de 5 de marzo de 2019 y contra la sentencia de 13 de diciembre de 2018, ambos de la Sala de lo Civil y Penal del Tribunal Superior de Justicia de Madrid, </w:t>
      </w:r>
      <w:r>
        <w:lastRenderedPageBreak/>
        <w:t>recaídos en el procedimiento de anulación de laudo arbitral núm. 45-2018. Ha intervenido el Ministerio Fiscal.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con fecha de 23 de abril de 2019, la entidad Izo Corporate, S.L., representada por la procuradora de los tribunales doña María del Valle Gili Ruiz y asistida por la letrada doña Hannah de Bustos Lanza, interpuso demanda de amparo contra las resoluciones que se mencionan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y antecedentes procesales de los que trae causa la demanda de amparo son, en síntesis, los siguientes:</w:t>
      </w:r>
    </w:p>
    <w:p w:rsidR="005728DD" w:rsidRDefault="005728DD" w:rsidP="005728DD">
      <w:pPr>
        <w:pStyle w:val="TextoNormal"/>
      </w:pPr>
    </w:p>
    <w:p w:rsidR="005728DD" w:rsidRDefault="005728DD" w:rsidP="005728DD">
      <w:pPr>
        <w:pStyle w:val="TextoNormal"/>
      </w:pPr>
      <w:r>
        <w:t>a) La demandante de amparo Izo Corporate, S.L., con sede en Madrid y la sociedad Socialtech, S.R.L., con sede en Buenos Aires, celebraron con fecha de 12 de diciembre de 2013, un contrato de franquicia, en cuya virtud se autorizaba a la franquiciada a utilizar en exclusiva, en Argentina y Uruguay, el sistema “Izo”. Debido al incumplimiento en el abono de determinadas cantidades, la mercantil Izo Corporate, S.L., resolvió el contrato, a lo que dio su conformidad Socialtech, S.R.L.</w:t>
      </w:r>
    </w:p>
    <w:p w:rsidR="005728DD" w:rsidRDefault="005728DD" w:rsidP="005728DD">
      <w:pPr>
        <w:pStyle w:val="TextoNormal"/>
      </w:pPr>
    </w:p>
    <w:p w:rsidR="005728DD" w:rsidRDefault="005728DD" w:rsidP="005728DD">
      <w:pPr>
        <w:pStyle w:val="TextoNormal"/>
      </w:pPr>
      <w:r>
        <w:t>b) Con base en la cláusula arbitral pactada en el contrato, que sometía sus discrepancias a arbitraje de la Cámara de Comercio Internacional, en la ciudad de Madrid y con sometimiento a la legislación española, la demandante de amparo Izo Corporate, S.L., planteó demanda, reclamando determinadas cantidades de dinero, por entender que la sociedad demandada Socialtech, S.R.L., había continuado ejecutando la misma actividad, bajo otro nombre comercial, vulnerando de esta manera la cláusula de no competencia post-contractual acordada entre ambas. Por su parte, la demandada solicitó en su contestación, la nulidad del contrato por falta de objeto y error en el consentimiento.</w:t>
      </w:r>
    </w:p>
    <w:p w:rsidR="005728DD" w:rsidRDefault="005728DD" w:rsidP="005728DD">
      <w:pPr>
        <w:pStyle w:val="TextoNormal"/>
      </w:pPr>
    </w:p>
    <w:p w:rsidR="005728DD" w:rsidRDefault="005728DD" w:rsidP="005728DD">
      <w:pPr>
        <w:pStyle w:val="TextoNormal"/>
      </w:pPr>
      <w:r>
        <w:t>c) Con fecha 14 de abril de 2018, el árbitro único, designado por la Cámara de Comercio Internacional, tras practicar la prueba propuesta y admitida, dictó, al amparo de la corte de arbitraje de la Cámara de Comercio Internacional, un laudo por el que condenaba a la mercantil argentina Socialtech, S.R.L., a abonar a la parte demandante la cantidad de 98 969,53 €, en concepto de pago de facturas impagadas y otros 120 000 €, en concepto de pago de la penalidad por violación del pacto de no competencia post-contractual. Añadía a la condena anterior, la totalidad de los gastos administrativos del arbitraje y honorarios del árbitro único, así como el pago de las costas legales y honorarios por importe de 20 000 € y otros conceptos.</w:t>
      </w:r>
    </w:p>
    <w:p w:rsidR="005728DD" w:rsidRDefault="005728DD" w:rsidP="005728DD">
      <w:pPr>
        <w:pStyle w:val="TextoNormal"/>
      </w:pPr>
    </w:p>
    <w:p w:rsidR="005728DD" w:rsidRDefault="005728DD" w:rsidP="005728DD">
      <w:pPr>
        <w:pStyle w:val="TextoNormal"/>
      </w:pPr>
      <w:r>
        <w:t xml:space="preserve">d) Frente a dicho laudo, la mercantil condenada interpuso demanda de anulación parcial del laudo. Pretendía la anulación de la decisión XI que condenaba a Socialtech, S.R.L., a pagar a la demandante de amparo la penalidad por la violación del pacto de no competencia post-contractual (decisión VI del laudo). Fundaba la impugnación en la contravención del orden público </w:t>
      </w:r>
      <w:r w:rsidRPr="005728DD">
        <w:rPr>
          <w:i/>
        </w:rPr>
        <w:t>ex</w:t>
      </w:r>
      <w:r>
        <w:t xml:space="preserve"> art. 41.2 de la Ley de arbitraje (en adelante, LA) y, más concretamente, en la infracción de normas imperativas; en particular, de las normas europeas sobre el Derecho de la competencia.</w:t>
      </w:r>
    </w:p>
    <w:p w:rsidR="005728DD" w:rsidRDefault="005728DD" w:rsidP="005728DD">
      <w:pPr>
        <w:pStyle w:val="TextoNormal"/>
      </w:pPr>
    </w:p>
    <w:p w:rsidR="005728DD" w:rsidRDefault="005728DD" w:rsidP="005728DD">
      <w:pPr>
        <w:pStyle w:val="TextoNormal"/>
      </w:pPr>
      <w:r>
        <w:t>e) La demandante de amparo Izo Corporate, S.L., se opuso a la demanda, circunscribiendo su defensa frente a los puntos objeto de reproche y de anulación del laudo.</w:t>
      </w:r>
    </w:p>
    <w:p w:rsidR="005728DD" w:rsidRDefault="005728DD" w:rsidP="005728DD">
      <w:pPr>
        <w:pStyle w:val="TextoNormal"/>
      </w:pPr>
    </w:p>
    <w:p w:rsidR="005728DD" w:rsidRDefault="005728DD" w:rsidP="005728DD">
      <w:pPr>
        <w:pStyle w:val="TextoNormal"/>
      </w:pPr>
      <w:r>
        <w:t>f) Una vez efectuado el señalamiento para deliberación y fallo del tribunal, pero antes de dictarse sentencia, las partes de común acuerdo presentaron un escrito conjunto por el que Socialtech, S.R.L., hacía constar su desistimiento del procedimiento al que Izo Corporate, S.L., prestaba su conformidad, interesando que no se diera condena en costas.</w:t>
      </w:r>
    </w:p>
    <w:p w:rsidR="005728DD" w:rsidRDefault="005728DD" w:rsidP="005728DD">
      <w:pPr>
        <w:pStyle w:val="TextoNormal"/>
      </w:pPr>
    </w:p>
    <w:p w:rsidR="005728DD" w:rsidRDefault="005728DD" w:rsidP="005728DD">
      <w:pPr>
        <w:pStyle w:val="TextoNormal"/>
      </w:pPr>
      <w:r>
        <w:t>g) Con fecha de 13 de diciembre de 2018, la Sala de lo Civil y Penal del Tribunal Superior de Justicia de Madrid dictó sentencia, por la que: (i) se denegó la solicitud de sobreseimiento del proceso; (ii) se estima la demanda de anulación planteada por Socialtech, S.R.L., contra el laudo; (iii) se condena en costas a la demandante de amparo; (iv) se condena a la demandante de amparo a abonar las costas del arbitraje, aunque este punto no había sido solicitado por la actora, ni combatido durante el procedimiento de anulación.</w:t>
      </w:r>
    </w:p>
    <w:p w:rsidR="005728DD" w:rsidRDefault="005728DD" w:rsidP="005728DD">
      <w:pPr>
        <w:pStyle w:val="TextoNormal"/>
      </w:pPr>
    </w:p>
    <w:p w:rsidR="005728DD" w:rsidRDefault="005728DD" w:rsidP="005728DD">
      <w:pPr>
        <w:pStyle w:val="TextoNormal"/>
      </w:pPr>
      <w:r>
        <w:t xml:space="preserve">A los efectos de la resolución del presente recurso de amparo, conviene destacar que, respecto de la solicitud de archivo que realizaron ambas partes de consuno, el órgano judicial afirma con rotundidad que el poder de disposición de las partes sobre el objeto del proceso “se supedita —obvio es decirlo— a que el objeto del juicio, la </w:t>
      </w:r>
      <w:r w:rsidRPr="005728DD">
        <w:rPr>
          <w:i/>
        </w:rPr>
        <w:t>res in iudicio deducta</w:t>
      </w:r>
      <w:r>
        <w:t xml:space="preserve"> sea disponible, de forma que la actuación de la voluntad de las partes para poner fin al proceso no contravenga una prohibición o limitación legal por razones de interés general o en beneficio de tercero (art. 19.1 LEC)”.</w:t>
      </w:r>
    </w:p>
    <w:p w:rsidR="005728DD" w:rsidRDefault="005728DD" w:rsidP="005728DD">
      <w:pPr>
        <w:pStyle w:val="TextoNormal"/>
      </w:pPr>
    </w:p>
    <w:p w:rsidR="005728DD" w:rsidRDefault="005728DD" w:rsidP="005728DD">
      <w:pPr>
        <w:pStyle w:val="TextoNormal"/>
      </w:pPr>
      <w:r>
        <w:t>Más adelante reprocha a las partes que hayan olvidado que “la acción de anulación del laudo no subviene sólo a la satisfacción de sus intereses: la nulidad o la validez de un laudo, una vez suscitada ante el tribunal competente, no es materia disponible: la Sala ya ha establecido con reiteración que no cabe ni el allanamiento, ni la transacción sobre la validez de un laudo […] Qué duda cabe de que existe un interés general, expresado de manera inequívoca por la ley en defensa de la institución misma del arbitraje, en que la sola voluntad de las partes —su libre poder de disposición— no pueda dar lugar a la anulación del laudo […] Postulado que se representa tanto más evidente cuando se repara en la naturaleza que ostenta el laudo, esto es, en su condición de ‘equivalente jurisdiccional’ (reiterada, una vez más, por el Tribunal Constitucional en su reciente STC 1/2018, de 11 de enero): cabalmente, no cabe defender la eliminación del ordenamiento jurídico —por revisión o por declaración de nulidad— de una sentencia firme porque las partes así lo quieran o lo decidan, al margen de las taxativas previsiones de la ley al respecto […] Pues lo mismo se ha de mantener sobre la imposibilidad de convención de las partes en lo que concierne a la nulidad de un laudo […] Como tampoco es declinable —aun cuando medie renuncia o desistimiento— por el tribunal que está conociendo de la acción de anulación su deber de pronunciarse acerca de la validez o la nulidad del laudo cuando así le viene impuesto, en defensa del interés general, por prescripción expresa de la ley para salvaguardar el orden público, el respeto a los límites legal e infranqueablemente impuestos al arbitraje y el derecho de defensa de los litigantes (art. 41.2 LA)”.</w:t>
      </w:r>
    </w:p>
    <w:p w:rsidR="005728DD" w:rsidRDefault="005728DD" w:rsidP="005728DD">
      <w:pPr>
        <w:pStyle w:val="TextoNormal"/>
      </w:pPr>
    </w:p>
    <w:p w:rsidR="005728DD" w:rsidRDefault="005728DD" w:rsidP="005728DD">
      <w:pPr>
        <w:pStyle w:val="TextoNormal"/>
      </w:pPr>
      <w:r>
        <w:t xml:space="preserve">Prosigue la Sala el desarrollo de su argumento contrario al archivo de la causa, insistiendo en que “no es aceptable la pretensión de poner fin a un proceso de anulación de laudo en el que es objeto de enjuiciamiento, tras la correspondiente alegación y prueba, un motivo </w:t>
      </w:r>
      <w:r>
        <w:lastRenderedPageBreak/>
        <w:t xml:space="preserve">de anulación que, por razones de interés general, haya de ser examinado de oficio por este tribunal, cuyo análisis, en tales circunstancias, no puede quedar a lo que resulte del poder de disposición, de los pactos de los litigantes, so pena de vaciar de contenido, </w:t>
      </w:r>
      <w:r w:rsidRPr="005728DD">
        <w:rPr>
          <w:i/>
        </w:rPr>
        <w:t>contra legem</w:t>
      </w:r>
      <w:r>
        <w:t>, lo dispuesto en el art. 41.2 LA —que, por cierto, constituye una de las principales novedades de la vigente Ley de arbitraje, por contraste con la de 1988, y es expresión de la armonización de nuestro Derecho con la normativa UNCITRAL. En otros términos: una vez que se incoa un proceso de anulación de laudo arbitral, no se puede disponer por las partes de la acción de anulación, sustrayendo al tribunal el ejercicio de una competencia indeclinable: verificar si concurre o no la lesión de intereses tan generales que la ley no faculta, sino que impone al tribunal el deber de salvaguardarlos de oficio. No entenderlo así, insistimos, sería tanto como vaciar de contenido la prescripción terminante del art. 41.2 LA, que no es dable dejar al albur de la voluntad de las partes”.</w:t>
      </w:r>
    </w:p>
    <w:p w:rsidR="005728DD" w:rsidRDefault="005728DD" w:rsidP="005728DD">
      <w:pPr>
        <w:pStyle w:val="TextoNormal"/>
      </w:pPr>
    </w:p>
    <w:p w:rsidR="005728DD" w:rsidRDefault="005728DD" w:rsidP="005728DD">
      <w:pPr>
        <w:pStyle w:val="TextoNormal"/>
      </w:pPr>
      <w:r>
        <w:t xml:space="preserve">Por los motivos expuestos concluye que “no vale decir que las partes ya no tienen interés en que se resuelva acerca de la validez o de la nulidad del laudo: hay un interés público prevalente en que se analice y, en su caso, se depure la permanencia en el ordenamiento de un laudo potencialmente lesivo de derechos fundamentales: en tales situaciones, tratándose de laudos, el poder de disposición de las partes no prevalece sobre el interés público asociado a la resolución de la demanda de anulación que la propia Ley de arbitraje impone al tribunal […] La Sala no duda de que los litigantes, en un momento dado, pueden “perder interés” en la prosecución del proceso por llegar a un acuerdo económico —que es lo que probablemente ha sucedido, y al que nada hay que objetar en el plano </w:t>
      </w:r>
      <w:r w:rsidRPr="005728DD">
        <w:rPr>
          <w:i/>
        </w:rPr>
        <w:t>inter privatos</w:t>
      </w:r>
      <w:r>
        <w:t xml:space="preserve">—; lo que la Sala ha afirmado y afirma es que existe un interés general prevalente que hace que esos acuerdos no puedan ser utilizados —sin perjuicio de la eficacia que puedan tener </w:t>
      </w:r>
      <w:r w:rsidRPr="005728DD">
        <w:rPr>
          <w:i/>
        </w:rPr>
        <w:t>inter partes</w:t>
      </w:r>
      <w:r>
        <w:t xml:space="preserve">— como cobertura fraudulenta —en fraude de ley— para evitar que un tribunal cumpla con el deber indeclinable que le asiste, </w:t>
      </w:r>
      <w:r w:rsidRPr="005728DD">
        <w:rPr>
          <w:i/>
        </w:rPr>
        <w:t>ope legis</w:t>
      </w:r>
      <w:r>
        <w:t xml:space="preserve">, de pronunciarse sobre si el objeto indisponible que ante él se ha sometido —en nuestro caso, la parcial nulidad de un laudo por lesión de derechos fundamentales, principios constitucionales y normas </w:t>
      </w:r>
      <w:r w:rsidRPr="005728DD">
        <w:rPr>
          <w:i/>
        </w:rPr>
        <w:t>de ius cogens</w:t>
      </w:r>
      <w:r>
        <w:t>—, debe entenderse existente, o no […] Y no vale decir al respecto, sin subvertir la realidad de las cosas, que lo único que se debate aquí es la validez de un pacto de no competencia post-contractual, lo cual sería ajeno a toda idea de interés general: amén de que esto no es cierto porque, como veremos, las reglas de defensa de la libre competencia preservan intereses generales de primera importancia —con incidencia directa en los derechos de los consumidores—, lo que se ha debatido en la causa, aquello sobre lo que se ha alegado y practicado abundante prueba, es si, con ocasión del contrato de franquicia litigioso, se ha llevado adelante un arbitraje que culmina con un laudo lesivo de los arts. 24.1 y 9.3 CE, y del Derecho de la Unión sobre defensa de la competencia: decir que tales cuestiones no afectan al orden público o, más ampliamente, al interés general en que el arbitraje se desarrolle con las debidas garantías —como “equivalente jurisdiccional” que es—, por el hecho de que se hayan sometido a la consideración de la Sala al hilo de un contrato sobre materia disponible sería tanto, lisa y llanamente, como dar por buena una patente “petición de principio”: por definición, la controversia que se somete a arbitraje ha de versar sobre materias de libre disposición —art. 2.1 LA—, pero esto no significa, con toda evidencia, que lo que suceda en el procedimiento arbitral sea igualmente disponible siempre y en todo caso: un postulado semejante contraviene frontal, clara e inequívocamente la dicción terminante de los arts. 41.1 f) y 41.2 LA, y de los correlativos preceptos de la Ley modelo de la Comisión de las Naciones Unidas para el Derecho Mercantil Internacional (UNCITRAL) y del Con</w:t>
      </w:r>
      <w:r>
        <w:lastRenderedPageBreak/>
        <w:t>venio de Nueva York de 1958, por citar solo dos ejemplos paradigmáticos de normas internacionales. Por lo demás, el desistimiento que aquí se pretende ha de ser analizado —y tal es el tratamiento procesal que la Sala le viene dando— desde la perspectiva del art. 20 Ley de enjuiciamiento civil (LEC), y no del art. 450 LEC, pues la acción de anulación —</w:t>
      </w:r>
      <w:r w:rsidRPr="005728DD">
        <w:rPr>
          <w:i/>
        </w:rPr>
        <w:t>nemine discrepante</w:t>
      </w:r>
      <w:r>
        <w:t xml:space="preserve">— no es un genuino recurso. Un intento de desistimiento, conclusos los autos para sentencia, aun cuando en puridad ni siquiera es temporalmente posible una vez se haya iniciado la deliberación, ha de ser analizado a la luz de las precedentes reflexiones: aquí, dado el plazo de caducidad de la acción, el desistimiento no afecta solo al proceso —art. 20 LEC—, de modo que el actor pueda promover nuevo juicio sobre el mismo objeto; el desistimiento —como ya dijimos en nuestra Sentencia 14/2017— afecta directamente y con carácter definitivo al enjuiciamiento del </w:t>
      </w:r>
      <w:r w:rsidRPr="005728DD">
        <w:rPr>
          <w:i/>
        </w:rPr>
        <w:t>thema decidendi</w:t>
      </w:r>
      <w:r>
        <w:t>, como si de una renuncia a la acción se tratase, de suerte que, atendiendo a la realidad de las cosas —y no a su mera denominación— es inconcuso que ha de recaer —dicho “desistimiento”— sobre un objeto disponible —art. 19.1 LEC—, lo que, como hemos visto, no es el caso”.</w:t>
      </w:r>
    </w:p>
    <w:p w:rsidR="005728DD" w:rsidRDefault="005728DD" w:rsidP="005728DD">
      <w:pPr>
        <w:pStyle w:val="TextoNormal"/>
      </w:pPr>
    </w:p>
    <w:p w:rsidR="005728DD" w:rsidRDefault="005728DD" w:rsidP="005728DD">
      <w:pPr>
        <w:pStyle w:val="TextoNormal"/>
      </w:pPr>
      <w:r>
        <w:t xml:space="preserve">Igualmente hemos de destacar el razonamiento seguido por la Sala, al examinar el fondo de la cuestión debatida, y alcanzar la conclusión de que el laudo impugnado incurrió en una violación del orden público del art. 41.2 LA, por motivación arbitraria. Así, declara: “Por supuesto, esta Sala no prejuzga la validez o la nulidad de la cláusula de no competencia post-contractual en el contrato de franquicia suscrito por las partes el 12 de diciembre de 2013: lo que decimos es que la determinación de tal extremo no ha sido analizada ni motivada por el árbitro, de un modo patente, con arreglo a los parámetros de enjuiciamiento legalmente exigibles, de modo que, atendiendo a las reglas de carga de la prueba, pudiese verificar si ese pacto, </w:t>
      </w:r>
      <w:r w:rsidRPr="005728DD">
        <w:rPr>
          <w:i/>
        </w:rPr>
        <w:t>prima facie</w:t>
      </w:r>
      <w:r>
        <w:t xml:space="preserve">, contrario a la libre competencia, había de reputarse, sin embargo, exonerado del alcance de la prohibición. Estamos, pues, ante un caso de motivación arbitraria o, incluso, meramente aparente, que se constituye en </w:t>
      </w:r>
      <w:r w:rsidRPr="005728DD">
        <w:rPr>
          <w:i/>
        </w:rPr>
        <w:t>ratio decidendi</w:t>
      </w:r>
      <w:r>
        <w:t xml:space="preserve"> de la decisión impugnada y, que por ello, lesiona el derecho a la tutela judicial efectiva de Socialtech, S.L.U., con la consiguiente infracción del orden público, que lleva a anular —sin perjuicio de lo que acto seguido se dirá—, el apartado tercero de la parte dispositiva del laudo (apartado XI.3)” (pág. 36 de la sentencia).</w:t>
      </w:r>
    </w:p>
    <w:p w:rsidR="005728DD" w:rsidRDefault="005728DD" w:rsidP="005728DD">
      <w:pPr>
        <w:pStyle w:val="TextoNormal"/>
      </w:pPr>
    </w:p>
    <w:p w:rsidR="005728DD" w:rsidRDefault="005728DD" w:rsidP="005728DD">
      <w:pPr>
        <w:pStyle w:val="TextoNormal"/>
      </w:pPr>
      <w:r>
        <w:t>Es de advertir que la sentencia contiene un voto particular del presidente de la Sala, en el que manifiesta su discrepancia respecto a la denegación de archivo de la causa, entendiendo que lo correcto habría sido sobreseer, sin imponer las costas a ninguna de las partes.</w:t>
      </w:r>
    </w:p>
    <w:p w:rsidR="005728DD" w:rsidRDefault="005728DD" w:rsidP="005728DD">
      <w:pPr>
        <w:pStyle w:val="TextoNormal"/>
      </w:pPr>
    </w:p>
    <w:p w:rsidR="005728DD" w:rsidRDefault="005728DD" w:rsidP="005728DD">
      <w:pPr>
        <w:pStyle w:val="TextoNormal"/>
      </w:pPr>
      <w:r>
        <w:t xml:space="preserve">h) Contra la sentencia se promovió incidente excepcional de nulidad de actuaciones, alegando la vulneración del derecho a la tutela judicial efectiva (art. 24.1 CE), causante de indefensión, en su vertiente de derecho a obtener una resolución judicial fundada en derecho, no incursa en irrazonabilidad y arbitrariedad. En el incidente de nulidad se denunció que sólo había dos lecturas de la sentencia para anular el laudo y ambas entrañaban una infracción del deber de congruencia y, en consecuencia, del derecho de defensa. Una opción era que la falta de motivación se tratase de una apreciación </w:t>
      </w:r>
      <w:r w:rsidRPr="005728DD">
        <w:rPr>
          <w:i/>
        </w:rPr>
        <w:t>ex novo</w:t>
      </w:r>
      <w:r>
        <w:t xml:space="preserve"> y de oficio, al amparo del art. 41.2 LA (sin dar audiencia, sin embargo, a las partes para pronunciarse, lesionando con ello su derecho de defensa). La otra posibilidad era que el tribunal entendiese que la valoración sobre la concurrencia de motivación del laudo en estos puntos objeto de debate estaba comprendida dentro del concepto de orden público, a pesar de que las partes hubieran circunscrito el debate a la vulneración del orden público exclusivamente en su vertiente de quiebra de normas imperativas, pero nunca por una falta de motivación del laudo, que no se </w:t>
      </w:r>
      <w:r>
        <w:lastRenderedPageBreak/>
        <w:t>puso en tela de juicio. Igualmente se alegaba la infracción del principio de igualdad ante la ley (art. 14 CE), puesto que, al contrario de lo acaecido en otras ocasiones, la Sala había considerado de oficio que el laudo era contrario al orden público, prescindiendo, por lo demás, del trámite de audiencia a las partes, con lo que se les privó de su derecho a realizar alegaciones.</w:t>
      </w:r>
    </w:p>
    <w:p w:rsidR="005728DD" w:rsidRDefault="005728DD" w:rsidP="005728DD">
      <w:pPr>
        <w:pStyle w:val="TextoNormal"/>
      </w:pPr>
    </w:p>
    <w:p w:rsidR="005728DD" w:rsidRDefault="005728DD" w:rsidP="005728DD">
      <w:pPr>
        <w:pStyle w:val="TextoNormal"/>
      </w:pPr>
      <w:r>
        <w:t>i) El incidente excepcional de nulidad de actuaciones se resolvió por auto desestimatorio de fecha de 5 de marzo de 2019, no apreciándose vulneración de derecho fundamental alguno. La Sala razona que es lo mismo denunciar que el laudo incurre en una vulneración de normas de la competencia (en concreto, porque el árbitro único no entendió aplicable la normativa europea y esto fue lo estrictamente denunciado por Socialtech, S.R.L.), que considerar que la inaplicación de dicha normativa supone la falta de motivación del laudo. Por otro lado, el auto entiende que no se ha incurrido en incongruencia, porque “la causa de anulación invocada fue la infracción del orden público, que es la apreciada por la Sala”, sin diferenciar entre las distintas violaciones subsumibles dentro del concepto de orden público y su vinculación con normas concretas.</w:t>
      </w:r>
    </w:p>
    <w:p w:rsidR="005728DD" w:rsidRDefault="005728DD" w:rsidP="005728DD">
      <w:pPr>
        <w:pStyle w:val="TextoNormal"/>
      </w:pPr>
    </w:p>
    <w:p w:rsidR="005728DD" w:rsidRDefault="005728DD" w:rsidP="005728DD">
      <w:pPr>
        <w:pStyle w:val="TextoNormal"/>
      </w:pPr>
      <w:r>
        <w:t>En el auto se declara: “La arbitraria motivación del laudo que la sentencia estima, sin quiebra alguna del ámbito objetivo del proceso de anulación suscitado por las partes ni la menor indefensión, da la razón a Socialtech, S.R.L., porque el árbitro ni siquiera analizó, como era su deber de acuerdo con el Derecho aplicable elegido por las partes y el sistema de fuentes a él correspondiente […]; razonamiento que hemos juzgado arbitrario por el conjunto de razones expuestas en el FJ 2.3 de la sentencia, puestas en conexión con los parámetros de enjuiciamiento previamente reseñados en ese mismo FJ 2” (página 5, FJ 2 del auto). Y más adelante, se afirma que: “En este contexto argumentativo, de yerro patente sobre el ámbito de aplicación del Derecho de la Unión y de radical falta de análisis de si el pacto de no competencia post-contractual aquí litigioso era inválido […]” (FJ 4 del auto).</w:t>
      </w:r>
    </w:p>
    <w:p w:rsidR="005728DD" w:rsidRDefault="005728DD" w:rsidP="005728DD">
      <w:pPr>
        <w:pStyle w:val="TextoNormal"/>
      </w:pPr>
    </w:p>
    <w:p w:rsidR="005728DD" w:rsidRDefault="005728DD" w:rsidP="005728DD">
      <w:pPr>
        <w:pStyle w:val="TextoNormal"/>
      </w:pPr>
      <w:r w:rsidRPr="005728DD">
        <w:rPr>
          <w:rStyle w:val="NumeroAFNegritaCaracter"/>
        </w:rPr>
        <w:t>3</w:t>
      </w:r>
      <w:r>
        <w:t>. La recurrente Izo Corporate, S.L., denuncia en su demanda de amparo la concurrencia de varias vulneraciones de derechos fundamentales, que imputa tanto al auto de 5 de marzo de 2019, que desestimó el incidente de nulidad promovido por la demandante de amparo, como la sentencia de 13 de diciembre de 2018, que anuló parcialmente el laudo emitido por la Cámara de Comercio Internacional, ambos de la Sala de lo Civil y Penal del Tribunal Superior de Justicia de Madrid. Los derechos fundamentales que se entienden vulnerados por las resoluciones impugnadas son los siguientes:</w:t>
      </w:r>
    </w:p>
    <w:p w:rsidR="005728DD" w:rsidRDefault="005728DD" w:rsidP="005728DD">
      <w:pPr>
        <w:pStyle w:val="TextoNormal"/>
      </w:pPr>
    </w:p>
    <w:p w:rsidR="005728DD" w:rsidRDefault="005728DD" w:rsidP="005728DD">
      <w:pPr>
        <w:pStyle w:val="TextoNormal"/>
      </w:pPr>
      <w:r>
        <w:t xml:space="preserve">(i) Vulneración del derecho del art. 24.1 CE, relativo a la tutela judicial efectiva en sus vertientes del derecho a una sentencia congruente, la prohibición de arbitrariedad e indefensión y la garantía del derecho de defensa. Para la demandante de amparo, con cita de nuestra STC 20/1982, de 5 de mayo, extender el principio </w:t>
      </w:r>
      <w:r w:rsidRPr="005728DD">
        <w:rPr>
          <w:i/>
        </w:rPr>
        <w:t>iura novit curia</w:t>
      </w:r>
      <w:r>
        <w:t xml:space="preserve"> hasta entender que cualquier causa subsumible en la noción de orden público puede ser reconocida como parte del objeto procesal, implica una desviación del debate procesal, constitutiva de una incongruencia incontestable, infractora de la más elemental contradicción y, por tanto, del derecho fundamental de defensa expresivo de la tutela judicial efectiva (art. 24.1 CE). Sostiene, por lo demás, que, en el ordenamiento jurídico español, la motivación del laudo no es una cuestión de orden público y que, en todo caso, el árbitro motivó la validez e incumplimiento del pacto </w:t>
      </w:r>
      <w:r>
        <w:lastRenderedPageBreak/>
        <w:t>de no competencia post-contractual (desde el párrafo 258 hasta el 287 del laudo), demostrando el órgano judicial en su sentencia tan solo que no comparte la interpretación acogida por el árbitro único.</w:t>
      </w:r>
    </w:p>
    <w:p w:rsidR="005728DD" w:rsidRDefault="005728DD" w:rsidP="005728DD">
      <w:pPr>
        <w:pStyle w:val="TextoNormal"/>
      </w:pPr>
    </w:p>
    <w:p w:rsidR="005728DD" w:rsidRDefault="005728DD" w:rsidP="005728DD">
      <w:pPr>
        <w:pStyle w:val="TextoNormal"/>
      </w:pPr>
      <w:r>
        <w:t>(ii) Vulneración del art.14 CE, relativo al derecho a la igualdad ante la ley, por no haber dado trámite de audiencia para que las partes se pronunciaran sobre la arbitraria motivación del laudo apreciada de oficio por la Sala.</w:t>
      </w:r>
    </w:p>
    <w:p w:rsidR="005728DD" w:rsidRDefault="005728DD" w:rsidP="005728DD">
      <w:pPr>
        <w:pStyle w:val="TextoNormal"/>
      </w:pPr>
    </w:p>
    <w:p w:rsidR="005728DD" w:rsidRDefault="005728DD" w:rsidP="005728DD">
      <w:pPr>
        <w:pStyle w:val="TextoNormal"/>
      </w:pPr>
      <w:r>
        <w:t>(iii) Vulneración del art. 24.1 CE, relativo a la tutela judicial efectiva, en sus vertientes de derecho a una sentencia congruente, de interdicción de la arbitrariedad y vulneración del fundamental derecho de igualdad ante la ley (art. 14 CE), por la falta de admisión del desistimiento y el archivo de la causa; algo, por lo demás, que la demandante de amparo entiende novedoso en la jurisprudencia arbitral española y que supone una modificación de la doctrina mantenida hasta el momento por el propio órgano judicial.</w:t>
      </w:r>
    </w:p>
    <w:p w:rsidR="005728DD" w:rsidRDefault="005728DD" w:rsidP="005728DD">
      <w:pPr>
        <w:pStyle w:val="TextoNormal"/>
      </w:pPr>
    </w:p>
    <w:p w:rsidR="005728DD" w:rsidRDefault="005728DD" w:rsidP="005728DD">
      <w:pPr>
        <w:pStyle w:val="TextoNormal"/>
      </w:pPr>
      <w:r>
        <w:t xml:space="preserve">(iv) Vulneración del derecho consagrado en el art. 24.1 CE, relativo a la tutela judicial efectiva, en sus vertientes relativas al derecho a una sentencia congruente y de interdicción de la arbitrariedad, por la anulación de los puntos 4 y 5 del apartado XI del laudo por incongruencia </w:t>
      </w:r>
      <w:r w:rsidRPr="005728DD">
        <w:rPr>
          <w:i/>
        </w:rPr>
        <w:t>extra petita</w:t>
      </w:r>
      <w:r>
        <w:t>, pues nunca se solicitó la nulidad del laudo en materia de costas del arbitraje y, sin embargo, el Tribunal Superior de Justicia de Madrid se pronunció al respecto.</w:t>
      </w:r>
    </w:p>
    <w:p w:rsidR="005728DD" w:rsidRDefault="005728DD" w:rsidP="005728DD">
      <w:pPr>
        <w:pStyle w:val="TextoNormal"/>
      </w:pPr>
    </w:p>
    <w:p w:rsidR="005728DD" w:rsidRDefault="005728DD" w:rsidP="005728DD">
      <w:pPr>
        <w:pStyle w:val="TextoNormal"/>
      </w:pPr>
      <w:r>
        <w:t>(v) Se denuncia, por último, que la sentencia y el auto impugnados vulneran el fundamental derecho a la tutela judicial efectiva, en su vertiente de interdicción de la arbitrariedad, por afirmar que las normas europeas de Derecho de la competencia son normativa imperativa infringida cuando, sin embargo, el ámbito de aplicación del compromiso cae, por pacto, fuera del mercado europeo (siendo este, por lo demás, un hecho pacífico en la disputa arbitral y en el laudo).</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29 de junio de 2020, la Sección Cuarta de este tribunal acordó la admisión a trámite del recurso de amparo, tras apreciar que en el mismo concurre una especial trascendencia constitucional [art. 50.1 de la Ley Orgánica del Tribunal Constitucional (LOTC)], porque plantea un problema o afecta a una faceta de un derecho fundamental sobre el que no hay doctrina de este tribunal [STC 155/2009, FJ 2 a)], así como porque trasciende del caso concreto y plantea una cuestión jurídica de relevante y general repercusión social o económica [STC 155/2009, FJ 2 g)]. De conformidad con lo dispuesto en el art. 51 LOTC, se acordó dirigir atenta comunicación a la Sala de lo Civil y Penal del Tribunal Superior de Justicia de Madrid para que, en un plazo no superior a diez días, remitiera certificación o copia adverada de las actuaciones correspondientes al procedimiento de nulidad de laudo arbitral núm. 45-2018 y procediera al emplazamiento de quienes hubieran sido parte en el proceso, excepto la parte recurrente en amparo, para que, en el plazo de diez días, pudieran comparecer en este proceso constitucional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29 de septiembre de 2020, se tienen por recibidos los testimonios de las actuaciones remitidos por la Sala de lo Civil y Penal del Tribunal Superior de Justicia de Madrid. Con arreglo al art. 52 LOTC, se concedió al Ministerio Fiscal y a la demandante de amparo Izo Corporate, S.L., el plazo común de veinte días para que, con vista de las actuaciones, formulase las alegaciones que tuviera por convenientes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Con fecha de 3 de noviembre de 2019, tuvo entrada en este tribunal el escrito de alegaciones de la mercantil Izo Corporate, S.L., en el que, ratificándose íntegramente en el recurso de amparo presentado, interesa la 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t>7</w:t>
      </w:r>
      <w:r>
        <w:t>. El 12 de noviembre de 2020, tuvo entrada en este tribunal el escrito de alegaciones del fiscal ante el Tribunal Constitucional. En él se interesa la estimación del recurso de amparo, imputando la vulneración del derecho a la tutela judicial efectiva (art. 24.1 CE) a la sentencia de fecha de 13 de diciembre de 2018 y al auto de fecha de 5 de mayo de 2019, dictados en el procedimiento de nulidad de laudo arbitral núm. 45-2018, seguido ante la Sala de lo Civil y Penal del Tribunal Superior de Justicia de Madrid, con nulidad de todo lo actuado posteriormente.</w:t>
      </w:r>
    </w:p>
    <w:p w:rsidR="005728DD" w:rsidRDefault="005728DD" w:rsidP="005728DD">
      <w:pPr>
        <w:pStyle w:val="TextoNormal"/>
      </w:pPr>
    </w:p>
    <w:p w:rsidR="005728DD" w:rsidRDefault="005728DD" w:rsidP="005728DD">
      <w:pPr>
        <w:pStyle w:val="TextoNormal"/>
      </w:pPr>
      <w:r>
        <w:t>El Ministerio Fiscal comienza sus alegaciones sistematizando las vulneraciones del derecho a la tutela judicial efectiva e igualdad, invocadas por la demandante de amparo, referidas, en primer lugar, a la necesidad de motivación de los laudos arbitrales y a la posibilidad de su control judicial como cuestión de orden público (</w:t>
      </w:r>
      <w:r w:rsidRPr="005728DD">
        <w:rPr>
          <w:i/>
        </w:rPr>
        <w:t>ex</w:t>
      </w:r>
      <w:r>
        <w:t xml:space="preserve"> art. 41 LA), subrayando que, siguiendo la doctrina de este tribunal, el criterio de análisis más racional es el de examinar primero aquella causa que suponga la mayor retroacción de efectos en el tiempo, pues anulado lo previo, ya no es necesario examinar lo posterior.</w:t>
      </w:r>
    </w:p>
    <w:p w:rsidR="005728DD" w:rsidRDefault="005728DD" w:rsidP="005728DD">
      <w:pPr>
        <w:pStyle w:val="TextoNormal"/>
      </w:pPr>
    </w:p>
    <w:p w:rsidR="005728DD" w:rsidRDefault="005728DD" w:rsidP="005728DD">
      <w:pPr>
        <w:pStyle w:val="TextoNormal"/>
      </w:pPr>
      <w:r>
        <w:t>Así, el fiscal entiende que el enjuiciamiento que debe realizarse en el presente recurso de amparo ha de concentrarse en el examen de la sentencia impugnada, pues el auto de desestimación del incidente excepcional de nulidad de actuaciones, al fin y al cabo, confirma en su totalidad aquel pronunciamiento. Por lo demás, en el análisis de la sentencia impugnada, a su juicio, la valoración debe concretarse, antes de nada, en la denegación de la petición de archivo de la causa formulada conjuntamente por ambas partes. Defiende que, haciéndolo de este modo, se producirá un efecto superior en cuanto a la fuerza anuladora de la sentencia de amparo, ya que si se concluye que la Sala de lo Civil y Penal del Tribunal Superior de Justicia de Madrid hubiera admitido esa petición, las otras decisiones que también se cuestionan, no habrían existido.</w:t>
      </w:r>
    </w:p>
    <w:p w:rsidR="005728DD" w:rsidRDefault="005728DD" w:rsidP="005728DD">
      <w:pPr>
        <w:pStyle w:val="TextoNormal"/>
      </w:pPr>
    </w:p>
    <w:p w:rsidR="005728DD" w:rsidRDefault="005728DD" w:rsidP="005728DD">
      <w:pPr>
        <w:pStyle w:val="TextoNormal"/>
      </w:pPr>
      <w:r>
        <w:t xml:space="preserve">Respecto a este primer motivo de amparo, el fiscal apoya el otorgamiento del amparo. Subraya cómo muy recientemente este tribunal, en la STC 46/2020, de 15 de junio, se ha pronunciado sobre un asunto similar, declarando que la decisión de no proceder al archivo de un procedimiento de anulación del laudo, cuando las partes de común acuerdo así lo solicitan “es, cuando menos, irrazonable y vulnera el derecho a la tutela judicial efectiva sin indefensión (art. 24.1 CE)” (FJ 4). Así, en esta resolución se explicó muy claramente que “la petición de archivo pretende poner de relieve la pérdida de interés en proseguir con el procedimiento de anulación, como consecuencia del acuerdo alcanzado; la conclusión de los autos recurridos es forzada dado que, en efecto, el objeto del arbitraje fue decidido ya en el laudo, pero lo que parece incontrovertible es que es la voluntad de evitar la ejecución del laudo y de obtener su revocación lo que justifica el procedimiento de anulación. En consecuencia, no se puede afirmar de manera tan categórica que las partes no puedan alcanzar un acuerdo posterior al laudo ni que, de dicho acuerdo, no se pueda entender que tanto demandante como demandada decaigan en su interés en seguir litigando. Mediante tal línea argumentativa se llega a negar el carácter subjetivo de los derechos que se ejercen en el proceso de anulación de laudos, otorgando a las partes tan solo el poder de desencadenar el proceso, pero sin poder hacer valer, a posteriori, los cambios sobrevenidos que afecten a su </w:t>
      </w:r>
      <w:r>
        <w:lastRenderedPageBreak/>
        <w:t>interés para obtener la sentencia. Por el contrario, ha de entenderse que ello entra dentro del terreno del poder de disposición de las partes en un proceso civil, como lo es el proceso de anulación del laudo arbitral, sin que exista norma legal prohibitiva a dicho respecto”.</w:t>
      </w:r>
    </w:p>
    <w:p w:rsidR="005728DD" w:rsidRDefault="005728DD" w:rsidP="005728DD">
      <w:pPr>
        <w:pStyle w:val="TextoNormal"/>
      </w:pPr>
    </w:p>
    <w:p w:rsidR="005728DD" w:rsidRDefault="005728DD" w:rsidP="005728DD">
      <w:pPr>
        <w:pStyle w:val="TextoNormal"/>
      </w:pPr>
      <w:r>
        <w:t xml:space="preserve">Sin embargo, en la sentencia ahora impugnada, la Sala de lo Civil y Penal del Tribunal Superior de Justicia de Madrid, a pesar de que esta doctrina nace precisamente de la impugnación en amparo de una de sus sentencias, de nuevo, deniega el archivo de la causa con la excusa de llevar a cabo el control judicial del orden público </w:t>
      </w:r>
      <w:r w:rsidRPr="005728DD">
        <w:rPr>
          <w:i/>
        </w:rPr>
        <w:t>ex</w:t>
      </w:r>
      <w:r>
        <w:t xml:space="preserve"> art. 41.2 LA. En tal sentido, explica el Ministerio Fiscal que si bien es cierto que la protección del orden público del art. 41.2 LA y la del interés general </w:t>
      </w:r>
      <w:r w:rsidRPr="005728DD">
        <w:rPr>
          <w:i/>
        </w:rPr>
        <w:t>ex</w:t>
      </w:r>
      <w:r>
        <w:t xml:space="preserve"> art. 22.1 LEC corresponde a los órganos judiciales, ello no significa que no exista la posibilidad de desistimiento de la acción por las partes. Sólo están prohibidos los acuerdos que perjudiquen a tercero, que versen sobre materias indisponibles o que afecten al interés general y, en este caso, “no hay una prohibición legal respecto al proceso de anulación de laudo, ni provoca ningún perjuicio a tercero, y no vemos el interés general que se ha visto garantizado al anular el laudo, anulación que sólo va a producir efectos respecto a las partes, o ni siquiera a ellas que ya han alcanzado una solución al margen del laudo y del arbitrio”.</w:t>
      </w:r>
    </w:p>
    <w:p w:rsidR="005728DD" w:rsidRDefault="005728DD" w:rsidP="005728DD">
      <w:pPr>
        <w:pStyle w:val="TextoNormal"/>
      </w:pPr>
    </w:p>
    <w:p w:rsidR="005728DD" w:rsidRDefault="005728DD" w:rsidP="005728DD">
      <w:pPr>
        <w:pStyle w:val="TextoNormal"/>
      </w:pPr>
      <w:r>
        <w:t xml:space="preserve">En segundo lugar, el fiscal se pronuncia sobre la alegada vulneración del derecho a la tutela judicial efectiva (art. 24.1 CE), en su vertiente de derecho a la motivación de las resoluciones judiciales, en tanto que la Sala de lo Civil y Penal del Tribunal Superior de Justicia de Madrid ha entrado a examinar la motivación del laudo, por entender que forma parte de su deber de control del orden público </w:t>
      </w:r>
      <w:r w:rsidRPr="005728DD">
        <w:rPr>
          <w:i/>
        </w:rPr>
        <w:t>ex</w:t>
      </w:r>
      <w:r>
        <w:t xml:space="preserve"> art. 41.2 LA. El juicio de la fiscalía sobre este punto es claro: la motivación de los laudos debe quedar extramuros de la revisión judicial, ya que lo contrario desvirtuaría la propia naturaleza de la institución arbitral, con el riesgo, ya advertido en la STC 46/2020, de 15 de junio, FJ 3, de ampliar indebidamente el concepto de orden público. A pesar de ello, el órgano judicial ha analizado en su sentencia los motivos del árbitro para descartar la aplicación de la normativa europea al supuesto planteado, entendiendo que debió aplicarla y cómo debió hacerlo. Ahora bien, en este punto, sin embargo, el fiscal no aprecia la lesión del derecho fundamental alegado, pues aunque puede verse lo que califica de “un cierto afán expansivo de la noción de orden público”, el argumento del órgano judicial, en realidad, tan sólo se dirige a justificar la incorrección de la decisión del árbitro de prescindir de las normas de </w:t>
      </w:r>
      <w:r w:rsidRPr="005728DD">
        <w:rPr>
          <w:i/>
        </w:rPr>
        <w:t>ius cogens</w:t>
      </w:r>
      <w:r>
        <w:t>, lo que no puede tacharse de irrazonable o arbitrario.</w:t>
      </w:r>
    </w:p>
    <w:p w:rsidR="005728DD" w:rsidRDefault="005728DD" w:rsidP="005728DD">
      <w:pPr>
        <w:pStyle w:val="TextoNormal"/>
      </w:pPr>
    </w:p>
    <w:p w:rsidR="005728DD" w:rsidRDefault="005728DD" w:rsidP="005728DD">
      <w:pPr>
        <w:pStyle w:val="TextoNormal"/>
      </w:pPr>
      <w:r>
        <w:t>Por lo que respecta a la denunciada vulneración del principio de igualdad ante la ley (art. 14.1 CE), consistente en haberse analizado de oficio la infracción del orden público (</w:t>
      </w:r>
      <w:r w:rsidRPr="005728DD">
        <w:rPr>
          <w:i/>
        </w:rPr>
        <w:t>ex</w:t>
      </w:r>
      <w:r>
        <w:t xml:space="preserve"> art. 41.2 LA), sin dar audiencia a las partes, el fiscal la rechaza abiertamente. Comparte, en este sentido, el razonamiento del órgano judicial expresado en el auto de 5 de marzo de 2019, que desestimó el incidente excepcional de nulidad de actuaciones, por cuanto fue la demandante quien introdujo el debate sobre la observancia por el laudo del orden público, al no haber aplicado las normas imperativas europeas y, por lo tanto, Izo Corporate, S.L., pudo defenderse de esta argumentación, como de hecho lo hizo, expresando las razones por las que entendía que no debían aplicarse.</w:t>
      </w:r>
    </w:p>
    <w:p w:rsidR="005728DD" w:rsidRDefault="005728DD" w:rsidP="005728DD">
      <w:pPr>
        <w:pStyle w:val="TextoNormal"/>
      </w:pPr>
    </w:p>
    <w:p w:rsidR="005728DD" w:rsidRDefault="005728DD" w:rsidP="005728DD">
      <w:pPr>
        <w:pStyle w:val="TextoNormal"/>
      </w:pPr>
      <w:r>
        <w:t xml:space="preserve">El siguiente motivo de amparo que analiza el Ministerio Fiscal es el referido a la vulneración del derecho a la tutela judicial efectiva (art. 24.1 CE), en su vertiente de incongruencia </w:t>
      </w:r>
      <w:r w:rsidRPr="005728DD">
        <w:rPr>
          <w:i/>
        </w:rPr>
        <w:t>extra petita</w:t>
      </w:r>
      <w:r>
        <w:t xml:space="preserve">, por haberse dejado sin efecto en la sentencia la condena al pago de los </w:t>
      </w:r>
      <w:r>
        <w:lastRenderedPageBreak/>
        <w:t>gastos y costas (puntos 4 y 5 del apartado XI del laudo), cuando tal petición no había sido solicitada en la demanda de anulación. Para el fiscal, este motivo no debe prosperar, pues lo discutido, tanto en sede arbitral como en sede judicial, no fue la condena a pagar las facturas debidas, sino la vigencia de la cláusula penal pactada por competencia desleal. Por consiguiente, a su juicio, es lógico que el reconocimiento que hace el árbitro de esta petición lleve aparejada tales consecuencias accesorias, como igualmente congruente es que la sentencia impugnada se pronuncie justamente en sentido contrario, declarando que dado que es improcedente el pago de la cláusula penal, también lo es la de los gastos y costas como obligaciones accesorias a la condena.</w:t>
      </w:r>
    </w:p>
    <w:p w:rsidR="005728DD" w:rsidRDefault="005728DD" w:rsidP="005728DD">
      <w:pPr>
        <w:pStyle w:val="TextoNormal"/>
      </w:pPr>
    </w:p>
    <w:p w:rsidR="005728DD" w:rsidRDefault="005728DD" w:rsidP="005728DD">
      <w:pPr>
        <w:pStyle w:val="TextoNormal"/>
      </w:pPr>
      <w:r>
        <w:t>Por último, para el fiscal, debe ser rechazada la denuncia sobre arbitrariedad e incongruencia (art. 24.1 CE), en las que habría incurrido el órgano judicial en su motivación sobre la aplicabilidad de las normas europeas sobre defensa de la competencia –que provocaría en el caso concreto que no fuera aplicable la cláusula de penalización-. A su juicio, la Sala no invadió la competencia exclusiva de las partes de fijar el objeto del pleito, sino que se limitó a desarrollar lo que el laudo había dejado sin resolver o –a entender de la Sala- lo había hecho de modo insuficiente y erróneo. En este extremo, en opinión del Ministerio Fiscal, la decisión del órgano judicial podrá ser o no compartida pero, desde un mero control externo que es el que deberá llevar a cabo este Tribunal, no puede tacharse de arbitraria.</w:t>
      </w:r>
    </w:p>
    <w:p w:rsidR="005728DD" w:rsidRDefault="005728DD" w:rsidP="005728DD">
      <w:pPr>
        <w:pStyle w:val="TextoNormal"/>
      </w:pPr>
    </w:p>
    <w:p w:rsidR="005728DD" w:rsidRDefault="005728DD" w:rsidP="005728DD">
      <w:pPr>
        <w:pStyle w:val="TextoNormal"/>
      </w:pPr>
      <w:r>
        <w:t>Por todos los motivos expuestos, el fiscal solicita que se proceda a otorgar el amparo, a declarar vulnerado el derecho a la tutela judicial efectiva de la mercantil demandante de amparo y a anular las resoluciones impugnadas con retroacción al momento anterior a dictarse.</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El recurso de amparo tiene por objeto la sentencia de fecha de 13 de diciembre de 2018, así como el auto de 5 de marzo de 2019, ambos de la Sala de lo Civil y Penal del Tribunal Superior de Justicia de Madrid, recaídos en el procedimiento de nulidad de laudo arbitral núm. 45-2018.</w:t>
      </w:r>
    </w:p>
    <w:p w:rsidR="005728DD" w:rsidRDefault="005728DD" w:rsidP="005728DD">
      <w:pPr>
        <w:pStyle w:val="TextoNormal"/>
      </w:pPr>
    </w:p>
    <w:p w:rsidR="005728DD" w:rsidRDefault="005728DD" w:rsidP="005728DD">
      <w:pPr>
        <w:pStyle w:val="TextoNormal"/>
      </w:pPr>
      <w:r>
        <w:t xml:space="preserve">Para la recurrente, la anulación del laudo arbitral por la arbitraria motivación del mismo que ha realizado el órgano judicial, vulneró su derecho a la tutela judicial efectiva (art. 24.1 CE), en su vertiente de derecho a una resolución motivada no incursa en irrazonabilidad o arbitrariedad. Así, sostiene que en el supuesto sometido a la consideración del órgano judicial, el art. 41.2 de la Ley 60/2003, de 23 de diciembre, de arbitraje (en adelante, LA) no incluye el control de la motivación del laudo arbitral y que la anulación del laudo por arbitraria motivación se ha producido, porque el órgano judicial ha impuesto a los laudos el canon de control de motivación que le es aplicable a las resoluciones judiciales, sosteniendo erróneamente que un laudo que no supere dicho canon es contrario al orden público. Insiste en que en el arbitraje no tiene asiento el deber de motivación propio de la tutela judicial </w:t>
      </w:r>
      <w:r>
        <w:lastRenderedPageBreak/>
        <w:t>efectiva (art. 24.1 CE), así como que la motivación del laudo no es cuestión de orden público, por lo que no puede anularse por insuficiente motivación. Igualmente se impugna el auto de fecha de 22 de mayo de 2018, que desestima el incidente excepcional de nulidad de actuaciones, al no haber reparado las lesiones denunciadas.</w:t>
      </w:r>
    </w:p>
    <w:p w:rsidR="005728DD" w:rsidRDefault="005728DD" w:rsidP="005728DD">
      <w:pPr>
        <w:pStyle w:val="TextoNormal"/>
      </w:pPr>
    </w:p>
    <w:p w:rsidR="005728DD" w:rsidRDefault="005728DD" w:rsidP="005728DD">
      <w:pPr>
        <w:pStyle w:val="TextoNormal"/>
      </w:pPr>
      <w:r>
        <w:t xml:space="preserve">A esta queja añade otras cuatro más que, resumidamente, son: (i) la vulneración del art.14 CE, relativo al derecho a la igualdad ante la ley, por no haber dado trámite de audiencia para que las partes se pronunciaran sobre la arbitraria motivación del laudo, apreciada de oficio por la Sala; (ii) la infracción del art. 24.1 CE, relativo a la tutela judicial efectiva, en sus vertientes de derecho a una sentencia congruente, de interdicción de la arbitrariedad y vulneración del fundamental derecho de igualdad ante la ley (art. 14 CE), por la falta de admisión del desistimiento y el archivo de la causa, algo, por lo demás, novedoso en la jurisprudencia arbitral española, que supone una modificación de la doctrina mantenida hasta el momento por el propio órgano judicial; (iii) la violación del derecho consagrado en el art. 24.1 CE, relativo a la tutela judicial efectiva, en sus vertientes relativas al derecho a una sentencia congruente y de interdicción de la arbitrariedad, por la anulación de los puntos 4 y 5 del apartado XI del laudo por estar fuera del objeto procesal (incongruencia </w:t>
      </w:r>
      <w:r w:rsidRPr="005728DD">
        <w:rPr>
          <w:i/>
        </w:rPr>
        <w:t>extra petita</w:t>
      </w:r>
      <w:r>
        <w:t>), pues nunca se solicitó la nulidad del laudo en materia de costas del arbitraje y el Tribunal Superior de Justicia de Madrid, sin embargo, se han pronunciado al respecto; y, (iv) por último, se denuncia que la sentencia y el auto impugnados vulneran el fundamental derecho a la tutela judicial efectiva, en su vertiente de interdicción de la arbitrariedad, por afirmar que las normas europeas de Derecho de la competencia son normativa imperativa infringida cuando, sin embargo, el ámbito de aplicación del compromiso cae, por pacto, fuera del mercado europeo (siendo este, por lo demás, un hecho pacífico en la disputa arbitral y en el laudo).</w:t>
      </w:r>
    </w:p>
    <w:p w:rsidR="005728DD" w:rsidRDefault="005728DD" w:rsidP="005728DD">
      <w:pPr>
        <w:pStyle w:val="TextoNormal"/>
      </w:pPr>
    </w:p>
    <w:p w:rsidR="005728DD" w:rsidRDefault="005728DD" w:rsidP="005728DD">
      <w:pPr>
        <w:pStyle w:val="TextoNormal"/>
      </w:pPr>
      <w:r>
        <w:t>Por su parte, el Ministerio Fiscal entiende que debe estimarse el recurso de amparo. Advierte que en el presente caso el enjuiciamiento que debe realizarse ha de ceñirse al examen de la sentencia impugnada, pues el auto de desestimación del incidente excepcional de nulidad de actuaciones tan sólo confirma aquel pronunciamiento. Dentro del análisis de la sentencia, primero, debe enjuiciarse la denegación de la petición de archivo de la causa formulada conjuntamente por ambas partes, porque de este modo, se produciría un efecto superior en cuanto a su fuerza anuladora, ya que si la Sala de lo Civil y Penal del Tribunal Superior de Justicia de Madrid hubiera decidido admitir esa petición, las otras decisiones que también se cuestionan en este recurso de amparo, no habrían existido.</w:t>
      </w:r>
    </w:p>
    <w:p w:rsidR="005728DD" w:rsidRDefault="005728DD" w:rsidP="005728DD">
      <w:pPr>
        <w:pStyle w:val="TextoNormal"/>
      </w:pPr>
    </w:p>
    <w:p w:rsidR="005728DD" w:rsidRDefault="005728DD" w:rsidP="005728DD">
      <w:pPr>
        <w:pStyle w:val="TextoNormal"/>
      </w:pPr>
      <w:r>
        <w:t>Respecto a este motivo de amparo, el fiscal solicita el otorgamiento del amparo. Para apoyar su decisión se apoya en nuestra reciente STC 46/2020, de 15 de junio, FJ 4, en la que declaramos, en un asunto muy similar que también concernía a una sentencia de ese mismo órgano judicial, que la decisión de no proceder al archivo del procedimiento de anulación del laudo, cuando las partes de común acuerdo así lo solicitan es, cuando menos, irrazonable y vulnera el derecho a la tutela judicial efectiva sin indefensión (art. 24.1 CE).</w:t>
      </w:r>
    </w:p>
    <w:p w:rsidR="005728DD" w:rsidRDefault="005728DD" w:rsidP="005728DD">
      <w:pPr>
        <w:pStyle w:val="TextoNormal"/>
      </w:pPr>
    </w:p>
    <w:p w:rsidR="005728DD" w:rsidRDefault="005728DD" w:rsidP="005728DD">
      <w:pPr>
        <w:pStyle w:val="TextoNormal"/>
      </w:pPr>
      <w:r>
        <w:t xml:space="preserve">En segundo lugar, entiende que por lo que respecta a la vulneración del derecho a la tutela judicial efectiva (art. 24.1 CE), en su vertiente de derecho a la motivación de las resoluciones judiciales, en tanto que la sentencia impugnada ha entrado a examinar la motivación del laudo al estimar que forma parte de su deber de control del orden público </w:t>
      </w:r>
      <w:r w:rsidRPr="005728DD">
        <w:rPr>
          <w:i/>
        </w:rPr>
        <w:t>ex</w:t>
      </w:r>
      <w:r>
        <w:t xml:space="preserve"> art. 41.2 LA, el Ministerio Fiscal, si bien subraya que la motivación de los laudos debe quedar </w:t>
      </w:r>
      <w:r>
        <w:lastRenderedPageBreak/>
        <w:t xml:space="preserve">extramuros de la revisión judicial, no aprecia la lesión del derecho fundamental alegado, pues aunque puede verse en el razonamiento del órgano judicial lo que califica de “un cierto afán expansivo de la noción de orden público”, tal argumento tan sólo se dirige a justificar la incorrección de la decisión del árbitro de prescindir de las normas de </w:t>
      </w:r>
      <w:r w:rsidRPr="005728DD">
        <w:rPr>
          <w:i/>
        </w:rPr>
        <w:t>ius cogens</w:t>
      </w:r>
      <w:r>
        <w:t>, lo que no puede tacharse de irrazonable o arbitrario.</w:t>
      </w:r>
    </w:p>
    <w:p w:rsidR="005728DD" w:rsidRDefault="005728DD" w:rsidP="005728DD">
      <w:pPr>
        <w:pStyle w:val="TextoNormal"/>
      </w:pPr>
    </w:p>
    <w:p w:rsidR="005728DD" w:rsidRDefault="005728DD" w:rsidP="005728DD">
      <w:pPr>
        <w:pStyle w:val="TextoNormal"/>
      </w:pPr>
      <w:r>
        <w:t>Respecto al resto de vulneraciones, el fiscal descarta su existencia, tal como ha quedado señalado en los antecedentes de hecho de esta resolución.</w:t>
      </w:r>
    </w:p>
    <w:p w:rsidR="005728DD" w:rsidRDefault="005728DD" w:rsidP="005728DD">
      <w:pPr>
        <w:pStyle w:val="TextoNormal"/>
      </w:pPr>
    </w:p>
    <w:p w:rsidR="005728DD" w:rsidRDefault="005728DD" w:rsidP="005728DD">
      <w:pPr>
        <w:pStyle w:val="TextoNormal"/>
      </w:pPr>
      <w:r>
        <w:t>Finaliza concluyendo que las resoluciones judiciales impugnadas en el presente recurso de amparo han incurrido en la vulneración de la tutela judicial efectiva (art. 24.1 CE), por motivación irrazonable, al no haberse procedido al archivo de la causa tras el desistimiento de las partes.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Sistemática del análisis de las vulneraciones alegadas por la parte demandante</w:t>
      </w:r>
      <w:r>
        <w:t>.</w:t>
      </w:r>
    </w:p>
    <w:p w:rsidR="005728DD" w:rsidRDefault="005728DD" w:rsidP="005728DD">
      <w:pPr>
        <w:pStyle w:val="TextoNormal"/>
      </w:pPr>
    </w:p>
    <w:p w:rsidR="005728DD" w:rsidRDefault="005728DD" w:rsidP="005728DD">
      <w:pPr>
        <w:pStyle w:val="TextoNormal"/>
      </w:pPr>
      <w:r>
        <w:t>Para entrar a valorar el fondo del asunto, debemos pronunciarnos antes de nada sobre las alegaciones del Ministerio Fiscal, relativas a la necesidad de concretar las vulneraciones de derechos fundamentales invocadas en el recurso de amparo, que han sido múltiples, así como sobre las resoluciones judiciales afectadas por las mismas.</w:t>
      </w:r>
    </w:p>
    <w:p w:rsidR="005728DD" w:rsidRDefault="005728DD" w:rsidP="005728DD">
      <w:pPr>
        <w:pStyle w:val="TextoNormal"/>
      </w:pPr>
    </w:p>
    <w:p w:rsidR="005728DD" w:rsidRDefault="005728DD" w:rsidP="005728DD">
      <w:pPr>
        <w:pStyle w:val="TextoNormal"/>
      </w:pPr>
      <w:r>
        <w:t>Este tribunal comparte con el fiscal la idea de que el enjuiciamiento que debe realizarse en el presente recurso, ha de ceñirse al examen de la sentencia de 13 de diciembre de 2018, dado que el auto de 5 de marzo de 2019, en definitiva, ratifica sus argumentos y, por ello, desestima el incidente excepcional de nulidad de actuaciones planteado contra aquella sentencia. Ahora bien, en caso de que se llegara al convencimiento de que con el dictado de la sentencia se ha producido alguna de las vulneraciones de derechos fundamentales alegados por la demandante de amparo, los efectos de tal declaración se extenderían a dicho auto, al haber persistido el órgano judicial en su planteamiento y no haber restablecido el derecho de la parte.</w:t>
      </w:r>
    </w:p>
    <w:p w:rsidR="005728DD" w:rsidRDefault="005728DD" w:rsidP="005728DD">
      <w:pPr>
        <w:pStyle w:val="TextoNormal"/>
      </w:pPr>
    </w:p>
    <w:p w:rsidR="005728DD" w:rsidRDefault="005728DD" w:rsidP="005728DD">
      <w:pPr>
        <w:pStyle w:val="TextoNormal"/>
      </w:pPr>
      <w:r>
        <w:t>Por otro lado, al analizar sentencia impugnada, tal como propone el Ministerio Fiscal, nuestro primer enjuiciamiento debe versar sobre la posible vulneración del derecho a la tutela judicial efectiva (art. 24.1 CE), causada por la denegación de la petición de archivo de la causa formulada conjuntamente por ambas partes.</w:t>
      </w:r>
    </w:p>
    <w:p w:rsidR="005728DD" w:rsidRDefault="005728DD" w:rsidP="005728DD">
      <w:pPr>
        <w:pStyle w:val="TextoNormal"/>
      </w:pPr>
    </w:p>
    <w:p w:rsidR="005728DD" w:rsidRDefault="005728DD" w:rsidP="005728DD">
      <w:pPr>
        <w:pStyle w:val="TextoNormal"/>
      </w:pPr>
      <w:r>
        <w:t>En efecto, procediendo de forma ordenada y coherente, se observa que conforme a la lógica de la “mayor retroacción”, si valoramos, en primer lugar, este motivo de amparo, se producirá, en caso de estimarse la vulneración del derecho fundamental, un efecto superior en cuanto a su fuerza anuladora, ya que si este tribunal alcanza la conclusión de que la Sala de lo Civil y Penal del Tribunal Superior de Justicia de Madrid debió haber admitido la petición de archivo, ya no será necesario examinar el resto de decisiones que se cuestionan en este recurso de amparo. En consecuencia, procederemos, en primer término, a examinar la queja relativa a la denegación del archivo de la causa, asegurando con ello no solo la más amplia tutela de los derechos fundamentales, sino también su correspondencia con los motivos que confieren especial trascendencia constitucional al presente recurso de amparo (SSTC 152/2015, de 6 de julio, FJ 3, y 56/2019, de 6 de mayo, FJ 2, por todas).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xml:space="preserve">. </w:t>
      </w:r>
      <w:r w:rsidRPr="005728DD">
        <w:rPr>
          <w:i/>
        </w:rPr>
        <w:t>La posibilidad de desistimiento en el procedimiento de impugnación del laudo arbitral</w:t>
      </w:r>
      <w:r>
        <w:t>.</w:t>
      </w:r>
    </w:p>
    <w:p w:rsidR="005728DD" w:rsidRDefault="005728DD" w:rsidP="005728DD">
      <w:pPr>
        <w:pStyle w:val="TextoNormal"/>
      </w:pPr>
    </w:p>
    <w:p w:rsidR="005728DD" w:rsidRDefault="005728DD" w:rsidP="005728DD">
      <w:pPr>
        <w:pStyle w:val="TextoNormal"/>
      </w:pPr>
      <w:r>
        <w:t>El análisis de la primera de las cuestiones planteadas, ya se ha dicho, debe partir necesariamente de la queja relativa a la posible vulneración del derecho a la tutela judicial efectiva (art. 24.1 CE), en su vertiente de derecho a una resolución motivada no incursa en irrazonabilidad o arbitrariedad por la negativa del órgano judicial a archivar el procedimiento, una vez que las partes alcanzaron un acuerdo sobra la resolución del conflicto.</w:t>
      </w:r>
    </w:p>
    <w:p w:rsidR="005728DD" w:rsidRDefault="005728DD" w:rsidP="005728DD">
      <w:pPr>
        <w:pStyle w:val="TextoNormal"/>
      </w:pPr>
    </w:p>
    <w:p w:rsidR="005728DD" w:rsidRDefault="005728DD" w:rsidP="005728DD">
      <w:pPr>
        <w:pStyle w:val="TextoNormal"/>
      </w:pPr>
      <w:r>
        <w:t>Respecto a ella, debemos compartir la posición de la demandante de amparo y del Ministerio Fiscal. Como sucedió en el asunto que dio lugar a nuestra STC 46/2020, de 15 de junio, a la que en este momento nos remitimos, hemos de afirmar que ha sido, de nuevo, una interpretación extensiva e injustificada del concepto de orden público contenido en el art. 41.1 f) LA, realizada por la Sala de lo Civil y Penal del Tribunal Superior de Justicia de Madrid, la que ha impedido a los recurrentes ejercer su derecho de disposición sobre el objeto del proceso de anulación del laudo arbitral.</w:t>
      </w:r>
    </w:p>
    <w:p w:rsidR="005728DD" w:rsidRDefault="005728DD" w:rsidP="005728DD">
      <w:pPr>
        <w:pStyle w:val="TextoNormal"/>
      </w:pPr>
    </w:p>
    <w:p w:rsidR="005728DD" w:rsidRDefault="005728DD" w:rsidP="005728DD">
      <w:pPr>
        <w:pStyle w:val="TextoNormal"/>
      </w:pPr>
      <w:r>
        <w:t>Pues bien, este tribunal no puede más que reiterar lo declarado en aquella STC 46/2020, de 15 de junio, FJ 4, esto es, que “debe reputarse contrario al derecho a la tutela judicial efectiva de los recurrentes el razonamiento del órgano judicial que niega virtualidad a un acuerdo basado en el poder dispositivo de las partes sin que medie norma prohibitiva que así lo autorice, imponiendo una decisión que subvierte el sentido del proceso civil y niega los principios en que se basa, en concreto, el principio dispositivo o de justicia rogada”.</w:t>
      </w:r>
    </w:p>
    <w:p w:rsidR="005728DD" w:rsidRDefault="005728DD" w:rsidP="005728DD">
      <w:pPr>
        <w:pStyle w:val="TextoNormal"/>
      </w:pPr>
    </w:p>
    <w:p w:rsidR="005728DD" w:rsidRDefault="005728DD" w:rsidP="005728DD">
      <w:pPr>
        <w:pStyle w:val="TextoNormal"/>
      </w:pPr>
      <w:r>
        <w:t xml:space="preserve">La razón, insistimos, es clara y no requiere de distinta, ni de mayor argumentación que la ofrecida en la STC 46/2020: </w:t>
      </w:r>
    </w:p>
    <w:p w:rsidR="005728DD" w:rsidRDefault="005728DD" w:rsidP="005728DD">
      <w:pPr>
        <w:pStyle w:val="TextoNormal"/>
      </w:pPr>
    </w:p>
    <w:p w:rsidR="005728DD" w:rsidRDefault="005728DD" w:rsidP="005728DD">
      <w:pPr>
        <w:pStyle w:val="TextoNormal"/>
      </w:pPr>
      <w:r>
        <w:t xml:space="preserve">“A diferencia de lo razonado [por la Sala], la petición de archivo pretende poner de relieve la pérdida de interés en proseguir con el procedimiento de anulación, como consecuencia del acuerdo alcanzado; la conclusión de los autos recurridos es forzada dado que, en efecto, el objeto del arbitraje fue decidido ya en el laudo, pero lo que parece incontrovertible es que es la voluntad de evitar la ejecución del laudo y de obtener su revocación lo que justifica el procedimiento de anulación. En consecuencia, no se puede afirmar de manera tan categórica que las partes no puedan alcanzar un acuerdo posterior al laudo ni que, de dicho acuerdo, no se pueda entender que tanto demandante como demandada decaigan en su interés en seguir litigando. Mediante tal línea argumentativa se llega a negar el carácter subjetivo de los derechos que se ejercen en el proceso de anulación de laudos, otorgando a las partes tan solo el poder de desencadenar el proceso, pero sin poder hacer valer, </w:t>
      </w:r>
      <w:r w:rsidRPr="005728DD">
        <w:rPr>
          <w:i/>
        </w:rPr>
        <w:t>a posteriori</w:t>
      </w:r>
      <w:r>
        <w:t>, los cambios sobrevenidos que afecten a su interés para obtener la sentencia. Por el contrario, ha de entenderse que ello entra dentro del terreno del poder de disposición de las partes en un proceso civil, como lo es el proceso de anulación del laudo arbitral, sin que exista norma legal prohibitiva a dicho respecto.</w:t>
      </w:r>
    </w:p>
    <w:p w:rsidR="005728DD" w:rsidRDefault="005728DD" w:rsidP="005728DD">
      <w:pPr>
        <w:pStyle w:val="TextoNormal"/>
      </w:pPr>
    </w:p>
    <w:p w:rsidR="005728DD" w:rsidRDefault="005728DD" w:rsidP="005728DD">
      <w:pPr>
        <w:pStyle w:val="TextoNormal"/>
      </w:pPr>
      <w:r>
        <w:t xml:space="preserve">En tal sentido recordemos que el proceso civil regulado en la Ley 1/2000, de 7 de enero, se inspira en el principio básico de disposición de las partes para regular sus intereses privados o, lo que es lo mismo, para iniciar la actividad jurisdiccional, determinar el objeto del proceso y ponerle fin en el momento que estimen conveniente, sin necesidad de esperar a la sentencia y siempre que la relación jurídica discutida responda únicamente a una naturaleza </w:t>
      </w:r>
      <w:r>
        <w:lastRenderedPageBreak/>
        <w:t>subjetiva-privada. A este principio dispositivo hace referencia el art. 19 LEC, que se encuadra dentro del capítulo IV, cuyo título, ‘Del poder de disposición de las partes sobre el proceso y sobre sus pretensiones’, pone ya de relieve cuál es la clave sustancial sobre la que gira el proceso civil. La misma exposición de motivos se expresa en estos términos al declarar que ‘la nueva Ley de enjuiciamiento civil sigue inspirándose en el principio de justicia rogada o principio dispositivo, del que se extraen todas su razonables consecuencias, con la vista puesta, no solo en que, como regla general, los procesos civiles persiguen la tutela de derechos e intereses legítimos de determinados sujetos jurídicos, a los que corresponde la iniciativa procesal y la configuración del objeto del proceso, sino en que las cargas procesales atribuidas a estos sujetos y su lógica diligencia para obtener la tutela judicial que piden, pueden y deben configurar razonablemente el trabajo del órgano jurisdiccional en beneficio de todos. De ordinario, el proceso civil responde a la iniciativa de quien considera necesaria una tutela judicial en función de sus derechos e intereses legítimos’. Es cierto que la forma natural de finalización del proceso civil es mediante sentencia dictada como consecuencia de un debate contradictorio entre las partes, lo que presupone que el conflicto persiste hasta el final del proceso. Ahora bien, fruto precisamente de ese poder de disposición de las partes que consagra el principio dispositivo, el proceso puede finalizar antes de dictarse sentencia a través de una resolución judicial que, sin entrar a resolver sobre el fondo del asunto, refleje la voluntad de las partes de ponerle fin, por no subsistir el interés legítimo que subyace en la pretensión de tutela.</w:t>
      </w:r>
    </w:p>
    <w:p w:rsidR="005728DD" w:rsidRDefault="005728DD" w:rsidP="005728DD">
      <w:pPr>
        <w:pStyle w:val="TextoNormal"/>
      </w:pPr>
    </w:p>
    <w:p w:rsidR="005728DD" w:rsidRDefault="005728DD" w:rsidP="005728DD">
      <w:pPr>
        <w:pStyle w:val="TextoNormal"/>
      </w:pPr>
      <w:r>
        <w:t>A pesar de tratarse de un principio básico que rige el régimen jurídico del proceso civil, las decisiones recurridas […] parten del error de entender que la voluntad de las partes se dirigía a disponer del objeto del procedimiento de anulación (que se integra por las causas de nulidad invocadas), del cual las partes no pueden disponer libremente cuando está presente un elemento de orden público —lo cual es un argumento correcto—. Por el contrario, resulta obvio que la pretensión era la de manifestar a la sala su ausencia de interés en proseguir con el litigio, al haber obtenido un acuerdo sobre las obligaciones patrimoniales reconocidas en el laudo, cuyo carácter de derecho privado patrimonial no se discute y de ahí su petición de archivo del proceso. En este punto, este tribunal comparte el argumento de los recurrentes y del Ministerio Fiscal […]. Las decisiones recurridas no deslindan el terreno del litigio subyacente (aún pendiente, a pesar de la existencia de un laudo, pues de otro modo no tendría sentido la búsqueda de un acuerdo extrajudicial) del objeto del procedimiento de anulación, obviando que son presupuestos de la estimación de la demanda no solo la existencia del vicio de anulación que se invoca, sino también la existencia del interés legítimo, cuestión esta que pertenece al estricto ámbito subjetivo de las partes, máxime cuando no se acredita la existencia de intereses de terceros en juego. Por esa razón, con independencia de que la causa de pedir de la anulación afecte al orden público o no, es lo cierto que la cuestión de fondo es jurídico-privada y disponible, por lo que, en nuestro sistema procesal civil, para que haya una decisión, se requiere que las partes acrediten su interés en litigar. Podría discutirse la cuestión en caso de petición unilateral de una de las partes, controvertida por la contraria. Pero, en el presente recurso de amparo, demandantes y demandados pidieron al unísono el archivo (desistimiento) del proceso como consecuencia de la pérdida de interés en seguir litigando tras alcanzar el acuerdo transaccional” (FJ 4).</w:t>
      </w:r>
    </w:p>
    <w:p w:rsidR="005728DD" w:rsidRDefault="005728DD" w:rsidP="005728DD">
      <w:pPr>
        <w:pStyle w:val="TextoNormal"/>
      </w:pPr>
    </w:p>
    <w:p w:rsidR="005728DD" w:rsidRDefault="005728DD" w:rsidP="005728DD">
      <w:pPr>
        <w:pStyle w:val="TextoNormal"/>
      </w:pPr>
      <w:r>
        <w:t xml:space="preserve">Pues bien, en el presente caso observamos que las partes, estando pendiente aún el proceso anulatorio, alcanzaron un acuerdo extrajudicial, lo que es perfectamente admisible, y Socialtech, S.R.L., desistió del procedimiento, lo que igualmente es admisible, según lo </w:t>
      </w:r>
      <w:r>
        <w:lastRenderedPageBreak/>
        <w:t xml:space="preserve">dispuesto en el art. 20 LEC. Como acertadamente expresa el voto particular de la sentencia impugnada y comparten tanto el Ministerio Fiscal, como la demandante de amparo, en este caso no existe un interés público ni privado afectado por el desistimiento. Pero lo que aún es más importante y sobre lo que debemos hacer hincapié: el pronunciamiento judicial sobre el desistimiento precede necesariamente al análisis de una posible vulneración del orden público </w:t>
      </w:r>
      <w:r w:rsidRPr="005728DD">
        <w:rPr>
          <w:i/>
        </w:rPr>
        <w:t>ex</w:t>
      </w:r>
      <w:r>
        <w:t xml:space="preserve"> art. 41.2 LA, por lo que el órgano judicial no puede ampararse en su deber de velar por el orden público y por el interés general para rechazar una solicitud de archivo.</w:t>
      </w:r>
    </w:p>
    <w:p w:rsidR="005728DD" w:rsidRDefault="005728DD" w:rsidP="005728DD">
      <w:pPr>
        <w:pStyle w:val="TextoNormal"/>
      </w:pPr>
    </w:p>
    <w:p w:rsidR="005728DD" w:rsidRDefault="005728DD" w:rsidP="005728DD">
      <w:pPr>
        <w:pStyle w:val="TextoNormal"/>
      </w:pPr>
      <w:r>
        <w:t>Por lo demás, cabe rechazar la existencia de un fraude de ley, que el órgano judicial concreta en la intención de las partes de eludir el control judicial del laudo y obstaculizar su deber de garantizar el cumplimiento de los derechos que integran el orden público, pues como bien se afirma en el voto particular referido y este tribunal comparte, el cierre anticipado de este procedimiento no creaba una situación contraria a la ley, ni producía perjuicios para intereses públicos, ni privados. La razón es sencilla: “el laudo resuelve un conflicto entre particulares y los criterios aplicados en el laudo, aunque fueran erróneos […] no crean un precedente de obligado cumplimiento, ni tienen mayor repercusión que entre las partes de este procedimiento. El interés, por tanto, que subyace en el rechazo del desistimiento se contrae al propio interés de esta Sala de pronunciarse sobre las cuestiones debatidas por las partes, a pesar de la nula intención de estas, lo que no puede considerarse un interés público legítimo, y más aún cuando contaría las reglas de disposición del proceso civil y puede incluso crear un conflicto entre los litigantes, más que solucionarlo, como es el fin del proceso, al alterar los acuerdos a los que han llegado e imponer a una de las partes las costas del contrario”.</w:t>
      </w:r>
    </w:p>
    <w:p w:rsidR="005728DD" w:rsidRDefault="005728DD" w:rsidP="005728DD">
      <w:pPr>
        <w:pStyle w:val="TextoNormal"/>
      </w:pPr>
    </w:p>
    <w:p w:rsidR="005728DD" w:rsidRDefault="005728DD" w:rsidP="005728DD">
      <w:pPr>
        <w:pStyle w:val="TextoNormal"/>
      </w:pPr>
      <w:r>
        <w:t>En conclusión, este tribunal entiende que la decisión del órgano judicial de no proceder al archivo de la causa fue contraria al canon de razonabilidad de las resoluciones judiciales y, por ello, vulneró el derecho fundamental de la demandante de amparo Izo Corporate, S.L., a la tutela judicial efectiva (art. 24.1 CE). Así pues, procede la anulación de ambas resoluciones judiciales impugnadas, debiendo remontarse la retroacción de las actuaciones al momento anterior a dictarse la sentencia de 13 de diciembre de 2018, que rechazó archivo del procedimiento, por desistimiento de Socialtech, S.R.L., solicitado por las partes demandante y demandada en el procedimiento de anulación de laudo arbitral núm. 45-2018.</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mercantil Izo Corporate, S.L., y en consecuencia:</w:t>
      </w:r>
    </w:p>
    <w:p w:rsidR="005728DD" w:rsidRDefault="005728DD" w:rsidP="005728DD">
      <w:pPr>
        <w:pStyle w:val="TextoNormal"/>
      </w:pPr>
    </w:p>
    <w:p w:rsidR="005728DD" w:rsidRDefault="005728DD" w:rsidP="005728DD">
      <w:pPr>
        <w:pStyle w:val="TextoNormal"/>
      </w:pPr>
      <w:r>
        <w:t>1º Declarar vulnerado el derecho a la tutela judicial efectiva sin indefensión (art. 24.1 CE).</w:t>
      </w:r>
    </w:p>
    <w:p w:rsidR="005728DD" w:rsidRDefault="005728DD" w:rsidP="005728DD">
      <w:pPr>
        <w:pStyle w:val="TextoNormal"/>
      </w:pPr>
    </w:p>
    <w:p w:rsidR="005728DD" w:rsidRDefault="005728DD" w:rsidP="005728DD">
      <w:pPr>
        <w:pStyle w:val="TextoNormal"/>
      </w:pPr>
      <w:r>
        <w:t>2º Restablecer a los recurrentes en sus derechos y, a tal fin, declarar la nulidad de la sentencia de 13 de diciembre de 2018 y el auto de 5 de marzo de 2019, ambos de la Sala de lo Civil y Penal del Tribunal Superior de Justicia de Madrid, dictada en el procedimiento de nulidad de laudo arbitral núm. 45-2018.</w:t>
      </w:r>
    </w:p>
    <w:p w:rsidR="005728DD" w:rsidRDefault="005728DD" w:rsidP="005728DD">
      <w:pPr>
        <w:pStyle w:val="TextoNormal"/>
      </w:pPr>
    </w:p>
    <w:p w:rsidR="005728DD" w:rsidRDefault="005728DD" w:rsidP="005728DD">
      <w:pPr>
        <w:pStyle w:val="TextoNormal"/>
      </w:pPr>
      <w:r>
        <w:lastRenderedPageBreak/>
        <w:t>3º Retrotraer las actuaciones al momento anterior al dictado de la primera resolución citada para que se resuelva de forma respetuosa con los derechos fundamentales cuya vulneración se declara.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59" w:name="SENTENCIA_2021_56"/>
      <w:r>
        <w:lastRenderedPageBreak/>
        <w:t>SENTENCIA 56/2021, de 15 de marzo de 2021</w:t>
      </w:r>
    </w:p>
    <w:bookmarkEnd w:id="59"/>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ECLI:ES:TC:2021:56</w:t>
      </w:r>
    </w:p>
    <w:p w:rsidR="005728DD" w:rsidRDefault="005728DD" w:rsidP="005728DD">
      <w:pPr>
        <w:pStyle w:val="TextoNormalCentrado"/>
      </w:pPr>
    </w:p>
    <w:p w:rsidR="005728DD" w:rsidRDefault="005728DD" w:rsidP="005728DD">
      <w:pPr>
        <w:pStyle w:val="SntesisDescriptiva"/>
      </w:pPr>
      <w:r>
        <w:t>Recursos de amparo 3546-2019, 3560-2019 (acumulados). Promovidos por Penrei Inversiones, S.L., y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[FFJJ 2 a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los recursos de amparo acumulados núms. 3546-2019 y 3560-2019, promovidos, respectivamente, por Penrei Inversiones, S.L., representada por la procuradora de los tribunales doña Blanca Berriatua Horta y bajo la dirección de la letrada doña Anju Nirmala Benavent Rodríguez, y por Euroinversiones Inmobiliarias Costa Sur, S.L., representada por la procuradora de los tribunales doña Blanca Berriatua Horta y bajo la dirección del letrado don Marcelino Gilabert García, contra los autos dictados por el Juzgado de Primera Instancia e Instrucción núm. 5 de Lorca en el procedimiento de ejecución hipotecaria núm. 372-2018 en fechas 21 de septiembre de 2018 y 23 de abril de 2019 por los que, respectivamente, se inadmiten por extemporáneas las oposiciones a la ejecución hipotecaria y se confirman estas últimas decisiones al desestimarse los recursos de reposición interpuestos frente a ellas. Ha </w:t>
      </w:r>
      <w:r>
        <w:lastRenderedPageBreak/>
        <w:t>sido parte la entidad Pera Assets Designated Activity Company, representada por la procuradora doña Blanca María Grande Pesquero y por la procuradora doña María Claudia Munteanu, (en el recurso núm. 3560-2019) y defendida por el letrado don Alejandro Ingram Solís. Ha intervenido el Ministerio Fiscal. Ha sido ponente el presidente don Juan José González Rivas.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3546-2019, cuyo conocimiento correspondió a la Sección Primera de este tribunal.</w:t>
      </w:r>
    </w:p>
    <w:p w:rsidR="005728DD" w:rsidRDefault="005728DD" w:rsidP="005728DD">
      <w:pPr>
        <w:pStyle w:val="TextoNormal"/>
      </w:pPr>
    </w:p>
    <w:p w:rsidR="005728DD" w:rsidRDefault="005728DD" w:rsidP="005728DD">
      <w:pPr>
        <w:pStyle w:val="TextoNormal"/>
      </w:pPr>
      <w:r w:rsidRPr="005728DD">
        <w:rPr>
          <w:rStyle w:val="NumeroAFNegritaCaracter"/>
        </w:rPr>
        <w:t>2</w:t>
      </w:r>
      <w:r>
        <w:t>. Mediante escrito registrado en este tribunal el 7 de junio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3560-2019, cuyo conocimiento correspondió a la Sección Primera de este tribunal.</w:t>
      </w:r>
    </w:p>
    <w:p w:rsidR="005728DD" w:rsidRDefault="005728DD" w:rsidP="005728DD">
      <w:pPr>
        <w:pStyle w:val="TextoNormal"/>
      </w:pPr>
    </w:p>
    <w:p w:rsidR="005728DD" w:rsidRDefault="005728DD" w:rsidP="005728DD">
      <w:pPr>
        <w:pStyle w:val="TextoNormal"/>
      </w:pPr>
      <w:r w:rsidRPr="005728DD">
        <w:rPr>
          <w:rStyle w:val="NumeroAFNegritaCaracter"/>
        </w:rPr>
        <w:t>3</w:t>
      </w:r>
      <w:r>
        <w:t>. Los hechos relevantes para la resolución de los recursos de amparo son, sucintamente expuestos, los siguientes:</w:t>
      </w:r>
    </w:p>
    <w:p w:rsidR="005728DD" w:rsidRDefault="005728DD" w:rsidP="005728DD">
      <w:pPr>
        <w:pStyle w:val="TextoNormal"/>
      </w:pPr>
    </w:p>
    <w:p w:rsidR="005728DD" w:rsidRDefault="005728DD" w:rsidP="005728DD">
      <w:pPr>
        <w:pStyle w:val="TextoNormal"/>
      </w:pPr>
      <w:r>
        <w:t>a) En el Juzgado de Primera Instancia e Instrucción núm. 5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5728DD" w:rsidRDefault="005728DD" w:rsidP="005728DD">
      <w:pPr>
        <w:pStyle w:val="TextoNormal"/>
      </w:pPr>
    </w:p>
    <w:p w:rsidR="005728DD" w:rsidRDefault="005728DD" w:rsidP="005728DD">
      <w:pPr>
        <w:pStyle w:val="TextoNormal"/>
      </w:pPr>
      <w:r>
        <w:t>b) Por auto de 8 de junio de 2018 se acordó despachar ejecución frente a las sociedades demandadas. El citado auto y el decreto de la misma fecha que le sigue fueron comunicados a las citadas entidades a través de la sede judicial electrónica el día 13 de junio de 2018.</w:t>
      </w:r>
    </w:p>
    <w:p w:rsidR="005728DD" w:rsidRDefault="005728DD" w:rsidP="005728DD">
      <w:pPr>
        <w:pStyle w:val="TextoNormal"/>
      </w:pPr>
    </w:p>
    <w:p w:rsidR="005728DD" w:rsidRDefault="005728DD" w:rsidP="005728DD">
      <w:pPr>
        <w:pStyle w:val="TextoNormal"/>
      </w:pPr>
      <w:r>
        <w:t>c) La entidad Penrei Inversiones, S.L., y la entidad Euroinversiones Inmobiliarias Costa Sur, S.L., presentaron escritos de oposición a la ejecución despachada con fecha 31 de julio de 2018. Por auto de 21 de septiembre de 2018 se acordó su inadmisión por presentación extemporánea, tomando como fecha de notificación el 13 de junio de 2018. Al pie de dicho auto figuraba la indicación de que podía impugnarse por medio de recurso de reposición.</w:t>
      </w:r>
    </w:p>
    <w:p w:rsidR="005728DD" w:rsidRDefault="005728DD" w:rsidP="005728DD">
      <w:pPr>
        <w:pStyle w:val="TextoNormal"/>
      </w:pPr>
    </w:p>
    <w:p w:rsidR="005728DD" w:rsidRDefault="005728DD" w:rsidP="005728DD">
      <w:pPr>
        <w:pStyle w:val="TextoNormal"/>
      </w:pPr>
      <w:r>
        <w:t xml:space="preserve">d) Las sociedades mercantiles recurrentes interpusieron recurso de reposición contra los autos de inadmisión alegando, en síntesis, que las actuaciones de notificación y requerimiento no habían sido realizadas el día 13 de junio de 2018, sino el día 24 de julio de 2018 y que la comunicación remitida a través de la dirección electrónica habilitada no puede entenderse más que un aviso de puesta a disposición o descarga de su contenido durante un plazo determinado (en el caso desde el 13 de junio hasta el 29 de julio de 2018) y entenderlo </w:t>
      </w:r>
      <w:r>
        <w:lastRenderedPageBreak/>
        <w:t>de otro modo, además de infringir los arts. 135, 152, 160, 162 de la Ley de enjuiciamiento civil (LEC), vulnera el art. 24 CE.</w:t>
      </w:r>
    </w:p>
    <w:p w:rsidR="005728DD" w:rsidRDefault="005728DD" w:rsidP="005728DD">
      <w:pPr>
        <w:pStyle w:val="TextoNormal"/>
      </w:pPr>
    </w:p>
    <w:p w:rsidR="005728DD" w:rsidRDefault="005728DD" w:rsidP="005728DD">
      <w:pPr>
        <w:pStyle w:val="TextoNormal"/>
      </w:pPr>
      <w:r>
        <w:t>e) Tras su tramitación, los recursos fueron desestimados por auto de 23 de abril de 2019. Según esta resolución, las recurrentes tiene la condición de persona jurídica y, por tanto, están obligados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273.3 a) LEC. Según el auto, “consta que la notificación se puso a disposición de las recurrentes en fecha 13/06/2018 no accediendo al contenido hasta el día 24/07/2018 (fuera de los tres días que establece la normativa procesal), presentando los escritos de oposición a la ejecución en fecha 31/07/2018 claramente fuera del plazo legalmente establecido en el art. 556.1 de la LEC (dentro de los diez días siguientes al de la notificación del auto despachando ejecución)”.</w:t>
      </w:r>
    </w:p>
    <w:p w:rsidR="005728DD" w:rsidRDefault="005728DD" w:rsidP="005728DD">
      <w:pPr>
        <w:pStyle w:val="TextoNormal"/>
      </w:pPr>
    </w:p>
    <w:p w:rsidR="005728DD" w:rsidRDefault="005728DD" w:rsidP="005728DD">
      <w:pPr>
        <w:pStyle w:val="TextoNormal"/>
      </w:pPr>
      <w:r w:rsidRPr="005728DD">
        <w:rPr>
          <w:rStyle w:val="NumeroAFNegritaCaracter"/>
        </w:rPr>
        <w:t>4</w:t>
      </w:r>
      <w:r>
        <w:t>. Las partes recurrentes aducen en sus demandas de amparo que las resoluciones impugnadas vulneran su derecho a la tutela judicial efectiva sin indefensión (art. 24.1 CE) en su vertiente de acceso al proceso. En síntesis, argumentan que la interpretación ofrecida en el auto objeto de impugnación, que se apoya en la Ley del procedimiento administrativo eludiendo las garantías exigibles para las notificaciones de un proceso judicial, cercena el derecho a la tutela judicial efectiva al privar a la recurrente del derecho a formular oposición en un proceso de ejecución hipotecaria. A tal fin, aducen que siguieron la literalidad de las instrucciones contenidas en sendos correos electrónicos que recibieron procedentes del servicio de notificaciones electrónicas, accediendo al contenido de la notificación dentro del plazo establecido en el mismo. Los citados correos tienen el siguiente contenido:</w:t>
      </w:r>
    </w:p>
    <w:p w:rsidR="005728DD" w:rsidRDefault="005728DD" w:rsidP="005728DD">
      <w:pPr>
        <w:pStyle w:val="TextoNormal"/>
      </w:pPr>
    </w:p>
    <w:p w:rsidR="005728DD" w:rsidRDefault="005728DD" w:rsidP="005728DD">
      <w:pPr>
        <w:pStyle w:val="TextoNormal"/>
      </w:pPr>
      <w:r>
        <w:t>“Ha recibido una Notificación del órgano emisor Juzgados y Tribunales (SGAJ) en la Dirección Electrónica Habilitada del titular […]</w:t>
      </w:r>
    </w:p>
    <w:p w:rsidR="005728DD" w:rsidRDefault="005728DD" w:rsidP="005728DD">
      <w:pPr>
        <w:pStyle w:val="TextoNormal"/>
      </w:pPr>
    </w:p>
    <w:p w:rsidR="005728DD" w:rsidRDefault="005728DD" w:rsidP="005728DD">
      <w:pPr>
        <w:pStyle w:val="TextoNormal"/>
      </w:pPr>
      <w:r>
        <w:t>La Notificación estará disponible en su Dirección Electrónica Habilitada única desde el 13-06-2018 hasta el 29-07-2018. Si no procediera a su lectura en el plazo indicado se producirán los efectos correspondientes, según la normativa aplicable.</w:t>
      </w:r>
    </w:p>
    <w:p w:rsidR="005728DD" w:rsidRDefault="005728DD" w:rsidP="005728DD">
      <w:pPr>
        <w:pStyle w:val="TextoNormal"/>
      </w:pPr>
    </w:p>
    <w:p w:rsidR="005728DD" w:rsidRDefault="005728DD" w:rsidP="005728DD">
      <w:pPr>
        <w:pStyle w:val="TextoNormal"/>
      </w:pPr>
      <w:r>
        <w:t>Para que conste como leída, por favor acceda a</w:t>
      </w:r>
    </w:p>
    <w:p w:rsidR="005728DD" w:rsidRDefault="005728DD" w:rsidP="005728DD">
      <w:pPr>
        <w:pStyle w:val="TextoNormal"/>
      </w:pPr>
    </w:p>
    <w:p w:rsidR="005728DD" w:rsidRDefault="005728DD" w:rsidP="005728DD">
      <w:pPr>
        <w:pStyle w:val="TextoNormal"/>
      </w:pPr>
      <w:r>
        <w:t>http://notificaciones060.es</w:t>
      </w:r>
    </w:p>
    <w:p w:rsidR="005728DD" w:rsidRDefault="005728DD" w:rsidP="005728DD">
      <w:pPr>
        <w:pStyle w:val="TextoNormal"/>
      </w:pPr>
    </w:p>
    <w:p w:rsidR="005728DD" w:rsidRDefault="005728DD" w:rsidP="005728DD">
      <w:pPr>
        <w:pStyle w:val="TextoNormal"/>
      </w:pPr>
      <w:r>
        <w:t>Asunto: ‘JDO. 1 INST. E INSTR. N 5 DE LORCA EHJ/000000372/2018’”.</w:t>
      </w:r>
    </w:p>
    <w:p w:rsidR="005728DD" w:rsidRDefault="005728DD" w:rsidP="005728DD">
      <w:pPr>
        <w:pStyle w:val="TextoNormal"/>
      </w:pPr>
    </w:p>
    <w:p w:rsidR="005728DD" w:rsidRDefault="005728DD" w:rsidP="005728DD">
      <w:pPr>
        <w:pStyle w:val="TextoNormal"/>
      </w:pPr>
      <w:r>
        <w:t>Concluyen la entidades recurrentes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5728DD" w:rsidRDefault="005728DD" w:rsidP="005728DD">
      <w:pPr>
        <w:pStyle w:val="TextoNormal"/>
      </w:pPr>
    </w:p>
    <w:p w:rsidR="005728DD" w:rsidRDefault="005728DD" w:rsidP="005728DD">
      <w:pPr>
        <w:pStyle w:val="TextoNormal"/>
      </w:pPr>
      <w:r>
        <w:t>En las demandas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providencias de 30 de septiembre de 2019 y 15 de junio de 2020 la Sección Primera de este tribunal acordó admitir a trámite los recursos de amparo apreciando que concurre en los mismos especial trascendencia constitucional [art. 50.1 de la Ley Orgánica del Tribunal Constitucional (LOTC)] porque plantean un problema o afecta a una faceta de un derecho fundamental sobre la que no hay doctrina de este tribunal [STC 155/2009, FJ 2 a)] y, de conformidad con lo dispuesto en el art. 51 de nuestra Ley Orgánica reguladora, dirigir comunicación al Juzgado de Primera Instancia e Instrucción núm. 5 de Lorca, a fin de que, en el plazo de diez días, remitiera certificación o fotocopia adverada de las actuaciones correspondientes a los autos de ejecución hipotecaria núm. 372-2018 y emplazara a quienes hubieran sido parte en el proceso del que traen causa los presentes recursos de amparo. Por providencias de la misma fecha, la Sección acordó formar las oportunas piezas para la tramitación del incidente de suspensión y, conforme a lo dispuesto en el art. 56 LOTC, concedió un plazo común de tres días a las partes recurrentes y al Ministerio Fiscal para que alegaran lo que estimasen pertinente sobre dicha suspensión. Por AATC 65/2020, de 29 de junio, y 78/2020, de 20 de julio, se acordó denegar la suspensión cautelar solicitada y ordenar la anotación preventiva de las demandas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6</w:t>
      </w:r>
      <w:r>
        <w:t>. En el recurso núm. 3546-2019, por diligencia de ordenación del secretario de justicia de la Sección Primera de este tribunal de fecha 8 de noviembre de 2019 se acordó tener por recibidos los testimonios de las actuaciones remitidos por el Juzgado de Primera Instancia e Instrucción núm. 5 de Lorca, y tener por personada y parte a la entidad Pera Assets Designated Activity Company, representada por la procuradora doña Blanca María Grande Pesquero. También se resolvió, con arreglo al art. 52 LOTC, conceder a las partes personadas y al Ministerio Fiscal el plazo común de veinte días para que, con vista de las actuaciones, formulasen alegaciones.</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3 de diciembre de 2019 la procuradora de los tribunales doña Blanca María Grande Pesquero, en nombre y representación de Pera Assets Designated Activity Company, presentó escrito en el que se opone al otorgamiento del amparo. Tras invocar los artículos 43 de la Ley del procedimiento administrativo común de las administraciones públicas y 162.2 de la Ley de enjuiciamiento civil, argumenta en el citado escrito que no se ha causado indefensión a la recurrente, pues consta que el auto despachando ejecución se puso a disposición de la misma en fecha 13 de junio de 2018, presentando escrito de oposición a la ejecución el 31 de julio de ese mismo año, “claramente fuera del plazo legalmente establecido en el artículo 556.1 de la LEC (dentro de los diez días siguientes al de la notificación del auto despachando ejecución)”.</w:t>
      </w:r>
    </w:p>
    <w:p w:rsidR="005728DD" w:rsidRDefault="005728DD" w:rsidP="005728DD">
      <w:pPr>
        <w:pStyle w:val="TextoNormal"/>
      </w:pPr>
    </w:p>
    <w:p w:rsidR="005728DD" w:rsidRDefault="005728DD" w:rsidP="005728DD">
      <w:pPr>
        <w:pStyle w:val="TextoNormal"/>
      </w:pPr>
      <w:r w:rsidRPr="005728DD">
        <w:rPr>
          <w:rStyle w:val="NumeroAFNegritaCaracter"/>
        </w:rPr>
        <w:t>8</w:t>
      </w:r>
      <w:r>
        <w:t>. En fecha 12 de diciembre de 2019 la entidad recurrente, por medio de su representación procesal, presentó escrito en el que se remite a su demanda y hace mención a la STC 47/2019, de 8 de abril, que trascribe en parte, a propósito del empleo de la dirección electrónica habilitada para el primer emplazamiento del demandando.</w:t>
      </w:r>
    </w:p>
    <w:p w:rsidR="005728DD" w:rsidRDefault="005728DD" w:rsidP="005728DD">
      <w:pPr>
        <w:pStyle w:val="TextoNormal"/>
      </w:pPr>
    </w:p>
    <w:p w:rsidR="005728DD" w:rsidRDefault="005728DD" w:rsidP="005728DD">
      <w:pPr>
        <w:pStyle w:val="TextoNormal"/>
      </w:pPr>
      <w:r w:rsidRPr="005728DD">
        <w:rPr>
          <w:rStyle w:val="NumeroAFNegritaCaracter"/>
        </w:rPr>
        <w:t>9</w:t>
      </w:r>
      <w:r>
        <w:t>. En fecha 16 de diciembre de 2019, el Ministerio Fiscal presentó su escrito de alegaciones en el que termina solicitando que se estime el recurso, se declare vulnerado el derecho a la tutela judicial efectiva sin indefensión (art. 24.1 CE) de la demandante, se declare la nulidad de todo lo actuado desde la notificación efectuada electrónicamente del auto despachando ejecución, y se ordene retrotraer las actuaciones al momento inmediatamente anterior a dicha notificación “para que se le dé al recurrente la posibilidad de formular oposición a la ejecución”.</w:t>
      </w:r>
    </w:p>
    <w:p w:rsidR="005728DD" w:rsidRDefault="005728DD" w:rsidP="005728DD">
      <w:pPr>
        <w:pStyle w:val="TextoNormal"/>
      </w:pPr>
    </w:p>
    <w:p w:rsidR="005728DD" w:rsidRDefault="005728DD" w:rsidP="005728DD">
      <w:pPr>
        <w:pStyle w:val="TextoNormal"/>
      </w:pPr>
      <w:r>
        <w:t>Tras relatar los antecedentes fácticos y resumir las alegaciones formuladas por la parte recurrente, argumenta la fiscal ante el Tribunal Constitucional que las resoluciones judiciales impugnadas vulneran el derecho a la tutela judicial efectiva (art. 24.1 CE) de la demandante de amparo. Se refiere a los preceptos legales aplicables de la Ley de enjuiciamiento civil, tras las reformas operadas por la Ley 13/2009, de 3 de noviembre, y Ley 42/2015, de 5 de octubre; en concreto a los arts. 553, 135, 152.2, 155 y 273 y reproduce el contenido del FJ 4 de la STC 47/2019. A juicio del ministerio público, al optar por la notificación en la dirección electrónica habilitada y computar el plazo de oposición a la ejecución desde su remisión, se causó indefensión a la parte recurrente, situación que fue perpetuada al rechazarse el recurso de reposición.</w:t>
      </w:r>
    </w:p>
    <w:p w:rsidR="005728DD" w:rsidRDefault="005728DD" w:rsidP="005728DD">
      <w:pPr>
        <w:pStyle w:val="TextoNormal"/>
      </w:pPr>
    </w:p>
    <w:p w:rsidR="005728DD" w:rsidRDefault="005728DD" w:rsidP="005728DD">
      <w:pPr>
        <w:pStyle w:val="TextoNormal"/>
      </w:pPr>
      <w:r w:rsidRPr="005728DD">
        <w:rPr>
          <w:rStyle w:val="NumeroAFNegritaCaracter"/>
        </w:rPr>
        <w:t>10</w:t>
      </w:r>
      <w:r>
        <w:t>. En el recurso núm. 3560-2019, por diligencia de ordenación del secretario de justicia de la Sección Primera de este tribunal de fecha 4 de noviembre de 2020 se acordó tener por recibidos los testimonios de las actuaciones remitidos por el Juzgado de Primera Instancia e Instrucción núm. 5 de Lorca, y tener por personada y parte a la entidad Pera Assets Designated Activity Company, representada por la procuradora doña María Claudia Munteanu. También se resolvió, con arreglo al art. 52 LOTC, conceder a las partes personadas y al Ministerio Fiscal el plazo común de veinte días para que, con vista de las actuaciones, formulasen alegaciones.</w:t>
      </w:r>
    </w:p>
    <w:p w:rsidR="005728DD" w:rsidRDefault="005728DD" w:rsidP="005728DD">
      <w:pPr>
        <w:pStyle w:val="TextoNormal"/>
      </w:pPr>
    </w:p>
    <w:p w:rsidR="005728DD" w:rsidRDefault="005728DD" w:rsidP="005728DD">
      <w:pPr>
        <w:pStyle w:val="TextoNormal"/>
      </w:pPr>
      <w:r w:rsidRPr="005728DD">
        <w:rPr>
          <w:rStyle w:val="NumeroAFNegritaCaracter"/>
        </w:rPr>
        <w:t>11</w:t>
      </w:r>
      <w:r>
        <w:t>. En fecha 23 de noviembre de 2020, el Ministerio Fiscal presentó su escrito de alegaciones en el que termina solicitando que se estime el recurso, se declare vulnerado el derecho a la tutela judicial efectiva sin indefensión (at. 24.1 CE) de la demandante, se declare la nulidad de todo lo actuado desde la notificación efectuada electrónicamente del auto despachando ejecución, y se ordene retrotraer las actuaciones al momento inmediatamente anterior a dicha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t>Tras relatar los antecedentes fácticos y resumir las alegaciones formuladas por la parte recurrente, argumenta la fiscal ante el Tribunal Constitucional que las resoluciones judiciales impugnadas vulneran el derecho a la tutela judicial efectiva (art. 24.1 CE) de la demandante de amparo. Para justificar la propuesta estimatoria, se remite a la doctrina fijada en las SSTC 40 y 43/2020, de 27 de febrero y 9 de marzo, que resuelven supuestos que presentan identidad fáctica y jurídica con el presente, de las que transcribe parte de su contenido.</w:t>
      </w:r>
    </w:p>
    <w:p w:rsidR="005728DD" w:rsidRDefault="005728DD" w:rsidP="005728DD">
      <w:pPr>
        <w:pStyle w:val="TextoNormal"/>
      </w:pPr>
    </w:p>
    <w:p w:rsidR="005728DD" w:rsidRDefault="005728DD" w:rsidP="005728DD">
      <w:pPr>
        <w:pStyle w:val="TextoNormal"/>
      </w:pPr>
      <w:r w:rsidRPr="005728DD">
        <w:rPr>
          <w:rStyle w:val="NumeroAFNegritaCaracter"/>
        </w:rPr>
        <w:t>12</w:t>
      </w:r>
      <w:r>
        <w:t xml:space="preserve">. En fecha 8 de diciembre de 2020 la entidad recurrente, por medio de su representación procesal, presentó escrito en el que se remite a su demanda y hace mención a la STC </w:t>
      </w:r>
      <w:r>
        <w:lastRenderedPageBreak/>
        <w:t>40/2020, de 27 de febrero, que trascribe en parte, a propósito de “un asunto prácticamente igual al del presente recurso de amparo”. La entidad demandada no presentó alegaciones.</w:t>
      </w:r>
    </w:p>
    <w:p w:rsidR="005728DD" w:rsidRDefault="005728DD" w:rsidP="005728DD">
      <w:pPr>
        <w:pStyle w:val="TextoNormal"/>
      </w:pPr>
    </w:p>
    <w:p w:rsidR="005728DD" w:rsidRDefault="005728DD" w:rsidP="005728DD">
      <w:pPr>
        <w:pStyle w:val="TextoNormal"/>
      </w:pPr>
      <w:r w:rsidRPr="005728DD">
        <w:rPr>
          <w:rStyle w:val="NumeroAFNegritaCaracter"/>
        </w:rPr>
        <w:t>13</w:t>
      </w:r>
      <w:r>
        <w:t>. Después de que los referidos recursos de amparo quedaron conclusos para sentencia, previa audiencia al Ministerio Fiscal y a las partes, por auto de esta misma fecha, se acordó su acumulación.</w:t>
      </w:r>
    </w:p>
    <w:p w:rsidR="005728DD" w:rsidRDefault="005728DD" w:rsidP="005728DD">
      <w:pPr>
        <w:pStyle w:val="TextoNormal"/>
      </w:pPr>
    </w:p>
    <w:p w:rsidR="005728DD" w:rsidRDefault="005728DD" w:rsidP="005728DD">
      <w:pPr>
        <w:pStyle w:val="TextoNormal"/>
      </w:pPr>
      <w:r w:rsidRPr="005728DD">
        <w:rPr>
          <w:rStyle w:val="NumeroAFNegritaCaracter"/>
        </w:rPr>
        <w:t>14</w:t>
      </w:r>
      <w:r>
        <w:t>. Por providencia de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 los recursos de amparo acumulados y posiciones de las partes</w:t>
      </w:r>
      <w:r>
        <w:t>.</w:t>
      </w:r>
    </w:p>
    <w:p w:rsidR="005728DD" w:rsidRDefault="005728DD" w:rsidP="005728DD">
      <w:pPr>
        <w:pStyle w:val="TextoNormal"/>
      </w:pPr>
    </w:p>
    <w:p w:rsidR="005728DD" w:rsidRDefault="005728DD" w:rsidP="005728DD">
      <w:pPr>
        <w:pStyle w:val="TextoNormal"/>
      </w:pPr>
      <w:r>
        <w:t>Los recursos de amparo se dirigen contra el auto dictado por el Juzgado de Primera Instancia e Instrucción núm. 5 de Lorca en el procedimiento de ejecución hipotecaria núm. 372-2018, en fecha 21 de septiembre de 2018, que inadmitió las oposiciones a la ejecución hipotecaria formuladas por las entidades demandantes, dueña y titular registral de un derecho de uso y disfrute sobre el inmueble hipotecado, respectivamente, al considerar que habían sido presentadas fuera del plazo legalmente establecido; y contra el auto de 23 de abril de 2019 que confirma aquella decisión al desestimarse los recursos de reposición interpuestos frente a ella.</w:t>
      </w:r>
    </w:p>
    <w:p w:rsidR="005728DD" w:rsidRDefault="005728DD" w:rsidP="005728DD">
      <w:pPr>
        <w:pStyle w:val="TextoNormal"/>
      </w:pPr>
    </w:p>
    <w:p w:rsidR="005728DD" w:rsidRDefault="005728DD" w:rsidP="005728DD">
      <w:pPr>
        <w:pStyle w:val="TextoNormal"/>
      </w:pPr>
      <w:r>
        <w:t>Como con más detalle se ha indicado en el apartado de antecedentes, las mercantiles demandantes sostienen que en el procedimiento de ejecución hipotecaria se ha vulnerado su derecho a la tutela judicial efectiva sin indefensión (art. 24.1 CE) a consecuencia de una defectuosa notificación del auto que despachó la ejecución, ya que actuaron de acuerdo con las instrucciones contenidas en un correo electrónico que recibieron procedente del servicio de notificaciones electrónicas, accediendo al contenido de la notificación dentro del plazo establecido en tal correo y presentando los escritos de oposición dentro de los diez días siguientes a contar desde la apertura. En el trámite de alegaciones del art. 52 LOTC hicieron mención de la STC 47/2019, de 8 de abril, a propósito del empleo de la dirección electrónica habilitada para el primer emplazamiento del demandando, y de la STC 40/2020, de 27 de febrero, a propósito de “un asunto prácticamente igual al del presente recurso de amparo”.</w:t>
      </w:r>
    </w:p>
    <w:p w:rsidR="005728DD" w:rsidRDefault="005728DD" w:rsidP="005728DD">
      <w:pPr>
        <w:pStyle w:val="TextoNormal"/>
      </w:pPr>
    </w:p>
    <w:p w:rsidR="005728DD" w:rsidRDefault="005728DD" w:rsidP="005728DD">
      <w:pPr>
        <w:pStyle w:val="TextoNormal"/>
      </w:pPr>
      <w:r>
        <w:t>El Ministerio Fiscal, con sustento en los argumentos expuestos más arriba, propone la estimación de los recursos de amparo al entender que ha sido vulnerado el derecho fundamental de las demandantes a la tutela judicial efectiva sin indefensión (art. 24.1 CE), mientras que la entidad demandada interesa su desestimación por entender que no existe dicha vulneración.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constitucional y aplicación al supuesto enjuiciado</w:t>
      </w:r>
      <w:r>
        <w:t>.</w:t>
      </w:r>
    </w:p>
    <w:p w:rsidR="005728DD" w:rsidRDefault="005728DD" w:rsidP="005728DD">
      <w:pPr>
        <w:pStyle w:val="TextoNormal"/>
      </w:pPr>
    </w:p>
    <w:p w:rsidR="005728DD" w:rsidRDefault="005728DD" w:rsidP="005728DD">
      <w:pPr>
        <w:pStyle w:val="TextoNormal"/>
      </w:pPr>
      <w:r>
        <w:t xml:space="preserve">La STC 47/2019, de 8 de abril, con remisión a lo declarado por el Pleno de este tribunal en la STC 6/2019, de 17 de enero, FJ 4, sobre la utilización de los medios electrónicos para la realización de los actos procesales de comunicación, estimó el recurso de amparo por </w:t>
      </w:r>
      <w:r>
        <w:lastRenderedPageBreak/>
        <w:t>vulneración del derecho a la tutela judicial efectiva sin indefensión (art. 24.1 CE), al apreciar inadecuada la utilización de la dirección electrónica habilitada, de manera exclusiva, como único cauce de comunicación a fin de efectuar el primer emplazamiento de la persona jurídica demandada. De acuerdo con tales pronunciamientos, el régimen jurídico específicamente aplicable al primer emplazamiento es el del art. 155.1, 2 y 3 LEC y del art. 273.4, párrafo 2, LEC, que exigen la “remisión al domicilio de los litigantes” (art. 155.1 LEC), lo que se estima incompatible con el empleo de medios electrónicos.</w:t>
      </w:r>
    </w:p>
    <w:p w:rsidR="005728DD" w:rsidRDefault="005728DD" w:rsidP="005728DD">
      <w:pPr>
        <w:pStyle w:val="TextoNormal"/>
      </w:pPr>
    </w:p>
    <w:p w:rsidR="005728DD" w:rsidRDefault="005728DD" w:rsidP="005728DD">
      <w:pPr>
        <w:pStyle w:val="TextoNormal"/>
      </w:pPr>
      <w:r>
        <w:t>Muestra de la vinculación de los poderes públicos a la doctrina constitucional, de la que se ha hecho eco la STC 19/2020, de 10 de febrero, es que, tras la publicación de la citada STC 47/2019, en el “Boletín Oficial del Estado” de 19 de mayo de 2019, la Secretaría General de la Administración de Justicia del Ministerio de Justicia, con fecha 21 de mayo de 2019, dirigió una comunicación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005728DD" w:rsidRDefault="005728DD" w:rsidP="005728DD">
      <w:pPr>
        <w:pStyle w:val="TextoNormal"/>
      </w:pPr>
    </w:p>
    <w:p w:rsidR="005728DD" w:rsidRDefault="005728DD" w:rsidP="005728DD">
      <w:pPr>
        <w:pStyle w:val="TextoNormal"/>
      </w:pPr>
      <w:r>
        <w:t>La doctrina establecida en las citadas SSTC 6/2019 y 47/2019, a cuyos fundamentos jurídicos nos remitimos, ha sido ya aplicada por este tribunal para censurar el empleo de la dirección electrónica habilitada para el primer emplazamiento de entidades demandadas en procesos laborales (SSTC 102/2019, de 16 de septiembre, FJ 2; 150/2019, de 25 de noviembre, FJ 3, y 7/2020, de 27 de enero, FJ 2), civiles (SSTC 122/2019, de 28 de octubre, FJ 3, y STC 19/2020, de 10 de febrero, FJ 2) y concursales (STC 129/2019, de 11 de noviembre, FJ 4). Finalmente, la STC 40/2020, de 27 de febrero, ha hecho aplicación de esta doctrina en el recurso de amparo que encabeza una serie de recursos promovidos por las dos entidades demandantes respecto de procedimientos de ejecución hipotecaria dirigidos contra ellas en los juzgados de primera instancia e instrucción de Lorca, serie a la que pertenecen los asuntos acumulados que nos ocupan. A la citada STC 40/2020 le han seguido otras muchas.</w:t>
      </w:r>
    </w:p>
    <w:p w:rsidR="005728DD" w:rsidRDefault="005728DD" w:rsidP="005728DD">
      <w:pPr>
        <w:pStyle w:val="TextoNormal"/>
      </w:pPr>
    </w:p>
    <w:p w:rsidR="005728DD" w:rsidRDefault="005728DD" w:rsidP="005728DD">
      <w:pPr>
        <w:pStyle w:val="TextoNormal"/>
      </w:pPr>
      <w:r>
        <w:t>La doctrina constitucional reseñada, aplicable al supuesto examinado, determina que el Juzgado de Primera Instancia e Instrucción núm. 5 de Lorca debió haber efectuado el primer emplazamiento de las entidades demandadas, aún no personadas en el procedimiento de ejecución hipotecaria, mediante remisión al domicilio designado por la demandante, en lugar de realizarla por medios telemáticos a través de la dirección electrónica habilitada. Al no haberlo hecho así, con la consecuencia para las mercantiles demandantes de amparo más arriba expresada, vulneró su derecho a la tutela judicial efectiva sin indefensión (art. 24.1 CE).</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Conclusión</w:t>
      </w:r>
      <w:r>
        <w:t>.</w:t>
      </w:r>
    </w:p>
    <w:p w:rsidR="005728DD" w:rsidRDefault="005728DD" w:rsidP="005728DD">
      <w:pPr>
        <w:pStyle w:val="TextoNormal"/>
      </w:pPr>
    </w:p>
    <w:p w:rsidR="005728DD" w:rsidRDefault="005728DD" w:rsidP="005728DD">
      <w:pPr>
        <w:pStyle w:val="TextoNormal"/>
      </w:pPr>
      <w:r>
        <w:t>Los razonamientos precedentes conducen a la conclusión de que los recursos de amparo han de ser estimados en aplicación de la doctrina de la STC 47/2019, de 8 de abril, y de la STC 40/2020, de 27 de febrero, y en consecuencia, debe declararse la vulneración del derecho a la tutela judicial efectiva sin indefensión (art. 24.1 CE) de las entidades demandantes.</w:t>
      </w:r>
    </w:p>
    <w:p w:rsidR="005728DD" w:rsidRDefault="005728DD" w:rsidP="005728DD">
      <w:pPr>
        <w:pStyle w:val="TextoNormal"/>
      </w:pPr>
    </w:p>
    <w:p w:rsidR="005728DD" w:rsidRDefault="005728DD" w:rsidP="005728DD">
      <w:pPr>
        <w:pStyle w:val="TextoNormal"/>
      </w:pPr>
      <w:r>
        <w:lastRenderedPageBreak/>
        <w:t>De conformidad con lo establecido en el art. 55 LOTC, procede declarar la nulidad de los autos del Juzgado de Primera Instancia e Instrucción núm. 5 de Lorca de 21 de septiembre de 2018 y 23 de abril de 2019, así como de todo lo actuado en el procedimiento de ejecución hipotecaria desde el momento en que se proveyó a su emplazamiento a través de la dirección electrónica habilitada, con retroacción de las actuaciones hasta este momento a fin de que el juzgado proceda a efectuar dicho emplazamiento de manera respetuosa con el derecho fundamental de las demandantes de amparo.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los recursos de amparo interpuestos por la representación procesal de Penrei Inversiones, S.L., y Euroinversiones Inmobiliarias Costa Sur, S.L.,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indefensión (art. 24.1 CE).</w:t>
      </w:r>
    </w:p>
    <w:p w:rsidR="005728DD" w:rsidRDefault="005728DD" w:rsidP="005728DD">
      <w:pPr>
        <w:pStyle w:val="TextoNormal"/>
      </w:pPr>
    </w:p>
    <w:p w:rsidR="005728DD" w:rsidRDefault="005728DD" w:rsidP="005728DD">
      <w:pPr>
        <w:pStyle w:val="TextoNormal"/>
      </w:pPr>
      <w:r>
        <w:t>2º Restablecerles en su derecho y, a tal fin, declarar la nulidad de los autos de 21 de septiembre de 2018 y 23 de abril de 2019 dictados por el Juzgado de Primera Instancia e Instrucción núm. 5 de Lorca en el procedimiento de ejecución hipotecaria núm. 372-2018, así como la nulidad de las actuaciones realizadas a partir del emplazamiento de las entidades recurrentes a través de la dirección electrónica habilitada.</w:t>
      </w:r>
    </w:p>
    <w:p w:rsidR="005728DD" w:rsidRDefault="005728DD" w:rsidP="005728DD">
      <w:pPr>
        <w:pStyle w:val="TextoNormal"/>
      </w:pPr>
    </w:p>
    <w:p w:rsidR="005728DD" w:rsidRDefault="005728DD" w:rsidP="005728DD">
      <w:pPr>
        <w:pStyle w:val="TextoNormal"/>
      </w:pPr>
      <w:r>
        <w:t>3º Retrotraer las actuaciones al momento inmediatamente anterior al de efectuarse el emplazamiento de las demandadas para que se les comunique el despacho de ejecución en legal forma.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0" w:name="SENTENCIA_2021_57"/>
      <w:r>
        <w:lastRenderedPageBreak/>
        <w:t>SENTENCIA 57/2021, de 15 de marzo de 2021</w:t>
      </w:r>
    </w:p>
    <w:bookmarkEnd w:id="60"/>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ECLI:ES:TC:2021:57</w:t>
      </w:r>
    </w:p>
    <w:p w:rsidR="005728DD" w:rsidRDefault="005728DD" w:rsidP="005728DD">
      <w:pPr>
        <w:pStyle w:val="TextoNormalCentrado"/>
      </w:pPr>
    </w:p>
    <w:p w:rsidR="005728DD" w:rsidRDefault="005728DD" w:rsidP="005728DD">
      <w:pPr>
        <w:pStyle w:val="SntesisDescriptiva"/>
      </w:pPr>
      <w:r>
        <w:t>Recurso de amparo 5866-2019. Promovido por doña María Virtudes Carnicel Flores respecto de las resoluciones dictadas por un juzgado de lo penal de Alcalá de Henares en ejecutoria de sentencia condenatoria por un delito de abandono de familia.</w:t>
      </w:r>
    </w:p>
    <w:p w:rsidR="005728DD" w:rsidRDefault="005728DD" w:rsidP="005728DD">
      <w:pPr>
        <w:pStyle w:val="SntesisDescriptiva"/>
      </w:pPr>
    </w:p>
    <w:p w:rsidR="005728DD" w:rsidRDefault="005728DD" w:rsidP="005728DD">
      <w:pPr>
        <w:pStyle w:val="SntesisAnaltica"/>
      </w:pPr>
      <w:r>
        <w:t>Vulneración del derecho a la tutela judicial efectiva (acceso a la jurisdicción): resolución que, en aplicación del precepto legal anulado por la STC 151/2020, de 22 de octubre, impide la revisión judicial del decreto de la letrada de la administración de justicia.</w:t>
      </w:r>
    </w:p>
    <w:p w:rsidR="005728DD" w:rsidRDefault="005728DD" w:rsidP="005728DD">
      <w:pPr>
        <w:pStyle w:val="SntesisAnaltica"/>
      </w:pPr>
    </w:p>
    <w:p w:rsidR="005728DD" w:rsidRDefault="005728DD" w:rsidP="005728DD">
      <w:pPr>
        <w:pStyle w:val="Extracto"/>
      </w:pPr>
      <w:r>
        <w:t>1.</w:t>
      </w:r>
      <w:r>
        <w:tab/>
        <w:t>Se aplica la doctrina constitucional sobre la revisión judicial de resoluciones de los letrados de la Administración de justicia, en el ámbito de la Ley de enjuiciamiento criminal (STC 151/2020) [FFJJ 3,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5866-2019, promovido por doña María Virtudes Carnicel Flores, representada por la procuradora de los tribunales doña Teresa Campos Montellano y asistida por el abogado don Carlos Alonso Miguel, contra el decreto del Juzgado de lo Penal núm. 6 de Alcalá de Henares de 29 de julio de 2019 desestimatorio del recurso de reposición interpuesto contra la diligencia de ordenación de 5 de febrero de 2019 dictada en el expediente de ejecución núm. 232-2018. Ha intervenido el Ministerio Fiscal. Ha sido ponente el presidente don Juan José González Rivas.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14 octubre de 2019, doña María Virtudes Carnicel Flores, representada por la procuradora de los tribunales doña Teresa Campos Montellano y bajo la dirección del letrado don Alberto Jiménez Gómez, interpuso recurso de amparo contra las resoluciones referidas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Los hechos en que se fundamenta la demanda de amparo son, sucintamente expuestos, los siguientes:</w:t>
      </w:r>
    </w:p>
    <w:p w:rsidR="005728DD" w:rsidRDefault="005728DD" w:rsidP="005728DD">
      <w:pPr>
        <w:pStyle w:val="TextoNormal"/>
      </w:pPr>
    </w:p>
    <w:p w:rsidR="005728DD" w:rsidRDefault="005728DD" w:rsidP="005728DD">
      <w:pPr>
        <w:pStyle w:val="TextoNormal"/>
      </w:pPr>
      <w:r>
        <w:t>a) El Juzgado de lo Penal núm. 6 de Alcalá de Henares, en el procedimiento abreviado núm. 12-2017, dictó sentencia, en fecha 22 de marzo de 2018, condenando a don Pedro Alfonso Cerezo Caballero como autor de un delito de abandono de familia del artículo 227.1 y 3 del Código penal, con la agravante de reincidencia, a la pena de multa de quince meses de duración, con la cuota diaria de seis euros y responsabilidad personal subsidiaria del artículo 56 del Código penal en caso de impago.</w:t>
      </w:r>
    </w:p>
    <w:p w:rsidR="005728DD" w:rsidRDefault="005728DD" w:rsidP="005728DD">
      <w:pPr>
        <w:pStyle w:val="TextoNormal"/>
      </w:pPr>
    </w:p>
    <w:p w:rsidR="005728DD" w:rsidRDefault="005728DD" w:rsidP="005728DD">
      <w:pPr>
        <w:pStyle w:val="TextoNormal"/>
      </w:pPr>
      <w:r>
        <w:t>Le condenó, asimismo, a indemnizar a doña María Virtudes Carnicel Flores en la cantidad de 20 640,19 € por las mensualidades debidas, y al pago de las costas.</w:t>
      </w:r>
    </w:p>
    <w:p w:rsidR="005728DD" w:rsidRDefault="005728DD" w:rsidP="005728DD">
      <w:pPr>
        <w:pStyle w:val="TextoNormal"/>
      </w:pPr>
    </w:p>
    <w:p w:rsidR="005728DD" w:rsidRDefault="005728DD" w:rsidP="005728DD">
      <w:pPr>
        <w:pStyle w:val="TextoNormal"/>
      </w:pPr>
      <w:r>
        <w:t>b) Mediante auto de fecha 31 de mayo de 2018 del Juzgado de lo Penal núm. 6 de Alcalá de Henares, tras la firmeza de la sentencia y la incoación de la ejecutoria núm. 232-2018, se acordaron las diligencias necesarias para la ejecución de aquella.</w:t>
      </w:r>
    </w:p>
    <w:p w:rsidR="005728DD" w:rsidRDefault="005728DD" w:rsidP="005728DD">
      <w:pPr>
        <w:pStyle w:val="TextoNormal"/>
      </w:pPr>
    </w:p>
    <w:p w:rsidR="005728DD" w:rsidRDefault="005728DD" w:rsidP="005728DD">
      <w:pPr>
        <w:pStyle w:val="TextoNormal"/>
      </w:pPr>
      <w:r>
        <w:t>c) La representación procesal de doña María Virtudes Carnicel Flores, mediante escrito registrado el día 4 de febrero de 2019, solicitó que se procediera por la letrada de la administración de justicia del Juzgado de lo Penal núm. 6 de Alcalá de Henares, a la tasación de costas, acompañando minuta de la letrada y nota de derechos suplidos del procurador.</w:t>
      </w:r>
    </w:p>
    <w:p w:rsidR="005728DD" w:rsidRDefault="005728DD" w:rsidP="005728DD">
      <w:pPr>
        <w:pStyle w:val="TextoNormal"/>
      </w:pPr>
    </w:p>
    <w:p w:rsidR="005728DD" w:rsidRDefault="005728DD" w:rsidP="005728DD">
      <w:pPr>
        <w:pStyle w:val="TextoNormal"/>
      </w:pPr>
      <w:r>
        <w:t>d) La letrada de la administración de justicia dictó diligencia de ordenación de fecha 5 de febrero de 2019 con siguiente contenido:</w:t>
      </w:r>
    </w:p>
    <w:p w:rsidR="005728DD" w:rsidRDefault="005728DD" w:rsidP="005728DD">
      <w:pPr>
        <w:pStyle w:val="TextoNormal"/>
      </w:pPr>
    </w:p>
    <w:p w:rsidR="005728DD" w:rsidRDefault="005728DD" w:rsidP="005728DD">
      <w:pPr>
        <w:pStyle w:val="TextoNormal"/>
      </w:pPr>
      <w:r>
        <w:t>“Por recibido el escrito de la representación de doña María Virtudes Carnicel Flores solicitando tasación de costas y no constando en la sentencia de fecha 22 de marzo de 2018 condena en costas expresamente en favor de la acusación particular, no ha lugar a lo solicitado”.</w:t>
      </w:r>
    </w:p>
    <w:p w:rsidR="005728DD" w:rsidRDefault="005728DD" w:rsidP="005728DD">
      <w:pPr>
        <w:pStyle w:val="TextoNormal"/>
      </w:pPr>
    </w:p>
    <w:p w:rsidR="005728DD" w:rsidRDefault="005728DD" w:rsidP="005728DD">
      <w:pPr>
        <w:pStyle w:val="TextoNormal"/>
      </w:pPr>
      <w:r>
        <w:t>e) Por la representación procesal de doña María Virtudes Carnicel se interpuso recurso de reposición contra la anterior diligencia de ordenación, alegando como motivo único la vulneración el artículo 18.2 de la Ley Orgánica del Poder Judicial y del criterio general de la imposición al condenado de las costas de la acusación particular.</w:t>
      </w:r>
    </w:p>
    <w:p w:rsidR="005728DD" w:rsidRDefault="005728DD" w:rsidP="005728DD">
      <w:pPr>
        <w:pStyle w:val="TextoNormal"/>
      </w:pPr>
    </w:p>
    <w:p w:rsidR="005728DD" w:rsidRDefault="005728DD" w:rsidP="005728DD">
      <w:pPr>
        <w:pStyle w:val="TextoNormal"/>
      </w:pPr>
      <w:r>
        <w:t>f) Tras su oportuna tramitación, el recurso de reposición fue desestimado por decreto de la letrada de la administración de justicia de 29 de julio de 2019.</w:t>
      </w:r>
    </w:p>
    <w:p w:rsidR="005728DD" w:rsidRDefault="005728DD" w:rsidP="005728DD">
      <w:pPr>
        <w:pStyle w:val="TextoNormal"/>
      </w:pPr>
    </w:p>
    <w:p w:rsidR="005728DD" w:rsidRDefault="005728DD" w:rsidP="005728DD">
      <w:pPr>
        <w:pStyle w:val="TextoNormal"/>
      </w:pPr>
      <w:r>
        <w:t>En su fundamento de derecho primero se recoge lo siguiente: “[...] no hay condena en costas con expresa inclusión de las de la acusación particular. Así, de la misma manera que el art. 124 CP establece claramente que en los delitos solo perseguibles a instancia de parte se incluirán las costas de la acusación particular, ello no puede entenderse con respecto al resto de los delitos, será la sentencia la que condene o no en costas, con imposición de las de la acusación particular, no pudiendo entenderse incluidas tácitamente cuando el art. 123 CP nada dice al respecto. La condena a satisfacer las costas de la acusación particular no se halla incluida dentro del pronunciamiento genérico de condena en costas, sino que exige un pronunciamiento expreso, previa la posibilidad de la contraparte de alegar sobre lo peticio</w:t>
      </w:r>
      <w:r>
        <w:lastRenderedPageBreak/>
        <w:t>nado ya que, lo contrario, supondría causar indefensión. Su inclusión, como dice la jurisprudencia, no exige justificación alguna por parte del juez sentenciador, pero sí la inclusión de las mismas en la sentencia”.</w:t>
      </w:r>
    </w:p>
    <w:p w:rsidR="005728DD" w:rsidRDefault="005728DD" w:rsidP="005728DD">
      <w:pPr>
        <w:pStyle w:val="TextoNormal"/>
      </w:pPr>
    </w:p>
    <w:p w:rsidR="005728DD" w:rsidRDefault="005728DD" w:rsidP="005728DD">
      <w:pPr>
        <w:pStyle w:val="TextoNormal"/>
      </w:pPr>
      <w:r>
        <w:t>Al pie del citado decreto se expresa: “Contra la presente resolución no cabe recurso alguno. Art. 23</w:t>
      </w:r>
      <w:r w:rsidRPr="005728DD">
        <w:rPr>
          <w:i/>
        </w:rPr>
        <w:t>8 b</w:t>
      </w:r>
      <w:r>
        <w:t>is LECrim”.</w:t>
      </w:r>
    </w:p>
    <w:p w:rsidR="005728DD" w:rsidRDefault="005728DD" w:rsidP="005728DD">
      <w:pPr>
        <w:pStyle w:val="TextoNormal"/>
      </w:pPr>
    </w:p>
    <w:p w:rsidR="005728DD" w:rsidRDefault="005728DD" w:rsidP="005728DD">
      <w:pPr>
        <w:pStyle w:val="TextoNormal"/>
      </w:pPr>
      <w:r>
        <w:t>Dicho decreto fue notificado a la parte demandante de amparo el día 5 de septiembre de 2019.</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se dirige contra el citado el decreto de 29 de julio de 2019 dictado por el Juzgado de lo Penal núm. 6 de Alcalá de Henares, por vulneración del derecho a la tutela judicial efectiva (art. 24.1 CE) en cuanto determina el fin del procedimiento sin posibilidad alguna de ser revisado por el titular de la potestad jurisdiccional.</w:t>
      </w:r>
    </w:p>
    <w:p w:rsidR="005728DD" w:rsidRDefault="005728DD" w:rsidP="005728DD">
      <w:pPr>
        <w:pStyle w:val="TextoNormal"/>
      </w:pPr>
    </w:p>
    <w:p w:rsidR="005728DD" w:rsidRDefault="005728DD" w:rsidP="005728DD">
      <w:pPr>
        <w:pStyle w:val="TextoNormal"/>
      </w:pPr>
      <w:r>
        <w:t xml:space="preserve">Reconoce la parte recurrente que dicha resolución lo único que hace es aplicar lo establecido en el art. 238 </w:t>
      </w:r>
      <w:r w:rsidRPr="005728DD">
        <w:rPr>
          <w:i/>
        </w:rPr>
        <w:t>bis</w:t>
      </w:r>
      <w:r>
        <w:t xml:space="preserve"> de la Ley de enjuiciamiento criminal (LECrim), si bien dicho precepto constituye una vulneración del art. 24.1 CE en relación con el 117.3 CE. A su juicio, la ausencia de recurso entra en conflicto con el denominado principio de exclusividad, que, en su vertiente positiva, otorga a los jueces y tribunales la potestad jurisdiccional, y que, asimismo, dentro de dicha potestad se integra otra función de los jueces y tribunales, cual es la de ser garantes de la tutela judicial efectiva establecida en al art. 24 CE, transcribiendo parcialmente la STC 147/1994.</w:t>
      </w:r>
    </w:p>
    <w:p w:rsidR="005728DD" w:rsidRDefault="005728DD" w:rsidP="005728DD">
      <w:pPr>
        <w:pStyle w:val="TextoNormal"/>
      </w:pPr>
    </w:p>
    <w:p w:rsidR="005728DD" w:rsidRDefault="005728DD" w:rsidP="005728DD">
      <w:pPr>
        <w:pStyle w:val="TextoNormal"/>
      </w:pPr>
      <w:r>
        <w:t>Recuerda que el derecho a la tutela judicial efectiva establecida en el art. 24 CE no se extiende sólo a la resolución que se pronuncie sobre el fondo, sino que ha de ser respetado en todas las etapas del procedimiento judicial y en todas las manifestaciones de este haz de derechos, por lo que respecto de las resoluciones del letrado de la administración de justicia que pueden tener trascendencia para dicho derecho, “deberán existir mecanismos procesales que posibiliten el control judicial”.</w:t>
      </w:r>
    </w:p>
    <w:p w:rsidR="005728DD" w:rsidRDefault="005728DD" w:rsidP="005728DD">
      <w:pPr>
        <w:pStyle w:val="TextoNormal"/>
      </w:pPr>
    </w:p>
    <w:p w:rsidR="005728DD" w:rsidRDefault="005728DD" w:rsidP="005728DD">
      <w:pPr>
        <w:pStyle w:val="TextoNormal"/>
      </w:pPr>
      <w:r>
        <w:t>Subraya que esta tesis es la establecida por las SSTC 34/2019, de 14 de marzo; 72/2018, de 21 de junio, y 58/2016 de 17 de marzo, en casos sustancialmente iguales, y reproduce parte de esta última sentencia.</w:t>
      </w:r>
    </w:p>
    <w:p w:rsidR="005728DD" w:rsidRDefault="005728DD" w:rsidP="005728DD">
      <w:pPr>
        <w:pStyle w:val="TextoNormal"/>
      </w:pPr>
    </w:p>
    <w:p w:rsidR="005728DD" w:rsidRDefault="005728DD" w:rsidP="005728DD">
      <w:pPr>
        <w:pStyle w:val="TextoNormal"/>
      </w:pPr>
      <w:r>
        <w:t>Concluye señalando que, en el presente supuesto, al finalizar el procedimiento mediante decreto denegando la tasación de costas y sin poder ser este recurrido, se ha generado un espacio de “inmunidad jurisdiccional”, donde ha sido imposible de salvaguardar el art. 24 CE, por cuanto la misma equivale a la desestimación de su pretensión de costas debidamente concedida en sentencia, vedándose a la parte la posibilidad “de suscitar debate alguno ante el juzgador por la falta de motivación del decreto, o por su motivación errónea o ilógica”.</w:t>
      </w:r>
    </w:p>
    <w:p w:rsidR="005728DD" w:rsidRDefault="005728DD" w:rsidP="005728DD">
      <w:pPr>
        <w:pStyle w:val="TextoNormal"/>
      </w:pPr>
    </w:p>
    <w:p w:rsidR="005728DD" w:rsidRDefault="005728DD" w:rsidP="005728DD">
      <w:pPr>
        <w:pStyle w:val="TextoNormal"/>
      </w:pPr>
      <w:r>
        <w:t xml:space="preserve">La demanda justifica la especial trascendencia constitucional del recurso alegando que la vulneración del derecho fundamental procede de “la propia Ley de enjuiciamiento criminal y en concreto de su artículo 238 </w:t>
      </w:r>
      <w:r w:rsidRPr="005728DD">
        <w:rPr>
          <w:i/>
        </w:rPr>
        <w:t>bis</w:t>
      </w:r>
      <w:r>
        <w:t xml:space="preserve"> (SSTC 118/2014, de 8 de julio, FJ 2, y 128/2014, de 21 de julio, FJ 2)”.</w:t>
      </w:r>
    </w:p>
    <w:p w:rsidR="005728DD" w:rsidRDefault="005728DD" w:rsidP="005728DD">
      <w:pPr>
        <w:pStyle w:val="TextoNormal"/>
      </w:pPr>
    </w:p>
    <w:p w:rsidR="005728DD" w:rsidRDefault="005728DD" w:rsidP="005728DD">
      <w:pPr>
        <w:pStyle w:val="TextoNormal"/>
      </w:pPr>
      <w:r>
        <w:lastRenderedPageBreak/>
        <w:t xml:space="preserve">Termina suplicando que se declare vulnerado el derecho de la parte recurrente a la tutela judicial efectiva (art. 24 CE) por la vulneración del derecho al recurso (art. 238 </w:t>
      </w:r>
      <w:r w:rsidRPr="005728DD">
        <w:rPr>
          <w:i/>
        </w:rPr>
        <w:t>bis</w:t>
      </w:r>
      <w:r>
        <w:t xml:space="preserve"> LECrim) y por vedarse el control jurisdiccional de las resoluciones del letrado de la administración de justicia (art. 117.3 CE), se restablezca a la recurrente en la integridad de sus derechos y, en consecuencia, se declare la nulidad del decreto del Juzgado de lo Penal núm. 6 de Alcalá de Henares, de fecha 29 de julio de 2019, dictado en el expediente de ejecución núm. 232-2018, a fin de que se dicte nueva resolución respetuosa con el derecho fundamental vulnerado.</w:t>
      </w:r>
    </w:p>
    <w:p w:rsidR="005728DD" w:rsidRDefault="005728DD" w:rsidP="005728DD">
      <w:pPr>
        <w:pStyle w:val="TextoNormal"/>
      </w:pPr>
    </w:p>
    <w:p w:rsidR="005728DD" w:rsidRDefault="005728DD" w:rsidP="005728DD">
      <w:pPr>
        <w:pStyle w:val="TextoNormal"/>
      </w:pPr>
      <w:r w:rsidRPr="005728DD">
        <w:rPr>
          <w:rStyle w:val="NumeroAFNegritaCaracter"/>
        </w:rPr>
        <w:t>4</w:t>
      </w:r>
      <w:r>
        <w:t>. Por diligencia de ordenación del secretario de justicia de la Sección Primera de este tribunal de fecha 17 de octubre de 2019 se concedió a la parte recurrente un plazo de diez días para la subsanación de los defectos advertidos en la comparecencia y en la documentación que se acompañaba, lo que llevó a cabo seguidamente. Por diligencia de ordenación de 18 de febrero de 2020, se tuvo por designado al letrado don Carlos Alonso Miguel para la defensa de la recurrente, en sustitución de don Alberto Jiménez Gómez.</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providencia de 21 de septiembre de 2020, la Sección Primera de este tribunal acordó la admisión a trámite de la demanda de amparo presentada al apreciar que concurre en el mismo una especial trascendencia constitucional (art. 50.1 LOTC), como consecuencia de que la posible vulneración del derecho fundamental que se denuncia pudiera provenir de la ley [STC 155/2009, FJ 2 c)].</w:t>
      </w:r>
    </w:p>
    <w:p w:rsidR="005728DD" w:rsidRDefault="005728DD" w:rsidP="005728DD">
      <w:pPr>
        <w:pStyle w:val="TextoNormal"/>
      </w:pPr>
    </w:p>
    <w:p w:rsidR="005728DD" w:rsidRDefault="005728DD" w:rsidP="005728DD">
      <w:pPr>
        <w:pStyle w:val="TextoNormal"/>
      </w:pPr>
      <w:r>
        <w:t>En aplicación de lo dispuesto en el art. 51 de la Ley Orgánica del Tribunal Constitucional (LOTC), se acordó dirigir atenta comunicación al Juzgado de lo Penal núm. 6 de Alcalá de Henares, a fin de que, en plazo que no exceda de diez días, remitiera certificación o fotocopia adverada de las actuaciones correspondientes al expediente de ejecución núm. 232-2018 y procediese a emplazar a quienes hubieran sido parte en el procedimiento, a excepción de la parte recurrente en amparo, para que en el plazo de diez días pudiesen comparecer, si lo desean,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6</w:t>
      </w:r>
      <w:r>
        <w:t>. Recibidas las actuaciones requeridas del órgano judicial, por diligencia de ordenación del secretario de justicia de la Sección Primera de este tribunal de fecha 3 de noviembre de 2020, se acordó, con arreglo al art. 52 LOTC, conceder a las partes personadas y al Ministerio Fiscal el plazo común de veinte días para que, con vista de las actuaciones, formulasen alegaciones.</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20 de noviembre de 2020 el Ministerio Fiscal presentó su escrito de alegaciones en el que termina solicitando que se estime el recurso de amparo, se declare vulnerado el derecho a la tutela judicial efectiva de la recurrente y se ordene retrotraer las actuaciones al momento inmediatamente posterior al dictado del decreto de 29 de julio de 2019, para que el juzgado provea a la reparación del derecho fundamental vulnerado.</w:t>
      </w:r>
    </w:p>
    <w:p w:rsidR="005728DD" w:rsidRDefault="005728DD" w:rsidP="005728DD">
      <w:pPr>
        <w:pStyle w:val="TextoNormal"/>
      </w:pPr>
    </w:p>
    <w:p w:rsidR="005728DD" w:rsidRDefault="005728DD" w:rsidP="005728DD">
      <w:pPr>
        <w:pStyle w:val="TextoNormal"/>
      </w:pPr>
      <w:r>
        <w:t xml:space="preserve">Tras relatar los antecedentes fácticos, resumir las alegaciones formuladas por la recurrente y trascribir los fundamentos jurídicos 3 y 4 de la STC 151/2020, argumenta la fiscal ante el Tribunal Constitucional que este tribunal ha declarado inconstitucional y nulo el art. 238 </w:t>
      </w:r>
      <w:r w:rsidRPr="005728DD">
        <w:rPr>
          <w:i/>
        </w:rPr>
        <w:t>bis</w:t>
      </w:r>
      <w:r>
        <w:t xml:space="preserve">, último párrafo, de la Ley de enjuiciamiento criminal y que las mismas razones que </w:t>
      </w:r>
      <w:r>
        <w:lastRenderedPageBreak/>
        <w:t>han determinado la nulidad de dicha norma son las que deben conducir al otorgamiento del amparo (en sentido similar, STC 33/2020).</w:t>
      </w:r>
    </w:p>
    <w:p w:rsidR="005728DD" w:rsidRDefault="005728DD" w:rsidP="005728DD">
      <w:pPr>
        <w:pStyle w:val="TextoNormal"/>
      </w:pPr>
    </w:p>
    <w:p w:rsidR="005728DD" w:rsidRDefault="005728DD" w:rsidP="005728DD">
      <w:pPr>
        <w:pStyle w:val="TextoNormal"/>
      </w:pPr>
      <w:r>
        <w:t>Además, tal como se establece se establece en la STC 151/2020, en tanto el legislador no habilite legalmente un medio de impugnación que permita el control judicial de las resoluciones del letrado de la administración de justicia, que el apartado declarado nulo impedía, resultará procedente la formulación del recurso de revisión contra aquel decreto.</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 impugnación</w:t>
      </w:r>
      <w:r>
        <w:t>.</w:t>
      </w:r>
    </w:p>
    <w:p w:rsidR="005728DD" w:rsidRDefault="005728DD" w:rsidP="005728DD">
      <w:pPr>
        <w:pStyle w:val="TextoNormal"/>
      </w:pPr>
    </w:p>
    <w:p w:rsidR="005728DD" w:rsidRDefault="005728DD" w:rsidP="005728DD">
      <w:pPr>
        <w:pStyle w:val="TextoNormal"/>
      </w:pPr>
      <w:r>
        <w:t>El presente recurso de amparo se dirige contra el decreto del Juzgado de lo Penal núm. 6 de Alcalá de Henares, de fecha 29 de julio de 2019, desestimatorio del recurso de reposición interpuesto contra la diligencia de ordenación de 5 de febrero de 2019 dictada en el expediente de ejecución núm. 232-2018, en cuanto que establece que contra el mismo no cabe interponer recurso alguno.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Posiciones de las partes</w:t>
      </w:r>
      <w:r>
        <w:t>.</w:t>
      </w:r>
    </w:p>
    <w:p w:rsidR="005728DD" w:rsidRDefault="005728DD" w:rsidP="005728DD">
      <w:pPr>
        <w:pStyle w:val="TextoNormal"/>
      </w:pPr>
    </w:p>
    <w:p w:rsidR="005728DD" w:rsidRDefault="005728DD" w:rsidP="005728DD">
      <w:pPr>
        <w:pStyle w:val="TextoNormal"/>
      </w:pPr>
      <w:r>
        <w:t xml:space="preserve">Como con más detalle se ha indicado en el apartado de antecedentes, la parte recurrente no dirige su pretensión de amparo constitucional contra el contenido material del decreto impugnado, en cuanto desestimó el recurso de reposición por ella interpuesto, sino en cuanto no le da pie de recurso, lo que determina la imposibilidad de acceder a la tutela jurisdiccional de sus derechos e intereses legítimos, reconocida en el art. 24 CE, que no tienen atribuida los letrados de la administración de justicia. Sostiene que la regulación del artículo 238 </w:t>
      </w:r>
      <w:r w:rsidRPr="005728DD">
        <w:rPr>
          <w:i/>
        </w:rPr>
        <w:t>bis</w:t>
      </w:r>
      <w:r>
        <w:t xml:space="preserve"> LECrim, que expresamente proclama que “contra el decreto del secretario judicial que resuelva el recurso de reposición no cabrá interponer recurso alguno”, lesiona el derecho a la tutela judicial efectiva (art. 24.1 CE) y el principio de exclusividad de la potestad jurisdiccional (art. 117.3 CE).</w:t>
      </w:r>
    </w:p>
    <w:p w:rsidR="005728DD" w:rsidRDefault="005728DD" w:rsidP="005728DD">
      <w:pPr>
        <w:pStyle w:val="TextoNormal"/>
      </w:pPr>
    </w:p>
    <w:p w:rsidR="005728DD" w:rsidRDefault="005728DD" w:rsidP="005728DD">
      <w:pPr>
        <w:pStyle w:val="TextoNormal"/>
      </w:pPr>
      <w:r>
        <w:t>El Ministerio Fiscal defiende la pretensión de la parte recurrente con argumentos sustancialmente coincidentes con los expuestos por esta, y con reproducción de la STC 151/2020, de 22 de octubre, conforme ha quedado reflejado en el relato de antecedentes.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Análisis jurisprudencial: Incidencia de la sentencia</w:t>
      </w:r>
      <w:r>
        <w:t xml:space="preserve"> 151/2020.</w:t>
      </w:r>
    </w:p>
    <w:p w:rsidR="005728DD" w:rsidRDefault="005728DD" w:rsidP="005728DD">
      <w:pPr>
        <w:pStyle w:val="TextoNormal"/>
      </w:pPr>
    </w:p>
    <w:p w:rsidR="005728DD" w:rsidRDefault="005728DD" w:rsidP="005728DD">
      <w:pPr>
        <w:pStyle w:val="TextoNormal"/>
      </w:pPr>
      <w:r>
        <w:t xml:space="preserve">El último párrafo del art. 238 </w:t>
      </w:r>
      <w:r w:rsidRPr="005728DD">
        <w:rPr>
          <w:i/>
        </w:rPr>
        <w:t>bis</w:t>
      </w:r>
      <w:r>
        <w:t xml:space="preserve"> LECrim, en la redacción dada por la Ley 13/2009, de 3 de noviembre, establecía que contra “el decreto del secretario judicial que resuelva el recurso de reposición no cabrá interponer recurso alguno”.</w:t>
      </w:r>
    </w:p>
    <w:p w:rsidR="005728DD" w:rsidRDefault="005728DD" w:rsidP="005728DD">
      <w:pPr>
        <w:pStyle w:val="TextoNormal"/>
      </w:pPr>
    </w:p>
    <w:p w:rsidR="005728DD" w:rsidRDefault="005728DD" w:rsidP="005728DD">
      <w:pPr>
        <w:pStyle w:val="TextoNormal"/>
      </w:pPr>
      <w:r>
        <w:lastRenderedPageBreak/>
        <w:t>La STC 151/2020, de 22 de octubre, del Pleno de este tribunal, estimó la cuestión interna de inconstitucionalidad núm. 1231-2020, y declaró la inconstitucionalidad y nulidad de dicho precepto, por vulnerar el derecho fundamental a la tutela judicial efectiva garantizado por el art. 24.1 CE.</w:t>
      </w:r>
    </w:p>
    <w:p w:rsidR="005728DD" w:rsidRDefault="005728DD" w:rsidP="005728DD">
      <w:pPr>
        <w:pStyle w:val="TextoNormal"/>
      </w:pPr>
    </w:p>
    <w:p w:rsidR="005728DD" w:rsidRDefault="005728DD" w:rsidP="005728DD">
      <w:pPr>
        <w:pStyle w:val="TextoNormal"/>
      </w:pPr>
      <w:r>
        <w:t xml:space="preserve">Se concluye en la STC 151/2020, FJ 4, que “el último párrafo del art. 238 </w:t>
      </w:r>
      <w:r w:rsidRPr="005728DD">
        <w:rPr>
          <w:i/>
        </w:rPr>
        <w:t>bis</w:t>
      </w:r>
      <w:r>
        <w:t xml:space="preserve"> LECrim excluye todo control jurisdiccional del decreto del letrado de la administración de justicia que resuelve el recurso de reposición y cierra la posibilidad de una tutela de derechos e intereses legítimos que la Constitución contempla que sea siempre dispensada por los jueces y tribunales, creando un sector de inmunidad que no se compadece con el art. 24.1 CE, ni con lo previsto en el art. 117.3 CE. […] En definitiva, el precepto cuestionado vulnera el derecho a la tutela judicial efectiva (art. 24.1), ya que crea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34/2019, FJ 7, y 15/2020, FJ 3, que, en tanto el legislador no se pronuncie al respecto, el recurso judicial procedente frente al decreto del letrado de la administración de justicia resolutivo de la reposición sea el directo de revisión”.</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al caso concreto</w:t>
      </w:r>
      <w:r>
        <w:t>.</w:t>
      </w:r>
    </w:p>
    <w:p w:rsidR="005728DD" w:rsidRDefault="005728DD" w:rsidP="005728DD">
      <w:pPr>
        <w:pStyle w:val="TextoNormal"/>
      </w:pPr>
    </w:p>
    <w:p w:rsidR="005728DD" w:rsidRDefault="005728DD" w:rsidP="005728DD">
      <w:pPr>
        <w:pStyle w:val="TextoNormal"/>
      </w:pPr>
      <w:r>
        <w:t xml:space="preserve">La declaración de inconstitucionalidad y nulidad del último párrafo del art. 238 </w:t>
      </w:r>
      <w:r w:rsidRPr="005728DD">
        <w:rPr>
          <w:i/>
        </w:rPr>
        <w:t>bis</w:t>
      </w:r>
      <w:r>
        <w:t xml:space="preserve"> LECrim por la STC 151/2020 determina la estimación de la queja de la recurrente referida al decreto de la letrada de la administración de justicia de 29 de julio de 2019, que desestimó el recurso de reposición interpuesto contra la diligencia de ordenación de 5 de febrero de 2019 y señala que contra ese decreto no cabe interponer recurso alguno, de conformidad con lo dispuesto en el art. 238 </w:t>
      </w:r>
      <w:r w:rsidRPr="005728DD">
        <w:rPr>
          <w:i/>
        </w:rPr>
        <w:t>bis</w:t>
      </w:r>
      <w:r>
        <w:t xml:space="preserve"> LECrim.</w:t>
      </w:r>
    </w:p>
    <w:p w:rsidR="005728DD" w:rsidRDefault="005728DD" w:rsidP="005728DD">
      <w:pPr>
        <w:pStyle w:val="TextoNormal"/>
      </w:pPr>
    </w:p>
    <w:p w:rsidR="005728DD" w:rsidRDefault="005728DD" w:rsidP="005728DD">
      <w:pPr>
        <w:pStyle w:val="TextoNormal"/>
      </w:pPr>
      <w:r>
        <w:t>En efecto, los mismos razonamientos que han conducido en la STC 151/2020 a declarar la inconstitucionalidad y nulidad del último párrafo de esta norma deben llevar en el presente caso a apreciar que se ha vulnerado el derecho a la tutela judicial efectiva (art. 24.1) de la recurrente y a anular, en consecuencia, el decreto referido en el particular expuesto.</w:t>
      </w:r>
    </w:p>
    <w:p w:rsidR="005728DD" w:rsidRDefault="005728DD" w:rsidP="005728DD">
      <w:pPr>
        <w:pStyle w:val="TextoNormal"/>
      </w:pPr>
    </w:p>
    <w:p w:rsidR="005728DD" w:rsidRDefault="005728DD" w:rsidP="005728DD">
      <w:pPr>
        <w:pStyle w:val="TextoNormal"/>
      </w:pPr>
      <w:r>
        <w:t xml:space="preserve">En palabras de nuestra doctrina, la resolución ahora impugnada, de aplicación del artículo 238 </w:t>
      </w:r>
      <w:r w:rsidRPr="005728DD">
        <w:rPr>
          <w:i/>
        </w:rPr>
        <w:t>bis</w:t>
      </w:r>
      <w:r>
        <w:t xml:space="preserve"> LECrim, declarado inconstitucional, materializa la misma vulneración del derecho a la tutela judicial efectiva </w:t>
      </w:r>
      <w:r w:rsidRPr="005728DD">
        <w:rPr>
          <w:i/>
        </w:rPr>
        <w:t>ex</w:t>
      </w:r>
      <w:r>
        <w:t xml:space="preserve"> art. 24.1 CE que apreciamos en la norma en la que tiene su fuente (STC 125/2019, de 31 de octubre, FJ 4, con cita, por todas, de STC 159/1997, de 2 de octubre, FJ 6; citada, entre muchas, en las SSTC 91/2007, de 7 de mayo, FJ 4; 46/2008, de 10 de marzo, FJ 2, y 74/2017, de 19 de junio, FJ 2).</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Conclusión</w:t>
      </w:r>
      <w:r>
        <w:t>.</w:t>
      </w:r>
    </w:p>
    <w:p w:rsidR="005728DD" w:rsidRDefault="005728DD" w:rsidP="005728DD">
      <w:pPr>
        <w:pStyle w:val="TextoNormal"/>
      </w:pPr>
    </w:p>
    <w:p w:rsidR="005728DD" w:rsidRDefault="005728DD" w:rsidP="005728DD">
      <w:pPr>
        <w:pStyle w:val="TextoNormal"/>
      </w:pPr>
      <w:r>
        <w:t xml:space="preserve">Los razonamientos expuestos conducen a la estimación del recurso y apreciada la vulneración del derecho a la tutela judicial efectiva por la resolución dictada por la letrada de la administración de justicia, bastará, en orden a restablecer a la recurrente en la integridad de su derecho, con declarar la nulidad del citado decreto en cuanto señalaba que contra el mismo no cabía interponer recurso alguno; y retrotraer las actuaciones para que el órgano </w:t>
      </w:r>
      <w:r>
        <w:lastRenderedPageBreak/>
        <w:t>judicial le confiera la posibilidad de interponer recurso de revisión frente al referido decreto, de acuerdo con lo establecido en la STC 151/2020, FJ 4.</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representación procesal de doña María Virtudes Carnicel Flores,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del decreto de 29 de julio de 2019 dictado por el Juzgado de lo Penal núm. 6 de Alcalá de Henares en el expediente de ejecución núm. 232-2018, en cuanto estableció que contra el mismo no cabe interponer recurso alguno.</w:t>
      </w:r>
    </w:p>
    <w:p w:rsidR="005728DD" w:rsidRDefault="005728DD" w:rsidP="005728DD">
      <w:pPr>
        <w:pStyle w:val="TextoNormal"/>
      </w:pPr>
    </w:p>
    <w:p w:rsidR="005728DD" w:rsidRDefault="005728DD" w:rsidP="005728DD">
      <w:pPr>
        <w:pStyle w:val="TextoNormal"/>
      </w:pPr>
      <w:r>
        <w:t>3º Retrotraer las actuaciones al momento inmediatamente posterior al dictado del citado decreto para que el Juzgado de lo Penal núm. 6 de Alcalá de Henares provea a la reparación del derecho fundamental vulnerado en los términos que se especifican en el fundamento jurídico quinto de esta sentencia.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1" w:name="SENTENCIA_2021_58"/>
      <w:r>
        <w:lastRenderedPageBreak/>
        <w:t>SENTENCIA 58/2021, de 15 de marzo de 2021</w:t>
      </w:r>
    </w:p>
    <w:bookmarkEnd w:id="61"/>
    <w:p w:rsidR="005728DD" w:rsidRDefault="005728DD" w:rsidP="005728DD">
      <w:pPr>
        <w:pStyle w:val="TtuloResolucin"/>
      </w:pPr>
      <w:r>
        <w:t>Sala Segunda</w:t>
      </w:r>
    </w:p>
    <w:p w:rsidR="005728DD" w:rsidRDefault="005728DD" w:rsidP="005728DD">
      <w:pPr>
        <w:pStyle w:val="TtuloBOE"/>
      </w:pPr>
      <w:r>
        <w:t>(BOE núm. 97, de 23 de abril de 2021)</w:t>
      </w:r>
    </w:p>
    <w:p w:rsidR="005728DD" w:rsidRDefault="005728DD" w:rsidP="005728DD">
      <w:pPr>
        <w:pStyle w:val="TextoNormalCentrado"/>
      </w:pPr>
      <w:r>
        <w:t>ECLI:ES:TC:2021:58</w:t>
      </w:r>
    </w:p>
    <w:p w:rsidR="005728DD" w:rsidRDefault="005728DD" w:rsidP="005728DD">
      <w:pPr>
        <w:pStyle w:val="TextoNormalCentrado"/>
      </w:pPr>
    </w:p>
    <w:p w:rsidR="005728DD" w:rsidRDefault="005728DD" w:rsidP="005728DD">
      <w:pPr>
        <w:pStyle w:val="SntesisDescriptiva"/>
      </w:pPr>
      <w:r>
        <w:t>Recurso de amparo 6502-2019.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6502-2019, promovido por Euroinversiones Inmobiliarias Costa Sur, S.L., contra el auto del Juzgado de Primera Instancia e Instrucción núm. 5 de Lorca, de 10 de enero de 2019, que inadmitió la demanda de oposición a la ejecución formulada por dicha mercantil, en el procedimiento de ejecución hipotecaria núm. 355-2018 instado por la entidad Banco de Sabadell, S.A., y contra el auto del mismo juzgado, de 23 de septiembre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13 de noviembre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y Penrei Inversiones, S.L., en relación con la finca registral 43.357 sita en el término municipal de Lorca, resultando la primera de las demandadas la deudora hipotecaria y, la segunda, titular de un derecho de uso y disfrute sobre dicho inmueble.</w:t>
      </w:r>
    </w:p>
    <w:p w:rsidR="005728DD" w:rsidRDefault="005728DD" w:rsidP="005728DD">
      <w:pPr>
        <w:pStyle w:val="TextoNormal"/>
      </w:pPr>
    </w:p>
    <w:p w:rsidR="005728DD" w:rsidRDefault="005728DD" w:rsidP="005728DD">
      <w:pPr>
        <w:pStyle w:val="TextoNormal"/>
      </w:pPr>
      <w:r>
        <w:t>El Juzgado de Primera Instancia e Instrucción núm. 5 de Lorca, al que correspondió el conocimiento del proceso, dictó auto el 6 de junio de 2018 por el que acordó el despacho de ejecución (procedimiento de ejecución hipotecaria núm. 355-2018), requiriendo de pago a las ejecutadas y alternativo derecho a oponerse a la ejecución en el plazo de diez días.</w:t>
      </w:r>
    </w:p>
    <w:p w:rsidR="005728DD" w:rsidRDefault="005728DD" w:rsidP="005728DD">
      <w:pPr>
        <w:pStyle w:val="TextoNormal"/>
      </w:pPr>
    </w:p>
    <w:p w:rsidR="005728DD" w:rsidRDefault="005728DD" w:rsidP="005728DD">
      <w:pPr>
        <w:pStyle w:val="TextoNormal"/>
      </w:pPr>
      <w:r>
        <w:t>b) El 15 de junio de 2018, el servicio de notificaciones electrónicas de la Fábrica Nacional de Moneda y Timbre remitió un correo al buzón de la dirección electrónica habilitada de la entidad aquí recurrente en amparo, avisándole de una notificación del Juzgado de Primera Instancia e Instrucción núm. 5 de Lorca relativa al proceso “EJH/0000355/2018”, notificación a la que podía acceder entre los días 15 de junio a 31 de julio de 2018.</w:t>
      </w:r>
    </w:p>
    <w:p w:rsidR="005728DD" w:rsidRDefault="005728DD" w:rsidP="005728DD">
      <w:pPr>
        <w:pStyle w:val="TextoNormal"/>
      </w:pPr>
    </w:p>
    <w:p w:rsidR="005728DD" w:rsidRDefault="005728DD" w:rsidP="005728DD">
      <w:pPr>
        <w:pStyle w:val="TextoNormal"/>
      </w:pPr>
      <w:r>
        <w:t>c) El 25 de julio de 2018 por personal de la recurrente se accedió al enlace remitido por la dirección electrónica habilitada y, con ello, a la notificación enviada por el juzgado de primera instancia ejecutor en relación con el procedimiento hipotecario núm. 355-2018. También en esa fecha, la Fábrica Nacional de Moneda y Timbre emitió un certificado electrónico que obra en las actuaciones del proceso, dejando constancia de que la notificación había sido “aceptada”.</w:t>
      </w:r>
    </w:p>
    <w:p w:rsidR="005728DD" w:rsidRDefault="005728DD" w:rsidP="005728DD">
      <w:pPr>
        <w:pStyle w:val="TextoNormal"/>
      </w:pPr>
    </w:p>
    <w:p w:rsidR="005728DD" w:rsidRDefault="005728DD" w:rsidP="005728DD">
      <w:pPr>
        <w:pStyle w:val="TextoNormal"/>
      </w:pPr>
      <w:r>
        <w:t xml:space="preserve">d) El 31 de julio de 2018, el representante procesal de la demandante de amparo formalizó ante el juzgado </w:t>
      </w:r>
      <w:r w:rsidRPr="005728DD">
        <w:rPr>
          <w:i/>
        </w:rPr>
        <w:t>a quo</w:t>
      </w:r>
      <w:r>
        <w:t xml:space="preserve"> el escrito de oposición al despacho de ejecución.</w:t>
      </w:r>
    </w:p>
    <w:p w:rsidR="005728DD" w:rsidRDefault="005728DD" w:rsidP="005728DD">
      <w:pPr>
        <w:pStyle w:val="TextoNormal"/>
      </w:pPr>
    </w:p>
    <w:p w:rsidR="005728DD" w:rsidRDefault="005728DD" w:rsidP="005728DD">
      <w:pPr>
        <w:pStyle w:val="TextoNormal"/>
      </w:pPr>
      <w:r>
        <w:t>e) El Juzgado de Primera Instancia e Instrucción núm. 5 de Lorca dictó auto el 10 de enero de 2019, con esta dispositiva:</w:t>
      </w:r>
    </w:p>
    <w:p w:rsidR="005728DD" w:rsidRDefault="005728DD" w:rsidP="005728DD">
      <w:pPr>
        <w:pStyle w:val="TextoNormal"/>
      </w:pPr>
    </w:p>
    <w:p w:rsidR="005728DD" w:rsidRDefault="005728DD" w:rsidP="005728DD">
      <w:pPr>
        <w:pStyle w:val="TextoNormal"/>
      </w:pPr>
      <w:r>
        <w:t>“Acuerdo:</w:t>
      </w:r>
    </w:p>
    <w:p w:rsidR="005728DD" w:rsidRDefault="005728DD" w:rsidP="005728DD">
      <w:pPr>
        <w:pStyle w:val="TextoNormal"/>
      </w:pPr>
    </w:p>
    <w:p w:rsidR="005728DD" w:rsidRDefault="005728DD" w:rsidP="005728DD">
      <w:pPr>
        <w:pStyle w:val="TextoNormal"/>
      </w:pPr>
      <w:r>
        <w:t>1. Inadmitir a trámite la oposición formulada por la parte ejecutada Penrei Inversiones, S.L., Euroinversiones Inmobiliarias Costa Sur, S.L., representada por el procurador don Antonio Serrano Caro por estar presentada fuera de plazo, contra Banco de Sabadell, S.A.</w:t>
      </w:r>
    </w:p>
    <w:p w:rsidR="005728DD" w:rsidRDefault="005728DD" w:rsidP="005728DD">
      <w:pPr>
        <w:pStyle w:val="TextoNormal"/>
      </w:pPr>
    </w:p>
    <w:p w:rsidR="005728DD" w:rsidRDefault="005728DD" w:rsidP="005728DD">
      <w:pPr>
        <w:pStyle w:val="TextoNormal"/>
      </w:pPr>
      <w:r>
        <w:lastRenderedPageBreak/>
        <w:t>2. Mandar seguir con la presente ejecución y en los términos ya acordados”.</w:t>
      </w:r>
    </w:p>
    <w:p w:rsidR="005728DD" w:rsidRDefault="005728DD" w:rsidP="005728DD">
      <w:pPr>
        <w:pStyle w:val="TextoNormal"/>
      </w:pPr>
    </w:p>
    <w:p w:rsidR="005728DD" w:rsidRDefault="005728DD" w:rsidP="005728DD">
      <w:pPr>
        <w:pStyle w:val="TextoNormal"/>
      </w:pPr>
      <w:r>
        <w:t>En cuanto a la inadmisión del escrito de oposición a la ejecución, el auto razonó en su fundamento de Derecho único lo que sigue:</w:t>
      </w:r>
    </w:p>
    <w:p w:rsidR="005728DD" w:rsidRDefault="005728DD" w:rsidP="005728DD">
      <w:pPr>
        <w:pStyle w:val="TextoNormal"/>
      </w:pPr>
    </w:p>
    <w:p w:rsidR="005728DD" w:rsidRDefault="005728DD" w:rsidP="005728DD">
      <w:pPr>
        <w:pStyle w:val="TextoNormal"/>
      </w:pPr>
      <w:r>
        <w:t>“Único.-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5728DD" w:rsidRDefault="005728DD" w:rsidP="005728DD">
      <w:pPr>
        <w:pStyle w:val="TextoNormal"/>
      </w:pPr>
    </w:p>
    <w:p w:rsidR="005728DD" w:rsidRDefault="005728DD" w:rsidP="005728DD">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728DD" w:rsidRDefault="005728DD" w:rsidP="005728DD">
      <w:pPr>
        <w:pStyle w:val="TextoNormal"/>
      </w:pPr>
    </w:p>
    <w:p w:rsidR="005728DD" w:rsidRDefault="005728DD" w:rsidP="005728DD">
      <w:pPr>
        <w:pStyle w:val="TextoNormal"/>
      </w:pPr>
      <w:r>
        <w:t>Como pie de recurso, se ofrecía “recurso de reposición en el plazo de cinco días ante este tribunal”.</w:t>
      </w:r>
    </w:p>
    <w:p w:rsidR="005728DD" w:rsidRDefault="005728DD" w:rsidP="005728DD">
      <w:pPr>
        <w:pStyle w:val="TextoNormal"/>
      </w:pPr>
    </w:p>
    <w:p w:rsidR="005728DD" w:rsidRDefault="005728DD" w:rsidP="005728DD">
      <w:pPr>
        <w:pStyle w:val="TextoNormal"/>
      </w:pPr>
      <w:r>
        <w:t>f)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5728DD" w:rsidRDefault="005728DD" w:rsidP="005728DD">
      <w:pPr>
        <w:pStyle w:val="TextoNormal"/>
      </w:pPr>
    </w:p>
    <w:p w:rsidR="005728DD" w:rsidRDefault="005728DD" w:rsidP="005728DD">
      <w:pPr>
        <w:pStyle w:val="TextoNormal"/>
      </w:pPr>
      <w:r>
        <w:t>g) El juzgado ejecutor dictó auto el 23 de septiembre de 2019 en desestimación del recurso de reposición, con los argumentos que expuso en su razonamiento jurídico segundo:</w:t>
      </w:r>
    </w:p>
    <w:p w:rsidR="005728DD" w:rsidRDefault="005728DD" w:rsidP="005728DD">
      <w:pPr>
        <w:pStyle w:val="TextoNormal"/>
      </w:pPr>
    </w:p>
    <w:p w:rsidR="005728DD" w:rsidRDefault="005728DD" w:rsidP="005728DD">
      <w:pPr>
        <w:pStyle w:val="TextoNormal"/>
      </w:pPr>
      <w:r>
        <w:t>“El recurso debe ser desestimado pues ninguna infracción se comete en la resolución recurrida. En el presente caso, siendo indiscutible la condición de personas jurídicas de las recurrentes [</w:t>
      </w:r>
      <w:r w:rsidRPr="005728DD">
        <w:rPr>
          <w:i/>
        </w:rPr>
        <w:t>sic</w:t>
      </w:r>
      <w:r>
        <w:t>],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005728DD" w:rsidRDefault="005728DD" w:rsidP="005728DD">
      <w:pPr>
        <w:pStyle w:val="TextoNormal"/>
      </w:pPr>
    </w:p>
    <w:p w:rsidR="005728DD" w:rsidRDefault="005728DD" w:rsidP="005728DD">
      <w:pPr>
        <w:pStyle w:val="TextoNormal"/>
      </w:pPr>
      <w:r>
        <w:t>Interpretan las recurrentes de forma errónea la normativa aplicable. Así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5728DD" w:rsidRDefault="005728DD" w:rsidP="005728DD">
      <w:pPr>
        <w:pStyle w:val="TextoNormal"/>
      </w:pPr>
    </w:p>
    <w:p w:rsidR="005728DD" w:rsidRDefault="005728DD" w:rsidP="005728DD">
      <w:pPr>
        <w:pStyle w:val="TextoNormal"/>
      </w:pPr>
      <w:r>
        <w:lastRenderedPageBreak/>
        <w:t>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005728DD" w:rsidRDefault="005728DD" w:rsidP="005728DD">
      <w:pPr>
        <w:pStyle w:val="TextoNormal"/>
      </w:pPr>
    </w:p>
    <w:p w:rsidR="005728DD" w:rsidRDefault="005728DD" w:rsidP="005728DD">
      <w:pPr>
        <w:pStyle w:val="TextoNormal"/>
      </w:pPr>
      <w:r>
        <w:t>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y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005728DD" w:rsidRDefault="005728DD" w:rsidP="005728DD">
      <w:pPr>
        <w:pStyle w:val="TextoNormal"/>
      </w:pPr>
    </w:p>
    <w:p w:rsidR="005728DD" w:rsidRDefault="005728DD" w:rsidP="005728DD">
      <w:pPr>
        <w:pStyle w:val="TextoNormal"/>
      </w:pPr>
      <w:r>
        <w:t>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005728DD" w:rsidRDefault="005728DD" w:rsidP="005728DD">
      <w:pPr>
        <w:pStyle w:val="TextoNormal"/>
      </w:pPr>
    </w:p>
    <w:p w:rsidR="005728DD" w:rsidRDefault="005728DD" w:rsidP="005728DD">
      <w:pPr>
        <w:pStyle w:val="TextoNormal"/>
      </w:pPr>
      <w:r>
        <w:t>A tales efectos resulta clarificador el acuerdo no jurisdiccional del Pleno de la Sala Cuarta del Tribunal Supremo de 6 de julio de 2016 (LA LEY 72866/2016):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005728DD" w:rsidRDefault="005728DD" w:rsidP="005728DD">
      <w:pPr>
        <w:pStyle w:val="TextoNormal"/>
      </w:pPr>
    </w:p>
    <w:p w:rsidR="005728DD" w:rsidRDefault="005728DD" w:rsidP="005728DD">
      <w:pPr>
        <w:pStyle w:val="TextoNormal"/>
      </w:pPr>
      <w:r>
        <w:t>En parecidos términos se han manifestado la Sección Tercera de la Audiencia Provincial de Palma de Mallorca (sentencia 180/2018), o las Secciones Cuarta y Quinta de la Audiencia Provincial de Murcia (auto 68/2018 y sentencia 109/2018, respectivamente), dando validez a la notificación a personas jurídicas por canales electrónicos.</w:t>
      </w:r>
    </w:p>
    <w:p w:rsidR="005728DD" w:rsidRDefault="005728DD" w:rsidP="005728DD">
      <w:pPr>
        <w:pStyle w:val="TextoNormal"/>
      </w:pPr>
    </w:p>
    <w:p w:rsidR="005728DD" w:rsidRDefault="005728DD" w:rsidP="005728DD">
      <w:pPr>
        <w:pStyle w:val="TextoNormal"/>
      </w:pPr>
      <w:r>
        <w:lastRenderedPageBreak/>
        <w:t>De igual modo el Informe 12/2018 de la Comisión de consultas doctrinales del Colegio de Registradores de la Propiedad respondiendo a una consulta elevada por el Centro de estudios hipotecarios de Murcia, con carácter doctrinal y dejando a salvo la libertad de calificación se llega a las siguientes conclusiones:</w:t>
      </w:r>
    </w:p>
    <w:p w:rsidR="005728DD" w:rsidRDefault="005728DD" w:rsidP="005728DD">
      <w:pPr>
        <w:pStyle w:val="TextoNormal"/>
      </w:pPr>
    </w:p>
    <w:p w:rsidR="005728DD" w:rsidRDefault="005728DD" w:rsidP="005728DD">
      <w:pPr>
        <w:pStyle w:val="TextoNormal"/>
      </w:pPr>
      <w:r>
        <w:t>a) La exigencia legal de la fijación de un domicilio trata de conjugar la agilidad del procedimiento de ejecución, facilitando al acreedor el requerimiento al deudor, con la tutela judicial efectiva del mismo, evitando su indefensión, por lo que no se considerará obstáculo que impida la inscripción el hecho de que el requerimiento de pago al deudor, hipotecante no deudor o tercer poseedor, cuando se trate de personas jurídicas, se haya efectuado por medios electrónicos, siempre que del decreto se desprenda que este requerimiento se ha realizado.</w:t>
      </w:r>
    </w:p>
    <w:p w:rsidR="005728DD" w:rsidRDefault="005728DD" w:rsidP="005728DD">
      <w:pPr>
        <w:pStyle w:val="TextoNormal"/>
      </w:pPr>
    </w:p>
    <w:p w:rsidR="005728DD" w:rsidRDefault="005728DD" w:rsidP="005728DD">
      <w:pPr>
        <w:pStyle w:val="TextoNormal"/>
      </w:pPr>
      <w:r>
        <w:t>b) Si ese requerimiento electrónico ha sido fallido, al menos cuando la persona jurídica a notificar o requerir no haya sido la impulsora del procedimiento y no conste inscrita una dirección electrónica, no puede considerarse que el mismo se ha realizado y, a efectos de la inscripción de la ejecución hipotecaria, debe exigirse que la notificación se haya intentado también en el domicilio que conste en el registro y, en su caso, en el domicilio real personal al que se ha referido este informe.</w:t>
      </w:r>
    </w:p>
    <w:p w:rsidR="005728DD" w:rsidRDefault="005728DD" w:rsidP="005728DD">
      <w:pPr>
        <w:pStyle w:val="TextoNormal"/>
      </w:pPr>
    </w:p>
    <w:p w:rsidR="005728DD" w:rsidRDefault="005728DD" w:rsidP="005728DD">
      <w:pPr>
        <w:pStyle w:val="TextoNormal"/>
      </w:pPr>
      <w:r>
        <w:t>c) Se trata, en todo caso, de que la notificación se realice efectivamente en la persona que deba recibirla, de modo que la circunstancia de que figure un domicilio en el registro a efectos de notificaciones únicamente trata de dar efectividad a esta comunicación, facilitando el desarrollo del procedimiento, pero sin que pueda considerarse un impedimento la circunstancia de que el requerimiento se efectúe por otros medios. A la inversa, la existencia de un domicilio electrónico, no puede excluir la posibilidad de efectuar la notificación en el domicilio personal pactado o real, si aquella resulta infructuosa.</w:t>
      </w:r>
    </w:p>
    <w:p w:rsidR="005728DD" w:rsidRDefault="005728DD" w:rsidP="005728DD">
      <w:pPr>
        <w:pStyle w:val="TextoNormal"/>
      </w:pPr>
    </w:p>
    <w:p w:rsidR="005728DD" w:rsidRDefault="005728DD" w:rsidP="005728DD">
      <w:pPr>
        <w:pStyle w:val="TextoNormal"/>
      </w:pPr>
      <w:r>
        <w:t>d) Por último, mientras no se modifique el artículo 682 de la Ley de enjuiciamiento civil, no se considera que sea defecto la ausencia, en la escritura de constitución de hipoteca, del domicilio electrónico a efecto de las comunicaciones con las personas jurídicas afectadas.</w:t>
      </w:r>
    </w:p>
    <w:p w:rsidR="005728DD" w:rsidRDefault="005728DD" w:rsidP="005728DD">
      <w:pPr>
        <w:pStyle w:val="TextoNormal"/>
      </w:pPr>
    </w:p>
    <w:p w:rsidR="005728DD" w:rsidRDefault="005728DD" w:rsidP="005728DD">
      <w:pPr>
        <w:pStyle w:val="TextoNormal"/>
      </w:pPr>
      <w:r>
        <w:t>En el presente caso, consta que la notificación se puso a disposición de las recurrentes en fecha 15/06/2018 no accediendo al contenido hasta el día 25/07/2018 (fuera de los tres días que establece la normativa procesal), presentando los escritos de oposición a la ejecución en fecha 31/07/2018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t>Como pie de recurso, el auto indicaba que dicha resolución “es firme, y contra la misma no cabe recurso alguno”. Tanto este auto como el anterior de 10 de enero de 2019, fueron notificados por el juzgado al procurador de la demandante de amparo a través del sistema Lexnet, tal como obra en las actuaciones.</w:t>
      </w:r>
    </w:p>
    <w:p w:rsidR="005728DD" w:rsidRDefault="005728DD" w:rsidP="005728DD">
      <w:pPr>
        <w:pStyle w:val="TextoNormal"/>
      </w:pPr>
    </w:p>
    <w:p w:rsidR="005728DD" w:rsidRDefault="005728DD" w:rsidP="005728DD">
      <w:pPr>
        <w:pStyle w:val="TextoNormal"/>
      </w:pPr>
      <w:r>
        <w:lastRenderedPageBreak/>
        <w:t>Notificado así el auto de 23 de septiembre de 2019, por la indicada mercantil se interpuso el presente recurso.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5728DD" w:rsidRDefault="005728DD" w:rsidP="005728DD">
      <w:pPr>
        <w:pStyle w:val="TextoNormal"/>
      </w:pPr>
    </w:p>
    <w:p w:rsidR="005728DD" w:rsidRDefault="005728DD" w:rsidP="005728DD">
      <w:pPr>
        <w:pStyle w:val="TextoNormal"/>
      </w:pPr>
      <w:r>
        <w:t>Sobre el auto del 23 de septiembre de 2019 que desestimó el recurso de reposición promovido contra la anterior resolución —y del que se han expuesto sus argumentos—, se rechaza por la recurrente que el juzgado haya fundamentado su segunda decisión en la Ley del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005728DD" w:rsidRDefault="005728DD" w:rsidP="005728DD">
      <w:pPr>
        <w:pStyle w:val="TextoNormal"/>
      </w:pPr>
    </w:p>
    <w:p w:rsidR="005728DD" w:rsidRDefault="005728DD" w:rsidP="005728DD">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w:t>
      </w:r>
      <w:r w:rsidRPr="005728DD">
        <w:rPr>
          <w:i/>
        </w:rPr>
        <w:t>a quo</w:t>
      </w:r>
      <w:r>
        <w:t xml:space="preserve"> admita a trámite la oposición al despacho de ejecución formulada.</w:t>
      </w:r>
    </w:p>
    <w:p w:rsidR="005728DD" w:rsidRDefault="005728DD" w:rsidP="005728DD">
      <w:pPr>
        <w:pStyle w:val="TextoNormal"/>
      </w:pPr>
    </w:p>
    <w:p w:rsidR="005728DD" w:rsidRDefault="005728DD" w:rsidP="005728DD">
      <w:pPr>
        <w:pStyle w:val="TextoNormal"/>
      </w:pPr>
      <w:r>
        <w:t>Por medio de un segundo otrosí digo, el escrito de demanda argumentó “que la continuación de la ejecución derivadas [</w:t>
      </w:r>
      <w:r w:rsidRPr="005728DD">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355-2018 seguido ante el Juzgado de Primera Instancia e Instrucción núm. 5 de Lorca, hasta tanto sea resuelto el presente recurso de amparo, poniéndolo en conocimiento del órgano judicial”.</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Una vez recibidas las actuaciones, la Sección Cuarta de este tribunal dictó providencia el 29 de junio de 2020 por la que acordó: (i) admitir a trámite el recurso, “apreciando que concurre en el mismo una especial trascendencia constitucional (art. 50.1 LOTC) porque el recurso plantea un problema o afecta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constatar que el testimonio de las actuaciones ya había sido remitido a requerimiento de la Secretaría de Justicia de la Sección y emplazar a través del juzgado ejecutor </w:t>
      </w:r>
      <w:r>
        <w:lastRenderedPageBreak/>
        <w:t>a quienes hubieren sido parte en el procedimiento excepto a la parte recurrente en amparo; y (iii) formar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11 de septiembre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la Secretaría de Justicia de la Sección Cuarta de 28 de octubre de 2020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7</w:t>
      </w:r>
      <w:r>
        <w:t>. El fiscal ante este Tribunal Constitucional presentó escrito de alegaciones el 30 de noviembre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5 de Lorca, en el juicio de ejecución hipotecaria 355-2018”, y retroacción de las actuaciones al momento inmediato anterior a aquella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t>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005728DD" w:rsidRDefault="005728DD" w:rsidP="005728DD">
      <w:pPr>
        <w:pStyle w:val="TextoNormal"/>
      </w:pPr>
    </w:p>
    <w:p w:rsidR="005728DD" w:rsidRDefault="005728DD" w:rsidP="005728DD">
      <w:pPr>
        <w:pStyle w:val="TextoNormal"/>
      </w:pPr>
      <w:r w:rsidRPr="005728DD">
        <w:rPr>
          <w:rStyle w:val="NumeroAFNegritaCaracter"/>
        </w:rPr>
        <w:t>8</w:t>
      </w:r>
      <w:r>
        <w:t>. La representante procesal de la entidad recurrente presentó su escrito de alegaciones el 2 de diciembre de 2020, por el que interesó se dictara resolución estimatoria del recurso de amparo, haciendo mención a la STC 40/2020, del Pleno del Tribunal Constitucional que resuelve el recurso de amparo 5377-2018 promovido por la misma parte Euroinversiones Inmobiliarias Costa Sur, S.L., “en un asunto prácticamente igual al del presente recurso de amparo” que refuerza las exigencias para llevar a efecto el primer emplazamiento.</w:t>
      </w:r>
    </w:p>
    <w:p w:rsidR="005728DD" w:rsidRDefault="005728DD" w:rsidP="005728DD">
      <w:pPr>
        <w:pStyle w:val="TextoNormal"/>
      </w:pPr>
    </w:p>
    <w:p w:rsidR="005728DD" w:rsidRDefault="005728DD" w:rsidP="005728DD">
      <w:pPr>
        <w:pStyle w:val="TextoNormal"/>
      </w:pPr>
      <w:r w:rsidRPr="005728DD">
        <w:rPr>
          <w:rStyle w:val="NumeroAFNegritaCaracter"/>
        </w:rPr>
        <w:t>9</w:t>
      </w:r>
      <w:r>
        <w:t>. No consta presentado dentro del plazo del art. 52 LOTC, o con posterioridad, ningún escrito de alegaciones de la entidad Pera Assets Designated Activity Company.</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10</w:t>
      </w:r>
      <w:r>
        <w:t>. Respecto de la solicitud de suspensión formulada por la recurrente en amparo mediante otrosí de su escrito de demanda, por auto de la Sala Segunda de este tribunal núm. 108/2020, de 21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728DD" w:rsidRDefault="005728DD" w:rsidP="005728DD">
      <w:pPr>
        <w:pStyle w:val="TextoNormal"/>
      </w:pPr>
    </w:p>
    <w:p w:rsidR="005728DD" w:rsidRDefault="005728DD" w:rsidP="005728DD">
      <w:pPr>
        <w:pStyle w:val="TextoNormal"/>
      </w:pPr>
      <w:r w:rsidRPr="005728DD">
        <w:rPr>
          <w:rStyle w:val="NumeroAFNegritaCaracter"/>
        </w:rPr>
        <w:t>11</w:t>
      </w:r>
      <w:r>
        <w:t>. Por la Secretaría de Justicia se ha dictado diligencia el 11 de diciembre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005728DD" w:rsidRDefault="005728DD" w:rsidP="005728DD">
      <w:pPr>
        <w:pStyle w:val="TextoNormal"/>
      </w:pPr>
    </w:p>
    <w:p w:rsidR="005728DD" w:rsidRDefault="005728DD" w:rsidP="005728DD">
      <w:pPr>
        <w:pStyle w:val="TextoNormal"/>
      </w:pPr>
      <w:r w:rsidRPr="005728DD">
        <w:rPr>
          <w:rStyle w:val="NumeroAFNegritaCaracter"/>
        </w:rPr>
        <w:t>12</w:t>
      </w:r>
      <w:r>
        <w:t>. Mediante providencia de fecha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5728DD" w:rsidRDefault="005728DD" w:rsidP="005728DD">
      <w:pPr>
        <w:pStyle w:val="TextoNormal"/>
      </w:pPr>
    </w:p>
    <w:p w:rsidR="005728DD" w:rsidRDefault="005728DD" w:rsidP="005728DD">
      <w:pPr>
        <w:pStyle w:val="TextoNormal"/>
      </w:pPr>
      <w:r>
        <w:t>En concreto, en el presente recurso la entidad Euroinversiones Inmobiliarias Costa Sur, S.L., impugna los autos del Juzgado de Primera Instancia e Instrucción núm. 5 de Lorca, de 10 de enero de 2019 y 23 de septiembre de 2019, recaídos en el proceso hipotecario núm. 355-2018.</w:t>
      </w:r>
    </w:p>
    <w:p w:rsidR="005728DD" w:rsidRDefault="005728DD" w:rsidP="005728DD">
      <w:pPr>
        <w:pStyle w:val="TextoNormal"/>
      </w:pPr>
    </w:p>
    <w:p w:rsidR="005728DD" w:rsidRDefault="005728DD" w:rsidP="005728DD">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5728DD" w:rsidRDefault="005728DD" w:rsidP="005728DD">
      <w:pPr>
        <w:pStyle w:val="TextoNormal"/>
      </w:pPr>
    </w:p>
    <w:p w:rsidR="005728DD" w:rsidRDefault="005728DD" w:rsidP="005728DD">
      <w:pPr>
        <w:pStyle w:val="TextoNormal"/>
      </w:pPr>
      <w:r>
        <w:lastRenderedPageBreak/>
        <w:t>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5728DD">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5728DD">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a través de la dirección electrónica habilitada, con retroacción de las actuaciones para que </w:t>
      </w:r>
      <w:r>
        <w:lastRenderedPageBreak/>
        <w:t>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10 de enero de 2019 y 23 de septiembre de 2019, dictados por el Juzgado de Primera Instancia e Instrucción núm. 5 de Lorca en el proceso de ejecución hipotecaria núm. 355-2018,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2" w:name="SENTENCIA_2021_59"/>
      <w:r>
        <w:lastRenderedPageBreak/>
        <w:t>SENTENCIA 59/2021, de 15 de marzo de 2021</w:t>
      </w:r>
    </w:p>
    <w:bookmarkEnd w:id="62"/>
    <w:p w:rsidR="005728DD" w:rsidRDefault="005728DD" w:rsidP="005728DD">
      <w:pPr>
        <w:pStyle w:val="TtuloResolucin"/>
      </w:pPr>
      <w:r>
        <w:t>Sala Segunda</w:t>
      </w:r>
    </w:p>
    <w:p w:rsidR="005728DD" w:rsidRDefault="005728DD" w:rsidP="005728DD">
      <w:pPr>
        <w:pStyle w:val="TtuloBOE"/>
      </w:pPr>
      <w:r>
        <w:t>(BOE núm. 97, de 23 de abril de 2021)</w:t>
      </w:r>
    </w:p>
    <w:p w:rsidR="005728DD" w:rsidRDefault="005728DD" w:rsidP="005728DD">
      <w:pPr>
        <w:pStyle w:val="TextoNormalCentrado"/>
      </w:pPr>
      <w:r>
        <w:t>ECLI:ES:TC:2021:59</w:t>
      </w:r>
    </w:p>
    <w:p w:rsidR="005728DD" w:rsidRDefault="005728DD" w:rsidP="005728DD">
      <w:pPr>
        <w:pStyle w:val="TextoNormalCentrado"/>
      </w:pPr>
    </w:p>
    <w:p w:rsidR="005728DD" w:rsidRDefault="005728DD" w:rsidP="005728DD">
      <w:pPr>
        <w:pStyle w:val="SntesisDescriptiva"/>
      </w:pPr>
      <w:r>
        <w:t>Recurso de amparo 6503-2019.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6503-2019, promovido por Penrei Inversiones, S.L., contra el auto del Juzgado de Primera Instancia e Instrucción núm. 5 de Lorca, de 10 de enero de 2019, que inadmitió la demanda de oposición a la ejecución formulada por dicha mercantil, en el procedimiento de ejecución hipotecaria núm. 355-2018 instado por la entidad Banco de Sabadell, S.A., y contra el auto del mismo juzgado, de 23 de septiembre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13 de noviembre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y Penrei Inversiones, S.L., en relación con la finca registral 43.357 sita en el término municipal de Lorca, resultando la primera de las demandadas la deudora hipotecaria y, la segunda, titular de un derecho de uso y disfrute sobre dicho inmueble.</w:t>
      </w:r>
    </w:p>
    <w:p w:rsidR="005728DD" w:rsidRDefault="005728DD" w:rsidP="005728DD">
      <w:pPr>
        <w:pStyle w:val="TextoNormal"/>
      </w:pPr>
    </w:p>
    <w:p w:rsidR="005728DD" w:rsidRDefault="005728DD" w:rsidP="005728DD">
      <w:pPr>
        <w:pStyle w:val="TextoNormal"/>
      </w:pPr>
      <w:r>
        <w:t>El Juzgado de Primera Instancia e Instrucción núm. 5 de Lorca, al que correspondió el conocimiento del proceso, dictó auto el 6 de junio de 2018 por el que acordó el despacho de ejecución (procedimiento de ejecución hipotecaria núm. 355-2018), requiriendo de pago a las ejecutadas y alternativo derecho a oponerse a la ejecución en el plazo de diez días.</w:t>
      </w:r>
    </w:p>
    <w:p w:rsidR="005728DD" w:rsidRDefault="005728DD" w:rsidP="005728DD">
      <w:pPr>
        <w:pStyle w:val="TextoNormal"/>
      </w:pPr>
    </w:p>
    <w:p w:rsidR="005728DD" w:rsidRDefault="005728DD" w:rsidP="005728DD">
      <w:pPr>
        <w:pStyle w:val="TextoNormal"/>
      </w:pPr>
      <w:r>
        <w:t>b) El 15 de junio de 2018, el servicio de notificaciones electrónicas de la Fábrica Nacional de Moneda y Timbre remitió un correo al buzón de la dirección electrónica habilitada de la entidad aquí recurrente en amparo, avisándole de una notificación del Juzgado de Primera Instancia e Instrucción núm. 5 de Lorca relativa al proceso “EJH/0000355/2018”; notificación a la que podía acceder entre los días 15 de junio y 31 de julio de 2018.</w:t>
      </w:r>
    </w:p>
    <w:p w:rsidR="005728DD" w:rsidRDefault="005728DD" w:rsidP="005728DD">
      <w:pPr>
        <w:pStyle w:val="TextoNormal"/>
      </w:pPr>
    </w:p>
    <w:p w:rsidR="005728DD" w:rsidRDefault="005728DD" w:rsidP="005728DD">
      <w:pPr>
        <w:pStyle w:val="TextoNormal"/>
      </w:pPr>
      <w:r>
        <w:t>c) El 25 de julio de 2018 por personal de la recurrente se accedió al enlace remitido por la dirección electrónica habilitada y, con ello, a la notificación enviada por el juzgado de primera instancia ejecutor en relación con el procedimiento hipotecario núm. 355-2018. También en esa fecha, la Fábrica Nacional de Moneda y Timbre emitió un certificado electrónico que obra en las actuaciones del proceso, dejando constancia de que la notificación había sido “aceptada”.</w:t>
      </w:r>
    </w:p>
    <w:p w:rsidR="005728DD" w:rsidRDefault="005728DD" w:rsidP="005728DD">
      <w:pPr>
        <w:pStyle w:val="TextoNormal"/>
      </w:pPr>
    </w:p>
    <w:p w:rsidR="005728DD" w:rsidRDefault="005728DD" w:rsidP="005728DD">
      <w:pPr>
        <w:pStyle w:val="TextoNormal"/>
      </w:pPr>
      <w:r>
        <w:t xml:space="preserve">d) El 31 de julio de 2018, el representante procesal de la demandante de amparo formalizó ante el juzgado </w:t>
      </w:r>
      <w:r w:rsidRPr="005728DD">
        <w:rPr>
          <w:i/>
        </w:rPr>
        <w:t>a quo</w:t>
      </w:r>
      <w:r>
        <w:t xml:space="preserve"> el escrito de oposición al despacho de ejecución.</w:t>
      </w:r>
    </w:p>
    <w:p w:rsidR="005728DD" w:rsidRDefault="005728DD" w:rsidP="005728DD">
      <w:pPr>
        <w:pStyle w:val="TextoNormal"/>
      </w:pPr>
    </w:p>
    <w:p w:rsidR="005728DD" w:rsidRDefault="005728DD" w:rsidP="005728DD">
      <w:pPr>
        <w:pStyle w:val="TextoNormal"/>
      </w:pPr>
      <w:r>
        <w:t>e) El Juzgado de Primera Instancia e Instrucción núm. 5 de Lorca dictó auto el 10 de enero de 2019, con esta dispositiva:</w:t>
      </w:r>
    </w:p>
    <w:p w:rsidR="005728DD" w:rsidRDefault="005728DD" w:rsidP="005728DD">
      <w:pPr>
        <w:pStyle w:val="TextoNormal"/>
      </w:pPr>
    </w:p>
    <w:p w:rsidR="005728DD" w:rsidRDefault="005728DD" w:rsidP="005728DD">
      <w:pPr>
        <w:pStyle w:val="TextoNormal"/>
      </w:pPr>
      <w:r>
        <w:t>“Acuerdo:</w:t>
      </w:r>
    </w:p>
    <w:p w:rsidR="005728DD" w:rsidRDefault="005728DD" w:rsidP="005728DD">
      <w:pPr>
        <w:pStyle w:val="TextoNormal"/>
      </w:pPr>
    </w:p>
    <w:p w:rsidR="005728DD" w:rsidRDefault="005728DD" w:rsidP="005728DD">
      <w:pPr>
        <w:pStyle w:val="TextoNormal"/>
      </w:pPr>
      <w:r>
        <w:t>1. Inadmitir a trámite la oposición formulada por la parte ejecutada Penrei Inversiones, S.L., Euroinversiones Inmobiliarias Costa Sur, S.L., representada por el procurador don Antonio Serrano Caro por estar presentada fuera de plazo, contra Banco de Sabadell, S.A.</w:t>
      </w:r>
    </w:p>
    <w:p w:rsidR="005728DD" w:rsidRDefault="005728DD" w:rsidP="005728DD">
      <w:pPr>
        <w:pStyle w:val="TextoNormal"/>
      </w:pPr>
    </w:p>
    <w:p w:rsidR="005728DD" w:rsidRDefault="005728DD" w:rsidP="005728DD">
      <w:pPr>
        <w:pStyle w:val="TextoNormal"/>
      </w:pPr>
      <w:r>
        <w:lastRenderedPageBreak/>
        <w:t>2. Mandar seguir con la presente ejecución y en los términos ya acordados”.</w:t>
      </w:r>
    </w:p>
    <w:p w:rsidR="005728DD" w:rsidRDefault="005728DD" w:rsidP="005728DD">
      <w:pPr>
        <w:pStyle w:val="TextoNormal"/>
      </w:pPr>
    </w:p>
    <w:p w:rsidR="005728DD" w:rsidRDefault="005728DD" w:rsidP="005728DD">
      <w:pPr>
        <w:pStyle w:val="TextoNormal"/>
      </w:pPr>
      <w:r>
        <w:t>En cuanto a la inadmisión del escrito de oposición a la ejecución, el auto razonó en su fundamento de Derecho único lo que sigue:</w:t>
      </w:r>
    </w:p>
    <w:p w:rsidR="005728DD" w:rsidRDefault="005728DD" w:rsidP="005728DD">
      <w:pPr>
        <w:pStyle w:val="TextoNormal"/>
      </w:pPr>
    </w:p>
    <w:p w:rsidR="005728DD" w:rsidRDefault="005728DD" w:rsidP="005728DD">
      <w:pPr>
        <w:pStyle w:val="TextoNormal"/>
      </w:pPr>
      <w:r>
        <w:t>“Único.-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5728DD" w:rsidRDefault="005728DD" w:rsidP="005728DD">
      <w:pPr>
        <w:pStyle w:val="TextoNormal"/>
      </w:pPr>
    </w:p>
    <w:p w:rsidR="005728DD" w:rsidRDefault="005728DD" w:rsidP="005728DD">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728DD" w:rsidRDefault="005728DD" w:rsidP="005728DD">
      <w:pPr>
        <w:pStyle w:val="TextoNormal"/>
      </w:pPr>
    </w:p>
    <w:p w:rsidR="005728DD" w:rsidRDefault="005728DD" w:rsidP="005728DD">
      <w:pPr>
        <w:pStyle w:val="TextoNormal"/>
      </w:pPr>
      <w:r>
        <w:t>Como pie de recurso, se ofrecía “recurso de reposición en el plazo de cinco días ante este tribunal”.</w:t>
      </w:r>
    </w:p>
    <w:p w:rsidR="005728DD" w:rsidRDefault="005728DD" w:rsidP="005728DD">
      <w:pPr>
        <w:pStyle w:val="TextoNormal"/>
      </w:pPr>
    </w:p>
    <w:p w:rsidR="005728DD" w:rsidRDefault="005728DD" w:rsidP="005728DD">
      <w:pPr>
        <w:pStyle w:val="TextoNormal"/>
      </w:pPr>
      <w:r>
        <w:t>f)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5728DD" w:rsidRDefault="005728DD" w:rsidP="005728DD">
      <w:pPr>
        <w:pStyle w:val="TextoNormal"/>
      </w:pPr>
    </w:p>
    <w:p w:rsidR="005728DD" w:rsidRDefault="005728DD" w:rsidP="005728DD">
      <w:pPr>
        <w:pStyle w:val="TextoNormal"/>
      </w:pPr>
      <w:r>
        <w:t>g) El juzgado ejecutor dictó auto el 23 de septiembre de 2019 en desestimación del recurso de reposición, con los argumentos que expuso en su razonamiento jurídico segundo:</w:t>
      </w:r>
    </w:p>
    <w:p w:rsidR="005728DD" w:rsidRDefault="005728DD" w:rsidP="005728DD">
      <w:pPr>
        <w:pStyle w:val="TextoNormal"/>
      </w:pPr>
    </w:p>
    <w:p w:rsidR="005728DD" w:rsidRDefault="005728DD" w:rsidP="005728DD">
      <w:pPr>
        <w:pStyle w:val="TextoNormal"/>
      </w:pPr>
      <w:r>
        <w:t>“El recurso debe ser desestimado pues ninguna infracción se comete en la resolución recurrida. En el presente caso, siendo indiscutible la condición de personas jurídicas de las recurrentes [</w:t>
      </w:r>
      <w:r w:rsidRPr="005728DD">
        <w:rPr>
          <w:i/>
        </w:rPr>
        <w:t>sic</w:t>
      </w:r>
      <w:r>
        <w:t>],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005728DD" w:rsidRDefault="005728DD" w:rsidP="005728DD">
      <w:pPr>
        <w:pStyle w:val="TextoNormal"/>
      </w:pPr>
    </w:p>
    <w:p w:rsidR="005728DD" w:rsidRDefault="005728DD" w:rsidP="005728DD">
      <w:pPr>
        <w:pStyle w:val="TextoNormal"/>
      </w:pPr>
      <w:r>
        <w:t>Interpretan las recurrentes de forma errónea la normativa aplicable. Así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5728DD" w:rsidRDefault="005728DD" w:rsidP="005728DD">
      <w:pPr>
        <w:pStyle w:val="TextoNormal"/>
      </w:pPr>
    </w:p>
    <w:p w:rsidR="005728DD" w:rsidRDefault="005728DD" w:rsidP="005728DD">
      <w:pPr>
        <w:pStyle w:val="TextoNormal"/>
      </w:pPr>
      <w:r>
        <w:lastRenderedPageBreak/>
        <w:t>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005728DD" w:rsidRDefault="005728DD" w:rsidP="005728DD">
      <w:pPr>
        <w:pStyle w:val="TextoNormal"/>
      </w:pPr>
    </w:p>
    <w:p w:rsidR="005728DD" w:rsidRDefault="005728DD" w:rsidP="005728DD">
      <w:pPr>
        <w:pStyle w:val="TextoNormal"/>
      </w:pPr>
      <w:r>
        <w:t>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y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005728DD" w:rsidRDefault="005728DD" w:rsidP="005728DD">
      <w:pPr>
        <w:pStyle w:val="TextoNormal"/>
      </w:pPr>
    </w:p>
    <w:p w:rsidR="005728DD" w:rsidRDefault="005728DD" w:rsidP="005728DD">
      <w:pPr>
        <w:pStyle w:val="TextoNormal"/>
      </w:pPr>
      <w:r>
        <w:t>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005728DD" w:rsidRDefault="005728DD" w:rsidP="005728DD">
      <w:pPr>
        <w:pStyle w:val="TextoNormal"/>
      </w:pPr>
    </w:p>
    <w:p w:rsidR="005728DD" w:rsidRDefault="005728DD" w:rsidP="005728DD">
      <w:pPr>
        <w:pStyle w:val="TextoNormal"/>
      </w:pPr>
      <w:r>
        <w:t>A tales efectos resulta clarificador el acuerdo no jurisdiccional del Pleno de la Sala Cuarta del Tribunal Supremo de 6 de julio de 2.016 (LA LEY 72866/2016):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005728DD" w:rsidRDefault="005728DD" w:rsidP="005728DD">
      <w:pPr>
        <w:pStyle w:val="TextoNormal"/>
      </w:pPr>
    </w:p>
    <w:p w:rsidR="005728DD" w:rsidRDefault="005728DD" w:rsidP="005728DD">
      <w:pPr>
        <w:pStyle w:val="TextoNormal"/>
      </w:pPr>
      <w:r>
        <w:t>En parecidos términos se han manifestado la Sección Tercera de la Audiencia Provincial de Palma de Mallorca (sentencia 180/2018), o las Secciones Cuarta y Quinta de la Audiencia Provincial de Murcia (auto 68/2018 y sentencia 109/2018, respectivamente), dando validez a la notificación a personas jurídicas por canales electrónicos.</w:t>
      </w:r>
    </w:p>
    <w:p w:rsidR="005728DD" w:rsidRDefault="005728DD" w:rsidP="005728DD">
      <w:pPr>
        <w:pStyle w:val="TextoNormal"/>
      </w:pPr>
    </w:p>
    <w:p w:rsidR="005728DD" w:rsidRDefault="005728DD" w:rsidP="005728DD">
      <w:pPr>
        <w:pStyle w:val="TextoNormal"/>
      </w:pPr>
      <w:r>
        <w:lastRenderedPageBreak/>
        <w:t>De igual modo el Informe 12/2018 de la Comisión de consultas doctrinales del Colegio de Registradores de la Propiedad respondiendo a una consulta elevada por el Centro de estudios hipotecarios de Murcia, con carácter doctrinal y dejando a salvo la libertad de calificación se llega a las siguientes conclusiones:</w:t>
      </w:r>
    </w:p>
    <w:p w:rsidR="005728DD" w:rsidRDefault="005728DD" w:rsidP="005728DD">
      <w:pPr>
        <w:pStyle w:val="TextoNormal"/>
      </w:pPr>
    </w:p>
    <w:p w:rsidR="005728DD" w:rsidRDefault="005728DD" w:rsidP="005728DD">
      <w:pPr>
        <w:pStyle w:val="TextoNormal"/>
      </w:pPr>
      <w:r>
        <w:t>a) La exigencia legal de la fijación de un domicilio trata de conjugar la agilidad del procedimiento de ejecución, facilitando al acreedor el requerimiento al deudor, con la tutela judicial efectiva del mismo, evitando su indefensión, por lo que no se considerará obstáculo que impida la inscripción el hecho de que el requerimiento de pago al deudor, hipotecante no deudor o tercer poseedor, cuando se trate de personas jurídicas, se haya efectuado por medios electrónicos, siempre que del decreto se desprenda que este requerimiento se ha realizado.</w:t>
      </w:r>
    </w:p>
    <w:p w:rsidR="005728DD" w:rsidRDefault="005728DD" w:rsidP="005728DD">
      <w:pPr>
        <w:pStyle w:val="TextoNormal"/>
      </w:pPr>
    </w:p>
    <w:p w:rsidR="005728DD" w:rsidRDefault="005728DD" w:rsidP="005728DD">
      <w:pPr>
        <w:pStyle w:val="TextoNormal"/>
      </w:pPr>
      <w:r>
        <w:t>b) Si ese requerimiento electrónico ha sido fallido, al menos cuando la persona jurídica a notificar o requerir no haya sido la impulsora del procedimiento y no conste inscrita una dirección electrónica, no puede considerarse que el mismo se ha realizado y, a efectos de la inscripción de la ejecución hipotecaria, debe exigirse que la notificación se haya intentado también en el domicilio que conste en el registro y, en su caso, en el domicilio real personal al que se ha referido este informe.</w:t>
      </w:r>
    </w:p>
    <w:p w:rsidR="005728DD" w:rsidRDefault="005728DD" w:rsidP="005728DD">
      <w:pPr>
        <w:pStyle w:val="TextoNormal"/>
      </w:pPr>
    </w:p>
    <w:p w:rsidR="005728DD" w:rsidRDefault="005728DD" w:rsidP="005728DD">
      <w:pPr>
        <w:pStyle w:val="TextoNormal"/>
      </w:pPr>
      <w:r>
        <w:t>c) Se trata, en todo caso, de que la notificación se realice efectivamente en la persona que deba recibirla, de modo que la circunstancia de que figure un domicilio en el registro a efectos de notificaciones únicamente trata de dar efectividad a esta comunicación, facilitando el desarrollo del procedimiento, pero sin que pueda considerarse un impedimento la circunstancia de que el requerimiento se efectúe por otros medios. A la inversa, la existencia de un domicilio electrónico, no puede excluir la posibilidad de efectuar la notificación en el domicilio personal pactado o real, si aquella resulta infructuosa.</w:t>
      </w:r>
    </w:p>
    <w:p w:rsidR="005728DD" w:rsidRDefault="005728DD" w:rsidP="005728DD">
      <w:pPr>
        <w:pStyle w:val="TextoNormal"/>
      </w:pPr>
    </w:p>
    <w:p w:rsidR="005728DD" w:rsidRDefault="005728DD" w:rsidP="005728DD">
      <w:pPr>
        <w:pStyle w:val="TextoNormal"/>
      </w:pPr>
      <w:r>
        <w:t>d) Por último, mientras no se modifique el artículo 682 de la Ley de enjuiciamiento civil, no se considera que sea defecto la ausencia, en la escritura de constitución de hipoteca, del domicilio electrónico a efecto de las comunicaciones con las personas jurídicas afectadas.</w:t>
      </w:r>
    </w:p>
    <w:p w:rsidR="005728DD" w:rsidRDefault="005728DD" w:rsidP="005728DD">
      <w:pPr>
        <w:pStyle w:val="TextoNormal"/>
      </w:pPr>
    </w:p>
    <w:p w:rsidR="005728DD" w:rsidRDefault="005728DD" w:rsidP="005728DD">
      <w:pPr>
        <w:pStyle w:val="TextoNormal"/>
      </w:pPr>
      <w:r>
        <w:t>En el presente caso, consta que la notificación se puso a disposición de las recurrentes en fecha 15/06/2018 no accediendo al contenido hasta el día 25/07/2018 (fuera de los tres días que establece la normativa procesal), presentando los escritos de oposición a la ejecución en fecha 31/07/2018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t>Como pie de recurso, el auto indicaba que dicha resolución “es firme, y contra la misma no cabe recurso alguno”. Tanto este auto como el anterior de 10 de enero de 2019, fueron notificados por el juzgado al procurador de la demandante de amparo a través del sistema Lexnet, tal como obra en las actuaciones.</w:t>
      </w:r>
    </w:p>
    <w:p w:rsidR="005728DD" w:rsidRDefault="005728DD" w:rsidP="005728DD">
      <w:pPr>
        <w:pStyle w:val="TextoNormal"/>
      </w:pPr>
    </w:p>
    <w:p w:rsidR="005728DD" w:rsidRDefault="005728DD" w:rsidP="005728DD">
      <w:pPr>
        <w:pStyle w:val="TextoNormal"/>
      </w:pPr>
      <w:r>
        <w:lastRenderedPageBreak/>
        <w:t>Notificado así el auto de 23 de septiembre de 2019, por la indicada mercantil se interpuso el presente recurso.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5728DD" w:rsidRDefault="005728DD" w:rsidP="005728DD">
      <w:pPr>
        <w:pStyle w:val="TextoNormal"/>
      </w:pPr>
    </w:p>
    <w:p w:rsidR="005728DD" w:rsidRDefault="005728DD" w:rsidP="005728DD">
      <w:pPr>
        <w:pStyle w:val="TextoNormal"/>
      </w:pPr>
      <w:r>
        <w:t>Sobre el auto del 23 de septiembre de 2019 que desestimó el recurso de reposición promovido contra la anterior resolución —y del que se han expuesto sus argumentos—, se rechaza por la recurrente que el juzgado haya fundamentado su segunda decisión en la Ley del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005728DD" w:rsidRDefault="005728DD" w:rsidP="005728DD">
      <w:pPr>
        <w:pStyle w:val="TextoNormal"/>
      </w:pPr>
    </w:p>
    <w:p w:rsidR="005728DD" w:rsidRDefault="005728DD" w:rsidP="005728DD">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w:t>
      </w:r>
      <w:r w:rsidRPr="005728DD">
        <w:rPr>
          <w:i/>
        </w:rPr>
        <w:t>a quo</w:t>
      </w:r>
      <w:r>
        <w:t xml:space="preserve"> admita a trámite la oposición al despacho de ejecución formulada.</w:t>
      </w:r>
    </w:p>
    <w:p w:rsidR="005728DD" w:rsidRDefault="005728DD" w:rsidP="005728DD">
      <w:pPr>
        <w:pStyle w:val="TextoNormal"/>
      </w:pPr>
    </w:p>
    <w:p w:rsidR="005728DD" w:rsidRDefault="005728DD" w:rsidP="005728DD">
      <w:pPr>
        <w:pStyle w:val="TextoNormal"/>
      </w:pPr>
      <w:r>
        <w:t>Por medio de un segundo otrosí digo, el escrito de demanda argumentó “que la continuación de la ejecución derivadas [</w:t>
      </w:r>
      <w:r w:rsidRPr="005728DD">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355-2018 seguido ante el Juzgado de Primera Instancia e Instrucción núm. 5 de Lorca, hasta tanto sea resuelto el presente recurso de amparo, poniéndolo en conocimiento del órgano judicial”.</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Una vez recibidas las actuaciones, la Sección Cuarta de este tribunal dictó providencia el 29 de junio de 2020 por la que acordó: (i) admitir a trámite el recurso, “apreciando que concurre en el mismo una especial trascendencia constitucional (art. 50.1 LOTC) porque el recurso plantea un problema o afecta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constatar que el testimonio de las actuaciones ya había sido remitido a requerimiento de la Secretaría de Justicia de la Sección y emplazar a través del juzgado ejecutor </w:t>
      </w:r>
      <w:r>
        <w:lastRenderedPageBreak/>
        <w:t>a quienes hubieren sido parte en el procedimiento excepto la parte recurrente en amparo; y (iii) formar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11 de septiembre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la Secretaría de Justicia de la Sección Cuarta de 28 de octubre de 2020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7</w:t>
      </w:r>
      <w:r>
        <w:t>. La fiscal ante este Tribunal Constitucional presentó escrito de alegaciones el 13 de noviembre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5 de Lorca, en el juicio de ejecución hipotecaria 355-2018”, y retroacción de las actuaciones al momento inmediato anterior a aquella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t>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005728DD" w:rsidRDefault="005728DD" w:rsidP="005728DD">
      <w:pPr>
        <w:pStyle w:val="TextoNormal"/>
      </w:pPr>
    </w:p>
    <w:p w:rsidR="005728DD" w:rsidRDefault="005728DD" w:rsidP="005728DD">
      <w:pPr>
        <w:pStyle w:val="TextoNormal"/>
      </w:pPr>
      <w:r w:rsidRPr="005728DD">
        <w:rPr>
          <w:rStyle w:val="NumeroAFNegritaCaracter"/>
        </w:rPr>
        <w:t>8</w:t>
      </w:r>
      <w:r>
        <w:t>. La representante procesal de la entidad recurrente presentó su escrito de alegaciones el 2 de diciembre de 2020, por el que interesó se dictara resolución estimatoria del recurso de amparo, haciendo mención a la STC 40/2020, del Pleno del Tribunal Constitucional que resuelve el recurso de amparo 5377-2018 promovido por Euroinversiones Inmobiliarias Costa Sur, S.L., “en un asunto prácticamente igual al del presente recurso de amparo” que refuerza las exigencias para llevar a efecto el primer emplazamiento. Abunda en su procedencia por haber obtenido el amparo deducido en el recurso de amparo núm. 5379-2018 interpuesto por la misma recurrente Penrei Inversiones, S.L., y que motivó la STC 43/2020, de 9 de marzo.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9</w:t>
      </w:r>
      <w:r>
        <w:t>. No consta presentado dentro del plazo del art. 52 LOTC, o con posterioridad, ningún escrito de alegaciones de la entidad Pera Assets Designated Activity Company.</w:t>
      </w:r>
    </w:p>
    <w:p w:rsidR="005728DD" w:rsidRDefault="005728DD" w:rsidP="005728DD">
      <w:pPr>
        <w:pStyle w:val="TextoNormal"/>
      </w:pPr>
    </w:p>
    <w:p w:rsidR="005728DD" w:rsidRDefault="005728DD" w:rsidP="005728DD">
      <w:pPr>
        <w:pStyle w:val="TextoNormal"/>
      </w:pPr>
      <w:r w:rsidRPr="005728DD">
        <w:rPr>
          <w:rStyle w:val="NumeroAFNegritaCaracter"/>
        </w:rPr>
        <w:t>10</w:t>
      </w:r>
      <w:r>
        <w:t>. Respecto de la solicitud de suspensión formulada por la recurrente en amparo mediante otrosí de su escrito de demanda, por auto de la Sala Segunda de este tribunal núm. 109/2020, de 21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728DD" w:rsidRDefault="005728DD" w:rsidP="005728DD">
      <w:pPr>
        <w:pStyle w:val="TextoNormal"/>
      </w:pPr>
    </w:p>
    <w:p w:rsidR="005728DD" w:rsidRDefault="005728DD" w:rsidP="005728DD">
      <w:pPr>
        <w:pStyle w:val="TextoNormal"/>
      </w:pPr>
      <w:r w:rsidRPr="005728DD">
        <w:rPr>
          <w:rStyle w:val="NumeroAFNegritaCaracter"/>
        </w:rPr>
        <w:t>11</w:t>
      </w:r>
      <w:r>
        <w:t>. Por la Secretaría de Justicia se ha dictado diligencia el 11 de diciembre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005728DD" w:rsidRDefault="005728DD" w:rsidP="005728DD">
      <w:pPr>
        <w:pStyle w:val="TextoNormal"/>
      </w:pPr>
    </w:p>
    <w:p w:rsidR="005728DD" w:rsidRDefault="005728DD" w:rsidP="005728DD">
      <w:pPr>
        <w:pStyle w:val="TextoNormal"/>
      </w:pPr>
      <w:r w:rsidRPr="005728DD">
        <w:rPr>
          <w:rStyle w:val="NumeroAFNegritaCaracter"/>
        </w:rPr>
        <w:t>12</w:t>
      </w:r>
      <w:r>
        <w:t>. Mediante providencia de fecha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5728DD" w:rsidRDefault="005728DD" w:rsidP="005728DD">
      <w:pPr>
        <w:pStyle w:val="TextoNormal"/>
      </w:pPr>
    </w:p>
    <w:p w:rsidR="005728DD" w:rsidRDefault="005728DD" w:rsidP="005728DD">
      <w:pPr>
        <w:pStyle w:val="TextoNormal"/>
      </w:pPr>
      <w:r>
        <w:t>En concreto, en el presente recurso la entidad Penrei Inversiones, S.L., impugna los autos del Juzgado de Primera Instancia e Instrucción núm. 5 de Lorca, de 10 de enero de 2019 y 23 de septiembre de 2019, recaídos en el proceso hipotecario núm. 355-2018.</w:t>
      </w:r>
    </w:p>
    <w:p w:rsidR="005728DD" w:rsidRDefault="005728DD" w:rsidP="005728DD">
      <w:pPr>
        <w:pStyle w:val="TextoNormal"/>
      </w:pPr>
    </w:p>
    <w:p w:rsidR="005728DD" w:rsidRDefault="005728DD" w:rsidP="005728DD">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5728DD">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5728DD">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w:t>
      </w:r>
      <w:r>
        <w:lastRenderedPageBreak/>
        <w:t>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Penrei Inversiones,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10 de enero de 2019 y 23 de septiembre de 2019, dictados por el Juzgado de Primera Instancia e Instrucción núm. 5 de Lorca en el proceso de ejecución hipotecaria núm. 355-2018,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3" w:name="SENTENCIA_2021_60"/>
      <w:r>
        <w:lastRenderedPageBreak/>
        <w:t>SENTENCIA 60/2021, de 15 de marzo de 2021</w:t>
      </w:r>
    </w:p>
    <w:bookmarkEnd w:id="63"/>
    <w:p w:rsidR="005728DD" w:rsidRDefault="005728DD" w:rsidP="005728DD">
      <w:pPr>
        <w:pStyle w:val="TtuloResolucin"/>
      </w:pPr>
      <w:r>
        <w:t>Sala Segunda</w:t>
      </w:r>
    </w:p>
    <w:p w:rsidR="005728DD" w:rsidRDefault="005728DD" w:rsidP="005728DD">
      <w:pPr>
        <w:pStyle w:val="TtuloBOE"/>
      </w:pPr>
      <w:r>
        <w:t>(BOE núm. 97, de 23 de abril de 2021)</w:t>
      </w:r>
    </w:p>
    <w:p w:rsidR="005728DD" w:rsidRDefault="005728DD" w:rsidP="005728DD">
      <w:pPr>
        <w:pStyle w:val="TextoNormalCentrado"/>
      </w:pPr>
      <w:r>
        <w:t>ECLI:ES:TC:2021:60</w:t>
      </w:r>
    </w:p>
    <w:p w:rsidR="005728DD" w:rsidRDefault="005728DD" w:rsidP="005728DD">
      <w:pPr>
        <w:pStyle w:val="TextoNormalCentrado"/>
      </w:pPr>
    </w:p>
    <w:p w:rsidR="005728DD" w:rsidRDefault="005728DD" w:rsidP="005728DD">
      <w:pPr>
        <w:pStyle w:val="SntesisDescriptiva"/>
      </w:pPr>
      <w:r>
        <w:t>Recurso de amparo 6820-2019. Promovido por don Mourad Hlal respecto de las resoluciones dictadas por un juzgado de primera instancia de Guadalajara en juicio verbal de desahucio.</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sin agotar las posibilidades de comunicación personal (STC 62/2020).</w:t>
      </w:r>
    </w:p>
    <w:p w:rsidR="005728DD" w:rsidRDefault="005728DD" w:rsidP="005728DD">
      <w:pPr>
        <w:pStyle w:val="SntesisAnaltica"/>
      </w:pPr>
    </w:p>
    <w:p w:rsidR="005728DD" w:rsidRDefault="005728DD" w:rsidP="005728DD">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123/2019) [FFJJ 2 a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6820-2019, promovido por don Mourad Hlal, contra el auto del Juzgado de Primera Instancia núm. 1 de Guadalajara de 11 de octubre de 2019, por el que se desestima el incidente de nulidad de actuaciones, pronunciado en el juicio verbal de desahucio núm. 4-2018. Ha comparecido don Luis Javier Lobato Alonso.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Don Mourad Hlal, representado por la procuradora de los tribunales doña Jennifer Vicente Benito y bajo la dirección de la letrada doña Sonia Ruiz Higes, interpuso recurso de amparo contra la resolución citada en el encabezamiento, mediante escrito registrado en este tribunal el 25 de noviembre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lastRenderedPageBreak/>
        <w:t>a) El 2 de enero de 2018 se interpuso demanda de desahucio contra el recurrente en amparo, dando lugar al juicio verbal 4-2018, tramitado por el Juzgado de Primera Instancia núm. 1 de Guadalajara.</w:t>
      </w:r>
    </w:p>
    <w:p w:rsidR="005728DD" w:rsidRDefault="005728DD" w:rsidP="005728DD">
      <w:pPr>
        <w:pStyle w:val="TextoNormal"/>
      </w:pPr>
    </w:p>
    <w:p w:rsidR="005728DD" w:rsidRDefault="005728DD" w:rsidP="005728DD">
      <w:pPr>
        <w:pStyle w:val="TextoNormal"/>
      </w:pPr>
      <w:r>
        <w:t>El órgano judicial intentó los días 8 y 12 de marzo de 2018 la notificación de la condición de demandado al recurrente en amparo en el domicilio objeto del arrendamiento, resultando infructuoso al no encontrarse nadie en la vivienda y estar las ventanas cerradas, no constando el nombre del interesado en el buzón. Se dejó aviso de citación por debajo de la puerta del domicilio.</w:t>
      </w:r>
    </w:p>
    <w:p w:rsidR="005728DD" w:rsidRDefault="005728DD" w:rsidP="005728DD">
      <w:pPr>
        <w:pStyle w:val="TextoNormal"/>
      </w:pPr>
    </w:p>
    <w:p w:rsidR="005728DD" w:rsidRDefault="005728DD" w:rsidP="005728DD">
      <w:pPr>
        <w:pStyle w:val="TextoNormal"/>
      </w:pPr>
      <w:r>
        <w:t>b) El letrado de la administración de justicia, por diligencia de ordenación de 20 de marzo de 2018, acordó, de conformidad con lo previsto en el art. 440.3 de la Ley de enjuiciamiento civil (LEC), fijar la cédula de requerimiento y citación en el tablón de anuncios de la oficina judicial. Por decreto de 10 de abril de 2018, se dio por terminado el procedimiento por la incomparecencia del recurrente de amparo, declarando la obligación de pago y la posibilidad de instar despacho de ejecución.</w:t>
      </w:r>
    </w:p>
    <w:p w:rsidR="005728DD" w:rsidRDefault="005728DD" w:rsidP="005728DD">
      <w:pPr>
        <w:pStyle w:val="TextoNormal"/>
      </w:pPr>
    </w:p>
    <w:p w:rsidR="005728DD" w:rsidRDefault="005728DD" w:rsidP="005728DD">
      <w:pPr>
        <w:pStyle w:val="TextoNormal"/>
      </w:pPr>
      <w:r>
        <w:t>c) El órgano judicial, por auto de 22 de noviembre de 2018, acordó la ejecución de las rentas impagadas. Por decreto de esa misma fecha, el letrado de la administración de justicia acordó la averiguación del domicilio del recurrente en amparo mediante la consulta en las bases de datos a las que tenía acceso el juzgado, resultando un domicilio de empadronamiento, en que figuraba inscrito el recurrente de amparo desde el 1 de diciembre de 2017, al que se dirigió el auto despachando la ejecución, que fue correctamente notificado en ese domicilio alternativo el 7 de diciembre de 2018.</w:t>
      </w:r>
    </w:p>
    <w:p w:rsidR="005728DD" w:rsidRDefault="005728DD" w:rsidP="005728DD">
      <w:pPr>
        <w:pStyle w:val="TextoNormal"/>
      </w:pPr>
    </w:p>
    <w:p w:rsidR="005728DD" w:rsidRDefault="005728DD" w:rsidP="005728DD">
      <w:pPr>
        <w:pStyle w:val="TextoNormal"/>
      </w:pPr>
      <w:r>
        <w:t>d) El recurrente en amparo, mediante escrito de 19 de marzo de 2019, interpuso incidente de nulidad de actuaciones invocando el derecho a la tutela judicial efectiva al haberse procedido a la notificación edictal sin haber desarrollado la mínima actividad por el órgano judicial para localizar un domicilio de notificación alternativo.</w:t>
      </w:r>
    </w:p>
    <w:p w:rsidR="005728DD" w:rsidRDefault="005728DD" w:rsidP="005728DD">
      <w:pPr>
        <w:pStyle w:val="TextoNormal"/>
      </w:pPr>
    </w:p>
    <w:p w:rsidR="005728DD" w:rsidRDefault="005728DD" w:rsidP="005728DD">
      <w:pPr>
        <w:pStyle w:val="TextoNormal"/>
      </w:pPr>
      <w:r>
        <w:t>e) El incidente de nulidad de actuaciones fue desestimado por auto de 11 de octubre de 2019, con fundamento en que el órgano judicial procedió a la notificación por edictos, de conformidad con lo establecido en el art. 164, en relación con el art. 155 LEC, en cuanto a la determinación del domicilio de notificaciones en el juicio por desahucio y los requisitos para proceder a la notificación edictal en caso de no poder ser hallado el demandado.</w:t>
      </w:r>
    </w:p>
    <w:p w:rsidR="005728DD" w:rsidRDefault="005728DD" w:rsidP="005728DD">
      <w:pPr>
        <w:pStyle w:val="TextoNormal"/>
      </w:pPr>
    </w:p>
    <w:p w:rsidR="005728DD" w:rsidRDefault="005728DD" w:rsidP="005728DD">
      <w:pPr>
        <w:pStyle w:val="TextoNormal"/>
      </w:pPr>
      <w:r w:rsidRPr="005728DD">
        <w:rPr>
          <w:rStyle w:val="NumeroAFNegritaCaracter"/>
        </w:rPr>
        <w:t>3</w:t>
      </w:r>
      <w:r>
        <w:t>. El recurrente de amparo solicita la nulidad de la resolución judicial impugnada por vulneración de su derecho a la tutela judicial efectiva (art. 24.1 CE) con retroacción de actuaciones al momento en que se debió notificar la existencia del procedimiento.</w:t>
      </w:r>
    </w:p>
    <w:p w:rsidR="005728DD" w:rsidRDefault="005728DD" w:rsidP="005728DD">
      <w:pPr>
        <w:pStyle w:val="TextoNormal"/>
      </w:pPr>
    </w:p>
    <w:p w:rsidR="005728DD" w:rsidRDefault="005728DD" w:rsidP="005728DD">
      <w:pPr>
        <w:pStyle w:val="TextoNormal"/>
      </w:pPr>
      <w:r>
        <w:t>El recurrente fundamenta la vulneración del art. 24.1 CE en que no ha podido comparecer ni defenderse en el procedimiento al haberse tramitado en rebeldía porque el órgano judicial procedió a la notificación edictal sin desarrollar la mínima diligencia que le era exigible para la averiguación de su domicilio, constando desde el 1 de diciembre de 2017, esto es con anterioridad a que se presentara la demanda instando su desahucio, su empadronamiento en el domicilio en que después le fue notificado el auto despachando la ejecución.</w:t>
      </w:r>
    </w:p>
    <w:p w:rsidR="005728DD" w:rsidRDefault="005728DD" w:rsidP="005728DD">
      <w:pPr>
        <w:pStyle w:val="TextoNormal"/>
      </w:pPr>
    </w:p>
    <w:p w:rsidR="005728DD" w:rsidRDefault="005728DD" w:rsidP="005728DD">
      <w:pPr>
        <w:pStyle w:val="TextoNormal"/>
      </w:pPr>
      <w:r>
        <w:lastRenderedPageBreak/>
        <w:t>El recurrente de amparo afirma en la demanda que el recurso tiene especial transcendencia constitucional porque se está incumpliendo la reiterada jurisprudencia constitucional en la materia (SSTC 30/2014 y 181/2015).</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17 de septiembre de 2020, acordó la admisión a trámite del presente recurso, apreciando que concurre en el mismo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dirigir atenta comunicación al órgano judicial para el emplazamiento de quienes hubieran sido parte en el procedimiento para que pudiesen comparecen en el plazo de diez días en el recurso de amparo; y la formación de pieza separada para la tramitación del incidente sobre la suspensión solicitada, que fue denegada por ATC 152/2020, de 30 de noviembre.</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17 de diciembre de 2020, acordó tener por personada y parte en el procedimiento a la procuradora de los tribunales doña Belén Largacha Polo, bajo la dirección del letrado don Enrique Hernández Fernández, en nombre y representación de don Luis Javier Lobato Alonso, y dar vista de las actuaciones al Ministerio Fiscal y a las partes personadas por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el 5 de febrero de 2021, formuló alegaciones interesando que se otorgue el amparo solicitado por vulneración del derecho a la tutela judicial efectiva (art. 24.1 CE) y se declare la nulidad de la resolución impugnada y de todo lo actuado en el juicio verbal de desahucio desde la notificación edictal con retroacción de actuaciones hasta ese momento para que se pronuncie una nueva resolución respetuosa con el derecho fundamental reconocido.</w:t>
      </w:r>
    </w:p>
    <w:p w:rsidR="005728DD" w:rsidRDefault="005728DD" w:rsidP="005728DD">
      <w:pPr>
        <w:pStyle w:val="TextoNormal"/>
      </w:pPr>
    </w:p>
    <w:p w:rsidR="005728DD" w:rsidRDefault="005728DD" w:rsidP="005728DD">
      <w:pPr>
        <w:pStyle w:val="TextoNormal"/>
      </w:pPr>
      <w:r>
        <w:t>El Ministerio Fiscal, tras la cita de la jurisprudencia constitucional en materia de la correcta configuración de la relación procesal en su concreta aplicación a los procedimientos de desahucio (SSTC 181/2015, 123/2019 y 62/2020), expone que se ha vulnerado el art. 24.1 CE, ya que el órgano judicial, tras el resultado negativo del intento de notificación en el domicilio objeto de arrendamiento, “no desplegó la actividad que le era exigible desde la perspectiva del derecho a la tutela judicial efectiva (art. 24.1 CE), al objeto de notificar debidamente al demandante de amparo la existencia del procedimiento”.</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personada, por escrito registrado el 2 de febrero de 2021, formuló alegaciones solicitando que se inadmita el recurso por falta de justificación de la especial transcendencia constitucional, ya que el recurrente basa su argumentación en una jurisprudencia constitucional que no es aplicable al caso pues existía la designación de un concreto domicilio de notificaciones; o su desestimación por no haber vulneración del art. 24.1 CE, ya que la notificación edictal se produjo en aplicación de la legalidad vigente una vez que se frustró la posibilidad de notificación en el domicilio de notificaciones aportado por la parte en el contrato de arrendamiento.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El recurrente no presentó alegaciones.</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El objeto del recurso</w:t>
      </w:r>
      <w:r>
        <w:t>. El objeto de este recurso es determinar si el emplazamiento por edictos del que fue objeto el recurrente de amparo para comunicarle su condición de demandando en un juicio verbal por desahucio ha vulnerado su derecho a la tutela judicial efectiva (art. 24.1 CE), desde la perspectiva del derecho de acceso a la jurisdicción, por no haber agotado el órgano judicial los medios de averiguación de un domicilio alternativo de notificaciones al de la vivienda objeto de arrendamiento.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 justificación y la especial transcendencia constitucional del recurso</w:t>
      </w:r>
      <w:r>
        <w:t>. El tribunal ha admitido este recurso por considerar que concurre la causa de especial transcendencia constitucional consistente en que la jurisprudencia constitucional sobre el derecho fundamental a la tutela judicial efectiva, desde la perspectiva del derecho de acceso a la jurisdicción, en relación con la diligencia que deben observar los órganos judiciales para intentar la notificación personal al demandando antes de acudir a la notificación edictal podría estar siendo incumplida de modo general y reiterado por la jurisdicción ordinaria [STC 155/2009, de 25 de junio, FJ 2 e)], en atención a la reiteración de supuestos planteados en esta materia.</w:t>
      </w:r>
    </w:p>
    <w:p w:rsidR="005728DD" w:rsidRDefault="005728DD" w:rsidP="005728DD">
      <w:pPr>
        <w:pStyle w:val="TextoNormal"/>
      </w:pPr>
    </w:p>
    <w:p w:rsidR="005728DD" w:rsidRDefault="005728DD" w:rsidP="005728DD">
      <w:pPr>
        <w:pStyle w:val="TextoNormal"/>
      </w:pPr>
      <w:r>
        <w:t>La causa de inadmisión alegada por la parte comparecida de que el recurso no ha justificado su especial transcendencia constitucional debe rechazarse, toda vez que, tal como se ha expuesto en los antecedentes, el demandante alegó como causa de especial trascendencia constitucional que la jurisprudencia constitucional en la materia estaba siendo incumplida de modo general y reiterado por la jurisdicción ordinaria, que fue la causa finalmente acogida por el tribunal, disociando con ello la invocación del derecho fundamental de la especial trascendencia constitucional del recurso.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La jurisprudencia constitucional sobre el deber de diligencia para la correcta conformación de la relación procesal</w:t>
      </w:r>
      <w:r>
        <w:t>. El tribunal ha reiterado que es una garantía contenida en el derecho a la tutela judicial efectiva (art. 24.1 CE), desde la perspectiva del derecho de acceso a la jurisdicción, la necesidad de que los actos de comunicación de los órganos judiciales con las partes se realicen de forma correcta y con la diligencia debida, toda vez que ello es presupuesto para que puedan adoptar la postura que estimen pertinente en defensa de sus intereses. A estos efectos, la jurisprudencia constitucional ha declarado de manera reiterada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otros medios de comunicación procesal (así, por ejemplo, SSTC 30/2014, de 24 de febrero, FJ 2, o 62/2020, de 15 de junio, FJ 2).</w:t>
      </w:r>
    </w:p>
    <w:p w:rsidR="005728DD" w:rsidRDefault="005728DD" w:rsidP="005728DD">
      <w:pPr>
        <w:pStyle w:val="TextoNormal"/>
      </w:pPr>
    </w:p>
    <w:p w:rsidR="005728DD" w:rsidRDefault="005728DD" w:rsidP="005728DD">
      <w:pPr>
        <w:pStyle w:val="TextoNormal"/>
      </w:pPr>
      <w:r>
        <w:lastRenderedPageBreak/>
        <w:t>Esta jurisprudencia ha sido aplicada también de manera directa a los procedimientos arrendaticios. Se ha destacado que el art. 164 LEC, tras la redacción dada por la Ley 19/2009, de 23 de noviembre, exige una interpretación de conformidad con la Constitución,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solo puede utilizarse cuando se hayan agotado los medios de averiguación del domicilio del deudor o ejecutado” (SSTC 30/2014, de 24 de febrero, FJ 5; 181/2015, de 7 de septiembre, FJ 5; 39/2018, de 25 de abril, FJ 3; 123/2019, de 28 de octubre, FJ 3, y 62/2020, de 15 de junio, FJ 3).</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jurisprudencia constitucional al presente recurso</w:t>
      </w:r>
      <w:r>
        <w:t>. En el presente caso han quedado acreditados en las actuaciones y son reconocidos por la resolución judicial impugnada los siguientes extremos:</w:t>
      </w:r>
    </w:p>
    <w:p w:rsidR="005728DD" w:rsidRDefault="005728DD" w:rsidP="005728DD">
      <w:pPr>
        <w:pStyle w:val="TextoNormal"/>
      </w:pPr>
    </w:p>
    <w:p w:rsidR="005728DD" w:rsidRDefault="005728DD" w:rsidP="005728DD">
      <w:pPr>
        <w:pStyle w:val="TextoNormal"/>
      </w:pPr>
      <w:r>
        <w:t>(i) La demanda de desahucio se presentó el 2 de enero de 2018; el órgano judicial intentó los días 8 y 12 de marzo de 2018 la notificación de la condición de demandado al recurrente en amparo en el domicilio objeto del arrendamiento; y la diligencia resultó negativa. El letrado de la administración de justicia, por diligencia de ordenación de 20 de marzo de 2018, acordó, sin realizar ninguna averiguación para localizar un domicilio de notificación personal alternativo, fijar la cédula de requerimiento y citación en el tablón de anuncios de la oficina judicial.</w:t>
      </w:r>
    </w:p>
    <w:p w:rsidR="005728DD" w:rsidRDefault="005728DD" w:rsidP="005728DD">
      <w:pPr>
        <w:pStyle w:val="TextoNormal"/>
      </w:pPr>
    </w:p>
    <w:p w:rsidR="005728DD" w:rsidRDefault="005728DD" w:rsidP="005728DD">
      <w:pPr>
        <w:pStyle w:val="TextoNormal"/>
      </w:pPr>
      <w:r>
        <w:t>(ii) Por decreto de 10 de abril de 2018 se dio por terminado el procedimiento por la incomparecencia del recurrente de amparo. Por auto de 22 de noviembre de 2018 se acordó despachar ejecución. Por decreto de la misma fecha, el letrado de la administración de justicia acordó de oficio la averiguación del domicilio del recurrente en amparo mediante la consulta en las bases de datos a las que tenía acceso el juzgado. De esta consulta resultó un domicilio de empadronamiento distinto al que figuraba en el contrato de arrendamiento, en el que se comunicó personalmente y sin especiales incidencias el auto despachando la ejecución el 7 de diciembre de 2018.</w:t>
      </w:r>
    </w:p>
    <w:p w:rsidR="005728DD" w:rsidRDefault="005728DD" w:rsidP="005728DD">
      <w:pPr>
        <w:pStyle w:val="TextoNormal"/>
      </w:pPr>
    </w:p>
    <w:p w:rsidR="005728DD" w:rsidRDefault="005728DD" w:rsidP="005728DD">
      <w:pPr>
        <w:pStyle w:val="TextoNormal"/>
      </w:pPr>
      <w:r>
        <w:t>(iii) El recurrente de amparo formuló incidente de nulidad de actuaciones poniendo de manifiesto la falta de diligencia del órgano judicial en la búsqueda de un domicilio alternativo de notificaciones para comunicar la iniciación del juicio verbal de desahucio. Destacó que figuraba inscrito en el nuevo domicilio en que se notificó la ejecutoria desde el 1 de diciembre de 2017 y, por tanto, previamente a la presentación de la demanda y a que se acordara la notificación edictal. El incidente fue desestimado por auto de 11 de octubre de 2019 con el argumento de que se había procedido a la notificación edictal de conformidad con lo establecido en el art. 164 LEC, al no ser hallado el demandado en el domicilio objeto del arrendamiento.</w:t>
      </w:r>
    </w:p>
    <w:p w:rsidR="005728DD" w:rsidRDefault="005728DD" w:rsidP="005728DD">
      <w:pPr>
        <w:pStyle w:val="TextoNormal"/>
      </w:pPr>
    </w:p>
    <w:p w:rsidR="005728DD" w:rsidRDefault="005728DD" w:rsidP="005728DD">
      <w:pPr>
        <w:pStyle w:val="TextoNormal"/>
      </w:pPr>
      <w:r>
        <w:t xml:space="preserve">En atención a lo expuesto hay que concluir, conforme interesa el Ministerio Fiscal, que se ha vulnerado al recurrente su derecho a la tutela judicial efectiva (art. 24.1 CE). El recurrente fue emplazado edictalmente por ser ignorado su paradero, sin que se acordara desplegar actividad indagatoria alguna en oficinas y registros públicos para intentar determinar un domicilio de notificaciones alternativo al que constituía el objeto de arrendamiento en que pudiera ser emplazado personalmente. Esa circunstancia pone de manifiesto que el órgano </w:t>
      </w:r>
      <w:r>
        <w:lastRenderedPageBreak/>
        <w:t>judicial no actuó con la diligencia que constitucionalmente le es exigible según la reiterada jurisprudencia constitucional que ha interpretado el art. 164 LEC de conformidad con las exigencias del derecho a la tutela judicial efectiva (art. 24.1 CE).</w:t>
      </w:r>
    </w:p>
    <w:p w:rsidR="005728DD" w:rsidRDefault="005728DD" w:rsidP="005728DD">
      <w:pPr>
        <w:pStyle w:val="TextoNormal"/>
      </w:pPr>
    </w:p>
    <w:p w:rsidR="005728DD" w:rsidRDefault="005728DD" w:rsidP="005728DD">
      <w:pPr>
        <w:pStyle w:val="TextoNormal"/>
      </w:pPr>
      <w:r>
        <w:t>El tribunal constata, a los efectos de apreciar la falta de diligencia, que el órgano judicial, en el auto resolutorio del incidente de nulidad de actuaciones, no reaccionó frente a la inactividad desplegada por el letrado de la administración de justicia para localizar un domicilio alternativo en el que notificar al recurrente de amparo la iniciación del juicio verbal de desahucio, aceptando que dictara la diligencia de ordenación de 20 de marzo de 2018, acordando la notificación edictal; sin embargo, para notificar el auto despachando la ejecución, acudió de oficio a las propias bases de datos a las que tenía acceso la oficina judicial, con lo que se localizó un domicilio alternativo —el de empadronamiento— en que se le notificó sin dificultad alguna el comienzo de la ejecución el 7 de diciembre de 2018.</w:t>
      </w:r>
    </w:p>
    <w:p w:rsidR="005728DD" w:rsidRDefault="005728DD" w:rsidP="005728DD">
      <w:pPr>
        <w:pStyle w:val="TextoNormal"/>
      </w:pPr>
    </w:p>
    <w:p w:rsidR="005728DD" w:rsidRDefault="005728DD" w:rsidP="005728DD">
      <w:pPr>
        <w:pStyle w:val="TextoNormal"/>
      </w:pPr>
      <w:r>
        <w:t>En conclusión, la falta de diligencia del órgano judicial en la averiguación del domicilio de notificaciones que derivó en la tramitación en rebeldía del procedimiento arrendaticio declarativo en que resultó condenado el recurrente determina que deba otorgarse el amparo solicitado, a cuyos efectos debe anularse el auto impugnado y todas las actuaciones llevadas a cabo desde el defectuoso emplazamiento en dicho procedimiento —acordado por la diligencia de ordenación de 20 de marzo de 2018— y en el de ejecución a que dio lugar, y que deba ordenarse la retroacción de actuaciones a dicho momento procesal para que se practique el emplazamiento con respeto al derecho a la tutela judicial efectiva del demandante de amparo.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Mourad Hlal y, en su virtud:</w:t>
      </w:r>
    </w:p>
    <w:p w:rsidR="005728DD" w:rsidRDefault="005728DD" w:rsidP="005728DD">
      <w:pPr>
        <w:pStyle w:val="TextoNormal"/>
      </w:pPr>
    </w:p>
    <w:p w:rsidR="005728DD" w:rsidRDefault="005728DD" w:rsidP="005728DD">
      <w:pPr>
        <w:pStyle w:val="TextoNormal"/>
      </w:pPr>
      <w:r>
        <w:t>1º Declarar que ha sido vulnerado el derecho del demandante de amparo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 la diligencia de ordenación del letrado de la administración de justicia del Juzgado de Primera Instancia núm. 1 de Guadalajara de 20 de marzo de 2018 y el auto del Juzgado de Primera Instancia núm. 1 de Guadalajara de 11 de octubre de 2019, pronunciados en el juicio verbal de desahucio núm. 4-2018.</w:t>
      </w:r>
    </w:p>
    <w:p w:rsidR="005728DD" w:rsidRDefault="005728DD" w:rsidP="005728DD">
      <w:pPr>
        <w:pStyle w:val="TextoNormal"/>
      </w:pPr>
    </w:p>
    <w:p w:rsidR="005728DD" w:rsidRDefault="005728DD" w:rsidP="005728DD">
      <w:pPr>
        <w:pStyle w:val="TextoNormal"/>
      </w:pPr>
      <w:r>
        <w:t>3º Retrotraer las actuaciones al momento inmediatamente anterior a la primera de las resoluciones citadas para que el acto de comunicación se practique de manera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4" w:name="SENTENCIA_2021_61"/>
      <w:r>
        <w:lastRenderedPageBreak/>
        <w:t>SENTENCIA 61/2021, de 15 de marzo de 2021</w:t>
      </w:r>
    </w:p>
    <w:bookmarkEnd w:id="64"/>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ECLI:ES:TC:2021:61</w:t>
      </w:r>
    </w:p>
    <w:p w:rsidR="005728DD" w:rsidRDefault="005728DD" w:rsidP="005728DD">
      <w:pPr>
        <w:pStyle w:val="TextoNormalCentrado"/>
      </w:pPr>
    </w:p>
    <w:p w:rsidR="005728DD" w:rsidRDefault="005728DD" w:rsidP="005728DD">
      <w:pPr>
        <w:pStyle w:val="SntesisDescriptiva"/>
      </w:pPr>
      <w:r>
        <w:t>Recurso de amparo 6838-2019. Promovido por doña Esperanza de la Calle Gil respecto de la sentencia dictada, en suplicación, por la Sala de lo Social del Tribunal Superior de Justicia de Madrid en proceso por despido disciplinario.</w:t>
      </w:r>
    </w:p>
    <w:p w:rsidR="005728DD" w:rsidRDefault="005728DD" w:rsidP="005728DD">
      <w:pPr>
        <w:pStyle w:val="SntesisDescriptiva"/>
      </w:pPr>
    </w:p>
    <w:p w:rsidR="005728DD" w:rsidRDefault="005728DD" w:rsidP="005728DD">
      <w:pPr>
        <w:pStyle w:val="SntesisAnaltica"/>
      </w:pPr>
      <w:r>
        <w:t>Vulneración del derecho a la tutela judicial efectiva (motivación): resolución judicial que desestima una pretensión indemnizatoria pese a reconocer la vulneración de los derechos fundamentales de la trabajadora cuyo ordenador fue objeto de monitorización. Voto particular.</w:t>
      </w:r>
    </w:p>
    <w:p w:rsidR="005728DD" w:rsidRDefault="005728DD" w:rsidP="005728DD">
      <w:pPr>
        <w:pStyle w:val="SntesisAnaltica"/>
      </w:pPr>
    </w:p>
    <w:p w:rsidR="005728DD" w:rsidRDefault="005728DD" w:rsidP="005728DD">
      <w:pPr>
        <w:pStyle w:val="Extracto"/>
      </w:pPr>
      <w:r>
        <w:t>1.</w:t>
      </w:r>
      <w:r>
        <w:tab/>
        <w:t>Del contenido esencial de los derechos fundamentales a la intimidad y al secreto de las comunicaciones (art. 18.1 y 3 CE), no dimana ni una exigencia, ni un derecho subjetivo que pueda amparar la calificación del despido disciplinario como nulo; lo que no significa sin más que la decisión relativa a la calificación del despido sea ajena o indiferente al ámbito de los derechos fundamentales, en concreto al derecho a la tutela judicial efectiva (art. 24.1 CE) [FJ 3].</w:t>
      </w:r>
    </w:p>
    <w:p w:rsidR="005728DD" w:rsidRDefault="005728DD" w:rsidP="005728DD">
      <w:pPr>
        <w:pStyle w:val="Extracto"/>
      </w:pPr>
    </w:p>
    <w:p w:rsidR="005728DD" w:rsidRDefault="005728DD" w:rsidP="005728DD">
      <w:pPr>
        <w:pStyle w:val="Extracto"/>
      </w:pPr>
      <w:r>
        <w:t>2.</w:t>
      </w:r>
      <w:r>
        <w:tab/>
        <w:t>No existe un derecho constitucional a la calificación del despido laboral como nulo, por lo que tal  pretensión no puede tener sustento en una vulneración de los derechos reconocidos en el art. 18.1 y 3 CE [FJ 3].</w:t>
      </w:r>
    </w:p>
    <w:p w:rsidR="005728DD" w:rsidRDefault="005728DD" w:rsidP="005728DD">
      <w:pPr>
        <w:pStyle w:val="Extracto"/>
      </w:pPr>
    </w:p>
    <w:p w:rsidR="005728DD" w:rsidRDefault="005728DD" w:rsidP="005728DD">
      <w:pPr>
        <w:pStyle w:val="Extracto"/>
      </w:pPr>
      <w:r>
        <w:t>3.</w:t>
      </w:r>
      <w:r>
        <w:tab/>
        <w:t>Doctrina sobre el contenido y alcance del derecho a la tutela judicial efectiva (art. 24.1 CE) [FJ 4].</w:t>
      </w:r>
    </w:p>
    <w:p w:rsidR="005728DD" w:rsidRDefault="005728DD" w:rsidP="005728DD">
      <w:pPr>
        <w:pStyle w:val="Extracto"/>
      </w:pPr>
    </w:p>
    <w:p w:rsidR="005728DD" w:rsidRDefault="005728DD" w:rsidP="005728DD">
      <w:pPr>
        <w:pStyle w:val="Extracto"/>
      </w:pPr>
      <w:r>
        <w:t>4.</w:t>
      </w:r>
      <w:r>
        <w:tab/>
        <w:t>La solución adoptada por resolución judicial, desvinculando la nulidad de la prueba obtenida con vulneración de los derechos fundamentales de la calificación del despido, tiene anclaje positivo en nuestro ordenamiento jurídico, sin que pueda ser calificada de arbitraria o manifiestamente irrazonable [FJ 5].</w:t>
      </w:r>
    </w:p>
    <w:p w:rsidR="005728DD" w:rsidRDefault="005728DD" w:rsidP="005728DD">
      <w:pPr>
        <w:pStyle w:val="Extracto"/>
      </w:pPr>
    </w:p>
    <w:p w:rsidR="005728DD" w:rsidRDefault="005728DD" w:rsidP="005728DD">
      <w:pPr>
        <w:pStyle w:val="Extracto"/>
      </w:pPr>
      <w:r>
        <w:t>5.</w:t>
      </w:r>
      <w:r>
        <w:tab/>
        <w:t>No resulta congruente que la sentencia judicial afirme la existencia de la vulneración de los derechos fundamentales a los efectos de confirmar la exclusión de la prueba derivada de la monitorización de un ordenador y, al mismo tiempo, niegue esa vulneración cuando tiene que decidir sobre la indemnización solicitada, y ello con independencia de la calificación del despido [FJ 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lastRenderedPageBreak/>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El recurso de amparo núm. 6838-2019, ha sido promovido por doña Esperanza de la Calle Gil, representada por el procurador de los tribunales don Felipe Iracheta Martín y asistida por la abogada doña Fe Elisa Quiñones Martín contra la sentencia de la Sección Cuarta de la Sala de lo Social del Tribunal Superior de Justicia de Madrid, de 13 de septiembre de 2018, dictada en el recurso de suplicación núm. 351-2018, y frente al auto de fecha 24 de septiembre de 2019 dictado por la Sala de lo Social del Tribunal Supremo en el recurso de casación para unificación de doctrina núm. 4940-2018. Ha intervenido el Ministerio Fiscal y la entidad Amadeus Soluciones Tecnológicas, S.A.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presentado en el registro general de este tribunal el día 26 de noviembre de 2019, el procurador de los tribunales don Felipe Iracheta Martín, actuando en nombre y representación de doña Esperanza de la Calle Gil, asistida por la letrada doña Fe Elisa Quiñones Martín, interpuso recurso de amparo contra las dos resoluciones citadas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de los que trae causa la presente demanda de amparo, relevantes para la resolución del recurso, son los siguientes:</w:t>
      </w:r>
    </w:p>
    <w:p w:rsidR="005728DD" w:rsidRDefault="005728DD" w:rsidP="005728DD">
      <w:pPr>
        <w:pStyle w:val="TextoNormal"/>
      </w:pPr>
    </w:p>
    <w:p w:rsidR="005728DD" w:rsidRDefault="005728DD" w:rsidP="005728DD">
      <w:pPr>
        <w:pStyle w:val="TextoNormal"/>
      </w:pPr>
      <w:r>
        <w:t xml:space="preserve">a) La demandante de amparo venía prestando servicios por cuenta y bajo la dependencia de la entidad Amadeus Soluciones Tecnológicas, S.A., desde el 19 de abril de 1979 con categoría profesional de </w:t>
      </w:r>
      <w:r w:rsidRPr="005728DD">
        <w:rPr>
          <w:i/>
        </w:rPr>
        <w:t>project office</w:t>
      </w:r>
      <w:r>
        <w:t>. En dicha empresa se aplicaban normas de uso aceptable de los sistemas de información, de internet y del correo electrónico, que eran conocidas por la recurrente en amparo. El 26 de abril de 2017 la citada empresa comunicó a la demandante la instrucción de un expediente disciplinario conforme al pliego de cargos en que se le atribuían diversos incumplimientos de la buena fe contractual, desobediencia a las instrucciones de sus superiores jerárquicos y ofensas a los mismos.</w:t>
      </w:r>
    </w:p>
    <w:p w:rsidR="005728DD" w:rsidRDefault="005728DD" w:rsidP="005728DD">
      <w:pPr>
        <w:pStyle w:val="TextoNormal"/>
      </w:pPr>
    </w:p>
    <w:p w:rsidR="005728DD" w:rsidRDefault="005728DD" w:rsidP="005728DD">
      <w:pPr>
        <w:pStyle w:val="TextoNormal"/>
      </w:pPr>
      <w:r>
        <w:t>b) El 8 de mayo de 2017, tras las correspondientes alegaciones, la empresa notificó por escrito a la demandante de amparo su despido disciplinario.</w:t>
      </w:r>
    </w:p>
    <w:p w:rsidR="005728DD" w:rsidRDefault="005728DD" w:rsidP="005728DD">
      <w:pPr>
        <w:pStyle w:val="TextoNormal"/>
      </w:pPr>
    </w:p>
    <w:p w:rsidR="005728DD" w:rsidRDefault="005728DD" w:rsidP="005728DD">
      <w:pPr>
        <w:pStyle w:val="TextoNormal"/>
      </w:pPr>
      <w:r>
        <w:t xml:space="preserve">En lo que interesa —a los efectos del presente recurso de amparo—, en la carta de despido, bajo el epígrafe: “3. Incumplimientos laborales detectados: (i) transgresión de la buena fe contractual; (ii) desobediencia a las instrucciones de trabajo y; (iii) ofensas hacia los superiores jerárquicos”, se contenía el punto “3.1. En relación con la asignación de tareas”, en el que se hacía referencia a una falta de compromiso por la trabajadora con las funciones y objetivos que la empresa le asignaba, así como la existencia de negativas a realizar las tareas </w:t>
      </w:r>
      <w:r>
        <w:lastRenderedPageBreak/>
        <w:t>que se le encomendaban, poniendo de manifiesto que la empresa le había expresado en algunas reuniones que el rendimiento en los últimos ejercicios (2013, 2014, 2015 y 2016) no había sido el esperado. También se aludía a los desencuentros que, en diversas reuniones y comunicaciones, la recurrente había tenido con sus superiores jerárquicos, en relación con la posibilidad de la demandante de realizar los cometidos que la empleadora le asignaba. Ante tales circunstancias y que varios trabajadores, compañeros de la recurrente, habían puesto determinados hechos en conocimiento de la empresa, la empleadora decidió “poner en práctica el protocolo de monitorización de su equipo informático con el fin de determinar en qué empleaba su jornada laboral y más particularmente, cuál era su ocupación y si esta era lo suficiente completa como para no poder dedicar parte de su jornada laboral a las funciones que la Compañía le estaba encomendando” (</w:t>
      </w:r>
      <w:r w:rsidRPr="005728DD">
        <w:rPr>
          <w:i/>
        </w:rPr>
        <w:t>sic</w:t>
      </w:r>
      <w:r>
        <w:t>). Se indicaba en la carta de despido que a raíz de la monitorización “se ha podido comprobar que usted dedicaba en torno a un 30 por 100 de su jornada laboral a labores profesionales, empleando el 70 por 100 de la jornada restante a solventar cuestiones del ámbito de su esfera personal o, sencillamente, a no realizar labor alguna” (</w:t>
      </w:r>
      <w:r w:rsidRPr="005728DD">
        <w:rPr>
          <w:i/>
        </w:rPr>
        <w:t>sic</w:t>
      </w:r>
      <w:r>
        <w:t>).</w:t>
      </w:r>
    </w:p>
    <w:p w:rsidR="005728DD" w:rsidRDefault="005728DD" w:rsidP="005728DD">
      <w:pPr>
        <w:pStyle w:val="TextoNormal"/>
      </w:pPr>
    </w:p>
    <w:p w:rsidR="005728DD" w:rsidRDefault="005728DD" w:rsidP="005728DD">
      <w:pPr>
        <w:pStyle w:val="TextoNormal"/>
      </w:pPr>
      <w:r>
        <w:t>A continuación, se relata en la carta de despido que:</w:t>
      </w:r>
    </w:p>
    <w:p w:rsidR="005728DD" w:rsidRDefault="005728DD" w:rsidP="005728DD">
      <w:pPr>
        <w:pStyle w:val="TextoNormal"/>
      </w:pPr>
    </w:p>
    <w:p w:rsidR="005728DD" w:rsidRDefault="005728DD" w:rsidP="005728DD">
      <w:pPr>
        <w:pStyle w:val="TextoNormal"/>
      </w:pPr>
      <w:r>
        <w:t>“[L]o descrito denota que usted ha incurrido en incumplimientos laborales muy graves. Concretamente usted se ha negado reiteradamente a realizar varias de las tareas asignadas por la compañía bajo el pretexto de falta de tiempo, cuando ha quedado acreditado, mediante la monitorización de sus dispositivos electrónicos y la afirmaciones de varios de sus compañeros y superiores inmediatos, que usted disponía de tiempo suficiente durante su jornada laboral para poder desempeñar tales tareas y que, a mayor abundamiento, usted ha dedicado una parte de su jornada laboral (70 por 100) a cuestiones personales y ajenas a su actividad laboral. Su comportamiento reviste, además, especial gravedad teniendo en cuenta que las sucesivas asignaciones (o reducción) de funciones han sido siempre a petición suya y con el fin de satisfacer continuas reclamaciones en tal sentido, demostrando de esta manera su mala fe y el abuso de confianza en el desempeño de su puesto de trabajo a la hora de despreciar el esfuerzo realizado por la dirección de la compañía al preocuparse y atender en reiteradas ocasiones sus inquietudes profesionales. Las actuaciones descritas suponen una indisciplina y desobediencia de la normativa e instrucciones de la compañía y de las ordenes emanadas de sus superiores jerárquicos, una grave transgresión de la buena fe contractual y un abuso de confianza en su puesto de trabajo”</w:t>
      </w:r>
      <w:r w:rsidRPr="005728DD">
        <w:rPr>
          <w:i/>
        </w:rPr>
        <w:t xml:space="preserve"> (s</w:t>
      </w:r>
      <w:r>
        <w:t>ic).</w:t>
      </w:r>
    </w:p>
    <w:p w:rsidR="005728DD" w:rsidRDefault="005728DD" w:rsidP="005728DD">
      <w:pPr>
        <w:pStyle w:val="TextoNormal"/>
      </w:pPr>
    </w:p>
    <w:p w:rsidR="005728DD" w:rsidRDefault="005728DD" w:rsidP="005728DD">
      <w:pPr>
        <w:pStyle w:val="TextoNormal"/>
      </w:pPr>
      <w:r>
        <w:t>Dentro del sub-epígrafe intitulado: “3.2. En relación con el trato y comportamiento con el resto de sus compañeros y superiores jerárquicos”, se insiste en la negativa de la recurrente a desempeñar las tareas encomendadas y se refiere que el comportamiento de la misma, durante su jornada laboral, ha ocasionado consecuencias en la relación con sus compañeros y superiores. Concluyendo que la actitud irrespetuosa que ha venido adoptando con sus compañeros y superiores constituye una clara expresión de mala fe, “incurriendo incluso en ofensas verbales, pues de sus palabras se desprende la absoluta falta de respeto y consideración hacia aquellas personas con las que forma equipo, habiendo transgredido con ello la buena fe exigible en toda relación contractual”.</w:t>
      </w:r>
    </w:p>
    <w:p w:rsidR="005728DD" w:rsidRDefault="005728DD" w:rsidP="005728DD">
      <w:pPr>
        <w:pStyle w:val="TextoNormal"/>
      </w:pPr>
    </w:p>
    <w:p w:rsidR="005728DD" w:rsidRDefault="005728DD" w:rsidP="005728DD">
      <w:pPr>
        <w:pStyle w:val="TextoNormal"/>
      </w:pPr>
      <w:r>
        <w:t xml:space="preserve">Finalmente, en el epígrafe “4. Despido disciplinario” se refiere, que los hechos recogidos en el apartado 3 anterior constituyen varias faltas muy graves reguladas en “el artículo 54.2 b), c) y d) del Estatuto de los trabajadores, consistentes en: (i) Indisciplina o desobediencia </w:t>
      </w:r>
      <w:r>
        <w:lastRenderedPageBreak/>
        <w:t>en el trabajo; (ii) ofensas verbales al empresario y (iii) transgresión de la buena fe contractual y abuso de confianza en el desempeño del puesto de trabajo, en relación con los deberes laborales básicos recogidos en el artículo 5 a), c) y f) del mismo cuerpo legal”</w:t>
      </w:r>
      <w:r w:rsidRPr="005728DD">
        <w:rPr>
          <w:i/>
        </w:rPr>
        <w:t xml:space="preserve"> (s</w:t>
      </w:r>
      <w:r>
        <w:t>ic).</w:t>
      </w:r>
    </w:p>
    <w:p w:rsidR="005728DD" w:rsidRDefault="005728DD" w:rsidP="005728DD">
      <w:pPr>
        <w:pStyle w:val="TextoNormal"/>
      </w:pPr>
    </w:p>
    <w:p w:rsidR="005728DD" w:rsidRDefault="005728DD" w:rsidP="005728DD">
      <w:pPr>
        <w:pStyle w:val="TextoNormal"/>
      </w:pPr>
      <w:r>
        <w:t>c) El 20 de junio de 2017 la recurrente interpuso demanda laboral ante los juzgados de lo social. En la demanda tras exponer los hechos que consideró relevantes para sustentar su pretensión, dedicó la fundamentación de la misma a razonar: i) la existencia de la vulneración de su dignidad (art. 10.1 CE) y de su derecho fundamental a la intimidad y al secreto de las comunicaciones (art. 18.1 y 3 CE) como consecuencia de la monitorización del ordenador y de la entrada en su correo personal y en los correos electrónicos con su letrada; ii) la existencia de la vulneración de sus derechos a la integridad moral (art. 15 CE), del derecho al honor y a la propia imagen personal y profesional (art. 18.1 CE) y nuevamente de la dignidad humana (art.10.1 CE), como consecuencia del acoso laboral sufrido por la empresa.</w:t>
      </w:r>
    </w:p>
    <w:p w:rsidR="005728DD" w:rsidRDefault="005728DD" w:rsidP="005728DD">
      <w:pPr>
        <w:pStyle w:val="TextoNormal"/>
      </w:pPr>
    </w:p>
    <w:p w:rsidR="005728DD" w:rsidRDefault="005728DD" w:rsidP="005728DD">
      <w:pPr>
        <w:pStyle w:val="TextoNormal"/>
      </w:pPr>
      <w:r>
        <w:t>A continuación, con cita del art. 183 de la Ley reguladora de la jurisdicción social (en adelante LJS), solicitó “en atención a las circunstancias fácticas anteriormente descritas y a la suma gravedad de la lesión efectivamente producida” una indemnización por los daños materiales y morales producidos por la intromisión ilegítima llevada a cabo. Se refería a los diferentes parámetros utilizados para cuantificar los daños morales producidos, entre los cuales hacía alusión al importe de las multas que se preveían en el art. 40.1 c) del Real Decreto Legislativo 5/2000, de 4 de agosto, por el que se aprueba el texto refundido de la Ley sobre infracciones y sanciones en el orden social, para los actos contrarios al respeto de la intimidad y consideración debida a la dignidad de los trabajadores recogidos como infracciones muy graves en el art. 8.11 y 12 del mismo texto legal.</w:t>
      </w:r>
    </w:p>
    <w:p w:rsidR="005728DD" w:rsidRDefault="005728DD" w:rsidP="005728DD">
      <w:pPr>
        <w:pStyle w:val="TextoNormal"/>
      </w:pPr>
    </w:p>
    <w:p w:rsidR="005728DD" w:rsidRDefault="005728DD" w:rsidP="005728DD">
      <w:pPr>
        <w:pStyle w:val="TextoNormal"/>
      </w:pPr>
      <w:r>
        <w:t>Terminaba su escrito solicitando del juzgado que se declarara: la vulneración de la garantía de indemnidad y de los derechos fundamentales al honor, propia imagen personal y profesional, integridad del trabajador, intimidad y secreto de las comunicaciones, y que se condenara a la empresa a abonar una indemnización por daños morales de 51 439,4 €, así como que se declarara la nulidad del despido y consecuentemente la inmediata readmisión de la actora a su puesto de trabajo, o de manera subsidiaria, que se apreciara la improcedencia del despido con las consecuencias legales oportunas.</w:t>
      </w:r>
    </w:p>
    <w:p w:rsidR="005728DD" w:rsidRDefault="005728DD" w:rsidP="005728DD">
      <w:pPr>
        <w:pStyle w:val="TextoNormal"/>
      </w:pPr>
    </w:p>
    <w:p w:rsidR="005728DD" w:rsidRDefault="005728DD" w:rsidP="005728DD">
      <w:pPr>
        <w:pStyle w:val="TextoNormal"/>
      </w:pPr>
      <w:r>
        <w:t>d) La sentencia de 17 de noviembre de 2017, dictada por el Juzgado de lo Social núm. 19 de Madrid, estimó parcialmente la demanda apreciando la existencia de la vulneración de los derechos fundamentales de la demandante a la intimidad y al secreto de las comunicaciones, declarando la nulidad del despido, y condenó a la mercantil demandada a readmitir a la demandante, abonando los salarios dejados de percibir, y a pagar una indemnización de 6251 €.</w:t>
      </w:r>
    </w:p>
    <w:p w:rsidR="005728DD" w:rsidRDefault="005728DD" w:rsidP="005728DD">
      <w:pPr>
        <w:pStyle w:val="TextoNormal"/>
      </w:pPr>
    </w:p>
    <w:p w:rsidR="005728DD" w:rsidRDefault="005728DD" w:rsidP="005728DD">
      <w:pPr>
        <w:pStyle w:val="TextoNormal"/>
      </w:pPr>
      <w:r>
        <w:t xml:space="preserve">La sentencia razona que el art. 90.2 LJS, señala que no se admitirán las pruebas que se hubieran obtenido, directa o indirectamente, mediante procedimientos que supongan violación de derechos fundamentales o libertades públicas. Refiere que “la monitorización del ordenador de la demandante ha permitido a la empresa conocer y grabar todo lo que apareciese en su pantalla, y se ha traducido en el conocimiento de mensajes de correo electrónico, ajenos a lo laboral y por tanto personales, que la actora remitió a familiares y a su asesora legal, como se desprende del contenido de la propia carta de despido”. Con cita de la STEDH </w:t>
      </w:r>
      <w:r>
        <w:lastRenderedPageBreak/>
        <w:t xml:space="preserve">de 5 de diciembre de 2017, caso </w:t>
      </w:r>
      <w:r w:rsidRPr="005728DD">
        <w:rPr>
          <w:i/>
        </w:rPr>
        <w:t>Barbulescu c. Rumanía</w:t>
      </w:r>
      <w:r>
        <w:t>, concluye que la monitorización del ordenador de la demandante, en la forma en la que ello se hizo, no estaba justificada y se verificó en condiciones desproporcionadas, por lo que puede entenderse, en efecto, que se han lesionado sus derechos fundamentales a la intimidad y al secreto de sus comunicaciones.</w:t>
      </w:r>
    </w:p>
    <w:p w:rsidR="005728DD" w:rsidRDefault="005728DD" w:rsidP="005728DD">
      <w:pPr>
        <w:pStyle w:val="TextoNormal"/>
      </w:pPr>
    </w:p>
    <w:p w:rsidR="005728DD" w:rsidRDefault="005728DD" w:rsidP="005728DD">
      <w:pPr>
        <w:pStyle w:val="TextoNormal"/>
      </w:pPr>
      <w:r>
        <w:t>A tal efecto argumenta que la política de uso aceptable de los sistemas de información, de internet y del correo electrónico establecida en la empresa, que era conocida por la demandante, no prohibía de forma categórica todo uso personal de tales medios. Señala que si bien es cierto que se indica que el uso de los sistemas de información debe referirse a fines estrictamente profesionales, con exclusión de cualquier uso comercial, lúdico o personal ajeno a la actividad del trabajador, ello se hace “salvo las excepciones” que se establecen en el mismo documento, que expresamente permiten un empleo personal tanto de internet como del correo electrónico, si bien limitado a “un uso necesario, mínimo y razonable”. La sentencia continua su razonamiento indicando que la posibilidad de la empresa de verificar y determinar el correcto uso de los dispositivos tecnológicos se efectuaría “siempre en cumplimiento de la legislación aplicable y respetando los principios de proporcionalidad, racionalidad e idoneidad y en defensa de intereses legítimos”.</w:t>
      </w:r>
    </w:p>
    <w:p w:rsidR="005728DD" w:rsidRDefault="005728DD" w:rsidP="005728DD">
      <w:pPr>
        <w:pStyle w:val="TextoNormal"/>
      </w:pPr>
    </w:p>
    <w:p w:rsidR="005728DD" w:rsidRDefault="005728DD" w:rsidP="005728DD">
      <w:pPr>
        <w:pStyle w:val="TextoNormal"/>
      </w:pPr>
      <w:r>
        <w:t>Expone que las razones dadas por la empresa para la monitorización del ordenador de la demandante, esto es, determinar en qué empleaba su jornada laboral y más particularmente, cuál era su ocupación, no justificaban, por su carácter innecesario y desproporcionado, una intervención del ordenador que ha permitido el acceso a los correos personales de la trabajadora, en relación con los cuales subsistía con arreglo a las propias normas de la empresa una expectativa de intimidad. Razona que el objetivo de la empresa, que se orientaba a determinar la carga de trabajo de la demandante y su dedicación al mismo, hubiera podido alcanzarse por otras vías menos invasivas, tales como el control de los resultados del trabajo de la demandante (que no se olvide que se desarrollaba en el centro de trabajo) o por medio de la exigencia de una dación de cuenta por parte de la actora de las tareas realizadas durante su jornada, incluso de forma diaria durante un cierto periodo.</w:t>
      </w:r>
    </w:p>
    <w:p w:rsidR="005728DD" w:rsidRDefault="005728DD" w:rsidP="005728DD">
      <w:pPr>
        <w:pStyle w:val="TextoNormal"/>
      </w:pPr>
    </w:p>
    <w:p w:rsidR="005728DD" w:rsidRDefault="005728DD" w:rsidP="005728DD">
      <w:pPr>
        <w:pStyle w:val="TextoNormal"/>
      </w:pPr>
      <w:r>
        <w:t>Tras ello concluye que el despido de la demandante debe calificarse como nulo, de acuerdo con el art. 55.5 de la Ley del estatuto de los trabajadores (en adelante LET), al haberse producido con vulneración de los derechos fundamentales antes indicados. La sentencia no se detiene tras dicha afirmación, sino que por una parte examina el resto de las imputaciones contenidas en la carta de despido y refiere que o bien no han quedado acreditadas o no revisten la gravedad necesaria para justificar un despido. Y, por otra parte, descarta que la empresa demandada haya acosado a la demandante.</w:t>
      </w:r>
    </w:p>
    <w:p w:rsidR="005728DD" w:rsidRDefault="005728DD" w:rsidP="005728DD">
      <w:pPr>
        <w:pStyle w:val="TextoNormal"/>
      </w:pPr>
    </w:p>
    <w:p w:rsidR="005728DD" w:rsidRDefault="005728DD" w:rsidP="005728DD">
      <w:pPr>
        <w:pStyle w:val="TextoNormal"/>
      </w:pPr>
      <w:r>
        <w:t>Finalmente, la sentencia con cita del art. 183.1 LJS, cuyo texto reproduce, señala que es obligado pronunciarse sobre la indemnización que debe corresponder a la trabajadora. Razona que el importe de la indemnización debe atender a las dos finalidades que prevé el art. 183.2 LJS, y, acudiendo al criterio basado en la ley sobre infracciones y sanciones en el orden social, estima que debe fijarse una indemnización de 6251 €, “correspondiente al importe mínimo establecido por su artículo 40.1 para una falta muy grave (artículo 8.11), sin que se aprecie, en cambio, motivo para establecer una cantidad superior”.</w:t>
      </w:r>
    </w:p>
    <w:p w:rsidR="005728DD" w:rsidRDefault="005728DD" w:rsidP="005728DD">
      <w:pPr>
        <w:pStyle w:val="TextoNormal"/>
      </w:pPr>
    </w:p>
    <w:p w:rsidR="005728DD" w:rsidRDefault="005728DD" w:rsidP="005728DD">
      <w:pPr>
        <w:pStyle w:val="TextoNormal"/>
      </w:pPr>
      <w:r>
        <w:lastRenderedPageBreak/>
        <w:t>e) Ambas partes interpusieron recurso de suplicación. La sentencia de la Sección Cuarta de la Sala de lo Social del Tribunal Superior de Justicia de Madrid de 13 de septiembre de 2018, en primer lugar, examinó y desestimó el “motivo primero y único” del recurso de la demandante por entender que de los hechos no resultaba acreditada la existencia de acoso laboral. Por otra parte, la sentencia también desestimó los dos primeros motivos formulados por la entidad mercantil, por los que pretendía la modificación del relato de hechos probados, así como el tercer motivo en el que se postulaba que se declarara lícita la prueba resultante de la monitorización del ordenador. La Sala de lo Social del Tribunal Superior de Justicia consideró, con cita de la sentencia de la Sala de lo Social del Tribunal Supremo de 8 febrero de 2018 y razonando del mismo modo en que lo realizó la sentencia recurrida, que la prueba obtenida con la monitorización del ordenador, era ilícita por haber sido obtenida con violación de derechos fundamentales.</w:t>
      </w:r>
    </w:p>
    <w:p w:rsidR="005728DD" w:rsidRDefault="005728DD" w:rsidP="005728DD">
      <w:pPr>
        <w:pStyle w:val="TextoNormal"/>
      </w:pPr>
    </w:p>
    <w:p w:rsidR="005728DD" w:rsidRDefault="005728DD" w:rsidP="005728DD">
      <w:pPr>
        <w:pStyle w:val="TextoNormal"/>
      </w:pPr>
      <w:r>
        <w:t>A continuación, la sentencia examina el motivo cuarto del recurso de suplicación interpuesto por la entidad mercantil, en el que se alegaba la infracción de los artículos 20.3, 54.2 c), 54.2 d), 55.4 y 55.5 LET, y de los artículos 90.2 y 108.2 de la LJS, el artículo 11.1 de la Ley Orgánica del Poder Judicial (en adelante LOPJ). La empleadora afirmaba, que aun desechando el documento en el que constaba el resultado de la monitorización por haber sido declarado ilícito, se debía estimar la procedencia o subsidiariamente la improcedencia del despido y no su nulidad. La sentencia, estima dicho motivo. Argumenta que la prueba derivada de la monitorización del ordenador fue obtenida violentando los derechos fundamentales de la demandante, y por tanto, la misma no puede surtir ningún efecto. Ahora bien, en cuanto a las consecuencias jurídicas que ello debe comportar en relación con la calificación del despido: declarar su nulidad —aplicando el art. 55.5 LET— como realizó la sentencia del juzgado de lo social, o bien declarar su procedencia o improcedencia, según hayan quedado o no probados los incumplimientos contractuales alegados en la carta de despido valorando el resto de las pruebas no excluidas, se inclina por esta última calificación. A tal fin indica:</w:t>
      </w:r>
    </w:p>
    <w:p w:rsidR="005728DD" w:rsidRDefault="005728DD" w:rsidP="005728DD">
      <w:pPr>
        <w:pStyle w:val="TextoNormal"/>
      </w:pPr>
    </w:p>
    <w:p w:rsidR="005728DD" w:rsidRDefault="005728DD" w:rsidP="005728DD">
      <w:pPr>
        <w:pStyle w:val="TextoNormal"/>
      </w:pPr>
      <w:r>
        <w:t xml:space="preserve">“Y en este sentido cabe mantener —acogiendo parcialmente este motivo de recurso— que no procede la calificación de despido nulo, puesto que no se ha probado que la decisión extintiva acordada por la empresa demandada, en si misma considerada, pretendiera la vulneración de derechos fundamentales o libertades públicas de la trabajadora, ni que el móvil del empresario al acordar el despido respondiera a una causa vulneradora de esos derechos fundamentales lo que legalmente llevaría aparejada la nulidad del despido, cuestión distinta de la sucedida en este supuesto en que el empresario, al intentar comprobar el comportamiento de su empleada y obtener pruebas de algunos de sus incumplimientos para tratar de justificar un despido, ha obtenido de forma ilícita tal prueba con vulneración de derechos fundamentales, no pudiendo de esta manera confundirse el despido con violación de derechos fundamentales con la infracción de derechos fundamentales para la obtención de la prueba de parte de los hechos en los que se basó la empleadora para adoptar tal sanción. Y así, una vez eliminados del enjuiciamiento todos los hechos acreditados mediante la monitorización del ordenador (vinculados básicamente a la posible existencia de una trasgresión de la buena fe contractual y abuso de confianza e incluso indisciplina/desobediencia), sí existe prueba hábil e idónea de la realidad de otros hechos que, calificados como incumplimientos contractuales laborales fueron imputados a la trabajadora, pero que como correctamente se razona en la sentencia —fundamento de derecho cuarto— los mismos no alcanzan las notas de gravedad y culpabilidad que el Estatuto de los Trabajadores exige en su art. 54 </w:t>
      </w:r>
      <w:r>
        <w:lastRenderedPageBreak/>
        <w:t>ni pueden encajar en la tipificación que de las faltas muy graves hace el convenio colectivo […]. Debe, por tanto, concluirse que no ha quedado acreditada causa de despido alguna, procediendo la estimación de la demanda —en su petición subsidiaria— y en consecuencia, la declaración del despido como improcedente, en aplicación de lo dispuesto en los artículos 55.4 LET y 108 LJS, con las consecuencias legales inherentes a dicha calificación establecidas en los artículos 56 LET y 109 LJS, no habiendo resultado controvertido el hecho probado primero en el que como se fija un tiempo de servicios prestados desde el 19 de abril de1979 así como un salario anual de 51439,40 € brutos con prorrateo de pagas extraordinarias. Y ello sin perjuicio de lo que haya podido fijarse en relación con la ejecución del pronunciamiento de nulidad del despido acordado en la sentencia dictada por el juzgado de lo social (readmisión de la demandante y abono de los salarios desde el despido hasta la readmisión)”.</w:t>
      </w:r>
    </w:p>
    <w:p w:rsidR="005728DD" w:rsidRDefault="005728DD" w:rsidP="005728DD">
      <w:pPr>
        <w:pStyle w:val="TextoNormal"/>
      </w:pPr>
    </w:p>
    <w:p w:rsidR="005728DD" w:rsidRDefault="005728DD" w:rsidP="005728DD">
      <w:pPr>
        <w:pStyle w:val="TextoNormal"/>
      </w:pPr>
      <w:r>
        <w:t>Finalmente, la sentencia retoma el examen del recurso de la trabajadora en su “motivo primero y único”. En dicho motivo, amparándose en lo prevenido en el art. 193 letra c) LJS, invoca el incumplimiento del art. 183 LJS y de la sentencia de la Sala de lo Social del Tribunal Supremo, de 5 de octubre de 2017, y solicita que se fije a su favor una indemnización de 51 439,40 € brutos o un año de salario, o, subsidiariamente la indemnización que se estime adecuada por el tribunal. Dicho motivo es desestimado por la sentencia al considerar que dicha indemnización se vinculó, tanto en la demanda como en la sentencia, a la existencia de una vulneración por la empresa de derechos fundamentales de la trabajadora “y como tal lesión no ha existido (no hay prueba del acoso laboral y el despido ha sido calificado de improcedente), no procede indemnización alguna y en consecuencia no procede entrar a conocer de este aspecto del recurso, que debe ser desestimado al faltar el presupuesto del que se parte en el mismo”.</w:t>
      </w:r>
    </w:p>
    <w:p w:rsidR="005728DD" w:rsidRDefault="005728DD" w:rsidP="005728DD">
      <w:pPr>
        <w:pStyle w:val="TextoNormal"/>
      </w:pPr>
    </w:p>
    <w:p w:rsidR="005728DD" w:rsidRDefault="005728DD" w:rsidP="005728DD">
      <w:pPr>
        <w:pStyle w:val="TextoNormal"/>
      </w:pPr>
      <w:r>
        <w:t>f) Ambas partes formalizaron recurso de casación para la unificación de doctrina, y ambos recursos fueron inadmitidos por auto de la Sala de lo Social del Tribunal Supremo de 24 de septiembre de 2019.</w:t>
      </w:r>
    </w:p>
    <w:p w:rsidR="005728DD" w:rsidRDefault="005728DD" w:rsidP="005728DD">
      <w:pPr>
        <w:pStyle w:val="TextoNormal"/>
      </w:pPr>
    </w:p>
    <w:p w:rsidR="005728DD" w:rsidRDefault="005728DD" w:rsidP="005728DD">
      <w:pPr>
        <w:pStyle w:val="TextoNormal"/>
      </w:pPr>
      <w:r w:rsidRPr="005728DD">
        <w:rPr>
          <w:rStyle w:val="NumeroAFNegritaCaracter"/>
        </w:rPr>
        <w:t>3</w:t>
      </w:r>
      <w:r>
        <w:t>. En fecha 26 de noviembre de 2019, se registró en este tribunal la demanda de amparo interpuesta por la representación de la demandante contra la sentencia de la Sección Cuarta de la Sala de lo Social del Tribunal Superior de Justicia de Madrid de 13 de septiembre de 2018, dictada en el recurso de suplicación núm. 351-2018, y frente al auto de fecha 24 de septiembre de 2019 dictado por la Sala de lo Social del Tribunal Supremo, imputando a dichas resoluciones la vulneración del derecho a la tutela judicial efectiva (art. 24.1 CE) en relación con el derecho a la intimidad y al secreto de las comunicaciones (arts. 18.1 y 3 CE), e interesando que se acordara la nulidad de ambas resoluciones judiciales y se declarase la vulneración de los derechos invocados, así como la nulidad del despido, ordenando la devolución de las actuaciones al Tribunal Superior de Justicia de Madrid, para que resuelva el motivo segundo del recurso de suplicación conforme al art. 193 c) LJS.</w:t>
      </w:r>
    </w:p>
    <w:p w:rsidR="005728DD" w:rsidRDefault="005728DD" w:rsidP="005728DD">
      <w:pPr>
        <w:pStyle w:val="TextoNormal"/>
      </w:pPr>
    </w:p>
    <w:p w:rsidR="005728DD" w:rsidRDefault="005728DD" w:rsidP="005728DD">
      <w:pPr>
        <w:pStyle w:val="TextoNormal"/>
      </w:pPr>
      <w:r>
        <w:t xml:space="preserve">La demandante no comparte la respuesta que le han dado el Tribunal Superior de Justicia y el Tribunal Supremo en relación con las consecuencias jurídicas de la nulidad de la prueba obtenida con vulneración de los derechos fundamentales de la recurrente, en lo que a la calificación del despido se refiere. Afirma, que como indicó el juzgado de lo social, no estamos solamente ante un supuesto de ineficacia absoluta de la prueba, que es nula, sino de nulidad de cuantos actos y medidas traigan causa de ella, de modo que el despido ha de </w:t>
      </w:r>
      <w:r>
        <w:lastRenderedPageBreak/>
        <w:t>calificarse como nulo. A tal fin reproduce el art. 55.5 LET, e indica que la primera causa de nulidad del despido es que tenga su origen en una discriminación proscrita constitucionalmente y, la segunda causa, distinta, es que dicho despido se produzca, con violación de derechos fundamentales y libertades públicas del trabajador, que “es exactamente lo que aquí se ha producido”. En tal sentido indica que todos los “criterios de interpretación gramatical, lógica y teleológica aplicables (art. 3.1 del Código civil además del criterio último y superior, que es el de interpretación conforme a la Constitución), conducen a considerar que la nulidad del despido tiene en el art. 55.5 LET un carácter automático, vinculado exclusivamente a la acreditación de dicha vulneración en el acto del despido” (</w:t>
      </w:r>
      <w:r w:rsidRPr="005728DD">
        <w:rPr>
          <w:i/>
        </w:rPr>
        <w:t>sic</w:t>
      </w:r>
      <w:r>
        <w:t>).</w:t>
      </w:r>
    </w:p>
    <w:p w:rsidR="005728DD" w:rsidRDefault="005728DD" w:rsidP="005728DD">
      <w:pPr>
        <w:pStyle w:val="TextoNormal"/>
      </w:pPr>
    </w:p>
    <w:p w:rsidR="005728DD" w:rsidRDefault="005728DD" w:rsidP="005728DD">
      <w:pPr>
        <w:pStyle w:val="TextoNormal"/>
      </w:pPr>
      <w:r>
        <w:t>Reproduce en su apoyo la STC 125/2018, de 26 de noviembre, en relación con el despido de un trabajador con vulneración del legítimo ejercicio del cargo representativo derivado de la asistencia a plenos municipales (art. 23.2 CE) y la STC 92/2008 en la que se consideró que las resoluciones judiciales que declararon como improcedente el despido de una trabajadora embarazada, en lugar de nulo, habrían vulnerado su derecho a la tutela judicial efectiva del art. 24.1 CE por la interpretación efectuada por los órganos judiciales del art. 55.5 LET, en la redacción dada al mismo por la Ley 39/1999, de 5 de noviembre, de conciliación de la vida familiar y laboral de las personas trabajadoras.</w:t>
      </w:r>
    </w:p>
    <w:p w:rsidR="005728DD" w:rsidRDefault="005728DD" w:rsidP="005728DD">
      <w:pPr>
        <w:pStyle w:val="TextoNormal"/>
      </w:pPr>
    </w:p>
    <w:p w:rsidR="005728DD" w:rsidRDefault="005728DD" w:rsidP="005728DD">
      <w:pPr>
        <w:pStyle w:val="TextoNormal"/>
      </w:pPr>
      <w:r>
        <w:t>Alega que la exigencia de motivación es más intensa cuando está implicado en el proceso un derecho fundamental sustantivo, y cuestiona que la sentencia del Tribunal Superior de Justicia de Madrid no conceda la indemnización solicitada por daños morales basándose en que la misma se vinculó tanto en la demanda y en la sentencia a la existencia de una vulneración por la empresa de derechos fundamentales de la trabajadora y como tal lesión no ha existido (no hay prueba del acoso laboral y el despido ha sido calificado de improcedente) no procede la indemnización reclamada.</w:t>
      </w:r>
    </w:p>
    <w:p w:rsidR="005728DD" w:rsidRDefault="005728DD" w:rsidP="005728DD">
      <w:pPr>
        <w:pStyle w:val="TextoNormal"/>
      </w:pPr>
    </w:p>
    <w:p w:rsidR="005728DD" w:rsidRDefault="005728DD" w:rsidP="005728DD">
      <w:pPr>
        <w:pStyle w:val="TextoNormal"/>
      </w:pPr>
      <w:r>
        <w:t>Finalmente, concluye señalando que “la interpretación incorrecta de una norma que desarrolle un derecho fundamental sustantivo puede vulnerar el art. 24.1 CE, como es el caso, al no otorgar una protección efectiva declarando nulo el propio acto de despido que vulnera dichos derechos fundamentales, haciendo una interpretación del artículo 55 LET en coherencia con el art. 18 CE, que es precisamente lo que en este proceso se cuestiona”.</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19 de octubre de 2020, la Sala Primera acordó la admisión a trámite de la demanda de amparo, al apreciar que concurría en la misma una especial trascendencia constitucional (art. 50.1 LOTC) porque el recurso planteaba un problema o afectaba a una faceta de un derecho fundamental sobre el que no hay doctrina del tribunal [STC 155/2009, FJ 2 a)]. En esa providencia se dispuso también que, a tenor de lo dispuesto en el artículo 51 de la Ley Orgánica del Tribunal Constitucional (LOTC), se requiriera atentamente al Juzgado de lo Social núm. 19 de Madrid, a la Sección Cuarta de la Sala de lo Social del Tribunal Superior de Justicia de Madrid, así como a la Sala de lo Social del Tribunal Supremo, para que en el plazo de diez días, remitieran testimonio de las actuaciones correspondientes al procedimiento de despido núm. 737-2017 y al recurso de casación para la unificación de doctrina núm. 4940-2018.</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Mediante escrito registrado en este tribunal el día 28 de diciembre de 2020, el procurador de los tribunales don Jaime Briones Méndez, en representación de Amadeus Soluciones Tecnológicas, S.A., asistido del letrado don Mario Barros García, formuló alegaciones oponiéndose al otorgamiento del amparo solicitado.</w:t>
      </w:r>
    </w:p>
    <w:p w:rsidR="005728DD" w:rsidRDefault="005728DD" w:rsidP="005728DD">
      <w:pPr>
        <w:pStyle w:val="TextoNormal"/>
      </w:pPr>
    </w:p>
    <w:p w:rsidR="005728DD" w:rsidRDefault="005728DD" w:rsidP="005728DD">
      <w:pPr>
        <w:pStyle w:val="TextoNormal"/>
      </w:pPr>
      <w:r>
        <w:t>En primer lugar, precisa que formalmente la demanda se dirige contra el auto de la Sala de lo Social del Tribunal Supremo y también contra la sentencia de la Sala de lo Social del Tribunal Superior de Justicia de Madrid. Sin embargo, aclara que únicamente se atribuye a esta última la vulneración del derecho a la tutela judicial efectiva (art. 24.1 CE), en relación con su derecho a la intimidad y al secreto de las comunicaciones (art. 18.1 y 18.3 CE), por no haber declarado la nulidad automática de su despido, pues el auto del Tribunal Supremo se limitó a inadmitir el recurso de casación para la unificación de doctrina por falta de contradicción.</w:t>
      </w:r>
    </w:p>
    <w:p w:rsidR="005728DD" w:rsidRDefault="005728DD" w:rsidP="005728DD">
      <w:pPr>
        <w:pStyle w:val="TextoNormal"/>
      </w:pPr>
    </w:p>
    <w:p w:rsidR="005728DD" w:rsidRDefault="005728DD" w:rsidP="005728DD">
      <w:pPr>
        <w:pStyle w:val="TextoNormal"/>
      </w:pPr>
      <w:r>
        <w:t>Añade que la consecuencia de la obtención de una prueba de forma ilícita se encuentra tasada en el ordenamiento jurídico y consiste en la eliminación de la misma del procedimiento judicial (arts. 11.1 LOPJ y 90.2 LJS). Considera que la sentencia del Tribunal Superior de Justicia de Madrid superó con creces el estándar de razonabilidad y motivación reforzada utilizado por el Tribunal Constitucional para valorar las vulneraciones del art. 24.1 CE, sin que el Tribunal Constitucional pueda crear una nueva causa de nulidad del despido que opere de forma objetiva y automática.</w:t>
      </w:r>
    </w:p>
    <w:p w:rsidR="005728DD" w:rsidRDefault="005728DD" w:rsidP="005728DD">
      <w:pPr>
        <w:pStyle w:val="TextoNormal"/>
      </w:pPr>
    </w:p>
    <w:p w:rsidR="005728DD" w:rsidRDefault="005728DD" w:rsidP="005728DD">
      <w:pPr>
        <w:pStyle w:val="TextoNormal"/>
      </w:pPr>
      <w:r>
        <w:t>Sostiene que la demanda de amparo no hace ni el menor esfuerzo en argumentar las razones por las que las resoluciones impugnadas son supuestamente arbitrarias, manifiestamente irrazonables o fruto de un error patente. Entiende que los argumentos utilizados por la sentencia impugnada para declarar la improcedencia del despido son perfectamente razonables —como con nitidez se extrae de su sola lectura— y, en modo alguno, incurren en arbitrariedad o en un error patente que sea reprochable en sede constitucional, por lo que se encuentran extramuros del control del Tribunal Constitucional en sede del art. 24.1 CE. Ello debiera conducir, a su juicio, a la desestimación del recurso de amparo.</w:t>
      </w:r>
    </w:p>
    <w:p w:rsidR="005728DD" w:rsidRDefault="005728DD" w:rsidP="005728DD">
      <w:pPr>
        <w:pStyle w:val="TextoNormal"/>
      </w:pPr>
    </w:p>
    <w:p w:rsidR="005728DD" w:rsidRDefault="005728DD" w:rsidP="005728DD">
      <w:pPr>
        <w:pStyle w:val="TextoNormal"/>
      </w:pPr>
      <w:r>
        <w:t xml:space="preserve">Continúa insistiendo en que la sentencia del Tribunal Superior de Justicia de Madrid cumple con las exigencias de motivación reforzada al resolver el conflicto que afecta a los derechos fundamentales. Y en tal sentido, la sentencia reconoce en su fundamento jurídico segundo, que la obtención de una de las pruebas utilizadas por la empresa para acreditar uno de los incumplimientos imputados a la actora en su carta de despido, no se respetaron los derechos a la intimidad y al secreto de las comunicaciones de la recurrente. Recalca que el Tribunal Superior de Justicia de Madrid cumple con creces la exigencia de motivación al alcanzar esta conclusión con base en un repaso de copiosa jurisprudencia europea (SSTEDH de 25 de junio de 1997, caso </w:t>
      </w:r>
      <w:r w:rsidRPr="005728DD">
        <w:rPr>
          <w:i/>
        </w:rPr>
        <w:t>Halford c. Reino Unido</w:t>
      </w:r>
      <w:r>
        <w:t xml:space="preserve">, y de 3 de abril de 2007, caso </w:t>
      </w:r>
      <w:r w:rsidRPr="005728DD">
        <w:rPr>
          <w:i/>
        </w:rPr>
        <w:t>Copland c. Reino Unido</w:t>
      </w:r>
      <w:r>
        <w:t>), constitucional (SSTC 99/1994, 143/1994, 186/2000, 70/2002, 185/2002, 14/2003, 126/2003, 89/2006, 159/2009, 173/2011, 12/2012, 96/2012, 241/2012, 70/2013, 93/2013 y 115/2013) y ordinaria (STS de 8 de febrero de 2018). Alcanzada esta conclusión, el Tribunal Superior de Justicia de Madrid motiva también de forma reforzada que la consecuencia aparejada a ese hecho es la nulidad de la prueba conforme a los arts. 90.2 LJS y 11.1 LOPJ. Y, abunda en su defensa de la sentencia impugnada, al indicar que la misma cumple con las exigencias de motivación reforzada al exteriorizar y justificar que no concurren ninguno de los supuestos de nulidad que prevé el art. 55.5 LET.</w:t>
      </w:r>
    </w:p>
    <w:p w:rsidR="005728DD" w:rsidRDefault="005728DD" w:rsidP="005728DD">
      <w:pPr>
        <w:pStyle w:val="TextoNormal"/>
      </w:pPr>
    </w:p>
    <w:p w:rsidR="005728DD" w:rsidRDefault="005728DD" w:rsidP="005728DD">
      <w:pPr>
        <w:pStyle w:val="TextoNormal"/>
      </w:pPr>
      <w:r>
        <w:t>Finalmente sostiene que al Tribunal Constitucional no le corresponde crear una nueva causa de nulidad del despido como pretende la recurrente. Añade que la demanda pretende que se realice una interpretación vinculante del art. 55.5 LET que obligue a declarar nulos todos los despidos en los que alguna de las pruebas, de las varias utilizadas por la empresa para acreditar alguno de los incumplimientos imputados a un trabajador, haya sido obtenida afectando en cualquier medida los derechos fundamentales. Los pronunciamientos habidos en suplicación en esta materia se han mostrado mayoritariamente partidarios de expulsar del procedimiento judicial la prueba obtenida de forma ilícita (de los que es buena muestra, según indica, la sentencia del Tribunal Superior de Justicia de Madrid), procediendo a calificar el despido como procedente o improcedente, sin tomar en consideración dicha prueba. Dicha conclusión deriva de la ausencia de conexión legislativa entre la ilicitud de la prueba y la calificación del despido disciplinario, pues en un caso se actúa sobre la fuente de prueba y en el otro sobre la calificación del despido. La nulidad queda reservada cuando el móvil del despido sea la vulneración de derechos fundamentales. Cuestiona los precedentes que la demanda cita para sostener su pretensión (SSTC 92/2008 y 125/2018), bien porque en el primer caso la decisión extintiva estuvo motivada por el ejercicio legítimo del derecho de participación política, bien porque en el segundo de los casos se invadía el ámbito de la interpretación y aplicación de la legalidad ordinaria, lo que ocasionó críticas por parte de la doctrina. Añade que el recurso de amparo pierde de vista el objeto propio del amparo constitucional, y que en el mismo se reclama del Tribunal Constitucional que resuelva la controversia en esta materia a modo de “supercasación”, una vez que el Tribunal Supremo inadmite el recurso de casación para la unificación de doctrina. De hacerlo así, el Tribunal Constitucional se estaría inmiscuyendo en cuestiones de legalidad ordinaria, invadiendo el ámbito funcional que corresponde en su máxima expresión al Tribunal Supremo.</w:t>
      </w:r>
    </w:p>
    <w:p w:rsidR="005728DD" w:rsidRDefault="005728DD" w:rsidP="005728DD">
      <w:pPr>
        <w:pStyle w:val="TextoNormal"/>
      </w:pPr>
    </w:p>
    <w:p w:rsidR="005728DD" w:rsidRDefault="005728DD" w:rsidP="005728DD">
      <w:pPr>
        <w:pStyle w:val="TextoNormal"/>
      </w:pPr>
      <w:r>
        <w:t>Termina sus alegaciones descartando que el amparo tenga la especial trascendencia constitucional apreciada, pues la calificación del despido es una materia de legalidad ordinaria y otorgar el amparo implicaría reconstruir el marco jurídico de las causas de nulidad del despido, cuya competencia solo corresponde al legislador.</w:t>
      </w:r>
    </w:p>
    <w:p w:rsidR="005728DD" w:rsidRDefault="005728DD" w:rsidP="005728DD">
      <w:pPr>
        <w:pStyle w:val="TextoNormal"/>
      </w:pPr>
    </w:p>
    <w:p w:rsidR="005728DD" w:rsidRDefault="005728DD" w:rsidP="005728DD">
      <w:pPr>
        <w:pStyle w:val="TextoNormal"/>
      </w:pPr>
      <w:r w:rsidRPr="005728DD">
        <w:rPr>
          <w:rStyle w:val="NumeroAFNegritaCaracter"/>
        </w:rPr>
        <w:t>6</w:t>
      </w:r>
      <w:r>
        <w:t>. La demandante de amparo formula sus alegaciones mediante escrito presentado el 29 de diciembre de 2020, en el cual reitera los argumentos expuestos en la demanda de amparo, insistiendo en su oposición a la interpretación efectuada por los órganos judiciales del art. 55.5 LET.</w:t>
      </w:r>
    </w:p>
    <w:p w:rsidR="005728DD" w:rsidRDefault="005728DD" w:rsidP="005728DD">
      <w:pPr>
        <w:pStyle w:val="TextoNormal"/>
      </w:pPr>
    </w:p>
    <w:p w:rsidR="005728DD" w:rsidRDefault="005728DD" w:rsidP="005728DD">
      <w:pPr>
        <w:pStyle w:val="TextoNormal"/>
      </w:pPr>
      <w:r w:rsidRPr="005728DD">
        <w:rPr>
          <w:rStyle w:val="NumeroAFNegritaCaracter"/>
        </w:rPr>
        <w:t>7</w:t>
      </w:r>
      <w:r>
        <w:t>. El fiscal ante el Tribunal Constitucional presentó sus alegaciones mediante escrito registrado el 14 de enero de 2021 interesando el otorgamiento del amparo y que se declarara vulnerado el derecho fundamental de la demandante a la tutela judicial efectiva (art. 24.1 CE), en relación con los derechos a la intimidad y al secreto de las comunicaciones, (arts. 18.1 y 18.3 CE). Y, en consecuencia solicita que se declare la nulidad de la sentencia de fecha 13 de noviembre de 2018, dictada por la Sección Cuarta de la Sala de lo Social del Tribunal Superior de Justicia de Madrid y del auto de fecha 24 de septiembre de 2019, dictado por la Sala de lo Social del Tribunal Supremo.</w:t>
      </w:r>
    </w:p>
    <w:p w:rsidR="005728DD" w:rsidRDefault="005728DD" w:rsidP="005728DD">
      <w:pPr>
        <w:pStyle w:val="TextoNormal"/>
      </w:pPr>
    </w:p>
    <w:p w:rsidR="005728DD" w:rsidRDefault="005728DD" w:rsidP="005728DD">
      <w:pPr>
        <w:pStyle w:val="TextoNormal"/>
      </w:pPr>
      <w:r>
        <w:t xml:space="preserve">El Ministerio Fiscal tras exponer los antecedentes procesales que considera relevantes, comienza su razonamiento delimitando el objeto del recurso de amparo. A tal efecto señala que el reproche que la demanda efectúa al auto de la Sala de lo Social del Tribunal Supremo </w:t>
      </w:r>
      <w:r>
        <w:lastRenderedPageBreak/>
        <w:t>consiste en no haber corregido la vulneración que le reprocha a la sentencia del Tribunal Superior de Justicia de Madrid, por lo que el objeto del recurso se concreta a esta última resolución. Ello sin perjuicio de que el eventual reconocimiento de la vulneración se proyecte también sobre el auto del Tribunal Supremo. A continuación, se refiere al contenido de la demanda de amparo y a la doctrina del Tribunal Constitucional que considera aplicable. En concreto, en relación con el contenido y alcance del derecho a la intimidad y el secreto de las comunicaciones y sus diferencias, reproduce parcialmente el fundamento jurídico 4 de la STC 170/2013 y el FJ 3 B) de la STC 18/2020, y aplica tales derechos, mediante la cita de las SSTC 214/2012, de 17 de diciembre, y 170/2013, de 7 de octubre, a la relación laboral y en concreto a la posibilidad de que la empresa vigile y controle a través de medios informáticos el cumplimiento de las obligaciones del trabajador.</w:t>
      </w:r>
    </w:p>
    <w:p w:rsidR="005728DD" w:rsidRDefault="005728DD" w:rsidP="005728DD">
      <w:pPr>
        <w:pStyle w:val="TextoNormal"/>
      </w:pPr>
    </w:p>
    <w:p w:rsidR="005728DD" w:rsidRDefault="005728DD" w:rsidP="005728DD">
      <w:pPr>
        <w:pStyle w:val="TextoNormal"/>
      </w:pPr>
      <w:r>
        <w:t>Por otra parte, con apoyo en las SSTC 74/2007, de 16 de abril; 124/2009, de 18 de mayo, y 30/2017, de 27 de febrero, expone la doctrina del Tribunal Constitucional relativa al contenido del derecho a la tutela judicial efectiva (art. 24.1 CE), en lo que a la motivación de las resoluciones judiciales y a la interpretación que de las normas legales realizan los tribunales ordinarios.</w:t>
      </w:r>
    </w:p>
    <w:p w:rsidR="005728DD" w:rsidRDefault="005728DD" w:rsidP="005728DD">
      <w:pPr>
        <w:pStyle w:val="TextoNormal"/>
      </w:pPr>
    </w:p>
    <w:p w:rsidR="005728DD" w:rsidRDefault="005728DD" w:rsidP="005728DD">
      <w:pPr>
        <w:pStyle w:val="TextoNormal"/>
      </w:pPr>
      <w:r>
        <w:t>Refiere que la doctrina constitucional sobre los efectos de la prueba obtenida con vulneración de derechos fundamentales se plasma fundamentalmente en los procesos penales y está vinculada al principio de presunción de inocencia. En esencia afirma que las pruebas directamente obtenidas infringiendo un derecho fundamental no pueden ser tenidas en cuenta en juicio, deben ser tratadas como si no existieran, y que las pruebas que se derivan de las anteriores, cuando existe entre ambas una conexión de antijuridicidad, tampoco tendrán eficacia alguna para fundar una condena. Las demás pruebas que se presenten en el juicio podrán ser tenidas en cuenta y deberá valorarse si, por sí mismas, sin tener en cuenta las pruebas anuladas, son suficientes para desvirtuar la presunción de inocencia. (STC 184/2013 de 23 de octubre FFJJ 2 y 4). Añade que, si bien el principio de presunción de inocencia no es trasladable al ámbito de la relación laboral en supuestos de sanciones disciplinaria, ello no quiere decir que con carácter general, los criterios constitucionales sobre prueba ilícita no puedan ser aplicados al mismo. Continua afirmando que “en ese sentido un documento u otro medio de prueba obtenido con vulneración de derechos fundamentales no podrá ser tenido en cuenta, no podrá utilizarse para probar los hechos en los que el empresario justifique el despido, de tal modo que si es la única prueba de dichos hechos o si las otras se derivan de ella con la conexión antes mencionada, esos hechos se tendrán por no probados; pero si hubiera otros medios de prueba, estos podrían ser analizados con total separación de los anteriores, para ver si son suficientes para probar por si mismos los hechos que se aleguen”.</w:t>
      </w:r>
    </w:p>
    <w:p w:rsidR="005728DD" w:rsidRDefault="005728DD" w:rsidP="005728DD">
      <w:pPr>
        <w:pStyle w:val="TextoNormal"/>
      </w:pPr>
    </w:p>
    <w:p w:rsidR="005728DD" w:rsidRDefault="005728DD" w:rsidP="005728DD">
      <w:pPr>
        <w:pStyle w:val="TextoNormal"/>
      </w:pPr>
      <w:r>
        <w:t xml:space="preserve">Sostiene que la STC 196/2004, de 15 de noviembre, en relación a la calificación de un despido disciplinario, en el cual se alegaba un motivo de despido, basado en hechos que se descubrieron mediante una actuación de la empresa realizada con violación de derechos fundamentales, consideró que conforme a constante doctrina del Tribunal Constitucional (SSTC 38/1981, de 23 de noviembre; 114/1989, de 22 de junio; 186/1996, de 2 de noviembre; 1/1998, de 12 de enero; 57/1999, de 12 de abril; 20/2002, de 28 de enero, o 49/2003, de 17 de marzo), la reparación de la lesión de un derecho fundamental que hubiese sido causado por el despido laboral, debe determinar la eliminación absoluta de sus efectos, es decir, la nulidad del mismo. Sin embargo, apunta el fiscal en sus alegaciones, que “en todas </w:t>
      </w:r>
      <w:r>
        <w:lastRenderedPageBreak/>
        <w:t>las sentencias citadas en esa frase, se enjuician procesos en que la vulneración del derecho fundamental se produce en el despido mismo, puesto que en ellos se despide al trabajador por un acto lícito de este, hecho en el ejercicio de derechos fundamentales (libertad sindical o libertad de expresión)”.</w:t>
      </w:r>
    </w:p>
    <w:p w:rsidR="005728DD" w:rsidRDefault="005728DD" w:rsidP="005728DD">
      <w:pPr>
        <w:pStyle w:val="TextoNormal"/>
      </w:pPr>
    </w:p>
    <w:p w:rsidR="005728DD" w:rsidRDefault="005728DD" w:rsidP="005728DD">
      <w:pPr>
        <w:pStyle w:val="TextoNormal"/>
      </w:pPr>
      <w:r>
        <w:t>A continuación, el fiscal aplica la doctrina al caso concreto. Indica que la recurrente no está invocando una vulneración autónoma de los derechos a la intimidad y al secreto de las comunicaciones, pues dicha vulneración ya ha sido reconocida por los órganos judiciales. La demanda de amparo lo que sustenta es que, habiéndose reconocido la violación de tales derechos en la sentencia impugnada, los efectos que la sentencia extrae de la misma suponen una interpretación del art. 55.5 LET en relación con el art. 11.1 LOPJ y 90.2 LJS, que no es conforme con el contenido esencial de estos derechos. Lo que es realmente objeto de impugnación en primer lugar, es el efecto que la ilicitud de la prueba debe producir en cuanto a la calificación del despido. Razona, que las SSTC 92/2008, de 21 de julio, y 125/2018, de 26 de noviembre, alegadas por la demandante, no pueden ser consideradas precedentes determinantes para resolver el problema que se plantea en la demanda. En este proceso los hechos alegados para el despido no han sido realizados por la trabajadora en ejercicio de ningún derecho fundamental, ni en su despido se ha producido discriminación u otro ataque a la igualdad u otro derecho fundamental, se la despide por falta de rendimiento (motivo respecto del cual se aporta la prueba ilícita), y por el comportamiento con sus superiores y sus compañeros.</w:t>
      </w:r>
    </w:p>
    <w:p w:rsidR="005728DD" w:rsidRDefault="005728DD" w:rsidP="005728DD">
      <w:pPr>
        <w:pStyle w:val="TextoNormal"/>
      </w:pPr>
    </w:p>
    <w:p w:rsidR="005728DD" w:rsidRDefault="005728DD" w:rsidP="005728DD">
      <w:pPr>
        <w:pStyle w:val="TextoNormal"/>
      </w:pPr>
      <w:r>
        <w:t>Añade que la interpretación literal del art. 55 LET, no obliga a estimar que cualquier despido disciplinario en cuya carta de despido y/o en el proceso de impugnación, se aporte por el empresario una prueba obtenida con vulneración de derechos fundamentales suponga automáticamente la declaración de ese despido como nulo. Considera que dicha interpretación sería demasiado radical pues supondría dar los mismos efectos de despido nulo a supuestos diferentes: 1. En la STC 196/2004, la nulidad del despido resulta no solo porque así lo dijo esta sentencia, que es de obligado acatamiento, sino porque la causa única del despido surge de la violación del derecho fundamental aunque no sea el hecho de despedir lo que viola un derecho fundamental, sino que la violación es anterior al despido, y este no existiría sin esa violación previa, de tal modo que no resulta lógico desligar esta del despido; 2. Cuando la vulneración del derecho fundamental se produce al obtener una de las pruebas de los hechos en los que la empresa fundamenta una de las causas del despido. En este caso, parece procedente separar a su vez, entre dos supuestos diferentes: a) Cuando del resto de las pruebas obtenidas lícitamente, se justifique la existencia de una infracción laboral, no resulta acertado considerar que la causa del despido sea la vulneración de los derechos fundamentales. Así resulta del propio art. 55.5 en su último párrafo; b) cuando, como ha sucedido en este caso, el empresario en su carta de despido alegue varios motivos para despedir al trabajador, es decir varias infracciones laborales de este, pero la única infracción que tiene gravedad suficiente para ser sancionada con el despido, es precisamente la que resulta de los hechos acreditados con la prueba obtenida con vulneración de derechos fundamentales, en tal caso, la interpretación que resulta congruente con el art. 55.5 LET es declarar la nulidad del despido.</w:t>
      </w:r>
    </w:p>
    <w:p w:rsidR="005728DD" w:rsidRDefault="005728DD" w:rsidP="005728DD">
      <w:pPr>
        <w:pStyle w:val="TextoNormal"/>
      </w:pPr>
    </w:p>
    <w:p w:rsidR="005728DD" w:rsidRDefault="005728DD" w:rsidP="005728DD">
      <w:pPr>
        <w:pStyle w:val="TextoNormal"/>
      </w:pPr>
      <w:r>
        <w:t xml:space="preserve">Afirma que no se considera errónea la tesis de la sentencia impugnada consistente en que procede distinguir entre el despido con violación de derechos fundamentales y la infracción de derechos fundamentales para la obtención de prueba de los hechos en los que se basó la </w:t>
      </w:r>
      <w:r>
        <w:lastRenderedPageBreak/>
        <w:t>empleadora para justificar el despido, pero al aplicarla al caso, se ha interpretado el art. 55.5 LET vulnerando el derecho a la tutela judicial efectiva (art. 24.1 CE) en relación con los derechos sustantivos invocados, al desligar el despido de la violación de los derechos fundamentales cometida.</w:t>
      </w:r>
    </w:p>
    <w:p w:rsidR="005728DD" w:rsidRDefault="005728DD" w:rsidP="005728DD">
      <w:pPr>
        <w:pStyle w:val="TextoNormal"/>
      </w:pPr>
    </w:p>
    <w:p w:rsidR="005728DD" w:rsidRDefault="005728DD" w:rsidP="005728DD">
      <w:pPr>
        <w:pStyle w:val="TextoNormal"/>
      </w:pPr>
      <w:r>
        <w:t>Finalmente examina la vulneración atribuida a la sentencia al dar respuesta a la segunda causa del motivo “primero y único” del recurso de suplicación de la demandante, relativa a la indemnización por la vulneración de los derechos fundamentales. Considera el fiscal que se ha producido una vulneración del derecho a la tutela judicial efectiva, porque la afirmación de que no ha existido vulneración de derechos fundamentales de la trabajadora supone una argumentación incongruente o ilógica ya que al analizar el motivo tercero y el cuarto del recurso de la empresa, afirma tajantemente que se vulneraron sus derechos fundamentales al realizar la monitorización del ordenador de resultas de la cual se obtuvo la prueba que justificaría el despido. Añade que aunque lo que quiera argumentar la sentencia es que no hay vulneración de derechos fundamentales en el acto mismo del despido, seguiría apreciándose arbitrariedad en la decisión de no pronunciarse sobre la indemnización al inaplicar el art. 183 LJS, y ello con independencia de la calificación del despido como improcedente.</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11 de marzo de 2021 se señaló para la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Delimitación del objeto de la demanda de amparo</w:t>
      </w:r>
      <w:r>
        <w:t>.</w:t>
      </w:r>
    </w:p>
    <w:p w:rsidR="005728DD" w:rsidRDefault="005728DD" w:rsidP="005728DD">
      <w:pPr>
        <w:pStyle w:val="TextoNormal"/>
      </w:pPr>
    </w:p>
    <w:p w:rsidR="005728DD" w:rsidRDefault="005728DD" w:rsidP="005728DD">
      <w:pPr>
        <w:pStyle w:val="TextoNormal"/>
      </w:pPr>
      <w:r>
        <w:t>El presente recurso de amparo se dirige formalmente contra el auto de fecha 24 de septiembre de 2019 dictado por la Sala de lo Social del Tribunal Supremo, que inadmitió el recurso de casación para unificación de doctrina, así como contra la sentencia de la Sección Cuarta de la Sala de lo Social del Tribunal Superior de Justicia de Madrid de 13 de septiembre de 2018, que estimando parcialmente el recurso de suplicación interpuesto por la entidad empleadora Amadeus Soluciones Tecnológicas, S.A., contra la sentencia del Juzgado de lo Social núm. 19 de Madrid, calificó el despido de la demandante de amparo como improcedente revocando la nulidad del mismo, y dejó sin efecto la indemnización que por vulneración de los derechos fundamentales se había otorgado en la sentencia dictada por el juzgado de lo social a favor de la recurrente de amparo. Del contenido de la demanda se desprende, sin embargo, de acuerdo con las alegaciones del Ministerio Fiscal y de la entidad empleadora, que el recurso de amparo centra su controversia constitucional en la sentencia de la Sección Cuarta de la Sala de lo Social del Tribunal Superior de Justicia de Madrid, que la Sala de lo Social del Tribunal Supremo, al inadmitir el recurso de casación, se limita a confirmar.</w:t>
      </w:r>
    </w:p>
    <w:p w:rsidR="005728DD" w:rsidRDefault="005728DD" w:rsidP="005728DD">
      <w:pPr>
        <w:pStyle w:val="TextoNormal"/>
      </w:pPr>
    </w:p>
    <w:p w:rsidR="005728DD" w:rsidRDefault="005728DD" w:rsidP="005728DD">
      <w:pPr>
        <w:pStyle w:val="TextoNormal"/>
      </w:pPr>
      <w:r>
        <w:t xml:space="preserve">Tal como ha quedado expuesto, de las alegaciones de las partes resulta que el objeto del recurso de amparo, que entendemos dirigido contra la sentencia de la Sección Cuarta de la Sala de lo Social del Tribunal Superior de Justicia de Madrid, es doble: por una parte determinar si es contrario al derecho a la tutela judicial efectiva (art. 24.1 CE), en relación con los derechos a la intimidad (art. 18.1 CE) y el secreto de las comunicaciones (art. 18.3 CE) la interpretación que del art. 55.5 LET realiza dicha sentencia cuando —pese a confirmar </w:t>
      </w:r>
      <w:r>
        <w:lastRenderedPageBreak/>
        <w:t>que una de las pruebas ha sido obtenida con vulneración de los derechos a la intimidad y al secreto de las comunicaciones (art. 18.1 y 3 CE)— califica el despido de improcedente en lugar de nulo; y por otra parte, determinar si el razonamiento que esa misma sentencia efectúa al desestimar la solicitud de indemnización, contraviene el derecho a la tutela judicial efectiva (art. 24.1 CE) desde la perspectiva del derecho a una respuesta motivada y razonada.</w:t>
      </w:r>
    </w:p>
    <w:p w:rsidR="005728DD" w:rsidRDefault="005728DD" w:rsidP="005728DD">
      <w:pPr>
        <w:pStyle w:val="TextoNormal"/>
      </w:pPr>
    </w:p>
    <w:p w:rsidR="005728DD" w:rsidRDefault="005728DD" w:rsidP="005728DD">
      <w:pPr>
        <w:pStyle w:val="TextoNormal"/>
      </w:pPr>
      <w:r>
        <w:t>La demandante de amparo, por las razones que se han expuesto en los antecedentes afirma la que concurren tales vulneraciones. El Ministerio Fiscal, tal y como se ha indicado, comparte esta conclusión. Sin embargo, la representación de la entidad Amadeus Soluciones Tecnológicas, S.A., solicita la desestimación del recurso de amparo al referir que lo planteado por la demandante es una cuestión de interpretación de la legalidad ordinaria que debe situarse extramuros del control del Tribunal Constitucional, sin que tan siquiera se haya justificado por la demandante que la interpretación del art. 55.5 LET, efectuada en la sentencia del Tribunal Superior de Justicia sea arbitraria, irrazonable o inmotivada.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Sinopsis sobre el desarrollo de las vulneraciones invocadas. Existencia de trascendencia constitucional de la demanda de amparo</w:t>
      </w:r>
      <w:r>
        <w:t>.</w:t>
      </w:r>
    </w:p>
    <w:p w:rsidR="005728DD" w:rsidRDefault="005728DD" w:rsidP="005728DD">
      <w:pPr>
        <w:pStyle w:val="TextoNormal"/>
      </w:pPr>
    </w:p>
    <w:p w:rsidR="005728DD" w:rsidRDefault="005728DD" w:rsidP="005728DD">
      <w:pPr>
        <w:pStyle w:val="TextoNormal"/>
      </w:pPr>
      <w:r>
        <w:t>Antes de entrar en el fondo de las cuestiones suscitadas en este proceso de amparo, es necesario adelantar cuál va a ser el itinerario argumental por el que va a discurrir el razonamiento de esta sentencia.</w:t>
      </w:r>
    </w:p>
    <w:p w:rsidR="005728DD" w:rsidRDefault="005728DD" w:rsidP="005728DD">
      <w:pPr>
        <w:pStyle w:val="TextoNormal"/>
      </w:pPr>
    </w:p>
    <w:p w:rsidR="005728DD" w:rsidRDefault="005728DD" w:rsidP="005728DD">
      <w:pPr>
        <w:pStyle w:val="TextoNormal"/>
      </w:pPr>
      <w:r>
        <w:t>En primer lugar, se abordará en el presente fundamento, el óbice de admisibilidad del recurso aducido por la representación de la entidad Amadeus Soluciones Tecnológicas, S.A., quien alega que el recurso de amparo carece de trascendencia constitucional pues la calificación del despido es una materia de legalidad ordinaria ajena al Tribunal Constitucional. A continuación, se dedicará el fundamento jurídico tercero a delimitar el derecho fundamental o los derechos fundamentales que pueden verse concernidos por la calificación del despido como improcedente, en lugar de nulo, efectuada por la Sala de lo Social del Tribunal Superior de Justicia de Madrid. Precisado el derecho fundamental que puede servir de sustento a la queja de la recurrente, se expondrá en el fundamento jurídico cuarto el contenido y alcance de este, dedicando el fundamento jurídico quinto a su aplicación al caso concreto. Por último, se abordará la segunda de las quejas formuladas por la demandante de amparo, esto es, se determinará si el razonamiento que esa misma sentencia efectúa al desestimar la solicitud de indemnización contraviene el derecho a la tutela judicial efectiva (art. 24.1 CE), desde la perspectiva del derecho a una respuesta motivada y razonada.</w:t>
      </w:r>
    </w:p>
    <w:p w:rsidR="005728DD" w:rsidRDefault="005728DD" w:rsidP="005728DD">
      <w:pPr>
        <w:pStyle w:val="TextoNormal"/>
      </w:pPr>
    </w:p>
    <w:p w:rsidR="005728DD" w:rsidRDefault="005728DD" w:rsidP="005728DD">
      <w:pPr>
        <w:pStyle w:val="TextoNormal"/>
      </w:pPr>
      <w:r>
        <w:t>Comenzando por la objeción planteada por la mercantil empleadora relativa a la falta de especial trascendencia constitucional de la demanda, debe adelantarse que la misma no puede prosperar. Este tribunal ha tenido ocasión de aclarar que la Ley Orgánica 6/2007, de 24 de mayo, ha configurado en el artículo 50.1 b) LOTC, una nueva condición de admisibilidad: la necesidad de que el recurso tenga una “especial trascendencia constitucional, que se apreciará atendiendo a su importancia para la interpretación de la Constitución, para su aplicación o para su general eficacia, y para la determinación del contenido y alcance de los derechos fundamentales” (STC 11/2011, de 28 de febrero, FJ 2, entre otras muchas). Por tanto, dicha condición no se erige en requisito para la estimación de la demanda en la sen</w:t>
      </w:r>
      <w:r>
        <w:lastRenderedPageBreak/>
        <w:t>tencia, como pudiera inferirse de la alegación de la entidad mercantil, sino como presupuesto de su admisión a trámite. Por ello “el momento procesal idóneo para el análisis del cumplimiento de este requisito material de admisibilidad es el trámite de admisión de la demanda de amparo (SSTC 126/2013, de 3 de junio, FJ 2; 170/2013, de 7 de octubre, FJ 2, y 191/2013, de 18 de noviembre, FJ 2), correspondiendo únicamente a este Tribunal Constitucional apreciar en cada caso la existencia o inexistencia de esa ‘especial trascendencia constitucional’” (STC 166/2016, de 6 de octubre, FJ 2).</w:t>
      </w:r>
    </w:p>
    <w:p w:rsidR="005728DD" w:rsidRDefault="005728DD" w:rsidP="005728DD">
      <w:pPr>
        <w:pStyle w:val="TextoNormal"/>
      </w:pPr>
    </w:p>
    <w:p w:rsidR="005728DD" w:rsidRDefault="005728DD" w:rsidP="005728DD">
      <w:pPr>
        <w:pStyle w:val="TextoNormal"/>
      </w:pPr>
      <w:r>
        <w:t xml:space="preserve">Ciertamente, es conveniente explicitar la aplicación de la especial trascendencia constitucional “en los asuntos declarados admisibles con el fin de garantizar una buena administración de justicia” (sentencia de la Sección Tercera del Tribunal Europeo de Derechos Humanos de 20 de enero de 2015, asunto </w:t>
      </w:r>
      <w:r w:rsidRPr="005728DD">
        <w:rPr>
          <w:i/>
        </w:rPr>
        <w:t>Arribas Antón contra España</w:t>
      </w:r>
      <w:r>
        <w:t>, §37), haciendo de este modo “recognoscibles los criterios de aplicación empleados al respecto” (STC 9/2015, de 2 de febrero, FJ 3). En la providencia de admisión de la demanda se indicaba que este tribunal apreciaba la especial trascendencia porque el recurso planteaba un problema o afectaba a una faceta de un derecho fundamental sobre el que no hay doctrina del tribunal [STC 155/2009, FJ 2 a)]. Procede ahora precisar lo que este tribunal pretende abordar a través de esta sentencia para que dicho criterio pueda obtener su materialización en el presente caso.</w:t>
      </w:r>
    </w:p>
    <w:p w:rsidR="005728DD" w:rsidRDefault="005728DD" w:rsidP="005728DD">
      <w:pPr>
        <w:pStyle w:val="TextoNormal"/>
      </w:pPr>
    </w:p>
    <w:p w:rsidR="005728DD" w:rsidRDefault="005728DD" w:rsidP="005728DD">
      <w:pPr>
        <w:pStyle w:val="TextoNormal"/>
      </w:pPr>
      <w:r>
        <w:t>Tanto el juzgado de lo social, como la Sala de lo Social del Tribunal Superior de Justicia de Madrid, han aceptado la exclusión probatoria de la prueba documental derivada de la monitorización del ordenador de la demandante de amparo, al tratarse de una prueba obtenida con vulneración del derecho a la intimidad y al secreto de las comunicaciones (art. 18.1 y 3 CE). Lo que se pretende determinar ahora, y este es el problema del derecho fundamental invocado sobre el que debe aclararse la doctrina, es si aparece reconocible, como una consecuencia constitucionalmente derivada del contenido y alcance del derecho a la tutela judicial efectiva (art. 24.1 CE) en relación con los derechos a la intimidad y al secreto de las comunicaciones (art. 18.1 y 3 CE), y por tanto, exigible en términos constitucionales, que el despido de la demandante de amparo sea calificado como nulo, en un caso como el presente en que una de las pruebas con las que se pretendía justificar dicho despido vulneró estos últimos derechos fundamentales.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Derechos fundamentales concernidos en la calificación del despido laboral realizada por los órganos judiciales</w:t>
      </w:r>
      <w:r>
        <w:t>.</w:t>
      </w:r>
    </w:p>
    <w:p w:rsidR="005728DD" w:rsidRDefault="005728DD" w:rsidP="005728DD">
      <w:pPr>
        <w:pStyle w:val="TextoNormal"/>
      </w:pPr>
    </w:p>
    <w:p w:rsidR="005728DD" w:rsidRDefault="005728DD" w:rsidP="005728DD">
      <w:pPr>
        <w:pStyle w:val="TextoNormal"/>
      </w:pPr>
      <w:r>
        <w:t>Como se ha adelantado la demandante de amparo alega que se ha producido una vulneración del derecho a la tutela judicial efectiva (art. 24.1 CE) en relación con el derecho a la intimidad y al secreto de las comunicaciones (art. 18.1 y 3 CE) en tanto que la ineficacia absoluta de la prueba debe conllevar también, a su juicio, la calificación del despido como nulo. Por su parte, el Ministerio Fiscal, de modo más matizado y con distintos argumentos, comparte también que la calificación del despido como nulo es consecuencia obligada de la nulidad de la prueba obtenida con vulneración de los derechos a la intimidad y al secreto de las comunicaciones (art. 18.1 y 3 CE). Por el contrario, la entidad Amadeus Soluciones Tecnológicas, S.A., desvincula la calificación del despido de la vulneración de los derechos fundamentales vulnerados con la obtención de la prueba declarada nula y considera que debe aplicarse el canon de motivación del art. 24.1 CE.</w:t>
      </w:r>
    </w:p>
    <w:p w:rsidR="005728DD" w:rsidRDefault="005728DD" w:rsidP="005728DD">
      <w:pPr>
        <w:pStyle w:val="TextoNormal"/>
      </w:pPr>
    </w:p>
    <w:p w:rsidR="005728DD" w:rsidRDefault="005728DD" w:rsidP="005728DD">
      <w:pPr>
        <w:pStyle w:val="TextoNormal"/>
      </w:pPr>
      <w:r>
        <w:lastRenderedPageBreak/>
        <w:t>Así determinada la cuestión, conviene precisar cuáles son los derechos fundamentales que pueden verse concernidos por la calificación del despido laboral realizada por la jurisdicción ordinaria. Debemos adelantar desde este momento que del contenido esencial de los derechos fundamentales a la intimidad y al secreto de las comunicaciones (art. 18.1 y 3 CE), cuya lesión extraprocesal ha sido reconocida tanto por la sentencia del Juzgado de lo Social núm. 19 de Madrid, como por la Sala de lo Social del Tribunal Superior de Justicia de Madrid, no dimana ni una exigencia, ni un derecho subjetivo que pueda amparar la calificación del despido disciplinario de la demandante de amparo como nulo. Ello no significa sin más, como veremos, que la decisión relativa a la calificación del despido sea ajena o indiferente al ámbito de los derechos fundamentales, en concreto al derecho a la tutela judicial efectiva (art. 24.1 CE).</w:t>
      </w:r>
    </w:p>
    <w:p w:rsidR="005728DD" w:rsidRDefault="005728DD" w:rsidP="005728DD">
      <w:pPr>
        <w:pStyle w:val="TextoNormal"/>
      </w:pPr>
    </w:p>
    <w:p w:rsidR="005728DD" w:rsidRDefault="005728DD" w:rsidP="005728DD">
      <w:pPr>
        <w:pStyle w:val="TextoNormal"/>
      </w:pPr>
      <w:r>
        <w:t>En tal sentido, este tribunal ha tenido ocasión de referir en la STC 114/1984, de 29 de noviembre (recientemente recordada en el FJ 2 de la STC 97/2019, de 16 de julio, dictada por el Pleno), en relación —en aquella ocasión— con la regla de exclusión probatoria en el ámbito de un despido laboral, con argumentos que son trasladables al presente caso en relación con la calificación del despido disciplinario, que “el razonamiento del actor parece descansar en la equivocada tesis de que existe una correlación lógica y jurídica entre la posible lesión extraprocesal de su derecho fundamental y la pretendida irregularidad procesal de admitir la prueba obtenida a partir de aquella lesión. Sin embargo, el acto procesal podrá haber sido o no conforme a Derecho, pero no cabe considerarlo como atentatorio, de modo directo, de los derechos reconocidos en el art. 18.3 de la Constitución. […] Si se acogiese la tesis del recurrente habría que concluir que el contenido esencial de todos y cada uno de los derechos fundamentales abarcaría no ya sólo la esfera de libertad o la pretensión vital en que los mismos se concretan, sino también la exigencia, con alcance de derecho subjetivo de no reconocer eficacia jurídica a las consecuencias de cualquier acto atentatorio de tales derechos” (STC 114/1984, FJ 1).</w:t>
      </w:r>
    </w:p>
    <w:p w:rsidR="005728DD" w:rsidRDefault="005728DD" w:rsidP="005728DD">
      <w:pPr>
        <w:pStyle w:val="TextoNormal"/>
      </w:pPr>
    </w:p>
    <w:p w:rsidR="005728DD" w:rsidRDefault="005728DD" w:rsidP="005728DD">
      <w:pPr>
        <w:pStyle w:val="TextoNormal"/>
      </w:pPr>
      <w:r>
        <w:t>Proyectada dicha doctrina constitucional a la cuestión planteada, podemos afirmar que no puede proclamarse que entre la calificación del despido y la reconocida lesión extraprocesal de un derecho fundamental pueda afirmarse la existencia de una “consecutividad lógica y jurídica”. Dicho, en otros términos, no existe un derecho constitucional a la calificación del despido laboral como nulo, por lo que la pretensión de la actora no puede tener sustento en una vulneración de los derechos reconocidos en el art. 18.1 y 3 CE. Tampoco puede imputarse a la resolución impugnada una conculcación de los derechos de la recurrente a la intimidad y al secreto de las comunicaciones, máxime cuando han sido los órganos judiciales quienes han reconocido que dicha vulneración se produjo con la monitorización del ordenador de la trabajadora.</w:t>
      </w:r>
    </w:p>
    <w:p w:rsidR="005728DD" w:rsidRDefault="005728DD" w:rsidP="005728DD">
      <w:pPr>
        <w:pStyle w:val="TextoNormal"/>
      </w:pPr>
    </w:p>
    <w:p w:rsidR="005728DD" w:rsidRDefault="005728DD" w:rsidP="005728DD">
      <w:pPr>
        <w:pStyle w:val="TextoNormal"/>
      </w:pPr>
      <w:r>
        <w:t>De lo que se colige con facilidad que el planteamiento realizado por la demandante de amparo en el presente recurso debe ser corregido, debiendo desenvolverse el examen de la cuestión planteada desde el prisma y alcance del derecho a la tutela judicial efectiva (art. 24.1 CE), también invocado por la recurrente.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Contenido y alcance del derecho a la tutela judicial efectiva (art. 24.1 CE</w:t>
      </w:r>
      <w:r>
        <w:t>).</w:t>
      </w:r>
    </w:p>
    <w:p w:rsidR="005728DD" w:rsidRDefault="005728DD" w:rsidP="005728DD">
      <w:pPr>
        <w:pStyle w:val="TextoNormal"/>
      </w:pPr>
    </w:p>
    <w:p w:rsidR="005728DD" w:rsidRDefault="005728DD" w:rsidP="005728DD">
      <w:pPr>
        <w:pStyle w:val="TextoNormal"/>
      </w:pPr>
      <w:r>
        <w:t xml:space="preserve">La conclusión anterior nos lleva a recordar el contenido y alcance del derecho a la tutela judicial efectiva (art. 24.1 CE). Hemos afirmado que el derecho fundamental a la tutela </w:t>
      </w:r>
      <w:r>
        <w:lastRenderedPageBreak/>
        <w:t>judicial efectiva “exige que las resoluciones judiciales al decidir los litigios sean fundadas en Derecho” (SSTC 99/2000, de 10 de abril, FJ 6, y 144/2003, de 14 de julio, FJ 2), lo que significa, como hemos advertido en la STC 184/1992, de 16 de noviembre, FJ 2, reiterando consolidada doctrina de este tribunal, que “una aplicación de la legalidad que sea arbitraria, manifiestamente irrazonada o irrazonable no puede considerarse fundada en Derecho y lesiona, por ello, el derecho a la tutela judicial (SSTC 23/1987, 24/1990 y 25/1990)”.</w:t>
      </w:r>
    </w:p>
    <w:p w:rsidR="005728DD" w:rsidRDefault="005728DD" w:rsidP="005728DD">
      <w:pPr>
        <w:pStyle w:val="TextoNormal"/>
      </w:pPr>
    </w:p>
    <w:p w:rsidR="005728DD" w:rsidRDefault="005728DD" w:rsidP="005728DD">
      <w:pPr>
        <w:pStyle w:val="TextoNormal"/>
      </w:pPr>
      <w:r>
        <w:t>Según consolidada y unánime doctrina constitucional, el derecho a obtener la tutela judicial efectiva garantizado en el art. 24.1 CE, comprende el derecho a obtener de los jueces y tribunales una resolución motivada y fundada en Derecho sobre el fondo de las pretensiones oportunamente deducidas por las partes en el proceso (por todas, STC 38/2011, de 28 de marzo, FJ 3). Lo que significa, en primer lugar, que la resolución judicial ha de estar motivada, es decir, debe contener los elementos y razones de juicio que permitan conocer cuáles han sido los criterios jurídicos que fundamentan la decisión; y en segundo lugar, su motivación debe estar fundada en Derecho (SSTC 276/2006, de 25 de septiembre, FJ 2, y 64/2010, de 18 de octubre; FJ 3) o, lo que es lo mismo, que sea consecuencia de una exégesis racional del ordenamiento y no fruto de un error patente o de la arbitrariedad (por todas, STC 146/2005, de 6 de junio, FJ 7). En resumidas cuentas, el art. 24.1 CE impone a los órganos judiciales “no sólo la obligación de ofrecer una respuesta motivada a las pretensiones deducidas, sino que, además, esta ha de tener contenido jurídico y no resultar arbitraria” (STC 8/2005, de 17 de enero, FJ 3).</w:t>
      </w:r>
    </w:p>
    <w:p w:rsidR="005728DD" w:rsidRDefault="005728DD" w:rsidP="005728DD">
      <w:pPr>
        <w:pStyle w:val="TextoNormal"/>
      </w:pPr>
    </w:p>
    <w:p w:rsidR="005728DD" w:rsidRDefault="005728DD" w:rsidP="005728DD">
      <w:pPr>
        <w:pStyle w:val="TextoNormal"/>
      </w:pPr>
      <w:r>
        <w:t>Conviene no obstante recordar que en esa misma doctrina constitucional está igualmente dicho que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Y que la simple discrepancia de las partes con una resolución judicial, aun fundada en otra interpretación posible de la legalidad aplicada, incluso por plausible que esta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Aplicación de la doctrina al caso concreto</w:t>
      </w:r>
      <w:r>
        <w:t>.</w:t>
      </w:r>
    </w:p>
    <w:p w:rsidR="005728DD" w:rsidRDefault="005728DD" w:rsidP="005728DD">
      <w:pPr>
        <w:pStyle w:val="TextoNormal"/>
      </w:pPr>
    </w:p>
    <w:p w:rsidR="005728DD" w:rsidRDefault="005728DD" w:rsidP="005728DD">
      <w:pPr>
        <w:pStyle w:val="TextoNormal"/>
      </w:pPr>
      <w:r>
        <w:t xml:space="preserve">Como se ha expuesto la demandante de amparo considera que la sentencia de la Sala de lo Social del Tribunal Superior de Justicia de Madrid ha vulnerado su derecho a la tutela judicial efectiva porque todos los criterios de interpretación aplicables, así como la doctrina derivada de las SSTC 125/2018, de 26 de noviembre, y 92/2008, de 21 de julio, conducen a determinar que la nulidad del despido prevista en el art. 55.5 LET tiene un carácter automático, vinculado exclusivamente a la acreditación de la vulneración de un derecho fundamental. La empleadora no comparte dicho planteamiento y reprocha a la recurrente de amparo que no haya realizado esfuerzo alguno para argumentar las razones por las que las resoluciones impugnadas son supuestamente arbitrarias, manifiestamente irrazonables o fruto de un error patente. Por otra parte afirma que la sentencia cuestionada cumple con las exigencias de motivación reforzada. Finalmente, el Ministerio Fiscal, aunque no considera errónea </w:t>
      </w:r>
      <w:r>
        <w:lastRenderedPageBreak/>
        <w:t>la tesis de la sentencia impugnada, por la que procede distinguir entre el despido con violación de derechos fundamentales y la infracción de derechos fundamentales para la obtención de prueba de los hechos en los que se basó la empleadora para justificar el despido, expone que al aplicarla al caso se han lesionado los derechos de la recurrente de amparo, pues cuando la única infracción que tiene gravedad suficiente para ser sancionada con el despido ha sido obtenida vulnerando derechos fundamentales, la interpretación que resulta congruente con el art. 55 LET es la que determina la declaración del despido como nulo.</w:t>
      </w:r>
    </w:p>
    <w:p w:rsidR="005728DD" w:rsidRDefault="005728DD" w:rsidP="005728DD">
      <w:pPr>
        <w:pStyle w:val="TextoNormal"/>
      </w:pPr>
    </w:p>
    <w:p w:rsidR="005728DD" w:rsidRDefault="005728DD" w:rsidP="005728DD">
      <w:pPr>
        <w:pStyle w:val="TextoNormal"/>
      </w:pPr>
      <w:r>
        <w:t>Debemos recordar cuál ha sido la argumentación por la que la sentencia de la Sala de lo Social del Tribunal Superior de Justicia de Madrid ha considerado que el despido debía ser calificado como improcedente en lugar de nulo. Considera la sentencia impugnada que la decisión extintiva acordada por la empresa demandada, en si misma considerada, no pretendía la vulneración de derechos fundamentales o libertades públicas de la trabajadora, y que el móvil del empresario al acordar el despido no respondió a una causa vulneradora de los derechos fundamentales lo que legalmente llevaría aparejada la nulidad del despido. Distingue por tanto los supuestos en que la decisión extintiva vulnera un derecho fundamental, de aquellos otros en los que el empresario, al intentar comprobar el comportamiento de su empleada y obtener pruebas de algunos de sus incumplimientos para tratar de justificar un despido, ha vulnerado los derechos fundamentales de la trabajadora. Indica que no puede confundirse el despido con violación de derechos fundamentales, con el despido en el que ha habido una lesión de los derechos fundamentales en el proceso de obtención de la prueba.</w:t>
      </w:r>
    </w:p>
    <w:p w:rsidR="005728DD" w:rsidRDefault="005728DD" w:rsidP="005728DD">
      <w:pPr>
        <w:pStyle w:val="TextoNormal"/>
      </w:pPr>
    </w:p>
    <w:p w:rsidR="005728DD" w:rsidRDefault="005728DD" w:rsidP="005728DD">
      <w:pPr>
        <w:pStyle w:val="TextoNormal"/>
      </w:pPr>
      <w:r>
        <w:t>La argumentación sostenida en la sentencia impugnada es expresión de una toma de posición por el órgano judicial, en relación con el problema interpretativo que suscita en la jurisdicción ordinaria la exégesis de la literalidad del art. 55.5 LET, cuando indica que: “será nulo el despido que tenga por móvil alguna de las causas de discriminación prohibidas en la Constitución o en la ley, o bien se produzca con violación de derechos fundamentales y libertades públicas del trabajador”. Dicha cuestión relativa a la interpretación de la legalidad ordinaria se contrae a determinar si en el caso de que se acredite en el procedimiento laboral que una fuente de prueba utilizada para justificar el despido se ha obtenido vulnerando derechos o libertades fundamentales, dicha ilicitud debe proyectarse sobre la calificación del despido, de tal manera que este debe ser declarado nulo —planteamiento defendido en términos generales por la demandante de amparo y con carácter más limitado por el Ministerio Fiscal— o sí por el contrario la ilicitud de la prueba únicamente produce como efecto su expulsión del acervo probatorio por aplicación del art. 90.2 LJS —y también del art. 11.1 LOPJ— del que resulta que “no se admitirán pruebas que tuvieran su origen o que se hubieran obtenido, directa o indirectamente, mediante procedimientos que supongan violación de derechos fundamentales o libertades públicas”, sin que dicha exclusión probatoria pueda afectar a la calificación del despido, que será declarado improcedente o procedente en función de que existan o no otras pruebas, planteamiento este defendido en la sentencia impugnada y apoyado por la entidad empleadora.</w:t>
      </w:r>
    </w:p>
    <w:p w:rsidR="005728DD" w:rsidRDefault="005728DD" w:rsidP="005728DD">
      <w:pPr>
        <w:pStyle w:val="TextoNormal"/>
      </w:pPr>
    </w:p>
    <w:p w:rsidR="005728DD" w:rsidRDefault="005728DD" w:rsidP="005728DD">
      <w:pPr>
        <w:pStyle w:val="TextoNormal"/>
      </w:pPr>
      <w:r>
        <w:t xml:space="preserve">No es esta sentencia el marco adecuado para exponer los elaborados argumentos favorables y contrarios a cada una de las dos interpretaciones del mencionado precepto, que, incluso utilizando los mismos métodos de interpretación alcanzan conclusiones opuestas. Basta destacar en este punto, que la sentencia impugnada distingue aquellos supuestos en que la decisión extintiva vulnera un derecho fundamental —en cuyo caso necesariamente procede la declaración de nulidad del despido—, de aquellos otros en que el despido no ha </w:t>
      </w:r>
      <w:r>
        <w:lastRenderedPageBreak/>
        <w:t>ocasionado dicha vulneración, al haberse derivado esta del proceso de obtención de pruebas, por lo que podrá ser calificado como procedente o no, en función de que existan pruebas desconectadas de la obtenida con violación de derechos fundamentales y libertades públicas (art. 90.2 LJS).</w:t>
      </w:r>
    </w:p>
    <w:p w:rsidR="005728DD" w:rsidRDefault="005728DD" w:rsidP="005728DD">
      <w:pPr>
        <w:pStyle w:val="TextoNormal"/>
      </w:pPr>
    </w:p>
    <w:p w:rsidR="005728DD" w:rsidRDefault="005728DD" w:rsidP="005728DD">
      <w:pPr>
        <w:pStyle w:val="TextoNormal"/>
      </w:pPr>
      <w:r>
        <w:t>Dicha distinción, contraria a trazar una correlación entre la nulidad de la fuente de prueba y la nulidad del despido, no merece ser calificada de arbitraria o de manifiestamente irrazonable. Ninguna de las partes lo ha hecho tampoco. Tan es así que, a falta de un pronunciamiento del máximo intérprete de la legalidad ordinaria (art. 123.1 CE), tal planteamiento es compartido por muchos pronunciamientos dictados por otros tantos tribunales superiores de justicia (sin ánimo exhaustivo, por citar algunas sentencias de las salas de lo social de dichos tribunales más recientes: STSJ de Canarias, de 24 de enero de 2020, recurso de suplicación núm. 899-2019; SSTSJ de Baleares, de 22 de enero de 2020, recurso de suplicación núm. 289-2019; STSJ de Valencia, de 12 de junio de 2020, recurso de suplicación núm. 378-2020; STSJ de Castilla-La Mancha, de 12 de enero de 2018, recurso de suplicación núm. 1416-2017). Ahora bien, debe indicarse que dicha tesis dista de ser unánime en la jurisdicción ordinaria, pues la conclusión defendida por la recurrente y en parte por el Ministerio Fiscal, también tiene acogida en otros pronunciamientos de otras tantas salas de lo social de diversos Tribunales Superiores de Justicia (por todos la STSJ de Cataluña, de 4 de junio de 2019, recurso de suplicación núm. 969-2019; y la STSJ del País Vasco, de 27 de febrero de 2018, recurso de suplicación núm. 226-2018).</w:t>
      </w:r>
    </w:p>
    <w:p w:rsidR="005728DD" w:rsidRDefault="005728DD" w:rsidP="005728DD">
      <w:pPr>
        <w:pStyle w:val="TextoNormal"/>
      </w:pPr>
    </w:p>
    <w:p w:rsidR="005728DD" w:rsidRDefault="005728DD" w:rsidP="005728DD">
      <w:pPr>
        <w:pStyle w:val="TextoNormal"/>
      </w:pPr>
      <w:r>
        <w:t>Tampoco puede afirmarse, como bien destacan en sus alegaciones el Ministerio Fiscal y la representación de Amadeus Soluciones Tecnológicas, S.A., que la pretensión de la demandante de amparo de que se declare la nulidad del despido pueda tener sustento en las citadas SSTC 125/2018 y 92/2008. En efecto, en los casos examinados por dichas sentencias la decisión extintiva del contrato de las trabajadoras vino motivada bien por el ejercicio legítimo de su derecho de participación política reconocido en el artículo 23.2 CE, bien por razones de discriminación por sexo, sin que se apreciara la ilicitud de prueba alguna.</w:t>
      </w:r>
    </w:p>
    <w:p w:rsidR="005728DD" w:rsidRDefault="005728DD" w:rsidP="005728DD">
      <w:pPr>
        <w:pStyle w:val="TextoNormal"/>
      </w:pPr>
    </w:p>
    <w:p w:rsidR="005728DD" w:rsidRDefault="005728DD" w:rsidP="005728DD">
      <w:pPr>
        <w:pStyle w:val="TextoNormal"/>
      </w:pPr>
      <w:r>
        <w:t>Por otra parte, no puede considerarse que la declaración de nulidad pretendida pueda ampararse en la STC 196/2004, de 15 de noviembre. En esta sentencia se reconoció que la prueba del despido disciplinario se sustentaba en el resultado de una exploración clínica obtenida con vulneración del derecho a la intimidad personal (art. 18.1 CE) y se acordó la nulidad del despido basándose en “constante doctrina de este tribunal (entre otras, SSTC 38/1981, de 23 de noviembre; 114/1989, de 22 de junio; 186/1996, de 25 de noviembre; 1/1998, de 12 de enero; 57/1999, de 12 de abril, 20/2002; de 28 de enero, o 49/2003, de 17 de marzo), pero, como argumenta el Ministerio Fiscal, ninguna de las sentencias en las que sustenta la dicha nulidad, se refirieren a un supuesto de prueba ilícita, sino de extinción de la relación laboral por razones discriminatorias y/o lesivas de los derechos a la libertad sindical y de la libertad de expresión.</w:t>
      </w:r>
    </w:p>
    <w:p w:rsidR="005728DD" w:rsidRDefault="005728DD" w:rsidP="005728DD">
      <w:pPr>
        <w:pStyle w:val="TextoNormal"/>
      </w:pPr>
    </w:p>
    <w:p w:rsidR="005728DD" w:rsidRDefault="005728DD" w:rsidP="005728DD">
      <w:pPr>
        <w:pStyle w:val="TextoNormal"/>
      </w:pPr>
      <w:r>
        <w:t xml:space="preserve">Llegados a este punto podemos descartar la vulneración del derecho a la tutela judicial efectiva. Como se ha adelantado en el fundamento anterior, el parámetro de constitucionalidad que debe ser empleado en estos casos es el de la existencia de una aplicación de la legalidad ordinaria que sea arbitraria, manifiestamente irrazonada o irrazonable, advirtiendo que nos encontramos ante un control externo que no comporta formular un juicio de interpretación de la legalidad ordinaria aplicable, tarea propia de la jurisdicción ordinaria, sino </w:t>
      </w:r>
      <w:r>
        <w:lastRenderedPageBreak/>
        <w:t>que corresponde examinar si la interpretación que en este caso concreto han realizado los órganos judiciales a través de las resoluciones impugnadas, es contraria al derecho a obtener una resolución judicial que sea fundada en derecho (SSTC 99/2000, de 10 de abril, FJ 6, y 144/2003, de 14 de julio, FJ 2).</w:t>
      </w:r>
    </w:p>
    <w:p w:rsidR="005728DD" w:rsidRDefault="005728DD" w:rsidP="005728DD">
      <w:pPr>
        <w:pStyle w:val="TextoNormal"/>
      </w:pPr>
    </w:p>
    <w:p w:rsidR="005728DD" w:rsidRDefault="005728DD" w:rsidP="005728DD">
      <w:pPr>
        <w:pStyle w:val="TextoNormal"/>
      </w:pPr>
      <w:r>
        <w:t>Bajo esta premisa, la solución adoptada por la resolución impugnada desvinculando la nulidad de la prueba obtenida con vulneración de los derechos fundamentales de la calificación del despido, tiene anclaje positivo en nuestro ordenamiento jurídico, sin que pueda ser calificada de arbitraria o manifiestamente irrazonable. Ciertamente, existen otras interpretaciones posibles, como la defendida por la actora, o la exegesis ecléctica que de modo profuso y pormenorizado expone el Ministerio Fiscal, pero no es objeto del recurso de amparo ni corresponde a este tribunal, que no es una tercera instancia, decidir cuál de esas interpretaciones es la correcta, pues en tal caso se estaría efectuando un control de mera legalidad, rectificando la interpretación y aplicación de las normas legales realizadas por los jueces y tribunales en el ejercicio exclusivo de la potestad que les reconoce el artículo 117.3 CE, excediéndonos del objeto propio del amparo, que es determinar si en ese ejercicio se ha violado o no alguna garantía constitucional. De admitir lo contrario, el recurso de amparo quedaría transformado en una nueva instancia revisora con merma de las competencias que constitucionalmente corresponden a la jurisdicción ordinaria (SSTC 79/1996, de 20 de mayo, FJ 3, y 16/2002, de 28 de enero, FJ 5), y al propio tiempo se desvirtuaría la naturaleza propia del proceso constitucional de amparo.</w:t>
      </w:r>
    </w:p>
    <w:p w:rsidR="005728DD" w:rsidRDefault="005728DD" w:rsidP="005728DD">
      <w:pPr>
        <w:pStyle w:val="TextoNormal"/>
      </w:pPr>
    </w:p>
    <w:p w:rsidR="005728DD" w:rsidRDefault="005728DD" w:rsidP="005728DD">
      <w:pPr>
        <w:pStyle w:val="TextoNormal"/>
      </w:pPr>
      <w:r>
        <w:t>En definitiva, la argumentación de la sentencia impugnada que desvincula la calificación del despido de la nulidad de la prueba obtenida con vulneración de derechos fundamentales, no puede ser tildada de arbitraria o manifiestamente irrazonable. Tan es así que la recurrente no emplea tales calificativos al manifestar su discrepancia con la sentencia de la Sala de lo Social del Tribunal Superior de Justicia, y el propio Ministerio Fiscal refiere que no se considera errónea la tesis de la sentencia impugnada por la que se distingue entre el despido con violación de derechos fundamentales y la infracción de derechos fundamentales para la obtención de prueba de los hechos que justificaron el despido.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Examen de la segunda de las vulneraciones planteadas por la demandante de amparo</w:t>
      </w:r>
      <w:r>
        <w:t>.</w:t>
      </w:r>
    </w:p>
    <w:p w:rsidR="005728DD" w:rsidRDefault="005728DD" w:rsidP="005728DD">
      <w:pPr>
        <w:pStyle w:val="TextoNormal"/>
      </w:pPr>
    </w:p>
    <w:p w:rsidR="005728DD" w:rsidRDefault="005728DD" w:rsidP="005728DD">
      <w:pPr>
        <w:pStyle w:val="TextoNormal"/>
      </w:pPr>
      <w:r>
        <w:t>Como hemos adelantado dedicaremos este fundamento a examinar si el razonamiento que la sentencia de la Sala de lo Social del Tribunal Superior de Justicia de Madrid efectúa al desestimar la solicitud de indemnización, contraviene, como defiende la demandante de amparo y el Ministerio Fiscal, el derecho a la tutela judicial efectiva (art. 24.1 CE), desde la perspectiva de derecho a obtener una respuesta motivada y razonada.</w:t>
      </w:r>
    </w:p>
    <w:p w:rsidR="005728DD" w:rsidRDefault="005728DD" w:rsidP="005728DD">
      <w:pPr>
        <w:pStyle w:val="TextoNormal"/>
      </w:pPr>
    </w:p>
    <w:p w:rsidR="005728DD" w:rsidRDefault="005728DD" w:rsidP="005728DD">
      <w:pPr>
        <w:pStyle w:val="TextoNormal"/>
      </w:pPr>
      <w:r>
        <w:t xml:space="preserve">Es preciso recordar que en la demanda laboral que dio inicio al procedimiento ante la jurisdicción ordinaria, la recurrente de amparo tras dedicar su razonamiento a justificar la existencia de la vulneración de sus derechos fundamentales como consecuencia de la monitorización del ordenador y del supuesto acoso laboral sufrido por la empresa, con cita del art. 183 LJS, solicitó una indemnización de 51 439,4 € por los daños materiales y morales producidos por la intromisión ilegítima producida. Debe precisarse que el art. 183.1 LJS indica que “cuando la sentencia declare la existencia de vulneración, el juez deberá pronunciarse sobre la cuantía de la indemnización que, en su caso, le corresponda a la parte demandante por haber sufrido discriminación u otra lesión de sus derechos fundamentales y </w:t>
      </w:r>
      <w:r>
        <w:lastRenderedPageBreak/>
        <w:t>libertades públicas, en función tanto del daño moral unido a la vulneración del derecho fundamental, como de los daños y perjuicios adicionales derivados”. La demandante propuso para efectuar la cuantificación de la indemnización tomar como referencia las multas que se prevén en el art. 40.1 c) del el texto refundido de la Ley sobre infracciones y sanciones en el orden social, aprobado por el Real Decreto Legislativo 5/2000, de 4 de agosto, para los actos contrarios al respeto de la intimidad y consideración debida a la dignidad de los trabajadores recogidos como infracciones muy graves en el art. 8.11 y 12 del mismo texto legal. El apartado once de dicho precepto sanciona los actos del empresario que fueren contrarios al respeto de la intimidad y consideración debida a la dignidad de los trabajadores, y el apartado doce del mismo, las decisiones unilaterales de la empresa que impliquen discriminaciones o las decisiones del empresario que supongan un trato desfavorable de los trabajadores como reacción ante una reclamación efectuada en la empresa o ante una acción administrativa o judicial destinada a exigir el cumplimiento del principio de igualdad de trato y no discriminación.</w:t>
      </w:r>
    </w:p>
    <w:p w:rsidR="005728DD" w:rsidRDefault="005728DD" w:rsidP="005728DD">
      <w:pPr>
        <w:pStyle w:val="TextoNormal"/>
      </w:pPr>
    </w:p>
    <w:p w:rsidR="005728DD" w:rsidRDefault="005728DD" w:rsidP="005728DD">
      <w:pPr>
        <w:pStyle w:val="TextoNormal"/>
      </w:pPr>
      <w:r>
        <w:t>La sentencia de 17 de noviembre de 2017, dictada por el Juzgado de lo Social núm. 19 de Madrid, pese a descartar la existencia de acoso laboral, apreció la existencia de la vulneración de los derechos fundamentales de la demandante a la intimidad y al secreto de las comunicaciones, como consecuencia de la monitorización del ordenador de la demandante de amparo y, en lo que ahora interesa, condenó a la mercantil demandada a pagar una indemnización de 6251 €. La sentencia indicó a tal efecto, con cita del art. 183.1 LJS, que era obligado pronunciarse sobre la indemnización que debía corresponder a la trabajadora, y, acudiendo al criterio basado en la Ley sobre infracciones y sanciones en el orden social, consideró que debía fijarse una indemnización en la mencionada cantidad, “correspondiente al importe mínimo establecido por su artículo 40.1 para una falta muy grave (artículo 8.11), sin que se aprecie, en cambio, motivo para establecer una cantidad superior”.</w:t>
      </w:r>
    </w:p>
    <w:p w:rsidR="005728DD" w:rsidRDefault="005728DD" w:rsidP="005728DD">
      <w:pPr>
        <w:pStyle w:val="TextoNormal"/>
      </w:pPr>
    </w:p>
    <w:p w:rsidR="005728DD" w:rsidRDefault="005728DD" w:rsidP="005728DD">
      <w:pPr>
        <w:pStyle w:val="TextoNormal"/>
      </w:pPr>
      <w:r>
        <w:t>De lo hasta aquí expuesto se desprende con claridad que la demandante de amparo solicitó una indemnización global de 51 439,4 € por las vulneraciones de sus derechos fundamentales derivadas de la monitorización del ordenador y del supuesto acoso laboral sufrido y que la sentencia del Juzgado de lo Social núm. 19 de Madrid, le reconoció el derecho a percibir una indemnización de 6251 € por la vulneración de los derechos fundamentales de la demandante a la intimidad y al secreto de las comunicaciones, ocasionada por la monitorización del ordenador.</w:t>
      </w:r>
    </w:p>
    <w:p w:rsidR="005728DD" w:rsidRDefault="005728DD" w:rsidP="005728DD">
      <w:pPr>
        <w:pStyle w:val="TextoNormal"/>
      </w:pPr>
    </w:p>
    <w:p w:rsidR="005728DD" w:rsidRDefault="005728DD" w:rsidP="005728DD">
      <w:pPr>
        <w:pStyle w:val="TextoNormal"/>
      </w:pPr>
      <w:r>
        <w:t xml:space="preserve">La sentencia de la Sala de lo Social del Tribunal Superior de Justicia de Madrid, al resolver el recurso de suplicación interpuesto por la demandante de amparo, confirmó la decisión del juzgado de lo social en relación con la existencia de una vulneración de los derechos de la trabajadora a la intimidad y al secreto de las comunicaciones (art. 18.1 y 3 CE) ocasionados por la monitorización de su ordenador, y también ratificó el pronunciamiento relativo a la inexistencia de acoso laboral por parte de la empresa. Pero al resolver sobre la solicitud de indemnización de 51 439,40 € brutos o un año de salario, o, subsidiariamente la que la sala de lo social estimara adecuada, desestimó la fijación de cualquier indemnización, negando incluso la reconocida por el juzgado de lo social, al considerar que dicha indemnización se había vinculado, tanto en la demanda como en la sentencia, a la existencia de una vulneración por la empresa de derechos fundamentales de la trabajadora “y como tal lesión no ha existido (no hay prueba del acoso laboral y el despido ha sido calificado de improcedente), no procede indemnización alguna y en consecuencia no procede entrar a conocer de </w:t>
      </w:r>
      <w:r>
        <w:lastRenderedPageBreak/>
        <w:t>este aspecto del recurso, que debe ser desestimado al faltar el presupuesto del que se parte en el mismo”.</w:t>
      </w:r>
    </w:p>
    <w:p w:rsidR="005728DD" w:rsidRDefault="005728DD" w:rsidP="005728DD">
      <w:pPr>
        <w:pStyle w:val="TextoNormal"/>
      </w:pPr>
    </w:p>
    <w:p w:rsidR="005728DD" w:rsidRDefault="005728DD" w:rsidP="005728DD">
      <w:pPr>
        <w:pStyle w:val="TextoNormal"/>
      </w:pPr>
      <w:r>
        <w:t>Debe indicarse, compartiendo los argumentos del Ministerio Fiscal, que dicha decisión ha supuesto una vulneración del derecho a la tutela judicial efectiva garantizado en el art. 24.1 CE, al desconocer el derecho a obtener de los jueces y tribunales una resolución motivada y fundada en derecho sobre el fondo de las pretensiones oportunamente deducidas por las partes en el proceso. En efecto, el argumento utilizado en la resolución impugnada para denegar la indemnización consistente en afirmar que no ha existido vulneración de derechos fundamentales de la trabajadora, debe ser calificado de incongruente, ilógico y contradictorio, pues la propia sentencia reconoce, al examinar el motivo tercero y el cuarto del recurso de la entidad empleadora, que se vulneraron los derechos fundamentales de la trabajadora al monitorizar su ordenador. De este modo resulta que la sentencia afirma la existencia de la vulneración de los derechos fundamentales a los efectos de confirmar la exclusión de la prueba derivada de la monitorización del ordenador, y al mismo tiempo niega esa vulneración cuando tiene que decidir sobre la indemnización solicitada. Dicha incongruencia no puede salvarse con la referencia a que la vulneración no la haya ocasionado el acto mismo del despido y en consecuencia este haya sido declarado improcedente, pues el art. 183.1 LJS cuando dispone que la sentencia que declare la existencia de una vulneración de un derecho fundamental debe pronunciarse sobre la cuantía de la indemnización, no hace depender el reconocimiento de la indemnización de la calificación del despido, sino del reconocimiento de que la trabajadora ha sufrido discriminación u otra lesión de sus derechos fundamentales y libertades públicas, y ello con independencia de la calificación del despido.</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Alcance de la vulneración del derecho a la tutela judicial reconocido</w:t>
      </w:r>
      <w:r>
        <w:t>.</w:t>
      </w:r>
    </w:p>
    <w:p w:rsidR="005728DD" w:rsidRDefault="005728DD" w:rsidP="005728DD">
      <w:pPr>
        <w:pStyle w:val="TextoNormal"/>
      </w:pPr>
    </w:p>
    <w:p w:rsidR="005728DD" w:rsidRDefault="005728DD" w:rsidP="005728DD">
      <w:pPr>
        <w:pStyle w:val="TextoNormal"/>
      </w:pPr>
      <w:r>
        <w:t>En conclusión, la sentencia de la Sala de lo Social del Tribunal Superior de Justicia de Madrid, al resolver el recurso de suplicación interpuesto por la demandante de amparo, y desestimar la fijación de cualquier indemnización, con la argumentación de que no se ha producido una vulneración de los derechos fundamentales de la recurrente ha lesionado el derecho a la tutela judicial efectiva (art. 24.1 CE), por lo que procede estimar parcialmente el presente recurso de amparo, con la consiguiente declaración de nulidad de la sentencia de la Sección Cuarta de la Sala de lo Social del Tribunal Superior de Justicia de Madrid dictada el 13 de septiembre de 2018, en el recurso de suplicación núm. 351-2018, y acordar la retroacción de las actuaciones al momento previo al dictado de la citada resolución, a fin de que, en congruencia con lo interesado en el recurso de suplicación en relación con la indemnización solicitada por la demandante, el órgano judicial resuelva de manera respetuosa con el derecho fundamental vulnerado.</w:t>
      </w:r>
    </w:p>
    <w:p w:rsidR="005728DD" w:rsidRDefault="005728DD" w:rsidP="005728DD">
      <w:pPr>
        <w:pStyle w:val="TextoNormal"/>
      </w:pPr>
    </w:p>
    <w:p w:rsidR="005728DD" w:rsidRDefault="005728DD" w:rsidP="005728DD">
      <w:pPr>
        <w:pStyle w:val="TextoNormal"/>
      </w:pPr>
      <w:r>
        <w:t>Finalmente debe indicarse que la nulidad no se extiende al auto del Tribunal Supremo, que inadmitió el recurso de casación para la unificación de doctrina interpuesto contra la sentencia de suplicación, y que ha servido, en este caso, para agotar la vía judicial previa al amparo (STC 57/1999, de 12 de abril, FJ 12), y al que no se le reprocha vulneración autónoma de derecho alguno.</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otorgar parcialmente el amparo solicitado por doña Esperanza de la Calle Gil y, en consecuencia:</w:t>
      </w:r>
    </w:p>
    <w:p w:rsidR="005728DD" w:rsidRDefault="005728DD" w:rsidP="005728DD">
      <w:pPr>
        <w:pStyle w:val="TextoNormal"/>
      </w:pPr>
    </w:p>
    <w:p w:rsidR="005728DD" w:rsidRDefault="005728DD" w:rsidP="005728DD">
      <w:pPr>
        <w:pStyle w:val="TextoNormal"/>
      </w:pPr>
      <w:r>
        <w:t>1º Declarar que ha sido vulnerado su derecho a la tutela judicial efectiva (art. 24.1 CE).</w:t>
      </w:r>
    </w:p>
    <w:p w:rsidR="005728DD" w:rsidRDefault="005728DD" w:rsidP="005728DD">
      <w:pPr>
        <w:pStyle w:val="TextoNormal"/>
      </w:pPr>
    </w:p>
    <w:p w:rsidR="005728DD" w:rsidRDefault="005728DD" w:rsidP="005728DD">
      <w:pPr>
        <w:pStyle w:val="TextoNormal"/>
      </w:pPr>
      <w:r>
        <w:t>2º Restablecerle en la integridad de su derecho y, a tal fin, anular la sentencia dictada el 13 de septiembre de 2018 por la Sección Cuarta de la Sala de lo Social del Tribunal Superior de Justicia de Madrid, en el recurso de suplicación núm. 351-2018, y acordar la retroacción de las actuaciones al momento previo al dictado de la citada resolución, a fin de que, en congruencia con lo interesado en el recurso de suplicación, en relación con la indemnización solicitada por la demandante por la vulneración de los derechos a la intimidad y al secreto de las comunicaciones (art. 18.1 y 3 CE) ocasionados por la monitorización de su ordenador, el órgano judicial resuelva de manera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rsidP="005728DD">
      <w:pPr>
        <w:pStyle w:val="ParrafoNormal"/>
      </w:pPr>
    </w:p>
    <w:p w:rsidR="005728DD" w:rsidRDefault="005728DD" w:rsidP="005728DD">
      <w:pPr>
        <w:pStyle w:val="TextoNormalNegritaCentrado"/>
        <w:keepNext/>
      </w:pPr>
      <w:r>
        <w:t>Voto particular que formula la magistrada doña María Luisa Balaguer Callejón a la sentencia dictada en el recurso de amparo núm. 6838-2019</w:t>
      </w:r>
    </w:p>
    <w:p w:rsidR="005728DD" w:rsidRDefault="005728DD" w:rsidP="005728DD">
      <w:pPr>
        <w:pStyle w:val="TextoNormalNegritaCentrado"/>
        <w:keepNext/>
      </w:pPr>
    </w:p>
    <w:p w:rsidR="005728DD" w:rsidRDefault="005728DD" w:rsidP="005728DD">
      <w:pPr>
        <w:pStyle w:val="TextoNormal"/>
      </w:pPr>
      <w:r>
        <w:t>En ejercicio de la facultad que me confiere el art. 90.2 LOTC, y con pleno respeto a la opinión de la mayoría reflejada en la sentencia, formulo el presente voto, dejando constancia de los fundamentos de mi posición discrepante con el fallo y con los razonamientos que lo sustentan.</w:t>
      </w:r>
    </w:p>
    <w:p w:rsidR="005728DD" w:rsidRDefault="005728DD" w:rsidP="005728DD">
      <w:pPr>
        <w:pStyle w:val="TextoNormal"/>
      </w:pPr>
    </w:p>
    <w:p w:rsidR="005728DD" w:rsidRDefault="005728DD" w:rsidP="005728DD">
      <w:pPr>
        <w:pStyle w:val="TextoNormal"/>
      </w:pPr>
      <w:r>
        <w:t>Mi desacuerdo se centra en la respuesta que se da a la primera queja planteada por la demandante de amparo, que denunció la vulneración de su derecho a la tutela judicial efectiva (art. 24.1 CE), en relación con los derechos fundamentales a la intimidad y al secreto de las comunicaciones (art. 18.1 y 3 CE), por entender que la ineficacia de la prueba, por haberse obtenido con vulneración de estos últimos derechos fundamentales, debería conllevar la calificación del despido como nulo. La sentencia de la que disiento ha desestimado tal queja, entendiendo que lo que se discute es una cuestión de mera legalidad ordinaria y, aplicando el canon propio del derecho a obtener una resolución fundada en Derecho, concluye que la argumentación de la sentencia del Tribunal Superior de Justicia de Madrid, que desvincula la calificación del despido de la nulidad de la prueba obtenida con vulneración de derechos fundamentales “no puede ser tildada de arbitraria o manifiestamente irrazonable”. En mi opinión, por el contrario, debería haberse otorgado también el amparo por este motivo, como solicitó el Ministerio Fiscal, por las razones que paso a exponer.</w:t>
      </w:r>
    </w:p>
    <w:p w:rsidR="005728DD" w:rsidRDefault="005728DD" w:rsidP="005728DD">
      <w:pPr>
        <w:pStyle w:val="TextoNormal"/>
      </w:pPr>
    </w:p>
    <w:p w:rsidR="005728DD" w:rsidRDefault="005728DD" w:rsidP="005728DD">
      <w:pPr>
        <w:pStyle w:val="TextoNormal"/>
      </w:pPr>
      <w:r>
        <w:t xml:space="preserve">1. Lo que se sometía al examen de este tribunal no es una mera cuestión de legalidad ordinaria. El problema sobre la consideración que deben tener los derechos fundamentales y sobre las consecuencias que ha de producir su vulneración, es una cuestión que entra de lleno dentro de las competencias de este tribunal, y que no puede ser eludida invocando la legalidad ordinaria, pues no resulta indiferente la interpretación que se dé al art. 55.5 LET, en la medida en que se está refiriendo a discriminaciones contrarias a la Constitución y a la </w:t>
      </w:r>
      <w:r>
        <w:lastRenderedPageBreak/>
        <w:t>violación de derechos fundamentales y libertades públicas del trabajador o de la trabajadora. Nos encontramos, por tanto, ante una resolución judicial que se encuentra cualificada en razón de los derechos fundamentales a cuya efectividad sirve, en este caso, el precepto legal cuya interpretación discute la actora,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84/2001, de 26 de marzo, FJ 3; 112/2004, de 12 de julio, FJ 4; 28/2005, de 14 de febrero, FJ 3, y 196/2005, de 18 de julio, FJ 3). Queda claro, por consiguiente, que lo que ha sido sometido al enjuiciamiento de este tribunal dista mucho de ser una cuestión de simple legalidad ordinaria desprovista del imprescindible empaque constitucional. Por el contrario, la doctrina reseñada, que este tribunal ha mantenido en no pocos supuestos de interpretación y aplicación del art. 55.5 LET, obligaba a profundizar en si el razonamiento del Tribunal Superior de Justicia era constitucionalmente aceptable o no, sin limitarse a enjuiciarlo desde el simple prisma del derecho a obtener una resolución que no sea arbitraria, irrazonable o incursa en error patente. En efecto, constituye doctrina consolidada de este tribunal que las exigencias del derecho a la tutela judicial efectiva “son distintas y más estrictas, ‘reforzadas’ (por todas, SSTC 63/2001, de 17 de marzo, FJ 7; 164/2003, de 29 de septiembre, FJ 5; 63/2005, de 14 de marzo, FJ 3, y 224/2007, de 22 de octubre, FJ 3), cuando, a pesar de que la decisión judicial no verse directamente sobre la preservación o los límites de un derecho fundamental, uno de estos derechos, distinto al de la propia tutela judicial, esté implicado (STC 11/2004, de 9 de febrero, FJ 2), esté vinculado (STC 180/2005, de 4 de julio, FJ 7), conectado (SSTC 25/2000, de 31 de enero, FJ 2; 11/2004, de 9 de febrero, FJ 2, y 71/2004, de 19 de abril, FJ 4), o en juego (SSTC 63/2001, de 17 de marzo, FJ 7, y 115/2003, de 16 de junio, FJ 3), o quede afectado (SSTC 186/2003, de 27 de octubre, FJ 5, y 192/2003, de 27 de octubre, FJ 3) por tal decisión. En tales condiciones, lo que el art. 24.1 CE exige para entender que se ha dispensado una tutela suficiente y eficaz es, además de una resolución motivada y fundada en Derecho, una resolución coherente con el derecho fundamental que está en juego (SSTC 11/2004, de 9 de febrero, FJ 2, y 63/2005, de 17 de marzo, FJ 3), que exprese o trasluzca ‘una argumentación axiológica que sea respetuosa’ con su contenido (STC 63/2005, de 17 de marzo, FJ 3)” (STC 92/2008, de 21 de julio, FJ 6). La sentencia de la que disiento ha olvidado por completo este canon y ha tratado la cuestión como un supuesto más de posible vulneración del derecho a la tutela judicial efectiva, siguiendo, por ello, un camino erróneo a la hora de abordar el análisis del problema que se le planteaba .</w:t>
      </w:r>
    </w:p>
    <w:p w:rsidR="005728DD" w:rsidRDefault="005728DD" w:rsidP="005728DD">
      <w:pPr>
        <w:pStyle w:val="TextoNormal"/>
      </w:pPr>
    </w:p>
    <w:p w:rsidR="005728DD" w:rsidRDefault="005728DD" w:rsidP="005728DD">
      <w:pPr>
        <w:pStyle w:val="TextoNormal"/>
      </w:pPr>
      <w:r>
        <w:t xml:space="preserve">2. Partiendo de la doctrina anterior, este tribunal no puede soslayar, como punto de partida, que la empresa de la actora monitorizó su ordenador para controlar su rendimiento laboral, sin informarle previamente de ello, accediendo incluso al contenido de sus correos electrónicos privados, y que, a partir de esa ilícita actuación, vulneradora de sus derechos fundamentales a la intimidad y al secreto de las comunicaciones —como reconocieron los órganos judiciales—, procedió a su despido disciplinario, principalmente por la causa derivada de esa monitorización, a la que añadió alguna otra accesoria de escasa entidad, insuficiente por sí sola para determinar el despido. Según mi criterio, no se justifica la artificiosa distinción que realiza el Tribunal Superior de Justicia entre la decisión extintiva que vulnera un derecho fundamental y aquellos casos en los que la vulneración no ha sido ocasionada </w:t>
      </w:r>
      <w:r>
        <w:lastRenderedPageBreak/>
        <w:t>por el despido, sino en el proceso de obtención de pruebas. Esa no es la interpretación del art. 55.5 LET más acorde con la imprescindible protección de los derechos fundamentales. No podemos olvidar que nuestra doctrina ha proclamado reiteradamente el principio de interpretación más favorable a la eficacia de los derechos fundamentales (por todas, STC 200/2014, de 15 de diciembre, FJ 4). Por tanto, cuando dicho precepto se refiere a que el despido es nulo siempre que “se produzca con violación de derechos fundamentales y libertades públicas del trabajador”, ha de entenderse que dicha violación puede tener lugar en cualquier fase del proceso que deriva en la definitiva decisión extintiva, porque esa es la exégesis del precepto más acorde con su efectividad, y, si se acepta el criterio de la resolución impugnada, se degrada el valor y la importancia de los derechos fundamentales, cuya lesión, de admitirse esa tesis, podría no llevar aparejada en muchos supuestos la inexcusable reacción reparadora.</w:t>
      </w:r>
    </w:p>
    <w:p w:rsidR="005728DD" w:rsidRDefault="005728DD" w:rsidP="005728DD">
      <w:pPr>
        <w:pStyle w:val="TextoNormal"/>
      </w:pPr>
    </w:p>
    <w:p w:rsidR="005728DD" w:rsidRDefault="005728DD" w:rsidP="005728DD">
      <w:pPr>
        <w:pStyle w:val="TextoNormal"/>
      </w:pPr>
      <w:r>
        <w:t>Lo relevante, por tanto, en el caso que nos ocupa, es que el despido se genera a partir de una patente y grave vulneración de los derechos fundamentales de la recurrente a la intimidad y al secreto de las comunicaciones, es decir, que se produce con violación de tales derechos, pues no cabe hacer abstracción del método seguido para respaldar el despido, escindiéndolo de este como si fueran actos separables, siendo así que presentan una unidad de acción y de intención para obtener un resultado determinado. No basta, por ello, con declarar que la prueba es ilegal, como si de un procedimiento penal se tratara, y se estuviera examinando la cuestión desde la perspectiva de la presunción de inocencia. Se ha procedido al despido vulnerando dos derechos fundamentales de la actora y eso no puede tener otra consecuencia que la declaración de su nulidad.</w:t>
      </w:r>
    </w:p>
    <w:p w:rsidR="005728DD" w:rsidRDefault="005728DD" w:rsidP="005728DD">
      <w:pPr>
        <w:pStyle w:val="TextoNormal"/>
      </w:pPr>
    </w:p>
    <w:p w:rsidR="005728DD" w:rsidRDefault="005728DD" w:rsidP="005728DD">
      <w:pPr>
        <w:pStyle w:val="TextoNormal"/>
      </w:pPr>
      <w:r>
        <w:t>Así lo estableció la STC 196/2004, de 15 de noviembre, ante un supuesto en el que se había despedido a una trabajadora a partir de un análisis clínico del que se obtuvieron datos relativos al consumo de estupefacientes, sin que se le hubiera informado previamente de la finalidad de aquel. La diferencia con este caso es que en aquel supuesto no se reconoció en suplicación la vulneración del derecho a la intimidad (que sí había advertido el juzgado de lo social), que hubo de ser declarada por este tribunal, mientras que aquí se reconoce paladinamente en vía judicial la vulneración de los derechos fundamentales pero no se le da (en suplicación) el alcance que merece. Lo que sí es trasladable a este amparo es, precisamente, el efecto que en aquella sentencia se dio a la vulneración del derecho fundamental. En su fundamento jurídico 10 se afirma que “según constante doctrina de este tribunal (entre otras, SSTC 38/1981, de 23 de noviembre; 114/1989, de 22 de junio; 186/1996, de 25 de noviembre; 1/1998, de 12 de enero; 57/1999, de 12 de abril; 20/2002, de 28 de enero, o 49/2003, de 17 de marzo), la reparación de la lesión de un derecho fundamental que hubiese sido causado por el despido laboral, debe determinar la eliminación absoluta de sus efectos, es decir, la nulidad del mismo”, lo que le llevó a acordar la anulación de la sentencia impugnada y declarar la firmeza de la sentencia del juzgado de lo social, que sí había declarado la nulidad del despido en aplicación del art. 18.1 CE.</w:t>
      </w:r>
    </w:p>
    <w:p w:rsidR="005728DD" w:rsidRDefault="005728DD" w:rsidP="005728DD">
      <w:pPr>
        <w:pStyle w:val="TextoNormal"/>
      </w:pPr>
    </w:p>
    <w:p w:rsidR="005728DD" w:rsidRDefault="005728DD" w:rsidP="005728DD">
      <w:pPr>
        <w:pStyle w:val="TextoNormal"/>
      </w:pPr>
      <w:r>
        <w:t xml:space="preserve">La sentencia a la que formulo este voto trata de salvar este escollo descalificando la STC 196/2004 con el argumento de que ninguna de las sentencias en las que se sustenta la misma se refería a un supuesto de prueba ilícita. Pero, aunque ello fuera así, no se puede ignorar el hecho de que dicho pronunciamiento sí trataba de un caso de prueba ilícita, y establecía una clara doctrina sobre el modo de proceder en supuestos como ese, doctrina que se desatiende, en un claro </w:t>
      </w:r>
      <w:r w:rsidRPr="005728DD">
        <w:rPr>
          <w:i/>
        </w:rPr>
        <w:t>overruling</w:t>
      </w:r>
      <w:r>
        <w:t xml:space="preserve">, sin pasar por el preceptivo trámite de elevar el recurso al Pleno de </w:t>
      </w:r>
      <w:r>
        <w:lastRenderedPageBreak/>
        <w:t>este tribunal, como exige nuestra ley reguladora en su art. 13 para modificar una doctrina previa “cuando una Sala considere necesario apartarse en cualquier punto de la doctrina constitucional precedente sentada por el tribunal, la cuestión se someterá a la decisión del Pleno”.</w:t>
      </w:r>
    </w:p>
    <w:p w:rsidR="005728DD" w:rsidRDefault="005728DD" w:rsidP="005728DD">
      <w:pPr>
        <w:pStyle w:val="TextoNormal"/>
      </w:pPr>
    </w:p>
    <w:p w:rsidR="005728DD" w:rsidRDefault="005728DD" w:rsidP="005728DD">
      <w:pPr>
        <w:pStyle w:val="TextoNormal"/>
      </w:pPr>
      <w:r>
        <w:t>3. No puede enervar la anterior calificación del despido como nulo el dato de que se incluyeran otros hechos en la carta de despido, como si se tratara de un despido pluricausal. Ante ese razonamiento de la sentencia de la que discrepo, debo recordar aquí la doctrina establecida por este tribunal sobre los despidos “pluricausales”, esto es, aquellos despidos disciplinarios en los que, frente a los indicios de lesión de un derecho fundamental, el empresario alcanza a probar que el despido obedece realmente a la concurrencia de incumplimientos contractuales del trabajador que justifican la adopción de la medida extintiva (STC 48/2002, de 25 de febrero, FJ 8). La STC 7/1993, de 18 de enero, en su FJ 4, resume dicha doctrina, señalando que,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y que esta “permita excluir cualquier propósito discriminatorio o contrario al derecho fundamental invocado”. En tales casos, “el empresario ha de probar, tanto que su medida es razonable y objetiva, como que no encubre una conducta contraria a un derecho fundamental, debiendo alcanzar necesariamente dicho resultado probatorio, sin que baste el intentarlo”.</w:t>
      </w:r>
    </w:p>
    <w:p w:rsidR="005728DD" w:rsidRDefault="005728DD" w:rsidP="005728DD">
      <w:pPr>
        <w:pStyle w:val="TextoNormal"/>
      </w:pPr>
    </w:p>
    <w:p w:rsidR="005728DD" w:rsidRDefault="005728DD" w:rsidP="005728DD">
      <w:pPr>
        <w:pStyle w:val="TextoNormal"/>
      </w:pPr>
      <w:r>
        <w:t>Pues bien, en este supuesto no tiene cabida dicha doctrina, ya que, como la propia sentencia impugnada reconoce, el empleador no ha acreditado la concurrencia de circunstancias suficientes para proceder al despido disciplinario al margen de la que trae causa de la vulneración de los derechos fundamentales de la actora; esto es, la sentencia admite, de forma que no deja lugar a dudas, que no existe causa para despedir disciplinariamente a la recurrente, porque, al margen del motivo respaldado por la flagrante lesión de los derechos fundamentales de la recurrente a la intimidad y al secreto de las comunicaciones, el empleador no ha demostrado la existencia de causas objetivas y razonables suficientes que hubieran permitido despedirla disciplinariamente. Así lo ha entendido también el Ministerio Fiscal, para el que las otras circunstancias no son hechos de tanta gravedad como para constituir una infracción laboral susceptible de ser sancionada con el despido, que únicamente estaría justificado en virtud de los que son el resultado de la actividad vulneradora de los derechos fundamentales, de manera que el despido se encuentra en conexión directa con la violación de los derechos, ya que, al margen de esta, no hay un verdadero motivo de despido.</w:t>
      </w:r>
    </w:p>
    <w:p w:rsidR="005728DD" w:rsidRDefault="005728DD" w:rsidP="005728DD">
      <w:pPr>
        <w:pStyle w:val="TextoNormal"/>
      </w:pPr>
    </w:p>
    <w:p w:rsidR="005728DD" w:rsidRDefault="005728DD" w:rsidP="005728DD">
      <w:pPr>
        <w:pStyle w:val="TextoNormal"/>
      </w:pPr>
      <w:r>
        <w:t>Por consiguiente, no hay más despido que el producido con vulneración de los indicados derechos fundamentales, lo que debería haber determinado que este tribunal estimara también el primer motivo de amparo, al existir una clara vulneración del art. 24.1 CE, en relación con el art. 18.1 y 3 CE, por parte de la sentencia del Tribunal Superior de Justicia de Madrid, en cuanto no mantuvo que el despido debía considerarse nulo, tal y como, de manera acertada, entendió el juzgado de lo social.</w:t>
      </w:r>
    </w:p>
    <w:p w:rsidR="005728DD" w:rsidRDefault="005728DD" w:rsidP="005728DD">
      <w:pPr>
        <w:pStyle w:val="TextoNormal"/>
      </w:pPr>
    </w:p>
    <w:p w:rsidR="005728DD" w:rsidRDefault="005728DD" w:rsidP="005728DD">
      <w:pPr>
        <w:pStyle w:val="TextoNormal"/>
      </w:pPr>
      <w:r>
        <w:t>Y en este sentido emito mi voto particular.</w:t>
      </w:r>
    </w:p>
    <w:p w:rsidR="005728DD" w:rsidRDefault="005728DD" w:rsidP="005728DD">
      <w:pPr>
        <w:pStyle w:val="TextoNormal"/>
      </w:pPr>
    </w:p>
    <w:p w:rsidR="005728DD" w:rsidRDefault="005728DD" w:rsidP="005728DD">
      <w:pPr>
        <w:pStyle w:val="TextoNormal"/>
      </w:pPr>
      <w:r>
        <w:t>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5728DD" w:rsidRDefault="005728DD" w:rsidP="005728DD">
      <w:pPr>
        <w:pStyle w:val="TtuloResolucin"/>
      </w:pPr>
      <w:bookmarkStart w:id="65" w:name="SENTENCIA_2021_62"/>
      <w:r>
        <w:lastRenderedPageBreak/>
        <w:t>SENTENCIA 62/2021, de 15 de marzo de 2021</w:t>
      </w:r>
    </w:p>
    <w:bookmarkEnd w:id="65"/>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ECLI:ES:TC:2021:62</w:t>
      </w:r>
    </w:p>
    <w:p w:rsidR="005728DD" w:rsidRDefault="005728DD" w:rsidP="005728DD">
      <w:pPr>
        <w:pStyle w:val="TextoNormalCentrado"/>
      </w:pPr>
    </w:p>
    <w:p w:rsidR="005728DD" w:rsidRDefault="005728DD" w:rsidP="005728DD">
      <w:pPr>
        <w:pStyle w:val="SntesisDescriptiva"/>
      </w:pPr>
      <w:r>
        <w:t>Recurso de amparo 7505-2019.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 xml:space="preserve">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[FFJJ 2, 3]. </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7505-2019, promovido por la sociedad mercantil Euroinversiones Inmobiliarias Costa Sur, S.L., representada por la procuradora de los tribunales doña Blanca Berriatua Horta y bajo la dirección de la letrada doña Anju Nirmala Benavent Rodríguez, contra el auto de 19 de noviembre de 2018, dictado por el Juzgado de Primera Instancia e Instrucción núm. 4 de Lorca en el procedimiento de ejecución hipotecaria núm. 373-2018, y contra el auto del mismo juzgado, de 16 de septiembre de 2019, que desestimó el recurso de reposición interpuesto contra la anterior resolución. Ha sido parte la entidad Pera Assets Designated Activity Company, representada por la procuradora doña Maria Claudia Munteanu y defendida por el letrado don Alejandro Ingram Solís. Ha intervenido el Ministerio Fiscal. Ha sido ponente el magistrado don Cándido Conde-Pumpido Tourón.</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26 de diciembre de 2019, la entidad Euroinversiones Inmobiliarias Costa Sur, S.L., con la representación procesal y letrada ya expuesta, interpuso recurso de amparo contra las resoluciones reseñadas en el encabezamiento, dictadas por el Juzgado de Primera Instancia e Instrucción núm. 4 de Lorca que, por considerarla extemporánea, acordaron la inadmisión de la oposición a la ejecución hipotecaria despachada, y la desestimación del recurso de reposición interpuesto frente a dicha decisión de inadmisión.</w:t>
      </w:r>
    </w:p>
    <w:p w:rsidR="005728DD" w:rsidRDefault="005728DD" w:rsidP="005728DD">
      <w:pPr>
        <w:pStyle w:val="TextoNormal"/>
      </w:pPr>
    </w:p>
    <w:p w:rsidR="005728DD" w:rsidRDefault="005728DD" w:rsidP="005728DD">
      <w:pPr>
        <w:pStyle w:val="TextoNormal"/>
      </w:pPr>
      <w:r w:rsidRPr="005728DD">
        <w:rPr>
          <w:rStyle w:val="NumeroAFNegritaCaracter"/>
        </w:rPr>
        <w:t>2</w:t>
      </w:r>
      <w:r>
        <w:t>. Sucintamente expuestos, son antecedentes fácticos y procesales relevantes para la resolución del recurso de amparo, los siguientes:</w:t>
      </w:r>
    </w:p>
    <w:p w:rsidR="005728DD" w:rsidRDefault="005728DD" w:rsidP="005728DD">
      <w:pPr>
        <w:pStyle w:val="TextoNormal"/>
      </w:pPr>
    </w:p>
    <w:p w:rsidR="005728DD" w:rsidRDefault="005728DD" w:rsidP="005728DD">
      <w:pPr>
        <w:pStyle w:val="TextoNormal"/>
      </w:pPr>
      <w:r>
        <w:t>a) En el Juzgado de Primera Instancia e Instrucción núm. 4 de Lorca se sigue procedimiento de ejecución hipotecaria núm. 373-2018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43.413 del registro de la propiedad núm. 3 de Lorca.</w:t>
      </w:r>
    </w:p>
    <w:p w:rsidR="005728DD" w:rsidRDefault="005728DD" w:rsidP="005728DD">
      <w:pPr>
        <w:pStyle w:val="TextoNormal"/>
      </w:pPr>
    </w:p>
    <w:p w:rsidR="005728DD" w:rsidRDefault="005728DD" w:rsidP="005728DD">
      <w:pPr>
        <w:pStyle w:val="TextoNormal"/>
      </w:pPr>
      <w:r>
        <w:t>b) Por auto de 27 de junio de 2018 se acordó despachar ejecución frente a las sociedades demandadas por la cantidad de 8199,12 € de principal y 4510 € como intereses y costas presupuestados. El citado auto y el decreto de la misma fecha que le sigue, que acordó las medidas de ejecución y el requerimiento de pago al ejecutado, fueron comunicados a las citadas entidades a través de la sede judicial electrónica el día 3 de julio de 2018, fecha en la que recibió en su dirección electrónica habilitada un mensaje del servicio de notificaciones electrónicas de la Fábrica Nacional de Moneda y Timbre avisándole de que hasta el 18 de agosto de 2018 tendría disponible una notificación del Juzgado núm. 4 de Lorca relacionada con el procedimiento EHJ 00003732018, a la que, para que constase como leída, debía acceder a través de un enlace adjunto (http://notificaciones.060.es). La ejecutada afirma haber accedido a dicho enlace el 3 de agosto de 2018.</w:t>
      </w:r>
    </w:p>
    <w:p w:rsidR="005728DD" w:rsidRDefault="005728DD" w:rsidP="005728DD">
      <w:pPr>
        <w:pStyle w:val="TextoNormal"/>
      </w:pPr>
    </w:p>
    <w:p w:rsidR="005728DD" w:rsidRDefault="005728DD" w:rsidP="005728DD">
      <w:pPr>
        <w:pStyle w:val="TextoNormal"/>
      </w:pPr>
      <w:r>
        <w:t>c) La entidad Euroinversiones Inmobiliarias Costa Sur, S.L., presentó el 31 de agosto de 2018 escrito de oposición a la ejecución despachada. Por auto de 19 de noviembre de 2018, el órgano judicial acordó la inadmisión de la oposición formulada por entender extemporánea su presentación, tras tomar como fecha de emplazamiento el 29 de junio de 2018.</w:t>
      </w:r>
    </w:p>
    <w:p w:rsidR="005728DD" w:rsidRDefault="005728DD" w:rsidP="005728DD">
      <w:pPr>
        <w:pStyle w:val="TextoNormal"/>
      </w:pPr>
    </w:p>
    <w:p w:rsidR="005728DD" w:rsidRDefault="005728DD" w:rsidP="005728DD">
      <w:pPr>
        <w:pStyle w:val="TextoNormal"/>
      </w:pPr>
      <w:r>
        <w:t>d) La recurrente interpuso recurso de reposición contra el auto de inadmisión. En síntesis, alegó que las actuaciones de notificación y requerimiento no habían de entenderse realizadas en la fecha señalada, sino durante el mes de agosto, procesalmente inhábil, y que la comunicación remitida a través de la dirección electrónica habilitada no constituye sino un aviso de puesta a disposición para descarga de su contenido durante un plazo determinado (en este caso desde el 3 de julio al 18 de agosto de 2018). Denunció haber sufrido indefensión como consecuencia de la inadmisión de su oposición a la ejecución ya despachada.</w:t>
      </w:r>
    </w:p>
    <w:p w:rsidR="005728DD" w:rsidRDefault="005728DD" w:rsidP="005728DD">
      <w:pPr>
        <w:pStyle w:val="TextoNormal"/>
      </w:pPr>
    </w:p>
    <w:p w:rsidR="005728DD" w:rsidRDefault="005728DD" w:rsidP="005728DD">
      <w:pPr>
        <w:pStyle w:val="TextoNormal"/>
      </w:pPr>
      <w:r>
        <w:t>e) Tras su tramitación, el recurso fue desestimado por auto de 16 de septiembre de 2019. Según esta resolución:</w:t>
      </w:r>
    </w:p>
    <w:p w:rsidR="005728DD" w:rsidRDefault="005728DD" w:rsidP="005728DD">
      <w:pPr>
        <w:pStyle w:val="TextoNormal"/>
      </w:pPr>
    </w:p>
    <w:p w:rsidR="005728DD" w:rsidRDefault="005728DD" w:rsidP="005728DD">
      <w:pPr>
        <w:pStyle w:val="TextoNormal"/>
      </w:pPr>
      <w:r>
        <w:t>“[P]ese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5728DD" w:rsidRDefault="005728DD" w:rsidP="005728DD">
      <w:pPr>
        <w:pStyle w:val="TextoNormal"/>
      </w:pPr>
    </w:p>
    <w:p w:rsidR="005728DD" w:rsidRDefault="005728DD" w:rsidP="005728DD">
      <w:pPr>
        <w:pStyle w:val="TextoNormal"/>
      </w:pPr>
      <w:r>
        <w:t>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5728DD" w:rsidRDefault="005728DD" w:rsidP="005728DD">
      <w:pPr>
        <w:pStyle w:val="TextoNormal"/>
      </w:pPr>
    </w:p>
    <w:p w:rsidR="005728DD" w:rsidRDefault="005728DD" w:rsidP="005728DD">
      <w:pPr>
        <w:pStyle w:val="TextoNormal"/>
      </w:pPr>
      <w:r w:rsidRPr="005728DD">
        <w:rPr>
          <w:rStyle w:val="NumeroAFNegritaCaracter"/>
        </w:rPr>
        <w:t>3</w:t>
      </w:r>
      <w:r>
        <w:t>. La recurrente afirma en su demanda de amparo que las resoluciones judiciales impugnadas han vulnerado su derecho a la tutela judicial efectiva sin indefensión (art. 24.1 CE), impidiéndole de forma indebida acceder en tiempo y oponerse en el proceso de ejecución hipotecaria seguido en su contra. A tal fin, aduce fue emplazada a través de la dirección electrónica habilitada, por lo que se limitó a seguir la literalidad de las instrucciones contenidas en el correo electrónico recibido procedente del servicio de notificaciones electrónicas, y accedió al contenido de la notificación judicial dentro del plazo establecido en el mismo. El citado mensaje electrónico tiene el siguiente contenido:</w:t>
      </w:r>
    </w:p>
    <w:p w:rsidR="005728DD" w:rsidRDefault="005728DD" w:rsidP="005728DD">
      <w:pPr>
        <w:pStyle w:val="TextoNormal"/>
      </w:pPr>
    </w:p>
    <w:p w:rsidR="005728DD" w:rsidRDefault="005728DD" w:rsidP="005728DD">
      <w:pPr>
        <w:pStyle w:val="TextoNormal"/>
      </w:pPr>
      <w:r>
        <w:t>“La Notificación estará disponible en su dirección electrónica habilitada única desde el 03-07-2018 hasta el 18-08-2018. Si no procediera a su lectura en el plazo indicado se producirán los efectos correspondientes, según la normativa aplicable, según la normativa aplicable. Para que conste como leída, por favor acceda a http://notificaciones.060.es. Asunto: ‘JDO. 1 INST. E INSTR. N 4 DE LORCA EJH/0000373/2018’. Información adicional: Ha recibido un acto de comunicación Judicial. Podrá consultarlo en los siguientes enlaces: https://sede.administracion.gob.es/capeta; https//notificaciones.60.es y https://sedejudicial.justicia.es.</w:t>
      </w:r>
    </w:p>
    <w:p w:rsidR="005728DD" w:rsidRDefault="005728DD" w:rsidP="005728DD">
      <w:pPr>
        <w:pStyle w:val="TextoNormal"/>
      </w:pPr>
    </w:p>
    <w:p w:rsidR="005728DD" w:rsidRDefault="005728DD" w:rsidP="005728DD">
      <w:pPr>
        <w:pStyle w:val="TextoNormal"/>
      </w:pPr>
      <w:r>
        <w:lastRenderedPageBreak/>
        <w:t>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LEC. Este aviso conforme a lo dispuesto en el art. 25 del Real Decreto 1065/2015 no tiene efecto procesal alguno”.</w:t>
      </w:r>
    </w:p>
    <w:p w:rsidR="005728DD" w:rsidRDefault="005728DD" w:rsidP="005728DD">
      <w:pPr>
        <w:pStyle w:val="TextoNormal"/>
      </w:pPr>
    </w:p>
    <w:p w:rsidR="005728DD" w:rsidRDefault="005728DD" w:rsidP="005728DD">
      <w:pPr>
        <w:pStyle w:val="TextoNormal"/>
      </w:pPr>
      <w:r>
        <w:t>Concluye la demanda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dirigido no solo al legislador, sino también al interprete, obligándole a promover la defensa mediante la correspondiente contradicción, tal y como reconoce la STC 37/1984 del Tribunal Constitucional”.</w:t>
      </w:r>
    </w:p>
    <w:p w:rsidR="005728DD" w:rsidRDefault="005728DD" w:rsidP="005728DD">
      <w:pPr>
        <w:pStyle w:val="TextoNormal"/>
      </w:pPr>
    </w:p>
    <w:p w:rsidR="005728DD" w:rsidRDefault="005728DD" w:rsidP="005728DD">
      <w:pPr>
        <w:pStyle w:val="TextoNormal"/>
      </w:pPr>
      <w:r>
        <w:t>En la demanda, por medio de otrosí, se solicitó la suspensión del procedimiento de ejecución hipotecaria alegando que la continuación de la ejecución “con la celebración de subasta y la eventual adjudicación a terceros, pueden hacer perder al recurso de amparo su finalidad”. Tramitada la petición de suspensión, fue resuelta por auto de 15 de febrero, por el que, tras desestimarla, se acordó cautelarmente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16 de junio de 2020, la Sección Primera de este tribunal acordó inadmitir a trámite el recurso de amparo por no apreciar en el mismo la especial trascendencia constitucional que, como condición para su admisión, requiere el art. 50.1 b) de la Ley Orgánica del Tribunal Constitucional (LOTC). Recurrida en súplica la providencia por el Ministerio Fiscal, el recurso fue estimado mediante auto de la Sección de 22 de septiembre de 2016. Por providencia de fecha 19 de octubre de 2020, el recurso fue admitido a trámite al apreciar la causa de especial trascendencia constitucional a que se refiere el apartado b) del fundamento jurídico 2 de la STC 155/2009, por lo que se acordó dirigir comunicación al Juzgado de Primera Instancia e Instrucción núm. 4 de Lorca, a fin de que, en plazo que no excediera de diez días, remitiera certificación o fotocopia adverada de las actuaciones correspondientes a los autos de ejecución hipotecaria y emplazara por el mismo plazo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18 de diciembre de 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lastRenderedPageBreak/>
        <w:t>A través de diligencia de ordenación de 21 de diciembre de 2020, la secretaría de justicia de la Sala Primera de este tribunal tuvo por personada y parte a la citada procuradora en la representación acreditada y, asimismo, acordó dar vista de las actuaciones a las partes personadas y al Ministerio Fiscal, por plazo común de veinte días, a fin de que, conforme con lo previsto en el art. 52 LOTC,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La entidad recurrente presentó sus alegaciones el 27 de enero de 2021. En ellas se remite a lo expuesto en la demanda, haciendo mención adicional a los pronunciamientos de la STC 40/2020, de 27 de febrero, que trascribe en parte, a propósito del uso indebido de la dirección electrónica habilitada como sede idónea para realizar el primer emplazamiento del demandado.</w:t>
      </w:r>
    </w:p>
    <w:p w:rsidR="005728DD" w:rsidRDefault="005728DD" w:rsidP="005728DD">
      <w:pPr>
        <w:pStyle w:val="TextoNormal"/>
      </w:pPr>
    </w:p>
    <w:p w:rsidR="005728DD" w:rsidRDefault="005728DD" w:rsidP="005728DD">
      <w:pPr>
        <w:pStyle w:val="TextoNormal"/>
      </w:pPr>
      <w:r w:rsidRPr="005728DD">
        <w:rPr>
          <w:rStyle w:val="NumeroAFNegritaCaracter"/>
        </w:rPr>
        <w:t>7</w:t>
      </w:r>
      <w:r>
        <w:t>. El 28 de enero de 2021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contestar a la demanda”.</w:t>
      </w:r>
    </w:p>
    <w:p w:rsidR="005728DD" w:rsidRDefault="005728DD" w:rsidP="005728DD">
      <w:pPr>
        <w:pStyle w:val="TextoNormal"/>
      </w:pPr>
    </w:p>
    <w:p w:rsidR="005728DD" w:rsidRDefault="005728DD" w:rsidP="005728DD">
      <w:pPr>
        <w:pStyle w:val="TextoNormal"/>
      </w:pPr>
      <w:r>
        <w:t>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Para justificar la propuesta estimatoria, se remite a la doctrina fijada en las SSTC 40 y 43/2020, de 27 de febrero y 9 de marzo, que resuelven supuestos que presentan identidad fáctica y jurídica con el presente. No se formularon más alegaciones.</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fecha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 xml:space="preserve">En el presente recurso de amparo la sociedad mercantil Euroinversiones Inmobiliarias Costa Sur, S.L., impugna el auto del Juzgado de Primera Instancia e Instrucción núm. 4 de Lorca, de 19 de noviembre de 2018, que en el procedimiento de ejecución hipotecaria núm. 373-2018 inadmitió, por extemporánea, la demanda de oposición a la ejecución formulada por dicha mercantil, y el posterior auto de 16 de septiembre de 2019 que desestimó el recurso de reposición interpuesto contra aquella resolución. Para el órgano judicial, el plazo que la demandada tenía para formular oposición a la ejecución ya despachada ha de computarse desde la fecha en la que recibió en su dirección electrónica habilitada una comunicación del servicio de notificaciones electrónicas de la Fábrica Nacional de Moneda y Timbre avisándole de que hasta el 18 de agosto de 2018 tendría disponible una notificación del juzgado </w:t>
      </w:r>
      <w:r>
        <w:lastRenderedPageBreak/>
        <w:t>de Lorca relacionada con el procedimiento EHJ 373-2018 a la que, para que constase como leída, debía acceder a través de un enlace adjunto (http://notificaciones.060.es). La mercantil recurrente no accedió al enlace adjunto hasta el 3 de agosto de 2018 y, por ser procesalmente inhábil el mes de agosto, presentó su escrito de oposición el siguiente día 31 de agosto, por lo que considera que lo hizo antes de que transcurriera el plazo de diez días hábiles legalmente previsto, computado desde la fecha límite expuesta en la comunicación.</w:t>
      </w:r>
    </w:p>
    <w:p w:rsidR="005728DD" w:rsidRDefault="005728DD" w:rsidP="005728DD">
      <w:pPr>
        <w:pStyle w:val="TextoNormal"/>
      </w:pPr>
    </w:p>
    <w:p w:rsidR="005728DD" w:rsidRDefault="005728DD" w:rsidP="005728DD">
      <w:pPr>
        <w:pStyle w:val="TextoNormal"/>
      </w:pPr>
      <w:r>
        <w:t>La demandante de amparo alega la vulneración de su derecho fundamental a la tutela judicial efectiva sin indefensión (art. 24.1 CE), como consecuencia de no haberse efectuado aquel emplazamiento inicial en el proceso de ejecución de manera personal y con entrega material de la documentación correspondiente, tal y como establecen las normas de la Ley de enjuiciamiento civil, o bien computando los plazos en la forma que propone, a partir del mes de agosto de 2018. Por su parte, el Ministerio Fiscal, con sustento en las razones que se han expuesto en los antecedentes, solicita la estimación del recurso de amparo, al considerar que se ha producido la vulneración denunciada en la demanda.</w:t>
      </w:r>
    </w:p>
    <w:p w:rsidR="005728DD" w:rsidRDefault="005728DD" w:rsidP="005728DD">
      <w:pPr>
        <w:pStyle w:val="TextoNormal"/>
      </w:pPr>
    </w:p>
    <w:p w:rsidR="005728DD" w:rsidRDefault="005728DD" w:rsidP="005728DD">
      <w:pPr>
        <w:pStyle w:val="TextoNormal"/>
      </w:pPr>
      <w:r>
        <w:t>Este recurso de amparo se inscribe en la serie de recursos interpuestos por dos entidades, una de ellas la aquí recurrente, demandadas en procesos ejecutivos hipotecarios seguidos ante diversos juzgados de primera instancia de Lorca (Murcia), en los cuales, tras emplazarlas por vía electrónica a través del servicio de notificaciones electrónicas y de dirección electrónica habilitada de la Fábrica Nacional de Moneda y Timbre, han sido inadmitidos a trámite los escritos de oposición a la ejecución presentados por aquellas, al considerarlos extemporáneos mediante el descrito cómputo del plazo de oposición que ha sido realizado con arreglo a normas del procedimiento administrativo común. El recurso de amparo núm. 5377-2018 promovido por Euroinversiones Inmobiliarias Costa Sur, S.L., constituye la cabecera de la serie, y ha sido resuelto en sentido estimatorio por la STC 40/2020, de 27 de febrero, del Pleno, a cuyas consideraciones nos remitiremos en lo que sigue.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Aplicación de la doctrina establecida por las SSTC 6/2019, 47/2019 y</w:t>
      </w:r>
      <w:r>
        <w:t xml:space="preserve"> 40/2020.</w:t>
      </w:r>
    </w:p>
    <w:p w:rsidR="005728DD" w:rsidRDefault="005728DD" w:rsidP="005728DD">
      <w:pPr>
        <w:pStyle w:val="TextoNormal"/>
      </w:pPr>
    </w:p>
    <w:p w:rsidR="005728DD" w:rsidRDefault="005728DD" w:rsidP="005728DD">
      <w:pPr>
        <w:pStyle w:val="TextoNormal"/>
      </w:pPr>
      <w:r>
        <w:t xml:space="preserve">En la STC 40/2020, de 27 de febrero, FJ 3, abordamos ya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de la Ley de enjuiciamiento civil (LEC), y 47/2019, de 8 de abril, FJ 4 a), recaída en proceso de amparo, en relación con la garantía de emplazamiento personal inicial del demandado o ejecutado en los procesos regidos en esta materia por la Ley de enjuiciamiento civil (directa o supletoriamente). En ellas hemos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w:t>
      </w:r>
      <w:r>
        <w:lastRenderedPageBreak/>
        <w:t>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Lo expuesto permite concluir ahora, al igual que hicimos en la STC 40/2020, FJ 4, que las dos resoluciones judiciales impugnadas vulneraron el derecho a la tutela judicial efectiva sin indefensión de la recurrente, por no proceder a su emplazamiento personal en el proceso </w:t>
      </w:r>
      <w:r w:rsidRPr="005728DD">
        <w:rPr>
          <w:i/>
        </w:rPr>
        <w:t>a quo</w:t>
      </w:r>
      <w:r>
        <w:t xml:space="preserve">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 Además, el plazo para presentar el escrito de oposición fue computado invocando normas del procedimiento administrativo común que son ajenas al ámbito jurisdiccional en el que nos encontramos.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Conclusión</w:t>
      </w:r>
      <w:r>
        <w:t>.</w:t>
      </w:r>
    </w:p>
    <w:p w:rsidR="005728DD" w:rsidRDefault="005728DD" w:rsidP="005728DD">
      <w:pPr>
        <w:pStyle w:val="TextoNormal"/>
      </w:pPr>
    </w:p>
    <w:p w:rsidR="005728DD" w:rsidRDefault="005728DD" w:rsidP="005728DD">
      <w:pPr>
        <w:pStyle w:val="TextoNormal"/>
      </w:pPr>
      <w:r>
        <w:t>El presente recurso de amparo ha de ser estimado en aplicación de la doctrina fijada en las SSTC 47/2019 y 40/2020 y, en consecuencia, debe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4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5728DD" w:rsidRDefault="005728DD" w:rsidP="005728DD">
      <w:pPr>
        <w:pStyle w:val="TextoNormal"/>
      </w:pPr>
    </w:p>
    <w:p w:rsidR="005728DD" w:rsidRDefault="005728DD" w:rsidP="005728DD">
      <w:pPr>
        <w:pStyle w:val="TextoNormal"/>
      </w:pPr>
      <w:r>
        <w:t>1º Declarar que ha sido vulnerado el derecho fundamental de la recurrente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 los autos de 19 de noviembre de 2018 y 16 de septiembre de 2019, dictados por el Juzgado de Primera Instancia e Instrucción núm. 4 de Lorca en el proceso de ejecución hipotecaria núm. 373-2018, así como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6" w:name="SENTENCIA_2021_63"/>
      <w:r>
        <w:lastRenderedPageBreak/>
        <w:t>SENTENCIA 63/2021, de 15 de marzo de 2021</w:t>
      </w:r>
    </w:p>
    <w:bookmarkEnd w:id="66"/>
    <w:p w:rsidR="005728DD" w:rsidRDefault="005728DD" w:rsidP="005728DD">
      <w:pPr>
        <w:pStyle w:val="TtuloResolucin"/>
      </w:pPr>
      <w:r>
        <w:t>Sala Segunda</w:t>
      </w:r>
    </w:p>
    <w:p w:rsidR="005728DD" w:rsidRDefault="005728DD" w:rsidP="005728DD">
      <w:pPr>
        <w:pStyle w:val="TtuloBOE"/>
      </w:pPr>
      <w:r>
        <w:t>(BOE núm. 97, de 23 de abril de 2021)</w:t>
      </w:r>
    </w:p>
    <w:p w:rsidR="005728DD" w:rsidRDefault="005728DD" w:rsidP="005728DD">
      <w:pPr>
        <w:pStyle w:val="TextoNormalCentrado"/>
      </w:pPr>
      <w:r>
        <w:t>ECLI:ES:TC:2021:63</w:t>
      </w:r>
    </w:p>
    <w:p w:rsidR="005728DD" w:rsidRDefault="005728DD" w:rsidP="005728DD">
      <w:pPr>
        <w:pStyle w:val="TextoNormalCentrado"/>
      </w:pPr>
    </w:p>
    <w:p w:rsidR="005728DD" w:rsidRDefault="005728DD" w:rsidP="005728DD">
      <w:pPr>
        <w:pStyle w:val="SntesisDescriptiva"/>
      </w:pPr>
      <w:r>
        <w:t>Recurso de amparo 729-2020. Promovido por don Carlos José Mir Canales respecto de la resolución sancionadora de la Tesorería General de la Seguridad Social confirmada, en suplicación, por sentencia de la Sala de lo Social del Tribunal Superior de Justicia de Aragón.</w:t>
      </w:r>
    </w:p>
    <w:p w:rsidR="005728DD" w:rsidRDefault="005728DD" w:rsidP="005728DD">
      <w:pPr>
        <w:pStyle w:val="SntesisDescriptiva"/>
      </w:pPr>
    </w:p>
    <w:p w:rsidR="005728DD" w:rsidRDefault="005728DD" w:rsidP="005728DD">
      <w:pPr>
        <w:pStyle w:val="SntesisAnaltica"/>
      </w:pPr>
      <w:r>
        <w:t>Vulneración del derecho a la tutela judicial efectiva (acceso a la jurisdicción): resoluciones que, desatendiendo el Derecho transitorio y aplicando al caso el régimen de notificaciones a través de la sede electrónica, declararon la extemporaneidad del recurso de alzada en vía administrativa.</w:t>
      </w:r>
    </w:p>
    <w:p w:rsidR="005728DD" w:rsidRDefault="005728DD" w:rsidP="005728DD">
      <w:pPr>
        <w:pStyle w:val="SntesisAnaltica"/>
      </w:pPr>
    </w:p>
    <w:p w:rsidR="005728DD" w:rsidRDefault="005728DD" w:rsidP="005728DD">
      <w:pPr>
        <w:pStyle w:val="Extracto"/>
      </w:pPr>
      <w:r>
        <w:t>1.</w:t>
      </w:r>
      <w:r>
        <w:tab/>
        <w:t>El recurso de casación para la unificación de doctrina debe considerarse no sólo extraordinario sino excepcional, y esa especial naturaleza determina que no sea preceptiva siempre su interposición para dar por agotada la vía judicial ordinaria, sino sólo en aquellos supuestos en los que, por existir doctrina jurisprudencial contradictoria, al Tribunal Supremo deba darse la posibilidad [determinante en general de esta exigencia del art. 44.1 a) LOTC] de reparar la lesión del derecho fundamental que se entiende vulnerado, salvando así la subsidiariedad del amparo [FJ 2].</w:t>
      </w:r>
    </w:p>
    <w:p w:rsidR="005728DD" w:rsidRDefault="005728DD" w:rsidP="005728DD">
      <w:pPr>
        <w:pStyle w:val="Extracto"/>
      </w:pPr>
    </w:p>
    <w:p w:rsidR="005728DD" w:rsidRDefault="005728DD" w:rsidP="005728DD">
      <w:pPr>
        <w:pStyle w:val="Extracto"/>
      </w:pPr>
      <w:r>
        <w:t>2.</w:t>
      </w:r>
      <w:r>
        <w:tab/>
        <w:t>Doctrina constitucional sobre el derecho a la tutela judicial efectiva y las notificaciones [FJ 3].</w:t>
      </w:r>
    </w:p>
    <w:p w:rsidR="005728DD" w:rsidRDefault="005728DD" w:rsidP="005728DD">
      <w:pPr>
        <w:pStyle w:val="Extracto"/>
      </w:pPr>
    </w:p>
    <w:p w:rsidR="005728DD" w:rsidRDefault="005728DD" w:rsidP="005728DD">
      <w:pPr>
        <w:pStyle w:val="Extracto"/>
      </w:pPr>
      <w:r>
        <w:t>3.</w:t>
      </w:r>
      <w:r>
        <w:tab/>
        <w:t>El acto de comunicación es el necesario instrumento que facilita la defensa en el proceso; de tal manera que su falta o deficiente realización, siempre que se frustre la finalidad con ellos perseguida, coloca al interesado en una situación de indefensión que vulnera el derecho de defensa (SSTC 115/1988, 195/1990, 326/1993, 77/1997,  219/1999, 128/2000, 61/2010, 30/2014, 169/2014 o 32/2019) [FJ 3].</w:t>
      </w:r>
    </w:p>
    <w:p w:rsidR="005728DD" w:rsidRDefault="005728DD" w:rsidP="005728DD">
      <w:pPr>
        <w:pStyle w:val="Extracto"/>
      </w:pPr>
    </w:p>
    <w:p w:rsidR="005728DD" w:rsidRDefault="005728DD" w:rsidP="005728DD">
      <w:pPr>
        <w:pStyle w:val="Extracto"/>
      </w:pPr>
      <w:r>
        <w:t>4.</w:t>
      </w:r>
      <w:r>
        <w:tab/>
        <w:t>Recae sobre el órgano judicial no sólo el deber de velar por la correcta ejecución de los actos de comunicación procesal, sino también el de asegurarse que dichos actos sirven a su propósito de garantizar que la parte sea oída en el proceso (STC 30/2014) [FJ 3].</w:t>
      </w:r>
    </w:p>
    <w:p w:rsidR="005728DD" w:rsidRDefault="005728DD" w:rsidP="005728DD">
      <w:pPr>
        <w:pStyle w:val="Extracto"/>
      </w:pPr>
    </w:p>
    <w:p w:rsidR="005728DD" w:rsidRDefault="005728DD" w:rsidP="005728DD">
      <w:pPr>
        <w:pStyle w:val="Extracto"/>
      </w:pPr>
      <w:r>
        <w:t>5.</w:t>
      </w:r>
      <w:r>
        <w:tab/>
        <w:t>No en todo caso el derecho a la tutela judicial efectiva exige un pronunciamiento en cuanto al fondo del asunto, pues basta con una resolución motivada, fundada en derecho y congruente con las pretensiones oportunamente deducidas por las partes, pudiendo ser de inadmisión si concurre causa legal para ello y así se aprecia razonadamente por el órgano judicial (SSTC 63/1999 y 116/2001) [FJ 4].</w:t>
      </w:r>
    </w:p>
    <w:p w:rsidR="005728DD" w:rsidRDefault="005728DD" w:rsidP="005728DD">
      <w:pPr>
        <w:pStyle w:val="Extracto"/>
      </w:pPr>
    </w:p>
    <w:p w:rsidR="005728DD" w:rsidRDefault="005728DD" w:rsidP="005728DD">
      <w:pPr>
        <w:pStyle w:val="Extracto"/>
      </w:pPr>
      <w:r>
        <w:t>6.</w:t>
      </w:r>
      <w:r>
        <w:tab/>
        <w:t xml:space="preserve">La resolución impugnada en vía administrativa que no es dictada en el plazo previsto normativamente no puede operar favorablemente para la Administración; a quien bastaría con poner a disposición del interesado en la sede electrónica la resolución correspondiente y que transcurriera el plazo establecido normativamente </w:t>
      </w:r>
      <w:r>
        <w:lastRenderedPageBreak/>
        <w:t>sin que se accediera a su contenido, para que se entendiera notificada válidamente, perjudicando al propio tiempo al administrado (STC 112/2019) [FJ 4].</w:t>
      </w:r>
    </w:p>
    <w:p w:rsidR="005728DD" w:rsidRDefault="005728DD" w:rsidP="005728DD">
      <w:pPr>
        <w:pStyle w:val="Extracto"/>
      </w:pPr>
    </w:p>
    <w:p w:rsidR="005728DD" w:rsidRDefault="005728DD" w:rsidP="005728DD">
      <w:pPr>
        <w:pStyle w:val="Extracto"/>
      </w:pPr>
      <w:r>
        <w:t>7.</w:t>
      </w:r>
      <w:r>
        <w:tab/>
        <w:t xml:space="preserve">Las resoluciones judiciales o administrativas vulneran el derecho a la tutela judicial efectiva del recurrente (art. 24.1 CE), en su vertiente de derecho de acceso a la jurisdicción, si impiden el control de la actividad administrativa por los órganos jurisdiccionales, que constituye la culminación del sistema de derechos y garantías característico del Estado de Derecho y del derecho de defensa del recurrente </w:t>
      </w:r>
      <w:r w:rsidRPr="005728DD">
        <w:rPr>
          <w:i/>
        </w:rPr>
        <w:t>ex</w:t>
      </w:r>
      <w:r>
        <w:t xml:space="preserve"> art. 24.2 CE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729-2020, promovido por doña Beatriz María Díaz Rodríguez, procuradora de los tribunales, en nombre y representación de don Carlos José Mir Canales, bajo la dirección letrada de don Venancio Soto Montoliu, contra la resolución de la dirección provincial de la Tesorería General de la Seguridad Social de Huesca, de 4 de junio de 2018; así como contra la sentencia núm. 588/2019, de 6 de noviembre de 2019, dictada por la Sala de lo Social del Tribunal Superior de Justicia de Aragón en autos del recurso de suplicación núm. 516-2019, y contra el auto del mismo tribunal, de fecha 30 de diciembre de 2019, por el que se desestima el incidente de nulidad de actuaciones. Ha intervenido el Ministerio Fiscal y el letrado de la administración de la Seguridad Social.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4 de febrero de 2020, doña Beatriz María Díaz Rodríguez, procuradora de los tribunales y de don Carlos José Mir Canales interpuso recurso de amparo contra la resolución administrativa de la dirección provincial de la Tesorería General de la Seguridad Social (TGSS) de Huesca, así como contra la sentencia y auto dictados por la Sala de lo Social del Tribunal Superior de Justicia de Aragón, a los que se hace referencia en el encabezamiento, alegando la vulneración de su derecho a la tutela judicial efectiva (art. 24.1 CE), en su vertiente de derecho de acceso a la jurisdicción, y del derecho a una resolución motivada y fundada en derecho, en lo que se refiere, exclusivamente, a las resoluciones judiciales.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Los hechos de los que trae causa la demanda de amparo, relevantes para la resolución del caso son, en síntesis, los siguientes:</w:t>
      </w:r>
    </w:p>
    <w:p w:rsidR="005728DD" w:rsidRDefault="005728DD" w:rsidP="005728DD">
      <w:pPr>
        <w:pStyle w:val="TextoNormal"/>
      </w:pPr>
    </w:p>
    <w:p w:rsidR="005728DD" w:rsidRDefault="005728DD" w:rsidP="005728DD">
      <w:pPr>
        <w:pStyle w:val="TextoNormal"/>
      </w:pPr>
      <w:r>
        <w:t>a) Con fecha 3 de noviembre de 2017, por la Inspección de Trabajo y Seguridad Social de Huesca se emitió acta número I222017000034759, en la que se imputa al ahora recurrente la comisión de una infracción en el orden social en materia de seguridad social, proponiendo la imposición de una sanción de 32 823 €.</w:t>
      </w:r>
    </w:p>
    <w:p w:rsidR="005728DD" w:rsidRDefault="005728DD" w:rsidP="005728DD">
      <w:pPr>
        <w:pStyle w:val="TextoNormal"/>
      </w:pPr>
    </w:p>
    <w:p w:rsidR="005728DD" w:rsidRDefault="005728DD" w:rsidP="005728DD">
      <w:pPr>
        <w:pStyle w:val="TextoNormal"/>
      </w:pPr>
      <w:r>
        <w:t>El acta de infracción fue notificada personalmente al recurrente en su domicilio de la calle Edificio del Pilar, núm. 2, piso 5 B, de Fraga (Huesca).</w:t>
      </w:r>
    </w:p>
    <w:p w:rsidR="005728DD" w:rsidRDefault="005728DD" w:rsidP="005728DD">
      <w:pPr>
        <w:pStyle w:val="TextoNormal"/>
      </w:pPr>
    </w:p>
    <w:p w:rsidR="005728DD" w:rsidRDefault="005728DD" w:rsidP="005728DD">
      <w:pPr>
        <w:pStyle w:val="TextoNormal"/>
      </w:pPr>
      <w:r>
        <w:t>b) El recurrente presentó escrito de alegaciones, facilitando la dirección del despacho profesional, así como de correo electrónico del letrado que actúa en su nombre y representación. La fase de instrucción del expediente concluyó con una propuesta de resolución del jefe de la unidad especializada de Seguridad Social de la Inspección de Trabajo y Seguridad Social de Huesca, fechada el día 15 de diciembre de 2017, en el sentido de confirmar la propuesta formulada en el acta precedente.</w:t>
      </w:r>
    </w:p>
    <w:p w:rsidR="005728DD" w:rsidRDefault="005728DD" w:rsidP="005728DD">
      <w:pPr>
        <w:pStyle w:val="TextoNormal"/>
      </w:pPr>
    </w:p>
    <w:p w:rsidR="005728DD" w:rsidRDefault="005728DD" w:rsidP="005728DD">
      <w:pPr>
        <w:pStyle w:val="TextoNormal"/>
      </w:pPr>
      <w:r>
        <w:t>c) Con fecha de 5 de febrero de 2018, la Unidad de Impugnaciones de la dirección provincial de la TGSS dictó resolución de Huesca, imponiendo al recurrente la sanción propuesta de 32 823 €.</w:t>
      </w:r>
    </w:p>
    <w:p w:rsidR="005728DD" w:rsidRDefault="005728DD" w:rsidP="005728DD">
      <w:pPr>
        <w:pStyle w:val="TextoNormal"/>
      </w:pPr>
    </w:p>
    <w:p w:rsidR="005728DD" w:rsidRDefault="005728DD" w:rsidP="005728DD">
      <w:pPr>
        <w:pStyle w:val="TextoNormal"/>
      </w:pPr>
      <w:r>
        <w:t>Dicha resolución fue notificada al interesado a través de la sede electrónica de la Seguridad Social, poniéndola a disposición del interesado el 9 de febrero de 2018, con lo que, de conformidad con el art. 43.2 de la Ley 39/2015, de 1 de octubre, de procedimiento administrativo común de las administraciones públicas (en adelante, LPACAP), la administración tuvo por efectuada la notificación con efectos desde el 21 de febrero de 2018, al haber transcurrido diez días naturales sin que el interesado hubiera accedido al contenido de la notificación.</w:t>
      </w:r>
    </w:p>
    <w:p w:rsidR="005728DD" w:rsidRDefault="005728DD" w:rsidP="005728DD">
      <w:pPr>
        <w:pStyle w:val="TextoNormal"/>
      </w:pPr>
    </w:p>
    <w:p w:rsidR="005728DD" w:rsidRDefault="005728DD" w:rsidP="005728DD">
      <w:pPr>
        <w:pStyle w:val="TextoNormal"/>
      </w:pPr>
      <w:r>
        <w:t>d) El día 16 de abril de 2018, el recurrente interpuso recurso de alzada, que fue inadmitido por extemporáneo mediante resolución de 4 de junio de 2018 de la dirección provincial de la Tesorería General de la Seguridad Social de Huesca. En esta resolución se razonaba:</w:t>
      </w:r>
    </w:p>
    <w:p w:rsidR="005728DD" w:rsidRDefault="005728DD" w:rsidP="005728DD">
      <w:pPr>
        <w:pStyle w:val="TextoNormal"/>
      </w:pPr>
    </w:p>
    <w:p w:rsidR="005728DD" w:rsidRDefault="005728DD" w:rsidP="005728DD">
      <w:pPr>
        <w:pStyle w:val="TextoNormal"/>
      </w:pPr>
      <w:r>
        <w:t xml:space="preserve">(i) La notificación de la resolución impugnada estuvo convenientemente practicada, habiéndose realizado el 21 de febrero de 2018, al haber transcurrido el plazo de diez días naturales desde su puesta a disposición del interesado en la sede electrónica de la Seguridad Social, con arreglo a la normativa aplicable (arts. 14.1, 41.1 y 43 LPACAP, el art. 2.2 de la orden ES/484/2013, de 26 de marzo, por la que se regula el sistema de remisión electrónica de datos en el ámbito de la Seguridad Social; los arts. 3, 4 y 9 de la orden ESS/485/2013, de 26 de marzo, por la que se regulan las notificaciones y comunicaciones por medios electrónicos en el ámbito de la Seguridad Social; y la resolución de 3 de enero de 2018 de la secretaría de Estado de la Seguridad Social, por la que se fija la fecha a partir de la cual se notificarán electrónicamente las resoluciones sobre la elevación a definitivas de las actas de liquidación de cuotas de la Seguridad Social, así como de las actas de liquidación conjuntas con las actas de infracción levantadas por la Inspección de Trabajo y Seguridad Social; las resoluciones sobre imposición de sanciones por infracciones en materia de Seguridad Social </w:t>
      </w:r>
      <w:r>
        <w:lastRenderedPageBreak/>
        <w:t>competencia de la Tesorería General de la Seguridad Social; y las resoluciones de las impugnaciones administrativas formuladas frente a los actos dictados por la TGSS en las materias de su competencia, salvo en materia de recursos humanos).</w:t>
      </w:r>
    </w:p>
    <w:p w:rsidR="005728DD" w:rsidRDefault="005728DD" w:rsidP="005728DD">
      <w:pPr>
        <w:pStyle w:val="TextoNormal"/>
      </w:pPr>
    </w:p>
    <w:p w:rsidR="005728DD" w:rsidRDefault="005728DD" w:rsidP="005728DD">
      <w:pPr>
        <w:pStyle w:val="TextoNormal"/>
      </w:pPr>
      <w:r>
        <w:t>(ii) El plazo para resolver los expedientes sancionadores por infracción del orden social es de seis meses, de conformidad con el apartado 3 del art. 20 del Real Decreto 928/1998, de 14 de mayo, por el que se aprueba el Reglamento general sobre procedimientos para la imposición de sanciones por infracciones de orden social y para los expedientes liquidatorios de cuotas de la Seguridad Social; y no de diez días, como sugería el recurrente en atención al apartado primero de ese mismo precepto.</w:t>
      </w:r>
    </w:p>
    <w:p w:rsidR="005728DD" w:rsidRDefault="005728DD" w:rsidP="005728DD">
      <w:pPr>
        <w:pStyle w:val="TextoNormal"/>
      </w:pPr>
    </w:p>
    <w:p w:rsidR="005728DD" w:rsidRDefault="005728DD" w:rsidP="005728DD">
      <w:pPr>
        <w:pStyle w:val="TextoNormal"/>
      </w:pPr>
      <w:r>
        <w:t>(iii) En la fecha en que se interpuso el recurso de alzada, el 16 de abril de 2018, ya había expirado el plazo de un mes, a contar desde el día siguiente a la notificación de la resolución, que, a efectos de la formulación de recurso, se prevé en el art. 23 del Real Decreto 928/1998, de 14 de mayo.</w:t>
      </w:r>
    </w:p>
    <w:p w:rsidR="005728DD" w:rsidRDefault="005728DD" w:rsidP="005728DD">
      <w:pPr>
        <w:pStyle w:val="TextoNormal"/>
      </w:pPr>
    </w:p>
    <w:p w:rsidR="005728DD" w:rsidRDefault="005728DD" w:rsidP="005728DD">
      <w:pPr>
        <w:pStyle w:val="TextoNormal"/>
      </w:pPr>
      <w:r>
        <w:t>e) Con fecha de 6 de septiembre de 2018, don Carlos José Mir Canales presentó demanda de impugnación de actos administrativos en materia laboral y de seguridad social contra la resolución precedente, que dio lugar a los autos núm. 563/2018 del Juzgado de lo Social de Huesca.</w:t>
      </w:r>
    </w:p>
    <w:p w:rsidR="005728DD" w:rsidRDefault="005728DD" w:rsidP="005728DD">
      <w:pPr>
        <w:pStyle w:val="TextoNormal"/>
      </w:pPr>
    </w:p>
    <w:p w:rsidR="005728DD" w:rsidRDefault="005728DD" w:rsidP="005728DD">
      <w:pPr>
        <w:pStyle w:val="TextoNormal"/>
      </w:pPr>
      <w:r>
        <w:t>El juzgado dictó la sentencia núm. 209/2019, de 24 de junio de 2019, estimando la demanda y dejando sin efecto la resolución impugnada, en lo que se refiere a la declaración de extemporaneidad. El órgano jurisdiccional fundamenta su decisión en el argumento según el cual, habiéndose iniciado el procedimiento administrativo sancionador con arreglo a una determinada normativa, el administrado, “por una cuestión de seguridad jurídica”, debe confiar en que el procedimiento, en cuanto a su tramitación, continuará de acuerdo con esa normativa.</w:t>
      </w:r>
    </w:p>
    <w:p w:rsidR="005728DD" w:rsidRDefault="005728DD" w:rsidP="005728DD">
      <w:pPr>
        <w:pStyle w:val="TextoNormal"/>
      </w:pPr>
    </w:p>
    <w:p w:rsidR="005728DD" w:rsidRDefault="005728DD" w:rsidP="005728DD">
      <w:pPr>
        <w:pStyle w:val="TextoNormal"/>
      </w:pPr>
      <w:r>
        <w:t>En la sentencia se presta atención a los siguientes aspectos: en primer lugar, a que el procedimiento ya había comenzado cuando entró en vigor la obligación de utilizar la sede electrónica para las notificaciones, el día 18 de enero de 2018, según se dispuso por resolución de la Secretaría de Estado de la Seguridad Social de 3 de enero de 2018, que desarrolló la previsión contenida en la orden ESS/485/2013, de 26 de marzo; en segundo, que esa circunstancia debería haber determinado la aplicación del derecho transitorio, y que, ante la ausencia de normativa específica, debía haberse acudido a la regulación general contenida en la disposición transitoria tercera LPACAP; en tercero, que en este caso, la primera notificación fue personal, efectuándose con arreglo a la normativa anterior, y que en el escrito de alegaciones del demandante, se fijó como domicilio de notificaciones el de su letrado y su correo electrónico; en cuarto, que el que entonces estuviera dado de alta en la sede electrónica de la Seguridad Social no es lo relevante, dado que hasta la fecha indicada no resultaba obligatoria la notificación por este medio; y, por último, que tampoco se envió aviso por la administración demandada a la dirección electrónica facilitada por el interesado, como previene el art. 41.6 LPACAP, cuando constaba el correo electrónico del letrado actuante, con lo que, sin perjuicio de la validez de la notificación, de haberse llevado a cabo, habría salvado la irregularidad que ha existido en la notificación realizada por sede electrónica.</w:t>
      </w:r>
    </w:p>
    <w:p w:rsidR="005728DD" w:rsidRDefault="005728DD" w:rsidP="005728DD">
      <w:pPr>
        <w:pStyle w:val="TextoNormal"/>
      </w:pPr>
    </w:p>
    <w:p w:rsidR="005728DD" w:rsidRDefault="005728DD" w:rsidP="005728DD">
      <w:pPr>
        <w:pStyle w:val="TextoNormal"/>
      </w:pPr>
      <w:r>
        <w:lastRenderedPageBreak/>
        <w:t>En definitiva, se concluye que “el demandante no fue correctamente notificado, debiendo entenderse que los plazos no deben comenzar a contar sino desde el momento en que el interesado manifiesta conocer la resolución, aunque sea de forma accidental, esto es, según la demanda, el 2 de abril de 2018, cuestión que no ha sido objeto de controversia”.</w:t>
      </w:r>
    </w:p>
    <w:p w:rsidR="005728DD" w:rsidRDefault="005728DD" w:rsidP="005728DD">
      <w:pPr>
        <w:pStyle w:val="TextoNormal"/>
      </w:pPr>
    </w:p>
    <w:p w:rsidR="005728DD" w:rsidRDefault="005728DD" w:rsidP="005728DD">
      <w:pPr>
        <w:pStyle w:val="TextoNormal"/>
      </w:pPr>
      <w:r>
        <w:t>f) Interpuesto recurso de suplicación por la dirección provincial de la TGSS, se tramitó ante la Sala de lo Social del Tribunal Superior de Justicia de Aragón con el núm. 516-2019, dictándose el 6 de noviembre de 2019, la sentencia ahora impugnada, que estima el recurso, revoca la sentencia recurrida y desestima la demanda, por entender que la resolución administrativa de fecha 4 de junio de 2018, que consideró extemporáneo el recurso de alzada, era ajustada a derecho.</w:t>
      </w:r>
    </w:p>
    <w:p w:rsidR="005728DD" w:rsidRDefault="005728DD" w:rsidP="005728DD">
      <w:pPr>
        <w:pStyle w:val="TextoNormal"/>
      </w:pPr>
    </w:p>
    <w:p w:rsidR="005728DD" w:rsidRDefault="005728DD" w:rsidP="005728DD">
      <w:pPr>
        <w:pStyle w:val="TextoNormal"/>
      </w:pPr>
      <w:r>
        <w:t>Para alcanzar este fallo, el órgano judicial razona, en primer lugar, que la resolución de 3 de enero de 2018, es un acto administrativo de carácter general, pero no una norma jurídica en sentido propio, con lo que no exige normas de derecho transitorio, limitándose a fijar la fecha en que las notificaciones de los actos administrativos de los expedientes de Seguridad Social a que se dirige, se harán por el “sistema RED” (en la sede electrónica) a los sujetos o empresas incluidos o autorizados en ese sistema; en segundo lugar, que la administración actuó conforme a derecho, notificando la actuación o acuerdo adoptado en la forma que resultaba obligatoria en esa fecha al sujeto o destinatario electrónico, que estaba autorizado en el “sistema RED” para representar al empresario en cuestión; y, por último, que habiéndose practicado la notificación debidamente, no puede considerarse vulnerado el derecho a la tutela judicial efectiva, pues el hecho de no haber conocido a tiempo la citación remitida a la sede electrónica el 9 de febrero de 2018, que se da por notificada el 21 de febrero siguiente, se produce por negligencia del demandante.</w:t>
      </w:r>
    </w:p>
    <w:p w:rsidR="005728DD" w:rsidRDefault="005728DD" w:rsidP="005728DD">
      <w:pPr>
        <w:pStyle w:val="TextoNormal"/>
      </w:pPr>
    </w:p>
    <w:p w:rsidR="005728DD" w:rsidRDefault="005728DD" w:rsidP="005728DD">
      <w:pPr>
        <w:pStyle w:val="TextoNormal"/>
      </w:pPr>
      <w:r>
        <w:t>g) Promovido por el recurrente incidente excepcional de nulidad de actuaciones, alegando la vulneración del derecho a la tutela judicial efectiva (art. 24 CE), fue desestimado por auto de 30 de diciembre de 2019, por considerar, en síntesis, que las cuestiones planteadas se habían resuelto en la sentencia, no siendo el incidente el cauce apropiado para reiterar argumentos y mostrar las discrepancias con los razonamientos del tribunal. Añade que el recurrente meramente pretende establecer unilateralmente una nueva y distinta valoración de la realizada por la Sala, “lo que no tiene encaje en el derecho fundamental a la tutela judicial efectiva que nuestra Constitución en su art. 24.1 proclama y garantiza”.</w:t>
      </w:r>
    </w:p>
    <w:p w:rsidR="005728DD" w:rsidRDefault="005728DD" w:rsidP="005728DD">
      <w:pPr>
        <w:pStyle w:val="TextoNormal"/>
      </w:pPr>
    </w:p>
    <w:p w:rsidR="005728DD" w:rsidRDefault="005728DD" w:rsidP="005728DD">
      <w:pPr>
        <w:pStyle w:val="TextoNormal"/>
      </w:pPr>
      <w:r w:rsidRPr="005728DD">
        <w:rPr>
          <w:rStyle w:val="NumeroAFNegritaCaracter"/>
        </w:rPr>
        <w:t>3</w:t>
      </w:r>
      <w:r>
        <w:t>. El demandante de amparo atribuye a la resolución de la dirección provincial de la TGSS de 4 de junio de 2018, por la que se inadmite el recurso de alzada interpuesto contra la resolución de 5 de febrero de 2018, en la que se impone al recurrente una sanción por la comisión de una infracción en materia de seguridad social, por razón de su extemporaneidad, la vulneración del derecho a la tutela judicial efectiva (art. 24.1 CE), en su vertiente de acceso a la jurisdicción. Entiende que de este modo se ha visto privado de la posibilidad de someter a la consideración de un órgano jurisdiccional sus derechos e intereses legítimos y el control de legalidad de la actuación administrativa que le pudiera afectar.</w:t>
      </w:r>
    </w:p>
    <w:p w:rsidR="005728DD" w:rsidRDefault="005728DD" w:rsidP="005728DD">
      <w:pPr>
        <w:pStyle w:val="TextoNormal"/>
      </w:pPr>
    </w:p>
    <w:p w:rsidR="005728DD" w:rsidRDefault="005728DD" w:rsidP="005728DD">
      <w:pPr>
        <w:pStyle w:val="TextoNormal"/>
      </w:pPr>
      <w:r>
        <w:t>Esta infracción se proyecta también sobre la sentencia del Tribunal Superior de Justicia de Aragón, de 6 de noviembre de 2019, y sobre el auto del mismo tribunal, de 30 de diciembre de 2019, “al no subsanar la violación de ese derecho que se consuma en la precitada resolución administrativa”.</w:t>
      </w:r>
    </w:p>
    <w:p w:rsidR="005728DD" w:rsidRDefault="005728DD" w:rsidP="005728DD">
      <w:pPr>
        <w:pStyle w:val="TextoNormal"/>
      </w:pPr>
    </w:p>
    <w:p w:rsidR="005728DD" w:rsidRDefault="005728DD" w:rsidP="005728DD">
      <w:pPr>
        <w:pStyle w:val="TextoNormal"/>
      </w:pPr>
      <w:r>
        <w:t xml:space="preserve">El recurrente hace hincapié en varias circunstancias para concluir que “ninguna interpretación de las normas procesales favorable al principio </w:t>
      </w:r>
      <w:r w:rsidRPr="005728DD">
        <w:rPr>
          <w:i/>
        </w:rPr>
        <w:t>pro actione</w:t>
      </w:r>
      <w:r>
        <w:t xml:space="preserve"> se efectúa ni por la administración ni por el órgano judicial”, entre otras razones, por las siguientes: en primer lugar, porque no se da respuesta a la objeción relativa a haberse omitido una resolución de inclusión obligatoria en el sistema de notificación electrónica, como exige la orden ESS/485/2013, de 26 de marzo; en segundo, por cuanto tampoco se valoró su alegación relativa a que la notificación no se puso a disposición del recurrente, en su condición de “obligado”, como exigiría el art. 4.1 de la orden citada; en tercero, porque “resulta lógico y razonable” que el recurrente “confiara legítimamente en que las notificaciones en el procedimiento sancionador se efectuarían de la misma forma y por el mismo sistema que se venían produciendo”, con lo que no existió la negligencia que se apreció en la sentencia impugnada; en cuarto y quinto lugar, por cuanto la administración omitió el aviso previsto en el art. 41.6 LPACAP; y porque la resolución sancionadora se dictó fuera del plazo establecido reglamentariamente, según se dispone en el art. 20.1 del Real Decreto 928/1998, de 14 de mayo, lo que resultó determinante para que fuera aplicable al procedimiento la resolución de 3 de enero de 2018; actuaciones irregulares de la administración que perjudican, no a la administración incumplidora, sino al administrado.</w:t>
      </w:r>
    </w:p>
    <w:p w:rsidR="005728DD" w:rsidRDefault="005728DD" w:rsidP="005728DD">
      <w:pPr>
        <w:pStyle w:val="TextoNormal"/>
      </w:pPr>
    </w:p>
    <w:p w:rsidR="005728DD" w:rsidRDefault="005728DD" w:rsidP="005728DD">
      <w:pPr>
        <w:pStyle w:val="TextoNormal"/>
      </w:pPr>
      <w:r>
        <w:t>Asimismo, estas últimas resoluciones habrían vulnerado el derecho a la tutela judicial efectiva del recurrente (art. 24.1 CE), en cuanto al derecho a obtener resoluciones motivadas y fundadas en derecho, porque “incurren en su motivación en falta de razonabilidad, en una aplicación arbitraria de las normas y en errores patentes a la hora de abordar los hechos litigiosos”, como la confusión entre el sistema RED con lo que es la notificación por comparecencia electrónica en la sede electrónica de la Seguridad Social, amén de cuestiones ya abordadas en el anterior punto.</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la Sala Segunda de este tribunal acordó, mediante providencia de 17 de septiembre de 2020, la admisión a trámite de la demanda de amparo, apreciando que concurre en la misma una especial trascendencia constitucional [art. 50.1 Ley Orgánica del Tribunal Constitucional (en adelante LOTC)], toda vez que el recurso plantea un problema o afecta a una faceta de derecho fundamental sobre el que no hay doctrina de este tribunal [STC 155/2009, FJ 2 a)]. En cumplimiento de lo preceptuado por el art. 51 LOTC, se dirigió atenta comunicación al Tribunal Superior de Justicia de Aragón, Sala de lo Social, así como al Juzgado de lo Social de Huesca, a fin de que remitieran las certificaciones o copias adveradas de las actuaciones correspondientes al recurso de suplicación núm. 516-2019 y al procedimiento núm. 563-2018, respectivamente; debiendo previamente emplazarse a quienes hubieran sido parte en el procedimiento, con excepción de la parte demandante, al objeto de que comparecieran, si así lo deseaban,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Con fecha de 29 de octubre de 2020 se personó en las actuaciones el letrado de la administración de la Seguridad Social en nombre y representación de la Tesorería General de la Seguridad Social.</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Por diligencia de ordenación, de 27 de noviembre de 2020, se tuvo por personado al letrado de la administración de la seguridad social, y se acordó dar vista de todas las actuaciones a las partes personadas y al Ministerio Fiscal para que pudieran presentar las alegaciones que estimaran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El recurrente presentó escrito fechado el 13 de enero de 2021 en que se ratificó íntegramente en el contenido del escrito de interposición del recurso.</w:t>
      </w:r>
    </w:p>
    <w:p w:rsidR="005728DD" w:rsidRDefault="005728DD" w:rsidP="005728DD">
      <w:pPr>
        <w:pStyle w:val="TextoNormal"/>
      </w:pPr>
    </w:p>
    <w:p w:rsidR="005728DD" w:rsidRDefault="005728DD" w:rsidP="005728DD">
      <w:pPr>
        <w:pStyle w:val="TextoNormal"/>
      </w:pPr>
      <w:r w:rsidRPr="005728DD">
        <w:rPr>
          <w:rStyle w:val="NumeroAFNegritaCaracter"/>
        </w:rPr>
        <w:t>8</w:t>
      </w:r>
      <w:r>
        <w:t>. El fiscal formuló alegaciones por escrito de 21 de enero de 2021, manifestándose favorable al amparo solicitado.</w:t>
      </w:r>
    </w:p>
    <w:p w:rsidR="005728DD" w:rsidRDefault="005728DD" w:rsidP="005728DD">
      <w:pPr>
        <w:pStyle w:val="TextoNormal"/>
      </w:pPr>
    </w:p>
    <w:p w:rsidR="005728DD" w:rsidRDefault="005728DD" w:rsidP="005728DD">
      <w:pPr>
        <w:pStyle w:val="TextoNormal"/>
      </w:pPr>
      <w:r>
        <w:t>Tras exponer los antecedentes de las resoluciones objeto del presente recurso de amparo, el fiscal delimita los derechos fundamentales cuya vulneración se denuncia, el derecho a la tutela judicial efectiva (art. 24.1 CE), en su vertiente de acceso a la jurisdicción y en relación con el derecho a una resolución motivada, en los términos ya relatados, y los fundamentos aducidos por el demandante de amparo, considerando que el recurso interpuesto se centra en determinar “la constitucionalidad de la interpretación de las normas procedimentales realizada en las resoluciones impugnadas, pues en ambos motivos se alega en esencia una incorrecta interpretación de la normativa sobre notificaciones, y además a determinar si existe un error fáctico en la motivación que dé lugar a que la sentencia no pueda estimarse fundada en Derecho”.</w:t>
      </w:r>
    </w:p>
    <w:p w:rsidR="005728DD" w:rsidRDefault="005728DD" w:rsidP="005728DD">
      <w:pPr>
        <w:pStyle w:val="TextoNormal"/>
      </w:pPr>
    </w:p>
    <w:p w:rsidR="005728DD" w:rsidRDefault="005728DD" w:rsidP="005728DD">
      <w:pPr>
        <w:pStyle w:val="TextoNormal"/>
      </w:pPr>
      <w:r>
        <w:t>A continuación, se expone la doctrina constitucional aplicable, distinguiendo entre ambas facetas del derecho a la tutela judicial efectiva, como acceso a la jurisdicción y en cuanto al derecho a una resolución motivada.</w:t>
      </w:r>
    </w:p>
    <w:p w:rsidR="005728DD" w:rsidRDefault="005728DD" w:rsidP="005728DD">
      <w:pPr>
        <w:pStyle w:val="TextoNormal"/>
      </w:pPr>
    </w:p>
    <w:p w:rsidR="005728DD" w:rsidRDefault="005728DD" w:rsidP="005728DD">
      <w:pPr>
        <w:pStyle w:val="TextoNormal"/>
      </w:pPr>
      <w:r>
        <w:t xml:space="preserve">En relación con la primera vertiente, se destaca la aplicación de los criterios que proporciona el principio </w:t>
      </w:r>
      <w:r w:rsidRPr="005728DD">
        <w:rPr>
          <w:i/>
        </w:rPr>
        <w:t>pro actione</w:t>
      </w:r>
      <w:r>
        <w:t xml:space="preserve"> como canon de constitucionalidad, según los cuales se han de excluir interpretaciones excesivamente formalistas o rigoristas (STC 80/2020, de 15 de julio, FJ 3), que en relación con la actividad de la administración, “se concreta en el derecho de los administrados a que el juez enjuicie los actos administrativos que les afectan” (STC 179/2003, de 13 de octubre, FFJJ 2 y 3). Asimismo, se hace hincapié en la doctrina de este tribunal relativa a los actos de comunicación y, en particular, a que “para adecuar su actuación al derecho a la tutela judicial efectiva, no solo se deben ejecutar correctamente los actos de comunicación procesal, sino que también procede comprobar que los mismos sirven a su propósito de garantizar que la parte pueda intervenir en el proceso” (STC 3/2000, de 17 de marzo, FJ 2). Siendo aplicables al procedimiento administrativo sancionador las garantías contenidas en el art. 24 CE, “no es constitucionalmente correcta (no es razonable), una interpretación de las normas procedimentales que coloquen a la administración, en mejor situación procesal cuando no cumple con su deber, beneficiándola de su propia irregularidad” (STC 220/2003, de 15 de diciembre, FJ 5).</w:t>
      </w:r>
    </w:p>
    <w:p w:rsidR="005728DD" w:rsidRDefault="005728DD" w:rsidP="005728DD">
      <w:pPr>
        <w:pStyle w:val="TextoNormal"/>
      </w:pPr>
    </w:p>
    <w:p w:rsidR="005728DD" w:rsidRDefault="005728DD" w:rsidP="005728DD">
      <w:pPr>
        <w:pStyle w:val="TextoNormal"/>
      </w:pPr>
      <w:r>
        <w:t xml:space="preserve">En cuando al derecho a la tutela judicial efectiva, en su proyección relacionada con el deber de motivación, se hace eco de nuestra doctrina, en virtud de la cual las resoluciones jurisdiccionales habrán de estar fundadas en Derecho, excluyendo que las decisiones se basen en una aplicación arbitraria de la legalidad, o resulten irracionales o incursas en un error </w:t>
      </w:r>
      <w:r>
        <w:lastRenderedPageBreak/>
        <w:t>patente, ya que, en ese supuesto, la aplicación de la legalidad sería tan solo mera apariencia (STC 38/2018, de 23 de abril, FJ 4).</w:t>
      </w:r>
    </w:p>
    <w:p w:rsidR="005728DD" w:rsidRDefault="005728DD" w:rsidP="005728DD">
      <w:pPr>
        <w:pStyle w:val="TextoNormal"/>
      </w:pPr>
    </w:p>
    <w:p w:rsidR="005728DD" w:rsidRDefault="005728DD" w:rsidP="005728DD">
      <w:pPr>
        <w:pStyle w:val="TextoNormal"/>
      </w:pPr>
      <w:r>
        <w:t xml:space="preserve">A juicio del fiscal, toda vez que al inadmitir el recurso de alzada por extemporaneidad se imposibilita que los órganos jurisdiccionales enjuicien el acto administrativo recurrido, con base en esa doctrina, debe entrar en juego el canon de constitucionalidad aplicable al derecho de acceso a la jurisdicción, el principio </w:t>
      </w:r>
      <w:r w:rsidRPr="005728DD">
        <w:rPr>
          <w:i/>
        </w:rPr>
        <w:t>pro actione</w:t>
      </w:r>
      <w:r>
        <w:t>, no siendo acorde con esta interpretación ni la resolución administrativa impugnada, ni las decisiones del Tribunal Superior de Justicia, por los siguientes motivos. En primer lugar, al no dar respuesta a la alegación del recurrente de que la administración había incumplido con el plazo de diez días, previsto en el art. 20.1 del reglamento general sobre procedimientos para la imposición de sanciones por infracciones de orden social y para los expedientes liquidatorios de cuotas de la Seguridad Social, y que ese retraso fue lo que dio lugar a que se le notificase electrónicamente. Considera el fiscal que “la negligencia previa de la administración, compensaría la (en caso de haberla) negligencia posterior del administrado, pues esta no se podría haber producido sin la anterior”.</w:t>
      </w:r>
    </w:p>
    <w:p w:rsidR="005728DD" w:rsidRDefault="005728DD" w:rsidP="005728DD">
      <w:pPr>
        <w:pStyle w:val="TextoNormal"/>
      </w:pPr>
    </w:p>
    <w:p w:rsidR="005728DD" w:rsidRDefault="005728DD" w:rsidP="005728DD">
      <w:pPr>
        <w:pStyle w:val="TextoNormal"/>
      </w:pPr>
      <w:r>
        <w:t>En segundo término, porque tampoco se justifica el incumplimiento de la previsión contenida en la disposición adicional única de la orden ESS/485/2013, que prevé la notificación al interesado de la resolución sobre su inclusión en el sistema de notificación electrónica en la sede electrónica de la Seguridad Social, de donde desprende que no quedó acreditado que el recurrente tuviera la obligación de acudir a dicha sede electrónica para ver si tenía notificaciones y, por consiguiente, que actuara negligentemente, y si no está obligado, el plazo para recurrir solo puede comenzar desde que se acredite que tuvo conocimiento de la resolución.</w:t>
      </w:r>
    </w:p>
    <w:p w:rsidR="005728DD" w:rsidRDefault="005728DD" w:rsidP="005728DD">
      <w:pPr>
        <w:pStyle w:val="TextoNormal"/>
      </w:pPr>
    </w:p>
    <w:p w:rsidR="005728DD" w:rsidRDefault="005728DD" w:rsidP="005728DD">
      <w:pPr>
        <w:pStyle w:val="TextoNormal"/>
      </w:pPr>
      <w:r>
        <w:t>Por otro lado, porque como se recogía en la sentencia de primera instancia, la norma de derecho transitorio contenida en la disposición transitoria tercera LPACAP sí era aplicable a la resolución de 3 de enero de 2018, toda vez que marca el inicio de la entrada en vigor de un modo de notificación que excluye los anteriores.</w:t>
      </w:r>
    </w:p>
    <w:p w:rsidR="005728DD" w:rsidRDefault="005728DD" w:rsidP="005728DD">
      <w:pPr>
        <w:pStyle w:val="TextoNormal"/>
      </w:pPr>
    </w:p>
    <w:p w:rsidR="005728DD" w:rsidRDefault="005728DD" w:rsidP="005728DD">
      <w:pPr>
        <w:pStyle w:val="TextoNormal"/>
      </w:pPr>
      <w:r>
        <w:t>En último lugar, porque el desconocimiento de la notificación no se produce por la negligencia del demandante, como concluye el Tribunal Superior de Justicia, pues el recurrente tenía la expectativa de seguir recibiendo las notificaciones de acuerdo a como se había venido haciendo, no habiendo satisfecho la administración con la obligación contenida en el art. 41.1 LPACAP, de enviar un aviso al dispositivo electrónico o dirección de correo electrónico del interesado, que habría dado lugar a que se le imputase con fundamento la negligencia que se le asigna.</w:t>
      </w:r>
    </w:p>
    <w:p w:rsidR="005728DD" w:rsidRDefault="005728DD" w:rsidP="005728DD">
      <w:pPr>
        <w:pStyle w:val="TextoNormal"/>
      </w:pPr>
    </w:p>
    <w:p w:rsidR="005728DD" w:rsidRDefault="005728DD" w:rsidP="005728DD">
      <w:pPr>
        <w:pStyle w:val="TextoNormal"/>
      </w:pPr>
      <w:r>
        <w:t>Por lo que se refiere a la vulneración del derecho a la tutela judicial efectiva (art. 24.1 CE), en su faceta de derecho a obtener una resolución fundada en derecho, el fiscal reconoce el error conceptual en que se incurre por el Tribunal Superior de Justicia al confundir la notificación a través del sistema Red, y el hecho de que no se hubiera abierto el correo electrónico, y la puesta a disposición del mensaje en la sede electrónica de la Seguridad Social, pero lo considera irrelevante, toda vez que la decisión adoptada no se basa en la utilización de uno u otro sistema, sino en una interpretación de la normativa aplicada que le lleva a concluir que la notificación fue realizada correctamente y el recurrente no accedió a ella por negligencia en el plazo conferido por la norma.</w:t>
      </w:r>
    </w:p>
    <w:p w:rsidR="005728DD" w:rsidRDefault="005728DD" w:rsidP="005728DD">
      <w:pPr>
        <w:pStyle w:val="TextoNormal"/>
      </w:pPr>
    </w:p>
    <w:p w:rsidR="005728DD" w:rsidRDefault="005728DD" w:rsidP="005728DD">
      <w:pPr>
        <w:pStyle w:val="TextoNormal"/>
      </w:pPr>
      <w:r>
        <w:t>Como efectos de la estimación del recurso, el fiscal aboga por declarar la nulidad de la sentencia y el auto dictados por el Tribunal Superior de Justicia de Aragón, quedando firme la sentencia del Juzgado de lo Social, que dejó sin efecto la resolución de la Dirección General de la TGSS de 4 de junio de 2018.</w:t>
      </w:r>
    </w:p>
    <w:p w:rsidR="005728DD" w:rsidRDefault="005728DD" w:rsidP="005728DD">
      <w:pPr>
        <w:pStyle w:val="TextoNormal"/>
      </w:pPr>
    </w:p>
    <w:p w:rsidR="005728DD" w:rsidRDefault="005728DD" w:rsidP="005728DD">
      <w:pPr>
        <w:pStyle w:val="TextoNormal"/>
      </w:pPr>
      <w:r w:rsidRPr="005728DD">
        <w:rPr>
          <w:rStyle w:val="NumeroAFNegritaCaracter"/>
        </w:rPr>
        <w:t>9</w:t>
      </w:r>
      <w:r>
        <w:t>. Por el letrado de la administración de la Seguridad Social se presentan alegaciones, con fecha 4 de febrero de 2021, solicitando la inadmisión y, subsidiariamente, la desestimación del recurso interpuesto.</w:t>
      </w:r>
    </w:p>
    <w:p w:rsidR="005728DD" w:rsidRDefault="005728DD" w:rsidP="005728DD">
      <w:pPr>
        <w:pStyle w:val="TextoNormal"/>
      </w:pPr>
    </w:p>
    <w:p w:rsidR="005728DD" w:rsidRDefault="005728DD" w:rsidP="005728DD">
      <w:pPr>
        <w:pStyle w:val="TextoNormal"/>
      </w:pPr>
      <w:r>
        <w:t xml:space="preserve">Considera, en primer lugar, que la demanda incurre en un óbice procesal consistente en la falta de agotamiento de la vía judicial ordinaria, ya que frente a la sentencia del Tribunal Superior de Justicia de Aragón, de 6 de noviembre de 2019, cabía interponer recurso de casación para la unificación de doctrina, </w:t>
      </w:r>
      <w:r w:rsidRPr="005728DD">
        <w:rPr>
          <w:i/>
        </w:rPr>
        <w:t>ex</w:t>
      </w:r>
      <w:r>
        <w:t xml:space="preserve"> art. 218 de la Ley 36/2011, de 10 de octubre, reguladora de la jurisdicción social.</w:t>
      </w:r>
    </w:p>
    <w:p w:rsidR="005728DD" w:rsidRDefault="005728DD" w:rsidP="005728DD">
      <w:pPr>
        <w:pStyle w:val="TextoNormal"/>
      </w:pPr>
    </w:p>
    <w:p w:rsidR="005728DD" w:rsidRDefault="005728DD" w:rsidP="005728DD">
      <w:pPr>
        <w:pStyle w:val="TextoNormal"/>
      </w:pPr>
      <w:r>
        <w:t>Por lo que se refiere a la vulneración del derecho a la tutela judicial efectiva, en su vertiente de derecho de acceso a la jurisdicción, se afirma que lo actuado en vía administrativa por la dirección provincial de la TGSS, en su resolución de 4 de junio de 2018, resultaba plenamente ajustado a derecho, sin que se desprenda ninguna vulneración del derecho a la tutela judicial efectiva, puesto que se limitó a aplicar lo dispuesto en la orden ESS/485/2013, de 26 de marzo, y la determinación de la fecha a partir de la cual se habrían de notificar electrónicamente determinadas actuaciones, incluida la practicada en la presente causa, en virtud de la resolución de 3 de enero de 2018. Asimismo se niega relevancia a otras alegaciones del recurrente, como la de que la aplicación de lo previsto en esa resolución al presente caso fuera consecuencia del incumplimiento del plazo de diez días establecido reglamentariamente, “lo que no es más que un reconocimiento implícito y en contra de todo lo alegado en la demanda de amparo, de la obligatoriedad y eficacia de tal resolución”; o que esa circunstancia supusiera una infracción del derecho de acceso a la jurisdicción, pues ningún obstáculo supuso para la sustanciación del procedimiento ante el Juzgado de lo Social de Huesca. Concluye el letrado que “se acude al recurso de amparo para reproducir las pretensiones ejercitadas, y oportunamente resueltas —aunque no satisfechas— en la vía ordinaria, como si de una tercera instancia se tratara, bajo la apariencia de vulneración del citado derecho fundamental que en modo alguno se produce en este caso”.</w:t>
      </w:r>
    </w:p>
    <w:p w:rsidR="005728DD" w:rsidRDefault="005728DD" w:rsidP="005728DD">
      <w:pPr>
        <w:pStyle w:val="TextoNormal"/>
      </w:pPr>
    </w:p>
    <w:p w:rsidR="005728DD" w:rsidRDefault="005728DD" w:rsidP="005728DD">
      <w:pPr>
        <w:pStyle w:val="TextoNormal"/>
      </w:pPr>
      <w:r>
        <w:t>En cuanto a la infracción del derecho a la tutela judicial efectiva, en su vertiente a obtener una resolución fundada en derecho, el letrado sostiene que no concurre ninguno de los motivos de falta de razonabilidad en la aplicación de la ley, en consonancia con lo expuesto en el auto de 30 de diciembre de 2019, en cuanto a que, “en ningún caso”, el derecho invocado comprende “un hipotético derecho a obtener una resolución que resuelva en un determinado sentido la cuestión de fondo planteada, resultando perfectamente compatible con aquel el que, mediante resolución debidamente motivada y conforme a los presupuestos jurídicos procesales de aplicación, se acuerde la desestimación de la pretensión ejercitada”.</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11 de marzo de 2021 se señaló para la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posiciones de las partes</w:t>
      </w:r>
      <w:r>
        <w:t>.</w:t>
      </w:r>
    </w:p>
    <w:p w:rsidR="005728DD" w:rsidRDefault="005728DD" w:rsidP="005728DD">
      <w:pPr>
        <w:pStyle w:val="TextoNormal"/>
      </w:pPr>
    </w:p>
    <w:p w:rsidR="005728DD" w:rsidRDefault="005728DD" w:rsidP="005728DD">
      <w:pPr>
        <w:pStyle w:val="TextoNormal"/>
      </w:pPr>
      <w:r>
        <w:t>El presente recurso de amparo tiene por objeto la resolución de la dirección provincial de la Tesorería General de la Seguridad Social de Huesca, de 4 de junio de 2018; así como la sentencia, de 6 de noviembre del 2019, dictada por la Sala de lo Social del Tribunal Superior de Justicia de Aragón, estimatoria del recurso de suplicación interpuesto por la administración, y contra el auto del mismo tribunal, de fecha 30 de diciembre de 2019, por el que se desestima el incidente excepcional de nulidad de actuaciones planteado. A ambas resoluciones les atribuye la vulneración del derecho a la tutela judicial efectiva (art. 24.1 CE), en su vertiente de acceso a la jurisdicción, y en relación con las resoluciones jurisdiccionales, también en cuanto a su faceta como el derecho a una resolución motivada y fundada en Derecho (razonable).</w:t>
      </w:r>
    </w:p>
    <w:p w:rsidR="005728DD" w:rsidRDefault="005728DD" w:rsidP="005728DD">
      <w:pPr>
        <w:pStyle w:val="TextoNormal"/>
      </w:pPr>
    </w:p>
    <w:p w:rsidR="005728DD" w:rsidRDefault="005728DD" w:rsidP="005728DD">
      <w:pPr>
        <w:pStyle w:val="TextoNormal"/>
      </w:pPr>
      <w:r>
        <w:t>Las circunstancias determinantes de la resolución desestimatoria de las pretensiones del ahora recurrente por razón de su extemporaneidad consistieron en el transcurso del plazo legalmente previsto, de diez días naturales (art. 43.2 de la Ley 39/2015), de puesta a disposición del interesado de la resolución de la unidad de impugnaciones de la DPTGSS de Huesca en la sede electrónica de la Seguridad Social, lo que constituía un medio de notificación correcto y ajustado a derecho, al que estaba obligado el demandante de amparo, dada la vigencia de la previsión contenida en la Orden ESS/485/2013, de 26 de marzo, por la que se regulan las notificaciones y comunicaciones por medios electrónicos en el ámbito de la Seguridad Social, tras la resolución de la secretaría de Estado de la Seguridad Social, de 3 de enero de 2018.</w:t>
      </w:r>
    </w:p>
    <w:p w:rsidR="005728DD" w:rsidRDefault="005728DD" w:rsidP="005728DD">
      <w:pPr>
        <w:pStyle w:val="TextoNormal"/>
      </w:pPr>
    </w:p>
    <w:p w:rsidR="005728DD" w:rsidRDefault="005728DD" w:rsidP="005728DD">
      <w:pPr>
        <w:pStyle w:val="TextoNormal"/>
      </w:pPr>
      <w:r>
        <w:t xml:space="preserve">Para el recurrente, tanto la administración como el Tribunal Superior de Justicia de Aragón, infringieron el derecho de acceso a la jurisdicción (art. 24.1 CE), pues obviaron los criterios que se desprenden del principio </w:t>
      </w:r>
      <w:r w:rsidRPr="005728DD">
        <w:rPr>
          <w:i/>
        </w:rPr>
        <w:t>pro actione</w:t>
      </w:r>
      <w:r>
        <w:t xml:space="preserve"> en la interpretación de las normas aplicables, impidiendo el control judicial de la actividad de la administración; además de que por el órgano jurisdiccional se habría incurrido en falta de razonabilidad, en una aplicación arbitraria de las normas y en errores patentes (art. 24.1 CE).</w:t>
      </w:r>
    </w:p>
    <w:p w:rsidR="005728DD" w:rsidRDefault="005728DD" w:rsidP="005728DD">
      <w:pPr>
        <w:pStyle w:val="TextoNormal"/>
      </w:pPr>
    </w:p>
    <w:p w:rsidR="005728DD" w:rsidRDefault="005728DD" w:rsidP="005728DD">
      <w:pPr>
        <w:pStyle w:val="TextoNormal"/>
      </w:pPr>
      <w:r>
        <w:t>El Ministerio Fiscal comparte buena parte de los argumentos expuestos por el demandante de amparo, manifestándose favorable a la estimación del recurso. Pone de relieve diversas irregularidades administrativas obviadas por la propia administración y el Tribunal Superior de Justicia que cuestionan que el recurrente hubiera actuado negligentemente en el planteamiento de su recurso, invocando en favor de la tesis estimatoria la doctrina de este tribunal, según la cual no es constitucionalmente correcta una interpretación de las normas procedimentales que permitan a la administración beneficiarse procesalmente cuando no cumple con su deber.</w:t>
      </w:r>
    </w:p>
    <w:p w:rsidR="005728DD" w:rsidRDefault="005728DD" w:rsidP="005728DD">
      <w:pPr>
        <w:pStyle w:val="TextoNormal"/>
      </w:pPr>
    </w:p>
    <w:p w:rsidR="005728DD" w:rsidRDefault="005728DD" w:rsidP="005728DD">
      <w:pPr>
        <w:pStyle w:val="TextoNormal"/>
      </w:pPr>
      <w:r>
        <w:t>Para el letrado de la administración de la Seguridad Social resulta procedente la inadmisión del recurso, por falta de agotamiento de la vía judicial ordinaria, y, subsidiariamente, la desestimación del recurso interpuesto, pues la resolución de la DPTGAA impugnada es ajustada a derecho.</w:t>
      </w:r>
    </w:p>
    <w:p w:rsidR="005728DD" w:rsidRDefault="005728DD" w:rsidP="005728DD">
      <w:pPr>
        <w:pStyle w:val="TextoNormal"/>
      </w:pPr>
    </w:p>
    <w:p w:rsidR="005728DD" w:rsidRDefault="005728DD" w:rsidP="005728DD">
      <w:pPr>
        <w:pStyle w:val="TextoNormal"/>
      </w:pPr>
      <w:r>
        <w:lastRenderedPageBreak/>
        <w:t xml:space="preserve">A tenor de todo lo anterior, para este tribunal la cuestión central del presente recurso consiste en determinar si las resoluciones impugnadas efectuaron una interpretación de las normas aplicables a las notificaciones acorde con los postulados constitucionales, en particular, en orden a garantizar el pleno respecto del derecho a la tutela judicial efectiva del recurrente </w:t>
      </w:r>
      <w:r w:rsidRPr="005728DD">
        <w:rPr>
          <w:i/>
        </w:rPr>
        <w:t>ex</w:t>
      </w:r>
      <w:r>
        <w:t xml:space="preserve"> art. 24.1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falta de agotamiento de la vía judicial ordinaria</w:t>
      </w:r>
      <w:r>
        <w:t>.</w:t>
      </w:r>
    </w:p>
    <w:p w:rsidR="005728DD" w:rsidRDefault="005728DD" w:rsidP="005728DD">
      <w:pPr>
        <w:pStyle w:val="TextoNormal"/>
      </w:pPr>
    </w:p>
    <w:p w:rsidR="005728DD" w:rsidRDefault="005728DD" w:rsidP="005728DD">
      <w:pPr>
        <w:pStyle w:val="TextoNormal"/>
      </w:pPr>
      <w:r>
        <w:t xml:space="preserve">Por su carácter obstativo del examen de la cuestión de fondo, este tribunal debe abordar con carácter previo la concurrencia del óbice procesal aducido por el letrado de la administración de la seguridad social, consistente en la falta de agotamiento de la vía judicial ordinaria [art. 50.1 a), en relación con los arts. 43.1 y 44.1 a) LOTC], que tiene por finalidad la salvaguarda del carácter subsidiario del recurso de amparo, impidiendo que el acceso a esta jurisdicción constitucional se produzca </w:t>
      </w:r>
      <w:r w:rsidRPr="005728DD">
        <w:rPr>
          <w:i/>
        </w:rPr>
        <w:t>per saltum</w:t>
      </w:r>
      <w:r>
        <w:t>, es decir, sin brindar a los órganos judiciales la oportunidad de pronunciarse y, en su caso, remediar la lesión después invocada ante este tribunal (por todas, SSTC 59/2007, de 26 de marzo, FJ 2, y 228/2007, de 5 de noviembre).</w:t>
      </w:r>
    </w:p>
    <w:p w:rsidR="005728DD" w:rsidRDefault="005728DD" w:rsidP="005728DD">
      <w:pPr>
        <w:pStyle w:val="TextoNormal"/>
      </w:pPr>
    </w:p>
    <w:p w:rsidR="005728DD" w:rsidRDefault="005728DD" w:rsidP="005728DD">
      <w:pPr>
        <w:pStyle w:val="TextoNormal"/>
      </w:pPr>
      <w:r>
        <w:t>No impide este análisis que la demanda de amparo haya sido previamente admitida a trámite, ya que, como se ha reiterado por este tribunal, cabe examinar, incluso de oficio, la concurrencia de los presupuestos de viabilidad del amparo en fase de sentencia y, en caso de comprobar su incumplimiento, dictar un pronunciamiento de inadmisión del recurso o del motivo del recurso afectado por tal inobservancia (por todas, STC 41/2009, de 9 de febrero, FJ 2).</w:t>
      </w:r>
    </w:p>
    <w:p w:rsidR="005728DD" w:rsidRDefault="005728DD" w:rsidP="005728DD">
      <w:pPr>
        <w:pStyle w:val="TextoNormal"/>
      </w:pPr>
    </w:p>
    <w:p w:rsidR="005728DD" w:rsidRDefault="005728DD" w:rsidP="005728DD">
      <w:pPr>
        <w:pStyle w:val="TextoNormal"/>
      </w:pPr>
      <w:r>
        <w:t>La causa de inadmisión de la demanda de amparo por falta de agotamiento de la vía judicial ordinaria se basa en que, según el letrado de la administración de la Seguridad Social, frente a la sentencia de 6 de noviembre de 2019, dictada por la Sala de lo Social del Tribunal Superior de Justicia de Aragón, cabía la interposición de un recurso de casación para la unificación de doctrina, de acuerdo con lo prescrito en el art. 218 de la Ley reguladora de la jurisdicción social.</w:t>
      </w:r>
    </w:p>
    <w:p w:rsidR="005728DD" w:rsidRDefault="005728DD" w:rsidP="005728DD">
      <w:pPr>
        <w:pStyle w:val="TextoNormal"/>
      </w:pPr>
    </w:p>
    <w:p w:rsidR="005728DD" w:rsidRDefault="005728DD" w:rsidP="005728DD">
      <w:pPr>
        <w:pStyle w:val="TextoNormal"/>
      </w:pPr>
      <w:r>
        <w:t>En verdad, este tribunal no cuestiona esa posibilidad legal, pues formalmente las sentencias dictadas en suplicación por las Sala de lo Social de los Tribunales Superiores de Justicia son recurribles en casación para la unificación de doctrina ante la Sala de lo Social del Tribunal Supremo. Cuestión diferente es si esa vía impugnativa resultaba viable en las circunstancias particulares del caso.</w:t>
      </w:r>
    </w:p>
    <w:p w:rsidR="005728DD" w:rsidRDefault="005728DD" w:rsidP="005728DD">
      <w:pPr>
        <w:pStyle w:val="TextoNormal"/>
      </w:pPr>
    </w:p>
    <w:p w:rsidR="005728DD" w:rsidRDefault="005728DD" w:rsidP="005728DD">
      <w:pPr>
        <w:pStyle w:val="TextoNormal"/>
      </w:pPr>
      <w:r>
        <w:t xml:space="preserve">En este punto, conviene recordar la doctrina de este tribunal relativa, precisamente, al recurso de casación para la unificación de doctrina, según la cual, tal medio de impugnación “debe considerarse no sólo extraordinario sino excepcional, ‘y esa especial naturaleza determina que no sea preceptiva siempre su interposición para dar por agotada la vía judicial ordinaria, sino sólo en aquellos supuestos en los que, por existir doctrina jurisprudencial contradictoria, a la Sala de lo Social del Tribunal Supremo deba darse la posibilidad [determinante en general de esta exigencia del art. 44.1 a) LOTC] de reparar la lesión del derecho fundamental que se entiende vulnerado, salvando así la subsidiariedad del amparo. Pero no será exigible de modo general, dado el concreto alcance de aquel recurso de casación, que consiste en la unificación jurisprudencial a través de la armonización de contradicciones </w:t>
      </w:r>
      <w:r>
        <w:lastRenderedPageBreak/>
        <w:t>preexistentes en sentencias dictadas en suplicación’ (STC 332/1994, fundamento jurídico 2; en el mismo sentido, entre otras, SSTC 94/1998, fundamento jurídico 2 y 183/1998, fundamento jurídico 2)” (STC 5/1999, de 8 de febrero, FJ 1). Además de que “[c]omo se ha reiteradamente afirmado, ‘no basta con alegar la abstracta procedencia del recurso de casación para la unificación de doctrina’, sino que ‘corresponde a la parte que pretende hacer valer su no interposición, como motivo de la inadmisiblidad de la demanda, acreditar la posibilidad de recurrir en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(STC 210/1994, fundamento jurídico 2; en el mismo sentido STC 183/1998, fundamento jurídico 2)” (ibidem, también la STC 107/2000, de 5 de mayo, FJ 2).</w:t>
      </w:r>
    </w:p>
    <w:p w:rsidR="005728DD" w:rsidRDefault="005728DD" w:rsidP="005728DD">
      <w:pPr>
        <w:pStyle w:val="TextoNormal"/>
      </w:pPr>
    </w:p>
    <w:p w:rsidR="005728DD" w:rsidRDefault="005728DD" w:rsidP="005728DD">
      <w:pPr>
        <w:pStyle w:val="TextoNormal"/>
      </w:pPr>
      <w:r>
        <w:t>En las presentes actuaciones, la duda acerca de la viabilidad de ese recurso que plantea el recurrente no es despejada por el letrado en sus alegaciones, donde, meramente, se trae a colación un pronunciamiento de este tribunal (el ATC 65/2018, de 18 de junio), en que para considerar agotada la vía judicial ordinaria en el orden contencioso-administrativo, se exigió la interposición del recurso de casación, sin que se acredite el paralelismo entre la situación existente en esas actuaciones y la presente.</w:t>
      </w:r>
    </w:p>
    <w:p w:rsidR="005728DD" w:rsidRDefault="005728DD" w:rsidP="005728DD">
      <w:pPr>
        <w:pStyle w:val="TextoNormal"/>
      </w:pPr>
    </w:p>
    <w:p w:rsidR="005728DD" w:rsidRDefault="005728DD" w:rsidP="005728DD">
      <w:pPr>
        <w:pStyle w:val="TextoNormal"/>
      </w:pPr>
      <w:r>
        <w:t>Se rechaza, pues, la causa de inadmisión de la demanda alegada.</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sobre el derecho a la tutela judicial efectiva y las notificaciones</w:t>
      </w:r>
      <w:r>
        <w:t>.</w:t>
      </w:r>
    </w:p>
    <w:p w:rsidR="005728DD" w:rsidRDefault="005728DD" w:rsidP="005728DD">
      <w:pPr>
        <w:pStyle w:val="TextoNormal"/>
      </w:pPr>
    </w:p>
    <w:p w:rsidR="005728DD" w:rsidRDefault="005728DD" w:rsidP="005728DD">
      <w:pPr>
        <w:pStyle w:val="TextoNormal"/>
      </w:pPr>
      <w:r>
        <w:t xml:space="preserve">En lo que se refiere al derecho a la tutela judicial efectiva (art. 24.1 CE), en su vertiente de derecho de acceso a la jurisdicción y la aplicación del principio </w:t>
      </w:r>
      <w:r w:rsidRPr="005728DD">
        <w:rPr>
          <w:i/>
        </w:rPr>
        <w:t>pro actione</w:t>
      </w:r>
      <w:r>
        <w:t xml:space="preserve">, el tribunal mantiene, “que, dada la trascendencia que para la tutela judicial tienen las decisiones de denegación de acceso a la jurisdicción, su control constitucional ha de verificarse de forma especialmente intensa, a través de los criterios que proporciona el principio </w:t>
      </w:r>
      <w:r w:rsidRPr="005728DD">
        <w:rPr>
          <w:i/>
        </w:rPr>
        <w:t>pro actione</w:t>
      </w:r>
      <w:r>
        <w:t>,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ratio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(STC 141/2020, de 19 de octubre, FJ 3).</w:t>
      </w:r>
    </w:p>
    <w:p w:rsidR="005728DD" w:rsidRDefault="005728DD" w:rsidP="005728DD">
      <w:pPr>
        <w:pStyle w:val="TextoNormal"/>
      </w:pPr>
    </w:p>
    <w:p w:rsidR="005728DD" w:rsidRDefault="005728DD" w:rsidP="005728DD">
      <w:pPr>
        <w:pStyle w:val="TextoNormal"/>
      </w:pPr>
      <w:r>
        <w:t xml:space="preserve">Así como, en cuanto a la proyección de este derecho sobre el control de los actos de la administración, se ha declarado que “[t]al y como ha resaltado nuestra jurisprudencia, cuando el derecho a la tutela judicial efectiva es instado en defensa de los derechos e intereses legítimos de los ciudadanos frente a los actos de la administración, integra más específicamente el ‘derecho de los administrados a que el Juez enjuicie los actos administrativos que les afectan (art. 24.1 CE), controlando la legalidad de la actuación administrativa (art. </w:t>
      </w:r>
      <w:r>
        <w:lastRenderedPageBreak/>
        <w:t>106.1 CE), esto es, su sometimiento pleno a la ley y al Derecho (art. 103.1 CE)’; lo cual ‘constituye la culminación del sistema de derechos y garantías característico del Estado de Derecho’ (SSTC 294/1994, de 7 de noviembre, FJ 3; 76/1996, de 30 de abril, FJ 7; 179/2003, de 13 de octubre, FJ 3; 312/2006, de 8 de noviembre, FJ 4). Como ha afirmado la sentencia 103/1996, de 11 de junio, FJ 7, la prescripción constitucional de que los ‘tribunales controlan la potestad reglamentaria y la legalidad de la actuación administrativa, así como el sometimiento de ésta a los fines que la justifican’ (art. 106.1 CE) es la ‘auténtica cláusula regia del Estado de Derecho’. Todo lo cual es de especial relevancia cuando se trata de un proceso judicial donde se controla el ejercicio por una administración de la potestad sancionatoria sobre un ciudadano (SSTC 77/1983, de 3 de octubre, FJ 3, y 2/2003, de 16 de enero, FJ 8)” [STC 52/2014, de 10 de abril, FJ 2].</w:t>
      </w:r>
    </w:p>
    <w:p w:rsidR="005728DD" w:rsidRDefault="005728DD" w:rsidP="005728DD">
      <w:pPr>
        <w:pStyle w:val="TextoNormal"/>
      </w:pPr>
    </w:p>
    <w:p w:rsidR="005728DD" w:rsidRDefault="005728DD" w:rsidP="005728DD">
      <w:pPr>
        <w:pStyle w:val="TextoNormal"/>
      </w:pPr>
      <w:r>
        <w:t xml:space="preserve">En relación con esto último, conviene recordar nuestra posición, en virtud de la cual, las garantías contenidas en el art. 24 CE son de aplicación al procedimiento administrativo sancionador (por todas, véase las SSTC 9/2018, de 5 de febrero, FJ 2, o la 54/2015, de 16 de marzo, FJ 7). Es más, existe una consolidada doctrina sobre el deber de notificar correctamente a los ciudadanos sometidos al ejercicio del </w:t>
      </w:r>
      <w:r w:rsidRPr="005728DD">
        <w:rPr>
          <w:i/>
        </w:rPr>
        <w:t>ius puniendi</w:t>
      </w:r>
      <w:r>
        <w:t xml:space="preserve"> del Estado, los actos esenciales de desarrollo de un procedimiento administrativo sancionador, que se vincula con el derecho a un proceso con todas las garantías (art. 24.2 CE). De este modo, puede afirmarse que cuando en procedimientos administrativos sancionadores se producen emplazamientos defectuosos que impiden la participación del interesado, nuestra doctrina es clara a la hora de considerar vulnerado el derecho a conocer la acusación y la defensa (SSTC 93/2018, de 17 de septiembre y 82/2019, de 17 de junio, entre otras). Por su parte, cuando el defecto de notificación se produce, por ejemplo, por omisión de dar traslado de la propuesta de resolución, también se ha considerado vulnerado el derecho de defensa (art. 24.2 CE) (así, por ejemplo, SSTC 145/2011, de 26 de septiembre, o 169/2012, de 1 de octubre).</w:t>
      </w:r>
    </w:p>
    <w:p w:rsidR="005728DD" w:rsidRDefault="005728DD" w:rsidP="005728DD">
      <w:pPr>
        <w:pStyle w:val="TextoNormal"/>
      </w:pPr>
    </w:p>
    <w:p w:rsidR="005728DD" w:rsidRDefault="005728DD" w:rsidP="005728DD">
      <w:pPr>
        <w:pStyle w:val="TextoNormal"/>
      </w:pPr>
      <w:r>
        <w:t>Por otro lado, con respecto a la vinculación entre los actos de comunicación, si bien procesal, y el derecho a la tutela judicial efectiva, en su vertiente de derecho de acceso a la jurisdicción también se dispone de una consolidad doctrina constitucional, según la cual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derecho de defensa (entre otras muchas, SSTC 115/1988, de 10 de junio, FJ 1; 195/1990, de 29 de noviembre, FJ 3; 326/1993, de 8 de noviembre, FJ 3; 77/1997, de 21 de abril, FJ 2; 219/1999, de 29 de noviembre, FJ 2; 128/2000, de 16 de mayo, FJ 5; 61/2010, de 18 de octubre, FJ 2; 30/2014, de 24 de febrero, FJ 3, y 169/2014, de 22 de octubre )” (STC 32/2019, de 28 de febrero, FJ 4). Y que “recae sobre el órgano judicial no sólo el deber de velar por la correcta ejecución de los actos de comunicación procesal, sino también el de asegurarse que dichos actos sirven a su propósito de garantizar que la parte sea oída en el proceso” (STC 30/2014, de 24 de febrero, FJ 3).</w:t>
      </w:r>
    </w:p>
    <w:p w:rsidR="005728DD" w:rsidRDefault="005728DD" w:rsidP="005728DD">
      <w:pPr>
        <w:pStyle w:val="TextoNormal"/>
      </w:pPr>
    </w:p>
    <w:p w:rsidR="005728DD" w:rsidRDefault="005728DD" w:rsidP="005728DD">
      <w:pPr>
        <w:pStyle w:val="TextoNormal"/>
      </w:pPr>
      <w:r>
        <w:t xml:space="preserve">Respecto al rechazo de los beneficios que la administración pudiera obtener de su comportamiento irregular, también constituye doctrina asentada de este tribunal que “no puede calificarse de razonable una interpretación que prime los defectos en la actuación de la administración, colocándola en mejor situación que si hubiera cumplido su deber de notificar con todos los requisitos legales (SSTC 204/1987, de 21 de diciembre, FJ 4, y 193/1992, de </w:t>
      </w:r>
      <w:r>
        <w:lastRenderedPageBreak/>
        <w:t>16 de noviembre, FJ 4) y perjudicando paralelamente al particular afectado por el acto administrativo” [STC 112/2019, de 3 de octubre, FJ 4 b)].</w:t>
      </w:r>
    </w:p>
    <w:p w:rsidR="005728DD" w:rsidRDefault="005728DD" w:rsidP="005728DD">
      <w:pPr>
        <w:pStyle w:val="TextoNormal"/>
      </w:pPr>
    </w:p>
    <w:p w:rsidR="005728DD" w:rsidRDefault="005728DD" w:rsidP="005728DD">
      <w:pPr>
        <w:pStyle w:val="TextoNormal"/>
      </w:pPr>
      <w:r>
        <w:t>Para finalizar, no se puede soslayar nuestra postura respecto del derecho a la tutela judicial efectiva, en su vertiente de derecho a la motivación de las resoluciones, que, si bien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irrazonada o irrazonable, incursa en un error patente o en una evidente contradicción entre los fundamentos jurídicos, o entre éstos y el fallo, ya que, en tal caso, la aplicación de la legalidad sería tan sólo una mera apariencia. Esto es, que no puede considerarse cumplida esta exigencia de fundamentación jurídica con la mera emisión de una declaración de voluntad en un sentido u otro, sino que la decisión adoptada debe ser consecuencia de una exégesis racional del ordenamiento y no fruto de la arbitrariedad. No basta, pues, con una apariencia de motivación; además es preciso que la misma tenga contenido jurídico y no resulte arbitraria, de tal modo que una resolución judicial podrá tacharse de arbitraria cuando, aun constatada la existencia formal de una argumentación, la misma no sea expresión de la administración de justicia, sino simple apariencia de la misma, por ser fruto de un mero voluntarismo judicial o de un proceso deductivo irracional o absurdo (entre otras, recogiendo reiterada doctrina, SSTC 64/2010, de 18 de octubre, FJ 3; 263/2015, de 14 de diciembre, FJ 3; 16/2016, de 1 de febrero, FJ 5, y 198/2016, de 28 de noviembre, FJ 5)” (STC 38/2018, de 23 de abril, FJ 4). A ello debe añadirse que “el artículo 24 CE no solo comporta para el justiciable la garantía de obtener una resolución fundada en Derecho, sino que, correlativamente, impone a los jueces, en el ejercicio de su potestad jurisdiccional, el sometimiento al imperio de la ley (SSTC 173/2002, de 9 de octubre, FJ 8, y 66/2011, de 16 de mayo, FJ 5), al ser esta última la expresión de la voluntad popular y un principio básico de todo sistema democrático (por todas, SSTC 120/2000, de 10 de mayo, FJ 3; 173/2002, de 9 de octubre, FJ 9, y 1/2017, de 16 de enero, FJ 3). En efecto, siendo la primacía de la ley (art. 117.1 CE) un factor determinante del legítimo ejercicio de la función jurisdiccional (STC 22/1994, de 27 de enero, FJ 2), una de las garantías consustanciales a todo proceso judicial es, precisamente, que la ley aplicable al caso no pueda ser, en ningún supuesto, inaplicada o preterida, sin el previo planteamiento de una cuestión de inconstitucionalidad mediante una resolución motivada ante este tribunal (art. 163 CE) y con la audiencia previa que prescribe el artículo 35 LOTC (SSTC 73/2000, de 14 de marzo, FJ 16, y 66/2011, FJ 6, entre tantas otras)” (</w:t>
      </w:r>
      <w:r w:rsidRPr="005728DD">
        <w:rPr>
          <w:i/>
        </w:rPr>
        <w:t>ibidem</w:t>
      </w:r>
      <w:r>
        <w:t>).</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constitucional al presente caso</w:t>
      </w:r>
      <w:r>
        <w:t>.</w:t>
      </w:r>
    </w:p>
    <w:p w:rsidR="005728DD" w:rsidRDefault="005728DD" w:rsidP="005728DD">
      <w:pPr>
        <w:pStyle w:val="TextoNormal"/>
      </w:pPr>
    </w:p>
    <w:p w:rsidR="005728DD" w:rsidRDefault="005728DD" w:rsidP="005728DD">
      <w:pPr>
        <w:pStyle w:val="TextoNormal"/>
      </w:pPr>
      <w:r>
        <w:t>La aplicación de la doctrina constitucional sobre la necesidad de proceder a una correcta comunicación de los actos administrativos y procesales como garantía de una efectiva tutela, conduce a la estimación de la demanda de amparo.</w:t>
      </w:r>
    </w:p>
    <w:p w:rsidR="005728DD" w:rsidRDefault="005728DD" w:rsidP="005728DD">
      <w:pPr>
        <w:pStyle w:val="TextoNormal"/>
      </w:pPr>
    </w:p>
    <w:p w:rsidR="005728DD" w:rsidRDefault="005728DD" w:rsidP="005728DD">
      <w:pPr>
        <w:pStyle w:val="TextoNormal"/>
      </w:pPr>
      <w:r>
        <w:lastRenderedPageBreak/>
        <w:t>Así, si atendiéramos exclusivamente a las normas legales vigentes el día 21 de febrero de 2018 (práctica de la notificación de la resolución de 5 de febrero de 2018), al haber transcurrido los diez días naturales desde la puesta a disposición del interesado en la sede electrónica de la Seguridad Social (día 9 de febrero de 2018), la inadmisión del recurso de alzada por extemporáneo debería considerarse ajustada a derecho, dado que se presentó el 16 de abril de 2018. Sin embargo, no podemos obviar otros factores concurrentes.</w:t>
      </w:r>
    </w:p>
    <w:p w:rsidR="005728DD" w:rsidRDefault="005728DD" w:rsidP="005728DD">
      <w:pPr>
        <w:pStyle w:val="TextoNormal"/>
      </w:pPr>
    </w:p>
    <w:p w:rsidR="005728DD" w:rsidRDefault="005728DD" w:rsidP="005728DD">
      <w:pPr>
        <w:pStyle w:val="TextoNormal"/>
      </w:pPr>
      <w:r>
        <w:t xml:space="preserve">El principal, que planeará sobre la valoración de los demás, es que la resolución de 4 de junio de 2018 de la dirección provincial de la TGSS de Huesca, que inadmitió el recurso de alzada, cerraba las puertas a la revisión judicial de las razones de fondo contenidas en la decisión administrativa impugnada, lo que incide no solo en el derecho a la tutela judicial efectiva del demandante (art. 24.1 CE), en su vertiente de derecho de acceso a la jurisdicción, pues limita el alcance de la revisión judicial de la actividad administrativa, sino también en el derecho de defensa (art. 24.2 CE), en tanto que esa segunda instancia administrativa revisora que supone la alzada se configura como un elemento más defensivo frente al ejercicio del </w:t>
      </w:r>
      <w:r w:rsidRPr="005728DD">
        <w:rPr>
          <w:i/>
        </w:rPr>
        <w:t>ius puniendi</w:t>
      </w:r>
      <w:r>
        <w:t xml:space="preserve"> del Estado, porque la singularidad que presenta el presente recurso de amparo es que el defecto de notificación se ha producido en relación con la resolución sancionadora, pero que no era firme en vía administrativa por caber contra la misma recurso de alzada.</w:t>
      </w:r>
    </w:p>
    <w:p w:rsidR="005728DD" w:rsidRDefault="005728DD" w:rsidP="005728DD">
      <w:pPr>
        <w:pStyle w:val="TextoNormal"/>
      </w:pPr>
    </w:p>
    <w:p w:rsidR="005728DD" w:rsidRDefault="005728DD" w:rsidP="005728DD">
      <w:pPr>
        <w:pStyle w:val="TextoNormal"/>
      </w:pPr>
      <w:r>
        <w:t>No quiere decirse con ello que en todo caso el derecho a la tutela judicial efectiva exija un pronunciamiento en cuanto al fondo del asunto, pues basta con una resolución motivada, fundada en derecho y congruente con las pretensiones oportunamente deducidas por las partes, pudiendo ser de inadmisión si concurre causa legal para ello y así se aprecia razonadamente por el órgano judicial (SSTC 63/1999, de 26 de abril, FJ 2, y 116/2001, de 21 de mayo, FJ 4, entre otras muchas).</w:t>
      </w:r>
    </w:p>
    <w:p w:rsidR="005728DD" w:rsidRDefault="005728DD" w:rsidP="005728DD">
      <w:pPr>
        <w:pStyle w:val="TextoNormal"/>
      </w:pPr>
    </w:p>
    <w:p w:rsidR="005728DD" w:rsidRDefault="005728DD" w:rsidP="005728DD">
      <w:pPr>
        <w:pStyle w:val="TextoNormal"/>
      </w:pPr>
      <w:r>
        <w:t>A tenor de estas consideraciones y de conformidad con la doctrina expuesta en el fundamento jurídico precedente, la cuestión que debemos valorar es si el órgano administrativo, primero, inadmitiendo el recurso de alzada, y el jurisdiccional, después, interpretando aquella normativa, vulneraron el derecho a la jurisdicción y a la defensa del demandante de amparo (art. 24.1 y 2 CE), evitando, por lo demás, incurrir en “meros formalismos o entendimientos no razonables” que “impidan un enjuiciamiento de fondo del asunto”. Y, respecto a ello, como acertadamente sostiene el Ministerio fiscal, se debe concluir que tal interpretación no fue acorde con el derecho de acceso a la jurisdicción, como tampoco lo fue con el derecho a la defensa. Las razones son claras:</w:t>
      </w:r>
    </w:p>
    <w:p w:rsidR="005728DD" w:rsidRDefault="005728DD" w:rsidP="005728DD">
      <w:pPr>
        <w:pStyle w:val="TextoNormal"/>
      </w:pPr>
    </w:p>
    <w:p w:rsidR="005728DD" w:rsidRDefault="005728DD" w:rsidP="005728DD">
      <w:pPr>
        <w:pStyle w:val="TextoNormal"/>
      </w:pPr>
      <w:r>
        <w:t>a) En primer lugar, porque ni en la resolución de la Secretaría de Estado de la Seguridad Social, ni en la sentencia y el auto de la Sala de lo Social del Tribunal Superior de Justicia de Aragón, se dio respuesta a la objeción del recurrente, relativa a que la resolución impugnada en vía administrativa no había sido dictada en el plazo previsto normativamente. De este modo, acuerdo con la doctrina expuesta [STC 112/2019, de 3 de octubre, FJ 4 b)], la irregularidad de haber superado el plazo de diez días conferido por el apartado 1 del art. 20 del Real Decreto 928/1998, de 14 de mayo para dictar resolución no puede operar favorablemente para la administración a quien, según la nueva reglamentación, bastaría con poner a disposición del interesado en la sede electrónica la resolución correspondiente y que transcurrieran diez días naturales sin que se accediera a su contenido, para que se entendiera notificada válidamente, perjudicando al propio tiempo al administrado.</w:t>
      </w:r>
    </w:p>
    <w:p w:rsidR="005728DD" w:rsidRDefault="005728DD" w:rsidP="005728DD">
      <w:pPr>
        <w:pStyle w:val="TextoNormal"/>
      </w:pPr>
    </w:p>
    <w:p w:rsidR="005728DD" w:rsidRDefault="005728DD" w:rsidP="005728DD">
      <w:pPr>
        <w:pStyle w:val="TextoNormal"/>
      </w:pPr>
      <w:r>
        <w:t>b) En segundo lugar, tampoco se justifica por la autoridad administrativa o la judicial el cumplimiento del requisito previsto en la disposición adicional única de la orden ESS/485/2013, relativo a la notificación de la resolución de inclusión en el sistema de notificación electrónica. En ella se establece que “los sujetos responsables comprendidos en el ámbito de aplicación subjetivo previsto en dicho apartado que, en la fecha de entrada en vigor de la orden, ya estén obligados a incorporarse o se hayan incorporado voluntariamente al sistema RED, quedarán inicialmente obligados a comparecer en la sede electrónica de la Seguridad Social, a efectos de recibir las notificaciones y comunicaciones que les dirija la administración de la Seguridad Social en el plazo de un mes a contar desde el día siguiente a aquel en que se les notifique la resolución sobre su inclusión en el sistema de notificación electrónica”.</w:t>
      </w:r>
    </w:p>
    <w:p w:rsidR="005728DD" w:rsidRDefault="005728DD" w:rsidP="005728DD">
      <w:pPr>
        <w:pStyle w:val="TextoNormal"/>
      </w:pPr>
    </w:p>
    <w:p w:rsidR="005728DD" w:rsidRDefault="005728DD" w:rsidP="005728DD">
      <w:pPr>
        <w:pStyle w:val="TextoNormal"/>
      </w:pPr>
      <w:r>
        <w:t>En el presente caso, nos encontramos ante una nueva irregularidad administrativa, al que se le ha de aplicar el mismo criterio expuesto en el inciso precedente, en cuanto a que no cabe que la administración se vea favorecida por defectos en su propia actuación, es decir, que le sitúe en una mejor posición procedimental. Omitida cualquier reflexión al respecto en las resoluciones impugnadas, no cabe que consideremos acreditada la existencia de la obligación de comparecer el recurrente en la sede electrónica de la Seguridad Social.</w:t>
      </w:r>
    </w:p>
    <w:p w:rsidR="005728DD" w:rsidRDefault="005728DD" w:rsidP="005728DD">
      <w:pPr>
        <w:pStyle w:val="TextoNormal"/>
      </w:pPr>
    </w:p>
    <w:p w:rsidR="005728DD" w:rsidRDefault="005728DD" w:rsidP="005728DD">
      <w:pPr>
        <w:pStyle w:val="TextoNormal"/>
      </w:pPr>
      <w:r>
        <w:t>c) Finalmente, la sentencia impugnada niega que sean de aplicación a la resolución de 3 de enero de 2018 las disposiciones de derecho transitorio, al no tratarse de una norma jurídica en sentido propio, que sí lo eran para el Juzgado de lo Social de Huesca, cuya sentencia fue recurrida en suplicación.</w:t>
      </w:r>
    </w:p>
    <w:p w:rsidR="005728DD" w:rsidRDefault="005728DD" w:rsidP="005728DD">
      <w:pPr>
        <w:pStyle w:val="TextoNormal"/>
      </w:pPr>
    </w:p>
    <w:p w:rsidR="005728DD" w:rsidRDefault="005728DD" w:rsidP="005728DD">
      <w:pPr>
        <w:pStyle w:val="TextoNormal"/>
      </w:pPr>
      <w:r>
        <w:t>Este tribunal considera que la citada resolución, al fijar la fecha de entrada en vigor de un nuevo sistema de notificaciones, incidió notablemente en el procedimiento aplicable a los expedientes en curso, como es el presente, que se encontraba ya iniciado cuando esa previsión entró en vigor. En tales circunstancias, y ante el silencio de la resolución, no cabía sino, como bien apreció el juzgado, acudir a las normas de Derecho transitorio generales, contenidas en la disposición transitoria tercera LPACAP, de la que se desprende que la notificación debió hacerse con arreglo al sistema vigente al comienzo del procedimiento.</w:t>
      </w:r>
    </w:p>
    <w:p w:rsidR="005728DD" w:rsidRDefault="005728DD" w:rsidP="005728DD">
      <w:pPr>
        <w:pStyle w:val="TextoNormal"/>
      </w:pPr>
    </w:p>
    <w:p w:rsidR="005728DD" w:rsidRDefault="005728DD" w:rsidP="005728DD">
      <w:pPr>
        <w:pStyle w:val="TextoNormal"/>
      </w:pPr>
      <w:r>
        <w:t>A la vista de las irregularidades e incumplimientos constatados y de la aplicación de las reglas de Derecho transitorio, este tribunal no puede suscribir la conclusión alcanzada por la Sala de lo Social del Tribunal Superior de Justicia de Aragón, que atribuye el perjuicio irrogado al recurrente a su propia negligencia. Antes al contrario, entendemos que el recurrente tenía una fundada expectativa de que el procedimiento, iniciado de acuerdo con unas determinadas normas, se desarrollara según las mismas, también en lo que respecta a la notificación de las resoluciones. En esta tesitura, el cómputo del plazo de un mes para la formulación del recurso de alzada debería haberse iniciado en la fecha en que el demandante tuvo efectivo conocimiento de la resolución, es decir, desde el 2 de abril de 2018, por lo que, habiendo presentado el recurso presentado el día 16 de abril de ese mismo año, no podría considerarse extemporáneo.</w:t>
      </w:r>
    </w:p>
    <w:p w:rsidR="005728DD" w:rsidRDefault="005728DD" w:rsidP="005728DD">
      <w:pPr>
        <w:pStyle w:val="TextoNormal"/>
      </w:pPr>
    </w:p>
    <w:p w:rsidR="005728DD" w:rsidRDefault="005728DD" w:rsidP="005728DD">
      <w:pPr>
        <w:pStyle w:val="TextoNormal"/>
      </w:pPr>
      <w:r>
        <w:t xml:space="preserve">En definitiva, la interpretación de las normas realizada en las resoluciones impugnadas, así como en las administrativas, ha subvertido el derecho a la tutela judicial efectiva del recurrente (art. 24.1 CE), en su vertiente de derecho de acceso a la jurisdicción, al haber </w:t>
      </w:r>
      <w:r>
        <w:lastRenderedPageBreak/>
        <w:t xml:space="preserve">impedido el control de la actividad administrativa por los órganos jurisdiccionales, “lo cual constituye la culminación del sistema de derechos y garantías característico del Estado de Derecho”, pero también, no cabe olvidarlo su derecho de defensa (art. 24.2 CE), en tanto que la segunda instancia administrativa revisora que supone la alzada se configura como un elemento más defensivo frente al ejercicio del </w:t>
      </w:r>
      <w:r w:rsidRPr="005728DD">
        <w:rPr>
          <w:i/>
        </w:rPr>
        <w:t>ius puniendi</w:t>
      </w:r>
      <w:r>
        <w:t xml:space="preserve"> y, por ello, este tribunal entiende procedente la estimación del presente recurso de amparo.</w:t>
      </w:r>
    </w:p>
    <w:p w:rsidR="005728DD" w:rsidRDefault="005728DD" w:rsidP="005728DD">
      <w:pPr>
        <w:pStyle w:val="TextoNormal"/>
      </w:pPr>
    </w:p>
    <w:p w:rsidR="005728DD" w:rsidRDefault="005728DD" w:rsidP="005728DD">
      <w:pPr>
        <w:pStyle w:val="TextoNormal"/>
      </w:pPr>
      <w:r>
        <w:t>De acuerdo con lo establecido en el art. 55 LOTC, procede declarar la nulidad de la resolución de la dirección provincial de la TGSS de Huesca, de 4 de junio de 2018; así como de la sentencia, de 6 de noviembre de 2019, y el auto, de 30 de diciembre de 2019, dictados ambos por la Sala de lo Social del Tribunal Superior de Justicia de Aragón, retrotrayendo las actuaciones al momento anterior a haberse dictado la resolución de inadmisión del recurso de alzada, para que se dicte una resolución respetuosa con el derecho fundamental vulnerado.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Carlos José Mir Canales y, en su virtud:</w:t>
      </w:r>
    </w:p>
    <w:p w:rsidR="005728DD" w:rsidRDefault="005728DD" w:rsidP="005728DD">
      <w:pPr>
        <w:pStyle w:val="TextoNormal"/>
      </w:pPr>
    </w:p>
    <w:p w:rsidR="005728DD" w:rsidRDefault="005728DD" w:rsidP="005728DD">
      <w:pPr>
        <w:pStyle w:val="TextoNormal"/>
      </w:pPr>
      <w:r>
        <w:t>1º Declarar que ha sido vulnerado el derecho fundamental del demandante de amparo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en consecuencia, declarar la nulidad de la resolución de la dirección provincial de la Tesorería General de la Seguridad Social de Huesca, de 4 de junio de 2018; así como de la sentencia, de 6 de noviembre, y del auto, de 30 de diciembre de 2019, ambas resoluciones dictadas por la Sala de lo Social del Tribunal Superior de Justicia de Aragón.</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 la citada resolución dirección provincial de la Tesorería General de la Seguridad Social de Huesca, de 4 de junio de 2018, para que el órgano administrativo dicte una nueva respetuosa con el derecho fundamental vulnerado y resuelva la cuestión de fondo que se planteó en el recurso de alzada.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7" w:name="SENTENCIA_2021_64"/>
      <w:r>
        <w:lastRenderedPageBreak/>
        <w:t>SENTENCIA 64/2021, de 15 de marzo de 2021</w:t>
      </w:r>
    </w:p>
    <w:bookmarkEnd w:id="67"/>
    <w:p w:rsidR="005728DD" w:rsidRDefault="005728DD" w:rsidP="005728DD">
      <w:pPr>
        <w:pStyle w:val="TtuloResolucin"/>
      </w:pPr>
      <w:r>
        <w:t>Sala Primera</w:t>
      </w:r>
    </w:p>
    <w:p w:rsidR="005728DD" w:rsidRDefault="005728DD" w:rsidP="005728DD">
      <w:pPr>
        <w:pStyle w:val="TtuloBOE"/>
      </w:pPr>
      <w:r>
        <w:t>(BOE núm. 97, de 23 de abril de 2021)</w:t>
      </w:r>
    </w:p>
    <w:p w:rsidR="005728DD" w:rsidRDefault="005728DD" w:rsidP="005728DD">
      <w:pPr>
        <w:pStyle w:val="TextoNormalCentrado"/>
      </w:pPr>
      <w:r>
        <w:t>ECLI:ES:TC:2021:64</w:t>
      </w:r>
    </w:p>
    <w:p w:rsidR="005728DD" w:rsidRDefault="005728DD" w:rsidP="005728DD">
      <w:pPr>
        <w:pStyle w:val="TextoNormalCentrado"/>
      </w:pPr>
    </w:p>
    <w:p w:rsidR="005728DD" w:rsidRDefault="005728DD" w:rsidP="005728DD">
      <w:pPr>
        <w:pStyle w:val="SntesisDescriptiva"/>
      </w:pPr>
      <w:r>
        <w:t>Recurso de amparo 862-2020. Promovido por Grúas Puente Rublán, S.L., respecto de las resoluciones dictadas por un juzgado de primera instancia de Benavente (Zamora) en proceso ordinario.</w:t>
      </w:r>
    </w:p>
    <w:p w:rsidR="005728DD" w:rsidRDefault="005728DD" w:rsidP="005728DD">
      <w:pPr>
        <w:pStyle w:val="SntesisDescriptiva"/>
      </w:pPr>
    </w:p>
    <w:p w:rsidR="005728DD" w:rsidRDefault="005728DD" w:rsidP="005728DD">
      <w:pPr>
        <w:pStyle w:val="SntesisAnaltica"/>
      </w:pPr>
      <w:r>
        <w:t>Vulneración del derecho a la tutela judicial sin indefensión: inadecuada utilización de la dirección electrónica habilitada como cauce de comunicación del primer emplazamiento procesal (STC 40/2020).</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862-2020, promovido por Grúas Puente Rublán, S.L., representada por el procurador de los tribunales don Luis Domingo Fernández Espeso y asistida por el abogado don José Luis Merino García, contra el auto del Juzgado de Primera Instancia núm. 2 de Benavente, de 20 de enero de 2020, que desestimó el incidente de nulidad de actuaciones planteado contra la sentencia 39/2019, de 26 de marzo, dictada en el procedimiento ordinario núm. 297-2018, promovido por la entidad REC Accesorios, S.L., personada en estas actuaciones, representada por el procurador de los tribunales don Alberto del Hoyo López y asistida por el abogado don Marco Antonio Furones Gil. Ha intervenido el Ministerio Fiscal. Ha sido ponente el magistrado don Alfredo Montoya Melgar.</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Mediante escrito registrado en el registro general de este tribunal el 10 de febrero de 2020, el procurador de los tribunales don Luis Domingo Fernández Espeso, actuando en </w:t>
      </w:r>
      <w:r>
        <w:lastRenderedPageBreak/>
        <w:t>nombre y representación de Grúas Puentes Rublán, S.L., bajo la defensa del letrado don José Luis Merino García,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mercantil REC Accesorios, S.L., presentó demanda de juicio ordinario señalando como parte demandada a Grúas Puente Rublán, S.L., que dio lugar al procedimiento ordinario 297-2018 del Juzgado de Primera Instancia e Instrucción núm. 2 de Benavente.</w:t>
      </w:r>
    </w:p>
    <w:p w:rsidR="005728DD" w:rsidRDefault="005728DD" w:rsidP="005728DD">
      <w:pPr>
        <w:pStyle w:val="TextoNormal"/>
      </w:pPr>
    </w:p>
    <w:p w:rsidR="005728DD" w:rsidRDefault="005728DD" w:rsidP="005728DD">
      <w:pPr>
        <w:pStyle w:val="TextoNormal"/>
      </w:pPr>
      <w:r>
        <w:t>b) Por el letrado de la administración de justicia se dictó decreto de 17 de septiembre de 2018 por el que se admitió a trámite la demanda y se acordó emplazar a la parte demandada con traslado de la demanda y documentación acompañada, para que la contestara en el plazo de veinte días hábiles, con las siguientes prevenciones: Apercibir a la parte demandada que, si no compareciera dentro del plazo indicado, se la declarará en situación de rebeldía procesal [art. 496.1 de la Ley de enjuiciamiento civil (LEC)]; advertir a la parte demandada que la comparecencia en juicio debe realizarse por medio de procurador y con asistencia de abogado (arts. 23 y 31 LEC) y llevar a efecto el emplazamiento de la parte demandada a través de la sede electrónica, para lo cual se librarán los despachos correspondientes.</w:t>
      </w:r>
    </w:p>
    <w:p w:rsidR="005728DD" w:rsidRDefault="005728DD" w:rsidP="005728DD">
      <w:pPr>
        <w:pStyle w:val="TextoNormal"/>
      </w:pPr>
    </w:p>
    <w:p w:rsidR="005728DD" w:rsidRDefault="005728DD" w:rsidP="005728DD">
      <w:pPr>
        <w:pStyle w:val="TextoNormal"/>
      </w:pPr>
      <w:r>
        <w:t>Dicha notificación a través de la sede electrónica, tal y como consta en la certificación del “libro de actos de comunicación” de fecha 28 de marzo de 2019, se remitió a la dirección electrónica el 26 de septiembre de 2018 y consta con fecha de recepción el 26 de septiembre, pero no consta fecha de “retirada del destinatario”.</w:t>
      </w:r>
    </w:p>
    <w:p w:rsidR="005728DD" w:rsidRDefault="005728DD" w:rsidP="005728DD">
      <w:pPr>
        <w:pStyle w:val="TextoNormal"/>
      </w:pPr>
    </w:p>
    <w:p w:rsidR="005728DD" w:rsidRDefault="005728DD" w:rsidP="005728DD">
      <w:pPr>
        <w:pStyle w:val="TextoNormal"/>
      </w:pPr>
      <w:r>
        <w:t>c) Por diligencia de ordenación de 21 de enero de 2019 se declaró a la demandada en situación legal de rebeldía, señalándose la celebración de la audiencia previa el día 12 de febrero de 2019 a las 12:15 horas. Esta diligencia de ordenación también fue notificada a través de la sede electrónica. Según consta en el certificado del “libro de actos de comunicación” de 28 de marzo de 2019, se remitió a la dirección electrónica el 23 de enero de 2019 y fue recepcionada ese mismo día, pero no consta fecha de “retirada del destinatario”.</w:t>
      </w:r>
    </w:p>
    <w:p w:rsidR="005728DD" w:rsidRDefault="005728DD" w:rsidP="005728DD">
      <w:pPr>
        <w:pStyle w:val="TextoNormal"/>
      </w:pPr>
    </w:p>
    <w:p w:rsidR="005728DD" w:rsidRDefault="005728DD" w:rsidP="005728DD">
      <w:pPr>
        <w:pStyle w:val="TextoNormal"/>
      </w:pPr>
      <w:r>
        <w:t>d) Celebrada la audiencia previa el día señalado, con la sola asistencia de la parte demandante, el 26 de marzo de 2019 se dictó sentencia estimatoria de la demanda.</w:t>
      </w:r>
    </w:p>
    <w:p w:rsidR="005728DD" w:rsidRDefault="005728DD" w:rsidP="005728DD">
      <w:pPr>
        <w:pStyle w:val="TextoNormal"/>
      </w:pPr>
    </w:p>
    <w:p w:rsidR="005728DD" w:rsidRDefault="005728DD" w:rsidP="005728DD">
      <w:pPr>
        <w:pStyle w:val="TextoNormal"/>
      </w:pPr>
      <w:r>
        <w:t>e) Por el procurador de REC Accesorios, S.L., se presentó demanda ejecutiva que dio lugar a los autos de ejecución de títulos judiciales 79-2019 del Juzgado de Primera Instancia e Instrucción núm. 2 de Benavente, dictándose auto de 28 de junio de 2019, por el que se acordó adoptar orden general de ejecución, y despachar ejecución por las cantidades correspondientes por el principal e intereses. En la misma fecha se dictó decreto en orden a dar efectividad a las medidas acordadas. El auto y el decreto señalados fueron notificados a la demandada en su domicilio el día 2 de julio de 2019, momento en el que tuvo conocimiento del procedimiento de juicio ordinario 297-2018.</w:t>
      </w:r>
    </w:p>
    <w:p w:rsidR="005728DD" w:rsidRDefault="005728DD" w:rsidP="005728DD">
      <w:pPr>
        <w:pStyle w:val="TextoNormal"/>
      </w:pPr>
    </w:p>
    <w:p w:rsidR="005728DD" w:rsidRDefault="005728DD" w:rsidP="005728DD">
      <w:pPr>
        <w:pStyle w:val="TextoNormal"/>
      </w:pPr>
      <w:r>
        <w:t xml:space="preserve">f) El 11 de julio de 2019, la representación procesal de Grúas Puente Rublán, S.L., presentó escrito dirigido a ambos procedimientos (ordinario y de ejecución), interponiendo incidente de nulidad de actuaciones alegando la infracción de lo previsto en los arts. 155, 158 </w:t>
      </w:r>
      <w:r>
        <w:lastRenderedPageBreak/>
        <w:t>y 161 LEC, y vulneración del derecho a la tutela judicial efectiva (art. 24.1 CE), aduciendo la doctrina del Tribunal Constitucional sentada en la STC 47/2019, de 8 de abril.</w:t>
      </w:r>
    </w:p>
    <w:p w:rsidR="005728DD" w:rsidRDefault="005728DD" w:rsidP="005728DD">
      <w:pPr>
        <w:pStyle w:val="TextoNormal"/>
      </w:pPr>
    </w:p>
    <w:p w:rsidR="005728DD" w:rsidRDefault="005728DD" w:rsidP="005728DD">
      <w:pPr>
        <w:pStyle w:val="TextoNormal"/>
      </w:pPr>
      <w:r>
        <w:t xml:space="preserve">g) Por auto de 20 de enero de 2020, el juzgado desestimó el incidente de nulidad de actuaciones planteado por la entidad recurrente. En su fundamento jurídico segundo, y tras constatar la forma telemática de las notificaciones impugnadas, se admite el conocimiento de la “nueva doctrina constitucional” mencionada en el escrito. No obstante, considera que el órgano judicial “actuó conforme al Derecho vigente y aplicable durante la tramitación de [ese] procedimiento (previo a tal doctrina) y, por ende, ninguna indefensión se le causó a la parte demandada”. Para ello, señala que la STC 6/2019 (a la que se remite la STC 47/2019) fue publicada con posterioridad a la sentencia dictada en su procedimiento (en concreto, el 14 de febrero de 2019). Sobre esa base, con cita de los arts. 31.1 y 40 de la Ley Orgánica del Tribunal Constitucional (LOTC), entiende que la STC 6/2019, no puede “afectar a la fuerza de cosa juzgada de sentencias firmes ya dictadas y, como consecuencia, al principio de seguridad jurídica”, y “mucho menos” cuando en esa sentencia “no se declara la inconstitucionalidad de una norma”. Otro tanto sucede con la STC 47/2019, como se expone en el fundamento jurídico tercero del auto impugnado. Para el juzgado, esa sentencia “nada concreta sobre la posible retroactividad de [su] interpretación, por lo que entiende […] que debe prevalecer […] la fuerza de cosa juzgada de la sentencia firme ya dictada y el principio de seguridad jurídica”. Continúa argumentando que la “eficacia temporal del cambio de criterio jurisprudencial debe ser templada cuando su aplicación se traduce, en la práctica, en la exigencia de un requisito procesal de carácter formal del que depende la acción o el recurso que no se entendía exigible en el momento de la presentación del escrito, pues así lo impone el parámetro constitucional de la racionalidad de la decisión judicial y los principios de seguridad jurídica, confianza legítima, interdicción de la arbitrariedad y principio </w:t>
      </w:r>
      <w:r w:rsidRPr="005728DD">
        <w:rPr>
          <w:i/>
        </w:rPr>
        <w:t>tempus regit actum</w:t>
      </w:r>
      <w:r>
        <w:t>, los cuales [se] entiende incompatibles con declarar en este momento la nulidad de todo lo actuado”. Finalmente, se reconoce el “especial deber que tienen los órganos judiciales de garantizar la efectividad de los actos de comunicación procesal, dada su vinculación [con] el derecho fundamental de defensa y a una tutela judicial efectiva”. No obstante, señala que, por un lado, “hay constancia de la correcta remisión del acto de comunicación”, y por otro, que el emplazamiento se hizo siguiendo las “instrucciones dadas por el Ministerio de Justicia en el año 2016”. De manera que solo “tras el fallo de la citada sentencia del Tribunal Constitucional de fecha 8 de abril de 2019 [es] cuando el Ministerio de Justicia ha comunicado a todos los secretarios de gobierno de tribunales superiores de justicia, Audiencia Nacional y Tribunal Supremo la obligación de notificar la citación o primer emplazamiento a las sociedades y demás personas jurídicas demandadas en su domicilio, y no mediante comunicación telemática a través de la dirección electrónica habilitada facilitada por el Ministerio de Hacienda”.</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 resolución impugnada vulnera el derecho a la tutela judicial efectiva, sin indefensión, así como el derecho de defensa (art. 24 CE).</w:t>
      </w:r>
    </w:p>
    <w:p w:rsidR="005728DD" w:rsidRDefault="005728DD" w:rsidP="005728DD">
      <w:pPr>
        <w:pStyle w:val="TextoNormal"/>
      </w:pPr>
    </w:p>
    <w:p w:rsidR="005728DD" w:rsidRDefault="005728DD" w:rsidP="005728DD">
      <w:pPr>
        <w:pStyle w:val="TextoNormal"/>
      </w:pPr>
      <w:r>
        <w:t>Tras exponer los antecedentes de hecho que considera de interés, la entidad recurrente afirma que el órgano judicial incumplió la normativa procesal (art. 155.2 LEC), al haber notificado telemáticamente el primer emplazamiento, cuando la norma exige que se haga de forma personal y con entrega de documentación.</w:t>
      </w:r>
    </w:p>
    <w:p w:rsidR="005728DD" w:rsidRDefault="005728DD" w:rsidP="005728DD">
      <w:pPr>
        <w:pStyle w:val="TextoNormal"/>
      </w:pPr>
    </w:p>
    <w:p w:rsidR="005728DD" w:rsidRDefault="005728DD" w:rsidP="005728DD">
      <w:pPr>
        <w:pStyle w:val="TextoNormal"/>
      </w:pPr>
      <w:r>
        <w:lastRenderedPageBreak/>
        <w:t xml:space="preserve">Considera que no se respetaron las cautelas o garantías de este primer acto de comunicación y que, por dicha causa, se ha tramitado el proceso </w:t>
      </w:r>
      <w:r w:rsidRPr="005728DD">
        <w:rPr>
          <w:i/>
        </w:rPr>
        <w:t>inaudita altera pars</w:t>
      </w:r>
      <w:r>
        <w:t xml:space="preserve">. En apoyo de dicha alegación, se detiene en la doctrina constitucional, en particular en la citada en las SSTC 6/2019, de 17 de enero y 47/2019, de 8 de abril, y censura el razonamiento contenido en el auto resolutorio del incidente de nulidad pues estima que “la juez </w:t>
      </w:r>
      <w:r w:rsidRPr="005728DD">
        <w:rPr>
          <w:i/>
        </w:rPr>
        <w:t>a quo</w:t>
      </w:r>
      <w:r>
        <w:t xml:space="preserve"> no ha percibido que la prescripción del art. 155.1 de la LEC está directamente conectado con el derecho de acceso al proceso y a la tutela judicial efectiva del art. 24.1 de la CE” y enfatiza que siendo conocida por el órgano judicial la doctrina constitucional, resulta “doblemente lesivo del derecho a la tutela judicial, pues reitera a sabiendas la lesión inicialmente producida, en lugar de subsanarla”.</w:t>
      </w:r>
    </w:p>
    <w:p w:rsidR="005728DD" w:rsidRDefault="005728DD" w:rsidP="005728DD">
      <w:pPr>
        <w:pStyle w:val="TextoNormal"/>
      </w:pPr>
    </w:p>
    <w:p w:rsidR="005728DD" w:rsidRDefault="005728DD" w:rsidP="005728DD">
      <w:pPr>
        <w:pStyle w:val="TextoNormal"/>
      </w:pPr>
      <w:r>
        <w:t>Sistematiza la recurrente los motivos de especial trascendencia constitucional en tres apartados:</w:t>
      </w:r>
    </w:p>
    <w:p w:rsidR="005728DD" w:rsidRDefault="005728DD" w:rsidP="005728DD">
      <w:pPr>
        <w:pStyle w:val="TextoNormal"/>
      </w:pPr>
    </w:p>
    <w:p w:rsidR="005728DD" w:rsidRDefault="005728DD" w:rsidP="005728DD">
      <w:pPr>
        <w:pStyle w:val="TextoNormal"/>
      </w:pPr>
      <w:r>
        <w:t>a) Particularidad sobre la aplicación directa de la Constitución Española.</w:t>
      </w:r>
    </w:p>
    <w:p w:rsidR="005728DD" w:rsidRDefault="005728DD" w:rsidP="005728DD">
      <w:pPr>
        <w:pStyle w:val="TextoNormal"/>
      </w:pPr>
    </w:p>
    <w:p w:rsidR="005728DD" w:rsidRDefault="005728DD" w:rsidP="005728DD">
      <w:pPr>
        <w:pStyle w:val="TextoNormal"/>
      </w:pPr>
      <w:r>
        <w:t>Alega en este apartado que el auto de fecha 20 de enero de 2020, que deniega la nulidad de actuaciones, “no aplica ni la letra de los arts. 5.1 y 7.1 y 2 de la LOPJ ni los principios”; añade que estos preceptos subrayan la vinculación directa de la Constitución y exigen, art. 5.1 de la Ley Orgánica del Poder Judicial (LOPJ), una interpretación y aplicación de las leyes según la letra de esas disposiciones constitucionales y los principios generales que emanan de las mismas en tanto que el art. 7 LOPJ, tras reiterar el vínculo directo del criterio judicial con nuestra Constitución, hace una mención especial al reconocimiento y protección de los derechos y libertades fundamentales “sin que las resoluciones judiciales puedan restringir, menoscabar o inaplicar dicho contenido”.</w:t>
      </w:r>
    </w:p>
    <w:p w:rsidR="005728DD" w:rsidRDefault="005728DD" w:rsidP="005728DD">
      <w:pPr>
        <w:pStyle w:val="TextoNormal"/>
      </w:pPr>
    </w:p>
    <w:p w:rsidR="005728DD" w:rsidRDefault="005728DD" w:rsidP="005728DD">
      <w:pPr>
        <w:pStyle w:val="TextoNormal"/>
      </w:pPr>
      <w:r>
        <w:t xml:space="preserve">Considera la recurrente que “el razonamiento que le lleva a la juez </w:t>
      </w:r>
      <w:r w:rsidRPr="005728DD">
        <w:rPr>
          <w:i/>
        </w:rPr>
        <w:t>a quo</w:t>
      </w:r>
      <w:r>
        <w:t xml:space="preserve"> a la no subsanación del incorrecto emplazamiento del litigante contiene una desvinculación entre la proclamación contenida en el art. 24.1 de la CE, sobre la tutela judicial efectiva y el derecho a un proceso sin indefensión, y el criterio judicial, ya que según se razona equivocadamente en la resolución los jueces y tribunales no pueden establecer o encontrar el nexo de sus decisiones en la norma fundamental, salvo por la intermediación del Tribunal Constitucional”, lo que estima de “relevancia e interés constitucional claro, para que los jueces y tribunales tengan la constatación de que la cúspide normativa de nuestro ordenamiento jurídico (CE) debe ser asequible a la aplicación directa; mucho más —añadimos— cuando la legalidad ordinaria es conforme a la Constitución y hubiera bastado con haber respetado la primera”.</w:t>
      </w:r>
    </w:p>
    <w:p w:rsidR="005728DD" w:rsidRDefault="005728DD" w:rsidP="005728DD">
      <w:pPr>
        <w:pStyle w:val="TextoNormal"/>
      </w:pPr>
    </w:p>
    <w:p w:rsidR="005728DD" w:rsidRDefault="005728DD" w:rsidP="005728DD">
      <w:pPr>
        <w:pStyle w:val="TextoNormal"/>
      </w:pPr>
      <w:r>
        <w:t>b) Resistencia al acatamiento de la doctrina constitucional.</w:t>
      </w:r>
    </w:p>
    <w:p w:rsidR="005728DD" w:rsidRDefault="005728DD" w:rsidP="005728DD">
      <w:pPr>
        <w:pStyle w:val="TextoNormal"/>
      </w:pPr>
    </w:p>
    <w:p w:rsidR="005728DD" w:rsidRDefault="005728DD" w:rsidP="005728DD">
      <w:pPr>
        <w:pStyle w:val="TextoNormal"/>
      </w:pPr>
      <w:r>
        <w:t xml:space="preserve">Manifiesta el recurrente que “subyace en la construcción del auto una posición </w:t>
      </w:r>
      <w:r w:rsidRPr="005728DD">
        <w:rPr>
          <w:i/>
        </w:rPr>
        <w:t>ab initio</w:t>
      </w:r>
      <w:r>
        <w:t xml:space="preserve"> contraria a la aplicación de la doctrina del Tribunal Constitucional, la cual era clara y patente para la juez </w:t>
      </w:r>
      <w:r w:rsidRPr="005728DD">
        <w:rPr>
          <w:i/>
        </w:rPr>
        <w:t>a quo</w:t>
      </w:r>
      <w:r>
        <w:t xml:space="preserve">. No es posible que desde una sana sensibilidad jurídica hacia el derecho fundamental se construyan unos razonamientos que lleven a lo contrario de lo que es accesible para cualquier jurista, desde la simple lectura del texto constitucional hasta las reflexiones efectuadas por el Tribunal Constitucional en sus sentencias. Mucho más cuando se advierte a tiempo que, con posterioridad al primer acto de lesión del derecho fundamental —el decreto de emplazamiento—, el Tribunal Constitucional se ha pronunciado en contra </w:t>
      </w:r>
      <w:r>
        <w:lastRenderedPageBreak/>
        <w:t>de la práctica procesal que hemos denunciado en todo el recurso de amparo, por lo que había momento para corregir la lesión”.</w:t>
      </w:r>
    </w:p>
    <w:p w:rsidR="005728DD" w:rsidRDefault="005728DD" w:rsidP="005728DD">
      <w:pPr>
        <w:pStyle w:val="TextoNormal"/>
      </w:pPr>
    </w:p>
    <w:p w:rsidR="005728DD" w:rsidRDefault="005728DD" w:rsidP="005728DD">
      <w:pPr>
        <w:pStyle w:val="TextoNormal"/>
      </w:pPr>
      <w:r>
        <w:t>c) Resoluciones contradictorias.</w:t>
      </w:r>
    </w:p>
    <w:p w:rsidR="005728DD" w:rsidRDefault="005728DD" w:rsidP="005728DD">
      <w:pPr>
        <w:pStyle w:val="TextoNormal"/>
      </w:pPr>
    </w:p>
    <w:p w:rsidR="005728DD" w:rsidRDefault="005728DD" w:rsidP="005728DD">
      <w:pPr>
        <w:pStyle w:val="TextoNormal"/>
      </w:pPr>
      <w:r>
        <w:t>Afirma también el recurrente que por el órgano judicial “en unos casos se acogió la nulidad de actuaciones y se procedió a nuevo emplazamiento, mientras que en otros casos —como el presente— se denegó la subsanación”; considera irrelevante que “los resultados contradictorios estén pronunciados por servidores del órgano distintos por razón del cambio de la persona titular del juzgado que nos ocupa. Lo importante es que estas aporías generan un estado de inseguridad y de arbitrariedad que repugna a cualquier conciencia ciudadana, y mucho más al sentir de la comunidad jurídica”.</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Primera de este tribunal dictó providencia el 19 de octubre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y (ii) dirigir atenta comunicación al Juzgado de Primera Instancia e Instrucción núm. 2 de Benavente, a fin de que remita “certificación o fotocopia adverada de las actuaciones correspondientes al procedimiento ordinario núm. 297-2018”, debiendo “emplazarse […] a quienes hubieran sido parte en el procedimiento” de origen, excepto a la “recurrente en amparo”, para poder comparecer en el presente proceso constitucional en el plazo de diez días.</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registrado el 9 de noviembre de 2020, el procurador de los tribunales don Alberto del Hoyo López, actuando en nombre y representación de REC Accesorios, S.L., bajo la dirección letrada de don Marco Antonio Furones Gil, solicitó que se le tuviera por personado en este recurso, entendiéndose con esa representación las sucesivas diligencias y notificaciones que se produjeran.</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la secretaría de justicia de la Sala Primera de 25 de noviembre de 2020 se acordó, de un lado, tener por personada y parte a la entidad REC Accesorios, S.L., a través del procurador mencionado, y de otro, dar vista de las actuaciones a las partes personadas y al Ministerio Fiscal, por plazo común de veinte días, a fin de que pudieran presentar las alegaciones que estimen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La representante procesal de la entidad recurrente presentó su escrito de alegaciones el 5 de enero de 2021. En el mismo interesó que se dictara resolución estimatoria del recurso de amparo reiterando los argumentos expuestos en la demanda.</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La fiscal ante el Tribunal Constitucional presentó escrito de alegaciones el 21 de diciembre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decreto de 17 de septiembre de 2018 por el que se admitió a trámite la demanda y se acordó emplazar </w:t>
      </w:r>
      <w:r>
        <w:lastRenderedPageBreak/>
        <w:t>a la parte demandada en el procedimiento ordinario 297-2018 del Juzgado de Primera Instancia e Instrucción núm. 2 de Benavente”, así como la retroacción de las actuaciones “al momento inmediatamente anterior a dicha notificación para que se le dé al recurrente [la] posibilidad de formular oposición a la ejecución”.</w:t>
      </w:r>
    </w:p>
    <w:p w:rsidR="005728DD" w:rsidRDefault="005728DD" w:rsidP="005728DD">
      <w:pPr>
        <w:pStyle w:val="TextoNormal"/>
      </w:pPr>
    </w:p>
    <w:p w:rsidR="005728DD" w:rsidRDefault="005728DD" w:rsidP="005728DD">
      <w:pPr>
        <w:pStyle w:val="TextoNormal"/>
      </w:pPr>
      <w:r>
        <w:t>En su escrito, la fiscal comienza con una reseña de los antecedentes que considera de interés, para continuar señalando que nos encontramos ante el mismo supuesto que ya fue resuelto en sentido estimatorio mediante las SSTC 40/2020, de 27 de febrero y 43/2020, de 9 de marzo, cuyo contenido extracta parcialmente.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el art. 155.2 LEC.</w:t>
      </w:r>
    </w:p>
    <w:p w:rsidR="005728DD" w:rsidRDefault="005728DD" w:rsidP="005728DD">
      <w:pPr>
        <w:pStyle w:val="TextoNormal"/>
      </w:pPr>
    </w:p>
    <w:p w:rsidR="005728DD" w:rsidRDefault="005728DD" w:rsidP="005728DD">
      <w:pPr>
        <w:pStyle w:val="TextoNormal"/>
      </w:pPr>
      <w:r w:rsidRPr="005728DD">
        <w:rPr>
          <w:rStyle w:val="NumeroAFNegritaCaracter"/>
        </w:rPr>
        <w:t>9</w:t>
      </w:r>
      <w:r>
        <w:t>. La representante procesal de REC Accesorios, S.L., presentó su escrito de alegaciones el 7 de enero de 2021. En su escrito solicita la inadmisión del recurso de amparo por ausencia de trascendencia constitucional que justifique un pronunciamiento sobre el fondo. Señala que en el presente caso, si bien se alegan tres motivos que en su enunciado justificarían la especial trascendencia constitucional, no se contiene en el desarrollo argumental de referidos motivos por qué el contenido del recurso merece una decisión de fondo, más allá del interés propio del recurrente de la reparación de la eventual lesión de derechos fundamentales en el caso concreto.</w:t>
      </w:r>
    </w:p>
    <w:p w:rsidR="005728DD" w:rsidRDefault="005728DD" w:rsidP="005728DD">
      <w:pPr>
        <w:pStyle w:val="TextoNormal"/>
      </w:pPr>
    </w:p>
    <w:p w:rsidR="005728DD" w:rsidRDefault="005728DD" w:rsidP="005728DD">
      <w:pPr>
        <w:pStyle w:val="TextoNormal"/>
      </w:pPr>
      <w:r>
        <w:t>Subsidiariamente, considera que no hay vulneración del derecho fundamental a la tutela judicial efectiva. En primer lugar, afirma que la referida sentencia del Tribunal Constitucional no es aplicable al presente caso porque resuelve un recurso interpuesto frente a un auto dictado por el Juzgado de lo Social núm. 1 de Toledo en materia laboral, siendo por tanto de aplicación los arts. 53 y siguientes de la Ley reguladora de la jurisdicción social.</w:t>
      </w:r>
    </w:p>
    <w:p w:rsidR="005728DD" w:rsidRDefault="005728DD" w:rsidP="005728DD">
      <w:pPr>
        <w:pStyle w:val="TextoNormal"/>
      </w:pPr>
    </w:p>
    <w:p w:rsidR="005728DD" w:rsidRDefault="005728DD" w:rsidP="005728DD">
      <w:pPr>
        <w:pStyle w:val="TextoNormal"/>
      </w:pPr>
      <w:r>
        <w:t>En segundo lugar, señala que se ha seguido el procedimiento legalmente establecido, pues las notificaciones se han realizado en la dirección electrónica habilitada y constan recibidas en destino, sin que se haya acreditado que por la demandada se hubiera revocado esa dirección.</w:t>
      </w:r>
    </w:p>
    <w:p w:rsidR="005728DD" w:rsidRDefault="005728DD" w:rsidP="005728DD">
      <w:pPr>
        <w:pStyle w:val="TextoNormal"/>
      </w:pPr>
    </w:p>
    <w:p w:rsidR="005728DD" w:rsidRDefault="005728DD" w:rsidP="005728DD">
      <w:pPr>
        <w:pStyle w:val="TextoNormal"/>
      </w:pPr>
      <w:r>
        <w:t>Por último, alega que el proceder judicial en relación a la notificación realizada no es en absoluto caprichoso y tampoco emplea argumentos de la doctrina administrativa para resolver un asunto de lesión de derechos fundamentales. La notificación está correctamente realizada, pues el órgano judicial se adecuó a los requisitos procesales exigidos tras la promulgación de la Ley 42/2015, de 5 de octubre, que obligó a las personas jurídicas a relacionarse con la administración de justicia por vía telemática a través de la dirección electrónica habilitada. Insiste en que el Juzgado actuó de conformidad con lo dispuesto por la Ley y la interpretación jurisprudencial y doctrinal que se hacía de la norma en el momento de practicar la notificación.</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providencia 11 de marzo de 2021 se señaló para deliberación y votación de la presente sentencia el día 15 de dicho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presente demanda de amparo plantea un supuesto de hecho idéntico a los ya resueltos en anteriores precedentes de este tribunal, en los que se impugnaba la actuación judicial consistente en la inadmisión de incidentes de nulidad de actuaciones, por considerar realizados conforme a derecho las notificaciones de la admisión de una demanda y el consiguiente emplazamiento para personación a través del servicio de notificaciones electrónicas y de dirección electrónica habilitada de la Fábrica Nacional de Moneda y Timbre.</w:t>
      </w:r>
    </w:p>
    <w:p w:rsidR="005728DD" w:rsidRDefault="005728DD" w:rsidP="005728DD">
      <w:pPr>
        <w:pStyle w:val="TextoNormal"/>
      </w:pPr>
    </w:p>
    <w:p w:rsidR="005728DD" w:rsidRDefault="005728DD" w:rsidP="005728DD">
      <w:pPr>
        <w:pStyle w:val="TextoNormal"/>
      </w:pPr>
      <w:r>
        <w:t>La demanda de amparo alega vulneración del derecho a la tutela judicial efectiva, en su vertiente de derecho a no padecer indefensión, al no haberse efectuado aquel emplazamiento de manera personal y con entrega en papel de la documentación correspondiente, tal y como establecen las normas de la Ley de enjuiciamiento civil.</w:t>
      </w:r>
    </w:p>
    <w:p w:rsidR="005728DD" w:rsidRDefault="005728DD" w:rsidP="005728DD">
      <w:pPr>
        <w:pStyle w:val="TextoNormal"/>
      </w:pPr>
    </w:p>
    <w:p w:rsidR="005728DD" w:rsidRDefault="005728DD" w:rsidP="005728DD">
      <w:pPr>
        <w:pStyle w:val="TextoNormal"/>
      </w:pPr>
      <w:r>
        <w:t>El Ministerio Fiscal, por su parte, interesa la estimación de la demanda. La parte contraria en el procedimiento judicial de origen interesa la desestimación del recurso por los motivos recogidos en los antecedentes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Sobre la especial trascendencia constitucional del recurso</w:t>
      </w:r>
      <w:r>
        <w:t>.</w:t>
      </w:r>
    </w:p>
    <w:p w:rsidR="005728DD" w:rsidRDefault="005728DD" w:rsidP="005728DD">
      <w:pPr>
        <w:pStyle w:val="TextoNormal"/>
      </w:pPr>
    </w:p>
    <w:p w:rsidR="005728DD" w:rsidRDefault="005728DD" w:rsidP="005728DD">
      <w:pPr>
        <w:pStyle w:val="TextoNormal"/>
      </w:pPr>
      <w:r>
        <w:t>Antes de entrar en el análisis de fondo, hemos de efectuar una consideración previa en relación con el óbice procesal alegado por la representación procesal de la entidad REC Accesorios, S.L., relativo a la falta de especial trascendencia constitucional del recurso.</w:t>
      </w:r>
    </w:p>
    <w:p w:rsidR="005728DD" w:rsidRDefault="005728DD" w:rsidP="005728DD">
      <w:pPr>
        <w:pStyle w:val="TextoNormal"/>
      </w:pPr>
    </w:p>
    <w:p w:rsidR="005728DD" w:rsidRDefault="005728DD" w:rsidP="005728DD">
      <w:pPr>
        <w:pStyle w:val="TextoNormal"/>
      </w:pPr>
      <w:r>
        <w:t>Como hemos tenido la oportunidad de señalar en otras ocasiones, el momento procesal idóneo para el análisis del cumplimiento de este requisito material de admisibilidad es el trámite de admisión de la demanda de amparo (SSTC 126/2013, de 3 de junio, FJ 2; 170/2013, de 7 de octubre, FJ 2, y 191/2013, de 18 de noviembre, FJ 2), correspondiendo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(SSTC 95/2010, de 15 de noviembre, FJ 4; 47/2014, de 7 de abril, FJ 2, y 54/2015, de 16 de marzo, FJ 4). Pues bien, en tal fase procesal apreciamos —sin que encontremos ahora razones para modificar esa inicial apreciación— que concurre en el mismo una especial trascendencia constitucional “como consecuencia de que el órgano judicial pudiera haber incurrido en una negativa manifiesta del deber de acatamiento de la doctrina de este tribunal” [STC 155/2009, de 25 de junio, FJ 2 a)].</w:t>
      </w:r>
    </w:p>
    <w:p w:rsidR="005728DD" w:rsidRDefault="005728DD" w:rsidP="005728DD">
      <w:pPr>
        <w:pStyle w:val="TextoNormal"/>
      </w:pPr>
    </w:p>
    <w:p w:rsidR="005728DD" w:rsidRDefault="005728DD" w:rsidP="005728DD">
      <w:pPr>
        <w:pStyle w:val="TextoNormal"/>
      </w:pPr>
      <w:r>
        <w:t>La parte demandante en el procedimiento de origen considera que no se cumple el requisito de la especial trascendencia constitucional de este recurso porque, si bien en la demanda se alegan tres motivos que en su enunciado justificarían la especial trascendencia constitucional, no se razona en el desarrollo argumental de los referidos motivos por qué el contenido del recurso merece una decisión de fondo, más allá de la propia vulneración alegada.</w:t>
      </w:r>
    </w:p>
    <w:p w:rsidR="005728DD" w:rsidRDefault="005728DD" w:rsidP="005728DD">
      <w:pPr>
        <w:pStyle w:val="TextoNormal"/>
      </w:pPr>
    </w:p>
    <w:p w:rsidR="005728DD" w:rsidRDefault="005728DD" w:rsidP="005728DD">
      <w:pPr>
        <w:pStyle w:val="TextoNormal"/>
      </w:pPr>
      <w:r>
        <w:t xml:space="preserve">Sin embargo, un análisis de la justificación de la especial trascendencia constitucional alegada en la demanda, nos lleva a la conclusión de que esta expone y argumenta los motivos por los que entiende que concurre este requisito procesal. El recurrente no alega ningún apartado concreto de la STC 155/2009, pero de los términos de su escrito se deduce que invoca un incumplimiento del deber del órgano judicial de acatar la doctrina de este tribunal y, así, literalmente el segundo de los apartados, de los tres en que divide la justificación de la especial trascendencia constitucional del recurso, lleva por rúbrica “Resistencia al acatamiento de la doctrina constitucional”. En este apartado señala el recurrente que el auto recurrido recoge los pronunciamientos del Tribunal Constitucional sobre la materia, pero “subyace en la construcción del auto una posición </w:t>
      </w:r>
      <w:r w:rsidRPr="005728DD">
        <w:rPr>
          <w:i/>
        </w:rPr>
        <w:t>ab initio</w:t>
      </w:r>
      <w:r>
        <w:t xml:space="preserve"> contraria a la aplicación de la doctrina del Tribunal Constitucional, la cual era clara y patente para el juez </w:t>
      </w:r>
      <w:r w:rsidRPr="005728DD">
        <w:rPr>
          <w:i/>
        </w:rPr>
        <w:t>a quo</w:t>
      </w:r>
      <w:r>
        <w:t>”. Añade que, “se advierte a tiempo que, con posterioridad al primer acto de lesión del derecho fundamental —el decreto de emplazamiento—, el Tribunal Constitucional se ha pronunciado en contra de la práctica procesal que hemos denunciado en todo el recurso de amparo, por lo que había momento para corregir la lesión”. De ahí se desprende, continúa el recurrente, “una obstrucción directa a la aplicación de la Constitución en el caso, que contraría toda la doctrina del Tribunal Constitucional al respecto, resistiendo a dejar sin efecto una resolución judicial —el emplazamiento— bajo una argumentación fútil que se condensa en que se ha conocido su carácter contrario a la Constitución demasiado tarde”.</w:t>
      </w:r>
    </w:p>
    <w:p w:rsidR="005728DD" w:rsidRDefault="005728DD" w:rsidP="005728DD">
      <w:pPr>
        <w:pStyle w:val="TextoNormal"/>
      </w:pPr>
    </w:p>
    <w:p w:rsidR="005728DD" w:rsidRDefault="005728DD" w:rsidP="005728DD">
      <w:pPr>
        <w:pStyle w:val="TextoNormal"/>
      </w:pPr>
      <w:r>
        <w:t xml:space="preserve">Ciertamente mediante dicha alegación la mercantil recurrente cumple con la previsión del art. 49.1 </w:t>
      </w:r>
      <w:r w:rsidRPr="005728DD">
        <w:rPr>
          <w:i/>
        </w:rPr>
        <w:t>in fine</w:t>
      </w:r>
      <w:r>
        <w:t xml:space="preserve"> LOTC, según la cual, en todo caso, “la demanda justificará la especial trascendencia constitucional del recurso”, y con la carga procesal que la misma encarna, así como con la finalidad de colaborar con la justicia constitucional que dicha previsión pretende, (STC 178/2012, de 15 de octubre, FJ 3), satisfaciendo el “esfuerzo argumental” exigido (ATC 154/2010, de 15 de noviembre, FJ 4). En efecto, la recurrente ha tratado de justificar la especial trascendencia constitucional del recurso en el hecho de existir una doctrina específica del Tribunal Constitucional sobre el cabal entendimiento del art. 155.1 LEC y su conexión con el art. 24.1 CE que el órgano judicial decide no aplicar. De este modo, no se ha limitado a efectuar una mera afirmación sobre la existencia de la vulneración de un derecho fundamental, como sostiene la representación de REC Accesorios, S.L., y que en modo alguno permitiría el cumplimiento de la carga procesal exigida, sino que ha disociado adecuadamente la argumentación tendente a evidenciar la existencia de la lesión del derecho fundamental y los razonamientos específicamente dirigidos a justificar que el recurso presenta especial trascendencia constitucional (STC 17/2011, de 28 de febrero, FJ 2).</w:t>
      </w:r>
    </w:p>
    <w:p w:rsidR="005728DD" w:rsidRDefault="005728DD" w:rsidP="005728DD">
      <w:pPr>
        <w:pStyle w:val="TextoNormal"/>
      </w:pPr>
    </w:p>
    <w:p w:rsidR="005728DD" w:rsidRDefault="005728DD" w:rsidP="005728DD">
      <w:pPr>
        <w:pStyle w:val="TextoNormal"/>
      </w:pPr>
      <w:r>
        <w:t>De acuerdo con lo expuesto, el óbice planteado ha de ser desestimado.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del Tribunal Constitucional sobre la cuestión planteada</w:t>
      </w:r>
      <w:r>
        <w:t>.</w:t>
      </w:r>
    </w:p>
    <w:p w:rsidR="005728DD" w:rsidRDefault="005728DD" w:rsidP="005728DD">
      <w:pPr>
        <w:pStyle w:val="TextoNormal"/>
      </w:pPr>
    </w:p>
    <w:p w:rsidR="005728DD" w:rsidRDefault="005728DD" w:rsidP="005728DD">
      <w:pPr>
        <w:pStyle w:val="TextoNormal"/>
      </w:pPr>
      <w:r>
        <w:t>Una vez desestimada la cuestión formal alegada, y planteado el debate en los términos descritos, debe indicarse que el Pleno de este tribunal ha dictado la STC 40/2020, de 27 de febrero, en la que ha tenido la oportunidad de resolver un recurso de amparo donde se dio respuesta a los mismos argumentos que defienden aquí las partes, con fallo estimatorio de la demanda. El pronunciamiento contenido en la citada STC 40/2020, ha sido ulteriormente reiterado en las SSTC 43/2020, de 9 de marzo; 55/2020, de 15 de junio; 76/2020, de 29 de junio; 176/2020, de 30 de noviembre, o 33/2021, de 15 de febrero.</w:t>
      </w:r>
    </w:p>
    <w:p w:rsidR="005728DD" w:rsidRDefault="005728DD" w:rsidP="005728DD">
      <w:pPr>
        <w:pStyle w:val="TextoNormal"/>
      </w:pPr>
    </w:p>
    <w:p w:rsidR="005728DD" w:rsidRDefault="005728DD" w:rsidP="005728DD">
      <w:pPr>
        <w:pStyle w:val="TextoNormal"/>
      </w:pPr>
      <w:r>
        <w:t>Descartada en este caso la concurrencia de algún elemento distintivo que obligue a una fundamentación o resultado diferente a lo declarado entonces, procede por tanto que hagamos aplicación de la doctrina expuesta en el citado precedente.</w:t>
      </w:r>
    </w:p>
    <w:p w:rsidR="005728DD" w:rsidRDefault="005728DD" w:rsidP="005728DD">
      <w:pPr>
        <w:pStyle w:val="TextoNormal"/>
      </w:pPr>
    </w:p>
    <w:p w:rsidR="005728DD" w:rsidRDefault="005728DD" w:rsidP="005728DD">
      <w:pPr>
        <w:pStyle w:val="TextoNormal"/>
      </w:pPr>
      <w:r>
        <w:t>Así,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LEC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[del] derecho fundamental” a la tutela judicial efectiva, como ya ha declarado este tribunal en varios recursos de amparo referidos a procesos laborales, civiles y concursales, que se especifican en el mismo fundamento jurídico 3, precisamente en aplicación de la doctrina de referencia (ver, en tal sentido, las SSTC 102/2019, de 16 de septiembre, FJ 2; 150/2019, de 25 de noviembre, FJ 3; 7/2020, de 27 de enero, FJ 2; 122/2019, de 28 de octubre, FJ 3, y STC 129/2019, de 11 de noviembre, FJ 4).</w:t>
      </w:r>
    </w:p>
    <w:p w:rsidR="005728DD" w:rsidRDefault="005728DD" w:rsidP="005728DD">
      <w:pPr>
        <w:pStyle w:val="TextoNormal"/>
      </w:pPr>
    </w:p>
    <w:p w:rsidR="005728DD" w:rsidRDefault="005728DD" w:rsidP="005728DD">
      <w:pPr>
        <w:pStyle w:val="TextoNormal"/>
      </w:pPr>
      <w:r>
        <w:t>Finalmente, constata la STC 40/2020, en su fundamento jurídico 4, como ha de hacerse también en el presente supuesto, que las resoluciones judiciales impugnadas vulneraron el derecho a la tutela judicial efectiva de la recurrente. El juzgado optó por un emplazamiento a través del servicio de notificaciones electrónicas y dirección electrónica habilitada de la Fábrica Nacional de Moneda y Timbre, que no está previsto en la normativa procesal para estos casos. Ese sistema de notificación determinó que el procedimiento se siguiera a espaldas de la entidad ahora recurrente, que no pudo ejercer las acciones que tuviera por conveniente.</w:t>
      </w:r>
    </w:p>
    <w:p w:rsidR="005728DD" w:rsidRDefault="005728DD" w:rsidP="005728DD">
      <w:pPr>
        <w:pStyle w:val="TextoNormal"/>
      </w:pPr>
    </w:p>
    <w:p w:rsidR="005728DD" w:rsidRDefault="005728DD" w:rsidP="005728DD">
      <w:pPr>
        <w:pStyle w:val="TextoNormal"/>
      </w:pPr>
      <w:r>
        <w:t>Una vez tuvo conocimiento del proceso, y planteado el correspondiente incidente de nulidad de actuaciones, este fue indebidamente desestimado.</w:t>
      </w:r>
    </w:p>
    <w:p w:rsidR="005728DD" w:rsidRDefault="005728DD" w:rsidP="005728DD">
      <w:pPr>
        <w:pStyle w:val="TextoNormal"/>
      </w:pPr>
    </w:p>
    <w:p w:rsidR="005728DD" w:rsidRDefault="005728DD" w:rsidP="005728DD">
      <w:pPr>
        <w:pStyle w:val="TextoNormal"/>
      </w:pPr>
      <w:r>
        <w:t>En efecto, la entidad recurrente expuso ante el juzgado la existencia de una doctrina consolidada de este tribunal, y el juzgado rechazó su aplicación mediante la invocación de su supuesta irretroactividad y de una pretendida primacía vinculante de unas instrucciones gubernativas sobre los sistemas de notificaciones telemáticas.</w:t>
      </w:r>
    </w:p>
    <w:p w:rsidR="005728DD" w:rsidRDefault="005728DD" w:rsidP="005728DD">
      <w:pPr>
        <w:pStyle w:val="TextoNormal"/>
      </w:pPr>
    </w:p>
    <w:p w:rsidR="005728DD" w:rsidRDefault="005728DD" w:rsidP="005728DD">
      <w:pPr>
        <w:pStyle w:val="TextoNormal"/>
      </w:pPr>
      <w:r>
        <w:t xml:space="preserve">Los razonamientos empleados en el auto impugnado no pueden ser acogidos. El juzgado consideró que no debía aplicar la doctrina de este tribunal, argumentando para ello lo dispuesto en los arts. 31.1 y 40 LOTC que, como el propio juzgado reconoce, están previstos para los procedimientos de inconstitucionalidad de disposiciones normativas (art. 40 LOTC), de naturaleza muy diversa a la que nos ocupa. Menor consistencia tiene el argumento de que se actuó en cumplimiento de las instrucciones gubernativas recibidas sobre la utilización del sistema de notificaciones telemáticas con las personas jurídicas, que se modificaron con posterioridad a las sentencias de este tribunal invocadas en el incidente. De </w:t>
      </w:r>
      <w:r>
        <w:lastRenderedPageBreak/>
        <w:t>esta forma, el juzgado obviaba el deber contenido en el art. 5.1 LOPJ de interpretar y aplicar las leyes y los reglamentos según los preceptos y principios constitucionales, “conforme a la interpretación de los mismos que resulte de las resoluciones dictadas por el Tribunal Constitucional en todo tipo de procesos”. Una vez invocada la doctrina de este tribunal, el juzgado debió aplicarla en el caso concreto a fin de reparar la vulneración alegada, lo que no hizo.</w:t>
      </w:r>
    </w:p>
    <w:p w:rsidR="005728DD" w:rsidRDefault="005728DD" w:rsidP="005728DD">
      <w:pPr>
        <w:pStyle w:val="TextoNormal"/>
      </w:pPr>
    </w:p>
    <w:p w:rsidR="005728DD" w:rsidRDefault="005728DD" w:rsidP="005728DD">
      <w:pPr>
        <w:pStyle w:val="TextoNormal"/>
      </w:pPr>
      <w:r>
        <w:t>En consecuencia, procede la estimación del amparo por vulneración del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Procede, igualmente, el restablecimiento del derecho vulnerado, acordando la nulidad de la resolución impugnada y de todo lo actuado en el procedimiento de origen,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Grúas Puente Rublán, S.L.,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Restablecerla en su derecho y, a tal fin, declarar la nulidad del auto de 20 de enero de 2020, dictado por el Juzgado de Primera Instancia e Instrucción núm. 2 de Benavente, en el proceso ordinario núm. 297-2018, así como la nulidad de las actuaciones realizadas a partir del decreto de 17 de septiembre de 2018, por el que se acordó la admisión a trámite de la demanda y la notificación y emplazamiento a la parte demandada, ahora recurrente.</w:t>
      </w:r>
    </w:p>
    <w:p w:rsidR="005728DD" w:rsidRDefault="005728DD" w:rsidP="005728DD">
      <w:pPr>
        <w:pStyle w:val="TextoNormal"/>
      </w:pPr>
    </w:p>
    <w:p w:rsidR="005728DD" w:rsidRDefault="005728DD" w:rsidP="005728DD">
      <w:pPr>
        <w:pStyle w:val="TextoNormal"/>
      </w:pPr>
      <w:r>
        <w:t>3º Retrotraer el procedimiento al momento inmediatamente posterior al dictado del decreto de 17 de septiembre de 2018, debiendo llevarse a cabo de nuevo por el juzgado el trámite de notificación y emplazamiento a la parte demandada,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8" w:name="SENTENCIA_2021_65"/>
      <w:r>
        <w:lastRenderedPageBreak/>
        <w:t>SENTENCIA 65/2021, de 15 de marzo de 2021</w:t>
      </w:r>
    </w:p>
    <w:bookmarkEnd w:id="68"/>
    <w:p w:rsidR="005728DD" w:rsidRDefault="005728DD" w:rsidP="005728DD">
      <w:pPr>
        <w:pStyle w:val="TtuloResolucin"/>
      </w:pPr>
      <w:r>
        <w:t>Sala Segunda</w:t>
      </w:r>
    </w:p>
    <w:p w:rsidR="005728DD" w:rsidRDefault="005728DD" w:rsidP="005728DD">
      <w:pPr>
        <w:pStyle w:val="TtuloBOE"/>
      </w:pPr>
      <w:r>
        <w:t>(BOE núm. 97, de 23 de abril de 2021)</w:t>
      </w:r>
    </w:p>
    <w:p w:rsidR="005728DD" w:rsidRDefault="005728DD" w:rsidP="005728DD">
      <w:pPr>
        <w:pStyle w:val="TextoNormalCentrado"/>
      </w:pPr>
      <w:r>
        <w:t>ECLI:ES:TC:2021:65</w:t>
      </w:r>
    </w:p>
    <w:p w:rsidR="005728DD" w:rsidRDefault="005728DD" w:rsidP="005728DD">
      <w:pPr>
        <w:pStyle w:val="TextoNormalCentrado"/>
      </w:pPr>
    </w:p>
    <w:p w:rsidR="005728DD" w:rsidRDefault="005728DD" w:rsidP="005728DD">
      <w:pPr>
        <w:pStyle w:val="SntesisDescriptiva"/>
      </w:pPr>
      <w:r>
        <w:t>Recurso de amparo 976-2020. Promovido por la entidad Banco Santander, S.A., con respecto a la sentencia de la Sala de lo Civil y Penal del Tribunal Superior de Justicia de Madrid estimatoria de una acción de anulación de laudo arbitral.</w:t>
      </w:r>
    </w:p>
    <w:p w:rsidR="005728DD" w:rsidRDefault="005728DD" w:rsidP="005728DD">
      <w:pPr>
        <w:pStyle w:val="SntesisDescriptiva"/>
      </w:pPr>
    </w:p>
    <w:p w:rsidR="005728DD" w:rsidRDefault="005728DD" w:rsidP="005728DD">
      <w:pPr>
        <w:pStyle w:val="SntesisAnaltica"/>
      </w:pPr>
      <w:r>
        <w:t>Vulneración del derecho a la tutela judicial efectiva (motivación): irrazonable extensión de la noción de orden público (SSTC 46/2020 y 17/2021).</w:t>
      </w:r>
    </w:p>
    <w:p w:rsidR="005728DD" w:rsidRDefault="005728DD" w:rsidP="005728DD">
      <w:pPr>
        <w:pStyle w:val="SntesisAnaltica"/>
      </w:pPr>
    </w:p>
    <w:p w:rsidR="005728DD" w:rsidRDefault="005728DD" w:rsidP="005728DD">
      <w:pPr>
        <w:pStyle w:val="Extracto"/>
      </w:pPr>
      <w:r>
        <w:t>1.</w:t>
      </w:r>
      <w:r>
        <w:tab/>
        <w:t>Jurisprudencia constitucional sobre la infracción del orden público como causa de anulación de los laudos arbitrales y su proyección sobre el derecho a la tutela judicial efectiva (art. 24.1 CE) (SSTC 46/2020 y 17/2021) [FJ 3].</w:t>
      </w:r>
    </w:p>
    <w:p w:rsidR="005728DD" w:rsidRDefault="005728DD" w:rsidP="005728DD">
      <w:pPr>
        <w:pStyle w:val="Extracto"/>
      </w:pPr>
    </w:p>
    <w:p w:rsidR="005728DD" w:rsidRDefault="005728DD" w:rsidP="005728DD">
      <w:pPr>
        <w:pStyle w:val="Extracto"/>
      </w:pPr>
      <w:r>
        <w:t>2.</w:t>
      </w:r>
      <w:r>
        <w:tab/>
        <w:t>Doctrina constitucional en materia de naturaleza del arbitraje y su reconocimiento constitucional (STC 17/2021) [FJ 4].</w:t>
      </w:r>
    </w:p>
    <w:p w:rsidR="005728DD" w:rsidRDefault="005728DD" w:rsidP="005728DD">
      <w:pPr>
        <w:pStyle w:val="Extracto"/>
      </w:pPr>
    </w:p>
    <w:p w:rsidR="005728DD" w:rsidRDefault="005728DD" w:rsidP="005728DD">
      <w:pPr>
        <w:pStyle w:val="Extracto"/>
      </w:pPr>
      <w:r>
        <w:t>3.</w:t>
      </w:r>
      <w:r>
        <w:tab/>
        <w:t>El órgano judicial que tiene atribuida la facultad de control del laudo arbitral, como resultado del ejercicio de una acción extraordinaria de anulación, no puede examinar la idoneidad, suficiencia o adecuación de la motivación, sino únicamente comprobar su existencia, porque, salvo que las partes hubieren pactado unas determinadas exigencias respecto a la motivación, su insuficiencia o inadecuación, el alcance o la suficiencia de la motivación no puede desprenderse de la voluntad de las partes (art. 10 CE) [FJ 5].</w:t>
      </w:r>
    </w:p>
    <w:p w:rsidR="005728DD" w:rsidRDefault="005728DD" w:rsidP="005728DD">
      <w:pPr>
        <w:pStyle w:val="Extracto"/>
      </w:pPr>
    </w:p>
    <w:p w:rsidR="005728DD" w:rsidRDefault="005728DD" w:rsidP="005728DD">
      <w:pPr>
        <w:pStyle w:val="Extracto"/>
      </w:pPr>
      <w:r>
        <w:t>4.</w:t>
      </w:r>
      <w:r>
        <w:tab/>
        <w:t>En aquellos supuestos en los que el árbitro razona y argumenta su decisión, habrá visto cumplida la exigencia de motivación, sin que el órgano judicial pueda revisar su adecuación al derecho aplicable o entrar a juzgar sobre la correcta valoración de las pruebas, por más que de haber sido él quien tuviera encomendado el enjuiciamiento del asunto, las hubiera razonado y valorado de diversa manera [FJ 5].</w:t>
      </w:r>
    </w:p>
    <w:p w:rsidR="005728DD" w:rsidRDefault="005728DD" w:rsidP="005728DD">
      <w:pPr>
        <w:pStyle w:val="Extracto"/>
      </w:pPr>
    </w:p>
    <w:p w:rsidR="005728DD" w:rsidRDefault="005728DD" w:rsidP="005728DD">
      <w:pPr>
        <w:pStyle w:val="Extracto"/>
      </w:pPr>
      <w:r>
        <w:t>5.</w:t>
      </w:r>
      <w:r>
        <w:tab/>
        <w:t>Las posibilidades de control judicial sobre la motivación del laudo son similares a las que el Tribunal reconoce cuando revisa en amparo las decisiones judiciales, que no es una tercera instancia casacional en la que se pueda entrar a valorar las pruebas, sustituyendo a los jueces y tribunales ordinarios en la función exclusiva que les atribuye el art. 117.3 CE, quedando limitada su función a comprobar que haya habido una actividad probatoria de cargo válida y que la resolución judicial no haya sido arbitraria, irracional o absurda (SSTC 96/2000 y 12/2004); es decir, debe controlar únicamente la razonabilidad del discurso que une la actividad probatoria y el relato fáctico que de ella resulta (SSTC 123/2006, 245/2007 y 147/2009) [FJ 5].</w:t>
      </w:r>
    </w:p>
    <w:p w:rsidR="005728DD" w:rsidRDefault="005728DD" w:rsidP="005728DD">
      <w:pPr>
        <w:pStyle w:val="Extracto"/>
      </w:pPr>
    </w:p>
    <w:p w:rsidR="005728DD" w:rsidRDefault="005728DD" w:rsidP="005728DD">
      <w:pPr>
        <w:pStyle w:val="Extracto"/>
      </w:pPr>
      <w:r>
        <w:t>6.</w:t>
      </w:r>
      <w:r>
        <w:tab/>
        <w:t>Asentado el arbitraje en la autonomía de la voluntad y la libertad de los particulares (arts. 1 y 10 CE), el deber de motivación del laudo no se integra en el orden público exigido en el art. 24 CE para la resolución judicial, sino que se ajusta a un parámetro propio, definido en función del art. 10 CE [FJ 5].</w:t>
      </w:r>
    </w:p>
    <w:p w:rsidR="005728DD" w:rsidRDefault="005728DD" w:rsidP="005728DD">
      <w:pPr>
        <w:pStyle w:val="Extracto"/>
      </w:pPr>
    </w:p>
    <w:p w:rsidR="005728DD" w:rsidRDefault="005728DD" w:rsidP="005728DD">
      <w:pPr>
        <w:pStyle w:val="Extracto"/>
      </w:pPr>
      <w:r>
        <w:t>7.</w:t>
      </w:r>
      <w:r>
        <w:tab/>
        <w:t>Corresponde a las partes sometidas a arbitraje pactar las normas arbitrales, el número de árbitros, la naturaleza del arbitraje o las reglas de prueba y si el laudo debe estar motivado y en qué términos. En consecuencia, la motivación de los laudos arbitrales carece de incidencia en el orden público [FJ 5].</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976-2020, promovido por la entidad Banco Santander, S.A., representada por la procuradora de los tribunales doña María José Bueno Ramírez, bajo la dirección del letrado don Álvaro Alarcón Dávalos, contra la providencia de la Sala de lo Civil y Penal del Tribunal Superior de Justicia de Madrid de 26 de diciembre de 2019, por la que se inadmite el incidente de nulidad de actuaciones interpuesto contra la sentencia de 1 de octubre de 2019, pronunciada en el procedimiento asunto civil 13-2019 nulidad de laudo arbitral núm. 11-2019. Ha comparecido la entidad Casa Depot, S.L., representada por la procuradora de los tribunales doña Isabel Soberón García de Enterría, bajo la dirección de la letrada doña María del Carmen Esteve Arce.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entidad Banco Santander, S.A., representada por la procuradora de los tribunales doña María José Bueno Ramírez y bajo la asistencia del letrado don Álvaro Alarcón Dávalos, interpuso demanda de amparo contra las resoluciones que se mencionan en el encabezamiento, mediante escrito registrado en este tribunal el 14 de febrero de 2020.</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 xml:space="preserve">a) La entidad Casa Depot, S.L., inició el 20 de diciembre de 2017 un arbitraje de equidad contra la entidad Banco Popular Español, S.A., —que luego sería sustituida por la entidad Banco Santander, S.A.— ante la corte de arbitraje de la Cámara Oficial de Comercio, Industria y Servicios de Madrid en relación con la suscripción de un contrato de confirmación rango bonificado doble euro (SWAP) de 20 de mayo de 2008, en cuya cláusula vigesimotercera se pactaba la sumisión de sus controversias a arbitraje. La demanda interesaba que </w:t>
      </w:r>
      <w:r>
        <w:lastRenderedPageBreak/>
        <w:t>se declarase el incumplimiento por parte de la entidad bancaria de sus obligaciones legales de información en la fase precontractual y la correspondiente indemnización.</w:t>
      </w:r>
    </w:p>
    <w:p w:rsidR="005728DD" w:rsidRDefault="005728DD" w:rsidP="005728DD">
      <w:pPr>
        <w:pStyle w:val="TextoNormal"/>
      </w:pPr>
    </w:p>
    <w:p w:rsidR="005728DD" w:rsidRDefault="005728DD" w:rsidP="005728DD">
      <w:pPr>
        <w:pStyle w:val="TextoNormal"/>
      </w:pPr>
      <w:r>
        <w:t>b) La corte de arbitraje dictó laudo arbitral de equidad el 4 de diciembre de 2018 estimando parcialmente las pretensiones de la entidad Casa Depot, S.L., declarando el incumplimiento por la entidad Banco Santander, S.A., de las obligaciones legales de información en la fase precontractual, pero denegó la indemnización de daños y perjuicios al no haber ocasionado el contrato SWAP perjuicio alguno, pues el contrato cumplió su función y la demandante incurrió en deslealtad por retraso en la reclamación.</w:t>
      </w:r>
    </w:p>
    <w:p w:rsidR="005728DD" w:rsidRDefault="005728DD" w:rsidP="005728DD">
      <w:pPr>
        <w:pStyle w:val="TextoNormal"/>
      </w:pPr>
    </w:p>
    <w:p w:rsidR="005728DD" w:rsidRDefault="005728DD" w:rsidP="005728DD">
      <w:pPr>
        <w:pStyle w:val="TextoNormal"/>
      </w:pPr>
      <w:r>
        <w:t>En el laudo se expone que la entidad demandante no había aportado justificación sobre el retraso en presentar su reclamación ni efectuado queja alguna en relación a la suscripción del contrato, sus liquidaciones y las consecuencias económicas negativas que decía haber sufrido. Añade que, en juicio de equidad, no puede pronunciarse un laudo de condena resarcitoria, ya que (i) se han dejado transcurrir diez años desde la formalización del contrato y seis años desde su finalización y/o consumación; (ii) se han pagado anualmente las liquidaciones de la cobertura de tipo de interés sin objeción alguna, y (iii) no se ha efectuado reclamación de ningún tipo al banco. En el laudo se afirma que “en este caso, al dejar transcurrir este plazo temporal, la demandante actúa contra sus propios actos y ha generado una legítima expectativa en la demandada de que la relación jurídica amparada en dicho contrato estaba definitivamente zanjada e íntegramente cumplida, al no existir ningún tipo de reclamación previa, a lo largo de la vida del contrato, e incluso con posterioridad”. También se pone de manifiesto que “no podemos obviar que los reproches que la demandante efectúa a la demandada, se corresponden con una insuficiencia informativa que sitúa en la fase precontractual. Como ha señalado, entre otras, la sentencia de la Sección Novena de la Audiencia Provincial de Madrid, de 23 de noviembre de 2017, no puede, sobre la base de defectos de información que habrían impedido formar válidamente el consentimiento, reclamarse por vía de responsabilidad contractual la restitución de las prestaciones de un contrato que en apariencia es válido, puesto que no fue impugnado en plazo”. Se añade que “por si lo anterior no resultase ser suficiente en orden a desestimar la concreta acción indemnizatoria entablada por la demandante hemos de incidir sobre el hecho de que esta trata de identificar y entrelazar la existencia del incumplimiento de las obligaciones de información de la demandada con el supuesto daño causado que, directamente y sin mayor explicación, hace coincidir con el importe de las liquidaciones negativas satisfechas por la demandante en ejecución del contrato”. Se concluye que “por tanto, la alegación de la demandante sobre la inadecuación del contrato que justifica su pretensión indemnizatoria no se ajusta a la realidad y, conforme a la prueba pericial de ambas partes, hemos de concluir que el contrato SWAP cumplió el propósito para el que fue concebido de ofrecer cobertura al riesgo de subida de tipo de interés, razón esta última que junto a las anteriormente expuestas deben necesariamente conducirnos a desestimar la acción indemnizatoria pretendida de contrario”.</w:t>
      </w:r>
    </w:p>
    <w:p w:rsidR="005728DD" w:rsidRDefault="005728DD" w:rsidP="005728DD">
      <w:pPr>
        <w:pStyle w:val="TextoNormal"/>
      </w:pPr>
    </w:p>
    <w:p w:rsidR="005728DD" w:rsidRDefault="005728DD" w:rsidP="005728DD">
      <w:pPr>
        <w:pStyle w:val="TextoNormal"/>
      </w:pPr>
      <w:r>
        <w:t>c) La entidad Casa Depot, S.L., interpuso acción de anulación parcial contra el laudo ante la Sala de lo Civil y Penal del Tribunal Superior de Justicia de Madrid, que dio lugar al procedimiento asunto civil 13-2019 nulidad de laudo arbitral núm. 11-2019, argumentando, al amparo del art. 41.1 f) de la Ley 60/2003, de 23 de diciembre, de arbitraje (LA), que era contrario al orden público por arbitrario e incongruente, en relación con lo dispuesto en el art. 9 CE.</w:t>
      </w:r>
    </w:p>
    <w:p w:rsidR="005728DD" w:rsidRDefault="005728DD" w:rsidP="005728DD">
      <w:pPr>
        <w:pStyle w:val="TextoNormal"/>
      </w:pPr>
    </w:p>
    <w:p w:rsidR="005728DD" w:rsidRDefault="005728DD" w:rsidP="005728DD">
      <w:pPr>
        <w:pStyle w:val="TextoNormal"/>
      </w:pPr>
      <w:r>
        <w:lastRenderedPageBreak/>
        <w:t xml:space="preserve">La acción de nulidad parcial fue estimada por sentencia de 1 de octubre de 2019 con fundamento en que resultaba incoherente que el laudo reconociera que la entidad Banco Santander, S.A., había incumplido los deberes de información frente a la mercantil Casa Depot, S.L., y no conceder a esta indemnización alguna. Así, afirma que “la verdadera razón que nos lleva a estimar la demanda es el encaje de la pretensión de nulidad en el artículo 41.1 f) de la Ley de arbitraje: el laudo consideramos que es contrario al orden público (en este caso constitucional) por la contradicción que encierra al reconocer el palmario incumplimiento de los deberes bancarios y al mismo tiempo negarle toda trascendencia. En lo que incurre es en arbitrariedad por incoherencia, y con ello se contraviene el artículo 9.3 de la Constitución”. Todo ello, según afirma, basándose en la sentencia del Tribunal Supremo de 30 de septiembre de 2016, que analizaba dicho producto en unas condiciones similares y en la doctrina constitucional acerca del deber de motivación de las resoluciones judiciales que entiende aplicable </w:t>
      </w:r>
      <w:r w:rsidRPr="005728DD">
        <w:rPr>
          <w:i/>
        </w:rPr>
        <w:t>mutatis mutandi</w:t>
      </w:r>
      <w:r>
        <w:t xml:space="preserve"> a los arbitrajes.</w:t>
      </w:r>
    </w:p>
    <w:p w:rsidR="005728DD" w:rsidRDefault="005728DD" w:rsidP="005728DD">
      <w:pPr>
        <w:pStyle w:val="TextoNormal"/>
      </w:pPr>
    </w:p>
    <w:p w:rsidR="005728DD" w:rsidRDefault="005728DD" w:rsidP="005728DD">
      <w:pPr>
        <w:pStyle w:val="TextoNormal"/>
      </w:pPr>
      <w:r>
        <w:t>La sentencia, en relación con la posibilidad de anular parcialmente un laudo que infringe el orden público, afirma, citando jurisprudencia previa, que “la Ley de arbitraje no implica —ni literal ni en pura lógica jurídica— que en el ámbito del orden público, si tan sólo es una parte del laudo la que pudiera contravenirlo, y es esta la causa sobre la que se concentra la acción de anulación, el tribunal tenga prohibido acotar su atención y decisión sobre la única parte que se pretende anular. La interpretación que postula la demandada conduciría al absurdo de blindar de forma incólume todo aquel laudo arbitral que plasmase sus conclusiones combinando aciertos con vulneraciones de los derechos fundamentales, o bien obligaría a la parte que en su día pretendiese la corrección por nulidad, a combatir absolutamente el conjunto de la resolución, abarcando —a todas luces innecesariamente— en la tacha de nulidad incluso aquello que es correcto”.</w:t>
      </w:r>
    </w:p>
    <w:p w:rsidR="005728DD" w:rsidRDefault="005728DD" w:rsidP="005728DD">
      <w:pPr>
        <w:pStyle w:val="TextoNormal"/>
      </w:pPr>
    </w:p>
    <w:p w:rsidR="005728DD" w:rsidRDefault="005728DD" w:rsidP="005728DD">
      <w:pPr>
        <w:pStyle w:val="TextoNormal"/>
      </w:pPr>
      <w:r>
        <w:t>Por último, la sentencia establece que, aunque se trate de un laudo de equidad, se construye inequívocamente sobre un enfoque jurídico, ilustrado minuciosamente y con abundante cita jurisprudencial, del producto financiero contratado, que nadie discute que se incluye en la categoría de los denominados productos complejos. Por ello, entiende el órgano judicial que “desde este punto de vista, no podemos considerar que sea coherente la decisión arbitral (no por unanimidad) al afirmar que la entidad bancaria incumplió los deberes que le resultan exigibles en la comercialización del SWAP, pero a la vez denegar toda consecuencia a tan palmario incumplimiento (esta segunda parte adoptada curiosamente en contra del criterio del árbitro designado por el banco)”.</w:t>
      </w:r>
    </w:p>
    <w:p w:rsidR="005728DD" w:rsidRDefault="005728DD" w:rsidP="005728DD">
      <w:pPr>
        <w:pStyle w:val="TextoNormal"/>
      </w:pPr>
    </w:p>
    <w:p w:rsidR="005728DD" w:rsidRDefault="005728DD" w:rsidP="005728DD">
      <w:pPr>
        <w:pStyle w:val="TextoNormal"/>
      </w:pPr>
      <w:r>
        <w:t xml:space="preserve">d) La recurrente en amparo formuló incidente de nulidad de actuaciones invocando el derecho a la tutela efectiva (art. 24.1 CE), en su vertiente de derecho a obtener una resolución no incursa en arbitrariedad, argumentando que la sentencia no puede entrar a conocer del fondo del asunto y menos aplicar el canon de motivación de las sentencias para anular un laudo arbitral. Además, se señalaba que la doctrina sobre la que se entraba a conocer del fondo —la STS de 30 de septiembre de 2016— se encontraba superada por otras posteriores —STS de 20 de junio de 2018—. Por tanto, se corregía una supuesta arbitrariedad que no fue tal, aplicando una doctrina totalmente superada y adoptando, en consecuencia, una decisión arbitraria. Por último, se reiteraba la imposibilidad de anular parcialmente un laudo que vulnera el orden público, porque la Ley de arbitraje, para dichos supuestos, únicamente permite la anulación total. En última instancia, recordaba que, al tratarse de arbitraje de </w:t>
      </w:r>
      <w:r>
        <w:lastRenderedPageBreak/>
        <w:t>equidad no resultaba exigible, como cuestión de orden público, la motivación de la resolución.</w:t>
      </w:r>
    </w:p>
    <w:p w:rsidR="005728DD" w:rsidRDefault="005728DD" w:rsidP="005728DD">
      <w:pPr>
        <w:pStyle w:val="TextoNormal"/>
      </w:pPr>
    </w:p>
    <w:p w:rsidR="005728DD" w:rsidRDefault="005728DD" w:rsidP="005728DD">
      <w:pPr>
        <w:pStyle w:val="TextoNormal"/>
      </w:pPr>
      <w:r>
        <w:t>El incidente fue inadmitido por providencia de 26 de diciembre de 2019 por considerar que no se había infringido el derecho a la tutela judicial efectiva, afirmando que “no resulta asumible la denuncia de vulneración de tutela, ni por ello es admisible a trámite la petición de nulidad, cuando la Sala ha otorgado una decisión motivada en Derecho que no consideramos irracional ni arbitraria, discrepando además de la entidad que promueve el presente incidente en cuanto a la necesidad de que los laudos arbitrales —como fórmula alternativa a la jurisdicción para la resolución de controversias sobre materias disponibles— puedan prescindir de toda justificación motivada. Ello es contrario a lo previsto expresamente en el artículo 37.4 de la vigente Ley de arbitraje. Por flexible que pretenda ser la lectura de este artículo, no puede admitirse jurídicamente un mecanismo de resolución de conflictos, que aun basándose en la autonomía de la voluntad y sin calificarse estrictamente como ‘equivalente jurisdiccional’ prescinda de la exteriorización de las razones que sustentan la decisión, que además resulta exigible que no incurran en arbitrariedad, irracionalidad o incoherencia”.</w:t>
      </w:r>
    </w:p>
    <w:p w:rsidR="005728DD" w:rsidRDefault="005728DD" w:rsidP="005728DD">
      <w:pPr>
        <w:pStyle w:val="TextoNormal"/>
      </w:pPr>
    </w:p>
    <w:p w:rsidR="005728DD" w:rsidRDefault="005728DD" w:rsidP="005728DD">
      <w:pPr>
        <w:pStyle w:val="TextoNormal"/>
      </w:pPr>
      <w:r w:rsidRPr="005728DD">
        <w:rPr>
          <w:rStyle w:val="NumeroAFNegritaCaracter"/>
        </w:rPr>
        <w:t>3</w:t>
      </w:r>
      <w:r>
        <w:t>. La recurrente en amparo solicita la nulidad de las resoluciones judiciales impugnadas por vulneración de su derecho a la tutela judicial efectiva (art. 24.1 CE) y que se declare la validez y firmeza del laudo arbitral.</w:t>
      </w:r>
    </w:p>
    <w:p w:rsidR="005728DD" w:rsidRDefault="005728DD" w:rsidP="005728DD">
      <w:pPr>
        <w:pStyle w:val="TextoNormal"/>
      </w:pPr>
    </w:p>
    <w:p w:rsidR="005728DD" w:rsidRDefault="005728DD" w:rsidP="005728DD">
      <w:pPr>
        <w:pStyle w:val="TextoNormal"/>
      </w:pPr>
      <w:r>
        <w:t>La recurrente argumenta que las garantías y las exigencias jurisdiccionales contempladas en el art. 24 CE son de obligado cumplimiento en el proceso judicial pero no en el arbitral, que se basa en la autonomía de la voluntad de las partes (art. 10 CE), al que no le es de aplicación el art. 24 CE y, por consiguiente, tampoco las exigencias de motivación de las resoluciones judiciales (SSTC 176/1996, de 11 de noviembre, y 9/2005, de 17 de enero). A pesar de ello, el órgano judicial ha aplicado al laudo objeto de anulación esas exigencias de motivación de las resoluciones judiciales, llegando a la conclusión de que el laudo arbitral había vulnerado el orden público al haber ofrecido una motivación insuficiente incurriendo con ello en la causa de nulidad establecida en el art. 41.1 f) LA. Se subraya que (i) la legislación admite la posibilidad de que un laudo no esté motivado cuando las partes así lo acuerdan (art. 8 del Convenio europeo sobre arbitraje comercial internacional, hecho en Ginebra el 21 de abril de 1961) o si esa es la práctica en el tráfico de que se trata (art. 31.2 de la Ley modelo de arbitraje de la Comisión de las Naciones Unidas para el Derecho mercantil internacional), y (ii) que en este caso el arbitraje era de equidad, por lo que la falta o insuficiencia de motivación del laudo no puede ser una cuestión de orden público, pues es expresión del leal saber y entender de los árbitros que es el fundamento de aquel.</w:t>
      </w:r>
    </w:p>
    <w:p w:rsidR="005728DD" w:rsidRDefault="005728DD" w:rsidP="005728DD">
      <w:pPr>
        <w:pStyle w:val="TextoNormal"/>
      </w:pPr>
    </w:p>
    <w:p w:rsidR="005728DD" w:rsidRDefault="005728DD" w:rsidP="005728DD">
      <w:pPr>
        <w:pStyle w:val="TextoNormal"/>
      </w:pPr>
      <w:r>
        <w:t xml:space="preserve">La demandante de amparo expone que la resolución impugnada concluye que el laudo es irracional por haber llegado a conclusiones distintas a las alcanzadas por la Sala Primera del Tribunal Supremo y reflejadas en una sentencia que, sin embargo, se ha visto superada por otras posteriores. Así, aunque el colegio arbitral consideró que, pese al incumplimiento por la recurrente de amparo de sus deberes contractuales de información, dicha circunstancia no había generado ningún daño a la contraparte, razón por la cual desestimaba la acción de indemnización de daños y perjuicios, el Tribunal Superior de Justicia de Madrid, con base en una jurisprudencia ya superada (especialmente en la sentencia del Tribunal Supremo de 30 de septiembre de 2016), entendió que la responsabilidad por incumplimiento contractual </w:t>
      </w:r>
      <w:r>
        <w:lastRenderedPageBreak/>
        <w:t>lleva aparejada de por sí la producción de daños y, por consiguiente, el laudo arbitral había sido irracional al no condenar a Banco Santander, S.A.</w:t>
      </w:r>
    </w:p>
    <w:p w:rsidR="005728DD" w:rsidRDefault="005728DD" w:rsidP="005728DD">
      <w:pPr>
        <w:pStyle w:val="TextoNormal"/>
      </w:pPr>
    </w:p>
    <w:p w:rsidR="005728DD" w:rsidRDefault="005728DD" w:rsidP="005728DD">
      <w:pPr>
        <w:pStyle w:val="TextoNormal"/>
      </w:pPr>
      <w:r>
        <w:t>Por último, la demandante de amparo alega la imposibilidad de anulación parcial de los laudos que resulten contrarios al orden público, ya que el art. 41.3 LA no contempla esa posibilidad y el orden público representa los principios y reglas más esenciales de nuestro ordenamiento jurídico, por lo que su vulneración sólo puede conllevar la anulación total del laudo que haya incidido en ella.</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22 de septiembre de 2020, acordó la admisión a trámite del presente recurso, apreciando que concurre una especial trascendencia constitucional [art. 50.1 de la Ley Orgánica del Tribunal Constitucional (LOTC)] porque plantea un problema o afecta a una faceta de un derecho fundamental sobre el que no hay doctrina de este tribunal [STC 155/2009, FJ 2 a)]; dirigir atenta comunicación al órgano judicial para la remisión de certificación o copia adveradas de las actuaciones y el emplazamiento de quienes hubieran sido parte en el procedimiento para que pudiesen comparecen en el plazo de diez días en el recurso de amparo; y la formación de pieza separada para la tramitación del incidente sobre la suspensión solicitada, que fue denegada por ATC 135/2020, de 4 de noviembre.</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14 de diciembre de 2020, acordó tener por personada y parte en el procedimiento a la procuradora de los tribunales doña Isabel Soberón García de Enterría, en nombre y representación de la entidad Casa Depot, S.L., y dar vista de las actuaciones al Ministerio Fiscal y a las partes personadas por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el 9 de febrero de 2021, formuló alegaciones interesando que se otorgue el amparo solicitado por vulneración del derecho a la tutela judicial efectiva (art. 24.1 CE), se declare la nulidad de las resoluciones impugnadas, recobrando el laudo cuestionado su validez.</w:t>
      </w:r>
    </w:p>
    <w:p w:rsidR="005728DD" w:rsidRDefault="005728DD" w:rsidP="005728DD">
      <w:pPr>
        <w:pStyle w:val="TextoNormal"/>
      </w:pPr>
    </w:p>
    <w:p w:rsidR="005728DD" w:rsidRDefault="005728DD" w:rsidP="005728DD">
      <w:pPr>
        <w:pStyle w:val="TextoNormal"/>
      </w:pPr>
      <w:r>
        <w:t>El Ministerio Fiscal argumenta, en relación con el alcance del control judicial del arbitraje y sobre la necesidad de motivación de los laudos arbitrales, que el art. 37.4 LA impone que exista motivación, de modo tal que solo cuando no se ha expresado fundamento alguno en la decisión arbitral podría incurrirse en la vulneración del orden público a la que se refiere como causa de anulación el art. 41.1 f) LA. De ese modo, el control judicial que se exige es meramente externo de comprobación de que existe una motivación, lo que en este caso es reconocido por la propia sentencia impugnada loando, incluso, su “estructura, extensión, discurso, referencias jurisprudenciales, perspectivas del razonamiento y contenido”.</w:t>
      </w:r>
    </w:p>
    <w:p w:rsidR="005728DD" w:rsidRDefault="005728DD" w:rsidP="005728DD">
      <w:pPr>
        <w:pStyle w:val="TextoNormal"/>
      </w:pPr>
    </w:p>
    <w:p w:rsidR="005728DD" w:rsidRDefault="005728DD" w:rsidP="005728DD">
      <w:pPr>
        <w:pStyle w:val="TextoNormal"/>
      </w:pPr>
      <w:r>
        <w:t xml:space="preserve">El Ministerio Fiscal incide en que, aunque de conformidad con la jurisprudencia constitucional, el arbitraje es un “equivalente jurisdiccional” no cabe desconocer que se sustenta en la autonomía de la voluntad (STC 1/1981, de 11 de enero, FJ 3) y que cuando se elige la vía arbitral para la resolución de las controversias, la posibilidad de un pronunciamiento judicial queda estrictamente limitada a los escasos supuestos de nulidad establecidos por el </w:t>
      </w:r>
      <w:r>
        <w:lastRenderedPageBreak/>
        <w:t>legislador en el art. 41 LA para no desnaturalizar la esencia de la composición voluntaria de los conflictos (STC 174/1995, de 24 de noviembre).</w:t>
      </w:r>
    </w:p>
    <w:p w:rsidR="005728DD" w:rsidRDefault="005728DD" w:rsidP="005728DD">
      <w:pPr>
        <w:pStyle w:val="TextoNormal"/>
      </w:pPr>
    </w:p>
    <w:p w:rsidR="005728DD" w:rsidRDefault="005728DD" w:rsidP="005728DD">
      <w:pPr>
        <w:pStyle w:val="TextoNormal"/>
      </w:pPr>
      <w:r>
        <w:t>Por lo que se refiere al concepto de “orden público” como causa de nulidad, el Ministerio Fiscal afirma que, aunque se trata de un concepto jurídico indeterminado, debe relacionarse con aquellas normas imperativas de las que no se puede prescindir por imperativo legal y, por tanto, sustraídas a la disposición de las partes, como pueden ser la igualdad entre las partes o su posibilidad de defenderse. Sin embargo, respecto a la motivación del laudo, considera que lo único imperativo es que exista, pero no que deba controlarse judicialmente su contenido, sólo su existencia, pues “el laudo no puede convertirse en algo plenamente revisable a instancia de aquel que vea insatisfechas sus pretensiones, restaurando la plenitud del poder de los órganos judiciales para solventar una controversia que les había sido sustraída”. En conexión con ello, el Ministerio Fiscal advierte que la sentencia impugnada ha acogido un concepto de orden público constitucionalizado, ya que entiende que toda vulneración de un derecho fundamental es contraria al orden público, de donde extrae una consecuencia que va a determinar su decisión anulatoria. Así, la razonabilidad del laudo se convierte en objeto de control, por incluirlo en el concepto de orden público, lo que no deja de ser un error, pues el deber de motivación de los laudos no nace del art. 24 CE, es decir del derecho fundamental a la tutela judicial efectiva, sino del art. 37.4 LA, que así lo exige. En consecuencia, la motivación del laudo sólo podrá controlarse judicialmente con la finalidad de comprobar su mera existencia y de que no sea hasta tal punto incoherente y absurda que prácticamente sea huera e inexistente.</w:t>
      </w:r>
    </w:p>
    <w:p w:rsidR="005728DD" w:rsidRDefault="005728DD" w:rsidP="005728DD">
      <w:pPr>
        <w:pStyle w:val="TextoNormal"/>
      </w:pPr>
    </w:p>
    <w:p w:rsidR="005728DD" w:rsidRDefault="005728DD" w:rsidP="005728DD">
      <w:pPr>
        <w:pStyle w:val="TextoNormal"/>
      </w:pPr>
      <w:r>
        <w:t>El Ministerio Fiscal concluye que la resolución impugnada no imputa al laudo una inexistente motivación, sino que lo describe como plena y jurídicamente motivado, a pesar de ser de equidad, pero le reprocha no haber anudado al incumplimiento contractual la obligación de indemnizar los daños irrogados, lo que significa entrar a valorar el fondo del asunto, algo que le estaba vedado, por lo que debe entenderse vulnerado el derecho a la tutela judicial efectiva de la recurrente de amparo (art. 24.1 CE). Se afirma que “lo que realmente ha ocurrido es que los razonamientos de los árbitros no han convencido a los jueces, como tampoco ha convencido a la parte demandante, por el contrario, sí ha convencido al banco demandado, y desde luego en buena medida a este fiscal, aunque con alguna duda. Pero no es necesario que el convencimiento sea general, el límite del control judicial de los laudos lo establece no el nivel de acierto de la decisión, sino su nivel de motivación racional y suficiente, y desde luego este fiscal no alberga duda alguna de que la motivación del laudo no es arbitraria tal y como lo califica la Sala, las razones por las que considera inexistente, o no probado que es lo mismo, el perjuicio”. También se subraya que “desde luego excede con mucho del concepto de orden público la necesidad de aprobación de los criterios que determinan el contenido del laudo por el órgano judicial llamado a ese control, salvo que, como parece que entiende el Tribunal Superior de Justicia  de Madrid, el ámbito del artículo 24 CE se amplíe hasta equiparar los laudos a las sentencias, pero entonces la acción de anulación de un laudo sería exactamente una segunda instancia”.</w:t>
      </w:r>
    </w:p>
    <w:p w:rsidR="005728DD" w:rsidRDefault="005728DD" w:rsidP="005728DD">
      <w:pPr>
        <w:pStyle w:val="TextoNormal"/>
      </w:pPr>
    </w:p>
    <w:p w:rsidR="005728DD" w:rsidRDefault="005728DD" w:rsidP="005728DD">
      <w:pPr>
        <w:pStyle w:val="TextoNormal"/>
      </w:pPr>
      <w:r>
        <w:t>Por lo demás, el Ministerio Fiscal finaliza sus alegaciones expresando que no parece haber inconveniente en una anulación parcial del laudo, aun en el supuesto de contradicción con el orden público, pues debe regir el principio de justicia rogada en materia arbitral y el principio de permanencia de los actos, por lo que aquello que haya sido objeto del laudo y no se vea contaminado por ninguna de las causas del art. 41 LA debe mantener su validez.</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comparecida, por escrito registrado el 21 de enero de 2021, presentó sus alegaciones solicitando la inadmisión del recurso o, subsidiariamente, su desestimación.</w:t>
      </w:r>
    </w:p>
    <w:p w:rsidR="005728DD" w:rsidRDefault="005728DD" w:rsidP="005728DD">
      <w:pPr>
        <w:pStyle w:val="TextoNormal"/>
      </w:pPr>
    </w:p>
    <w:p w:rsidR="005728DD" w:rsidRDefault="005728DD" w:rsidP="005728DD">
      <w:pPr>
        <w:pStyle w:val="TextoNormal"/>
      </w:pPr>
      <w:r>
        <w:t>La inadmisión del recurso la fundamenta en que se habría incurrido en extemporaneidad (art. 44.2 LOTC) por alargamiento de la vía judicial previa, ya que se interpuso un incidente de nulidad de actuaciones innecesario, pues comportó una petición al órgano judicial “no para que repare una vulneración de derecho fundamental, sino claramente para que se retracte sobre lo que ya había resuelto de forma ajustada a derecho en resolución previa”. También se alega el incumplimiento de la carga de justificar adecuadamente la existencia de la especial trascendencia constitucional, ya que “la justificación de que concurre tal requisito aparece huérfana de argumentación”, y que el recurso tenga especial trascendencia constitucional, ya que existe suficiente jurisprudencia constitucional sobre lo que denomina “la necesidad de asegurar la fiscalización judicial de los laudos arbitrales”.</w:t>
      </w:r>
    </w:p>
    <w:p w:rsidR="005728DD" w:rsidRDefault="005728DD" w:rsidP="005728DD">
      <w:pPr>
        <w:pStyle w:val="TextoNormal"/>
      </w:pPr>
    </w:p>
    <w:p w:rsidR="005728DD" w:rsidRDefault="005728DD" w:rsidP="005728DD">
      <w:pPr>
        <w:pStyle w:val="TextoNormal"/>
      </w:pPr>
      <w:r>
        <w:t>La solicitud de desestimación la fundamenta en que, el órgano judicial no ha vulnerado el art. 24.1 CE, ya que se ha limitado a analizar si concurría la causa de nulidad por razones de orden público vinculada al cumplimiento de las exigencias de motivación impuestas a las resoluciones judiciales por el art. 24.1 CE y no existe impedimento alguno para la anulación parcial de un laudo.</w:t>
      </w:r>
    </w:p>
    <w:p w:rsidR="005728DD" w:rsidRDefault="005728DD" w:rsidP="005728DD">
      <w:pPr>
        <w:pStyle w:val="TextoNormal"/>
      </w:pPr>
    </w:p>
    <w:p w:rsidR="005728DD" w:rsidRDefault="005728DD" w:rsidP="005728DD">
      <w:pPr>
        <w:pStyle w:val="TextoNormal"/>
      </w:pPr>
      <w:r w:rsidRPr="005728DD">
        <w:rPr>
          <w:rStyle w:val="NumeroAFNegritaCaracter"/>
        </w:rPr>
        <w:t>8</w:t>
      </w:r>
      <w:r>
        <w:t>. La demandante de amparo, por escrito registrado el 21 de enero de 2021, formuló alegaciones ratificándose íntegramente en lo expuesto en el recurso de amparo presentado.</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pretensión de las partes</w:t>
      </w:r>
      <w:r>
        <w:t>. El objeto de este recurso es determinar si la decisión judicial de anular parcialmente el laudo arbitral sometido a una acción de anulación ha vulnerado el derecho a la tutela judicial efectiva (art. 24.1 CE), desde la perspectiva del derecho a la motivación de las resoluciones judiciales, por haber desarrollado un control fundado en una interpretación irrazonable acerca del alcance de la causa de nulidad consistente en ser el laudo contrario al orden público prevista en el art. 41.1 f) de la Ley 60/2003, de 23 de diciembre, de arbitraje (LA).</w:t>
      </w:r>
    </w:p>
    <w:p w:rsidR="005728DD" w:rsidRDefault="005728DD" w:rsidP="005728DD">
      <w:pPr>
        <w:pStyle w:val="TextoNormal"/>
      </w:pPr>
    </w:p>
    <w:p w:rsidR="005728DD" w:rsidRDefault="005728DD" w:rsidP="005728DD">
      <w:pPr>
        <w:pStyle w:val="TextoNormal"/>
      </w:pPr>
      <w:r>
        <w:t>La demandante de amparo considera que la resolución judicial impugnada ha vulnerado su derecho a la tutela judicial efectiva (art. 24.1 CE), en su vertiente del derecho a una resolución no incursa en defecto constitucional de motivación, ya que la anulación del laudo arbitral se ha fundamentado en una interpretación irrazonable de la concurrencia de la causa de nulidad de orden público establecida en el art. 41.1 f) LA, pues la exigencia de motivación de los laudos arbitrales no resulta equivalente al deber de motivación propio de la tutela judicial efectiva (art. 24.1 CE).</w:t>
      </w:r>
    </w:p>
    <w:p w:rsidR="005728DD" w:rsidRDefault="005728DD" w:rsidP="005728DD">
      <w:pPr>
        <w:pStyle w:val="TextoNormal"/>
      </w:pPr>
    </w:p>
    <w:p w:rsidR="005728DD" w:rsidRDefault="005728DD" w:rsidP="005728DD">
      <w:pPr>
        <w:pStyle w:val="TextoNormal"/>
      </w:pPr>
      <w:r>
        <w:lastRenderedPageBreak/>
        <w:t>La parte comparecida considera que el recurso está incurso en diversas causas de inadmisión y que, en su caso, debe desestimarse, ya que el órgano judicial ha aplicado correctamente el criterio de que el arbitraje es un equivalente jurisdiccional, de modo tal que las exigencias de motivación propias de las resoluciones judiciales son trasladables a los laudos arbitrales.</w:t>
      </w:r>
    </w:p>
    <w:p w:rsidR="005728DD" w:rsidRDefault="005728DD" w:rsidP="005728DD">
      <w:pPr>
        <w:pStyle w:val="TextoNormal"/>
      </w:pPr>
    </w:p>
    <w:p w:rsidR="005728DD" w:rsidRDefault="005728DD" w:rsidP="005728DD">
      <w:pPr>
        <w:pStyle w:val="TextoNormal"/>
      </w:pPr>
      <w:r>
        <w:t>El Ministerio Fiscal solicita la estimación del recurso de amparo en la línea alegada por la demandante de amparo, subrayando que el deber de motivación del laudo arbitral es una exigencia derivaba del art. 37.4 LA y no del art. 24.1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Causas de inadmisión alegadas</w:t>
      </w:r>
      <w:r>
        <w:t>. La parte comparecida alega la concurrencia de diversas causas de inadmisión. Ninguna de ellas puede ser apreciada por el tribunal.</w:t>
      </w:r>
    </w:p>
    <w:p w:rsidR="005728DD" w:rsidRDefault="005728DD" w:rsidP="005728DD">
      <w:pPr>
        <w:pStyle w:val="TextoNormal"/>
      </w:pPr>
    </w:p>
    <w:p w:rsidR="005728DD" w:rsidRDefault="005728DD" w:rsidP="005728DD">
      <w:pPr>
        <w:pStyle w:val="TextoNormal"/>
      </w:pPr>
      <w:r>
        <w:t>No concurre la extemporaneidad del recurso (art. 44.2 LOTC) por alargamiento de la vía judicial previa, ya que no puede considerarse que el incidente de nulidad de actuaciones promovido contra la sentencia anulatoria del laudo fuera un medio impugnatorio manifiestamente improcedente. El incidente se interpuso para denunciar la vulneración del derecho a la tutela judicial efectiva (art. 24.1 CE), en la que la demandante de amparo consideraba que había incurrido el órgano judicial por entrar a valorar el fondo de un asunto sometido a arbitraje. Con ello estaba dando la oportunidad al órgano judicial de pronunciarse y reparar, en su caso, esa eventual vulneración, cumpliendo las exigencias del principio de subsidiariedad del recurso de amparo.</w:t>
      </w:r>
    </w:p>
    <w:p w:rsidR="005728DD" w:rsidRDefault="005728DD" w:rsidP="005728DD">
      <w:pPr>
        <w:pStyle w:val="TextoNormal"/>
      </w:pPr>
    </w:p>
    <w:p w:rsidR="005728DD" w:rsidRDefault="005728DD" w:rsidP="005728DD">
      <w:pPr>
        <w:pStyle w:val="TextoNormal"/>
      </w:pPr>
      <w:r>
        <w:t>No concurre la insuficiente justificación de la especial trascendencia constitucional (art. 49.1 LOTC), ya que en la demanda se someten a la consideración del tribunal dos causas concretas de especial trascendencia constitucional, que se enmarcan en los supuestos a) y d) de la STC 155/2009, de 25 de junio, FJ 2 —ausencia de jurisprudencia constitucional y la necesidad de que la Ley de arbitraje sea interpretada conforme a los parámetros constitucionales—. En relación con la primera, se argumenta la inexistencia de jurisprudencia constitucional que analice el canon de motivación que deben aplicar los órganos judiciales para valorar la procedencia de la acción de anulación de los laudos y se destaca que esta causa de especial trascendencia constitucional ya había sido reconocida por el tribunal en un supuesto idéntico al planteado en este recurso.</w:t>
      </w:r>
    </w:p>
    <w:p w:rsidR="005728DD" w:rsidRDefault="005728DD" w:rsidP="005728DD">
      <w:pPr>
        <w:pStyle w:val="TextoNormal"/>
      </w:pPr>
    </w:p>
    <w:p w:rsidR="005728DD" w:rsidRDefault="005728DD" w:rsidP="005728DD">
      <w:pPr>
        <w:pStyle w:val="TextoNormal"/>
      </w:pPr>
      <w:r>
        <w:t>Conforme a jurisprudencia constitucional reiterada, “es a este tribunal a quien corresponde apreciar si el contenido del recurso justifica una decisión sobre el fondo en razón de su especial trascendencia constitucional, que encuentra su momento procesal idóneo en el trámite de admisión contemplado en el art. 50.1 LOTC” [entre las últimas, SSTC, 170/2013, de 13 de octubre, FJ 2; 46/2019, de 8 de abril, FJ 3 c); 59/2019, de 6 de mayo, FJ 3 b); 3/2020, de 15 de enero, FJ 4, y 165/2020, de 16 de noviembre, FJ 2 a)].</w:t>
      </w:r>
    </w:p>
    <w:p w:rsidR="005728DD" w:rsidRDefault="005728DD" w:rsidP="005728DD">
      <w:pPr>
        <w:pStyle w:val="TextoNormal"/>
      </w:pPr>
    </w:p>
    <w:p w:rsidR="005728DD" w:rsidRDefault="005728DD" w:rsidP="005728DD">
      <w:pPr>
        <w:pStyle w:val="TextoNormal"/>
      </w:pPr>
      <w:r>
        <w:t>El tribunal se ratifica en la apreciación establecida en la providencia de admisión de que en este caso se plantea un problema o se cuestiona una faceta de un derecho fundamental sobre los que no hay doctrina de este tribunal. Así ocurre, desde la perspectiva del derecho a la tutela judicial efectiva (art. 24.1 CE), con la fijación de los límites a la labor de control de los órganos judiciales respecto a los laudos arbitrales, apta para garantizar la plena vigencia del principio de autonomía de las partes (art. 10 CE) y la naturaleza del deber de motivación de los laudos y su posible control judicial.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Jurisprudencia constitucional sobre la infracción del orden público como causa de anulación de los laudos arbitrales y su proyección sobre el derecho a la tutela judicial efectiva (art. 24.1 CE</w:t>
      </w:r>
      <w:r>
        <w:t>). En dos recientes pronunciamientos (SSTC 46/2020, de 15 de junio, y 17/2021, de 15 de febrero) el tribunal ha sentado jurisprudencia sobre la eventual vulneración del derecho a la tutela judicial efectiva (art. 24.1 CE), en su vertiente de derecho a una resolución motivada no incursa en irrazonabilidad o arbitrariedad, debida al exceso de control judicial en la valoración de la existencia de una contravención del orden público como causa de nulidad de los laudos arbitrales establecida en art. 41.1 f) LA.</w:t>
      </w:r>
    </w:p>
    <w:p w:rsidR="005728DD" w:rsidRDefault="005728DD" w:rsidP="005728DD">
      <w:pPr>
        <w:pStyle w:val="TextoNormal"/>
      </w:pPr>
    </w:p>
    <w:p w:rsidR="005728DD" w:rsidRDefault="005728DD" w:rsidP="005728DD">
      <w:pPr>
        <w:pStyle w:val="TextoNormal"/>
      </w:pPr>
      <w:r>
        <w:t>El tribunal declara en la STC 46/2020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(FJ 4). El tribunal llama la atención en esta sentencia sobre el riesgo de convertir la noción de orden público “en un mero pretexto para que el órgano judicial reexamine las cuestiones debatidas en el procedimiento arbitral, desnaturalizando la institución arbitral y vulnerando al final la autonomía de la voluntad de las partes. El órgano judicial no puede, con la excusa de una pretendida vulneración del orden público, revisar el fondo de un asunto sometido a arbitraje” (FJ 4).</w:t>
      </w:r>
    </w:p>
    <w:p w:rsidR="005728DD" w:rsidRDefault="005728DD" w:rsidP="005728DD">
      <w:pPr>
        <w:pStyle w:val="TextoNormal"/>
      </w:pPr>
    </w:p>
    <w:p w:rsidR="005728DD" w:rsidRDefault="005728DD" w:rsidP="005728DD">
      <w:pPr>
        <w:pStyle w:val="TextoNormal"/>
      </w:pPr>
      <w:r>
        <w:t>El tribunal concluye en la citada STC 17/2021 que “debe quedar, por tanto, firme la idea de que el motivo previsto en el apartado 1, letra f) del art. 41 LA no permite sustituir el criterio alcanzado por el árbitro por parte de los jueces que conocen de la anulación del laudo, así como que la noción de orden público no puede ser tomada como un cajón de sastre o una puerta falsa —en palabras del propio Tribunal Superior de Justicia de Madrid (sentencia de 21 mayo de 2013)— que permita el control de la decisión arbitral” (FJ 2).</w:t>
      </w:r>
    </w:p>
    <w:p w:rsidR="005728DD" w:rsidRDefault="005728DD" w:rsidP="005728DD">
      <w:pPr>
        <w:pStyle w:val="TextoNormal"/>
      </w:pPr>
    </w:p>
    <w:p w:rsidR="005728DD" w:rsidRDefault="005728DD" w:rsidP="005728DD">
      <w:pPr>
        <w:pStyle w:val="TextoNormal"/>
      </w:pPr>
      <w:r>
        <w:t>En la misma fecha en que se delibera y vota la presente sentencia, este tribunal lo hace en iguales términos con otro recurso de amparo en el que se plantea idéntica cuestión, es decir, la posible extralimitación de órgano judicial en su deber de control de los laudos arbitrales.</w:t>
      </w:r>
    </w:p>
    <w:p w:rsidR="005728DD" w:rsidRDefault="005728DD" w:rsidP="005728DD">
      <w:pPr>
        <w:pStyle w:val="TextoNormal"/>
      </w:pPr>
    </w:p>
    <w:p w:rsidR="005728DD" w:rsidRDefault="005728DD" w:rsidP="005728DD">
      <w:pPr>
        <w:pStyle w:val="TextoNormal"/>
      </w:pPr>
      <w:r>
        <w:t xml:space="preserve">En consecuencia, el tribunal reitera que excepcionalmente cabe anular una decisión arbitral cuando se hayan incumplido las garantías procedimentales fundamentales como el derecho de defensa, igualdad, bilateralidad, contradicción y prueba; cuando el laudo carezca de motivación o esta sea arbitraria, ilógica, absurda o irracional; cuando se hayan infringido normas legales imperativas; o cuando se haya vulnerado la intangibilidad de una resolución firme anterior. Esto significa que no es lícito anular un laudo arbitral, como máxima expresión de la autonomía de las partes (art. 10 CE) y del ejercicio de su libertad (art. 1 CE) por el solo hecho de que las conclusiones alcanzadas por el árbitro o por el colegio arbitral sean </w:t>
      </w:r>
      <w:r>
        <w:lastRenderedPageBreak/>
        <w:t>consideradas, a ojos del órgano judicial, erróneas o insuficientes, o, simplemente, porque de haber sido sometida la controversia a su valoración, hubiera llegado a otras bien diferentes.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Naturaleza del arbitraje y su reconocimiento constitucional en la jurisprudencia del tribunal</w:t>
      </w:r>
      <w:r>
        <w:t>. En el fundamento jurídico tercero de la sentencia impugnada se afirma que “el arbitraje, no por su condición de institución sustitutiva del proceso judicial puede obviar el cumplimiento de las garantías esenciales que la Constitución reconoce en el ámbito citado. El carácter flexible del procedimiento arbitral no puede desligarse, por ejemplo, de la consecuencia de cosa juzgada que resulta inherente al laudo que le pone fin de acuerdo con lo establecido en el artículo 43 de la Ley de arbitraje”.</w:t>
      </w:r>
    </w:p>
    <w:p w:rsidR="005728DD" w:rsidRDefault="005728DD" w:rsidP="005728DD">
      <w:pPr>
        <w:pStyle w:val="TextoNormal"/>
      </w:pPr>
    </w:p>
    <w:p w:rsidR="005728DD" w:rsidRDefault="005728DD" w:rsidP="005728DD">
      <w:pPr>
        <w:pStyle w:val="TextoNormal"/>
      </w:pPr>
      <w:r>
        <w:t>Como acertadamente sostiene el Ministerio Fiscal, hay que advertir que extender la idea del arbitraje como “equivalente jurisdiccional” más allá de su equivalencia en cuanto a sus efectos, es decir, a la cosa juzgada y a su ejecutividad, es tanto como hablar de identidad entre resoluciones judiciales y arbitrales. Esta afirmación es inaceptable, pues ambos tipos de resolución de conflictos descansan sobre preceptos constitucionales distintos.</w:t>
      </w:r>
    </w:p>
    <w:p w:rsidR="005728DD" w:rsidRDefault="005728DD" w:rsidP="005728DD">
      <w:pPr>
        <w:pStyle w:val="TextoNormal"/>
      </w:pPr>
    </w:p>
    <w:p w:rsidR="005728DD" w:rsidRDefault="005728DD" w:rsidP="005728DD">
      <w:pPr>
        <w:pStyle w:val="TextoNormal"/>
      </w:pPr>
      <w:r>
        <w:t>Por ello, y por la confusión que pudiera generar la expresión “equivalente jurisdiccional”, a la que se hace referencia en la citada STC 17/2021, el tribunal insiste en que la semejanza entre ambos tipos de decisión —judicial y arbitral— no alcanza más allá de aquellos efectos y en que el procedimiento arbitral no se puede ver sometido a las exigencias propias del derecho a la tutela judicial efectiva (art. 24 CE), puesto que no es un procedimiento judicial, como tampoco los árbitros ejercen la jurisdicción, cometido de la competencia exclusiva de quienes integran el Poder Judicial (art. 117 CE). Por tanto, no están sujetos a los deberes y garantías que impone el art. 24 CE. Al contrario: cuando las partes de una controversia, en ejercicio de la autonomía de la libertad (art. 10 CE), deciden acudir al procedimiento arbitral, eligen sustraerse de las normas que rigen el procedimiento judicial (art. 24 CE) y también, claro está, al enjuiciamiento y valoración de los órganos judiciales, a quienes desde ese momento les está vedado el conocimiento del asunto.</w:t>
      </w:r>
    </w:p>
    <w:p w:rsidR="005728DD" w:rsidRDefault="005728DD" w:rsidP="005728DD">
      <w:pPr>
        <w:pStyle w:val="TextoNormal"/>
      </w:pPr>
    </w:p>
    <w:p w:rsidR="005728DD" w:rsidRDefault="005728DD" w:rsidP="005728DD">
      <w:pPr>
        <w:pStyle w:val="TextoNormal"/>
      </w:pPr>
      <w:r>
        <w:t>Quienes se someten libre, expresa y voluntariamente a un arbitraje, como método heterónomo de solución de su conflicto, eligen dejar al margen de su controversia las garantías inherentes al art. 24 CE y regirse por las normas establecidas en la Ley de arbitraje. De esto se infiere que, si las partes del arbitraje tienen derecho a que las actuaciones arbitrales sean controladas judicialmente, es así porque de este modo está previsto en la norma rectora del procedimiento arbitral y solo por los motivos de impugnación legalmente admitidos para salvaguardar los principios constitucionales a que se ha hecho referencia (art. 41 LA). En consecuencia, la facultad excepcional de control del procedimiento arbitral y de anulación del laudo deriva de la misma configuración legal del arbitraje como forma de heterocomposición de conflictos y no del art. 24 CE, del derecho a la tutela judicial efectiva, “cuyas exigencias sólo rigen, en lo que atañe para el proceso —actuaciones jurisdiccionales— en el que se pretende la anulación del laudo y para el órgano judicial que lo resuelve” (STC 9/2005, de 17 de enero, FJ 5). El Tribunal reitera, pues, que el control que pueden desplegar los jueces y tribunales que conocen de una pretensión anulatoria del laudo es muy limitado, y que no están legitimados para entrar en la cuestión de fondo ni para valorar la prueba practicada, los razonamientos jurídicos y las conclusiones alcanzadas por el árbitro.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xml:space="preserve">. </w:t>
      </w:r>
      <w:r w:rsidRPr="005728DD">
        <w:rPr>
          <w:i/>
        </w:rPr>
        <w:t>El deber legal de motivación de los laudos arbitrales</w:t>
      </w:r>
      <w:r>
        <w:t>. Hasta aquí hemos sintetizado la jurisprudencia constitucional sobre el arbitraje como medio de heterocomposición de las controversias inherente al principio de la autonomía de la voluntad (art. 10 CE) y, más genéricamente, al de libertad (art. 1 CE). Resta, sin embargo, hacer una consideración acerca del deber de motivación de los laudos arbitrales —sean estos de derecho o de equidad—, pues en el supuesto enjuiciado en este recurso de amparo la causa de anulación del laudo ha sido una pretendida arbitrariedad del razonamiento ofrecido por el colegio arbitral.</w:t>
      </w:r>
    </w:p>
    <w:p w:rsidR="005728DD" w:rsidRDefault="005728DD" w:rsidP="005728DD">
      <w:pPr>
        <w:pStyle w:val="TextoNormal"/>
      </w:pPr>
    </w:p>
    <w:p w:rsidR="005728DD" w:rsidRDefault="005728DD" w:rsidP="005728DD">
      <w:pPr>
        <w:pStyle w:val="TextoNormal"/>
      </w:pPr>
      <w:r>
        <w:t>En consonancia con el fundamento jurídico anterior, el deber de motivación del laudo no surge del derecho fundamental a la tutela judicial efectiva (art. 24.1 CE), que solo es predicable de las resoluciones emanadas del Poder Judicial, sino de la propia Ley de arbitraje, que en su art. 37.4 así lo exige. El modo en que dicha norma arbitral está redactada se asemeja a la exigencia del art. 120.3 CE respecto a las resoluciones judiciales y, a primera vista, pudiera causar cierta confusión, haciendo pensar que tal deber de motivación del laudo está constitucionalmente garantizado. Sin embargo, la norma constitucional relativa a la necesaria motivación de las sentencias y su colocación sistemática expresa la relación de vinculación del juez con la ley y con el sistema de fuentes del Derecho dimanante de la Constitución. Expresa también el derecho del justiciable y el interés legítimo de la sociedad en conocer las razones de la decisión judicial que se adopta, evitando que sea fruto de la arbitrariedad y facilitando mediante su expresión el control por parte de los órganos jurisdiccionales superiores en caso necesario (así, por ejemplo, STC 262/2015, de 14 de diciembre, FJ 3).</w:t>
      </w:r>
    </w:p>
    <w:p w:rsidR="005728DD" w:rsidRDefault="005728DD" w:rsidP="005728DD">
      <w:pPr>
        <w:pStyle w:val="TextoNormal"/>
      </w:pPr>
    </w:p>
    <w:p w:rsidR="005728DD" w:rsidRDefault="005728DD" w:rsidP="005728DD">
      <w:pPr>
        <w:pStyle w:val="TextoNormal"/>
      </w:pPr>
      <w:r>
        <w:t>Ahora bien, como sostienen la demandante de amparo y el Ministerio Fiscal, la motivación de los laudos no está prevista en la Constitución ni se integra en un derecho fundamental (art. 24 CE). Es una obligación de configuración legal del que bien podría prescindir el legislador sin alterar la naturaleza del sistema arbitral. Por lo demás, que el art. 37.4 LA disponga que “el laudo deberá ser siempre motivado”, no significa que el árbitro deba decidir sobre todos los argumentos presentados por las partes, como tampoco que deba indicar las pruebas en las que se ha basado para tomar su decisión sobre los hechos, o motivar su preferencia por una norma u otra, pues para determinar si se ha cumplido con el deber de motivación, basta con comprobar, simplemente, que el laudo contiene razones, aunque sean consideradas incorrectas por el juez que debe resolver su impugnación (STC 17/2021, de 15 de febrero, FJ 2).</w:t>
      </w:r>
    </w:p>
    <w:p w:rsidR="005728DD" w:rsidRDefault="005728DD" w:rsidP="005728DD">
      <w:pPr>
        <w:pStyle w:val="TextoNormal"/>
      </w:pPr>
    </w:p>
    <w:p w:rsidR="005728DD" w:rsidRDefault="005728DD" w:rsidP="005728DD">
      <w:pPr>
        <w:pStyle w:val="TextoNormal"/>
      </w:pPr>
      <w:r>
        <w:t>Asentado, por consiguiente, el arbitraje en la autonomía de la voluntad y la libertad de los particulares (arts. 1 y 10 CE), el deber de motivación del laudo no se integra en el orden público exigido en el art. 24 CE para la resolución judicial, sino que se ajusta a un parámetro propio, definido en función del art. 10 CE. Este parámetro deberán configurarlo, ante todo, las propias partes sometidas a arbitraje a las que corresponde, al igual que pactan las normas arbitrales, el número de árbitros, la naturaleza del arbitraje o las reglas de prueba, pactar si el laudo debe estar motivado (art. 37.4 LA) y en qué términos. En consecuencia, la motivación de los laudos arbitrales carece de incidencia en el orden público.</w:t>
      </w:r>
    </w:p>
    <w:p w:rsidR="005728DD" w:rsidRDefault="005728DD" w:rsidP="005728DD">
      <w:pPr>
        <w:pStyle w:val="TextoNormal"/>
      </w:pPr>
    </w:p>
    <w:p w:rsidR="005728DD" w:rsidRDefault="005728DD" w:rsidP="005728DD">
      <w:pPr>
        <w:pStyle w:val="TextoNormal"/>
      </w:pPr>
      <w:r>
        <w:t>De esto se sigue que el órgano judicial que tiene atribuida la facultad de control del laudo arbitral, como resultado del ejercicio de una acción extraordinaria de anulación, no puede examinar la idoneidad, suficiencia o la adecuación de la motivación, sino únicamente com</w:t>
      </w:r>
      <w:r>
        <w:lastRenderedPageBreak/>
        <w:t>probar su existencia, porque, salvo que las partes hubieren pactado unas determinadas exigencias o un contenido específico respecto a la motivación, su insuficiencia o inadecuación, el alcance o la suficiencia de la motivación no puede desprenderse de la voluntad de las partes (art. 10 CE). Cabe, pues, exigir la motivación del laudo establecida en el art. 37.4 LA, pues las partes tienen derecho a conocer las razones de la decisión. En consecuencia, en aquellos supuestos en los que el árbitro razona y argumenta su decisión, habrá visto cumplida la exigencia de motivación, sin que el órgano judicial pueda revisar su adecuación al derecho aplicable o entrar a juzgar sobre la correcta valoración de las pruebas, por más que de haber sido él quien tuviera encomendado el enjuiciamiento del asunto, las hubiera razonado y valorado de diversa manera.</w:t>
      </w:r>
    </w:p>
    <w:p w:rsidR="005728DD" w:rsidRDefault="005728DD" w:rsidP="005728DD">
      <w:pPr>
        <w:pStyle w:val="TextoNormal"/>
      </w:pPr>
    </w:p>
    <w:p w:rsidR="005728DD" w:rsidRDefault="005728DD" w:rsidP="005728DD">
      <w:pPr>
        <w:pStyle w:val="TextoNormal"/>
      </w:pPr>
      <w:r>
        <w:t>De ese modo, las posibilidades de control judicial sobre la motivación del laudo son en cierto modo similares a las que el tribunal reconoce cuando revisa en amparo las decisiones judiciales, insistiendo desde antiguo en que “este tribunal no es una tercera instancia casacional en la que se pueda entrar a valorar las pruebas, sustituyendo a los jueces y tribunales ordinarios en la función exclusiva que les atribuye el art. 117.3 CE, quedando limitada su función a comprobar que haya habido una actividad probatoria de cargo válida y que la resolución judicial no haya sido arbitraria, irracional o absurda (SSTC 96/2000, de 10 de abril, FJ 5, y 12/2004, de 9 de febrero, FJ 2), o lo que es lo mismo, debe controlar únicamente la razonabilidad del discurso que une la actividad probatoria y el relato fáctico que de ella resulta (por todas, SSTC 123/2006, de 24 de abril, FJ 5; 245/2007, de 10 de diciembre, FJ 7, y 147/2009, de 15 de junio). En este caso, la Sala de lo Civil y Penal del Tribunal Superior de Justicia de Madrid no es una tercera instancia y solo debe controlar que se han cumplido las garantías del procedimiento arbitral y el respeto a los derechos y principios de defensa, igualdad, bilateralidad, contradicción y prueba; así como que la resolución arbitral no sea arbitraria, irracional o absurda desde un mero control externo, lo que significa que no lo sea sin entrar a valorar el fondo del asunto.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Aplicación de la jurisprudencia al caso enjuiciado</w:t>
      </w:r>
      <w:r>
        <w:t>. En el presente caso el tribunal constata que el órgano judicial comienza identificando acertadamente las limitaciones establecidas en el art. 41 LA, pues en el fundamento jurídico segundo de la sentencia impugnada, citando sus propias resoluciones y la doctrina de este tribunal, declara que dicha norma legal “restringe la intervención judicial en este ámbito a determinar si en el procedimiento y la resolución arbitrales se cumplieron las debidas garantías procesales, si el laudo se ajustó a los límites marcados en el convenio arbitral, si este carece de validez o si la decisión arbitral invade cuestiones no susceptibles de arbitraje”. Con rotundidad afirma que “nunca podría, por tanto, este tribunal pronunciarse sobre las cuestiones que se debatieron en el procedimiento arbitral”, puesto que “la esencia del arbitraje y el convenio arbitral, en cuanto expresa la voluntad de las partes de sustraerse a la actuación del Poder Judicial, determinan —como destaca la sentencia del Tribunal Supremo de 22 de junio del 2009— que la intervención judicial en el arbitraje tenga carácter de control extraordinario cuando no se trata de funciones de asistencia, pues la acción de anulación, de carácter limitado a determinados supuestos, es suficiente para la satisfacción del derecho a la tutela judicial efectiva, en su modalidad de acceso a los tribunales (STC 9/2005) y, según la jurisprudencia esta Sala, tiene como objeto dejar sin efecto lo que pueda constituir un exceso del laudo arbitral, pero no corregir sus deficiencias u omisiones (SSTS 17 de marzo de 1988, 28 de noviembre de 1988, 7 de junio de 1990)”.</w:t>
      </w:r>
    </w:p>
    <w:p w:rsidR="005728DD" w:rsidRDefault="005728DD" w:rsidP="005728DD">
      <w:pPr>
        <w:pStyle w:val="TextoNormal"/>
      </w:pPr>
    </w:p>
    <w:p w:rsidR="005728DD" w:rsidRDefault="005728DD" w:rsidP="005728DD">
      <w:pPr>
        <w:pStyle w:val="TextoNormal"/>
      </w:pPr>
      <w:r>
        <w:lastRenderedPageBreak/>
        <w:t>A partir de lo anterior, en la resolución judicial impugnada se afirma que “aunque el laudo se titule de equidad, se construye inequívocamente sobre un enfoque jurídico (ilustrado minuciosamente y con abundante cita jurisprudencial) del producto financiero contratado, que nadie discute que se incluye en la categoría de los denominados productos complejos”. Igualmente, declara expresamente que el laudo “no se limita a examinar la controversia desde un punto de vista de simple equidad, ni lleva a cabo una valoración del conflicto sobre bases de directa justicia material. Por el contrario, no es que se asemeje, sino que constituye en realidad una auténtica resolución de arbitraje de derecho, y de ello no cabe la menor duda por su estructura, extensión, discurso, referencias jurisprudenciales, perspectiva del razonamiento y contenido. Es tan evidente la naturaleza jurídica del laudo (que se llama de equidad) que no precisa comentario adicional esta premisa. Basta con remitirse a su simple lectura”. Confirma la sentencia que la decisión arbitral “recoge con indiscutible claridad las posiciones de las partes su fundamento y razón de pedir; analiza desde el punto de vista (inequívocamente) jurídico, con profusión de cita jurisprudencial la naturaleza del contrato de confirmación rango bonificado doble euro; examina por qué razón la demandante optó por el ejercicio de una acción concreta distinta a la resolución del contrato prevista en el artículo 1124 del Código civil (CC), y por qué huye de la alegación de vicio del consentimiento, hallando la explicación en el párrafo 79 de la elección del 1101 del mismo texto legal como base de la pretensión acumulada declarativa e indemnizatoria; se analiza sobre la base de la jurisprudencia y la normativa europea el ámbito de obligaciones de las entidades bancarias en los productos financieros complejos y llega a la conclusión inequívoca de que el Banco Popular Español, S.A., incumplió sus obligaciones; en el capítulo XVII el laudo analiza la acción de indemnización de daños y perjuicios. Desde un punto de vista de equidad, le llama la atención en primer lugar al colegio de árbitros el hecho de que la demandante haya tardado seis años tras la conclusión del contrato en plantear la demanda. Reconoció y contabilizó el contrato y sus liquidaciones en las cuentas anuales, perfectamente documentadas. Y todo ello se analiza desde la óptica de la doctrina del ‘retraso desleal’ en el ejercicio de las pretensiones jurídicas con especial consideración de la doctrina condensada en la STS 872/2011, de 12 de diciembre, de la Sala Primera del Tribunal Supremo”. Y finaliza la sentencia impugnada afirmando que “minuciosa atención presta también el colegio arbitral a la prueba del perjuicio reclamado como indemnización, desde el punto de vista general de la imputación de la carga de la prueba a quien demanda. Este es el punto esencial que los árbitros (por mayoría) resuelven a la luz de la prueba practicada en el curso del procedimiento, afirmando que tanto el perito de la demandante como el de la parte demandada coincidieron en afirmar que el contrato había cumplido perfectamente la finalidad para la que había sido concertado. A continuación, dentro de esta misma materia, el laudo cita y transcribe parcialmente diferentes sentencias del tribunal Supremo en las que se repite que una indemnización por daños y perjuicios requiere como presupuesto inexorable que se demuestre o acredite el daño padecido, su existencia real, pues la indemnización no se deriva por sí misma del mero incumplimiento contractual”.</w:t>
      </w:r>
    </w:p>
    <w:p w:rsidR="005728DD" w:rsidRDefault="005728DD" w:rsidP="005728DD">
      <w:pPr>
        <w:pStyle w:val="TextoNormal"/>
      </w:pPr>
    </w:p>
    <w:p w:rsidR="005728DD" w:rsidRDefault="005728DD" w:rsidP="005728DD">
      <w:pPr>
        <w:pStyle w:val="TextoNormal"/>
      </w:pPr>
      <w:r>
        <w:t xml:space="preserve">Este tribunal considera que en el caso se evidencia que el órgano judicial en la sentencia impugnada en amparo anula una resolución arbitral que, sin reproche formal alguno, entiende que es contraria al orden público. Se funda en que el laudo alcanza la conclusión de que no ha lugar a la indemnización de daños y perjuicios, a pesar del incumplimiento contractual de la entidad financiera, porque Casa Depot, S.L., ha ejercido con patente y desleal retraso la acción de responsabilidad por incumplimiento, al margen de no haberlos acreditado. Como se argumenta en la sentencia, “no podemos considerar que sea coherente la </w:t>
      </w:r>
      <w:r>
        <w:lastRenderedPageBreak/>
        <w:t>decisión arbitral (no por unanimidad) al afirmar que la entidad bancaria incumplió los deberes que le resultan exigibles en la comercialización del SWAP, pero a la vez denegar toda consecuencia a tan palmario incumplimiento (esta segunda parte adoptada curiosamente en contra del criterio del árbitro designado por el banco)”, si bien reconoce que “la verdadera razón que nos lleva a estimar la demanda es el encaje de la pretensión de nulidad en el artículo 41.1 f de la Ley de arbitraje: el laudo consideramos que es contrario al orden público (en este caso constitucional) por la contradicción que encierra al reconocer el palmario incumplimiento de los deberes bancarios y al mismo tiempo negarle toda trascendencia. En lo que incurre es en arbitrariedad por incoherencia, y con ello se contraviene el artículo 9.3 de la Constitución”. En apoyo de su tesis relativa a la naturaleza arbitraria del laudo cita profusamente la doctrina de este tribunal sobre el deber de motivación de las sentencias.</w:t>
      </w:r>
    </w:p>
    <w:p w:rsidR="005728DD" w:rsidRDefault="005728DD" w:rsidP="005728DD">
      <w:pPr>
        <w:pStyle w:val="TextoNormal"/>
      </w:pPr>
    </w:p>
    <w:p w:rsidR="005728DD" w:rsidRDefault="005728DD" w:rsidP="005728DD">
      <w:pPr>
        <w:pStyle w:val="TextoNormal"/>
      </w:pPr>
      <w:r>
        <w:t xml:space="preserve">El tribunal no comparte el criterio de la sentencia, no solo porque aplica las exigencias de motivación propias de las resoluciones judiciales (art. 24.1 CE) a los laudos arbitrales, ensanchando así la noción de orden público del art. 41.1 f) LA —pues como se declara </w:t>
      </w:r>
      <w:r w:rsidRPr="005728DD">
        <w:rPr>
          <w:i/>
        </w:rPr>
        <w:t>supra</w:t>
      </w:r>
      <w:r>
        <w:t xml:space="preserve">, unos y otros se asientan en derechos constitucionales diferentes (arts. 10 y 24 CE)—; sino, especialmente, porque entra en el fondo del debate de la cuestión controvertida, en vez de limitar su actuación de fiscalización a comprobar los posibles errores </w:t>
      </w:r>
      <w:r w:rsidRPr="005728DD">
        <w:rPr>
          <w:i/>
        </w:rPr>
        <w:t>in procedendo</w:t>
      </w:r>
      <w:r>
        <w:t xml:space="preserve"> o a la ausencia de motivación. Así, apreciando que el colegio arbitral debería haber condenado a la entidad Banco Santander, S.A., al abono de una indemnización de daños y perjuicios por incumplimiento contractual, el órgano judicial le imputa una infracción del orden público, por incurrir en lo que entiende que es un comportamiento arbitrario. Sin embargo, el laudo permite apreciar que los árbitros expusieron razonadamente los motivos por los que entendían que no procedía la indemnización de daños (art. 1101 CC), esto es, por la dejación del ejercicio de la acción resarcitoria durante más diez años, si se computa desde la formalización del contrato y de seis años, si se inicia el cálculo desde su finalización. Tal dejación, en opinión de los árbitros, constituye un retraso desleal contrario a la buena fe y a sus propios actos que generó en Banco Santander, S.A., la legítima expectativa de que la relación jurídica estaba definitivamente zanjada e íntegramente cumplida. A ello añaden que los reproches de Casa Depot, S.L., se corresponden con una insuficiencia informativa que se sitúa en la fase precontractual y, por consiguiente, en posibles los vicios del consentimiento, lo que no puede reclamarse por vía de responsabilidad contractual.</w:t>
      </w:r>
    </w:p>
    <w:p w:rsidR="005728DD" w:rsidRDefault="005728DD" w:rsidP="005728DD">
      <w:pPr>
        <w:pStyle w:val="TextoNormal"/>
      </w:pPr>
    </w:p>
    <w:p w:rsidR="005728DD" w:rsidRDefault="005728DD" w:rsidP="005728DD">
      <w:pPr>
        <w:pStyle w:val="TextoNormal"/>
      </w:pPr>
      <w:r>
        <w:t xml:space="preserve">Como puede observarse, el órgano judicial, a pesar de reconocer expresamente la labor desplegada por el colegio arbitral en el enjuiciamiento y redacción del laudo, sin embargo, califica como arbitraria y errónea su decisión y, por ello, vulneradora del orden público. Para este tribunal, el ensanchamiento del concepto de orden público que realiza la resolución impugnada para revisar el fondo del litigio, excede del alcance de la acción de anulación, al margen de desconocer el poder de enjuiciamiento de los árbitros y la autonomía de la voluntad de las partes vulnerando el art. 24.1 CE. Aunque pudiera existir duda sobre la necesidad de que cualquier incumplimiento contractual conlleve la causación de daños y por ende la obligación de indemnizar, hay que subrayar que el derecho a la motivación del laudo, cuando sea preceptiva, no comporta la garantía de acierto del colegio arbitral ni de estimación de las pretensiones deducidas, ni un concreto entendimiento del sentido y alcance de la legislación aplicable al caso concreto (como acaece, </w:t>
      </w:r>
      <w:r w:rsidRPr="005728DD">
        <w:rPr>
          <w:i/>
        </w:rPr>
        <w:t>mutatis mutandis</w:t>
      </w:r>
      <w:r>
        <w:t>, con las resoluciones judiciales y se declara en las SSTC 50/1997, FJ 3, y 45/2005, FJ 3, entre otras muchas).</w:t>
      </w:r>
    </w:p>
    <w:p w:rsidR="005728DD" w:rsidRDefault="005728DD" w:rsidP="005728DD">
      <w:pPr>
        <w:pStyle w:val="TextoNormal"/>
      </w:pPr>
    </w:p>
    <w:p w:rsidR="005728DD" w:rsidRDefault="005728DD" w:rsidP="005728DD">
      <w:pPr>
        <w:pStyle w:val="TextoNormal"/>
      </w:pPr>
      <w:r>
        <w:lastRenderedPageBreak/>
        <w:t>Por consiguiente, el tribunal aprecia que en el presente caso el órgano judicial ha incurrido en la vulneración del derecho a la tutela judicial efectiva, como consecuencia un entendimiento extensivo del concepto de “orden público” del art. 41.1 f) LA, que lo ha llevado a imponer a los árbitros una valoración distinta acerca de la obligación indemnizatoria en materia de incumplimiento contractual. El laudo impugnado no incurrió en irrazonabilidad o arbitrariedad, ni partió de premisas inexistentes o siguió un desarrollo argumental que incurriera en quiebras lógicas de tal magnitud que las conclusiones alcanzadas no puedan considerarse basadas en ninguna de las razones aducidas.</w:t>
      </w:r>
    </w:p>
    <w:p w:rsidR="005728DD" w:rsidRDefault="005728DD" w:rsidP="005728DD">
      <w:pPr>
        <w:pStyle w:val="TextoNormal"/>
      </w:pPr>
    </w:p>
    <w:p w:rsidR="005728DD" w:rsidRDefault="005728DD" w:rsidP="005728DD">
      <w:pPr>
        <w:pStyle w:val="TextoNormal"/>
      </w:pPr>
      <w:r>
        <w:t>En conclusión, este tribunal entiende que la decisión del órgano judicial de anular el laudo arbitral de la corte de arbitraje de la Cámara Oficial de Comercio, Industria y Servicios de Madrid de 4 de diciembre de 2018 vulneró el derecho fundamental de la demandante de amparo a la tutela judicial efectiva (art. 24.1 CE), desde la perspectiva del deber constitucional de motivación, y, por ello, procede la anulación de la sentencia impugnada de 13 de diciembre de 2018 y de la providencia de 26 de diciembre de 2019. Tal como se ha resuelto en supuestos anteriores semejantes (así, SSTC 46/2020 o 17/2021), es procedente la retroacción de actuaciones al pronunciamiento de la sentencia impugnada para que se resuelva el procedimiento de forma respetuosa con el derecho fundamental cuya vulneración se declara.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Banco Santander, S.A., y en su virtud:</w:t>
      </w:r>
    </w:p>
    <w:p w:rsidR="005728DD" w:rsidRDefault="005728DD" w:rsidP="005728DD">
      <w:pPr>
        <w:pStyle w:val="TextoNormal"/>
      </w:pPr>
    </w:p>
    <w:p w:rsidR="005728DD" w:rsidRDefault="005728DD" w:rsidP="005728DD">
      <w:pPr>
        <w:pStyle w:val="TextoNormal"/>
      </w:pPr>
      <w:r>
        <w:t>1º Declarar vulnerado el derecho de la demandante de amparo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 la sentencia de la Sala de lo Civil y Penal del Tribunal Superior de Justicia de Madrid de 1 de octubre de 2019 y la providencia de 26 de diciembre de 2019, pronunciadas en el procedimiento Asunto civil 13-19-Nulidad de laudo arbitral 11-19.</w:t>
      </w:r>
    </w:p>
    <w:p w:rsidR="005728DD" w:rsidRDefault="005728DD" w:rsidP="005728DD">
      <w:pPr>
        <w:pStyle w:val="TextoNormal"/>
      </w:pPr>
    </w:p>
    <w:p w:rsidR="005728DD" w:rsidRDefault="005728DD" w:rsidP="005728DD">
      <w:pPr>
        <w:pStyle w:val="TextoNormal"/>
      </w:pPr>
      <w:r>
        <w:t>3º Retrotraer las actuaciones al momento anterior al dictado de la primera de las resoluciones citadas para que por el órgano judicial se resuelva de forma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69" w:name="SENTENCIA_2021_66"/>
      <w:r>
        <w:lastRenderedPageBreak/>
        <w:t>SENTENCIA 66/2021, de 15 de marzo de 2021</w:t>
      </w:r>
    </w:p>
    <w:bookmarkEnd w:id="69"/>
    <w:p w:rsidR="005728DD" w:rsidRDefault="005728DD" w:rsidP="005728DD">
      <w:pPr>
        <w:pStyle w:val="TtuloResolucin"/>
      </w:pPr>
      <w:r>
        <w:t>Sala Segunda</w:t>
      </w:r>
    </w:p>
    <w:p w:rsidR="005728DD" w:rsidRDefault="005728DD" w:rsidP="005728DD">
      <w:pPr>
        <w:pStyle w:val="TtuloBOE"/>
      </w:pPr>
      <w:r>
        <w:t>(BOE núm. 97, de 23 de abril de 2021)</w:t>
      </w:r>
    </w:p>
    <w:p w:rsidR="005728DD" w:rsidRDefault="005728DD" w:rsidP="005728DD">
      <w:pPr>
        <w:pStyle w:val="TextoNormalCentrado"/>
      </w:pPr>
      <w:r>
        <w:t>ECLI:ES:TC:2021:66</w:t>
      </w:r>
    </w:p>
    <w:p w:rsidR="005728DD" w:rsidRDefault="005728DD" w:rsidP="005728DD">
      <w:pPr>
        <w:pStyle w:val="TextoNormalCentrado"/>
      </w:pPr>
    </w:p>
    <w:p w:rsidR="005728DD" w:rsidRDefault="005728DD" w:rsidP="005728DD">
      <w:pPr>
        <w:pStyle w:val="SntesisDescriptiva"/>
      </w:pPr>
      <w:r>
        <w:t>Recurso de amparo 980-2020. Promovido por don Carlos Carrizosa Torres y otros diputados del Grupo Parlamentario Ciutadans en el Parlamento de Cataluña en relación con diversas resoluciones y actos de la presidencia de la cámara.</w:t>
      </w:r>
    </w:p>
    <w:p w:rsidR="005728DD" w:rsidRDefault="005728DD" w:rsidP="005728DD">
      <w:pPr>
        <w:pStyle w:val="SntesisDescriptiva"/>
      </w:pPr>
    </w:p>
    <w:p w:rsidR="005728DD" w:rsidRDefault="005728DD" w:rsidP="005728DD">
      <w:pPr>
        <w:pStyle w:val="SntesisAnaltica"/>
      </w:pPr>
      <w:r>
        <w:t>Supuesta vulneración del derecho al ejercicio del cargo público representativo: discrepancias jurídicas acerca del titular de la presidencia de la Generalitat de Cataluña que no perturban las funciones representativas de los parlamentarios.</w:t>
      </w:r>
    </w:p>
    <w:p w:rsidR="005728DD" w:rsidRDefault="005728DD" w:rsidP="005728DD">
      <w:pPr>
        <w:pStyle w:val="SntesisAnaltica"/>
      </w:pPr>
    </w:p>
    <w:p w:rsidR="005728DD" w:rsidRDefault="005728DD" w:rsidP="005728DD">
      <w:pPr>
        <w:pStyle w:val="Extracto"/>
      </w:pPr>
      <w:r>
        <w:t>1.</w:t>
      </w:r>
      <w:r>
        <w:tab/>
        <w:t xml:space="preserve">Doctrina sobre el contenido y alcance del derecho al ejercicio del cargo público -o </w:t>
      </w:r>
      <w:r w:rsidRPr="005728DD">
        <w:rPr>
          <w:i/>
        </w:rPr>
        <w:t>ius in officium</w:t>
      </w:r>
      <w:r>
        <w:t>- de los parlamentarios, cualquiera que sea el órgano legislativo al que pertenezcan [FJ 3].</w:t>
      </w:r>
    </w:p>
    <w:p w:rsidR="005728DD" w:rsidRDefault="005728DD" w:rsidP="005728DD">
      <w:pPr>
        <w:pStyle w:val="Extracto"/>
      </w:pPr>
    </w:p>
    <w:p w:rsidR="005728DD" w:rsidRDefault="005728DD" w:rsidP="005728DD">
      <w:pPr>
        <w:pStyle w:val="Extracto"/>
      </w:pPr>
      <w:r>
        <w:t>2.</w:t>
      </w:r>
      <w:r>
        <w:tab/>
        <w:t>El derecho a acceder en condiciones de igualdad a las funciones y cargos públicos, consagrado en el art. 23.2 CE, es un derecho de configuración legal  cuyo contenido se extiende al acceso y permanencia en el ejercicio del cargo representativo, así como a desempeñarlo de acuerdo con la ley, sin constricciones o perturbaciones ilegítimas; correspondiendo establecer su delimitación, sentido y alcance a los reglamentos parlamentarios [FJ 3].</w:t>
      </w:r>
    </w:p>
    <w:p w:rsidR="005728DD" w:rsidRDefault="005728DD" w:rsidP="005728DD">
      <w:pPr>
        <w:pStyle w:val="Extracto"/>
      </w:pPr>
    </w:p>
    <w:p w:rsidR="005728DD" w:rsidRDefault="005728DD" w:rsidP="005728DD">
      <w:pPr>
        <w:pStyle w:val="Extracto"/>
      </w:pPr>
      <w:r>
        <w:t>3.</w:t>
      </w:r>
      <w:r>
        <w:tab/>
        <w:t xml:space="preserve">No cualquier acto del órgano parlamentario que infrinja la legalidad del </w:t>
      </w:r>
      <w:r w:rsidRPr="005728DD">
        <w:rPr>
          <w:i/>
        </w:rPr>
        <w:t xml:space="preserve">ius in officium </w:t>
      </w:r>
      <w:r>
        <w:t>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(SSTC 47/2018 y 96//2019) [FJ 3].</w:t>
      </w:r>
    </w:p>
    <w:p w:rsidR="005728DD" w:rsidRDefault="005728DD" w:rsidP="005728DD">
      <w:pPr>
        <w:pStyle w:val="Extracto"/>
      </w:pPr>
    </w:p>
    <w:p w:rsidR="005728DD" w:rsidRDefault="005728DD" w:rsidP="005728DD">
      <w:pPr>
        <w:pStyle w:val="Extracto"/>
      </w:pPr>
      <w:r>
        <w:t>4.</w:t>
      </w:r>
      <w:r>
        <w:tab/>
        <w:t>Cuando se trata de representantes parlamentarios en defensa del ejercicio de sus funciones, la garantía constitucional comporta defender también el derecho mismo de los ciudadanos a participar a través de la institución de la representación en los asuntos públicos reconocido en el art. 23.1 CE (STC 159/2019) [FJ 3].</w:t>
      </w:r>
    </w:p>
    <w:p w:rsidR="005728DD" w:rsidRDefault="005728DD" w:rsidP="005728DD">
      <w:pPr>
        <w:pStyle w:val="Extracto"/>
      </w:pPr>
    </w:p>
    <w:p w:rsidR="005728DD" w:rsidRDefault="005728DD" w:rsidP="005728DD">
      <w:pPr>
        <w:pStyle w:val="Extracto"/>
      </w:pPr>
      <w:r>
        <w:t>5.</w:t>
      </w:r>
      <w:r>
        <w:tab/>
        <w:t xml:space="preserve">Resulta constitucionalmente improcedente que el derecho del art. 23.2 CE pretenda ser ejercido por sus titulares frente a actuaciones de las cámaras que no inciden negativamente en el núcleo de su función representativa, ya sea obstaculizándola directa o indirectamente, ya sea discriminándoles respecto de otros supuestos, puesto que el </w:t>
      </w:r>
      <w:r w:rsidRPr="005728DD">
        <w:rPr>
          <w:i/>
        </w:rPr>
        <w:t xml:space="preserve">ius in officium </w:t>
      </w:r>
      <w:r>
        <w:t>tutelado por el art. 23.2 CE no implica un derecho fundamental genérico al respeto de la legalidad parlamentaria y debe reconocerse que los órganos rectores de las cámaras disponen de un margen en la interpretación de la legalidad parlamentaria (ATC 262/2007) [FJ 3].</w:t>
      </w:r>
    </w:p>
    <w:p w:rsidR="005728DD" w:rsidRDefault="005728DD" w:rsidP="005728DD">
      <w:pPr>
        <w:pStyle w:val="Extracto"/>
      </w:pPr>
    </w:p>
    <w:p w:rsidR="005728DD" w:rsidRDefault="005728DD" w:rsidP="005728DD">
      <w:pPr>
        <w:pStyle w:val="Extracto"/>
      </w:pPr>
      <w:r>
        <w:lastRenderedPageBreak/>
        <w:t>6.</w:t>
      </w:r>
      <w:r>
        <w:tab/>
        <w:t>Si bien la ausencia de una vía judicial previa disminuye las posibilidades de control jurisdiccional de las decisiones parlamentarias sin fuerza de ley, no es posible ampliar el recurso de amparo del art. 42 LOTC para dar cabida en el mismo a decisiones parlamentarias no susceptibles de vulnerar derechos fundamentales. Ello no solo implicaría una desnaturalización de nuestra jurisdicción de amparo, sino también una inevitable intromisión en la autonomía parlamentaria constitucionalmente garantizada que este tribunal también debe garantizar (ATC 262/2007) [FJ 3].</w:t>
      </w:r>
    </w:p>
    <w:p w:rsidR="005728DD" w:rsidRDefault="005728DD" w:rsidP="005728DD">
      <w:pPr>
        <w:pStyle w:val="Extracto"/>
      </w:pPr>
    </w:p>
    <w:p w:rsidR="005728DD" w:rsidRDefault="005728DD" w:rsidP="005728DD">
      <w:pPr>
        <w:pStyle w:val="Extracto"/>
      </w:pPr>
      <w:r>
        <w:t>7.</w:t>
      </w:r>
      <w:r>
        <w:tab/>
        <w:t>Con independencia de la modalidad de recurso de amparo de que se trate, el recurso de amparo no es una vía procesal adecuada para solicitar y obtener un pronunciamiento abstracto y genérico sobre pretensiones declarativas respecto de supuestas interpretaciones erróneas o indebidas aplicaciones de preceptos constitucionales, sino solo y exclusivamente sobre pretensiones dirigidas a restablecer o preservar los derechos fundamentales cuando se ha alegado una vulneración concreta y efectiva de los mismos (STC 114/1995) [FJ 3].</w:t>
      </w:r>
    </w:p>
    <w:p w:rsidR="005728DD" w:rsidRDefault="005728DD" w:rsidP="005728DD">
      <w:pPr>
        <w:pStyle w:val="Extracto"/>
      </w:pPr>
    </w:p>
    <w:p w:rsidR="005728DD" w:rsidRDefault="005728DD" w:rsidP="005728DD">
      <w:pPr>
        <w:pStyle w:val="Extracto"/>
      </w:pPr>
      <w:r>
        <w:t>8.</w:t>
      </w:r>
      <w:r>
        <w:tab/>
        <w:t>En relación con una denuncia de vulneración del art. 23.2 CE por un acto parlamentario, los demandantes deberán demostrar, de manera singularizada y no abstracta, que ha habido una relación causal entre las lesiones concretas que se denuncian y el acto u omisión impugnado (STC 173/2020) [FJ 3].</w:t>
      </w:r>
    </w:p>
    <w:p w:rsidR="005728DD" w:rsidRDefault="005728DD" w:rsidP="005728DD">
      <w:pPr>
        <w:pStyle w:val="Extracto"/>
      </w:pPr>
    </w:p>
    <w:p w:rsidR="005728DD" w:rsidRDefault="005728DD" w:rsidP="005728DD">
      <w:pPr>
        <w:pStyle w:val="Extracto"/>
      </w:pPr>
      <w:r>
        <w:t>9.</w:t>
      </w:r>
      <w:r>
        <w:tab/>
        <w:t>La demanda centrada en argumentar el mantenimiento de la condición de diputado para continuar ejerciendo el cargo de presidente autonómico no pasa de ser una mera discrepancia jurídica, que no perturba los derechos parlamentarios ni, por ende, lesiona el art. 23.2 CE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980-2020, promovido por don Carlos Carrizosa Torres, doña Lorena Roldán Suárez, don Joan García González, doña Laura Vílchez Sánchez, doña Sonia Sierra Infante, don Ignacio Martín Blasco, doña Marina Bravo Sobrino, doña Noemí de la Calle Sifré, don Jorge Soler González, don Matías Alonso Ruiz, don Juan María Castel Sucarrat, doña Susana Beltrán García, doña Carmen de Rivera Pla, don Francisco Javier Domínguez Serrano, don Antonio Espinosa Cerrato, don David Mejía Ayra, don Javier Rivas Escamilla, don Alfonso Sánchez Fisac, don Carlos Sánchez Martín, don Sergio Sanz </w:t>
      </w:r>
      <w:r>
        <w:lastRenderedPageBreak/>
        <w:t>Jiménez, doña Elisabeth Valencia Mimbrero, don Martín Eusebio Barra López, doña Blanca Navarro Pacheco, don José María Cano Navarro, doña María Francisca Valle Fuentes, doña Munia Fernández-Jordán Celorio, don Dimas Grajera Velaz, don Manuel Rodríguez de L’Hotellerie De Fallois, don Héctor Amelló Montiu, doña María del Camino Fernández Riol, don David Bertrán Román y doña Maialen Fernández Cabezas, representados por el procurador de los tribunales don José Luis García Guardia, contra: (i) los acuerdos de la mesa del Parlamento de Cataluña de 14 y de 27 de enero de 2020 que “rechazan implícitamente constatar la incapacidad de don Joaquim Torra i Pla para seguir ostentando el cargo de presidente de la Generalitat a raíz de la concurrencia en el mismo de la causa de inelegibilidad sobrevenida prevista en la letra b) del apartado segundo del artículo 6 de la Ley Orgánica del régimen electoral general (LOREG) al haber sido condenado por sentencia del Tribunal Superior de Justicia de Cataluña en fecha 23 [debe decir 19] de diciembre de 2019”; (ii) la “decisión del presidente del Parlamento de Cataluña de perturbar ilegítimamente al grupo parlamentario Ciutadans”, en el ejercicio de la función de control e impulso de la acción del Gobierno de la Generalitat, al obligar a dirigir las preguntas de control “a una persona carente de capacidad jurídica para ostentar dicho cargo de presidente de la Generalitat y, por tanto, de ser representante del Gobierno de la Generalitat en las sesiones plenarias del Parlamento de Cataluña”; y (iii) la “concreta aplicación de dicha decisión durante la sesión número 49 del pleno del Parlamento de Cataluña de los días 11, 12 y 13 de febrero de 2020”. Han comparecido y formulado alegaciones el letrado del Parlamento de Cataluña y don José Luis García Guardia, en representación de los recurrentes.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Mediante escrito, que tuvo entrada en el registro de este tribunal el día 14 de febrero de 2020, el procurador de los tribunales don José Luis García Guardia, en nombre y representación de las personas anteriormente mencionadas, todos ellos diputados y diputadas del grupo parlamentario Ciutadans en el Parlamento de Cataluña, interpuso recurso de amparo contra los actos citados en el encabezamiento, por vulneración del </w:t>
      </w:r>
      <w:r w:rsidRPr="005728DD">
        <w:rPr>
          <w:i/>
        </w:rPr>
        <w:t>ius in officium</w:t>
      </w:r>
      <w:r>
        <w:t xml:space="preserve"> del art. 23.2 CE.</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de amparo, en lo que ahora es de interés, trae causa de los siguientes hechos:</w:t>
      </w:r>
    </w:p>
    <w:p w:rsidR="005728DD" w:rsidRDefault="005728DD" w:rsidP="005728DD">
      <w:pPr>
        <w:pStyle w:val="TextoNormal"/>
      </w:pPr>
    </w:p>
    <w:p w:rsidR="005728DD" w:rsidRDefault="005728DD" w:rsidP="005728DD">
      <w:pPr>
        <w:pStyle w:val="TextoNormal"/>
      </w:pPr>
      <w:r>
        <w:t>a) En fecha 19 de diciembre de 2019, la Sala de lo Civil y Penal del Tribunal Superior de Justicia de Cataluña dictó sentencia, recaída en el procedimiento abreviado núm. 1-2019, por la que condenó a don Joaquim Torra i Pla, diputado en el Parlamento de Cataluña y presidente de la Generalitat, como autor responsable de un delito de desobediencia cometido por autoridad del art. 410.1 del Código penal , a las penas de multa de diez meses, con cuota diaria de 100 €, y de inhabilitación especial para el ejercicio de cargos públicos electivos, de ámbito local, autonómico, estatal o europeo, así como para el desempeño de funciones de gobierno en instituciones locales, autonómicas o del Estado por tiempo de un año y seis meses.</w:t>
      </w:r>
    </w:p>
    <w:p w:rsidR="005728DD" w:rsidRDefault="005728DD" w:rsidP="005728DD">
      <w:pPr>
        <w:pStyle w:val="TextoNormal"/>
      </w:pPr>
    </w:p>
    <w:p w:rsidR="005728DD" w:rsidRDefault="005728DD" w:rsidP="005728DD">
      <w:pPr>
        <w:pStyle w:val="TextoNormal"/>
      </w:pPr>
      <w:r>
        <w:t>Dicha resolución fue confirmada por la sentencia núm. 477/2020, de 28 de septiembre, de la Sala de lo Penal del Tribunal Supremo, por la que se desestimó el recurso de casación formalizado contra la anterior.</w:t>
      </w:r>
    </w:p>
    <w:p w:rsidR="005728DD" w:rsidRDefault="005728DD" w:rsidP="005728DD">
      <w:pPr>
        <w:pStyle w:val="TextoNormal"/>
      </w:pPr>
    </w:p>
    <w:p w:rsidR="005728DD" w:rsidRDefault="005728DD" w:rsidP="005728DD">
      <w:pPr>
        <w:pStyle w:val="TextoNormal"/>
      </w:pPr>
      <w:r>
        <w:t>b) Asimismo, la Junta Electoral Central, revocando un acuerdo previo de la Junta Electoral Provincial de Barcelona, dictó el acuerdo núm. 2/2020, de 3 de enero, por el que decidió que: (i) concurría en el señor Torra i Pla la causa de inelegibilidad sobrevenida establecida en el art. 6.2 b) LOREG; (ii) dejó sin efecto su credencial de diputado en el Parlamento de Cataluña, y (iii) ordenó a la Junta Electoral Provincial de Barcelona que, de modo inmediato, declarase la vacante como diputado del señor Torra i Pla, expidiendo la oportuna credencial al siguiente candidato de la lista de Junts per Catalunya en las elecciones celebradas el día 21 de diciembre de 2017.</w:t>
      </w:r>
    </w:p>
    <w:p w:rsidR="005728DD" w:rsidRDefault="005728DD" w:rsidP="005728DD">
      <w:pPr>
        <w:pStyle w:val="TextoNormal"/>
      </w:pPr>
    </w:p>
    <w:p w:rsidR="005728DD" w:rsidRDefault="005728DD" w:rsidP="005728DD">
      <w:pPr>
        <w:pStyle w:val="TextoNormal"/>
      </w:pPr>
      <w:r>
        <w:t>Lo decidido por el acuerdo 2/2020 de la Junta Electoral Central se llevó a efecto por nuevo acuerdo de la Junta Electoral Provincial de Barcelona de 10 de enero de 2020, notificado al presidente del Parlamento de Cataluña el día 15 de enero siguiente, que declaró la vacante como diputado del señor Torra i Pla y expidió la nueva credencial al candidato correspondiente.</w:t>
      </w:r>
    </w:p>
    <w:p w:rsidR="005728DD" w:rsidRDefault="005728DD" w:rsidP="005728DD">
      <w:pPr>
        <w:pStyle w:val="TextoNormal"/>
      </w:pPr>
    </w:p>
    <w:p w:rsidR="005728DD" w:rsidRDefault="005728DD" w:rsidP="005728DD">
      <w:pPr>
        <w:pStyle w:val="TextoNormal"/>
      </w:pPr>
      <w:r>
        <w:t>El citado acuerdo de la Junta Electoral Central fue impugnado mediante recurso contencioso-administrativo ante la Sala de lo Contencioso-Administrativo del Tribunal Supremo, dando lugar al procedimiento ordinario núm. 8-2020, seguido ante la Sección Cuarta de dicha Sala, actualmente pendiente de sentencia.</w:t>
      </w:r>
    </w:p>
    <w:p w:rsidR="005728DD" w:rsidRDefault="005728DD" w:rsidP="005728DD">
      <w:pPr>
        <w:pStyle w:val="TextoNormal"/>
      </w:pPr>
    </w:p>
    <w:p w:rsidR="005728DD" w:rsidRDefault="005728DD" w:rsidP="005728DD">
      <w:pPr>
        <w:pStyle w:val="TextoNormal"/>
      </w:pPr>
      <w:r>
        <w:t>c) En el seno del procedimiento ordinario núm. 8-2020, el Tribunal Supremo dictó el auto de 10 de enero de 2020 por el que acordó no haber lugar a la adopción de la medida cautelarísima de suspensión solicitada por la representación del señor Torra i Pla y decidió ordenar que prosiguiera la tramitación del incidente de suspensión, conforme a lo establecido en el art. 131 de la Ley de la jurisdicción contencioso-administrativa, dando traslado por plazo de cinco días a la representación de la Junta Electoral Central y al Ministerio Fiscal para formulación de alegaciones.</w:t>
      </w:r>
    </w:p>
    <w:p w:rsidR="005728DD" w:rsidRDefault="005728DD" w:rsidP="005728DD">
      <w:pPr>
        <w:pStyle w:val="TextoNormal"/>
      </w:pPr>
    </w:p>
    <w:p w:rsidR="005728DD" w:rsidRDefault="005728DD" w:rsidP="005728DD">
      <w:pPr>
        <w:pStyle w:val="TextoNormal"/>
      </w:pPr>
      <w:r>
        <w:t>Posteriormente, por medio de un nuevo auto de 23 de enero de 2020, la precitada Sección Cuarta acordó no haber lugar a la adopción de la medida cautelar de suspensión de la eficacia del acuerdo núm. 2-2020, de 3 de enero, de la Junta Electoral Central.</w:t>
      </w:r>
    </w:p>
    <w:p w:rsidR="005728DD" w:rsidRDefault="005728DD" w:rsidP="005728DD">
      <w:pPr>
        <w:pStyle w:val="TextoNormal"/>
      </w:pPr>
    </w:p>
    <w:p w:rsidR="005728DD" w:rsidRDefault="005728DD" w:rsidP="005728DD">
      <w:pPr>
        <w:pStyle w:val="TextoNormal"/>
      </w:pPr>
      <w:r>
        <w:t xml:space="preserve">d) En paralelo a la tramitación de las anteriores diligencias judiciales, el día 13 de enero de 2020 el grupo parlamentario Ciutadans en el Parlamento de Cataluña solicitó a la mesa de la cámara catalana y al presidente de la misma dar efectividad a la causa de inelegibilidad sobrevenida concurrente en el señor Torra i Pla, que había sido apreciada por la Junta Electoral Central y, a tal fin, interesaba en su escrito (registro núm. 55221) que, haciendo efectiva la pérdida de la condición de diputado del señor Torra i Pla, ya acaecida, con la pérdida, también, de la condición de presidente de la Generalitat de Cataluña, se dispusiera que: (i) se ordenara la inmediata publicación en el “Boletín Oficial del Parlamento de Cataluña” de la pérdida de tales condiciones con efectos desde el mismo día 3 de enero de 2020; (ii) le fuera retirado el escaño asignado en el Parlamento de Cataluña y revocada cualquier delegación de voto, se suspendiera el devengo de derechos económicos y se le retirara cualquier credencial que hubiera ostentado hasta aquel instante; (iii) se comunicara al Pleno del Parlamento de Cataluña la modificación de su composición, que comportaba la pérdida de la condición de diputado del señor Torra i Pla; (iv) se organizara la adquisición de la condición de diputado y el acto de juramento o promesa y toma de posesión de don Ferrán Mascarell </w:t>
      </w:r>
      <w:r>
        <w:lastRenderedPageBreak/>
        <w:t>i Canalda; (v) se declarase la nulidad de los actos adoptados por el Parlamento de Cataluña a instancia de decisiones del señor Torra i Pla o desde el día 3 de enero de 2020 (convocatoria de la sesión del Pleno del Parlamento y los acuerdos adoptados en la misma); (vi) se comunicase al Consejo de Gobierno de la Generalitat la vacante de la presidencia de la Generalitat, a los efectos del art. 6 de la Ley 13/2008, de 5 de noviembre, de la presidencia y del gobierno de la Generalitat (en adelante, la Ley 13/2008); (vii) en cumplimiento del art. 67 del Estatuto de Autonomía de Cataluña (EAC) y del art. 4 de la Ley 13/2008, se iniciara el procedimiento de proposición al Pleno del Parlamento, de un nuevo candidato a la presidencia de la Generalitat; (viii) se adoptaran todas las medidas necesarias para que cesara “la usurpación de las funciones de diputado del Parlamento de Cataluña y de presidente de la Generalitat que lleva[ba] realizando el señor Torra i Pla desde, al menos, el día 3 de enero de 2020; y (ix) en definitiva, se adoptaran “todas las medidas adecuadas y necesarias en Derecho para evitar que se siga cometiendo una ilegalidad, a lo que están debidamente obligados tanto la presidencia como la mesa como establece la legalidad parlamentaria”.</w:t>
      </w:r>
    </w:p>
    <w:p w:rsidR="005728DD" w:rsidRDefault="005728DD" w:rsidP="005728DD">
      <w:pPr>
        <w:pStyle w:val="TextoNormal"/>
      </w:pPr>
    </w:p>
    <w:p w:rsidR="005728DD" w:rsidRDefault="005728DD" w:rsidP="005728DD">
      <w:pPr>
        <w:pStyle w:val="TextoNormal"/>
      </w:pPr>
      <w:r>
        <w:t>e) En su sesión núm. 123, celebrada el día 14 de enero de 2020, la mesa del Parlamento de Cataluña analizó la anterior solicitud. En primer lugar, el secretario general expuso el contenido del informe de 13 de enero de 2020 elaborado por los servicios jurídicos de la cámara sobre el contenido y decisión adoptados por el acuerdo núm. 2-2020, de 3 de enero, de la Junta Electoral Central. Dicho informe concluía, en síntesis, que: (i) fuera de un proceso electoral, la administración electoral no es competente para declarar la incompatibilidad de un diputado del Parlamento y (ii) una interpretación sistemática, lógica y gramatical del Estatuto de Autonomía permite afirmar que la pérdida de la condición de diputado no afecta a la continuidad en el cargo de presidente de la Generalitat.</w:t>
      </w:r>
    </w:p>
    <w:p w:rsidR="005728DD" w:rsidRDefault="005728DD" w:rsidP="005728DD">
      <w:pPr>
        <w:pStyle w:val="TextoNormal"/>
      </w:pPr>
    </w:p>
    <w:p w:rsidR="005728DD" w:rsidRDefault="005728DD" w:rsidP="005728DD">
      <w:pPr>
        <w:pStyle w:val="TextoNormal"/>
      </w:pPr>
      <w:r>
        <w:t>El presidente del Parlamento, a continuación, señaló que las consideraciones jurídicas del citado informe constituían la base del futuro recurso contencioso-administrativo contra el citado acuerdo de la Junta Electoral Central y propuso tratar de forma conjunta las solicitudes recogidas en los escritos que figuraban en el orden del día (el subgrupo Partit Popular de Catalunya había presentado otros dos escritos sobre el mismo asunto que el de Ciutadans).</w:t>
      </w:r>
    </w:p>
    <w:p w:rsidR="005728DD" w:rsidRDefault="005728DD" w:rsidP="005728DD">
      <w:pPr>
        <w:pStyle w:val="TextoNormal"/>
      </w:pPr>
    </w:p>
    <w:p w:rsidR="005728DD" w:rsidRDefault="005728DD" w:rsidP="005728DD">
      <w:pPr>
        <w:pStyle w:val="TextoNormal"/>
      </w:pPr>
      <w:r>
        <w:t>Al respecto, se sucedieron las intervenciones de los distintos miembros de la mesa, en unos casos para expresar su desacuerdo con el informe de los servicios jurídicos y manifestar que el acuerdo de la Junta Electoral Provincial debía llevarse a efecto mediante la pérdida de la condición de diputado del señor Torra i Pla, lo que para tales intervinientes llevaba consigo también la pérdida del cargo de presidente de la Generalitat. En otros, para solicitar la impugnación del acuerdo de la Junta Electoral Central, por considerarlo radicalmente nulo e ineficaz. La mayoría de la mesa se manifestó a favor del criterio recogido en el informe de los servicios jurídicos por lo que se decidió: (i) interponer recurso contencioso-administrativo contra el acuerdo de la Junta Electoral Central de 3 de enero de 2020, y (ii) encargar a los servicios jurídicos de la cámara catalana la elaboración del recurso.</w:t>
      </w:r>
    </w:p>
    <w:p w:rsidR="005728DD" w:rsidRDefault="005728DD" w:rsidP="005728DD">
      <w:pPr>
        <w:pStyle w:val="TextoNormal"/>
      </w:pPr>
    </w:p>
    <w:p w:rsidR="005728DD" w:rsidRDefault="005728DD" w:rsidP="005728DD">
      <w:pPr>
        <w:pStyle w:val="TextoNormal"/>
      </w:pPr>
      <w:r>
        <w:t xml:space="preserve">f) A la vista del anterior acuerdo de la mesa y del auto de 23 de enero de 2020 de la Sala de lo Contencioso-Administrativo del Tribunal Supremo, que denegó la suspensión del acuerdo de la Junta Electoral Central, el grupo parlamentario Ciutadans presentó, en la misma fecha del 23 de enero, un nuevo escrito dirigido a la mesa del Parlamento (registro núm. 56419) en el que, reiterando “la petición de dar íntegro y pleno cumplimiento a las </w:t>
      </w:r>
      <w:r>
        <w:lastRenderedPageBreak/>
        <w:t>mencionadas resoluciones de la administración electoral”, interesaba que se procediera de inmediato a: (i) “hacer efectiva la pérdida de la condición de diputado del señor Torra i Pla ya acaecida y la consiguiente pérdida de la condición de presidente de la Generalitat”; (ii) “retirar el escaño asignado hasta el momento al señor Torra i Pla” y (iii) “organizar el acto de toma de posesión del nuevo diputado de la lista electoral Junts per Catalunya que sustituyera al exdiputado señor Torra i Pla”.</w:t>
      </w:r>
    </w:p>
    <w:p w:rsidR="005728DD" w:rsidRDefault="005728DD" w:rsidP="005728DD">
      <w:pPr>
        <w:pStyle w:val="TextoNormal"/>
      </w:pPr>
    </w:p>
    <w:p w:rsidR="005728DD" w:rsidRDefault="005728DD" w:rsidP="005728DD">
      <w:pPr>
        <w:pStyle w:val="TextoNormal"/>
      </w:pPr>
      <w:r>
        <w:t>g) El día 27 de enero de 2020, el secretario general del Parlamento de Cataluña informó por escrito a la mesa de que, en cumplimiento de lo que un nuevo acuerdo de la Junta Electoral Central le había requerido, procedía a dar instrucciones a los servicios de la cámara para hacer efectiva la pérdida de la condición de diputado del señor Torra i Pla.</w:t>
      </w:r>
    </w:p>
    <w:p w:rsidR="005728DD" w:rsidRDefault="005728DD" w:rsidP="005728DD">
      <w:pPr>
        <w:pStyle w:val="TextoNormal"/>
      </w:pPr>
    </w:p>
    <w:p w:rsidR="005728DD" w:rsidRDefault="005728DD" w:rsidP="005728DD">
      <w:pPr>
        <w:pStyle w:val="TextoNormal"/>
      </w:pPr>
      <w:r>
        <w:t>h) En la misma fecha del 27 de enero de 2020, en su sesión núm. 125, la mesa del Parlamento trató de forma conjunta los tres puntos del orden del días referidos a: (i) la solicitud de los grupos parlamentarios Ciutadans (registro núm. 56419, antes citada) y Partit Popular de Catalunya (registro núm. 56520) sobre el cumplimiento de las resoluciones de la administración electoral, y (ii) un escrito del secretario general del Parlamento por el que informaba de que había dado instrucciones a los servicios de la cámara para hacer efectiva la pérdida de la condición de diputado del señor Torra i Pla.</w:t>
      </w:r>
    </w:p>
    <w:p w:rsidR="005728DD" w:rsidRDefault="005728DD" w:rsidP="005728DD">
      <w:pPr>
        <w:pStyle w:val="TextoNormal"/>
      </w:pPr>
    </w:p>
    <w:p w:rsidR="005728DD" w:rsidRDefault="005728DD" w:rsidP="005728DD">
      <w:pPr>
        <w:pStyle w:val="TextoNormal"/>
      </w:pPr>
      <w:r>
        <w:t>En el desarrollo de la sesión, el presidente del Parlamento manifestó que los escritos de los dos grupos parlamentarios citados, aunque dirigidos formalmente a la mesa, en la práctica instaban al presidente a realizar ciertas actuaciones, por lo que no requerían la intervención de aquella. Propuso tomar nota de ambos escritos, así como del presentado por el secretario general, sin perjuicio de que la presidencia tendría que actuar de la forma que considerara oportuna.</w:t>
      </w:r>
    </w:p>
    <w:p w:rsidR="005728DD" w:rsidRDefault="005728DD" w:rsidP="005728DD">
      <w:pPr>
        <w:pStyle w:val="TextoNormal"/>
      </w:pPr>
    </w:p>
    <w:p w:rsidR="005728DD" w:rsidRDefault="005728DD" w:rsidP="005728DD">
      <w:pPr>
        <w:pStyle w:val="TextoNormal"/>
      </w:pPr>
      <w:r>
        <w:t>El vicepresidente segundo, del grupo parlamentario de Ciutadans, expresó su acuerdo con lo anterior, pero subrayó que la mesa puede conminar al presidente a actuar como le reclamaba la Junta Electoral Central.</w:t>
      </w:r>
    </w:p>
    <w:p w:rsidR="005728DD" w:rsidRDefault="005728DD" w:rsidP="005728DD">
      <w:pPr>
        <w:pStyle w:val="TextoNormal"/>
      </w:pPr>
    </w:p>
    <w:p w:rsidR="005728DD" w:rsidRDefault="005728DD" w:rsidP="005728DD">
      <w:pPr>
        <w:pStyle w:val="TextoNormal"/>
      </w:pPr>
      <w:r>
        <w:t>Por su parte, el vicepresidente primero, del grupo Junts per Catalunya, recordó que el secretario general debía actuar bajo la dirección del presidente de la cámara y que tanto el Pleno como la mesa se habían pronunciado en sentido contrario al escrito del secretario general, por lo que propuso acordar que este se dejara sin efecto. Ante esto, el presidente del Parlamento respondió que la decisión del secretario general era de carácter técnico y que la mesa no debía pronunciarse sobre ella, ni trasladar la responsabilidad política a los funcionarios. Por ello, propuso que se tomara nota del escrito y de las solicitudes de los grupos, a todos los cuales el presidente daría la debida respuesta.</w:t>
      </w:r>
    </w:p>
    <w:p w:rsidR="005728DD" w:rsidRDefault="005728DD" w:rsidP="005728DD">
      <w:pPr>
        <w:pStyle w:val="TextoNormal"/>
      </w:pPr>
    </w:p>
    <w:p w:rsidR="005728DD" w:rsidRDefault="005728DD" w:rsidP="005728DD">
      <w:pPr>
        <w:pStyle w:val="TextoNormal"/>
      </w:pPr>
      <w:r>
        <w:t>Otros miembros de la mesa intervinieron para respaldar el informe de los servicios jurídicos en punto a que el señor Torra i Pla mantiene su condición de diputado y de presidente de la Generalitat, criterio que, a su juicio, era el que debía seguir defendiendo la cámara.</w:t>
      </w:r>
    </w:p>
    <w:p w:rsidR="005728DD" w:rsidRDefault="005728DD" w:rsidP="005728DD">
      <w:pPr>
        <w:pStyle w:val="TextoNormal"/>
      </w:pPr>
    </w:p>
    <w:p w:rsidR="005728DD" w:rsidRDefault="005728DD" w:rsidP="005728DD">
      <w:pPr>
        <w:pStyle w:val="TextoNormal"/>
      </w:pPr>
      <w:r>
        <w:t xml:space="preserve">Ante la propuesta del vicepresidente primero de que se votara el escrito del secretario general, el presidente del Parlamento contestó que no consideraba pertinente el debate político sobre tal escrito, pues únicamente tendría repercusión en la esfera administrativa; a lo que aquel replicó que la cuestión no era administrativa sino parlamentaria y que se estaba </w:t>
      </w:r>
      <w:r>
        <w:lastRenderedPageBreak/>
        <w:t>produciendo una vulneración de la potestad de autoorganización de la Generalitat y de la autonomía de la cámara, pues es el reglamento de esta el que establecía las causas de cese de los diputados.</w:t>
      </w:r>
    </w:p>
    <w:p w:rsidR="005728DD" w:rsidRDefault="005728DD" w:rsidP="005728DD">
      <w:pPr>
        <w:pStyle w:val="TextoNormal"/>
      </w:pPr>
    </w:p>
    <w:p w:rsidR="005728DD" w:rsidRDefault="005728DD" w:rsidP="005728DD">
      <w:pPr>
        <w:pStyle w:val="TextoNormal"/>
      </w:pPr>
      <w:r>
        <w:t>La sesión finalizó sin más intervenciones y sin adoptar decisión alguna.</w:t>
      </w:r>
    </w:p>
    <w:p w:rsidR="005728DD" w:rsidRDefault="005728DD" w:rsidP="005728DD">
      <w:pPr>
        <w:pStyle w:val="TextoNormal"/>
      </w:pPr>
    </w:p>
    <w:p w:rsidR="005728DD" w:rsidRDefault="005728DD" w:rsidP="005728DD">
      <w:pPr>
        <w:pStyle w:val="TextoNormal"/>
      </w:pPr>
      <w:r>
        <w:t>i) En la sesión núm. 49 del Pleno del Parlamento de Cataluña, celebrada el día 12 de febrero de 2020 para el ejercicio de las funciones de control al gobierno de la Generalitat, el presidente del Parlamento concedió la palabra al señor Torra i Pla, como presidente de la Generalitat, para que respondiera a las preguntas formuladas por el grupo parlamentario Ciutadans.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La demanda de amparo alega que el </w:t>
      </w:r>
      <w:r w:rsidRPr="005728DD">
        <w:rPr>
          <w:i/>
        </w:rPr>
        <w:t>ius in officium</w:t>
      </w:r>
      <w:r>
        <w:t xml:space="preserve"> de los diputados recurrentes ha sido vulnerado por los acuerdos de 14 y de 27 de enero de 2020 de la mesa del Parlamento de Cataluña, así como por la concreta decisión del presidente de la cámara legislativa catalana de permitir que, en la sesión de control al Gobierno celebrada por el Pleno el día 12 de febrero de 2020, el grupo parlamentario ahora demandante tuviera que formular las preguntas de control, en cuanto dirigidas al presidente de la Generalitat, al señor Torra i Pla. En el parecer de los ahora demandantes, esta persona carecía de capacidad jurídica para ostentar dicho cargo de presidente de la Generalitat, por haber perdido la condición de diputado del Parlamento, al haber incurrido sobrevenidamente en la causa de inelegibilidad del art.6.2 b) LOREG.</w:t>
      </w:r>
    </w:p>
    <w:p w:rsidR="005728DD" w:rsidRDefault="005728DD" w:rsidP="005728DD">
      <w:pPr>
        <w:pStyle w:val="TextoNormal"/>
      </w:pPr>
    </w:p>
    <w:p w:rsidR="005728DD" w:rsidRDefault="005728DD" w:rsidP="005728DD">
      <w:pPr>
        <w:pStyle w:val="TextoNormal"/>
      </w:pPr>
      <w:r>
        <w:t>A juicio de los recurrentes, tanto los acuerdos de la mesa que se han citado, como la decisión del presidente del Parlamento de obligarles a formular las preguntas de control a quien ya no sigue ostentando el cargo de presidente de la Generalitat, por haber perdido la condición de diputado del Parlamento, afecta al núcleo esencial de sus derechos de participación política, lo que fundamentan en las siguientes razones:</w:t>
      </w:r>
    </w:p>
    <w:p w:rsidR="005728DD" w:rsidRDefault="005728DD" w:rsidP="005728DD">
      <w:pPr>
        <w:pStyle w:val="TextoNormal"/>
      </w:pPr>
    </w:p>
    <w:p w:rsidR="005728DD" w:rsidRDefault="005728DD" w:rsidP="005728DD">
      <w:pPr>
        <w:pStyle w:val="TextoNormal"/>
      </w:pPr>
      <w:r>
        <w:t xml:space="preserve">a) La doctrina constitucional ha delimitado el contenido del derecho fundamental del art. 23 CE en los siguientes términos: (i) deben ponerse en conexión sus dos apartados, que quedarían vacíos de contenido si el representante político se viera perturbado en el ejercicio de sus funciones; (ii) es un derecho de configuración legal; (iii) no cualquier acto de los órganos parlamentarios que infrinja la legalidad es lesivo del derecho fundamental, sino tan solo aquellos que afectan al núcleo de la función representativa parlamentaria; (iv) la mesa y la presidencia del Parlamento deben respetar el </w:t>
      </w:r>
      <w:r w:rsidRPr="005728DD">
        <w:rPr>
          <w:i/>
        </w:rPr>
        <w:t>ius in officium</w:t>
      </w:r>
      <w:r>
        <w:t xml:space="preserve"> en el ejercicio de las funciones que tienen reglamentariamente atribuidas, motivando de manera expresa, suficiente y adecuada de toda resolución restrictiva del mismo; (v) el control constitucional sobre la función de calificación de los órganos parlamentarios es de carácter negativo, por respeto a la autonomía de las cámaras; (vi) lo cual no impide la posibilidad excepcional del control del contenido material de las iniciativas parlamentarias cuya contradicción con el Derecho o inconstitucionalidad sean “palmarias y evidentes” (cita la STC 10/2016, de 1 de febrero, FJ 4) y (vii) la facultad de formular preguntas al Gobierno pertenece al núcleo de la función representativa parlamentaria (cita la STC 23/2015, de 16 de febrero, FJ 8, entre otras).</w:t>
      </w:r>
    </w:p>
    <w:p w:rsidR="005728DD" w:rsidRDefault="005728DD" w:rsidP="005728DD">
      <w:pPr>
        <w:pStyle w:val="TextoNormal"/>
      </w:pPr>
    </w:p>
    <w:p w:rsidR="005728DD" w:rsidRDefault="005728DD" w:rsidP="005728DD">
      <w:pPr>
        <w:pStyle w:val="TextoNormal"/>
      </w:pPr>
      <w:r>
        <w:t xml:space="preserve">b) A diferencia de lo que sucede con el presidente del Gobierno de la Nación, para ser presidente de la Generalitat se debe adquirir y mantener la condición de diputado del Parlamento. Así se deriva de una interpretación conjunta de los arts. 152 CE, 67.2 del estatuto y </w:t>
      </w:r>
      <w:r>
        <w:lastRenderedPageBreak/>
        <w:t>4.1 de la Ley 13/2008, de 5 de noviembre, de la presidencia de la Generalitat y del Gobierno. Con ello se pretende garantizar la vinculación permanente del presidente con el Parlamento a efectos de cumplir con las funciones de máximo representante del sistema institucional catalán, cabeza del Gobierno y de la administración de la Generalitat y representante ordinario del Estado en la comunidad autónoma. Prueba de lo anterior es que entre las incompatibilidades del presidente de la Generalitat se exceptúa expresamente la condición de diputado.</w:t>
      </w:r>
    </w:p>
    <w:p w:rsidR="005728DD" w:rsidRDefault="005728DD" w:rsidP="005728DD">
      <w:pPr>
        <w:pStyle w:val="TextoNormal"/>
      </w:pPr>
    </w:p>
    <w:p w:rsidR="005728DD" w:rsidRDefault="005728DD" w:rsidP="005728DD">
      <w:pPr>
        <w:pStyle w:val="TextoNormal"/>
      </w:pPr>
      <w:r>
        <w:t>En el recurso contra el acuerdo de la Junta Electoral Central de 3 de enero de 2020 los propios servicios jurídicos del Parlamento defendieron que cabía interpretar que la pérdida de la condición de diputado también acarreaba la de presidente de la Generalitat.</w:t>
      </w:r>
    </w:p>
    <w:p w:rsidR="005728DD" w:rsidRDefault="005728DD" w:rsidP="005728DD">
      <w:pPr>
        <w:pStyle w:val="TextoNormal"/>
      </w:pPr>
    </w:p>
    <w:p w:rsidR="005728DD" w:rsidRDefault="005728DD" w:rsidP="005728DD">
      <w:pPr>
        <w:pStyle w:val="TextoNormal"/>
      </w:pPr>
      <w:r>
        <w:t>La afirmación formulada de contrario de que la pérdida de la condición de diputado no está explícitamente prevista en la Ley 13/2008 como causa de cese sobrevenida es simplista e incluso cabe calificarla de “disparate jurídico”, pues en dicha ley tampoco se prevén otras causas de cese como la pérdida de la nacionalidad española, la declaración no firme de incapacidad o el incumplimiento de los deberes inherentes al cargo a que se refiere el art. 155 CE.</w:t>
      </w:r>
    </w:p>
    <w:p w:rsidR="005728DD" w:rsidRDefault="005728DD" w:rsidP="005728DD">
      <w:pPr>
        <w:pStyle w:val="TextoNormal"/>
      </w:pPr>
    </w:p>
    <w:p w:rsidR="005728DD" w:rsidRDefault="005728DD" w:rsidP="005728DD">
      <w:pPr>
        <w:pStyle w:val="TextoNormal"/>
      </w:pPr>
      <w:r>
        <w:t>c) El efecto conjunto de los acuerdos de la mesa y del presidente del Parlamento que se cuestionan ha sido quebrantar el deber de constatar que el señor Torra i Pla incumple los requisitos para ostentar legítimamente la presidencia de la Generalitat, permitiendo la violación del derecho de representación política. Ante la petición de los recurrentes, la mesa se ha limitado a acordar que se impugnen las resoluciones de la administración electoral. Carece de sentido jurídico e implica una injustificada desconsideración al efecto legal previsto en la LOREG que la mesa y el presidente rechacen anudar efecto alguno a la concurrencia de una incapacidad absoluta para el ejercicio de funciones representativas del señor Torra i Pla.</w:t>
      </w:r>
    </w:p>
    <w:p w:rsidR="005728DD" w:rsidRDefault="005728DD" w:rsidP="005728DD">
      <w:pPr>
        <w:pStyle w:val="TextoNormal"/>
      </w:pPr>
    </w:p>
    <w:p w:rsidR="005728DD" w:rsidRDefault="005728DD" w:rsidP="005728DD">
      <w:pPr>
        <w:pStyle w:val="TextoNormal"/>
      </w:pPr>
      <w:r>
        <w:t>A través de los acuerdos impugnados, no solo se excluye dar efectividad a la incapacidad jurídica del señor Torra i Pla para ostentar función representativa alguna; sino que se le “rehabilita taumatúrgicamente” para detentar con apariencia de legalidad la función de presidente de la Generalitat; y se construye el fundamento de la perturbación continuada al ejercicio de la función representativa de los recurrentes.</w:t>
      </w:r>
    </w:p>
    <w:p w:rsidR="005728DD" w:rsidRDefault="005728DD" w:rsidP="005728DD">
      <w:pPr>
        <w:pStyle w:val="TextoNormal"/>
      </w:pPr>
    </w:p>
    <w:p w:rsidR="005728DD" w:rsidRDefault="005728DD" w:rsidP="005728DD">
      <w:pPr>
        <w:pStyle w:val="TextoNormal"/>
      </w:pPr>
      <w:r>
        <w:t>d) Lo anterior ha dado lugar a la “imposición de un ineficaz o ilusorio control al Gobierno” al imponérsele la obligación de dirigir sus iniciativas de control a una persona carente de la capacidad jurídica para ostentar la presidencia de la Generalitat.</w:t>
      </w:r>
    </w:p>
    <w:p w:rsidR="005728DD" w:rsidRDefault="005728DD" w:rsidP="005728DD">
      <w:pPr>
        <w:pStyle w:val="TextoNormal"/>
      </w:pPr>
    </w:p>
    <w:p w:rsidR="005728DD" w:rsidRDefault="005728DD" w:rsidP="005728DD">
      <w:pPr>
        <w:pStyle w:val="TextoNormal"/>
      </w:pPr>
      <w:r>
        <w:t xml:space="preserve">La formulación de preguntas es una facultad y, a su vez, una responsabilidad de los miembros de cualquier cámara de representación, que debe ejercerse con plena conformidad a lo dispuesto en el Reglamento de la misma. Se trascriben, al respecto, los arts. 162 y 164 del Reglamento del Parlamento de Cataluña. Es evidente que se perturba ilegítimamente el </w:t>
      </w:r>
      <w:r w:rsidRPr="005728DD">
        <w:rPr>
          <w:i/>
        </w:rPr>
        <w:t>ius in officium</w:t>
      </w:r>
      <w:r>
        <w:t xml:space="preserve"> si se impone a los diputados que las preguntas sean respondidas por personas que no pueden ser miembros del Gobierno o presidente de la Generalitat, convirtiendo en “ineficaz” o “quimérica” la propia finalidad del control, equivalente al pretendido por conducto de un simple ciudadano que no ostenta la representación legal del Gobierno.</w:t>
      </w:r>
    </w:p>
    <w:p w:rsidR="005728DD" w:rsidRDefault="005728DD" w:rsidP="005728DD">
      <w:pPr>
        <w:pStyle w:val="TextoNormal"/>
      </w:pPr>
    </w:p>
    <w:p w:rsidR="005728DD" w:rsidRDefault="005728DD" w:rsidP="005728DD">
      <w:pPr>
        <w:pStyle w:val="TextoNormal"/>
      </w:pPr>
      <w:r>
        <w:lastRenderedPageBreak/>
        <w:t>e) Las decisiones impugnadas perturban ilegítimamente y de forma indefinida en el tiempo el ejercicio del control de la acción del Gobierno, de cualquier iniciativa de responsabilidad contra el presidente de la Generalitat (moción de censura y cuestión de confianza) y la participación en una nueva investidura. Esto es resultado, no de una interpretación razonable del estatuto sino de la anteposición de los intereses particulares de los grupos parlamentarios en que se integran el presidente del Parlamento y la mayoría de la mesa. Al rehabilitar la capacidad jurídica del señor. Torra i Pla al margen de toda legalidad, se quiebra, además, el principio de igualdad ínsito al derecho fundamental a la representación política.</w:t>
      </w:r>
    </w:p>
    <w:p w:rsidR="005728DD" w:rsidRDefault="005728DD" w:rsidP="005728DD">
      <w:pPr>
        <w:pStyle w:val="TextoNormal"/>
      </w:pPr>
    </w:p>
    <w:p w:rsidR="005728DD" w:rsidRDefault="005728DD" w:rsidP="005728DD">
      <w:pPr>
        <w:pStyle w:val="TextoNormal"/>
      </w:pPr>
      <w:r>
        <w:t>Por todo ello, solicitan la estimación del recurso de amparo y la anulación de la decisión y de los acuerdos impugnados. Asimismo, por otrosí, solicitan la suspensión cautelar de los mismos.</w:t>
      </w:r>
    </w:p>
    <w:p w:rsidR="005728DD" w:rsidRDefault="005728DD" w:rsidP="005728DD">
      <w:pPr>
        <w:pStyle w:val="TextoNormal"/>
      </w:pPr>
    </w:p>
    <w:p w:rsidR="005728DD" w:rsidRDefault="005728DD" w:rsidP="005728DD">
      <w:pPr>
        <w:pStyle w:val="TextoNormal"/>
      </w:pPr>
      <w:r w:rsidRPr="005728DD">
        <w:rPr>
          <w:rStyle w:val="NumeroAFNegritaCaracter"/>
        </w:rPr>
        <w:t>4</w:t>
      </w:r>
      <w:r>
        <w:t>. La Sala Segunda, Sección Cuarta, de este Tribunal Constitucional, dictó providencia el día 24 de febrero de 2020 por la que acordó la admisión a trámite del recurso de amparo y, al mismo tiempo, apreció que el mismo ofrece especial trascendencia constitucional [art. 50.1 de la Ley Orgánica del Tribunal Constitucional (LOTC)]. En la providencia se indicaba, también, que, en aplicación de lo dispuesto en el art. 51 LOTC, se dirigía atenta comunicación a la mesa del Parlamento de Cataluña para que, en plazo que no excediera de diez días, remitiera certificación o copia adverada de las actuaciones correspondientes a las decisiones del presidente del Parlamento de Cataluña y a los acuerdos de la mesa de 14 y 27 de enero de 2020, con emplazamiento a quienes hubieran sido parte en el procedimiento, excepto la parte recurrente en amparo, para que pudieran comparecer en el plazo de diez días, si así lo deseaban, en el recurso de amparo. Finalmente, se ordenaba, de conformidad con lo solicitado por la parte actora, la formación de la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Una vez evacuado el trámite de alegaciones en la pieza separada de suspensión, mediante ATC 52/2020, de 15 de junio, la Sala Segunda de este tribunal denegó la solicitud de suspensión cautelar.</w:t>
      </w:r>
    </w:p>
    <w:p w:rsidR="005728DD" w:rsidRDefault="005728DD" w:rsidP="005728DD">
      <w:pPr>
        <w:pStyle w:val="TextoNormal"/>
      </w:pPr>
    </w:p>
    <w:p w:rsidR="005728DD" w:rsidRDefault="005728DD" w:rsidP="005728DD">
      <w:pPr>
        <w:pStyle w:val="TextoNormal"/>
      </w:pPr>
      <w:r w:rsidRPr="005728DD">
        <w:rPr>
          <w:rStyle w:val="NumeroAFNegritaCaracter"/>
        </w:rPr>
        <w:t>6</w:t>
      </w:r>
      <w:r>
        <w:t>. El día 13 de julio de 2020 ingresó en el registro de este tribunal el escrito de alegaciones del letrado del Parlamento de Cataluña, en el que solicita la desestimación de la demanda, con base en los argumentos siguientes:</w:t>
      </w:r>
    </w:p>
    <w:p w:rsidR="005728DD" w:rsidRDefault="005728DD" w:rsidP="005728DD">
      <w:pPr>
        <w:pStyle w:val="TextoNormal"/>
      </w:pPr>
    </w:p>
    <w:p w:rsidR="005728DD" w:rsidRDefault="005728DD" w:rsidP="005728DD">
      <w:pPr>
        <w:pStyle w:val="TextoNormal"/>
      </w:pPr>
      <w:r>
        <w:t xml:space="preserve">a) Subraya, en primer lugar, las numerosas dudas jurídicas que se suscitan en el caso objeto de recurso, entre otras, las que se proyectan sobre la competencia de la administración electoral para acordar la pérdida de la condición parlamentaria de un diputado electo y que ha tomado posesión de su cargo; las relativas al alcance y aplicabilidad de los artículos 6.2 y 6.4 LOREG y la consideración de la administración electoral como administración pública a estos efectos; las que se proyectan sobre la competencia del Parlamento de Cataluña en materia del estatuto de los diputados en aplicación del principio de autonomía parlamentaria; las relativas a la interpretación extensiva de las causas de cese de un cargo público o, finalmente, las que se derivan del ejercicio de un derecho fundamental como causa excluyente de la antijuridicidad de esa conducta. Dichas dudas se han evidenciado durante los diversos procedimientos y actos jurídicos conexos con el que es objeto de este recurso. Cita, </w:t>
      </w:r>
      <w:r>
        <w:lastRenderedPageBreak/>
        <w:t>en apoyo de lo anterior, el voto particular discrepante al acuerdo de la Junta Electoral Central de 3 de enero de 2020, firmado por seis de sus trece miembros.</w:t>
      </w:r>
    </w:p>
    <w:p w:rsidR="005728DD" w:rsidRDefault="005728DD" w:rsidP="005728DD">
      <w:pPr>
        <w:pStyle w:val="TextoNormal"/>
      </w:pPr>
    </w:p>
    <w:p w:rsidR="005728DD" w:rsidRDefault="005728DD" w:rsidP="005728DD">
      <w:pPr>
        <w:pStyle w:val="TextoNormal"/>
      </w:pPr>
      <w:r>
        <w:t>Se refiere, a continuación, a la posición mantenida por el Parlamento de Cataluña en contra del criterio del acuerdo de 24 de diciembre de 2019 de la Junta Electoral Provincial de Barcelona, por el que esta se declaraba competente para resolver las solicitudes planteadas por los recurrentes. Invoca el criterio que se mantiene en el recurso contencioso-administrativo contra el acuerdo de la Junta Electoral Central de 3 de enero de 2020, según el cual, cuando se producen al margen de un proceso electoral, las decisiones de aplicación de las resoluciones judiciales a los parlamentarios corresponden a la cámara y no a la administración electoral.</w:t>
      </w:r>
    </w:p>
    <w:p w:rsidR="005728DD" w:rsidRDefault="005728DD" w:rsidP="005728DD">
      <w:pPr>
        <w:pStyle w:val="TextoNormal"/>
      </w:pPr>
    </w:p>
    <w:p w:rsidR="005728DD" w:rsidRDefault="005728DD" w:rsidP="005728DD">
      <w:pPr>
        <w:pStyle w:val="TextoNormal"/>
      </w:pPr>
      <w:r>
        <w:t>b) El letrado del Parlamento defiende que el vínculo jurídico que se establece entre la condición de diputado y de presidente de la Generalitat, derivado de los arts. 152 CE, 67 EAC y 4 de la Ley 13/2008 es, exclusivamente, a los efectos de la elección del presidente y no de mantenimiento en su puesto.</w:t>
      </w:r>
    </w:p>
    <w:p w:rsidR="005728DD" w:rsidRDefault="005728DD" w:rsidP="005728DD">
      <w:pPr>
        <w:pStyle w:val="TextoNormal"/>
      </w:pPr>
    </w:p>
    <w:p w:rsidR="005728DD" w:rsidRDefault="005728DD" w:rsidP="005728DD">
      <w:pPr>
        <w:pStyle w:val="TextoNormal"/>
      </w:pPr>
      <w:r>
        <w:t>Esta es la interpretación que considera más adecuada, por distintas razones: (i) hay más supuestos en el que el presidente deja de ser diputado y continúa como presidente, por ejemplo, cuando se disuelve el Parlamento y se convocan elecciones [arts. 7 de la Ley 13/2008 y 24 d) del Reglamento del Parlamento]; (ii) ni la Constitución, ni el Estatuto ni la Ley 13/2008 establecen expresamente que la condición de diputado se tenga que mantener necesariamente una vez producida la investidura o durante todo el ejercicio del cargo; (iii) aunque el derecho fundamental del art. 23 CE puede limitarse por la ley, la causa alegada por los demandantes no está expresamente prevista, e interpretar extensivamente las causas de cese sería contrario a dicho precepto constitucional y a los convenios internacionales sobre derechos humanos suscritos por España; (iv) el art. 67.7 EAC solo prevé el cese del presidente de la Generalitat por condena penal firme que comporte la inhabilitación para el ejercicio de cargos públicos; (v) la doctrina constitucional ha sentado que las normas limitativas de los derechos y atribuciones de los representantes públicos deben interpretarse restrictivamente (cita, entre otras, la STC 76/2017, de 19 de junio, FJ 3) y (vi) la propia Junta Electoral Central ha limitado la competencia de la administración electoral exclusivamente a examinar si la condena impuesta al señor Torra i Pla integraba un supuesto de inelegibilidad, sin extenderla a la condición de presidente de la Generalitat.</w:t>
      </w:r>
    </w:p>
    <w:p w:rsidR="005728DD" w:rsidRDefault="005728DD" w:rsidP="005728DD">
      <w:pPr>
        <w:pStyle w:val="TextoNormal"/>
      </w:pPr>
    </w:p>
    <w:p w:rsidR="005728DD" w:rsidRDefault="005728DD" w:rsidP="005728DD">
      <w:pPr>
        <w:pStyle w:val="TextoNormal"/>
      </w:pPr>
      <w:r>
        <w:t>c) Sobre los reproches que dirige la demanda de amparo contra la mesa y el presidente del Parlamento, pone de manifiesto que en la sesión de 14 de enero de 2020 aquella acordó, de conformidad con las disposiciones reglamentarias relativas a las funciones de la mesa (art. 37 del Reglamento) y con el procedimiento de adopción de decisiones (art. 42), interponer un recurso contencioso-administrativo contra el acuerdo de la Junta Electoral Central de 3 de enero de 2020, por el que se declaraba que concurría en el señor Torra la causa de inelegibilidad sobrevenida prevista en el artículo 6.2 b) LOREG. En consecuencia, nada cabe reprochar a tal decisión de la mesa desde la perspectiva del procedimiento reglamentario.</w:t>
      </w:r>
    </w:p>
    <w:p w:rsidR="005728DD" w:rsidRDefault="005728DD" w:rsidP="005728DD">
      <w:pPr>
        <w:pStyle w:val="TextoNormal"/>
      </w:pPr>
    </w:p>
    <w:p w:rsidR="005728DD" w:rsidRDefault="005728DD" w:rsidP="005728DD">
      <w:pPr>
        <w:pStyle w:val="TextoNormal"/>
      </w:pPr>
      <w:r>
        <w:t>En segundo lugar, en la sesión de 27 de enero de 2020 la mesa tomó nota de la comunicación del secretario general por la que informaba de que, en cumplimiento del requeri</w:t>
      </w:r>
      <w:r>
        <w:lastRenderedPageBreak/>
        <w:t>miento realizado por la Junta Electoral Central el 23 de enero de 2020, procedía a dar instrucciones a los servicios de la cámara para hacer efectivo el acuerdo de 3 de enero anterior, sin que se adoptara decisión alguna.</w:t>
      </w:r>
    </w:p>
    <w:p w:rsidR="005728DD" w:rsidRDefault="005728DD" w:rsidP="005728DD">
      <w:pPr>
        <w:pStyle w:val="TextoNormal"/>
      </w:pPr>
    </w:p>
    <w:p w:rsidR="005728DD" w:rsidRDefault="005728DD" w:rsidP="005728DD">
      <w:pPr>
        <w:pStyle w:val="TextoNormal"/>
      </w:pPr>
      <w:r>
        <w:t>Asimismo, como se desprende del acta de dicha sesión, el presidente del Parlamento entendió que las solicitudes de los grupos parlamentarios de Ciutadans y del Partit Popular de Catalunya, aun cuando iban dirigidos formalmente a la mesa, no requerían la intervención de esta última en tanto en cuanto le instaban a él realizar unas actuaciones. El propio 27 de enero de 2020 por la tarde el presidente informó al Pleno de que no contabilizaría el voto del señor Torra i Pla.</w:t>
      </w:r>
    </w:p>
    <w:p w:rsidR="005728DD" w:rsidRDefault="005728DD" w:rsidP="005728DD">
      <w:pPr>
        <w:pStyle w:val="TextoNormal"/>
      </w:pPr>
    </w:p>
    <w:p w:rsidR="005728DD" w:rsidRDefault="005728DD" w:rsidP="005728DD">
      <w:pPr>
        <w:pStyle w:val="TextoNormal"/>
      </w:pPr>
      <w:r>
        <w:t>El letrado aduce que las anteriores actuaciones no incurrieron en ningún incumplimiento del ordenamiento jurídico. La mesa no adoptó acuerdo ni decisión alguna, sino que tomó nota de una comunicación del secretario general. Asimismo, el presidente informó al Pleno, en la sesión de esa misma tarde, de que el voto del señor Torra no sería computado.</w:t>
      </w:r>
    </w:p>
    <w:p w:rsidR="005728DD" w:rsidRDefault="005728DD" w:rsidP="005728DD">
      <w:pPr>
        <w:pStyle w:val="TextoNormal"/>
      </w:pPr>
    </w:p>
    <w:p w:rsidR="005728DD" w:rsidRDefault="005728DD" w:rsidP="005728DD">
      <w:pPr>
        <w:pStyle w:val="TextoNormal"/>
      </w:pPr>
      <w:r>
        <w:t>Prosigue afirmando que es lícito que un grupo parlamentario discrepe de una comunicación de un órgano parlamentario, pero ello no le faculta para impugnar actuaciones que tienen un mero contenido informativo solo porque no se adecuen a las consecuencias jurídicas que, a su juicio, se extraen de una decisión judicial o administrativa. Entiende que tales consecuencias deben ser valoradas por las más altas instancias judiciales.</w:t>
      </w:r>
    </w:p>
    <w:p w:rsidR="005728DD" w:rsidRDefault="005728DD" w:rsidP="005728DD">
      <w:pPr>
        <w:pStyle w:val="TextoNormal"/>
      </w:pPr>
    </w:p>
    <w:p w:rsidR="005728DD" w:rsidRDefault="005728DD" w:rsidP="005728DD">
      <w:pPr>
        <w:pStyle w:val="TextoNormal"/>
      </w:pPr>
      <w:r>
        <w:t xml:space="preserve">d) No se pueden acoger las argumentaciones de los recurrentes sobre las perturbaciones al </w:t>
      </w:r>
      <w:r w:rsidRPr="005728DD">
        <w:rPr>
          <w:i/>
        </w:rPr>
        <w:t>ius in officium</w:t>
      </w:r>
      <w:r>
        <w:t>. Las pretensiones del recurso de amparo se fundamentan más en una interpretación de las consecuencias jurídicas de la decisión y de los acuerdos objeto del recurso que en una afectación concreta y efectiva de un derecho o facultad propia de los recurrentes. Estos se inclinan por una determinada interpretación de una controversia compleja, cuya última decisión corresponde a las más altas jurisdicciones. No existe una sentencia firme relativa al caso, pese a lo cual los recurrentes deducen que toda actuación de los órganos parlamentarios que no se adecue a sus peticiones debe ser considerada contraria al artículo 23 CE.</w:t>
      </w:r>
    </w:p>
    <w:p w:rsidR="005728DD" w:rsidRDefault="005728DD" w:rsidP="005728DD">
      <w:pPr>
        <w:pStyle w:val="TextoNormal"/>
      </w:pPr>
    </w:p>
    <w:p w:rsidR="005728DD" w:rsidRDefault="005728DD" w:rsidP="005728DD">
      <w:pPr>
        <w:pStyle w:val="TextoNormal"/>
      </w:pPr>
      <w:r>
        <w:t>Parece evidente que de unos actos con un mero contenido informativo, plenamente respetuoso con la literalidad de las sentencias judiciales y los acuerdos administrativos mencionados, no puede derivarse ninguna afectación concreta y efectiva al derecho de las recurrentes. Y, por lo que concierne a la decisión de recurrir el acuerdo de la Junta Electoral Central de 3 de enero de 2020, se adoptó de conformidad con el procedimiento reglamentario y no produce ninguna afectación a los derechos de los recurrentes, aunque los demandantes discrepen.</w:t>
      </w:r>
    </w:p>
    <w:p w:rsidR="005728DD" w:rsidRDefault="005728DD" w:rsidP="005728DD">
      <w:pPr>
        <w:pStyle w:val="TextoNormal"/>
      </w:pPr>
    </w:p>
    <w:p w:rsidR="005728DD" w:rsidRDefault="005728DD" w:rsidP="005728DD">
      <w:pPr>
        <w:pStyle w:val="TextoNormal"/>
      </w:pPr>
      <w:r>
        <w:t>Además, la argumentación de los recurrentes se torna en teórica e hipotética cuando afirman que la perturbación de su derecho se extendería al ejercicio de cualquier iniciativa tendente a exigir la responsabilidad política del presidente como sería la moción de censura, la cuestión de confianza, un eventual uso de la facultad de disolución anticipada o un nuevo procedimiento de investidura. Dicho razonamiento es contrario a la naturaleza y finalidad del recurso de amparo, que no entra a revisar una simple vulneración de la legalidad aplicable, sino solo en cuanto esta entraña la lesión de un derecho subjetivo de la parte actora, tal y como se deriva del art. 41.3 LOTC y la doctrina constitucional.</w:t>
      </w:r>
    </w:p>
    <w:p w:rsidR="005728DD" w:rsidRDefault="005728DD" w:rsidP="005728DD">
      <w:pPr>
        <w:pStyle w:val="TextoNormal"/>
      </w:pPr>
    </w:p>
    <w:p w:rsidR="005728DD" w:rsidRDefault="005728DD" w:rsidP="005728DD">
      <w:pPr>
        <w:pStyle w:val="TextoNormal"/>
      </w:pPr>
      <w:r>
        <w:t>e) El grupo parlamentario recurrente no ha visto afectado el núcleo esencial de su derecho a la representación política. Los actos impugnados, por su contenido, no pueden limitar el núcleo esencial de una facultad inherente al derecho de representación política que, en el caso objeto de recurso, sería la función de impulso y control de la acción de gobierno en su vertiente de formular preguntas al presidente.</w:t>
      </w:r>
    </w:p>
    <w:p w:rsidR="005728DD" w:rsidRDefault="005728DD" w:rsidP="005728DD">
      <w:pPr>
        <w:pStyle w:val="TextoNormal"/>
      </w:pPr>
    </w:p>
    <w:p w:rsidR="005728DD" w:rsidRDefault="005728DD" w:rsidP="005728DD">
      <w:pPr>
        <w:pStyle w:val="TextoNormal"/>
      </w:pPr>
      <w:r>
        <w:t>Prueba de lo anterior es que el grupo parlamentario recurrente ha venido ejerciendo regularmente la función de impulso y control al Gobierno, tanto en el Pleno como en las comisiones parlamentarias. Así, los diputados recurrentes han venido presentando en el registro del Parlamento escritos, bajo la fórmula habitual de preguntas al presidente, y, por otra parte, han dirigido preguntas al señor Torra en todas las sesiones del Pleno desde la sesión plenaria núm. 48. En una perspectiva más global, tal y como consta en el registro del Parlamento, el grupo de Ciutadans ha presentado, en el periodo de 27 de enero a 7 de julio de 2020, un total de 403 preguntas al Gobierno a responder por escrito; 162 preguntas al Gobierno a responder oralmente en comisión; 15 preguntas al Gobierno a responder oralmente en el Pleno y, finalmente, 7 preguntas al presidente para su respuesta oral en Pleno. Esto demuestra que no ha habido ningún perjuicio efectivo y real al ejercicio de la función de impulso y control al Gobierno.</w:t>
      </w:r>
    </w:p>
    <w:p w:rsidR="005728DD" w:rsidRDefault="005728DD" w:rsidP="005728DD">
      <w:pPr>
        <w:pStyle w:val="TextoNormal"/>
      </w:pPr>
    </w:p>
    <w:p w:rsidR="005728DD" w:rsidRDefault="005728DD" w:rsidP="005728DD">
      <w:pPr>
        <w:pStyle w:val="TextoNormal"/>
      </w:pPr>
      <w:r>
        <w:t>En razón de lo expuesto, solicita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7</w:t>
      </w:r>
      <w:r>
        <w:t>. El Ministerio Fiscal presentó en el registro de este tribunal su escrito de alegaciones el día 30 de julio de 2020, con el contenido siguiente:</w:t>
      </w:r>
    </w:p>
    <w:p w:rsidR="005728DD" w:rsidRDefault="005728DD" w:rsidP="005728DD">
      <w:pPr>
        <w:pStyle w:val="TextoNormal"/>
      </w:pPr>
    </w:p>
    <w:p w:rsidR="005728DD" w:rsidRDefault="005728DD" w:rsidP="005728DD">
      <w:pPr>
        <w:pStyle w:val="TextoNormal"/>
      </w:pPr>
      <w:r>
        <w:t>a) Comienza con unas precisiones previas: en la sesión de la mesa de 14 de enero de 2020 se decidió interponer un recurso contencioso-administrativo contra el acuerdo de la Junta Electoral Central de 3 de enero de 2020, pero no se pronunció sobre la solicitud formulada el 13 de enero por el grupo de Ciutadans para dar efectividad a la causa de inelegibilidad sobrevenida concurrente en el señor Torra y para hacer efectiva la pérdida de la condición de diputado. Por su parte, el segundo acuerdo impugnado, de 27 de enero de 2020, se limitó a tomar nota de la decisión del secretario general de instruir a los servicios de la cámara para hacer efectiva la pérdida de la condición de diputado, pero sin resolver sobre el resto de peticiones planteadas el día 23 de enero de 2020 por el grupo parlamentario, referidas a la pérdida de la condición de presidente de la Generalitat, la retirada del escaño y la organización de la toma de posesión del diputado sustituto.</w:t>
      </w:r>
    </w:p>
    <w:p w:rsidR="005728DD" w:rsidRDefault="005728DD" w:rsidP="005728DD">
      <w:pPr>
        <w:pStyle w:val="TextoNormal"/>
      </w:pPr>
    </w:p>
    <w:p w:rsidR="005728DD" w:rsidRDefault="005728DD" w:rsidP="005728DD">
      <w:pPr>
        <w:pStyle w:val="TextoNormal"/>
      </w:pPr>
      <w:r>
        <w:t>Con base en lo anterior, el fiscal distingue dos niveles de reclamación: (i) uno, formal, mediante el que impugna dos acuerdos concretos de la mesa del Parlamento (de los días 14 y 27 de enero de 2020), y (ii) otro, material, por el que impugna un supuesto rechazo implícito por parte de la mesa de las peticiones planteadas por el grupo de Ciutadans en los días 13 y 23 de enero de dicho mes y año.</w:t>
      </w:r>
    </w:p>
    <w:p w:rsidR="005728DD" w:rsidRDefault="005728DD" w:rsidP="005728DD">
      <w:pPr>
        <w:pStyle w:val="TextoNormal"/>
      </w:pPr>
    </w:p>
    <w:p w:rsidR="005728DD" w:rsidRDefault="005728DD" w:rsidP="005728DD">
      <w:pPr>
        <w:pStyle w:val="TextoNormal"/>
      </w:pPr>
      <w:r>
        <w:t xml:space="preserve">Según el fiscal, el recurso de amparo no puede versar sobre lo acordado formalmente por la mesa en las fechas indicadas, en primer lugar, porque los recurrentes no han esgrimido ninguna argumentación en su demanda contra esa dimensión formal de los acuerdos considerados, lo que revela que esa dimensión del problema carece para ellos de interés. Y, en </w:t>
      </w:r>
      <w:r>
        <w:lastRenderedPageBreak/>
        <w:t>segundo lugar, porque desde ese punto de vista formal el recurso de amparo carecería de cualquier trascendencia constitucional.</w:t>
      </w:r>
    </w:p>
    <w:p w:rsidR="005728DD" w:rsidRDefault="005728DD" w:rsidP="005728DD">
      <w:pPr>
        <w:pStyle w:val="TextoNormal"/>
      </w:pPr>
    </w:p>
    <w:p w:rsidR="005728DD" w:rsidRDefault="005728DD" w:rsidP="005728DD">
      <w:pPr>
        <w:pStyle w:val="TextoNormal"/>
      </w:pPr>
      <w:r>
        <w:t>Así pues, entiende que en el presente recurso de amparo solo podrá analizarse la pretensión material deducida por el grupo recurrente, que no es sino el presunto rechazo implícito de las peticiones efectuadas a la mesa para que diera efectividad a la causa de inelegibilidad sobrevenida concurrente en el señor Torra i Pla e hiciera efectiva la pérdida de la condición tanto de diputado como de presidente de la Generalitat.</w:t>
      </w:r>
    </w:p>
    <w:p w:rsidR="005728DD" w:rsidRDefault="005728DD" w:rsidP="005728DD">
      <w:pPr>
        <w:pStyle w:val="TextoNormal"/>
      </w:pPr>
    </w:p>
    <w:p w:rsidR="005728DD" w:rsidRDefault="005728DD" w:rsidP="005728DD">
      <w:pPr>
        <w:pStyle w:val="TextoNormal"/>
      </w:pPr>
      <w:r>
        <w:t>Aun así, tampoco habrán de analizarse las dos pretensiones de los recurrentes, ya que la primera de ellas encontró satisfacción extraprocesal, habida cuenta que el 27 de enero de 2020 el presidente del Parlamento comunicó al Pleno la pérdida de la condición de diputado del señor Torra i Pla, aunque fuera bajo la fórmula de reconocer la imposibilidad de computar su voto.</w:t>
      </w:r>
    </w:p>
    <w:p w:rsidR="005728DD" w:rsidRDefault="005728DD" w:rsidP="005728DD">
      <w:pPr>
        <w:pStyle w:val="TextoNormal"/>
      </w:pPr>
    </w:p>
    <w:p w:rsidR="005728DD" w:rsidRDefault="005728DD" w:rsidP="005728DD">
      <w:pPr>
        <w:pStyle w:val="TextoNormal"/>
      </w:pPr>
      <w:r>
        <w:t>Por tanto, el único objeto posible del recurso de amparo son los acuerdos de la mesa mencionados “en cuanto habrían rechazado implícitamente constatar la incapacidad del señor Torra i Pla para seguir ostentando el cargo de presidente de la Generalitat a raíz de la concurrencia en el mismo de la causa de inelegibilidad sobrevenida prevista en el art. 6.2 b) LOREG, una vez condenado por sentencia del Tribunal Superior de Justicia de Cataluña de fecha 23 [debe decir 19] de diciembre de 2019”.</w:t>
      </w:r>
    </w:p>
    <w:p w:rsidR="005728DD" w:rsidRDefault="005728DD" w:rsidP="005728DD">
      <w:pPr>
        <w:pStyle w:val="TextoNormal"/>
      </w:pPr>
    </w:p>
    <w:p w:rsidR="005728DD" w:rsidRDefault="005728DD" w:rsidP="005728DD">
      <w:pPr>
        <w:pStyle w:val="TextoNormal"/>
      </w:pPr>
      <w:r>
        <w:t xml:space="preserve">b) Definido el núcleo central del recurso, el fiscal aborda el cumplimiento del requisito de agotamiento de la vía parlamentaria interna, como exige el art. 42 </w:t>
      </w:r>
      <w:r w:rsidRPr="005728DD">
        <w:rPr>
          <w:i/>
        </w:rPr>
        <w:t>in fine</w:t>
      </w:r>
      <w:r>
        <w:t xml:space="preserve"> LOTC. Al respecto, lo que hicieron los recurrentes fue reiterar mediante el escrito de 23 de enero de 2020 su petición de 13 de enero anterior, lo que pone de manifiesto su voluntad de someter de nuevo la cuestión a la consideración del órgano parlamentario. Por ello, concluye que se agotó debidamente la vía parlamentaria.</w:t>
      </w:r>
    </w:p>
    <w:p w:rsidR="005728DD" w:rsidRDefault="005728DD" w:rsidP="005728DD">
      <w:pPr>
        <w:pStyle w:val="TextoNormal"/>
      </w:pPr>
    </w:p>
    <w:p w:rsidR="005728DD" w:rsidRDefault="005728DD" w:rsidP="005728DD">
      <w:pPr>
        <w:pStyle w:val="TextoNormal"/>
      </w:pPr>
      <w:r>
        <w:t>Respecto de la decisión del presidente del Parlamento, adoptada en la sesión número 49 del Pleno, de que las preguntas de control se dirigieran al señor Torra, no es tanto una impugnación autónoma, sino el momento en que las decisiones presuntivas de la mesa de los días 14 y 27 de enero de 2020 ganaron firmeza. Ahora bien, en el caso de que quisiera dársele sustantividad propia, resultaría que no ha sido sometida a ninguna clase de reconsideración, por lo que sería inadmisible, con arreglo al art. 50.1 a) LOTC.</w:t>
      </w:r>
    </w:p>
    <w:p w:rsidR="005728DD" w:rsidRDefault="005728DD" w:rsidP="005728DD">
      <w:pPr>
        <w:pStyle w:val="TextoNormal"/>
      </w:pPr>
    </w:p>
    <w:p w:rsidR="005728DD" w:rsidRDefault="005728DD" w:rsidP="005728DD">
      <w:pPr>
        <w:pStyle w:val="TextoNormal"/>
      </w:pPr>
      <w:r>
        <w:t xml:space="preserve">c) Tras recordar la doctrina constitucional sobre el art. 23.2 CE, el fiscal destaca que no cualquier acto del órgano parlamentario que infrinja la legalidad del </w:t>
      </w:r>
      <w:r w:rsidRPr="005728DD">
        <w:rPr>
          <w:i/>
        </w:rPr>
        <w:t>ius in officium</w:t>
      </w:r>
      <w:r>
        <w:t xml:space="preserve"> lesiona el derecho fundamental. Centrándose en el caso aquí planteado, considera que, desde un punto de vista político, que no es el que aquí interesa, el silencio de la mesa sobre las peticiones del grupo recurrente puede entenderse como una denegación presunta. Pero la realidad de los hechos —añade— “no parece compadecerse bien con esta conclusión”. Al contrario, sobre la capacidad o incapacidad del señor Torra i Pla para continuar ostentando el cargo de presidente de la Generalitat, la mesa “no adoptó decisión alguna mínimamente congruente con lo solicitado”.</w:t>
      </w:r>
    </w:p>
    <w:p w:rsidR="005728DD" w:rsidRDefault="005728DD" w:rsidP="005728DD">
      <w:pPr>
        <w:pStyle w:val="TextoNormal"/>
      </w:pPr>
    </w:p>
    <w:p w:rsidR="005728DD" w:rsidRDefault="005728DD" w:rsidP="005728DD">
      <w:pPr>
        <w:pStyle w:val="TextoNormal"/>
      </w:pPr>
      <w:r>
        <w:t xml:space="preserve">A continuación, el Ministerio Fiscal recuerda que son funciones de dicho órgano, conforme al art. 37.3 del Reglamento, las de: (i) calificar los escritos y documentos de índole </w:t>
      </w:r>
      <w:r>
        <w:lastRenderedPageBreak/>
        <w:t>parlamentaria y declarar su admisión o inadmisión a trámite [letra d)]; (ii) decidir su tramitación de conformidad con el Reglamento [letra e)], y (iii) adoptar las decisiones que requirieran las tramitaciones parlamentarias en caso de duda o laguna reglamentaria [letra a)].</w:t>
      </w:r>
    </w:p>
    <w:p w:rsidR="005728DD" w:rsidRDefault="005728DD" w:rsidP="005728DD">
      <w:pPr>
        <w:pStyle w:val="TextoNormal"/>
      </w:pPr>
    </w:p>
    <w:p w:rsidR="005728DD" w:rsidRDefault="005728DD" w:rsidP="005728DD">
      <w:pPr>
        <w:pStyle w:val="TextoNormal"/>
      </w:pPr>
      <w:r>
        <w:t>Por tanto, ante los escritos presentados, la principal obligación de la mesa era calificarlos, declarar su admisión o inadmisión y decidir sobre su tramitación. Y esto es precisamente lo que no hizo. Pero —añade—, de tal inacción no puede desprenderse que rechazara implícitamente constatar la incapacidad del señor Torra i Pla para ostentar el cargo de presidente, habida cuenta que entre las funciones de la mesa no se encuentra la de adoptar decisiones de fondo sobre las cuestiones que le hagan llegar para calificación, admisión o inadmisión y, en su caso, tramitación. De modo que si la mesa no podía adoptar una decisión expresa sobre lo solicitado por el grupo parlamentario recurrente, tampoco podía dar lugar, con su inactividad, a un acto presunto desestimatorio de esas pretensiones. Lo que no ha de impedir afirmar que la mesa “incurrió en una completa dejación de funciones, al prescindir de su esencial misión jurídico-técnica de ordenar y racionalizar el funcionamiento de la cámara para mayor eficiencia, verificando la regularidad jurídica y la viabilidad procedimental de las iniciativas del grupo parlamentario Ciutadans […] disponiendo acto seguido lo que entendiera procedente, todo lo cual debería además haber motivado de modo suficiente”.</w:t>
      </w:r>
    </w:p>
    <w:p w:rsidR="005728DD" w:rsidRDefault="005728DD" w:rsidP="005728DD">
      <w:pPr>
        <w:pStyle w:val="TextoNormal"/>
      </w:pPr>
    </w:p>
    <w:p w:rsidR="005728DD" w:rsidRDefault="005728DD" w:rsidP="005728DD">
      <w:pPr>
        <w:pStyle w:val="TextoNormal"/>
      </w:pPr>
      <w:r>
        <w:t xml:space="preserve">A partir de la doctrina constitucional sobre el </w:t>
      </w:r>
      <w:r w:rsidRPr="005728DD">
        <w:rPr>
          <w:i/>
        </w:rPr>
        <w:t>ius in officium</w:t>
      </w:r>
      <w:r>
        <w:t>, el fiscal considera que todo parlamentario tiene derecho a que sus iniciativas sean consideradas, calificadas y admitidas o inadmitidas a trámite por la mesa, todo ello, de forma motivada (cita la STC 64/2002, de 11 de marzo). Así pues, resulta indiscutible que, al no haber obrado así, ocasionó la vulneración del art. 23.2 CE e, indirectamente, también la del art. 23.1 CE.</w:t>
      </w:r>
    </w:p>
    <w:p w:rsidR="005728DD" w:rsidRDefault="005728DD" w:rsidP="005728DD">
      <w:pPr>
        <w:pStyle w:val="TextoNormal"/>
      </w:pPr>
    </w:p>
    <w:p w:rsidR="005728DD" w:rsidRDefault="005728DD" w:rsidP="005728DD">
      <w:pPr>
        <w:pStyle w:val="TextoNormal"/>
      </w:pPr>
      <w:r>
        <w:t>d) Por último, aborda el problema de si la anterior conclusión puede conducir al otorgamiento del amparo solicitado. En principio —afirma—, pudiera parecer evidente la respuesta afirmativa. Sin embargo, no lo es. La dificultad estriba en que los recurrentes no han planteado el problema en los términos descritos, sino que han optado por entender que los acuerdos impugnados constituyeron por sí mismos una “denegación presunta” o un “rechazo implícito” de su pretensión de que se constatara la incapacidad del señorTorra i Pla para seguir ostentando la condición de presidente de la Generalitat, centrando toda su argumentación en que la pérdida de la condición de diputado lleva consigo la de aquella.</w:t>
      </w:r>
    </w:p>
    <w:p w:rsidR="005728DD" w:rsidRDefault="005728DD" w:rsidP="005728DD">
      <w:pPr>
        <w:pStyle w:val="TextoNormal"/>
      </w:pPr>
    </w:p>
    <w:p w:rsidR="005728DD" w:rsidRDefault="005728DD" w:rsidP="005728DD">
      <w:pPr>
        <w:pStyle w:val="TextoNormal"/>
      </w:pPr>
      <w:r>
        <w:t xml:space="preserve">Por lo anterior —prosigue— “si ahora se informara a favor de la estimación del presente recurso de amparo en los precisos términos que resultan de este dictamen, se estaría informando favorablemente una pretensión de amparo (entendida como relación de congruencia entre el </w:t>
      </w:r>
      <w:r w:rsidRPr="005728DD">
        <w:rPr>
          <w:i/>
        </w:rPr>
        <w:t>petitum</w:t>
      </w:r>
      <w:r>
        <w:t xml:space="preserve"> y la </w:t>
      </w:r>
      <w:r w:rsidRPr="005728DD">
        <w:rPr>
          <w:i/>
        </w:rPr>
        <w:t>causa petendi</w:t>
      </w:r>
      <w:r>
        <w:t>) completamente distinta de la que, en realidad, ha sido planteada en esta vía constitucional”. Así pues, considera que la pretensión realmente deducida en la vía de amparo no puede prosperar, ya que parte de que la inacción de la mesa puede interpretarse como una resolución presunta, lo que no puede ser asumido. Interesa, en consecuencia, la íntegra desestimación de la demanda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Por escrito que tuvo entrada en el registro de este tribunal el día 31 de julio de 2020, don José Luis García Guardia, en su condición de recurrente en amparo, presentó alegaciones con el contenido que se expone a continuación:</w:t>
      </w:r>
    </w:p>
    <w:p w:rsidR="005728DD" w:rsidRDefault="005728DD" w:rsidP="005728DD">
      <w:pPr>
        <w:pStyle w:val="TextoNormal"/>
      </w:pPr>
    </w:p>
    <w:p w:rsidR="005728DD" w:rsidRDefault="005728DD" w:rsidP="005728DD">
      <w:pPr>
        <w:pStyle w:val="TextoNormal"/>
      </w:pPr>
      <w:r>
        <w:lastRenderedPageBreak/>
        <w:t xml:space="preserve">a) Al soslayar la incapacidad jurídica absoluta del señor Torra i Pla en el ámbito del Parlamento de Cataluña se permite que siga detentando ilegítimamente la condición de presidente de la Generalitat. Reproduce un extracto del auto del Tribunal Superior de Justicia de Cataluña (Sala Civil y Penal) de 24 de febrero de 2020, según el cual “no existe el automatismo </w:t>
      </w:r>
      <w:r w:rsidRPr="005728DD">
        <w:rPr>
          <w:i/>
        </w:rPr>
        <w:t>ex lege</w:t>
      </w:r>
      <w:r>
        <w:t xml:space="preserve"> entre la pérdida sobrevenida de la condición de diputado y el cese del presidente de la Generalitat sino que tal cuestión debe ser analizada según afirma la Junta Electoral Central en la resolución de 3/1/2020 (FJ 5, punto sexto) por el propio Parlamento de Cataluña, cuyas decisiones o inactividad al respecto pueden ser, en su caso, recurridas ante la jurisdicción constitucional competente. No existe, pues, ningún acto jurídico ni del Parlamento de Cataluña ni de ningún tribunal por el que se haya dispuesto el cese del querellado del cargo de presidente de la Generalitat”.</w:t>
      </w:r>
    </w:p>
    <w:p w:rsidR="005728DD" w:rsidRDefault="005728DD" w:rsidP="005728DD">
      <w:pPr>
        <w:pStyle w:val="TextoNormal"/>
      </w:pPr>
    </w:p>
    <w:p w:rsidR="005728DD" w:rsidRDefault="005728DD" w:rsidP="005728DD">
      <w:pPr>
        <w:pStyle w:val="TextoNormal"/>
      </w:pPr>
      <w:r>
        <w:t>b) Teniendo en cuenta la vocación de permanencia indefinida en el tiempo de los acuerdos y decisiones impugnadas mediante el recurso, se está vulnerando el derecho fundamental de representación política de los recurrentes, por la imposibilidad que padecen los diputados de dar simultáneo cumplimiento a su deber de participar en la actividad parlamentaria sin perturbaciones y ejercer su función representativa con respeto a la Constitución (cita la STC 46/2018, de 26 de abril).</w:t>
      </w:r>
    </w:p>
    <w:p w:rsidR="005728DD" w:rsidRDefault="005728DD" w:rsidP="005728DD">
      <w:pPr>
        <w:pStyle w:val="TextoNormal"/>
      </w:pPr>
    </w:p>
    <w:p w:rsidR="005728DD" w:rsidRDefault="005728DD" w:rsidP="005728DD">
      <w:pPr>
        <w:pStyle w:val="TextoNormal"/>
      </w:pPr>
      <w:r>
        <w:t xml:space="preserve">c) Las vulneraciones del derecho fundamental que han provocado los acuerdos y las decisiones de los órganos parlamentarios son especialmente graves porque se han adoptado con pleno conocimiento de su antijuridicidad. De hecho, la mesa desconsideró intencionadamente las advertencias de algunos de sus miembros y de la asistencia letrada, con lo que defraudó el derecho de los parlamentarios recurrentes a que los órganos rectores de la cámara resolvieran sus facultades de revisión conforme a Derecho y no a criterios políticos (cita la STC 136/2018, de 13 de diciembre). Esa reiterada, conocida y palmaria inconstitucionalidad implicaba, por tanto, que el propio estatuto de los miembros del Parlamento de Cataluña quedase desligado de las normas que los reconocen y anclan en nuestro ordenamiento democrático. Desvinculado el Parlamento de la Constitución, se producía una injustificada perturbación del </w:t>
      </w:r>
      <w:r w:rsidRPr="005728DD">
        <w:rPr>
          <w:i/>
        </w:rPr>
        <w:t>ius in officium</w:t>
      </w:r>
      <w:r>
        <w:t xml:space="preserve"> de los parlamentarios recurrentes.</w:t>
      </w:r>
    </w:p>
    <w:p w:rsidR="005728DD" w:rsidRDefault="005728DD" w:rsidP="005728DD">
      <w:pPr>
        <w:pStyle w:val="TextoNormal"/>
      </w:pPr>
    </w:p>
    <w:p w:rsidR="005728DD" w:rsidRDefault="005728DD" w:rsidP="005728DD">
      <w:pPr>
        <w:pStyle w:val="TextoNormal"/>
      </w:pPr>
      <w:r>
        <w:t>Por lo anterior, solicita la estimación del recurso de amparo y que se declare la vulneración del derecho de los recurrentes a la participación en asuntos públicos reconocido en el art. 23 CE.</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11 de marzo de 2021, se señaló para deliberación y votación de la presente sentencia el día 15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y pretensiones de las partes</w:t>
      </w:r>
      <w:r>
        <w:t>.</w:t>
      </w:r>
    </w:p>
    <w:p w:rsidR="005728DD" w:rsidRDefault="005728DD" w:rsidP="005728DD">
      <w:pPr>
        <w:pStyle w:val="TextoNormal"/>
      </w:pPr>
    </w:p>
    <w:p w:rsidR="005728DD" w:rsidRDefault="005728DD" w:rsidP="005728DD">
      <w:pPr>
        <w:pStyle w:val="TextoNormal"/>
      </w:pPr>
      <w:r>
        <w:t xml:space="preserve">El presente proceso tiene por objeto resolver el recurso que plantean treinta y dos diputados y diputadas del Grupo Parlamentario Ciutadans en el Parlamento de Cataluña contra: (i) los acuerdos de la mesa de 14 y de 27 de enero de 2020 que “rechazan implícitamente constatar la incapacidad de don Joaquim Torra i Pla para seguir ostentando el cargo de presidente de la Generalitat a raíz de la concurrencia en el mismo de la causa de inelegibilidad </w:t>
      </w:r>
      <w:r>
        <w:lastRenderedPageBreak/>
        <w:t>sobrevenida prevista en la letra b) del apartado segundo del artículo 6 de la Ley Orgánica del régimen electoral general (LOREG) al haber sido condenado por sentencia del Tribunal Superior de Justicia de Cataluña en fecha 23 [debe decir 19] de diciembre de 2019”; (ii) la “decisión del presidente del Parlamento de Cataluña de perturbar ilegítimamente al grupo parlamentario Ciutadans”, en el ejercicio de la función de control e impulso de la acción del Gobierno de la Generalitat, al obligar a dirigir las preguntas de control “a una persona carente de capacidad jurídica para ostentar dicho cargo de presidente de la Generalitat y, por tanto, de ser representante del Gobierno de la Generalitat en las sesiones plenarias del Parlamento de Cataluña”, y (iii) la “concreta aplicación de dicha decisión durante la sesión número 49 del Pleno del Parlamento de Cataluña de los días 11, 12 y 13 de febrero de 2020”.</w:t>
      </w:r>
    </w:p>
    <w:p w:rsidR="005728DD" w:rsidRDefault="005728DD" w:rsidP="005728DD">
      <w:pPr>
        <w:pStyle w:val="TextoNormal"/>
      </w:pPr>
    </w:p>
    <w:p w:rsidR="005728DD" w:rsidRDefault="005728DD" w:rsidP="005728DD">
      <w:pPr>
        <w:pStyle w:val="TextoNormal"/>
      </w:pPr>
      <w:r>
        <w:t>En los términos detallados en los antecedentes, los recurrentes alegan que “el efecto conjunto de los acuerdos de la mesa y la decisión del presidente del Parlamento [ha sido] quebrantar su deber estatutario y legal de constatar el incumplimiento por el señor Torra del requisito para ostentar legítimamente la condición de presidente de la Generalitat”, a raíz de su inhabilitación por sentencia del Tribunal Superior de Justicia de Cataluña de 19 de diciembre de 2019 que, en el momento de adoptarse los actos citados, no era firme.</w:t>
      </w:r>
    </w:p>
    <w:p w:rsidR="005728DD" w:rsidRDefault="005728DD" w:rsidP="005728DD">
      <w:pPr>
        <w:pStyle w:val="TextoNormal"/>
      </w:pPr>
    </w:p>
    <w:p w:rsidR="005728DD" w:rsidRDefault="005728DD" w:rsidP="005728DD">
      <w:pPr>
        <w:pStyle w:val="TextoNormal"/>
      </w:pPr>
      <w:r>
        <w:t>Los diputados demandantes de amparo consideran que, con lo anterior, se vulneró su derecho de participación política del art. 23.2 CE, lo que se habría puesto de manifiesto, en concreto, durante la sesión número 49 del Pleno, en la que se les obligó a dirigir sus preguntas de control a quien, a su juicio, había perdido la capacidad jurídica para ser presidente de la Generalitat.</w:t>
      </w:r>
    </w:p>
    <w:p w:rsidR="005728DD" w:rsidRDefault="005728DD" w:rsidP="005728DD">
      <w:pPr>
        <w:pStyle w:val="TextoNormal"/>
      </w:pPr>
    </w:p>
    <w:p w:rsidR="005728DD" w:rsidRDefault="005728DD" w:rsidP="005728DD">
      <w:pPr>
        <w:pStyle w:val="TextoNormal"/>
      </w:pPr>
      <w:r>
        <w:t>El letrado del Parlamento solicita la desestimación del recurso con los argumentos siguientes: (i) la pérdida de la condición de diputado no lleva consigo la de presidente de la Generalitat; (ii) la decisión de la mesa de 14 de enero de 2020 de interponer recurso contencioso-administrativo contra el acuerdo de la Junta Electoral Central de 3 de enero de 2020 se adoptó conforme al Reglamento; (iii) en la sesión de 27 de enero siguiente, la mesa se limitó a tomar nota de la comunicación del secretario general de que los servicios de la cámara harían efectiva la pérdida de la condición de diputado del señor Torra i Pla y (iv) los diputados recurrentes han venido ejerciendo regularmente la función de control al Gobierno y a su presidente.</w:t>
      </w:r>
    </w:p>
    <w:p w:rsidR="005728DD" w:rsidRDefault="005728DD" w:rsidP="005728DD">
      <w:pPr>
        <w:pStyle w:val="TextoNormal"/>
      </w:pPr>
    </w:p>
    <w:p w:rsidR="005728DD" w:rsidRDefault="005728DD" w:rsidP="005728DD">
      <w:pPr>
        <w:pStyle w:val="TextoNormal"/>
      </w:pPr>
      <w:r>
        <w:t>El Ministerio Fiscal precisa que el recurso no debe centrarse en la impugnación formal de los dos acuerdos de la mesa que se mencionan, sino en la queja material que se plantea, que es la negativa a considerar que el señor Torra i Pla incurre en causa de incapacidad sobrevenida para ser presidente de la Generalitat. A su juicio, el que las preguntas de control se dirijan a dicha persona no es más que una consecuencia de lo anterior, por lo que no debe tratarse de forma autónoma. Aunque considera que la mesa debería haber dado una respuesta motivada a las solicitudes del grupo parlamentario de Ciutadans, concluye que esta no es la queja realmente deducida y que, dado que la demanda no puede reconstruirse, el recurso debe desestimarse.</w:t>
      </w:r>
    </w:p>
    <w:p w:rsidR="005728DD" w:rsidRDefault="005728DD" w:rsidP="005728DD">
      <w:pPr>
        <w:pStyle w:val="TextoNormal"/>
      </w:pPr>
    </w:p>
    <w:p w:rsidR="005728DD" w:rsidRDefault="005728DD" w:rsidP="005728DD">
      <w:pPr>
        <w:pStyle w:val="TextoNormal"/>
      </w:pPr>
      <w:r>
        <w:t>Por último, don José Luis García Guardia, en representación de los recurrentes, reitera los argumentos de la demanda y solicita su estimación.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Precisiones sobre el objeto del recurso</w:t>
      </w:r>
      <w:r>
        <w:t>.</w:t>
      </w:r>
    </w:p>
    <w:p w:rsidR="005728DD" w:rsidRDefault="005728DD" w:rsidP="005728DD">
      <w:pPr>
        <w:pStyle w:val="TextoNormal"/>
      </w:pPr>
    </w:p>
    <w:p w:rsidR="005728DD" w:rsidRDefault="005728DD" w:rsidP="005728DD">
      <w:pPr>
        <w:pStyle w:val="TextoNormal"/>
      </w:pPr>
      <w:r>
        <w:t>Antes de examinar la queja planteada por los diputados recurrentes es necesario realizar algunas precisiones sobre su objeto.</w:t>
      </w:r>
    </w:p>
    <w:p w:rsidR="005728DD" w:rsidRDefault="005728DD" w:rsidP="005728DD">
      <w:pPr>
        <w:pStyle w:val="TextoNormal"/>
      </w:pPr>
    </w:p>
    <w:p w:rsidR="005728DD" w:rsidRDefault="005728DD" w:rsidP="005728DD">
      <w:pPr>
        <w:pStyle w:val="TextoNormal"/>
      </w:pPr>
      <w:r>
        <w:t>Según consta literalmente en el suplico, el recurso de amparo se dirige contra:</w:t>
      </w:r>
    </w:p>
    <w:p w:rsidR="005728DD" w:rsidRDefault="005728DD" w:rsidP="005728DD">
      <w:pPr>
        <w:pStyle w:val="TextoNormal"/>
      </w:pPr>
    </w:p>
    <w:p w:rsidR="005728DD" w:rsidRDefault="005728DD" w:rsidP="005728DD">
      <w:pPr>
        <w:pStyle w:val="TextoNormal"/>
      </w:pPr>
      <w:r>
        <w:t>“1. Decisión del presidente del Parlamento de Cataluña de perturbar ilegítimamente al Grupo Parlamentario de Ciutadans el ejercicio de la esencial función de control e impulso de la acción del Govern de la Generalitat al obligar a dirigir las preguntas de control al presidente de la Generalitat a una persona carente de la capacidad jurídica para ostentar dicho cargo de presidente de la Generalitat y, por tanto, de ser el representante del Govern de la Generalitat en las sesiones plenarias del Parlamento de Cataluña.</w:t>
      </w:r>
    </w:p>
    <w:p w:rsidR="005728DD" w:rsidRDefault="005728DD" w:rsidP="005728DD">
      <w:pPr>
        <w:pStyle w:val="TextoNormal"/>
      </w:pPr>
    </w:p>
    <w:p w:rsidR="005728DD" w:rsidRDefault="005728DD" w:rsidP="005728DD">
      <w:pPr>
        <w:pStyle w:val="TextoNormal"/>
      </w:pPr>
      <w:r>
        <w:t>2. Asimismo, la concreta aplicación de dicha decisión durante la sesión número 49 del Pleno del Parlamento de Cataluña de los días 11, 12 y 13 de febrero de 2020.</w:t>
      </w:r>
    </w:p>
    <w:p w:rsidR="005728DD" w:rsidRDefault="005728DD" w:rsidP="005728DD">
      <w:pPr>
        <w:pStyle w:val="TextoNormal"/>
      </w:pPr>
    </w:p>
    <w:p w:rsidR="005728DD" w:rsidRDefault="005728DD" w:rsidP="005728DD">
      <w:pPr>
        <w:pStyle w:val="TextoNormal"/>
      </w:pPr>
      <w:r>
        <w:t>3. Acuerdos de la mesa de 14 de enero de 2020 y 27 de enero de 2020 que rechazan implícitamente constatar la incapacidad del señor Torra i Pla para seguir ostentando el cargo de presidente de la Generalitat a raíz de la concurrencia en el mismo de la causa de inelegibilidad sobrevenida prevista en la letra b) del apartado 2 del artículo 6 LOREG, al haber sido condenado por sentencia del Tribunal Superior de Justicia de Cataluña de 23 [debe decir 19] de diciembre de 2019”.</w:t>
      </w:r>
    </w:p>
    <w:p w:rsidR="005728DD" w:rsidRDefault="005728DD" w:rsidP="005728DD">
      <w:pPr>
        <w:pStyle w:val="TextoNormal"/>
      </w:pPr>
    </w:p>
    <w:p w:rsidR="005728DD" w:rsidRDefault="005728DD" w:rsidP="005728DD">
      <w:pPr>
        <w:pStyle w:val="TextoNormal"/>
      </w:pPr>
      <w:r>
        <w:t>a) Como observa el Ministerio Fiscal, aunque la demanda impugna formalmente los actos citados, la denuncia material es que no se acogiera la solicitud de los recurrentes de considerar que el señor Torra i Pla había cesado en el cargo de presidente de la Generalitat.</w:t>
      </w:r>
    </w:p>
    <w:p w:rsidR="005728DD" w:rsidRDefault="005728DD" w:rsidP="005728DD">
      <w:pPr>
        <w:pStyle w:val="TextoNormal"/>
      </w:pPr>
    </w:p>
    <w:p w:rsidR="005728DD" w:rsidRDefault="005728DD" w:rsidP="005728DD">
      <w:pPr>
        <w:pStyle w:val="TextoNormal"/>
      </w:pPr>
      <w:r>
        <w:t>Los diputados de Ciutadans habían pedido que se constatara su cese tanto en la condición de diputado como de presidente. La primera pretensión encontró satisfacción extraprocesal (STC 40/1982, de 30 de junio, FJ 1), una vez que el Parlamento, en cumplimiento del acuerdo de la Junta Electoral Central de 3 de enero de 2020, y pese a impugnarlo en vía contencioso-administrativa ante el Tribunal Supremo (recurso núm. 8-2020, pendiente de resolución al tiempo de dictarse la presente sentencia), accedió a retirar la condición de diputado al señor. Torra i Pla. Por consiguiente, el objeto de nuestro examen debe centrarse en el aspecto de la solicitud de los diputados de Ciutadans que no fue atendido por los órganos de la cámara, es decir, que se considerara que el señor Torra i Pla había incurrido en una causa de cese como presidente de la Generalitat y se iniciara el procedimiento de investidura de un nuevo candidato a la presidencia.</w:t>
      </w:r>
    </w:p>
    <w:p w:rsidR="005728DD" w:rsidRDefault="005728DD" w:rsidP="005728DD">
      <w:pPr>
        <w:pStyle w:val="TextoNormal"/>
      </w:pPr>
    </w:p>
    <w:p w:rsidR="005728DD" w:rsidRDefault="005728DD" w:rsidP="005728DD">
      <w:pPr>
        <w:pStyle w:val="TextoNormal"/>
      </w:pPr>
      <w:r>
        <w:t>También debemos coincidir con el fiscal en que el hecho de dirigir las preguntas de control al señor Torra i Pla es consecuencia de que continúe en el cargo de presidente de la Generalitat, queja a la que aquella va ligada.</w:t>
      </w:r>
    </w:p>
    <w:p w:rsidR="005728DD" w:rsidRDefault="005728DD" w:rsidP="005728DD">
      <w:pPr>
        <w:pStyle w:val="TextoNormal"/>
      </w:pPr>
    </w:p>
    <w:p w:rsidR="005728DD" w:rsidRDefault="005728DD" w:rsidP="005728DD">
      <w:pPr>
        <w:pStyle w:val="TextoNormal"/>
      </w:pPr>
      <w:r>
        <w:t>En tercer lugar, se observa que lo denunciado no es tanto la falta de respuesta a la solicitud planteada como que los órganos de la cámara mantuvieran un criterio contrario al de los diputados de Ciutadans acerca de si concurría o no una causa de cese en la presidencia de la Generalitat.</w:t>
      </w:r>
    </w:p>
    <w:p w:rsidR="005728DD" w:rsidRDefault="005728DD" w:rsidP="005728DD">
      <w:pPr>
        <w:pStyle w:val="TextoNormal"/>
      </w:pPr>
    </w:p>
    <w:p w:rsidR="005728DD" w:rsidRDefault="005728DD" w:rsidP="005728DD">
      <w:pPr>
        <w:pStyle w:val="TextoNormal"/>
      </w:pPr>
      <w:r>
        <w:lastRenderedPageBreak/>
        <w:t>Efectivamente, de la demanda se colige que los diputados conocen las razones de los órganos parlamentarios cuando afirman que es “manifiestamente infundada la simplista afirmación empleada por el presidente del Parlamento de Cataluña y la mesa del Parlamento de Cataluña para no dar efectividad a la necesaria pérdida de la condición de presidente de la Generalitat del señor Torra i Pla a consecuencia de la pérdida de la condición de diputado del Parlamento consistente en que no está explícitamente prevista en la Ley de presidencia y gobierno de la Generalitat” (pág. 19 de la demanda). Más allá de que discrepen del argumento (que califican de “disparate jurídico”), lo cierto es que conocen la razón de que no se inicie la investidura de un nuevo presidente. Además, en las sesiones de la mesa de 14 y 27 de enero de 2020, con la asistencia de dos miembros del grupo parlamentario Ciutadans, se analizó el informe emitido por los servicios jurídicos de la cámara sobre los requisitos para continuar como diputado y como presidente del gobierno autonómico, con intervenciones a favor y en contra del criterio de dicho informe.</w:t>
      </w:r>
    </w:p>
    <w:p w:rsidR="005728DD" w:rsidRDefault="005728DD" w:rsidP="005728DD">
      <w:pPr>
        <w:pStyle w:val="TextoNormal"/>
      </w:pPr>
    </w:p>
    <w:p w:rsidR="005728DD" w:rsidRDefault="005728DD" w:rsidP="005728DD">
      <w:pPr>
        <w:pStyle w:val="TextoNormal"/>
      </w:pPr>
      <w:r>
        <w:t>Así las cosas, una vez depurada de las imprecisiones con que se formula (STC 81/1991, de 22 de abril, FJ 3), la queja realmente deducida es que la mesa y el presidente del Parlamento no han dado debida observancia a lo que los demandantes consideran el “deber de constatar que el señor Torra i Pla incumple los requisitos para ostentar legítimamente la presidencia de la Generalitat, permitiendo la violación del derecho de representación política” (pág. 20 de la demanda).</w:t>
      </w:r>
    </w:p>
    <w:p w:rsidR="005728DD" w:rsidRDefault="005728DD" w:rsidP="005728DD">
      <w:pPr>
        <w:pStyle w:val="TextoNormal"/>
      </w:pPr>
    </w:p>
    <w:p w:rsidR="005728DD" w:rsidRDefault="005728DD" w:rsidP="005728DD">
      <w:pPr>
        <w:pStyle w:val="TextoNormal"/>
      </w:pPr>
      <w:r>
        <w:t>b) Resulta obligado hacer una precisión adicional acerca de cuál es el órgano parlamentario que habría incurrido en la falta de actuación denunciada por los recurrentes, puesto que estos dirigen su queja contra el presidente y la mesa de manera indiferenciada.</w:t>
      </w:r>
    </w:p>
    <w:p w:rsidR="005728DD" w:rsidRDefault="005728DD" w:rsidP="005728DD">
      <w:pPr>
        <w:pStyle w:val="TextoNormal"/>
      </w:pPr>
    </w:p>
    <w:p w:rsidR="005728DD" w:rsidRDefault="005728DD" w:rsidP="005728DD">
      <w:pPr>
        <w:pStyle w:val="TextoNormal"/>
      </w:pPr>
      <w:r>
        <w:t>Tal y como se ha expuesto en los antecedentes, la solicitud del grupo parlamentario de Ciutadans de 13 de enero de 2020 para que se declarase que el señor Torra i Pla había perdido la condición de diputado y, por entenderla unida a esta, también la de presidente del gobierno autonómico, fue dirigida a la mesa, que la incluyó en el orden del día de su sesión núm. 123, celebrada el día 14 siguiente. En esta sesión la mesa decidió impugnar ante la Sala de lo Contencioso-Administrativo del Tribunal Supremo el acuerdo de la Junta Electoral Central de 3 de enero de 2020, que declaró que el señor Torra i Pla había incurrido en la causa de inelegibilidad sobrevenida del art. 6.2 b) LOREG, a raíz de la sentencia de la Sala de lo Civil y Penal del Tribunal Superior de Justicia de Cataluña de 19 de diciembre de 2019.</w:t>
      </w:r>
    </w:p>
    <w:p w:rsidR="005728DD" w:rsidRDefault="005728DD" w:rsidP="005728DD">
      <w:pPr>
        <w:pStyle w:val="TextoNormal"/>
      </w:pPr>
    </w:p>
    <w:p w:rsidR="005728DD" w:rsidRDefault="005728DD" w:rsidP="005728DD">
      <w:pPr>
        <w:pStyle w:val="TextoNormal"/>
      </w:pPr>
      <w:r>
        <w:t>El 23 de enero siguiente, el grupo parlamentario reiteró la solicitud anterior mediante un segundo escrito, también dirigido a la mesa, que fue incluido en el orden del día de la sesión núm. 125, celebrada el día 27 siguiente. Al comienzo de la sesión, el presidente aclaró que, tanto esa solicitud como otra análoga presentada por el subgrupo parlamentario del Partit Popular de Catalunya, “pese a ir dirigidas formalmente a la mesa, en la práctica instan al presidente a hacer determinadas actuaciones y, por tanto, no requieren la intervención de la mesa”. Por ello, propuso tomar nota “sin perjuicio de que la presidencia tenga que actuar de la manera que estime más oportuna” (pág. 2 del acta de la sesión).</w:t>
      </w:r>
    </w:p>
    <w:p w:rsidR="005728DD" w:rsidRDefault="005728DD" w:rsidP="005728DD">
      <w:pPr>
        <w:pStyle w:val="TextoNormal"/>
      </w:pPr>
    </w:p>
    <w:p w:rsidR="005728DD" w:rsidRDefault="005728DD" w:rsidP="005728DD">
      <w:pPr>
        <w:pStyle w:val="TextoNormal"/>
      </w:pPr>
      <w:r>
        <w:t xml:space="preserve">El vicepresidente segundo de la mesa, del Grupo Parlamentario de Ciutadans, se mostró conforme con que se tomara nota, aunque matizó que “la mesa puede conminar al presidente a actuar en el sentido que demanda la Junta Electoral Central” y preguntó al presidente del </w:t>
      </w:r>
      <w:r>
        <w:lastRenderedPageBreak/>
        <w:t>Parlamento “si hará efectivo el acuerdo de la Junta Electoral Central en el Pleno de la tarde”. En efecto, en la misma sesión, el secretario general comunicó que los servicios de la cámara harían efectiva la pérdida de la condición de diputado del señor Torra i Pla y en el Pleno celebrado ese mismo día 27 de enero por la tarde el presidente anunció que su voto no sería computado.</w:t>
      </w:r>
    </w:p>
    <w:p w:rsidR="005728DD" w:rsidRDefault="005728DD" w:rsidP="005728DD">
      <w:pPr>
        <w:pStyle w:val="TextoNormal"/>
      </w:pPr>
    </w:p>
    <w:p w:rsidR="005728DD" w:rsidRDefault="005728DD" w:rsidP="005728DD">
      <w:pPr>
        <w:pStyle w:val="TextoNormal"/>
      </w:pPr>
      <w:r>
        <w:t>c) A la vista de lo anterior, cabe avanzar ya que la competencia para iniciar una nueva investidura, por concurrir una causa de cese del actual presidente, correspondía al presidente del Parlamento y no a la mesa, según establece el art. 4.2 de la Ley 13/2008, conforme al cual: “[e]n el plazo de los diez días siguientes a la constitución de la legislatura, o en el plazo de los diez días siguientes al hecho causante de otro de los supuestos en los que corresponda proceder a la elección, el presidente o presidenta del Parlamento, previa consulta a los representantes de los partidos y grupos políticos con representación parlamentaria, debe proponer al Pleno un candidato o candidata a la presidencia de la Generalidad”.</w:t>
      </w:r>
    </w:p>
    <w:p w:rsidR="005728DD" w:rsidRDefault="005728DD" w:rsidP="005728DD">
      <w:pPr>
        <w:pStyle w:val="TextoNormal"/>
      </w:pPr>
    </w:p>
    <w:p w:rsidR="005728DD" w:rsidRDefault="005728DD" w:rsidP="005728DD">
      <w:pPr>
        <w:pStyle w:val="TextoNormal"/>
      </w:pPr>
      <w:r>
        <w:t xml:space="preserve">Dado que incumbía al presidente del Parlamento valorar si se había producido el “hecho causante” del cese y proponer un candidato a la investidura como presidente de la Generalitat, a él sería imputable el no haberlo hecho y, en su caso, la lesión del </w:t>
      </w:r>
      <w:r w:rsidRPr="005728DD">
        <w:rPr>
          <w:i/>
        </w:rPr>
        <w:t>ius in officium</w:t>
      </w:r>
      <w:r>
        <w:t xml:space="preserve"> que anudan a esto los recurrentes.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aplicable</w:t>
      </w:r>
      <w:r>
        <w:t>.</w:t>
      </w:r>
    </w:p>
    <w:p w:rsidR="005728DD" w:rsidRDefault="005728DD" w:rsidP="005728DD">
      <w:pPr>
        <w:pStyle w:val="TextoNormal"/>
      </w:pPr>
    </w:p>
    <w:p w:rsidR="005728DD" w:rsidRDefault="005728DD" w:rsidP="005728DD">
      <w:pPr>
        <w:pStyle w:val="TextoNormal"/>
      </w:pPr>
      <w:r>
        <w:t xml:space="preserve">a) Una vez efectuadas las precisiones anteriores, conviene recordar que este tribunal tiene una consolidada doctrina sobre el contenido y alcance del </w:t>
      </w:r>
      <w:r w:rsidRPr="005728DD">
        <w:rPr>
          <w:i/>
        </w:rPr>
        <w:t>ius in officium</w:t>
      </w:r>
      <w:r>
        <w:t xml:space="preserve"> de los parlamentarios, cualquiera que sea el órgano legislativo al que pertenezcan. Esta doctrina puede resumirse en la declaración de que el art. 23.2 CE es un derecho de configuración legal, cuyo contenido se extiende al acceso y permanencia en el ejercicio del cargo representativo, así como a desempeñarlo de acuerdo con la ley, sin constricciones o perturbaciones ilegítimas, correspondiendo establecer su delimitación, sentido y alcance a los reglamentos parlamentarios. Ahora bien, “‘no cualquier acto del órgano parlamentario que infrinja la legalidad del </w:t>
      </w:r>
      <w:r w:rsidRPr="005728DD">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[por todas, STC 47/2018, FJ 3 b)]” (STC 96/2019, de 15 de julio, FJ 3).</w:t>
      </w:r>
    </w:p>
    <w:p w:rsidR="005728DD" w:rsidRDefault="005728DD" w:rsidP="005728DD">
      <w:pPr>
        <w:pStyle w:val="TextoNormal"/>
      </w:pPr>
    </w:p>
    <w:p w:rsidR="005728DD" w:rsidRDefault="005728DD" w:rsidP="005728DD">
      <w:pPr>
        <w:pStyle w:val="TextoNormal"/>
      </w:pPr>
      <w:r>
        <w:t>Además, “[e]sta garantía adquiere especial relevancia cuando se trata, como sucede aquí, de representantes parlamentarios en defensa del ejercicio de sus funciones, ya que ello comporta defender también el derecho mismo de los ciudadanos a participar a través de la institución de la representación en los asuntos públicos reconocido en el art. 23.1 CE” (STC 159/2019, de 12 de diciembre, FJ 5, y las que se citan en ella).</w:t>
      </w:r>
    </w:p>
    <w:p w:rsidR="005728DD" w:rsidRDefault="005728DD" w:rsidP="005728DD">
      <w:pPr>
        <w:pStyle w:val="TextoNormal"/>
      </w:pPr>
    </w:p>
    <w:p w:rsidR="005728DD" w:rsidRDefault="005728DD" w:rsidP="005728DD">
      <w:pPr>
        <w:pStyle w:val="TextoNormal"/>
      </w:pPr>
      <w:r>
        <w:t xml:space="preserve">b) Asimismo, es doctrina constitucional consolidada que “resulta constitucionalmente improcedente que el derecho del art. 23.2 CE pretenda ser ejercido por sus titulares frente a actuaciones de las cámaras que no inciden negativamente en el núcleo de su función representativa, ya sea obstaculizándola directa o indirectamente, ya sea discriminándoles respecto de otros supuestos”, puesto que “el </w:t>
      </w:r>
      <w:r w:rsidRPr="005728DD">
        <w:rPr>
          <w:i/>
        </w:rPr>
        <w:t>ius in officium</w:t>
      </w:r>
      <w:r>
        <w:t xml:space="preserve"> tutelado por el art. 23.2 CE no </w:t>
      </w:r>
      <w:r>
        <w:lastRenderedPageBreak/>
        <w:t>implica un derecho fundamental genérico al respeto de la legalidad parlamentaria” y debe reconocerse que “los órganos rectores de las cámaras disponen de un margen en la interpretación de la legalidad parlamentaria que este tribunal no puede desconocer” (ATC 262/2007, de 25 de mayo, FJ 2). En conexión con lo anterior, “[s]i bien la ausencia de una vía judicial previa disminuye las posibilidades de control jurisdiccional de las decisiones parlamentarias sin fuerza de ley, no es posible ampliar el recurso de amparo del art. 42 LOTC para dar cabida en el mismo a decisiones parlamentarias no susceptibles de vulnerar derechos fundamentales. Ello no solo implicaría una desnaturalización de nuestra jurisdicción de amparo, sino también una inevitable intromisión en la autonomía parlamentaria constitucionalmente garantizada que este tribunal también debe garantizar” (ATC 262/2007, FJ 6).</w:t>
      </w:r>
    </w:p>
    <w:p w:rsidR="005728DD" w:rsidRDefault="005728DD" w:rsidP="005728DD">
      <w:pPr>
        <w:pStyle w:val="TextoNormal"/>
      </w:pPr>
    </w:p>
    <w:p w:rsidR="005728DD" w:rsidRDefault="005728DD" w:rsidP="005728DD">
      <w:pPr>
        <w:pStyle w:val="TextoNormal"/>
      </w:pPr>
      <w:r>
        <w:t>c) Por último, se debe recordar nuestra doctrina, aplicable con independencia de la modalidad de recurso de amparo de que se trate, de que “el recurso de amparo no es una vía procesal adecuada para solicitar y obtener un pronunciamiento abstracto y genérico sobre pretensiones declarativas respecto de supuestas interpretaciones erróneas o indebidas aplicaciones de preceptos constitucionales, sino solo y exclusivamente sobre pretensiones dirigidas a restablecer o preservar los derechos fundamentales cuando se ha alegado una vulneración concreta y efectiva de los mismos” (STC 114/1995, FJ 2). Específicamente, en relación con una denuncia de vulneración del art. 23.2 CE por un acto parlamentario, recientemente hemos exigido que “los demandantes deberán demostrar, de manera singularizada y no abstracta, que ha habido una relación causal entre las lesiones concretas que se denuncian y el acto u omisión impugnado” (STC 173/2020, de 19 de noviembre, FJ 3).</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al caso: desestimación</w:t>
      </w:r>
      <w:r>
        <w:t>.</w:t>
      </w:r>
    </w:p>
    <w:p w:rsidR="005728DD" w:rsidRDefault="005728DD" w:rsidP="005728DD">
      <w:pPr>
        <w:pStyle w:val="TextoNormal"/>
      </w:pPr>
    </w:p>
    <w:p w:rsidR="005728DD" w:rsidRDefault="005728DD" w:rsidP="005728DD">
      <w:pPr>
        <w:pStyle w:val="TextoNormal"/>
      </w:pPr>
      <w:r>
        <w:t>Como hemos precisado en el fundamento jurídico segundo, el enjuiciamiento del presente recurso de amparo se contrae a valorar si, al entender el presidente del Parlamento que el señor Torra i Pla no había cesado como presidente de la Generalitat y, en consecuencia, no iniciar los trámites para una nueva investidura —como solicitaban los recurrentes—, se lesionó el núcleo de sus derechos y facultades como parlamentarios.</w:t>
      </w:r>
    </w:p>
    <w:p w:rsidR="005728DD" w:rsidRDefault="005728DD" w:rsidP="005728DD">
      <w:pPr>
        <w:pStyle w:val="TextoNormal"/>
      </w:pPr>
    </w:p>
    <w:p w:rsidR="005728DD" w:rsidRDefault="005728DD" w:rsidP="005728DD">
      <w:pPr>
        <w:pStyle w:val="TextoNormal"/>
      </w:pPr>
      <w:r>
        <w:t>a) Tal y como hemos indicado, corresponde al presidente del Parlamento iniciar los trámites para la investidura del presidente de la Generalitat “[e]n el plazo de los diez días siguientes a la constitución de la legislatura, o en el plazo de los diez días siguientes al hecho causante de otro de los supuestos en los que corresponda proceder a la elección” (art. 4.2 de la Ley 13/2008). Esto debe ponerse en conexión con el art. 67.7 del Estatuto de Autonomía de Cataluña conforme al cual “[e]l presidente o presidenta de la Generalitat cesa por renovación del Parlamento a consecuencia de unas elecciones, por aprobación de una moción de censura o denegación de una cuestión de confianza, por defunción, por dimisión, por incapacidad permanente, física o mental, reconocida por el Parlamento, que lo inhabilite para el ejercicio del cargo, y por condena penal firme que comporte la inhabilitación para el ejercicio de cargos públicos”. En términos similares se pronuncia el art. 7 de la Ley 13/2008.</w:t>
      </w:r>
    </w:p>
    <w:p w:rsidR="005728DD" w:rsidRDefault="005728DD" w:rsidP="005728DD">
      <w:pPr>
        <w:pStyle w:val="TextoNormal"/>
      </w:pPr>
    </w:p>
    <w:p w:rsidR="005728DD" w:rsidRDefault="005728DD" w:rsidP="005728DD">
      <w:pPr>
        <w:pStyle w:val="TextoNormal"/>
      </w:pPr>
      <w:r>
        <w:t>Los demandantes argumentan que el apartado 7 del art. 67 del estatuto debe relacionarse con el apartado 2, según el cual el presidente de la Generalitat “es elegido por el Parlamento de entre sus miembros”, de donde deducen que no es posible continuar presidiendo el ejecutivo autonómico una vez perdida la condición de diputado.</w:t>
      </w:r>
    </w:p>
    <w:p w:rsidR="005728DD" w:rsidRDefault="005728DD" w:rsidP="005728DD">
      <w:pPr>
        <w:pStyle w:val="TextoNormal"/>
      </w:pPr>
    </w:p>
    <w:p w:rsidR="005728DD" w:rsidRDefault="005728DD" w:rsidP="005728DD">
      <w:pPr>
        <w:pStyle w:val="TextoNormal"/>
      </w:pPr>
      <w:r>
        <w:lastRenderedPageBreak/>
        <w:t>Por el contrario, el presidente del Parlamento, de acuerdo con un informe de los servicios jurídicos de la cámara, interpretó que dejar de ser diputado no era impedimento para continuar como presidente de la Generalitat, por lo que no consideró que la presidencia hubiera quedado vacante ni, por tanto, inició las consultas con los partidos y grupos políticos con representación parlamentaria para una nueva investidura.</w:t>
      </w:r>
    </w:p>
    <w:p w:rsidR="005728DD" w:rsidRDefault="005728DD" w:rsidP="005728DD">
      <w:pPr>
        <w:pStyle w:val="TextoNormal"/>
      </w:pPr>
    </w:p>
    <w:p w:rsidR="005728DD" w:rsidRDefault="005728DD" w:rsidP="005728DD">
      <w:pPr>
        <w:pStyle w:val="TextoNormal"/>
      </w:pPr>
      <w:r>
        <w:t>El acuerdo de la Junta Electoral Central de 3 de enero de 2020 diferenciaba también ambos efectos, cuando afirmó que la administración electoral debía circunscribirse a decidir “si la condena impuesta al señor Torra i Pla integraba o no un supuesto de inelegibilidad sobrevenida y si ello determinaba la pérdida de la condición de diputado electo del Parlamento de Cataluña” pero no si con ello se producía la pérdida de la condición de presidente de la Generalitat a tenor del art. 67.2 EAC, “efecto que deberá ser analizado por los órganos competentes del Parlamento de Cataluña cuando se le comuni[que] la pérdida de la condición de diputado electo” (fundamento quinto, consideración sexta).</w:t>
      </w:r>
    </w:p>
    <w:p w:rsidR="005728DD" w:rsidRDefault="005728DD" w:rsidP="005728DD">
      <w:pPr>
        <w:pStyle w:val="TextoNormal"/>
      </w:pPr>
    </w:p>
    <w:p w:rsidR="005728DD" w:rsidRDefault="005728DD" w:rsidP="005728DD">
      <w:pPr>
        <w:pStyle w:val="TextoNormal"/>
      </w:pPr>
      <w:r>
        <w:t>b) Pues bien, cualquiera que sea la interpretación más ajustada, en abstracto, de tales preceptos del Estatuto, en un proceso de amparo nos debemos limitar a valorar única y exclusivamente si, al mantener un criterio diferente al de los recurrentes, el presidente de la cámara vulneró el núcleo de las facultades parlamentarias de aquellos. La respuesta debe ser negativa, puesto que el mismo no incluye el derecho a que los órganos de la cámara —en este caso el presidente— ejerzan sus competencias conforme a una determinada interpretación, entre varias posibles, de los preceptos en liza. En concreto, no comprende el derecho a que el presidente del Parlamento, en el ejercicio de la competencia que le atribuye el art. 4.2 de la Ley 13/2008, opte por la interpretación del art. 67.2 del estatuto que proponen los demandantes, frente a la que realizan los servicios jurídicos de la cámara.</w:t>
      </w:r>
    </w:p>
    <w:p w:rsidR="005728DD" w:rsidRDefault="005728DD" w:rsidP="005728DD">
      <w:pPr>
        <w:pStyle w:val="TextoNormal"/>
      </w:pPr>
    </w:p>
    <w:p w:rsidR="005728DD" w:rsidRDefault="005728DD" w:rsidP="005728DD">
      <w:pPr>
        <w:pStyle w:val="TextoNormal"/>
      </w:pPr>
      <w:r>
        <w:t>La demanda, centrada en argumentar por qué debe mantenerse la condición de diputado para continuar ejerciendo el cargo de presidente de la Generalitat, presenta como lesión del art. 23.2 CE, lo que no pasa de ser una mera discrepancia jurídica, que no perturba los derechos parlamentarios de los recurrentes. Estos han ejercido sin restricciones la función de control sobre quién era el presidente de la Generalitat, prueba de lo cual —como subraya el letrado del Parlamento— es que, en el periodo de 27 de enero a 7 de julio de 2020, el grupo parlamentario de Ciutadans presentó —y fueron tramitadas— un total de 403 preguntas al Gobierno a responder por escrito; 162 preguntas al Gobierno a responder oralmente en comisión; 15 preguntas al Gobierno a responder oralmente en el Pleno y, finalmente, 7 preguntas al presidente para su respuesta oral en Pleno. Por tanto, frente a lo que alega la demanda, el control se ha realizado de manera efectiva y no “ilusoria”, “quimérica” ni “ineficaz”.</w:t>
      </w:r>
    </w:p>
    <w:p w:rsidR="005728DD" w:rsidRDefault="005728DD" w:rsidP="005728DD">
      <w:pPr>
        <w:pStyle w:val="TextoNormal"/>
      </w:pPr>
    </w:p>
    <w:p w:rsidR="005728DD" w:rsidRDefault="005728DD" w:rsidP="005728DD">
      <w:pPr>
        <w:pStyle w:val="TextoNormal"/>
      </w:pPr>
      <w:r>
        <w:t>En suma, conforme a la doctrina constitucional antes sintetizada, el recurso de amparo del artículo 42 LOTC no puede convertirse en un cauce para discutir sobre infracciones de la legalidad parlamentaria que no produzcan “lesiones reales y efectivas de los derechos fundamentales” (SSTC 129/2006, de 24 de abril, FJ 4; 78/2016, de 25 de abril, FJ 6, y 110/2019, de 2 de octubre, FJ 2).</w:t>
      </w:r>
    </w:p>
    <w:p w:rsidR="005728DD" w:rsidRDefault="005728DD" w:rsidP="005728DD">
      <w:pPr>
        <w:pStyle w:val="TextoNormal"/>
      </w:pPr>
    </w:p>
    <w:p w:rsidR="005728DD" w:rsidRDefault="005728DD" w:rsidP="005728DD">
      <w:pPr>
        <w:pStyle w:val="TextoNormal"/>
      </w:pPr>
      <w:r>
        <w:lastRenderedPageBreak/>
        <w:t>En línea con lo anterior, la STC 10/2016, de 1 de febrero, FJ 5, recuerda que no cabe que a través del derecho del art. 23.2 CE, “el Tribunal Constitucional pueda hacer valer su criterio frente al adoptado por los órganos competentes de la cámara en el ejercicio de las facultades que tienen constitucional y reglamentariamente encomendadas”.</w:t>
      </w:r>
    </w:p>
    <w:p w:rsidR="005728DD" w:rsidRDefault="005728DD" w:rsidP="005728DD">
      <w:pPr>
        <w:pStyle w:val="TextoNormal"/>
      </w:pPr>
    </w:p>
    <w:p w:rsidR="005728DD" w:rsidRDefault="005728DD" w:rsidP="005728DD">
      <w:pPr>
        <w:pStyle w:val="TextoNormal"/>
      </w:pPr>
      <w:r>
        <w:t xml:space="preserve">Este tribunal ha desestimado recientemente un recurso de amparo planteado también por los diputados de Ciutadans en el Parlamento de Cataluña contra omisiones de la entonces presidenta de dicha cámara (no convocatoria de determinados plenos y exclusión en otros de ciertos puntos del orden del día) porque no afectó en concreto a ningún derecho, sin que sea suficiente invocar “una genérica e inconcreta denuncia de la vulneración de facultades parlamentarias vinculadas al núcleo del </w:t>
      </w:r>
      <w:r w:rsidRPr="005728DD">
        <w:rPr>
          <w:i/>
        </w:rPr>
        <w:t>ius in officium</w:t>
      </w:r>
      <w:r>
        <w:t xml:space="preserve"> protegido constitucionalmente a través del art. 23.2 CE” (STC 173/2020, de 19 de diciembre, FJ 4).</w:t>
      </w:r>
    </w:p>
    <w:p w:rsidR="005728DD" w:rsidRDefault="005728DD" w:rsidP="005728DD">
      <w:pPr>
        <w:pStyle w:val="TextoNormal"/>
      </w:pPr>
    </w:p>
    <w:p w:rsidR="005728DD" w:rsidRDefault="005728DD" w:rsidP="005728DD">
      <w:pPr>
        <w:pStyle w:val="TextoNormal"/>
      </w:pPr>
      <w:r>
        <w:t>En consecuencia, debemos descartar la lesión del art. 23.2 CE y, toda vez que la demanda la presenta como una consecuencia de ella, la misma suerte debe correr la denunciada vulneración del principio de igualdad.</w:t>
      </w:r>
    </w:p>
    <w:p w:rsidR="005728DD" w:rsidRDefault="005728DD" w:rsidP="005728DD">
      <w:pPr>
        <w:pStyle w:val="TextoNormal"/>
      </w:pPr>
    </w:p>
    <w:p w:rsidR="005728DD" w:rsidRDefault="005728DD" w:rsidP="005728DD">
      <w:pPr>
        <w:pStyle w:val="TextoNormal"/>
      </w:pPr>
      <w:r>
        <w:t>Por todo lo expuesto, el recurso debe ser desestimado.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treinta y dos diputados y diputadas del Grupo Parlamentario Ciutadans en el Parlamento de Cataluña contra: (i) los acuerdos de la mesa del Parlamento de Cataluña de 14 y de 27 de enero de 2020; (ii) la decisión del presidente del Parlamento de Cataluña de obligar a dirigir las preguntas de control a una persona carente de capacidad jurídica para ostentar el cargo de presidente de la Generalitat, y (iii) la concreta aplicación de dicha decisión durante la sesión número 49 del Pleno del Parlamento de Cataluña de los días 11, 12 y 13 de febrero de 2020.</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0" w:name="SENTENCIA_2021_67"/>
      <w:r>
        <w:lastRenderedPageBreak/>
        <w:t>SENTENCIA 67/2021, de 17 de marzo de 2021</w:t>
      </w:r>
    </w:p>
    <w:bookmarkEnd w:id="70"/>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ECLI:ES:TC:2021:67</w:t>
      </w:r>
    </w:p>
    <w:p w:rsidR="005728DD" w:rsidRDefault="005728DD" w:rsidP="005728DD">
      <w:pPr>
        <w:pStyle w:val="TextoNormalCentrado"/>
      </w:pPr>
    </w:p>
    <w:p w:rsidR="005728DD" w:rsidRDefault="005728DD" w:rsidP="005728DD">
      <w:pPr>
        <w:pStyle w:val="SntesisDescriptiva"/>
      </w:pPr>
      <w:r>
        <w:t>Recurso de amparo 1447-2020. Promovido por don Carles Mundó i Blanch en relación con la sentencia de la Sala de lo Penal del Tribunal Supremo que le condenó por un delito de desobediencia.</w:t>
      </w:r>
    </w:p>
    <w:p w:rsidR="005728DD" w:rsidRDefault="005728DD" w:rsidP="005728DD">
      <w:pPr>
        <w:pStyle w:val="SntesisDescriptiva"/>
      </w:pPr>
    </w:p>
    <w:p w:rsidR="005728DD" w:rsidRDefault="005728DD" w:rsidP="005728DD">
      <w:pPr>
        <w:pStyle w:val="SntesisAnaltica"/>
      </w:pPr>
      <w:r>
        <w:t>Supuesta vulneración de los derechos a la tutela judicial efectiva (motivación) y a la presunción de inocencia: condena impuesta existiendo prueba documental suficientemente valorada por la resolución judicial; motivación adecuada de la cuota diaria de la pena de multa impuesta (STC 34/2021).</w:t>
      </w:r>
    </w:p>
    <w:p w:rsidR="005728DD" w:rsidRDefault="005728DD" w:rsidP="005728DD">
      <w:pPr>
        <w:pStyle w:val="SntesisAnaltica"/>
      </w:pPr>
    </w:p>
    <w:p w:rsidR="005728DD" w:rsidRDefault="005728DD" w:rsidP="005728DD">
      <w:pPr>
        <w:pStyle w:val="Extracto"/>
      </w:pPr>
      <w:r>
        <w:t>1.</w:t>
      </w:r>
      <w:r>
        <w:tab/>
        <w:t>Los recursos de amparo atinentes a la vulneración del derecho a la presunción de inocencia deben examinarse respetando la falta de jurisdicción de este tribunal para valorar la actividad probatoria practicada en un proceso penal (SSTC 189/1998, 220/1998 y 155/2002); el Tribunal Constitucional ha de limitarse a comprobar que la prueba existente se haya obtenido y practicado conforme a la Constitución, que sea de cargo y que, en consecuencia, los hechos declarados probados puedan inferirse de ella de modo razonable y no arbitrario [FJ 3].</w:t>
      </w:r>
    </w:p>
    <w:p w:rsidR="005728DD" w:rsidRDefault="005728DD" w:rsidP="005728DD">
      <w:pPr>
        <w:pStyle w:val="Extracto"/>
      </w:pPr>
    </w:p>
    <w:p w:rsidR="005728DD" w:rsidRDefault="005728DD" w:rsidP="005728DD">
      <w:pPr>
        <w:pStyle w:val="Extracto"/>
      </w:pPr>
      <w:r>
        <w:t>2.</w:t>
      </w:r>
      <w:r>
        <w:tab/>
        <w:t>Doctrina en materia de motivación judicial acerca de la cuantía de la cuota diaria de la pena de multa impuesta (STC 34/2021) [FJ 4].</w:t>
      </w:r>
    </w:p>
    <w:p w:rsidR="005728DD" w:rsidRDefault="005728DD" w:rsidP="005728DD">
      <w:pPr>
        <w:pStyle w:val="Extracto"/>
      </w:pPr>
    </w:p>
    <w:p w:rsidR="005728DD" w:rsidRDefault="005728DD" w:rsidP="005728DD">
      <w:pPr>
        <w:pStyle w:val="Extracto"/>
      </w:pPr>
      <w:r>
        <w:t>3.</w:t>
      </w:r>
      <w:r>
        <w:tab/>
        <w:t>El deber general de motivación de las sentencias que impone el art. 120.3 CE se integra en el contenido del derecho a la tutela judicial efectiva del art. 24.1 CE, por lo que las decisiones judiciales deben exteriorizar los elementos de juicio sobre los que se basan y su fundamentación jurídica ha de ser una aplicación de la legalidad no arbitraria, manifiestamente irrazonable o incursa en un error patente. Esta exigencia resulta reforzada en el caso de las sentencias penales condenatorias, por cuanto en ellas el derecho a la tutela judicial efectiva se conecta con otros derechos fundamentales; y, directa o indirectamente, en muchas ocasiones, con el derecho a la libertad personal (STC 91/2009) [FJ 4].</w:t>
      </w:r>
    </w:p>
    <w:p w:rsidR="005728DD" w:rsidRDefault="005728DD" w:rsidP="005728DD">
      <w:pPr>
        <w:pStyle w:val="Extracto"/>
      </w:pPr>
    </w:p>
    <w:p w:rsidR="005728DD" w:rsidRDefault="005728DD" w:rsidP="005728DD">
      <w:pPr>
        <w:pStyle w:val="Extracto"/>
      </w:pPr>
      <w:r>
        <w:t>4.</w:t>
      </w:r>
      <w:r>
        <w:tab/>
        <w:t>El deber de motivación incluye la obligación de fundamentar no solo los hechos y la calificación jurídica, sino también la pena finalmente impuesta, por cuanto el margen de discrecionalidad del que goza el juez penal legalmente en la determinación de la pena que debe imponerse no justifica por sí mismo la decisión finalmente adoptada, sino que el ejercicio de aquella facultad se subordina a la exigencia de que la resolución esté motivada, pues solo así puede procederse a su control posterior en evitación de toda arbitrariedad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 xml:space="preserve">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y don Cándido </w:t>
      </w:r>
      <w:r>
        <w:lastRenderedPageBreak/>
        <w:t>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1447-2020, promovido por don Carles Mundó i Blanch, representado por el procurador de los tribunales don Ramón Blanco Blanco y asistido por el letrado don Josep Riba Ciurana, contra la sentencia núm. 459/2019, de 14 de octubre, dictada por la Sala de lo Penal del Tribunal Supremo en la causa especial núm. 20907-2017, que le condenó como autor de un delito de desobediencia, y contra el auto de 29 de enero de 2020, que desestimó los incidentes de nulidad de actuaciones interpuestos frente a aquella. Han sido parte el abogado del Estado, en la representación que legalmente ostenta; el partido político Vox, representado por la procuradora doña María del Pilar Hidalgo López y asistido por la letrada doña Marta Castro Fuentes; y don Carles Puigdemont i Casamajó, representado por el procurador don Carlos Estévez Sanz y asistido por el letrado don Gonzalo Boye Tuset.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recibido en el registro general de este tribunal el día 5 de marzo de 2020, el procurador don Ramón Blanco Blanco, actuando en nombre y representación de don Carles Mundó i Blanch, interpuso recurso de amparo impugnando las resoluciones judiciales que se citan en el encabezamiento, mediante las que la Sala de lo Penal del Tribunal Supremo acordó y ratificó su condena como autor de un delito de desobediencia (art. 410 del Código penal, en adelante CP), absolviéndole de los de malversación de caudales públicos (art. 432 CP) y organización criminal (art. 570 CP), de los que había sido también acusado en la causa especial núm. 20907-2017.</w:t>
      </w:r>
    </w:p>
    <w:p w:rsidR="005728DD" w:rsidRDefault="005728DD" w:rsidP="005728DD">
      <w:pPr>
        <w:pStyle w:val="TextoNormal"/>
      </w:pPr>
    </w:p>
    <w:p w:rsidR="005728DD" w:rsidRDefault="005728DD" w:rsidP="005728DD">
      <w:pPr>
        <w:pStyle w:val="TextoNormal"/>
      </w:pPr>
      <w:r w:rsidRPr="005728DD">
        <w:rPr>
          <w:rStyle w:val="NumeroAFNegritaCaracter"/>
        </w:rPr>
        <w:t>2</w:t>
      </w:r>
      <w:r>
        <w:t>. Son relevantes para el examen de las pretensiones deducidas en el presente recurso de amparo los siguientes antecedentes procesales:</w:t>
      </w:r>
    </w:p>
    <w:p w:rsidR="005728DD" w:rsidRDefault="005728DD" w:rsidP="005728DD">
      <w:pPr>
        <w:pStyle w:val="TextoNormal"/>
      </w:pPr>
    </w:p>
    <w:p w:rsidR="005728DD" w:rsidRDefault="005728DD" w:rsidP="005728DD">
      <w:pPr>
        <w:pStyle w:val="TextoNormal"/>
      </w:pPr>
      <w: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(ANC), entre otros, que se valoraban como obstruccionistas </w:t>
      </w:r>
      <w:r>
        <w:lastRenderedPageBreak/>
        <w:t>de la actividad policial. Las únicas personas que fueron nominalmente citadas en dicha denuncia fueron don Jordi Sánchez i Picanyol, presidente de la ANC, y don Jordi Cuixart Navarro, presidente de la entidad Òmnium Cultural. La denuncia calificó los hechos como constitutivos de un delito de sedición, previsto en los arts. 544 y siguientes del Código Penal.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que afectaron a los citados denunciados.</w:t>
      </w:r>
    </w:p>
    <w:p w:rsidR="005728DD" w:rsidRDefault="005728DD" w:rsidP="005728DD">
      <w:pPr>
        <w:pStyle w:val="TextoNormal"/>
      </w:pPr>
    </w:p>
    <w:p w:rsidR="005728DD" w:rsidRDefault="005728DD" w:rsidP="005728DD">
      <w:pPr>
        <w:pStyle w:val="TextoNormal"/>
      </w:pPr>
      <w:r>
        <w:t>b) Ocho días después, el 30 de octubre de 2017, el fiscal general del Estado presentó dos querellas por unos mismos hechos que consideraba podían ser constitutivos de los delitos de rebelión (art. 472 CP), sedición (art. 544 CP) y malversación de caudales públicos (art. 432 CP).</w:t>
      </w:r>
    </w:p>
    <w:p w:rsidR="005728DD" w:rsidRDefault="005728DD" w:rsidP="005728DD">
      <w:pPr>
        <w:pStyle w:val="TextoNormal"/>
      </w:pPr>
    </w:p>
    <w:p w:rsidR="005728DD" w:rsidRDefault="005728DD" w:rsidP="005728DD">
      <w:pPr>
        <w:pStyle w:val="TextoNormal"/>
      </w:pPr>
      <w:r>
        <w:t>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citadas diligencias previas núm. 82-2017 que se tramitaban ante el Juzgado Central de Instrucción núm. 3 de la Audiencia Nacional, en las que, como se ha descrito, se investigaban algunos hechos parcialmente coincidentes ocurridos en Barcelona los días 20 y 21 de septiembre de 2017.</w:t>
      </w:r>
    </w:p>
    <w:p w:rsidR="005728DD" w:rsidRDefault="005728DD" w:rsidP="005728DD">
      <w:pPr>
        <w:pStyle w:val="TextoNormal"/>
      </w:pPr>
    </w:p>
    <w:p w:rsidR="005728DD" w:rsidRDefault="005728DD" w:rsidP="005728DD">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5728DD" w:rsidRDefault="005728DD" w:rsidP="005728DD">
      <w:pPr>
        <w:pStyle w:val="TextoNormal"/>
      </w:pPr>
    </w:p>
    <w:p w:rsidR="005728DD" w:rsidRDefault="005728DD" w:rsidP="005728DD">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w:t>
      </w:r>
    </w:p>
    <w:p w:rsidR="005728DD" w:rsidRDefault="005728DD" w:rsidP="005728DD">
      <w:pPr>
        <w:pStyle w:val="TextoNormal"/>
      </w:pPr>
    </w:p>
    <w:p w:rsidR="005728DD" w:rsidRDefault="005728DD" w:rsidP="005728DD">
      <w:pPr>
        <w:pStyle w:val="TextoNormal"/>
      </w:pPr>
      <w:r>
        <w:t xml:space="preserve">d) Tras recabar y obtener del Juzgado Central de Instrucción núm. 3 de la Audiencia Nacional informe sobre los antecedentes fácticos, procesales e investigativos de los dos procedimientos que en dicho juzgado se tramitaban relacionados con los hechos de la causa especial, mediante auto de fecha 24 de noviembre de 2017, el magistrado instructor extendió la investigación, por conexión procesal, a los presidentes de las asociaciones Òmniun Cultural y Asamblea Nacional Catalana y también a quienes habían sido miembros del Gobierno de la Generalitat de Cataluña en la anterior legislatura (auto de 24 de noviembre de 2017). En la misma resolución se reclamó al Juzgado Central de Instrucción núm. 3 de la Audiencia Nacional la remisión de las actuaciones que se siguieran en dicho juzgado, en la causa núm. 82-2017, en relación con los hechos investigados y las personas sometidas a </w:t>
      </w:r>
      <w:r>
        <w:lastRenderedPageBreak/>
        <w:t>investigación en la causa especial núm. 20907-2017. Las actuaciones recibidas fueron acumuladas a la causa especial.</w:t>
      </w:r>
    </w:p>
    <w:p w:rsidR="005728DD" w:rsidRDefault="005728DD" w:rsidP="005728DD">
      <w:pPr>
        <w:pStyle w:val="TextoNormal"/>
      </w:pPr>
    </w:p>
    <w:p w:rsidR="005728DD" w:rsidRDefault="005728DD" w:rsidP="005728DD">
      <w:pPr>
        <w:pStyle w:val="TextoNormal"/>
      </w:pPr>
      <w:r>
        <w:t>e) 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de la Ley de enjuiciamiento criminal (LECrim)].</w:t>
      </w:r>
    </w:p>
    <w:p w:rsidR="005728DD" w:rsidRDefault="005728DD" w:rsidP="005728DD">
      <w:pPr>
        <w:pStyle w:val="TextoNormal"/>
      </w:pPr>
    </w:p>
    <w:p w:rsidR="005728DD" w:rsidRDefault="005728DD" w:rsidP="005728DD">
      <w:pPr>
        <w:pStyle w:val="TextoNormal"/>
      </w:pPr>
      <w:r>
        <w:t>f) Por auto de 21 de marzo de 2018, ratificado en reforma y apelación mediante autos de 9 de mayo y 26 de junio del mismo año, se acordó el procesamiento del demandante —junto con otros— como presunto autor de los delitos de desobediencia (art. 410 CP) y malversación de caudales públicos (art. 432 CP).</w:t>
      </w:r>
    </w:p>
    <w:p w:rsidR="005728DD" w:rsidRDefault="005728DD" w:rsidP="005728DD">
      <w:pPr>
        <w:pStyle w:val="TextoNormal"/>
      </w:pPr>
    </w:p>
    <w:p w:rsidR="005728DD" w:rsidRDefault="005728DD" w:rsidP="005728DD">
      <w:pPr>
        <w:pStyle w:val="TextoNormal"/>
      </w:pPr>
      <w:r>
        <w:t>g) Una vez ratificado el procesamiento, el magistrado instructor declaró concluso el sumario (auto de 9 de julio del 2018) y remitió las actuaciones y las piezas de convicción a la sala de enjuiciamiento. El Ministerio Fiscal, la abogacía del Estado y la acusación popular personada instaron la confirmación del auto de conclusión y la apertura del juicio oral contra los procesados. La sala de enjuiciamiento confirmó la conclusión del sumario (auto de 25 de octubre de 2018) y mediante otro auto de la misma fecha declaró abierto el juicio oral, entre otros, contra el recurrente en amparo por los mismos delitos por los que había sido procesado: desobediencia y malversación de caudales públicos.</w:t>
      </w:r>
    </w:p>
    <w:p w:rsidR="005728DD" w:rsidRDefault="005728DD" w:rsidP="005728DD">
      <w:pPr>
        <w:pStyle w:val="TextoNormal"/>
      </w:pPr>
    </w:p>
    <w:p w:rsidR="005728DD" w:rsidRDefault="005728DD" w:rsidP="005728DD">
      <w:pPr>
        <w:pStyle w:val="TextoNormal"/>
      </w:pPr>
      <w:r>
        <w:t xml:space="preserve">En sus conclusiones provisionales el Ministerio Fiscal calificó los hechos atribuidos al demandante conforme a lo expresado en el auto de procesamiento (delitos de desobediencia y malversación de caudales públicos). Y solicitó que se le impusieran las siguientes penas: por el delito de malversación de caudales públicos las penas de siete años de prisión y de dieciséis años de inhabilitación absoluta; por el delito de desobediencia grave, las penas de diez meses de multa (con una cuota diaria de 100 €) y de un año y ocho meses de inhabilitación especial para empleo o cargo público (en concreto, para el ejercicio de cargos públicos electivos y de funciones de gobierno y/o administración, sean de ámbito local, provincial, autonómico, estatal o supranacional). De la misma forma, el abogado del Estado y la acusación popular solicitaron su condena por estos mismos delitos y, en el último caso, también por un delito de organización criminal (art. 570 </w:t>
      </w:r>
      <w:r w:rsidRPr="005728DD">
        <w:rPr>
          <w:i/>
        </w:rPr>
        <w:t>bis y quater</w:t>
      </w:r>
      <w:r>
        <w:t xml:space="preserve"> CP). En relación con el delito de desobediencia, la acusación popular solicitó la imposición al recurrente de las penas de multa (doce meses, con una cuota mensual de 9 000 €) e inhabilitación especial para empleo o cargo público (durante dos años).</w:t>
      </w:r>
    </w:p>
    <w:p w:rsidR="005728DD" w:rsidRDefault="005728DD" w:rsidP="005728DD">
      <w:pPr>
        <w:pStyle w:val="TextoNormal"/>
      </w:pPr>
    </w:p>
    <w:p w:rsidR="005728DD" w:rsidRDefault="005728DD" w:rsidP="005728DD">
      <w:pPr>
        <w:pStyle w:val="TextoNormal"/>
      </w:pPr>
      <w:r>
        <w:t>h) En las conclusiones definitivas se mantuvieron las pretensiones acusatorias provisionalmente formuladas en relación con el demandante de amparo: un delito continuado de desobediencia, un delito de malversación de caudales públicos y otro de organización criminal.</w:t>
      </w:r>
    </w:p>
    <w:p w:rsidR="005728DD" w:rsidRDefault="005728DD" w:rsidP="005728DD">
      <w:pPr>
        <w:pStyle w:val="TextoNormal"/>
      </w:pPr>
    </w:p>
    <w:p w:rsidR="005728DD" w:rsidRDefault="005728DD" w:rsidP="005728DD">
      <w:pPr>
        <w:pStyle w:val="TextoNormal"/>
      </w:pPr>
      <w:r>
        <w:t xml:space="preserve">i) El 14 de octubre de 2019 la Sala dictó sentencia en la referida causa especial. Tras ser considerado autor de un delito de desobediencia (art. 410.1 CP), el demandante fue absuelto </w:t>
      </w:r>
      <w:r>
        <w:lastRenderedPageBreak/>
        <w:t>de la acusación por los delitos de organización criminal y malversación de caudales públicos.</w:t>
      </w:r>
    </w:p>
    <w:p w:rsidR="005728DD" w:rsidRDefault="005728DD" w:rsidP="005728DD">
      <w:pPr>
        <w:pStyle w:val="TextoNormal"/>
      </w:pPr>
    </w:p>
    <w:p w:rsidR="005728DD" w:rsidRDefault="005728DD" w:rsidP="005728DD">
      <w:pPr>
        <w:pStyle w:val="TextoNormal"/>
      </w:pPr>
      <w:r>
        <w:t>El extenso relato de hechos declarados probados sobre el que se apoya la decisión de condena de los doce acusados se recoge en las páginas veinticuatro a sesenta de la sentencia. Aparece estructurado en catorce apartados. Los hechos que se atribuyen al demandante, sintéticamente expuestos, son los siguientes:</w:t>
      </w:r>
    </w:p>
    <w:p w:rsidR="005728DD" w:rsidRDefault="005728DD" w:rsidP="005728DD">
      <w:pPr>
        <w:pStyle w:val="TextoNormal"/>
      </w:pPr>
    </w:p>
    <w:p w:rsidR="005728DD" w:rsidRDefault="005728DD" w:rsidP="005728DD">
      <w:pPr>
        <w:pStyle w:val="TextoNormal"/>
      </w:pPr>
      <w:r>
        <w:t>En el apartado 3 del relato de hechos probados se recoge que, tanto la Ley del Parlamento de Cataluña 19/2017, de 6 de septiembre, del referéndum de autodeterminación, como el Decreto 139/2017, de 6 de septiembre, de convocatoria del referéndum de autodeterminación de Cataluña y el Decreto 140/2017, de la misma fecha, de normas complementarias para la realización del referéndum de autodeterminación de Cataluña (a los que después se refiere el apartado 8), formaban parte de una estrategia concertada por los principales acusados en la causa que se hallaba dirigida a “crear una aparente cobertura jurídica que permitiera hacer creer a la ciudadanía que cuando depositara su voto [en la consulta convocada para el 1 de octubre de 2017] estaría contribuyendo al acto fundacional de la República independiente de Cataluña”. Ese acuerdo implicaba un reparto funcional entre sus protagonistas, entre los que se cita al recurrente señor Mundó en su condición de consejero de justicia del Gobierno de Cataluña.</w:t>
      </w:r>
    </w:p>
    <w:p w:rsidR="005728DD" w:rsidRDefault="005728DD" w:rsidP="005728DD">
      <w:pPr>
        <w:pStyle w:val="TextoNormal"/>
      </w:pPr>
    </w:p>
    <w:p w:rsidR="005728DD" w:rsidRDefault="005728DD" w:rsidP="005728DD">
      <w:pPr>
        <w:pStyle w:val="TextoNormal"/>
      </w:pPr>
      <w:r>
        <w:t>En el apartado 7 se detalla que, durante los años 2016 y 2017, el Tribunal Constitucional había declarado inconstitucionales y nulas un conjunto de decisiones de la mesa y del Pleno del Parlamento de Cataluña sobre diversas propuestas de debate y resolución que afirmaban el derecho de autodeterminación de Cataluña y la existencia de una mayoría parlamentaria favorable a la independencia de Cataluña, así como la voluntad política y necesidad de que el gobierno catalán convocara un referéndum vinculante sobre la independencia de dicho territorio, con el fin de iniciar un proceso constituyente propio bajo el amparo del propio Parlamento.</w:t>
      </w:r>
    </w:p>
    <w:p w:rsidR="005728DD" w:rsidRDefault="005728DD" w:rsidP="005728DD">
      <w:pPr>
        <w:pStyle w:val="TextoNormal"/>
      </w:pPr>
    </w:p>
    <w:p w:rsidR="005728DD" w:rsidRDefault="005728DD" w:rsidP="005728DD">
      <w:pPr>
        <w:pStyle w:val="TextoNormal"/>
      </w:pPr>
      <w:r>
        <w:t xml:space="preserve">Se destaca en los apartados 7.3 y 7.4 que al demandante y demás miembros del gobierno catalán les habían sido notificados personalmente dos de las decisiones del Tribunal Constitucional: los AATC 170/2016, de 6 de octubre, y 24/2017, de 14 de febrero, que declararon la nulidad de sendas resoluciones del Parlamento de Cataluña. La primera resolución parlamentaria declarada nula —resolución 263/XI— había ratificado el informe y las conclusiones de la “Comisión de Estudio del Proceso Constituyente”; la segunda —resolución 306/XI— fue aprobada tras el debate parlamentario anual desarrollado los días 5 y 6 de octubre de 2016 y, en ella, además de otros pronunciamientos, se instaba al gobierno catalán a convocar un referéndum vinculante sobre la independencia de Cataluña, a poner en marcha los procedimientos y reglamentos necesarios para hacerlo efectivo y a iniciar un proceso constituyente, además de establecer otros criterios sobre la orientación política general del Gobierno. En los citados autos del Tribunal Constitucional, el demandante y los demás miembros del gobierno catalán fueron personalmente advertidos de su obligación de abstenerse de realizar cualesquiera actuaciones tendentes a dar cumplimiento a los apartados anulados de ambas resoluciones parlamentarias, así como de “su deber de impedir o paralizar cualquier iniciativa, jurídica o material, que directa o indirectamente supusiera ignorar o eludir la nulidad de dichos apartados, apercibiéndoles de las eventuales responsabilidades, </w:t>
      </w:r>
      <w:r>
        <w:lastRenderedPageBreak/>
        <w:t>incluida la penal, en las que pudieran incurrir en caso de incumplimiento de lo ordenado por el tribunal” (apartado 7.</w:t>
      </w:r>
      <w:r w:rsidRPr="005728DD">
        <w:rPr>
          <w:i/>
        </w:rPr>
        <w:t>3 in fi</w:t>
      </w:r>
      <w:r>
        <w:t>ne).</w:t>
      </w:r>
    </w:p>
    <w:p w:rsidR="005728DD" w:rsidRDefault="005728DD" w:rsidP="005728DD">
      <w:pPr>
        <w:pStyle w:val="TextoNormal"/>
      </w:pPr>
    </w:p>
    <w:p w:rsidR="005728DD" w:rsidRDefault="005728DD" w:rsidP="005728DD">
      <w:pPr>
        <w:pStyle w:val="TextoNormal"/>
      </w:pPr>
      <w:r>
        <w:t>Por último, en relación con el demandante, en el apartado 8 se declara probado que, junto al resto de integrantes del Gobierno de la Generalitat de Cataluña, aprobó diversos “actos reglamentarios dirigidos a hacer posible lo que el Tribunal Constitucional había declarado ilegal”, de forma que “los requerimientos personales notificados a los acusados no fueron suficientes para impedir la organización de esa consulta que era presentada como la legítima expresión del ‘derecho a decidir’”.</w:t>
      </w:r>
    </w:p>
    <w:p w:rsidR="005728DD" w:rsidRDefault="005728DD" w:rsidP="005728DD">
      <w:pPr>
        <w:pStyle w:val="TextoNormal"/>
      </w:pPr>
    </w:p>
    <w:p w:rsidR="005728DD" w:rsidRDefault="005728DD" w:rsidP="005728DD">
      <w:pPr>
        <w:pStyle w:val="TextoNormal"/>
      </w:pPr>
      <w:r>
        <w:t>Específicamente, la sentencia se refiere en el apartado 8.3 del relato fáctico a los ya citados Decretos 139 y 140/2017, de 6 de septiembre; el primero de ellos firmado por la totalidad de los integrantes del Gobierno de la Generalitat. Estas normas reglamentarias desarrollaron y dieron ejecución a la ley autonómica 19/2017, de 6 de septiembre, del referéndum de autodeterminación, aprobada ese mismo día por el Parlamento de Cataluña. Los Decretos 139 y 140/2017 fueron impugnados ante el Tribunal Constitucional por la representación del Gobierno de la Nación. Las impugnaciones presentadas fueron admitidas a trámite mediante sendas providencias de fecha 7 de septiembre de 2017 (publicadas en el “BOE” del siguiente día 8); en ellas, el Tribunal Constitucional acordó suspender su vigencia y requirió de nuevo al presidente de la Generalitat y a los miembros de su gobierno “con las correspondientes advertencias personales en orden a impedir los incumplimientos y sobre posibles responsabilidades personales”.</w:t>
      </w:r>
    </w:p>
    <w:p w:rsidR="005728DD" w:rsidRDefault="005728DD" w:rsidP="005728DD">
      <w:pPr>
        <w:pStyle w:val="TextoNormal"/>
      </w:pPr>
    </w:p>
    <w:p w:rsidR="005728DD" w:rsidRDefault="005728DD" w:rsidP="005728DD">
      <w:pPr>
        <w:pStyle w:val="TextoNormal"/>
      </w:pPr>
      <w:r>
        <w:t>j) El juicio de autoría por el delito de desobediencia del demandante se expresó, de forma conjunta con el de otros dos consejeros acusados, con el siguiente razonamiento [apartado C) 3, de los fundamentos de derecho de la sentencia condenatoria]:</w:t>
      </w:r>
    </w:p>
    <w:p w:rsidR="005728DD" w:rsidRDefault="005728DD" w:rsidP="005728DD">
      <w:pPr>
        <w:pStyle w:val="TextoNormal"/>
      </w:pPr>
    </w:p>
    <w:p w:rsidR="005728DD" w:rsidRDefault="005728DD" w:rsidP="005728DD">
      <w:pPr>
        <w:pStyle w:val="TextoNormal"/>
      </w:pPr>
      <w:r>
        <w:t>“3.2. […] La principal fuente de prueba para acreditar la contumaz desatención por todos ellos a los mandatos del Tribunal Constitucional, está constituida por fuentes de acceso público, principalmente el diario del Parlament y los boletines oficiales del Estado y la Generalitat. La Sala ha valorado también el testimonio de aquellos otros imputados y testigos que fueron objeto de idénticos requerimientos y, además, las explicaciones ofrecidas en sus respectivas declaraciones por don Santiago Vila i Vicente, doña Meritxel Borràs y don Carles Mundó i Blanch.</w:t>
      </w:r>
    </w:p>
    <w:p w:rsidR="005728DD" w:rsidRDefault="005728DD" w:rsidP="005728DD">
      <w:pPr>
        <w:pStyle w:val="TextoNormal"/>
      </w:pPr>
    </w:p>
    <w:p w:rsidR="005728DD" w:rsidRDefault="005728DD" w:rsidP="005728DD">
      <w:pPr>
        <w:pStyle w:val="TextoNormal"/>
      </w:pPr>
      <w:r>
        <w:t xml:space="preserve">Todos ellos fueron destinatarios, en su calidad de miembros del Govern, de los requerimientos emanados del Tribunal Constitucional para declarar la inconstitucionalidad y privar de efectos a las iniciativas legislativas y reglamentarias que se fueron adoptando durante el desarrollo de los hechos. Como hemos reflejado en el </w:t>
      </w:r>
      <w:r w:rsidRPr="005728DD">
        <w:rPr>
          <w:i/>
        </w:rPr>
        <w:t>factum</w:t>
      </w:r>
      <w:r>
        <w:t xml:space="preserve">, tanto los acuerdos de la mesa de admisión a trámite como los acuerdos del Pleno, que incluyeron el debate y votación de las Leyes 19 y 20/2017, del referéndum y de transitoriedad, suprimiendo los trámites esenciales del procedimiento legislativo, se declararon nulos por sendos autos del Tribunal Constitucional —núms. 123/2017 y 124/2017, 19 de septiembre—. La ley 19/2017, publicada el 8 de septiembre 2017, fue finalmente declarada nula por STC 114/2017, de 17 octubre, e igualmente se declaró la nulidad de la ley 20/2017 por la STC 124/2017, de 8 noviembre. Todas las resoluciones del Tribunal Constitucional volvían a contener las correspondientes advertencias sobre la ilegalidad de decisiones futuras y la posibilidad de incurrir </w:t>
      </w:r>
      <w:r>
        <w:lastRenderedPageBreak/>
        <w:t>en responsabilidades penales. Las providencias de suspensión fueron notificadas personalmente con dichas advertencias a los miembros del Govern, y en calidad de tales, pues ninguno de ellos ocupaba escaño en esas fechas en Parlament.</w:t>
      </w:r>
    </w:p>
    <w:p w:rsidR="005728DD" w:rsidRDefault="005728DD" w:rsidP="005728DD">
      <w:pPr>
        <w:pStyle w:val="TextoNormal"/>
      </w:pPr>
    </w:p>
    <w:p w:rsidR="005728DD" w:rsidRDefault="005728DD" w:rsidP="005728DD">
      <w:pPr>
        <w:pStyle w:val="TextoNormal"/>
      </w:pPr>
      <w:r>
        <w:t>Fueron también destinatarios de los demás requerimientos a los que se alude en el relato de hechos probados y que eran consecuencia de la respuesta del Gobierno de la Nación frente a la intensa y precipitada actividad legislativa, encaminada a la creación de un marco jurídico que pudiera ser invocado para dar aparente cobertura a la celebración del referéndum ilegal.</w:t>
      </w:r>
    </w:p>
    <w:p w:rsidR="005728DD" w:rsidRDefault="005728DD" w:rsidP="005728DD">
      <w:pPr>
        <w:pStyle w:val="TextoNormal"/>
      </w:pPr>
    </w:p>
    <w:p w:rsidR="005728DD" w:rsidRDefault="005728DD" w:rsidP="005728DD">
      <w:pPr>
        <w:pStyle w:val="TextoNormal"/>
      </w:pPr>
      <w:r>
        <w:t>Una afectación más directa, en la medida en que el requerimiento aludía a un ámbito funcional bien próximo y que entraba de lleno en la prohibición contenida en los requerimientos precedentes, se produjo con ocasión de la firma del Decreto 139/2017, de convocatoria del referéndum. El Pleno del Tribunal Constitucional, por providencia de 7 de septiembre de 2017, suspendió su aplicación, con las correspondientes advertencias personales sobre las posibles responsabilidades penales y en orden a impedir los incumplimientos y la sentencia núm. 122/2017, de 31 de octubre, declaró la inconstitucionalidad y nulidad de la citada norma. Los tres acusados, en su calidad de miembros del ejecutivo autonómico, aprobaron ese decreto.</w:t>
      </w:r>
    </w:p>
    <w:p w:rsidR="005728DD" w:rsidRDefault="005728DD" w:rsidP="005728DD">
      <w:pPr>
        <w:pStyle w:val="TextoNormal"/>
      </w:pPr>
    </w:p>
    <w:p w:rsidR="005728DD" w:rsidRDefault="005728DD" w:rsidP="005728DD">
      <w:pPr>
        <w:pStyle w:val="TextoNormal"/>
      </w:pPr>
      <w:r>
        <w:t>El mismo 6 de septiembre de 2017, a propuesta del departamento de la Vicepresidencia y de Economía y Hacienda de la Generalitat de Cataluña, los señores Carles Mundó i Blanch y Santiago Vila i Vicente y la señora Meritxel Borràs, aprobaron en su calidad de consejeros del Govern, el Decreto 140/2017, de 6 de septiembre, de normas complementarias para la realización del referéndum de autodeterminación de Cataluña.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5728DD" w:rsidRDefault="005728DD" w:rsidP="005728DD">
      <w:pPr>
        <w:pStyle w:val="TextoNormal"/>
      </w:pPr>
    </w:p>
    <w:p w:rsidR="005728DD" w:rsidRDefault="005728DD" w:rsidP="005728DD">
      <w:pPr>
        <w:pStyle w:val="TextoNormal"/>
      </w:pPr>
      <w:r>
        <w:t>3.3. Las notificaciones que sirvieron de vehículo a los requerimientos personales dirigidos a los tres acusados por el Tribunal Constitucional —incorporadas como prueba documental a la causa— contenían una fórmula que se repetía en todos los casos. Les advertía de su deber de abstenerse de realizar cualesquiera actuaciones tendentes a dar cumplimiento a la resolución impugnada y se les recordaba ‘[...] su deber de impedir o paralizar cualquier iniciativa, jurídica o material, que directa o indirectamente suponga ignorar la nulidad de las resoluciones o actos normativos impugnados [...] apercibiéndoles de las eventuales responsabilidades, incluida la penal, en las que pudieran incurrir en caso de incumplimiento de lo ordenado por este tribunal’.</w:t>
      </w:r>
    </w:p>
    <w:p w:rsidR="005728DD" w:rsidRDefault="005728DD" w:rsidP="005728DD">
      <w:pPr>
        <w:pStyle w:val="TextoNormal"/>
      </w:pPr>
    </w:p>
    <w:p w:rsidR="005728DD" w:rsidRDefault="005728DD" w:rsidP="005728DD">
      <w:pPr>
        <w:pStyle w:val="TextoNormal"/>
      </w:pPr>
      <w:r>
        <w:t>[…] El acusado señor Carles Mundó i Blanch, que no cuestionó la recepción de los requerimientos, precisó que la firma del decreto de convocatoria del referéndum era ‘[...] un hecho extraordinario’. Había muchos medios de comunicación, se había despertado una gran expectación. Por eso ‘[...] querían enfatizar el carácter político. Esas firmas no añadían ni quitaban valor jurídico’. Estaba convencido de que no estaba cometiendo ningún delito. En cualquier caso, no se planteó que esos requerimientos implicaran el deber de paralizar y no tenía poder para condicionar a sus compañeros de gabinete.</w:t>
      </w:r>
    </w:p>
    <w:p w:rsidR="005728DD" w:rsidRDefault="005728DD" w:rsidP="005728DD">
      <w:pPr>
        <w:pStyle w:val="TextoNormal"/>
      </w:pPr>
    </w:p>
    <w:p w:rsidR="005728DD" w:rsidRDefault="005728DD" w:rsidP="005728DD">
      <w:pPr>
        <w:pStyle w:val="TextoNormal"/>
      </w:pPr>
      <w:r>
        <w:lastRenderedPageBreak/>
        <w:t xml:space="preserve">3.4. El rechazo basado en la convicción de la falta legitimidad política del tribunal ordenante —como ya hemos razonado </w:t>
      </w:r>
      <w:r w:rsidRPr="005728DD">
        <w:rPr>
          <w:i/>
        </w:rPr>
        <w:t>supra</w:t>
      </w:r>
      <w:r>
        <w:t xml:space="preserve"> de forma exhaustiva— nunca puede operar como causa de justificación. Los tres acusados eran perfectos conocedores de la existencia de un requerimiento formalmente emanado de quien reúne facultades legales para ello, sabían de su deber de acatamiento y, sin embargo, omitieron de forma contumaz lo que les había sido ordenado. La firma de los Decretos 139 y 140/2017, más allá de la estratégica degradación del valor de la firma de todos los consejeros, era bien expresiva de una inequívoca voluntad de rechazo al mandato constitucional que habían recibido con anterioridad. La estrategia de defensa —cuya legitimidad está fuera de toda duda— olvida que, con independencia de la firma del presidente y el consejero del departamento afectado por la norma, todo decreto es una norma reglamentaria aprobada por el órgano de gobierno, una decisión colegiada que, como tal, es fruto de la concertada voluntad de los integrantes del ejecutivo”.</w:t>
      </w:r>
    </w:p>
    <w:p w:rsidR="005728DD" w:rsidRDefault="005728DD" w:rsidP="005728DD">
      <w:pPr>
        <w:pStyle w:val="TextoNormal"/>
      </w:pPr>
    </w:p>
    <w:p w:rsidR="005728DD" w:rsidRDefault="005728DD" w:rsidP="005728DD">
      <w:pPr>
        <w:pStyle w:val="TextoNormal"/>
      </w:pPr>
      <w:r>
        <w:t>k) Por estos hechos, y con la descrita calificación jurídico-penal como delito de desobediencia, se impusieron al demandante las siguientes penas: multa de diez meses, con una cuota diaria de 200 €, con responsabilidad personal subsidiaria de un día por cada dos cuotas no satisfechas, e inhabilitación especial para el ejercicio de cargos públicos electivos, ya sean de ámbito estatal, autonómico o local, así como para el ejercicio de funciones de gobierno en el ámbito estatal, autonómico o local, por tiempo de un año y ocho meses. Le fue también impuesta la condena al pago de 1/24 de las costas procesales.</w:t>
      </w:r>
    </w:p>
    <w:p w:rsidR="005728DD" w:rsidRDefault="005728DD" w:rsidP="005728DD">
      <w:pPr>
        <w:pStyle w:val="TextoNormal"/>
      </w:pPr>
    </w:p>
    <w:p w:rsidR="005728DD" w:rsidRDefault="005728DD" w:rsidP="005728DD">
      <w:pPr>
        <w:pStyle w:val="TextoNormal"/>
      </w:pPr>
      <w:r>
        <w:t>Al justificar la cuantía de la cuota diaria impuesta [apartado D) 3 de la fundamentación jurídica], la sala expresó lo siguiente:</w:t>
      </w:r>
    </w:p>
    <w:p w:rsidR="005728DD" w:rsidRDefault="005728DD" w:rsidP="005728DD">
      <w:pPr>
        <w:pStyle w:val="TextoNormal"/>
      </w:pPr>
    </w:p>
    <w:p w:rsidR="005728DD" w:rsidRDefault="005728DD" w:rsidP="005728DD">
      <w:pPr>
        <w:pStyle w:val="TextoNormal"/>
      </w:pPr>
      <w:r>
        <w:t>“El art. 410 del Código penal castiga a ‘las autoridades y funcionarios públicos que se negaren abiertamente a dar el debido cumplimiento a resoluciones judiciales, decisiones u órdenes de la autoridad superior, dictadas dentro del ámbito de respectiva competencia y revestidos de las formalidades legales, incurrirán en la pena de multa de tres a doce meses e inhabilitación especial para empleo o cargo público por tiempo de seis meses a dos años’. La Sala considera que, en atención a los parámetros cuantitativos a que se refiere el art. 50.5 CP, deducidos de la situación económica de los tres acusados, su titulación profesional y de sus circunstancias personales, procede imponer a cada uno de ellos […] la pena de multa de diez meses, con una cuota diaria de 200 €, con responsabilidad personal subsidiaria de un día por cada dos cuotas no satisfechas, e inhabilitación especial para el ejercicio de cargos públicos electivos, ya sean de ámbito estatal, autonómico o local, así como para el ejercicio de funciones de gobierno en el ámbito estatal, autonómico o local, por tiempo de un año y ocho meses. La duración del tiempo de inhabilitación ha sido fijada tomando como referencia en el juicio ponderativo precedentes ya sentenciados por esta Sala, en los que la gravedad de los hechos no fue tan intensa y la contumacia de los acusados en desatender los requerimientos del Tribunal Constitucional no adquirió el significado y la relevancia que ahora expresan los hechos declarados probados”.</w:t>
      </w:r>
    </w:p>
    <w:p w:rsidR="005728DD" w:rsidRDefault="005728DD" w:rsidP="005728DD">
      <w:pPr>
        <w:pStyle w:val="TextoNormal"/>
      </w:pPr>
    </w:p>
    <w:p w:rsidR="005728DD" w:rsidRDefault="005728DD" w:rsidP="005728DD">
      <w:pPr>
        <w:pStyle w:val="TextoNormal"/>
      </w:pPr>
      <w:r>
        <w:t>l) Frente a la sentencia condenatoria, el demandante interpuso incidente de nulidad de actuaciones (</w:t>
      </w:r>
      <w:r w:rsidRPr="005728DD">
        <w:rPr>
          <w:i/>
        </w:rPr>
        <w:t>ex</w:t>
      </w:r>
      <w:r>
        <w:t xml:space="preserve"> art. 241 LOPJ). En su impugnación planteó específicamente: (i) la vulneración de su derecho a la presunción de inocencia (art. 24.2 CE), por entender que no había resultado probado ningún acto de desobediencia a los requerimientos recibidos, pues son posteriores a la aprobación y firma de los Decretos 139/2017 y 140/2017, de 6 de septiembre, del Gobierno de la Generalitat, y (ii) la del derecho a recibir una respuesta fundada en </w:t>
      </w:r>
      <w:r>
        <w:lastRenderedPageBreak/>
        <w:t>Derecho sobre la cuantía de la cuota diaria de la multa impuesta (art. 24.1 CE), pues entendía insuficientemente motivada dicha determinación.</w:t>
      </w:r>
    </w:p>
    <w:p w:rsidR="005728DD" w:rsidRDefault="005728DD" w:rsidP="005728DD">
      <w:pPr>
        <w:pStyle w:val="TextoNormal"/>
      </w:pPr>
    </w:p>
    <w:p w:rsidR="005728DD" w:rsidRDefault="005728DD" w:rsidP="005728DD">
      <w:pPr>
        <w:pStyle w:val="TextoNormal"/>
      </w:pPr>
      <w:r>
        <w:t>La sala desestimó la solicitud de nulidad por auto de 29 de enero de 2020, tras entender que “la sentencia dictada por esta Sala no vulnera el derecho a la presunción de inocencia del señor Mundó. Las pruebas valoradas para declarar probados los hechos por los que ha sido condenado, así como los argumentos que permiten su subsunción en un delito de desobediencia del art. 410 CP, se explicitan suficientemente en el apartado C) de los fundamentos de derecho de la sentencia (punto 3). Las alegaciones del escrito presentado, como hemos reflejado al resolver otros incidentes de nulidad, ponen de manifiesto una clara discrepancia con dicha valoración y con las inferencias que de ella se obtienen, pero ello no implica ni la insuficiencia de los medios de prueba de cargo practicadas ni la irracionalidad de dicha valoración. El incidente de nulidad de actuaciones, por otro lado, de conformidad con una jurisprudencia reiterada de esta Sala, no puede convertirse en un nuevo medio para reconsiderar decisiones ya adoptadas en la resolución”. A lo expuesto, en relación con la cuantía de la cuota diaria de multa añadió que “la sentencia dictada sí motiva este último importe y hace referencia para ello a la situación económica de los tres acusados, su titulación profesional y a las circunstancias personales que constan en autos. Los dos primeros parámetros están por otro lado íntimamente relacionados con el hecho notorio de que fueron Consejeros del Gobierno de una comunidad autónoma”.</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afirma el recurrente que las resoluciones judiciales impugnadas han vulnerado su presunción de inocencia (art. 24.2 CE), dado que no se ha acreditado ni probado su participación en el ilícito penal por el que ha sido condenado. Y en relación con la determinación del importe de la cuota diaria de la pena multa impuesta, aduce también la vulneración de su derecho a la tutela judicial efectiva, en cuanto le reconoce el derecho a obtener una motivación razonada y fundada en Derecho sobre la pena impuesta (arts. 24 y 25 CE).</w:t>
      </w:r>
    </w:p>
    <w:p w:rsidR="005728DD" w:rsidRDefault="005728DD" w:rsidP="005728DD">
      <w:pPr>
        <w:pStyle w:val="TextoNormal"/>
      </w:pPr>
    </w:p>
    <w:p w:rsidR="005728DD" w:rsidRDefault="005728DD" w:rsidP="005728DD">
      <w:pPr>
        <w:pStyle w:val="TextoNormal"/>
      </w:pPr>
      <w:r>
        <w:t>En el apartado segundo de los hechos de la demanda, intitulado “especial trascendencia constitucional” se afirma que la sentencia dictada por el Tribunal Supremo incurre en vulneraciones con trascendencia constitucional de los derechos fundamentales a la tutela judicial efectiva y presunción de inocencia (artículos 24.1 y 24.2 CE), por incumplirse la doctrina constitucional sobre incongruencia omisiva, y/o la necesidad de motivación de las resoluciones judiciales, proyectándose todo ello en la quiebra del derecho a la tutela judicial efectiva y a la presunción de inocencia, pilares fundamentales del sistema judicial.</w:t>
      </w:r>
    </w:p>
    <w:p w:rsidR="005728DD" w:rsidRDefault="005728DD" w:rsidP="005728DD">
      <w:pPr>
        <w:pStyle w:val="TextoNormal"/>
      </w:pPr>
    </w:p>
    <w:p w:rsidR="005728DD" w:rsidRDefault="005728DD" w:rsidP="005728DD">
      <w:pPr>
        <w:pStyle w:val="TextoNormal"/>
      </w:pPr>
      <w:r>
        <w:t>Y en cuanto al fondo de los motivos de amparo, se alega lo que sigue:</w:t>
      </w:r>
    </w:p>
    <w:p w:rsidR="005728DD" w:rsidRDefault="005728DD" w:rsidP="005728DD">
      <w:pPr>
        <w:pStyle w:val="TextoNormal"/>
      </w:pPr>
    </w:p>
    <w:p w:rsidR="005728DD" w:rsidRDefault="005728DD" w:rsidP="005728DD">
      <w:pPr>
        <w:pStyle w:val="TextoNormal"/>
      </w:pPr>
      <w:r>
        <w:t>a) Respecto de la primera vulneración denunciada, relativa al derecho a la presunción de inocencia (art. 24.2 CE), subraya el recurrente que la resolución recurrida no precisa un solo acto que concrete la conclusión que alcanza sobre la desatención de los requerimientos del Tribunal Constitucional recibidos, no pudiéndose por tanto colmar el contenido del delito de desobediencia, al no quedar acreditados los elementos objetivos y subjetivos de este.</w:t>
      </w:r>
    </w:p>
    <w:p w:rsidR="005728DD" w:rsidRDefault="005728DD" w:rsidP="005728DD">
      <w:pPr>
        <w:pStyle w:val="TextoNormal"/>
      </w:pPr>
    </w:p>
    <w:p w:rsidR="005728DD" w:rsidRDefault="005728DD" w:rsidP="005728DD">
      <w:pPr>
        <w:pStyle w:val="TextoNormal"/>
      </w:pPr>
      <w:r>
        <w:t xml:space="preserve">Así, en relación con el Decreto 139/2017, de 6 de septiembre, de convocatoria del referéndum de autodeterminación de Cataluña, dice el recurso que, solo por su singularidad política fue firmado por todos los miembros del gobierno catalán. Añade, en relación con </w:t>
      </w:r>
      <w:r>
        <w:lastRenderedPageBreak/>
        <w:t>su aprobación, que la ley de la que emanaba (Ley 19/2017, de 6 de septiembre) estaba vigente en el momento de aprobarse el referido decreto pues no había sido suspendida ni anulada aun por el Tribunal Constitucional, resultando que, de hecho, ni siquiera había sido en aquel momento todavía recurrida. Era, en suma, una norma vigente que formaba parte del ordenamiento jurídico en el momento de aprobarse el decreto, por lo que no es posible deducir desobediencia alguna.</w:t>
      </w:r>
    </w:p>
    <w:p w:rsidR="005728DD" w:rsidRDefault="005728DD" w:rsidP="005728DD">
      <w:pPr>
        <w:pStyle w:val="TextoNormal"/>
      </w:pPr>
    </w:p>
    <w:p w:rsidR="005728DD" w:rsidRDefault="005728DD" w:rsidP="005728DD">
      <w:pPr>
        <w:pStyle w:val="TextoNormal"/>
      </w:pPr>
      <w:r>
        <w:t>Es verdad, señala no obstante, que el Tribunal Constitucional, al admitir a trámite el recurso de inconstitucionalidad presentado frente a la ley 19/2017, acordó la suspensión de su vigencia y aplicación, pero resalta que ello se materializó en providencia de fecha 7 de septiembre de 2017 (“BOE” de 8 de septiembre 2017), de suerte que el Decreto 139/2017 fue firmado antes de que la Ley 19/2017 fuera declarada nula e inconstitucional, e incluso antes de que se llegara a acordar por el Tribunal Constitucional la suspensión de su vigencia y aplicación.</w:t>
      </w:r>
    </w:p>
    <w:p w:rsidR="005728DD" w:rsidRDefault="005728DD" w:rsidP="005728DD">
      <w:pPr>
        <w:pStyle w:val="TextoNormal"/>
      </w:pPr>
    </w:p>
    <w:p w:rsidR="005728DD" w:rsidRDefault="005728DD" w:rsidP="005728DD">
      <w:pPr>
        <w:pStyle w:val="TextoNormal"/>
      </w:pPr>
      <w:r>
        <w:t>Por lo demás, prosigue el recurso, el demandante, a pesar de ser miembro del Gobierno de la Generalitat, nunca ostentó la condición de diputado del Parlamento de Cataluña, por lo que cualquier advertencia que pudiera notificársele respecto de la actividad legislativa resultaba accesoria, ya que el recurrente en amparo no tenía capacidad para participar en el proceso legislativo, ni en el de la Ley 19/2017, ni en el de ninguna otra ley anterior o posterior a esta que fuera promovida por iniciativa de los grupos parlamentarios.</w:t>
      </w:r>
    </w:p>
    <w:p w:rsidR="005728DD" w:rsidRDefault="005728DD" w:rsidP="005728DD">
      <w:pPr>
        <w:pStyle w:val="TextoNormal"/>
      </w:pPr>
    </w:p>
    <w:p w:rsidR="005728DD" w:rsidRDefault="005728DD" w:rsidP="005728DD">
      <w:pPr>
        <w:pStyle w:val="TextoNormal"/>
      </w:pPr>
      <w:r>
        <w:t>Por todo lo cual concluye que lo único imputable al recurrente fue que estampara su firma como uno más de los miembros del Gobierno en esa norma. Entiende que las resoluciones recurridas en amparo no han tomado en consideración que, sin embargo, la aprobación y firma se llevó a cabo cuando todavía estaba vigente la ley autonómica de la que emanaban, de forma previa a su suspensión, y, lo más relevante, antes de ser requerido por el Tribunal Constitucional y sin que, por no ser miembro del poder legislativo, hubiera tenido participación alguna en los antecedentes legislativos parlamentarios previos a los que se refiere la sentencia recurrida.</w:t>
      </w:r>
    </w:p>
    <w:p w:rsidR="005728DD" w:rsidRDefault="005728DD" w:rsidP="005728DD">
      <w:pPr>
        <w:pStyle w:val="TextoNormal"/>
      </w:pPr>
    </w:p>
    <w:p w:rsidR="005728DD" w:rsidRDefault="005728DD" w:rsidP="005728DD">
      <w:pPr>
        <w:pStyle w:val="TextoNormal"/>
      </w:pPr>
      <w:r>
        <w:t>En lo referente al Decreto 140/2017, de normas complementarias para la realización del referéndum de autodeterminación de Cataluña, aprobado en fecha 6 de septiembre de 2017, expresa un razonamiento idéntico, destacando en este caso que la providencia de fecha 7 de septiembre de 2017 (“BOE” de 8 de septiembre 2017) de este Tribunal Constitucional le fue notificada el día 15 de septiembre de 2017, y que, adicionalmente, dicho Decreto de 6 de septiembre de 2017 ni siquiera llegó a ejecutarse.</w:t>
      </w:r>
    </w:p>
    <w:p w:rsidR="005728DD" w:rsidRDefault="005728DD" w:rsidP="005728DD">
      <w:pPr>
        <w:pStyle w:val="TextoNormal"/>
      </w:pPr>
    </w:p>
    <w:p w:rsidR="005728DD" w:rsidRDefault="005728DD" w:rsidP="005728DD">
      <w:pPr>
        <w:pStyle w:val="TextoNormal"/>
      </w:pPr>
      <w:r>
        <w:t>Apoyado en las circunstancias fácticas expuestas, tras sintetizar la jurisprudencia precedente sobre el delito de desobediencia, concluye que no se ha acreditado ni probado su participación en ese ilícito penal, vistos los requerimientos recibidos y las fechas indicadas. No hubo resolución desobedecida que permita imputarle y condenarle por la comisión de delito alguno. Todo ello considerando que, a partir de las competencias atribuidas por razón de su cargo, no podría tampoco haber materializado el mandato emanado del Tribunal Constitucional con una actividad dirigida a cumplir con dicha orden. En definitiva, alega que los indicios de los que parte la sentencia para dictar el fallo condenatorio contra el recurrente serían insuficientes, por no decir inexistentes, no concurriendo prueba ni del elemento subjetivo del injusto, ni tan siquiera de los elementos objetivos del mismo.</w:t>
      </w:r>
    </w:p>
    <w:p w:rsidR="005728DD" w:rsidRDefault="005728DD" w:rsidP="005728DD">
      <w:pPr>
        <w:pStyle w:val="TextoNormal"/>
      </w:pPr>
    </w:p>
    <w:p w:rsidR="005728DD" w:rsidRDefault="005728DD" w:rsidP="005728DD">
      <w:pPr>
        <w:pStyle w:val="TextoNormal"/>
      </w:pPr>
      <w:r>
        <w:t>b) El segundo motivo del recurso se sustenta en que la sentencia impugnada no motivó la fijación de la cuota diaria de la multa a la que fue condenado el recurrente, por lo que estima que se vulneran los derechos fundamentales reconocidos en los arts. 24.1 y 25.1 CE, toda vez que, al determinar los parámetros cuantitativos a los que se refiere el artículo 50.5 CP, la sentencia alude a la situación económica del recurrente, a su titulación profesional y a sus circunstancias personales, sin que conste sin embargo ningún dato en las actuaciones que revele dicha situación económica, por lo que su importe es desproporcionado.</w:t>
      </w:r>
    </w:p>
    <w:p w:rsidR="005728DD" w:rsidRDefault="005728DD" w:rsidP="005728DD">
      <w:pPr>
        <w:pStyle w:val="TextoNormal"/>
      </w:pPr>
    </w:p>
    <w:p w:rsidR="005728DD" w:rsidRDefault="005728DD" w:rsidP="005728DD">
      <w:pPr>
        <w:pStyle w:val="TextoNormal"/>
      </w:pPr>
      <w:r>
        <w:t>A su criterio, a pesar de lo afirmado en las resoluciones judiciales, no consta ningún dato en la causa que revele la situación económica que se le presume, ni se han verificado sus ingresos, obligaciones y cargas familiares y demás circunstancias personales. Antes bien, se le impuso un “tanto alzado” sin justificación en los parámetros legalmente establecidos, desconectado de cualquier criterio objetivo. Tan es así que la sentencia condena a otras dos personas exactamente con la misma pena, pese a existir entre ellas situaciones personales incomparables en lo relativo, por ejemplo, a las cargas familiares. En suma, la necesaria motivación, reiteradamente exigida por la jurisprudencia, no se ha efectuado de forma suficiente en la sentencia (cita en su amparo la STC 108/2001, sobre el sistema de pena denominado días-multa, así como pronunciamientos del Tribunal Supremo en esa materia).</w:t>
      </w:r>
    </w:p>
    <w:p w:rsidR="005728DD" w:rsidRDefault="005728DD" w:rsidP="005728DD">
      <w:pPr>
        <w:pStyle w:val="TextoNormal"/>
      </w:pPr>
    </w:p>
    <w:p w:rsidR="005728DD" w:rsidRDefault="005728DD" w:rsidP="005728DD">
      <w:pPr>
        <w:pStyle w:val="TextoNormal"/>
      </w:pPr>
      <w:r>
        <w:t>Por todo ello, solicita que se declaren vulnerados los derechos fundamentales aducidos, absolviéndole del delito de desobediencia del art. 410.1 CP por el que ha sido condenado o, de forma alternativa y subsidiaria a lo anterior, y en función de lo que defiende en el segundo motivo del recurso de amparo, que se fije la pena de multa con una cuota distinta y más proporcionada (que concreta en seis euros/día, con la responsabilidad personal subsidiaria correspondiente).</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6 de mayo de 2020, a propuesta de su presidente [art. 10.1 n) de la Ley Orgánica del Tribunal Constitucional (LOTC)], el Pleno acordó recabar para sí el conocimiento del recurso de amparo y admitirlo a trámite por apreciar que concurre en el mismo una especial trascendencia constitucional (art. 50.1 LOTC), dado que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A tenor de lo establecido en el art. 51 LOTC, acordó también dirigir atenta comunicación a la Sala de lo Penal del Tribunal Supremo para que, en plazo que no excediera de diez días, remitiera certificación o fotocopia adverada de la sentencia condenatoria de 14 de octubre de 2019 y del auto de 29 de enero de 2020, de la propia sala, que desestimó las solicitudes de nulidad de la decisión de condena. Se interesó, al mismo tiempo, que se emplazara a quienes fueron parte en el procedimiento, a excepción del demandante de amparo, para que en el plazo de diez días pudiesen comparecer, si lo deseaban, en este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Por diligencia de ordenación de 10 de junio de 2020 se tuvo por recibido el testimonio de las actuaciones solicitadas, reclamándose las copias de las notificaciones y emplazamientos que no habían sido remitidos. Por diligencia de ordenación de 28 de septiembre de 2020 se tuvo por personados y parte en este proceso constitucional al abogado del Estado, a la procuradora doña María del Pilar Hidalgo López, en representación del partido político Vox, </w:t>
      </w:r>
      <w:r>
        <w:lastRenderedPageBreak/>
        <w:t>y al procurador don Carlos Ricardo Estévez Sanz, en representación de don Carles Puigdemont i Casamajó. Asimismo, a tenor de lo dispuesto en el art. 52 LOTC, se dio vista en la secretaría del Pleno a las partes personadas y al Ministerio Fiscal de todas las actuaciones por un plazo común de veinte días, para que dentro de dicho término pudieran presentar las alegaciones que tuvieran por convenientes a su derecho.</w:t>
      </w:r>
    </w:p>
    <w:p w:rsidR="005728DD" w:rsidRDefault="005728DD" w:rsidP="005728DD">
      <w:pPr>
        <w:pStyle w:val="TextoNormal"/>
      </w:pPr>
    </w:p>
    <w:p w:rsidR="005728DD" w:rsidRDefault="005728DD" w:rsidP="005728DD">
      <w:pPr>
        <w:pStyle w:val="TextoNormal"/>
      </w:pPr>
      <w:r w:rsidRPr="005728DD">
        <w:rPr>
          <w:rStyle w:val="NumeroAFNegritaCaracter"/>
        </w:rPr>
        <w:t>6</w:t>
      </w:r>
      <w:r>
        <w:t>. En sus alegaciones, presentadas el 27 de octubre de 2020, el abogado del Estado, solicita la desestimación de las dos pretensiones de amparo:</w:t>
      </w:r>
    </w:p>
    <w:p w:rsidR="005728DD" w:rsidRDefault="005728DD" w:rsidP="005728DD">
      <w:pPr>
        <w:pStyle w:val="TextoNormal"/>
      </w:pPr>
    </w:p>
    <w:p w:rsidR="005728DD" w:rsidRDefault="005728DD" w:rsidP="005728DD">
      <w:pPr>
        <w:pStyle w:val="TextoNormal"/>
      </w:pPr>
      <w:r>
        <w:t>a) En relación con la denunciada vulneración del derecho a la presunción de inocencia, porque destaca que, pese a lo afirmado en la demanda, el recurrente no pudo desconocer el contenido del ATC 170/2016, de 15 de noviembre, dado que le fue personalmente notificado en su condición de consejero de justicia de la Generalitat. En dicha decisión, el Tribunal Constitucional declaró la nulidad de la resolución 263/XI del Parlamento de Cataluña, de 27 de julio de 2016, por la cual se ratificó el informe y las conclusiones de su “Comisión de estudio del proceso constituyente”. Al mismo tiempo, en su condición de consejero, se le requirió personalmente con la advertencia de abstenerse de realizar cualesquiera actuaciones tendentes a dar cumplimiento a la citada resolución y de su deber de impedir o paralizar cualquier iniciativa, jurídica o material, que directa o indirectamente suponga ignorar o eludir la nulidad decretada, apercibiéndole expresamente de las eventuales responsabilidades, incluida la penal, en las que podría incurrir en caso de incumplimiento de lo ordenado por el Tribunal Constitucional. En el mismo sentido, destaca también el abogado del Estado que el ATC 24/2017, de 14 de febrero, hizo al recurrente y demás miembros del Gobierno de la Generalitat similar advertencia y requerimiento tras declarar la nulidad parcial de la resolución 306/XI de 6 de octubre de 2016 del Parlamento de Cataluña, específicamente de aquellos aspectos que propugnaban la celebración de un referéndum unilateral sobre la independencia de Cataluña y la apertura de un proceso constituyente al margen del ordenamiento constitucional, eludiendo así los procedimientos de reforma constitucional.</w:t>
      </w:r>
    </w:p>
    <w:p w:rsidR="005728DD" w:rsidRDefault="005728DD" w:rsidP="005728DD">
      <w:pPr>
        <w:pStyle w:val="TextoNormal"/>
      </w:pPr>
    </w:p>
    <w:p w:rsidR="005728DD" w:rsidRDefault="005728DD" w:rsidP="005728DD">
      <w:pPr>
        <w:pStyle w:val="TextoNormal"/>
      </w:pPr>
      <w:r>
        <w:t>b) Sobre la motivación de la cuota diaria de la pena de multa impuesta, denunciada como insuficiente, tras exponer la doctrina constitucional sobre la obligación de motivar las decisiones judiciales (STC 82/2001), se refiere a la jurisprudencia de la propia Sala de lo Penal del Tribunal Supremo sobre dicha exigencia, para destacar que el deber constitucional de motivación no supone que las resoluciones judiciales hayan de ofrecer en todo caso una exhaustiva descripción del proceso intelectual que las justifica, sino que “basta con que dicha motivación ponga de manifiesto que la decisión judicial adoptada responde a una concreta interpretación y aplicación del Derecho ajena a toda arbitrariedad y permita la natural revisión jurisdiccional mediante los recursos legalmente establecidos”. Tales exigencias habrían sido satisfechas en la sentencia condenatoria, y en el auto que desestimó la solicitud de nulidad de actuaciones, por cuanto el Tribunal Supremo “al llevar a cabo la individualización de la cuota de la multa diaria, la realiza a través de un proceso de deducción de la solvencia del condenado en base a las circunstancias concurrentes, siendo la motivación llevada a cabo de carácter suficiente y bastante, por realizarse en base a indicios o criterios relacionados con la capacidad económica del condenado, que es lo que se exige para determinar la imposición de la cuota diaria en la imposición de la multa”. Concluye señalando que los criterios tomados en consideración en este caso han sido los de equidad, razonabilidad y proporcionalidad, a partir de la capacidad económica del condenado, lo que le lleva a propugnar también la desestimación de esta queja.</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escrito registrado el 30 de octubre de 2020, la representación procesal del partido político Vox ha solicitado también la desestimación íntegra del recurso de amparo con las alegaciones que, en lo sustancial, se extractan a continuación:</w:t>
      </w:r>
    </w:p>
    <w:p w:rsidR="005728DD" w:rsidRDefault="005728DD" w:rsidP="005728DD">
      <w:pPr>
        <w:pStyle w:val="TextoNormal"/>
      </w:pPr>
    </w:p>
    <w:p w:rsidR="005728DD" w:rsidRDefault="005728DD" w:rsidP="005728DD">
      <w:pPr>
        <w:pStyle w:val="TextoNormal"/>
      </w:pPr>
      <w:r>
        <w:t>Arguye, inicialmente, que en el presente recurso no se hace el necesario esfuerzo argumental para fundamentar su especial trascendencia constitucional puesto que ni siquiera menciona la jurisprudencia que se vulnera lo que permite apreciar como insuficiente la justificación expresada.</w:t>
      </w:r>
    </w:p>
    <w:p w:rsidR="005728DD" w:rsidRDefault="005728DD" w:rsidP="005728DD">
      <w:pPr>
        <w:pStyle w:val="TextoNormal"/>
      </w:pPr>
    </w:p>
    <w:p w:rsidR="005728DD" w:rsidRDefault="005728DD" w:rsidP="005728DD">
      <w:pPr>
        <w:pStyle w:val="TextoNormal"/>
      </w:pPr>
      <w:r>
        <w:t>En relación con la aducida vulneración del derecho a la presunción de inocencia, destaca que el recurrente no niega los hechos imputados —la aprobación de los decretos del Gobierno de la Generalitat—, por lo que no se expresan adecuadamente los motivos de recurso dado que las personales circunstancias administrativas del recurrente nada tienen que ver con la actuación cuestionada que llevó a efecto el gobierno autonómico del que formaba parte. Por último, sobre la pena de multa impuesta, en lo que se refiere a la determinación de la cuantía de su cuota diaria, con transcripción parcial de la STC 136/1999, de 20 de julio, señala que aunque “se aduce la ausencia de motivación de la sentencia, sin embargo, como hemos dicho anteriormente, se tratan de unas acciones que se han llevado a cabo por parte del condenado y por las cuales no puede ser absuelto en amparo”.</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evacuó el trámite de alegaciones que le fue conferido mediante escrito registrado el 12 de noviembre de 2020. Tras delimitar el objeto del recurso de amparo y resumir las razones en las que se apoyan las pretensiones que en él se formulan, solicita su íntegra desestimación. La propuesta se apoya, en lo sustancial, en las siguientes consideraciones:</w:t>
      </w:r>
    </w:p>
    <w:p w:rsidR="005728DD" w:rsidRDefault="005728DD" w:rsidP="005728DD">
      <w:pPr>
        <w:pStyle w:val="TextoNormal"/>
      </w:pPr>
    </w:p>
    <w:p w:rsidR="005728DD" w:rsidRDefault="005728DD" w:rsidP="005728DD">
      <w:pPr>
        <w:pStyle w:val="TextoNormal"/>
      </w:pPr>
      <w:r>
        <w:t xml:space="preserve">a) Sobre la alegada vulneración del derecho a la presunción de inocencia: tras resumir la doctrina constitucional sobre el contenido del derecho aducido (SSTC 31/1981, 189/1988, 137/2005, 300/2005, 328/2006, 177/2007 y 111/2008) sostiene que el demandante interesa de este tribunal que valore objetivamente si el tribunal </w:t>
      </w:r>
      <w:r w:rsidRPr="005728DD">
        <w:rPr>
          <w:i/>
        </w:rPr>
        <w:t>a quo</w:t>
      </w:r>
      <w:r>
        <w:t xml:space="preserve"> contó con suficiente prueba de signo acusatorio sobre la comisión del hecho imputado y la participación en el mismo del señor Mundó. Dicha petición se apoya, según el fiscal, en dos consideraciones: (i) no llegó a existir resolución desobedecida que permitiera su imputación y condena, (ii) no era legal y materialmente posible exigir al recurrente que, en su condición de consejero de Justicia, impidiera actuaciones que se desarrollaban fuera de su ámbito de actuación.</w:t>
      </w:r>
    </w:p>
    <w:p w:rsidR="005728DD" w:rsidRDefault="005728DD" w:rsidP="005728DD">
      <w:pPr>
        <w:pStyle w:val="TextoNormal"/>
      </w:pPr>
    </w:p>
    <w:p w:rsidR="005728DD" w:rsidRDefault="005728DD" w:rsidP="005728DD">
      <w:pPr>
        <w:pStyle w:val="TextoNormal"/>
      </w:pPr>
      <w:r>
        <w:t>El Ministerio Fiscal descarta que dichos razonamientos puedan ser compartidos a la vista de las premisas fácticas sobre las que se asienta la decisión de condena, que no son las que utiliza el recurrente.</w:t>
      </w:r>
    </w:p>
    <w:p w:rsidR="005728DD" w:rsidRDefault="005728DD" w:rsidP="005728DD">
      <w:pPr>
        <w:pStyle w:val="TextoNormal"/>
      </w:pPr>
    </w:p>
    <w:p w:rsidR="005728DD" w:rsidRDefault="005728DD" w:rsidP="005728DD">
      <w:pPr>
        <w:pStyle w:val="TextoNormal"/>
      </w:pPr>
      <w:r>
        <w:t xml:space="preserve">Sostiene que los hechos que para la Sala Segunda del Tribunal Supremo han cubierto el tipo del delito de desobediencia por el que el señor Mundó ha sido condenado no se circunscriben a los acontecimientos que se resaltan por la representación procesal de este en su demanda de amparo (aprobación de los decretos 139 y 140/2017, luego declarados nulos), sino que son los siguientes: (i) concierto previo, con reparto de funciones, entre miembros del Parlamento de Cataluña, su gobierno autonómico y dirigentes de organizaciones ciudadanas, al objeto de proceder a la celebración de un referéndum de autodeterminación de </w:t>
      </w:r>
      <w:r>
        <w:lastRenderedPageBreak/>
        <w:t>Cataluña; (ii) colaboración del demandante en los actos que correspondían al gobierno autonómico; (iii) participación específica en la aprobación de los Decretos 139/2017 y 140/2017, de 6 de septiembre, relativos a la convocatoria y celebración de un referéndum sobre la independencia de Cataluña; (iv) conocimiento de los requerimientos personales efectuados desde el Tribunal Constitucional en relación con dichos decretos que advertían sobre la ilegalidad de las iniciativas gubernativas y legislativas suspendidas, y (v) no adopción de ninguna iniciativa que revelara su voluntad de quebrar su concierto previo con los demás acusados para la celebración del referéndum de autodeterminación y de proceder en su lugar a promover el cumplimiento de los mandatos del Tribunal Constitucional, con la inevitable consecuencia de la renuncia a la celebración de la jornada de votación, que tenía que haberse presentado como inviable una vez suspendidos por el Pleno del Tribunal Constitucional todos los instrumentos jurídicos que habrían de permitir su celebración.</w:t>
      </w:r>
    </w:p>
    <w:p w:rsidR="005728DD" w:rsidRDefault="005728DD" w:rsidP="005728DD">
      <w:pPr>
        <w:pStyle w:val="TextoNormal"/>
      </w:pPr>
    </w:p>
    <w:p w:rsidR="005728DD" w:rsidRDefault="005728DD" w:rsidP="005728DD">
      <w:pPr>
        <w:pStyle w:val="TextoNormal"/>
      </w:pPr>
      <w:r>
        <w:t>Delimitados así los hechos y razonamiento que han dado lugar a la condena del recurrente, considera el Ministerio Fiscal que fue debidamente desvirtuada la presunción de inocencia del recurrente dado que sobre los hechos imputados sí se practicó prueba documental ante el tribunal de enjuiciamiento, la cual fue literalmente valorada, en tanto no deja lugar a dudas sobre la imperatividad de los mandatos del Tribunal Constitucional, su contenido y finalidad, pues se trataba de mandatos con proyección de futuro que no fueron atendidos.</w:t>
      </w:r>
    </w:p>
    <w:p w:rsidR="005728DD" w:rsidRDefault="005728DD" w:rsidP="005728DD">
      <w:pPr>
        <w:pStyle w:val="TextoNormal"/>
      </w:pPr>
    </w:p>
    <w:p w:rsidR="005728DD" w:rsidRDefault="005728DD" w:rsidP="005728DD">
      <w:pPr>
        <w:pStyle w:val="TextoNormal"/>
      </w:pPr>
      <w:r>
        <w:t>Rechaza también el Ministerio Fiscal los argumentos del demandante que aducen la imposibilidad legal y material de impedir actuaciones que desbordaban su competencia como consejero de la Generalitat. Aduce, en tal sentido, que “el señor Mundó hubo de conocer desde el primer momento el contenido de las providencias dictadas por el Tribunal Constitucional a que ya se ha hecho referencia, por haber sido inmediatamente publicadas en el “BOE”. Pero resulta además que fue personalmente requerido en numerosas ocasiones por el Pleno del Tribunal Constitucional para que personalmente adoptara las medidas que fueran necesarias para dar cumplimiento a las órdenes de suspensión de la aplicación de diversas normas legales y reglamentarias dirigidas a la celebración de un referéndum de autodeterminación de Cataluña que habían sido dictadas por ese mismo Tribunal Constitucional con el apercibimiento de que, en otro caso; podía incurrir en responsabilidades de tipo penal. Se trataba con ello, en definitiva, de impedir la celebración de ese referéndum de autodeterminación, por falta de cobertura legal, al haber sido suspendida por el Tribunal Constitucional toda la normativa que había sido promulgada a tales fines. Ese y no otro era el comportamiento debido del señor Mundó i Blanch (y de otras numerosas personas)”.</w:t>
      </w:r>
    </w:p>
    <w:p w:rsidR="005728DD" w:rsidRDefault="005728DD" w:rsidP="005728DD">
      <w:pPr>
        <w:pStyle w:val="TextoNormal"/>
      </w:pPr>
    </w:p>
    <w:p w:rsidR="005728DD" w:rsidRDefault="005728DD" w:rsidP="005728DD">
      <w:pPr>
        <w:pStyle w:val="TextoNormal"/>
      </w:pPr>
      <w:r>
        <w:t>Concluye sus alegaciones sobre este motivo de amparo señalando que “el recurrente se desentendió de modo absoluto del cumplimiento de lo que le había sido ordenado” por lo que “su comportamiento completamente pasivo no puede sino interpretarse como de completa adhesión, hasta sus últimas consecuencias, al concierto a que se ha venido haciendo referencia” lo que es expresión de “una voluntad contraria al cumplimiento de lo ordenado por el Pleno del Tribunal Constitucional”. Todo lo cual le lleva a proponer la desestimación de la alegada vulneración del derecho a la presunción de inocencia (artículo 24.2 CE).</w:t>
      </w:r>
    </w:p>
    <w:p w:rsidR="005728DD" w:rsidRDefault="005728DD" w:rsidP="005728DD">
      <w:pPr>
        <w:pStyle w:val="TextoNormal"/>
      </w:pPr>
    </w:p>
    <w:p w:rsidR="005728DD" w:rsidRDefault="005728DD" w:rsidP="005728DD">
      <w:pPr>
        <w:pStyle w:val="TextoNormal"/>
      </w:pPr>
      <w:r>
        <w:t xml:space="preserve">b) En relación con la motivación de la cuota diaria de la pena de multa que le fue impuesta, reitera el fiscal la doctrina constitucional sobre el contenido del derecho alegado en </w:t>
      </w:r>
      <w:r>
        <w:lastRenderedPageBreak/>
        <w:t>cuanto garantiza la motivación de las decisiones judiciales (art. 24.1 CE). Destaca específicamente la obligación constitucional de motivar las condenas penales y la individualización de las penas que en ellas se imponen.</w:t>
      </w:r>
    </w:p>
    <w:p w:rsidR="005728DD" w:rsidRDefault="005728DD" w:rsidP="005728DD">
      <w:pPr>
        <w:pStyle w:val="TextoNormal"/>
      </w:pPr>
    </w:p>
    <w:p w:rsidR="005728DD" w:rsidRDefault="005728DD" w:rsidP="005728DD">
      <w:pPr>
        <w:pStyle w:val="TextoNormal"/>
      </w:pPr>
      <w:r>
        <w:t>Tras exponer la regulación legal de la pena de multa en el art. 50 CP, concluye señalando que no cabe entender que la resolución judicial analizada haya vulnerado el derecho alegado ya que ha sido motivada suficientemente, pues contiene los elementos y razones de juicio que permiten conocer cuáles han sido los criterios jurídicos que, conforme al código penal, han fundamentado la decisión, por lo que no cabe considerar que sea consecuencia de una aplicación arbitraria de la legalidad, ni que resulte manifiestamente irrazonable ni consecuencia de un error patente. Un análisis integral de la decisión condenatoria permitiría apreciar que, junto a los criterios específicos expresados para justificar la cuantía de la cuota diaria de la multa (la presumible situación económica del acusado, su titulación profesional y sus circunstancias personales), la sala atendió a su anterior condición de consejero del Gobierno de la Generalitat, al número de requerimientos no atendidos y al carácter contumaz de su desatención a los mandatos de este tribunal. Añade el representante del Ministerio Fiscal que “ha de afirmarse que el tribunal sentenciador ha tomado en consideración de modo principal” la retribución anual que le correspondió como consejero de la Generalitat; retribución que aparece reflejadas en la ley de presupuestos de la Generalitat de Cataluña y que, por superar la suma de 110 000 € anuales, es racionalmente expresiva de una relevante capacidad económica.</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16 de marzo de 2021, se señaló para la deliberación y votación de la presente sentencia el día 17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posición de las partes</w:t>
      </w:r>
      <w:r>
        <w:t>.</w:t>
      </w:r>
    </w:p>
    <w:p w:rsidR="005728DD" w:rsidRDefault="005728DD" w:rsidP="005728DD">
      <w:pPr>
        <w:pStyle w:val="TextoNormal"/>
      </w:pPr>
    </w:p>
    <w:p w:rsidR="005728DD" w:rsidRDefault="005728DD" w:rsidP="005728DD">
      <w:pPr>
        <w:pStyle w:val="TextoNormal"/>
      </w:pPr>
      <w:r>
        <w:t>El presente recurso de amparo se interpone contra la sentencia de 14 de octubre de 2019, dictada en única instancia por la Sala de lo Penal del Tribunal Supremo, que, en la causa especial núm. 20907-2017, condenó al demandante como autor de un delito de desobediencia, previsto en el art. 410 del Código Penal, a la pena de multa de diez meses, con cuota diaria de 200 €. La decisión de condena fue ratificada por auto de 29 de enero de 2020, que desestimó los incidentes de nulidad de actuaciones promovidos por el demandante y otros condenados.</w:t>
      </w:r>
    </w:p>
    <w:p w:rsidR="005728DD" w:rsidRDefault="005728DD" w:rsidP="005728DD">
      <w:pPr>
        <w:pStyle w:val="TextoNormal"/>
      </w:pPr>
    </w:p>
    <w:p w:rsidR="005728DD" w:rsidRDefault="005728DD" w:rsidP="005728DD">
      <w:pPr>
        <w:pStyle w:val="TextoNormal"/>
      </w:pPr>
      <w:r>
        <w:t>El recurrente imputa a las citadas resoluciones judiciales la vulneración de su derecho a la presunción de inocencia (art. 24.2 CE); afirma que no se ha acreditado ni probado su participación en el ilícito penal por el que ha sido condenado. En relación con la determinación del importe de la cuota diaria de la pena multa impuesta, tras afirmar que la sentencia no la ha motivado de forma suficiente e individualizada, aduce la vulneración de su derecho a la tutela judicial efectiva, en cuanto le reconoce el derecho a obtener una motivación razonada y fundada en Derecho sobre la pena impuesta, que ha de ser proporcionada (arts. 24 y 25 CE).</w:t>
      </w:r>
    </w:p>
    <w:p w:rsidR="005728DD" w:rsidRDefault="005728DD" w:rsidP="005728DD">
      <w:pPr>
        <w:pStyle w:val="TextoNormal"/>
      </w:pPr>
    </w:p>
    <w:p w:rsidR="005728DD" w:rsidRDefault="005728DD" w:rsidP="005728DD">
      <w:pPr>
        <w:pStyle w:val="TextoNormal"/>
      </w:pPr>
      <w:r>
        <w:lastRenderedPageBreak/>
        <w:t>El abogado del Estado solicita la desestimación de las pretensiones de amparo. Alega que la presunción de inocencia del recurrente ha quedado desvirtuada en la causa pues, cuando el 6 de septiembre de 2017 decidió dar su aprobación a los decretos 139 y 140/2017 del Gobierno catalán, sobre convocatoria del referéndum de autodeterminación de Cataluña y sobre normas complementarias para su realización, conocía el contenido de los AATC 170/2016, de 15 de noviembre y 24/2017, de 14 de febrero, por los que, meses antes, el Tribunal Constitucional le advirtió expresa y personalmente, precisamente en su condición de consejero del gobierno autonómico, de su obligación de abstenerse de realizar cualesquiera actuaciones tendentes a dar cumplimiento a sendas resoluciones del Parlament de Cataluña (resoluciones 263/XI y 306/XI) que habían sido declaradas nulas por infringir la Constitución, en tanto proclamaban como vigente el derecho a la autodeterminación y exigían la convocatoria de un referéndum para someter a consulta la pretensión unilateral de independencia a la que se aspiraba en dichas resoluciones parlamentarias; se reclamaba también en ellas la apertura de un proceso constituyente al margen del ordenamiento constitucional, eludiendo así los procedimientos de reforma constitucional. Considera, por último, que la cuantía de la cuota diaria de la multa impuesta ha sido suficientemente motivada por referencia a criterios relacionados con la capacidad económica del demandante, tal y como exige el Código penal.</w:t>
      </w:r>
    </w:p>
    <w:p w:rsidR="005728DD" w:rsidRDefault="005728DD" w:rsidP="005728DD">
      <w:pPr>
        <w:pStyle w:val="TextoNormal"/>
      </w:pPr>
    </w:p>
    <w:p w:rsidR="005728DD" w:rsidRDefault="005728DD" w:rsidP="005728DD">
      <w:pPr>
        <w:pStyle w:val="TextoNormal"/>
      </w:pPr>
      <w:r>
        <w:t>Por su parte, la representación procesal del partido político Vox, que fue admitido como acusación popular en el proceso penal, postula también la desestimación íntegra del recurso de amparo. Cuestiona que el demandante haya hecho el necesario esfuerzo argumental para justificar la especial trascendencia constitucional del recurso. En cuanto a los motivos de amparo, entiende que el recurrente no niega los hechos imputados por los que fue condenado como autor de un delito de desobediencia. También considera suficiente la motivación de la determinación judicial de la cuantía de la cuota diaria de la multa impuesta, considerándola proporcionada a la gravedad de los hechos por los que ha sido condenado.</w:t>
      </w:r>
    </w:p>
    <w:p w:rsidR="005728DD" w:rsidRDefault="005728DD" w:rsidP="005728DD">
      <w:pPr>
        <w:pStyle w:val="TextoNormal"/>
      </w:pPr>
    </w:p>
    <w:p w:rsidR="005728DD" w:rsidRDefault="005728DD" w:rsidP="005728DD">
      <w:pPr>
        <w:pStyle w:val="TextoNormal"/>
      </w:pPr>
      <w:r>
        <w:t>El Ministerio Fiscal, que discrepa de las premisas fácticas sobre las que en el recurso se asienta la alegada vulneración del derecho a la presunción de inocencia, considera que fue debidamente desvirtuada con prueba documental sobre la imperatividad de los mandatos del Tribunal Constitucional que el demandante eludió al aprobar, en concierto previo con otros acusados, los decretos de convocatoria del referéndum sobre autodeterminación de Cataluña y normas complementarias para su desarrollo. En lo demás, tras considerar que la pena de multa impuesta ha sido adecuada y suficientemente fundada en derecho con referencia a los parámetros legales exigidos, interesa la desestimación íntegra de la demanda.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justificación de la especial trascendencia constitucional del recurso</w:t>
      </w:r>
      <w:r>
        <w:t>.</w:t>
      </w:r>
    </w:p>
    <w:p w:rsidR="005728DD" w:rsidRDefault="005728DD" w:rsidP="005728DD">
      <w:pPr>
        <w:pStyle w:val="TextoNormal"/>
      </w:pPr>
    </w:p>
    <w:p w:rsidR="005728DD" w:rsidRDefault="005728DD" w:rsidP="005728DD">
      <w:pPr>
        <w:pStyle w:val="TextoNormal"/>
      </w:pPr>
      <w:r>
        <w:t>La representación procesal del partido político Vox cuestiona como insuficiente la justificación que se hace en la demanda sobre la especial trascendencia constitucional de las cuestiones planteadas.</w:t>
      </w:r>
    </w:p>
    <w:p w:rsidR="005728DD" w:rsidRDefault="005728DD" w:rsidP="005728DD">
      <w:pPr>
        <w:pStyle w:val="TextoNormal"/>
      </w:pPr>
    </w:p>
    <w:p w:rsidR="005728DD" w:rsidRDefault="005728DD" w:rsidP="005728DD">
      <w:pPr>
        <w:pStyle w:val="TextoNormal"/>
      </w:pPr>
      <w:r>
        <w:t>En la fase de admisión, el Pleno de este tribunal apreció, de acuerdo con lo establecido en el art. 50.1 b) LOTC, que concurría la especial trascendencia constitucional exigida para la admisión a trámite del presente recurso. En el momento procesal en que ahora nos halla</w:t>
      </w:r>
      <w:r>
        <w:lastRenderedPageBreak/>
        <w:t>mos, a partir de la relación que el recurso de amparo mantiene con los que han sido presentados por las demás personas condenadas en la misma causa, no encontramos razones que justifiquen la modificación de esta apreciación inicial.</w:t>
      </w:r>
    </w:p>
    <w:p w:rsidR="005728DD" w:rsidRDefault="005728DD" w:rsidP="005728DD">
      <w:pPr>
        <w:pStyle w:val="TextoNormal"/>
      </w:pPr>
    </w:p>
    <w:p w:rsidR="005728DD" w:rsidRDefault="005728DD" w:rsidP="005728DD">
      <w:pPr>
        <w:pStyle w:val="TextoNormal"/>
      </w:pPr>
      <w:r>
        <w:t>Como declara la STC 96/2012, de 7 de mayo, FJ 4, corresponde al tribunal apreciar si el contenido del recurso justifica una decisión sobre el fondo por su especial trascendencia constitucional, atendiendo, conforme al art. 50.1 b) LOTC, a “su importancia para la interpretación de la Constitución, para su aplicación o para su general eficacia y para la determinación del contenido y alcance de los derechos fundamentales”. Estos criterios fueron desarrollados a título enunciativo en la STC 155/2009, de 25 de junio, FJ 2. Entre ellos se encuentra el supuesto reseñado en la letra a), consistente en que se trate de un “recurso que plantee un problema o una faceta de un derecho fundamental susceptible de amparo sobre el que no haya doctrina del Tribunal Constitucional”. Este fue el supuesto que el Pleno consideró relevante en la reunión del día 6 de mayo de 2020, en la que se analizó el presente recurso de amparo junto a los presentados por otras nueve de las doce personas condenadas en esta causa.</w:t>
      </w:r>
    </w:p>
    <w:p w:rsidR="005728DD" w:rsidRDefault="005728DD" w:rsidP="005728DD">
      <w:pPr>
        <w:pStyle w:val="TextoNormal"/>
      </w:pPr>
    </w:p>
    <w:p w:rsidR="005728DD" w:rsidRDefault="005728DD" w:rsidP="005728DD">
      <w:pPr>
        <w:pStyle w:val="TextoNormal"/>
      </w:pPr>
      <w:r>
        <w:t xml:space="preserve">El tribunal ha afirmado que el deber de justificar de modo suficiente la especial trascendencia constitucional del recurso “tiene un alcance instrumental, en cuanto se dirige a proporcionar al Tribunal elementos de juicio para decidir sobre la admisibilidad de la demanda”. Por esta razón, “si </w:t>
      </w:r>
      <w:r w:rsidRPr="005728DD">
        <w:rPr>
          <w:i/>
        </w:rPr>
        <w:t>ab initio</w:t>
      </w:r>
      <w:r>
        <w:t xml:space="preserve"> el tribunal se consideró suficientemente ilustrado, no cabe sino hacer un uso prudente de la facultad de inadmitir posteriormente la demanda por meros defectos en el modo de redactarla” (SSTC 17/2011, de 28 de febrero, FJ 2, y 212/2013, de 16 de diciembre, FJ 2). En el caso enjuiciado no apreciamos que hayan sido aducidas razones que justifiquen de forma suficiente modificar la apreciación inicial hecha al admitir la demanda a trámite [SSTC 183/2011, de 21 de noviembre, FJ 2; 96/2012, de 7 de mayo, FJ 4; 27/2013, de 11 de febrero, FJ 2; 127/2013, de 16 de diciembre, FJ 2; 77/2015, de 27 de abril, FJ 1, y 9/2020, de 28 de enero, FJ 3 a)]. La naturaleza y características del delito por el que el recurrente fue condenado —desobediencia a los requerimientos del Tribunal Constitucional—, el carácter público y representativo que, en el momento de participar en los hechos que han dado lugar a la causa, ejercían el demandante y otros acusados y condenados en la presente causa —entre ellos, todos los miembros del Gobierno de la Generalitat y la presidenta del Parlamento de Cataluña—, y la interrelación existente entre las demandas de amparo presentadas por unos y otros acusados, con distintos motivos en parte coincidentes, justifican la decisión de admisión adoptada en su momento.</w:t>
      </w:r>
    </w:p>
    <w:p w:rsidR="005728DD" w:rsidRDefault="005728DD" w:rsidP="005728DD">
      <w:pPr>
        <w:pStyle w:val="TextoNormal"/>
      </w:pPr>
    </w:p>
    <w:p w:rsidR="005728DD" w:rsidRDefault="005728DD" w:rsidP="005728DD">
      <w:pPr>
        <w:pStyle w:val="TextoNormal"/>
      </w:pPr>
      <w:r>
        <w:t xml:space="preserve">En conclusión, el recurrente pone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artículo 49.1 </w:t>
      </w:r>
      <w:r w:rsidRPr="005728DD">
        <w:rPr>
          <w:i/>
        </w:rPr>
        <w:t>in fine</w:t>
      </w:r>
      <w:r>
        <w:t xml:space="preserve"> LOTC.</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La vulneración alegada de la presunción de inocencia del demandante</w:t>
      </w:r>
      <w:r>
        <w:t>.</w:t>
      </w:r>
    </w:p>
    <w:p w:rsidR="005728DD" w:rsidRDefault="005728DD" w:rsidP="005728DD">
      <w:pPr>
        <w:pStyle w:val="TextoNormal"/>
      </w:pPr>
    </w:p>
    <w:p w:rsidR="005728DD" w:rsidRDefault="005728DD" w:rsidP="005728DD">
      <w:pPr>
        <w:pStyle w:val="TextoNormal"/>
      </w:pPr>
      <w:r>
        <w:t xml:space="preserve">a) Según lo declarado en las SSTC 189/1998, de 28 de septiembre, FJ 2; 220/1998, de 16 de noviembre, FJ 3, y 155/2002, de 22 de julio, FJ 7, los recursos de amparo atinentes a la vulneración del derecho a la presunción de inocencia deben examinarse respetando la </w:t>
      </w:r>
      <w:r>
        <w:lastRenderedPageBreak/>
        <w:t>falta de jurisdicción del tribunal para valorar la actividad probatoria practicada en un proceso penal.</w:t>
      </w:r>
    </w:p>
    <w:p w:rsidR="005728DD" w:rsidRDefault="005728DD" w:rsidP="005728DD">
      <w:pPr>
        <w:pStyle w:val="TextoNormal"/>
      </w:pPr>
    </w:p>
    <w:p w:rsidR="005728DD" w:rsidRDefault="005728DD" w:rsidP="005728DD">
      <w:pPr>
        <w:pStyle w:val="TextoNormal"/>
      </w:pPr>
      <w:r>
        <w:t>La función del tribunal de protección del derecho a la presunción de inocencia comporta, en primer lugar, la supervisión de que la actividad probatoria se ha practicado con las garantías necesarias para su adecuada valoración y para la preservación del derecho de defensa. En segundo lugar, lleva consigo la comprobación de que el órgano de enjuiciamiento expone las razones que le han conducido a fijar el relato de hechos probados a partir de la actividad probatoria practicada. En tercer y último lugar, desde la perspectiva del resultado de la valoración, la labor del Tribunal se ciñe a supervisar externamente la razonabilidad del discurso que pone en relación la actividad probatoria con el relato fáctico resultante. La función del tribunal no consiste en enjuiciar el resultado alcanzado, sino el control externo del razonamiento lógico seguido para llegar a él.</w:t>
      </w:r>
    </w:p>
    <w:p w:rsidR="005728DD" w:rsidRDefault="005728DD" w:rsidP="005728DD">
      <w:pPr>
        <w:pStyle w:val="TextoNormal"/>
      </w:pPr>
    </w:p>
    <w:p w:rsidR="005728DD" w:rsidRDefault="005728DD" w:rsidP="005728DD">
      <w:pPr>
        <w:pStyle w:val="TextoNormal"/>
      </w:pPr>
      <w:r>
        <w:t>El Tribunal Constitucional, en resolución, ha de limitarse a comprobar que la prueba existente se haya obtenido y practicado conforme a la Constitución, que sea de cargo y que, en consecuencia, los hechos declarados probados puedan inferirse de ella de modo razonable y no arbitrario.</w:t>
      </w:r>
    </w:p>
    <w:p w:rsidR="005728DD" w:rsidRDefault="005728DD" w:rsidP="005728DD">
      <w:pPr>
        <w:pStyle w:val="TextoNormal"/>
      </w:pPr>
    </w:p>
    <w:p w:rsidR="005728DD" w:rsidRDefault="005728DD" w:rsidP="005728DD">
      <w:pPr>
        <w:pStyle w:val="TextoNormal"/>
      </w:pPr>
      <w:r>
        <w:t>b) El recurrente considera que la resolución recurrida no concreta acto alguno que fundamente la conclusión condenatoria basada en la contumaz desatención a los requerimientos del Tribunal Constitucional recibidos personalmente. Añade que esta desatención constituye uno de los elementos objetivos del delito de desobediencia por el que ha sido condenado.</w:t>
      </w:r>
    </w:p>
    <w:p w:rsidR="005728DD" w:rsidRDefault="005728DD" w:rsidP="005728DD">
      <w:pPr>
        <w:pStyle w:val="TextoNormal"/>
      </w:pPr>
    </w:p>
    <w:p w:rsidR="005728DD" w:rsidRDefault="005728DD" w:rsidP="005728DD">
      <w:pPr>
        <w:pStyle w:val="TextoNormal"/>
      </w:pPr>
      <w:r>
        <w:t>Examinada la sentencia condenatoria, tanto en el relato de hechos probados como en la fundamentación y la subsunción de la conducta atribuida en el tipo penal aplicado, el Tribunal no comparte la premisa en la que se funda la pretensión, pues aprecia que la demanda de amparo identifica solo parcialmente los requerimientos y advertencias desobedecidos.</w:t>
      </w:r>
    </w:p>
    <w:p w:rsidR="005728DD" w:rsidRDefault="005728DD" w:rsidP="005728DD">
      <w:pPr>
        <w:pStyle w:val="TextoNormal"/>
      </w:pPr>
    </w:p>
    <w:p w:rsidR="005728DD" w:rsidRDefault="005728DD" w:rsidP="005728DD">
      <w:pPr>
        <w:pStyle w:val="TextoNormal"/>
      </w:pPr>
      <w:r>
        <w:t>El recurrente se refiere en la demanda únicamente a los requerimientos que se incluyeron en las tres providencias de fecha 7 de septiembre de 2017, dictadas (i) al admitir a trámite el recurso de inconstitucionalidad núm. 4334-2017 presentado contra la Ley 19/2017, de 6 de septiembre, y (ii) al admitir a trámite las impugnaciones de disposiciones autonómicas 4333-2017 y 4335-2017, presentadas contra los decretos 140/2017 y 139/2017 del referéndum de autodeterminación de Cataluña, y de normas complementarias para su celebración, respectivamente.</w:t>
      </w:r>
    </w:p>
    <w:p w:rsidR="005728DD" w:rsidRDefault="005728DD" w:rsidP="005728DD">
      <w:pPr>
        <w:pStyle w:val="TextoNormal"/>
      </w:pPr>
    </w:p>
    <w:p w:rsidR="005728DD" w:rsidRDefault="005728DD" w:rsidP="005728DD">
      <w:pPr>
        <w:pStyle w:val="TextoNormal"/>
      </w:pPr>
      <w:r>
        <w:t>El tribunal observa que, además de considerar desobedecidos los requerimientos de 7 de septiembre de 2017, que se identifican en la demanda de amparo, la sentencia de condena se refiere a otras resoluciones anteriores del Tribunal Constitucional y a otros requerimientos previos mencionados en el relato de hechos probados. Estos, que tuvieron lugar en el mismo sentido y con similar contenido, fueron también notificados personalmente al demandante y demás miembros del Govern de Cataluña antes de ser aprobados los decretos 139 y 140/2017, de 6 de septiembre.</w:t>
      </w:r>
    </w:p>
    <w:p w:rsidR="005728DD" w:rsidRDefault="005728DD" w:rsidP="005728DD">
      <w:pPr>
        <w:pStyle w:val="TextoNormal"/>
      </w:pPr>
    </w:p>
    <w:p w:rsidR="005728DD" w:rsidRDefault="005728DD" w:rsidP="005728DD">
      <w:pPr>
        <w:pStyle w:val="TextoNormal"/>
      </w:pPr>
      <w:r>
        <w:t>Conforme a dicho relato fáctico se observa que cuando el Govern de Cataluña del que el señor Mundó formaba parte como consejero de justicia aprobó la convocatoria de un refe</w:t>
      </w:r>
      <w:r>
        <w:lastRenderedPageBreak/>
        <w:t>réndum de autodeterminación y dictó normas complementarias sobre su desarrollo por medio de los decretos citados, el Tribunal Constitucional ya había declarado inconstitucionales y nulas las resoluciones del Parlament de Cataluña que instaban al Govern de la Generalitat a tomar dichas decisiones si quedaba excluida la utilización de los cauces establecidos en la Constitución. Así se deduce de la publicación de los acuerdos del Tribunal en el “Boletín Oficial del Estado” y de su notificación personal al recurrente y demás miembros del Gobierno.</w:t>
      </w:r>
    </w:p>
    <w:p w:rsidR="005728DD" w:rsidRDefault="005728DD" w:rsidP="005728DD">
      <w:pPr>
        <w:pStyle w:val="TextoNormal"/>
      </w:pPr>
    </w:p>
    <w:p w:rsidR="005728DD" w:rsidRDefault="005728DD" w:rsidP="005728DD">
      <w:pPr>
        <w:pStyle w:val="TextoNormal"/>
      </w:pPr>
      <w:r>
        <w:t>Como se recoge en el apartado 3 de la fundamentación de la sentencia impugnada, todos los miembros del Govern de la Generalitat conocían en ese momento la inconstitucionalidad de cualquier pretensión unilateral de iniciar un proceso constituyente en favor de la creación de un Estado catalán independiente en forma de república. Como se recoge en el relato de hechos probados, así se había acordado expresamente en la STC 259/2015, de 2 de diciembre (publicada en el “BOE” de 12 de enero de 2016), que declaró inconstitucional y nula la resolución I/XI del Parlament de Cataluña, adoptada el 9 de noviembre de 2015, “sobre el inicio del proceso político en Cataluña como consecuencia de los resultados electorales del anterior 27 de septiembre” y su anexo.</w:t>
      </w:r>
    </w:p>
    <w:p w:rsidR="005728DD" w:rsidRDefault="005728DD" w:rsidP="005728DD">
      <w:pPr>
        <w:pStyle w:val="TextoNormal"/>
      </w:pPr>
    </w:p>
    <w:p w:rsidR="005728DD" w:rsidRDefault="005728DD" w:rsidP="005728DD">
      <w:pPr>
        <w:pStyle w:val="TextoNormal"/>
      </w:pPr>
      <w:r>
        <w:t>Consta documentalmente acreditado que mediante la notificación personal de los AATC 170/2016, de 6 de octubre, y 24/2017, de 14 de febrero (que estimaron sendos incidentes de ejecución de la citada STC 259/2015), todos los miembros del Govern de la Generalitat fueron expresamente advertidos de su obligación de abstenerse de realizar cualesquiera actuaciones tendentes a dar cumplimiento a aquellos pronunciamientos de las resoluciones parlamentarias 263/XI y 306/XI que habían sido declaradas nulos por infringir la Constitución, en tanto proclamaban como vigente el derecho a la autodeterminación, exigían al Govern de la Generalitat la convocatoria de un referéndum para someter a consulta la pretensión unilateral de independencia, y reclamaban la apertura de un proceso constituyente al margen del ordenamiento constitucional, eludiendo así los procedimientos de reforma de la Constitución. También les fue notificado “su deber de impedir o paralizar cualquier iniciativa, jurídica o material, que directa o indirectamente supusiera ignorar o eludir la nulidad de dichos apartados, apercibiéndoles de las eventuales responsabilidades, incluida la penal, en las que pudieran incurrir en caso de incumplimiento de lo ordenado por el tribunal”.</w:t>
      </w:r>
    </w:p>
    <w:p w:rsidR="005728DD" w:rsidRDefault="005728DD" w:rsidP="005728DD">
      <w:pPr>
        <w:pStyle w:val="TextoNormal"/>
      </w:pPr>
    </w:p>
    <w:p w:rsidR="005728DD" w:rsidRDefault="005728DD" w:rsidP="005728DD">
      <w:pPr>
        <w:pStyle w:val="TextoNormal"/>
      </w:pPr>
      <w:r>
        <w:t>Teniendo en cuenta estos hechos, documentalmente acreditados en la causa, en el diario del Parlament de Cataluña y en los boletines oficiales del Estado y de la Generalitat, ha de ser desestimada la queja que denuncia la inexistencia de prueba de cargo sobre la desobediencia que le ha sido atribuida. El tribunal reitera que dicha desobediencia no solo se refiere a la conducta mantenida por el recurrente a partir de la notificación de las providencias de 7 de septiembre citadas, sino que se concreta en la aprobación de los decretos 139 y 140/2017. Así se recoge expresamente en el apartado 3 de la fundamentación jurídica de la decisión de condena, en la que se argumenta que “los tres acusados eran perfectos conocedores de la existencia de un requerimiento formalmente emanado de quien reúne facultades legales para ello, sabían de su deber de acatamiento y, sin embargo, omitieron de forma contumaz lo que les había sido ordenado. La firma de los decretos 139/2017 y 140/2017, más allá de la estratégica degradación del valor de la firma de todos los consejeros, era bien expresiva de una inequívoca voluntad de rechazo al mandato constitucional que habían recibido con anterioridad”.</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xml:space="preserve">. </w:t>
      </w:r>
      <w:r w:rsidRPr="005728DD">
        <w:rPr>
          <w:i/>
        </w:rPr>
        <w:t>La motivación de la cuantía de la cuota diaria de la pena de multa impuesta</w:t>
      </w:r>
      <w:r>
        <w:t>.</w:t>
      </w:r>
    </w:p>
    <w:p w:rsidR="005728DD" w:rsidRDefault="005728DD" w:rsidP="005728DD">
      <w:pPr>
        <w:pStyle w:val="TextoNormal"/>
      </w:pPr>
    </w:p>
    <w:p w:rsidR="005728DD" w:rsidRDefault="005728DD" w:rsidP="005728DD">
      <w:pPr>
        <w:pStyle w:val="TextoNormal"/>
      </w:pPr>
      <w:r>
        <w:t>En el último motivo de amparo el recurrente denuncia la falta de motivación individualizada de la cuota diaria de la pena de multa que le ha sido impuesta. Considera que se ha atendido a su situación económica, pero que no consta en la causa dato alguno que revele dicha situación. En su opinión, la fijación en 200 € de la cuota diaria de la multa impuesta (6000 € mensuales) se ha hecho “a tanto alzado”, de manera conjunta con otras dos personas condenadas, atendiendo a su condición de abogado en ejercicio, pero sin evaluar su capacidad económica individual y sin realizar investigación alguna adicional sobre su situación económica real, sus circunstancias personales o sus cargas familiares, por lo que, conforme a la jurisprudencia constitucional que cita (SSTC 108/2001, de 23 de abril), no puede ser considerada una resolución fundada en derecho.</w:t>
      </w:r>
    </w:p>
    <w:p w:rsidR="005728DD" w:rsidRDefault="005728DD" w:rsidP="005728DD">
      <w:pPr>
        <w:pStyle w:val="TextoNormal"/>
      </w:pPr>
    </w:p>
    <w:p w:rsidR="005728DD" w:rsidRDefault="005728DD" w:rsidP="005728DD">
      <w:pPr>
        <w:pStyle w:val="TextoNormal"/>
      </w:pPr>
      <w:r>
        <w:t>El Ministerio Fiscal, el abogado del Estado y la acusación popular consideran, por el contrario, que la motivación expresada en la sentencia condenatoria es suficiente por venir referida, implícitamente, a los ingresos públicos asociados al cargo de libre elección que venía ejerciendo como consejero del Gobierno de la Generalitat de Cataluña cuando protagonizó los actos imputados.</w:t>
      </w:r>
    </w:p>
    <w:p w:rsidR="005728DD" w:rsidRDefault="005728DD" w:rsidP="005728DD">
      <w:pPr>
        <w:pStyle w:val="TextoNormal"/>
      </w:pPr>
    </w:p>
    <w:p w:rsidR="005728DD" w:rsidRDefault="005728DD" w:rsidP="005728DD">
      <w:pPr>
        <w:pStyle w:val="TextoNormal"/>
      </w:pPr>
      <w:r>
        <w:t>La cuestión planteada no es nueva en la jurisprudencia constitucional y ha sido recientemente analizada en la STC 34/2021, de 17 de febrero.</w:t>
      </w:r>
    </w:p>
    <w:p w:rsidR="005728DD" w:rsidRDefault="005728DD" w:rsidP="005728DD">
      <w:pPr>
        <w:pStyle w:val="TextoNormal"/>
      </w:pPr>
    </w:p>
    <w:p w:rsidR="005728DD" w:rsidRDefault="005728DD" w:rsidP="005728DD">
      <w:pPr>
        <w:pStyle w:val="TextoNormal"/>
      </w:pPr>
      <w:r>
        <w:t>Como recuerda la STC 91/2009, de 20 de abril, FJ 7, el tribunal ha declarado reiteradamente que el deber general de motivación de las sentencias que impone el art. 120.3 CE se integra en el contenido del derecho a la tutela judicial efectiva del art. 24.1 CE, por lo que las decisiones judiciales deben exteriorizar los elementos de juicio sobre los que se basan y su fundamentación jurídica ha de ser una aplicación de la legalidad no arbitraria, manifiestamente irrazonable o incursa en un error patente. Esta exigencia resulta reforzada en el caso de las sentencias penales condenatorias, por cuanto en ellas el derecho a la tutela judicial efectiva se conecta con otros derechos fundamentales y, directa o indirectamente, en muchas ocasiones, con el derecho a la libertad personal. El deber de motivación incluye la obligación de fundamentar no solo los hechos y la calificación jurídica, sino también la pena finalmente impuesta, por cuanto el margen de discrecionalidad del que goza el juez penal legalmente en la determinación de la pena que debe imponerse no justifica por sí mismo la decisión finalmente adoptada, sino que el ejercicio de aquella facultad se subordina a la exigencia de que la resolución esté motivada, pues solo así puede procederse a su control posterior en evitación de toda arbitrariedad.</w:t>
      </w:r>
    </w:p>
    <w:p w:rsidR="005728DD" w:rsidRDefault="005728DD" w:rsidP="005728DD">
      <w:pPr>
        <w:pStyle w:val="TextoNormal"/>
      </w:pPr>
    </w:p>
    <w:p w:rsidR="005728DD" w:rsidRDefault="005728DD" w:rsidP="005728DD">
      <w:pPr>
        <w:pStyle w:val="TextoNormal"/>
      </w:pPr>
      <w:r>
        <w:t>La aplicación al caso de los criterios de control expuestos conduce a la desestimación de este motivo de amparo. Al igual que en los casos analizados en las SSTC 108/2001, 108/2005, 196/2007 y en la citada STC 91/2009, la sentencia condenatoria aplicó el sistema legal de “días-multa” previsto en la ley penal para cuantificar su concreta intensidad. Lo que el demandante cuestiona no es la extensión temporal de la pena impuesta (diez meses, sobre un máximo de doce meses previsto para el delito por el que fue condenado), sino la motivación del importe de la cuota diaria que el demandante ha de satisfacer (200 €/día, para una horquilla, entre dos y cuatrocientos euros diarios, establecida en el art. 50.4 CP).</w:t>
      </w:r>
    </w:p>
    <w:p w:rsidR="005728DD" w:rsidRDefault="005728DD" w:rsidP="005728DD">
      <w:pPr>
        <w:pStyle w:val="TextoNormal"/>
      </w:pPr>
    </w:p>
    <w:p w:rsidR="005728DD" w:rsidRDefault="005728DD" w:rsidP="005728DD">
      <w:pPr>
        <w:pStyle w:val="TextoNormal"/>
      </w:pPr>
      <w:r>
        <w:lastRenderedPageBreak/>
        <w:t>Conforme al art. 50.5 CP la cuota diaria se ha de determinar teniendo en cuenta, exclusivamente, la situación económica de la persona condenada, “deducida de su patrimonio, ingresos, obligaciones y cargas familiares y demás circunstancias personales”. En la sentencia condenatoria se establece que la pena de multa de diez meses, con una cuota diaria de 200 €, se determina “en atención a los parámetros cuantitativos a que se refiere el art. 50.5 CP, deducidos de la situación económica de los tres acusados, su titulación profesional y de sus circunstancias personales”. Tal referencia, ciertamente genérica, resultó concretada al desestimarse la solicitud de nulidad de actuaciones planteada, que denunció este mismo motivo de amparo, cuando se dijo que “la sentencia dictada sí motiva este último importe y hace referencia para ello a la situación económica de los tres acusados, su titulación profesional y a las circunstancias personales que constan en autos. Los dos primeros parámetros están por otro lado íntimamente relacionados con el hecho notorio de que fueron consejeros del gobierno de una comunidad autónoma”.</w:t>
      </w:r>
    </w:p>
    <w:p w:rsidR="005728DD" w:rsidRDefault="005728DD" w:rsidP="005728DD">
      <w:pPr>
        <w:pStyle w:val="TextoNormal"/>
      </w:pPr>
    </w:p>
    <w:p w:rsidR="005728DD" w:rsidRDefault="005728DD" w:rsidP="005728DD">
      <w:pPr>
        <w:pStyle w:val="TextoNormal"/>
      </w:pPr>
      <w:r>
        <w:t>En el caso presente, como ha destacado el abogado del Estado, la individualización de la cuota de la multa diaria impuesta ha sido realizada tomando como base criterios indicativos de la capacidad económica del recurrente a partir del relevante nivel de ingresos salariales que ha venido obteniendo durante el ejercicio del cargo de consejero del Gobierno de la Generalitat de Cataluña. Tales ingresos, como alega el Ministerio Fiscal y se recoge en la ley autonómica de presupuestos, superaban la suma de 110000 € anuales. Tal referencia expresa permite diferenciar el presente supuesto de los casos analizados en las SSTC 108/2001, 108/2005, o 91/2009, en los que la estimación del amparo vino justificada en constatar que la determinación del importe de la cuota diaria de multa que, en cada caso, debían satisfacer los demandantes, carecía de cualquier motivación o se apoyaba en criterios totalmente ajenos a las pautas establecidas en el precepto legal aplicado, esto es, prescindía de toda consideración de la situación económica de los recurrentes. Tomando en consideración los criterios legales reseñados y la fundamentación expuesta para justificar el ejercicio del margen penológico establecido por el apartado 4 del propio art. 50 CP, el Tribunal concluye que la motivación expresada no puede ser calificada como inexistente, arbitraria, manifiestamente irrazonable ni apoyada en un error patente que derive de las actuaciones.</w:t>
      </w:r>
    </w:p>
    <w:p w:rsidR="005728DD" w:rsidRDefault="005728DD" w:rsidP="005728DD">
      <w:pPr>
        <w:pStyle w:val="TextoNormal"/>
      </w:pPr>
    </w:p>
    <w:p w:rsidR="005728DD" w:rsidRDefault="005728DD" w:rsidP="005728DD">
      <w:pPr>
        <w:pStyle w:val="TextoNormal"/>
      </w:pPr>
      <w:r>
        <w:t>Procede, en suma, la desestimación del motivo de amparo.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Carles Mundó i Blanch.</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diecisiete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1" w:name="SENTENCIA_2021_68"/>
      <w:r>
        <w:lastRenderedPageBreak/>
        <w:t>SENTENCIA 68/2021, de 18 de marzo de 2021</w:t>
      </w:r>
    </w:p>
    <w:bookmarkEnd w:id="71"/>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ECLI:ES:TC:2021:68</w:t>
      </w:r>
    </w:p>
    <w:p w:rsidR="005728DD" w:rsidRDefault="005728DD" w:rsidP="005728DD">
      <w:pPr>
        <w:pStyle w:val="TextoNormalCentrado"/>
      </w:pPr>
    </w:p>
    <w:p w:rsidR="005728DD" w:rsidRDefault="005728DD" w:rsidP="005728DD">
      <w:pPr>
        <w:pStyle w:val="SntesisDescriptiva"/>
      </w:pPr>
      <w:r>
        <w:t>Recurso de inconstitucionalidad 4261-2018. Interpuesto por el Gobierno de Aragón en relación con diversos preceptos de la Ley 9/2017, de 8 de noviembre, de contratos del sector público, por la que se transponen al ordenamiento jurídico español las Directivas del Parlamento Europeo y del Consejo 2014/23/UE y 2014/24/UE, de 26 de febrero de 2014.</w:t>
      </w:r>
    </w:p>
    <w:p w:rsidR="005728DD" w:rsidRDefault="005728DD" w:rsidP="005728DD">
      <w:pPr>
        <w:pStyle w:val="SntesisDescriptiva"/>
      </w:pPr>
    </w:p>
    <w:p w:rsidR="005728DD" w:rsidRDefault="005728DD" w:rsidP="005728DD">
      <w:pPr>
        <w:pStyle w:val="SntesisAnaltica"/>
      </w:pPr>
      <w:r>
        <w:t>Competencias en materia de contratación pública: nulidad parcial de los preceptos legales estatales relativos al órgano competente para resolver, en el ámbito autonómico, el recurso especial en materia de contratación; eficacia de las clasificaciones de empresas, e inserción en una sola plataforma electrónica del perfil de contratante de las entidades locales; interpretación conforme con la Constitución de distintos preceptos legales y apreciación de diversos supuestos de disconformidad con el orden constitucional de distribución de competencias.</w:t>
      </w:r>
    </w:p>
    <w:p w:rsidR="005728DD" w:rsidRDefault="005728DD" w:rsidP="005728DD">
      <w:pPr>
        <w:pStyle w:val="SntesisAnaltica"/>
      </w:pPr>
    </w:p>
    <w:p w:rsidR="005728DD" w:rsidRDefault="005728DD" w:rsidP="005728DD">
      <w:pPr>
        <w:pStyle w:val="Extracto"/>
      </w:pPr>
      <w:r>
        <w:t>1.</w:t>
      </w:r>
      <w:r>
        <w:tab/>
        <w:t>Doctrina constitucional sobre el principio de neutralidad en la transposición del Derecho europeo [FJ 3].</w:t>
      </w:r>
    </w:p>
    <w:p w:rsidR="005728DD" w:rsidRDefault="005728DD" w:rsidP="005728DD">
      <w:pPr>
        <w:pStyle w:val="Extracto"/>
      </w:pPr>
    </w:p>
    <w:p w:rsidR="005728DD" w:rsidRDefault="005728DD" w:rsidP="005728DD">
      <w:pPr>
        <w:pStyle w:val="Extracto"/>
      </w:pPr>
      <w:r>
        <w:t>2.</w:t>
      </w:r>
      <w:r>
        <w:tab/>
        <w:t>El hecho de que las directivas europeas sean de obligado cumplimiento por la totalidad de las autoridades de los Estados miembros y que incluso puedan tener un “efecto directo” no significa que las normas estatales que las adaptan a nuestro ordenamiento deban ser consideradas necesariamente básicas. Si su transposición exige establecer normas internas con un contenido mínimo uniforme para el conjunto del territorio estatal, será al Estado al que le corresponda efectuar una regulación mediante normas de carácter básico, en la medida en que así lo permitan la Constitución y los Estatutos de Autonomía (STC 141/1993) [FJ 3].</w:t>
      </w:r>
    </w:p>
    <w:p w:rsidR="005728DD" w:rsidRDefault="005728DD" w:rsidP="005728DD">
      <w:pPr>
        <w:pStyle w:val="Extracto"/>
      </w:pPr>
    </w:p>
    <w:p w:rsidR="005728DD" w:rsidRDefault="005728DD" w:rsidP="005728DD">
      <w:pPr>
        <w:pStyle w:val="Extracto"/>
      </w:pPr>
      <w:r>
        <w:t>3.</w:t>
      </w:r>
      <w:r>
        <w:tab/>
        <w:t>Si la Unión Europea establece una legislación que sustituya a la normativa básica del Estado, no existe razón para objetar que la comunidad autónoma ejecute el Derecho de la UE en el ámbito de sus competencias y que pueda adoptar, cuando sea posible, legislación de desarrollo a partir de una legislación europea que sustituya a la normativa básica del Estado en una materia, salvaguardando la competencia básica del Estado [FJ 3].</w:t>
      </w:r>
    </w:p>
    <w:p w:rsidR="005728DD" w:rsidRDefault="005728DD" w:rsidP="005728DD">
      <w:pPr>
        <w:pStyle w:val="Extracto"/>
      </w:pPr>
    </w:p>
    <w:p w:rsidR="005728DD" w:rsidRDefault="005728DD" w:rsidP="005728DD">
      <w:pPr>
        <w:pStyle w:val="Extracto"/>
      </w:pPr>
      <w:r>
        <w:t>4.</w:t>
      </w:r>
      <w:r>
        <w:tab/>
        <w:t>El Estado puede dictar normas básicas en ejercicio de una competencia constitucionalmente reservada, pues la sustitución de unas bases por el Derecho europeo no modifica constitutivamente la competencia constitucional estatal de emanación de bases (STC 31/2010) [FJ 3].</w:t>
      </w:r>
    </w:p>
    <w:p w:rsidR="005728DD" w:rsidRDefault="005728DD" w:rsidP="005728DD">
      <w:pPr>
        <w:pStyle w:val="Extracto"/>
      </w:pPr>
    </w:p>
    <w:p w:rsidR="005728DD" w:rsidRDefault="005728DD" w:rsidP="005728DD">
      <w:pPr>
        <w:pStyle w:val="Extracto"/>
      </w:pPr>
      <w:r>
        <w:t>5.</w:t>
      </w:r>
      <w:r>
        <w:tab/>
        <w:t xml:space="preserve">En materia de contratación pública, el contenido del Derecho europeo suele coincidir con las normas estatales que merecen ser razonablemente consideradas como básicas (STC 141/1993); si bien, no toda norma comunitaria ha de ser incorporada al ordenamiento jurídico interno a través de una norma estatal dotada de carácter básico. Esto no es óbice para que un pronunciamiento sobre la eventual contradicción alegada entre la legislación estatal y la norma autonómica deba partir de una </w:t>
      </w:r>
      <w:r>
        <w:lastRenderedPageBreak/>
        <w:t>interpretación de las disposiciones legales acorde con las exigencias del Derecho europeo (STC 84/2015) [FJ 3].</w:t>
      </w:r>
    </w:p>
    <w:p w:rsidR="005728DD" w:rsidRDefault="005728DD" w:rsidP="005728DD">
      <w:pPr>
        <w:pStyle w:val="Extracto"/>
      </w:pPr>
    </w:p>
    <w:p w:rsidR="005728DD" w:rsidRDefault="005728DD" w:rsidP="005728DD">
      <w:pPr>
        <w:pStyle w:val="Extracto"/>
      </w:pPr>
      <w:r>
        <w:t>6.</w:t>
      </w:r>
      <w:r>
        <w:tab/>
        <w:t>Aunque la Ley de contratos del sector público cumpla escrupulosamente con la exigencia formal en la definición de lo básico (STC 179/1992), ello no significa reconocer que todos los preceptos tengan carácter básico o que hayan de ser aceptados como normas materialmente básicas por razón de su contenido [FFJJ 3 y 9].</w:t>
      </w:r>
    </w:p>
    <w:p w:rsidR="005728DD" w:rsidRDefault="005728DD" w:rsidP="005728DD">
      <w:pPr>
        <w:pStyle w:val="Extracto"/>
      </w:pPr>
    </w:p>
    <w:p w:rsidR="005728DD" w:rsidRDefault="005728DD" w:rsidP="005728DD">
      <w:pPr>
        <w:pStyle w:val="Extracto"/>
      </w:pPr>
      <w:r>
        <w:t>7.</w:t>
      </w:r>
      <w:r>
        <w:tab/>
        <w:t>La expresión “territorios forales” recogida en la disposición adicional primera de la Constitución hace referencia a aquellos territorios integrantes de la Monarquía española que, pese a la unificación del Derecho público y de las instituciones políticas y administrativas del resto de los reinos y regiones de España,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(SSTC 76/1988, 173/2014 y 118/2016) [FJ 4].</w:t>
      </w:r>
    </w:p>
    <w:p w:rsidR="005728DD" w:rsidRDefault="005728DD" w:rsidP="005728DD">
      <w:pPr>
        <w:pStyle w:val="Extracto"/>
      </w:pPr>
    </w:p>
    <w:p w:rsidR="005728DD" w:rsidRDefault="005728DD" w:rsidP="005728DD">
      <w:pPr>
        <w:pStyle w:val="Extracto"/>
      </w:pPr>
      <w:r>
        <w:t>8.</w:t>
      </w:r>
      <w:r>
        <w:tab/>
        <w:t>La disposición adicional primera de la Constitución ampara y respeta los “derechos históricos” aunque de forma actualizada, en el marco de la Constitución y de los estatutos de autonomía, pues el texto constitucional imposibilita el mantenimiento de situaciones jurídicas (aun con una probada tradición) que resulten incompatibles con los mandatos y principios constitucionales (SSTC 76/1988, 88/1993, 208/2012, 110/2016 y 158/2019) [FJ 4].</w:t>
      </w:r>
    </w:p>
    <w:p w:rsidR="005728DD" w:rsidRDefault="005728DD" w:rsidP="005728DD">
      <w:pPr>
        <w:pStyle w:val="Extracto"/>
      </w:pPr>
    </w:p>
    <w:p w:rsidR="005728DD" w:rsidRDefault="005728DD" w:rsidP="005728DD">
      <w:pPr>
        <w:pStyle w:val="Extracto"/>
      </w:pPr>
      <w:r>
        <w:t>9.</w:t>
      </w:r>
      <w:r>
        <w:tab/>
        <w:t>Las partes del territorio a las que resulta de aplicación la disposición adicional primera CE son las comprendidas actualmente en la comunidad autónoma del País Vasco y la Comunidad Foral de Navarra (SSTC 76/1988, 88/1993, 208/2012, 110/2016 y 158/2019). Así, la extensión del ámbito de aplicación de esta disposición de la CE a otros territorios es constitucionalmente inviable, con independencia de que el instrumento normativo empleado a este fin sea un estatuto de autonomía o la legislación ordinaria, estatal o autonómica [FJ 4].</w:t>
      </w:r>
    </w:p>
    <w:p w:rsidR="005728DD" w:rsidRDefault="005728DD" w:rsidP="005728DD">
      <w:pPr>
        <w:pStyle w:val="Extracto"/>
      </w:pPr>
    </w:p>
    <w:p w:rsidR="005728DD" w:rsidRDefault="005728DD" w:rsidP="005728DD">
      <w:pPr>
        <w:pStyle w:val="Extracto"/>
      </w:pPr>
      <w:r>
        <w:t>10.</w:t>
      </w:r>
      <w:r>
        <w:tab/>
        <w:t>Doctrina sobre el orden competencial en materia de contratación, conforme a lo dispuesto en el art. 149.1.18 CE. Sistemática y parámetro de constitucionalidad [FJ 5].</w:t>
      </w:r>
    </w:p>
    <w:p w:rsidR="005728DD" w:rsidRDefault="005728DD" w:rsidP="005728DD">
      <w:pPr>
        <w:pStyle w:val="Extracto"/>
      </w:pPr>
    </w:p>
    <w:p w:rsidR="005728DD" w:rsidRDefault="005728DD" w:rsidP="005728DD">
      <w:pPr>
        <w:pStyle w:val="Extracto"/>
      </w:pPr>
      <w:r>
        <w:t>11.</w:t>
      </w:r>
      <w:r>
        <w:tab/>
        <w:t>Doctrina constitucional sobre la doble dimensión material y formal de la noción de “bases” o de “legislación básica” (STC 132/2019) [FJ 5].</w:t>
      </w:r>
    </w:p>
    <w:p w:rsidR="005728DD" w:rsidRDefault="005728DD" w:rsidP="005728DD">
      <w:pPr>
        <w:pStyle w:val="Extracto"/>
      </w:pPr>
    </w:p>
    <w:p w:rsidR="005728DD" w:rsidRDefault="005728DD" w:rsidP="005728DD">
      <w:pPr>
        <w:pStyle w:val="Extracto"/>
      </w:pPr>
      <w:r>
        <w:t>12.</w:t>
      </w:r>
      <w:r>
        <w:tab/>
        <w:t>La materia de contratación pública se rige por un título competencial específico, que atribuye al Estado la competencia en la legislación básica, y que prevalece, de acuerdo con la jurisprudencia constitucional, sobre el genérico, sin perjuicio de que no se puede atribuir a este criterio un valor absoluto (STC 56/2014); y esto es así porque existen aspectos de  contratación pública que pueden ser integrados en el marco de la organización administrativa o del procedimiento administrativo [FJ 5].</w:t>
      </w:r>
    </w:p>
    <w:p w:rsidR="005728DD" w:rsidRDefault="005728DD" w:rsidP="005728DD">
      <w:pPr>
        <w:pStyle w:val="Extracto"/>
      </w:pPr>
    </w:p>
    <w:p w:rsidR="005728DD" w:rsidRDefault="005728DD" w:rsidP="005728DD">
      <w:pPr>
        <w:pStyle w:val="Extracto"/>
      </w:pPr>
      <w:r>
        <w:lastRenderedPageBreak/>
        <w:t>13.</w:t>
      </w:r>
      <w:r>
        <w:tab/>
        <w:t>Doctrina constitucional sobre competencias en materia de procedimiento administrativo común (art. 149.1.18 CE) [FJ 5].</w:t>
      </w:r>
    </w:p>
    <w:p w:rsidR="005728DD" w:rsidRDefault="005728DD" w:rsidP="005728DD">
      <w:pPr>
        <w:pStyle w:val="Extracto"/>
      </w:pPr>
    </w:p>
    <w:p w:rsidR="005728DD" w:rsidRDefault="005728DD" w:rsidP="005728DD">
      <w:pPr>
        <w:pStyle w:val="Extracto"/>
      </w:pPr>
      <w:r>
        <w:t>14.</w:t>
      </w:r>
      <w:r>
        <w:tab/>
        <w:t>El carácter básico de la normativa estatal determinará que la norma autonómica haya de ajustarse a los límites establecidos por esta regulación, a fin de no vulnerar el art. 149.1.18 CE [FJ 5].</w:t>
      </w:r>
    </w:p>
    <w:p w:rsidR="005728DD" w:rsidRDefault="005728DD" w:rsidP="005728DD">
      <w:pPr>
        <w:pStyle w:val="Extracto"/>
      </w:pPr>
    </w:p>
    <w:p w:rsidR="005728DD" w:rsidRDefault="005728DD" w:rsidP="005728DD">
      <w:pPr>
        <w:pStyle w:val="Extracto"/>
      </w:pPr>
      <w:r>
        <w:t>15.</w:t>
      </w:r>
      <w:r>
        <w:tab/>
        <w:t>La definición de lo básico ha de permitir a las comunidades autónomas su desarrollo a través de la consecución de opciones legislativas propias, de forma que la legislación básica no agote completamente la materia (SSTC 32/1981 y 1/1982); cosa que sucederá si una regulación es excesivamente minuciosa o detallada, salvo que sea imprescindible para el ejercicio efectivo de competencias establecidas (STC 147/1991) [FJ 5].</w:t>
      </w:r>
    </w:p>
    <w:p w:rsidR="005728DD" w:rsidRDefault="005728DD" w:rsidP="005728DD">
      <w:pPr>
        <w:pStyle w:val="Extracto"/>
      </w:pPr>
    </w:p>
    <w:p w:rsidR="005728DD" w:rsidRDefault="005728DD" w:rsidP="005728DD">
      <w:pPr>
        <w:pStyle w:val="Extracto"/>
      </w:pPr>
      <w:r>
        <w:t>16.</w:t>
      </w:r>
      <w:r>
        <w:tab/>
        <w:t>Doctrina constitucional sobre el concepto y alcance de la legislación básica en materia de contratación pública [FJ 5].</w:t>
      </w:r>
    </w:p>
    <w:p w:rsidR="005728DD" w:rsidRDefault="005728DD" w:rsidP="005728DD">
      <w:pPr>
        <w:pStyle w:val="Extracto"/>
      </w:pPr>
    </w:p>
    <w:p w:rsidR="005728DD" w:rsidRDefault="005728DD" w:rsidP="005728DD">
      <w:pPr>
        <w:pStyle w:val="Extracto"/>
      </w:pPr>
      <w:r>
        <w:t>17.</w:t>
      </w:r>
      <w:r>
        <w:tab/>
        <w:t>La delimitación de lo básico en el ámbito de la contratación pública se ha llevado a cabo de acuerdo con criterios teleológicos: respecto al criterio vinculado a la consecución o garantía de los principios generales de la contratación en el sector público, aparte de otros fines de interés general, deben garantizarse los principios de publicidad, igualdad, libre concurrencia y seguridad jurídica que aseguren a los ciudadanos un tratamiento común por parte de las administraciones públicas (SSTC 331/1993 o 237/2015) [FJ 5].</w:t>
      </w:r>
    </w:p>
    <w:p w:rsidR="005728DD" w:rsidRDefault="005728DD" w:rsidP="005728DD">
      <w:pPr>
        <w:pStyle w:val="Extracto"/>
      </w:pPr>
    </w:p>
    <w:p w:rsidR="005728DD" w:rsidRDefault="005728DD" w:rsidP="005728DD">
      <w:pPr>
        <w:pStyle w:val="Extracto"/>
      </w:pPr>
      <w:r>
        <w:t>18.</w:t>
      </w:r>
      <w:r>
        <w:tab/>
        <w:t>En conexión con el objetivo de estabilidad presupuestaria y control de gasto, los criterios teleológicos consisten en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[FJ 5].</w:t>
      </w:r>
    </w:p>
    <w:p w:rsidR="005728DD" w:rsidRDefault="005728DD" w:rsidP="005728DD">
      <w:pPr>
        <w:pStyle w:val="Extracto"/>
      </w:pPr>
    </w:p>
    <w:p w:rsidR="005728DD" w:rsidRDefault="005728DD" w:rsidP="005728DD">
      <w:pPr>
        <w:pStyle w:val="Extracto"/>
      </w:pPr>
      <w:r>
        <w:t>19.</w:t>
      </w:r>
      <w:r>
        <w:tab/>
        <w:t>Todos aquellos preceptos de la Ley de contratos del sector público que directamente se encaminen a dotar de una efectividad práctica a los principios de libertad de acceso a las licitaciones, publicidad y transparencia de los procedimientos, igualdad de trato y no discriminación entre licitadores, integridad y eficiente utilización de los fondos públicos  deben ser razonablemente considerados como normas básicas (STC 84/2015) [FJ 5].</w:t>
      </w:r>
    </w:p>
    <w:p w:rsidR="005728DD" w:rsidRDefault="005728DD" w:rsidP="005728DD">
      <w:pPr>
        <w:pStyle w:val="Extracto"/>
      </w:pPr>
    </w:p>
    <w:p w:rsidR="005728DD" w:rsidRDefault="005728DD" w:rsidP="005728DD">
      <w:pPr>
        <w:pStyle w:val="Extracto"/>
      </w:pPr>
      <w:r>
        <w:t>20.</w:t>
      </w:r>
      <w:r>
        <w:tab/>
        <w:t>No tendrán consideración de normas básicas aquellas prescripciones de detalle o de procedimiento que pudieran ser sustituidas por otras regulaciones asimismo complementarias o de detalle, elaboradas por las comunidades autónomas con competencia para ello (STC 141/1993) [FJ 5].</w:t>
      </w:r>
    </w:p>
    <w:p w:rsidR="005728DD" w:rsidRDefault="005728DD" w:rsidP="005728DD">
      <w:pPr>
        <w:pStyle w:val="Extracto"/>
      </w:pPr>
    </w:p>
    <w:p w:rsidR="005728DD" w:rsidRDefault="005728DD" w:rsidP="005728DD">
      <w:pPr>
        <w:pStyle w:val="Extracto"/>
      </w:pPr>
      <w:r>
        <w:t>21.</w:t>
      </w:r>
      <w:r>
        <w:tab/>
        <w:t>Quedan excluidas de la esfera de lo básico aquellas prescripciones de orden procedimental y formal, que tienen una naturaleza complementaria y auxiliar que solo de forma muy incidental guardan conexión con los principios del régimen bá</w:t>
      </w:r>
      <w:r>
        <w:lastRenderedPageBreak/>
        <w:t>sico de contratación: tales como aclaraciones o requerimientos documentales complementarios; modos de acreditación documental de la personalidad de los licitadores o de las uniones temporales de empresas; modelos de presentación de proposiciones, forma o lugar de entrega (STC 141/1993) [FJ 5].</w:t>
      </w:r>
    </w:p>
    <w:p w:rsidR="005728DD" w:rsidRDefault="005728DD" w:rsidP="005728DD">
      <w:pPr>
        <w:pStyle w:val="Extracto"/>
      </w:pPr>
    </w:p>
    <w:p w:rsidR="005728DD" w:rsidRDefault="005728DD" w:rsidP="005728DD">
      <w:pPr>
        <w:pStyle w:val="Extracto"/>
      </w:pPr>
      <w:r>
        <w:t>22.</w:t>
      </w:r>
      <w:r>
        <w:tab/>
        <w:t>Doctrina constitucional sobre la potestad autonómica de autoorganización [FJ 5].</w:t>
      </w:r>
    </w:p>
    <w:p w:rsidR="005728DD" w:rsidRDefault="005728DD" w:rsidP="005728DD">
      <w:pPr>
        <w:pStyle w:val="Extracto"/>
      </w:pPr>
    </w:p>
    <w:p w:rsidR="005728DD" w:rsidRDefault="005728DD" w:rsidP="005728DD">
      <w:pPr>
        <w:pStyle w:val="Extracto"/>
      </w:pPr>
      <w:r>
        <w:t>23.</w:t>
      </w:r>
      <w:r>
        <w:tab/>
        <w:t>La conformidad de lo dispuesto en la legislación estatal al Derecho europeo es una cuestión ajena a la jurisdicción del tribunal [FJ 6].</w:t>
      </w:r>
    </w:p>
    <w:p w:rsidR="005728DD" w:rsidRDefault="005728DD" w:rsidP="005728DD">
      <w:pPr>
        <w:pStyle w:val="Extracto"/>
      </w:pPr>
    </w:p>
    <w:p w:rsidR="005728DD" w:rsidRDefault="005728DD" w:rsidP="005728DD">
      <w:pPr>
        <w:pStyle w:val="Extracto"/>
      </w:pPr>
      <w:r>
        <w:t>24.</w:t>
      </w:r>
      <w:r>
        <w:tab/>
        <w:t>La introducción de trámites en el expediente de contratación que tienen como objeto salvaguardar las garantías de publicidad y transparencia, así como la de igualdad en el acceso al recurso, asegurando un tratamiento común para todos los operadores por parte de todas las administraciones públicas,  se encuentra amparada tanto en las competencias del Estado en materia de procedimiento administrativo que le atribuye el art. 149.1.18, como en las que le atribuye este mismo precepto constitucional para establecer la legislación básica en materia de contratos administrativos (STC 141/1993) [FJ 6].</w:t>
      </w:r>
    </w:p>
    <w:p w:rsidR="005728DD" w:rsidRDefault="005728DD" w:rsidP="005728DD">
      <w:pPr>
        <w:pStyle w:val="Extracto"/>
      </w:pPr>
    </w:p>
    <w:p w:rsidR="005728DD" w:rsidRDefault="005728DD" w:rsidP="005728DD">
      <w:pPr>
        <w:pStyle w:val="Extracto"/>
      </w:pPr>
      <w:r>
        <w:t>25.</w:t>
      </w:r>
      <w:r>
        <w:tab/>
        <w:t>La competencia para establecer el régimen de los ‘procedimientos administrativos especiales’ aplicable a las diversas formas de la actividad administrativa</w:t>
      </w:r>
      <w:r w:rsidRPr="005728DD">
        <w:rPr>
          <w:i/>
        </w:rPr>
        <w:t xml:space="preserve"> ratione materiae </w:t>
      </w:r>
      <w:r>
        <w:t>es conexa a las que, respectivamente, el Estado o las comunidades autónomas ostentan para la regulación del régimen sustantivo de cada actividad o servicio de la administración (STC 55/2018) [FJ 6].</w:t>
      </w:r>
    </w:p>
    <w:p w:rsidR="005728DD" w:rsidRDefault="005728DD" w:rsidP="005728DD">
      <w:pPr>
        <w:pStyle w:val="Extracto"/>
      </w:pPr>
    </w:p>
    <w:p w:rsidR="005728DD" w:rsidRDefault="005728DD" w:rsidP="005728DD">
      <w:pPr>
        <w:pStyle w:val="Extracto"/>
      </w:pPr>
      <w:r>
        <w:t>26.</w:t>
      </w:r>
      <w:r>
        <w:tab/>
        <w:t>El art. 139.2 CE establece un principio general aplicable tanto al Estado como a las comunidades autónomas del que cabe derivar un principio de equivalencia o reconocimiento mutuo de las decisiones ejecutivas autonómicas que afecten al mercado, si tales decisiones aplican una normativa común de la Unión Europea armonizada, una legislación estatal común o también cuando aplican normativa de una comunidad autónoma, si pese a la pluralidad de legislaciones autonómicas y a sus posibles diferencias técnicas o metodológicas, responden a un estándar que pueda ser considerado equivalente (STC 79/2017) [FJ 6].</w:t>
      </w:r>
    </w:p>
    <w:p w:rsidR="005728DD" w:rsidRDefault="005728DD" w:rsidP="005728DD">
      <w:pPr>
        <w:pStyle w:val="Extracto"/>
      </w:pPr>
    </w:p>
    <w:p w:rsidR="005728DD" w:rsidRDefault="005728DD" w:rsidP="005728DD">
      <w:pPr>
        <w:pStyle w:val="Extracto"/>
      </w:pPr>
      <w:r>
        <w:t>27.</w:t>
      </w:r>
      <w:r>
        <w:tab/>
        <w:t>El artículo 139.2 CE asegura la libre circulación de personas y bienes en todo el territorio español, por lo que proscribe las regulaciones o medidas de signo proteccionista; esto es, que dificultan injustificadamente en un territorio la comercialización de productos de otras zonas o el ejercicio de actividades empresariales por parte de personas procedentes de otros lugares. Consecuentemente, bajo el prisma del artículo 139.2 CE, cobra relevancia una única modalidad de límite o condición a la libertad empresarial: la que favorece a productos u operadores de un territorio en detrimento de los de otros lugares [FJ 6].</w:t>
      </w:r>
    </w:p>
    <w:p w:rsidR="005728DD" w:rsidRDefault="005728DD" w:rsidP="005728DD">
      <w:pPr>
        <w:pStyle w:val="Extracto"/>
      </w:pPr>
    </w:p>
    <w:p w:rsidR="005728DD" w:rsidRDefault="005728DD" w:rsidP="005728DD">
      <w:pPr>
        <w:pStyle w:val="Extracto"/>
      </w:pPr>
      <w:r>
        <w:t>28.</w:t>
      </w:r>
      <w:r>
        <w:tab/>
        <w:t>Una restricción a la libre circulación de bienes y personas será compatible con el artículo 139.2 CE solo si la autoridad pública que la ha adoptado acredita que no persigue ni produce efectos discriminatorios, por responder a un objetivo constitucionalmente legítimo y ser idónea, necesaria y proporcionada [FJ 6].</w:t>
      </w:r>
    </w:p>
    <w:p w:rsidR="005728DD" w:rsidRDefault="005728DD" w:rsidP="005728DD">
      <w:pPr>
        <w:pStyle w:val="Extracto"/>
      </w:pPr>
    </w:p>
    <w:p w:rsidR="005728DD" w:rsidRDefault="005728DD" w:rsidP="005728DD">
      <w:pPr>
        <w:pStyle w:val="Extracto"/>
      </w:pPr>
      <w:r>
        <w:lastRenderedPageBreak/>
        <w:t>29.</w:t>
      </w:r>
      <w:r>
        <w:tab/>
        <w:t>No contradice necesariamente el artículo 139.2 CE toda medida que en la práctica produzca efectos restrictivos más onerosos sobre las cosas o personas provenientes de fuera; únicamente lo hará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(SSTC 111/2017 y 7/2018) [FJ 6].</w:t>
      </w:r>
    </w:p>
    <w:p w:rsidR="005728DD" w:rsidRDefault="005728DD" w:rsidP="005728DD">
      <w:pPr>
        <w:pStyle w:val="Extracto"/>
      </w:pPr>
    </w:p>
    <w:p w:rsidR="005728DD" w:rsidRDefault="005728DD" w:rsidP="005728DD">
      <w:pPr>
        <w:pStyle w:val="Extracto"/>
      </w:pPr>
      <w:r>
        <w:t>30.</w:t>
      </w:r>
      <w:r>
        <w:tab/>
        <w:t>La normativa básica en materia de contratación pública tiene principalmente por objeto, aparte de otros fines de interés general, entre los que se encuentra la reducción de las cargas burocráticas, proporcionar, entre otras, las garantías de igualdad, libre concurrencia y seguridad jurídica que aseguren a los licitadores un tratamiento común por las administraciones (SSTC 141/1993 y 84/2015) [FJ 6].</w:t>
      </w:r>
    </w:p>
    <w:p w:rsidR="005728DD" w:rsidRDefault="005728DD" w:rsidP="005728DD">
      <w:pPr>
        <w:pStyle w:val="Extracto"/>
      </w:pPr>
    </w:p>
    <w:p w:rsidR="005728DD" w:rsidRDefault="005728DD" w:rsidP="005728DD">
      <w:pPr>
        <w:pStyle w:val="Extracto"/>
      </w:pPr>
      <w:r>
        <w:t>31.</w:t>
      </w:r>
      <w:r>
        <w:tab/>
        <w:t>Difícilmente puede ser considerada como básica una regulación que solo muy indirectamente guarda conexión con los principios generales del régimen básico en materia de contratación pública  (STC 41/1993). Sin embargo esta declaración no implica necesariamente la nulidad de tal regulación si solamente se aplica a los contratos suscritos por la Administración general del Estado y las entidades a ella vinculadas  (SSTC 50/1999 y 55/2018) [FJ 6].</w:t>
      </w:r>
    </w:p>
    <w:p w:rsidR="005728DD" w:rsidRDefault="005728DD" w:rsidP="005728DD">
      <w:pPr>
        <w:pStyle w:val="Extracto"/>
      </w:pPr>
    </w:p>
    <w:p w:rsidR="005728DD" w:rsidRDefault="005728DD" w:rsidP="005728DD">
      <w:pPr>
        <w:pStyle w:val="Extracto"/>
      </w:pPr>
      <w:r>
        <w:t>32.</w:t>
      </w:r>
      <w:r>
        <w:tab/>
        <w:t>El establecimiento de una regla mínima común, cuyo fin es asegurar la continuidad en la prestación del servicio como reverso del derecho de los usuarios a disfrutar de un servicio —en ocasiones configurado como servicio público— de una manera regular y continua, no necesariamente significa que sea de forma permanente, y se considera regulación básica para garantizar los fines públicos a los que sirve este contrato de concesión de servicios (SSTC 162/2009 y 84/2015) [FJ 7].</w:t>
      </w:r>
    </w:p>
    <w:p w:rsidR="005728DD" w:rsidRDefault="005728DD" w:rsidP="005728DD">
      <w:pPr>
        <w:pStyle w:val="Extracto"/>
      </w:pPr>
    </w:p>
    <w:p w:rsidR="005728DD" w:rsidRDefault="005728DD" w:rsidP="005728DD">
      <w:pPr>
        <w:pStyle w:val="Extracto"/>
      </w:pPr>
      <w:r>
        <w:t>33.</w:t>
      </w:r>
      <w:r>
        <w:tab/>
        <w:t>Se configuran como normas materialmente básicas aquellas mediante las cuales se pretende satisfacer el principio de sostenibilidad financiera, garantizando una eficaz, eficiente y sostenible utilización de los fondos públicos destinados a la contratación de concesiones de obras o de servicios en las que están presentes, de algún modo, las aportaciones de recursos públicos (STC 84/2015) y, a la vez, los principios de transparencia, publicidad e información (STC 141/1993) [FJ 8].</w:t>
      </w:r>
    </w:p>
    <w:p w:rsidR="005728DD" w:rsidRDefault="005728DD" w:rsidP="005728DD">
      <w:pPr>
        <w:pStyle w:val="Extracto"/>
      </w:pPr>
    </w:p>
    <w:p w:rsidR="005728DD" w:rsidRDefault="005728DD" w:rsidP="005728DD">
      <w:pPr>
        <w:pStyle w:val="Extracto"/>
      </w:pPr>
      <w:r>
        <w:t>34.</w:t>
      </w:r>
      <w:r>
        <w:tab/>
        <w:t>Un precepto de detalle procedimental, que es simplemente un complemento de los principios básicos de la contratación pública (STC 141/1993), carece de la condición de básico; por ende, resulta contrario al orden constitucional de competencias y conlleva su nulidad, en la medida en que sea de aplicación solamente en el ámbito estatal (SSTC 50/1999 y 55/2018) [FJ 8].</w:t>
      </w:r>
    </w:p>
    <w:p w:rsidR="005728DD" w:rsidRDefault="005728DD" w:rsidP="005728DD">
      <w:pPr>
        <w:pStyle w:val="Extracto"/>
      </w:pPr>
    </w:p>
    <w:p w:rsidR="005728DD" w:rsidRDefault="005728DD" w:rsidP="005728DD">
      <w:pPr>
        <w:pStyle w:val="Extracto"/>
      </w:pPr>
      <w:r>
        <w:t>35.</w:t>
      </w:r>
      <w:r>
        <w:tab/>
        <w:t xml:space="preserve">Doctrina sobre normas de aplicación supletoria cuando el Estado tiene un título competencial para establecer lo básico en materia de contratación pública </w:t>
      </w:r>
      <w:r w:rsidRPr="005728DD">
        <w:rPr>
          <w:i/>
        </w:rPr>
        <w:t>ex</w:t>
      </w:r>
      <w:r>
        <w:t xml:space="preserve"> art. 149.1.18 CE [FJ 9].</w:t>
      </w:r>
    </w:p>
    <w:p w:rsidR="005728DD" w:rsidRDefault="005728DD" w:rsidP="005728DD">
      <w:pPr>
        <w:pStyle w:val="Extracto"/>
      </w:pPr>
    </w:p>
    <w:p w:rsidR="005728DD" w:rsidRDefault="005728DD" w:rsidP="005728DD">
      <w:pPr>
        <w:pStyle w:val="Extracto"/>
      </w:pPr>
      <w:r>
        <w:t>36.</w:t>
      </w:r>
      <w:r>
        <w:tab/>
        <w:t xml:space="preserve">Solo es constitucionalmente legítimo que el legislador estatal prevea la aplicación de sus normas a las comunidades autónomas, allí donde se halla habilitado por un </w:t>
      </w:r>
      <w:r>
        <w:lastRenderedPageBreak/>
        <w:t>título competencial específico. La cláusula de supletoriedad no permite que el derecho estatal colme, sin más, la falta de regulación autonómica en una materia; el Estado no puede producir normas jurídicas meramente supletorias, excediendo el tenor de su título competencial en materia de contratación pública y penetrando en el ámbito reservado a las comunidades autónomas por la Constitución y los estatutos autonómicos (STC 118/1996) [FJ 9].</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4261-2018, promovido por el Gobierno de la Comunidad Autónoma de Aragón, contra diversos preceptos de la Ley 9/2017, de 8 de noviembre, de contratos del sector público, por la que se transponen al ordenamiento jurídico español las Directivas del Parlamento Europeo y del Consejo 2014/23/UE y 2014/24/UE, de 26 de febrero de 2014. Ha comparecido y formulado alegaciones el abogado del Estado.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Con fecha 24 de julio de 2018 tuvo entrada en el registro general de este tribunal el recurso de inconstitucionalidad interpuesto por la letrada de la Comunidad Autónoma de Aragón, en defensa y representación del Gobierno de esa comunidad, contra los siguientes artículos de la Ley 9/2017, de 8 de noviembre, de contratos del sector público, por la que se transponen al ordenamiento jurídico español las Directivas del Parlamento Europeo y del Consejo 2014/23/UE y 2014/24/UE, de 26 de febrero de 2014 (en adelante, LCSP): art. 2.3 en conexión con la disposición final primera; art. 9.2; art. 11; art. 18; arts. 26.2 y 319 en conexión con el art. 27.2 a); art. 28.4; art. 29.2; art. 30; apartados 1, 2, 4, 6 y primer párrafo de la letra b) del apartado 7 del art. 32; letra c) del apartado 2 del art. 39 en conexión con el art. 347.3; art. 41.3; letras a) y c) del apartado 1, letra e) del apartado 2 y apartado 7 del art. 44; art. 46.4; art. 49; art. 52.3; art. 58.2; art. 62; art. 63.4 y 6; art. 69.1 y 2; art. 71; art. 72; art. 73; art. 77.3; art. 80.2; art. 82.2; art. 86.3; art. 88.1 a), c) y e); párrafo segundo </w:t>
      </w:r>
      <w:r w:rsidRPr="005728DD">
        <w:rPr>
          <w:i/>
        </w:rPr>
        <w:t>in fine</w:t>
      </w:r>
      <w:r>
        <w:t xml:space="preserve"> de la letra a) y letras e) y g) del apartado 1 del art. 90; art. 99; art. 101.3; art. 103.6; art. 106; art. 107; art. 108.1; art. 111; art. 115.1 y 3; art. 117; art. 118.3 y 4; art. 121.2; art. 122; art. 125.1; art. 127.2; art. 128.2; art. 141; art. 143; art. 145; art. 146; art. 147; párrafo segundo </w:t>
      </w:r>
      <w:r>
        <w:lastRenderedPageBreak/>
        <w:t xml:space="preserve">del art. 148.3; art. 149.4 y 6; art. 150.1; párrafos segundo y tercero del art. 154.7; art. 156; art. 157; letras a) de los apartados 1 y 4 del art. 159; art. 166.2; art. 177.3 a); art. 185.3; art. 187. 3 y 11: art. 191.3 b); art. 195; párrafo segundo del art. 198.2; art. 202; art. 212.8; art. 213; art. 214.2 a) y b); art. 215; art. 217.2; art. 221; art. 226; art. 232.6, 7 y 8; art. 241.3; art. 242.3; art. 250.1 b); art. 270; art. 279; art. 280; párrafo segundo del art. 283.1; letra a) </w:t>
      </w:r>
      <w:r w:rsidRPr="005728DD">
        <w:rPr>
          <w:i/>
        </w:rPr>
        <w:t>in fine</w:t>
      </w:r>
      <w:r>
        <w:t xml:space="preserve"> del art. 288; art. 290.6; letra c) </w:t>
      </w:r>
      <w:r w:rsidRPr="005728DD">
        <w:rPr>
          <w:i/>
        </w:rPr>
        <w:t>in fine</w:t>
      </w:r>
      <w:r>
        <w:t xml:space="preserve"> del art. 294; párrafo segundo </w:t>
      </w:r>
      <w:r w:rsidRPr="005728DD">
        <w:rPr>
          <w:i/>
        </w:rPr>
        <w:t>in fine</w:t>
      </w:r>
      <w:r>
        <w:t xml:space="preserve"> del apartado 2 y apartado 3 del art. 308; art. 312; art. 331; art. 332; art. 333.3 y 6; art. 334.1; art. 335.1; art. 336.1; párrafo tercero del art. 346.3; párrafos tercero y quinto del art. 347.3; apartado 7 de la disposición adicional segunda; disposición adicional vigésima segunda, vigésima tercera y trigésima octava; disposiciones finales primera, segunda, tercera y quinta; y apartado segundo de la disposición final sexta.</w:t>
      </w:r>
    </w:p>
    <w:p w:rsidR="005728DD" w:rsidRDefault="005728DD" w:rsidP="005728DD">
      <w:pPr>
        <w:pStyle w:val="TextoNormal"/>
      </w:pPr>
    </w:p>
    <w:p w:rsidR="005728DD" w:rsidRDefault="005728DD" w:rsidP="005728DD">
      <w:pPr>
        <w:pStyle w:val="TextoNormal"/>
      </w:pPr>
      <w:r>
        <w:t>Se sostiene en la demanda que se infringen diversos preceptos que integran el bloque de constitucionalidad. Por una parte, se alega la vulneración de los arts. 9.3, 136.4, 149.1.18, 149.1.8, 148.1.3 y la disposición adicional primera de la Constitución; por otra parte, la infracción de los siguientes preceptos del Estatuto de Autonomía de Aragón, reformado por la Ley Orgánica 5/2007, de 20 de abril, (en adelante, EAAr): art. 1; apartados 1, 2, 5, 7, 9 y 10 del art. 71; apartados 11 y 12 del art. 75; art. 93.2 y la disposición adicional tercera. Además, se aduce la infracción de las Directivas del Parlamento Europeo y del Consejo 2014/23/UE y 2014/24/UE, de 26 de febrero de 2014.</w:t>
      </w:r>
    </w:p>
    <w:p w:rsidR="005728DD" w:rsidRDefault="005728DD" w:rsidP="005728DD">
      <w:pPr>
        <w:pStyle w:val="TextoNormal"/>
      </w:pPr>
    </w:p>
    <w:p w:rsidR="005728DD" w:rsidRDefault="005728DD" w:rsidP="005728DD">
      <w:pPr>
        <w:pStyle w:val="TextoNormal"/>
      </w:pPr>
      <w:r>
        <w:t>Los motivos en los que se fundamenta el recurso de inconstitucionalidad se articulan en cinco bloques, precedidos de una consideración de orden material. Se afirma que los motivos de inconstitucionalidad en los que se fundamenta el recurso son transversales y afectan conjuntamente a la mayoría de los preceptos impugnados. En primer lugar, muchos de los preceptos no han realizado una correcta transposición de las directivas europeas, de lo que se deriva que la legislación que en desarrollo de esa normativa dicte la Comunidad Autónoma de Aragón —los preceptos recurridos tienen carácter básico— infrinja también el Derecho de la Unión Europea. En segundo lugar, muchos de los preceptos recurridos prevén la posibilidad de adopción de alternativas por el órgano de contratación o por los pliegos, lo que encaja difícilmente con su carácter básico, pues a juicio del Gobierno aragonés una norma que permite la diversidad no puede ser el mínimo común denominador. Y en tercer lugar, se considera que las disposiciones finales de la Ley de contratos del sector público deberían haber dispensado a la Comunidad Autónoma de Aragón, en cuanto territorio foral, el mismo trato que a la Comunidad Foral de Navarra y a la Comunidad Autónoma del País Vasco, respetando sus derechos históricos y reconociendo su actualización.</w:t>
      </w:r>
    </w:p>
    <w:p w:rsidR="005728DD" w:rsidRDefault="005728DD" w:rsidP="005728DD">
      <w:pPr>
        <w:pStyle w:val="TextoNormal"/>
      </w:pPr>
    </w:p>
    <w:p w:rsidR="005728DD" w:rsidRDefault="005728DD" w:rsidP="005728DD">
      <w:pPr>
        <w:pStyle w:val="TextoNormal"/>
      </w:pPr>
      <w:r>
        <w:t>A continuación, se exponen de forma sucinta los motivos de impugnación:</w:t>
      </w:r>
    </w:p>
    <w:p w:rsidR="005728DD" w:rsidRDefault="005728DD" w:rsidP="005728DD">
      <w:pPr>
        <w:pStyle w:val="TextoNormal"/>
      </w:pPr>
    </w:p>
    <w:p w:rsidR="005728DD" w:rsidRDefault="005728DD" w:rsidP="005728DD">
      <w:pPr>
        <w:pStyle w:val="TextoNormal"/>
      </w:pPr>
      <w:r>
        <w:t>a) Alteración del sistema constitucional de distribución de competencias y vulneración del principio de neutralidad en la trasposición del Derecho de la Unión Europea.</w:t>
      </w:r>
    </w:p>
    <w:p w:rsidR="005728DD" w:rsidRDefault="005728DD" w:rsidP="005728DD">
      <w:pPr>
        <w:pStyle w:val="TextoNormal"/>
      </w:pPr>
    </w:p>
    <w:p w:rsidR="005728DD" w:rsidRDefault="005728DD" w:rsidP="005728DD">
      <w:pPr>
        <w:pStyle w:val="TextoNormal"/>
      </w:pPr>
      <w:r>
        <w:t>Con apoyo en la doctrina de este Tribunal Constitucional (STC 141/1993, de 22 de abril, FJ 2) y el art. 93.2 EAAr, invoca el Gobierno aragonés el principio de neutralidad en la trasposición de la normativa comunitaria, así como su competencia para el desarrollo normativo y ejecución de la legislación básica en materia de contratación de acuerdo con el art. 149.1.18 CE y los arts. 75.11 y 12 EAAr.</w:t>
      </w:r>
    </w:p>
    <w:p w:rsidR="005728DD" w:rsidRDefault="005728DD" w:rsidP="005728DD">
      <w:pPr>
        <w:pStyle w:val="TextoNormal"/>
      </w:pPr>
    </w:p>
    <w:p w:rsidR="005728DD" w:rsidRDefault="005728DD" w:rsidP="005728DD">
      <w:pPr>
        <w:pStyle w:val="TextoNormal"/>
      </w:pPr>
      <w:r>
        <w:lastRenderedPageBreak/>
        <w:t>Con base en lo anterior y por alterar el sistema constitucional de distribución de competencias, se impugna, en primer lugar, los apartados 1, 3 y 4 de la disposición final primera y, por su conexión con esta, el art. 2.3 LCSP, por atribuir carácter básico a preceptos que carecen de tal carácter, cercenando con ello, por vaciamiento, las competencias autonómicas.</w:t>
      </w:r>
    </w:p>
    <w:p w:rsidR="005728DD" w:rsidRDefault="005728DD" w:rsidP="005728DD">
      <w:pPr>
        <w:pStyle w:val="TextoNormal"/>
      </w:pPr>
    </w:p>
    <w:p w:rsidR="005728DD" w:rsidRDefault="005728DD" w:rsidP="005728DD">
      <w:pPr>
        <w:pStyle w:val="TextoNormal"/>
      </w:pPr>
      <w:r>
        <w:t>Las disposiciones finales segunda y tercera LCSP son inconstitucionales por no reconocer a la Comunidad Autónoma de Aragón su carácter de territorio foral —tal como se deriva del art. 1 y la disposición adicional tercera del EAAr— y no dispensarle, por ello, el mismo trato que a las comunidades de Navarra y el País Vasco. En todo caso, los citados preceptos se deberían interpretar por el Tribunal Constitucional de manera que el régimen jurídico en ellos previsto se extienda también a Aragón.</w:t>
      </w:r>
    </w:p>
    <w:p w:rsidR="005728DD" w:rsidRDefault="005728DD" w:rsidP="005728DD">
      <w:pPr>
        <w:pStyle w:val="TextoNormal"/>
      </w:pPr>
    </w:p>
    <w:p w:rsidR="005728DD" w:rsidRDefault="005728DD" w:rsidP="005728DD">
      <w:pPr>
        <w:pStyle w:val="TextoNormal"/>
      </w:pPr>
      <w:r>
        <w:t>Por último, la disposición final quinta se considera inconstitucional por afirmar sin matices que mediante la Ley de contratos del sector público se incorporan al ordenamiento jurídico las directivas europeas, lo que supone declarar agotada dicha trasposición y eliminar la posibilidad de que las comunidades autónomas en general y, en particular, Aragón puedan ejercer sus competencias en la materia.</w:t>
      </w:r>
    </w:p>
    <w:p w:rsidR="005728DD" w:rsidRDefault="005728DD" w:rsidP="005728DD">
      <w:pPr>
        <w:pStyle w:val="TextoNormal"/>
      </w:pPr>
    </w:p>
    <w:p w:rsidR="005728DD" w:rsidRDefault="005728DD" w:rsidP="005728DD">
      <w:pPr>
        <w:pStyle w:val="TextoNormal"/>
      </w:pPr>
      <w:r>
        <w:t>b) Vulneración de la doctrina constitucional sobre la legislación básica.</w:t>
      </w:r>
    </w:p>
    <w:p w:rsidR="005728DD" w:rsidRDefault="005728DD" w:rsidP="005728DD">
      <w:pPr>
        <w:pStyle w:val="TextoNormal"/>
      </w:pPr>
    </w:p>
    <w:p w:rsidR="005728DD" w:rsidRDefault="005728DD" w:rsidP="005728DD">
      <w:pPr>
        <w:pStyle w:val="TextoNormal"/>
      </w:pPr>
      <w:r>
        <w:t>De acuerdo con la doctrina de este tribunal sobre la legislación básica con carácter general y, en particular, en materia de contratación pública (STC 141/1993, FJ 5), se argumenta en la demanda que la normativa básica en materia de contratación tiene como objeto principal proporcionar las garantías de respeto y cumplimiento de los principios de publicidad, igualdad, libre concurrencia y seguridad jurídica que aseguren a los ciudadanos un común tratamiento por parte de todas las administraciones públicas, pero no toda normativa que incida en estos aspectos debe ser considerada básica. Por no tener el carácter de básicos, son objeto de impugnación los siguientes preceptos: art. 9.2; art. 11; art. 18; art. 29.2; apartados 1, 2, 4 y 6 del art. 32; art. 52.3; art. 69.1; art. 71; art. 72; art. 73; art. 82.2; art. 88.1 a); art. 99; art. 101.3; art. 106; art. 107; art. 108.1; art. 111; art. 115.1 y 3; art. 117; art. 121.2; art. 122; art. 125.1; art. 127.2; art. 143; art. 145; art. 146; párrafo segundo del art. 148.3; art. 149.4 y 6; art. 156; art. 157; art. 185.3; art. 187.3; párrafo segundo del art. 198.2; art. 202; art. 212.8; art. 215; art. 221; art. 226; art. 232.6, 7 y 8; art. 241.3; art. 242.3; párrafo segundo del art. 283.1; art. 308.3; art. 312; art. 336.1 y el apartado 7 de la disposición adicional segunda, relativa a la contratación de los entes locales.</w:t>
      </w:r>
    </w:p>
    <w:p w:rsidR="005728DD" w:rsidRDefault="005728DD" w:rsidP="005728DD">
      <w:pPr>
        <w:pStyle w:val="TextoNormal"/>
      </w:pPr>
    </w:p>
    <w:p w:rsidR="005728DD" w:rsidRDefault="005728DD" w:rsidP="005728DD">
      <w:pPr>
        <w:pStyle w:val="TextoNormal"/>
      </w:pPr>
      <w:r>
        <w:t>Se aduce en el recurso que no puede atribuirse el carácter de básico a aquellos preceptos que establecen una regulación de detalle o de procedimiento, que sin mermar la eficacia de los citados principios básicos, pudieran ser sustituidos por otras regulaciones complementarias o de detalle, elaboradas por las comunidades autónomas con competencia para ello. Y esto es lo que, según el recurrente, ocurre en este caso, pues los preceptos de la Ley de contratos del sector público objeto de impugnación impiden o limitan la posibilidad de desarrollo legislativo por la Comunidad Autónoma de Aragón. Se alega también que dichos preceptos invaden otros títulos competenciales autonómicos, en materia de procedimientos especiales, urbanismo o vivienda, y colisionan con la potestad de autoorganización de la comunidad autónoma.</w:t>
      </w:r>
    </w:p>
    <w:p w:rsidR="005728DD" w:rsidRDefault="005728DD" w:rsidP="005728DD">
      <w:pPr>
        <w:pStyle w:val="TextoNormal"/>
      </w:pPr>
    </w:p>
    <w:p w:rsidR="005728DD" w:rsidRDefault="005728DD" w:rsidP="005728DD">
      <w:pPr>
        <w:pStyle w:val="TextoNormal"/>
      </w:pPr>
      <w:r>
        <w:lastRenderedPageBreak/>
        <w:t>Además, se sostiene que el hecho de que algunos de los preceptos de la Ley de contratos del sector público traspongan el contenido de otros incluidos en las directivas europeas, es insuficiente en orden a dilucidar la corrección de su calificación como básicos. Y, por otra parte, se pone de manifiesto que la trasposición ha omitido algunos preceptos comunitarios o los ha incorporado con cambios, dotando al conjunto de carácter básico. El Gobierno de Aragón considera que esta normativa, al ser básica, se impone a la comunidad autónoma, a pesar de su obligación de respetar el principio de prevalencia del Derecho europeo.</w:t>
      </w:r>
    </w:p>
    <w:p w:rsidR="005728DD" w:rsidRDefault="005728DD" w:rsidP="005728DD">
      <w:pPr>
        <w:pStyle w:val="TextoNormal"/>
      </w:pPr>
    </w:p>
    <w:p w:rsidR="005728DD" w:rsidRDefault="005728DD" w:rsidP="005728DD">
      <w:pPr>
        <w:pStyle w:val="TextoNormal"/>
      </w:pPr>
      <w:r>
        <w:t>c) Establecimiento de normas de aplicación supletoria.</w:t>
      </w:r>
    </w:p>
    <w:p w:rsidR="005728DD" w:rsidRDefault="005728DD" w:rsidP="005728DD">
      <w:pPr>
        <w:pStyle w:val="TextoNormal"/>
      </w:pPr>
    </w:p>
    <w:p w:rsidR="005728DD" w:rsidRDefault="005728DD" w:rsidP="005728DD">
      <w:pPr>
        <w:pStyle w:val="TextoNormal"/>
      </w:pPr>
      <w:r>
        <w:t>Se impugnan también varios preceptos que, según el Gobierno de Aragón, contienen una habilitación a los pliegos o a los órganos de contratación, o que se remiten a la legislación autonómica para definir alguna cuestión y, a la vez, disponen una regulación de aplicación supletoria sobre esa misma cuestión. Se sostiene que se vulnera la doctrina del Tribunal Constitucional acerca de la cláusula de supletoriedad del Derecho estatal del art. 149.3 CE (SSTC 188/1996 y 61/1997); en concreto, que dicha cláusula no puede operar como regla atributiva de competencias, debiendo el Estado invocar un título competencial específico que le habilite para dictar el derecho supletorio. En este caso, se argumenta que el Estado no puede, al amparo de su competencia para establecer la legislación básica en materia de contratación, dictar normas supletorias; y esta es la infracción constitucional que se reprocha al art. 41.3; art. 46.4; art. 99.7; art. 107; art. 128.2; art. 141, y art. 147; y también a la ya recurrida disposición final primera.</w:t>
      </w:r>
    </w:p>
    <w:p w:rsidR="005728DD" w:rsidRDefault="005728DD" w:rsidP="005728DD">
      <w:pPr>
        <w:pStyle w:val="TextoNormal"/>
      </w:pPr>
    </w:p>
    <w:p w:rsidR="005728DD" w:rsidRDefault="005728DD" w:rsidP="005728DD">
      <w:pPr>
        <w:pStyle w:val="TextoNormal"/>
      </w:pPr>
      <w:r>
        <w:t>d) Infracción de la potestad de autoorganización de la Comunidad Autónoma de Aragón.</w:t>
      </w:r>
    </w:p>
    <w:p w:rsidR="005728DD" w:rsidRDefault="005728DD" w:rsidP="005728DD">
      <w:pPr>
        <w:pStyle w:val="TextoNormal"/>
      </w:pPr>
    </w:p>
    <w:p w:rsidR="005728DD" w:rsidRDefault="005728DD" w:rsidP="005728DD">
      <w:pPr>
        <w:pStyle w:val="TextoNormal"/>
      </w:pPr>
      <w:r>
        <w:t xml:space="preserve">En aplicación del principio de neutralidad en la trasposición del Derecho comunitario, recuerda la letrada del Gobierno de Aragón, que el hecho de que la Directiva 2014/24/UE contemple cuestiones de gobernanza, planificación y organización, no supone una alteración de los criterios de distribución competencial. Es por ello que, conforme a la doctrina del Tribunal Constitucional (SSTC 50/1999 y 55/2018), se recurren un conjunto de preceptos que vulneran la potestad de autoorganización autonómica. Son los siguientes: art. 28.4; 30; apartados 1, 2, 4, 6 y primer párrafo de la letra b) del apartado 7 del art. 32; art. 39.2 c) por conexión con el art. 347.3; letras a) y c) del apartado 1, y letras e) y f) del apartado 2 y el apartado 7 del art. 44; art. 46.4; art. 49; art. 58.2; art. 62; art. 63.4 y 6; art. 69.2; párrafos primero y segundo del art. 72.3; párrafo tercero del art. 73.1; art. 77.3; art. 80.2; párrafo segundo </w:t>
      </w:r>
      <w:r w:rsidRPr="005728DD">
        <w:rPr>
          <w:i/>
        </w:rPr>
        <w:t>in fine</w:t>
      </w:r>
      <w:r>
        <w:t xml:space="preserve"> del art. 90.1 a); art. 103.6; art. 118.6 por conexión con el art. 63.4; art. 147; art. 150.1; párrafos segundo y tercero del art. 154.7; art. 159.1 a) y 4 a); art. 177.3 a); art. 187.11; art. 191.3 b); art. 214.2 a) y b); art. 215.2; art. 217.2; art. 294 c) </w:t>
      </w:r>
      <w:r w:rsidRPr="005728DD">
        <w:rPr>
          <w:i/>
        </w:rPr>
        <w:t>in fine</w:t>
      </w:r>
      <w:r>
        <w:t xml:space="preserve">; párrafo segundo </w:t>
      </w:r>
      <w:r w:rsidRPr="005728DD">
        <w:rPr>
          <w:i/>
        </w:rPr>
        <w:t>in fine</w:t>
      </w:r>
      <w:r>
        <w:t xml:space="preserve"> del art. 308.2; art. 331; art. 332; art. 333.3 y 6; art. 334.1; art. 335.1; párrafo tercero del art. 346.3, y párrafos tercero y quinto del art. 347.3. Y además, las disposiciones adicionales vigésima segunda, vigésima tercera y trigésima octava; así como, nuevamente los apartados 3 y 4 de la disposición final primera, y el apartado 2 de la disposición final sexta.</w:t>
      </w:r>
    </w:p>
    <w:p w:rsidR="005728DD" w:rsidRDefault="005728DD" w:rsidP="005728DD">
      <w:pPr>
        <w:pStyle w:val="TextoNormal"/>
      </w:pPr>
    </w:p>
    <w:p w:rsidR="005728DD" w:rsidRDefault="005728DD" w:rsidP="005728DD">
      <w:pPr>
        <w:pStyle w:val="TextoNormal"/>
      </w:pPr>
      <w:r>
        <w:t xml:space="preserve">Se sostiene, por la letrada del Gobierno de Aragón, que la calificación como básicos de preceptos relativos a la organización y la planificación de la actividad contractual lesiona las competencias autonómicas en materia de autoorganización (art. 71.1 EAAr); en materia </w:t>
      </w:r>
      <w:r>
        <w:lastRenderedPageBreak/>
        <w:t>de procedimiento administrativo derivado de sus especialidades organizativas (art. 71.7 EAAr) y, por supuesto, en materia de contratación (art. 75.12 EAAr).</w:t>
      </w:r>
    </w:p>
    <w:p w:rsidR="005728DD" w:rsidRDefault="005728DD" w:rsidP="005728DD">
      <w:pPr>
        <w:pStyle w:val="TextoNormal"/>
      </w:pPr>
    </w:p>
    <w:p w:rsidR="005728DD" w:rsidRDefault="005728DD" w:rsidP="005728DD">
      <w:pPr>
        <w:pStyle w:val="TextoNormal"/>
      </w:pPr>
      <w:r>
        <w:t>e) Otras vulneraciones del concepto material de bases.</w:t>
      </w:r>
    </w:p>
    <w:p w:rsidR="005728DD" w:rsidRDefault="005728DD" w:rsidP="005728DD">
      <w:pPr>
        <w:pStyle w:val="TextoNormal"/>
      </w:pPr>
    </w:p>
    <w:p w:rsidR="005728DD" w:rsidRDefault="005728DD" w:rsidP="005728DD">
      <w:pPr>
        <w:pStyle w:val="TextoNormal"/>
      </w:pPr>
      <w:r>
        <w:t xml:space="preserve">Finalmente, entiende el Gobierno de Aragón que una serie de preceptos de la Ley de contratos del sector público vulneran el concepto material de bases que ha establecido el Tribunal Constitucional, pues la regulación en ellos contenida no puede considerarse el mínimo común denominador normativo. Estos preceptos son el arts. 26.2 y 319 en conexión con el art. 27.2 a); art. 72.5; art. 86.3; letras c) y e) del art. 88.1; letras e) y g) del art. 90.1; art. 99.3, 4 y 5; art. 107; art. 118.3; art. 166.2; art. 195; art. 213; art. 250.1 b); art. 270; art. 279; art. 280; art. 288 letra a) </w:t>
      </w:r>
      <w:r w:rsidRPr="005728DD">
        <w:rPr>
          <w:i/>
        </w:rPr>
        <w:t>in fine</w:t>
      </w:r>
      <w:r>
        <w:t>; art. 290.6, y nuevamente, la disposición final primera.</w:t>
      </w:r>
    </w:p>
    <w:p w:rsidR="005728DD" w:rsidRDefault="005728DD" w:rsidP="005728DD">
      <w:pPr>
        <w:pStyle w:val="TextoNormal"/>
      </w:pPr>
    </w:p>
    <w:p w:rsidR="005728DD" w:rsidRDefault="005728DD" w:rsidP="005728DD">
      <w:pPr>
        <w:pStyle w:val="TextoNormal"/>
      </w:pPr>
      <w:r>
        <w:t>A juicio de la letrada del Gobierno de Aragón, los mencionados preceptos exceden con claridad de la mera fijación de pautas que proporcionen las garantías de publicidad, igualdad, libre concurrencia y seguridad jurídica que aseguren a los ciudadanos un tratamiento común por parte de todas las administraciones públicas. El grado de detalle de estos preceptos impide a las comunidades autónomas aplicar soluciones que, siendo compatibles con los anteriores principios básicos, podrían salvaguardar mejor los intereses públicos. Del mismo modo, se sostiene que el exceso en el ejercicio de la competencia sobre legislación básica produce un efecto de sobre-regulación que, además de generar incongruencias, afecta y supone una quiebra de la seguridad jurídica.</w:t>
      </w:r>
    </w:p>
    <w:p w:rsidR="005728DD" w:rsidRDefault="005728DD" w:rsidP="005728DD">
      <w:pPr>
        <w:pStyle w:val="TextoNormal"/>
      </w:pPr>
    </w:p>
    <w:p w:rsidR="005728DD" w:rsidRDefault="005728DD" w:rsidP="005728DD">
      <w:pPr>
        <w:pStyle w:val="TextoNormal"/>
      </w:pPr>
      <w:r>
        <w:t>Se alega, además, que algunos de los preceptos recurridos incurren en un exceso de discrecionalidad, por lo que su aplicación obliga a efectuar una motivación que, por el rigor que exige, puede incidir negativamente en la gestión administrativa y dificultar el desarrollo normal de la actividad contractual de la administración, así como comprometer la seguridad jurídica.</w:t>
      </w:r>
    </w:p>
    <w:p w:rsidR="005728DD" w:rsidRDefault="005728DD" w:rsidP="005728DD">
      <w:pPr>
        <w:pStyle w:val="TextoNormal"/>
      </w:pPr>
    </w:p>
    <w:p w:rsidR="005728DD" w:rsidRDefault="005728DD" w:rsidP="005728DD">
      <w:pPr>
        <w:pStyle w:val="TextoNormal"/>
      </w:pPr>
      <w:r>
        <w:t>Por último, se considera que algunos de los preceptos impugnados alteran también el equilibrio contractual que debe regir entre las partes del contrato, al situar en una posición de desventaja a la administración pública frente al contratista. Así ocurre, según la letrada del Gobierno de Aragón, en el ámbito de la programación de la actividad contractual, en determinadas prohibiciones de contratar, en los plazos de ejecución, en la resolución del contrato y, fundamentalmente, en la regulación de las concesiones administrativas, que alteran el principio de riesgo y ventura que soporta el contratista con carácter general.</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6 de septiembre de 2018, el Pleno del tribunal, a propuesta de la Sección Tercera, acordó admitir a trámite el presente recurso de inconstitucionalidad; dar traslado de la demanda y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estimaran convenientes. Finalmente, se acordó publicar la incoación del recurso en el “Boletín Oficial del Estado”.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El abogado del Estado, por escrito registrado en este tribunal el 12 de septiembre de 2018, manifestó que se personaba en nombre del Gobierno y solicitó prórroga por el máximo legal del plazo concedido para formular alegaciones, habida cuenta del número de asuntos que penden ante la abogacía del Estado. Por providencia de 12 de septiembre de 2018, el Pleno acordó dar por personado al abogado del Estado, en la representación que legalmente ostenta, y prorrogarle en ocho días el plazo concedido por providencia de 6 de septiembre de 2018.</w:t>
      </w:r>
    </w:p>
    <w:p w:rsidR="005728DD" w:rsidRDefault="005728DD" w:rsidP="005728DD">
      <w:pPr>
        <w:pStyle w:val="TextoNormal"/>
      </w:pPr>
    </w:p>
    <w:p w:rsidR="005728DD" w:rsidRDefault="005728DD" w:rsidP="005728DD">
      <w:pPr>
        <w:pStyle w:val="TextoNormal"/>
      </w:pPr>
      <w:r w:rsidRPr="005728DD">
        <w:rPr>
          <w:rStyle w:val="NumeroAFNegritaCaracter"/>
        </w:rPr>
        <w:t>4</w:t>
      </w:r>
      <w:r>
        <w:t>. Por escrito registrado en este tribunal el 13 de septiembre de 2018, la presidenta del Congreso de los Diputados comunicó que la mesa de la Cámara había acordado dar por personada a esta Cámara en el procedimiento y por ofrecida su colaboración a los efectos del art. 88.1 LOTC; y asimismo, remitir el recurso a la Dirección de estudios, análisis y publicaciones y a la asesoría jurídica de la Secretaría General. A su vez, el presidente del Senado interesó, por escrito registrado con fecha 19 de septiembre de 2018, que se tuviera por personada a dicha Cámara en este procedimiento y por ofrecida su colaboración a los efectos del art. 88.1 LOTC.</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registrado con fecha 10 de octubre de 2018, el abogado del Estado formula sus alegaciones interesando la desestimación del recurso por los motivos que sucintamente se exponen a continuación:</w:t>
      </w:r>
    </w:p>
    <w:p w:rsidR="005728DD" w:rsidRDefault="005728DD" w:rsidP="005728DD">
      <w:pPr>
        <w:pStyle w:val="TextoNormal"/>
      </w:pPr>
    </w:p>
    <w:p w:rsidR="005728DD" w:rsidRDefault="005728DD" w:rsidP="005728DD">
      <w:pPr>
        <w:pStyle w:val="TextoNormal"/>
      </w:pPr>
      <w:r>
        <w:t>A) Consideraciones previas de carácter general.</w:t>
      </w:r>
    </w:p>
    <w:p w:rsidR="005728DD" w:rsidRDefault="005728DD" w:rsidP="005728DD">
      <w:pPr>
        <w:pStyle w:val="TextoNormal"/>
      </w:pPr>
    </w:p>
    <w:p w:rsidR="005728DD" w:rsidRDefault="005728DD" w:rsidP="005728DD">
      <w:pPr>
        <w:pStyle w:val="TextoNormal"/>
      </w:pPr>
      <w:r>
        <w:t>La abogacía del Estado dedica las primeras ocho alegaciones de su escrito a formular un conjunto de consideraciones sobre el objeto del recurso, el encuadramiento competencial y la doctrina del Tribunal Constitucional, así como cuestionar la foralidad de la Comunidad Autónoma de Aragón y denunciar el incumplimiento de la carga de argumentar. De forma sintética, las alegaciones son las siguientes:</w:t>
      </w:r>
    </w:p>
    <w:p w:rsidR="005728DD" w:rsidRDefault="005728DD" w:rsidP="005728DD">
      <w:pPr>
        <w:pStyle w:val="TextoNormal"/>
      </w:pPr>
    </w:p>
    <w:p w:rsidR="005728DD" w:rsidRDefault="005728DD" w:rsidP="005728DD">
      <w:pPr>
        <w:pStyle w:val="TextoNormal"/>
      </w:pPr>
      <w:r>
        <w:t>a) El objeto del recurso es la Ley de contratos del sector público, a través de la cual se incorporan al ordenamiento jurídico interno la Directiva 2014/23/UE, del Parlamento Europeo y del Consejo, de 26 de febrero, relativa a la adjudicación de contratos de concesión, y la Directiva 2014/24/UE, del Parlamento Europeo y del Consejo, de 26 de febrero, sobre contratación pública. La nueva regulación, como recuerda el abogado del Estado, tiene entre sus finalidades: i) mejorar la eficiencia en la contratación pública, realizando ajustes y modificaciones en la regulación de la materia para atender a las nuevas circunstancias existentes y corregir disfunciones en su aplicación; ii) mejorar la transparencia en la contratación pública, al tratarse de un sector expuesto a los riesgos de gestión irregular, fraude y corrupción; iii) simplificar y abaratar la gestión de los procedimientos de contratación pública y permitir un mayor acceso de las pequeñas y medianas empresas a dichos procedimientos; y iv) conseguir objetivos de tipo social, medio ambiental, de innovación y de defensa de la competencia.</w:t>
      </w:r>
    </w:p>
    <w:p w:rsidR="005728DD" w:rsidRDefault="005728DD" w:rsidP="005728DD">
      <w:pPr>
        <w:pStyle w:val="TextoNormal"/>
      </w:pPr>
    </w:p>
    <w:p w:rsidR="005728DD" w:rsidRDefault="005728DD" w:rsidP="005728DD">
      <w:pPr>
        <w:pStyle w:val="TextoNormal"/>
      </w:pPr>
      <w:r>
        <w:t xml:space="preserve">b) Atendiendo a las competencias estatales (art. 149.1.18 CE) y autonómicas (art. 75.11 y 12 EAAr), y en clara sintonía con el criterio de este Tribunal Constitucional (SSTC </w:t>
      </w:r>
      <w:r>
        <w:lastRenderedPageBreak/>
        <w:t>141/1993, 331/1993 y 162/2009), la abogacía del Estado considera que el título competencial prevalente para resolver la presente controversia, según el art. 148.1.18 CE, es el relativo a la “legislación básica sobre contratos”.</w:t>
      </w:r>
    </w:p>
    <w:p w:rsidR="005728DD" w:rsidRDefault="005728DD" w:rsidP="005728DD">
      <w:pPr>
        <w:pStyle w:val="TextoNormal"/>
      </w:pPr>
    </w:p>
    <w:p w:rsidR="005728DD" w:rsidRDefault="005728DD" w:rsidP="005728DD">
      <w:pPr>
        <w:pStyle w:val="TextoNormal"/>
      </w:pPr>
      <w:r>
        <w:t>c) Se expone, a continuación, la doctrina constitucional sobre el concepto formal y material de lo “básico”, tanto con carácter general, como en relación con la materia de contratación pública. A estos efectos, recuerda el abogado del Estado que corresponde a este tribunal deducir, en última instancia, si la norma es o no materialmente básica (STC 141/1993, FJ 3) y que la finalidad principal de lo básico es garantizar a los ciudadanos un tratamiento común ante las distintas administraciones, por lo que tendrá mayor intensidad cuando se trate de regular actividades de eficacia externa, que cuando se trate de cuestiones puramente organizativas de incidencia exclusivamente interna. Asimismo, se subraya que la normativa básica en contratación pública tiene como principal objeto “proporcionar las garantías de publicidad, igualdad, libre concurrencia y seguridad jurídica que aseguren a los ciudadanos un tratamiento común por parte de todas las administraciones públicas” (STC 141/1993, FJ 5).</w:t>
      </w:r>
    </w:p>
    <w:p w:rsidR="005728DD" w:rsidRDefault="005728DD" w:rsidP="005728DD">
      <w:pPr>
        <w:pStyle w:val="TextoNormal"/>
      </w:pPr>
    </w:p>
    <w:p w:rsidR="005728DD" w:rsidRDefault="005728DD" w:rsidP="005728DD">
      <w:pPr>
        <w:pStyle w:val="TextoNormal"/>
      </w:pPr>
      <w:r>
        <w:t>d) En relación con la vulneración del principio de neutralidad en la trasposición de las directivas, entiende la representación procesal del Estado que se trata de una alegación que carece de sustantividad autónoma y deberá reconducirse a la determinación del carácter básico o no de las normas de trasposición que hayan sido calificadas como básicas por la disposición final primera de la Ley de contratos del sector público. Conforme a la doctrina de este tribunal, el derecho comunitario no es en sí mismo canon o parámetro directo de constitucionalidad en los procesos constitucionales (SSTC 165/2016 y 117/2017); ello, sin perjuicio, de que prestar atención a cómo se ha configurado una institución por la directiva comunitaria puede ser no solo útil, sino necesario para aplicar correctamente sobre ella el esquema competencial.</w:t>
      </w:r>
    </w:p>
    <w:p w:rsidR="005728DD" w:rsidRDefault="005728DD" w:rsidP="005728DD">
      <w:pPr>
        <w:pStyle w:val="TextoNormal"/>
      </w:pPr>
    </w:p>
    <w:p w:rsidR="005728DD" w:rsidRDefault="005728DD" w:rsidP="005728DD">
      <w:pPr>
        <w:pStyle w:val="TextoNormal"/>
      </w:pPr>
      <w:r>
        <w:t>e) Sobre el reconocimiento de Aragón como comunidad foral, motivo por el que se impugnan las disposiciones finales segunda y tercera de la Ley de contratos del sector público, por vulneración de la disposición adicional primera de la Constitución Española en relación con la disposición adicional tercera del Estatuto de Autonomía de Aragón, el abogado del Estado rechaza tal posibilidad con base en la doctrina del Tribunal Constitucional. Recuerda la abogacía del Estado dos cosas: primero, que la disposición adicional tercera del Estatuto de Autonomía de Aragón  no constituye canon de validez de las normas o disposiciones estatutarias y autonómicas. Y segundo, que la disposición adicional primera de la Constitución Española no tiene como fin garantizar u ordenar el régimen constitucional de la foralidad civil, sino permitir la integración y actualización en el ordenamiento postconstitucional, con los límites que dicha disposición marca, de algunas de las peculiaridades jurídico-públicas que en el pasado singularizaron a determinadas partes del territorio del Estado.</w:t>
      </w:r>
    </w:p>
    <w:p w:rsidR="005728DD" w:rsidRDefault="005728DD" w:rsidP="005728DD">
      <w:pPr>
        <w:pStyle w:val="TextoNormal"/>
      </w:pPr>
    </w:p>
    <w:p w:rsidR="005728DD" w:rsidRDefault="005728DD" w:rsidP="005728DD">
      <w:pPr>
        <w:pStyle w:val="TextoNormal"/>
      </w:pPr>
      <w:r>
        <w:t xml:space="preserve">f) La vulneración de la potestad organizatoria es delimitada por la abogacía del Estado con base, una vez más, en la doctrina constitucional. Por una parte, recuerda que se trata de una potestad exclusiva e inherente a la autonomía, que comporta la potestad de crear, modificar o suprimir órganos o entidades que las configuren o dependan de ellas, así como la facultad de conformar libremente, sin intervención del Estado, su aparato administrativo (STC 47/2001). Por otra parte, señala que dicha potestad debe respetar y, en su caso, desarrollar las bases establecidas por el Estado (STC 227/1988), y que la propia Ley de contratos </w:t>
      </w:r>
      <w:r>
        <w:lastRenderedPageBreak/>
        <w:t>del sector público consagra, en el apartado cuarto de su disposición final primera, un reconocimiento expreso de la potestad organizatoria.</w:t>
      </w:r>
    </w:p>
    <w:p w:rsidR="005728DD" w:rsidRDefault="005728DD" w:rsidP="005728DD">
      <w:pPr>
        <w:pStyle w:val="TextoNormal"/>
      </w:pPr>
    </w:p>
    <w:p w:rsidR="005728DD" w:rsidRDefault="005728DD" w:rsidP="005728DD">
      <w:pPr>
        <w:pStyle w:val="TextoNormal"/>
      </w:pPr>
      <w:r>
        <w:t>g) Frente a la alegada vulneración de la doctrina sobre supletoriedad estatal como criterio de atribución de competencias, la Abogacía del Estado entiende que, salvo en un supuesto, los preceptos de la Ley de contratos del sector público establecen reglas generales y excepciones, conjunto normativo que tiene carácter de básico. Además, recuerda que la doctrina sobre la supletoriedad ha sido matizada por el Tribunal Constitucional cuando se trata de incorporar el Derecho europeo (STC 130/2013). De este modo, las normas estatales que no sean simple trasposición de las comunitarias, sino que sirvan de desarrollo o complemento de estas, solo pueden tener aplicación directa, bien cuando hayan de ser consideradas normas básicas de ordenación del sector, bien cuando la existencia de una regulación común esté justificada por razones de coordinación de las actividades del Estado y de las comunidades autónomas. Con estas salvedades, las comunidades autónomas pueden adoptar las disposiciones necesarias para complementar la normativa europea y regular las cuestiones que les correspondan, en el marco del Derecho europeo y de las normas estatales de carácter básico o coordinación.</w:t>
      </w:r>
    </w:p>
    <w:p w:rsidR="005728DD" w:rsidRDefault="005728DD" w:rsidP="005728DD">
      <w:pPr>
        <w:pStyle w:val="TextoNormal"/>
      </w:pPr>
    </w:p>
    <w:p w:rsidR="005728DD" w:rsidRDefault="005728DD" w:rsidP="005728DD">
      <w:pPr>
        <w:pStyle w:val="TextoNormal"/>
      </w:pPr>
      <w:r>
        <w:t>h) Por último, de acuerdo con la doctrina de este tribunal (STC 98/2018), el abogado del Estado entiende que el escrito de interposición incurre repetidamente en impugnaciones globales de preceptos, en las que se limita a denunciar su excesivo detalle, sin detenerse siquiera a examinar su texto. En particular, sostiene la abogacía del Estado que el recurso carece de fundamentación en un aspecto clave como es la explicación de por qué cada uno de los preceptos legales de los que se predica falta de carácter básico, adolece precisamente de ese defecto competencial. Se vulnera de este modo la doctrina constitucional que, en relación con el alcance de lo básico, “impide las descalificaciones globales imprecisas, exigiendo, por el contrario, la fundamentación concreta de por qué en cada caso debe entenderse vulnerado el bloque de constitucionalidad” (STC 132/1989).</w:t>
      </w:r>
    </w:p>
    <w:p w:rsidR="005728DD" w:rsidRDefault="005728DD" w:rsidP="005728DD">
      <w:pPr>
        <w:pStyle w:val="TextoNormal"/>
      </w:pPr>
    </w:p>
    <w:p w:rsidR="005728DD" w:rsidRDefault="005728DD" w:rsidP="005728DD">
      <w:pPr>
        <w:pStyle w:val="TextoNormal"/>
      </w:pPr>
      <w:r>
        <w:t>B) Vulneración de la doctrina constitucional sobre la legislación básica.</w:t>
      </w:r>
    </w:p>
    <w:p w:rsidR="005728DD" w:rsidRDefault="005728DD" w:rsidP="005728DD">
      <w:pPr>
        <w:pStyle w:val="TextoNormal"/>
      </w:pPr>
    </w:p>
    <w:p w:rsidR="005728DD" w:rsidRDefault="005728DD" w:rsidP="005728DD">
      <w:pPr>
        <w:pStyle w:val="TextoNormal"/>
      </w:pPr>
      <w:r>
        <w:t>Bajo este epígrafe, el abogado del Estado examina cada uno de los preceptos de la Ley de contratos del sector público que han sido objeto de impugnación. Además de subrayar que en muchos casos estamos ante un déficit argumental absoluto (arts. 111, 221, 226 o 241.3) o deficiente, la abogacía del Estado rechaza los motivos de impugnación por entender que se trata de normas de carácter básico por alguna de las siguientes razones:</w:t>
      </w:r>
    </w:p>
    <w:p w:rsidR="005728DD" w:rsidRDefault="005728DD" w:rsidP="005728DD">
      <w:pPr>
        <w:pStyle w:val="TextoNormal"/>
      </w:pPr>
    </w:p>
    <w:p w:rsidR="005728DD" w:rsidRDefault="005728DD" w:rsidP="005728DD">
      <w:pPr>
        <w:pStyle w:val="TextoNormal"/>
      </w:pPr>
      <w:r>
        <w:t>(i) Delimitan el ámbito de aplicación de la Ley de contratos del sector público, estableciendo definiciones, reglas mínimas para evitar su elusión y pérdida de efectividad práctica, o el falseamiento o restricción de la libre concurrencia. Así, ocurre con el art. 9.2; art. 18; art. 32.1, 2, 4, 6 y 7 b), y art. 232.6, 7 y 8.</w:t>
      </w:r>
    </w:p>
    <w:p w:rsidR="005728DD" w:rsidRDefault="005728DD" w:rsidP="005728DD">
      <w:pPr>
        <w:pStyle w:val="TextoNormal"/>
      </w:pPr>
    </w:p>
    <w:p w:rsidR="005728DD" w:rsidRDefault="005728DD" w:rsidP="005728DD">
      <w:pPr>
        <w:pStyle w:val="TextoNormal"/>
      </w:pPr>
      <w:r>
        <w:t xml:space="preserve">(ii) Fijan las condiciones que garantizan un tratamiento mínimo uniforme —impuesto en muchos casos por las directivas europeas—, así como la seguridad jurídica de los operadores en el acceso a la contratación pública: ya sea para asegurar los principios de publicidad y transparencia, ya sea para satisfacer otras finalidades generales de interés público tales como favorecer la libre competencia, la reducción de cargas, el régimen de garantías, eliminar la </w:t>
      </w:r>
      <w:r>
        <w:lastRenderedPageBreak/>
        <w:t>discrecionalidad en la acreditación de la solvencia, los criterios de adjudicación o las garantías propias del servicio público. Es el caso del art. 29.2; art. 52.3; art. 69.1; art. 71; art. 72.1 y 2; art. 73; art. 82.2; art. 88.1 a); art. 99; art. 101.3; art. 106; art. 107; art. 108.1; art. 115.1 y 3; art. 122; art. 125; art. 143; art. 145; art. 146; art. 147; art. 148.3, párrafo segundo; art. 149.4 y 6; art. 156; art. 157; art. 185.3; art. 187.3; art. 202; art. 215; art. 283.1, párrafo 2; art. 308.3; art. 312 y art. 336.1.</w:t>
      </w:r>
    </w:p>
    <w:p w:rsidR="005728DD" w:rsidRDefault="005728DD" w:rsidP="005728DD">
      <w:pPr>
        <w:pStyle w:val="TextoNormal"/>
      </w:pPr>
    </w:p>
    <w:p w:rsidR="005728DD" w:rsidRDefault="005728DD" w:rsidP="005728DD">
      <w:pPr>
        <w:pStyle w:val="TextoNormal"/>
      </w:pPr>
      <w:r>
        <w:t>(iii) Tratarse de reglas dictadas al amparo de la competencia estatal para establecer el régimen jurídico básico de las administraciones públicas. Así sucede con el art. 72.4; art. 121.2, y el apartado 7 de la disposición adicional segunda.</w:t>
      </w:r>
    </w:p>
    <w:p w:rsidR="005728DD" w:rsidRDefault="005728DD" w:rsidP="005728DD">
      <w:pPr>
        <w:pStyle w:val="TextoNormal"/>
      </w:pPr>
    </w:p>
    <w:p w:rsidR="005728DD" w:rsidRDefault="005728DD" w:rsidP="005728DD">
      <w:pPr>
        <w:pStyle w:val="TextoNormal"/>
      </w:pPr>
      <w:r>
        <w:t>(iv) No articular la impugnación sobre la base de motivo de inconstitucionalidad alguno, bien por tratarse de materias de legalidad ordinaria, bien por limitarse a afirmar que se trata de una defectuosa trasposición de las directivas comunitarias. Es el caso de los arts. 11 y 117.</w:t>
      </w:r>
    </w:p>
    <w:p w:rsidR="005728DD" w:rsidRDefault="005728DD" w:rsidP="005728DD">
      <w:pPr>
        <w:pStyle w:val="TextoNormal"/>
      </w:pPr>
    </w:p>
    <w:p w:rsidR="005728DD" w:rsidRDefault="005728DD" w:rsidP="005728DD">
      <w:pPr>
        <w:pStyle w:val="TextoNormal"/>
      </w:pPr>
      <w:r>
        <w:t>C) Inadmisibilidad de las normas supletorias.</w:t>
      </w:r>
    </w:p>
    <w:p w:rsidR="005728DD" w:rsidRDefault="005728DD" w:rsidP="005728DD">
      <w:pPr>
        <w:pStyle w:val="TextoNormal"/>
      </w:pPr>
    </w:p>
    <w:p w:rsidR="005728DD" w:rsidRDefault="005728DD" w:rsidP="005728DD">
      <w:pPr>
        <w:pStyle w:val="TextoNormal"/>
      </w:pPr>
      <w:r>
        <w:t>La abogacía del Estado rechaza las tachas de inconstitucionalidad formuladas por este motivo debido a que en algunos casos no se realiza, por parte del recurrente, una correcta lectura de los preceptos impugnados, bien porque no se habilita al órgano de contratación para decidir el modelo de declaración responsable (art. 141), bien porque se le impone la obligación de aceptar medios de prueba diferentes para acreditar la certificación (art. 128.2). En otros casos, la imposición con carácter básico a las comunidades autónomas de atribuir la competencia en materia de revisión de oficio a un órgano cuyas resoluciones agoten la vía administrativa (art. 41.3), se ampara en el título estatal para establecer las bases del régimen jurídico de las administraciones públicas.</w:t>
      </w:r>
    </w:p>
    <w:p w:rsidR="005728DD" w:rsidRDefault="005728DD" w:rsidP="005728DD">
      <w:pPr>
        <w:pStyle w:val="TextoNormal"/>
      </w:pPr>
    </w:p>
    <w:p w:rsidR="005728DD" w:rsidRDefault="005728DD" w:rsidP="005728DD">
      <w:pPr>
        <w:pStyle w:val="TextoNormal"/>
      </w:pPr>
      <w:r>
        <w:t>El abogado del Estado admite que el único supuesto en el que cabe hablar de aplicación supletoria es el del art. 46.4 que, en relación con el recurso especial en materia de contratación, pretende evitar que dicho recurso quede sin efecto útil en el ámbito de contratación de las entidades locales ante una supuesta pasividad autonómica.</w:t>
      </w:r>
    </w:p>
    <w:p w:rsidR="005728DD" w:rsidRDefault="005728DD" w:rsidP="005728DD">
      <w:pPr>
        <w:pStyle w:val="TextoNormal"/>
      </w:pPr>
    </w:p>
    <w:p w:rsidR="005728DD" w:rsidRDefault="005728DD" w:rsidP="005728DD">
      <w:pPr>
        <w:pStyle w:val="TextoNormal"/>
      </w:pPr>
      <w:r>
        <w:t>D) Vulneración de la potestad de autoorganización de la comunidad autónoma.</w:t>
      </w:r>
    </w:p>
    <w:p w:rsidR="005728DD" w:rsidRDefault="005728DD" w:rsidP="005728DD">
      <w:pPr>
        <w:pStyle w:val="TextoNormal"/>
      </w:pPr>
    </w:p>
    <w:p w:rsidR="005728DD" w:rsidRDefault="005728DD" w:rsidP="005728DD">
      <w:pPr>
        <w:pStyle w:val="TextoNormal"/>
      </w:pPr>
      <w:r>
        <w:t>El abogado del Estado rechaza que los preceptos examinados en este precepto incurran en una vulneración de la potestad de autoorganización de la Comunidad Autónoma de Aragón al considerar que se trata de normas básicas (salvo el art. 30) que:</w:t>
      </w:r>
    </w:p>
    <w:p w:rsidR="005728DD" w:rsidRDefault="005728DD" w:rsidP="005728DD">
      <w:pPr>
        <w:pStyle w:val="TextoNormal"/>
      </w:pPr>
    </w:p>
    <w:p w:rsidR="005728DD" w:rsidRDefault="005728DD" w:rsidP="005728DD">
      <w:pPr>
        <w:pStyle w:val="TextoNormal"/>
      </w:pPr>
      <w:r>
        <w:t>(i) Garantizan un tratamiento mínimo uniforme, en cumplimiento de las directivas europeas, al servicio de la seguridad jurídica e igualdad de los operadores y del interés público, así como para la consecución de los principios de publicidad, transparencia y libre competencia. Es el caso del art. 28.4; art. 39.2 c); art. 44.1 a) y c), 2 e) y f), y 7; art. 49; art. 62; art. 63.4 y 6; art. 72.3, párrafos primero y segundo; art. 73.1, párrafo tercero; art. 77.3; art. 80.2; y art. 154.7, párrafos 2 y 3; art. 159.1 a) y 4 a); art. 191.3 b); art. 214; art. 217.2; art. 335.1; art. 347.3, párrafos tercero y quinto, y de la disposición adicional vigésima segunda.</w:t>
      </w:r>
    </w:p>
    <w:p w:rsidR="005728DD" w:rsidRDefault="005728DD" w:rsidP="005728DD">
      <w:pPr>
        <w:pStyle w:val="TextoNormal"/>
      </w:pPr>
    </w:p>
    <w:p w:rsidR="005728DD" w:rsidRDefault="005728DD" w:rsidP="005728DD">
      <w:pPr>
        <w:pStyle w:val="TextoNormal"/>
      </w:pPr>
      <w:r>
        <w:lastRenderedPageBreak/>
        <w:t xml:space="preserve">(ii) Establecen principios y reglas de procedimiento administrativo común singular, al amparo de la competencia estatal del art. 149.1.18 CE (art. 69.2). O son manifestación, conforme a los arts. 149.1.18 y 13 CE, de los principios de coordinación, cooperación y auxilio recíproco que rigen las relaciones interadministrativas (art. 90.1, párrafo segundo </w:t>
      </w:r>
      <w:r w:rsidRPr="005728DD">
        <w:rPr>
          <w:i/>
        </w:rPr>
        <w:t>in fine</w:t>
      </w:r>
      <w:r>
        <w:t xml:space="preserve">; art. 103.6; art. 331; art. 332; art. 334.1; y disposición adicional vigésima tercera), o bien buscan garantizar los principios de eficacia, eficiencia y sostenibilidad de su acción en aras del interés público [arts. 294 c) </w:t>
      </w:r>
      <w:r w:rsidRPr="005728DD">
        <w:rPr>
          <w:i/>
        </w:rPr>
        <w:t>in fine</w:t>
      </w:r>
      <w:r>
        <w:t xml:space="preserve"> y 333.3 y 6], o los de igualdad, mérito y capacidad en el acceso a la función pública (art. 308.2, párrafo segund</w:t>
      </w:r>
      <w:r w:rsidRPr="005728DD">
        <w:rPr>
          <w:i/>
        </w:rPr>
        <w:t>o in fi</w:t>
      </w:r>
      <w:r>
        <w:t>ne).</w:t>
      </w:r>
    </w:p>
    <w:p w:rsidR="005728DD" w:rsidRDefault="005728DD" w:rsidP="005728DD">
      <w:pPr>
        <w:pStyle w:val="TextoNormal"/>
      </w:pPr>
    </w:p>
    <w:p w:rsidR="005728DD" w:rsidRDefault="005728DD" w:rsidP="005728DD">
      <w:pPr>
        <w:pStyle w:val="TextoNormal"/>
      </w:pPr>
      <w:r>
        <w:t>En relación con otros preceptos también impugnados por este motivo, la abogacía del Estado se remite a lo expuesto, en su escrito de alegaciones, al examinar los mismos en el apartado relativo al cuestionamiento del carácter básico (apartados 1, 2, 4, 6 y primer párrafo de la letra b) del apartado 7 del art. 32; art. 46.4). En algunos casos entiende que el precepto es susceptible de una interpretación no excluyente de la intervención autonómica (art. 58.2), o el recurso resulta prematuro y preventivo [arts. 177.3 a) y187.11].</w:t>
      </w:r>
    </w:p>
    <w:p w:rsidR="005728DD" w:rsidRDefault="005728DD" w:rsidP="005728DD">
      <w:pPr>
        <w:pStyle w:val="TextoNormal"/>
      </w:pPr>
    </w:p>
    <w:p w:rsidR="005728DD" w:rsidRDefault="005728DD" w:rsidP="005728DD">
      <w:pPr>
        <w:pStyle w:val="TextoNormal"/>
      </w:pPr>
      <w:r>
        <w:t>E) Otras vulneraciones del concepto material de bases.</w:t>
      </w:r>
    </w:p>
    <w:p w:rsidR="005728DD" w:rsidRDefault="005728DD" w:rsidP="005728DD">
      <w:pPr>
        <w:pStyle w:val="TextoNormal"/>
      </w:pPr>
    </w:p>
    <w:p w:rsidR="005728DD" w:rsidRDefault="005728DD" w:rsidP="005728DD">
      <w:pPr>
        <w:pStyle w:val="TextoNormal"/>
      </w:pPr>
      <w:r>
        <w:t>Por último, el abogado del Estado examina el conjunto de preceptos de la Ley de contratos del sector público que, a juicio del Gobierno de Aragón, vulneran el concepto material de bases que ha establecido el Tribunal Constitucional; argumento que es rechazado por considerar que:</w:t>
      </w:r>
    </w:p>
    <w:p w:rsidR="005728DD" w:rsidRDefault="005728DD" w:rsidP="005728DD">
      <w:pPr>
        <w:pStyle w:val="TextoNormal"/>
      </w:pPr>
    </w:p>
    <w:p w:rsidR="005728DD" w:rsidRDefault="005728DD" w:rsidP="005728DD">
      <w:pPr>
        <w:pStyle w:val="TextoNormal"/>
      </w:pPr>
      <w:r>
        <w:t>(i) El recurrente yerra en la interpretación de los preceptos [art. 26.2 en conexión con el 27.2 a), y art. 288 a</w:t>
      </w:r>
      <w:r w:rsidRPr="005728DD">
        <w:rPr>
          <w:i/>
        </w:rPr>
        <w:t>) in fi</w:t>
      </w:r>
      <w:r>
        <w:t>ne].</w:t>
      </w:r>
    </w:p>
    <w:p w:rsidR="005728DD" w:rsidRDefault="005728DD" w:rsidP="005728DD">
      <w:pPr>
        <w:pStyle w:val="TextoNormal"/>
      </w:pPr>
    </w:p>
    <w:p w:rsidR="005728DD" w:rsidRDefault="005728DD" w:rsidP="005728DD">
      <w:pPr>
        <w:pStyle w:val="TextoNormal"/>
      </w:pPr>
      <w:r>
        <w:t>(ii) O que estos preceptos establecen un mínimo común impuesto por las directivas comunitarias [arts. 72.5, 88.1 c) y e), 90.1 e) y g) y 166.2].</w:t>
      </w:r>
    </w:p>
    <w:p w:rsidR="005728DD" w:rsidRDefault="005728DD" w:rsidP="005728DD">
      <w:pPr>
        <w:pStyle w:val="TextoNormal"/>
      </w:pPr>
    </w:p>
    <w:p w:rsidR="005728DD" w:rsidRDefault="005728DD" w:rsidP="005728DD">
      <w:pPr>
        <w:pStyle w:val="TextoNormal"/>
      </w:pPr>
      <w:r>
        <w:t>Además, respecto de otros preceptos, la abogacía del Estado entiende que el recurrente incumple de forma absoluta el deber de argumentar (arts. 86.3 y 213); se limita a suscitar dudas interpretativas sobre una cuestión de legalidad ordinaria (art. 118.3), o expresa su mera discrepancia sobre la regulación básica establecida por el legislador estatal (arts. 195, 213, 270, 279, 280 y 290.6).</w:t>
      </w:r>
    </w:p>
    <w:p w:rsidR="005728DD" w:rsidRDefault="005728DD" w:rsidP="005728DD">
      <w:pPr>
        <w:pStyle w:val="TextoNormal"/>
      </w:pPr>
    </w:p>
    <w:p w:rsidR="005728DD" w:rsidRDefault="005728DD" w:rsidP="005728DD">
      <w:pPr>
        <w:pStyle w:val="TextoNormal"/>
      </w:pPr>
      <w:r w:rsidRPr="005728DD">
        <w:rPr>
          <w:rStyle w:val="NumeroAFNegritaCaracter"/>
        </w:rPr>
        <w:t>6</w:t>
      </w:r>
      <w:r>
        <w:t>. Por providencia de 16 de marzo de 2021 se señaló para la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Planteamiento y marco normativo</w:t>
      </w:r>
      <w:r>
        <w:t>.</w:t>
      </w:r>
    </w:p>
    <w:p w:rsidR="005728DD" w:rsidRDefault="005728DD" w:rsidP="005728DD">
      <w:pPr>
        <w:pStyle w:val="TextoNormal"/>
      </w:pPr>
    </w:p>
    <w:p w:rsidR="005728DD" w:rsidRDefault="005728DD" w:rsidP="005728DD">
      <w:pPr>
        <w:pStyle w:val="TextoNormal"/>
      </w:pPr>
      <w:r>
        <w:t xml:space="preserve">a) En los términos delimitados por las pretensiones procesales de las partes, el presente proceso constitucional tiene por objeto determinar si los preceptos recurridos de la Ley 9/2017, de 8 de noviembre, de contratos del sector público, por la que se trasponen al ordenamiento jurídico español las Directivas del Parlamento Europeo y del Consejo 2014/23/UE </w:t>
      </w:r>
      <w:r>
        <w:lastRenderedPageBreak/>
        <w:t>y 2014/24/UE, de 26 de febrero de 2014, tienen o no carácter de legislación básica en materia de contratación pública y, por tanto, invaden o no las competencias que sobre dicha materia ostenta la Comunidad Autónoma de Aragón. No existe, en este caso, controversia sobre la materia en la que se encuadra la Ley de contratos del sector público, esto es, la contratación administrativa o contratación del sector público. Y ambas partes reconocen que en esta materia la legislación básica es competencia del Estado de acuerdo con el art. 149.1.18 CE y que las comunidades autónomas pueden asumir la competencia de desarrollo legislativo y ejecución. En este caso, la Comunidad Autónoma de Aragón ha ejercido esa posibilidad al asumir en su Estatuto de Autonomía, reformado por la Ley Orgánica 5/2007, de 20 de abril, la competencia genérica de “desarrollo de las bases del Estado previstas en el artículo 149.1.18 de la Constitución para las administraciones públicas aragonesas, incluidas las entidades locales” y la específica sobre “régimen jurídico, procedimiento, contratación y responsabilidad de la administración pública de la Comunidad Autónoma” (art. 75.11 y 12 EAAr), títulos ambos que son calificados de “competencias compartidas” por el propio texto estatutario.</w:t>
      </w:r>
    </w:p>
    <w:p w:rsidR="005728DD" w:rsidRDefault="005728DD" w:rsidP="005728DD">
      <w:pPr>
        <w:pStyle w:val="TextoNormal"/>
      </w:pPr>
    </w:p>
    <w:p w:rsidR="005728DD" w:rsidRDefault="005728DD" w:rsidP="005728DD">
      <w:pPr>
        <w:pStyle w:val="TextoNormal"/>
      </w:pPr>
      <w:r>
        <w:t>Los argumentos esgrimidos por las partes, expuestos brevemente en los antecedentes, son esencialmente de orden material. El representante del Gobierno aragonés entiende que el grueso de las normas impugnadas de la Ley de contratos del sector público no tiene carácter básico por llevar a cabo una regulación tan detallada y exhaustiva de la materia que deja prácticamente sin contenido su potestad legislativa y reglamentaria para ejercer, conforme a los arts. 75.11 y 12 EAAr, sus competencias de desarrollo de las bases estatales en contratación pública. Sostiene que además vulnera, en algunos casos, su potestad de autoorganización. Por último, estima que algunos preceptos establecen normas supletorias desconociendo la doctrina del Tribunal Constitucional relativa a la interpretación del art. 149.3 CE. Esta argumentación es rechazada por la abogacía del Estado al entender que se trata, en su conjunto, de normas materialmente básicas destinadas a garantizar, entre otros aspectos, la publicidad, igualdad, libre concurrencia y seguridad jurídica en el ámbito de la contratación pública.</w:t>
      </w:r>
    </w:p>
    <w:p w:rsidR="005728DD" w:rsidRDefault="005728DD" w:rsidP="005728DD">
      <w:pPr>
        <w:pStyle w:val="TextoNormal"/>
      </w:pPr>
    </w:p>
    <w:p w:rsidR="005728DD" w:rsidRDefault="005728DD" w:rsidP="005728DD">
      <w:pPr>
        <w:pStyle w:val="TextoNormal"/>
      </w:pPr>
      <w:r>
        <w:t>A estas alegaciones, que constituyen el núcleo del presente proceso, se suman otras de carácter transversal que deberán ser examinadas en primer lugar y que hacen referencia a la incorporación al ordenamiento jurídico interno de las directivas europeas en materia de contratación y, en conexión, al desconocimiento de la realidad foral de la Comunidad Autónoma de Aragón impidiendo, con ello, la actualización de sus derechos históricos.</w:t>
      </w:r>
    </w:p>
    <w:p w:rsidR="005728DD" w:rsidRDefault="005728DD" w:rsidP="005728DD">
      <w:pPr>
        <w:pStyle w:val="TextoNormal"/>
      </w:pPr>
    </w:p>
    <w:p w:rsidR="005728DD" w:rsidRDefault="005728DD" w:rsidP="005728DD">
      <w:pPr>
        <w:pStyle w:val="TextoNormal"/>
      </w:pPr>
      <w:r>
        <w:t xml:space="preserve">b) El análisis material de las disposiciones recurridas hace convenientes unas consideraciones preliminares sobre el objeto y finalidad de la Ley de contratos del sector público y sobre el contexto en el que se promulga. El objeto primordial de la Ley de contratos del sector público es incorporar a nuestro ordenamiento jurídico interno la Directiva 2014/23/UE del Parlamento Europeo y del Consejo, de 26 de febrero de 2014, relativa a la adjudicación de contratos de concesión, y la Directiva 2014/24/UE del Parlamento Europeo y del Consejo, de 26 de febrero de 2014, sobre contratación pública y por la que se deroga la Directiva 2004/18/CE. No aborda, por el contrario, la transposición de la Directiva 2014/25/UE del Parlamento Europeo y del Consejo, de 26 de febrero de 2014, relativa a la contratación por entidades que operan en los sectores del agua, la energía, los transportes y los servicios postales, que se encomienda a una ley específica, que incorporará además la </w:t>
      </w:r>
      <w:r>
        <w:lastRenderedPageBreak/>
        <w:t>parte de la Directiva 2014/23/UE que resulte de aplicación a los sectores citados. En definitiva, la Ley de contratos del sector público se inserta dentro del proceso de revisión y modernización de las vigentes normas sobre contratación pública llevada a cabo por la Unión Europea, encaminada a incrementar la eficiencia en el gasto público, la competencia, a través de la participación de las pequeñas y medianas empresas (PYMES), y la consecución de objetivos sociales comunes.</w:t>
      </w:r>
    </w:p>
    <w:p w:rsidR="005728DD" w:rsidRDefault="005728DD" w:rsidP="005728DD">
      <w:pPr>
        <w:pStyle w:val="TextoNormal"/>
      </w:pPr>
    </w:p>
    <w:p w:rsidR="005728DD" w:rsidRDefault="005728DD" w:rsidP="005728DD">
      <w:pPr>
        <w:pStyle w:val="TextoNormal"/>
      </w:pPr>
      <w:r>
        <w:t>No obstante, la ley no se limita a la mera trasposición de las normas europeas, sino que, como señala en su preámbulo, “trata de diseñar un sistema de contratación pública, más eficiente, transparente e íntegro, mediante el cual se consiga un mejor cumplimiento de los objetivos públicos, tanto a través de la satisfacción de las necesidades de los órganos de contratación, como mediante una mejora de las condiciones de acceso y participación en las licitaciones públicas de los operadores económicos, y, por supuesto, a través de la prestación de mejores servicios a los usuarios de los mismos” (apartado II).</w:t>
      </w:r>
    </w:p>
    <w:p w:rsidR="005728DD" w:rsidRDefault="005728DD" w:rsidP="005728DD">
      <w:pPr>
        <w:pStyle w:val="TextoNormal"/>
      </w:pPr>
    </w:p>
    <w:p w:rsidR="005728DD" w:rsidRDefault="005728DD" w:rsidP="005728DD">
      <w:pPr>
        <w:pStyle w:val="TextoNormal"/>
      </w:pPr>
      <w:r>
        <w:t>La finalidad esencial de la Ley de contratos del sector público es garantizar, en el ámbito del sector público, que la contratación “se ajusta a los principios de libertad de acceso a las licitaciones, publicidad y transparencia de los procedimientos, y no discriminación e igualdad de trato entre los licitadores”; así como asegurar, en conexión con el objetivo de estabilidad presupuestaria y control del gasto, y el principio de integridad,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(art. 1.1). Además, se persigue permitir un mayor acceso a la contratación pública de las pequeñas y medianas empresas, así como de las de economía social, y conseguir objetivos de tipo social y medio ambiental, siempre que guarde relación con el objeto del contrato (art. 1.3).</w:t>
      </w:r>
    </w:p>
    <w:p w:rsidR="005728DD" w:rsidRDefault="005728DD" w:rsidP="005728DD">
      <w:pPr>
        <w:pStyle w:val="TextoNormal"/>
      </w:pPr>
    </w:p>
    <w:p w:rsidR="005728DD" w:rsidRDefault="005728DD" w:rsidP="005728DD">
      <w:pPr>
        <w:pStyle w:val="TextoNormal"/>
      </w:pPr>
      <w:r>
        <w:t>La ley se estructura en un título preliminar —dedicado a las disposiciones generales sobre su ámbito subjetivo y objetivo—, y cuatro libros relativos a la configuración general de la contratación del sector público y los elementos estructurales de los contratos (libro primero); a los contratos de las administraciones públicas, a su preparación, adjudicación, efectos, cumplimiento y extinción (libro segundo); a los contratos de otros entes del sector público (libro tercero), y a la organización administrativa para la gestión de la contratación (libro cuarto).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Objeto del proceso: delimitación y sistemática</w:t>
      </w:r>
      <w:r>
        <w:t>.</w:t>
      </w:r>
    </w:p>
    <w:p w:rsidR="005728DD" w:rsidRDefault="005728DD" w:rsidP="005728DD">
      <w:pPr>
        <w:pStyle w:val="TextoNormal"/>
      </w:pPr>
    </w:p>
    <w:p w:rsidR="005728DD" w:rsidRDefault="005728DD" w:rsidP="005728DD">
      <w:pPr>
        <w:pStyle w:val="TextoNormal"/>
      </w:pPr>
      <w:r>
        <w:t>A) Es procedente determinar con carácter preliminar el objeto del recurso teniendo en cuenta las modificaciones legislativas que, acaecidas desde su interposición, son relevantes para su adecuada resolución siguiendo el reiterado criterio del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 (STC 235/2012, de 13 de diciembre, FJ 2). Segui</w:t>
      </w:r>
      <w:r>
        <w:lastRenderedPageBreak/>
        <w:t>damente se exponen las modificaciones que afectan a los preceptos objeto de recurso reservando para el examen de cada uno de los artículos impugnados la determinación de su alcance sobre la cuestión competencial suscitada.</w:t>
      </w:r>
    </w:p>
    <w:p w:rsidR="005728DD" w:rsidRDefault="005728DD" w:rsidP="005728DD">
      <w:pPr>
        <w:pStyle w:val="TextoNormal"/>
      </w:pPr>
    </w:p>
    <w:p w:rsidR="005728DD" w:rsidRDefault="005728DD" w:rsidP="005728DD">
      <w:pPr>
        <w:pStyle w:val="TextoNormal"/>
      </w:pPr>
      <w:r>
        <w:t>a) La disposición final cuadragésima cuarta de la Ley 6/2018, de 3 de julio, de presupuestos generales del Estado para el año 2018, ha dado una nueva redacción a la letra b) del art. 32.7 LCSP, que incluye las reglas aplicables a los negocios jurídicos de los entes que, calificados como medios propios personificados, celebren en ejecución del encargo. El nuevo texto es el siguiente:</w:t>
      </w:r>
    </w:p>
    <w:p w:rsidR="005728DD" w:rsidRDefault="005728DD" w:rsidP="005728DD">
      <w:pPr>
        <w:pStyle w:val="TextoNormal"/>
      </w:pPr>
    </w:p>
    <w:p w:rsidR="005728DD" w:rsidRDefault="005728DD" w:rsidP="005728DD">
      <w:pPr>
        <w:pStyle w:val="TextoNormal"/>
      </w:pPr>
      <w:r>
        <w:t>“b) El importe de las prestaciones parciales que el medio propio pueda contratar con terceros no excederá del 50 por 100 de la cuantía del encargo. No se considerarán prestaciones parciales aquellas que el medio propio adquiera a otras empresas cuando se trate de suministros o servicios auxiliares o instrumentales que no constituyen una parte autónoma y diferenciable de la prestación principal, aunque sean parte del proceso necesario para producir dicha prestación.</w:t>
      </w:r>
    </w:p>
    <w:p w:rsidR="005728DD" w:rsidRDefault="005728DD" w:rsidP="005728DD">
      <w:pPr>
        <w:pStyle w:val="TextoNormal"/>
      </w:pPr>
    </w:p>
    <w:p w:rsidR="005728DD" w:rsidRDefault="005728DD" w:rsidP="005728DD">
      <w:pPr>
        <w:pStyle w:val="TextoNormal"/>
      </w:pPr>
      <w:r>
        <w:t>No será aplicable lo establecido en esta letra a los contratos de obras que celebren los medios propios a los que se les haya encargado una concesión, ya sea de obras o de servicios. Igualmente no será de aplicación en los supuestos en los que la gestión del servicio público se efectúe mediante la creación de entidades de derecho público destinadas a este fin, ni a aquellos en que la misma se atribuya a una sociedad de derecho privado cuyo capital sea, en su totalidad, de titularidad pública.</w:t>
      </w:r>
    </w:p>
    <w:p w:rsidR="005728DD" w:rsidRDefault="005728DD" w:rsidP="005728DD">
      <w:pPr>
        <w:pStyle w:val="TextoNormal"/>
      </w:pPr>
    </w:p>
    <w:p w:rsidR="005728DD" w:rsidRDefault="005728DD" w:rsidP="005728DD">
      <w:pPr>
        <w:pStyle w:val="TextoNormal"/>
      </w:pPr>
      <w:r>
        <w:t>Tampoco será aplicable a los contratos que celebren los medios propios a los que se les haya encargado la prestación de servicios informáticos y tecnológicos a la administración pública con el fin de garantizar la compatibilidad, la comunicabilidad y la seguridad de redes y sistemas, así como la integridad, fiabilidad y confidencialidad de la información.</w:t>
      </w:r>
    </w:p>
    <w:p w:rsidR="005728DD" w:rsidRDefault="005728DD" w:rsidP="005728DD">
      <w:pPr>
        <w:pStyle w:val="TextoNormal"/>
      </w:pPr>
    </w:p>
    <w:p w:rsidR="005728DD" w:rsidRDefault="005728DD" w:rsidP="005728DD">
      <w:pPr>
        <w:pStyle w:val="TextoNormal"/>
      </w:pPr>
      <w:r>
        <w:t>Excepcionalmente podrá superarse dicho porcentaje de contratación siempre que el encargo al medio propio se base en razones de seguridad, en la naturaleza de la prestación que requiera un mayor control en la ejecución de la misma, o en razones de urgencia que demanden una mayor celeridad en su ejecución. La justificación de que concurren estas circunstancias se acompañará al documento de formalización del encargo y se publicará en la Plataforma de Contratación correspondiente conjuntamente con este”.</w:t>
      </w:r>
    </w:p>
    <w:p w:rsidR="005728DD" w:rsidRDefault="005728DD" w:rsidP="005728DD">
      <w:pPr>
        <w:pStyle w:val="TextoNormal"/>
      </w:pPr>
    </w:p>
    <w:p w:rsidR="005728DD" w:rsidRDefault="005728DD" w:rsidP="005728DD">
      <w:pPr>
        <w:pStyle w:val="TextoNormal"/>
      </w:pPr>
      <w:r>
        <w:t>Con respecto a la redacción original, se delimitan negativamente, por una parte, las prestaciones parciales (inciso final del párrafo primero) y, por otra parte, los contratos, al extender la no aplicación a los de prestación de servicios informáticos y tecnológicos (párrafo tercero). Y se añaden unas excepciones para la superación del porcentaje de contratación fijado en un 50 por 100 inicialmente (último párrafo). El resto del precepto se mantiene inalterado.</w:t>
      </w:r>
    </w:p>
    <w:p w:rsidR="005728DD" w:rsidRDefault="005728DD" w:rsidP="005728DD">
      <w:pPr>
        <w:pStyle w:val="TextoNormal"/>
      </w:pPr>
    </w:p>
    <w:p w:rsidR="005728DD" w:rsidRDefault="005728DD" w:rsidP="005728DD">
      <w:pPr>
        <w:pStyle w:val="TextoNormal"/>
      </w:pPr>
      <w:r>
        <w:t>b) El Real Decreto-ley 14/2019, de 31 de octubre, por el que se adoptan medidas urgentes por razones de seguridad pública en materia de administración digital, contratación del sector público y telecomunicaciones, ha introducido varias modificaciones que afectan al objeto del presente recurso. Son las i), ii), iii) y iv) siguientes:</w:t>
      </w:r>
    </w:p>
    <w:p w:rsidR="005728DD" w:rsidRDefault="005728DD" w:rsidP="005728DD">
      <w:pPr>
        <w:pStyle w:val="TextoNormal"/>
      </w:pPr>
    </w:p>
    <w:p w:rsidR="005728DD" w:rsidRDefault="005728DD" w:rsidP="005728DD">
      <w:pPr>
        <w:pStyle w:val="TextoNormal"/>
      </w:pPr>
      <w:r>
        <w:lastRenderedPageBreak/>
        <w:t>(i) El art. 5 tres del Real Decreto-ley 14/2019 da una nueva redacción a la letra d) del art. 71.2, sobre las prohibiciones de contratar, precisando el alcance de la circunstancia de la que se deriva dicha prohibición (inciso final). Tras la reforma, la redacción queda como sigue:</w:t>
      </w:r>
    </w:p>
    <w:p w:rsidR="005728DD" w:rsidRDefault="005728DD" w:rsidP="005728DD">
      <w:pPr>
        <w:pStyle w:val="TextoNormal"/>
      </w:pPr>
    </w:p>
    <w:p w:rsidR="005728DD" w:rsidRDefault="005728DD" w:rsidP="005728DD">
      <w:pPr>
        <w:pStyle w:val="TextoNormal"/>
      </w:pPr>
      <w:r>
        <w:t>“Haber dado lugar, por causa de la que hubiesen sido declarados culpables, a la resolución firme de cualquier contrato celebrado con una entidad de las comprendidas en el artículo 3 de la presente ley. La prohibición alcanzará a las empresas cuyo contrato hubiere quedado resuelto por incumplimiento culpable del contratista de las obligaciones que los pliegos hubieren calificados como esenciales de acuerdo con lo previsto en el artículo 211.1 f)”.</w:t>
      </w:r>
    </w:p>
    <w:p w:rsidR="005728DD" w:rsidRDefault="005728DD" w:rsidP="005728DD">
      <w:pPr>
        <w:pStyle w:val="TextoNormal"/>
      </w:pPr>
    </w:p>
    <w:p w:rsidR="005728DD" w:rsidRDefault="005728DD" w:rsidP="005728DD">
      <w:pPr>
        <w:pStyle w:val="TextoNormal"/>
      </w:pPr>
      <w:r>
        <w:t>(ii) El art. 5 cinco del Real Decreto-ley 14/2019 modifica el art. 122.2 LCSP, sobre los pliegos de cláusulas administrativas particulares, ampliando el contenido mínimo de los mismos (párrafos tercero a quinto). El nuevo texto es el siguiente:</w:t>
      </w:r>
    </w:p>
    <w:p w:rsidR="005728DD" w:rsidRDefault="005728DD" w:rsidP="005728DD">
      <w:pPr>
        <w:pStyle w:val="TextoNormal"/>
      </w:pPr>
    </w:p>
    <w:p w:rsidR="005728DD" w:rsidRDefault="005728DD" w:rsidP="005728DD">
      <w:pPr>
        <w:pStyle w:val="TextoNormal"/>
      </w:pPr>
      <w:r>
        <w:t>“En los pliegos de cláusulas administrativas particulares se incluirán los criterios de solvencia y adjudicación del contrato; las consideraciones sociales, laborales y ambientales que como criterios de solvencia, de adjudicación o como condiciones especiales de ejecución se establezcan; los pactos y condiciones definidores de los derechos y obligaciones de las partes del contrato; la previsión de cesión del contrato salvo en los casos en que la misma no sea posible de acuerdo con lo establecido en el segundo párrafo del artículo 214.1; la obligación del adjudicatario de cumplir las condiciones salariales de los trabajadores conforme al convenio colectivo sectorial de aplicación; y las demás menciones requeridas por esta ley y sus normas de desarrollo. En el caso de contratos mixtos, se detallará el régimen jurídico aplicable a sus efectos, cumplimiento y extinción, atendiendo a las normas aplicables a las diferentes prestaciones fusionadas en ellos.</w:t>
      </w:r>
    </w:p>
    <w:p w:rsidR="005728DD" w:rsidRDefault="005728DD" w:rsidP="005728DD">
      <w:pPr>
        <w:pStyle w:val="TextoNormal"/>
      </w:pPr>
    </w:p>
    <w:p w:rsidR="005728DD" w:rsidRDefault="005728DD" w:rsidP="005728DD">
      <w:pPr>
        <w:pStyle w:val="TextoNormal"/>
      </w:pPr>
      <w:r>
        <w:t>Los pliegos podrán también especificar si va a exigirse la transferencia de derechos de propiedad intelectual o industrial, sin perjuicio de lo establecido en el artículo 308 respecto de los contratos de servicios.</w:t>
      </w:r>
    </w:p>
    <w:p w:rsidR="005728DD" w:rsidRDefault="005728DD" w:rsidP="005728DD">
      <w:pPr>
        <w:pStyle w:val="TextoNormal"/>
      </w:pPr>
    </w:p>
    <w:p w:rsidR="005728DD" w:rsidRDefault="005728DD" w:rsidP="005728DD">
      <w:pPr>
        <w:pStyle w:val="TextoNormal"/>
      </w:pPr>
      <w:r>
        <w:t>Los pliegos deberán mencionar expresamente la obligación del futuro contratista de respetar la normativa vigente en materia de protección de datos.</w:t>
      </w:r>
    </w:p>
    <w:p w:rsidR="005728DD" w:rsidRDefault="005728DD" w:rsidP="005728DD">
      <w:pPr>
        <w:pStyle w:val="TextoNormal"/>
      </w:pPr>
    </w:p>
    <w:p w:rsidR="005728DD" w:rsidRDefault="005728DD" w:rsidP="005728DD">
      <w:pPr>
        <w:pStyle w:val="TextoNormal"/>
      </w:pPr>
      <w:r>
        <w:t>Sin perjuicio de lo establecido en el artículo 28.2 del Reglamento (UE) 2016/679 del Parlamento Europeo y del Consejo, de 27 de abril de 2016, relativo a la protección de las personas físicas en lo que respecta al tratamiento de datos personales y la libre circulación de estos datos y por el que se deroga la Directiva 95/46/CE, en aquellos contratos cuya ejecución requiera el tratamiento por el contratista de datos personales por cuenta del responsable del tratamiento, adicionalmente en el pliego se hará constar:</w:t>
      </w:r>
    </w:p>
    <w:p w:rsidR="005728DD" w:rsidRDefault="005728DD" w:rsidP="005728DD">
      <w:pPr>
        <w:pStyle w:val="TextoNormal"/>
      </w:pPr>
    </w:p>
    <w:p w:rsidR="005728DD" w:rsidRDefault="005728DD" w:rsidP="005728DD">
      <w:pPr>
        <w:pStyle w:val="TextoNormal"/>
      </w:pPr>
      <w:r>
        <w:t>a) La finalidad para la cual se cederán dichos datos.</w:t>
      </w:r>
    </w:p>
    <w:p w:rsidR="005728DD" w:rsidRDefault="005728DD" w:rsidP="005728DD">
      <w:pPr>
        <w:pStyle w:val="TextoNormal"/>
      </w:pPr>
    </w:p>
    <w:p w:rsidR="005728DD" w:rsidRDefault="005728DD" w:rsidP="005728DD">
      <w:pPr>
        <w:pStyle w:val="TextoNormal"/>
      </w:pPr>
      <w:r>
        <w:t>b) La obligación del futuro contratista de someterse en todo caso a la normativa nacional y de la Unión Europea en materia de protección de datos, sin perjuicio de lo establecido en el último párrafo del apartado 1 del artículo 202.</w:t>
      </w:r>
    </w:p>
    <w:p w:rsidR="005728DD" w:rsidRDefault="005728DD" w:rsidP="005728DD">
      <w:pPr>
        <w:pStyle w:val="TextoNormal"/>
      </w:pPr>
    </w:p>
    <w:p w:rsidR="005728DD" w:rsidRDefault="005728DD" w:rsidP="005728DD">
      <w:pPr>
        <w:pStyle w:val="TextoNormal"/>
      </w:pPr>
      <w:r>
        <w:lastRenderedPageBreak/>
        <w:t>c) La obligación de la empresa adjudicataria de presentar antes de la formalización del contrato una declaración en la que ponga de manifiesto dónde van a estar ubicados los servidores y desde dónde se van a prestar los servicios asociados a los mismos.</w:t>
      </w:r>
    </w:p>
    <w:p w:rsidR="005728DD" w:rsidRDefault="005728DD" w:rsidP="005728DD">
      <w:pPr>
        <w:pStyle w:val="TextoNormal"/>
      </w:pPr>
    </w:p>
    <w:p w:rsidR="005728DD" w:rsidRDefault="005728DD" w:rsidP="005728DD">
      <w:pPr>
        <w:pStyle w:val="TextoNormal"/>
      </w:pPr>
      <w:r>
        <w:t>d) La obligación de comunicar cualquier cambio que se produzca, a lo largo de la vida del contrato, de la información facilitada en la declaración a que se refiere la letra c) anterior.</w:t>
      </w:r>
    </w:p>
    <w:p w:rsidR="005728DD" w:rsidRDefault="005728DD" w:rsidP="005728DD">
      <w:pPr>
        <w:pStyle w:val="TextoNormal"/>
      </w:pPr>
    </w:p>
    <w:p w:rsidR="005728DD" w:rsidRDefault="005728DD" w:rsidP="005728DD">
      <w:pPr>
        <w:pStyle w:val="TextoNormal"/>
      </w:pPr>
      <w:r>
        <w:t>e) 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005728DD" w:rsidRDefault="005728DD" w:rsidP="005728DD">
      <w:pPr>
        <w:pStyle w:val="TextoNormal"/>
      </w:pPr>
    </w:p>
    <w:p w:rsidR="005728DD" w:rsidRDefault="005728DD" w:rsidP="005728DD">
      <w:pPr>
        <w:pStyle w:val="TextoNormal"/>
      </w:pPr>
      <w:r>
        <w:t>En los pliegos correspondientes a los contratos a que se refiere el párrafo anterior las obligaciones recogidas en las letras a) a e) anteriores en todo caso deberán ser calificadas como esenciales a los efectos de lo previsto en la letra f) del apartado 1 del artículo 211”.</w:t>
      </w:r>
    </w:p>
    <w:p w:rsidR="005728DD" w:rsidRDefault="005728DD" w:rsidP="005728DD">
      <w:pPr>
        <w:pStyle w:val="TextoNormal"/>
      </w:pPr>
    </w:p>
    <w:p w:rsidR="005728DD" w:rsidRDefault="005728DD" w:rsidP="005728DD">
      <w:pPr>
        <w:pStyle w:val="TextoNormal"/>
      </w:pPr>
      <w:r>
        <w:t>(iii) El art. 5 seis del Real Decreto-ley 14/2019, se limita a añadir un párrafo tercero relativo a los contratos cuya ejecución implique la cesión de datos por las entidades del sector público al art. 202.1 LCSP sobre condiciones especiales de ejecución del contrato de carácter social, ético, medioambiental o de otro orden. La nueva redacción es la siguiente:</w:t>
      </w:r>
    </w:p>
    <w:p w:rsidR="005728DD" w:rsidRDefault="005728DD" w:rsidP="005728DD">
      <w:pPr>
        <w:pStyle w:val="TextoNormal"/>
      </w:pPr>
    </w:p>
    <w:p w:rsidR="005728DD" w:rsidRDefault="005728DD" w:rsidP="005728DD">
      <w:pPr>
        <w:pStyle w:val="TextoNormal"/>
      </w:pPr>
      <w:r>
        <w:t>“1. Los órganos de contratación podrán establecer condiciones especiales en relación con la ejecución del contrato, siempre que estén vinculadas al objeto del contrato, en el sentido del artículo 145, no sean directa o indirectamente discriminatorias, sean compatibles con el Derecho de la Unión Europea y se indiquen en el anuncio de licitación y en los pliegos.</w:t>
      </w:r>
    </w:p>
    <w:p w:rsidR="005728DD" w:rsidRDefault="005728DD" w:rsidP="005728DD">
      <w:pPr>
        <w:pStyle w:val="TextoNormal"/>
      </w:pPr>
    </w:p>
    <w:p w:rsidR="005728DD" w:rsidRDefault="005728DD" w:rsidP="005728DD">
      <w:pPr>
        <w:pStyle w:val="TextoNormal"/>
      </w:pPr>
      <w:r>
        <w:t>En todo caso, será obligatorio el establecimiento en el pliego de cláusulas administrativas particulares de al menos una de las condiciones especiales de ejecución de entre las que enumera el apartado siguiente.</w:t>
      </w:r>
    </w:p>
    <w:p w:rsidR="005728DD" w:rsidRDefault="005728DD" w:rsidP="005728DD">
      <w:pPr>
        <w:pStyle w:val="TextoNormal"/>
      </w:pPr>
    </w:p>
    <w:p w:rsidR="005728DD" w:rsidRDefault="005728DD" w:rsidP="005728DD">
      <w:pPr>
        <w:pStyle w:val="TextoNormal"/>
      </w:pPr>
      <w:r>
        <w:t>Asimismo en los pliegos correspondientes a los contratos cuya ejecución implique la cesión de datos por las entidades del sector público al contratista será obligatorio el establecimiento de una condición especial de ejecución que haga referencia a la obligación del contratista de someterse a la normativa nacional y de la Unión Europea en materia de protección de datos, advirtiéndose además al contratista de que esta obligación tiene el carácter de obligación contractual esencial de conformidad con lo dispuesto en la letra f) del apartado 1 del artículo 211”.</w:t>
      </w:r>
    </w:p>
    <w:p w:rsidR="005728DD" w:rsidRDefault="005728DD" w:rsidP="005728DD">
      <w:pPr>
        <w:pStyle w:val="TextoNormal"/>
      </w:pPr>
    </w:p>
    <w:p w:rsidR="005728DD" w:rsidRDefault="005728DD" w:rsidP="005728DD">
      <w:pPr>
        <w:pStyle w:val="TextoNormal"/>
      </w:pPr>
      <w:r>
        <w:t>(iv) El art. 5.7 del Real Decreto-ley 14/2019, añade un inciso final sobre la protección de datos al párrafo primero del art. 215.4 LCSP, sobre subcontratación. La redacción queda como sigue:</w:t>
      </w:r>
    </w:p>
    <w:p w:rsidR="005728DD" w:rsidRDefault="005728DD" w:rsidP="005728DD">
      <w:pPr>
        <w:pStyle w:val="TextoNormal"/>
      </w:pPr>
    </w:p>
    <w:p w:rsidR="005728DD" w:rsidRDefault="005728DD" w:rsidP="005728DD">
      <w:pPr>
        <w:pStyle w:val="TextoNormal"/>
      </w:pPr>
      <w:r>
        <w:t xml:space="preserve">“4. Los subcontratistas quedarán obligados solo ante el contratista principal que asumirá, por tanto, la total responsabilidad de la ejecución del contrato frente a la administración, con arreglo estricto a los pliegos de cláusulas administrativas particulares o documento descriptivo, y a los términos del contrato; incluido el cumplimiento de las obligaciones en materia medioambiental, social o laboral a que se refiere el artículo 201, así como de la obligación a que hace referencia el último párrafo del apartado 1 del artículo 202 referida al </w:t>
      </w:r>
      <w:r>
        <w:lastRenderedPageBreak/>
        <w:t>sometimiento a la normativa nacional y de la Unión Europea en materia de protección de datos.</w:t>
      </w:r>
    </w:p>
    <w:p w:rsidR="005728DD" w:rsidRDefault="005728DD" w:rsidP="005728DD">
      <w:pPr>
        <w:pStyle w:val="TextoNormal"/>
      </w:pPr>
    </w:p>
    <w:p w:rsidR="005728DD" w:rsidRDefault="005728DD" w:rsidP="005728DD">
      <w:pPr>
        <w:pStyle w:val="TextoNormal"/>
      </w:pPr>
      <w:r>
        <w:t>El conocimiento que tenga la administración de los subcontratos celebrados en virtud de las comunicaciones a que se refieren las letras b) y c) del apartado 2 de este artículo, o la autorización que otorgue en el supuesto previsto en la letra d) de dicho apartado, no alterarán la responsabilidad exclusiva del contratista principal”.</w:t>
      </w:r>
    </w:p>
    <w:p w:rsidR="005728DD" w:rsidRDefault="005728DD" w:rsidP="005728DD">
      <w:pPr>
        <w:pStyle w:val="TextoNormal"/>
      </w:pPr>
    </w:p>
    <w:p w:rsidR="005728DD" w:rsidRDefault="005728DD" w:rsidP="005728DD">
      <w:pPr>
        <w:pStyle w:val="TextoNormal"/>
      </w:pPr>
      <w:r>
        <w:t>c) La disposición final primera del Real Decreto-ley 3/2020, de 4 de febrero, de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 introduce tres modificaciones con relevancia para el objeto del presente proceso constitucional:</w:t>
      </w:r>
    </w:p>
    <w:p w:rsidR="005728DD" w:rsidRDefault="005728DD" w:rsidP="005728DD">
      <w:pPr>
        <w:pStyle w:val="TextoNormal"/>
      </w:pPr>
    </w:p>
    <w:p w:rsidR="005728DD" w:rsidRDefault="005728DD" w:rsidP="005728DD">
      <w:pPr>
        <w:pStyle w:val="TextoNormal"/>
      </w:pPr>
      <w:r>
        <w:t>(i) Se da una nueva redacción al art. 118 relativo al expediente de contratación en contratos menores. Los anteriores apartados 3 y 4, objeto de impugnación, se corresponden con los actuales apartados 2, 5 y 6, cuyo nuevo texto es el siguiente:</w:t>
      </w:r>
    </w:p>
    <w:p w:rsidR="005728DD" w:rsidRDefault="005728DD" w:rsidP="005728DD">
      <w:pPr>
        <w:pStyle w:val="TextoNormal"/>
      </w:pPr>
    </w:p>
    <w:p w:rsidR="005728DD" w:rsidRDefault="005728DD" w:rsidP="005728DD">
      <w:pPr>
        <w:pStyle w:val="TextoNormal"/>
      </w:pPr>
      <w:r>
        <w:t>“2. En los contratos menores la tramitación del expediente exigirá la emisión de un informe del órgano de contratación justificando de manera motivada la necesidad del contrato y que no se está alterando su objeto con el fin de evitar la aplicación de los umbrales descritos en el apartado anterior.</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5. Lo dispuesto en el apartado segundo de este artículo no será de aplicación en aquellos contratos cuyo pago se verifique a través del sistema de anticipos de caja fija u otro similar para realizar pagos menores, siempre y cuando el valor estimado del contrato no exceda de 5000 €.</w:t>
      </w:r>
    </w:p>
    <w:p w:rsidR="005728DD" w:rsidRDefault="005728DD" w:rsidP="005728DD">
      <w:pPr>
        <w:pStyle w:val="TextoNormal"/>
      </w:pPr>
    </w:p>
    <w:p w:rsidR="005728DD" w:rsidRDefault="005728DD" w:rsidP="005728DD">
      <w:pPr>
        <w:pStyle w:val="TextoNormal"/>
      </w:pPr>
      <w:r>
        <w:t>6. Los contratos menores se publicarán en la forma prevista en el artículo 63.4”.</w:t>
      </w:r>
    </w:p>
    <w:p w:rsidR="005728DD" w:rsidRDefault="005728DD" w:rsidP="005728DD">
      <w:pPr>
        <w:pStyle w:val="TextoNormal"/>
      </w:pPr>
    </w:p>
    <w:p w:rsidR="005728DD" w:rsidRDefault="005728DD" w:rsidP="005728DD">
      <w:pPr>
        <w:pStyle w:val="TextoNormal"/>
      </w:pPr>
      <w:r>
        <w:t>(ii) Se añade un inciso final al último párrafo del art. 331 LCSP, relativo a la aportación de información por las comunidades autónomas y de las ciudades autónomas de Ceuta y Melilla, para extender la misma a la información referida a las entidades vinculadas o dependientes de las entidades locales. La redacción tras la reforma es la siguiente:</w:t>
      </w:r>
    </w:p>
    <w:p w:rsidR="005728DD" w:rsidRDefault="005728DD" w:rsidP="005728DD">
      <w:pPr>
        <w:pStyle w:val="TextoNormal"/>
      </w:pPr>
    </w:p>
    <w:p w:rsidR="005728DD" w:rsidRDefault="005728DD" w:rsidP="005728DD">
      <w:pPr>
        <w:pStyle w:val="TextoNormal"/>
      </w:pPr>
      <w:r>
        <w:t>“En el marco del principio de lealtad institucional que rige las relaciones entre las administraciones públicas contemplado con carácter básico en el artículo 3 de la Ley 40/2015, de 1 de octubre, de régimen jurídico del sector público, y con la finalidad de que la Junta Consultiva de Contratación Pública del Estado pueda cumplir con las obligaciones establecidas en el artículo 328 respecto a la Comisión Europea, las comunidades autónomas remitirán en formato electrónico al comité de cooperación regulado en el artículo 329, a través de sus órganos competentes y respecto de sus respectivos ámbitos territoriales, la siguiente documentación:</w:t>
      </w:r>
    </w:p>
    <w:p w:rsidR="005728DD" w:rsidRDefault="005728DD" w:rsidP="005728DD">
      <w:pPr>
        <w:pStyle w:val="TextoNormal"/>
      </w:pPr>
    </w:p>
    <w:p w:rsidR="005728DD" w:rsidRDefault="005728DD" w:rsidP="005728DD">
      <w:pPr>
        <w:pStyle w:val="TextoNormal"/>
      </w:pPr>
      <w:r>
        <w:t>a) Un informe comprensivo de todas aquellas cuestiones mencionadas en las letras b), c), d) y e) del apartado 4 del artículo 328, con una periodicidad de —al menos— cada tres años.</w:t>
      </w:r>
    </w:p>
    <w:p w:rsidR="005728DD" w:rsidRDefault="005728DD" w:rsidP="005728DD">
      <w:pPr>
        <w:pStyle w:val="TextoNormal"/>
      </w:pPr>
    </w:p>
    <w:p w:rsidR="005728DD" w:rsidRDefault="005728DD" w:rsidP="005728DD">
      <w:pPr>
        <w:pStyle w:val="TextoNormal"/>
      </w:pPr>
      <w:r>
        <w:t>b) Un informe comprensivo de las cuestiones previstas en el apartado 8 del artículo 332 con una periodicidad de —al menos— cada tres años.</w:t>
      </w:r>
    </w:p>
    <w:p w:rsidR="005728DD" w:rsidRDefault="005728DD" w:rsidP="005728DD">
      <w:pPr>
        <w:pStyle w:val="TextoNormal"/>
      </w:pPr>
    </w:p>
    <w:p w:rsidR="005728DD" w:rsidRDefault="005728DD" w:rsidP="005728DD">
      <w:pPr>
        <w:pStyle w:val="TextoNormal"/>
      </w:pPr>
      <w:r>
        <w:t>La documentación remitida incluirá información referida a los órganos de contratación de las administraciones locales, así como los de sus entidades vinculadas o dependientes, que durante el periodo temporal a informar hubieran tenido alojada la publicación de sus perfiles de contratante en el servicio de información que a tal efecto hubiera establecido la comunidad autónoma de su ámbito territorial”.</w:t>
      </w:r>
    </w:p>
    <w:p w:rsidR="005728DD" w:rsidRDefault="005728DD" w:rsidP="005728DD">
      <w:pPr>
        <w:pStyle w:val="TextoNormal"/>
      </w:pPr>
    </w:p>
    <w:p w:rsidR="005728DD" w:rsidRDefault="005728DD" w:rsidP="005728DD">
      <w:pPr>
        <w:pStyle w:val="TextoNormal"/>
      </w:pPr>
      <w:r>
        <w:t>(iii) Se modifica el segundo párrafo del apartado 3 de la disposición final primera relativa a los títulos competenciales para introducir el carácter no básico del art. 118.4 LCSP. El resto del precepto queda inalterado con la siguiente redacción:</w:t>
      </w:r>
    </w:p>
    <w:p w:rsidR="005728DD" w:rsidRDefault="005728DD" w:rsidP="005728DD">
      <w:pPr>
        <w:pStyle w:val="TextoNormal"/>
      </w:pPr>
    </w:p>
    <w:p w:rsidR="005728DD" w:rsidRDefault="005728DD" w:rsidP="005728DD">
      <w:pPr>
        <w:pStyle w:val="TextoNormal"/>
      </w:pPr>
      <w:r>
        <w:t>“No obstante, no tendrán carácter básico los siguientes artículos o partes de los mismos: letra a) del apartado 1 del artículo 21; letra a) del apartado 1 del artículo 22; artículo 30; la letra c) del apartado 6 del artículo 32; artículos 45 y 46.1 a 46.3; artículo 69.3; artículo 71.1 f); artículo 76; artículo 83; artículo 95; artículo 104; artículo 105; párrafo segundo del apartado 1 del artículo 107; segundo párrafo del apartado 3 y apartado 5 del artículo 116; artículo 118.4; letras a) y c) del apartado 2 del artículo 119; letra b) del artículo 120.1; apartado 1 del artículo 121; apartados 5, 6 y 7 del artículo 122; artículos 123 y 124; cuarto párrafo del apartado 4 del artículo 149; artículo 153; apartado 2 del artículo 154; artículo 191.2; artículo 192.2 y 3; artículo 193.2 a 5; artículo 194; apartados 2 y 5 del artículo 212; apartado 8 del artículo 215; artículo 228; apartados 1, 2, 5; el párrafo segundo del apartado 6, y apartados 7 y 8 del artículo 229; artículo 230; apartados 1.e) y 4 del artículo 233; artículo 234; artículo 235; artículo 236; artículo 237; artículo 238.2; artículo 240; apartado 1 del artículo 241; el apartado 4, salvo la previsión de la letra b) del primer párrafo y el segundo párrafo, y 5 del artículo 242; artículo 243; artículo 253; artículo 256; artículo 260; apartados 2 y 3 del artículo 263; artículo 266; apartado 5 del artículo 267; artículo 268; artículo 272.6; artículo 273.2; artículo 294.b); artículo 298; apartados 2 y 3 del artículo 300; artículo 302; artículo 303; artículo 304; artículo 305; apartados 2 y 3 del artículo 307; apartados 2 y 3 del artículo 313; apartados 3, 4, 5 y 6 del artículo 314; artículo 315; artículo 323; artículo 324; artículo 325; artículos 326 y 327; artículo 328, salvo el apartado 4; artículo 335.4; apartados 1, 2 y 7 del artículo 347; letra a) y segundo párrafo de la letra f) del apartado 1 de la disposición adicional primera; el párrafo tercero, apartado 1, de la disposición adicional cuarta; disposición adicional decimocuarta; disposición adicional decimonovena; disposición adicional vigésima; disposición adicional vigésima cuarta; disposición adicional vigésima novena; disposición adicional trigésima; disposición transitoria primera; disposición final séptima, y disposición final octava”.</w:t>
      </w:r>
    </w:p>
    <w:p w:rsidR="005728DD" w:rsidRDefault="005728DD" w:rsidP="005728DD">
      <w:pPr>
        <w:pStyle w:val="TextoNormal"/>
      </w:pPr>
    </w:p>
    <w:p w:rsidR="005728DD" w:rsidRDefault="005728DD" w:rsidP="005728DD">
      <w:pPr>
        <w:pStyle w:val="TextoNormal"/>
      </w:pPr>
      <w:r>
        <w:t>d) La disposición final cuadragésima de la Ley 11/2020, de 30 de diciembre de 2020, de presupuestos generales del Estado para el año 2021, realiza una serie de modificaciones de la Ley de contratos del sector público, de las cuales, a los efectos del presente recurso, tienen relevancia las siguientes:</w:t>
      </w:r>
    </w:p>
    <w:p w:rsidR="005728DD" w:rsidRDefault="005728DD" w:rsidP="005728DD">
      <w:pPr>
        <w:pStyle w:val="TextoNormal"/>
      </w:pPr>
    </w:p>
    <w:p w:rsidR="005728DD" w:rsidRDefault="005728DD" w:rsidP="005728DD">
      <w:pPr>
        <w:pStyle w:val="TextoNormal"/>
      </w:pPr>
      <w:r>
        <w:t>(i) En relación con el art. 32 LCSP, se suprime el último párrafo de los apartados 2 b) y 4 b), que tenía idéntico contenido, y el apartado 5. El resto del artículo mantiene la misma redacción.</w:t>
      </w:r>
    </w:p>
    <w:p w:rsidR="005728DD" w:rsidRDefault="005728DD" w:rsidP="005728DD">
      <w:pPr>
        <w:pStyle w:val="TextoNormal"/>
      </w:pPr>
    </w:p>
    <w:p w:rsidR="005728DD" w:rsidRDefault="005728DD" w:rsidP="005728DD">
      <w:pPr>
        <w:pStyle w:val="TextoNormal"/>
      </w:pPr>
      <w:r>
        <w:t>(ii) Se da una nueva redacción a la letra a) del apartado 1 del art. 159 LCSP, que queda como sigue:</w:t>
      </w:r>
    </w:p>
    <w:p w:rsidR="005728DD" w:rsidRDefault="005728DD" w:rsidP="005728DD">
      <w:pPr>
        <w:pStyle w:val="TextoNormal"/>
      </w:pPr>
    </w:p>
    <w:p w:rsidR="005728DD" w:rsidRDefault="005728DD" w:rsidP="005728DD">
      <w:pPr>
        <w:pStyle w:val="TextoNormal"/>
      </w:pPr>
      <w:r>
        <w:t>“a) Que su valor estimado sea igual o inferior a 2 000 000 € en el caso de contratos de obras, y en el caso de contratos de suministro y de servicios, que su valor estimado sea igual o inferior a las cantidades establecidas en los artículos 21.1, letra a) y 22.1, letra a) de esta ley, respectivamente, o a sus correspondientes actualizaciones”.</w:t>
      </w:r>
    </w:p>
    <w:p w:rsidR="005728DD" w:rsidRDefault="005728DD" w:rsidP="005728DD">
      <w:pPr>
        <w:pStyle w:val="TextoNormal"/>
      </w:pPr>
    </w:p>
    <w:p w:rsidR="005728DD" w:rsidRDefault="005728DD" w:rsidP="005728DD">
      <w:pPr>
        <w:pStyle w:val="TextoNormal"/>
      </w:pPr>
      <w:r>
        <w:t>Como consecuencia de la declaración del estado de alarma mediante Real Decreto 463/2020, de 14 de marzo, y sus posteriores prórrogas, para la gestión de la situación de crisis sanitaria ocasionada por el COVID-19 se han aprobado una serie de reales decretos-leyes (11/2020, 15/2020, 16/2020 y 17/2020), así como la Ley 3/2020, de 18 de septiembre, de medidas procesales y organizativas para hacer frente al COVID-19 en el ámbito de la administración de justicia, y el Real Decreto-ley 36/2020, de 30 de diciembre, por el que se aprueban medidas urgentes para la modernización de la administración pública y para la ejecución del plan de recuperación, transformación y resiliencia, que contemplan medidas en relación con la contratación y, en algún caso, reforman la vigente legislación de contratos [art. 29.4; art. 32.7 b), párrafo tercero; art. 33.2 y 3; art. 45.1; art. 159.4 d) y f). Este precepto ha sido modificado de nuevo para introducir una mejora técnica por la disposición final séptima de la Ley 3/2020, de 18 de septiembre, de medidas procesales y organizativas para hacer frente a la COVID-19 en el ámbito de la administración de justicia; y art. 208.2 a)]. Estas modificaciones no afectan al objeto del presente recurso.</w:t>
      </w:r>
    </w:p>
    <w:p w:rsidR="005728DD" w:rsidRDefault="005728DD" w:rsidP="005728DD">
      <w:pPr>
        <w:pStyle w:val="TextoNormal"/>
      </w:pPr>
    </w:p>
    <w:p w:rsidR="005728DD" w:rsidRDefault="005728DD" w:rsidP="005728DD">
      <w:pPr>
        <w:pStyle w:val="TextoNormal"/>
      </w:pPr>
      <w:r>
        <w:t>B) La abogacía del Estado sostiene que el escrito de interposición incurre reiteradamente en impugnaciones de preceptos en las que, bien se omite toda carga argumental, bien esta se limita a denunciar el excesivo detalle de la regulación básica estatal, sin un examen pormenorizado del texto normativo.</w:t>
      </w:r>
    </w:p>
    <w:p w:rsidR="005728DD" w:rsidRDefault="005728DD" w:rsidP="005728DD">
      <w:pPr>
        <w:pStyle w:val="TextoNormal"/>
      </w:pPr>
    </w:p>
    <w:p w:rsidR="005728DD" w:rsidRDefault="005728DD" w:rsidP="005728DD">
      <w:pPr>
        <w:pStyle w:val="TextoNormal"/>
      </w:pPr>
      <w:r>
        <w:t>Según la STC 11/1981, de 8 de abril, FJ 3, “en los casos de fundamentación insuficiente el tribunal resta en libertad para rechazar la acción en aquello en que se encuentre insuficientemente fundada o para examinar el fondo del asunto si encuentra razones para ello”. Por su parte, la STC 87/2017, de 4 de julio, FJ 2, resumiendo la doctrina existente, declara que “nuestro pronunciamiento debe centrarse en los aspectos señalados en la demanda ‘sin que este tribunal pueda entrar en aquellos sobre los que el recurso, no solo carece de una argumentación suficiente que permita desvirtuar la presunción de validez de las leyes aprobadas’ (STC 237/2007, de 8 de noviembre, FJ 3), sino que, además, ‘exceden de la pretensión planteada’ (STC 8/2013, de 17 de enero, FJ 2). En efecto,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15 de abril, FJ 3; 36/1994, de 10 de febrero, FJ 1, y 61/1997, de 20 de marzo, FJ 13). Ello supone que no debe estimarse una pretensión que solo descansa en la mera aseveración genérica, huérfana de toda argumentación, de una supuesta afectación de títulos competenciales’ [STC 22/2012, de 16 de febrero, FJ 2 b)]”.</w:t>
      </w:r>
    </w:p>
    <w:p w:rsidR="005728DD" w:rsidRDefault="005728DD" w:rsidP="005728DD">
      <w:pPr>
        <w:pStyle w:val="TextoNormal"/>
      </w:pPr>
    </w:p>
    <w:p w:rsidR="005728DD" w:rsidRDefault="005728DD" w:rsidP="005728DD">
      <w:pPr>
        <w:pStyle w:val="TextoNormal"/>
      </w:pPr>
      <w:r>
        <w:t>En relación con el juicio sobre el alcance de las bases, cuestión clave sobre la que gira el presente proceso constitucional, el tribunal ha declarado que “‘tiene una naturaleza eminentemente jurídica, lo que impide las descalificaciones globales imprecisas, exigiendo, por el contrario, la fundamentación concreta de porqué (</w:t>
      </w:r>
      <w:r w:rsidRPr="005728DD">
        <w:rPr>
          <w:i/>
        </w:rPr>
        <w:t>sic</w:t>
      </w:r>
      <w:r>
        <w:t>) en cada caso debe entenderse vulnerado el bloque de la constitucionalidad’ (STC 132/1989), no consintiendo, por tanto, los conflictos de competencia ‘ser resueltos desde un plano exclusivamente abstracto y generalizado que prescinda de contrastar, de manera singularizada los títulos competenciales invocados y el concreto contenido de cada uno de los preceptos sobre los cuales se proyecta la impugnación’ (STC 147/1991)” (STC 141/1993, de 22 de abril, FJ 5).</w:t>
      </w:r>
    </w:p>
    <w:p w:rsidR="005728DD" w:rsidRDefault="005728DD" w:rsidP="005728DD">
      <w:pPr>
        <w:pStyle w:val="TextoNormal"/>
      </w:pPr>
    </w:p>
    <w:p w:rsidR="005728DD" w:rsidRDefault="005728DD" w:rsidP="005728DD">
      <w:pPr>
        <w:pStyle w:val="TextoNormal"/>
      </w:pPr>
      <w:r>
        <w:t>Por esta razón, el tribunal no puede pronunciarse sobre los preceptos impugnados sobre los que no se expone argumento alguno que cuestione su constitucionalidad. La mera reproducción de algunos fragmentos de sentencias no puede considerarse suficiente para levantar la carga del recurrente. Este es el caso de los arts. 86.3, 213, 221, 226, 250.1 b), 312, 336.1 y el apartado séptimo de la disposición adicional segunda de la Ley de contratos del sector público. En algunos casos advertiremos que, recurriéndose formalmente el precepto entero, la impugnación se limita, en realidad, a algunos de sus apartados, párrafos o incisos.</w:t>
      </w:r>
    </w:p>
    <w:p w:rsidR="005728DD" w:rsidRDefault="005728DD" w:rsidP="005728DD">
      <w:pPr>
        <w:pStyle w:val="TextoNormal"/>
      </w:pPr>
    </w:p>
    <w:p w:rsidR="005728DD" w:rsidRDefault="005728DD" w:rsidP="005728DD">
      <w:pPr>
        <w:pStyle w:val="TextoNormal"/>
      </w:pPr>
      <w:r>
        <w:t>C) El recurrente, como se ha expuesto en los antecedentes, ha articulado su demanda en torno a cinco motivos de impugnación. Sin embargo, la crítica principal radica en negar carácter básico a los preceptos de la Ley de contratos del sector público que han sido impugnados por entender que vulneran, bien la doctrina constitucional sobre legislación básica o el concepto material de bases, bien la potestad de autoorganización de la comunidad autónoma por incurrir la norma estatal en un exceso de detalle. En todos estos casos, la cuestión de fondo sigue siendo la misma: concretar el carácter básico o no de dichos preceptos en materia de contratación pública. Por esta razón y con el objetivo de facilitar la sistematización del enjuiciamiento, estos preceptos serán examinados de forma conjunta, sin perjuicio de realizar las oportunas referencias al concreto motivo de impugnación alegado por el recurrente.</w:t>
      </w:r>
    </w:p>
    <w:p w:rsidR="005728DD" w:rsidRDefault="005728DD" w:rsidP="005728DD">
      <w:pPr>
        <w:pStyle w:val="TextoNormal"/>
      </w:pPr>
    </w:p>
    <w:p w:rsidR="005728DD" w:rsidRDefault="005728DD" w:rsidP="005728DD">
      <w:pPr>
        <w:pStyle w:val="TextoNormal"/>
      </w:pPr>
      <w:r>
        <w:t>Las cuestiones planteadas serán objeto de examen por el siguiente orden: (i) las quejas suscitadas en relación con la vulneración del principio de neutralidad en la trasposición del Derecho europeo. (ii) El no reconocimiento del carácter foral de la Comunidad Autónoma de Aragón. (iii) Los motivos de inconstitucionalidad que se alegan por vulneración del orden competencial constitucional y estatutariamente establecido en materia de contratación pública, conforme a lo dispuesto en el art. 149.1.18 CE, que atribuye al Estado la legislación básica en la materia, y a los arts. 75.11 y 12 EAAr, que otorgan a la comunidad autónoma competencia de desarrollo legislativo y ejecución. (iv) La constitucionalidad de los arts. 41.3, 44.6 y 128 LCSP, a los efectos de determinar si estamos, como sostiene el recurrente, ante normas de carácter supletorio.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Primer motivo de impugnación: la vulneración del principio de neutralidad en la transposición del Derecho europeo</w:t>
      </w:r>
      <w:r>
        <w:t>.</w:t>
      </w:r>
    </w:p>
    <w:p w:rsidR="005728DD" w:rsidRDefault="005728DD" w:rsidP="005728DD">
      <w:pPr>
        <w:pStyle w:val="TextoNormal"/>
      </w:pPr>
    </w:p>
    <w:p w:rsidR="005728DD" w:rsidRDefault="005728DD" w:rsidP="005728DD">
      <w:pPr>
        <w:pStyle w:val="TextoNormal"/>
      </w:pPr>
      <w:r>
        <w:t xml:space="preserve">a) La letrada del Gobierno de Aragón atribuye un carácter transversal a la vulneración del principio de neutralidad en la trasposición de la normativa europea o de no modificación de “la distribución interna de competencias que establecen la Constitución y el presente </w:t>
      </w:r>
      <w:r>
        <w:lastRenderedPageBreak/>
        <w:t>Estatuto”, en la que incurre la Ley de contratos del sector público, por corresponder a la comunidad autónoma aplicar y desarrollar el Derecho de la Unión Europea en el ámbito de sus competencias (art. 93.2 EAAr), que comprenden el desarrollo legislativo y la ejecución en materia de contratación administrativa (art. 75.11 y 12 EAAr). Por este motivo se impugnan los apartados 1, 3 y 4 de la disposición final primera —disposición cuya impugnación también es alegada en relación con cada uno de los motivos de fondo invocados por el recurrente— y, por conexión, el art. 2.3 LCSP, así como la disposición final quinta.</w:t>
      </w:r>
    </w:p>
    <w:p w:rsidR="005728DD" w:rsidRDefault="005728DD" w:rsidP="005728DD">
      <w:pPr>
        <w:pStyle w:val="TextoNormal"/>
      </w:pPr>
    </w:p>
    <w:p w:rsidR="005728DD" w:rsidRDefault="005728DD" w:rsidP="005728DD">
      <w:pPr>
        <w:pStyle w:val="TextoNormal"/>
      </w:pPr>
      <w:r>
        <w:t>La disposición final primera, relativa a los títulos competenciales, establece, en su apartado primero, que el art. 27 LCSP “se dicta al amparo de la regla sexta del artículo 149.1 de la Constitución, que atribuye al Estado la competencia sobre ‘legislación procesal, sin perjuicio de las necesarias especialidades que en este orden se deriven de las particularidades del derecho sustantivo de las comunidades autónomas’”. El apartado 3, párrafo primero, dispone que el art. 347.3, “constituye legislación básica y se dicta al amparo del artículo 149.1.18 de la Constitución en materia de ‘bases del régimen jurídico de las administraciones públicas’”, y que “los restantes artículos de la presente ley constituyen legislación básica dictada al amparo del artículo 149.1.18 de la Constitución en materia de legislación básica sobre contratos y concesiones administrativas y, en consecuencia, son de aplicación general a todas las administraciones públicas y organismos y entidades dependientes de ellas”, salvo las excepciones previstas en el párrafo segundo del mismo apartado (este párrafo ha sido objeto de modificación por el Real Decreto-ley 3/2020, a los solos efectos de introducir el carácter no básico del art. 118.4). En conexión con ambos apartados —y el resto del precepto—, el art. 2.3 reitera que la aplicación de la Ley de contratos del sector público a los contratos que celebren las comunidades autónomas y las entidades que integran la administración local, o los organismos dependientes de las mismas, “se efectuará en los términos previstos en la disposición final primera de la presente ley relativa a los títulos competenciales”. Por su parte, el apartado 4 establece una garantía del respeto a las competencias de las comunidades autónomas cuando subraya que las previsiones de la Ley de contratos del sector público serán de aplicación a aquellas en los términos fijados por los apartados 1, 2 y 3 anteriores, pero “sin perjuicio de las posiciones singulares que en materia de sistema institucional, y en lo que respecta a las competencias exclusivas y compartidas, en materia de función pública y de auto organización, en cada caso resulten de aplicación en virtud de lo dispuesto en la Constitución Española y en los Estatutos de Autonomía”. Por último, la disposición final quinta se limita a declarar que mediante la Ley de contratos del sector público se incorporan al ordenamiento jurídico interno las Directivas 2014/23/UE y 2014/24/UE relativas, respectivamente, a los contratos de concesión y a la contratación pública.</w:t>
      </w:r>
    </w:p>
    <w:p w:rsidR="005728DD" w:rsidRDefault="005728DD" w:rsidP="005728DD">
      <w:pPr>
        <w:pStyle w:val="TextoNormal"/>
      </w:pPr>
    </w:p>
    <w:p w:rsidR="005728DD" w:rsidRDefault="005728DD" w:rsidP="005728DD">
      <w:pPr>
        <w:pStyle w:val="TextoNormal"/>
      </w:pPr>
      <w:r>
        <w:t>La abogacía del Estado entiende que se trata de una impugnación que carece de sustantividad autónoma y que deberá ser reconducida a la resolución de la controversia de fondo: esto es, el carácter básico o no que el legislador estatal ha atribuido a algunas de las normas de transposición al ordenamiento jurídico interno de las directivas de la Unión Europea.</w:t>
      </w:r>
    </w:p>
    <w:p w:rsidR="005728DD" w:rsidRDefault="005728DD" w:rsidP="005728DD">
      <w:pPr>
        <w:pStyle w:val="TextoNormal"/>
      </w:pPr>
    </w:p>
    <w:p w:rsidR="005728DD" w:rsidRDefault="005728DD" w:rsidP="005728DD">
      <w:pPr>
        <w:pStyle w:val="TextoNormal"/>
      </w:pPr>
      <w:r>
        <w:t xml:space="preserve">b) En relación con la incorporación a nuestro ordenamiento jurídico interno de las directivas europeas, el tribunal ha venido reiterando en sucesivas ocasiones que son “‘las reglas internas de delimitación competencial las que en todo caso han de fundamentar la respuesta a los conflictos de competencia planteados entre el Estado y las Comunidades Autónomas’, </w:t>
      </w:r>
      <w:r>
        <w:lastRenderedPageBreak/>
        <w:t>pues ‘el Derecho comunitario no es en sí mismo canon o parámetro directo de constitucionalidad en los procesos constitucionales’ [SSTC 28/1991, de 14 de febrero, FJ 4; 136/2011, de 13 de septiembre, FJ 12, y 99/2012, de 8 de mayo, FJ 2 b)]. Las normas del Derecho de la Unión Europea, originario o derivado, carecen ‘de rango y fuerza constitucionales’ [SSTC 215/2014, de 18 de diciembre, FJ 3 a), y 232/2015, de 5 de noviembre, FJ 4] y el orden competencial establecido por la Constitución ‘no resulta alterado ni por el ingreso de España en la Comunidad Europea ni por la promulgación de normas comunitarias’ (SSTC 21/1999, de 25 de febrero, FJ 1, y 96/2002, de 25 de abril, FJ 10)” (STC 165/2016, de 6 de octubre, FJ 6). En conclusión, la ejecución del Derecho europeo “corresponde a quien materialmente ostenta la competencia según las reglas de Derecho interno, puesto que ‘no existe una competencia específica para la ejecución del Derecho comunitario’ (SSTC 236/1991 y 79/1992)” (STC 141/1993, FJ 2).</w:t>
      </w:r>
    </w:p>
    <w:p w:rsidR="005728DD" w:rsidRDefault="005728DD" w:rsidP="005728DD">
      <w:pPr>
        <w:pStyle w:val="TextoNormal"/>
      </w:pPr>
    </w:p>
    <w:p w:rsidR="005728DD" w:rsidRDefault="005728DD" w:rsidP="005728DD">
      <w:pPr>
        <w:pStyle w:val="TextoNormal"/>
      </w:pPr>
      <w:r>
        <w:t>De acuerdo con la doctrina expuesta, el presente conflicto competencial habrá de ser resuelto exclusivamente conforme a las reglas de Derecho interno. El hecho de que las directivas europeas sean de obligado cumplimiento por la totalidad de las autoridades de los Estados miembros y que incluso puedan tener un “efecto directo”, no significa, como ya ha declarado el tribunal, “que las normas estatales que las adaptan a nuestro ordenamiento deban ser consideradas necesariamente básicas”; e igualmente, si su trasposición exige, en ciertos casos, establecer normas internas con un contenido mínimo uniforme para el conjunto del territorio estatal, será al Estado al que le corresponda efectuar esta regulación “mediante normas de carácter básico en la medida en que así lo permitan la Constitución y los Estatutos de Autonomía” (STC 141/1993, FJ 2). Del mismo modo, si la Unión Europea establece una legislación que sustituya a la normativa básica del Estado, de acuerdo con una reiterada doctrina constitucional (STC 148/1998, de 2 de julio, FJ 4), “no existe razón alguna para objetar que la comunidad autónoma ejecute el Derecho de la Unión Europea en el ámbito de sus competencias […] y, en consecuencia, tampoco, en principio, para que pueda adoptar, cuando ello sea posible, legislación de desarrollo a partir de una legislación europea que sustituya a la normativa básica del Estado en una materia”, salvaguardando, en todo caso, la competencia básica del Estado “que no resulta desplazada ni eliminada por la normativa europea, de modo que el Estado puede dictar futuras normas básicas en el ejercicio de una competencia constitucionalmente reservada, pues […] la sustitución de unas bases por el Derecho europeo no modifica constitutivamente la competencia constitucional estatal de emanación de bases” (STC 31/2010, de 28 de junio, FJ 123).</w:t>
      </w:r>
    </w:p>
    <w:p w:rsidR="005728DD" w:rsidRDefault="005728DD" w:rsidP="005728DD">
      <w:pPr>
        <w:pStyle w:val="TextoNormal"/>
      </w:pPr>
    </w:p>
    <w:p w:rsidR="005728DD" w:rsidRDefault="005728DD" w:rsidP="005728DD">
      <w:pPr>
        <w:pStyle w:val="TextoNormal"/>
      </w:pPr>
      <w:r>
        <w:t>Por tanto, la controversia competencial suscitada por los recurrentes queda deferida al momento en el que se examine por el tribunal si los preceptos de la Ley de contratos del sector público, objeto de impugnación, tienen o no el carácter de normas básicas. En materia de contratación pública, el contenido del Derecho europeo suele coincidir con las normas estatales que merecen ser razonablemente consideradas como básicas (STC 141/1993, FJ 5), si bien, como el tribunal ha sostenido, no toda norma comunitaria ha de ser incorporada al ordenamiento jurídico interno a través de una norma estatal dotada de carácter básico. Esto no es óbice para que un pronunciamiento sobre la eventual contradicción alegada entre la legislación estatal y la norma autonómica “deba partir de una interpretación de las disposiciones legales acorde con las exigencias del Derecho europeo” [STC 84/2015, de 30 de abril, FJ 6 a)].</w:t>
      </w:r>
    </w:p>
    <w:p w:rsidR="005728DD" w:rsidRDefault="005728DD" w:rsidP="005728DD">
      <w:pPr>
        <w:pStyle w:val="TextoNormal"/>
      </w:pPr>
    </w:p>
    <w:p w:rsidR="005728DD" w:rsidRDefault="005728DD" w:rsidP="005728DD">
      <w:pPr>
        <w:pStyle w:val="TextoNormal"/>
      </w:pPr>
      <w:r>
        <w:lastRenderedPageBreak/>
        <w:t>La impugnación de la disposición final primera descansa, en lo sustancial, en el hecho de que otorga el carácter de legislación básica a la mayoría de los preceptos de la Ley de contratos del sector público (apartados 1 y 3, párrafo primero; y por conexión se recurre el apartado 4 y el art. 2.3 que remiten a los anteriores). Como ya se afirmó en la STC 179/1992, de 13 de noviembre, FJ 2, en la que se abordó una cuestión similar en relación con el carácter básico de la legislación de contratos, “en aquellos supuestos en que corresponde al Estado la competencia para aprobar las normas básicas de una materia, la calificación expresa, de entre las normas estatales, de las que tienen carácter básico y de las que no lo tienen no es una mera facultad o posibilidad abierta al titular de la potestad normativa correspondiente. Es, por el contrario, un deber general inherente a su función”. La Ley de contratos del sector público cumple escrupulosamente con la exigencia formal en la definición de lo básico, en virtud del cual “por razones de seguridad jurídica y para evitar la ambigüedad permanente, ‘la Ley puede y debe declarar expresamente el alcance básico de la norma o, en su defecto, venir dotada de una estructura que permita inferir, directa o indirectamente, pero sin especial dificultad, su vocación o pretensión de básica’”. Cuestión distinta, que se examinará más adelante, es que esto signifique reconocer que todos los preceptos tengan carácter básico, o que hayan de ser aceptados como normas materialmente básicas por razón de su contenido.</w:t>
      </w:r>
    </w:p>
    <w:p w:rsidR="005728DD" w:rsidRDefault="005728DD" w:rsidP="005728DD">
      <w:pPr>
        <w:pStyle w:val="TextoNormal"/>
      </w:pPr>
    </w:p>
    <w:p w:rsidR="005728DD" w:rsidRDefault="005728DD" w:rsidP="005728DD">
      <w:pPr>
        <w:pStyle w:val="TextoNormal"/>
      </w:pPr>
      <w:r>
        <w:t>También procede desestimar la impugnación de la disposición final quinta, pues esta se limita a declarar que mediante la Ley de contratos del sector público se incorporan a nuestro ordenamiento jurídico interno las directivas europeas en materia de contratación, pero sin prejuzgar o cuestionar que la ejecución del Derecho europeo corresponda, en todo caso, a quien materialmente ostente la competencia según las reglas de Derecho interno.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Segundo motivo de impugnación: no reconocimiento del carácter foral de la Comunidad Autónoma de Aragón</w:t>
      </w:r>
      <w:r>
        <w:t>.</w:t>
      </w:r>
    </w:p>
    <w:p w:rsidR="005728DD" w:rsidRDefault="005728DD" w:rsidP="005728DD">
      <w:pPr>
        <w:pStyle w:val="TextoNormal"/>
      </w:pPr>
    </w:p>
    <w:p w:rsidR="005728DD" w:rsidRDefault="005728DD" w:rsidP="005728DD">
      <w:pPr>
        <w:pStyle w:val="TextoNormal"/>
      </w:pPr>
      <w:r>
        <w:t>a) Las disposiciones finales segunda y tercera de la Ley de contratos del sector público se configuran como garantías del respeto a las competencias autonómicas y atienden respectivamente a las circunstancias específicas de Navarra y del País Vasco, derivadas de su régimen foral. La letrada del Gobierno autonómico sostiene en su recurso que aquellas disposiciones son inconstitucionales al no dispensar idéntico tratamiento a la Comunidad Autónoma de Aragón; esto es, por no reconocerle su carácter de territorio foral tal como se deriva del art. 1 y la disposición adicional tercera del EAAr, al amparo de los cuales sus derechos “podrán ser actualizados de acuerdo con lo que establece la disposición adicional primera de la Constitución”.</w:t>
      </w:r>
    </w:p>
    <w:p w:rsidR="005728DD" w:rsidRDefault="005728DD" w:rsidP="005728DD">
      <w:pPr>
        <w:pStyle w:val="TextoNormal"/>
      </w:pPr>
    </w:p>
    <w:p w:rsidR="005728DD" w:rsidRDefault="005728DD" w:rsidP="005728DD">
      <w:pPr>
        <w:pStyle w:val="TextoNormal"/>
      </w:pPr>
      <w:r>
        <w:t>La abogacía del Estado rechaza los argumentos expuestos por el recurrente al entender que es imposible definir a Aragón como una comunidad foral en el sentido que la disposición adicional primera CE ha dado a este término y que esto no impide que una comunidad autónoma pueda, conforme al art. 149.1.8 CE y su estatuto de autonomía, ver reconocido su Derecho civil propio.</w:t>
      </w:r>
    </w:p>
    <w:p w:rsidR="005728DD" w:rsidRDefault="005728DD" w:rsidP="005728DD">
      <w:pPr>
        <w:pStyle w:val="TextoNormal"/>
      </w:pPr>
    </w:p>
    <w:p w:rsidR="005728DD" w:rsidRDefault="005728DD" w:rsidP="005728DD">
      <w:pPr>
        <w:pStyle w:val="TextoNormal"/>
      </w:pPr>
      <w:r>
        <w:t xml:space="preserve">b) El tribunal, desde la STC 76/1988, de 26 de abril, se ha pronunciado reiteradamente sobre el significado de la disposición adicional primera de la CE y las consecuencias que de ella se derivan y ha declarado específicamente la imposibilidad de extender los derechos reconocidos a los territorios históricos por la citada disposición adicional primera a la Comunidad Autónoma de Aragón. El examen del presente motivo de impugnación se realizará </w:t>
      </w:r>
      <w:r>
        <w:lastRenderedPageBreak/>
        <w:t>aplicando la doctrina expuesta en la reciente STC 158/2019, de 12 de diciembre, por la que se resuelve el recurso de inconstitucionalidad núm. 5212-2018 contra la Ley de las Cortes de Aragón 8/2018, de 28 de junio, de actualización de los derechos históricos de Aragón.</w:t>
      </w:r>
    </w:p>
    <w:p w:rsidR="005728DD" w:rsidRDefault="005728DD" w:rsidP="005728DD">
      <w:pPr>
        <w:pStyle w:val="TextoNormal"/>
      </w:pPr>
    </w:p>
    <w:p w:rsidR="005728DD" w:rsidRDefault="005728DD" w:rsidP="005728DD">
      <w:pPr>
        <w:pStyle w:val="TextoNormal"/>
      </w:pPr>
      <w:r>
        <w:t>La expresión “territorios forales” recogida en la disposición adicional primera CE hace referencia —como pone de manifiesto, entre otras, la STC 118/2016, de 23 de junio, FJ 2—,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(SSTC 76/1988, de 26 de abril, FJ 2, y 173/2014, de 23 de octubre, FJ 3)”. Estos son los “derechos históricos” que, como declara, entre otras muchas, la STC 158/2019, de 12 de diciembre, FJ 2, «la disposición adicional primera de la Constitución “ampara y respeta”, aunque, como no podía ser de otra manera, de forma actualizada “en el marco de la Constitución y de los estatutos de autonomía”, “pues el texto constitucional ‘imposibilita el mantenimiento de situaciones jurídicas (aun con una probada tradición) que resulten incompatibles con los mandatos y principios constitucionales’ (STC 76/1988, de 26 de abril, FJ 3)” (FJ 2). En el mismo sentido se han pronunciado las SSTC 88/1993, de 12 de marzo, FJ 1 b); 208/2012, de 14 de noviembre, FJ 4 a), y 110/2016, de 9 de junio. La última de las citadas afirma taxativamente que las partes del territorio a las que resulta de aplicación la disposición adicional primera CE son las comprendidas actualmente en la Comunidad Autónoma del País Vasco y la Comunidad Foral de Navarra (FJ 4)».</w:t>
      </w:r>
    </w:p>
    <w:p w:rsidR="005728DD" w:rsidRDefault="005728DD" w:rsidP="005728DD">
      <w:pPr>
        <w:pStyle w:val="TextoNormal"/>
      </w:pPr>
    </w:p>
    <w:p w:rsidR="005728DD" w:rsidRDefault="005728DD" w:rsidP="005728DD">
      <w:pPr>
        <w:pStyle w:val="TextoNormal"/>
      </w:pPr>
      <w:r>
        <w:t>Por esta razón, la extensión del ámbito de aplicación de la disposición adicional primera de la CE a otros territorios es constitucionalmente inviable con independencia de que el instrumento normativo empleado a este fin sea un estatuto de autonomía o la legislación ordinaria, estatal o autonómica. De igual modo, como, entre otras resoluciones, ha declarado la citada STC 158/2019, FJ 4, “ha de rechazarse de plano que pueda acometerse la actualización de los derechos históricos por vía de legislación ordinaria. Incluso en los territorios forales, los derechos históricos a los que se alude la disposición adicional primera de la CE ‘no pueden considerarse como un título autónomo del que puedan deducirse específicas competencias no incorporadas a los estatutos de autonomía (SSTC 123/1984, de 18 de diciembre, FJ 3; 94/1985, de 29 de julio, FJ 6, y 76/1988, FJ 4)’ (STC 86/2014, de 29 de mayo, FJ 3), sin que la disposición adicional primera CE pueda estimarse como una garantía de toda competencia que legítimamente quepa calificar de histórica (SSTC 86/2014, de 29 de mayo, FJ 3, y 154/2017, de 21 de diciembre, FJ 4). En los territorios forales, es el estatuto de autonomía el elemento decisivo de actualización, siendo los correspondientes preceptos estatutarios los que expresan el contenido de la foralidad garantizada por la Constitución (STC 68/2018, de 21 de junio, FJ 5; en el mismo sentido, STC 171/2014, de 23 de octubre, FJ 6)”.</w:t>
      </w:r>
    </w:p>
    <w:p w:rsidR="005728DD" w:rsidRDefault="005728DD" w:rsidP="005728DD">
      <w:pPr>
        <w:pStyle w:val="TextoNormal"/>
      </w:pPr>
    </w:p>
    <w:p w:rsidR="005728DD" w:rsidRDefault="005728DD" w:rsidP="005728DD">
      <w:pPr>
        <w:pStyle w:val="TextoNormal"/>
      </w:pPr>
      <w:r>
        <w:t xml:space="preserve">En el caso que nos ocupa y de acuerdo con la doctrina constitucional expuesta, la pretensión de que la Ley de contratos del sector público impide a la Comunidad Autónoma de Aragón actualizar sus derechos históricos en materia de contratación no encuentra amparo en la disposición adicional primera de la CE y tampoco puede hallar cobertura en otras disposiciones del bloque de la constitucionalidad como la disposición adicional tercera del </w:t>
      </w:r>
      <w:r>
        <w:lastRenderedPageBreak/>
        <w:t>EAAr, como alega la parte recurrente. Esto es así porque “cualquiera que sea el significado de esta última disposición, en la medida en que proclama que la ‘aceptación del régimen de autonomía que se establece en el presente estatuto no implica la renuncia del pueblo aragonés a los derechos que como tal le hubieran podido corresponder en virtud de su historia’, en términos jurídico-constitucionales, esta formulación no habilita al legislador aragonés para llevar a cabo una actualización de derechos históricos que ni está incluida en el ámbito de aplicación de la disposición adicional primera CE, ni está recogida en los contenidos dispositivos del Estatuto de Autonomía de Aragón, ni podría estarlo, atendiendo a la citada doctrina constitucional” (STC 158/2019, FJ 4).</w:t>
      </w:r>
    </w:p>
    <w:p w:rsidR="005728DD" w:rsidRDefault="005728DD" w:rsidP="005728DD">
      <w:pPr>
        <w:pStyle w:val="TextoNormal"/>
      </w:pPr>
    </w:p>
    <w:p w:rsidR="005728DD" w:rsidRDefault="005728DD" w:rsidP="005728DD">
      <w:pPr>
        <w:pStyle w:val="TextoNormal"/>
      </w:pPr>
      <w:r>
        <w:t>En conclusión, la tacha de inconstitucionalidad opuesta por la parte recurrente a las disposiciones finales tercera y cuarta LCSP, fundamentada en no respetar el carácter foral de la Comunidad Autónoma de Aragón derivado de la disposición adicional tercera EAAr y la disposición adicional primera CE, debe ser desestimada.</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Tercer motivo de impugnación: Vulneración del orden competencial en materia de contratación, conforme a lo dispuesto en el art. 149.1.18 CE. Sistemática y parámetro de constitucionalidad</w:t>
      </w:r>
      <w:r>
        <w:t>.</w:t>
      </w:r>
    </w:p>
    <w:p w:rsidR="005728DD" w:rsidRDefault="005728DD" w:rsidP="005728DD">
      <w:pPr>
        <w:pStyle w:val="TextoNormal"/>
      </w:pPr>
    </w:p>
    <w:p w:rsidR="005728DD" w:rsidRDefault="005728DD" w:rsidP="005728DD">
      <w:pPr>
        <w:pStyle w:val="TextoNormal"/>
      </w:pPr>
      <w:r>
        <w:t>A) Examinamos ahora si los preceptos legales a los que la Ley de contratos del sector público atribuye carácter básico y que han sido impugnados por el Gobierno de Aragón cumplen con los requisitos que ha de respetar la legislación básica del Estado en materia de contratación pública. En el presente recurso no está en cuestión la competencia del Estado para dictar la legislación básica en materia de contratación pública, pues se reconoce que el art. 149.1.18 CE se la atribuye. La cuestión fundamental que se plantea es, en esencia, determinar si la competencia estatal para dictar las bases en esta materia se ha ejercido en perjuicio de las competencias autonómicas de desarrollo legislativo y ejecución o de su potestad de autoorganización en los términos que ha precisado el Tribunal Constitucional.</w:t>
      </w:r>
    </w:p>
    <w:p w:rsidR="005728DD" w:rsidRDefault="005728DD" w:rsidP="005728DD">
      <w:pPr>
        <w:pStyle w:val="TextoNormal"/>
      </w:pPr>
    </w:p>
    <w:p w:rsidR="005728DD" w:rsidRDefault="005728DD" w:rsidP="005728DD">
      <w:pPr>
        <w:pStyle w:val="TextoNormal"/>
      </w:pPr>
      <w:r>
        <w:t>Recordaremos, con carácter previo, los criterios de orden material que el tribunal ha destacado como característicos de la legislación básica en materia de contratación y la doctrina sobre las bases como límite a la potestad autonómica de autoorganización.</w:t>
      </w:r>
    </w:p>
    <w:p w:rsidR="005728DD" w:rsidRDefault="005728DD" w:rsidP="005728DD">
      <w:pPr>
        <w:pStyle w:val="TextoNormal"/>
      </w:pPr>
    </w:p>
    <w:p w:rsidR="005728DD" w:rsidRDefault="005728DD" w:rsidP="005728DD">
      <w:pPr>
        <w:pStyle w:val="TextoNormal"/>
      </w:pPr>
      <w:r>
        <w:t>Dado el gran número de preceptos recurridos, el enjuiciamiento pormenorizado de cada uno de ellos se realizará agrupándolos en tres bloques: i) preceptos relativos a delimitación y configuración de los contratos del sector público y sus elementos esenciales; ii) preceptos sobre la preparación y adjudicación, y los efectos, cumplimiento y extinción de los contratos; y iii) preceptos relativos a la organización administrativa para la gestión de la contratación.</w:t>
      </w:r>
    </w:p>
    <w:p w:rsidR="005728DD" w:rsidRDefault="005728DD" w:rsidP="005728DD">
      <w:pPr>
        <w:pStyle w:val="TextoNormal"/>
      </w:pPr>
    </w:p>
    <w:p w:rsidR="005728DD" w:rsidRDefault="005728DD" w:rsidP="005728DD">
      <w:pPr>
        <w:pStyle w:val="TextoNormal"/>
      </w:pPr>
      <w:r>
        <w:t xml:space="preserve">B) Al efecto de concretar qué debe entenderse por básico en materia de contratación pública examinaremos en primer lugar cómo se articula el reparto de competencias entre el Estado y las comunidades autónomas en la materia. La “contratación administrativa” aparece diferenciada en el art. 149.1.18 CE, si bien forma parte del amplio haz de competencias recogidas en el mismo precepto constitucional, que tienen diverso alcance y naturaleza, y cuya heterogeneidad impide un tratamiento unívoco (STC 61/1997, de 20 de marzo, FJ 11). Estamos, pues, ante una materia que se rige por un título competencial específico, que atribuye al Estado la competencia en la legislación básica, y que prevalece, de acuerdo con la </w:t>
      </w:r>
      <w:r>
        <w:lastRenderedPageBreak/>
        <w:t>jurisprudencia constitucional, sobre el genérico, sin perjuicio de que no se puede atribuir a este criterio un valor absoluto [STC 56/2014, de 10 de abril, FJ 3 a)]. Esto es así porque existen aspectos de la contratación pública que pueden ser integrados en el marco de la organización administrativa o del procedimiento administrativo. Dentro del respeto a la legislación básica estatal, las comunidades autónomas han podido asumir la competencia de desarrollo legislativo y ejecución en materia de contratación pública (STC 237/2015, de 19 de noviembre, FJ 2).</w:t>
      </w:r>
    </w:p>
    <w:p w:rsidR="005728DD" w:rsidRDefault="005728DD" w:rsidP="005728DD">
      <w:pPr>
        <w:pStyle w:val="TextoNormal"/>
      </w:pPr>
    </w:p>
    <w:p w:rsidR="005728DD" w:rsidRDefault="005728DD" w:rsidP="005728DD">
      <w:pPr>
        <w:pStyle w:val="TextoNormal"/>
      </w:pPr>
      <w:r>
        <w:t>C) En relación con la noción de “bases” o de “legislación básica”, el tribunal ha declarado reiteradamente que presenta una doble dimensión material y formal. Como sintetiza la STC 132/2019, de 13 de noviembre, FJ 4, materialmente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197/1996, FJ 5)”. Y sobre el alcance de la dimensión formal de las bases, el tribunal ha manifestado que su “‘finalidad esencial es la de excluir la incertidumbre jurídica que supondría que el Estado pueda oponer como norma básica a las comunidades autónomas cualquier clase de precepto legal o reglamentario, al margen de cuál sea su rango o estructura (SSTC 80/1988 y 227/1988). Por ello, el instrumento para establecerlas es la ley (STC 1/1982, FJ 1) [...] De suerte que la propia ley puede y debe declarar expresamente el carácter básico de la norma o, en su defecto, venir dotada de una estructura que permita inferir, directa o indirectamente, pero sin especial dificultad, su vocación o pretensión básica [...] Este tribunal, cierto es, ha admitido que la exigencia aquí considerada no es absoluta; y consecuentemente ha estimado que excepcionalmente pueden considerarse básicas algunas regulaciones no contenidas en normas de rango legal e incluso ciertos actos de ejecución cuando, por la naturaleza de la materia, resultan complemento necesario para garantizar la consecución de la finalidad objetiva a que responde la competencia estatal sobre las bases (STC 48/1988, FJ 3) [...] Sin embargo, no cabe olvidar, en contrapartida, que la atribución de carácter básico a normas reglamentarias, a actos de ejecución o incluso a potestades administrativas ha sido entendida por este tribunal como una dispensa excepcional’ (STC 223/2000, FJ 6)” (STC 132/2019, FJ 4).</w:t>
      </w:r>
    </w:p>
    <w:p w:rsidR="005728DD" w:rsidRDefault="005728DD" w:rsidP="005728DD">
      <w:pPr>
        <w:pStyle w:val="TextoNormal"/>
      </w:pPr>
    </w:p>
    <w:p w:rsidR="005728DD" w:rsidRDefault="005728DD" w:rsidP="005728DD">
      <w:pPr>
        <w:pStyle w:val="TextoNormal"/>
      </w:pPr>
      <w:r>
        <w:t>En conclusión, el carácter básico de la normativa estatal determinará que la norma autonómica haya de ajustarse a los límites establecidos por esta regulación, pues si no la respeta se vulnerará de modo mediato en el art. 149.1.18 CE. Asimismo, ha de tenerse en cuenta que, de acuerdo con la doctrina del tribunal, la definición de lo básico ha de permitir a las comunidades autónomas su desarrollo a través de la consecución de opciones legislativas propias, de forma que la legislación básica no agote completamente la materia (SSTC 32/1981, de 28 de julio, FJ 6, y 1/1982, de 28 de enero, FJ 1); cosa que sucederá si una regulación es excesivamente minuciosa o detallada, salvo que sea imprescindible para el ejercicio efectivo de competencias establecidas [STC 147/1991, de 4 de julio, FJ 4 C)].</w:t>
      </w:r>
    </w:p>
    <w:p w:rsidR="005728DD" w:rsidRDefault="005728DD" w:rsidP="005728DD">
      <w:pPr>
        <w:pStyle w:val="TextoNormal"/>
      </w:pPr>
    </w:p>
    <w:p w:rsidR="005728DD" w:rsidRDefault="005728DD" w:rsidP="005728DD">
      <w:pPr>
        <w:pStyle w:val="TextoNormal"/>
      </w:pPr>
      <w:r>
        <w:lastRenderedPageBreak/>
        <w:t>Por último, el tribunal también ha señalado el carácter complejo de la operación de dilucidar qué debe considerarse básico y cuáles aspectos son propios de una legislación de desarrollo: “‘[…] resulta necesario ponderar diversos elementos, como la naturaleza de la materia que se regula o la mayor o menor necesidad de una regulación uniforme de sus diversos aspectos en todo el territorio nacional’” y, a tales efectos, “a este tribunal corresponde realizar, puede y debe emplear ‘como criterios orientadores, los mismos objetivos que expresamente se propone el legislador y que justifican el establecimiento de bases normativas, salvo que fundadamente parezcan irrazonables o incompatibles con prescripciones constitucionales. De esta forma, el contraste entre esos objetivos del legislador y la norma efectivamente establecida para conseguirlos debe servir para evaluar si existe una correspondencia entre ellos y si la normativa en cuestión es básica en cuanto que regulación necesariamente uniforme’ (STC 86/1989)” (STC 141/1993, FJ 5).</w:t>
      </w:r>
    </w:p>
    <w:p w:rsidR="005728DD" w:rsidRDefault="005728DD" w:rsidP="005728DD">
      <w:pPr>
        <w:pStyle w:val="TextoNormal"/>
      </w:pPr>
    </w:p>
    <w:p w:rsidR="005728DD" w:rsidRDefault="005728DD" w:rsidP="005728DD">
      <w:pPr>
        <w:pStyle w:val="TextoNormal"/>
      </w:pPr>
      <w:r>
        <w:t xml:space="preserve">D) La competencia estatal relativa al “procedimiento administrativo común” (art. 149.1.18 CE) habilita la aprobación de “normas establecidas con carácter general y abstracto, para toda suerte de procedimientos” [STC 45/2015, de 2 de marzo FJ 6 c)]. En particular, los principios y reglas que “definen la estructura general del </w:t>
      </w:r>
      <w:r w:rsidRPr="005728DD">
        <w:rPr>
          <w:i/>
        </w:rPr>
        <w:t>iter</w:t>
      </w:r>
      <w:r>
        <w:t xml:space="preserve">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También abarca normas no estrictamente procedimentales, como las que “prescriben la forma de elaboración, los requisitos de validez y eficacia, los modos de revisión y los medios de ejecución de los actos administrativos, incluyendo señaladamente las garantías generales de los particulares en el seno del procedimiento” (STC 227/1988, FJ 32). Incluye asimismo la aprobación de “principios y reglas sobre cualquiera de aquellas cuestiones, pero establecidas con un grado intermedio de abstracción para alguna modalidad de actividad administrativa”. Se trata de principios y reglas de “procedimiento administrativo común singular”, entendido como el establecido también en la órbita del artículo 149.1.18 CE y de manera abstracta, pero para una forma específica de potestad o actividad de la administración [SSTC 55/2018, de 24 de mayo, FJ 4 b), y 45/2015, FJ 6, de 5 de marzo, que cita la STC 130/2013, de 4 de junio, FJ 8, en relación con las normas de procedimiento de la Ley 38/2003, de 4 de junio, general de subvenciones].</w:t>
      </w:r>
    </w:p>
    <w:p w:rsidR="005728DD" w:rsidRDefault="005728DD" w:rsidP="005728DD">
      <w:pPr>
        <w:pStyle w:val="TextoNormal"/>
      </w:pPr>
    </w:p>
    <w:p w:rsidR="005728DD" w:rsidRDefault="005728DD" w:rsidP="005728DD">
      <w:pPr>
        <w:pStyle w:val="TextoNormal"/>
      </w:pPr>
      <w:r>
        <w:t>Las competencias del Estado para regular normas procedimentales no se agotan en las que con carácter general le atribuye el citado artículo 149.1.18 CE, sino que, además, tendrá competencia para dictar este tipo de normas cuando a través de los procedimientos o trámites específicos que en ellas se establezcan se ejerzan las competencias que le atribuyan otros títulos competenciales. El procedimiento tiene la importante función de asegurar la correcta formación de la voluntad administrativa con el fin de garantizar la validez de su actuación y lograr de este modo la satisfacción del interés general, que es, en definitiva, la función propia de la administración. Por ello, este tipo de normas no solo tiene como finalidad garantizar, en abstracto, el acierto y la legalidad de la actuación administrativa, sino que también puede ser una vía idónea para conseguir determinados fines. De ahí que la competencia para regular procedimientos específicos puede venir conferida por los títulos que atribuyen competencias sobre materias determinadas.</w:t>
      </w:r>
    </w:p>
    <w:p w:rsidR="005728DD" w:rsidRDefault="005728DD" w:rsidP="005728DD">
      <w:pPr>
        <w:pStyle w:val="TextoNormal"/>
      </w:pPr>
    </w:p>
    <w:p w:rsidR="005728DD" w:rsidRDefault="005728DD" w:rsidP="005728DD">
      <w:pPr>
        <w:pStyle w:val="TextoNormal"/>
      </w:pPr>
      <w:r>
        <w:lastRenderedPageBreak/>
        <w:t>Así ocurre en el presente caso en el que el Estado, al amparo de las competencias sobre legislación básica en materia de contratos administrativos, puede establecer trámites o procedimientos específicos que permitan satisfacer las finalidades que a través de la atribución de esta competencia se pretenden garantizar (la publicidad, igualdad, libre concurrencia y seguridad jurídica, en el ámbito de la contratación pública, como se expondrá a continuación).</w:t>
      </w:r>
    </w:p>
    <w:p w:rsidR="005728DD" w:rsidRDefault="005728DD" w:rsidP="005728DD">
      <w:pPr>
        <w:pStyle w:val="TextoNormal"/>
      </w:pPr>
    </w:p>
    <w:p w:rsidR="005728DD" w:rsidRDefault="005728DD" w:rsidP="005728DD">
      <w:pPr>
        <w:pStyle w:val="TextoNormal"/>
      </w:pPr>
      <w:r>
        <w:t>E) Abordamos ahora qué debe entenderse por legislación básica en materia de contratación.</w:t>
      </w:r>
    </w:p>
    <w:p w:rsidR="005728DD" w:rsidRDefault="005728DD" w:rsidP="005728DD">
      <w:pPr>
        <w:pStyle w:val="TextoNormal"/>
      </w:pPr>
    </w:p>
    <w:p w:rsidR="005728DD" w:rsidRDefault="005728DD" w:rsidP="005728DD">
      <w:pPr>
        <w:pStyle w:val="TextoNormal"/>
      </w:pPr>
      <w:r>
        <w:t>a) La delimitación de lo básico en el ámbito de la contratación pública se ha llevado a cabo de acuerdo con dos criterios teleológicos. (i) El criterio vinculado a la consecución o garantía de los principios generales de la contratación en el sector público. En términos de la STC 141/1993, FJ 5,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[en el mismo sentido, SSTC 331/1993, de 12 de noviembre, FJ 6 B); 162/2009, de 29 de junio, FJ 4; 56/2014, FJ 3 a), y 237/2015, FJ 2]. (ii) En conexión con el objetivo de estabilidad presupuestaria y control de gasto, al criterio anterior se añade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FJ 5 a)].</w:t>
      </w:r>
    </w:p>
    <w:p w:rsidR="005728DD" w:rsidRDefault="005728DD" w:rsidP="005728DD">
      <w:pPr>
        <w:pStyle w:val="TextoNormal"/>
      </w:pPr>
    </w:p>
    <w:p w:rsidR="005728DD" w:rsidRDefault="005728DD" w:rsidP="005728DD">
      <w:pPr>
        <w:pStyle w:val="TextoNormal"/>
      </w:pPr>
      <w:r>
        <w:t>Por tanto, todos aquellos preceptos de la Ley de contratos del sector público que directamente se encaminen a dotar de una efectividad práctica a los principios de libertad de acceso a las licitaciones, publicidad y transparencia de los procedimientos; igualdad de trato y no discriminación entre licitadores; integridad y eficiente utilización de los fondos públicos —STC 84/2015, FJ 5 a), plasmados en el art. 1.1 LCSP—, deben ser razonablemente considerados como normas básicas. Por el contrario, no tendrán tal consideración “aquellas otras prescripciones de detalle o de procedimiento que, sin merma de la eficacia de tales principios básicos, pudieran ser sustituidas por otras regulaciones asimismo complementarias o de detalle, elaboradas por las comunidades autónomas con competencia para ello” (STC 141/1993, FJ 5). Por esta vía quedan excluidas de la esfera de lo básico aquellas prescripciones de orden procedimental y formal, que tienen una naturaleza complementaria y auxiliar que solo de forma muy incidental guardan conexión con los principios del régimen básico de contratación: tales como aclaraciones o requerimientos documentales complementarios; modos de acreditación documental de la personalidad de los licitadores o de las uniones temporales de empresas; modelos de presentación de proposiciones, forma o lugar de entrega… [STC 141/1993, FJ 6 a), c), d), e), f), j), k), l), ll) y m)].</w:t>
      </w:r>
    </w:p>
    <w:p w:rsidR="005728DD" w:rsidRDefault="005728DD" w:rsidP="005728DD">
      <w:pPr>
        <w:pStyle w:val="TextoNormal"/>
      </w:pPr>
    </w:p>
    <w:p w:rsidR="005728DD" w:rsidRDefault="005728DD" w:rsidP="005728DD">
      <w:pPr>
        <w:pStyle w:val="TextoNormal"/>
      </w:pPr>
      <w:r>
        <w:t>b) Atendiendo a los criterios generales enunciados, el tribunal ha ido fijando otros criterios materiales de carácter específico que permiten ir configurando en sus rasgos esenciales y en un sentido positivo, el ámbito de lo básico en materia de contratación. Siguiendo la sistemática establecida por la Ley de contratos del sector público, son los siguientes:</w:t>
      </w:r>
    </w:p>
    <w:p w:rsidR="005728DD" w:rsidRDefault="005728DD" w:rsidP="005728DD">
      <w:pPr>
        <w:pStyle w:val="TextoNormal"/>
      </w:pPr>
    </w:p>
    <w:p w:rsidR="005728DD" w:rsidRDefault="005728DD" w:rsidP="005728DD">
      <w:pPr>
        <w:pStyle w:val="TextoNormal"/>
      </w:pPr>
      <w:r>
        <w:lastRenderedPageBreak/>
        <w:t>(i) En relación con la configuración general de los contratos del sector público y sus elementos esenciales, se ha reconocido carácter básico, en primer lugar, a la delimitación del ámbito subjetivo —quién contrata— y objetivo —qué se contrata— de la ley [entre otras, STC 84/2015, FJ 5 a), en relación con el contrato de gestión servicio público; cuya doctrina se reitera en la STC 237/2015, FJ 2]. Así, en cuanto la gestión indirecta de servicios es “una prestación típica de los contratos regulados por la legislación de contratos públicos según el art. 149.1.18 CE”, la definición de los contratos mediante los que aquella se puede instrumentar tiene carácter básico (STC 161/2013, de 26 de septiembre, FJ 11).</w:t>
      </w:r>
    </w:p>
    <w:p w:rsidR="005728DD" w:rsidRDefault="005728DD" w:rsidP="005728DD">
      <w:pPr>
        <w:pStyle w:val="TextoNormal"/>
      </w:pPr>
    </w:p>
    <w:p w:rsidR="005728DD" w:rsidRDefault="005728DD" w:rsidP="005728DD">
      <w:pPr>
        <w:pStyle w:val="TextoNormal"/>
      </w:pPr>
      <w:r>
        <w:t>Igualmente, se han considerado básicas las previsiones relativas a la capacidad de contratación, solvencia y clasificación del empresario para garantizar la igualdad de condiciones entre los licitadores y la seguridad jurídica en la contratación [SSTC 141/1993, FJ 6 q), y 331/1993, FJ 6 B)]. Así, la clasificación de los contratistas tiene carácter básico por ser “un medio de acreditación ante el órgano de contratación correspondiente de la capacidad financiera, económica y técnica del contratista” [STC 331/1993, FJ 6 B) y D)]; también tiene este carácter la regulación de las causas de suspensión de las clasificaciones, sea temporal o indefinida [STC 331/1993, FJ 6 B)], y la exigencia de notificación de las resoluciones sancionadoras para proceder a su suspensión provisional [STC 141/1993, FJ 6 b)]. También son básicas las normas que regulan “los medios para acreditar las condiciones exigidas a los licitadores, nacionales y extranjeros, de manera que se permita concurrir en igualdad de condiciones a quienes reúnen los mismos requisitos de capacidad y solvencia” [STC 84/2015, FJ 5 a)].</w:t>
      </w:r>
    </w:p>
    <w:p w:rsidR="005728DD" w:rsidRDefault="005728DD" w:rsidP="005728DD">
      <w:pPr>
        <w:pStyle w:val="TextoNormal"/>
      </w:pPr>
    </w:p>
    <w:p w:rsidR="005728DD" w:rsidRDefault="005728DD" w:rsidP="005728DD">
      <w:pPr>
        <w:pStyle w:val="TextoNormal"/>
      </w:pPr>
      <w:r>
        <w:t>En cuanto al régimen del precio y las garantías exigibles en la contratación, se ha afirmado el carácter básico de la regla de prohibición del pago aplazado y sus excepciones, “tanto por regular un aspecto nuclear de la contratación administrativa como por su conexión con el principio de estabilidad presupuestaria, que informa y preside todas las políticas públicas con impacto en el gasto y, en lo que aquí interesa, los presupuestos de las comunidades autónomas (art. 21.2 de la Ley Orgánica de financiación de las comunidades autónomas)” [STC 56/2014, FJ 4 b)].</w:t>
      </w:r>
    </w:p>
    <w:p w:rsidR="005728DD" w:rsidRDefault="005728DD" w:rsidP="005728DD">
      <w:pPr>
        <w:pStyle w:val="TextoNormal"/>
      </w:pPr>
    </w:p>
    <w:p w:rsidR="005728DD" w:rsidRDefault="005728DD" w:rsidP="005728DD">
      <w:pPr>
        <w:pStyle w:val="TextoNormal"/>
      </w:pPr>
      <w:r>
        <w:t>(ii) Las normas que rigen la preparación y adjudicación, efectos, cumplimiento y extinción de los contratos tienen, con carácter general, la consideración de básicas. Las que regulan los actos de preparación y adjudicación “pueden considerarse materialmente básicas, pues constituyen el mínimo común uniforme que permite garantizar, de un lado, la igualdad de los licitadores y su tratamiento común ante las administraciones [SSTC 141/1993, FFJJ 5 y 6 b), y 56/2014, FJ 3] y, de otro, la eficiente utilización de los fondos públicos” y “las reglas sobre los efectos, cumplimiento y extinción de los contratos administrativos, en cuanto que permiten salvaguardar los fines públicos a que sirven los contratos administrativos, forman parte de ese mínimo común denominador que caracteriza las bases en materia de contratación pública” [STC 84/2015, FJ 5 a); también, STC 162/2009, FJ 4, sobre la adjudicación por concurso de los contratos para la explotación de bienes y derechos patrimoniales].</w:t>
      </w:r>
    </w:p>
    <w:p w:rsidR="005728DD" w:rsidRDefault="005728DD" w:rsidP="005728DD">
      <w:pPr>
        <w:pStyle w:val="TextoNormal"/>
      </w:pPr>
    </w:p>
    <w:p w:rsidR="005728DD" w:rsidRDefault="005728DD" w:rsidP="005728DD">
      <w:pPr>
        <w:pStyle w:val="TextoNormal"/>
      </w:pPr>
      <w:r>
        <w:t xml:space="preserve">En la fase de preparación de los contratos, tiene carácter básico la regulación de los conceptos que deben incluirse en los pliegos de contratación, en especial los que “tiene[n] directa relación con la garantía del principio de igualdad entre los licitadores” [STC 141/1993, FJ 6 o)]. Se configura como básico habilitar al órgano de contratación para que permita, en </w:t>
      </w:r>
      <w:r>
        <w:lastRenderedPageBreak/>
        <w:t>los pliegos de cláusulas administrativas particulares de cada contrato, sustituir el cumplimiento inicial de las obligaciones documentales de los licitadores por una declaración responsable, “pues se sitúa en el marco de las garantías de publicidad, igualdad, libre concurrencia y seguridad jurídica en el ámbito de la contratación administrativa” [STC 237/2015, FJ 5 a)].</w:t>
      </w:r>
    </w:p>
    <w:p w:rsidR="005728DD" w:rsidRDefault="005728DD" w:rsidP="005728DD">
      <w:pPr>
        <w:pStyle w:val="TextoNormal"/>
      </w:pPr>
    </w:p>
    <w:p w:rsidR="005728DD" w:rsidRDefault="005728DD" w:rsidP="005728DD">
      <w:pPr>
        <w:pStyle w:val="TextoNormal"/>
      </w:pPr>
      <w:r>
        <w:t>En relación con la fase de adjudicación de los contratos, el carácter básico se predica de los preceptos que regulan los procedimientos de adjudicación y concretan su tipología, cosa que no impide a las comunidades autónomas “introducir novedades orientadas a lograr una tramitación más ágil y eficaz”, pero sí “abordar una regulación completa de nuevos procedimientos de licitación” (STC 237/2015, FJ 7; en la misma línea, la STC 103/2015, de 28 de mayo, FJ 6, en relación con la regulación de la específica adjudicación de contratos a empresas mixtas en las que concurre capital público y privado). Asimismo, es básica la fijación de umbrales de contratación; por ejemplo, para determinar el ámbito de aplicación de la contratación directa, al tratarse de una previsión “destinada a la correcta e igualitaria aplicación de la ley en todo el territorio del Estado” [SSTC 141/1993, FJ 6 ñ) y p), y 162/2009, FJ 4].</w:t>
      </w:r>
    </w:p>
    <w:p w:rsidR="005728DD" w:rsidRDefault="005728DD" w:rsidP="005728DD">
      <w:pPr>
        <w:pStyle w:val="TextoNormal"/>
      </w:pPr>
    </w:p>
    <w:p w:rsidR="005728DD" w:rsidRDefault="005728DD" w:rsidP="005728DD">
      <w:pPr>
        <w:pStyle w:val="TextoNormal"/>
      </w:pPr>
      <w:r>
        <w:t>Los criterios de selección del adjudicatario también tienen carácter básico y también las reglas que disciplinan la elección de la oferta económicamente más ventajosa, que, en cuanto garantizan la igualdad de los licitadores, “forma[n] parte del mínimo común uniforme que garantiza la eficacia del gasto en las compras públicas” [STC 84/2015, FJ 5 a)].</w:t>
      </w:r>
    </w:p>
    <w:p w:rsidR="005728DD" w:rsidRDefault="005728DD" w:rsidP="005728DD">
      <w:pPr>
        <w:pStyle w:val="TextoNormal"/>
      </w:pPr>
    </w:p>
    <w:p w:rsidR="005728DD" w:rsidRDefault="005728DD" w:rsidP="005728DD">
      <w:pPr>
        <w:pStyle w:val="TextoNormal"/>
      </w:pPr>
      <w:r>
        <w:t>Con carácter general y en aras de los principios de publicidad de la actividad contractual sostenida con fondos públicos y de transparencia de la actuación administrativa, se ha atribuido carácter básico a las previsiones relativas a la licitación y su publicitación. En concreto, es básica la regulación del contenido de los anuncios que han de remitirse a los diarios oficiales [STC 141/1993, FJ 6 b)]; o la inserción obligatoria de los correspondientes anuncios en los diarios oficiales, en la medida en que se trata “del establecimiento de un concreto y bien perfilado modelo de publicidad de las actuaciones administrativas” (STC 237/2015, FJ 8). Asimismo, es básico regular las condiciones de retirada de las ofertas y fianzas si la administración no resuelve en plazo [STC 141/1993, FJ 6 n)].</w:t>
      </w:r>
    </w:p>
    <w:p w:rsidR="005728DD" w:rsidRDefault="005728DD" w:rsidP="005728DD">
      <w:pPr>
        <w:pStyle w:val="TextoNormal"/>
      </w:pPr>
    </w:p>
    <w:p w:rsidR="005728DD" w:rsidRDefault="005728DD" w:rsidP="005728DD">
      <w:pPr>
        <w:pStyle w:val="TextoNormal"/>
      </w:pPr>
      <w:r>
        <w:t>El tribunal ha declarado también el carácter básico de los preceptos que fijan los plazos para la presentación de proposiciones en la contratación pública, pues por esta vía se “está estableciendo unas reglas tendentes al mantenimiento de la igualdad y la libre concurrencia en la actividad contractual de las administraciones públicas” [STC 237/2015, FJ 9 b)].</w:t>
      </w:r>
    </w:p>
    <w:p w:rsidR="005728DD" w:rsidRDefault="005728DD" w:rsidP="005728DD">
      <w:pPr>
        <w:pStyle w:val="TextoNormal"/>
      </w:pPr>
    </w:p>
    <w:p w:rsidR="005728DD" w:rsidRDefault="005728DD" w:rsidP="005728DD">
      <w:pPr>
        <w:pStyle w:val="TextoNormal"/>
      </w:pPr>
      <w:r>
        <w:t>Tampoco ofrece dudas el carácter básico de la regulación de los requisitos de formalización de los contratos. De este modo, es básica la exigencia que incumbe al empresario de acreditar que se halla al corriente en el cumplimiento de las obligaciones tributarias o de Seguridad Social, por cuanto, además de representar una obligación documental que atañe directamente a su capacidad para contratar, “afecta a la acreditación de los requisitos para la formalización definitiva de los contratos con el sector público” (STC 237/2015, FJ 6).</w:t>
      </w:r>
    </w:p>
    <w:p w:rsidR="005728DD" w:rsidRDefault="005728DD" w:rsidP="005728DD">
      <w:pPr>
        <w:pStyle w:val="TextoNormal"/>
      </w:pPr>
    </w:p>
    <w:p w:rsidR="005728DD" w:rsidRDefault="005728DD" w:rsidP="005728DD">
      <w:pPr>
        <w:pStyle w:val="TextoNormal"/>
      </w:pPr>
      <w:r>
        <w:t xml:space="preserve">(iii) La regulación de las prerrogativas de la administración en materia de contratación tiene, en general, la consideración de básica [STC 84/2015, FJ 5 a)]. En concreto, el tribunal </w:t>
      </w:r>
      <w:r>
        <w:lastRenderedPageBreak/>
        <w:t xml:space="preserve">ha declarado que el </w:t>
      </w:r>
      <w:r w:rsidRPr="005728DD">
        <w:rPr>
          <w:i/>
        </w:rPr>
        <w:t>ius variandi</w:t>
      </w:r>
      <w:r>
        <w:t xml:space="preserve"> constituye un aspecto básico como prerrogativa de la administración en la ejecución de los contratos; y que lo mismo cabe decir del deber de respetar el equilibrio financiero (SSTC 118/1996, de 27 de junio, FJ 32).</w:t>
      </w:r>
    </w:p>
    <w:p w:rsidR="005728DD" w:rsidRDefault="005728DD" w:rsidP="005728DD">
      <w:pPr>
        <w:pStyle w:val="TextoNormal"/>
      </w:pPr>
    </w:p>
    <w:p w:rsidR="005728DD" w:rsidRDefault="005728DD" w:rsidP="005728DD">
      <w:pPr>
        <w:pStyle w:val="TextoNormal"/>
      </w:pPr>
      <w:r>
        <w:t>F) Abordamos ahora los aspectos más relevantes de la jurisprudencia constitucional sobre la potestad autonómica de autoorganización invocada por la parte recurrente.</w:t>
      </w:r>
    </w:p>
    <w:p w:rsidR="005728DD" w:rsidRDefault="005728DD" w:rsidP="005728DD">
      <w:pPr>
        <w:pStyle w:val="TextoNormal"/>
      </w:pPr>
    </w:p>
    <w:p w:rsidR="005728DD" w:rsidRDefault="005728DD" w:rsidP="005728DD">
      <w:pPr>
        <w:pStyle w:val="TextoNormal"/>
      </w:pPr>
      <w:r>
        <w:t>El tribunal tiene declarado que la “potestad de autoorganización” de una comunidad autónoma “supone la potestad para crear, modificar y suprimir los órganos, unidades administrativas o entidades que configuran la respectiva administración autonómica o dependen de ella (STC 55/1999, de 6 de abril, FJ 3, y las que allí se citan) que la jurisprudencia constitucional ha identificado con la competencia autonómica en materia de régimen de organización de su autogobierno, esto es, de decidir cómo organizar el desempeño de sus propias competencias. Resulta de lo anterior que la comunidad autónoma puede ‘conformar libremente la estructura orgánica de su aparato administrativo’ (STC 165/1986, de 18 de diciembre, FJ 6) creando los departamentos o unidades que estime convenientes en orden al adecuado ejercicio de las competencias que le han sido atribuidas, siempre y cuando con ello no interfiera en las que son propias del Estado. Así pues, tan indiscutible es esta competencia autonómica para la propia organización, como el que la misma solo podrá ejercerse sobre ámbitos que, materialmente, correspondan a la propia comunidad autónoma, ‘pues no son concebibles, en Derecho, órganos, servicios o agencias autonómicos cuyas funciones no sean reconducibles a unas u otras competencias estatutarias’ (STC 52/2017, FJ 5)” (STC 142/2018, de 20 de diciembre, FJ 6).</w:t>
      </w:r>
    </w:p>
    <w:p w:rsidR="005728DD" w:rsidRDefault="005728DD" w:rsidP="005728DD">
      <w:pPr>
        <w:pStyle w:val="TextoNormal"/>
      </w:pPr>
    </w:p>
    <w:p w:rsidR="005728DD" w:rsidRDefault="005728DD" w:rsidP="005728DD">
      <w:pPr>
        <w:pStyle w:val="TextoNormal"/>
      </w:pPr>
      <w:r>
        <w:t>De acuerdo con esta doctrina, el Estado podría llegar a invadir la potestad de autoorganización de las comunidades autónomas cuando especifica la forma que ha de revestir una decisión de competencia autonómica o el órgano que ha de adoptarla; puesto “[q]ué órgano autonómico ha de adoptar [un acuerdo] y cómo ha de hacerlo son esencialmente ‘cuestiones de organización’ que ‘pertenecen a la potestad de autoorganización de la comunidad autónoma’” [STC 41/2016, de 3 de marzo, FFJJ 7 c) y 8, refiriéndose a acuerdos asignados por una ley estatal al Gobierno autonómico; en el mismo sentido, STC 56/1990, de 29 de marzo, FJ 12 d), en relación con una decisión atribuida por el Estado a las asambleas legislativas de las comunidades autónomas].</w:t>
      </w:r>
    </w:p>
    <w:p w:rsidR="005728DD" w:rsidRDefault="005728DD" w:rsidP="005728DD">
      <w:pPr>
        <w:pStyle w:val="TextoNormal"/>
      </w:pPr>
    </w:p>
    <w:p w:rsidR="005728DD" w:rsidRDefault="005728DD" w:rsidP="005728DD">
      <w:pPr>
        <w:pStyle w:val="TextoNormal"/>
      </w:pPr>
      <w:r>
        <w:t xml:space="preserve">Por otra parte, también el tribunal ha reiterado que “[e]l título relativo a las ‘bases del régimen jurídico de las administraciones públicas’ (art. 149.1.18 CE) permite ‘establecer los elementos esenciales que garanticen un régimen jurídico unitario aplicable a todas las administraciones públicas’ (STC 50/1999, de 6 de abril, FJ 3); esto es, los principios y reglas básicos sobre los aspectos organizativos y de funcionamiento de todas las administraciones públicas, garantizando un régimen jurídico unitario para todas ellas (SSTC 32/1981, de 28 de julio, FJ 5; 227/1988, de 29 de noviembre, FJ 24). Incluye normas sobre la ‘composición, estructura y competencias de los órganos de las administraciones públicas’ (SSTC 32/1981, FJ 6; 50/1999, FJ 3; 143/2013, de 11 de julio, FJ 5), ‘las potestades administrativas que se confieren a dichas entidades para el cumplimiento de sus fines’ (STC 227/1988, FJ 24) o las ‘relaciones interadministrativas’ (STC 76/1983, de 5 de agosto, FJ 18). La densidad de las bases podrá ser tanto mayor cuanto más directa sea la finalidad de garantizar un trato común a los ciudadanos en sus relaciones con la administración. No cabe atribuir a las bases </w:t>
      </w:r>
      <w:r>
        <w:lastRenderedPageBreak/>
        <w:t>estatales la misma extensión e intensidad cuando se refieren a aspectos meramente organizativos internos que no afectan directamente a la actividad externa de la administración y a la esfera de derechos e intereses de los administrados, que en aquellos aspectos en los que se da esta afectación (STC 50/1999, FJ 3)” [STC 55/2018, FJ 4 a); en el mismo sentido, STC 65/2020, de 18 de junio, FJ 7]. Por tanto,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 (STC 91/2017, de 6 de julio, FJ 5).</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Impugnación de preceptos relativos a la delimitación y configuración de los contratos del sector público y sus elementos esenciales</w:t>
      </w:r>
      <w:r>
        <w:t>.</w:t>
      </w:r>
    </w:p>
    <w:p w:rsidR="005728DD" w:rsidRDefault="005728DD" w:rsidP="005728DD">
      <w:pPr>
        <w:pStyle w:val="TextoNormal"/>
      </w:pPr>
    </w:p>
    <w:p w:rsidR="005728DD" w:rsidRDefault="005728DD" w:rsidP="005728DD">
      <w:pPr>
        <w:pStyle w:val="TextoNormal"/>
      </w:pPr>
      <w:r>
        <w:t>A) El Gobierno de Aragón impugna los arts. 9.2 y 11 del capítulo primero del título preliminar, que delimitan negativamente el ámbito de aplicación de la Ley de contratos del sector público; el primero excluyendo negocios y contratos en el ámbito del dominio público y en el patrimonial. El segundo enumerando diversos negocios o contratos también excluidos del ámbito de la ley (la relación jurídica de servicio o laboral del personal de las administraciones públicas; los servicios de arbitrajes y conciliación; los servicios relacionados con campañas políticas…).</w:t>
      </w:r>
    </w:p>
    <w:p w:rsidR="005728DD" w:rsidRDefault="005728DD" w:rsidP="005728DD">
      <w:pPr>
        <w:pStyle w:val="TextoNormal"/>
      </w:pPr>
    </w:p>
    <w:p w:rsidR="005728DD" w:rsidRDefault="005728DD" w:rsidP="005728DD">
      <w:pPr>
        <w:pStyle w:val="TextoNormal"/>
      </w:pPr>
      <w:r>
        <w:t>En relación con el art. 9.2 LCSP, el recurrente centra su reproche en el inciso final que regula los contratos patrimoniales que incluyen prestaciones de los contratos típicos —arts. 12 a 18 LCSP—, al entender que el excesivo detalle no deja margen a la intervención de la comunidad autónoma. El tribunal estima que en este precepto el legislador estatal, con la finalidad de evitar la inaplicación de la ley, limita su intervención a establecer dos reglas a las que se subordina la inclusión de prestaciones de los contratos típicos propios del sector público en los contratos patrimoniales excluidos de la ley; a saber: (i) valor de las prestaciones (no superior al 50 por 100 del importe total del negocio) y (ii) vinculación y carácter complementario respecto de la prestación característica del contrato patrimonial.</w:t>
      </w:r>
    </w:p>
    <w:p w:rsidR="005728DD" w:rsidRDefault="005728DD" w:rsidP="005728DD">
      <w:pPr>
        <w:pStyle w:val="TextoNormal"/>
      </w:pPr>
    </w:p>
    <w:p w:rsidR="005728DD" w:rsidRDefault="005728DD" w:rsidP="005728DD">
      <w:pPr>
        <w:pStyle w:val="TextoNormal"/>
      </w:pPr>
      <w:r>
        <w:t>El recurrente critica al legislador estatal por realizar, a través del art. 11 LCSP, una trasposición defectuosa de las directivas europeas, al no excluir y regular los contratos que tenga por objeto servicios jurídicos [art. 19.2 e) LCSP] y los contratos o convenios entre poderes adjudicadores (art. 6.1 LCSP). La regulación de los contratos que tienen por objeto la prestación de servicios jurídicos obedece a los solos efectos de su exclusión de los contratos sujetos a regulación armonizada, en sintonía con el art. 10 d) de la Directiva 2014/24/UE. Del mismo modo, el art. 6.1 LCSP excluye de su ámbito de aplicación los convenios entre administraciones públicas o poderes adjudicadores, siempre que se cumplan determinadas condiciones, en concordancia con las exigencias derivadas del art. 12.4 de la Directiva 2014/24/UE. En definitiva, el precepto se constriñe a delimitar el ámbito de aplicación de la Ley.</w:t>
      </w:r>
    </w:p>
    <w:p w:rsidR="005728DD" w:rsidRDefault="005728DD" w:rsidP="005728DD">
      <w:pPr>
        <w:pStyle w:val="TextoNormal"/>
      </w:pPr>
    </w:p>
    <w:p w:rsidR="005728DD" w:rsidRDefault="005728DD" w:rsidP="005728DD">
      <w:pPr>
        <w:pStyle w:val="TextoNormal"/>
      </w:pPr>
      <w:r>
        <w:lastRenderedPageBreak/>
        <w:t>Nos remitimos a lo dicho en el fundamento jurídico 3 de esta sentencia sobre la incorporación a nuestro ordenamiento jurídico interno de las directivas europeas y sobre la limitación del enjuiciamiento que corresponde al tribunal para determinar el carácter básico o no de las disposiciones impugnadas. El tribunal considera que los arts. 9.2 y 11 tienen un carácter materialmente básico en cuanto su objeto es delimitar el ámbito de aplicación de la Ley de contratos del sector público [STC 84/2015, FJ 5 a)]; en este caso, negativamente, determinando las reglas o condiciones mínimas y comunes para que la exclusión opere. La concreción del elemento objetivo de la ley es esencial para garantizar la igualdad y el tratamiento común ante las administraciones. Corresponde, por tanto, desestimar la impugnación.</w:t>
      </w:r>
    </w:p>
    <w:p w:rsidR="005728DD" w:rsidRDefault="005728DD" w:rsidP="005728DD">
      <w:pPr>
        <w:pStyle w:val="TextoNormal"/>
      </w:pPr>
    </w:p>
    <w:p w:rsidR="005728DD" w:rsidRDefault="005728DD" w:rsidP="005728DD">
      <w:pPr>
        <w:pStyle w:val="TextoNormal"/>
      </w:pPr>
      <w:r>
        <w:t>B) Se recurren los arts. 18 y 26.2 —y en conexión con este, los arts. 27.2 a) y 319—. Estos preceptos, junto con los restantes incluidos en el capítulo segundo del título preliminar LCSP, tienen como finalidad delimitar o establecer los elementos objetivos que identifican a los contratos que de forma más habitual celebran los entes del sector público. El legislador estatal realiza la delimitación atendiendo a la naturaleza y alcance de las prestaciones (obras, concesión de servicios, suministro y servicios, mixtos y especiales); al sujeto contratante (contratos administrativos y privados); y a la cuantía (sujetos o no a regulación armonizada).</w:t>
      </w:r>
    </w:p>
    <w:p w:rsidR="005728DD" w:rsidRDefault="005728DD" w:rsidP="005728DD">
      <w:pPr>
        <w:pStyle w:val="TextoNormal"/>
      </w:pPr>
    </w:p>
    <w:p w:rsidR="005728DD" w:rsidRDefault="005728DD" w:rsidP="005728DD">
      <w:pPr>
        <w:pStyle w:val="TextoNormal"/>
      </w:pPr>
      <w:r>
        <w:t>El art. 18 LCSP regula la figura del contrato mixto, entendido como “aquel que contenga prestaciones correspondientes a otro u otros de distinta clase”; y lo hace, a juicio del recurrente, de forma que anula toda posibilidad de ejercicio por la comunidad autónoma de sus competencias de desarrollo normativo. El precepto en cuestión establece las reglas básicas que regirán la preparación y adjudicación de este contrato en función de cuál sea la prestación principal o el valor estimado de las prestaciones combinadas; y lo hace de forma diferenciada según el contrato contenga y combine prestaciones propias de los contratos típicos (apartados 1 y 3), o prestaciones de los típicos y de otros distintos (apartado 2). El objeto del precepto es delimitar, atendiendo a la naturaleza de las prestaciones, el contrato, fijando las reglas de aplicación a cada fase contractual. Se trata de una norma básica que pretende evitar la inaplicación de la ley o, en su caso, una aplicación fraudulenta contraria a los principios de igualdad y libre concurrencia [SSTC 141/1993, FJ 5; 161/2013, FJ 11, y 84/2015, FJ 5 a)]. En consecuencia, la impugnación ha de ser desestimada.</w:t>
      </w:r>
    </w:p>
    <w:p w:rsidR="005728DD" w:rsidRDefault="005728DD" w:rsidP="005728DD">
      <w:pPr>
        <w:pStyle w:val="TextoNormal"/>
      </w:pPr>
    </w:p>
    <w:p w:rsidR="005728DD" w:rsidRDefault="005728DD" w:rsidP="005728DD">
      <w:pPr>
        <w:pStyle w:val="TextoNormal"/>
      </w:pPr>
      <w:r>
        <w:t xml:space="preserve">El art. 26.2 LCSP fija las reglas que regirán la preparación y adjudicación, así como los efectos, modificación y extinción, de los contratos privados de las administraciones públicas. El art. 27.2 a) LCSP somete a la competencia de la jurisdicción civil las controversias suscitadas “en relación con los efectos y extinción de los contratos privados de las entidades que tengan la consideración de poderes adjudicadores, sean o no administraciones públicas, con excepción de las modificaciones contractuales citadas en las letras b) y c) del apartado anterior”. El recurrente formula dos reproches a la regulación estatal: por una parte, se impone, a su juicio, un mayor número de normas de derecho administrativo a los contratos celebrados por los poderes adjudicadores que no pertenezcan a la categoría de administraciones públicas (arts. 26.3 y 319 LCSP), que a los contratos privados de las propias administraciones públicas. Y, por otra parte, podría ser esta una cuestión susceptible de regulación autonómica, al amparo de las competencias de la Comunidad de Aragón en materia de contratación pública y derecho civil. Al margen de la opinión expresada por el recurrente sobre la posibilidad de una regulación autonómica sobre estos extremos, lo cierto es que el reproche inicial parte de una interpretación inexacta sobre el mayor sometimiento o no de </w:t>
      </w:r>
      <w:r>
        <w:lastRenderedPageBreak/>
        <w:t>los contratos privados al derecho administrativo atendiendo al sujeto contratante. El art. 26.1 a) LCSP —no recurrido— califica de privados los contratos que celebren las administraciones públicas cuyo objeto no sea el de los contratos típicos —esto es, sea distinto de los referidos en las letras a) y b) del art. 25.1 LCSP, relativo a los contratos administrativos—; mientras que el art. 26.1 b) LCSP —tampoco recurrido— califica de privados todos los que se celebren por entidades del sector público que siendo poder adjudicador no reúnan la condición de administraciones públicas. De ese modo, se realiza una delimitación del contrato privado diferente en función del sujeto contratante, lo que justifica también el sometimiento a reglas diferentes, especialmente más intensas en el caso de los contratos suscritos por poderes adjudicadores que no son administración pública cuyo objeto sea el propio de los contratos típicos, como se desprende del art. 319 LCSP.</w:t>
      </w:r>
    </w:p>
    <w:p w:rsidR="005728DD" w:rsidRDefault="005728DD" w:rsidP="005728DD">
      <w:pPr>
        <w:pStyle w:val="TextoNormal"/>
      </w:pPr>
    </w:p>
    <w:p w:rsidR="005728DD" w:rsidRDefault="005728DD" w:rsidP="005728DD">
      <w:pPr>
        <w:pStyle w:val="TextoNormal"/>
      </w:pPr>
      <w:r>
        <w:t>En conclusión, la delimitación o identificación del tipo contractual es esencial para determinar el régimen jurídico sustantivo y procedimental que resulta de aplicación a cada contrato; esto es, para determinar los derechos y deberes de las partes. El art. 26.2 LCSP —y los arts. 27.2 a) y 319 por conexión—, al igual que el examinado art. 18 LCSP, delimitan, atendiendo, en este caso, a la naturaleza del sujeto contractual, los contratos, estableciendo qué reglas de la Ley de contratos del sector público resultan de aplicación a cada fase del proceso de contratación. Son, pues, preceptos materialmente básicos que regulan un mínimo común uniforme que permite garantizar el principio de igualdad entre los licitadores o candidatos, determina el alcance de las prerrogativas de que goza la administración en relación con los contratos privados y fija el orden jurisdiccional competente para conocer de las controversias que se susciten en relación con ellos [STC 84/2015, FJ 5 a)]. Por todo ello, procede desestimar la impugnación.</w:t>
      </w:r>
    </w:p>
    <w:p w:rsidR="005728DD" w:rsidRDefault="005728DD" w:rsidP="005728DD">
      <w:pPr>
        <w:pStyle w:val="TextoNormal"/>
      </w:pPr>
    </w:p>
    <w:p w:rsidR="005728DD" w:rsidRDefault="005728DD" w:rsidP="005728DD">
      <w:pPr>
        <w:pStyle w:val="TextoNormal"/>
      </w:pPr>
      <w:r>
        <w:t>C) Dentro de las disposiciones generales relativas a la racionalidad y consistencia de la contratación del sector público (cap. I, título I, libro primero), el recurrente impugna los arts. 28.4, 29.2, 30 y los apartados 1, 2, 4, 6 y 7 del art. 32 LCSP.</w:t>
      </w:r>
    </w:p>
    <w:p w:rsidR="005728DD" w:rsidRDefault="005728DD" w:rsidP="005728DD">
      <w:pPr>
        <w:pStyle w:val="TextoNormal"/>
      </w:pPr>
    </w:p>
    <w:p w:rsidR="005728DD" w:rsidRDefault="005728DD" w:rsidP="005728DD">
      <w:pPr>
        <w:pStyle w:val="TextoNormal"/>
      </w:pPr>
      <w:r>
        <w:t>a) El art. 28.4 LCSP prevé que las entidades del sector público programarán, anual o plurianualmente, su actividad de contratación y que “darán a conocer su plan de contratación anticipadamente mediante un anuncio de información previa previsto en el artículo 134 que al menos recoja aquellos contratos que quedarán sujetos a una regulación armonizada”. El Gobierno de Aragón sostiene que estamos ante una imposición de la programación de la actividad de contratación incompatible con el respeto a la potestad de autoorganización autonómica. Se invoca, además, la infracción del principio de seguridad jurídica (art. 9.3 CE), ante la duda que genera al recurrente las eventuales consecuencias que se derivarían del incumplimiento de dicha programación.</w:t>
      </w:r>
    </w:p>
    <w:p w:rsidR="005728DD" w:rsidRDefault="005728DD" w:rsidP="005728DD">
      <w:pPr>
        <w:pStyle w:val="TextoNormal"/>
      </w:pPr>
    </w:p>
    <w:p w:rsidR="005728DD" w:rsidRDefault="005728DD" w:rsidP="005728DD">
      <w:pPr>
        <w:pStyle w:val="TextoNormal"/>
      </w:pPr>
      <w:r>
        <w:t xml:space="preserve">El tribunal ha declarado que la normativa básica en materia de contratación pública tiene por objeto proporcionar, además de otros fines de interés general, las garantías de publicidad, igualdad, libre concurrencia y seguridad jurídica (entre otras, STC 141/1993, FJ 5), a la vez que una eficiente utilización de los recursos públicos, en conexión con la estabilidad presupuestaria y el control del gasto [STC 84/2015, FJ 5 a)]. En el presente caso, el objeto de la norma estatal no es primordialmente imponer una concreta programación del gasto anual o plurianual en materia de contratación, cuya existencia tiene su fundamento en el art. 7.1 de la Ley Orgánica 2/2012, de 27 de abril, de estabilidad presupuestaria y sostenibilidad </w:t>
      </w:r>
      <w:r>
        <w:lastRenderedPageBreak/>
        <w:t>financiera, como bien señala la abogacía del Estado, sino dar publicidad al plan de contratación, en aras de asegurar la igualdad y libre concurrencia entre licitadores. Se configura la programación en materia de contratación como un instrumento para dotar de transparencia y publicidad a la oferta del sector público, por lo que estamos ante una norma de indudable carácter básico, que no es incompatible con la potestad de autoorganización de la comunidad autónoma, a la hora de diseñar el contenido de su programación. La impugnación se ha de desestimar.</w:t>
      </w:r>
    </w:p>
    <w:p w:rsidR="005728DD" w:rsidRDefault="005728DD" w:rsidP="005728DD">
      <w:pPr>
        <w:pStyle w:val="TextoNormal"/>
      </w:pPr>
    </w:p>
    <w:p w:rsidR="005728DD" w:rsidRDefault="005728DD" w:rsidP="005728DD">
      <w:pPr>
        <w:pStyle w:val="TextoNormal"/>
      </w:pPr>
      <w:r>
        <w:t>b) En relación con el plazo de duración de los contratos, se recurre el art. 29.2 LCSP que regula el régimen de prórrogas contractuales. La letrada del Gobierno de Aragón considera que la norma estatal incurre en un excesivo detalle que impide el desarrollo autonómico y centra su reproche en el plazo de preaviso que, según la norma cuestionada, se ha de producir “al menos con dos meses de antelación a la finalización del plazo de duración del contrato, salvo que en el pliego que rija el contrato se establezca uno mayor”. El Gobierno de Aragón entiende que el hecho de que el propio precepto permita al órgano de contratación fijar en los pliegos un plazo superior a los dos meses acredita el carácter no básico de la regla y que no existe motivo alguno para impedir la regulación de dicho plazo de preaviso por el legislador autonómico.</w:t>
      </w:r>
    </w:p>
    <w:p w:rsidR="005728DD" w:rsidRDefault="005728DD" w:rsidP="005728DD">
      <w:pPr>
        <w:pStyle w:val="TextoNormal"/>
      </w:pPr>
    </w:p>
    <w:p w:rsidR="005728DD" w:rsidRDefault="005728DD" w:rsidP="005728DD">
      <w:pPr>
        <w:pStyle w:val="TextoNormal"/>
      </w:pPr>
      <w:r>
        <w:t>La regla estatal impugnada se limita a establecer un plazo de preaviso de dos meses por parte del órgano de contratación para que la prórroga del contrato sea obligatoria para el empresario; fija, por tanto, un mínimo común cuya finalidad es proporcionar las garantías de igualdad y seguridad jurídica, asegurando un tratamiento uniforme a los empresarios en relación con el alargamiento de la duración del contrato [SSTC 141/1993, FJ 5; 162/2009, FJ 4, y 56/2014, FJ 3 a), entre otras]. Además, posibilita que el órgano de contratación pueda, si así lo determina en los pliegos, acordar un plazo de preaviso superior a los dos meses. Esta posibilidad no impide la intervención del legislador autonómico ni prejuzga la decisión que este adopte en relación con dicho plazo, siempre que respete el mínimo común establecido por la norma estatal. El órgano de contratación en el ejercicio de sus competencias vendrá obligado a respetar tanto la legislación básica estatal —plazo mínimo de dos meses—, como la legislación que sea adoptada por la comunidad autónoma, al amparo de sus competencias, en relación con la ampliación o no del plazo mínimo de preaviso, sus condiciones o duración. Por tanto, debe descartarse, frente a lo que sostiene el Gobierno de Aragón, que la regulación básica establecida por el art. 29.2 LCSP sea tan minuciosa que no deje espacio alguno al ejercicio de las competencias autonómicas en materia de contratación.</w:t>
      </w:r>
    </w:p>
    <w:p w:rsidR="005728DD" w:rsidRDefault="005728DD" w:rsidP="005728DD">
      <w:pPr>
        <w:pStyle w:val="TextoNormal"/>
      </w:pPr>
    </w:p>
    <w:p w:rsidR="005728DD" w:rsidRDefault="005728DD" w:rsidP="005728DD">
      <w:pPr>
        <w:pStyle w:val="TextoNormal"/>
      </w:pPr>
      <w:r>
        <w:t>c) El art. 32 LCSP regula los encargos de los poderes adjudicadores a “medios propios personificados”, fijando los requisitos que, en caso de cumplimiento, permitirán no atribuir a dicho encargo la consideración de contrato a los efectos de la Ley de contratos del sector público. El Gobierno de Aragón entiende que la regulación, con carácter general, desciende a tal grado de detalle que elimina cualquier posibilidad de desarrollo legislativo por la comunidad autónoma. La objeción se reduce a algunos apartados o incisos del precepto, a los que limitaremos nuestro examen. También se recurre el art. 30 LCSP al incluir en el régimen jurídico de los encargos a medios propios, a juicio de la letrada del Gobierno aragonés, la determinación del órgano competente para su autorización.</w:t>
      </w:r>
    </w:p>
    <w:p w:rsidR="005728DD" w:rsidRDefault="005728DD" w:rsidP="005728DD">
      <w:pPr>
        <w:pStyle w:val="TextoNormal"/>
      </w:pPr>
    </w:p>
    <w:p w:rsidR="005728DD" w:rsidRDefault="005728DD" w:rsidP="005728DD">
      <w:pPr>
        <w:pStyle w:val="TextoNormal"/>
      </w:pPr>
      <w:r>
        <w:lastRenderedPageBreak/>
        <w:t>Se aduce, en primer lugar, que dado que el objeto del art. 32, y especialmente el del apartado 1, es el de excluir del ámbito de aplicación de la ley a ciertos negocios jurídicos por no tener la consideración de contratos, la regulación de dichos negocios jurídicos no puede encontrar amparo en el título competencial en materia de contratación pública del art. 149.1.18 CE.</w:t>
      </w:r>
    </w:p>
    <w:p w:rsidR="005728DD" w:rsidRDefault="005728DD" w:rsidP="005728DD">
      <w:pPr>
        <w:pStyle w:val="TextoNormal"/>
      </w:pPr>
    </w:p>
    <w:p w:rsidR="005728DD" w:rsidRDefault="005728DD" w:rsidP="005728DD">
      <w:pPr>
        <w:pStyle w:val="TextoNormal"/>
      </w:pPr>
      <w:r>
        <w:t xml:space="preserve">El citado art. 32.1 LCSP dispone que los poderes adjudicadores “podrán organizarse ejecutando de manera directa prestaciones propias de los contratos de obras, suministros, servicios, concesión de obras y concesión de servicios, a cambio de una compensación tarifaria, valiéndose de otra persona jurídica distinta a ellos, ya sea de derecho público o de derecho privado, previo encargo a esta”, siempre y cuando “la persona jurídica que utilicen merezca la calificación jurídica de medio propio personificado respecto de ellos”, de acuerdo con los requisitos previstos en los apartados 2, 3 y 4 del mismo precepto; y sin perjuicio de los establecidos para los medios propios del ámbito estatal en la Ley 40/2015, de 1 de octubre, de régimen jurídico del sector público. De cumplirse dichos requisitos, el encargo no tendrá la consideración de contrato; a </w:t>
      </w:r>
      <w:r w:rsidRPr="005728DD">
        <w:rPr>
          <w:i/>
        </w:rPr>
        <w:t>sensu contrario</w:t>
      </w:r>
      <w:r>
        <w:t>, si no los cumple, el encargo será, a todos los efectos, un contrato sujeto a la Ley de contratos del sector público. Así entendido, el legislador estatal no regula ni los negocios jurídicos excluidos de la Ley de contratos del sector público, ni la eventual organización del medio propio, sino que se limita a establecer los requisitos que se han de cumplir para que la utilización del medio propio no sea una vía de elusión fraudulenta de la ley y, por ello, un mecanismo de falseamiento del principio de competencia, pues sin competencia o con competencia falseada no hay contratación válida. El apartado 1 del art. 32 LCSP es un precepto cuyo carácter materialmente básico resulta del hecho de que delimita el ámbito de aplicación de la ley [STC 84/2015, FJ 5 a)]; aunque lo haga negativamente, concretando, por remisión, los requisitos que han de concurrir para que la exclusión opere en el caso de los encargos por los poderes adjudicadores a medios propios.</w:t>
      </w:r>
    </w:p>
    <w:p w:rsidR="005728DD" w:rsidRDefault="005728DD" w:rsidP="005728DD">
      <w:pPr>
        <w:pStyle w:val="TextoNormal"/>
      </w:pPr>
    </w:p>
    <w:p w:rsidR="005728DD" w:rsidRDefault="005728DD" w:rsidP="005728DD">
      <w:pPr>
        <w:pStyle w:val="TextoNormal"/>
      </w:pPr>
      <w:r>
        <w:t>Cuestión distinta es si el legislador estatal, al establecer la regulación de los requisitos que deben satisfacerse por el encargo, ha incurrido o no en algún exceso que menoscabe o vacíe las competencias de la comunidad autónoma en materia de contratación pública. Cuatro son las cuestiones planteadas por la letrada del Gobierno de Aragón:</w:t>
      </w:r>
    </w:p>
    <w:p w:rsidR="005728DD" w:rsidRDefault="005728DD" w:rsidP="005728DD">
      <w:pPr>
        <w:pStyle w:val="TextoNormal"/>
      </w:pPr>
    </w:p>
    <w:p w:rsidR="005728DD" w:rsidRDefault="005728DD" w:rsidP="005728DD">
      <w:pPr>
        <w:pStyle w:val="TextoNormal"/>
      </w:pPr>
      <w:r>
        <w:t>(i) En el apartado 2 del art. 32 LCSP, entre los requisitos para que la persona jurídica tenga la consideración de “medio propio personificado respecto de una única entidad concreta del sector público”, se establece la exigencia de que el poder adjudicador ejerza sobre el ente destinatario del encargo “un control, directo o indirecto, análogo al que ostentaría sobre sus propios servicios o unidades”, fijando, a continuación, la compensación o contraprestación que ha de recibir por ejecutar dicho encargo [letra a), párrafos tercero y cuarto]. En idénticos términos, pero sobre el “medio propio personificado respecto de dos o más poderes adjudicadores que sean independientes entre sí”, se expresan los párrafos tercero y cuarto del art. 32.4 a) LCSP.</w:t>
      </w:r>
    </w:p>
    <w:p w:rsidR="005728DD" w:rsidRDefault="005728DD" w:rsidP="005728DD">
      <w:pPr>
        <w:pStyle w:val="TextoNormal"/>
      </w:pPr>
    </w:p>
    <w:p w:rsidR="005728DD" w:rsidRDefault="005728DD" w:rsidP="005728DD">
      <w:pPr>
        <w:pStyle w:val="TextoNormal"/>
      </w:pPr>
      <w:r>
        <w:t>La Ley de contratos del sector público determina los aspectos básicos de la compensación que habrá de satisfacer el poder adjudicador a su medio propio, distinguiendo dos situaciones. Si las actividades son ejecutadas directamente por el medio propio, la compensación se fijará de acuerdo con las tarifas aprobadas por la entidad de la que depende, que se calcula</w:t>
      </w:r>
      <w:r>
        <w:lastRenderedPageBreak/>
        <w:t>rán “de manera que representen los costes reales de realización” y en los casos de subcontratación de las actividades, en la forma que reglamentariamente se determine, “atendiendo al coste efectivo soportado por el medio propio para las actividades objeto del encargo que se subcontraten con empresarios particulares en los casos en que este coste sea inferior al resultante de aplicar las tarifas a las actividades subcontratadas” [párrafos tercero y cuarto de los apartados 2 a) y 4 a) del art. 32.2].</w:t>
      </w:r>
    </w:p>
    <w:p w:rsidR="005728DD" w:rsidRDefault="005728DD" w:rsidP="005728DD">
      <w:pPr>
        <w:pStyle w:val="TextoNormal"/>
      </w:pPr>
    </w:p>
    <w:p w:rsidR="005728DD" w:rsidRDefault="005728DD" w:rsidP="005728DD">
      <w:pPr>
        <w:pStyle w:val="TextoNormal"/>
      </w:pPr>
      <w:r>
        <w:t>La solución propugnada por el legislador estatal —que el precio o compensación se fije por referencia a las tarifas que sean aprobadas por la entidad pública encomendante atendiendo a los costes reales de realización—, responde a la dinámica de unas operaciones de encargo ajenas a la lógica del mercado —rentabilidad o beneficio—, que son manifestación de un sistema de autoprovisión —sistema de cooperación vertical, según el art. 31.1 a) LCSP—, a través de un medio propio, financiado con fondos públicos, lo que justifica que dichos encargos no tengan la consideración de contratos. El criterio fijado por la legislación estatal tiene como finalidad, una vez más, garantizar la libre competencia en el ámbito de la contratación pública, evitando una inaplicación de la ley que falsee la libre concurrencia (STC 141/1993, FJ 5). Esta finalidad se aprecia con mayor intensidad en el caso de subcontratación por parte del medio propio de la ejecución de las actividades, pues el mecanismo previsto busca evitar tanto el quebranto para la entidad encomendante, como el beneficio o enriquecimiento injustificado para la entidad encomendataria. Estamos, pues, ante reglas materialmente básicas cuya finalidad demuestra que no incurren en un exceso de regulación. Por tanto, procede desestimar la impugnación.</w:t>
      </w:r>
    </w:p>
    <w:p w:rsidR="005728DD" w:rsidRDefault="005728DD" w:rsidP="005728DD">
      <w:pPr>
        <w:pStyle w:val="TextoNormal"/>
      </w:pPr>
    </w:p>
    <w:p w:rsidR="005728DD" w:rsidRDefault="005728DD" w:rsidP="005728DD">
      <w:pPr>
        <w:pStyle w:val="TextoNormal"/>
      </w:pPr>
      <w:r>
        <w:t>(ii) Otro de los requisitos previstos para la consideración de medio propio, según el art. 32.2 b) LCSP, es que más del 80 por 100 “de las actividades del ente destinatario del encargo se lleven a cabo en el ejercicio de los cometidos que le han sido confiados por el poder adjudicador que hace el encargo y que lo controla o por otras personas jurídicas controladas del mismo modo por la entidad que hace el encargo”, disponiendo luego las reglas para acreditar o calcular este 80 por 100 [letra b), párrafos segundo y tercero]. En los mismos términos se expresa, de nuevo y por remisión para el medio propio de dos o más poderes adjudicadores, el art. 32.4 b) LCSP. La Ley 11/2020, de 30 de diciembre de 2020, de presupuestos generales del Estado para el año 2021, ha suprimido el último párrafo de los apartados 2 b) y 4 b) del art. 32 LCSP. Esta supresión no afecta a la cuestión competencial aquí suscitada.</w:t>
      </w:r>
    </w:p>
    <w:p w:rsidR="005728DD" w:rsidRDefault="005728DD" w:rsidP="005728DD">
      <w:pPr>
        <w:pStyle w:val="TextoNormal"/>
      </w:pPr>
    </w:p>
    <w:p w:rsidR="005728DD" w:rsidRDefault="005728DD" w:rsidP="005728DD">
      <w:pPr>
        <w:pStyle w:val="TextoNormal"/>
      </w:pPr>
      <w:r>
        <w:t>Los preceptos concretan el grado de dependencia del medio propio reproduciendo el porcentaje mínimo establecido en el art. 12.1 b) de la Directiva 2014/24/UE: la entidad encomendataria debe llevar a cabo más del 80 por 100 de sus actividades por encargo del poder adjudicador o de otras entidades controladas por este. En los párrafos segundo y tercero del art. 32.2 b) LCSP —a los que se remite el art. 32.4 b)—, se establecen las reglas para el cálculo de ese porcentaje atendiendo a la toma en consideración de indicadores fiables —tales como el volumen global de negocios, o los gastos soportados por los servicios prestados o cualquier “otro indicador alternativo de actividad”— y referidos a “los tres ejercicios anteriores al de formalización del encargo” (criterio temporal). Si el criterio temporal no estuviera disponible (por la fecha de creación o de inicio de actividad, o la reorganización de las actividades) o hubiera perdido su vigencia, “será suficiente con justificar que el cálculo del nivel de actividad se corresponde con la realidad, en especial mediante proyecciones de negocio”.</w:t>
      </w:r>
    </w:p>
    <w:p w:rsidR="005728DD" w:rsidRDefault="005728DD" w:rsidP="005728DD">
      <w:pPr>
        <w:pStyle w:val="TextoNormal"/>
      </w:pPr>
    </w:p>
    <w:p w:rsidR="005728DD" w:rsidRDefault="005728DD" w:rsidP="005728DD">
      <w:pPr>
        <w:pStyle w:val="TextoNormal"/>
      </w:pPr>
      <w:r>
        <w:t>Estos criterios están en sintonía con los previstos en el art. 12.5 de la de la Directiva 2014/24/UE, aunque esto no significa que deban tener necesariamente carácter básico desde el punto de vista del derecho interno. El objetivo primordial de la regulación estatal es exigir el cumplimiento del porcentaje mínimo —más del 80 por 100 de actividades realizadas por encargo— para tener la consideración de medio propio y, por tanto, poder excluir a esos negocios jurídicos del ámbito de la Ley de contratos del sector público; y los criterios para su cálculo están vinculados de forma directa con la verificación de dicho cumplimiento y, por ello, con la delimitación del ámbito de la ley. Los criterios impugnados son, pues, un mínimo común que tienen como finalidad evitar un incumplimiento de la Ley de contratos del sector público que sea contrario a la libre concurrencia, garantizando la igualdad entre los empresarios (entre otras, STC 141/1993, FJ 5). Frente a lo que sostiene el Gobierno aragonés, ha de descartarse también que la regulación establecida por los párrafos segundo y tercero del art. 32.2 b) y el art. 32.4 b) LCSP sea tan minuciosa o exhaustiva que no deje espacio alguno a la competencia autonómica de desarrollo legislativo en esta materia. Sin menoscabo de la eficacia de la norma estatal básica, el legislador autonómico puede llevar a cabo desarrollos que contengan prescripciones de detalle respecto a la incorporación de otros criterios fiables de actividad para el cálculo del 80 por 100, o para justificar que el cálculo del nivel de actividad se corresponde con la realidad, así como el modo de articular de dichos criterios. En consecuencia, estos criterios tienen carácter básico.</w:t>
      </w:r>
    </w:p>
    <w:p w:rsidR="005728DD" w:rsidRDefault="005728DD" w:rsidP="005728DD">
      <w:pPr>
        <w:pStyle w:val="TextoNormal"/>
      </w:pPr>
    </w:p>
    <w:p w:rsidR="005728DD" w:rsidRDefault="005728DD" w:rsidP="005728DD">
      <w:pPr>
        <w:pStyle w:val="TextoNormal"/>
      </w:pPr>
      <w:r>
        <w:t>(iii) El apartado 6 del art. 32 LCSP alude a los requisitos de carácter formal que ha de cumplir el encargo. El recurrente reprocha, por incurrir en exceso de detalle, que se exija que el encargo deba “ser objeto de formalización en un documento”, que este haya de ser publicitado en la plataforma de contratación correspondiente en función de la cuantía, y que en él se establezca “el plazo de duración del encargo” [letra b)]. El precepto impugnado se dirige directamente a garantizar los principios de transparencia, publicidad e información para el conjunto de los empresarios que operan en el sector de la contratación pública. Estos principios, en la medida en que pretende asegurar un tratamiento común por parte de las administraciones públicas, se vinculan también con el principio de libre concurrencia [SSTC 141/1993, FJ 5; 162/2009, FJ 4; 56/2014, FJ 3 a), y 237/2015, FJ 2]. Son normas básicas que, por otra parte, no impiden la intervención de la comunidad autónoma en relación con aspectos relativos a la formalización, publicitación y contenido del documento de encargo, más allá de los mínimos establecidos por la legislación estatal. La impugnación debe, por ello, desestimarse.</w:t>
      </w:r>
    </w:p>
    <w:p w:rsidR="005728DD" w:rsidRDefault="005728DD" w:rsidP="005728DD">
      <w:pPr>
        <w:pStyle w:val="TextoNormal"/>
      </w:pPr>
    </w:p>
    <w:p w:rsidR="005728DD" w:rsidRDefault="005728DD" w:rsidP="005728DD">
      <w:pPr>
        <w:pStyle w:val="TextoNormal"/>
      </w:pPr>
      <w:r>
        <w:t>(iv) Se impugna también el primer párrafo del art. 32.7 b) LCSP que fija el importe máximo de las prestaciones parciales que el medio propio puede contratar con terceros: “no excederá del 50 por 100 de la cuantía del encargo”. Tras la reforma operada por la Ley 6/2018, de 3 de julio, de presupuestos generales del Estado para el año 2018, se introduce, en el inciso final del primer párrafo, una delimitación negativa de las prestaciones parciales, al excluir aquellas “que el medio propio adquiera a otras empresas cuando se trate de suministros o servicios auxiliares o instrumentales que no constituyen una parte autónoma y diferenciable de la prestación principal, aunque sean parte del proceso necesario para producir dicha prestación”. Entiende el recurrente que dicha regulación invade su potestad de autoorganización y que esta tacha no se ve alterada por la citada modificación del precepto.</w:t>
      </w:r>
    </w:p>
    <w:p w:rsidR="005728DD" w:rsidRDefault="005728DD" w:rsidP="005728DD">
      <w:pPr>
        <w:pStyle w:val="TextoNormal"/>
      </w:pPr>
    </w:p>
    <w:p w:rsidR="005728DD" w:rsidRDefault="005728DD" w:rsidP="005728DD">
      <w:pPr>
        <w:pStyle w:val="TextoNormal"/>
      </w:pPr>
      <w:r>
        <w:lastRenderedPageBreak/>
        <w:t>Esta argumentación, sin embargo, no puede ser compartida. La finalidad de fijar un tope del 50 por 100 de la cuantía del encargo para el importe de las prestaciones parciales que el medio propio puede contratar a terceros es la misma que inspira la regulación de los medios propios en su conjunto. Se pretende evitar el uso de los encargos a medios propios como mecanismo para eludir, a través de la subcontratación o externalización, la aplicación de la Ley de contratos del sector público, con el consiguiente menoscabo del principio básico de libre concurrencia entre empresarios. Esta finalidad se ve reforzada tras la reforma del precepto al incluir supuestos en los que dicha limitación o bien no opera (atendiendo al objeto del contrato, párrafos segundo y tercero), o bien permite el establecimiento de un porcentaje superior, si concurren razones de seguridad o urgencia (párrafo cuarto). Estamos, pues, ante una norma materialmente básica que ni impide la intervención de la comunidad autónoma —ya sea fijando un porcentaje inferior al 50 por 100, ya sea concretando los supuestos de carácter excepcional en los que se puede superar dicho porcentaje—, ni lesiona su potestad de autoorganización, pues, aunque, para garantizar un tratamiento común por parte de las administraciones públicas, establezca una regla que condiciona un aspecto del funcionamiento externo del medio propio, su creación, modificación o supresión corresponde, en todo caso, a la comunidad autónoma al amparo de sus competencias en materia de contratación (SSTC165/1986, FJ 6; 55/1999, FJ 3, y 142/2018, FJ 6). Procede, pues, desestimar la impugnación.</w:t>
      </w:r>
    </w:p>
    <w:p w:rsidR="005728DD" w:rsidRDefault="005728DD" w:rsidP="005728DD">
      <w:pPr>
        <w:pStyle w:val="TextoNormal"/>
      </w:pPr>
    </w:p>
    <w:p w:rsidR="005728DD" w:rsidRDefault="005728DD" w:rsidP="005728DD">
      <w:pPr>
        <w:pStyle w:val="TextoNormal"/>
      </w:pPr>
      <w:r>
        <w:t>d) Por último, se impugna en su totalidad el art. 30 LCSP, relativo a la ejecución directa de prestaciones por la administración pública con la colaboración de empresarios particulares o a través de medios propios no personificados. Los reproches del recurrente recaen exclusivamente sobre el apartado 5 del citado precepto y a él limitaremos nuestro examen.</w:t>
      </w:r>
    </w:p>
    <w:p w:rsidR="005728DD" w:rsidRDefault="005728DD" w:rsidP="005728DD">
      <w:pPr>
        <w:pStyle w:val="TextoNormal"/>
      </w:pPr>
    </w:p>
    <w:p w:rsidR="005728DD" w:rsidRDefault="005728DD" w:rsidP="005728DD">
      <w:pPr>
        <w:pStyle w:val="TextoNormal"/>
      </w:pPr>
      <w:r>
        <w:t>El recurrente entiende que el art. 30.5 LCSP extiende al régimen de los encargos de los poderes adjudicadores a medios propios personificados, la regla según la cual “[l]a autorización de la ejecución de obras y de la fabricación de bienes muebles y, en su caso, la aprobación del proyecto, corresponderá al órgano competente para la aprobación del gasto o al órgano que determinen las disposiciones orgánicas de las comunidades autónomas, en su respectivo ámbito”. Esta extensión se hace, a juicio del Gobierno de Aragón, con un carácter supletorio lesivo para su potestad de autoorganización.</w:t>
      </w:r>
    </w:p>
    <w:p w:rsidR="005728DD" w:rsidRDefault="005728DD" w:rsidP="005728DD">
      <w:pPr>
        <w:pStyle w:val="TextoNormal"/>
      </w:pPr>
    </w:p>
    <w:p w:rsidR="005728DD" w:rsidRDefault="005728DD" w:rsidP="005728DD">
      <w:pPr>
        <w:pStyle w:val="TextoNormal"/>
      </w:pPr>
      <w:r>
        <w:t>A diferencia del art. 32 LCSP sobre encargos a medios propios personificados, el precepto ahora impugnado —el art. 30 en su totalidad— no tiene carácter básico, de acuerdo con el párrafo segundo del apartado 3 de la disposición final primera. El apartado objeto de impugnación se limita a señalar que la autorización de encargos a medios propios personificados corresponderá al órgano que determinen las disposiciones orgánicas de las comunidades autónoma; por lo tanto, se puede afirmar que, al contrario de lo que sostiene el recurrente, el precepto, además de carecer de carácter supletorio, no incide en la potestad de organización de la comunidad autónoma. Por ello, se ha de desestimar la impugnación.</w:t>
      </w:r>
    </w:p>
    <w:p w:rsidR="005728DD" w:rsidRDefault="005728DD" w:rsidP="005728DD">
      <w:pPr>
        <w:pStyle w:val="TextoNormal"/>
      </w:pPr>
    </w:p>
    <w:p w:rsidR="005728DD" w:rsidRDefault="005728DD" w:rsidP="005728DD">
      <w:pPr>
        <w:pStyle w:val="TextoNormal"/>
      </w:pPr>
      <w:r>
        <w:t>D) En el ámbito del régimen de invalidez (capítulo cuarto, del título primero, del libro primero), se recurre el art. 39.2 c) LCSP —en conexión con el art. 347.3—, por el que se sanciona la falta de publicación del anuncio de licitación.</w:t>
      </w:r>
    </w:p>
    <w:p w:rsidR="005728DD" w:rsidRDefault="005728DD" w:rsidP="005728DD">
      <w:pPr>
        <w:pStyle w:val="TextoNormal"/>
      </w:pPr>
    </w:p>
    <w:p w:rsidR="005728DD" w:rsidRDefault="005728DD" w:rsidP="005728DD">
      <w:pPr>
        <w:pStyle w:val="TextoNormal"/>
      </w:pPr>
      <w:r>
        <w:lastRenderedPageBreak/>
        <w:t>La letrada del Gobierno de Aragón considera que el art. 347.3 LCSP, al imponer a las comunidades autónomas el modo de organizar “servicios de información similares a la plataforma de contratación del sector público”, vulnera la potestad de autoorganización. Y dado que el art. 39.2 c) LCSP sanciona, con la nulidad del contrato, “la falta de publicación del anuncio de licitación en el perfil de contratante alojado en la plataforma de contratación del sector público o en los servicios de información similares de las comunidades autónomas”, este precepto resulta, a juicio de la parte recurrente, igualmente lesivo para la potestad de autoorganización de la comunidad autónoma.</w:t>
      </w:r>
    </w:p>
    <w:p w:rsidR="005728DD" w:rsidRDefault="005728DD" w:rsidP="005728DD">
      <w:pPr>
        <w:pStyle w:val="TextoNormal"/>
      </w:pPr>
    </w:p>
    <w:p w:rsidR="005728DD" w:rsidRDefault="005728DD" w:rsidP="005728DD">
      <w:pPr>
        <w:pStyle w:val="TextoNormal"/>
      </w:pPr>
      <w:r>
        <w:t>Sin perjuicio de que el examen del art. 347.3 LCSP, que ha sido también impugnado de forma autónoma, será realizado más adelante, el tribunal no comparte la singular conexión que realiza la parte recurrente entre dicho precepto y el ahora objeto principal de nuestro enjuiciamiento. El art. 39.2 c) LCSP sanciona, con la nulidad del contrato, la falta de publicación del anuncio de licitación en el medio pertinente (plataformas de contratación, diarios oficiales…), de conformidad con el carácter básico que, en aras de los principios de publicidad de la actividad contractual sostenida con fondos públicos y de transparencia de la actuación administrativa, se ha atribuido a las previsiones relativas a la licitación y su publicitación (STC 237/2015, FJ 8, entre otras). La sanción guarda, por tanto, relación con la necesidad de garantizar los principios básicos de transparencia, publicidad e información, por lo que, al tener como objeto garantizar los citados principios en el ámbito de la contratación pública, ha de considerarse amparada en las competencias que en esta materia atribuye al Estado el art. 149.1.18 CE (STC 227/1988, FJ 32). Por otra parte, el precepto regula cuestiones vertebrales del derecho administrativo en torno a la validez de los actos que exigen la garantía de un tratamiento común, por lo que debe entenderse incardinada en el ámbito del “procedimiento administrativo común”.</w:t>
      </w:r>
    </w:p>
    <w:p w:rsidR="005728DD" w:rsidRDefault="005728DD" w:rsidP="005728DD">
      <w:pPr>
        <w:pStyle w:val="TextoNormal"/>
      </w:pPr>
    </w:p>
    <w:p w:rsidR="005728DD" w:rsidRDefault="005728DD" w:rsidP="005728DD">
      <w:pPr>
        <w:pStyle w:val="TextoNormal"/>
      </w:pPr>
      <w:r>
        <w:t>Por lo expuesto, la impugnación se desestima.</w:t>
      </w:r>
    </w:p>
    <w:p w:rsidR="005728DD" w:rsidRDefault="005728DD" w:rsidP="005728DD">
      <w:pPr>
        <w:pStyle w:val="TextoNormal"/>
      </w:pPr>
    </w:p>
    <w:p w:rsidR="005728DD" w:rsidRDefault="005728DD" w:rsidP="005728DD">
      <w:pPr>
        <w:pStyle w:val="TextoNormal"/>
      </w:pPr>
      <w:r>
        <w:t>E) En lo que se refiere al régimen jurídico del recurso especial en materia de contratación (capítulo quinto, del título primero, del libro primero), el Gobierno de Aragón ha impugnado las letras a) y c) del apartado 1, la letra e) del apartado 2 y el apartado 7 del art. 44, y los arts. 49, 52.3 y 58.2, y además, la disposición adicional vigésima tercera.</w:t>
      </w:r>
    </w:p>
    <w:p w:rsidR="005728DD" w:rsidRDefault="005728DD" w:rsidP="005728DD">
      <w:pPr>
        <w:pStyle w:val="TextoNormal"/>
      </w:pPr>
    </w:p>
    <w:p w:rsidR="005728DD" w:rsidRDefault="005728DD" w:rsidP="005728DD">
      <w:pPr>
        <w:pStyle w:val="TextoNormal"/>
      </w:pPr>
      <w:r>
        <w:t>a) El art. 44 LCSP delimita los actos susceptibles de recurso especial en materia de contratación. Son objeto de impugnación, en primer lugar, las letras a) y c) del apartado 1, en las que se concretan los actos recurribles atendiendo a la naturaleza y cuantía del contrato. La letra a) se refiere a los “contratos de obras cuyo valor estimado sea superior a tres millones de euros, y de suministro y servicios, que tenga un valor estimado superior a cien mil euros”; y la letra c), a las “concesiones de obras o de servicios cuyo valor estimado supere los tres millones de euros”.</w:t>
      </w:r>
    </w:p>
    <w:p w:rsidR="005728DD" w:rsidRDefault="005728DD" w:rsidP="005728DD">
      <w:pPr>
        <w:pStyle w:val="TextoNormal"/>
      </w:pPr>
    </w:p>
    <w:p w:rsidR="005728DD" w:rsidRDefault="005728DD" w:rsidP="005728DD">
      <w:pPr>
        <w:pStyle w:val="TextoNormal"/>
      </w:pPr>
      <w:r>
        <w:t>La letrada del Gobierno de Aragón argumenta que, si la comunidad autónoma es la competente, en virtud del art. 46 LCSP, para resolver el recurso especial y debe crear un órgano independiente, dicha potestad de autoorganización debe también extenderse a la posibilidad de reducir el umbral económico a partir del cual los actos son susceptibles de recurso. En definitiva, entiende la parte recurrente que la modificación del objeto de recurso forma parte de su potestad de autoorganización.</w:t>
      </w:r>
    </w:p>
    <w:p w:rsidR="005728DD" w:rsidRDefault="005728DD" w:rsidP="005728DD">
      <w:pPr>
        <w:pStyle w:val="TextoNormal"/>
      </w:pPr>
    </w:p>
    <w:p w:rsidR="005728DD" w:rsidRDefault="005728DD" w:rsidP="005728DD">
      <w:pPr>
        <w:pStyle w:val="TextoNormal"/>
      </w:pPr>
      <w:r>
        <w:lastRenderedPageBreak/>
        <w:t>En contra de lo que sostiene el Gobierno de Aragón, el tribunal entiende que este precepto no afecta a la potestad de autoorganización de la comunidad autónoma recurrente, pues la previsión que esta norma contiene no incide en su potestad para crear, modificar y suprimir los órganos, unidades administrativas o entidades que configuran su administración (STC 55/1999, de 6 de abril, FJ 3, entre otras muchas).</w:t>
      </w:r>
    </w:p>
    <w:p w:rsidR="005728DD" w:rsidRDefault="005728DD" w:rsidP="005728DD">
      <w:pPr>
        <w:pStyle w:val="TextoNormal"/>
      </w:pPr>
    </w:p>
    <w:p w:rsidR="005728DD" w:rsidRDefault="005728DD" w:rsidP="005728DD">
      <w:pPr>
        <w:pStyle w:val="TextoNormal"/>
      </w:pPr>
      <w:r>
        <w:t>En segundo lugar, se recurre la letra e) del art. 44.2 LCSP, que dispone que podrán ser objeto de recurso especial, entre otras actuaciones, “la formalización de encargos a medios propios en los casos en que estos no cumplan los requisitos legales”. El recurrente afirma que la exclusión de los negocios jurídicos del art. 32 LCSP del ámbito de la ley, por no tener la consideración de contratos, excluye la posibilidad de su control por esta vía.</w:t>
      </w:r>
    </w:p>
    <w:p w:rsidR="005728DD" w:rsidRDefault="005728DD" w:rsidP="005728DD">
      <w:pPr>
        <w:pStyle w:val="TextoNormal"/>
      </w:pPr>
    </w:p>
    <w:p w:rsidR="005728DD" w:rsidRDefault="005728DD" w:rsidP="005728DD">
      <w:pPr>
        <w:pStyle w:val="TextoNormal"/>
      </w:pPr>
      <w:r>
        <w:t>No puede compartirse la tesis del Gobierno de Aragón, dado que la finalidad del art. 32 LCSP, ya enjuiciado, es impedir que los encargos a medios propios personificados se conviertan en un mecanismo de elusión fraudulenta de la ley y, por ello, de falseamiento del principio de competencia. En este sentido, el poder controlar, a través del recurso especial, aquellos encargos a medios propios que, por no cumplir los requisitos, sí tendrán la consideración de contratos, es una medida lógica para satisfacer, entre otros, los principios de igualdad y libre concurrencia. Es, por ello, una regla materialmente básica, la cual, además, es susceptible de ser incluida en el procedimiento administrativo común a que se refiere el artículo 149.1.18 CE.</w:t>
      </w:r>
    </w:p>
    <w:p w:rsidR="005728DD" w:rsidRDefault="005728DD" w:rsidP="005728DD">
      <w:pPr>
        <w:pStyle w:val="TextoNormal"/>
      </w:pPr>
    </w:p>
    <w:p w:rsidR="005728DD" w:rsidRDefault="005728DD" w:rsidP="005728DD">
      <w:pPr>
        <w:pStyle w:val="TextoNormal"/>
      </w:pPr>
      <w:r>
        <w:t>En tercer lugar, se impugna el apartado 7 del art. 44 LCSP que atribuye carácter gratuito al recurso especial, lo que a juicio del Gobierno aragonés vulnera, nuevamente, su potestad de autoorganización. El tribunal no puede compartir la argumentación de la parte recurrente porque el carácter gratuito que este precepto atribuye a este recurso no afecta a la competencia autonómica para “conformar libremente la estructura orgánica de su aparato administrativo” (STC 165/1986, de 18 de diciembre, FJ 6). Esto impide apreciar la vulneración de las potestades de organización alegada.</w:t>
      </w:r>
    </w:p>
    <w:p w:rsidR="005728DD" w:rsidRDefault="005728DD" w:rsidP="005728DD">
      <w:pPr>
        <w:pStyle w:val="TextoNormal"/>
      </w:pPr>
    </w:p>
    <w:p w:rsidR="005728DD" w:rsidRDefault="005728DD" w:rsidP="005728DD">
      <w:pPr>
        <w:pStyle w:val="TextoNormal"/>
      </w:pPr>
      <w:r>
        <w:t>Corresponde, por tanto, desestimar la impugnación del art. 44 LCSP.</w:t>
      </w:r>
    </w:p>
    <w:p w:rsidR="005728DD" w:rsidRDefault="005728DD" w:rsidP="005728DD">
      <w:pPr>
        <w:pStyle w:val="TextoNormal"/>
      </w:pPr>
    </w:p>
    <w:p w:rsidR="005728DD" w:rsidRDefault="005728DD" w:rsidP="005728DD">
      <w:pPr>
        <w:pStyle w:val="TextoNormal"/>
      </w:pPr>
      <w:r>
        <w:t>b) El art. 49 LCSP regula la adopción de medidas cautelares con anterioridad a la interposición del recurso especial y, si bien el recurrente impugna la totalidad del precepto, sus tachas se centran en el ámbito objetivo de las medidas cautelares. Para la representación del Gobierno aragonés este ámbito se extiende por el legislador estatal a la totalidad de actos susceptibles de recurso especial, cosa que choca con el efecto suspensivo que la normativa comunitaria limita a la impugnación de las decisiones de adjudicación. En suma, en su opinión, esta ampliación del ámbito objetivo de las medidas cautelares restringe considerablemente el margen de actuación de las comunidades autónomas.</w:t>
      </w:r>
    </w:p>
    <w:p w:rsidR="005728DD" w:rsidRDefault="005728DD" w:rsidP="005728DD">
      <w:pPr>
        <w:pStyle w:val="TextoNormal"/>
      </w:pPr>
    </w:p>
    <w:p w:rsidR="005728DD" w:rsidRDefault="005728DD" w:rsidP="005728DD">
      <w:pPr>
        <w:pStyle w:val="TextoNormal"/>
      </w:pPr>
      <w:r>
        <w:t xml:space="preserve">En lo que atañe al ámbito objetivo de las medidas cautelares, el art. 49.1 LCSP dispone que podrán estar incluidas, “entre ellas, las destinadas a suspender o a hacer que se suspenda el procedimiento de adjudicación del contrato en cuestión o la ejecución de cualquier decisión adoptada por los órganos de contratación”. La suspensión tiene carácter automático solamente cuando el acto recurrido sea el de adjudicación, de acuerdo con el art. 53 LCSP. La conformidad de lo dispuesto en los arts. 49 y 53 LCSP al Derecho europeo es una cuestión ajena a la jurisdicción del tribunal. Nos encontramos ante un precepto que, dentro de </w:t>
      </w:r>
      <w:r>
        <w:lastRenderedPageBreak/>
        <w:t>su naturaleza procedimental, tiene como finalidad garantizar el principio de igualdad entre los operadores estableciendo un tratamiento común en el acceso al recurso (entre otras, STC 141/1993, FJ 5) por lo que ha de considerarse amparado en las competencias de carácter básico que atribuye al Estado el 149.1.18 CE en materia de contratación administrativa y de procedimiento administrativo común. El carácter básico del precepto no es un impedimento para que las comunidades autónomas puedan intervenir introduciendo, al amparo de sus competencias, prescripciones de detalle sobre el tipo de medidas cautelares que se puedan adoptar, más allá de las recogidas expresamente en el art. 49.1 LCSP, y sobre aspectos procedimentales y formales. Por ello, la impugnación se desestima.</w:t>
      </w:r>
    </w:p>
    <w:p w:rsidR="005728DD" w:rsidRDefault="005728DD" w:rsidP="005728DD">
      <w:pPr>
        <w:pStyle w:val="TextoNormal"/>
      </w:pPr>
    </w:p>
    <w:p w:rsidR="005728DD" w:rsidRDefault="005728DD" w:rsidP="005728DD">
      <w:pPr>
        <w:pStyle w:val="TextoNormal"/>
      </w:pPr>
      <w:r>
        <w:t>c) En relación con el acceso al expediente de contratación durante la tramitación del recurso especial, y para los casos en que, solicitado dicho acceso, este no se haya producido antes de la interposición del recurso, se impugna el art. 52.3 LCSP. Este precepto fija el plazo (diez días) para que el recurrente puede acceder al expediente, a los efectos de completar su recurso y con carácter previo al trámite de alegaciones; así como los plazos para que el órgano de contratación emita el informe correspondiente (dos días hábiles) y para que los restantes interesados efectúen las alegaciones (cinco días hábiles). El recurrente considera que la fijación de dichos plazos son prescripciones de detalle de carácter procedimental, que podrían ser sustituidos por otras igualmente garantistas.</w:t>
      </w:r>
    </w:p>
    <w:p w:rsidR="005728DD" w:rsidRDefault="005728DD" w:rsidP="005728DD">
      <w:pPr>
        <w:pStyle w:val="TextoNormal"/>
      </w:pPr>
    </w:p>
    <w:p w:rsidR="005728DD" w:rsidRDefault="005728DD" w:rsidP="005728DD">
      <w:pPr>
        <w:pStyle w:val="TextoNormal"/>
      </w:pPr>
      <w:r>
        <w:t>La regla estatal cuestionada, aunque sea una norma procedimental, tiene como objetivo favorecer el acceso al expediente de contratación en condiciones que permitan al recurrente articular su defensa. Por ello, cuando el acceso se produce con posterioridad a la interposición del recurso, se prevé un trámite para completar el recurso, coherentemente seguido de un plazo para que los restantes interesados (órgano de contratación y terceros) puedan reaccionar a dicho complemento. La introducción de estos trámites, al tener como objeto salvaguardar las garantías de publicidad y transparencia, así como la de igualdad en el acceso al recurso, asegurando un tratamiento común para todos los operadores por parte de todas las administraciones públicas (STC 141/1993, FJ 5, entre otras) se encuentra amparada tanto en las competencias del Estado en materia de procedimiento administrativo que le atribuye el art. 149.1.18, como en las que le atribuye este mismo precepto constitucional para establecer la legislación básica en materia de contratos administrativos.</w:t>
      </w:r>
    </w:p>
    <w:p w:rsidR="005728DD" w:rsidRDefault="005728DD" w:rsidP="005728DD">
      <w:pPr>
        <w:pStyle w:val="TextoNormal"/>
      </w:pPr>
    </w:p>
    <w:p w:rsidR="005728DD" w:rsidRDefault="005728DD" w:rsidP="005728DD">
      <w:pPr>
        <w:pStyle w:val="TextoNormal"/>
      </w:pPr>
      <w:r>
        <w:t>Aun reconociendo el carácter básico del trámite de complemento del recurso seguido de las alegaciones de terceros, no puede decirse lo mismo respecto de la regulación de los concretos plazos, la cual tiene un carácter accesorio o complementario, de naturaleza procedimental, y solo de forma indirecta guarda conexión con los principios básicos de transparencia, publicidad e igualdad. En la medida en que las prescripciones relativas a los plazos pueden ser sustituidas por otras elaboradas por las comunidades autónomas en el ámbito de sus competencias (STC 141/1993, FFJJ 5 y 6), no tienen carácter básico y deben, por ello, declararse contrarios al orden constitucional de competencias los incisos “de diez días”, “de dos días hábiles” y “cinco días hábiles” del art. 52.3 LCSP. En este caso la declaración de la invasión competencial no conlleva la nulidad, habida cuenta de que los incisos se aplican en el ámbito de la contratación del sector público estatal y esto no ha sido objeto de controversia en el presente proceso [SSTC 50/1999, de 6 de abril, FFJJ 7 y 8; 55/2018, de 24 de mayo, FFJJ 7 b) y c)].</w:t>
      </w:r>
    </w:p>
    <w:p w:rsidR="005728DD" w:rsidRDefault="005728DD" w:rsidP="005728DD">
      <w:pPr>
        <w:pStyle w:val="TextoNormal"/>
      </w:pPr>
    </w:p>
    <w:p w:rsidR="005728DD" w:rsidRDefault="005728DD" w:rsidP="005728DD">
      <w:pPr>
        <w:pStyle w:val="TextoNormal"/>
      </w:pPr>
      <w:r>
        <w:lastRenderedPageBreak/>
        <w:t>d) El art. 58.2 LCSP regula la imposición de multas por parte del órgano competente cuando “aprecie temeridad o mala fe en la interposición del recurso o en la solicitud de medidas cautelares”. El importe de estas multas se ha de ingresar en todo caso en el tesoro público, cosa que a juicio del Gobierno de Aragón constituye una arbitrariedad, dado que ha creado su propio Tribunal Administrativo de Contratos Públicos de Aragón, y lesiona su potestad de autoorganización.</w:t>
      </w:r>
    </w:p>
    <w:p w:rsidR="005728DD" w:rsidRDefault="005728DD" w:rsidP="005728DD">
      <w:pPr>
        <w:pStyle w:val="TextoNormal"/>
      </w:pPr>
    </w:p>
    <w:p w:rsidR="005728DD" w:rsidRDefault="005728DD" w:rsidP="005728DD">
      <w:pPr>
        <w:pStyle w:val="TextoNormal"/>
      </w:pPr>
      <w:r>
        <w:t>El tribunal coincide con la abogacía del Estado en que una correcta lectura del precepto exige entender la expresión “tesoro público” como comprensiva, no solo de la hacienda estatal, sino también de las autonómicas o locales. Así entendido, no cabe apreciar que el art. 58.2, de carácter básico, lesione la potestad de autoorganización.</w:t>
      </w:r>
    </w:p>
    <w:p w:rsidR="005728DD" w:rsidRDefault="005728DD" w:rsidP="005728DD">
      <w:pPr>
        <w:pStyle w:val="TextoNormal"/>
      </w:pPr>
    </w:p>
    <w:p w:rsidR="005728DD" w:rsidRDefault="005728DD" w:rsidP="005728DD">
      <w:pPr>
        <w:pStyle w:val="TextoNormal"/>
      </w:pPr>
      <w:r>
        <w:t>e) En el ámbito del recurso especial en materia de contratación se impugna, por último, la disposición adicional vigésima tercera de la Ley de contratos del sector público, que prevé que los diferentes órganos creados para la resolución de estos recursos “acordarán las fórmulas de coordinación y colaboración más adecuadas para favorecer la coherencia de sus pronunciamientos y para la unificación de su doctrina”. Además, se les atribuye la facultad de proponer “los ajustes normativos y recomendaciones que resulten pertinentes para un mejor funcionamiento de los mecanismos de recurso previstos en la normativa sobre contratos públicos”.</w:t>
      </w:r>
    </w:p>
    <w:p w:rsidR="005728DD" w:rsidRDefault="005728DD" w:rsidP="005728DD">
      <w:pPr>
        <w:pStyle w:val="TextoNormal"/>
      </w:pPr>
    </w:p>
    <w:p w:rsidR="005728DD" w:rsidRDefault="005728DD" w:rsidP="005728DD">
      <w:pPr>
        <w:pStyle w:val="TextoNormal"/>
      </w:pPr>
      <w:r>
        <w:t>El Gobierno aragonés entiende que una previsión de esta naturaleza colisiona con la independencia funcional con la que operan estos órganos (arts. 45 y 46 LCSP) y vulnera su potestad de autoorganización. El tribunal no puede compartir la tesis del recurrente, toda vez que el precepto se limita a posibilitar que los órganos competentes para resolver el recurso especial en materia de contratación puedan acordar “fórmulas de coordinación y colaboración”, lejos, por tanto, de imponer el resultado de estas fórmulas, ni una supuesta unidad de criterio en la resolución de los recursos, que sería contraria a su independencia funcional. No se aprecia, pues, en qué medida la potestad de autoorganización puede verse afectada por la previsión contenida en la disposición adicional vigesimotercera. Procede, pues, desestimar la impugnación.</w:t>
      </w:r>
    </w:p>
    <w:p w:rsidR="005728DD" w:rsidRDefault="005728DD" w:rsidP="005728DD">
      <w:pPr>
        <w:pStyle w:val="TextoNormal"/>
      </w:pPr>
    </w:p>
    <w:p w:rsidR="005728DD" w:rsidRDefault="005728DD" w:rsidP="005728DD">
      <w:pPr>
        <w:pStyle w:val="TextoNormal"/>
      </w:pPr>
      <w:r>
        <w:t>F) Son objeto de impugnación los arts. 62 y 63.4 (y por conexión el art. 118.4) y 6 LCSP, vinculados al órgano de contratación, en el ámbito de las partes en el contrato (capítulo primero del título segundo del libro primero).</w:t>
      </w:r>
    </w:p>
    <w:p w:rsidR="005728DD" w:rsidRDefault="005728DD" w:rsidP="005728DD">
      <w:pPr>
        <w:pStyle w:val="TextoNormal"/>
      </w:pPr>
    </w:p>
    <w:p w:rsidR="005728DD" w:rsidRDefault="005728DD" w:rsidP="005728DD">
      <w:pPr>
        <w:pStyle w:val="TextoNormal"/>
      </w:pPr>
      <w:r>
        <w:t>a) En el art. 62 LCSP se aborda la regulación de la figura del responsable del contrato. La designación de esta figura se configura como obligatoria para los órganos de contratación. A ella corresponderá “supervisar su ejecución y adoptar las decisiones y dictar las instrucciones necesarias con el fin de asegurar la correcta realización de la prestación pactada, dentro del ámbito de facultades que aquellos le atribuyan” (apartado primero). El recurrente impugna la totalidad del precepto, si bien su tacha se limita a dos aspectos regulados en el apartado primero del art. 62: la obligación de designar esta figura y la fijación de sus funciones. Para la letrada del Gobierno de Aragón estos dos aspectos forman parte de su potestad de autoorganización.</w:t>
      </w:r>
    </w:p>
    <w:p w:rsidR="005728DD" w:rsidRDefault="005728DD" w:rsidP="005728DD">
      <w:pPr>
        <w:pStyle w:val="TextoNormal"/>
      </w:pPr>
    </w:p>
    <w:p w:rsidR="005728DD" w:rsidRDefault="005728DD" w:rsidP="005728DD">
      <w:pPr>
        <w:pStyle w:val="TextoNormal"/>
      </w:pPr>
      <w:r>
        <w:t xml:space="preserve">La Ley de contratos del sector público trata de diseñar, como expone su preámbulo, “un sistema de contratación pública, más eficiente, transparente e íntegro, mediante el cual se </w:t>
      </w:r>
      <w:r>
        <w:lastRenderedPageBreak/>
        <w:t>consiga un mejor cumplimiento de los objetivos públicos […] a través de la satisfacción de las necesidades de los órganos de contratación”. Con este fin, se establece el carácter básico de la figura del responsable del contrato para reforzar el control del cumplimiento del contrato y solventar las incidencias que pueden surgir durante su ejecución. Esta se erige como instrumento mediante el cual se canalizan las comunicaciones entre la entidad contratante y el contratista. Como se desprende del precepto, esta figura tiene carácter obligatorio y sus funciones se limitan a la fase de ejecución del contrato. Con los mismos rasgos se regula en el art. 27 de la Ley 3/2011, de 24 de febrero, de medidas en materia de contratos del sector público de Aragón. La figura del responsable del contrato, así configurada, está vinculada, por tanto, a los principios de transparencia en la gestión y eficiencia en la utilización de los fondos públicos destinados a la contratación pública [STC 84/2015, FJ 5 a)]. Este precepto, materialmente básico, no agota las posibilidades de intervención de la comunidad autónoma en virtud de su potestad de autoorganización en relación con la regulación del régimen jurídico del responsable del contrato. El ejercicio de esta potestad es susceptible de ser referido, por ejemplo, a la delimitación de las funciones que le pueden ser atribuidas por el órgano de contratación, bien discrecionalmente, bien dentro del marco legal diseñado por el legislador autonómico. Corresponde, por tanto, desestimar la impugnación.</w:t>
      </w:r>
    </w:p>
    <w:p w:rsidR="005728DD" w:rsidRDefault="005728DD" w:rsidP="005728DD">
      <w:pPr>
        <w:pStyle w:val="TextoNormal"/>
      </w:pPr>
    </w:p>
    <w:p w:rsidR="005728DD" w:rsidRDefault="005728DD" w:rsidP="005728DD">
      <w:pPr>
        <w:pStyle w:val="TextoNormal"/>
      </w:pPr>
      <w:r>
        <w:t>b) El art. 63 LCSP regula el perfil del contratante, como elemento para “asegurar la transparencia y el acceso público” a la información y documentos relativos a la actividad contractual de los órganos de contratación. Dos son las tachas de inconstitucionalidad que el recurrente atribuye a la regulación estatal, que, a su juicio, vulnera su potestad de autoorganización: (i) La exigencia de publicar con una periodicidad trimestral “la información relativa a los contratos menores” (primer inciso, párrafo primero del apartado 4), y la “información relativa a los encargos [a medios propios] de importe superior a 5000 €” (primer inciso, párrafo segundo del apartado 6). (ii) Exceptuar la obligación de publicación trimestral de la información relativa a contratos menores cuyo valor estimado fuera inferior a cinco mil euros, “siempre que el sistema de pago utilizado por los poderes adjudicadores fuera el de anticipo de caja fija u otro sistema similar para realizar pagos menores” (párrafo 2 del apartado 4). Las críticas formuladas contra el art. 63.4 LCSP se hace extensivas al art. 118.4 —este precepto, tras la reforma operada por el Real Decreto-ley 3/2020, se corresponde con el actual apartado 6—, por disponer que la publicación de los contratos menores se haga, por remisión, conforme al citado art. 63.4.</w:t>
      </w:r>
    </w:p>
    <w:p w:rsidR="005728DD" w:rsidRDefault="005728DD" w:rsidP="005728DD">
      <w:pPr>
        <w:pStyle w:val="TextoNormal"/>
      </w:pPr>
    </w:p>
    <w:p w:rsidR="005728DD" w:rsidRDefault="005728DD" w:rsidP="005728DD">
      <w:pPr>
        <w:pStyle w:val="TextoNormal"/>
      </w:pPr>
      <w:r>
        <w:t xml:space="preserve">La regla que impone una periodicidad trimestral a la publicación tanto de los contratos menores, como de determinados encargos a medios propios, responde al objetivo de garantizar los principios básicos de publicidad, información y transparencia en dos ámbitos especialmente sensibles para evitar un falseamiento de la libre concurrencia o una elusión de la propia ley [entre otras, SSTC 141/1993, FJ 5, y 84/2015, FJ 5 a)]. No afecta, por tanto, a la potestad de autoorganización, pues no le impide configurar su propia organización administrativa. Se trata de una norma materialmente básica —y por extensión también el art. 118.6 LCSP— que no impide que la comunidad autónoma, al amparo de sus competencias de desarrollo de las bases en materia de contratación administrativa, pueda establecer una periodicidad distinta siempre que respete el mínimo trimestral fijado por la legislación estatal y pueda ampliar el contenido de dicha información. Por otra parte, el legislador estatal exceptúa de la publicación trimestral ciertos contratos menores —imponiendo para ello, además de un límite en su valor estimado, que el sistema de pago utilizado sea el del anticipo de caja fija o similar—. Esta previsión es una excepción a la norma general justificada en </w:t>
      </w:r>
      <w:r>
        <w:lastRenderedPageBreak/>
        <w:t>circunstancias concretas y por ello se mueve en el ámbito de la operatividad de los principios de información y transparencia y no impide al legislador autonómico de desarrollo establecer previsiones más exigentes sobre la publicidad de estos tipos de contratos. Por lo expuesto, la impugnación ha de ser desestimada.</w:t>
      </w:r>
    </w:p>
    <w:p w:rsidR="005728DD" w:rsidRDefault="005728DD" w:rsidP="005728DD">
      <w:pPr>
        <w:pStyle w:val="TextoNormal"/>
      </w:pPr>
    </w:p>
    <w:p w:rsidR="005728DD" w:rsidRDefault="005728DD" w:rsidP="005728DD">
      <w:pPr>
        <w:pStyle w:val="TextoNormal"/>
      </w:pPr>
      <w:r>
        <w:t xml:space="preserve">G) La letrada del Gobierno de Aragón impugna, en relación con la capacidad y solvencia del empresario, los arts. 69.1 y 2, y por conexión, el 150.1; 71; 72; 73; 77.3; 80.2; 82.2; 88.1 a), c) y e); y párrafo segundo </w:t>
      </w:r>
      <w:r w:rsidRPr="005728DD">
        <w:rPr>
          <w:i/>
        </w:rPr>
        <w:t>in fine</w:t>
      </w:r>
      <w:r>
        <w:t xml:space="preserve"> de la letra a) y las letras e) y g) del apartado 1 del art. 90 LCSP (capítulo segundo del título segundo del libro primero).</w:t>
      </w:r>
    </w:p>
    <w:p w:rsidR="005728DD" w:rsidRDefault="005728DD" w:rsidP="005728DD">
      <w:pPr>
        <w:pStyle w:val="TextoNormal"/>
      </w:pPr>
    </w:p>
    <w:p w:rsidR="005728DD" w:rsidRDefault="005728DD" w:rsidP="005728DD">
      <w:pPr>
        <w:pStyle w:val="TextoNormal"/>
      </w:pPr>
      <w:r>
        <w:t>a) El art. 69 LCSP establece el régimen jurídico de las uniones de empresarios que se constituyen temporalmente con el fin de contratar con el sector público. En relación con la acreditación de la constitución de la unión temporal, el apartado 1 prevé que no es necesaria “la formalización de las mismas en escritura pública hasta que se haya efectuado la adjudicación del contrato a su favor”. La parte recurrente entiende que esta previsión tiene un carácter meramente auxiliar; se trata de una norma formalista y de procedimiento, por lo que no debe declararse básica. Cita en apoyo de su argumentación, la STC 141/1993, en la que el tribunal declaró no básica la regulación de la acreditación y representación de las empresas que acuden a una licitación constituyendo una agrupación temporal, recogida en el art. 27 del Reglamento general de contratación del Estado, tras la reforma operada por el Real Decreto 2528/1986, de 28 de noviembre [FJ 6 d)].</w:t>
      </w:r>
    </w:p>
    <w:p w:rsidR="005728DD" w:rsidRDefault="005728DD" w:rsidP="005728DD">
      <w:pPr>
        <w:pStyle w:val="TextoNormal"/>
      </w:pPr>
    </w:p>
    <w:p w:rsidR="005728DD" w:rsidRDefault="005728DD" w:rsidP="005728DD">
      <w:pPr>
        <w:pStyle w:val="TextoNormal"/>
      </w:pPr>
      <w:r>
        <w:t>A los efectos de resolver esta controversia, es necesario, en primer lugar, indagar en las razones del legislador estatal para atribuir el carácter de básico al apartado 1 del art. 69 LCSP. La ley declara, en su preámbulo, que uno de sus objetivos es dar satisfacción, en el ámbito de la contratación pública, “a la necesidad de simplificación de los trámites y con ello, de imponer una menor burocracia para los licitadores y mejor acceso para las PYMES. El proceso de licitación debe resultar más simple, con la idea de reducir las cargas administrativas de todos los operadores económicos intervinientes en este ámbito, beneficiando así tanto a los licitadores, como a los órganos de contratación”. Este objetivo del legislador estatal se conecta con algunos de los principios básicos que guían la contratación pública, tales como la transparencia en los procedimientos de licitación y la eficiente utilización de los recursos públicos por la vía de la disminución de las cargas burocráticas [STC 84/2015, FJ 5 a)]. El art. 69.1 LCSP se encamina directamente a la consecución de estos objetivos cuando prevé que solo se habrá de formalizar la unión temporal en escritura pública cuando “se haya efectuado la adjudicación del contrato”, con el consiguiente ahorro de cargas y gastos para los licitadores; lo que permite al tribunal considerarlo básico. En consecuencia, esta impugnación debe ser desestimada.</w:t>
      </w:r>
    </w:p>
    <w:p w:rsidR="005728DD" w:rsidRDefault="005728DD" w:rsidP="005728DD">
      <w:pPr>
        <w:pStyle w:val="TextoNormal"/>
      </w:pPr>
    </w:p>
    <w:p w:rsidR="005728DD" w:rsidRDefault="005728DD" w:rsidP="005728DD">
      <w:pPr>
        <w:pStyle w:val="TextoNormal"/>
      </w:pPr>
      <w:r>
        <w:t xml:space="preserve">El apartado 2 del art. 69 LCSP aborda el problema de los indicios de colusión limitativos de la competencia entre las empresas que concurren agrupadas en una unión temporal. La letrada del Gobierno aragonés centra su reproche en el párrafo segundo del citado artículo, ya que a su juicio impone la obligación de tramitar un procedimiento sumarísimo —el previsto en el art. 150.1, párrafo tercero—, cuando “la mesa o el órgano de contratación, considerando la justificación efectuada por las empresas, estimase que existen indicios fundados de colusión entre ellas”, lo que predetermina la forma de controlar la eventual colusión y vulnera su potestad de autoorganización. Además, se considera que la regulación lesiona </w:t>
      </w:r>
      <w:r>
        <w:lastRenderedPageBreak/>
        <w:t>el principio de seguridad jurídica (art. 9.3 CE), al no aclarar si produce o no efectos suspensivos la comunicación que la mesa u órgano de contratación traslada “a la Comisión Nacional de los Mercados y la Competencia o, en su caso, a la autoridad de competencia autonómica correspondiente”. Simultáneamente, se atribuye al art. 150.1 LCSP vulnerar la potestad de autoorganización por imponer, precisamente, la suspensión del procedimiento de contratación.</w:t>
      </w:r>
    </w:p>
    <w:p w:rsidR="005728DD" w:rsidRDefault="005728DD" w:rsidP="005728DD">
      <w:pPr>
        <w:pStyle w:val="TextoNormal"/>
      </w:pPr>
    </w:p>
    <w:p w:rsidR="005728DD" w:rsidRDefault="005728DD" w:rsidP="005728DD">
      <w:pPr>
        <w:pStyle w:val="TextoNormal"/>
      </w:pPr>
      <w:r>
        <w:t>El art. 150.1, párrafo tercero LCSP confirma expresamente los efectos suspensivos del traslado a la Comisión Nacional de los Mercados y la Competencia o autoridad autonómica equivalente de los indicios de colusión —cosa que descarta cualquier vulneración del principio de seguridad jurídica—, remitiendo al desarrollo reglamentario la regulación del procedimiento sumarísimo. El párrafo segundo del art. 69.2 no condiciona, como alega la parte recurrente, la potestad de autoorganización autonómica, pues se limita a dotar de celeridad al procedimiento calificándolo de “sumarísimo” para, de este modo, salvaguardar la defensa de la competencia, sin que la eventual paralización de la licitación, impuesta por el art. 150.1 LCSP, se erija en un desincentivo para el uso de la figura de las uniones temporales de empresas o pueda generar graves perjuicios.</w:t>
      </w:r>
    </w:p>
    <w:p w:rsidR="005728DD" w:rsidRDefault="005728DD" w:rsidP="005728DD">
      <w:pPr>
        <w:pStyle w:val="TextoNormal"/>
      </w:pPr>
    </w:p>
    <w:p w:rsidR="005728DD" w:rsidRDefault="005728DD" w:rsidP="005728DD">
      <w:pPr>
        <w:pStyle w:val="TextoNormal"/>
      </w:pPr>
      <w:r>
        <w:t xml:space="preserve">El tribunal ha declarado que “la competencia para establecer el régimen de los ‘procedimientos administrativos especiales’ aplicable a las diversas formas de la actividad administrativa </w:t>
      </w:r>
      <w:r w:rsidRPr="005728DD">
        <w:rPr>
          <w:i/>
        </w:rPr>
        <w:t>ratione materiae</w:t>
      </w:r>
      <w:r>
        <w:t xml:space="preserve"> ‘es conexa a las que, respectivamente, el Estado o las comunidades autónomas ostentan para la regulación del régimen sustantivo de cada actividad o servicio de la administración’” [STC 55/2018, de 24 de mayo, FJ 4 b)]. Por esta razón tanto el párrafo segundo del art. 69.2 como el art. 150.1 LCSP son preceptos básicos en materia de contratación pública, lo que no impide que puedan “‘alcanzar algún aspecto de [los] procedimientos especiales si imponen criterios directamente vinculados a los objetivos sustantivos’ de esa legislación básica”, en este caso, la defensa de la competencia en los procedimientos de adjudicación de contratos públicos [STC 54/2017, FJ 7 b), que se refiere a la legislación básica, en general; SSTC 45/2015, FJ 6 c); 53/2017, de 17 de mayo, FFJJ 3 y 5 b), y 143/2017, FJ 23, que se refieren a las “bases medioambientales”, en particular, y STC 55/2018, FJ 4 b)]. Corresponde, por lo expuesto, desestimar la impugnación.</w:t>
      </w:r>
    </w:p>
    <w:p w:rsidR="005728DD" w:rsidRDefault="005728DD" w:rsidP="005728DD">
      <w:pPr>
        <w:pStyle w:val="TextoNormal"/>
      </w:pPr>
    </w:p>
    <w:p w:rsidR="005728DD" w:rsidRDefault="005728DD" w:rsidP="005728DD">
      <w:pPr>
        <w:pStyle w:val="TextoNormal"/>
      </w:pPr>
      <w:r>
        <w:t>b) El art. 71 LCSP regula las prohibiciones de contratar. Aunque se recurre el precepto en su totalidad, la argumentación del Gobierno de Aragón se desarrolla solamente en relación con dos cuestiones en las que, según sus alegaciones, por incurrir la legislación estatal en una regulación de detalle, se impide la intervención de la comunidad autónoma. Por esta razón la modificación operada en el precepto por el Real Decreto-ley 14/2019 no afecta a la presente controversia.</w:t>
      </w:r>
    </w:p>
    <w:p w:rsidR="005728DD" w:rsidRDefault="005728DD" w:rsidP="005728DD">
      <w:pPr>
        <w:pStyle w:val="TextoNormal"/>
      </w:pPr>
    </w:p>
    <w:p w:rsidR="005728DD" w:rsidRDefault="005728DD" w:rsidP="005728DD">
      <w:pPr>
        <w:pStyle w:val="TextoNormal"/>
      </w:pPr>
      <w:r>
        <w:t xml:space="preserve">En primer lugar, el art. 71.1 b) establece un </w:t>
      </w:r>
      <w:r w:rsidRPr="005728DD">
        <w:rPr>
          <w:i/>
        </w:rPr>
        <w:t>numerus clausus</w:t>
      </w:r>
      <w:r>
        <w:t xml:space="preserve"> de las infracciones graves o muy graves, cuya sanción firme llevará acarreada la prohibición de contratar. La parte recurrente defiende, sin mayor fundamentación, una apertura de dicho listado. El tribunal considera que tiene carácter básico un precepto que establece un listado común y cerrado de infracciones cuya comisión trae aparejada la prohibición de contratar, en cuanto afecta a la capacidad de contratación de los empresarios. El precepto tiene como objeto garantizar la igualdad de condiciones y la seguridad jurídica en la contratación pública [SSTC 141/1993, FJ 6 q), y 331/1993, FJ 6 B)].</w:t>
      </w:r>
    </w:p>
    <w:p w:rsidR="005728DD" w:rsidRDefault="005728DD" w:rsidP="005728DD">
      <w:pPr>
        <w:pStyle w:val="TextoNormal"/>
      </w:pPr>
    </w:p>
    <w:p w:rsidR="005728DD" w:rsidRDefault="005728DD" w:rsidP="005728DD">
      <w:pPr>
        <w:pStyle w:val="TextoNormal"/>
      </w:pPr>
      <w:r>
        <w:lastRenderedPageBreak/>
        <w:t>En segundo lugar, se cuestionan los párrafos tercero y cuarto del art. 71.1 d) LCSP que regulan la forma de acreditar el cumplimiento “de la cuota de reserva de puestos de trabajo del 2 por 100 para personas con discapacidad”. Esta acreditación, en principio, se hará mediante una declaración responsable que se ajustará al formulario de documento europeo único de contratación, según los términos previstos en el art. 141 LCSP (párrafo tercero). No obstante, “el Consejo de Ministros, mediante real decreto, podrá establecer una forma alternativa de acreditación que, en todo caso, será bien mediante certificación del órgano administrativo correspondiente, con vigencia mínima de seis meses, o bien mediante certificación del correspondiente registro de licitadores, en los casos en que dicha circunstancia figure inscrita en el mismo” (párrafo cuarto). Se aduce que esta regulación es limitativa de una intervención de mayor rigor en los aspectos sustantivos y procedimentales por parte de la comunidad autónoma.</w:t>
      </w:r>
    </w:p>
    <w:p w:rsidR="005728DD" w:rsidRDefault="005728DD" w:rsidP="005728DD">
      <w:pPr>
        <w:pStyle w:val="TextoNormal"/>
      </w:pPr>
    </w:p>
    <w:p w:rsidR="005728DD" w:rsidRDefault="005728DD" w:rsidP="005728DD">
      <w:pPr>
        <w:pStyle w:val="TextoNormal"/>
      </w:pPr>
      <w:r>
        <w:t>La exigencia de una declaración responsable, ajustada al modelo europeo, para acreditar la cuota de reserva de puestos de trabajo para personas con discapacidad es una norma básica que responde a la consecución de principios como los de transparencia e información en los procedimientos de licitación, así como a la eficiencia en la gestión de los recursos públicos mediante la reducción de las cargas burocráticas [STC 84/2015, FJ 5 a)]. En relación con las formas alternativas que determine en su momento el Consejo de Ministros, vía reglamento, tiene razón la abogacía del Estado al sostener que el recurso tiene un carácter preventivo y prematuro, por lo que habrá que esperar a la aprobación del real decreto para poder determinar si el Estado se excede o no de su competencia básica en materia de contratación pública.</w:t>
      </w:r>
    </w:p>
    <w:p w:rsidR="005728DD" w:rsidRDefault="005728DD" w:rsidP="005728DD">
      <w:pPr>
        <w:pStyle w:val="TextoNormal"/>
      </w:pPr>
    </w:p>
    <w:p w:rsidR="005728DD" w:rsidRDefault="005728DD" w:rsidP="005728DD">
      <w:pPr>
        <w:pStyle w:val="TextoNormal"/>
      </w:pPr>
      <w:r>
        <w:t>Procede, por tanto, desestimar la impugnación del art. 71 LCSP.</w:t>
      </w:r>
    </w:p>
    <w:p w:rsidR="005728DD" w:rsidRDefault="005728DD" w:rsidP="005728DD">
      <w:pPr>
        <w:pStyle w:val="TextoNormal"/>
      </w:pPr>
    </w:p>
    <w:p w:rsidR="005728DD" w:rsidRDefault="005728DD" w:rsidP="005728DD">
      <w:pPr>
        <w:pStyle w:val="TextoNormal"/>
      </w:pPr>
      <w:r>
        <w:t>c) En el art. 72 LCSP se establecen las reglas de competencia y procedimiento para apreciar las prohibiciones de contratar previstas en el art. 71 LCSP. Según la representación procesal del Gobierno aragonés, el precepto regula el órgano autonómico competente para apreciar la prohibición de contratar y el procedimiento que debe seguirse, lo que excede del ámbito material de bases y vulnera sus competencias en materia de contratación y de procedimiento administrativo derivado de las especialidades de su propia organización (art. 71.7 EAAr). Se recurre la totalidad del precepto, pero los reproches se dirigen solo a algunas de sus previsiones en las que se aborda la competencia y el procedimiento para la apreciación: los apartados 1 a 5 del art. 72 LCSP.</w:t>
      </w:r>
    </w:p>
    <w:p w:rsidR="005728DD" w:rsidRDefault="005728DD" w:rsidP="005728DD">
      <w:pPr>
        <w:pStyle w:val="TextoNormal"/>
      </w:pPr>
    </w:p>
    <w:p w:rsidR="005728DD" w:rsidRDefault="005728DD" w:rsidP="005728DD">
      <w:pPr>
        <w:pStyle w:val="TextoNormal"/>
      </w:pPr>
      <w:r>
        <w:t>Atendiendo a las circunstancias que acarrean la prohibición de contratar, el precepto distingue, según el procedimiento y el órgano competente para su apreciación, entre dos posibilidades. Por un lado, los supuestos en los que la ley permite la apreciación directa por el órgano de contratación [art. 72.1, relativo a las causas de las letras c), d), f), g) y h) del art. 71.1, y párrafo primero del art. 72.2, respecto las causas de las letras a) y b) del art. 71.1, “cuando la sentencia o la resolución administrativa se hubiera pronunciado expresamente sobre su alcance y duración”]. Por otro lado, aquellos supuestos en los que el alcance y duración de la prohibición de contratar exige su determinación mediante un procedimiento instruido al efecto (párrafo segundo del art. 72.2).</w:t>
      </w:r>
    </w:p>
    <w:p w:rsidR="005728DD" w:rsidRDefault="005728DD" w:rsidP="005728DD">
      <w:pPr>
        <w:pStyle w:val="TextoNormal"/>
      </w:pPr>
    </w:p>
    <w:p w:rsidR="005728DD" w:rsidRDefault="005728DD" w:rsidP="005728DD">
      <w:pPr>
        <w:pStyle w:val="TextoNormal"/>
      </w:pPr>
      <w:r>
        <w:t xml:space="preserve">En relación con los supuestos que requieren la tramitación de un procedimiento, la competencia se distribuye entre: (i) el ministro de Hacienda y Función Pública, previa propuesta </w:t>
      </w:r>
      <w:r>
        <w:lastRenderedPageBreak/>
        <w:t>de la Junta Consultiva de Contratación Pública del Estado, para las causas de las letras a) y b) del art. 71.1, y para la causa de la letra e) del mismo precepto, limitada a la obligación de comunicar la información prevista en los arts. 82.4 y 343; y los órganos que resulten competentes en el ámbito de las comunidades autónomas, solo para el caso de la letra e) citada (art. 72.3, primer y segundo párrafo LCSP); y (ii) el órgano de contratación, en las causas de la letra e) del art. 71.1, por haber incurrido en falsedad en la declaración de responsabilidad o en cualesquiera otros datos relativos a su capacidad y solvencia, y en los casos del art. 71.2 (art. 72.3, tercer párrafo LCSP).</w:t>
      </w:r>
    </w:p>
    <w:p w:rsidR="005728DD" w:rsidRDefault="005728DD" w:rsidP="005728DD">
      <w:pPr>
        <w:pStyle w:val="TextoNormal"/>
      </w:pPr>
    </w:p>
    <w:p w:rsidR="005728DD" w:rsidRDefault="005728DD" w:rsidP="005728DD">
      <w:pPr>
        <w:pStyle w:val="TextoNormal"/>
      </w:pPr>
      <w:r>
        <w:t>La regulación de la competencia para declarar la prohibición de contratar se completa con unas reglas especiales para el caso de las entidades que no tengan el carácter de administración pública: en principio, corresponderá “al titular del departamento, presidente o director del organismo al que esté adscrita o del que dependa la entidad contratante o al que corresponda su tutela o control”; y si la entidad estuviera vinculada a más de una administración, “será competente el órgano correspondiente de la que ostente el control o participación mayoritaria” (art. 72.4 LCSP).</w:t>
      </w:r>
    </w:p>
    <w:p w:rsidR="005728DD" w:rsidRDefault="005728DD" w:rsidP="005728DD">
      <w:pPr>
        <w:pStyle w:val="TextoNormal"/>
      </w:pPr>
    </w:p>
    <w:p w:rsidR="005728DD" w:rsidRDefault="005728DD" w:rsidP="005728DD">
      <w:pPr>
        <w:pStyle w:val="TextoNormal"/>
      </w:pPr>
      <w:r>
        <w:t>En cuanto al procedimiento para determinar el alcance y duración de la prohibición, el apartado 5 del art. 72 LCSP hace una remisión al desarrollo reglamentario, limitándose a establecer dos reglas: (i) la excepción a declarar la prohibición de contratar “cuando, en sede del trámite de audiencia del procedimiento correspondiente, la persona incursa en la causa de prohibición acredite el pago o compromiso de pago de las multas e indemnizaciones fijadas por sentencia o resolución administrativa de las que derive la causa de prohibición de contratar” y (ii) la posibilidad de revisión en cualquier momento de su vigencia de la prohibición de contratar así declarada. Estas previsiones procedimentales se completan con la referencia a los plazos que, una vez transcurridos, impedirán el inicio del procedimiento (art. 72.6 y 7 LCSP).</w:t>
      </w:r>
    </w:p>
    <w:p w:rsidR="005728DD" w:rsidRDefault="005728DD" w:rsidP="005728DD">
      <w:pPr>
        <w:pStyle w:val="TextoNormal"/>
      </w:pPr>
    </w:p>
    <w:p w:rsidR="005728DD" w:rsidRDefault="005728DD" w:rsidP="005728DD">
      <w:pPr>
        <w:pStyle w:val="TextoNormal"/>
      </w:pPr>
      <w:r>
        <w:t>Expuesto el contenido esencial del precepto, su examen no puede desligarse del art. 71 LCSP que establece las circunstancias que de concurrir llevarán aparejada la falta de capacidad del empresario para contratar. El art. 72 LCSP se limita a establecer las reglas de orden competencial y procedimental que son necesarias para “apreciar” la concurrencia de aquellas circunstancias y, por tanto, para asegurar su eficacia. Estas reglas tienen carácter básico, al igual que el art. 71 LCSP a cuya efectividad se dirigen, pues su objeto es garantizar la igualdad de condiciones y la seguridad jurídica en la contratación [SSTC 141/1993, FJ 6 q), y 331/1993, FJ 6 B)]. Estas normas no regulan, con carácter general, cuál es el órgano autonómico competente para apreciar la concurrencia de las circunstancias determinantes de la prohibición de contratar (apartado 1; primer párrafo, del apartado 2 y tercer párrafo del apartado 3 del art. 72 LCSP). Los casos en que distribuye la competencia entre el Ministerio de Hacienda y el órgano autonómico (art. 72.3 LCSP) se justifican por la eficacia de la prohibición de contratar; esto es, según se extienda a todo el sector público o se restrinja al sector público autonómico (art. 73.1 LCSP). Aun así, en estos casos, la ley dispone que sea la comunidad autónoma, atendiendo a su potestad de autoorganización, la que concrete dicho órgano (inciso final del párrafo primero del art. 72.3 LCSP). De acuerdo con lo expuesto, se ha de desestimar la impugnación en lo relativo a los apartados 1 a 3 del art. 72 LCSP.</w:t>
      </w:r>
    </w:p>
    <w:p w:rsidR="005728DD" w:rsidRDefault="005728DD" w:rsidP="005728DD">
      <w:pPr>
        <w:pStyle w:val="TextoNormal"/>
      </w:pPr>
    </w:p>
    <w:p w:rsidR="005728DD" w:rsidRDefault="005728DD" w:rsidP="005728DD">
      <w:pPr>
        <w:pStyle w:val="TextoNormal"/>
      </w:pPr>
      <w:r>
        <w:lastRenderedPageBreak/>
        <w:t>El legislador estatal incurre, sin embargo, en un exceso cuando determina el órgano competente para declarar la prohibición de contratar en el caso de entidades contratantes que no tengan el carácter de administración. Se trata de una norma de detalle que solo de forma incidental guarda conexión con los principios de igualdad y seguridad jurídica en la contratación pública. En la medida en que las reglas relativas a la determinación el órgano competente pueden ser sustituidas por otras elaboradas por las comunidades autónomas en el ámbito de sus competencias (STC 141/1993, FJ 5), debe declararse no básico y, por ello, contrario al orden constitucional de competencias el art. 72.4 LCSP. Esta declaración no conlleva su nulidad, por cuanto solamente será aplicable a la contratación del sector público estatal [SSTC 50/1999, FFJJ 7 y 8, y 55/2018, FFJJ 7 b) y c)].</w:t>
      </w:r>
    </w:p>
    <w:p w:rsidR="005728DD" w:rsidRDefault="005728DD" w:rsidP="005728DD">
      <w:pPr>
        <w:pStyle w:val="TextoNormal"/>
      </w:pPr>
    </w:p>
    <w:p w:rsidR="005728DD" w:rsidRDefault="005728DD" w:rsidP="005728DD">
      <w:pPr>
        <w:pStyle w:val="TextoNormal"/>
      </w:pPr>
      <w:r>
        <w:t>Hay que señalar, por último, que el art. 72.5 LCSP es igualmente un precepto básico en materia de contratación pública. Esto no impide que pueda “‘alcanzar algún aspecto de [los] procedimientos especiales si imponen criterios directamente vinculados a los objetivos sustantivos’ de esa legislación básica”, en este caso, la igualdad de condiciones en el acceso a la contratación pública y la seguridad jurídica [STC 55/2018, FJ 4 b)]. La impugnación se ha de desestimar.</w:t>
      </w:r>
    </w:p>
    <w:p w:rsidR="005728DD" w:rsidRDefault="005728DD" w:rsidP="005728DD">
      <w:pPr>
        <w:pStyle w:val="TextoNormal"/>
      </w:pPr>
    </w:p>
    <w:p w:rsidR="005728DD" w:rsidRDefault="005728DD" w:rsidP="005728DD">
      <w:pPr>
        <w:pStyle w:val="TextoNormal"/>
      </w:pPr>
      <w:r>
        <w:t>d) El art. 73 LCSP completa la regulación relativa a las prohibiciones de contratar, estableciendo sus efectos. Las objeciones de la letrada del Gobierno de Aragón se centran en el apartado 1 del precepto: por una parte, se reprocha a la regulación estatal no aplicar el principio de equivalencia o reconocimiento mutuo, lo que permitiría dotar de eficacia, en todo el territorio estatal, a las prohibiciones de contratar declaradas por cada comunidad autónoma. Por otra parte, se argumenta que cuando la competencia para declarar la prohibición de contratar corresponde a la comunidad autónoma y sus efectos se restringen al sector público autonómico, la regulación debe ser autonómica.</w:t>
      </w:r>
    </w:p>
    <w:p w:rsidR="005728DD" w:rsidRDefault="005728DD" w:rsidP="005728DD">
      <w:pPr>
        <w:pStyle w:val="TextoNormal"/>
      </w:pPr>
    </w:p>
    <w:p w:rsidR="005728DD" w:rsidRDefault="005728DD" w:rsidP="005728DD">
      <w:pPr>
        <w:pStyle w:val="TextoNormal"/>
      </w:pPr>
      <w:r>
        <w:t>El art. 73.1 LCSP regula los efectos de la declaración de la prohibición de contratar distinguiendo tres posibles situaciones: (i) efectos en el ámbito del órgano de contratación competente para su declaración [supuestos del art. 71.2 y de la letra e) del art. 71.1, por haber incurrido en falsedad en la declaración de responsabilidad o en cualesquiera otros datos relativos a su capacidad y solvencia]; estos efectos se podrán o deberán extender, según los casos, al sector público estatal o autonómico; (ii) efectos en el sector público autonómico, cuando la competencia para la declaración de la prohibición de contratar corresponda a los órganos competentes en el ámbito de las comunidades autónomas [el supuesto ya citado de la letra e) del art. 71.1] y (iii) efectos en todo el sector público, cuando la competencia para la declaración de la prohibición de contratar corresponda al ministro de Hacienda y Función Pública, y excepcionalmente, cuando la prohibición ya haya extendido sus efectos a todo el sector público autonómico o local, y así se solicite por la comunidad autónoma o la entidad local.</w:t>
      </w:r>
    </w:p>
    <w:p w:rsidR="005728DD" w:rsidRDefault="005728DD" w:rsidP="005728DD">
      <w:pPr>
        <w:pStyle w:val="TextoNormal"/>
      </w:pPr>
    </w:p>
    <w:p w:rsidR="005728DD" w:rsidRDefault="005728DD" w:rsidP="005728DD">
      <w:pPr>
        <w:pStyle w:val="TextoNormal"/>
      </w:pPr>
      <w:r>
        <w:t xml:space="preserve">El precepto arbitra mecanismos que permiten a cada comunidad autónoma extender o no los efectos de la prohibición de contratar a todo el sector público autonómico, más allá del alcance de la letra e) del art. 71.1 LCSP. Igualmente, la comunidad autónoma podrá solicitar, si lo considera oportuno, que el ministro de Hacienda y Función Pública, previa propuesta de la Junta Consultiva de Contratación Pública del Estado, extienda los efectos de la prohibición de contratar autonómica a la totalidad del sector público. La regulación establecida no impide, en consecuencia, la extensión de los efectos de la prohibición de contratar </w:t>
      </w:r>
      <w:r>
        <w:lastRenderedPageBreak/>
        <w:t>a la totalidad del sector público. El establecimiento de un control por parte del ministro de Hacienda y Función Pública, previa propuesta de la Junta Consultiva de Contratación Pública del Estado, está justificado en este supuesto por el hecho de que la declaración de la prohibición de contratar puede fundarse en particularidades derivadas del ordenamiento propio de la comunidad autónoma correspondiente. No pueden, en definitiva, compartirse los reproches formulados en relación con un precepto que, por su conexión con los arts. 71 y 72 LCSP, es básico, pues tiene por objeto, al igual que aquellos, garantizar los principios de igualdad de condiciones y seguridad jurídica en la contratación [SSTC 141/1993, FJ 6 q), y 331/1993, FJ 6 B)]. Conforme a lo expuesto, se ha de desestimar la impugnación.</w:t>
      </w:r>
    </w:p>
    <w:p w:rsidR="005728DD" w:rsidRDefault="005728DD" w:rsidP="005728DD">
      <w:pPr>
        <w:pStyle w:val="TextoNormal"/>
      </w:pPr>
    </w:p>
    <w:p w:rsidR="005728DD" w:rsidRDefault="005728DD" w:rsidP="005728DD">
      <w:pPr>
        <w:pStyle w:val="TextoNormal"/>
      </w:pPr>
      <w:r>
        <w:t>e) En el ámbito de la clasificación de las empresas, se prevé en el art. 77.3 LCSP la posibilidad de exceptuar la necesidad de dicha clasificación para determinados tipos de contratos de obras, siempre que se haga por real decreto, y se motiven las circunstancias especiales y excepcionales que concurren. El Gobierno de Aragón considera que no existe motivo alguno para que la comunidad autónoma no pueda, al amparo de sus competencias en materia de contratación, regular excepciones a la clasificación de empresas.</w:t>
      </w:r>
    </w:p>
    <w:p w:rsidR="005728DD" w:rsidRDefault="005728DD" w:rsidP="005728DD">
      <w:pPr>
        <w:pStyle w:val="TextoNormal"/>
      </w:pPr>
    </w:p>
    <w:p w:rsidR="005728DD" w:rsidRDefault="005728DD" w:rsidP="005728DD">
      <w:pPr>
        <w:pStyle w:val="TextoNormal"/>
      </w:pPr>
      <w:r>
        <w:t>El tribunal ha declarado que la clasificación de los contratistas tiene carácter básico por ser “un medio de acreditación ante el órgano de contratación correspondiente de la capacidad financiera, económica y técnica del contratista” [SSTC 331/1993, FJ 6 B) y D), y 84/2015, FJ 5 a)]. Este carácter también se ha atribuido a la regulación de las causas de suspensión de las clasificaciones, sea esta temporal o indefinida [STC 331/1993, FJ 6 B)]. Del mismo modo, el establecimiento de excepciones a la exigencia de clasificación para determinados tipos de contratos ha de considerarse como una norma básica. Procede, por ello, desestimar la impugnación.</w:t>
      </w:r>
    </w:p>
    <w:p w:rsidR="005728DD" w:rsidRDefault="005728DD" w:rsidP="005728DD">
      <w:pPr>
        <w:pStyle w:val="TextoNormal"/>
      </w:pPr>
    </w:p>
    <w:p w:rsidR="005728DD" w:rsidRDefault="005728DD" w:rsidP="005728DD">
      <w:pPr>
        <w:pStyle w:val="TextoNormal"/>
      </w:pPr>
      <w:r>
        <w:t>f) El art. 80.2 LCSP regula la eficacia de las decisiones sobre clasificación de las empresas adoptadas por los órganos competentes de las comunidades autónomas, de modo que “serán eficaces, únicamente, a efectos de contratar con la comunidad autónoma que las haya adoptado, con las Entidades locales incluidas en su ámbito territorial, y con los entes, organismos y entidades del sector público dependientes de una y otras”. La parte recurrente entiende que esta regulación no aplica el principio de equivalencia o reconocimiento mutuo, al no contemplar la eficacia de las clasificaciones de empresas adoptadas por cada comunidad autónoma en todo el territorio estatal.</w:t>
      </w:r>
    </w:p>
    <w:p w:rsidR="005728DD" w:rsidRDefault="005728DD" w:rsidP="005728DD">
      <w:pPr>
        <w:pStyle w:val="TextoNormal"/>
      </w:pPr>
    </w:p>
    <w:p w:rsidR="005728DD" w:rsidRDefault="005728DD" w:rsidP="005728DD">
      <w:pPr>
        <w:pStyle w:val="TextoNormal"/>
      </w:pPr>
      <w:r>
        <w:t>De acuerdo con la doctrina del tribunal, el art. 139.2 CE establece un principio general aplicable tanto al Estado como a las comunidades autónomas del que cabe derivar un principio de equivalencia o reconocimiento mutuo de las decisiones ejecutivas autonómicas que afecten al mercado, si tales decisiones aplican “una normativa común de la Unión Europea armonizada”, “una legislación estatal común” o también cuando aplican normativa de una comunidad autónoma, si pese a la “pluralidad de legislaciones autonómicas” y a “sus posibles diferencias técnicas o metodológicas”, responden a “un estándar que pueda ser considerado equivalente” [STC 79/2017, de 22 de junio, FJ 12 a)].</w:t>
      </w:r>
    </w:p>
    <w:p w:rsidR="005728DD" w:rsidRDefault="005728DD" w:rsidP="005728DD">
      <w:pPr>
        <w:pStyle w:val="TextoNormal"/>
      </w:pPr>
    </w:p>
    <w:p w:rsidR="005728DD" w:rsidRDefault="005728DD" w:rsidP="005728DD">
      <w:pPr>
        <w:pStyle w:val="TextoNormal"/>
      </w:pPr>
      <w:r>
        <w:t xml:space="preserve">El tribunal ha declarado a este respecto que “el artículo 139.2 CE asegura la libre circulación de personas y bienes en todo el territorio español. Proscribe con ello las regulaciones o medidas de signo proteccionista; esto es, que dificultan injustificadamente en un territorio la comercialización de productos de otras zonas o el ejercicio de actividades empresariales </w:t>
      </w:r>
      <w:r>
        <w:lastRenderedPageBreak/>
        <w:t>por parte de personas procedentes de otros lugares. Consecuentemente, bajo el prisma del artículo 139.2 CE, cobra relevancia una única modalidad de límite o condición a la libertad empresarial: la que favorece a productos u operadores de un territorio en detrimento de los de otros lugares. Una restricción a la libre circulación de bienes y personas será compatible con el artículo 139.2 CE solo si la autoridad pública que la ha adoptado acredita que no persigue ni produce efectos discriminatorios, por responder a un objetivo constitucionalmente legítimo y ser idónea, necesaria y proporcionada. No contradice necesariamente el artículo 139.2 CE toda medida que en la práctica produzca efectos restrictivos más onerosos sobre las cosas o personas provenientes de fuera; únicamente lo hará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[SSTC 111/2017, de 5 de octubre, FJ 4 a), y 7/2018, de 25 de enero, FJ 8].</w:t>
      </w:r>
    </w:p>
    <w:p w:rsidR="005728DD" w:rsidRDefault="005728DD" w:rsidP="005728DD">
      <w:pPr>
        <w:pStyle w:val="TextoNormal"/>
      </w:pPr>
    </w:p>
    <w:p w:rsidR="005728DD" w:rsidRDefault="005728DD" w:rsidP="005728DD">
      <w:pPr>
        <w:pStyle w:val="TextoNormal"/>
      </w:pPr>
      <w:r>
        <w:t>El art. 80.2 LCSP, al establecer que las decisiones sobre clasificación adoptadas por los órganos competentes de las comunidades autónomas, “serán eficaces, únicamente, a efectos de contratar con la comunidad autónoma que las haya adoptado, con las entidades locales incluidas en su ámbito territorial, y con los entes, organismos y entidades del sector público dependientes de una y otras” está excluyendo la eficacia extraterritorial de esta estas decisiones. Esta regulación puede producir efectos diferenciados sobre los distintos licitadores que pueden actuar en los procedimientos de selección de contratistas al impedir que un licitador clasificado en una comunidad autónoma pueda utilizar esa clasificación en otras comunidades, pese a que la normativa aplicada es en buena medida la misma en todo el territorio estatal. Esta previsión puede colocar en una posición de ventaja competitiva a los licitadores locales de una comunidad autónoma, que normalmente contarán con la clasificación de su comunidad, frente a los licitadores que provengan de fuera, que se verán obligados a solicitar una nueva clasificación para poder concurrir.</w:t>
      </w:r>
    </w:p>
    <w:p w:rsidR="005728DD" w:rsidRDefault="005728DD" w:rsidP="005728DD">
      <w:pPr>
        <w:pStyle w:val="TextoNormal"/>
      </w:pPr>
    </w:p>
    <w:p w:rsidR="005728DD" w:rsidRDefault="005728DD" w:rsidP="005728DD">
      <w:pPr>
        <w:pStyle w:val="TextoNormal"/>
      </w:pPr>
      <w:r>
        <w:t>De acuerdo con la doctrina constitucional expuesta, la exclusión de la eficacia extraterritorial de las decisiones sobre clasificación adoptadas por los órganos competentes de las comunidades que establece el art. 80.2 LCSP no puede considerarse conforme con el art. 139.2 CE. Para poder considerar que la limitación que establece el citado art. 80.2 LCSP respeta las exigencias de la unidad de mercado que se derivan del citado precepto constitucional hubiera sido necesario que el Estado, en cuanto autor de este precepto y responsable de aquellos efectos diferenciados sobre los licitadores, hubiera justificado que responde a una finalidad constitucionalmente legítima. En el presente caso nada ha argumentado para justificar la explícita exclusión del reconocimiento de decisiones de clasificación autonómicas fuera del ámbito de dicha administración autonómica —o de las entidades locales incluidas en su ámbito territorial— en un supuesto en el que existe “una legislación estatal común”. Consecuentemente, debemos estimar la impugnación y declarar la inconstitucionalidad y nulidad del inciso “que serán eficaces, únicamente, a efectos de contratar con la comunidad autónoma que las haya adoptado, con las entidades locales incluidas en su ámbito territorial, y con los entes, organismos y entidades del sector público dependientes de una y otras”. La parte subsistente del art. 80.2 LCSP ha de interpretarse conforme a lo expresado en este fundamento jurídico y, por tanto, en el sentido de que la decisión de clasificación de una comunidad autónoma puede hacerse valer en los procedimientos de contratación de cualesquiera administraciones públicas.</w:t>
      </w:r>
    </w:p>
    <w:p w:rsidR="005728DD" w:rsidRDefault="005728DD" w:rsidP="005728DD">
      <w:pPr>
        <w:pStyle w:val="TextoNormal"/>
      </w:pPr>
    </w:p>
    <w:p w:rsidR="005728DD" w:rsidRDefault="005728DD" w:rsidP="005728DD">
      <w:pPr>
        <w:pStyle w:val="TextoNormal"/>
      </w:pPr>
      <w:r>
        <w:lastRenderedPageBreak/>
        <w:t>g) El art. 82.2 LCSP aborda la regulación de la conservación de la clasificación, de forma que “deberá justificarse anualmente el mantenimiento de la solvencia económica y financiera y, cada tres años, el de la solvencia técnica y profesional, a cuyo efecto el empresario aportará la correspondiente declaración responsable o en su defecto la documentación actualizada en los términos que se establezcan reglamentariamente”. La no aportación de la declaración responsable o de la documentación actualizada “en los plazos reglamentariamente establecidos”, “dará lugar a la suspensión automática de las clasificaciones ostentadas, así como a la apertura de expediente de revisión de clasificación”. Esta suspensión se levantará, bien por la aportación de la documentación, antes del inicio del expediente de revisión, bien por el acuerdo de revisión de clasificación adoptado por el órgano competente, en caso contrario.</w:t>
      </w:r>
    </w:p>
    <w:p w:rsidR="005728DD" w:rsidRDefault="005728DD" w:rsidP="005728DD">
      <w:pPr>
        <w:pStyle w:val="TextoNormal"/>
      </w:pPr>
    </w:p>
    <w:p w:rsidR="005728DD" w:rsidRDefault="005728DD" w:rsidP="005728DD">
      <w:pPr>
        <w:pStyle w:val="TextoNormal"/>
      </w:pPr>
      <w:r>
        <w:t>La letrada del Gobierno de Aragón cuestiona esta regulación fundándose en que parece desconocer que las comunidades autónomas han asumido competencias para la adopción de acuerdos relativos a la clasificación (art. 80.2 LCSP). Considera que debería ser la comunidad autónoma la que, al amparo de sus competencias de desarrollo legislativo en materia de contratación, regulase la periodicidad de la justificación —anual o trienal— y los efectos —suspensión automática— derivados de la no aportación de documentación en unos plazos fijados reglamentariamente.</w:t>
      </w:r>
    </w:p>
    <w:p w:rsidR="005728DD" w:rsidRDefault="005728DD" w:rsidP="005728DD">
      <w:pPr>
        <w:pStyle w:val="TextoNormal"/>
      </w:pPr>
    </w:p>
    <w:p w:rsidR="005728DD" w:rsidRDefault="005728DD" w:rsidP="005728DD">
      <w:pPr>
        <w:pStyle w:val="TextoNormal"/>
      </w:pPr>
      <w:r>
        <w:t>El tribunal ha declarado reiteradamente que las previsiones relativas a clasificación del empresario tienen carácter básico al garantizar la igualdad de condiciones en el acceso a la contratación, así como la seguridad jurídica [SSTC 141/1993, FJ 6 q); 331/1993, FJ 6 B), y 84/2015, FJ 5 a)], por lo que también ha de tener este carácter el precepto que impone a los empresarios la carga de justificar la solvencia económica y financiera —anualmente— y la técnica y profesional —cada tres años— para conservar la clasificación; y más teniendo, en cuenta, que “la clasificación de las empresas tendrá una vigencia indefinida en tanto se mantengan por el empresario las condiciones y circunstancias en que se basó su concesión” (art. 82.1 LCSP). Igualmente, se han de considerar básicos los efectos que se anudan a la falta de justificación; esto es, la suspensión automática y el inicio del expediente de revisión [STC 331/1993, FJ 6 B)].</w:t>
      </w:r>
    </w:p>
    <w:p w:rsidR="005728DD" w:rsidRDefault="005728DD" w:rsidP="005728DD">
      <w:pPr>
        <w:pStyle w:val="TextoNormal"/>
      </w:pPr>
    </w:p>
    <w:p w:rsidR="005728DD" w:rsidRDefault="005728DD" w:rsidP="005728DD">
      <w:pPr>
        <w:pStyle w:val="TextoNormal"/>
      </w:pPr>
      <w:r>
        <w:t xml:space="preserve">A distinta conclusión se ha de llegar en cuanto al modo de acreditar, en defecto de declaración responsable, la justificación de la solvencia, y al establecimiento de los plazos, cuyo incumplimiento produzca los efectos de suspensión automática y, en su caso, revisión de la clasificación. El modo de acreditar documentalmente la justificación de la solvencia a efectos de conservar la clasificación tiene un carácter auxiliar [STC 141/1993, FJ 6 c) y d)]. Y los plazos para aportar la declaración responsable o la citada documentación son también complementarios, sin menoscabo de los principios de igualdad y seguridad jurídica (STC 141/1993, FJ 5). Llegados a este punto y con el fin de salvaguardar la integridad de la regulación, los incisos “o en su defecto la documentación actualizada en los términos que se establezcan reglamentariamente” y “la no aportación en los plazos reglamentariamente establecidos de las declaraciones o documentos a los que se refiere el párrafo anterior” son básicos, siempre que se interprete que (i) la remisión normativa que este precepto efectúa se entienda referida a cada una de las administraciones en el ámbito de sus propias competencias, de acuerdo con lo previsto en el art. 80 LCSP y (ii) que la explicita referencia al reglamento que efectúa este precepto no conlleva que, en los casos en los que la competencia sea autonómica, el desarrollo de este precepto deba hacerse necesariamente a través de una </w:t>
      </w:r>
      <w:r>
        <w:lastRenderedPageBreak/>
        <w:t>norma de este tipo. Corresponde a las comunidades autónomas, de acuerdo con el sistema de fuentes, determinar el instrumento normativo a través del cual van a ejercer sus competencias.</w:t>
      </w:r>
    </w:p>
    <w:p w:rsidR="005728DD" w:rsidRDefault="005728DD" w:rsidP="005728DD">
      <w:pPr>
        <w:pStyle w:val="TextoNormal"/>
      </w:pPr>
    </w:p>
    <w:p w:rsidR="005728DD" w:rsidRDefault="005728DD" w:rsidP="005728DD">
      <w:pPr>
        <w:pStyle w:val="TextoNormal"/>
      </w:pPr>
      <w:r>
        <w:t>h) En relación con la acreditación de la solvencia técnica de los contratos de obras y de servicios, se impugnan varios preceptos que por su similitud serán objeto de examen en este mismo apartado. En concreto, se impugnan las letras a), c) y e) del art. 88.1 LSCP, relativo a la acreditación de la solvencia técnica en los contratos de obra; y el párrafo segund</w:t>
      </w:r>
      <w:r w:rsidRPr="005728DD">
        <w:rPr>
          <w:i/>
        </w:rPr>
        <w:t>o in fi</w:t>
      </w:r>
      <w:r>
        <w:t>ne de la letra a) y las letras e) y g) del art. 90.1 LCSP, respecto a la acreditación de la solvencia técnica o profesional en los contratos de servicios.</w:t>
      </w:r>
    </w:p>
    <w:p w:rsidR="005728DD" w:rsidRDefault="005728DD" w:rsidP="005728DD">
      <w:pPr>
        <w:pStyle w:val="TextoNormal"/>
      </w:pPr>
    </w:p>
    <w:p w:rsidR="005728DD" w:rsidRDefault="005728DD" w:rsidP="005728DD">
      <w:pPr>
        <w:pStyle w:val="TextoNormal"/>
      </w:pPr>
      <w:r>
        <w:t>El reproche del Gobierno de Aragón, respecto de la letra a) del art. 88.1, se funda en que se atribuye al poder adjudicador la posibilidad de ampliar el plazo de los cinco últimos años al que se limita la relación de las obras ejecutadas, “cuando sea necesario para garantizar un nivel adecuado de competencia” [primer párrafo</w:t>
      </w:r>
      <w:r w:rsidRPr="005728DD">
        <w:rPr>
          <w:i/>
        </w:rPr>
        <w:t>, in fi</w:t>
      </w:r>
      <w:r>
        <w:t>ne, letra a)]. Se argumenta que, si el poder adjudicador puede ampliar el plazo, con mayor motivo podría hacerlo el legislador autonómico.</w:t>
      </w:r>
    </w:p>
    <w:p w:rsidR="005728DD" w:rsidRDefault="005728DD" w:rsidP="005728DD">
      <w:pPr>
        <w:pStyle w:val="TextoNormal"/>
      </w:pPr>
    </w:p>
    <w:p w:rsidR="005728DD" w:rsidRDefault="005728DD" w:rsidP="005728DD">
      <w:pPr>
        <w:pStyle w:val="TextoNormal"/>
      </w:pPr>
      <w:r>
        <w:t>La regla impugnada establece como criterio para acreditar la solvencia técnica en los contratos de obras, aportar una relación “de las obras ejecutadas en el curso de los cinco últimos años, avalada por certificados de buena ejecución”; fija, por tanto, un mínimo común cuya finalidad es garantizar un tratamiento uniforme a los empresarios en relación con la acreditación de su solvencia técnica. Además, posibilita que el poder adjudicador pueda, cuando sea necesario para garantizar la competencia, acordar incluir una relación de obras ejecutadas en un plazo superior a los cinco años. Esta posibilidad no impide la intervención del legislador autonómico ni prejuzga la decisión que este adopte en relación con dicho plazo, siempre que respete el mínimo común establecido por la norma estatal. El poder adjudicador en el ejercicio de sus competencias vendrá obligado a respetar tanto la legislación básica estatal —plazo mínimo de cinco años—, como la legislación que sea adoptada por la comunidad autónoma, al amparo de sus competencias, en relación con la ampliación o no del plazo mínimo, duración o condiciones. Por tanto, la regulación establecida por la letra a) del art. 88.1 LCSP es básica.</w:t>
      </w:r>
    </w:p>
    <w:p w:rsidR="005728DD" w:rsidRDefault="005728DD" w:rsidP="005728DD">
      <w:pPr>
        <w:pStyle w:val="TextoNormal"/>
      </w:pPr>
    </w:p>
    <w:p w:rsidR="005728DD" w:rsidRDefault="005728DD" w:rsidP="005728DD">
      <w:pPr>
        <w:pStyle w:val="TextoNormal"/>
      </w:pPr>
      <w:r>
        <w:t>Las letras c) y e) del art. 88.1 LCSP establecen como criterios de acreditación de la solvencia técnica, respectivamente, los títulos académicos y profesionales del empresario, directivos y técnicos responsables o encargados de la obra, y la plantilla media anual de la empresa y el número de directivos durante los últimos tres años. Las letras e) y g) del art. 90.1 LCSP establecen criterios idénticos respecto de la solvencia técnica o profesional en el contrato de servicios. El recurrente argumenta el carácter irrelevante e inútil de estos criterios de acreditación a los efectos de justificar la solvencia técnica. A juicio del tribunal, esta argumentación, más allá de expresar una opinión del recurrente, no permite cuestionar el carácter básico de los preceptos impugnados. La impugnación debe, por ello, ser desestimada.</w:t>
      </w:r>
    </w:p>
    <w:p w:rsidR="005728DD" w:rsidRDefault="005728DD" w:rsidP="005728DD">
      <w:pPr>
        <w:pStyle w:val="TextoNormal"/>
      </w:pPr>
    </w:p>
    <w:p w:rsidR="005728DD" w:rsidRDefault="005728DD" w:rsidP="005728DD">
      <w:pPr>
        <w:pStyle w:val="TextoNormal"/>
      </w:pPr>
      <w:r>
        <w:t xml:space="preserve">Queda por examinar la impugnación del párrafo segundo </w:t>
      </w:r>
      <w:r w:rsidRPr="005728DD">
        <w:rPr>
          <w:i/>
        </w:rPr>
        <w:t>in fine</w:t>
      </w:r>
      <w:r>
        <w:t xml:space="preserve"> de la letra a) del art.90.1, en el que se establece que: “La Junta Consultiva de Contratación Pública del Estado podrá efectuar recomendaciones para indicar qué códigos de las respectivas clasificaciones se ajustan con mayor precisión a las prestaciones más habituales en la contratación pública”. </w:t>
      </w:r>
      <w:r>
        <w:lastRenderedPageBreak/>
        <w:t>Esta previsión lesiona, en opinión de la parte recurrente, la potestad de autoorganización de la comunidad autónoma, por el carácter vinculante de las recomendaciones emanadas de la junta consultiva estatal que, por esta vía, tutela la actuación de los órganos autonómicos.</w:t>
      </w:r>
    </w:p>
    <w:p w:rsidR="005728DD" w:rsidRDefault="005728DD" w:rsidP="005728DD">
      <w:pPr>
        <w:pStyle w:val="TextoNormal"/>
      </w:pPr>
    </w:p>
    <w:p w:rsidR="005728DD" w:rsidRDefault="005728DD" w:rsidP="005728DD">
      <w:pPr>
        <w:pStyle w:val="TextoNormal"/>
      </w:pPr>
      <w:r>
        <w:t>El tribunal entiende que de los términos del precepto se deduce que a través de unas recomendaciones carentes de la fuerza vinculante que la parte recurrente les atribuye, la Junta Consultiva de Contratación Pública del Estado ni ejerce ni puede ejercer tutela alguno sobre los órganos autonómicos. Como acertadamente señala la abogacía del Estado, las recomendaciones son la expresión del principio de cooperación y auxilio recíproco entre administraciones, por lo que ninguna vulneración de la potestad de autoorganización cabe apreciar en este precepto. De acuerdo con lo expuesto, se ha de desestimar la impugnación.</w:t>
      </w:r>
    </w:p>
    <w:p w:rsidR="005728DD" w:rsidRDefault="005728DD" w:rsidP="005728DD">
      <w:pPr>
        <w:pStyle w:val="TextoNormal"/>
      </w:pPr>
    </w:p>
    <w:p w:rsidR="005728DD" w:rsidRDefault="005728DD" w:rsidP="005728DD">
      <w:pPr>
        <w:pStyle w:val="TextoNormal"/>
      </w:pPr>
      <w:r>
        <w:t>H) Se impugnan por el Gobierno de Aragón los arts. 99, 101.3 y 103.6 encuadrados en el título tercero del libro primero LCSP, relativos al objeto, valor estimado, y precio del contrato y su revisión.</w:t>
      </w:r>
    </w:p>
    <w:p w:rsidR="005728DD" w:rsidRDefault="005728DD" w:rsidP="005728DD">
      <w:pPr>
        <w:pStyle w:val="TextoNormal"/>
      </w:pPr>
    </w:p>
    <w:p w:rsidR="005728DD" w:rsidRDefault="005728DD" w:rsidP="005728DD">
      <w:pPr>
        <w:pStyle w:val="TextoNormal"/>
      </w:pPr>
      <w:r>
        <w:t>a) En el art. 99 LCSP se establecen las normas generales sobre el objeto del contrato. La crítica del Gobierno de Aragón se limita a los apartados 3, 4, 5 y 7. El reproche formulado es esencialmente el mismo: atribuir al órgano de contratación, y no al legislador estatal, en relación con la división en lotes del objeto del contrato, unas posibilidades o facultades para modificar las reglas o criterios estatales; lo que, a su juicio, demuestra que no existe un mínimo común que justifique la calificación de estos preceptos como básicos.</w:t>
      </w:r>
    </w:p>
    <w:p w:rsidR="005728DD" w:rsidRDefault="005728DD" w:rsidP="005728DD">
      <w:pPr>
        <w:pStyle w:val="TextoNormal"/>
      </w:pPr>
    </w:p>
    <w:p w:rsidR="005728DD" w:rsidRDefault="005728DD" w:rsidP="005728DD">
      <w:pPr>
        <w:pStyle w:val="TextoNormal"/>
      </w:pPr>
      <w:r>
        <w:t>El apartado 3 establece como regla general que “siempre que la naturaleza o el objeto del contrato lo permitan, deberá preverse la realización independiente de cada una de sus partes mediante su división en lotes”. No obstante, se posibilita que el órgano de contratación no divida en lotes el objeto del contrato “cuando existan motivos válidos, que deberán justificarse debidamente en el expediente, salvo en los casos de contratos de concesión de obras”; y a continuación, señala unos motivos que, en todo caso, justificarán la no división (restricción de la competencia; imposibilidad técnica; o naturaleza del objeto). En el apartado 4, por su parte, se permite al órgano de contratación tanto introducir limitaciones, que el mismo precepto fija, a la división de lotes “justificándolas debidamente en el expediente”; como reservar alguno o algunos de los lotes para centros especiales de empleo o para empresas de inserción. El apartado 5 faculta al órgano de contratación para adjudicar a una oferta integradora —cumpliendo los requisitos fijados en el mismo precepto—, cuando “hubiera decidido proceder a la división en lotes del objeto del contrato y, además, permitir que pueda adjudicarse más de un lote al mismo licitador”. Y el apartado 7 establece como regla general que en el caso que se presenten ofertas integradoras “todas las ofertas constituirán un contrato”, facultando en el resto de los casos al órgano de contratación a adoptar la decisión pertinente a través del pliego que rija el contrato.</w:t>
      </w:r>
    </w:p>
    <w:p w:rsidR="005728DD" w:rsidRDefault="005728DD" w:rsidP="005728DD">
      <w:pPr>
        <w:pStyle w:val="TextoNormal"/>
      </w:pPr>
    </w:p>
    <w:p w:rsidR="005728DD" w:rsidRDefault="005728DD" w:rsidP="005728DD">
      <w:pPr>
        <w:pStyle w:val="TextoNormal"/>
      </w:pPr>
      <w:r>
        <w:t xml:space="preserve">La respuesta del tribunal ha de ser la misma en relación con los cuatro preceptos cuestionados y en sintonía con los pronunciamientos ya hechos en la misma línea en esta sentencia. Las reglas impugnadas establecen un mínimo común en relación con la división en lotes del objeto del contrato y su eventual exclusión o limitación, cuya finalidad es incrementar la libre concurrencia, pues la división en lotes, en especial de los grandes contratos, incrementa la competencia y favorece el acceso de las PYMES a la oferta pública de contratación (considerandos 77 y 78 de la Directiva 2014/24/UE). Además, posibilita que el </w:t>
      </w:r>
      <w:r>
        <w:lastRenderedPageBreak/>
        <w:t>órgano de contratación pueda, dentro de los criterios y requisitos fijados por el legislador estatal, acordar excluir o limitar la división en lotes del objeto del contrato. Esta posibilidad no impide la intervención del legislador autonómico, ni prejuzga la decisión que este adopte en relación con idénticas cuestiones, siempre que respete el mínimo común establecido por la norma estatal. El órgano de contratación, en el ejercicio de sus competencias, vendrá obligado a respetar tanto la legislación básica estatal como la legislación que sea adoptada por la comunidad autónoma al amparo de sus competencias. En consecuencia, la regulación establecida por los apartados 3, 4, 5 y 7 del art. 90 LCSP tiene carácter básico.</w:t>
      </w:r>
    </w:p>
    <w:p w:rsidR="005728DD" w:rsidRDefault="005728DD" w:rsidP="005728DD">
      <w:pPr>
        <w:pStyle w:val="TextoNormal"/>
      </w:pPr>
    </w:p>
    <w:p w:rsidR="005728DD" w:rsidRDefault="005728DD" w:rsidP="005728DD">
      <w:pPr>
        <w:pStyle w:val="TextoNormal"/>
      </w:pPr>
      <w:r>
        <w:t>b) En relación con la determinación del valor estimado de los contratos, el art. 101.3 LCSP establece, para los contratos de concesión de obras y de concesión de servicios, una serie de conceptos que deben ser tomados en consideración. La regulación adolece, según el Gobierno de Aragón, de un excesivo detalle, pues entiende que no deja margen a la intervención de la comunidad autónoma.</w:t>
      </w:r>
    </w:p>
    <w:p w:rsidR="005728DD" w:rsidRDefault="005728DD" w:rsidP="005728DD">
      <w:pPr>
        <w:pStyle w:val="TextoNormal"/>
      </w:pPr>
    </w:p>
    <w:p w:rsidR="005728DD" w:rsidRDefault="005728DD" w:rsidP="005728DD">
      <w:pPr>
        <w:pStyle w:val="TextoNormal"/>
      </w:pPr>
      <w:r>
        <w:t xml:space="preserve">El art. 101.1 b) LCSP establece que el valor estimado del contrato, en el caso de los contratos de concesión de obras y de concesión de servicios, es el importe neto de la cifra de negocios sin impuesto sobre el valor añadido, generado por la empresa concesionaria durante su ejecución “como contraprestación por las obras y los servicios objeto del contrato, así como de los suministros relacionados con estas obras y servicios”. En el impugnado art. 101.3 LCSP se recogen una lista de conceptos que, adicionalmente y cuando proceda, se tendrán en cuenta para calcular el valor estimado del contrato: la renta procedente del pago de tasas y multas por los usuarios siempre que sean distintas de las recaudadas en nombre del poder adjudicador [letra a)]; el pago de ventajas financieras concedidos por el poder adjudicador o por cualquier otra autoridad pública [letra b)]; el valor de los subsidios o ventajas financieras , procedentes de terceros a cambio de la ejecución de la concesión [letra c)]; el precio de la venta de cualquier activo que forme parte de la concesión [letra d)]; el valor de los suministros y servicios que el poder adjudicador ponga a disposición del concesionario, siempre que sean necesarios para la concesión [letra e)]. No puede entenderse que el listado de conceptos tenga el carácter de </w:t>
      </w:r>
      <w:r w:rsidRPr="005728DD">
        <w:rPr>
          <w:i/>
        </w:rPr>
        <w:t>numerus clausus</w:t>
      </w:r>
      <w:r>
        <w:t>, puesto que el precepto se limita a fijar un mínimo común de conceptos que, al formar parte del importe neto de la cifra de negocios que generará la concesionaria, deben estar presentes en el cálculo de valor estimado. Se trata de una norma básica que, regulando una cuestión nuclear de la licitación [STC 56/2014, FJ 4 b)], no impide tomar en consideración otros criterios o conceptos que, según el legislador autonómico, sean relevantes y deban tenerse en cuenta para el cálculo del valor estimado de acuerdo con lo dispuesto por el art. 101.1 LCSP. Corresponde, por tanto, desestimar la impugnación.</w:t>
      </w:r>
    </w:p>
    <w:p w:rsidR="005728DD" w:rsidRDefault="005728DD" w:rsidP="005728DD">
      <w:pPr>
        <w:pStyle w:val="TextoNormal"/>
      </w:pPr>
    </w:p>
    <w:p w:rsidR="005728DD" w:rsidRDefault="005728DD" w:rsidP="005728DD">
      <w:pPr>
        <w:pStyle w:val="TextoNormal"/>
      </w:pPr>
      <w:r>
        <w:t xml:space="preserve">c) En cuanto a la revisión de los precios de los contratos del sector público, el art. 103.6 LCSP, atribuye al Consejo de Ministros la aprobación de “fórmulas tipo de revisión periódica y predeterminada” para los contratos de obra, los de suministros de fabricación de armamento y equipamiento de las administraciones públicas, los de suministro de energía y en aquellos otros contratos en los que el período de recuperación de la inversión sea igual o superior a cinco años. A continuación, establece el procedimiento para su elaboración: será el comité superior de precios de contratos del Estado, a propuesta de la administración pública competente de la contratación, el que “determinará aquellas actividades donde resulte conveniente contar con una fórmula tipo, elaborará las fórmulas y las remitirá para su aprobación al Consejo de Ministros”. La aprobación por este procedimiento de una fórmula tipo </w:t>
      </w:r>
      <w:r>
        <w:lastRenderedPageBreak/>
        <w:t>de revisión para un determinado tipo de contrato, impide al órgano de contratación incluir “otra fórmula de revisión diferente a esta en los pliegos y contrato”.</w:t>
      </w:r>
    </w:p>
    <w:p w:rsidR="005728DD" w:rsidRDefault="005728DD" w:rsidP="005728DD">
      <w:pPr>
        <w:pStyle w:val="TextoNormal"/>
      </w:pPr>
    </w:p>
    <w:p w:rsidR="005728DD" w:rsidRDefault="005728DD" w:rsidP="005728DD">
      <w:pPr>
        <w:pStyle w:val="TextoNormal"/>
      </w:pPr>
      <w:r>
        <w:t>El Gobierno de Aragón considera que la regulación descrita sobre la determinación de las fórmulas tipo de revisión vulnera las competencias autonómicas en materia de contratación y autoorganización al no articular la participación de la comunidad autónoma. El tribunal no comparte este argumento, pues el art. 103.6 LCSP es una norma básica sobre el régimen de precios —cuestión esencial de la contratación pública [STC 56/2014, FJ 4 b)]—, cuyo párrafo segundo prevé expresamente que “la administración pública competente de la contratación” participe en el procedimiento de elaboración de una fórmula tipo de revisión. No cabe apreciar, por ello, la vulneración alegada.</w:t>
      </w:r>
    </w:p>
    <w:p w:rsidR="005728DD" w:rsidRDefault="005728DD" w:rsidP="005728DD">
      <w:pPr>
        <w:pStyle w:val="TextoNormal"/>
      </w:pPr>
    </w:p>
    <w:p w:rsidR="005728DD" w:rsidRDefault="005728DD" w:rsidP="005728DD">
      <w:pPr>
        <w:pStyle w:val="TextoNormal"/>
      </w:pPr>
      <w:r>
        <w:t>I) Se examinan ahora los arts. 106, 107, 108.1 y 111 relativos a las garantías exigibles en la contratación del sector público (título cuarto del libro primero LCSP).</w:t>
      </w:r>
    </w:p>
    <w:p w:rsidR="005728DD" w:rsidRDefault="005728DD" w:rsidP="005728DD">
      <w:pPr>
        <w:pStyle w:val="TextoNormal"/>
      </w:pPr>
    </w:p>
    <w:p w:rsidR="005728DD" w:rsidRDefault="005728DD" w:rsidP="005728DD">
      <w:pPr>
        <w:pStyle w:val="TextoNormal"/>
      </w:pPr>
      <w:r>
        <w:t>a) El art. 106 LCSP regula el régimen jurídico de la garantía provisional. Aunque se impugna el precepto en su conjunto, la argumentación de la parte recurrente se limita al apartado 1 y al inciso final del párrafo primero del apartado 2, que su vez remite al art. 108.1 LCSP, también objeto de impugnación.</w:t>
      </w:r>
    </w:p>
    <w:p w:rsidR="005728DD" w:rsidRDefault="005728DD" w:rsidP="005728DD">
      <w:pPr>
        <w:pStyle w:val="TextoNormal"/>
      </w:pPr>
    </w:p>
    <w:p w:rsidR="005728DD" w:rsidRDefault="005728DD" w:rsidP="005728DD">
      <w:pPr>
        <w:pStyle w:val="TextoNormal"/>
      </w:pPr>
      <w:r>
        <w:t>En relación con el apartado primero, la representación procesal del Gobierno aragonés considera que se faculta al órgano de contratación para poder exigir, de forma excepcional, la garantía provisional, mientras que, por el contrario, no se permite al legislador autonómico determinar en qué supuestos debería valorarse la posibilidad de adoptar dicha garantía.</w:t>
      </w:r>
    </w:p>
    <w:p w:rsidR="005728DD" w:rsidRDefault="005728DD" w:rsidP="005728DD">
      <w:pPr>
        <w:pStyle w:val="TextoNormal"/>
      </w:pPr>
    </w:p>
    <w:p w:rsidR="005728DD" w:rsidRDefault="005728DD" w:rsidP="005728DD">
      <w:pPr>
        <w:pStyle w:val="TextoNormal"/>
      </w:pPr>
      <w:r>
        <w:t>La regla impugnada establece como criterio general que en el procedimiento de contratación “no procederá la exigencia de garantía provisional” (inciso inicial del art. 106.1 LCSP). Fija, por tanto, un mínimo común cuya finalidad, en aras de satisfacer los principios de igualdad y seguridad jurídica, y favorecer la reducción de cargas, es proporcionar un tratamiento uniforme a los licitadores en la prestación de garantías. Además, posibilita que el órgano de contratación pueda, de forma excepcional y por motivos de interés público, exigir una garantía provisional, cuando lo estime necesario y lo justifique motivadamente en el expediente. Esta garantía responderá del mantenimiento de las ofertas de los licitadores hasta la perfección del contrato. Esta regulación no impide la intervención del legislador autonómico, ni prejuzga la decisión que este adopte en relación con la garantía provisional, siempre que respete el mínimo común de la norma estatal. El órgano de contratación en el ejercicio de sus competencias vendrá obligado a respetar tanto la legislación básica estatal —esto es, la excepcionalidad de la garantía provisional—, como la legislación que sea adoptada por la comunidad autónoma, al amparo de sus competencias, en relación con los motivos de interés público que permitan de forma excepcional y justificada exigirla. Por tanto, la regulación establecida por el art. 106.1 LCSP es básica.</w:t>
      </w:r>
    </w:p>
    <w:p w:rsidR="005728DD" w:rsidRDefault="005728DD" w:rsidP="005728DD">
      <w:pPr>
        <w:pStyle w:val="TextoNormal"/>
      </w:pPr>
    </w:p>
    <w:p w:rsidR="005728DD" w:rsidRDefault="005728DD" w:rsidP="005728DD">
      <w:pPr>
        <w:pStyle w:val="TextoNormal"/>
      </w:pPr>
      <w:r>
        <w:t>En el inciso final del párrafo primero del art. 106.2 LCSP, se establece que la garantía provisional “podrá prestarse en alguna o algunas de las formas previstas en el apartado 1 del art. 108”; esto es, las previstas para las garantías definitivas: en efectivo o en valores [letra a)]; mediante aval [letra b)] y mediante contrato de seguro de caución [letra c)]. Con</w:t>
      </w:r>
      <w:r>
        <w:lastRenderedPageBreak/>
        <w:t>sidera el recurrente que ambos preceptos vulneran la competencia de desarrollo de la comunidad autónoma, por no permitir al legislador autonómico fijar otras formas de prestación de las garantías, sean provisionales o definitivas.</w:t>
      </w:r>
    </w:p>
    <w:p w:rsidR="005728DD" w:rsidRDefault="005728DD" w:rsidP="005728DD">
      <w:pPr>
        <w:pStyle w:val="TextoNormal"/>
      </w:pPr>
    </w:p>
    <w:p w:rsidR="005728DD" w:rsidRDefault="005728DD" w:rsidP="005728DD">
      <w:pPr>
        <w:pStyle w:val="TextoNormal"/>
      </w:pPr>
      <w:r>
        <w:t>El tribunal ha declarado de forma reiterada que la normativa básica en materia de contratación pública tiene principalmente por objeto, aparte de otros fines de interés general, entre los que se encuentra la reducción de las cargas burocráticas, proporcionar, entre otras, las garantías de igualdad, libre concurrencia y seguridad jurídica que aseguren a los licitadores un tratamiento común por las administraciones [SSTC 141/1993, FJ 5, y 84/2015, FJ 5 a)]. El régimen de las garantías exigibles y sus formas es un aspecto nuclear de la contratación pública, presente de forma constante en la legislación estatal, cuyo carácter básico está vinculado y justificado por la necesidad de satisfacer la igualdad entre los licitadores, dotar de seguridad jurídica a su exigencia y facilitar su ejecución mediante la limitación de sus formas. No se aprecia, por ello, la vulneración competencial alegada en relación con los arts. 106 y 108.1 LCSP, normas materialmente básicas.</w:t>
      </w:r>
    </w:p>
    <w:p w:rsidR="005728DD" w:rsidRDefault="005728DD" w:rsidP="005728DD">
      <w:pPr>
        <w:pStyle w:val="TextoNormal"/>
      </w:pPr>
    </w:p>
    <w:p w:rsidR="005728DD" w:rsidRDefault="005728DD" w:rsidP="005728DD">
      <w:pPr>
        <w:pStyle w:val="TextoNormal"/>
      </w:pPr>
      <w:r>
        <w:t>b) El art. 107 LCSP establece, por su parte, el régimen jurídico de la garantía definitiva. La parte recurrente impugna al apartado 2, relativo a la llamada garantía complementaria, considerando que el precepto establece prescripciones de detalle que podrían ser sustituidas por otras igualmente válidas.</w:t>
      </w:r>
    </w:p>
    <w:p w:rsidR="005728DD" w:rsidRDefault="005728DD" w:rsidP="005728DD">
      <w:pPr>
        <w:pStyle w:val="TextoNormal"/>
      </w:pPr>
    </w:p>
    <w:p w:rsidR="005728DD" w:rsidRDefault="005728DD" w:rsidP="005728DD">
      <w:pPr>
        <w:pStyle w:val="TextoNormal"/>
      </w:pPr>
      <w:r>
        <w:t>El art. 107.2 LCSP dispone que, en casos especiales, el órgano de contratación podrá establecer en el pliego de cláusulas administrativas particulares que, además de la garantía definitiva, “se preste una complementaria de hasta un 5 por 100 del precio final ofertado por el licitador que presentó la mejor oferta de conformidad con lo dispuesto en el artículo 145, excluido el impuesto sobre el valor añadido”. A continuación, caracteriza a los casos especiales en función del riesgo que por ellos es asumido por el órgano de contratación, “por su especial naturaleza, régimen de pagos o condiciones de cumplimiento del contrato”; y establece un caso especial que justificaría la presentación de esta garantía complementaria, la calificación de la oferta del adjudicatario como presuntamente anormal (párrafo segundo del art. 107.2 LCSP). El tribunal no aprecia, como alega el recurrente, la existencia de una regulación de detalle que impida a la comunidad autónoma desarrollar sus propias prescripciones sobre los casos especiales que justifiquen la exigencia de la garantía complementaria, siempre que respete el mínimo común establecido en esta norma básica. Por ello, la impugnación ha de desestimarse.</w:t>
      </w:r>
    </w:p>
    <w:p w:rsidR="005728DD" w:rsidRDefault="005728DD" w:rsidP="005728DD">
      <w:pPr>
        <w:pStyle w:val="TextoNormal"/>
      </w:pPr>
    </w:p>
    <w:p w:rsidR="005728DD" w:rsidRDefault="005728DD" w:rsidP="005728DD">
      <w:pPr>
        <w:pStyle w:val="TextoNormal"/>
      </w:pPr>
      <w:r>
        <w:t xml:space="preserve">c) Se impugna, por último, el art. 111 LCSP relativo a la devolución y cancelación de las garantías. El recurrente reprocha a la legislación estatal haber incurrido en una regulación excesivamente rígida y detallista, que cercena cualquier posibilidad de desarrollo legislativo por la comunidad autónoma, predeterminando, además, un modelo que ignora una necesaria flexibilidad en el ámbito de las garantías. Más allá de esta crítica global al precepto en su conjunto, no concreta qué aspectos del régimen de devolución o cancelación de las garantías incurre en tal exceso. Lo más que llega a exponer el recurrente, utilizando para ello el ejemplo del contrato de obras, es la conexión que existe entre los criterios de adjudicación del contrato (evolución del inmueble, ciclo de vida u otros conexos) y las garantías que presta el contratista. En su opinión el cumplimiento de estos criterios quedaría comprometido o anulado por el régimen de devolución y cancelación de garantías objeto de impugnación. Sin embargo, no parece que esto suceda, ya que la garantía definitiva no será devuelta o </w:t>
      </w:r>
      <w:r>
        <w:lastRenderedPageBreak/>
        <w:t>cancelada hasta que no se haya producido el vencimiento del plazo de garantía establecido en el contrato —en el caso del contrato de obras, regulado en los arts. 243 y 244 LCSP— y cumplido satisfactoriamente el contrato de que se trate (art. 111.1 LCSP).</w:t>
      </w:r>
    </w:p>
    <w:p w:rsidR="005728DD" w:rsidRDefault="005728DD" w:rsidP="005728DD">
      <w:pPr>
        <w:pStyle w:val="TextoNormal"/>
      </w:pPr>
    </w:p>
    <w:p w:rsidR="005728DD" w:rsidRDefault="005728DD" w:rsidP="005728DD">
      <w:pPr>
        <w:pStyle w:val="TextoNormal"/>
      </w:pPr>
      <w:r>
        <w:t>El régimen de las garantías exigibles, incluida su devolución y cancelación, es un aspecto nuclear de la contratación pública, cuyo carácter básico está vinculado a la necesidad de satisfacer la igualdad entre licitadores, dotar de seguridad jurídica a su exigencia y facilitar su ejecución. Conforme a este razonamiento, no cabe apreciar la vulneración competencial alegada.</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Impugnación de preceptos sobre la preparación y adjudicación, y los efectos, cumplimiento y extinción de los contratos</w:t>
      </w:r>
      <w:r>
        <w:t>.</w:t>
      </w:r>
    </w:p>
    <w:p w:rsidR="005728DD" w:rsidRDefault="005728DD" w:rsidP="005728DD">
      <w:pPr>
        <w:pStyle w:val="TextoNormal"/>
      </w:pPr>
    </w:p>
    <w:p w:rsidR="005728DD" w:rsidRDefault="005728DD" w:rsidP="005728DD">
      <w:pPr>
        <w:pStyle w:val="TextoNormal"/>
      </w:pPr>
      <w:r>
        <w:t>El examen de los preceptos impugnados se realizará agrupándolos en tres bloques relativos a (i) la preparación, (ii) la adjudicación y a los efectos, y (iii) cumplimiento y extinción de los contratos. En estos bloques se integrarán tanto las normas generales aplicables al conjunto de contratos de las administraciones públicas como las normas específicas de los distintos tipos de contratos.</w:t>
      </w:r>
    </w:p>
    <w:p w:rsidR="005728DD" w:rsidRDefault="005728DD" w:rsidP="005728DD">
      <w:pPr>
        <w:pStyle w:val="TextoNormal"/>
      </w:pPr>
    </w:p>
    <w:p w:rsidR="005728DD" w:rsidRDefault="005728DD" w:rsidP="005728DD">
      <w:pPr>
        <w:pStyle w:val="TextoNormal"/>
      </w:pPr>
      <w:r>
        <w:t xml:space="preserve">A) En relación con el régimen jurídico de la preparación de los contratos, han sido objeto de impugnación los arts. 115.1 y 3, 117, 118.3, 121.2, 122, 125.1 y 127.2 de la sección primera, capítulo primero, título primero, del libro segundo LCSP. Se ha recurrido, también, el art. 232.6, 7 y 8 del contrato de obras (sección primera del capítulo primero del título segundo), y el art. 308.2 párrafo segundo </w:t>
      </w:r>
      <w:r w:rsidRPr="005728DD">
        <w:rPr>
          <w:i/>
        </w:rPr>
        <w:t>in fine</w:t>
      </w:r>
      <w:r>
        <w:t xml:space="preserve"> y 3 del contrato de servicios (sección primera del capítulo quinto del título segundo), ambos del libro segundo LCSP.</w:t>
      </w:r>
    </w:p>
    <w:p w:rsidR="005728DD" w:rsidRDefault="005728DD" w:rsidP="005728DD">
      <w:pPr>
        <w:pStyle w:val="TextoNormal"/>
      </w:pPr>
    </w:p>
    <w:p w:rsidR="005728DD" w:rsidRDefault="005728DD" w:rsidP="005728DD">
      <w:pPr>
        <w:pStyle w:val="TextoNormal"/>
      </w:pPr>
      <w:r>
        <w:t>a) En los apartados 1 y 3 del art. 115 LCSP se regulan el objeto y los efectos de las consultas preliminares del mercado. Estos apartados se critican por ser prescripciones de detalle y procedimiento que podrían ser sustituidas por otras igualmente válidas, por lo que, a juicio del Gobierno aragonés, no deberían haber sido declarados básicos.</w:t>
      </w:r>
    </w:p>
    <w:p w:rsidR="005728DD" w:rsidRDefault="005728DD" w:rsidP="005728DD">
      <w:pPr>
        <w:pStyle w:val="TextoNormal"/>
      </w:pPr>
    </w:p>
    <w:p w:rsidR="005728DD" w:rsidRDefault="005728DD" w:rsidP="005728DD">
      <w:pPr>
        <w:pStyle w:val="TextoNormal"/>
      </w:pPr>
      <w:r>
        <w:t>El apartado 1 otorga a los órganos de contratación la posibilidad de “realizar estudios de mercado y dirigir consultas a los operadores económicos que estuvieran activos en el mismo”, con la finalidad “de preparar correctamente la licitación e informar a los citados operadores económicos acerca de sus planes y de los requisitos que exigirán para concurrir al procedimiento” (inciso primero). Estos estudios o consultas se vinculan directamente con el objetivo de garantizar los principios de transparencia, publicidad e información, y libre concurrencia, tanto para los posibles licitadores o candidatos en un momento inicial, como para los que hayan participado en un procedimiento de adjudicación. Esto explica que también se dé publicidad tanto al objeto y demás características del estudio o consulta antes de su inicio, como a la elección de asesores externos en las plataformas de contratación de las administraciones competentes (estatal o autonómica). Se trata, por tanto, de una norma de carácter básico [SSTC 141/1993, FJ 5, y 84/2015, FJ 5 a)]. No obstante, las comunidades autónomas tienen margen de actuación respecto de los criterios de selección de los asesores, pues la ley se limita a una mera enumeración abierta (podrán ser expertos o autoridades independientes, colegios profesionales, o, incluso, con carácter excepcional operadores económicos activos en el mercado).</w:t>
      </w:r>
    </w:p>
    <w:p w:rsidR="005728DD" w:rsidRDefault="005728DD" w:rsidP="005728DD">
      <w:pPr>
        <w:pStyle w:val="TextoNormal"/>
      </w:pPr>
    </w:p>
    <w:p w:rsidR="005728DD" w:rsidRDefault="005728DD" w:rsidP="005728DD">
      <w:pPr>
        <w:pStyle w:val="TextoNormal"/>
      </w:pPr>
      <w:r>
        <w:lastRenderedPageBreak/>
        <w:t>Por las mismas razones cabe atribuir carácter básico al apartado 3 cuando regula el informe final sobre los estudios o consultas realizados, el cual se integrará en el expediente de contratación y quedará sujeto a las mismas obligaciones de publicidad que los pliegos de condiciones. Además, se prohíbe revelar a los participantes en el estudio o consulta las soluciones propuestas por los otros participantes (párrafo segundo). Esta prohibición tiene carácter básico, pues se dirige a garantizar el principio de confidencialidad como límite a la transparencia en aras de salvaguardar la innovación y la libre competencia.</w:t>
      </w:r>
    </w:p>
    <w:p w:rsidR="005728DD" w:rsidRDefault="005728DD" w:rsidP="005728DD">
      <w:pPr>
        <w:pStyle w:val="TextoNormal"/>
      </w:pPr>
    </w:p>
    <w:p w:rsidR="005728DD" w:rsidRDefault="005728DD" w:rsidP="005728DD">
      <w:pPr>
        <w:pStyle w:val="TextoNormal"/>
      </w:pPr>
      <w:r>
        <w:t>Corresponde, por tanto, desestimar la impugnación de los apartados 1 y 3 del art. 115 LCSP.</w:t>
      </w:r>
    </w:p>
    <w:p w:rsidR="005728DD" w:rsidRDefault="005728DD" w:rsidP="005728DD">
      <w:pPr>
        <w:pStyle w:val="TextoNormal"/>
      </w:pPr>
    </w:p>
    <w:p w:rsidR="005728DD" w:rsidRDefault="005728DD" w:rsidP="005728DD">
      <w:pPr>
        <w:pStyle w:val="TextoNormal"/>
      </w:pPr>
      <w:r>
        <w:t>b) La aprobación del expediente de contratación constituye el objeto del art. 117 LCSP, al que el Gobierno de Aragón reprocha incurrir en una regulación exhaustiva que impide a las comunidades autónomas la tramitación anticipada de los expedientes, con las consiguientes dificultades y tensiones presupuestarias.</w:t>
      </w:r>
    </w:p>
    <w:p w:rsidR="005728DD" w:rsidRDefault="005728DD" w:rsidP="005728DD">
      <w:pPr>
        <w:pStyle w:val="TextoNormal"/>
      </w:pPr>
    </w:p>
    <w:p w:rsidR="005728DD" w:rsidRDefault="005728DD" w:rsidP="005728DD">
      <w:pPr>
        <w:pStyle w:val="TextoNormal"/>
      </w:pPr>
      <w:r>
        <w:t>No puede acogerse la tesis del recurrente, puesto que, más allá de las observaciones de naturaleza presupuestaria por él formuladas, ajenas a este proceso constitucional al ser materia de legalidad ordinaria, la tramitación anticipada del expediente es el objeto del apartado 2 del art. 117 LCSP. Se dispone que los expedientes de contratación “podrán ultimarse incluso con la adjudicación y formalización del correspondiente contrato, aun cuando su ejecución, ya se realice en una o en varias anualidades, deba iniciarse en el ejercicio siguiente”, y para ello “podrán comprometerse créditos con las limitaciones que se determinen en las normas presupuestarias de las distintas administraciones públicas sujetas a esta ley”. En cuanto acto de preparación, esta norma de aprobación del expediente, inclusiva de la tramitación anticipada, tiene un carácter materialmente básico, al constituir un mínimo común uniforme que permite garantizar la igualdad de los licitadores y su tratamiento común ante las administraciones públicas [SSTC 141/1993, FFJJ 5 y 6 b), y 56/2014, FJ 3]. Por ello, la impugnación debe ser desestimada.</w:t>
      </w:r>
    </w:p>
    <w:p w:rsidR="005728DD" w:rsidRDefault="005728DD" w:rsidP="005728DD">
      <w:pPr>
        <w:pStyle w:val="TextoNormal"/>
      </w:pPr>
    </w:p>
    <w:p w:rsidR="005728DD" w:rsidRDefault="005728DD" w:rsidP="005728DD">
      <w:pPr>
        <w:pStyle w:val="TextoNormal"/>
      </w:pPr>
      <w:r>
        <w:t>c) Se recurre el art. 118.3 LCSP, cuyo contenido coincide en lo sustancial con el actual apartado 2, tras la reforma operada por el Real Decreto-ley 3/2020. En relación con la tramitación del expediente de los contratos menores —definidos por umbrales de cuantía inferior a 40 000 (contrato de obras) o 15 000 € (contratos de suministro o de servicios), apartado 1—, el art. 118.2 LCSP impugnado exige que el órgano de contratación emita un informe que justifique de forma motivada “la necesidad del contrato y que no se está alterando su objeto con el fin de evitar la aplicación de los umbrales” del apartado primero.</w:t>
      </w:r>
    </w:p>
    <w:p w:rsidR="005728DD" w:rsidRDefault="005728DD" w:rsidP="005728DD">
      <w:pPr>
        <w:pStyle w:val="TextoNormal"/>
      </w:pPr>
    </w:p>
    <w:p w:rsidR="005728DD" w:rsidRDefault="005728DD" w:rsidP="005728DD">
      <w:pPr>
        <w:pStyle w:val="TextoNormal"/>
      </w:pPr>
      <w:r>
        <w:t>La regulación supone, en opinión del recurrente, una grave quiebra del principio de seguridad jurídica (art. 9.3 CE). No se concreta, en su opinión, si se refiere a los contratos suscritos con el mismo órgano de contratación, con la misma o con todas las administraciones; tampoco se aclara si se refiere a contratos del mismo ámbito —por ejemplo, servicios— o a todos los celebrados por el empresario (obras, suministros y servicios). Por último, afirma, tampoco se especifica cuál es el ámbito temporal para entender superados los umbrales de cuantía.</w:t>
      </w:r>
    </w:p>
    <w:p w:rsidR="005728DD" w:rsidRDefault="005728DD" w:rsidP="005728DD">
      <w:pPr>
        <w:pStyle w:val="TextoNormal"/>
      </w:pPr>
    </w:p>
    <w:p w:rsidR="005728DD" w:rsidRDefault="005728DD" w:rsidP="005728DD">
      <w:pPr>
        <w:pStyle w:val="TextoNormal"/>
      </w:pPr>
      <w:r>
        <w:lastRenderedPageBreak/>
        <w:t>No corresponde al Tribunal Constitucional resolver las dudas interpretativas que se le suscitan al recurrente sobre el ámbito subjetivo, objetivo y temporal del precepto impugnado, toda vez que aquellas no guardan relación con el conflicto competencial objeto de este proceso. El carácter materialmente básico de este precepto no ha sido cuestionado por las partes, por lo que la impugnación ha de ser desestimada.</w:t>
      </w:r>
    </w:p>
    <w:p w:rsidR="005728DD" w:rsidRDefault="005728DD" w:rsidP="005728DD">
      <w:pPr>
        <w:pStyle w:val="TextoNormal"/>
      </w:pPr>
    </w:p>
    <w:p w:rsidR="005728DD" w:rsidRDefault="005728DD" w:rsidP="005728DD">
      <w:pPr>
        <w:pStyle w:val="TextoNormal"/>
      </w:pPr>
      <w:r>
        <w:t>d) En relación con los pliegos de cláusulas administrativas se impugnan el art. 121.2 (generales) y 122 (particulares) LCSP.</w:t>
      </w:r>
    </w:p>
    <w:p w:rsidR="005728DD" w:rsidRDefault="005728DD" w:rsidP="005728DD">
      <w:pPr>
        <w:pStyle w:val="TextoNormal"/>
      </w:pPr>
    </w:p>
    <w:p w:rsidR="005728DD" w:rsidRDefault="005728DD" w:rsidP="005728DD">
      <w:pPr>
        <w:pStyle w:val="TextoNormal"/>
      </w:pPr>
      <w:r>
        <w:t>La letrada del Gobierno de Aragón critica que en la aprobación de los pliegos de cláusulas administrativas generales por las comunidades autónomas y las entidades locales se exija el “previo dictamen del Consejo de Estado u órgano consultivo equivalente de la comunidad autónoma respectiva, si lo hubiera” (art. 121.2), pues entiende que esta exigencia vulnera sus competencias en materia de procedimiento administrativo.</w:t>
      </w:r>
    </w:p>
    <w:p w:rsidR="005728DD" w:rsidRDefault="005728DD" w:rsidP="005728DD">
      <w:pPr>
        <w:pStyle w:val="TextoNormal"/>
      </w:pPr>
    </w:p>
    <w:p w:rsidR="005728DD" w:rsidRDefault="005728DD" w:rsidP="005728DD">
      <w:pPr>
        <w:pStyle w:val="TextoNormal"/>
      </w:pPr>
      <w:r>
        <w:t>Los pliegos de cláusulas administrativas generales tienen un carácter potestativo (“podrá” o “podrán aprobar”, art. 121 LCSP), a diferencia de los pliegos de cláusulas administrativas particulares, que tienen carácter preceptivo (“deberán aprobarse”, art. 122 LCSP). Se trata de estipulaciones o condiciones tipo que tienen como finalidad racionalizar y orientar los procesos de contratación pública, conteniendo las declaraciones jurídicas, económicas y administrativas que, en principio, se aplicarán a todos los contratos con un mismo o análogo objeto.</w:t>
      </w:r>
    </w:p>
    <w:p w:rsidR="005728DD" w:rsidRDefault="005728DD" w:rsidP="005728DD">
      <w:pPr>
        <w:pStyle w:val="TextoNormal"/>
      </w:pPr>
    </w:p>
    <w:p w:rsidR="005728DD" w:rsidRDefault="005728DD" w:rsidP="005728DD">
      <w:pPr>
        <w:pStyle w:val="TextoNormal"/>
      </w:pPr>
      <w:r>
        <w:t>Los pliegos de cláusulas administrativas, tanto generales como particulares, tienen gran relevancia en la preparación de los contratos, en la medida en que los pliegos generales, si se han aprobado, orientan, y los particulares plasman, las cláusulas del futuro contrato (de hecho, las cláusulas de los pliegos particulares se consideran parte integrante del mismo contrato, art. 122.4 LCSP). Por consiguiente, la intervención del órgano consultivo supone una garantía del principio de igualdad para los posibles licitadores, así como de su tratamiento común por las distintas administraciones públicas. De este modo, el art. 121.2 LCSP es un precepto básico dictado al amparo de las competencias estatales en materia de contratación pública. Esto no impide que pueda “‘alcanzar algún aspecto de [los] procedimientos especiales si imponen criterios directamente vinculados a los objetivos sustantivos’ de esa legislación básica”, en este caso, la igualdad de los licitadores en la fase de preparación del contrato [STC 55/2018, FJ 4 b)]. Procede, por ello, desestimar la impugnación.</w:t>
      </w:r>
    </w:p>
    <w:p w:rsidR="005728DD" w:rsidRDefault="005728DD" w:rsidP="005728DD">
      <w:pPr>
        <w:pStyle w:val="TextoNormal"/>
      </w:pPr>
    </w:p>
    <w:p w:rsidR="005728DD" w:rsidRDefault="005728DD" w:rsidP="005728DD">
      <w:pPr>
        <w:pStyle w:val="TextoNormal"/>
      </w:pPr>
      <w:r>
        <w:t>El Gobierno de Aragón critica la regulación de los pliegos de cláusulas administrativas particulares que realiza el art. 122 LCSP por el excesivo detalle en cuanto a su contenido. Estima que por esta razón no debe considerarse básico. Si bien parece que el objeto de impugnación es el precepto en su totalidad, lo cierto es que los reproches se concentran en el apartado 2, e indirectamente en el apartado 3, que también se refiere al contenido, pero en este caso, con un carácter potestativo, lo que deja margen de actuación a las comunidades autónomas respecto a la exigencia o no de penalidades en los pliegos particulares. Nada se dice de los apartados 1 (aprobación preceptiva) y 4 (parte integrante del contrato), ni de los apartados 5, 6 y 7 que, por otra parte, no tienen la condición de básicos de acuerdo con la disposición final primera de la Ley de contratos del sector público.</w:t>
      </w:r>
    </w:p>
    <w:p w:rsidR="005728DD" w:rsidRDefault="005728DD" w:rsidP="005728DD">
      <w:pPr>
        <w:pStyle w:val="TextoNormal"/>
      </w:pPr>
    </w:p>
    <w:p w:rsidR="005728DD" w:rsidRDefault="005728DD" w:rsidP="005728DD">
      <w:pPr>
        <w:pStyle w:val="TextoNormal"/>
      </w:pPr>
      <w:r>
        <w:lastRenderedPageBreak/>
        <w:t>Centrando el enjuiciamiento en el contenido del art. 122.2 LCSP, hay que tener en cuenta que el precepto ha sido objeto de modificación por el Real Decreto-ley 14/2019, mediante el cual se ha incorporado un nuevo contenido mínimo de los pliegos de aquellos contratos cuya ejecución requiera el tratamiento de datos personales (párrafos tercero a quinto). Esta añadidura no ha eliminado la controversia competencial suscitada en esta impugnación.</w:t>
      </w:r>
    </w:p>
    <w:p w:rsidR="005728DD" w:rsidRDefault="005728DD" w:rsidP="005728DD">
      <w:pPr>
        <w:pStyle w:val="TextoNormal"/>
      </w:pPr>
    </w:p>
    <w:p w:rsidR="005728DD" w:rsidRDefault="005728DD" w:rsidP="005728DD">
      <w:pPr>
        <w:pStyle w:val="TextoNormal"/>
      </w:pPr>
      <w:r>
        <w:t>El párrafo primero del art. 122.2 LCSP regula con detalle el contenido de los pliegos de cláusulas administrativas particulares. Se incluye la necesaria referencia a los pactos y condiciones que regirán el contrato y definirán el conjunto derechos y obligaciones de cada una de las partes contratantes, así como a la observancia de la ley y sus normas de desarrollo. A mayor abundamiento, se exige incluir criterios relativos a la solvencia —consideraciones sociales, laborales y ambientales— y adjudicación del contrato, la previsión de una eventual cesión de este y la obligación de cumplimiento de otras normas estatales, como las relativas a las condiciones salariales. Además, se precisa la necesidad de detallar el régimen jurídico aplicable a los contratos mixtos.</w:t>
      </w:r>
    </w:p>
    <w:p w:rsidR="005728DD" w:rsidRDefault="005728DD" w:rsidP="005728DD">
      <w:pPr>
        <w:pStyle w:val="TextoNormal"/>
      </w:pPr>
    </w:p>
    <w:p w:rsidR="005728DD" w:rsidRDefault="005728DD" w:rsidP="005728DD">
      <w:pPr>
        <w:pStyle w:val="TextoNormal"/>
      </w:pPr>
      <w:r>
        <w:t>El párrafo segundo, por su parte, contiene previsiones potestativas en relación con la transferencia de derechos de propiedad intelectual o industrial. Esto permite al órgano de contratación decidir su inclusión o no, dentro de los criterios fijados por el legislador estatal en relación con el contrato de servicios. Esta regulación no impide la intervención del legislador autonómico, ni prejuzga la decisión que este adopte en relación con idénticas cuestiones, siempre que respete el mínimo común establecido por la norma estatal.</w:t>
      </w:r>
    </w:p>
    <w:p w:rsidR="005728DD" w:rsidRDefault="005728DD" w:rsidP="005728DD">
      <w:pPr>
        <w:pStyle w:val="TextoNormal"/>
      </w:pPr>
    </w:p>
    <w:p w:rsidR="005728DD" w:rsidRDefault="005728DD" w:rsidP="005728DD">
      <w:pPr>
        <w:pStyle w:val="TextoNormal"/>
      </w:pPr>
      <w:r>
        <w:t>Conforme a la doctrina del tribunal [STC 141/1993, FFJJ 5 y 6 f)], no puede entenderse básico el párrafo primero del art. 122.2, salvo los incisos relativos a la necesidad de incluir “los pactos y condiciones definidores de los derechos y obligaciones de las partes del contrato” y “[e]n el caso de contratos mixtos, se detallará el régimen jurídico aplicable a sus efectos, cumplimiento y extinción, atendiendo a las normas aplicables a las diferentes prestaciones fusionadas en ellos”. Estos incisos guardan una relación directa como el principio de igualdad de los licitadores, y aseguran un tratamiento común por las administraciones públicas. Por ello, y salvo los incisos indicados, el párrafo primero del art. 122.2 es contrario al orden constitucional de competencias. Esta declaración que no implica su nulidad, puesto que de ella se deriva su no aplicación a los contratos suscritos por las administraciones de las comunidades autónomas, las corporaciones locales y las entidades vinculadas a unas y otras [SSTC 50/1999, FFJJ 7 y 8, y 55/2018, FFJJ 7 b) y c)].</w:t>
      </w:r>
    </w:p>
    <w:p w:rsidR="005728DD" w:rsidRDefault="005728DD" w:rsidP="005728DD">
      <w:pPr>
        <w:pStyle w:val="TextoNormal"/>
      </w:pPr>
    </w:p>
    <w:p w:rsidR="005728DD" w:rsidRDefault="005728DD" w:rsidP="005728DD">
      <w:pPr>
        <w:pStyle w:val="TextoNormal"/>
      </w:pPr>
      <w:r>
        <w:t>e) El art. 125.1 LCSP define qué se entenderá, a efectos de la ley objeto de enjuiciamiento, por prescripción o especificación técnica, cuando se trate de contratos de obras [letra a)] y de contratos de suministro o de servicios [letra b)]. El recurrente reprocha a la regulación una minuciosidad formalista.</w:t>
      </w:r>
    </w:p>
    <w:p w:rsidR="005728DD" w:rsidRDefault="005728DD" w:rsidP="005728DD">
      <w:pPr>
        <w:pStyle w:val="TextoNormal"/>
      </w:pPr>
    </w:p>
    <w:p w:rsidR="005728DD" w:rsidRDefault="005728DD" w:rsidP="005728DD">
      <w:pPr>
        <w:pStyle w:val="TextoNormal"/>
      </w:pPr>
      <w:r>
        <w:t xml:space="preserve">El tribunal entiende que el carácter básico de este precepto no encuentra justificación, en contra de lo que sostiene la abogacía del Estado, en ser una trasposición exacta de las definiciones uniformes del anexo II de la Directiva 2014/24/UE. La regulación del art. 125.1 LCSP contiene prescripciones de naturaleza formal, relativas a las características técnicas de materiales, productos o servicios, procedimientos de elaboración, utilización y diseño, instrucciones de uso, etc., que difícilmente pueden ser consideradas como básicas. Una regulación de esta naturaleza solo muy indirectamente guarda conexión con los principios </w:t>
      </w:r>
      <w:r>
        <w:lastRenderedPageBreak/>
        <w:t>generales del régimen básico en materia de contratación pública [STC 41/1993, FFJJ 5 y 6 e)]. Por ello, el art. 125.1 LCSP es contrario al orden constitucional de competencias. Esta declaración no implica su nulidad, puesto que solamente será aplicable a los contratos suscritos por la administración general del Estado y las entidades a ella vinculadas [SSTC 50/1999, FFJJ 7 y 8, y 55/2018, FFJJ 7 b) y c)].</w:t>
      </w:r>
    </w:p>
    <w:p w:rsidR="005728DD" w:rsidRDefault="005728DD" w:rsidP="005728DD">
      <w:pPr>
        <w:pStyle w:val="TextoNormal"/>
      </w:pPr>
    </w:p>
    <w:p w:rsidR="005728DD" w:rsidRDefault="005728DD" w:rsidP="005728DD">
      <w:pPr>
        <w:pStyle w:val="TextoNormal"/>
      </w:pPr>
      <w:r>
        <w:t>f) El Gobierno de Aragón critica la atribución al órgano de contratación, por parte del art. 127.2 LCSP, de la facultad de exigir una etiqueta específica “como medio de prueba de que las obras, los servicios o los suministros cumplen las características exigidas, etiquetas de tipo social o medioambiental, como aquellas relacionadas con la agricultura o la ganadería ecológicas, el comercio justo, la igualdad de género o las que garantizan el cumplimiento de las convenciones fundamentales de la Organización Internacional del Trabajo”; fijando a continuación [letras a) a e)] las condiciones que se han de cumplir para que dicha etiqueta pueda ser exigida. Entiende el recurrente que esa atribución corresponde o debe residenciarse en la comunidad autónoma.</w:t>
      </w:r>
    </w:p>
    <w:p w:rsidR="005728DD" w:rsidRDefault="005728DD" w:rsidP="005728DD">
      <w:pPr>
        <w:pStyle w:val="TextoNormal"/>
      </w:pPr>
    </w:p>
    <w:p w:rsidR="005728DD" w:rsidRDefault="005728DD" w:rsidP="005728DD">
      <w:pPr>
        <w:pStyle w:val="TextoNormal"/>
      </w:pPr>
      <w:r>
        <w:t>La regla impugnada establece cuándo una etiqueta específica puede servir como “medio de prueba” de que las obras, servicios o suministros cumplen las características exigidas [letras a) a e) del párrafo primero y párrafo segundo del art. 127.2 LCSP]; fija, por tanto, un mínimo común —los requisitos mínimos— cuya finalidad, en aras de satisfacer los principios de igualdad y libre concurrencia, es proporcionar un tratamiento uniforme a los licitadores. Además, atribuye al órgano de contratación la posibilidad de exigir, en las prescripciones técnicas, en los criterios de adjudicación o en las condiciones de ejecución del contrato, esa etiqueta específica. Esta posibilidad no impide la intervención del legislador autonómico, ni prejuzga la decisión que este adopte en relación con la exigencia de una etiqueta especial, siempre que respete el mínimo común de la norma estatal. El órgano de contratación en el ejercicio de sus competencias vendrá obligado a respetar tanto la legislación básica estatal —requisitos para operar como medio de prueba—, como la legislación que sea adoptada por la comunidad autónoma, al amparo de sus competencias, en relación con la exigibilidad de la etiqueta. Por tanto, la regulación establecida por el art. 127.2 LCSP es básica.</w:t>
      </w:r>
    </w:p>
    <w:p w:rsidR="005728DD" w:rsidRDefault="005728DD" w:rsidP="005728DD">
      <w:pPr>
        <w:pStyle w:val="TextoNormal"/>
      </w:pPr>
    </w:p>
    <w:p w:rsidR="005728DD" w:rsidRDefault="005728DD" w:rsidP="005728DD">
      <w:pPr>
        <w:pStyle w:val="TextoNormal"/>
      </w:pPr>
      <w:r>
        <w:t>g) Dentro de la regulación específica del contrato de obras, se impugnan los apartados 6, 7 y 8 del art. 232 LCSP, en los que se precisa, respectivamente, qué ha de entenderse por obras de restauración, rehabilitación y demolición, para proceder a la clasificación atendiendo a su objeto y naturaleza a los efectos de elaboración de los proyectos. El recurrente argumenta que estos preceptos adolecen de un detalle que supera el concepto material de bases, a la vez que infringen las competencias autonómicas en materia de urbanismo y vivienda (arts. 71.9 y 10 EAAr y 148.1.3 CE).</w:t>
      </w:r>
    </w:p>
    <w:p w:rsidR="005728DD" w:rsidRDefault="005728DD" w:rsidP="005728DD">
      <w:pPr>
        <w:pStyle w:val="TextoNormal"/>
      </w:pPr>
    </w:p>
    <w:p w:rsidR="005728DD" w:rsidRDefault="005728DD" w:rsidP="005728DD">
      <w:pPr>
        <w:pStyle w:val="TextoNormal"/>
      </w:pPr>
      <w:r>
        <w:t>Los preceptos impugnados cumplen el mismo cometido que los apartados 2, 3 y 4, no impugnados, en los que se delimitan las nociones de obras de primer establecimiento, de reparación, y de conservación y mantenimiento, respectivamente. Todos estos preceptos no tienen más finalidad que delimitar o establecer los elementos objetivos que identifican el contrato de obras para proceder a su clasificación, atendiendo a su objeto y naturaleza, y a los solos efectos de elaborar los pertinentes proyectos.</w:t>
      </w:r>
    </w:p>
    <w:p w:rsidR="005728DD" w:rsidRDefault="005728DD" w:rsidP="005728DD">
      <w:pPr>
        <w:pStyle w:val="TextoNormal"/>
      </w:pPr>
    </w:p>
    <w:p w:rsidR="005728DD" w:rsidRDefault="005728DD" w:rsidP="005728DD">
      <w:pPr>
        <w:pStyle w:val="TextoNormal"/>
      </w:pPr>
      <w:r>
        <w:lastRenderedPageBreak/>
        <w:t>Como el tribunal ha declarado en el precedente fundamento jurídico seis A) y B), la concreción del elemento objetivo de la ley es esencial para garantizar la igualdad y el tratamiento común ante las administraciones. Por esta razón los apartados 6, 7 y 8 del art. 232 LCSP tienen un carácter materialmente básico en cuanto su finalidad es delimitar el ámbito de aplicación de la LCSP [STC 84/2015, FJ 5 a)]; en este caso, clasificando las obras, según su objeto y naturaleza, a los efectos de afrontar la elaboración de los proyectos, por lo que no se vulneran las competencias autonómicas en materia de urbanismo y vivienda. La impugnación se debe, por ello, desestimar.</w:t>
      </w:r>
    </w:p>
    <w:p w:rsidR="005728DD" w:rsidRDefault="005728DD" w:rsidP="005728DD">
      <w:pPr>
        <w:pStyle w:val="TextoNormal"/>
      </w:pPr>
    </w:p>
    <w:p w:rsidR="005728DD" w:rsidRDefault="005728DD" w:rsidP="005728DD">
      <w:pPr>
        <w:pStyle w:val="TextoNormal"/>
      </w:pPr>
      <w:r>
        <w:t xml:space="preserve">h) Respecto de los actos de preparación se impugnan, por último, el segundo párrafo </w:t>
      </w:r>
      <w:r w:rsidRPr="005728DD">
        <w:rPr>
          <w:i/>
        </w:rPr>
        <w:t>in fine</w:t>
      </w:r>
      <w:r>
        <w:t xml:space="preserve"> del apartado 2 y el apartado 3 del art. 308 LCSP, relativo al contenido y límites del contrato de servicios.</w:t>
      </w:r>
    </w:p>
    <w:p w:rsidR="005728DD" w:rsidRDefault="005728DD" w:rsidP="005728DD">
      <w:pPr>
        <w:pStyle w:val="TextoNormal"/>
      </w:pPr>
    </w:p>
    <w:p w:rsidR="005728DD" w:rsidRDefault="005728DD" w:rsidP="005728DD">
      <w:pPr>
        <w:pStyle w:val="TextoNormal"/>
      </w:pPr>
      <w:r>
        <w:t>El art. 308.2 LCSP incluye una limitación propia o característica de este tipo de contratos. Con su extinción “no podrá producirse en ningún caso la consolidación de las personas que hayan realizado los trabajos objeto del contrato como personal de la entidad contratante”. A esa limitación, no cuestionada por el recurrente, se añade un mandato dirigido a los empleados públicos o responsables de la administración que consiste en el deber de abstenerse “de realizar actos que impliquen el ejercicio de facultades que, como parte de la relación jurídico laboral, le corresponden a la empresa contratista”. Este mandato para el recurrente excede de lo meramente básico e infringe el principio de seguridad jurídica del art. 9.3 CE.</w:t>
      </w:r>
    </w:p>
    <w:p w:rsidR="005728DD" w:rsidRDefault="005728DD" w:rsidP="005728DD">
      <w:pPr>
        <w:pStyle w:val="TextoNormal"/>
      </w:pPr>
    </w:p>
    <w:p w:rsidR="005728DD" w:rsidRDefault="005728DD" w:rsidP="005728DD">
      <w:pPr>
        <w:pStyle w:val="TextoNormal"/>
      </w:pPr>
      <w:r>
        <w:t>En realidad, como acertadamente sostiene la abogacía del Estado, el precepto en su conjunto responde a una misma finalidad que es evitar que, por la vía del contrato de servicios, se pueda producir el acceso de trabajadores a la función o empleo público, con menoscabo de los principios constitucionales de igualdad, mérito y capacidad previstos en los arts. 23.2 y 103.3 CE. Con el objeto de garantizar dichos principios, el párrafo segundo del art. 308.2 tiene el carácter de norma básica, dictada al amparo del art. 149.1.18 CE en materia de “bases del régimen jurídico de las administraciones Públicas”. Corresponde, pues, desestimar la impugnación.</w:t>
      </w:r>
    </w:p>
    <w:p w:rsidR="005728DD" w:rsidRDefault="005728DD" w:rsidP="005728DD">
      <w:pPr>
        <w:pStyle w:val="TextoNormal"/>
      </w:pPr>
    </w:p>
    <w:p w:rsidR="005728DD" w:rsidRDefault="005728DD" w:rsidP="005728DD">
      <w:pPr>
        <w:pStyle w:val="TextoNormal"/>
      </w:pPr>
      <w:r>
        <w:t>Por su parte, el art. 308.3 LCSP regula los contratos de servicios que impliquen el desarrollo o mantenimiento de aplicaciones informáticas. El Gobierno de Aragón argumenta que el precepto incurre en un exceso de regulación de detalle al determinar el contenido del pliego de cláusulas administrativas particulares.</w:t>
      </w:r>
    </w:p>
    <w:p w:rsidR="005728DD" w:rsidRDefault="005728DD" w:rsidP="005728DD">
      <w:pPr>
        <w:pStyle w:val="TextoNormal"/>
      </w:pPr>
    </w:p>
    <w:p w:rsidR="005728DD" w:rsidRDefault="005728DD" w:rsidP="005728DD">
      <w:pPr>
        <w:pStyle w:val="TextoNormal"/>
      </w:pPr>
      <w:r>
        <w:t>Independientemente de la ubicación sistemática del precepto y de la referencia a los pliegos de cláusulas administrativas particulares, la finalidad del apartado 3 es determinar el objeto de este tipo de contratos de servicios, de gran complejidad, dado el no siempre fácil deslinde respecto de otras figuras contractuales. El precepto impugnado tiene un carácter materialmente básico en cuanto su fin es delimitar el ámbito de aplicación de la Ley de contratos del sector público [STC 84/2015, FJ 5 a)]; en este caso, permitiendo la posibilidad de definir el objeto de este tipo de contratos de servicios con referencia a los componentes en que se acuerde estructurar la prestación del servicio. Esto será determinante del precio —referido a cada componente en términos de unidades de actividad— y de la misma ejecución del contrato. Se ha de desestimar, por tanto, la impugnación.</w:t>
      </w:r>
    </w:p>
    <w:p w:rsidR="005728DD" w:rsidRDefault="005728DD" w:rsidP="005728DD">
      <w:pPr>
        <w:pStyle w:val="TextoNormal"/>
      </w:pPr>
    </w:p>
    <w:p w:rsidR="005728DD" w:rsidRDefault="005728DD" w:rsidP="005728DD">
      <w:pPr>
        <w:pStyle w:val="TextoNormal"/>
      </w:pPr>
      <w:r>
        <w:lastRenderedPageBreak/>
        <w:t>B) Respecto del régimen jurídico de la adjudicación de los contratos, han sido objeto de impugnación los arts. 141, 143, 145, 146, 147, 148.3 párrafo segundo, 149.4 y 6, y 154.7 párrafos segundo y tercero, de la subsección primera de normas generales; los arts. 156, 157, 159.1 y 4 a), 166.2, 177.3 a), 185.3, y 187.3 y 11 relativos a los procedimientos de adjudicación de las subsecciones segunda, cuarta, sexta y séptima; todos ellos incluidos en la sección segunda, capítulo primero del título primero del libro segundo LCSP; y la disposición adicional vigésima segunda.</w:t>
      </w:r>
    </w:p>
    <w:p w:rsidR="005728DD" w:rsidRDefault="005728DD" w:rsidP="005728DD">
      <w:pPr>
        <w:pStyle w:val="TextoNormal"/>
      </w:pPr>
    </w:p>
    <w:p w:rsidR="005728DD" w:rsidRDefault="005728DD" w:rsidP="005728DD">
      <w:pPr>
        <w:pStyle w:val="TextoNormal"/>
      </w:pPr>
      <w:r>
        <w:t>a) El Gobierno de Aragón considera que el art. 141 LCSP habilita al órgano de contratación para la adopción de decisiones en relación con la inclusión en el pliego de contratación de la declaración responsable y su modelo (apartado 1); además, en los supuestos en que se establezca la intervención de mesa de contratación, se atribuye a esta la calificación de la declaración responsable y de la documentación que la acompañe, y en su caso, la subsanación de los defectos que se aprecien (apartado 2). Las habilitaciones, según el recurrente, se hacen con menoscabo de las competencias del legislador autonómico que ve, de este modo, reducido su margen de desarrollo.</w:t>
      </w:r>
    </w:p>
    <w:p w:rsidR="005728DD" w:rsidRDefault="005728DD" w:rsidP="005728DD">
      <w:pPr>
        <w:pStyle w:val="TextoNormal"/>
      </w:pPr>
    </w:p>
    <w:p w:rsidR="005728DD" w:rsidRDefault="005728DD" w:rsidP="005728DD">
      <w:pPr>
        <w:pStyle w:val="TextoNormal"/>
      </w:pPr>
      <w:r>
        <w:t>A juicio del tribunal el cuestionado precepto no contiene tales habilitaciones, pues su objeto es exigir la inclusión de una declaración responsable, su calificación y subsanación. El modelo de esta declaración “seguirá el formulario de documento europeo único de contratación aprobado en el seno de la Unión Europea”. Debe reiterarse lo dicho con ocasión del examen del art. 71.1 d) LCSP, en el fundamento jurídico 6 G) b) de esta sentencia y afirmar que la exigencia de una declaración responsable, ajustada al modelo europeo, es una norma básica que responde a la consecución de principios como los de transparencia e información en los procedimientos de licitación, así como a la eficiencia en la gestión de los recursos públicos mediante la reducción de las cargas burocráticas [STC 84/2015, FJ 5 a)]. Procede, pues, desestimar la impugnación.</w:t>
      </w:r>
    </w:p>
    <w:p w:rsidR="005728DD" w:rsidRDefault="005728DD" w:rsidP="005728DD">
      <w:pPr>
        <w:pStyle w:val="TextoNormal"/>
      </w:pPr>
    </w:p>
    <w:p w:rsidR="005728DD" w:rsidRDefault="005728DD" w:rsidP="005728DD">
      <w:pPr>
        <w:pStyle w:val="TextoNormal"/>
      </w:pPr>
      <w:r>
        <w:t>b) El art. 143 LCSP regula la subasta electrónica y lo hace de un modo que, según la letrada del Gobierno aragonés, contiene prescripciones de detalle, que podría ser sustituidas por otras igualmente válidas. El detalle, según afirma, alcanza al anuncio de licitación y el procedimiento que debe seguirse (primera evaluación completa de la oferta, invitación y plazos, fases de desarrollo…). Además, al apartado 9 se le atribuye carácter supletorio, por enumerar criterios alternativos, lo que implica que ninguno es preceptivo, por lo que, a su juicio, no puede ser considerado básico.</w:t>
      </w:r>
    </w:p>
    <w:p w:rsidR="005728DD" w:rsidRDefault="005728DD" w:rsidP="005728DD">
      <w:pPr>
        <w:pStyle w:val="TextoNormal"/>
      </w:pPr>
    </w:p>
    <w:p w:rsidR="005728DD" w:rsidRDefault="005728DD" w:rsidP="005728DD">
      <w:pPr>
        <w:pStyle w:val="TextoNormal"/>
      </w:pPr>
      <w:r>
        <w:t xml:space="preserve">La subasta electrónica, tras una primera evaluación completa de las ofertas (apartados 1 y 5), no es uno de los procedimientos de adjudicación previstos en el art. 131 LCSP, sino una fase que se puede emplear en determinados procedimientos (abierto, restringido y negociado), salvo en los contratos cuyo objeto tenga relación con la calidad alimentaria, siempre que no se use de forma abusiva o se obstaculice, restrinja o falsee la competencia o que se vea modificado el objeto del contrato (apartado 2). Con este objetivo, el precepto impugnado regula los criterios mínimos en los que se basará la subasta (precios y/o valores objetivos; apartado 3); exige su publicitación en el anuncio de licitación y fija una información mínima sobre ella en el pliego de condiciones (apartado 4); establece la información relevante que ha de incluir la invitación a participar en ella y la fórmula para el cálculo de la oferta más ventajosa (apartados 6 y 7); prevé la posibilidad de su desarrollo en fases y la información mínima que en cada una de ellas se podrá facilitar (apartado 8); y regula los </w:t>
      </w:r>
      <w:r>
        <w:lastRenderedPageBreak/>
        <w:t>criterios mínimos y preceptivos para su cierre y la adjudicación del contrato (apartados 9 y 10).</w:t>
      </w:r>
    </w:p>
    <w:p w:rsidR="005728DD" w:rsidRDefault="005728DD" w:rsidP="005728DD">
      <w:pPr>
        <w:pStyle w:val="TextoNormal"/>
      </w:pPr>
    </w:p>
    <w:p w:rsidR="005728DD" w:rsidRDefault="005728DD" w:rsidP="005728DD">
      <w:pPr>
        <w:pStyle w:val="TextoNormal"/>
      </w:pPr>
      <w:r>
        <w:t>En cuanto fase que se inserta en los procedimientos de adjudicación, la regulación de la subasta electrónica por el art. 143 LCSP es, al igual que los preceptos que regulan aquellos (SSTC 237/2015, FJ 7, y 103/2015, FJ 6), una norma básica que permite garantizar la igualdad de los licitadores y su tratamiento común por las administraciones [SSTC 141/1993, FJ 5]. Además, por su conexión con la licitación y su anuncio [SSTC 141/1993, FJ 6 b), y 237/2015, FJ 8) y la regulación de las ofertas [STC 141/1993, FJ 6 n)], es básica en aras de satisfacer el principio de transparencia, así como los de publicidad e información. Esta norma básica, frente a lo que sostiene el Gobierno de Aragón, no impide que la comunidad autónoma pueda ejercer su competencia de desarrollo legislativo en relación con varios aspectos sustantivos y procedimentales de la subasta electrónica. Procede, por tanto, desestimar la impugnación.</w:t>
      </w:r>
    </w:p>
    <w:p w:rsidR="005728DD" w:rsidRDefault="005728DD" w:rsidP="005728DD">
      <w:pPr>
        <w:pStyle w:val="TextoNormal"/>
      </w:pPr>
    </w:p>
    <w:p w:rsidR="005728DD" w:rsidRDefault="005728DD" w:rsidP="005728DD">
      <w:pPr>
        <w:pStyle w:val="TextoNormal"/>
      </w:pPr>
      <w:r>
        <w:t>c) Los arts. 145, 146, 147 y 148.3 párrafo segundo LCSP, regulan diversos aspectos relativos a los criterios de adjudicación de los contratos, por lo que, dada su conexión, serán examinados conjuntamente. En el caso de los arts. 145 y 146, aunque la impugnación se refiere al precepto en su conjunto, la crítica se limita al apartado 2 de cada uno de ellos.</w:t>
      </w:r>
    </w:p>
    <w:p w:rsidR="005728DD" w:rsidRDefault="005728DD" w:rsidP="005728DD">
      <w:pPr>
        <w:pStyle w:val="TextoNormal"/>
      </w:pPr>
    </w:p>
    <w:p w:rsidR="005728DD" w:rsidRDefault="005728DD" w:rsidP="005728DD">
      <w:pPr>
        <w:pStyle w:val="TextoNormal"/>
      </w:pPr>
      <w:r>
        <w:t>En relación con el art. 145.2 LCSP que regula los requisitos y criterios para la adjudicación del contrato, la letrada del Gobierno de Aragón alega que prevé tres criterios de adjudicación y que ninguno de ellos es de aplicación preceptiva, por lo que su calificación como básicos no se ajusta a derecho e incurre, además, en la prohibición de fijar normas de carácter supletorio a través de la legislación básica.</w:t>
      </w:r>
    </w:p>
    <w:p w:rsidR="005728DD" w:rsidRDefault="005728DD" w:rsidP="005728DD">
      <w:pPr>
        <w:pStyle w:val="TextoNormal"/>
      </w:pPr>
    </w:p>
    <w:p w:rsidR="005728DD" w:rsidRDefault="005728DD" w:rsidP="005728DD">
      <w:pPr>
        <w:pStyle w:val="TextoNormal"/>
      </w:pPr>
      <w:r>
        <w:t>A juicio del tribunal, el precepto en cuestión se limita a regular un mínimo común en relación con los criterios cualitativos —que, junto a los económicos, son los relevantes para la adjudicación— que puede tomar en consideración el órgano de contratación para evaluar mejor la relación calidad-precio. Estos criterios no constituyen una lista cerrada; entre ellos se encuentran la calidad, referida tanto a características medioambientales, como a características sociales; la organización, cualificación y experiencia del personal adscrito al contrato; y el servicio posventa y la asistencia técnica y condiciones de entrega. Son criterios que, en todo caso, “deberán ir acompañados de un criterio relacionado con los costes el cual, a elección del órgano de contratación, podrá ser el precio o un planteamiento basado en la rentabilidad, como el coste del ciclo de vida” (último párrafo del apartado 2).</w:t>
      </w:r>
    </w:p>
    <w:p w:rsidR="005728DD" w:rsidRDefault="005728DD" w:rsidP="005728DD">
      <w:pPr>
        <w:pStyle w:val="TextoNormal"/>
      </w:pPr>
    </w:p>
    <w:p w:rsidR="005728DD" w:rsidRDefault="005728DD" w:rsidP="005728DD">
      <w:pPr>
        <w:pStyle w:val="TextoNormal"/>
      </w:pPr>
      <w:r>
        <w:t>El tribunal entiende que el art. 145.2 LCSP es una norma básica. Este precepto tiene por objeto garantizar la igualdad de los licitadores y su tratamiento común por parte de las administraciones en la fase de adjudicación (SSTC 141/1993, FJ 5). Tampoco incurre en exceso de regulación, pues no impide que la comunidad autónoma pueda ejercer su competencia de desarrollo legislativo en relación con la concreción de los criterios de adjudicación que deberá tomar en consideración el órgano de contratación, ni tiene carácter supletorio. No cabe apreciar, por ello, la vulneración alegada.</w:t>
      </w:r>
    </w:p>
    <w:p w:rsidR="005728DD" w:rsidRDefault="005728DD" w:rsidP="005728DD">
      <w:pPr>
        <w:pStyle w:val="TextoNormal"/>
      </w:pPr>
    </w:p>
    <w:p w:rsidR="005728DD" w:rsidRDefault="005728DD" w:rsidP="005728DD">
      <w:pPr>
        <w:pStyle w:val="TextoNormal"/>
      </w:pPr>
      <w:r>
        <w:t xml:space="preserve">El Gobierno aragonés impugna el art. 146.2 LCSP porque considera que establece una regulación de detalle que impone criterios que podrían ser sustituidos por otros igualmente válidos. En concreto, alude a la composición del comité de expertos y a la exigencia de un </w:t>
      </w:r>
      <w:r>
        <w:lastRenderedPageBreak/>
        <w:t>criterio de adjudicación evaluable de forma automática en los contratos de concesión de obras o de servicios.</w:t>
      </w:r>
    </w:p>
    <w:p w:rsidR="005728DD" w:rsidRDefault="005728DD" w:rsidP="005728DD">
      <w:pPr>
        <w:pStyle w:val="TextoNormal"/>
      </w:pPr>
    </w:p>
    <w:p w:rsidR="005728DD" w:rsidRDefault="005728DD" w:rsidP="005728DD">
      <w:pPr>
        <w:pStyle w:val="TextoNormal"/>
      </w:pPr>
      <w:r>
        <w:t>En relación con el comité de expertos, al que se ha de encomendar “la valoración de los criterios cuya cuantificación dependa de un juicio de valor” —en los procedimientos de adjudicación abierto o restringido—, la noma se limita a establecer un mínimo común en relación con el número de componentes —al menos tres miembros— y su procedencia, a la que impone una limitación lógica desde el punto de vista de la libre concurrencia, y es que “en ningún caso podrán estar adscritos al órgano proponente del contrato”; y permite, como alternativa al comité, que la valoración se realice por “un organismo técnico especializado, debidamente identificado en los pliegos” [letra a, párrafo segundo]. Estamos, pues, ante una norma básica cuyo objeto es garantizar, nuevamente, la igualdad de los licitadores en la fase de adjudicación, a la vez que satisfacer los principios de transparencia y publicidad [SSTC 141/1993, FJ 5]. La norma no impide la intervención de la comunidad autónoma en relación con la composición y funciones del comité de expertos o del órgano técnico especializado, respetando, en todo caso, el mínimo común básico.</w:t>
      </w:r>
    </w:p>
    <w:p w:rsidR="005728DD" w:rsidRDefault="005728DD" w:rsidP="005728DD">
      <w:pPr>
        <w:pStyle w:val="TextoNormal"/>
      </w:pPr>
    </w:p>
    <w:p w:rsidR="005728DD" w:rsidRDefault="005728DD" w:rsidP="005728DD">
      <w:pPr>
        <w:pStyle w:val="TextoNormal"/>
      </w:pPr>
      <w:r>
        <w:t>Por idénticas razones se ha de considerar básico el criterio de adjudicación evaluable de forma automática consistente en “la cuantía de la reducción que oferten los licitadores sobre las aportaciones previstas en el expediente de contratación”, previsto en el último párrafo del art. 146.2 LCSP, para los contratos de concesión de obras o de servicios. Se trata de un criterio mínimo común que en nada impide, como se desprende con claridad del texto de la ley (en todo caso figurará como un criterio de adjudicación evaluable de forma automática) a la comunidad autónoma recurrir a otros criterios evaluables automáticamente.</w:t>
      </w:r>
    </w:p>
    <w:p w:rsidR="005728DD" w:rsidRDefault="005728DD" w:rsidP="005728DD">
      <w:pPr>
        <w:pStyle w:val="TextoNormal"/>
      </w:pPr>
    </w:p>
    <w:p w:rsidR="005728DD" w:rsidRDefault="005728DD" w:rsidP="005728DD">
      <w:pPr>
        <w:pStyle w:val="TextoNormal"/>
      </w:pPr>
      <w:r>
        <w:t>Corresponde, por tanto, desestimar la impugnación del art. 146.2 LCSP.</w:t>
      </w:r>
    </w:p>
    <w:p w:rsidR="005728DD" w:rsidRDefault="005728DD" w:rsidP="005728DD">
      <w:pPr>
        <w:pStyle w:val="TextoNormal"/>
      </w:pPr>
    </w:p>
    <w:p w:rsidR="005728DD" w:rsidRDefault="005728DD" w:rsidP="005728DD">
      <w:pPr>
        <w:pStyle w:val="TextoNormal"/>
      </w:pPr>
      <w:r>
        <w:t>Una crítica similar se realiza al art. 147 LCSP, que regula los criterios de desempate en los procedimientos de adjudicación. Al apartado 1 se le reprocha habilitar al órgano de contratación, en detrimento del legislador autonómico, establecer los criterios de desempate en el pliego de cláusulas administrativas particulares; y al apartado 2, establecer una norma supletoria que operaría en ausencia de previsión de dichos criterios en los pliegos.</w:t>
      </w:r>
    </w:p>
    <w:p w:rsidR="005728DD" w:rsidRDefault="005728DD" w:rsidP="005728DD">
      <w:pPr>
        <w:pStyle w:val="TextoNormal"/>
      </w:pPr>
    </w:p>
    <w:p w:rsidR="005728DD" w:rsidRDefault="005728DD" w:rsidP="005728DD">
      <w:pPr>
        <w:pStyle w:val="TextoNormal"/>
      </w:pPr>
      <w:r>
        <w:t>El apartado 1 del art. 147 LCSP en nada impide la intervención del legislador autonómico interponiéndose entre la norma estatal y el órgano de contratación, siempre que a la hora de fijar los criterios de desempate respete el mínimo común relativo a su vinculación al objeto del contrato y a criterios de orden social (inserción laboral de personas con discapacidad o en riesgo de exclusión social; comercio justo; igualdad de oportunidad entre mujeres y hombres…). El órgano de contratación en el ejercicio de sus competencias vendrá obligado a respetar tanto la legislación básica estatal, como la legislación que sea adoptada por la comunidad autónoma, al amparo de sus competencias, en relación con los criterios de desempate. Por otro lado, el art. 147.2 LCSP establece unas reglas fijas y mínimas a las que tendrá que sujetarse el órgano de contratación cuando los criterios de adjudicación por él seleccionados y establecidos hayan desembocado en un empate y no exista previsión alguna para dirimirlo. En todo caso, estas reglas mínimas no impedirán la intervención de legislador autonómico de desarrollo en los términos que hemos indicado, que comportan la imposibilidad de contradecir los criterios establecidos para dirimir el empate o desvirtuarlos de cualquier forma.</w:t>
      </w:r>
    </w:p>
    <w:p w:rsidR="005728DD" w:rsidRDefault="005728DD" w:rsidP="005728DD">
      <w:pPr>
        <w:pStyle w:val="TextoNormal"/>
      </w:pPr>
    </w:p>
    <w:p w:rsidR="005728DD" w:rsidRDefault="005728DD" w:rsidP="005728DD">
      <w:pPr>
        <w:pStyle w:val="TextoNormal"/>
      </w:pPr>
      <w:r>
        <w:t>Ambas reglas no pretenden otra cosa que garantizar la igualdad de los licitadores y su tratamiento común por parte de las administraciones en la fase de adjudicación [STC 141/1993, FJ 5]. En consecuencia, la regulación establecida por el art. 147 LCSP tiene carácter básico.</w:t>
      </w:r>
    </w:p>
    <w:p w:rsidR="005728DD" w:rsidRDefault="005728DD" w:rsidP="005728DD">
      <w:pPr>
        <w:pStyle w:val="TextoNormal"/>
      </w:pPr>
    </w:p>
    <w:p w:rsidR="005728DD" w:rsidRDefault="005728DD" w:rsidP="005728DD">
      <w:pPr>
        <w:pStyle w:val="TextoNormal"/>
      </w:pPr>
      <w:r>
        <w:t>Por último, se recurre el párrafo segundo del art. 148.3 LCSP que, en relación con la definición y cálculo del ciclo de vida, establece las condiciones que ha de cumplir el método utilizado para la evaluación de los costes imputados a externalidades medioambientales: basarse en criterios verificables objetivamente y no discriminatorios; ser accesible a las partes; y que la información pueda ser facilitada con un esfuerzo razonable por parte de las empresas. El Gobierno de Aragón entiende que esta norma incurre en un exceso de detalle que impide el desarrollo legislativo por la comunidad autónoma.</w:t>
      </w:r>
    </w:p>
    <w:p w:rsidR="005728DD" w:rsidRDefault="005728DD" w:rsidP="005728DD">
      <w:pPr>
        <w:pStyle w:val="TextoNormal"/>
      </w:pPr>
    </w:p>
    <w:p w:rsidR="005728DD" w:rsidRDefault="005728DD" w:rsidP="005728DD">
      <w:pPr>
        <w:pStyle w:val="TextoNormal"/>
      </w:pPr>
      <w:r>
        <w:t>El tribunal no puede asumir el motivo aducido por el Gobierno de Aragón, pues estima que este precepto tiene carácter básico al tener como objeto garantizar la igualdad de los licitadores y su tratamiento común por parte de las administraciones en la fase de adjudicación (STC 141/1993, FJ 5). La impugnación se ha de desestimar.</w:t>
      </w:r>
    </w:p>
    <w:p w:rsidR="005728DD" w:rsidRDefault="005728DD" w:rsidP="005728DD">
      <w:pPr>
        <w:pStyle w:val="TextoNormal"/>
      </w:pPr>
    </w:p>
    <w:p w:rsidR="005728DD" w:rsidRDefault="005728DD" w:rsidP="005728DD">
      <w:pPr>
        <w:pStyle w:val="TextoNormal"/>
      </w:pPr>
      <w:r>
        <w:t>d) En relación con las ofertas anormalmente bajas —inviables en términos de ejecución—, el art. 149 LCSP establece el procedimiento para su exclusión de la licitación por parte del órgano de contratación. El Gobierno aragonés impugna los apartados 4 y 6 al entender que regula aspectos sobre la actuación del órgano de contratación que, por no tener carácter preceptivo, no son susceptibles de ser considerados básicos.</w:t>
      </w:r>
    </w:p>
    <w:p w:rsidR="005728DD" w:rsidRDefault="005728DD" w:rsidP="005728DD">
      <w:pPr>
        <w:pStyle w:val="TextoNormal"/>
      </w:pPr>
    </w:p>
    <w:p w:rsidR="005728DD" w:rsidRDefault="005728DD" w:rsidP="005728DD">
      <w:pPr>
        <w:pStyle w:val="TextoNormal"/>
      </w:pPr>
      <w:r>
        <w:t xml:space="preserve">Ante la identificación de una o varias ofertas incursas en presunción de anormalidad, la mesa de contratación o, en su defecto, el órgano de contratación, podrá solicitar información al licitador encaminada a justificar “aquellas condiciones de la oferta que sean susceptibles de determinar el bajo nivel del precio o costes de la misma” y, en particular, el apartado 4 enumera una serie de valores mínimos sobre los que solicitar la justificación: el ahorro que permite; las soluciones técnicas adoptadas; la innovación y originalidad de las propuestas, etc. Estos criterios no impiden a la comunidad autónoma ejercer sus competencias de desarrollo legislativo fijando otros valores cuya justificación pueda ser requerida por la mesa o el órgano de contratación. En la misma línea, el apartado 6 impone dos criterios mínimos para poder aceptar o, en su caso, rechazar la oferta tras la evaluación de la información facilitada por el licitador. En primer lugar, “en ningún caso se acordará la aceptación de una oferta sin que la propuesta de la mesa de contratación en este sentido esté debidamente motivada” (párrafo primero, </w:t>
      </w:r>
      <w:r w:rsidRPr="005728DD">
        <w:rPr>
          <w:i/>
        </w:rPr>
        <w:t>in fine</w:t>
      </w:r>
      <w:r>
        <w:t>); en segundo lugar, “se rechazarán las ofertas incursas en presunción de anormalidad si están basadas en hipótesis o prácticas inadecuadas desde una perspectiva técnica, económica o jurídica” (párrafo segundo</w:t>
      </w:r>
      <w:r w:rsidRPr="005728DD">
        <w:rPr>
          <w:i/>
        </w:rPr>
        <w:t>, in fi</w:t>
      </w:r>
      <w:r>
        <w:t>ne).</w:t>
      </w:r>
    </w:p>
    <w:p w:rsidR="005728DD" w:rsidRDefault="005728DD" w:rsidP="005728DD">
      <w:pPr>
        <w:pStyle w:val="TextoNormal"/>
      </w:pPr>
    </w:p>
    <w:p w:rsidR="005728DD" w:rsidRDefault="005728DD" w:rsidP="005728DD">
      <w:pPr>
        <w:pStyle w:val="TextoNormal"/>
      </w:pPr>
      <w:r>
        <w:t>La regulación establecida por el art. 149.4 y 6 LCSP tiene, por tanto, carácter básico, pues tiene por objeto garantizar la igualdad de los licitadores en la fase de adjudicación, a la vez que satisfacer los principios de transparencia y publicidad (STC 141/1993, FJ 5).</w:t>
      </w:r>
    </w:p>
    <w:p w:rsidR="005728DD" w:rsidRDefault="005728DD" w:rsidP="005728DD">
      <w:pPr>
        <w:pStyle w:val="TextoNormal"/>
      </w:pPr>
    </w:p>
    <w:p w:rsidR="005728DD" w:rsidRDefault="005728DD" w:rsidP="005728DD">
      <w:pPr>
        <w:pStyle w:val="TextoNormal"/>
      </w:pPr>
      <w:r>
        <w:t xml:space="preserve">e) En el marco del anuncio de la formalización de los contratos, la representación procesal de Gobierno aragonés impugna el párrafo segundo y tercero del art. 154.7 LCSP, por </w:t>
      </w:r>
      <w:r>
        <w:lastRenderedPageBreak/>
        <w:t>condicionar la actividad autonómica, imponiendo una supervisión o tutela que, de facto, supone suspender el anuncio de la formalización (SSTC 79/2017, FJ 17, y 14/2018, FJ 10).</w:t>
      </w:r>
    </w:p>
    <w:p w:rsidR="005728DD" w:rsidRDefault="005728DD" w:rsidP="005728DD">
      <w:pPr>
        <w:pStyle w:val="TextoNormal"/>
      </w:pPr>
    </w:p>
    <w:p w:rsidR="005728DD" w:rsidRDefault="005728DD" w:rsidP="005728DD">
      <w:pPr>
        <w:pStyle w:val="TextoNormal"/>
      </w:pPr>
      <w:r>
        <w:t>El art. 154.7 LCSP prevé que el órgano de contratación, justificándolo debidamente en el expediente de contratación, pueda decidir no publicar determinados datos relativos a la celebración del contrato, cuando la divulgación de esa información pueda obstaculizar la aplicación de una norma, resultar contraria al interés público o perjudicar intereses comerciales de las empresas o la competencia leal entre ellas, o cuando se trate de contratos declarados secretos o reservados, o cuya ejecución deba ir acompañada de medidas de seguridad especiales o lo exija la protección de los intereses esenciales de la seguridad del Estado (párrafo primero). El párrafo segundo dispone que “previa la decisión de no publicar unos determinados datos relativos a la celebración del contrato”, el órgano de contratación deberá recabar un informe del Consejo de Transparencia y Buen Gobierno; este informe no será necesario si el órgano de contratación ya hubiese efectuado “consulta sobre una materia idéntica o análoga, sin perjuicio de la justificación debida de su exclusión en el expediente en los términos establecidos en este apartado” (párrafo tercero).</w:t>
      </w:r>
    </w:p>
    <w:p w:rsidR="005728DD" w:rsidRDefault="005728DD" w:rsidP="005728DD">
      <w:pPr>
        <w:pStyle w:val="TextoNormal"/>
      </w:pPr>
    </w:p>
    <w:p w:rsidR="005728DD" w:rsidRDefault="005728DD" w:rsidP="005728DD">
      <w:pPr>
        <w:pStyle w:val="TextoNormal"/>
      </w:pPr>
      <w:r>
        <w:t>El informe del párrafo segundo del art. 154.7 LCSP se articula como un instrumento para reforzar la transparencia de la actividad pública en materia de contratación, y garantizar el derecho de acceso a la información relativa a dicha actividad contractual. El informe, como se desprende de la norma estatal, tiene carácter preceptivo y es previo a la decisión que adopte el órgano de contratación, pero no vinculante. Desde este punto de vista, nada se opondría a su consideración como básico. Sin embargo, el precepto exige que el informe se recabe del Consejo de Transparencia y Buen Gobierno, a que se refiere la Ley 19/2013, de 9 de diciembre, de transparencia, acceso a la información pública y buen gobierno. Esta ley lo configura como un órgano independiente que ejerce sus competencias en relación con la administración general del Estado, salvo que por convenio el ejercicio de sus funciones se extienda a las comunidades autónomas.</w:t>
      </w:r>
    </w:p>
    <w:p w:rsidR="005728DD" w:rsidRDefault="005728DD" w:rsidP="005728DD">
      <w:pPr>
        <w:pStyle w:val="TextoNormal"/>
      </w:pPr>
    </w:p>
    <w:p w:rsidR="005728DD" w:rsidRDefault="005728DD" w:rsidP="005728DD">
      <w:pPr>
        <w:pStyle w:val="TextoNormal"/>
      </w:pPr>
      <w:r>
        <w:t>De acuerdo con el razonamiento expuesto y por no tener carácter básico, los párrafos segundo y tercero del art. 154.7 LCSP deben declararse contrarios al orden constitucional de competencias. Esta declaración no conlleva su nulidad, habida cuenta que se aplican en el ámbito estatal sin que esto haya sido objeto de controversia en el presente proceso [SSTC 50/1999, FFJJ 7 y 8, y 55/2018, FFJJ 7 b) y c)].</w:t>
      </w:r>
    </w:p>
    <w:p w:rsidR="005728DD" w:rsidRDefault="005728DD" w:rsidP="005728DD">
      <w:pPr>
        <w:pStyle w:val="TextoNormal"/>
      </w:pPr>
    </w:p>
    <w:p w:rsidR="005728DD" w:rsidRDefault="005728DD" w:rsidP="005728DD">
      <w:pPr>
        <w:pStyle w:val="TextoNormal"/>
      </w:pPr>
      <w:r>
        <w:t>f) Se impugnan los arts. 156, 157 y 159.1 y 4 a) LCSP que regulan diversos aspectos relativos al procedimiento abierto. Estos preceptos no dejan, en opinión del recurrente, margen alguno a un desarrollo legislativo autonómico, pese a que de su regulación se desprende la existencia de alternativas igualmente válidas.</w:t>
      </w:r>
    </w:p>
    <w:p w:rsidR="005728DD" w:rsidRDefault="005728DD" w:rsidP="005728DD">
      <w:pPr>
        <w:pStyle w:val="TextoNormal"/>
      </w:pPr>
    </w:p>
    <w:p w:rsidR="005728DD" w:rsidRDefault="005728DD" w:rsidP="005728DD">
      <w:pPr>
        <w:pStyle w:val="TextoNormal"/>
      </w:pPr>
      <w:r>
        <w:t>El enjuiciamiento de los citados preceptos tiene necesariamente, como punto de partida, la doctrina del tribunal que predica el carácter básico de los preceptos que regulan los procedimientos de adjudicación y concretan su tipología, cosa que en todo caso no impedirá a las comunidades autónomas “introducir novedades orientadas a lograr una tramitación más ágil y eficaz”, pero sí “abordar una regulación completa de nuevos procedimientos de licitación” (SSTC 237/2015, FJ 7, y 103/2015, FJ 6).</w:t>
      </w:r>
    </w:p>
    <w:p w:rsidR="005728DD" w:rsidRDefault="005728DD" w:rsidP="005728DD">
      <w:pPr>
        <w:pStyle w:val="TextoNormal"/>
      </w:pPr>
    </w:p>
    <w:p w:rsidR="005728DD" w:rsidRDefault="005728DD" w:rsidP="005728DD">
      <w:pPr>
        <w:pStyle w:val="TextoNormal"/>
      </w:pPr>
      <w:r>
        <w:lastRenderedPageBreak/>
        <w:t>El art. 156 LCSP fija el ámbito del procedimiento de adjudicación, en el sentido de que puede participar “todo empresario interesado”, “quedando excluida toda negociación de los términos del contrato con los licitadores” (apartado 1). A continuación, regula los plazos de presentación de proposiciones, primero para los contratos sujetos a regulación armonizada en función de su objeto: (i) contratos de obras, suministros y servicios (apartado 2 y 3) y (ii) contratos de concesiones de obras y concesiones de servicios (apartados 2 y 4). A tales efectos, el precepto fija un plazo general mínimo (treinta y cinco y treinta días, respectivamente), que en determinadas circunstancias se puede reducir por el órgano de contratación. En segundo lugar, para los no sujetos a armonización: (i) mínimo de veintiséis días, para los contratos de obras y concesión de obras y concesión de servicios; (ii) mínimo de quince días, para el resto de los contratos (apartado 6). Finalmente, fija un plazo mínimo —equivalente al fijado para los contratos no sujetos a armonización— para la publicación del anuncio de licitación. De este modo, se fija un mínimo común para garantizar la igualdad de los licitadores, así como la transparencia y publicidad, el cual no impide a la comunidad autónoma desarrollar su propia legislación ampliando o reduciendo los plazos generales de presentación de proposiciones o de publicación del anuncio de licitación dentro del respeto a la norma básica.</w:t>
      </w:r>
    </w:p>
    <w:p w:rsidR="005728DD" w:rsidRDefault="005728DD" w:rsidP="005728DD">
      <w:pPr>
        <w:pStyle w:val="TextoNormal"/>
      </w:pPr>
    </w:p>
    <w:p w:rsidR="005728DD" w:rsidRDefault="005728DD" w:rsidP="005728DD">
      <w:pPr>
        <w:pStyle w:val="TextoNormal"/>
      </w:pPr>
      <w:r>
        <w:t>Por las mismas razones también se ha de considerar básico el art. 157 LCSP relativo al examen de las proposiciones y propuesta de adjudicación. Este precepto regula la presentación y apertura de las proposiciones para garantizar la confidencialidad (apartados 1 y 2); fija un plazo máximo de veinte días para su apertura, que puede ser reducido por las comunidades autónomas (apartado 3); establece el carácter público del acto de apertura, para garantizar la transparencia y publicidad (apartado 4); e igualmente, prevé la posibilidad de solicitar cuantos informes técnicos estime oportunos el órgano de contratación, para facilitar la valoración de las proposiciones, permitiendo nuevamente la intervención autonómica en relación con su configuración y articulación (apartado 5).</w:t>
      </w:r>
    </w:p>
    <w:p w:rsidR="005728DD" w:rsidRDefault="005728DD" w:rsidP="005728DD">
      <w:pPr>
        <w:pStyle w:val="TextoNormal"/>
      </w:pPr>
    </w:p>
    <w:p w:rsidR="005728DD" w:rsidRDefault="005728DD" w:rsidP="005728DD">
      <w:pPr>
        <w:pStyle w:val="TextoNormal"/>
      </w:pPr>
      <w:r>
        <w:t>En cuanto al procedimiento abierto simplificado, el art. 159.1 LCSP delimita cuándo se puede utilizar este procedimiento, en función de la fijación de umbrales de cuantía [letra a)]; y de criterios de adjudicación [letra b)]. El precepto debe ser considerado como norma básica en cuanto determina el ámbito de aplicación de dicho procedimiento [SSTC 141/1993, FJ 6 ñ) y p), y 162/2009, FJ 4]. Esta conclusión no se ve alterada por el hecho de que los umbrales de la letra a) del art. 159.1 LCSP hayan sido modificados por la Ley 11/2020, de 30 de diciembre, de presupuestos generales del Estado del año 2021.</w:t>
      </w:r>
    </w:p>
    <w:p w:rsidR="005728DD" w:rsidRDefault="005728DD" w:rsidP="005728DD">
      <w:pPr>
        <w:pStyle w:val="TextoNormal"/>
      </w:pPr>
    </w:p>
    <w:p w:rsidR="005728DD" w:rsidRDefault="005728DD" w:rsidP="005728DD">
      <w:pPr>
        <w:pStyle w:val="TextoNormal"/>
      </w:pPr>
      <w:r>
        <w:t>Por su parte, la letra a) del apartado 4, establece como una de las especialidades procedimentales del abierto simplificado, la exigencia de que los licitadores estén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 Se trata nuevamente de una norma básica en materia de contratación pública, cosa que no impide que pueda “alcanzar algún aspecto de [los] procedimientos especiales si imponen criterios directamente vinculados a los objetivos sustantivos’ de esa legislación básica”, en este caso, la igualdad de condiciones en el acceso a la contratación pública y la seguridad jurídica [STC 55/2018, FJ 4 b)], sin que por ello se menoscabe, como aduce el recurrente, la libre concurrencia.</w:t>
      </w:r>
    </w:p>
    <w:p w:rsidR="005728DD" w:rsidRDefault="005728DD" w:rsidP="005728DD">
      <w:pPr>
        <w:pStyle w:val="TextoNormal"/>
      </w:pPr>
    </w:p>
    <w:p w:rsidR="005728DD" w:rsidRDefault="005728DD" w:rsidP="005728DD">
      <w:pPr>
        <w:pStyle w:val="TextoNormal"/>
      </w:pPr>
      <w:r>
        <w:lastRenderedPageBreak/>
        <w:t>De acuerdo con lo expuesto, procede desestimar la impugnación de los arts. 156, 157 y 159.1 y 4 a) LCSP.</w:t>
      </w:r>
    </w:p>
    <w:p w:rsidR="005728DD" w:rsidRDefault="005728DD" w:rsidP="005728DD">
      <w:pPr>
        <w:pStyle w:val="TextoNormal"/>
      </w:pPr>
    </w:p>
    <w:p w:rsidR="005728DD" w:rsidRDefault="005728DD" w:rsidP="005728DD">
      <w:pPr>
        <w:pStyle w:val="TextoNormal"/>
      </w:pPr>
      <w:r>
        <w:t>g) El art. 166 LCSP regula la delimitación de la materia de los procedimientos de adjudicación con negociación. A tales efectos, el apartado 2 establece el contenido mínimo común del pliego de cláusulas administrativas particulares. El precepto impugnado incurre, según argumenta el recurrente, en una densidad excesiva y redundante de otras disposiciones; además, de un uso generalizado de conceptos jurídicos indeterminados que genera inseguridad jurídica, contraviniendo el art. 9.3 CE.</w:t>
      </w:r>
    </w:p>
    <w:p w:rsidR="005728DD" w:rsidRDefault="005728DD" w:rsidP="005728DD">
      <w:pPr>
        <w:pStyle w:val="TextoNormal"/>
      </w:pPr>
    </w:p>
    <w:p w:rsidR="005728DD" w:rsidRDefault="005728DD" w:rsidP="005728DD">
      <w:pPr>
        <w:pStyle w:val="TextoNormal"/>
      </w:pPr>
      <w:r>
        <w:t xml:space="preserve">El art. 166.2 LCSP es una norma materialmente básica en cuanto determina el ámbito de aplicación del procedimiento negociado [SSTC 141/1993, FJ 6 ñ) y p), y 162/2009, FJ 4], con independencia de las deficiencias de técnica legislativa que se puedan apreciar en su redacción. En él se prevén reglas para garantizar la igualdad entre los licitadores —tales como determinar los aspectos económicos y técnicos que, en su caso, hayan de ser objeto de negociación; los requisitos mínimos que han de cumplir todas las ofertas; o los criterios de adjudicación—; la publicidad y transparencia del procedimiento para negociar; o el principio de seguridad jurídica que cuestiona el recurrente, al exigir que la información “será lo suficientemente precisa como para que los operadores económicos puedan identificar la naturaleza y el ámbito de la contratación y decidir si solicitan participar en el procedimiento”. Este contenido mínimo no impide que las comunidades autónomas puedan, como se afirma </w:t>
      </w:r>
      <w:r w:rsidRPr="005728DD">
        <w:rPr>
          <w:i/>
        </w:rPr>
        <w:t>passim</w:t>
      </w:r>
      <w:r>
        <w:t xml:space="preserve"> en esta sentencia en casos similares, “introducir novedades orientadas a lograr una tramitación más ágil y eficaz” (SSTC 237/2015, FJ 7, y 103/2015, FJ 6). La impugnación debe, por tanto, ser desestimada.</w:t>
      </w:r>
    </w:p>
    <w:p w:rsidR="005728DD" w:rsidRDefault="005728DD" w:rsidP="005728DD">
      <w:pPr>
        <w:pStyle w:val="TextoNormal"/>
      </w:pPr>
    </w:p>
    <w:p w:rsidR="005728DD" w:rsidRDefault="005728DD" w:rsidP="005728DD">
      <w:pPr>
        <w:pStyle w:val="TextoNormal"/>
      </w:pPr>
      <w:r>
        <w:t>h) Se recurre, en relación con el procedimiento de asociación para la innovación, el art. 177.3 a) LCSP, que remite la regulación de la fase de investigación y desarrollo de estos contratos, a “las normas que se establezcan reglamentariamente, así como por las prescripciones contenidas en los correspondientes pliegos, y supletoriamente por las normas del contrato de servicios”. La letrada del Gobierno de Aragón considera que no es constitucionalmente admisible que una norma pretendidamente básica no fije lo básico y, además, cercene la posibilidad de desarrollo reglamentario de las comunidades autónomas.</w:t>
      </w:r>
    </w:p>
    <w:p w:rsidR="005728DD" w:rsidRDefault="005728DD" w:rsidP="005728DD">
      <w:pPr>
        <w:pStyle w:val="TextoNormal"/>
      </w:pPr>
    </w:p>
    <w:p w:rsidR="005728DD" w:rsidRDefault="005728DD" w:rsidP="005728DD">
      <w:pPr>
        <w:pStyle w:val="TextoNormal"/>
      </w:pPr>
      <w:r>
        <w:t>El argumento de la parte recurrente no puede ser compartido por el tribunal, puesto que la concreción de lo básico se ha de deducir de una lectura del precepto en su conjunto. Así, el apartado primero define el procedimiento —aquel “que tiene como finalidad el desarrollo de productos, servicios u obras innovadores y la compra ulterior de los suministros, servicios u obras resultantes”—; y fija, a continuación, el contenido mínimo que el órgano de contratación tiene que dar a los pliegos de cláusulas administrativas particulares (párrafo segundo del art. 177.1 LCSP) y la forma de articular la participación de los socios (art. 177.2 LCSP). El apartado 3, que contiene la letra a) objeto de impugnación, completa la regulación básica con las reglas especiales por las que se regirán, en cada fase, los contratos así adjudicados. Estamos, por tanto, ante una norma básica que no impide la intervención de la comunidad autónoma, siempre que se interprete que la remisión normativa se efectúa a favor de la administración que sea competente en cada caso y que, aunque este precepto se refiera a una norma reglamentaria, esta previsión no determina el instrumento normativo (ley o reglamento) que pueden utilizar las comunidades autónomas para su desarrollo. Procede, pues, desestimar la impugnación.</w:t>
      </w:r>
    </w:p>
    <w:p w:rsidR="005728DD" w:rsidRDefault="005728DD" w:rsidP="005728DD">
      <w:pPr>
        <w:pStyle w:val="TextoNormal"/>
      </w:pPr>
    </w:p>
    <w:p w:rsidR="005728DD" w:rsidRDefault="005728DD" w:rsidP="005728DD">
      <w:pPr>
        <w:pStyle w:val="TextoNormal"/>
      </w:pPr>
      <w:r>
        <w:t>i) Dentro de las normas aplicables a los concursos, se impugnan los arts. 185.3 y 187.3 y 11 LCSP, a los que se critica por imponer una regulación de detalle o hacer una remisión reglamentaria que impide, en ambos casos, el desarrollo legislativo autonómico.</w:t>
      </w:r>
    </w:p>
    <w:p w:rsidR="005728DD" w:rsidRDefault="005728DD" w:rsidP="005728DD">
      <w:pPr>
        <w:pStyle w:val="TextoNormal"/>
      </w:pPr>
    </w:p>
    <w:p w:rsidR="005728DD" w:rsidRDefault="005728DD" w:rsidP="005728DD">
      <w:pPr>
        <w:pStyle w:val="TextoNormal"/>
      </w:pPr>
      <w:r>
        <w:t>El art. 185.1 LCSP regula el procedimiento para reducir o limitar el número de participantes en el concurso de proyectos, el cual se debe articular mediante dos fases: una primera, para seleccionar a los participantes entre los candidatos, aplicando los criterios del apartado 2 —dirigidos a garantizar una competencia real y efectiva entre los candidatos—; y una segunda, para invitar a los seleccionados para que presenten sus proyectos. Se puede compartir el carácter básico de ambos preceptos, y así lo hace también el recurrente, como vía para satisfacer los principios de igualdad, seguridad jurídica y libre concurrencia, que han de presidir los criterios de selección del adjudicatario [STC 84/2015, FJ 5 a)]. Sin embargo, la regulación de los párrafos primero, segundo, tercero, quinto y sexto del art. 185.3 LCSP relativa a las dos subfases en las que se debe articular la invitación a los candidatos ya seleccionados no puede considerarse básica, pues se trata de reglas de detalle de carácter formal o procedimental (cómo hacer la invitación, la presentación de la idea concisa o proyecto…). Sí tiene, en cambio, carácter básico el párrafo cuarto que regula el número mínimo de candidatos con el fin de garantizar una libre competencia real y efectiva.</w:t>
      </w:r>
    </w:p>
    <w:p w:rsidR="005728DD" w:rsidRDefault="005728DD" w:rsidP="005728DD">
      <w:pPr>
        <w:pStyle w:val="TextoNormal"/>
      </w:pPr>
    </w:p>
    <w:p w:rsidR="005728DD" w:rsidRDefault="005728DD" w:rsidP="005728DD">
      <w:pPr>
        <w:pStyle w:val="TextoNormal"/>
      </w:pPr>
      <w:r>
        <w:t>En consecuencia, procede declarar contrarios al orden constitucional de competencias los párrafos primero, segundo, tercero, quinto y sexto del art. 185.3 LCSP. Esto no conlleva su nulidad, habida cuenta que se aplican en el ámbito estatal, cosa que no ha sido objeto de controversia en el presente proceso [SSTC 50/1999, FFJJ 7 y 8, y 55/2018, FFJJ 7 b) y c)].</w:t>
      </w:r>
    </w:p>
    <w:p w:rsidR="005728DD" w:rsidRDefault="005728DD" w:rsidP="005728DD">
      <w:pPr>
        <w:pStyle w:val="TextoNormal"/>
      </w:pPr>
    </w:p>
    <w:p w:rsidR="005728DD" w:rsidRDefault="005728DD" w:rsidP="005728DD">
      <w:pPr>
        <w:pStyle w:val="TextoNormal"/>
      </w:pPr>
      <w:r>
        <w:t>El recurrente no cuestiona el carácter básico del art. 187.3 LCSP, que exige que “al menos dos tercios de los miembros del jurado deberán poseer” la misma cualificación profesional o equivalente a la requerida para participar en un concurso de proyectos. Su discrepancia gira en torno a la opción del legislador de fijar en dos tercios, y no en otro porcentaje, los jurados que han de tener la cualificación profesional. A juicio del tribunal, esta discrepancia no es un argumento suficiente para cuestionar que se trata de una norma materialmente básica que pretende garantizar la objetividad en el proceso de adjudicación del concurso. Por esta razón, la impugnación se ha de desestimar.</w:t>
      </w:r>
    </w:p>
    <w:p w:rsidR="005728DD" w:rsidRDefault="005728DD" w:rsidP="005728DD">
      <w:pPr>
        <w:pStyle w:val="TextoNormal"/>
      </w:pPr>
    </w:p>
    <w:p w:rsidR="005728DD" w:rsidRDefault="005728DD" w:rsidP="005728DD">
      <w:pPr>
        <w:pStyle w:val="TextoNormal"/>
      </w:pPr>
      <w:r>
        <w:t>Se cuestiona, finalmente, la remisión reglamentaria que realiza el apartado 11 del art. 187 LCSP para completar las normas relativas a los concursos de proyectos. Al igual que en el caso de los procedimientos de asociación para la innovación, el tribunal considera que este precepto no impide la intervención de la comunidad autónoma, siempre que se interprete que la remisión normativa se efectúa a favor de la administración que sea competente en cada caso y que, aunque este precepto se refiera a una norma reglamentaria, esta previsión no determina el instrumento normativo (ley o reglamento) que pueden utilizar las comunidades autónomas para su desarrollo.</w:t>
      </w:r>
    </w:p>
    <w:p w:rsidR="005728DD" w:rsidRDefault="005728DD" w:rsidP="005728DD">
      <w:pPr>
        <w:pStyle w:val="TextoNormal"/>
      </w:pPr>
    </w:p>
    <w:p w:rsidR="005728DD" w:rsidRDefault="005728DD" w:rsidP="005728DD">
      <w:pPr>
        <w:pStyle w:val="TextoNormal"/>
      </w:pPr>
      <w:r>
        <w:t xml:space="preserve">j) La disposición adicional vigesimosegunda de la Ley de contratos del sector público regula la adjudicación de los contratos de concesión de obras y concesión de servicios a sociedades de economía mixta. La crítica que formula el Gobierno de Aragón, en este caso, es que la regulación vulnera su potestad de autoorganización, al entender que la constitución </w:t>
      </w:r>
      <w:r>
        <w:lastRenderedPageBreak/>
        <w:t>de sociedades de economía mixta corresponde a las comunidades autónomas y que el Estado carece de título competencial.</w:t>
      </w:r>
    </w:p>
    <w:p w:rsidR="005728DD" w:rsidRDefault="005728DD" w:rsidP="005728DD">
      <w:pPr>
        <w:pStyle w:val="TextoNormal"/>
      </w:pPr>
    </w:p>
    <w:p w:rsidR="005728DD" w:rsidRDefault="005728DD" w:rsidP="005728DD">
      <w:pPr>
        <w:pStyle w:val="TextoNormal"/>
      </w:pPr>
      <w:r>
        <w:t>El objeto de la disposición adicional impugnada no es la creación de sociedades de economía mixta, sino la adjudicación de concesiones de obras o de servicios a las ya existentes o de las que se constituyan a tales efectos. Su finalidad es garantizar que la elección del socio privado “se haya efectuado de conformidad con las normas establecidas en esta ley para la adjudicación del contrato cuya ejecución constituya su objeto, y siempre que no se introduzcan modificaciones en el objeto y las condiciones del contrato que se tuvieron en cuenta en la selección del socio privado”. Estas modificaciones en todo caso han de realizarse también de conformidad con la ley. Estamos, pues, ante una norma básica insertada en los procedimientos de adjudicación que pretende evitar que, a través de la utilización de sociedades de economía mixta, se burle o no se aplique la Ley de contratos del sector público, falseando de este modo los principios de igualdad entre licitadores y de libre concurrencia.</w:t>
      </w:r>
    </w:p>
    <w:p w:rsidR="005728DD" w:rsidRDefault="005728DD" w:rsidP="005728DD">
      <w:pPr>
        <w:pStyle w:val="TextoNormal"/>
      </w:pPr>
    </w:p>
    <w:p w:rsidR="005728DD" w:rsidRDefault="005728DD" w:rsidP="005728DD">
      <w:pPr>
        <w:pStyle w:val="TextoNormal"/>
      </w:pPr>
      <w:r>
        <w:t xml:space="preserve">C) En relación con el régimen jurídico de los efectos, cumplimiento y ejecución de los contratos, han sido objeto de impugnación los arts. 191.3 b), 195, 198.2, 202, 212.8, 214.2 a) y b); 215 y 217.2 de la sección tercera, capítulo primero, título primero, del libro segundo LCSP. Se han recurrido, también, los arts. 241.3 y 242.3 del contrato de obras (sección primera y segunda del capítulo primero del título segundo); los arts. 270, 279, 280 y 283.1 párrafo segundo del contrato de concesión de obras (secciones quinta y séptima del capítulo segundo del título segundo) y los arts. 288 a) </w:t>
      </w:r>
      <w:r w:rsidRPr="005728DD">
        <w:rPr>
          <w:i/>
        </w:rPr>
        <w:t>in fine</w:t>
      </w:r>
      <w:r>
        <w:t xml:space="preserve">, 290.6 y 294 c) </w:t>
      </w:r>
      <w:r w:rsidRPr="005728DD">
        <w:rPr>
          <w:i/>
        </w:rPr>
        <w:t>in fine</w:t>
      </w:r>
      <w:r>
        <w:t xml:space="preserve"> del contrato de concesión de servicios (secciones tercera, cuarta y sexta del capítulo tercero del título segundo), todos ellos del libro segundo LCSP.</w:t>
      </w:r>
    </w:p>
    <w:p w:rsidR="005728DD" w:rsidRDefault="005728DD" w:rsidP="005728DD">
      <w:pPr>
        <w:pStyle w:val="TextoNormal"/>
      </w:pPr>
    </w:p>
    <w:p w:rsidR="005728DD" w:rsidRDefault="005728DD" w:rsidP="005728DD">
      <w:pPr>
        <w:pStyle w:val="TextoNormal"/>
      </w:pPr>
      <w:r>
        <w:t>a) En los procedimientos que se instruyan para la adopción de acuerdos relativos a las prerrogativas de la administración pública en los contratos administrativos —cuya enumeración se realiza en el art. 190 LCSP—, se introduce por el art. 191.3 LCSP el preceptivo dictamen del Consejo de Estado u órgano equivalente de las comunidades autónomas en determinados casos, entre ellos el recogido en la letra b) que es objeto de impugnación: “Las modificaciones de los contratos cuando no estuvieran previstas en el pliego de cláusulas administrativas particulares y su cuantía, aislada o conjuntamente, sea superior a un 20 por 100 del precio inicial del contrato, impuesto sobre el valor añadido excluido, y su precio sea igual o superior a 6 000 000 €”. El recurrente considera que a diferencia de lo que ocurre en otros supuestos [como el de la letra c)], no se permite a la comunidad autónoma alterar, a la baja, las cuantías de referencia del precepto.</w:t>
      </w:r>
    </w:p>
    <w:p w:rsidR="005728DD" w:rsidRDefault="005728DD" w:rsidP="005728DD">
      <w:pPr>
        <w:pStyle w:val="TextoNormal"/>
      </w:pPr>
    </w:p>
    <w:p w:rsidR="005728DD" w:rsidRDefault="005728DD" w:rsidP="005728DD">
      <w:pPr>
        <w:pStyle w:val="TextoNormal"/>
      </w:pPr>
      <w:r>
        <w:t>El tribunal considera que el art. 191.3 b) LCSP se limita a establecer un mínimo común para la emisión del preceptivo dictamen por el órgano consultivo en los casos de modificaciones contractuales no previstas en el pliego de cláusulas administrativas particulares. Este precepto debe considerarse como básico, puesto que no impide la intervención de la comunidad autónoma para, al amparo de sus competencias de desarrollo legislativo, exigir también el dictamen del órgano consultivo ante modificaciones contractuales de cuantía inferior. Por esta razón procede desestimar la impugnación.</w:t>
      </w:r>
    </w:p>
    <w:p w:rsidR="005728DD" w:rsidRDefault="005728DD" w:rsidP="005728DD">
      <w:pPr>
        <w:pStyle w:val="TextoNormal"/>
      </w:pPr>
    </w:p>
    <w:p w:rsidR="005728DD" w:rsidRDefault="005728DD" w:rsidP="005728DD">
      <w:pPr>
        <w:pStyle w:val="TextoNormal"/>
      </w:pPr>
      <w:r>
        <w:t xml:space="preserve">b) Se impugnan los arts. 195, 198.2 y 202 LCSP, los cuales regulan diversos aspectos relativos a la ejecución de los contratos, a los que se reprocha, por parte del Gobierno de </w:t>
      </w:r>
      <w:r>
        <w:lastRenderedPageBreak/>
        <w:t>Aragón, que cercenan o impiden el ejercicio de sus competencias de desarrollo legislativo en materia de contratación.</w:t>
      </w:r>
    </w:p>
    <w:p w:rsidR="005728DD" w:rsidRDefault="005728DD" w:rsidP="005728DD">
      <w:pPr>
        <w:pStyle w:val="TextoNormal"/>
      </w:pPr>
    </w:p>
    <w:p w:rsidR="005728DD" w:rsidRDefault="005728DD" w:rsidP="005728DD">
      <w:pPr>
        <w:pStyle w:val="TextoNormal"/>
      </w:pPr>
      <w:r>
        <w:t>El artículo 195 LCSP regula la resolución por demora y la ampliación del plazo de ejecución de los contratos distinguiendo dos supuestos. El primero es el de la demora en la ejecución del contrato cuando se opte por su resolución, en cuyo caso esta deberá ser acordada “por el órgano de contratación o por aquel que tenga atribuida esta competencia en las comunidades autónomas, sin otro trámite preceptivo que la audiencia del contratista y, cuando se formule oposición por parte de este, el dictamen del Consejo de Estado u órgano consultivo equivalente de la comunidad autónoma respectiva” (apartado 1). El segundo se refiere a los casos en que el retraso no fuese imputable al contratista y este ofreciera cumplir sus compromisos si se le amplía el plazo inicial de ejecución. El órgano de contratación se lo concederá “dándosele un plazo que será, por lo menos, igual al tiempo perdido, a no ser que el contratista pidiese otro menor” (apartado 2). Se trata de dos reglas que forman parte de ese mínimo común denominador que caracteriza las bases en materia de contratación pública “en cuanto permiten salvaguardar los fines públicos a que sirven los contratos administrativos” [SSTC 162/2009, FJ 4, y 84/2015, FJ 5 a)]. Estas reglas, además, no impiden la intervención autonómica tanto en relación con la determinación del órgano competente para acordar la resolución y sus condiciones, como respecto del plazo de ampliación de la ejecución del contrato, respetando el mínimo establecido por la norma estatal. Corresponde, por tanto, desestimar la impugnación.</w:t>
      </w:r>
    </w:p>
    <w:p w:rsidR="005728DD" w:rsidRDefault="005728DD" w:rsidP="005728DD">
      <w:pPr>
        <w:pStyle w:val="TextoNormal"/>
      </w:pPr>
    </w:p>
    <w:p w:rsidR="005728DD" w:rsidRDefault="005728DD" w:rsidP="005728DD">
      <w:pPr>
        <w:pStyle w:val="TextoNormal"/>
      </w:pPr>
      <w:r>
        <w:t>Por las mismas razones, se ha de considerar básico el art. 198.2 LCSP, al que el recurrente reprocha regular el expediente de pago, en aquellos casos en que el precio se pague mediante abonos a cuenta y su importe acumulado sea igual o superior, con motivo del siguiente pago, al 90 por 100 del precio del contrato incluidas, en su caso, las modificaciones aprobadas. En realidad, el precepto no regula el expediente de pago, sino que exige acompañar a él, cuando resulte preceptiva, “la comunicación efectuada a la intervención correspondiente para su eventual asistencia a la recepción en el ejercicio de sus funciones de comprobación material de la inversión”. Esta exigencia se conecta con los principios de transparencia y publicidad con la salvaguarda de los criterios que presidieron la selección del contratista, por lo que encuentra su justificación en el interés público y el control del fraude en la contratación. La impugnación se ha de desestimar.</w:t>
      </w:r>
    </w:p>
    <w:p w:rsidR="005728DD" w:rsidRDefault="005728DD" w:rsidP="005728DD">
      <w:pPr>
        <w:pStyle w:val="TextoNormal"/>
      </w:pPr>
    </w:p>
    <w:p w:rsidR="005728DD" w:rsidRDefault="005728DD" w:rsidP="005728DD">
      <w:pPr>
        <w:pStyle w:val="TextoNormal"/>
      </w:pPr>
      <w:r>
        <w:t xml:space="preserve">El art. 202 LCSP dispone que el órgano de contratación podrá establecer condiciones especiales en relación con la ejecución del contrato, siempre que estén vinculadas al objeto del contrato, no sean directa o indirectamente discriminatorias, sean compatibles con el Derecho de la Unión Europea y se indiquen en el anuncio de licitación y en los pliegos (párrafo primero del apartado 1). En relación con esas condiciones especiales, el precepto establece dos prescripciones obligatorias de carácter mínimo común que han de incluir los pliegos de cláusulas administrativas particulares: (i) al menos una ha de ser elegida entre las previstas en el apartado 2 (párrafo segundo del apartado 1); (ii) si la ejecución del contrato implica la cesión de datos, se ha de incluir una condición especial que haga referencia a la obligación del contratista de someterse a la normativa nacional y de la Unión Europea en materia de protección de datos (párrafo tercero del apartado 1). Esta exigencia se introduce tras la reforma del precepto por el Real Decreto-ley 14/2019 y no altera el fundamento de la impugnación. A los efectos de garantizar el cumplimiento de las condiciones especiales, que serán exigidas igualmente a los subcontratistas (apartado 4), pueden establecerse penalidades </w:t>
      </w:r>
      <w:r>
        <w:lastRenderedPageBreak/>
        <w:t>(apartado 3). La imposición del cumplimiento de condiciones especiales de ejecución responde a salvaguardar los fines públicos a que sirven los contratos administrativos y por ello tiene carácter básico [SSTC 162/2009, FJ 4, y 84/2015, FJ 5 a)]. Y, desde el momento en que solo se establecen dos prescripciones de obligado cumplimiento, no hay obstáculo alguno a que la comunidad autónoma pueda, en virtud de sus competencias de desarrollo legislativo, acordar sus propias prescripciones en relación con las condiciones de ejecución especial exigibles. De acuerdo con lo expuesto, se ha de desestimar la impugnación.</w:t>
      </w:r>
    </w:p>
    <w:p w:rsidR="005728DD" w:rsidRDefault="005728DD" w:rsidP="005728DD">
      <w:pPr>
        <w:pStyle w:val="TextoNormal"/>
      </w:pPr>
    </w:p>
    <w:p w:rsidR="005728DD" w:rsidRDefault="005728DD" w:rsidP="005728DD">
      <w:pPr>
        <w:pStyle w:val="TextoNormal"/>
      </w:pPr>
      <w:r>
        <w:t>c) En cuanto a la extinción de los contratos, el art. 212.8 LCSP dispone que los expedientes de resolución contractual deberán ser instruidos y resueltos en el plazo máximo de ocho meses. El tribunal considera fundada la pretensión del recurrente, por cuanto se trata de una norma de naturaleza auxiliar y procedimental que no puede ser considerada básica. La regulación relativa a la duración de la tramitación de los expedientes de resolución contractual podría ser sustituida por otra elaborada por las comunidades autónomas con competencia para ello, sin merma de la eficacia de los principios básicos en materia de contratación pública (STC 141/1993, FJ 5).</w:t>
      </w:r>
    </w:p>
    <w:p w:rsidR="005728DD" w:rsidRDefault="005728DD" w:rsidP="005728DD">
      <w:pPr>
        <w:pStyle w:val="TextoNormal"/>
      </w:pPr>
    </w:p>
    <w:p w:rsidR="005728DD" w:rsidRDefault="005728DD" w:rsidP="005728DD">
      <w:pPr>
        <w:pStyle w:val="TextoNormal"/>
      </w:pPr>
      <w:r>
        <w:t>Por tanto, procede declarar contrario al orden constitucional de competencias al art. 212.8 LCSP. No se precisa pronunciar su nulidad, dado que la consecuencia de aquella declaración es solamente la de que no será aplicable a los contratos suscritos por las administraciones de las comunidades autónomas, las corporaciones locales y las entidades vinculadas a unas y otras [SSTC 50/1999, FFJJ 7 y 8, y 55/2018, FFJJ 7 b) y c)].</w:t>
      </w:r>
    </w:p>
    <w:p w:rsidR="005728DD" w:rsidRDefault="005728DD" w:rsidP="005728DD">
      <w:pPr>
        <w:pStyle w:val="TextoNormal"/>
      </w:pPr>
    </w:p>
    <w:p w:rsidR="005728DD" w:rsidRDefault="005728DD" w:rsidP="005728DD">
      <w:pPr>
        <w:pStyle w:val="TextoNormal"/>
      </w:pPr>
      <w:r>
        <w:t>d) Son también objeto de impugnación los arts. 214.2 a) y b), 215 y 217.2 LCSP, respecto de la cesión de contratos y subcontratación, al considerar la letrada del Gobierno aragonés que impiden el ejercicio de sus competencias de desarrollo legislativo en materia de contratación y vulneran su potestad de autoorganización.</w:t>
      </w:r>
    </w:p>
    <w:p w:rsidR="005728DD" w:rsidRDefault="005728DD" w:rsidP="005728DD">
      <w:pPr>
        <w:pStyle w:val="TextoNormal"/>
      </w:pPr>
    </w:p>
    <w:p w:rsidR="005728DD" w:rsidRDefault="005728DD" w:rsidP="005728DD">
      <w:pPr>
        <w:pStyle w:val="TextoNormal"/>
      </w:pPr>
      <w:r>
        <w:t>En relación con el art. 214.2 a) y b) LCSP, el recurrente considera que los requisitos fijados por la norma estatal para la cesión de contratos establecen prescripciones que atañen a su organización interna. Los requisitos cuestionados son dos: (i) la exigencia de una autorización expresa y previa de la cesión por el órgano de contratación; fijando un plazo para su notificación (dos meses) y la regla del silencio administrativo positivo [letra a)]; (ii) el exigir un porcentaje mínimo de ejecución (20 por 100) o temporal de explotación (durante al menos una quinta parte del plazo de duración del contrato), no aplicable a los supuestos en que el contratista se halle en concurso [letra b)]. El art. 214.2 en su conjunto tiene como finalidad establecer unos requisitos mínimos comunes para que la cesión se realice garantizando los fines públicos a que sirven los contratos administrativos, con el fin de que no se produzca una alteración fraudulenta de los criterios que presidieron la selección del contratista. El tribunal considera que estos requisitos, por su carácter de mínimos, podrán ser incrementados por el órgano de contratación con sujeción tanto a la norma estatal, como a las previsiones que las comunidades autónomas adopten en virtud de sus competencias.</w:t>
      </w:r>
    </w:p>
    <w:p w:rsidR="005728DD" w:rsidRDefault="005728DD" w:rsidP="005728DD">
      <w:pPr>
        <w:pStyle w:val="TextoNormal"/>
      </w:pPr>
    </w:p>
    <w:p w:rsidR="005728DD" w:rsidRDefault="005728DD" w:rsidP="005728DD">
      <w:pPr>
        <w:pStyle w:val="TextoNormal"/>
      </w:pPr>
      <w:r>
        <w:t xml:space="preserve">Los requisitos previstos en las letras a) y b) del art. 214. 2 LCSP tienen, por tanto, carácter básico, con una salvedad: el inciso final de la letra a). Este inciso, en el que se establece que “[e]l plazo para la notificación de la resolución sobre la solicitud de autorización será de dos meses, trascurrido el cual deberá entenderse otorgada por silencio administrativo”, se encuentra amparado en las competencias en materia de procedimiento administrativo común </w:t>
      </w:r>
      <w:r>
        <w:lastRenderedPageBreak/>
        <w:t>que atribuye al Estado el art. 149.1.18 CE. Conforme a lo que se ha razonado en el fundamento jurídico 5 D) se trata de una regla de “procedimiento administrativo común singular”, entendido como el establecido en la órbita del artículo 149.1.18 CE y de manera abstracta para una forma específica de potestad o actividad de la administración. La aplicación de esta doctrina conlleva que el inciso final del art. 214.2 a) LCSP es conforme con el orden constitucional de competencias.</w:t>
      </w:r>
    </w:p>
    <w:p w:rsidR="005728DD" w:rsidRDefault="005728DD" w:rsidP="005728DD">
      <w:pPr>
        <w:pStyle w:val="TextoNormal"/>
      </w:pPr>
    </w:p>
    <w:p w:rsidR="005728DD" w:rsidRDefault="005728DD" w:rsidP="005728DD">
      <w:pPr>
        <w:pStyle w:val="TextoNormal"/>
      </w:pPr>
      <w:r>
        <w:t>El art. 215 LCSP, cuyo apartado cuarto ha sido modificado por el Real Decreto-ley 14/2019, regula la subcontratación. Esta modificación no altera el fundamento del motivo de impugnación. Aunque el recurso se dirige contra el precepto en su totalidad, las críticas se centran fundamentalmente en el apartado 2. El Gobierno aragonés sostiene que, mientras que en el apartado 1, como regla general, se contempla la posibilidad de que los pliegos permitan la subcontratación, acto seguido se fijan unos requisitos de obligado cumplimiento (apartado 2) para el supuesto en que aquella tenga lugar. En su opinión, todos estos aspectos son susceptibles de ser regulados por las comunidades autónomas.</w:t>
      </w:r>
    </w:p>
    <w:p w:rsidR="005728DD" w:rsidRDefault="005728DD" w:rsidP="005728DD">
      <w:pPr>
        <w:pStyle w:val="TextoNormal"/>
      </w:pPr>
    </w:p>
    <w:p w:rsidR="005728DD" w:rsidRDefault="005728DD" w:rsidP="005728DD">
      <w:pPr>
        <w:pStyle w:val="TextoNormal"/>
      </w:pPr>
      <w:r>
        <w:t>Los requisitos fijados en el art. 215.2 LCSP tienen carácter básico por las razones expuestas en este apartado en relación con la cesión de contratos. El carácter básico, en este caso, incluye el plazo de veinte días que se fija en la letra c) para los subcontratos que no se ajusten a lo previamente indicado en la oferta —“por celebrarse con empresarios distintos de los indicados nominativamente en la misma o por referirse a partes de la prestación diferentes a las señaladas en ella”—, pues se conecta con los principios de transparencia y publicidad con la salvaguarda de los criterios que presidieron la selección del contratista. El resto de los apartados termina por configurar, con carácter básico, la figura de la subcontratación. Corresponde, pues, que la impugnación sea desestimada.</w:t>
      </w:r>
    </w:p>
    <w:p w:rsidR="005728DD" w:rsidRDefault="005728DD" w:rsidP="005728DD">
      <w:pPr>
        <w:pStyle w:val="TextoNormal"/>
      </w:pPr>
    </w:p>
    <w:p w:rsidR="005728DD" w:rsidRDefault="005728DD" w:rsidP="005728DD">
      <w:pPr>
        <w:pStyle w:val="TextoNormal"/>
      </w:pPr>
      <w:r>
        <w:t>Por último, el art. 217.2 LCSP establece cuándo han de realizarse las actuaciones de comprobación de los pagos, que los contratistas adjudicatarios han de hacer a todos los subcontratistas o suministradores (apartado 1), y de imposición de penalidades, en su caso. La letrada del Gobierno de Aragón cuestiona que el precepto fije la obligatoriedad en función del valor estimado de los contratos de obras y servicios (más de 5 millones de euros) y del porcentaje que el importe de la subcontratación representa en el precio del contrato (igual o superior al 30 por 100). Igualmente, cuestiona atribuir al Ministerio de Hacienda y Función Pública la posibilidad de ampliar el ámbito mínimo común de los contratos sujetos a las actuaciones obligatorias de comprobación e imposición de penalidades.</w:t>
      </w:r>
    </w:p>
    <w:p w:rsidR="005728DD" w:rsidRDefault="005728DD" w:rsidP="005728DD">
      <w:pPr>
        <w:pStyle w:val="TextoNormal"/>
      </w:pPr>
    </w:p>
    <w:p w:rsidR="005728DD" w:rsidRDefault="005728DD" w:rsidP="005728DD">
      <w:pPr>
        <w:pStyle w:val="TextoNormal"/>
      </w:pPr>
      <w:r>
        <w:t>El precepto es básico, pues pretende asegurar la ejecución de los contratos de acuerdo con los fines públicos a los que sirven [SSTC 162/2009, FJ 4, y 84/2015, FJ 5 a)] evitando los perjuicios que se derivan de la morosidad. Esta previsión beneficia, de modo muy especial, a las PYMES que desarrollan estas actividades de subcontratación o suministro, reforzando el principio de libre concurrencia. Por otra parte, esta previsión básica no impide la intervención de la comunidad autónoma, reduciendo el umbral del carácter obligatorio de las actuaciones de comprobación e imposición de penalidades. Por ello, la impugnación debe ser desestimada.</w:t>
      </w:r>
    </w:p>
    <w:p w:rsidR="005728DD" w:rsidRDefault="005728DD" w:rsidP="005728DD">
      <w:pPr>
        <w:pStyle w:val="TextoNormal"/>
      </w:pPr>
    </w:p>
    <w:p w:rsidR="005728DD" w:rsidRDefault="005728DD" w:rsidP="005728DD">
      <w:pPr>
        <w:pStyle w:val="TextoNormal"/>
      </w:pPr>
      <w:r>
        <w:t xml:space="preserve">e) Dentro del régimen específico del contrato de obras, se recurre, en primer lugar, el art. 241.3 LCSP, en el que se fijan las condiciones a las que se sujeta la contratación de obras a tanto alzado con precio cerrado. Se alega que su regulación excede del concepto material de </w:t>
      </w:r>
      <w:r>
        <w:lastRenderedPageBreak/>
        <w:t>bases por su excesivo detalle y agotamiento de la posible regulación de la comunidad autónoma.</w:t>
      </w:r>
    </w:p>
    <w:p w:rsidR="005728DD" w:rsidRDefault="005728DD" w:rsidP="005728DD">
      <w:pPr>
        <w:pStyle w:val="TextoNormal"/>
      </w:pPr>
    </w:p>
    <w:p w:rsidR="005728DD" w:rsidRDefault="005728DD" w:rsidP="005728DD">
      <w:pPr>
        <w:pStyle w:val="TextoNormal"/>
      </w:pPr>
      <w:r>
        <w:t>El contrato de obras a tanto alzado, con precio cerrado, tiene como efecto que, en estos casos, “el precio ofertado por el adjudicatario se mantendrá invariable no siendo abonables las modificaciones del contrato que sean necesarias para corregir errores u omisiones padecidos en la redacción del proyecto” (art. 241.2 LCSP). La singularidad de esta regla es lo que explica las condiciones fijadas por el art. 241.3: estar prevista de forma expresa en el pliego de cláusulas administrativas particulares del contrato [letra a)]; asegurar la correspondencia del proyecto con la obra y el conocimiento por el contratista de las condiciones de ejecución [letra b)]; carácter mensual del abono del precio cerrado correspondiente a los elementos del contrato o unidades de obra [letra c)]; el régimen de las variantes sobre determinados elementos o unidades de obra [letra d)]. El precepto es una norma materialmente básica cuyo objeto es garantizar los principios de transparencia, igualdad y seguridad jurídica en la ejecución del contrato de obras a tanto alzado con precio cerrado (STC 141/1993, FJ 5). La comunidad autónoma tiene margen para desarrollar sus propias prescripciones de detalle situándose en una posición intermedia entre el legislador básico estatal y el órgano de contratación. Por esta razón, se ha de desestimar la impugnación.</w:t>
      </w:r>
    </w:p>
    <w:p w:rsidR="005728DD" w:rsidRDefault="005728DD" w:rsidP="005728DD">
      <w:pPr>
        <w:pStyle w:val="TextoNormal"/>
      </w:pPr>
    </w:p>
    <w:p w:rsidR="005728DD" w:rsidRDefault="005728DD" w:rsidP="005728DD">
      <w:pPr>
        <w:pStyle w:val="TextoNormal"/>
      </w:pPr>
      <w:r>
        <w:t>En segundo lugar, se impugna el art. 242.3 LCSP relativo a las modificaciones que contemplen unidades de obra que hayan de quedar posterior y definitivamente ocultas, antes de efectuar la medición parcial de ellas. La crítica recae en la exigencia de comunicarlas a la intervención de la administración correspondiente, con una antelación mínima de cinco días, para que realice, si lo considera oportuno, funciones de comprobación. El Gobierno de Aragón sostiene que esta previsión vulnera la potestad de autoorganización. El tribunal considera que el precepto, cuya finalidad es garantizar la transparencia y libre concurrencia en el complejo ámbito de las modificaciones de obra, deja incólumes las competencias autonómicas. Se limita a establecer como mecanismo mínimo común la exigencia de la comunicación a la intervención. Cómo ha de producirse esta, su carácter e intensidad, podrá determinarlo la comunidad autónoma en virtud de sus competencias de desarrollo legislativo.</w:t>
      </w:r>
    </w:p>
    <w:p w:rsidR="005728DD" w:rsidRDefault="005728DD" w:rsidP="005728DD">
      <w:pPr>
        <w:pStyle w:val="TextoNormal"/>
      </w:pPr>
    </w:p>
    <w:p w:rsidR="005728DD" w:rsidRDefault="005728DD" w:rsidP="005728DD">
      <w:pPr>
        <w:pStyle w:val="TextoNormal"/>
      </w:pPr>
      <w:r>
        <w:t>El carácter básico que se reconoce a la comunicación a la intervención no puede predicarse respecto de la regulación concreta del plazo, la cual tiene un carácter accesorio o complementario y solo de forma indirecta guarda conexión con los principios básicos de trasparencia y libre competencia. La prescripción relativa al plazo puede ser sustituida por otra elaborada por la comunidad autónoma en el ámbito de sus competencias (STC 141/1993, FFJJ 5 y 6), por lo que no tiene carácter básico y debe, por ello, declararse contrario al orden constitucional de competencia el inciso “con una antelación mínima de cinco días” del art. 242.3 LCSP. Esta declaración no implica su nulidad, puesto que solamente será aplicable a los contratos suscritos por la administración general del Estado y las entidades a ella vinculadas [SSTC 50/1999, FFJJ 7 y 8, y 55/2018, FFJJ 7 b) y c)].</w:t>
      </w:r>
    </w:p>
    <w:p w:rsidR="005728DD" w:rsidRDefault="005728DD" w:rsidP="005728DD">
      <w:pPr>
        <w:pStyle w:val="TextoNormal"/>
      </w:pPr>
    </w:p>
    <w:p w:rsidR="005728DD" w:rsidRDefault="005728DD" w:rsidP="005728DD">
      <w:pPr>
        <w:pStyle w:val="TextoNormal"/>
      </w:pPr>
      <w:r>
        <w:t>f) Los arts. 270, 279, 280 y 283.1, párrafo segundo, LCSP del contrato de concesión de obras son recurridos, sustancialmente, por no dejar margen de maniobra al legislador autonómico.</w:t>
      </w:r>
    </w:p>
    <w:p w:rsidR="005728DD" w:rsidRDefault="005728DD" w:rsidP="005728DD">
      <w:pPr>
        <w:pStyle w:val="TextoNormal"/>
      </w:pPr>
    </w:p>
    <w:p w:rsidR="005728DD" w:rsidRDefault="005728DD" w:rsidP="005728DD">
      <w:pPr>
        <w:pStyle w:val="TextoNormal"/>
      </w:pPr>
      <w:r>
        <w:t xml:space="preserve">En relación con los arts. 270 —relativo al mantenimiento del equilibrio económico del contrato—, 279 —causas de resolución del contrato— y 280 —efectos de la resolución—, </w:t>
      </w:r>
      <w:r>
        <w:lastRenderedPageBreak/>
        <w:t>el reproche del recurrente se centra más en la opción regulatoria adoptada por el legislador estatal que en cuestionar su carácter básico. A juicio del recurrente, estos preceptos producen un claro desequilibrio contractual en perjuicio de la administración pública, en detrimento de los intereses públicos y en beneficio del contratista.</w:t>
      </w:r>
    </w:p>
    <w:p w:rsidR="005728DD" w:rsidRDefault="005728DD" w:rsidP="005728DD">
      <w:pPr>
        <w:pStyle w:val="TextoNormal"/>
      </w:pPr>
    </w:p>
    <w:p w:rsidR="005728DD" w:rsidRDefault="005728DD" w:rsidP="005728DD">
      <w:pPr>
        <w:pStyle w:val="TextoNormal"/>
      </w:pPr>
      <w:r>
        <w:t>Más allá de que se puedan compartir o no los argumentos esgrimidos de un modo genérico por el recurrente, lo relevante a los efectos del presente conflicto competencial es que se trata de normas materialmente básicas. Por una parte, el principio de mantener el equilibrio económico del contrato —permitiendo modificar el régimen de la concesión— es el correlato del principio de riesgo y ventura del contratista, según el cual, en este caso, el riesgo operacional ha de trasladarse al concesionario. Se trata, pues, de principios generales de la contratación pública (STC 118/1996, FJ 32). Por otra parte, la regulación de las causas de resolución del contrato y sus efectos, en cuanto permiten salvaguardar los fines públicos a los que sirven los contratos, forma parte indisoluble del mínimo común denominador que caracteriza las bases en materia de contratación pública [SSTC 162/2009, FJ 4, y 84/2015, FJ 5 a)]. Corresponde, pues, desestimar la impugnación.</w:t>
      </w:r>
    </w:p>
    <w:p w:rsidR="005728DD" w:rsidRDefault="005728DD" w:rsidP="005728DD">
      <w:pPr>
        <w:pStyle w:val="TextoNormal"/>
      </w:pPr>
    </w:p>
    <w:p w:rsidR="005728DD" w:rsidRDefault="005728DD" w:rsidP="005728DD">
      <w:pPr>
        <w:pStyle w:val="TextoNormal"/>
      </w:pPr>
      <w:r>
        <w:t>Respecto del párrafo segundo del art. 283.1 LCSP, regulador del destino de las obras cuando se extingue la concesión, la crítica se funda en la remisión a otro precepto, el art. 243, que no tiene carácter básico. El tribunal estima que lo que tiene carácter básico es la obligación de levantar un acta de recepción formal. Esta cuestión no es discutida por la parte recurrente. Estima también que no tiene carácter básico el contenido y el modo en que se levanta dicha acta, objeto de regulación en el art. 243 LCSP. Por ello, procede desestimar la impugnación.</w:t>
      </w:r>
    </w:p>
    <w:p w:rsidR="005728DD" w:rsidRDefault="005728DD" w:rsidP="005728DD">
      <w:pPr>
        <w:pStyle w:val="TextoNormal"/>
      </w:pPr>
    </w:p>
    <w:p w:rsidR="005728DD" w:rsidRDefault="005728DD" w:rsidP="005728DD">
      <w:pPr>
        <w:pStyle w:val="TextoNormal"/>
      </w:pPr>
      <w:r>
        <w:t>g) En relación con el régimen jurídico de los contratos de concesión de servicios, se recurren los arts. 288 a</w:t>
      </w:r>
      <w:r w:rsidRPr="005728DD">
        <w:rPr>
          <w:i/>
        </w:rPr>
        <w:t>) in fi</w:t>
      </w:r>
      <w:r>
        <w:t>ne, 290.6 y 294 c</w:t>
      </w:r>
      <w:r w:rsidRPr="005728DD">
        <w:rPr>
          <w:i/>
        </w:rPr>
        <w:t>) in fi</w:t>
      </w:r>
      <w:r>
        <w:t>ne LCSP.</w:t>
      </w:r>
    </w:p>
    <w:p w:rsidR="005728DD" w:rsidRDefault="005728DD" w:rsidP="005728DD">
      <w:pPr>
        <w:pStyle w:val="TextoNormal"/>
      </w:pPr>
    </w:p>
    <w:p w:rsidR="005728DD" w:rsidRDefault="005728DD" w:rsidP="005728DD">
      <w:pPr>
        <w:pStyle w:val="TextoNormal"/>
      </w:pPr>
      <w:r>
        <w:t xml:space="preserve">En la ejecución del contrato de concesión de servicios y entre las obligaciones que ha de cumplir el concesionario, el art. 288 a) </w:t>
      </w:r>
      <w:r w:rsidRPr="005728DD">
        <w:rPr>
          <w:i/>
        </w:rPr>
        <w:t>in fine</w:t>
      </w:r>
      <w:r>
        <w:t>, dispone que, en caso de extinción del contrato por cumplimiento, “el contratista deberá seguir prestando el servicio hasta que se formalice el nuevo contrato”. Esta previsión cercena, según el recurrente, sus competencias de desarrollo y ejecución en materia de contratación. El precepto establece una regla mínima común, cuyo fin es asegurar la continuidad en la prestación del servicio como reverso del derecho de los usuarios a disfrutar de dicho de servicio —en ocasiones configurado como servicio público— de una manera regular y continua, pero esto no significa que sea de forma permanente. Se trata de un precepto básico para garantizar los fines públicos a los que sirve este contrato de concesión de servicios [SSTC 162/2009, FJ 4, y 84/2015, FJ 5 a)]. Se ha de desestimar, por tanto, la impugnación.</w:t>
      </w:r>
    </w:p>
    <w:p w:rsidR="005728DD" w:rsidRDefault="005728DD" w:rsidP="005728DD">
      <w:pPr>
        <w:pStyle w:val="TextoNormal"/>
      </w:pPr>
    </w:p>
    <w:p w:rsidR="005728DD" w:rsidRDefault="005728DD" w:rsidP="005728DD">
      <w:pPr>
        <w:pStyle w:val="TextoNormal"/>
      </w:pPr>
      <w:r>
        <w:t>Respecto del art. 290.6 LCSP, relativo al mantenimiento del equilibrio económico, el recurrente utiliza la misma argumentación esgrimida respecto de los arts. 270, 279 y 280 LCSP ya examinados, relativos al contrato de concesión de obras. Nos remitimos a la respuesta allí dada, con arreglo a la cual procede desestimar la impugnación.</w:t>
      </w:r>
    </w:p>
    <w:p w:rsidR="005728DD" w:rsidRDefault="005728DD" w:rsidP="005728DD">
      <w:pPr>
        <w:pStyle w:val="TextoNormal"/>
      </w:pPr>
    </w:p>
    <w:p w:rsidR="005728DD" w:rsidRDefault="005728DD" w:rsidP="005728DD">
      <w:pPr>
        <w:pStyle w:val="TextoNormal"/>
      </w:pPr>
      <w:r>
        <w:t xml:space="preserve">El art. 294 c) </w:t>
      </w:r>
      <w:r w:rsidRPr="005728DD">
        <w:rPr>
          <w:i/>
        </w:rPr>
        <w:t>in fine</w:t>
      </w:r>
      <w:r>
        <w:t xml:space="preserve"> LCSP establece, en relación con el rescate del servicio para su gestión directa por la administración como causa de resolución del contrato, la necesidad de “la </w:t>
      </w:r>
      <w:r>
        <w:lastRenderedPageBreak/>
        <w:t>acreditación de que dicha gestión directa es más eficaz y eficiente que la concesional”. Entiende la letrada del Gobierno de Aragón que se vulnera la potestad de autoorganización al limitar la valoración del interés público a la eficacia y eficiencia de la gestión. Esta norma no prejuzga la decisión que puedan adoptar las comunidades autónomas en cuanto al rescate, más allá de no poder desconocer que, como dispone el art. 7.2 de la Ley Orgánica 2/2012, de 27 de abril, de estabilidad presupuestaria y sostenibilidad financiera, la gestión de los recursos públicos estará orientada por la eficacia, la eficiencia, la economía y la calidad. Por otra parte, el precepto es materialmente básico, pues tiene por objeto proporcionar una eficaz, eficiente y sostenible utilización de los fondos públicos destinados a la contratación de servicios “mediante la exigencia de la definición previa de las necesidades a satisfacer, la salvaguarda de la libre competencia y la selección de la oferta económicamente más ventajosa” [STC 84/2015, de 30 de abril, FJ 5 a)]. Conforme al razonamiento expuesto, procede desestimar la impugnación.</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Impugnación de preceptos relativos a la organización administrativa para la gestión de la contratación</w:t>
      </w:r>
      <w:r>
        <w:t>.</w:t>
      </w:r>
    </w:p>
    <w:p w:rsidR="005728DD" w:rsidRDefault="005728DD" w:rsidP="005728DD">
      <w:pPr>
        <w:pStyle w:val="TextoNormal"/>
      </w:pPr>
    </w:p>
    <w:p w:rsidR="005728DD" w:rsidRDefault="005728DD" w:rsidP="005728DD">
      <w:pPr>
        <w:pStyle w:val="TextoNormal"/>
      </w:pPr>
      <w:r>
        <w:t>A) En relación con los órganos consultivos en materia de contratación pública se han recurrido, por el Gobierno de Aragón, los arts. 331, 332, 333.3 y 6, y 334.1 (capítulo tercero del título primero del libro cuarto).</w:t>
      </w:r>
    </w:p>
    <w:p w:rsidR="005728DD" w:rsidRDefault="005728DD" w:rsidP="005728DD">
      <w:pPr>
        <w:pStyle w:val="TextoNormal"/>
      </w:pPr>
    </w:p>
    <w:p w:rsidR="005728DD" w:rsidRDefault="005728DD" w:rsidP="005728DD">
      <w:pPr>
        <w:pStyle w:val="TextoNormal"/>
      </w:pPr>
      <w:r>
        <w:t>a) El art. 331 LCSP establece el deber de las comunidades autónomas de remitir, en formato electrónico y con una periodicidad de, al menos, cada tres años, una documentación que comprenda informes que versarán, entre otros aspectos, sobre el nivel de participación de las PYMES en la contratación; datos estadísticos de contratos no sujetos a regulación armonizada; órganos encargados de dar cumplimiento a las obligaciones derivadas del Derecho europeo en materia de contratación; deficiencias más relevantes en materia de contratación, tales como incumplimientos, fraude, corrupción, conflictos de intereses, etc.; y la información referida a los órganos de contratación de las administraciones locales. Tras la reforma operada por el Real Decreto-ley 3/2020, se ha añadido un inciso final al último párrafo, para extender la información a la actividad de las entidades vinculadas o dependientes de las administraciones locales.</w:t>
      </w:r>
    </w:p>
    <w:p w:rsidR="005728DD" w:rsidRDefault="005728DD" w:rsidP="005728DD">
      <w:pPr>
        <w:pStyle w:val="TextoNormal"/>
      </w:pPr>
    </w:p>
    <w:p w:rsidR="005728DD" w:rsidRDefault="005728DD" w:rsidP="005728DD">
      <w:pPr>
        <w:pStyle w:val="TextoNormal"/>
      </w:pPr>
      <w:r>
        <w:t xml:space="preserve">El recurrente aduce que esta exigencia de información implica una supervisión de la actuación autonómica incompatible con su autonomía. El tribunal entiende que lejos de establecer fórmula alguna de control o supervisión, el precepto básico impugnado se incardina en el marco de la colaboración y la lealtad institucional, pues tiene la finalidad de garantizar los principios generales de transparencia, publicidad e información en materia de contratación pública (STC 141/1993, FJ 5). Se trata, en efecto, de una mera obligación de información </w:t>
      </w:r>
      <w:r w:rsidRPr="005728DD">
        <w:rPr>
          <w:i/>
        </w:rPr>
        <w:t>ex post</w:t>
      </w:r>
      <w:r>
        <w:t xml:space="preserve"> acerca de la actividad de contratación autonómica y local para dar cumplimiento, entre otros, a los requerimientos de la Comisión Europea o la necesidad de elaborar la estrategia nacional. La impugnación debe ser desestimada.</w:t>
      </w:r>
    </w:p>
    <w:p w:rsidR="005728DD" w:rsidRDefault="005728DD" w:rsidP="005728DD">
      <w:pPr>
        <w:pStyle w:val="TextoNormal"/>
      </w:pPr>
    </w:p>
    <w:p w:rsidR="005728DD" w:rsidRDefault="005728DD" w:rsidP="005728DD">
      <w:pPr>
        <w:pStyle w:val="TextoNormal"/>
      </w:pPr>
      <w:r>
        <w:t xml:space="preserve">b) El Gobierno aragonés critica al art. 332 LCSP que atribuya a la Oficina Independiente de Regulación y Supervisión de la Contratación el ejercicio de unas funciones —velar por la correcta aplicación de la legislación y, en particular, promover la concurrencia y combatir las ilegalidades, en relación con la contratación pública (apartado 1)— que, respecto de la actuación autonómica aragonesa, corresponderían únicamente a los órganos propios de la </w:t>
      </w:r>
      <w:r>
        <w:lastRenderedPageBreak/>
        <w:t>comunidad autónoma y a los órganos judiciales. Es a su juicio irrelevante que, en el apartado 12, se contemple la posibilidad de crear por las comunidades autónomas sus propias oficinas de supervisión.</w:t>
      </w:r>
    </w:p>
    <w:p w:rsidR="005728DD" w:rsidRDefault="005728DD" w:rsidP="005728DD">
      <w:pPr>
        <w:pStyle w:val="TextoNormal"/>
      </w:pPr>
    </w:p>
    <w:p w:rsidR="005728DD" w:rsidRDefault="005728DD" w:rsidP="005728DD">
      <w:pPr>
        <w:pStyle w:val="TextoNormal"/>
      </w:pPr>
      <w:r>
        <w:t>La Oficina ejerce un amplio abanico de funciones de coordinación y supervisión del conjunto del sector público de contratación (apartado 6). En el ejercicio de algunas de ellas, como ocurre con el diseño y ejecución de la estrategia nacional de contratación pública, se invoca expresamente la coordinación con las comunidades autónomas y entidades locales [apartado 7 a)]; y, en otras, se limitan sus efectos de forma exclusiva al sector público estatal, como sucede con el carácter obligatorio de las instrucciones de la oficina [apartado 7 d)]. El tribunal considera que, al igual que sucede con la Junta Consultiva de Contratación Pública del Estado y las juntas autonómicas, esta oficina de ámbito estatal, cuya regulación básica establece el precepto recurrido, puede convivir con las oficinas que en su caso sean creadas por las comunidades autónomas y con el sistema de supervisión que estas diseñen, sin que por ello se aprecie vulneración alguna de las competencias autonómicas en materia de contratación o de su potestad de autoorganización.</w:t>
      </w:r>
    </w:p>
    <w:p w:rsidR="005728DD" w:rsidRDefault="005728DD" w:rsidP="005728DD">
      <w:pPr>
        <w:pStyle w:val="TextoNormal"/>
      </w:pPr>
    </w:p>
    <w:p w:rsidR="005728DD" w:rsidRDefault="005728DD" w:rsidP="005728DD">
      <w:pPr>
        <w:pStyle w:val="TextoNormal"/>
      </w:pPr>
      <w:r>
        <w:t>c) Se recurren los apartados 3 y 6 del art. 333 LCSP que regulan la oficina nacional de evaluación. La representación procesal del Gobierno aragonés argumenta que estas disposiciones vulneran la prohibición del control o supervisión de la actuación autonómica.</w:t>
      </w:r>
    </w:p>
    <w:p w:rsidR="005728DD" w:rsidRDefault="005728DD" w:rsidP="005728DD">
      <w:pPr>
        <w:pStyle w:val="TextoNormal"/>
      </w:pPr>
    </w:p>
    <w:p w:rsidR="005728DD" w:rsidRDefault="005728DD" w:rsidP="005728DD">
      <w:pPr>
        <w:pStyle w:val="TextoNormal"/>
      </w:pPr>
      <w:r>
        <w:t>En el apartado 3 se prevé la evacuación por la oficina de un informe preceptivo y no vinculante con carácter previo “a la licitación de los contratos de concesión de obras y de concesión de servicios a celebrar por los poderes adjudicadores y entidades adjudicadoras, así como por otros entes, organismos y entidades dependientes de la administración general del Estado y de las corporaciones locales”, en determinados casos (aportación de fondos públicos; tarifa asumida por el concedente total o parcialmente; o acuerdos de restablecimiento del equilibrio del contrato). Y en el apartado 6 se exige la motivación por parte de la administración o entidad destinataria del informe, cuando esta se aparte de sus recomendaciones. Esta motivación se plasmará en el pertinente informe “que se incorporará al expediente del correspondiente contrato y que será objeto de publicación en su perfil de contratante y en la plataforma de contratación del sector público”.</w:t>
      </w:r>
    </w:p>
    <w:p w:rsidR="005728DD" w:rsidRDefault="005728DD" w:rsidP="005728DD">
      <w:pPr>
        <w:pStyle w:val="TextoNormal"/>
      </w:pPr>
    </w:p>
    <w:p w:rsidR="005728DD" w:rsidRDefault="005728DD" w:rsidP="005728DD">
      <w:pPr>
        <w:pStyle w:val="TextoNormal"/>
      </w:pPr>
      <w:r>
        <w:t>Los preceptos impugnados se configuran como normas materialmente básicas mediante las cuales se pretende satisfacer el principio de sostenibilidad financiera, garantizando una eficaz, eficiente y sostenible utilización de los fondos públicos destinados a la contratación de concesiones de obras o de servicios en las que están presentes, de algún modo, las aportaciones de recursos públicos [STC 84/2015, de 30 de abril, FJ 5 a)] y, a la vez, los principios de transparencia, publicidad e información (STC 141/1993, FJ 5). Por otra parte, el tribunal entiende que es difícil hablar de control o supervisión cuando se prevé expresamente que cada comunidad autónoma “podrá adherirse a la oficina nacional de evaluación para que realice dichos informes o si hubiera creado un órgano u organismo equivalente solicitará estos informes preceptivos al mismo cuando afecte a sus contratos de concesión” (párrafo cuarto del art. 333.3 LCSP). Corresponde, por tanto, desestimar la impugnación.</w:t>
      </w:r>
    </w:p>
    <w:p w:rsidR="005728DD" w:rsidRDefault="005728DD" w:rsidP="005728DD">
      <w:pPr>
        <w:pStyle w:val="TextoNormal"/>
      </w:pPr>
    </w:p>
    <w:p w:rsidR="005728DD" w:rsidRDefault="005728DD" w:rsidP="005728DD">
      <w:pPr>
        <w:pStyle w:val="TextoNormal"/>
      </w:pPr>
      <w:r>
        <w:t>d) El art. 334.1 LCSP es objeto de impugnación argumentando que el carácter vinculante de la estrategia nacional de contratación pública es incompatible con la potestad de autoorganización de las comunidades autónomas.</w:t>
      </w:r>
    </w:p>
    <w:p w:rsidR="005728DD" w:rsidRDefault="005728DD" w:rsidP="005728DD">
      <w:pPr>
        <w:pStyle w:val="TextoNormal"/>
      </w:pPr>
    </w:p>
    <w:p w:rsidR="005728DD" w:rsidRDefault="005728DD" w:rsidP="005728DD">
      <w:pPr>
        <w:pStyle w:val="TextoNormal"/>
      </w:pPr>
      <w:r>
        <w:t xml:space="preserve">La estrategia nacional se configura como el instrumento jurídico vinculante para la totalidad de entes, organismos y entidades del sector público, tengan o no la naturaleza de poderes adjudicadores. Elaborada con un horizonte temporal de cuatro años, son muy variadas las cuestiones que en ella se abordan: análisis cuantitativo y cualitativo del sector de la contratación; coordinación de criterios y metodologías de las actuaciones de supervisión; análisis de los mecanismos de control de legalidad </w:t>
      </w:r>
      <w:r w:rsidRPr="005728DD">
        <w:rPr>
          <w:i/>
        </w:rPr>
        <w:t>ex ante</w:t>
      </w:r>
      <w:r>
        <w:t xml:space="preserve"> y </w:t>
      </w:r>
      <w:r w:rsidRPr="005728DD">
        <w:rPr>
          <w:i/>
        </w:rPr>
        <w:t>ex post</w:t>
      </w:r>
      <w:r>
        <w:t>; elaboración de manuales o guías de buenas prácticas y recomendaciones; etc. [letras a) a e) del párrafo segundo del art. 334.1 LCSP].</w:t>
      </w:r>
    </w:p>
    <w:p w:rsidR="005728DD" w:rsidRDefault="005728DD" w:rsidP="005728DD">
      <w:pPr>
        <w:pStyle w:val="TextoNormal"/>
      </w:pPr>
    </w:p>
    <w:p w:rsidR="005728DD" w:rsidRDefault="005728DD" w:rsidP="005728DD">
      <w:pPr>
        <w:pStyle w:val="TextoNormal"/>
      </w:pPr>
      <w:r>
        <w:t>La estrategia nacional se diseña y ejecuta, en el seno del comité de cooperación, en coordinación con las comunidades autónomas y entidades locales [art. 332.7 a) LCSP]. Además, tanto las comunidades autónomas como las ciudades autónomas de Ceuta y Melilla podrán elaborar su propia estrategia de contratación pública que, en todo caso, deberá ser coherente con la estrategia nacional de contratación (art. 334.8 LCSP).</w:t>
      </w:r>
    </w:p>
    <w:p w:rsidR="005728DD" w:rsidRDefault="005728DD" w:rsidP="005728DD">
      <w:pPr>
        <w:pStyle w:val="TextoNormal"/>
      </w:pPr>
    </w:p>
    <w:p w:rsidR="005728DD" w:rsidRDefault="005728DD" w:rsidP="005728DD">
      <w:pPr>
        <w:pStyle w:val="TextoNormal"/>
      </w:pPr>
      <w:r>
        <w:t>El carácter vinculante de la estrategia nacional es una manifestación básica de la necesidad de coordinar la política de contratación del conjunto del sector público. Esta previsión no cuestiona ni impide la elaboración por las comunidades autónomas, al amparo de sus competencias en materia de contratación y en virtud de su potestad de autoorganización, de su propia estrategia bajo el único condicionamiento, por otra parte lógico, de ser coherente con la estrategia nacional. Por estas razones, el art. 334.1 ha de considerarse básico y la impugnación debe ser desestimada.</w:t>
      </w:r>
    </w:p>
    <w:p w:rsidR="005728DD" w:rsidRDefault="005728DD" w:rsidP="005728DD">
      <w:pPr>
        <w:pStyle w:val="TextoNormal"/>
      </w:pPr>
    </w:p>
    <w:p w:rsidR="005728DD" w:rsidRDefault="005728DD" w:rsidP="005728DD">
      <w:pPr>
        <w:pStyle w:val="TextoNormal"/>
      </w:pPr>
      <w:r>
        <w:t>B) El art. 335.1 LCSP (capítulo cuarto del título primero del libro cuarto) regula la remisión al Tribunal de Cuentas u órgano externo de fiscalización de la comunidad autónoma de una copia del documento de formalización de los contratos atendiendo a la cuantía del valor estimado (más de 600 000 €, tratándose de obras, concesiones de obras, concesiones de servicios y acuerdos marco; de 450 000 €, en suministros; y de 150 000 €, en servicios y de contratos administrativos especiales); o cuando se trate de contratos basados en un acuerdo marco o celebrados en el marco de un sistema dinámico de adquisición, que superen dichas cuantías (párrafo segundo). Respecto del resto de contratos, se exige remitir una relación de ellos, exceptuando algunos contratos menores que se satisfagan “a través del sistema de anticipo de caja fija u otro sistema similar para realizar pagos menores” (párrafo tercero).</w:t>
      </w:r>
    </w:p>
    <w:p w:rsidR="005728DD" w:rsidRDefault="005728DD" w:rsidP="005728DD">
      <w:pPr>
        <w:pStyle w:val="TextoNormal"/>
      </w:pPr>
    </w:p>
    <w:p w:rsidR="005728DD" w:rsidRDefault="005728DD" w:rsidP="005728DD">
      <w:pPr>
        <w:pStyle w:val="TextoNormal"/>
      </w:pPr>
      <w:r>
        <w:t>La letrada del Gobierno de Aragón considera que la regulación no deja margen de intervención a las comunidades autónomas. Este argumento no puede ser compartido, ya que estamos ante una norma materialmente básica que establece un mínimo común para permitir el desarrollo de la función fiscalizadora de los órganos de control a los efectos de garantizar una eficaz, eficiente y sostenible utilización de los fondos públicos destinados a la contratación [STC 84/2015, de 30 de abril, FJ 5 a)]. Este mínimo común no impide a la comunidad autónoma intervenir, al amparo de sus competencias de desarrollo legislativo, modificando los umbrales de control o los contratos sujetos a fiscalización, dentro del respeto a la norma básica estatal. Se ha de desestimar, por tanto, la impugnación.</w:t>
      </w:r>
    </w:p>
    <w:p w:rsidR="005728DD" w:rsidRDefault="005728DD" w:rsidP="005728DD">
      <w:pPr>
        <w:pStyle w:val="TextoNormal"/>
      </w:pPr>
    </w:p>
    <w:p w:rsidR="005728DD" w:rsidRDefault="005728DD" w:rsidP="005728DD">
      <w:pPr>
        <w:pStyle w:val="TextoNormal"/>
      </w:pPr>
      <w:r>
        <w:t xml:space="preserve">C) En el ámbito del registro de contratos del sector público se impugna el art. 346.3 párrafo tercero LCSP (capítulo segundo del título segundo del libro cuarto), que exceptúa de la comunicación al registro los contratos “cuyo precio fuera inferior a cinco mil euros, </w:t>
      </w:r>
      <w:r>
        <w:lastRenderedPageBreak/>
        <w:t>impuesto del valor añadido incluido, siempre que el sistema de pago utilizado por los poderes adjudicadores fuera el de anticipo de caja fija u otro sistema similar para realizar pagos menores”. La previsión vulnera, según argumenta el recurrente, la potestad de autoorganización. Esta alegación ha de entenderse desestimada por las mismas razones esgrimidas en relación con el art. 335.1 LCSP.</w:t>
      </w:r>
    </w:p>
    <w:p w:rsidR="005728DD" w:rsidRDefault="005728DD" w:rsidP="005728DD">
      <w:pPr>
        <w:pStyle w:val="TextoNormal"/>
      </w:pPr>
    </w:p>
    <w:p w:rsidR="005728DD" w:rsidRDefault="005728DD" w:rsidP="005728DD">
      <w:pPr>
        <w:pStyle w:val="TextoNormal"/>
      </w:pPr>
      <w:r>
        <w:t>D) Se recurre también el art. 347.3 párrafo tercero y quinto LCSP (título tercero del libro cuarto) que regula la plataforma de contratación del sector público.</w:t>
      </w:r>
    </w:p>
    <w:p w:rsidR="005728DD" w:rsidRDefault="005728DD" w:rsidP="005728DD">
      <w:pPr>
        <w:pStyle w:val="TextoNormal"/>
      </w:pPr>
    </w:p>
    <w:p w:rsidR="005728DD" w:rsidRDefault="005728DD" w:rsidP="005728DD">
      <w:pPr>
        <w:pStyle w:val="TextoNormal"/>
      </w:pPr>
      <w:r>
        <w:t>En el párrafo tercero se impone la obligación de publicar “bien directamente o por interconexión con dispositivos electrónicos de agregación de la información en el caso de que contaran con sus propios servicios de información, la convocatoria de todas las licitaciones y sus resultados en la plataforma de contratación del sector público”. El Gobierno de Aragón alega que esta previsión limita la capacidad de actuación de la comunidad autónoma al quedar supeditada a la celeridad o demora de la plataforma estatal. El tribunal no comparte la argumentación de la parte recurrente. El objetivo de garantizar los principios de transparencia y publicidad de los anuncios de licitación (estos principios, de acuerdo con la STC 237/2015, FJ 8, han de inspirar la contratación pública y la actuación administrativa) dotan a esta norma de un carácter materialmente básico que en nada limita la actuación autonómica, más allá de facilitar esa información para su inserción en la plataforma estatal. Por ello, la impugnación debe ser desestimada.</w:t>
      </w:r>
    </w:p>
    <w:p w:rsidR="005728DD" w:rsidRDefault="005728DD" w:rsidP="005728DD">
      <w:pPr>
        <w:pStyle w:val="TextoNormal"/>
      </w:pPr>
    </w:p>
    <w:p w:rsidR="005728DD" w:rsidRDefault="005728DD" w:rsidP="005728DD">
      <w:pPr>
        <w:pStyle w:val="TextoNormal"/>
      </w:pPr>
      <w:r>
        <w:t>En el párrafo quinto se atribuye a los órganos de contratación de los entes locales la posibilidad de “optar, de forma exclusiva y excluyente, bien por alojar la publicación de sus perfiles de contratante en el servicio de información que a tal efecto estableciera la comunidad autónoma de su ámbito territorial, o bien por alojarlos en la plataforma de contratación del sector público”. El Gobierno de Aragón entiende que la adopción de esta decisión corresponde a la comunidad autónoma.</w:t>
      </w:r>
    </w:p>
    <w:p w:rsidR="005728DD" w:rsidRDefault="005728DD" w:rsidP="005728DD">
      <w:pPr>
        <w:pStyle w:val="TextoNormal"/>
      </w:pPr>
    </w:p>
    <w:p w:rsidR="005728DD" w:rsidRDefault="005728DD" w:rsidP="005728DD">
      <w:pPr>
        <w:pStyle w:val="TextoNormal"/>
      </w:pPr>
      <w:r>
        <w:t>El precepto en cuestión tiene como fin primordial, al igual que el precedente párrafo tercero, garantizar los principios de transparencia y publicidad de los anuncios de licitación (STC 237/2015, FJ 8). Por esta razón lo básico en este caso es la exigencia de la publicación por parte de los entes locales de sus perfiles en una plataforma de contratación. Esta exigencia se satisface con la publicación en cualquiera de ellas, la estatal o la autonómica, o en ambas. Lo que no puede considerarse básico es la exigencia de que la opción sea “de forma exclusiva y excluyente”. Así entendido, el precepto garantiza los principios básicos de publicidad y transparencia, y no impide a la comunidad autónoma desarrollar prescripciones de detalle en relación con la publicación de los perfiles de los órganos de contratación de sus entidades locales.</w:t>
      </w:r>
    </w:p>
    <w:p w:rsidR="005728DD" w:rsidRDefault="005728DD" w:rsidP="005728DD">
      <w:pPr>
        <w:pStyle w:val="TextoNormal"/>
      </w:pPr>
    </w:p>
    <w:p w:rsidR="005728DD" w:rsidRDefault="005728DD" w:rsidP="005728DD">
      <w:pPr>
        <w:pStyle w:val="TextoNormal"/>
      </w:pPr>
      <w:r>
        <w:t>Procede, pues, declarar contrario al orden constitucional el inciso “de forma exclusiva y excluyente” del párrafo quinto del art. 347.3 LCSP. Esta declaración, en este caso, sí lleva aparejada la nulidad, pues los destinatarios del precepto no son otros que los órganos de contratación de las administraciones locales y a ellos corresponde realizar la opción de forma no condicionada.</w:t>
      </w:r>
    </w:p>
    <w:p w:rsidR="005728DD" w:rsidRDefault="005728DD" w:rsidP="005728DD">
      <w:pPr>
        <w:pStyle w:val="TextoNormal"/>
      </w:pPr>
    </w:p>
    <w:p w:rsidR="005728DD" w:rsidRDefault="005728DD" w:rsidP="005728DD">
      <w:pPr>
        <w:pStyle w:val="TextoNormal"/>
      </w:pPr>
      <w:r>
        <w:lastRenderedPageBreak/>
        <w:t>E) La disposición adicional trigésima octava dispone que las medidas incluidas en la Ley de contratos del sector público, “no podrán suponer incremento de dotaciones, ni de retribuciones, ni de otros gastos de personal salvo los gastos derivados de las funciones atribuidas en esta ley a la Junta Consultiva de Contratación Pública del Estado y a la Oficina Independiente de Regulación y Supervisión de la Contratación”. Esta previsión, en opinión de la parte recurrente, vulnera su potestad de autoorganización de la comunidad autónoma.</w:t>
      </w:r>
    </w:p>
    <w:p w:rsidR="005728DD" w:rsidRDefault="005728DD" w:rsidP="005728DD">
      <w:pPr>
        <w:pStyle w:val="TextoNormal"/>
      </w:pPr>
    </w:p>
    <w:p w:rsidR="005728DD" w:rsidRDefault="005728DD" w:rsidP="005728DD">
      <w:pPr>
        <w:pStyle w:val="TextoNormal"/>
      </w:pPr>
      <w:r>
        <w:t>El tribunal estima que la previsión que se cuestiona responde al objetivo de garantizar la sostenibilidad financiera y el control del gasto público, para de este modo lograr una eficaz y eficiente utilización de los fondos públicos destinados a la gestión de la contratación pública [STC 84/2015, de 30 de abril, FJ 5 a)]. Nada se opone, pues, a su consideración como norma básica siempre que la excepción prevista para los gastos derivados de las funciones atribuidas legalmente a la Junta Consultiva de Contratación Pública del Estado y a la Oficina Independiente de Regulación y Supervisión de la Contratación se entienda aplicable, en los mismos términos, a los equivalentes órganos autonómicos.</w:t>
      </w:r>
    </w:p>
    <w:p w:rsidR="005728DD" w:rsidRDefault="005728DD" w:rsidP="005728DD">
      <w:pPr>
        <w:pStyle w:val="TextoNormal"/>
      </w:pPr>
    </w:p>
    <w:p w:rsidR="005728DD" w:rsidRDefault="005728DD" w:rsidP="005728DD">
      <w:pPr>
        <w:pStyle w:val="TextoNormal"/>
      </w:pPr>
      <w:r>
        <w:t>F) En relación con la habilitación normativa en materia de uso de medios electrónicos, informáticos o telemáticos, la disposición final sexta prevé en el apartado 2, que el ministro de Hacienda y Función Pública, mediante orden, definirá “las especificaciones técnicas de las comunicaciones de datos que deban efectuarse en cumplimiento de la presente ley y establecerá los modelos que deban utilizarse”. La norma impide a la comunidad autónoma el ejercicio de sus competencias de ejecución y gestión en materia de contratación administrativa, según argumenta la letrada del Gobierno de Aragón.</w:t>
      </w:r>
    </w:p>
    <w:p w:rsidR="005728DD" w:rsidRDefault="005728DD" w:rsidP="005728DD">
      <w:pPr>
        <w:pStyle w:val="TextoNormal"/>
      </w:pPr>
    </w:p>
    <w:p w:rsidR="005728DD" w:rsidRDefault="005728DD" w:rsidP="005728DD">
      <w:pPr>
        <w:pStyle w:val="TextoNormal"/>
      </w:pPr>
      <w:r>
        <w:t>El tribunal estima que se trata de una norma de detalle procedimental, que es simplemente un complemento de los principios básicos de la contratación pública [STC 141/1993 FFJJ 5 y 6 c) y j)], carente por ello de la condición de básica. Procede, por tanto, declararla contraria al orden constitucional de competencias. Esto no conlleva su nulidad, en la medida en que será de aplicación solamente en el ámbito estatal [SSTC 50/1999, FFJJ 7 y 8, y 55/2018, FFJJ 7 b) y c)].</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w:t>
      </w:r>
      <w:r w:rsidRPr="005728DD">
        <w:rPr>
          <w:i/>
        </w:rPr>
        <w:t>Cuarto motivo de impugnación: Impugnación de normas de aplicación supletoria</w:t>
      </w:r>
      <w:r>
        <w:t>.</w:t>
      </w:r>
    </w:p>
    <w:p w:rsidR="005728DD" w:rsidRDefault="005728DD" w:rsidP="005728DD">
      <w:pPr>
        <w:pStyle w:val="TextoNormal"/>
      </w:pPr>
    </w:p>
    <w:p w:rsidR="005728DD" w:rsidRDefault="005728DD" w:rsidP="005728DD">
      <w:pPr>
        <w:pStyle w:val="TextoNormal"/>
      </w:pPr>
      <w:r>
        <w:t>a) Examinamos a continuación los arts. 41.3, 46.4 y 128.2 LCSP, a los que el Gobierno de Aragón reprocha establecer normas de carácter supletorio, vulnerando con ello la doctrina constitucional sobre la materia. El recurrente ha atribuido esta tacha a otros preceptos, en los que la cuestión de fondo era, sin embargo, el exceso de detalle que impedía la intervención autonómica para desarrollar sus propias políticas en materia de contratación. Por esta razón, esos preceptos ya han sido analizados en los fundamentos jurídicos precedentes.</w:t>
      </w:r>
    </w:p>
    <w:p w:rsidR="005728DD" w:rsidRDefault="005728DD" w:rsidP="005728DD">
      <w:pPr>
        <w:pStyle w:val="TextoNormal"/>
      </w:pPr>
    </w:p>
    <w:p w:rsidR="005728DD" w:rsidRDefault="005728DD" w:rsidP="005728DD">
      <w:pPr>
        <w:pStyle w:val="TextoNormal"/>
      </w:pPr>
      <w:r>
        <w:t xml:space="preserve">Con carácter previo al enjuiciamiento individualizado de los preceptos en cuestión, conviene recordar brevemente la doctrina sobre la supletoriedad cuando, como ocurre en este caso, el Estado tiene un título competencial para establecer lo básico en materia de contratación pública (art. 149.1.18 CE). Como afirma la STC 118/1996, de 27 de junio, “para que el Estado pueda dictar normas jurídicas que regulen una materia determinada, no basta con que ostente un título que le atribuya cualesquiera competencias en esa materia, sino que debe poder invocar aquel título específico que le habilite en concreto para establecer la reglamentación de que se trate, sin que, como correctamente se afirmaba en la STC 147/1991, </w:t>
      </w:r>
      <w:r>
        <w:lastRenderedPageBreak/>
        <w:t xml:space="preserve">que acabamos de transcribir, pueda invocar como tal la cláusula de supletoriedad […] Por lo tanto, tampoco en las materias en las que el Estado ostenta competencias compartidas puede, excediendo el tenor de los títulos que se las atribuyen y penetrando en el ámbito reservado por la Constitución y los estatutos a las comunidades autónomas, producir normas jurídicas meramente supletorias, pues tales normas, al invocar el amparo de una cláusula como la de supletoriedad que, por no ser título competencial, no puede dárselo, constituyen una vulneración del orden constitucional de competencias” (FJ 6). En consecuencia, “la cláusula de supletoriedad no permite que el Derecho estatal colme, sin más, la falta de regulación autonómica en una materia. El presupuesto de aplicación de la supletoriedad que la Constitución establece no es la ausencia de regulación, sino la presencia de una laguna detectada como tal por el aplicador del derecho” (FJ 8). La STC 61/1997, de 20 de marzo, asume el mismo razonamiento, en relación con la materia de urbanismo, asumida como competencia exclusiva de las comunidades autónomas, y declara que “es evidente que el Estado no puede dictar normas supletorias al carecer de un título competencial específico que así lo legitime, sin que por otra parte el hecho de ostentar otros títulos competenciales susceptibles de incidir sobre la materia pueda justificar la invocación de la cláusula de supletoriedad del art. 149.3, </w:t>
      </w:r>
      <w:r w:rsidRPr="005728DD">
        <w:rPr>
          <w:i/>
        </w:rPr>
        <w:t>in fine</w:t>
      </w:r>
      <w:r>
        <w:t>, CE” [FJ 12 c)].</w:t>
      </w:r>
    </w:p>
    <w:p w:rsidR="005728DD" w:rsidRDefault="005728DD" w:rsidP="005728DD">
      <w:pPr>
        <w:pStyle w:val="TextoNormal"/>
      </w:pPr>
    </w:p>
    <w:p w:rsidR="005728DD" w:rsidRDefault="005728DD" w:rsidP="005728DD">
      <w:pPr>
        <w:pStyle w:val="TextoNormal"/>
      </w:pPr>
      <w:r>
        <w:t>b) En relación con el régimen de invalidez, el art. 41.3 (capítulo cuarto, título primero, del libro primero LCSP) regula el órgano competente para resolver la revisión de oficio en materia de contratación pública.</w:t>
      </w:r>
    </w:p>
    <w:p w:rsidR="005728DD" w:rsidRDefault="005728DD" w:rsidP="005728DD">
      <w:pPr>
        <w:pStyle w:val="TextoNormal"/>
      </w:pPr>
    </w:p>
    <w:p w:rsidR="005728DD" w:rsidRDefault="005728DD" w:rsidP="005728DD">
      <w:pPr>
        <w:pStyle w:val="TextoNormal"/>
      </w:pPr>
      <w:r>
        <w:t>En primer lugar, el precepto establece la regla general según la cual para determinar el órgano competente se estará “para el ámbito de las comunidades autónomas [a lo que] establezcan sus normas respectivas”. Es decir, la Ley de contratos del sector público atribuye expresamente a las comunidades autónomas la decisión de determinar el órgano competente para llevar a cabo la revisión de oficio, de acuerdo con su potestad de autoorganización.</w:t>
      </w:r>
    </w:p>
    <w:p w:rsidR="005728DD" w:rsidRDefault="005728DD" w:rsidP="005728DD">
      <w:pPr>
        <w:pStyle w:val="TextoNormal"/>
      </w:pPr>
    </w:p>
    <w:p w:rsidR="005728DD" w:rsidRDefault="005728DD" w:rsidP="005728DD">
      <w:pPr>
        <w:pStyle w:val="TextoNormal"/>
      </w:pPr>
      <w:r>
        <w:t>En segundo lugar, “sin perjuicio” de lo que establezcan las comunidades autónomas para su ámbito, establece unos criterios para determinar los órganos competentes para declarar la nulidad o lesividad de los actos a los que se refieren los apartados 1 y 2 del art. 41 LCSP: (i) “el órgano de contratación, cuando se trate de contratos de una administración pública, o el titular del departamento, órgano, ente u organismo al que esté adscrita la entidad contratante o al que corresponda su tutela, cuando esta no tenga el carácter de administración pública”; (ii) “si la entidad contratante estuviera vinculada a más de una administración, será competente el órgano correspondiente de la que ostente el control o participación mayoritaria”; (iii) “en el supuesto de contratos subvencionados, la competencia corresponderá al titular del departamento, presidente o director de la entidad que hubiese otorgado la subvención, o al que esté adscrita la entidad que la hubiese concedido, cuando esta no tenga el carácter de administración pública” y (iv) “en el supuesto de concurrencia de subvenciones por parte de distintos sujetos del sector público, la competencia se determinará atendiendo a la subvención de mayor cuantía y, a igualdad de importe, atendiendo a la subvención primeramente concedida”.</w:t>
      </w:r>
    </w:p>
    <w:p w:rsidR="005728DD" w:rsidRDefault="005728DD" w:rsidP="005728DD">
      <w:pPr>
        <w:pStyle w:val="TextoNormal"/>
      </w:pPr>
    </w:p>
    <w:p w:rsidR="005728DD" w:rsidRDefault="005728DD" w:rsidP="005728DD">
      <w:pPr>
        <w:pStyle w:val="TextoNormal"/>
      </w:pPr>
      <w:r>
        <w:t>En tercer lugar, establece una regla común que condiciona la elección del órgano competente, y es que “en todo caso, deberán atribuir esta competencia a un órgano cuyas resoluciones agoten la vía administrativa” (inciso inicial, párrafo primero del art. 41.3 LCSP).</w:t>
      </w:r>
    </w:p>
    <w:p w:rsidR="005728DD" w:rsidRDefault="005728DD" w:rsidP="005728DD">
      <w:pPr>
        <w:pStyle w:val="TextoNormal"/>
      </w:pPr>
    </w:p>
    <w:p w:rsidR="005728DD" w:rsidRDefault="005728DD" w:rsidP="005728DD">
      <w:pPr>
        <w:pStyle w:val="TextoNormal"/>
      </w:pPr>
      <w:r>
        <w:lastRenderedPageBreak/>
        <w:t>El tribunal considera que no estamos ante un supuesto de establecimiento de una norma supletoria como alega la parte recurrente. El precepto debe interpretarse en el sentido de que la única previsión de carácter básico y común para el conjunto de las administraciones públicas es el inciso que exige “atribuir esta competencia a un órgano cuyas resoluciones agoten la vía administrativa”. Este precepto debe estimarse como dictado al amparo del título competencial del Estado en materia de régimen básico de las administraciones públicas (art. 149.1.18 CE), que condiciona la potestad de organización autonómica dada la singular naturaleza de la institución de la revisión de oficio. La cláusula “sin perjuicio” permite entender que los restantes criterios para determinar el órgano competente —inciso final del párrafo primero y el párrafo segundo—, no tienen carácter básico y son aplicables únicamente a la administración general del Estado.</w:t>
      </w:r>
    </w:p>
    <w:p w:rsidR="005728DD" w:rsidRDefault="005728DD" w:rsidP="005728DD">
      <w:pPr>
        <w:pStyle w:val="TextoNormal"/>
      </w:pPr>
    </w:p>
    <w:p w:rsidR="005728DD" w:rsidRDefault="005728DD" w:rsidP="005728DD">
      <w:pPr>
        <w:pStyle w:val="TextoNormal"/>
      </w:pPr>
      <w:r>
        <w:t>c) El art. 46.4 regula el órgano competente para la resolución del recurso especial en materia de contratación en los entes locales (capítulo quinto del título primero del libro primero LCSP) disponiendo que, a tales efectos, “la competencia para resolver los recursos será establecida por las normas de las comunidades autónomas cuando estas tengan atribuida competencia normativa y de ejecución en materia de régimen local y contratación” (párrafo primero).</w:t>
      </w:r>
    </w:p>
    <w:p w:rsidR="005728DD" w:rsidRDefault="005728DD" w:rsidP="005728DD">
      <w:pPr>
        <w:pStyle w:val="TextoNormal"/>
      </w:pPr>
    </w:p>
    <w:p w:rsidR="005728DD" w:rsidRDefault="005728DD" w:rsidP="005728DD">
      <w:pPr>
        <w:pStyle w:val="TextoNormal"/>
      </w:pPr>
      <w:r>
        <w:t>Sin embargo, el párrafo segundo, el único expresamente cuestionado por el Gobierno de Aragón, establece: “En el supuesto de que no exista previsión expresa en la legislación autonómica y sin perjuicio de lo dispuesto en el párrafo siguiente, la competencia para resolver los recursos corresponderá al mismo órgano al que las comunidades autónomas en cuyo territorio se integran las corporaciones locales hayan atribuido la competencia para resolver los recursos de su ámbito”. Estamos ante un supuesto en el que el legislador estatal dispone la aplicabilidad supletoria de sus normas a las comunidades autónomas; así lo reconoce la propia abogacía del Estado que justifica esta previsión estatal en la necesidad de evitar que quede sin efecto útil el recurso especial de contratación ante una supuesta pasividad autonómica.</w:t>
      </w:r>
    </w:p>
    <w:p w:rsidR="005728DD" w:rsidRDefault="005728DD" w:rsidP="005728DD">
      <w:pPr>
        <w:pStyle w:val="TextoNormal"/>
      </w:pPr>
    </w:p>
    <w:p w:rsidR="005728DD" w:rsidRDefault="005728DD" w:rsidP="005728DD">
      <w:pPr>
        <w:pStyle w:val="TextoNormal"/>
      </w:pPr>
      <w:r>
        <w:t>Solo es constitucionalmente legítimo que el legislador estatal prevea la aplicación de sus normas a las comunidades autónomas allí donde se halla habilitado por un título competencial específico que le permita disponer tal cosa. Como el tribunal ha declarado, la cláusula de supletoriedad no permite que el derecho estatal colme, sin más, la falta de regulación autonómica en una materia; el Estado no puede, excediendo el tenor de su título competencial en materia de contratación pública y penetrando en el ámbito reservado por la Constitución y los estatutos a las comunidades autónomas, producir normas jurídicas meramente supletorias (STC 118/1996, FFJJ 6 y 8). Por consiguiente, al proceder, en el párrafo segundo del art. 46.4 LCSP del modo descrito, se ha vulnerado tanto la configuración constitucional de la supletoriedad (art. 149.3 CE) como, de resultas, el orden constitucional de competencias. Se ha de declarar inconstitucional y, por consiguiente, nulo, el párrafo segundo del art. 46.4 LCSP.</w:t>
      </w:r>
    </w:p>
    <w:p w:rsidR="005728DD" w:rsidRDefault="005728DD" w:rsidP="005728DD">
      <w:pPr>
        <w:pStyle w:val="TextoNormal"/>
      </w:pPr>
    </w:p>
    <w:p w:rsidR="005728DD" w:rsidRDefault="005728DD" w:rsidP="005728DD">
      <w:pPr>
        <w:pStyle w:val="TextoNormal"/>
      </w:pPr>
      <w:r>
        <w:t xml:space="preserve">d) En la fase de preparación de los contratos, el art. 128 (sección primera del capítulo primero del título primero del libro segundo LCSP) regula los informes de pruebas, certificación y otros medios de prueba exigibles por los órganos de contratación. La crítica de la letrada del Gobierno aragonés se dirige al apartado segundo que, al imponer al órgano de </w:t>
      </w:r>
      <w:r>
        <w:lastRenderedPageBreak/>
        <w:t>contratación aceptar “supletoriamente” otros medios de prueba, contraviene la doctrina del tribunal sobre la cláusula de supletoriedad.</w:t>
      </w:r>
    </w:p>
    <w:p w:rsidR="005728DD" w:rsidRDefault="005728DD" w:rsidP="005728DD">
      <w:pPr>
        <w:pStyle w:val="TextoNormal"/>
      </w:pPr>
    </w:p>
    <w:p w:rsidR="005728DD" w:rsidRDefault="005728DD" w:rsidP="005728DD">
      <w:pPr>
        <w:pStyle w:val="TextoNormal"/>
      </w:pPr>
      <w:r>
        <w:t>El apartado primero del art. 128 LCSP prevé que los órganos de contratación puedan exigir a los operadores económicos, como medio de prueba del cumplimiento de las prescripciones técnicas exigidas, de los criterios de adjudicación o de las condiciones de ejecución del contrato, que proporcionen: (i) un informe de pruebas de un organismo de evaluación; o (ii) un certificado expedido por dicho organismo. En el apartado segundo, objeto de impugnación, se dispone que “supletoriamente los órganos de contratación deberán aceptar otros medios de prueba adecuados que no sean los contemplados en el apartado primero” y, entre ellos, cita el informe técnico del fabricante, “cuando el empresario de que se trate no tenga acceso a dichos certificados o informes de pruebas ni la posibilidad de obtenerlos en los plazos fijados, siempre que la falta de acceso no sea por causa imputable al mismo y que este sirva para demostrar que las obras, suministros o servicios que proporcionará cumplen con las prescripciones técnicas, los criterios de adjudicación o las condiciones de ejecución del contrato, según el caso”.</w:t>
      </w:r>
    </w:p>
    <w:p w:rsidR="005728DD" w:rsidRDefault="005728DD" w:rsidP="005728DD">
      <w:pPr>
        <w:pStyle w:val="TextoNormal"/>
      </w:pPr>
    </w:p>
    <w:p w:rsidR="005728DD" w:rsidRDefault="005728DD" w:rsidP="005728DD">
      <w:pPr>
        <w:pStyle w:val="TextoNormal"/>
      </w:pPr>
      <w:r>
        <w:t>No estamos ante un supuesto de aplicación supletoria de la norma estatal a las comunidades autónomas. De una lectura conjunta del precepto se deduce que en él se establece un mínimo común en el ámbito de los medios probatorios. Por una parte, determina los medios de prueba que los órganos de contratación pueden exigir a los operadores económicos con carácter general informe de pruebas o certificados— (apartado 1); y, por otra parte, prevé que se pueda recurrir a otros medios de prueba, cuando el acceso a los anteriores sea imposible por causas no imputables a los empresarios (apartado 2). Ambas reglas no pretenden otra cosa que garantizar la igualdad de los licitadores y su tratamiento común por parte de las administraciones en la fase de preparación del contrato [SSTC 141/1993, FJ 5]. Estamos, por tanto, ante una norma materialmente básica, por lo que se ha de desestimar la impugnación.</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w:t>
      </w:r>
      <w:r w:rsidRPr="005728DD">
        <w:rPr>
          <w:i/>
        </w:rPr>
        <w:t>Corolario sobre la impugnación de la disposición final primera relativa a los títulos competenciales</w:t>
      </w:r>
      <w:r>
        <w:t>.</w:t>
      </w:r>
    </w:p>
    <w:p w:rsidR="005728DD" w:rsidRDefault="005728DD" w:rsidP="005728DD">
      <w:pPr>
        <w:pStyle w:val="TextoNormal"/>
      </w:pPr>
    </w:p>
    <w:p w:rsidR="005728DD" w:rsidRDefault="005728DD" w:rsidP="005728DD">
      <w:pPr>
        <w:pStyle w:val="TextoNormal"/>
      </w:pPr>
      <w:r>
        <w:t>La representación procesal del Gobierno aragonés reitera, en cada uno de los motivos de inconstitucionalidad alegados, la impugnación de la disposición final primera relativa a los títulos competenciales. A los efectos que ahora nos interesan, el párrafo primero del apartado tercero de la disposición final primera dispone:</w:t>
      </w:r>
    </w:p>
    <w:p w:rsidR="005728DD" w:rsidRDefault="005728DD" w:rsidP="005728DD">
      <w:pPr>
        <w:pStyle w:val="TextoNormal"/>
      </w:pPr>
    </w:p>
    <w:p w:rsidR="005728DD" w:rsidRDefault="005728DD" w:rsidP="005728DD">
      <w:pPr>
        <w:pStyle w:val="TextoNormal"/>
      </w:pPr>
      <w:r>
        <w:t>“El apartado 3 del artículo 347 constituye legislación básica y se dicta al amparo del artículo 149.1.18 de la Constitución en materia de ‘bases del régimen jurídico de las administraciones públicas’. Por su parte, los restantes artículos de la presente ley constituyen legislación básica dictada al amparo del artículo 149.1.18 de la Constitución en materia de legislación básica sobre contratos y concesiones administrativas y, en consecuencia, son de aplicación general a todas las administraciones públicas y organismos y entidades dependientes de ellas”.</w:t>
      </w:r>
    </w:p>
    <w:p w:rsidR="005728DD" w:rsidRDefault="005728DD" w:rsidP="005728DD">
      <w:pPr>
        <w:pStyle w:val="TextoNormal"/>
      </w:pPr>
    </w:p>
    <w:p w:rsidR="005728DD" w:rsidRDefault="005728DD" w:rsidP="005728DD">
      <w:pPr>
        <w:pStyle w:val="TextoNormal"/>
      </w:pPr>
      <w:r>
        <w:t xml:space="preserve">En relación con dicha impugnación, en el fundamento jurídico 3 b) de la presente sentencia se afirma que la Ley de contratos del sector público (disposición final primera), cumple escrupulosamente con la exigencia formal en la definición de lo básico (STC 179/1992, </w:t>
      </w:r>
      <w:r>
        <w:lastRenderedPageBreak/>
        <w:t>FJ 2). Esto no significa reconocer que todos los preceptos tengan carácter básico o que hayan de ser aceptados como normas materialmente básicas por razón de su contenido.</w:t>
      </w:r>
    </w:p>
    <w:p w:rsidR="005728DD" w:rsidRDefault="005728DD" w:rsidP="005728DD">
      <w:pPr>
        <w:pStyle w:val="TextoNormal"/>
      </w:pPr>
    </w:p>
    <w:p w:rsidR="005728DD" w:rsidRDefault="005728DD" w:rsidP="005728DD">
      <w:pPr>
        <w:pStyle w:val="TextoNormal"/>
      </w:pPr>
      <w:r>
        <w:t>Finalizado el examen y enjuiciamiento de los preceptos objeto de este proceso, se puede concluir que el párrafo primero del apartado 3 de la disposición final primera es conforme con el orden constitucional de competencias, siempre que se entiendan excluidos los artículos o partes de ellos que esta sentencia ha considerado normas no básicas. Esto es, no comprende aquellos preceptos que, conforme a lo expuesto en los fundamentos jurídicos precedentes, son contrarios al orden constitucional de competencias, por no tener carácter básico, y que, en consecuencia, no son aplicables a los contratos suscritos por las Administraciones de las comunidades autónomas, las corporaciones locales y las entidades vinculadas a unas y otras.</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parcialmente el recurso de inconstitucionalidad y en consecuencia:</w:t>
      </w:r>
    </w:p>
    <w:p w:rsidR="005728DD" w:rsidRDefault="005728DD" w:rsidP="005728DD">
      <w:pPr>
        <w:pStyle w:val="TextoNormal"/>
      </w:pPr>
    </w:p>
    <w:p w:rsidR="005728DD" w:rsidRDefault="005728DD" w:rsidP="005728DD">
      <w:pPr>
        <w:pStyle w:val="TextoNormal"/>
      </w:pPr>
      <w:r>
        <w:t>1º Declarar inconstitucionales y nulos, los siguientes preceptos de la Ley 9/2017, de 8 de noviembre, de contratos del sector público: el párrafo segundo del art. 46.4; el inciso “que serán eficaces, únicamente, a efectos de contratar con la comunidad autónoma que las haya adoptado, con las entidades locales incluidas en su ámbito territorial, y con los entes, organismos y entidades del sector público dependientes de una y otras” del art. 80.2 y el inciso “de forma exclusiva y excluyente” del párrafo 5 del art. 347.3. La parte subsistente de ambos preceptos ha de interpretarse conforme a lo expresado, respectivamente, en el fundamento jurídico 6 G) f) y en el fundamento jurídico 8 D).</w:t>
      </w:r>
    </w:p>
    <w:p w:rsidR="005728DD" w:rsidRDefault="005728DD" w:rsidP="005728DD">
      <w:pPr>
        <w:pStyle w:val="TextoNormal"/>
      </w:pPr>
    </w:p>
    <w:p w:rsidR="005728DD" w:rsidRDefault="005728DD" w:rsidP="005728DD">
      <w:pPr>
        <w:pStyle w:val="TextoNormal"/>
      </w:pPr>
      <w:r>
        <w:t>2º Declarar que no son conformes con el orden constitucional de competencias los incisos “de diez días”, “de dos días hábiles” y “cinco días hábiles” del art. 52.3 [fundamento jurídico 6 E) c)] y el inciso “con una antelación mínima de cinco días” del art. 242.3 de la Ley 9/2017, de 8 de noviembre, de contratos del sector público [fundamento jurídico 7 C) e)].</w:t>
      </w:r>
    </w:p>
    <w:p w:rsidR="005728DD" w:rsidRDefault="005728DD" w:rsidP="005728DD">
      <w:pPr>
        <w:pStyle w:val="TextoNormal"/>
      </w:pPr>
    </w:p>
    <w:p w:rsidR="005728DD" w:rsidRDefault="005728DD" w:rsidP="005728DD">
      <w:pPr>
        <w:pStyle w:val="TextoNormal"/>
      </w:pPr>
      <w:r>
        <w:t>3º Declarar que son conformes con el orden constitucional de competencias, siempre que se interpreten en los términos establecidos en el fundamento jurídico que se indica en cada caso, los siguientes preceptos de la Ley 9/2017, de 8 de noviembre, de contratos del sector público: art. 41.3 [fundamento jurídico 9 b)]; art. 58.2 [fundamento jurídico 6 E) d)]; art. 82.2 [fundamento jurídico 6 G) g)]; art. 177.3 a) [fundamento jurídico 7 B) h]); art. 187.11 [fundamento jurídico 7 B) i]); la disposición adicional trigésima octava [fundamento jurídico 8 E)]; y el párrafo primero del apartado 3 de la disposición final primera (fundamento jurídico 10).</w:t>
      </w:r>
    </w:p>
    <w:p w:rsidR="005728DD" w:rsidRDefault="005728DD" w:rsidP="005728DD">
      <w:pPr>
        <w:pStyle w:val="TextoNormal"/>
      </w:pPr>
    </w:p>
    <w:p w:rsidR="005728DD" w:rsidRDefault="005728DD" w:rsidP="005728DD">
      <w:pPr>
        <w:pStyle w:val="TextoNormal"/>
      </w:pPr>
      <w:r>
        <w:t xml:space="preserve">4º Declarar que no son conformes con el orden constitucional de competencias, con las salvedades y en los términos del fundamento jurídico que se indican en cada caso, los siguientes preceptos de la Ley 9/2017, de 8 de noviembre, de contratos del sector público: art. 72.4 [fundamento jurídico 6 G) c)]; el párrafo primero del art. 122.2, salvo los incisos relativos a la necesidad de incluir “los pactos y condiciones definidores de los derechos y obligaciones de las partes del contrato” y “En el caso de contratos mixtos, se detallará el régimen </w:t>
      </w:r>
      <w:r>
        <w:lastRenderedPageBreak/>
        <w:t>jurídico aplicable a sus efectos, cumplimiento y extinción, atendiendo a las normas aplicables a las diferentes prestaciones fusionadas en ellos” [fundamento jurídico 7 A) d)]; art. 125.1 [fundamento jurídico 7 A) e)]; el párrafo segundo y tercero del art. 154.7 [fundamento jurídico 7 B) e)]; los párrafos primero, segundo, tercero, quinto y sexto del art. 185.3 [fundamento jurídico 7 B) i)]; art. 212.8 [fundamento jurídico 7 C) c)]; y el apartado 2 de la disposición final sexta [fundamento jurídico 8 F)].</w:t>
      </w:r>
    </w:p>
    <w:p w:rsidR="005728DD" w:rsidRDefault="005728DD" w:rsidP="005728DD">
      <w:pPr>
        <w:pStyle w:val="TextoNormal"/>
      </w:pPr>
    </w:p>
    <w:p w:rsidR="005728DD" w:rsidRDefault="005728DD" w:rsidP="005728DD">
      <w:pPr>
        <w:pStyle w:val="TextoNormal"/>
      </w:pPr>
      <w:r>
        <w:t>5º Desestimar el recurso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2" w:name="SENTENCIA_2021_69"/>
      <w:r>
        <w:lastRenderedPageBreak/>
        <w:t>SENTENCIA 69/2021, de 18 de marzo de 2021</w:t>
      </w:r>
    </w:p>
    <w:bookmarkEnd w:id="72"/>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ECLI:ES:TC:2021:69</w:t>
      </w:r>
    </w:p>
    <w:p w:rsidR="005728DD" w:rsidRDefault="005728DD" w:rsidP="005728DD">
      <w:pPr>
        <w:pStyle w:val="TextoNormalCentrado"/>
      </w:pPr>
    </w:p>
    <w:p w:rsidR="005728DD" w:rsidRDefault="005728DD" w:rsidP="005728DD">
      <w:pPr>
        <w:pStyle w:val="SntesisDescriptiva"/>
      </w:pPr>
      <w:r>
        <w:t>Recurso de amparo 6238-2019. Promovido por don Jordi Sànchez i Picanyol en relación con los acuerdos de la mesa del Congreso de los Diputados que dispusieron su suspensión como diputado.</w:t>
      </w:r>
    </w:p>
    <w:p w:rsidR="005728DD" w:rsidRDefault="005728DD" w:rsidP="005728DD">
      <w:pPr>
        <w:pStyle w:val="SntesisDescriptiva"/>
      </w:pPr>
    </w:p>
    <w:p w:rsidR="005728DD" w:rsidRDefault="005728DD" w:rsidP="005728DD">
      <w:pPr>
        <w:pStyle w:val="SntesisAnaltica"/>
      </w:pPr>
      <w:r>
        <w:t>Supuesta vulneración de los derechos al ejercicio del cargo público representativo y a la tutela judicial: resoluciones parlamentarias que aplican, motivadamente y sin afectar al grupo parlamentario, la previsión legal de suspensión automática del cargo parlamentario (STC 97/2020).</w:t>
      </w:r>
    </w:p>
    <w:p w:rsidR="005728DD" w:rsidRDefault="005728DD" w:rsidP="005728DD">
      <w:pPr>
        <w:pStyle w:val="SntesisAnaltica"/>
      </w:pPr>
    </w:p>
    <w:p w:rsidR="005728DD" w:rsidRDefault="005728DD" w:rsidP="005728DD">
      <w:pPr>
        <w:pStyle w:val="Extracto"/>
      </w:pPr>
      <w:r>
        <w:t>1.</w:t>
      </w:r>
      <w:r>
        <w:tab/>
        <w:t xml:space="preserve">Se aplica la doctrina constitucional sentada en la STC 97/2020, relativa a la ausencia de vulneración del derecho a acceder a cargos representativos (art. 23.2 CE), por parte de las resoluciones de la mesa del Congreso de los Diputados que determinan el alcance y los efectos de la suspensión automática en el ejercicio del cargo parlamentario de forma motivada y respetuosa con el núcleo del </w:t>
      </w:r>
      <w:r w:rsidRPr="005728DD">
        <w:rPr>
          <w:i/>
        </w:rPr>
        <w:t xml:space="preserve">ius in officium </w:t>
      </w:r>
      <w:r>
        <w:t>[FFJJ 4 y 5].</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6238-2019, promovido por don Jordi Sànchez i Picanyol representado por el procurador de los tribunales don Carlos Estévez Sanz y defendido por el letrado don Jaume Alonso-Cuevillas i Sayrol, contra el acuerdo de la mesa del Congreso de los Diputados de 25 (sic) de julio de 2019, por el que se desestima la solicitud de reconsideración presentada contra el acuerdo del mismo órgano de gobierno de la Cámara de 5 de junio de 2019, complementario del acuerdo de 24 de mayo de 2019, en relación con la declaración de suspensión como diputado del recurrente. Ha comparecido y presentado alegaciones el Congreso de los Diputados, representado por la letrada de las Cortes Generales.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general del Tribunal Constitucional el 31 de octubre de 2019, el procurador de los tribunales don Carlos Estévez Sanz presentó recurso de amparo en representación de don Jordi Sànchez i Picanyol contra las resoluciones de la mesa del Congreso de los Diputados reseñadas en el encabezamiento de la presente sentencia.</w:t>
      </w:r>
    </w:p>
    <w:p w:rsidR="005728DD" w:rsidRDefault="005728DD" w:rsidP="005728DD">
      <w:pPr>
        <w:pStyle w:val="TextoNormal"/>
      </w:pPr>
    </w:p>
    <w:p w:rsidR="005728DD" w:rsidRDefault="005728DD" w:rsidP="005728DD">
      <w:pPr>
        <w:pStyle w:val="TextoNormal"/>
      </w:pPr>
      <w:r>
        <w:t>A) Los hechos expuestos en la demanda son, en síntesis, los siguientes:</w:t>
      </w:r>
    </w:p>
    <w:p w:rsidR="005728DD" w:rsidRDefault="005728DD" w:rsidP="005728DD">
      <w:pPr>
        <w:pStyle w:val="TextoNormal"/>
      </w:pPr>
    </w:p>
    <w:p w:rsidR="005728DD" w:rsidRDefault="005728DD" w:rsidP="005728DD">
      <w:pPr>
        <w:pStyle w:val="TextoNormal"/>
      </w:pPr>
      <w:r>
        <w:t>a) El 21 de marzo de 2018, el magistrado de la Sala de lo Penal del Tribunal Supremo que instruía la causa especial 20907-2017 dictó auto de procesamiento contra, entre otras personas, el demandante, entonces diputado del Parlamento de Cataluña, quien, acusado inicialmente de sedición, se hallaba en prisión provisional desde el 16 de octubre de 2017. El procesamiento lo fue por un posible delito de rebelión.</w:t>
      </w:r>
    </w:p>
    <w:p w:rsidR="005728DD" w:rsidRDefault="005728DD" w:rsidP="005728DD">
      <w:pPr>
        <w:pStyle w:val="TextoNormal"/>
      </w:pPr>
    </w:p>
    <w:p w:rsidR="005728DD" w:rsidRDefault="005728DD" w:rsidP="005728DD">
      <w:pPr>
        <w:pStyle w:val="TextoNormal"/>
      </w:pPr>
      <w:r>
        <w:t>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005728DD" w:rsidRDefault="005728DD" w:rsidP="005728DD">
      <w:pPr>
        <w:pStyle w:val="TextoNormal"/>
      </w:pPr>
    </w:p>
    <w:p w:rsidR="005728DD" w:rsidRDefault="005728DD" w:rsidP="005728DD">
      <w:pPr>
        <w:pStyle w:val="TextoNormal"/>
      </w:pPr>
      <w:r>
        <w:t>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005728DD" w:rsidRDefault="005728DD" w:rsidP="005728DD">
      <w:pPr>
        <w:pStyle w:val="TextoNormal"/>
      </w:pPr>
    </w:p>
    <w:p w:rsidR="005728DD" w:rsidRDefault="005728DD" w:rsidP="005728DD">
      <w:pPr>
        <w:pStyle w:val="TextoNormal"/>
      </w:pPr>
      <w:r>
        <w:t>d) El 28 de abril de 2019 se celebraron elecciones a Cortes Generales. La Junta Electoral Provincial de Barcelona proclamó al señor Sànchez i Picanyol que concurrió a los comicios en la candidatura electoral de Junts per Catalunya diputado al Congreso. El 21 de mayo, el recurrente concurrió a la sesión constitutiva del Congreso de los Diputados y participó en la votación para elegir a los miembros de la mesa de la Cámara.</w:t>
      </w:r>
    </w:p>
    <w:p w:rsidR="005728DD" w:rsidRDefault="005728DD" w:rsidP="005728DD">
      <w:pPr>
        <w:pStyle w:val="TextoNormal"/>
      </w:pPr>
    </w:p>
    <w:p w:rsidR="005728DD" w:rsidRDefault="005728DD" w:rsidP="005728DD">
      <w:pPr>
        <w:pStyle w:val="TextoNormal"/>
      </w:pPr>
      <w:r>
        <w:t xml:space="preserve">e) El 24 de mayo, la mesa del Congreso de los Diputados acordó declarar automáticamente suspendidos en el cargo y, por tanto, en los derechos y deberes establecidos en el Reglamento de la cámara, con efectos desde el 21 de mayo de 2019, al demandante de amparo, además de a los señores don Oriol Junqueras i Vies, don Josep Rull i Andreu y don Jordi Turull i Negre, por concurrir las circunstancias necesarias para la aplicación del artículo 384 </w:t>
      </w:r>
      <w:r w:rsidRPr="005728DD">
        <w:rPr>
          <w:i/>
        </w:rPr>
        <w:t>bis</w:t>
      </w:r>
      <w:r>
        <w:t xml:space="preserve"> de la Ley de enjuiciamiento criminal (LECrim). Se acordó comunicarlo así a los afectados y al Tribunal Supremo y encomendar a la secretaría general de la cámara la adopción de las medidas cautelares oportunas.</w:t>
      </w:r>
    </w:p>
    <w:p w:rsidR="005728DD" w:rsidRDefault="005728DD" w:rsidP="005728DD">
      <w:pPr>
        <w:pStyle w:val="TextoNormal"/>
      </w:pPr>
    </w:p>
    <w:p w:rsidR="005728DD" w:rsidRDefault="005728DD" w:rsidP="005728DD">
      <w:pPr>
        <w:pStyle w:val="TextoNormal"/>
      </w:pPr>
      <w:r>
        <w:lastRenderedPageBreak/>
        <w:t>f) Contra el acuerdo anterior se presentó una solicitud de reconsideración, ampliada posteriormente, ante la mesa del Congreso de los Diputados, que la desestimó el 11 de junio de 2019. Contra los citados acuerdos de 24 de mayo y de 11 de junio de 2019 se interpuso recurso de amparo por el ahora recurrente (recurso de amparo núm. 5196-2019), que fue desestimado por STC 97/2020, de 21 de julio.</w:t>
      </w:r>
    </w:p>
    <w:p w:rsidR="005728DD" w:rsidRDefault="005728DD" w:rsidP="005728DD">
      <w:pPr>
        <w:pStyle w:val="TextoNormal"/>
      </w:pPr>
    </w:p>
    <w:p w:rsidR="005728DD" w:rsidRDefault="005728DD" w:rsidP="005728DD">
      <w:pPr>
        <w:pStyle w:val="TextoNormal"/>
      </w:pPr>
      <w:r>
        <w:t>g) Con fecha de 5 de junio de 2019, la mesa del Congreso de los Diputados adopta el siguiente acuerdo, complementario al anterior de 24 de mayo:</w:t>
      </w:r>
    </w:p>
    <w:p w:rsidR="005728DD" w:rsidRDefault="005728DD" w:rsidP="005728DD">
      <w:pPr>
        <w:pStyle w:val="TextoNormal"/>
      </w:pPr>
    </w:p>
    <w:p w:rsidR="005728DD" w:rsidRDefault="005728DD" w:rsidP="005728DD">
      <w:pPr>
        <w:pStyle w:val="TextoNormal"/>
      </w:pPr>
      <w:r>
        <w:t>“1. Que la suspensión en el ejercicio del cargo y, por tanto, en los derechos y deberes establecidos en el Reglamento de la cámara, a los Excmos. señores don Oriol Junqueras i Vies, don Josep Rull i Andreu, don Jordi Sànchez i Picanyol y don Jordi Turull i Negre, acordada por la Mesa de la cámara en su reunión del día 24 de mayo de 2019, no puede afectar al cómputo legal del número de miembros de la cámara, ya que se les priva del ejercicio pero no de la titularidad del cargo.</w:t>
      </w:r>
    </w:p>
    <w:p w:rsidR="005728DD" w:rsidRDefault="005728DD" w:rsidP="005728DD">
      <w:pPr>
        <w:pStyle w:val="TextoNormal"/>
      </w:pPr>
    </w:p>
    <w:p w:rsidR="005728DD" w:rsidRDefault="005728DD" w:rsidP="005728DD">
      <w:pPr>
        <w:pStyle w:val="TextoNormal"/>
      </w:pPr>
      <w:r>
        <w:t>Por ello, debe entenderse que los diputados suspendidos mantienen la condición de miembros de la Cámara y, en consecuencia, deben computar a efectos de su composición fijada en 350 desde el día de su constitución, no afectando así al número de votos requerido para alcanzar la mayoría absoluta (176) ni al resto de las mayorías especiales que establezca la Constitución, las leyes orgánicas o el Reglamento del Congreso.</w:t>
      </w:r>
    </w:p>
    <w:p w:rsidR="005728DD" w:rsidRDefault="005728DD" w:rsidP="005728DD">
      <w:pPr>
        <w:pStyle w:val="TextoNormal"/>
      </w:pPr>
    </w:p>
    <w:p w:rsidR="005728DD" w:rsidRDefault="005728DD" w:rsidP="005728DD">
      <w:pPr>
        <w:pStyle w:val="TextoNormal"/>
      </w:pPr>
      <w:r>
        <w:t>2. Que, del mismo modo, cuando el Reglamento de la cámara señala que la composición de un determinado órgano se haga de manera proporcional a la importancia numérica de los grupos parlamentarios, la referencia base de esa proporcionalidad debe ser la total señalada de 350, si bien, en la medida en que los citados diputados no pueden pertenecer a ninguna comisión, ni formar parte de otros órganos como las ponencias o subcomisiones, esta circunstancia habrá de ser tenida en cuenta en el momento de determinar el número de miembros que en los distintos órganos corresponderá designar al Grupo Parlamentario Mixto.</w:t>
      </w:r>
    </w:p>
    <w:p w:rsidR="005728DD" w:rsidRDefault="005728DD" w:rsidP="005728DD">
      <w:pPr>
        <w:pStyle w:val="TextoNormal"/>
      </w:pPr>
    </w:p>
    <w:p w:rsidR="005728DD" w:rsidRDefault="005728DD" w:rsidP="005728DD">
      <w:pPr>
        <w:pStyle w:val="TextoNormal"/>
      </w:pPr>
      <w:r>
        <w:t xml:space="preserve">3. Que, considerando que la suspensión afecta a todos los derechos del diputado, incluyendo también el de incorporarse a un grupo parlamentario concreto, puesto que según la jurisprudencia constitucional (STC 76/2017) la formación de grupo parlamentario es un derecho del diputado que pertenece al núcleo esencial de su </w:t>
      </w:r>
      <w:r w:rsidRPr="005728DD">
        <w:rPr>
          <w:i/>
        </w:rPr>
        <w:t>ius in officium</w:t>
      </w:r>
      <w:r>
        <w:t>, procede la incorporación de los diputados suspendidos al Grupo Parlamentario Mixto.</w:t>
      </w:r>
    </w:p>
    <w:p w:rsidR="005728DD" w:rsidRDefault="005728DD" w:rsidP="005728DD">
      <w:pPr>
        <w:pStyle w:val="TextoNormal"/>
      </w:pPr>
    </w:p>
    <w:p w:rsidR="005728DD" w:rsidRDefault="005728DD" w:rsidP="005728DD">
      <w:pPr>
        <w:pStyle w:val="TextoNormal"/>
      </w:pPr>
      <w:r>
        <w:t>4. Que, no obstante lo anterior, la incorporación al Grupo Mixto lo debe ser tan solo a efectos de cumplir con el artículo 25.1 del reglamento, pero no puede servir ni a efectos de ponderar el voto en los casos en que sea precisa tal ponderación, como por ejemplo en la junta de portavoces, ni para la asignación del número de iniciativas correspondientes a dicho grupo cuya inclusión se establezca con referencia a un sistema de cupo, como las preguntas con respuesta oral en Pleno, las interpelaciones, proposiciones de ley y proposiciones no de ley en Pleno. A estos efectos, se descontarán los cuatro diputados suspendidos del número total de miembros del Grupo Parlamentario Mixto, una vez se formalice su incorporación al mismo.</w:t>
      </w:r>
    </w:p>
    <w:p w:rsidR="005728DD" w:rsidRDefault="005728DD" w:rsidP="005728DD">
      <w:pPr>
        <w:pStyle w:val="TextoNormal"/>
      </w:pPr>
    </w:p>
    <w:p w:rsidR="005728DD" w:rsidRDefault="005728DD" w:rsidP="005728DD">
      <w:pPr>
        <w:pStyle w:val="TextoNormal"/>
      </w:pPr>
      <w:r>
        <w:t xml:space="preserve">5. No autorizar el abono de las percepciones económicas propias de la condición de diputado, incluidas las que habrían correspondido a los citados diputados entre el 28 de abril y </w:t>
      </w:r>
      <w:r>
        <w:lastRenderedPageBreak/>
        <w:t>el 21 de mayo de 2019 conforme el acuerdo adoptado por la mesa de la cámara el día 23 de mayo de 2019, en relación con el devengo de las retribuciones de los diputados de la XIII legislatura.</w:t>
      </w:r>
    </w:p>
    <w:p w:rsidR="005728DD" w:rsidRDefault="005728DD" w:rsidP="005728DD">
      <w:pPr>
        <w:pStyle w:val="TextoNormal"/>
      </w:pPr>
    </w:p>
    <w:p w:rsidR="005728DD" w:rsidRDefault="005728DD" w:rsidP="005728DD">
      <w:pPr>
        <w:pStyle w:val="TextoNormal"/>
      </w:pPr>
      <w:r>
        <w:t>Todo ello, teniendo en cuenta que, al haberse declarado automáticamente suspendidos sus derechos tan pronto como perfeccionaron su condición, y mientras esta suspensión se mantenga, aquellos no han llegado a desplegar sus efectos, así como el hecho de que los diputados tenían, asimismo, la condición de diputados del Parlament de Cataluña durante el periodo anterior a la constitución de la cámara.</w:t>
      </w:r>
    </w:p>
    <w:p w:rsidR="005728DD" w:rsidRDefault="005728DD" w:rsidP="005728DD">
      <w:pPr>
        <w:pStyle w:val="TextoNormal"/>
      </w:pPr>
    </w:p>
    <w:p w:rsidR="005728DD" w:rsidRDefault="005728DD" w:rsidP="005728DD">
      <w:pPr>
        <w:pStyle w:val="TextoNormal"/>
      </w:pPr>
      <w:r>
        <w:t>6. Detraer la parte proporcional de la subvención correspondiente al Grupo Parlamentario Mixto, en lo relativo a la pertenencia al mismo de dichos diputados, una vez se formalice su incorporación a aquel.</w:t>
      </w:r>
    </w:p>
    <w:p w:rsidR="005728DD" w:rsidRDefault="005728DD" w:rsidP="005728DD">
      <w:pPr>
        <w:pStyle w:val="TextoNormal"/>
      </w:pPr>
    </w:p>
    <w:p w:rsidR="005728DD" w:rsidRDefault="005728DD" w:rsidP="005728DD">
      <w:pPr>
        <w:pStyle w:val="TextoNormal"/>
      </w:pPr>
      <w:r>
        <w:t>7. Proceder a dar de baja a los mencionados diputados en la cobertura de protección social prevista en el artículo 9 del Reglamento de la cámara, así como en la póliza de accidentes contratada por las Cortes Generales, mientras se mantenga la suspensión de sus derechos”.</w:t>
      </w:r>
    </w:p>
    <w:p w:rsidR="005728DD" w:rsidRDefault="005728DD" w:rsidP="005728DD">
      <w:pPr>
        <w:pStyle w:val="TextoNormal"/>
      </w:pPr>
    </w:p>
    <w:p w:rsidR="005728DD" w:rsidRDefault="005728DD" w:rsidP="005728DD">
      <w:pPr>
        <w:pStyle w:val="TextoNormal"/>
      </w:pPr>
      <w:r>
        <w:t>h) Contra el acuerdo anterior se presentó una solicitud de reconsideración ante la mesa del Congreso de los Diputados, que la desestimó el 25 (</w:t>
      </w:r>
      <w:r w:rsidRPr="005728DD">
        <w:rPr>
          <w:i/>
        </w:rPr>
        <w:t>sic</w:t>
      </w:r>
      <w:r>
        <w:t>) de julio de 2019. Contra los citados acuerdos de 5 de junio y 25 (</w:t>
      </w:r>
      <w:r w:rsidRPr="005728DD">
        <w:rPr>
          <w:i/>
        </w:rPr>
        <w:t>sic</w:t>
      </w:r>
      <w:r>
        <w:t>) de julio de 2019 se interpuso el presente recurso de amparo.</w:t>
      </w:r>
    </w:p>
    <w:p w:rsidR="005728DD" w:rsidRDefault="005728DD" w:rsidP="005728DD">
      <w:pPr>
        <w:pStyle w:val="TextoNormal"/>
      </w:pPr>
    </w:p>
    <w:p w:rsidR="005728DD" w:rsidRDefault="005728DD" w:rsidP="005728DD">
      <w:pPr>
        <w:pStyle w:val="TextoNormal"/>
      </w:pPr>
      <w:r>
        <w:t>B) La fundamentación en Derecho de la demanda de amparo puede ser resumida como sigue:</w:t>
      </w:r>
    </w:p>
    <w:p w:rsidR="005728DD" w:rsidRDefault="005728DD" w:rsidP="005728DD">
      <w:pPr>
        <w:pStyle w:val="TextoNormal"/>
      </w:pPr>
    </w:p>
    <w:p w:rsidR="005728DD" w:rsidRDefault="005728DD" w:rsidP="005728DD">
      <w:pPr>
        <w:pStyle w:val="TextoNormal"/>
      </w:pPr>
      <w:r>
        <w:t>a) Se estiman infringidos los derechos reconocidos en los artículos 23.2 y 24.2 CE, en conexión con los artículos 9.3, 16.1, 20.1 d) (</w:t>
      </w:r>
      <w:r w:rsidRPr="005728DD">
        <w:rPr>
          <w:i/>
        </w:rPr>
        <w:t>sic</w:t>
      </w:r>
      <w:r>
        <w:t>), 23.1, 24.1, 25, 33.3,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para la protección de los derechos humanos y de las libertades fundamentales (CEDH), que, conforme al artículo 6.3 TUE, forma parte, como principio general, del Derecho de la Unión Europea. Se invocan, asimismo, los artículos 17 y 48.1 de la Carta de los derechos fundamentales de la Unión Europea (CDFUE), el artículo 14.2 del Pacto internacional de derechos civiles y políticos (PIDCP), los artículos 6 y 7 del antes citado CEDH y el artículo 1 del Protocolo núm. 1 a dicho Convenio.</w:t>
      </w:r>
    </w:p>
    <w:p w:rsidR="005728DD" w:rsidRDefault="005728DD" w:rsidP="005728DD">
      <w:pPr>
        <w:pStyle w:val="TextoNormal"/>
      </w:pPr>
    </w:p>
    <w:p w:rsidR="005728DD" w:rsidRDefault="005728DD" w:rsidP="005728DD">
      <w:pPr>
        <w:pStyle w:val="TextoNormal"/>
      </w:pPr>
      <w:r>
        <w:t>b) Tras justificar la especial trascendencia constitucional del recurso, la demanda comienza por referirse a los argumentos expuestos por la mesa del Congreso de los Diputados para rechazar, en el acuerdo de 25 (</w:t>
      </w:r>
      <w:r w:rsidRPr="005728DD">
        <w:rPr>
          <w:i/>
        </w:rPr>
        <w:t>sic</w:t>
      </w:r>
      <w:r>
        <w:t>) de julio de 2019, la reconsideración de su resolución inicial, acuerdo de 5 de junio del mismo año, porque se considera que dichos acuerdos no tienen ninguna justificación jurídica que los avale.</w:t>
      </w:r>
    </w:p>
    <w:p w:rsidR="005728DD" w:rsidRDefault="005728DD" w:rsidP="005728DD">
      <w:pPr>
        <w:pStyle w:val="TextoNormal"/>
      </w:pPr>
    </w:p>
    <w:p w:rsidR="005728DD" w:rsidRDefault="005728DD" w:rsidP="005728DD">
      <w:pPr>
        <w:pStyle w:val="TextoNormal"/>
      </w:pPr>
      <w:r>
        <w:t xml:space="preserve">c) Los acuerdos impugnados en el presente recurso de amparo traen causa, según la demanda, de los acuerdos de la mesa del Congreso de 24 de mayo y 11 de junio de 2019, relativos a la suspensión del recurrente en el ejercicio del cargo de diputado. Por ello, la </w:t>
      </w:r>
      <w:r>
        <w:lastRenderedPageBreak/>
        <w:t xml:space="preserve">demanda da por reproducidos los argumentos esgrimidos en el recurso de amparo (núm. 5196-2019) planteado frente a los mismos, afirmando que la nulidad de dichos acuerdos traería como consecuencia la nulidad de los que ahora se recurren. A ello añade una serie de consideraciones adicionales. Por una parte, se refiere la demanda a que, con posterioridad a la interposición del recurso de amparo núm. 5196-2019, la Sala de lo Penal del Tribunal Supremo dictó sentencia en la causa especial 20907-2017, absolviendo al recurrente del delito de rebelión por el que había sido procesado por auto del magistrado instructor de la Sala de lo Penal del Tribunal Supremo de 21 de marzo de 2018. Entiende la parte recurrente que “la absolución por este delito confirma los argumentos de esta parte en relación con el uso torticero del procesamiento por rebelión para privar al recurrente, como al resto de los cargos electos procesados en aquella causa, de sus derechos políticos, con base en una interpretación radicalmente antidemocrática, así como contraria a los derechos fundamentales, del artículo 384 </w:t>
      </w:r>
      <w:r w:rsidRPr="005728DD">
        <w:rPr>
          <w:i/>
        </w:rPr>
        <w:t>bis</w:t>
      </w:r>
      <w:r>
        <w:t xml:space="preserve"> de la Ley de enjuiciamiento criminal”. Asimismo considera que “el procesamiento del recurrente por el delito de rebelión obedeció, como señaló el grupo de trabajo de las Naciones Unidas sobre la detención arbitraria en su opinión 6/2019, de 25 de abril de 2019, al ejercicio, por el recurrente, de sus derechos fundamentales, reconocidos en la Constitución, en el Convenio para la protección de los derechos humanos y de las libertades fundamentales y en el Pacto internacional de derechos civiles y políticos, incluido su derecho de participación política”.</w:t>
      </w:r>
    </w:p>
    <w:p w:rsidR="005728DD" w:rsidRDefault="005728DD" w:rsidP="005728DD">
      <w:pPr>
        <w:pStyle w:val="TextoNormal"/>
      </w:pPr>
    </w:p>
    <w:p w:rsidR="005728DD" w:rsidRDefault="005728DD" w:rsidP="005728DD">
      <w:pPr>
        <w:pStyle w:val="TextoNormal"/>
      </w:pPr>
      <w:r>
        <w:t xml:space="preserve">Por otra parte, se afirma que “más relevante si cabe resulta, a los efectos de lo que aquí se discute, el auto del magistrado instructor de la Sala de lo Penal del Tribunal Supremo de 14 de octubre de 2019, en que, sin modificar el procesamiento por rebelión de los señores Carles Puigdemont y Antoni Comín, acuerda que no procede, respecto de ellos, la suspensión a la que se refiere el artículo 384 </w:t>
      </w:r>
      <w:r w:rsidRPr="005728DD">
        <w:rPr>
          <w:i/>
        </w:rPr>
        <w:t>bis</w:t>
      </w:r>
      <w:r>
        <w:t xml:space="preserve"> de la Ley de enjuiciamiento criminal”. Considera el recurrente que este auto desmiente lo afirmado en el ATC 13/2019, de 26 de septiembre, mediante el que denegó la suspensión cautelar solicitada. Además, añade, “viene a poner de manifiesto la absoluta arbitrariedad de la actuación del Pleno del Tribunal Constitucional, que, con grosera vulneración del derecho a la tutela judicial efectiva, en su manifestación de derecho a la tutela judicial cautelar, así como a los derechos de participación y representación políticas del recurrente, y con pretextos que ahora han quedado desmentidos, denegó la suspensión cautelar (en relación con el recurrente, el ATC 13/2019, pero también en los AATC 128/2018, 12/2019 y 16/2019 respecto de otros procesados en la misma causa), solicitada al amparo del artículo 56 LOTC, del auto del magistrado instructor de la Sala de lo Penal del Tribunal Supremo de 9 de julio de 2018, así como el auto de la Sala de lo Penal de 30 de julio de 2018, que pretendieron suspender al recurrente como diputado al Parlamento de Cataluña”. A juicio del recurrente, el citado auto de 14 de octubre de 2019 ha venido a confirmar su interpretación y ha quedado acreditado que, contrariamente a lo que afirmó la mesa del Congreso de los Diputados en sus acuerdos de 24 de mayo y 11 de junio de 2019 [en los que se pretenden fundamentar los cuerdos de 5 de junio y 30 de julio de 2019 (</w:t>
      </w:r>
      <w:r w:rsidRPr="005728DD">
        <w:rPr>
          <w:i/>
        </w:rPr>
        <w:t>sic</w:t>
      </w:r>
      <w:r>
        <w:t xml:space="preserve">) impugnados en este recurso de amparo], el artículo 384 </w:t>
      </w:r>
      <w:r w:rsidRPr="005728DD">
        <w:rPr>
          <w:i/>
        </w:rPr>
        <w:t>bis</w:t>
      </w:r>
      <w:r>
        <w:t xml:space="preserve"> LECrim no supone la automática suspensión de un procesado por delito de rebelión que se encuentre en prisión provisional, sino que tal suspensión requiere en todo caso una actividad de ponderación de los intereses en conflicto que en todo caso debe dar lugar a una resolución judicial expresa. Considera que así lo pone claramente de manifiesto el hecho de que el auto del magistrado instructor de 14 de octubre de 2019, sin revisar el auto de procesamiento por delito de rebelión que afecta a los Excmos. señores don Carles Puigdemont y don Antoni Comín, haya acordado que tal precepto no resulta de aplicación a su situación personal.</w:t>
      </w:r>
    </w:p>
    <w:p w:rsidR="005728DD" w:rsidRDefault="005728DD" w:rsidP="005728DD">
      <w:pPr>
        <w:pStyle w:val="TextoNormal"/>
      </w:pPr>
    </w:p>
    <w:p w:rsidR="005728DD" w:rsidRDefault="005728DD" w:rsidP="005728DD">
      <w:pPr>
        <w:pStyle w:val="TextoNormal"/>
      </w:pPr>
      <w:r>
        <w:t xml:space="preserve">El recurrente señala que “este Tribunal Constitucional, lejos de amparar el ejercicio de los derechos de participación y representación políticas por parte de unos diputados democráticamente elegidos por las ciudadanas y los ciudadanos de Cataluña, con su actuación [...] ha amparado y coadyuvado a una actuación ilegal e ilegítima que ha vulnerado, no solo los derechos del recurrente, sino también los de las ciudadanas y los ciudadanos que lo eligieron, primero, como diputado al Parlamento de Cataluña, y posteriormente, como diputado del Congreso de los Diputados”. Sigue el recurrente afirmando que “el Tribunal Constitucional, al obrar de este modo, se ha situado por completo al margen del Derecho y ha dejado de actuar en el ejercicio de sus funciones constitucionales propias y ha puesto en riesgo máximo, para todos los ciudadanos y las ciudadanas de Cataluña, la efectividad de cuantas garantías y derechos preservan para ellos el Convenio europeo para la protección de los derechos humanos y de las libertades fundamentales (en particular el artículo 3 de su Protocolo núm. 1), así como el Pacto internacional de derechos civiles y políticos (en particular su artículo 25). Pero no solo estos, sino también el derecho a un proceso equitativo, el derecho a la legalidad penal (dado el carácter claramente sancionador del artículo 384 </w:t>
      </w:r>
      <w:r w:rsidRPr="005728DD">
        <w:rPr>
          <w:i/>
        </w:rPr>
        <w:t>bis</w:t>
      </w:r>
      <w:r>
        <w:t xml:space="preserve"> de la Ley de Enjuiciamiento Criminal), los derechos a las libertades de expresión, ideológica y de reunión, el derecho a un recurso efectivo, así como la prohibición de discriminación. Y en lo que respecta al recurrente, claramente, el derecho a la presunción de inocencia”. A su juicio, “de esta actuación ilegal e ilegítima de las instituciones del Estado no son sino un elemento más los acuerdos de la mesa del Congreso de los Diputados de 5 de junio y 30 de julio de 2019, impugnados en el presente recurso de amparo. Las decisiones previstas en dichos acuerdos, como la suspensión acordada por la mesa de la Cámara, ni estaba prevista en la ley, ni respondía a un objetivo legítimo, ni mucho menos era necesaria en una sociedad democrática, sino, antes bien, diametralmente contraria a las necesidades de una sociedad democrática”.</w:t>
      </w:r>
    </w:p>
    <w:p w:rsidR="005728DD" w:rsidRDefault="005728DD" w:rsidP="005728DD">
      <w:pPr>
        <w:pStyle w:val="TextoNormal"/>
      </w:pPr>
    </w:p>
    <w:p w:rsidR="005728DD" w:rsidRDefault="005728DD" w:rsidP="005728DD">
      <w:pPr>
        <w:pStyle w:val="TextoNormal"/>
      </w:pPr>
      <w:r>
        <w:t>Recuerda, a este respecto, la opinión de la Comisión de Venecia del Consejo de Europa sobre la Ley Orgánica 15/2015, de 16 de octubre, de reforma de la Ley Orgánica 2/1979, de 3 de octubre, del Tribunal Constitucional, en relación con el actual artículo 92.4 b) de la Ley Orgánica del Tribunal Constitucional (LOTC), en la que señala que la suspensión de parlamentarios con un mandato democrático resulta problemática, especialmente desde la perspectiva de su inmunidad. Entendiendo, además, que dicha conclusión “es perfectamente trasladable a la suspensión de diputados acordada por la mesa del Congreso de los Diputados en sus acuerdos de 5 de junio y 25</w:t>
      </w:r>
      <w:r w:rsidRPr="005728DD">
        <w:rPr>
          <w:i/>
        </w:rPr>
        <w:t xml:space="preserve"> (s</w:t>
      </w:r>
      <w:r>
        <w:t>ic) de julio de 2019”.</w:t>
      </w:r>
    </w:p>
    <w:p w:rsidR="005728DD" w:rsidRDefault="005728DD" w:rsidP="005728DD">
      <w:pPr>
        <w:pStyle w:val="TextoNormal"/>
      </w:pPr>
    </w:p>
    <w:p w:rsidR="005728DD" w:rsidRDefault="005728DD" w:rsidP="005728DD">
      <w:pPr>
        <w:pStyle w:val="TextoNormal"/>
      </w:pPr>
      <w:r>
        <w:t>d) Los acuerdos son nulos de pleno derecho por vulnerar autónomamente los derechos reconocidos en los artículos 14 y 23 CE, así como el artículo 3 del Protocolo núm. 1 del Convenio europeo para la protección de los derechos humanos y de las libertades fundamentales.</w:t>
      </w:r>
    </w:p>
    <w:p w:rsidR="005728DD" w:rsidRDefault="005728DD" w:rsidP="005728DD">
      <w:pPr>
        <w:pStyle w:val="TextoNormal"/>
      </w:pPr>
    </w:p>
    <w:p w:rsidR="005728DD" w:rsidRDefault="005728DD" w:rsidP="005728DD">
      <w:pPr>
        <w:pStyle w:val="TextoNormal"/>
      </w:pPr>
      <w:r>
        <w:t xml:space="preserve">(i) La demanda alega, en primer lugar, que el acuerdo de 5 de junio de 2019 fue dictado por un órgano manifiestamente incompetente, y que se ha producido la vulneración del derecho del diputado recurrente por su adopción sin audiencia de la junta de portavoces. El acuerdo de 5 de junio de 2019, en su apartado segundo, dispone expresamente que la suspensión de determinados diputados supone que los mismos “no pueden pertenecer a ninguna comisión, ni formar parte de otros órganos como las ponencias o subcomisiones”. Señala, además, que “esta circunstancia habrá de ser tenida en cuenta en el momento de determinar </w:t>
      </w:r>
      <w:r>
        <w:lastRenderedPageBreak/>
        <w:t>el número de miembros que en los distintos órganos corresponderá designar al Grupo Parlamentario Mixto”. Este último inciso se trata, a juicio de la demanda, de una disposición de carácter general, en los términos de la STC 118/1998, de 20 de junio. Se trata de “un instrumento ordenador que, como tal, completa el reglamento erigiéndose en pauta rectora de ulteriores relaciones y situaciones jurídicas, cuya eficacia no se agota en una aplicación, sino que permanece”.</w:t>
      </w:r>
    </w:p>
    <w:p w:rsidR="005728DD" w:rsidRDefault="005728DD" w:rsidP="005728DD">
      <w:pPr>
        <w:pStyle w:val="TextoNormal"/>
      </w:pPr>
    </w:p>
    <w:p w:rsidR="005728DD" w:rsidRDefault="005728DD" w:rsidP="005728DD">
      <w:pPr>
        <w:pStyle w:val="TextoNormal"/>
      </w:pPr>
      <w:r>
        <w:t xml:space="preserve">La competencia para la adopción de las disposiciones de carácter general corresponde, según el artículo 32.2 del Reglamento del Congreso de los Diputados (RCD) a la presidencia de la cámara, oída la junta de portavoces. Al adoptarse, pues, dicho inciso del acuerdo por un órgano al que no correspondía (la mesa, en lugar de la presidencia de la cámara), sin la preceptiva audiencia de la junta de portavoces (art. 32.2 RCD) se ha producido, a juicio de la demanda, idéntica vulneración a la apreciada por el Tribunal Constitucional en las SSTC 107/2016, 108/2016 y 109/2016, todas ellas de 7 junio, en las que se destacó el carácter esencial del trámite de audiencia a la junta de portavoces. En consecuencia, la adopción por la mesa del segundo apartado del acuerdo de 5 de junio, incurrió en vicio de incompetencia y vulneró el </w:t>
      </w:r>
      <w:r w:rsidRPr="005728DD">
        <w:rPr>
          <w:i/>
        </w:rPr>
        <w:t>ius in officium</w:t>
      </w:r>
      <w:r>
        <w:t xml:space="preserve"> de las diputadas y de los diputados del Grupo Parlamentario Mixto, incluido el recurrente.</w:t>
      </w:r>
    </w:p>
    <w:p w:rsidR="005728DD" w:rsidRDefault="005728DD" w:rsidP="005728DD">
      <w:pPr>
        <w:pStyle w:val="TextoNormal"/>
      </w:pPr>
    </w:p>
    <w:p w:rsidR="005728DD" w:rsidRDefault="005728DD" w:rsidP="005728DD">
      <w:pPr>
        <w:pStyle w:val="TextoNormal"/>
      </w:pPr>
      <w:r>
        <w:t>(ii) Aduce asimismo la demanda que los acuerdos son nulos de pleno derecho por cuanto alteran las mayorías del Congreso de los Diputados, vulneran los derechos de los diputados del Grupo Mixto, con expresa vulneración del RCD y de los derechos del recurrente. Tras reproducir parcialmente los apartados 2, 4 y 6 del acuerdo de 5 de junio de 2019, se alega que la mesa ha decidido atribuir determinadas consecuencias a la suspensión de la condición de diputado, vulnerando con ello la interdicción de la arbitrariedad de los poderes públicos, así como el derecho a una resolución motivada.</w:t>
      </w:r>
    </w:p>
    <w:p w:rsidR="005728DD" w:rsidRDefault="005728DD" w:rsidP="005728DD">
      <w:pPr>
        <w:pStyle w:val="TextoNormal"/>
      </w:pPr>
    </w:p>
    <w:p w:rsidR="005728DD" w:rsidRDefault="005728DD" w:rsidP="005728DD">
      <w:pPr>
        <w:pStyle w:val="TextoNormal"/>
      </w:pPr>
      <w:r>
        <w:t>A juicio de la demanda, los apartados segundo y cuarto del acuerdo de 5 de junio alteran las mayorías en las comisiones parlamentarias y otros órganos parlamentarios (excepto la mayoría absoluta en el Pleno del Congreso de los Diputados), y reducen la debida representación de los ciudadanos que optaron por la candidatura del diputado recurrente, que se quedan sin su parte proporcional de voto e iniciativas parlamentarias de conformidad con el reglamento. Parte proporcional que debería haberse calculado no respecto del número de diputados plenamente en ejercicio, sino proporcional a los diputados y escaños con los que cuentan, consecuencia lógica del reconocimiento de la propia mesa al asignarlos a un grupo parlamentario y considerar que sigue habiendo 350 diputados en el Pleno. Si hay 350 diputados, el Grupo Mixto no puede tener diputados para unas cosas y no para otras. Considera la demanda arbitrario tanto determinar que la mayoría absoluta se debe calcular computando en ella a los diputados ilegalmente suspendidos, pero sostener lo contrario en relación con los derechos de los diputados del Grupo Mixto, entre los que se cuenta el recurrente; así como sostener que el diputado recurrente no puede pertenecer al grupo parlamentario de su elección, porque se encontraría privado de su derecho a pertenecer a un grupo parlamentario, y obligarle a pertenecer al Grupo Mixto.</w:t>
      </w:r>
    </w:p>
    <w:p w:rsidR="005728DD" w:rsidRDefault="005728DD" w:rsidP="005728DD">
      <w:pPr>
        <w:pStyle w:val="TextoNormal"/>
      </w:pPr>
    </w:p>
    <w:p w:rsidR="005728DD" w:rsidRDefault="005728DD" w:rsidP="005728DD">
      <w:pPr>
        <w:pStyle w:val="TextoNormal"/>
      </w:pPr>
      <w:r>
        <w:t xml:space="preserve">Dichas consideraciones se extienden a lo dispuesto en el apartado sexto del acuerdo de 5 de junio, en lo relativo a la detracción de la parte proporcional de la subvención correspondiente Grupo Parlamentario Mixto, lo que, conforme a la STC 15/1992, de 10 de febrero, FJ 5, vulneraría el artículo 23.2 CE. En definitiva, con dicho acuerdo se habrían vulnerado </w:t>
      </w:r>
      <w:r>
        <w:lastRenderedPageBreak/>
        <w:t>los derechos del recurrente reconocidos en el artículo 23.2 CE y el principio de igualdad (artículo 14 CE), en comparación con el resto de diputados del Congreso y del resto de grupos, que han visto incrementada su proporción en las comisiones, las subvenciones y las iniciativas parlamentarias, así como se habría vulnerado el artículo 23.1 CE.</w:t>
      </w:r>
    </w:p>
    <w:p w:rsidR="005728DD" w:rsidRDefault="005728DD" w:rsidP="005728DD">
      <w:pPr>
        <w:pStyle w:val="TextoNormal"/>
      </w:pPr>
    </w:p>
    <w:p w:rsidR="005728DD" w:rsidRDefault="005728DD" w:rsidP="005728DD">
      <w:pPr>
        <w:pStyle w:val="TextoNormal"/>
      </w:pPr>
      <w:r>
        <w:t>(iii) Los apartados quinto y séptimo del acuerdo de 5 de junio de 2019 son nulos de pleno derecho por privar al recurrente de la asignación económica y de otros derechos de carácter económico. El acuerdo de 25 (</w:t>
      </w:r>
      <w:r w:rsidRPr="005728DD">
        <w:rPr>
          <w:i/>
        </w:rPr>
        <w:t>sic</w:t>
      </w:r>
      <w:r>
        <w:t>) de julio de 2019 desestima la solicitud de reconsideración en relación con este acuerdo sin fundamentación jurídica que pueda ser calificada de tal, vulnerando con ello, también, el derecho a una resolución motivada, en relación con el derecho a la defensa, así como el derecho a un proceso equitativo. Además, la demanda reitera que dicha nulidad deriva de la suspensión de la condición de diputado del recurrente a la que se refieren los acuerdos de 24 de mayo y 11 de junio de 2019, e incurre en las mismas vulneraciones que dichos acuerdos y así como del principio de igualdad (artículo 14 CE). Además, dicha vulneración se produce, también, por razones autónomas. Se recuerda, lo dispuesto en el artículo 71.4 CE y en la STC 36/2014, de 27 de febrero, FJ 6 b).</w:t>
      </w:r>
    </w:p>
    <w:p w:rsidR="005728DD" w:rsidRDefault="005728DD" w:rsidP="005728DD">
      <w:pPr>
        <w:pStyle w:val="TextoNormal"/>
      </w:pPr>
    </w:p>
    <w:p w:rsidR="005728DD" w:rsidRDefault="005728DD" w:rsidP="005728DD">
      <w:pPr>
        <w:pStyle w:val="TextoNormal"/>
      </w:pPr>
      <w:r>
        <w:t>Al respecto señala, por una parte, que, si bien le corresponde a la mesa de la Cámara determinar la cuantía de las subvenciones (artículo 8 RCD), no así el momento de su devengo, conforme al artículo 68.4 CE, que establece el mandato de los diputados, y al artículo 20.2 RCD que dispone que “los derechos y prerrogativas serán efectivos desde el momento mismo en que el diputado sea proclamado electo”. Ahora bien, la mesa del Congreso, en su reunión de 23 de mayo de 2019, acordó fijar en el 28 de abril de 2019, fecha de las elecciones, el día inicial del devengo de retribuciones por parte de las diputadas y los diputados de la Cámara.</w:t>
      </w:r>
    </w:p>
    <w:p w:rsidR="005728DD" w:rsidRDefault="005728DD" w:rsidP="005728DD">
      <w:pPr>
        <w:pStyle w:val="TextoNormal"/>
      </w:pPr>
    </w:p>
    <w:p w:rsidR="005728DD" w:rsidRDefault="005728DD" w:rsidP="005728DD">
      <w:pPr>
        <w:pStyle w:val="TextoNormal"/>
      </w:pPr>
      <w:r>
        <w:t>Además, aduce que no está en manos de la autonomía de las cámaras ni de la legislación el hecho de establecer o no una percepción económica, puesto que el artículo 71.4 CE prevé que todos los diputados tienen derecho a una asignación económica y, de conformidad con el artículo 8 RCD, la mesa tiene derecho a determinar la cuantía, pero no puede privar absolutamente de esa asignación a un diputado, aun en el caso de que se hallase legalmente suspendido de sus funciones.</w:t>
      </w:r>
    </w:p>
    <w:p w:rsidR="005728DD" w:rsidRDefault="005728DD" w:rsidP="005728DD">
      <w:pPr>
        <w:pStyle w:val="TextoNormal"/>
      </w:pPr>
    </w:p>
    <w:p w:rsidR="005728DD" w:rsidRDefault="005728DD" w:rsidP="005728DD">
      <w:pPr>
        <w:pStyle w:val="TextoNormal"/>
      </w:pPr>
      <w:r>
        <w:t xml:space="preserve">Por lo tanto, la mesa del Congreso, al negar el abono de la asignación económica constitucionalmente prevista al recurrente, ha vulnerado sus derechos, entre los que se cuenta la asignación. A ello añade que dichos acuerdos han situado al recurrente en peor condición que el diputado kurdo señor Selahattin Demirtas, el cual, como recuerda el Tribunal Europeo de Derechos Humanos en sentencia de 20 de noviembre de 2018, asunto </w:t>
      </w:r>
      <w:r w:rsidRPr="005728DD">
        <w:rPr>
          <w:i/>
        </w:rPr>
        <w:t>Demirtas</w:t>
      </w:r>
      <w:r>
        <w:t xml:space="preserve"> (apartado 240), por haber mantenido la condición de diputado de la Asamblea Nacional de Turquía, mantuvo la asignación económica correspondiente.</w:t>
      </w:r>
    </w:p>
    <w:p w:rsidR="005728DD" w:rsidRDefault="005728DD" w:rsidP="005728DD">
      <w:pPr>
        <w:pStyle w:val="TextoNormal"/>
      </w:pPr>
    </w:p>
    <w:p w:rsidR="005728DD" w:rsidRDefault="005728DD" w:rsidP="005728DD">
      <w:pPr>
        <w:pStyle w:val="TextoNormal"/>
      </w:pPr>
      <w:r>
        <w:t xml:space="preserve">La demanda específicamente se refiere a la privación de la asignación económica correspondiente entre los días 28 de abril y 21 de mayo de 2019, en los términos que había acordado, para todos los miembros de la cámara, la mesa del Congreso de los Diputados el 23 de mayo de 2019, y de la correspondiente cobertura de protección social y de la póliza de accidentes. Se pone de relieve que el recurrente participó en varias votaciones del Congreso en la sesión constitutiva de la XIII legislatura, pero lo hizo sin asignación económica, sin </w:t>
      </w:r>
      <w:r>
        <w:lastRenderedPageBreak/>
        <w:t>cotización a la Seguridad Social, así como sin póliza de accidentes durante ese día. Es evidente, a su juicio, que, solo por ello, los apartados quinto y séptimo del acuerdo de 5 de junio de 2019, confirmados por el acuerdo de la mesa del Congreso de los Diputados de 25 (</w:t>
      </w:r>
      <w:r w:rsidRPr="005728DD">
        <w:rPr>
          <w:i/>
        </w:rPr>
        <w:t>sic</w:t>
      </w:r>
      <w:r>
        <w:t>) de julio de 2019, vulneraron sus derechos. La privación de la cotización a la Seguridad Social y la privación de la póliza de accidentes respecto de una sesión de la cámara en que el diputado recurrente efectivamente participó, pone de manifiesto la absoluta arbitrariedad de los acuerdos adoptados.</w:t>
      </w:r>
    </w:p>
    <w:p w:rsidR="005728DD" w:rsidRDefault="005728DD" w:rsidP="005728DD">
      <w:pPr>
        <w:pStyle w:val="TextoNormal"/>
      </w:pPr>
    </w:p>
    <w:p w:rsidR="005728DD" w:rsidRDefault="005728DD" w:rsidP="005728DD">
      <w:pPr>
        <w:pStyle w:val="TextoNormal"/>
      </w:pPr>
      <w:r>
        <w:t>Lo anterior resulta también aplicable al apartado séptimo del acuerdo de la mesa del Congreso de los Diputados de 5 de junio de 2019, por el cual se “procede a dar de baja a los mencionados diputados en la cobertura de protección social prevista en el artículo 9 del Reglamento de la cámara”, sin que exista previsión normativa alguna que ampare la baja en la cobertura de protección social. Dicha baja es contraria a las disposiciones normativas aplicables en materia de Seguridad Social (en particular, el artículo 11 de la orden TAS/2865/2003, de 13 de octubre, por la que se regula el convenio especial en el Sistema de la Seguridad Social). Idénticas consideraciones, se añade, son de aplicación a la póliza de accidentes suscrita por las Cortes Generales. La privación de todos estos derechos vulnera el artículo 23 CE, en relación con su artículo 33.3, así como los derechos reconocidos en el artículo 17 de la Carta de los derechos fundamentales de la Unión Europea y el artículo 1 del Protocolo núm. 1 al Convenio europeo para la protección de los derechos humanos y de las libertades fundamentales.</w:t>
      </w:r>
    </w:p>
    <w:p w:rsidR="005728DD" w:rsidRDefault="005728DD" w:rsidP="005728DD">
      <w:pPr>
        <w:pStyle w:val="TextoNormal"/>
      </w:pPr>
    </w:p>
    <w:p w:rsidR="005728DD" w:rsidRDefault="005728DD" w:rsidP="005728DD">
      <w:pPr>
        <w:pStyle w:val="TextoNormal"/>
      </w:pPr>
      <w:r>
        <w:t>Destaca la demanda que, además, la privación de tales derechos se ha llevado a cabo sin dar audiencia al recurrente, incluso respecto de derechos (como el de la percepción de la asignación entre el 28 de abril y el 21 de mayo de 2019) que ya le habían sido reconocidos por la mesa de la cámara en la reunión de 23 de mayo de 2019. Por ello, se vulneran también así los derechos reconocidos en el artículo 6 CEDH.</w:t>
      </w:r>
    </w:p>
    <w:p w:rsidR="005728DD" w:rsidRDefault="005728DD" w:rsidP="005728DD">
      <w:pPr>
        <w:pStyle w:val="TextoNormal"/>
      </w:pPr>
    </w:p>
    <w:p w:rsidR="005728DD" w:rsidRDefault="005728DD" w:rsidP="005728DD">
      <w:pPr>
        <w:pStyle w:val="TextoNormal"/>
      </w:pPr>
      <w:r>
        <w:t>Finalmente, se pone de manifiesto que el Tribunal Constitucional, a la hora de resolver sobre estas cuestiones, ha de respetar el derecho a un recurso efectivo reconocido en el artículo 13 CEDH.</w:t>
      </w:r>
    </w:p>
    <w:p w:rsidR="005728DD" w:rsidRDefault="005728DD" w:rsidP="005728DD">
      <w:pPr>
        <w:pStyle w:val="TextoNormal"/>
      </w:pPr>
    </w:p>
    <w:p w:rsidR="005728DD" w:rsidRDefault="005728DD" w:rsidP="005728DD">
      <w:pPr>
        <w:pStyle w:val="TextoNormal"/>
      </w:pPr>
      <w:r>
        <w:t xml:space="preserve">Con cita del artículo 89.1 LOTC, se solicitó práctica de prueba documental, consistente en libramiento de oficio al registro central de medidas cautelares, requisitorias y sentencias no firmes para que se certificara si algún juez o tribunal ha decretado la medida prevista en el artículo 384 </w:t>
      </w:r>
      <w:r w:rsidRPr="005728DD">
        <w:rPr>
          <w:i/>
        </w:rPr>
        <w:t>bis</w:t>
      </w:r>
      <w:r>
        <w:t xml:space="preserve"> LECrim en relación con la condición de diputado del señor Sànchez i Picanyol, así como de la documentación que se acompañaba a la demanda; también se solicita libramiento de atento oficio al Congreso de los Diputados, por medio de la presidenta de su diputación permanente, para que aporte copia del convenio especial vigente con la Seguridad Social aplicable a los diputados del Congreso, así como de la póliza de accidentes contratada por las Cortes Generales.</w:t>
      </w:r>
    </w:p>
    <w:p w:rsidR="005728DD" w:rsidRDefault="005728DD" w:rsidP="005728DD">
      <w:pPr>
        <w:pStyle w:val="TextoNormal"/>
      </w:pPr>
    </w:p>
    <w:p w:rsidR="005728DD" w:rsidRDefault="005728DD" w:rsidP="005728DD">
      <w:pPr>
        <w:pStyle w:val="TextoNormal"/>
      </w:pPr>
      <w:r>
        <w:t>De conformidad con lo previsto en el artículo 83 LOTC, se solicitó, además, la acumulación del presente recurso de amparo al recurso núm. 5196-2019, por ser los acuerdos de 5 de junio y de 25 (</w:t>
      </w:r>
      <w:r w:rsidRPr="005728DD">
        <w:rPr>
          <w:i/>
        </w:rPr>
        <w:t>sic</w:t>
      </w:r>
      <w:r>
        <w:t>) de julio de 2019 complementarios, según asegura la propia mesa del Congreso de los Diputados, de los acuerdos de 24 de mayo y 11 de junio impugnados en aquel.</w:t>
      </w:r>
    </w:p>
    <w:p w:rsidR="005728DD" w:rsidRDefault="005728DD" w:rsidP="005728DD">
      <w:pPr>
        <w:pStyle w:val="TextoNormal"/>
      </w:pPr>
    </w:p>
    <w:p w:rsidR="005728DD" w:rsidRDefault="005728DD" w:rsidP="005728DD">
      <w:pPr>
        <w:pStyle w:val="TextoNormal"/>
      </w:pPr>
      <w:r>
        <w:lastRenderedPageBreak/>
        <w:t>Con cita de los artículos 53 y 55 LOTC, se pretendió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en condiciones de igualdad (art. 23.2 CE); (ii) del derecho de los ciudadanos a participar en los asuntos públicos por medio de representantes (art. 23.1 CE); (iii) del derecho del recurrente a participar en la vida democrática de la Unión (art. 10.3 TUE), todo ello en relación con el artículo 3 del Protocolo adicional 1 al CEDH y con el artículo 25 PIDCP, así como de los derechos conexos invocados, y (iv) del derecho del recurrente a la presunción de inocencia (arts. 24.2 CE y 48.1 CDFUE), así como derechos conexos invocados.</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10 de marzo de 2020, el Pleno acordó, conforme al artículo 10.1 n) LOTC, a propuesta de tres magistrados, recabar para sí el conocimiento del recurso de amparo,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aplicación de lo dispuesto en el artículo 51 LOTC, que se dirigiera atenta comunicación a la presidenta del Congreso de los Diputados, a fin de que, en plazo que no excediera de diez días, remitiera certificación o fotocopia adverada de las actuaciones correspondientes a los acuerdos de la mesa del Congreso de 5 de junio y de 25 de julio de 2019, debiendo previamente emplazarse a quienes hubieran sido parte en el procedimiento, excepto al recurrente en amparo, para que en el plazo de diez días pudieran comparecer, si lo desearan,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Por diligencia de ordenación de 12 de junio de 2020 se tuvo por personado y parte en el procedimiento al Congreso de los Diputados, y a tenor de lo dispuesto en el artículo 52 de la Ley Orgánica de este tribunal, se dio vista de todas las actuaciones del presente recurso de amparo, en la secretaría del Pleno, al Ministerio Fiscal y las partes personadas, por un plazo común de veinte días, para que dentro de dicho término pudieran presentar las alegaciones que a su derecho convengan.</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escrito que tuvo entrada en el registro general del tribunal el 3 de julio de 2020 presentó, sus alegaciones el Ministerio Fiscal, en las que solicita se inadmita el recurso por falta de legitimación del recurrente en cuanto a los pronunciamientos de los acuerdos impugnados contenidos en los puntos 2, 4 y 6 que afectan a los derechos atribuidos al Grupo Parlamentario Mixto, cuya representación legal no ostenta el demandante, y se desestime el recurso en todo lo demás. Pueden resumirse en los términos siguientes:</w:t>
      </w:r>
    </w:p>
    <w:p w:rsidR="005728DD" w:rsidRDefault="005728DD" w:rsidP="005728DD">
      <w:pPr>
        <w:pStyle w:val="TextoNormal"/>
      </w:pPr>
    </w:p>
    <w:p w:rsidR="005728DD" w:rsidRDefault="005728DD" w:rsidP="005728DD">
      <w:pPr>
        <w:pStyle w:val="TextoNormal"/>
      </w:pPr>
      <w:r>
        <w:t>A) Se comienza exponiendo los antecedentes de hecho del presente recurso de amparo, en los que pone de manifiesto que, aunque el recurrente identifica el acuerdo por el que se desestima la solicitud de reconsideración con fecha de 25 de julio de 2019, la fecha de adopción de dicho acuerdo es de 16 de julio, siendo el 25 de julio la fecha de notificación del mismo. Aborda, a continuación, las siguientes cuestiones de carácter preliminar:</w:t>
      </w:r>
    </w:p>
    <w:p w:rsidR="005728DD" w:rsidRDefault="005728DD" w:rsidP="005728DD">
      <w:pPr>
        <w:pStyle w:val="TextoNormal"/>
      </w:pPr>
    </w:p>
    <w:p w:rsidR="005728DD" w:rsidRDefault="005728DD" w:rsidP="005728DD">
      <w:pPr>
        <w:pStyle w:val="TextoNormal"/>
      </w:pPr>
      <w:r>
        <w:lastRenderedPageBreak/>
        <w:t>a) En relación con la acumulación del presente recurso de amparo con el recurso de amparo núm. 5196-2019, entiende que se dan las condiciones de conexidad para la acumulación dichos recursos teniendo en cuenta que su objeto lo constituye la impugnación de acuerdos de la mesa del Congreso directamente conectados, teniendo los impugnados en el presente recurso carácter complementario respecto de los anteriores, así como que en ambos recursos el demandante es el mismo y que la pretensión de amparo deducida en ambos presenta una relevante identidad. Procede por ello, aduce el Ministerio Fiscal, que el tribunal, apreciando esta conexidad, acuerde la acumulación del presente recurso al 5196-2019, para su tramitación y decisión de manera unitaria.</w:t>
      </w:r>
    </w:p>
    <w:p w:rsidR="005728DD" w:rsidRDefault="005728DD" w:rsidP="005728DD">
      <w:pPr>
        <w:pStyle w:val="TextoNormal"/>
      </w:pPr>
    </w:p>
    <w:p w:rsidR="005728DD" w:rsidRDefault="005728DD" w:rsidP="005728DD">
      <w:pPr>
        <w:pStyle w:val="TextoNormal"/>
      </w:pPr>
      <w:r>
        <w:t>b) Aunque el demandante ha perdido la condición de diputado por la disolución de las Cortes Generales (Real Decreto 551/2019, de 24 de septiembre) y, posteriormente, por la sentencia 459/2019, de 14 de octubre, de la Sala de lo Penal del Tribunal Supremo, estima que subsiste el objeto del recurso de amparo y la necesidad de pronunciamiento sobre la pretensión deducida, puesto que el recurso se interpone contra los acuerdos de la mesa del Congreso que, con carácter complementario a los acuerdos que declararon la suspensión en el ejercicio del cargo que en aquel momento ostentaba, establecen los efectos y el alcance de esa suspensión, ello con independencia del alcance que, en su caso, pudiera tener un pronunciamiento estimatorio. Estos acuerdos desplegaron su eficacia, en algún caso, desde el día 21 de mayo de 2019 —fecha de constitución de la cámara—, hasta su disolución el 24 de septiembre, momento en el que los acuerdos de la mesa dejaron de tener virtualidad.</w:t>
      </w:r>
    </w:p>
    <w:p w:rsidR="005728DD" w:rsidRDefault="005728DD" w:rsidP="005728DD">
      <w:pPr>
        <w:pStyle w:val="TextoNormal"/>
      </w:pPr>
    </w:p>
    <w:p w:rsidR="005728DD" w:rsidRDefault="005728DD" w:rsidP="005728DD">
      <w:pPr>
        <w:pStyle w:val="TextoNormal"/>
      </w:pPr>
      <w:r>
        <w:t>c) El Ministerio Fiscal cuestiona la legitimación del recurrente para impugnar la totalidad de los pronunciamientos que se recogen en los acuerdos de la mesa del Congreso de 5 de junio y 16 de julio de 2017, por la diversa naturaleza de los mismos. Diferencia de esta manera en sus alegaciones dos tipos de pronunciamientos:</w:t>
      </w:r>
    </w:p>
    <w:p w:rsidR="005728DD" w:rsidRDefault="005728DD" w:rsidP="005728DD">
      <w:pPr>
        <w:pStyle w:val="TextoNormal"/>
      </w:pPr>
    </w:p>
    <w:p w:rsidR="005728DD" w:rsidRDefault="005728DD" w:rsidP="005728DD">
      <w:pPr>
        <w:pStyle w:val="TextoNormal"/>
      </w:pPr>
      <w:r>
        <w:t>(i) Pronunciamientos del acuerdo de la mesa del Congreso de los Diputados de 5 de junio de 2019 que inciden directamente en los derechos que integran el estatus parlamentario del recurrente: “los diputados suspendidos no pueden pertenecer a ninguna comisión, ni formar parte de otros órganos como ponencias o subcomisiones” (punto 2); “incorporación de los diputados suspendidos al Grupo Parlamentario Mixto” (punto 3 del acuerdo); “no autorizar el abono de las percepciones económicas propias de la condición de diputado, incluidas las que habrían correspondido a los citados diputados entre el 28 de abril y el 21 de mayo de 2019, conforme al acuerdo adoptado por la mesa de la cámara el 23 de mayo de 2019, en relación con el devengo de las retribuciones de los diputados de la XIII legislatura” (punto 5); y “proceder a dar de baja a los mencionados diputados en la cobertura de protección social prevista en el art. 9 del Reglamento de la cámara, así como en la póliza de accidentes contratada por la Cortes Generales, mientras se mantenga la suspensión de sus derechos” (punto 7).</w:t>
      </w:r>
    </w:p>
    <w:p w:rsidR="005728DD" w:rsidRDefault="005728DD" w:rsidP="005728DD">
      <w:pPr>
        <w:pStyle w:val="TextoNormal"/>
      </w:pPr>
    </w:p>
    <w:p w:rsidR="005728DD" w:rsidRDefault="005728DD" w:rsidP="005728DD">
      <w:pPr>
        <w:pStyle w:val="TextoNormal"/>
      </w:pPr>
      <w:r>
        <w:t xml:space="preserve">(ii) Pronunciamientos del acuerdo 5 de junio de 2019 que se refieren a las consecuencias que tiene la suspensión de los cuatro diputados electos en la composición y funcionamiento de los órganos de la cámara y pronunciamientos que afectan a los derechos del Grupo Parlamentario Mixto: número de miembros que integran la cámara y el cómputo de los votos para alcanzar los acuerdos por mayoría absoluta o por otras mayorías especiales requeridas (punto 1); número de miembros que en los distintos órganos corresponde designar al Grupo Parlamentario Mixto (punto 2); modo de adopción de los acuerdos en los distintos órganos </w:t>
      </w:r>
      <w:r>
        <w:lastRenderedPageBreak/>
        <w:t>de la cámara en los casos en los que se contempla por el reglamento la ponderación del voto o la asignación por cupo de las iniciativas al Grupo Parlamentario Mixto (punto 4); regulación de la subvención del Grupo Parlamentario Mixto (punto 6).</w:t>
      </w:r>
    </w:p>
    <w:p w:rsidR="005728DD" w:rsidRDefault="005728DD" w:rsidP="005728DD">
      <w:pPr>
        <w:pStyle w:val="TextoNormal"/>
      </w:pPr>
    </w:p>
    <w:p w:rsidR="005728DD" w:rsidRDefault="005728DD" w:rsidP="005728DD">
      <w:pPr>
        <w:pStyle w:val="TextoNormal"/>
      </w:pPr>
      <w:r>
        <w:t xml:space="preserve">El Ministerio Fiscal parte de la doctrina del Tribunal Constitucional sobre la legitimación en materia de recursos de amparo parlamentarios, reproduciendo lo afirmado en la STC 24/2020, de 13 de febrero, FFJJ 3 y 4, y considera que el recurrente tiene legitimación para recurrir los pronunciamientos que se refieren a la composición y funcionamiento de los distintos órganos de la cámara y a la adopción de acuerdos y, en concreto, los que establecen el cómputo legal de miembros de la cámara y el número de votos requeridos para la mayoría absoluta y las diferentes mayorías especiales (punto 1) y la adopción de acuerdos en los que se contempla la ponderación de votos (punto 4). Con relación a estos pronunciamientos señala que, si bien no suponen directamente una restricción de los derechos y facultades que el Reglamento del Congreso de los Diputados atribuye a cada diputado, considera que forma parte de su </w:t>
      </w:r>
      <w:r w:rsidRPr="005728DD">
        <w:rPr>
          <w:i/>
        </w:rPr>
        <w:t>ius in officium</w:t>
      </w:r>
      <w:r>
        <w:t xml:space="preserve"> el que el funcionamiento de la cámara y de sus órganos se produzca conforme al procedimiento establecido en el reglamento y que los acuerdos que se adopten por dichos órganos lo sean de conformidad con lo establecido en el mismo. La infracción del procedimiento establecido reglamentariamente para la adopción de los acuerdos incide en la correcta formación de la voluntad de la cámara o de sus órganos, pudiendo dar lugar a que se establezcan mayorías parlamentarias fraudulentas contrarias al derecho de representación política que ostenta cada diputado.</w:t>
      </w:r>
    </w:p>
    <w:p w:rsidR="005728DD" w:rsidRDefault="005728DD" w:rsidP="005728DD">
      <w:pPr>
        <w:pStyle w:val="TextoNormal"/>
      </w:pPr>
    </w:p>
    <w:p w:rsidR="005728DD" w:rsidRDefault="005728DD" w:rsidP="005728DD">
      <w:pPr>
        <w:pStyle w:val="TextoNormal"/>
      </w:pPr>
      <w:r>
        <w:t>Sin embargo, entiende que el ahora recurrente en amparo carece de legitimación para impugnar el acuerdo de la mesa de 5 de junio respecto de los pronunciamientos que inciden en los derechos que el reglamento atribuye a los grupos parlamentarios y, en concreto, al Grupo Mixto, en cuanto que ha comparecido a título individual y sin ostentar representación legal del grupo parlamentario en el que resulta integrado. En dichos pronunciamientos incluye el Ministerio Fiscal el número de miembros que en los distintos órganos corresponde designar al Grupo Parlamentario Mixto (punto 2); el número de iniciativas que corresponden al Grupo Parlamentario Mixto con referencia a un sistema de cupo, en el que se descontará los cuatro diputados suspendidos del número total de diputados de dicho grupo (punto 4), y la subvención correspondiente al Grupo Parlamentario Mixto (punto 6).</w:t>
      </w:r>
    </w:p>
    <w:p w:rsidR="005728DD" w:rsidRDefault="005728DD" w:rsidP="005728DD">
      <w:pPr>
        <w:pStyle w:val="TextoNormal"/>
      </w:pPr>
    </w:p>
    <w:p w:rsidR="005728DD" w:rsidRDefault="005728DD" w:rsidP="005728DD">
      <w:pPr>
        <w:pStyle w:val="TextoNormal"/>
      </w:pPr>
      <w:r>
        <w:t>El Ministerio Fiscal estima, en definitiva, que debe apreciarse que el recurrente está legitimado para impugnar aquellos pronunciamientos del acuerdo de la mesa del Congreso de 5 de junio que bien inciden directamente en los derechos individuales que integran su estatus parlamentario, o bien se refieren a los mecanismos o criterios para la adopción de acuerdos en los órganos parlamentarios, afectando al proceso para la formación de la voluntad parlamentaria, por lo que ha de considerarse que inciden en el derecho al ejercicio del cargo de representación política del demandante y, correlativamente en el derecho de los ciudadanos a participar en los asuntos públicos a través de sus legítimos representantes. No concurre, sin embargo, legitimación del demandante para impugnar en el presente recurso de amparo los pronunciamientos del acuerdo de la Mesa de 5 de junio de 2019 que inciden en los derechos que el Reglamento del Congreso de los Diputados atribuye al Grupo Parlamentario Mixto, al no haber comparecido ostentado su representación legal (STC 24/2020).</w:t>
      </w:r>
    </w:p>
    <w:p w:rsidR="005728DD" w:rsidRDefault="005728DD" w:rsidP="005728DD">
      <w:pPr>
        <w:pStyle w:val="TextoNormal"/>
      </w:pPr>
    </w:p>
    <w:p w:rsidR="005728DD" w:rsidRDefault="005728DD" w:rsidP="005728DD">
      <w:pPr>
        <w:pStyle w:val="TextoNormal"/>
      </w:pPr>
      <w:r>
        <w:lastRenderedPageBreak/>
        <w:t>B) Se analiza, a continuación, la alegación de la demanda relativa a la nulidad de los acuerdos de la mesa de 5 de junio y de 16 de julio, de acuerdo con la nulidad de los impugnados en el recurso de amparo núm. 5196-2019, en la medida en que los primeros traen causa y son complementarios de los segundos. Respecto de esta alegación, el Ministerio Fiscal, a su vez, da por reproducidas sus alegaciones en el recurso de amparo 5196-2019.</w:t>
      </w:r>
    </w:p>
    <w:p w:rsidR="005728DD" w:rsidRDefault="005728DD" w:rsidP="005728DD">
      <w:pPr>
        <w:pStyle w:val="TextoNormal"/>
      </w:pPr>
    </w:p>
    <w:p w:rsidR="005728DD" w:rsidRDefault="005728DD" w:rsidP="005728DD">
      <w:pPr>
        <w:pStyle w:val="TextoNormal"/>
      </w:pPr>
      <w:r>
        <w:t>Además, rechaza las alegaciones adicionales del recurrente en las que, como refuerzo de lo argumentado en el recurso 5196-2019, aduce que debe tenerse en cuenta, y dado que se dictaron con posterioridad a interponer el mismo, tanto la sentencia dictada el 14 de octubre de 2019, por la Sala Penal del Tribunal Supremo, como el auto de 14 de octubre de 2019, del magistrado instructor de la causa especial 20907-2017. Entiende el Ministerio Fiscal que las alegaciones del recurrente son una apreciación subjetiva y las realizadas sobre la sentencia no pueden ser acogidas con respecto a un recurso de amparo parlamentario, en cuanto que su objeto debe quedar limitado al enjuiciamiento sobre la constitucionalidad de los actos y decisiones de los órganos de los parlamentos que no tienen fuerza de ley, sin que sea posible reclamar por la vía de un recurso de amparo parlamentario que en sus decisiones o acuerdos estos órganos no entraron a revisar o a cuestionar las resoluciones de los de la jurisdicción penal que fueron dictadas en los procesos de su competencia. Por lo que se refiere al auto de 14 de octubre de 2019, por el magistrado instructor de la causa especial 20907-2017, que invoca el recurrente, señala que dicho auto no puede ser acogido para hacer valer que la suspensión del ejercicio del cargo de los diputados procesados por rebelión, no es automática ni se produce directament</w:t>
      </w:r>
      <w:r w:rsidRPr="005728DD">
        <w:rPr>
          <w:i/>
        </w:rPr>
        <w:t>e ex le</w:t>
      </w:r>
      <w:r>
        <w:t>ge.</w:t>
      </w:r>
    </w:p>
    <w:p w:rsidR="005728DD" w:rsidRDefault="005728DD" w:rsidP="005728DD">
      <w:pPr>
        <w:pStyle w:val="TextoNormal"/>
      </w:pPr>
    </w:p>
    <w:p w:rsidR="005728DD" w:rsidRDefault="005728DD" w:rsidP="005728DD">
      <w:pPr>
        <w:pStyle w:val="TextoNormal"/>
      </w:pPr>
      <w:r>
        <w:t xml:space="preserve">Dicho auto se pronuncia sobre la situación personal de los procesados don Carles Puigdemont i Casamajó y don Antonio Comín i Oliveres, tras la sentencia dictada el 14 de octubre de 2019, por la Sala Penal del Tribunal Supremo. La situación procesal difiere, notoriamente, de la que tuvieron el resto de los procesados en la causa especial 20907-2017 que fueron posteriormente enjuiciados y condenados en la sentencia dictada por la Sala Penal del Tribunal Supremo. El ahora recurrente en amparo ha estado procesado en firme por delito de rebelión y en situación de prisión provisional durante la tramitación de la causa y hasta la sentencia de 14 de octubre de 2019 por lo que, cuando se dictan los acuerdos de la mesa del Congreso que se impugnan en el presente recurso de amparo y en el recurso de amparo núm. 5196-2019, concurrían plenamente en él las circunstancias que contempla el art. 384 </w:t>
      </w:r>
      <w:r w:rsidRPr="005728DD">
        <w:rPr>
          <w:i/>
        </w:rPr>
        <w:t>bis</w:t>
      </w:r>
      <w:r>
        <w:t xml:space="preserve"> LECrim, para declarar la suspensión automática en el ejercicio de los cargos públicos que se ostentasen. El auto de 14 de octubre de 2019 del magistrado instructor, cuando dispone comunicar a la mesa del Parlamento del Cataluña que a los procesados y miembros de ese parlamento, señores don Carles Puigdemont y don Antoní Comin, no les es aplicable la suspensión del art. 384 </w:t>
      </w:r>
      <w:r w:rsidRPr="005728DD">
        <w:rPr>
          <w:i/>
        </w:rPr>
        <w:t>bis</w:t>
      </w:r>
      <w:r>
        <w:t xml:space="preserve"> LECrim, lo hace teniendo en cuenta la sentencia del Tribunal Supremo que condenó por delito de sedición, a quienes estaban acusados por hechos similares a aquellos por los que está procesado don Carles Puigdemont.</w:t>
      </w:r>
    </w:p>
    <w:p w:rsidR="005728DD" w:rsidRDefault="005728DD" w:rsidP="005728DD">
      <w:pPr>
        <w:pStyle w:val="TextoNormal"/>
      </w:pPr>
    </w:p>
    <w:p w:rsidR="005728DD" w:rsidRDefault="005728DD" w:rsidP="005728DD">
      <w:pPr>
        <w:pStyle w:val="TextoNormal"/>
      </w:pPr>
      <w:r>
        <w:t>Del fundamento jurídico undécimo de dicho auto de 14 de octubre se desprende que el instructor está tomando en consideración la calificación jurídica de los hechos que resulta de la sentencia de la Sala Penal del Tribunal Supremo, y su proyección en un eventual revisión del procesamiento, cuando se reabra la causa ahora suspendida para los procesados en rebeldía.</w:t>
      </w:r>
    </w:p>
    <w:p w:rsidR="005728DD" w:rsidRDefault="005728DD" w:rsidP="005728DD">
      <w:pPr>
        <w:pStyle w:val="TextoNormal"/>
      </w:pPr>
    </w:p>
    <w:p w:rsidR="005728DD" w:rsidRDefault="005728DD" w:rsidP="005728DD">
      <w:pPr>
        <w:pStyle w:val="TextoNormal"/>
      </w:pPr>
      <w:r>
        <w:lastRenderedPageBreak/>
        <w:t xml:space="preserve">Por lo anterior, el Ministerio Fiscal entiende que debe rechazarse que el auto dictado el 14 de octubre de 2019 por el magistrado instructor de la causa especial permita considerar que la suspensión en el ejercicio del cargo público electivo que establece el art. 384 </w:t>
      </w:r>
      <w:r w:rsidRPr="005728DD">
        <w:rPr>
          <w:i/>
        </w:rPr>
        <w:t>bis</w:t>
      </w:r>
      <w:r>
        <w:t xml:space="preserve"> LECrim, no se produce automáticamente y </w:t>
      </w:r>
      <w:r w:rsidRPr="005728DD">
        <w:rPr>
          <w:i/>
        </w:rPr>
        <w:t>ex lege</w:t>
      </w:r>
      <w:r>
        <w:t>, como declaran los acuerdos de la mesa del Congreso impugnados al concurrir en el demandante de amparo los presupuestos que contempla ese precepto (procesamiento firme por los delitos enunciados y situación de prisión preventiva).</w:t>
      </w:r>
    </w:p>
    <w:p w:rsidR="005728DD" w:rsidRDefault="005728DD" w:rsidP="005728DD">
      <w:pPr>
        <w:pStyle w:val="TextoNormal"/>
      </w:pPr>
    </w:p>
    <w:p w:rsidR="005728DD" w:rsidRDefault="005728DD" w:rsidP="005728DD">
      <w:pPr>
        <w:pStyle w:val="TextoNormal"/>
      </w:pPr>
      <w:r>
        <w:t>C) El Ministerio Fiscal rechaza, asimismo, que los acuerdos sean nulos por falta de competencia del órgano rector de la cámara para adoptarlos, y que vulneren el derecho fundamental al ejercicio del derecho parlamentario. Al respecto, pone de manifiesto que el razonamiento del acuerdo de la mesa de 16 de julio conforme al cual, siendo el acuerdo de 5 de junio de 2019 complementario de la declaración de suspensión en el ejercicio del cargo de cuatro diputados, la competencia para precisar los efectos y alcance de la suspensión debe entenderse también competencia del órgano rector colegiado que la declaró, no puede considerarse que infrinja la previsión del artículo 32.2 RCD. Tampoco que la decisión adoptada colegiadamente por la mesa del Congreso y no a título individual por el presidente que es miembro de ella, tenga relevancia constitucional en relación con una posible vulneración del derecho al ejercicio del cargo parlamentario. Es precisamente la garantía de la intervención del órgano colegiado, además de la junta de portavoces, la que se contempla por el artículo 32.2 RCD, cuando el presidente vaya a adoptar alguna decisión que tenga alcance general. Por otra parte, debe rechazarse que se haya privado al recurrente del derecho a la intervención de la junta de portavoces, puesto que se contempla preceptivamente esa intervención a través de la solicitud de reconsideración que puede ser ejercitada contra el acuerdo adoptado y, en este caso, la junta de portavoces fue oída en la sesión de fecha 16 de julio, previamente a resolver la mesa del Congreso sobre la solicitud de reconsideración presentada contra el acuerdo de 5 de junio de 2019.</w:t>
      </w:r>
    </w:p>
    <w:p w:rsidR="005728DD" w:rsidRDefault="005728DD" w:rsidP="005728DD">
      <w:pPr>
        <w:pStyle w:val="TextoNormal"/>
      </w:pPr>
    </w:p>
    <w:p w:rsidR="005728DD" w:rsidRDefault="005728DD" w:rsidP="005728DD">
      <w:pPr>
        <w:pStyle w:val="TextoNormal"/>
      </w:pPr>
      <w:r>
        <w:t xml:space="preserve">D) El Ministerio Fiscal analiza las vulneraciones aducidas por el recurrente por los pronunciamientos que, a su juicio, inciden en el </w:t>
      </w:r>
      <w:r w:rsidRPr="005728DD">
        <w:rPr>
          <w:i/>
        </w:rPr>
        <w:t>ius in officium</w:t>
      </w:r>
      <w:r>
        <w:t xml:space="preserve"> del recurrente y, en concreto, por lo dispuesto en los puntos 2, 3, 5 y 7 del acuerdo de 5 de junio, partiendo de la consideración de que la suspensión en los derechos del cargo parlamentario de los diputados suspendidos fue ya declarada por el acuerdo de la mesa del Congreso de 24 de mayo de 2019, ratificado por el de fecha 11 de junio, pues en él, la mesa del Congreso declaró: "automáticamente suspendidos en el ejercicio del cargo parlamentario y, consiguientemente, en los derechos y deberes establecidos en el Reglamento de la cámara" al demandante y a otros tres diputados.</w:t>
      </w:r>
    </w:p>
    <w:p w:rsidR="005728DD" w:rsidRDefault="005728DD" w:rsidP="005728DD">
      <w:pPr>
        <w:pStyle w:val="TextoNormal"/>
      </w:pPr>
    </w:p>
    <w:p w:rsidR="005728DD" w:rsidRDefault="005728DD" w:rsidP="005728DD">
      <w:pPr>
        <w:pStyle w:val="TextoNormal"/>
      </w:pPr>
      <w:r>
        <w:t>Señala el Ministerio Fiscal que el acuerdo de 5 de junio de 2019 tiene, como en el mismo se expresa, un carácter complementario respecto de la suspensión del ejercicio del cargo y, consiguientemente, de los derechos y deberes que le son inherentes establecidos en el RCD, declarada en el acuerdo de la mesa de 24 de mayo. En este acuerdo de carácter complementario se trata de precisar, por un lado, los efectos y, el alcance que esa suspensión de derechos tiene con respecto a la composición y funcionamiento de la cámara y de sus órganos y, por otro, precisar el alcance de la suspensión en relación con los derechos económicos y de prestaciones sociales de los diputados suspensos.</w:t>
      </w:r>
    </w:p>
    <w:p w:rsidR="005728DD" w:rsidRDefault="005728DD" w:rsidP="005728DD">
      <w:pPr>
        <w:pStyle w:val="TextoNormal"/>
      </w:pPr>
    </w:p>
    <w:p w:rsidR="005728DD" w:rsidRDefault="005728DD" w:rsidP="005728DD">
      <w:pPr>
        <w:pStyle w:val="TextoNormal"/>
      </w:pPr>
      <w:r>
        <w:lastRenderedPageBreak/>
        <w:t>Afirma, además, que en el presente recurso de amparo no se impugna con carácter general la privación de cada uno de los derechos que integran su estatuto parlamentario, puesto que los mismos ya fueron suspendidos por el acuerdo de la mesa de 24 de mayo, y constituye el objeto de impugnación del recurso de amparo 5196-2019. Ahora, el demandante cuestiona algunos de los específicos pronunciamientos del acuerdo de 5 de junio, que precisan el alcance o consecuencias que esa suspensión de derechos tiene en el funcionamiento de la cámara y de sus órganos, así como en los derechos de naturaleza económica y social de los diputados suspensos.</w:t>
      </w:r>
    </w:p>
    <w:p w:rsidR="005728DD" w:rsidRDefault="005728DD" w:rsidP="005728DD">
      <w:pPr>
        <w:pStyle w:val="TextoNormal"/>
      </w:pPr>
    </w:p>
    <w:p w:rsidR="005728DD" w:rsidRDefault="005728DD" w:rsidP="005728DD">
      <w:pPr>
        <w:pStyle w:val="TextoNormal"/>
      </w:pPr>
      <w:r>
        <w:t>En este sentido, el Ministerio Fiscal señala que no se hace en el presente recurso de amparo ninguna alegación sobre algunas cuestiones que se recogen en el acuerdo de la mesa de fecha 5 de junio, en relación con los derechos del diputado, como punto de partida para poder precisar su incidencia en la composición y funcionamiento de los órganos de la cámara. El recurrente no impugna el punto 2 del acuerdo de la mesa, en la parte que establece que los diputados suspendidos no pueden pertenecer a ninguna comisión, ni formar parte de otros órganos como ponencias o subcomisiones (derecho recogido en el artículo 6.2 RCD), sino que se centra en impugnar lo establecido en este punto 2 del acuerdo sobre el alcance que esto tiene en relación con el número de miembros que corresponde designar al Grupo Parlamentario Mixto. Tampoco impugna que se declare su incorporación al Grupo Parlamentario Mixto, de conformidad con el art. 25.1 RCD (punto 3 del acuerdo), sino las consecuencias de carácter formal de esa incorporación, al señalar que los diputados suspensos no serán computados para la adopción de acuerdos en caso de voto ponderado o de asignación de iniciativas a los grupos parlamentarios por cupo (punto 4 del acuerdo).</w:t>
      </w:r>
    </w:p>
    <w:p w:rsidR="005728DD" w:rsidRDefault="005728DD" w:rsidP="005728DD">
      <w:pPr>
        <w:pStyle w:val="TextoNormal"/>
      </w:pPr>
    </w:p>
    <w:p w:rsidR="005728DD" w:rsidRDefault="005728DD" w:rsidP="005728DD">
      <w:pPr>
        <w:pStyle w:val="TextoNormal"/>
      </w:pPr>
      <w:r>
        <w:t>En relación con las alegaciones en las que el recurrente trata de sustentar la impugnación de la privación de las percepciones económicas que establece el acuerdo de 5 de junio (punto 5), señala que el reconocimiento del derecho a una asignación económica de los diputados y senadores que establece el artículo 71.4 CE, integra el estatus parlamentario, que aparece directamente vinculado con el efectivo ejercicio de la función del cargo parlamentario, por lo que ese derecho puede ser objeto de restricción cuando el diputado está suspendido en dicho ejercicio del cargo, al igual que ocurre con los otros derechos y deberes que le son inherentes. El artículo 8.1 RCD prevé dentro de los derechos económicos que integran este estatus, que los diputados percibirán una asignación económica que les permita cumplir eficaz y dignamente su función. La suspensión en el ejercicio del cargo parlamentario supone, junto a la suspensión de todos los derechos y deberes de naturaleza política que son inherentes al mismo, la de las asignaciones económicas que garantizan el desempeño eficaz y digno de la función, en cuanto que esta no es materialmente desempeñada durante el periodo de la suspensión por quien mantiene la titularidad del cargo; tales derechos de naturaleza política y económica serán restituidos al levantarse la suspensión del ejercicio del cargo y reanudarse el ejercicio de la función parlamentaria.</w:t>
      </w:r>
    </w:p>
    <w:p w:rsidR="005728DD" w:rsidRDefault="005728DD" w:rsidP="005728DD">
      <w:pPr>
        <w:pStyle w:val="TextoNormal"/>
      </w:pPr>
    </w:p>
    <w:p w:rsidR="005728DD" w:rsidRDefault="005728DD" w:rsidP="005728DD">
      <w:pPr>
        <w:pStyle w:val="TextoNormal"/>
      </w:pPr>
      <w:r>
        <w:t xml:space="preserve">Por lo que se refiere a la privación de las percepciones económicas que corresponderían al periodo comprendido entre el 28 de abril y 21 de mayo de 2019 el Ministerio Fiscal pone de relieve que la mesa del Congreso, por acuerdo de 23 de mayo de 2019 y, de conformidad con lo dispuesto en el artículo 8 RCD, estableció el 28 de abril de 2019, como la fecha inicial de devengo de las retribuciones económicas de los diputados en la XIII legislatura, siempre que hubieran perfeccionado su condición de diputados, conforme a lo dispuesto en el artículo 20 RCD. En el presente caso, el recurrente adquirió la condición plena de diputado el </w:t>
      </w:r>
      <w:r>
        <w:lastRenderedPageBreak/>
        <w:t xml:space="preserve">21 de mayo, pero la suspensión en el ejercicio del cargo parlamentario que declaró la mesa en el acuerdo de 24 de mayo, lo es con efectos del propio día 21 de mayo, pues como se señala en el informe de la Secretaría General del Congreso de 4 de junio, en el momento de adquirir la condición plena de diputado, es cuando la mesa podía hacer la declaración de la suspensión en el cargo adquirido. Dicha suspensión se producía </w:t>
      </w:r>
      <w:r w:rsidRPr="005728DD">
        <w:rPr>
          <w:i/>
        </w:rPr>
        <w:t>ex lege</w:t>
      </w:r>
      <w:r>
        <w:t xml:space="preserve"> en virtud del artículo 384 </w:t>
      </w:r>
      <w:r w:rsidRPr="005728DD">
        <w:rPr>
          <w:i/>
        </w:rPr>
        <w:t>bis</w:t>
      </w:r>
      <w:r>
        <w:t xml:space="preserve"> LECrim, el cual estaba vigente respecto del recurrente con anterioridad a las elecciones de 28 abril de 2019, desplegando sus efectos respecto del cargo de diputado del Congreso en el instante en que se produjo la adquisición plena de dicho cargo público representativo.</w:t>
      </w:r>
    </w:p>
    <w:p w:rsidR="005728DD" w:rsidRDefault="005728DD" w:rsidP="005728DD">
      <w:pPr>
        <w:pStyle w:val="TextoNormal"/>
      </w:pPr>
    </w:p>
    <w:p w:rsidR="005728DD" w:rsidRDefault="005728DD" w:rsidP="005728DD">
      <w:pPr>
        <w:pStyle w:val="TextoNormal"/>
      </w:pPr>
      <w:r>
        <w:t xml:space="preserve">Por lo tanto, se considera que la decisión de la mesa sobre las retribuciones no es una decisión contraria a lo dispuesto en el Reglamento del Congreso de los Diputados. Se debe tener en cuenta a este respecto que, con efectos del mismo día 21 de mayo en el que se constituyó la cámara, el recurrente fue declarado automáticamente suspendido en el ejercicio del cargo parlamentario, en virtud de lo establecido en el artículo 384 </w:t>
      </w:r>
      <w:r w:rsidRPr="005728DD">
        <w:rPr>
          <w:i/>
        </w:rPr>
        <w:t>bis</w:t>
      </w:r>
      <w:r>
        <w:t xml:space="preserve"> LECrim, que era de aplicación al recurrente con anterioridad a su elección el 28 de abril de 2019, si bien desplegaba sus efectos respecto del cargo de diputado del Congreso, tras adquirir el recurrente la condición plena de diputado en la misma sesión de constitución de la cámara, con el acatamiento de la Constitución. No cabe, por tanto, estimar que el recurrente pudo devengar el derecho de asignación económica que la mesa fijó para el periodo comprendido entre las elecciones del 28 de abril y el día de constitución de la cámara.</w:t>
      </w:r>
    </w:p>
    <w:p w:rsidR="005728DD" w:rsidRDefault="005728DD" w:rsidP="005728DD">
      <w:pPr>
        <w:pStyle w:val="TextoNormal"/>
      </w:pPr>
    </w:p>
    <w:p w:rsidR="005728DD" w:rsidRDefault="005728DD" w:rsidP="005728DD">
      <w:pPr>
        <w:pStyle w:val="TextoNormal"/>
      </w:pPr>
      <w:r>
        <w:t>El Ministerio Fiscal tampoco comparte la alegación de que la decisión carece de toda motivación y es arbitraria, toda vez que la única argumentación de la impugnación es la discriminación con relación al caso del diputado Selahattin Demirtas, al que se refiere la STDH de 20 de noviembre de 2018. El acuerdo de la mesa recoge una motivación que se corresponde con la justificación que se da en el informe de Secretaría General del Congreso de 4 de junio, y el acuerdo desestimatorio de la reconsideración pone de relieve que la suspensión en el ejercicio del cargo parlamentario conlleva la de todos los derechos que son inherentes a su desempeño y, por tanto, también los de naturaleza económica. En su acuerdo de 16 de julio, la mesa recoge expresamente que se ha seguido el precedente parlamentario del diputado señor Alcalde Linares en la IV legislatura, por ser el único supuesto parlamentario que se corresponde con el de la suspensión del ejercicio del cargo que ahora se plantea, precedente en el que también se apoya en el citado informe de la secretaria general. Por lo tanto, no cabe estimar que el acuerdo de la mesa es arbitrario, porque no se ha dado respuesta motivada a la solicitud de reconsideración.</w:t>
      </w:r>
    </w:p>
    <w:p w:rsidR="005728DD" w:rsidRDefault="005728DD" w:rsidP="005728DD">
      <w:pPr>
        <w:pStyle w:val="TextoNormal"/>
      </w:pPr>
    </w:p>
    <w:p w:rsidR="005728DD" w:rsidRDefault="005728DD" w:rsidP="005728DD">
      <w:pPr>
        <w:pStyle w:val="TextoNormal"/>
      </w:pPr>
      <w:r>
        <w:t>Entiende, además, que no puede acogerse el argumento de que la STEDH de 20 de noviembre de 2018 refleja que el señor Selahattim Demirtas percibía su asignación económica, porque esta sentencia no puede ser invocada para sustentar que la suspensión del derecho de retribuciones económicas del recurrente vulnera el artículo 23.2 CE, ya que en la misma no se enjuicia una suspensión en el ejercicio del cargo parlamentario y la consiguiente suspensión de derechos políticos y económicos que le son inherentes, prevista en el ordenamiento jurídico nacional para determinados supuestos; y porque no es una sentencia firme.</w:t>
      </w:r>
    </w:p>
    <w:p w:rsidR="005728DD" w:rsidRDefault="005728DD" w:rsidP="005728DD">
      <w:pPr>
        <w:pStyle w:val="TextoNormal"/>
      </w:pPr>
    </w:p>
    <w:p w:rsidR="005728DD" w:rsidRDefault="005728DD" w:rsidP="005728DD">
      <w:pPr>
        <w:pStyle w:val="TextoNormal"/>
      </w:pPr>
      <w:r>
        <w:t xml:space="preserve">Respecto a la impugnación de la decisión de la mesa sobre las prestaciones de la seguridad social y la póliza de accidentes (punto 7 del acuerdo) que el recurrente entiende que vulnera su derecho fundamental al ejercicio del cargo del artículo 23.2 en relación con el </w:t>
      </w:r>
      <w:r>
        <w:lastRenderedPageBreak/>
        <w:t xml:space="preserve">artículo 33.3 CE, al privarle de un derecho que forma parte de su estatus parlamentario, el Ministerio Fiscal pone de relieve que si bien si bien el Reglamento del Congreso de los Diputados contempla entre los derechos que integran el estatuto de los diputados, los concernientes a las prestaciones sociales, cuya cobertura es asumida por el Congreso con cargo a sus presupuestos, de acuerdo con la propia doctrina del Tribunal Constitucional, no cabe estimar que cualquier infracción de las disposiciones reglamentarias sobre el estatus parlamentario o de las disposiciones legales que resultan de aplicación, pueda constituir una vulneración del núcleo esencial del </w:t>
      </w:r>
      <w:r w:rsidRPr="005728DD">
        <w:rPr>
          <w:i/>
        </w:rPr>
        <w:t>ius in officium</w:t>
      </w:r>
      <w:r>
        <w:t xml:space="preserve"> del cargo parlamentario representativo (con cita de la STC 110/2019, de 2 de octubre, FJ 2). La supuesta infracción de la normativa en materia de cobertura de las prestaciones sociales de los diputados que se denuncia por el demandante, no puede considerarse como constitutiva de una vulneración del núcleo esencial del </w:t>
      </w:r>
      <w:r w:rsidRPr="005728DD">
        <w:rPr>
          <w:i/>
        </w:rPr>
        <w:t>ius in officium</w:t>
      </w:r>
      <w:r>
        <w:t xml:space="preserve"> (artículo 23.2 CE) y del correlativo derecho de los ciudadanos a participar en los asuntos públicos a través de sus representantes (artículo 23.1 CE). La supuesta infracción de la normativa aplicable a los diputados en materia de prestaciones sociales por estimar el recurrente que, de acuerdo con la misma, no podía producirse la baja en la cobertura de las prestaciones sociales de los diputados suspendidos en el ejercicio del cargo al mantener estos su titularidad, es una cuestión de infracción de la legalidad ordinaria, cuyo examen es ajeno a la jurisdicción constitucional en un recurso de amparo parlamentario. En el mismo sentido, el pronunciamiento del punto 7 del acuerdo sobre la baja en la póliza de accidentes que las Cortes Generales tienen contratada en tanto dure la suspensión en el ejercicio del cargo, no puede estimarse tampoco constitutiva de una posible vulneración del derecho fundamental al ejercicio del cargo público del artículo 23.2 CE. Estos derechos, además, eran expectativas de derechos que podían ser adquiridas, si efectivamente hubieran llegado a desempeñar la función y el cargo parlamentario, lo que no tuvo lugar al declararse suspendidos automáticamente en su ejercicio mismo en el instante mismo en que adquirieron la condición plena de diputado y desplegó sus efectos el art. 384 </w:t>
      </w:r>
      <w:r w:rsidRPr="005728DD">
        <w:rPr>
          <w:i/>
        </w:rPr>
        <w:t>bis</w:t>
      </w:r>
      <w:r>
        <w:t xml:space="preserve"> LECrim que era ya aplicable con anterioridad, por lo que no se vulnera el artículo 33.3 CE.</w:t>
      </w:r>
    </w:p>
    <w:p w:rsidR="005728DD" w:rsidRDefault="005728DD" w:rsidP="005728DD">
      <w:pPr>
        <w:pStyle w:val="TextoNormal"/>
      </w:pPr>
    </w:p>
    <w:p w:rsidR="005728DD" w:rsidRDefault="005728DD" w:rsidP="005728DD">
      <w:pPr>
        <w:pStyle w:val="TextoNormal"/>
      </w:pPr>
      <w:r>
        <w:t xml:space="preserve">Finalmente, en relación con la impugnación de los pronunciamientos sobre el funcionamiento de la Cámara y la adopción de acuerdos por sus órganos, el Ministerio Fiscal considera que lo que el recurrente alega al respecto es que resulta arbitrario que la mesa, en su acuerdo, determine que la mayoría absoluta se calcule computando el número total de miembros que tiene la cámara, incluyendo a los diputados suspendidos que mantienen la titularidad del cargo, pero no se compute a los mismos para establecer la proporcionalidad de los diputados que corresponden al Grupo Mixto en las comisiones, o para los supuestos de ponderación de voto. Al respecto, parte de la doctrina constitucional que de acuerdo con la autonomía parlamentaria (artículo 72 CE) y la naturaleza del derecho del artículo 23.2 CE como derecho de configuración legal, pone de manifiesto la necesidad de que se otorgue a los órganos rectores de los parlamentos un margen de apreciación en el ejercicio de su función técnico-jurídica, al calificar y decidir sobre los escritos y documentos parlamentarios. Esta doctrina también pone de relieve que la posible limitación que las decisiones de los órganos rectores de los parlamentos pueden suponer para el ejercicio de la función parlamentaria (artículo 23.2 CE) y para el derecho de participación política de los ciudadanos a través de sus representantes políticos (artículo 23.l CE), exige que tales decisiones apliquen la normativa parlamentaria y estén motivadas formal y materialmente. Pues bien, el acuerdo de la mesa del Congreso de 16 de julio de 2019 expresa los motivos por los que no deben ser computados los diputados declarados suspendidos en el ejercicio del cargo, en relación </w:t>
      </w:r>
      <w:r>
        <w:lastRenderedPageBreak/>
        <w:t xml:space="preserve">con la composición de los órganos de la cámara o para la adopción de acuerdos en determinados casos, por lo que, a su juicio, está debidamente motivado, sin que su razonamiento infrinja algún precepto del Reglamento del Congreso de los Diputados o pueda ser considerado irracional o arbitrario. Pone de manifiesto que, si bien estos diputados siguen ostentando la titularidad del cargo y, en cuanto que mantienen su condición de diputados, computan como miembros de la cámara (350), la suspensión en el ejercicio del cargo supone que ninguna de las funciones que son inherentes al cargo pueden ser desempeñadas mientras dure la suspensión, lo que impacta en la importancia numérica que materialmente debe asignarse al grupo parlamentario en el que son incluidos, en los casos en los que reglamentariamente se dispone que dicha importancia numérica debe ser tenida en cuenta. En definitiva, dicho acuerdo debe ser como un acuerdo motivado y no arbitrario, que se sustenta en la exigencia de que la suspensión en el ejercicio del cargo, declarada en aplicación del art. 384 </w:t>
      </w:r>
      <w:r w:rsidRPr="005728DD">
        <w:rPr>
          <w:i/>
        </w:rPr>
        <w:t>bis</w:t>
      </w:r>
      <w:r>
        <w:t xml:space="preserve"> LECrim, sea efectiva. La declaración de suspensión </w:t>
      </w:r>
      <w:r w:rsidRPr="005728DD">
        <w:rPr>
          <w:i/>
        </w:rPr>
        <w:t>ex lege</w:t>
      </w:r>
      <w:r>
        <w:t xml:space="preserve"> carecería de efectividad si los diputados suspendidos son computados como si realmente, pudieran desempeñar las funciones inherentes al cargo suspendido. Considera el Ministerio Fiscal que se plantea en el presente caso y, en lo que concierne al sistema de ponderación de voto en caso de empate en las comisiones (art. 88.2 RCD) o en la junta de portavoces (art. 39.4 RCD), una cuestión similar a la que se planteó en el recurso de amparo núm. 5887-2018, que se encuentra en tramitación.</w:t>
      </w:r>
    </w:p>
    <w:p w:rsidR="005728DD" w:rsidRDefault="005728DD" w:rsidP="005728DD">
      <w:pPr>
        <w:pStyle w:val="TextoNormal"/>
      </w:pPr>
    </w:p>
    <w:p w:rsidR="005728DD" w:rsidRDefault="005728DD" w:rsidP="005728DD">
      <w:pPr>
        <w:pStyle w:val="TextoNormal"/>
      </w:pPr>
      <w:r>
        <w:t xml:space="preserve">Afirma el Ministerio Fiscal que los acuerdos impugnados no hacen una interpretación arbitraria o desproporcionada, cuando establecen que no se tendrá en cuenta a los diputados suspendidos </w:t>
      </w:r>
      <w:r w:rsidRPr="005728DD">
        <w:rPr>
          <w:i/>
        </w:rPr>
        <w:t>ex lege</w:t>
      </w:r>
      <w:r>
        <w:t xml:space="preserve"> en el ejercicio del cargo, en aquellos casos en que el Reglamento del Congreso de los Diputados establece que hay que atender de manera proporcional a la importancia numérica del grupo parlamentario al que están asignados, puesto que ello es consecuencia de que no puede computarse a quienes carecen de las funciones inherentes al desempeño del cargo, sin hacer con ello ineficaz la propia suspensión declarada. Existiría además una contradicción en los casos en los que el Reglamento del Congreso contempla la ponderación de voto, en cuanto que en el Pleno no se computaría el voto de los diputados suspensos, al no poder ejercitar el derecho, mientras que cobraría virtualidad, al incluirlo en el cómputo del voto ponderado en caso de empate en las comisiones o en la votación en la junta de portavoces.</w:t>
      </w:r>
    </w:p>
    <w:p w:rsidR="005728DD" w:rsidRDefault="005728DD" w:rsidP="005728DD">
      <w:pPr>
        <w:pStyle w:val="TextoNormal"/>
      </w:pPr>
    </w:p>
    <w:p w:rsidR="005728DD" w:rsidRDefault="005728DD" w:rsidP="005728DD">
      <w:pPr>
        <w:pStyle w:val="TextoNormal"/>
      </w:pPr>
      <w:r>
        <w:t xml:space="preserve">Finalmente, se refiere a que determinados pronunciamientos de los acuerdos de la mesa impugnados supondrían una restricción de los derechos que en el Reglamento del Congreso de los Diputados son atribuidos al Grupo Parlamentario Mixto y, por ello, habiéndose personado el recurrente a título individual, carece de legitimación para su impugnación. Se trata de derechos titularidad de los grupos parlamentarios de la cámara que se atribuyen a aquellos proporcionalmente a su importancia numérica, en consideración al eficaz desempeño de las funciones parlamentarias por los diputados que se integran en ellos. De acuerdo con la doctrina del Tribunal Constitucional, el derecho a la constitución de un grupo parlamentario es una manifestación relevante del </w:t>
      </w:r>
      <w:r w:rsidRPr="005728DD">
        <w:rPr>
          <w:i/>
        </w:rPr>
        <w:t>ius in officium</w:t>
      </w:r>
      <w:r>
        <w:t xml:space="preserve"> y constituyen un instrumento imprescindible y principal para la organización y funcionamiento de la cámara y para el desempeño de las funciones parlamentarias propias del estatus parlamentario (STC 76/2017, de 19 de junio, FJ 4).</w:t>
      </w:r>
    </w:p>
    <w:p w:rsidR="005728DD" w:rsidRDefault="005728DD" w:rsidP="005728DD">
      <w:pPr>
        <w:pStyle w:val="TextoNormal"/>
      </w:pPr>
    </w:p>
    <w:p w:rsidR="005728DD" w:rsidRDefault="005728DD" w:rsidP="005728DD">
      <w:pPr>
        <w:pStyle w:val="TextoNormal"/>
      </w:pPr>
      <w:r>
        <w:t xml:space="preserve">El recurrente y el resto de los diputados suspendidos han sido incorporados al Grupo Mixto en cuanto ostentan la condición de diputados y en cumplimiento de lo dispuesto en </w:t>
      </w:r>
      <w:r>
        <w:lastRenderedPageBreak/>
        <w:t xml:space="preserve">el art. 25.1 RCD, pero al no poder ejercer durante su suspensión las funciones parlamentarias, ni las facultades que integran el </w:t>
      </w:r>
      <w:r w:rsidRPr="005728DD">
        <w:rPr>
          <w:i/>
        </w:rPr>
        <w:t>ius in officium</w:t>
      </w:r>
      <w:r>
        <w:t>, esa asignación no puede dar lugar a que materialmente, aquellos sean computados para atribuir al grupo parlamentario los derechos previstos en función de las facultades que son inherentes al ejercicio del cargo. En cualquier caso y, con independencia de la falta de legitimación para impugnar la vulneración de los derechos que resultan de los grupos parlamentarios, la precisión del punto 2 del acuerdo de la mesa de 5 de junio, que dispone que la imposibilidad de formar parte de las comisiones y otros órganos de la cámara, deberá ser tenida en cuenta en el momento de determinar el número de miembros que en los distintos órganos corresponderá designar al Grupo Parlamentario Mixto, que el acuerdo de la mesa de 16 de julio, pone de manifiesto que no ha sido adoptada, debe considerarse prematura.</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que tuvo entrada en el registro general del Tribunal el 13 de julio de 2020, la letrada de las Cortes Generales presentó alegaciones en nombre y representación del Congreso de los Diputados, solicitando la inadmisión de la demanda por falta de agotamiento de la vía previa, mutación subjetiva del ejercicio de la acción y consiguiente falta de legitimación, considerando infringidos los artículos 31.2 RCD y 42 y 46.1 a) LOTC y, subsidiariamente, la desestimación del recurso de amparo en su integridad. Sus alegaciones pueden resumirse como sigue:</w:t>
      </w:r>
    </w:p>
    <w:p w:rsidR="005728DD" w:rsidRDefault="005728DD" w:rsidP="005728DD">
      <w:pPr>
        <w:pStyle w:val="TextoNormal"/>
      </w:pPr>
    </w:p>
    <w:p w:rsidR="005728DD" w:rsidRDefault="005728DD" w:rsidP="005728DD">
      <w:pPr>
        <w:pStyle w:val="TextoNormal"/>
      </w:pPr>
      <w:r>
        <w:t>A) Expone los antecedentes de hecho del presente recurso de amparo, poniendo de manifiesto que no existe ningún acuerdo de la mesa del Congreso de los Diputados de 25 de julio de 2019 sino que esta es la fecha de notificación del acuerdo de 16 de julio del mismo año. A continuación, aborda las siguientes cuestiones de carácter jurídico procesal:</w:t>
      </w:r>
    </w:p>
    <w:p w:rsidR="005728DD" w:rsidRDefault="005728DD" w:rsidP="005728DD">
      <w:pPr>
        <w:pStyle w:val="TextoNormal"/>
      </w:pPr>
    </w:p>
    <w:p w:rsidR="005728DD" w:rsidRDefault="005728DD" w:rsidP="005728DD">
      <w:pPr>
        <w:pStyle w:val="TextoNormal"/>
      </w:pPr>
      <w:r>
        <w:t>a) Se aduce falta de agotamiento de la vía previa, mutación subjetiva del ejercicio de la acción y consiguiente falta de legitimación en la interposición de la demanda de amparo.</w:t>
      </w:r>
    </w:p>
    <w:p w:rsidR="005728DD" w:rsidRDefault="005728DD" w:rsidP="005728DD">
      <w:pPr>
        <w:pStyle w:val="TextoNormal"/>
      </w:pPr>
    </w:p>
    <w:p w:rsidR="005728DD" w:rsidRDefault="005728DD" w:rsidP="005728DD">
      <w:pPr>
        <w:pStyle w:val="TextoNormal"/>
      </w:pPr>
      <w:r>
        <w:t>Se considera que el recurrente carece de legitimación para recurrir los acuerdos de la mesa de 5 de junio y 16 de julio de 2019 ya que no fue él quien interpuso la solicitud de reconsideración (artículo 31.2 RCD), preceptiva para considerar agotada la vía previa exigida por el artículo 42 LOTC, sino que lo hizo la portavoz del Grupo Mixto. Por tanto, no se puede considerar que se haya cumplido el requisito del artículo 42 LOTC puesto que el “directamente afectado” [como exige el art. 46.l a) LOTC] no es el que ha solicitado la reconsideración.</w:t>
      </w:r>
    </w:p>
    <w:p w:rsidR="005728DD" w:rsidRDefault="005728DD" w:rsidP="005728DD">
      <w:pPr>
        <w:pStyle w:val="TextoNormal"/>
      </w:pPr>
    </w:p>
    <w:p w:rsidR="005728DD" w:rsidRDefault="005728DD" w:rsidP="005728DD">
      <w:pPr>
        <w:pStyle w:val="TextoNormal"/>
      </w:pPr>
      <w:r>
        <w:t xml:space="preserve">La discrepancia en la titularidad de la acción imposibilita encontrar la imprescindible continuidad procesal entre el escrito de reconsideración y la demanda de amparo, en un supuesto que puede tener algún parecido estructural con la llamada desviación procesal en el recurso contencioso-administrativo. El Congreso se sitúa en un plano de clara indefensión, en cuanto que quien solicita la reconsideración es una persona y es otro sujeto diferente quien interpone la demanda de amparo. Se trata de una mutación subjetiva que se plantea al Congreso de los Diputados de forma sorpresiva, pues las alegaciones que pueda realizar la portavoz del Grupo Parlamentario Mixto no tienen nada que ver con las que pueda formular el recurrente en amparo quien ni siquiera pertenece “como activo” al Grupo Mixto, al estar suspendido. Discute también la legitimación de la portavoz del Grupo Mixto en lo que se refiere a la parte de los acuerdos que tratan sobre los efectos de la suspensión en el diputado afectado, en cuanto que ella no se puede considerar directa ni indirectamente afectada por </w:t>
      </w:r>
      <w:r>
        <w:lastRenderedPageBreak/>
        <w:t>dicha parte de los acuerdos, dado su carácter personalísimo. Tampoco puede actuar la referida portavoz en representación del recurrente en amparo al interponer la reconsideración porque en escrito de 20 de junio de 2019, complementario de su escrito de reconsideración, manifiesta que dicho escrito “fue registrado a iniciativa exclusiva de JxCAT-Junts”. Ello plantea que, para ser congruentes, el recurso de amparo se tendría que haber presentado por todos los miembros de JxCAT- Junts del Grupo Mixto, o incluso por todos los miembros dicho grupo, en cuanto se estaban invocando los derechos de todos. Del mismo modo, desde la perspectiva del demandante de amparo, solo son sus derechos personales lo que resultan afectados, ya que su condición de miembro del Grupo Mixto lo es en calidad de suspenso, por lo que ningún tipo de vinculación puede encontrarse entre el acuerdo de suspensión de su condición y la personalidad y actividad del propio Grupo Parlamentario Mixto. Por tanto, las alegaciones que lleva a cabo sobre la posible afectación de los derechos del Grupo Mixto no pueden ser invocadas en una demanda de amparo planteada por un diputado suspendido aunque esté en el propio Grupo Mixto. Esta incongruencia procesal, incluso en el caso de suponer que la legitimación en la reconsideración sea correcta, acredita un defecto de orden público procesal que determina la inadmisión de la acción.</w:t>
      </w:r>
    </w:p>
    <w:p w:rsidR="005728DD" w:rsidRDefault="005728DD" w:rsidP="005728DD">
      <w:pPr>
        <w:pStyle w:val="TextoNormal"/>
      </w:pPr>
    </w:p>
    <w:p w:rsidR="005728DD" w:rsidRDefault="005728DD" w:rsidP="005728DD">
      <w:pPr>
        <w:pStyle w:val="TextoNormal"/>
      </w:pPr>
      <w:r>
        <w:t>b) En segundo lugar, la letrada de las Cortes Generales se opone a la acumulación de este recurso de amparo con el recurso de amparo núm. 5196-2019, en el entendimiento que no se cumplen los requisitos del artículo 83 LOTC. Cada uno de los acuerdos debe tener plena autonomía a los efectos de su impugnación, pues las cuestiones a analizar en cada uno son diferentes, y no se da la unidad de tramitación ni de decisión.</w:t>
      </w:r>
    </w:p>
    <w:p w:rsidR="005728DD" w:rsidRDefault="005728DD" w:rsidP="005728DD">
      <w:pPr>
        <w:pStyle w:val="TextoNormal"/>
      </w:pPr>
    </w:p>
    <w:p w:rsidR="005728DD" w:rsidRDefault="005728DD" w:rsidP="005728DD">
      <w:pPr>
        <w:pStyle w:val="TextoNormal"/>
      </w:pPr>
      <w:r>
        <w:t>B) En cuanto a los fundamentos jurídico-materiales, se expone lo que sigue:</w:t>
      </w:r>
    </w:p>
    <w:p w:rsidR="005728DD" w:rsidRDefault="005728DD" w:rsidP="005728DD">
      <w:pPr>
        <w:pStyle w:val="TextoNormal"/>
      </w:pPr>
    </w:p>
    <w:p w:rsidR="005728DD" w:rsidRDefault="005728DD" w:rsidP="005728DD">
      <w:pPr>
        <w:pStyle w:val="TextoNormal"/>
      </w:pPr>
      <w:r>
        <w:t xml:space="preserve">a) En relación con la remisión que realiza el recurrente a los argumentos del recurso de amparo núm. 5196-2019, se considera que es irrelevante pues el objeto del presente recurso no versa sobre la aplicación del artículo 384 </w:t>
      </w:r>
      <w:r w:rsidRPr="005728DD">
        <w:rPr>
          <w:i/>
        </w:rPr>
        <w:t>bis</w:t>
      </w:r>
      <w:r>
        <w:t xml:space="preserve"> LECrim y la supuesta inconstitucionalidad del acuerdo de declaración de suspensión en sí mismo considerado, sino sobre otra cuestión distinta, por mucho que derive de la anterior, que es la conformidad constitucional de los efectos derivados de esa suspensión, esto es, la privación al diputado suspendido de determinados derechos asociados a su condición, así como de otros efectos en relación al Grupo Mixto, ponderación del voto, atribución de iniciativas y composición de los órganos de la cámara. En este recurso, lo que se trata de dilucidar no es si es procedente o no la suspensión del diputado, lo que se decide en el anterior recurso, sino si, partiendo de la suspensión, son conforme a Derecho las medidas adoptadas por la mesa. Por ello, en su opinión, resultan ajenas al objeto de este recurso todas las alegaciones contenidas en la demanda de amparo que reiteran, se remiten o pretenden ampliar de algún modo los argumentos ya expuestos en el anterior recurso, en relación con la aplicación por la mesa de la Cámara del artículo 384 </w:t>
      </w:r>
      <w:r w:rsidRPr="005728DD">
        <w:rPr>
          <w:i/>
        </w:rPr>
        <w:t>bis</w:t>
      </w:r>
      <w:r>
        <w:t xml:space="preserve"> LECrim y la inconstitucionalidad de la suspensión declarada.</w:t>
      </w:r>
    </w:p>
    <w:p w:rsidR="005728DD" w:rsidRDefault="005728DD" w:rsidP="005728DD">
      <w:pPr>
        <w:pStyle w:val="TextoNormal"/>
      </w:pPr>
    </w:p>
    <w:p w:rsidR="005728DD" w:rsidRDefault="005728DD" w:rsidP="005728DD">
      <w:pPr>
        <w:pStyle w:val="TextoNormal"/>
      </w:pPr>
      <w:r>
        <w:t xml:space="preserve">En este sentido, a la vista de las “consideraciones adicionales”, se podría decir que el recurrente no está planteando un recurso para acumular al otro, sino una ampliación de su anterior demanda de amparo, completamente extemporánea y al margen de cauce procesal previsto, razón por la cual todas las alegaciones que pretenden reabrir el debate sobre la aplicación del artículo 384 </w:t>
      </w:r>
      <w:r w:rsidRPr="005728DD">
        <w:rPr>
          <w:i/>
        </w:rPr>
        <w:t>bis</w:t>
      </w:r>
      <w:r>
        <w:t xml:space="preserve"> LECrim, no pueden ser tenidas en cuenta a los efectos del presente recurso de amparo. No obstante lo anterior, la letrada de las Cortes reproduce sus alegaciones en el recurso de amparo núm. 5196-2019 sobre la sentencia de 14 de octubre de </w:t>
      </w:r>
      <w:r>
        <w:lastRenderedPageBreak/>
        <w:t xml:space="preserve">2019 de la Sala de lo Penal del Tribunal Supremo. Se aduce que lo que se considera relevante, no es dicha sentencia, sino la STC 11/2020, de 28 de enero, que avala la constitucionalidad de la suspensión automática y </w:t>
      </w:r>
      <w:r w:rsidRPr="005728DD">
        <w:rPr>
          <w:i/>
        </w:rPr>
        <w:t>ex lege</w:t>
      </w:r>
      <w:r>
        <w:t xml:space="preserve"> de la condición de diputados del Parlament de Catalunya de los recurrentes por imperio del artículo 384 </w:t>
      </w:r>
      <w:r w:rsidRPr="005728DD">
        <w:rPr>
          <w:i/>
        </w:rPr>
        <w:t>bis</w:t>
      </w:r>
      <w:r>
        <w:t xml:space="preserve"> LECrim que acordó el magistrado instructor de la causa especial número 20907-2017, en la que se afirma que dicho precepto no deja margen alguno en su aplicación, más allá de la verificación de la concurrencia de los presupuestos a los que la norma liga tal medida: procesamiento firme y prisión provisional por razón de los delitos a los que se refiere el precepto (en el mismo sentido, cita las SSTC 37/2020 y 38/2020, de 25 de febrero).</w:t>
      </w:r>
    </w:p>
    <w:p w:rsidR="005728DD" w:rsidRDefault="005728DD" w:rsidP="005728DD">
      <w:pPr>
        <w:pStyle w:val="TextoNormal"/>
      </w:pPr>
    </w:p>
    <w:p w:rsidR="005728DD" w:rsidRDefault="005728DD" w:rsidP="005728DD">
      <w:pPr>
        <w:pStyle w:val="TextoNormal"/>
      </w:pPr>
      <w:r>
        <w:t xml:space="preserve">Los criterios reseñados por la doctrina del Tribunal Constitucional son semejantes a los que se desprenden de la jurisprudencia del Tribunal Europeo de Derechos Humanos sobre el art. 3 del Protocolo núm. 1 al CEDH, cuyos principios generales aparecen expuestos en la STEDH de 8 de abril de 2010, asunto </w:t>
      </w:r>
      <w:r w:rsidRPr="005728DD">
        <w:rPr>
          <w:i/>
        </w:rPr>
        <w:t>Namat Aliyev c. Azerbaiyán</w:t>
      </w:r>
      <w:r>
        <w:t xml:space="preserve">, § 70- 73. Con cita de diferentes SSTEDH, destaca que el art. 3 del Protocolo núm. 1 consagra un principio fundamental en un régimen político verdaderamente democrático y, por tanto, reviste en el sistema del convenio una importancia capital, sin embargo, los derechos reconocidos en el art. 3 del Protocolo núm. 1 no son absolutos sino que pueden estar sometidos a “limitaciones implícitas”, disponiendo los Estados de un amplio margen de apreciación al respecto, correspondiendo al Tribunal Europeo de Derechos Humanos determinar en última instancia si los requisitos de este artículo se han cumplido. Para ello, “tiene que convencerse de que las condiciones no restringen los derechos en cuestión hasta el punto de menoscabar su propia esencia y privarlos de su eficacia; que se impongan en pos de un fin legítimo; y que los medios empleados no son desproporcionados o arbitrarios (SSTEDH asunto </w:t>
      </w:r>
      <w:r w:rsidRPr="005728DD">
        <w:rPr>
          <w:i/>
        </w:rPr>
        <w:t>Mathieu-Mohin y Clerfayt c. Bélgica</w:t>
      </w:r>
      <w:r>
        <w:t xml:space="preserve">, § 52, y asunto </w:t>
      </w:r>
      <w:r w:rsidRPr="005728DD">
        <w:rPr>
          <w:i/>
        </w:rPr>
        <w:t>Gitanas y otros c. Grecia</w:t>
      </w:r>
      <w:r>
        <w:t xml:space="preserve">, § 39)” [SSTEDH de 6 de abril de 2000 (asunto </w:t>
      </w:r>
      <w:r w:rsidRPr="005728DD">
        <w:rPr>
          <w:i/>
        </w:rPr>
        <w:t>Labita c. Italia</w:t>
      </w:r>
      <w:r>
        <w:t xml:space="preserve">, § 201 ) y 21 de febrero de 2012 (asunto </w:t>
      </w:r>
      <w:r w:rsidRPr="005728DD">
        <w:rPr>
          <w:i/>
        </w:rPr>
        <w:t>Abil c. Azerbayan</w:t>
      </w:r>
      <w:r>
        <w:t xml:space="preserve">, § 43)]. La noción de “limitación implícita” significa también que, al enjuiciar su alegada vulneración, el Tribunal Europeo de Derechos Humanos no aplica los criterios tradicionales de “necesidad” o de “necesidad social imperiosa”. Cuando tiene que conocer de cuestiones referidas a la conformidad de una restricción al art. 3 del Protocolo núm. 1, el Tribunal Europeo de Derechos Humanos se atiene esencialmente a dos criterios: por una parte, investiga si hubo arbitrariedad o falta de proporcionalidad y, por otra, si la restricción atentó contra la libre expresión de la opinión pública (asunto </w:t>
      </w:r>
      <w:r w:rsidRPr="005728DD">
        <w:rPr>
          <w:i/>
        </w:rPr>
        <w:t>Zdanoka c. Letonia</w:t>
      </w:r>
      <w:r>
        <w:t>, de 16 de marzo de 2006, citada, § 115). Teniendo en cuenta esta doctrina, no parece fundamentado, en su opinión, que el recurrente invoque como vulnerado el artículo 3 del Protocolo núm. 1 CEDH, puesto que la misma jurisprudencia europea admite sus límites. Afirmado este carácter limitado del derecho fundamental, el siguiente paso ha de venir constituido, como exige la jurisprudencia, por el juicio de proporcionalidad que se debe hacer de la medida limitadora del derecho fundamental.</w:t>
      </w:r>
    </w:p>
    <w:p w:rsidR="005728DD" w:rsidRDefault="005728DD" w:rsidP="005728DD">
      <w:pPr>
        <w:pStyle w:val="TextoNormal"/>
      </w:pPr>
    </w:p>
    <w:p w:rsidR="005728DD" w:rsidRDefault="005728DD" w:rsidP="005728DD">
      <w:pPr>
        <w:pStyle w:val="TextoNormal"/>
      </w:pPr>
      <w:r>
        <w:t>De acuerdo con lo anterior, la letrada de las Cortes Generales analiza, siguiendo el orden de los motivos de la demanda de amparo, si las medidas adoptadas en el acuerdo de la mesa de 5 de junio de 2019 pueden considerarse una “injerencia proporcionada” desde la perspectiva del derecho fundamental reconocido en el artículo 23.2 CE.</w:t>
      </w:r>
    </w:p>
    <w:p w:rsidR="005728DD" w:rsidRDefault="005728DD" w:rsidP="005728DD">
      <w:pPr>
        <w:pStyle w:val="TextoNormal"/>
      </w:pPr>
    </w:p>
    <w:p w:rsidR="005728DD" w:rsidRDefault="005728DD" w:rsidP="005728DD">
      <w:pPr>
        <w:pStyle w:val="TextoNormal"/>
      </w:pPr>
      <w:r>
        <w:t xml:space="preserve">b) En relación con la alegación de la demanda de que el acuerdo de 5 de junio de 2019 fue dictado por un órgano manifiestamente incompetente, lo que comporta la vulneración del derecho del diputado recurrente por su adopción sin audiencia de la junta de portavoces, </w:t>
      </w:r>
      <w:r>
        <w:lastRenderedPageBreak/>
        <w:t>considera que el recurrente incurre en este punto en cierta confusión respecto a la naturaleza de los acuerdos de la mesa y a las fuentes del Derecho parlamentario.</w:t>
      </w:r>
    </w:p>
    <w:p w:rsidR="005728DD" w:rsidRDefault="005728DD" w:rsidP="005728DD">
      <w:pPr>
        <w:pStyle w:val="TextoNormal"/>
      </w:pPr>
    </w:p>
    <w:p w:rsidR="005728DD" w:rsidRDefault="005728DD" w:rsidP="005728DD">
      <w:pPr>
        <w:pStyle w:val="TextoNormal"/>
      </w:pPr>
      <w:r>
        <w:t>Afirma que los acuerdos de la mesa del Congreso de los Diputados han sido adoptados tanto al amparo de su competencia residual (artículo 31.1.7 RCD), como de la competencia en su condición de órgano rector y de gobierno de la cámara (artículo 30.1 RCD). Y también implícitamente de acuerdo con el artículo 31.1.1 RCD, en las que encaja un acuerdo que tiene un contenido tanto relativo al régimen de los diputados como a diversas cuestiones de funcionamiento y organización de la cámara.</w:t>
      </w:r>
    </w:p>
    <w:p w:rsidR="005728DD" w:rsidRDefault="005728DD" w:rsidP="005728DD">
      <w:pPr>
        <w:pStyle w:val="TextoNormal"/>
      </w:pPr>
    </w:p>
    <w:p w:rsidR="005728DD" w:rsidRDefault="005728DD" w:rsidP="005728DD">
      <w:pPr>
        <w:pStyle w:val="TextoNormal"/>
      </w:pPr>
      <w:r>
        <w:t xml:space="preserve">Finalmente, funda la competencia de la mesa en el artículo 31.1.4 y 5 RCD que le atribuye la función de calificar y decidir la tramitación de todos los escritos y documentos de índole parlamentaria, entendiendo por tramitación dar el curso conforme a ley de los citados documentos. En efecto, la mesa, cuando en su día recibió testimonio de la resolución de 14 de mayo de 2019, dictada por la Sala Segunda del Tribunal Supremo, en la causa especial 3720907- 2017, tomó conocimiento de la situación procesal en la que se encontraba el recurrente y procedió a la calificación de este escrito y a la adopción de la declaración de suspensión. El posterior acuerdo de 5 de junio, que ahora se recurre, complemento del anterior, es al igual que aquél, producto del ejercicio por la mesa de su competencia de calificación de escritos y de determinar la tramitación y los efectos de cada uno de ellos. A todo lo dicho, se puede añadir que la citada competencia de la mesa es la consecuencia de un efecto que se produce por ministerio de la ley, en concreto, la suspensión operada </w:t>
      </w:r>
      <w:r w:rsidRPr="005728DD">
        <w:rPr>
          <w:i/>
        </w:rPr>
        <w:t>ex</w:t>
      </w:r>
      <w:r>
        <w:t xml:space="preserve"> artículo 384 </w:t>
      </w:r>
      <w:r w:rsidRPr="005728DD">
        <w:rPr>
          <w:i/>
        </w:rPr>
        <w:t>bis</w:t>
      </w:r>
      <w:r>
        <w:t xml:space="preserve"> LECrim, pudiéndose sostener que dicho acuerdo de 5 de junio constituye un acto debido, ya que la previsión legal del artículo 384 </w:t>
      </w:r>
      <w:r w:rsidRPr="005728DD">
        <w:rPr>
          <w:i/>
        </w:rPr>
        <w:t>bis</w:t>
      </w:r>
      <w:r>
        <w:t xml:space="preserve"> y la declaración judicial sobre su aplicación, no pueden producir sus efectos directamente sobre el ordenamiento de las cámaras, sino que es necesario que la cámara los aplique sus efectos.</w:t>
      </w:r>
    </w:p>
    <w:p w:rsidR="005728DD" w:rsidRDefault="005728DD" w:rsidP="005728DD">
      <w:pPr>
        <w:pStyle w:val="TextoNormal"/>
      </w:pPr>
    </w:p>
    <w:p w:rsidR="005728DD" w:rsidRDefault="005728DD" w:rsidP="005728DD">
      <w:pPr>
        <w:pStyle w:val="TextoNormal"/>
      </w:pPr>
      <w:r>
        <w:t>En relación con la división que realiza el recurrente entre acuerdos generales, que deben ser adoptados por la presidencia, y acuerdos concretos, que deben ser adoptados por la mesa, considera que la misma no es correcta ya que el Reglamento del Congreso de los Diputados no excluye que dichos acuerdos de la mesa tengan un alcance general, sino que es lo normal, teniendo en cuenta la competencia genérica de la mesa para adoptar medidas organizativas y de régimen interior que están pensadas precisamente para una aplicación general. Relaciona una amplia lista de ejemplos de acuerdos de carácter general. Por tanto, concluye que el Reglamento del Congreso ampara, y la práctica lo confirma, que la mesa puede adoptar disposiciones o acuerdos de este tipo. En todo caso, a su juicio, el acuerdo recurrido no tiene carácter general, ya que su objeto es determinar las consecuencias de una concreta suspensión, la de los cuatro diputados afectados, no la de otros posibles casos que se puedan dar en el futuro respecto a esos mismos diputados u otros, que plantearse, requerirían la adopción por la mesa del correspondiente acuerdo específico.</w:t>
      </w:r>
    </w:p>
    <w:p w:rsidR="005728DD" w:rsidRDefault="005728DD" w:rsidP="005728DD">
      <w:pPr>
        <w:pStyle w:val="TextoNormal"/>
      </w:pPr>
    </w:p>
    <w:p w:rsidR="005728DD" w:rsidRDefault="005728DD" w:rsidP="005728DD">
      <w:pPr>
        <w:pStyle w:val="TextoNormal"/>
      </w:pPr>
      <w:r>
        <w:t>Considera que resulta descartable que el acuerdo de 5 de junio se hubiera tenido que adoptar por la presidencia de la cámara (artículo 32.2 RCD), como defiende el recurrente. El presidente puede dictar normas que interpreten el reglamento, las denominadas resoluciones interpretativas, o que suplan sus lagunas, las denominadas resoluciones supletorias, necesitando para la aprobación de estas últimas el parecer favorable de la mesa y junta de portavoces, si bien este caso no se incluye en ninguno de estos dos supuestos, pues en ningún momento se planteó un problema de interpretación del reglamento o una laguna del mismo.</w:t>
      </w:r>
    </w:p>
    <w:p w:rsidR="005728DD" w:rsidRDefault="005728DD" w:rsidP="005728DD">
      <w:pPr>
        <w:pStyle w:val="TextoNormal"/>
      </w:pPr>
    </w:p>
    <w:p w:rsidR="005728DD" w:rsidRDefault="005728DD" w:rsidP="005728DD">
      <w:pPr>
        <w:pStyle w:val="TextoNormal"/>
      </w:pPr>
      <w:r>
        <w:t>En cuanto a la falta de audiencia de la junta de portavoces, insiste en que el objeto del recurso de amparo no es una resolución supletoria de la presidencia (artículo 32.2 RCD), que se debe adoptar mediando el parecer favorable de la mesa y la junta de portavoces. Aun así, en este caso se produjo la audiencia de la junta de portavoces, no por aplicación del artículo 32.2 RCD, sino del artículo 31.2 RCD a efectos de la decisión sobre la reconsideración de su acuerdo de 5 de junio de 2019, tal y como consta en el acta de la junta de portavoces de 16 de julio de 2019. Finalmente, aduce en relación con esta cuestión, que la materia referida a la suspensión de los diputados no es competencia de la junta de portavoces, tal y como se infiere del artículo 21 RCD y, del artículo 39 RCD, que no es una norma atributiva de competencia, que pueda servir de fundamento para justificar una exigencia de audiencia previa en este o en otros casos.</w:t>
      </w:r>
    </w:p>
    <w:p w:rsidR="005728DD" w:rsidRDefault="005728DD" w:rsidP="005728DD">
      <w:pPr>
        <w:pStyle w:val="TextoNormal"/>
      </w:pPr>
    </w:p>
    <w:p w:rsidR="005728DD" w:rsidRDefault="005728DD" w:rsidP="005728DD">
      <w:pPr>
        <w:pStyle w:val="TextoNormal"/>
      </w:pPr>
      <w:r>
        <w:t>c) Respecto a la alegación de que los acuerdos son nulos de pleno derecho porque alteran las mayorías del Congreso de los Diputados, vulneran los derechos de los diputados del Grupo Mixto, con expresa infracción del Reglamento del Congreso y de los derechos del recurrente, considera que el reproche que realiza el recurrente va dirigido exclusivamente a la arbitrariedad y falta de motivación o de razonamiento en el acuerdo de la mesa. Sin embargo, a su juicio, no se puede afirmar que se haya adoptado sin razonamiento jurídico alguno o de forma arbitraria, para lo que menciona el “informe [de la Secretaría General del Congreso de los Diputados] sobre el alcance y efectos de la suspensión de los señores diputados que se encuentran en situación de prisión preventiva”, de 4 de junio de 2019, sobre cuya base la mesa adoptó el acuerdo de 5 de junio, como se desprende del acta de la reunión de ese día. Por tanto, no puede afirmarse que el acuerdo esté desprovisto de motivación, pues fue precedido de un informe jurídico en el cual la mesa se basa, y adoptado previo intercambio de pareceres por los miembros de la mesa, que han quedado reflejados documentalmente. Es decir no se trata de un acuerdo despojado de razonamiento, o como incluso llega a decir el recurrente sin “ninguna justificación jurídica que los avale”. Se podrá estar de acuerdo o no con la justificación, pero existe un claro razonamiento jurídico que sirve de apoyo al acuerdo adoptado.</w:t>
      </w:r>
    </w:p>
    <w:p w:rsidR="005728DD" w:rsidRDefault="005728DD" w:rsidP="005728DD">
      <w:pPr>
        <w:pStyle w:val="TextoNormal"/>
      </w:pPr>
    </w:p>
    <w:p w:rsidR="005728DD" w:rsidRDefault="005728DD" w:rsidP="005728DD">
      <w:pPr>
        <w:pStyle w:val="TextoNormal"/>
      </w:pPr>
      <w:r>
        <w:t>La letrada de las Cortes Generales entra a analizar la justificación del acuerdo de la mesa respecto de cada una de las medidas adoptadas a las que se refiere el recurrente, comenzando con las recogidas en los apartados 1, 2, 3, 4 y 6.</w:t>
      </w:r>
    </w:p>
    <w:p w:rsidR="005728DD" w:rsidRDefault="005728DD" w:rsidP="005728DD">
      <w:pPr>
        <w:pStyle w:val="TextoNormal"/>
      </w:pPr>
    </w:p>
    <w:p w:rsidR="005728DD" w:rsidRDefault="005728DD" w:rsidP="005728DD">
      <w:pPr>
        <w:pStyle w:val="TextoNormal"/>
      </w:pPr>
      <w:r>
        <w:t xml:space="preserve">En relación con lo dispuesto en el apartado 1 del acuerdo de 5 de junio, pone de manifiesto que, como se justifica en el informe de la secretaría general, el diputado suspendido no pierde su condición. Se le suspende en sus derechos y deberes parlamentarios, pero le queda la condición misma de diputado, que solo se pierde por las causas previstas en el artículo 22 RCD. Consecuencia de ello, es que la mayoría absoluta y las demás mayorías especiales se siguen computando sobre 350, puesto que los diputados suspendidos siguen siendo miembros de la cámara. Este tipo de mayorías se computan sobre los “miembros de la cámara” (artículos 131, 146.2 y 147.2 RCD) o sobre los “miembros del Congreso” (artículos 164.2 y 204 RCD). La citada composición se establece con carácter general y siempre se remite al número de diputados de derecho, al margen de las situaciones diversas en que se puedan encontrar, entre ellas una suspensión de funciones y tan solo se altera con la pérdida del mandato por disolución de la cámara o por renuncia o pérdida de la condición. Al no ser un supuesto de pérdida de la condición, la suspensión no determina que deba </w:t>
      </w:r>
      <w:r>
        <w:lastRenderedPageBreak/>
        <w:t>reducirse el número de diputados de derecho a los efectos de calcular la válida constitución, o a los efectos que determinadas normas establecen teniendo en cuenta el número de diputados de derecho. La suspensión mantiene la condición de diputado y por tanto no altera el número de integrantes de la misma.</w:t>
      </w:r>
    </w:p>
    <w:p w:rsidR="005728DD" w:rsidRDefault="005728DD" w:rsidP="005728DD">
      <w:pPr>
        <w:pStyle w:val="TextoNormal"/>
      </w:pPr>
    </w:p>
    <w:p w:rsidR="005728DD" w:rsidRDefault="005728DD" w:rsidP="005728DD">
      <w:pPr>
        <w:pStyle w:val="TextoNormal"/>
      </w:pPr>
      <w:r>
        <w:t>Respecto al apartado 2, en el que se contienen diferentes afirmaciones, la letrada de las Cortes Generales afirma que es consecuencia de la declaración de suspensión. El diputado suspendido, aunque mantiene tal condición, queda privado “de sus derechos y deberes parlamentarios”, entendiéndose por estos todos los reconocidos en el reglamento, entre los que se encuentra formar parte de las comisiones (artículo 6.2 RCD) y demás órganos parlamentarios. Dado que el diputado suspendido no puede formar parte de la comisión, ponencia o subcomisión, resulta lógico que, a la hora de atribuir miembros en esos órganos al Grupo Mixto, a este se le descuenten de su composición numérica total los diputados suspendidos.</w:t>
      </w:r>
    </w:p>
    <w:p w:rsidR="005728DD" w:rsidRDefault="005728DD" w:rsidP="005728DD">
      <w:pPr>
        <w:pStyle w:val="TextoNormal"/>
      </w:pPr>
    </w:p>
    <w:p w:rsidR="005728DD" w:rsidRDefault="005728DD" w:rsidP="005728DD">
      <w:pPr>
        <w:pStyle w:val="TextoNormal"/>
      </w:pPr>
      <w:r>
        <w:t>El apartado 3, que determina que el diputado suspendido se incorpore al Grupo Parlamentario Mixto, según la letrada de las Cortes Generales, no es discutido por el recurrente. Ello no obstante aduce que dicha incorporación es consecuencia de la suspensión.</w:t>
      </w:r>
    </w:p>
    <w:p w:rsidR="005728DD" w:rsidRDefault="005728DD" w:rsidP="005728DD">
      <w:pPr>
        <w:pStyle w:val="TextoNormal"/>
      </w:pPr>
    </w:p>
    <w:p w:rsidR="005728DD" w:rsidRDefault="005728DD" w:rsidP="005728DD">
      <w:pPr>
        <w:pStyle w:val="TextoNormal"/>
      </w:pPr>
      <w:r>
        <w:t>En relación con el apartado 4, la representación del Congreso de los Diputados pone de manifiesto que el diputado suspendido por efecto del artículo 25.2 RCD queda incorporado directamente al Grupo Mixto. Ahora bien, dado que en ese grupo no puede ejercer ningún derecho, al grupo se le debe descontar del total de sus miembros el número de diputados suspendidos en todas aquellas ocasiones en que se haya de tener en cuenta el número de miembros del grupo para atribuirle un cupo de iniciativas.</w:t>
      </w:r>
    </w:p>
    <w:p w:rsidR="005728DD" w:rsidRDefault="005728DD" w:rsidP="005728DD">
      <w:pPr>
        <w:pStyle w:val="TextoNormal"/>
      </w:pPr>
    </w:p>
    <w:p w:rsidR="005728DD" w:rsidRDefault="005728DD" w:rsidP="005728DD">
      <w:pPr>
        <w:pStyle w:val="TextoNormal"/>
      </w:pPr>
      <w:r>
        <w:t>Finalmente, en cuanto al apartado 6, que detrae la parte proporcional de la subvención del Grupo Parlamentario Mixto, en lo relativo a la pertenencia al mismo de los diputados suspendidos, la letrada de las Cortes Generales justifica la misma en que, si la finalidad de la subvención es el apoyo al grupo en el ejercicio de sus funciones parlamentarias, es lógico que solo se tenga en cuenta el número de sus diputados que efectivamente pueden realizar tales funciones porque no se encuentren suspendidos. Computar también a los diputados suspendidos a efectos de la subvención, supondría desvirtuar la finalidad de tales ayudas económicas, de acuerdo con el artículo 8 RCD. No considera aplicable la STC 15/1992, que invoca el recurrente, a este caso, ya que no se ha privado al Grupo Parlamentario Mixto de la subvención.</w:t>
      </w:r>
    </w:p>
    <w:p w:rsidR="005728DD" w:rsidRDefault="005728DD" w:rsidP="005728DD">
      <w:pPr>
        <w:pStyle w:val="TextoNormal"/>
      </w:pPr>
    </w:p>
    <w:p w:rsidR="005728DD" w:rsidRDefault="005728DD" w:rsidP="005728DD">
      <w:pPr>
        <w:pStyle w:val="TextoNormal"/>
      </w:pPr>
      <w:r>
        <w:t xml:space="preserve">En resumen, a juicio la letrada de las Cortes Generales, no se puede decir que los referidos apartados del acuerdo de la mesa carezcan de una lógica de razonamiento y sean fruto de la arbitrariedad, pues todos ellos responden a un principio del funcionamiento parlamentario que es el de proporcionalidad en la composición de los órganos, conforme a la importancia numérica de cada grupo parlamentario en el total de la cámara. Si bien en este caso la mesa ha tenido que ajustar o modular la aplicación de dicha proporcionalidad, debido a la situación de suspensión de determinados diputados que, aun siendo miembros de un grupo, y contando en el cómputo total, no ejercen su función parlamentaria, y de acuerdo con el principio de ejercicio de la función parlamentaria, no han de ser tenidos en cuenta a efectos del reparto de miembros en los órganos, la atribución de cupos de iniciativas o la determinación de la cuantía de la subvención a los grupos, o de cualesquiera otros efectos que pudieran derivarse. Considera que con ello no se ha vulnerado el principio de igualdad, </w:t>
      </w:r>
      <w:r>
        <w:lastRenderedPageBreak/>
        <w:t>como se alega por el recurrente. La justificación del acuerdo de la mesa es el “ejercicio de la función parlamentaria”, que es el fundamento de la atribución de derechos. De forma que cualquier acuerdo que tenga que ver con el reparto o atribución de derechos entre los grupos que se decida en virtud del número de miembros de cada grupo conforme al principio de proporcionalidad, habrá de atender solo al número de miembros del grupo que, de forma efectiva, estén ejerciendo sus funciones, quedando por tanto, excluidos, los diputados suspendidos.</w:t>
      </w:r>
    </w:p>
    <w:p w:rsidR="005728DD" w:rsidRDefault="005728DD" w:rsidP="005728DD">
      <w:pPr>
        <w:pStyle w:val="TextoNormal"/>
      </w:pPr>
    </w:p>
    <w:p w:rsidR="005728DD" w:rsidRDefault="005728DD" w:rsidP="005728DD">
      <w:pPr>
        <w:pStyle w:val="TextoNormal"/>
      </w:pPr>
      <w:r>
        <w:t>El ejercicio de la función parlamentaria es, por tanto, el parámetro que marca la separación entre el diputado activo que la ejerce plenamente y el suspendido, y viene a justificar el diferente tratamiento que ambos deben tener. Entiende que la propia STC 15/1992, que se cita en la demanda de amparo, sirve para justificar esta conclusión. La finalidad de cualquier reconocimiento de derechos a los diputados o a los grupos en que se integran, es para facilitar el ejercicio de sus funciones parlamentarias. De forma que es consecuente con este principio no reconocer tales derechos cuando no se da como presupuesto de hecho el ejercicio de tales funciones. Este caso pone de manifiesto que el estatuto de derechos del diputado suspendido es diferente al diputado activo. Tal distinción no infringe el principio de igualdad, puesto que se justifica en la imposibilidad del ejercicio de la función parlamentaria por el diputado ausente. Tampoco vulnera el artículo 23.2 CE, puesto se trata de un derecho limitado, de configuración legal. El artículo 21 RCD determina que los diputados suspendidos quedan privados de sus derechos y deberes parlamentarios. Además, destaca que en el marco de la disciplina parlamentaria, la suspensión puede extenderse a la parte proporcional de la subvención (artículo 99.2 RCD). Por tanto, y conforme exige la jurisprudencia, la injerencia en el derecho fundamental del artículo 23.2 CE en el caso que nos ocupa, a juicio de la letrada de las Cortes Generales, ha resultado proporcionada, deriva de la aplicación de normas legales, responde a un fin legítimo y se han justificado de una forma razonable y suficiente.</w:t>
      </w:r>
    </w:p>
    <w:p w:rsidR="005728DD" w:rsidRDefault="005728DD" w:rsidP="005728DD">
      <w:pPr>
        <w:pStyle w:val="TextoNormal"/>
      </w:pPr>
    </w:p>
    <w:p w:rsidR="005728DD" w:rsidRDefault="005728DD" w:rsidP="005728DD">
      <w:pPr>
        <w:pStyle w:val="TextoNormal"/>
      </w:pPr>
      <w:r>
        <w:t>d) Finalmente, la letrada analiza las alegaciones en relación con los apartados 5 y 7 del acuerdo de la mesa de 5 de junio de 2019, a las cuales les resultan trasladables las conclusiones que antes se han realizado respecto a la no vulneración del artículo 23.2 CE. Respecto al apartado 5, afirma que el no ejercicio de la función parlamentaria que supone la condición de suspendido, justifica que los diputados suspendidos no perciban las retribuciones económicas propias de los diputados (artículo 8.1 RCD). Reitera que todos los acuerdos de la mesa responden al no ejercicio de la función parlamentaria de los diputados suspendidos, de acuerdo con el informe de la secretaría general de 4 de junio de 2019, que sirvió de apoyo al citado acuerdo de la mesa. Además, la letrada aduce que el recurrente no aporta ninguna razón autónoma a la nulidad del acuerdo de 24 de mayo.</w:t>
      </w:r>
    </w:p>
    <w:p w:rsidR="005728DD" w:rsidRDefault="005728DD" w:rsidP="005728DD">
      <w:pPr>
        <w:pStyle w:val="TextoNormal"/>
      </w:pPr>
    </w:p>
    <w:p w:rsidR="005728DD" w:rsidRDefault="005728DD" w:rsidP="005728DD">
      <w:pPr>
        <w:pStyle w:val="TextoNormal"/>
      </w:pPr>
      <w:r>
        <w:t xml:space="preserve">Respecto a la afirmación de que se vulnera el derecho a un proceso equitativo, el derecho a la legalidad penal (dado el carácter claramente sancionador del artículo 384 </w:t>
      </w:r>
      <w:r w:rsidRPr="005728DD">
        <w:rPr>
          <w:i/>
        </w:rPr>
        <w:t>bis</w:t>
      </w:r>
      <w:r>
        <w:t xml:space="preserve"> LECrim), los derechos a las libertades de expresión, ideológica y de reunión, el derecho a un recurso efectivo, así como la prohibición de discriminación, aduce que se trata de una afirmación ajena a este recurso que, tiene como objeto de impugnación los efectos de la suspensión, no la medida de prisión provisional ni tampoco la suspensión aparejada a la misma.</w:t>
      </w:r>
    </w:p>
    <w:p w:rsidR="005728DD" w:rsidRDefault="005728DD" w:rsidP="005728DD">
      <w:pPr>
        <w:pStyle w:val="TextoNormal"/>
      </w:pPr>
    </w:p>
    <w:p w:rsidR="005728DD" w:rsidRDefault="005728DD" w:rsidP="005728DD">
      <w:pPr>
        <w:pStyle w:val="TextoNormal"/>
      </w:pPr>
      <w:r>
        <w:lastRenderedPageBreak/>
        <w:t xml:space="preserve">En todo caso, alega, la mesa es competente para determinar el inicio del devengo de las percepciones económicas, de acuerdo con sus competencias genéricas sobre régimen interior y sus competencias subsidiarias. A su vez, en cuanto a la autonomía de la cámara para la regulación de las percepciones de los diputados, afirma que la autonomía normativa que se reconoce a las cámaras (art. 72 RCD) y la autonomía presupuestaria, fundamentan que el artículo 8 RCD concrete el artículo 71.4 CE. El momento del devengo es correcto (art. 68.4 CE); sin embargo, aunque la suspensión se declara por la mesa con fecha 21 de mayo, ya que antes no era posible porque el diputado no había adquirido plenamente su condición, los efectos de la suspensión, al estar vinculados a la aplicación automática del artículo 384 </w:t>
      </w:r>
      <w:r w:rsidRPr="005728DD">
        <w:rPr>
          <w:i/>
        </w:rPr>
        <w:t>bis</w:t>
      </w:r>
      <w:r>
        <w:t xml:space="preserve"> LECrim, se producen desde antes de esa fecha, desde el acuerdo judicial de adopción de la medida de prisión provisional, la cual seguía manteniéndose a fecha de 28 de abril de 2019, día de las elecciones generales. Al encontrarse los diputados afectados en situación provisional ya desde el momento de las elecciones y con posterioridad, los efectos de la suspensión han de retrotraerse a esa fecha de las elecciones. Por esta razón, la mesa acuerda que no procede el abono de la retribución que les correspondería en ese periodo entre el 28 de abril de 2019 y el 21 de mayo de 2019. La sentencia del Tribunal Europeo de Derechos Humanos de 20 de noviembre de 2018 no es aplicable al caso que nos ocupa y no actúa de forma directa sobre nuestro sistema de protección de los derechos fundamentales exigiendo una proyección automática como ejecución de esta (cita los AATC 131/2018, de 18 de diciembre, y 21/2019, de 26 de marzo).</w:t>
      </w:r>
    </w:p>
    <w:p w:rsidR="005728DD" w:rsidRDefault="005728DD" w:rsidP="005728DD">
      <w:pPr>
        <w:pStyle w:val="TextoNormal"/>
      </w:pPr>
    </w:p>
    <w:p w:rsidR="005728DD" w:rsidRDefault="005728DD" w:rsidP="005728DD">
      <w:pPr>
        <w:pStyle w:val="TextoNormal"/>
      </w:pPr>
      <w:r>
        <w:t xml:space="preserve">Finalmente, respecto al apartado 7, aduce que las ayudas a las que se refiere tienen como justificación el ejercicio de las funciones parlamentarias, tal y como se establece en el artículo 9 RCD, como consecuencia de su dedicación parlamentaria. Y si bien el recurrente alega que ha acudido a la sesión constitutiva del Congreso el día 21 de mayo de 2019, pero que, por el acuerdo de la mesa, lo hizo sin asignación económica, sin cotización a la Seguridad Social y sin póliza de accidentes durante ese día, considerando que, aunque solo fuera por ese día, se han violado sus derechos, entiende que por aplicación del artículo 384 </w:t>
      </w:r>
      <w:r w:rsidRPr="005728DD">
        <w:rPr>
          <w:i/>
        </w:rPr>
        <w:t>bis</w:t>
      </w:r>
      <w:r>
        <w:t xml:space="preserve"> LECrim, este debe ser el efecto correcto. En el mismo momento en que perfeccionó su condición de diputado en la sesión constitutiva, quedó automáticamente suspendido en el ejercicio de sus funciones, estando entonces justificado que no figure como beneficiario de las prestaciones que se relacionan en el apartado 9 del acuerdo de la mesa, al haber desaparecido la causa que las justifica, que es el efectivo ejercicio de la función parlamentaria. Asimismo aduce que la previsión normativa que ampara la baja en la cobertura de protección social es el artículo 9.1 RCD, que vincula la cobertura a “la dedicación parlamentaria”.</w:t>
      </w:r>
    </w:p>
    <w:p w:rsidR="005728DD" w:rsidRDefault="005728DD" w:rsidP="005728DD">
      <w:pPr>
        <w:pStyle w:val="TextoNormal"/>
      </w:pPr>
    </w:p>
    <w:p w:rsidR="005728DD" w:rsidRDefault="005728DD" w:rsidP="005728DD">
      <w:pPr>
        <w:pStyle w:val="TextoNormal"/>
      </w:pPr>
      <w:r>
        <w:t>Por otra parte, la cita de la normativa sobre Seguridad Social que contiene la demanda no contradice en nada las consideraciones realizadas, pues es obvio que para cotizar a la Seguridad Social, es necesario ser trabajador por cuenta ajena o asimilado que realice alguna actividad, lo que no se da en el caso de los diputados suspendidos porque no están ejerciendo dicha actividad. De esta manera, no se puede considerar que la privación de estos derechos vulnere el artículo 33.3 CE, puesto que no es una privación ilegítima, ni tampoco los derechos reconocidos en el artículo 17 CDFUE y el artículo 1 del Protocolo núm. 1 al CEDH.</w:t>
      </w:r>
    </w:p>
    <w:p w:rsidR="005728DD" w:rsidRDefault="005728DD" w:rsidP="005728DD">
      <w:pPr>
        <w:pStyle w:val="TextoNormal"/>
      </w:pPr>
    </w:p>
    <w:p w:rsidR="005728DD" w:rsidRDefault="005728DD" w:rsidP="005728DD">
      <w:pPr>
        <w:pStyle w:val="TextoNormal"/>
      </w:pPr>
      <w:r>
        <w:t xml:space="preserve">Asimismo, ha de rechazarse la alegación respecto a la falta de un proceso debido, por el hecho de no haberse dado audiencia al diputado cuando la mesa adoptó sus acuerdos. El Reglamento del Congreso, que es la norma que regula los procedimientos internos en el </w:t>
      </w:r>
      <w:r>
        <w:lastRenderedPageBreak/>
        <w:t>ámbito de la cámara, no contempla una fase de audiencia previa a la adopción de los acuerdos de la mesa. La cita que se realiza del artículo 6 CEDH, por considerarlo vulnerado por esta razón, es inadecuada, puesto que este artículo solo se aplica respecto a las garantías de los procesos judiciales.</w:t>
      </w:r>
    </w:p>
    <w:p w:rsidR="005728DD" w:rsidRDefault="005728DD" w:rsidP="005728DD">
      <w:pPr>
        <w:pStyle w:val="TextoNormal"/>
      </w:pPr>
    </w:p>
    <w:p w:rsidR="005728DD" w:rsidRDefault="005728DD" w:rsidP="005728DD">
      <w:pPr>
        <w:pStyle w:val="TextoNormal"/>
      </w:pPr>
      <w:r>
        <w:t xml:space="preserve">En conclusión, los acuerdos adoptados por la mesa el 5 de junio de 2019, son proporcionados y necesarios, y derivan directamente del primer acuerdo de declaración de la suspensión y de sus consecuencias en la relación jurídica representativa, ordenadas básicamente por el Reglamento del Congreso de los Diputados. No cabe por tanto una discrecionalidad en su contenido, que deje al albur de lo que disponga un órgano de la cámara la efectividad de los derechos y obligaciones que deriva del Reglamento del Congreso. En cuanto a sus presupuestos de hecho y consecuencias, estos son completamente reglados. Están contemplados en la propia norma de forma completa y cerrada, sin que quepa modificarlos. La mesa de la cámara se encuentra no solo obligada a adoptar el acuerdo sino también a ceñirse al supuesto fundamental, la suspensión </w:t>
      </w:r>
      <w:r w:rsidRPr="005728DD">
        <w:rPr>
          <w:i/>
        </w:rPr>
        <w:t>ex</w:t>
      </w:r>
      <w:r>
        <w:t xml:space="preserve"> artículo 384 </w:t>
      </w:r>
      <w:r w:rsidRPr="005728DD">
        <w:rPr>
          <w:i/>
        </w:rPr>
        <w:t>bis</w:t>
      </w:r>
      <w:r>
        <w:t xml:space="preserve"> LECrim, y a deducir los efectos que permiten hablar de tal suspensión, conforme a las propias normas del Reglamento del Congreso.</w:t>
      </w:r>
    </w:p>
    <w:p w:rsidR="005728DD" w:rsidRDefault="005728DD" w:rsidP="005728DD">
      <w:pPr>
        <w:pStyle w:val="TextoNormal"/>
      </w:pPr>
    </w:p>
    <w:p w:rsidR="005728DD" w:rsidRDefault="005728DD" w:rsidP="005728DD">
      <w:pPr>
        <w:pStyle w:val="TextoNormal"/>
      </w:pPr>
      <w:r w:rsidRPr="005728DD">
        <w:rPr>
          <w:rStyle w:val="NumeroAFNegritaCaracter"/>
        </w:rPr>
        <w:t>6</w:t>
      </w:r>
      <w:r>
        <w:t>. Por providencia de 16 de marzo de 2021, se señaló para deliberación y votación de la presente sentencia el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El presente recurso de amparo se interpone contra los acuerdos de la mesa del Congreso de los Diputados, de 5 de junio y 16 de julio de 2019. En la primera de estas resoluciones, la mesa adoptó un acuerdo complementario de su acuerdo de 24 de mayo del mismo año por el que había declarado “automáticamente suspendidos en el ejercicio del cargo y, por tanto, en los derechos y deberes establecidos en el Reglamento de la Cámara” a cuatro diputados, entre ellos, al ahora recurrente en amparo. Instada por la portavoz del Grupo Parlamentario Mixto la reconsideración de esta decisión con arreglo al artículo 31.2 del Reglamento del Congreso de los Diputados (RCD), la mesa adoptó la segunda de las resoluciones impugnadas y confirmó en ella su acuerdo inicial.</w:t>
      </w:r>
    </w:p>
    <w:p w:rsidR="005728DD" w:rsidRDefault="005728DD" w:rsidP="005728DD">
      <w:pPr>
        <w:pStyle w:val="TextoNormal"/>
      </w:pPr>
    </w:p>
    <w:p w:rsidR="005728DD" w:rsidRDefault="005728DD" w:rsidP="005728DD">
      <w:pPr>
        <w:pStyle w:val="TextoNormal"/>
      </w:pPr>
      <w:r>
        <w:t>El recurrente alega, en los términos que se han expuesto con detalle en los antecedentes de esta sentencia, que dichos acuerdos habrían infringido los artículos 23.2 y 24.2 CE, en conexión con los artículos 9.3, 16.1, 20.1 a), 23.1, 24.1, 25, 33.3, 70 y 71 de la misma norma fundamental; determinadas reglas del Derecho de la Unión Europea y otras enunciadas en tratados internacionales de aquellos a los que remite el artículo 10.2 CE.</w:t>
      </w:r>
    </w:p>
    <w:p w:rsidR="005728DD" w:rsidRDefault="005728DD" w:rsidP="005728DD">
      <w:pPr>
        <w:pStyle w:val="TextoNormal"/>
      </w:pPr>
    </w:p>
    <w:p w:rsidR="005728DD" w:rsidRDefault="005728DD" w:rsidP="005728DD">
      <w:pPr>
        <w:pStyle w:val="TextoNormal"/>
      </w:pPr>
      <w:r>
        <w:t>El Ministerio Fiscal por su parte, tal y como se ha dado cumplida cuenta en los antecedentes de esta sentencia, solicita que se inadmita parcialmente el recurso de amparo, y se desestime en todo lo demás. La representación del Congreso de los Diputados, a su vez, solicita la inadmisión del recurso de amparo y, subsidiariamente, la desestimación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xml:space="preserve">. </w:t>
      </w:r>
      <w:r w:rsidRPr="005728DD">
        <w:rPr>
          <w:i/>
        </w:rPr>
        <w:t>Cuestiones previas</w:t>
      </w:r>
      <w:r>
        <w:t>.</w:t>
      </w:r>
    </w:p>
    <w:p w:rsidR="005728DD" w:rsidRDefault="005728DD" w:rsidP="005728DD">
      <w:pPr>
        <w:pStyle w:val="TextoNormal"/>
      </w:pPr>
    </w:p>
    <w:p w:rsidR="005728DD" w:rsidRDefault="005728DD" w:rsidP="005728DD">
      <w:pPr>
        <w:pStyle w:val="TextoNormal"/>
      </w:pPr>
      <w:r>
        <w:t>Con carácter previo al examen de las cuestiones de fondo que plantea el presente recurso de amparo resulta necesario resolver una serie de cuestiones, tanto de orden procesal como de orden sustantivo, a los efectos de poder precisar el objeto del recurso de amparo y las pretensiones que en el mismo se formulan.</w:t>
      </w:r>
    </w:p>
    <w:p w:rsidR="005728DD" w:rsidRDefault="005728DD" w:rsidP="005728DD">
      <w:pPr>
        <w:pStyle w:val="TextoNormal"/>
      </w:pPr>
    </w:p>
    <w:p w:rsidR="005728DD" w:rsidRDefault="005728DD" w:rsidP="005728DD">
      <w:pPr>
        <w:pStyle w:val="TextoNormal"/>
      </w:pPr>
      <w:r>
        <w:t>a) En la demanda se impugna el acuerdo de la mesa del Congreso de los Diputados de 25 de julio de 2019; sin embargo, como ponen de relieve tanto el Ministerio Fiscal como la letrada de las Cortes Generales, el acuerdo de la mesa por el que se desestima la solicitud de reconsideración fue adoptado con fecha de 16 de julio de 2019, siendo el 25 de julio la fecha de la comunicación de dicho acuerdo por la presidenta del Congreso de los Diputados a la portavoz del grupo parlamentario. Por tanto, el presente recurso debe entenderse dirigido contra el acuerdo de la mesa del Congreso de 16 de julio de 2019, resolución esta que desestimó la solicitud de reconsideración formulada por el grupo parlamentario contra el acuerdo inicial de 5 de junio de 2019.</w:t>
      </w:r>
    </w:p>
    <w:p w:rsidR="005728DD" w:rsidRDefault="005728DD" w:rsidP="005728DD">
      <w:pPr>
        <w:pStyle w:val="TextoNormal"/>
      </w:pPr>
    </w:p>
    <w:p w:rsidR="005728DD" w:rsidRDefault="005728DD" w:rsidP="005728DD">
      <w:pPr>
        <w:pStyle w:val="TextoNormal"/>
      </w:pPr>
      <w:r>
        <w:t>b) La letrada de las Cortes Generales solicita la inadmisión del presente recurso de amparo, por lo que ha de abordarse ahora la comprobación de los requisitos procesales (por todas, STC 36/2020, de 25 de febrero, FJ 2). La razón que alega es que el recurrente no interpuso la solicitud de reconsideración (artículo 31.2 RCD), requisito necesario para considerar agotada la vía previa para la interposición del recurso de amparo (artículo 42 LOTC). Dicha solicitud fue planteada por la portavoz del Grupo Parlamentario Mixto. Alega que no hay continuidad procesal entre el escrito de reconsideración y la demanda de amparo, y que la parte a la que representa se sitúa en un plano de clara indefensión, en cuanto que quien solicita la reconsideración es una persona y quien interpone la demanda de amparo es otro sujeto diferente.</w:t>
      </w:r>
    </w:p>
    <w:p w:rsidR="005728DD" w:rsidRDefault="005728DD" w:rsidP="005728DD">
      <w:pPr>
        <w:pStyle w:val="TextoNormal"/>
      </w:pPr>
    </w:p>
    <w:p w:rsidR="005728DD" w:rsidRDefault="005728DD" w:rsidP="005728DD">
      <w:pPr>
        <w:pStyle w:val="TextoNormal"/>
      </w:pPr>
      <w:r>
        <w:t>Como se ha expuesto pormenorizadamente en los antecedentes de esta sentencia, para sustentar su pretensión de inadmisión pone de manifiesto diferentes circunstancias que concurren: las alegaciones que pueda realizar la portavoz del Grupo Parlamentario Mixto no son las que pueda formular el recurrente en amparo, quien ni siquiera pertenece “como activo” al Grupo Mixto, al estar suspendido; es discutible la legitimación de la portavoz para solicitar la reconsideración de los aspectos del acuerdo que pueden calificarse de personalísimos; la portavoz interpuso la reconsideración en nombre de los diputados de JxCAT-Junts; y, en fin, las alegaciones que lleva a cabo sobre la posible afectación de los derechos del Grupo Mixto no pueden ser invocadas en una demanda de amparo planteada por un diputado suspendido aunque esté en dicho grupo parlamentario.</w:t>
      </w:r>
    </w:p>
    <w:p w:rsidR="005728DD" w:rsidRDefault="005728DD" w:rsidP="005728DD">
      <w:pPr>
        <w:pStyle w:val="TextoNormal"/>
      </w:pPr>
    </w:p>
    <w:p w:rsidR="005728DD" w:rsidRDefault="005728DD" w:rsidP="005728DD">
      <w:pPr>
        <w:pStyle w:val="TextoNormal"/>
      </w:pPr>
      <w:r>
        <w:t>El artículo 42 LOTC permite la impugnación a través del recurso de amparo de las decisiones o actos sin valor de Ley del Congreso de los Diputados y de sus órganos una vez que, con arreglo a las normas internas de las cámaras, sean firmes. Este tribunal ha entendido que dicha firmeza exige agotar las instancias internas parlamentarias previamente a la interposición del recurso de amparo (por todas, STC 27/2000, de 31 de enero, FJ 2). Hemos considerado el incumplimiento de este requisito causa de inadmisibilidad por “falta de agotamiento de la vía previa” (SSTC 20/2008, de 31 de enero, FJ 4; 119/2011, de 5 de julio, FJ 2, y 159/2019, de 12 de diciembre, FJ 2).</w:t>
      </w:r>
    </w:p>
    <w:p w:rsidR="005728DD" w:rsidRDefault="005728DD" w:rsidP="005728DD">
      <w:pPr>
        <w:pStyle w:val="TextoNormal"/>
      </w:pPr>
    </w:p>
    <w:p w:rsidR="005728DD" w:rsidRDefault="005728DD" w:rsidP="005728DD">
      <w:pPr>
        <w:pStyle w:val="TextoNormal"/>
      </w:pPr>
      <w:r>
        <w:lastRenderedPageBreak/>
        <w:t>En este caso, la portavoz del Grupo Parlamentario Mixto planteó solicitud de reconsideración contra el acuerdo de la mesa del Congreso de los Diputados de 5 de junio de 2019 que, tal y como ha quedado constancia en los antecedentes de esta sentencia, contiene pronunciamientos sobre los efectos de la suspensión en el ejercicio del cargo y en los derechos y deberes establecidos en el Reglamento de la Cámara de cuatro diputados, tanto en la composición y funcionamiento de la Cámara, como en el Grupo Parlamentario Mixto y sobre determinadas cuestiones que afectan a dichos diputados. A su vez, el ahora recurrente en amparo, que es uno de los cuatro diputados que quedó automáticamente suspendido en el ejercicio de su cargo, según los acuerdos de 24 de mayo y 11 de junio de 2019, interpuso el presente recurso de amparo.</w:t>
      </w:r>
    </w:p>
    <w:p w:rsidR="005728DD" w:rsidRDefault="005728DD" w:rsidP="005728DD">
      <w:pPr>
        <w:pStyle w:val="TextoNormal"/>
      </w:pPr>
    </w:p>
    <w:p w:rsidR="005728DD" w:rsidRDefault="005728DD" w:rsidP="005728DD">
      <w:pPr>
        <w:pStyle w:val="TextoNormal"/>
      </w:pPr>
      <w:r>
        <w:t>No pueden acogerse, en este punto, las diferentes apreciaciones realizadas al respecto por la letrada de las Cortes Generales que, a su juicio, conducirían a la inadmisión de este recurso de amparo.</w:t>
      </w:r>
    </w:p>
    <w:p w:rsidR="005728DD" w:rsidRDefault="005728DD" w:rsidP="005728DD">
      <w:pPr>
        <w:pStyle w:val="TextoNormal"/>
      </w:pPr>
    </w:p>
    <w:p w:rsidR="005728DD" w:rsidRDefault="005728DD" w:rsidP="005728DD">
      <w:pPr>
        <w:pStyle w:val="TextoNormal"/>
      </w:pPr>
      <w:r>
        <w:t>En primer lugar, porque, en este caso, no se puede negar que la portavoz del Grupo Parlamentario Mixto podía solicitar a la mesa del Congreso de los Diputados la reconsideración del acuerdo de 5 de junio de 2019. El artículo 31.2 RCD establece que si un diputado o un grupo parlamentario discreparen de la decisión de la esa, podrán solicitar su consideración.</w:t>
      </w:r>
    </w:p>
    <w:p w:rsidR="005728DD" w:rsidRDefault="005728DD" w:rsidP="005728DD">
      <w:pPr>
        <w:pStyle w:val="TextoNormal"/>
      </w:pPr>
    </w:p>
    <w:p w:rsidR="005728DD" w:rsidRDefault="005728DD" w:rsidP="005728DD">
      <w:pPr>
        <w:pStyle w:val="TextoNormal"/>
      </w:pPr>
      <w:r>
        <w:t xml:space="preserve">El tribunal ha venido entendiendo en el ámbito del recurso de amparo del artículo 42 LOTC que los grupos parlamentarios, en aplicación del principio del </w:t>
      </w:r>
      <w:r w:rsidRPr="005728DD">
        <w:rPr>
          <w:i/>
        </w:rPr>
        <w:t>favor actionis</w:t>
      </w:r>
      <w:r>
        <w:t>, ostentan una representación institucional de los miembros que los integran que les otorga capacidad procesal ante este tribunal para defender las eventuales vulneraciones de los derechos fundamentales de sus miembros que tengan relación con el ejercicio del cargo representativo (STC 24/2020, de 13 de febrero, FJ 3). Este mismo entendimiento de la representación que ostenta el portavoz de un grupo parlamentario, podría hacerse extensivo a la solicitud de reconsideración (artículo 31.2 RCD), cuanto más la mesa del Congreso de los diputados, en el acuerdo de 16 de julio de 2019, que desestimó la reconsideración solicitada, no cuestionó la legitimación de la portavoz del Grupo Parlamentario Mixto para su planteamiento y dio contestación a todos los extremos planteados en la misma, incluidos los derechos que ahora se entiende son personalísimos del recurrente. No es obstáculo para ello, tampoco, que la entonces portavoz del Grupo Parlamentario Mixto especificase que la solicitud de reconsideración fue registrada a iniciativa exclusiva de JxCAT-Junts, ya que nada añade ni tampoco restringe a su legitimación como portavoz del Grupo Parlamentario Mixto, que le correspondería precisamente por ostentar dicha condición de portavoz. En todo caso, el ahora recurrente en amparo fue elegido diputado del Congreso por la candidatura de Junts per Catalunya. Finalmente, el hecho de que el recurrente hubiese sido suspendido en su condición no tiene efectos tampoco en la legitimación de la portavoz para solicitar la reconsideración del acuerdo de 5 de junio de 2019, puesto que, según establece el propio acuerdo, el diputado recurrente forma parte del Grupo Mixto cuya portavoz solicitó dicha reconsideración.</w:t>
      </w:r>
    </w:p>
    <w:p w:rsidR="005728DD" w:rsidRDefault="005728DD" w:rsidP="005728DD">
      <w:pPr>
        <w:pStyle w:val="TextoNormal"/>
      </w:pPr>
    </w:p>
    <w:p w:rsidR="005728DD" w:rsidRDefault="005728DD" w:rsidP="005728DD">
      <w:pPr>
        <w:pStyle w:val="TextoNormal"/>
      </w:pPr>
      <w:r>
        <w:t>De acuerdo con lo expuesto, no habría obstáculo para que la portavoz del Grupo Mixto hubiese planteado la solicitud de reconsideración del acuerdo de 5 de junio de 2019. En este caso, debemos entender, además, que, con la misma se ha agotado la vía previa para la interposición del presente recurso de amparo.</w:t>
      </w:r>
    </w:p>
    <w:p w:rsidR="005728DD" w:rsidRDefault="005728DD" w:rsidP="005728DD">
      <w:pPr>
        <w:pStyle w:val="TextoNormal"/>
      </w:pPr>
    </w:p>
    <w:p w:rsidR="005728DD" w:rsidRDefault="005728DD" w:rsidP="005728DD">
      <w:pPr>
        <w:pStyle w:val="TextoNormal"/>
      </w:pPr>
      <w:r>
        <w:lastRenderedPageBreak/>
        <w:t>Ello se debe a que, conforme a la jurisprudencia constitucional, la exigencia de haber agotado las instancias internas parlamentarias deriva del principio de subsidiariedad, así como del debido respeto a la autonomía parlamentaria, de tal modo que no cabe recabar el amparo de este tribunal si la lesión pudo haber sido remediada mediante procedimientos parlamentarios que sin embargo no se utilizaron [SSTC 96/2019, de 15 de julio, FJ 4, y 97/2020, de 21 de julio, FJ 2 B) b)]. Pues bien, en este caso, se planteó solicitud de reconsideración por la portavoz del Grupo Parlamentario Mixto en relación con el acuerdo de 5 de junio de 2019, en la que esgrimió consideraciones similares a las que se alegan en la demanda de amparo, en relación con los referidos acuerdos: la incompetencia de la mesa para su adopción y la falta de audiencia de la junta de portavoces; la afectación de dichos acuerdos al Grupo Parlamentario Mixto y la vulneración de los derechos de carácter económico y social de los diputados suspendidos. En consecuencia, la mesa tuvo ocasión de analizar, al plantearse la solicitud de reconsideración, las vulneraciones que, de una manera u otra, se plantean en el presente recurso de amparo. Se respetaron, de esta manera, los principios de subsidiariedad, así como del debido respeto a la autonomía parlamentaria, que informan la exigencia de agotamiento de la vía previa en los recursos de amparo parlamentarios.</w:t>
      </w:r>
    </w:p>
    <w:p w:rsidR="005728DD" w:rsidRDefault="005728DD" w:rsidP="005728DD">
      <w:pPr>
        <w:pStyle w:val="TextoNormal"/>
      </w:pPr>
    </w:p>
    <w:p w:rsidR="005728DD" w:rsidRDefault="005728DD" w:rsidP="005728DD">
      <w:pPr>
        <w:pStyle w:val="TextoNormal"/>
      </w:pPr>
      <w:r>
        <w:t>En consecuencia, afirmado que, en este caso, la portavoz del Grupo Parlamentario Mixto, al plantear la solicitud de reconsideración actuó, también, en representación del diputado ahora recurrente en amparo, y que este planteó el presente recurso con el mismo fundamento que la misma, en la mayoría de sus extremos, y que, además, resulta afectado por los acuerdos que impugnan que, en su criterio, lesionan, entre otros, los derechos garantizados por el artículo 23.2 CE [STC 93/1998, de 4 de mayo, FJ 2 b)], debemos desestimar el óbice planteado por la letrada de las Cortes Generales.</w:t>
      </w:r>
    </w:p>
    <w:p w:rsidR="005728DD" w:rsidRDefault="005728DD" w:rsidP="005728DD">
      <w:pPr>
        <w:pStyle w:val="TextoNormal"/>
      </w:pPr>
    </w:p>
    <w:p w:rsidR="005728DD" w:rsidRDefault="005728DD" w:rsidP="005728DD">
      <w:pPr>
        <w:pStyle w:val="TextoNormal"/>
      </w:pPr>
      <w:r>
        <w:t>Ello sin perjuicio de que las diferencias que pueda haber en alguno de sus extremos entre la solicitud de reconsideración y la demanda deban conducir a la delimitación del objeto del presente recurso de amparo, como se expondrá a continuación.</w:t>
      </w:r>
    </w:p>
    <w:p w:rsidR="005728DD" w:rsidRDefault="005728DD" w:rsidP="005728DD">
      <w:pPr>
        <w:pStyle w:val="TextoNormal"/>
      </w:pPr>
    </w:p>
    <w:p w:rsidR="005728DD" w:rsidRDefault="005728DD" w:rsidP="005728DD">
      <w:pPr>
        <w:pStyle w:val="TextoNormal"/>
      </w:pPr>
      <w:r>
        <w:t>c) El Ministerio Fiscal ha solicitado la inadmisión del recurso de amparo en relación con los pronunciamientos del acuerdo de 5 de junio de 2019, contenidos en los puntos 2, 4 y 6, confirmados por el acuerdo de 16 de julio, por falta de legitimación del recurrente en cuanto dichos pronunciamientos afectan a los derechos atribuidos al Grupo Parlamentario Mixto, cuya representación legal no ostenta el demandante. En concreto, aduce, de acuerdo con lo afirmado en la STC 24/2020, FFJJ 3 y 4, que los mismos inciden en los derechos que el reglamento atribuye a los grupos parlamentarios y, en concreto, al Grupo Parlamentario Mixto, y el recurrente carece de legitimación para impugnar los mismos, en cuanto ha comparecido a título individual y sin ostentar la representación legal del grupo parlamentario en el que resulta integrado. Por su parte, y como se acaba de exponer, la letrada de las Cortes Generales afirma que la afectación de los derechos del Grupo Mixto no pueden ser invocada en una demanda de amparo planteada por un diputado suspendido de dicho grupo.</w:t>
      </w:r>
    </w:p>
    <w:p w:rsidR="005728DD" w:rsidRDefault="005728DD" w:rsidP="005728DD">
      <w:pPr>
        <w:pStyle w:val="TextoNormal"/>
      </w:pPr>
    </w:p>
    <w:p w:rsidR="005728DD" w:rsidRDefault="005728DD" w:rsidP="005728DD">
      <w:pPr>
        <w:pStyle w:val="TextoNormal"/>
      </w:pPr>
      <w:r>
        <w:t xml:space="preserve">En la STC 24/2020, FJ 4, el tribunal recordó que los parlamentarios que comparecen en el recurso de amparo a título individual sin ostentar la representación del grupo parlamentario o de sus miembros, salvo que se personen todos sus componentes, carecen de legitimación para arrogarse la defensa de los derechos y facultades del grupo al que pertenecen. Y, entre los pronunciamientos de dichas sentencias se refirió [STC 24/2020, FJ 4 b)], con </w:t>
      </w:r>
      <w:r>
        <w:lastRenderedPageBreak/>
        <w:t>cita de la STC 168/2012, de 1 de octubre, FJ 6 b), a que, “la sola condición de miembros de un grupo parlamentario no es suficiente para arrogarse la defensa de los derechos del grupo a que pertenecen, pues de lo contrario cada uno de los diputados de un grupo sería titular de una facultad impugnatoria que podría ejercitar individualmente, incluso en contra de la posible voluntad de los otros diputados del mismo grupo parlamentario”.</w:t>
      </w:r>
    </w:p>
    <w:p w:rsidR="005728DD" w:rsidRDefault="005728DD" w:rsidP="005728DD">
      <w:pPr>
        <w:pStyle w:val="TextoNormal"/>
      </w:pPr>
    </w:p>
    <w:p w:rsidR="005728DD" w:rsidRDefault="005728DD" w:rsidP="005728DD">
      <w:pPr>
        <w:pStyle w:val="TextoNormal"/>
      </w:pPr>
      <w:r>
        <w:t>Como ha quedado constancia en los antecedentes de esta sentencia, los puntos 2, 4 y 6 del acuerdo de 5 de junio de 2019 contienen pronunciamientos que hacen referencia a: (i) que la circunstancia de que diputados suspendidos no pueden pertenecer a ninguna comisión, ni formar parte de otros órganos como las ponencias o subcomisiones, habrá de ser tenida en cuenta en el momento de determinar el número de miembros que en los distintos órganos corresponderá designar al Grupo Parlamentario Mixto (punto 2); (ii) la ponderación de voto y el número de iniciativas que corresponden al Grupo Parlamentario Mixto con referencia a un sistema de cupo, en el que se descontará los cuatro diputados suspendidos del número total de diputados de dicho grupo (punto 4); (iii) la detracción de la parte proporcional de la subvención correspondiente al Grupo Parlamentario Mixto, en lo relativo a la pertenencia al mismo de dichos diputados (punto 6). Contienen, en definitiva, las consecuencias de la suspensión de los cuatro diputados en el Grupo Parlamentario Mixto.</w:t>
      </w:r>
    </w:p>
    <w:p w:rsidR="005728DD" w:rsidRDefault="005728DD" w:rsidP="005728DD">
      <w:pPr>
        <w:pStyle w:val="TextoNormal"/>
      </w:pPr>
    </w:p>
    <w:p w:rsidR="005728DD" w:rsidRDefault="005728DD" w:rsidP="005728DD">
      <w:pPr>
        <w:pStyle w:val="TextoNormal"/>
      </w:pPr>
      <w:r>
        <w:t>A la luz de la doctrina constitucional expuesta, y en tanto la sola condición de miembro de un grupo parlamentario no es suficiente para arrogarse la defensa de los derechos del grupo a que pertenecen, debemos convenir con el Ministerio Fiscal, que el diputado recurrente en amparo no estaba legitimado para impugnar los puntos 2, 4 y 6 del acuerdo de la mesa del Congreso de los Diputados de 5 de junio de 2019, confirmado por el acuerdo de 16 de julio del mismo año, en lo que hace referencia a los derechos del Grupo Mixto. Dichos pronunciamientos, en consecuencia, no serán objeto de nuestro enjuiciamiento en los extremos en los que la demanda entienda que los mismos vulneran los derechos del grupo parlamentario, pues el recurrente no ostenta legitimación para su impugnación.</w:t>
      </w:r>
    </w:p>
    <w:p w:rsidR="005728DD" w:rsidRDefault="005728DD" w:rsidP="005728DD">
      <w:pPr>
        <w:pStyle w:val="TextoNormal"/>
      </w:pPr>
    </w:p>
    <w:p w:rsidR="005728DD" w:rsidRDefault="005728DD" w:rsidP="005728DD">
      <w:pPr>
        <w:pStyle w:val="TextoNormal"/>
      </w:pPr>
      <w:r>
        <w:t>d) La impugnación por el recurrente no ha perdido objeto por el hecho de que cesara definitivamente en esa condición tras la disolución de la cámara y convocatoria de elecciones por Real Decreto 551/2019, de 24 de septiembre (art. 68.4 CE) antes de que recayera, el 14 de octubre del mismo año, sentencia 459/2019, de 14 de octubre, de la Sala de lo Penal del Tribunal Supremo, puesto que, como afirma el Ministerio Fiscal, los acuerdos frente a los que el recurrente ejerce su pretensión desplegaron sus efectos, al menos, y sin perjuicio de lo que posteriormente precisaremos, desde el día 21 de mayo de 2019 hasta la fecha de la disolución de la cámara, el 24 de septiembre de ese mismo año.</w:t>
      </w:r>
    </w:p>
    <w:p w:rsidR="005728DD" w:rsidRDefault="005728DD" w:rsidP="005728DD">
      <w:pPr>
        <w:pStyle w:val="TextoNormal"/>
      </w:pPr>
    </w:p>
    <w:p w:rsidR="005728DD" w:rsidRDefault="005728DD" w:rsidP="005728DD">
      <w:pPr>
        <w:pStyle w:val="TextoNormal"/>
      </w:pPr>
      <w:r>
        <w:t xml:space="preserve">e) En la demanda se ha solicitado, con cita del artículo 89.1 LOTC, la práctica de la prueba consistente en libramiento de oficio al registro central de medidas cautelares, requisitorias y sentencias no firmes para que se certificara “si algún juez o tribunal ha decretado la medida prevista en el artículo 384 </w:t>
      </w:r>
      <w:r w:rsidRPr="005728DD">
        <w:rPr>
          <w:i/>
        </w:rPr>
        <w:t>bis</w:t>
      </w:r>
      <w:r>
        <w:t xml:space="preserve"> LECrim en relación con la condición de diputado” de quien recurre, así como libramiento de atento oficio al Congreso de los Diputados, por medio de la presidenta de su diputación permanente, para que aporte copia del convenio especial vigente con la Seguridad Social aplicable a los diputados del Congreso, así como de la póliza de accidentes contratada por las Cortes Generales.</w:t>
      </w:r>
    </w:p>
    <w:p w:rsidR="005728DD" w:rsidRDefault="005728DD" w:rsidP="005728DD">
      <w:pPr>
        <w:pStyle w:val="TextoNormal"/>
      </w:pPr>
    </w:p>
    <w:p w:rsidR="005728DD" w:rsidRDefault="005728DD" w:rsidP="005728DD">
      <w:pPr>
        <w:pStyle w:val="TextoNormal"/>
      </w:pPr>
      <w:r>
        <w:lastRenderedPageBreak/>
        <w:t xml:space="preserve">No procede, sin embargo, como también se afirma en la STC 97/2020, de 21 de julio, FJ 2 C), y por las mismas razones que dicha sentencia expresa, la práctica de prueba que se ha solicitado. No se trata solo de que, conforme al artículo 89.1 LOTC, el tribunal solo acordará la práctica de prueba “cuando lo estime necesario” y de que tal necesidad no sea de apreciar si los extremos sobre los que aquella hubiera de versar pudieran acreditarse en virtud de lo previsto en el artículo 88.1 LOTC, de conformidad con el cual, esta jurisdicción podrá recabar de los poderes públicos y de los órganos de cualquier administración la remisión del expediente y de los informes y documentos relativos a la disposición o acto origen del proceso constitucional (al respecto, STC 155/2017, de 21 de diciembre, FJ 2). Se trata de que lo que así se interesa en la demanda, lo es para dilucidar o confirmar la naturaleza, cautelar o no, de la medida prevista en el repetido artículo 384 </w:t>
      </w:r>
      <w:r w:rsidRPr="005728DD">
        <w:rPr>
          <w:i/>
        </w:rPr>
        <w:t>bis</w:t>
      </w:r>
      <w:r>
        <w:t xml:space="preserve"> LECrim, así como de la concreta regulación del sistema de Seguridad Social y de la póliza de accidentes contratada por las Cortes Generales, aspectos sobre los que unas partes y otras han expuesto sus respectivos pareceres y que constituye, como es obvio, una </w:t>
      </w:r>
      <w:r w:rsidRPr="005728DD">
        <w:rPr>
          <w:i/>
        </w:rPr>
        <w:t>quaestio iuris</w:t>
      </w:r>
      <w:r>
        <w:t xml:space="preserve">, no una </w:t>
      </w:r>
      <w:r w:rsidRPr="005728DD">
        <w:rPr>
          <w:i/>
        </w:rPr>
        <w:t>quaestio facti</w:t>
      </w:r>
      <w:r>
        <w:t>, acerca de la que el tribunal no necesitaría, si el caso llegara, de ilustración específica.</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Delimitación del objeto y fundamento del recurso de amparo</w:t>
      </w:r>
      <w:r>
        <w:t>.</w:t>
      </w:r>
    </w:p>
    <w:p w:rsidR="005728DD" w:rsidRDefault="005728DD" w:rsidP="005728DD">
      <w:pPr>
        <w:pStyle w:val="TextoNormal"/>
      </w:pPr>
    </w:p>
    <w:p w:rsidR="005728DD" w:rsidRDefault="005728DD" w:rsidP="005728DD">
      <w:pPr>
        <w:pStyle w:val="TextoNormal"/>
      </w:pPr>
      <w:r>
        <w:t xml:space="preserve">La mesa del Congreso de los Diputados, en sus resoluciones de 24 de mayo y 11 de junio de 2019, declaró “automáticamente suspendidos en el ejercicio del cargo y, por tanto, y en los derechos y deberes establecidos en el Reglamento de la Cámara” a cuatro diputados, entre ellos a quien hoy demanda amparo, con efectos desde el 21 de mayo del mismo año, fecha en la que unos y otros adquirieron tal condición, por concurrir las “circunstancias necesarias para la aplicación” del artículo 384 </w:t>
      </w:r>
      <w:r w:rsidRPr="005728DD">
        <w:rPr>
          <w:i/>
        </w:rPr>
        <w:t>bis</w:t>
      </w:r>
      <w:r>
        <w:t xml:space="preserve"> LECrim. Contra dichas resoluciones se interpuso recurso de amparo núm. 5196-2019, por quien ahora también recurre, que fue desestimado por STC 97/2020, de 21 de julio.</w:t>
      </w:r>
    </w:p>
    <w:p w:rsidR="005728DD" w:rsidRDefault="005728DD" w:rsidP="005728DD">
      <w:pPr>
        <w:pStyle w:val="TextoNormal"/>
      </w:pPr>
    </w:p>
    <w:p w:rsidR="005728DD" w:rsidRDefault="005728DD" w:rsidP="005728DD">
      <w:pPr>
        <w:pStyle w:val="TextoNormal"/>
      </w:pPr>
      <w:r>
        <w:t>La citada sentencia, y los acuerdos sobre los que se pronuncia la misma, cobran relevancia en el presente proceso bajo los siguientes puntos de vista:</w:t>
      </w:r>
    </w:p>
    <w:p w:rsidR="005728DD" w:rsidRDefault="005728DD" w:rsidP="005728DD">
      <w:pPr>
        <w:pStyle w:val="TextoNormal"/>
      </w:pPr>
    </w:p>
    <w:p w:rsidR="005728DD" w:rsidRDefault="005728DD" w:rsidP="005728DD">
      <w:pPr>
        <w:pStyle w:val="TextoNormal"/>
      </w:pPr>
      <w:r>
        <w:t>a) Debe descartarse la nulidad de los acuerdos ahora recurridos por derivar de la nulidad de los acuerdos de 24 de mayo y 11 de junio de 2019 por remisión a lo alegado en el citado recurso de amparo núm. 5196-2019. Baste para ello, la remisión a lo afirmado en la STC 97/2020.</w:t>
      </w:r>
    </w:p>
    <w:p w:rsidR="005728DD" w:rsidRDefault="005728DD" w:rsidP="005728DD">
      <w:pPr>
        <w:pStyle w:val="TextoNormal"/>
      </w:pPr>
    </w:p>
    <w:p w:rsidR="005728DD" w:rsidRDefault="005728DD" w:rsidP="005728DD">
      <w:pPr>
        <w:pStyle w:val="TextoNormal"/>
      </w:pPr>
      <w:r>
        <w:t>b) El recurrente, además, formula alegaciones adicionales sobre la nulidad de los acuerdos de 24 de mayo y 11 de junio. Dichas alegaciones, de las que se ha dado cumplida cuenta en los antecedentes de esta sentencia, no serían imputables a los acuerdos de la mesa del Congreso de los Diputados de 5 de junio y 16 de julio de 2019, que ahora se impugnan, únicas resoluciones aquí enjuiciables (en este sentido, STC 97/2020, FJ 3) sino, en su caso, a los de 24 de mayo y 11 de junio de 2019. Estos y los que se impugnan en el presente recurso de amparo, como destaca la letrada de las Cortes Generales, son diferentes, aunque los segundos sean complementarios de los primeros. Y también lo es el objeto de la controversia, ya que si en el recurso de amparo núm. 5196-2019 se cuestionaba la suspensión de la condición del recurrente, ahora se discuten determinados efectos de la misma precisados por los acuerdos de 5 de junio y de 16 de julio de 2019. En consecuencia, las alegaciones adicionales sobre la nulidad de los acuerdos de 24 de mayo y 11 de junio quedan fuera del presente recurso de amparo.</w:t>
      </w:r>
    </w:p>
    <w:p w:rsidR="005728DD" w:rsidRDefault="005728DD" w:rsidP="005728DD">
      <w:pPr>
        <w:pStyle w:val="TextoNormal"/>
      </w:pPr>
    </w:p>
    <w:p w:rsidR="005728DD" w:rsidRDefault="005728DD" w:rsidP="005728DD">
      <w:pPr>
        <w:pStyle w:val="TextoNormal"/>
      </w:pPr>
      <w:r>
        <w:t>c) La presente sentencia ha de partir de que en el acuerdo de la mesa del Congreso de 24 de mayo de 2019, ratificado por el de 11 de junio, ya se declaró “automáticamente suspendidos en el ejercicio del cargo y, por tanto, en los derechos y deberes establecidos en el Reglamento de la Cámara” al demandante y a otros tres diputados. La STC 97/2020 descartó, como se ha señalado, que los acuerdos impugnados incurrieran en las vulneraciones que alegaba la demanda y que ahora se reiteran por remisión al citado recurso. Por lo tanto, debemos limitarnos ahora únicamente a las vulneraciones autónomas de este recurso de amparo.</w:t>
      </w:r>
    </w:p>
    <w:p w:rsidR="005728DD" w:rsidRDefault="005728DD" w:rsidP="005728DD">
      <w:pPr>
        <w:pStyle w:val="TextoNormal"/>
      </w:pPr>
    </w:p>
    <w:p w:rsidR="005728DD" w:rsidRDefault="005728DD" w:rsidP="005728DD">
      <w:pPr>
        <w:pStyle w:val="TextoNormal"/>
      </w:pPr>
      <w:r>
        <w:t>d) Rechazadas las vulneraciones alegadas en la demanda que se sustentan en la nulidad de los acuerdos de 24 de mayo y 11 de junio de 2019, deben ahora analizarse los motivos por los que, a juicio del recurrente, los acuerdos ahora recurridos vulnerarían los artículos 14 y 23 CE, así como el artículo 3 del Protocolo núm. 1 al CEDH. Precisando, en todo caso, respecto a la denuncia de la vulneración del artículo 14 CE que alega el demandante , que la eventual lesión de la igualdad ha de examinarse en el contexto del artículo 23.2 CE y no en el del artículo 14, a no ser que el tratamiento diferenciado controvertido se deba a alguno de los criterios expresamente mencionados en el artículo 14 CE (por todas, STC 4/2018, de 22 de enero, FJ 2), lo que no se aduce en el presente recurso de amparo. La suspensión de sus derechos económicos alegada por el recurrente, no se corresponde con un derecho fundamental susceptible de amparo constitucional de los previstos en la sección primera, capítulo II, título I de la Constitución, por lo que su análisis habrá de limitarse a su posible afectación al artículo 23 CE.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Jurisprudencia constitucional sobre el artículo 23.2 CE</w:t>
      </w:r>
      <w:r>
        <w:t>.</w:t>
      </w:r>
    </w:p>
    <w:p w:rsidR="005728DD" w:rsidRDefault="005728DD" w:rsidP="005728DD">
      <w:pPr>
        <w:pStyle w:val="TextoNormal"/>
      </w:pPr>
    </w:p>
    <w:p w:rsidR="005728DD" w:rsidRDefault="005728DD" w:rsidP="005728DD">
      <w:pPr>
        <w:pStyle w:val="TextoNormal"/>
      </w:pPr>
      <w:r>
        <w:t>La STC 97/2020, FJ 6 A) hizo un recordatorio general de las líneas capitales de la doctrina de este tribunal sobre el derecho fundamental enunciado en el artículo 23.2 CE, y a propósito de su conexión con el reconocido en el apartado primero del mismo artículo, con referencia a las SSTC 155/2019, de 28 de noviembre, FJ 15; 159/2019, de 12 de diciembre, FJ 5; 3/2020, de 15 de enero, FJ 10; 4/2020, de 15 de enero, FJ 3, y 9/2020, de 28 de enero, FJ 4. Especial relevancia tiene en el presente recurso de amparo, asimismo, la doctrina constitucional sobre el contenido de este derecho [entre otras, además de las anteriores, STC 110/2019, de 2 de octubre, FJ 2 A)]. La doctrina contenida en dichas sentencias:</w:t>
      </w:r>
    </w:p>
    <w:p w:rsidR="005728DD" w:rsidRDefault="005728DD" w:rsidP="005728DD">
      <w:pPr>
        <w:pStyle w:val="TextoNormal"/>
      </w:pPr>
    </w:p>
    <w:p w:rsidR="005728DD" w:rsidRDefault="005728DD" w:rsidP="005728DD">
      <w:pPr>
        <w:pStyle w:val="TextoNormal"/>
      </w:pPr>
      <w:r>
        <w:t>a) Desde las SSTC 10/1983, de 21 de febrero, y 32/1985, de 6 de marzo, FFJJ 2 y 3 de una y otra, tiene declarado este tribunal que el derecho a acceder a los cargos de naturaleza representativa implica también el de mantenerse en ellos y desempeñarlos de acuerdo con la ley, sin constricciones o perturbaciones ilegítimas.</w:t>
      </w:r>
    </w:p>
    <w:p w:rsidR="005728DD" w:rsidRDefault="005728DD" w:rsidP="005728DD">
      <w:pPr>
        <w:pStyle w:val="TextoNormal"/>
      </w:pPr>
    </w:p>
    <w:p w:rsidR="005728DD" w:rsidRDefault="005728DD" w:rsidP="005728DD">
      <w:pPr>
        <w:pStyle w:val="TextoNormal"/>
      </w:pPr>
      <w:r>
        <w:t>b) Cuando se trata de tales cargos representativos, el derecho enunciado en el artículo 23.2 CE ha de ponerse en conexión con el de todos los ciudadanos a participar en los asuntos públicos por medio de representantes, libremente elegidos en elecciones periódicas por sufragio universal (art. 23.1 CE), pues son los representantes quienes actualizan aquel derecho de los ciudadanos, al margen ahora la participación directa a la que el propio precepto se refiere.</w:t>
      </w:r>
    </w:p>
    <w:p w:rsidR="005728DD" w:rsidRDefault="005728DD" w:rsidP="005728DD">
      <w:pPr>
        <w:pStyle w:val="TextoNormal"/>
      </w:pPr>
    </w:p>
    <w:p w:rsidR="005728DD" w:rsidRDefault="005728DD" w:rsidP="005728DD">
      <w:pPr>
        <w:pStyle w:val="TextoNormal"/>
      </w:pPr>
      <w:r>
        <w:lastRenderedPageBreak/>
        <w:t xml:space="preserve">c) El derecho establecido en el artículo 23.2 CE, como se desprende del inciso final del precepto, es de configuración legal, correspondiendo a la ley, concepto en el que se incluyen los reglamentos parlamentarios, ordenar los derechos y facultades que correspondan a los distintos cargos públicos y que pasan así a integrarse en el estatus propio de cada uno de ellos, con la consecuencia de que podrá su titular defender, al amparo de esta disposición constitucional, el </w:t>
      </w:r>
      <w:r w:rsidRPr="005728DD">
        <w:rPr>
          <w:i/>
        </w:rPr>
        <w:t>ius in officium</w:t>
      </w:r>
      <w:r>
        <w:t xml:space="preserve"> que estime ilegítimamente constreñido o ignorado por actos de los poderes públicos. En todo caso, en el artículo 23.2 no ha asumido la Constitución un genérico derecho, con la condición de fundamental, al respeto de todas y cada una de las prescripciones de aquellos reglamentos, con la consecuencia de que el derecho de los representantes, y en particular su </w:t>
      </w:r>
      <w:r w:rsidRPr="005728DD">
        <w:rPr>
          <w:i/>
        </w:rPr>
        <w:t>ius in officium</w:t>
      </w:r>
      <w:r>
        <w:t>, solo podrá considerarse vulnerado si las alegadas contravenciones de las normas internas de las asambleas afectan al núcleo de los derechos y facultades de los representantes o, en otros términos, a su estatuto constitucionalmente relevante.</w:t>
      </w:r>
    </w:p>
    <w:p w:rsidR="005728DD" w:rsidRDefault="005728DD" w:rsidP="005728DD">
      <w:pPr>
        <w:pStyle w:val="TextoNormal"/>
      </w:pPr>
    </w:p>
    <w:p w:rsidR="005728DD" w:rsidRDefault="005728DD" w:rsidP="005728DD">
      <w:pPr>
        <w:pStyle w:val="TextoNormal"/>
      </w:pPr>
      <w:r>
        <w:t>d) El legislador dispone de un amplio margen de libertad para regular el ejercicio del derecho, si bien con límites, tanto generales, como el respeto al principio de igualdad y a los demás derechos fundamentales, como referidos, cuando se trata de cargos representativos, a la necesaria salvaguarda de la naturaleza de la representación.</w:t>
      </w:r>
    </w:p>
    <w:p w:rsidR="005728DD" w:rsidRDefault="005728DD" w:rsidP="005728DD">
      <w:pPr>
        <w:pStyle w:val="TextoNormal"/>
      </w:pPr>
    </w:p>
    <w:p w:rsidR="005728DD" w:rsidRDefault="005728DD" w:rsidP="005728DD">
      <w:pPr>
        <w:pStyle w:val="TextoNormal"/>
      </w:pPr>
      <w:r>
        <w:t>e) El derecho fundamental de que se trata no es incondicionado o absoluto, sino que queda delimitado en su contenido tanto por su naturaleza como en atención a su función. Aunque el derecho se impone en su contenido esencial al legislador, puede este establecer limitaciones y restricciones a su ejercicio que, respetando ese contenido y los imperativos del principio de igualdad, se ordenen, desde la perspectiva constitucional, a un fin legítimo y en términos proporcionados a esa válida finalidad. Limitaciones y restricciones legales que habrán de aplicarse, en especial por los órganos judiciales, mediante resolución especialmente motivada y no incursa en desproporción en relación con aquella finalidad.</w:t>
      </w:r>
    </w:p>
    <w:p w:rsidR="005728DD" w:rsidRDefault="005728DD" w:rsidP="005728DD">
      <w:pPr>
        <w:pStyle w:val="TextoNormal"/>
      </w:pPr>
    </w:p>
    <w:p w:rsidR="005728DD" w:rsidRDefault="005728DD" w:rsidP="005728DD">
      <w:pPr>
        <w:pStyle w:val="TextoNormal"/>
      </w:pPr>
      <w:r>
        <w:t>f) Los criterios reseñados, son según se puntualiza con detalle en las mencionadas sentencias, semejantes a los que se desprenden de la jurisprudencia del Tribunal Europeo de Derechos Humanos sobre el artículo 3 del Protocolo adicional número 1 al CEDH, jurisprudencia que constituye relevante referencia hermenéutica para la determinación del sentido y alcance de los derechos que la Constitución reconoce en su artículo 10.2.</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Sobre las vulneraciones alegadas del artículo 23 CE</w:t>
      </w:r>
      <w:r>
        <w:t>.</w:t>
      </w:r>
    </w:p>
    <w:p w:rsidR="005728DD" w:rsidRDefault="005728DD" w:rsidP="005728DD">
      <w:pPr>
        <w:pStyle w:val="TextoNormal"/>
      </w:pPr>
    </w:p>
    <w:p w:rsidR="005728DD" w:rsidRDefault="005728DD" w:rsidP="005728DD">
      <w:pPr>
        <w:pStyle w:val="TextoNormal"/>
      </w:pPr>
      <w:r>
        <w:t xml:space="preserve">En el análisis de las vulneraciones del artículo 23 CE aducidas en la demanda hay que partir de que este tribunal ya consideró que la aplicación por los acuerdos de 24 de mayo y de 11 de junio de 2019 del artículo 384 </w:t>
      </w:r>
      <w:r w:rsidRPr="005728DD">
        <w:rPr>
          <w:i/>
        </w:rPr>
        <w:t>bis</w:t>
      </w:r>
      <w:r>
        <w:t xml:space="preserve"> LECrim no fue lesiva del derecho fundamental enunciado en el artículo 23.2 CE [STC 97/2020, FJ 6 B) e)]. En el acuerdo de 24 de mayo, confirmado por el acuerdo de 11 de junio, se declaró automáticamente suspendido al ahora recurrente en amparo, en el ejercicio del cargo y en los derechos y deberes establecidos en el Reglamento del Congreso. Entre esos derechos se encuentran los derechos y las facultades a las que se refieren los acuerdos ahora recurridos, que por ser complementarios de los anteriores, se limitan, como los propios acuerdos expresan, a establecer el alcance y los efectos de la suspensión. Partiendo de dicha premisa, deben ahora analizarse las diferentes quejas que aduce la demanda.</w:t>
      </w:r>
    </w:p>
    <w:p w:rsidR="005728DD" w:rsidRDefault="005728DD" w:rsidP="005728DD">
      <w:pPr>
        <w:pStyle w:val="TextoNormal"/>
      </w:pPr>
    </w:p>
    <w:p w:rsidR="005728DD" w:rsidRDefault="005728DD" w:rsidP="005728DD">
      <w:pPr>
        <w:pStyle w:val="TextoNormal"/>
      </w:pPr>
      <w:r>
        <w:lastRenderedPageBreak/>
        <w:t>A) La demanda alega, en primer lugar, que el acuerdo de 5 de junio de 2019, fue dictado por un órgano manifiestamente incompetente, la mesa, y que se ha producido la vulneración del derecho del diputado recurrente por su adopción, sin audiencia de la junta de portavoces. A su juicio, un inciso del apartado 2 del citado acuerdo, que establece que la suspensión de determinados diputados supone que los mismos no pueden pertenecer a ninguna comisión, ni formar parte de otros órganos como las ponencias o subcomisiones, “habrá de ser tenida en cuenta en el momento de determinar el número de miembros que en los distintos órganos corresponderá designar al Grupo Parlamentario Mixto”, es una disposición de carácter general, siendo competente para su adopción la presidencia de la Cámara, oída la junta de portavoces (artículo 32.2 RCD). La vulneración del artículo 23 CE se habría producido, a decir de la demanda, precisamente, por no haber oído a la junta de portavoces, ya que conforme a las SSTC 107/2016, 108/2016 y 109/2016, de 7 de junio, dicha falta de audiencia es la que comporta la vulneración.</w:t>
      </w:r>
    </w:p>
    <w:p w:rsidR="005728DD" w:rsidRDefault="005728DD" w:rsidP="005728DD">
      <w:pPr>
        <w:pStyle w:val="TextoNormal"/>
      </w:pPr>
    </w:p>
    <w:p w:rsidR="005728DD" w:rsidRDefault="005728DD" w:rsidP="005728DD">
      <w:pPr>
        <w:pStyle w:val="TextoNormal"/>
      </w:pPr>
      <w:r>
        <w:t>No cabe acoger, sin embargo, esta queja.</w:t>
      </w:r>
    </w:p>
    <w:p w:rsidR="005728DD" w:rsidRDefault="005728DD" w:rsidP="005728DD">
      <w:pPr>
        <w:pStyle w:val="TextoNormal"/>
      </w:pPr>
    </w:p>
    <w:p w:rsidR="005728DD" w:rsidRDefault="005728DD" w:rsidP="005728DD">
      <w:pPr>
        <w:pStyle w:val="TextoNormal"/>
      </w:pPr>
      <w:r>
        <w:t>El acuerdo de 5 de junio de 2019, confirmado por el de 16 de julio, es un acuerdo de carácter complementario del de 24 de mayo de 2019, confirmado por el de 11 de junio de 2019, en el que se declaró la suspensión en el ejercicio del cargo y de los derechos y deberes establecidos en el reglamento de la Cámara, entre otros, del ahora recurrente en amparo, y que define los efectos de dicha suspensión en la composición y funcionamiento de la cámara y de sus órganos y, en relación con los derechos económicos y de prestaciones sociales de los diputados suspensos.</w:t>
      </w:r>
    </w:p>
    <w:p w:rsidR="005728DD" w:rsidRDefault="005728DD" w:rsidP="005728DD">
      <w:pPr>
        <w:pStyle w:val="TextoNormal"/>
      </w:pPr>
    </w:p>
    <w:p w:rsidR="005728DD" w:rsidRDefault="005728DD" w:rsidP="005728DD">
      <w:pPr>
        <w:pStyle w:val="TextoNormal"/>
      </w:pPr>
      <w:r>
        <w:t>El acuerdo de 24 de mayo, del que este es complementario, fue adoptado por la mesa de la Cámara. Al respecto la STC 97/2020, FJ 6 C) b) afirmó que no cabía “en definitiva censura jurídico-constitucional alguna por el hecho de que la mesa de la Cámara asumiera la declaración de suspensión, acto debido para cuya adopción se acomodó bien la condición de un órgano de gobierno que tiene cometidos, en general, de carácter técnico-jurídico [STC 110/2019, FJ 3 A) b), por todas], y que cuenta, como han recordado quienes se oponen al recurso, con competencia para cualesquiera funciones ‘que no estén atribuidas a un órgano específico’ del Congreso (art. 31.1.7 RCD)”. Por lo tanto, si entendimos que la mesa era competente para la adopción de la declaración de suspensión, no hay razón alguna para entender que no lo es para definir los efectos de la misma, cuanto más en la medida en que la mesa, como alega la letrada de las Cortes Generales, es el órgano rector y de gobierno de la Cámara (artículo 30.l RCD), al que le corresponde “adoptar cuantas decisiones y medidas requieran la organización del trabajo y el régimen y gobierno interiores de la Cámara” (artículo 31.1.1 RCD), la función de calificar y decidir la tramitación de todos los escritos y documentos de índole parlamentaria (artículos 31.1.4 y 5 RCD), así como “cualesquiera otras que le encomiende el presente reglamento y las que no estén atribuidas a un órgano específico” (artículo 3.1.7 RCD). A lo que ha de añadirse que, en todo caso, el inciso al que hace referencia la demanda y que determinaría el vicio de incompetencia que se alega, no podría considerarse, como también alega la letrada de las Cortes Generales, una resolución de carácter general cuya adopción encomienda el artículo 32.2 RCD a la presidencia de la Cámara, oída la mesa y la junta de portavoces, en la que se ejerza una función supletoria del reglamento.</w:t>
      </w:r>
    </w:p>
    <w:p w:rsidR="005728DD" w:rsidRDefault="005728DD" w:rsidP="005728DD">
      <w:pPr>
        <w:pStyle w:val="TextoNormal"/>
      </w:pPr>
    </w:p>
    <w:p w:rsidR="005728DD" w:rsidRDefault="005728DD" w:rsidP="005728DD">
      <w:pPr>
        <w:pStyle w:val="TextoNormal"/>
      </w:pPr>
      <w:r>
        <w:lastRenderedPageBreak/>
        <w:t>En todo caso, en lo que funda la demanda la vulneración del artículo 23.2 CE es en la falta de audiencia de la junta de portavoces (SSTC 107/2016, 108/2016 y 109/2016). Y lo cierto es, como alegan las partes que se oponen al recurso, que la junta fue efectivamente oída por el órgano de gobierno de la cámara antes de resolver sobre la solicitud de reconsideración, de acuerdo con el artículo 31.2 RCD. En consecuencia, y como afirma la STC 110/2019, FJ 2 B a) “oída así la junta sobre este extremo, es ya del todo intrascendente, a efectos jurídico-constitucionales, que el parecer recabado lo fuera con fundamento en uno u otro precepto reglamentario […] pues lo decisivo es que la audiencia —de ser relevante para el derecho fundamental invocado— tuvo lugar, sin que el recurso de amparo del artículo 42 LOTC sirva en modo alguno de cauce para discutir sobre infracciones puramente formales, reales o supuestas, de la legalidad parlamentaria y que nunca habrían deparado, por tanto, lesiones reales y efectivas de los derechos fundamentales (SSTC 129/2006, de 24 de abril, FJ 4, y 78/2016, de 24 de abril, FJ 6)”.</w:t>
      </w:r>
    </w:p>
    <w:p w:rsidR="005728DD" w:rsidRDefault="005728DD" w:rsidP="005728DD">
      <w:pPr>
        <w:pStyle w:val="TextoNormal"/>
      </w:pPr>
    </w:p>
    <w:p w:rsidR="005728DD" w:rsidRDefault="005728DD" w:rsidP="005728DD">
      <w:pPr>
        <w:pStyle w:val="TextoNormal"/>
      </w:pPr>
      <w:r>
        <w:t>B) El recurrente alega que los apartados 2, 4 y 6 del acuerdo de 5 de junio vulneran los derechos del Grupo Parlamentario Mixto y del recurrente. Dichos apartados, como ha quedado constancia en los antecedentes, precisan las consecuencias de la suspensión de los diputados a los que se refiere el acuerdo de 24 de mayo de 2019, en las mayorías del Congreso y de sus órganos, y en los derechos del Grupo Parlamentario Mixto.</w:t>
      </w:r>
    </w:p>
    <w:p w:rsidR="005728DD" w:rsidRDefault="005728DD" w:rsidP="005728DD">
      <w:pPr>
        <w:pStyle w:val="TextoNormal"/>
      </w:pPr>
    </w:p>
    <w:p w:rsidR="005728DD" w:rsidRDefault="005728DD" w:rsidP="005728DD">
      <w:pPr>
        <w:pStyle w:val="TextoNormal"/>
      </w:pPr>
      <w:r>
        <w:t>En concreto, el apartado 2 establece que, en el momento de determinar el número de miembros que, en los distintos órganos corresponderá designar al Grupo Parlamentario Mixto, ha de tenerse en cuenta que los diputados suspendidos no pueden pertenecer a ninguna comisión, ni formar parte de otros órganos como las ponencias o subcomisiones. Por su parte, el apartado 4 establece que se descontarán los cuatro diputados suspendidos del número total de miembros de la cámara a efectos de ponderar el voto en los casos en que sea precisa tal ponderación y para la asignación del número de iniciativas correspondientes al Grupo Parlamentario Mixto cuya inclusión se establezca con referencia a un sistema de cupo. A su vez, el apartado 6 establece que se ha de detraer la parte proporcional de la subvención correspondiente al Grupo Parlamentario Mixto, en lo relativo a la pertenencia al mismo de dichos diputados, una vez se formalice su incorporación a aquél.</w:t>
      </w:r>
    </w:p>
    <w:p w:rsidR="005728DD" w:rsidRDefault="005728DD" w:rsidP="005728DD">
      <w:pPr>
        <w:pStyle w:val="TextoNormal"/>
      </w:pPr>
    </w:p>
    <w:p w:rsidR="005728DD" w:rsidRDefault="005728DD" w:rsidP="005728DD">
      <w:pPr>
        <w:pStyle w:val="TextoNormal"/>
      </w:pPr>
      <w:r>
        <w:t>La razón de la vulneración sería, según se infiere de lo expuesto en la demanda, que determinadas consecuencias que se atribuyen a la suspensión de la condición de diputado, vulneran el principio de interdicción de la arbitrariedad de los poderes públicos, así como el derecho a una resolución motivada. Entre las alegaciones que realiza el recurrente, como se ha expuesto en los antecedentes de esta sentencia, pone de manifiesto que se han alterado las mayorías de los órganos de la cámara y resulta arbitrario que los diputados suspendidos computen para la mayoría del pleno y no en relación con los derechos del Grupo Parlamentario Mixto. Dichas alegaciones se extienden al apartado 6 que, a su vez, vulneraría el artículo 23.2 CE, de acuerdo con la STC 15/1992, de 10 de febrero.</w:t>
      </w:r>
    </w:p>
    <w:p w:rsidR="005728DD" w:rsidRDefault="005728DD" w:rsidP="005728DD">
      <w:pPr>
        <w:pStyle w:val="TextoNormal"/>
      </w:pPr>
    </w:p>
    <w:p w:rsidR="005728DD" w:rsidRDefault="005728DD" w:rsidP="005728DD">
      <w:pPr>
        <w:pStyle w:val="TextoNormal"/>
      </w:pPr>
      <w:r>
        <w:t xml:space="preserve">La queja, tal y como ha quedado expuesta, ha de entenderse limitada a la denuncia de falta de motivación y arbitrariedad de tales acuerdos vulneradora, a decir de la demanda de los derechos del recurrente. Debe recordarse, al respecto, que, en el fundamento jurídico 2 c) de esta sentencia hemos afirmado que los apartados 2, 4 y 6 del acuerdo de 5 de junio de 2019 no van a ser objeto de nuestro enjuiciamiento en los extremos en los que la demanda </w:t>
      </w:r>
      <w:r>
        <w:lastRenderedPageBreak/>
        <w:t>entienda que los mismos vulneran los derechos del grupo parlamentario, pues el recurrente no ostenta legitimación para su impugnación [STC 24/2020, FJ 4 b)].</w:t>
      </w:r>
    </w:p>
    <w:p w:rsidR="005728DD" w:rsidRDefault="005728DD" w:rsidP="005728DD">
      <w:pPr>
        <w:pStyle w:val="TextoNormal"/>
      </w:pPr>
    </w:p>
    <w:p w:rsidR="005728DD" w:rsidRDefault="005728DD" w:rsidP="005728DD">
      <w:pPr>
        <w:pStyle w:val="TextoNormal"/>
      </w:pPr>
      <w:r>
        <w:t>En todo caso, no cabe acoger las quejas que en la demanda se exponen, de falta de motivación de las resoluciones que dictó la mesa del Congreso.</w:t>
      </w:r>
    </w:p>
    <w:p w:rsidR="005728DD" w:rsidRDefault="005728DD" w:rsidP="005728DD">
      <w:pPr>
        <w:pStyle w:val="TextoNormal"/>
      </w:pPr>
    </w:p>
    <w:p w:rsidR="005728DD" w:rsidRDefault="005728DD" w:rsidP="005728DD">
      <w:pPr>
        <w:pStyle w:val="TextoNormal"/>
      </w:pPr>
      <w:r>
        <w:t>Se ha de tener en cuenta que la autonomía parlamentaria garantizada constitucionalmente (art. 72 CE) implica otorgar a los órganos rectores de las cámaras “un margen de aplicación en la interpretación de la legalidad parlamentaria que este tribunal no puede desconocer” [STC 34/2018, FJ 3 c), con cita a su vez de la STC 215/2016, de 15 de diciembre, FJ 5 b)]. Además, que el Tribunal Constitucional, ante la denuncia de falta de motivación de acuerdos de órganos de las diferentes cámaras ha entendido que la misma ha podido ser expresada tanto en el acuerdo inicial, como en la contestación a la solicitud de reconsideración (en este sentido, STC 173/2020, de 19 de noviembre, FJ 3), y también en el acta de la reunión en la que se adoptó el correspondiente acuerdo (STC 110/2019, de 2 de octubre, FJ 4).</w:t>
      </w:r>
    </w:p>
    <w:p w:rsidR="005728DD" w:rsidRDefault="005728DD" w:rsidP="005728DD">
      <w:pPr>
        <w:pStyle w:val="TextoNormal"/>
      </w:pPr>
    </w:p>
    <w:p w:rsidR="005728DD" w:rsidRDefault="005728DD" w:rsidP="005728DD">
      <w:pPr>
        <w:pStyle w:val="TextoNormal"/>
      </w:pPr>
      <w:r>
        <w:t>Pues bien, en este caso, y como destaca la letrada de las Cortes Generales, el acuerdo de 5 de junio de 2019 se adoptó teniendo en cuenta el “[i]nforme sobre el alcance y efectos de la suspensión de los señores diputados que se encuentran en prisión preventiva” de la Secretaría General del Congreso de los Diputados de 4 de junio de 2019, tal y como consta en el acta de la mesa del referido día. Asimismo, en el acuerdo de 16 de julio de 2016, por el que se desestimó la solicitud de reconsideración planteada por la portavoz del Grupo Parlamentario Mixto contra el acuerdo de 5 de junio, la mesa expuso los motivos por los que había adoptado las diferentes decisiones que ahora se discute.</w:t>
      </w:r>
    </w:p>
    <w:p w:rsidR="005728DD" w:rsidRDefault="005728DD" w:rsidP="005728DD">
      <w:pPr>
        <w:pStyle w:val="TextoNormal"/>
      </w:pPr>
    </w:p>
    <w:p w:rsidR="005728DD" w:rsidRDefault="005728DD" w:rsidP="005728DD">
      <w:pPr>
        <w:pStyle w:val="TextoNormal"/>
      </w:pPr>
      <w:r>
        <w:t>En definitiva, han de entenderse satisfechas las exigencias de motivación y por lo tanto no cabría tildar de arbitraria la interpretación aun en la hipótesis de que no sea la única posible, que la mesa del Congreso de los Diputados realizó en dichos acuerdos.</w:t>
      </w:r>
    </w:p>
    <w:p w:rsidR="005728DD" w:rsidRDefault="005728DD" w:rsidP="005728DD">
      <w:pPr>
        <w:pStyle w:val="TextoNormal"/>
      </w:pPr>
    </w:p>
    <w:p w:rsidR="005728DD" w:rsidRDefault="005728DD" w:rsidP="005728DD">
      <w:pPr>
        <w:pStyle w:val="TextoNormal"/>
      </w:pPr>
      <w:r>
        <w:t>C) Finalmente, la demanda aduce que los apartados quinto y séptimo del acuerdo de 5 de junio de 2019 son nulos de pleno derecho por privar al recurrente de la asignación económica y de otros derechos de carácter económico. Son muy heterogéneas las razones por las que, a juicio del demandante, dichos apartados serían nulos.</w:t>
      </w:r>
    </w:p>
    <w:p w:rsidR="005728DD" w:rsidRDefault="005728DD" w:rsidP="005728DD">
      <w:pPr>
        <w:pStyle w:val="TextoNormal"/>
      </w:pPr>
    </w:p>
    <w:p w:rsidR="005728DD" w:rsidRDefault="005728DD" w:rsidP="005728DD">
      <w:pPr>
        <w:pStyle w:val="TextoNormal"/>
      </w:pPr>
      <w:r>
        <w:t>a) Debe descartarse, como ya hicimos en el fundamento jurídico 3 A) a) de esta sentencia, por remisión a la STC 97/2020, que estos acuerdos sean nulos por serlo los de 24 de mayo y 11 de junio de 2019.</w:t>
      </w:r>
    </w:p>
    <w:p w:rsidR="005728DD" w:rsidRDefault="005728DD" w:rsidP="005728DD">
      <w:pPr>
        <w:pStyle w:val="TextoNormal"/>
      </w:pPr>
    </w:p>
    <w:p w:rsidR="005728DD" w:rsidRDefault="005728DD" w:rsidP="005728DD">
      <w:pPr>
        <w:pStyle w:val="TextoNormal"/>
      </w:pPr>
      <w:r>
        <w:t>b) Tampoco resulta atendible la queja de falta de motivación de los acuerdos impugnados en este punto, por las mismas razones expuestas en el fundamento jurídico 6 B) de esta sentencia, habiendo razonado, además, la mesa, en su acuerdo de 16 de julio de 2019, en el que desestima la solicitud de reconsideración, que la suspensión de dichos derechos ya se resolvió en el acuerdo de 24 de mayo, encontrándose entre dichos derechos los previstos en los artículos 8 y 9 RCD, por lo que no se puede entender que carezcan de fundamentación jurídica como aduce la demanda.</w:t>
      </w:r>
    </w:p>
    <w:p w:rsidR="005728DD" w:rsidRDefault="005728DD" w:rsidP="005728DD">
      <w:pPr>
        <w:pStyle w:val="TextoNormal"/>
      </w:pPr>
    </w:p>
    <w:p w:rsidR="005728DD" w:rsidRDefault="005728DD" w:rsidP="005728DD">
      <w:pPr>
        <w:pStyle w:val="TextoNormal"/>
      </w:pPr>
      <w:r>
        <w:lastRenderedPageBreak/>
        <w:t>c) Se alega que el artículo 71.4 CE prevé que todos los diputados tienen derecho a una asignación económica (cita la STC 36/2014, de 27 de febrero, FJ 6 b). A juicio de la demanda y, de conformidad con el artículo 8 RCD, la mesa tiene derecho a determinar la cuantía, pero no puede privar absolutamente de esa asignación a un diputado, aun en el caso de que se hallase legalmente suspendido de sus funciones. Por lo tanto, la mesa del Congreso, al negar el abono de la asignación económica constitucionalmente prevista al recurrente, habría vulnerado sus derechos, entre los que se cuenta tal asignación, a lo que añade, como consta en los antecedentes de esta sentencia, que dichos acuerdos han situado al recurrente en peor condición que el diputado kurdo señor Selahattin Demirtas. Específicamente se refiere la demanda a la privación de la asignación económica correspondiente entre los días 28 de abril y 21 de mayo de 2019, en los términos que había acordado, para todos los miembros de la Cámara, la mesa del Congreso de los Diputados el 23 de mayo de 2019, habiendo participado en la sesión constitutiva de la XIII legislatura, sin asignación económica, sin cotización a la Seguridad Social, así como sin póliza de accidentes durante ese día, por lo que son acuerdos arbitrarios.</w:t>
      </w:r>
    </w:p>
    <w:p w:rsidR="005728DD" w:rsidRDefault="005728DD" w:rsidP="005728DD">
      <w:pPr>
        <w:pStyle w:val="TextoNormal"/>
      </w:pPr>
    </w:p>
    <w:p w:rsidR="005728DD" w:rsidRDefault="005728DD" w:rsidP="005728DD">
      <w:pPr>
        <w:pStyle w:val="TextoNormal"/>
      </w:pPr>
      <w:r>
        <w:t>Considera, además, que no hay previsión normativa alguna que ampare la baja en la cobertura de protección social, siendo contraria a las disposiciones normativas aplicables en materia de Seguridad Social. Idénticas consideraciones, se añade, son de aplicación a la póliza de accidentes suscrita por las Cortes Generales. La privación de todos estos derechos vulneraría, a su juicio, el artículo 23 CE, en relación con el artículo 33.3 CE, así como los derechos reconocidos en el artículo 17 CDFUE y el artículo 1 del Protocolo núm. 1 al CEDH. Además, alega que dicha privación de derechos se habría producido sin dar audiencia al recurrente por lo que se habrían vulnerado los derechos del artículo 6 CEDH. Finalmente menciona el artículo 13 CEDH.</w:t>
      </w:r>
    </w:p>
    <w:p w:rsidR="005728DD" w:rsidRDefault="005728DD" w:rsidP="005728DD">
      <w:pPr>
        <w:pStyle w:val="TextoNormal"/>
      </w:pPr>
    </w:p>
    <w:p w:rsidR="005728DD" w:rsidRDefault="005728DD" w:rsidP="005728DD">
      <w:pPr>
        <w:pStyle w:val="TextoNormal"/>
      </w:pPr>
      <w:r>
        <w:t>Las vulneraciones alegadas se habrían producido, según la demanda, por lo dispuesto en los apartados 5 y 7 del acuerdo de 5 de junio de 2019. Conforme al primero de los apartados, no se autoriza el abono de las percepciones económicas propias de la condición de diputado, incluidas las que habrían correspondido a los citados diputados entre el 28 de abril y el 21 de mayo de 2019 conforme el acuerdo adoptado por la mesa de la cámara el día 23 de mayo de 2019, en relación con el devengo de las retribuciones de los diputados de la XIII legislatura. En el segundo de los apartados se procede a dar de baja a los mencionados diputados en la cobertura de protección social prevista en el artículo 9 del Reglamento de la Cámara, así como en la póliza de accidentes contratada por las Cortes Generales, mientras se mantenga la suspensión de sus derechos.</w:t>
      </w:r>
    </w:p>
    <w:p w:rsidR="005728DD" w:rsidRDefault="005728DD" w:rsidP="005728DD">
      <w:pPr>
        <w:pStyle w:val="TextoNormal"/>
      </w:pPr>
    </w:p>
    <w:p w:rsidR="005728DD" w:rsidRDefault="005728DD" w:rsidP="005728DD">
      <w:pPr>
        <w:pStyle w:val="TextoNormal"/>
      </w:pPr>
      <w:r>
        <w:t>El tribunal no puede compartir los argumentos expuestos en la demanda sobre los apartados 5 y 7 del acuerdo de 5 de junio de 2019, confirmado por el acuerdo de 16 de julio.</w:t>
      </w:r>
    </w:p>
    <w:p w:rsidR="005728DD" w:rsidRDefault="005728DD" w:rsidP="005728DD">
      <w:pPr>
        <w:pStyle w:val="TextoNormal"/>
      </w:pPr>
    </w:p>
    <w:p w:rsidR="005728DD" w:rsidRDefault="005728DD" w:rsidP="005728DD">
      <w:pPr>
        <w:pStyle w:val="TextoNormal"/>
      </w:pPr>
      <w:r>
        <w:t xml:space="preserve">En primer lugar porque, como ya hemos recordado reiteradamente el tribunal consideró que la aplicación del artículo 384 </w:t>
      </w:r>
      <w:r w:rsidRPr="005728DD">
        <w:rPr>
          <w:i/>
        </w:rPr>
        <w:t>bis</w:t>
      </w:r>
      <w:r>
        <w:t xml:space="preserve"> LECrim por los acuerdos de 24 de mayo y de 11 de junio de 2019 no lesionó el derecho fundamental enunciado en el artículo 23.2 CE [STC 97/2020, FJ 6 B) e)], y en el acuerdo de 24 de mayo, confirmado por el acuerdo de 11 de junio, se declaró automáticamente suspendido al ahora recurrente en amparo, en el ejercicio del cargo y en los derechos y deberes establecidos en el Reglamento del Congreso, con efectos desde el 21 de mayo del mismo año, fecha en la que unos y otros adquirieron tal condición, por concurrir, se puntualizó las “circunstancias necesarias para la aplicación” del </w:t>
      </w:r>
      <w:r>
        <w:lastRenderedPageBreak/>
        <w:t xml:space="preserve">artículo 384 </w:t>
      </w:r>
      <w:r w:rsidRPr="005728DD">
        <w:rPr>
          <w:i/>
        </w:rPr>
        <w:t>bis</w:t>
      </w:r>
      <w:r>
        <w:t xml:space="preserve"> LECrim. Entre esos derechos se encuentran los derechos, y otras previsiones, a los que se refieren los apartados 5 y 7 del acuerdo de 5 de junio de 2019.</w:t>
      </w:r>
    </w:p>
    <w:p w:rsidR="005728DD" w:rsidRDefault="005728DD" w:rsidP="005728DD">
      <w:pPr>
        <w:pStyle w:val="TextoNormal"/>
      </w:pPr>
    </w:p>
    <w:p w:rsidR="005728DD" w:rsidRDefault="005728DD" w:rsidP="005728DD">
      <w:pPr>
        <w:pStyle w:val="TextoNormal"/>
      </w:pPr>
      <w:r>
        <w:t>En concreto, el artículo 71.4 CE establece que “los diputados y senadores percibirán una asignación que será fijada por las respectivas cámaras” y el artículo 8.1 RCD dispone que “los diputados percibirán una asignación económica que les permita cumplir eficaz y dignamente su función”.</w:t>
      </w:r>
    </w:p>
    <w:p w:rsidR="005728DD" w:rsidRDefault="005728DD" w:rsidP="005728DD">
      <w:pPr>
        <w:pStyle w:val="TextoNormal"/>
      </w:pPr>
    </w:p>
    <w:p w:rsidR="005728DD" w:rsidRDefault="005728DD" w:rsidP="005728DD">
      <w:pPr>
        <w:pStyle w:val="TextoNormal"/>
      </w:pPr>
      <w:r>
        <w:t>El artículo 9 RCD, que también alega la demanda, determina que “correrá a cargo del presupuesto del Congreso el abono de las cotizaciones a la Seguridad Social y a las mutualidades de aquellos diputados que, como consecuencia de su dedicación parlamentaria, dejen de prestar el servicio que motivaba su afiliación o pertenencia a aquellas” y que “el Congreso de los Diputados podrá realizar con las entidades gestoras de la Seguridad Social los conciertos precisos para cumplir lo dispuesto en el apartado anterior y para afiliar, en el régimen que proceda, a los diputados que así lo deseen y que con anterioridad no estuvieren dados de alta en la Seguridad Social”.</w:t>
      </w:r>
    </w:p>
    <w:p w:rsidR="005728DD" w:rsidRDefault="005728DD" w:rsidP="005728DD">
      <w:pPr>
        <w:pStyle w:val="TextoNormal"/>
      </w:pPr>
    </w:p>
    <w:p w:rsidR="005728DD" w:rsidRDefault="005728DD" w:rsidP="005728DD">
      <w:pPr>
        <w:pStyle w:val="TextoNormal"/>
      </w:pPr>
      <w:r>
        <w:t>A ello ha de añadirse que, como ya hemos recordado, la Constitución no ha asumido en el artículo 23.2 CE un genérico derecho fundamental al respeto de todos y cada uno de los derechos y facultades del estatuto del parlamentario, sino tan solo el de aquellos que pudiéramos considerar pertenecientes al núcleo de la función representativa, como son, principalmente, los que tienen relación directa con el ejercicio de las potestades legislativas y de control de la acción del gobierno [por todas, STC 159/2019, de 12 de diciembre, FJ 5 c)].</w:t>
      </w:r>
    </w:p>
    <w:p w:rsidR="005728DD" w:rsidRDefault="005728DD" w:rsidP="005728DD">
      <w:pPr>
        <w:pStyle w:val="TextoNormal"/>
      </w:pPr>
    </w:p>
    <w:p w:rsidR="005728DD" w:rsidRDefault="005728DD" w:rsidP="005728DD">
      <w:pPr>
        <w:pStyle w:val="TextoNormal"/>
      </w:pPr>
      <w:r>
        <w:t xml:space="preserve">Así, el Tribunal Constitucional se ha pronunciado en algunas ocasiones en el entendimiento de que los derechos de contenido económico no forman parte del núcleo del </w:t>
      </w:r>
      <w:r w:rsidRPr="005728DD">
        <w:rPr>
          <w:i/>
        </w:rPr>
        <w:t>ius in officium</w:t>
      </w:r>
      <w:r>
        <w:t xml:space="preserve"> de los diputados autonómicos (STC 159/2019, FJ 6, con remisión a lo afirmado en la STC 36/2014, de 27 de febrero, FJ 6), sin perjuicio de lo dispuesto en el artículo 71.4 CE. La previsión constitucional de que los diputados percibirán una asignación que será fijada por las respectivas cámaras, ha de ser entendida, como lo ha hecho el artículo 8 RCD, en el sentido de que dicha asignación será la necesaria para el ejercicio de sus funciones. Al ser la asignación un instrumento para el ejercicio de las funciones, su privación comportará la vulneración del art. 23.2 CE solo cuando le impida el ejercicio de las funciones que tiene encomendadas. En este caso, sin embargo, es la suspensión de la condición de diputado y por ende de la posibilidad de ejercicio de sus funciones lo que ha determinado la suspensión de la asignación económica que ahora se denuncia.</w:t>
      </w:r>
    </w:p>
    <w:p w:rsidR="005728DD" w:rsidRDefault="005728DD" w:rsidP="005728DD">
      <w:pPr>
        <w:pStyle w:val="TextoNormal"/>
      </w:pPr>
    </w:p>
    <w:p w:rsidR="005728DD" w:rsidRDefault="005728DD" w:rsidP="005728DD">
      <w:pPr>
        <w:pStyle w:val="TextoNormal"/>
      </w:pPr>
      <w:r>
        <w:t>En definitiva, como ya se ha recordado, el acuerdo de 24 de mayo de 2019, confirmado por el de 11 de junio del mismo año, ya había declarado automáticamente suspendido en el ejercicio del cargo y en los derechos y deberes establecidos en el Reglamento del Congreso, entre otros, al ahora recurrente en amparo. Entre los derechos que han sido suspendidos se encuentran los previstos en el artículo 8 RCD, derechos de contenido económico que se establecen para el ejercicio de la función parlamentaria que quedó suspendida desde el momento de la adquisición de la condición de diputado, esto es desde el 21 de mayo de 2019. A ello hemos de añadir que el Tribunal Constitucional consideró que la suspensión de los derechos de contenido económico (ATC 334/1993, de 10 de noviembre, FJ 2) no vulnera el artículo 23.2 CE precisamente porque se impone por la falta de ejercicio de las funciones parlamentarias.</w:t>
      </w:r>
    </w:p>
    <w:p w:rsidR="005728DD" w:rsidRDefault="005728DD" w:rsidP="005728DD">
      <w:pPr>
        <w:pStyle w:val="TextoNormal"/>
      </w:pPr>
    </w:p>
    <w:p w:rsidR="005728DD" w:rsidRDefault="005728DD" w:rsidP="005728DD">
      <w:pPr>
        <w:pStyle w:val="TextoNormal"/>
      </w:pPr>
      <w:r>
        <w:t xml:space="preserve">Dichas consideraciones resultan también aplicables al apartado 7 del acuerdo, a lo que se ha de añadir que, si bien está prevista la posibilidad de la cotización a la seguridad social en el artículo 9 RCD, no puede entenderse que forme parte del núcleo del </w:t>
      </w:r>
      <w:r w:rsidRPr="005728DD">
        <w:rPr>
          <w:i/>
        </w:rPr>
        <w:t>ius in officium</w:t>
      </w:r>
      <w:r>
        <w:t>, cuya afectación pueda provocar una vulneración del artículo 23.2 CE. Tampoco la contratación de una póliza de accidentes, que no se encuentra prevista en el reglamento de la cámara. Ambas prestaciones son accesorias del ejercicio de la función parlamentaria y su privación, en su caso, sería una cuestión de legalidad ordinaria, como aduce el Ministerio Fiscal.</w:t>
      </w:r>
    </w:p>
    <w:p w:rsidR="005728DD" w:rsidRDefault="005728DD" w:rsidP="005728DD">
      <w:pPr>
        <w:pStyle w:val="TextoNormal"/>
      </w:pPr>
    </w:p>
    <w:p w:rsidR="005728DD" w:rsidRDefault="005728DD" w:rsidP="005728DD">
      <w:pPr>
        <w:pStyle w:val="TextoNormal"/>
      </w:pPr>
      <w:r>
        <w:t>El recurrente realiza una serie de consideraciones adicionales que si bien no constituyen verdaderas alegaciones, conviene dar una breve respuesta. En primer lugar, respecto a la falta de audiencia, en este caso no puede ser entendida como una exigencia constitucional al no tratarse de un procedimiento sancionador. En todo caso, el recurrente tuvo la oportunidad de alegar a través de la solicitud de reconsideración y ninguna merma de sus derechos puede ser apreciada.</w:t>
      </w:r>
    </w:p>
    <w:p w:rsidR="005728DD" w:rsidRDefault="005728DD" w:rsidP="005728DD">
      <w:pPr>
        <w:pStyle w:val="TextoNormal"/>
      </w:pPr>
    </w:p>
    <w:p w:rsidR="005728DD" w:rsidRDefault="005728DD" w:rsidP="005728DD">
      <w:pPr>
        <w:pStyle w:val="TextoNormal"/>
      </w:pPr>
      <w:r>
        <w:t>Finalmente, en cuanto a la cita del artículo 13 CEDH, que equivaldría a una supuesta queja de violación del artículo 24 CE, debe señalarse que, además de su falta de desarrollo argumentativo, carece de contenido, puesto que el recurrente, en este caso por medio de la portavoz del Grupo Parlamentario Mixto, ha tenido ocasión de solicitar la reconsideración del acuerdo impugnado y, especialmente, de presentar el presente recurso de amparo, constituyendo esta sentencia la prueba evidente de que ha tenido ocasión de que un tribunal analice sus pretensiones de fondo de manera motivada y razonada, no debiendo confundirse el derecho al recurso efectivo del art. 13 CEDH con un hipotético derecho a que un tribunal falle en favor de las pretensiones planteadas.</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Jordi Sànchez i Picanyol.</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3" w:name="SENTENCIA_2021_70"/>
      <w:r>
        <w:lastRenderedPageBreak/>
        <w:t>SENTENCIA 70/2021, de 18 de marzo de 2021</w:t>
      </w:r>
    </w:p>
    <w:bookmarkEnd w:id="73"/>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ECLI:ES:TC:2021:70</w:t>
      </w:r>
    </w:p>
    <w:p w:rsidR="005728DD" w:rsidRDefault="005728DD" w:rsidP="005728DD">
      <w:pPr>
        <w:pStyle w:val="TextoNormalCentrado"/>
      </w:pPr>
    </w:p>
    <w:p w:rsidR="005728DD" w:rsidRDefault="005728DD" w:rsidP="005728DD">
      <w:pPr>
        <w:pStyle w:val="SntesisDescriptiva"/>
      </w:pPr>
      <w:r>
        <w:t>Recurso de amparo 6711-2019. Promovido por don Oriol Junqueras Vies y don Raül Romeva Rueda respecto de los autos de la Sala de lo Penal del Tribunal Supremo que acuerdan continuar, sin solicitar autorización del Congreso de los Diputados y del Senado, la vista oral en causa especial, entre otros, por los delitos de rebelión y sedición.</w:t>
      </w:r>
    </w:p>
    <w:p w:rsidR="005728DD" w:rsidRDefault="005728DD" w:rsidP="005728DD">
      <w:pPr>
        <w:pStyle w:val="SntesisDescriptiva"/>
      </w:pPr>
    </w:p>
    <w:p w:rsidR="005728DD" w:rsidRDefault="005728DD" w:rsidP="005728DD">
      <w:pPr>
        <w:pStyle w:val="SntesisAnaltica"/>
      </w:pPr>
      <w:r>
        <w:t>Supuesta vulneración de los derechos al ejercicio del cargo público representativo y a un proceso con todas las garantías: resoluciones judiciales que parten de una adecuada comprensión de la prerrogativa de inmunidad parlamentaria; improcedencia de extrapolar la doctrina de la STJUE de 19 de diciembre 2019.</w:t>
      </w:r>
    </w:p>
    <w:p w:rsidR="005728DD" w:rsidRDefault="005728DD" w:rsidP="005728DD">
      <w:pPr>
        <w:pStyle w:val="SntesisAnaltica"/>
      </w:pPr>
    </w:p>
    <w:p w:rsidR="005728DD" w:rsidRDefault="005728DD" w:rsidP="005728DD">
      <w:pPr>
        <w:pStyle w:val="Extracto"/>
      </w:pPr>
      <w:r>
        <w:t>1.</w:t>
      </w:r>
      <w:r>
        <w:tab/>
        <w:t>Como regla general en el proceso penal, el marco natural en el que ha de intentarse la reparación del derecho constitucional vulnerado por la actuación del órgano jurisdiccional es el mismo proceso judicial previo, de tal modo que, en principio, sólo cuando este haya finalizado por haber recaído una resolución firme y definitiva puede entenderse agotada la vía judicial y, consecuentemente, es posible acudir ante este tribunal en demanda de amparo (SSTC 147/1994, 129/2018, 130/2018 y 131/2018) [FJ 2].</w:t>
      </w:r>
    </w:p>
    <w:p w:rsidR="005728DD" w:rsidRDefault="005728DD" w:rsidP="005728DD">
      <w:pPr>
        <w:pStyle w:val="Extracto"/>
      </w:pPr>
    </w:p>
    <w:p w:rsidR="005728DD" w:rsidRDefault="005728DD" w:rsidP="005728DD">
      <w:pPr>
        <w:pStyle w:val="Extracto"/>
      </w:pPr>
      <w:r>
        <w:t>2.</w:t>
      </w:r>
      <w:r>
        <w:tab/>
        <w:t>El Tribunal ha establecido tres excepciones que suponen gravamen suficiente para acudir directamente al amparo –sin agotar la vía judicial previa-: i) Resoluciones judiciales que afectan a derechos fundamentales de carácter sustantivo, esto es, distintos de los contenidos en el artículo 24 CE; ii) Denuncias de vulneración de derechos fundamentales procesales, siempre que se alegue una lesión actual que hubiera sido analizada y resuelta de forma firme y definitiva en la vía judicial; iii) Supuestos de revocación de sentencias penales absolutorias que habilitan la posibilidad de nuevo enjuiciamiento, pues está en juego la prohibición de doble enjuiciamiento (SSTC 129/18, 130/18 y 131/2018) [FJ 2].</w:t>
      </w:r>
    </w:p>
    <w:p w:rsidR="005728DD" w:rsidRDefault="005728DD" w:rsidP="005728DD">
      <w:pPr>
        <w:pStyle w:val="Extracto"/>
      </w:pPr>
    </w:p>
    <w:p w:rsidR="005728DD" w:rsidRDefault="005728DD" w:rsidP="005728DD">
      <w:pPr>
        <w:pStyle w:val="Extracto"/>
      </w:pPr>
      <w:r>
        <w:t>3.</w:t>
      </w:r>
      <w:r>
        <w:tab/>
        <w:t>Doctrina jurisprudencial sobre la prerrogativa de la inmunidad parlamentaria, que no puede considerarse un privilegio personal ni un ius singulare, sino una prerrogativa institucional que pretende evitar que la vía penal sea utilizada, injustificada o torticeramente, con la intención de perturbar el funcionamiento de las cámaras o de alterar la composición que a las mismas le ha dado el cuerpo electoral en el ejercicio del derecho de sufragio activo (SSTC 90/1985, 206/1992 y 124/2001) [FJ 3].</w:t>
      </w:r>
    </w:p>
    <w:p w:rsidR="005728DD" w:rsidRDefault="005728DD" w:rsidP="005728DD">
      <w:pPr>
        <w:pStyle w:val="Extracto"/>
      </w:pPr>
    </w:p>
    <w:p w:rsidR="005728DD" w:rsidRDefault="005728DD" w:rsidP="005728DD">
      <w:pPr>
        <w:pStyle w:val="Extracto"/>
      </w:pPr>
      <w:r>
        <w:t>4.</w:t>
      </w:r>
      <w:r>
        <w:tab/>
        <w:t xml:space="preserve">Las prerrogativas parlamentarias, también la de la inmunidad, han de ser interpretadas estrictamente para no devenir en privilegios que puedan lesionar derechos fundamentales de terceros, a partir de una comprensión del sentido de la prerrogativa misma y de los fines que esta procura -tanto en el sentido lógico de sujeción a los límites objetivos que les impone la Constitución, como en el teleológico de razonable proporcionalidad al fin al que responde-, debiendo rechazarse </w:t>
      </w:r>
      <w:r>
        <w:lastRenderedPageBreak/>
        <w:t>todo criterio hermenéutico permisivo de una utilización injustificada de los privilegios; no es constitucionalmente legítima una extensión legislativa, o una interpretación analógica de las mismas (22/1997) [FJ 3].</w:t>
      </w:r>
    </w:p>
    <w:p w:rsidR="005728DD" w:rsidRDefault="005728DD" w:rsidP="005728DD">
      <w:pPr>
        <w:pStyle w:val="Extracto"/>
      </w:pPr>
    </w:p>
    <w:p w:rsidR="005728DD" w:rsidRDefault="005728DD" w:rsidP="005728DD">
      <w:pPr>
        <w:pStyle w:val="Extracto"/>
      </w:pPr>
      <w:r>
        <w:t>5.</w:t>
      </w:r>
      <w:r>
        <w:tab/>
        <w:t xml:space="preserve">Los objetivos sobre los privilegios y las inmunidades de la Unión Europea, proyectados sobre el Parlamento Europeo, implican que su composición refleje de forma fiel y completa la libre expresión de las preferencias manifestadas por los ciudadanos de la Unión y también que el Parlamento Europeo quede protegido en el ejercicio de sus actividades contra cualquier impedimento o riesgo de menoscabo que pueda afectar a su buen funcionamiento, garantizando su independencia en el cumplimiento de su misión (SSTJUE de 19 de marzo de 2010, asunto </w:t>
      </w:r>
      <w:r w:rsidRPr="005728DD">
        <w:rPr>
          <w:i/>
        </w:rPr>
        <w:t>Bruno Gollnisch c. Parlamento Europeo</w:t>
      </w:r>
      <w:r>
        <w:t xml:space="preserve">; de 19 de diciembre de 2019 asunto </w:t>
      </w:r>
      <w:r w:rsidRPr="005728DD">
        <w:rPr>
          <w:i/>
        </w:rPr>
        <w:t>Oriol Junqueras</w:t>
      </w:r>
      <w:r>
        <w:t xml:space="preserve">; o ATJUE de 6 de diciembre de 1990, asunto </w:t>
      </w:r>
      <w:r w:rsidRPr="005728DD">
        <w:rPr>
          <w:i/>
        </w:rPr>
        <w:t>Zwartveld y otros</w:t>
      </w:r>
      <w:r>
        <w:t>) [FJ 3].</w:t>
      </w:r>
    </w:p>
    <w:p w:rsidR="005728DD" w:rsidRDefault="005728DD" w:rsidP="005728DD">
      <w:pPr>
        <w:pStyle w:val="Extracto"/>
      </w:pPr>
    </w:p>
    <w:p w:rsidR="005728DD" w:rsidRDefault="005728DD" w:rsidP="005728DD">
      <w:pPr>
        <w:pStyle w:val="Extracto"/>
      </w:pPr>
      <w:r>
        <w:t>6.</w:t>
      </w:r>
      <w:r>
        <w:tab/>
        <w:t>La inmunidad protege a los parlamentarios frente a inculpaciones o procesamientos; la autorización a la cámara parlamentaria respectiva ha de ser solicitada en todo caso antes de que los diputados y senadores sean inculpados o procesados (SSTC 186/1989, 123/2001 y 124/2001) [FJ 5].</w:t>
      </w:r>
    </w:p>
    <w:p w:rsidR="005728DD" w:rsidRDefault="005728DD" w:rsidP="005728DD">
      <w:pPr>
        <w:pStyle w:val="Extracto"/>
      </w:pPr>
    </w:p>
    <w:p w:rsidR="005728DD" w:rsidRDefault="005728DD" w:rsidP="005728DD">
      <w:pPr>
        <w:pStyle w:val="Extracto"/>
      </w:pPr>
      <w:r>
        <w:t>7.</w:t>
      </w:r>
      <w:r>
        <w:tab/>
        <w:t>La Constitución encomienda la tarea de concretar y actualizar la prerrogativa de la inmunidad parlamentaria y aunque en dicha tarea está implicado en último término este Tribunal, lo está antes que él, y sin poder sustituirlo, el legislador, a quien  corresponde comprobar en qué medida las leyes procesales continúan adecuándose en su regulación a la norma constitucional vigente; y muy particularmente están implicadas las cámaras integrantes de las Cortes Generales, no solo a través de su potestad de establecimiento de sus propios reglamentos (art. 72.1 CE), sino a través de su tarea constante de formación de unos usos parlamentarios que siempre han sido consustanciales al régimen parlamentario y, por ende, al Estado de Derecho (STC 206/1992) [FJ 5].</w:t>
      </w:r>
    </w:p>
    <w:p w:rsidR="005728DD" w:rsidRDefault="005728DD" w:rsidP="005728DD">
      <w:pPr>
        <w:pStyle w:val="Extracto"/>
      </w:pPr>
    </w:p>
    <w:p w:rsidR="005728DD" w:rsidRDefault="005728DD" w:rsidP="005728DD">
      <w:pPr>
        <w:pStyle w:val="Extracto"/>
      </w:pPr>
      <w:r>
        <w:t>8.</w:t>
      </w:r>
      <w:r>
        <w:tab/>
        <w:t>El significado de los términos “inculpación” y “procesamiento”, interpretados judicialmente de conformidad con la legislación procesal penal vigente, no puede estimarse vulnerador del derecho al ejercicio del cargo público representativo (art. 23.2 CE), por no devenir contrario a las previsiones del art. 71.2 CE, ni, en consecuencia, vulnerador al derecho a un proceso público con todas las garantías (art. 24.2 CE) [FJ 6].</w:t>
      </w:r>
    </w:p>
    <w:p w:rsidR="005728DD" w:rsidRDefault="005728DD" w:rsidP="005728DD">
      <w:pPr>
        <w:pStyle w:val="Extracto"/>
      </w:pPr>
    </w:p>
    <w:p w:rsidR="005728DD" w:rsidRDefault="005728DD" w:rsidP="005728DD">
      <w:pPr>
        <w:pStyle w:val="Extracto"/>
      </w:pPr>
      <w:r>
        <w:t>9.</w:t>
      </w:r>
      <w:r>
        <w:tab/>
        <w:t>La indispensabilidad de una interpretación estricta de la prerrogativa de inmunidad se impone, en la medida en que, al poder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(STC 206/1992) [FJ 6].</w:t>
      </w:r>
    </w:p>
    <w:p w:rsidR="005728DD" w:rsidRDefault="005728DD" w:rsidP="005728DD">
      <w:pPr>
        <w:pStyle w:val="Extracto"/>
      </w:pPr>
    </w:p>
    <w:p w:rsidR="005728DD" w:rsidRDefault="005728DD" w:rsidP="005728DD">
      <w:pPr>
        <w:pStyle w:val="Extracto"/>
      </w:pPr>
      <w:r>
        <w:t>10.</w:t>
      </w:r>
      <w:r>
        <w:tab/>
        <w:t xml:space="preserve">Respecto a la finalidad institucional que se persigue con la prerrogativa de  inmunidad, las resoluciones judiciales deben evitar que la vía penal pueda ser utilizada con la intención de perturbar o alterar el funcionamiento de las cámaras o la composición que el cuerpo electoral le ha dado en el ejercicio del derecho de sufragio </w:t>
      </w:r>
      <w:r>
        <w:lastRenderedPageBreak/>
        <w:t>(art. 23.1 CE). Esa perturbación o alteración difícilmente se puede producir cuando el inicio del proceso penal y la conclusión de las fases de instrucción e intermedia, en las que se formaliza la inculpación o el procesamiento, tengan lugar con antelación a la adquisición de la condición de miembro de una de las cámaras legislativas  (SSTC 90/1985 y 124/2001) [FJ 6].</w:t>
      </w:r>
    </w:p>
    <w:p w:rsidR="005728DD" w:rsidRDefault="005728DD" w:rsidP="005728DD">
      <w:pPr>
        <w:pStyle w:val="Extracto"/>
      </w:pPr>
    </w:p>
    <w:p w:rsidR="005728DD" w:rsidRDefault="005728DD" w:rsidP="005728DD">
      <w:pPr>
        <w:pStyle w:val="Extracto"/>
      </w:pPr>
      <w:r>
        <w:t>11.</w:t>
      </w:r>
      <w:r>
        <w:tab/>
        <w:t>No existe Derecho de la Unión Europea que discipline el concreto estatus de los representantes elegidos para integrar los parlamentos de los estados miembros (STC 97/2020)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don Juan José González Rivas, presidente, la magistrada doña Encarnación Roca Trías, los magistrados don Andrés Ollero Tassara, don Santiago Martínez-Vares García, don Juan Antonio Xiol Ríos, don Pedro José González-Trevijano Sánchez,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6711-2019, promovido por don Oriol Junqueras Vies y don Raül Romeva Rueda, representados por la procuradora de los tribunales doña Celia López Ariza y asistidos por el letrado don Andreu Van den Eynde, contra el auto de la Sala Segunda del Tribunal Supremo, de 14 de mayo de 2019, confirmado en súplica por auto de 3 de octubre de 2019, que acuerda no haber lugar a solicitar autorización del Congreso de los Diputados y del Senado para continuar el juicio oral contra los demandantes de amparo en la causa especial núm. 20907-2017, ni a suspender sus sesiones. Han sido parte don Jordi Sánchez i Picanyol, don Jordi Turull i Negre y don Josep Rull i Andreu, representados por el procurador de los tribunales don Aníbal Bordallo Huidobro; el partido político Vox, representado por la procuradora de los tribunales doña María del Pilar Hidalgo López; don Carles Puigdemont i Casamajó, don Joaquim Forn i Chiariello y doña Meritxell Borràs i Solé, representados por el procurador de los tribunales don Carlos Ricardo Estévez Sanz; y el abogado del Estado.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día 21 de noviembre de 2019, doña Celia López Ariza, procuradora de los tribunales, en nombre y representación de don Oriol Junqueras Vies y don Raül Romeva Rueda, interpuso recurso de amparo contra las resoluciones judiciales a las que se ha hecho mención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el examen de la pretensión de amparo son, sucintamente expuestos, los siguientes:</w:t>
      </w:r>
    </w:p>
    <w:p w:rsidR="005728DD" w:rsidRDefault="005728DD" w:rsidP="005728DD">
      <w:pPr>
        <w:pStyle w:val="TextoNormal"/>
      </w:pPr>
    </w:p>
    <w:p w:rsidR="005728DD" w:rsidRDefault="005728DD" w:rsidP="005728DD">
      <w:pPr>
        <w:pStyle w:val="TextoNormal"/>
      </w:pPr>
      <w:r>
        <w:t>a) El Ministerio Fiscal formuló denuncia por delito de sedición por los hechos ocurridos los días 20 y 21 de septiembre de 2017 en Barcelona contra don Jordi Sánchez i Picanyol y otras personas, que fue turnada al Juzgado Central de Instrucción núm. 3 de la Audiencia Nacional, que, por auto de 27 de septiembre de 2017, incoó las diligencias previas núm. 82-2017 por delito de sedición.</w:t>
      </w:r>
    </w:p>
    <w:p w:rsidR="005728DD" w:rsidRDefault="005728DD" w:rsidP="005728DD">
      <w:pPr>
        <w:pStyle w:val="TextoNormal"/>
      </w:pPr>
    </w:p>
    <w:p w:rsidR="005728DD" w:rsidRDefault="005728DD" w:rsidP="005728DD">
      <w:pPr>
        <w:pStyle w:val="TextoNormal"/>
      </w:pPr>
      <w:r>
        <w:t>b) El día 30 de octubre de 2017, el fiscal general del Estado presentó dos querellas por unos mismos hechos que consideraba que podían ser constitutivos de delitos de rebelión [art. 472 del Código penal (CP)], sedición (art. 544 CP), malversación de caudales públicos (art. 432 CP) y/o desobediencia (art. 410 CP). La primera se presentó ante el Juzgado Central de Instrucción de guardia de la Audiencia Nacional y se dirigió contra “todos los que fueron miembros del Consell Executiu del Govern de la Generalitat, en la actualidad cesados”. Esta querella fue acumulada a las antes citadas diligencias previas núm. 82-2017 que se seguían ante el Juzgado Central de Instrucción núm. 3.</w:t>
      </w:r>
    </w:p>
    <w:p w:rsidR="005728DD" w:rsidRDefault="005728DD" w:rsidP="005728DD">
      <w:pPr>
        <w:pStyle w:val="TextoNormal"/>
      </w:pPr>
    </w:p>
    <w:p w:rsidR="005728DD" w:rsidRDefault="005728DD" w:rsidP="005728DD">
      <w:pPr>
        <w:pStyle w:val="TextoNormal"/>
      </w:pPr>
      <w:r>
        <w:t>La segunda querella se formuló ante la Sala Segunda del Tribunal Supremo. Iba dirigida contra la presidenta del Parlamento de Cataluña y cinco miembros de la mesa de la cámara que, salvo uno de ellos, conservaban en ese momento la condición de aforados por pertenecer a la diputación permanente. Esta querella fue admitida a trámite mediante auto de 31 de octubre de 2017, confirmado en súplica por auto de 18 de diciembre de 2017, dando lugar a la causa especial núm. 20907-2017.</w:t>
      </w:r>
    </w:p>
    <w:p w:rsidR="005728DD" w:rsidRDefault="005728DD" w:rsidP="005728DD">
      <w:pPr>
        <w:pStyle w:val="TextoNormal"/>
      </w:pPr>
    </w:p>
    <w:p w:rsidR="005728DD" w:rsidRDefault="005728DD" w:rsidP="005728DD">
      <w:pPr>
        <w:pStyle w:val="TextoNormal"/>
      </w:pPr>
      <w:r>
        <w:t>c) En las diligencias previas núm. 82-2017, el Juzgado Central de Instrucción núm. 3 dictó auto en fecha 2 de noviembre de 2017, en el que acordó la prisión provisional comunicada y sin fianza de don Oriol Junqueras Vies y don Raül Romeva Rueda.</w:t>
      </w:r>
    </w:p>
    <w:p w:rsidR="005728DD" w:rsidRDefault="005728DD" w:rsidP="005728DD">
      <w:pPr>
        <w:pStyle w:val="TextoNormal"/>
      </w:pPr>
    </w:p>
    <w:p w:rsidR="005728DD" w:rsidRDefault="005728DD" w:rsidP="005728DD">
      <w:pPr>
        <w:pStyle w:val="TextoNormal"/>
      </w:pPr>
      <w:r>
        <w:t>d) Por auto del magistrado instructor de 24 de noviembre de 2017, se acordó en la causa especial núm. 20907-2017 ampliar el espacio subjetivo de la investigación y reclamar al Juzgado Central de Instrucción núm. 3 de la Audiencia Nacional las actuaciones obrantes en las diligencias previas núm. 82-2017.</w:t>
      </w:r>
    </w:p>
    <w:p w:rsidR="005728DD" w:rsidRDefault="005728DD" w:rsidP="005728DD">
      <w:pPr>
        <w:pStyle w:val="TextoNormal"/>
      </w:pPr>
    </w:p>
    <w:p w:rsidR="005728DD" w:rsidRDefault="005728DD" w:rsidP="005728DD">
      <w:pPr>
        <w:pStyle w:val="TextoNormal"/>
      </w:pPr>
      <w:r>
        <w:t>La prisión provisional de don Oriol Junqueras Vies fue mantenida por auto del magistrado instructor de 4 de diciembre de 2017, confirmado por auto de la sala de apelaciones de la Sala Segunda del Tribunal Supremo de 5 de enero de 2018.</w:t>
      </w:r>
    </w:p>
    <w:p w:rsidR="005728DD" w:rsidRDefault="005728DD" w:rsidP="005728DD">
      <w:pPr>
        <w:pStyle w:val="TextoNormal"/>
      </w:pPr>
    </w:p>
    <w:p w:rsidR="005728DD" w:rsidRDefault="005728DD" w:rsidP="005728DD">
      <w:pPr>
        <w:pStyle w:val="TextoNormal"/>
      </w:pPr>
      <w:r>
        <w:t>Por auto del magistrado instructor de 4 de diciembre de 2017, se modificó la medida cautelar de prisión provisional, comunicada y sin fianza de don Raül Romeva Rueda por la de prisión eludible mediante prestación de fianza de 100 000 €.</w:t>
      </w:r>
    </w:p>
    <w:p w:rsidR="005728DD" w:rsidRDefault="005728DD" w:rsidP="005728DD">
      <w:pPr>
        <w:pStyle w:val="TextoNormal"/>
      </w:pPr>
    </w:p>
    <w:p w:rsidR="005728DD" w:rsidRDefault="005728DD" w:rsidP="005728DD">
      <w:pPr>
        <w:pStyle w:val="TextoNormal"/>
      </w:pPr>
      <w:r>
        <w:t>e) Por auto del magistrado instructor de 21 de marzo de 2018, don Oriol Junqueras Vies, don Jordi Turull i Negre, don Raül Romeva Rueda, don Josep Rull i Andreu y don Jordi Sánchez i Picanyol, entre otros, fueron procesados en la causa especial núm. 20907-2017 por delitos de rebelión y de malversación de caudales públicos (arts. 472 y concordantes y 432 y concordantes, respectivamente, CP).</w:t>
      </w:r>
    </w:p>
    <w:p w:rsidR="005728DD" w:rsidRDefault="005728DD" w:rsidP="005728DD">
      <w:pPr>
        <w:pStyle w:val="TextoNormal"/>
      </w:pPr>
    </w:p>
    <w:p w:rsidR="005728DD" w:rsidRDefault="005728DD" w:rsidP="005728DD">
      <w:pPr>
        <w:pStyle w:val="TextoNormal"/>
      </w:pPr>
      <w:r>
        <w:t>Por autos del magistrado instructor y de la sala de apelaciones de la Sala Segunda del Tribunal Supremo, de 9 de mayo y 26 de junio de 2018, fueron desestimados, respectivamente, los recursos de reforma y apelación interpuestos contra el anterior auto de 21 de marzo de 2018.</w:t>
      </w:r>
    </w:p>
    <w:p w:rsidR="005728DD" w:rsidRDefault="005728DD" w:rsidP="005728DD">
      <w:pPr>
        <w:pStyle w:val="TextoNormal"/>
      </w:pPr>
    </w:p>
    <w:p w:rsidR="005728DD" w:rsidRDefault="005728DD" w:rsidP="005728DD">
      <w:pPr>
        <w:pStyle w:val="TextoNormal"/>
      </w:pPr>
      <w:r>
        <w:t>f) Por auto del magistrado instructor de 23 de marzo de 2018, se acordó la prisión provisional de don Raül Romeva Rueda, que fue confirmada en apelación por auto de la sala de apelaciones de la Sala Segunda del Tribunal Supremo de 17 de mayo de 2018.</w:t>
      </w:r>
    </w:p>
    <w:p w:rsidR="005728DD" w:rsidRDefault="005728DD" w:rsidP="005728DD">
      <w:pPr>
        <w:pStyle w:val="TextoNormal"/>
      </w:pPr>
    </w:p>
    <w:p w:rsidR="005728DD" w:rsidRDefault="005728DD" w:rsidP="005728DD">
      <w:pPr>
        <w:pStyle w:val="TextoNormal"/>
      </w:pPr>
      <w:r>
        <w:t>g) Por auto del magistrado instructor de 9 de julio de 2018, se acordó declarar la conclusión del sumario y remitir los autos y piezas de convicción al tribunal competente para conocer del mismo.</w:t>
      </w:r>
    </w:p>
    <w:p w:rsidR="005728DD" w:rsidRDefault="005728DD" w:rsidP="005728DD">
      <w:pPr>
        <w:pStyle w:val="TextoNormal"/>
      </w:pPr>
    </w:p>
    <w:p w:rsidR="005728DD" w:rsidRDefault="005728DD" w:rsidP="005728DD">
      <w:pPr>
        <w:pStyle w:val="TextoNormal"/>
      </w:pPr>
      <w:r>
        <w:t>Por auto de 25 de octubre de 2018 de la Sala Segunda del Tribunal Supremo, se acordó confirmar el auto de conclusión de sumario y declarar abierto el juicio oral contra, entre otros, don Oriol Junqueras Vies y don Raül Romeva Rueda, por los hechos que en el auto de procesamiento se calificaron como delitos de rebelión y de malversación de caudales públicos (arts. 472 y concordantes y 432 y concordantes, respectivamente, CP).</w:t>
      </w:r>
    </w:p>
    <w:p w:rsidR="005728DD" w:rsidRDefault="005728DD" w:rsidP="005728DD">
      <w:pPr>
        <w:pStyle w:val="TextoNormal"/>
      </w:pPr>
    </w:p>
    <w:p w:rsidR="005728DD" w:rsidRDefault="005728DD" w:rsidP="005728DD">
      <w:pPr>
        <w:pStyle w:val="TextoNormal"/>
      </w:pPr>
      <w:r>
        <w:t>h) Formulados los escritos de acusación por el Ministerio Fiscal, el abogado del Estado y la acusación particular y, presentado por la representación procesal de don Oriol Junqueras Vies y don Raül Romeva Rueda escrito de conclusiones provisionales, el día 1 de febrero de 2019 se dictó auto de admisión de pruebas y, a continuación, se señaló el desarrollo del juicio oral, cuyas sesiones se celebraron los días 12, 13, 14, 19, 20, 21, 26, 27 y 28 de febrero; 4, 5, 6, 7, 11, 12, 13, 14, 19, 20, 21, 25, 26, 27 y 28 de marzo; 2, 3, 4, 9, 10, 11, 15, 16, 17, 23, 24, 25, 29 y 30 de abril; 6, 7, 8, 9, 13, 14, 22, 23, 27, 28 y 29 de mayo; y 4, 11 y 12 de junio de 2019.</w:t>
      </w:r>
    </w:p>
    <w:p w:rsidR="005728DD" w:rsidRDefault="005728DD" w:rsidP="005728DD">
      <w:pPr>
        <w:pStyle w:val="TextoNormal"/>
      </w:pPr>
    </w:p>
    <w:p w:rsidR="005728DD" w:rsidRDefault="005728DD" w:rsidP="005728DD">
      <w:pPr>
        <w:pStyle w:val="TextoNormal"/>
      </w:pPr>
      <w:r>
        <w:t>i) Por Real Decreto 129/2019, de 4 de marzo, se disolvieron el Congreso de los Diputados y el Senado elegidos el día 26 de junio de 2016 y se convocaron elecciones a ambas cámaras que se celebraron el día 28 de abril de 2019.</w:t>
      </w:r>
    </w:p>
    <w:p w:rsidR="005728DD" w:rsidRDefault="005728DD" w:rsidP="005728DD">
      <w:pPr>
        <w:pStyle w:val="TextoNormal"/>
      </w:pPr>
    </w:p>
    <w:p w:rsidR="005728DD" w:rsidRDefault="005728DD" w:rsidP="005728DD">
      <w:pPr>
        <w:pStyle w:val="TextoNormal"/>
      </w:pPr>
      <w:r>
        <w:t>Don Oriol Junqueras Vies y don Raül Romeva Rueda concurrieron, respectivamente, como candidatos en dichas elecciones al Congreso de los Diputados y al Senado por la circunscripción de Barcelona en las listas presentadas por la coalición Esquerra Republicana de Catalunya-Sobiranistes. Fueron proclamados diputado y senador electos por acuerdo de la Junta Electoral Provincial de Barcelona de 3 de mayo de 2019.</w:t>
      </w:r>
    </w:p>
    <w:p w:rsidR="005728DD" w:rsidRDefault="005728DD" w:rsidP="005728DD">
      <w:pPr>
        <w:pStyle w:val="TextoNormal"/>
      </w:pPr>
    </w:p>
    <w:p w:rsidR="005728DD" w:rsidRDefault="005728DD" w:rsidP="005728DD">
      <w:pPr>
        <w:pStyle w:val="TextoNormal"/>
      </w:pPr>
      <w:r>
        <w:t>j) La representación procesal de los demandantes de amparo, por escrito de fecha 8 de mayo de 2019, solicitó que se alzase la situación de prisión preventiva de sus representados y se acordase su libertad, se suspendieran las sesiones del juicio oral y se pidiese autorización al Congreso de los Diputados y al Senado para la continuación del proceso penal contra ellos mediante la remisión del correspondiente suplicatorio.</w:t>
      </w:r>
    </w:p>
    <w:p w:rsidR="005728DD" w:rsidRDefault="005728DD" w:rsidP="005728DD">
      <w:pPr>
        <w:pStyle w:val="TextoNormal"/>
      </w:pPr>
    </w:p>
    <w:p w:rsidR="005728DD" w:rsidRDefault="005728DD" w:rsidP="005728DD">
      <w:pPr>
        <w:pStyle w:val="TextoNormal"/>
      </w:pPr>
      <w:r>
        <w:t xml:space="preserve">La Sala Segunda del Tribunal Supremo, por auto de 14 de mayo de 2019, desestimó dichas solicitudes, si bien autorizó la salida del centro penitenciario de los demandantes para </w:t>
      </w:r>
      <w:r>
        <w:lastRenderedPageBreak/>
        <w:t>que pudieran asistir a las sesiones constitutivas del Congreso de los Diputados y del Senado convocadas para el 21 de mayo siguiente.</w:t>
      </w:r>
    </w:p>
    <w:p w:rsidR="005728DD" w:rsidRDefault="005728DD" w:rsidP="005728DD">
      <w:pPr>
        <w:pStyle w:val="TextoNormal"/>
      </w:pPr>
    </w:p>
    <w:p w:rsidR="005728DD" w:rsidRDefault="005728DD" w:rsidP="005728DD">
      <w:pPr>
        <w:pStyle w:val="TextoNormal"/>
      </w:pPr>
      <w:r>
        <w:t>k) La representación procesal de los demandantes interpuso recurso de súplica contra el anterior auto, que fue desestimado por auto de 3 de octubre de 2019.</w:t>
      </w:r>
    </w:p>
    <w:p w:rsidR="005728DD" w:rsidRDefault="005728DD" w:rsidP="005728DD">
      <w:pPr>
        <w:pStyle w:val="TextoNormal"/>
      </w:pPr>
    </w:p>
    <w:p w:rsidR="005728DD" w:rsidRDefault="005728DD" w:rsidP="005728DD">
      <w:pPr>
        <w:pStyle w:val="TextoNormal"/>
      </w:pPr>
      <w:r w:rsidRPr="005728DD">
        <w:rPr>
          <w:rStyle w:val="NumeroAFNegritaCaracter"/>
        </w:rPr>
        <w:t>3</w:t>
      </w:r>
      <w:r>
        <w:t>. En cuanto a la fundamentación jurídica de la demanda de amparo, los recurrentes imputan a las resoluciones judiciales impugnadas la vulneración del derecho a la participación y representación política (art. 23 CE), en relación con la prerrogativa de la inmunidad parlamentaria (art. 71.2 CE), y del derecho a un proceso con todas las garantías (art. 24.2 CE).</w:t>
      </w:r>
    </w:p>
    <w:p w:rsidR="005728DD" w:rsidRDefault="005728DD" w:rsidP="005728DD">
      <w:pPr>
        <w:pStyle w:val="TextoNormal"/>
      </w:pPr>
    </w:p>
    <w:p w:rsidR="005728DD" w:rsidRDefault="005728DD" w:rsidP="005728DD">
      <w:pPr>
        <w:pStyle w:val="TextoNormal"/>
      </w:pPr>
      <w:r>
        <w:t xml:space="preserve">a) La representación procesal de los demandantes alega, como consideración previa, que la relevancia constitucional del recurso estriba en que es la primera vez en que un tribunal español ha denegado la remisión de suplicatorio a las Cortes Generales de cuatro diputados —don Oriol Junqueras Vies, don Jordi Sánchez i Picanyol, don Josep Rull i Andreu y don Jordi Turull i Negre— y de un senador —don Raül Romeva Rueda—, contraviniendo el requisito de procedibilidad de los arts. 751 </w:t>
      </w:r>
      <w:r w:rsidRPr="005728DD">
        <w:rPr>
          <w:i/>
        </w:rPr>
        <w:t>in fine</w:t>
      </w:r>
      <w:r>
        <w:t xml:space="preserve"> y 753 de la Ley de enjuiciamiento criminal (LECrim), en relación con la prerrogativa de la inmunidad. La Sala Segunda del Tribunal Supremo, en las resoluciones judiciales impugnadas, considera, con base en una interpretación absolutamente restrictiva de la ley, que solo procede solicitar la oportuna autorización de las cámaras cuando el procedimiento se encuentre en la fase de instrucción o en la fase intermedia. De este modo, al asumir una competencia que corresponde a cada una de las cámaras de las Cortes Generales, anula de forma automática los derechos políticos de los parlamentarios, de la ciudadanía a quien representan y vulnera además el principio de separación de poderes, lo que supone, en definitiva, una afectación directa a la esencia misma del Estado democrático y de derecho.</w:t>
      </w:r>
    </w:p>
    <w:p w:rsidR="005728DD" w:rsidRDefault="005728DD" w:rsidP="005728DD">
      <w:pPr>
        <w:pStyle w:val="TextoNormal"/>
      </w:pPr>
    </w:p>
    <w:p w:rsidR="005728DD" w:rsidRDefault="005728DD" w:rsidP="005728DD">
      <w:pPr>
        <w:pStyle w:val="TextoNormal"/>
      </w:pPr>
      <w:r>
        <w:t>b) La inmunidad parlamentaria es una garantía que afecta de manera directa a la esfera personal de los parlamentarios, ya que traslada a las cámaras la competencia para autorizar su procesamiento (art. 71.2 CE). Su finalidad, como tiene declarado este tribunal, es la de “evitar que la vía penal sea utilizada con la intención de perturbar el funcionamiento de las cámaras o de alterar la composición que a las mismas ha dado la voluntad popular” (STC 90/1985, de 22 de julio, FJ 6). Eventualidad que en este caso resulta evidente, ya que se ha personado en la causa como acusación popular un partido político antagonista de la formación política a la que pertenecen los demandantes.</w:t>
      </w:r>
    </w:p>
    <w:p w:rsidR="005728DD" w:rsidRDefault="005728DD" w:rsidP="005728DD">
      <w:pPr>
        <w:pStyle w:val="TextoNormal"/>
      </w:pPr>
    </w:p>
    <w:p w:rsidR="005728DD" w:rsidRDefault="005728DD" w:rsidP="005728DD">
      <w:pPr>
        <w:pStyle w:val="TextoNormal"/>
      </w:pPr>
      <w:r>
        <w:t>La previsión del art. 71.2 CE sobre dicha prerrogativa se desarrolla en los arts. 11 del Reglamento del Congreso de los Diputados (RCD) y 22.1 del Reglamento del Senado (RS), cuyo contenido se reproduce en la demanda, así como el de los arts. 750 y 753 LECrim. La representación letrada de los demandantes deduce del tenor de los citados preceptos que es a las cámaras a las que corresponde decidir la continuación del procedimiento, tanto en relación con las personas investigadas como contra las que se haya dictado auto de procesamiento.</w:t>
      </w:r>
    </w:p>
    <w:p w:rsidR="005728DD" w:rsidRDefault="005728DD" w:rsidP="005728DD">
      <w:pPr>
        <w:pStyle w:val="TextoNormal"/>
      </w:pPr>
    </w:p>
    <w:p w:rsidR="005728DD" w:rsidRDefault="005728DD" w:rsidP="005728DD">
      <w:pPr>
        <w:pStyle w:val="TextoNormal"/>
      </w:pPr>
      <w:r>
        <w:t xml:space="preserve">Aunque los recurrentes fueron elegidos, respectivamente, diputado y senador de las Cortes Generales cuando se encontraban procesados, la sala de enjuiciamiento ni ha efectuado la oportuna comunicación a los respectivos cuerpos colegisladores, ni ha esperado a que </w:t>
      </w:r>
      <w:r>
        <w:lastRenderedPageBreak/>
        <w:t>resolvieran lo que tuvieran por conveniente para continuar la causa, sino que, con base en una interpretación sesgada y totalmente restrictiva de la prerrogativa de la inmunidad, ha tomado la decisión de continuar con el procedimiento judicial, apelando básicamente al ámbito de aplicación temporal de la citada prerrogativa. En efecto, en las resoluciones judiciales impugnadas se declara que no procede recabar autorización alguna a las cámaras, al haberse dictado ya auto de procesamiento e iniciado las sesiones del juicio oral cuando los demandantes fueron elegidos diputado y senador. El órgano judicial fundamenta esta decisión en que los preceptos que regulan la prerrogativa de la inmunidad hacen referencia a que los diputados y senadores no podrán ser “inculpados o procesados” si no media autorización de las cámaras, de modo que, ciñéndose a estos términos, entiende que la autorización parlamentaria solo es precisa para la adopción de decisiones judiciales propias de la fase de instrucción o fase intermedia.</w:t>
      </w:r>
    </w:p>
    <w:p w:rsidR="005728DD" w:rsidRDefault="005728DD" w:rsidP="005728DD">
      <w:pPr>
        <w:pStyle w:val="TextoNormal"/>
      </w:pPr>
    </w:p>
    <w:p w:rsidR="005728DD" w:rsidRDefault="005728DD" w:rsidP="005728DD">
      <w:pPr>
        <w:pStyle w:val="TextoNormal"/>
      </w:pPr>
      <w:r>
        <w:t>Sin embargo, el órgano judicial omite que esos mismos preceptos hacen mención también a las personas ya “procesadas”, de forma que la distinción temporal que se lleva a cabo en las resoluciones judiciales recurridas no resulta aceptable ni se ajusta a la naturaleza propia de la inmunidad, en tanto que garantía material frente a una actuación judicial susceptible de afectar a la libertad del representante político.</w:t>
      </w:r>
    </w:p>
    <w:p w:rsidR="005728DD" w:rsidRDefault="005728DD" w:rsidP="005728DD">
      <w:pPr>
        <w:pStyle w:val="TextoNormal"/>
      </w:pPr>
    </w:p>
    <w:p w:rsidR="005728DD" w:rsidRDefault="005728DD" w:rsidP="005728DD">
      <w:pPr>
        <w:pStyle w:val="TextoNormal"/>
      </w:pPr>
      <w:r>
        <w:t>La conclusión que en realidad se extrae del análisis de los precedentes que el Tribunal Supremo cita en apoyo de su decisión —ATS de 7 de febrero de 2002; SSTS 197/2000, de 19 de diciembre, y 54/2008, de 8 de abril, y el acuerdo del pleno no jurisdiccional de su Sala Segunda de 15 de diciembre de 2000— es que, excepto en aquellos supuestos en los que ya se ha dictado sentencia, sí resulta necesario remitir la pertinente comunicación a las cámaras. Asimismo, este tribunal tampoco ha efectuado la limitación pretendida por el Tribunal Supremo en las resoluciones judiciales recurridas, sino que, por el contrario, ha venido haciendo referencia de forma genérica, en cuanto al momento procesal para solicitar el suplicatorio, a posibles “procesos penales” que se puedan dirigir frente a los miembros de las cámaras (SSTC 90/1985, de 22 de julio; 206/1992, de 27 de noviembre; y 124/2001, de 4 de junio). A mayor abundamiento, el abogado general del Tribunal de Justicia de la Unión Europea ha manifestado en sus conclusiones en el asunto C-502/19, en relación con la inmunidad parlamentaria de don Oriol Junqueras Vies como eurodiputado, que “desde el momento en que el Derecho nacional de un Estado miembro reconoce la inmunidad a los parlamentarios, considero plenamente lógico que no sea el tribunal nacional competente quien aprecie la conveniencia de solicitar la suspensión de esa inmunidad, sino que sea el Parlamento quien juzgue la conveniencia de suspenderla o mantenerla”.</w:t>
      </w:r>
    </w:p>
    <w:p w:rsidR="005728DD" w:rsidRDefault="005728DD" w:rsidP="005728DD">
      <w:pPr>
        <w:pStyle w:val="TextoNormal"/>
      </w:pPr>
    </w:p>
    <w:p w:rsidR="005728DD" w:rsidRDefault="005728DD" w:rsidP="005728DD">
      <w:pPr>
        <w:pStyle w:val="TextoNormal"/>
      </w:pPr>
      <w:r>
        <w:t xml:space="preserve">Aunque se ha permitido a los demandantes acudir a la sesión constitutiva de ambas cámaras de las Cortes Generales y recoger sus respectivas actas, no se les ha permitido </w:t>
      </w:r>
      <w:r w:rsidRPr="005728DD">
        <w:rPr>
          <w:i/>
        </w:rPr>
        <w:t>de facto</w:t>
      </w:r>
      <w:r>
        <w:t xml:space="preserve"> desarrollar las tareas que les son propias (reuniones en el grupo parlamentario, ruedas de prensa, entrevistas, así como todas aquellas vinculadas a su estatuto de diputado o senador) ni gozar de las prerrogativas inherentes a su cargo, como la de la inmunidad parlamentaria. Situación que supone, en definitiva, una vulneración directa del derecho de representación y participación política (art. 23 CE) y del derecho a un proceso con todas las garantías (art. 24.2 CE).</w:t>
      </w:r>
    </w:p>
    <w:p w:rsidR="005728DD" w:rsidRDefault="005728DD" w:rsidP="005728DD">
      <w:pPr>
        <w:pStyle w:val="TextoNormal"/>
      </w:pPr>
    </w:p>
    <w:p w:rsidR="005728DD" w:rsidRDefault="005728DD" w:rsidP="005728DD">
      <w:pPr>
        <w:pStyle w:val="TextoNormal"/>
      </w:pPr>
      <w:r>
        <w:t xml:space="preserve">La demanda concluye interesando de este tribunal su admisión y que, tras los trámites oportunos, dicte sentencia en la que se otorgue el amparo solicitado, declarando la nulidad </w:t>
      </w:r>
      <w:r>
        <w:lastRenderedPageBreak/>
        <w:t>de las resoluciones judiciales impugnadas, con retroacción de las actuaciones al momento anterior al que han sido dictadas.</w:t>
      </w:r>
    </w:p>
    <w:p w:rsidR="005728DD" w:rsidRDefault="005728DD" w:rsidP="005728DD">
      <w:pPr>
        <w:pStyle w:val="TextoNormal"/>
      </w:pPr>
    </w:p>
    <w:p w:rsidR="005728DD" w:rsidRDefault="005728DD" w:rsidP="005728DD">
      <w:pPr>
        <w:pStyle w:val="TextoNormal"/>
      </w:pPr>
      <w:r>
        <w:t>Por un otrosí se insta como medida cautelar, de acuerdo con el art. 56 LOTC, la suspensión de la ejecución de la STS 459/2019, de la Sala Segunda, de 14 de octubre, recaída en la causa especial núm. 20907-2017.</w:t>
      </w:r>
    </w:p>
    <w:p w:rsidR="005728DD" w:rsidRDefault="005728DD" w:rsidP="005728DD">
      <w:pPr>
        <w:pStyle w:val="TextoNormal"/>
      </w:pPr>
    </w:p>
    <w:p w:rsidR="005728DD" w:rsidRDefault="005728DD" w:rsidP="005728DD">
      <w:pPr>
        <w:pStyle w:val="TextoNormal"/>
      </w:pPr>
      <w:r w:rsidRPr="005728DD">
        <w:rPr>
          <w:rStyle w:val="NumeroAFNegritaCaracter"/>
        </w:rPr>
        <w:t>4</w:t>
      </w:r>
      <w:r>
        <w:t>. El Pleno del Tribunal Constitucional, de conformidad con lo establecido en el art. 10.1 n) LOTC, a propuesta del presidente, acordó, por providencia de 25 de febrero de 2020, recabar para sí el conocimiento de este recurso y admitirlo a trámite, apreciando que concurre en el mismo una especial trascendencia constitucional (art. 50.1 LOTC) porque plantea un problema o afecta a una faceta de un derecho fundamental sobre el que no hay doctrina de este tribunal [STC 155/2009, FJ 2 a)] y porque el asunto suscitado trasciende el caso concreto al poder tener unas consecuencias políticas generales [STC 155/2009, FJ 2 g)].</w:t>
      </w:r>
    </w:p>
    <w:p w:rsidR="005728DD" w:rsidRDefault="005728DD" w:rsidP="005728DD">
      <w:pPr>
        <w:pStyle w:val="TextoNormal"/>
      </w:pPr>
    </w:p>
    <w:p w:rsidR="005728DD" w:rsidRDefault="005728DD" w:rsidP="005728DD">
      <w:pPr>
        <w:pStyle w:val="TextoNormal"/>
      </w:pPr>
      <w:r>
        <w:t>Asimismo, en aplicación del art. 51 LOTC, se acordó dirigir atenta comunicación a la Sala de lo Penal del Tribunal Supremo, a fin de que, en plazo que no exceda de diez días, remita certificación o fotocopia adverada de las actuaciones correspondientes a los autos de 14 de mayo y 3 de octubre de 2019, dictados en la causa especial núm. 20907-2017, debiendo previamente emplazar a quienes hubieran sido parte en el procedimiento, a excepción de los demandantes, para que en el plazo de diez días pudieran comparecer, si lo desean, en el recurso de amparo.</w:t>
      </w:r>
    </w:p>
    <w:p w:rsidR="005728DD" w:rsidRDefault="005728DD" w:rsidP="005728DD">
      <w:pPr>
        <w:pStyle w:val="TextoNormal"/>
      </w:pPr>
    </w:p>
    <w:p w:rsidR="005728DD" w:rsidRDefault="005728DD" w:rsidP="005728DD">
      <w:pPr>
        <w:pStyle w:val="TextoNormal"/>
      </w:pPr>
      <w:r>
        <w:t xml:space="preserve">En relación con la solicitud de suspensión formulada mediante otrosí, el Pleno no apreció la urgencia excepcional a la que se refiere el art. 56.6 LOTC, que justificaría su adopción </w:t>
      </w:r>
      <w:r w:rsidRPr="005728DD">
        <w:rPr>
          <w:i/>
        </w:rPr>
        <w:t>inaudita parte</w:t>
      </w:r>
      <w:r>
        <w:t xml:space="preserve"> de forma inmotivada, por lo que, a fin de resolver sobre la misma, acordó formar la oportuna pieza separada y, en ella, conceder un plazo de tres días al Ministerio Fiscal y al solicitante de amparo para que efectúen las alegaciones que tuvieran por conveniente.</w:t>
      </w:r>
    </w:p>
    <w:p w:rsidR="005728DD" w:rsidRDefault="005728DD" w:rsidP="005728DD">
      <w:pPr>
        <w:pStyle w:val="TextoNormal"/>
      </w:pPr>
    </w:p>
    <w:p w:rsidR="005728DD" w:rsidRDefault="005728DD" w:rsidP="005728DD">
      <w:pPr>
        <w:pStyle w:val="TextoNormal"/>
      </w:pPr>
      <w:r>
        <w:t>Evacuado el trámite de alegaciones conferido, el Pleno, por ATC 70/2020, de 14 de julio, denegó la medida cautelar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la secretaria de justicia del Pleno de 5 de junio de 2020, se acordó tener por personados y parte a los procuradores de los tribunales don Aníbal Bordallo Huidobro, en representación de don Jordi Sánchez i Picanyol, don Jordi Turull i Negre y don Josep Rull i Andreu; doña María del Pilar Hidalgo López, en representación del partido político Vox; don Carlos Ricardo Estévez Sanz, en representación de don Carles Puigdemont i Casamajó, don Joaquim Forn i Chiariello y doña Meritxell Borràs i Solé; y al abogado del Estado.</w:t>
      </w:r>
    </w:p>
    <w:p w:rsidR="005728DD" w:rsidRDefault="005728DD" w:rsidP="005728DD">
      <w:pPr>
        <w:pStyle w:val="TextoNormal"/>
      </w:pPr>
    </w:p>
    <w:p w:rsidR="005728DD" w:rsidRDefault="005728DD" w:rsidP="005728DD">
      <w:pPr>
        <w:pStyle w:val="TextoNormal"/>
      </w:pPr>
      <w:r>
        <w:t>Asimismo, a tenor de lo dispuesto en el art. 52 LOTC, se dio vista de las actuaciones, en la secretaría del Pleno, por un plazo común de veinte días, al Ministerio Fiscal y a las partes personadas para que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abogado del Estado evacuó el trámite de alegaciones conferido mediante escrito registrado en fecha 2 de julio de 2020, que en lo sustancial a continuación se resume.</w:t>
      </w:r>
    </w:p>
    <w:p w:rsidR="005728DD" w:rsidRDefault="005728DD" w:rsidP="005728DD">
      <w:pPr>
        <w:pStyle w:val="TextoNormal"/>
      </w:pPr>
    </w:p>
    <w:p w:rsidR="005728DD" w:rsidRDefault="005728DD" w:rsidP="005728DD">
      <w:pPr>
        <w:pStyle w:val="TextoNormal"/>
      </w:pPr>
      <w:r>
        <w:t>a) Tras delimitar como cuestión objeto de debate en este proceso la necesidad o no de solicitar el suplicatorio a ambas cámaras de las Cortes Generales para continuar el juicio oral contra los demandantes y la incidencia de su denegación en el derecho garantizado en el art. 23.2 CE, opone a la admisión del recurso su carácter prematuro, ya que, según resulta de la STS 459/2019, de 14 de octubre, y del ATS de 29 de enero de 2020, recaídos en la causa especial núm. 20907-2017, la vulneración denunciada se hizo valer en el trámite de cuestiones previas y en el incidente de nulidad de actuaciones. Así pues, cuando la demanda de amparo fue presentada, aún permanecía abierto un cauce procesal legalmente pertinente en la vía judicial para dilucidar la cuestión debatida. De modo que, de conformidad con la doctrina recogida en las SSTC 155/2019, de 28 de noviembre, FJ 1, y 10/2020, de 28 de enero, FJ 3, las lesiones de derechos fundamentales alegadas han sido planteadas de forma prematura en el proceso de amparo, lo que ha de determinar su inadmisión a trámite.</w:t>
      </w:r>
    </w:p>
    <w:p w:rsidR="005728DD" w:rsidRDefault="005728DD" w:rsidP="005728DD">
      <w:pPr>
        <w:pStyle w:val="TextoNormal"/>
      </w:pPr>
    </w:p>
    <w:p w:rsidR="005728DD" w:rsidRDefault="005728DD" w:rsidP="005728DD">
      <w:pPr>
        <w:pStyle w:val="TextoNormal"/>
      </w:pPr>
      <w:r>
        <w:t>b) En cuanto a la cuestión de fondo suscitada, sostiene, con reproducción de la doctrina de las SSTC 9/1990, de 18 de enero, FJ 3 B), y 124/2001, de 4 de junio, que la inmunidad protege al parlamentario mientras lo sea, tanto frente a actuaciones penales motivadas por hechos sucedidos antes de la elección, si su inculpación o procesamiento son posteriores a su elección, como a las incoadas por hechos sucedidos después de obtener el escaño, ya que en ambos casos cabe la instrumentalización del proceso para los fines que esta garantía quiere evitar. Por eso mismo, no tiene sentido respecto de procedimientos penales iniciados antes de adquirir la condición de parlamentario en los que se hubiera producido ya la inculpación o el procesamiento. En tales supuestos no se puede hablar de propósitos de alterar la composición de la cámara o de obstaculizar su funcionamiento.</w:t>
      </w:r>
    </w:p>
    <w:p w:rsidR="005728DD" w:rsidRDefault="005728DD" w:rsidP="005728DD">
      <w:pPr>
        <w:pStyle w:val="TextoNormal"/>
      </w:pPr>
    </w:p>
    <w:p w:rsidR="005728DD" w:rsidRDefault="005728DD" w:rsidP="005728DD">
      <w:pPr>
        <w:pStyle w:val="TextoNormal"/>
      </w:pPr>
      <w:r>
        <w:t>Esta doctrina constitucional y una recta interpretación del art. 71.2 CE, que se refiere a la imposibilidad de que puedan ser “inculpados ni procesados” los diputados o senadores, ha de conducir a la conclusión contraria a la sostenida por los recurrentes, pues ya habían sido procesados cuando no ostentaban aún la condición de diputado o senador, habiendo resultado electos de forma sobrevenida durante la celebración del juicio oral que venía celebrándose durante tres meses. Desde octubre de 2017 estaba vigente la medida personal de prisión provisional acordada respecto a ambos y, en esas circunstancias, y con pleno conocimiento de las limitaciones que ello conllevaba, habían sido elegidos para encabezar sus respectivas listas electorales, y votados con idéntico conocimiento.</w:t>
      </w:r>
    </w:p>
    <w:p w:rsidR="005728DD" w:rsidRDefault="005728DD" w:rsidP="005728DD">
      <w:pPr>
        <w:pStyle w:val="TextoNormal"/>
      </w:pPr>
    </w:p>
    <w:p w:rsidR="005728DD" w:rsidRDefault="005728DD" w:rsidP="005728DD">
      <w:pPr>
        <w:pStyle w:val="TextoNormal"/>
      </w:pPr>
      <w:r>
        <w:t xml:space="preserve">Igual conclusión se alcanza en relación con la interpretación, que debe realizarse a la luz del citado precepto constitucional, de los artículos de la Ley de enjuiciamiento criminal  que regulan la prerrogativa. En efecto, solo en el caso de los diputados o senadores que ostenten tal condición, su art. 750 impide su “procesamiento” y que “se dirija un procedimiento” sin obtener la previa autorización de la cámara respectiva. Por su parte, los arts. 751 y 752 LECrim, al referirse a diputados o senadores que sean elegidos una vez procesados o que sean procesados en su interregno parlamentario, solo prevén la comunicación a la cámara, omitiendo cualquier referencia a la autorización prevista en el art. 750, que, en cualquier caso, tampoco sería aplicable a quienes, como los recurrentes, fueron procesados mucho antes de resultar elegidos y han comenzado a ser enjuiciados mediante la celebración del plenario, incluso antes de haber sido proclamados candidatos. Asimismo, interpretado el art. 753 LECrim también a la luz del art. 71.2 CE, debe concluirse que la suspensión, hasta tanto se resuelva lo procedente, debe producirse exclusivamente en aquellos casos en los que es </w:t>
      </w:r>
      <w:r>
        <w:lastRenderedPageBreak/>
        <w:t>preceptiva esa autorización, por lo que quedaría extramuros de dicha exigencia el supuesto de los demandantes que, por las razones expuestas, no están sujetos a autorización de las cámaras por haber sido procesados con anterioridad a haber sido elegidos y haber adquirido la condición de diputado o senador.</w:t>
      </w:r>
    </w:p>
    <w:p w:rsidR="005728DD" w:rsidRDefault="005728DD" w:rsidP="005728DD">
      <w:pPr>
        <w:pStyle w:val="TextoNormal"/>
      </w:pPr>
    </w:p>
    <w:p w:rsidR="005728DD" w:rsidRDefault="005728DD" w:rsidP="005728DD">
      <w:pPr>
        <w:pStyle w:val="TextoNormal"/>
      </w:pPr>
      <w:r>
        <w:t>En definitiva, el abogado del Estado entiende que no pueden alegar que no se cumple el fin de la prerrogativa, que es evitar “la eventualidad de que la vía penal sea utilizada con la intención de perturbar el funcionamiento de las cámaras o de alterar la composición que a la mismas ha dado la voluntad popular”. En su planteamiento, el suplicatorio no sería una condición de procedibilidad sino que se convertiría en un privilegio de impunidad.</w:t>
      </w:r>
    </w:p>
    <w:p w:rsidR="005728DD" w:rsidRDefault="005728DD" w:rsidP="005728DD">
      <w:pPr>
        <w:pStyle w:val="TextoNormal"/>
      </w:pPr>
    </w:p>
    <w:p w:rsidR="005728DD" w:rsidRDefault="005728DD" w:rsidP="005728DD">
      <w:pPr>
        <w:pStyle w:val="TextoNormal"/>
      </w:pPr>
      <w:r>
        <w:t>Tras invocar en apoyo de sus alegaciones la doctrina de la STC 123/2001, de 4 de junio, y del ATS de 9 de julio de 2013, recaído en la causa especial núm. 20284-2012, estima que la prerrogativa del art. 71.2 CE se contempla en relación con supuestos de detención, inculpación o procesamiento, pero no puede extenderse más allá del correspondiente juicio de inculpación. En este caso, el auto de procesamiento se dictó con fecha 21 de marzo de 2018, siendo confirmado por auto de la sala de recursos de la Sala Segunda del Tribunal Supremo de 26 de junio de 2018. Además, por auto de 19 de julio de 2018, se acordó la conclusión del sumario, confirmada por auto de 25 de octubre de 2018. Y, por auto de 25 de octubre de 2018, se declaró abierto el juicio oral.</w:t>
      </w:r>
    </w:p>
    <w:p w:rsidR="005728DD" w:rsidRDefault="005728DD" w:rsidP="005728DD">
      <w:pPr>
        <w:pStyle w:val="TextoNormal"/>
      </w:pPr>
    </w:p>
    <w:p w:rsidR="005728DD" w:rsidRDefault="005728DD" w:rsidP="005728DD">
      <w:pPr>
        <w:pStyle w:val="TextoNormal"/>
      </w:pPr>
      <w:r>
        <w:t>En consecuencia, no solo el juicio de acusación (auto de procesamiento) ya se había producido en el momento de la elección y era firme, sino que también había concluido la fase intermedia con la valoración realizada por el tribunal de que los hechos indiciariamente fijados revisten caracteres de delito (arts. 642 a 645 LECrim). En ninguno de esos dos momentos previos era necesario el cumplimiento de ese requisito de procedibilidad, ya que los procesados o acusados no tenían la condición de diputado o senador, ni se había procedido siquiera a la convocatoria de elecciones generales.</w:t>
      </w:r>
    </w:p>
    <w:p w:rsidR="005728DD" w:rsidRDefault="005728DD" w:rsidP="005728DD">
      <w:pPr>
        <w:pStyle w:val="TextoNormal"/>
      </w:pPr>
    </w:p>
    <w:p w:rsidR="005728DD" w:rsidRDefault="005728DD" w:rsidP="005728DD">
      <w:pPr>
        <w:pStyle w:val="TextoNormal"/>
      </w:pPr>
      <w:r>
        <w:t xml:space="preserve">Por lo tanto, no procede el cumplimiento de un requisito sobre aquellas fases que ya han concluido, cuando el juicio de inculpación ya se ha producido, y está cercano a concluir el juicio oral, cuya suspensión iría más allá de la paralización temporal de la acción de la justicia ante la imposibilidad de conservar la validez de la ingente prueba practicada hasta ese momento (art. 749 LECrim), lo que sería un efecto altamente pernicioso ante la cantidad de declaraciones ya practicadas (ATS de 14 de mayo, FJ 3.3). El sentido constitucional de la inmunidad y su propia justificación histórica no permiten igualar la autorización para procesar con la homologación parlamentaria del ya procesado. Carece de justificación constitucional que el normal desarrollo de un proceso terminado en su investigación y en fase de enjuiciamiento exija para su normalidad democrática el </w:t>
      </w:r>
      <w:r w:rsidRPr="005728DD">
        <w:rPr>
          <w:i/>
        </w:rPr>
        <w:t>nihil obstat</w:t>
      </w:r>
      <w:r>
        <w:t xml:space="preserve"> del órgano parlamentario.</w:t>
      </w:r>
    </w:p>
    <w:p w:rsidR="005728DD" w:rsidRDefault="005728DD" w:rsidP="005728DD">
      <w:pPr>
        <w:pStyle w:val="TextoNormal"/>
      </w:pPr>
    </w:p>
    <w:p w:rsidR="005728DD" w:rsidRDefault="005728DD" w:rsidP="005728DD">
      <w:pPr>
        <w:pStyle w:val="TextoNormal"/>
      </w:pPr>
      <w:r>
        <w:t>El abogado del Estado concluye su escrito de alegaciones interesando la inadmisión por prematura de la demanda de amparo y, subsidiariamente, su desestimación.</w:t>
      </w:r>
    </w:p>
    <w:p w:rsidR="005728DD" w:rsidRDefault="005728DD" w:rsidP="005728DD">
      <w:pPr>
        <w:pStyle w:val="TextoNormal"/>
      </w:pPr>
    </w:p>
    <w:p w:rsidR="005728DD" w:rsidRDefault="005728DD" w:rsidP="005728DD">
      <w:pPr>
        <w:pStyle w:val="TextoNormal"/>
      </w:pPr>
      <w:r w:rsidRPr="005728DD">
        <w:rPr>
          <w:rStyle w:val="NumeroAFNegritaCaracter"/>
        </w:rPr>
        <w:t>7</w:t>
      </w:r>
      <w:r>
        <w:t>. La representación procesal de los demandantes evacuó el trámite de alegaciones mediante escrito presentado en el registro general de este tribunal el día 6 de julio de 2020.</w:t>
      </w:r>
    </w:p>
    <w:p w:rsidR="005728DD" w:rsidRDefault="005728DD" w:rsidP="005728DD">
      <w:pPr>
        <w:pStyle w:val="TextoNormal"/>
      </w:pPr>
    </w:p>
    <w:p w:rsidR="005728DD" w:rsidRDefault="005728DD" w:rsidP="005728DD">
      <w:pPr>
        <w:pStyle w:val="TextoNormal"/>
      </w:pPr>
      <w:r>
        <w:lastRenderedPageBreak/>
        <w:t>Con remisión a los argumentos expuestos en la demanda, reitera la necesidad de efectuar una interpretación de la prerrogativa de la inmunidad conforme a los derechos fundamentales que se denuncian como vulnerados. Su marco normativo, integrado parcialmente por normas preconstitucionales y que hace lustros que precisan una acción del legislador (STC 22/1997, de 11 de febrero), debe ser interpretado a la luz del principio de mayor vigencia y eficacia de los derechos fundamentales, atendiendo a criterios de previsibilidad en la interpretación legal y sobre la base de que cualquier restricción de derechos debe perseguir una finalidad legítima y estar inspirada por una necesidad social imperiosa.</w:t>
      </w:r>
    </w:p>
    <w:p w:rsidR="005728DD" w:rsidRDefault="005728DD" w:rsidP="005728DD">
      <w:pPr>
        <w:pStyle w:val="TextoNormal"/>
      </w:pPr>
    </w:p>
    <w:p w:rsidR="005728DD" w:rsidRDefault="005728DD" w:rsidP="005728DD">
      <w:pPr>
        <w:pStyle w:val="TextoNormal"/>
      </w:pPr>
      <w:r>
        <w:t>Invocan la sentencia del Tribunal de Justicia de la Unión Europea de 19 de diciembre de 2019, posterior a la interposición de la demanda de amparo, que, aunque dictada en relación con el Parlamento Europeo, consideran extrapolable a este caso. Tras sintetizar parte de su fundamentación, concluyen que desnaturalizar la garantía de la inmunidad y desapoderar a las Cortes Generales de su irrenunciable potestad de autorizar el desarrollo de procedimientos penales contra sus miembros generaría un precedente inaceptable desde el prisma de los principios básicos de un Estado democrático de derecho y los de la Unión Europea, así como una relevante y muy negativa afectación a los derechos fundamentales cuya protección se solicita en la demanda.</w:t>
      </w:r>
    </w:p>
    <w:p w:rsidR="005728DD" w:rsidRDefault="005728DD" w:rsidP="005728DD">
      <w:pPr>
        <w:pStyle w:val="TextoNormal"/>
      </w:pPr>
    </w:p>
    <w:p w:rsidR="005728DD" w:rsidRDefault="005728DD" w:rsidP="005728DD">
      <w:pPr>
        <w:pStyle w:val="TextoNormal"/>
      </w:pPr>
      <w:r w:rsidRPr="005728DD">
        <w:rPr>
          <w:rStyle w:val="NumeroAFNegritaCaracter"/>
        </w:rPr>
        <w:t>8</w:t>
      </w:r>
      <w:r>
        <w:t>. La representación procesal del partido político Vox presentó su escrito de alegaciones en fecha 8 de julo de 2020, que, en lo sustancial, a continuación se extracta.</w:t>
      </w:r>
    </w:p>
    <w:p w:rsidR="005728DD" w:rsidRDefault="005728DD" w:rsidP="005728DD">
      <w:pPr>
        <w:pStyle w:val="TextoNormal"/>
      </w:pPr>
    </w:p>
    <w:p w:rsidR="005728DD" w:rsidRDefault="005728DD" w:rsidP="005728DD">
      <w:pPr>
        <w:pStyle w:val="TextoNormal"/>
      </w:pPr>
      <w:r>
        <w:t>a) Aduce, en primer término, que los demandantes carecen de legitimación para interponer el recurso de amparo, al haber sido expresamente incapacitados por la STS, Sala Segunda, 459/2019, de 14 de octubre, para ostentar cargo electo o público durante el tiempo que dure la condena.</w:t>
      </w:r>
    </w:p>
    <w:p w:rsidR="005728DD" w:rsidRDefault="005728DD" w:rsidP="005728DD">
      <w:pPr>
        <w:pStyle w:val="TextoNormal"/>
      </w:pPr>
    </w:p>
    <w:p w:rsidR="005728DD" w:rsidRDefault="005728DD" w:rsidP="005728DD">
      <w:pPr>
        <w:pStyle w:val="TextoNormal"/>
      </w:pPr>
      <w:r>
        <w:t>Además, con invocación de la doctrina de la STC 76/2009, de 23 de marzo, que parcialmente reproduce, considera que no se cumple el requisito del agotamiento de la vía judicial previa [art. 44.1 a) LOTC], ya que el procedimiento en el que se han dictado las resoluciones judiciales recurridas no se encuentra completamente finalizado, ni, por lo tanto, agotados en la causa todos los medios de impugnación previstos.</w:t>
      </w:r>
    </w:p>
    <w:p w:rsidR="005728DD" w:rsidRDefault="005728DD" w:rsidP="005728DD">
      <w:pPr>
        <w:pStyle w:val="TextoNormal"/>
      </w:pPr>
    </w:p>
    <w:p w:rsidR="005728DD" w:rsidRDefault="005728DD" w:rsidP="005728DD">
      <w:pPr>
        <w:pStyle w:val="TextoNormal"/>
      </w:pPr>
      <w:r>
        <w:t>b) Subsidiariamente, la representación procesal del partido político Vox recuerda que la ley no ampara ni puede contemplar el abuso de derecho como se pretende con este recurso, mediante el que se persigue que unas personas condenadas e inhabilitadas accedan a la condición parlamentaria de la que han sido expresamente privadas por la sentencia condenatoria dictada en la causa. En este sentido, no puede hablarse de limitación alguna de los derechos fundamentales, en concreto, en este caso, del derecho de participación política, por cuanto los demandantes pudieron presentarse a la convocatoria electoral, habiendo resultado elegidos. Sin embargo, su eventual adquisición de la condición de parlamentarios choca frontalmente con el art. 6 de la Ley Orgánica 5/1985, de 19 de junio, del régimen electoral general.</w:t>
      </w:r>
    </w:p>
    <w:p w:rsidR="005728DD" w:rsidRDefault="005728DD" w:rsidP="005728DD">
      <w:pPr>
        <w:pStyle w:val="TextoNormal"/>
      </w:pPr>
    </w:p>
    <w:p w:rsidR="005728DD" w:rsidRDefault="005728DD" w:rsidP="005728DD">
      <w:pPr>
        <w:pStyle w:val="TextoNormal"/>
      </w:pPr>
      <w:r>
        <w:t xml:space="preserve">Los demandantes, lo que viene siendo habitual en los procesados en la causa especial núm. 20907-2017 seguida ante la Sala Segunda del Tribunal Supremo, pretenden obtener una especie de inmunidad universal e ilimitada, con el fin de evitar la responsabilidad penal que les corresponde como autores de unos hechos claros, concretos y acreditados, por lo que la representación procesal del partido político Vox entiende que resultan de aplicación </w:t>
      </w:r>
      <w:r>
        <w:lastRenderedPageBreak/>
        <w:t>los arts. 11.1 y 2 de la Ley Orgánica 6/1985, de 1 de julio, del Poder Judicial y 7.2 del Código civil.</w:t>
      </w:r>
    </w:p>
    <w:p w:rsidR="005728DD" w:rsidRDefault="005728DD" w:rsidP="005728DD">
      <w:pPr>
        <w:pStyle w:val="TextoNormal"/>
      </w:pPr>
    </w:p>
    <w:p w:rsidR="005728DD" w:rsidRDefault="005728DD" w:rsidP="005728DD">
      <w:pPr>
        <w:pStyle w:val="TextoNormal"/>
      </w:pPr>
      <w:r>
        <w:t>c) En fin, no existe la denunciada lesión del derecho fundamental que se invoca, pues como se recoge en las resoluciones judiciales impugnadas, el art. 71.2 CE prevé la solicitud de suplicatorio a las cámaras en un momento procesal determinado: el de la inculpación o el procesamiento. Ambos momentos se refieren a fases procesales anteriores a la del juicio oral, en este caso superada en el momento de la interposición de la demanda de amparo. De ahí que la solicitud de autorización a las cámaras no solo careciera de sentido, sino también de fundamento jurídico.</w:t>
      </w:r>
    </w:p>
    <w:p w:rsidR="005728DD" w:rsidRDefault="005728DD" w:rsidP="005728DD">
      <w:pPr>
        <w:pStyle w:val="TextoNormal"/>
      </w:pPr>
    </w:p>
    <w:p w:rsidR="005728DD" w:rsidRDefault="005728DD" w:rsidP="005728DD">
      <w:pPr>
        <w:pStyle w:val="TextoNormal"/>
      </w:pPr>
      <w:r>
        <w:t>Las prerrogativas parlamentarias, que ni siquiera fueron adquiridas en tiempo oportuno, no pueden invocarse para obtener un beneficio a todas luces ilegal. De la propia naturaleza de la inmunidad se deduce que se establece para que no se puedan obstaculizar las funciones parlamentarias, pero de ningún modo para eludir la justicia como pretenden los demandantes.</w:t>
      </w:r>
    </w:p>
    <w:p w:rsidR="005728DD" w:rsidRDefault="005728DD" w:rsidP="005728DD">
      <w:pPr>
        <w:pStyle w:val="TextoNormal"/>
      </w:pPr>
    </w:p>
    <w:p w:rsidR="005728DD" w:rsidRDefault="005728DD" w:rsidP="005728DD">
      <w:pPr>
        <w:pStyle w:val="TextoNormal"/>
      </w:pPr>
      <w:r>
        <w:t xml:space="preserve">Las resoluciones judiciales no solo explican y motivan su decisión, sino que dan cumplida cuenta de su fundamentación jurídica, de la que se obtiene como consecuencia la negativa a que se acojan unas pretensiones absolutamente infundadas frente a los juicios de proporcionalidad de la medida que entonces le afectaban. Incluso se analiza la STEDH de 20 de noviembre de 2018 (asunto </w:t>
      </w:r>
      <w:r w:rsidRPr="005728DD">
        <w:rPr>
          <w:i/>
        </w:rPr>
        <w:t>Selahattin Demirtas c. Turquía</w:t>
      </w:r>
      <w:r>
        <w:t>), si bien la situación de los recurrentes es bien distinta, pues cuando fueron procesados no eran parlamentarios y no tuvieron impedimento alguno para presentarse a las elecciones, incluso con medidas cautelares personales para realizar la campaña electoral. De ninguna manera se puede decir que el tribunal que ha dictado las resoluciones judiciales impugnadas se hubiera regido por criterios que no fueran estrictamente jurídicos y debidamente fundamentados.</w:t>
      </w:r>
    </w:p>
    <w:p w:rsidR="005728DD" w:rsidRDefault="005728DD" w:rsidP="005728DD">
      <w:pPr>
        <w:pStyle w:val="TextoNormal"/>
      </w:pPr>
    </w:p>
    <w:p w:rsidR="005728DD" w:rsidRDefault="005728DD" w:rsidP="005728DD">
      <w:pPr>
        <w:pStyle w:val="TextoNormal"/>
      </w:pPr>
      <w:r>
        <w:t>La representación procesal del partido político Vox concluye su escrito de alegaciones interesando la desestimación de la demanda.</w:t>
      </w:r>
    </w:p>
    <w:p w:rsidR="005728DD" w:rsidRDefault="005728DD" w:rsidP="005728DD">
      <w:pPr>
        <w:pStyle w:val="TextoNormal"/>
      </w:pPr>
    </w:p>
    <w:p w:rsidR="005728DD" w:rsidRDefault="005728DD" w:rsidP="005728DD">
      <w:pPr>
        <w:pStyle w:val="TextoNormal"/>
      </w:pPr>
      <w:r w:rsidRPr="005728DD">
        <w:rPr>
          <w:rStyle w:val="NumeroAFNegritaCaracter"/>
        </w:rPr>
        <w:t>9</w:t>
      </w:r>
      <w:r>
        <w:t>. El Ministerio Fiscal evacuó el trámite de alegaciones mediante escrito registrado en fecha 9 de julio de 2020, que, en lo sustancial, a continuación se resume.</w:t>
      </w:r>
    </w:p>
    <w:p w:rsidR="005728DD" w:rsidRDefault="005728DD" w:rsidP="005728DD">
      <w:pPr>
        <w:pStyle w:val="TextoNormal"/>
      </w:pPr>
    </w:p>
    <w:p w:rsidR="005728DD" w:rsidRDefault="005728DD" w:rsidP="005728DD">
      <w:pPr>
        <w:pStyle w:val="TextoNormal"/>
      </w:pPr>
      <w:r>
        <w:t>a) Comienza recordando, con cita de abundante jurisprudencia constitucional, que las prerrogativas parlamentarias, entre ellas, la inmunidad, forman parte del estatuto de los miembros de las Cortes Generales, de manera que el derecho reconocido en el art. 23.2 CE puede resultar directamente afectado por posibles constricciones ilegítimas de aquellas prerrogativas. Solo si se hubiera producido la lesión de este derecho fundamental podría apreciarse también una vulneración del derecho a un proceso con todas las garantías (art. 24.2 CE).</w:t>
      </w:r>
    </w:p>
    <w:p w:rsidR="005728DD" w:rsidRDefault="005728DD" w:rsidP="005728DD">
      <w:pPr>
        <w:pStyle w:val="TextoNormal"/>
      </w:pPr>
    </w:p>
    <w:p w:rsidR="005728DD" w:rsidRDefault="005728DD" w:rsidP="005728DD">
      <w:pPr>
        <w:pStyle w:val="TextoNormal"/>
      </w:pPr>
      <w:r>
        <w:t xml:space="preserve">A continuación, sintetiza las principales líneas de la doctrina constitucional sobre la prerrogativa de la inmunidad, poniendo asimismo de manifiesto que la jurisprudencia europea tiene declarado —tal como se recoge en las resoluciones judiciales recurridas— que la prerrogativa de la inmunidad parlamentaria debe interpretarse restrictivamente en los supuestos de hecho en los que, como es el caso, no existe una conexión clara entre los hechos en cuestión y la actividad parlamentaria (entre otras, SSTEDH de 20 de enero de 2003, asunto </w:t>
      </w:r>
      <w:r w:rsidRPr="005728DD">
        <w:rPr>
          <w:i/>
        </w:rPr>
        <w:lastRenderedPageBreak/>
        <w:t>Cordova c. Italia</w:t>
      </w:r>
      <w:r>
        <w:t xml:space="preserve">, § 63, y de 20 de abril de 2006, asunto </w:t>
      </w:r>
      <w:r w:rsidRPr="005728DD">
        <w:rPr>
          <w:i/>
        </w:rPr>
        <w:t>Patrono, Cascini y Stefabelli c. Italia</w:t>
      </w:r>
      <w:r>
        <w:t xml:space="preserve">, § 63). Incluso ha afirmado que la inmunidad es una excepción del régimen ordinario de procedibilidad para el enjuiciamiento de presuntos delitos, por lo que los Estados deben garantizar que tenga un alcance restrictivo bien delimitado, de modo que no puede ser empleada por los representantes políticos como instrumento para eludir la acción de la justicia (STEDH, de 20 de diciembre de 2016, asunto </w:t>
      </w:r>
      <w:r w:rsidRPr="005728DD">
        <w:rPr>
          <w:i/>
        </w:rPr>
        <w:t>Uspaskich c. Lituania</w:t>
      </w:r>
      <w:r>
        <w:t>, § 91).</w:t>
      </w:r>
    </w:p>
    <w:p w:rsidR="005728DD" w:rsidRDefault="005728DD" w:rsidP="005728DD">
      <w:pPr>
        <w:pStyle w:val="TextoNormal"/>
      </w:pPr>
    </w:p>
    <w:p w:rsidR="005728DD" w:rsidRDefault="005728DD" w:rsidP="005728DD">
      <w:pPr>
        <w:pStyle w:val="TextoNormal"/>
      </w:pPr>
      <w:r>
        <w:t>b) Tras referirse a las circunstancias temporales que concurren en este caso, el Ministerio Fiscal entiende, a partir del tenor literal del art. 71.2 CE, precepto que configura la inmunidad parlamentaria como una condición de procedibilidad “previa” para poder inculpar o procesar a un diputado y senador, y —sobre todo— de que esta prerrogativa tiene por finalidad impedir que la vía penal sea utilizada con la intención de perturbar el funcionamiento de las cámaras o alterar la composición que les ha dado la voluntad popular, que carece de todo sentido la petición postrera de autorización a la cámara respectiva en pleno desarrollo ya del juicio oral —con la consiguiente suspensión del procedimiento— si la persecución penal del hecho, la adopción de la prisión provisional, el procesamiento o inculpación formal, la acusación provisional de quienes ejercen la acción penal y hasta el comienzo de las sesiones del juicio oral han tenido lugar con bastante anterioridad a la convocatoria del proceso electoral —que se produce cincuenta y cuatro días antes del fijado para la votación—, cuya culminación se produjo con la jornada de votación el día 28 de abril. Resulta del todo punto imposible que el proceso o la vía penal fuera emprendida o el procesamiento fuere acordado más de un año antes con el alcance, objetivo, móvil o propósito o finalidad de perturbar el funcionamiento o composición de unas cámaras cuya conformación se produciría mucho tiempo después a partir de un eventual e imprevisible proceso electoral futuro, cuya misma existencia era incierta y al que ni se podía saber si concurrían o no los demandantes.</w:t>
      </w:r>
    </w:p>
    <w:p w:rsidR="005728DD" w:rsidRDefault="005728DD" w:rsidP="005728DD">
      <w:pPr>
        <w:pStyle w:val="TextoNormal"/>
      </w:pPr>
    </w:p>
    <w:p w:rsidR="005728DD" w:rsidRDefault="005728DD" w:rsidP="005728DD">
      <w:pPr>
        <w:pStyle w:val="TextoNormal"/>
      </w:pPr>
      <w:r>
        <w:t>La situación presenta semejanza con el supuesto que dio lugar a la STC 90/1985, de 22 de julio, en la que se examinó la denegación de suplicatorio por parte del Pleno del Senado respecto a un senador que en el momento de la presentación de la querella no ostentaba dicha condición porque ni siquiera se habían convocado elecciones y en la que este tribunal estimó vulnerado el derecho a la tutela judicial efectiva del querellante (FJ 7). Tampoco en este caso cabría apreciar la existencia de móviles o intenciones referidos al funcionamiento o composición del Congreso de los Diputados y/o del Senado, puesto que los recurrentes, cuándo se inicia y desarrolla la persecución penal, se decreta su prisión preventiva, se les procesa, se les acusa y dan comienzo la celebración del juicio oral, no tenían la condición de diputado y senador, ni cabía aventurar que fueran a serlo toda vez que en ninguno de tales estados de la causa se encontraban ya convocadas las elecciones generales, ni, por consiguiente, eran conocidas las candidaturas. Es palmariamente obvia la desvinculación de los hechos por los que fueron procesados, acusados y sometidos a juicio oral con el ejercicio de funciones parlamentarias en las cámaras resultantes de unas elecciones posteriormente convocadas. En definitiva, tales móviles o intenciones no pudieron existir. Ni el auto de procesamiento de 21 de marzo de 2018, ni las posteriores actuaciones de acusación, apertura del juicio oral y celebración de sus sesiones se habrían dictado con ánimo de alterar la composición y la voluntad de las cámaras, teniendo en cuenta que en el momento de dictarse no se habían convocado las elecciones en las que los recurrentes resultaron elegidos como diputado y senador.</w:t>
      </w:r>
    </w:p>
    <w:p w:rsidR="005728DD" w:rsidRDefault="005728DD" w:rsidP="005728DD">
      <w:pPr>
        <w:pStyle w:val="TextoNormal"/>
      </w:pPr>
    </w:p>
    <w:p w:rsidR="005728DD" w:rsidRDefault="005728DD" w:rsidP="005728DD">
      <w:pPr>
        <w:pStyle w:val="TextoNormal"/>
      </w:pPr>
      <w:r>
        <w:lastRenderedPageBreak/>
        <w:t xml:space="preserve">c) El Ministerio Fiscal añade a las precedentes consideraciones la necesidad de entender la prerrogativa no como un privilegio favorecedor de los diputados y senadores al objeto de sustraer sus conductas del conocimiento o decisión de jueces y tribunales, ni tampoco como un </w:t>
      </w:r>
      <w:r w:rsidRPr="005728DD">
        <w:rPr>
          <w:i/>
        </w:rPr>
        <w:t>ius singularis</w:t>
      </w:r>
      <w:r>
        <w:t xml:space="preserve"> para eludir u obstaculizar la acción de la justicia o generar zonas de impunidad, sino como una excepción al régimen ordinario de procedibilidad de presuntos delitos y de su enjuiciamiento, así como al régimen general de sometimiento al imperio de la ley, por lo que —por ende y por doctrina constitucional y jurisprudencia del Tribunal Europeo de Derechos Humanos— la prerrogativa de la inmunidad parlamentaria no puede ser objeto de una extensión legislativa constitucionalmente ilegítima, ni de una interpretación analógica, sino que solo es susceptible de una interpretación estricta y vinculada a los supuestos expresamente contemplados en la Constitución, de lo cual se desprende que requiere una interpretación y alcance restrictivos. Hay que convenir, en consecuencia, que la interpretación de la prerrogativa de la inmunidad que se hace en las resoluciones judiciales impugnadas, a la vista de que la condición de diputado y senador ha sido adquirida por los demandantes después no solo de haber sido procesados, acusados, sino incluso de haberse abierto el juicio oral y estar ya celebrándose la oportuna vista por unos hechos claramente desconectados de la actividad en las cámaras, no resulta en absoluta irrespetuosa con el sentido, alcance y finalidad constitucional de la prerrogativa, por lo que no vulnera el derecho al ejercicio del cargo público representativo (art. 23.2 CE), ni, por consiguiente, el derecho a un proceso con todas las garantías (art. 24.2 CE), ni el derecho al sufragio activo del cuerpo electoral (SSTC 123/2001 y 124/2001, de 4 de junio, FJ 5).</w:t>
      </w:r>
    </w:p>
    <w:p w:rsidR="005728DD" w:rsidRDefault="005728DD" w:rsidP="005728DD">
      <w:pPr>
        <w:pStyle w:val="TextoNormal"/>
      </w:pPr>
    </w:p>
    <w:p w:rsidR="005728DD" w:rsidRDefault="005728DD" w:rsidP="005728DD">
      <w:pPr>
        <w:pStyle w:val="TextoNormal"/>
      </w:pPr>
      <w:r>
        <w:t>Esta conclusión es completamente acorde con la correcta comprensión del sentido de la prerrogativa y de los fines que procura, tanto en el sentido lógico de sujeción a los límites objetivos que impone la Constitución, como en el teleológico de la razonable proporcionalidad al fin al que responde [SSTC 51/1985, de 10 de abril, FJ 6; 243/1988, de 9 de diciembre, FJ 3 a), y 22/1997, de 11 de febrero, FJ 5]. De hecho, tal solución es la más natural a la luz de la doctrina constitucional, una vez que la observancia de la prerrogativa cuestionada ha de cohonestarse con la finalidad a la que sirve [SSTC 22/1997, FJ 7, y 68/2001, de 17 de marzo, FJ 2 b)].</w:t>
      </w:r>
    </w:p>
    <w:p w:rsidR="005728DD" w:rsidRDefault="005728DD" w:rsidP="005728DD">
      <w:pPr>
        <w:pStyle w:val="TextoNormal"/>
      </w:pPr>
    </w:p>
    <w:p w:rsidR="005728DD" w:rsidRDefault="005728DD" w:rsidP="005728DD">
      <w:pPr>
        <w:pStyle w:val="TextoNormal"/>
      </w:pPr>
      <w:r>
        <w:t>d) La interpretación judicial de la que discrepan los demandantes no merma la finalidad institucional cuya salvaguarda se persigue mediante la prerrogativa de la inmunidad, que, no es otra, que la de evitar la eventualidad de que la vía penal sea utilizada con la intención de perturbar el funcionamiento de las cámaras o de alterar indebidamente su composición. Mantener temporalmente la inmunidad hasta el extremo del dictado de la sentencia firme carece totalmente de sentido y es manifiestamente irrazonable y desproporcionado desde la perspectiva de los fines a los que la prerrogativa responde, por lo que la solicitud de autorización para continuar con el procedimiento resulta improcedente.</w:t>
      </w:r>
    </w:p>
    <w:p w:rsidR="005728DD" w:rsidRDefault="005728DD" w:rsidP="005728DD">
      <w:pPr>
        <w:pStyle w:val="TextoNormal"/>
      </w:pPr>
    </w:p>
    <w:p w:rsidR="005728DD" w:rsidRDefault="005728DD" w:rsidP="005728DD">
      <w:pPr>
        <w:pStyle w:val="TextoNormal"/>
      </w:pPr>
      <w:r>
        <w:t xml:space="preserve">En efecto, lo que no constituiría un ejercicio razonable y proporcionado de la prerrogativa parlamentaria ni resultaría ajustado a la literalidad, ni al sentido, ni al alcance, ni a la finalidad constitucional de la misma, sería predicar de los términos del art. 71.2 CE una interpretación extensiva que, como propugnan los recurrentes, amplíe el alcance de la necesidad de solicitud de suplicatorio a cualquier estado de una causa penal que fuese anterior a la firmeza de la sentencia, puesto que ello implicaría, a juicio del Ministerio Fiscal, proceder al margen de la auténtica finalidad constitucional de la inmunidad parlamentaria y otorgar a la excepción del sometimiento al imperio de la ley, pilar básico del Estado de Derecho, un </w:t>
      </w:r>
      <w:r>
        <w:lastRenderedPageBreak/>
        <w:t>tratamiento de regla absoluta que respondería más a la conformación de un privilegio en beneficio individual y singular de los diputados y senadores para impedir el normal desarrollo o desenlace del proceso penal, que al interés superior de que la representación nacional no se vea alterada ni perturbada, ni en su composición ni en su funcionamiento, por eventuales procesos penales que injustificada o torticeramente puedan dirigirse frente a los miembros de las Cortes Generales. En definitiva, la aplicación de la prerrogativa de la inmunidad a personas que, como en este caso, ya habían sido formal y efectivamente inculpadas, procesadas, acusadas y contra las que se había abierto juicio oral en la causa penal —e incluso el juicio oral ya se encontraban en avanzado desarrollo— supondría una interpretación desproporcionada y desmedidamente extensiva de la inmunidad, con grave puesta en peligro de otros intereses, valores y bienes constitucionales de gran trascendencia. Se trataría, en suma, de una indebida extensión del ámbito temporal de la prerrogativa, convirtiéndola predominantemente en un privilegio personal, que redundaría en una desproporcionada e innecesaria alteración del régimen común del proceso penal.</w:t>
      </w:r>
    </w:p>
    <w:p w:rsidR="005728DD" w:rsidRDefault="005728DD" w:rsidP="005728DD">
      <w:pPr>
        <w:pStyle w:val="TextoNormal"/>
      </w:pPr>
    </w:p>
    <w:p w:rsidR="005728DD" w:rsidRDefault="005728DD" w:rsidP="005728DD">
      <w:pPr>
        <w:pStyle w:val="TextoNormal"/>
      </w:pPr>
      <w:r>
        <w:t>e) La perspectiva constitucional expuesta debe impregnar la normativa de la LECrim y de la Ley de 9 de febrero de 1912, de la cual no cabe extraer consecuencias no acordes con la lectura constitucional a que debe ser sometida. Ante la inactividad del legislador postconstitucional en su adecuación a la Constitución, la literalidad en cuanto al momento de solicitar la autorización a las cámaras por la genérica referencia del art. 750 LECrim al juez o tribunal “que encuentre méritos para procesar a un senador o diputado a Cortes por causa de delito” y de cualesquiera otras disposiciones del título I (“Del modo de proceder cuando fuere procesado un Senador o Diputado a Cortes”) del libro IV (“Procedimientos Especiales”) de la LECrim —arts. 751 a 756—, deben someterse a una exégesis filtrada por la perspectiva y parámetros constitucionales, esto es, acorde y cohonestada con el significado, alcance y contenido de la doctrina constitucional sobre la correcta comprensión del sentido de la prerrogativa y de los fines que procura.</w:t>
      </w:r>
    </w:p>
    <w:p w:rsidR="005728DD" w:rsidRDefault="005728DD" w:rsidP="005728DD">
      <w:pPr>
        <w:pStyle w:val="TextoNormal"/>
      </w:pPr>
    </w:p>
    <w:p w:rsidR="005728DD" w:rsidRDefault="005728DD" w:rsidP="005728DD">
      <w:pPr>
        <w:pStyle w:val="TextoNormal"/>
      </w:pPr>
      <w:r>
        <w:t>En este sentido, la interpretación gramatical y sistemática, asociada a la naturaleza de la prerrogativa, que efectúa la Sala Segunda del Tribunal Supremo en el auto de 14 de mayo de 2019 no resulta en absoluta desacorde con el art. 71.2 CE, ni con la doctrina constitucional. Otro tanto cabe decir de la interpretación sistemática sostenida en el mismo auto en relación con el art. 753 LECrim, que conecta la suspensión del procedimiento lógicamente, de forma exclusiva, a aquellos supuestos en los que la petición de suplicatorio resulta procedente conforme a la Constitución y las pautas de la doctrina constitucional. En tanto que “sustracciones al Derecho común conectadas con la función” (STC 51/1985, de 10 de abril, FJ 6), no es constitucionalmente legítima una extensión legislativa (STC 186/1989, de 13 de noviembre) o una interpretación analógica de las prerrogativas parlamentarias (STC 51/1985). Como garantías jurídicamente vinculadas a la satisfacción de un interés institucional y permanente del ordenamiento, son solo susceptibles de una interpretación estricta y vinculada a los supuestos expresamente contemplados en la Constitución (STC 22/1997, FJ 5).</w:t>
      </w:r>
    </w:p>
    <w:p w:rsidR="005728DD" w:rsidRDefault="005728DD" w:rsidP="005728DD">
      <w:pPr>
        <w:pStyle w:val="TextoNormal"/>
      </w:pPr>
    </w:p>
    <w:p w:rsidR="005728DD" w:rsidRDefault="005728DD" w:rsidP="005728DD">
      <w:pPr>
        <w:pStyle w:val="TextoNormal"/>
      </w:pPr>
      <w:r>
        <w:t xml:space="preserve">En cualquier caso, siendo la suspensión una consecuencia conectada al </w:t>
      </w:r>
      <w:r w:rsidRPr="005728DD">
        <w:rPr>
          <w:i/>
        </w:rPr>
        <w:t>prius</w:t>
      </w:r>
      <w:r>
        <w:t xml:space="preserve"> de la procedencia constitucional misma de la solicitud de suplicatorio, una vez descartada desde la perspectiva constitucional la necesidad de pedir autorización a las cámaras respectivas, huelga efectuar mayores razonamientos sobre la suspensión, puesto que lo que se desprende como derivación natural es la ausencia de fundamento o presupuesto para acordarla, sean </w:t>
      </w:r>
      <w:r>
        <w:lastRenderedPageBreak/>
        <w:t>cualesquiera que sean los términos preconstitucionales de legalidad ordinaria, que en el mejor de los casos deben ser siempre objeto de revisión a la luz de la Constitución y de la doctrina constitucional.</w:t>
      </w:r>
    </w:p>
    <w:p w:rsidR="005728DD" w:rsidRDefault="005728DD" w:rsidP="005728DD">
      <w:pPr>
        <w:pStyle w:val="TextoNormal"/>
      </w:pPr>
    </w:p>
    <w:p w:rsidR="005728DD" w:rsidRDefault="005728DD" w:rsidP="005728DD">
      <w:pPr>
        <w:pStyle w:val="TextoNormal"/>
      </w:pPr>
      <w:r>
        <w:t>f) En relación con las conclusiones del abogado general del Tribunal de Justicia de la Unión Europea en el asunto C-502/19, en el que recayó la STJUE de 19 de diciembre de 2019, relativa a la inmunidad que, conforme al artículo 9 del Protocolo (núm. 7) sobre los privilegios y las inmunidades de la Unión Europea, goza cualquier persona que ha sido oficialmente proclamada electa al Parlamento Europeo, el Ministerio Fiscal rechaza su posible incidencia en el caso ahora considerado, puesto que, por más que aborde aspectos de la inmunidad de un miembro electo de una cámara representativa, se trata de una resolución que da respuesta, desde una perspectiva puramente formal, al planteamiento de una cuestión prejudicial respecto de cómo debe interpretarse un precepto normativo europeo referido a elecciones europeas, que se rigen por una normativa propia, específica y distinta de la regulación aplicable a las elecciones de cualquier ámbito nacional de los Estados —sean generales, federales, autonómicos, regionales o locales los correspondientes procesos electorales—, de modo que sus conclusiones se ciñen exclusivamente a la situación de un electo al Parlamento Europeo y, por consiguiente, no son extrapolables a quienes, como ocurre en este caso, resultan electos al Congreso de los Diputados y al Senado tras un proceso nacional de elecciones generales.</w:t>
      </w:r>
    </w:p>
    <w:p w:rsidR="005728DD" w:rsidRDefault="005728DD" w:rsidP="005728DD">
      <w:pPr>
        <w:pStyle w:val="TextoNormal"/>
      </w:pPr>
    </w:p>
    <w:p w:rsidR="005728DD" w:rsidRDefault="005728DD" w:rsidP="005728DD">
      <w:pPr>
        <w:pStyle w:val="TextoNormal"/>
      </w:pPr>
      <w:r>
        <w:t>El Ministerio Fiscal concluye su escrito de alegaciones interesando se dicte sentencia denegando el amparo solicitado.</w:t>
      </w:r>
    </w:p>
    <w:p w:rsidR="005728DD" w:rsidRDefault="005728DD" w:rsidP="005728DD">
      <w:pPr>
        <w:pStyle w:val="TextoNormal"/>
      </w:pPr>
    </w:p>
    <w:p w:rsidR="005728DD" w:rsidRDefault="005728DD" w:rsidP="005728DD">
      <w:pPr>
        <w:pStyle w:val="TextoNormal"/>
      </w:pPr>
      <w:r w:rsidRPr="005728DD">
        <w:rPr>
          <w:rStyle w:val="NumeroAFNegritaCaracter"/>
        </w:rPr>
        <w:t>10</w:t>
      </w:r>
      <w:r>
        <w:t>. Por auto de 16 de febrero de 2021, se aceptó la abstención de don Antonio Narváez Rodríguez, en consideración a su comunicación de la misma fecha relativa a varios recursos de amparo, entre ellos, el núm. 6711-2019.</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16 de marzo de 2021, se señaló para la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posición de las partes</w:t>
      </w:r>
      <w:r>
        <w:t>.</w:t>
      </w:r>
    </w:p>
    <w:p w:rsidR="005728DD" w:rsidRDefault="005728DD" w:rsidP="005728DD">
      <w:pPr>
        <w:pStyle w:val="TextoNormal"/>
      </w:pPr>
    </w:p>
    <w:p w:rsidR="005728DD" w:rsidRDefault="005728DD" w:rsidP="005728DD">
      <w:pPr>
        <w:pStyle w:val="TextoNormal"/>
      </w:pPr>
      <w:r>
        <w:t>Los demandantes de amparo, que fueron proclamados, respectivamente, diputado y senador electos por la Junta Electoral Provincial de Barcelona en fecha 3 de mayo de 2019 en las elecciones al Congreso de los Diputados y al Senado celebradas el 28 de abril de 2019, impugnan el auto de la Sala Segunda del Tribunal Supremo, de 14 de mayo de 2019, confirmado en súplica por auto de 3 de octubre de 2019, únicamente en cuanto, desestimando las peticiones formuladas por los recurrentes, acuerda que no ha lugar a solicitar autorización a las cámaras legislativas mediante la remisión del correspondiente suplicatorio para continuar con el juicio oral en la causa especial núm. 20907-2017, ni a suspender sus sesiones.</w:t>
      </w:r>
    </w:p>
    <w:p w:rsidR="005728DD" w:rsidRDefault="005728DD" w:rsidP="005728DD">
      <w:pPr>
        <w:pStyle w:val="TextoNormal"/>
      </w:pPr>
    </w:p>
    <w:p w:rsidR="005728DD" w:rsidRDefault="005728DD" w:rsidP="005728DD">
      <w:pPr>
        <w:pStyle w:val="TextoNormal"/>
      </w:pPr>
      <w:r>
        <w:t xml:space="preserve">Los demandantes imputan a las citadas resoluciones judiciales la vulneración del derecho de participación y representación política (art. 23 CE), en relación con la prerrogativa de la </w:t>
      </w:r>
      <w:r>
        <w:lastRenderedPageBreak/>
        <w:t xml:space="preserve">inmunidad (art. 71.2 CE), y del derecho a un proceso con todas las garantías (art. 24.2 CE). Sostienen que la Sala Segunda del Tribunal Supremo ha asumido una competencia que constitucionalmente corresponde a cada una de las cámaras de las Cortes Generales, al entender, con base en una interpretación absolutamente restrictiva de la prerrogativa de la inmunidad </w:t>
      </w:r>
      <w:r w:rsidRPr="005728DD">
        <w:rPr>
          <w:i/>
        </w:rPr>
        <w:t>ex</w:t>
      </w:r>
      <w:r>
        <w:t xml:space="preserve"> art. 71.2 CE, que solo procede solicitar la pertinente autorización a las cámaras para continuar un proceso penal dirigido contra alguno de sus miembros cuando se encuentre en la fase de instrucción o en la fase intermedia. Así pues, la Sala no ha solicitado en este caso la oportuna autorización al Congreso de los Diputados y al Senado y ha decido proseguir con el proceso penal porque las sesiones del juicio oral ya se habían iniciado cuando los demandantes fueron proclamados diputado y senador electos. Sin embargo, en opinión de los recurrentes, de los arts. 71.2 CE, 11 del Reglamento del Congreso de los Diputados (RCD), 22.1 del Reglamento del Senado (RS) y 750 y 753 LECrim cabe inferir que se debe instar la autorización de las cámaras tanto si los parlamentarios contra los que se dirige el proceso penal tienen la condición de investigados como si ya se ha dictado contra ellos auto de procesamiento.</w:t>
      </w:r>
    </w:p>
    <w:p w:rsidR="005728DD" w:rsidRDefault="005728DD" w:rsidP="005728DD">
      <w:pPr>
        <w:pStyle w:val="TextoNormal"/>
      </w:pPr>
    </w:p>
    <w:p w:rsidR="005728DD" w:rsidRDefault="005728DD" w:rsidP="005728DD">
      <w:pPr>
        <w:pStyle w:val="TextoNormal"/>
      </w:pPr>
      <w:r>
        <w:t>El abogado del Estado opone a la admisión del recurso su carácter prematuro, pues afirma que, según resulta de la STS, Sala Segunda, 459/2019, de 14 de diciembre, y del ATS, Sala Segunda, de 29 de enero de 2020, recaídos en la causa especial núm. 20907-2017, la vulneración constitucional ahora denunciada se hizo valer en el trámite de cuestiones previas y en el incidente de nulidad de actuaciones, de modo que cuando la demanda de amparo fue presentada aún permanecía abierto un cauce procesal legalmente pertinente en la vía judicial en el que plantear aquella vulneración. En cuanto a la cuestión de fondo controvertida sostiene que la doctrina constitucional sobre la prerrogativa de la inmunidad parlamentaria y una recta interpretación del art. 71.2 CE, precepto que se refiere a la imposibilidad de que puedan ser “inculpados ni procesados” los diputados o senadores “sin la previa autorización de la cámara respectiva”, han de conducir a una conclusión contraria a la defendida por los recurrentes, pues ya habían sido procesados cuando no ostentaban todavía la condición de diputado o senador, que adquirieron de forma sobrevenida durante la celebración del juicio oral, cuyas sesiones se habían iniciado tres meses antes. El juicio de inculpación no solo se había efectuado en el momento de su elección y era firme, sino que también había concluido la fase intermedia con la valoración realizada por el tribunal de que los hechos indiciariamente fijados revestían caracteres de delito (arts. 462 a 465 LECrim). En ninguno de esos dos momentos procesales previos era necesario el cumplimiento del requisito de solicitar autorización a las cámaras para la continuación del proceso penal, ya que los procesados o acusados no tenían la condición de diputado o senador, ni se había procedido siquiera a la convocatoria de elecciones generales.</w:t>
      </w:r>
    </w:p>
    <w:p w:rsidR="005728DD" w:rsidRDefault="005728DD" w:rsidP="005728DD">
      <w:pPr>
        <w:pStyle w:val="TextoNormal"/>
      </w:pPr>
    </w:p>
    <w:p w:rsidR="005728DD" w:rsidRDefault="005728DD" w:rsidP="005728DD">
      <w:pPr>
        <w:pStyle w:val="TextoNormal"/>
      </w:pPr>
      <w:r>
        <w:t xml:space="preserve">Por su parte, la representación procesal del partido político Vox aduce como primer óbice procesal a la admisión de la demanda la falta de legitimación de los recurrentes, por haber sido incapacitados para ostentar cargo electo o público durante el tiempo de la condena por la STS, Sala Segunda, 459/2019, de 14 de octubre. Además, como segundo óbice, alega que no se satisface el requisito del agotamiento de la vía judicial previa [art. 44.1 a) LOTC], ya que cuando la demanda de amparo se interpuso no había concluido el procedimiento en el que se han dictado las resoluciones judiciales recurridas, ni, por tanto, se habían agotado todos los medios de impugnación previstos. Subsidiariamente, en cuanto a la pretensión de fondo deducida, no aprecia la lesión del derecho fundamental denunciada, puesto que, como se razona en los autos impugnados, el art. 71.2 CE prevé la solicitud de suplicatorio a las </w:t>
      </w:r>
      <w:r>
        <w:lastRenderedPageBreak/>
        <w:t>cámaras en el momento procesal de la inculpación o el procesamiento, esto es, en fases procesales anteriores a la del juicio oral. De ahí que en este caso, en el que los demandantes fueron proclamados diputado y senador electos una vez iniciadas las sesiones del juicio oral, la petición de autorización a las cámaras para la continuación del proceso adolecía de fundamento.</w:t>
      </w:r>
    </w:p>
    <w:p w:rsidR="005728DD" w:rsidRDefault="005728DD" w:rsidP="005728DD">
      <w:pPr>
        <w:pStyle w:val="TextoNormal"/>
      </w:pPr>
    </w:p>
    <w:p w:rsidR="005728DD" w:rsidRDefault="005728DD" w:rsidP="005728DD">
      <w:pPr>
        <w:pStyle w:val="TextoNormal"/>
      </w:pPr>
      <w:r>
        <w:t>El Ministerio Fiscal interesa la desestimación de la demanda. Entiende, a partir del tenor literal del art. 71.2 CE, precepto que configura la inmunidad parlamentaria como una condición de procedibilidad para poder inculpar o procesar a un diputado o senador, y, sobre todo, de la finalidad de esta prerrogativa, que carecía de todo sentido la solicitud de autorización a la cámara respectiva en pleno desarrollo del juicio oral. Y es que la iniciación del proceso penal, la adopción de la prisión provisional, el procesamiento o la inculpación formal, la acusación provisional de quienes ejercían la acción penal y hasta el comienzo de las sesiones del juicio oral habían tenido lugar con bastante anterioridad a la convocatoria de elecciones. Así pues, es imposible que el proceso penal fuera emprendido o que el procesamiento fuera acordado más de un año antes de la proclamación como electos de los recurrentes con el alcance, objetivo, móvil, propósito o finalidad de perturbar el funcionamiento o composición de las cámaras, cuya conformación se produciría mucho tiempo después a partir de un eventual e imprevisible proceso electoral futuro, de existencia, además, incierta y al que no se podía saber si los demandantes concurrirían. En consecuencia, el Ministerio Fiscal considera que la interpretación de la prerrogativa de la inmunidad que se efectúa en las resoluciones judiciales impugnadas no resulta en absoluto desacorde con el art. 71.2 CE, ni con la doctrina constitucional sobre la misma, ni, en fin, irrespetuosa con su sentido, alcance y finalidad, a la vista de que los recurrentes habían adquirido la condición de diputado y senador electos no solo después de haber sido procesados, sino también de haberse abierto el juicio oral e iniciada ya la oportuna vista por unos hechos claramente desconectados de la actividad de las cámaras. Por lo tanto, no cabe apreciar la denunciada vulneración del derecho de los demandantes al ejercicio del cargo público representativo (art. 23.2 CE) ni, por consiguiente, de su derecho a un proceso con todas las garantías (art. 24.2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legitimación y agotamiento de la vía judicial previa</w:t>
      </w:r>
      <w:r>
        <w:t>.</w:t>
      </w:r>
    </w:p>
    <w:p w:rsidR="005728DD" w:rsidRDefault="005728DD" w:rsidP="005728DD">
      <w:pPr>
        <w:pStyle w:val="TextoNormal"/>
      </w:pPr>
    </w:p>
    <w:p w:rsidR="005728DD" w:rsidRDefault="005728DD" w:rsidP="005728DD">
      <w:pPr>
        <w:pStyle w:val="TextoNormal"/>
      </w:pPr>
      <w:r>
        <w:t>Con carácter previo al examen de la pretensión deducida en la demanda, debemos pronunciarnos sobre la concurrencia de los requisitos que para su admisibilidad se establecen en la Ley Orgánica de este Tribunal (LOTC), pues el incumplimiento de alguno de ellos ha sido denunciado por el abogado del Estado y la representación procesal del partido político Vox. De conformidad con una reiterada doctrina constitucional, los defectos insubsanables de que pudiera estar afectado el recurso de amparo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130/2018, de 12 de diciembre, FJ 2, y doctrina constitucional allí citada).</w:t>
      </w:r>
    </w:p>
    <w:p w:rsidR="005728DD" w:rsidRDefault="005728DD" w:rsidP="005728DD">
      <w:pPr>
        <w:pStyle w:val="TextoNormal"/>
      </w:pPr>
    </w:p>
    <w:p w:rsidR="005728DD" w:rsidRDefault="005728DD" w:rsidP="005728DD">
      <w:pPr>
        <w:pStyle w:val="TextoNormal"/>
      </w:pPr>
      <w:r>
        <w:t>A) La desestimación de la falta de legitimación de los demandantes aducida por la representación procesal del partido político Vox no precisa de una detallada argumentación.</w:t>
      </w:r>
    </w:p>
    <w:p w:rsidR="005728DD" w:rsidRDefault="005728DD" w:rsidP="005728DD">
      <w:pPr>
        <w:pStyle w:val="TextoNormal"/>
      </w:pPr>
    </w:p>
    <w:p w:rsidR="005728DD" w:rsidRDefault="005728DD" w:rsidP="005728DD">
      <w:pPr>
        <w:pStyle w:val="TextoNormal"/>
      </w:pPr>
      <w:r>
        <w:lastRenderedPageBreak/>
        <w:t>Los recurrentes ciertamente han sido condenados por la STS, Sala Segunda, 459/2019, de 4 de octubre, dictada en la causa especial núm. 20907-2017, como autores de sendos delitos de sedición y de malversación de caudales públicos, entre otras, a la pena, respectivamente, de trece y doce años de inhabilitación absoluta, con la consiguiente privación definitiva de todos los honores, empleos y cargos públicos, aunque sean electivos, e incapacidad para obtener los mismos o cualesquiera otros honores, cargos o empleos públicos y la de ser elegidos para cargo público durante el tiempo de la condena (fundamento de Derecho D.1). Es evidente, sin embargo, que la imposición de la pena de inhabilitación absoluta en la extensión expresada no les priva de capacidad procesal activa para poder promover recurso de amparo, en cuanto titulares de derechos fundamentales, entre ellos, en lo que ahora interesa, del derecho al ejercicio del cargo público representativo (art. 23.2 CE), al haber adquirido la condición de diputado y senador, y del derecho a un proceso con todas las garantías (art. 24.2 CE), contra las resoluciones judiciales interlocutorias recaídas durante el proceso, en la medida en que las estimen lesivas de sus derechos fundamentales (SSTC 293/1994, de 27 de octubre, FJ 1, y 13/2001, de 29 de enero, FJ 4).</w:t>
      </w:r>
    </w:p>
    <w:p w:rsidR="005728DD" w:rsidRDefault="005728DD" w:rsidP="005728DD">
      <w:pPr>
        <w:pStyle w:val="TextoNormal"/>
      </w:pPr>
    </w:p>
    <w:p w:rsidR="005728DD" w:rsidRDefault="005728DD" w:rsidP="005728DD">
      <w:pPr>
        <w:pStyle w:val="TextoNormal"/>
      </w:pPr>
      <w:r>
        <w:t>Así pues, los demandantes están legitimados, en cuanto titulares de los derechos fundamentales invocados, para interponer recurso de amparo contra los autos de la Sala Segunda del Tribunal Supremo que ahora impugnan por considerarlos lesivos de sus derechos fundamentales.</w:t>
      </w:r>
    </w:p>
    <w:p w:rsidR="005728DD" w:rsidRDefault="005728DD" w:rsidP="005728DD">
      <w:pPr>
        <w:pStyle w:val="TextoNormal"/>
      </w:pPr>
    </w:p>
    <w:p w:rsidR="005728DD" w:rsidRDefault="005728DD" w:rsidP="005728DD">
      <w:pPr>
        <w:pStyle w:val="TextoNormal"/>
      </w:pPr>
      <w:r>
        <w:t>B) Entre los requisitos establecidos para la admisión a trámite de una demanda de amparo se encuentra, como expresión del carácter subsidiario de este proceso constitucional, que se hayan agotado todos los medios de impugnación previstos por las normas procesales en la vía judicial antes de acudir a este tribunal [art. 44.1 a) LOTC]. En este sentido, tanto el abogado del Estado como la representación procesal del partido político Vox denuncian el carácter prematuro del recurso al no haber concluido aún la vía judicial previa en el momento de su interposición.</w:t>
      </w:r>
    </w:p>
    <w:p w:rsidR="005728DD" w:rsidRDefault="005728DD" w:rsidP="005728DD">
      <w:pPr>
        <w:pStyle w:val="TextoNormal"/>
      </w:pPr>
    </w:p>
    <w:p w:rsidR="005728DD" w:rsidRDefault="005728DD" w:rsidP="005728DD">
      <w:pPr>
        <w:pStyle w:val="TextoNormal"/>
      </w:pPr>
      <w:r>
        <w:t>a) Con carácter previo al enjuiciamiento de este óbice procesal, las alegaciones que el abogado del Estado efectúa al respecto han de ser objeto de algunas precisiones. Afirma en su escrito que “según resulta de la sentencia 459/2019, de 14 de octubre dictada en la referida causa especial y del auto del Tribunal Supremo de 29 de enero de 2020, por el que se desestima el incidente de nulidad de actuaciones interpuesto contra la sentencia anterior, FJ 10.1 B), la vulneración denunciada en el presente amparo se hizo valer así en el trámite de cuestiones previas como en el incidente de nulidad interpuesto contra la sentencia condenatoria, lo que, a juicio de esta representación, debería determinar la inadmisibilidad del presente amparo […] dado el momento procesal que se ha presentado la demanda, cuando aún permanecía abierto un cauce procesal legalmente pertinente para dilucidar las cuestiones de referencia en la vía judicial”.</w:t>
      </w:r>
    </w:p>
    <w:p w:rsidR="005728DD" w:rsidRDefault="005728DD" w:rsidP="005728DD">
      <w:pPr>
        <w:pStyle w:val="TextoNormal"/>
      </w:pPr>
    </w:p>
    <w:p w:rsidR="005728DD" w:rsidRDefault="005728DD" w:rsidP="005728DD">
      <w:pPr>
        <w:pStyle w:val="TextoNormal"/>
      </w:pPr>
      <w:r>
        <w:t xml:space="preserve">Pues bien, ha de señalarse, en primer lugar, que, no “resulta” de la citada sentencia que los demandantes de amparo hubieran planteado en el trámite de cuestiones previas la vulneración del derecho al ejercicio del cargo público representativo (art. 23.2 CE) y del derecho a un proceso con todas las garantías (art. 24.2 CE), al no haber solicitado la Sala Segunda del Tribunal Supremo autorización del Congreso de los Diputados y del Senado para continuar el proceso penal contra ellos una vez proclamados diputado y senador electos. De </w:t>
      </w:r>
      <w:r>
        <w:lastRenderedPageBreak/>
        <w:t>una parte, porque en la sentencia nada se dice sobre la inmunidad parlamentaria de los recurrentes como miembros, respectivamente, de una y otra cámara, de modo que no puede “resultar” de la evocada sentencia lo que el abogado del Estado afirma en su escrito de alegaciones. De otra parte, porque el trámite de cuestiones previas en el que se denunciaron supuestas vulneraciones de derechos fundamentales se desarrolló durante las sesiones del juicio oral celebradas los días 12, 13 y 14 de febrero de 2019. En esas fechas ni habían sido convocadas elecciones al Congreso de los Diputados y al Senado —Real Decreto 129/2019, de 4 de marzo—, ni, por lo tanto, los demandantes de amparo habían sido proclamados diputado y senador electos —3 de mayo de 2019—. Así pues, no es posible que se hubiera planteado el tema litigioso controvertido en este recurso de amparo en el trámite de cuestiones previas, como confirma el visionado de las sesiones en las que se sustanció.</w:t>
      </w:r>
    </w:p>
    <w:p w:rsidR="005728DD" w:rsidRDefault="005728DD" w:rsidP="005728DD">
      <w:pPr>
        <w:pStyle w:val="TextoNormal"/>
      </w:pPr>
    </w:p>
    <w:p w:rsidR="005728DD" w:rsidRDefault="005728DD" w:rsidP="005728DD">
      <w:pPr>
        <w:pStyle w:val="TextoNormal"/>
      </w:pPr>
      <w:r>
        <w:t>En segundo lugar, los recurrentes denunciaron en el incidente de nulidad de actuaciones promovido contra la STS, Sala Segunda, 459/2019, de 4 de octubre, que los autos de 14 de mayo y 3 de octubre de 2019 —ahora impugnados en amparo—, al denegar su petición de que se solicitase autorización del Congreso de los Diputados y del Senado para continuar el proceso penal, habían vulnerado el derecho fundamental a la participación y representación política (art. 23 CE), en relación con la garantía de la inmunidad parlamentaria (art. 71.2 CE), y el derecho a un proceso con todas las garantías (art. 24.2 CE). No es menos cierto, sin embargo, que la Sala expresamente rechaza pronunciarse en el auto que resuelve el incidente, entre otras, sobre dichas vulneraciones, al considerar “que la finalidad de este incidente no es que esta Sala se pronuncie de nuevo sobre aspectos ya valorados en resoluciones anteriores”, a cuyo contenido se remite (fundamento de Derecho 10.2.2). De modo que la Sala no vuelve a examinar en dicho auto la queja que los recurrentes reiteran ahora en sede constitucional contra los autos de 14 de mayo y 3 de octubre de 2019.</w:t>
      </w:r>
    </w:p>
    <w:p w:rsidR="005728DD" w:rsidRDefault="005728DD" w:rsidP="005728DD">
      <w:pPr>
        <w:pStyle w:val="TextoNormal"/>
      </w:pPr>
    </w:p>
    <w:p w:rsidR="005728DD" w:rsidRDefault="005728DD" w:rsidP="005728DD">
      <w:pPr>
        <w:pStyle w:val="TextoNormal"/>
      </w:pPr>
      <w:r>
        <w:t xml:space="preserve">b) Las precisiones anteriores no permiten obviar que los demandantes, sin haber finalizado el proceso </w:t>
      </w:r>
      <w:r w:rsidRPr="005728DD">
        <w:rPr>
          <w:i/>
        </w:rPr>
        <w:t>a quo</w:t>
      </w:r>
      <w:r>
        <w:t>, han acudido en amparo ante este tribunal por una supuesta vulneración de derechos fundamentales producida en el seno de un proceso penal que se hallaba aún en curso en el momento de interposición de la demanda y que hoy ya se encuentra finalizado de forma definitiva. Esta circunstancia hace necesario un pronunciamiento sobre si, en tales condiciones procesales, se puede estimar respetado el principio de subsidiariedad que caracteriza el proceso constitucional de amparo (STC 9/1992, de 16 de enero, FJ 1) y, más concretamente, si cabe entender satisfecho, como afirman los demandantes, o no, como sostienen, por el contrario, el abogado del Estado y la representación procesal del partido político Vox, el requisito establecido en el art. 44.1 a) LOTC para la admisión de la demanda, esto es, el agotamiento de la vía judicial previa mediante la interposición de los recursos pertinentes contra las resoluciones judiciales impugnadas.</w:t>
      </w:r>
    </w:p>
    <w:p w:rsidR="005728DD" w:rsidRDefault="005728DD" w:rsidP="005728DD">
      <w:pPr>
        <w:pStyle w:val="TextoNormal"/>
      </w:pPr>
    </w:p>
    <w:p w:rsidR="005728DD" w:rsidRDefault="005728DD" w:rsidP="005728DD">
      <w:pPr>
        <w:pStyle w:val="TextoNormal"/>
      </w:pPr>
      <w:r>
        <w:t xml:space="preserve">En relación con el proceso penal, este tribunal, desde la STC 147/1994, de 12 de mayo (FJ 1), cuya doctrina sintetizan más recientemente las SSTC 129/2018, 130/2018 y 131/2018 (FFJJ 6, 5 y 5, respectivamente), ha venido manteniendo como regla general que,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Así pues, “el marco natural en el que ha de intentarse la reparación del derecho constitucional vulnerado por la actuación del órgano jurisdiccional es el mismo proceso judicial previo, de tal modo que, en principio, solo cuando este haya finalizado por </w:t>
      </w:r>
      <w:r>
        <w:lastRenderedPageBreak/>
        <w:t>haber recaído una resolución firme y definitiva puede entenderse agotada la vía judicial y, consecuentemente, es posible acudir ante este tribunal en demanda de amparo”.</w:t>
      </w:r>
    </w:p>
    <w:p w:rsidR="005728DD" w:rsidRDefault="005728DD" w:rsidP="005728DD">
      <w:pPr>
        <w:pStyle w:val="TextoNormal"/>
      </w:pPr>
    </w:p>
    <w:p w:rsidR="005728DD" w:rsidRDefault="005728DD" w:rsidP="005728DD">
      <w:pPr>
        <w:pStyle w:val="TextoNormal"/>
      </w:pPr>
      <w:r>
        <w:t>Ahora bien, para preservar el libre ejercicio de los derechos fundamentales, hemos establecido —como se recuerda en las citadas SSTC 129, 130 y 131/2018— las siguientes excepciones a esa regla general:</w:t>
      </w:r>
    </w:p>
    <w:p w:rsidR="005728DD" w:rsidRDefault="005728DD" w:rsidP="005728DD">
      <w:pPr>
        <w:pStyle w:val="TextoNormal"/>
      </w:pPr>
    </w:p>
    <w:p w:rsidR="005728DD" w:rsidRDefault="005728DD" w:rsidP="005728DD">
      <w:pPr>
        <w:pStyle w:val="TextoNormal"/>
      </w:pPr>
      <w:r>
        <w:t>“i)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mayor intensidad de la lesión del derecho por su mantenimiento en el tiempo: hipótesis que, hasta la fecha, este tribunal ha acogido en relación con el derecho a la libertad personal y a la libertad sindical (SSTC 128/1995, de 26 de julio, y 27/1997, de 11 de febrero).</w:t>
      </w:r>
    </w:p>
    <w:p w:rsidR="005728DD" w:rsidRDefault="005728DD" w:rsidP="005728DD">
      <w:pPr>
        <w:pStyle w:val="TextoNormal"/>
      </w:pPr>
    </w:p>
    <w:p w:rsidR="005728DD" w:rsidRDefault="005728DD" w:rsidP="005728DD">
      <w:pPr>
        <w:pStyle w:val="TextoNormal"/>
      </w:pPr>
      <w:r>
        <w:t>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en causa penal tras orden de busca y captura del declarado rebelde), como con el derecho al juez ordinario predeterminado por la ley, aunque solo en casos en los que se reclamaba la actuación de la jurisdicción ordinaria frente a la jurisdicción militar (SSTC 161/1995, de 7 de noviembre, FJ 4, y 18/2000, de 31 de enero, FJ 2).</w:t>
      </w:r>
    </w:p>
    <w:p w:rsidR="005728DD" w:rsidRDefault="005728DD" w:rsidP="005728DD">
      <w:pPr>
        <w:pStyle w:val="TextoNormal"/>
      </w:pPr>
    </w:p>
    <w:p w:rsidR="005728DD" w:rsidRDefault="005728DD" w:rsidP="005728DD">
      <w:pPr>
        <w:pStyle w:val="TextoNormal"/>
      </w:pPr>
      <w:r>
        <w:t>iii) Por último, cabe incluir entre estas excepciones los supuestos de revocación de sentencias penales absolutorias que habilitan la posibilidad de nuevo enjuiciamiento (STC 23/2008, de 11 de febrero, FJ 2), pues el tribunal ha apreciado que en tales casos lo que está en juego es la prohibición de doble enjuiciamiento (</w:t>
      </w:r>
      <w:r w:rsidRPr="005728DD">
        <w:rPr>
          <w:i/>
        </w:rPr>
        <w:t>ne bis in idem</w:t>
      </w:r>
      <w:r>
        <w:t xml:space="preserve"> procesal), con independencia del resultado favorable o desfavorable del mismo, lo que constituye un gravamen suficiente para acudir directamente al amparo. Bien es cierto que, en estos casos, la flexibilidad se ha llevado al límite admitiendo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 (STC 130/2018, FJ 5).</w:t>
      </w:r>
    </w:p>
    <w:p w:rsidR="005728DD" w:rsidRDefault="005728DD" w:rsidP="005728DD">
      <w:pPr>
        <w:pStyle w:val="TextoNormal"/>
      </w:pPr>
    </w:p>
    <w:p w:rsidR="005728DD" w:rsidRDefault="005728DD" w:rsidP="005728DD">
      <w:pPr>
        <w:pStyle w:val="TextoNormal"/>
      </w:pPr>
      <w:r>
        <w:t>c) A la vista de la doctrina constitucional expuesta, hemos de analizar si las vulneraciones de derechos fundamentales alegadas por los demandantes pueden subsumirse en alguno de aquellos supuestos que han sido excepcionados como admisibles para poder acudir en amparo ante este tribunal sin haber finalizado la causa penal en las que se han producido.</w:t>
      </w:r>
    </w:p>
    <w:p w:rsidR="005728DD" w:rsidRDefault="005728DD" w:rsidP="005728DD">
      <w:pPr>
        <w:pStyle w:val="TextoNormal"/>
      </w:pPr>
    </w:p>
    <w:p w:rsidR="005728DD" w:rsidRDefault="005728DD" w:rsidP="005728DD">
      <w:pPr>
        <w:pStyle w:val="TextoNormal"/>
      </w:pPr>
      <w:r>
        <w:t xml:space="preserve">Los demandantes, como pone de manifiesto la argumentación en la que se sustenta su pretensión, lo que persiguen con el recurso de amparo es preservar la prerrogativa de la </w:t>
      </w:r>
      <w:r>
        <w:lastRenderedPageBreak/>
        <w:t>inmunidad parlamentaria prevista en el art. 71.2 CE, la cual, junto con las de la inviolabilidad y el aforamiento, como ya hemos tenido ocasión de declarar, “se incorpora y encuentra su acomodo natural […] en el contenido del derecho fundamental reconocido en el art. 23.2 CE […], que garantiza no solo el acceso o permanencia en el cargo público representativo, sino también los derechos y prerrogativas propios del status del cargo” (SSTC 123 y 124/2001, de 4 de junio, FFJJ 3; con cita de la STC 22/1997, de 11 de febrero, FJ 2). De modo que el derecho fundamental al ejercicio del cargo público representativo en condiciones de igualdad y con los requisitos que señalen las leyes (art. 23.2 CE) es el derecho verdaderamente nuclear y vertebrador de este recurso de amparo. Aunque en la demanda se invoca también el derecho a un proceso con todas las garantías (art. 24.2 CE), su invocación es meramente tributaria de la de aquel derecho, en cuanto la prerrogativa de la inmunidad, esto es, la necesidad de obtener la autorización de la respectiva cámara constituye un presupuesto de procedibilidad para, en palabras del art. 71.2 CE, poder “inculpar” o “procesar” a cualquiera de sus miembros, por lo que solo si se apreciara la lesión del derecho al ejercicio del cargo público representativo (art. 23.2 CE) podría entenderse vulnerado, como resultado de dicha lesión, el art. 24.2 CE, en su vertiente de derecho a un proceso con todas las garantías (STC 123/2001, FJ 3). Por lo tanto, al afectar directamente las resoluciones impugnadas a un derecho fundamental de carácter sustantivo, como es el reconocido en el art. 23.2 CE, el recurso de amparo es susceptible de ser incardinado en el primer supuesto de las excepciones señaladas a la regla general que requiere la finalización del proceso penal para entender correctamente agotada la vía judicial. De modo que en este caso no constituye una exigencia ineludible que los demandantes tengan que recorrer todo el itinerario previo hasta la conclusión definitiva del proceso para poder acudir en amparo ante este tribunal en defensa de aquel derecho fundamental.</w:t>
      </w:r>
    </w:p>
    <w:p w:rsidR="005728DD" w:rsidRDefault="005728DD" w:rsidP="005728DD">
      <w:pPr>
        <w:pStyle w:val="TextoNormal"/>
      </w:pPr>
    </w:p>
    <w:p w:rsidR="005728DD" w:rsidRDefault="005728DD" w:rsidP="005728DD">
      <w:pPr>
        <w:pStyle w:val="TextoNormal"/>
      </w:pPr>
      <w:r>
        <w:t>Además, imponerles el seguimiento exhaustivo del proceso penal en todas sus fases o etapas hasta su conclusión definitiva supondría una rigorista exigencia del cumplimiento del requisito del agotamiento de la vía judicial, que implicaría, de estimarse la pretensión de amparo, quizás no un perjuicio irreparable, pero sí, al menos, un gravamen adicional o una mayor intensidad en la lesión del derecho fundamental por su mantenimiento en el tiempo, dado el efecto perturbador que la tramitación del proceso penal hasta su conclusión podría conllevar no solo para los demandantes en el ejercicio de las funciones parlamentarias, sino también para el funcionamiento y la composición de las propias cámaras.</w:t>
      </w:r>
    </w:p>
    <w:p w:rsidR="005728DD" w:rsidRDefault="005728DD" w:rsidP="005728DD">
      <w:pPr>
        <w:pStyle w:val="TextoNormal"/>
      </w:pPr>
    </w:p>
    <w:p w:rsidR="005728DD" w:rsidRDefault="005728DD" w:rsidP="005728DD">
      <w:pPr>
        <w:pStyle w:val="TextoNormal"/>
      </w:pPr>
      <w:r>
        <w:t>La resolución judicial a la que es imputable en su origen la lesión del derecho fundamental al ejercicio del cargo público representativo (art. 23.2 CE) ha sido impugnada en amparo una vez que los demandantes han interpuesto contra ella el recurso ordinario legalmente procedente (recurso de súplica), que ha dado ocasión a la Sala Segunda del Tribunal Supremo, que conoce en única instancia de la causa especial núm. 20907-2017, de restablecer aquel derecho fundamental sustantivo presuntamente vulnerado. En definitiva, atendiendo a las concretas circunstancias que concurren en este caso, ha de entenderse agotada la vía judicial previa, sin que para ello fuera imprescindible que los demandantes hubieran esperado a la conclusión del proceso penal antes de acudir a este tribunal. Por consiguiente, debe ser desestimado el supuesto carácter prematuro del recurso de amparo.</w:t>
      </w:r>
    </w:p>
    <w:p w:rsidR="005728DD" w:rsidRDefault="005728DD" w:rsidP="005728DD">
      <w:pPr>
        <w:pStyle w:val="TextoNormal"/>
      </w:pPr>
    </w:p>
    <w:p w:rsidR="005728DD" w:rsidRDefault="005728DD" w:rsidP="005728DD">
      <w:pPr>
        <w:pStyle w:val="TextoNormal"/>
      </w:pPr>
      <w:r>
        <w:t xml:space="preserve">Sin desconocer la distinta naturaleza de una y otra prerrogativa parlamentaria, —sustantiva la de la inviolabilidad, que garantiza la irresponsabilidad jurídica de los parlamentarios por las opiniones manifestadas en el ejercicio de sus funciones, y formal la de la inmunidad, </w:t>
      </w:r>
      <w:r>
        <w:lastRenderedPageBreak/>
        <w:t>que protege a los diputados y senadores de ser detenidos salvo en caso de flagrante delito y de que puedan ser inculpados o procesados sin la previa autorización de la cámara respectiva—, la conclusión a la que hemos llegado respecto del agotamiento de la vía judicial previa se corresponde con el criterio implícitamente ya mantenido por este tribunal en la STC 30/1997, de 24 de febrero, al conocer en cuanto al fondo, sin necesidad de que se hubieran agotado todas las fases del proceso judicial, el recurso de amparo interpuesto, por vulneración del derecho al ejercicio del cargo representativo (art. 23.2 CE), frente a resoluciones judiciales que habían infringido la prerrogativa de la inviolabilidad parlamentaria al admitir a trámite una demanda contra un diputado por las expresiones vertidas con ocasión de una intervención en la cámara.</w:t>
      </w:r>
    </w:p>
    <w:p w:rsidR="005728DD" w:rsidRDefault="005728DD" w:rsidP="005728DD">
      <w:pPr>
        <w:pStyle w:val="TextoNormal"/>
      </w:pPr>
    </w:p>
    <w:p w:rsidR="005728DD" w:rsidRDefault="005728DD" w:rsidP="005728DD">
      <w:pPr>
        <w:pStyle w:val="TextoNormal"/>
      </w:pPr>
      <w:r>
        <w:t>A mayor abundamiento, sin perjuicio de lo dicho sobre el derecho fundamental nuclear y vertebrador de este recurso de amparo, el resultado de nuestro análisis sobre el requisito del agotamiento de la vía judicial previa no sería distinto en una consideración autónoma del derecho a un proceso con todas las garantías (art. 24.2 CE). En efecto, en la hipótesis de que fuera estimada su vulneración, se trataría de una lesión actual, cuyos efectos se proyectarían de manera inmediata sobre las posteriores actuaciones jurisdiccionales y que, en este caso, ha sido analizada y resuelta de modo definitivo en los autos ahora impugnados. Así pues, desde la perspectiva de este derecho fundamental, el recurso de amparo sería susceptible de ser incardinado también en la segunda de las excepciones a la regla general que impone la conclusión del proceso penal antes de acudir en amparo a este tribunal.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jurisprudencial sobre la prerrogativa de la inmunidad parlamentaria</w:t>
      </w:r>
      <w:r>
        <w:t>.</w:t>
      </w:r>
    </w:p>
    <w:p w:rsidR="005728DD" w:rsidRDefault="005728DD" w:rsidP="005728DD">
      <w:pPr>
        <w:pStyle w:val="TextoNormal"/>
      </w:pPr>
    </w:p>
    <w:p w:rsidR="005728DD" w:rsidRDefault="005728DD" w:rsidP="005728DD">
      <w:pPr>
        <w:pStyle w:val="TextoNormal"/>
      </w:pPr>
      <w:r>
        <w:t>Desestimados los motivos de inadmisión de la demanda, la cuestión de fondo controvertida estriba en determinar si la decisión de la Sala Segunda del Tribunal Supremo de no solicitar la autorización del Congreso de los Diputados y del Senado mediante la remisión del correspondiente suplicatorio para la continuación de las sesiones del juicio oral en la causa especial núm. 20907-2017, seguida, entre otros, contra los recurrentes, ha vulnerado, como estos sostienen, o no, como, por el contrario, mantienen el abogado del Estado, la representación procesal del partido político Vox y el Ministerio Fiscal, sus derechos fundamentales al ejercicio del cargo público representativo (art. 23.2 CE), en relación con el art. 71.2 CE, y a un proceso público con todas las garantías (art. 24.2 CE).</w:t>
      </w:r>
    </w:p>
    <w:p w:rsidR="005728DD" w:rsidRDefault="005728DD" w:rsidP="005728DD">
      <w:pPr>
        <w:pStyle w:val="TextoNormal"/>
      </w:pPr>
    </w:p>
    <w:p w:rsidR="005728DD" w:rsidRDefault="005728DD" w:rsidP="005728DD">
      <w:pPr>
        <w:pStyle w:val="TextoNormal"/>
      </w:pPr>
      <w:r>
        <w:t>A) Este tribunal ya ha tenido ocasión de abordar la prerrogativa de la inmunidad parlamentaria desde la perspectiva del derecho fundamental al ejercicio del cargo público representativo (art. 23.2 CE), sentando al respecto una doctrina que conviene traer a colación, puesto que puede aportar la fundamentación precisa para la resolución de la cuestión ahora en disputa.</w:t>
      </w:r>
    </w:p>
    <w:p w:rsidR="005728DD" w:rsidRDefault="005728DD" w:rsidP="005728DD">
      <w:pPr>
        <w:pStyle w:val="TextoNormal"/>
      </w:pPr>
    </w:p>
    <w:p w:rsidR="005728DD" w:rsidRDefault="005728DD" w:rsidP="005728DD">
      <w:pPr>
        <w:pStyle w:val="TextoNormal"/>
      </w:pPr>
      <w:r>
        <w:t xml:space="preserve">a) La inmunidad de la que son titulares los diputados y senadores durante el periodo de su mandato </w:t>
      </w:r>
      <w:r w:rsidRPr="005728DD">
        <w:rPr>
          <w:i/>
        </w:rPr>
        <w:t>ex</w:t>
      </w:r>
      <w:r>
        <w:t xml:space="preserve"> art. 71.2 CE se encuentra conectada con la proclamación del art. 66.3 CE de que “[l]as Cortes Generales son inviolables” y se concreta, en su dimensión material, en la excepción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En estos términos y con este alcance “nuestra Constitución ha venido a incorporar un instituto que, en la medida en que pueda suponer una paralización, </w:t>
      </w:r>
      <w:r>
        <w:lastRenderedPageBreak/>
        <w:t xml:space="preserve">siquiera temporal, de la acción de la justicia y, en su caso, del derecho fundamental a la tutela de los jueces, aparece, </w:t>
      </w:r>
      <w:r w:rsidRPr="005728DD">
        <w:rPr>
          <w:i/>
        </w:rPr>
        <w:t>prima facie</w:t>
      </w:r>
      <w:r>
        <w:t>, como una posible excepción a uno de los pilares básicos del Estado de Derecho, el sometimiento de todos al ‘imperio de la ley como expresión de la voluntad popular’ (preámbulo de la Constitución, párrafo tercero)” (STC 206/1992, de 27 de noviembre, FJ 3; doctrina reiterada en las SSTC 123 y 124/2001, FFJJ 4).</w:t>
      </w:r>
    </w:p>
    <w:p w:rsidR="005728DD" w:rsidRDefault="005728DD" w:rsidP="005728DD">
      <w:pPr>
        <w:pStyle w:val="TextoNormal"/>
      </w:pPr>
    </w:p>
    <w:p w:rsidR="005728DD" w:rsidRDefault="005728DD" w:rsidP="005728DD">
      <w:pPr>
        <w:pStyle w:val="TextoNormal"/>
      </w:pPr>
      <w:r>
        <w:t xml:space="preserve">b) La inmunidad como prerrogativa de los miembros de las Cortes Generales, que goza de idéntica legitimidad a la del resto de las instituciones constitucionales, no es, al igual que las demás prerrogativas parlamentarias, “un privilegio, es decir un derecho particular de determinados ciudadanos, que se verían, así, favorecidos respecto del resto” (STC 206/1992, FJ 3; doctrina que reitera la STC 124/2001, FJ 4), ni tampoco puede considerarse como expresión de un pretendido </w:t>
      </w:r>
      <w:r w:rsidRPr="005728DD">
        <w:rPr>
          <w:i/>
        </w:rPr>
        <w:t>ius singulare</w:t>
      </w:r>
      <w:r>
        <w:t xml:space="preserve"> (STC 22/1997, FJ 5). Las prerrogativas del art. 71 CE, entre ellas, la inmunidad, “se atribuyen a los miembros de las Cortes Generales no en atención a un interés privado de sus titulares, sino a causa de un interés general, cual es el de asegurar su libertad e independencia en tanto que reflejo de la que se garantiza al órgano constitucional al que pertenecen” (STC 22/1997, FJ 5). Así, este tribunal tiene declarado que “la inmunidad parlamentaria no puede concebirse como un privilegio personal, esto es, como un instrumento que únicamente se establece en beneficio de las personas de diputados o senadores al objeto de sustraer sus conductas del conocimiento o decisión de jueces y tribunales, [pues] la existencia de tal tipo de privilegios pugnaría, entre otras cosas, con los valores de ‘justicia’ e ‘igualdad’ que el art. 1.1 C.E. reconoce como ‘superiores’ de nuestro ordenamiento jurídico” (STC 90/1985, de 22 de julio, FJ 6; doctrina que reiteran las SSTC 123 y 124/2001, FFJJ 4).</w:t>
      </w:r>
    </w:p>
    <w:p w:rsidR="005728DD" w:rsidRDefault="005728DD" w:rsidP="005728DD">
      <w:pPr>
        <w:pStyle w:val="TextoNormal"/>
      </w:pPr>
    </w:p>
    <w:p w:rsidR="005728DD" w:rsidRDefault="005728DD" w:rsidP="005728DD">
      <w:pPr>
        <w:pStyle w:val="TextoNormal"/>
      </w:pPr>
      <w:r>
        <w:t>c) En estrecha conexión con la observación que se acaba de efectuar, conviene resaltar que el carácter objetivo de las prerrogativas parlamentarias “se refuerza […] en el caso de la inmunidad, de tal modo que la misma adquiere el sentido de una prerrogativa institucional” (STC 206/1992, FJ 3). En cuanto expresión más característica de la inviolabilidad de las Cortes Generales, “la inmunidad […] se justifica en atención al conjunto de funciones parlamentarias respecto de las que tiene, como finalidad primordial, su protección […], de ahí que el ejercicio de la facultad concreta que de la inmunidad deriva se haga en forma de decisión que la totalidad de la cámara respectiva adopta”. Y “esta protección a la que la inmunidad se orienta no lo es, sin embargo, frente a la improcedencia o a la falta de fundamentación de las acciones penales dirigidas contra los diputados y senadores”, sino frente a la amenaza de tipo político consistente en la eventualidad de que la vía penal sea utilizada, injustificada o torticeramente, con la intención de perturbar el funcionamiento de las cámaras o de alterar la composición que a las mismas le ha dado el cuerpo electoral en el ejercicio del derecho de sufragio activo (art. 23.1 CE) [STC 90/1985, FJ 6; doctrina que reiteran las SSTC 206/1992, FJ 3, 123 y 124/2001, FFJJ 4].</w:t>
      </w:r>
    </w:p>
    <w:p w:rsidR="005728DD" w:rsidRDefault="005728DD" w:rsidP="005728DD">
      <w:pPr>
        <w:pStyle w:val="TextoNormal"/>
      </w:pPr>
    </w:p>
    <w:p w:rsidR="005728DD" w:rsidRDefault="005728DD" w:rsidP="005728DD">
      <w:pPr>
        <w:pStyle w:val="TextoNormal"/>
      </w:pPr>
      <w:r>
        <w:t xml:space="preserve">En esta misma línea, hemos declarado en la STC 243/1988, de 19 de diciembre, que la inmunidad “es una prerrogativa de naturaleza formal que protege la libertad personal de los representantes populares contra detenciones y procesos judiciales que pueden desembocar en privación de libertad, en tanto que, por manipulaciones políticas, se impida al parlamentario asistir a las reuniones de las cámaras y, a consecuencia de ello, se altere indebidamente su composición y funcionamiento” [FJ 3 b); doctrina reiterada en las SSTC 9/1990, de 18 de enero, FJ 3 B); 206/1992, FJ 3, 123 y 124/2001, FFJJ 4)]. En palabras de la STC 22/1997, </w:t>
      </w:r>
      <w:r>
        <w:lastRenderedPageBreak/>
        <w:t>la prerrogativa de la inmunidad parlamentaria está orientada a “proteger a los legítimos representantes del pueblo de acciones penales con las que se pretenda […]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como forma de organización libre y plural de la vida colectiva” (FJ 6).</w:t>
      </w:r>
    </w:p>
    <w:p w:rsidR="005728DD" w:rsidRDefault="005728DD" w:rsidP="005728DD">
      <w:pPr>
        <w:pStyle w:val="TextoNormal"/>
      </w:pPr>
    </w:p>
    <w:p w:rsidR="005728DD" w:rsidRDefault="005728DD" w:rsidP="005728DD">
      <w:pPr>
        <w:pStyle w:val="TextoNormal"/>
      </w:pPr>
      <w:r>
        <w:t>En el sentido institucional de la prerrogativa, “único susceptible de preservar su legitimidad” (STC 124/2001, FJ 4), ha insistido la STC 206/1992, al señalar que no ha sido establecida por el constituyente “para generar zonas inmunes al imperio de la ley”, así como que quedaría desnaturalizada como prerrogativa institucional, “si quedase a merced del puro juego del respectivo peso de las fracciones parlamentarias” (FJ 3).</w:t>
      </w:r>
    </w:p>
    <w:p w:rsidR="005728DD" w:rsidRDefault="005728DD" w:rsidP="005728DD">
      <w:pPr>
        <w:pStyle w:val="TextoNormal"/>
      </w:pPr>
    </w:p>
    <w:p w:rsidR="005728DD" w:rsidRDefault="005728DD" w:rsidP="005728DD">
      <w:pPr>
        <w:pStyle w:val="TextoNormal"/>
      </w:pPr>
      <w:r>
        <w:t>Dijimos en la STC 124/2001, compendiando pronunciamientos anteriores, que “es en este contexto donde se sitúa la necesidad de obtener la autorización de las cámaras respectivas como condición de procedibilidad para inculpar o procesar a cualquiera de sus miembros. Lo que la Constitución ha querido es que sean las propias cámaras las que aprecien y eviten por sí mismas, en cada caso concreto y atendiendo a sus circunstancias, la eventualidad de que la vía penal sea utilizada con la intención de perturbar el funcionamiento de las cámaras o de alterar la composición que les ha dado la voluntad popular, es decir, si la inculpación o procesamiento puede producir el resultado objetivo de alterar indebidamente su composición o funcionamiento, realizando algo que no pueden llevar a cabo los órganos jurisdiccionales, como es una valoración del significado político de tales acciones (SSTC 90/1985, de 22 de julio, FJ 6; 206/1992, de 27 de noviembre, FJ 3)” [FJ 4].</w:t>
      </w:r>
    </w:p>
    <w:p w:rsidR="005728DD" w:rsidRDefault="005728DD" w:rsidP="005728DD">
      <w:pPr>
        <w:pStyle w:val="TextoNormal"/>
      </w:pPr>
    </w:p>
    <w:p w:rsidR="005728DD" w:rsidRDefault="005728DD" w:rsidP="005728DD">
      <w:pPr>
        <w:pStyle w:val="TextoNormal"/>
      </w:pPr>
      <w:r>
        <w:t>d) En fin, hemos venido declarando desde la STC 51/1985, de 10 de abril, que las prerrogativas parlamentarias, también la de la inmunidad, “han de ser interpretadas estrictamente para no devenir en privilegios que puedan lesionar derechos fundamentales de terceros, […] a partir de una comprensión del sentido de la prerrogativa misma y de los fines que esta procura” (FJ 6), esto es, “tanto en el sentido lógico de sujeción a los límites objetivos que les impone la Constitución, como en el teleológico de razonable proporcionalidad al fin al que responde, debiendo rechazarse, en consecuencia, todo criterio hermenéutico permisivo de una utilización injustificada de los privilegios” [STC 243/1988; FJ 3 a)], de modo que “no es constitucionalmente legítima una extensión legislativa (STC 186/1989) o una interpretación analógica de las mismas (STC 51/1985)” [STC 22/1997, FJ 5].</w:t>
      </w:r>
    </w:p>
    <w:p w:rsidR="005728DD" w:rsidRDefault="005728DD" w:rsidP="005728DD">
      <w:pPr>
        <w:pStyle w:val="TextoNormal"/>
      </w:pPr>
    </w:p>
    <w:p w:rsidR="005728DD" w:rsidRDefault="005728DD" w:rsidP="005728DD">
      <w:pPr>
        <w:pStyle w:val="TextoNormal"/>
      </w:pPr>
      <w:r>
        <w:t xml:space="preserve">B) Los criterios reseñados de la doctrina de este tribunal sobre las prerrogativas parlamentarias, y, en particular, sobre la inmunidad, se asemejan a los que se desprenden de la jurisprudencia del Tribunal Europeo de Derechos Humanos y del Tribunal de Justicia de la Unión Europea, que constituyen </w:t>
      </w:r>
      <w:r w:rsidRPr="005728DD">
        <w:rPr>
          <w:i/>
        </w:rPr>
        <w:t>ex</w:t>
      </w:r>
      <w:r>
        <w:t xml:space="preserve"> art. 10.2 CE un relevante elemento hermenéutico en la determinación del sentido y alcance de los derechos fundamentales que la Constitución proclama [por todas, SSTC 155/2019, de 28 de noviembre, FJ 5 B), y 97/2020, de 21 de julio, FJ 5 D)].</w:t>
      </w:r>
    </w:p>
    <w:p w:rsidR="005728DD" w:rsidRDefault="005728DD" w:rsidP="005728DD">
      <w:pPr>
        <w:pStyle w:val="TextoNormal"/>
      </w:pPr>
    </w:p>
    <w:p w:rsidR="005728DD" w:rsidRDefault="005728DD" w:rsidP="005728DD">
      <w:pPr>
        <w:pStyle w:val="TextoNormal"/>
      </w:pPr>
      <w:r>
        <w:t xml:space="preserve">a) El Tribunal Europeo de Derechos Humanos ha reconocido que el hecho de que los Estados concedan generalmente una inmunidad más o menos extensa a los miembros del parlamento constituye una antigua práctica, que tiene como finalidad la protección de la </w:t>
      </w:r>
      <w:r>
        <w:lastRenderedPageBreak/>
        <w:t xml:space="preserve">libre expresión de la cámara legislativa y el mantenimiento de la separación de los poderes legislativo y judicial. Bajo sus diferentes formas, la inmunidad parlamentaria puede servir para proteger un régimen jurídico verdaderamente democrático, que constituye la piedra angular del sistema del convenio, en la medida en que tiende a proteger la autonomía del legislador y la oposición parlamentaria. A este respecto, el tribunal de Estrasburgo lleva a cabo un control especialmente estricto cuando se trata de minorías parlamentarias. Reconoce que siempre deben protegerse las opiniones contrarias al sistema político de que se trate, incluso cuando persiguen su transformación total, pero, advierte, siempre desde la lealtad democrática: “Un aspecto fundamental de la democracia es que debe permitir que se propongan y debatan diversos programas políticos, incluso cuando ponen en tela de juicio la organización actual de un Estado, siempre que no perjudiquen a la propia democracia" (STEDH </w:t>
      </w:r>
      <w:r w:rsidRPr="005728DD">
        <w:rPr>
          <w:i/>
        </w:rPr>
        <w:t>Freedom and Democracy Party (ÖZDEP) c. Turquía</w:t>
      </w:r>
      <w:r>
        <w:t>, de 8 de diciembre de 1999, de la Gran Sala).</w:t>
      </w:r>
    </w:p>
    <w:p w:rsidR="005728DD" w:rsidRDefault="005728DD" w:rsidP="005728DD">
      <w:pPr>
        <w:pStyle w:val="TextoNormal"/>
      </w:pPr>
    </w:p>
    <w:p w:rsidR="005728DD" w:rsidRDefault="005728DD" w:rsidP="005728DD">
      <w:pPr>
        <w:pStyle w:val="TextoNormal"/>
      </w:pPr>
      <w:r>
        <w:t>Las garantías ofrecidas por la inmunidad parlamentaria en sus dos aspectos (irresponsabilidad e inviolabilidad) —señala el Tribunal Europeo de Derechos Humanos— vienen a asegurar la independencia del parlamento en el cumplimiento de sus funciones. La inmunidad jurisdiccional —inviolabilidad en la terminología de su jurisprudencia— tiene como objeto asegurar esa plena independencia previniendo toda eventualidad de procesos penales que obedezcan a móviles políticos (</w:t>
      </w:r>
      <w:r w:rsidRPr="005728DD">
        <w:rPr>
          <w:i/>
        </w:rPr>
        <w:t>fumus persecutionis</w:t>
      </w:r>
      <w:r>
        <w:t xml:space="preserve">), protegiendo así a la oposición de presiones o abusos de la mayoría. Por su parte, la protección otorgada a la libertad de expresión en el parlamento tiene por objeto proteger el interés de este último, no debiendo asumirse que solo beneficia a sus miembros (STEDH de 17 de mayo de 2016, asunto </w:t>
      </w:r>
      <w:r w:rsidRPr="005728DD">
        <w:rPr>
          <w:i/>
        </w:rPr>
        <w:t>Karácsony y otros c. Hungría</w:t>
      </w:r>
      <w:r>
        <w:t xml:space="preserve">, § 138; con referencia a las SSTEDH de 17 de diciembre de 2002, asunto </w:t>
      </w:r>
      <w:r w:rsidRPr="005728DD">
        <w:rPr>
          <w:i/>
        </w:rPr>
        <w:t>A. c. Reino Unido</w:t>
      </w:r>
      <w:r>
        <w:t xml:space="preserve">, § 85; de 3 de diciembre de 2009, asunto </w:t>
      </w:r>
      <w:r w:rsidRPr="005728DD">
        <w:rPr>
          <w:i/>
        </w:rPr>
        <w:t>Kart c. Turquía</w:t>
      </w:r>
      <w:r>
        <w:t xml:space="preserve">, § 81, y de 11 de febrero de 2010, asunto </w:t>
      </w:r>
      <w:r w:rsidRPr="005728DD">
        <w:rPr>
          <w:i/>
        </w:rPr>
        <w:t>Syngelidis c. Grecia</w:t>
      </w:r>
      <w:r>
        <w:t xml:space="preserve">, § 42; también SSTEDH de 20 de diciembre de 2016, asunto </w:t>
      </w:r>
      <w:r w:rsidRPr="005728DD">
        <w:rPr>
          <w:i/>
        </w:rPr>
        <w:t>Uspaskich c. Lituania</w:t>
      </w:r>
      <w:r>
        <w:t xml:space="preserve">, § 98, y de 22 de diciembre de 2020, asunto </w:t>
      </w:r>
      <w:r w:rsidRPr="005728DD">
        <w:rPr>
          <w:i/>
        </w:rPr>
        <w:t>Selahattin Demirtas c. Turquía</w:t>
      </w:r>
      <w:r>
        <w:t>, § 256).</w:t>
      </w:r>
    </w:p>
    <w:p w:rsidR="005728DD" w:rsidRDefault="005728DD" w:rsidP="005728DD">
      <w:pPr>
        <w:pStyle w:val="TextoNormal"/>
      </w:pPr>
    </w:p>
    <w:p w:rsidR="005728DD" w:rsidRDefault="005728DD" w:rsidP="005728DD">
      <w:pPr>
        <w:pStyle w:val="TextoNormal"/>
      </w:pPr>
      <w:r>
        <w:t xml:space="preserve">b) El Tribunal Europeo de Derechos Humanos ha admitido en el diseño de las inmunidades parlamentarias, que entra dentro del campo del derecho parlamentario, un amplio margen de apreciación a los Estados miembros, si bien considera que, desde el punto de vista de su compatibilidad con el convenio, cuando más amplia sea una inmunidad, más imperiosas deben ser las razones que puedan justificar dicha amplitud. En este sentido, postula que las inmunidades han de ser objeto de un estricto juicio de proporcionalidad cuando las conductas o hechos en cuestión no tengan conexión con la actividad parlamentaria [SSTEDH, de 20 de abril de 2006 (asunto </w:t>
      </w:r>
      <w:r w:rsidRPr="005728DD">
        <w:rPr>
          <w:i/>
        </w:rPr>
        <w:t>Patrono, Cascini y Stefanelli c. Italia</w:t>
      </w:r>
      <w:r>
        <w:t xml:space="preserve">, § 63), y de 3 de diciembre de 2009 (asunto </w:t>
      </w:r>
      <w:r w:rsidRPr="005728DD">
        <w:rPr>
          <w:i/>
        </w:rPr>
        <w:t>Kart c. Turquía</w:t>
      </w:r>
      <w:r>
        <w:t>, § 82 y 83)].</w:t>
      </w:r>
    </w:p>
    <w:p w:rsidR="005728DD" w:rsidRDefault="005728DD" w:rsidP="005728DD">
      <w:pPr>
        <w:pStyle w:val="TextoNormal"/>
      </w:pPr>
    </w:p>
    <w:p w:rsidR="005728DD" w:rsidRDefault="005728DD" w:rsidP="005728DD">
      <w:pPr>
        <w:pStyle w:val="TextoNormal"/>
      </w:pPr>
      <w:r>
        <w:t xml:space="preserve">c) En fin, por lo que se refiere en particular a la inmunidad jurisdiccional ha considerado que constituye una excepción al régimen ordinario de procedibilidad de presuntos delitos y de su enjuiciamiento, razón por la cual los Estados deben garantizar que tenga un alcance restrictivo bien delimitado, de modo que no pueda ser utilizada por los representantes políticos como instrumento para eludir la acción de la justicia (STEDH de 20 de diciembre de 2016, asunto </w:t>
      </w:r>
      <w:r w:rsidRPr="005728DD">
        <w:rPr>
          <w:i/>
        </w:rPr>
        <w:t>Uspaskich c. Lituania</w:t>
      </w:r>
      <w:r>
        <w:t>, § 91).</w:t>
      </w:r>
    </w:p>
    <w:p w:rsidR="005728DD" w:rsidRDefault="005728DD" w:rsidP="005728DD">
      <w:pPr>
        <w:pStyle w:val="TextoNormal"/>
      </w:pPr>
    </w:p>
    <w:p w:rsidR="005728DD" w:rsidRDefault="005728DD" w:rsidP="005728DD">
      <w:pPr>
        <w:pStyle w:val="TextoNormal"/>
      </w:pPr>
      <w:r>
        <w:lastRenderedPageBreak/>
        <w:t>d) Por su parte, el Tribunal de Justicia de la Unión Europea ha declarado que los objetivos del Protocolo (núm. 7) sobre los privilegios y las inmunidades de la Unión Europea se concretan en garantizar a sus instituciones una protección completa y efectiva contra cualquier impedimento o riesgo de menoscabo que pueda afectar a su buen funcionamiento y a su independencia. Objetivos que proyectados sobre el Parlamento Europeo no solo implican que su composición refleje de forma fiel y completa la libre expresión de las preferencias manifestadas por los ciudadanos de la Unión, sino también que el Parlamento Europeo quede protegido en el ejercicio de sus actividades contra cualquier impedimento o riesgo de menoscabo que pueda afectar a su buen funcionamiento.</w:t>
      </w:r>
    </w:p>
    <w:p w:rsidR="005728DD" w:rsidRDefault="005728DD" w:rsidP="005728DD">
      <w:pPr>
        <w:pStyle w:val="TextoNormal"/>
      </w:pPr>
    </w:p>
    <w:p w:rsidR="005728DD" w:rsidRDefault="005728DD" w:rsidP="005728DD">
      <w:pPr>
        <w:pStyle w:val="TextoNormal"/>
      </w:pPr>
      <w:r>
        <w:t xml:space="preserve">En esta doble vertiente —afirma el Tribunal de Justicia de la Unión Europea con referencia expresa a la jurisprudencia del Tribunal Europeo de Derechos Humanos— las inmunidades reconocidas a los miembros del Parlamento Europeo tienen por objeto garantizar la independencia de esta institución en el cumplimiento de su misión (SSTJUE de 19 de marzo de 2010, asunto </w:t>
      </w:r>
      <w:r w:rsidRPr="005728DD">
        <w:rPr>
          <w:i/>
        </w:rPr>
        <w:t>Bruno Gollnisch c. Parlamento Europeo</w:t>
      </w:r>
      <w:r>
        <w:t xml:space="preserve">, § 94; de 19 de diciembre de 2019 asunto </w:t>
      </w:r>
      <w:r w:rsidRPr="005728DD">
        <w:rPr>
          <w:i/>
        </w:rPr>
        <w:t>Oriol Junqueras</w:t>
      </w:r>
      <w:r>
        <w:t xml:space="preserve">, § 82 a 84; con cita de las SSTJUE de 10 de julio de 1986, asunto </w:t>
      </w:r>
      <w:r w:rsidRPr="005728DD">
        <w:rPr>
          <w:i/>
        </w:rPr>
        <w:t>Wybot</w:t>
      </w:r>
      <w:r>
        <w:t xml:space="preserve">, § 12 y 22; de 22 de marzo de 2007, asunto </w:t>
      </w:r>
      <w:r w:rsidRPr="005728DD">
        <w:rPr>
          <w:i/>
        </w:rPr>
        <w:t>Comisión de las Comunidades Europeas c. Bélgica</w:t>
      </w:r>
      <w:r>
        <w:t xml:space="preserve">, § 56; y ATJUE de 6 de diciembre de 1990, asunto </w:t>
      </w:r>
      <w:r w:rsidRPr="005728DD">
        <w:rPr>
          <w:i/>
        </w:rPr>
        <w:t>Zwartveld y otros</w:t>
      </w:r>
      <w:r>
        <w:t>, § 19).</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La negativa a solicitar la autorización de las cámaras para continuar el proceso penal contra los demandantes de amparo</w:t>
      </w:r>
      <w:r>
        <w:t>.</w:t>
      </w:r>
    </w:p>
    <w:p w:rsidR="005728DD" w:rsidRDefault="005728DD" w:rsidP="005728DD">
      <w:pPr>
        <w:pStyle w:val="TextoNormal"/>
      </w:pPr>
    </w:p>
    <w:p w:rsidR="005728DD" w:rsidRDefault="005728DD" w:rsidP="005728DD">
      <w:pPr>
        <w:pStyle w:val="TextoNormal"/>
      </w:pPr>
      <w:r>
        <w:t>La Sala Segunda del Tribunal Supremo funda en cuatro bloques argumentales su negativa a solicitar del Congreso de los Diputados y del Senado autorización para continuar el proceso penal contra los demandantes por haber sido proclamados diputado y senador electos, respectivamente, ya iniciada la fase de juicio oral y, en concreto, sus sesiones.</w:t>
      </w:r>
    </w:p>
    <w:p w:rsidR="005728DD" w:rsidRDefault="005728DD" w:rsidP="005728DD">
      <w:pPr>
        <w:pStyle w:val="TextoNormal"/>
      </w:pPr>
    </w:p>
    <w:p w:rsidR="005728DD" w:rsidRDefault="005728DD" w:rsidP="005728DD">
      <w:pPr>
        <w:pStyle w:val="TextoNormal"/>
      </w:pPr>
      <w:r>
        <w:t>Desde la perspectiva constitucional —primer bloque argumental—, entiende que los términos “inculpación o procesamiento” del art. 71.2 CE “son claros”. El significado de este último no le plantea ninguna dificultad, pues “[l]o que el constituyente quiso someter a autorización parlamentaria es la resolución judicial motivada que, en el seno del procedimiento ordinario por delitos (art. 384 LECrim), confiere judicialmente el ‘status’ de imputado, determinando, aun de forma interina o provisoria, la legitimación pasiva [que] constituye, al propio tiempo, presupuesto previo e indispensable de la acusación”.</w:t>
      </w:r>
    </w:p>
    <w:p w:rsidR="005728DD" w:rsidRDefault="005728DD" w:rsidP="005728DD">
      <w:pPr>
        <w:pStyle w:val="TextoNormal"/>
      </w:pPr>
    </w:p>
    <w:p w:rsidR="005728DD" w:rsidRDefault="005728DD" w:rsidP="005728DD">
      <w:pPr>
        <w:pStyle w:val="TextoNormal"/>
      </w:pPr>
      <w:r>
        <w:t>Aunque admite que no resulta “tan clara la respuesta para determinar lo que por inculpación debe entenderse”, dada la variedad y ambigüedad de términos que emplea la LECrim, considera que “[c]on independencia del sentido que se le quiera dar” a aquel vocablo, “el precepto constitucional contempla que la autorización de la cámara es precisa para la adopción de decisiones judiciales propias de la fase de instrucción o de la fase intermedia del proceso penal, ya que en tales fases es cuando se ‘inculpa o procesa’. Es decir, la necesidad de recabar la autorización parlamentaria opera en las fases procesales anteriores a la de juicio oral”.</w:t>
      </w:r>
    </w:p>
    <w:p w:rsidR="005728DD" w:rsidRDefault="005728DD" w:rsidP="005728DD">
      <w:pPr>
        <w:pStyle w:val="TextoNormal"/>
      </w:pPr>
    </w:p>
    <w:p w:rsidR="005728DD" w:rsidRDefault="005728DD" w:rsidP="005728DD">
      <w:pPr>
        <w:pStyle w:val="TextoNormal"/>
      </w:pPr>
      <w:r>
        <w:t xml:space="preserve">La Sala llega a idéntico resultado a partir del análisis de los arts. 11 RCD y 22.1 RS, dada la evidente similitud de los términos que utilizan con los del art. 71.2 CE, precisando, en relación con el inciso final del párrafo segundo del art. 22.1 RS, que “en el caso de que la persona que estando ya incursa en un proceso penal adquiera la condición de senador se </w:t>
      </w:r>
      <w:r>
        <w:lastRenderedPageBreak/>
        <w:t>precisa la autorización de la cámara, si el proceso ‘estuviere instruyéndose’, lo que supone una nueva referencia a una fase procesal anterior a la que se encuentra la presente causa”. En definitiva, “desde el análisis del bloque de constitucionalidad” llega a la conclusión de que “la autorización de la cámara y el libramiento del correspondiente suplicatorio se requiere para tomar decisiones judiciales que afecten a un parlamentario en las fases del proceso penal anteriores a la del juicio oral”.</w:t>
      </w:r>
    </w:p>
    <w:p w:rsidR="005728DD" w:rsidRDefault="005728DD" w:rsidP="005728DD">
      <w:pPr>
        <w:pStyle w:val="TextoNormal"/>
      </w:pPr>
    </w:p>
    <w:p w:rsidR="005728DD" w:rsidRDefault="005728DD" w:rsidP="005728DD">
      <w:pPr>
        <w:pStyle w:val="TextoNormal"/>
      </w:pPr>
      <w:r>
        <w:t xml:space="preserve">Desde el ámbito de la legalidad ordinaria —segundo bloque argumental— la Sala parte de la necesidad, que ya ha puesto de manifiesto en anteriores resoluciones, de llevar a cabo una interpretación conforme al art. 71.2 CE y al principio de igualdad (art. 14 CE) de los preceptos legales que regulan la prerrogativa de la inmunidad (arts. 750 a 756 LECrim y Ley de 9 de febrero de 1912 de jurisdicción y procedimiento especiales en causas contra senadores y diputados), dado su carácter preconstitucional, así como de la indispensabilidad de que esta prerrogativa, “de innegable y legítima constitucionalidad”, sea “objeto de una interpretación restrictiva”. Pues bien, desde esta perspectiva, la Sala estima que una interpretación gramatical y sistemática de aquella normativa (arts. 750 y 751 LECrim, y art. 5 de la Ley de 9 de febrero de 1912), asociada a la naturaleza de la prerrogativa, “avala la idea de que la autorización del órgano legislativo es necesaria ‘para procesar’, esto es, para atribuir a un diputado o senador electo la condición formal de parte pasiva, sujetándolo a un proceso penal que podría afectar al normal funcionamiento de las tareas legislativas”. A su juicio, “[c]arecería de justificación constitucional que el normal desarrollo de un proceso que ya se sitúa en los debates del juicio oral exija para su normalidad democrática el </w:t>
      </w:r>
      <w:r w:rsidRPr="005728DD">
        <w:rPr>
          <w:i/>
        </w:rPr>
        <w:t>nihil obstat</w:t>
      </w:r>
      <w:r>
        <w:t xml:space="preserve"> del órgano parlamentario”, dado que “[n]o forma parte de las garantías propias del estatuto personal del diputado o senador —si su incorporación a las listas y su elección ha tenido lugar cuando ya se había iniciado el juicio oral— imponer una valoración retroactiva de la incidencia que ese proceso penal puede tener en la normal actividad de las cámaras”. En otras palabras, en el caso de que la condición de diputado o senador se adquiera con posterioridad al auto de procesamiento, la mención en el art. 751, párrafo segundo, LECrim, “a un estatuto procesal muy concreto (procesado) limita la necesidad de recabar autorización a una fase procesal anterior a la del juicio oral”. En definitiva, considera que en el ámbito del procedimiento penal ordinario, por el que se tramita precisamente la causa seguida contra los ahora demandantes de amparo, “la necesidad de recabar la previa autorización de la cámara legislativa solo rige para dictar auto de procesamiento”.</w:t>
      </w:r>
    </w:p>
    <w:p w:rsidR="005728DD" w:rsidRDefault="005728DD" w:rsidP="005728DD">
      <w:pPr>
        <w:pStyle w:val="TextoNormal"/>
      </w:pPr>
    </w:p>
    <w:p w:rsidR="005728DD" w:rsidRDefault="005728DD" w:rsidP="005728DD">
      <w:pPr>
        <w:pStyle w:val="TextoNormal"/>
      </w:pPr>
      <w:r>
        <w:t>La Sala reconoce la novedad del supuesto que se le somete a consideración, lo que, sin embargo, no es impedimento —tercer bloque argumental— para que en refuerzo de “la legitimidad y corrección del criterio que ahora proclamados” invoque precedentes resoluciones propias de las que “se colige que la autorización para proceder es precisa en un momento procesal distinto y anterior al [...] de [la] celebración de[l] juicio oral”. Además entiende que la interpretación que sostiene —cuarto bloque argumental— “es consecuente con la propia naturaleza y finalidad de la prerrogativa de la inmunidad, que no es otra que evitar que se utilice el proceso penal para alterar la composición y el funcionamiento de una cámara legislativa”. En relación con esta última argumentación reproduce pasajes de las SSTC 98/1985, de 22 de julio; 206/1992, de 27 de noviembre, y 123/2001 y 124/2001, de 4 de junio.</w:t>
      </w:r>
    </w:p>
    <w:p w:rsidR="005728DD" w:rsidRDefault="005728DD" w:rsidP="005728DD">
      <w:pPr>
        <w:pStyle w:val="TextoNormal"/>
      </w:pPr>
    </w:p>
    <w:p w:rsidR="005728DD" w:rsidRDefault="005728DD" w:rsidP="005728DD">
      <w:pPr>
        <w:pStyle w:val="TextoNormal"/>
      </w:pPr>
      <w:r>
        <w:lastRenderedPageBreak/>
        <w:t>Con base en las precedentes consideraciones, la Sala concluye que “[e]ste proceso penal se inicia antes de la elección como miembro de las Cortes Generales de alguno de sus acusados”, de modo que “difícilmente podría sostenerse que su iniciación —y continuación— pretenden alterar la composición y el funcionamiento de la representación nacional que encarnan las Cortes Generales”. Así pues, “no cabe entender que el presente proceso penal menoscabe el normal funcionamiento del Congreso o el Senado, cuando las elecciones legislativas de las que se deriva su actual composición ni siquiera estaban convocadas cuando se incoó, se finalizó la instrucción, se procesó y se acusó a los hoy diputado y senador y se iniciaron las sesiones del juicio oral”. La exigencia de suplicatorio en la fase en la que se encuentra el proceso —afirma— “no constituiría un ejercicio razonable y proporcional de las prerrogativas parlamentarias, proporcionalidad que, de conformidad con la doctrina reiterada del Tribunal Europeo de Derechos Humanos […], debe evaluarse restrictivamente en los supuestos de hecho en los que, como es el caso, no existe una conexión clara entre los hechos en cuestión y la actividad parlamentaria”. En fin, aquella exigencia supondría, a su juicio, “una interferencia irrazonable en el ejercicio de la función jurisdiccional pues permitiría una ‘revisión’ o ‘control’ del poder legislativo sobre el ejercicio de la función jurisdiccional respecto a determinadas personas por el hecho de haber sido elegidos parlamentarios durante la celebración del juicio oral […], convirtiendo así la inmunidad parlamentaria en un ‘privilegio’ o ‘derecho particular’ de determinadas personas cuyo ejercicio no solo no preservaría la composición y funcionamiento de las Cortes sino que vulneraría el derecho a la tutela judicial efectiva en su vertiente de acceso a los tribunales” (fundamento de Derecho segundo).</w:t>
      </w:r>
    </w:p>
    <w:p w:rsidR="005728DD" w:rsidRDefault="005728DD" w:rsidP="005728DD">
      <w:pPr>
        <w:pStyle w:val="TextoNormal"/>
      </w:pPr>
    </w:p>
    <w:p w:rsidR="005728DD" w:rsidRDefault="005728DD" w:rsidP="005728DD">
      <w:pPr>
        <w:pStyle w:val="TextoNormal"/>
      </w:pPr>
      <w:r>
        <w:t>La Sala, al estimar, por las razones expuestas, que no era preciso en este caso solicitar autorización al Congreso de los Diputados y al Senado para la continuación del proceso penal contra los demandantes de amparo, deniega la solicitud de suspensión de las sesiones del juicio oral, ya que “la suspensión opera solo en aquellos supuestos en los que la petición de suplicatorio resulta procedente” (art. 753 LECrim, fundamento de Derecho tercero).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La regulación constitucional y legal de la prerrogativa de la inmunidad parlamentaria</w:t>
      </w:r>
      <w:r>
        <w:t>.</w:t>
      </w:r>
    </w:p>
    <w:p w:rsidR="005728DD" w:rsidRDefault="005728DD" w:rsidP="005728DD">
      <w:pPr>
        <w:pStyle w:val="TextoNormal"/>
      </w:pPr>
    </w:p>
    <w:p w:rsidR="005728DD" w:rsidRDefault="005728DD" w:rsidP="005728DD">
      <w:pPr>
        <w:pStyle w:val="TextoNormal"/>
      </w:pPr>
      <w:r>
        <w:t>Llegados aquí, hemos de afrontar la cuestión de si la interpretación que la Sala Segunda del Tribunal Supremo ha efectuado de la prerrogativa de la inmunidad parlamentaria, con base en la cual ha decidido no solicitar la autorización del Congreso de los Diputados y del Senado para continuar el proceso penal contra los demandantes de amparo porque habían sido proclamados diputado y senador electos ya iniciada la fase de juicio oral, y, en concreto, sus sesiones, vulnera el derecho fundamental de los recurrentes al ejercicio del cargo público representativo (art. 23.2 CE), por contravenir el art. 71.2 CE, y, en consecuencia, su derecho a un proceso con todas las garantías (art. 24.2 CE).</w:t>
      </w:r>
    </w:p>
    <w:p w:rsidR="005728DD" w:rsidRDefault="005728DD" w:rsidP="005728DD">
      <w:pPr>
        <w:pStyle w:val="TextoNormal"/>
      </w:pPr>
    </w:p>
    <w:p w:rsidR="005728DD" w:rsidRDefault="005728DD" w:rsidP="005728DD">
      <w:pPr>
        <w:pStyle w:val="TextoNormal"/>
      </w:pPr>
      <w:r>
        <w:t xml:space="preserve">Nuestra labor de enjuiciamiento ha de ceñirse a dilucidar, sin que proceda concebir hipótesis distintas de las que trae causa el recurso de amparo, si aquella interpretación se cohonesta o no con el alcance, sentido y finalidad con los que la prerrogativa de la inmunidad se reconoce en el texto constitucional (art. 71.2 CE) y, por consiguiente, resulta lesiva de aquellos derechos fundamentales. Hemos de reiterar, en orden a un adecuado encuadramiento de la queja de los recurrentes, que esta prerrogativa se integra en el estatus propio del cargo parlamentario, de modo que el derecho fundamental directamente afectado frente </w:t>
      </w:r>
      <w:r>
        <w:lastRenderedPageBreak/>
        <w:t>a posibles constricciones ilegítimas de la misma es el derecho al ejercicio del cargo público representativo en condiciones de igualdad y con los requisitos que señalen las leyes (art. 23.2 CE). Solo si concluyéramos que se hubiera lesionado este derecho fundamental, podría entenderse vulnerado, como resultado de esta lesión, el derecho a un proceso con todas las garantías (art. 24.2 CE; SSTC 123/2001 y 124/2001, FFJJ 3).</w:t>
      </w:r>
    </w:p>
    <w:p w:rsidR="005728DD" w:rsidRDefault="005728DD" w:rsidP="005728DD">
      <w:pPr>
        <w:pStyle w:val="TextoNormal"/>
      </w:pPr>
    </w:p>
    <w:p w:rsidR="005728DD" w:rsidRDefault="005728DD" w:rsidP="005728DD">
      <w:pPr>
        <w:pStyle w:val="TextoNormal"/>
      </w:pPr>
      <w:r>
        <w:t xml:space="preserve">a) El concreto aspecto de la prerrogativa de la inmunidad parlamentaria ahora controvertido es el relativo a la necesaria autorización de las cámaras de las Cortes Generales para dirigir un proceso penal contra sus miembros. El art. 71.2 CE dispone al respecto que estos “[n]o podrán ser inculpados ni procesados sin la previa autorización de la Cámara respectiva”. Así pues, la autorización de las cámaras ha de ser </w:t>
      </w:r>
      <w:r w:rsidRPr="005728DD">
        <w:rPr>
          <w:i/>
        </w:rPr>
        <w:t>ex Constitutione</w:t>
      </w:r>
      <w:r>
        <w:t xml:space="preserve"> previa y para “inculpar” o “procesar” a cualquiera de sus miembros. Su solicitud, por lo tanto, ha de preceder a la “inculpación” o “procesamiento” de los diputados y senadores. Ese carácter previo y la apuntada finalidad de la autorización han quedado además reflejados, como no podía ser de otro modo, en diversos pronunciamientos de este tribunal, al declarar, con unas u otras palabras, que aquella autorización se requiere “para inculpar o procesar” (STC 9/1990, FJ 4); o que la inmunidad protege a los parlamentarios “frente a inculpaciones o procesamientos” (STC 186/1989, FJ 2); o, en fin, que “la autorización a la cámara respectiva ha de ser solicitada en todo caso antes de que los diputados y senadores sean inculpados o procesados” (SSTC 123/2001 y 124/2001, FFJJ 5).</w:t>
      </w:r>
    </w:p>
    <w:p w:rsidR="005728DD" w:rsidRDefault="005728DD" w:rsidP="005728DD">
      <w:pPr>
        <w:pStyle w:val="TextoNormal"/>
      </w:pPr>
    </w:p>
    <w:p w:rsidR="005728DD" w:rsidRDefault="005728DD" w:rsidP="005728DD">
      <w:pPr>
        <w:pStyle w:val="TextoNormal"/>
      </w:pPr>
      <w:r>
        <w:t>El precepto constitucional nada dice, ni ofrece pauta alguna para determinar el significado de las expresiones “inculpados” y “procesados” (en este sentido, STC 123/2001, FJ 5). Tampoco de los trabajos parlamentarios de elaboración de la Constitución —que, conforme a una reiterada jurisprudencia constitucional, son un elemento importante de interpretación, aunque no determinante, para desentrañar el sentido y alcance de las normas (por todas, STC 137/2020, de 6 de octubre)— cabe inferir ningún criterio hermenéutico, ya que, con la salvedad de incorporar la dimensión temporal de la inmunidad al texto del informe de la ponencia constitucional, la redacción del precepto permaneció sustancialmente inalterada desde el anteproyecto de Constitución, de modo que su contenido inicial solo fue modificado por razones gramaticales.</w:t>
      </w:r>
    </w:p>
    <w:p w:rsidR="005728DD" w:rsidRDefault="005728DD" w:rsidP="005728DD">
      <w:pPr>
        <w:pStyle w:val="TextoNormal"/>
      </w:pPr>
    </w:p>
    <w:p w:rsidR="005728DD" w:rsidRDefault="005728DD" w:rsidP="005728DD">
      <w:pPr>
        <w:pStyle w:val="TextoNormal"/>
      </w:pPr>
      <w:r>
        <w:t>De otra parte, en tanto que el término “inculpados” no aparece en nuestros textos constitucionales anteriores, no ocurre lo mismo, sin embargo, con el vocablo “procesados”, que desde la Constitución de 1837 constituye la referencia al previo “permiso” o autorización” que los órganos judiciales debían solicitar de las cámaras para proceder contra su miembros, sin hacer mención a un acto procesal concreto, salvo en la Constitución de 1931, que requería aquella autorización “[si] algún juez o tribunal estimare que debe dictar auto de procesamiento contra un diputado” (art. 55).</w:t>
      </w:r>
    </w:p>
    <w:p w:rsidR="005728DD" w:rsidRDefault="005728DD" w:rsidP="005728DD">
      <w:pPr>
        <w:pStyle w:val="TextoNormal"/>
      </w:pPr>
    </w:p>
    <w:p w:rsidR="005728DD" w:rsidRDefault="005728DD" w:rsidP="005728DD">
      <w:pPr>
        <w:pStyle w:val="TextoNormal"/>
      </w:pPr>
      <w:r>
        <w:t xml:space="preserve">En fin, también es necesario constatar que el constituyente ha limitado el ámbito de protección de la prerrogativa de la inmunidad de los diputados y senadores </w:t>
      </w:r>
      <w:r w:rsidRPr="005728DD">
        <w:rPr>
          <w:i/>
        </w:rPr>
        <w:t>ex</w:t>
      </w:r>
      <w:r>
        <w:t xml:space="preserve"> art. 71.2 CE a la prohibición de detención, salvo en caso de flagrante delito, y a la previa autorización de la cámara respectiva para que puedan ser “inculpados” o “procesados”. De modo que no ha incluido en su ámbito constitucional otras facultades reconocidas a las cámaras en otros textos constitucionales, entre ellas, por ejemplo, la de dejar sin efecto la detención o el procesamiento de sus miembros o la de poder suspender la persecución o el procedimiento </w:t>
      </w:r>
      <w:r>
        <w:lastRenderedPageBreak/>
        <w:t>penal dirigido contra ellos (art. 56 de la Constitución española de 1931, art. 68 de la Constitución de la República Italiana de 1947, art. 46 de la Ley Fundamental de la República Federal de Alemania de 1949 y art. 26 de la Constitución de la República Francesa de 1958).</w:t>
      </w:r>
    </w:p>
    <w:p w:rsidR="005728DD" w:rsidRDefault="005728DD" w:rsidP="005728DD">
      <w:pPr>
        <w:pStyle w:val="TextoNormal"/>
      </w:pPr>
    </w:p>
    <w:p w:rsidR="005728DD" w:rsidRDefault="005728DD" w:rsidP="005728DD">
      <w:pPr>
        <w:pStyle w:val="TextoNormal"/>
      </w:pPr>
      <w:r>
        <w:t>Así pues, además de los condicionamientos materiales y hermenéuticos comunes e inherentes a la naturaleza jurídica de todas las prerrogativas parlamentarias, el constituyente ha acotado expresamente y con carácter individualizado cada prerrogativa, singularizando su alcance y contenido en particular (en este sentido, STC 22/1997, FJ 7). En lo que ahora interesa, el reconocimiento constitucional de la inmunidad es objeto en nuestro ordenamiento de una doble delimitación: su ámbito material, que comprende la prohibición de la detención, salvo en caso de flagrante delito, y la previa autorización de la cámara respectiva para que los diputados y senadores puedan ser “inculpados” o “procesados”; y, su ámbito temporal, que se extiende a todo el periodo del mandato parlamentario.</w:t>
      </w:r>
    </w:p>
    <w:p w:rsidR="005728DD" w:rsidRDefault="005728DD" w:rsidP="005728DD">
      <w:pPr>
        <w:pStyle w:val="TextoNormal"/>
      </w:pPr>
    </w:p>
    <w:p w:rsidR="005728DD" w:rsidRDefault="005728DD" w:rsidP="005728DD">
      <w:pPr>
        <w:pStyle w:val="TextoNormal"/>
      </w:pPr>
      <w:r>
        <w:t>b) Como hemos declarado en la STC 206/1992, la tarea de concretar y actualizar la prerrogativa de la inmunidad parlamentaria, instituto característicamente vinculado a las condiciones históricas de afirmación y de consolidación del Estado de Derecho, la encomienda la Constitución a sus destinatarios con un distinto nivel de responsabilidad. Aunque en dicha tarea está implicado en último término este tribunal, lo está antes que él, y sin poder sustituirlo, “el legislador, a quien le corresponde comprobar en qué medida las leyes procesales continúan adecuándose en su regulación a la norma constitucional vigente. Y muy particularmente están implicadas las propias cámaras integrantes de las Cortes Generales, no ya solo a través de su potestad de establecimiento de sus propios reglamentos (art. 72.1 CE), sino sobre todo a través de su tarea constante de formación de unos usos parlamentarios que siempre han sido consustanciales al régimen parlamentario y, por ende, al Estado de Derecho” (FJ 3).</w:t>
      </w:r>
    </w:p>
    <w:p w:rsidR="005728DD" w:rsidRDefault="005728DD" w:rsidP="005728DD">
      <w:pPr>
        <w:pStyle w:val="TextoNormal"/>
      </w:pPr>
    </w:p>
    <w:p w:rsidR="005728DD" w:rsidRDefault="005728DD" w:rsidP="005728DD">
      <w:pPr>
        <w:pStyle w:val="TextoNormal"/>
      </w:pPr>
      <w:r>
        <w:t>Pues bien, los reglamentos de cada una de las cámaras de las Cortes Generales (arts. 11 RCD y 22.1 RS) regulan la prerrogativa de la inmunidad y, en particular, la exigencia de autorización para poder inculpar o procesar a los diputados y senadores en términos sustancialmente idénticos a los del art. 71.2 CE, con la adición en el caso del art. 22.1 RS de un inciso final, según el cual “[e]sta autorización será también necesaria en los procedimientos que estuvieren instruyéndose contra personas que, hallándose procesadas o inculpadas, accedan al cargo de senador”. Esta última referencia procesal a las causas penales “que estuvieren instruyéndose”, según ha sido interpretada por la Sala Segunda del Tribunal Supremo a la luz del art. 71.2 CE en las resoluciones judiciales impugnadas, sitúa temporalmente la obligación de pedir suplicatorio en un momento anterior a aquel en el que la fase de instrucción ha sido judicialmente declarada conclusa.</w:t>
      </w:r>
    </w:p>
    <w:p w:rsidR="005728DD" w:rsidRDefault="005728DD" w:rsidP="005728DD">
      <w:pPr>
        <w:pStyle w:val="TextoNormal"/>
      </w:pPr>
    </w:p>
    <w:p w:rsidR="005728DD" w:rsidRDefault="005728DD" w:rsidP="005728DD">
      <w:pPr>
        <w:pStyle w:val="TextoNormal"/>
      </w:pPr>
      <w:r>
        <w:t>La Ley de 9 de febrero de 1912, de jurisdicción y procedimiento especiales en las causas contra senadores y diputados, y los arts. 750 a 756 LECrim completan la regulación de la prerrogativa. La pervivencia de esta normativa preconstitucional solo se explica por el olvido del legislador a los llamamientos efectuados por este tribunal para su actualización y acomodo al texto constitucional (STC 123/2001, FJ 5). En todo caso, la supremacía de la Constitución impone la interpretación conforme a la misma de aquella legislación.</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El derecho al ejercicio del cargo público representativo (art. 23.2 CE) y el derecho a un proceso con todas las garantías (art. 24.2 CE</w:t>
      </w:r>
      <w:r>
        <w:t>).</w:t>
      </w:r>
    </w:p>
    <w:p w:rsidR="005728DD" w:rsidRDefault="005728DD" w:rsidP="005728DD">
      <w:pPr>
        <w:pStyle w:val="TextoNormal"/>
      </w:pPr>
    </w:p>
    <w:p w:rsidR="005728DD" w:rsidRDefault="005728DD" w:rsidP="005728DD">
      <w:pPr>
        <w:pStyle w:val="TextoNormal"/>
      </w:pPr>
      <w:r>
        <w:t>En este marco normativo ha tenido que desenvolverse la Sala Segunda del Tribunal Supremo, cuya interpretación sobre el alcance de la prerrogativa de la inmunidad que efectúa en los autos impugnados, en los que, con base en los razonamientos que se recogen con detalle en el fundamento jurídico 4 de esta sentencia, determina el significado de los términos “inculpación” y “procesamiento” a partir de la legislación procesal penal vigente, no puede estimarse vulneradora del derecho de los demandantes al ejercicio del cargo público representativo (art. 23.2 CE), por no devenir contraria a las previsiones del art. 71.2 CE, ni, en consecuencia, de su derecho a un proceso público con todas las garantías (art. 24.2 CE).</w:t>
      </w:r>
    </w:p>
    <w:p w:rsidR="005728DD" w:rsidRDefault="005728DD" w:rsidP="005728DD">
      <w:pPr>
        <w:pStyle w:val="TextoNormal"/>
      </w:pPr>
    </w:p>
    <w:p w:rsidR="005728DD" w:rsidRDefault="005728DD" w:rsidP="005728DD">
      <w:pPr>
        <w:pStyle w:val="TextoNormal"/>
      </w:pPr>
      <w:r>
        <w:t>La interpretación sostenida por la Sala, en primer lugar, es conforme a la letra o al sentido exacto y propio del art. 71.2 CE (STC 9/1990, FJ 4), que configura la previa autorización de la respectiva cámara como condición de procedibilidad expresamente para inculpar o procesar a sus miembros (SSTC 123/2001 y 124/2001, FFJJ 5), no para el desarrollo de una fase posterior a las fases de instrucción o intermedia del proceso penal, en las que tiene lugar la inculpación o el procesamiento, como es la del juicio oral. En otras palabras, en su tenor, el art. 71.2 CE no requiere la previa autorización de la cámara respecto de quien, encontrándose ya procesado o inculpado, adquiera sobrevenidamente la condición de diputado o senador en la fase del juicio oral. En definitiva, la interpretación que la Sala efectúa de la prerrogativa de la inmunidad en las resoluciones judiciales recurridas es respetuosa con la redacción del citado precepto constitucional.</w:t>
      </w:r>
    </w:p>
    <w:p w:rsidR="005728DD" w:rsidRDefault="005728DD" w:rsidP="005728DD">
      <w:pPr>
        <w:pStyle w:val="TextoNormal"/>
      </w:pPr>
    </w:p>
    <w:p w:rsidR="005728DD" w:rsidRDefault="005728DD" w:rsidP="005728DD">
      <w:pPr>
        <w:pStyle w:val="TextoNormal"/>
      </w:pPr>
      <w:r>
        <w:t xml:space="preserve">De otra parte, dicho criterio hermenéutico se compadece asimismo con la interpretación necesariamente estricta que ha de hacerse de la prerrogativa de la inmunidad, al no extenderla a un supuesto que no aparece contemplado explícitamente en el texto constitucional, como es la exigencia de autorización a las cámaras para continuar el proceso penal contra quien, habiendo sido ya procesado o inculpado, es proclamado miembro electo de una de ellas durante el juicio oral. La indispensabilidad de una interpretación estricta de la prerrogativa se impone, de acuerdo con la doctrina constitucional de la que se ha dejado constancia, en la medida en que, al poder suponer “una paralización, siquiera temporal, de la acción de la justicia y, en su caso, del derecho fundamental a la tutela de los jueces, aparece </w:t>
      </w:r>
      <w:r w:rsidRPr="005728DD">
        <w:rPr>
          <w:i/>
        </w:rPr>
        <w:t>prima facie</w:t>
      </w:r>
      <w:r>
        <w:t xml:space="preserve">, como una posible excepción a uno de los pilares básicos del Estado de Derecho, el sometimiento de todos ‘al imperio de la Ley como expresión de la voluntad popular’” (STC 206/1992, FJ 3). O, lo que es lo mismo, la necesidad de una interpretación estricta del alcance de la prerrogativa resulta de la prohibición de su entendimiento como “un privilegio” personal o como expresión “de un pretendido </w:t>
      </w:r>
      <w:r w:rsidRPr="005728DD">
        <w:rPr>
          <w:i/>
        </w:rPr>
        <w:t>ius singulare</w:t>
      </w:r>
      <w:r>
        <w:t xml:space="preserve">”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 En esta misma línea, el Tribunal Europeo de Derechos Humanos se ha pronunciado, como ya se ha puesto de relieve, sobre la necesidad de dotar de un alcance restrictivo a la prerrogativa de la inmunidad, en cuanto excepción al régimen ordinario de enjuiciamiento de los delitos, a fin de evitar que sea utilizada por los representantes políticos como instrumento para eludir la acción de la justicia (STEDH asunto </w:t>
      </w:r>
      <w:r w:rsidRPr="005728DD">
        <w:rPr>
          <w:i/>
        </w:rPr>
        <w:t>Uspaskich c. Lituania</w:t>
      </w:r>
      <w:r>
        <w:t>, § 91).</w:t>
      </w:r>
    </w:p>
    <w:p w:rsidR="005728DD" w:rsidRDefault="005728DD" w:rsidP="005728DD">
      <w:pPr>
        <w:pStyle w:val="TextoNormal"/>
      </w:pPr>
    </w:p>
    <w:p w:rsidR="005728DD" w:rsidRDefault="005728DD" w:rsidP="005728DD">
      <w:pPr>
        <w:pStyle w:val="TextoNormal"/>
      </w:pPr>
      <w:r>
        <w:t xml:space="preserve">Por último, la interpretación judicial de la que discrepan los recurrentes en amparo se cohonesta con la finalidad institucional que se persigue con la prerrogativa de la inmunidad </w:t>
      </w:r>
      <w:r>
        <w:lastRenderedPageBreak/>
        <w:t>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En principio, parece evidente, como el abogado del Estado y el Ministerio Fiscal señalan en su escrito de alegaciones, que esa perturbación o alteración difícilmente se puede producir cuando el inicio del proceso penal y la conclusión de las fases de instrucción e intermedia, en las que se formaliza la inculpación o el procesamiento, tengan lugar con antelación a la adquisición de la condición de miembro de una de las cámaras legislativas. En este sentido, este tribunal ha declarado, ante la negativa a la concesión de un suplicatorio con ocasión de la presentación de una querella contra quien adquirió con posterioridad la condición de senador, que “no concurren elementos que permitan apreciar, en la interposición de la querella, la existencia de móviles o intenciones referidos al funcionamiento o composición del Senado. Al contrario, todo contribuye a poner de relieve que tales móviles o intenciones no pudieron existir, pues en el momento de formularse la querella, ni la persona frente a la que se dirigía tenía la condición de senador, ni siquiera cabía aventurar que iba a serlo, ya que todavía no se habían convocado las correspondientes elecciones, ni, en consecuencia, eran conocidas las candidaturas a estas” (STC 90/1985, FJ 7).</w:t>
      </w:r>
    </w:p>
    <w:p w:rsidR="005728DD" w:rsidRDefault="005728DD" w:rsidP="005728DD">
      <w:pPr>
        <w:pStyle w:val="TextoNormal"/>
      </w:pPr>
    </w:p>
    <w:p w:rsidR="005728DD" w:rsidRDefault="005728DD" w:rsidP="005728DD">
      <w:pPr>
        <w:pStyle w:val="TextoNormal"/>
      </w:pPr>
      <w:r>
        <w:t>Desde la perspectiva de control que a este tribunal corresponde, hemos de concluir, por lo tanto, que la interpretación que la Sala Segunda del Tribunal Supremo efectúa de la prerrogativa de la inmunidad en las resoluciones judiciales impugnadas es acorde con una correcta comprensión del sentido de la prerrogativa misma y de los fines que esta procura, tanto en el sentido lógico de sujeción a los límites objetivos que impone la Constitución, como en el teleológico de la razonable proporcionalidad al fin al que responde [SSTC 51/1985, FJ 6; 243/1988, FJ 3 A); 123/2001, y 124/2001, FFJJ 4].</w:t>
      </w:r>
    </w:p>
    <w:p w:rsidR="005728DD" w:rsidRDefault="005728DD" w:rsidP="005728DD">
      <w:pPr>
        <w:pStyle w:val="TextoNormal"/>
      </w:pPr>
    </w:p>
    <w:p w:rsidR="005728DD" w:rsidRDefault="005728DD" w:rsidP="005728DD">
      <w:pPr>
        <w:pStyle w:val="TextoNormal"/>
      </w:pPr>
      <w:r>
        <w:t>Por consiguiente, la decisión de la Sala Segunda del Tribunal Supremo, en aplicación del enjuiciado criterio hermenéutico, de no solicitar la autorización al Congreso de los Diputados y al Senado para continuar el proceso penal contra los demandantes de amparo no ha vulnerado su derecho fundamental al ejercicio del cargo público representativo (art. 23.2 CE), ni, en consecuencia, su derecho a un proceso con todas las garantías (art. 24.2 CE). En efecto, aquellos aún no tenían la condición de diputado y senador, respectivamente, al formalizarse su procesamiento —auto de 21 de marzo de 2018—, habiendo sido proclamados electos —3 de mayo de 2019— iniciada ya la fase de juicio oral —auto de 25 de octubre de 2018—, formuladas las acusaciones y muy avanzado el desarrollo de sus sesiones —12 de febrero de 2019—. Las elecciones al Congreso de los Diputados y al Senado, por disolución anticipada de las cámaras (art. 115 CE), fueron convocadas por Real Decreto 129/2019, de 4 de marzo, de modo que al inicio de la fase del juicio oral, incluso al comienzo de sus sesiones, la convocatoria electoral era cuando menos un hecho incierto, desconociéndose, por lo tanto, si los demandantes de amparo iban a formar parte de alguna de las candidaturas que pudieran presentarse. Cuando fueron proclamados electos, habían transcurrido ya tres meses desde que las sesiones del juicio dieron comienzo.</w:t>
      </w:r>
    </w:p>
    <w:p w:rsidR="005728DD" w:rsidRDefault="005728DD" w:rsidP="005728DD">
      <w:pPr>
        <w:pStyle w:val="TextoNormal"/>
      </w:pPr>
    </w:p>
    <w:p w:rsidR="005728DD" w:rsidRDefault="005728DD" w:rsidP="005728DD">
      <w:pPr>
        <w:pStyle w:val="TextoNormal"/>
      </w:pPr>
      <w:r>
        <w:t>En definitiva, el entendimiento judicial de la prerrogativa de la inmunidad parlamentaria que los demandantes cuestionan es conforme al tenor del art. 71.2 CE, se adecua a la finalidad institucional de la prerrogativa y responde a una interpretación restrictiva de la misma, de modo que la decisión de la Sala Segunda del Tribunal Supremo recurrida en amparo no merece tacha alguna de constitucionalidad.</w:t>
      </w:r>
    </w:p>
    <w:p w:rsidR="005728DD" w:rsidRDefault="005728DD" w:rsidP="005728DD">
      <w:pPr>
        <w:pStyle w:val="TextoNormal"/>
      </w:pPr>
    </w:p>
    <w:p w:rsidR="005728DD" w:rsidRDefault="005728DD" w:rsidP="005728DD">
      <w:pPr>
        <w:pStyle w:val="TextoNormal"/>
      </w:pPr>
      <w:r>
        <w:t>Por el contrario, la extensión de la prerrogativa de la inmunidad hasta el momento del dictado de la sentencia, como sostienen los recurrentes, ni se ajusta al tenor del art. 71.2 CE, ni se cohonesta con su finalidad institucional, ni es congruente con una interpretación restrictiva de la misma. Tal extensión desborda un ejercicio razonable y proporcional de la prerrogativa en detrimento de derechos fundamentales y de otros valores constitucionalmente protegidos.</w:t>
      </w:r>
    </w:p>
    <w:p w:rsidR="005728DD" w:rsidRDefault="005728DD" w:rsidP="005728DD">
      <w:pPr>
        <w:pStyle w:val="TextoNormal"/>
      </w:pPr>
    </w:p>
    <w:p w:rsidR="005728DD" w:rsidRDefault="005728DD" w:rsidP="005728DD">
      <w:pPr>
        <w:pStyle w:val="TextoNormal"/>
      </w:pPr>
      <w:r>
        <w:t xml:space="preserve">Tampoco resulta lesiva de los derechos fundamentales invocados en la demanda la decisión de la Sala de no suspender las sesiones del juicio oral, pues, como se razona en el auto de 14 de mayo de 2019, tal suspensión </w:t>
      </w:r>
      <w:r w:rsidRPr="005728DD">
        <w:rPr>
          <w:i/>
        </w:rPr>
        <w:t>ex</w:t>
      </w:r>
      <w:r>
        <w:t xml:space="preserve"> art. 753 LECrim solo procede en los supuestos en los que sea preceptivo solicitar el suplicatorio a las cámaras.</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La extrapolación de la STJUE de 19 de diciembre 2019 (asunto C-502/19) al recurso de amparo</w:t>
      </w:r>
      <w:r>
        <w:t>.</w:t>
      </w:r>
    </w:p>
    <w:p w:rsidR="005728DD" w:rsidRDefault="005728DD" w:rsidP="005728DD">
      <w:pPr>
        <w:pStyle w:val="TextoNormal"/>
      </w:pPr>
    </w:p>
    <w:p w:rsidR="005728DD" w:rsidRDefault="005728DD" w:rsidP="005728DD">
      <w:pPr>
        <w:pStyle w:val="TextoNormal"/>
      </w:pPr>
      <w:r>
        <w:t>Los recurrentes, en el trámite de alegaciones del art. 55.2 LOTC, traen a colación la STJUE de 19 de diciembre de 2019, recaída en el asunto C-502/19, que consideran extrapolable al presente recurso de amparo.</w:t>
      </w:r>
    </w:p>
    <w:p w:rsidR="005728DD" w:rsidRDefault="005728DD" w:rsidP="005728DD">
      <w:pPr>
        <w:pStyle w:val="TextoNormal"/>
      </w:pPr>
    </w:p>
    <w:p w:rsidR="005728DD" w:rsidRDefault="005728DD" w:rsidP="005728DD">
      <w:pPr>
        <w:pStyle w:val="TextoNormal"/>
      </w:pPr>
      <w:r>
        <w:t>La sentencia resuelve una cuestión prejudicial planteada por la Sala Segunda del Tribunal Supremo en una pieza separa de la causa especial núm. 20907-2017, con motivo del recurso de súplica interpuesto por el ahora demandante don Oriol Junqueras Vies contra la denegación de un permiso penitenciario para acudir a la Junta Electoral Central para acatar la Constitución (art. 224 de la Ley Orgánica del régimen electoral general) tras ser proclamado diputado electo del Parlamento Europeo en las elecciones de 26 de mayo de 2019. El Tribunal de Justicia de la Unión Europea se pronuncia en dicha sentencia sobre el alcance de la inmunidad de la que gozan los miembros del citado Parlamento cuando se dirijan al lugar de reunión de la cámara o regresen de este (inmunidad de desplazamiento), en particular, cuando se dirijan a la primera reunión para la celebración de la sesión constitutiva de la nueva legislatura y la verificación de las credenciales al objeto de tomar posesión del mandato [art. 9, párrafo segundo, del Protocolo (núm. 7) sobre los privilegios y las inmunidades de la Unión], y sobre si esta inmunidad implica el levantamiento de la medida de prisión provisional impuesta a un diputado electo al objeto de poder desplazarse a esa primera reunión.</w:t>
      </w:r>
    </w:p>
    <w:p w:rsidR="005728DD" w:rsidRDefault="005728DD" w:rsidP="005728DD">
      <w:pPr>
        <w:pStyle w:val="TextoNormal"/>
      </w:pPr>
    </w:p>
    <w:p w:rsidR="005728DD" w:rsidRDefault="005728DD" w:rsidP="005728DD">
      <w:pPr>
        <w:pStyle w:val="TextoNormal"/>
      </w:pPr>
      <w:r>
        <w:t>La patente ausencia de identidad de la materia objeto de dicha sentencia con el asunto controvertido en este proceso —la necesidad o no de solicitar autorización de las cámaras de las Cortes Generales para continuar las sesiones del juicio oral contra los demandantes de amparo—, y la singularidad de los estatutos de los miembros de las asambleas concernidas en aquella —Parlamento Europeo— y en este —Congreso de los Diputados y Senado— ponen por sí mismos en evidencia la improcedencia de la extrapolación solicitada por los demandantes, huérfana de argumentación. Al respecto, resulta pertinente recordar que “ni existe, ni es concebible hoy, Derecho de la Unión Europea que discipline el concreto estatus de los representes elegidos para integrar los parlamentos de los estados miembros” [STC 97/2020, FJ 6 B) e)].</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Oriol Junqueras Vies y don Raül Romeva Rueda.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4" w:name="SENTENCIA_2021_71"/>
      <w:r>
        <w:lastRenderedPageBreak/>
        <w:t>SENTENCIA 71/2021, de 18 de marzo de 2021</w:t>
      </w:r>
    </w:p>
    <w:bookmarkEnd w:id="74"/>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ECLI:ES:TC:2021:71</w:t>
      </w:r>
    </w:p>
    <w:p w:rsidR="005728DD" w:rsidRDefault="005728DD" w:rsidP="005728DD">
      <w:pPr>
        <w:pStyle w:val="TextoNormalCentrado"/>
      </w:pPr>
    </w:p>
    <w:p w:rsidR="005728DD" w:rsidRDefault="005728DD" w:rsidP="005728DD">
      <w:pPr>
        <w:pStyle w:val="SntesisDescriptiva"/>
      </w:pPr>
      <w:r>
        <w:t>Recurso de amparo 6720-2019. Promovido por don Jordi Sánchez i Picanyol, don Josep Rull i Andreu y don Jordi Turull i Negre respecto de los autos de la Sala de lo Penal del Tribunal Supremo que acuerdan continuar, sin solicitar autorización del Congreso de los Diputados y del Senado, la vista oral en causa especial, entre otros, por los delitos de rebelión y sedición.</w:t>
      </w:r>
    </w:p>
    <w:p w:rsidR="005728DD" w:rsidRDefault="005728DD" w:rsidP="005728DD">
      <w:pPr>
        <w:pStyle w:val="SntesisDescriptiva"/>
      </w:pPr>
    </w:p>
    <w:p w:rsidR="005728DD" w:rsidRDefault="005728DD" w:rsidP="005728DD">
      <w:pPr>
        <w:pStyle w:val="SntesisAnaltica"/>
      </w:pPr>
      <w:r>
        <w:t>Supuesta vulneración de los derechos al ejercicio del cargo público representativo y a un proceso con todas las garantías: resoluciones judiciales que parten de una adecuada comprensión de la prerrogativa de inmunidad parlamentaria; improcedencia de extrapolar la doctrina de la STJUE de 19 de diciembre 2019.</w:t>
      </w:r>
    </w:p>
    <w:p w:rsidR="005728DD" w:rsidRDefault="005728DD" w:rsidP="005728DD">
      <w:pPr>
        <w:pStyle w:val="SntesisAnaltica"/>
      </w:pPr>
    </w:p>
    <w:p w:rsidR="005728DD" w:rsidRDefault="005728DD" w:rsidP="005728DD">
      <w:pPr>
        <w:pStyle w:val="Extracto"/>
      </w:pPr>
      <w:r>
        <w:t>1.</w:t>
      </w:r>
      <w:r>
        <w:tab/>
        <w:t>El Tribunal reitera la doctrina dictada en la STC 70/2021 en materias de garantías de la inmunidad parlamentaria (art. 71.2 CE) y derechos fundamentales a la participación y representación política (art. 23 CE) y a un proceso con todas las garantías (art. 24.2 CE) [FFJJ 3 a 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don Juan José González Rivas, presidente, la magistrada doña Encarnación Roca Trías, los magistrados don Andrés Ollero Tassara, don Santiago Martínez-Vares García, don Juan Antonio Xiol Ríos, don Pedro José González-Trevijano Sánchez,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6720-2019, promovido por don Jordi Sánchez i Picanyol, don Josep Rull i Andreu y don Jordi Turull i Negre, representados por el procurador de los tribunales don Aníbal Bordallo Huidobro y asistidos por el letrado don Jordi Pina Massachs, contra el auto de la Sala Segunda del Tribunal Supremo, de 14 de mayo de 2019, confirmado en súplica por auto de 3 de octubre de 2019, que acuerda no haber lugar a solicitar autorización al Congreso de los Diputados para continuar el juicio oral contra los demandantes de amparo en la causa especial núm. 20907-2017, ni a suspender sus sesiones. Han sido parte don Oriol Junqueras Vies y don Raül Romeva Rueda, representados por la procuradora de los tribunales doña Celia López Ariza; el partido político Vox, representado por la procuradora de los tribunales doña María del Pilar Hidalgo López; don Carles Puigdemont i Casamajó, representado por el procurador de los tribunales don Carlos Ricardo Estévez Sanz; y </w:t>
      </w:r>
      <w:r>
        <w:lastRenderedPageBreak/>
        <w:t>el abogado del Estado.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día 21 de noviembre de 2019, don Aníbal Bordallo Huidobro, procurador de los tribunales, en nombre y representación de don Jordi Sánchez i Picanyol, don Josep Rull i Andreu y don Jordi Turull i Negre, interpuso recurso de amparo contra las resoluciones judiciales a las que se ha hecho mención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el examen de la pretensión de amparo son, sucintamente expuestos, los siguientes:</w:t>
      </w:r>
    </w:p>
    <w:p w:rsidR="005728DD" w:rsidRDefault="005728DD" w:rsidP="005728DD">
      <w:pPr>
        <w:pStyle w:val="TextoNormal"/>
      </w:pPr>
    </w:p>
    <w:p w:rsidR="005728DD" w:rsidRDefault="005728DD" w:rsidP="005728DD">
      <w:pPr>
        <w:pStyle w:val="TextoNormal"/>
      </w:pPr>
      <w:r>
        <w:t>a) El Ministerio Fiscal formuló denuncia por delito de sedición por los hechos ocurridos los días 20 y 21 de septiembre de 2017 en Barcelona contra don Jordi Sánchez i Picanyol y otras personas, que fue turnada al Juzgado Central de Instrucción núm. 3 de la Audiencia Nacional, que, por auto de 27 de septiembre de 2017, incoó las diligencias previas núm. 82-2017 por delito de sedición. Tras ser recibidas dos declaraciones como investigado se acordó, por auto de 16 de octubre de 2017, la prisión provisional de don Jordi Sánchez i Picanyol.</w:t>
      </w:r>
    </w:p>
    <w:p w:rsidR="005728DD" w:rsidRDefault="005728DD" w:rsidP="005728DD">
      <w:pPr>
        <w:pStyle w:val="TextoNormal"/>
      </w:pPr>
    </w:p>
    <w:p w:rsidR="005728DD" w:rsidRDefault="005728DD" w:rsidP="005728DD">
      <w:pPr>
        <w:pStyle w:val="TextoNormal"/>
      </w:pPr>
      <w:r>
        <w:t>b) El día 30 de octubre de 2017, el fiscal general del Estado presentó dos querellas por unos mismos hechos que consideraba que podían ser constitutivos de delitos de rebelión [art. 472 del Código penal (CP)], sedición (art. 544 CP), malversación de caudales públicos (art. 432 CP) y/o desobediencia (art. 410 CP)]. La primera se presentó ante el Juzgado Central de Instrucción de guardia de la Audiencia Nacional y se dirigió contra “todos los que fueron miembros del Consell Executiu del Govern de la Generalitat, en la actualidad cesados”. Esta querella fue acumulada a las antes citadas diligencias previas núm. 82-2017 que se seguían ante el Juzgado Central de Instrucción núm. 3.</w:t>
      </w:r>
    </w:p>
    <w:p w:rsidR="005728DD" w:rsidRDefault="005728DD" w:rsidP="005728DD">
      <w:pPr>
        <w:pStyle w:val="TextoNormal"/>
      </w:pPr>
    </w:p>
    <w:p w:rsidR="005728DD" w:rsidRDefault="005728DD" w:rsidP="005728DD">
      <w:pPr>
        <w:pStyle w:val="TextoNormal"/>
      </w:pPr>
      <w:r>
        <w:t>La segunda querella se formuló ante la Sala Segunda del Tribunal Supremo. Iba dirigida contra la presidenta del Parlamento de Cataluña y cinco miembros de la mesa de la Cámara que, salvo uno de ellos, conservaban en ese momento la condición de aforados por pertenecer a la diputación permanente. Esta querella fue admitida a trámite mediante auto de 31 de octubre de 2017, confirmado en súplica por auto de 18 de diciembre de 2017, dando lugar a la causa especial núm. 20907-2017.</w:t>
      </w:r>
    </w:p>
    <w:p w:rsidR="005728DD" w:rsidRDefault="005728DD" w:rsidP="005728DD">
      <w:pPr>
        <w:pStyle w:val="TextoNormal"/>
      </w:pPr>
    </w:p>
    <w:p w:rsidR="005728DD" w:rsidRDefault="005728DD" w:rsidP="005728DD">
      <w:pPr>
        <w:pStyle w:val="TextoNormal"/>
      </w:pPr>
      <w:r>
        <w:t>c) Por auto del magistrado instructor de 24 de noviembre de 2017, se acordó en la causa especial núm. 20907-2017 ampliar el espacio subjetivo de la investigación y reclamar al Juzgado Central de Instrucción núm. 3 de la Audiencia Nacional las actuaciones obrantes en las diligencias previas núm. 82-2017.</w:t>
      </w:r>
    </w:p>
    <w:p w:rsidR="005728DD" w:rsidRDefault="005728DD" w:rsidP="005728DD">
      <w:pPr>
        <w:pStyle w:val="TextoNormal"/>
      </w:pPr>
    </w:p>
    <w:p w:rsidR="005728DD" w:rsidRDefault="005728DD" w:rsidP="005728DD">
      <w:pPr>
        <w:pStyle w:val="TextoNormal"/>
      </w:pPr>
      <w:r>
        <w:t xml:space="preserve">d) Por auto del magistrado instructor de 21 de marzo de 2018, don Oriol Junqueras Vies, don Jordi Turull i Negre, don Raül Romeva i Rueda, don Josep Rull i Andreu y don Jordi Sánchez i Picanyol, entre otros, fueron procesados en la causa especial núm. 20907-2017 </w:t>
      </w:r>
      <w:r>
        <w:lastRenderedPageBreak/>
        <w:t>por delitos de rebelión y de malversación de caudales públicos (arts. 472 y concordantes y 432 y concordantes, respectivamente, CP).</w:t>
      </w:r>
    </w:p>
    <w:p w:rsidR="005728DD" w:rsidRDefault="005728DD" w:rsidP="005728DD">
      <w:pPr>
        <w:pStyle w:val="TextoNormal"/>
      </w:pPr>
    </w:p>
    <w:p w:rsidR="005728DD" w:rsidRDefault="005728DD" w:rsidP="005728DD">
      <w:pPr>
        <w:pStyle w:val="TextoNormal"/>
      </w:pPr>
      <w:r>
        <w:t>Por autos del magistrado instructor y de la sala de apelaciones de la Sala Segunda del Tribunal Supremo, de 9 de mayo y de 26 de junio de 2018, fueron desestimados los recursos de reforma y apelación interpuestos contra el anterior auto de 21 de marzo de 2018.</w:t>
      </w:r>
    </w:p>
    <w:p w:rsidR="005728DD" w:rsidRDefault="005728DD" w:rsidP="005728DD">
      <w:pPr>
        <w:pStyle w:val="TextoNormal"/>
      </w:pPr>
    </w:p>
    <w:p w:rsidR="005728DD" w:rsidRDefault="005728DD" w:rsidP="005728DD">
      <w:pPr>
        <w:pStyle w:val="TextoNormal"/>
      </w:pPr>
      <w:r>
        <w:t>e) Por auto del magistrado instructor de 23 de marzo de 2018, se acordó la prisión provisional de don Jordi Turull i Negre y de don Josep Rull i Andreu, que fue confirmada en apelación por auto de la sala de apelaciones de la Sala Segunda del Tribunal Supremo de 17 de mayo de 2018.</w:t>
      </w:r>
    </w:p>
    <w:p w:rsidR="005728DD" w:rsidRDefault="005728DD" w:rsidP="005728DD">
      <w:pPr>
        <w:pStyle w:val="TextoNormal"/>
      </w:pPr>
    </w:p>
    <w:p w:rsidR="005728DD" w:rsidRDefault="005728DD" w:rsidP="005728DD">
      <w:pPr>
        <w:pStyle w:val="TextoNormal"/>
      </w:pPr>
      <w:r>
        <w:t>f) Por auto del magistrado instructor de 9 de julio de 2018, se acordó declarar la conclusión del sumario y remitir los autos y piezas de convicción al tribunal competente para conocer del mismo.</w:t>
      </w:r>
    </w:p>
    <w:p w:rsidR="005728DD" w:rsidRDefault="005728DD" w:rsidP="005728DD">
      <w:pPr>
        <w:pStyle w:val="TextoNormal"/>
      </w:pPr>
    </w:p>
    <w:p w:rsidR="005728DD" w:rsidRDefault="005728DD" w:rsidP="005728DD">
      <w:pPr>
        <w:pStyle w:val="TextoNormal"/>
      </w:pPr>
      <w:r>
        <w:t>Por auto de 25 de octubre de 2018 de la Sala Segunda del Tribunal Supremo se acordó confirmar el auto de conclusión de sumario y declarar abierto el juicio oral contra, entre otros, don Jordi Sánchez i Picanyol, don Jordi Turull i Negre y don Josep Rull i Andreu por los hechos que en el auto de procesamiento se calificaron como delitos de rebelión y de malversación de caudales públicos (arts. 472 y concordantes y 432 y concordantes, respectivamente, CP).</w:t>
      </w:r>
    </w:p>
    <w:p w:rsidR="005728DD" w:rsidRDefault="005728DD" w:rsidP="005728DD">
      <w:pPr>
        <w:pStyle w:val="TextoNormal"/>
      </w:pPr>
    </w:p>
    <w:p w:rsidR="005728DD" w:rsidRDefault="005728DD" w:rsidP="005728DD">
      <w:pPr>
        <w:pStyle w:val="TextoNormal"/>
      </w:pPr>
      <w:r>
        <w:t>g) Formulados los escritos de acusación por el Ministerio Fiscal, el abogado del Estado y la acusación particular y presentado por la representación procesal de don Jordi Sánchez i Picanyol, don Jordi Turull i Negre y don Josep Rull i Andreu, escrito de conclusiones provisionales, el día 1 de febrero de 2019 se dictó auto de admisión de pruebas y a continuación se señaló el desarrollo del juicio oral, cuyas sesiones se celebraron los días 12, 13, 14, 19, 20, 21, 26, 27 y 28 de febrero; 4, 5, 6, 7, 11, 12, 13, 14, 19, 20, 21, 25, 26, 27 y 28 de marzo; 2, 3, 4, 9, 10, 11, 15, 16, 17, 23, 24, 25, 29 y 30 de abril; 6, 7, 8, 9, 13, 14, 22, 23, 27, 28 y 29 de mayo, y 4, 11 y 12 de junio de 2019.</w:t>
      </w:r>
    </w:p>
    <w:p w:rsidR="005728DD" w:rsidRDefault="005728DD" w:rsidP="005728DD">
      <w:pPr>
        <w:pStyle w:val="TextoNormal"/>
      </w:pPr>
    </w:p>
    <w:p w:rsidR="005728DD" w:rsidRDefault="005728DD" w:rsidP="005728DD">
      <w:pPr>
        <w:pStyle w:val="TextoNormal"/>
      </w:pPr>
      <w:r>
        <w:t>h) Por Real Decreto 129/2019, de 4 de marzo, se disolvieron el Congreso de los Diputados y el Senado elegidos el día 26 de junio de 2016 y se convocaron elecciones a ambas cámaras que se celebraron el día 28 de abril de 2019.</w:t>
      </w:r>
    </w:p>
    <w:p w:rsidR="005728DD" w:rsidRDefault="005728DD" w:rsidP="005728DD">
      <w:pPr>
        <w:pStyle w:val="TextoNormal"/>
      </w:pPr>
    </w:p>
    <w:p w:rsidR="005728DD" w:rsidRDefault="005728DD" w:rsidP="005728DD">
      <w:pPr>
        <w:pStyle w:val="TextoNormal"/>
      </w:pPr>
      <w:r>
        <w:t>Don Jordi Sánchez i Picanyol, don Jordi Turull i Negre y don Josep Rull i Andreu concurrieron como candidatos en dichas elecciones al Congreso de los Diputados por las circunscripciones de Barcelona, Lleida y Tarragona, respectivamente, en las listas presentadas por la coalición Junts per Catalunya-Junts (JxCAT-Junts). Fueron proclamados diputados electos por acuerdos de las juntas electorales provinciales de Barcelona, Lleida y Tarragona, de 3 de mayo, el primero, y de 2 de mayo, el segundo y el tercero, de 2019.</w:t>
      </w:r>
    </w:p>
    <w:p w:rsidR="005728DD" w:rsidRDefault="005728DD" w:rsidP="005728DD">
      <w:pPr>
        <w:pStyle w:val="TextoNormal"/>
      </w:pPr>
    </w:p>
    <w:p w:rsidR="005728DD" w:rsidRDefault="005728DD" w:rsidP="005728DD">
      <w:pPr>
        <w:pStyle w:val="TextoNormal"/>
      </w:pPr>
      <w:r>
        <w:t>i) La representación procesal de los demandantes de amparo, por escrito de fecha 8 de mayo de 2019, solicitó, entre otras peticiones, que se alzase la situación de prisión preventiva de sus representados y se acordarse su libertad, se suspendieran las sesiones del juicio oral y se pidiese autorización al Congreso de los Diputados para la continuación del proceso penal contra ellos mediante la remisión del correspondiente suplicatorio.</w:t>
      </w:r>
    </w:p>
    <w:p w:rsidR="005728DD" w:rsidRDefault="005728DD" w:rsidP="005728DD">
      <w:pPr>
        <w:pStyle w:val="TextoNormal"/>
      </w:pPr>
    </w:p>
    <w:p w:rsidR="005728DD" w:rsidRDefault="005728DD" w:rsidP="005728DD">
      <w:pPr>
        <w:pStyle w:val="TextoNormal"/>
      </w:pPr>
      <w:r>
        <w:t>La Sala Segunda del Tribunal Supremo, por auto de 14 de mayo de 2019, desestimó dichas solicitudes, si bien autorizó la salida del centro penitenciario de los demandantes para que pudieran asistir a las sesión constitutiva del Congreso de los Diputados convocada para el 21 de mayo siguiente.</w:t>
      </w:r>
    </w:p>
    <w:p w:rsidR="005728DD" w:rsidRDefault="005728DD" w:rsidP="005728DD">
      <w:pPr>
        <w:pStyle w:val="TextoNormal"/>
      </w:pPr>
    </w:p>
    <w:p w:rsidR="005728DD" w:rsidRDefault="005728DD" w:rsidP="005728DD">
      <w:pPr>
        <w:pStyle w:val="TextoNormal"/>
      </w:pPr>
      <w:r>
        <w:t>j) La representación procesal de los demandantes interpuso recurso de súplica contra el anterior auto, que fue desestimado por auto de 3 de octubre de 2019.</w:t>
      </w:r>
    </w:p>
    <w:p w:rsidR="005728DD" w:rsidRDefault="005728DD" w:rsidP="005728DD">
      <w:pPr>
        <w:pStyle w:val="TextoNormal"/>
      </w:pPr>
    </w:p>
    <w:p w:rsidR="005728DD" w:rsidRDefault="005728DD" w:rsidP="005728DD">
      <w:pPr>
        <w:pStyle w:val="TextoNormal"/>
      </w:pPr>
      <w:r w:rsidRPr="005728DD">
        <w:rPr>
          <w:rStyle w:val="NumeroAFNegritaCaracter"/>
        </w:rPr>
        <w:t>3</w:t>
      </w:r>
      <w:r>
        <w:t>. En cuanto a la fundamentación jurídica de la demanda de amparo, los recurrentes imputan a las resoluciones judiciales impugnadas la vulneración del derecho a la participación y representación política (art. 23 CE), en relación con la prerrogativa de la inmunidad parlamentaria (art. 71.2 CE), y del derecho a un proceso con todas las garantías (art. 24.2 CE).</w:t>
      </w:r>
    </w:p>
    <w:p w:rsidR="005728DD" w:rsidRDefault="005728DD" w:rsidP="005728DD">
      <w:pPr>
        <w:pStyle w:val="TextoNormal"/>
      </w:pPr>
    </w:p>
    <w:p w:rsidR="005728DD" w:rsidRDefault="005728DD" w:rsidP="005728DD">
      <w:pPr>
        <w:pStyle w:val="TextoNormal"/>
      </w:pPr>
      <w:r>
        <w:t>a) Comienza por referirse a la especial trascendencia constitucional del recurso que radica en el hecho de que se ha seguido un procedimiento penal, que se encuentra en la fase de juicio oral, contra parlamentarios sin haber solicitado la oportuna autorización a la cámara [art. 751 de la Ley de enjuiciamiento criminal (LECrim)]. El recurso, por lo tanto, permitirá aclarar si la interpretación restrictiva que se hace en las resoluciones judiciales impugnadas del art. 71.2 CE, en el sentido de excluir la necesidad de requerir la preceptiva autorización de las cámaras legislativas cuando el proceso penal se halla en la fase de juicio oral, esto es, en una fase posterior al procesamiento, es compatible con los derechos políticos reconocidos en el art. 23 CE.</w:t>
      </w:r>
    </w:p>
    <w:p w:rsidR="005728DD" w:rsidRDefault="005728DD" w:rsidP="005728DD">
      <w:pPr>
        <w:pStyle w:val="TextoNormal"/>
      </w:pPr>
    </w:p>
    <w:p w:rsidR="005728DD" w:rsidRDefault="005728DD" w:rsidP="005728DD">
      <w:pPr>
        <w:pStyle w:val="TextoNormal"/>
      </w:pPr>
      <w:r>
        <w:t>b) Las decisiones judiciales recurridas al interpretar de forma restrictiva la prerrogativa de la inmunidad parlamentaria (art. 71.2 CE) vulneran, a juicio de los demandantes, el derecho fundamental a la representación política y al acceso de los cargos públicos representativos (art. 23 CE).</w:t>
      </w:r>
    </w:p>
    <w:p w:rsidR="005728DD" w:rsidRDefault="005728DD" w:rsidP="005728DD">
      <w:pPr>
        <w:pStyle w:val="TextoNormal"/>
      </w:pPr>
    </w:p>
    <w:p w:rsidR="005728DD" w:rsidRDefault="005728DD" w:rsidP="005728DD">
      <w:pPr>
        <w:pStyle w:val="TextoNormal"/>
      </w:pPr>
      <w:r>
        <w:t>El art. 71.2 CE viene a consagrar la inmunidad parlamentaria en tanto que prerrogativa que afecta de manera directa a la esfera personal de los parlamentarios, dando así cabida a una institución de largo recorrido histórico, pero con un presente debatido y cuestionado hasta su más honda raíz. No se trata de un privilegio personal, sino de una medida de garantía de la representación política que expresan las asambleas legislativas después de un proceso electoral. Los reglamentos del Congreso de los Diputados (RCD) y del Senado (RS) la regulan, respectivamente, en sus arts. 11 y 12. Surte efecto desde la proclamación como diputado o senador electos, esto es, antes de cumplir los requisitos para adquirir la condición plena de diputado o senador.</w:t>
      </w:r>
    </w:p>
    <w:p w:rsidR="005728DD" w:rsidRDefault="005728DD" w:rsidP="005728DD">
      <w:pPr>
        <w:pStyle w:val="TextoNormal"/>
      </w:pPr>
    </w:p>
    <w:p w:rsidR="005728DD" w:rsidRDefault="005728DD" w:rsidP="005728DD">
      <w:pPr>
        <w:pStyle w:val="TextoNormal"/>
      </w:pPr>
      <w:r>
        <w:t xml:space="preserve">La interpretación excesivamente restrictiva del ámbito de aplicación de la prerrogativa de la inmunidad que se mantiene en las resoluciones judiciales impugnadas, conforme a la cual la solicitud de suplicatorio únicamente procede a fin de adoptar decisiones que afecten a un parlamentario en fases del proceso penal anteriores a la del juicio oral, no se ajusta a la naturaleza propia de la prerrogativa en tanto que garantía material frente a una actuación judicial susceptible de afectar a la libertad del representante político. El proceso penal debe ser entendido como un </w:t>
      </w:r>
      <w:r w:rsidRPr="005728DD">
        <w:rPr>
          <w:i/>
        </w:rPr>
        <w:t>iter</w:t>
      </w:r>
      <w:r>
        <w:t xml:space="preserve"> que tiene diversas fases y que culmina con el dictado de sentencia firme, lo que permite concluir, en opinión de los demandantes, que la inmunidad extiende </w:t>
      </w:r>
      <w:r>
        <w:lastRenderedPageBreak/>
        <w:t>su ámbito de protección durante todo el proceso penal, incluyendo así a aquellos diputados o senadores que son proclamados electos con posterioridad a haber sido procesados, incluso en los supuestos en los que el proceso se encuentre ya en fase de juicio oral.</w:t>
      </w:r>
    </w:p>
    <w:p w:rsidR="005728DD" w:rsidRDefault="005728DD" w:rsidP="005728DD">
      <w:pPr>
        <w:pStyle w:val="TextoNormal"/>
      </w:pPr>
    </w:p>
    <w:p w:rsidR="005728DD" w:rsidRDefault="005728DD" w:rsidP="005728DD">
      <w:pPr>
        <w:pStyle w:val="TextoNormal"/>
      </w:pPr>
      <w:r>
        <w:t>El Tribunal Constitucional no ha precisado con claridad el momento procesal en el que, según la negada interpretación que realiza la Sala Segunda del Tribunal Supremo, precluye la obligación de solicitar autorización a las cámaras.</w:t>
      </w:r>
    </w:p>
    <w:p w:rsidR="005728DD" w:rsidRDefault="005728DD" w:rsidP="005728DD">
      <w:pPr>
        <w:pStyle w:val="TextoNormal"/>
      </w:pPr>
    </w:p>
    <w:p w:rsidR="005728DD" w:rsidRDefault="005728DD" w:rsidP="005728DD">
      <w:pPr>
        <w:pStyle w:val="TextoNormal"/>
      </w:pPr>
      <w:r>
        <w:t>A lo sumo, deviene palmario que nos hallamos ante la eterna discusión entre la procedencia de una interpretación restringida del art. 71.2 CE o, por el contrario, de una interpretación más extensiva de la inmunidad parlamentaria, entendida como derecho de protección de los integrantes de las cámaras legislativas y no como un privilegio. Concepción esta última fundamentada en una óptica más protectora y garantista de las instituciones representativas en el plano de la separación de poderes y de los derechos tanto del representante político como de sus electores. Ante tal escenario de discrepancia política, los demandantes entienden que el tribunal debería haber optado por inclinarse a favor de la opción más garantista de los derechos fundamentales de los acusados electos y, por consiguiente, haber remitido el correspondiente suplicatorio a las cámaras.</w:t>
      </w:r>
    </w:p>
    <w:p w:rsidR="005728DD" w:rsidRDefault="005728DD" w:rsidP="005728DD">
      <w:pPr>
        <w:pStyle w:val="TextoNormal"/>
      </w:pPr>
    </w:p>
    <w:p w:rsidR="005728DD" w:rsidRDefault="005728DD" w:rsidP="005728DD">
      <w:pPr>
        <w:pStyle w:val="TextoNormal"/>
      </w:pPr>
      <w:r>
        <w:t>Lo contrario, esto es, optar por una interpretación excesivamente restrictiva del art. 71.2 CE, excluyendo de este modo la necesidad de requerir la preceptiva autorización de las cámaras legislativas cuando el proceso penal se encuentre en la fase del juicio oral, limitándola únicamente a aquellos supuestos en los que deban adoptarse decisiones propias de la fase de instrucción o de la fase intermedia del proceso penal, vulnera el derecho fundamental a la participación directa en los asuntos públicos y el de acceso a los cargos públicos representativos de los recurrentes en amparo (art. 23 CE).</w:t>
      </w:r>
    </w:p>
    <w:p w:rsidR="005728DD" w:rsidRDefault="005728DD" w:rsidP="005728DD">
      <w:pPr>
        <w:pStyle w:val="TextoNormal"/>
      </w:pPr>
    </w:p>
    <w:p w:rsidR="005728DD" w:rsidRDefault="005728DD" w:rsidP="005728DD">
      <w:pPr>
        <w:pStyle w:val="TextoNormal"/>
      </w:pPr>
      <w:r>
        <w:t>c) La necesidad del suplicatorio —se afirma en la demanda— ha devenido en una garantía procesal (art. 24.2 CE), al servicio de la protección de los derechos de los representantes políticos (art. 23 CE).</w:t>
      </w:r>
    </w:p>
    <w:p w:rsidR="005728DD" w:rsidRDefault="005728DD" w:rsidP="005728DD">
      <w:pPr>
        <w:pStyle w:val="TextoNormal"/>
      </w:pPr>
    </w:p>
    <w:p w:rsidR="005728DD" w:rsidRDefault="005728DD" w:rsidP="005728DD">
      <w:pPr>
        <w:pStyle w:val="TextoNormal"/>
      </w:pPr>
      <w:r>
        <w:t>Desde esta perspectiva, la representación procesal de los recurrentes considera que el hecho de que la falta de autorización administrativa esté conceptuada como artículo de previo pronunciamiento (art. 666.5 LECrim), no impide ni restringe en modo alguno que la autorización de las cámaras legislativas pueda ser recabada una vez iniciadas las sesiones del juicio oral.</w:t>
      </w:r>
    </w:p>
    <w:p w:rsidR="005728DD" w:rsidRDefault="005728DD" w:rsidP="005728DD">
      <w:pPr>
        <w:pStyle w:val="TextoNormal"/>
      </w:pPr>
    </w:p>
    <w:p w:rsidR="005728DD" w:rsidRDefault="005728DD" w:rsidP="005728DD">
      <w:pPr>
        <w:pStyle w:val="TextoNormal"/>
      </w:pPr>
      <w:r>
        <w:t xml:space="preserve">Las resoluciones impugnadas que deniegan la remisión de suplicatorio se amparan en una interpretación gramatical y sistemática asociada a la prerrogativa de la inmunidad para avalar la idea de que la autorización del órgano legislativo es necesaria para “procesar” (art. 750 LECrim). Sin embargo, olvidan realizar una interpretación gramatical del art. 751, párrafo segundo, LECrim, mucho más respetuosa con los derechos fundamentales en liza. Este artículo establece que la autoridad judicial deberá poner en conocimiento de las cámaras legislativas “la causa que existiere pendiente contra el que, estando procesado, hubiese sido elegido senador o diputado a Cortes”. Así pues, este precepto no solo confirma la extensión de la inmunidad a lo largo de todo el proceso judicial, sino también la obligación del tribunal de poner en conocimiento de las cámaras la existencia de una causa penal que pueda afectar </w:t>
      </w:r>
      <w:r>
        <w:lastRenderedPageBreak/>
        <w:t>a un diputado o senador electo ya procesado, por lo que parece que no hay lugar a duda alguna respecto a la posible remisión del suplicatorio en una fase posterior al procesamiento.</w:t>
      </w:r>
    </w:p>
    <w:p w:rsidR="005728DD" w:rsidRDefault="005728DD" w:rsidP="005728DD">
      <w:pPr>
        <w:pStyle w:val="TextoNormal"/>
      </w:pPr>
    </w:p>
    <w:p w:rsidR="005728DD" w:rsidRDefault="005728DD" w:rsidP="005728DD">
      <w:pPr>
        <w:pStyle w:val="TextoNormal"/>
      </w:pPr>
      <w:r>
        <w:t>A la precedente consideración, la representación procesal de los demandantes añade que el art. 753 LECrim prevé la suspensión del proceso judicial a la espera de la resolución de los suplicatorios de los encausados. Precepto que debe ponerse en conexión con los ya referidos artículos de la LECrim a fin de deducir que la comunicación que se debe realizar al Congreso de los Diputados y al Senado lo es para tramitar el correspondiente suplicatorio, lo que viene a confirmar la tesis de la interpretación sistemática frente a una posible lectura más restrictiva de la inmunidad parlamentaria entendida como requisito del debido proceso respecto de diputados y senadores.</w:t>
      </w:r>
    </w:p>
    <w:p w:rsidR="005728DD" w:rsidRDefault="005728DD" w:rsidP="005728DD">
      <w:pPr>
        <w:pStyle w:val="TextoNormal"/>
      </w:pPr>
    </w:p>
    <w:p w:rsidR="005728DD" w:rsidRDefault="005728DD" w:rsidP="005728DD">
      <w:pPr>
        <w:pStyle w:val="TextoNormal"/>
      </w:pPr>
      <w:r>
        <w:t>La demanda concluye interesando de este tribunal su admisión y que, tras los trámites pertinentes, dicte sentencia en la que se otorgue el amparo solicitado, declarando la nulidad de cuantas actuaciones judiciales se hayan realizado contra los demandantes en la causa especial núm. 20907-2017 seguida ante la Sala Segunda del Tribunal Supremo con posterioridad a la adquisición de la condición de diputados.</w:t>
      </w:r>
    </w:p>
    <w:p w:rsidR="005728DD" w:rsidRDefault="005728DD" w:rsidP="005728DD">
      <w:pPr>
        <w:pStyle w:val="TextoNormal"/>
      </w:pPr>
    </w:p>
    <w:p w:rsidR="005728DD" w:rsidRDefault="005728DD" w:rsidP="005728DD">
      <w:pPr>
        <w:pStyle w:val="TextoNormal"/>
      </w:pPr>
      <w:r>
        <w:t>Por un otrosí, se insta como medida cautelar, de acuerdo con el art. 56.6 de la Ley Orgánica del Tribunal Constitucional (LOTC), la suspensión de los efectos de la STS, Sala Segunda, 459/2019, de 14 de octubre, recaída en la citada causa especial.</w:t>
      </w:r>
    </w:p>
    <w:p w:rsidR="005728DD" w:rsidRDefault="005728DD" w:rsidP="005728DD">
      <w:pPr>
        <w:pStyle w:val="TextoNormal"/>
      </w:pPr>
    </w:p>
    <w:p w:rsidR="005728DD" w:rsidRDefault="005728DD" w:rsidP="005728DD">
      <w:pPr>
        <w:pStyle w:val="TextoNormal"/>
      </w:pPr>
      <w:r w:rsidRPr="005728DD">
        <w:rPr>
          <w:rStyle w:val="NumeroAFNegritaCaracter"/>
        </w:rPr>
        <w:t>4</w:t>
      </w:r>
      <w:r>
        <w:t>. El Pleno del Tribunal Constitucional, de conformidad con lo establecido en el art. 10.1 n) LOTC, a propuesta del presidente, acordó, por providencia de 26 de mayo de 2020, recabar para sí el conocimiento de este recurso de amparo y admitirlo a trámite, apreciando que concurre en el mismo una especial trascendencia constitucional (art. 50.1 LOTC) porque plantea un problema o afecta a una faceta de un derecho fundamental sobre el que no hay doctrina de este tribunal [STC 155/2009, FJ 2 a)] y porque el asunto suscitado trasciende el caso concreto al poder tener unas consecuencias políticas generales [STC 155/2009, FJ 2 g)].</w:t>
      </w:r>
    </w:p>
    <w:p w:rsidR="005728DD" w:rsidRDefault="005728DD" w:rsidP="005728DD">
      <w:pPr>
        <w:pStyle w:val="TextoNormal"/>
      </w:pPr>
    </w:p>
    <w:p w:rsidR="005728DD" w:rsidRDefault="005728DD" w:rsidP="005728DD">
      <w:pPr>
        <w:pStyle w:val="TextoNormal"/>
      </w:pPr>
      <w:r>
        <w:t>Asimismo, en aplicación del art. 51 LOTC, se acordó dirigir atenta comunicación a la Sala de lo Penal del Tribunal Supremo, a fin de que, en plazo que no exceda de diez días, remita certificación o fotocopia adverada de las actuaciones correspondientes a los autos de 14 de mayo y 3 de octubre de 2019, dictados en la causa especial núm. 20907-2017, debiendo previamente emplazar a quienes hubieran sido parte en el procedimiento, a excepción de los demandantes, para que en el plazo de diez días pudieran comparecer, si lo desean, en el recurso de amparo.</w:t>
      </w:r>
    </w:p>
    <w:p w:rsidR="005728DD" w:rsidRDefault="005728DD" w:rsidP="005728DD">
      <w:pPr>
        <w:pStyle w:val="TextoNormal"/>
      </w:pPr>
    </w:p>
    <w:p w:rsidR="005728DD" w:rsidRDefault="005728DD" w:rsidP="005728DD">
      <w:pPr>
        <w:pStyle w:val="TextoNormal"/>
      </w:pPr>
      <w:r>
        <w:t xml:space="preserve">En relación con la solicitud de suspensión formulada mediante otrosí, el Pleno no apreció la urgencia excepcional a la que se refiere el art. 56.6 LOTC, que justificaría su adopción </w:t>
      </w:r>
      <w:r w:rsidRPr="005728DD">
        <w:rPr>
          <w:i/>
        </w:rPr>
        <w:t>inaudita parte</w:t>
      </w:r>
      <w:r>
        <w:t xml:space="preserve"> de forma inmotivada, por lo que, a fin de resolver sobre la misma, acordó formar la oportuna pieza separada y, en ella, conceder un plazo de tres días al Ministerio Fiscal y al solicitante de amparo para que efectúen las alegaciones que tuvieran por conveniente.</w:t>
      </w:r>
    </w:p>
    <w:p w:rsidR="005728DD" w:rsidRDefault="005728DD" w:rsidP="005728DD">
      <w:pPr>
        <w:pStyle w:val="TextoNormal"/>
      </w:pPr>
    </w:p>
    <w:p w:rsidR="005728DD" w:rsidRDefault="005728DD" w:rsidP="005728DD">
      <w:pPr>
        <w:pStyle w:val="TextoNormal"/>
      </w:pPr>
      <w:r>
        <w:t>Evacuado el trámite de alegaciones conferido, el Pleno, por el ATC 71/2020, de 14 de julio, denegó la medida cautelar de suspensión interesada.</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la secretaria de justicia del Pleno, de 7 de julio de 2020, se acordó tener por personados y parte a los procuradores de los tribunales doña Celia López Ariza, en representación de don Oriol Junqueras Vies y don Raül Romeva Rueda; doña María del Pilar Hidalgo López, en representación del partido político Vox; don Carlos Ricardo Estévez Sanz, en representación de don Carles Puigdemont i Casamajó; y al abogado del Estado.</w:t>
      </w:r>
    </w:p>
    <w:p w:rsidR="005728DD" w:rsidRDefault="005728DD" w:rsidP="005728DD">
      <w:pPr>
        <w:pStyle w:val="TextoNormal"/>
      </w:pPr>
    </w:p>
    <w:p w:rsidR="005728DD" w:rsidRDefault="005728DD" w:rsidP="005728DD">
      <w:pPr>
        <w:pStyle w:val="TextoNormal"/>
      </w:pPr>
      <w:r>
        <w:t>Asimismo, a tenor de lo dispuesto en el art. 52 LOTC, se dio vista de las actuaciones, en la secretaría del Pleno, por un plazo común de veinte días, al Ministerio Fiscal y a las partes personadas para que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evacuó el trámite de alegaciones mediante escrito registrado en fecha 23 de julio de 2020, que, en lo sustancial, a continuación se resume.</w:t>
      </w:r>
    </w:p>
    <w:p w:rsidR="005728DD" w:rsidRDefault="005728DD" w:rsidP="005728DD">
      <w:pPr>
        <w:pStyle w:val="TextoNormal"/>
      </w:pPr>
    </w:p>
    <w:p w:rsidR="005728DD" w:rsidRDefault="005728DD" w:rsidP="005728DD">
      <w:pPr>
        <w:pStyle w:val="TextoNormal"/>
      </w:pPr>
      <w:r>
        <w:t>a) Comienza recordando, con cita de abundante jurisprudencia constitucional, que las prerrogativas parlamentarias, entre ellas, la inmunidad, forman parte del estatuto de los miembros de las Cortes Generales, de manera que el derecho reconocido en el art. 23.2 CE puede resultar directamente afectado por posibles constricciones ilegítimas de aquellas prerrogativas. Solo si se hubiera producido la lesión de este derecho fundamental podría apreciarse también una vulneración del derecho a un proceso con todas las garantías (art. 24.2 CE).</w:t>
      </w:r>
    </w:p>
    <w:p w:rsidR="005728DD" w:rsidRDefault="005728DD" w:rsidP="005728DD">
      <w:pPr>
        <w:pStyle w:val="TextoNormal"/>
      </w:pPr>
    </w:p>
    <w:p w:rsidR="005728DD" w:rsidRDefault="005728DD" w:rsidP="005728DD">
      <w:pPr>
        <w:pStyle w:val="TextoNormal"/>
      </w:pPr>
      <w:r>
        <w:t xml:space="preserve">A continuación, sintetiza las principales líneas de la doctrina constitucional sobre la prerrogativa de la inmunidad, poniendo asimismo de manifiesto que la jurisprudencia europea tiene declarado —tal como se hace en las resoluciones judiciales recurridas— que la prerrogativa de la inmunidad parlamentaria debe interpretarse restrictivamente en los supuestos de hecho en los que, como es el caso, no existe una conexión clara entre los hechos en cuestión y la actividad parlamentaria (entre otras, SSTEDH de 20 de enero de 2003, asunto </w:t>
      </w:r>
      <w:r w:rsidRPr="005728DD">
        <w:rPr>
          <w:i/>
        </w:rPr>
        <w:t>Cordova c. Italia</w:t>
      </w:r>
      <w:r>
        <w:t xml:space="preserve">; § 63; y de 20 de abril de 2006, asunto </w:t>
      </w:r>
      <w:r w:rsidRPr="005728DD">
        <w:rPr>
          <w:i/>
        </w:rPr>
        <w:t>Patrono Cascini y Stefabelli c. Itali</w:t>
      </w:r>
      <w:r>
        <w:t xml:space="preserve">a, § 63). Incluso ha afirmado que la inmunidad es una excepción del régimen ordinario de procedibilidad para el enjuiciamiento de presuntos delitos, por lo que los Estados deben garantizar que tenga un alcance restrictivo bien delimitado, de modo que no puede ser empleada por los representantes políticos como instrumento para eludir la acción de la justicia (STEDH, de 20 de diciembre de 2016, asunto </w:t>
      </w:r>
      <w:r w:rsidRPr="005728DD">
        <w:rPr>
          <w:i/>
        </w:rPr>
        <w:t>Uspaskich c. Lituania</w:t>
      </w:r>
      <w:r>
        <w:t>, § 91).</w:t>
      </w:r>
    </w:p>
    <w:p w:rsidR="005728DD" w:rsidRDefault="005728DD" w:rsidP="005728DD">
      <w:pPr>
        <w:pStyle w:val="TextoNormal"/>
      </w:pPr>
    </w:p>
    <w:p w:rsidR="005728DD" w:rsidRDefault="005728DD" w:rsidP="005728DD">
      <w:pPr>
        <w:pStyle w:val="TextoNormal"/>
      </w:pPr>
      <w:r>
        <w:t xml:space="preserve">b) Tras referirse a las circunstancias temporales que concurren en este caso, el Ministerio Fiscal entiende, a partir del tenor literal del art. 71.2 CE, precepto que configura la inmunidad parlamentaria como una condición de procedibilidad “previa” para poder inculpar o procesar a un diputado y senador, y —sobre todo— de que esta prerrogativa tiene por finalidad impedir que la vía penal sea utilizada con la intención de perturbar el funcionamiento de las cámaras o alterar la composición que les ha dado la voluntad popular, que carece de todo sentido la petición postrera de autorización a la cámara respectiva en pleno desarrollo ya del juicio oral —con la consiguiente suspensión del procedimiento— si la persecución penal del hecho, la adopción de la prisión provisional, el procesamiento o inculpación formal, la acusación provisional de quienes ejercen la acción penal y hasta el comienzo de las sesiones del juicio oral han tenido lugar con bastante anterioridad a la convocatoria del proceso electoral —que se produce cincuenta y cuatro días antes del fijado para la votación—, cuya culminación se produjo con la jornada electoral del 28 de abril. Resulta del todo punto </w:t>
      </w:r>
      <w:r>
        <w:lastRenderedPageBreak/>
        <w:t>imposible que el proceso o la vía penal fuera emprendida o el procesamiento fuere acordado más de un año antes con el alcance, objetivo, móvil o propósito o finalidad de perturbar el funcionamiento o composición de unas cámaras cuya conformación se produciría mucho tiempo después a partir de un eventual e imprevisible proceso electoral futuro, cuya misma existencia era incierta y al que ni se podía saber si concurrían o no los demandantes.</w:t>
      </w:r>
    </w:p>
    <w:p w:rsidR="005728DD" w:rsidRDefault="005728DD" w:rsidP="005728DD">
      <w:pPr>
        <w:pStyle w:val="TextoNormal"/>
      </w:pPr>
    </w:p>
    <w:p w:rsidR="005728DD" w:rsidRDefault="005728DD" w:rsidP="005728DD">
      <w:pPr>
        <w:pStyle w:val="TextoNormal"/>
      </w:pPr>
      <w:r>
        <w:t>La situación presenta semejanza con el supuesto que dio lugar a la STC 90/1985, de 22 de julio, en la que se examinó la denegación de suplicatorio por parte del Pleno del Senado respecto a un senador que en el momento de la presentación de la querella no ostentaba dicha condición porque ni siquiera se habían convocado elecciones y en la que este tribunal estimó vulnerado el derecho a la tutela judicial efectiva del querellante (FJ 7). Tampoco en este caso cabría apreciar la existencia de móviles o intenciones referidos al funcionamiento o composición del Congreso de los Diputados y/o del Senado, puesto que los recurrentes, cuándo se inicia y desarrolla la persecución penal, se decreta su prisión preventiva, se les procesa, se les acusa y dan comienzo la celebración del juicio oral, no tenían la condición de diputado y senador, ni cabía aventurar que fueran a serlo toda vez que en ninguno de tales estados de la causa se encontraban ya convocadas las elecciones generales, ni, por consiguiente, eran conocidas las candidaturas. Es palmariamente obvia la desvinculación de los hechos por los que fueron procesados, acusados y sometidos a juicio oral con el ejercicio de funciones parlamentarias en las cámaras resultantes de unas elecciones posteriormente convocadas. En definitiva, tales móviles o intenciones no pudieron existir. Ni el auto de procesamiento de 21 de marzo de 2018, ni las posteriores actuaciones de acusación, apertura del juicio oral y celebración de sus sesiones se habrían dictado con ánimo de alterar la composición y la voluntad de las cámaras, teniendo en cuenta que en el momento de dictarse no se habían convocado las elecciones en las que los recurrentes resultaron elegidos como diputado y senador.</w:t>
      </w:r>
    </w:p>
    <w:p w:rsidR="005728DD" w:rsidRDefault="005728DD" w:rsidP="005728DD">
      <w:pPr>
        <w:pStyle w:val="TextoNormal"/>
      </w:pPr>
    </w:p>
    <w:p w:rsidR="005728DD" w:rsidRDefault="005728DD" w:rsidP="005728DD">
      <w:pPr>
        <w:pStyle w:val="TextoNormal"/>
      </w:pPr>
      <w:r>
        <w:t xml:space="preserve">c) El Ministerio Fiscal añade a las precedentes consideraciones la necesidad de entender la prerrogativa no como un privilegio favorecedor de los diputados y senadores al objeto de sustraer sus conductas del conocimiento o decisión de jueces y tribunales, ni tampoco como un </w:t>
      </w:r>
      <w:r w:rsidRPr="005728DD">
        <w:rPr>
          <w:i/>
        </w:rPr>
        <w:t>ius singularis</w:t>
      </w:r>
      <w:r>
        <w:t xml:space="preserve"> para eludir u obstaculizar la acción de la justicia o generar zonas de impunidad, sino como una excepción al régimen ordinario de procedibilidad de presuntos delitos y de su enjuiciamiento, así como al régimen general de sometimiento al imperio de la ley, por lo que —por ende y por doctrina constitucional y jurisprudencia del Tribunal Europeo de Derechos Humanos— la prerrogativa de la inmunidad parlamentaria no puede ser objeto de una extensión legislativa constitucionalmente ilegítima, ni de una interpretación analógica, sino que solo es susceptible de una interpretación estricta y vinculada a los supuestos expresamente contemplados en la Constitución, de lo cual se desprende que requiere una interpretación y alcance restrictivos. Hay que convenir, en consecuencia, que la interpretación de la prerrogativa de la inmunidad que se hace en las resoluciones judiciales impugnadas, a la vista de que la condición de diputado y senador ha sido adquirida por los demandantes después no solo de haber sido procesados, acusados, sino incluso de haberse abierto el juicio oral y estar ya celebrándose la oportuna vista por unos hechos claramente desconectados de la actividad en las cámaras, no resulta en absoluta irrespetuosa con el sentido, alcance y finalidad constitucional de la prerrogativa, por lo que no vulnera el derecho al ejercicio del cargo público representativo (art. 23.2 CE), ni, por consiguiente, el derecho a un proceso con todas las garantías (art. 24.2 CE), ni el derecho al sufragio activo del cuerpo electoral (SSTC 123/2001 y 124/2001, de 4 de junio, FFJJ 5).</w:t>
      </w:r>
    </w:p>
    <w:p w:rsidR="005728DD" w:rsidRDefault="005728DD" w:rsidP="005728DD">
      <w:pPr>
        <w:pStyle w:val="TextoNormal"/>
      </w:pPr>
    </w:p>
    <w:p w:rsidR="005728DD" w:rsidRDefault="005728DD" w:rsidP="005728DD">
      <w:pPr>
        <w:pStyle w:val="TextoNormal"/>
      </w:pPr>
      <w:r>
        <w:t>Esta conclusión es completamente acorde con la correcta comprensión del sentido de la prerrogativa y de los fines que procura, tanto en el sentido lógico de sujeción a los límites objetivos que impone la Constitución, como en el teleológico de la razonable proporcionalidad al fin al que responde [SSTC 51/1985, de 10 de abril, FJ 6; 243/1988, de 9 de diciembre, FJ 3 a), y 22/1997, de 11 de febrero, FJ 5]. De hecho, tal solución es la más natural a la luz de la doctrina constitucional, una vez que la observancia de la prerrogativa cuestionada ha de cohonestarse con la finalidad a la que sirve [SSTC 22/1997, de 11 de febrero, FJ 7, y 68/2001, de 17 de marzo, FJ 2 b)].</w:t>
      </w:r>
    </w:p>
    <w:p w:rsidR="005728DD" w:rsidRDefault="005728DD" w:rsidP="005728DD">
      <w:pPr>
        <w:pStyle w:val="TextoNormal"/>
      </w:pPr>
    </w:p>
    <w:p w:rsidR="005728DD" w:rsidRDefault="005728DD" w:rsidP="005728DD">
      <w:pPr>
        <w:pStyle w:val="TextoNormal"/>
      </w:pPr>
      <w:r>
        <w:t>d) La interpretación judicial de la que discrepan los demandantes no merma la finalidad institucional cuya salvaguarda se persigue mediante la prerrogativa de la inmunidad, que, no es otra, que la de evitar la eventualidad de que la vía penal sea utilizada con la intención de perturbar el funcionamiento de las cámaras o de alterar indebidamente su composición. Mantener temporalmente la inmunidad hasta el extremo del dictado de la sentencia firme carece totalmente de sentido y es manifiestamente irrazonable y desproporcionado desde la perspectiva de los fines a los que la prerrogativa responde, por lo que la solicitud de autorización para continuar con el procedimiento resulta improcedente.</w:t>
      </w:r>
    </w:p>
    <w:p w:rsidR="005728DD" w:rsidRDefault="005728DD" w:rsidP="005728DD">
      <w:pPr>
        <w:pStyle w:val="TextoNormal"/>
      </w:pPr>
    </w:p>
    <w:p w:rsidR="005728DD" w:rsidRDefault="005728DD" w:rsidP="005728DD">
      <w:pPr>
        <w:pStyle w:val="TextoNormal"/>
      </w:pPr>
      <w:r>
        <w:t>En efecto, lo que no constituiría un ejercicio razonable y proporcionado de la prerrogativa parlamentaria ni resultaría ajustado a la literalidad, ni al sentido, ni al alcance, ni a la finalidad constitucional de la misma, sería predicar de los términos del art. 71.2 CE una interpretación extensiva que, como propugnan los recurrentes, amplíe el alcance de la necesidad de solicitud de suplicatorio a cualquier estado de una causa penal que fuese anterior a la firmeza de la sentencia, puesto que ello implicaría, a juicio del Ministerio Fiscal, proceder al margen de la auténtica finalidad constitucional de la inmunidad parlamentaria y otorgar a la excepción del sometimiento al imperio de la ley, pilar básico del Estado de Derecho, un tratamiento de regla absoluta que respondería más a la conformación de un privilegio en beneficio individual y singular de los diputados y senadores para impedir el normal desarrollo o desenlace del proceso penal, que al interés superior de que la representación nacional no se vea alterada ni perturbada, ni en su composición ni en su funcionamiento, por eventuales procesos penales que injustificada o torticeramente puedan dirigirse frente a los miembros de las Cortes Generales. En definitiva, la aplicación de la prerrogativa de la inmunidad a personas que, como en este caso, ya habían sido formal y efectivamente inculpadas, procesadas, acusadas y contra las que se había abierto juicio oral en la causa penal —e incluso el juicio oral ya se encontraban en avanzado desarrollo— supondría una interpretación desproporcionada y desmedidamente extensiva de la inmunidad, con grave puesta en peligro de otros intereses, valores y bienes constitucionales de gran trascendencia. Se trataría, en suma, de una indebida extensión del ámbito temporal de la prerrogativa, convirtiéndola predominantemente en un privilegio personal, que redundaría en una desproporcionada e innecesaria alteración del régimen común del proceso penal.</w:t>
      </w:r>
    </w:p>
    <w:p w:rsidR="005728DD" w:rsidRDefault="005728DD" w:rsidP="005728DD">
      <w:pPr>
        <w:pStyle w:val="TextoNormal"/>
      </w:pPr>
    </w:p>
    <w:p w:rsidR="005728DD" w:rsidRDefault="005728DD" w:rsidP="005728DD">
      <w:pPr>
        <w:pStyle w:val="TextoNormal"/>
      </w:pPr>
      <w:r>
        <w:t xml:space="preserve">e) La perspectiva constitucional expuesta debe impregnar la normativa de la LECrim y de la Ley de 9 de febrero de 1912, de la cual no cabe extraer consecuencias no acordes con la lectura constitucional a que debe ser sometida. Ante la inactividad del legislador postconstitucional en su adecuación a la Constitución, la literalidad en cuanto al momento de solicitar la autorización a las cámaras por la genérica referencia del art. 750 LECrim al juez o tribunal “que encuentre méritos para procesar a un senador o diputado a Cortes por causa </w:t>
      </w:r>
      <w:r>
        <w:lastRenderedPageBreak/>
        <w:t>de delito” y de cualesquiera otras disposiciones del título I (“Del modo de proceder cuando fuere procesado un Senador o Diputado a Cortes”) del libro IV (“Procedimientos Especiales”) de la Ley de enjuiciamiento criminal —arts. 751 a 756—, deben someterse a una exégesis filtrada por la perspectiva y parámetros constitucionales, esto es, acorde y cohonestada con el significado, alcance y contenido de la doctrina constitucional sobre la correcta comprensión del sentido de la prerrogativa y de los fines que procura.</w:t>
      </w:r>
    </w:p>
    <w:p w:rsidR="005728DD" w:rsidRDefault="005728DD" w:rsidP="005728DD">
      <w:pPr>
        <w:pStyle w:val="TextoNormal"/>
      </w:pPr>
    </w:p>
    <w:p w:rsidR="005728DD" w:rsidRDefault="005728DD" w:rsidP="005728DD">
      <w:pPr>
        <w:pStyle w:val="TextoNormal"/>
      </w:pPr>
      <w:r>
        <w:t>En este sentido, la interpretación gramatical y sistemática, asociada a la naturaleza de la prerrogativa, que efectúa la Sala Segunda del Tribunal Supremo en el auto de 14 de mayo de 2019, no resulta en absoluto desacorde con el art. 71.2 CE, ni con la doctrina constitucional. Otro tanto cabe decir de la interpretación sistemática sostenida en el mismo auto en relación con el art. 753 LECrim, que conecta la suspensión del procedimiento lógicamente, de forma exclusiva, a aquellos supuestos en los que la petición de suplicatorio resulta procedente conforme a la Constitución y las pautas de la doctrina constitucional. En tanto que “sustracciones al Derecho común conectadas con la función” (STC 51/1985, de 10 de abril, FJ 6), no es constitucionalmente legítima una extensión legislativa (STC 186/1989, de 13 de noviembre) o una interpretación analógica de las prerrogativas parlamentarias (STC 51/1985). Como garantías jurídicamente vinculadas a la satisfacción de un interés institucional y permanente del ordenamiento, son solo susceptibles de una interpretación estricta y vinculada a los supuestos expresamente contemplados en la Constitución (STC 22/1997, de 11 de febrero, FJ 5).</w:t>
      </w:r>
    </w:p>
    <w:p w:rsidR="005728DD" w:rsidRDefault="005728DD" w:rsidP="005728DD">
      <w:pPr>
        <w:pStyle w:val="TextoNormal"/>
      </w:pPr>
    </w:p>
    <w:p w:rsidR="005728DD" w:rsidRDefault="005728DD" w:rsidP="005728DD">
      <w:pPr>
        <w:pStyle w:val="TextoNormal"/>
      </w:pPr>
      <w:r>
        <w:t xml:space="preserve">En cualquier caso, siendo la suspensión una consecuencia conectada al </w:t>
      </w:r>
      <w:r w:rsidRPr="005728DD">
        <w:rPr>
          <w:i/>
        </w:rPr>
        <w:t>prius</w:t>
      </w:r>
      <w:r>
        <w:t xml:space="preserve"> de la procedencia constitucional misma de la solicitud de suplicatorio, una vez descartada desde la perspectiva constitucional la necesidad de pedir autorización a las cámaras respectivas, huelga efectuar mayores razonamientos sobre la suspensión, puesto que lo que se desprende como derivación natural es la ausencia de fundamento o presupuesto para acordarla, sean cualesquiera que sean los términos preconstitucionales de legalidad ordinaria, que en el mejor de los casos deben ser siempre objeto de revisión a la luz de la Constitución y de la doctrina constitucional.</w:t>
      </w:r>
    </w:p>
    <w:p w:rsidR="005728DD" w:rsidRDefault="005728DD" w:rsidP="005728DD">
      <w:pPr>
        <w:pStyle w:val="TextoNormal"/>
      </w:pPr>
    </w:p>
    <w:p w:rsidR="005728DD" w:rsidRDefault="005728DD" w:rsidP="005728DD">
      <w:pPr>
        <w:pStyle w:val="TextoNormal"/>
      </w:pPr>
      <w:r>
        <w:t>f) En relación con las conclusiones del abogado general del Tribunal de Justicia de la Unión Europea en el asunto C-502/19, en el que recayó la STJUE de 19 de diciembre de 2019, relativa a la inmunidad que, conforme al artículo 9 del protocolo (núm. 7) sobre los privilegios y las inmunidades de la Unión Europea, goza cualquier persona que ha sido oficialmente proclamada electa al Parlamento Europeo, el Ministerio Fiscal rechaza su posible incidencia en el caso ahora considerado, puesto que, por más que aborde aspectos de la inmunidad de un miembro electo de una cámara representativa, se trata de una resolución que da respuesta, desde una perspectiva puramente formal, al planteamiento de una cuestión prejudicial respecto de cómo debe interpretarse un precepto normativo europeo referido a elecciones europeas, que se rigen por una normativa propia, específica y distinta de la regulación aplicable a las elecciones de cualquier ámbito nacional de los Estados —sean generales, federales, autonómicos, regionales o locales los correspondientes procesos electorales—, de modo que sus conclusiones se ciñen exclusivamente a la situación de un electo al Parlamento Europeo y, por consiguiente, no son extrapolables a quienes, como ocurre en este caso, resultan electos al Congreso de los Diputados tras un proceso nacional de elecciones generales.</w:t>
      </w:r>
    </w:p>
    <w:p w:rsidR="005728DD" w:rsidRDefault="005728DD" w:rsidP="005728DD">
      <w:pPr>
        <w:pStyle w:val="TextoNormal"/>
      </w:pPr>
    </w:p>
    <w:p w:rsidR="005728DD" w:rsidRDefault="005728DD" w:rsidP="005728DD">
      <w:pPr>
        <w:pStyle w:val="TextoNormal"/>
      </w:pPr>
      <w:r>
        <w:lastRenderedPageBreak/>
        <w:t>El Ministerio Fiscal concluye su escrito de alegaciones interesando se dicte sentencia denegado el amparo solicitado.</w:t>
      </w:r>
    </w:p>
    <w:p w:rsidR="005728DD" w:rsidRDefault="005728DD" w:rsidP="005728DD">
      <w:pPr>
        <w:pStyle w:val="TextoNormal"/>
      </w:pPr>
    </w:p>
    <w:p w:rsidR="005728DD" w:rsidRDefault="005728DD" w:rsidP="005728DD">
      <w:pPr>
        <w:pStyle w:val="TextoNormal"/>
      </w:pPr>
      <w:r w:rsidRPr="005728DD">
        <w:rPr>
          <w:rStyle w:val="NumeroAFNegritaCaracter"/>
        </w:rPr>
        <w:t>7</w:t>
      </w:r>
      <w:r>
        <w:t>. La representación procesal del partido político Vox presentó su escrito de alegaciones en fecha 14 de agosto de 2020, que, en lo sustancial, a continuación se extracta.</w:t>
      </w:r>
    </w:p>
    <w:p w:rsidR="005728DD" w:rsidRDefault="005728DD" w:rsidP="005728DD">
      <w:pPr>
        <w:pStyle w:val="TextoNormal"/>
      </w:pPr>
    </w:p>
    <w:p w:rsidR="005728DD" w:rsidRDefault="005728DD" w:rsidP="005728DD">
      <w:pPr>
        <w:pStyle w:val="TextoNormal"/>
      </w:pPr>
      <w:r>
        <w:t>a) Aduce, en primer término, que no se han agotado todos los medios de impugnación en la vía judicial previa [art. 44.1 a) LOTC]. El objetivo principal del recurso es dejar sin efecto la STS, Sala Segunda, 459/2019, de 14 de octubre, recaída en la causa especial núm. 20907-2017. Dada la relación directa que existe entre los autos ahora impugnados y esta sentencia, los recurrentes debieron promover incidente de nulidad de actuaciones contra esta última antes de interponer el recurso de amparo.</w:t>
      </w:r>
    </w:p>
    <w:p w:rsidR="005728DD" w:rsidRDefault="005728DD" w:rsidP="005728DD">
      <w:pPr>
        <w:pStyle w:val="TextoNormal"/>
      </w:pPr>
    </w:p>
    <w:p w:rsidR="005728DD" w:rsidRDefault="005728DD" w:rsidP="005728DD">
      <w:pPr>
        <w:pStyle w:val="TextoNormal"/>
      </w:pPr>
      <w:r>
        <w:t>b) Considera, asimismo, que tampoco se cumple el requisito de la especial trascendencia constitucional, ya que la interpretación retroactiva que pretenden los demandantes del art. 71.2 CE, extendiendo la prerrogativa de la inmunidad a quienes adquieren la condición de procesado o inculpado con carácter previo a la de diputado, privilegia a quienes pueden acceder a esta última condición, otorgándoles una herramienta procesal que atenta contra los arts. 1 y 24.1 CE y que contradice la propia jurisprudencia constitucional, que ha dejado claro que la inmunidad que proclama el art. 71 CE es un privilegio personal.</w:t>
      </w:r>
    </w:p>
    <w:p w:rsidR="005728DD" w:rsidRDefault="005728DD" w:rsidP="005728DD">
      <w:pPr>
        <w:pStyle w:val="TextoNormal"/>
      </w:pPr>
    </w:p>
    <w:p w:rsidR="005728DD" w:rsidRDefault="005728DD" w:rsidP="005728DD">
      <w:pPr>
        <w:pStyle w:val="TextoNormal"/>
      </w:pPr>
      <w:r>
        <w:t>c) En cuanto a la cuestión de fondo suscitada, la representación procesal del partido político Vox hace suyos los argumentos de los autos recurridos, cuyo contenido parcialmente reproduce.</w:t>
      </w:r>
    </w:p>
    <w:p w:rsidR="005728DD" w:rsidRDefault="005728DD" w:rsidP="005728DD">
      <w:pPr>
        <w:pStyle w:val="TextoNormal"/>
      </w:pPr>
    </w:p>
    <w:p w:rsidR="005728DD" w:rsidRDefault="005728DD" w:rsidP="005728DD">
      <w:pPr>
        <w:pStyle w:val="TextoNormal"/>
      </w:pPr>
      <w:r>
        <w:t>Los recurrentes pretenden extender la literalidad del art. 751 LECrim, obviando el propio sentido de su art. 750, que circunscribe la autorización de las cámaras al momento previo del procesamiento, en línea con lo dispuesto en el art. 71.2 CE. Es esencial reiterar el carácter excepcional que se otorga a la inmunidad en el citado precepto constitucional, que no deja lugar a duda que se pretende proteger al parlamentario frente a procesos iniciados por su condición y no en los que ya tiene la condición de acusado.</w:t>
      </w:r>
    </w:p>
    <w:p w:rsidR="005728DD" w:rsidRDefault="005728DD" w:rsidP="005728DD">
      <w:pPr>
        <w:pStyle w:val="TextoNormal"/>
      </w:pPr>
    </w:p>
    <w:p w:rsidR="005728DD" w:rsidRDefault="005728DD" w:rsidP="005728DD">
      <w:pPr>
        <w:pStyle w:val="TextoNormal"/>
      </w:pPr>
      <w:r>
        <w:t>El Tribunal Supremo lleva a cabo una interpretación correcta del art. 71.2 CE, dado que la finalidad de la inmunidad es impedir que el inicio del procedimiento penal tenga como intención alterar el correcto funcionamiento de la cámara. Extender esta interpretación a la fase de juicio oral propiciaría precisamente el efecto contrario, en este caso respecto al poder judicial, ya que sería la condición de diputado o senador adquirida después de finalizada la instrucción la que alteraría el correcto funcionamiento de un procedimiento penal que se encuentra en la fase final. La excepcionalidad del art. 71.2 CE consigue la perfecta fusión de los intereses de ambos poderes, con una prerrogativa que tiene como objetivo impedir la instrumentalización de la justicia para corromper el correcto funcionamiento de la cámara, de la misma forma que no es aceptable que el legislativo, y la elección de diputados y senadores, se convierta en otra instrumentalización para impedir la correcta resolución de procedimientos ya instruidos y en fase de juicio oral.</w:t>
      </w:r>
    </w:p>
    <w:p w:rsidR="005728DD" w:rsidRDefault="005728DD" w:rsidP="005728DD">
      <w:pPr>
        <w:pStyle w:val="TextoNormal"/>
      </w:pPr>
    </w:p>
    <w:p w:rsidR="005728DD" w:rsidRDefault="005728DD" w:rsidP="005728DD">
      <w:pPr>
        <w:pStyle w:val="TextoNormal"/>
      </w:pPr>
      <w:r>
        <w:t>La prerrogativa del art. 71.2 CE no tiene como objetivo garantizar el ejercicio de la representación legislativa, sino la de impedir que las cámaras se vean afectadas por una asu</w:t>
      </w:r>
      <w:r>
        <w:lastRenderedPageBreak/>
        <w:t>mida presunción del uso de la herramienta judicial como objetivo corruptivo del poder legislativo. Es, por ello, que el art. 71.2 CE, y así lo refleja el art. 750 LECrim, advierte en su literalidad sobre el inicio del procedimiento, toda vez que lo que se pretende es impedir que las causas se inicien a sabiendas de la condición de diputado o senador con ánimos espurios que tengan como finalidad torpedear el correcto funcionamiento de las cámaras. Pero en ningún caso se puede interpretar como un privilegio para impedir la resolución de un procedimiento que ya se encuentra en la fase de juicio oral, pues la prerrogativa pretende proteger al poder legislativo y no la condición personal del acusado.</w:t>
      </w:r>
    </w:p>
    <w:p w:rsidR="005728DD" w:rsidRDefault="005728DD" w:rsidP="005728DD">
      <w:pPr>
        <w:pStyle w:val="TextoNormal"/>
      </w:pPr>
    </w:p>
    <w:p w:rsidR="005728DD" w:rsidRDefault="005728DD" w:rsidP="005728DD">
      <w:pPr>
        <w:pStyle w:val="TextoNormal"/>
      </w:pPr>
      <w:r>
        <w:t>Los recurrentes hacen una interpretación extensiva del art. 71.2 CE, encubriendo un privilegio personal a través de la protección de la labor de las cámaras. Desde el momento en que adquirir la condición de diputado condiciona un procedimiento instruido y en fase de juicio oral, la presunción de socavar la legítima y necesaria actividad legislativa desparece. Este es el único objeto a proteger por el art. 72.1 CE y no la adquisición de privilegios que vulneraría el principio de igualdad ante la ley.</w:t>
      </w:r>
    </w:p>
    <w:p w:rsidR="005728DD" w:rsidRDefault="005728DD" w:rsidP="005728DD">
      <w:pPr>
        <w:pStyle w:val="TextoNormal"/>
      </w:pPr>
    </w:p>
    <w:p w:rsidR="005728DD" w:rsidRDefault="005728DD" w:rsidP="005728DD">
      <w:pPr>
        <w:pStyle w:val="TextoNormal"/>
      </w:pPr>
      <w:r>
        <w:t>En definitiva, no se ha vulnerado el derecho reconocido a los demandantes en el art. 23.2 CE, ya que el inicio y la instrucción del proceso son anteriores a su elección como diputados.</w:t>
      </w:r>
    </w:p>
    <w:p w:rsidR="005728DD" w:rsidRDefault="005728DD" w:rsidP="005728DD">
      <w:pPr>
        <w:pStyle w:val="TextoNormal"/>
      </w:pPr>
    </w:p>
    <w:p w:rsidR="005728DD" w:rsidRDefault="005728DD" w:rsidP="005728DD">
      <w:pPr>
        <w:pStyle w:val="TextoNormal"/>
      </w:pPr>
      <w:r>
        <w:t>La representación procesal del partido político Vox concluye su escrito de alegaciones interesando la inadmisión de la demanda y, subsidiariamente, su desestimación.</w:t>
      </w:r>
    </w:p>
    <w:p w:rsidR="005728DD" w:rsidRDefault="005728DD" w:rsidP="005728DD">
      <w:pPr>
        <w:pStyle w:val="TextoNormal"/>
      </w:pPr>
    </w:p>
    <w:p w:rsidR="005728DD" w:rsidRDefault="005728DD" w:rsidP="005728DD">
      <w:pPr>
        <w:pStyle w:val="TextoNormal"/>
      </w:pPr>
      <w:r w:rsidRPr="005728DD">
        <w:rPr>
          <w:rStyle w:val="NumeroAFNegritaCaracter"/>
        </w:rPr>
        <w:t>8</w:t>
      </w:r>
      <w:r>
        <w:t>. El abogado del Estado evacuó el trámite de alegaciones conferido mediante escrito registrado en fecha 2 de septiembre de 2020, que en lo sustancial, a continuación, se resume.</w:t>
      </w:r>
    </w:p>
    <w:p w:rsidR="005728DD" w:rsidRDefault="005728DD" w:rsidP="005728DD">
      <w:pPr>
        <w:pStyle w:val="TextoNormal"/>
      </w:pPr>
    </w:p>
    <w:p w:rsidR="005728DD" w:rsidRDefault="005728DD" w:rsidP="005728DD">
      <w:pPr>
        <w:pStyle w:val="TextoNormal"/>
      </w:pPr>
      <w:r>
        <w:t>a) Tras delimitar como cuestión objeto de debate en este proceso la necesidad o no de solicitar el suplicatorio a ambas cámaras de las Cortes Generales para continuar el juicio oral contra los demandantes y la incidencia de su denegación en el derecho garantizado en el art. 23.2 CE, opone a la admisión del recurso de amparo su carácter prematuro, ya que según resulta de la STS 459/2019, de 14 de octubre, y del ATS de 29 de enero de 2020, recaídos en la causa especial núm. 20907-2017, la vulneración denunciada se hizo valer en el trámite de cuestiones previas y en el incidente de nulidad de actuaciones. Así pues, cuando la demanda de amparo fue presentada aún permanecía abierto un cauce procesal legalmente pertinente en la vía judicial para dilucidar la cuestión debatida. De modo que, de conformidad con la doctrina recogida en las SSTC 155/2019, de 28 de noviembre, FJ 1, y 10/2020, de 28 de enero, FJ 3, las lesiones de derechos fundamentales alegadas han sido planteadas de forma prematura en el proceso de amparo, lo que ha de determinar su inadmisión a trámite.</w:t>
      </w:r>
    </w:p>
    <w:p w:rsidR="005728DD" w:rsidRDefault="005728DD" w:rsidP="005728DD">
      <w:pPr>
        <w:pStyle w:val="TextoNormal"/>
      </w:pPr>
    </w:p>
    <w:p w:rsidR="005728DD" w:rsidRDefault="005728DD" w:rsidP="005728DD">
      <w:pPr>
        <w:pStyle w:val="TextoNormal"/>
      </w:pPr>
      <w:r>
        <w:t xml:space="preserve">b) En cuanto a la cuestión de fondo suscitada, sostiene, con reproducción de la doctrina de las SSTC 9/1990, de 18 de enero, FJ 3 B), y 124/2001, de 4 de junio, que la inmunidad protege al parlamentario mientras lo sea, tanto frente a actuaciones penales motivadas por hechos sucedidos antes de la elección, si su inculpación o procesamiento son posteriores a su elección, como a las incoadas por hechos sucedidos después de obtener el escaño, ya que en ambos casos cabe la instrumentalización del proceso para los fines que esta garantía quiere evitar. Por eso mismo, no tiene sentido respecto de procedimientos penales iniciados </w:t>
      </w:r>
      <w:r>
        <w:lastRenderedPageBreak/>
        <w:t>antes de adquirir la condición de parlamentario en los que se hubiera producido ya la inculpación o el procesamiento. En tales supuestos no se puede hablar de propósitos de alterar la composición de la cámara o de obstaculizar su funcionamiento.</w:t>
      </w:r>
    </w:p>
    <w:p w:rsidR="005728DD" w:rsidRDefault="005728DD" w:rsidP="005728DD">
      <w:pPr>
        <w:pStyle w:val="TextoNormal"/>
      </w:pPr>
    </w:p>
    <w:p w:rsidR="005728DD" w:rsidRDefault="005728DD" w:rsidP="005728DD">
      <w:pPr>
        <w:pStyle w:val="TextoNormal"/>
      </w:pPr>
      <w:r>
        <w:t>Esta doctrina constitucional y una recta interpretación del art. 71.2 CE, que se refiere a la imposibilidad de que puedan ser “inculpados ni procesados” los diputados o senadores, ha de conducir a la conclusión contraria a la sostenida por los recurrentes, pues ya habían sido procesados cuando no ostentaban aún la condición de diputados, habiendo resultado electos de forma sobrevenida durante el juicio oral que venía celebrándose desde hacía tres meses. Desde octubre de 2017 estaba vigente la medida personal de prisión provisional acordada respecto de los mismos y en esas circunstancias y con pleno conocimiento de las limitaciones que ello conllevaba habían sido elegidos para encabezar sus respectivas listas electorales, y votados con idéntico conocimiento.</w:t>
      </w:r>
    </w:p>
    <w:p w:rsidR="005728DD" w:rsidRDefault="005728DD" w:rsidP="005728DD">
      <w:pPr>
        <w:pStyle w:val="TextoNormal"/>
      </w:pPr>
    </w:p>
    <w:p w:rsidR="005728DD" w:rsidRDefault="005728DD" w:rsidP="005728DD">
      <w:pPr>
        <w:pStyle w:val="TextoNormal"/>
      </w:pPr>
      <w:r>
        <w:t>Igual conclusión se alcanza en relación con la interpretación, que debe realizarse a la luz del citado precepto constitucional, de los artículos de la Ley de enjuiciamiento criminal que regulan la prerrogativa. En efecto, solo en el caso de los diputados o senadores que ostenten tal condición, su art. 750 impide su “procesamiento” y que “se dirija un procedimiento” sin obtener la previa autorización de la cámara respectiva. Por su parte, los arts. 751 y 752 LECrim, al referirse a diputados o senadores que sean elegidos una vez procesados o que sean procesados en su interregno parlamentario, solo prevén la comunicación a la cámara, omitiendo cualquier referencia a la autorización prevista en el art. 750, que, en cualquier caso, tampoco sería aplicable a quienes, como los recurrentes, fueron procesados mucho antes de resultar elegidos y han comenzado a ser enjuiciados mediante la celebración del plenario, incluso antes de haber sido proclamados candidatos. Asimismo, interpretado el art. 753 LECrim también a la luz del art. 71.2 CE, debe concluirse que la suspensión hasta tanto se resuelva lo procedente, debe producirse exclusivamente en aquellos casos en los que es preceptiva esa autorización, por lo que quedaría extramuros de dicha exigencia el supuesto de los demandantes que, por las razones expuestas, no están sujetos a autorización de las cámaras por haber sido procesados con anterioridad a haber sido elegidos y haber adquirido la condición de diputado o senador.</w:t>
      </w:r>
    </w:p>
    <w:p w:rsidR="005728DD" w:rsidRDefault="005728DD" w:rsidP="005728DD">
      <w:pPr>
        <w:pStyle w:val="TextoNormal"/>
      </w:pPr>
    </w:p>
    <w:p w:rsidR="005728DD" w:rsidRDefault="005728DD" w:rsidP="005728DD">
      <w:pPr>
        <w:pStyle w:val="TextoNormal"/>
      </w:pPr>
      <w:r>
        <w:t>En definitiva, el abogado del Estado entiende que no pueden alegar que se cumple el fin de la prerrogativa, que es evitar “la eventualidad de que la vía penal sea utilizada con la intención de perturbar el funcionamiento de las cámaras o de alterar la composición que a la mismas ha dado la voluntad popular”. En su planteamiento el suplicatorio no sería una condición de procedibilidad sino que se convertiría en un privilegio de impunidad.</w:t>
      </w:r>
    </w:p>
    <w:p w:rsidR="005728DD" w:rsidRDefault="005728DD" w:rsidP="005728DD">
      <w:pPr>
        <w:pStyle w:val="TextoNormal"/>
      </w:pPr>
    </w:p>
    <w:p w:rsidR="005728DD" w:rsidRDefault="005728DD" w:rsidP="005728DD">
      <w:pPr>
        <w:pStyle w:val="TextoNormal"/>
      </w:pPr>
      <w:r>
        <w:t>Tras invocar en apoyo de sus alegaciones la doctrina de la STC 123/2001, de 4 de junio, y del ATS de 9 de julio de 2013, recaído en la causa especial núm. 20284-2012, estima que la prerrogativa del art. 71.2 CE se contempla en relación con supuestos de detención, inculpación o procesamiento, pero no puede extenderse más allá del correspondiente juicio de inculpación. En este caso, el auto de procesamiento se dictó con fecha 21 de marzo de 2018, siendo confirmado por auto de la sala de recursos de la Sala Segunda del Tribunal Supremo de 26 de junio de 2018. Además, por auto de 19 de julio de 2018 se acordó la conclusión del sumario, confirmada por auto de 25 de octubre de 2018. Y, por auto de 25 de octubre de 2018, se declaró abierto el juicio oral.</w:t>
      </w:r>
    </w:p>
    <w:p w:rsidR="005728DD" w:rsidRDefault="005728DD" w:rsidP="005728DD">
      <w:pPr>
        <w:pStyle w:val="TextoNormal"/>
      </w:pPr>
    </w:p>
    <w:p w:rsidR="005728DD" w:rsidRDefault="005728DD" w:rsidP="005728DD">
      <w:pPr>
        <w:pStyle w:val="TextoNormal"/>
      </w:pPr>
      <w:r>
        <w:lastRenderedPageBreak/>
        <w:t>En consecuencia, no solo el juicio de acusación (auto de procesamiento) ya se había producido en el momento de la elección y era firme, sino que también había concluido la fase intermedia con la valoración realizada por el tribunal de que los hechos indiciariamente fijados revisten caracteres de delito (arts. 642 a 645 LECrim). En ninguno de esos dos momentos previos era necesario el cumplimiento de ese requisito de procedibilidad, ya que los procesados o acusados no tenían la condición de diputado o senador, ni se había procedido siquiera a la convocatoria de elecciones generales.</w:t>
      </w:r>
    </w:p>
    <w:p w:rsidR="005728DD" w:rsidRDefault="005728DD" w:rsidP="005728DD">
      <w:pPr>
        <w:pStyle w:val="TextoNormal"/>
      </w:pPr>
    </w:p>
    <w:p w:rsidR="005728DD" w:rsidRDefault="005728DD" w:rsidP="005728DD">
      <w:pPr>
        <w:pStyle w:val="TextoNormal"/>
      </w:pPr>
      <w:r>
        <w:t xml:space="preserve">Por lo tanto, no procede el cumplimiento de un requisito sobre aquellas fases que ya han concluido, cuando el juicio de inculpación ya se ha producido, está cercano a concluir el juicio oral, cuya suspensión iría más allá de la paralización temporal de la acción de la justicia ante la imposibilidad de conservar la validez de la ingente prueba practicada hasta ese momento (art. 749 LECrim), lo que sería un efecto altamente pernicioso ante la cantidad de declaraciones ya practicadas (ATS de 14 de mayo de 2019, FJ 3.3). El sentido constitucional de la inmunidad y su propia justificación histórica no permiten igualar la autorización para procesar con la homologación parlamentaria del ya procesado. Carece de justificación constitucional que el normal desarrollo de un proceso terminado en su investigación y en fase de enjuiciamiento exija para su normalidad democrática el </w:t>
      </w:r>
      <w:r w:rsidRPr="005728DD">
        <w:rPr>
          <w:i/>
        </w:rPr>
        <w:t>nihil obstat</w:t>
      </w:r>
      <w:r>
        <w:t xml:space="preserve"> del órgano parlamentario.</w:t>
      </w:r>
    </w:p>
    <w:p w:rsidR="005728DD" w:rsidRDefault="005728DD" w:rsidP="005728DD">
      <w:pPr>
        <w:pStyle w:val="TextoNormal"/>
      </w:pPr>
    </w:p>
    <w:p w:rsidR="005728DD" w:rsidRDefault="005728DD" w:rsidP="005728DD">
      <w:pPr>
        <w:pStyle w:val="TextoNormal"/>
      </w:pPr>
      <w:r>
        <w:t>El abogado del Estado concluye su escrito de alegaciones interesando la inadmisión por prematura de la demanda de amparo y, subsidiariamente, su desestimación.</w:t>
      </w:r>
    </w:p>
    <w:p w:rsidR="005728DD" w:rsidRDefault="005728DD" w:rsidP="005728DD">
      <w:pPr>
        <w:pStyle w:val="TextoNormal"/>
      </w:pPr>
    </w:p>
    <w:p w:rsidR="005728DD" w:rsidRDefault="005728DD" w:rsidP="005728DD">
      <w:pPr>
        <w:pStyle w:val="TextoNormal"/>
      </w:pPr>
      <w:r w:rsidRPr="005728DD">
        <w:rPr>
          <w:rStyle w:val="NumeroAFNegritaCaracter"/>
        </w:rPr>
        <w:t>9</w:t>
      </w:r>
      <w:r>
        <w:t>. Mediante escrito presentado en el registro general de este tribunal el día 26 de octubre de 2020, la representación procesal de los recurrentes promovió incidente de recusación contra el magistrado don Antonio Narváez Rodríguez, por estimar que estaba incurso en la causa de recusación prevista en el art. 219.10 de la Ley Orgánica del Poder Judicial (LOPJ), en relación con el art. 80 LOTC.</w:t>
      </w:r>
    </w:p>
    <w:p w:rsidR="005728DD" w:rsidRDefault="005728DD" w:rsidP="005728DD">
      <w:pPr>
        <w:pStyle w:val="TextoNormal"/>
      </w:pPr>
    </w:p>
    <w:p w:rsidR="005728DD" w:rsidRDefault="005728DD" w:rsidP="005728DD">
      <w:pPr>
        <w:pStyle w:val="TextoNormal"/>
      </w:pPr>
      <w:r>
        <w:t>El Pleno, por providencia de 17 de noviembre de 2020, acordó abrir la correspondiente pieza separada, con suspensión de las actuaciones del recurso de amparo; designar instructor del incidente al magistrado don Alfredo Montoya Melgar; dar traslado del escrito de recusación y de lo actuado en relación con el mismo al Ministerio Fiscal y a las demás partes personadas, para que, en el plazo de tres días, manifestasen si se adherían o se oponían a la causa de recusación propuesta o si, en este momento, conocieran alguna otra causa de recusación; y, verificado dicho traslado, entregar copia al magistrado don Antonio Narváez Rodríguez, para que alegase lo que estimase conveniente.</w:t>
      </w:r>
    </w:p>
    <w:p w:rsidR="005728DD" w:rsidRDefault="005728DD" w:rsidP="005728DD">
      <w:pPr>
        <w:pStyle w:val="TextoNormal"/>
      </w:pPr>
    </w:p>
    <w:p w:rsidR="005728DD" w:rsidRDefault="005728DD" w:rsidP="005728DD">
      <w:pPr>
        <w:pStyle w:val="TextoNormal"/>
      </w:pPr>
      <w:r>
        <w:t>Por providencia del magistrado instructor de 9 de diciembre de 2020, se unieron a la pieza los escritos de alegaciones del abogado del Estado, de la representación procesal del partido político Vox y del Ministerio Fiscal; se tuvo por evacuado el trámite de audiencia al magistrado don Antonio Narváez Rodríguez; y se remitió lo actuado al Pleno para la resolución del incidente, de conformidad con lo dispuesto en el artículo 225.3, párrafo segundo, LOPJ, en relación con el artículo 80 LOTC.</w:t>
      </w:r>
    </w:p>
    <w:p w:rsidR="005728DD" w:rsidRDefault="005728DD" w:rsidP="005728DD">
      <w:pPr>
        <w:pStyle w:val="TextoNormal"/>
      </w:pPr>
    </w:p>
    <w:p w:rsidR="005728DD" w:rsidRDefault="005728DD" w:rsidP="005728DD">
      <w:pPr>
        <w:pStyle w:val="TextoNormal"/>
      </w:pPr>
      <w:r>
        <w:t>Por providencia del Pleno de 15 de diciembre de 2020, se dio trámite de alegaciones al Ministerio Fiscal por plazo de tres días (art. 225.3, párrafo tercero, LOPJ, en relación con el art. 80 LOTC); y se designó ponente al magistrado don Ricardo Enríquez Sancho.</w:t>
      </w:r>
    </w:p>
    <w:p w:rsidR="005728DD" w:rsidRDefault="005728DD" w:rsidP="005728DD">
      <w:pPr>
        <w:pStyle w:val="TextoNormal"/>
      </w:pPr>
    </w:p>
    <w:p w:rsidR="005728DD" w:rsidRDefault="005728DD" w:rsidP="005728DD">
      <w:pPr>
        <w:pStyle w:val="TextoNormal"/>
      </w:pPr>
      <w:r w:rsidRPr="005728DD">
        <w:rPr>
          <w:rStyle w:val="NumeroAFNegritaCaracter"/>
        </w:rPr>
        <w:t>10</w:t>
      </w:r>
      <w:r>
        <w:t>. Por auto de 16 de febrero de 2021, se aceptó la abstención de don Antonio Narváez Rodríguez, en consideración a su comunicación de la misma fecha relativa a varios recursos de amparo, entre ellos, el núm. 6720-2019. En la misma resolución se acuerda archivar la pieza separada de recusación abierta en el presente procedimiento.</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16 de marzo de 2021, se señaló para la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posición de las partes</w:t>
      </w:r>
      <w:r>
        <w:t>.</w:t>
      </w:r>
    </w:p>
    <w:p w:rsidR="005728DD" w:rsidRDefault="005728DD" w:rsidP="005728DD">
      <w:pPr>
        <w:pStyle w:val="TextoNormal"/>
      </w:pPr>
    </w:p>
    <w:p w:rsidR="005728DD" w:rsidRDefault="005728DD" w:rsidP="005728DD">
      <w:pPr>
        <w:pStyle w:val="TextoNormal"/>
      </w:pPr>
      <w:r>
        <w:t>Los demandantes de amparo, que fueron proclamados diputados electos por las juntas electorales provinciales de Lleida, Tarragona y Barcelona los días 2 y 3 de mayo de 2019 en las elecciones al Congreso de los Diputados y al Senado celebradas el 28 de abril de 2019, impugnan el auto de la Sala Segunda del Tribunal Supremo, de 14 de mayo de 2019, confirmado en súplica por auto de 3 de octubre de 2019, únicamente en cuanto, desestimando las peticiones formuladas por los recurrentes, acuerda que no ha lugar a solicitar autorización a la cámara legislativa mediante la remisión del correspondiente suplicatorio para continuar con el juicio oral en la causa especial núm. 20907-2017, ni a suspender sus sesiones.</w:t>
      </w:r>
    </w:p>
    <w:p w:rsidR="005728DD" w:rsidRDefault="005728DD" w:rsidP="005728DD">
      <w:pPr>
        <w:pStyle w:val="TextoNormal"/>
      </w:pPr>
    </w:p>
    <w:p w:rsidR="005728DD" w:rsidRDefault="005728DD" w:rsidP="005728DD">
      <w:pPr>
        <w:pStyle w:val="TextoNormal"/>
      </w:pPr>
      <w:r>
        <w:t xml:space="preserve">Los demandantes imputan a las citadas resoluciones judiciales la vulneración del derecho de participación y representación política (art. 23 CE), en relación con la prerrogativa de la inmunidad (art. 71.2 CE), y del derecho a un proceso con todas las garantías (art. 24.2 CE). Sostienen que la Sala Segunda del Tribunal Supremo lleva a cabo en dichas resoluciones una interpretación restrictiva de la prerrogativa de la inmunidad parlamentaria, según la cual solo procede solicitar autorización a la cámara para continuar un proceso penal contra alguno de sus miembros cuando se encuentre en la fase de instrucción o en la fase intermedia, que no se ajusta a la naturaleza propia de la prerrogativa, en tanto que garantía material frente a una actuación judicial susceptible de afectar a la libertad del representante político. El proceso penal debe ser entendido como un </w:t>
      </w:r>
      <w:r w:rsidRPr="005728DD">
        <w:rPr>
          <w:i/>
        </w:rPr>
        <w:t>iter</w:t>
      </w:r>
      <w:r>
        <w:t xml:space="preserve"> con diversas fases que culmina con el dictado de una sentencia firme, lo que permite concluir, en opinión de los recurrentes, que el ámbito de aplicación de la prerrogativa de la inmunidad se extiende durante todo el proceso penal, protegiendo así a aquellos diputados y senadores proclamados electos con posterioridad a su procesamiento, incluso en los supuestos en los que el proceso se encuentre ya en la fase de juicio oral.</w:t>
      </w:r>
    </w:p>
    <w:p w:rsidR="005728DD" w:rsidRDefault="005728DD" w:rsidP="005728DD">
      <w:pPr>
        <w:pStyle w:val="TextoNormal"/>
      </w:pPr>
    </w:p>
    <w:p w:rsidR="005728DD" w:rsidRDefault="005728DD" w:rsidP="005728DD">
      <w:pPr>
        <w:pStyle w:val="TextoNormal"/>
      </w:pPr>
      <w:r>
        <w:t xml:space="preserve">El Ministerio Fiscal interesa la desestimación de la demanda. Entiende, a partir del tenor literal del art. 71.2 CE, precepto que configura la inmunidad parlamentaria como una condición de procedibilidad para poder inculpar o procesar a un diputado o senador, y, sobre todo, de la finalidad de esta prerrogativa, que carecía de todo sentido la solicitud de autorización a la cámara respectiva en pleno desarrollo del juicio oral. Y es que la iniciación del proceso penal, la adopción de la prisión provisional, el procesamiento o la inculpación formal, la acusación provisional de quienes ejercían la acción penal y hasta el comienzo de las sesiones del juicio oral habían tenido lugar con bastante anterioridad a la convocatoria de </w:t>
      </w:r>
      <w:r>
        <w:lastRenderedPageBreak/>
        <w:t>elecciones. Así pues, es imposible que el proceso penal fuera emprendido o que el procesamiento fuera acordado más de un año antes de la proclamación como electos de los recurrentes con el alcance, objetivo, móvil, propósito o finalidad de perturbar el funcionamiento o composición de la cámara, cuya conformación se produciría mucho tiempo después a partir de un eventual e imprevisible proceso electoral futuro, de existencia, además, incierta y al que no se podía saber si los demandantes concurrirían. En consecuencia, el Ministerio Fiscal considera que la interpretación de la prerrogativa de la inmunidad que se efectúa en las resoluciones judiciales impugnadas no resulta en absoluto desacorde con el art. 71.2 CE, ni con la doctrina constitucional sobre la misma, ni, en fin, irrespetuosa con su sentido, alcance y finalidad, a la vista de que los recurrentes habían adquirido la condición de diputados electos no solo después de haber sido procesados, sino también de haberse abierto el juicio oral e iniciada ya la oportuna vista por unos hechos claramente desconectados de la actividad de las cámaras. Por lo tanto, no cabe apreciar la denunciada vulneración del derecho de los demandantes al ejercicio del cargo público representativo (art. 23.2 CE) ni, por consiguiente, de su derecho a un proceso con todas las garantías (art. 24.2 CE).</w:t>
      </w:r>
    </w:p>
    <w:p w:rsidR="005728DD" w:rsidRDefault="005728DD" w:rsidP="005728DD">
      <w:pPr>
        <w:pStyle w:val="TextoNormal"/>
      </w:pPr>
    </w:p>
    <w:p w:rsidR="005728DD" w:rsidRDefault="005728DD" w:rsidP="005728DD">
      <w:pPr>
        <w:pStyle w:val="TextoNormal"/>
      </w:pPr>
      <w:r>
        <w:t xml:space="preserve">Por su parte, la representación procesal del partido político Vox aduce como óbice procesal a la admisión de la demanda que no se satisface el requisito del agotamiento de la vía judicial previa [art. 44.1 a) LOTC], ya que cuando se interpuso no había concluido el procedimiento en el que se han dictado las resoluciones judiciales impugnadas, pues los recurrentes no habían promovido aún incidente de nulidad de actuaciones contra la STS, Sala Segunda, 459/2019, de 14 de octubre. Además, como segundo obstáculo a su admisión, alega que tampoco se cumple el requisito de la especial trascendencia constitucional, dado que la interpretación que los recurrentes pretenden de la prerrogativa de la inmunidad parlamentaria </w:t>
      </w:r>
      <w:r w:rsidRPr="005728DD">
        <w:rPr>
          <w:i/>
        </w:rPr>
        <w:t>ex</w:t>
      </w:r>
      <w:r>
        <w:t xml:space="preserve"> art. 71.2 CE es contraria a la jurisprudencia constitucional, que ha venido excluyendo su consideración como un privilegio personal. Subsidiariamente, en cuanto a la pretensión de fondo deducida, no aprecia la lesión de los derechos fundamentales denunciada, puesto que la Sala Segunda del Tribunal Supremo ha interpretado correctamente el alcance constitucional de la prerrogativa de la inmunidad, cuya finalidad es la de impedir que el inicio de un procedimiento penal tenga como intención alterar el correcto funcionamiento de la cámara. Extender su ámbito a la fase de juicio oral propiciaría precisamente un efecto contrario a dicha finalidad, ya que entonces la condición de diputado adquirida después de finalizada la fase de instrucción alteraría el correcto desarrollo de un procedimiento penal que se encuentre en su fase final.</w:t>
      </w:r>
    </w:p>
    <w:p w:rsidR="005728DD" w:rsidRDefault="005728DD" w:rsidP="005728DD">
      <w:pPr>
        <w:pStyle w:val="TextoNormal"/>
      </w:pPr>
    </w:p>
    <w:p w:rsidR="005728DD" w:rsidRDefault="005728DD" w:rsidP="005728DD">
      <w:pPr>
        <w:pStyle w:val="TextoNormal"/>
      </w:pPr>
      <w:r>
        <w:t xml:space="preserve">El abogado del Estado opone a la admisión del recurso su carácter prematuro, pues afirma que, según resulta de la STS, Sala Segunda, 459/2019, de 14 de diciembre, y del ATS, Sala Segunda, de 29 de enero de 2020, recaídos en la causa especial núm. 20907-2017, la vulneración constitucional ahora denunciada se hizo valer en el trámite de cuestiones previas y en el incidente de nulidad de actuaciones, de modo que cuando la demanda de amparo fue presentada aún permanecía abierto un cauce procesal legalmente pertinente en la vía judicial en el que plantear aquella vulneración. En cuanto a la cuestión de fondo controvertida sostiene que la doctrina constitucional sobre la prerrogativa de la inmunidad parlamentaria y una recta interpretación del art. 71.2 CE, precepto que se refiere a la imposibilidad de que puedan ser “inculpados ni procesados” los diputados o senadores “sin la previa autorización de la cámara respectiva”, han de conducir a una conclusión contraria a la defendida por los recurrentes, pues ya habían sido procesados cuando no ostentaban todavía la condición de </w:t>
      </w:r>
      <w:r>
        <w:lastRenderedPageBreak/>
        <w:t>diputados, que adquirieron de forma sobrevenida durante la celebración del juicio oral, cuyas sesiones se habían iniciado tres meses antes. El juicio de inculpación no solo se había efectuado en el momento de su elección y era firme, sino que también había concluido la fase intermedia con la valoración realizada por el tribunal de que los hechos indiciariamente fijados revestían caracteres de delito (arts. 462 a 465 LECrim). En ninguno de esos dos momentos procesales previos era necesario el cumplimiento del requisito de solicitar autorización a la cámara para la continuación del proceso penal, ya que los procesados o acusados no tenían la condición de diputados, ni se había procedido siquiera a la convocatoria de elecciones generales.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agotamiento de la vía judicial previa y trascendencia constitucional del recurso</w:t>
      </w:r>
      <w:r>
        <w:t>.</w:t>
      </w:r>
    </w:p>
    <w:p w:rsidR="005728DD" w:rsidRDefault="005728DD" w:rsidP="005728DD">
      <w:pPr>
        <w:pStyle w:val="TextoNormal"/>
      </w:pPr>
    </w:p>
    <w:p w:rsidR="005728DD" w:rsidRDefault="005728DD" w:rsidP="005728DD">
      <w:pPr>
        <w:pStyle w:val="TextoNormal"/>
      </w:pPr>
      <w:r>
        <w:t>Con carácter previo al examen de la pretensión deducida en la demanda, debemos pronunciarnos sobre la concurrencia de los requisitos que para su admisibilidad se establecen en la Ley Orgánica de este Tribunal (LOTC), pues el incumplimiento de alguno de ellos ha sido denunciado por el abogado del Estado y la representación procesal del partido político Vox. De conformidad con una reiterada doctrina constitucional, los defectos insubsanables de que pudiera estar afectado el recurso de amparo no resultan subsanados porque haya sido inicialmente admitido a trámite, de forma que la comprobación de los presupuestos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130/2018, de 12 de diciembre, FJ 2, y doctrina constitucional allí citada).</w:t>
      </w:r>
    </w:p>
    <w:p w:rsidR="005728DD" w:rsidRDefault="005728DD" w:rsidP="005728DD">
      <w:pPr>
        <w:pStyle w:val="TextoNormal"/>
      </w:pPr>
    </w:p>
    <w:p w:rsidR="005728DD" w:rsidRDefault="005728DD" w:rsidP="005728DD">
      <w:pPr>
        <w:pStyle w:val="TextoNormal"/>
      </w:pPr>
      <w:r>
        <w:t>A) Entre los requisitos establecidos para la admisión a trámite de una demanda de amparo se encuentra, como expresión del carácter subsidiario de este proceso constitucional, que se hayan agotado todos los medios de impugnación previstos por las normas procesales en la vía judicial antes de acudir a este tribunal [art. 44.1 a) LOTC]. En este sentido, tanto el abogado del Estado como la representación procesal del partido político Vox denuncian el carácter prematuro del recurso al no haber concluido aún la vía judicial previa en el momento de su interposición.</w:t>
      </w:r>
    </w:p>
    <w:p w:rsidR="005728DD" w:rsidRDefault="005728DD" w:rsidP="005728DD">
      <w:pPr>
        <w:pStyle w:val="TextoNormal"/>
      </w:pPr>
    </w:p>
    <w:p w:rsidR="005728DD" w:rsidRDefault="005728DD" w:rsidP="005728DD">
      <w:pPr>
        <w:pStyle w:val="TextoNormal"/>
      </w:pPr>
      <w:r>
        <w:t>a) Con carácter previo al enjuiciamiento de este óbice procesal, las alegaciones que el abogado del Estado efectúa al respecto han de ser objeto de algunas precisiones. Afirma en su escrito que “según resulta de la sentencia 459/2019, de 14 de octubre dictada en la referida causa especial y del auto del Tribunal Supremo de 29 de enero de 2020, por el que se desestima el incidente de nulidad de actuaciones interpuesto contra la sentencia anterior, FJ 10.1 B), la vulneración denunciada en el presente amparo se hizo valer así en el trámite de cuestiones previas como en el incidente de nulidad interpuesto contra la sentencia condenatoria, lo que, a juicio de esta representación, debería determinar la inadmisibilidad del presente amparo […] dado el momento procesal que se ha presentado la demanda, cuando aún permanecía abierto un cauce procesal legalmente pertinente para dilucidar las cuestiones de referencia en la vía judicial”.</w:t>
      </w:r>
    </w:p>
    <w:p w:rsidR="005728DD" w:rsidRDefault="005728DD" w:rsidP="005728DD">
      <w:pPr>
        <w:pStyle w:val="TextoNormal"/>
      </w:pPr>
    </w:p>
    <w:p w:rsidR="005728DD" w:rsidRDefault="005728DD" w:rsidP="005728DD">
      <w:pPr>
        <w:pStyle w:val="TextoNormal"/>
      </w:pPr>
      <w:r>
        <w:lastRenderedPageBreak/>
        <w:t>Pues bien, ha de señalarse, en primer lugar, que, no “resulta” de la citada sentencia que los demandantes de amparo hubieran planteado en el trámite de cuestiones previas la vulneración del derecho al ejercicio del cargo público representativo (art. 23.2 CE) y del derecho a un proceso con todas las garantías (art. 24.2 CE), al no haber solicitado la Sala Segunda del Tribunal Supremo autorización del Congreso de los Diputados para continuar el proceso penal contra ellos una vez proclamados diputados electos. De una parte, porque en la sentencia nada se dice sobre la inmunidad parlamentaria de los recurrentes como miembros del Congreso de los Diputados, de modo que no puede “resultar” de la evocada sentencia lo que el abogado del Estado afirma en su escrito de alegaciones. De otra parte, porque el trámite de cuestiones previas en el que se denunciaron supuestas vulneraciones de derechos fundamentales se desarrolló durante las sesiones del juicio oral celebradas los días 12, 13 y 14 de febrero de 2019. En esas fechas ni habían sido convocadas elecciones al Congreso de los Diputados y al Senado —Real Decreto 129/2019, de 4 de marzo—, ni, por lo tanto, los demandantes de amparo habían sido proclamados diputados electos —2 y 3 de mayo de 2019—. Así pues, no es posible que se hubiera planteado el tema litigioso controvertido en este recurso de amparo en el trámite de cuestiones previas, como confirma el visionado de las sesiones en las que se sustanció.</w:t>
      </w:r>
    </w:p>
    <w:p w:rsidR="005728DD" w:rsidRDefault="005728DD" w:rsidP="005728DD">
      <w:pPr>
        <w:pStyle w:val="TextoNormal"/>
      </w:pPr>
    </w:p>
    <w:p w:rsidR="005728DD" w:rsidRDefault="005728DD" w:rsidP="005728DD">
      <w:pPr>
        <w:pStyle w:val="TextoNormal"/>
      </w:pPr>
      <w:r>
        <w:t>En segundo lugar, es pertinente traer a colación que en uno de los incidentes de nulidad de actuaciones interpuestos contra la STS, Sala Segunda, 459/2019, de 4 de octubre, se denunció por parte de sus promotores, que habían adquirido, al igual que los demandantes, la condición de diputado y senador tras las elecciones al Congreso de los Diputados y al Senado celebradas el 28 de abril de 2019, que los autos de 14 de mayo y 3 de octubre de 2019 —ahora impugnados en amparo—, al denegar su petición de que se solicitase autorización a las cámaras para continuar el proceso penal, habían vulnerado el derecho fundamental a la participación y representación política (art. 23 CE), en relación con la garantía de la inmunidad parlamentaria (art. 71.2 CE), y el derecho a un proceso con todas las garantías (art. 24.2 CE). Pues bien, la Sala expresamente rechaza pronunciarse en el auto que resuelve los incidentes, entre otras, sobre dichas vulneraciones, al considerar “que la finalidad de este incidente no es que esta Sala se pronuncie de nuevo sobre aspectos ya valorados en resoluciones anteriores”, a cuyo contenido se remite (fundamento de Derecho 10.2.2). De modo que la Sala no vuelve a examinar en dicho auto, pese a que le habían sido planteadas, las vulneraciones de derechos fundamentales que los recurrentes suscitan ahora en sede constitucional contra los autos de 14 de mayo y 3 de octubre de 2019.</w:t>
      </w:r>
    </w:p>
    <w:p w:rsidR="005728DD" w:rsidRDefault="005728DD" w:rsidP="005728DD">
      <w:pPr>
        <w:pStyle w:val="TextoNormal"/>
      </w:pPr>
    </w:p>
    <w:p w:rsidR="005728DD" w:rsidRDefault="005728DD" w:rsidP="005728DD">
      <w:pPr>
        <w:pStyle w:val="TextoNormal"/>
      </w:pPr>
      <w:r>
        <w:t xml:space="preserve">b) Las precisiones anteriores no permiten obviar que los demandantes, sin haber finalizado el proceso </w:t>
      </w:r>
      <w:r w:rsidRPr="005728DD">
        <w:rPr>
          <w:i/>
        </w:rPr>
        <w:t>a quo</w:t>
      </w:r>
      <w:r>
        <w:t>, han acudido en amparo ante este tribunal por una supuesta vulneración de derechos fundamentales producida en el seno de un proceso penal que se hallaba aún en curso en el momento de interposición de la demanda y que hoy ya se encuentra finalizado de forma definitiva. Esta circunstancia hace necesario un pronunciamiento sobre si, en tales condiciones procesales, se puede estimar respetado el principio de subsidiariedad que caracteriza el proceso constitucional de amparo (STC 9/1992, de 16 de enero, FJ 1) y, más concretamente, si cabe entender satisfecho, como afirman los demandantes, o no, como sostienen, por el contrario, el abogado del Estado y la representación procesal del partido político Vox, el requisito establecido en el art. 44.1 a) LOTC para la admisión de la demanda, esto es, el agotamiento de la vía judicial previa mediante la interposición de los recursos pertinentes contra las resoluciones judiciales impugnadas.</w:t>
      </w:r>
    </w:p>
    <w:p w:rsidR="005728DD" w:rsidRDefault="005728DD" w:rsidP="005728DD">
      <w:pPr>
        <w:pStyle w:val="TextoNormal"/>
      </w:pPr>
    </w:p>
    <w:p w:rsidR="005728DD" w:rsidRDefault="005728DD" w:rsidP="005728DD">
      <w:pPr>
        <w:pStyle w:val="TextoNormal"/>
      </w:pPr>
      <w:r>
        <w:lastRenderedPageBreak/>
        <w:t>En relación con el proceso penal, este tribunal, desde la STC 147/1994, de 12 de mayo (FJ 1), cuya doctrina sintetizan más recientemente las SSTC 129/2018, 130/2018 y 131/2018 (FFJJ, 6, 5 y 5, respectivamente), ha venido manteniendo como regla general que,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Así pues,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w:t>
      </w:r>
    </w:p>
    <w:p w:rsidR="005728DD" w:rsidRDefault="005728DD" w:rsidP="005728DD">
      <w:pPr>
        <w:pStyle w:val="TextoNormal"/>
      </w:pPr>
    </w:p>
    <w:p w:rsidR="005728DD" w:rsidRDefault="005728DD" w:rsidP="005728DD">
      <w:pPr>
        <w:pStyle w:val="TextoNormal"/>
      </w:pPr>
      <w:r>
        <w:t>Ahora bien, para preservar el libre ejercicio de los derechos fundamentales, hemos establecido —como se recuerda en las citadas SSTC 129/2018, 130/2018 y 131/2018— las siguientes excepciones a esa regla general:</w:t>
      </w:r>
    </w:p>
    <w:p w:rsidR="005728DD" w:rsidRDefault="005728DD" w:rsidP="005728DD">
      <w:pPr>
        <w:pStyle w:val="TextoNormal"/>
      </w:pPr>
    </w:p>
    <w:p w:rsidR="005728DD" w:rsidRDefault="005728DD" w:rsidP="005728DD">
      <w:pPr>
        <w:pStyle w:val="TextoNormal"/>
      </w:pPr>
      <w:r>
        <w:t>“i)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mayor intensidad de la lesión del derecho por su mantenimiento en el tiempo: hipótesis que, hasta la fecha, este tribunal ha acogido en relación con el derecho a la libertad personal y a la libertad sindical (SSTC 128/1995, de 26 de julio, y 27/1997, de 11 de febrero).</w:t>
      </w:r>
    </w:p>
    <w:p w:rsidR="005728DD" w:rsidRDefault="005728DD" w:rsidP="005728DD">
      <w:pPr>
        <w:pStyle w:val="TextoNormal"/>
      </w:pPr>
    </w:p>
    <w:p w:rsidR="005728DD" w:rsidRDefault="005728DD" w:rsidP="005728DD">
      <w:pPr>
        <w:pStyle w:val="TextoNormal"/>
      </w:pPr>
      <w:r>
        <w:t>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en causa penal tras orden de busca y captura del declarado rebelde), como con el derecho al juez ordinario predeterminado por la ley, aunque solo en casos en los que se reclamaba la actuación de la jurisdicción ordinaria frente a la jurisdicción militar (SSTC 161/1995, de 7 de noviembre, FJ 4, y 18/2000, de 31 de enero, FJ 2).</w:t>
      </w:r>
    </w:p>
    <w:p w:rsidR="005728DD" w:rsidRDefault="005728DD" w:rsidP="005728DD">
      <w:pPr>
        <w:pStyle w:val="TextoNormal"/>
      </w:pPr>
    </w:p>
    <w:p w:rsidR="005728DD" w:rsidRDefault="005728DD" w:rsidP="005728DD">
      <w:pPr>
        <w:pStyle w:val="TextoNormal"/>
      </w:pPr>
      <w:r>
        <w:t>iii) Por último, cabe incluir entre estas excepciones los supuestos de revocación de sentencias penales absolutorias que habilitan la posibilidad de nuevo enjuiciamiento (STC 23/2008, de 11 de febrero, FJ 2), pues el tribunal ha apreciado que en tales casos lo que está en juego es la prohibición de doble enjuiciamiento (</w:t>
      </w:r>
      <w:r w:rsidRPr="005728DD">
        <w:rPr>
          <w:i/>
        </w:rPr>
        <w:t>ne bis in ídem procesal</w:t>
      </w:r>
      <w:r>
        <w:t xml:space="preserve">), con independencia del resultado favorable o desfavorable del mismo, lo que constituye un gravamen suficiente para acudir directamente al amparo. Bien es cierto que, en estos casos, la flexibilidad se ha llevado al límite admitiendo que “en casos de anulación de sentencias absolutorias con retroacción de actuaciones se puede o bien impugnar en amparo directamente dicha decisión, sin incurrir en falta de agotamiento, o bien esperar a que se dicte la nueva decisión </w:t>
      </w:r>
      <w:r>
        <w:lastRenderedPageBreak/>
        <w:t>por si la misma fuera absolutoria, sin incurrir en extemporaneidad (STC 149/2001, de 27 de julio)” (STC 130/2018, FJ 5).</w:t>
      </w:r>
    </w:p>
    <w:p w:rsidR="005728DD" w:rsidRDefault="005728DD" w:rsidP="005728DD">
      <w:pPr>
        <w:pStyle w:val="TextoNormal"/>
      </w:pPr>
    </w:p>
    <w:p w:rsidR="005728DD" w:rsidRDefault="005728DD" w:rsidP="005728DD">
      <w:pPr>
        <w:pStyle w:val="TextoNormal"/>
      </w:pPr>
      <w:r>
        <w:t>c) A la vista de la doctrina constitucional expuesta, hemos de analizar si las vulneraciones de derechos fundamentales alegadas por los demandantes pueden subsumirse en alguno de aquellos supuestos que han sido excepcionados como admisibles para poder acudir en amparo ante este tribunal sin haber finalizado la causa penal en las que se han producido.</w:t>
      </w:r>
    </w:p>
    <w:p w:rsidR="005728DD" w:rsidRDefault="005728DD" w:rsidP="005728DD">
      <w:pPr>
        <w:pStyle w:val="TextoNormal"/>
      </w:pPr>
    </w:p>
    <w:p w:rsidR="005728DD" w:rsidRDefault="005728DD" w:rsidP="005728DD">
      <w:pPr>
        <w:pStyle w:val="TextoNormal"/>
      </w:pPr>
      <w:r>
        <w:t>Los demandantes, como pone de manifiesto la argumentación en la que se sustenta su pretensión, lo que persiguen con el recurso de amparo es preservar la prerrogativa de la inmunidad parlamentaria prevista en el art. 71.2 CE, la cual, junto con las de la inviolabilidad y el aforamiento, como ya hemos tenido ocasión de declarar, “se incorpora y encuentra su acomodo natural […] en el contenido del derecho fundamental reconocido en el art. 23.2 CE […], que garantiza no solo el acceso o permanencia en el cargo público representativo, sino también los derechos y prerrogativas propios del status del cargo” (SSTC 123/2001 y 124/2001, de 4 de junio, FFJJ 3; con cita de la STC 22/1997, de 11 de febrero, FJ 2). De modo que el derecho fundamental al ejercicio del cargo público representativo en condiciones de igualdad y con los requisitos que señalen las leyes (art. 23.2 CE) es el derecho verdaderamente nuclear y vertebrador de este recurso de amparo. Aunque en la demanda se invoca también el derecho a un proceso con todas las garantías (art. 24.2 CE), su invocación es meramente tributaria de la de aquel derecho, en cuanto la prerrogativa de la inmunidad, esto es, la necesidad de obtener la autorización de la respectiva cámara constituye un presupuesto de procedibilidad para, en palabras del art. 71.2 CE, poder “inculpar” o “procesar” a cualquiera de sus miembros, por lo que solo si se apreciara la lesión del derecho al ejercicio del cargo público representativo (art. 23.2 CE) podría entenderse vulnerado, como resultado de dicha lesión, el art. 24.2 CE, en su vertiente de derecho a un proceso con todas las garantías (STC 123/2001, FJ 3). Por lo tanto, al afectar directamente las resoluciones impugnadas a un derecho fundamental de carácter sustantivo, como es el reconocido en el art. 23.2 CE, el recurso de amparo es susceptible de ser incardinado en el primer supuesto de las excepciones señaladas a la regla general que requiere la finalización del proceso penal para entender correctamente agotada la vía judicial. De modo que en este caso no constituye una exigencia ineludible que los demandantes tengan que recorrer todo el itinerario previo hasta la conclusión definitiva del proceso para poder acudir en amparo ante este tribunal en defensa de aquel derecho fundamental.</w:t>
      </w:r>
    </w:p>
    <w:p w:rsidR="005728DD" w:rsidRDefault="005728DD" w:rsidP="005728DD">
      <w:pPr>
        <w:pStyle w:val="TextoNormal"/>
      </w:pPr>
    </w:p>
    <w:p w:rsidR="005728DD" w:rsidRDefault="005728DD" w:rsidP="005728DD">
      <w:pPr>
        <w:pStyle w:val="TextoNormal"/>
      </w:pPr>
      <w:r>
        <w:t>Además, imponerles el seguimiento exhaustivo del proceso penal en todas sus fases o etapas hasta su conclusión definitiva supondría una rigorista exigencia del cumplimiento del requisito del agotamiento de la vía judicial, que implicaría, de estimarse la pretensión de amparo, quizás no un perjuicio irreparable, pero sí, al menos, un gravamen adicional o una mayor intensidad en la lesión del derecho fundamental por su mantenimiento en el tiempo, dado el efecto perturbador que la tramitación del proceso penal hasta su conclusión podría conllevar no solo para los demandantes en el ejercicio de las funciones parlamentarias, sino también para el funcionamiento y la composición de la propia cámara.</w:t>
      </w:r>
    </w:p>
    <w:p w:rsidR="005728DD" w:rsidRDefault="005728DD" w:rsidP="005728DD">
      <w:pPr>
        <w:pStyle w:val="TextoNormal"/>
      </w:pPr>
    </w:p>
    <w:p w:rsidR="005728DD" w:rsidRDefault="005728DD" w:rsidP="005728DD">
      <w:pPr>
        <w:pStyle w:val="TextoNormal"/>
      </w:pPr>
      <w:r>
        <w:t xml:space="preserve">La resolución judicial a la que es imputable en su origen la lesión del derecho fundamental al ejercicio del cargo público representativo (art. 23.2 CE) ha sido impugnada en amparo una vez que los demandantes han interpuesto contra ella el recurso ordinario legalmente </w:t>
      </w:r>
      <w:r>
        <w:lastRenderedPageBreak/>
        <w:t>procedente (recurso de súplica), que ha dado ocasión a la Sala Segunda del Tribunal Supremo, que conoce en única instancia de la causa especial núm. 20907-2017, de restablecer aquel derecho fundamental sustantivo presuntamente vulnerado. En definitiva, atendiendo a las concretas circunstancias que concurren en este caso, ha de entenderse agotada la vía judicial previa, sin que para ello fuera imprescindible que los demandantes hubieran esperado a la conclusión del proceso penal antes de acudir a este tribunal. Por consiguiente, debe ser desestimado el supuesto carácter prematuro del recurso de amparo.</w:t>
      </w:r>
    </w:p>
    <w:p w:rsidR="005728DD" w:rsidRDefault="005728DD" w:rsidP="005728DD">
      <w:pPr>
        <w:pStyle w:val="TextoNormal"/>
      </w:pPr>
    </w:p>
    <w:p w:rsidR="005728DD" w:rsidRDefault="005728DD" w:rsidP="005728DD">
      <w:pPr>
        <w:pStyle w:val="TextoNormal"/>
      </w:pPr>
      <w:r>
        <w:t>Sin desconocer la distinta naturaleza de una y otra prerrogativa parlamentaria —sustantiva la de la inviolabilidad, que garantiza la irresponsabilidad jurídica de los parlamentarios por las opiniones manifestadas en el ejercicio de sus funciones, y formal la de la inmunidad, que protege a los diputados y senadores de ser detenidos salvo en caso de flagrante delito y de que puedan ser inculpados o procesados sin la previa autorización de la cámara respectiva—, la conclusión a la que hemos llegado respecto del agotamiento de la vía judicial previa se corresponde con el criterio implícitamente ya mantenido por este tribunal en la STC 30/1997, de 24 de febrero, al conocer en cuanto al fondo, sin necesidad de que se hubieran agotado todas las fases del proceso judicial, el recurso de amparo interpuesto, por vulneración del derecho al ejercicio del cargo representativo (art. 23.2 CE), frente a resoluciones judiciales que habían infringido la prerrogativa de la inviolabilidad parlamentaria al admitir a trámite una demanda contra un diputado por las expresiones vertidas con ocasión de una intervención en la cámara.</w:t>
      </w:r>
    </w:p>
    <w:p w:rsidR="005728DD" w:rsidRDefault="005728DD" w:rsidP="005728DD">
      <w:pPr>
        <w:pStyle w:val="TextoNormal"/>
      </w:pPr>
    </w:p>
    <w:p w:rsidR="005728DD" w:rsidRDefault="005728DD" w:rsidP="005728DD">
      <w:pPr>
        <w:pStyle w:val="TextoNormal"/>
      </w:pPr>
      <w:r>
        <w:t>A mayor abundamiento, sin perjuicio de lo dicho sobre el derecho fundamental nuclear y vertebrador de este recurso de amparo, el resultado de nuestro análisis sobre el requisito del agotamiento de la vía judicial previa no sería distinto en una consideración autónoma del derecho a un proceso con todas las garantías (art. 24.2 CE). En efecto, en la hipótesis de que fuera estimada su vulneración, se trataría de una lesión actual, cuyos efectos se proyectarían de manera inmediata sobre las posteriores actuaciones jurisdiccionales y que, en este caso, ha sido analizada y resuelta de modo definitivo en los autos ahora impugnados. Así pues, desde la perspectiva de este derecho fundamental, el recurso de amparo sería susceptible de ser incardinado también en la segunda de las excepciones a la regla general que impone la conclusión del proceso penal antes a acudir en amparo a este tribunal.</w:t>
      </w:r>
    </w:p>
    <w:p w:rsidR="005728DD" w:rsidRDefault="005728DD" w:rsidP="005728DD">
      <w:pPr>
        <w:pStyle w:val="TextoNormal"/>
      </w:pPr>
    </w:p>
    <w:p w:rsidR="005728DD" w:rsidRDefault="005728DD" w:rsidP="005728DD">
      <w:pPr>
        <w:pStyle w:val="TextoNormal"/>
      </w:pPr>
      <w:r>
        <w:t>B) El segundo motivo de inadmisión de la demanda de amparo que alega la representación procesal del partido político Vox es la falta de especial trascendencia constitucional del recurso.</w:t>
      </w:r>
    </w:p>
    <w:p w:rsidR="005728DD" w:rsidRDefault="005728DD" w:rsidP="005728DD">
      <w:pPr>
        <w:pStyle w:val="TextoNormal"/>
      </w:pPr>
    </w:p>
    <w:p w:rsidR="005728DD" w:rsidRDefault="005728DD" w:rsidP="005728DD">
      <w:pPr>
        <w:pStyle w:val="TextoNormal"/>
      </w:pPr>
      <w:r>
        <w:t xml:space="preserve">El incumplimiento de este presupuesto se anuda a las razones de fondo que la referida representación procesal opone a la estimación del recurso, al considerar que la interpretación que los demandantes pretenden de la prerrogativa de la inmunidad, extendiéndola a quienes adquieren la condición de procesado o inculpado con anterioridad a la de diputado, constituye un privilegio procesal lesivo de los arts. 1 y 24.1 CE y contrario a la jurisprudencia constitucional. Sin embargo, con base en esta argumentación en modo alguno puede sustentarse la inexistencia de las causas de especial trascendencia constitucional apreciadas por este tribunal en la fase de admisión del recurso, pues va dirigida a contrarrestar las lesiones de derechos fundamentales denunciadas en la demanda, pero nada dice respecto a que el recurso plantea un problema o afecte a una faceta de un derecho fundamental sobre el que no hay doctrina de este tribunal [STC 155/2009, FJ 2 a)] o a que el asunto suscitado </w:t>
      </w:r>
      <w:r>
        <w:lastRenderedPageBreak/>
        <w:t>trasciende el caso concreto al poder tener unas consecuencias políticas generales [STC 155/2009, FJ 2 g)], que fueron los motivos de especial trascendencia constitucional apreciados en la providencia de admisión. En cualquier caso, no resulta ocioso recordar que “es a este tribunal a quien corresponde apreciar si el contenido del recurso justifica una decisión sobre el fondo en razón de su especial trascendencia constitucional, que encuentra su momento procesal idóneo en el trámite de admisión contemplado en el art. 50.1 LOTC” (SSTC 192/2012, de 29 de octubre, FJ 2, y 3/2020, de 15 de enero, FJ 4).</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jurisprudencial sobre la prerrogativa de la inmunidad parlamentaria</w:t>
      </w:r>
      <w:r>
        <w:t>.</w:t>
      </w:r>
    </w:p>
    <w:p w:rsidR="005728DD" w:rsidRDefault="005728DD" w:rsidP="005728DD">
      <w:pPr>
        <w:pStyle w:val="TextoNormal"/>
      </w:pPr>
    </w:p>
    <w:p w:rsidR="005728DD" w:rsidRDefault="005728DD" w:rsidP="005728DD">
      <w:pPr>
        <w:pStyle w:val="TextoNormal"/>
      </w:pPr>
      <w:r>
        <w:t>Desestimados los motivos de inadmisión de la demanda, la cuestión de fondo controvertida estriba en determinar si la decisión de la Sala Segunda del Tribunal Supremo de no solicitar la autorización del Congreso de los Diputados mediante la remisión del correspondiente suplicatorio para la continuación de las sesiones del juicio oral en la causa especial núm. 20907-2017, seguida, entre otros, contra los recurrentes, ha vulnerado, como estos sostienen, o no, como, por el contrario, mantienen el abogado del Estado, la representación procesal del partido político Vox y el Ministerio Fiscal, sus derechos fundamentales al ejercicio del cargo público representativo (art. 23.2 CE), en relación con el art. 71.2 CE, y a un proceso público con todas las garantías (art. 24.2 CE).</w:t>
      </w:r>
    </w:p>
    <w:p w:rsidR="005728DD" w:rsidRDefault="005728DD" w:rsidP="005728DD">
      <w:pPr>
        <w:pStyle w:val="TextoNormal"/>
      </w:pPr>
    </w:p>
    <w:p w:rsidR="005728DD" w:rsidRDefault="005728DD" w:rsidP="005728DD">
      <w:pPr>
        <w:pStyle w:val="TextoNormal"/>
      </w:pPr>
      <w:r>
        <w:t>A) Este tribunal ya ha tenido ocasión de abordar la prerrogativa de la inmunidad parlamentaria desde la perspectiva del derecho fundamental al ejercicio del cargo público representativo (art. 23.2 CE), sentando al respecto una doctrina que conviene traer a colación, puesto que puede aportar la fundamentación precisa para la resolución de la cuestión ahora en disputa.</w:t>
      </w:r>
    </w:p>
    <w:p w:rsidR="005728DD" w:rsidRDefault="005728DD" w:rsidP="005728DD">
      <w:pPr>
        <w:pStyle w:val="TextoNormal"/>
      </w:pPr>
    </w:p>
    <w:p w:rsidR="005728DD" w:rsidRDefault="005728DD" w:rsidP="005728DD">
      <w:pPr>
        <w:pStyle w:val="TextoNormal"/>
      </w:pPr>
      <w:r>
        <w:t xml:space="preserve">a) La inmunidad de la que son titulares los diputados y senadores durante el periodo de su mandato </w:t>
      </w:r>
      <w:r w:rsidRPr="005728DD">
        <w:rPr>
          <w:i/>
        </w:rPr>
        <w:t>ex</w:t>
      </w:r>
      <w:r>
        <w:t xml:space="preserve"> art. 71.2 CE se encuentra conectada con la proclamación del art. 66.3 CE de que “[l]as Cortes Generales son inviolables” y se concreta, en su dimensión material, en la excepción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En estos términos y con este alcance “nuestra Constitución ha venido a incorporar un instituto que, en la medida en que pueda suponer una paralización, siquiera temporal, de la acción de la justicia y, en su caso, del derecho fundamental a la tutela de los jueces, aparece, </w:t>
      </w:r>
      <w:r w:rsidRPr="005728DD">
        <w:rPr>
          <w:i/>
        </w:rPr>
        <w:t>prima facie</w:t>
      </w:r>
      <w:r>
        <w:t>, como una posible excepción a uno de los pilares básicos del Estado de Derecho, el sometimiento de todos al ‘imperio de la Ley como expresión de la voluntad popular’ (preámbulo de la Constitución, párrafo tercero)” (STC 206/1992, de 27 de noviembre, FJ 3; doctrina reiterada en las SSTC 123/2001 y 124/2001, FFJJ 4).</w:t>
      </w:r>
    </w:p>
    <w:p w:rsidR="005728DD" w:rsidRDefault="005728DD" w:rsidP="005728DD">
      <w:pPr>
        <w:pStyle w:val="TextoNormal"/>
      </w:pPr>
    </w:p>
    <w:p w:rsidR="005728DD" w:rsidRDefault="005728DD" w:rsidP="005728DD">
      <w:pPr>
        <w:pStyle w:val="TextoNormal"/>
      </w:pPr>
      <w:r>
        <w:t xml:space="preserve">b) La inmunidad como prerrogativa de los miembros de las Cortes Generales, que goza de idéntica legitimidad a la del resto de las instituciones constitucionales, no es, al igual que las demás prerrogativas parlamentarias, “un privilegio, es decir un derecho particular de determinados ciudadanos, que se verían, así, favorecidos respecto del resto” (STC 206/1992, FJ 3; doctrina que reitera la STC 124/2001, FJ 4), ni tampoco puede considerarse como expresión de un pretendido </w:t>
      </w:r>
      <w:r w:rsidRPr="005728DD">
        <w:rPr>
          <w:i/>
        </w:rPr>
        <w:t>ius singulare</w:t>
      </w:r>
      <w:r>
        <w:t xml:space="preserve"> (STC 22/1997, FJ 5). Las prerrogativas del art. 71 CE, entre ellas, la inmunidad, “se atribuyen a los miembros de las Cortes Generales </w:t>
      </w:r>
      <w:r>
        <w:lastRenderedPageBreak/>
        <w:t>no en atención a un interés privado de sus titulares, sino a causa de un interés general, cual es el de asegurar su libertad e independencia en tanto que reflejo de la que se garantiza al órgano constitucional al que pertenecen” (STC 22/1997, FJ 5). Así, este tribunal tiene declarado que “la inmunidad parlamentaria no puede concebirse como un privilegio personal, esto es, como un instrumento que únicamente se establece en beneficio de las personas de Diputados o Senadores al objeto de sustraer sus conductas del conocimiento o decisión de Jueces y Tribunales, [pues] la existencia de tal tipo de privilegios pugnaría, entre otras cosas, con los valores de ‘justicia’ e ‘igualdad’ que el art. 1.1 CE reconoce como ‘superiores’ de nuestro ordenamiento jurídico” (STC 90/1985, de 22 de julio, FJ 6; doctrina que reiteran las SSTC 123/2001 y 124/2001, FFJJ 4).</w:t>
      </w:r>
    </w:p>
    <w:p w:rsidR="005728DD" w:rsidRDefault="005728DD" w:rsidP="005728DD">
      <w:pPr>
        <w:pStyle w:val="TextoNormal"/>
      </w:pPr>
    </w:p>
    <w:p w:rsidR="005728DD" w:rsidRDefault="005728DD" w:rsidP="005728DD">
      <w:pPr>
        <w:pStyle w:val="TextoNormal"/>
      </w:pPr>
      <w:r>
        <w:t>c) En estrecha conexión con la observación que se acaba de efectuar, conviene resaltar que el carácter objetivo de las prerrogativas parlamentarias “se refuerza […] en el caso de la inmunidad, de tal modo que la misma adquiere el sentido de una prerrogativa institucional” (STC 206/1992, FJ 3). En cuanto expresión más característica de la inviolabilidad de las Cortes Generales, “la inmunidad […] se justifica en atención al conjunto de funciones parlamentarias respecto de las que tiene, como finalidad primordial, su protección […], de ahí que el ejercicio de la facultad concreta que de la inmunidad deriva se haga en forma de decisión que la totalidad de la Cámara respectiva adopta”. Y “esta protección a la que la inmunidad se orienta no lo es, sin embargo, frente a la improcedencia o a la falta de fundamentación de las acciones penales dirigidas contra los diputados y senadores”, sino frente a la amenaza de tipo político consistente en la eventualidad de que la vía penal sea utilizada, injustificada o torticeramente, con la intención de perturbar el funcionamiento de las cámaras o de alterar la composición que a las mismas le ha dado el cuerpo electoral en el ejercicio del derecho de sufragio activo (art. 23.1 CE; STC 90/1985, FJ 6; doctrina que reiteran las SSTC 206/1992, FJ 3; 123/2001 y 124/2001, FFJJ 4).</w:t>
      </w:r>
    </w:p>
    <w:p w:rsidR="005728DD" w:rsidRDefault="005728DD" w:rsidP="005728DD">
      <w:pPr>
        <w:pStyle w:val="TextoNormal"/>
      </w:pPr>
    </w:p>
    <w:p w:rsidR="005728DD" w:rsidRDefault="005728DD" w:rsidP="005728DD">
      <w:pPr>
        <w:pStyle w:val="TextoNormal"/>
      </w:pPr>
      <w:r>
        <w:t>En esta misma línea, hemos declarado en la STC 243/1988, de 19 de diciembre, que la inmunidad “es una prerrogativa de naturaleza formal que protege la libertad personal de los representantes populares contra detenciones y procesos judiciales que pueden desembocar en privación de libertad, en tanto que, por manipulaciones políticas, se impida al parlamentario asistir a las reuniones de las cámaras y, a consecuencia de ello, se altere indebidamente su composición y funcionamiento” [FJ 3 b); doctrina reiterada en las SSTC 9/1990, de 18 de enero, FJ 3 B); 206/1992, FJ 3, y 123/2001 y 124/2001, FFJJ 4)]. En palabras de la STC 22/1997, la prerrogativa de la inmunidad parlamentaria está orientada a “proteger a los legítimos representantes del pueblo de acciones penales con las que se pretenda […]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como forma de organización libre y plural de la vida colectiva” (FJ 6).</w:t>
      </w:r>
    </w:p>
    <w:p w:rsidR="005728DD" w:rsidRDefault="005728DD" w:rsidP="005728DD">
      <w:pPr>
        <w:pStyle w:val="TextoNormal"/>
      </w:pPr>
    </w:p>
    <w:p w:rsidR="005728DD" w:rsidRDefault="005728DD" w:rsidP="005728DD">
      <w:pPr>
        <w:pStyle w:val="TextoNormal"/>
      </w:pPr>
      <w:r>
        <w:t>En el sentido institucional de la prerrogativa, “único susceptible de preservar su legitimidad” (STC 124/2001, FJ 4), ha insistido la STC 206/1992, al señalar que no ha sido establecida por el constituyente “para generar zonas inmunes al imperio de la ley”, así como que quedaría desnaturalizada como prerrogativa institucional, “si quedase a merced del puro juego del respectivo peso de las fracciones parlamentarias” (FJ 3).</w:t>
      </w:r>
    </w:p>
    <w:p w:rsidR="005728DD" w:rsidRDefault="005728DD" w:rsidP="005728DD">
      <w:pPr>
        <w:pStyle w:val="TextoNormal"/>
      </w:pPr>
    </w:p>
    <w:p w:rsidR="005728DD" w:rsidRDefault="005728DD" w:rsidP="005728DD">
      <w:pPr>
        <w:pStyle w:val="TextoNormal"/>
      </w:pPr>
      <w:r>
        <w:lastRenderedPageBreak/>
        <w:t>Dijimos en la STC 124/2001, compendiando pronunciamientos anteriores, que “es en este contexto donde se sitúa la necesidad de obtener la autorización de las cámaras respectivas como condición de procedibilidad para inculpar o procesar a cualquiera de sus miembros. Lo que la Constitución ha querido es que sean las propias cámaras las que aprecien y eviten por sí mismas, en cada caso concreto y atendiendo a sus circunstancias, la eventualidad de que la vía penal sea utilizada con la intención de perturbar el funcionamiento de las Cámaras o de alterar la composición que les ha dado la voluntad popular, es decir, si la inculpación o procesamiento puede producir el resultado objetivo de alterar indebidamente su composición o funcionamiento, realizando algo que no pueden llevar a cabo los órganos jurisdiccionales, como es una valoración del significado político de tales acciones (SSTC 90/1985, de 22 de julio, FJ 6; 206/1992, de 27 de noviembre, FJ 3)” [FJ 4].</w:t>
      </w:r>
    </w:p>
    <w:p w:rsidR="005728DD" w:rsidRDefault="005728DD" w:rsidP="005728DD">
      <w:pPr>
        <w:pStyle w:val="TextoNormal"/>
      </w:pPr>
    </w:p>
    <w:p w:rsidR="005728DD" w:rsidRDefault="005728DD" w:rsidP="005728DD">
      <w:pPr>
        <w:pStyle w:val="TextoNormal"/>
      </w:pPr>
      <w:r>
        <w:t>d) En fin, hemos venido declarando desde la STC 51/1985, de 10 de abril, que las prerrogativas parlamentarias, también la de la inmunidad, “han de ser interpretadas estrictamente para no devenir en privilegios que puedan lesionar derechos fundamentales de terceros, […] a partir de una comprensión del sentido de la prerrogativa misma y de los fines que esta procura” (FJ 6), esto es, “tanto en el sentido lógico de sujeción a los límites objetivos que les impone la Constitución, como en el teleológico de razonable proporcionalidad al fin al que responde, debiendo rechazarse, en consecuencia, todo criterio hermenéutico permisivo de una utilización injustificada de los privilegios” [STC 243/1988; FJ 3 a)], de modo que “no es constitucionalmente legítima una extensión legislativa (STC 186/1989) o una interpretación analógica de las mismas (STC 51/1985)” (STC 22/1997, FJ 5).</w:t>
      </w:r>
    </w:p>
    <w:p w:rsidR="005728DD" w:rsidRDefault="005728DD" w:rsidP="005728DD">
      <w:pPr>
        <w:pStyle w:val="TextoNormal"/>
      </w:pPr>
    </w:p>
    <w:p w:rsidR="005728DD" w:rsidRDefault="005728DD" w:rsidP="005728DD">
      <w:pPr>
        <w:pStyle w:val="TextoNormal"/>
      </w:pPr>
      <w:r>
        <w:t xml:space="preserve">B) Los criterios reseñados de la doctrina de este tribunal sobre las prerrogativas parlamentarias, y, en particular, sobre la inmunidad, se asemejan a los que se desprenden de la jurisprudencia del Tribunal Europeo de Derechos Humanos y del Tribunal de Justicia de la Unión Europea, que constituyen </w:t>
      </w:r>
      <w:r w:rsidRPr="005728DD">
        <w:rPr>
          <w:i/>
        </w:rPr>
        <w:t>ex</w:t>
      </w:r>
      <w:r>
        <w:t xml:space="preserve"> art. 10.2 CE un relevante elemento hermenéutico en la determinación del sentido y alcance de los derechos fundamentales que la Constitución proclama [por todas, SSTC 155/2019, de 28 de noviembre, FJ 5 B), y 97/2020, de 21 de julio, FJ 5 D)].</w:t>
      </w:r>
    </w:p>
    <w:p w:rsidR="005728DD" w:rsidRDefault="005728DD" w:rsidP="005728DD">
      <w:pPr>
        <w:pStyle w:val="TextoNormal"/>
      </w:pPr>
    </w:p>
    <w:p w:rsidR="005728DD" w:rsidRDefault="005728DD" w:rsidP="005728DD">
      <w:pPr>
        <w:pStyle w:val="TextoNormal"/>
      </w:pPr>
      <w:r>
        <w:t xml:space="preserve">a) El Tribunal Europeo de Derechos Humanos ha reconocido que el hecho de que los Estados concedan generalmente una inmunidad más o menos extensa a los miembros del parlamento constituye una antigua práctica, que tiene como finalidad la protección de la libre expresión de la cámara legislativa y el mantenimiento de la separación de los poderes legislativo y judicial. Bajo sus diferentes formas, la inmunidad parlamentaria puede servir para proteger un régimen jurídico verdaderamente democrático, que constituye la piedra angular del sistema del convenio, en la medida en que tiende a proteger la autonomía del legislador y la oposición parlamentaria. A este respecto, el Tribunal de Estrasburgo lleva a cabo un control especialmente estricto cuando se trata de minorías parlamentarias. Reconoce que siempre deben protegerse las opiniones contrarias al sistema político de que se trate, incluso cuando persiguen su transformación total, pero, advierte, siempre desde la lealtad democrática: “Un aspecto fundamental de la democracia es que debe permitir que se propongan y debatan diversos programas políticos, incluso cuando ponen en tela de juicio la organización actual de un Estado, siempre que no perjudiquen a la propia democracia", (STEDH de 8 de diciembre de 1999, de Gran Sala, asunto </w:t>
      </w:r>
      <w:r w:rsidRPr="005728DD">
        <w:rPr>
          <w:i/>
        </w:rPr>
        <w:t>Freedom and Democracy Party (ÖZDEP) c. Turquía</w:t>
      </w:r>
      <w:r>
        <w:t>).</w:t>
      </w:r>
    </w:p>
    <w:p w:rsidR="005728DD" w:rsidRDefault="005728DD" w:rsidP="005728DD">
      <w:pPr>
        <w:pStyle w:val="TextoNormal"/>
      </w:pPr>
    </w:p>
    <w:p w:rsidR="005728DD" w:rsidRDefault="005728DD" w:rsidP="005728DD">
      <w:pPr>
        <w:pStyle w:val="TextoNormal"/>
      </w:pPr>
      <w:r>
        <w:lastRenderedPageBreak/>
        <w:t>Las garantías ofrecidas por la inmunidad parlamentaria en sus dos aspectos (irresponsabilidad e inviolabilidad) —señala el Tribunal Europeo de Derechos Humanos— vienen a asegurar la independencia del parlamento en el cumplimiento de sus funciones. La inmunidad jurisdiccional —inviolabilidad en la terminología de su jurisprudencia— tiene como objeto asegurar esa plena independencia previniendo toda eventualidad de procesos penales que obedezcan a móviles políticos (</w:t>
      </w:r>
      <w:r w:rsidRPr="005728DD">
        <w:rPr>
          <w:i/>
        </w:rPr>
        <w:t>fumus persecutionis</w:t>
      </w:r>
      <w:r>
        <w:t xml:space="preserve">), protegiendo así a la oposición de presiones o abusos de la mayoría. Por su parte, la protección otorgada a la libertad de expresión en el parlamento tiene por objeto proteger el interés de este último, no debiendo asumirse que solo beneficia a sus miembros (STEDH de 17 de mayo de 2016, asunto </w:t>
      </w:r>
      <w:r w:rsidRPr="005728DD">
        <w:rPr>
          <w:i/>
        </w:rPr>
        <w:t>Karácsony y otros c. Hungría</w:t>
      </w:r>
      <w:r>
        <w:t xml:space="preserve">, § 138; con referencia a las SSTEDH de 17 de diciembre de 2002, asunto </w:t>
      </w:r>
      <w:r w:rsidRPr="005728DD">
        <w:rPr>
          <w:i/>
        </w:rPr>
        <w:t>A. c. Reino Unido</w:t>
      </w:r>
      <w:r>
        <w:t xml:space="preserve">, § 85; de 3 de diciembre de 2009, asunto </w:t>
      </w:r>
      <w:r w:rsidRPr="005728DD">
        <w:rPr>
          <w:i/>
        </w:rPr>
        <w:t>Kart c. Turquía</w:t>
      </w:r>
      <w:r>
        <w:t xml:space="preserve">, § 81; de 11 de febrero de 2010, asunto </w:t>
      </w:r>
      <w:r w:rsidRPr="005728DD">
        <w:rPr>
          <w:i/>
        </w:rPr>
        <w:t>Syngelidis c. Grecia</w:t>
      </w:r>
      <w:r>
        <w:t xml:space="preserve">, § 42; también SSTEDH de 20 de diciembre de 2016, asunto </w:t>
      </w:r>
      <w:r w:rsidRPr="005728DD">
        <w:rPr>
          <w:i/>
        </w:rPr>
        <w:t>Uspaskich c. Lituania</w:t>
      </w:r>
      <w:r>
        <w:t xml:space="preserve">, § 98, y de 22 de diciembre de 2020, asunto </w:t>
      </w:r>
      <w:r w:rsidRPr="005728DD">
        <w:rPr>
          <w:i/>
        </w:rPr>
        <w:t>Selahattin Demirtas c. Turquía</w:t>
      </w:r>
      <w:r>
        <w:t>, § 256).</w:t>
      </w:r>
    </w:p>
    <w:p w:rsidR="005728DD" w:rsidRDefault="005728DD" w:rsidP="005728DD">
      <w:pPr>
        <w:pStyle w:val="TextoNormal"/>
      </w:pPr>
    </w:p>
    <w:p w:rsidR="005728DD" w:rsidRDefault="005728DD" w:rsidP="005728DD">
      <w:pPr>
        <w:pStyle w:val="TextoNormal"/>
      </w:pPr>
      <w:r>
        <w:t xml:space="preserve">b) El Tribunal Europeo de Derechos Humanos ha admitido en el diseño de las inmunidades parlamentarias, que entra dentro del campo del derecho parlamentario, un amplio margen de apreciación a los Estados miembros, si bien considera que, desde el punto de vista de su compatibilidad con el convenio, cuando más amplia sea una inmunidad, más imperiosas deben ser las razones que puedan justificar dicha amplitud. En este sentido, postula que las inmunidades han de ser objeto de un estricto juicio de proporcionalidad cuando las conductas o hechos en cuestión no tengan conexión con la actividad parlamentaria (SSTEDH, de 20 de abril de 2006, asunto </w:t>
      </w:r>
      <w:r w:rsidRPr="005728DD">
        <w:rPr>
          <w:i/>
        </w:rPr>
        <w:t>Patrono, Cascini y Stefanelli c. Italia</w:t>
      </w:r>
      <w:r>
        <w:t xml:space="preserve">, § 63, y asunto </w:t>
      </w:r>
      <w:r w:rsidRPr="005728DD">
        <w:rPr>
          <w:i/>
        </w:rPr>
        <w:t>Kart c. Turquía</w:t>
      </w:r>
      <w:r>
        <w:t>, § 82 y 83).</w:t>
      </w:r>
    </w:p>
    <w:p w:rsidR="005728DD" w:rsidRDefault="005728DD" w:rsidP="005728DD">
      <w:pPr>
        <w:pStyle w:val="TextoNormal"/>
      </w:pPr>
    </w:p>
    <w:p w:rsidR="005728DD" w:rsidRDefault="005728DD" w:rsidP="005728DD">
      <w:pPr>
        <w:pStyle w:val="TextoNormal"/>
      </w:pPr>
      <w:r>
        <w:t xml:space="preserve">c) En fin, por lo que se refiere en particular a la inmunidad jurisdiccional ha considerado que constituye una excepción al régimen ordinario de procedibilidad de presuntos delitos y de su enjuiciamiento, razón por la cual los Estados deben garantizar que tenga un alcance restrictivo bien delimitado, de modo que no pueda ser utilizada por los representantes políticos como instrumento para eludir la acción de la justicia (STEDH asunto </w:t>
      </w:r>
      <w:r w:rsidRPr="005728DD">
        <w:rPr>
          <w:i/>
        </w:rPr>
        <w:t>Uspaskich c. Lituania</w:t>
      </w:r>
      <w:r>
        <w:t>, § 91).</w:t>
      </w:r>
    </w:p>
    <w:p w:rsidR="005728DD" w:rsidRDefault="005728DD" w:rsidP="005728DD">
      <w:pPr>
        <w:pStyle w:val="TextoNormal"/>
      </w:pPr>
    </w:p>
    <w:p w:rsidR="005728DD" w:rsidRDefault="005728DD" w:rsidP="005728DD">
      <w:pPr>
        <w:pStyle w:val="TextoNormal"/>
      </w:pPr>
      <w:r>
        <w:t>d) Por su parte, el Tribunal de Justicia de la Unión Europea ha declarado que los objetivos del protocolo (núm. 7) sobre los privilegios y las inmunidades de la Unión Europea se concretan en garantizar a sus instituciones una protección completa y efectiva contra cualquier impedimento o riesgo de menoscabo que pueda afectar a su buen funcionamiento y a su independencia. Objetivos que proyectados sobre el Parlamento Europeo no solo implican que su composición refleje de forma fiel y completa la libre expresión de las preferencias manifestadas por los ciudadanos de la Unión, sino también que el Parlamento Europeo quede protegido en el ejercicio de sus actividades contra cualquier impedimento o riesgo de menoscabo que pueda afectar a su buen funcionamiento.</w:t>
      </w:r>
    </w:p>
    <w:p w:rsidR="005728DD" w:rsidRDefault="005728DD" w:rsidP="005728DD">
      <w:pPr>
        <w:pStyle w:val="TextoNormal"/>
      </w:pPr>
    </w:p>
    <w:p w:rsidR="005728DD" w:rsidRDefault="005728DD" w:rsidP="005728DD">
      <w:pPr>
        <w:pStyle w:val="TextoNormal"/>
      </w:pPr>
      <w:r>
        <w:t xml:space="preserve">En esta doble vertiente —afirma el Tribunal de Justicia de la Unión Europea con referencia expresa a la jurisprudencia del Tribunal Europeo de Derechos Humanos— las inmunidades reconocidas a los miembros del Parlamento Europeo tienen por objeto garantizar la independencia de esta institución en el cumplimiento de su misión (SSTJUE de 19 de marzo de 2010, asunto </w:t>
      </w:r>
      <w:r w:rsidRPr="005728DD">
        <w:rPr>
          <w:i/>
        </w:rPr>
        <w:t>Bruno Gollnisch c. Parlamento Europeo</w:t>
      </w:r>
      <w:r>
        <w:t xml:space="preserve">, § 94, y de 19 de diciembre de 2019, asunto </w:t>
      </w:r>
      <w:r w:rsidRPr="005728DD">
        <w:rPr>
          <w:i/>
        </w:rPr>
        <w:t>Oriol Junqueras</w:t>
      </w:r>
      <w:r>
        <w:t xml:space="preserve">, § 82 a 84; con cita de las SSTJUE de 10 de julio de 1986, </w:t>
      </w:r>
      <w:r>
        <w:lastRenderedPageBreak/>
        <w:t xml:space="preserve">asunto </w:t>
      </w:r>
      <w:r w:rsidRPr="005728DD">
        <w:rPr>
          <w:i/>
        </w:rPr>
        <w:t>Wybot</w:t>
      </w:r>
      <w:r>
        <w:t xml:space="preserve">, § 12 y 22; de 22 de marzo de 2007, asunto </w:t>
      </w:r>
      <w:r w:rsidRPr="005728DD">
        <w:rPr>
          <w:i/>
        </w:rPr>
        <w:t>Comisión de las Comunidades Europeas c. Bélgica</w:t>
      </w:r>
      <w:r>
        <w:t xml:space="preserve">, § 56, y ATJUE de 6 de diciembre de 1990, asunto </w:t>
      </w:r>
      <w:r w:rsidRPr="005728DD">
        <w:rPr>
          <w:i/>
        </w:rPr>
        <w:t>Zwartveld y otros</w:t>
      </w:r>
      <w:r>
        <w:t>, § 19).</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La negativa a solicitar la autorización del Congreso de los Diputados para continuar el proceso penal contra los demandantes de amparo</w:t>
      </w:r>
      <w:r>
        <w:t>.</w:t>
      </w:r>
    </w:p>
    <w:p w:rsidR="005728DD" w:rsidRDefault="005728DD" w:rsidP="005728DD">
      <w:pPr>
        <w:pStyle w:val="TextoNormal"/>
      </w:pPr>
    </w:p>
    <w:p w:rsidR="005728DD" w:rsidRDefault="005728DD" w:rsidP="005728DD">
      <w:pPr>
        <w:pStyle w:val="TextoNormal"/>
      </w:pPr>
      <w:r>
        <w:t>La Sala Segunda del Tribunal Supremo funda en cuatro bloques argumentales su negativa a solicitar del Congreso de los Diputados autorización para continuar el proceso penal contra los demandantes por haber sido proclamados diputados electos ya iniciada la fase de juicio oral y, en concreto, sus sesiones.</w:t>
      </w:r>
    </w:p>
    <w:p w:rsidR="005728DD" w:rsidRDefault="005728DD" w:rsidP="005728DD">
      <w:pPr>
        <w:pStyle w:val="TextoNormal"/>
      </w:pPr>
    </w:p>
    <w:p w:rsidR="005728DD" w:rsidRDefault="005728DD" w:rsidP="005728DD">
      <w:pPr>
        <w:pStyle w:val="TextoNormal"/>
      </w:pPr>
      <w:r>
        <w:t>Desde la perspectiva constitucional —primer bloque argumental—, entiende que los términos “inculpación o procesamiento” del art. 71.2 CE “son claros”. El significado de este último no le plantea ninguna dificultad, pues “[l]o que el constituyente quiso someter a autorización parlamentaria es la resolución judicial motivada que, en el seno del procedimiento ordinario por delitos (art. 384 LECrim), confiere judicialmente el ‘status’ de imputado, determinando, aun de forma interina o provisoria, la legitimación pasiva [que] constituye, al propio tiempo, presupuesto previo e indispensable de la acusación”.</w:t>
      </w:r>
    </w:p>
    <w:p w:rsidR="005728DD" w:rsidRDefault="005728DD" w:rsidP="005728DD">
      <w:pPr>
        <w:pStyle w:val="TextoNormal"/>
      </w:pPr>
    </w:p>
    <w:p w:rsidR="005728DD" w:rsidRDefault="005728DD" w:rsidP="005728DD">
      <w:pPr>
        <w:pStyle w:val="TextoNormal"/>
      </w:pPr>
      <w:r>
        <w:t>Aunque admite que no resulta “tan clara la respuesta para determinar lo que por inculpación debe entenderse”, dada la variedad y ambigüedad de términos que emplea la LECrim, considera que, “[c]on independencia del sentido que se le quiera dar” a aquel vocablo, “el precepto constitucional contempla que la autorización de la cámara es precisa para la adopción de decisiones judiciales propias de la fase de instrucción o de la fase intermedia del proceso penal, ya que en tales fases es cuando se ‘inculpa o procesa’. Es decir, la necesidad de recabar la autorización parlamentaria opera en las fases procesales anteriores a la de juicio oral”.</w:t>
      </w:r>
    </w:p>
    <w:p w:rsidR="005728DD" w:rsidRDefault="005728DD" w:rsidP="005728DD">
      <w:pPr>
        <w:pStyle w:val="TextoNormal"/>
      </w:pPr>
    </w:p>
    <w:p w:rsidR="005728DD" w:rsidRDefault="005728DD" w:rsidP="005728DD">
      <w:pPr>
        <w:pStyle w:val="TextoNormal"/>
      </w:pPr>
      <w:r>
        <w:t>La Sala llega a idéntico resultado a partir del análisis de los arts. 11 RCD y 22.1 RS, dada la evidente similitud de los términos que utilizan con los del art. 71.2 CE, precisando, en relación con el inciso final del párrafo segundo del art. 22.1 RS, que “en el caso de que la persona que estando ya incursa en un proceso penal adquiera la condición de senador se precisa la autorización de la cámara, si el proceso ‘estuviere instruyéndose’, lo que supone una nueva referencia a una fase procesal anterior a la que se encuentra la presente causa”. En definitiva, “desde el análisis del bloque de constitucionalidad” llega a la conclusión de que “la autorización de la cámara y el libramiento del correspondiente suplicatorio se requiere para tomar decisiones judiciales que afecten a un parlamentario en las fases del proceso penal anteriores a la del juicio oral”.</w:t>
      </w:r>
    </w:p>
    <w:p w:rsidR="005728DD" w:rsidRDefault="005728DD" w:rsidP="005728DD">
      <w:pPr>
        <w:pStyle w:val="TextoNormal"/>
      </w:pPr>
    </w:p>
    <w:p w:rsidR="005728DD" w:rsidRDefault="005728DD" w:rsidP="005728DD">
      <w:pPr>
        <w:pStyle w:val="TextoNormal"/>
      </w:pPr>
      <w:r>
        <w:t xml:space="preserve">Desde el ámbito de la legalidad ordinaria —segundo bloque argumental— la Sala parte de la necesidad, que ya ha puesto de manifiesto en anteriores resoluciones, de llevar a cabo una interpretación conforme al art. 71.2 CE y al principio de igualdad (art. 14 CE) de los preceptos legales que regulan la prerrogativa de la inmunidad (arts. 750 a 756 LECrim y Ley de 9 de febrero de 1912 de jurisdicción y procedimiento especiales en causas contra senadores y diputados), dado su carácter preconstitucional, así como de la indispensabilidad de que esta prerrogativa, “de innegable y legítima constitucionalidad”, sea “objeto de una </w:t>
      </w:r>
      <w:r>
        <w:lastRenderedPageBreak/>
        <w:t xml:space="preserve">interpretación restrictiva”. Pues bien, desde esta perspectiva, la Sala estima que una interpretación gramatical y sistemática de aquella normativa (arts. 750 y 751 LECrim, y art. 5 Ley de 9 de febrero de 1912), asociada a la naturaleza de la prerrogativa, “avala la idea de que la autorización del órgano legislativo es necesaria ‘para procesar’, esto es, para atribuir a un diputado o senador electo la condición formal de parte pasiva, sujetándolo a un proceso penal que podría afectar al normal funcionamiento de las tareas legislativas”. A su juicio, “[c]arecería de justificación constitucional que el normal desarrollo de un proceso que ya se sitúa en los debates del juicio oral exija para su normalidad democrática el </w:t>
      </w:r>
      <w:r w:rsidRPr="005728DD">
        <w:rPr>
          <w:i/>
        </w:rPr>
        <w:t>nihil obstat</w:t>
      </w:r>
      <w:r>
        <w:t xml:space="preserve"> del órgano parlamentario”, dado que “[n]o forma parte de las garantías propias del estatuto personal del diputado o senador —si su incorporación a las listas y su elección ha tenido lugar cuando ya se había iniciado el juicio oral— imponer una valoración retroactiva de la incidencia que ese proceso penal puede tener en la normal actividad de las cámaras”. En otras palabras, en el caso de que la condición de diputado o senador se adquiera con posterioridad al auto de procesamiento, la mención en el art. 751, párrafo segundo, LECrim, “a un estatuto procesal muy concreto (‘procesado’) limita la necesidad de recabar autorización a una fase procesal anterior a la del juicio oral”. En definitiva, considera que en el ámbito del procedimiento penal ordinario, por el que se tramita precisamente la causa seguida contra los ahora demandantes de amparo, “la necesidad de recabar la previa autorización de la cámara legislativa solo rige para dictar auto de procesamiento”.</w:t>
      </w:r>
    </w:p>
    <w:p w:rsidR="005728DD" w:rsidRDefault="005728DD" w:rsidP="005728DD">
      <w:pPr>
        <w:pStyle w:val="TextoNormal"/>
      </w:pPr>
    </w:p>
    <w:p w:rsidR="005728DD" w:rsidRDefault="005728DD" w:rsidP="005728DD">
      <w:pPr>
        <w:pStyle w:val="TextoNormal"/>
      </w:pPr>
      <w:r>
        <w:t>La Sala reconoce la novedad del supuesto que se le somete a consideración, lo que, sin embargo, no es impedimento —tercer bloque argumental— para que en refuerzo de “la legitimidad y corrección del criterio que ahora proclamados” invoque precedentes resoluciones propias de las que “se colige que la autorización para proceder es precisa en un momento procesal distinto y anterior al [...] de [la] celebración de[l] juicio oral”. Además entiende que la interpretación que sostiene —cuarto bloque argumental— “es consecuente con la propia naturaleza y finalidad de la prerrogativa de la inmunidad, que no es otra que evitar que se utilice el proceso penal para alterar la composición y el funcionamiento de una cámara legislativa”. En relación con esta última argumentación reproduce pasajes de las SSTC 98/1985, de 22 de julio, 206/1992, de 27 de noviembre, y 123/2001 y 124/2001, de 4 de junio.</w:t>
      </w:r>
    </w:p>
    <w:p w:rsidR="005728DD" w:rsidRDefault="005728DD" w:rsidP="005728DD">
      <w:pPr>
        <w:pStyle w:val="TextoNormal"/>
      </w:pPr>
    </w:p>
    <w:p w:rsidR="005728DD" w:rsidRDefault="005728DD" w:rsidP="005728DD">
      <w:pPr>
        <w:pStyle w:val="TextoNormal"/>
      </w:pPr>
      <w:r>
        <w:t xml:space="preserve">Con base en las precedentes consideraciones, la Sala concluye que “[e]ste proceso penal se inicia antes de la elección como miembro de las Cortes Generales de alguno de sus acusados”, de modo que “difícilmente podría sostenerse que su iniciación —y continuación— pretenden alterar la composición y el funcionamiento de la representación nacional que encarnan las Cortes Generales”. Así pues, “no cabe entender que el presente proceso penal menoscabe el normal funcionamiento del Congreso o el Senado, cuando las elecciones legislativas de las que se deriva su actual composición ni siquiera estaban convocadas cuando se incoó, se finalizó la instrucción, se procesó y se acusó a los hoy diputado y senador y se iniciaron las sesiones del juicio oral”. La exigencia de suplicatorio en la fase en la que se encuentra el proceso —afirma— “no constituiría un ejercicio razonable y proporcional de las prerrogativas parlamentarias, proporcionalidad que, de conformidad con la doctrina reiterada del Tribunal Europeo de Derechos Humanos […], debe evaluarse restrictivamente en los supuestos de hecho en los que, como es el caso, no existe una conexión clara entre los hechos en cuestión y la actividad parlamentaria”. En fin, aquella exigencia supondría, a su juicio, “una interferencia irrazonable en el ejercicio de la función jurisdiccional pues permitiría una ‘revisión’ o ‘control’ del poder legislativo sobre el ejercicio de la función </w:t>
      </w:r>
      <w:r>
        <w:lastRenderedPageBreak/>
        <w:t>jurisdiccional respecto a determinadas personas por el hecho de haber sido elegidos parlamentarios durante la celebración del juicio oral […], convirtiendo así la inmunidad parlamentaria en un ‘privilegio’ o ‘derecho particular’ de determinadas personas cuyo ejercicio no solo no preservaría la composición y funcionamiento de las Cortes sino que vulneraría el derecho a la tutela judicial efectiva en su vertiente de acceso a los tribunales” (fundamento de Derecho segundo).</w:t>
      </w:r>
    </w:p>
    <w:p w:rsidR="005728DD" w:rsidRDefault="005728DD" w:rsidP="005728DD">
      <w:pPr>
        <w:pStyle w:val="TextoNormal"/>
      </w:pPr>
    </w:p>
    <w:p w:rsidR="005728DD" w:rsidRDefault="005728DD" w:rsidP="005728DD">
      <w:pPr>
        <w:pStyle w:val="TextoNormal"/>
      </w:pPr>
      <w:r>
        <w:t>La Sala, al estimar, por las razones expuestas, que no era preciso en este caso solicitar autorización al Congreso de los Diputados para la continuación del proceso penal contra los demandantes de amparo, deniega la solicitud de suspensión de las sesiones del juicio oral, ya que “la suspensión opera solo en aquellos supuestos en los que la petición de suplicatorio resulta procedente” (art. 753 LECrim) [fundamento de Derecho tercero].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La regulación constitucional y legal de la prerrogativa de la inmunidad parlamentaria</w:t>
      </w:r>
      <w:r>
        <w:t>.</w:t>
      </w:r>
    </w:p>
    <w:p w:rsidR="005728DD" w:rsidRDefault="005728DD" w:rsidP="005728DD">
      <w:pPr>
        <w:pStyle w:val="TextoNormal"/>
      </w:pPr>
    </w:p>
    <w:p w:rsidR="005728DD" w:rsidRDefault="005728DD" w:rsidP="005728DD">
      <w:pPr>
        <w:pStyle w:val="TextoNormal"/>
      </w:pPr>
      <w:r>
        <w:t>Llegados aquí, hemos de afrontar la cuestión de si la interpretación que la Sala Segunda del Tribunal Supremo ha efectuado de la prerrogativa de la inmunidad parlamentaria, con base en la cual ha decidido no solicitar la autorización del Congreso de los Diputados para continuar el proceso penal contra los demandantes de amparo porque habían sido proclamados diputados electos ya iniciada la fase de juicio oral, y, en concreto, sus sesiones, vulnera el derecho fundamental de los recurrentes al ejercicio del cargo público representativo (art. 23.2 CE), por contravenir el art. 71.2 CE, y, en consecuencia, su derecho a un proceso con todas las garantías (art. 24.2 CE).</w:t>
      </w:r>
    </w:p>
    <w:p w:rsidR="005728DD" w:rsidRDefault="005728DD" w:rsidP="005728DD">
      <w:pPr>
        <w:pStyle w:val="TextoNormal"/>
      </w:pPr>
    </w:p>
    <w:p w:rsidR="005728DD" w:rsidRDefault="005728DD" w:rsidP="005728DD">
      <w:pPr>
        <w:pStyle w:val="TextoNormal"/>
      </w:pPr>
      <w:r>
        <w:t>Nuestra labor de enjuiciamiento ha de ceñirse a dilucidar, sin que proceda concebir hipótesis distintas de las que trae causa el recurso de amparo, si aquella interpretación se cohonesta o no con el alcance, sentido y finalidad con los que la prerrogativa de la inmunidad se reconoce en el texto constitucional (art. 71.2 CE) y, por consiguiente, resulta lesiva de aquellos derechos fundamentales. Hemos de reiterar, en orden a un adecuado encuadramiento de la queja de los recurrentes, que esta prerrogativa se integra en el estatus propio del cargo parlamentario, de modo que el derecho fundamental directamente afectado frente a posibles constricciones ilegítimas de la misma es el derecho al ejercicio del cargo público representativo en condiciones de igualdad y con los requisitos que señalen las leyes (art. 23.2 CE). Solo si concluyéramos que se hubiera lesionado este derecho fundamental, podría entenderse vulnerado, como resultado de esta lesión, el derecho a un proceso con todas las garantías (art. 24.2 CE; SSTC 123/2001 y 124/2001, FFJJ 3).</w:t>
      </w:r>
    </w:p>
    <w:p w:rsidR="005728DD" w:rsidRDefault="005728DD" w:rsidP="005728DD">
      <w:pPr>
        <w:pStyle w:val="TextoNormal"/>
      </w:pPr>
    </w:p>
    <w:p w:rsidR="005728DD" w:rsidRDefault="005728DD" w:rsidP="005728DD">
      <w:pPr>
        <w:pStyle w:val="TextoNormal"/>
      </w:pPr>
      <w:r>
        <w:t xml:space="preserve">a) El concreto aspecto de la prerrogativa de la inmunidad parlamentaria ahora controvertido es el relativo a la necesaria autorización de las cámaras de las Cortes Generales para dirigir un proceso penal contra sus miembros. El art. 71.2 CE dispone al respecto que éstos “[n]o podrán ser inculpados ni procesados sin la previa autorización de la cámara respectiva”. Así pues, la autorización de las cámaras ha de ser </w:t>
      </w:r>
      <w:r w:rsidRPr="005728DD">
        <w:rPr>
          <w:i/>
        </w:rPr>
        <w:t>ex Constitutione</w:t>
      </w:r>
      <w:r>
        <w:t xml:space="preserve"> previa y para “inculpar” o “procesar” a cualquiera de sus miembros. Su solicitud, por lo tanto, ha de preceder a la “inculpación” o “procesamiento” de los diputados y senadores. Ese carácter previo y la apuntada finalidad de la autorización han quedado además reflejados, como no podía ser de otro modo, en diversos pronunciamientos de este tribunal, al declarar, con unas u otras palabras, que aquella autorización se requiere “para inculpar o procesar” (STC 9/1990, FJ 4); </w:t>
      </w:r>
      <w:r>
        <w:lastRenderedPageBreak/>
        <w:t>o que la inmunidad protege a los parlamentarios “frente a inculpaciones o procesamientos” (STC 186/1989, FJ 2); o, en fin, que “la autorización a la cámara respectiva ha de ser solicitada en todo caso antes de que los diputados y senadores sean inculpados o procesados” (SSTC 123/2001 y 124/2001, FFJJ 5).</w:t>
      </w:r>
    </w:p>
    <w:p w:rsidR="005728DD" w:rsidRDefault="005728DD" w:rsidP="005728DD">
      <w:pPr>
        <w:pStyle w:val="TextoNormal"/>
      </w:pPr>
    </w:p>
    <w:p w:rsidR="005728DD" w:rsidRDefault="005728DD" w:rsidP="005728DD">
      <w:pPr>
        <w:pStyle w:val="TextoNormal"/>
      </w:pPr>
      <w:r>
        <w:t>El precepto constitucional nada dice, ni ofrece pauta alguna para determinar el significado de las expresiones “inculpados” y “procesados” (en este sentido, STC 123/2001, FJ 5). Tampoco de los trabajos parlamentarios de elaboración de la Constitución —que, conforme a una reiterada jurisprudencia constitucional, son un elemento importante de interpretación, aunque no determinante, para desentrañar el sentido y alcance de las normas (por todas, STC 137/2020, de 6 de octubre)— cabe inferir ningún criterio hermenéutico, ya que, con la salvedad de incorporar la dimensión temporal de la inmunidad al texto del informe de la ponencia constitucional, la redacción del precepto permaneció sustancialmente inalterada desde el anteproyecto de Constitución, de modo que su contenido inicial solo fue modificado por razones gramaticales.</w:t>
      </w:r>
    </w:p>
    <w:p w:rsidR="005728DD" w:rsidRDefault="005728DD" w:rsidP="005728DD">
      <w:pPr>
        <w:pStyle w:val="TextoNormal"/>
      </w:pPr>
    </w:p>
    <w:p w:rsidR="005728DD" w:rsidRDefault="005728DD" w:rsidP="005728DD">
      <w:pPr>
        <w:pStyle w:val="TextoNormal"/>
      </w:pPr>
      <w:r>
        <w:t>De otra parte, en tanto que el término “inculpados” no aparece en nuestros textos constitucionales anteriores, no ocurre lo mismo, sin embargo, con el vocablo “procesados”, que desde la Constitución de 1837 constituye la referencia al previo “permiso” o autorización” que los órganos judiciales debían solicitar de las cámaras para proceder contra su miembros, sin hacer mención a un acto procesal concreto, salvo en la Constitución de 1931, que requería aquella autorización “[si] algún juez o tribunal estimare que debe dictar auto de procesamiento contra un Diputado” (art. 55).</w:t>
      </w:r>
    </w:p>
    <w:p w:rsidR="005728DD" w:rsidRDefault="005728DD" w:rsidP="005728DD">
      <w:pPr>
        <w:pStyle w:val="TextoNormal"/>
      </w:pPr>
    </w:p>
    <w:p w:rsidR="005728DD" w:rsidRDefault="005728DD" w:rsidP="005728DD">
      <w:pPr>
        <w:pStyle w:val="TextoNormal"/>
      </w:pPr>
      <w:r>
        <w:t xml:space="preserve">En fin, también es necesario constatar que el constituyente ha limitado el ámbito de protección de la prerrogativa de la inmunidad de los diputados y senadores </w:t>
      </w:r>
      <w:r w:rsidRPr="005728DD">
        <w:rPr>
          <w:i/>
        </w:rPr>
        <w:t>ex</w:t>
      </w:r>
      <w:r>
        <w:t xml:space="preserve"> art. 71.2 CE a la prohibición de detención, salvo en caso de flagrante delito, y a la previa autorización de la cámara respectiva para que puedan ser “inculpados” o “procesados”. De modo que no ha incluido en su ámbito constitucional otras facultades reconocidas a las cámaras en otros textos constitucionales, entre ellas, por ejemplo, la de dejar sin efecto la detención o el procesamiento de sus miembros o la de poder suspender la persecución o el procedimiento penal dirigido contra ellos (art. 56 de la Constitución española de 1931; art. 68 de la Constitución de la República Italiana de 1947; art. 46 de la Ley Fundamental de la República Federal de Alemania de 1949, y art. 26 de la Constitución de la República Francesa de 1958).</w:t>
      </w:r>
    </w:p>
    <w:p w:rsidR="005728DD" w:rsidRDefault="005728DD" w:rsidP="005728DD">
      <w:pPr>
        <w:pStyle w:val="TextoNormal"/>
      </w:pPr>
    </w:p>
    <w:p w:rsidR="005728DD" w:rsidRDefault="005728DD" w:rsidP="005728DD">
      <w:pPr>
        <w:pStyle w:val="TextoNormal"/>
      </w:pPr>
      <w:r>
        <w:t>Así pues, además de los condicionamientos materiales y hermenéuticos comunes e inherentes a la naturaleza jurídica de todas las prerrogativas parlamentarias, el constituyente ha acotado expresamente y con carácter individualizado cada prerrogativa, singularizando su alcance y contenido en particular (en este sentido, STC 22/1997, FJ 7). En lo que ahora interesa, el reconocimiento constitucional de la inmunidad es objeto en nuestro ordenamiento de una doble delimitación: su ámbito material, que comprende la prohibición de la detención, salvo en caso de flagrante delito, y la previa autorización de la cámara respectiva para que los diputados y senadores puedan ser “inculpados” o “procesados”; y, su ámbito temporal, que se extiende a todo el periodo del mandato parlamentario.</w:t>
      </w:r>
    </w:p>
    <w:p w:rsidR="005728DD" w:rsidRDefault="005728DD" w:rsidP="005728DD">
      <w:pPr>
        <w:pStyle w:val="TextoNormal"/>
      </w:pPr>
    </w:p>
    <w:p w:rsidR="005728DD" w:rsidRDefault="005728DD" w:rsidP="005728DD">
      <w:pPr>
        <w:pStyle w:val="TextoNormal"/>
      </w:pPr>
      <w:r>
        <w:lastRenderedPageBreak/>
        <w:t>b) Como hemos declarado en la STC 206/1992, la tarea de concretar y actualizar la prerrogativa de la inmunidad parlamentaria, instituto característicamente vinculado a las condiciones históricas de afirmación y de consolidación del Estado de Derecho, la encomienda la Constitución a sus destinatarios con un distinto nivel de responsabilidad. Aunque en dicha tarea está implicado en último término este tribunal, lo está antes que él, y sin poder sustituirlo, “el legislador, a quien le corresponde comprobar en qué medida las leyes procesales continúan adecuándose en su regulación a la norma constitucional vigente. Y muy particularmente están implicadas las propias cámaras integrantes de las Cortes Generales, no ya solo a través de su potestad de establecimiento de sus propios reglamentos (art. 72.1 CE), sino sobre todo a través de su tarea constante de formación de unos usos parlamentarios que siempre han sido consustanciales al régimen parlamentario y, por ende, al Estado de Derecho” (FJ 3).</w:t>
      </w:r>
    </w:p>
    <w:p w:rsidR="005728DD" w:rsidRDefault="005728DD" w:rsidP="005728DD">
      <w:pPr>
        <w:pStyle w:val="TextoNormal"/>
      </w:pPr>
    </w:p>
    <w:p w:rsidR="005728DD" w:rsidRDefault="005728DD" w:rsidP="005728DD">
      <w:pPr>
        <w:pStyle w:val="TextoNormal"/>
      </w:pPr>
      <w:r>
        <w:t>Pues bien, los reglamentos de cada una de las cámaras de las Cortes Generales (arts. 11 RCD y 21.1 RS) regulan la prerrogativa de la inmunidad y, en particular, la exigencia de autorización para poder inculpar o procesar a los diputados y senadores en términos sustancialmente idénticos a los del art. 71.2 CE, con la adición en el caso del 21.1 RS de un inciso final, según el cual “[e]sta autorización será también necesaria en los procedimientos que estuvieren instruyéndose contra personas que, hallándose procesadas o inculpadas, accedan al cargo de senador”. Esta última referencia procesal a las causas penales “que estuvieren instruyéndose”, según ha sido interpretada por la Sala Segunda del Tribunal Supremo a la luz del art. 71.2 CE en las resoluciones judiciales impugnadas, sitúa temporalmente la obligación de pedir suplicatorio en un momento anterior a aquel en el que la fase de instrucción ha sido judicialmente declarada conclusa.</w:t>
      </w:r>
    </w:p>
    <w:p w:rsidR="005728DD" w:rsidRDefault="005728DD" w:rsidP="005728DD">
      <w:pPr>
        <w:pStyle w:val="TextoNormal"/>
      </w:pPr>
    </w:p>
    <w:p w:rsidR="005728DD" w:rsidRDefault="005728DD" w:rsidP="005728DD">
      <w:pPr>
        <w:pStyle w:val="TextoNormal"/>
      </w:pPr>
      <w:r>
        <w:t>La Ley de 9 de febrero de 1912, de jurisdicción y procedimiento especiales en las causas contra senadores y diputados, y los arts. 750 a 756 LECrim completan la regulación de la prerrogativa. La pervivencia de esta normativa preconstitucional solo se explica por el olvido del legislador a los llamamientos efectuados por este tribunal para su actualización y acomodo al texto constitucional (STC 123/2001, FJ 5). En todo caso, la supremacía de la Constitución impone la interpretación conforme a la misma de aquella legislación.</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El derecho al ejercicio del cargo público representativo (art. 23.2 CE) y el derecho a un proceso con todas las garantías (art. 24.2 CE</w:t>
      </w:r>
      <w:r>
        <w:t>).</w:t>
      </w:r>
    </w:p>
    <w:p w:rsidR="005728DD" w:rsidRDefault="005728DD" w:rsidP="005728DD">
      <w:pPr>
        <w:pStyle w:val="TextoNormal"/>
      </w:pPr>
    </w:p>
    <w:p w:rsidR="005728DD" w:rsidRDefault="005728DD" w:rsidP="005728DD">
      <w:pPr>
        <w:pStyle w:val="TextoNormal"/>
      </w:pPr>
      <w:r>
        <w:t>En este marco normativo ha tenido que desenvolverse la Sala Segunda del Tribunal Supremo, cuya interpretación sobre el alcance de la prerrogativa de la inmunidad que efectúa en los autos impugnados, en los que, con base en los razonamientos que se recogen con detalle en el fundamento jurídico 4 de esta sentencia, determina el significado de los términos “inculpación” y “procesamiento” a partir de la legislación procesal penal vigente, no puede estimarse vulneradora del derecho de los demandantes al ejercicio del cargo público representativo (art. 23.2 CE), por no devenir contraria a las previsiones del art. 71.2 CE, ni, en consecuencia, de su derecho a un proceso público con todas las garantías (art. 24.2 CE).</w:t>
      </w:r>
    </w:p>
    <w:p w:rsidR="005728DD" w:rsidRDefault="005728DD" w:rsidP="005728DD">
      <w:pPr>
        <w:pStyle w:val="TextoNormal"/>
      </w:pPr>
    </w:p>
    <w:p w:rsidR="005728DD" w:rsidRDefault="005728DD" w:rsidP="005728DD">
      <w:pPr>
        <w:pStyle w:val="TextoNormal"/>
      </w:pPr>
      <w:r>
        <w:t xml:space="preserve">La interpretación sostenida por la Sala, en primer lugar, es conforme a la letra o al sentido exacto y propio del art. 71.2 CE (STC 9/1990, FJ 4), que configura la previa autorización de la respectiva cámara como condición de procedibilidad expresamente para inculpar o procesar a sus miembros (SSTC 123/2001 y 124/2001, FFJJ 5), no para el desarrollo de una </w:t>
      </w:r>
      <w:r>
        <w:lastRenderedPageBreak/>
        <w:t>fase posterior a las fases de instrucción o intermedia del proceso penal, en las que tiene lugar la inculpación o el procesamiento, como es la del juicio oral. En otras palabras, en su tenor, el art. 71.2 CE no requiere la previa autorización de la cámara respecto de quien, encontrándose ya procesado o inculpado, adquiera sobrevenidamente la condición de diputado o senador en la fase del juicio oral. En definitiva, la interpretación que la Sala efectúa de la prerrogativa de la inmunidad en las resoluciones judiciales recurridas es respetuosa con la redacción del citado precepto constitucional.</w:t>
      </w:r>
    </w:p>
    <w:p w:rsidR="005728DD" w:rsidRDefault="005728DD" w:rsidP="005728DD">
      <w:pPr>
        <w:pStyle w:val="TextoNormal"/>
      </w:pPr>
    </w:p>
    <w:p w:rsidR="005728DD" w:rsidRDefault="005728DD" w:rsidP="005728DD">
      <w:pPr>
        <w:pStyle w:val="TextoNormal"/>
      </w:pPr>
      <w:r>
        <w:t xml:space="preserve">De otra parte, dicho criterio hermenéutico se compadece asimismo con la interpretación necesariamente estricta que ha de hacerse de la prerrogativa de la inmunidad, al no extenderla a un supuesto que no aparece contemplado explícitamente en el texto constitucional, como es la exigencia de autorización a las cámaras para continuar el proceso penal contra quien, habiendo sido ya procesado o inculpado, es proclamado miembro electo de una de ellas durante el juicio oral. La indispensabilidad de una interpretación estricta de la prerrogativa se impone, de acuerdo con la doctrina constitucional de la que se ha dejado constancia, en la medida en que, al poder suponer “una paralización, siquiera temporal, de la acción de la justicia y, en su caso, del derecho fundamental a la tutela de los Jueces, aparece </w:t>
      </w:r>
      <w:r w:rsidRPr="005728DD">
        <w:rPr>
          <w:i/>
        </w:rPr>
        <w:t>prima facie</w:t>
      </w:r>
      <w:r>
        <w:t xml:space="preserve">, como una posible excepción a uno de los pilares básicos del Estado de Derecho, el sometimiento de todos ‘al imperio de la ley como expresión de la voluntad popular’” (STC 206/1992, FJ 3). O, lo que es lo mismo, la necesidad de una interpretación estricta del alcance de la prerrogativa resulta de la prohibición de su entendimiento como “un privilegio” personal o como expresión “de un pretendido </w:t>
      </w:r>
      <w:r w:rsidRPr="005728DD">
        <w:rPr>
          <w:i/>
        </w:rPr>
        <w:t>ius singulare</w:t>
      </w:r>
      <w:r>
        <w:t xml:space="preserve">”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 En esta misma línea, el Tribunal Europeo de Derechos Humanos se ha pronunciado, como ya se ha puesto de relieve, sobre la necesidad de dotar de un alcance restrictivo a la prerrogativa de la inmunidad, en cuanto excepción al régimen ordinario de enjuiciamiento de los delitos, a fin de evitar que sea utilizada por los representantes políticos como instrumento para eludir la acción de la justicia (STEDH asunto </w:t>
      </w:r>
      <w:r w:rsidRPr="005728DD">
        <w:rPr>
          <w:i/>
        </w:rPr>
        <w:t>Uspaskich c. Lituania</w:t>
      </w:r>
      <w:r>
        <w:t>, § 91).</w:t>
      </w:r>
    </w:p>
    <w:p w:rsidR="005728DD" w:rsidRDefault="005728DD" w:rsidP="005728DD">
      <w:pPr>
        <w:pStyle w:val="TextoNormal"/>
      </w:pPr>
    </w:p>
    <w:p w:rsidR="005728DD" w:rsidRDefault="005728DD" w:rsidP="005728DD">
      <w:pPr>
        <w:pStyle w:val="TextoNormal"/>
      </w:pPr>
      <w:r>
        <w:t xml:space="preserve">Por último, la interpretación judicial de la que discrepan los recurrentes en amparo se cohonesta con la finalidad institucional que se persigue con la prerrogativa de la inmunidad y que permite “preservar su legitimidad” (STC 124/2001, FJ 4), cual es la de evitar que la vía penal pueda ser utilizada con la intención de perturbar o alterar el funcionamiento de las cámaras o la composición que el cuerpo electoral le ha dado en el ejercicio del derecho de sufragio (art. 23.1 CE). En principio, parece evidente, como el abogado del Estado y el Ministerio Fiscal señalan en su escrito de alegaciones, que esa perturbación o alteración difícilmente se puede producir cuando el inicio del proceso penal y la conclusión de las fases de instrucción e intermedia, en las que se formaliza la inculpación o el procesamiento, tengan lugar con antelación a la adquisición de la condición de miembro de una de las cámaras legislativas. En este sentido, este tribunal ha declarado, ante la negativa a la concesión de un suplicatorio con ocasión de la presentación de una querella contra quien adquirió con posterioridad la condición de senador, que “no concurren elementos que permitan apreciar, en la interposición de la querella, la existencia de móviles o intenciones referidos al funcionamiento o composición del Senado. Al contrario, todo contribuye a poner de relieve que </w:t>
      </w:r>
      <w:r>
        <w:lastRenderedPageBreak/>
        <w:t>tales móviles o intenciones no pudieron existir, pues en el momento de formularse la querella, ni la persona frente a la que se dirigía tenía la condición de Senador, ni siquiera cabía aventurar que iba a serlo, ya que todavía no se habían convocado las correspondientes elecciones, ni, en consecuencia, eran conocidas las candidaturas a estas” (STC 90/1985, FJ 7).</w:t>
      </w:r>
    </w:p>
    <w:p w:rsidR="005728DD" w:rsidRDefault="005728DD" w:rsidP="005728DD">
      <w:pPr>
        <w:pStyle w:val="TextoNormal"/>
      </w:pPr>
    </w:p>
    <w:p w:rsidR="005728DD" w:rsidRDefault="005728DD" w:rsidP="005728DD">
      <w:pPr>
        <w:pStyle w:val="TextoNormal"/>
      </w:pPr>
      <w:r>
        <w:t>Desde la perspectiva de control que a este tribunal corresponde, hemos de concluir, por lo tanto, que la interpretación que la Sala Segunda del Tribunal Supremo efectúa de la prerrogativa de la inmunidad en las resoluciones judiciales impugnadas es acorde con una correcta comprensión del sentido de la prerrogativa misma y de los fines que esta procura, tanto en el sentido lógico de sujeción a los límites objetivos que impone la Constitución, como en el teleológico de la razonable proporcionalidad al fin al que responde [SSTC 51/1985, FJ 6; 243/1988, FJ 3 A), y 123/2001 y 124/2001, FFJJ 4].</w:t>
      </w:r>
    </w:p>
    <w:p w:rsidR="005728DD" w:rsidRDefault="005728DD" w:rsidP="005728DD">
      <w:pPr>
        <w:pStyle w:val="TextoNormal"/>
      </w:pPr>
    </w:p>
    <w:p w:rsidR="005728DD" w:rsidRDefault="005728DD" w:rsidP="005728DD">
      <w:pPr>
        <w:pStyle w:val="TextoNormal"/>
      </w:pPr>
      <w:r>
        <w:t>Por consiguiente, la decisión de la Sala Segunda del Tribunal Supremo, en aplicación del enjuiciado criterio hermenéutico, de no solicitar la autorización al Congreso de los Diputados para continuar el proceso penal contra los demandantes de amparo no ha vulnerado su derecho fundamental al ejercicio del cargo público representativo (art. 23.2 CE), ni, en consecuencia, su derecho a un proceso con todas las garantías (art. 24.2 CE). En efecto, aquellos aún no tenían la condición de diputados al formalizase su procesamiento —auto de 21 de marzo de 2018—, habiendo sido proclamados electos —2 y 3 de mayo de 2019— iniciada ya la fase de juicio oral —auto de 25 de octubre de 2018—, formuladas las acusaciones y muy avanzado el desarrollo de sus sesiones —12 de febrero de 2019—. Las elecciones al Congreso de los Diputados y al Senado, por disolución anticipada de las cámaras (art. 115 CE), fueron convocadas por Real Decreto 129/2019, de 4 de marzo; de modo que al inicio de la fase del juicio oral, incluso al comienzo de sus sesiones, la convocatoria electoral era cuando menos un hecho incierto, desconociéndose, por lo tanto, si los demandantes de amparo iban a formar parte de alguna de las candidaturas que pudieran presentarse. Cuando fueron proclamados electos, habían transcurrido ya tres meses desde que las sesiones del juicio dieron comienzo.</w:t>
      </w:r>
    </w:p>
    <w:p w:rsidR="005728DD" w:rsidRDefault="005728DD" w:rsidP="005728DD">
      <w:pPr>
        <w:pStyle w:val="TextoNormal"/>
      </w:pPr>
    </w:p>
    <w:p w:rsidR="005728DD" w:rsidRDefault="005728DD" w:rsidP="005728DD">
      <w:pPr>
        <w:pStyle w:val="TextoNormal"/>
      </w:pPr>
      <w:r>
        <w:t>En definitiva, el entendimiento judicial de la prerrogativa de la inmunidad parlamentaria que los demandantes cuestionan es conforme al tenor del art. 71.2 CE, se adecua a la finalidad institucional de la prerrogativa y responde a una interpretación restrictiva de la misma, de modo que la decisión de la Sala Segunda del Tribunal Supremo recurrida en amparo no merece tacha alguna de constitucionalidad.</w:t>
      </w:r>
    </w:p>
    <w:p w:rsidR="005728DD" w:rsidRDefault="005728DD" w:rsidP="005728DD">
      <w:pPr>
        <w:pStyle w:val="TextoNormal"/>
      </w:pPr>
    </w:p>
    <w:p w:rsidR="005728DD" w:rsidRDefault="005728DD" w:rsidP="005728DD">
      <w:pPr>
        <w:pStyle w:val="TextoNormal"/>
      </w:pPr>
      <w:r>
        <w:t>Por el contrario, la extensión de la prerrogativa de la inmunidad hasta el momento del dictado de la sentencia, como sostienen los recurrentes, ni se ajusta al tenor del art. 71.2 CE, ni se cohonesta con su finalidad institucional, ni es congruente con una interpretación restrictiva de la misma. Tal extensión desborda un ejercicio razonable y proporcional de la prerrogativa en detrimento de derechos fundamentales y de otros valores constitucionalmente protegidos.</w:t>
      </w:r>
    </w:p>
    <w:p w:rsidR="005728DD" w:rsidRDefault="005728DD" w:rsidP="005728DD">
      <w:pPr>
        <w:pStyle w:val="TextoNormal"/>
      </w:pPr>
    </w:p>
    <w:p w:rsidR="005728DD" w:rsidRDefault="005728DD" w:rsidP="005728DD">
      <w:pPr>
        <w:pStyle w:val="TextoNormal"/>
      </w:pPr>
      <w:r>
        <w:t xml:space="preserve">Tampoco resulta lesiva de los derechos fundamentales invocados en la demanda la decisión de la Sala de no suspender las sesiones del juicio oral, pues, como se razona en el auto de 14 de mayo de 2019, tal suspensión </w:t>
      </w:r>
      <w:r w:rsidRPr="005728DD">
        <w:rPr>
          <w:i/>
        </w:rPr>
        <w:t>ex</w:t>
      </w:r>
      <w:r>
        <w:t xml:space="preserve"> art. 753 LECrim solo procede en los supuestos en los que sea preceptivo solicitar el suplicatorio a las cámaras.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7</w:t>
      </w:r>
      <w:r>
        <w:t xml:space="preserve">. </w:t>
      </w:r>
      <w:r w:rsidRPr="005728DD">
        <w:rPr>
          <w:i/>
        </w:rPr>
        <w:t>La extrapolación de la STJUE de 19 de diciembre 2019 (asunto C-502/19) al recurso de amparo</w:t>
      </w:r>
      <w:r>
        <w:t>.</w:t>
      </w:r>
    </w:p>
    <w:p w:rsidR="005728DD" w:rsidRDefault="005728DD" w:rsidP="005728DD">
      <w:pPr>
        <w:pStyle w:val="TextoNormal"/>
      </w:pPr>
    </w:p>
    <w:p w:rsidR="005728DD" w:rsidRDefault="005728DD" w:rsidP="005728DD">
      <w:pPr>
        <w:pStyle w:val="TextoNormal"/>
      </w:pPr>
      <w:r>
        <w:t>El Ministerio Fiscal en su escrito de alegaciones trae a colación la STJUE de 19 de diciembre de 2019, recaída en el asunto C-502/19, para rechazar su posible incidencia sobre el presente recurso.</w:t>
      </w:r>
    </w:p>
    <w:p w:rsidR="005728DD" w:rsidRDefault="005728DD" w:rsidP="005728DD">
      <w:pPr>
        <w:pStyle w:val="TextoNormal"/>
      </w:pPr>
    </w:p>
    <w:p w:rsidR="005728DD" w:rsidRDefault="005728DD" w:rsidP="005728DD">
      <w:pPr>
        <w:pStyle w:val="TextoNormal"/>
      </w:pPr>
      <w:r>
        <w:t>La sentencia resuelve una cuestión prejudicial planteada por la Sala Segunda del Tribunal Supremo en una pieza separa de la causa especial núm. 20907-2017, con motivo del recurso de súplica interpuesto por don Oriol Junqueras Vies contra la denegación de un permiso penitenciario para acudir a la Junta Electoral Central para acatar la Constitución (art. 224 de la Ley Orgánica del régimen electoral general) tras ser proclamado diputado electo del Parlamento Europeo en las elecciones de 26 de mayo de 2019. El Tribunal de Justicia de la Unión Europea se pronuncia en dicha sentencia sobre el alcance de la inmunidad de la que gozan los miembros del citado Parlamento cuando se dirijan al lugar de reunión de la cámara o regresen de este (inmunidad de desplazamiento), en particular, cuando se dirijan a la primera reunión para la celebración de la sesión constitutiva de la nueva legislatura y la verificación de las credenciales al objeto de tomar posesión del mandato (art. 9, párrafo segundo, del protocolo núm. 7, sobre los privilegios y las inmunidades de la Unión), y sobre si esta inmunidad implica el levantamiento de la medida de prisión provisional impuesta a un diputado electo al objeto de poder desplazarse a esa primera reunión.</w:t>
      </w:r>
    </w:p>
    <w:p w:rsidR="005728DD" w:rsidRDefault="005728DD" w:rsidP="005728DD">
      <w:pPr>
        <w:pStyle w:val="TextoNormal"/>
      </w:pPr>
    </w:p>
    <w:p w:rsidR="005728DD" w:rsidRDefault="005728DD" w:rsidP="005728DD">
      <w:pPr>
        <w:pStyle w:val="TextoNormal"/>
      </w:pPr>
      <w:r>
        <w:t>La patente ausencia de identidad de la materia objeto de dicha sentencia con el asunto controvertido en este proceso —la necesidad o no de solicitar autorización de la cámara legislativa para continuar las sesiones del juicio oral contra los demandantes de amparo— y la singularidad de los estatutos de los miembros de las asambleas concernidas en aquella —Parlamento Europeo— y en este —Congreso de los Diputados— ponen por sí mismos en evidencia, como sostiene el Ministerio Fiscal, la improcedencia de una posible extrapolación de los pronunciamientos contenidos en aquella sentencia a este recurso. Al respecto, resulta pertinente recordar que “ni existe, ni es concebible hoy, Derecho de la Unión Europea que discipline el concreto estatus de los representes elegidos para integrar los parlamentos de los estados miembros” [STC 97/2020, FJ 6 B) 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Jordi Sánchez i Picanyol, don Jordi Turull i Negre y don Josep Rull i Andreu.</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5" w:name="SENTENCIA_2021_72"/>
      <w:r>
        <w:lastRenderedPageBreak/>
        <w:t>SENTENCIA 72/2021, de 18 de marzo de 2021</w:t>
      </w:r>
    </w:p>
    <w:bookmarkEnd w:id="75"/>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ECLI:ES:TC:2021:72</w:t>
      </w:r>
    </w:p>
    <w:p w:rsidR="005728DD" w:rsidRDefault="005728DD" w:rsidP="005728DD">
      <w:pPr>
        <w:pStyle w:val="TextoNormalCentrado"/>
      </w:pPr>
    </w:p>
    <w:p w:rsidR="005728DD" w:rsidRDefault="005728DD" w:rsidP="005728DD">
      <w:pPr>
        <w:pStyle w:val="SntesisDescriptiva"/>
      </w:pPr>
      <w:r>
        <w:t>Recurso de inconstitucionalidad 6835-2019. Interpuesto por el presidente del Gobierno en relación con diversos preceptos de la Ley 6/2019, de 20 de febrero, del estatuto de las personas consumidoras de Extremadura.</w:t>
      </w:r>
    </w:p>
    <w:p w:rsidR="005728DD" w:rsidRDefault="005728DD" w:rsidP="005728DD">
      <w:pPr>
        <w:pStyle w:val="SntesisDescriptiva"/>
      </w:pPr>
    </w:p>
    <w:p w:rsidR="005728DD" w:rsidRDefault="005728DD" w:rsidP="005728DD">
      <w:pPr>
        <w:pStyle w:val="SntesisAnaltica"/>
      </w:pPr>
      <w:r>
        <w:t>Competencias sobre legislación civil, mercantil y procesal, ordenación del crédito y de la economía: nulidad parcial de los preceptos legales autonómicos relativos al documento justificativo de la contratación y clausulado de los contratos y de contratos de tracto continuado; nulidad del precepto legal sobre titulización de créditos y, por conexión o consecuencia, de la tipificación como infracción administrativa de la no comunicación de cesión de créditos a fondos de titulización.</w:t>
      </w:r>
    </w:p>
    <w:p w:rsidR="005728DD" w:rsidRDefault="005728DD" w:rsidP="005728DD">
      <w:pPr>
        <w:pStyle w:val="SntesisAnaltica"/>
      </w:pPr>
    </w:p>
    <w:p w:rsidR="005728DD" w:rsidRDefault="005728DD" w:rsidP="005728DD">
      <w:pPr>
        <w:pStyle w:val="Extracto"/>
      </w:pPr>
      <w:r>
        <w:t>1.</w:t>
      </w:r>
      <w:r>
        <w:tab/>
        <w:t>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sin necesidad de que el estatuto incorpore cláusulas de salvaguardia de las competencias estatales  (SSTC 15/1989 y 31/2010) [FJ 3].</w:t>
      </w:r>
    </w:p>
    <w:p w:rsidR="005728DD" w:rsidRDefault="005728DD" w:rsidP="005728DD">
      <w:pPr>
        <w:pStyle w:val="Extracto"/>
      </w:pPr>
    </w:p>
    <w:p w:rsidR="005728DD" w:rsidRDefault="005728DD" w:rsidP="005728DD">
      <w:pPr>
        <w:pStyle w:val="Extracto"/>
      </w:pPr>
      <w:r>
        <w:t>2.</w:t>
      </w:r>
      <w:r>
        <w:tab/>
        <w:t>En el contrato de compraventa ha de primar su carácter civil, pues dirigiendo la atención hacia el consumidor, que es el principal sujeto y protagonista de la protección que dispensa el mandato constitucional, su posición en el contrato de compraventa es típica de las relaciones civiles, porque actúa con una finalidad esencialmente privada y sin ánimo de lucro, de tal suerte que el bien adquirido queda en su propio círculo sin reintroducirlo en el mercado ni destinarlo a su profesión u oficio. Este mismo criterio aparece recogido en el Código de comercio que expresamente excluye que tenga naturaleza mercantil la compraventa de efectos dedicados al consumo del comprador o de persona por cuyo cargo se adquieren (STC 132/2019) [FJ 4].</w:t>
      </w:r>
    </w:p>
    <w:p w:rsidR="005728DD" w:rsidRDefault="005728DD" w:rsidP="005728DD">
      <w:pPr>
        <w:pStyle w:val="Extracto"/>
      </w:pPr>
    </w:p>
    <w:p w:rsidR="005728DD" w:rsidRDefault="005728DD" w:rsidP="005728DD">
      <w:pPr>
        <w:pStyle w:val="Extracto"/>
      </w:pPr>
      <w:r>
        <w:t>3.</w:t>
      </w:r>
      <w:r>
        <w:tab/>
        <w:t>El establecimiento por parte de la comunidad autónoma, como opción y no como obligación, de que el documento justificativo de la contratación realizada esté en papel, contradice la normativa estatal de aplicación a los contratos celebrados entre un consumidor y un empresario, dictada al amparo de las competencias exclusivas del Estado en materia de legislación mercantil, procesal y civil, conforme al artículo 149.1.6 y 8 CE [FJ 4].</w:t>
      </w:r>
    </w:p>
    <w:p w:rsidR="005728DD" w:rsidRDefault="005728DD" w:rsidP="005728DD">
      <w:pPr>
        <w:pStyle w:val="Extracto"/>
      </w:pPr>
    </w:p>
    <w:p w:rsidR="005728DD" w:rsidRDefault="005728DD" w:rsidP="005728DD">
      <w:pPr>
        <w:pStyle w:val="Extracto"/>
      </w:pPr>
      <w:r>
        <w:t>4.</w:t>
      </w:r>
      <w:r>
        <w:tab/>
        <w:t xml:space="preserve">La determinación normativa de las cláusulas que deben considerarse abusivas es una cuestión que compete exclusivamente al Estado, el cual debe delimitar tanto el concepto de cláusula abusiva, como definir las que cumplen tal condición; concepto que no puede quedar a disposición de una norma autonómica que, al amparo </w:t>
      </w:r>
      <w:r>
        <w:lastRenderedPageBreak/>
        <w:t>de la competencia en materia de protección de los consumidores y usuarios, califique a todos los efectos como abusivas determinadas cláusulas, con independencia de si tienen o no tal consideración en la normativa estatal aplicable [FJ 5].</w:t>
      </w:r>
    </w:p>
    <w:p w:rsidR="005728DD" w:rsidRDefault="005728DD" w:rsidP="005728DD">
      <w:pPr>
        <w:pStyle w:val="Extracto"/>
      </w:pPr>
    </w:p>
    <w:p w:rsidR="005728DD" w:rsidRDefault="005728DD" w:rsidP="005728DD">
      <w:pPr>
        <w:pStyle w:val="Extracto"/>
      </w:pPr>
      <w:r>
        <w:t>5.</w:t>
      </w:r>
      <w:r>
        <w:tab/>
        <w:t>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‘necesarias especialidades’ (SSTC 127/1999, 47/2004, 21/2012 y 80/2018) [FJ 5].</w:t>
      </w:r>
    </w:p>
    <w:p w:rsidR="005728DD" w:rsidRDefault="005728DD" w:rsidP="005728DD">
      <w:pPr>
        <w:pStyle w:val="Extracto"/>
      </w:pPr>
    </w:p>
    <w:p w:rsidR="005728DD" w:rsidRDefault="005728DD" w:rsidP="005728DD">
      <w:pPr>
        <w:pStyle w:val="Extracto"/>
      </w:pPr>
      <w:r>
        <w:t>6.</w:t>
      </w:r>
      <w:r>
        <w:tab/>
        <w:t>Para entender justificada la aplicación de la salvedad competencial contenida en el art. 149.1.6 CE deben completarse en tres operaciones: 1º) determinar cuál es el Derecho sustantivo autonómico que presenta particularidades; 2º) señalar respecto de qué legislación procesal estatal y, por tanto, general o común, se predican las eventuales especialidades de orden procesal incorporadas por el legislador autonómico; y 3º) ha de indagarse si, entre las peculiaridades del ordenamiento sustantivo autonómico y las singularidades procesales incorporadas por el legislador autonómico en la norma impugnada, existe una conexión directa tal que justifique las especialidades procesales (STC 13/2019) [FJ 5].</w:t>
      </w:r>
    </w:p>
    <w:p w:rsidR="005728DD" w:rsidRDefault="005728DD" w:rsidP="005728DD">
      <w:pPr>
        <w:pStyle w:val="Extracto"/>
      </w:pPr>
    </w:p>
    <w:p w:rsidR="005728DD" w:rsidRDefault="005728DD" w:rsidP="005728DD">
      <w:pPr>
        <w:pStyle w:val="Extracto"/>
      </w:pPr>
      <w:r>
        <w:t>7.</w:t>
      </w:r>
      <w:r>
        <w:tab/>
        <w:t xml:space="preserve">El ejercicio de las competencias autonómicas en materia de defensa de los consumidores y usuarios, tienen como límite, entre otros, que no se produzca un </w:t>
      </w:r>
      <w:r w:rsidRPr="005728DD">
        <w:rPr>
          <w:i/>
        </w:rPr>
        <w:t>novum</w:t>
      </w:r>
      <w:r>
        <w:t xml:space="preserve"> en el contenido contractual; o en otras palabras, que no se introduzcan derechos ni obligaciones en el marco de las relaciones contractuales privadas, ya que, en caso contrario, se estaría adentrando a regular ámbitos reservados a la competencia exclusiva del Estado por el art. 149.1.6 y 8 CE, lo que bastaría para concluir en su inconstitucionalidad (SSTC  54/2018 y 13/2019) [FJ 6].</w:t>
      </w:r>
    </w:p>
    <w:p w:rsidR="005728DD" w:rsidRDefault="005728DD" w:rsidP="005728DD">
      <w:pPr>
        <w:pStyle w:val="Extracto"/>
      </w:pPr>
    </w:p>
    <w:p w:rsidR="005728DD" w:rsidRDefault="005728DD" w:rsidP="005728DD">
      <w:pPr>
        <w:pStyle w:val="Extracto"/>
      </w:pPr>
      <w:r>
        <w:t>8.</w:t>
      </w:r>
      <w:r>
        <w:tab/>
        <w:t>Las cuestiones que afectan a las relaciones contractuales privadas, en cuanto se refiere a la regulación de nuevos derechos, han de entenderse reservadas al Estado, no pudiendo la comunidad autónoma imponer un deber amparándose para ello en sus competencias en materia de consumo. La comunidad autónoma no puede, al ejercer sus competencias sobre dicho sector material, dejar de acomodar su normativa a la que el Estado ha dictado al amparo de sus competencias exclusivas, como son las que derivan de los arts. 149.1.6 y 8 CE [FJ 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6835-2019, interpuesto por el presidente del Gobierno contra los arts. 13 d), 17.2, 28.6 y 29 de la Ley 6/2019, de 20 de febrero, del estatuto de las personas consumidoras de Extremadura. Ha comparecido y formulado alegaciones el Gobierno de la Junta de Extremadura.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día 26 de noviembre de 2019 se ha promovido recurso de inconstitucionalidad por el abogado del Estado, en representación del presidente del Gobierno, contra los arts. 13 d); 17.2; 28.6, y 29 de la Ley 6/2019, de 20 de febrero, del estatuto de las personas consumidoras de Extremadura.</w:t>
      </w:r>
    </w:p>
    <w:p w:rsidR="005728DD" w:rsidRDefault="005728DD" w:rsidP="005728DD">
      <w:pPr>
        <w:pStyle w:val="TextoNormal"/>
      </w:pPr>
    </w:p>
    <w:p w:rsidR="005728DD" w:rsidRDefault="005728DD" w:rsidP="005728DD">
      <w:pPr>
        <w:pStyle w:val="TextoNormal"/>
      </w:pPr>
      <w:r>
        <w:t>El recurso se fundamenta en los motivos que seguidamente se exponen.</w:t>
      </w:r>
    </w:p>
    <w:p w:rsidR="005728DD" w:rsidRDefault="005728DD" w:rsidP="005728DD">
      <w:pPr>
        <w:pStyle w:val="TextoNormal"/>
      </w:pPr>
    </w:p>
    <w:p w:rsidR="005728DD" w:rsidRDefault="005728DD" w:rsidP="005728DD">
      <w:pPr>
        <w:pStyle w:val="TextoNormal"/>
      </w:pPr>
      <w:r>
        <w:t>Comienza su demanda el abogado del Estado haciendo referencia al objeto y contenido de la Ley 6/2019. Aborda a continuación el encuadramiento competencial de las cuestiones suscitadas en el recurso, señalando que la norma tiene por objeto garantizar la defensa, promoción y protección de los derechos y legítimos intereses de los consumidores y usuarios, en cumplimiento del mandato del art. 51 CE y en ejercicio de la competencia autonómica reconocida en el art. 9.1.18 del Estatuto de Autonomía; dicho ejercicio ha de respetar las competencias estatales que puedan tener incidencia sobre la materia consumo (cita las SSTC 54/2018, 119/2018, 13/2019 y 132/2019). Entre la pluralidad de títulos competenciales estatales que inciden en materia de consumo, el abogado del Estado destaca, por un lado, los referentes a la legislación procesal, mercantil y civil (art. 149.1.6 y 8 CE) y las normas que limiten la competencia autonómica dictadas al amparo de títulos transversales del Estado, como son los recogidos en los apartados 1 y 13 del art. 149.1 CE.</w:t>
      </w:r>
    </w:p>
    <w:p w:rsidR="005728DD" w:rsidRDefault="005728DD" w:rsidP="005728DD">
      <w:pPr>
        <w:pStyle w:val="TextoNormal"/>
      </w:pPr>
    </w:p>
    <w:p w:rsidR="005728DD" w:rsidRDefault="005728DD" w:rsidP="005728DD">
      <w:pPr>
        <w:pStyle w:val="TextoNormal"/>
      </w:pPr>
      <w:r>
        <w:t>Sobre el art. 13 d), considera que, al establecer como opción y no como obligación, que el documento justificativo de la contratación realizada esté en papel, equipara la factura en papel a la factura electrónica, contradice lo dispuesto en el art. 63.3 del texto refundido de la Ley general para la defensa de los consumidores y usuarios y otras leyes complementarias, aprobado por Real Decreto Legislativo 1/2007, de 16 de noviembre (en adelante TRLGDCU). Esta disposición estatal, en cumplimiento del mandato contenido en el art. 51 CE, incorpora en el ámbito de las competencias estatales el régimen general de protección de los consumidores y usuarios.</w:t>
      </w:r>
    </w:p>
    <w:p w:rsidR="005728DD" w:rsidRDefault="005728DD" w:rsidP="005728DD">
      <w:pPr>
        <w:pStyle w:val="TextoNormal"/>
      </w:pPr>
    </w:p>
    <w:p w:rsidR="005728DD" w:rsidRDefault="005728DD" w:rsidP="005728DD">
      <w:pPr>
        <w:pStyle w:val="TextoNormal"/>
      </w:pPr>
      <w:r>
        <w:t xml:space="preserve">El mencionado art. 63.3 TRLGDCU, de conformidad con su disposición adicional primera, se ampara en el ejercicio de las competencias exclusivas del Estado en materia de legislación, mercantil, procesal y civil, conforme al art. 149.1 6 y 8 CE. El precepto estatal prevé la obligatoriedad de la factura en papel y excepcionalmente su emisión en formato electrónico, cuando se cumplan determinadas condiciones; en concreto, la factura electrónica estará condicionada a que el empresario haya obtenido previamente el consentimiento </w:t>
      </w:r>
      <w:r>
        <w:lastRenderedPageBreak/>
        <w:t>expreso del consumidor. Por el contrario, el precepto autonómico está negando al consumidor este derecho, al equiparar la factura en papel a la factura electrónica y, por tanto, dejándolo a elección del empresario.</w:t>
      </w:r>
    </w:p>
    <w:p w:rsidR="005728DD" w:rsidRDefault="005728DD" w:rsidP="005728DD">
      <w:pPr>
        <w:pStyle w:val="TextoNormal"/>
      </w:pPr>
    </w:p>
    <w:p w:rsidR="005728DD" w:rsidRDefault="005728DD" w:rsidP="005728DD">
      <w:pPr>
        <w:pStyle w:val="TextoNormal"/>
      </w:pPr>
      <w:r>
        <w:t>Se cita por el abogado del Estado el informe de 18 de mayo de 2016, adoptado por unanimidad de todas las comunidades autónomas, y con el informe favorable del Ministerio de Justicia, de acuerdo con el procedimiento establecido de interpretaciones normativas comunes en el ámbito del consumo, aprobado por la octava Conferencia Sectorial de Consumo, en el que se determina el carácter abusivo de la práctica consistente en emitir y entregar facturas en formato electrónico tanto por defecto como en base a la incorporación de una cláusula general predispuesta, no negociada individualmente e incluida en un contrato de adhesión, mediante la cual el consumidor acepta la factura electrónica, por tratarse de una renuncia injustificada a recibir factura en papel (art. 9.2 y disposición adicional segunda del Reglamento por el que se regulan las obligaciones de facturación, aprobado por Real Decreto 1619/2012, de 30 de noviembre y art. 86.7 TRLGDCU, y que se funda en el art. 149.1.14 CE, que atribuye al Estado competencia exclusiva en materia de hacienda general).</w:t>
      </w:r>
    </w:p>
    <w:p w:rsidR="005728DD" w:rsidRDefault="005728DD" w:rsidP="005728DD">
      <w:pPr>
        <w:pStyle w:val="TextoNormal"/>
      </w:pPr>
    </w:p>
    <w:p w:rsidR="005728DD" w:rsidRDefault="005728DD" w:rsidP="005728DD">
      <w:pPr>
        <w:pStyle w:val="TextoNormal"/>
      </w:pPr>
      <w:r>
        <w:t>Afirma asimismo que las condiciones para permitir la facturación electrónica, contempladas en el texto refundido de la Ley general para la defensa de los consumidores y usuarios, no pueden ser objeto de regulación por norma autonómica, salvo que esta, en ejercicio de su competencia en materia de defensa de los consumidores y usuarios, al establecer los datos informativos que deban contener las facturas, hiciera una reproducción o reiteración fiel de la norma estatal (STC 54/2018, FJ 9), supuesto que no se produce en el precepto impugnado.</w:t>
      </w:r>
    </w:p>
    <w:p w:rsidR="005728DD" w:rsidRDefault="005728DD" w:rsidP="005728DD">
      <w:pPr>
        <w:pStyle w:val="TextoNormal"/>
      </w:pPr>
    </w:p>
    <w:p w:rsidR="005728DD" w:rsidRDefault="005728DD" w:rsidP="005728DD">
      <w:pPr>
        <w:pStyle w:val="TextoNormal"/>
      </w:pPr>
      <w:r>
        <w:t>Respecto a la regulación de las cláusulas abusivas de los contratos, incluidas en los arts. 17.2 y 28.6, afirma el abogado del Estado que el apartado 2 del art.17 está configurando un nuevo supuesto de cláusula abusiva, mientras que el apartado 6 del art. 28 extiende los efectos de abusividad, al señalar que si una cláusula de un contrato de prestación de servicios de tracto continuado es declarada abusiva, todos los sujetos que tengan contratos vigentes con cláusulas similares también lo son, incidiendo por tanto en el régimen de validez del contrato.</w:t>
      </w:r>
    </w:p>
    <w:p w:rsidR="005728DD" w:rsidRDefault="005728DD" w:rsidP="005728DD">
      <w:pPr>
        <w:pStyle w:val="TextoNormal"/>
      </w:pPr>
    </w:p>
    <w:p w:rsidR="005728DD" w:rsidRDefault="005728DD" w:rsidP="005728DD">
      <w:pPr>
        <w:pStyle w:val="TextoNormal"/>
      </w:pPr>
      <w:r>
        <w:t xml:space="preserve">En relación con el art. 17.2 entiende que la regulación de lo que deba entenderse por cláusulas contractuales abusivas en perjuicio del consumidor, forma parte de la competencia estatal en materia de legislación civil </w:t>
      </w:r>
      <w:r w:rsidRPr="005728DD">
        <w:rPr>
          <w:i/>
        </w:rPr>
        <w:t>ex</w:t>
      </w:r>
      <w:r>
        <w:t xml:space="preserve"> art. 149.1.8 CE, al igual que la normación de las condiciones generales de contratación o de las distintas modalidades contractuales, e igualmente la de la responsabilidad por los daños originados en la adquisición, utilización o disfrute por los consumidores de bienes, medios o servicios. El régimen de estas cuestiones debe ser uno y el mismo para todo el territorio del Estado. Las comunidades autónomas podrán disciplinar determinados tipos de venta o articular dispositivos preventivos o correctores de los eventuales abusos a que ciertos contratos puedan conducir, siempre que a través de tales normas no se produzca un </w:t>
      </w:r>
      <w:r w:rsidRPr="005728DD">
        <w:rPr>
          <w:i/>
        </w:rPr>
        <w:t>novum</w:t>
      </w:r>
      <w:r>
        <w:t xml:space="preserve"> en el contenido contractual; esto es, siempre que no se introduzcan derechos ni obligaciones en el marco de las relaciones contractuales privadas (STC 54/2018, de 24 de mayo, FJ 8).</w:t>
      </w:r>
    </w:p>
    <w:p w:rsidR="005728DD" w:rsidRDefault="005728DD" w:rsidP="005728DD">
      <w:pPr>
        <w:pStyle w:val="TextoNormal"/>
      </w:pPr>
    </w:p>
    <w:p w:rsidR="005728DD" w:rsidRDefault="005728DD" w:rsidP="005728DD">
      <w:pPr>
        <w:pStyle w:val="TextoNormal"/>
      </w:pPr>
      <w:r>
        <w:t xml:space="preserve">Por otro lado, el art. 28.6 determina que se considere la abusividad como un vicio </w:t>
      </w:r>
      <w:r w:rsidRPr="005728DD">
        <w:rPr>
          <w:i/>
        </w:rPr>
        <w:t>per se</w:t>
      </w:r>
      <w:r>
        <w:t xml:space="preserve"> de una cláusula, cuando esta puede resultar abusiva en un contrato determinado y no serlo </w:t>
      </w:r>
      <w:r>
        <w:lastRenderedPageBreak/>
        <w:t>en otros (STS 241/2013, de 9 de mayo), dado que existen casos en los que estas cláusulas abusivas lo son únicamente por razones exógenas al contrato, y no procedería, en este caso, obligar a extender una circunstancia, que puede ser particular de uno o varios contratos, a la totalidad de los mismos, por lo que la regulación autonómica incurre en vulneración del art. 149.1.8 CE.</w:t>
      </w:r>
    </w:p>
    <w:p w:rsidR="005728DD" w:rsidRDefault="005728DD" w:rsidP="005728DD">
      <w:pPr>
        <w:pStyle w:val="TextoNormal"/>
      </w:pPr>
    </w:p>
    <w:p w:rsidR="005728DD" w:rsidRDefault="005728DD" w:rsidP="005728DD">
      <w:pPr>
        <w:pStyle w:val="TextoNormal"/>
      </w:pPr>
      <w:r>
        <w:t xml:space="preserve">Se infringe asimismo el art. 149.1.6 CE, al regular los efectos de la sentencia declarativa de la abusividad, en la medida en que al deber de información añade el efecto de inaplicabilidad </w:t>
      </w:r>
      <w:r w:rsidRPr="005728DD">
        <w:rPr>
          <w:i/>
        </w:rPr>
        <w:t>erga omnes</w:t>
      </w:r>
      <w:r>
        <w:t xml:space="preserve"> de la cláusula declarada abusiva. Corresponde en exclusiva al Estado delimitar la noción de cláusula abusiva y, por ende, regular los efectos que produce su inclusión en un contrato, y a ello se refiere el art. 83 TRLGDCU, del que deriva que la declaración de nulidad afecta únicamente al contrato en que dicha cláusula abusiva se insertó.</w:t>
      </w:r>
    </w:p>
    <w:p w:rsidR="005728DD" w:rsidRDefault="005728DD" w:rsidP="005728DD">
      <w:pPr>
        <w:pStyle w:val="TextoNormal"/>
      </w:pPr>
    </w:p>
    <w:p w:rsidR="005728DD" w:rsidRDefault="005728DD" w:rsidP="005728DD">
      <w:pPr>
        <w:pStyle w:val="TextoNormal"/>
      </w:pPr>
      <w:r>
        <w:t xml:space="preserve">Continúa señalando el abogado del Estado que la obligación de inaplicar con carácter general y en relación con todos los contratos de tracto continuado vigentes, las cláusulas que hayan sido declaradas abusivas en el marco de un determinado contrato, supone hacer extensivos </w:t>
      </w:r>
      <w:r w:rsidRPr="005728DD">
        <w:rPr>
          <w:i/>
        </w:rPr>
        <w:t>ope legis</w:t>
      </w:r>
      <w:r>
        <w:t xml:space="preserve"> los efectos de una sentencia, a contratos distintos del que motivó el pronunciamiento judicial y a sujetos que no han sido parte en ese proceso. Se trata, por tanto, de una previsión de la que derivan efectos procesales, que dan lugar a una modificación del régimen general de eficacia de las sentencias, que no es consecuencia de las particularidades del derecho sustantivo de la comunidad autónoma, e infringe lo dispuesto en el art. 149.1.6 CE. Con arreglo a la legislación procesal aplicable en todo el territorio nacional (art. 221.1.2 de la Ley de enjuiciamiento civil) es la sentencia la que debe delimitar el alcance del fallo </w:t>
      </w:r>
      <w:r w:rsidRPr="005728DD">
        <w:rPr>
          <w:i/>
        </w:rPr>
        <w:t>erga omnes</w:t>
      </w:r>
      <w:r>
        <w:t>, y ello siempre que el proceso lo hayan promovido las asociaciones allí previstas, no en otros posibles supuestos.</w:t>
      </w:r>
    </w:p>
    <w:p w:rsidR="005728DD" w:rsidRDefault="005728DD" w:rsidP="005728DD">
      <w:pPr>
        <w:pStyle w:val="TextoNormal"/>
      </w:pPr>
    </w:p>
    <w:p w:rsidR="005728DD" w:rsidRDefault="005728DD" w:rsidP="005728DD">
      <w:pPr>
        <w:pStyle w:val="TextoNormal"/>
      </w:pPr>
      <w:r>
        <w:t>Concluye afirmando que, de conformidad con lo expuesto, los arts. 17.2 y 28.6 de la Ley 6/2019 incurren en un exceso competencial, al regular la abusividad de las cláusulas contractuales y las consecuencias que las mismas tienen en la validez de un contrato, por incidir en el contenido de los contratos, entendidos en su sentido material, siendo esta una cuestión reservada al Estado en virtud del art. 149.1.8 CE. Y a través de la regulación de los efectos de la sentencia, se incurre en invasión de la competencia exclusiva del Estado en materia de legislación procesal, en los términos del art. 149.1.6 CE.</w:t>
      </w:r>
    </w:p>
    <w:p w:rsidR="005728DD" w:rsidRDefault="005728DD" w:rsidP="005728DD">
      <w:pPr>
        <w:pStyle w:val="TextoNormal"/>
      </w:pPr>
    </w:p>
    <w:p w:rsidR="005728DD" w:rsidRDefault="005728DD" w:rsidP="005728DD">
      <w:pPr>
        <w:pStyle w:val="TextoNormal"/>
      </w:pPr>
      <w:r>
        <w:t>Finalmente, en cuanto al art. 29, relativo a la titulización de créditos, el abogado del Estado considera que la norma pretende tipificar qué se entiende por “crédito titulizado”, y comprende todos los supuestos de titulización, conlleven o no transmisión del crédito. Adopta así una tipificación propia y autónoma de este crédito, diferente de la establecida en la legislación mercantil estatal, en la que se regulan titulizaciones sin cesión de crédito, que en ningún caso estarían sujetas a comunicación al deudor. Considera pues que el precepto infringe la competencia exclusiva del Estado sobre legislación mercantil (art. 149.1.6 CE), pues la naturaleza de la titulización como operación mercantil entre la entidad de crédito y el correspondiente fondo de titulización, resulta indubitada (arts. 15 y ss. de la Ley 5/2015, de 27 de abril, de fomento de la financiación empresarial).</w:t>
      </w:r>
    </w:p>
    <w:p w:rsidR="005728DD" w:rsidRDefault="005728DD" w:rsidP="005728DD">
      <w:pPr>
        <w:pStyle w:val="TextoNormal"/>
      </w:pPr>
    </w:p>
    <w:p w:rsidR="005728DD" w:rsidRDefault="005728DD" w:rsidP="005728DD">
      <w:pPr>
        <w:pStyle w:val="TextoNormal"/>
      </w:pPr>
      <w:r>
        <w:t xml:space="preserve">Señala que las titulizaciones pueden definirse como la técnica financiera a través de la cual un conjunto más o menos homogéneo de derechos de crédito se convierte en títulos </w:t>
      </w:r>
      <w:r>
        <w:lastRenderedPageBreak/>
        <w:t>susceptibles de negociación, esto es, dispuestos para su colocación en los mercados de capitales. Se trata de un negocio de gran relevancia en el sector bancario, ya que permite convertir activos bancarios poco líquidos en activos líquidos, eliminando así de sus balances el riesgo que implican. La existencia de modos distintos de documentar la titulización adquiere especial relevancia; y el Real Decreto 716/2009, por el que se desarrollan determinados aspectos de la Ley 2/1981, de 25 de marzo, de regulación del mercado hipotecario, regula los tres mecanismos de titulización utilizados hasta el momento: los bonos, las cédulas y las participaciones, por lo que existen tres modalidades de titulización: titulización con cesión del crédito, titulización con cesión del crédito mediante participaciones y titulización mixta.</w:t>
      </w:r>
    </w:p>
    <w:p w:rsidR="005728DD" w:rsidRDefault="005728DD" w:rsidP="005728DD">
      <w:pPr>
        <w:pStyle w:val="TextoNormal"/>
      </w:pPr>
    </w:p>
    <w:p w:rsidR="005728DD" w:rsidRDefault="005728DD" w:rsidP="005728DD">
      <w:pPr>
        <w:pStyle w:val="TextoNormal"/>
      </w:pPr>
      <w:r>
        <w:t>El precepto controvertido, tras la definición propia del concepto de crédito titulizado, pretende regular el deber de la entidad financiera de informar con carácter previo, por escrito y de manera fehaciente a la persona deudora del crédito hipotecario, así como los extremos de la notificación. Se trata de cuestiones circunscritas a la legislación civil, sobre las que la comunidad autónoma carece de competencias, por lo que no puede ampliar la normativa existente mediante la regulación de nuevos derechos y obligaciones de las partes, como contempla el art. 29, actualizando el régimen jurídico del préstamo hipotecario e imponiendo una determinada obligación a una de las partes en un supuesto concreto, el de la cesión del crédito de titulización.</w:t>
      </w:r>
    </w:p>
    <w:p w:rsidR="005728DD" w:rsidRDefault="005728DD" w:rsidP="005728DD">
      <w:pPr>
        <w:pStyle w:val="TextoNormal"/>
      </w:pPr>
    </w:p>
    <w:p w:rsidR="005728DD" w:rsidRDefault="005728DD" w:rsidP="005728DD">
      <w:pPr>
        <w:pStyle w:val="TextoNormal"/>
      </w:pPr>
      <w:r>
        <w:t>Recuerda el representante estatal que el Tribunal Constitucional ha afirmado que la competencia autonómica en materia de defensa de los consumidores y usuarios comprende la de establecer y regular los datos informativos que deban contener, por ejemplo, las ofertas de venta, siempre que se refieran a derechos que vengan reconocidos en normas aprobadas por el legislador competente, que es el estatal al amparo del art. 149.1.8 CE. Así, solo cabría entender que el precepto autonómico resulta constitucional si, desde la perspectiva informativa que el Tribunal Constitucional ha considerado constitucionalmente admisible, hiciera un reproducción o reiteración fiel de la norma estatal, lo que no concurre en este supuesto, pues aunque el art. 29 de la Ley 6/2019 responde a la finalidad de proteger a los consumidores, no contempla derechos que vengan reconocidos por el legislador estatal al amparo del art. 149.1.8 CE, sino que introduce derechos y obligaciones en el marco de la relaciones contractuales privadas, por lo que se adentra a regular ámbitos reservados a la citada competencia exclusiva del Estado (STC 54/2018, FJ 9).</w:t>
      </w:r>
    </w:p>
    <w:p w:rsidR="005728DD" w:rsidRDefault="005728DD" w:rsidP="005728DD">
      <w:pPr>
        <w:pStyle w:val="TextoNormal"/>
      </w:pPr>
    </w:p>
    <w:p w:rsidR="005728DD" w:rsidRDefault="005728DD" w:rsidP="005728DD">
      <w:pPr>
        <w:pStyle w:val="TextoNormal"/>
      </w:pPr>
      <w:r>
        <w:t>De acuerdo con el art. 242 del Reglamento Hipotecario, “del contrato de cesión de crédito hipotecario se dará conocimiento al deudor por los medios establecidos en el art. 222, a menos que hubiera renunciado a este derecho en escritura pública o se estuviera en el caso del art. 150 de la Ley”. Esta normativa estatal, inserta en el ámbito de la legislación civil, supone reconocer la posibilidad de que el deudor renuncie en escritura pública al conocimiento de la cesión del crédito. Sin embargo, el art. 29 de la ley autonómica establece y regula una obligación de información —que, en caso de incumplirse es susceptible de conllevar una sanción— que no se vincula con derechos que vengan reconocidos en normas aprobadas por el legislador estatal, el cual ha reconocido la renunciabilidad del derecho del deudor, por lo que se incide en la competencia del Estado en materia de legislación civil y mercantil.</w:t>
      </w:r>
    </w:p>
    <w:p w:rsidR="005728DD" w:rsidRDefault="005728DD" w:rsidP="005728DD">
      <w:pPr>
        <w:pStyle w:val="TextoNormal"/>
      </w:pPr>
    </w:p>
    <w:p w:rsidR="005728DD" w:rsidRDefault="005728DD" w:rsidP="005728DD">
      <w:pPr>
        <w:pStyle w:val="TextoNormal"/>
      </w:pPr>
      <w:r>
        <w:t xml:space="preserve">Por último, considera el abogado del Estado que, de conformidad con lo dictaminado por el Consejo de Estado, la regulación autonómica conecta materialmente con las competencias </w:t>
      </w:r>
      <w:r>
        <w:lastRenderedPageBreak/>
        <w:t xml:space="preserve">del Estado sobre ordenación del crédito y ordenación general de la economía, y afecta a la unidad de mercado, en particular en el mercado hipotecario (arts. 149.1.11 y 13 CE). Así resulta del art. 29.3 e) que incluye como contenido del deber de información el relativo al precio de la transmisión, incluyendo las costas que le hubiere ocasionado y los intereses del precio, de conformidad con lo establecido en el art. 1535 del Código civil; y ello en relación con el art. 28.2, que contempla como cláusula abusiva la renuncia al derecho de comunicación de cesión de créditos, así como a los derechos de retracto y tanteo en contratos de crédito o préstamos de cualquier índole. Ello implica, junto a un deber imperativo de información, contrario al art. 222 del Reglamento hipotecario, la imposición de la irrenunciabilidad del retracto, por la vía de calificar como abusiva su renuncia, que hace que el retracto de créditos </w:t>
      </w:r>
      <w:r w:rsidRPr="005728DD">
        <w:rPr>
          <w:i/>
        </w:rPr>
        <w:t>ex</w:t>
      </w:r>
      <w:r>
        <w:t xml:space="preserve"> art. 1535, se convierta en irrenunciable en Extremadura, frente a su renunciabilidad en el Derecho común estatal.</w:t>
      </w:r>
    </w:p>
    <w:p w:rsidR="005728DD" w:rsidRDefault="005728DD" w:rsidP="005728DD">
      <w:pPr>
        <w:pStyle w:val="TextoNormal"/>
      </w:pPr>
    </w:p>
    <w:p w:rsidR="005728DD" w:rsidRDefault="005728DD" w:rsidP="005728DD">
      <w:pPr>
        <w:pStyle w:val="TextoNormal"/>
      </w:pPr>
      <w:r>
        <w:t>Con ello, si el crédito es litigioso, se introduce un retracto imperativo no contemplado por el legislador estatal, rompiendo la unidad del marco regulatorio de las titulizaciones, lo que puede determinar una ruptura de la unidad del mercado de crédito, y tiene una particular intensidad a efectos del art. 149.1.13 CE.</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10 de diciembre de 2019 el Pleno, a propuesta de la Sección Tercera, acordó admitir a trámite el recurso de inconstitucionalidad promovido por el presidente del Gobierno, representado por el abogado del Estado, en relación con los arts. 13, letra d); 17.2; 28.6 y 29 de la Ley 6/2019, de 20 de febrero, del estatuto de las personas consumidoras de Extremadura; dar traslado de la demanda y documentos presentados, conforme dispone el artículo 34 de la Ley Orgánica del Tribunal Constitucional (LOTC), al Congreso de los Diputados y al Senado, por conducto de sus presidentes, así como a la Asamblea de Extremadura y a la Junta de Extremadura, por conducto de sus presidentes, al objeto de que, en el plazo de quince días, puedan personarse en el proceso y formular las alegaciones que estimaren convenientes. También se ordenó publicar la incoación del recurso en el “Boletín Oficial del Estado” y en el “Diario Oficial de Extremadura”.</w:t>
      </w:r>
    </w:p>
    <w:p w:rsidR="005728DD" w:rsidRDefault="005728DD" w:rsidP="005728DD">
      <w:pPr>
        <w:pStyle w:val="TextoNormal"/>
      </w:pPr>
    </w:p>
    <w:p w:rsidR="005728DD" w:rsidRDefault="005728DD" w:rsidP="005728DD">
      <w:pPr>
        <w:pStyle w:val="TextoNormal"/>
      </w:pPr>
      <w:r w:rsidRPr="005728DD">
        <w:rPr>
          <w:rStyle w:val="NumeroAFNegritaCaracter"/>
        </w:rPr>
        <w:t>3</w:t>
      </w:r>
      <w:r>
        <w:t>. Mediante escrito registrado en este tribunal el día 18 de diciembre de 2019, la presidenta del Senado comunicó el acuerdo de la mesa de la cámara, por la que se persona en el proceso y ofrece su colaboración a los efectos del art. 88.1 LOTC. Lo mismo hizo la presidenta del Congreso de los Diputados por escrito que tuvo entrada en este tribunal el día 20 de enero de 2021.</w:t>
      </w:r>
    </w:p>
    <w:p w:rsidR="005728DD" w:rsidRDefault="005728DD" w:rsidP="005728DD">
      <w:pPr>
        <w:pStyle w:val="TextoNormal"/>
      </w:pPr>
    </w:p>
    <w:p w:rsidR="005728DD" w:rsidRDefault="005728DD" w:rsidP="005728DD">
      <w:pPr>
        <w:pStyle w:val="TextoNormal"/>
      </w:pPr>
      <w:r w:rsidRPr="005728DD">
        <w:rPr>
          <w:rStyle w:val="NumeroAFNegritaCaracter"/>
        </w:rPr>
        <w:t>4</w:t>
      </w:r>
      <w:r>
        <w:t>. La letrada de la Junta de Extremadura se personó en el proceso por escrito registrado en el tribunal el día 8 de enero de 2020, en el que expone que con fecha 27 de diciembre de 2019 se ha firmado un acuerdo de la comisión bilateral de cooperación administración general del Estado-Comunidad Autónoma de Extremadura, en relación con la Ley 6/2019. La firma de dicho acuerdo, que adjunta a su escrito, supone, según la letrada autonómica, que ambas partes resuelven todas las discrepancias que dieron lugar al presente recurso de inconstitucionalidad, por lo que deja al mismo vacío de objeto en la medida en que por la comunidad autónoma de Extremadura se está tramitando la reforma legal acordada. Por ello, solicita que se suspenda el plazo otorgado para oponerse y formular las alegaciones pertinentes en el presente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Mediante providencia del Pleno de 13 de enero de 2020 se acuerda incorporar a las actuaciones el escrito de fecha 8 de enero de 2020 que presenta la letrada de la Junta de Extremadura, a quien se le tiene por personada en nombre de la misma, sin que haya lugar a la suspensión interesada, sin perjuicio de concederle una prórroga de ocho días más en el plazo concedido por providencia de 10 de diciembre de 2019, a contar desde el día siguiente al de expiración del ordinario.</w:t>
      </w:r>
    </w:p>
    <w:p w:rsidR="005728DD" w:rsidRDefault="005728DD" w:rsidP="005728DD">
      <w:pPr>
        <w:pStyle w:val="TextoNormal"/>
      </w:pPr>
    </w:p>
    <w:p w:rsidR="005728DD" w:rsidRDefault="005728DD" w:rsidP="005728DD">
      <w:pPr>
        <w:pStyle w:val="TextoNormal"/>
      </w:pPr>
      <w:r w:rsidRPr="005728DD">
        <w:rPr>
          <w:rStyle w:val="NumeroAFNegritaCaracter"/>
        </w:rPr>
        <w:t>6</w:t>
      </w:r>
      <w:r>
        <w:t>. El letrado de la Asamblea de Extremadura se personó en el proceso por escrito registrado el día 10 de enero de 2020, a los efectos de notificaciones.</w:t>
      </w:r>
    </w:p>
    <w:p w:rsidR="005728DD" w:rsidRDefault="005728DD" w:rsidP="005728DD">
      <w:pPr>
        <w:pStyle w:val="TextoNormal"/>
      </w:pPr>
    </w:p>
    <w:p w:rsidR="005728DD" w:rsidRDefault="005728DD" w:rsidP="005728DD">
      <w:pPr>
        <w:pStyle w:val="TextoNormal"/>
      </w:pPr>
      <w:r w:rsidRPr="005728DD">
        <w:rPr>
          <w:rStyle w:val="NumeroAFNegritaCaracter"/>
        </w:rPr>
        <w:t>7</w:t>
      </w:r>
      <w:r>
        <w:t>. La letrada de la Junta de Extremadura cumplimentó el trámite de alegaciones conferido mediante escrito registrado el día 24 de enero de 2020.</w:t>
      </w:r>
    </w:p>
    <w:p w:rsidR="005728DD" w:rsidRDefault="005728DD" w:rsidP="005728DD">
      <w:pPr>
        <w:pStyle w:val="TextoNormal"/>
      </w:pPr>
    </w:p>
    <w:p w:rsidR="005728DD" w:rsidRDefault="005728DD" w:rsidP="005728DD">
      <w:pPr>
        <w:pStyle w:val="TextoNormal"/>
      </w:pPr>
      <w:r>
        <w:t>Alude, en primer lugar, al acuerdo de 27 de diciembre de 2019, firmado entre la administración general del Estado y la Junta de Extremadura, acuerdo que, a su juicio, resuelve las discrepancias que dieron lugar al presente recurso. El propio acuerdo señala que la validez del mismo se condiciona a que la comunidad autónoma apruebe y publique las reformas legislativas contenidas en el mismo. Es por ello por lo que la Comunidad Autónoma de Extremadura, está tramitando con la mayor diligencia la reforma legal oportuna a fin de dar acomodo legal a los acuerdos adoptados en la comisión bilateral de fecha 27 de diciembre de 2019, de tal forma que se encuentra en fase de tramitación la Ley de medidas de mejora de los procesos de respuesta administrativa a la ciudadanía y para la prestación útil de los servicios públicos, en cuyo artículo 8 se recogen las modificaciones de la Ley 6/2019. Por ello, estima que, a la fecha de dictarse sentencia, el proceso habrá perdido su objeto.</w:t>
      </w:r>
    </w:p>
    <w:p w:rsidR="005728DD" w:rsidRDefault="005728DD" w:rsidP="005728DD">
      <w:pPr>
        <w:pStyle w:val="TextoNormal"/>
      </w:pPr>
    </w:p>
    <w:p w:rsidR="005728DD" w:rsidRDefault="005728DD" w:rsidP="005728DD">
      <w:pPr>
        <w:pStyle w:val="TextoNormal"/>
      </w:pPr>
      <w:r>
        <w:t>Para el caso, no obstante, de que no se hubiera aprobado la reforma en cuestión, formula las siguientes alegaciones.</w:t>
      </w:r>
    </w:p>
    <w:p w:rsidR="005728DD" w:rsidRDefault="005728DD" w:rsidP="005728DD">
      <w:pPr>
        <w:pStyle w:val="TextoNormal"/>
      </w:pPr>
    </w:p>
    <w:p w:rsidR="005728DD" w:rsidRDefault="005728DD" w:rsidP="005728DD">
      <w:pPr>
        <w:pStyle w:val="TextoNormal"/>
      </w:pPr>
      <w:r>
        <w:t>En cuanto a la impugnación del art. 13 d), señala, tras aludir a las razones alegadas por el abogado del Estado para impugnarlo, que “esta administración ya ha aceptado la extralimitación competencial referenciada por la Abogacía del Estado. En el Acuerdo de la Comisión Bilateral de 27 de diciembre de 2019 la Junta de Extremadura pactó con la Administración del Estado una nueva redacción del precepto impugnado”, desapareciendo por tanto el motivo de inconstitucionalidad alegado.</w:t>
      </w:r>
    </w:p>
    <w:p w:rsidR="005728DD" w:rsidRDefault="005728DD" w:rsidP="005728DD">
      <w:pPr>
        <w:pStyle w:val="TextoNormal"/>
      </w:pPr>
    </w:p>
    <w:p w:rsidR="005728DD" w:rsidRDefault="005728DD" w:rsidP="005728DD">
      <w:pPr>
        <w:pStyle w:val="TextoNormal"/>
      </w:pPr>
      <w:r>
        <w:t xml:space="preserve">Sobre el art. 17 indica que las competencias autonómicas en materia de consumo ampararían esta regulación, la cual, en la misma línea que el texto refundido de la Ley general para la defensa de los consumidores y usuarios (arts. 8, 10 y 86), persigue reforzar la protección jurídica del deudor hipotecario cuando este sea un consumidor, lo que se ajusta a la jurisprudencia del Tribunal Supremo, que ha considerado abusivas cláusulas de este tipo y también a la Directiva 2014/17/UE del Parlamento Europeo y del Consejo, de 4 de febrero de 2014, sobre los contratos de crédito celebrados con los consumidores para bienes inmuebles de uso residencial; la Directiva 2008/48/CE del Parlamento Europeo y del Consejo, de 23 de abril de 2008, relativa a los contratos de crédito al consumo; y la Directiva 93/13/CEE del Consejo, de 5 de abril de 1993, sobre las cláusulas abusivas en los contratos celebrados con consumidores. Menciona también que “en el acuerdo de la comisión bilateral de 27 de diciembre de 2019, esta comunidad se ha comprometido con la administración general del </w:t>
      </w:r>
      <w:r>
        <w:lastRenderedPageBreak/>
        <w:t>Estado en promover la correspondiente iniciativa legislativa para suprimir el primer párrafo del apartado 2 del artículo 17 de la Ley 6/2019”.</w:t>
      </w:r>
    </w:p>
    <w:p w:rsidR="005728DD" w:rsidRDefault="005728DD" w:rsidP="005728DD">
      <w:pPr>
        <w:pStyle w:val="TextoNormal"/>
      </w:pPr>
    </w:p>
    <w:p w:rsidR="005728DD" w:rsidRDefault="005728DD" w:rsidP="005728DD">
      <w:pPr>
        <w:pStyle w:val="TextoNormal"/>
      </w:pPr>
      <w:r>
        <w:t>La letrada autonómica niega la vulneración denunciada respecto al art. 28.6 de la Ley 6/2019. Expone que la obligación discutida deriva del incumplimiento de la normativa en materia de consumo por la inclusión de cláusulas abusivas de forma unilateral en las condiciones generales de contratación, que rigen su relación contractual con una pluralidad indeterminada de clientes. Incumplimiento que tiene graves consecuencias para la administración y los consumidores; consumidores que son conocidos únicamente por la empresa que ha sido parte en los contratos. Eso, a su vez, da lugar a la imposición de la obligación ahora cuestionada, en cuanto que la empresa es la única obligada a adoptar las medidas necesarias para corregir la situación alterada, no solo del contrato del consumidor afectado por la resolución, sino también a todos los clientes afectados. Considera que la comunidad autónoma goza de competencia para comprobar si, en las condiciones generales de contratación, relativas a los contratos celebrados con los consumidores y usuarios en los diversos sectores (entre ellos, servicios de tracto continuado), se incluyen cláusulas abusivas, de tal forma que se haga efectiva la protección de los legítimos intereses económicos y sociales de los consumidores conforme a lo dispuesto en el texto refundido de la Ley general para la defensa de los consumidores y usuarios y demás normativa aplicable. Alude también a la modificación de este precepto, que se encuentra en fase de tramitación.</w:t>
      </w:r>
    </w:p>
    <w:p w:rsidR="005728DD" w:rsidRDefault="005728DD" w:rsidP="005728DD">
      <w:pPr>
        <w:pStyle w:val="TextoNormal"/>
      </w:pPr>
    </w:p>
    <w:p w:rsidR="005728DD" w:rsidRDefault="005728DD" w:rsidP="005728DD">
      <w:pPr>
        <w:pStyle w:val="TextoNormal"/>
      </w:pPr>
      <w:r>
        <w:t>Finalmente, por lo que hace al art. 29 de la Ley 6/2019 señala que el legislador extremeño persigue reforzar la protección jurídica del deudor hipotecario cuando este sea un consumidor, sin que pueda prevalecer el art. 242 del Reglamento Hipotecario, por cuanto entiende que no se sobrepone a la normativa dictada en materia de consumo. Nuevamente menciona la modificación acordada en relación a este precepto, en el sentido de clarificar reglamentariamente su aplicación.</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providencia de 16 de marzo de 2021, se señaló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objeto de la presente resolución es resolver el recurso de inconstitucionalidad interpuesto por el Presidente del Gobierno contra los arts. 13 d), 17.2, 28.6 y 29 de la Ley 6/2019, de 20 de febrero, del estatuto de las personas consumidoras de Extremadura.</w:t>
      </w:r>
    </w:p>
    <w:p w:rsidR="005728DD" w:rsidRDefault="005728DD" w:rsidP="005728DD">
      <w:pPr>
        <w:pStyle w:val="TextoNormal"/>
      </w:pPr>
    </w:p>
    <w:p w:rsidR="005728DD" w:rsidRDefault="005728DD" w:rsidP="005728DD">
      <w:pPr>
        <w:pStyle w:val="TextoNormal"/>
      </w:pPr>
      <w:r>
        <w:t>Conforme ha quedado expuesto en los antecedentes, la demanda considera que los preceptos impugnados no responden a un adecuado ejercicio de las competencias autonómicas en materia de protección de los consumidores y usuarios, en cuanto vulneran las competencias estatales en materia de legislación civil, mercantil y procesal, de conformidad con lo dispuesto en el art. 149.1.6 y 8 CE. Además se alega que el art. 29 infringe también las competencias estatales del art. 149.1.11 CE, sobre bases de ordenación del crédito y del art. 149.1.13 CE, respecto a las bases y coordinación de la planificación general de la actividad económica.</w:t>
      </w:r>
    </w:p>
    <w:p w:rsidR="005728DD" w:rsidRDefault="005728DD" w:rsidP="005728DD">
      <w:pPr>
        <w:pStyle w:val="TextoNormal"/>
      </w:pPr>
    </w:p>
    <w:p w:rsidR="005728DD" w:rsidRDefault="005728DD" w:rsidP="005728DD">
      <w:pPr>
        <w:pStyle w:val="TextoNormal"/>
      </w:pPr>
      <w:r>
        <w:lastRenderedPageBreak/>
        <w:t>Por su parte, la letrada de la Junta de Extremadura ha interesado la pérdida de objeto del recurso interpuesto y, en su defecto, su desestimación. Alude, en cuanto a lo primero, a un acuerdo de la comisión bilateral de cooperación administración general del Estado-Comunidad Autónoma de Extremadura, de 27 de diciembre de 2019, en relación con la Ley 6/2019. En virtud de tal acuerdo, aportado a los autos por la representación procesal de la Junta de Extremadura, ambas partes dan por resueltas las discrepancias que dieron lugar a la interposición del presente recurso de inconstitucionalidad, lo que queda condicionado a la introducción en la Ley 6/2019 de las reformas de los preceptos impugnados, en los términos contenidos en el citado acuerdo; reformas que, una vez aprobadas, harían desaparecer el objeto del recurso. En cuanto a los concretos preceptos impugnados estima que la nueva redacción acordada sobre el art. 13 hace que no haya ya infracción competencial alguna, mientras que los restantes preceptos impugnados responden a un adecuado ejercicio de las competencias autonómicas en materia de defensa de los consumidores y usuarios, reconocidas en el art. 9.1.18 de la Ley Orgánica 1/2011, de 28 de enero, de reforma del Estatuto de Autonomía de la Comunidad Autónoma de Extremadura.</w:t>
      </w:r>
    </w:p>
    <w:p w:rsidR="005728DD" w:rsidRDefault="005728DD" w:rsidP="005728DD">
      <w:pPr>
        <w:pStyle w:val="TextoNormal"/>
      </w:pPr>
    </w:p>
    <w:p w:rsidR="005728DD" w:rsidRDefault="005728DD" w:rsidP="005728DD">
      <w:pPr>
        <w:pStyle w:val="TextoNormal"/>
      </w:pPr>
      <w:r w:rsidRPr="005728DD">
        <w:rPr>
          <w:rStyle w:val="NumeroAFNegritaCaracter"/>
        </w:rPr>
        <w:t>2</w:t>
      </w:r>
      <w:r>
        <w:t>. Expuestas las posiciones de las partes enfrentadas en el recurso, y antes de comenzar su resolución, es necesario hacer referencia a dos aspectos.</w:t>
      </w:r>
    </w:p>
    <w:p w:rsidR="005728DD" w:rsidRDefault="005728DD" w:rsidP="005728DD">
      <w:pPr>
        <w:pStyle w:val="TextoNormal"/>
      </w:pPr>
    </w:p>
    <w:p w:rsidR="005728DD" w:rsidRDefault="005728DD" w:rsidP="005728DD">
      <w:pPr>
        <w:pStyle w:val="TextoNormal"/>
      </w:pPr>
      <w:r>
        <w:t>a) El primero viene dado por la supuesta pérdida de objeto del recurso, al que alude la representación procesal de la Junta de Extremadura, en virtud de un acuerdo de la comisión bilateral de cooperación administración general del Estado-Comunidad Autónoma de Extremadura. En tal acuerdo se habrían pactado las modificaciones a introducir en la redacción o en el desarrollo de los preceptos impugnados, con la finalidad de solventar las diferencias suscitadas respecto a ellos, y así hacer desaparecer sobrevenidamente la controversia planteada.</w:t>
      </w:r>
    </w:p>
    <w:p w:rsidR="005728DD" w:rsidRDefault="005728DD" w:rsidP="005728DD">
      <w:pPr>
        <w:pStyle w:val="TextoNormal"/>
      </w:pPr>
    </w:p>
    <w:p w:rsidR="005728DD" w:rsidRDefault="005728DD" w:rsidP="005728DD">
      <w:pPr>
        <w:pStyle w:val="TextoNormal"/>
      </w:pPr>
      <w:r>
        <w:t>La STC 83/2020, de 15 de julio, FJ 6, recuerda la consolidada doctrina constitucional acerca del valor de los acuerdos de las comisiones bilaterales de cooperación, los cuales en ningún caso pueden impedir el pronunciamiento de este tribunal acerca de las infracciones constitucionales que se denuncian en el proceso (en sentido parecido, STC 106/2009, de 4 de mayo, FJ 3, y también SSTC 22/2015, de 16 de febrero, FJ 3, y 79/2017, de 22 de junio, FJ 10). Tampoco los eventuales acuerdos de tales comisiones pueden erigirse en parámetro de constitucionalidad de las disposiciones cuestionadas en un recurso de inconstitucionalidad (STC 217/2016, de 15 de diciembre, FJ 6).</w:t>
      </w:r>
    </w:p>
    <w:p w:rsidR="005728DD" w:rsidRDefault="005728DD" w:rsidP="005728DD">
      <w:pPr>
        <w:pStyle w:val="TextoNormal"/>
      </w:pPr>
    </w:p>
    <w:p w:rsidR="005728DD" w:rsidRDefault="005728DD" w:rsidP="005728DD">
      <w:pPr>
        <w:pStyle w:val="TextoNormal"/>
      </w:pPr>
      <w:r>
        <w:t>Si esa es la doctrina para el caso de acuerdos ya llevados a la práctica, tanto más ha de serlo en un supuesto como el presente en el que la modificación legislativa acordada entre las partes del presente proceso, ni siquiera ha llegado a entrar en vigor en el momento de dictar la presente sentencia. Sin perjuicio de la valoración que tal circunstancia merezca, desde la óptica de los principios de colaboración y lealtad institucional, lo cierto es que las alegaciones en torno al citado acuerdo nada aportan desde la perspectiva discutida en este proceso constitucional, en el que de lo que se trata es de valorar la adecuación de los preceptos legales impugnados, y todavía vigentes, a la delimitación de competencias que resulta de la Constitución y el Estatuto de Autonomía de Extremadura. Tampoco el abogado del Estado ha desistido del recurso interpuesto, con lo que no queda sino concluir que la controversia competencial suscitada entre las partes se mantiene en los términos en los que fue planteada.</w:t>
      </w:r>
    </w:p>
    <w:p w:rsidR="005728DD" w:rsidRDefault="005728DD" w:rsidP="005728DD">
      <w:pPr>
        <w:pStyle w:val="TextoNormal"/>
      </w:pPr>
    </w:p>
    <w:p w:rsidR="005728DD" w:rsidRDefault="005728DD" w:rsidP="005728DD">
      <w:pPr>
        <w:pStyle w:val="TextoNormal"/>
      </w:pPr>
      <w:r>
        <w:t>Por lo tanto, esta alegación de la Junta de Extremadura no puede ser tomada en consideración.</w:t>
      </w:r>
    </w:p>
    <w:p w:rsidR="005728DD" w:rsidRDefault="005728DD" w:rsidP="005728DD">
      <w:pPr>
        <w:pStyle w:val="TextoNormal"/>
      </w:pPr>
    </w:p>
    <w:p w:rsidR="005728DD" w:rsidRDefault="005728DD" w:rsidP="005728DD">
      <w:pPr>
        <w:pStyle w:val="TextoNormal"/>
      </w:pPr>
      <w:r>
        <w:t>b) En segundo término, es preciso delimitar el objeto del recurso en una doble perspectiva:</w:t>
      </w:r>
    </w:p>
    <w:p w:rsidR="005728DD" w:rsidRDefault="005728DD" w:rsidP="005728DD">
      <w:pPr>
        <w:pStyle w:val="TextoNormal"/>
      </w:pPr>
    </w:p>
    <w:p w:rsidR="005728DD" w:rsidRDefault="005728DD" w:rsidP="005728DD">
      <w:pPr>
        <w:pStyle w:val="TextoNormal"/>
      </w:pPr>
      <w:r>
        <w:t>(i) Respecto al art. 17.2 hay que entender que lo impugnado es únicamente su primer párrafo, al que el abogado del Estado ha ceñido sus alegaciones.</w:t>
      </w:r>
    </w:p>
    <w:p w:rsidR="005728DD" w:rsidRDefault="005728DD" w:rsidP="005728DD">
      <w:pPr>
        <w:pStyle w:val="TextoNormal"/>
      </w:pPr>
    </w:p>
    <w:p w:rsidR="005728DD" w:rsidRDefault="005728DD" w:rsidP="005728DD">
      <w:pPr>
        <w:pStyle w:val="TextoNormal"/>
      </w:pPr>
      <w:r>
        <w:t>(ii) Por otra parte, el abogado del Estado, al impugnar el art. 29, viene a sugerir que el no impugnado art. 28.2 incurre en la misma infracción constitucional que aquel. Dicha apreciación no puede ser atendida por dos razones, ambas basadas en reiterada doctrina constitucional.</w:t>
      </w:r>
    </w:p>
    <w:p w:rsidR="005728DD" w:rsidRDefault="005728DD" w:rsidP="005728DD">
      <w:pPr>
        <w:pStyle w:val="TextoNormal"/>
      </w:pPr>
    </w:p>
    <w:p w:rsidR="005728DD" w:rsidRDefault="005728DD" w:rsidP="005728DD">
      <w:pPr>
        <w:pStyle w:val="TextoNormal"/>
      </w:pPr>
      <w:r>
        <w:t>En primer lugar, en los supuestos en los que, como en el presente caso, se acuda al trámite conciliatorio previo contemplado en el art. 33.2 LOTC, el marco de la discrepancia o controversia es el que se establece “en el acuerdo sobre iniciación de las negociaciones, que es objeto de publicación oficial y se comunica al Tribunal Constitucional. Este acuerdo es el que desempeña una función de delimitación del contenido de un eventual recurso de inconstitucionalidad posterior” (por todas, STC 134/2020, de 23 de septiembre, FJ 2), En este caso, el acuerdo publicado en el “Boletín Oficial del Estado”, núm. 128, de 29 de mayo de 2019, únicamente alude a los arts. 13, 17.2, 28.6 y 29 de la Ley 6/2019, a los que queda circunscrito el proceso.</w:t>
      </w:r>
    </w:p>
    <w:p w:rsidR="005728DD" w:rsidRDefault="005728DD" w:rsidP="005728DD">
      <w:pPr>
        <w:pStyle w:val="TextoNormal"/>
      </w:pPr>
    </w:p>
    <w:p w:rsidR="005728DD" w:rsidRDefault="005728DD" w:rsidP="005728DD">
      <w:pPr>
        <w:pStyle w:val="TextoNormal"/>
      </w:pPr>
      <w:r>
        <w:t>En segundo lugar, la demanda no puede ampliar el objeto del recurso (por todas, STC 68/2018, de 21 de junio, FJ 2), ni tampoco instar la declaración de inconstitucionalidad por conexión o consecuencia que es, cuando proceda, prerrogativa de este tribunal, “sin que pueda ser objeto de pretensión de parte” (STC 49/2018, de 10 de mayo, FJ 2).</w:t>
      </w:r>
    </w:p>
    <w:p w:rsidR="005728DD" w:rsidRDefault="005728DD" w:rsidP="005728DD">
      <w:pPr>
        <w:pStyle w:val="TextoNormal"/>
      </w:pPr>
    </w:p>
    <w:p w:rsidR="005728DD" w:rsidRDefault="005728DD" w:rsidP="005728DD">
      <w:pPr>
        <w:pStyle w:val="TextoNormal"/>
      </w:pPr>
      <w:r w:rsidRPr="005728DD">
        <w:rPr>
          <w:rStyle w:val="NumeroAFNegritaCaracter"/>
        </w:rPr>
        <w:t>3</w:t>
      </w:r>
      <w:r>
        <w:t>. Tratándose de una controversia competencial, la primera cuestión a dilucidar es la relativa al encuadramiento de las disposiciones discutidas en el sistema constitucional y estatutario de distribución de competencias, concretando el alcance de los títulos competenciales que la enmarcan. Ello obliga a atender “al contenido de los preceptos controvertidos”, así como “al carácter, sentido y finalidad de las disposiciones traídas en conflicto” (STC 45/2015, de 5 de marzo, FJ 3).</w:t>
      </w:r>
    </w:p>
    <w:p w:rsidR="005728DD" w:rsidRDefault="005728DD" w:rsidP="005728DD">
      <w:pPr>
        <w:pStyle w:val="TextoNormal"/>
      </w:pPr>
    </w:p>
    <w:p w:rsidR="005728DD" w:rsidRDefault="005728DD" w:rsidP="005728DD">
      <w:pPr>
        <w:pStyle w:val="TextoNormal"/>
      </w:pPr>
      <w:r>
        <w:t>La Ley 6/2019 se afirma dictada al amparo de lo dispuesto en el art. 9.1.18 del Estatuto de Autonomía de la Comunidad Autónoma de Extremadura, que atribuye a esta competencia exclusiva en materia de “Consumo. Regulación de las medidas de prevención, protección y defensa de los personas consumidoras y personas usuarias, de sus derechos y de los órganos y procedimientos de mediación. Lucha contra el fraude”.</w:t>
      </w:r>
    </w:p>
    <w:p w:rsidR="005728DD" w:rsidRDefault="005728DD" w:rsidP="005728DD">
      <w:pPr>
        <w:pStyle w:val="TextoNormal"/>
      </w:pPr>
    </w:p>
    <w:p w:rsidR="005728DD" w:rsidRDefault="005728DD" w:rsidP="005728DD">
      <w:pPr>
        <w:pStyle w:val="TextoNormal"/>
      </w:pPr>
      <w:r>
        <w:t xml:space="preserve">Ese encuadramiento de la Ley 6/2029 no es objeto de discusión por las partes y debe ser confirmado por este tribunal. Los preceptos impugnados establecen diversas medidas cuyo denominador común es regular cuestiones relativas a la protección de los consumidores y usuarios en ámbitos diversos, como las relativas al documento justificativo de la contratación realizada, la consideración de abusivas de determinadas cláusulas contractuales y la </w:t>
      </w:r>
      <w:r>
        <w:lastRenderedPageBreak/>
        <w:t>notificación de tal condición a los consumidores o el régimen de cesión de créditos hipotecarios. Por tanto, desde un punto de vista general, habrá que atender a “la finalidad sustantiva principal, a la cual se orienta la disposición en entredicho” [STC 54/2018, de 24 de mayo, FJ 6 a)]. Conforme a dicha premisa, podemos considerar que el objeto y finalidad de la regulación que ha sido impugnada es la protección de los consumidores y usuarios; extremo que el abogado del Estado no niega en su recurso, en la medida en que lo que plantea es que las normas dictadas con esa finalidad protectora exceden del ámbito competencial autonómico y vulneran determinadas competencias estatales.</w:t>
      </w:r>
    </w:p>
    <w:p w:rsidR="005728DD" w:rsidRDefault="005728DD" w:rsidP="005728DD">
      <w:pPr>
        <w:pStyle w:val="TextoNormal"/>
      </w:pPr>
    </w:p>
    <w:p w:rsidR="005728DD" w:rsidRDefault="005728DD" w:rsidP="005728DD">
      <w:pPr>
        <w:pStyle w:val="TextoNormal"/>
      </w:pPr>
      <w:r>
        <w:t>De conformidad con el mandato recogido en el art. 51 CE, los poderes públicos deben garantizar la defensa de los consumidores y usuarios, protegiendo, mediante procedimientos eficaces, la seguridad, la salud y los legítimos intereses económicos de los mismos. La delimitación de competencias entre el Estado y las comunidades autónomas en la materia relativa a la defensa de los consumidores y usuarios no se define de manera expresa en los arts. 148 y 149 CE, por lo que debe considerarse, en principio, como una competencia asumible por las comunidades autónomas en sus Estatutos de Autonomía, tal como efectivamente ha hecho el Estatuto de Autonomía de Extremadura en su art. 9.1.18.</w:t>
      </w:r>
    </w:p>
    <w:p w:rsidR="005728DD" w:rsidRDefault="005728DD" w:rsidP="005728DD">
      <w:pPr>
        <w:pStyle w:val="TextoNormal"/>
      </w:pPr>
    </w:p>
    <w:p w:rsidR="005728DD" w:rsidRDefault="005728DD" w:rsidP="005728DD">
      <w:pPr>
        <w:pStyle w:val="TextoNormal"/>
      </w:pPr>
      <w:r>
        <w:t>No obstante lo anterior, la asunción como exclusiva de esta competencia por parte de la comunidad autónoma no excluye la capacidad estatal de incidir en la materia, dado que la competencia estatutaria tiene que cohonestarse con aquellos títulos competenciales que puedan afectar a la misma y que la Constitución reserva al Estado en el art. 149.1 CE.</w:t>
      </w:r>
    </w:p>
    <w:p w:rsidR="005728DD" w:rsidRDefault="005728DD" w:rsidP="005728DD">
      <w:pPr>
        <w:pStyle w:val="TextoNormal"/>
      </w:pPr>
    </w:p>
    <w:p w:rsidR="005728DD" w:rsidRDefault="005728DD" w:rsidP="005728DD">
      <w:pPr>
        <w:pStyle w:val="TextoNormal"/>
      </w:pPr>
      <w:r>
        <w:t>Es doctrina consolidada que el ejercicio autonómico de la competencia en materia de protección de los consumidores y usuarios ha de tener presente la regulación relativa a otras materias de competencia del Estado. Según dicha doctrina constitucional (por todas SSTC 26/2012, de 1 de marzo, FJ 3, y 102/2018, de 4 de octubre, FJ 3), las competencias autonómicas en materia de defensa de consumidores y usuarios, no pueden dejar de atemperarse a la disciplina establecida por el Estado en el ejercicio de sus competencias propias, lo que significa que las competencias asumidas por las comunidades autónomas han de respetar el legítimo ejercicio de las del Estado relacionadas en el artículo 149.1 CE. La STC 31/2010, de 28 de junio, FJ 70, recuerda que “la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(fundamentos jurídicos 59 y 64)”.</w:t>
      </w:r>
    </w:p>
    <w:p w:rsidR="005728DD" w:rsidRDefault="005728DD" w:rsidP="005728DD">
      <w:pPr>
        <w:pStyle w:val="TextoNormal"/>
      </w:pPr>
    </w:p>
    <w:p w:rsidR="005728DD" w:rsidRDefault="005728DD" w:rsidP="005728DD">
      <w:pPr>
        <w:pStyle w:val="TextoNormal"/>
      </w:pPr>
      <w:r>
        <w:t xml:space="preserve">En concreto, a la vista de lo discutido en el proceso, procede recordar también que la STC 13/2019, de 31 de enero, FJ 3 B) b), afirma, citando la STC 54/2018, FJ 6 c), que la “estructura autonómica del Estado ha reservado, con alguna salvedad cualificada, el Derecho privado a la potestad central del Estado”. De lo que se trata es de “verificar que a través de las normas autonómicas (en este caso, de protección de consumidores y usuarios) no se produzca un </w:t>
      </w:r>
      <w:r w:rsidRPr="005728DD">
        <w:rPr>
          <w:i/>
        </w:rPr>
        <w:t>novum</w:t>
      </w:r>
      <w:r>
        <w:t xml:space="preserve"> en el contenido contractual, o en otros términos, de que no se introduzcan derechos ni obligaciones en el marco de las relaciones contractuales privadas”. Aun cuando las normas autonómicas “persigan, mediante el reforzamiento de las obligaciones del vendedor, la protección del consumidor y usuario, la determinación del contenido de los </w:t>
      </w:r>
      <w:r>
        <w:lastRenderedPageBreak/>
        <w:t>contratos y de las acciones por incumplimiento, saneamiento o resolución se inserta dentro de la competencia estatal exclusiva atribuida por los artículos 149.1.6 y 8 CE”, concretamente en materia civil y mercantil.</w:t>
      </w:r>
    </w:p>
    <w:p w:rsidR="005728DD" w:rsidRDefault="005728DD" w:rsidP="005728DD">
      <w:pPr>
        <w:pStyle w:val="TextoNormal"/>
      </w:pPr>
    </w:p>
    <w:p w:rsidR="005728DD" w:rsidRDefault="005728DD" w:rsidP="005728DD">
      <w:pPr>
        <w:pStyle w:val="TextoNormal"/>
      </w:pPr>
      <w:r>
        <w:t>Conforme a tales criterios hemos de resolver la controversia aquí planteada, teniendo presente que el abogado del Estado suscita en el recurso que la regulación autonómica no ha respetado los límites que, para el ejercicio de las competencias autonómicas, se derivan de lo dispuesto en diversos títulos estatales, como son los del art. 149.1.6, 8, 11 y 13 CE, singularmente los dos primeros.</w:t>
      </w:r>
    </w:p>
    <w:p w:rsidR="005728DD" w:rsidRDefault="005728DD" w:rsidP="005728DD">
      <w:pPr>
        <w:pStyle w:val="TextoNormal"/>
      </w:pPr>
    </w:p>
    <w:p w:rsidR="005728DD" w:rsidRDefault="005728DD" w:rsidP="005728DD">
      <w:pPr>
        <w:pStyle w:val="TextoNormal"/>
      </w:pPr>
      <w:r w:rsidRPr="005728DD">
        <w:rPr>
          <w:rStyle w:val="NumeroAFNegritaCaracter"/>
        </w:rPr>
        <w:t>4</w:t>
      </w:r>
      <w:r>
        <w:t>. El primero de los preceptos cuya constitucionalidad se cuestiona es el art. 13, ubicado en el título I, relativo a los derechos de los consumidores, y, en concreto, en el capítulo referido a la protección de los intereses económicos y sociales. En él se regula el “documento justificativo de la contratación realizada” al que tienen derecho los consumidores, disponiendo que puede revestir la forma de factura, recibo, justificante o cualquier otro formato siempre que reúna, entre otras, las características previstas en su impugnado apartado d), según el cual “el documento justificativo puede estar en papel o en cualquier otro soporte, siempre que esté a disposición de la persona consumidora durante la totalidad del plazo legal de garantía”.</w:t>
      </w:r>
    </w:p>
    <w:p w:rsidR="005728DD" w:rsidRDefault="005728DD" w:rsidP="005728DD">
      <w:pPr>
        <w:pStyle w:val="TextoNormal"/>
      </w:pPr>
    </w:p>
    <w:p w:rsidR="005728DD" w:rsidRDefault="005728DD" w:rsidP="005728DD">
      <w:pPr>
        <w:pStyle w:val="TextoNormal"/>
      </w:pPr>
      <w:r>
        <w:t>El abogado del Estado sostiene que el art. 13 d), al establecer como opción y no como obligación, que el documento justificativo de la contratación realizada esté en papel, equiparando la factura en papel a la factura electrónica, contradice la normativa estatal recogida en el art. 63.3 TRLGDCU, en donde se prescribe que “en los contratos con consumidores y usuarios, estos tendrán derecho a recibir la factura en papel. En su caso, la expedición de la factura electrónica estará condicionada a que el empresario haya obtenido previamente el consentimiento expreso del consumidor”. Afirma que se trata de una cuestión que no puede ser objeto de regulación autonómica. La letrada de la Junta de Extremadura no ha negado la vulneración competencial denunciada, estimando que la misma quedará subsanada con la reforma del precepto acordada en el seno de la comisión bilateral de cooperación administración general del Estado-Comunidad Autónoma de Extremadura.</w:t>
      </w:r>
    </w:p>
    <w:p w:rsidR="005728DD" w:rsidRDefault="005728DD" w:rsidP="005728DD">
      <w:pPr>
        <w:pStyle w:val="TextoNormal"/>
      </w:pPr>
    </w:p>
    <w:p w:rsidR="005728DD" w:rsidRDefault="005728DD" w:rsidP="005728DD">
      <w:pPr>
        <w:pStyle w:val="TextoNormal"/>
      </w:pPr>
      <w:r>
        <w:t>El art. 13 d) de la Ley 6/2019 regula las características que ha de tener el documento justificativo de la contratación realizada y permite que sea el empresario el que determine el formato en que el documento justificativo ha de ser entregado, exigiendo únicamente que se encuentre a disposición del consumidor durante un determinado plazo.</w:t>
      </w:r>
    </w:p>
    <w:p w:rsidR="005728DD" w:rsidRDefault="005728DD" w:rsidP="005728DD">
      <w:pPr>
        <w:pStyle w:val="TextoNormal"/>
      </w:pPr>
    </w:p>
    <w:p w:rsidR="005728DD" w:rsidRDefault="005728DD" w:rsidP="005728DD">
      <w:pPr>
        <w:pStyle w:val="TextoNormal"/>
      </w:pPr>
      <w:r>
        <w:t>Este precepto se aplica a las relaciones entre personas consumidores y empresas, entendiendo por consumidores las personas que actúen con un propósito ajeno a su actividad comercial, empresarial, oficio o profesión [arts. 1 y 2 a) de la Ley 6/2019]. De un modo similar, el texto refundido de la Ley general para la defensa de los consumidores y usuarios considera contratos con consumidores y usuarios los realizados entre un consumidor o un usuario y un empresario (art. 59.1), sometidos, en lo no previsto en él o en leyes especiales, por el derecho común aplicable a los contratos (art. 59.2).</w:t>
      </w:r>
    </w:p>
    <w:p w:rsidR="005728DD" w:rsidRDefault="005728DD" w:rsidP="005728DD">
      <w:pPr>
        <w:pStyle w:val="TextoNormal"/>
      </w:pPr>
    </w:p>
    <w:p w:rsidR="005728DD" w:rsidRDefault="005728DD" w:rsidP="005728DD">
      <w:pPr>
        <w:pStyle w:val="TextoNormal"/>
      </w:pPr>
      <w:r>
        <w:t xml:space="preserve">Respecto a un tipo concreto de contrato celebrado con consumidores, la STC 132/2019, de 13 de noviembre, FJ 4 c), indica que “el Derecho de consumo es una materia multidisciplinar y con cierta autonomía que no se integra ni encaja por completo en el Derecho civil, </w:t>
      </w:r>
      <w:r>
        <w:lastRenderedPageBreak/>
        <w:t xml:space="preserve">ni en el mercantil y tan siquiera se adapta en su totalidad en el Derecho privado, pues recordemos que el mandato de protección al consumidor está dirigido a todos los poderes públicos. En este sentido el Derecho de consumo constituye </w:t>
      </w:r>
      <w:r w:rsidRPr="005728DD">
        <w:rPr>
          <w:i/>
        </w:rPr>
        <w:t>per se</w:t>
      </w:r>
      <w:r>
        <w:t xml:space="preserve"> un sistema global de normas, principios, instituciones e instrumentos jurídicos cuya finalidad es garantizar al consumidor frente al empresario una posición de equilibrio en el mercado en todas aquellas relaciones jurídicas y negociales en la que sea destinatario final de los bienes y servicios. Ahora bien, que actualmente el Derecho del consumo haya ganado su propia autonomía no significa que parte de las normas que integran el estatuto del consumidor no gocen de naturaleza civil. Eso ocurre, como se ha adelantado en el fundamento jurídico 2, con el contrato de compraventa con consumidores en el que el comprador actúa un propósito ajeno a su actividad negocial, es decir, por motivos ajenos a una finalidad de lucro que no está relacionada con su oficio, empresa o profesión”.</w:t>
      </w:r>
    </w:p>
    <w:p w:rsidR="005728DD" w:rsidRDefault="005728DD" w:rsidP="005728DD">
      <w:pPr>
        <w:pStyle w:val="TextoNormal"/>
      </w:pPr>
    </w:p>
    <w:p w:rsidR="005728DD" w:rsidRDefault="005728DD" w:rsidP="005728DD">
      <w:pPr>
        <w:pStyle w:val="TextoNormal"/>
      </w:pPr>
      <w:r>
        <w:t>Resulta pues de aplicación aquí la doctrina de la STC 132/2019, FJ 2, según la cual “en el caso del contrato de compraventa ha de primar su carácter civil, pues dirigiendo la atención hacia el consumidor, que es el principal sujeto y protagonista de la protección que dispensa el mandato constitucional, su posición en el contrato de compraventa es típica de las relaciones civiles, porque actúa con una finalidad esencialmente privada y sin ánimo de lucro, de tal suerte que el bien adquirido queda en su propio círculo sin reintroducirlo en el mercado ni destinarlo a su profesión u oficio. Este mismo criterio aparece recogido en el art. 326 del Código de comercio que expresamente excluye que tenga naturaleza mercantil la compraventa de efectos dedicados al consumo del comprador o de persona por cuyo cargo se adquieren”.</w:t>
      </w:r>
    </w:p>
    <w:p w:rsidR="005728DD" w:rsidRDefault="005728DD" w:rsidP="005728DD">
      <w:pPr>
        <w:pStyle w:val="TextoNormal"/>
      </w:pPr>
    </w:p>
    <w:p w:rsidR="005728DD" w:rsidRDefault="005728DD" w:rsidP="005728DD">
      <w:pPr>
        <w:pStyle w:val="TextoNormal"/>
      </w:pPr>
      <w:r>
        <w:t>Por tanto, de la doctrina constitucional dictada en torno a la compraventa de consumo, se desprende el principio de que los contratos celebrados por los consumidores con las empresas tienen, en principio, naturaleza civil a efectos competenciales; y así lo ha considerado también el legislador estatal, por cuanto los define y dispone que se rigen por el derecho común aplicable a los contratos, a la par que afirma que tal regulación se ampara, entre otros, en el art. 149.1.8 CE (disposición final primera 3 TRLGDCU).</w:t>
      </w:r>
    </w:p>
    <w:p w:rsidR="005728DD" w:rsidRDefault="005728DD" w:rsidP="005728DD">
      <w:pPr>
        <w:pStyle w:val="TextoNormal"/>
      </w:pPr>
    </w:p>
    <w:p w:rsidR="005728DD" w:rsidRDefault="005728DD" w:rsidP="005728DD">
      <w:pPr>
        <w:pStyle w:val="TextoNormal"/>
      </w:pPr>
      <w:r>
        <w:t>Insertada la regulación cuestionada en la materia civil es clara la vulneración competencial en la que incurre, la cual ni siquiera es negada por la representación procesal de la Junta de Extremadura. El Estado ostenta competencia exclusiva en materia de derecho civil, competencia que abarca por entero la legislación civil, sin más posible excepción que la conservación, modificación y desarrollo por las comunidades autónomas de sus derechos civiles especiales o forales, allí donde existan, y siempre que no se trate de las materias reservadas “en todo caso” al Estado por el propio art. 149.1.8 CE (SSTC 71/1982, de 30 de noviembre, FFJJ 17 a 19; 88/1993, de 12 de marzo, FJ 1; 156/1993, de 6 de mayo, FJ 1, y 132/2019, de 13 de noviembre, FJ 6). Por otra parte, la pertenencia de las normas relativas a los contratos de consumo a la materia civil hace que deba confrontarse con la reserva estatal sobre las bases de las obligaciones contractuales a que hace referencia el art. 149.1.8 CE (como, por otro lado, ya declararon las SSTC 71/1982 y 132/2019, en relación a la compraventa de consumo).</w:t>
      </w:r>
    </w:p>
    <w:p w:rsidR="005728DD" w:rsidRDefault="005728DD" w:rsidP="005728DD">
      <w:pPr>
        <w:pStyle w:val="TextoNormal"/>
      </w:pPr>
    </w:p>
    <w:p w:rsidR="005728DD" w:rsidRDefault="005728DD" w:rsidP="005728DD">
      <w:pPr>
        <w:pStyle w:val="TextoNormal"/>
      </w:pPr>
      <w:r>
        <w:t xml:space="preserve">El precepto impugnado regula las obligaciones del empresario y los correlativos derechos del consumidor en punto a la justificación documental de la contratación realizada; contrato que ya hemos insertado en la materia civil. Por consiguiente, esta regulación, emanada de </w:t>
      </w:r>
      <w:r>
        <w:lastRenderedPageBreak/>
        <w:t>una comunidad autónoma que carece de derecho civil propio (a salvo de la competencia en materia de “conservación, defensa y protección del Fuero de Baylío e instituciones de derecho consuetudinario”, prevista en el art. 9.4 del Estatuto de Autonomía de Extremadura, que no concurre en el presente caso), invade la competencia estatal en materia de legislación civil (art. 149.1.8 CE) y además, en cuanto altera el régimen de derechos y obligaciones de las partes del contrato en lo relativo a la forma de acreditar la contratación realizada, afecta a las bases de las obligaciones contractuales, reservadas en todo caso al legislador estatal (SSTC 71/1982, FFJJ 17 a 19, y 132/2019, FJ 6). Se trata, por tanto, de la regulación de cuestiones que no pueden ser contempladas en la norma autonómica.</w:t>
      </w:r>
    </w:p>
    <w:p w:rsidR="005728DD" w:rsidRDefault="005728DD" w:rsidP="005728DD">
      <w:pPr>
        <w:pStyle w:val="TextoNormal"/>
      </w:pPr>
    </w:p>
    <w:p w:rsidR="005728DD" w:rsidRDefault="005728DD" w:rsidP="005728DD">
      <w:pPr>
        <w:pStyle w:val="TextoNormal"/>
      </w:pPr>
      <w:r>
        <w:t>La misma conclusión se alcanza si se aplica el criterio de la STC 54/2018, FJ 9 a), según la cual, la competencia en materia de defensa de los consumidores y usuarios habilitaría al legislador autonómico para incluir, a efectos meramente informativos, los datos que deban contener las facturas. Sin embargo, so pena de vulnerar las competencias estatales, el precepto autonómico habría de limitarse, en este caso, a hacer una reproducción o reiteración fiel de la norma estatal, lo que no se ha producido.</w:t>
      </w:r>
    </w:p>
    <w:p w:rsidR="005728DD" w:rsidRDefault="005728DD" w:rsidP="005728DD">
      <w:pPr>
        <w:pStyle w:val="TextoNormal"/>
      </w:pPr>
    </w:p>
    <w:p w:rsidR="005728DD" w:rsidRDefault="005728DD" w:rsidP="005728DD">
      <w:pPr>
        <w:pStyle w:val="TextoNormal"/>
      </w:pPr>
      <w:r>
        <w:t>Así pues, el art. 13 d) de la Ley 6/2019, al establecer como opción y no como obligación que el documento justificativo de la contratación realizada esté en papel, contradice la normativa estatal recogida en el art. 63.3 TRLGDCU que es de aplicación a los contratos celebrados entre un consumidor y un empresario, y dictada al amparo de las competencias exclusivas del Estado en materia de legislación mercantil, procesal y civil, conforme al artículo 149.1.6 y 8 CE. La regla estatal prescribe que en los contratos celebrados por los consumidores y usuarios, el empresario está obligado a entregar un documento justificativo en papel. Para que el empresario pueda sustituir dicho documento por una factura electrónica, es preciso que el consumidor o usuario manifieste de forma expresa su conformidad con dicha sustitución, de tal modo que la opción por uno u otro formato depende de la decisión de este. El art. 13 d) no se ajusta al esquema descrito, pues niega al consumidor extremeño un derecho que la norma estatal le reconoce, en cuanto que equipara la factura en papel a la factura electrónica y, por tanto, deja la opción por una u otra a disposición del empresario.</w:t>
      </w:r>
    </w:p>
    <w:p w:rsidR="005728DD" w:rsidRDefault="005728DD" w:rsidP="005728DD">
      <w:pPr>
        <w:pStyle w:val="TextoNormal"/>
      </w:pPr>
    </w:p>
    <w:p w:rsidR="005728DD" w:rsidRDefault="005728DD" w:rsidP="005728DD">
      <w:pPr>
        <w:pStyle w:val="TextoNormal"/>
      </w:pPr>
      <w:r>
        <w:t>Consecuentemente el art. 13 d) de la Ley 6/2019 es inconstitucional y nulo.</w:t>
      </w:r>
    </w:p>
    <w:p w:rsidR="005728DD" w:rsidRDefault="005728DD" w:rsidP="005728DD">
      <w:pPr>
        <w:pStyle w:val="TextoNormal"/>
      </w:pPr>
    </w:p>
    <w:p w:rsidR="005728DD" w:rsidRDefault="005728DD" w:rsidP="005728DD">
      <w:pPr>
        <w:pStyle w:val="TextoNormal"/>
      </w:pPr>
      <w:r w:rsidRPr="005728DD">
        <w:rPr>
          <w:rStyle w:val="NumeroAFNegritaCaracter"/>
        </w:rPr>
        <w:t>5</w:t>
      </w:r>
      <w:r>
        <w:t>. Procede ahora resolver las impugnaciones relativas a los arts. 17.2 y 28.6, relativos a las cláusulas abusivas incluidas en determinados contratos.</w:t>
      </w:r>
    </w:p>
    <w:p w:rsidR="005728DD" w:rsidRDefault="005728DD" w:rsidP="005728DD">
      <w:pPr>
        <w:pStyle w:val="TextoNormal"/>
      </w:pPr>
    </w:p>
    <w:p w:rsidR="005728DD" w:rsidRDefault="005728DD" w:rsidP="005728DD">
      <w:pPr>
        <w:pStyle w:val="TextoNormal"/>
      </w:pPr>
      <w:r>
        <w:t>a) El art. 17 de la Ley 6/2019, al regular el clausulado de los contratos a suscribir entre consumidores y empresas, afirma en el párrafo primero del apartado segundo, al que el abogado del Estado ha ceñido sus quejas, que “se considerará, en todo caso, cláusula abusiva la renuncia al derecho de comunicación de cesión de créditos, así como a los derechos de retracto y tanteo en contratos de créditos o préstamos de cualquier índole”.</w:t>
      </w:r>
    </w:p>
    <w:p w:rsidR="005728DD" w:rsidRDefault="005728DD" w:rsidP="005728DD">
      <w:pPr>
        <w:pStyle w:val="TextoNormal"/>
      </w:pPr>
    </w:p>
    <w:p w:rsidR="005728DD" w:rsidRDefault="005728DD" w:rsidP="005728DD">
      <w:pPr>
        <w:pStyle w:val="TextoNormal"/>
      </w:pPr>
      <w:r>
        <w:t xml:space="preserve">La demanda alega que este primer párrafo del apartado segundo del art. 17 de la Ley 6/2019 está configurando un nuevo supuesto legal de cláusula abusiva, contraviniendo con ello la doctrina constitucional que afirma que la consideración de una cláusula contractual como abusiva, en la medida en que incide sobre la validez del contrato, está reservada al Estado. La letrada de la Junta de Extremadura ha negado la vulneración denunciada, tanto por considerarla amparada en las competencias autonómicas en materia de defensa de los </w:t>
      </w:r>
      <w:r>
        <w:lastRenderedPageBreak/>
        <w:t>consumidores y usuarios, como por apreciar que la norma se limita a trasladar previsiones que ya se establecen en el texto refundido de la Ley general para la defensa de los consumidores y usuarios (arts. 8, 10 y 86) y en la normativa de la Unión Europea.</w:t>
      </w:r>
    </w:p>
    <w:p w:rsidR="005728DD" w:rsidRDefault="005728DD" w:rsidP="005728DD">
      <w:pPr>
        <w:pStyle w:val="TextoNormal"/>
      </w:pPr>
    </w:p>
    <w:p w:rsidR="005728DD" w:rsidRDefault="005728DD" w:rsidP="005728DD">
      <w:pPr>
        <w:pStyle w:val="TextoNormal"/>
      </w:pPr>
      <w:r>
        <w:t xml:space="preserve">La STC 54/2018 vino a declarar la inconstitucionalidad y nulidad de varios preceptos del Código de consumo de Cataluña, entre ellos el art. 251-6, por cuanto, al enumerar una serie de cláusulas consideradas abusivas en los contratos de créditos y préstamos hipotecarios, invadía las competencias estatales, al estimar que “una regulación sobre lo que debe entenderse por cláusulas abusivas en la contratación, introduciendo en esta área del derecho, innovaciones” corresponde al Estado </w:t>
      </w:r>
      <w:r w:rsidRPr="005728DD">
        <w:rPr>
          <w:i/>
        </w:rPr>
        <w:t>ex</w:t>
      </w:r>
      <w:r>
        <w:t xml:space="preserve"> artículo 149.1.8 CE.</w:t>
      </w:r>
    </w:p>
    <w:p w:rsidR="005728DD" w:rsidRDefault="005728DD" w:rsidP="005728DD">
      <w:pPr>
        <w:pStyle w:val="TextoNormal"/>
      </w:pPr>
    </w:p>
    <w:p w:rsidR="005728DD" w:rsidRDefault="005728DD" w:rsidP="005728DD">
      <w:pPr>
        <w:pStyle w:val="TextoNormal"/>
      </w:pPr>
      <w:r>
        <w:t xml:space="preserve">Concretamente, en su fundamento jurídico 8 señala que “desde la STC 71/1982, de 30 de noviembre, hemos dejado sentado que el fenómeno de las cláusulas abusivas, aun siendo capital para la defensa de los consumidores y usuarios, forma parte de la competencia estatal </w:t>
      </w:r>
      <w:r w:rsidRPr="005728DD">
        <w:rPr>
          <w:i/>
        </w:rPr>
        <w:t>ex</w:t>
      </w:r>
      <w:r>
        <w:t xml:space="preserve"> artículo 149.1.8 CE: [s]i los preceptos tuvieran que interpretarse en el sentido de que establecen una regulación sobre lo que debe entenderse por cláusulas abusivas en la contratación, introduciendo, en esta área del derecho, innovaciones en lo que es —y debe ser— una regulación general, como comprendida en lo que dispone el art. 149.1.8 de la Constitución, la conclusión tendría que ser la de negar competencia al legislador autonómico, pues el tratamiento de la materia, y las soluciones al respecto, deben ser una, y la misma, para cualquier parte del territorio del Estado. El decidirse por la técnica de la cláusula definitoria general, entendiendo que son abusivas aquellas que entrañan en el contrato una posición de desequilibrio en el comportamiento contractual en perjuicio de los consumidores, o por la técnica de listado de cláusulas abusivas, o por la de complementar la cláusula general definitoria con una lista de cláusulas abusivas, y cuál es la sanción que comportan —que son temas capitales en el Derecho de la contratación—, requiere regulaciones uniformes, sin que pueda invocarse el título competencial del art. 10.28 del Estatuto del País Vasco, pues prevalece aquí el preferencial del precepto constitucional que hemos dicho, a cuyo tenor el Estado tiene competencia exclusiva en materia de legislación civil, a salvo la propia de la comunidad autónoma en el ámbito del derecho civil, foral o especial. La regulación de las condiciones generales de contratación o de las modalidades contractuales corresponde al legislador estatal (FJ 14). En el mismo sentido, la STC 62/1991, de 22 de marzo, FJ 4 b) determinó, que establecer a través de un sistema de listado de exclusiones lo que se entiende por cláusulas abusivas en un determinado tipo de contrato, tratándose de un tema capital del derecho de contratación, queda comprendido dentro del título competencial del artículo 149.1.8 CE, que requiere regulaciones uniformes en todo el territorio, por lo que ha de prevalecer sobre el título competencial más genérico de defensa del consumidor y del usuario”.</w:t>
      </w:r>
    </w:p>
    <w:p w:rsidR="005728DD" w:rsidRDefault="005728DD" w:rsidP="005728DD">
      <w:pPr>
        <w:pStyle w:val="TextoNormal"/>
      </w:pPr>
    </w:p>
    <w:p w:rsidR="005728DD" w:rsidRDefault="005728DD" w:rsidP="005728DD">
      <w:pPr>
        <w:pStyle w:val="TextoNormal"/>
      </w:pPr>
      <w:r>
        <w:t>Conforme a dicha doctrina la determinación normativa de las cláusulas que deben considerarse abusivas es una cuestión que compete exclusivamente al Estado, el cual debe delimitar tanto el concepto de cláusula abusiva, como definir las que cumplen tal condición (al respecto, arts. 82 y ss. TRLGDCU). Concepto que no puede quedar a disposición de una norma autonómica que, al amparo de la competencia en materia de protección de los consumidores y usuarios, califique a todos los efectos como abusivas determinadas cláusulas, con independencia de si tienen o no tal consideración en la normativa estatal aplicable.</w:t>
      </w:r>
    </w:p>
    <w:p w:rsidR="005728DD" w:rsidRDefault="005728DD" w:rsidP="005728DD">
      <w:pPr>
        <w:pStyle w:val="TextoNormal"/>
      </w:pPr>
    </w:p>
    <w:p w:rsidR="005728DD" w:rsidRDefault="005728DD" w:rsidP="005728DD">
      <w:pPr>
        <w:pStyle w:val="TextoNormal"/>
      </w:pPr>
      <w:r>
        <w:t xml:space="preserve">Por tanto, en atención a lo anteriormente expuesto, esta impugnación debe ser estimada, por cuanto el párrafo impugnado atribuye la condición de abusiva a la cláusula de renuncia </w:t>
      </w:r>
      <w:r>
        <w:lastRenderedPageBreak/>
        <w:t>al derecho de comunicación de cesión de créditos, regulando el contenido de una categoría cuya delimitación corresponde en exclusiva al Estado.</w:t>
      </w:r>
    </w:p>
    <w:p w:rsidR="005728DD" w:rsidRDefault="005728DD" w:rsidP="005728DD">
      <w:pPr>
        <w:pStyle w:val="TextoNormal"/>
      </w:pPr>
    </w:p>
    <w:p w:rsidR="005728DD" w:rsidRDefault="005728DD" w:rsidP="005728DD">
      <w:pPr>
        <w:pStyle w:val="TextoNormal"/>
      </w:pPr>
      <w:r>
        <w:t>No impiden alcanzar esta conclusión las alegaciones de la Junta de Extremadura acerca de la reproducción o traslación al derecho autonómico de lo previsto en normas estatales o de la adecuación del precepto al derecho de la Unión Europea.</w:t>
      </w:r>
    </w:p>
    <w:p w:rsidR="005728DD" w:rsidRDefault="005728DD" w:rsidP="005728DD">
      <w:pPr>
        <w:pStyle w:val="TextoNormal"/>
      </w:pPr>
    </w:p>
    <w:p w:rsidR="005728DD" w:rsidRDefault="005728DD" w:rsidP="005728DD">
      <w:pPr>
        <w:pStyle w:val="TextoNormal"/>
      </w:pPr>
      <w:r>
        <w:t>Respecto a lo primero, nada hay en el precepto que indique que la supuesta reproducción únicamente tiene efectos informativos, por lo que, sin necesidad de entrar a examinar si tal traslación efectivamente se produce, es de aplicación la doctrina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(SSTC 47/2004, de 25 de marzo, FJ 8, y 8/2016, de 21 de enero, FJ 3). Salvo esta última excepción, al legislador autonómico le está vedado reproducir la legislación estatal que responde a sus competencias exclusivas. Y, con mayor razón, le está vedado parafrasear, completar, alterar, desarrollar, o de cualquiera otra manera directa o indirecta incidir en la regulación de materias que no forman parte de su acervo competencial” [STC 54/2018, FJ 6 c)].</w:t>
      </w:r>
    </w:p>
    <w:p w:rsidR="005728DD" w:rsidRDefault="005728DD" w:rsidP="005728DD">
      <w:pPr>
        <w:pStyle w:val="TextoNormal"/>
      </w:pPr>
    </w:p>
    <w:p w:rsidR="005728DD" w:rsidRDefault="005728DD" w:rsidP="005728DD">
      <w:pPr>
        <w:pStyle w:val="TextoNormal"/>
      </w:pPr>
      <w:r>
        <w:t>En cuanto a lo segundo, las normas que han de servir de pauta para la resolución de estos conflictos son exclusivamente las de Derecho interno que establecen el orden de distribución de competencias entre el Estado y las comunidades autónomas [por todas STC 87/2019, de 20 de junio, FJ 6 a)].</w:t>
      </w:r>
    </w:p>
    <w:p w:rsidR="005728DD" w:rsidRDefault="005728DD" w:rsidP="005728DD">
      <w:pPr>
        <w:pStyle w:val="TextoNormal"/>
      </w:pPr>
    </w:p>
    <w:p w:rsidR="005728DD" w:rsidRDefault="005728DD" w:rsidP="005728DD">
      <w:pPr>
        <w:pStyle w:val="TextoNormal"/>
      </w:pPr>
      <w:r>
        <w:t>Por lo tanto, el primer párrafo del art. 17.2 de la Ley 6/2019 es inconstitucional y nulo.</w:t>
      </w:r>
    </w:p>
    <w:p w:rsidR="005728DD" w:rsidRDefault="005728DD" w:rsidP="005728DD">
      <w:pPr>
        <w:pStyle w:val="TextoNormal"/>
      </w:pPr>
    </w:p>
    <w:p w:rsidR="005728DD" w:rsidRDefault="005728DD" w:rsidP="005728DD">
      <w:pPr>
        <w:pStyle w:val="TextoNormal"/>
      </w:pPr>
      <w:r>
        <w:t>b) En segundo lugar se impugna el art. 28.6 que, al regular los contratos de tracto continuado, dispone lo siguiente:</w:t>
      </w:r>
    </w:p>
    <w:p w:rsidR="005728DD" w:rsidRDefault="005728DD" w:rsidP="005728DD">
      <w:pPr>
        <w:pStyle w:val="TextoNormal"/>
      </w:pPr>
    </w:p>
    <w:p w:rsidR="005728DD" w:rsidRDefault="005728DD" w:rsidP="005728DD">
      <w:pPr>
        <w:pStyle w:val="TextoNormal"/>
      </w:pPr>
      <w:r>
        <w:t>“6. Si alguna de las cláusulas de un contrato de prestación de servicios de tracto continuado es declarada abusiva, la empresa debe informar de ello a las/os clientes con contratos vigentes que la incluyan y debe comunicarles que esta cláusula dejará de aplicarse en los términos establecidos por la resolución o sentencia judicial. Esta comunicación debe hacerse constar, al menos, en la factura o liquidación inmediatamente posterior a la declaración de abusividad”.</w:t>
      </w:r>
    </w:p>
    <w:p w:rsidR="005728DD" w:rsidRDefault="005728DD" w:rsidP="005728DD">
      <w:pPr>
        <w:pStyle w:val="TextoNormal"/>
      </w:pPr>
    </w:p>
    <w:p w:rsidR="005728DD" w:rsidRDefault="005728DD" w:rsidP="005728DD">
      <w:pPr>
        <w:pStyle w:val="TextoNormal"/>
      </w:pPr>
      <w:r>
        <w:t xml:space="preserve">El abogado del Estado alega, por un lado, que se vulnera el art. 149.1.8 CE en la medida en que el precepto considera la abusividad como vicio </w:t>
      </w:r>
      <w:r w:rsidRPr="005728DD">
        <w:rPr>
          <w:i/>
        </w:rPr>
        <w:t>per se</w:t>
      </w:r>
      <w:r>
        <w:t xml:space="preserve"> de una cláusula, cuando existen casos en los que, de serlas, lo son únicamente por causas exógenas al contrato, como podría ser una insuficiencia de información. Por otra parte, el precepto impugnado obliga a inaplicar con carácter general, y en relación con todos los contratos de tracto continuado vigentes, las cláusulas incluidas en un determinado contrato que hayan sido declaradas abusivas en el marco de tal contrato. Obligación de no aplicación que extiende los efectos de una sentencia a contratos distintos de aquel que motivó el pronunciamiento judicial, vulnerando las competencias estatales en materia de legislación procesal. La letrada de la Junta de Extremadura se ha opuesto a tal planteamiento, señalando que la comunidad autónoma es competente para sancionar la utilización de cláusulas abusivas en los contratos con consumidores y usuarios, y que la finalidad del precepto es, a partir de la declaración de abusividad de una </w:t>
      </w:r>
      <w:r>
        <w:lastRenderedPageBreak/>
        <w:t>cláusula en los términos de la resolución o sentencia judicial, imponer una serie de obligaciones mínimas a la empresa que ha introducido dicha cláusula en los contratos celebrados con los consumidores.</w:t>
      </w:r>
    </w:p>
    <w:p w:rsidR="005728DD" w:rsidRDefault="005728DD" w:rsidP="005728DD">
      <w:pPr>
        <w:pStyle w:val="TextoNormal"/>
      </w:pPr>
    </w:p>
    <w:p w:rsidR="005728DD" w:rsidRDefault="005728DD" w:rsidP="005728DD">
      <w:pPr>
        <w:pStyle w:val="TextoNormal"/>
      </w:pPr>
      <w:r>
        <w:t>El adecuado examen de la impugnación planteada exige diferenciar los contenidos de este art. 28.6.</w:t>
      </w:r>
    </w:p>
    <w:p w:rsidR="005728DD" w:rsidRDefault="005728DD" w:rsidP="005728DD">
      <w:pPr>
        <w:pStyle w:val="TextoNormal"/>
      </w:pPr>
    </w:p>
    <w:p w:rsidR="005728DD" w:rsidRDefault="005728DD" w:rsidP="005728DD">
      <w:pPr>
        <w:pStyle w:val="TextoNormal"/>
      </w:pPr>
      <w:r>
        <w:t>El precepto se refiere a los contratos de prestación de servicios de tracto continuado, respecto a los que prescribe, en primer lugar, la obligación de informar de la existencia de una cláusula declarada abusiva a los clientes con contratos vigentes que la incluyan.</w:t>
      </w:r>
    </w:p>
    <w:p w:rsidR="005728DD" w:rsidRDefault="005728DD" w:rsidP="005728DD">
      <w:pPr>
        <w:pStyle w:val="TextoNormal"/>
      </w:pPr>
    </w:p>
    <w:p w:rsidR="005728DD" w:rsidRDefault="005728DD" w:rsidP="005728DD">
      <w:pPr>
        <w:pStyle w:val="TextoNormal"/>
      </w:pPr>
      <w:r>
        <w:t>Se trata de un deber de información que en nada afecta a la competencia estatal para determinar el carácter abusivo de las cláusulas contractuales, ni tampoco interfiere en el ámbito material del contrato, ni modifica la posición jurídica de las partes. Por el contrario, se enmarca en el ámbito del derecho de los consumidores y usuarios a la protección frente a la inclusión de cláusulas abusivas en los contratos [art. 8.1 b) TRLGDCU] y en el derecho a la información, regulado en el art.17.1 TRLGDCU, que obliga a los poderes públicos, en el ámbito de sus respectivas competencias, a asegurar que los consumidores y usuarios dispongan de la información precisa para el eficaz ejercicio de sus derechos. El precepto impugnado, al imponer al empresario la obligación de poner en conocimiento de sus clientes la declaración del carácter abusivo de una cláusula, viene así a concretar la genérica previsión de la norma estatal, en un ámbito en el que la comunidad autónoma ostenta competencias, que, en esta ocasión, se han ejercido sin menoscabo o perturbación de las estatales.</w:t>
      </w:r>
    </w:p>
    <w:p w:rsidR="005728DD" w:rsidRDefault="005728DD" w:rsidP="005728DD">
      <w:pPr>
        <w:pStyle w:val="TextoNormal"/>
      </w:pPr>
    </w:p>
    <w:p w:rsidR="005728DD" w:rsidRDefault="005728DD" w:rsidP="005728DD">
      <w:pPr>
        <w:pStyle w:val="TextoNormal"/>
      </w:pPr>
      <w:r>
        <w:t>Sin embargo, a la anterior obligación de información, el precepto añade una segunda, consistente en comunicar a los clientes que una concreta cláusula incluida en su contrato, y que ha sido declarada abusiva, “dejará de aplicarse en los términos establecidos por la resolución o sentencia judicial”.</w:t>
      </w:r>
    </w:p>
    <w:p w:rsidR="005728DD" w:rsidRDefault="005728DD" w:rsidP="005728DD">
      <w:pPr>
        <w:pStyle w:val="TextoNormal"/>
      </w:pPr>
    </w:p>
    <w:p w:rsidR="005728DD" w:rsidRDefault="005728DD" w:rsidP="005728DD">
      <w:pPr>
        <w:pStyle w:val="TextoNormal"/>
      </w:pPr>
      <w:r>
        <w:t>Esta segunda previsión del precepto impugnado persigue hacer extensivos los efectos de la declaración del carácter abusivo de una determinada cláusula en un contrato a todos aquellos en vigor que contengan esa misma cláusula, en los que, por mandato expreso del precepto autonómico, dejará de aplicarse de forma generalizada, debiendo el empresario informar de ello a los clientes.</w:t>
      </w:r>
    </w:p>
    <w:p w:rsidR="005728DD" w:rsidRDefault="005728DD" w:rsidP="005728DD">
      <w:pPr>
        <w:pStyle w:val="TextoNormal"/>
      </w:pPr>
    </w:p>
    <w:p w:rsidR="005728DD" w:rsidRDefault="005728DD" w:rsidP="005728DD">
      <w:pPr>
        <w:pStyle w:val="TextoNormal"/>
      </w:pPr>
      <w:r>
        <w:t>Este inciso incurre en una doble vulneración competencial.</w:t>
      </w:r>
    </w:p>
    <w:p w:rsidR="005728DD" w:rsidRDefault="005728DD" w:rsidP="005728DD">
      <w:pPr>
        <w:pStyle w:val="TextoNormal"/>
      </w:pPr>
    </w:p>
    <w:p w:rsidR="005728DD" w:rsidRDefault="005728DD" w:rsidP="005728DD">
      <w:pPr>
        <w:pStyle w:val="TextoNormal"/>
      </w:pPr>
      <w:r>
        <w:t>Vulnera, por un lado, las competencias estatales en materia de legislación civil, a cuyo amparo, y según acabamos de exponer en el apartado a) de este fundamento jurídico, corresponde al Estado delimitar tanto el concepto de cláusula abusiva como los efectos que produce en un contrato la inclusión de una cláusula de tal carácter (art. 83 TRLGDCU).</w:t>
      </w:r>
    </w:p>
    <w:p w:rsidR="005728DD" w:rsidRDefault="005728DD" w:rsidP="005728DD">
      <w:pPr>
        <w:pStyle w:val="TextoNormal"/>
      </w:pPr>
    </w:p>
    <w:p w:rsidR="005728DD" w:rsidRDefault="005728DD" w:rsidP="005728DD">
      <w:pPr>
        <w:pStyle w:val="TextoNormal"/>
      </w:pPr>
      <w:r>
        <w:t xml:space="preserve">Por otra parte, al disponer la inaplicación de la cláusula en todos los contratos regula los efectos de la sentencia o decisión judicial que la declaró abusiva, por cuanto hace extensivos </w:t>
      </w:r>
      <w:r w:rsidRPr="005728DD">
        <w:rPr>
          <w:i/>
        </w:rPr>
        <w:t>ex lege</w:t>
      </w:r>
      <w:r>
        <w:t xml:space="preserve"> sus efectos a contratos distintos de aquel que motivó el pronunciamiento judicial, con lo que infringe las competencias estatales en materia de legislación procesal del art. 149.1.6 CE.</w:t>
      </w:r>
    </w:p>
    <w:p w:rsidR="005728DD" w:rsidRDefault="005728DD" w:rsidP="005728DD">
      <w:pPr>
        <w:pStyle w:val="TextoNormal"/>
      </w:pPr>
    </w:p>
    <w:p w:rsidR="005728DD" w:rsidRDefault="005728DD" w:rsidP="005728DD">
      <w:pPr>
        <w:pStyle w:val="TextoNormal"/>
      </w:pPr>
      <w:r>
        <w:lastRenderedPageBreak/>
        <w:t>La legislación procesal es una “competencia general” del Estado [SSTC 80/2018, de 5 de julio, FJ 5 a), y 13/2019, FJ 2 b)] que responde a la necesidad de salvaguardar la uniformidad de los instrumentos jurisdiccionales [SSTC 71/1982, de 30 de noviembre, FJ 20; 83/1986, de 26 de junio, FJ 2, y 173/1998, de 23 de julio, FJ 16 c)]; y una competencia autonómica “de orden limitado” circunscrita a “las necesarias especialidades que en este orden se deriven de las particularidades del derecho sustantivo de las comunidades autónomas” [STC 65/2020, de 18 de junio, FJ 16 B)].</w:t>
      </w:r>
    </w:p>
    <w:p w:rsidR="005728DD" w:rsidRDefault="005728DD" w:rsidP="005728DD">
      <w:pPr>
        <w:pStyle w:val="TextoNormal"/>
      </w:pPr>
    </w:p>
    <w:p w:rsidR="005728DD" w:rsidRDefault="005728DD" w:rsidP="005728DD">
      <w:pPr>
        <w:pStyle w:val="TextoNormal"/>
      </w:pPr>
      <w:r>
        <w:t>El art. 9.1.5 del Estatuto de Autonomía atribuye a la comunidad autónoma la competencia exclusiva sobre “Normas procesales derivadas del derecho propio”, conforme a la doctrina constitucional, no es una competencia “vinculada a la garantía y promoción del derecho sustantivo autonómico, sino una salvedad competencial que solo se justifica caso por caso” [STC 158/2019, de 12 de diciembre, FJ 7 i), citando la STC 80/2018, de 5 de julio, FJ 5].</w:t>
      </w:r>
    </w:p>
    <w:p w:rsidR="005728DD" w:rsidRDefault="005728DD" w:rsidP="005728DD">
      <w:pPr>
        <w:pStyle w:val="TextoNormal"/>
      </w:pPr>
    </w:p>
    <w:p w:rsidR="005728DD" w:rsidRDefault="005728DD" w:rsidP="005728DD">
      <w:pPr>
        <w:pStyle w:val="TextoNormal"/>
      </w:pPr>
      <w:r>
        <w:t>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de 25 de marzo, FJ 4; 21/2012, de 16 de febrero, FJ 7, y 80/2018, de 5 de julio, FJ 5 a)]. Para entender justificada la aplicación de la salvedad competencial contenida en el art. 149.1.6 CE deben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Finalmente, “ha de indagarse si, entre las peculiaridades del ordenamiento sustantivo autonómico y las singularidades procesales incorporadas por el legislador autonómico en la norma impugnada, existe una conexión directa tal que justifique las especialidades procesales” [STC 13/2019, de 31 de enero, FJ 2 b) y doctrina allí citada].</w:t>
      </w:r>
    </w:p>
    <w:p w:rsidR="005728DD" w:rsidRDefault="005728DD" w:rsidP="005728DD">
      <w:pPr>
        <w:pStyle w:val="TextoNormal"/>
      </w:pPr>
    </w:p>
    <w:p w:rsidR="005728DD" w:rsidRDefault="005728DD" w:rsidP="005728DD">
      <w:pPr>
        <w:pStyle w:val="TextoNormal"/>
      </w:pPr>
      <w:r>
        <w:t>La aplicación de esta doctrina conlleva que la competencia para dictar esta norma no pueda encontrarse amparada en la salvedad prevista en el art. 149.1.6 CE. La letrada de la Junta de Extremadura no ha justificado una peculiaridad del derecho sustantivo autonómico a la que pudiera asociarse el inciso cuestionado, ni ha razonado cuáles son las especialidades procesales, ni, en consecuencia, argumentado acerca de la eventual conexión directa entre la peculiaridad del ordenamiento sustantivo autonómico y la singularidad procesal.</w:t>
      </w:r>
    </w:p>
    <w:p w:rsidR="005728DD" w:rsidRDefault="005728DD" w:rsidP="005728DD">
      <w:pPr>
        <w:pStyle w:val="TextoNormal"/>
      </w:pPr>
    </w:p>
    <w:p w:rsidR="005728DD" w:rsidRDefault="005728DD" w:rsidP="005728DD">
      <w:pPr>
        <w:pStyle w:val="TextoNormal"/>
      </w:pPr>
      <w:r>
        <w:t>Procede, pues, estimar la impugnación y declarar que el inciso “y debe comunicarles que esta cláusula dejará de aplicarse en los términos establecidos por la resolución o sentencia judicial” del art. 28.6 de la Ley 6/2019 es inconstitucional y nulo.</w:t>
      </w:r>
    </w:p>
    <w:p w:rsidR="005728DD" w:rsidRDefault="005728DD" w:rsidP="005728DD">
      <w:pPr>
        <w:pStyle w:val="TextoNormal"/>
      </w:pPr>
    </w:p>
    <w:p w:rsidR="005728DD" w:rsidRDefault="005728DD" w:rsidP="005728DD">
      <w:pPr>
        <w:pStyle w:val="TextoNormal"/>
      </w:pPr>
      <w:r w:rsidRPr="005728DD">
        <w:rPr>
          <w:rStyle w:val="NumeroAFNegritaCaracter"/>
        </w:rPr>
        <w:t>6</w:t>
      </w:r>
      <w:r>
        <w:t>. Finalmente se cuestiona el art. 29, relativo a la titulización de créditos, el cual dispone que:</w:t>
      </w:r>
    </w:p>
    <w:p w:rsidR="005728DD" w:rsidRDefault="005728DD" w:rsidP="005728DD">
      <w:pPr>
        <w:pStyle w:val="TextoNormal"/>
      </w:pPr>
    </w:p>
    <w:p w:rsidR="005728DD" w:rsidRDefault="005728DD" w:rsidP="005728DD">
      <w:pPr>
        <w:pStyle w:val="TextoNormal"/>
      </w:pPr>
      <w:r>
        <w:t xml:space="preserve">“1. Se consideran créditos titulizados aquellos préstamos hipotecarios concertados por personas consumidoras, dentro del territorio de la Comunidad Autónoma de Extremadura, con una entidad financiera que se halle sujeta a la supervisión del Banco de España, que con posterioridad hayan sido cedidos por cualquier título a un fondo de titulización de acuerdo </w:t>
      </w:r>
      <w:r>
        <w:lastRenderedPageBreak/>
        <w:t>con lo establecido en la Ley 2/1981, de 25 de marzo, de regulación del mercado hipotecario y en la Ley 19/1992, de 7 de julio, sobre régimen de sociedades y fondo de inversión inmobiliaria y sobre fondos de titulización hipotecaria, así como la normativa que la desarrolla.</w:t>
      </w:r>
    </w:p>
    <w:p w:rsidR="005728DD" w:rsidRDefault="005728DD" w:rsidP="005728DD">
      <w:pPr>
        <w:pStyle w:val="TextoNormal"/>
      </w:pPr>
    </w:p>
    <w:p w:rsidR="005728DD" w:rsidRDefault="005728DD" w:rsidP="005728DD">
      <w:pPr>
        <w:pStyle w:val="TextoNormal"/>
      </w:pPr>
      <w:r>
        <w:t>2. Las entidades financieras descritas en el apartado anterior que pretendan realizar una cesión a un fondo de titulización deberán informar con carácter previo, por escrito y de manera fehaciente a la persona deudora del crédito hipotecario.</w:t>
      </w:r>
    </w:p>
    <w:p w:rsidR="005728DD" w:rsidRDefault="005728DD" w:rsidP="005728DD">
      <w:pPr>
        <w:pStyle w:val="TextoNormal"/>
      </w:pPr>
    </w:p>
    <w:p w:rsidR="005728DD" w:rsidRDefault="005728DD" w:rsidP="005728DD">
      <w:pPr>
        <w:pStyle w:val="TextoNormal"/>
      </w:pPr>
      <w:r>
        <w:t>3. La notificación de esta información contendrá todos los datos que permitan la identificación de manera sencilla y comprensible: a) De la cesión, transmisión o titulización del crédito. b) De los datos de la entidad cesionaria. c) De la fecha prevista para dicha constitución. d) De cuando los datos figuren en un documento en el que se haga referencia a más de un crédito, identificar el documento, página o anexo donde figuren concretamente los datos que afectan a la persona consumidora. e) Del precio de la transmisión, incluyendo las costas que le hubiera ocasionado y los intereses del precio de conformidad con lo establecido en el artículo 1535 del Código civil”.</w:t>
      </w:r>
    </w:p>
    <w:p w:rsidR="005728DD" w:rsidRDefault="005728DD" w:rsidP="005728DD">
      <w:pPr>
        <w:pStyle w:val="TextoNormal"/>
      </w:pPr>
    </w:p>
    <w:p w:rsidR="005728DD" w:rsidRDefault="005728DD" w:rsidP="005728DD">
      <w:pPr>
        <w:pStyle w:val="TextoNormal"/>
      </w:pPr>
      <w:r>
        <w:t>Para el abogado del Estado el precepto autonómico lleva a cabo una delimitación conceptual de la noción de “crédito titulizado”, imponiendo a la entidad financiera que pretenda llevar a cabo la titulización la obligación de informar previamente y por escrito al deudor hipotecario y detallando el modo concreto en que debe notificarse la información. De este modo, la ley extremeña establece una regulación que incide de manera directa en el ámbito de una operación financiera como es la titulización de créditos y, con ello, en el de los préstamos hipotecarios a los que se refiere dicha operación. Cuestiones ambas que conectan materialmente con las competencias exclusivas que corresponden al Estado en materia de legislación mercantil, bases de la ordenación del crédito y bases y coordinación de la planificación de la actividad económica. La letrada de la Junta de Extremadura defiende, en cambio, que la competencia en materia de defensa de consumidores y usuarios permite reforzar la protección jurídica del deudor hipotecario.</w:t>
      </w:r>
    </w:p>
    <w:p w:rsidR="005728DD" w:rsidRDefault="005728DD" w:rsidP="005728DD">
      <w:pPr>
        <w:pStyle w:val="TextoNormal"/>
      </w:pPr>
    </w:p>
    <w:p w:rsidR="005728DD" w:rsidRDefault="005728DD" w:rsidP="005728DD">
      <w:pPr>
        <w:pStyle w:val="TextoNormal"/>
      </w:pPr>
      <w:r>
        <w:t>El régimen jurídico de las denominadas titulizaciones está fijado por la Ley 5/2015, de 27 de abril, de fomento de la financiación empresarial, que regula esta cuestión en sus arts. 15 a 42. La Ley 5/2015, se afirma, dictada de conformidad con lo previsto en el art. 149.1.6, 11 y 13 CE (disposición final undécima). A dicha titulización de créditos, en cuanto relativos a créditos hipotecarios, les resulta también de aplicación las previsiones de la Ley 2/1981, de 25 de marzo, de regulación del mercado hipotecario y otras normas del sistema hipotecario y financiero, modificada por la Ley 41/2007, de 7 de diciembre, y el Real Decreto 716/2009, de 24 de abril, de desarrollo de la anterior. El objeto de las titulizaciones de los créditos hipotecarios es su cesión, a un fondo de titulización (con salida del balance de la entidad de crédito), en forma de títulos garantizados con los activos de los créditos concedidos y susceptibles de negociación en los mercados de capitales a cambio de un precio financiado por un bono emitido por el propio fondo, con el fin de obtener recursos líquidos para la entidad de crédito. En el caso concreto de la titulización hipotecaria se trata de la conversión de créditos hipotecarios en valores susceptibles de ser enajenados a un tercero. Estos créditos hipotecarios pueden ser movilizados mediante la emisión de las denominadas cédulas, bonos o participaciones hipotecarias (arts. 11 a 18 de la Ley 2/1981 y 13 a 34 del Real Decreto 716/2009).</w:t>
      </w:r>
    </w:p>
    <w:p w:rsidR="005728DD" w:rsidRDefault="005728DD" w:rsidP="005728DD">
      <w:pPr>
        <w:pStyle w:val="TextoNormal"/>
      </w:pPr>
    </w:p>
    <w:p w:rsidR="005728DD" w:rsidRDefault="005728DD" w:rsidP="005728DD">
      <w:pPr>
        <w:pStyle w:val="TextoNormal"/>
      </w:pPr>
      <w:r>
        <w:lastRenderedPageBreak/>
        <w:t>No contienen estas tres normas estatales previsión alguna relativa a la obligación de las entidades financieras que pretendan ceder un préstamo hipotecario a un fondo de titulización de informar de esta circunstancia al deudor de dicho préstamo. Ello se compadece adecuadamente con el régimen general aplicable a la cesión de créditos que, de conformidad con lo dispuesto en los arts. 1526 y siguientes del Código civil, puede realizarse sin el consentimiento y aun sin el conocimiento del deudor. Siempre teniendo presente que la transmisión del crédito, cuando tales créditos concedidos son objeto de titulización, no puede causar perjuicio al deudor hipotecario, el cual, caso de que desconozca la cesión, queda en todo caso liberado con el pago hecho al acreedor originario (art. 1527 del Código civil).</w:t>
      </w:r>
    </w:p>
    <w:p w:rsidR="005728DD" w:rsidRDefault="005728DD" w:rsidP="005728DD">
      <w:pPr>
        <w:pStyle w:val="TextoNormal"/>
      </w:pPr>
    </w:p>
    <w:p w:rsidR="005728DD" w:rsidRDefault="005728DD" w:rsidP="005728DD">
      <w:pPr>
        <w:pStyle w:val="TextoNormal"/>
      </w:pPr>
      <w:r>
        <w:t xml:space="preserve">De la doctrina de la STC 54/2018, FFJJ 6 c) y 9, que reitera la STC 13/2019, FJ 3 C), se deriva que el ejercicio de las competencias autonómicas en materia de defensa de los consumidores y usuarios, tienen como límite, entre otros, que no se produzca un </w:t>
      </w:r>
      <w:r w:rsidRPr="005728DD">
        <w:rPr>
          <w:i/>
        </w:rPr>
        <w:t>novum</w:t>
      </w:r>
      <w:r>
        <w:t xml:space="preserve"> en el contenido contractual; o en otras palabras, que no se introduzcan derechos ni obligaciones en el marco de las relaciones contractuales privadas, ya que, en caso contrario, se estaría adentrando a regular ámbitos reservados a la competencia exclusiva del Estado por el art. 149.1.6 y 8 CE, lo que bastaría para concluir en su inconstitucionalidad. En aplicación de esta doctrina, la STC 54/2018 declaró la inconstitucionalidad y nulidad de varios preceptos del Código de consumo de Cataluña. El ya mencionado art. 251-6, al enumerar una serie de cláusulas consideradas abusivas en los contratos de créditos y préstamos hipotecarios, que invadía las competencias estatales por cuanto que “una regulación sobre lo que debe entenderse por cláusulas abusivas en la contratación, introduciendo en esta área del derecho, innovaciones” corresponde al Estado </w:t>
      </w:r>
      <w:r w:rsidRPr="005728DD">
        <w:rPr>
          <w:i/>
        </w:rPr>
        <w:t>ex</w:t>
      </w:r>
      <w:r>
        <w:t xml:space="preserve"> artículo 149.1.8 CE (FJ 8). También el art. 262-6.2, que fijaba en catorce días naturales el plazo de la oferta vinculante del prestamista, invadía las competencias del Estado: “los preceptos que afectan y modulan el régimen de perfeccionamiento y de la eficacia de los contratos pertenecen a la titularidad estatal, </w:t>
      </w:r>
      <w:r w:rsidRPr="005728DD">
        <w:rPr>
          <w:i/>
        </w:rPr>
        <w:t>ex</w:t>
      </w:r>
      <w:r>
        <w:t xml:space="preserve"> artículos 149.1.6 y 8 CE” [FJ 9 a)]. Igualmente el art. 263-2.4, que disponía que el prestamista no podrá conceder el crédito o préstamo hipotecario, si el resultado de la evaluación de solvencia de la persona consumidora es negativo: “La norma catalana introduce en efecto una prohibición de contratar que desborda el ámbito competencial autonómico, pues […] este tiene como límite, entre otros, que no se produzca un </w:t>
      </w:r>
      <w:r w:rsidRPr="005728DD">
        <w:rPr>
          <w:i/>
        </w:rPr>
        <w:t>novum</w:t>
      </w:r>
      <w:r>
        <w:t xml:space="preserve"> en el contenido contractual, o en otras palabras, que no se introduzcan derechos ni obligaciones en el marco de las relaciones contractuales privadas” [FJ 9 d)]. Por su parte, por razones similares, la STC 13/2019, FJ 3 C), declaró inconstitucionales el art. 4 y la disposición adicional única de la Ley del Parlamento de Cataluña 24/2015, de 29 de julio, de medidas urgentes para afrontar la emergencia en el ámbito de la vivienda y la pobreza energética, en la medida en que establecían un determinado régimen obligacional del fiador en los préstamos con garantía hipotecaria para la compra de vivienda y una regulación sustantiva, relativa al importe que ha de pagar el deudor para liberarse del crédito hipotecario sobre vivienda.</w:t>
      </w:r>
    </w:p>
    <w:p w:rsidR="005728DD" w:rsidRDefault="005728DD" w:rsidP="005728DD">
      <w:pPr>
        <w:pStyle w:val="TextoNormal"/>
      </w:pPr>
    </w:p>
    <w:p w:rsidR="005728DD" w:rsidRDefault="005728DD" w:rsidP="005728DD">
      <w:pPr>
        <w:pStyle w:val="TextoNormal"/>
      </w:pPr>
      <w:r>
        <w:t xml:space="preserve">La introducción </w:t>
      </w:r>
      <w:r w:rsidRPr="005728DD">
        <w:rPr>
          <w:i/>
        </w:rPr>
        <w:t>ex novo</w:t>
      </w:r>
      <w:r>
        <w:t xml:space="preserve"> de obligaciones en una relación contractual privada también sucede aquí, por cuanto el precepto extremeño modifica el régimen del préstamo hipotecario en cuanto que impone a una de las partes, el cedente de un crédito hipotecario; una obligación de notificación hasta ahora no regulada que se corresponde con un correlativo derecho de información sobre la transmisión, que la norma autonómica otorga al consumidor que ha obtenido el crédito hipotecario ahora cedido. El art. 29 de la Ley 6/2019 delimita un concepto de titulización a partir del cual construye y regula una obligación de información, que </w:t>
      </w:r>
      <w:r>
        <w:lastRenderedPageBreak/>
        <w:t>ha de hacerse por escrito y de modo fehaciente, cuyo incumplimiento se tipifica como infracción grave (art. 73.41) sancionable con multa de 3001 a 15000 €, pudiendo sobrepasar esta cantidad, hasta alcanzar el quíntuplo del valor de los bienes y servicios objeto de infracción (art. 75.1). En definitiva, lo que es un derecho para el consumidor se convierte en deber de la entidad financiera, cuyo incumplimiento puede ser objeto de una sanción administrativa por parte de las autoridades autonómicas.</w:t>
      </w:r>
    </w:p>
    <w:p w:rsidR="005728DD" w:rsidRDefault="005728DD" w:rsidP="005728DD">
      <w:pPr>
        <w:pStyle w:val="TextoNormal"/>
      </w:pPr>
    </w:p>
    <w:p w:rsidR="005728DD" w:rsidRDefault="005728DD" w:rsidP="005728DD">
      <w:pPr>
        <w:pStyle w:val="TextoNormal"/>
      </w:pPr>
      <w:r>
        <w:t>Esta obligación impuesta a una de las partes en un supuesto concreto no se vincula con derechos que vengan reconocidos en normas aprobadas por el legislador estatal, competente para regularlos. Este ha reconocido la renunciabilidad del derecho del deudor a tomar conocimiento de la cesión del crédito hipotecario, en los términos previstos en el art. 242 del Reglamento hipotecario, aprobado por Decreto de 14 de febrero de 1947 y con independencia de que tal renunciabilidad no pueda ser impuesta al consumidor so pena de ser considerada abusiva por limitar sus derechos (art. 85.4 TRLGDCU y sentencia 792/2009, de 16 de diciembre, de la Sección Primera de la Sala Primera del Tribunal Supremo).</w:t>
      </w:r>
    </w:p>
    <w:p w:rsidR="005728DD" w:rsidRDefault="005728DD" w:rsidP="005728DD">
      <w:pPr>
        <w:pStyle w:val="TextoNormal"/>
      </w:pPr>
    </w:p>
    <w:p w:rsidR="005728DD" w:rsidRDefault="005728DD" w:rsidP="005728DD">
      <w:pPr>
        <w:pStyle w:val="TextoNormal"/>
      </w:pPr>
      <w:r>
        <w:t>La imposición de la obligación de informar previamente a la persona deudora del crédito hipotecario responde a la finalidad de proteger a los consumidores, pero incurre en la misma infracción competencial que ya apreciamos en las sentencias que acabamos de mencionar. Se trata de una cuestión que afecta a las relaciones contractuales privadas, en cuanto se refiere a la regulación de nuevos derechos, los del deudor cedido, y obligaciones, la de la entidad financiera cedente, en el seno de un contrato de crédito hipotecario. Por tal motivo, su regulación ha de entenderse reservada al Estado, no pudiendo la comunidad autónoma imponer un deber en este sentido, amparándose para ello en sus competencias en materia de consumo. Conforme al canon ya expuesto anteriormente, la comunidad autónoma no puede, al ejercer sus competencias sobre dicho sector material, dejar de acomodar su normativa a la que el Estado ha dictado al amparo de sus competencias exclusivas, como son las que derivan de los arts. 149.1.6 y 8 CE.</w:t>
      </w:r>
    </w:p>
    <w:p w:rsidR="005728DD" w:rsidRDefault="005728DD" w:rsidP="005728DD">
      <w:pPr>
        <w:pStyle w:val="TextoNormal"/>
      </w:pPr>
    </w:p>
    <w:p w:rsidR="005728DD" w:rsidRDefault="005728DD" w:rsidP="005728DD">
      <w:pPr>
        <w:pStyle w:val="TextoNormal"/>
      </w:pPr>
      <w:r>
        <w:t xml:space="preserve">Por tanto, el art. 29 de la Ley 6/2019 es inconstitucional y nulo. También lo es, por conexión o consecuencia </w:t>
      </w:r>
      <w:r w:rsidRPr="005728DD">
        <w:rPr>
          <w:i/>
        </w:rPr>
        <w:t>ex</w:t>
      </w:r>
      <w:r>
        <w:t xml:space="preserve"> art. 39.1 LOTC, el art. 73.41 que tipifica como infracción grave “la no notificación en plazo por las entidades que hayan cedido un crédito a un fondo de titulización previsto en el artículo 29 de la presente ley”.</w:t>
      </w:r>
    </w:p>
    <w:p w:rsidR="005728DD" w:rsidRDefault="005728DD" w:rsidP="005728DD">
      <w:pPr>
        <w:pStyle w:val="TextoNormal"/>
      </w:pPr>
    </w:p>
    <w:p w:rsidR="005728DD" w:rsidRDefault="005728DD" w:rsidP="005728DD">
      <w:pPr>
        <w:pStyle w:val="TextoNormal"/>
      </w:pPr>
      <w:r>
        <w:t>La estimación de este primer motivo de inconstitucionalidad hace que no resulte ya necesario pronunciarse sobre las restantes vulneraciones que la demanda imputa a este concreto precepto de la Ley 6/2019.</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parcialmente el recurso de inconstitucionalidad interpuesto por el presidente del Gobierno contra los arts. 13 d), 17.2, 28.6 y 29 de la Ley 6/2019, de 20 de febrero, del estatuto de las personas consumidoras de Extremadura, y, en consecuencia, declarar:</w:t>
      </w:r>
    </w:p>
    <w:p w:rsidR="005728DD" w:rsidRDefault="005728DD" w:rsidP="005728DD">
      <w:pPr>
        <w:pStyle w:val="TextoNormal"/>
      </w:pPr>
    </w:p>
    <w:p w:rsidR="005728DD" w:rsidRDefault="005728DD" w:rsidP="005728DD">
      <w:pPr>
        <w:pStyle w:val="TextoNormal"/>
      </w:pPr>
      <w:r>
        <w:t xml:space="preserve">1º Que los arts. 13 d), el primer párrafo del art. 17.2, el inciso “y debe comunicarles que esta cláusula dejará de aplicarse en los términos establecidos por la resolución o sentencia </w:t>
      </w:r>
      <w:r>
        <w:lastRenderedPageBreak/>
        <w:t>judicial”, del art. 28.6 y los arts. 29 y 73.41 de la Ley 6/2019, de 20 de febrero, del estatuto de las personas consumidoras de Extremadura, son inconstitucionales y nulos.</w:t>
      </w:r>
    </w:p>
    <w:p w:rsidR="005728DD" w:rsidRDefault="005728DD" w:rsidP="005728DD">
      <w:pPr>
        <w:pStyle w:val="TextoNormal"/>
      </w:pPr>
    </w:p>
    <w:p w:rsidR="005728DD" w:rsidRDefault="005728DD" w:rsidP="005728DD">
      <w:pPr>
        <w:pStyle w:val="TextoNormal"/>
      </w:pPr>
      <w:r>
        <w:t>2º Desestimar el recurso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6" w:name="SENTENCIA_2021_73"/>
      <w:r>
        <w:lastRenderedPageBreak/>
        <w:t>SENTENCIA 73/2021, de 18 de marzo de 2021</w:t>
      </w:r>
    </w:p>
    <w:bookmarkEnd w:id="76"/>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ECLI:ES:TC:2021:73</w:t>
      </w:r>
    </w:p>
    <w:p w:rsidR="005728DD" w:rsidRDefault="005728DD" w:rsidP="005728DD">
      <w:pPr>
        <w:pStyle w:val="TextoNormalCentrado"/>
      </w:pPr>
    </w:p>
    <w:p w:rsidR="005728DD" w:rsidRDefault="005728DD" w:rsidP="005728DD">
      <w:pPr>
        <w:pStyle w:val="SntesisDescriptiva"/>
      </w:pPr>
      <w:r>
        <w:t>Recurso de amparo 7439-2019. Promovido por don Jesús Sebastián Rocho Leal en relación con el auto de un juzgado de instrucción de Badajoz que denegó incoación de procedimiento de habeas corpus.</w:t>
      </w:r>
    </w:p>
    <w:p w:rsidR="005728DD" w:rsidRDefault="005728DD" w:rsidP="005728DD">
      <w:pPr>
        <w:pStyle w:val="SntesisDescriptiva"/>
      </w:pPr>
    </w:p>
    <w:p w:rsidR="005728DD" w:rsidRDefault="005728DD" w:rsidP="005728DD">
      <w:pPr>
        <w:pStyle w:val="SntesisAnaltica"/>
      </w:pPr>
      <w:r>
        <w:t>Vulneración del derecho a la libertad personal: órgano judicial que dejó transcurrir un tiempo desproporcionadamente largo antes de pronunciarse sobre la libertad del interesado y que, cuando lo hizo, inadmitió la solicitud de habeas corpus por motivos atinentes al fondo (STC 95/2012); planteamiento facultativo del incidente de nulidad de actuaciones cuando la demanda de amparo alegue vulneración del derecho a la libertad personal en procedimientos de habeas corpus. Votos particulares.</w:t>
      </w:r>
    </w:p>
    <w:p w:rsidR="005728DD" w:rsidRDefault="005728DD" w:rsidP="005728DD">
      <w:pPr>
        <w:pStyle w:val="SntesisAnaltica"/>
      </w:pPr>
    </w:p>
    <w:p w:rsidR="005728DD" w:rsidRDefault="005728DD" w:rsidP="005728DD">
      <w:pPr>
        <w:pStyle w:val="Extracto"/>
      </w:pPr>
      <w:r>
        <w:t>1.</w:t>
      </w:r>
      <w:r>
        <w:tab/>
        <w:t xml:space="preserve">No es necesario el planteamiento del incidente de nulidad de actuaciones para el agotamiento de la vía judicial, cuando la demanda de amparo alegue vulneración del derecho a la libertad personal mediante el procedimiento de </w:t>
      </w:r>
      <w:r w:rsidRPr="005728DD">
        <w:rPr>
          <w:i/>
        </w:rPr>
        <w:t xml:space="preserve">habeas corpus </w:t>
      </w:r>
      <w:r>
        <w:t>[FJ 2].</w:t>
      </w:r>
    </w:p>
    <w:p w:rsidR="005728DD" w:rsidRDefault="005728DD" w:rsidP="005728DD">
      <w:pPr>
        <w:pStyle w:val="Extracto"/>
      </w:pPr>
    </w:p>
    <w:p w:rsidR="005728DD" w:rsidRDefault="005728DD" w:rsidP="005728DD">
      <w:pPr>
        <w:pStyle w:val="Extracto"/>
      </w:pPr>
      <w:r>
        <w:t>2.</w:t>
      </w:r>
      <w:r>
        <w:tab/>
        <w:t xml:space="preserve">La interposición de un incidente de nulidad de actuaciones contra la resolución judicial que inadmite a trámite un procedimiento de </w:t>
      </w:r>
      <w:r w:rsidRPr="005728DD">
        <w:rPr>
          <w:i/>
        </w:rPr>
        <w:t xml:space="preserve">habeas corpus </w:t>
      </w:r>
      <w:r>
        <w:t>no podrá considerase un recurso manifiestamente improcedente y, en consecuencia, su interposición no podrá determinar la extemporaneidad del recurso de amparo por alargamiento indebido de la vía judicial (SSTC 31/2019 y 112/2019) [FJ 2].</w:t>
      </w:r>
    </w:p>
    <w:p w:rsidR="005728DD" w:rsidRDefault="005728DD" w:rsidP="005728DD">
      <w:pPr>
        <w:pStyle w:val="Extracto"/>
      </w:pPr>
    </w:p>
    <w:p w:rsidR="005728DD" w:rsidRDefault="005728DD" w:rsidP="005728DD">
      <w:pPr>
        <w:pStyle w:val="Extracto"/>
      </w:pPr>
      <w:r>
        <w:t>3.</w:t>
      </w:r>
      <w:r>
        <w:tab/>
        <w:t>Ante un ‘recurso de amparo mixto’ que imputa una lesión autónoma a la resolución judicial dictada en el procedimiento a través del que se instó la garantía de derechos del detenido, el plazo de interposición es el establecido en el artículo 44.2 LOTC para las quejas referidas a la actuación judicial (treinta días); no puede obligarse injustificadamente a renunciar a este plazo en favor del más breve previsto en el artículo 43.2 LOTC (veinte días) cuando acumulen pretensiones dirigidas frente a disposiciones, actos jurídicos, omisiones o simple vía de hecho del Gobierno o de sus autoridades o funcionarios, con otras dirigidas frente a las resoluciones judiciales dictadas al instar la protección de sus derechos (STC 21/2018) [FJ 2].</w:t>
      </w:r>
    </w:p>
    <w:p w:rsidR="005728DD" w:rsidRDefault="005728DD" w:rsidP="005728DD">
      <w:pPr>
        <w:pStyle w:val="Extracto"/>
      </w:pPr>
    </w:p>
    <w:p w:rsidR="005728DD" w:rsidRDefault="005728DD" w:rsidP="005728DD">
      <w:pPr>
        <w:pStyle w:val="Extracto"/>
      </w:pPr>
      <w:r>
        <w:t>4.</w:t>
      </w:r>
      <w:r>
        <w:tab/>
        <w:t xml:space="preserve">El procedimiento de </w:t>
      </w:r>
      <w:r w:rsidRPr="005728DD">
        <w:rPr>
          <w:i/>
        </w:rPr>
        <w:t xml:space="preserve">habeas corpus </w:t>
      </w:r>
      <w:r>
        <w:t>se sustenta sobre dos notas que le son propias: de una parte, la celeridad, en el sentido de que, con la mayor rapidez posible, el juez haga cesar la vulneración del derecho a la libertad; y, de otro lado, la inmediación, entendida como la presencia del detenido ante el juez. La esencia de este proceso consiste en que el juez compruebe personalmente la situación de la persona que pida el control judicial, siempre que se encuentre efectivamente detenida, es decir,</w:t>
      </w:r>
      <w:r w:rsidRPr="005728DD">
        <w:rPr>
          <w:i/>
        </w:rPr>
        <w:t xml:space="preserve"> ‘haber el cuerpo’ </w:t>
      </w:r>
      <w:r>
        <w:t>de quien se encuentre detenido para ofrecerle una oportunidad de hacerse oír, y ofrecer las alegaciones y pruebas (SSTC 37/2008, 12/2014 y 72/2019) [FJ 2].</w:t>
      </w:r>
    </w:p>
    <w:p w:rsidR="005728DD" w:rsidRDefault="005728DD" w:rsidP="005728DD">
      <w:pPr>
        <w:pStyle w:val="Extracto"/>
      </w:pPr>
    </w:p>
    <w:p w:rsidR="005728DD" w:rsidRDefault="005728DD" w:rsidP="005728DD">
      <w:pPr>
        <w:pStyle w:val="Extracto"/>
      </w:pPr>
      <w:r>
        <w:lastRenderedPageBreak/>
        <w:t>5.</w:t>
      </w:r>
      <w:r>
        <w:tab/>
        <w:t xml:space="preserve">El derecho a que el procedimiento de </w:t>
      </w:r>
      <w:r w:rsidRPr="005728DD">
        <w:rPr>
          <w:i/>
        </w:rPr>
        <w:t xml:space="preserve">habeas corpus </w:t>
      </w:r>
      <w:r>
        <w:t>se tramite con la mayor celeridad y a obtener una resolución judicial sobre la admisibilidad de la solicitud correspondiente en el menor tiempo posible, constituye una garantía esencial del derecho a la libertad personal, que no admite una demora en el tiempo más allá de la que sea estrictamente necesaria para permitir al juez de guardia tomar conocimiento de la detención y de las condiciones en que esta se haya producido, y decidir sobre la admisibilidad de aquella solicitud [FJ 3].</w:t>
      </w:r>
    </w:p>
    <w:p w:rsidR="005728DD" w:rsidRDefault="005728DD" w:rsidP="005728DD">
      <w:pPr>
        <w:pStyle w:val="Extracto"/>
      </w:pPr>
    </w:p>
    <w:p w:rsidR="005728DD" w:rsidRDefault="005728DD" w:rsidP="005728DD">
      <w:pPr>
        <w:pStyle w:val="Extracto"/>
      </w:pPr>
      <w:r>
        <w:t>6.</w:t>
      </w:r>
      <w:r>
        <w:tab/>
        <w:t>Aun cuando la Ley Orgánica de regulación del procedimiento de habeas corpus (LOHC)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 [FJ 4].</w:t>
      </w:r>
    </w:p>
    <w:p w:rsidR="005728DD" w:rsidRDefault="005728DD" w:rsidP="005728DD">
      <w:pPr>
        <w:pStyle w:val="Extracto"/>
      </w:pPr>
    </w:p>
    <w:p w:rsidR="005728DD" w:rsidRDefault="005728DD" w:rsidP="005728DD">
      <w:pPr>
        <w:pStyle w:val="Extracto"/>
      </w:pPr>
      <w:r>
        <w:t>7.</w:t>
      </w:r>
      <w:r>
        <w:tab/>
        <w:t xml:space="preserve">Los únicos motivos constitucionalmente legítimos para no admitir un procedimiento de </w:t>
      </w:r>
      <w:r w:rsidRPr="005728DD">
        <w:rPr>
          <w:i/>
        </w:rPr>
        <w:t xml:space="preserve">habeas corpus </w:t>
      </w:r>
      <w:r>
        <w:t>son los basados en la falta del presupuesto necesario de una situación de privación de libertad no acordada judicialmente,  o en el incumplimiento de los requisitos formales a los que se refiere el art. 4 LOHC (SSTC 21/2014, 32/2014, 195/2014, 42/2015 o 204/2015) [FJ 4].</w:t>
      </w:r>
    </w:p>
    <w:p w:rsidR="005728DD" w:rsidRDefault="005728DD" w:rsidP="005728DD">
      <w:pPr>
        <w:pStyle w:val="Extracto"/>
      </w:pPr>
    </w:p>
    <w:p w:rsidR="005728DD" w:rsidRDefault="005728DD" w:rsidP="005728DD">
      <w:pPr>
        <w:pStyle w:val="Extracto"/>
      </w:pPr>
      <w:r>
        <w:t>8.</w:t>
      </w:r>
      <w:r>
        <w:tab/>
        <w:t xml:space="preserve">Estando en juego el derecho fundamental a la libertad, la eventual ausencia de una motivación suficiente y razonable de la decisión no supondrá solo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w:t>
      </w:r>
      <w:r w:rsidRPr="005728DD">
        <w:rPr>
          <w:i/>
        </w:rPr>
        <w:t>habeas corpus</w:t>
      </w:r>
      <w:r>
        <w:t>, prevista en el art. 17.4 CE, forma parte de la propia garantía (STC 204/2015)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7439-2019, promovido por don Jesús Sebastián Rocho Leal contra el auto de 9 de noviembre de 2019, dictado por el Juzgado de Instrucción núm. </w:t>
      </w:r>
      <w:r>
        <w:lastRenderedPageBreak/>
        <w:t>3 de Badajoz, que denegó la incoación del procedimiento de habeas corpus a favor del recurrente.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día 20 de diciembre de 2019, el procurador de los tribunales don José Antonio Rico Sánchez, actuando en nombre y representación de don Jesús Sebastián Rocho Leal, bajo la defensa del letrado don José Duarte González, ha interpuesto recurso de amparo contra la resolución arriba mencionada.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la resolución de este recurso de amparo son los siguientes:</w:t>
      </w:r>
    </w:p>
    <w:p w:rsidR="005728DD" w:rsidRDefault="005728DD" w:rsidP="005728DD">
      <w:pPr>
        <w:pStyle w:val="TextoNormal"/>
      </w:pPr>
    </w:p>
    <w:p w:rsidR="005728DD" w:rsidRDefault="005728DD" w:rsidP="005728DD">
      <w:pPr>
        <w:pStyle w:val="TextoNormal"/>
      </w:pPr>
      <w:r>
        <w:t>a) Sobre las 22:00 horas del día 8 de noviembre de 2019, funcionarios del Cuerpo Nacional de Policía, que, realizaban labores de prevención del delito en una calle de la barriada del Cerro de Reyes de la ciudad de Badajoz, procedieron a la detención del ahora recurrente don Jesús Sebastián Rocho Leal por presunto delito de atentado a agentes de la autoridad, siendo trasladado a las dependencias policiales de la Jefatura Superior de Policía de Badajoz.</w:t>
      </w:r>
    </w:p>
    <w:p w:rsidR="005728DD" w:rsidRDefault="005728DD" w:rsidP="005728DD">
      <w:pPr>
        <w:pStyle w:val="TextoNormal"/>
      </w:pPr>
    </w:p>
    <w:p w:rsidR="005728DD" w:rsidRDefault="005728DD" w:rsidP="005728DD">
      <w:pPr>
        <w:pStyle w:val="TextoNormal"/>
      </w:pPr>
      <w:r>
        <w:t>b) Incoado el correspondiente atestado policial con el núm. 21858-2019, consta, como primera actuación (22:14 horas del día 8 de noviembre de 2018), la comparecencia de diez agentes del Cuerpo Nacional de Policía dando cuenta de la detención de varias personas entre las que se encuentra el ahora recurrente en amparo. Respecto del mismo, los funcionarios declararon que “el presentado como detenido arremete violentamente contra el funcionario 97328, provocándole la caída al suelo e impidiéndole la detención” de otra de las personas implicadas en los hechos. El atestado añade que el señor Rocho Leal forcejeó “activamente” con otro de los policías “para impedir su detención, concretamente golpeándole con la cabeza en el pómulo izquierdo”.</w:t>
      </w:r>
    </w:p>
    <w:p w:rsidR="005728DD" w:rsidRDefault="005728DD" w:rsidP="005728DD">
      <w:pPr>
        <w:pStyle w:val="TextoNormal"/>
      </w:pPr>
    </w:p>
    <w:p w:rsidR="005728DD" w:rsidRDefault="005728DD" w:rsidP="005728DD">
      <w:pPr>
        <w:pStyle w:val="TextoNormal"/>
      </w:pPr>
      <w:r>
        <w:t>c) Figura, igualmente, en el atestado policial que, a las 22:02 horas del día 8 de noviembre de 2019, fue informado el detenido de sus derechos, mediante el correspondiente acta de lectura de derechos que firmó el recurrente. En el acta queda reflejado que el señor Rocho fue detenido por la presunta comisión de un delito de atentado a agentes de la autoridad.</w:t>
      </w:r>
    </w:p>
    <w:p w:rsidR="005728DD" w:rsidRDefault="005728DD" w:rsidP="005728DD">
      <w:pPr>
        <w:pStyle w:val="TextoNormal"/>
      </w:pPr>
    </w:p>
    <w:p w:rsidR="005728DD" w:rsidRDefault="005728DD" w:rsidP="005728DD">
      <w:pPr>
        <w:pStyle w:val="TextoNormal"/>
      </w:pPr>
      <w:r>
        <w:t>Igualmente, fueron incorporados al atestado los siguientes documentos: (i) la ficha de identificación y antecedentes policiales del recurrente, que consta descargada a las 22:46 horas del día 8 de noviembre de 2019, así como, a las 23:04 horas, la de otra persona detenida por estos mismos hechos, y (ii) tres informes de alta expedidos a otros tantos agentes del Cuerpo Nacional de Policía en los que se especifican las lesiones que los mismos padecieron. Las altas fueron cursadas a las 23:00 y 23:06 horas del día 8 de noviembre y a las 0:51 horas del día 9 de noviembre de 2019.</w:t>
      </w:r>
    </w:p>
    <w:p w:rsidR="005728DD" w:rsidRDefault="005728DD" w:rsidP="005728DD">
      <w:pPr>
        <w:pStyle w:val="TextoNormal"/>
      </w:pPr>
    </w:p>
    <w:p w:rsidR="005728DD" w:rsidRDefault="005728DD" w:rsidP="005728DD">
      <w:pPr>
        <w:pStyle w:val="TextoNormal"/>
      </w:pPr>
      <w:r>
        <w:t xml:space="preserve">d) Seguidamente, se recoge en el atestado una diligencia, confeccionada por el instructor del mismo, en la que aparece que, a las 23:30 horas del indicado día 8 de noviembre de </w:t>
      </w:r>
      <w:r>
        <w:lastRenderedPageBreak/>
        <w:t xml:space="preserve">2019, se personó en las diligencias policiales el abogado don José Duarte González manifestando que era el letrado defensor del señor Rocho Leal “haciendo entrega de un escrito, firmado por el mismo, de ‘solicitud de </w:t>
      </w:r>
      <w:r w:rsidRPr="005728DD">
        <w:rPr>
          <w:i/>
        </w:rPr>
        <w:t>habeas corpus</w:t>
      </w:r>
      <w:r>
        <w:t>’ para su patrocinado”, que, según refiere la diligencia, quedó incorporado al atestado junto con el escrito.</w:t>
      </w:r>
    </w:p>
    <w:p w:rsidR="005728DD" w:rsidRDefault="005728DD" w:rsidP="005728DD">
      <w:pPr>
        <w:pStyle w:val="TextoNormal"/>
      </w:pPr>
    </w:p>
    <w:p w:rsidR="005728DD" w:rsidRDefault="005728DD" w:rsidP="005728DD">
      <w:pPr>
        <w:pStyle w:val="TextoNormal"/>
      </w:pPr>
      <w:r>
        <w:t xml:space="preserve">El instructor del atestado, mediante diligencia de comunicación a la autoridad judicial obrante en las actuaciones policiales, acordó que “tal solicitud se ponga inmediatamente en conocimiento del Ilmo. Sr. magistrado-juez del Juzgado de Instrucción núm. 3 de Badajoz en funciones de guardia […] lo cual se lleva a efecto, a continuación, mediante llamada telefónica registrada en el libro digital de telefonemas de esta comisaría”. Seguidamente, el agente policial instructor dejó constancia en el atestado de que “a las 23:40 horas del día de inicio de las presentes, se pone en contacto telefónico con la titular del Juzgado de Instrucción núm. 3 de Badajoz, en funciones de guardia, la que transmite instrucciones para que se finalice la comparecencia a los funcionarios policiales actuantes, con objeto de tener conocimiento de los hechos que motivan la citada solicitud de </w:t>
      </w:r>
      <w:r w:rsidRPr="005728DD">
        <w:rPr>
          <w:i/>
        </w:rPr>
        <w:t>habeas corpus</w:t>
      </w:r>
      <w:r>
        <w:t xml:space="preserve"> y que una vez leída la comparecencia que recoge las actuaciones policiales reseñadas en el presente atestado, resolverá en derecho”.</w:t>
      </w:r>
    </w:p>
    <w:p w:rsidR="005728DD" w:rsidRDefault="005728DD" w:rsidP="005728DD">
      <w:pPr>
        <w:pStyle w:val="TextoNormal"/>
      </w:pPr>
    </w:p>
    <w:p w:rsidR="005728DD" w:rsidRDefault="005728DD" w:rsidP="005728DD">
      <w:pPr>
        <w:pStyle w:val="TextoNormal"/>
      </w:pPr>
      <w:r>
        <w:t xml:space="preserve">e) El escrito de solicitud del </w:t>
      </w:r>
      <w:r w:rsidRPr="005728DD">
        <w:rPr>
          <w:i/>
        </w:rPr>
        <w:t>habeas corpus</w:t>
      </w:r>
      <w:r>
        <w:t xml:space="preserve"> presentado por el letrado denunciaba la vulneración de los arts. 17 y 24 CE, “por haber sido detenido [el señor Rocho Leal] sobre las 21:00 horas del día de hoy 8-11-19, sin ningún motivo y por la indebida forma de haber procedido a su detención (golpes innecesarios, incluso haciendo uso indebido de las armas de fuego, llegando a efectuar varios disparos)”. El escrito proponía, como testigos presenciales, a cuatro personas de las que facilitaba sus nombres y que estaban dispuestas a que se les tomara declaración “por su Señoría en el momento que lo acuerde”.</w:t>
      </w:r>
    </w:p>
    <w:p w:rsidR="005728DD" w:rsidRDefault="005728DD" w:rsidP="005728DD">
      <w:pPr>
        <w:pStyle w:val="TextoNormal"/>
      </w:pPr>
    </w:p>
    <w:p w:rsidR="005728DD" w:rsidRDefault="005728DD" w:rsidP="005728DD">
      <w:pPr>
        <w:pStyle w:val="TextoNormal"/>
      </w:pPr>
      <w:r>
        <w:t>f) A la 1:03 y a las 7:00 horas del día 9 de noviembre de 2019 figuran en el atestado policial sendas “diligencia de traspaso”, en las que se indica que “las presentes diligencias son traspasadas a los funcionarios del turno de guardia entrante de la Ofician de denuncia y atención al ciudadano”, para su continuación y demás trámites pertinentes”.</w:t>
      </w:r>
    </w:p>
    <w:p w:rsidR="005728DD" w:rsidRDefault="005728DD" w:rsidP="005728DD">
      <w:pPr>
        <w:pStyle w:val="TextoNormal"/>
      </w:pPr>
    </w:p>
    <w:p w:rsidR="005728DD" w:rsidRDefault="005728DD" w:rsidP="005728DD">
      <w:pPr>
        <w:pStyle w:val="TextoNormal"/>
      </w:pPr>
      <w:r>
        <w:t>g) En la carátula que encabeza el atestado policial que fue remitido al Juzgado de Instrucción núm. 3 de Badajoz, en funciones de guardia, constan las siguientes observaciones, en lo que ahora es de interés:</w:t>
      </w:r>
    </w:p>
    <w:p w:rsidR="005728DD" w:rsidRDefault="005728DD" w:rsidP="005728DD">
      <w:pPr>
        <w:pStyle w:val="TextoNormal"/>
      </w:pPr>
    </w:p>
    <w:p w:rsidR="005728DD" w:rsidRDefault="005728DD" w:rsidP="005728DD">
      <w:pPr>
        <w:pStyle w:val="TextoNormal"/>
      </w:pPr>
      <w:r>
        <w:t>“Letrado del detenido solicit</w:t>
      </w:r>
      <w:r w:rsidRPr="005728DD">
        <w:rPr>
          <w:i/>
        </w:rPr>
        <w:t>a habeas corp</w:t>
      </w:r>
      <w:r>
        <w:t>us.</w:t>
      </w:r>
    </w:p>
    <w:p w:rsidR="005728DD" w:rsidRDefault="005728DD" w:rsidP="005728DD">
      <w:pPr>
        <w:pStyle w:val="TextoNormal"/>
      </w:pPr>
    </w:p>
    <w:p w:rsidR="005728DD" w:rsidRDefault="005728DD" w:rsidP="005728DD">
      <w:pPr>
        <w:pStyle w:val="TextoNormal"/>
      </w:pPr>
      <w:r>
        <w:t xml:space="preserve">Se comunica </w:t>
      </w:r>
      <w:r w:rsidRPr="005728DD">
        <w:rPr>
          <w:i/>
        </w:rPr>
        <w:t>habeas corpus</w:t>
      </w:r>
      <w:r>
        <w:t xml:space="preserve"> a juez de guardia, quien llamará entre las 08:00 y las 09:00 horas para que se le lleve en mano el atestado y resuelva lo procedente</w:t>
      </w:r>
    </w:p>
    <w:p w:rsidR="005728DD" w:rsidRDefault="005728DD" w:rsidP="005728DD">
      <w:pPr>
        <w:pStyle w:val="TextoNormal"/>
      </w:pPr>
    </w:p>
    <w:p w:rsidR="005728DD" w:rsidRDefault="005728DD" w:rsidP="005728DD">
      <w:pPr>
        <w:pStyle w:val="TextoNormal"/>
      </w:pPr>
      <w:r>
        <w:t>No realizar ninguna gestión con el detenido, actuaciones paralizadas hasta resolución judicial (no efectuar reseña por policía científica)”.</w:t>
      </w:r>
    </w:p>
    <w:p w:rsidR="005728DD" w:rsidRDefault="005728DD" w:rsidP="005728DD">
      <w:pPr>
        <w:pStyle w:val="TextoNormal"/>
      </w:pPr>
    </w:p>
    <w:p w:rsidR="005728DD" w:rsidRDefault="005728DD" w:rsidP="005728DD">
      <w:pPr>
        <w:pStyle w:val="TextoNormal"/>
      </w:pPr>
      <w:r>
        <w:t xml:space="preserve">h) Ya, en sede judicial, figura una diligencia de constancia cuyo texto es el que sigue: “En Badajoz a nueve de noviembre de dos mil diecinueve. La extiendo yo, el/la letrado de la administración de justicia, para hacer constar que en el día de hoy y siendo las 8:40 horas se hace entrega en este juzgado de la presente solicitud de </w:t>
      </w:r>
      <w:r w:rsidRPr="005728DD">
        <w:rPr>
          <w:i/>
        </w:rPr>
        <w:t>habeas corpus</w:t>
      </w:r>
      <w:r>
        <w:t>. Doy fe”. Segui</w:t>
      </w:r>
      <w:r>
        <w:lastRenderedPageBreak/>
        <w:t xml:space="preserve">damente, obra en las actuaciones una providencia de la Ilma. Srª. magistrada-juez del Juzgado de Instrucción núm. 3 de Badajoz, fechada el día 9 de noviembre de 2019, por la que acordó el registro de la solicitud de </w:t>
      </w:r>
      <w:r w:rsidRPr="005728DD">
        <w:rPr>
          <w:i/>
        </w:rPr>
        <w:t>habeas corpus</w:t>
      </w:r>
      <w:r>
        <w:t xml:space="preserve"> “en el libro de su clase” y el traslado de la petición al Ministerio Fiscal para que, de conformidad con lo dispuesto en el art. 6 de la Ley Orgánica 6/1984, de regulación del procedimiento de </w:t>
      </w:r>
      <w:r w:rsidRPr="005728DD">
        <w:rPr>
          <w:i/>
        </w:rPr>
        <w:t>habeas corpus</w:t>
      </w:r>
      <w:r>
        <w:t xml:space="preserve"> (LOHC), emitiera el informe prevenido en la misma. El procedimiento quedó registrado con el núm. 4-2019.</w:t>
      </w:r>
    </w:p>
    <w:p w:rsidR="005728DD" w:rsidRDefault="005728DD" w:rsidP="005728DD">
      <w:pPr>
        <w:pStyle w:val="TextoNormal"/>
      </w:pPr>
    </w:p>
    <w:p w:rsidR="005728DD" w:rsidRDefault="005728DD" w:rsidP="005728DD">
      <w:pPr>
        <w:pStyle w:val="TextoNormal"/>
      </w:pPr>
      <w:r>
        <w:t>i) El Ministerio Fiscal emitió informe el día 9 de noviembre de 2019, en el que, conforme a lo dispuesto en el art. 8.1 LOHC, solicitó el archivo de las actuaciones, por no darse ninguno de los supuestos descritos en el art. 1 de la citada Ley.</w:t>
      </w:r>
    </w:p>
    <w:p w:rsidR="005728DD" w:rsidRDefault="005728DD" w:rsidP="005728DD">
      <w:pPr>
        <w:pStyle w:val="TextoNormal"/>
      </w:pPr>
    </w:p>
    <w:p w:rsidR="005728DD" w:rsidRDefault="005728DD" w:rsidP="005728DD">
      <w:pPr>
        <w:pStyle w:val="TextoNormal"/>
      </w:pPr>
      <w:r>
        <w:t xml:space="preserve">j) Finalmente, por medio de auto de 9 de noviembre de 2019, el Juzgado de Instrucción núm. 3 de Badajoz, en funciones de guardia, acordó denegar la incoación del procedimiento de </w:t>
      </w:r>
      <w:r w:rsidRPr="005728DD">
        <w:rPr>
          <w:i/>
        </w:rPr>
        <w:t>habeas corpus</w:t>
      </w:r>
      <w:r>
        <w:t xml:space="preserve"> solicitado y el archivo del procedimiento.</w:t>
      </w:r>
    </w:p>
    <w:p w:rsidR="005728DD" w:rsidRDefault="005728DD" w:rsidP="005728DD">
      <w:pPr>
        <w:pStyle w:val="TextoNormal"/>
      </w:pPr>
    </w:p>
    <w:p w:rsidR="005728DD" w:rsidRDefault="005728DD" w:rsidP="005728DD">
      <w:pPr>
        <w:pStyle w:val="TextoNormal"/>
      </w:pPr>
      <w:r>
        <w:t xml:space="preserve">En el fundamento jurídico único de la citada resolución, el juzgado, después de recoger el texto íntegro del art. 1 LOHC, destacó que, según la información que constaba en la copia del atestado policial, remitida junto con la solicitud de </w:t>
      </w:r>
      <w:r w:rsidRPr="005728DD">
        <w:rPr>
          <w:i/>
        </w:rPr>
        <w:t>habeas corpus</w:t>
      </w:r>
      <w:r>
        <w:t>, al señor Rocho Leal le había sido imputado un presunto delito de atentado a agente de la autoridad, eventualmente “cometido justo antes del momento de la detención, por lo que dicha detención policial cumpliría los requisitos exigidos en el artículo 492 de la Ley de enjuiciamiento criminal, adjuntándose al atestado sendos informes médicos de las lesiones ocasionadas a los agentes de policía”.</w:t>
      </w:r>
    </w:p>
    <w:p w:rsidR="005728DD" w:rsidRDefault="005728DD" w:rsidP="005728DD">
      <w:pPr>
        <w:pStyle w:val="TextoNormal"/>
      </w:pPr>
    </w:p>
    <w:p w:rsidR="005728DD" w:rsidRDefault="005728DD" w:rsidP="005728DD">
      <w:pPr>
        <w:pStyle w:val="TextoNormal"/>
      </w:pPr>
      <w:r>
        <w:t>El auto añadía que “[t]ambién consta en la copia del atestado la correspondiente ‘Diligencia de detención e información de derechos y de los elementos esenciales de las actuaciones para impugnar la detención’, donde se reflejan claramente tanto la hora y el lugar de la detención como el delito que se imputa al investigado, apareciendo en dicha diligencia la firma del detenido y la voluntad de este de ser asistido por el letrado señor Pereira Arangüete, letrado distinto del que posteriormente ha presentado en su nombre la solicitud d</w:t>
      </w:r>
      <w:r w:rsidRPr="005728DD">
        <w:rPr>
          <w:i/>
        </w:rPr>
        <w:t>e habeas corp</w:t>
      </w:r>
      <w:r>
        <w:t>us”.</w:t>
      </w:r>
    </w:p>
    <w:p w:rsidR="005728DD" w:rsidRDefault="005728DD" w:rsidP="005728DD">
      <w:pPr>
        <w:pStyle w:val="TextoNormal"/>
      </w:pPr>
    </w:p>
    <w:p w:rsidR="005728DD" w:rsidRDefault="005728DD" w:rsidP="005728DD">
      <w:pPr>
        <w:pStyle w:val="TextoNormal"/>
      </w:pPr>
      <w:r>
        <w:t>El fundamento concluía destacando que “[n]o se dan por tanto, ninguno de los supuestos previstos en el artículo anteriormente mencionado”.</w:t>
      </w:r>
    </w:p>
    <w:p w:rsidR="005728DD" w:rsidRDefault="005728DD" w:rsidP="005728DD">
      <w:pPr>
        <w:pStyle w:val="TextoNormal"/>
      </w:pPr>
    </w:p>
    <w:p w:rsidR="005728DD" w:rsidRDefault="005728DD" w:rsidP="005728DD">
      <w:pPr>
        <w:pStyle w:val="TextoNormal"/>
      </w:pPr>
      <w:r>
        <w:t xml:space="preserve">Según consta en diligencia obrante en el atestado policial, la resolución judicial denegatoria de la incoación del </w:t>
      </w:r>
      <w:r w:rsidRPr="005728DD">
        <w:rPr>
          <w:i/>
        </w:rPr>
        <w:t>habeas corpus</w:t>
      </w:r>
      <w:r>
        <w:t xml:space="preserve"> le fue notificada al recurrente a las 13:30 horas del mismo día 9 de noviembre de 2019, negándose a firmarla el detenido.</w:t>
      </w:r>
    </w:p>
    <w:p w:rsidR="005728DD" w:rsidRDefault="005728DD" w:rsidP="005728DD">
      <w:pPr>
        <w:pStyle w:val="TextoNormal"/>
      </w:pPr>
    </w:p>
    <w:p w:rsidR="005728DD" w:rsidRDefault="005728DD" w:rsidP="005728DD">
      <w:pPr>
        <w:pStyle w:val="TextoNormal"/>
      </w:pPr>
      <w:r>
        <w:t xml:space="preserve">k) Después de quedar reflejada en el atestado la diligencia de notificación del citado auto del juzgado, figuran otras tres diligencias, que, respectivamente, hacen referencia: (i) a la toma de declaración del señor Rocho Leal por los funcionarios policiales, a presencia del letrado que le asistía, practicada a las 17:30 horas del día 9 de noviembre de 2019; (ii) de asistencia médica al detenido, llevada a efecto a las 19:30 horas del mismo día; y (iii) una diligencia que, extendida a “las 17:00 horas del día 09 de noviembre de 2019”, hace constar que el instructor policial comunicó “con la titular del Juzgado de Instrucción núm. 3 de </w:t>
      </w:r>
      <w:r>
        <w:lastRenderedPageBreak/>
        <w:t>Badajoz, en funciones de guardia, al objeto de manifestar la puesta a disposición de la autoridad judicial, del detenido, una vez sea oído en declaración, comunicando que sea puesto a disposición el domingo día 10 de noviembre a las 10:00 horas”.</w:t>
      </w:r>
    </w:p>
    <w:p w:rsidR="005728DD" w:rsidRDefault="005728DD" w:rsidP="005728DD">
      <w:pPr>
        <w:pStyle w:val="TextoNormal"/>
      </w:pPr>
    </w:p>
    <w:p w:rsidR="005728DD" w:rsidRDefault="005728DD" w:rsidP="005728DD">
      <w:pPr>
        <w:pStyle w:val="TextoNormal"/>
      </w:pPr>
      <w:r>
        <w:t>l) Finalmente, a propuesta de la Sala Segunda, en sesión celebrada el día 25 de enero de 2021, el Pleno acordó recabar para sí el conocimiento de este recurso, por medio de providencia de 16 de febrero de 2021.</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La demanda de amparo impugna el auto de 9 de noviembre de 2019, dictado por el Juzgado de Instrucción núm. 3 de Badajoz, en funciones de guardia, denegatorio de la solicitud de </w:t>
      </w:r>
      <w:r w:rsidRPr="005728DD">
        <w:rPr>
          <w:i/>
        </w:rPr>
        <w:t>habeas corpus</w:t>
      </w:r>
      <w:r>
        <w:t xml:space="preserve"> que había presentado en su defensa el letrado que le asistió en las actuaciones policiales.</w:t>
      </w:r>
    </w:p>
    <w:p w:rsidR="005728DD" w:rsidRDefault="005728DD" w:rsidP="005728DD">
      <w:pPr>
        <w:pStyle w:val="TextoNormal"/>
      </w:pPr>
    </w:p>
    <w:p w:rsidR="005728DD" w:rsidRDefault="005728DD" w:rsidP="005728DD">
      <w:pPr>
        <w:pStyle w:val="TextoNormal"/>
      </w:pPr>
      <w:r>
        <w:t>Alega la vulneración del derecho a la libertad personal, en relación con el derecho a la tutela judicial efectiva, a la defensa y a un proceso con todas las garantías y hace, en el encabezamiento, cita expresa de los arts. 1 LOHC; 520.1 y 528 de la Ley de enjuiciamiento criminal (LECrim) y 1, 9, 14, 17.4, 24.1 y 2, 25 y 120.3 CE; de los arts. 5 y 7 de la Ley Orgánica del Poder Judicial (LOPJ) y de “las sentencias del Tribunal Constitucional que se pronuncian expresamente al respecto, entre otras muchas las STC 72/2019, [y] STC 32/2014”.</w:t>
      </w:r>
    </w:p>
    <w:p w:rsidR="005728DD" w:rsidRDefault="005728DD" w:rsidP="005728DD">
      <w:pPr>
        <w:pStyle w:val="TextoNormal"/>
      </w:pPr>
    </w:p>
    <w:p w:rsidR="005728DD" w:rsidRDefault="005728DD" w:rsidP="005728DD">
      <w:pPr>
        <w:pStyle w:val="TextoNormal"/>
      </w:pPr>
      <w:r>
        <w:t xml:space="preserve">Como motivo primero, la demanda, después de recoger el texto de los arts. 17.4 CE; 1 LOHC y arts. 7, apartados 1 y 2, y 53. 2 de la LOPJ, denuncia que el demandante no fue puesto inmediatamente a disposición del juzgado de guardia, puesto que el letrado que le asistía presentó, en su nombre e interés, la solicitud escrita de </w:t>
      </w:r>
      <w:r w:rsidRPr="005728DD">
        <w:rPr>
          <w:i/>
        </w:rPr>
        <w:t>habeas corpus</w:t>
      </w:r>
      <w:r>
        <w:t xml:space="preserve"> a las 23:30 horas del día 8 de noviembre de 2019 y constaron “en el auto (de 9 de noviembre de 2019) la hora a la que se realizaron cada una de las diligencias, no produciéndose el acto de personación en las dependencias de la Jefatura Superior de Policía, por parte del Juzgado de Instrucción núm. 3 hasta las 13:30 horas del 9-11-19, al objeto de notificar el auto del procedimiento de </w:t>
      </w:r>
      <w:r w:rsidRPr="005728DD">
        <w:rPr>
          <w:i/>
        </w:rPr>
        <w:t>habeas corpus</w:t>
      </w:r>
      <w:r>
        <w:t xml:space="preserve"> solicitado el día 8-11-19 a las 23:30 horas”. Añade a lo expuesto, que el señor Rocho Leal no fue puesto a disposición judicial hasta el domingo día 10 de noviembre de 2019 a las 10:00 horas.</w:t>
      </w:r>
    </w:p>
    <w:p w:rsidR="005728DD" w:rsidRDefault="005728DD" w:rsidP="005728DD">
      <w:pPr>
        <w:pStyle w:val="TextoNormal"/>
      </w:pPr>
    </w:p>
    <w:p w:rsidR="005728DD" w:rsidRDefault="005728DD" w:rsidP="005728DD">
      <w:pPr>
        <w:pStyle w:val="TextoNormal"/>
      </w:pPr>
      <w:r>
        <w:t xml:space="preserve">Añade de modo textual la demanda que “en el atestado consta que el instructor de la diligencia de comunicación a la autoridad judicial, informa acerca de la solicitud del procedimiento de </w:t>
      </w:r>
      <w:r w:rsidRPr="005728DD">
        <w:rPr>
          <w:i/>
        </w:rPr>
        <w:t>habeas corpus</w:t>
      </w:r>
      <w:r>
        <w:t>, al titular del Juzgado de Instrucción núm. 3 mediante llamada telefónica el 8 de noviembre de 2019 a las 23:40 horas, (subrayado en el texto de la demanda) diciendo el titular del juzgado en dicha comunicación telefónica que no resolverá hasta que lea la comparecencia que recogen las actuaciones policiales reseñadas en el atestado”.</w:t>
      </w:r>
    </w:p>
    <w:p w:rsidR="005728DD" w:rsidRDefault="005728DD" w:rsidP="005728DD">
      <w:pPr>
        <w:pStyle w:val="TextoNormal"/>
      </w:pPr>
    </w:p>
    <w:p w:rsidR="005728DD" w:rsidRDefault="005728DD" w:rsidP="005728DD">
      <w:pPr>
        <w:pStyle w:val="TextoNormal"/>
      </w:pPr>
      <w:r>
        <w:t xml:space="preserve">La demanda, después de incorporar a su contenido copia del escrito de solicitud del procedimiento de </w:t>
      </w:r>
      <w:r w:rsidRPr="005728DD">
        <w:rPr>
          <w:i/>
        </w:rPr>
        <w:t>habeas corpus</w:t>
      </w:r>
      <w:r>
        <w:t xml:space="preserve">, que presentó a los policías actuantes el letrado que asistía al demandante, junto con fotocopias del atestado policial, recoge la cita del fundamento jurídico 1 de la STC 72/2019, de 20 de mayo, que transcribe, y reitera su denuncia de que “una vez más ha sido incumplida [la doctrina de este tribunal] haciendo ineficaz y dejando sin contenido expresamente lo que dispone el tan vulnerado art. 1 de la Ley Orgánica reguladora del procedimiento de </w:t>
      </w:r>
      <w:r w:rsidRPr="005728DD">
        <w:rPr>
          <w:i/>
        </w:rPr>
        <w:t>habeas corpus</w:t>
      </w:r>
      <w:r>
        <w:t xml:space="preserve"> y su exposición de motivos” de la que recoge un párrafo </w:t>
      </w:r>
      <w:r>
        <w:lastRenderedPageBreak/>
        <w:t>en el que se hace referencia a la necesidad de que el órgano judicial verifique inmediatamente la legalidad y las condiciones de la detención.</w:t>
      </w:r>
    </w:p>
    <w:p w:rsidR="005728DD" w:rsidRDefault="005728DD" w:rsidP="005728DD">
      <w:pPr>
        <w:pStyle w:val="TextoNormal"/>
      </w:pPr>
    </w:p>
    <w:p w:rsidR="005728DD" w:rsidRDefault="005728DD" w:rsidP="005728DD">
      <w:pPr>
        <w:pStyle w:val="TextoNormal"/>
      </w:pPr>
      <w:r>
        <w:t>Igualmente, dedica un apartado a considerar que ha agotado la vía judicial previa sin que sea necesario promover el incidente extraordinario de nulidad de actuaciones. A tal fin, hace referencia a la STC 216/2013, de 19 de diciembre, que declaró que “basta comprobar que los órganos judiciales han tenido la oportunidad de pronunciarse sobre los derechos fundamentales luego invocados en vía de amparo constitucional, para estimar cumplido el requisito de agotamiento de la vía judicial previa. Lo contrario, dice, supondría cerrar la vía de amparo constitucional con un enfoque formalista y confundir la lógica del carácter subsidiario de su configuración”.</w:t>
      </w:r>
    </w:p>
    <w:p w:rsidR="005728DD" w:rsidRDefault="005728DD" w:rsidP="005728DD">
      <w:pPr>
        <w:pStyle w:val="TextoNormal"/>
      </w:pPr>
    </w:p>
    <w:p w:rsidR="005728DD" w:rsidRDefault="005728DD" w:rsidP="005728DD">
      <w:pPr>
        <w:pStyle w:val="TextoNormal"/>
      </w:pPr>
      <w:r>
        <w:t>Respecto del caso de autos, pone de manifiesto la demanda que no hubiera tenido ningún sentido promover el incidente de nulidad de actuaciones “ya que al tener que dar traslado al fiscal y en su caso al resto de partes se hubiera proveído y resuelto después de ser puesto a disposición judicial, esto es, al día siguiente del dictado del referido auto, como se puede comprobar en las actuaciones”.</w:t>
      </w:r>
    </w:p>
    <w:p w:rsidR="005728DD" w:rsidRDefault="005728DD" w:rsidP="005728DD">
      <w:pPr>
        <w:pStyle w:val="TextoNormal"/>
      </w:pPr>
    </w:p>
    <w:p w:rsidR="005728DD" w:rsidRDefault="005728DD" w:rsidP="005728DD">
      <w:pPr>
        <w:pStyle w:val="TextoNormal"/>
      </w:pPr>
      <w:r>
        <w:t xml:space="preserve">La demanda justifica la especial transcendencia constitucional del recurso en la consideración de que concurre el supuesto previsto en el FJ 2 e) de la STC 155/2009, de 25 de junio. Entiende que el órgano judicial que intervino en el procedimiento de </w:t>
      </w:r>
      <w:r w:rsidRPr="005728DD">
        <w:rPr>
          <w:i/>
        </w:rPr>
        <w:t>habeas corpus</w:t>
      </w:r>
      <w:r>
        <w:t xml:space="preserve">, ha incumplido la doctrina de este tribunal “en relación con la inmediata puesta a disposición judicial una vez solicitado el </w:t>
      </w:r>
      <w:r w:rsidRPr="005728DD">
        <w:rPr>
          <w:i/>
        </w:rPr>
        <w:t>habeas corpus</w:t>
      </w:r>
      <w:r>
        <w:t>”. Finaliza solicitando la declaración de nulidad del auto de 9 de noviembre de 2019 del Juzgado de Instrucción núm. 3 de Badajoz.</w:t>
      </w:r>
    </w:p>
    <w:p w:rsidR="005728DD" w:rsidRDefault="005728DD" w:rsidP="005728DD">
      <w:pPr>
        <w:pStyle w:val="TextoNormal"/>
      </w:pPr>
    </w:p>
    <w:p w:rsidR="005728DD" w:rsidRDefault="005728DD" w:rsidP="005728DD">
      <w:pPr>
        <w:pStyle w:val="TextoNormal"/>
      </w:pPr>
      <w:r w:rsidRPr="005728DD">
        <w:rPr>
          <w:rStyle w:val="NumeroAFNegritaCaracter"/>
        </w:rPr>
        <w:t>4</w:t>
      </w:r>
      <w:r>
        <w:t>. En fecha 4 de noviembre de 2020, la Sección Cuarta de este tribunal acordó la admisión a trámite del presente recurso, apreciando que concurre en el mismo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5728DD" w:rsidRDefault="005728DD" w:rsidP="005728DD">
      <w:pPr>
        <w:pStyle w:val="TextoNormal"/>
      </w:pPr>
    </w:p>
    <w:p w:rsidR="005728DD" w:rsidRDefault="005728DD" w:rsidP="005728DD">
      <w:pPr>
        <w:pStyle w:val="TextoNormal"/>
      </w:pPr>
      <w:r>
        <w:t xml:space="preserve">Igualmente, la providencia dispuso que, “en aplicación de lo dispuesto en el art. 51 LOTC, diríjase atenta comunicación al Juzgado de Instrucción núm. 3 de Badajoz a fin de que, en plazo que no exceda de diez días, remita certificación o copia adverada de las actuaciones correspondientes al procedimiento de </w:t>
      </w:r>
      <w:r w:rsidRPr="005728DD">
        <w:rPr>
          <w:i/>
        </w:rPr>
        <w:t>habeas corpus</w:t>
      </w:r>
      <w:r>
        <w:t xml:space="preserve"> núm 4-2019, debiendo emplazarse previamente, en su caso, a quienes hubieran sido parte en el procedimiento para que puedan comparecer en el presente recurso de amparo”.</w:t>
      </w:r>
    </w:p>
    <w:p w:rsidR="005728DD" w:rsidRDefault="005728DD" w:rsidP="005728DD">
      <w:pPr>
        <w:pStyle w:val="TextoNormal"/>
      </w:pPr>
    </w:p>
    <w:p w:rsidR="005728DD" w:rsidRDefault="005728DD" w:rsidP="005728DD">
      <w:pPr>
        <w:pStyle w:val="TextoNormal"/>
      </w:pPr>
      <w:r>
        <w:t>Una vez recibidas las actuaciones, por medio de diligencia de ordenación de 18 de noviembre de 2020, se acordó dar vista de las actuaciones y se concedió un plazo común de veinte días para que la parte recurrente y el Ministerio Fiscal pudieran presentar las alegaciones que tuvieran por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5</w:t>
      </w:r>
      <w:r>
        <w:t>. El día 1 de diciembre de 2020, tuvo entrada en el registro de este tribunal el escrito de alegaciones de la representación del demandante, que se limitó a ratificar en su integridad el contenido y pretensión sostenida en la demanda.</w:t>
      </w:r>
    </w:p>
    <w:p w:rsidR="005728DD" w:rsidRDefault="005728DD" w:rsidP="005728DD">
      <w:pPr>
        <w:pStyle w:val="TextoNormal"/>
      </w:pPr>
    </w:p>
    <w:p w:rsidR="005728DD" w:rsidRDefault="005728DD" w:rsidP="005728DD">
      <w:pPr>
        <w:pStyle w:val="TextoNormal"/>
      </w:pPr>
      <w:r w:rsidRPr="005728DD">
        <w:rPr>
          <w:rStyle w:val="NumeroAFNegritaCaracter"/>
        </w:rPr>
        <w:t>6</w:t>
      </w:r>
      <w:r>
        <w:t>. El día 9 de diciembre de 2020, el Ministerio Fiscal presentó su escrito de alegaciones en el que interesó la desestimación del recurso de amparo y, de modo subsidiario, su estimación, por entender vulnerado el derecho a la libertad personal del demandante (art. 17, apartados 1 y 4 CE), y la anulación del auto de 9 de noviembre de 2019 del Juzgado de Instrucción núm. 3 de Badajoz.</w:t>
      </w:r>
    </w:p>
    <w:p w:rsidR="005728DD" w:rsidRDefault="005728DD" w:rsidP="005728DD">
      <w:pPr>
        <w:pStyle w:val="TextoNormal"/>
      </w:pPr>
    </w:p>
    <w:p w:rsidR="005728DD" w:rsidRDefault="005728DD" w:rsidP="005728DD">
      <w:pPr>
        <w:pStyle w:val="TextoNormal"/>
      </w:pPr>
      <w:r>
        <w:t xml:space="preserve">La fiscal, después de hacer una detenida exposición de los antecedentes de hecho que considera relevantes al caso y de la cita de la STC 21/2018, de 5 de marzo, FJ 2 b), señala que el demandante “articula su demanda por la vía del art. 44 LOTC, y lo dirige en exclusividad contra la decisión judicial denegatoria de la incoación del procedimiento del </w:t>
      </w:r>
      <w:r w:rsidRPr="005728DD">
        <w:rPr>
          <w:i/>
        </w:rPr>
        <w:t>habeas corpus</w:t>
      </w:r>
      <w:r>
        <w:t>”, por lo que entiende que concurre la causa de inadmisión, “ahora desestimación, prevista en el art. 44. 1 a) LOTC por no haberse interpuesto el pertinente incidente de nulidad de actuaciones”. Agrega que la demanda no ha alegado nada en contra de la actuación policial, que permitiera su incardinación por la vía del art. 43 LOTC “dándose la circunstancia de que en tal caso, además, el amparo sería extemporáneo”.</w:t>
      </w:r>
    </w:p>
    <w:p w:rsidR="005728DD" w:rsidRDefault="005728DD" w:rsidP="005728DD">
      <w:pPr>
        <w:pStyle w:val="TextoNormal"/>
      </w:pPr>
    </w:p>
    <w:p w:rsidR="005728DD" w:rsidRDefault="005728DD" w:rsidP="005728DD">
      <w:pPr>
        <w:pStyle w:val="TextoNormal"/>
      </w:pPr>
      <w:r>
        <w:t xml:space="preserve">Seguidamente, la fiscal interesa subsidiariamente la estimación del recurso de amparo por vulneración del derecho a la libertad personal. A tal fin, recoge una extensa cita de la STC 72/2019, de 20 de mayo, FJ 2, y añade que, en el presente caso, el letrado del demandante “presentó solicitud de </w:t>
      </w:r>
      <w:r w:rsidRPr="005728DD">
        <w:rPr>
          <w:i/>
        </w:rPr>
        <w:t>habeas corpus</w:t>
      </w:r>
      <w:r>
        <w:t xml:space="preserve"> a última hora del día 8 de noviembre de 2019, alegando haber sido detenido sin motivo alguno y haberse llevado a cabo dicha detención de forma innecesariamente violenta, identificando a algunas personas que serían testigos presenciales de los hechos y que estaban dispuestos a declarar” a lo que el juzgado de instrucción, con informe favorable del fiscal, denegó la incoación del procedimiento con el argumento de que le había sido imputado un delito de atentado contra agente de la autoridad, por lo que la detención cumplía los requisitos del art. 492 LECrim.</w:t>
      </w:r>
    </w:p>
    <w:p w:rsidR="005728DD" w:rsidRDefault="005728DD" w:rsidP="005728DD">
      <w:pPr>
        <w:pStyle w:val="TextoNormal"/>
      </w:pPr>
    </w:p>
    <w:p w:rsidR="005728DD" w:rsidRDefault="005728DD" w:rsidP="005728DD">
      <w:pPr>
        <w:pStyle w:val="TextoNormal"/>
      </w:pPr>
      <w:r>
        <w:t xml:space="preserve">Según destaca la fiscal ante este tribunal, en el auto ahora impugnado lo que hizo el juzgado fue adoptar la decisión de fondo sobre la legalidad de la privación de libertad gubernativa del demandante (art. 6 LOHC), sin haber llegado a incoar el procedimiento. Tal actuación supone, a su juicio, la vulneración del derecho a la libertad (art. 17.1 y 4 CE), “por la privación de la plena sustanciación del procedimiento de </w:t>
      </w:r>
      <w:r w:rsidRPr="005728DD">
        <w:rPr>
          <w:i/>
        </w:rPr>
        <w:t>habeas corpus</w:t>
      </w:r>
      <w:r>
        <w:t xml:space="preserve"> y haberse frustrado el control judicial de la privación de libertad gubernativa de que era objeto el demandante”.</w:t>
      </w:r>
    </w:p>
    <w:p w:rsidR="005728DD" w:rsidRDefault="005728DD" w:rsidP="005728DD">
      <w:pPr>
        <w:pStyle w:val="TextoNormal"/>
      </w:pPr>
    </w:p>
    <w:p w:rsidR="005728DD" w:rsidRDefault="005728DD" w:rsidP="005728DD">
      <w:pPr>
        <w:pStyle w:val="TextoNormal"/>
      </w:pPr>
      <w:r w:rsidRPr="005728DD">
        <w:rPr>
          <w:rStyle w:val="NumeroAFNegritaCaracter"/>
        </w:rPr>
        <w:t>7</w:t>
      </w:r>
      <w:r>
        <w:t>. Por medio de providencia de 16 de febrero de 2021, el Pleno de este tribunal acordó aprobar la propuesta de avocación realizada por providencia de la Sala Segunda de este tribunal de 25 de enero anterior y recabar para sí el conocimiento de este recurso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providencia de fecha 16 de marzo de 2021, se señaló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 xml:space="preserve">La demanda de amparo impugna el auto de 9 de noviembre de 2019, dictado por el Juzgado de Instrucción núm. 3 de Badajoz, que, como juzgado en funciones de guardia, acordó denegar la incoación del procedimiento de </w:t>
      </w:r>
      <w:r w:rsidRPr="005728DD">
        <w:rPr>
          <w:i/>
        </w:rPr>
        <w:t>habeas corpus</w:t>
      </w:r>
      <w:r>
        <w:t xml:space="preserve"> solicitado por el letrado que asistía al detenido, ahora demandante de amparo, en unas diligencias policiales abiertas al mismo por la comisión de un presunto delito de atentado a agentes de la autoridad.</w:t>
      </w:r>
    </w:p>
    <w:p w:rsidR="005728DD" w:rsidRDefault="005728DD" w:rsidP="005728DD">
      <w:pPr>
        <w:pStyle w:val="TextoNormal"/>
      </w:pPr>
    </w:p>
    <w:p w:rsidR="005728DD" w:rsidRDefault="005728DD" w:rsidP="005728DD">
      <w:pPr>
        <w:pStyle w:val="TextoNormal"/>
      </w:pPr>
      <w:r>
        <w:t xml:space="preserve">La demanda invoca la vulneración del derecho a la libertad personal, en relación con el derecho a la tutela judicial efectiva, así como a la defensa y a un proceso con todas las garantías. Aunque enunciadas de modo confuso en la demanda, el recurrente deduce, en realidad, dos pretensiones de amparo: de una parte, invoca la vulneración del derecho a la libertad personal porque entiende que, pese a la solicitud de </w:t>
      </w:r>
      <w:r w:rsidRPr="005728DD">
        <w:rPr>
          <w:i/>
        </w:rPr>
        <w:t>habeas corpus</w:t>
      </w:r>
      <w:r>
        <w:t xml:space="preserve">, presentada por el letrado defensor que le asistía a última hora del día de la detención, esto es a las 23:30 horas del día 8 de noviembre de 2019, el detenido no fue inmediatamente puesto a disposición de la autoridad judicial, sino que esta solo se hizo efectiva a las 10:00 horas del día 10 de noviembre de 2019. Y, de otro lado, alega la vulneración del derecho a la libertad personal, en relación con los derechos a la tutela judicial efectiva, a la defensa y a un proceso con todas las garantías, porque considera que el juzgado no ha realizado el control judicial de la detención que le había sido instado mediante la solicitud de </w:t>
      </w:r>
      <w:r w:rsidRPr="005728DD">
        <w:rPr>
          <w:i/>
        </w:rPr>
        <w:t>habeas corpus</w:t>
      </w:r>
      <w:r>
        <w:t>, presentada por el letrado que le asistía en su defensa. El juzgado denegó la incoación del correspondiente procedimiento y decretó el archivo de las actuaciones sin haber llevado a efecto aquel control.</w:t>
      </w:r>
    </w:p>
    <w:p w:rsidR="005728DD" w:rsidRDefault="005728DD" w:rsidP="005728DD">
      <w:pPr>
        <w:pStyle w:val="TextoNormal"/>
      </w:pPr>
    </w:p>
    <w:p w:rsidR="005728DD" w:rsidRDefault="005728DD" w:rsidP="005728DD">
      <w:pPr>
        <w:pStyle w:val="TextoNormal"/>
      </w:pPr>
      <w:r>
        <w:t xml:space="preserve">Por su parte, el Ministerio Fiscal solicita, primeramente, la desestimación del recurso de amparo porque entiende que el demandante no ha agotado la vía judicial previa. A su parecer, este debería haber promovido incidente extraordinario de nulidad de actuaciones, antes de haber acudido a esta vía subsidiaria de amparo, toda vez que únicamente ha impugnado la resolución judicial denegatoria de la apertura del procedimiento de </w:t>
      </w:r>
      <w:r w:rsidRPr="005728DD">
        <w:rPr>
          <w:i/>
        </w:rPr>
        <w:t>habeas corpus</w:t>
      </w:r>
      <w:r>
        <w:t xml:space="preserve"> y ha formulado su demanda por la vía del art. 44 LOTC; además, señala que, de ser la vulneración imputable en exclusiva a las actuaciones policiales, el recurso sería extemporáneo por haber sido presentado fuera de plazo. De modo subsidiario, para el caso de que este tribunal no acogiera esta solicitud principal, interesa la estimación del recurso, la declaración de haber sido vulnerado el derecho a la libertad personal del recurrente y la anulación del auto de 9 de noviembre de 2019 del juzgado de instrucción.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Óbice procesal</w:t>
      </w:r>
      <w:r>
        <w:t>.</w:t>
      </w:r>
    </w:p>
    <w:p w:rsidR="005728DD" w:rsidRDefault="005728DD" w:rsidP="005728DD">
      <w:pPr>
        <w:pStyle w:val="TextoNormal"/>
      </w:pPr>
    </w:p>
    <w:p w:rsidR="005728DD" w:rsidRDefault="005728DD" w:rsidP="005728DD">
      <w:pPr>
        <w:pStyle w:val="TextoNormal"/>
      </w:pPr>
      <w:r>
        <w:t>A) El análisis del óbice de falta de agotamiento, unido al de extemporaneidad, alegado por el Ministerio Fiscal para interesar, de modo principal, la “desestimación” del recurso, es la razón por la que la Sala Segunda decidió proponer la avocación al Pleno de este recurso, que ha sido aceptada por medio de providencia de 16 de febrero de 2021, tal y como así queda reflejado en los antecedentes.</w:t>
      </w:r>
    </w:p>
    <w:p w:rsidR="005728DD" w:rsidRDefault="005728DD" w:rsidP="005728DD">
      <w:pPr>
        <w:pStyle w:val="TextoNormal"/>
      </w:pPr>
    </w:p>
    <w:p w:rsidR="005728DD" w:rsidRDefault="005728DD" w:rsidP="005728DD">
      <w:pPr>
        <w:pStyle w:val="TextoNormal"/>
      </w:pPr>
      <w:r>
        <w:t xml:space="preserve">La doctrina de este tribunal no ha sido uniforme en relación con la exigencia de promover el incidente extraordinario de nulidad de actuaciones del art. 241 LOPJ, como requisito para agotar la vía judicial previa en los supuestos de recursos de amparo formalizados contra resoluciones judiciales recaídas en procedimientos de </w:t>
      </w:r>
      <w:r w:rsidRPr="005728DD">
        <w:rPr>
          <w:i/>
        </w:rPr>
        <w:t>habeas corpus</w:t>
      </w:r>
      <w:r>
        <w:t xml:space="preserve">, lo que, a su vez, ha generado dudas razonables en la práctica procesal acerca de la necesidad de interponer o no </w:t>
      </w:r>
      <w:r>
        <w:lastRenderedPageBreak/>
        <w:t>dicho incidente. Se trata, por tanto, de que este tribunal, a partir de las particularidades que ofrece el caso de autos, establezca un criterio doctrinal que: (i) aporte claridad sobre la procedencia o no del incidente de nulidad de actuaciones en estos supuestos, y (ii) de estimar dicha procedencia, en qué casos debe ser promovido aquel.</w:t>
      </w:r>
    </w:p>
    <w:p w:rsidR="005728DD" w:rsidRDefault="005728DD" w:rsidP="005728DD">
      <w:pPr>
        <w:pStyle w:val="TextoNormal"/>
      </w:pPr>
    </w:p>
    <w:p w:rsidR="005728DD" w:rsidRDefault="005728DD" w:rsidP="005728DD">
      <w:pPr>
        <w:pStyle w:val="TextoNormal"/>
      </w:pPr>
      <w:r>
        <w:t xml:space="preserve">El estudio detallado de los numerosos pronunciamientos de este tribunal, recaídos en recursos de amparo que, a semejanza del caso de autos, fueron interpuestos contra resoluciones judiciales denegatorias de la admisión a trámite de solicitudes de </w:t>
      </w:r>
      <w:r w:rsidRPr="005728DD">
        <w:rPr>
          <w:i/>
        </w:rPr>
        <w:t>habeas corpus</w:t>
      </w:r>
      <w:r>
        <w:t xml:space="preserve"> ha pasado, a partir de la reforma introducida en el art. 241.1 LOPJ por la Ley Orgánica 6/2007, de 24 de mayo, por sucesivas etapas en los que la previa formalización del incidente extraordinario de nulidad de actuaciones ha incidido o no en el sentido y alcance de sus fallos sobre las cuestiones de fondo debatidas en los mismos:</w:t>
      </w:r>
    </w:p>
    <w:p w:rsidR="005728DD" w:rsidRDefault="005728DD" w:rsidP="005728DD">
      <w:pPr>
        <w:pStyle w:val="TextoNormal"/>
      </w:pPr>
    </w:p>
    <w:p w:rsidR="005728DD" w:rsidRDefault="005728DD" w:rsidP="005728DD">
      <w:pPr>
        <w:pStyle w:val="TextoNormal"/>
      </w:pPr>
      <w:r>
        <w:t xml:space="preserve">a) En un primer momento, este tribunal no objetó, ni de oficio ni tampoco a instancia de parte o del Ministerio Fiscal, la necesidad de promover el indicado incidente de nulidad para agotar la vía judicial previa. Tal es el caso, entre otras, de las SSTC 165/2007, de 2 de julio, 88/2011, de 6 de junio, o 95/2012, de 7 de mayo. En todas las indicadas, relativas a alegadas vulneraciones del derecho fundamental a la libertad personal semejantes a las ahora denunciadas, y que, en síntesis, versaban sobre la injustificada tardanza en la resolución judicial sobre la admisibilidad de la solicitud de </w:t>
      </w:r>
      <w:r w:rsidRPr="005728DD">
        <w:rPr>
          <w:i/>
        </w:rPr>
        <w:t>habeas corpus</w:t>
      </w:r>
      <w:r>
        <w:t xml:space="preserve"> presentada, en la puesta a disposición judicial del detenido y en el control judicial de la detención, fueron resueltas en sentido estimatorio por este tribunal, sin hacer referencia alguna a la necesidad de promover previamente el incidente de nulidad de actuaciones.</w:t>
      </w:r>
    </w:p>
    <w:p w:rsidR="005728DD" w:rsidRDefault="005728DD" w:rsidP="005728DD">
      <w:pPr>
        <w:pStyle w:val="TextoNormal"/>
      </w:pPr>
    </w:p>
    <w:p w:rsidR="005728DD" w:rsidRDefault="005728DD" w:rsidP="005728DD">
      <w:pPr>
        <w:pStyle w:val="TextoNormal"/>
      </w:pPr>
      <w:r>
        <w:t xml:space="preserve">b) En una larga relación de pronunciamientos en los que la parte demandante o el Ministerio Fiscal impugnó, no solo el auto denegatorio de la admisión a trámite de la solicitud de </w:t>
      </w:r>
      <w:r w:rsidRPr="005728DD">
        <w:rPr>
          <w:i/>
        </w:rPr>
        <w:t>habeas corpus</w:t>
      </w:r>
      <w:r>
        <w:t>, sino también la resolución que inadmitió o desestimó el incidente de nulidad de actuaciones promovido contra aquel, el tribunal, ni suscitó ni tampoco hizo referencia a la procedencia de este incidente, sino que pasó a resolver directamente en relación con la alegada vulneración del art. 17.4 CE (SSTC 12/2014, de 27 de enero; 32/2014, de 24 de febrero; 195/2014, de 1 de diciembre, y 42/2015, de 2 de marzo, entre otras).</w:t>
      </w:r>
    </w:p>
    <w:p w:rsidR="005728DD" w:rsidRDefault="005728DD" w:rsidP="005728DD">
      <w:pPr>
        <w:pStyle w:val="TextoNormal"/>
      </w:pPr>
    </w:p>
    <w:p w:rsidR="005728DD" w:rsidRDefault="005728DD" w:rsidP="005728DD">
      <w:pPr>
        <w:pStyle w:val="TextoNormal"/>
      </w:pPr>
      <w:r>
        <w:t xml:space="preserve">Fue, sin embargo, a partir del ATC 73/2015, de 21 de abril, desestimatorio de un recurso de súplica interpuesto por el Ministerio Fiscal contra una providencia de la Sala Primera, Sección Segunda, que había inadmitido a trámite el recurso de amparo interpuesto contra una resolución judicial denegatoria de la admisión a trámite de un procedimiento de </w:t>
      </w:r>
      <w:r w:rsidRPr="005728DD">
        <w:rPr>
          <w:i/>
        </w:rPr>
        <w:t>habeas corpus</w:t>
      </w:r>
      <w:r>
        <w:t>, cuando este tribunal razonó sobre la procedencia del incidente de nulidad de actuaciones y vino a exigir su previa formalización para entender agotada la vía judicial en un caso en el que el recurso de amparo había impugnado, en exclusiva y por la alegada vulneración del art. 17.4 CE, aquella resolución denegatoria. Con posterioridad, no se ha suscitado esta cuestión en las resoluciones de este tribunal relativas a la alegada vulneración del art. 17.4 CE, pues todos aquellos recursos de amparo vinieron precedidos del incidente de nulidad de actuaciones (STC 204/2015, de 5 de octubre y más recientemente SSTC 72/2019, de 20 de mayo, y 181/2020, de 14 de diciembre, por todas).</w:t>
      </w:r>
    </w:p>
    <w:p w:rsidR="005728DD" w:rsidRDefault="005728DD" w:rsidP="005728DD">
      <w:pPr>
        <w:pStyle w:val="TextoNormal"/>
      </w:pPr>
    </w:p>
    <w:p w:rsidR="005728DD" w:rsidRDefault="005728DD" w:rsidP="005728DD">
      <w:pPr>
        <w:pStyle w:val="TextoNormal"/>
      </w:pPr>
      <w:r>
        <w:t xml:space="preserve">c) Por último, una tercera alternativa resolutoria ha quedado reflejada en la STC 21/2018, de 5 de marzo, en la que, con ocasión de enjuiciar un recurso de amparo mixto, en el que se denunciaban eventuales vulneraciones del derecho fundamental a la libertad personal del </w:t>
      </w:r>
      <w:r>
        <w:lastRenderedPageBreak/>
        <w:t xml:space="preserve">art. 17 CE, una imputable a los funcionarios policiales (art. 17.3 CE) y la otra, de modo exclusivo, a la resolución judicial denegatoria de la incoación del procedimiento de </w:t>
      </w:r>
      <w:r w:rsidRPr="005728DD">
        <w:rPr>
          <w:i/>
        </w:rPr>
        <w:t>habeas corpus</w:t>
      </w:r>
      <w:r>
        <w:t xml:space="preserve"> (art. 17.4 CE), el tribunal desestimó, por falta de agotamiento de la vía judicial previa [art. 44.1 a) LOTC], la última de las quejas citadas, aunque, en cambio, se pronunció sobre la formulada contra la actuación de los funcionarios policiales en la detención, resolviendo sobre la misma.</w:t>
      </w:r>
    </w:p>
    <w:p w:rsidR="005728DD" w:rsidRDefault="005728DD" w:rsidP="005728DD">
      <w:pPr>
        <w:pStyle w:val="TextoNormal"/>
      </w:pPr>
    </w:p>
    <w:p w:rsidR="005728DD" w:rsidRDefault="005728DD" w:rsidP="005728DD">
      <w:pPr>
        <w:pStyle w:val="TextoNormal"/>
      </w:pPr>
      <w:r>
        <w:t xml:space="preserve">Como se deduce de los anteriores supuestos enunciados, el tribunal no ha mantenido un criterio uniforme en el enjuiciamiento y resolución de casos en los que el presupuesto de hecho ha sido la denunciada vulneración del derecho a la libertad personal del art. 17 CE, bien en referencia exclusiva a la garantía del procedimiento de </w:t>
      </w:r>
      <w:r w:rsidRPr="005728DD">
        <w:rPr>
          <w:i/>
        </w:rPr>
        <w:t>habeas corpus</w:t>
      </w:r>
      <w:r>
        <w:t xml:space="preserve"> (art. 17.4 CE), bien en conexión con quejas por la infracción de otras manifestaciones del derecho reconocido en el art. 17 CE. Razones de seguridad jurídica imponen la fijación de una doctrina que permita esclarecer la exigencia o no del incidente extraordinario de nulidad de actuaciones del art. 241 LOPJ en los supuestos en que, de modo exclusivo o bien en combinación con otras quejas, aparezca denunciada la vulneración del derecho fundamental a la libertad personal y la garantía que comporta el procedimiento de</w:t>
      </w:r>
      <w:r w:rsidRPr="005728DD">
        <w:rPr>
          <w:i/>
        </w:rPr>
        <w:t xml:space="preserve"> habeas corpu</w:t>
      </w:r>
      <w:r>
        <w:t>s.</w:t>
      </w:r>
    </w:p>
    <w:p w:rsidR="005728DD" w:rsidRDefault="005728DD" w:rsidP="005728DD">
      <w:pPr>
        <w:pStyle w:val="TextoNormal"/>
      </w:pPr>
    </w:p>
    <w:p w:rsidR="005728DD" w:rsidRDefault="005728DD" w:rsidP="005728DD">
      <w:pPr>
        <w:pStyle w:val="TextoNormal"/>
      </w:pPr>
      <w:r>
        <w:t>Por ello, antes de abordar el análisis del óbice alegado por el Ministerio Fiscal, es preciso que el Pleno de este tribunal, por las citadas razones de seguridad jurídica y de clarificación, establezca un criterio doctrinal uniforme sobre la procedencia del incidente de nulidad de actuaciones en los casos citados.</w:t>
      </w:r>
    </w:p>
    <w:p w:rsidR="005728DD" w:rsidRDefault="005728DD" w:rsidP="005728DD">
      <w:pPr>
        <w:pStyle w:val="TextoNormal"/>
      </w:pPr>
    </w:p>
    <w:p w:rsidR="005728DD" w:rsidRDefault="005728DD" w:rsidP="005728DD">
      <w:pPr>
        <w:pStyle w:val="TextoNormal"/>
      </w:pPr>
      <w:r>
        <w:t xml:space="preserve">B) No resulta ocioso señalar que el art. 17 CE, después de reconocer el derecho a la libertad personal, establece un sistema de garantías destinado a preservar su efectividad. Destaca entre ellas, por su relevancia, la del procedimiento de </w:t>
      </w:r>
      <w:r w:rsidRPr="005728DD">
        <w:rPr>
          <w:i/>
        </w:rPr>
        <w:t>habeas corpus</w:t>
      </w:r>
      <w:r>
        <w:t>, en cuanto instrumento procesal específicamente destinado a su defensa y protección. Tampoco debemos dejar de advertir, por su obviedad, que, como tal garantía del derecho a la libertad, este procedimiento aparece incluido en el propio precepto constitucional de referencia. Así, “el constituyente quiso que la libertad del art. 17 CE fuera el único derecho fundamental que contuviera una garantía adicional, única y específica en el marco de los derechos fundamentales reconocidos por nuestra Constitución, consistente en un mecanismo ‘ad hoc’ para evitar y hacer cesar de manera inmediata las vulneraciones del derecho mediante la puesta a disposición ante el órgano judicial de la persona privada de libertad” (STC 208/2000, de 24 de julio, FJ 3).</w:t>
      </w:r>
    </w:p>
    <w:p w:rsidR="005728DD" w:rsidRDefault="005728DD" w:rsidP="005728DD">
      <w:pPr>
        <w:pStyle w:val="TextoNormal"/>
      </w:pPr>
    </w:p>
    <w:p w:rsidR="005728DD" w:rsidRDefault="005728DD" w:rsidP="005728DD">
      <w:pPr>
        <w:pStyle w:val="TextoNormal"/>
      </w:pPr>
      <w:r>
        <w:t xml:space="preserve">Por ello, el procedimiento de </w:t>
      </w:r>
      <w:r w:rsidRPr="005728DD">
        <w:rPr>
          <w:i/>
        </w:rPr>
        <w:t>habeas corpus</w:t>
      </w:r>
      <w:r>
        <w:t xml:space="preserve"> se sustenta sobre dos notas que le son propias; de una parte, la ya citada de la celeridad, en el sentido de que, con la mayor rapidez posible, el juez haga cesar la vulneración del derecho a la libertad; y, de otro lado, la inmediación, entendida esta última como la presencia del detenido ante el juez. Al respecto, el Tribunal ha declarado que “la esencia de este proceso consiste, precisamente,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(STC 37/2008, de 25 de febrero, FJ 3)” (STC 12/2014, de 27 de enero, FJ 3, y 72/2019, de 20 de mayo, FJ 2, por todas).</w:t>
      </w:r>
    </w:p>
    <w:p w:rsidR="005728DD" w:rsidRDefault="005728DD" w:rsidP="005728DD">
      <w:pPr>
        <w:pStyle w:val="TextoNormal"/>
      </w:pPr>
    </w:p>
    <w:p w:rsidR="005728DD" w:rsidRDefault="005728DD" w:rsidP="005728DD">
      <w:pPr>
        <w:pStyle w:val="TextoNormal"/>
      </w:pPr>
      <w:r>
        <w:lastRenderedPageBreak/>
        <w:t xml:space="preserve">De conformidad con las anteriores afirmaciones generales, el procedimiento de </w:t>
      </w:r>
      <w:r w:rsidRPr="005728DD">
        <w:rPr>
          <w:i/>
        </w:rPr>
        <w:t>habeas corpus</w:t>
      </w:r>
      <w:r>
        <w:t xml:space="preserve"> está derechamente encaminado a que un juez examine, con celeridad, la situación de privación no judicial de libertad de una persona, y se pronuncie, mediante resolución motivada, sobre las causas o las condiciones en que aquella se haya producido y esté teniendo lugar, a fin de proporcionar tutela efectiva al detenido.</w:t>
      </w:r>
    </w:p>
    <w:p w:rsidR="005728DD" w:rsidRDefault="005728DD" w:rsidP="005728DD">
      <w:pPr>
        <w:pStyle w:val="TextoNormal"/>
      </w:pPr>
    </w:p>
    <w:p w:rsidR="005728DD" w:rsidRDefault="005728DD" w:rsidP="005728DD">
      <w:pPr>
        <w:pStyle w:val="TextoNormal"/>
      </w:pPr>
      <w:r>
        <w:t>A partir del instante de su presentación, la solicitud debe provocar una inmediata respuesta motivada del órgano judicial (art. 1 LOHC), que podrá ser de inadmisión, denegando la tramitación del procedimiento, o de estimación o desestimación de aquella si supera aquel trámite inicial, pero, en todo caso, constituye la expresión de un mandato constitucional dirigido al órgano judicial que contiene la exigencia de una respuesta expresa y argumentada en derecho de este, debiendo tener como referente esencial de su razonamiento, la alegada vulneración del derecho a la libertad que se denuncia.</w:t>
      </w:r>
    </w:p>
    <w:p w:rsidR="005728DD" w:rsidRDefault="005728DD" w:rsidP="005728DD">
      <w:pPr>
        <w:pStyle w:val="TextoNormal"/>
      </w:pPr>
    </w:p>
    <w:p w:rsidR="005728DD" w:rsidRDefault="005728DD" w:rsidP="005728DD">
      <w:pPr>
        <w:pStyle w:val="TextoNormal"/>
      </w:pPr>
      <w:r>
        <w:t xml:space="preserve">Así pues, la única razón de ser del procedimiento previsto en la LOHC es la de actuar la defensa de este derecho fundamental, de tal manera que, cuando una persona cursa la solicitud e insta su incoación, la pretensión que ejercita guarda exclusiva relación con la vulneración del mismo, pues su ámbito no se extiende más allá del fin único para el que fue instaurado por el constituyente. Este vínculo estrecho entre el derecho fundamental y su garantía debe llevar a este tribunal a abordar una cuestión relevante para el </w:t>
      </w:r>
      <w:r w:rsidRPr="005728DD">
        <w:rPr>
          <w:i/>
        </w:rPr>
        <w:t>iter</w:t>
      </w:r>
      <w:r>
        <w:t xml:space="preserve"> procesal de las quejas en demanda de amparo por vulneración del derecho a la libertad, después de haber sido instadas ante los órganos judiciales mediante solicitudes de </w:t>
      </w:r>
      <w:r w:rsidRPr="005728DD">
        <w:rPr>
          <w:i/>
        </w:rPr>
        <w:t>habeas corpus</w:t>
      </w:r>
      <w:r>
        <w:t xml:space="preserve"> formalizadas ante los mismos. Veamos, a continuación, los distintos supuestos que pueden suceder:</w:t>
      </w:r>
    </w:p>
    <w:p w:rsidR="005728DD" w:rsidRDefault="005728DD" w:rsidP="005728DD">
      <w:pPr>
        <w:pStyle w:val="TextoNormal"/>
      </w:pPr>
    </w:p>
    <w:p w:rsidR="005728DD" w:rsidRDefault="005728DD" w:rsidP="005728DD">
      <w:pPr>
        <w:pStyle w:val="TextoNormal"/>
      </w:pPr>
      <w:r>
        <w:t xml:space="preserve">a) En primer lugar, abordamos el supuesto que no ha suscitado ninguna duda y que se refiere al caso en que el recurrente apoye su pretensión de amparo en la eventual vulneración del art. 17.4 CE cuando el órgano judicial, después de admitida a trámite la solicitud de </w:t>
      </w:r>
      <w:r w:rsidRPr="005728DD">
        <w:rPr>
          <w:i/>
        </w:rPr>
        <w:t>habeas corpus</w:t>
      </w:r>
      <w:r>
        <w:t xml:space="preserve"> e incoado el correspondiente procedimiento, oída en comparecencia la persona privada de libertad, asistida de letrado y con intervención del Ministerio Fiscal, dicte resolución desestimando la solicitud. En tal caso no será precisa la interposición del incidente extraordinario de nulidad de actuaciones para la presentación de la demanda de amparo. Consideramos que el órgano judicial ha conocido y resuelto sobre el hecho de la privación de libertad, de las causas que la motivaron, del tiempo de permanencia en aquella situación, así como de las demás condiciones en que la misma tuvo lugar, por lo que ha dado una respuesta motivada y proporcionado debida tutela al privado de libertad.</w:t>
      </w:r>
    </w:p>
    <w:p w:rsidR="005728DD" w:rsidRDefault="005728DD" w:rsidP="005728DD">
      <w:pPr>
        <w:pStyle w:val="TextoNormal"/>
      </w:pPr>
    </w:p>
    <w:p w:rsidR="005728DD" w:rsidRDefault="005728DD" w:rsidP="005728DD">
      <w:pPr>
        <w:pStyle w:val="TextoNormal"/>
      </w:pPr>
      <w:r>
        <w:t>Este supuesto resulta extensible, también, a los denominados recursos de amparo “mixtos”, esto es a los que las quejas sobre el derecho a la libertad personal del art. 17 CE, van dirigidas, de una parte, contra la actuación de las autoridades y funcionarios no judiciales y, de otro lado, contra el órgano judicial que, de conformidad con el art. 17.4 CE, haya controlado la privación de libertad y las condiciones de esta.</w:t>
      </w:r>
    </w:p>
    <w:p w:rsidR="005728DD" w:rsidRDefault="005728DD" w:rsidP="005728DD">
      <w:pPr>
        <w:pStyle w:val="TextoNormal"/>
      </w:pPr>
    </w:p>
    <w:p w:rsidR="005728DD" w:rsidRDefault="005728DD" w:rsidP="005728DD">
      <w:pPr>
        <w:pStyle w:val="TextoNormal"/>
      </w:pPr>
      <w:r>
        <w:t xml:space="preserve">b) La cuestión se localiza en la segunda modalidad de supuestos, esto es en el de los casos en que el juez ha denegado la incoación del procedimiento de </w:t>
      </w:r>
      <w:r w:rsidRPr="005728DD">
        <w:rPr>
          <w:i/>
        </w:rPr>
        <w:t>habeas corpus</w:t>
      </w:r>
      <w:r>
        <w:t xml:space="preserve"> y la demanda de amparo denuncia la vulneración del art. 17.4 CE, bien de modo exclusivo, bien en combinación con otras quejas derivadas de la actuación de autoridades o funcionarios no judiciales. En estos casos la doctrina de este tribunal no ha sido uniforme en lo que respecta a la exigencia del incidente extraordinario de nulidad de actuaciones para entender agotada </w:t>
      </w:r>
      <w:r>
        <w:lastRenderedPageBreak/>
        <w:t>la vía judicial previa. Como queda reflejado en el apartado A) de este fundamento jurídico, se han sucedido hasta tres etapas que han discurrido por diferentes alternativas, pasando desde el inicial punto de partida, en que no era requerida la interposición del incidente, hasta llegar a la exigencia del mismo e incluso, en algún pronunciamiento, delimitando la formalización de aquel incidente el agotamiento de la vía judicial para la queja apoyada en el art. 17.4 CE.</w:t>
      </w:r>
    </w:p>
    <w:p w:rsidR="005728DD" w:rsidRDefault="005728DD" w:rsidP="005728DD">
      <w:pPr>
        <w:pStyle w:val="TextoNormal"/>
      </w:pPr>
    </w:p>
    <w:p w:rsidR="005728DD" w:rsidRDefault="005728DD" w:rsidP="005728DD">
      <w:pPr>
        <w:pStyle w:val="TextoNormal"/>
      </w:pPr>
      <w:r>
        <w:t xml:space="preserve">En los precedentes que se han citado a partir del ya mencionado ATC 73/2015, este tribunal, denunciada la vulneración del art. 17.4 CE, ha tenido que verificar si fue promovido o no el incidente de nulidad de actuaciones, como paso previo a tener que decidir sobre la adecuación al derecho fundamental del art. 17.4 CE de resoluciones judiciales que denegaron la incoación del procedimiento de </w:t>
      </w:r>
      <w:r w:rsidRPr="005728DD">
        <w:rPr>
          <w:i/>
        </w:rPr>
        <w:t>habeas corpus</w:t>
      </w:r>
      <w:r>
        <w:t>. En tales casos y, como se ha indicado anteriormente, el Tribunal ha exigido la formalización del incidente extraordinario de nulidad de actuaciones del art. 241 LOPJ, aunque, también, en algún supuesto (STC 21/2018) haya rechazado el motivo de amparo del art. 17.4 CE por falta de agotamiento de la vía judicial previa al constatar que el incidente no había sido interpuesto, pero ha resuelto sobre los restantes motivos, que se habían apoyado en otros apartados del art. 17 CE.</w:t>
      </w:r>
    </w:p>
    <w:p w:rsidR="005728DD" w:rsidRDefault="005728DD" w:rsidP="005728DD">
      <w:pPr>
        <w:pStyle w:val="TextoNormal"/>
      </w:pPr>
    </w:p>
    <w:p w:rsidR="005728DD" w:rsidRDefault="005728DD" w:rsidP="005728DD">
      <w:pPr>
        <w:pStyle w:val="TextoNormal"/>
      </w:pPr>
      <w:r>
        <w:t>Hasta el momento presente, el tribunal ha declarado reiteradamente que la resolución del órgano judicial incurre en una vulneración del derecho a la tutela judicial efectiva, autónoma del derecho a la libertad, cuando aquel desatiende el mandato constitucional de realizar un control efectivo de la privación de libertad del detenido o de las condiciones en que aquella se llevó a efecto. Se ha entendido que la no formalización del incidente de nulidad de actuaciones deviene en un pronunciamiento de inadmisión o de desestimación del recurso de amparo por no haber dado la parte oportunidad al órgano judicial de pronunciarse sobre la vulneración del derecho y acudir directamente a esta vía subsidiaria del recurso de amparo.</w:t>
      </w:r>
    </w:p>
    <w:p w:rsidR="005728DD" w:rsidRDefault="005728DD" w:rsidP="005728DD">
      <w:pPr>
        <w:pStyle w:val="TextoNormal"/>
      </w:pPr>
    </w:p>
    <w:p w:rsidR="005728DD" w:rsidRDefault="005728DD" w:rsidP="005728DD">
      <w:pPr>
        <w:pStyle w:val="TextoNormal"/>
      </w:pPr>
      <w:r>
        <w:t xml:space="preserve">El Tribunal ha considerado que se trata de una pretensión autónoma en la que se denuncia la supuesta vulneración del derecho a que el juez competente para el conocimiento del </w:t>
      </w:r>
      <w:r w:rsidRPr="005728DD">
        <w:rPr>
          <w:i/>
        </w:rPr>
        <w:t>habeas corpus</w:t>
      </w:r>
      <w:r>
        <w:t xml:space="preserve"> dicte una resolución judicial motivada que tutele la privación de libertad del recurrente y de las condiciones de aquella. Sin embargo, esta pretensión de tutela judicial efectiva presenta unas peculiaridades específicas que la hacen diferente del resto de recursos de amparo en los que sea invocada la vulneración del art. 24.1 CE.</w:t>
      </w:r>
    </w:p>
    <w:p w:rsidR="005728DD" w:rsidRDefault="005728DD" w:rsidP="005728DD">
      <w:pPr>
        <w:pStyle w:val="TextoNormal"/>
      </w:pPr>
    </w:p>
    <w:p w:rsidR="005728DD" w:rsidRDefault="005728DD" w:rsidP="005728DD">
      <w:pPr>
        <w:pStyle w:val="TextoNormal"/>
      </w:pPr>
      <w:r>
        <w:t>El constituyente quiso dotar a este instrumento procesal de un diseño de tutela judicial efectiva propio y distinto de la genérica tutela del art. 24.1 CE. En la estructura constitucional del reconocimiento del derecho a la libertad personal del art. 17 CE decidió regular sistemáticamente ese procedimiento dentro del propio art. 17 CE, hasta el punto de integrarlo en un apartado específico, como garantía peculiar y exclusiva de aquel y singularizando, por tanto, la tutela judicial a este derecho, respecto del reconocimiento genérico del art. 24.1 CE.</w:t>
      </w:r>
    </w:p>
    <w:p w:rsidR="005728DD" w:rsidRDefault="005728DD" w:rsidP="005728DD">
      <w:pPr>
        <w:pStyle w:val="TextoNormal"/>
      </w:pPr>
    </w:p>
    <w:p w:rsidR="005728DD" w:rsidRDefault="005728DD" w:rsidP="005728DD">
      <w:pPr>
        <w:pStyle w:val="TextoNormal"/>
      </w:pPr>
      <w:r>
        <w:t xml:space="preserve">De este modo, el derecho a la libertad y el procedimiento de </w:t>
      </w:r>
      <w:r w:rsidRPr="005728DD">
        <w:rPr>
          <w:i/>
        </w:rPr>
        <w:t>habeas corpus</w:t>
      </w:r>
      <w:r>
        <w:t xml:space="preserve">, en cuanto garantía constitucional destinada a asegurar la efectividad de aquel mediante el control judicial de la privación de su ejercicio, están tan íntimamente conectados entre sí que no es posible concebir la existencia de este último si no es en relación con el ejercicio de aquel, pues este instrumento procesal solo es posible actuarlo para su debida protección y defensa. Esto es lo que, precisamente, diferencia esta vertiente del derecho a la tutela judicial que se </w:t>
      </w:r>
      <w:r>
        <w:lastRenderedPageBreak/>
        <w:t xml:space="preserve">actúa a través del procedimiento de </w:t>
      </w:r>
      <w:r w:rsidRPr="005728DD">
        <w:rPr>
          <w:i/>
        </w:rPr>
        <w:t>habeas corpus</w:t>
      </w:r>
      <w:r>
        <w:t xml:space="preserve"> respecto de la genérica del art. 24.1 CE. La Constitución la ha establecido como una modalidad tutelar específica, que es propia y exclusiva del derecho a la libertad personal, a diferencia de la tutela judicial que ofrece el derecho reconocido en el art. 24.1 CE, aplicable a todo tipo de procesos judiciales y de jurisdicciones, aun cuando, por su conexión con otros derechos fundamentales, deba tener aquella un carácter reforzado en ocasiones.</w:t>
      </w:r>
    </w:p>
    <w:p w:rsidR="005728DD" w:rsidRDefault="005728DD" w:rsidP="005728DD">
      <w:pPr>
        <w:pStyle w:val="TextoNormal"/>
      </w:pPr>
    </w:p>
    <w:p w:rsidR="005728DD" w:rsidRDefault="005728DD" w:rsidP="005728DD">
      <w:pPr>
        <w:pStyle w:val="TextoNormal"/>
      </w:pPr>
      <w:r>
        <w:t xml:space="preserve">Pues bien, si el diseño constitucional ha establecido un vínculo de conexión tan estrecho y exclusivo entre el derecho a la libertad y el procedimiento de </w:t>
      </w:r>
      <w:r w:rsidRPr="005728DD">
        <w:rPr>
          <w:i/>
        </w:rPr>
        <w:t>habeas corpus</w:t>
      </w:r>
      <w:r>
        <w:t>, en cuanto configurado este como genuina garantía de la defensa procesal de aquel, tal estructura constitucional tan peculiar debe ser tenida en consideración por este tribunal para proyectarla también sobre el enjuiciamiento de los recursos de amparo en los que se actúe una pretensión, ya lo sea de modo exclusivo por la eventual vulneración de la garantía reconocida en el art. 17.4 CE, ya lo sea por diversos motivos, algunos imputables a la autoridad o a funcionarios no judiciales, y otro, el último de aquellos, a la actuación del órgano judicial que debe controlar la privación de libertad padecida. En todos ellos, el núcleo común que los aglutina y les sirve de fundamento es el derecho a la libertad personal, de conformidad con el reconocimiento y sistema de garantías dispuesto por el art. 17 CE. En consecuencia, hemos de revisar nuestra anterior doctrina acerca del carácter autónomo de esta modalidad de tutela, por cuanto esta se halla circunscrita a la órbita de la eventual violación del derecho a la libertad personal, como garantía específica diseñada por el constituyente para la protección de aquella.</w:t>
      </w:r>
    </w:p>
    <w:p w:rsidR="005728DD" w:rsidRDefault="005728DD" w:rsidP="005728DD">
      <w:pPr>
        <w:pStyle w:val="TextoNormal"/>
      </w:pPr>
    </w:p>
    <w:p w:rsidR="005728DD" w:rsidRDefault="005728DD" w:rsidP="005728DD">
      <w:pPr>
        <w:pStyle w:val="TextoNormal"/>
      </w:pPr>
      <w:r>
        <w:t>Por tanto, en el trámite del recurso de amparo, cuando el demandante denuncie la vulneración de su derecho a la libertad personal y lo haga invocando, bien de modo exclusivo el art. 17.4 CE, bien, de forma conjunta, determinadas quejas, eventualmente imputables a autoridades o funcionarios gubernativos y, también, a autoridades judiciales, pero todas encuadrables en el ámbito del art. 17 CE, no debe este tribunal dejar de enjuiciar la totalidad de las mismas porque, de lo contrario, no llegaríamos a realizar un juicio de constitucionalidad sobre la actuación de los poderes públicos en la adopción de medidas limitativas de un derecho fundamental como es la libertad personal, que es además, un valor superior del ordenamiento jurídico (art. 1.1 CE).</w:t>
      </w:r>
    </w:p>
    <w:p w:rsidR="005728DD" w:rsidRDefault="005728DD" w:rsidP="005728DD">
      <w:pPr>
        <w:pStyle w:val="TextoNormal"/>
      </w:pPr>
    </w:p>
    <w:p w:rsidR="005728DD" w:rsidRDefault="005728DD" w:rsidP="005728DD">
      <w:pPr>
        <w:pStyle w:val="TextoNormal"/>
      </w:pPr>
      <w:r>
        <w:t xml:space="preserve">No es coherente con la función de este tribunal, ni tampoco con la finalidad del amparo constitucional, dejar al margen, por no haber sido interpuesto un incidente de nulidad de actuaciones, el análisis de la actuación del órgano judicial encargado de efectuar el control de la privación de libertad denunciada como ilegal cuando la eventual vulneración del derecho a la tutela judicial efectiva se desenvuelve, en este caso, en la órbita del derecho a la libertad personal. El juez, a partir de la solicitud de </w:t>
      </w:r>
      <w:r w:rsidRPr="005728DD">
        <w:rPr>
          <w:i/>
        </w:rPr>
        <w:t>habeas corpus</w:t>
      </w:r>
      <w:r>
        <w:t xml:space="preserve"> presentada, ha tenido ocasión de hacer efectiva la protección del derecho en un caso en que se le ha puesto de manifiesto la supuesta ilicitud de una privación de libertad realizada por autoridades o funcionarios no judiciales, ya lo sea por las causas que han determinado su adopción, ya por las condiciones, o ya por el tiempo o circunstancias en que aquella se haya producido.</w:t>
      </w:r>
    </w:p>
    <w:p w:rsidR="005728DD" w:rsidRDefault="005728DD" w:rsidP="005728DD">
      <w:pPr>
        <w:pStyle w:val="TextoNormal"/>
      </w:pPr>
    </w:p>
    <w:p w:rsidR="005728DD" w:rsidRDefault="005728DD" w:rsidP="005728DD">
      <w:pPr>
        <w:pStyle w:val="TextoNormal"/>
      </w:pPr>
      <w:r>
        <w:t>Hemos, pues, de reconsiderar el planteamiento de una doctrina estrictamente formalista, que distingue, a los efectos del presupuesto de agotamiento de la vía judicial previa, según que el órgano judicial haya o no admitido a trámite y sustanciada su actuación con la au</w:t>
      </w:r>
      <w:r>
        <w:lastRenderedPageBreak/>
        <w:t>diencia de la persona privada de libertad, para después llegar a la misma resolución de inadmisión o de desestimación que enjuicia sobre la adecuación a derecho de aquella situación privativa de libertad, cuando en ambos casos, lo determinante es que al juez le haya sido puesta de manifiesto una denuncia que invocaba la vulneración de su derecho a la libertad personal.</w:t>
      </w:r>
    </w:p>
    <w:p w:rsidR="005728DD" w:rsidRDefault="005728DD" w:rsidP="005728DD">
      <w:pPr>
        <w:pStyle w:val="TextoNormal"/>
      </w:pPr>
    </w:p>
    <w:p w:rsidR="005728DD" w:rsidRDefault="005728DD" w:rsidP="005728DD">
      <w:pPr>
        <w:pStyle w:val="TextoNormal"/>
      </w:pPr>
      <w:r>
        <w:t>Por todo ello, no parece razonable la exigencia del incidente de nulidad de actuaciones para entender agotada la vía judicial previa cuando la demanda de amparo alegue vulneración del derecho a la libertad personal del art. 17 CE e invoque, tanto la vulneración del art. 17.4 CE en exclusiva, como la concurrencia de una serie de quejas que resulten imputables a autoridades y funcionarios no judiciales, así como al órgano judicial encargado del control de la medida limitativa del derecho fundamental, que, según se denuncia, no haya llegado a tutelarla de modo efectivo.</w:t>
      </w:r>
    </w:p>
    <w:p w:rsidR="005728DD" w:rsidRDefault="005728DD" w:rsidP="005728DD">
      <w:pPr>
        <w:pStyle w:val="TextoNormal"/>
      </w:pPr>
    </w:p>
    <w:p w:rsidR="005728DD" w:rsidRDefault="005728DD" w:rsidP="005728DD">
      <w:pPr>
        <w:pStyle w:val="TextoNormal"/>
      </w:pPr>
      <w:r>
        <w:t xml:space="preserve">En definitiva, el Tribunal, matizando su anterior doctrina, declara que no es necesario el planteamiento del incidente de nulidad de actuaciones para el agotamiento de la vía judicial, cuando la demanda de amparo alegue vulneración del derecho a la libertad personal mediante el procedimiento de </w:t>
      </w:r>
      <w:r w:rsidRPr="005728DD">
        <w:rPr>
          <w:i/>
        </w:rPr>
        <w:t>habeas corpus</w:t>
      </w:r>
      <w:r>
        <w:t xml:space="preserve">. Igualmente, este tribunal declara, que al igual que en otras ocasiones y respecto de otros supuestos (SSTC 31/2019, de 28 de febrero, FJ 3, y 112/2019, de 3 de octubre, FJ 3), la interposición de un incidente de nulidad de actuaciones contra la resolución judicial que inadmite a trámite un procedimiento de </w:t>
      </w:r>
      <w:r w:rsidRPr="005728DD">
        <w:rPr>
          <w:i/>
        </w:rPr>
        <w:t>habeas corpus</w:t>
      </w:r>
      <w:r>
        <w:t xml:space="preserve"> no podrá considerase un recurso manifiestamente improcedente y, en consecuencia, su interposición no podrá determinar la extemporaneidad del recurso de amparo por alargamiento indebido de la vía judicial.</w:t>
      </w:r>
    </w:p>
    <w:p w:rsidR="005728DD" w:rsidRDefault="005728DD" w:rsidP="005728DD">
      <w:pPr>
        <w:pStyle w:val="TextoNormal"/>
      </w:pPr>
    </w:p>
    <w:p w:rsidR="005728DD" w:rsidRDefault="005728DD" w:rsidP="005728DD">
      <w:pPr>
        <w:pStyle w:val="TextoNormal"/>
      </w:pPr>
      <w:r>
        <w:t>C) A la luz de las consideraciones expuestas, procede ahora el análisis del óbice alegado por el Ministerio Fiscal.</w:t>
      </w:r>
    </w:p>
    <w:p w:rsidR="005728DD" w:rsidRDefault="005728DD" w:rsidP="005728DD">
      <w:pPr>
        <w:pStyle w:val="TextoNormal"/>
      </w:pPr>
    </w:p>
    <w:p w:rsidR="005728DD" w:rsidRDefault="005728DD" w:rsidP="005728DD">
      <w:pPr>
        <w:pStyle w:val="TextoNormal"/>
      </w:pPr>
      <w:r>
        <w:t>a) Considera la fiscal que el recurrente debería haber promovido un incidente extraordinario de nulidad de actuaciones contra el auto de 9 de noviembre de 2019, impugnado en amparo, toda vez que ha formalizado su demanda por la vía del art. 44 LOTC y, en consecuencia, únicamente imputa a aquella resolución la vulneración de sus derechos fundamentales invocados, por lo que habría acudido directamente a esta vía subsidiaria del recurso de amparo, sin antes haber puesto de manifiesto ante el órgano judicial actuante las quejas que ahora denuncia ante este tribunal.</w:t>
      </w:r>
    </w:p>
    <w:p w:rsidR="005728DD" w:rsidRDefault="005728DD" w:rsidP="005728DD">
      <w:pPr>
        <w:pStyle w:val="TextoNormal"/>
      </w:pPr>
    </w:p>
    <w:p w:rsidR="005728DD" w:rsidRDefault="005728DD" w:rsidP="005728DD">
      <w:pPr>
        <w:pStyle w:val="TextoNormal"/>
      </w:pPr>
      <w:r>
        <w:t>En sus alegaciones, la fiscal también sostiene que, en todo caso, de entender el demandante que la vulneración de sus derechos fundamentales eran únicamente imputables a la actuación policial y encauzar su impugnación por la vía del art. 43 LOTC, el recurso habría sido interpuesto fuera del plazo legal, por lo que devendría extemporáneo.</w:t>
      </w:r>
    </w:p>
    <w:p w:rsidR="005728DD" w:rsidRDefault="005728DD" w:rsidP="005728DD">
      <w:pPr>
        <w:pStyle w:val="TextoNormal"/>
      </w:pPr>
    </w:p>
    <w:p w:rsidR="005728DD" w:rsidRDefault="005728DD" w:rsidP="005728DD">
      <w:pPr>
        <w:pStyle w:val="TextoNormal"/>
      </w:pPr>
      <w:r>
        <w:t>El óbice de falta de agotamiento de la vía judicial previa no puede prosperar a la vista de las consideraciones generales y de la doctrina establecida por este tribunal en el apartado B) de este fundamento jurídico. Al haber sido formalizada la demanda de amparo de conformidad con la nueva doctrina establecida por este tribunal, sin haber promovido previamente el incidente extraordinario de nulidad de actuaciones, por no ser requerido para la salvaguarda del carácter subsidiario del recurso de amparo en este caso, procede la desestimación de este óbice sin más largo discurso argumentativo.</w:t>
      </w:r>
    </w:p>
    <w:p w:rsidR="005728DD" w:rsidRDefault="005728DD" w:rsidP="005728DD">
      <w:pPr>
        <w:pStyle w:val="TextoNormal"/>
      </w:pPr>
    </w:p>
    <w:p w:rsidR="005728DD" w:rsidRDefault="005728DD" w:rsidP="005728DD">
      <w:pPr>
        <w:pStyle w:val="TextoNormal"/>
      </w:pPr>
      <w:r>
        <w:t xml:space="preserve">b) En lo que atañe al óbice que, de modo subsidiario, imputa el Ministerio Fiscal a la demanda de amparo y dado que su eventual concurrencia lo deriva aquel de la previa cuestión de determinar si la eventual vulneración de los derechos fundamentales que denuncia el recurrente procede de la actuación policial o, como así lo entiende la fiscal, de modo exclusivo de la resolución judicial que inadmitió a trámite el procedimiento de </w:t>
      </w:r>
      <w:r w:rsidRPr="005728DD">
        <w:rPr>
          <w:i/>
        </w:rPr>
        <w:t>habeas corpus</w:t>
      </w:r>
      <w:r>
        <w:t xml:space="preserve"> instado por aquel, resulta necesario delimitar el carácter del recurso de amparo interpuesto por el recurrente.</w:t>
      </w:r>
    </w:p>
    <w:p w:rsidR="005728DD" w:rsidRDefault="005728DD" w:rsidP="005728DD">
      <w:pPr>
        <w:pStyle w:val="TextoNormal"/>
      </w:pPr>
    </w:p>
    <w:p w:rsidR="005728DD" w:rsidRDefault="005728DD" w:rsidP="005728DD">
      <w:pPr>
        <w:pStyle w:val="TextoNormal"/>
      </w:pPr>
      <w:r>
        <w:t xml:space="preserve">Para ello, hemos de acudir necesariamente al análisis de los presupuestos de hecho de este recurso de amparo. Así, en los antecedentes consta que el letrado del recurrente se personó, sobre las 23:30 horas del día 8 de noviembre de 2019, en las dependencias policiales y presentó un escrito en el que, después de identificarse como el abogado designado por el señor Rocho Leal para asistirle en su defensa, formulaba en su nombre una solicitud de </w:t>
      </w:r>
      <w:r w:rsidRPr="005728DD">
        <w:rPr>
          <w:i/>
        </w:rPr>
        <w:t>habeas corpus</w:t>
      </w:r>
      <w:r>
        <w:t>, toda vez que consideraba que aquel había sido detenido “sin ningún motivo y por la indebida forma de haber procedido a la detención”. En el escrito denunciaba la vulneración de los derechos fundamentales reconocidos en los arts. 17 y 24 CE.</w:t>
      </w:r>
    </w:p>
    <w:p w:rsidR="005728DD" w:rsidRDefault="005728DD" w:rsidP="005728DD">
      <w:pPr>
        <w:pStyle w:val="TextoNormal"/>
      </w:pPr>
    </w:p>
    <w:p w:rsidR="005728DD" w:rsidRDefault="005728DD" w:rsidP="005728DD">
      <w:pPr>
        <w:pStyle w:val="TextoNormal"/>
      </w:pPr>
      <w:r>
        <w:t xml:space="preserve">Por tanto, la vulneración del derecho fundamental a la libertad personal del ahora recurrente fue invocada por su letrado desde el primer momento de la detención y constituye el eje central sobre el que fundamenta su recurso el demandante. Las dos quejas que recoge la demanda, referidas, la primera, a la prolongación indebida del tiempo en que el detenido tardó en ser puesto a disposición del juzgado de guardia, no siéndolo de forma inmediata; y, la segunda, a que el órgano judicial no realizó un control efectivo de las condiciones de la detención y de la subsiguiente privación de libertad del recurrente, tienen su origen y son el resultado de la denunciada vulneración del derecho a la libertad personal que el demandante invocó, a través de su letrado, desde el primer momento de la detención y que, a su juicio, el juzgado de guardia no tuteló después, por medio del procedimiento de </w:t>
      </w:r>
      <w:r w:rsidRPr="005728DD">
        <w:rPr>
          <w:i/>
        </w:rPr>
        <w:t>habeas corpus</w:t>
      </w:r>
      <w:r>
        <w:t xml:space="preserve"> que había instado y que culminó con el auto que inadmitió a trámite aquel procedimiento de tutela cautelar de la libertad.</w:t>
      </w:r>
    </w:p>
    <w:p w:rsidR="005728DD" w:rsidRDefault="005728DD" w:rsidP="005728DD">
      <w:pPr>
        <w:pStyle w:val="TextoNormal"/>
      </w:pPr>
    </w:p>
    <w:p w:rsidR="005728DD" w:rsidRDefault="005728DD" w:rsidP="005728DD">
      <w:pPr>
        <w:pStyle w:val="TextoNormal"/>
      </w:pPr>
      <w:r>
        <w:t xml:space="preserve">Por otro lado, en la demanda se hace cita expresa de los arts. 17.4 CE y 1 LOHC (motivo primero), pero, más adelante, (motivo segundo), al analizar los presupuestos de hecho de la detención, el actor, insistiendo en la eventual vulneración del art. 17.4 CE, no precisa si la vulneración de la inmediata puesta a disposición judicial del detenido, a través del procedimiento de </w:t>
      </w:r>
      <w:r w:rsidRPr="005728DD">
        <w:rPr>
          <w:i/>
        </w:rPr>
        <w:t>habeas corpus</w:t>
      </w:r>
      <w:r>
        <w:t>, la imputa a los funcionarios policiales que realizaron la detención o a la autoridad judicial que dictó la resolución ahora impugnada.</w:t>
      </w:r>
    </w:p>
    <w:p w:rsidR="005728DD" w:rsidRDefault="005728DD" w:rsidP="005728DD">
      <w:pPr>
        <w:pStyle w:val="TextoNormal"/>
      </w:pPr>
    </w:p>
    <w:p w:rsidR="005728DD" w:rsidRDefault="005728DD" w:rsidP="005728DD">
      <w:pPr>
        <w:pStyle w:val="TextoNormal"/>
      </w:pPr>
      <w:r>
        <w:t xml:space="preserve">En efecto, el demandante se limita a señalar que el detenido, desde la hora y día (23:30 horas del día 8 de noviembre de 2019) en que su letrado presentó la solicitud de </w:t>
      </w:r>
      <w:r w:rsidRPr="005728DD">
        <w:rPr>
          <w:i/>
        </w:rPr>
        <w:t>habeas corpus</w:t>
      </w:r>
      <w:r>
        <w:t xml:space="preserve"> y le fue notificada la resolución judicial denegatoria de la incoación del procedimiento (13:30 horas del día 9 de noviembre de 2019), hasta que, finalmente, pasó a disposición judicial (10:00 horas del día 10 de noviembre de 2019), pasó injustificadamente un período prolongado de tiempo que contraviene la exigencia constitucional de que aquella puesta a disposición judicial del detenido hubiera sido de forma inmediata. Tal indeterminación, unida a la denuncia del recurrente, expresada desde el primer momento, de que fue </w:t>
      </w:r>
      <w:r>
        <w:lastRenderedPageBreak/>
        <w:t>detenido de forma indebida, vulnerándosele su derecho a la libertad personal, debe inclinarnos a favor del principio de la efectividad del derecho y a abordar la cuestión de fondo suscitada en este recurso.</w:t>
      </w:r>
    </w:p>
    <w:p w:rsidR="005728DD" w:rsidRDefault="005728DD" w:rsidP="005728DD">
      <w:pPr>
        <w:pStyle w:val="TextoNormal"/>
      </w:pPr>
    </w:p>
    <w:p w:rsidR="005728DD" w:rsidRDefault="005728DD" w:rsidP="005728DD">
      <w:pPr>
        <w:pStyle w:val="TextoNormal"/>
      </w:pPr>
      <w:r>
        <w:t xml:space="preserve">Por ello, aun cuando la demanda, presentada al amparo de lo dispuesto en el art. 44 LOTC, vaya dirigida únicamente contra el auto de 9 de noviembre de 2019 del Juzgado de Instrucción núm. 3 de Badajoz, la denuncia localiza la eventual vulneración de su derecho a la libertad personal del art. 17 CE en la intervención de los policías que, a juicio del recurrente, actuaron sin ningún motivo y le detuvieron de forma indebida, sin que posteriormente el juzgado hubiera controlado la legalidad de aquella detención y las condiciones en que tuvo lugar la misma. Estaríamos, </w:t>
      </w:r>
      <w:r w:rsidRPr="005728DD">
        <w:rPr>
          <w:i/>
        </w:rPr>
        <w:t>prima facie</w:t>
      </w:r>
      <w:r>
        <w:t>, ante un recurso de amparo en que la demanda denuncia, de una parte, la actuación policial por entender que el recurrente fue detenido sin motivo alguno y, por ello, rechaza frontalmente la legalidad de la detención; de otro lado, insiste el recurrente en la queja de que fue demorada indebidamente su puesta a disposición judicial, sin que haya precisado en su demanda a quién se debió aquel retraso, si a la policía o al juzgado de guardia; y, por último, la resolución del juzgado no cumplió debidamente su función garantística de controlar la detención policial.</w:t>
      </w:r>
    </w:p>
    <w:p w:rsidR="005728DD" w:rsidRDefault="005728DD" w:rsidP="005728DD">
      <w:pPr>
        <w:pStyle w:val="TextoNormal"/>
      </w:pPr>
    </w:p>
    <w:p w:rsidR="005728DD" w:rsidRDefault="005728DD" w:rsidP="005728DD">
      <w:pPr>
        <w:pStyle w:val="TextoNormal"/>
      </w:pPr>
      <w:r>
        <w:t xml:space="preserve">En consecuencia, nos hallamos, </w:t>
      </w:r>
      <w:r w:rsidRPr="005728DD">
        <w:rPr>
          <w:i/>
        </w:rPr>
        <w:t>prima facie</w:t>
      </w:r>
      <w:r>
        <w:t xml:space="preserve"> y a los efectos de pronunciarnos ahora sobre el óbice de extemporaneidad alegado por la fiscalía ante un recurso de amparo “mixto”.</w:t>
      </w:r>
    </w:p>
    <w:p w:rsidR="005728DD" w:rsidRDefault="005728DD" w:rsidP="005728DD">
      <w:pPr>
        <w:pStyle w:val="TextoNormal"/>
      </w:pPr>
    </w:p>
    <w:p w:rsidR="005728DD" w:rsidRDefault="005728DD" w:rsidP="005728DD">
      <w:pPr>
        <w:pStyle w:val="TextoNormal"/>
      </w:pPr>
      <w:r>
        <w:t>Este tribunal ha declarado que “ante un ‘recurso de amparo mixto’ que imputa una lesión autónoma a la resolución judicial dictada en el procedimiento a través del que se instó la garantía de sus derechos como detenido, el plazo para su interposición es el establecido en el artículo 44.2 LOTC para las quejas referidas a la actuación judicial. Cualquier otra interpretación obligaría injustificadamente a los demandantes, en casos de amparo mixto, a renunciar al plazo más extenso que otorga el artículo 44.2 LOTC (treinta días) en favor del más breve previsto en el artículo 43.2 LOTC (veinte días) cuando acumulen pretensiones dirigidas frente a disposiciones, actos jurídicos, omisiones o simple vía de hecho del Gobierno o de sus autoridades o funcionarios, con otras dirigidas frente a las resoluciones judiciales dictadas al instar la protección de sus derechos” [STC 21/2018, de 5 de marzo, FJ 2 a)].</w:t>
      </w:r>
    </w:p>
    <w:p w:rsidR="005728DD" w:rsidRDefault="005728DD" w:rsidP="005728DD">
      <w:pPr>
        <w:pStyle w:val="TextoNormal"/>
      </w:pPr>
    </w:p>
    <w:p w:rsidR="005728DD" w:rsidRDefault="005728DD" w:rsidP="005728DD">
      <w:pPr>
        <w:pStyle w:val="TextoNormal"/>
      </w:pPr>
      <w:r>
        <w:t>Por todo ello, de conformidad con la doctrina de este tribunal respecto de la presentación de los recursos de amparo “mixtos” ha de concluirse que la demanda fue presentada dentro de plazo y, en consecuencia, procede desestimar el óbice opuesto por el Ministerio Fiscal.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La exigencia de celeridad en la resolución judicial sobre la admisibilidad de la solicitud de habeas corpus</w:t>
      </w:r>
      <w:r>
        <w:t>.</w:t>
      </w:r>
    </w:p>
    <w:p w:rsidR="005728DD" w:rsidRDefault="005728DD" w:rsidP="005728DD">
      <w:pPr>
        <w:pStyle w:val="TextoNormal"/>
      </w:pPr>
    </w:p>
    <w:p w:rsidR="005728DD" w:rsidRDefault="005728DD" w:rsidP="005728DD">
      <w:pPr>
        <w:pStyle w:val="TextoNormal"/>
      </w:pPr>
      <w:r>
        <w:t xml:space="preserve">a) La demanda plantea, como primer motivo de su recurso, con apoyo en los arts. 17.4 CE, la Ley Orgánica de </w:t>
      </w:r>
      <w:r w:rsidRPr="005728DD">
        <w:rPr>
          <w:i/>
        </w:rPr>
        <w:t>habeas corpus</w:t>
      </w:r>
      <w:r>
        <w:t xml:space="preserve"> y los arts. 5.1, 7.1 y 2 y 53.2 LOPJ, la vulneración de su derecho a la libertad personal por no haber sido puesto a la inmediata disposición del juzgado de instrucción, en funciones de guardia, cuando estaba detenido en las dependencias policiales y cursó, a través de su letrado, una solicitud de </w:t>
      </w:r>
      <w:r w:rsidRPr="005728DD">
        <w:rPr>
          <w:i/>
        </w:rPr>
        <w:t>habeas corpus</w:t>
      </w:r>
      <w:r>
        <w:t>.</w:t>
      </w:r>
    </w:p>
    <w:p w:rsidR="005728DD" w:rsidRDefault="005728DD" w:rsidP="005728DD">
      <w:pPr>
        <w:pStyle w:val="TextoNormal"/>
      </w:pPr>
    </w:p>
    <w:p w:rsidR="005728DD" w:rsidRDefault="005728DD" w:rsidP="005728DD">
      <w:pPr>
        <w:pStyle w:val="TextoNormal"/>
      </w:pPr>
      <w:r>
        <w:t xml:space="preserve">Antes del inicio de su estudio, es necesario identificar realmente el sentido y alcance de esta queja, porque, en realidad, a lo que el demandante se está refiriendo es a que su solicitud </w:t>
      </w:r>
      <w:r>
        <w:lastRenderedPageBreak/>
        <w:t xml:space="preserve">de </w:t>
      </w:r>
      <w:r w:rsidRPr="005728DD">
        <w:rPr>
          <w:i/>
        </w:rPr>
        <w:t>habeas corpus</w:t>
      </w:r>
      <w:r>
        <w:t xml:space="preserve"> debería haber sido abordada y resuelta sobre su admisibilidad por parte del juzgado de guardia, a la mayor brevedad posible. Se trata de una dimensión del derecho a la libertad personal en que el objeto de la denuncia se refiere al retraso, a su juicio, indebido e injustificado, en la toma de decisión por parte del órgano judicial sobre la solicitud de </w:t>
      </w:r>
      <w:r w:rsidRPr="005728DD">
        <w:rPr>
          <w:i/>
        </w:rPr>
        <w:t>habeas corpus</w:t>
      </w:r>
      <w:r>
        <w:t xml:space="preserve"> presentada, para que, de ese modo, la autoridad judicial realizara un control de la legalidad de su detención o de las condiciones de esta. La prolongación indebida del tiempo indispensable para la puesta a disposición judicial del detenido habría dado lugar, en su caso, a la eventual vulneración del derecho a la libertad reconocido en el art. 17.2 CE, que no ha sido invocado por el demandante en el recurso.</w:t>
      </w:r>
    </w:p>
    <w:p w:rsidR="005728DD" w:rsidRDefault="005728DD" w:rsidP="005728DD">
      <w:pPr>
        <w:pStyle w:val="TextoNormal"/>
      </w:pPr>
    </w:p>
    <w:p w:rsidR="005728DD" w:rsidRDefault="005728DD" w:rsidP="005728DD">
      <w:pPr>
        <w:pStyle w:val="TextoNormal"/>
      </w:pPr>
      <w:r>
        <w:t xml:space="preserve">Delimitada, pues, la queja, en los términos descritos, hemos de convenir en que el procedimiento de </w:t>
      </w:r>
      <w:r w:rsidRPr="005728DD">
        <w:rPr>
          <w:i/>
        </w:rPr>
        <w:t>habeas corpus</w:t>
      </w:r>
      <w:r>
        <w:t xml:space="preserve">, previsto en el art. 17.4 CE y desarrollado por la Ley Orgánica de </w:t>
      </w:r>
      <w:r w:rsidRPr="005728DD">
        <w:rPr>
          <w:i/>
        </w:rPr>
        <w:t>habeas corpus</w:t>
      </w:r>
      <w:r>
        <w:t>, “supone una garantía reforzada del derecho a la libertad para la defensa de los demás derechos sustantivos establecidos en el resto de los apartados del art. 17 CE, cuyo fin es posibilitar el control judicial a posteriori de la legalidad y de las condiciones en las cuales se desarrollan las situaciones de privación de libertad no acordadas judicialmente, mediante la puesta a disposición judicial de toda persona que se considere privada de libertad ilegalmente. Este procedimiento,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y 125/2006, de 24 de julio, FJ 2). Por ello hemos afirmado que la esencia de este proceso consiste precisamente en que ‘el juez compruebe personalmente la situación de la persona que pida el control judicial, siempre que se encuentre efectivamente detenida’ (STC 66/1996, de 16 de abril, FJ 3), es decir 'haber el cuerpo' de quien se encuentre detenido para ofrecerle una oportunidad de hacerse oír, y ofrecer las alegaciones y pruebas (STC 86/1996, de 21 de mayo, FJ 12)” (STC 37/2008, de 25 de febrero, FJ 3; en el mismo sentido, STC 12/2014, de 27 de enero, FJ 3).</w:t>
      </w:r>
    </w:p>
    <w:p w:rsidR="005728DD" w:rsidRDefault="005728DD" w:rsidP="005728DD">
      <w:pPr>
        <w:pStyle w:val="TextoNormal"/>
      </w:pPr>
    </w:p>
    <w:p w:rsidR="005728DD" w:rsidRDefault="005728DD" w:rsidP="005728DD">
      <w:pPr>
        <w:pStyle w:val="TextoNormal"/>
      </w:pPr>
      <w:r>
        <w:t xml:space="preserve">b) Precisamente, en relación con esta garantía de la rapidez en la decisión judicial sobre la admisibilidad de una solicitud de </w:t>
      </w:r>
      <w:r w:rsidRPr="005728DD">
        <w:rPr>
          <w:i/>
        </w:rPr>
        <w:t>habeas corpus</w:t>
      </w:r>
      <w:r>
        <w:t xml:space="preserve">, este tribunal ha declarado que “resulta conveniente subrayar la necesidad de que estas solicitudes de </w:t>
      </w:r>
      <w:r w:rsidRPr="005728DD">
        <w:rPr>
          <w:i/>
        </w:rPr>
        <w:t>habeas corpus</w:t>
      </w:r>
      <w:r>
        <w:t xml:space="preserve"> de los detenidos se tramiten con la conveniente urgencia y agilidad, por cuanto la razón de ser de esta garantía específica de la libertad se encuentra precisamente en que sean verificadas con prontitud por un juez la legalidad y las condiciones de la detención, quedando, por ello, desvirtuado este procedimiento si se tramita con demoras, posponiéndose el traslado del detenido a presencia judicial. Sin que puedan considerarse un impedimento para adoptar este comportamiento las inconveniencias o incomodidades que para el órgano judicial pudieran originarse por la petición del </w:t>
      </w:r>
      <w:r w:rsidRPr="005728DD">
        <w:rPr>
          <w:i/>
        </w:rPr>
        <w:t>habeas corpus</w:t>
      </w:r>
      <w:r>
        <w:t xml:space="preserve"> por el detenido en ciertas horas […] de la noche, porque también en ese espacio temporal el juzgado de instrucción se encuentra en funciones de guardia” (STC 95/2012, de 7 de mayo, FJ 3).</w:t>
      </w:r>
    </w:p>
    <w:p w:rsidR="005728DD" w:rsidRDefault="005728DD" w:rsidP="005728DD">
      <w:pPr>
        <w:pStyle w:val="TextoNormal"/>
      </w:pPr>
    </w:p>
    <w:p w:rsidR="005728DD" w:rsidRDefault="005728DD" w:rsidP="005728DD">
      <w:pPr>
        <w:pStyle w:val="TextoNormal"/>
      </w:pPr>
      <w:r>
        <w:t xml:space="preserve">También, el tribunal ha destacado que “el art. 17.4 CE, al regular este procedimiento de </w:t>
      </w:r>
      <w:r w:rsidRPr="005728DD">
        <w:rPr>
          <w:i/>
        </w:rPr>
        <w:t>habeas corpus</w:t>
      </w:r>
      <w:r>
        <w:t xml:space="preserve">, se refiere a la ‘inmediata puesta a disposición judicial’ de la persona detenida y que el art. 7 de la propia Ley Orgánica 6/1984, de 24 de mayo, de </w:t>
      </w:r>
      <w:r w:rsidRPr="005728DD">
        <w:rPr>
          <w:i/>
        </w:rPr>
        <w:t>habeas corpus</w:t>
      </w:r>
      <w:r>
        <w:t xml:space="preserve">, establece como primera medida que debe seguir el juez en estos casos la de ordenar a la </w:t>
      </w:r>
      <w:r>
        <w:lastRenderedPageBreak/>
        <w:t>autoridad a cuya disposición se halle la persona privada de libertad que ‘la ponga de manifiesto ante él, sin pretexto ni demora alguna’, pudiendo, incluso, personarse ‘en el lugar donde aquella se encuentre’” (STC 95/2012, FJ 3, antes citada).</w:t>
      </w:r>
    </w:p>
    <w:p w:rsidR="005728DD" w:rsidRDefault="005728DD" w:rsidP="005728DD">
      <w:pPr>
        <w:pStyle w:val="TextoNormal"/>
      </w:pPr>
    </w:p>
    <w:p w:rsidR="005728DD" w:rsidRDefault="005728DD" w:rsidP="005728DD">
      <w:pPr>
        <w:pStyle w:val="TextoNormal"/>
      </w:pPr>
      <w:r>
        <w:t xml:space="preserve">c) En el caso de autos, el demandante alega que no fue puesto inmediatamente a disposición del juzgado de guardia, sino que, desde las 23:30 horas del día 8 de noviembre de 2019, en que su letrado defensor presentó la solicitud de </w:t>
      </w:r>
      <w:r w:rsidRPr="005728DD">
        <w:rPr>
          <w:i/>
        </w:rPr>
        <w:t>habeas corpus</w:t>
      </w:r>
      <w:r>
        <w:t xml:space="preserve"> en la comisaría de policía, hasta que le fue notificado el auto de inadmisión del procedimiento, a las 13:30 horas del día 9 de noviembre siguiente, transcurrió un tiempo excesivo. Y, finalmente, que hasta las 10:00 horas del día 10 de noviembre no fue conducido y puesto a disposición de la titular del juzgado de guardia, sin que durante todo aquel largo período de tiempo se hubieran dado circunstancias que le hubieran impedido comparecer ante la autoridad judicial.</w:t>
      </w:r>
    </w:p>
    <w:p w:rsidR="005728DD" w:rsidRDefault="005728DD" w:rsidP="005728DD">
      <w:pPr>
        <w:pStyle w:val="TextoNormal"/>
      </w:pPr>
    </w:p>
    <w:p w:rsidR="005728DD" w:rsidRDefault="005728DD" w:rsidP="005728DD">
      <w:pPr>
        <w:pStyle w:val="TextoNormal"/>
      </w:pPr>
      <w:r>
        <w:t xml:space="preserve">Como hemos destacado en los antecedentes y en el análisis del óbice procesal invocado por el Ministerio Fiscal, el recurrente no concreta en la demanda si la prolongación del tiempo transcurrido entre su detención, el instante en que el juzgado de guardia se pronunció sobre su solicitud de </w:t>
      </w:r>
      <w:r w:rsidRPr="005728DD">
        <w:rPr>
          <w:i/>
        </w:rPr>
        <w:t>habeas corpus</w:t>
      </w:r>
      <w:r>
        <w:t xml:space="preserve"> y, finalmente, el momento en que fue puesto a disposición judicial, fue debida a la inacción de los funcionarios de policía que le custodiaban o si lo fue por decisión del propio órgano judicial. El recurrente se limita a detallar el tiempo en que se prolongó aquella espera, pero no precisa qué autoridad fue la que demoró la resolución sobre el </w:t>
      </w:r>
      <w:r w:rsidRPr="005728DD">
        <w:rPr>
          <w:i/>
        </w:rPr>
        <w:t>habeas corpus</w:t>
      </w:r>
      <w:r>
        <w:t xml:space="preserve"> y su comparecencia ante la titular del juzgado de guardia. Por ello, hemos de acudir al estudio de las actuaciones para ver el tiempo de espera y, en su caso, determinar a qué pudo obedecer el retraso y de quién dependió este.</w:t>
      </w:r>
    </w:p>
    <w:p w:rsidR="005728DD" w:rsidRDefault="005728DD" w:rsidP="005728DD">
      <w:pPr>
        <w:pStyle w:val="TextoNormal"/>
      </w:pPr>
    </w:p>
    <w:p w:rsidR="005728DD" w:rsidRDefault="005728DD" w:rsidP="005728DD">
      <w:pPr>
        <w:pStyle w:val="TextoNormal"/>
      </w:pPr>
      <w:r>
        <w:t xml:space="preserve">Por lo que atañe al tiempo transcurrido entre la presentación de la solicitud y la hora en que finalmente el recurrente compareció ante la titular del juzgado de guardia hay que señalar que, en lo que respecta a la solicitud de </w:t>
      </w:r>
      <w:r w:rsidRPr="005728DD">
        <w:rPr>
          <w:i/>
        </w:rPr>
        <w:t>habeas corpus</w:t>
      </w:r>
      <w:r>
        <w:t xml:space="preserve"> presentada, únicamente es de interés, a los efectos de resolver sobre las quejas planteadas, el tiempo que transcurrió entre la hora de la presentación de la solicitud, la ya citada de las 23:30 horas del día 8 de noviembre de 2019, y las 13:30 horas del día 9 de noviembre siguiente, en que le fue notificado el auto que acordaba inadmitir a trámite el procedimiento y el subsiguiente archivo del mismo.</w:t>
      </w:r>
    </w:p>
    <w:p w:rsidR="005728DD" w:rsidRDefault="005728DD" w:rsidP="005728DD">
      <w:pPr>
        <w:pStyle w:val="TextoNormal"/>
      </w:pPr>
    </w:p>
    <w:p w:rsidR="005728DD" w:rsidRDefault="005728DD" w:rsidP="005728DD">
      <w:pPr>
        <w:pStyle w:val="TextoNormal"/>
      </w:pPr>
      <w:r>
        <w:t>Según los antecedentes, durante las catorce horas de tiempo que transcurrieron entre uno y otro acto, solo constan en el atestado policial las siguientes actuaciones: (i) Diligencia de comunicación a la autoridad judicial, cursada por el instructor policial del atestado, a las 23:40 horas del día 8 de noviembre, en la que señala que contactó telefónicamente con la magistrada titular del Juzgado de Instrucción núm. 3 de Badajoz, en funciones de guardia, la que le transmitió instrucciones “para que se finalice la comparecencia a los funcionarios policiales actuantes, con objeto de tener que (</w:t>
      </w:r>
      <w:r w:rsidRPr="005728DD">
        <w:rPr>
          <w:i/>
        </w:rPr>
        <w:t>sic</w:t>
      </w:r>
      <w:r>
        <w:t xml:space="preserve">) conocimiento de los hechos que motivan la citada solicitud de </w:t>
      </w:r>
      <w:r w:rsidRPr="005728DD">
        <w:rPr>
          <w:i/>
        </w:rPr>
        <w:t>habeas corpus</w:t>
      </w:r>
      <w:r>
        <w:t>” y que, una vez leída la comparecencia recogida en las actuaciones policiales reseñadas en el atestado, “resolverá en derecho”; (ii) informe de alta médica y de lesiones de un policía nacional, que fue presuntamente víctima de los hechos por los que fue detenido el recurrente, expedido a las 0:51 horas del día 9 de noviembre siguiente, y (iii) sendas diligencias de traspaso de las diligencias policiales de un instructor a otro, extendidas a la 1:03 horas y a las 7:00 horas, respectivamente, del día 9 de noviembre.</w:t>
      </w:r>
    </w:p>
    <w:p w:rsidR="005728DD" w:rsidRDefault="005728DD" w:rsidP="005728DD">
      <w:pPr>
        <w:pStyle w:val="TextoNormal"/>
      </w:pPr>
    </w:p>
    <w:p w:rsidR="005728DD" w:rsidRDefault="005728DD" w:rsidP="005728DD">
      <w:pPr>
        <w:pStyle w:val="TextoNormal"/>
      </w:pPr>
      <w:r>
        <w:lastRenderedPageBreak/>
        <w:t xml:space="preserve">En la carátula de las diligencias policiales, remitidas al juzgado de guardia bajo la rúbrica de “observaciones”, se indicaba, en mayúsculas, lo siguiente: “se comunica </w:t>
      </w:r>
      <w:r w:rsidRPr="005728DD">
        <w:rPr>
          <w:i/>
        </w:rPr>
        <w:t>habeas corpus (sic</w:t>
      </w:r>
      <w:r>
        <w:t>) a juez de guardia, quien llamará entre las 8:00 y las 9:00 horas para que se le lleve en mano el atestado y resuelva lo procedente”. Igualmente, en este apartado, figuraba la siguiente instrucción: “No realizar ninguna gestión con el detenido, actuaciones paralizadas hasta resolución judicial (no efectuar reseña por policía científica)”.</w:t>
      </w:r>
    </w:p>
    <w:p w:rsidR="005728DD" w:rsidRDefault="005728DD" w:rsidP="005728DD">
      <w:pPr>
        <w:pStyle w:val="TextoNormal"/>
      </w:pPr>
    </w:p>
    <w:p w:rsidR="005728DD" w:rsidRDefault="005728DD" w:rsidP="005728DD">
      <w:pPr>
        <w:pStyle w:val="TextoNormal"/>
      </w:pPr>
      <w:r>
        <w:t xml:space="preserve">Por su parte, en el procedimiento de </w:t>
      </w:r>
      <w:r w:rsidRPr="005728DD">
        <w:rPr>
          <w:i/>
        </w:rPr>
        <w:t>habeas corpus</w:t>
      </w:r>
      <w:r>
        <w:t xml:space="preserve"> núm. 4-2019 del Juzgado de Instrucción núm. 3 de Badajoz, abierto para la tramitación de la solicitud presentada por el letrado del recurrente, figuran las siguientes actuaciones judiciales: (i) Diligencia de constancia, expedida el día 9 de noviembre de 2019, por la letrada de la administración de justicia del órgano judicial, en la que pone de manifiesto que “en el día de hoy y siendo las 8:40 horas se hace entrega en este juzgado de la presente solicitud de </w:t>
      </w:r>
      <w:r w:rsidRPr="005728DD">
        <w:rPr>
          <w:i/>
        </w:rPr>
        <w:t>habeas corpus (sic</w:t>
      </w:r>
      <w:r>
        <w:t xml:space="preserve">). Doy fe”; (ii) providencia de la misma fecha, dictada por la Ilma. señora magistrada-juez del Juzgado de Instrucción núm. 3 de Badajoz, acordando el registro de la solicitud de </w:t>
      </w:r>
      <w:r w:rsidRPr="005728DD">
        <w:rPr>
          <w:i/>
        </w:rPr>
        <w:t>habeas corpus</w:t>
      </w:r>
      <w:r>
        <w:t xml:space="preserve"> en el libro correspondiente y traslado de la petición al Ministerio Fiscal para informe; (iii) informe de la misma fecha del fiscal en el que entiende que no procede acceder a lo solicitado por el detenido, por no darse ninguno de los supuestos previstos en el art. 1 LOHC, y lo concluye proponiendo el archivo del procedimiento; (iv) auto, de la misma fecha, denegando la incoación del procedimiento de </w:t>
      </w:r>
      <w:r w:rsidRPr="005728DD">
        <w:rPr>
          <w:i/>
        </w:rPr>
        <w:t>habeas corpus</w:t>
      </w:r>
      <w:r>
        <w:t xml:space="preserve"> y el archivo del mismo, y (v) diligencia de notificación, extendida en la misma fecha que las anteriores actuaciones, en la que consta que el detenido se negó a firmar la notificación.</w:t>
      </w:r>
    </w:p>
    <w:p w:rsidR="005728DD" w:rsidRDefault="005728DD" w:rsidP="005728DD">
      <w:pPr>
        <w:pStyle w:val="TextoNormal"/>
      </w:pPr>
    </w:p>
    <w:p w:rsidR="005728DD" w:rsidRDefault="005728DD" w:rsidP="005728DD">
      <w:pPr>
        <w:pStyle w:val="TextoNormal"/>
      </w:pPr>
      <w:r>
        <w:t>La lectura del atestado y del procedimiento judicial deja entrever que fue el juzgado de guardia el que, después de haber recibido la llamada telefónica de la comisaría, ordenó que las diligencias policiales, con inclusión de la comparecencia de los funcionarios que habían intervenido en la detención del demandante reflejada en el atestado, fueran entregadas para “resolver en derecho” lo que procediera. Además, en la carátula de las diligencias policiales se especificaba que sería el juzgado de guardia el que, entre las 8:00 y las 9:00 horas del día 9 de noviembre de 2019, llamaría por teléfono para que le fuera “llevado en mano” el atestado, lo que así aconteció, pues, mediante diligencia de la letrada de la administración de justicia del juzgado, se hace constar que aquella entrega tuvo lugar a las 8:40 horas del indicado día 9 de noviembre.</w:t>
      </w:r>
    </w:p>
    <w:p w:rsidR="005728DD" w:rsidRDefault="005728DD" w:rsidP="005728DD">
      <w:pPr>
        <w:pStyle w:val="TextoNormal"/>
      </w:pPr>
    </w:p>
    <w:p w:rsidR="005728DD" w:rsidRDefault="005728DD" w:rsidP="005728DD">
      <w:pPr>
        <w:pStyle w:val="TextoNormal"/>
      </w:pPr>
      <w:r>
        <w:t xml:space="preserve">Es decir, que, entre la presentación de la solicitud de </w:t>
      </w:r>
      <w:r w:rsidRPr="005728DD">
        <w:rPr>
          <w:i/>
        </w:rPr>
        <w:t>habeas corpus</w:t>
      </w:r>
      <w:r>
        <w:t xml:space="preserve"> en las dependencias policiales y su entrega, junto con el atestado de la detención, transcurrieron nueve horas sin que, durante el transcurso de las mismas, se hubieran realizado actuaciones relacionadas con aquella que hubieran justificado la demora en la toma de decisión por parte del juzgado. Además, fue el juzgado y no la policía el que ordenó que únicamente las diligencias policiales fueran entregadas al órgano judicial a la mañana siguiente, entre las 8:00 y las 9:00 horas.</w:t>
      </w:r>
    </w:p>
    <w:p w:rsidR="005728DD" w:rsidRDefault="005728DD" w:rsidP="005728DD">
      <w:pPr>
        <w:pStyle w:val="TextoNormal"/>
      </w:pPr>
    </w:p>
    <w:p w:rsidR="005728DD" w:rsidRDefault="005728DD" w:rsidP="005728DD">
      <w:pPr>
        <w:pStyle w:val="TextoNormal"/>
      </w:pPr>
      <w:r>
        <w:t xml:space="preserve">A la vista de tales antecedentes, debe ser estimada la primera de las quejas formulada por el recurrente. La solicitud de </w:t>
      </w:r>
      <w:r w:rsidRPr="005728DD">
        <w:rPr>
          <w:i/>
        </w:rPr>
        <w:t>habeas corpus</w:t>
      </w:r>
      <w:r>
        <w:t xml:space="preserve"> y las diligencias policiales abiertas con motivo de la detención del actor tendrían que haber sido entregadas al juzgado de guardia a la mayor brevedad posible, entendida esta como la demora de tiempo indispensable para la realización de las actuaciones necesarias que permitieran al órgano judicial resolver sobre la admisibilidad de la solicitud cursada. En el caso de autos, transcurrió un período de tiempo </w:t>
      </w:r>
      <w:r>
        <w:lastRenderedPageBreak/>
        <w:t>injustificado entre la presentación de la solicitud y la entrega de las actuaciones al juzgado de guardia, así como después en su resolución y notificación al detenido.</w:t>
      </w:r>
    </w:p>
    <w:p w:rsidR="005728DD" w:rsidRDefault="005728DD" w:rsidP="005728DD">
      <w:pPr>
        <w:pStyle w:val="TextoNormal"/>
      </w:pPr>
    </w:p>
    <w:p w:rsidR="005728DD" w:rsidRDefault="005728DD" w:rsidP="005728DD">
      <w:pPr>
        <w:pStyle w:val="TextoNormal"/>
      </w:pPr>
      <w:r>
        <w:t>Además, esta vulneración del derecho fundamental hemos de imputarla de modo exclusivo al propio órgano judicial, pues fue la titular del mismo la que dio orden a la policía de entregarle las actuaciones policiales a la mañana siguiente de la detención, sin tener que ser conducido a su presencia el detenido.</w:t>
      </w:r>
    </w:p>
    <w:p w:rsidR="005728DD" w:rsidRDefault="005728DD" w:rsidP="005728DD">
      <w:pPr>
        <w:pStyle w:val="TextoNormal"/>
      </w:pPr>
    </w:p>
    <w:p w:rsidR="005728DD" w:rsidRDefault="005728DD" w:rsidP="005728DD">
      <w:pPr>
        <w:pStyle w:val="TextoNormal"/>
      </w:pPr>
      <w:r>
        <w:t xml:space="preserve">Hemos de insistir en que el derecho a que el procedimiento de </w:t>
      </w:r>
      <w:r w:rsidRPr="005728DD">
        <w:rPr>
          <w:i/>
        </w:rPr>
        <w:t>habeas corpus</w:t>
      </w:r>
      <w:r>
        <w:t xml:space="preserve"> se tramite con la mayor celeridad y a obtener una resolución judicial sobre la admisibilidad de la solicitud correspondiente en el menor tiempo posible, constituye una garantía esencial del derecho a la libertad personal, que no admite una demora en el tiempo más allá de la que sea estrictamente necesaria para permitir al juez de guardia tomar conocimiento de la detención y de las condiciones en que esta se haya producido, y decidir sobre la admisibilidad de aquella solicitud.</w:t>
      </w:r>
    </w:p>
    <w:p w:rsidR="005728DD" w:rsidRDefault="005728DD" w:rsidP="005728DD">
      <w:pPr>
        <w:pStyle w:val="TextoNormal"/>
      </w:pPr>
    </w:p>
    <w:p w:rsidR="005728DD" w:rsidRDefault="005728DD" w:rsidP="005728DD">
      <w:pPr>
        <w:pStyle w:val="TextoNormal"/>
      </w:pPr>
      <w:r>
        <w:t xml:space="preserve">En el caso de autos, debemos rechazar que el órgano judicial ordenara a la policía que le entregaran, a la mañana siguiente, el atestado policial relacionado con la petición de </w:t>
      </w:r>
      <w:r w:rsidRPr="005728DD">
        <w:rPr>
          <w:i/>
        </w:rPr>
        <w:t>habeas corpus</w:t>
      </w:r>
      <w:r>
        <w:t>, dejando transcurrir un período de tiempo injustificadamente desproporcionado.</w:t>
      </w:r>
    </w:p>
    <w:p w:rsidR="005728DD" w:rsidRDefault="005728DD" w:rsidP="005728DD">
      <w:pPr>
        <w:pStyle w:val="TextoNormal"/>
      </w:pPr>
    </w:p>
    <w:p w:rsidR="005728DD" w:rsidRDefault="005728DD" w:rsidP="005728DD">
      <w:pPr>
        <w:pStyle w:val="TextoNormal"/>
      </w:pPr>
      <w:r>
        <w:t xml:space="preserve">La queja por denunciada vulneración del derecho a la libertad personal, en su vertiente del derecho a obtener una decisión del juez de guardia, con la mayor celeridad, sobre la admisibilidad de la solicitud de </w:t>
      </w:r>
      <w:r w:rsidRPr="005728DD">
        <w:rPr>
          <w:i/>
        </w:rPr>
        <w:t>habeas corpus</w:t>
      </w:r>
      <w:r>
        <w:t>, debe ser estimada.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El derecho al control judicial de la privación de libertad</w:t>
      </w:r>
      <w:r>
        <w:t>.</w:t>
      </w:r>
    </w:p>
    <w:p w:rsidR="005728DD" w:rsidRDefault="005728DD" w:rsidP="005728DD">
      <w:pPr>
        <w:pStyle w:val="TextoNormal"/>
      </w:pPr>
    </w:p>
    <w:p w:rsidR="005728DD" w:rsidRDefault="005728DD" w:rsidP="005728DD">
      <w:pPr>
        <w:pStyle w:val="TextoNormal"/>
      </w:pPr>
      <w:r>
        <w:t xml:space="preserve">a) La segunda lesión invocada por la demanda se refiere a la alegada vulneración del derecho a la libertad personal (art. 17. 1 y 4 CE), que el recurrente imputa a la resolución judicial que inadmitió </w:t>
      </w:r>
      <w:r w:rsidRPr="005728DD">
        <w:rPr>
          <w:i/>
        </w:rPr>
        <w:t>a limine</w:t>
      </w:r>
      <w:r>
        <w:t xml:space="preserve"> el procedimiento de </w:t>
      </w:r>
      <w:r w:rsidRPr="005728DD">
        <w:rPr>
          <w:i/>
        </w:rPr>
        <w:t>habeas corpus</w:t>
      </w:r>
      <w:r>
        <w:t>.</w:t>
      </w:r>
    </w:p>
    <w:p w:rsidR="005728DD" w:rsidRDefault="005728DD" w:rsidP="005728DD">
      <w:pPr>
        <w:pStyle w:val="TextoNormal"/>
      </w:pPr>
    </w:p>
    <w:p w:rsidR="005728DD" w:rsidRDefault="005728DD" w:rsidP="005728DD">
      <w:pPr>
        <w:pStyle w:val="TextoNormal"/>
      </w:pPr>
      <w:r>
        <w:t xml:space="preserve">Según la demanda, a pesar de la concurrencia de los presupuestos y requisitos previstos en el art. 1 de la Ley Orgánica 6/1984, reguladora del procedimiento de </w:t>
      </w:r>
      <w:r w:rsidRPr="005728DD">
        <w:rPr>
          <w:i/>
        </w:rPr>
        <w:t>habeas corpus</w:t>
      </w:r>
      <w:r>
        <w:t>, el Juzgado de Instrucción núm. 3 de Badajoz, en funciones de guardia, denegó la apertura de aquel procedimiento con una interpretación restrictiva y opuesta a la efectiva consideración de los derechos fundamentales en juego.</w:t>
      </w:r>
    </w:p>
    <w:p w:rsidR="005728DD" w:rsidRDefault="005728DD" w:rsidP="005728DD">
      <w:pPr>
        <w:pStyle w:val="TextoNormal"/>
      </w:pPr>
    </w:p>
    <w:p w:rsidR="005728DD" w:rsidRDefault="005728DD" w:rsidP="005728DD">
      <w:pPr>
        <w:pStyle w:val="TextoNormal"/>
      </w:pPr>
      <w:r>
        <w:t>Pues bien, este tribunal ha declarado en reiteradas ocasiones:</w:t>
      </w:r>
    </w:p>
    <w:p w:rsidR="005728DD" w:rsidRDefault="005728DD" w:rsidP="005728DD">
      <w:pPr>
        <w:pStyle w:val="TextoNormal"/>
      </w:pPr>
    </w:p>
    <w:p w:rsidR="005728DD" w:rsidRDefault="005728DD" w:rsidP="005728DD">
      <w:pPr>
        <w:pStyle w:val="TextoNormal"/>
      </w:pPr>
      <w:r>
        <w:t xml:space="preserve">“El artículo 17.1 CE establece que ‘[t]oda persona tiene derecho a la libertad y a la seguridad. Nadie puede ser privado de su libertad, sino con la observancia de lo establecido en este artículo y en los casos y en la forma previstos en la ley’. Por su parte, el artículo 17.4 CE establece que ‘[l]a Ley regulará un procedimiento de </w:t>
      </w:r>
      <w:r w:rsidRPr="005728DD">
        <w:rPr>
          <w:i/>
        </w:rPr>
        <w:t>habeas corpus</w:t>
      </w:r>
      <w:r>
        <w:t xml:space="preserve"> para producir la inmediata puesta a disposición judicial de toda persona detenida ilegalmente’. La Ley Orgánica 6/1984, de 24 de mayo, reguladora del procedimiento de </w:t>
      </w:r>
      <w:r w:rsidRPr="005728DD">
        <w:rPr>
          <w:i/>
        </w:rPr>
        <w:t>habeas corpus</w:t>
      </w:r>
      <w:r>
        <w:t xml:space="preserve"> (LOHC) ha desarrollado ese mandato constitucional. El art. 1 LOHC establece que mediante este procedimiento podrá obtenerse la inmediata puesta a disposición de la autoridad judicial competente de cualquier persona detenida ilegalmente, entendiendo por tal quien lo fuera sin que concurran los supuestos legales, o sin haberse cumplido las formalidades prevenidas y </w:t>
      </w:r>
      <w:r>
        <w:lastRenderedPageBreak/>
        <w:t>requisitos exigidos por las leyes; las que estén ilícitamente internadas en cualquier establecimiento o lugar; las que lo estuvieran por plazo superior al señalado en las leyes; y a quienes no les sean respetados los derechos que la Constitución y las leyes procesales garantizan a toda persona detenida” (SSTC 72/2019, de 20 de mayo, FJ 2, y 181/2020, de 14 de diciembre, FJ 6, por todas).</w:t>
      </w:r>
    </w:p>
    <w:p w:rsidR="005728DD" w:rsidRDefault="005728DD" w:rsidP="005728DD">
      <w:pPr>
        <w:pStyle w:val="TextoNormal"/>
      </w:pPr>
    </w:p>
    <w:p w:rsidR="005728DD" w:rsidRDefault="005728DD" w:rsidP="005728DD">
      <w:pPr>
        <w:pStyle w:val="TextoNormal"/>
      </w:pPr>
      <w:r>
        <w:t xml:space="preserve">Además, este tribunal ha establecido una consolidada jurisprudencia en relación con esta previsión constitucional y la incidencia que sobre ella tienen las decisiones judiciales de no admisión a trámite de la solicitud de </w:t>
      </w:r>
      <w:r w:rsidRPr="005728DD">
        <w:rPr>
          <w:i/>
        </w:rPr>
        <w:t>habeas corpus</w:t>
      </w:r>
      <w:r>
        <w:t xml:space="preserve">. Ha declarado que, aun cuando la Ley Orgánica de regulación del procedimiento de </w:t>
      </w:r>
      <w:r w:rsidRPr="005728DD">
        <w:rPr>
          <w:i/>
        </w:rPr>
        <w:t>habeas corpus</w:t>
      </w:r>
      <w:r>
        <w:t xml:space="preserve">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w:t>
      </w:r>
    </w:p>
    <w:p w:rsidR="005728DD" w:rsidRDefault="005728DD" w:rsidP="005728DD">
      <w:pPr>
        <w:pStyle w:val="TextoNormal"/>
      </w:pPr>
    </w:p>
    <w:p w:rsidR="005728DD" w:rsidRDefault="005728DD" w:rsidP="005728DD">
      <w:pPr>
        <w:pStyle w:val="TextoNormal"/>
      </w:pPr>
      <w:r>
        <w:t xml:space="preserve">Los únicos motivos constitucionalmente legítimos para no admitir un procedimiento de </w:t>
      </w:r>
      <w:r w:rsidRPr="005728DD">
        <w:rPr>
          <w:i/>
        </w:rPr>
        <w:t>habeas corpus</w:t>
      </w:r>
      <w:r>
        <w:t xml:space="preserve">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rsidR="005728DD" w:rsidRDefault="005728DD" w:rsidP="005728DD">
      <w:pPr>
        <w:pStyle w:val="TextoNormal"/>
      </w:pPr>
    </w:p>
    <w:p w:rsidR="005728DD" w:rsidRDefault="005728DD" w:rsidP="005728DD">
      <w:pPr>
        <w:pStyle w:val="TextoNormal"/>
      </w:pPr>
      <w:r>
        <w:t xml:space="preserve">“Por tanto, se hace necesario reiterar una vez más que este tribunal ha declarado que el procedimiento de </w:t>
      </w:r>
      <w:r w:rsidRPr="005728DD">
        <w:rPr>
          <w:i/>
        </w:rPr>
        <w:t>habeas corpus</w:t>
      </w:r>
      <w:r>
        <w:t xml:space="preserve">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w:t>
      </w:r>
      <w:r w:rsidRPr="005728DD">
        <w:rPr>
          <w:i/>
        </w:rPr>
        <w:t>habeas corpus</w:t>
      </w:r>
      <w:r>
        <w:t xml:space="preserve">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005728DD" w:rsidRDefault="005728DD" w:rsidP="005728DD">
      <w:pPr>
        <w:pStyle w:val="TextoNormal"/>
      </w:pPr>
    </w:p>
    <w:p w:rsidR="005728DD" w:rsidRDefault="005728DD" w:rsidP="005728DD">
      <w:pPr>
        <w:pStyle w:val="TextoNormal"/>
      </w:pPr>
      <w:r>
        <w:t xml:space="preserve">El frecuente incumplimiento de esta jurisprudencia constitucional, que se pone de manifiesto con ocasión de los sucesivos recursos de amparo que se van presentado, es motivo de muy alta preocupación para el Tribunal Constitucional en una materia que suscita especial sensibilidad desde el punto de vista del respeto a los derechos fundamentales y que constituye uno de los fundamentos elementales del estado de Derecho desde el punto de vista histórico e institucional. No resulta fácilmente comprensible que, tras el extenso número de resoluciones dictadas por este Tribunal sobre esta cuestión, la jurisprudencia constitucional en la materia siga sin ser trasladada al quehacer cotidiano de todos los que participan en la </w:t>
      </w:r>
      <w:r>
        <w:lastRenderedPageBreak/>
        <w:t xml:space="preserve">labor de tramitación judicial de los procedimientos de </w:t>
      </w:r>
      <w:r w:rsidRPr="005728DD">
        <w:rPr>
          <w:i/>
        </w:rPr>
        <w:t>habeas corpus</w:t>
      </w:r>
      <w:r>
        <w:t xml:space="preserve"> y que por esta razón deban seguir admitiéndose recursos de amparo que se acogen a la alegación del incumplimiento de la jurisprudencia constitucional como motivo de especial trascendencia constitucional” (SSTC 72/2019, FJ 2, y 181/2020, de 14 de diciembre, FJ 6, ya citados).</w:t>
      </w:r>
    </w:p>
    <w:p w:rsidR="005728DD" w:rsidRDefault="005728DD" w:rsidP="005728DD">
      <w:pPr>
        <w:pStyle w:val="TextoNormal"/>
      </w:pPr>
    </w:p>
    <w:p w:rsidR="005728DD" w:rsidRDefault="005728DD" w:rsidP="005728DD">
      <w:pPr>
        <w:pStyle w:val="TextoNormal"/>
      </w:pPr>
      <w:r>
        <w:t xml:space="preserve">b) Como se ha expuesto en los antecedentes de esta resolución, sobre las 23:30 horas del día 8 de noviembre de 2019, el letrado del ahora demandante presentó una solicitud de </w:t>
      </w:r>
      <w:r w:rsidRPr="005728DD">
        <w:rPr>
          <w:i/>
        </w:rPr>
        <w:t>habeas corpus</w:t>
      </w:r>
      <w:r>
        <w:t xml:space="preserve"> por la que, en esencia, alegaba la vulneración del derecho de su defendido a la libertad personal (art. 17 CE), en relación con su derecho a la tutela judicial efectiva (art. 24.1 CE), porque entendía que aquel había sido detenido “sin ningún motivo y por la indebida forma de haber procedido a su detención”. A dicha solicitud, el Juzgado de Instrucción núm. 3 de Badajoz, en funciones de guardia, dictó un auto en la mañana del siguiente día 9 de noviembre, por el que inadmitió a trámite aquella solicitud por entender que, en virtud de la “información que consta en la copia del atestado, que ha sido remitida junto con la solicitud de </w:t>
      </w:r>
      <w:r w:rsidRPr="005728DD">
        <w:rPr>
          <w:i/>
        </w:rPr>
        <w:t>habeas corpus</w:t>
      </w:r>
      <w:r>
        <w:t xml:space="preserve">”, en la que se afirma que, al ahora recurrente, le era imputado un presunto delito de atentado a agentes de la autoridad, eventualmente cometido antes de la detención, llega a la conclusión de que la detención practicada por los funcionarios de policía se ajustaba a lo dispuesto en el art. 492 LECrim y, en consecuencia, acordó denegar la incoación del procedimiento de </w:t>
      </w:r>
      <w:r w:rsidRPr="005728DD">
        <w:rPr>
          <w:i/>
        </w:rPr>
        <w:t>habeas corpus</w:t>
      </w:r>
      <w:r>
        <w:t xml:space="preserve"> y el subsiguiente archivo de las actuaciones.</w:t>
      </w:r>
    </w:p>
    <w:p w:rsidR="005728DD" w:rsidRDefault="005728DD" w:rsidP="005728DD">
      <w:pPr>
        <w:pStyle w:val="TextoNormal"/>
      </w:pPr>
    </w:p>
    <w:p w:rsidR="005728DD" w:rsidRDefault="005728DD" w:rsidP="005728DD">
      <w:pPr>
        <w:pStyle w:val="TextoNormal"/>
      </w:pPr>
      <w:r>
        <w:t xml:space="preserve">c) La resolución judicial impugnada ha sido dictada con manifiesta contravención de la doctrina de este tribunal. El juzgado dictó un auto por el que inadmitió a trámite la solicitud de </w:t>
      </w:r>
      <w:r w:rsidRPr="005728DD">
        <w:rPr>
          <w:i/>
        </w:rPr>
        <w:t>habeas corpus</w:t>
      </w:r>
      <w:r>
        <w:t xml:space="preserve"> por un motivo de fondo como era la legalidad de la detención. Como se acaba de exponer, una decisión de ese tipo solo puede acordarse tras la incoación del procedimiento y, al menos, con la audiencia del detenido a presencia judicial, intervención del Ministerio Fiscal y la asistencia de su letrado defensor.</w:t>
      </w:r>
    </w:p>
    <w:p w:rsidR="005728DD" w:rsidRDefault="005728DD" w:rsidP="005728DD">
      <w:pPr>
        <w:pStyle w:val="TextoNormal"/>
      </w:pPr>
    </w:p>
    <w:p w:rsidR="005728DD" w:rsidRDefault="005728DD" w:rsidP="005728DD">
      <w:pPr>
        <w:pStyle w:val="TextoNormal"/>
      </w:pPr>
      <w:r>
        <w:t xml:space="preserve">De manera reiterada, este tribunal ha declarado que, estando en juego el derecho fundamental a la libertad, como sucede en el caso de autos, “la eventual ausencia de una motivación suficiente y razonable de la decisión no supondrá solo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w:t>
      </w:r>
      <w:r w:rsidRPr="005728DD">
        <w:rPr>
          <w:i/>
        </w:rPr>
        <w:t>habeas corpus</w:t>
      </w:r>
      <w:r>
        <w:t>, prevista en el art. 17.4 CE, forma parte de la propia garantía” (STC 204/2015, de 5 de octubre, FJ 4, por todas).</w:t>
      </w:r>
    </w:p>
    <w:p w:rsidR="005728DD" w:rsidRDefault="005728DD" w:rsidP="005728DD">
      <w:pPr>
        <w:pStyle w:val="TextoNormal"/>
      </w:pPr>
    </w:p>
    <w:p w:rsidR="005728DD" w:rsidRDefault="005728DD" w:rsidP="005728DD">
      <w:pPr>
        <w:pStyle w:val="TextoNormal"/>
      </w:pPr>
      <w:r>
        <w:t xml:space="preserve">d) La solicitud de incoación del procedimiento de </w:t>
      </w:r>
      <w:r w:rsidRPr="005728DD">
        <w:rPr>
          <w:i/>
        </w:rPr>
        <w:t>habeas corpus</w:t>
      </w:r>
      <w:r>
        <w:t xml:space="preserve"> cumplía, pues, con el presupuesto de la existencia de una privación de libertad acordada por la autoridad gubernativa, se dirigía al órgano judicial competente para su tramitación y se cumplían todas las exigencias formales de legitimación y contenido del escrito a que se refieren los arts. 3 y 4 LOHC. Además, la resolución judicial impugnada adoptó la decisión, prevista en el art. 6 LOHC, de denegar la incoación del citado procedimiento de </w:t>
      </w:r>
      <w:r w:rsidRPr="005728DD">
        <w:rPr>
          <w:i/>
        </w:rPr>
        <w:t>habeas corpus</w:t>
      </w:r>
      <w:r>
        <w:t xml:space="preserve"> apoyándola en razones de fondo sobre la legalidad de la privación de libertad gubernativa de que estaba siendo objeto el ahora demandante de amparo, que únicamente podrían haber sido adoptadas después de incoado el procedimiento y oído el detenido, asistido de letrado y con intervención del Ministerio Fiscal.</w:t>
      </w:r>
    </w:p>
    <w:p w:rsidR="005728DD" w:rsidRDefault="005728DD" w:rsidP="005728DD">
      <w:pPr>
        <w:pStyle w:val="TextoNormal"/>
      </w:pPr>
    </w:p>
    <w:p w:rsidR="005728DD" w:rsidRDefault="005728DD" w:rsidP="005728DD">
      <w:pPr>
        <w:pStyle w:val="TextoNormal"/>
      </w:pPr>
      <w:r>
        <w:lastRenderedPageBreak/>
        <w:t xml:space="preserve">Hay que concluir, pues, que esta actuación judicial ha vulnerado el derecho a la libertad personal del demandante (arts. 17.1 y 4 CE), al haberse visto privado este de la plena sustanciación del procedimiento de </w:t>
      </w:r>
      <w:r w:rsidRPr="005728DD">
        <w:rPr>
          <w:i/>
        </w:rPr>
        <w:t>habeas corpus</w:t>
      </w:r>
      <w:r>
        <w:t xml:space="preserve"> y, con ello, haberse frustrado el efectivo control judicial de las privaciones de libertad gubernativas que se realicen a su amparo, que es una pieza clave e insustituible del diseño constitucional del régimen de protección del derecho a la libertad de los ciudadanos frente a las privaciones de libertad no acordadas judicialmente.</w:t>
      </w:r>
    </w:p>
    <w:p w:rsidR="005728DD" w:rsidRDefault="005728DD" w:rsidP="005728DD">
      <w:pPr>
        <w:pStyle w:val="TextoNormal"/>
      </w:pPr>
    </w:p>
    <w:p w:rsidR="005728DD" w:rsidRDefault="005728DD" w:rsidP="005728DD">
      <w:pPr>
        <w:pStyle w:val="TextoNormal"/>
      </w:pPr>
      <w:r>
        <w:t>El motivo de amparo debe ser estimado.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Alcance del amparo</w:t>
      </w:r>
      <w:r>
        <w:t>.</w:t>
      </w:r>
    </w:p>
    <w:p w:rsidR="005728DD" w:rsidRDefault="005728DD" w:rsidP="005728DD">
      <w:pPr>
        <w:pStyle w:val="TextoNormal"/>
      </w:pPr>
    </w:p>
    <w:p w:rsidR="005728DD" w:rsidRDefault="005728DD" w:rsidP="005728DD">
      <w:pPr>
        <w:pStyle w:val="TextoNormal"/>
      </w:pPr>
      <w:r>
        <w:t xml:space="preserve">La estimación del recurso de amparo debe acarrear la nulidad del auto de 9 de noviembre de 2019 del Juzgado de Instrucción núm. 3 de Badajoz, que inadmitió a trámite la solicitud de </w:t>
      </w:r>
      <w:r w:rsidRPr="005728DD">
        <w:rPr>
          <w:i/>
        </w:rPr>
        <w:t>habeas corpus</w:t>
      </w:r>
      <w:r>
        <w:t xml:space="preserve"> del demandante de amparo, por vulneración del derecho a la libertad personal del mismo (arts. 17, 1 y 4 y 24.1 CE), al no haber resuelto el Juzgado con celeridad sobre la solicitud de </w:t>
      </w:r>
      <w:r w:rsidRPr="005728DD">
        <w:rPr>
          <w:i/>
        </w:rPr>
        <w:t>habeas corpus</w:t>
      </w:r>
      <w:r>
        <w:t xml:space="preserve"> presentada por el letrado del recurrente, detenido en las dependencias policiales, y por no haber efectuado aquel, de modo efectivo, el control que requiere la incoación del procedimiento de </w:t>
      </w:r>
      <w:r w:rsidRPr="005728DD">
        <w:rPr>
          <w:i/>
        </w:rPr>
        <w:t>habeas corpus</w:t>
      </w:r>
      <w:r>
        <w:t xml:space="preserve"> solicitado por el recurrente, la audiencia del mismo, con asistencia de su letrado defensor e intervención del Ministerio Fiscal, para verificar que la privación de libertad hubiera sido adoptada conforme a la ley por los funcionarios policiales actuantes.</w:t>
      </w:r>
    </w:p>
    <w:p w:rsidR="005728DD" w:rsidRDefault="005728DD" w:rsidP="005728DD">
      <w:pPr>
        <w:pStyle w:val="TextoNormal"/>
      </w:pPr>
    </w:p>
    <w:p w:rsidR="005728DD" w:rsidRDefault="005728DD" w:rsidP="005728DD">
      <w:pPr>
        <w:pStyle w:val="TextoNormal"/>
      </w:pPr>
      <w:r>
        <w:t xml:space="preserve">La declaración de nulidad del auto impugnado no hace precisa la retroacción de actuaciones, la cual carecería de eficacia alguna por haber cesado la situación de privación de libertad a cuyo control de legalidad está orientado el procedimiento de </w:t>
      </w:r>
      <w:r w:rsidRPr="005728DD">
        <w:rPr>
          <w:i/>
        </w:rPr>
        <w:t>habeas corpus</w:t>
      </w:r>
      <w:r>
        <w:t>.</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solicitado por don Jesús Sebastián Rocho Leal y, en su virtud:</w:t>
      </w:r>
    </w:p>
    <w:p w:rsidR="005728DD" w:rsidRDefault="005728DD" w:rsidP="005728DD">
      <w:pPr>
        <w:pStyle w:val="TextoNormal"/>
      </w:pPr>
    </w:p>
    <w:p w:rsidR="005728DD" w:rsidRDefault="005728DD" w:rsidP="005728DD">
      <w:pPr>
        <w:pStyle w:val="TextoNormal"/>
      </w:pPr>
      <w:r>
        <w:t>1º Declarar que ha sido vulnerado el derecho fundamental del demandante de amparo a la libertad personal (arts. 17.1 y 4 y 24.1 CE).</w:t>
      </w:r>
    </w:p>
    <w:p w:rsidR="005728DD" w:rsidRDefault="005728DD" w:rsidP="005728DD">
      <w:pPr>
        <w:pStyle w:val="TextoNormal"/>
      </w:pPr>
    </w:p>
    <w:p w:rsidR="005728DD" w:rsidRDefault="005728DD" w:rsidP="005728DD">
      <w:pPr>
        <w:pStyle w:val="TextoNormal"/>
      </w:pPr>
      <w:r>
        <w:t xml:space="preserve">2º Restablecerle en la integridad de su derecho y, en consecuencia, declarar la nulidad del auto de 9 de noviembre de 2019, del Juzgado de Instrucción núm. 3 de Badajoz, recaído en el procedimiento de </w:t>
      </w:r>
      <w:r w:rsidRPr="005728DD">
        <w:rPr>
          <w:i/>
        </w:rPr>
        <w:t>habeas corpus</w:t>
      </w:r>
      <w:r>
        <w:t xml:space="preserve"> núm. 4-2019.</w:t>
      </w:r>
    </w:p>
    <w:p w:rsidR="005728DD" w:rsidRDefault="005728DD" w:rsidP="005728DD">
      <w:pPr>
        <w:pStyle w:val="TextoNormal"/>
      </w:pPr>
      <w:r>
        <w:t>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marzo de dos mil veintiuno.</w:t>
      </w:r>
    </w:p>
    <w:p w:rsidR="005728DD" w:rsidRDefault="005728DD" w:rsidP="005728DD">
      <w:pPr>
        <w:pStyle w:val="ParrafoNormal"/>
      </w:pPr>
    </w:p>
    <w:p w:rsidR="005728DD" w:rsidRDefault="005728DD" w:rsidP="005728DD">
      <w:pPr>
        <w:pStyle w:val="TextoNormalNegritaCentrado"/>
        <w:keepNext/>
      </w:pPr>
      <w:r>
        <w:t xml:space="preserve">Voto particular que formula el magistrado don Antonio Narváez Rodríguez, en relación con la sentencia dictada en el recurso de amparo avocado al </w:t>
      </w:r>
      <w:r>
        <w:lastRenderedPageBreak/>
        <w:t>Pleno núm. 7439-2019, al que se adhieren los magistrados don Santiago Martínez-Vares García y don Alfredo Montoya Melgar</w:t>
      </w:r>
    </w:p>
    <w:p w:rsidR="005728DD" w:rsidRDefault="005728DD" w:rsidP="005728DD">
      <w:pPr>
        <w:pStyle w:val="TextoNormalNegritaCentrado"/>
        <w:keepNext/>
      </w:pPr>
    </w:p>
    <w:p w:rsidR="005728DD" w:rsidRDefault="005728DD" w:rsidP="005728DD">
      <w:pPr>
        <w:pStyle w:val="TextoNormal"/>
      </w:pPr>
      <w:r>
        <w:t>Aun cuando como ponente de esta sentencia me ha correspondido su redacción, debiéndolo hacer según el parecer de la mayoría del Pleno de este tribunal, mi posición es contraria al mismo y así tuve ocasión de exponerlo en la deliberación que precedió a su aprobación definitiva, por lo que ahora formulo voto particular discrepante respecto de aquella, al amparo de lo dispuesto en el art. 90.2 LOTC.</w:t>
      </w:r>
    </w:p>
    <w:p w:rsidR="005728DD" w:rsidRDefault="005728DD" w:rsidP="005728DD">
      <w:pPr>
        <w:pStyle w:val="TextoNormal"/>
      </w:pPr>
    </w:p>
    <w:p w:rsidR="005728DD" w:rsidRDefault="005728DD" w:rsidP="005728DD">
      <w:pPr>
        <w:pStyle w:val="TextoNormal"/>
      </w:pPr>
      <w:r>
        <w:t xml:space="preserve">a) El sentido de mi discrepancia tiene que ver con la procedencia del incidente extraordinario de nulidad de actuaciones del art. 241 LOPJ, en el ámbito de los procedimientos de </w:t>
      </w:r>
      <w:r w:rsidRPr="005728DD">
        <w:rPr>
          <w:i/>
        </w:rPr>
        <w:t>habeas corpus</w:t>
      </w:r>
      <w:r>
        <w:t>, y con la necesidad de su promoción ante el órgano judicial como requisito previo a la presentación de la demanda de amparo, cuando la denuncia de la vulneración de derechos fundamentales es imputada por el recurrente a la ausencia de un control judicial de la privación de libertad provisional o de las condiciones en que se haya producido esta, en supuestos de detención preventiva realizada por autoridades o funcionarios no judiciales, con ocasión de la presunta comisión de un hecho delictivo.</w:t>
      </w:r>
    </w:p>
    <w:p w:rsidR="005728DD" w:rsidRDefault="005728DD" w:rsidP="005728DD">
      <w:pPr>
        <w:pStyle w:val="TextoNormal"/>
      </w:pPr>
    </w:p>
    <w:p w:rsidR="005728DD" w:rsidRDefault="005728DD" w:rsidP="005728DD">
      <w:pPr>
        <w:pStyle w:val="TextoNormal"/>
      </w:pPr>
      <w:r>
        <w:t xml:space="preserve">El presente recurso de amparo fue avocado al Pleno del tribunal con objeto de establecer una doctrina constitucional que ofreciera seguridad a todos los operadores jurídicos, de modo particular a los eventuales solicitantes de </w:t>
      </w:r>
      <w:r w:rsidRPr="005728DD">
        <w:rPr>
          <w:i/>
        </w:rPr>
        <w:t>habeas corpus</w:t>
      </w:r>
      <w:r>
        <w:t xml:space="preserve">, sobre la exigencia de interponer este incidente de nulidad ante el mismo juzgado de guardia que hubiera acordado la inadmisión a trámite del procedimiento de </w:t>
      </w:r>
      <w:r w:rsidRPr="005728DD">
        <w:rPr>
          <w:i/>
        </w:rPr>
        <w:t>habeas corpus</w:t>
      </w:r>
      <w:r>
        <w:t>, antes de acudir al trámite extraordinario y subsidiario del recurso de amparo.</w:t>
      </w:r>
    </w:p>
    <w:p w:rsidR="005728DD" w:rsidRDefault="005728DD" w:rsidP="005728DD">
      <w:pPr>
        <w:pStyle w:val="TextoNormal"/>
      </w:pPr>
    </w:p>
    <w:p w:rsidR="005728DD" w:rsidRDefault="005728DD" w:rsidP="005728DD">
      <w:pPr>
        <w:pStyle w:val="TextoNormal"/>
      </w:pPr>
      <w:r>
        <w:t xml:space="preserve">La sentencia aprobada por la mayoría del tribunal, que acato y respeto aunque no comparto en su fundamentación, es la de considerar que no es necesaria la promoción del incidente de nulidad, como paso previo al agotamiento de la vía judicial, en los casos en que el recurrente vea inadmitida a trámite su solicitud de </w:t>
      </w:r>
      <w:r w:rsidRPr="005728DD">
        <w:rPr>
          <w:i/>
        </w:rPr>
        <w:t>habeas corpus</w:t>
      </w:r>
      <w:r>
        <w:t xml:space="preserve"> y entienda que el órgano judicial (en el caso de autos, el juzgado de guardia) ha vulnerado el derecho fundamental a la libertad personal del art. 17.4 CE, por no haber realizado un control judicial efectivo de la privación de libertad padecida o de las condiciones en que aquella tuvo lugar. Razona la sentencia que la vertiente del derecho a la libertad personal contenida en el art. 17.4 CE constituye una garantía esencial del derecho fundamental a la libertad personal reconocido en el conjunto del precitado art. 17 CE y, en consecuencia, dada la íntima conexión que existe entre el derecho a la libertad y el procedimiento de </w:t>
      </w:r>
      <w:r w:rsidRPr="005728DD">
        <w:rPr>
          <w:i/>
        </w:rPr>
        <w:t>habeas corpus</w:t>
      </w:r>
      <w:r>
        <w:t>, “no es posible concebir la existencia de este último si no es en relación con el ejercicio de aquel, pues este instrumento procesal solo es posible actuarlo para su debida protección y defensa” [FJ 2 B)]. Se trata, sigue afirmando el Tribunal, de una “modalidad tutelar específica, que es propia y exclusiva del derecho a la libertad personal, a diferencia de la tutela judicial que ofrece el derecho reconocido en el art. 24.1 CE, aplicable a todo tipo de procesos judiciales y de jurisdicciones, aun cuando, por su conexión con otros derechos fundamentales, deba tener aquella un carácter reforzado en ocasiones” [FJ 2 B) citado].</w:t>
      </w:r>
    </w:p>
    <w:p w:rsidR="005728DD" w:rsidRDefault="005728DD" w:rsidP="005728DD">
      <w:pPr>
        <w:pStyle w:val="TextoNormal"/>
      </w:pPr>
    </w:p>
    <w:p w:rsidR="005728DD" w:rsidRDefault="005728DD" w:rsidP="005728DD">
      <w:pPr>
        <w:pStyle w:val="TextoNormal"/>
      </w:pPr>
      <w:r>
        <w:t xml:space="preserve">A partir de la citada consideración, concluye la argumentación de la sentencia que no será necesario promover el incidente de nulidad de actuaciones cuando se pretenda denunciar la vulneración del art. 17.4 CE ante este tribunal, por falta del control judicial de la </w:t>
      </w:r>
      <w:r>
        <w:lastRenderedPageBreak/>
        <w:t>privación de libertad provisional o de las condiciones de esta. Y completa dicho planteamiento la afirmación de que este tribunal no rechazará por extemporáneo el recurso de amparo que venga precedido del incidente de nulidad de actuaciones inadmitido a trámite o desestimado en la vía judicial.</w:t>
      </w:r>
    </w:p>
    <w:p w:rsidR="005728DD" w:rsidRDefault="005728DD" w:rsidP="005728DD">
      <w:pPr>
        <w:pStyle w:val="TextoNormal"/>
      </w:pPr>
    </w:p>
    <w:p w:rsidR="005728DD" w:rsidRDefault="005728DD" w:rsidP="005728DD">
      <w:pPr>
        <w:pStyle w:val="TextoNormal"/>
      </w:pPr>
      <w:r>
        <w:t>El sentido de mi discrepancia obedece a los siguientes razonamientos:</w:t>
      </w:r>
    </w:p>
    <w:p w:rsidR="005728DD" w:rsidRDefault="005728DD" w:rsidP="005728DD">
      <w:pPr>
        <w:pStyle w:val="TextoNormal"/>
      </w:pPr>
    </w:p>
    <w:p w:rsidR="005728DD" w:rsidRDefault="005728DD" w:rsidP="005728DD">
      <w:pPr>
        <w:pStyle w:val="TextoNormal"/>
      </w:pPr>
      <w:r>
        <w:t>(i) La disposición final primera de la Ley Orgánica 6/2007, de 24 de mayo, ha introducido una importante modificación en el régimen del incidente extraordinario de nulidad de actuaciones del art. 241.1 LOPJ, hasta entonces limitado a la queja por vulneración del derecho a la tutela judicial efectiva en su vertiente del derecho a obtener una resolución judicial motivada y congruente con la pretensión ejercitada. A partir de la entrada en vigor de la citada reforma, el incidente se ha hecho extensivo a la infracción de cualquier derecho fundamental que no haya podido ser invocada con anterioridad, de tal manera que, como apunta la exposición de motivos de aquella ley, la “ampliación del incidente de nulidad de actuaciones previo al amparo busca otorgar a los tribunales ordinarios el papel de primeros garantes de los derechos fundamentales en nuestro ordenamiento jurídico”.</w:t>
      </w:r>
    </w:p>
    <w:p w:rsidR="005728DD" w:rsidRDefault="005728DD" w:rsidP="005728DD">
      <w:pPr>
        <w:pStyle w:val="TextoNormal"/>
      </w:pPr>
    </w:p>
    <w:p w:rsidR="005728DD" w:rsidRDefault="005728DD" w:rsidP="005728DD">
      <w:pPr>
        <w:pStyle w:val="TextoNormal"/>
      </w:pPr>
      <w:r>
        <w:t>Así pues, el legislador ha configurado el incidente extraordinario de nulidad de actuaciones con una doble finalidad: De una parte, para reforzar el estatus de los órganos judiciales como primeros garantes de la efectividad de los derechos fundamentales, que el art. 24.1 CE y la doctrina de este tribunal siempre les han reconocido. De otro lado, para establecer el necesario contrapunto a la novedosa regulación del recurso de amparo, que, de tener un carácter subjetivo e individual de protección de los derechos fundamentales, ha pasado a convertirse en un procedimiento objetivo, con vocación de alcance general a otros supuestos, en el que, a la alegada vulneración del derecho fundamental individual, debe unirse la exigencia de justificar la especial trascendencia constitucional por parte del recurrente y la apreciación de la misma por este tribunal.</w:t>
      </w:r>
    </w:p>
    <w:p w:rsidR="005728DD" w:rsidRDefault="005728DD" w:rsidP="005728DD">
      <w:pPr>
        <w:pStyle w:val="TextoNormal"/>
      </w:pPr>
    </w:p>
    <w:p w:rsidR="005728DD" w:rsidRDefault="005728DD" w:rsidP="005728DD">
      <w:pPr>
        <w:pStyle w:val="TextoNormal"/>
      </w:pPr>
      <w:r>
        <w:t>Con esta reforma, el legislador ha pretendido que el incidente de nulidad de actuaciones del art. 241.1 LOPJ cobre protagonismo en su función de erigirse en garantía principal de la efectividad de los derechos fundamentales, acentuando, pues, el carácter subsidiario del recurso de amparo, que quedará reservado tan solo a las reclamaciones que, además de presentar indicios de vulneración de los derechos fundamentales, tengan especial trascendencia constitucional y un alcance general al de otros supuestos semejantes de la doctrina establecida en las sentencias del Tribunal Constitucional.</w:t>
      </w:r>
    </w:p>
    <w:p w:rsidR="005728DD" w:rsidRDefault="005728DD" w:rsidP="005728DD">
      <w:pPr>
        <w:pStyle w:val="TextoNormal"/>
      </w:pPr>
    </w:p>
    <w:p w:rsidR="005728DD" w:rsidRDefault="005728DD" w:rsidP="005728DD">
      <w:pPr>
        <w:pStyle w:val="TextoNormal"/>
      </w:pPr>
      <w:r>
        <w:t xml:space="preserve">(ii) La sentencia de la que discrepo se aparta de ese objetivo legislativo e introduce una excepción al diseño general del sistema de garantías de los derechos fundamentales establecido por el legislador orgánico. Excepción que, a mi entender, carece de fundamento alguno, toda vez que, hasta ahora, el Tribunal Constitucional ha entendido que la resolución del órgano judicial incurre en una vulneración del derecho a la tutela judicial efectiva, autónoma respecto del derecho a la libertad y causada en el momento en que el juez desatiende el mandato constitucional de realizar un control efectivo de la privación de libertad del detenido o de las condiciones en que aquella se llevó a efecto. Se ha entendido hasta esta sentencia que la no formalización del incidente de nulidad de actuaciones deviene en un motivo </w:t>
      </w:r>
      <w:r>
        <w:lastRenderedPageBreak/>
        <w:t>de inadmisión o de desestimación del recurso de amparo, al no haber dado la parte oportunidad al órgano judicial de pronunciarse sobre la vulneración del derecho y acudir directamente a esta vía subsidiaria del recurso de amparo.</w:t>
      </w:r>
    </w:p>
    <w:p w:rsidR="005728DD" w:rsidRDefault="005728DD" w:rsidP="005728DD">
      <w:pPr>
        <w:pStyle w:val="TextoNormal"/>
      </w:pPr>
    </w:p>
    <w:p w:rsidR="005728DD" w:rsidRDefault="005728DD" w:rsidP="005728DD">
      <w:pPr>
        <w:pStyle w:val="TextoNormal"/>
      </w:pPr>
      <w:r>
        <w:t>Ha insistido este tribunal en la indudable relevancia constitucional que tiene “el incidente de nulidad de actuaciones, tras la reforma operada en la Ley Orgánica del poder judicial por la Ley Orgánica 6/2007, que otorga un especial protagonismo a los tribunales ordinarios, acentuando su función como primeros garantes de los derechos fundamentales en el ordenamiento jurídico y con el fin de lograr que la tutela y defensa de esos derechos por parte del Tribunal Constitucional sea realmente subsidiaria, al ser el incidente de nulidad de actuaciones un instrumento idóneo para la tutela del derecho fundamental en cuestión, en cuya resolución debían tener presente que —de no tener el caso trascendencia constitucional— se trataría de la última vía que permitiría la reparación de la vulneración denunciada (STC 180/2015, de 7 de septiembre, FJ 6)” (STC 102/2020, 21 de septiembre, FJ 4, por todas).</w:t>
      </w:r>
    </w:p>
    <w:p w:rsidR="005728DD" w:rsidRDefault="005728DD" w:rsidP="005728DD">
      <w:pPr>
        <w:pStyle w:val="TextoNormal"/>
      </w:pPr>
    </w:p>
    <w:p w:rsidR="005728DD" w:rsidRDefault="005728DD" w:rsidP="005728DD">
      <w:pPr>
        <w:pStyle w:val="TextoNormal"/>
      </w:pPr>
      <w:r>
        <w:t xml:space="preserve">Igualmente, hemos declarado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de modo que su función en materia de tutela de derechos es esencialmente la misma que cumple la propia interposición de un recurso ordinario (STC 153/2012, de 16 de julio, FJ 3)” [STC 23/2020, de 13 de febrero, FJ 2 a) y las allí citadas]. Este requisito del art. 44.1 a) LOTC responde “a la finalidad de preservar el carácter subsidiario del recurso de amparo, evitando que el acceso a esta jurisdicción constitucional se produzca </w:t>
      </w:r>
      <w:r w:rsidRPr="005728DD">
        <w:rPr>
          <w:i/>
        </w:rPr>
        <w:t>per saltum</w:t>
      </w:r>
      <w:r>
        <w:t>, es decir, sin brindar a los órganos judiciales la oportunidad de pronunciarse y, en su caso, remediar la lesión invocada como fundamento del recurso de amparo constitucional” [STC 23/2020, de 13 de febrero, FJ 2 b) y las que allí se citan].</w:t>
      </w:r>
    </w:p>
    <w:p w:rsidR="005728DD" w:rsidRDefault="005728DD" w:rsidP="005728DD">
      <w:pPr>
        <w:pStyle w:val="TextoNormal"/>
      </w:pPr>
    </w:p>
    <w:p w:rsidR="005728DD" w:rsidRDefault="005728DD" w:rsidP="005728DD">
      <w:pPr>
        <w:pStyle w:val="TextoNormal"/>
      </w:pPr>
      <w:r>
        <w:t xml:space="preserve">Se trata, pues, de una doctrina constitucional reiterada y uniforme que, a mi juicio, no debería haber sido modificada, o “matizada”, según expresión que recoge la sentencia de la que ahora discrepo. En realidad, a mi modo de ver, no estamos ante una “matización”, sino que se trata de un verdadero </w:t>
      </w:r>
      <w:r w:rsidRPr="005728DD">
        <w:rPr>
          <w:i/>
        </w:rPr>
        <w:t>overruling</w:t>
      </w:r>
      <w:r>
        <w:t xml:space="preserve">, pues, si el órgano judicial, presentada la solicitud de </w:t>
      </w:r>
      <w:r w:rsidRPr="005728DD">
        <w:rPr>
          <w:i/>
        </w:rPr>
        <w:t>habeas corpus</w:t>
      </w:r>
      <w:r>
        <w:t xml:space="preserve">, se erige en garante de la efectividad del derecho a la libertad y, a través de la incoación del correspondiente procedimiento, debe tutelar la privación de libertad del detenido y de las condiciones en que aquella se haya producido, al no hacerlo, limitándose a denegar la incoación del procedimiento, se está causando, eventualmente, una nueva vulneración de un derecho fundamental, en este caso la del derecho a la libertad del art. 17.4 CE, conectado a las exigencias de tutela de este derecho que el juez está denegando al detenido. Aquel habrá resuelto sobre el fondo del asunto, esto es entendiendo que la persona no se halla ilícitamente privada de libertad, sin ni siquiera haberla oído con asistencia de su letrado y con la intervención en la comparecencia del Ministerio Fiscal. La constante jurisprudencia de este tribunal ha insistido en que tal decisión de inadmitir solo puede basarse en “la falta del presupuesto necesario de una situación de privación de libertad no acordada judicialmente o en el incumplimiento de los requisitos formales a los que se refiere el art. 4 LOHC” (STC 72/2019, de 20 de mayo, FJ 2, y las que allí se citan). En tales casos, se ha dicho hasta ahora por el tribunal que es imprescindible la promoción del incidente extraordinario de nulidad de actuaciones del art. 241 LOPJ, para entender agotada la vía judicial </w:t>
      </w:r>
      <w:r>
        <w:lastRenderedPageBreak/>
        <w:t>previa, cuando la parte acude a este proceso subsidiario de amparo y alega como única queja la vulneración del art. 17.4 CE, atribuyendo tal vulneración, de modo exclusivo, a la actuación judicial que no haya dado debida tutela a su solicitud d</w:t>
      </w:r>
      <w:r w:rsidRPr="005728DD">
        <w:rPr>
          <w:i/>
        </w:rPr>
        <w:t>e habeas corp</w:t>
      </w:r>
      <w:r>
        <w:t>us.</w:t>
      </w:r>
    </w:p>
    <w:p w:rsidR="005728DD" w:rsidRDefault="005728DD" w:rsidP="005728DD">
      <w:pPr>
        <w:pStyle w:val="TextoNormal"/>
      </w:pPr>
    </w:p>
    <w:p w:rsidR="005728DD" w:rsidRDefault="005728DD" w:rsidP="005728DD">
      <w:pPr>
        <w:pStyle w:val="TextoNormal"/>
      </w:pPr>
      <w:r>
        <w:t>(iii) Se destaca en la sentencia que no es la primera vez que el tribunal “matiza” su anterior doctrina sobre la exigencia del incidente extraordinario de nulidad de actuaciones para entender agotada la vía judicial previa, pues en otras ocasiones también ha señalado su procedencia facultativa, pero no su necesidad, citando al respecto las SSTC 31/2019, de 28 de febrero, FJ 3, y 112/2019, de 3 de octubre, FJ 3.</w:t>
      </w:r>
    </w:p>
    <w:p w:rsidR="005728DD" w:rsidRDefault="005728DD" w:rsidP="005728DD">
      <w:pPr>
        <w:pStyle w:val="TextoNormal"/>
      </w:pPr>
    </w:p>
    <w:p w:rsidR="005728DD" w:rsidRDefault="005728DD" w:rsidP="005728DD">
      <w:pPr>
        <w:pStyle w:val="TextoNormal"/>
      </w:pPr>
      <w:r>
        <w:t>Sin embargo, a mi modo de ver, la cita de estas sentencias carece de fundamento para extender lo así declarado en aquellas al supuesto de autos. Y no es válida porque aquellos precedentes no son semejantes al de autos. Es cierto que, de modo excepcional, este Tribunal ha considerado innecesario el planteamiento del incidente de nulidad de actuaciones para entender agotada la vía judicial previa y que, también, ha excluido de la extemporaneidad el supuesto contrario, esto es, la interposición del incidente antes de acudir al proceso de amparo, pero, como he anticipado, no se trata de supuestos que tengan una naturaleza y alcance ni siquiera parecidos.</w:t>
      </w:r>
    </w:p>
    <w:p w:rsidR="005728DD" w:rsidRDefault="005728DD" w:rsidP="005728DD">
      <w:pPr>
        <w:pStyle w:val="TextoNormal"/>
      </w:pPr>
    </w:p>
    <w:p w:rsidR="005728DD" w:rsidRDefault="005728DD" w:rsidP="005728DD">
      <w:pPr>
        <w:pStyle w:val="TextoNormal"/>
      </w:pPr>
      <w:r>
        <w:t>En realidad, en la primera de las resoluciones, el tribunal entendió que la nulidad de una cláusula que el recurrente había instado por reputarla abusiva, haciéndolo al amparo del art. 227.1 de la Ley de enjuiciamiento civil (LEC) y en el seno de un procedimiento de ejecución hipotecaria, venía a hacer las veces del incidente extraordinario de nulidad de actuaciones, como, equivocadamente, también lo había considerado así el juzgado de primera instancia correspondiente, que la había tramitado y resuelto conforme a lo dispuesto en el 228 LEC.</w:t>
      </w:r>
    </w:p>
    <w:p w:rsidR="005728DD" w:rsidRDefault="005728DD" w:rsidP="005728DD">
      <w:pPr>
        <w:pStyle w:val="TextoNormal"/>
      </w:pPr>
    </w:p>
    <w:p w:rsidR="005728DD" w:rsidRDefault="005728DD" w:rsidP="005728DD">
      <w:pPr>
        <w:pStyle w:val="TextoNormal"/>
      </w:pPr>
      <w:r>
        <w:t>En aquel caso, este tribunal entendió que no era necesaria la promoción del incidente de nulidad de actuaciones. Se limitó a aplicar la doctrina general y no introdujo excepción alguna, pues reputó formalizado como incidente de nulidad de actuaciones la pretensión de nulidad de una cláusula supuestamente abusiva que había planteado la parte, al haberlo así considerado el juez de la instancia. Además, lo único que sostiene el tribunal en el último párrafo del FJ 3, de la STC 31/2019 de referencia, es que, aun cuando se hubiera formalizado el incidente, tampoco devendría extemporáneo, porque lo que hace es aplicar nuestra doctrina de que no incurre en extemporaneidad el recurso que no se estima manifiestamente improcedente y, en el caso de autos, así se conceptuó por las razones que se recogen en aquel fundamento jurídico.</w:t>
      </w:r>
    </w:p>
    <w:p w:rsidR="005728DD" w:rsidRDefault="005728DD" w:rsidP="005728DD">
      <w:pPr>
        <w:pStyle w:val="TextoNormal"/>
      </w:pPr>
    </w:p>
    <w:p w:rsidR="005728DD" w:rsidRDefault="005728DD" w:rsidP="005728DD">
      <w:pPr>
        <w:pStyle w:val="TextoNormal"/>
      </w:pPr>
      <w:r>
        <w:t>Tampoco la segunda de las citas (STC 112/2019) tiene el mismo carácter excepcional que el del supuesto de hecho ahora enjuiciado porque hace alusión al denominado supuesto de la “reviviscencia”, en un caso específico como es el de la inadmisión del recurso de casación por causa que no obedece a la indiligencia procesal de la parte en su interposición, sino a la falta de interés casacional objetivo, que constituye un requisito de fondo a apreciar por el Tribunal Supremo, conforme a determinados criterios legalmente tasados.</w:t>
      </w:r>
    </w:p>
    <w:p w:rsidR="005728DD" w:rsidRDefault="005728DD" w:rsidP="005728DD">
      <w:pPr>
        <w:pStyle w:val="TextoNormal"/>
      </w:pPr>
    </w:p>
    <w:p w:rsidR="005728DD" w:rsidRDefault="005728DD" w:rsidP="005728DD">
      <w:pPr>
        <w:pStyle w:val="TextoNormal"/>
      </w:pPr>
      <w:r>
        <w:t>El Tribunal Constitucional ha entendido que, en estos casos, la interposición del incidente de nulidad de actuaciones, “al no derivarse de forma clara su procedencia del tenor del art. 241.1 LOPJ, no será requisito necesario para agotar la vía judicial previa al amparo” [FJ 3 f)].</w:t>
      </w:r>
    </w:p>
    <w:p w:rsidR="005728DD" w:rsidRDefault="005728DD" w:rsidP="005728DD">
      <w:pPr>
        <w:pStyle w:val="TextoNormal"/>
      </w:pPr>
    </w:p>
    <w:p w:rsidR="005728DD" w:rsidRDefault="005728DD" w:rsidP="005728DD">
      <w:pPr>
        <w:pStyle w:val="TextoNormal"/>
      </w:pPr>
      <w:r>
        <w:t xml:space="preserve">Ahora, la sentencia de la que discrepo lo que señala, a diferencia de lo que ha venido declarando de modo uniforme y reiterado, es que cuando el órgano judicial deniega la incoación del procedimiento de </w:t>
      </w:r>
      <w:r w:rsidRPr="005728DD">
        <w:rPr>
          <w:i/>
        </w:rPr>
        <w:t>habeas corpus</w:t>
      </w:r>
      <w:r>
        <w:t xml:space="preserve"> y rechaza la solicitud presentada por el detenido o por alguna de las personas legitimadas para ello, sin haberle oído en comparecencia asistido de letrado y con intervención del fiscal, no estamos ante una vulneración autónoma del derecho a la libertad personal del recurrente, sino que, por tratarse de una garantía específica, la del art. 17.4 CE de aquel derecho, la exigencia de tutela que deriva de la efectividad del mismo y de su debida protección se halla embebida en la vulneración del derecho a la libertad personal precedentemente denunciada en la solicitud, por lo que ya no es necesaria la promoción del incidente de nulidad.</w:t>
      </w:r>
    </w:p>
    <w:p w:rsidR="005728DD" w:rsidRDefault="005728DD" w:rsidP="005728DD">
      <w:pPr>
        <w:pStyle w:val="TextoNormal"/>
      </w:pPr>
    </w:p>
    <w:p w:rsidR="005728DD" w:rsidRDefault="005728DD" w:rsidP="005728DD">
      <w:pPr>
        <w:pStyle w:val="TextoNormal"/>
      </w:pPr>
      <w:r>
        <w:t xml:space="preserve">A partir de esta argumentación, la pregunta que se suscita es, a mi entender, muy clara: ¿Con la resolución judicial de inadmisión de la solicitud de </w:t>
      </w:r>
      <w:r w:rsidRPr="005728DD">
        <w:rPr>
          <w:i/>
        </w:rPr>
        <w:t>habeas corpus</w:t>
      </w:r>
      <w:r>
        <w:t xml:space="preserve"> presentada y el rechazo a oír al detenido por parte del juez, no estará este último privándole eventualmente de la efectividad de un derecho fundamental, situado en la órbita del de la libertad personal pero distinto de este, por estar dotado de sustantividad propia como es la de depararle tutela judicial efectiva a su queja, puesta de manifiesto con su solicitud?. O, dicho de otro modo, ¿tiene o no autonomía y es posible distinguir, a efectos de delimitar una y otra vulneración de derechos, la actuación de la autoridad o funcionario no judicial que acordó la inicial privación de libertad, de la del juez que tenía que verificar si aquella detención o privación de libertad gubernativamente acordada se sujetaba o no a la legalidad? A mi modo de ver, se trata de las vulneraciones de dos derechos que tienen autonomía propia: de una parte, el objeto de la queja es la actuación de una autoridad o funcionario no judicial, que decide detener a una persona a la que entiende incursa en alguna causa legalmente prevista para ello; de otro lado, la infracción alegada se refiere al incumplimiento por parte del juez de su deber de dar tutela al detenido y determinar si aquella privación de libertad objetada por la solicitud de </w:t>
      </w:r>
      <w:r w:rsidRPr="005728DD">
        <w:rPr>
          <w:i/>
        </w:rPr>
        <w:t>habeas corpus</w:t>
      </w:r>
      <w:r>
        <w:t xml:space="preserve"> ha sido realizada o no conforme a la legalidad.</w:t>
      </w:r>
    </w:p>
    <w:p w:rsidR="005728DD" w:rsidRDefault="005728DD" w:rsidP="005728DD">
      <w:pPr>
        <w:pStyle w:val="TextoNormal"/>
      </w:pPr>
    </w:p>
    <w:p w:rsidR="005728DD" w:rsidRDefault="005728DD" w:rsidP="005728DD">
      <w:pPr>
        <w:pStyle w:val="TextoNormal"/>
      </w:pPr>
      <w:r>
        <w:t>Si la respuesta, como entiendo que es, resulta positiva, el incidente de nulidad de actuaciones es preceptivo para la segunda de las vulneraciones invocadas, porque así lo ha establecido el legislador orgánico, tratándose, además, de una garantía adicional establecida para que el privado de libertad pueda poner de manifiesto en la vía judicial aquella vulneración autónoma. Es más, así lo declaró la reciente STC 21/2018, de 5 de marzo, cuando, con ocasión de resolver un recurso de amparo “mixto”, decidió desestimar, por falta de agotamiento, la queja que se apoyaba en el art. 17.4 CE, al no haber sido promovido el incidente de nulidad de actuaciones por el recurrente. Y, en cambio, superó el trámite de admisión e incluso fue estimado en aquella sentencia el motivo de amparo que denunciaba la vulneración del derecho a la libertad personal del art. 17.2 CE, eventualmente cometido por funcionarios policiales.</w:t>
      </w:r>
    </w:p>
    <w:p w:rsidR="005728DD" w:rsidRDefault="005728DD" w:rsidP="005728DD">
      <w:pPr>
        <w:pStyle w:val="TextoNormal"/>
      </w:pPr>
    </w:p>
    <w:p w:rsidR="005728DD" w:rsidRDefault="005728DD" w:rsidP="005728DD">
      <w:pPr>
        <w:pStyle w:val="TextoNormal"/>
      </w:pPr>
      <w:r>
        <w:t xml:space="preserve">(iv) Finalmente, no acabo de entender el carácter facultativo que la sentencia reconoce al recurrente, para disponer de la posibilidad de promover el incidente extraordinario de nulidad de actuaciones o de no promoverlo en función de su propia voluntad y no afectar esa decisión al agotamiento de la vía judicial antes de acudir a este tribunal en demanda de amparo. La resolución de la que discrepo, después de declarar que no es necesario interponerlo, incluso en el supuesto de que la queja del demandante lo sea exclusivamente por vulneración de la garantía específica del art. 17.4 CE, señala que no será inadmitido por </w:t>
      </w:r>
      <w:r>
        <w:lastRenderedPageBreak/>
        <w:t>extemporáneo si el actor, antes de interponer el recurso de amparo, decide acudir al incidente de nulidad de actuaciones.</w:t>
      </w:r>
    </w:p>
    <w:p w:rsidR="005728DD" w:rsidRDefault="005728DD" w:rsidP="005728DD">
      <w:pPr>
        <w:pStyle w:val="TextoNormal"/>
      </w:pPr>
    </w:p>
    <w:p w:rsidR="005728DD" w:rsidRDefault="005728DD" w:rsidP="005728DD">
      <w:pPr>
        <w:pStyle w:val="TextoNormal"/>
      </w:pPr>
      <w:r>
        <w:t>A mi modo de ver, en el supuesto de infracción del art. 17.4 CE, o hay vulneración autónoma de un derecho fundamental o no la hay, y, en función de esta valoración jurídica, será necesaria o no la interposición del incidente de nulidad de actuaciones. El art. 241.1 LOPJ parte de una regla general, la de la inadmisibilidad del incidente de nulidad de actuaciones y, solo de modo excepcional es procedente cuando se cumple, entre otros, el presupuesto de que la vulneración de los derechos fundamentales invocada no haya podido denunciarse antes de la resolución que ponga fin al proceso, lo que, a mi parecer, sucede en el caso de autos. Si la infracción es causada por la última de las actuaciones de los poderes públicos, en este caso la de la resolución judicial, es preciso hacerle ver al juez, por medio del incidente de nulidad de actuaciones, que ha podido incurrir en vulneración del derecho reconocido en el art. 17.4 CE, para preservar de ese modo el carácter subsidiario del recurso de amparo.</w:t>
      </w:r>
    </w:p>
    <w:p w:rsidR="005728DD" w:rsidRDefault="005728DD" w:rsidP="005728DD">
      <w:pPr>
        <w:pStyle w:val="TextoNormal"/>
      </w:pPr>
    </w:p>
    <w:p w:rsidR="005728DD" w:rsidRDefault="005728DD" w:rsidP="005728DD">
      <w:pPr>
        <w:pStyle w:val="TextoNormal"/>
      </w:pPr>
      <w:r>
        <w:t>Además, a los efectos del agotamiento de la vía judicial previa, el tribunal, hasta ahora, en ninguna situación ha reconocido tal carácter facultativo al recurrente de amparo para promover o no este incidente de nulidad, ni siquiera en los precedentes que se citan en la sentencia, por las razones apuntadas anteriormente. De ahí mi respetuosa discrepancia.</w:t>
      </w:r>
    </w:p>
    <w:p w:rsidR="005728DD" w:rsidRDefault="005728DD" w:rsidP="005728DD">
      <w:pPr>
        <w:pStyle w:val="TextoNormal"/>
      </w:pPr>
    </w:p>
    <w:p w:rsidR="005728DD" w:rsidRDefault="005728DD" w:rsidP="005728DD">
      <w:pPr>
        <w:pStyle w:val="TextoNormal"/>
      </w:pPr>
      <w:r>
        <w:t xml:space="preserve">b) A partir de las anteriores consideraciones, entiendo que el óbice procesal de falta de agotamiento de la vía judicial previa, invocado por el Ministerio Fiscal ante la omisión por el recurrente del incidente de nulidad de actuaciones, tendría que haber sido acogido y el recurso de amparo inadmitido o, al menos, haber llegado a la desestimación respecto de la queja apoyada en el art. 17.4 CE, por eventual vulneración del derecho al control judicial de la detención del recurrente. Como, a mi modo de ver, la fiscal exponía con todo acierto, el recurso de amparo ha impugnado únicamente el auto de 9 de noviembre de 2019 del Juzgado de Instrucción núm. 3 de Badajoz, que inadmitió a trámite el procedimiento de </w:t>
      </w:r>
      <w:r w:rsidRPr="005728DD">
        <w:rPr>
          <w:i/>
        </w:rPr>
        <w:t>habeas corpus</w:t>
      </w:r>
      <w:r>
        <w:t xml:space="preserve"> solicitado por el letrado del recurrente, formalizando su denuncia por vulneración del art. 17.4 CE, al amparo de la vía del art. 44 LOTC. En consecuencia, el recurrente debería haber interpuesto previamente el incidente de nulidad de actuaciones.</w:t>
      </w:r>
    </w:p>
    <w:p w:rsidR="005728DD" w:rsidRDefault="005728DD" w:rsidP="005728DD">
      <w:pPr>
        <w:pStyle w:val="TextoNormal"/>
      </w:pPr>
    </w:p>
    <w:p w:rsidR="005728DD" w:rsidRDefault="005728DD" w:rsidP="005728DD">
      <w:pPr>
        <w:pStyle w:val="TextoNormal"/>
      </w:pPr>
      <w:r>
        <w:t>Por todo ello, con fundamento en las anteriores consideraciones, emito mi voto particular discrepante.</w:t>
      </w:r>
    </w:p>
    <w:p w:rsidR="005728DD" w:rsidRDefault="005728DD" w:rsidP="005728DD">
      <w:pPr>
        <w:pStyle w:val="TextoNormal"/>
      </w:pPr>
    </w:p>
    <w:p w:rsidR="005728DD" w:rsidRDefault="005728DD" w:rsidP="005728DD">
      <w:pPr>
        <w:pStyle w:val="TextoNormal"/>
      </w:pPr>
      <w:r>
        <w:t>Madrid, a dieciocho de marzo de dos mil veintiuno.</w:t>
      </w:r>
    </w:p>
    <w:p w:rsidR="005728DD" w:rsidRDefault="005728DD" w:rsidP="005728DD">
      <w:pPr>
        <w:pStyle w:val="TextoNormal"/>
      </w:pPr>
    </w:p>
    <w:p w:rsidR="005728DD" w:rsidRDefault="005728DD" w:rsidP="005728DD">
      <w:pPr>
        <w:pStyle w:val="TextoNormalNegritaCentrado"/>
        <w:keepNext/>
      </w:pPr>
      <w:r>
        <w:t>Voto particular que formula el magistrado don Pedro José González-Trevijano Sánchez, a la sentencia dictada en el recurso de amparo núm. 7439-2019</w:t>
      </w:r>
    </w:p>
    <w:p w:rsidR="005728DD" w:rsidRDefault="005728DD" w:rsidP="005728DD">
      <w:pPr>
        <w:pStyle w:val="TextoNormalNegritaCentrado"/>
        <w:keepNext/>
      </w:pPr>
    </w:p>
    <w:p w:rsidR="005728DD" w:rsidRDefault="005728DD" w:rsidP="005728DD">
      <w:pPr>
        <w:pStyle w:val="TextoNormal"/>
      </w:pPr>
      <w:r>
        <w:t>Con el mayor de los respetos manifiesto mi discrepancia respecto de la posición mayoritaria que ha dado lugar a la aprobación de la sentencia antes indicada. Por ello, en uso de la facultad que me confiere el art. 90.2 de la Ley Orgánica del Tribunal Constitucional, formulo el siguiente voto particular.</w:t>
      </w:r>
    </w:p>
    <w:p w:rsidR="005728DD" w:rsidRDefault="005728DD" w:rsidP="005728DD">
      <w:pPr>
        <w:pStyle w:val="TextoNormal"/>
      </w:pPr>
    </w:p>
    <w:p w:rsidR="005728DD" w:rsidRDefault="005728DD" w:rsidP="005728DD">
      <w:pPr>
        <w:pStyle w:val="TextoNormal"/>
      </w:pPr>
      <w:r>
        <w:t xml:space="preserve">Mi disconformidad se proyecta sobre la no apreciación del óbice de falta de agotamiento de la vía judicial, respecto de la queja de vulneración del art. 17.4 CE por la inadmisión de </w:t>
      </w:r>
      <w:r>
        <w:lastRenderedPageBreak/>
        <w:t xml:space="preserve">la solicitud de </w:t>
      </w:r>
      <w:r w:rsidRPr="005728DD">
        <w:rPr>
          <w:i/>
        </w:rPr>
        <w:t>habeas corpus</w:t>
      </w:r>
      <w:r>
        <w:t xml:space="preserve"> acordada por la autoridad judicial. Esa decisión trae causa de la doctrina establecida en el FJ 2 B) de la sentencia respecto de la que se formula el presente voto (en adelante, sentencia), de la cual igualmente disiento. La citada doctrina es la siguiente:</w:t>
      </w:r>
    </w:p>
    <w:p w:rsidR="005728DD" w:rsidRDefault="005728DD" w:rsidP="005728DD">
      <w:pPr>
        <w:pStyle w:val="TextoNormal"/>
      </w:pPr>
    </w:p>
    <w:p w:rsidR="005728DD" w:rsidRDefault="005728DD" w:rsidP="005728DD">
      <w:pPr>
        <w:pStyle w:val="TextoNormal"/>
      </w:pPr>
      <w:r>
        <w:t>“Hemos, pues, de reconsiderar el planteamiento de una doctrina estrictamente formalista, que distingue, a los efectos del presupuesto de agotamiento de la vía judicial previa, según que el órgano judicial haya o no admitido a trámite y sustanciada su actuación con la audiencia de la persona privada de libertad, para después llegar a la misma resolución de inadmisión o de desestimación que enjuicia sobre la adecuación a derecho de aquella situación privativa de libertad, cuando en ambos casos, lo determinante es que al juez le haya sido puesta de manifiesto una denuncia que invocaba la vulneración de su derecho a la libertad personal.</w:t>
      </w:r>
    </w:p>
    <w:p w:rsidR="005728DD" w:rsidRDefault="005728DD" w:rsidP="005728DD">
      <w:pPr>
        <w:pStyle w:val="TextoNormal"/>
      </w:pPr>
    </w:p>
    <w:p w:rsidR="005728DD" w:rsidRDefault="005728DD" w:rsidP="005728DD">
      <w:pPr>
        <w:pStyle w:val="TextoNormal"/>
      </w:pPr>
      <w:r>
        <w:t>Por todo ello, no parece razonable la exigencia del incidente de nulidad de actuaciones para entender agotada la vía judicial previa cuando la demanda de amparo alegue vulneración del derecho a la libertad personal del art. 17 CE e invoque, tanto la vulneración del art. 17.4 CE en exclusiva, como la concurrencia de una serie de quejas que resulten imputables a autoridades y funcionarios no judiciales, así como al órgano judicial encargado del control de la medida limitativa del derecho fundamental, que, según se denuncia, no haya llegado a tutelarla</w:t>
      </w:r>
    </w:p>
    <w:p w:rsidR="005728DD" w:rsidRDefault="005728DD" w:rsidP="005728DD">
      <w:pPr>
        <w:pStyle w:val="TextoNormal"/>
      </w:pPr>
    </w:p>
    <w:p w:rsidR="005728DD" w:rsidRDefault="005728DD" w:rsidP="005728DD">
      <w:pPr>
        <w:pStyle w:val="TextoNormal"/>
      </w:pPr>
      <w:r>
        <w:t xml:space="preserve">En definitiva, el Tribunal, matizando su anterior doctrina, declara que no es necesario el planteamiento del incidente de nulidad de actuaciones para el agotamiento de la vía judicial, cuando la demanda de amparo alegue vulneración del derecho a la libertad personal mediante el procedimiento de </w:t>
      </w:r>
      <w:r w:rsidRPr="005728DD">
        <w:rPr>
          <w:i/>
        </w:rPr>
        <w:t>habeas corpus</w:t>
      </w:r>
      <w:r>
        <w:t xml:space="preserve">. Igualmente, este tribunal declara, que al igual que en otras ocasiones y respecto de otros supuestos (SSTC 31/2019, de 28 de febrero, FJ 3, y 112/2019, de 3 de octubre, FJ 3), la interposición de un incidente de nulidad de actuaciones contra la resolución judicial que inadmite a trámite un procedimiento de </w:t>
      </w:r>
      <w:r w:rsidRPr="005728DD">
        <w:rPr>
          <w:i/>
        </w:rPr>
        <w:t>habeas corpus</w:t>
      </w:r>
      <w:r>
        <w:t xml:space="preserve"> no podrá considerase un recurso manifiestamente improcedente y, en consecuencia, su interposición no podrá determinar la extemporaneidad del recurso de amparo por alargamiento indebido de la vía judicial”.</w:t>
      </w:r>
    </w:p>
    <w:p w:rsidR="005728DD" w:rsidRDefault="005728DD" w:rsidP="005728DD">
      <w:pPr>
        <w:pStyle w:val="TextoNormal"/>
      </w:pPr>
    </w:p>
    <w:p w:rsidR="005728DD" w:rsidRDefault="005728DD" w:rsidP="005728DD">
      <w:pPr>
        <w:pStyle w:val="TextoNormal"/>
      </w:pPr>
      <w:r>
        <w:t xml:space="preserve">Según se indica en el fundamento jurídico 2 de la sentencia, la doctrina de este tribunal no ha sido uniforme “en relación con la exigencia de promover el incidente extraordinario de nulidad de actuaciones del art. 241 LOPJ, como requisito para agotar la vía judicial previa en los supuestos de recursos de amparo formalizados contra las resoluciones recaídas en procedimientos </w:t>
      </w:r>
      <w:r w:rsidRPr="005728DD">
        <w:rPr>
          <w:i/>
        </w:rPr>
        <w:t>habeas corpus</w:t>
      </w:r>
      <w:r>
        <w:t>”. No obstante, esa afirmación debe ser al menos matizada, pues si bien en un primer momento este tribunal no puso reparos a la admisión de los recursos de amparo por la falta de interposición del incidente de nulidad, sin embargo, ello no obedeció a que expresamente se estimara que ese requisito era prescindible, sino a que no hubo pronunciamientos sobre esa temática. Y como se vino a decir en el ATC 73/2015, de 21 de abril, FJ 3, el silencio no constituye fuente de doctrina constitucional.</w:t>
      </w:r>
    </w:p>
    <w:p w:rsidR="005728DD" w:rsidRDefault="005728DD" w:rsidP="005728DD">
      <w:pPr>
        <w:pStyle w:val="TextoNormal"/>
      </w:pPr>
    </w:p>
    <w:p w:rsidR="005728DD" w:rsidRDefault="005728DD" w:rsidP="005728DD">
      <w:pPr>
        <w:pStyle w:val="TextoNormal"/>
      </w:pPr>
      <w:r>
        <w:t xml:space="preserve">Ahora bien, cuando este tribunal ha abordado expresamente esa cuestión, la respuesta dada ha sido invariablemente unívoca, en el sentido de exigir la interposición del incidente de nulidad de actuaciones, cuando al órgano judicial se le atribuye la vulneración del art. 17.4 CE; si bien, en el ATC 73/2015 ya citado, la falta de agotamiento de la vía judicial no </w:t>
      </w:r>
      <w:r>
        <w:lastRenderedPageBreak/>
        <w:t>solo afectó a la lesión imputada al juzgador, pues alcanzó también a la vulneración que se atribuyó a los funcionarios policiales (FJ 3), mientras que en la STC 21/2018, de 5 de marzo, el óbice mencionado solo repercutió en la denuncia que “</w:t>
      </w:r>
      <w:r w:rsidRPr="005728DD">
        <w:rPr>
          <w:i/>
        </w:rPr>
        <w:t>ex</w:t>
      </w:r>
      <w:r>
        <w:t xml:space="preserve"> artículo” 17.4 CE se dirigió contra el proceder de la autoridad judicial, sin afectar a las quejas referidas a la actuación policial previa [FJ 2 b)].</w:t>
      </w:r>
    </w:p>
    <w:p w:rsidR="005728DD" w:rsidRDefault="005728DD" w:rsidP="005728DD">
      <w:pPr>
        <w:pStyle w:val="TextoNormal"/>
      </w:pPr>
    </w:p>
    <w:p w:rsidR="005728DD" w:rsidRDefault="005728DD" w:rsidP="005728DD">
      <w:pPr>
        <w:pStyle w:val="TextoNormal"/>
      </w:pPr>
      <w:r>
        <w:t>La doctrina anterior que, según la sentencia debe ser “matizada”, se tilda de “estrictamente formalista”, de no ser “coherente con la función de este tribunal, ni tampoco con la finalidad del amparo constitucional”; y, en suma, respecto de ella se colige que “no parece razonable la exigencia del incidente de nulidad de actuaciones para entender agotada la vía judicial previa cuando la demanda de amparo alegue vulneración del derecho a la libertad personal del art. 17 CE e invoque, tanto la vulneración del art. 17.4 CE en exclusiva, como la concurrencia de una serie de quejas que resulten imputables a las autoridades y funcionarios no judiciales”.</w:t>
      </w:r>
    </w:p>
    <w:p w:rsidR="005728DD" w:rsidRDefault="005728DD" w:rsidP="005728DD">
      <w:pPr>
        <w:pStyle w:val="TextoNormal"/>
      </w:pPr>
    </w:p>
    <w:p w:rsidR="005728DD" w:rsidRDefault="005728DD" w:rsidP="005728DD">
      <w:pPr>
        <w:pStyle w:val="TextoNormal"/>
      </w:pPr>
      <w:r>
        <w:t xml:space="preserve">Tales conclusiones se asocian a la idea de que, por la falta de interposición del incidente de nulidad de actuaciones, el Tribunal Constitucional no debe dejar de enjuiciar la totalidad de las quejas de un recurso de amparo que resulten encuadrables en el art. 17 CE, o bien prescindir de analizar la actuación del órgano judicial encargado de efectuar el control de la privación de libertad denunciada como ilegal. También se destaca en la sentencia el estrecho vínculo entre el derecho a la libertad y el procedimiento de </w:t>
      </w:r>
      <w:r w:rsidRPr="005728DD">
        <w:rPr>
          <w:i/>
        </w:rPr>
        <w:t>habeas corpus</w:t>
      </w:r>
      <w:r>
        <w:t>, lo que justifica que se revise la anterior doctrina “acerca del carácter autónomo de esta modalidad de tutela”, en referencia a la actuación del órgano judicial que debe controlar la privación de libertad.</w:t>
      </w:r>
    </w:p>
    <w:p w:rsidR="005728DD" w:rsidRDefault="005728DD" w:rsidP="005728DD">
      <w:pPr>
        <w:pStyle w:val="TextoNormal"/>
      </w:pPr>
    </w:p>
    <w:p w:rsidR="005728DD" w:rsidRDefault="005728DD" w:rsidP="005728DD">
      <w:pPr>
        <w:pStyle w:val="TextoNormal"/>
      </w:pPr>
      <w:r>
        <w:t xml:space="preserve">El magistrado que suscribe este voto no comparte las razones dadas para exonerar de la necesidad de interponer el incidente de nulidad, en los supuestos en que la vulneración se atribuya, </w:t>
      </w:r>
      <w:r w:rsidRPr="005728DD">
        <w:rPr>
          <w:i/>
        </w:rPr>
        <w:t>ex</w:t>
      </w:r>
      <w:r>
        <w:t xml:space="preserve"> artículo 17.4 CE al órgano judicial, principalmente por denegar la incoación del procedimiento de </w:t>
      </w:r>
      <w:r w:rsidRPr="005728DD">
        <w:rPr>
          <w:i/>
        </w:rPr>
        <w:t>habeas corpus</w:t>
      </w:r>
      <w:r>
        <w:t xml:space="preserve"> por razones de fondo. El carácter autónomo de esta vulneración no parece cuestionable, pues no solo se imputa a una persona distinta de aquellas que practicaron la pretendida “privación ilegal de libertad”, sino que su fundamento se vincula a la decisión judicial que impide el eventual reconocimiento de la lesión producida por los terceros y, en su caso, la reparación de la misma. En suma, el órgano referido sería el autor de la lesión (art. 44 LOTC), precisamente por no haber accionado debidamente el procedimiento legalmente habilitado para enjuiciar las vulneraciones del derecho a la libertad.</w:t>
      </w:r>
    </w:p>
    <w:p w:rsidR="005728DD" w:rsidRDefault="005728DD" w:rsidP="005728DD">
      <w:pPr>
        <w:pStyle w:val="TextoNormal"/>
      </w:pPr>
    </w:p>
    <w:p w:rsidR="005728DD" w:rsidRDefault="005728DD" w:rsidP="005728DD">
      <w:pPr>
        <w:pStyle w:val="TextoNormal"/>
      </w:pPr>
      <w:r>
        <w:t xml:space="preserve">Por otro lado, la estrecha vinculación entre el derecho a la libertad y el procedimiento diseñado </w:t>
      </w:r>
      <w:r w:rsidRPr="005728DD">
        <w:rPr>
          <w:i/>
        </w:rPr>
        <w:t>ad hoc</w:t>
      </w:r>
      <w:r>
        <w:t xml:space="preserve"> para garantizar su protección no tiene por qué impedir la aplicación del régimen general establecido para el correcto agotamiento de la vía judicial, conforme a lo dispuesto en el art. 241 LOPJ. No será este magistrado quien reste un ápice a la entidad e importancia de un derecho y un valor constitucional tan caro y preciado como es la libertad, ni quien deje de reconocer la cualificada función protectora del procedimiento de </w:t>
      </w:r>
      <w:r w:rsidRPr="005728DD">
        <w:rPr>
          <w:i/>
        </w:rPr>
        <w:t>habeas corpus</w:t>
      </w:r>
      <w:r>
        <w:t>. Sin embargo, los aspectos que se han puesto de relieve no deben conducir a degradar las exigencias impuestas para el debido agotamiento de la vía judicial.</w:t>
      </w:r>
    </w:p>
    <w:p w:rsidR="005728DD" w:rsidRDefault="005728DD" w:rsidP="005728DD">
      <w:pPr>
        <w:pStyle w:val="TextoNormal"/>
      </w:pPr>
    </w:p>
    <w:p w:rsidR="005728DD" w:rsidRDefault="005728DD" w:rsidP="005728DD">
      <w:pPr>
        <w:pStyle w:val="TextoNormal"/>
      </w:pPr>
      <w:r>
        <w:t xml:space="preserve">Desde una perspectiva dogmática, la inadmisión a trámite de la solicitud de </w:t>
      </w:r>
      <w:r w:rsidRPr="005728DD">
        <w:rPr>
          <w:i/>
        </w:rPr>
        <w:t>habeas corpus</w:t>
      </w:r>
      <w:r>
        <w:t xml:space="preserve"> no deja de ser una resolución jurisdiccional a la que se atribuye la vulneración de un derecho fundamental; y como cualquier decisión de esta naturaleza, debe estar sujeta a la posibilidad de reparación de la lesión causada por el propio órgano judicial, conforme a lo </w:t>
      </w:r>
      <w:r>
        <w:lastRenderedPageBreak/>
        <w:t>dispuesto en el art. 241.1 LOPJ ya indicado, cuando no haya “podido denunciarse antes de recaer resolución que ponga fin al proceso y siempre que dicha resolución no sea susceptible de recurso ordinario ni extraordinario”, sobre todo si se tiene en cuenta que, en el presente caso, no concurren las circunstancias que, de conformidad con la doctrina establecida en la STC 216/2013, de 19 de diciembre, dispensan de la interposición del incidente de nulidad de actuaciones, a fin de agotar la vía judicial.</w:t>
      </w:r>
    </w:p>
    <w:p w:rsidR="005728DD" w:rsidRDefault="005728DD" w:rsidP="005728DD">
      <w:pPr>
        <w:pStyle w:val="TextoNormal"/>
      </w:pPr>
    </w:p>
    <w:p w:rsidR="005728DD" w:rsidRDefault="005728DD" w:rsidP="005728DD">
      <w:pPr>
        <w:pStyle w:val="TextoNormal"/>
      </w:pPr>
      <w:r>
        <w:t>El hecho de considerar obligatoria la formulación de ese remedio procesal no empece la eficacia del sistema de protección del derecho a la libertad reconocido en el art. 17 CE. Según se afirma en la exposición de motivos de la Ley Orgánica 6/2007, de 24 de mayo, por la que se modifica la Ley Orgánica 2/1979, de 3 de octubre, del Tribunal Constitucional, el legislador reconfiguró el incidente de nulidad de actuaciones como un instrumento que “otorga a los tribunales ordinarios más posibilidades para revisar las violaciones de derechos fundamentales”, a fin de lograr que “la tutela y defensa de los derechos fundamentales por parte del Tribunal Constitucional sea realmente subsidiaria de una adecuada protección prestada por los órganos de la jurisdicción ordinaria”. Así pues, lejos de ser un factor extravagante a las garantías de protección del indicado derecho, esa figura está llamada a cumplir una función capital en ese ámbito.</w:t>
      </w:r>
    </w:p>
    <w:p w:rsidR="005728DD" w:rsidRDefault="005728DD" w:rsidP="005728DD">
      <w:pPr>
        <w:pStyle w:val="TextoNormal"/>
      </w:pPr>
    </w:p>
    <w:p w:rsidR="005728DD" w:rsidRDefault="005728DD" w:rsidP="005728DD">
      <w:pPr>
        <w:pStyle w:val="TextoNormal"/>
      </w:pPr>
      <w:r>
        <w:t>Por otro lado, no debe quedar inadvertido que la interposición de un incidente de nulidad de actuaciones en el que se ponga de relieve la consolidada doctrina constitucional, que exige que la valoración de las razones de fondo respecto de la privación de libertad se lleve a cabo una vez sustanciado el procedimiento regulado en la Ley Orgánica 6/1984, de 24 de mayo, perfectamente puede provocar una rectificación del errado criterio judicial precedente, posibilitando así el enjuiciamiento de la legalidad de la privación de la libertad; y de considerarse esta ilícita, habilitaría la adopción de las medidas reparadoras verdaderamente eficaces que en esa vía judicial aún resulten posibles (art. 8.2 LOHC ya citada), mientras que, en esta sede constitucional, la estimación del recurso de amparo solo conllevaría, en la práctica, el reconocimiento de la vulneración del derecho fundamental y la anulación de la resolución judicial impugnada.</w:t>
      </w:r>
    </w:p>
    <w:p w:rsidR="005728DD" w:rsidRDefault="005728DD" w:rsidP="005728DD">
      <w:pPr>
        <w:pStyle w:val="TextoNormal"/>
      </w:pPr>
    </w:p>
    <w:p w:rsidR="005728DD" w:rsidRDefault="005728DD" w:rsidP="005728DD">
      <w:pPr>
        <w:pStyle w:val="TextoNormal"/>
      </w:pPr>
      <w:r>
        <w:t>Y si pese a la explicita invocación de la doctrina constitucional, el órgano judicial persistiera en su indebido proceder, resultaría harto probable la concurrencia del motivo de especial trascendencia constitucional contemplado en la STC 155/2009, de 25 de junio, FJ 2 f); a saber, “que un órgano judicial incurra en una negativa manifiesta del deber de acatamiento de la doctrina del Tribunal Constitucional [art. 5 de la Ley Orgánica del Poder Judicial (LOPJ)]”, lo que sin duda facilitaría la admisión a trámite del recurso de amparo que ulteriormente se interpusiera.</w:t>
      </w:r>
    </w:p>
    <w:p w:rsidR="005728DD" w:rsidRDefault="005728DD" w:rsidP="005728DD">
      <w:pPr>
        <w:pStyle w:val="TextoNormal"/>
      </w:pPr>
    </w:p>
    <w:p w:rsidR="005728DD" w:rsidRDefault="005728DD" w:rsidP="005728DD">
      <w:pPr>
        <w:pStyle w:val="TextoNormal"/>
      </w:pPr>
      <w:r>
        <w:t xml:space="preserve">Por otra parte, aunque la consideración del incidente de nulidad como requisito que condiciona la admisión del recurso de amparo implica, necesariamente, que su incumplimiento vede que este tribunal pueda conocer de las lesiones denunciadas, esa obvia conclusión también resulta predicable del incumplimiento de cualquier otro de los requisitos legales establecidos para la admisión del referido recurso, como por ejemplo la falta justificación de la trascendencia constitucional o la insuficiencia de la misma. Por tanto, la consideración de la sentencia, relativa a que la falta de interposición del incidente de nulidad dejaría al margen </w:t>
      </w:r>
      <w:r>
        <w:lastRenderedPageBreak/>
        <w:t>“el análisis de la actuación del órgano judicial encargado de efectuar el control de la privación de libertad denunciada como ilegal”, llevaría también a eximir la cumplimentación de otros requisitos determinantes de la admisión del recurso de amparo.</w:t>
      </w:r>
    </w:p>
    <w:p w:rsidR="005728DD" w:rsidRDefault="005728DD" w:rsidP="005728DD">
      <w:pPr>
        <w:pStyle w:val="TextoNormal"/>
      </w:pPr>
    </w:p>
    <w:p w:rsidR="005728DD" w:rsidRDefault="005728DD" w:rsidP="005728DD">
      <w:pPr>
        <w:pStyle w:val="TextoNormal"/>
      </w:pPr>
      <w:r>
        <w:t xml:space="preserve">En suma, de conformidad con el criterio sustentado en el fundamento jurídico 2 b) de la STC 21/2018, el cual se asume en su integridad, este magistrado considera que, al menos, la queja de vulneración del art. 17.4 CE, atribuida al órgano judicial por denegar la incoación del procedimiento de </w:t>
      </w:r>
      <w:r w:rsidRPr="005728DD">
        <w:rPr>
          <w:i/>
        </w:rPr>
        <w:t>habeas corpus</w:t>
      </w:r>
      <w:r>
        <w:t>, en virtud de auto de 9 de noviembre de 2019, incurre en el óbice procesal de no haber agotado la vía judicial precedente, debido a la falta de planteamiento del incidente de nulidad de actuaciones previsto en el art. 241.1 LOPJ.</w:t>
      </w:r>
    </w:p>
    <w:p w:rsidR="005728DD" w:rsidRDefault="005728DD" w:rsidP="005728DD">
      <w:pPr>
        <w:pStyle w:val="TextoNormal"/>
      </w:pPr>
    </w:p>
    <w:p w:rsidR="005728DD" w:rsidRDefault="005728DD" w:rsidP="005728DD">
      <w:pPr>
        <w:pStyle w:val="TextoNormal"/>
      </w:pPr>
      <w:r>
        <w:t>Por todo ello emito mi voto particular.</w:t>
      </w:r>
    </w:p>
    <w:p w:rsidR="005728DD" w:rsidRDefault="005728DD" w:rsidP="005728DD">
      <w:pPr>
        <w:pStyle w:val="TextoNormal"/>
      </w:pPr>
    </w:p>
    <w:p w:rsidR="005728DD" w:rsidRDefault="005728DD" w:rsidP="005728DD">
      <w:pPr>
        <w:pStyle w:val="TextoNormal"/>
      </w:pPr>
      <w:r>
        <w:t>Madrid, a dieciocho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7" w:name="SENTENCIA_2021_74"/>
      <w:r>
        <w:lastRenderedPageBreak/>
        <w:t>SENTENCIA 74/2021, de 18 de marzo de 2021</w:t>
      </w:r>
    </w:p>
    <w:bookmarkEnd w:id="77"/>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ECLI:ES:TC:2021:74</w:t>
      </w:r>
    </w:p>
    <w:p w:rsidR="005728DD" w:rsidRDefault="005728DD" w:rsidP="005728DD">
      <w:pPr>
        <w:pStyle w:val="TextoNormalCentrado"/>
      </w:pPr>
    </w:p>
    <w:p w:rsidR="005728DD" w:rsidRDefault="005728DD" w:rsidP="005728DD">
      <w:pPr>
        <w:pStyle w:val="SntesisDescriptiva"/>
      </w:pPr>
      <w:r>
        <w:t>Recurso de inconstitucionalidad 440-2020. Interpuesto por el presidente del Gobierno respecto del artículo 19 de la Ley del Parlamento de Canarias 6/2019, de 9 de abril, de calidad agroalimentaria.</w:t>
      </w:r>
    </w:p>
    <w:p w:rsidR="005728DD" w:rsidRDefault="005728DD" w:rsidP="005728DD">
      <w:pPr>
        <w:pStyle w:val="SntesisDescriptiva"/>
      </w:pPr>
    </w:p>
    <w:p w:rsidR="005728DD" w:rsidRDefault="005728DD" w:rsidP="005728DD">
      <w:pPr>
        <w:pStyle w:val="SntesisAnaltica"/>
      </w:pPr>
      <w:r>
        <w:t>Competencias sobre ordenación de la economía: nulidad del precepto legal autonómico que, al definir el concepto de “vino” entra en contradicción insalvable con la normativa básica estatal.</w:t>
      </w:r>
    </w:p>
    <w:p w:rsidR="005728DD" w:rsidRDefault="005728DD" w:rsidP="005728DD">
      <w:pPr>
        <w:pStyle w:val="SntesisAnaltica"/>
      </w:pPr>
    </w:p>
    <w:p w:rsidR="005728DD" w:rsidRDefault="005728DD" w:rsidP="005728DD">
      <w:pPr>
        <w:pStyle w:val="Extracto"/>
      </w:pPr>
      <w:r>
        <w:t>1.</w:t>
      </w:r>
      <w:r>
        <w:tab/>
        <w:t>En hechos económicos de gran importancia –como lo es en España el cultivo, la elaboración y la comercialización de vino-, el Estado, para su ajuste al objetivo constitucionalmente legítimo de llevar a cabo una política económica común (STC 96/1984) y su adecuación a las exigencias de unidad de la economía nacional que requiere un mercado único (STC 64/1990), puede legítimamente establecer criterios generales a tener en cuenta a la hora de efectuar el desarrollo normativo, con tal de que se limite a asegurar en el sector específico la unidad de los principios básicos del orden económico (STC 34/2013) [FJ 3].</w:t>
      </w:r>
    </w:p>
    <w:p w:rsidR="005728DD" w:rsidRDefault="005728DD" w:rsidP="005728DD">
      <w:pPr>
        <w:pStyle w:val="Extracto"/>
      </w:pPr>
    </w:p>
    <w:p w:rsidR="005728DD" w:rsidRDefault="005728DD" w:rsidP="005728DD">
      <w:pPr>
        <w:pStyle w:val="Extracto"/>
      </w:pPr>
      <w:r>
        <w:t>2.</w:t>
      </w:r>
      <w:r>
        <w:tab/>
        <w:t xml:space="preserve">Sentado que el Estado dispone de competencia, </w:t>
      </w:r>
      <w:r w:rsidRPr="005728DD">
        <w:rPr>
          <w:i/>
        </w:rPr>
        <w:t>ex</w:t>
      </w:r>
      <w:r>
        <w:t xml:space="preserve"> art. 149.1.13 CE, para dictar normas básicas en un subsector de la economía, lo relevante desde el punto de vista del respeto del bloque de la constitucionalidad no son tanto las definiciones en sí mismas cuanto las consecuencias concretas que de ellas se derivan, correspondiendo a este tribunal garantizar que dichas definiciones no impliquen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 (STC 40/1998) [FJ 3].</w:t>
      </w:r>
    </w:p>
    <w:p w:rsidR="005728DD" w:rsidRDefault="005728DD" w:rsidP="005728DD">
      <w:pPr>
        <w:pStyle w:val="Extracto"/>
      </w:pPr>
    </w:p>
    <w:p w:rsidR="005728DD" w:rsidRDefault="005728DD" w:rsidP="005728DD">
      <w:pPr>
        <w:pStyle w:val="Extracto"/>
      </w:pPr>
      <w:r>
        <w:t>3.</w:t>
      </w:r>
      <w:r>
        <w:tab/>
        <w:t>Cuando la definición de lo que es el “vino” y, por vía de reserva de denominación, de lo que no lo es, entronca con la competencia estatal para dictar normativa básica, sin introducir conceptos artificiales o ajenos a la imagen existente en la conciencia social, va de suyo que esa competencia comprende la de precisar su objeto, pues admitir lo contrario significaría que el propio contenido material de la normativa básica estatal quedaría en la práctica privado de contenido jurídico, y aún de sentido lógico (SSTC 128/1999, 14/2004, 18/2011 y 158/2011) [FJ 3].</w:t>
      </w:r>
    </w:p>
    <w:p w:rsidR="005728DD" w:rsidRDefault="005728DD" w:rsidP="005728DD">
      <w:pPr>
        <w:pStyle w:val="Extracto"/>
      </w:pPr>
    </w:p>
    <w:p w:rsidR="005728DD" w:rsidRDefault="005728DD" w:rsidP="005728DD">
      <w:pPr>
        <w:pStyle w:val="Extracto"/>
      </w:pPr>
      <w:r>
        <w:t>4.</w:t>
      </w:r>
      <w:r>
        <w:tab/>
        <w:t>La traslación de la normativa comunitaria derivada al Derecho interno ha de seguir necesariamente los criterios constitucionales y estatutarios de reparto de competencias entre el Estado y las comunidades autónomas, criterios que no resultan alterados ni por el ingreso de España en la CEE ni por la promulgación de normas comunitarias (SSTC 252/1988, 64/1991, 76/1991, 115/1991,  236/1991, 148/1998 y 22/2012). No existe una competencia específica para la ejecución del Derecho comunitario (SSTC 141/1993, 102/1995 y 54/2018)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440-2020, promovido por el presidente del Gobierno contra el art. 19 de la Ley del Parlamento de Canarias 6/2019, de 9 de abril, de calidad agroalimentaria. Ha comparecido y formulado alegaciones el Parlamento de Canarias.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el día 22 de enero de 2020, el presidente del Gobierno interpuso recurso de inconstitucionalidad contra el art. 19 de la Ley del Parlamento de Canarias 6/2019, de 9 de abril, de calidad agroalimentaria, alegando en síntesis lo siguiente:</w:t>
      </w:r>
    </w:p>
    <w:p w:rsidR="005728DD" w:rsidRDefault="005728DD" w:rsidP="005728DD">
      <w:pPr>
        <w:pStyle w:val="TextoNormal"/>
      </w:pPr>
    </w:p>
    <w:p w:rsidR="005728DD" w:rsidRDefault="005728DD" w:rsidP="005728DD">
      <w:pPr>
        <w:pStyle w:val="TextoNormal"/>
      </w:pPr>
      <w:r>
        <w:t>a) El artículo impugnado permite a los operadores hacer uso del término “vino” para la comercialización de productos obtenidos a partir de la fermentación de frutas distintas de la uva, siempre que dicho término esté acompañado del nombre de la fruta o frutas utilizadas, formando parte de una denominación compuesta. Con ello se contraviene la norma básica recogida en el art. 2.2 e) de la Ley 24/2003, de 10 de julio, de la viña y el vino, que define el “vino” como el “alimento natural obtenido exclusivamente por fermentación alcohólica, total o parcial, de uva fresca, estrujada o no, o de mosto de uva”.</w:t>
      </w:r>
    </w:p>
    <w:p w:rsidR="005728DD" w:rsidRDefault="005728DD" w:rsidP="005728DD">
      <w:pPr>
        <w:pStyle w:val="TextoNormal"/>
      </w:pPr>
    </w:p>
    <w:p w:rsidR="005728DD" w:rsidRDefault="005728DD" w:rsidP="005728DD">
      <w:pPr>
        <w:pStyle w:val="TextoNormal"/>
      </w:pPr>
      <w:r>
        <w:t>La competencia autonómica en materia de calidad agroalimentaria [</w:t>
      </w:r>
      <w:r w:rsidRPr="005728DD">
        <w:rPr>
          <w:i/>
        </w:rPr>
        <w:t>ex</w:t>
      </w:r>
      <w:r>
        <w:t xml:space="preserve"> arts. 130.1, 130.2 a) y 132 del Estatuto de Autonomía de Canarias (EACan)] tiene como límite, entre otros, la competencia estatal en materia de bases y coordinación general de la planificación de la actividad económica (art. 149.1.13 CE). Es un título transversal que hace posible la intervención del Estado, a través de medidas económicas, incluso en sectores materialmente atribuidos a la competencia de las comunidades autónomas (SSTC 31/2010, de 28 de junio, FJ 64; 254/2004, de 23 de diciembre, FJ 7; 34/2013, de 14 de febrero; 123/2013, de 23 de mayo, y 130/2013, de 4 de junio), y que ampara las normas y actuaciones orientadas a garantizar la unidad de mercado o la unidad económica (SSTC 140/2011, de 14 de septiembre; 207/2012, de 14 de noviembre; 69/2013, de 14 de marzo, y 79/2017, de 22 de junio, FJ 2). Por lo que respecta al sector vitivinícola, la intervención del Estado </w:t>
      </w:r>
      <w:r w:rsidRPr="005728DD">
        <w:rPr>
          <w:i/>
        </w:rPr>
        <w:t>ex</w:t>
      </w:r>
      <w:r>
        <w:t xml:space="preserve"> art. 149.1.13 CE, </w:t>
      </w:r>
      <w:r>
        <w:lastRenderedPageBreak/>
        <w:t>recogida ya en la temprana STC 186/1988, de 17 de octubre, FJ 8, se contempla en la doctrina de las SSTC 34/2013, de 14 de febrero, FJ 4 a), y 82/2013, de 11 de abril, FJ 3, relativas a la citada Ley 24/2003.</w:t>
      </w:r>
    </w:p>
    <w:p w:rsidR="005728DD" w:rsidRDefault="005728DD" w:rsidP="005728DD">
      <w:pPr>
        <w:pStyle w:val="TextoNormal"/>
      </w:pPr>
    </w:p>
    <w:p w:rsidR="005728DD" w:rsidRDefault="005728DD" w:rsidP="005728DD">
      <w:pPr>
        <w:pStyle w:val="TextoNormal"/>
      </w:pPr>
      <w:r>
        <w:t>b) Tratándose de un supuesto de inconstitucionalidad mediata o indirecta, se debe considerar en primer lugar que la materia se encuentra regulada a nivel europeo en el Reglamento (UE) 1308/2013, del Parlamento Europeo y del Consejo, de 17 de diciembre, por el que se crea la organización común de mercados de los productos agrarios. Esta norma establece en la parte II del anexo VII la definición de vino que ha quedado recogida en el art. 2.2 a) de la Ley 24/2003, disponiendo a continuación que los Estados miembros pueden autorizar la utilización de la palabra vino, en términos similares a los recogidos en la ley canaria. En España, la ley básica estatal ha agotado dicho margen, desechando explícitamente esa posibilidad, pues el art. 2.3 de la Ley 24/2003 cierra la cuestión al disponer que “las definiciones de los productos son excluyentes, no pudiendo utilizarse las respectivas denominaciones más que en los productos que se ajusten estrictamente a la definición”. En la reforma que de esta norma lleva a cabo el Estado en el año 2015 [esto es, tras la aprobación del vigente Reglamento (UE) 1308/2013], la Ley 6/2015, de 12 de mayo, de denominaciones de origen e indicaciones geográficas protegidas de ámbito territorial supraautonómico, opta de nuevo por no ampliar el concepto y lo mantiene en sus propios términos.</w:t>
      </w:r>
    </w:p>
    <w:p w:rsidR="005728DD" w:rsidRDefault="005728DD" w:rsidP="005728DD">
      <w:pPr>
        <w:pStyle w:val="TextoNormal"/>
      </w:pPr>
    </w:p>
    <w:p w:rsidR="005728DD" w:rsidRDefault="005728DD" w:rsidP="005728DD">
      <w:pPr>
        <w:pStyle w:val="TextoNormal"/>
      </w:pPr>
      <w:r>
        <w:t>Esta normativa estatal es formalmente básica (disposición final segunda de la propia Ley 24/2003), siéndolo también materialmente, pues se trata de asegurar, mediante una definición expresa, que un concepto que juega un papel central en el mercado vitivinícola no pueda designar realidades diferentes en las distintas partes del Estado. Para alejar ese riesgo, la ley ofrece una descripción precisa de lo que ha de entenderse por vino y fija sus rasgos esenciales y comunes, en beneficio de productores y consumidores, en un mercado transparente y único, dotando de certeza y seguridad el tráfico mercantil.</w:t>
      </w:r>
    </w:p>
    <w:p w:rsidR="005728DD" w:rsidRDefault="005728DD" w:rsidP="005728DD">
      <w:pPr>
        <w:pStyle w:val="TextoNormal"/>
      </w:pPr>
    </w:p>
    <w:p w:rsidR="005728DD" w:rsidRDefault="005728DD" w:rsidP="005728DD">
      <w:pPr>
        <w:pStyle w:val="TextoNormal"/>
      </w:pPr>
      <w:r>
        <w:t>En consecuencia, la denominación como “vino de frutas” de un producto no obtenido de la uva, y su regulación en el art. 19 de la ley recurrida, contraviene el art. 2 de la Ley 24/2003, y adolece de inconstitucionalidad mediata o indirecta por vulnerar la norma básica mediante la que el Estado ha ejercido la competencia reconocida en el art. 149.1.13 CE.</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11 de febrero de 2020, el Pleno, a propuesta de la Sección Segunda, acordó admitir a trámite este recurso de inconstitucionalidad; dar traslado de la demanda y documentos presentados al Congreso de los Diputados, al Senado, al Gobierno de Canarias y al Parlamento de Canarias, al objeto de que, en el plazo de quince días, pudieran personarse en el proceso y formular las alegaciones que estimaren convenientes [art. 34 de la Ley Orgánica del Tribunal Constitucional (LOTC)]; y publicar la incoación del recurso en el “Boletín Oficial del Estado” y en el “Boletín Oficial de Canarias”.</w:t>
      </w:r>
    </w:p>
    <w:p w:rsidR="005728DD" w:rsidRDefault="005728DD" w:rsidP="005728DD">
      <w:pPr>
        <w:pStyle w:val="TextoNormal"/>
      </w:pPr>
    </w:p>
    <w:p w:rsidR="005728DD" w:rsidRDefault="005728DD" w:rsidP="005728DD">
      <w:pPr>
        <w:pStyle w:val="TextoNormal"/>
      </w:pPr>
      <w:r w:rsidRPr="005728DD">
        <w:rPr>
          <w:rStyle w:val="NumeroAFNegritaCaracter"/>
        </w:rPr>
        <w:t>3</w:t>
      </w:r>
      <w:r>
        <w:t>. Las presidentas del Congreso de los Diputados y del Senado, mediante sendos escritos registrados el 21 y el 27 de febrero de 2020, comunicaron que las mesas de esas cámaras habían acordado darse por personadas en el procedimiento, ofreciendo su colaboración a los efectos de lo previsto en el art. 88.1 LOTC.</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El día 12 de marzo de 2020 tuvo entrada en el registro general del tribunal escrito del Parlamento de Canarias, personándose en el recurso y formulando las alegaciones que seguidamente se sintetizan.</w:t>
      </w:r>
    </w:p>
    <w:p w:rsidR="005728DD" w:rsidRDefault="005728DD" w:rsidP="005728DD">
      <w:pPr>
        <w:pStyle w:val="TextoNormal"/>
      </w:pPr>
    </w:p>
    <w:p w:rsidR="005728DD" w:rsidRDefault="005728DD" w:rsidP="005728DD">
      <w:pPr>
        <w:pStyle w:val="TextoNormal"/>
      </w:pPr>
      <w:r>
        <w:t>a) La doctrina constitucional, aun admitiendo que existen determinados fines que legitiman al Estado para ejercer su competencia sobre las bases y coordinación de la planificación general de la actividad económica (art. 149.1.13 CE), ha advertido de que no cabe por esta vía propiciar el vaciamiento de las competencias autonómicas (SSTC 85/2015, de 30 de abril, FJ 2, y 77/2004, de 29 de abril, FJ 4), siendo necesario que la coherencia de la política económica general exija decisiones unitarias [STC 133/1997, de 16 de julio, FJ 4 C)]. Las SSTC 34/2013 y 82/2013 han analizado la incidencia de esta competencia estatal en la Ley estatal 24/2003.</w:t>
      </w:r>
    </w:p>
    <w:p w:rsidR="005728DD" w:rsidRDefault="005728DD" w:rsidP="005728DD">
      <w:pPr>
        <w:pStyle w:val="TextoNormal"/>
      </w:pPr>
    </w:p>
    <w:p w:rsidR="005728DD" w:rsidRDefault="005728DD" w:rsidP="005728DD">
      <w:pPr>
        <w:pStyle w:val="TextoNormal"/>
      </w:pPr>
      <w:r>
        <w:t>Cuando el Estado denuncia la contradicción entre la regulación autonómica y la libertad económica debe acompañar la misma de un juicio ponderativo específico (STC 97/2018, de 19 de septiembre, FJ 7). El Estado, al entablar este recurso, omite la aportación de elementos de juicio objetivos suficientes para evidenciar que la medida contemplada en el art. 19 de la ley canaria es inidónea o desproporcionada, en cuanto generadora de una incidencia directa y significativa sobre la actividad económica general, sin aportación de datos empíricos contrastables. El precepto impugnado no produce afectación relevante al principio de unidad de mercado, ni lo distorsiona, ni afecta a la seguridad del tráfico mercantil o a la confianza de los consumidores. El vino de frutas se ha venido elaborando tradicionalmente en Canarias, y es un producto ampliamente conocido por los consumidores canarios; su volumen económico de producción y comercialización es muy poco significativo en comparación con el vino de uva. Por esta razón, no tiene incidencia económica significativa en la actividad económica general, y la defensa de la unidad de mercado no parece fundamentación suficiente para justificar la prevalencia del art. 149.1.13 CE frente a la competencia autonómica en materia de agricultura.</w:t>
      </w:r>
    </w:p>
    <w:p w:rsidR="005728DD" w:rsidRDefault="005728DD" w:rsidP="005728DD">
      <w:pPr>
        <w:pStyle w:val="TextoNormal"/>
      </w:pPr>
    </w:p>
    <w:p w:rsidR="005728DD" w:rsidRDefault="005728DD" w:rsidP="005728DD">
      <w:pPr>
        <w:pStyle w:val="TextoNormal"/>
      </w:pPr>
      <w:r>
        <w:t>b) Pudiendo ser el Derecho europeo elemento interpretativo en esta controversia (STC 33/2005, de 17 de febrero, FJ 3), el Reglamento (UE) 1308/2013, anexo VII.II, ofrece la posibilidad —sujeta a la autorización de cada Estado miembro— de que la palabra “vino” pueda referirse también al obtenido tras la fermentación de frutas distintas de la uva, al igual que los precedentes Reglamentos (CE) 1493/1999 y 491/2009.</w:t>
      </w:r>
    </w:p>
    <w:p w:rsidR="005728DD" w:rsidRDefault="005728DD" w:rsidP="005728DD">
      <w:pPr>
        <w:pStyle w:val="TextoNormal"/>
      </w:pPr>
    </w:p>
    <w:p w:rsidR="005728DD" w:rsidRDefault="005728DD" w:rsidP="005728DD">
      <w:pPr>
        <w:pStyle w:val="TextoNormal"/>
      </w:pPr>
      <w:r>
        <w:t>No son los reglamentos comunitarios los que atribuyen al legislador estatal la potestad exclusiva de delimitar la autorización de la palabra “vino”, puesto que esa atribución viene determinada por el orden de competencias interno, en virtud del principio de autonomía institucional. Por otro lado, la Ley 24/2003 no ha recogido una prohibición expresa de considerar “vino” también al obtenido de la fermentación de frutas distintas de la uva.</w:t>
      </w:r>
    </w:p>
    <w:p w:rsidR="005728DD" w:rsidRDefault="005728DD" w:rsidP="005728DD">
      <w:pPr>
        <w:pStyle w:val="TextoNormal"/>
      </w:pPr>
    </w:p>
    <w:p w:rsidR="005728DD" w:rsidRDefault="005728DD" w:rsidP="005728DD">
      <w:pPr>
        <w:pStyle w:val="TextoNormal"/>
      </w:pPr>
      <w:r>
        <w:t>La actividad administrativa de autorización, en los términos de lo permitido por el Reglamento (UE) 1308/2013, es un supuesto de ejercicio de la función ejecutiva en materia de productos agroalimentarios, que corresponde a la Comunidad Autónoma de Canarias, competente para aplicar el Derecho europeo en su territorio, en las materias de su competencia (STC 252/1988, de 20 de diciembre, y art. 197 EACan).</w:t>
      </w:r>
    </w:p>
    <w:p w:rsidR="005728DD" w:rsidRDefault="005728DD" w:rsidP="005728DD">
      <w:pPr>
        <w:pStyle w:val="TextoNormal"/>
      </w:pPr>
    </w:p>
    <w:p w:rsidR="005728DD" w:rsidRDefault="005728DD" w:rsidP="005728DD">
      <w:pPr>
        <w:pStyle w:val="TextoNormal"/>
      </w:pPr>
      <w:r>
        <w:lastRenderedPageBreak/>
        <w:t>c) En otras consideraciones a favor de la constitucionalidad de la ley canaria, el Parlamento canario señala que, desde la perspectiva del art. 132.1 EACan, que comprende la competencia exclusiva autonómica sobre la promoción en el mercado interior de los productos agroalimentarios canarios de calidad diferenciada, mantener la posición restrictiva de que solo corresponde al Estado ejercer la posibilidad contemplada en el Reglamento (UE) 1308/2013 impediría el ejercicio de esta competencia.</w:t>
      </w:r>
    </w:p>
    <w:p w:rsidR="005728DD" w:rsidRDefault="005728DD" w:rsidP="005728DD">
      <w:pPr>
        <w:pStyle w:val="TextoNormal"/>
      </w:pPr>
    </w:p>
    <w:p w:rsidR="005728DD" w:rsidRDefault="005728DD" w:rsidP="005728DD">
      <w:pPr>
        <w:pStyle w:val="TextoNormal"/>
      </w:pPr>
      <w:r>
        <w:t>Se refiere también a la sentencia del Tribunal Superior de Justicia de la Comunidad Valenciana de 18 de mayo de 2017, sobre el “vino de naranja” y el “vino de mandarina”.</w:t>
      </w:r>
    </w:p>
    <w:p w:rsidR="005728DD" w:rsidRDefault="005728DD" w:rsidP="005728DD">
      <w:pPr>
        <w:pStyle w:val="TextoNormal"/>
      </w:pPr>
    </w:p>
    <w:p w:rsidR="005728DD" w:rsidRDefault="005728DD" w:rsidP="005728DD">
      <w:pPr>
        <w:pStyle w:val="TextoNormal"/>
      </w:pPr>
      <w:r>
        <w:t>Recoge asimismo información sobre vinos procedentes de fermentación de frutas distintas de la uva comercializados en otras comunidades autónomas y otros países de la Unión Europea, frente a los que los elaborados en Canarias se encontrarían en posición de desventaja. La aceptación de la posición restrictiva que defiende el Estado atentaría no solo contra el principio de libertad de empresa en el marco de una economía de mercado (art. 38 CE), sino también contra la libre circulación de mercancías (arts. 26 y 28 a 37 del Tratado de funcionamiento de la Unión Europea), generando una situación asimétrica y absurda en cuanto a la venta del vino de frutas.</w:t>
      </w:r>
    </w:p>
    <w:p w:rsidR="005728DD" w:rsidRDefault="005728DD" w:rsidP="005728DD">
      <w:pPr>
        <w:pStyle w:val="TextoNormal"/>
      </w:pPr>
    </w:p>
    <w:p w:rsidR="005728DD" w:rsidRDefault="005728DD" w:rsidP="005728DD">
      <w:pPr>
        <w:pStyle w:val="TextoNormal"/>
      </w:pPr>
      <w:r w:rsidRPr="005728DD">
        <w:rPr>
          <w:rStyle w:val="NumeroAFNegritaCaracter"/>
        </w:rPr>
        <w:t>5</w:t>
      </w:r>
      <w:r>
        <w:t>. El escrito de alegaciones del Gobierno de Canarias tuvo entrada en el registro general del tribunal el día 1 de julio de 2020.</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providencia de 16 de marzo de 2021, se señaló para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presidente del Gobierno interpone recurso de inconstitucionalidad contra el art. 19 de la Ley del Parlamento de Canarias 6/2019, de 9 de abril, de calidad agroalimentaria, que regula el “vino de frutas” en los siguientes términos:</w:t>
      </w:r>
    </w:p>
    <w:p w:rsidR="005728DD" w:rsidRDefault="005728DD" w:rsidP="005728DD">
      <w:pPr>
        <w:pStyle w:val="TextoNormal"/>
      </w:pPr>
    </w:p>
    <w:p w:rsidR="005728DD" w:rsidRDefault="005728DD" w:rsidP="005728DD">
      <w:pPr>
        <w:pStyle w:val="TextoNormal"/>
      </w:pPr>
      <w:r>
        <w:t>“1. Los operadores podrán hacer uso del término ‘vino’ para la comercialización de productos obtenidos a partir de la fermentación de frutas distintas de la uva siempre que esté acompañada del nombre de la fruta o frutas utilizadas en forma de denominación compuesta. El producto así obtenido deberá tener una graduación alcohólica mínima adquirida del 5 por 100 y máxima de 15 por 100.</w:t>
      </w:r>
    </w:p>
    <w:p w:rsidR="005728DD" w:rsidRDefault="005728DD" w:rsidP="005728DD">
      <w:pPr>
        <w:pStyle w:val="TextoNormal"/>
      </w:pPr>
    </w:p>
    <w:p w:rsidR="005728DD" w:rsidRDefault="005728DD" w:rsidP="005728DD">
      <w:pPr>
        <w:pStyle w:val="TextoNormal"/>
      </w:pPr>
      <w:r>
        <w:t>2. En caso de que el producto haya sido obtenido de la fermentación de varias frutas, el nombre de estas deberá aparecer en orden descendente en función de la proporción utilizada y en caracteres del mismo tamaño.</w:t>
      </w:r>
    </w:p>
    <w:p w:rsidR="005728DD" w:rsidRDefault="005728DD" w:rsidP="005728DD">
      <w:pPr>
        <w:pStyle w:val="TextoNormal"/>
      </w:pPr>
    </w:p>
    <w:p w:rsidR="005728DD" w:rsidRDefault="005728DD" w:rsidP="005728DD">
      <w:pPr>
        <w:pStyle w:val="TextoNormal"/>
      </w:pPr>
      <w:r>
        <w:t>3. Para poder hacer uso de dicho término, los operadores que a la entrada en vigor de esta ley figuren inscritos en el registro de embotelladores y envasadores de vino y bebidas alcohólicas deberán comunicar previamente a la autoridad competente los productos en los que pretendan utilizar aquel.</w:t>
      </w:r>
    </w:p>
    <w:p w:rsidR="005728DD" w:rsidRDefault="005728DD" w:rsidP="005728DD">
      <w:pPr>
        <w:pStyle w:val="TextoNormal"/>
      </w:pPr>
    </w:p>
    <w:p w:rsidR="005728DD" w:rsidRDefault="005728DD" w:rsidP="005728DD">
      <w:pPr>
        <w:pStyle w:val="TextoNormal"/>
      </w:pPr>
      <w:r>
        <w:lastRenderedPageBreak/>
        <w:t>4. Las menciones aplicadas al vino recogidas en la base de datos electrónica E-Bacchus de la Unión Europea y en la reglamentación comunitaria del sector vitivinícola no podrán ser utilizadas, en ningún caso, para la identificación o comercialización del vino de fruta”.</w:t>
      </w:r>
    </w:p>
    <w:p w:rsidR="005728DD" w:rsidRDefault="005728DD" w:rsidP="005728DD">
      <w:pPr>
        <w:pStyle w:val="TextoNormal"/>
      </w:pPr>
    </w:p>
    <w:p w:rsidR="005728DD" w:rsidRDefault="005728DD" w:rsidP="005728DD">
      <w:pPr>
        <w:pStyle w:val="TextoNormal"/>
      </w:pPr>
      <w:r>
        <w:t>El abogado del Estado considera que este artículo incurre en inconstitucionalidad mediata o indirecta, por vulneración de lo dispuesto en el art. 2, apartados 2 e) y 3, de la Ley 24/2003, de 10 de julio, de la viña y del vino, normativa básica dictada por el Estado al amparo de la competencia conferida por el art. 149.1.13 CE, en materia de bases y coordinación de la planificación general de la actividad económica.</w:t>
      </w:r>
    </w:p>
    <w:p w:rsidR="005728DD" w:rsidRDefault="005728DD" w:rsidP="005728DD">
      <w:pPr>
        <w:pStyle w:val="TextoNormal"/>
      </w:pPr>
    </w:p>
    <w:p w:rsidR="005728DD" w:rsidRDefault="005728DD" w:rsidP="005728DD">
      <w:pPr>
        <w:pStyle w:val="TextoNormal"/>
      </w:pPr>
      <w:r>
        <w:t>Por las razones que han quedado resumidas en los antecedentes, el Parlamento de Canarias ha instado la desestimación de este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2</w:t>
      </w:r>
      <w:r>
        <w:t>. El Gobierno de Canarias se personó en el procedimiento y formuló alegaciones mediante escrito que tuvo entrada en el registro general de este tribunal el día 1 de julio de 2020, superado el plazo de quince días que le había sido concedido mediante providencia de 11 de febrero de 2020, que le fue notificada con fecha 20 de febrero. El plazo venció por tanto el día 12 de marzo de 2020.</w:t>
      </w:r>
    </w:p>
    <w:p w:rsidR="005728DD" w:rsidRDefault="005728DD" w:rsidP="005728DD">
      <w:pPr>
        <w:pStyle w:val="TextoNormal"/>
      </w:pPr>
    </w:p>
    <w:p w:rsidR="005728DD" w:rsidRDefault="005728DD" w:rsidP="005728DD">
      <w:pPr>
        <w:pStyle w:val="TextoNormal"/>
      </w:pPr>
      <w:r>
        <w:t>Contra lo que sostiene en su escrito el Gobierno de Canarias, no resulta de aplicación el acuerdo de 16 de marzo de 2020, del Pleno del Tribunal Constitucional, en relación con la suspensión de los plazos procesales y administrativos durante la vigencia del Real Decreto 463/2020, de 14 de marzo, ni el posterior acuerdo de 6 de mayo de 2020, del Pleno del Tribunal Constitucional, sobre cómputo de los plazos procesales y administrativos que fueron suspendidos por el primer acuerdo citado. Ninguno de estos acuerdos permite entender que la suspensión de plazos procesales y las reglas para su cómputo alcancen a los ya precluidos, como es el caso. En consecuencia, no procede tener por personado al Gobierno de Canarias ni por formuladas sus alegaciones, al resultar su escrito manifiestamente extemporáneo [en el mismo sentido, STC 236/2012, de 19 de junio, FJ 2 a)].</w:t>
      </w:r>
    </w:p>
    <w:p w:rsidR="005728DD" w:rsidRDefault="005728DD" w:rsidP="005728DD">
      <w:pPr>
        <w:pStyle w:val="TextoNormal"/>
      </w:pPr>
    </w:p>
    <w:p w:rsidR="005728DD" w:rsidRDefault="005728DD" w:rsidP="005728DD">
      <w:pPr>
        <w:pStyle w:val="TextoNormal"/>
      </w:pPr>
      <w:r w:rsidRPr="005728DD">
        <w:rPr>
          <w:rStyle w:val="NumeroAFNegritaCaracter"/>
        </w:rPr>
        <w:t>3</w:t>
      </w:r>
      <w:r>
        <w:t>. La Ley estatal 24/2003 tiene por objeto la ordenación básica, en el marco de la normativa de la Unión Europea, de la viña y del vino, así como su designación, presentación, promoción y publicidad (art. 1.1). El art. 2, dedicado a las definiciones, recoge en sus apartados 2 e) y 3 las normas que, según el recurso, son vulneradas por el precepto de la ley canaria objeto de impugnación. Concretamente, el apartado 2 e) define el “vino” como “el alimento natural obtenido exclusivamente por fermentación alcohólica, total o parcial, de uva fresca, estrujada o no, o de mosto de uva”, y el apartado 3 precisa que “[l]as definiciones de los productos son excluyentes, no pudiendo utilizarse las respectivas denominaciones más que en los productos que se ajusten estrictamente a la definición”.</w:t>
      </w:r>
    </w:p>
    <w:p w:rsidR="005728DD" w:rsidRDefault="005728DD" w:rsidP="005728DD">
      <w:pPr>
        <w:pStyle w:val="TextoNormal"/>
      </w:pPr>
    </w:p>
    <w:p w:rsidR="005728DD" w:rsidRDefault="005728DD" w:rsidP="005728DD">
      <w:pPr>
        <w:pStyle w:val="TextoNormal"/>
      </w:pPr>
      <w:r>
        <w:t>El juicio de constitucionalidad mediata requiere, en primer lugar, verificar si estas disposiciones cumplen con los requisitos formales y materiales propios de la normativa básica. Su carácter formalmente básico está recogido en el apartado 2 a) de la disposición final segunda de la Ley 24/2003. Desde el punto de vista material, es obligado remitirse a la doctrina recogida en las SSTC 34/2013, de 24 de febrero, y 82/2013, de 11 de abril, que examinaron la constitucionalidad de otros preceptos de la Ley 24/2003, enmarcando la controversia planteada entonces en algunas consideraciones generales que resultan plenamente aplicables a la cuestión que aquí se examina.</w:t>
      </w:r>
    </w:p>
    <w:p w:rsidR="005728DD" w:rsidRDefault="005728DD" w:rsidP="005728DD">
      <w:pPr>
        <w:pStyle w:val="TextoNormal"/>
      </w:pPr>
    </w:p>
    <w:p w:rsidR="005728DD" w:rsidRDefault="005728DD" w:rsidP="005728DD">
      <w:pPr>
        <w:pStyle w:val="TextoNormal"/>
      </w:pPr>
      <w:r>
        <w:t>Concretamente, la STC 34/2013 afirma que “la Ley de la viña y del vino, apreciando la importancia que tiene en España el cultivo, la elaboración y la comercialización de vino, persigue establecer criterios generales de ordenación del entero sector vitícola orientados a evitar que la divergencia radical entre las distintas normativas autonómicas obstaculice gravemente la unidad de mercado o, introduciendo confusión, haga ineficaz la intervención pública en ese ámbito de la economía” (FJ 5). En la misma línea de razonamiento, señala que “en virtud de los datos que suministra el apartado IV del preámbulo de la Ley de la viña y del vino, constituye sin duda un hecho económico relevante en la economía nacional. La STC 118/1996, de 27 de junio, aunque refiriéndose al sistema de transporte, reconoce que ‘lo que parece claro es que, si es un hecho económico de gran importancia, la posibilidad de que el Estado, para ajustarlo al objetivo constitucionalmente legítimo de llevar a cabo una política económica común (STC 96/1984, de 19 de octubre) y para adecuarlo a las exigencias de unidad de la economía nacional que requiere un mercado único (STC 64/1990, de 5 de abril), establezca criterios generales a tener en cuenta a la hora de efectuar el desarrollo normativo con tal de que se limiten a asegurar en ese sector específico la unidad de los principios básicos del orden económico, es constitucionalmente legítima’” (FJ 9).</w:t>
      </w:r>
    </w:p>
    <w:p w:rsidR="005728DD" w:rsidRDefault="005728DD" w:rsidP="005728DD">
      <w:pPr>
        <w:pStyle w:val="TextoNormal"/>
      </w:pPr>
    </w:p>
    <w:p w:rsidR="005728DD" w:rsidRDefault="005728DD" w:rsidP="005728DD">
      <w:pPr>
        <w:pStyle w:val="TextoNormal"/>
      </w:pPr>
      <w:r>
        <w:t xml:space="preserve">Sentado así que el Estado dispone de competencia, </w:t>
      </w:r>
      <w:r w:rsidRPr="005728DD">
        <w:rPr>
          <w:i/>
        </w:rPr>
        <w:t>ex</w:t>
      </w:r>
      <w:r>
        <w:t xml:space="preserve"> art. 149.1.13 CE, para dictar normas básicas en este subsector de la economía, a la hora de proyectar esta doctrina sobre los apartados 2 e) y 3 del art. 2 de la Ley 24/2003, que respectivamente definen y delimitan el objeto regulado, procede recordar que, según la STC 40/1998, de 19 de febrero, “lo relevante desde el punto de vista del respeto del bloque de la constitucionalidad no son tanto las definiciones en sí mismas cuanto las consecuencias concretas que de ellas se derivan” (FJ 43), “correspondiendo, eso sí, a este tribunal garantizar que dichas definiciones no impliquen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 (FJ 6).</w:t>
      </w:r>
    </w:p>
    <w:p w:rsidR="005728DD" w:rsidRDefault="005728DD" w:rsidP="005728DD">
      <w:pPr>
        <w:pStyle w:val="TextoNormal"/>
      </w:pPr>
    </w:p>
    <w:p w:rsidR="005728DD" w:rsidRDefault="005728DD" w:rsidP="005728DD">
      <w:pPr>
        <w:pStyle w:val="TextoNormal"/>
      </w:pPr>
      <w:r>
        <w:t>Cuando, como es el caso, la definición de lo que es el “vino” y, por vía de reserva de denominación, de lo que no lo es, entronca con la competencia estatal para dictar normativa básica, sin introducir conceptos artificiales o ajenos a la imagen existente en la conciencia social —como pone de manifiesto la apretada síntesis histórica recogida en el apartado I del preámbulo de la Ley 24/2003—, va de suyo que esa competencia comprende la de precisar su objeto, pues admitir lo contrario significaría que el propio contenido material de la normativa básica estatal quedaría en la práctica privado de contenido jurídico, y aún de sentido lógico. Así se ha reconocido por este tribunal al confirmar el carácter materialmente básico de definiciones recogidas en otros sectores de la normativa básica, por ejemplo, en las SSTC 128/1999, de 1 de julio, FJ 16; 14/2004, de 13 de febrero, FJ 12; 18/2011, de 3 de marzo, FJ 18, y 158/2011, de 19 de octubre, FJ 8 b).</w:t>
      </w:r>
    </w:p>
    <w:p w:rsidR="005728DD" w:rsidRDefault="005728DD" w:rsidP="005728DD">
      <w:pPr>
        <w:pStyle w:val="TextoNormal"/>
      </w:pPr>
    </w:p>
    <w:p w:rsidR="005728DD" w:rsidRDefault="005728DD" w:rsidP="005728DD">
      <w:pPr>
        <w:pStyle w:val="TextoNormal"/>
      </w:pPr>
      <w:r>
        <w:t xml:space="preserve">La anterior conclusión no queda enervada por la fórmula abierta utilizada en la parte II del anexo VII del Reglamento (UE) 1308/2013, del Parlamento Europeo y del Consejo, de 17 de diciembre, por el que se crea la organización común de mercados de los productos agrarios, que permite a los Estados miembros autorizar que, en determinadas condiciones, la palabra “vino” pueda referirse también al obtenido tras la fermentación de frutas distintas </w:t>
      </w:r>
      <w:r>
        <w:lastRenderedPageBreak/>
        <w:t>de la uva. Como se razona en la ya citada STC 34/2013, “que la normativa europea condicione y en buena parte absorba la planificación general de la economía española en el sector del vino, lejos de justificar que al Estado no le resta espacio para dictar normas que realicen esa función, supone el reconocimiento de que en esa materia pueden establecerse reglas que, con el objeto de diseñar una planificación general del sector, señalen las líneas directrices y criterios generales que han de presidir su organización, así como preverse medidas instrumentadas a la realización de aquellos. Además, dado que la intervención del Derecho comunitario europeo no altera el reparto constitucional de competencias [STC 99/2012, de 11 de febrero, FJ 2 b)], dicha planificación general del sector del vino corresponde, por efecto de la atribución que se sigue del art. 149.1.13 CE, al Estado, que podrá limitarse a trasponer la parte de aquél que contenga esa planificación general o, respetándola, optar por una ordenación del sector más intensa, siempre, claro está, sin ir más allá de los límites del título competencial que le habilita” (FJ 7).</w:t>
      </w:r>
    </w:p>
    <w:p w:rsidR="005728DD" w:rsidRDefault="005728DD" w:rsidP="005728DD">
      <w:pPr>
        <w:pStyle w:val="TextoNormal"/>
      </w:pPr>
    </w:p>
    <w:p w:rsidR="005728DD" w:rsidRDefault="005728DD" w:rsidP="005728DD">
      <w:pPr>
        <w:pStyle w:val="TextoNormal"/>
      </w:pPr>
      <w:r>
        <w:t>Como ya se ha razonado, el Estado dispone de competencia para adoptar la decisión de mantener o modificar la definición de vino y la reserva de denominación contenida en la normativa básica, sin que corresponda a este tribunal examinar la oportunidad o el acierto de la medida legal para decidir si es la más adecuada o la mejor de las posibles.</w:t>
      </w:r>
    </w:p>
    <w:p w:rsidR="005728DD" w:rsidRDefault="005728DD" w:rsidP="005728DD">
      <w:pPr>
        <w:pStyle w:val="TextoNormal"/>
      </w:pPr>
    </w:p>
    <w:p w:rsidR="005728DD" w:rsidRDefault="005728DD" w:rsidP="005728DD">
      <w:pPr>
        <w:pStyle w:val="TextoNormal"/>
      </w:pPr>
      <w:r>
        <w:t>El contenido del precepto impugnado no es, como sostiene el Parlamento de Canarias, manifestación del ejercicio de la función ejecutiva en materia de productos agroalimentarios —aunque es claro que, si así fuera, no sería constitucionalmente admisible que tal función ejecutiva se ejerciera contraviniendo lo establecido por las normas básicas dictadas por el Estado—. En cualquier caso, las determinaciones que recoge el art. 19 de la Ley canaria objeto de este proceso constitucional tienen indiscutible naturaleza normativa, al regular con carácter general y abstracto los términos en los que se autoriza la utilización de la denominación “vino” para productos de la fermentación de frutas distintas de la uva, su graduación alcohólica mínima y máxima, o la comunicación a la autoridad competente, entre otros aspectos. Son disposiciones dirigidas al conjunto de los operadores del sector, que no agotan su eficacia en la aplicación a un caso concreto. El art. 197.1 EACan atribuye a la Comunidad Autónoma de Canarias el desarrollo, transposición y ejecución del Derecho de la Unión Europea en el ámbito de sus competencias, y en el sector agroalimentario, que comprende el subsector vitivinícola, la competencia autonómica halla su límite en el respeto a lo establecido por el Estado en el ejercicio de las competencias que le atribuye el art. 149.1.13 CE (art. 130.1 EACan). La doctrina constitucional ha reiterado que, sobre la ejecución del Derecho europeo, «las normas que han de servir de pauta para la resolución de las controversias competenciales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(por todas, SSTC 148/1998, de 2 de julio, FJ 4, y STC 22/2012, de 16 de febrero, FJ 5). En otras palabras, ‘no existe una competencia específica para la ejecución del Derecho comunitario’ (STC 141/1993)” (STC 102/1995, de 26 de junio, FJ 14)» (STC 54/2018, de 24 de mayo, FJ 6).</w:t>
      </w:r>
    </w:p>
    <w:p w:rsidR="005728DD" w:rsidRDefault="005728DD" w:rsidP="005728DD">
      <w:pPr>
        <w:pStyle w:val="TextoNormal"/>
      </w:pPr>
    </w:p>
    <w:p w:rsidR="005728DD" w:rsidRDefault="005728DD" w:rsidP="005728DD">
      <w:pPr>
        <w:pStyle w:val="TextoNormal"/>
      </w:pPr>
      <w:r>
        <w:lastRenderedPageBreak/>
        <w:t>Tampoco estamos ante un supuesto similar al examinado por la STC 97/2018, de 19 de septiembre, como alega el Parlamento de Canarias. Aquí no se denuncia una invasión competencial fundada en la eventual contradicción entre una regulación autonómica que impone determinados límites a la libertad económica y la exigencia básica de proporcionalidad recogida con carácter genérico en el art. 5.2 de la Ley 20/2013, de 9 de diciembre, de garantía de la unidad de mercado, denuncia que ha de venir “acompañada de un juicio ponderativo específico —ilustrado, en la medida de lo posible, con datos y análisis económicos rigurosos— sobre la idoneidad, necesidad y proporcionalidad de la restricción impugnada” [FJ 7 d)]. En este recurso de inconstitucionalidad la denuncia se funda en la vulneración de normas básicas específicas dictadas sobre la misma materia por el Estado al amparo de la competencia que le atribuye el art. 149.1.13 CE, y que constituyen el parámetro del juicio de constitucionalidad directa o inmediata.</w:t>
      </w:r>
    </w:p>
    <w:p w:rsidR="005728DD" w:rsidRDefault="005728DD" w:rsidP="005728DD">
      <w:pPr>
        <w:pStyle w:val="TextoNormal"/>
      </w:pPr>
    </w:p>
    <w:p w:rsidR="005728DD" w:rsidRDefault="005728DD" w:rsidP="005728DD">
      <w:pPr>
        <w:pStyle w:val="TextoNormal"/>
      </w:pPr>
      <w:r>
        <w:t>Confirmado, por tanto, el carácter materialmente básico de los apartados 2 e) y 3 del art. 2 de la Ley estatal 24/2003, es claro que el precepto impugnado, al autorizar la denominación de “vino” para la comercialización de productos obtenidos a partir de la fermentación de frutas distintas de la uva, entra en contradicción efectiva e insalvable por vía interpretativa con esas disposiciones básicas, particularmente con el art. 2.3, que establece el carácter excluyente de las definiciones y prohíbe que se utilicen esas denominaciones en productos que no se ajusten estrictamente a la definición recogida en este caso en el art. 2.2 e).</w:t>
      </w:r>
    </w:p>
    <w:p w:rsidR="005728DD" w:rsidRDefault="005728DD" w:rsidP="005728DD">
      <w:pPr>
        <w:pStyle w:val="TextoNormal"/>
      </w:pPr>
    </w:p>
    <w:p w:rsidR="005728DD" w:rsidRDefault="005728DD" w:rsidP="005728DD">
      <w:pPr>
        <w:pStyle w:val="TextoNormal"/>
      </w:pPr>
      <w:r>
        <w:t>En consecuencia, el art. 19 de la Ley de la Comunidad Autónoma de Canarias 6/2019 es inconstitucional y nulo por contravenir lo establecido por los apartados 2 e) y 3 de la Ley 24/2003, de 10 de julio, de la viña y el vino, vulnerando con ello la competencia que el art. 149.1.13 CE atribuye al Estado en materia de bases y coordinación de la planificación general de la actividad económica.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inconstitucionalidad núm. 440-2020 y, en consecuencia, declarar la inconstitucionalidad y nulidad del art. 19 de la Ley de la Comunidad Autónoma de Canarias 6/2019, de 9 de abril, de calidad agroalimentaria.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8" w:name="SENTENCIA_2021_75"/>
      <w:r>
        <w:lastRenderedPageBreak/>
        <w:t>SENTENCIA 75/2021, de 18 de marzo de 2021</w:t>
      </w:r>
    </w:p>
    <w:bookmarkEnd w:id="78"/>
    <w:p w:rsidR="005728DD" w:rsidRDefault="005728DD" w:rsidP="005728DD">
      <w:pPr>
        <w:pStyle w:val="TtuloResolucin"/>
      </w:pPr>
      <w:r>
        <w:t>Pleno</w:t>
      </w:r>
    </w:p>
    <w:p w:rsidR="005728DD" w:rsidRDefault="005728DD" w:rsidP="005728DD">
      <w:pPr>
        <w:pStyle w:val="TtuloBOE"/>
      </w:pPr>
      <w:r>
        <w:t>(BOE núm. 97, de 23 de abril de 2021)</w:t>
      </w:r>
    </w:p>
    <w:p w:rsidR="005728DD" w:rsidRDefault="005728DD" w:rsidP="005728DD">
      <w:pPr>
        <w:pStyle w:val="TextoNormalCentrado"/>
      </w:pPr>
      <w:r>
        <w:t>ECLI:ES:TC:2021:75</w:t>
      </w:r>
    </w:p>
    <w:p w:rsidR="005728DD" w:rsidRDefault="005728DD" w:rsidP="005728DD">
      <w:pPr>
        <w:pStyle w:val="TextoNormalCentrado"/>
      </w:pPr>
    </w:p>
    <w:p w:rsidR="005728DD" w:rsidRDefault="005728DD" w:rsidP="005728DD">
      <w:pPr>
        <w:pStyle w:val="SntesisDescriptiva"/>
      </w:pPr>
      <w:r>
        <w:t>Recurso de inconstitucionalidad 4911-2020. Interpuesto por más de cincuenta diputados del Grupo Parlamentario Vox en el Congreso de los Diputados respecto del artículo 3 bis del Reglamento de la Junta General del Principado de Asturias, en la redacción dada por la reforma de 1 de julio de 2020.</w:t>
      </w:r>
    </w:p>
    <w:p w:rsidR="005728DD" w:rsidRDefault="005728DD" w:rsidP="005728DD">
      <w:pPr>
        <w:pStyle w:val="SntesisDescriptiva"/>
      </w:pPr>
    </w:p>
    <w:p w:rsidR="005728DD" w:rsidRDefault="005728DD" w:rsidP="005728DD">
      <w:pPr>
        <w:pStyle w:val="SntesisAnaltica"/>
      </w:pPr>
      <w:r>
        <w:t>Régimen lingüístico: constitucionalidad del precepto que permite el uso del bable/asturiano en las actuaciones parlamentarias. Votos particulares.</w:t>
      </w:r>
    </w:p>
    <w:p w:rsidR="005728DD" w:rsidRDefault="005728DD" w:rsidP="005728DD">
      <w:pPr>
        <w:pStyle w:val="SntesisAnaltica"/>
      </w:pPr>
    </w:p>
    <w:p w:rsidR="005728DD" w:rsidRDefault="005728DD" w:rsidP="005728DD">
      <w:pPr>
        <w:pStyle w:val="Extracto"/>
      </w:pPr>
      <w:r>
        <w:t>1.</w:t>
      </w:r>
      <w:r>
        <w:tab/>
        <w:t>En la configuración del estatuto de las lenguas españolas distintas del castellano, la Constitución deja un importante espacio a la regulación por los estatutos y las leyes de las comunidades autónomas. El artículo 3 CE contiene sustancialmente la regulación constitucional en materia lingüística y fija los acuerdos básicos que actúan como premisa para cualquier desarrollo normativo en este ámbito sin que se imponga un único modelo de regulación y gestión del pluralismo lingüístico (STC 56/2016) [FJ 2].</w:t>
      </w:r>
    </w:p>
    <w:p w:rsidR="005728DD" w:rsidRDefault="005728DD" w:rsidP="005728DD">
      <w:pPr>
        <w:pStyle w:val="Extracto"/>
      </w:pPr>
    </w:p>
    <w:p w:rsidR="005728DD" w:rsidRDefault="005728DD" w:rsidP="005728DD">
      <w:pPr>
        <w:pStyle w:val="Extracto"/>
      </w:pPr>
      <w:r>
        <w:t>2.</w:t>
      </w:r>
      <w:r>
        <w:tab/>
        <w:t>La Carta europea de las lenguas regionales o minoritarias, que de acuerdo con nuestra doctrina proporciona pautas interpretativas de nuestro régimen jurídico lingüístico, incluye específicamente disposiciones dirigidas a “permitir y/o fomentar” por los Estados firmantes el empleo por las colectividades regionales de lenguas regionales o minoritarias en los debates de sus asambleas, sin excluir, no obstante, el uso de la(s) lengua(s) oficial(es) del Estado; asimismo facilita y/o fomenta el empleo oral y escrito de las lenguas regionales o minoritarias en la vida pública y en la vida privada (SSTC 165/2013 y 56/2016; ATC 166/2005) [FJ 2].</w:t>
      </w:r>
    </w:p>
    <w:p w:rsidR="005728DD" w:rsidRDefault="005728DD" w:rsidP="005728DD">
      <w:pPr>
        <w:pStyle w:val="Extracto"/>
      </w:pPr>
    </w:p>
    <w:p w:rsidR="005728DD" w:rsidRDefault="005728DD" w:rsidP="005728DD">
      <w:pPr>
        <w:pStyle w:val="Extracto"/>
      </w:pPr>
      <w:r>
        <w:t>3.</w:t>
      </w:r>
      <w:r>
        <w:tab/>
        <w:t>Los diputados en el ejercicio de sus funciones parlamentarias, así como los miembros de los órganos ejecutivos, los cargos y empleados públicos y cualquier persona que comparezca ante la Cámara autonómica deben poder utilizar la lengua protegida por el estatuto autonómico, aun cuando éste no ampare la oficialidad de dicha lengua: La Mesa debe adoptar las oportunas medidas para impedir que el desconocimiento de dicho vehículo lingüístico suponga un obstáculo para el ejercicio de las funciones de debate y control [FFJJ 2 y 3].</w:t>
      </w:r>
    </w:p>
    <w:p w:rsidR="005728DD" w:rsidRDefault="005728DD" w:rsidP="005728DD">
      <w:pPr>
        <w:pStyle w:val="Extracto"/>
      </w:pPr>
    </w:p>
    <w:p w:rsidR="005728DD" w:rsidRDefault="005728DD" w:rsidP="005728DD">
      <w:pPr>
        <w:pStyle w:val="Extracto"/>
      </w:pPr>
      <w:r>
        <w:t>4.</w:t>
      </w:r>
      <w:r>
        <w:tab/>
        <w:t>La mesa del parlamento autonómico debe impedir una limitación efectiva y real al ejercicio de los derechos o atribuciones que integran el estatuto constitucionalmente relevante del representante público y asimismo debe motivar sus decisiones en este ámbito, a fin de evitar la vulneración del derecho fundamental del representante de los ciudadanos a ejercer su cargo (art. 23.2 CE), así como del derecho de estos a participar en los asuntos públicos (art. 23.1 CE), que se pueda producir por el uso de una lengua distinta a la oficial en todo el Estado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lastRenderedPageBreak/>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4911-2020 promovido por más de cincuenta diputados del Grupo Parlamentario Vox en el Congreso de los Diputados contra el art. 3 bis del Reglamento de la Junta General del Principado de Asturias que introduce el art. único de la reforma de dicho reglamento de 1 de julio de 2020. Ha intervenido el letrado de la Junta General del Principado de Asturias. Ha sido ponente el magistrado don Cándido Conde-Pumpido Tourón.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Con fecha 19 de octubre de 2020, don Antonio Ortega Fuentes, procurador de los tribunales y de más de cincuenta diputados del Grupo Parlamentario de Vox en el Congreso de los Diputados, interpuso recurso de inconstitucionalidad contra el art. 3 </w:t>
      </w:r>
      <w:r w:rsidRPr="005728DD">
        <w:rPr>
          <w:i/>
        </w:rPr>
        <w:t>bis</w:t>
      </w:r>
      <w:r>
        <w:t xml:space="preserve"> del Reglamento de la Junta General del Principado de Asturias de 18 de junio de 1997, introducido mediante la reforma aprobada por el Pleno de la Cámara de 1 de julio de 2020 y publicada en el “Boletín Oficial del Principado de Asturias” núm. 139, de 20 de julio de 2020.</w:t>
      </w:r>
    </w:p>
    <w:p w:rsidR="005728DD" w:rsidRDefault="005728DD" w:rsidP="005728DD">
      <w:pPr>
        <w:pStyle w:val="TextoNormal"/>
      </w:pPr>
    </w:p>
    <w:p w:rsidR="005728DD" w:rsidRDefault="005728DD" w:rsidP="005728DD">
      <w:pPr>
        <w:pStyle w:val="TextoNormal"/>
      </w:pPr>
      <w:r w:rsidRPr="005728DD">
        <w:rPr>
          <w:rStyle w:val="NumeroAFNegritaCaracter"/>
        </w:rPr>
        <w:t>2</w:t>
      </w:r>
      <w:r>
        <w:t>. En el escrito de interposición del recurso de inconstitucionalidad, una vez referido el contenido de la reforma del Reglamento de la Junta General del Principado de Asturias impugnada y afirmada la concurrencia de los requisitos formales relativos a la presentación en plazo del recurso y a la legitimación de los recurrentes, se formulan los reproches de inconstitucionalidad que se sintetizan a continuación:</w:t>
      </w:r>
    </w:p>
    <w:p w:rsidR="005728DD" w:rsidRDefault="005728DD" w:rsidP="005728DD">
      <w:pPr>
        <w:pStyle w:val="TextoNormal"/>
      </w:pPr>
    </w:p>
    <w:p w:rsidR="005728DD" w:rsidRDefault="005728DD" w:rsidP="005728DD">
      <w:pPr>
        <w:pStyle w:val="TextoNormal"/>
      </w:pPr>
      <w:r>
        <w:t xml:space="preserve">a) Los recurrentes señalan la inconstitucionalidad del artículo 3 </w:t>
      </w:r>
      <w:r w:rsidRPr="005728DD">
        <w:rPr>
          <w:i/>
        </w:rPr>
        <w:t>bis</w:t>
      </w:r>
      <w:r>
        <w:t xml:space="preserve"> del Reglamento de la Junta General del Principado de Asturias por vulneración de los artículos 3.2 y 81.1 de la Constitución y del art. 4 del Estatuto de Autonomía del Principado de Asturias.</w:t>
      </w:r>
    </w:p>
    <w:p w:rsidR="005728DD" w:rsidRDefault="005728DD" w:rsidP="005728DD">
      <w:pPr>
        <w:pStyle w:val="TextoNormal"/>
      </w:pPr>
    </w:p>
    <w:p w:rsidR="005728DD" w:rsidRDefault="005728DD" w:rsidP="005728DD">
      <w:pPr>
        <w:pStyle w:val="TextoNormal"/>
      </w:pPr>
      <w:r>
        <w:t>Comienza el recurso señalando que el art. 3 CE contiene sustancialmente la regulación constitucional en materia lingüística y recordando la doctrina del Tribunal Constitucional sobre la cuestión. Tras subrayar cómo el tribunal ha recordado que “el art. 3.2 de la Constitución remite a los estatutos de autonomía la decisión sobre el reconocimiento de las lenguas propias como lenguas oficiales y la determinación, en cada caso, del alcance de la cooficialidad”, recoge la doctrina constitucional acerca de la noción de lengua oficial.</w:t>
      </w:r>
    </w:p>
    <w:p w:rsidR="005728DD" w:rsidRDefault="005728DD" w:rsidP="005728DD">
      <w:pPr>
        <w:pStyle w:val="TextoNormal"/>
      </w:pPr>
    </w:p>
    <w:p w:rsidR="005728DD" w:rsidRDefault="005728DD" w:rsidP="005728DD">
      <w:pPr>
        <w:pStyle w:val="TextoNormal"/>
      </w:pPr>
      <w:r>
        <w:t>A continuación, recoge el marco estatutario que dispone en el art. 4 que “1. El bable gozará de protección. Se promoverá su uso, su difusión en los medios de comunicación y su enseñanza, respetando en todo caso, las variantes locales y la voluntariedad en su aprendizaje. 2. Una ley del Principado regulará la protección, uso y promoción del bable”. Relacionando el art. 10.1 del Estatuto de Autonomía como una de las competencias exclusivas del Principado de Asturias la 21, “[e]l fomento y protección del bable en sus diversas variantes que, como modalidades lingüísticas, se utilizan en el territorio del Principado de Asturias”.</w:t>
      </w:r>
    </w:p>
    <w:p w:rsidR="005728DD" w:rsidRDefault="005728DD" w:rsidP="005728DD">
      <w:pPr>
        <w:pStyle w:val="TextoNormal"/>
      </w:pPr>
    </w:p>
    <w:p w:rsidR="005728DD" w:rsidRDefault="005728DD" w:rsidP="005728DD">
      <w:pPr>
        <w:pStyle w:val="TextoNormal"/>
      </w:pPr>
      <w:r>
        <w:t>Así, de acuerdo con el escrito de los recurrentes, partiendo de la configuración que se recoge en el Estatuto de Autonomía del Principado de Asturias, resulta fácilmente constatable que su art. 4 no configura un régimen de cooficialidad lingüística entre la lengua castellana y el bable, que permita su proyección como lengua oficial propia en las relaciones de los ciudadanos con las administraciones públicas. Reproduce el escrito de los recurrentes la doctrina recogida en la STC 56/2016, al pronunciarse sobre la conformidad al marco constitucional del régimen legal de las lenguas propias de Aragón que carecen de carácter oficial, y donde se consideró que no cabía deducir para el caso de las lenguas propias que no tienen la consideración de oficial la aplicabilidad inmediata de las obligaciones de la parte III de la Carta europea de las lenguas regionales o minoritarias.</w:t>
      </w:r>
    </w:p>
    <w:p w:rsidR="005728DD" w:rsidRDefault="005728DD" w:rsidP="005728DD">
      <w:pPr>
        <w:pStyle w:val="TextoNormal"/>
      </w:pPr>
    </w:p>
    <w:p w:rsidR="005728DD" w:rsidRDefault="005728DD" w:rsidP="005728DD">
      <w:pPr>
        <w:pStyle w:val="TextoNormal"/>
      </w:pPr>
      <w:r>
        <w:t>Prosigue el escrito de los recurrentes señalando que la carencia de carácter cooficial del bable ha sido expresa y reiteradamente reconocida por la jurisprudencia constitucional desde la STC 27/1996.</w:t>
      </w:r>
    </w:p>
    <w:p w:rsidR="005728DD" w:rsidRDefault="005728DD" w:rsidP="005728DD">
      <w:pPr>
        <w:pStyle w:val="TextoNormal"/>
      </w:pPr>
    </w:p>
    <w:p w:rsidR="005728DD" w:rsidRDefault="005728DD" w:rsidP="005728DD">
      <w:pPr>
        <w:pStyle w:val="TextoNormal"/>
      </w:pPr>
      <w:r>
        <w:t>Por otra parte recuerda la demanda la cuestión planteada en el ATC 27/2010 que resolvió la cuestión de inconstitucionalidad planteada por un juzgado de lo contencioso-administrativo de Oviedo, que conocía de un proceso especial para la protección de los derechos fundamentales por el recurso interpuesto por un funcionario de la administración del Principado de Asturias, contra una resolución de la Consejería de Presidencia por la que se le rechazaba una solicitud de permiso porque estaba redactada en bable fundamentándose tal rechazo en el art. 4.2 de la Ley 1/1998, de 23 de marzo, de uso y promoción del bable/asturiano que solo contempla “las comunicaciones orales o escritas de los ciudadanos con el Principado de Asturias”, sin referirse a los asuntos que, en relación con el servicio, planteen los funcionarios de la administración asturiana en su condición de tales.</w:t>
      </w:r>
    </w:p>
    <w:p w:rsidR="005728DD" w:rsidRDefault="005728DD" w:rsidP="005728DD">
      <w:pPr>
        <w:pStyle w:val="TextoNormal"/>
      </w:pPr>
    </w:p>
    <w:p w:rsidR="005728DD" w:rsidRDefault="005728DD" w:rsidP="005728DD">
      <w:pPr>
        <w:pStyle w:val="TextoNormal"/>
      </w:pPr>
      <w:r>
        <w:t>En el ATC 27/2010 se afirmó que “[e]l referido precepto legal no reconoce al bable/asturiano como ‘medio normal de comunicación’ en el seno de la administración autonómica, como tampoco le atribuye esa condición en las relaciones que esta entable con los sujetos privados ‘con plena validez y efectos jurídicos’, notas identificativas de la oficialidad de una lengua determinada. Dicho de otro modo, el precepto legal no atribuye a los ciudadanos el derecho a elegir la lengua del procedimiento, limitándose a imponer a la administración del Principado de Asturias la obligación de tramitar los escritos que los ciudadanos le dirijan en bable/asturiano. Contemplada la norma con otra perspectiva, su principal virtualidad consiste en privar de toda discrecionalidad a la administración autonómica a la hora de aceptar las comunicaciones que reciba en esa lengua”.</w:t>
      </w:r>
    </w:p>
    <w:p w:rsidR="005728DD" w:rsidRDefault="005728DD" w:rsidP="005728DD">
      <w:pPr>
        <w:pStyle w:val="TextoNormal"/>
      </w:pPr>
    </w:p>
    <w:p w:rsidR="005728DD" w:rsidRDefault="005728DD" w:rsidP="005728DD">
      <w:pPr>
        <w:pStyle w:val="TextoNormal"/>
      </w:pPr>
      <w:r>
        <w:lastRenderedPageBreak/>
        <w:t xml:space="preserve">Frente a ello existe un voto particular que argumenta que “si la condición de lengua oficial reside, como venimos señalando desde nuestra STC 82/1986, de 26 de junio, FJ 2, en su reconocimiento por los poderes públicos como ‘medio normal de comunicación’ ‘de’, ‘en’ y ‘entre’ los poderes públicos y en la relación de estos con los sujetos privados, con plena validez y efectos jurídicos, no me parece que pueda descartarse, </w:t>
      </w:r>
      <w:r w:rsidRPr="005728DD">
        <w:rPr>
          <w:i/>
        </w:rPr>
        <w:t>a priori</w:t>
      </w:r>
      <w:r>
        <w:t>, que la validez ‘a todos los efectos’ que el precepto legal cuestionado reconoce al uso del bable en las comunicaciones orales o escritas de los ciudadanos con la administración del Principado de Asturias no pueda suponer, al menos en parte, que se está otorgando por el legislador autonómico a esta lengua algunos elementos propios de la cooficialidad lingüística (pese a no tener el bable carácter de lengua oficial conforme al Estatuto de Autonomía del Principado de Asturias) […]; pues es innegable que los sujetos privados que pretendan relacionarse con la administración del Principado de Asturias pueden optar por hacerlo en bable o en castellano, surtiendo plenos efectos jurídicos los escritos redactados en una u otra lengua que se presenten por los ciudadanos ante dicha administración”.</w:t>
      </w:r>
    </w:p>
    <w:p w:rsidR="005728DD" w:rsidRDefault="005728DD" w:rsidP="005728DD">
      <w:pPr>
        <w:pStyle w:val="TextoNormal"/>
      </w:pPr>
    </w:p>
    <w:p w:rsidR="005728DD" w:rsidRDefault="005728DD" w:rsidP="005728DD">
      <w:pPr>
        <w:pStyle w:val="TextoNormal"/>
      </w:pPr>
      <w:r>
        <w:t>Prosigue la demanda recordando que la posibilidad de uso del bable/asturiano al comparecer ante la Cámara ya estaba presente en la regulación reglamentaria anterior, si bien esta se circunscribía a los diputados en el ejercicio de sus funciones parlamentarias, lo que indiscutiblemente contrasta con la generalización que introduce el nuevo precepto al permitir tal uso, además de a los diputados, a “los miembros del Consejo de Gobierno, los cargos y empleados públicos y cualquier persona que comparezca ante la Cámara”, es decir, a cualquier ciudadano compareciente.</w:t>
      </w:r>
    </w:p>
    <w:p w:rsidR="005728DD" w:rsidRDefault="005728DD" w:rsidP="005728DD">
      <w:pPr>
        <w:pStyle w:val="TextoNormal"/>
      </w:pPr>
    </w:p>
    <w:p w:rsidR="005728DD" w:rsidRDefault="005728DD" w:rsidP="005728DD">
      <w:pPr>
        <w:pStyle w:val="TextoNormal"/>
      </w:pPr>
      <w:r>
        <w:t>Una vez examinado el tenor del precepto impugnado, señala la demanda que no siendo el bable lengua oficial en Asturias, el compromiso de promoción de su uso no puede asimilarse con un mandato de normalización del uso de las lenguas oficiales en el territorio del Principado de Asturias. El examen del contenido del precepto recurrido evidencia que su objeto no se limita a ser el fomento y difusión del bable/asturiano, sino que se trata de una materia —instaurar el uso general de dicha lengua en el Parlamento asturiano— que sin duda se introduce en el ámbito de la definición del estatuto jurídico de la cooficialidad de una lengua autonómica, que configura lo que el tribunal ha llamado “un compromiso de promoción de la normalización lingüística” (STC 69/1988, FJ 3).</w:t>
      </w:r>
    </w:p>
    <w:p w:rsidR="005728DD" w:rsidRDefault="005728DD" w:rsidP="005728DD">
      <w:pPr>
        <w:pStyle w:val="TextoNormal"/>
      </w:pPr>
    </w:p>
    <w:p w:rsidR="005728DD" w:rsidRDefault="005728DD" w:rsidP="005728DD">
      <w:pPr>
        <w:pStyle w:val="TextoNormal"/>
      </w:pPr>
      <w:r>
        <w:t xml:space="preserve">Para los recurrentes, el objeto y finalidad del art. 3 </w:t>
      </w:r>
      <w:r w:rsidRPr="005728DD">
        <w:rPr>
          <w:i/>
        </w:rPr>
        <w:t>bis</w:t>
      </w:r>
      <w:r>
        <w:t xml:space="preserve"> del Reglamento de la Junta General se circunscribe al desarrollo del estatuto jurídico del bable, pues con sus previsiones impulsa realmente su reconocimiento por los poderes públicos como “medio normal de comunicación en y entre ellos y en su relación con los sujetos privados, con plena validez y efectos jurídicos”, en concreto, atribuye al bable la condición de lengua de uso normal “en” los poderes públicos, haciéndole poseedor de una de las características propias de la lengua oficial.</w:t>
      </w:r>
    </w:p>
    <w:p w:rsidR="005728DD" w:rsidRDefault="005728DD" w:rsidP="005728DD">
      <w:pPr>
        <w:pStyle w:val="TextoNormal"/>
      </w:pPr>
    </w:p>
    <w:p w:rsidR="005728DD" w:rsidRDefault="005728DD" w:rsidP="005728DD">
      <w:pPr>
        <w:pStyle w:val="TextoNormal"/>
      </w:pPr>
      <w:r>
        <w:t xml:space="preserve">En efecto, téngase en cuenta que el precepto impugnado otorga plena eficacia jurídica a las intervenciones parlamentarias que realice en bable cualquier compareciente ante el Parlamento autonómico. De este modo los miembros del Gobierno o los empleados públicos sometidos a actuaciones de control por el Parlamento podrán usar el bable con plena eficacia jurídica. Igualmente, los parlamentarios tendrán derecho a dirigirse a “cualquier persona que comparezca ante la Cámara” en esa lengua no cooficial y del mismo modo el sujeto </w:t>
      </w:r>
      <w:r>
        <w:lastRenderedPageBreak/>
        <w:t>privado compareciente podrá dirigirse a los parlamentarios, con plena eficacia y valor jurídico, en la lengua no cooficial.</w:t>
      </w:r>
    </w:p>
    <w:p w:rsidR="005728DD" w:rsidRDefault="005728DD" w:rsidP="005728DD">
      <w:pPr>
        <w:pStyle w:val="TextoNormal"/>
      </w:pPr>
    </w:p>
    <w:p w:rsidR="005728DD" w:rsidRDefault="005728DD" w:rsidP="005728DD">
      <w:pPr>
        <w:pStyle w:val="TextoNormal"/>
      </w:pPr>
      <w:r>
        <w:t>Así, para la demanda, y teniendo en cuenta que los caracteres constitucionales de una lengua cooficial son (i) que se convierta en medio normal de comunicación entre un poder público y los sujetos privados y (ii) que se atribuya a la lengua “plena validez y efectos jurídicos”; resultaría evidente que la normativa impugnada está otorgando el carácter de cooficial al bable en las relaciones entre el Parlamento y la ciudadanía. Y es que una cosa es el fomento y promoción de una lengua o modalidad lingüística, como prevé el Estatuto de Autonomía y cosa muy distinta es atribuirle plena eficacia jurídica y normalidad en las relaciones entre un poder público —el Poder Legislativo— y los sujetos privados. Este importante salto cualitativo supone dotar al bable de caracteres propios de las lenguas cooficiales, en franca contradicción con la reserva estatutaria establecida en el artículo 3 de la Constitución y con el propio artículo 4 del Estatuto de Autonomía, que decidió no otorgar la condición de cooficial a esa modalidad lingüística.</w:t>
      </w:r>
    </w:p>
    <w:p w:rsidR="005728DD" w:rsidRDefault="005728DD" w:rsidP="005728DD">
      <w:pPr>
        <w:pStyle w:val="TextoNormal"/>
      </w:pPr>
    </w:p>
    <w:p w:rsidR="005728DD" w:rsidRDefault="005728DD" w:rsidP="005728DD">
      <w:pPr>
        <w:pStyle w:val="TextoNormal"/>
      </w:pPr>
      <w:r>
        <w:t>Prosigue la demanda señalando que en el caso que nos ocupa, faltando el presupuesto fáctico de la normalidad del uso del bable, sin embargo, la norma impugnada pretende atribuirle la característica propia de la lengua cooficial, esto es, la plena validez y eficacia jurídica de las actuaciones producidas precisamente ante el máximo órgano representativo del Principado de Asturias. Para los recurrentes la reforma impugnada excede del fomento de una “modalidad lingüística” a que alude el artículo 3.3 CE, para proceder a atribuir al bable, de manera inconstitucional, los caracteres de lengua cooficial. Y esto supone una evidente vulneración de los arts. 3 CE y 4 del Estatuto de Autonomía.</w:t>
      </w:r>
    </w:p>
    <w:p w:rsidR="005728DD" w:rsidRDefault="005728DD" w:rsidP="005728DD">
      <w:pPr>
        <w:pStyle w:val="TextoNormal"/>
      </w:pPr>
    </w:p>
    <w:p w:rsidR="005728DD" w:rsidRDefault="005728DD" w:rsidP="005728DD">
      <w:pPr>
        <w:pStyle w:val="TextoNormal"/>
      </w:pPr>
      <w:r>
        <w:t>b) Adicionalmente señalan los recurrentes que el general uso del bable con plena eficacia jurídica en las sesiones parlamentarias puede debilitar el control que los parlamentarios y grupos parlamentarios realizan del Ejecutivo y de la administración autonómica, en cuanto, al no ser una lengua de general conocimiento, puede no entenderse por los diputados, lo que afectaría al núcleo de la función representativa de los parlamentarios</w:t>
      </w:r>
      <w:r w:rsidRPr="005728DD">
        <w:rPr>
          <w:i/>
        </w:rPr>
        <w:t xml:space="preserve">, </w:t>
      </w:r>
      <w:r>
        <w:t>ex artículo 23 CE.</w:t>
      </w:r>
    </w:p>
    <w:p w:rsidR="005728DD" w:rsidRDefault="005728DD" w:rsidP="005728DD">
      <w:pPr>
        <w:pStyle w:val="TextoNormal"/>
      </w:pPr>
    </w:p>
    <w:p w:rsidR="005728DD" w:rsidRDefault="005728DD" w:rsidP="005728DD">
      <w:pPr>
        <w:pStyle w:val="TextoNormal"/>
      </w:pPr>
      <w:r>
        <w:t xml:space="preserve">Así, desde la perspectiva de la función de control del Ejecutivo —como base de una democracia representativa y de una Constitución democrática y núcleo del </w:t>
      </w:r>
      <w:r w:rsidRPr="005728DD">
        <w:rPr>
          <w:i/>
        </w:rPr>
        <w:t>ius in officium</w:t>
      </w:r>
      <w:r>
        <w:t xml:space="preserve"> de los parlamentarios—, cobra una indudable trascendencia la atribución que el Reglamento impugnado hace al bable de lengua de uso normal y con plena eficacia jurídica en tales actuaciones del Parlamento autonómico.</w:t>
      </w:r>
    </w:p>
    <w:p w:rsidR="005728DD" w:rsidRDefault="005728DD" w:rsidP="005728DD">
      <w:pPr>
        <w:pStyle w:val="TextoNormal"/>
      </w:pPr>
    </w:p>
    <w:p w:rsidR="005728DD" w:rsidRDefault="005728DD" w:rsidP="005728DD">
      <w:pPr>
        <w:pStyle w:val="TextoNormal"/>
      </w:pPr>
      <w:r w:rsidRPr="005728DD">
        <w:rPr>
          <w:rStyle w:val="NumeroAFNegritaCaracter"/>
        </w:rPr>
        <w:t>3</w:t>
      </w:r>
      <w:r>
        <w:t>. Por providencia de 17 de noviembre de 2020,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del ministro de Justicia, así como a la Junta General y al Consejo de Gobierno del Principado de Asturias, por conducto de sus presidentes, al objeto de que, en el plazo de quince días, pudieran personarse en el procedimiento y formular alegaciones. Asimismo, se acordó publicar la incoación del procedimiento en el “Boletín Oficial del Estado” y en el “Boletín Oficial del Principado de Asturias”, lo que se verificó en el primero en el núm. 310, de 26 de noviembre de 2020.</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Mediante escrito de 27 de noviembre de 2020, el abogado del Estado, en la representación que legalmente ostenta, señaló que no haría alegaciones en el presente procedimiento y que se personaba exclusivamente a los efectos de que en su día se le notifiquen las resoluciones que en él se dicten.</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registrado el día 1 de diciembre de 2020 la presidenta del Congreso de los Diputados comunicó al tribunal el acuerdo de la mesa de la Cámara por el que se persona en el procedimiento y ofrece su colaboración a los efectos del art. 88.1 LOTC. Lo mismo hizo la presidenta del Senado por escrito que tuvo entrada en este tribunal el día 2 de diciembre.</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de 30 de diciembre de 2020, el letrado mayor de la Junta General del Principado de Asturias, en la representación que legalmente ostenta, se personó en el procedimiento y realizó alegaciones. Con posterioridad, por escrito registrado el 5 de enero de 2021, presentó nuevo escrito y solicitó darle trámite como escrito de personación y alegaciones tras advertir erratas en su primer escrito. Así, estas alegaciones se sintetizan a continuación:</w:t>
      </w:r>
    </w:p>
    <w:p w:rsidR="005728DD" w:rsidRDefault="005728DD" w:rsidP="005728DD">
      <w:pPr>
        <w:pStyle w:val="TextoNormal"/>
      </w:pPr>
    </w:p>
    <w:p w:rsidR="005728DD" w:rsidRDefault="005728DD" w:rsidP="005728DD">
      <w:pPr>
        <w:pStyle w:val="TextoNormal"/>
      </w:pPr>
      <w:r>
        <w:t>Un primer apartado contiene diversas consideraciones sobre el contenido de la reforma del Reglamento de la Cámara.</w:t>
      </w:r>
    </w:p>
    <w:p w:rsidR="005728DD" w:rsidRDefault="005728DD" w:rsidP="005728DD">
      <w:pPr>
        <w:pStyle w:val="TextoNormal"/>
      </w:pPr>
    </w:p>
    <w:p w:rsidR="005728DD" w:rsidRDefault="005728DD" w:rsidP="005728DD">
      <w:pPr>
        <w:pStyle w:val="TextoNormal"/>
      </w:pPr>
      <w:r>
        <w:t xml:space="preserve">Recuerda el representante de la Cámara autonómica que el artículo 3 </w:t>
      </w:r>
      <w:r w:rsidRPr="005728DD">
        <w:rPr>
          <w:i/>
        </w:rPr>
        <w:t>bis</w:t>
      </w:r>
      <w:r>
        <w:t xml:space="preserve"> consta de dos apartados: “1. En el marco de lo dispuesto por el Estatuto de Autonomía y, en su caso, por la legislación que lo desarrolle, tanto los diputados en el ejercicio de sus funciones parlamentarias como los miembros del Consejo de Gobierno, los cargos y empleados públicos y cualquier persona que comparezca ante la Cámara, podrán utilizar el bable/asturiano” y “2. La mesa de la Cámara, oída la junta de portavoces, adoptará, en su caso, los criterios oportunos a tal efecto”.</w:t>
      </w:r>
    </w:p>
    <w:p w:rsidR="005728DD" w:rsidRDefault="005728DD" w:rsidP="005728DD">
      <w:pPr>
        <w:pStyle w:val="TextoNormal"/>
      </w:pPr>
    </w:p>
    <w:p w:rsidR="005728DD" w:rsidRDefault="005728DD" w:rsidP="005728DD">
      <w:pPr>
        <w:pStyle w:val="TextoNormal"/>
      </w:pPr>
      <w:r>
        <w:t>Destaca el representante del Parlamento el hecho de que el precepto consta de dos apartados porque el recurso, que se dirige contra todo el artículo, no hace en su argumentación alusión alguna al segundo apartado.</w:t>
      </w:r>
    </w:p>
    <w:p w:rsidR="005728DD" w:rsidRDefault="005728DD" w:rsidP="005728DD">
      <w:pPr>
        <w:pStyle w:val="TextoNormal"/>
      </w:pPr>
    </w:p>
    <w:p w:rsidR="005728DD" w:rsidRDefault="005728DD" w:rsidP="005728DD">
      <w:pPr>
        <w:pStyle w:val="TextoNormal"/>
      </w:pPr>
      <w:r>
        <w:t>Prosigue explicando el origen de la reforma que lo que pretendía era desactivar el argumento, usado en una sesión de 1 de octubre de 2019, de la imprevisión del Reglamento —en su redacción previa a la reforma— del uso del bable en las intervenciones ante la Cámara de quienes no fueran diputados, empezando por los miembros del Consejo de Gobierno y siguiendo por el resto de posibles comparecientes.</w:t>
      </w:r>
    </w:p>
    <w:p w:rsidR="005728DD" w:rsidRDefault="005728DD" w:rsidP="005728DD">
      <w:pPr>
        <w:pStyle w:val="TextoNormal"/>
      </w:pPr>
    </w:p>
    <w:p w:rsidR="005728DD" w:rsidRDefault="005728DD" w:rsidP="005728DD">
      <w:pPr>
        <w:pStyle w:val="TextoNormal"/>
      </w:pPr>
      <w:r>
        <w:t xml:space="preserve">Tras exponer el parámetro de constitucionalidad que propone el recurso, el artículo 3.2 de la Constitución y el artículo 4 del Estatuto de Autonomía del Principado de Asturias, recoge la doctrina constitucional en contenciosos lingüísticos que reconoce la “realidad plurilingüe de España” (STC 82/1986, FJ 4): una realidad plurilingüe que es constitucionalmente valiosa: “La Constitución se refiere a la necesidad de proteger y respetar las distintas modalidades lingüísticas de España como parte de nuestro patrimonio cultural” (STC 88/2017, FJ 5); un patrimonio que es “digno de especial respeto y protección” (STC </w:t>
      </w:r>
      <w:r>
        <w:lastRenderedPageBreak/>
        <w:t>337/1994, FJ 7), “respeto y protección que por definición incumben al Estado en sentido estricto y también a las comunidades autónomas” (STC 82/2016, FJ 4).</w:t>
      </w:r>
    </w:p>
    <w:p w:rsidR="005728DD" w:rsidRDefault="005728DD" w:rsidP="005728DD">
      <w:pPr>
        <w:pStyle w:val="TextoNormal"/>
      </w:pPr>
    </w:p>
    <w:p w:rsidR="005728DD" w:rsidRDefault="005728DD" w:rsidP="005728DD">
      <w:pPr>
        <w:pStyle w:val="TextoNormal"/>
      </w:pPr>
      <w:r>
        <w:t>Recuerda el escrito del representante de la Cámara autonómica que la protección de las distintas modalidades lingüísticas coexistentes con el castellano en las comunidades autónomas se ha traducido para algunas de ellas en su declaración como cooficiales con el castellano por parte de los respectivos estatutos de autonomía, una posibilidad que ofrece la propia Constitución en su artículo 3.2 (STC 56/2016, FJ 3: “el art. 3.2 de la Constitución remite a los estatutos de autonomía la decisión sobre el reconocimiento de las lenguas propias como lenguas cooficiales”). Para otras modalidades lingüísticas, sin embargo, el mandato constitucional de protección no ha tenido, al menos por el momento, esa traducción. Es el caso del bable, como el Tribunal Constitucional ha tenido ya ocasión de verificar (SSTC 82/1986, FJ 4; 27/1996, FJ l; 48/2000, y ATC 27/2010).</w:t>
      </w:r>
    </w:p>
    <w:p w:rsidR="005728DD" w:rsidRDefault="005728DD" w:rsidP="005728DD">
      <w:pPr>
        <w:pStyle w:val="TextoNormal"/>
      </w:pPr>
    </w:p>
    <w:p w:rsidR="005728DD" w:rsidRDefault="005728DD" w:rsidP="005728DD">
      <w:pPr>
        <w:pStyle w:val="TextoNormal"/>
      </w:pPr>
      <w:r>
        <w:t>Subraya el escrito del representante de la Junta General que la cooficialidad, tiene dicho el Tribunal Constitucional, comporta que, “independientemente de su realidad y peso como fenómeno social”, una lengua “es reconocida por los poderes públicos como medio normal de comunicación en y entre ellos y en su relación con los sujetos privados, con plena validez y efectos jurídicos” (STC 82/1986, FJ 2) y “lo es con respecto a todos los poderes públicos radicados en el territorio autonómico, sin exclusión de los órganos dependientes de la administración central y de otras instituciones estatales en sentido estricto” (STC 165/2013, FJ 4), “siendo, por tanto, el criterio delimitador de la oficialidad del castellano y de la cooficialidad de otras lenguas españolas el territorio, independientemente del carácter estatal (en sentido estricto), autonómico o local de los distintos poderes públicos” [STC 31/2010, FJ 14 a)]; “el ciudadano tiene derecho a usar indistintamente el castellano o la lengua oficial propia de la comunidad autónoma en sus relaciones con el conjunto de las instituciones públicas que se ubican en el territorio de esa comunidad” (STC 11/2018, FJ 4). De modo que no podrán obtener el reconocimiento como medio normal de comunicación con plena validez y efectos jurídicos con respecto a todos los poderes públicos radicados en una comunidad autónoma, en y entre ellos, y de estos con los particulares, las lenguas que, como el bable, no sea cooficiales según los estatutos de autonomía.</w:t>
      </w:r>
    </w:p>
    <w:p w:rsidR="005728DD" w:rsidRDefault="005728DD" w:rsidP="005728DD">
      <w:pPr>
        <w:pStyle w:val="TextoNormal"/>
      </w:pPr>
    </w:p>
    <w:p w:rsidR="005728DD" w:rsidRDefault="005728DD" w:rsidP="005728DD">
      <w:pPr>
        <w:pStyle w:val="TextoNormal"/>
      </w:pPr>
      <w:r>
        <w:t>Prosigue el escrito del representante legal de la Cámara señalando que con arreglo al ATC 27/2010, no hay cooficialidad encubierta o material del bable en el artículo 4.2 de la Ley 1/1998, porque, de un lado, “su principal virtualidad es privar de toda discrecionalidad a la administración autonómica a la hora de aceptar las comunicaciones que reciba en esa lengua” y, del otro, porque “la plenitud de validez a todos los efectos predicada por el legislador autonómico solo vincula al Principado de Asturias, según se precisa en el inciso final de este precepto legal, quedando por tanto extramuros de ese ámbito de aplicación el resto de poderes públicos existentes en el territorio autonómico”.</w:t>
      </w:r>
    </w:p>
    <w:p w:rsidR="005728DD" w:rsidRDefault="005728DD" w:rsidP="005728DD">
      <w:pPr>
        <w:pStyle w:val="TextoNormal"/>
      </w:pPr>
    </w:p>
    <w:p w:rsidR="005728DD" w:rsidRDefault="005728DD" w:rsidP="005728DD">
      <w:pPr>
        <w:pStyle w:val="TextoNormal"/>
      </w:pPr>
      <w:r>
        <w:t xml:space="preserve">Así, el artículo 4.2 de la Ley 1/1998 no mereció tacha de inconstitucionalidad en el ATC 27/2010 sobre la base de esas dos consideraciones. Para el escrito del representante legal de la Junta General tampoco el artículo 3 </w:t>
      </w:r>
      <w:r w:rsidRPr="005728DD">
        <w:rPr>
          <w:i/>
        </w:rPr>
        <w:t>bis</w:t>
      </w:r>
      <w:r>
        <w:t xml:space="preserve"> del Reglamento de la Junta General debiera merecerlo, pues: a) se limita a decir que cualquier persona que comparezca ante la Cámara puede utilizar el bable/asturiano, algo que no va más allá del artículo 4.2 de la Ley 1/1998 cuando dice que los ciudadanos tienen derecho a emplear el bable/asturiano ante la administración autonómica; y b) si limitado es el alcance del artículo 4.2 de la Ley 1/1998, que </w:t>
      </w:r>
      <w:r>
        <w:lastRenderedPageBreak/>
        <w:t xml:space="preserve">se circunscribe a la administración del Principado, no más amplio es, desde luego, el alcance del artículo 3 </w:t>
      </w:r>
      <w:r w:rsidRPr="005728DD">
        <w:rPr>
          <w:i/>
        </w:rPr>
        <w:t>bis</w:t>
      </w:r>
      <w:r>
        <w:t xml:space="preserve"> del Reglamento de la Junta General, que se ciñe a las intervenciones ante la Junta General.</w:t>
      </w:r>
    </w:p>
    <w:p w:rsidR="005728DD" w:rsidRDefault="005728DD" w:rsidP="005728DD">
      <w:pPr>
        <w:pStyle w:val="TextoNormal"/>
      </w:pPr>
    </w:p>
    <w:p w:rsidR="005728DD" w:rsidRDefault="005728DD" w:rsidP="005728DD">
      <w:pPr>
        <w:pStyle w:val="TextoNormal"/>
      </w:pPr>
      <w:r>
        <w:t>Sostiene el escrito del representante de la Junta General que el hecho de que una lengua no sea oficial no significa que no pueda tener algunos “usos oficiales”. El propio Tribunal Constitucional no ha querido que se dejaran sin proclamar unas candidaturas al Congreso y al Senado en bable/asturiano (STC 48/2000). Esos usos no podrán ser, ciertamente, los que habilita una declaración de cooficialidad, es decir, los que, con plena validez y efectos, se imponen para, en y entre todos los poderes públicos radicados en la comunidad autónoma, y entre estos y los particulares. Pero, entre la protección máxima de la cooficialidad y una mínima protección de lo que serían los contenidos lingüísticos que conllevan derechos humanos como, por ejemplo, el derecho a un nombre, o a la vida privada, “se abre paso una zona o nivel intermedio de garantía de los derechos lingüísticos”.</w:t>
      </w:r>
    </w:p>
    <w:p w:rsidR="005728DD" w:rsidRDefault="005728DD" w:rsidP="005728DD">
      <w:pPr>
        <w:pStyle w:val="TextoNormal"/>
      </w:pPr>
    </w:p>
    <w:p w:rsidR="005728DD" w:rsidRDefault="005728DD" w:rsidP="005728DD">
      <w:pPr>
        <w:pStyle w:val="TextoNormal"/>
      </w:pPr>
      <w:r>
        <w:t xml:space="preserve">Señala el representante de la Junta General que el artículo 3 </w:t>
      </w:r>
      <w:r w:rsidRPr="005728DD">
        <w:rPr>
          <w:i/>
        </w:rPr>
        <w:t>bis</w:t>
      </w:r>
      <w:r>
        <w:t xml:space="preserve"> del Reglamento de la Cámara contempla el uso del bable/asturiano únicamente en sede parlamentaria y para las intervenciones en la Cámara. Y recuerda que otras instituciones parlamentarias autorizan el uso de lenguas no oficiales. En Aragón, el artículo 6 del Reglamento de las Cortes de Aragón dispone que las “[l]as Cortes de Aragón adaptarán sus actuaciones interna y externa, así como sus relaciones con los ciudadanos, a las obligaciones derivadas de la legislación vigente en materia de lenguas y en virtud de lo dispuesto en el Estatuto de Autonomía”. Y el Reglamento del Senado, respecto de las lenguas cooficiales, que son cooficiales en las comunidades autónomas respectivas, pero no en el Estado, es decir, no en el Senado, contiene, sin embargo, diversas cláusulas para habilitar su uso con validez y efectos jurídicos en las intervenciones en la Cámara alta.</w:t>
      </w:r>
    </w:p>
    <w:p w:rsidR="005728DD" w:rsidRDefault="005728DD" w:rsidP="005728DD">
      <w:pPr>
        <w:pStyle w:val="TextoNormal"/>
      </w:pPr>
    </w:p>
    <w:p w:rsidR="005728DD" w:rsidRDefault="005728DD" w:rsidP="005728DD">
      <w:pPr>
        <w:pStyle w:val="TextoNormal"/>
      </w:pPr>
      <w:r>
        <w:t>El mandato del artículo 4 del Estatuto de Autonomía no es únicamente de protección del bable, sino también de promoción de su uso y de regulación del mismo. El artículo 10.1.27 del Estatuto de Autonomía tampoco habla solo de protección, sino, también, de “fomento”.</w:t>
      </w:r>
    </w:p>
    <w:p w:rsidR="005728DD" w:rsidRDefault="005728DD" w:rsidP="005728DD">
      <w:pPr>
        <w:pStyle w:val="TextoNormal"/>
      </w:pPr>
    </w:p>
    <w:p w:rsidR="005728DD" w:rsidRDefault="005728DD" w:rsidP="005728DD">
      <w:pPr>
        <w:pStyle w:val="TextoNormal"/>
      </w:pPr>
      <w:r>
        <w:t>Prosigue el representante de la Junta General recordando que la Carta europea de las lenguas regionales o minoritarias, que aunque “no puede erigirse en canon autónomo de validez”, sí “proporciona pautas interpretativas” [STC 165/2013, FJ 14 a), con remisión al ATC 166/2005, FJ 4; también STC 56/2016, FJ 5], incluye “el empleo por las colectividades regionales de lenguas regionales o minoritarias en los debates de sus asambleas, sin excluir, no obstante, el uso de la(s) lengua(s) oficial(es) del Estado” [artículo 10.2 e)] entre las medidas a “permitir y/o fomentar”. Y ello, por lo que se refiere a España, tanto, según consta en el instrumento de ratificación del Tratado, para las lenguas reconocidas como oficiales en los Estatutos de Autonomía de las comunidades autónomas del País Vasco, Cataluña, Illes Balears, Galicia, Valenciana y Navarra, como para “las que los estatutos de autonomía protegen y amparan en los territorios donde tradicionalmente se hablan”.</w:t>
      </w:r>
    </w:p>
    <w:p w:rsidR="005728DD" w:rsidRDefault="005728DD" w:rsidP="005728DD">
      <w:pPr>
        <w:pStyle w:val="TextoNormal"/>
      </w:pPr>
    </w:p>
    <w:p w:rsidR="005728DD" w:rsidRDefault="005728DD" w:rsidP="005728DD">
      <w:pPr>
        <w:pStyle w:val="TextoNormal"/>
      </w:pPr>
      <w:r>
        <w:t xml:space="preserve">Y es que las asambleas regionales, que, como todo Parlamento, son “ante todo, escenarios privilegiados del debate político” (STC 226/2004, FJ 6) y para la representación del pluralismo político, que, en efecto, “adquiere uno de sus más claros sentidos en la actividad parlamentaria” (STC 115/2019, FJ 3), resultan también, por eso mismo, lugar y recinto propicios para dar visibilidad a esas lenguas regionales o minoritarias, al pluralismo lingüístico </w:t>
      </w:r>
      <w:r>
        <w:lastRenderedPageBreak/>
        <w:t>que en ellas se encarna, protegiéndolas y fomentando su uso como quieren la Carta Europea y la Constitución Española, al igual que el Estatuto de Autonomía del Principado de Asturias.</w:t>
      </w:r>
    </w:p>
    <w:p w:rsidR="005728DD" w:rsidRDefault="005728DD" w:rsidP="005728DD">
      <w:pPr>
        <w:pStyle w:val="TextoNormal"/>
      </w:pPr>
    </w:p>
    <w:p w:rsidR="005728DD" w:rsidRDefault="005728DD" w:rsidP="005728DD">
      <w:pPr>
        <w:pStyle w:val="TextoNormal"/>
      </w:pPr>
      <w:r>
        <w:t xml:space="preserve">Así, entiende el representante de la Junta General que el artículo 3 </w:t>
      </w:r>
      <w:r w:rsidRPr="005728DD">
        <w:rPr>
          <w:i/>
        </w:rPr>
        <w:t>bis</w:t>
      </w:r>
      <w:r>
        <w:t xml:space="preserve"> del Reglamento de la Junta General del Principado de Asturias no infringe los artículos 3 de la Constitución y 4 el Estatuto de Autonomía porque no comporta para el bable una cooficialidad encubierta que haya sorteado la falta de declaración de cooficialidad en el Estatuto de Autonomía como norma constitucionalmente competente para hacer esa declaración.</w:t>
      </w:r>
    </w:p>
    <w:p w:rsidR="005728DD" w:rsidRDefault="005728DD" w:rsidP="005728DD">
      <w:pPr>
        <w:pStyle w:val="TextoNormal"/>
      </w:pPr>
    </w:p>
    <w:p w:rsidR="005728DD" w:rsidRDefault="005728DD" w:rsidP="005728DD">
      <w:pPr>
        <w:pStyle w:val="TextoNormal"/>
      </w:pPr>
      <w:r>
        <w:t xml:space="preserve">Responde, por último, a la alegación de que “el general uso del bable con plena eficacia jurídica en las sesiones parlamentarias puede debilitar el control que los parlamentarios y grupos parlamentarios realizan del Ejecutivo y de la administración autonómica, en cuanto, al no ser una lengua de general conocimiento, puede no entenderse por los diputados”. Señala el escrito del representante de la Junta General que para supuestos de dificultad en la comprensión es para lo que el artículo 3 </w:t>
      </w:r>
      <w:r w:rsidRPr="005728DD">
        <w:rPr>
          <w:i/>
        </w:rPr>
        <w:t>bis</w:t>
      </w:r>
      <w:r>
        <w:t xml:space="preserve"> del Reglamento de la Junta General cuenta con un apartado 2 que dice “[l]a mesa de la Cámara, oída la junta de portavoces, adoptará, en su caso, los criterios oportunos a tal efecto”, es decir, efectuará las ponderaciones y adoptará las resoluciones que, de darse el caso, sean necesarias. Así, podrán discutirse las determinaciones que, al amparo de lo dispuesto en el apartado 2 del artículo 3 </w:t>
      </w:r>
      <w:r w:rsidRPr="005728DD">
        <w:rPr>
          <w:i/>
        </w:rPr>
        <w:t>bis</w:t>
      </w:r>
      <w:r>
        <w:t xml:space="preserve"> del Reglamento, la mesa, oída la junta de portavoces, considere en su caso necesarias y adecuadas, pero no cabe prejuzgar en este recurso cuáles vayan a ser, ni anticipar que el apartado 1 del artículo 3 </w:t>
      </w:r>
      <w:r w:rsidRPr="005728DD">
        <w:rPr>
          <w:i/>
        </w:rPr>
        <w:t>bis</w:t>
      </w:r>
      <w:r>
        <w:t xml:space="preserve"> del Reglamento pueda llegar a dar cobertura a criterios de uso inconstitucionales. Por todo ello, el letrado autonómico suplica que se dicte sentencia desestimando el recuro.</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providencia de 16 de marzo de 2021 se acordó señalar para la deliberación y votación de la presente sentencia el día 18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El presente recurso de inconstitucionalidad ha sido formulado por más de cincuenta diputados del Grupo Parlamentario Vox en el Congreso de los Diputados contra el art. 3 </w:t>
      </w:r>
      <w:r w:rsidRPr="005728DD">
        <w:rPr>
          <w:i/>
        </w:rPr>
        <w:t>bis</w:t>
      </w:r>
      <w:r>
        <w:t xml:space="preserve"> del Reglamento de la Junta General del Principado de Asturias en la redacción que del mismo ha realizado la reforma de 1 de julio de 2020 cuando dispone:</w:t>
      </w:r>
    </w:p>
    <w:p w:rsidR="005728DD" w:rsidRDefault="005728DD" w:rsidP="005728DD">
      <w:pPr>
        <w:pStyle w:val="TextoNormal"/>
      </w:pPr>
    </w:p>
    <w:p w:rsidR="005728DD" w:rsidRDefault="005728DD" w:rsidP="005728DD">
      <w:pPr>
        <w:pStyle w:val="TextoNormal"/>
      </w:pPr>
      <w:r>
        <w:t xml:space="preserve">“1. En el marco de lo dispuesto por el Estatuto de Autonomía y, en su caso, por la legislación que lo desarrolle, tanto los Diputados en el ejercicio de sus funciones parlamentarias como los miembros del Consejo de Gobierno, los cargos y empleados públicos y cualquier persona que comparezca ante la Cámara podrán utilizar el bable/asturiano. </w:t>
      </w:r>
    </w:p>
    <w:p w:rsidR="005728DD" w:rsidRDefault="005728DD" w:rsidP="005728DD">
      <w:pPr>
        <w:pStyle w:val="TextoNormal"/>
      </w:pPr>
    </w:p>
    <w:p w:rsidR="005728DD" w:rsidRDefault="005728DD" w:rsidP="005728DD">
      <w:pPr>
        <w:pStyle w:val="TextoNormal"/>
      </w:pPr>
      <w:r>
        <w:t>2. La Mesa de la Cámara, oída la Junta de Portavoces, adoptará, en su caso, los criterios oportunos a tal efecto”.</w:t>
      </w:r>
    </w:p>
    <w:p w:rsidR="005728DD" w:rsidRDefault="005728DD" w:rsidP="005728DD">
      <w:pPr>
        <w:pStyle w:val="TextoNormal"/>
      </w:pPr>
    </w:p>
    <w:p w:rsidR="005728DD" w:rsidRDefault="005728DD" w:rsidP="005728DD">
      <w:pPr>
        <w:pStyle w:val="TextoNormal"/>
      </w:pPr>
      <w:r>
        <w:t>Los diputados recurrentes, tal y como se reproduce en los antecedentes, consideran que la disposición impugnada ha vulnerado los artículos 3.2 y 81.1 de la Constitución y el art. 4 del Estatuto de Autonomía del Principado de Asturias. Igualmente consideran vulnerado el artículo 23 CE.</w:t>
      </w:r>
    </w:p>
    <w:p w:rsidR="005728DD" w:rsidRDefault="005728DD" w:rsidP="005728DD">
      <w:pPr>
        <w:pStyle w:val="TextoNormal"/>
      </w:pPr>
    </w:p>
    <w:p w:rsidR="005728DD" w:rsidRDefault="005728DD" w:rsidP="005728DD">
      <w:pPr>
        <w:pStyle w:val="TextoNormal"/>
      </w:pPr>
      <w:r>
        <w:t>El representante legal de la Junta General del Principado de Asturias, en los términos que han quedado resumidos en los antecedentes, expresa su opinión divergente, señalando que el artículo 4.2 de la Ley 1/1998 reconoce a los ciudadanos el derecho a emplear el bable/asturiano ante la administración autonómica, y suplicando la desestimación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Se alega, en primer lugar, por los diputados recurrentes que el reconocimiento del derecho a utilizar el bable/asturiano tanto a los diputados, en el ejercicio de sus funciones parlamentarias, como a los miembros del Consejo de Gobierno, a los cargos y empleados públicos y a cualquier persona que comparezca ante la Cámara, sería contraria a las previsiones de los arts. 3.2 y 81.1 de la Constitución, que reservan a los estatutos de autonomía la decisión sobre el reconocimiento de las lenguas propias como lenguas oficiales y la determinación, en cada caso, del alcance de la cooficialidad, y del art. 4 del Estatuto de Autonomía del Principado de Asturias, que no ha reconocido el bable/asturiano como lengua cooficial; pues no existiendo una declaración estatutaria de cooficialidad del bable/asturiano le estaría impedido al Reglamento de la Cámara regular un aspecto primordial de esa cooficialidad como es la condición de lengua de uso normal “en” los poderes públicos. Así, para los recurrentes el art. 3 </w:t>
      </w:r>
      <w:r w:rsidRPr="005728DD">
        <w:rPr>
          <w:i/>
        </w:rPr>
        <w:t>bis</w:t>
      </w:r>
      <w:r>
        <w:t xml:space="preserve"> estaría estableciendo el carácter de cooficial del bable/asturiano al instaurar el uso general de dicha lengua en el Parlamento asturiano.</w:t>
      </w:r>
    </w:p>
    <w:p w:rsidR="005728DD" w:rsidRDefault="005728DD" w:rsidP="005728DD">
      <w:pPr>
        <w:pStyle w:val="TextoNormal"/>
      </w:pPr>
    </w:p>
    <w:p w:rsidR="005728DD" w:rsidRDefault="005728DD" w:rsidP="005728DD">
      <w:pPr>
        <w:pStyle w:val="TextoNormal"/>
      </w:pPr>
      <w:r>
        <w:t>Para abordar la referida impugnación es preciso comenzar subrayando que la diversidad lingüística es una realidad cuyo respeto constituye un valor fundamental reconocido por la Constitución como patrimonio común y expresión de la diversidad cultural de España. Según este tribunal advirtió tempranamente, la Constitución de 1978 reconoce la realidad plurilingüe de la Nación española y, viendo en ella un valor cultural no solo asumible, sino también digno de ser promovido, obtiene de dicha realidad una serie de consecuencias jurídicas, la primera en orden a la posible atribución de carácter oficial a las diversas lenguas españolas, la segunda en orden a la protección efectiva de todas ellas y la tercera en orden a la configuración de derechos y deberes individuales en materia lingüística. Ya en el apartado cuarto de su preámbulo, la Constitución proclama la voluntad de “proteger a todos los españoles y pueblos de España en el ejercicio de los derechos humanos, sus culturas y tradiciones, lenguas e instituciones”; y el art. 20.3, en relación con la organización y el control parlamentario de los medios de comunicación públicos y el acceso a ellos, impone que se lleven a cabo en el respeto a las “diversas lenguas de España” (STC 56/2016, de 17 de marzo, FJ 2).</w:t>
      </w:r>
    </w:p>
    <w:p w:rsidR="005728DD" w:rsidRDefault="005728DD" w:rsidP="005728DD">
      <w:pPr>
        <w:pStyle w:val="TextoNormal"/>
      </w:pPr>
    </w:p>
    <w:p w:rsidR="005728DD" w:rsidRDefault="005728DD" w:rsidP="005728DD">
      <w:pPr>
        <w:pStyle w:val="TextoNormal"/>
      </w:pPr>
      <w:r>
        <w:t>Debemos recordar, como ya hicimos, asimismo, en la referida STC 56/2016, de 17 de marzo, FJ 2, que en la configuración del estatuto de las lenguas españolas distintas del castellano la Constitución deja un importante espacio a la regulación por los estatutos y las leyes de las comunidades autónomas. En el artículo 3 del texto constitucional se fijaron los acuerdos básicos que actúan como premisa para cualquier desarrollo normativo en este ámbito sin que se imponga un único modelo de regulación y gestión del pluralismo lingüístico. Es, por tanto, el ya referido artículo 3 CE (que figura significativamente en el título preliminar) el que contiene sustancialmente la regulación constitucional en materia lingüística, en los siguientes términos:</w:t>
      </w:r>
    </w:p>
    <w:p w:rsidR="005728DD" w:rsidRDefault="005728DD" w:rsidP="005728DD">
      <w:pPr>
        <w:pStyle w:val="TextoNormal"/>
      </w:pPr>
    </w:p>
    <w:p w:rsidR="005728DD" w:rsidRDefault="005728DD" w:rsidP="005728DD">
      <w:pPr>
        <w:pStyle w:val="TextoNormal"/>
      </w:pPr>
      <w:r>
        <w:t>“1. El castellano es la lengua española oficial del Estado. Todos los españoles tienen el deber de conocerlo y el derecho de usarlo.</w:t>
      </w:r>
    </w:p>
    <w:p w:rsidR="005728DD" w:rsidRDefault="005728DD" w:rsidP="005728DD">
      <w:pPr>
        <w:pStyle w:val="TextoNormal"/>
      </w:pPr>
    </w:p>
    <w:p w:rsidR="005728DD" w:rsidRDefault="005728DD" w:rsidP="005728DD">
      <w:pPr>
        <w:pStyle w:val="TextoNormal"/>
      </w:pPr>
      <w:r>
        <w:t>2. Las demás lenguas españolas serán también oficiales en las respectivas Comunidades Autónomas de acuerdo con sus Estatutos.</w:t>
      </w:r>
    </w:p>
    <w:p w:rsidR="005728DD" w:rsidRDefault="005728DD" w:rsidP="005728DD">
      <w:pPr>
        <w:pStyle w:val="TextoNormal"/>
      </w:pPr>
    </w:p>
    <w:p w:rsidR="005728DD" w:rsidRDefault="005728DD" w:rsidP="005728DD">
      <w:pPr>
        <w:pStyle w:val="TextoNormal"/>
      </w:pPr>
      <w:r>
        <w:t>3. La riqueza de las distintas modalidades lingüísticas de España es un patrimonio cultural que será objeto de especial respeto y protección”.</w:t>
      </w:r>
    </w:p>
    <w:p w:rsidR="005728DD" w:rsidRDefault="005728DD" w:rsidP="005728DD">
      <w:pPr>
        <w:pStyle w:val="TextoNormal"/>
      </w:pPr>
    </w:p>
    <w:p w:rsidR="005728DD" w:rsidRDefault="005728DD" w:rsidP="005728DD">
      <w:pPr>
        <w:pStyle w:val="TextoNormal"/>
      </w:pPr>
      <w:r>
        <w:t>Ciertamente, en virtud de la remisión que hace el apartado 2 de este artículo 3 CE a lo dispuesto en las normas estatutarias de las respectivas comunidades autónomas, tal regulación esencial se completa con lo que dichas normas establecen sobre la cooficialidad de las lenguas españolas distintas del castellano. Así, el art. 3.1 y 2 de la Constitución y los artículos correspondientes de los respectivos estatutos de autonomía son la base de la regulación del pluralismo lingüístico en cuanto a su incidencia en el plano de la oficialidad en el ordenamiento constitucional español.</w:t>
      </w:r>
    </w:p>
    <w:p w:rsidR="005728DD" w:rsidRDefault="005728DD" w:rsidP="005728DD">
      <w:pPr>
        <w:pStyle w:val="TextoNormal"/>
      </w:pPr>
    </w:p>
    <w:p w:rsidR="005728DD" w:rsidRDefault="005728DD" w:rsidP="005728DD">
      <w:pPr>
        <w:pStyle w:val="TextoNormal"/>
      </w:pPr>
      <w:r>
        <w:t>De acuerdo con la doctrina de este tribunal, de la regulación que hace la Constitución de la materia se desprendería que es oficial una lengua, independientemente de su realidad y peso como fenómeno social, cuando es reconocida por los poderes públicos como medio normal de comunicación en y entre ellos y en su relación con los sujetos privados, con plena validez y efectos jurídicos (STC 82/1986, de 26 de junio, FJ 2). Ello implica que una lengua oficial será un medio de comunicación normal de los poderes públicos y ante ellos, de lo que se sigue que en el caso de aquellas lenguas distintas al castellano la consecuente cooficialidad lo es con respecto a todos los poderes públicos radicados en el territorio autonómico, sin exclusión ni de los entes locales ni de los órganos dependientes de la administración central (STC 82/1986, FJ 4), de modo que el ciudadano tiene derecho a usar indistintamente el castellano o la lengua oficial propia de la comunidad autónoma en sus relaciones con el conjunto de las instituciones públicas que se ubican en el territorio de esa comunidad (SSTC 134/1997, de 17 de julio, FJ 2; 253/2005, de 11 de octubre, FJ 10, y 31/2010, FJ 21).</w:t>
      </w:r>
    </w:p>
    <w:p w:rsidR="005728DD" w:rsidRDefault="005728DD" w:rsidP="005728DD">
      <w:pPr>
        <w:pStyle w:val="TextoNormal"/>
      </w:pPr>
    </w:p>
    <w:p w:rsidR="005728DD" w:rsidRDefault="005728DD" w:rsidP="005728DD">
      <w:pPr>
        <w:pStyle w:val="TextoNormal"/>
      </w:pPr>
      <w:r>
        <w:t>Examinado el alcance de los dos primeros apartados del art. 3 CE, debemos asimismo subrayar que el referido precepto constitucional dispone de un apartado 3 en virtud del cual el constituyente ha demandado tutelar, también, aquellas realidades lingüísticas que no están amparadas por el estatuto de la oficialidad lingüística en un determinado territorio autonómico, para lo cual corresponderá a los poderes públicos disponer las garantías tanto de respeto como de protección de aquellas, lo cual incluye la posible regulación de su uso público bajo determinadas circunstancias.</w:t>
      </w:r>
    </w:p>
    <w:p w:rsidR="005728DD" w:rsidRDefault="005728DD" w:rsidP="005728DD">
      <w:pPr>
        <w:pStyle w:val="TextoNormal"/>
      </w:pPr>
    </w:p>
    <w:p w:rsidR="005728DD" w:rsidRDefault="005728DD" w:rsidP="005728DD">
      <w:pPr>
        <w:pStyle w:val="TextoNormal"/>
      </w:pPr>
      <w:r>
        <w:t xml:space="preserve">Recordado lo anterior, es ya posible abordar el primer motivo de impugnación señalando que el precepto reglamentario impugnado en el presente proceso constitucional no tiene como resultado la atribución de los efectos propios de la oficialidad a una lengua propia, pues no reconoce al bable/asturiano como “medio normal de comunicación” ante todos los poderes públicos radicados en el territorio autonómico, sino únicamente reconoce determinados efectos en el seno de la institución parlamentaria autonómica. Es claro que el precepto impugnado no regula dicha cooficialidad. La posibilidad de utilizar el bable/asturiano se reconoce tanto en favor de los diputados en el ejercicio de sus funciones parlamentarias como de los miembros del Consejo de Gobierno, los cargos y empleados públicos y cualquier persona que comparezca ante la Cámara pero únicamente a los exclusivos efectos de utilizar esa lengua en sede parlamentaria. En efecto, el precepto reglamentario impugnado </w:t>
      </w:r>
      <w:r>
        <w:lastRenderedPageBreak/>
        <w:t xml:space="preserve">no se refiere, ni podría hacerlo, ni a la administración autonómica, ni a los entes locales, ni a los órganos dependientes de la administración central. Lo dispuesto en el art. 3 </w:t>
      </w:r>
      <w:r w:rsidRPr="005728DD">
        <w:rPr>
          <w:i/>
        </w:rPr>
        <w:t>bis</w:t>
      </w:r>
      <w:r>
        <w:t xml:space="preserve"> del Reglamento de la Junta General tiene un ámbito de aplicación limitado, pues los efectos del reconocimiento que en el mismo se realiza solo se producen en el ámbito de la propia Cámara autonómica, quedando por tanto extramuros de ese ámbito de aplicación el resto de los poderes públicos existentes en el territorio autonómico.</w:t>
      </w:r>
    </w:p>
    <w:p w:rsidR="005728DD" w:rsidRDefault="005728DD" w:rsidP="005728DD">
      <w:pPr>
        <w:pStyle w:val="TextoNormal"/>
      </w:pPr>
    </w:p>
    <w:p w:rsidR="005728DD" w:rsidRDefault="005728DD" w:rsidP="005728DD">
      <w:pPr>
        <w:pStyle w:val="TextoNormal"/>
      </w:pPr>
      <w:r>
        <w:t>Serían los ya referidos efectos generales ante todos los poderes públicos radicados en un territorio las notas identificativas de la oficialidad de una lengua determinada —efectos generales que son los que justifican, precisamente, que el apartado 2 del artículo 3 CE remita para declarar expresa y formalmente la cooficialidad a los estatutos de autonomía como norma institucional básica de cada comunidad autónoma a la que el Estado reconoce y ampara como parte integrante de su ordenamiento jurídico según dispone el art. 147.1 CE—, pero tales notas no se dan en el presente supuesto, pues no nos encontramos ante un reconocimiento general por los poderes públicos de una lengua como medio normal de comunicación en y entre ellos y en su relación con los sujetos privados, con plena validez y efectos jurídicos. Dicho de otro modo, el precepto impugnado se limita a establecer que la Junta General, máximo órgano de representación de los ciudadanos asturianos, acepta la utilización de la lengua asturiana tanto por los diputados en el ejercicio de sus funciones parlamentarias como por los miembros del Consejo de Gobierno, los cargos y empleados públicos o cualquier persona que comparezca ante la Cámara, como medio de asegurar la protección, el uso y la promoción del bable a las que se refiere el art. 4 del Estatuto de Autonomía en desarrollo de lo dispuesto en el apartado 3 del art. 3 CE cuando dispone que “la riqueza de las distintas modalidades lingüísticas de España es un patrimonio cultural que será objeto de especial respeto y protección”.</w:t>
      </w:r>
    </w:p>
    <w:p w:rsidR="005728DD" w:rsidRDefault="005728DD" w:rsidP="005728DD">
      <w:pPr>
        <w:pStyle w:val="TextoNormal"/>
      </w:pPr>
    </w:p>
    <w:p w:rsidR="005728DD" w:rsidRDefault="005728DD" w:rsidP="005728DD">
      <w:pPr>
        <w:pStyle w:val="TextoNormal"/>
      </w:pPr>
      <w:r>
        <w:t>El Estatuto de Autonomía del Principado de Asturias contiene un reconocimiento de la lengua propia, el bable/asturiano, y remite a la Ley para la regulación de los distintos aspectos de su protección, uso y promoción. Como también sucede en otros estatutos de autonomía, este reconocimiento del plurilingüismo no lleva aparejada la atribución de carácter oficial a la lengua propia, que, en este caso, sí ha sido identificada por el propio Estatuto bajo una concreta denominación; el bable. Pero el que no se haya atribuido estatutariamente carácter oficial al bable/asturiano no excluye la posibilidad de tutelar aquella realidad lingüística que no está amparada por el estatuto de la oficialidad lingüística mediante medidas de protección y promoción como es el reconocimiento del uso de la lengua propia ante el órgano de representación de la ciudadanía, la Junta General del Principado de Asturias, foro de debate y participación en el que es especialmente adecuado que se garantice y visibilice aquella realidad lingüística plural. En definitiva el párrafo tercero del artículo tercero de la CE establece también su propio espacio de protección al ejercicio de las lenguas no oficiales, con independencia de lo establecido en el apartado segundo.</w:t>
      </w:r>
    </w:p>
    <w:p w:rsidR="005728DD" w:rsidRDefault="005728DD" w:rsidP="005728DD">
      <w:pPr>
        <w:pStyle w:val="TextoNormal"/>
      </w:pPr>
    </w:p>
    <w:p w:rsidR="005728DD" w:rsidRDefault="005728DD" w:rsidP="005728DD">
      <w:pPr>
        <w:pStyle w:val="TextoNormal"/>
      </w:pPr>
      <w:r>
        <w:t xml:space="preserve">A tal interpretación del alcance del mandato constitucional de respeto y protección de aquellas realidades lingüísticas que no están amparadas por el estatuto de la oficialidad lingüística, coadyuva el hecho de que, como ya estableció este tribunal en relación con otras lenguas regionales no oficiales, en la medida en que el Estatuto de Autonomía del Principado de Asturias “protege y ampara” el bable no hay duda de que resultan de aplicación las disposiciones de la Carta europea de las lenguas regionales o minoritarias, en los términos de la declaración del Estado español incluida en el instrumento de ratificación de la Carta </w:t>
      </w:r>
      <w:r>
        <w:lastRenderedPageBreak/>
        <w:t>de 2 de febrero de 2001 (“Boletín Oficial del Estado” núm. 222, de 15 de septiembre de 2001) según la cual, a los efectos de la Carta se entienden por lenguas regionales o minoritarias, además de las reconocidas como oficiales, “las que los estatutos de autonomía protegen y amparan en los territorios donde tradicionalmente se hablan”. Así, cabe señalar, tal como recuerda el letrado de la Junta General, que la referida Carta europea de las lenguas regionales o minoritarias, que de acuerdo con nuestra doctrina proporciona pautas interpretativas de nuestro régimen jurídico lingüístico [STC 165/2013, FJ 14 a), con remisión al ATC 166/2005, FJ 4; también STC 56/2016, FJ 5], incluye específicamente entre aquellas disposiciones de la parte tercera de la Carta que recogen medidas dirigidas a “permitir y/o fomentar” por los Estados firmantes: “el empleo por las colectividades regionales de lenguas regionales o minoritarias en los debates de sus asambleas, sin excluir, no obstante, el uso de la(s) lengua(s) oficial(es) del Estado” [artículo 10.2 e)]; medida razonable que se vincula con uno de los objetivos y principios establecidos en el artículo 7 de la Carta como es “la facilitación y/o el fomento del empleo oral y escrito de las lenguas regionales o minoritarias en la vida pública y en la vida privada”.</w:t>
      </w:r>
    </w:p>
    <w:p w:rsidR="005728DD" w:rsidRDefault="005728DD" w:rsidP="005728DD">
      <w:pPr>
        <w:pStyle w:val="TextoNormal"/>
      </w:pPr>
    </w:p>
    <w:p w:rsidR="005728DD" w:rsidRDefault="005728DD" w:rsidP="005728DD">
      <w:pPr>
        <w:pStyle w:val="TextoNormal"/>
      </w:pPr>
      <w:r>
        <w:t>Por todo cuanto antecede, debemos desestimar el primer motivo de inconstitucionalidad alegado.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Se alega, en segundo lugar, por los diputados recurrentes que el reconocimiento del derecho a utilizar el bable/asturiano en la Junta General del Principado de Asturias recogido en el art. 3 </w:t>
      </w:r>
      <w:r w:rsidRPr="005728DD">
        <w:rPr>
          <w:i/>
        </w:rPr>
        <w:t>bis</w:t>
      </w:r>
      <w:r>
        <w:t xml:space="preserve"> puede debilitar el control que los parlamentarios y grupos parlamentarios realizan del Ejecutivo y de la administración autonómica, en cuanto, al no ser una lengua de general conocimiento, puede no entenderse por los diputados, lo que afectaría al núcleo de la función representativa de los parlamentarios, </w:t>
      </w:r>
      <w:r w:rsidRPr="005728DD">
        <w:rPr>
          <w:i/>
        </w:rPr>
        <w:t>ex</w:t>
      </w:r>
      <w:r>
        <w:t xml:space="preserve"> artículo 23 CE.</w:t>
      </w:r>
    </w:p>
    <w:p w:rsidR="005728DD" w:rsidRDefault="005728DD" w:rsidP="005728DD">
      <w:pPr>
        <w:pStyle w:val="TextoNormal"/>
      </w:pPr>
    </w:p>
    <w:p w:rsidR="005728DD" w:rsidRDefault="005728DD" w:rsidP="005728DD">
      <w:pPr>
        <w:pStyle w:val="TextoNormal"/>
      </w:pPr>
      <w:r>
        <w:t xml:space="preserve">Así, lo que plantea este segundo motivo, es la eventual imposibilidad efectiva para que los diputados de la Junta General puedan ejercer sus facultades de control e impulso de la acción del Gobierno como consecuencia de que pudieran no comprender las comparecencias que se realicen en bable/asturiano, vulnerándose así el </w:t>
      </w:r>
      <w:r w:rsidRPr="005728DD">
        <w:rPr>
          <w:i/>
        </w:rPr>
        <w:t>ius in officium</w:t>
      </w:r>
      <w:r>
        <w:t xml:space="preserve"> propio del cargo de parlamentario protegido por el art. 23.2 CE y el correlativo derecho de los ciudadanos a participar en las funciones públicas a través de sus representantes (art. 23.1 CE).</w:t>
      </w:r>
    </w:p>
    <w:p w:rsidR="005728DD" w:rsidRDefault="005728DD" w:rsidP="005728DD">
      <w:pPr>
        <w:pStyle w:val="TextoNormal"/>
      </w:pPr>
    </w:p>
    <w:p w:rsidR="005728DD" w:rsidRDefault="005728DD" w:rsidP="005728DD">
      <w:pPr>
        <w:pStyle w:val="TextoNormal"/>
      </w:pPr>
      <w:r>
        <w:t xml:space="preserve">Sin embargo, la vulneración del derecho fundamental que pudiera derivar del precepto, pues es indudable que la regulación afecta a aquellos derechos o atribuciones que integran el estatuto constitucionalmente relevante del representante público, puede quedar salvada por la previsión recogida en el apartado 2 del propio artículo 3 </w:t>
      </w:r>
      <w:r w:rsidRPr="005728DD">
        <w:rPr>
          <w:i/>
        </w:rPr>
        <w:t>bis</w:t>
      </w:r>
      <w:r>
        <w:t xml:space="preserve"> del Reglamento de la Junta General del Principado de Asturias cuando dispone que “[l]a mesa de la Cámara, oída la junta de portavoces, adoptará, en su caso, los criterios oportunos a tal efecto”. Es decir, al efecto de que tanto los diputados en el ejercicio de sus funciones parlamentarias como los miembros del Consejo de Gobierno, los cargos y empleados públicos y cualquier persona que comparezca ante la Cámara puedan utilizar el bable/asturiano. Así, que esa afectación no se convierta en vulneración depende de que la mesa necesariamente adopte las medidas oportunas para impedir que el desconocimiento del bable por los representantes suponga un obstáculo para el ejercicio de tales funciones de debate y control.</w:t>
      </w:r>
    </w:p>
    <w:p w:rsidR="005728DD" w:rsidRDefault="005728DD" w:rsidP="005728DD">
      <w:pPr>
        <w:pStyle w:val="TextoNormal"/>
      </w:pPr>
    </w:p>
    <w:p w:rsidR="005728DD" w:rsidRDefault="005728DD" w:rsidP="005728DD">
      <w:pPr>
        <w:pStyle w:val="TextoNormal"/>
      </w:pPr>
      <w:r>
        <w:t xml:space="preserve">Tal previsión impone a la mesa que al adoptar los criterios a los que el precepto se refiere realice una interpretación de los mismos que impida que la previsión recogida en el apartado </w:t>
      </w:r>
      <w:r>
        <w:lastRenderedPageBreak/>
        <w:t xml:space="preserve">1 del art. 3 </w:t>
      </w:r>
      <w:r w:rsidRPr="005728DD">
        <w:rPr>
          <w:i/>
        </w:rPr>
        <w:t>bis</w:t>
      </w:r>
      <w:r>
        <w:t xml:space="preserve"> pueda llegar a suponer una limitación efectiva y real al ejercicio de aquellos derechos o atribuciones que integran el estatuto constitucionalmente relevante del representante público y a motivar las razones de su aplicación, con la finalidad de evitar la vulneración del derecho fundamental del representante de los ciudadanos a ejercer su cargo (art. 23.2 CE), así como del derecho de estos a participar en los asuntos públicos (art. 23.1 CE), que se puedan producir por el uso en la Junta General de una lengua distinta a la oficial en todo el Estado.</w:t>
      </w:r>
    </w:p>
    <w:p w:rsidR="005728DD" w:rsidRDefault="005728DD" w:rsidP="005728DD">
      <w:pPr>
        <w:pStyle w:val="TextoNormal"/>
      </w:pPr>
    </w:p>
    <w:p w:rsidR="005728DD" w:rsidRDefault="005728DD" w:rsidP="005728DD">
      <w:pPr>
        <w:pStyle w:val="TextoNormal"/>
      </w:pPr>
      <w:r>
        <w:t xml:space="preserve">Así, tal y como señala el representante de la Junta General, podrán discutirse las determinaciones que, al amparo de lo dispuesto en el apartado 2 del artículo 3 </w:t>
      </w:r>
      <w:r w:rsidRPr="005728DD">
        <w:rPr>
          <w:i/>
        </w:rPr>
        <w:t>bis</w:t>
      </w:r>
      <w:r>
        <w:t xml:space="preserve"> del Reglamento, la mesa, oída la junta de portavoces, considere en su caso necesarias y adecuadas, pero no cabe prejuzgar en este recurso cuáles vayan a ser, ni anticipar que el apartado 1 del artículo 3 </w:t>
      </w:r>
      <w:r w:rsidRPr="005728DD">
        <w:rPr>
          <w:i/>
        </w:rPr>
        <w:t>bis</w:t>
      </w:r>
      <w:r>
        <w:t xml:space="preserve"> del Reglamento pueda llegar a dar cobertura a criterios de uso inconstitucionales.</w:t>
      </w:r>
    </w:p>
    <w:p w:rsidR="005728DD" w:rsidRDefault="005728DD" w:rsidP="005728DD">
      <w:pPr>
        <w:pStyle w:val="TextoNormal"/>
      </w:pPr>
    </w:p>
    <w:p w:rsidR="005728DD" w:rsidRDefault="005728DD" w:rsidP="005728DD">
      <w:pPr>
        <w:pStyle w:val="TextoNormal"/>
      </w:pPr>
      <w:r>
        <w:t>Cabe por tanto concluir que, en abstracto, el precepto impugnado no vulnera los derechos reconocidos en el art. 23 CE, por lo que debemos igualmente desestimar este segundo motivo de impugnación.</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 xml:space="preserve">En atención a todo lo expuesto, el Tribunal Constitucional, por la autoridad que le confiere la Constitución de la Nación española, ha decidido desestimar el recurso de inconstitucionalidad núm. 4911-2020 promovido por más de cincuenta diputados del Grupo Parlamentario Vox del Congreso de los Diputados contra el art. 3 </w:t>
      </w:r>
      <w:r w:rsidRPr="005728DD">
        <w:rPr>
          <w:i/>
        </w:rPr>
        <w:t>bis</w:t>
      </w:r>
      <w:r>
        <w:t xml:space="preserve"> del Reglamento de la Junta General del Principado de Asturias de 18 de junio de 1997, introducido mediante la reforma aprobada por el Pleno de la Cámara de 1 de julio de 2020 y publicada en el “Boletín Oficial del Principado de Asturias” núm. 139, de 20 de julio de 2020.</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dieciocho de marzo de dos mil veintiuno.</w:t>
      </w:r>
    </w:p>
    <w:p w:rsidR="005728DD" w:rsidRDefault="005728DD" w:rsidP="005728DD">
      <w:pPr>
        <w:pStyle w:val="ParrafoNormal"/>
      </w:pPr>
    </w:p>
    <w:p w:rsidR="005728DD" w:rsidRDefault="005728DD" w:rsidP="005728DD">
      <w:pPr>
        <w:pStyle w:val="TextoNormalNegritaCentrado"/>
        <w:keepNext/>
      </w:pPr>
      <w:r>
        <w:t>Voto particular que formula la magistrada doña Encarnación Roca Trías a la sentencia dictada en el recurso de inconstitucionalidad núm. 4911-2020</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la mayoría, formulo voto particular a fin de exponer mi discrepancia con la fundamentación jurídica y con el fallo de la sentencia, en atención a las razones que defendí durante su deliberación en el Pleno y que paso a exponer a continuación.</w:t>
      </w:r>
    </w:p>
    <w:p w:rsidR="005728DD" w:rsidRDefault="005728DD" w:rsidP="005728DD">
      <w:pPr>
        <w:pStyle w:val="TextoNormal"/>
      </w:pPr>
    </w:p>
    <w:p w:rsidR="005728DD" w:rsidRDefault="005728DD" w:rsidP="005728DD">
      <w:pPr>
        <w:pStyle w:val="TextoNormal"/>
      </w:pPr>
      <w:r>
        <w:t xml:space="preserve">1. En el presente recurso de inconstitucionalidad se impugna el art. 3 </w:t>
      </w:r>
      <w:r w:rsidRPr="005728DD">
        <w:rPr>
          <w:i/>
        </w:rPr>
        <w:t>bis</w:t>
      </w:r>
      <w:r>
        <w:t xml:space="preserve"> del Reglamento de la Junta General del Principado de Asturias, introducido por el art. único de la reforma de dicho Reglamento de 1 de julio de 2020, que establece:</w:t>
      </w:r>
    </w:p>
    <w:p w:rsidR="005728DD" w:rsidRDefault="005728DD" w:rsidP="005728DD">
      <w:pPr>
        <w:pStyle w:val="TextoNormal"/>
      </w:pPr>
    </w:p>
    <w:p w:rsidR="005728DD" w:rsidRDefault="005728DD" w:rsidP="005728DD">
      <w:pPr>
        <w:pStyle w:val="TextoNormal"/>
      </w:pPr>
      <w:r>
        <w:t xml:space="preserve">“1. En el marco de lo dispuesto por el Estatuto de Autonomía y, en su caso, por la legislación que lo desarrolle, tanto los Diputados en el ejercicio de sus funciones parlamentarias </w:t>
      </w:r>
      <w:r>
        <w:lastRenderedPageBreak/>
        <w:t>como los miembros del Consejo de Gobierno, los cargos y empleados públicos y cualquier persona que comparezca ante la Cámara, podrán utilizar el bable/asturiano.</w:t>
      </w:r>
    </w:p>
    <w:p w:rsidR="005728DD" w:rsidRDefault="005728DD" w:rsidP="005728DD">
      <w:pPr>
        <w:pStyle w:val="TextoNormal"/>
      </w:pPr>
    </w:p>
    <w:p w:rsidR="005728DD" w:rsidRDefault="005728DD" w:rsidP="005728DD">
      <w:pPr>
        <w:pStyle w:val="TextoNormal"/>
      </w:pPr>
      <w:r>
        <w:t>2. La Mesa de la Cámara, oída la Junta de Portavoces, adoptará, en su caso, los criterios oportunos a tal efecto”.</w:t>
      </w:r>
    </w:p>
    <w:p w:rsidR="005728DD" w:rsidRDefault="005728DD" w:rsidP="005728DD">
      <w:pPr>
        <w:pStyle w:val="TextoNormal"/>
      </w:pPr>
    </w:p>
    <w:p w:rsidR="005728DD" w:rsidRDefault="005728DD" w:rsidP="005728DD">
      <w:pPr>
        <w:pStyle w:val="TextoNormal"/>
      </w:pPr>
      <w:r>
        <w:t>El citado precepto se impugna por contradecir la reserva al estatuto de autonomía establecida en los arts. 3 y 81.1 CE y el propio art. 4 del Estatuto de Autonomía del Principado de Asturias, que decidió no otorgar la condición de cooficial a la modalidad lingüística del bable. Los recurrentes consideran que no existiendo una declaración estatutaria de cooficialidad del bable/asturiano, le estaría impedido al Reglamento de la Cámara regular un aspecto primordial de esa cooficialidad como es la condición de lengua de uso normal “en” los poderes públicos, al instaurar el uso general de dicha lengua en el Parlamento asturiano.</w:t>
      </w:r>
    </w:p>
    <w:p w:rsidR="005728DD" w:rsidRDefault="005728DD" w:rsidP="005728DD">
      <w:pPr>
        <w:pStyle w:val="TextoNormal"/>
      </w:pPr>
    </w:p>
    <w:p w:rsidR="005728DD" w:rsidRDefault="005728DD" w:rsidP="005728DD">
      <w:pPr>
        <w:pStyle w:val="TextoNormal"/>
      </w:pPr>
      <w:r>
        <w:t xml:space="preserve">2. Tras examinar el alcance de los dos primeros apartados del art. 3 CE y de la previa doctrina constitucional acerca de la cooficialidad lingüística, con cita de la STC 56/2016, la sentencia rechaza la queja de los recurrentes con base en un único argumento: “el precepto reglamentario impugnado en el presente proceso constitucional no tiene como resultado la atribución de los efectos propios de la oficialidad a una lengua propia, pues no reconoce al bable/asturiano como ‘medio normal de comunicación’ ante todos los poderes públicos radicados en el territorio autonómico, sino únicamente reconoce determinados efectos en el seno de la institución parlamentaria autonómica” (FJ 2). Y añade: “En efecto, el precepto reglamentario impugnado no se refiere, ni podría hacerlo, ni a la administración autonómica, ni a los entes locales, ni a los órganos dependientes de la administración central. Lo dispuesto en el art. 3 </w:t>
      </w:r>
      <w:r w:rsidRPr="005728DD">
        <w:rPr>
          <w:i/>
        </w:rPr>
        <w:t>bis</w:t>
      </w:r>
      <w:r>
        <w:t xml:space="preserve"> del Reglamento de la Junta General tiene un ámbito de aplicación limitado, pues los efectos del reconocimiento que en el mismo se realiza solo se producen en el ámbito de la propia Cámara autonómica, quedando por tanto extramuros de ese ámbito de aplicación el resto de los poderes públicos existentes en el territorio autonómico” (FJ 2). Para la sentencia serían, pues, los “efectos generales ante todos los poderes públicos radicados en un territorio las notas identificativas de la oficialidad de una lengua determinada”, y esas no se dan en el presente supuesto, por lo que la sentencia considera el precepto impugnado como un “medio de asegurar la protección, el uso y la promoción del bable a las que se refiere el art. 4 del Estatuto de Autonomía en desarrollo de lo dispuesto en el apartado 3 del art. 3 CE cuando dispone que ‘la riqueza de las distintas modalidades lingüísticas de España es un patrimonio cultural que será objeto de especial respeto y protección’” (FJ 2).</w:t>
      </w:r>
    </w:p>
    <w:p w:rsidR="005728DD" w:rsidRDefault="005728DD" w:rsidP="005728DD">
      <w:pPr>
        <w:pStyle w:val="TextoNormal"/>
      </w:pPr>
    </w:p>
    <w:p w:rsidR="005728DD" w:rsidRDefault="005728DD" w:rsidP="005728DD">
      <w:pPr>
        <w:pStyle w:val="TextoNormal"/>
      </w:pPr>
      <w:r>
        <w:t>Es decir, para el Pleno, el precepto reglamentario impugnado no tiene como resultado la atribución de los efectos propios de la oficialidad porque solo se reconoce como “medio de comunicación normal” en la Junta General del Principado de Asturias y, por tanto, su finalidad es la protección, uso y promoción del bable/asturiano.</w:t>
      </w:r>
    </w:p>
    <w:p w:rsidR="005728DD" w:rsidRDefault="005728DD" w:rsidP="005728DD">
      <w:pPr>
        <w:pStyle w:val="TextoNormal"/>
      </w:pPr>
    </w:p>
    <w:p w:rsidR="005728DD" w:rsidRDefault="005728DD" w:rsidP="005728DD">
      <w:pPr>
        <w:pStyle w:val="TextoNormal"/>
      </w:pPr>
      <w:r>
        <w:t xml:space="preserve">3. En la STC 11/2018, de 8 de febrero, que resolvió el recurso de inconstitucionalidad interpuesto contra algunos preceptos de la Ley del Parlamento de Cataluña 35/2010, de 1 de octubre, del occitano, aranés en Arán, por ser contarios a los apartados uno y dos del art. 3 CE y al art. 6.2 del Estatuto de Autonomía de Cataluña, el tribunal, en su FJ 2, señaló: “El encuadramiento que el proceso demanda debe hacerse, conforme a reiterada doctrina constitucional, atendiendo preferentemente al ‘sentido y finalidad’ de la norma (STC 153/1989, de 5 de octubre, FJ 4). En principio, la regulación del uso de las lenguas puede entenderse, </w:t>
      </w:r>
      <w:r>
        <w:lastRenderedPageBreak/>
        <w:t>en función de las concretas previsiones de la norma, bien relacionada con el estatus de oficialidad de esa lengua o bien con las medidas dirigidas al fomento de su utilización. Este tribunal ya ha tenido ocasión de declarar que, de lo dispuesto en la materia tanto en la Constitución como en el Estatuto de Autonomía, surge un mandato, una habilitación competencial (que el tribunal ha calificado como ‘deber’, STC 6/1982, de 22 de febrero, ‘mandato’, STC 69/1988, de 19 de abril, FJ 8, ‘habilitación’, STC 337/1994, de 23 de diciembre, FJ 7, o como ‘competencia lingüística’, STC 74/1989, de 21 de abril, FJ 2), dirigido a la Generalitat de Cataluña para llevar a cabo, en las condiciones que derivan de la Constitución y el Estatuto, no solo actividades de fomento de las lenguas oficiales en la comunidad, sino también para regular los aspectos esenciales de la cooficialidad de las mismas”. Tras examinar el contenido de los preceptos impugnados, se concluía que su objeto no era el fomento y difusión del aranés, sino que por el contrario, se referían “al régimen de cooficialidad del aranés, pues su objeto y finalidad se circunscribe al desarrollo de su estatuto jurídico en cuanto lengua reconocida por los poderes públicos como medio normal de comunicación en y entre ellos y en su relación con los sujetos privados, con plena validez y efectos jurídicos”.</w:t>
      </w:r>
    </w:p>
    <w:p w:rsidR="005728DD" w:rsidRDefault="005728DD" w:rsidP="005728DD">
      <w:pPr>
        <w:pStyle w:val="TextoNormal"/>
      </w:pPr>
    </w:p>
    <w:p w:rsidR="005728DD" w:rsidRDefault="005728DD" w:rsidP="005728DD">
      <w:pPr>
        <w:pStyle w:val="TextoNormal"/>
      </w:pPr>
      <w:r>
        <w:t>Este debería haber sido, a mi juicio, el canon o forma de enjuiciar este recurso. Dilucidar desde el “sentido y finalidad de la norma”, si nos encontrábamos o no ante una norma que regula aspectos esenciales de la cooficialidad, y ello en la consideración de que, a diferencia del aranés, el bable/asturiano no se encuentra reconocido como lengua oficial por el Estatuto de Autonomía del Principado de Asturias. La sentencia con la que no estoy de acuerdo no hace ninguna reflexión en este sentido y se limita a afirmar, en los términos ya expuestos, que dado que no nos hallamos ante un reconocimiento general del bable/asturiano como “medio de comunicación normal”, no se dan “las notas identificativas de la oficialidad” y, por tanto, la finalidad del precepto es la protección, uso y promoción de dicha lengua.</w:t>
      </w:r>
    </w:p>
    <w:p w:rsidR="005728DD" w:rsidRDefault="005728DD" w:rsidP="005728DD">
      <w:pPr>
        <w:pStyle w:val="TextoNormal"/>
      </w:pPr>
    </w:p>
    <w:p w:rsidR="005728DD" w:rsidRDefault="005728DD" w:rsidP="005728DD">
      <w:pPr>
        <w:pStyle w:val="TextoNormal"/>
      </w:pPr>
      <w:r>
        <w:t>4. Dicho lo anterior procede afirmar lo siguiente:</w:t>
      </w:r>
    </w:p>
    <w:p w:rsidR="005728DD" w:rsidRDefault="005728DD" w:rsidP="005728DD">
      <w:pPr>
        <w:pStyle w:val="TextoNormal"/>
      </w:pPr>
    </w:p>
    <w:p w:rsidR="005728DD" w:rsidRDefault="005728DD" w:rsidP="005728DD">
      <w:pPr>
        <w:pStyle w:val="TextoNormal"/>
      </w:pPr>
      <w:r>
        <w:t>(i) Ninguna duda cabe albergar de que el bable no es lengua oficial, puesto que el Estatuto de Autonomía del Principado no le reconoce este carácter (SSTC 82/1986, de 26 de junio, FJ 4, y 27/1996, de 15 de febrero, FJ 3). Únicamente establece, en su art. 4, que “gozará de protección”, “[s]e promoverá su uso, su difusión en los medios de comunicación y su enseñanza, respetando en todo caso, las variantes locales y la voluntariedad en su aprendizaje”, y que una ley del Principado regulará su “protección, uso y promoción”.</w:t>
      </w:r>
    </w:p>
    <w:p w:rsidR="005728DD" w:rsidRDefault="005728DD" w:rsidP="005728DD">
      <w:pPr>
        <w:pStyle w:val="TextoNormal"/>
      </w:pPr>
    </w:p>
    <w:p w:rsidR="005728DD" w:rsidRDefault="005728DD" w:rsidP="005728DD">
      <w:pPr>
        <w:pStyle w:val="TextoNormal"/>
      </w:pPr>
      <w:r>
        <w:t>(ii) En la STC 87/1997, de 24 de abril, el Tribunal afirmó que “la Constitución en su art. 3.2 remite a los Estatutos de Autonomía de las Comunidades con lengua propia distinta del castellano la decisión sobre la declaración de la oficialidad de esa lengua y acerca de su régimen jurídico. A su vez los Estatutos concretan esta remisión constitucional mediante preceptos, situados en los Títulos preliminares respectivos, en los que, después de efectuar la declaración de la oficialidad de la lengua propia de la Comunidad y reiterar la del castellano, lengua oficial común, incluyen un mandato dirigido a las correspondientes instituciones autonómicas de gobierno para que adopten las medidas necesarias en orden a asegurar el conocimiento de ambos idiomas y a garantizar la plena igualdad en lo que se refiere a los derechos y deberes lingüísticos de los ciudadanos, así como el uso normal y oficial de las lenguas oficiales” (FJ 3).</w:t>
      </w:r>
    </w:p>
    <w:p w:rsidR="005728DD" w:rsidRDefault="005728DD" w:rsidP="005728DD">
      <w:pPr>
        <w:pStyle w:val="TextoNormal"/>
      </w:pPr>
    </w:p>
    <w:p w:rsidR="005728DD" w:rsidRDefault="005728DD" w:rsidP="005728DD">
      <w:pPr>
        <w:pStyle w:val="TextoNormal"/>
      </w:pPr>
      <w:r>
        <w:lastRenderedPageBreak/>
        <w:t xml:space="preserve">(iii) Es cierto, por otro lado, que en la STC 82/1986, de 26 de junio, FJ 2, el Tribunal señaló que la condición de lengua oficial reside en su reconocimiento, por los poderes públicos, como medio normal de comunicación en y entre ellos y en su relación con los sujetos privados, con plena validez y efectos jurídicos. No obstante, y esto no puede pasar desapercibido, dicho reconocimiento por los poderes públicos estaba previamente atribuido estatutariamente. Solo el Estatuto, </w:t>
      </w:r>
      <w:r w:rsidRPr="005728DD">
        <w:rPr>
          <w:i/>
        </w:rPr>
        <w:t>ex</w:t>
      </w:r>
      <w:r>
        <w:t xml:space="preserve"> art. 3.2 CE, puede llevar a cabo dicho reconocimiento. Pero, a falta del mismo, ¿puede el legislador ordinario declarar una lengua como medio de comunicación oficial aunque solo lo sea para determinados ámbitos?</w:t>
      </w:r>
    </w:p>
    <w:p w:rsidR="005728DD" w:rsidRDefault="005728DD" w:rsidP="005728DD">
      <w:pPr>
        <w:pStyle w:val="TextoNormal"/>
      </w:pPr>
    </w:p>
    <w:p w:rsidR="005728DD" w:rsidRDefault="005728DD" w:rsidP="005728DD">
      <w:pPr>
        <w:pStyle w:val="TextoNormal"/>
      </w:pPr>
      <w:r>
        <w:t>(iv) Como ya se ha señalado, el Pleno ha considerado que cualquier regulación que se haga respecto de una lengua no oficial, sea cual sea su contenido, si esta no es general, es decir, si no afecta a todos los poderes públicos radicados en el territorio autonómico, deberá ser considerada como una medida de protección, uso y promoción de la misma. Yo estimo, sin embargo, que en los supuestos de lenguas no oficiales se ha de partir y atender “preferentemente” al “sentido y finalidad de la norma”, y no tener como único canon de enjuiciamiento el que se hace derivar de la definición que este tribunal, a falta de una establecida en la Constitución, ha hecho de “lengua oficial”, sin haber tenido, al menos, en consideración, que fue realizada, según entiendo yo, desde la comprensión de que la oficialidad debía ser previamente declarada por el Estatuto de Autonomía (art. 3.2 CE).</w:t>
      </w:r>
    </w:p>
    <w:p w:rsidR="005728DD" w:rsidRDefault="005728DD" w:rsidP="005728DD">
      <w:pPr>
        <w:pStyle w:val="TextoNormal"/>
      </w:pPr>
    </w:p>
    <w:p w:rsidR="005728DD" w:rsidRDefault="005728DD" w:rsidP="005728DD">
      <w:pPr>
        <w:pStyle w:val="TextoNormal"/>
      </w:pPr>
      <w:r>
        <w:t xml:space="preserve">Así pues y desde el razonamiento expuesto, considero que el art. 3 </w:t>
      </w:r>
      <w:r w:rsidRPr="005728DD">
        <w:rPr>
          <w:i/>
        </w:rPr>
        <w:t>bis</w:t>
      </w:r>
      <w:r>
        <w:t xml:space="preserve"> del Reglamento ha convertido el bable/asturiano en lengua cooficial “en” el Parlamento asturiano, al otorgarle una cualidad o efecto no reconocido previamente en su Estatuto, y, por tanto, sin competencia para ello.</w:t>
      </w:r>
    </w:p>
    <w:p w:rsidR="005728DD" w:rsidRDefault="005728DD" w:rsidP="005728DD">
      <w:pPr>
        <w:pStyle w:val="TextoNormal"/>
      </w:pPr>
    </w:p>
    <w:p w:rsidR="005728DD" w:rsidRDefault="005728DD" w:rsidP="005728DD">
      <w:pPr>
        <w:pStyle w:val="TextoNormal"/>
      </w:pPr>
      <w:r>
        <w:t xml:space="preserve">5. Nos encontramos ante una sentencia importante por su trascendencia y sus consecuencias </w:t>
      </w:r>
      <w:r w:rsidRPr="005728DD">
        <w:rPr>
          <w:i/>
        </w:rPr>
        <w:t>pro futuro</w:t>
      </w:r>
      <w:r>
        <w:t xml:space="preserve">. Solo el Estatuto puede convertir una lengua propia en medio normal de comunicación “en” y “entre” los poderes públicos. Y si no lo hace, el legislador no puede, a mi juicio, conferir, aunque sea de forma parcial o limitada, dicha cualidad. Con esta sentencia se confirma la decisión tomada en el art. 3 </w:t>
      </w:r>
      <w:r w:rsidRPr="005728DD">
        <w:rPr>
          <w:i/>
        </w:rPr>
        <w:t>bis</w:t>
      </w:r>
      <w:r>
        <w:t xml:space="preserve"> del Reglamento de la Junta General del Principado de Asturias.</w:t>
      </w:r>
    </w:p>
    <w:p w:rsidR="005728DD" w:rsidRDefault="005728DD" w:rsidP="005728DD">
      <w:pPr>
        <w:pStyle w:val="TextoNormal"/>
      </w:pPr>
    </w:p>
    <w:p w:rsidR="005728DD" w:rsidRDefault="005728DD" w:rsidP="005728DD">
      <w:pPr>
        <w:pStyle w:val="TextoNormal"/>
      </w:pPr>
      <w:r>
        <w:t>La reforma de un Estatuto de Autonomía es compleja. Necesita de un procedimiento de aprobación y de reforma dificultoso. Pero ello no es casualidad. Es la “norma institucional básica de cada comunidad autónoma” (art. 147.1 CE). Si en su día no se declaró por el Estatuto del Principado de Asturias la cooficialidad del bable, solo a través de su reforma puede revertirse esta decisión. No hacerlo así, sino a través de diferentes normas que, aunque de forma limitada o parcial, regulen aspectos propios de la cooficialidad, puede acabar convirtiendo una lengua propia en plenamente oficial por una vía distinta a la prevista constitucionalmente.</w:t>
      </w:r>
    </w:p>
    <w:p w:rsidR="005728DD" w:rsidRDefault="005728DD" w:rsidP="005728DD">
      <w:pPr>
        <w:pStyle w:val="TextoNormal"/>
      </w:pPr>
    </w:p>
    <w:p w:rsidR="005728DD" w:rsidRDefault="005728DD" w:rsidP="005728DD">
      <w:pPr>
        <w:pStyle w:val="TextoNormal"/>
      </w:pPr>
      <w:r>
        <w:t>Y en este sentido emito mi voto particular.</w:t>
      </w:r>
    </w:p>
    <w:p w:rsidR="005728DD" w:rsidRDefault="005728DD" w:rsidP="005728DD">
      <w:pPr>
        <w:pStyle w:val="TextoNormal"/>
      </w:pPr>
    </w:p>
    <w:p w:rsidR="005728DD" w:rsidRDefault="005728DD" w:rsidP="005728DD">
      <w:pPr>
        <w:pStyle w:val="TextoNormal"/>
      </w:pPr>
      <w:r>
        <w:t>Madrid, a dieciocho de marzo de dos mil veintiuno.</w:t>
      </w:r>
    </w:p>
    <w:p w:rsidR="005728DD" w:rsidRDefault="005728DD" w:rsidP="005728DD">
      <w:pPr>
        <w:pStyle w:val="TextoNormal"/>
      </w:pPr>
    </w:p>
    <w:p w:rsidR="005728DD" w:rsidRDefault="005728DD" w:rsidP="005728DD">
      <w:pPr>
        <w:pStyle w:val="TextoNormalNegritaCentrado"/>
        <w:keepNext/>
      </w:pPr>
      <w:r>
        <w:lastRenderedPageBreak/>
        <w:t>Voto particular concurrente que formula el magistrado don Pedro José González-Trevijano Sánchez a la sentencia dictada en el recurso de inconstitucionalidad núm. 4911-2020</w:t>
      </w:r>
    </w:p>
    <w:p w:rsidR="005728DD" w:rsidRDefault="005728DD" w:rsidP="005728DD">
      <w:pPr>
        <w:pStyle w:val="TextoNormalNegritaCentrado"/>
        <w:keepNext/>
      </w:pPr>
    </w:p>
    <w:p w:rsidR="005728DD" w:rsidRDefault="005728DD" w:rsidP="005728DD">
      <w:pPr>
        <w:pStyle w:val="TextoNormal"/>
      </w:pPr>
      <w:r>
        <w:t>En ejercicio de la facultad que me confiere el art. 90.2 de la Ley Orgánica del Tribunal Constitucional (LOTC), y con pleno respeto a la opinión de la mayoría, expreso mi discrepancia, no con el fallo, pero sí con la fundamentación jurídica de la sentencia dictada en el recurso de inconstitucionalidad mencionado, en los términos que expuse en la deliberación realizada en el Pleno.</w:t>
      </w:r>
    </w:p>
    <w:p w:rsidR="005728DD" w:rsidRDefault="005728DD" w:rsidP="005728DD">
      <w:pPr>
        <w:pStyle w:val="TextoNormal"/>
      </w:pPr>
    </w:p>
    <w:p w:rsidR="005728DD" w:rsidRDefault="005728DD" w:rsidP="005728DD">
      <w:pPr>
        <w:pStyle w:val="TextoNormal"/>
      </w:pPr>
      <w:r>
        <w:t>Coincido con el texto de la sentencia, cuando afirma que el art. 3 de la Constitución Española y los artículos correspondientes de los respectivos estatutos de autonomía constituyen la base de la regulación del pluralismo lingüístico, en cuanto a su incidencia en el plano de la oficialidad en el ordenamiento constitucional español. Como hemos señalado, “la Constitución en art. 3.2 remite a los estatutos de autonomía de las comunidades con lengua propia distinta del castellano la decisión sobre la declaración de oficialidad de esa lengua y acerca de su régimen jurídico. A su vez, los estatutos concretan esa remisión constitucional mediante preceptos, situados en los títulos preliminares respectivos, en lo que, después de efectuar esa declaración de la oficialidad de la lengua propia de la comunidad […] incluyen un mandato dirigido a las correspondientes instituciones autonómicas de gobierno para que adopten las medidas necesarias en orden a asegurar el conocimiento de ambos idiomas y a garantizar la plena igualdad en lo que se refiere a los derechos y deberes lingüísticos de los ciudadanos, así como el uso normal y oficial de ambas lenguas” (STC 87/1997, de 24 de abril, FJ 3).</w:t>
      </w:r>
    </w:p>
    <w:p w:rsidR="005728DD" w:rsidRDefault="005728DD" w:rsidP="005728DD">
      <w:pPr>
        <w:pStyle w:val="TextoNormal"/>
      </w:pPr>
    </w:p>
    <w:p w:rsidR="005728DD" w:rsidRDefault="005728DD" w:rsidP="005728DD">
      <w:pPr>
        <w:pStyle w:val="TextoNormal"/>
      </w:pPr>
      <w:r>
        <w:t>De acuerdo con ello, únicamente tienen la consideración de lenguas cooficiales en el territorio de una comunidad autónoma, aquellas que hayan sido reconocidas como tales en el respectivo estatuto de autonomía. Dicho reconocimiento no se produce en el caso del Estatuto de Autonomía del Principado de Asturias, cuyo art. 4.1 se limita a señalar que “[e]l bable gozará de protección. Se promoverá su uso, su difusión en los medios de comunicación y su enseñanza, respetando en todo caso las variantes locales y la voluntariedad de su aprendizaje”. Siendo ello así, y acudiendo a lo señalado en el apartado 3 del art. 3 del texto constitucional, el bable se configura como una “modalidad lingüística”, y es, por ello “patrimonio cultural que será objeto de especial respeto y protección”.</w:t>
      </w:r>
    </w:p>
    <w:p w:rsidR="005728DD" w:rsidRDefault="005728DD" w:rsidP="005728DD">
      <w:pPr>
        <w:pStyle w:val="TextoNormal"/>
      </w:pPr>
    </w:p>
    <w:p w:rsidR="005728DD" w:rsidRDefault="005728DD" w:rsidP="005728DD">
      <w:pPr>
        <w:pStyle w:val="TextoNormal"/>
      </w:pPr>
      <w:r>
        <w:t>De conformidad con el art. 3.2 CE, el reconocimiento del bable como lengua oficial en el territorio autonómico exigiría necesariamente la previa reforma del Estatuto de Autonomía, y por tanto la concurrencia de las mayorías exigidas en su art. 56.2, sin que pueda abordarse por el cauce de una ley ordinaria emanada de la asamblea legislativa. Dicha pretensión se situaría extramuros de lo señalado en el texto constitucional y en la propia norma estatutaria.</w:t>
      </w:r>
    </w:p>
    <w:p w:rsidR="005728DD" w:rsidRDefault="005728DD" w:rsidP="005728DD">
      <w:pPr>
        <w:pStyle w:val="TextoNormal"/>
      </w:pPr>
    </w:p>
    <w:p w:rsidR="005728DD" w:rsidRDefault="005728DD" w:rsidP="005728DD">
      <w:pPr>
        <w:pStyle w:val="TextoNormal"/>
      </w:pPr>
      <w:r>
        <w:t xml:space="preserve">Esta clara distinción, que deriva del marco constitucional y estatutario vigente, no aparece, a mi juicio, recogida en la sentencia con la suficiente claridad, dando lugar a un déficit argumentativo que debería haberse reparado en el texto. La sentencia viene a poner el énfasis en que el apartado 3 del art. 3 CE, en la medida en que ha demandado tutelar aquellas realidades lingüísticas que no están amparadas por el estatuto de cooficialidad lingüística “incluye la posible regulación de su uso público bajo determinadas circunstancias”. Se trata, </w:t>
      </w:r>
      <w:r>
        <w:lastRenderedPageBreak/>
        <w:t>a mi juicio, de una expresión apodíctica, que no precisa ni el alcance ni las circunstancias de esa regulación, ni por tanto viene a distinguir suficientemente entre el uso público de las lenguas que son oficiales en el respectivo territorio, y las que carecen de dicho carácter; o, en otras palabras, entre un régimen de cooficialidad y otro de promoción y protección del uso de las lenguas.</w:t>
      </w:r>
    </w:p>
    <w:p w:rsidR="005728DD" w:rsidRDefault="005728DD" w:rsidP="005728DD">
      <w:pPr>
        <w:pStyle w:val="TextoNormal"/>
      </w:pPr>
    </w:p>
    <w:p w:rsidR="005728DD" w:rsidRDefault="005728DD" w:rsidP="005728DD">
      <w:pPr>
        <w:pStyle w:val="TextoNormal"/>
      </w:pPr>
      <w:r>
        <w:t>Nada añade a la argumentación que se demanda, la afirmación según la cual el reconocimiento del uso de esta lengua ante la Junta General del Principado de Asturias, se integra dentro de “las medidas de promoción y protección” de esta modalidad lingüística. Es obvio que cualquier medida que favorezca la utilización del bable por cualquiera de los poderes públicos autonómicos, es una medida de promoción. Pero no es esta la cuestión planteada por los recurrentes, pues a lo que debería dar respuesta la sentencia es a si esa promoción o protección puede llegar a la atribución a esta modalidad lingüística de alguna de las características propias de la oficialidad lingüística a través de una ley autonómica; esto es, si puede llegar a equiparar el uso del bable con el que es propio de una lengua cooficial en el seno de la institución parlamentaria, lo que, en opinión de la demanda, sería contrario al bloque de constitucionalidad.</w:t>
      </w:r>
    </w:p>
    <w:p w:rsidR="005728DD" w:rsidRDefault="005728DD" w:rsidP="005728DD">
      <w:pPr>
        <w:pStyle w:val="TextoNormal"/>
      </w:pPr>
    </w:p>
    <w:p w:rsidR="005728DD" w:rsidRDefault="005728DD" w:rsidP="005728DD">
      <w:pPr>
        <w:pStyle w:val="TextoNormal"/>
      </w:pPr>
      <w:r>
        <w:t xml:space="preserve">No puedo compartir la afirmación según la cual, solo en el supuesto de que se produjera un reconocimiento general del uso de esta lengua como medio de comunicación normal ante “todos” los poderes públicos, se produciría una regulación de la oficialidad susceptible de ser considerada inconstitucional; consecuencia que no se daría cuando dicha regulación afecte únicamente a uno o algunos de estos poderes, como es, en este caso, la Junta General del Principado de Asturias. No es esta una afirmación que quepa deducir con claridad de nuestra doctrina, pues no estamos, a mi juicio, ante una cuestión de naturaleza puramente cuantitativa, ni cabría afirmar, </w:t>
      </w:r>
      <w:r w:rsidRPr="005728DD">
        <w:rPr>
          <w:i/>
        </w:rPr>
        <w:t>a sensu contrario</w:t>
      </w:r>
      <w:r>
        <w:t>, que sería suficiente con que alguno de los poderes públicos autonómicos no la reconociese como lengua uso normal, para admitir la constitucionalidad de su uso generalizado como lengua oficial, en el seno de las instituciones autonómicas.</w:t>
      </w:r>
    </w:p>
    <w:p w:rsidR="005728DD" w:rsidRDefault="005728DD" w:rsidP="005728DD">
      <w:pPr>
        <w:pStyle w:val="TextoNormal"/>
      </w:pPr>
    </w:p>
    <w:p w:rsidR="005728DD" w:rsidRDefault="005728DD" w:rsidP="005728DD">
      <w:pPr>
        <w:pStyle w:val="TextoNormal"/>
      </w:pPr>
      <w:r>
        <w:t>La respuesta que haya de darse a la cuestión planteada ha de partir pues de otros parámetros. En concreto, y acudiendo a lo señalado en nuestra doctrina, “es oficial una lengua, independientemente de su realidad y peso como fenómeno social, cuando es reconocida por los poderes públicos como medio normal de comunicación en y entre ellos y en su relación con los sujetos privados, con plena validez y efectos jurídicos” (STC 11/2018, de 8 de febrero, FJ 4, que se remite a la STC 82/1986, de 26 de junio, FJ 2). Como tuvimos ocasión de señalar en el ATC 27/2010, de 25 de febrero, solo en la medida en que no se reconozca al bable/asturiano como “medio de comunicación normal”, ni tampoco se le atribuya esa condición en las relaciones que la respectiva institución entable con los sujetos privados “con plena validez y efectos jurídicos” —notas identificativas de la oficialidad de una lengua determinada—, cabría rechazar la pretensión ejercitada en el presente recurso de inconstitucionalidad.</w:t>
      </w:r>
    </w:p>
    <w:p w:rsidR="005728DD" w:rsidRDefault="005728DD" w:rsidP="005728DD">
      <w:pPr>
        <w:pStyle w:val="TextoNormal"/>
      </w:pPr>
    </w:p>
    <w:p w:rsidR="005728DD" w:rsidRDefault="005728DD" w:rsidP="005728DD">
      <w:pPr>
        <w:pStyle w:val="TextoNormal"/>
      </w:pPr>
      <w:r>
        <w:t xml:space="preserve">De conformidad con lo anterior, entiendo que la sentencia debería haber precisado que la posibilidad de utilizar el bable/asturiano que el Reglamento parlamentario reconoce tanto en favor de los diputados en el ejercicio de sus funciones parlamentarias como de los miembros del Consejo de Gobierno, los cargos y empleados públicos y cualquier persona que comparezca ante la Cámara, lo es a los exclusivos efectos de abrir la posibilidad de uso de </w:t>
      </w:r>
      <w:r>
        <w:lastRenderedPageBreak/>
        <w:t>esa lengua en sede parlamentaria, pero sin que de dicha utilización pueda deducirse validez o efecto jurídico alguno, ni pueda derivarse en su configuración como lengua vehicular en el seno del órgano legislativo.</w:t>
      </w:r>
    </w:p>
    <w:p w:rsidR="005728DD" w:rsidRDefault="005728DD" w:rsidP="005728DD">
      <w:pPr>
        <w:pStyle w:val="TextoNormal"/>
      </w:pPr>
    </w:p>
    <w:p w:rsidR="005728DD" w:rsidRDefault="005728DD" w:rsidP="005728DD">
      <w:pPr>
        <w:pStyle w:val="TextoNormal"/>
      </w:pPr>
      <w:r>
        <w:t xml:space="preserve">En segundo lugar, y en relación con la alegada vulneración del art. 23 CE, coincido con el texto de la sentencia, cuando afirma que, en abstracto, el precepto impugnado no vulnera los derechos reconocidos en el citado precepto constitucional, ni cabe en este momento prejuzgar cuáles vayan a ser las medidas que vaya a adoptar la mesa, oída la junta de portavoces, en aplicación de lo dispuesto en el apartado 2 del art. 3 </w:t>
      </w:r>
      <w:r w:rsidRPr="005728DD">
        <w:rPr>
          <w:i/>
        </w:rPr>
        <w:t>bis</w:t>
      </w:r>
      <w:r>
        <w:t xml:space="preserve"> del Reglamento de la Junta General del Principado de Asturias. Discrepo, sin embargo, de la afirmación que se efectúa de que dicha previsión “impone” a la mesa realizar una interpretación que impida que la previsión recogida en el apartado 1 del art. 3 </w:t>
      </w:r>
      <w:r w:rsidRPr="005728DD">
        <w:rPr>
          <w:i/>
        </w:rPr>
        <w:t>bis</w:t>
      </w:r>
      <w:r>
        <w:t xml:space="preserve"> pueda llegar a suponer una limitación efectiva y real al ejercicio de los derechos reconocidos en el art. 23 CE.</w:t>
      </w:r>
    </w:p>
    <w:p w:rsidR="005728DD" w:rsidRDefault="005728DD" w:rsidP="005728DD">
      <w:pPr>
        <w:pStyle w:val="TextoNormal"/>
      </w:pPr>
    </w:p>
    <w:p w:rsidR="005728DD" w:rsidRDefault="005728DD" w:rsidP="005728DD">
      <w:pPr>
        <w:pStyle w:val="TextoNormal"/>
      </w:pPr>
      <w:r>
        <w:t xml:space="preserve">Esta supuesta imposición no deriva, en absoluto, de la dicción literal del apartado 2 del art. 3 </w:t>
      </w:r>
      <w:r w:rsidRPr="005728DD">
        <w:rPr>
          <w:i/>
        </w:rPr>
        <w:t>bis</w:t>
      </w:r>
      <w:r>
        <w:t>, que se limita a afirmar que la mesa, oída la junta de portavoces “adoptará, en su caso, los criterios oportunos a tal efecto”. Ello implica que: se somete a la decisión discrecional de este órgano parlamentario, la posibilidad o no de su adopción (“en su caso”), la fijación del contenido o alcance de los mismos (“criterios oportunos”) y el objetivo perseguido con dichos criterios (“a tal efecto”); es decir, ya sea este únicamente el de promover el uso del bable, o el de salvaguardar los derechos de aquellos diputados que no entiendan esta lengua. En suma, el precepto no impone a la mesa la adopción de las medidas que señala la sentencia, sino que deja en manos de la misma la adopción de aquellas que estime necesarias y adecuadas, sin ningún condicionamiento adicional.</w:t>
      </w:r>
    </w:p>
    <w:p w:rsidR="005728DD" w:rsidRDefault="005728DD" w:rsidP="005728DD">
      <w:pPr>
        <w:pStyle w:val="TextoNormal"/>
      </w:pPr>
    </w:p>
    <w:p w:rsidR="005728DD" w:rsidRDefault="005728DD" w:rsidP="005728DD">
      <w:pPr>
        <w:pStyle w:val="TextoNormal"/>
      </w:pPr>
      <w:r>
        <w:t>Por los motivos expuestos, y aplicando el principio de conservación de la norma, entiendo que la sentencia debería haber acudido al instrumento de la interpretación conforme a efectos de precisar que, sin perjuicio de que los criterios que adopte la mesa pudieran ser impugnados en su momento; este apartado del precepto únicamente podría reputarse constitucional, si se entiende que en la adopción de los mencionados criterios la mesa vendrá obligada a asegurar el equilibrio entre la posibilidad de utilizar el bable/asturiano y el derecho de los parlamentarios al ejercicio de sus funciones sin obstáculo alguno derivado del desconocimiento de esta lengua. Dicha interpretación debería asimismo haberse incluido en el fallo.</w:t>
      </w:r>
    </w:p>
    <w:p w:rsidR="005728DD" w:rsidRDefault="005728DD" w:rsidP="005728DD">
      <w:pPr>
        <w:pStyle w:val="TextoNormal"/>
      </w:pPr>
    </w:p>
    <w:p w:rsidR="005728DD" w:rsidRDefault="005728DD" w:rsidP="005728DD">
      <w:pPr>
        <w:pStyle w:val="TextoNormal"/>
      </w:pPr>
      <w:r>
        <w:t>En definitiva pues, y de acuerdo con la consolidada doctrina constitucional sobre el citado principio de conservación de las normas, que hace necesario apurar todas las posibilidades de interpretar los preceptos de conformidad con la Constitución, entiendo que el precepto controvertido, siempre que se le atribuya, en los términos señalados en el presente voto particular, un significado respetuoso con lo señalado en la Constitución y en el Estatuto de Autonomía del Principado de Asturias no ha de ser objeto de reproche de inconstitucionalidad.</w:t>
      </w:r>
    </w:p>
    <w:p w:rsidR="005728DD" w:rsidRDefault="005728DD" w:rsidP="005728DD">
      <w:pPr>
        <w:pStyle w:val="TextoNormal"/>
      </w:pPr>
    </w:p>
    <w:p w:rsidR="005728DD" w:rsidRDefault="005728DD" w:rsidP="005728DD">
      <w:pPr>
        <w:pStyle w:val="TextoNormal"/>
      </w:pPr>
      <w:r>
        <w:t>Por todo ello emito mi voto particular.</w:t>
      </w:r>
    </w:p>
    <w:p w:rsidR="005728DD" w:rsidRDefault="005728DD" w:rsidP="005728DD">
      <w:pPr>
        <w:pStyle w:val="TextoNormal"/>
      </w:pPr>
    </w:p>
    <w:p w:rsidR="005728DD" w:rsidRDefault="005728DD" w:rsidP="005728DD">
      <w:pPr>
        <w:pStyle w:val="TextoNormal"/>
      </w:pPr>
      <w:r>
        <w:t>Madrid, a dieciocho de marzo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79" w:name="SENTENCIA_2021_76"/>
      <w:r>
        <w:lastRenderedPageBreak/>
        <w:t>SENTENCIA 76/2021, de 15 de abril de 2021</w:t>
      </w:r>
    </w:p>
    <w:bookmarkEnd w:id="79"/>
    <w:p w:rsidR="005728DD" w:rsidRDefault="005728DD" w:rsidP="005728DD">
      <w:pPr>
        <w:pStyle w:val="TtuloResolucin"/>
      </w:pPr>
      <w:r>
        <w:t>Sala Primera</w:t>
      </w:r>
    </w:p>
    <w:p w:rsidR="005728DD" w:rsidRDefault="005728DD" w:rsidP="005728DD">
      <w:pPr>
        <w:pStyle w:val="TtuloBOE"/>
      </w:pPr>
      <w:r>
        <w:t>(BOE núm. 119, de 19 de mayo de 2021)</w:t>
      </w:r>
    </w:p>
    <w:p w:rsidR="005728DD" w:rsidRDefault="005728DD" w:rsidP="005728DD">
      <w:pPr>
        <w:pStyle w:val="TextoNormalCentrado"/>
      </w:pPr>
      <w:r>
        <w:t>ECLI:ES:TC:2021:76</w:t>
      </w:r>
    </w:p>
    <w:p w:rsidR="005728DD" w:rsidRDefault="005728DD" w:rsidP="005728DD">
      <w:pPr>
        <w:pStyle w:val="TextoNormalCentrado"/>
      </w:pPr>
    </w:p>
    <w:p w:rsidR="005728DD" w:rsidRDefault="005728DD" w:rsidP="005728DD">
      <w:pPr>
        <w:pStyle w:val="SntesisDescriptiva"/>
      </w:pPr>
      <w:r>
        <w:t>Recurso de amparo electoral 2117-2021. Promovido por el Partido Popular, don Antonio Cantó García del Moral y don Agustín Conde Bajén, en relación con la sentencia de un juzgado de lo contencioso-administrativo de Madrid que declaró la inelegibilidad de estos últimos.</w:t>
      </w:r>
    </w:p>
    <w:p w:rsidR="005728DD" w:rsidRDefault="005728DD" w:rsidP="005728DD">
      <w:pPr>
        <w:pStyle w:val="SntesisDescriptiva"/>
      </w:pPr>
    </w:p>
    <w:p w:rsidR="005728DD" w:rsidRDefault="005728DD" w:rsidP="005728DD">
      <w:pPr>
        <w:pStyle w:val="SntesisAnaltica"/>
      </w:pPr>
      <w:r>
        <w:t>Supuesta vulneración del derecho de acceso a los cargos públicos en condiciones de igualdad: exclusión de las listas electorales de quienes no ostentaban la condición de electores. Votos particulares.</w:t>
      </w:r>
    </w:p>
    <w:p w:rsidR="005728DD" w:rsidRDefault="005728DD" w:rsidP="005728DD">
      <w:pPr>
        <w:pStyle w:val="SntesisAnaltica"/>
      </w:pPr>
    </w:p>
    <w:p w:rsidR="005728DD" w:rsidRDefault="005728DD" w:rsidP="005728DD">
      <w:pPr>
        <w:pStyle w:val="Extracto"/>
      </w:pPr>
      <w:r>
        <w:t>1.</w:t>
      </w:r>
      <w:r>
        <w:tab/>
        <w:t>Además de un derecho de igualdad, el art. 23.2 CE incorpora un contenido sustantivo propio si se pone en relación con el art. 23.1 CE que preserva el derecho de todos los ciudadanos a participar en los asuntos públicos,  por medio de representantes, pues el concepto constitucional de representación incorpora una referencia a un modo de constitución democrática de determinadas instituciones públicas que debe ser respetado como contenido necesario de ambos derechos [FJ 3].</w:t>
      </w:r>
    </w:p>
    <w:p w:rsidR="005728DD" w:rsidRDefault="005728DD" w:rsidP="005728DD">
      <w:pPr>
        <w:pStyle w:val="Extracto"/>
      </w:pPr>
    </w:p>
    <w:p w:rsidR="005728DD" w:rsidRDefault="005728DD" w:rsidP="005728DD">
      <w:pPr>
        <w:pStyle w:val="Extracto"/>
      </w:pPr>
      <w:r>
        <w:t>2.</w:t>
      </w:r>
      <w:r>
        <w:tab/>
        <w:t>La capacidad jurídica para ser elegible, la elegibilidad, es un derecho de quienes gozan ya de la capacidad jurídica para ser electores (STC 144/1999) [FJ 4].</w:t>
      </w:r>
    </w:p>
    <w:p w:rsidR="005728DD" w:rsidRDefault="005728DD" w:rsidP="005728DD">
      <w:pPr>
        <w:pStyle w:val="Extracto"/>
      </w:pPr>
    </w:p>
    <w:p w:rsidR="005728DD" w:rsidRDefault="005728DD" w:rsidP="005728DD">
      <w:pPr>
        <w:pStyle w:val="Extracto"/>
      </w:pPr>
      <w:r>
        <w:t>3.</w:t>
      </w:r>
      <w:r>
        <w:tab/>
        <w:t>El derecho al ejercicio de cargo público (art. 23.2 CE) está condicionado por los requisitos que señalen las Leyes, lo que ha dado lugar a la reiterada calificación del mismo por la doctrina de este tribunal de derecho de configuración legal (STC 287/1994). Así, sólo si el legislador impone requisitos que vulneren el contenido esencial de dicho derecho, resultarían estos inconstitucionales ex art. 53.1 CE; lo que no ocurre con la exigencia de la inscripción en el censo electoral vigente, que este Tribunal ha considerado esencial para el eficaz ejercicio del derecho de sufragio pasivo (STC 73/1987), por lo que debe ser examinada por la Junta Electoral [FJ 4].</w:t>
      </w:r>
    </w:p>
    <w:p w:rsidR="005728DD" w:rsidRDefault="005728DD" w:rsidP="005728DD">
      <w:pPr>
        <w:pStyle w:val="Extracto"/>
      </w:pPr>
    </w:p>
    <w:p w:rsidR="005728DD" w:rsidRDefault="005728DD" w:rsidP="005728DD">
      <w:pPr>
        <w:pStyle w:val="Extracto"/>
      </w:pPr>
      <w:r>
        <w:t>4.</w:t>
      </w:r>
      <w:r>
        <w:tab/>
        <w:t>En relación con las comunidades autónomas, cuyas legislaciones electorales deben observar los requisitos que para el sufragio activo y pasivo contiene la regulación orgánica del régimen electoral general, nada obsta para que, en principio, y en tanto no suponga vulneración del contenido esencial del derecho a ser elegido, añada la legislación autonómica otros requisitos para el ejercicio de dichos derechos; y entre ellos podría encontrarse el de la inscripción censal para concurrir a las consultas electorales (STC 86/2003) [FJ 4].</w:t>
      </w:r>
    </w:p>
    <w:p w:rsidR="005728DD" w:rsidRDefault="005728DD" w:rsidP="005728DD">
      <w:pPr>
        <w:pStyle w:val="Extracto"/>
      </w:pPr>
    </w:p>
    <w:p w:rsidR="005728DD" w:rsidRDefault="005728DD" w:rsidP="005728DD">
      <w:pPr>
        <w:pStyle w:val="Extracto"/>
      </w:pPr>
      <w:r>
        <w:t>5.</w:t>
      </w:r>
      <w:r>
        <w:tab/>
        <w:t>Los procesos electorales, dada su naturaleza, su regulación y la función que cumplen, exigen la mayor colaboración y diligencia posible por parte de todas las personas y actores políticos que en ellos participan (STC 67/1987). Quien pretende ser elegido en un proceso electoral, ante la inexistencia de su inscripción censal, debe mostrar diligencia en su acreditación de que reúne los requisitos para poder ser elector y elegible (STC 86/2003) [FJ 4].</w:t>
      </w:r>
    </w:p>
    <w:p w:rsidR="005728DD" w:rsidRDefault="005728DD" w:rsidP="005728DD">
      <w:pPr>
        <w:pStyle w:val="Extracto"/>
      </w:pPr>
    </w:p>
    <w:p w:rsidR="005728DD" w:rsidRDefault="005728DD" w:rsidP="005728DD">
      <w:pPr>
        <w:pStyle w:val="Extracto"/>
      </w:pPr>
      <w:r>
        <w:t>6.</w:t>
      </w:r>
      <w:r>
        <w:tab/>
        <w:t>En relación con las elecciones a las asambleas legislativas autonómicas, las juntas electorales competentes se atendrán a lo que, en cada caso, determine la correspondiente normativa autonómica sobre la materia (STC 86/2003)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2117-2021, promovido por el Partido Popular, don Antonio Cantó García del Moral y don Agustín Conde Bajén, representados por el procurador de los tribunales don Manuel Sánchez-Puelles González-Carvajal y bajo la dirección del letrado don Alberto Durán Ruiz-Huidobro, contra la sentencia núm. 127/2021, de 11 de abril, del Juzgado de lo Contencioso-Administrativo núm. 5 de Madrid, recaída en el recurso contencioso-electoral núm. 180-2021. Han sido parte el Partido Socialista Obrero Español (PSOE) y doña Encarnación Moya Nieto, representados por la procuradora de los tribunales doña Virginia Aragón Segura y asistidos de los letrados don Alberto Cachinero Capitán y don Bernabé Gallego Díaz.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12 de abril de 2021, el procurador de los tribunales don Manuel Sánchez-Puelles González-Carvajal, actuando en nombre y representación del Partido Popular, de don Antonio Cantó García del Moral y de don Agustín Conde Bajén, interpuso recurso de amparo contra la resolución mencionada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La demanda de amparo tiene su origen en los siguientes antecedentes:</w:t>
      </w:r>
    </w:p>
    <w:p w:rsidR="005728DD" w:rsidRDefault="005728DD" w:rsidP="005728DD">
      <w:pPr>
        <w:pStyle w:val="TextoNormal"/>
      </w:pPr>
    </w:p>
    <w:p w:rsidR="005728DD" w:rsidRDefault="005728DD" w:rsidP="005728DD">
      <w:pPr>
        <w:pStyle w:val="TextoNormal"/>
      </w:pPr>
      <w:r>
        <w:t>a) Por Decreto 15/2021, de 10 de marzo, de la presidenta de la Comunidad de Madrid [publicado en el “Boletín Oficial de la Comunidad de Madrid” (“BOCM”) núm. 59, de 11 de marzo de 2021], se acordó la disolución de la Asamblea de Madrid, y la convocatoria de elecciones a la misma. Las elecciones se celebrarán el 4 de mayo de 2021.</w:t>
      </w:r>
    </w:p>
    <w:p w:rsidR="005728DD" w:rsidRDefault="005728DD" w:rsidP="005728DD">
      <w:pPr>
        <w:pStyle w:val="TextoNormal"/>
      </w:pPr>
    </w:p>
    <w:p w:rsidR="005728DD" w:rsidRDefault="005728DD" w:rsidP="005728DD">
      <w:pPr>
        <w:pStyle w:val="TextoNormal"/>
      </w:pPr>
      <w:r>
        <w:lastRenderedPageBreak/>
        <w:t>b) Don José Antonio Martínez Páramo, como representante del Partido Popular presentó el 30 de marzo de 2021 la lista de integrantes de la candidatura de este partido a las elecciones a la Asamblea de Madrid 2021, figurando en la misma los señores don Toni (sic) Cantó García del Moral, que aparece como independiente en el número 5, y don Agustín Conde Bajén, que se sitúa en el número 23 de la lista como integrante del Partido Popular. La Junta Electoral Provincial de Madrid, actuando como junta electoral autonómica, publicó las candidaturas proclamadas provisionalmente, en el “BOCM” núm. 78, de 2 de abril de 2021. Con el número 11 aparece la candidatura del Partido Popular en los términos expuestos.</w:t>
      </w:r>
    </w:p>
    <w:p w:rsidR="005728DD" w:rsidRDefault="005728DD" w:rsidP="005728DD">
      <w:pPr>
        <w:pStyle w:val="TextoNormal"/>
      </w:pPr>
    </w:p>
    <w:p w:rsidR="005728DD" w:rsidRDefault="005728DD" w:rsidP="005728DD">
      <w:pPr>
        <w:pStyle w:val="TextoNormal"/>
      </w:pPr>
      <w:r>
        <w:t>c) Mediante sendos escritos, presentados el 2 y el 3 de abril por doña Encarnación Moya Nieto, como representante general del Partido Socialista Obrero Español de la Comunidad de Madrid (PSOE-M), esta formación impugnó la candidatura del Partido Popular, de acuerdo con lo previsto en el art. 47.2 de la Ley Orgánica del régimen electoral general (LOREG), contestando la inclusión en la misma tanto de don Antonio Cantó como de don Agustín Conde. En los escritos se argumenta que ambos resultan inelegibles por no figurar inscritos en el censo electoral vigente el 1 de enero de 2021, fecha en la que este quedó cerrado para dichas elecciones. En los escritos de alegaciones presentados por el Partido Popular, este informa que el candidato don Antonio Cantó García del Moral, diputado autonómico de las Cortes Valencianas y portavoz del grupo parlamentario de Ciudadanos hasta su dimisión el 17 de marzo de 2021, trasladó su residencia a Madrid, empadronándose en esta ciudad el 22 de marzo de 2021 (de lo que aporta la oportuna certificación), mientras que el señor Conde Bajén se empadronó en la ciudad de Madrid, causando alta por cambio de residencia, el día 26 de marzo de 2021.</w:t>
      </w:r>
    </w:p>
    <w:p w:rsidR="005728DD" w:rsidRDefault="005728DD" w:rsidP="005728DD">
      <w:pPr>
        <w:pStyle w:val="TextoNormal"/>
      </w:pPr>
    </w:p>
    <w:p w:rsidR="005728DD" w:rsidRDefault="005728DD" w:rsidP="005728DD">
      <w:pPr>
        <w:pStyle w:val="TextoNormal"/>
      </w:pPr>
      <w:r>
        <w:t>La Junta Electoral Provincial rechazó la impugnación del PSOE mediante sus acuerdos núms. 16 y 17, de 5 y 6 de abril de 2021, en los que se remitió al acuerdo de subsanación de defectos de la candidatura del Partido Popular, de 3 de abril de 2021. Este último consideró subsanado el vicio de falta de certificación del domicilio en la Comunidad de Madrid de ambos integrantes de la lista del Partido Popular, la presentación de sus respectivos documentos nacionales de identidad, en los que constaba como dirección de su domicilio una en la ciudad de Madrid.</w:t>
      </w:r>
    </w:p>
    <w:p w:rsidR="005728DD" w:rsidRDefault="005728DD" w:rsidP="005728DD">
      <w:pPr>
        <w:pStyle w:val="TextoNormal"/>
      </w:pPr>
    </w:p>
    <w:p w:rsidR="005728DD" w:rsidRDefault="005728DD" w:rsidP="005728DD">
      <w:pPr>
        <w:pStyle w:val="TextoNormal"/>
      </w:pPr>
      <w:r>
        <w:t>Mediante acuerdo de la Junta Electoral Provincial de Madrid de 7 de abril de 2021, publicado en el “BOCM” núm. 83, de 8 de abril de 2021, se proclamó definitivamente, entre otras, la candidatura del Partido Popular, en la que se incluían con los números 5 y 23, respectivamente, los candidatos señores Cantó García del Moral y Conde Bajén.</w:t>
      </w:r>
    </w:p>
    <w:p w:rsidR="005728DD" w:rsidRDefault="005728DD" w:rsidP="005728DD">
      <w:pPr>
        <w:pStyle w:val="TextoNormal"/>
      </w:pPr>
    </w:p>
    <w:p w:rsidR="005728DD" w:rsidRDefault="005728DD" w:rsidP="005728DD">
      <w:pPr>
        <w:pStyle w:val="TextoNormal"/>
      </w:pPr>
      <w:r>
        <w:t xml:space="preserve">d) La representación del PSOE interpuso el 9 de abril de 2021 recurso contencioso-electoral contra el acuerdo de la Junta Electoral Provincial de Madrid de 7 de abril, publicado el 8 de abril de 2021. La impugnación se centraba en la inclusión en la candidatura del Partido Popular de los candidatos don Antonio Cantó García del Moral y don Agustín Conde Bajén, solicitando el partido recurrente la anulación del acuerdo impugnado y la exclusión de la lista electoral del Partido Popular de los dos candidatos. El conocimiento del recurso correspondió al Juzgado de lo Contencioso-Administrativo núm. 5 de Madrid (procedimiento electoral 180-2021). Dado traslado de la demanda al Partido Popular y al Ministerio Fiscal, el primero solicitó la desestimación del recurso y el segundo su estimación, señalando que de la normativa aplicable se extrae la conclusión inequívoca de que, convocadas las elecciones en fecha 10 de marzo de 2021, el cierre del censo electoral vigente para esta </w:t>
      </w:r>
      <w:r>
        <w:lastRenderedPageBreak/>
        <w:t>convocatoria tuvo lugar el 1 de enero de 2021, con lo que todo aquel que a esa fecha no estuviese inscrito en el censo electoral de una circunscripción concreta, o en condiciones de serlo, no puede ser candidato en dicha circunscripción.</w:t>
      </w:r>
    </w:p>
    <w:p w:rsidR="005728DD" w:rsidRDefault="005728DD" w:rsidP="005728DD">
      <w:pPr>
        <w:pStyle w:val="TextoNormal"/>
      </w:pPr>
    </w:p>
    <w:p w:rsidR="005728DD" w:rsidRDefault="005728DD" w:rsidP="005728DD">
      <w:pPr>
        <w:pStyle w:val="TextoNormal"/>
      </w:pPr>
      <w:r>
        <w:t>e) Por sentencia de 11 de abril de 2021, el Juzgado de lo Contencioso-Administrativo núm. 5 de Madrid estimó el recurso, anulando parcialmente el acuerdo de la Junta Electoral Provincial de Madrid de 7 de abril de 2021, por el que se proclamaba definitivamente la candidatura del Partido Popular para las elecciones autonómicas del 4 de mayo de 2021, y acordando que los candidatos don Antonio Cantó García del Moral y don Agustín Conde Bajén habían de ser excluidos de la misma, por ser inelegibles, con las consecuencias que se deriven, que habrán de ser acordadas por la Junta Electoral Provincial.</w:t>
      </w:r>
    </w:p>
    <w:p w:rsidR="005728DD" w:rsidRDefault="005728DD" w:rsidP="005728DD">
      <w:pPr>
        <w:pStyle w:val="TextoNormal"/>
      </w:pPr>
    </w:p>
    <w:p w:rsidR="005728DD" w:rsidRDefault="005728DD" w:rsidP="005728DD">
      <w:pPr>
        <w:pStyle w:val="TextoNormal"/>
      </w:pPr>
      <w:r>
        <w:t>Tras exponer los antecedentes del caso, las posiciones de cada una de las partes, y resolver la cuestión relativa a la solicitud de práctica de determinada prueba por la parte demandante, el órgano judicial, invocando la STC 135/2004, de 5 de agosto, sitúa como premisa de su posterior razonamiento la doctrina según la cual el derecho de sufragio pasivo, reconocido por el art. 23 CE, es un derecho fundamental de configuración legal. En el supuesto de autos, la sentencia de instancia determina que será la Ley 11/1986, de 16 de diciembre, electoral de la Comunidad de Madrid (en adelante, Ley 11/1986), la disposición que regule el ejercicio del derecho de sufragio en las elecciones a la Asamblea de Madrid, aplicándose supletoriamente a esta, cuando sea preciso, la Ley Orgánica 5/1985, de 19 de junio, del régimen electoral general (según dispone la disposición adicional segunda de la Ley 11/1986). Y, concretando aún más la regulación aplicable al caso, la sentencia identifica el art. 2.1 de la Ley 11/1986, que establece que tendrán derecho de sufragio todos los españoles mayores de edad que no hayan sido objeto de una condena penal a la pena principal o accesoria de privación del derecho de sufragio (arts. 1 y 2 LOREG) y que ostenten la “condición política de ciudadanos de Madrid”, lo que sucede cuando se tenga la vecindad administrativa de cualquiera de los municipios de la Comunidad de Madrid [según el art. 7.2 del Estatuto de Autonomía de la Comunidad de Madrid (EAM), aprobado por Ley Orgánica 3/1983, de 25 de febrero]. Siguiendo el razonamiento, el juez constata que la vecindad administrativa, o la condición de vecino se adquiere en el mismo momento de la inscripción en el padrón [art. 15 de la Ley 7/1985, de 2 de abril, reguladora de las bases del régimen local (LBRL), y arts. 54 y 55 del reglamento de población y demarcación territorial de las entidades locales, aprobado por el Real Decreto 1690/1986, de 11 de julio], y acto seguido confirma que los señores Cantó y Conde ostentan, al momento de dictarse la sentencia, la condición de ciudadanos de la Comunidad de Madrid, ya que están empadronados en uno de sus municipios, tal y como se desprende de sus documentos nacionales de identidad, renovados los días 26 y 29 de marzo de 2021 y de sus volantes de empadronamiento en la ciudad de Madrid de 22 y 26 de marzo de 2021.</w:t>
      </w:r>
    </w:p>
    <w:p w:rsidR="005728DD" w:rsidRDefault="005728DD" w:rsidP="005728DD">
      <w:pPr>
        <w:pStyle w:val="TextoNormal"/>
      </w:pPr>
    </w:p>
    <w:p w:rsidR="005728DD" w:rsidRDefault="005728DD" w:rsidP="005728DD">
      <w:pPr>
        <w:pStyle w:val="TextoNormal"/>
      </w:pPr>
      <w:r>
        <w:t xml:space="preserve">Ahora bien, la sentencia observa, acto seguido, que la condición de vecindad administrativa de ciudadanos de la Comunidad de Madrid, no les confiere, </w:t>
      </w:r>
      <w:r w:rsidRPr="005728DD">
        <w:rPr>
          <w:i/>
        </w:rPr>
        <w:t>per se</w:t>
      </w:r>
      <w:r>
        <w:t>, el derecho a ser elegibles en las elecciones a su Asamblea Legislativa del próximo 4 de mayo de 2021, porque para el ejercicio del derecho de sufragio es indispensable “la inscripción en el censo electoral vigente” (art. 2 de la Ley 11/1986), siendo elegibles los ciudadanos que posean la condición de elector, que son quienes figuran en el censo electoral vigente (arts. 3 de la Ley 11/1986).</w:t>
      </w:r>
    </w:p>
    <w:p w:rsidR="005728DD" w:rsidRDefault="005728DD" w:rsidP="005728DD">
      <w:pPr>
        <w:pStyle w:val="TextoNormal"/>
      </w:pPr>
    </w:p>
    <w:p w:rsidR="005728DD" w:rsidRDefault="005728DD" w:rsidP="005728DD">
      <w:pPr>
        <w:pStyle w:val="TextoNormal"/>
      </w:pPr>
      <w:r>
        <w:lastRenderedPageBreak/>
        <w:t>Y, en su artículo 3 previene que serán elegibles los ciudadanos que posean la condición de elector (que no son otros que los que figuran en el censo electoral vigente) y no estén incursos en causa de inelegibilidad (de las previstas en el artículo 3.2 de dicha Ley 11/1986 o en la LOREG). Es decir, para poder ser candidato ha de reunirse la condición de elector, esto es, se ha de estar inscrito en el censo electoral vigente.</w:t>
      </w:r>
    </w:p>
    <w:p w:rsidR="005728DD" w:rsidRDefault="005728DD" w:rsidP="005728DD">
      <w:pPr>
        <w:pStyle w:val="TextoNormal"/>
      </w:pPr>
    </w:p>
    <w:p w:rsidR="005728DD" w:rsidRDefault="005728DD" w:rsidP="005728DD">
      <w:pPr>
        <w:pStyle w:val="TextoNormal"/>
      </w:pPr>
      <w:r>
        <w:t>Por lo que hace a la aplicación del art. 4.2 de la Ley 11/1986, que dispone que quienes “aspiren a ser proclamados candidatos y no figuren incluidos en las listas del censo electoral vigente, referido al territorio de la Comunidad de Madrid podrán serlo, siempre que con la solicitud acrediten, de modo fehaciente, que reúnen todas las condiciones exigidas para ello”, la sentencia sostiene que “(e)sta previsión legal no es propiamente una excepción o un régimen especial, como se postula por la Junta Electoral Provincial y el Partido Popular, sino que permite a quien tenía derecho a estar inscrito en el censo electoral (por residir habitualmente en la Comunidad de Madrid en la fecha de cierre del censo electoral aplicable a las elecciones), pero, que por cualquier razón no figura inscrito en dicho censo electoral, la posibilidad de acreditar su derecho a haber figurado inscrito en él, mediante cualesquiera medios de prueba admitidos en derecho; pero, si no se tenía derecho a estar incluido en el censo a la fecha de su cierre (1 de enero de 2021), no se podrá concurrir a las elecciones (puesto que en ningún momento podrían haber sido electores)”.</w:t>
      </w:r>
    </w:p>
    <w:p w:rsidR="005728DD" w:rsidRDefault="005728DD" w:rsidP="005728DD">
      <w:pPr>
        <w:pStyle w:val="TextoNormal"/>
      </w:pPr>
    </w:p>
    <w:p w:rsidR="005728DD" w:rsidRDefault="005728DD" w:rsidP="005728DD">
      <w:pPr>
        <w:pStyle w:val="TextoNormal"/>
      </w:pPr>
      <w:r>
        <w:t>Para concluir su argumentación, el órgano judicial analiza qué ha de entenderse por “censo electoral vigente”, y si ha de considerarse coincidente la expresión o no con la de “censo electoral”, puesto que el artículo 2 de la Ley 11/1986 exige estar inscrito en el censo electoral “vigente” y no simplemente en el censo electoral, tanto para ser elector como elegible (salvo la excepción del artículo 4.2 de dicha Ley). Tras examinar el contenido del art. 39 LOREG, la sentencia concluye que la noción de censo electoral vigente remite a la previsión del art. 39.1 LOREG que establece que “[p]ara cada elección el censo electoral vigente será el cerrado el día primero del segundo mes anterior a la convocatoria (en el caso de autos a 1 de enero de 2021)”. Por tanto, vistos los volantes de empadronamiento aportados por el Partido Popular, se reputa acreditado que el empadronamiento en la Comunidad de Madrid de los candidatos señores Cantó y Conde fue efectuado en fecha posterior al cierre del censo electoral vigente (1 de enero de 2021) y anterior a la presentación de la candidatura por el Partido Popular, en que se han integrado, por lo que ninguno de los dos ostentaría la condición de elector, que es un requisito insoslayable para poder concurrir a las elecciones como candidato. Finalmente, la sentencia descarta la interpretación que hiciera la Junta Electoral del art. 7.1 LOREG, afirmando que “dicho precepto se refiere a que los candidatos no deben estar incursos en las causas taxativas que se enumeran en el artículo 6 LOREG y concordante artículo 3.2 de la Ley 11/1986 de la Comunidad de Madrid; es decir, bastará con que alguna de las personas que están en las condiciones expuestas (por ejemplo, formar parte del Gobierno de España, Defensor del Pueblo, jueces en activo, etc.) hayan cesado a sus funciones con anterioridad a la presentación de las candidaturas”.</w:t>
      </w:r>
    </w:p>
    <w:p w:rsidR="005728DD" w:rsidRDefault="005728DD" w:rsidP="005728DD">
      <w:pPr>
        <w:pStyle w:val="TextoNormal"/>
      </w:pPr>
    </w:p>
    <w:p w:rsidR="005728DD" w:rsidRDefault="005728DD" w:rsidP="005728DD">
      <w:pPr>
        <w:pStyle w:val="TextoNormal"/>
      </w:pPr>
      <w:r w:rsidRPr="005728DD">
        <w:rPr>
          <w:rStyle w:val="NumeroAFNegritaCaracter"/>
        </w:rPr>
        <w:t>3</w:t>
      </w:r>
      <w:r>
        <w:t>. El recurso de amparo se fundamenta en la vulneración del derecho de sufragio activo (art. 23.1 CE), en la vulneración del derecho de acceso en condiciones de igualdad a los cargos públicos electivos (art. 23.2 CE) y en la lesión del derecho fundamental a la tutela judicial efectiva sin indefensión (art. 24.1 CE) de los señores Cantó y Conde.</w:t>
      </w:r>
    </w:p>
    <w:p w:rsidR="005728DD" w:rsidRDefault="005728DD" w:rsidP="005728DD">
      <w:pPr>
        <w:pStyle w:val="TextoNormal"/>
      </w:pPr>
    </w:p>
    <w:p w:rsidR="005728DD" w:rsidRDefault="005728DD" w:rsidP="005728DD">
      <w:pPr>
        <w:pStyle w:val="TextoNormal"/>
      </w:pPr>
      <w:r>
        <w:lastRenderedPageBreak/>
        <w:t xml:space="preserve">Con carácter previo a la exposición de las quejas, la demanda concreta cuál es la </w:t>
      </w:r>
      <w:r w:rsidRPr="005728DD">
        <w:rPr>
          <w:i/>
        </w:rPr>
        <w:t>ratio decidendi</w:t>
      </w:r>
      <w:r>
        <w:t xml:space="preserve"> de la sentencia impugnada, avanzando que se trata de una interpretación insostenible jurídicamente, y restrictiva del derecho fundamental del art. 23.1 CE. Destaca, en este sentido dos aspectos del pronunciamiento de instancia que considera relevantes: (i) la confusión en que incurre a la hora de interpretar el ordenamiento jurídico aplicable, que lleva al órgano judicial a considerar que existen dudas donde, en realidad, una adecuada interpretación del ese ordenamiento revela que no las hay respecto de los requisitos para la titularidad del derecho al sufragio (</w:t>
      </w:r>
      <w:r w:rsidRPr="005728DD">
        <w:rPr>
          <w:i/>
        </w:rPr>
        <w:t>ex</w:t>
      </w:r>
      <w:r>
        <w:t xml:space="preserve"> arts. 2.1 de la Ley 1/1986 y 2.1 LOREG) y la condición de la inscripción censal; respecto de los requisitos para la inscripción en el censo vigente con los requisitos para ser candidato; y respecto del requisito temporal del censo con el requisito de acreditación de la vecindad administrativa; y (ii) la opción por interpretar de la forma menos favorable el ordenamiento jurídico, de cara al reconocimiento del derecho fundamental concernido, desde la consideración, admitida en la sentencia, de que existe un espacio indeterminado en la Ley que ofrece dudas interpretativas.</w:t>
      </w:r>
    </w:p>
    <w:p w:rsidR="005728DD" w:rsidRDefault="005728DD" w:rsidP="005728DD">
      <w:pPr>
        <w:pStyle w:val="TextoNormal"/>
      </w:pPr>
    </w:p>
    <w:p w:rsidR="005728DD" w:rsidRDefault="005728DD" w:rsidP="005728DD">
      <w:pPr>
        <w:pStyle w:val="TextoNormal"/>
      </w:pPr>
      <w:r>
        <w:t>Una vez expuesto lo anterior, y justificada la especial trascendencia constitucional del recurso de amparo vinculándola a los apartados a), g) y f) del fundamento jurídico 2 de la STC 155/2009, de 25 de junio, se desarrollan dos quejas en la demanda (más una tercera que no incluye argumentación):</w:t>
      </w:r>
    </w:p>
    <w:p w:rsidR="005728DD" w:rsidRDefault="005728DD" w:rsidP="005728DD">
      <w:pPr>
        <w:pStyle w:val="TextoNormal"/>
      </w:pPr>
    </w:p>
    <w:p w:rsidR="005728DD" w:rsidRDefault="005728DD" w:rsidP="005728DD">
      <w:pPr>
        <w:pStyle w:val="TextoNormal"/>
      </w:pPr>
      <w:r>
        <w:t xml:space="preserve">A) Se denuncia la vulneración del derecho fundamental al sufragio pasivo (art. 23.1 CE), mediante la imposición por la sentencia, de un requisito restrictivo de su ejercicio, no amparado por la ley y contrario a la doctrina de la interpretación más favorable al derecho fundamental. Tras invocar la jurisprudencia constitucional relativa a la naturaleza y contenido del derecho fundamental proclamado en el art. 23.1 CE (SSTC 51/1984, de 25 de abril, y185/1999, de 11 de octubre), se afirma que la controversia jurídica suscitada se sitúa en resolver si existe o no un requisito adicional y restrictivo del derecho al sufragio pasivo en las elecciones autonómicas a la Asamblea de Madrid, consistente en la necesidad de que el candidato ostente la “condición política de ciudadano de la Comunidad de Madrid” (art. 2.1 de la Ley 1/1986) en el momento de cierre del censo electoral </w:t>
      </w:r>
      <w:r w:rsidRPr="005728DD">
        <w:rPr>
          <w:i/>
        </w:rPr>
        <w:t>ex</w:t>
      </w:r>
      <w:r>
        <w:t xml:space="preserve"> art. 39.1 LOREG (“el día primero del segundo mes anterior a la convocatoria electoral”) y no en el momento de presentación de la candidatura. Los recurrentes niegan la existencia de ese requisito adicional apoyándose en los siguientes argumentos:</w:t>
      </w:r>
    </w:p>
    <w:p w:rsidR="005728DD" w:rsidRDefault="005728DD" w:rsidP="005728DD">
      <w:pPr>
        <w:pStyle w:val="TextoNormal"/>
      </w:pPr>
    </w:p>
    <w:p w:rsidR="005728DD" w:rsidRDefault="005728DD" w:rsidP="005728DD">
      <w:pPr>
        <w:pStyle w:val="TextoNormal"/>
      </w:pPr>
      <w:r>
        <w:t>a) La interpretación contenida en la sentencia impugnada no encuentra amparo alguno en la legislación aplicable, imponiéndose jurisdiccionalmente un requisito restrictivo del derecho fundamental al sufragio pasivo que excede de su configuración legal. Aunque no se discute que, tratándose de un derecho de configuración legal, la ley pueda imponer requisitos adicionales para la titularidad del derecho de sufragio, como ha reconocido el Tribunal Constitucional, lo que sí se discute es que exista en efecto tal exigencia en el ordenamiento jurídico aplicable. El argumento de la sentencia es que los señores Cantó y Conde no pueden ser elegibles al no poder ser electores, por no haber demostrado que, a la fecha de cierre del censo electoral (1 de enero de 2021), se encontraban empadronados en la Comunidad de Madrid, lo que deriva de una interpretación del art. 4.2 de la Ley 1/1986 restrictiva del derecho al sufragio pasivo, que rompe con la aplicación que ordinariamente se ha efectuado de dicho precepto, confundiendo los conceptos jurídicos respecto de los siguientes elementos:</w:t>
      </w:r>
    </w:p>
    <w:p w:rsidR="005728DD" w:rsidRDefault="005728DD" w:rsidP="005728DD">
      <w:pPr>
        <w:pStyle w:val="TextoNormal"/>
      </w:pPr>
    </w:p>
    <w:p w:rsidR="005728DD" w:rsidRDefault="005728DD" w:rsidP="005728DD">
      <w:pPr>
        <w:pStyle w:val="TextoNormal"/>
      </w:pPr>
      <w:r>
        <w:lastRenderedPageBreak/>
        <w:t>(i) La sentencia confunde los requisitos para la titularidad del derecho al sufragio con lo que es una mera condición técnica general, pero no absoluta, para su ejercicio: la inscripción censal. Pero dicho requisito no se recoge en el respectivo apartado primero de los arts. 2 de la Ley 1/1986 y 2 LOREG, sino en el segundo, siendo así que los de aquel constituyen auténticos requisitos para la titularidad del derecho al sufragio activo y pasivo, mientras que el apartado 2 se refiere a una mera condición técnica para al ejercicio del derecho. La titularidad del derecho de sufragio pasivo se reconoce a todos los españoles mayores de edad sin excepción, con la particularidad de que, en relación con las elecciones autonómicas, a las anteriores nociones se añadirá la residencia administrativa en la comunidad autónoma en cuestión. Así, conforme a los arts. 2.1 y 6.1 LOREG gozará de la cualidad de elector (y, por tanto, de elegible) todo aquel que sea español, mayor de edad y no se encuentre incurso en ninguna de las causas de inelegibilidad. Esto también se desprende del Estatuto de Autonomía de la Comunidad de Madrid cuando dispone en su art. 10.8 que “[s]erán electores y elegibles todos los madrileños mayores de dieciocho años de edad que estén en pleno goce de sus derechos políticos”. Ello explica la existencia de excepciones a la inscripción censal inicial como condición de ejercicio del derecho, entre las que destaca el art. 4.2 de la Ley 1/1986, que claramente la excepciona cuando concurran los requisitos para ser candidato.</w:t>
      </w:r>
    </w:p>
    <w:p w:rsidR="005728DD" w:rsidRDefault="005728DD" w:rsidP="005728DD">
      <w:pPr>
        <w:pStyle w:val="TextoNormal"/>
      </w:pPr>
    </w:p>
    <w:p w:rsidR="005728DD" w:rsidRDefault="005728DD" w:rsidP="005728DD">
      <w:pPr>
        <w:pStyle w:val="TextoNormal"/>
      </w:pPr>
      <w:r>
        <w:t>(ii) Como consecuencia de lo anterior se confunden, extrapolándose, lo que son requisitos para la inscripción en el censo vigente con los requisitos para ser candidato, pues se exige que se reúnan los requisitos a la fecha de cierre del censo.</w:t>
      </w:r>
    </w:p>
    <w:p w:rsidR="005728DD" w:rsidRDefault="005728DD" w:rsidP="005728DD">
      <w:pPr>
        <w:pStyle w:val="TextoNormal"/>
      </w:pPr>
    </w:p>
    <w:p w:rsidR="005728DD" w:rsidRDefault="005728DD" w:rsidP="005728DD">
      <w:pPr>
        <w:pStyle w:val="TextoNormal"/>
      </w:pPr>
      <w:r>
        <w:t>(iii) Por último, se pretende extrapolar el requisito temporal del “censo vigente” a todos los requisitos de titularidad del derecho al sufragio, terminando por concluir que, de conformidad con el art. 39.1 LOREG, es exigible que los candidato reúnan todas las condiciones para ello a la fecha del cierre censal.</w:t>
      </w:r>
    </w:p>
    <w:p w:rsidR="005728DD" w:rsidRDefault="005728DD" w:rsidP="005728DD">
      <w:pPr>
        <w:pStyle w:val="TextoNormal"/>
      </w:pPr>
    </w:p>
    <w:p w:rsidR="005728DD" w:rsidRDefault="005728DD" w:rsidP="005728DD">
      <w:pPr>
        <w:pStyle w:val="TextoNormal"/>
      </w:pPr>
      <w:r>
        <w:t>Partiendo de las anteriores confusiones que se imputan a la sentencia, se argumenta que la interpretación predicada del art. 4.2 de la Ley 1/1986 resulta insostenible, porque el mismo permite al candidato que no ha sido inscrito en el censo vigente, ser proclamado como tal si acredita en su solicitud, de forma fehaciente, que reúne todas las condiciones exigidas para ello. Atendiendo a una interpretación sistemática del precepto, de haber pretendido configurarse los arts. 4.2 de la Ley 1/1986 y 7.2 LOREG como un mero mecanismo de corrección técnica del censo en relación con el sufragio pasivo, lo lógico habría sido su inclusión en la sección tercera del capítulo cuarto de la LOREG, siendo coherente con esta posición lo dispuesto por el art. 7.1 LOREG. Una interpretación teleológica del precepto permite entender que este pretende que pueda proclamarse candidato a quien, independientemente de la inscripción o no en el censo, demuestre reunir los requisitos para ser elegible (con cita de la STC 86/2003, de 8 de mayo, y de los acuerdos de la Junta Electoral Central de 4 de abril de 1991, 29 de abril de 1991 y 20 de enero de 2000).</w:t>
      </w:r>
    </w:p>
    <w:p w:rsidR="005728DD" w:rsidRDefault="005728DD" w:rsidP="005728DD">
      <w:pPr>
        <w:pStyle w:val="TextoNormal"/>
      </w:pPr>
    </w:p>
    <w:p w:rsidR="005728DD" w:rsidRDefault="005728DD" w:rsidP="005728DD">
      <w:pPr>
        <w:pStyle w:val="TextoNormal"/>
      </w:pPr>
      <w:r>
        <w:t>En definitiva, los recurrentes consideran que la legislación vigente (en particular, el art. 4.2 de la Ley 1/1986) no configura el requisito predicado por la sentencia para excluir a los candidatos, sino que, antes al contrario, exige que los requisitos para ello concurran en el momento de presentación de la candidatura y no en el momento de inscripción en el censo electoral. Por ello la sentencia impugnada construye un requisito restrictivo del derecho fundamental sin anclaje en el ordenamiento jurídico, con lo que infringe con toda claridad el derecho fundamental al sufragio pasivo</w:t>
      </w:r>
      <w:r w:rsidRPr="005728DD">
        <w:rPr>
          <w:i/>
        </w:rPr>
        <w:t xml:space="preserve"> e</w:t>
      </w:r>
      <w:r>
        <w:t>x art. 23.1 CE.</w:t>
      </w:r>
    </w:p>
    <w:p w:rsidR="005728DD" w:rsidRDefault="005728DD" w:rsidP="005728DD">
      <w:pPr>
        <w:pStyle w:val="TextoNormal"/>
      </w:pPr>
    </w:p>
    <w:p w:rsidR="005728DD" w:rsidRDefault="005728DD" w:rsidP="005728DD">
      <w:pPr>
        <w:pStyle w:val="TextoNormal"/>
      </w:pPr>
      <w:r>
        <w:t>b) El segundo argumento de la demanda, en relación con la vulneración del art. 23.1 CE, sostiene que, aunque existieran dudas sobre la exigencia o no del requisito de la inscripción censal en el “censo vigente”, debió prevalecer la doctrina constitucional relativa al principio de interpretación más favorable al ejercicio del derecho fundamental de sufragio pasivo (con cita de las SSTC 148/1999, de 4 de agosto, y 86/2003, de 8 de mayo). Argumenta esta parte que, si la sentencia consideraba que existían dudas interpretativas sobre la exigencia o no del requisito, debió inclinarse por aplicar la solución más favorable a la virtualidad del derecho fundamental al sufragio pasivo, y, en lugar de ello, aplicó la opción más restrictiva y desfavorable para el derecho fundamental, contraviniendo la doctrina jurisprudencial ya mencionada.</w:t>
      </w:r>
    </w:p>
    <w:p w:rsidR="005728DD" w:rsidRDefault="005728DD" w:rsidP="005728DD">
      <w:pPr>
        <w:pStyle w:val="TextoNormal"/>
      </w:pPr>
    </w:p>
    <w:p w:rsidR="005728DD" w:rsidRDefault="005728DD" w:rsidP="005728DD">
      <w:pPr>
        <w:pStyle w:val="TextoNormal"/>
      </w:pPr>
      <w:r>
        <w:t>B) La segunda queja denuncia la vulneración del derecho de acceso en condiciones de igualdad a los cargos públicos electivos (art. 23.2 CE), al exigirse a los candidatos excluidos requisitos para apreciar la elegibilidad que no habrían sido previamente requeridos para ningún candidato propuesto.</w:t>
      </w:r>
    </w:p>
    <w:p w:rsidR="005728DD" w:rsidRDefault="005728DD" w:rsidP="005728DD">
      <w:pPr>
        <w:pStyle w:val="TextoNormal"/>
      </w:pPr>
    </w:p>
    <w:p w:rsidR="005728DD" w:rsidRDefault="005728DD" w:rsidP="005728DD">
      <w:pPr>
        <w:pStyle w:val="TextoNormal"/>
      </w:pPr>
      <w:r>
        <w:t>Se señala que la administración electoral no ha exigido jamás la inscripción censal de los candidatos propuestos como un requisito inexcusable para la validez de las candidaturas, sin que se haya planteado la cuestión en ningún proceso electoral autonómico anterior y sin que los extremos discutidos hayan tenido antes la menor relevancia, teniendo claro los operadores electorales que el requisito de vecindad administrativa en el ámbito electoral autonómico se circunscribe al momento de presentación de las candidaturas, sosteniéndolo de este modo tanto la Junta Electoral Central como la Junta Electoral Provincial. Así se recoge en el acuerdo núm. 17, de 6 de abril de 2021, de la Junta Electoral Provincial de Madrid, que a su vez recoge lo dictaminado por la Junta Electoral Central en sus acuerdos 167/1995, de 7 de abril, 130/1999, de 27 de abril, y 700/1995, de 24 de mayo, resultando congruente con lo dispuesto en la STC 86/2003.</w:t>
      </w:r>
    </w:p>
    <w:p w:rsidR="005728DD" w:rsidRDefault="005728DD" w:rsidP="005728DD">
      <w:pPr>
        <w:pStyle w:val="TextoNormal"/>
      </w:pPr>
    </w:p>
    <w:p w:rsidR="005728DD" w:rsidRDefault="005728DD" w:rsidP="005728DD">
      <w:pPr>
        <w:pStyle w:val="TextoNormal"/>
      </w:pPr>
      <w:r>
        <w:t>Se destaca asimismo en la demanda, que la mención que el acuerdo núm. 17 de la Junta Electoral Provincial de Madrid hace en relación con la posibilidad de interponer recurso contencioso-administrativo, no se refiere a la resolución sobre el fondo del asunto, sino a la posibilidad de recurrir defectos relativos a la inscripción en el censo aplicable que, en este caso, sí podrían provocar que los candidatos no pudieran ser elegibles.</w:t>
      </w:r>
    </w:p>
    <w:p w:rsidR="005728DD" w:rsidRDefault="005728DD" w:rsidP="005728DD">
      <w:pPr>
        <w:pStyle w:val="TextoNormal"/>
      </w:pPr>
    </w:p>
    <w:p w:rsidR="005728DD" w:rsidRDefault="005728DD" w:rsidP="005728DD">
      <w:pPr>
        <w:pStyle w:val="TextoNormal"/>
      </w:pPr>
      <w:r>
        <w:t>Y, de acuerdo con lo expuesto, esta parte entiende que la sentencia impugnada vulnera el derecho fundamental de participación política en relación con el acceso en condiciones de igualdad a cargo público electivo, porque, si bien no se niega que el legislador autonómico puede establecer limitaciones en relación con la vinculación al territorio, previendo la necesidad de disponer de vecindad administrativa para concurrir en las elecciones como elegible (citándose la STC 60/1987, de 20 de mayo), sí se afirma que queda extramuros de nuestro ordenamiento jurídico que dicha limitación pueda partir de una interpretación restrictiva de derechos fundamentales por parte del poder judicial ya que, en tal caso, sí que se produciría la vulneración del principio de igualdad en relación con el ejercicio del derecho a la participación política consagrado en el art. 23 CE.</w:t>
      </w:r>
    </w:p>
    <w:p w:rsidR="005728DD" w:rsidRDefault="005728DD" w:rsidP="005728DD">
      <w:pPr>
        <w:pStyle w:val="TextoNormal"/>
      </w:pPr>
    </w:p>
    <w:p w:rsidR="005728DD" w:rsidRDefault="005728DD" w:rsidP="005728DD">
      <w:pPr>
        <w:pStyle w:val="TextoNormal"/>
      </w:pPr>
      <w:r>
        <w:lastRenderedPageBreak/>
        <w:t>C) Por último, se quejan de la vulneración del derecho fundamental a la tutela judicial efectiva sin indefensión (art. 24.1 CE) de los señores Cantó y Conde, al no haberles sido trasladado ni el recurso interpuesto, ni la sentencia de instancia.</w:t>
      </w:r>
    </w:p>
    <w:p w:rsidR="005728DD" w:rsidRDefault="005728DD" w:rsidP="005728DD">
      <w:pPr>
        <w:pStyle w:val="TextoNormal"/>
      </w:pPr>
    </w:p>
    <w:p w:rsidR="005728DD" w:rsidRDefault="005728DD" w:rsidP="005728DD">
      <w:pPr>
        <w:pStyle w:val="TextoNormal"/>
      </w:pPr>
      <w:r w:rsidRPr="005728DD">
        <w:rPr>
          <w:rStyle w:val="NumeroAFNegritaCaracter"/>
        </w:rPr>
        <w:t>4</w:t>
      </w:r>
      <w:r>
        <w:t>. A través de escrito presentado el 13 de abril de 2021, la procuradora de los tribunales doña Virginia Aragón Segura, en nombre y representación de doña Encarnación Moya Nieto y del Partido Socialista Obrero Español, se personó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providencia de 13 de abril de 2021, la Sala Primera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Asimismo, se acordó recabar del Juzgado de lo Contencioso-Administrativo núm. 5 de Madrid el envío de las actuaciones correspondientes, incluidas las seguidas ante la Junta Electoral, conforme a lo dispuesto en el art. 49 LOREG y el acuerdo de 20 de enero de 2000 del Tribunal Constitucional, previo emplazamiento a las partes, excepto la recurrente en amparo, para que en el plazo de un día puedan personarse ante este tribunal.</w:t>
      </w:r>
    </w:p>
    <w:p w:rsidR="005728DD" w:rsidRDefault="005728DD" w:rsidP="005728DD">
      <w:pPr>
        <w:pStyle w:val="TextoNormal"/>
      </w:pPr>
    </w:p>
    <w:p w:rsidR="005728DD" w:rsidRDefault="005728DD" w:rsidP="005728DD">
      <w:pPr>
        <w:pStyle w:val="TextoNormal"/>
      </w:pPr>
      <w:r>
        <w:t>Igualmente, se dio traslado al Ministerio Fiscal de la demanda y documentos presentados para que formulara alegaciones en el plazo de un día, y se tuvo por personada a la procuradora doña Virginia Aragón Segura, en nombre y representación de doña Encarnación Moya Nieto y del Partido Socialista Obrero Español, con traslado también de la demanda y documentos presentados, concediéndole el plazo de un día para formular las alegaciones que estimara convenientes.</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Con fecha 14 de abril de 2021 tuvo entrada el informe con las alegaciones de la Junta Electoral Provincial de Madrid, que comienza señalando que se ha comprobado respecto de todas las candidaturas la vecindad administrativa en la Comunidad de Madrid de los candidatos, a través del DNI, certificado de empadronamiento o certificación censal, dando trámite de subsanación cuando se carecía de este dato. En todo caso, lo que plantea el recurso es algo de pura legalidad, y que se ha actuado conforme al trámite general y con pleno respeto del principio de igualdad. Se refiere el informe a la previsión del art. 2 de la Ley 11/1986, de 16 de diciembre, electoral de la Comunidad de Madrid (aunque por error cita el art. 1), que conecta con el art. 7.2 EAM, así como al art. 3.1 en cuanto a los elegibles, y al art. 4.2, que incluye una norma especial particularmente establecida para el sufragio pasivo. Interpreta la Junta Electoral que el precepto, de manera evidente, no se refiere a la acreditación de que se reunían las condiciones para figurar en el censo al momento en que se cerró, sino que las reúnen, incluida la vecindad, en el momento de la solicitud de admisión de la candidatura, de acuerdo con la regulación vigente para la conformación del censo, que es lo que significa la referencia “censo vigente”. Esta última no permite forzar la interpretación del art. 4.2 para imponer como única posible que se reunían las condiciones antes del cierre de aquel censo, lo que conduce a un resultado muy restrictivo. En suma, el art. 4.2 permite al candidato demostrar que se reúnen las condiciones en el momento de solicitar la candidatura electoral. El legislador ordinario, en desarrollo del derecho fundamental del art. </w:t>
      </w:r>
      <w:r>
        <w:lastRenderedPageBreak/>
        <w:t>23 CE, ha configurado esas dos posibilidades para ser elegible: o la inclusión en el censo cerrado a 1 de enero de 2021, o acreditación de que se cumplen las condiciones al presentar la candidatura.</w:t>
      </w:r>
    </w:p>
    <w:p w:rsidR="005728DD" w:rsidRDefault="005728DD" w:rsidP="005728DD">
      <w:pPr>
        <w:pStyle w:val="TextoNormal"/>
      </w:pPr>
    </w:p>
    <w:p w:rsidR="005728DD" w:rsidRDefault="005728DD" w:rsidP="005728DD">
      <w:pPr>
        <w:pStyle w:val="TextoNormal"/>
      </w:pPr>
      <w:r>
        <w:t>Se ha de atender materialmente a la condición de elegible, y no a la inclusión formal en el censo, debiendo tenerse en cuenta que la regulación de este está sujeta a reformas, lo que podría condicionar el derecho a ser elegible, a pesar de reunir los requisitos materiales para ello, situación que se palia con el art. 4.2 de la Ley electoral de la Comunidad de Madrid, que tiene la consideración de norma especial respecto al derecho de sufragio pasivo. La interpretación que de la misma se ha realizado ha optado por un entendimiento amplio y flexible, lo más favorable a la adecuada extensión del derecho fundamental de participación en los asuntos públicos. Es fundamental entender que las normas de las comunidades autónomas que se remiten al censo electoral vigente para fijar la condición de elegibles, ligan el derecho de sufragio pasivo a un concepto que no está regulado ni en la ley electoral autonómica ni en la LOREG, lo que lo expone a una cambiante normación menor, que condicionaría el alcance de ese derecho fundamental, razón por la que algunas normas electorales autonómicas emplean términos propios, como el deber de residir determinado tiempo en el territorio.</w:t>
      </w:r>
    </w:p>
    <w:p w:rsidR="005728DD" w:rsidRDefault="005728DD" w:rsidP="005728DD">
      <w:pPr>
        <w:pStyle w:val="TextoNormal"/>
      </w:pPr>
    </w:p>
    <w:p w:rsidR="005728DD" w:rsidRDefault="005728DD" w:rsidP="005728DD">
      <w:pPr>
        <w:pStyle w:val="TextoNormal"/>
      </w:pPr>
      <w:r>
        <w:t>Por lo demás, no puede pretenderse aplicar la disposición adicional segunda de la Ley electoral de la Comunidad de Madrid para hacer una llamada al derecho supletorio recogido en el art. 30 LOREG, regulador del censo en período electoral, ya que la Ley autonómica no contiene una laguna respecto del efecto material de reunir las condiciones para ser candidato en un determinado momento del proceso electoral. Aparte de que el resultado de esa integración normativa sería bastante limitado y restrictivo.</w:t>
      </w:r>
    </w:p>
    <w:p w:rsidR="005728DD" w:rsidRDefault="005728DD" w:rsidP="005728DD">
      <w:pPr>
        <w:pStyle w:val="TextoNormal"/>
      </w:pPr>
    </w:p>
    <w:p w:rsidR="005728DD" w:rsidRDefault="005728DD" w:rsidP="005728DD">
      <w:pPr>
        <w:pStyle w:val="TextoNormal"/>
      </w:pPr>
      <w:r>
        <w:t>Además, el requisito de la vecindad administrativa se adquiere simplemente cumpliendo lo previsto en la legislación estatal, concretamente en el art. 15 de la Ley de bases del régimen local y en los arts. 54 y 55 del Reglamento de población y demarcación territorial de las entidades locales, preceptos de los que se deduce que la condición de vecino se adquiere en el momento de la inscripción en el padrón municipal, situación sobre la que luego se aplica, en el proceso electoral, la previsión del art. 4.2 de la Ley electoral de la Comunidad de Madrid.</w:t>
      </w:r>
    </w:p>
    <w:p w:rsidR="005728DD" w:rsidRDefault="005728DD" w:rsidP="005728DD">
      <w:pPr>
        <w:pStyle w:val="TextoNormal"/>
      </w:pPr>
    </w:p>
    <w:p w:rsidR="005728DD" w:rsidRDefault="005728DD" w:rsidP="005728DD">
      <w:pPr>
        <w:pStyle w:val="TextoNormal"/>
      </w:pPr>
      <w:r w:rsidRPr="005728DD">
        <w:rPr>
          <w:rStyle w:val="NumeroAFNegritaCaracter"/>
        </w:rPr>
        <w:t>7</w:t>
      </w:r>
      <w:r>
        <w:t>. El fiscal ante este Tribunal Constitucional presentó el escrito de alegaciones el 14 de abril de 2021, en el que interesó de este tribunal la íntegra desestimación del recurso de amparo.</w:t>
      </w:r>
    </w:p>
    <w:p w:rsidR="005728DD" w:rsidRDefault="005728DD" w:rsidP="005728DD">
      <w:pPr>
        <w:pStyle w:val="TextoNormal"/>
      </w:pPr>
    </w:p>
    <w:p w:rsidR="005728DD" w:rsidRDefault="005728DD" w:rsidP="005728DD">
      <w:pPr>
        <w:pStyle w:val="TextoNormal"/>
      </w:pPr>
      <w:r>
        <w:t>Tras la exposición de los antecedentes del caso y de las quejas que se articulan en la demanda, efectúa el fiscal dos consideraciones previas. Por una parte, señala que el tercer motivo de amparo (vulneración del derecho a la tutela judicial efectiva sin indefensión de los señores Cantó y Bajén) no ha de ser considerado, puesto que carece de desarrollo argumental, sin que corresponda al Tribunal Constitucional reconstruir de oficio las demandas. Por otra, se indica que, aunque en el primer motivo de amparo la parte recurrente invoca la lesión del derecho fundamental reconocido en el art. 23.1 CE, y en el segundo la del art. 23.2 CE, en realidad se está invocando en ambos la lesión del segundo de dichos derechos fundamentales, debiendo estarse a esa perspectiva.</w:t>
      </w:r>
    </w:p>
    <w:p w:rsidR="005728DD" w:rsidRDefault="005728DD" w:rsidP="005728DD">
      <w:pPr>
        <w:pStyle w:val="TextoNormal"/>
      </w:pPr>
    </w:p>
    <w:p w:rsidR="005728DD" w:rsidRDefault="005728DD" w:rsidP="005728DD">
      <w:pPr>
        <w:pStyle w:val="TextoNormal"/>
      </w:pPr>
      <w:r>
        <w:lastRenderedPageBreak/>
        <w:t>Para abordar el análisis del argumento central esgrimido por la parte recurrente, recoge el Ministerio Fiscal las líneas esenciales de la doctrina constitucional sobre el derecho fundamental enunciado en el art. 23.2 CE y sobre su conexión con el reconocido en el apartado 1 del mismo artículo. A partir de dicha doctrina se refiere a lo que establece el art. 3.1 de la Ley 11/1986, de 16 de diciembre, electoral de la Comunidad de Madrid, conforme al cual son elegibles los ciudadanos que, poseyendo la condición de elector, de conformidad con el art. 2 de la misma Ley, no se encuentren incursos en alguna de las causas de inelegibilidad consignadas en el art. 3.2. Por consiguiente para poder ser candidato según la normativa electoral autonómica han de concurrir la condición positiva de poseer la condición de elector y la condición negativa de no estar incurso en causa de inelegibilidad, lo que conduce a los requisitos que la Ley electoral de la Comunidad de Madrid establece para ser elector. De acuerdo con su art. 2.1 en conexión con el art. 7.2 del Estatuto de Autonomía de la Comunidad de Madrid, y con los arts. 2 y 3 LOREG, concluye el fiscal que, desde el punto de vista de la titularidad del derecho de sufragio activo, lo ostentan en la Comunidad de Madrid los españoles mayores de edad que no hayan sido condenados por sentencia judicial firme a la pena principal o accesoria de privación del derecho de sufragio durante el tiempo de su cumplimiento y que, de acuerdo con las leyes generales del Estado, tengan vecindad administrativa en cualquiera de los municipios de la Comunidad de Madrid.</w:t>
      </w:r>
    </w:p>
    <w:p w:rsidR="005728DD" w:rsidRDefault="005728DD" w:rsidP="005728DD">
      <w:pPr>
        <w:pStyle w:val="TextoNormal"/>
      </w:pPr>
    </w:p>
    <w:p w:rsidR="005728DD" w:rsidRDefault="005728DD" w:rsidP="005728DD">
      <w:pPr>
        <w:pStyle w:val="TextoNormal"/>
      </w:pPr>
      <w:r>
        <w:t>Ahora bien, conforme al art. 2.2 de la Ley electoral autonómica, para al ejercicio de ese derecho de sufragio activo es “indispensable” la inscripción en el “censo electoral vigente”, en los mismos términos que establece el art. 2.2 LOREG, lo cual plantea el problema de determinar cuál es ese censo electoral vigente. Nada dice al respecto la Ley electoral de la Comunidad de Madrid, por lo que ha de acudirse al art. 39.1 LOREG, aplicable con arreglo a lo establecido en la disposición final segunda de la Ley electoral autonómica, y de la conjunción de ambos preceptos resulta, según entiende el fiscal, que para el ejercicio del derecho de sufragio activo en la Comunidad de Madrid es indispensable la inscripción en el censo electoral vigente, que será el cerrado el día primero del segundo mes anterior a la convocatoria. En este punto, vuelve el ministerio público al inicio de la argumentación, concluyendo que es preciso determinar qué personas poseen la condición de elector, y es aquí donde surge el verdadero problema planteado en el recurso de amparo: precisar si para ser elector conforme al art. 2 de la Ley electoral autonómica basta con reunir los requisitos fijados en su apartado 1 o es preciso además el requisito del apartado 2, lo cual tiene importancia trascendental para determinar si ha existido o no vulneración del derecho fundamental de los recurrentes, ya que si solo fueran exigibles los requisitos del art. 2.1 podría existir la vulneración denunciada, mientras que, si fuera exigible también el del art. 2.2, no existiría lesión.</w:t>
      </w:r>
    </w:p>
    <w:p w:rsidR="005728DD" w:rsidRDefault="005728DD" w:rsidP="005728DD">
      <w:pPr>
        <w:pStyle w:val="TextoNormal"/>
      </w:pPr>
    </w:p>
    <w:p w:rsidR="005728DD" w:rsidRDefault="005728DD" w:rsidP="005728DD">
      <w:pPr>
        <w:pStyle w:val="TextoNormal"/>
      </w:pPr>
      <w:r>
        <w:t>Para resolver esta incógnita, acude el fiscal al art. 4.2 de la Ley electoral de la Comunidad de Madrid, del que deduce que, en principio, los aspirantes a ser proclamados candidatos han de figurar incluidos en las listas del censo electoral vigente y que, en el caso de no figurar en las mismas, podrían llegar a ser candidatos si con la solicitud acreditaran, de modo fehaciente, que reúnen todas las condiciones exigidas para figurar incluidas en las listas del censo electoral vigente. Así pues, para tener la condición de elegibles según la normativa autonómica madrileña, los aspirantes han de reunir los requisitos de los apartados 1 y 2 del art. 2 de la Ley electoral autonómica, circunstancia que, indudablemente, no concurre en los candidatos don Antonio Cantó García del Moral y don Agustín Conde Bajén.</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Mediante escrito de 14 de abril de 2021 formuló alegaciones la representación de doña Encarnación Moya Nieto y el Partido Socialista Obrero Español. En relación con el cumplimiento de los requisitos de admisibilidad de la demanda de amparo, el escrito de alegaciones plantea dos cuestiones relacionadas con el fondo de las pretensiones de amparo. En primer término, sostiene que la legitimación activa para interponer el recurso de amparo corresponde al Partido Popular, así como al representante de su candidatura en las elecciones a la Comunidad de Madrid, representante que lo es también de los candidatos incluidos en la misma (</w:t>
      </w:r>
      <w:r w:rsidRPr="005728DD">
        <w:rPr>
          <w:i/>
        </w:rPr>
        <w:t>ex</w:t>
      </w:r>
      <w:r>
        <w:t xml:space="preserve"> art. 43.3 LOREG), por lo que resulta incoherente la denuncia de la infracción del derecho fundamental a la tutela judicial efectiva por el Juzgado de lo Contencioso-Administrativo núm. 5 de Madrid. En segundo lugar, y respecto de la especial trascendencia constitucional, se manifiesta de acuerdo con la apreciación del Tribunal Constitucional en relación con los motivos a) y g) del fundamento jurídico 2 de la STC 155/2009, negando que concurra el supuesto f) de dicho fundamento jurídico y sentencia, puesto que no existiendo doctrina previa sobre el problema planteado, no es posible entender que existe negativa manifiesta del juzgado de instancia del deber de acatamiento de la doctrina del Tribunal Constitucional.</w:t>
      </w:r>
    </w:p>
    <w:p w:rsidR="005728DD" w:rsidRDefault="005728DD" w:rsidP="005728DD">
      <w:pPr>
        <w:pStyle w:val="TextoNormal"/>
      </w:pPr>
    </w:p>
    <w:p w:rsidR="005728DD" w:rsidRDefault="005728DD" w:rsidP="005728DD">
      <w:pPr>
        <w:pStyle w:val="TextoNormal"/>
      </w:pPr>
      <w:r>
        <w:t>Antes de entrar a responder a los motivos de amparo planteados en la demanda, esta parte formula las siguientes consideraciones generales:</w:t>
      </w:r>
    </w:p>
    <w:p w:rsidR="005728DD" w:rsidRDefault="005728DD" w:rsidP="005728DD">
      <w:pPr>
        <w:pStyle w:val="TextoNormal"/>
      </w:pPr>
    </w:p>
    <w:p w:rsidR="005728DD" w:rsidRDefault="005728DD" w:rsidP="005728DD">
      <w:pPr>
        <w:pStyle w:val="TextoNormal"/>
      </w:pPr>
      <w:r>
        <w:t xml:space="preserve">(i) Las pretensiones de la demanda vulneran la doctrina constitucional en relación con el requisito de la inscripción censal, como requisito de elegibilidad. Entiende la parte que de la STC 86/2003, de 8 de mayo, se puede extraer: que, siendo el derecho de sufragio pasivo del art. 23.2 CE un derecho de configuración legal, la ley puede exigir como requisito de elegibilidad de los candidatos la inscripción censal; que no vulnera el derecho a la igualdad de todos los españoles ante la ley el hecho de impedir que un ciudadano pueda presentarse en uno u otro lugar del territorio español, porque las comunidades autónomas pueden añadir requisitos adicionales en sus legislaciones; y que es obligatoria la inscripción en el censo electoral para todas las personas que concurran a las elecciones como candidatos para las elecciones autonómicas. Además, continúan las alegaciones, del fundamento jurídico 7 de esta sentencia se deduce, </w:t>
      </w:r>
      <w:r w:rsidRPr="005728DD">
        <w:rPr>
          <w:i/>
        </w:rPr>
        <w:t>a sensu contrario</w:t>
      </w:r>
      <w:r>
        <w:t>, que, si no existe funcionamiento anormal de la administración electoral, porque el candidato no desarrolló una conducta activa y consciente para empadronarse y ser elector en dicha circunscripción, porque de manera consciente y deliberada era elector de otra comunidad autónoma, no hay vulneración del derecho de sufragio pasivo. También se invocan las SSTC 73/1987, de 23 de mayo, FJ 3, y 154/1988, de 21 de julio, FJ 3, en relación con la obligatoriedad de la inscripción censal para ejercer el derecho de sufragio pasivo. En un sentido similar se cita, entre otras, la STC 60/1987, de 20 de mayo, cuyo fundamento jurídico 2 refiere que la condición de la inscripción censal en la comunidad autónoma para las elecciones a las asambleas parlamentarias autonómicas, procura “una cierta homogeneidad de intereses en el ámbito de la comunidad autónoma entre el cuerpo electoral y aquellos que ante él se proponen como candidatos”.</w:t>
      </w:r>
    </w:p>
    <w:p w:rsidR="005728DD" w:rsidRDefault="005728DD" w:rsidP="005728DD">
      <w:pPr>
        <w:pStyle w:val="TextoNormal"/>
      </w:pPr>
    </w:p>
    <w:p w:rsidR="005728DD" w:rsidRDefault="005728DD" w:rsidP="005728DD">
      <w:pPr>
        <w:pStyle w:val="TextoNormal"/>
      </w:pPr>
      <w:r>
        <w:t>Asimismo, se evocan las SSTC 144/1999, de 22 de julio, y 86/2003, de 8 de mayo, para referirse a la interpretación del art. 7.2 LOREG, en relación con el art. 23.2 CE, para constatar que la jurisprudencia constitucional formula una interpretación reforzada del derecho de sufragio pasivo cuando se trata de subsanar posibles defectos formales que puedan concurrir al presentarse las candidaturas, pero siempre que se cumpliesen previamente los requisitos requeridos.</w:t>
      </w:r>
    </w:p>
    <w:p w:rsidR="005728DD" w:rsidRDefault="005728DD" w:rsidP="005728DD">
      <w:pPr>
        <w:pStyle w:val="TextoNormal"/>
      </w:pPr>
    </w:p>
    <w:p w:rsidR="005728DD" w:rsidRDefault="005728DD" w:rsidP="005728DD">
      <w:pPr>
        <w:pStyle w:val="TextoNormal"/>
      </w:pPr>
      <w:r>
        <w:t>(ii) Las pretensiones de la demanda son contrarias a las normas previstas en la Ley 11/1986, de 16 de diciembre, electoral de la Comunidad de Madrid, sobre la condición de elector y elegible para las elecciones a la Asamblea, porque de los arts. 2 y 3 de esta norma legal se deduce que debe concurrir la condición de elector para ser elegible en los comicios autonómicos de la Comunidad de Madrid, ligándose el ejercicio del derecho de sufragio pasivo al derecho de sufragio activo y a la inscripción en el censo correspondiente y vigente (arts. 2 y 6 LOREG).</w:t>
      </w:r>
    </w:p>
    <w:p w:rsidR="005728DD" w:rsidRDefault="005728DD" w:rsidP="005728DD">
      <w:pPr>
        <w:pStyle w:val="TextoNormal"/>
      </w:pPr>
    </w:p>
    <w:p w:rsidR="005728DD" w:rsidRDefault="005728DD" w:rsidP="005728DD">
      <w:pPr>
        <w:pStyle w:val="TextoNormal"/>
      </w:pPr>
      <w:r>
        <w:t>(iii) Las pretensiones de la demanda vulneran los arts. 7 y 10.8 de la Ley Orgánica 3/1983, de 25 de febrero, que aprueba el Estatuto de Autonomía de la Comunidad de Madrid, en relación con lo dispuesto en los arts. 15 LBRL y 54 y 55 del Reglamento de población y demarcación territorial de las entidades locales, aprobado por Real Decreto 1690/1986, de 11 de julio. Este conjunto normativo permite deducir que el carácter de elector en la Comunidad de Madrid es condición necesaria para ser elegible, y que esa condición de elector va ligada a la vecindad administrativa en cualquiera de sus municipios, de acuerdo con las leyes generales del Estado que determinan a su vez que la vecindad civil se asocia a la inscripción en el padrón (art. 15 LBRL).</w:t>
      </w:r>
    </w:p>
    <w:p w:rsidR="005728DD" w:rsidRDefault="005728DD" w:rsidP="005728DD">
      <w:pPr>
        <w:pStyle w:val="TextoNormal"/>
      </w:pPr>
    </w:p>
    <w:p w:rsidR="005728DD" w:rsidRDefault="005728DD" w:rsidP="005728DD">
      <w:pPr>
        <w:pStyle w:val="TextoNormal"/>
      </w:pPr>
      <w:r>
        <w:t>(iv) Las pretensiones de la demanda vulneran el art. 39 LOREG, que establece, con carácter supletorio respecto de la normativa autonómica (según lo dispuesto en la disposición adicional segunda de la Ley 11/1986), que “para cada elección el censo electoral vigente será el cerrado el día primero del segundo mes anterior a la convocatoria”. Según esta disposición, el censo electoral vigente para la convocatoria electoral del 4 de mayo, es el que se cerró el día 1 de enero de 2021, con lo que solo las personas incluidas en el censo en ese momento tenían la condición de electores. Quienes no lo estuvieran, porque su empadronamiento se produjo con posterioridad, no pueden ser elegibles pues no pueden ser incluidos en el censo de electores vigente para la convocatoria electoral.</w:t>
      </w:r>
    </w:p>
    <w:p w:rsidR="005728DD" w:rsidRDefault="005728DD" w:rsidP="005728DD">
      <w:pPr>
        <w:pStyle w:val="TextoNormal"/>
      </w:pPr>
    </w:p>
    <w:p w:rsidR="005728DD" w:rsidRDefault="005728DD" w:rsidP="005728DD">
      <w:pPr>
        <w:pStyle w:val="TextoNormal"/>
      </w:pPr>
      <w:r>
        <w:t>(v) Ni el art. 4.2 de la Ley 11/1986, ni el art. 7.2 LOREG pueden interpretarse en el sentido de permitir concurrir como elegibles a quienes no fueran electores, limitándose a permitir la concurrencia como candidatos a los electores que debieron figurar en el censo vigente, y que, por un error de este, no aparecen en el mismo, pudiendo acreditar su derecho a la inscripción, aunque no hayan seguido los procedimientos de rectificación censal que se exige a los electores. Así, la interpretación amplia del art. 23.2 permite ser elegible al que no podría ser elector por no aparecer en el censo electoral, pero siempre que hubiera tenido derecho a estar en el mismo, es decir, siempre que reuniera la condición de elector. Por tanto, si un candidato no acredita fehacientemente que se reunían los requisitos para ser elector a fecha de 1 de enero de 2021, no estando incluido en el censo electoral, aunque dicha circunstancia pueda concurrir en un momento posterior, aquel candidato ha de ser considerado inelegible.</w:t>
      </w:r>
    </w:p>
    <w:p w:rsidR="005728DD" w:rsidRDefault="005728DD" w:rsidP="005728DD">
      <w:pPr>
        <w:pStyle w:val="TextoNormal"/>
      </w:pPr>
    </w:p>
    <w:p w:rsidR="005728DD" w:rsidRDefault="005728DD" w:rsidP="005728DD">
      <w:pPr>
        <w:pStyle w:val="TextoNormal"/>
      </w:pPr>
      <w:r>
        <w:t xml:space="preserve">(vi) Las pretensiones de la demanda vulneran los acuerdos de la Junta Electoral Central sobre el cierre censal y los cambios de domicilio posteriores. Los Acuerdos de la Junta Electoral Central 167/1995, 7 de abril, 130/1999, de 27 de abril, y 700/1995, de 24 de mayo, admiten la posibilidad de considerar los cambios de residencia y la adquisición de la condición de elector en una nueva circunscripción, si estos se producen antes de la fecha de publicación de la convocatoria de las elecciones, pero nunca después de eso. No obstante, la </w:t>
      </w:r>
      <w:r>
        <w:lastRenderedPageBreak/>
        <w:t>parte recuerda que, a consecuencia de esta doctrina, se modificó el art. 39 LOREG por Ley Orgánica 2/2011, de 28 de enero.</w:t>
      </w:r>
    </w:p>
    <w:p w:rsidR="005728DD" w:rsidRDefault="005728DD" w:rsidP="005728DD">
      <w:pPr>
        <w:pStyle w:val="TextoNormal"/>
      </w:pPr>
    </w:p>
    <w:p w:rsidR="005728DD" w:rsidRDefault="005728DD" w:rsidP="005728DD">
      <w:pPr>
        <w:pStyle w:val="TextoNormal"/>
      </w:pPr>
      <w:r>
        <w:t>(vii) Todo lo anterior conduce a considerar la condición de inelegibles de don Antonio Cantó del Moral y don Agustín Conde Bajén, ya que ambos candidatos se empadronaron en la Comunidad de Madrid en una fecha posterior al 1 de enero de 2021, no constando en el censo electoral vigente en esa fecha y no pudiendo ser electores en la Comunidad de Madrid, razón por la que carecen de la condición de elegibles en relación con las elecciones que se celebrarán el 4 de mayo de 2021.</w:t>
      </w:r>
    </w:p>
    <w:p w:rsidR="005728DD" w:rsidRDefault="005728DD" w:rsidP="005728DD">
      <w:pPr>
        <w:pStyle w:val="TextoNormal"/>
      </w:pPr>
    </w:p>
    <w:p w:rsidR="005728DD" w:rsidRDefault="005728DD" w:rsidP="005728DD">
      <w:pPr>
        <w:pStyle w:val="TextoNormal"/>
      </w:pPr>
      <w:r>
        <w:t>(viii) Y, por lo mismo, se ha de considerar nulo el acuerdo de la Junta Electoral Provincial respecto de la proclamación de la candidatura del Partido Popular en cuanto a la inclusión de los candidatos citados, por vulnerar dicho acuerdo la normativa electoral, así como los arts. 23, 14 y 9.1 y 3 CE.</w:t>
      </w:r>
    </w:p>
    <w:p w:rsidR="005728DD" w:rsidRDefault="005728DD" w:rsidP="005728DD">
      <w:pPr>
        <w:pStyle w:val="TextoNormal"/>
      </w:pPr>
    </w:p>
    <w:p w:rsidR="005728DD" w:rsidRDefault="005728DD" w:rsidP="005728DD">
      <w:pPr>
        <w:pStyle w:val="TextoNormal"/>
      </w:pPr>
      <w:r>
        <w:t xml:space="preserve">Por lo que hace a los concretos motivos de amparo, las alegaciones frente a los mismos parten de dos consideraciones previas: (a) La interpretación del juzgador de instancia ni se confunde en la interpretación de la ley, ni crea requisitos </w:t>
      </w:r>
      <w:r w:rsidRPr="005728DD">
        <w:rPr>
          <w:i/>
        </w:rPr>
        <w:t>ex novo</w:t>
      </w:r>
      <w:r>
        <w:t xml:space="preserve">. Siendo el art. 23.2 CE un derecho de configuración legal, es el marco normativo previamente expuesto en el escrito de alegaciones el que da cobertura a la exigencia de inscripción censal, no tratándose de una cuestión inventada por el juez. (b) No existe un derecho de aplicación del principio </w:t>
      </w:r>
      <w:r w:rsidRPr="005728DD">
        <w:rPr>
          <w:i/>
        </w:rPr>
        <w:t>in dubio pro libertate</w:t>
      </w:r>
      <w:r>
        <w:t xml:space="preserve"> de forma absoluta, ya que este principio no es de aplicación cuando hay un cuerpo normativo como el descrito que recoge de forma expresa las condiciones de ejercicio del derecho que se pretende vulnerado. Además, pese a la alegación en ese sentido de la demanda, esta parte niega que el órgano judicial plantease en la sentencia la existencia de dudas interpretativas respecto del marco normativo, limitándose a manifestar, en el pronunciamiento sobre las costas, que la planteada era una “cuestión jurídica compleja”.</w:t>
      </w:r>
    </w:p>
    <w:p w:rsidR="005728DD" w:rsidRDefault="005728DD" w:rsidP="005728DD">
      <w:pPr>
        <w:pStyle w:val="TextoNormal"/>
      </w:pPr>
    </w:p>
    <w:p w:rsidR="005728DD" w:rsidRDefault="005728DD" w:rsidP="005728DD">
      <w:pPr>
        <w:pStyle w:val="TextoNormal"/>
      </w:pPr>
      <w:r>
        <w:t>A partir de estos argumentos, la parte:</w:t>
      </w:r>
    </w:p>
    <w:p w:rsidR="005728DD" w:rsidRDefault="005728DD" w:rsidP="005728DD">
      <w:pPr>
        <w:pStyle w:val="TextoNormal"/>
      </w:pPr>
    </w:p>
    <w:p w:rsidR="005728DD" w:rsidRDefault="005728DD" w:rsidP="005728DD">
      <w:pPr>
        <w:pStyle w:val="TextoNormal"/>
      </w:pPr>
      <w:r>
        <w:t>a) Niega la vulneración del art. 23.1 CE, denunciada en la demanda, al cuestionar el carácter absoluto del derecho de sufragio activo que defienden los recurrentes, desde la consideración de que el desarrollo normativo de este derecho asegura su ejercicio en condiciones de igualdad para todos los ciudadanos. Volviendo a la dicción literal de los arts. 2, 3 y 7 de la Ley 11/1986, del art. 6 LOREG, de los arts. 7 y 10.8 EACM, y de los arts. 15 LBRL y 54 y 55 del reglamento de población y demarcación territorial de las entidades locales, defiende que los requisitos legales para el ejercicio del derecho de sufragio pasivo son claros y previos (poseer la condición de elector, ostentar la condición política de ciudadano de la Comunidad de Madrid y estar inscrito en el censo electoral), garantizando ello la igualdad de todos los ciudadanos, y ofreciendo seguridad jurídica.</w:t>
      </w:r>
    </w:p>
    <w:p w:rsidR="005728DD" w:rsidRDefault="005728DD" w:rsidP="005728DD">
      <w:pPr>
        <w:pStyle w:val="TextoNormal"/>
      </w:pPr>
    </w:p>
    <w:p w:rsidR="005728DD" w:rsidRDefault="005728DD" w:rsidP="005728DD">
      <w:pPr>
        <w:pStyle w:val="TextoNormal"/>
      </w:pPr>
      <w:r>
        <w:t xml:space="preserve">En el escrito de alegaciones se contesta la interpretación de los recurrentes de que los requisitos legalmente establecidos deben concurrir en el momento de presentación de la candidatura, porque no se puede deducir tal cosa del art. 7.1 LOREG, que se refiere a las causas de inelegibilidad, y no a la concurrencia de la condición previa de ser elector. En relación con esta cuestión, se vuelve a invocar el art. 39 LOREG en relación con el cierre censal, que se vincula directamente a la constatación de esa condición de elector. En este </w:t>
      </w:r>
      <w:r>
        <w:lastRenderedPageBreak/>
        <w:t>punto concreto, esta parte cuestiona la diferencia introducida por los argumentos de la demanda respecto de las diferencias entre el elector que es candidato y el que no lo es, siendo que este último estaría sometido al requisito de inscripción censal, viendo limitado su derecho de sufragio activo, mientras que el elector candidato podría, sin limitación alguna derivada de un cambio de domicilio, ejercer su derecho a ser elegido en un proceso electoral, aunque no aparezca en el censo. Esta diferencia, a juicio de esta parte, es la que no posee sustento legal alguno. Insiste el escrito de alegaciones en que la protección del censo electoral y la condición de estar incluido en él para ejercer el derecho de sufragio tiene sentido para proteger los procesos electorales de fraudes masivos que podrían darse ante censos libres. No se trata, pues, de un requisito técnico, sino de un requisito previo para evitar procesos electorales fraudulentos, evitar movimientos masivos de personas de una circunscripción a otra y controlar un arma de corrupción política que pondría en peligro efectivo la democracia.</w:t>
      </w:r>
    </w:p>
    <w:p w:rsidR="005728DD" w:rsidRDefault="005728DD" w:rsidP="005728DD">
      <w:pPr>
        <w:pStyle w:val="TextoNormal"/>
      </w:pPr>
    </w:p>
    <w:p w:rsidR="005728DD" w:rsidRDefault="005728DD" w:rsidP="005728DD">
      <w:pPr>
        <w:pStyle w:val="TextoNormal"/>
      </w:pPr>
      <w:r>
        <w:t xml:space="preserve">Glosando de nuevo la STC 86/2003, de 8 de mayo, reconoce que la misma no da respuesta completa al problema que se plantea en el presente recurso de amparo, pero insiste en el contenido de la misma para poner de relieve que el tribunal valora en su pronunciamiento la actitud del candidato a la hora de reunir el requisito de ser elector, deduciendo, </w:t>
      </w:r>
      <w:r w:rsidRPr="005728DD">
        <w:rPr>
          <w:i/>
        </w:rPr>
        <w:t>a sensu contrario</w:t>
      </w:r>
      <w:r>
        <w:t>, que en este caso, no hubo error censal inadvertido, sino incumplimiento de los requisitos de inscripción censal. Se advierte que cuando los recurrentes alegan que lo importante no es la inscripción censal (rectificada o no) sino el cumplimiento de las condiciones para ser candidato, en realidad pretenden alterar la realidad jurídica de los candidatos, subsanando una realidad jurídica que no tuvo lugar en el momento en que debió concurrir. Asimismo, se niega la distinción establecida por los recurrentes entre requisitos para la titularidad del derecho de sufragio y para su ejercicio.</w:t>
      </w:r>
    </w:p>
    <w:p w:rsidR="005728DD" w:rsidRDefault="005728DD" w:rsidP="005728DD">
      <w:pPr>
        <w:pStyle w:val="TextoNormal"/>
      </w:pPr>
    </w:p>
    <w:p w:rsidR="005728DD" w:rsidRDefault="005728DD" w:rsidP="005728DD">
      <w:pPr>
        <w:pStyle w:val="TextoNormal"/>
      </w:pPr>
      <w:r>
        <w:t>Por último, se afirma que la reclamada interpretación más favorable del ejercicio del derecho fundamental por parte de los recurrentes no es posible si no se cumplen los requisitos normativos impuestos al ejercicio del derecho fundamental. Primero, han de cumplirse esos requisitos y, después, en atención a su cumplimiento, se podrá o no interpretar. Acudiendo a la STC 74/1995, de 12 de mayo, se afirma que se debe realizar una interpretación del art. 23 CE en el sentido más favorable a su ejercicio siempre que esa interpretación sea respetuosa con la legislación electoral.</w:t>
      </w:r>
    </w:p>
    <w:p w:rsidR="005728DD" w:rsidRDefault="005728DD" w:rsidP="005728DD">
      <w:pPr>
        <w:pStyle w:val="TextoNormal"/>
      </w:pPr>
    </w:p>
    <w:p w:rsidR="005728DD" w:rsidRDefault="005728DD" w:rsidP="005728DD">
      <w:pPr>
        <w:pStyle w:val="TextoNormal"/>
      </w:pPr>
      <w:r>
        <w:t>b) Respecto de la invocación del derecho a acceder en condiciones de igualdad a los cargos públicos (art. 23.2 CE), esta parte niega la desigualdad denunciada, recordando cómo el propio PSOE ha visto rechazadas candidaturas propias por problemas de inscripción censal (con cita de la STC 73/1987, de 23 de mayo). Siendo las normas electorales previas y comunes a todos los participantes en el proceso electoral, de modo que todos los electores concurren en una situación de igualdad material, no puede afirmarse que se produce una desigualdad en perjuicio de aquel sobre el que se aplica la ley (con cita, en este sentido, de la STC 135/2004, de 18 de agosto). Frente a lo argumentado en la demanda, esta parte entiende que de estimarse esos argumentos sería esa interpretación la que resultaría contraria al principio de igualdad, creando una diferenciación artificiosa entre el elector solo votante y el elector candidato.</w:t>
      </w:r>
    </w:p>
    <w:p w:rsidR="005728DD" w:rsidRDefault="005728DD" w:rsidP="005728DD">
      <w:pPr>
        <w:pStyle w:val="TextoNormal"/>
      </w:pPr>
    </w:p>
    <w:p w:rsidR="005728DD" w:rsidRDefault="005728DD" w:rsidP="005728DD">
      <w:pPr>
        <w:pStyle w:val="TextoNormal"/>
      </w:pPr>
      <w:r>
        <w:t xml:space="preserve">c) Y, en relación con la denunciada vulneración del art. 24.1 CE, se argumenta que la falta de motivación de esta invocación debiera llevar a su desestimación. En este caso no </w:t>
      </w:r>
      <w:r>
        <w:lastRenderedPageBreak/>
        <w:t>hay indefensión lesiva del art. 24 CE porque los señores Cantó y Conde concurren en amparo con la misma representación procesal y defensa técnica que el Partido Popular, lo mismo que sucedió en la instancia, por lo que, emplazado este último a través del representante de la candidatura, que también lo es de los candidatos, pudieron personarse y presentar alegaciones sin dificultad. Si no lo hicieron fue porque no lo desearon y decidieron seguir representados por el representante de su candidatura. Siendo además público y notorio el desarrollo de este procedimiento, no hay desconocimiento del mismo que les pueda haber producido indefensión.</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 xml:space="preserve">Los actores dirigen su recurso de amparo electoral contra la sentencia dictada por el Juzgado de lo Contencioso-Administrativo núm. 5 de Madrid, de fecha 11 de abril de 2021, que estimó el recurso contencioso-electoral promovido por el Partido Socialista Obrero Español, y anuló parcialmente el acuerdo de la Junta Electoral Provincial de Madrid de 7 de abril de 2021, por el que se proclamaba definitivamente la candidatura del Partido Popular para las elecciones autonómicas del 4 de mayo de 2021, acordando que los candidatos don Antonio Cantó García del Moral y don Agustín Conde Bajén han de ser excluidos de la misma, por ser inelegibles, con las consecuencias que se deriven, que habrán de ser acordadas por la Junta Electoral Provincial. En síntesis, los demandantes se quejan de la vulneración de su derecho de sufragio pasivo porque la resolución recurrida ha impuesto </w:t>
      </w:r>
      <w:r w:rsidRPr="005728DD">
        <w:rPr>
          <w:i/>
        </w:rPr>
        <w:t>ex novo</w:t>
      </w:r>
      <w:r>
        <w:t xml:space="preserve"> un requisito no previsto legalmente para poder ser candidato a las elecciones a la Asamblea de Madrid, y por haber realizado una interpretación restrictiva y no favorable a la efectividad del derecho fundamental. Asimismo, denuncian la vulneración del derecho de acceso en condiciones de igualdad a cargos públicos electivos, por exigir a los candidatos recurrentes requisitos para apreciar su elegibilidad que nunca se han impuesto a un candidato. Finalmente, aducen que se habría vulnerado el derecho a la tutela judicial efectiva de los señores Cantó García del Moral y Conde Bajén porque no se les dio traslado del recurso interpuesto ni de la sentencia, habiéndoseles causado indefensión.</w:t>
      </w:r>
    </w:p>
    <w:p w:rsidR="005728DD" w:rsidRDefault="005728DD" w:rsidP="005728DD">
      <w:pPr>
        <w:pStyle w:val="TextoNormal"/>
      </w:pPr>
    </w:p>
    <w:p w:rsidR="005728DD" w:rsidRDefault="005728DD" w:rsidP="005728DD">
      <w:pPr>
        <w:pStyle w:val="TextoNormal"/>
      </w:pPr>
      <w:r>
        <w:t>Por su parte, el fiscal, con apoyo en los argumentos que han quedado expuestos de manera detallada en los antecedentes, solicita la íntegra desestimación del recurso de amparo, por entender que la interpretación realizada por la sentencia impugnada es acorde con la Ley electoral de la Comunidad de Madrid y con el derecho de sufragio pasivo del art. 23.2 CE. La misma pretensión ha formulado la representación del doña Encarnación Moya Nieto y del Partido Socialista Obrero Español, que ha negado la existencia de vulneración de los derechos fundamentales alegados en la demanda.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Desestimación de la queja relativa al derecho a la tutela judicial efectiva</w:t>
      </w:r>
      <w:r>
        <w:t>.</w:t>
      </w:r>
    </w:p>
    <w:p w:rsidR="005728DD" w:rsidRDefault="005728DD" w:rsidP="005728DD">
      <w:pPr>
        <w:pStyle w:val="TextoNormal"/>
      </w:pPr>
    </w:p>
    <w:p w:rsidR="005728DD" w:rsidRDefault="005728DD" w:rsidP="005728DD">
      <w:pPr>
        <w:pStyle w:val="TextoNormal"/>
      </w:pPr>
      <w:r>
        <w:t xml:space="preserve">El análisis de las quejas que se formulan debe comenzar por la última de ellas, que el fiscal ha solicitado que no sea objeto de consideración, por su carencia de desarrollo argumental. En ella, los actores, sin mayor justificación, afirman que se ha vulnerado el derecho a la tutela judicial efectiva sin indefensión de los señores Cantó García del Moral y Conde </w:t>
      </w:r>
      <w:r>
        <w:lastRenderedPageBreak/>
        <w:t>Bajén por su falta de emplazamiento en el procedimiento contencioso-electoral, y porque no se les ha notificado la sentencia recaída en el mismo.</w:t>
      </w:r>
    </w:p>
    <w:p w:rsidR="005728DD" w:rsidRDefault="005728DD" w:rsidP="005728DD">
      <w:pPr>
        <w:pStyle w:val="TextoNormal"/>
      </w:pPr>
    </w:p>
    <w:p w:rsidR="005728DD" w:rsidRDefault="005728DD" w:rsidP="005728DD">
      <w:pPr>
        <w:pStyle w:val="TextoNormal"/>
      </w:pPr>
      <w:r>
        <w:t>Como bien señala el fiscal, la queja carece de desarrollo argumental, lo que excusa su examen por parte de este tribunal. Hemos señalado reiteradamente que no nos corresponde reconstruir de oficio las demandas supliendo las razones que las partes no hayan expuesto, por ser carga procesal de quien pide amparo constitucional, no solamente la de abrir la vía para que se pronuncie, sino también la de proporcionar la fundamentación fáctica y jurídica que razonablemente es de esperar y que se integra en el deber de colaborar con la justicia del Tribunal Constitucional, por lo que debe ser desestimada (STC 57/2010, de 4 de octubre).</w:t>
      </w:r>
    </w:p>
    <w:p w:rsidR="005728DD" w:rsidRDefault="005728DD" w:rsidP="005728DD">
      <w:pPr>
        <w:pStyle w:val="TextoNormal"/>
      </w:pPr>
    </w:p>
    <w:p w:rsidR="005728DD" w:rsidRDefault="005728DD" w:rsidP="005728DD">
      <w:pPr>
        <w:pStyle w:val="TextoNormal"/>
      </w:pPr>
      <w:r>
        <w:t>En todo caso, la queja no es pertinente pues, aunque ninguno de los dos candidatos fue parte en el procedimiento contencioso-electoral, lo cierto es que sus derechos fueron objeto de defensa. En efecto, el art. 43.1 LOREG obliga a los partidos, federaciones, coaliciones y agrupaciones que pretendan concurrir a una elección a nombrar sus representantes ante la administración electoral, y, de acuerdo con el apartado 3 del mismo precepto, “[l]os representantes de las candidaturas lo son de los candidatos incluidos en ellas”, remitiéndose a su domicilio las notificaciones, escritos y emplazamientos dirigidos por la administración electoral a los candidatos, y que “reciben de estos, por la sola aceptación de la candidatura, un apoderamiento general para actuar en procedimientos judiciales en materia electoral”. Es decir, que, en este caso, los candidatos recurrentes, en cuanto aceptaron la candidatura, apoderaron al representante del Partido Popular para actuar en el procedimiento de impugnación de su proclamación, y dicho partido se personó en el recurso contencioso-electoral, en el que defendió los derechos de los dos candidatos, siendo de significar que el escrito de alegaciones de la representación del Partido Popular ante el juzgado no hizo ninguna referencia a la necesidad de emplazar a los dos candidatos. No puede aducirse, por consiguiente, indefensión alguna, en la medida en que los derechos de los dos candidatos fueron defendidos en los términos previstos por el art. 49 LOREG para el recurso contra la proclamación de candidaturas y candidatos.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Denuncia de la vulneración del derecho de sufragio pasivo. Doctrina constitucional sobre el art. 23.2 CE</w:t>
      </w:r>
      <w:r>
        <w:t>.</w:t>
      </w:r>
    </w:p>
    <w:p w:rsidR="005728DD" w:rsidRDefault="005728DD" w:rsidP="005728DD">
      <w:pPr>
        <w:pStyle w:val="TextoNormal"/>
      </w:pPr>
    </w:p>
    <w:p w:rsidR="005728DD" w:rsidRDefault="005728DD" w:rsidP="005728DD">
      <w:pPr>
        <w:pStyle w:val="TextoNormal"/>
      </w:pPr>
      <w:r>
        <w:t xml:space="preserve">Como con más detalle ha quedado expuesto en los antecedentes, los demandantes de amparo denuncian, en primer lugar, la vulneración de su derecho de sufragio pasivo, consagrado en el art. 23.2 CE (aunque la demanda lo residencie en el art. 23.1 CE), porque se les ha impuesto </w:t>
      </w:r>
      <w:r w:rsidRPr="005728DD">
        <w:rPr>
          <w:i/>
        </w:rPr>
        <w:t>ex novo</w:t>
      </w:r>
      <w:r>
        <w:t xml:space="preserve">, en la resolución recurrida, un requisito restrictivo, que no encuentra amparo en la legislación electoral y que es contrario a la doctrina de la interpretación más favorable al derecho fundamental. Sitúan el punto central de la cuestión en la existencia o no del requisito —que consideran adicional— consistente en la necesidad de que el candidato no solo ostente la “condición política de ciudadano de la Comunidad de Madrid” (art. 2.1 de la Ley 11/1986) en el momento de presentación de la candidatura sino que deba ostentarla en el momento de cierre del censo electoral </w:t>
      </w:r>
      <w:r w:rsidRPr="005728DD">
        <w:rPr>
          <w:i/>
        </w:rPr>
        <w:t>ex</w:t>
      </w:r>
      <w:r>
        <w:t xml:space="preserve"> art. 39.1 LOREG (“el día primero del segundo mes anterior a la convocatoria electoral”).</w:t>
      </w:r>
    </w:p>
    <w:p w:rsidR="005728DD" w:rsidRDefault="005728DD" w:rsidP="005728DD">
      <w:pPr>
        <w:pStyle w:val="TextoNormal"/>
      </w:pPr>
    </w:p>
    <w:p w:rsidR="005728DD" w:rsidRDefault="005728DD" w:rsidP="005728DD">
      <w:pPr>
        <w:pStyle w:val="TextoNormal"/>
      </w:pPr>
      <w:r>
        <w:t xml:space="preserve">Para dar respuesta a este planteamiento básico, que la demanda refuerza con argumentos adicionales sobre aspectos tales como la consideración que merece la inscripción censal en </w:t>
      </w:r>
      <w:r>
        <w:lastRenderedPageBreak/>
        <w:t>relación con el derecho fundamental que se invoca, es preciso recoger la reiterada doctrina de este tribunal sobre el art. 23.2 CE, que, a los efectos que aquí interesan, y obviando el derecho de acceso a las funciones públicas, reconoce el derecho de todos a acceder en condiciones de igualdad a los cargos públicos con los requisitos que señalen las leyes. Derecho que se refiere, como hemos declarado reiteradamente, a los cargos de representación política y sobre cuyo alcance material ya ha tenido ocasión de pronunciarse reiteradamente este tribunal a los efectos de determinar lo protegido por el mencionado derecho fundamental, pues solo lo en él garantizado puede ser objeto de examen en esta sede jurisdiccional. Por lo que atañe al caso suscitado en este proceso, debe, desde luego, considerarse que incluye el derecho de presentar candidaturas y de presentarse como candidato en las elecciones a la asamblea de una comunidad autónoma si se cumplen los requisitos legalmente establecidos al efecto (STC 163/2011, de 2 de noviembre, FJ 3).</w:t>
      </w:r>
    </w:p>
    <w:p w:rsidR="005728DD" w:rsidRDefault="005728DD" w:rsidP="005728DD">
      <w:pPr>
        <w:pStyle w:val="TextoNormal"/>
      </w:pPr>
    </w:p>
    <w:p w:rsidR="005728DD" w:rsidRDefault="005728DD" w:rsidP="005728DD">
      <w:pPr>
        <w:pStyle w:val="TextoNormal"/>
      </w:pPr>
      <w:r>
        <w:t>a) Lo primero que se ha de señalar en relación con este derecho es que el precepto constitucional mencionado, en el que se recoge el referido derecho fundamental, confiere un amplio margen de libertad al legislador para regular el ejercicio del derecho, esto es, para configurar el sistema mediante el que se produce en la práctica el acceso a tales cargos públicos, pues resulta, en efecto, del art. 23.2 CE que el derecho a ser elegido se adquiere “con los requisitos que señalen las Leyes”, “de manera que no puede afirmarse que del precepto, en sí solo considerado, derive la exigencia de un determinado sistema electoral o, dentro de lo que el sistema electoral abarca, de un determinado mecanismo para la atribución de los cargos representativos objeto de elección, en función de los votos que en la misma se emiten” (STC 75/1985, FJ 4). El legislador puede establecer libremente las condiciones que estime más adecuadas, si bien su libertad tiene limitaciones que son, de una parte, las generales que impone el principio de igualdad y los derechos fundamentales que la Constitución garantiza y, de otra, cuando se trata de cargos públicos de carácter representativo, la necesidad de salvaguardar su naturaleza (SSTC 10/1983, de 21 de febrero, FJ 2, y 24/1990, de 15 de febrero, FJ 2).</w:t>
      </w:r>
    </w:p>
    <w:p w:rsidR="005728DD" w:rsidRDefault="005728DD" w:rsidP="005728DD">
      <w:pPr>
        <w:pStyle w:val="TextoNormal"/>
      </w:pPr>
    </w:p>
    <w:p w:rsidR="005728DD" w:rsidRDefault="005728DD" w:rsidP="005728DD">
      <w:pPr>
        <w:pStyle w:val="TextoNormal"/>
      </w:pPr>
      <w:r>
        <w:t>b) Junto a esta amplia libertad de configuración normativa que reconoce al legislador el art. 23.2 CE también señala a este de modo expreso la necesidad de que el derecho que proclama sea ejercido en condiciones de igualdad, exigencia en la que no cabe ver sino una concreción del principio que, con carácter general, se reconoce en el art. 14 CE (STC 75/1985, de 21 de junio, FJ 4). Se trata de una igualdad en la Ley, o, como el mismo art. 23.2 establece, de una igualdad referida a las condiciones legales en que el conjunto de un proceso electoral se desarrolla, por lo que la igualdad, por tanto, ha de verificarse dentro del sistema electoral que libremente sea determinado por el legislador, impidiendo las diferencias discriminatorias, pero a partir de las reglas del sistema y no por referencia a otro (STC 225/1998, de 25 de noviembre, FJ 4). Lo significativo, en todo caso, desde la perspectiva del art. 23.2 CE, puesto en relación con el art. 14 CE, es que aquellas condiciones legales se apliquen a todos los ciudadanos por igual, sin obstáculos para que todos ellos concurran en unas mismas elecciones y en unos mismos distritos o circunscripciones en idénticas condiciones legales, y sin que existan diferencias injustificadas o irrazonables en aplicación de las condiciones legales. Así pues, el derecho de acceso a los cargos públicos que se recoge en el art. 23.2 CE es, inequívocamente, un derecho de igualdad, como taxativamente se afirma en el propio precepto constitucional, de modo que el derecho mismo resultaría vio</w:t>
      </w:r>
      <w:r>
        <w:lastRenderedPageBreak/>
        <w:t>lado si se produjera cualquier género de discriminación o preterición infundada en el proceso de acceso al cargo público representativo [SSTC 185/1999, de 11 de octubre, FJ 4 b), y 153/2003, de 17 de julio, FJ 6 b)].</w:t>
      </w:r>
    </w:p>
    <w:p w:rsidR="005728DD" w:rsidRDefault="005728DD" w:rsidP="005728DD">
      <w:pPr>
        <w:pStyle w:val="TextoNormal"/>
      </w:pPr>
    </w:p>
    <w:p w:rsidR="005728DD" w:rsidRDefault="005728DD" w:rsidP="005728DD">
      <w:pPr>
        <w:pStyle w:val="TextoNormal"/>
      </w:pPr>
      <w:r>
        <w:t>c) El principio de igualdad es ciertamente un elemento esencial del derecho a acceder a los cargos de representación política, pero este no agota ahí su contenido. Estando condicionado su ejercicio a los requisitos que señalen las Leyes se trata de un derecho de configuración legal, en el que este tribunal ha declarado, en STC 71/89, de 20 de abril, FJ 3, que es obligado integrar, desde la perspectiva del derecho de sufragio pasivo, “la exigencia de que las normas electorales sean cumplidas en cuanto constituyen garantía del correcto desarrollo de la elección de modo que culmine con la proclamación de los candidatos que hayan sido preferidos por el cuerpo electoral”. Tal afirmación, sin embargo, no debe llevar a la identificación del contenido del derecho reconocido en el art. 23.2 CE con toda la legalidad electoral sin más, ni puede aislarse, descontextualizándolo de las consideraciones que en aquella sentencia se hacían sobre el contenido esencial del derecho de sufragio pasivo, que no es otro que asegurar que accedan al cargo público aquellos candidatos que los electores hayan elegido como sus representantes, satisfaciéndose, por tanto, dicho derecho siempre que se mantenga la debida correlación entre la voluntad del cuerpo electoral y la proclamación de los candidatos, así como sobre la necesidad de que las irregularidades o anomalías del procedimiento electoral denunciadas afecten al resultado final de la elección para poder apreciar la existencia de una lesión real y efectiva del derecho de sufragio pasivo [SSTC 185/1999, de 11 de octubre, FJ 4 c), y 135/2004, de 5 de agosto, FJ 4 c)].</w:t>
      </w:r>
    </w:p>
    <w:p w:rsidR="005728DD" w:rsidRDefault="005728DD" w:rsidP="005728DD">
      <w:pPr>
        <w:pStyle w:val="TextoNormal"/>
      </w:pPr>
    </w:p>
    <w:p w:rsidR="005728DD" w:rsidRDefault="005728DD" w:rsidP="005728DD">
      <w:pPr>
        <w:pStyle w:val="TextoNormal"/>
      </w:pPr>
      <w:r>
        <w:t>En esta línea argumental, este tribunal tiene declarado que, tanto las normas que establecen los requisitos para el acceso a los cargos públicos representativos, como los actos de aplicación de esas normas, pueden ser impugnados en esta sede jurisdiccional, no solo por quiebra de la igualdad, sino también por otro género de inadecuación, por no ser congruentes con su naturaleza de cargos representativos. Por lo que, al conocer de un recurso de amparo en el que se impugna una decisión judicial recaída en un proceso contencioso-electoral, su función de fiscalización no ha de circunscribirse a examinar la cuestión exclusivamente desde el ángulo de la igualdad, sino que también ha de comprender la perspectiva más amplia que exige que tanto el legislador, al establecer los requisitos cuyo cumplimiento es necesario para acceder al cargo, como el aplicador de la norma, al aplicarla, aseguren al máximo la efectividad de los derechos fundamentales que están en la base de los órganos representativos.</w:t>
      </w:r>
    </w:p>
    <w:p w:rsidR="005728DD" w:rsidRDefault="005728DD" w:rsidP="005728DD">
      <w:pPr>
        <w:pStyle w:val="TextoNormal"/>
      </w:pPr>
    </w:p>
    <w:p w:rsidR="005728DD" w:rsidRDefault="005728DD" w:rsidP="005728DD">
      <w:pPr>
        <w:pStyle w:val="TextoNormal"/>
      </w:pPr>
      <w:r>
        <w:t xml:space="preserve">De modo que, en su condición de intérprete supremo de la Constitución, este tribunal debe revisar, si a ello es instado en la vía de amparo, “si la interpretación de la legalidad configuradora de los derechos fundamentales se ha llevado a cabo </w:t>
      </w:r>
      <w:r w:rsidRPr="005728DD">
        <w:rPr>
          <w:i/>
        </w:rPr>
        <w:t>secundum Constitutionem</w:t>
      </w:r>
      <w:r>
        <w:t xml:space="preserve"> y, en particular, si dados los hechos apreciados por el órgano judicial, la aplicación de la legalidad ha podido afectar a la integridad del derecho constitucional aquí comprometido” (STC 71/1989, de 4 de mayo, FJ 2).</w:t>
      </w:r>
    </w:p>
    <w:p w:rsidR="005728DD" w:rsidRDefault="005728DD" w:rsidP="005728DD">
      <w:pPr>
        <w:pStyle w:val="TextoNormal"/>
      </w:pPr>
    </w:p>
    <w:p w:rsidR="005728DD" w:rsidRDefault="005728DD" w:rsidP="005728DD">
      <w:pPr>
        <w:pStyle w:val="TextoNormal"/>
      </w:pPr>
      <w:r>
        <w:t xml:space="preserve">En definitiva, además de un derecho de igualdad, el art. 23.2 CE incorpora también un contenido sustantivo propio si se pone, como es preciso, en relación con el párrafo primero del mismo precepto, que preserva el derecho de todos los ciudadanos a participar en los asuntos públicos, en lo que ahora interesa, por medio de representantes, pues el concepto </w:t>
      </w:r>
      <w:r>
        <w:lastRenderedPageBreak/>
        <w:t>constitucional de representación incorpora, sin duda, una referencia a un modo de constitución democrática de determinadas instituciones públicas que debe ser respetado como contenido necesario de ambos derechos. De manera que, aunque la igualdad hubiera sido respetada, también hemos de examinar, en procesos como el que nos ocupa, si determinada norma o el acto de aplicación de esta se atempera o resulta conciliable con lo que cabe reconocer como concepto o imagen constitucionalmente garantizado de la representación política [SSTC 185/1999, de 11 de octubre, FJ 4 c), y 163/2011, de 2 de noviembre, FJ 3 c)].</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Análisis de la vulneración del art. 23.2 CE denunciada: desestimación</w:t>
      </w:r>
      <w:r>
        <w:t>.</w:t>
      </w:r>
    </w:p>
    <w:p w:rsidR="005728DD" w:rsidRDefault="005728DD" w:rsidP="005728DD">
      <w:pPr>
        <w:pStyle w:val="TextoNormal"/>
      </w:pPr>
    </w:p>
    <w:p w:rsidR="005728DD" w:rsidRDefault="005728DD" w:rsidP="005728DD">
      <w:pPr>
        <w:pStyle w:val="TextoNormal"/>
      </w:pPr>
      <w:r>
        <w:t>El problema que se nos suscita estriba en que la resolución judicial impugnada ha interpretado la legislación electoral aplicable a las elecciones que han de desarrollarse en la Comunidad de Madrid, en cuanto a la condición de elector y elegible, entendiendo que, a pesar de que los dos candidatos recurrentes ostentan la vecindad administrativa y la condición de ciudadanos de la Comunidad de Madrid, por haberse empadronado en la ciudad de Madrid el 22 y el 26 de marzo de 2021, respectivamente, sin embargo, no pueden ser candidatos, al no tener la condición de electores inscritos en el censo electoral vigente (art. 39.1 LOREG), según exige el art. 2 de la Ley de la Asamblea de Madrid 11/1986, de 16 de diciembre, electoral de la Comunidad de Madrid.</w:t>
      </w:r>
    </w:p>
    <w:p w:rsidR="005728DD" w:rsidRDefault="005728DD" w:rsidP="005728DD">
      <w:pPr>
        <w:pStyle w:val="TextoNormal"/>
      </w:pPr>
    </w:p>
    <w:p w:rsidR="005728DD" w:rsidRDefault="005728DD" w:rsidP="005728DD">
      <w:pPr>
        <w:pStyle w:val="TextoNormal"/>
      </w:pPr>
      <w:r>
        <w:t>Y no cabe subsanar esa carencia por vía del art. 4.2 de dicha Ley porque únicamente serviría si se acreditara el cumplimiento de los requisitos para haber estado inscrito en dicho censo electoral, lo que no ocurre en el supuesto de los candidatos, que cambiaron sus domicilios a Madrid, desde otras circunscripciones electorales, con posterioridad a la fecha de cierre del censo electoral que habría de regir en las elecciones convocadas. Los demandantes de amparo discrepan de ese razonamiento considerando que carece de respaldo legal, confunde los requisitos para ostentar la titularidad del derecho de sufragio con lo que es una simple condición técnica para su ejercicio, y no es la interpretación más garantista para el pleno ejercicio del derecho fundamental al sufragio pasivo.</w:t>
      </w:r>
    </w:p>
    <w:p w:rsidR="005728DD" w:rsidRDefault="005728DD" w:rsidP="005728DD">
      <w:pPr>
        <w:pStyle w:val="TextoNormal"/>
      </w:pPr>
    </w:p>
    <w:p w:rsidR="005728DD" w:rsidRDefault="005728DD" w:rsidP="005728DD">
      <w:pPr>
        <w:pStyle w:val="TextoNormal"/>
      </w:pPr>
      <w:r>
        <w:t>a) Para dilucidar si la interpretación judicial ha sido o no conforme con el derecho fundamental de sufragio pasivo, hemos de determinar, en tanto que derecho de configuración legal, las condiciones que la legislación a la que quedan sometidas las elecciones a la Asamblea de Madrid establece para poder ser elegible. El punto de partida lo hallamos en el art. 10.8 del Estatuto de Autonomía de la Comunidad de Madrid, conforme al cual, “[s]erán electores y elegibles todos los madrileños mayores de dieciocho años de edad que estén en pleno goce de sus derechos políticos”.</w:t>
      </w:r>
    </w:p>
    <w:p w:rsidR="005728DD" w:rsidRDefault="005728DD" w:rsidP="005728DD">
      <w:pPr>
        <w:pStyle w:val="TextoNormal"/>
      </w:pPr>
    </w:p>
    <w:p w:rsidR="005728DD" w:rsidRDefault="005728DD" w:rsidP="005728DD">
      <w:pPr>
        <w:pStyle w:val="TextoNormal"/>
      </w:pPr>
      <w:r>
        <w:t>La previsión estatutaria ha de ser puesta en relación con el art. 3.1 de la Ley 11/1986 que, de forma coincidente con el art. 6.1 LOREG (como no podía ser de otra forma, pues las legislaciones electorales de las comunidades autónomas deben observar los requisitos que para el sufragio activo y pasivo contiene la regulación del régimen electoral general en sus capítulos primero y segundo del título I, de acuerdo con la disposición adicional primera, apartado 2, LOREG), establece que “[s]on elegibles los ciudadanos que poseyendo la condición de elector, de conformidad con el artículo anterior, no se encuentren incursos en alguna de las siguientes causas de inelegibilidad […]”, enumeradas en el apartado 2 del propio precepto.</w:t>
      </w:r>
    </w:p>
    <w:p w:rsidR="005728DD" w:rsidRDefault="005728DD" w:rsidP="005728DD">
      <w:pPr>
        <w:pStyle w:val="TextoNormal"/>
      </w:pPr>
    </w:p>
    <w:p w:rsidR="005728DD" w:rsidRDefault="005728DD" w:rsidP="005728DD">
      <w:pPr>
        <w:pStyle w:val="TextoNormal"/>
      </w:pPr>
      <w:r>
        <w:t>Interesa destacar que es necesario ostentar la condición de elector, lo que nos remite al art. 2, a cuyo tenor, “[e]l derecho de sufragio corresponde a los españoles mayores de edad, que gocen del mismo según el régimen electoral general y que, además, ostenten la condición política de ciudadanos de la Comunidad de Madrid, conforme el artículo 7 de su Estatuto de Autonomía” (apartado 1). Este último reconoce la condición política de ciudadanos de la comunidad a “los españoles que, de acuerdo con las leyes generales del Estado, tengan vecindad administrativa en cualquiera de sus municipios”, previsión que nos conduce al régimen establecido en los arts. 15 y 16 de la Ley 7/1985, de 2 de abril, reguladora de las bases del régimen local (complementados por las reglas del título segundo del Reglamento de población y demarcación territorial de las entidades locales, aprobado por Real Decreto 1690/1986, de 11 de julio), que contienen las normas relativas al padrón de habitantes, determinando la inscripción en el mismo la adquisición de la condición de vecino.</w:t>
      </w:r>
    </w:p>
    <w:p w:rsidR="005728DD" w:rsidRDefault="005728DD" w:rsidP="005728DD">
      <w:pPr>
        <w:pStyle w:val="TextoNormal"/>
      </w:pPr>
    </w:p>
    <w:p w:rsidR="005728DD" w:rsidRDefault="005728DD" w:rsidP="005728DD">
      <w:pPr>
        <w:pStyle w:val="TextoNormal"/>
      </w:pPr>
      <w:r>
        <w:t>Esto es, de acuerdo con lo establecido en la Ley 11/1986 y en el Estatuto de Autonomía de la Comunidad de Madrid, para ser elegible es preciso tener la condición de elector, lo que implica ser mayor de edad y ciudadano de la Comunidad de Madrid, condición que se adquiere a través de la vecindad en cualquiera de sus municipios, tras el correspondiente empadronamiento. Este presupuesto ha sido reconocido en nuestra doctrina, afirmándose en la STC 144/1999, de 22 de julio, FJ 6, que “[la] capacidad jurídica para ser elegible, la elegibilidad, es un derecho de quienes gozan ya de la capacidad jurídica para ser electores”.</w:t>
      </w:r>
    </w:p>
    <w:p w:rsidR="005728DD" w:rsidRDefault="005728DD" w:rsidP="005728DD">
      <w:pPr>
        <w:pStyle w:val="TextoNormal"/>
      </w:pPr>
    </w:p>
    <w:p w:rsidR="005728DD" w:rsidRDefault="005728DD" w:rsidP="005728DD">
      <w:pPr>
        <w:pStyle w:val="TextoNormal"/>
      </w:pPr>
      <w:r>
        <w:t xml:space="preserve">b) A estos requisitos, el art. 2.2 de la Ley 11/1986 (en los mismos términos que el art. 2.2 LOREG) añade una condición más respecto del derecho de sufragio activo: “Para su ejercicio es indispensable la inscripción en el censo electoral vigente”. Como ya se ha señalado anteriormente, el propio art. 23.2 CE condiciona el derecho fundamental que garantiza a “los requisitos que señalen las Leyes”, lo que ha dado lugar a la reiterada calificación del mismo por la doctrina de este tribunal de derecho de configuración legal (por todas, STC 287/1994, de 27 de octubre, FJ 3). En virtud de ello, solamente si el legislador impone requisitos que vulneren el contenido esencial de dicho derecho, resultarían estos inconstitucionales </w:t>
      </w:r>
      <w:r w:rsidRPr="005728DD">
        <w:rPr>
          <w:i/>
        </w:rPr>
        <w:t>ex</w:t>
      </w:r>
      <w:r>
        <w:t xml:space="preserve"> art. 53.1 CE, lo que no parece que ocurra precisamente con la exigencia de la inscripción en el censo, que este tribunal ha considerado esencial, entre otras, en la STC 73/1987, de 23 de mayo, FJ 3, en la que afirmamos que tal requisito es sin duda inexcusable para el ejercicio eficaz del derecho de sufragio pasivo, y conforme con lo que la propia Constitución prescribe, por lo cual “[a]l limitarse la Junta Electoral a cumplir los mandatos legales que así ordenan el ejercicio del derecho, no contravino, evidentemente, el derecho mismo”. Y, en relación con las comunidades autónomas, cuyas legislaciones electorales deben observar, en virtud de la disposición adicional primera, apartado 2, LOREG, los requisitos que para el sufragio activo y pasivo contiene la regulación del régimen electoral general en los capítulos primero y segundo del título I LOREG, hemos afirmado que “nada obsta para que, en principio, y en tanto no suponga vulneración del contenido esencial del derecho a ser elegido tal y como antes se señalaba, añada la legislación autonómica otros requisitos para el ejercicio de dichos derechos. En principio, según decimos, entre ellos podría encontrarse el de la inscripción censal para concurrir a las consultas electorales” (STC 86/2003, de 8 de mayo, FJ 4).</w:t>
      </w:r>
    </w:p>
    <w:p w:rsidR="005728DD" w:rsidRDefault="005728DD" w:rsidP="005728DD">
      <w:pPr>
        <w:pStyle w:val="TextoNormal"/>
      </w:pPr>
    </w:p>
    <w:p w:rsidR="005728DD" w:rsidRDefault="005728DD" w:rsidP="005728DD">
      <w:pPr>
        <w:pStyle w:val="TextoNormal"/>
      </w:pPr>
      <w:r>
        <w:t xml:space="preserve">El requisito de la inscripción en el censo que establece el art. 2.2 de la Ley 11/1986 es una condición del ejercicio del derecho a ser elector o elegible, pero no es constitutiva de </w:t>
      </w:r>
      <w:r>
        <w:lastRenderedPageBreak/>
        <w:t>esa capacidad electoral, como prueba el hecho de que puedan emplearse las oportunas certificaciones censales para votar o ser candidato. La inscripción censal es, pues, meramente declarativa (STC 144/1999, de 22 de julio, FJ 7). Este tribunal ha señalado “‘la conexión inescindible existente entre el derecho fundamental de sufragio y la inscripción censal, pues, dado que solo tendrán la condición de electores, y podrán ser elegibles, los ciudadanos que figuren inscritos en el censo […], la inclusión en este constituye un requisito indispensable para el ejercicio del derecho de sufragio. Es cierto que se trata de dos derechos de naturaleza distinta —la inscripción censal es de naturaleza declarativa de la titularidad del derecho de voto y no constitutiva de la misma—, pero no existe un derecho a tal inscripción separado del de sufragio, y este comprende el de ser inscrito en el censo’ (STC 154/1988, de 21 de julio, FJ 3). Pero, siendo ello así, compete indudablemente al legislador electoral la determinación, en expresión de este mismo órgano de garantías constitucionales, de ‘quiénes pueden elegir’ (STC 72/1984, de 14 de junio, FJ 4)” (STC 153/2014, de 25 de septiembre, FJ 3). Por otro lado, no puede perderse de vista el carácter crucial que este tribunal otorga al censo electoral, en cuanto instrumento esencial para el ejercicio del derecho de sufragio activo de acuerdo con el objeto que le asigna el art. 31.1 LOREG. “De ahí la indispensabilidad que el art. 2.2 LOREG, y sus equivalentes en las legislaciones electorales autonómicas […], establecen de la inscripción en el censo para el ejercicio de dicho derecho de sufragio activo” (STC 86/2003, de 8 de mayo, FJ 6).</w:t>
      </w:r>
    </w:p>
    <w:p w:rsidR="005728DD" w:rsidRDefault="005728DD" w:rsidP="005728DD">
      <w:pPr>
        <w:pStyle w:val="TextoNormal"/>
      </w:pPr>
    </w:p>
    <w:p w:rsidR="005728DD" w:rsidRDefault="005728DD" w:rsidP="005728DD">
      <w:pPr>
        <w:pStyle w:val="TextoNormal"/>
      </w:pPr>
      <w:r>
        <w:t>c) Por otra parte, como nos recuerda la STC 144/1999, de 22 de julio, FJ 6, la capacidad jurídica para ser elegible, la elegibilidad, es un derecho de quienes gozan ya de la capacidad jurídica para ser electores, que viene configurado negativamente por las leyes que fijan las causas de inelegibilidad, de manera que no puede negarse esa capacidad para ser elegible a quien, estando en pleno uso de sus derechos políticos, no está incurso en ninguna causa de inelegibilidad, so pena de infringir el art. 23.2 CE (STC 45/1983). Ahora bien, la consecuencia lógica de esta aseveración es la de que solo puede reclamar el amparo del art. 23.2 CE quien goza del derecho de sufragio activo. En realidad, más que ante un supuesto de inelegibilidad, estaríamos ante un caso de falta de capacidad jurídica para ser elegible.</w:t>
      </w:r>
    </w:p>
    <w:p w:rsidR="005728DD" w:rsidRDefault="005728DD" w:rsidP="005728DD">
      <w:pPr>
        <w:pStyle w:val="TextoNormal"/>
      </w:pPr>
    </w:p>
    <w:p w:rsidR="005728DD" w:rsidRDefault="005728DD" w:rsidP="005728DD">
      <w:pPr>
        <w:pStyle w:val="TextoNormal"/>
      </w:pPr>
      <w:r>
        <w:t xml:space="preserve">Así lo entendió la STC 144/1999, en su fundamento jurídico 4, al señalar que “es de suma importancia recordar que la falta de capacidad jurídica para ser elegible no debe confundirse con el instituto jurídico de la inelegibilidad; aunque tan solo sea por la circunstancia de que el propio art. 6.1 LOREG distingue ambas categorías cuando dispone que para ser elegible, además de poseer la cualidad de elector, no ha de estar incurso en una de las causas de inelegibilidad que enumera a continuación el precepto. Sea dicho esto, sin negar la evidencia de que quien no posee capacidad jurídica para ser elector no puede ser elegido por los electores, incurriendo por consiguiente en una causa genérica de inelegibilidad radical con efectos similares a las que la LOREG califica expresamente como tales. Por ello, las causas que pueden provocar la inelegibilidad de un candidato electoral no son solo las que el art. 6 LOREG dispone, pues deben sumársele aquellas otras que derivan de normas de rango legal […] que condicionan la posibilidad de ser titular del derecho a ser elegible, encuadrable en el art. 23.2 CE […]. En puridad, de concurrir alguna de estas causas que condicionan la cualidad de elector, no se está ante una causa de inelegibilidad de las que puedan hacerse valer como incompatibilidades una vez proclamados los candidatos electos (arts. 155, 178, 203 y 211 LOREG), sino ante la ausencia, lisa y llana, de capacidad jurídica para ser elegible y, en tal medida, destinatario de la voluntad del cuerpo electoral en el ejercicio de su función electiva. Razón por la que, en estos casos, el sujeto incurso en alguna de estas causas solo </w:t>
      </w:r>
      <w:r>
        <w:lastRenderedPageBreak/>
        <w:t>vería lesionado su derecho fundamental a acceder a los cargos públicos representativos si se le aplican infringiendo el principio de igualdad o en contra de lo dispuesto en el precepto legal pertinente”.</w:t>
      </w:r>
    </w:p>
    <w:p w:rsidR="005728DD" w:rsidRDefault="005728DD" w:rsidP="005728DD">
      <w:pPr>
        <w:pStyle w:val="TextoNormal"/>
      </w:pPr>
    </w:p>
    <w:p w:rsidR="005728DD" w:rsidRDefault="005728DD" w:rsidP="005728DD">
      <w:pPr>
        <w:pStyle w:val="TextoNormal"/>
      </w:pPr>
      <w:r>
        <w:t>Sobre esta cuestión resulta relevante lo que se indica en la STC 25/1992, de 24 de febrero, FJ único, en relación con la legislación electoral catalana, “que consiste en una remisión a las disposiciones estatutarias y a la normativa general estatal, ‘con las modificaciones y adaptaciones derivadas del carácter y ámbito de la consulta electoral’. Es evidente que entre esas ‘modificaciones y adaptaciones’ se encuentra, en primer lugar, la referente al círculo de ciudadanos que gozan del derecho de sufragio activo que, obviamente, serán exclusivamente los inscritos en el censo correspondiente a los municipios de las provincias catalanas. Admitido, sin ninguna dificultad, que solo tendrán derecho de sufragio activo en unas elecciones autonómicas catalanas quienes gocen de la condición política de catalanes (art. 6.1 Estatuto de Autonomía), es evidente, en aplicación del art. 6.4 de la LOREG, que establece como condición para gozar del derecho de sufragio pasivo el poseer el sufragio activo, que solo quienes puedan votar en las elecciones catalanas pueden ser presentados como candidatos”.</w:t>
      </w:r>
    </w:p>
    <w:p w:rsidR="005728DD" w:rsidRDefault="005728DD" w:rsidP="005728DD">
      <w:pPr>
        <w:pStyle w:val="TextoNormal"/>
      </w:pPr>
    </w:p>
    <w:p w:rsidR="005728DD" w:rsidRDefault="005728DD" w:rsidP="005728DD">
      <w:pPr>
        <w:pStyle w:val="TextoNormal"/>
      </w:pPr>
      <w:r>
        <w:t>d) La cuestión principal que nos ocupa es que los dos candidatos excluidos de la lista electoral del Partido Popular, pese a encontrarse empadronados en Madrid antes de la presentación de la candidatura, no reúnen los requisitos legales necesarios para tener capacidad jurídica como electores en las elecciones a celebrar el 4 de mayo de 2021 en la Comunidad de Madrid. En concreto, no cumplen lo dispuesto en el art. 2.2 de la Ley 11/1986, que, como antes se ha indicado, exige de manera indispensable, para el ejercicio del derecho de sufragio activo, la inscripción en el censo electoral vigente, expresión esta última que ha de ser puesta en conexión con lo que determina el art. 39.1 LOREG (de aplicación por remisión de la disposición adicional segunda de la Ley 11/1986 al título primero de la LOREG, para todo lo no previsto en ella), conforme al cual, para cada elección, “el censo electoral vigente será el cerrado el día primero del segundo mes anterior a la convocatoria”, sin que quepan ulteriores incorporaciones con posterioridad a esa fecha, ya que el art. 39.3 LOREG, al regular la reclamación en relación con los datos censales, dispone de manera terminante que “[n]o serán tenidas en cuenta para la elección convocada las que reflejen un cambio de residencia de una circunscripción a otra, realizado con posterioridad a la fecha de cierre del censo para cada elección, debiendo ejercer su derecho en la sección correspondiente a su domicilio anterior”.</w:t>
      </w:r>
    </w:p>
    <w:p w:rsidR="005728DD" w:rsidRDefault="005728DD" w:rsidP="005728DD">
      <w:pPr>
        <w:pStyle w:val="TextoNormal"/>
      </w:pPr>
    </w:p>
    <w:p w:rsidR="005728DD" w:rsidRDefault="005728DD" w:rsidP="005728DD">
      <w:pPr>
        <w:pStyle w:val="TextoNormal"/>
      </w:pPr>
      <w:r>
        <w:t>Esa carencia que presentan los candidatos recurrentes implica, según la legislación electoral aplicable y la doctrina constitucional expuesta, que no pueden ser elegibles, porque para ello sería necesario que tuvieran la condición de elector, lo que conlleva no solo ostentar la titularidad del derecho de sufragio activo, sino, además, la capacidad jurídica para ejercerlo. Así, como se afirma en la STC 144/1999, de 22 de julio, FJ 6, la capacidad jurídica para ser elegible, la elegibilidad, es un derecho de quienes gozan ya de la capacidad jurídica para ser electores, siendo consecuencia lógica de esta aseveración la de que solo puede reclamar el amparo del art. 23.2 CE quien goza del derecho de sufragio activo.</w:t>
      </w:r>
    </w:p>
    <w:p w:rsidR="005728DD" w:rsidRDefault="005728DD" w:rsidP="005728DD">
      <w:pPr>
        <w:pStyle w:val="TextoNormal"/>
      </w:pPr>
    </w:p>
    <w:p w:rsidR="005728DD" w:rsidRDefault="005728DD" w:rsidP="005728DD">
      <w:pPr>
        <w:pStyle w:val="TextoNormal"/>
      </w:pPr>
      <w:r>
        <w:t>Sin embargo, en este caso, ello no es posible, porque falta el presupuesto, que este tribunal ha considerado esencial, de la oportuna inscripción de los candidatos en el censo elec</w:t>
      </w:r>
      <w:r>
        <w:lastRenderedPageBreak/>
        <w:t>toral. Esto determina, en suma, que no pueden incorporarse al cuerpo electoral con el conjunto de la ciudadanía de la Comunidad de Madrid, sino que, en el momento de presentación de su candidatura, se encuentran incluidos en otro cuerpo electoral, correspondiente a distinta circunscripción.</w:t>
      </w:r>
    </w:p>
    <w:p w:rsidR="005728DD" w:rsidRDefault="005728DD" w:rsidP="005728DD">
      <w:pPr>
        <w:pStyle w:val="TextoNormal"/>
      </w:pPr>
    </w:p>
    <w:p w:rsidR="005728DD" w:rsidRDefault="005728DD" w:rsidP="005728DD">
      <w:pPr>
        <w:pStyle w:val="TextoNormal"/>
      </w:pPr>
      <w:r>
        <w:t>Esta carencia priva de virtualidad a su representatividad, porque difícilmente pueden identificarse y representar los objetivos de un grupo electoral al que no pertenecen, cuyo derecho de sufragio activo se ha de proteger.</w:t>
      </w:r>
    </w:p>
    <w:p w:rsidR="005728DD" w:rsidRDefault="005728DD" w:rsidP="005728DD">
      <w:pPr>
        <w:pStyle w:val="TextoNormal"/>
      </w:pPr>
    </w:p>
    <w:p w:rsidR="005728DD" w:rsidRDefault="005728DD" w:rsidP="005728DD">
      <w:pPr>
        <w:pStyle w:val="TextoNormal"/>
      </w:pPr>
      <w:r>
        <w:t>Como previene la STC 144/1999, de 22 de julio, FJ 4, el “derecho constitucional a participar en los asuntos públicos por medio de representantes libremente elegidos no lo es para elegir candidatos declarados inelegibles, pues de otra manera, si se pudiese ejercer el derecho de sufragio para elegir como representante a quien no puede serlo por incurrir en una causa que impide su elección por faltarle la capacidad para ser elegible, prevista por la ley electoral, no solo se estaría soslayando el hecho de que es la ley la que fija los requisitos y los términos en los que debe producirse la elección de representantes de los ciudadanos (art. 23.2 CE), y en esa medida el objeto y contenido de los derechos de participación política del art. 23 CE (SSTC 78/1987, 24/1990), sino que, además, se estaría alterando gravemente la voluntad del cuerpo electoral”.</w:t>
      </w:r>
    </w:p>
    <w:p w:rsidR="005728DD" w:rsidRDefault="005728DD" w:rsidP="005728DD">
      <w:pPr>
        <w:pStyle w:val="TextoNormal"/>
      </w:pPr>
    </w:p>
    <w:p w:rsidR="005728DD" w:rsidRDefault="005728DD" w:rsidP="005728DD">
      <w:pPr>
        <w:pStyle w:val="TextoNormal"/>
      </w:pPr>
      <w:r>
        <w:t>Ahora bien, teniendo en cuenta la reforma de la LOREG por la Ley Orgánica 2/2011, de 28 de enero, que prohíbe la incorporación como electores de quienes cambien de residencia después de la fecha del cierre del censo de cada elección, ha de entenderse que desde la entrada en vigor de esta ley, el censo y su reconocimiento de estar censado se retrotrae a los dos meses anteriores a la convocatoria electoral. El art. 35 de esta ley dice que “[p]ara la actualización mensual del censo los ayuntamientos enviarán a las delegaciones provinciales de la oficina del censo electoral, hasta el penúltimo día hábil de cada mes, y en la forma prevista por las instrucciones de dicho organismo, todas las modificaciones del padrón producidas en dicho mes”. Con ello, se da cumplimiento a la exigencia de reforzar las garantías para impedir que los denominados empadronamientos fraudulentos o de conveniencia con fines electorales consigan su objetivo. Por eso, la exposición de motivos de la ley consideró que “parece conveniente anticipar un mes la definición de censo cerrado para cada elección, así como excluir la posibilidad de solicitar la rectificación del censo por cambio de residencia de una circunscripción a otra producido en los meses anteriores a la convocatoria electoral, plazo que será de un año para los españoles que residen en el exterior. Además, a fin de evitar que las posibles irregularidades por empadronamientos fraudulentos o de conveniencia tengan efectos electorales, se incorpora un recurso específico unificando en la jurisdicción contencioso-administrativa la revisión de los actos censales”.</w:t>
      </w:r>
    </w:p>
    <w:p w:rsidR="005728DD" w:rsidRDefault="005728DD" w:rsidP="005728DD">
      <w:pPr>
        <w:pStyle w:val="TextoNormal"/>
      </w:pPr>
    </w:p>
    <w:p w:rsidR="005728DD" w:rsidRDefault="005728DD" w:rsidP="005728DD">
      <w:pPr>
        <w:pStyle w:val="TextoNormal"/>
      </w:pPr>
      <w:r>
        <w:t xml:space="preserve">Los recurrentes tratan de soslayar el anterior obstáculo alegando que la inscripción en el censo electoral no es un requisito necesario, pues su falta puede ser suplida en los términos del art. 4.2 de la Ley 11/1986, que, con expresión coincidente con el art. 7.2 LOREG, permite a los que aspiren a ser proclamados candidatos “y no figuren incluidos en las listas del censo electoral vigente, referido al territorio de la Comunidad de Madrid”, que puedan serlo, siempre que con la solicitud acrediten, de modo fehaciente, que reúnen todas las condiciones exigidas para ello. Entienden los actores que dicha norma permite eludir la necesidad de la inscripción censal, y que basta con acreditar que se cumplen los requisitos para ser elegible como candidato, siendo suficiente, a tal efecto, la justificación de la vecindad a través de la </w:t>
      </w:r>
      <w:r>
        <w:lastRenderedPageBreak/>
        <w:t>correspondiente certificación de empadronamiento. Apoyan tal entendimiento de la norma de la ley electoral en la STC 86/2003, de 8 de mayo, que, a su entender, dispensa de la necesidad de inscripción censal.</w:t>
      </w:r>
    </w:p>
    <w:p w:rsidR="005728DD" w:rsidRDefault="005728DD" w:rsidP="005728DD">
      <w:pPr>
        <w:pStyle w:val="TextoNormal"/>
      </w:pPr>
    </w:p>
    <w:p w:rsidR="005728DD" w:rsidRDefault="005728DD" w:rsidP="005728DD">
      <w:pPr>
        <w:pStyle w:val="TextoNormal"/>
      </w:pPr>
      <w:r>
        <w:t>Tal interpretación no puede admitirse. En primer lugar, porque convierte en meramente potestativa la regla del art. 2.2 de la Ley 11/1986, según la cual resulta indispensable para el ejercicio del derecho de sufragio activo la inscripción en el censo electoral vigente, previsión que, a su vez, se conecta con la del art. 3.1 de la misma Ley respecto del derecho de sufragio pasivo, siendo así que este tribunal ha destacado la importancia de la inscripción censal, en cuanto “requisito imprescindible para el ejercicio del derecho de sufragio y definido este en términos idénticos para todo tipo de consultas electorales (arts. 2 y 3 de la LOREG)” (STC 154/1988, de 21 de julio, FJ 5).</w:t>
      </w:r>
    </w:p>
    <w:p w:rsidR="005728DD" w:rsidRDefault="005728DD" w:rsidP="005728DD">
      <w:pPr>
        <w:pStyle w:val="TextoNormal"/>
      </w:pPr>
    </w:p>
    <w:p w:rsidR="005728DD" w:rsidRDefault="005728DD" w:rsidP="005728DD">
      <w:pPr>
        <w:pStyle w:val="TextoNormal"/>
      </w:pPr>
      <w:r>
        <w:t>Cuando el legislador ha establecido, legítimamente, según hemos señalado anteriormente, el requisito de la inscripción censal, su previsión está llamada a ser respetada y a exigirse en los procesos electorales, pues ello resulta acorde con “la exigencia de que las normas electorales sean cumplidas en cuanto constituyen garantía del correcto desarrollo de la elección de modo que culmine con la proclamación de los candidatos que hayan sido preferidos por el cuerpo electoral” (STC 71/1989, de 20 de abril, FJ 3).</w:t>
      </w:r>
    </w:p>
    <w:p w:rsidR="005728DD" w:rsidRDefault="005728DD" w:rsidP="005728DD">
      <w:pPr>
        <w:pStyle w:val="TextoNormal"/>
      </w:pPr>
    </w:p>
    <w:p w:rsidR="005728DD" w:rsidRDefault="005728DD" w:rsidP="005728DD">
      <w:pPr>
        <w:pStyle w:val="TextoNormal"/>
      </w:pPr>
      <w:r>
        <w:t>En segundo lugar, la doctrina establecida en la STC 86/2003 no permite entender que el requisito de la inscripción censal pueda ser sustituido en todo caso por la acreditación del cumplimiento de los requisitos para ser candidato. Dicho pronunciamiento se refiere a un supuesto muy concreto, distinto del caso de los actores, en el que un candidato fue excluido de la candidatura a las elecciones autonómicas en Castilla y León por la Junta Electoral, por no aportar el correspondiente certificado censal, al no encontrarse inscrito en el censo electoral debido a un error, pese a ser residente en Burgos desde agosto de 1953 y haber participado en anteriores comicios, como acreditó documentalmente.</w:t>
      </w:r>
    </w:p>
    <w:p w:rsidR="005728DD" w:rsidRDefault="005728DD" w:rsidP="005728DD">
      <w:pPr>
        <w:pStyle w:val="TextoNormal"/>
      </w:pPr>
    </w:p>
    <w:p w:rsidR="005728DD" w:rsidRDefault="005728DD" w:rsidP="005728DD">
      <w:pPr>
        <w:pStyle w:val="TextoNormal"/>
      </w:pPr>
      <w:r>
        <w:t>La cuestión allí resuelta era diferente a la que aquí se suscita, pues, concedido el trámite de subsanación por la Junta Electoral, el recurrente en amparo aportó la documentación acreditativa de que reunía los requisitos necesarios para ostentar la cualidad de elector y de elegible y figurar inscrito en el censo, y, sin embargo, no se le admitió esa opción, impidiéndole la alternativa de subsanar la carencia de acreditación de la inscripción en el censo.</w:t>
      </w:r>
    </w:p>
    <w:p w:rsidR="005728DD" w:rsidRDefault="005728DD" w:rsidP="005728DD">
      <w:pPr>
        <w:pStyle w:val="TextoNormal"/>
      </w:pPr>
    </w:p>
    <w:p w:rsidR="005728DD" w:rsidRDefault="005728DD" w:rsidP="005728DD">
      <w:pPr>
        <w:pStyle w:val="TextoNormal"/>
      </w:pPr>
      <w:r>
        <w:t xml:space="preserve">El recurso por parte del tribunal al art. 7.2 LOREG (de similar formulación al art. 4.2 de la Ley 11/1986) en aquel supuesto obedeció a que, como se señalaba en el fundamento jurídico 8, “frente a la previsión legal en la Ley Orgánica del régimen electoral general desde su adición por Ley Orgánica 3/1995, de 23 de marzo, de certificaciones censales específicas para acreditar con carácter excepcional su inscripción en el censo electoral quien desee ejercer su derecho al sufragio activo (art. 85.5), no aparece una posibilidad equivalente para quien quiera hacer lo propio con el derecho de sufragio pasivo, de modo que no se vislumbra otra alternativa de subsanación de los fallos de inscripción en el censo que no sea la presentación de documentos que acrediten la posesión de los requisitos de elegibilidad como, en efecto, posibilita el art. 7.2 LOREG”. Y añadimos que la inexistencia de previsión de la posibilidad de aportar una certificación censal específica en el caso de la vertiente pasiva del derecho de sufragio, “parece abocar a interpretar como necesariamente equivalente a tal posibilidad la previsión del art. 7.2 de dicho cuerpo legal y sus correlativos en prácticamente </w:t>
      </w:r>
      <w:r>
        <w:lastRenderedPageBreak/>
        <w:t>todas las legislaciones electorales autonómicas, so pena, en caso contrario, de tener que concluir que el derecho de sufragio pasivo no admite modo de subsanación en el supuesto de error censal inadvertido por su titular, conclusión que aparece de todo punto inadmisible respecto de un derecho en el que se fundamenta el sistema democrático” (FJ 7). Es decir, esta opción se vinculó exclusivamente a los supuestos de errores censales, en los que el candidato carece de otro mecanismo para poder justificar el cumplimiento de los requisitos precisos para ser elegible, entre ellos, por supuesto, como se señala en la resolución recurrida, el haber estado en condiciones de figurar incorporado al censo electoral vigente que ha de servir al proceso electoral de que se trata. Y este es el entendimiento que ha de efectuarse respecto del art. 4.2 de la Ley 11/1986: permitir su presentación como candidatos a aquellos electores que, debiendo figurar en el censo vigente, no constan en el mismo debido a un error en los listados, dándoles la oportunidad de acreditar su derecho a la inscripción, al margen de los procedimientos de rectificación censal previstos en la LOREG.</w:t>
      </w:r>
    </w:p>
    <w:p w:rsidR="005728DD" w:rsidRDefault="005728DD" w:rsidP="005728DD">
      <w:pPr>
        <w:pStyle w:val="TextoNormal"/>
      </w:pPr>
    </w:p>
    <w:p w:rsidR="005728DD" w:rsidRDefault="005728DD" w:rsidP="005728DD">
      <w:pPr>
        <w:pStyle w:val="TextoNormal"/>
      </w:pPr>
      <w:r>
        <w:t>No es este, sin embargo, el caso de los dos candidatos recurrentes, que, al momento que determina el art. 39.1 LOREG, ni estaban en situación de obtener la vecindad de la Comunidad de Madrid ni, por supuesto, de quedar inscritos en dicho censo en tal condición de ciudadanos de la comunidad autónoma, pues, como ya quedó reseñado anteriormente, se inscribieron en el padrón de habitantes de la ciudad de Madrid con posterioridad a la convocatoria de las elecciones a la asamblea autonómica, en concreto, en fechas 22 y 26 de marzo de 2021, respectivamente.</w:t>
      </w:r>
    </w:p>
    <w:p w:rsidR="005728DD" w:rsidRDefault="005728DD" w:rsidP="005728DD">
      <w:pPr>
        <w:pStyle w:val="TextoNormal"/>
      </w:pPr>
    </w:p>
    <w:p w:rsidR="005728DD" w:rsidRDefault="005728DD" w:rsidP="005728DD">
      <w:pPr>
        <w:pStyle w:val="TextoNormal"/>
      </w:pPr>
      <w:r>
        <w:t>No puede dejar de destacarse, además, que en la STC 86/2003 también se refirió este tribunal a la diligencia que deben mostrar quienes pretenden participar en el proceso electoral, afirmando en su FJ 6 que “‘los procesos electorales, dada su naturaleza, su regulación y la función que cumplen, exigen la mayor colaboración y diligencia posible por parte de todas las personas y actores políticos que en ellos participan’ (STC 67/1987, de 21 de mayo, FJ 2), diligencia especialmente requerida a quienes más interesados en el proceso electoral se presume, y que por ello mismo más vigilantes deben estar [STC 80/2002, de 8 de abril, FJ 3 a)]”, para referirse al final del fundamento jurídico 7 a “la incidencia de la concreta actitud de quien pretende ser elegido ante la inexistencia de su inscripción censal, esto es, su diligencia o la falta de ella para acreditar lo que persigue la exigencia de la misma, que es demostrar que se reúnen los requisitos para poder ser elegible”.</w:t>
      </w:r>
    </w:p>
    <w:p w:rsidR="005728DD" w:rsidRDefault="005728DD" w:rsidP="005728DD">
      <w:pPr>
        <w:pStyle w:val="TextoNormal"/>
      </w:pPr>
    </w:p>
    <w:p w:rsidR="005728DD" w:rsidRDefault="005728DD" w:rsidP="005728DD">
      <w:pPr>
        <w:pStyle w:val="TextoNormal"/>
      </w:pPr>
      <w:r>
        <w:t xml:space="preserve">e) Tampoco permite cambiar la conclusión alcanzada el principio de interpretación más favorable a la efectividad del derecho fundamental invocado insistentemente en la demanda. Es cierto que, según una doctrina constante y reiterada de este tribunal, el derecho reconocido en el art. 23.2 CE “en cuanto se proyecta sobre el ejercicio de los derechos de sufragio [...] adquiere una especial densidad constitucional que se manifiesta en la obligación [...] de que tanto la administración electoral como los jueces y tribunales al revisar los actos y resoluciones dictados por aquella, opten por la interpretación de la legalidad más favorable a la eficacia de tales derechos” (STC 87/1999, de 25 de mayo FJ 3). Ahora bien, también hemos de tener en cuenta que los derechos de participación reconocidos en el art. 23 CE han de ejercerse en el marco establecido por la Ley Orgánica del régimen electoral general, que los desarrolla y concreta, de modo que los límites establecidos en ella no pueden enervarse ni alterarse por la vía de la interpretación más favorable al derecho fundamental pues, si así fuera, quedaría en manos del intérprete, y no en las del legislador (a quien la Constitución, en sus arts. 53.1, 23.2 y 81.1, atribuye tal potestad) la fijación de los contornos del derecho </w:t>
      </w:r>
      <w:r>
        <w:lastRenderedPageBreak/>
        <w:t>(SSTC 74/1995, de 12 de mayo, FJ único, y 26/2004, de 26 de febrero, FJ 6). Y, en el supuesto que nos ocupa, como ya se ha expuesto, existe una normativa electoral muy precisa, de la que se deriva claramente en qué términos han de ejercerse los derechos de sufragio activo y pasivo, por lo que no ha lugar a desvirtuar o dejar sin ningún efecto las reglas establecidas por el legislador so pretexto de la invocación del principio de interpretación más favorable.</w:t>
      </w:r>
    </w:p>
    <w:p w:rsidR="005728DD" w:rsidRDefault="005728DD" w:rsidP="005728DD">
      <w:pPr>
        <w:pStyle w:val="TextoNormal"/>
      </w:pPr>
    </w:p>
    <w:p w:rsidR="005728DD" w:rsidRDefault="005728DD" w:rsidP="005728DD">
      <w:pPr>
        <w:pStyle w:val="TextoNormal"/>
      </w:pPr>
      <w:r>
        <w:t>Además, hay una circunstancia añadida en este caso, que debe tenerse presente a la hora de aplicar ese principio: aquí no se encuentra comprometido solamente el derecho de sufragio pasivo de los recurrentes, sino que concurre con el mismo, al unísono, otro derecho estrechamente entrelazado con él, el proclamado en el art. 23.1 CE a favor de los ciudadanos para participar en los asuntos públicos directamente o mediante representantes libremente elegidos. Conjuntamente, encarnan la participación política de los ciudadanos en el sistema democrático, en conexión con los principios de soberanía del pueblo y de pluralismo político consagrados en el art. 1 de la Constitución (STC 71/1989, de 20 de noviembre, FJ 3). Esa conexión íntima entre ambos no puede desconocerse a la hora de interpretarlos, pues los dos derechos “son aspectos indisociables de una misma institución, nervio y sustento de la democracia: el sufragio universal, libre, igual, directo y secreto” (STC 24/1990, de 15 de febrero, FJ 2). Se trata de dos modalidades o vertientes del mismo principio de representación política, que presentan una estrecha relación con el principio democrático, manifestación, a su vez, de la soberanía popular (STC 167/2001, de 16 de julio, FJ 5), lo que no significa, a pesar de su interdependencia, que no sean susceptibles de tratamiento autónomo, tal y como permite el reconocimiento diferenciado que de los mismos efectúa el art. 23 CE (STC 71/1989, de 20 de noviembre, FJ 3).</w:t>
      </w:r>
    </w:p>
    <w:p w:rsidR="005728DD" w:rsidRDefault="005728DD" w:rsidP="005728DD">
      <w:pPr>
        <w:pStyle w:val="TextoNormal"/>
      </w:pPr>
    </w:p>
    <w:p w:rsidR="005728DD" w:rsidRDefault="005728DD" w:rsidP="005728DD">
      <w:pPr>
        <w:pStyle w:val="TextoNormal"/>
      </w:pPr>
      <w:r>
        <w:t>Pero es importante destacar el sentido democrático que en nuestra Constitución (art. 1.2) reviste el principio del origen popular del poder, que obliga a entender que la titularidad de los cargos y oficios públicos solo es legítima cuando puede ser referida, de manera mediata o inmediata, a un acto concreto de expresión de la voluntad popular. Es obvio, sin embargo, que pese a esta identidad de legitimación de todos los titulares de cargos y funciones públicas, “solo se denominan representantes aquellos cuya designación resulta directamente de la elección popular, esto es, aquellos cuya legitimación resulta inmediatamente de la elección de los ciudadanos” (STC 10/1983, de 21 de febrero, FJ 2). La última palabra la tiene, pues, el cuerpo electoral, a partir de cuya voluntad, expresada en la elección, nace la representación. Así lo reconocimos en la STC 10/1983, FJ 4, precisando que “las listas de candidatos son simples propuestas y la representación, en el sentido jurídico-político del término, surge solo con la elección y es siempre representación del cuerpo electoral y nunca del autor de la propuesta [...]. Una vez elegidos, los representantes no lo son de quienes los votaron, sino de todo el cuerpo electoral”. Se atisba, de esta manera, una mayor subordinación del derecho al sufragio pasivo respecto del derecho que consagra el art. 23.1 CE, que lo va a hacer depender, en último término, del conjunto del cuerpo electoral y de su voluntad expresada en el proceso electoral.</w:t>
      </w:r>
    </w:p>
    <w:p w:rsidR="005728DD" w:rsidRDefault="005728DD" w:rsidP="005728DD">
      <w:pPr>
        <w:pStyle w:val="TextoNormal"/>
      </w:pPr>
    </w:p>
    <w:p w:rsidR="005728DD" w:rsidRDefault="005728DD" w:rsidP="005728DD">
      <w:pPr>
        <w:pStyle w:val="TextoNormal"/>
      </w:pPr>
      <w:r>
        <w:t xml:space="preserve">Pues bien, en este caso, la interpretación que realiza la resolución judicial impugnada es absolutamente coherente y respetuosa con la garantía institucional de la representación política resultante del art. 23 CE, y que el legislador ha configurado de acuerdo con los principios constitucionales, ya que es la que permite cohonestar los dos apartados del mismo al tiempo que deja incólume el derecho de sufragio activo de los ciudadanos integrantes del </w:t>
      </w:r>
      <w:r>
        <w:lastRenderedPageBreak/>
        <w:t>cuerpo electoral, que, como se ha expuesto más arriba, ha de ser objeto de protección, junto con la voluntad de dicho cuerpo electoral, que no debe verse alterada (STC 144/1999, de 22 de julio, FJ 4). En cambio, la interpretación que preconiza la parte actora daría lugar a la postergación del otro derecho, que se vería sacrificado en beneficio del derecho de sufragio pasivo que invocan los candidatos sin el debido amparo en la legislación electoral que rige el proceso abierto en la Comunidad de Madrid, todo lo cual, por extensión, implicaría una clara distorsión de la representación política, que no respondería en este caso a los presupuestos y fines que le son propios.</w:t>
      </w:r>
    </w:p>
    <w:p w:rsidR="005728DD" w:rsidRDefault="005728DD" w:rsidP="005728DD">
      <w:pPr>
        <w:pStyle w:val="TextoNormal"/>
      </w:pPr>
    </w:p>
    <w:p w:rsidR="005728DD" w:rsidRDefault="005728DD" w:rsidP="005728DD">
      <w:pPr>
        <w:pStyle w:val="TextoNormal"/>
      </w:pPr>
      <w:r>
        <w:t>f) Finalmente, ha de descartarse que sirva para variar el criterio sentado por este tribunal la invocación por los demandantes de determinados acuerdos de la Junta Electoral Central que, según sostienen, serían coincidentes con la posición que ellos mantienen. Este tribunal ya ha reconocido las peculiaridades y la relevancia que tienen las Juntas Electorales en el desarrollo de los distintos procesos electorales, en la medida en que constituyen una específica administración de garantía instituida por el legislador para garantizar “la transparencia y objetividad del proceso electoral y del principio de igualdad —art. 8.1 de la LOREG—” (STC 197/1988, de 24 de octubre, FFJJ 2 y 4). Son especialmente importantes las funciones que se asignan a la Junta Electoral Central en el art. 19.1 LOREG, de entre las que destacan las de cursar instrucciones de obligado cumplimiento a las Juntas Electorales Provinciales y, en su caso, de comunidad autónoma, en cualquier materia electoral; resolver con carácter vinculante las consultas que le eleven las Juntas Provinciales y, en su caso, las de comunidad autónoma; revocar de oficio en cualquier tiempo o, a instancia de parte interesada las decisiones de las Juntas Electorales Provinciales y, en su caso, de comunidad autónoma, cuando se opongan a la interpretación de la normativa electoral realizada por la Junta Electoral Central; y unificar los criterios interpretativos de las Juntas Electorales, Provinciales y, en su caso, de comunidad autónoma en la aplicación de la normativa electoral [párrafos c), d), e) y f)].</w:t>
      </w:r>
    </w:p>
    <w:p w:rsidR="005728DD" w:rsidRDefault="005728DD" w:rsidP="005728DD">
      <w:pPr>
        <w:pStyle w:val="TextoNormal"/>
      </w:pPr>
    </w:p>
    <w:p w:rsidR="005728DD" w:rsidRDefault="005728DD" w:rsidP="005728DD">
      <w:pPr>
        <w:pStyle w:val="TextoNormal"/>
      </w:pPr>
      <w:r>
        <w:t>En cualquier caso, los acuerdos invocados o contienen menciones que se refieren a las elecciones locales (Instrucción 1/1991, de 4 de abril), o a las elecciones generales (Instrucción 1/2000, de 20 de enero), o, incluso, establecen criterios que van en contra de lo sostenido por los demandantes de amparo, como es el supuesto del acuerdo 700/1995, de 24 de mayo, que determina que quien no realizó la oportuna reclamación contra la omisión de la inscripción en las listas del censo tendría que ejercer el derecho de sufragio en el anterior domicilio, o el del acuerdo 130/1999, de 27 de abril, sobre la aceptación de reclamaciones por cambio de domicilio a municipios distintos del que figura en el censo vigente para las elecciones, “siempre que el cambio de domicilio fuese anterior a la fecha de publicación del Decreto de convocatoria”, siguiendo este mismo criterio el acuerdo 167/1995, de 7 de abril. Lo cierto es que esos acuerdos e instrucciones no ponen de relieve un criterio claro en cuanto al modo de actuar en relación con las elecciones a las asambleas autonómicas.</w:t>
      </w:r>
    </w:p>
    <w:p w:rsidR="005728DD" w:rsidRDefault="005728DD" w:rsidP="005728DD">
      <w:pPr>
        <w:pStyle w:val="TextoNormal"/>
      </w:pPr>
    </w:p>
    <w:p w:rsidR="005728DD" w:rsidRDefault="005728DD" w:rsidP="005728DD">
      <w:pPr>
        <w:pStyle w:val="TextoNormal"/>
      </w:pPr>
      <w:r>
        <w:t xml:space="preserve">Debe destacarse muy especialmente lo que se señala en la STC 86/2003, de 8 de mayo, FJ 4, sobre la instrucción de la Junta Electoral Central de 15 de marzo de 1999 (sobre elecciones locales y al Parlamento Europeo), reiterada en la instrucción de 20 de enero de 2000 para las elecciones generales, que contemplaba en la norma primera, apartado 2, que la inscripción en el censo o en el padrón municipal de habitantes, de los ciudadanos españoles, no era condición necesaria para ser candidato, sobre lo cual precisó este tribunal que la norma “se refiere a los candidatos españoles a los comicios municipales y al Parlamento </w:t>
      </w:r>
      <w:r>
        <w:lastRenderedPageBreak/>
        <w:t>Europeo, mientras que a los no españoles se les exige taxativamente tal inscripción en el censo (norma segunda 3). Y, sobre todo, en lo que aquí interesa, la norma tercera y última de dicha instrucción establece que ‘[e]n relación con las elecciones a las asambleas legislativas de las comunidades autónomas, las juntas electorales competentes se atendrán, en cuanto a la exigencia de que los candidatos no estén sujetos a penas que les inhabiliten para el acceso al correspondiente cargo electivo, a lo previsto al respecto en la norma primera de la presente instrucción, sin perjuicio de lo que en cada elección a asamblea legislativa resulte exigible’, inciso este último del que acaso cabe inferir la posibilidad de exigencia de inscripción en el censo electoral a quienes pretendan formar parte de dichos cuerpos legislativos”. En definitiva, lo que vinimos a concluir es que habrá que estar, en cada caso, a lo que determine la normativa aplicable a las elecciones autonómicas.</w:t>
      </w:r>
    </w:p>
    <w:p w:rsidR="005728DD" w:rsidRDefault="005728DD" w:rsidP="005728DD">
      <w:pPr>
        <w:pStyle w:val="TextoNormal"/>
      </w:pPr>
    </w:p>
    <w:p w:rsidR="005728DD" w:rsidRDefault="005728DD" w:rsidP="005728DD">
      <w:pPr>
        <w:pStyle w:val="TextoNormal"/>
      </w:pPr>
      <w:r>
        <w:t>Por todas las razones hasta aquí expuestas debemos concluir que la sentencia del Juzgado de lo Contencioso-Administrativo núm. 5 de Madrid no ha vulnerado el derecho de sufragio pasivo de los demandantes de amparo, en la medida en que realizó una interpretación de la legalidad aplicable a las elecciones a la Asamblea de Madrid absolutamente acorde con las exigencias del art. 23 CE.</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Acceso en condiciones de igualdad a los cargos públicos electivos: desestimación de la queja</w:t>
      </w:r>
      <w:r>
        <w:t>.</w:t>
      </w:r>
    </w:p>
    <w:p w:rsidR="005728DD" w:rsidRDefault="005728DD" w:rsidP="005728DD">
      <w:pPr>
        <w:pStyle w:val="TextoNormal"/>
      </w:pPr>
    </w:p>
    <w:p w:rsidR="005728DD" w:rsidRDefault="005728DD" w:rsidP="005728DD">
      <w:pPr>
        <w:pStyle w:val="TextoNormal"/>
      </w:pPr>
      <w:r>
        <w:t>La última queja cuyo análisis nos queda por abordar (segunda de las planteadas en la demanda), denuncia la vulneración del derecho de acceso en condiciones de igualdad a los cargos públicos electivos, al exigirse a los candidatos requisitos que, según afirman, no se han requerido en ningún proceso electoral anterior. Este planteamiento, en realidad, puede entenderse subsumido en la primera queja, de la que es una consecuencia, y que, por ello, debe seguir su misma suerte. Frente al mismo ha de objetarse que el art. 23.2 CE consagra y protege el derecho de acceso en condiciones de igualdad a los cargos públicos, pero no el acceso indiscriminado, sino que, como se ha dicho, ha de ser “con los requisitos que señalen las leyes” (STC 72/1987, de 23 de mayo, FJ único), y lo que los demandantes pretenden es que se prescinda de esos requisitos, con el argumento de que no han sido exigidos en anteriores procesos electorales, lo cual no sería otra cosa que santificar una práctica contraria a la exigencia antes expuesta de que las normas electorales sean cumplidas, lo que daría lugar a que fueran entendidas como meros ritos, establecidos a capricho del legislador, de los que se puede prescindir sin inconveniente alguno, interpretación que, desde la perspectiva del art. 23 CE, no puede aceptarse.</w:t>
      </w:r>
    </w:p>
    <w:p w:rsidR="005728DD" w:rsidRDefault="005728DD" w:rsidP="005728DD">
      <w:pPr>
        <w:pStyle w:val="TextoNormal"/>
      </w:pPr>
    </w:p>
    <w:p w:rsidR="005728DD" w:rsidRDefault="005728DD" w:rsidP="005728DD">
      <w:pPr>
        <w:pStyle w:val="TextoNormal"/>
      </w:pPr>
      <w:r>
        <w:t xml:space="preserve">La cuestión que proponen los actores revela el ofrecimiento de un término de comparación genérico, sin concreción, en relación con otros casos de candidatos que, en la misma situación, hayan recibido en el proceso electoral un trato diferente por parte del mismo órgano electoral, que permitiera realizar el juicio de igualdad, sin que baste a tal efecto referirse, sin mayor especificación, a los precedentes procesos electorales, ya que, en último término, lo que debe prevalecer, como se ha dicho y se reitera, es la correcta aplicación de la normativa electoral, acorde con las exigencias del art. 23 CE, sin que la práctica previa no ajustada a la misma pueda servir como fundamento de la pretensión de amparo. Es de añadir que, de acuerdo con una reiterada doctrina jurisprudencial, el derecho a la igualdad, dado su carácter relacional, solo puede entenderse como igualdad en la legalidad, ámbito dentro del cual siempre ha de operar (SSTC 37/1982, de 16 de junio, FJ 3; 29/1987, de 6 de </w:t>
      </w:r>
      <w:r>
        <w:lastRenderedPageBreak/>
        <w:t>marzo, FJ 7; 127/1988, de 24 de junio, FJ 4, y 131/1988, de 4 de julio, FJ 4, por todas). Y, junto a ello, se ha de significar que el art. 23.2 CE señala al legislador de modo expreso la necesidad de que el derecho que proclama sea ejercido “en condiciones de igualdad”, exigencia en la que no cabe ver sino una concreción del principio que, con carácter general, se reconoce en el art. 14 CE (STC 75/1985, FJ 4). Se trata de una igualdad en la Ley, o, como el mismo art. 23.2 CE establece, de una igualdad referida a las condiciones legales en que el conjunto de un proceso electoral se desarrolla, por lo que la igualdad, por tanto, ha de verificarse dentro del sistema electoral que libremente sea determinado por el legislador, impidiendo las diferencias discriminatorias, pero a partir de las reglas del sistema y no por referencia a cualquier otro (STC 225/1998, de 25 de noviembre, FJ 4). Y, en este caso, las normas son iguales para todos los candidatos, al margen de hipotéticas aplicaciones desviadas de la legislación electoral que hayan podido realizarse, que no pueden servir para aducir una vulneración de la igualdad que preconiza el art. 23.2 CE.</w:t>
      </w:r>
    </w:p>
    <w:p w:rsidR="005728DD" w:rsidRDefault="005728DD" w:rsidP="005728DD">
      <w:pPr>
        <w:pStyle w:val="TextoNormal"/>
      </w:pPr>
    </w:p>
    <w:p w:rsidR="005728DD" w:rsidRDefault="005728DD" w:rsidP="005728DD">
      <w:pPr>
        <w:pStyle w:val="TextoNormal"/>
      </w:pPr>
      <w:r>
        <w:t>En definitiva, esta queja también debe ser desestimada.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el Partido Popular, don Antonio Cantó García del Moral y don Agustín Conde Bajén.</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quince de abril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Andrés Ollero Tassara, en relación con la sentencia dictada por la Sala Primera en el recurso de amparo electoral núm. 2117-2021</w:t>
      </w:r>
    </w:p>
    <w:p w:rsidR="005728DD" w:rsidRDefault="005728DD" w:rsidP="005728DD">
      <w:pPr>
        <w:pStyle w:val="TextoNormalNegritaCentrado"/>
        <w:keepNext/>
      </w:pPr>
    </w:p>
    <w:p w:rsidR="005728DD" w:rsidRDefault="005728DD" w:rsidP="005728DD">
      <w:pPr>
        <w:pStyle w:val="TextoNormal"/>
      </w:pPr>
      <w:r>
        <w:t>Con el máximo respeto a la posición de la mitad de la Sala, enriquecida por el voto de calidad de su presidente, y en ejercicio de la facultad conferida por el artículo 90.2 LOTC, formulo voto particular respecto de la sentencia, aún sin número, relativa al recurso citado en el encabezamiento.</w:t>
      </w:r>
    </w:p>
    <w:p w:rsidR="005728DD" w:rsidRDefault="005728DD" w:rsidP="005728DD">
      <w:pPr>
        <w:pStyle w:val="TextoNormal"/>
      </w:pPr>
    </w:p>
    <w:p w:rsidR="005728DD" w:rsidRDefault="005728DD" w:rsidP="005728DD">
      <w:pPr>
        <w:pStyle w:val="TextoNormal"/>
      </w:pPr>
      <w:r>
        <w:t>1. La unánime admisión a trámite del recurso de amparo electoral presentado por dos posibles candidatos a la convocatoria electoral a la Asamblea de Madrid, inicialmente incluidos en una de las listas electorales, con el respaldo de la Junta Electoral Provincial, y luego excluidos de la misma por el Juzgado de lo Contencioso-Administrativo núm. 5 de Madrid, parecía presagiar —dados los usos del tribunal— una similar actitud estimatoria por parte de la Sala. En efecto, de entenderse mayoritariamente que no se había producido vulneración alguna de un derecho fundamental, lo lógico hubiera sido que ello se hubiera resuelto con una sencilla providencia de inadmisión, dada la urgencia exigida por el inminente cierre de las candidaturas.</w:t>
      </w:r>
    </w:p>
    <w:p w:rsidR="005728DD" w:rsidRDefault="005728DD" w:rsidP="005728DD">
      <w:pPr>
        <w:pStyle w:val="TextoNormal"/>
      </w:pPr>
    </w:p>
    <w:p w:rsidR="005728DD" w:rsidRDefault="005728DD" w:rsidP="005728DD">
      <w:pPr>
        <w:pStyle w:val="TextoNormal"/>
      </w:pPr>
      <w:r>
        <w:t xml:space="preserve">Por el contrario, se optó unánimemente por la admisión a trámite, reconociendo la especial transcendencia constitucional del caso, fundamentada en la ausencia de doctrina del </w:t>
      </w:r>
      <w:r>
        <w:lastRenderedPageBreak/>
        <w:t>Tribunal al respecto. No obstante, en neto desafío al principio de no contradicción, la sentencia se dispone a “recoger la reiterada doctrina de este tribunal sobre el artículo 23.2 CE”.</w:t>
      </w:r>
    </w:p>
    <w:p w:rsidR="005728DD" w:rsidRDefault="005728DD" w:rsidP="005728DD">
      <w:pPr>
        <w:pStyle w:val="TextoNormal"/>
      </w:pPr>
    </w:p>
    <w:p w:rsidR="005728DD" w:rsidRDefault="005728DD" w:rsidP="005728DD">
      <w:pPr>
        <w:pStyle w:val="TextoNormal"/>
      </w:pPr>
      <w:r>
        <w:t>En todo caso, tal especial transcendencia constitucional obliga, por coherencia, a renunciar a un mero planteamiento formalista y legalista de la cuestión.</w:t>
      </w:r>
    </w:p>
    <w:p w:rsidR="005728DD" w:rsidRDefault="005728DD" w:rsidP="005728DD">
      <w:pPr>
        <w:pStyle w:val="TextoNormal"/>
      </w:pPr>
    </w:p>
    <w:p w:rsidR="005728DD" w:rsidRDefault="005728DD" w:rsidP="005728DD">
      <w:pPr>
        <w:pStyle w:val="TextoNormal"/>
      </w:pPr>
      <w:r>
        <w:t>2. Desde un punto de vista formal, llaman la atención dos pasajes de la sentencia. Es habitual que el Tribunal en sus respuestas a contenciosos electorales —nada prolijas, por cierto— aborde de inmediato las cuestiones relativas a los derechos fundamentales en juego. En este caso, sin embargo, arranca con una discrepancia procesal entre el abogado de los recurrentes y el fiscal sobre la exigencia o no de su emplazamiento. La perentoriedad de los plazos del proceso electoral (STC 71/1995, de 11 de mayo, FJ 2) imponía postergar el examen de esta controversia, para analizar directamente la vulneración del derecho de sufragio pasivo (art. 23.2 CE).</w:t>
      </w:r>
    </w:p>
    <w:p w:rsidR="005728DD" w:rsidRDefault="005728DD" w:rsidP="005728DD">
      <w:pPr>
        <w:pStyle w:val="TextoNormal"/>
      </w:pPr>
    </w:p>
    <w:p w:rsidR="005728DD" w:rsidRDefault="005728DD" w:rsidP="005728DD">
      <w:pPr>
        <w:pStyle w:val="TextoNormal"/>
      </w:pPr>
      <w:r>
        <w:t>Más llamativo aún es que en el fundamento cuarto, que anuncia ya la desestimación del amparo, se minusvalore la ineludible necesidad de apuntar a la interpretación más favorable para la efectividad de los derechos fundamentales en juego, en este caso del derecho de sufragio (SSTC 76/1987, de 25 de mayo, FJ 2; 24/1990, de 15 de febrero, FFJJ 2 y 6; 26/1990, de 19 de febrero, FFJJ 4 y 9; 87/1999, de 25 de mayo, FJ 3; 146/1999, de 27 de julio, FJ 6, y 153/2003, de 17 de julio, FJ 7, entre otras).</w:t>
      </w:r>
    </w:p>
    <w:p w:rsidR="005728DD" w:rsidRDefault="005728DD" w:rsidP="005728DD">
      <w:pPr>
        <w:pStyle w:val="TextoNormal"/>
      </w:pPr>
    </w:p>
    <w:p w:rsidR="005728DD" w:rsidRDefault="005728DD" w:rsidP="005728DD">
      <w:pPr>
        <w:pStyle w:val="TextoNormal"/>
      </w:pPr>
      <w:r>
        <w:t xml:space="preserve">Queda relegada al furgón de cola argumental, aunque —eso sí— reconociendo con aire de </w:t>
      </w:r>
      <w:r w:rsidRPr="005728DD">
        <w:rPr>
          <w:i/>
        </w:rPr>
        <w:t>obiter dictum</w:t>
      </w:r>
      <w:r>
        <w:t xml:space="preserve"> que “‘[…] adquiere una especial densidad constitucional que se manifiesta en la obligación [...] de que tanto la administración electoral como los jueces y tribunales al revisar los actos y resoluciones dictados por aquella, opten por la interpretación de la legalidad más favorable a la eficacia de tales derechos” (STC 87/1999, de 25 de mayo FJ 3)”. El resultado será para la mayoría de la Sala que “tal interpretación no puede admitirse. En primer lugar, porque convierte en inane y meramente potestativa la regla del art. 2.2” de la Ley electoral de la Comunidad de Madrid.</w:t>
      </w:r>
    </w:p>
    <w:p w:rsidR="005728DD" w:rsidRDefault="005728DD" w:rsidP="005728DD">
      <w:pPr>
        <w:pStyle w:val="TextoNormal"/>
      </w:pPr>
    </w:p>
    <w:p w:rsidR="005728DD" w:rsidRDefault="005728DD" w:rsidP="005728DD">
      <w:pPr>
        <w:pStyle w:val="TextoNormal"/>
      </w:pPr>
      <w:r>
        <w:t>3. No vendrá mal recordar que a lo que se reconoció especial transcendencia constitucional, justificando la admisión a trámite del recurso, es a dilucidar si los recurrentes son o no elegibles en la inmediata cita electoral, ya que este es el exclusivo objeto de su demanda de amparo, sin que surja pretensión alguna de ser electores. De ahí lo llamativo del mantra de la sentencia, que repite hasta la saciedad que “para ser elegible es preciso tener la condición de elector”.</w:t>
      </w:r>
    </w:p>
    <w:p w:rsidR="005728DD" w:rsidRDefault="005728DD" w:rsidP="005728DD">
      <w:pPr>
        <w:pStyle w:val="TextoNormal"/>
      </w:pPr>
    </w:p>
    <w:p w:rsidR="005728DD" w:rsidRDefault="005728DD" w:rsidP="005728DD">
      <w:pPr>
        <w:pStyle w:val="TextoNormal"/>
      </w:pPr>
      <w:r>
        <w:t>Para intentar encontrar fundamento a tan curioso matrimonio, se apoya la sentencia en una muy peculiar resolución anterior, citada hasta la saciedad, que no deja de reconocer —sintomáticamente— que no se ocupa de un proceso “de los denominados recursos de amparo electoral”. Se trata de la STC 144/1999, de 22 de julio, que se ocupó del mediáticamente conocido como caso Hormaechea. Por su condena penal quedaba “privado temporalmente del ejercicio de su derecho de sufragio activo y pasivo”. De ahí derivaba la afirmación de que la “capacidad jurídica para ser elegible” es “un derecho de quienes gozan ya de la capacidad jurídica para ser electores” (FJ 6).</w:t>
      </w:r>
    </w:p>
    <w:p w:rsidR="005728DD" w:rsidRDefault="005728DD" w:rsidP="005728DD">
      <w:pPr>
        <w:pStyle w:val="TextoNormal"/>
      </w:pPr>
    </w:p>
    <w:p w:rsidR="005728DD" w:rsidRDefault="005728DD" w:rsidP="005728DD">
      <w:pPr>
        <w:pStyle w:val="TextoNormal"/>
      </w:pPr>
      <w:r>
        <w:lastRenderedPageBreak/>
        <w:t>No hay noticia de que los recurrentes hayan soportado condena alguna y sí de que reúnen las condiciones que recuerda la actual doctrina: “ser mayor de edad y ciudadano de la Comunidad de Madrid, condición que se adquiere a través de la vecindad en cualquiera de sus municipios, tras el correspondiente empadronamiento”, como es el caso. La sentencia no deja de constatar, aunque en adversativa, que “los dos candidatos recurrentes ostentan la vecindad administrativa y la condición de ciudadanos de la Comunidad de Madrid”.</w:t>
      </w:r>
    </w:p>
    <w:p w:rsidR="005728DD" w:rsidRDefault="005728DD" w:rsidP="005728DD">
      <w:pPr>
        <w:pStyle w:val="TextoNormal"/>
      </w:pPr>
    </w:p>
    <w:p w:rsidR="005728DD" w:rsidRDefault="005728DD" w:rsidP="005728DD">
      <w:pPr>
        <w:pStyle w:val="TextoNormal"/>
      </w:pPr>
      <w:r>
        <w:t>Por lo demás, la misma sentencia recuerda que el “requisito de la inscripción en el censo que establece el art. 2.2 de la Ley 11/1986 es una condición del ejercicio del derecho a ser elector o elegible, pero no es constitutiva de esa capacidad electoral, como prueba el hecho de que puedan emplearse las oportunas certificaciones censales para votar o ser candidato. La inscripción censal es, pues, meramente declarativa (STC 144/1999, de 22 de julio, FJ 7)”.</w:t>
      </w:r>
    </w:p>
    <w:p w:rsidR="005728DD" w:rsidRDefault="005728DD" w:rsidP="005728DD">
      <w:pPr>
        <w:pStyle w:val="TextoNormal"/>
      </w:pPr>
    </w:p>
    <w:p w:rsidR="005728DD" w:rsidRDefault="005728DD" w:rsidP="005728DD">
      <w:pPr>
        <w:pStyle w:val="TextoNormal"/>
      </w:pPr>
      <w:r>
        <w:t>La afirmación de “la evidencia de que quien no posee capacidad jurídica para ser elector no puede ser elegido por los electores” me lleva simplemente a evocar lo que mi paisano Antonio Machado esculpió en su Juan de Mairena: “cuando mi maestro decía es evidente, o no estaba seguro de lo que decía, o sospechaba que alguien pudiera estarlo de la tesis contraria a la que él proponía”.</w:t>
      </w:r>
    </w:p>
    <w:p w:rsidR="005728DD" w:rsidRDefault="005728DD" w:rsidP="005728DD">
      <w:pPr>
        <w:pStyle w:val="TextoNormal"/>
      </w:pPr>
    </w:p>
    <w:p w:rsidR="005728DD" w:rsidRDefault="005728DD" w:rsidP="005728DD">
      <w:pPr>
        <w:pStyle w:val="TextoNormal"/>
      </w:pPr>
      <w:r>
        <w:t>4. Durante años de labor docente he tenido oportunidad de ilustrar a mis sufridos alumnos de primer curso de Derecho sobre la distinción clásica entre validez y vigencia jurídica; distinción nada irrelevante, dada la continua alusión de la sentencia al “censo vigente”. A la primera se atribuye una dimensión, muy propia del principio de legalidad. Ocasión tuve en la deliberación de comenzar mi intervención resaltando que iba a realizarla desde una perspectiva estrictamente constitucional, dado que no son infrecuentes en ella los recitales legislativos. Desde ese encuadre la vigencia tiene un sentido bien distinto, cobrando una dimensión más realista, aunque sin obligado empadronamiento escandinavo, de no escasa impronta sociológica, vinculada al vigor que la proposición normativa muestra en cada caso. Es obvia su vecindad a la dimensión ponderativa y optimizadora del control de constitucionalidad.</w:t>
      </w:r>
    </w:p>
    <w:p w:rsidR="005728DD" w:rsidRDefault="005728DD" w:rsidP="005728DD">
      <w:pPr>
        <w:pStyle w:val="TextoNormal"/>
      </w:pPr>
    </w:p>
    <w:p w:rsidR="005728DD" w:rsidRDefault="005728DD" w:rsidP="005728DD">
      <w:pPr>
        <w:pStyle w:val="TextoNormal"/>
      </w:pPr>
      <w:r>
        <w:t>Es desde esta perspectiva desde la que el intento de la interpretación más favorable al derecho fundamental en juego nos lleva a tener en cuenta lo previsto en el artículo 4.2 de la citada ley electoral madrileña, que marca una excepción al matrimonio elector-elegible y no puede ser tratada como una superflua posibilidad de corrección de errores: “No obstante lo dispuesto en el párrafo primero del artículo anterior, los que aspiren a ser proclamados candidatos y no figuren incluidos en las listas del censo electoral vigente, referido al territorio de la Comunidad de Madrid podrán serlo, siempre que con la solicitud acrediten, de modo fehaciente, que reúnen todas las condiciones exigidas para ello”; como es el caso de los recurrentes.</w:t>
      </w:r>
    </w:p>
    <w:p w:rsidR="005728DD" w:rsidRDefault="005728DD" w:rsidP="005728DD">
      <w:pPr>
        <w:pStyle w:val="TextoNormal"/>
      </w:pPr>
    </w:p>
    <w:p w:rsidR="005728DD" w:rsidRDefault="005728DD" w:rsidP="005728DD">
      <w:pPr>
        <w:pStyle w:val="TextoNormal"/>
      </w:pPr>
      <w:r>
        <w:t xml:space="preserve">Circuló en la deliberación la idea, luego semimayoritaria y finalmente no incluida en la sentencia, de que la reforma de la Ley Orgánica del régimen electoral por medio de la Ley Orgánica 2/2011, de 28 de enero, apuntaba a evitar casos como el que es objeto de esta resolución. En realidad, basta leer su exposición de motivos para entender que en los “empadronamientos fraudulentos o de conveniencia” a los que se refiere alude a los posibles </w:t>
      </w:r>
      <w:r>
        <w:lastRenderedPageBreak/>
        <w:t>trasvases de electores, para dislocar futuros posibles resultados electorales y no a los candidatos.</w:t>
      </w:r>
    </w:p>
    <w:p w:rsidR="005728DD" w:rsidRDefault="005728DD" w:rsidP="005728DD">
      <w:pPr>
        <w:pStyle w:val="TextoNormal"/>
      </w:pPr>
    </w:p>
    <w:p w:rsidR="005728DD" w:rsidRDefault="005728DD" w:rsidP="005728DD">
      <w:pPr>
        <w:pStyle w:val="TextoNormal"/>
      </w:pPr>
      <w:r>
        <w:t>5. Curiosas en verdad resultan las alusiones, quizá de sesgo populista, de la sentencia al “principio del origen popular del poder, que obliga a entender que la titularidad de los cargos y oficios públicos solo es legítima cuando puede ser referida, de manera mediata o inmediata, a un acto concreto de expresión de la voluntad popular”. Reuniendo ambos recurrentes la característica de haber logrado por su trabajo profesional y experiencia parlamentaria un notable grado de conocimiento, habría que preguntarse si su posible incidencia mediática y arraigo social va en desdoro solo de una popularidad, quizá malentendida desde un elitismo fuera de lugar.</w:t>
      </w:r>
    </w:p>
    <w:p w:rsidR="005728DD" w:rsidRDefault="005728DD" w:rsidP="005728DD">
      <w:pPr>
        <w:pStyle w:val="TextoNormal"/>
      </w:pPr>
    </w:p>
    <w:p w:rsidR="005728DD" w:rsidRDefault="005728DD" w:rsidP="005728DD">
      <w:pPr>
        <w:pStyle w:val="TextoNormal"/>
      </w:pPr>
      <w:r>
        <w:t>No menos enigmática resulta la afirmación de que “la inscripción en el censo o en el padrón municipal de habitantes, de los ciudadanos españoles, no era condición necesaria para ser candidato, sobre lo cual precisó este tribunal que la norma ‘se refiere a los candidatos españoles a los comicios municipales y al Parlamento Europeo, mientras que a los no españoles se les exige taxativamente tal inscripción en el censo’”; dado que su condición de españoles no ha sido felizmente puesta en duda.</w:t>
      </w:r>
    </w:p>
    <w:p w:rsidR="005728DD" w:rsidRDefault="005728DD" w:rsidP="005728DD">
      <w:pPr>
        <w:pStyle w:val="TextoNormal"/>
      </w:pPr>
    </w:p>
    <w:p w:rsidR="005728DD" w:rsidRDefault="005728DD" w:rsidP="005728DD">
      <w:pPr>
        <w:pStyle w:val="TextoNormal"/>
      </w:pPr>
      <w:r>
        <w:t>6. En resumen, la especial transcendencia constitucional del problema no es compatible con un intento de solución formalista. Por el contrario, la vigencia del censo quedaría vinculada a que los recurrentes reúnan o no los requisitos para poder sujetos pasivos en el proceso electoral; interpretados siempre del modo más favorable, al tratarse del ejercicio de un relevante derecho fundamental.</w:t>
      </w:r>
    </w:p>
    <w:p w:rsidR="005728DD" w:rsidRDefault="005728DD" w:rsidP="005728DD">
      <w:pPr>
        <w:pStyle w:val="TextoNormal"/>
      </w:pPr>
    </w:p>
    <w:p w:rsidR="005728DD" w:rsidRDefault="005728DD" w:rsidP="005728DD">
      <w:pPr>
        <w:pStyle w:val="TextoNormal"/>
      </w:pPr>
      <w:r>
        <w:t>Considero, en suma, que debió estimarse el recurso de amparo, por vulneración del derecho fundamental de los recurrentes al sufragio pasivo.</w:t>
      </w:r>
    </w:p>
    <w:p w:rsidR="005728DD" w:rsidRDefault="005728DD" w:rsidP="005728DD">
      <w:pPr>
        <w:pStyle w:val="TextoNormal"/>
      </w:pPr>
    </w:p>
    <w:p w:rsidR="005728DD" w:rsidRDefault="005728DD" w:rsidP="005728DD">
      <w:pPr>
        <w:pStyle w:val="TextoNormal"/>
      </w:pPr>
      <w:r>
        <w:t>Y en este sentido formulo mi voto particular.</w:t>
      </w:r>
    </w:p>
    <w:p w:rsidR="005728DD" w:rsidRDefault="005728DD" w:rsidP="005728DD">
      <w:pPr>
        <w:pStyle w:val="TextoNormal"/>
      </w:pPr>
    </w:p>
    <w:p w:rsidR="005728DD" w:rsidRDefault="005728DD" w:rsidP="005728DD">
      <w:pPr>
        <w:pStyle w:val="TextoNormal"/>
      </w:pPr>
      <w:r>
        <w:t>Madrid, a quince de abril de dos mil veintiuno.</w:t>
      </w:r>
    </w:p>
    <w:p w:rsidR="005728DD" w:rsidRDefault="005728DD" w:rsidP="005728DD">
      <w:pPr>
        <w:pStyle w:val="TextoNormal"/>
      </w:pPr>
    </w:p>
    <w:p w:rsidR="005728DD" w:rsidRDefault="005728DD" w:rsidP="005728DD">
      <w:pPr>
        <w:pStyle w:val="TextoNormalNegritaCentrado"/>
        <w:keepNext/>
      </w:pPr>
      <w:r>
        <w:t>Voto particular que formula el magistrado don Santiago Martínez-Vares García a la sentencia dictada en el recurso de amparo núm. 2117-2021</w:t>
      </w:r>
    </w:p>
    <w:p w:rsidR="005728DD" w:rsidRDefault="005728DD" w:rsidP="005728DD">
      <w:pPr>
        <w:pStyle w:val="TextoNormalNegritaCentrado"/>
        <w:keepNext/>
      </w:pPr>
    </w:p>
    <w:p w:rsidR="005728DD" w:rsidRDefault="005728DD" w:rsidP="005728DD">
      <w:pPr>
        <w:pStyle w:val="TextoNormal"/>
      </w:pPr>
      <w:r>
        <w:t>En el ejercicio de la facultad que me confiere el art. 90.2 de la Ley Orgánica del Tribunal Constitucional, formulo el presente voto particular en virtud de los argumentos que expongo a continuación, manifestando mi disconformidad con el fallo de la sentencia y con la inaplicación de la doctrina del Tribunal Constitucional que exige efectuar una interpretación de la legalidad del modo más favorable a la efectividad del ejercicio del derecho fundamental al sufragio pasivo.</w:t>
      </w:r>
    </w:p>
    <w:p w:rsidR="005728DD" w:rsidRDefault="005728DD" w:rsidP="005728DD">
      <w:pPr>
        <w:pStyle w:val="TextoNormal"/>
      </w:pPr>
    </w:p>
    <w:p w:rsidR="005728DD" w:rsidRDefault="005728DD" w:rsidP="005728DD">
      <w:pPr>
        <w:pStyle w:val="TextoNormal"/>
      </w:pPr>
      <w:r>
        <w:t xml:space="preserve">Es doctrina reiterada de este tribunal que los derechos que integran el art. 23 CE son derechos de configuración legal (por todas, STC 287/1994, de 27 de octubre, FJ 3), lo que supone, en este caso, que han de ejercerse en el marco establecido por la Ley Orgánica 3/1983, de 25 de febrero, de Estatuto de Autonomía de la Comunidad de Madrid (en adelante EACM) y la Ley 11/1986, de 16 de diciembre, electoral de la Comunidad de Madrid, que los desarrollan y concretan para las elecciones a la Asamblea de Madrid, siendo de </w:t>
      </w:r>
      <w:r>
        <w:lastRenderedPageBreak/>
        <w:t>aplicación supletoria lo dispuesto en el título I de la Ley Orgánica 5/1985, de 19 de junio, del régimen electoral general, como establece la disposición adicional primera de la Ley 11/1986. Sus previsiones deben ser cumplidas en cuanto constituyen garantía del correcto desarrollo de la elección, de modo que culmine con la proclamación de los candidatos que hayan sido preferidos por el cuerpo electoral (SSTC 74/1995, de 12 de mayo, FJ único; 26/2004, de 26 de febrero, FJ 6, y 125/2011, de 14 de julio, FJ 3). En este sentido, el art. 10.4 EACM, establece que una ley de la Asamblea regulará las elecciones, y el apartado 1 de la disposición adicional primera de la LOREG dispone que lo dispuesto en la misma “se entiende sin perjuicio del ejercicio de las competencias reconocidas, dentro del respeto a la Constitución y a la presente ley orgánica, a las comunidades autónomas por sus respectivos estatutos en relación con las elecciones a las respectivas asambleas legislativas”.</w:t>
      </w:r>
    </w:p>
    <w:p w:rsidR="005728DD" w:rsidRDefault="005728DD" w:rsidP="005728DD">
      <w:pPr>
        <w:pStyle w:val="TextoNormal"/>
      </w:pPr>
    </w:p>
    <w:p w:rsidR="005728DD" w:rsidRDefault="005728DD" w:rsidP="005728DD">
      <w:pPr>
        <w:pStyle w:val="TextoNormal"/>
      </w:pPr>
      <w:r>
        <w:t>Por otra parte, resulta obligado recordar la doctrina constitucional sobre los criterios o principios hermenéuticos que resultan de aplicación en los procesos electorales, como lo es en particular, a los efectos que ahora interesan, el principio de interpretación más favorable a la efectividad de los derechos fundamentales, en este caso, a los derechos de sufragio. En efecto, el principio de interpretación de la legalidad en el sentido más favorable a los derechos fundamentales ha sido reconocido reiteradamente por este tribunal, tanto en términos generales, como a propósito de los derechos de sufragio activo y pasivo (SSTC 76/1987, de 25 de mayo, FJ 2; 24/1990, de 15 de febrero, FFJJ 2 y 6; 26/1990, de 19 de febrero, FFJJ 4 y 9; 87/1999, de 25 de mayo, FJ 3; 146/1999, de 27 de julio, FJ 6, y 153/2003, de 17 de julio, FJ 7, entre otras). Respecto a estos derechos, se ha insistido en señalar que atendida la naturaleza y función que desempeñan en un Estado democrático, art.1.1 CE, su tutela y protección por los órganos jurisdiccionales debe ser particularmente intensa.</w:t>
      </w:r>
    </w:p>
    <w:p w:rsidR="005728DD" w:rsidRDefault="005728DD" w:rsidP="005728DD">
      <w:pPr>
        <w:pStyle w:val="TextoNormal"/>
      </w:pPr>
    </w:p>
    <w:p w:rsidR="005728DD" w:rsidRDefault="005728DD" w:rsidP="005728DD">
      <w:pPr>
        <w:pStyle w:val="TextoNormal"/>
      </w:pPr>
      <w:r>
        <w:t>De este modo hemos declarado que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en la base de la legitimación democrática del ordenamiento político, han de recibir un trato especialmente respetuoso y favorable, sin perjuicio del necesario respeto a la legislación electoral y de la diligencia que los partícipes activos en las elecciones han de tener en su actuación para posibilitar un ordenado y fluido proceso electoral’ (STC 76/1987, de 25 de mayo, FJ 2; doctrina que reitera la STC 24/1990, de 15 de febrero, FJ 2)” (STC 105/2012, de 11 de mayo, FJ 7).</w:t>
      </w:r>
    </w:p>
    <w:p w:rsidR="005728DD" w:rsidRDefault="005728DD" w:rsidP="005728DD">
      <w:pPr>
        <w:pStyle w:val="TextoNormal"/>
      </w:pPr>
    </w:p>
    <w:p w:rsidR="005728DD" w:rsidRDefault="005728DD" w:rsidP="005728DD">
      <w:pPr>
        <w:pStyle w:val="TextoNormal"/>
      </w:pPr>
      <w:r>
        <w:t xml:space="preserve">Al Tribunal Constitucional le corresponde revisar, cuando a ello sea instado en vía de amparo, si la interpretación de la legalidad configuradora de los derechos fundamentales se ha llevado a cabo </w:t>
      </w:r>
      <w:r w:rsidRPr="005728DD">
        <w:rPr>
          <w:i/>
        </w:rPr>
        <w:t>secundum Constitutionem</w:t>
      </w:r>
      <w:r>
        <w:t xml:space="preserve"> y, en particular, si la aplicación de la legalidad ha podido afectar “a la integridad del derecho fundamental aquí comprometido”, o a su naturaleza y función.</w:t>
      </w:r>
    </w:p>
    <w:p w:rsidR="005728DD" w:rsidRDefault="005728DD" w:rsidP="005728DD">
      <w:pPr>
        <w:pStyle w:val="TextoNormal"/>
      </w:pPr>
    </w:p>
    <w:p w:rsidR="005728DD" w:rsidRDefault="005728DD" w:rsidP="005728DD">
      <w:pPr>
        <w:pStyle w:val="TextoNormal"/>
      </w:pPr>
      <w:r>
        <w:t>Conviene, por lo expuesto, examinar la argumentación seguida por el órgano judicial a fin de determinar si ha respetado el principio de interpretación más favorable al ejercicio y disfrute del derecho de sufragio pasivo habida cuenta de su naturaleza y funcionalidad en un sistema democrático.</w:t>
      </w:r>
    </w:p>
    <w:p w:rsidR="005728DD" w:rsidRDefault="005728DD" w:rsidP="005728DD">
      <w:pPr>
        <w:pStyle w:val="TextoNormal"/>
      </w:pPr>
    </w:p>
    <w:p w:rsidR="005728DD" w:rsidRDefault="005728DD" w:rsidP="005728DD">
      <w:pPr>
        <w:pStyle w:val="TextoNormal"/>
      </w:pPr>
      <w:r>
        <w:t>La argumentación del órgano judicial se sustenta en un sencillo silogismo que por ello es fácilmente aprehensible. El argumento parte de la afirmación de una primera proposición por la que para ser candidato se han de reunir los mismos requisitos que para ser elector; le sigue una segunda proposición en virtud de la cual para ser elector se debe estar inscrito en el censo electoral vigente, art. 3.1 de la Ley 11/1986, entendido este como el cerrado el día primero del segundo mes anterior a la convocatoria, art. 39.1 LOREG, o acreditar de modo fehaciente, que reúnen todas las condiciones exigidas para ello, art. 4.2 de la Ley 11/1986, al día primero del segundo mes anterior a la convocatoria. De tales proposiciones se deduce la conclusión por la que no reuniendo los señores Cantó y Conde la condición de vecinos de Madrid el día primero del segundo mes anterior a la convocatoria de las elecciones autonómicas —esto es el 1 de enero de 2021—, no pueden ser electores, y por tanto, tampoco elegibles.</w:t>
      </w:r>
    </w:p>
    <w:p w:rsidR="005728DD" w:rsidRDefault="005728DD" w:rsidP="005728DD">
      <w:pPr>
        <w:pStyle w:val="TextoNormal"/>
      </w:pPr>
    </w:p>
    <w:p w:rsidR="005728DD" w:rsidRDefault="005728DD" w:rsidP="005728DD">
      <w:pPr>
        <w:pStyle w:val="TextoNormal"/>
      </w:pPr>
      <w:r>
        <w:t>Dada la naturaleza del derecho de sufragio pasivo garantizado por el art. 23.2 CE como derecho de configuración legal, ningún obstáculo existe para que, en tanto no suponga vulneración del contenido esencial de ese derecho fundamental, añada la legislación autonómica a los requisitos señalados por los capítulos primero y segundo del título I de la LOREG, de obligada aplicación a las elecciones autonómicas, en virtud de la disposición adicional primera, apartado 2, de la LOREG, otros requisitos para el ejercicio de dicho derecho. En principio, según ha reconocido la doctrina constitucional, entre esos requisitos adicionales podría encontrarse el de la inscripción censal de los candidatos para concurrir a las consultas electorales (STC 86/2003, de 8 de mayo, FFJJ 4 y 5). Por otra parte, la legislación autonómica puede establecer excepciones a ese requisito, así como permitir su subsanación o cumplimiento alternativo.</w:t>
      </w:r>
    </w:p>
    <w:p w:rsidR="005728DD" w:rsidRDefault="005728DD" w:rsidP="005728DD">
      <w:pPr>
        <w:pStyle w:val="TextoNormal"/>
      </w:pPr>
    </w:p>
    <w:p w:rsidR="005728DD" w:rsidRDefault="005728DD" w:rsidP="005728DD">
      <w:pPr>
        <w:pStyle w:val="TextoNormal"/>
      </w:pPr>
      <w:r>
        <w:t>En el caso de las elecciones a la Asamblea de Madrid, el art. 3.1 de la Ley 11/1986 establece que son elegibles aquellos ciudadanos que, poseyendo la condición de elector, no incurran en alguna de las causas de inelegibilidad señaladas en el art. 3.2 de la Ley 11/1986 y art. 6 LOREG. Para ser elector se requiere tener la condición política de ciudadano de la Comunidad de Madrid conforme al art. 7 EACM, esto es, tener vecindad administrativa en cualquiera de sus municipios, y estar inscrito en el censo electoral vigente, art. 2 de la Ley 11/1986.</w:t>
      </w:r>
    </w:p>
    <w:p w:rsidR="005728DD" w:rsidRDefault="005728DD" w:rsidP="005728DD">
      <w:pPr>
        <w:pStyle w:val="TextoNormal"/>
      </w:pPr>
    </w:p>
    <w:p w:rsidR="005728DD" w:rsidRDefault="005728DD" w:rsidP="005728DD">
      <w:pPr>
        <w:pStyle w:val="TextoNormal"/>
      </w:pPr>
      <w:r>
        <w:t>Ahora bien, este requisito adicional de la inscripción censal de los candidatos para concurrir a las elecciones autonómicas resulta atemperado claramente por la propia legislación electoral madrileña, pues el art. 4.2 de la Ley 11/1986 determina que, no obstante lo dispuesto en el art. 3.1 de la misma, “los que aspiren a ser proclamados candidatos y no figuren incluidos en las listas del censo electoral vigente, referido al territorio de la Comunidad de Madrid podrán serlo, siempre que con la solicitud acrediten, de modo fehaciente, que reúnen todas las condiciones exigidas para ello”.</w:t>
      </w:r>
    </w:p>
    <w:p w:rsidR="005728DD" w:rsidRDefault="005728DD" w:rsidP="005728DD">
      <w:pPr>
        <w:pStyle w:val="TextoNormal"/>
      </w:pPr>
    </w:p>
    <w:p w:rsidR="005728DD" w:rsidRDefault="005728DD" w:rsidP="005728DD">
      <w:pPr>
        <w:pStyle w:val="TextoNormal"/>
      </w:pPr>
      <w:r>
        <w:t xml:space="preserve">No se discute en el presente caso que los señores Cantó y Conde ostentaban, en el momento de presentación de la candidatura, vecindad administrativa madrileña, aquel se empadronó en la ciudad de Madrid el 22 de marzo de 2021 y este en la misma ciudad el siguiente 26 de marzo. Tampoco se discute que ninguno de los dos se encuentra incurso en causa de inelegibilidad. Así las cosas, la interpretación más favorable a la efectividad del derecho fundamental de sufragio pasivo, conduce a entender, como lo hizo la Junta Electoral </w:t>
      </w:r>
      <w:r>
        <w:lastRenderedPageBreak/>
        <w:t>Provincial de Madrid, que pueden ser candidatos a las elecciones de la Asamblea de Madrid, a tenor de lo dispuesto en el art. 4.2 de la Ley 11/1986, no solo las personas que a la fecha de presentación de la candidatura justifiquen hallarse inscritas en el censo electoral de la Comunidad de Madrid, sino también todas aquellas que a esa fecha reúnan las condiciones para poder estar inscritas en ese censo electoral, esto es, quienes ostenten la condición política de ciudadanos de la Comunidad de Madrid, condición que ostentaban en ese momento los candidatos excluidos por la sentencia impugnada.</w:t>
      </w:r>
    </w:p>
    <w:p w:rsidR="005728DD" w:rsidRDefault="005728DD" w:rsidP="005728DD">
      <w:pPr>
        <w:pStyle w:val="TextoNormal"/>
      </w:pPr>
    </w:p>
    <w:p w:rsidR="005728DD" w:rsidRDefault="005728DD" w:rsidP="005728DD">
      <w:pPr>
        <w:pStyle w:val="TextoNormal"/>
      </w:pPr>
      <w:r>
        <w:t>Al respecto cabe interpretar que, frente a lo afirmado por el órgano judicial, del tenor literal del art. 4.2 de la Ley 11/1986 puede inferirse que el mismo no tiene como única finalidad la posible corrección de errores materiales, como se sostiene en la sentencia impugnada, pues para corregir estos posibles errores no se necesita una habilitación legal específica. Dicha interpretación restrictiva de la finalidad de la norma vaciaría su contenido, pues puede entenderse, sin forzamiento textual que lo impida, que el precepto no solo posibilita la corrección de errores en la inscripción censal, sino también que puedan ser candidatos quienes no figuran en el censo electoral de la Comunidad de Madrid porque han adquirido la vecindad administrativa madrileña una vez que el censo electoral se cerró a efectos de unas determinadas elecciones.</w:t>
      </w:r>
    </w:p>
    <w:p w:rsidR="005728DD" w:rsidRDefault="005728DD" w:rsidP="005728DD">
      <w:pPr>
        <w:pStyle w:val="TextoNormal"/>
      </w:pPr>
    </w:p>
    <w:p w:rsidR="005728DD" w:rsidRDefault="005728DD" w:rsidP="005728DD">
      <w:pPr>
        <w:pStyle w:val="TextoNormal"/>
      </w:pPr>
      <w:r>
        <w:t>La interpretación más favorable al ejercicio del derecho fundamental al sufragio pasivo debe llevar, sin duda, a entender que la legislación electoral madrileña permite la posibilidad de presentarse como candidato cuando, aun no estando inscrito en el censo electoral, se reúne la condición política de ciudadano de la Comunidad de Madrid a la fecha de presentación de la candidatura, que es lo que sucedía en el presente caso, como ha quedado expuesto. Esa interpretación resulta de la propia literalidad del precepto que precisa el momento temporal al que debe atenderse para examinar el cumplimiento de los requisitos de los que aspiren a ser candidatos al momento mismo de la presentación de la candidatura. Solo así se puede entender que se utilice el tiempo presente “reúnen” y no el pasado “reunían”, que es el que debería utilizarse si el cumplimiento de los requisitos se proyectase al momento de cierre del censo electoral, esto es, al pretérito primer día del segundo mes anterior.</w:t>
      </w:r>
    </w:p>
    <w:p w:rsidR="005728DD" w:rsidRDefault="005728DD" w:rsidP="005728DD">
      <w:pPr>
        <w:pStyle w:val="TextoNormal"/>
      </w:pPr>
    </w:p>
    <w:p w:rsidR="005728DD" w:rsidRDefault="005728DD" w:rsidP="005728DD">
      <w:pPr>
        <w:pStyle w:val="TextoNormal"/>
      </w:pPr>
      <w:r>
        <w:t>Dicha interpretación, es acorde a la configuración de la designación para ser candidato como una prerrogativa esencial de las formaciones políticas, de modo que cualquier limitación debe estar expresamente prevista en la Ley.</w:t>
      </w:r>
    </w:p>
    <w:p w:rsidR="005728DD" w:rsidRDefault="005728DD" w:rsidP="005728DD">
      <w:pPr>
        <w:pStyle w:val="TextoNormal"/>
      </w:pPr>
    </w:p>
    <w:p w:rsidR="005728DD" w:rsidRDefault="005728DD" w:rsidP="005728DD">
      <w:pPr>
        <w:pStyle w:val="TextoNormal"/>
      </w:pPr>
      <w:r>
        <w:t>Es por ello que no puede compartirse la premisa de la que parte el órgano judicial, pues de la Ley electoral de la Comunidad de Madrid no resulta que deban concurrir los mismos requisitos para ser candidato que para ser elector.</w:t>
      </w:r>
    </w:p>
    <w:p w:rsidR="005728DD" w:rsidRDefault="005728DD" w:rsidP="005728DD">
      <w:pPr>
        <w:pStyle w:val="TextoNormal"/>
      </w:pPr>
    </w:p>
    <w:p w:rsidR="005728DD" w:rsidRDefault="005728DD" w:rsidP="005728DD">
      <w:pPr>
        <w:pStyle w:val="TextoNormal"/>
      </w:pPr>
      <w:r>
        <w:t xml:space="preserve">Dicha ausencia de correspondencia entre los requisitos para ser elector y para ser candidato, contrariamente a lo afirmado por el órgano judicial, además de derivarse, como se ha indicado, de la finalidad y literalidad del art. 4.2 de la Ley 11/1986, que se refiere exclusivamente a los que aspiren a ser proclamados candidatos, pero no a los electores, es acorde también con el momento temporal al que debe atenderse para examinar si el candidato, además de reunir los requisitos parar ser titular del derecho de sufragio pasivo —entre los que se encuentra ostentar “la condición política de ciudadanos de la Comunidad de Madrid” (art. 3.1 de la Ley 11/1986)—, no está incurso en causa de inelegibilidad, arts. 3.1 y 4.1 de esta </w:t>
      </w:r>
      <w:r>
        <w:lastRenderedPageBreak/>
        <w:t>misma ley, esto es “el mismo día de la presentación de su candidatura”, art. 4.1 de dicha Ley.</w:t>
      </w:r>
    </w:p>
    <w:p w:rsidR="005728DD" w:rsidRDefault="005728DD" w:rsidP="005728DD">
      <w:pPr>
        <w:pStyle w:val="TextoNormal"/>
      </w:pPr>
    </w:p>
    <w:p w:rsidR="005728DD" w:rsidRDefault="005728DD" w:rsidP="005728DD">
      <w:pPr>
        <w:pStyle w:val="TextoNormal"/>
      </w:pPr>
      <w:r>
        <w:t xml:space="preserve">Por otra parte, debe indicarse que las condiciones que limitan el ejercicio del derecho de sufragio activo a la inscripción en el censo electoral vigente, no serían razonables si se proyectaran con carácter indispensable sobre quienes pretenden ser candidatos, pues supondrían un sacrificio innecesario y rigorista en el ejercicio del derecho de sufragio pasivo, por más que no menoscabara su contenido esencial. En tal sentido, este tribunal tuvo ocasión de explicitar la diferente funcionalidad que tiene la inscripción en el censo electoral en relación con el derecho de sufragio activo y pasivo al señalar que “resulta esencial para la ordenación del ejercicio del derecho de sufragio activo por parte de los miles o millones de electores en las consultas electorales o referenciadas, de modo que con su simple consulta por los órganos electorales pertinentes el día de la votación, se esté en condiciones de saber de inmediato si quien pretende ejercer su derecho al voto puede hacerlo porque reúne los requisitos para ser elector y no se halla privado en ese instante del mismo. De ahí la indispensabilidad que el art. 2.2 LOREG, y sus equivalentes en las legislaciones electorales autonómicas […], establecen de la inscripción en el censo para el ejercicio de dicho derecho de sufragio activo. […] Tratándose, sin embargo, del sufragio pasivo, la cuestión aparece notoriamente distinta, pues es obvio que, por muchos que sean los candidatos que pretendan concurrir a las elecciones por los distintos partidos, coaliciones o agrupaciones de electores, las normativas electorales, tanto la del régimen electoral general como la de los regímenes autonómicos, prevén un entramado de órganos administrativo-electorales, entre otros motivos, con el fin de posibilitar un control </w:t>
      </w:r>
      <w:r w:rsidRPr="005728DD">
        <w:rPr>
          <w:i/>
        </w:rPr>
        <w:t>ad casum</w:t>
      </w:r>
      <w:r>
        <w:t xml:space="preserve"> de los requisitos que deben reunir aquellos para poder ser considerados elegibles” (STC 86/2003, FFJJ 6 y 7).</w:t>
      </w:r>
    </w:p>
    <w:p w:rsidR="005728DD" w:rsidRDefault="005728DD" w:rsidP="005728DD">
      <w:pPr>
        <w:pStyle w:val="TextoNormal"/>
      </w:pPr>
    </w:p>
    <w:p w:rsidR="005728DD" w:rsidRDefault="005728DD" w:rsidP="005728DD">
      <w:pPr>
        <w:pStyle w:val="TextoNormal"/>
      </w:pPr>
      <w:r>
        <w:t>En consecuencia, con fundamento en las precedentes consideraciones se debía concluir que la sentencia impugnada, al anular parcialmente el acuerdo de la Junta Electoral Provincial de Madrid, de 7 de abril de 2021, por el que se proclamaba definitivamente la candidatura del Partido Popular para las elecciones autonómicas del 4 de mayo de 2021, y excluir a los candidatos don Antonio Cantó García del Moral y don Agustín Conde Bajén, por ser inelegibles, vulneró sus derechos de sufragio pasivo, art. 23.2 CE, al efectuar una interpretación restrictiva del derecho fundamental por exigir que para ser candidato se ostente la condición política de ciudadano de la Comunidad de Madrid en el momento de cierre del censo electoral e impedir que pudieran acreditar que a la fecha de presentación de la candidatura reunían la condición política de ciudadanos de la Comunidad de Madrid, art. 4.2 de la Ley 11/1986.</w:t>
      </w:r>
    </w:p>
    <w:p w:rsidR="005728DD" w:rsidRDefault="005728DD" w:rsidP="005728DD">
      <w:pPr>
        <w:pStyle w:val="TextoNormal"/>
      </w:pPr>
    </w:p>
    <w:p w:rsidR="005728DD" w:rsidRDefault="005728DD" w:rsidP="005728DD">
      <w:pPr>
        <w:pStyle w:val="TextoNormal"/>
      </w:pPr>
      <w:r>
        <w:t>Y de este modo la estimación del recurso de amparo promovido por el Partido Popular y por don Antonio Cantó García del Moral y don Agustín Conde Bajén, debía haber conllevado la declaración de nulidad de la sentencia impugnada, y también la confirmación del acuerdo de la Junta Electoral Provincial de Madrid, de 7 de abril de 2021, por el que se proclamaba la candidatura del Partido Popular para las elecciones autonómicas del 4 de mayo de 2021 y de este modo no se hubiera impedido injustificadamente que los candidatos citados se hubieran presentado a la elecciones.</w:t>
      </w:r>
    </w:p>
    <w:p w:rsidR="005728DD" w:rsidRDefault="005728DD" w:rsidP="005728DD">
      <w:pPr>
        <w:pStyle w:val="TextoNormal"/>
      </w:pPr>
    </w:p>
    <w:p w:rsidR="005728DD" w:rsidRDefault="005728DD" w:rsidP="005728DD">
      <w:pPr>
        <w:pStyle w:val="TextoNormal"/>
      </w:pPr>
      <w:r>
        <w:t>En consonancia con los argumentos que defendí en la deliberación de la Sala y en este sentido formulo el presente voto particular discrepante.</w:t>
      </w:r>
    </w:p>
    <w:p w:rsidR="005728DD" w:rsidRDefault="005728DD" w:rsidP="005728DD">
      <w:pPr>
        <w:pStyle w:val="TextoNormal"/>
      </w:pPr>
    </w:p>
    <w:p w:rsidR="005728DD" w:rsidRDefault="005728DD" w:rsidP="005728DD">
      <w:pPr>
        <w:pStyle w:val="TextoNormal"/>
      </w:pPr>
      <w:r>
        <w:lastRenderedPageBreak/>
        <w:t>Madrid, a quince de abril de dos mil veintiuno.</w:t>
      </w:r>
    </w:p>
    <w:p w:rsidR="005728DD" w:rsidRDefault="005728DD" w:rsidP="005728DD">
      <w:pPr>
        <w:pStyle w:val="TextoNormal"/>
      </w:pPr>
    </w:p>
    <w:p w:rsidR="005728DD" w:rsidRDefault="005728DD" w:rsidP="005728DD">
      <w:pPr>
        <w:pStyle w:val="TextoNormalNegritaCentrado"/>
        <w:keepNext/>
      </w:pPr>
      <w:r>
        <w:t>Voto particular que formula el magistrado don Alfredo Montoya Melgar a la sentencia dictada en el recurso de amparo núm. 2117-2021</w:t>
      </w:r>
    </w:p>
    <w:p w:rsidR="005728DD" w:rsidRDefault="005728DD" w:rsidP="005728DD">
      <w:pPr>
        <w:pStyle w:val="TextoNormalNegritaCentrado"/>
        <w:keepNext/>
      </w:pPr>
    </w:p>
    <w:p w:rsidR="005728DD" w:rsidRDefault="005728DD" w:rsidP="005728DD">
      <w:pPr>
        <w:pStyle w:val="TextoNormal"/>
      </w:pPr>
      <w:r>
        <w:t>Con el debido respeto a la opinión que ha conformado la precedente resolución, y en uso de la facultad que me confiere el art. 90.2 LOTC, expreso mi discrepancia tanto con el fallo como con la fundamentación jurídica de la sentencia que resuelve el recurso de amparo, por las razones ya defendidas durante la deliberación y que reitero a continuación.</w:t>
      </w:r>
    </w:p>
    <w:p w:rsidR="005728DD" w:rsidRDefault="005728DD" w:rsidP="005728DD">
      <w:pPr>
        <w:pStyle w:val="TextoNormal"/>
      </w:pPr>
    </w:p>
    <w:p w:rsidR="005728DD" w:rsidRDefault="005728DD" w:rsidP="005728DD">
      <w:pPr>
        <w:pStyle w:val="TextoNormal"/>
      </w:pPr>
      <w:r>
        <w:t>Considero que el recurso de amparo tenía que haber sido estimado y en consecuencia se debía haber declarado vulnerado el derecho de sufragio pasivo de los recurrentes. Para restablecer a estos en su derecho, se debía haber declarado la nulidad de la sentencia núm. 127/2021, de 11 de abril, del Juzgado de lo Contencioso-Administrativo núm. 5 de Madrid, recaída en el recurso contencioso-electoral núm. 180-2021, y se debía haber confirmado el acuerdo de la Junta Electoral Provincial de Madrid, de 7 de abril de 2021, como junta electoral autonómica, publicado el 8 de abril de 2021 (“BOCM” núm. 83) sobre las elecciones autonómicas convocadas por Decreto 15/2021, de 10 de marzo, a celebrar el 4 de mayo de 2021.</w:t>
      </w:r>
    </w:p>
    <w:p w:rsidR="005728DD" w:rsidRDefault="005728DD" w:rsidP="005728DD">
      <w:pPr>
        <w:pStyle w:val="TextoNormal"/>
      </w:pPr>
    </w:p>
    <w:p w:rsidR="005728DD" w:rsidRDefault="005728DD" w:rsidP="005728DD">
      <w:pPr>
        <w:pStyle w:val="TextoNormal"/>
      </w:pPr>
      <w:r>
        <w:t>La sentencia del juzgado de lo contencioso-administrativo anuló parcialmente el Acuerdo de la Junta Electoral Provincial de Madrid, de 7 de abril de 2021, por el que se proclamaba definitivamente la candidatura del Partido Popular para las elecciones autonómicas del 4 de mayo de 2021 y se acordaba que los candidatos don Antonio Cantó García del Moral y don Agustín Conde Bajén, fueran excluidos de dicha candidatura, por ser inelegibles, remitiendo a la Junta Electoral Provincial la determinación de las consecuencias que de dicha anulación se derivaran.</w:t>
      </w:r>
    </w:p>
    <w:p w:rsidR="005728DD" w:rsidRDefault="005728DD" w:rsidP="005728DD">
      <w:pPr>
        <w:pStyle w:val="TextoNormal"/>
      </w:pPr>
    </w:p>
    <w:p w:rsidR="005728DD" w:rsidRDefault="005728DD" w:rsidP="005728DD">
      <w:pPr>
        <w:pStyle w:val="TextoNormal"/>
      </w:pPr>
      <w:r>
        <w:t xml:space="preserve">Se alegaba en el recurso la vulneración del art. 23.2 CE por la anulación de la candidatura de esos dos candidatos al no estar inscritos en el censo vigente como electores. Se consideraba que se había efectuado una interpretación restrictiva del art. 4.2 de la Ley 11/1986, de 16 de diciembre, electoral de la Comunidad de Madrid, creándose </w:t>
      </w:r>
      <w:r w:rsidRPr="005728DD">
        <w:rPr>
          <w:i/>
        </w:rPr>
        <w:t>ex novo</w:t>
      </w:r>
      <w:r>
        <w:t xml:space="preserve"> un requisito no previsto legalmente para ser elegible. Se denunciaba también la vulneración del derecho a la tutela judicial efectiva por la falta de comunicación de la existencia del procedimiento ni de la sentencia a los candidatos afectados, aunque sí al partido al que pertenece la candidatura.</w:t>
      </w:r>
    </w:p>
    <w:p w:rsidR="005728DD" w:rsidRDefault="005728DD" w:rsidP="005728DD">
      <w:pPr>
        <w:pStyle w:val="TextoNormal"/>
      </w:pPr>
    </w:p>
    <w:p w:rsidR="005728DD" w:rsidRDefault="005728DD" w:rsidP="005728DD">
      <w:pPr>
        <w:pStyle w:val="TextoNormal"/>
      </w:pPr>
      <w:r>
        <w:t xml:space="preserve">La doctrina de este tribunal ha destacado reiteradamente que los derechos que protege el art. 23.2 CE son derechos de configuración legal [por todas, STC 38/2020, de 25 de febrero, FJ 6 a)]. Por tanto, dada la naturaleza del derecho de sufragio pasivo, garantizado por el art. 23.2 CE como derecho de configuración legal, ningún obstáculo existe para que, en tanto no suponga vulneración del contenido esencial de ese derecho fundamental, la legislación autonómica añada, a los requisitos señalados por los capítulos primero y segundo del título I de la LOREG (de obligada aplicación a las elecciones autonómicas, en virtud de la disposición adicional primera, apartado 2, de la LOREG), otros requisitos para el ejercicio de dicho derecho. En principio, entre esos requisitos adicionales podría encontrarse el de “la inscripción censal de los candidatos para concurrir a las consultas electorales” (STC </w:t>
      </w:r>
      <w:r>
        <w:lastRenderedPageBreak/>
        <w:t>86/2003, de 8 de mayo, FFJJ 4 y 5). Por otra parte, la legislación autonómica puede establecer excepciones a ese requisito, así como permitir su subsanación o cumplimiento alternativo.</w:t>
      </w:r>
    </w:p>
    <w:p w:rsidR="005728DD" w:rsidRDefault="005728DD" w:rsidP="005728DD">
      <w:pPr>
        <w:pStyle w:val="TextoNormal"/>
      </w:pPr>
    </w:p>
    <w:p w:rsidR="005728DD" w:rsidRDefault="005728DD" w:rsidP="005728DD">
      <w:pPr>
        <w:pStyle w:val="TextoNormal"/>
      </w:pPr>
      <w:r>
        <w:t>En el caso de las elecciones a la Asamblea de Madrid, el art. 3.1 de la Ley 11/1986 establece que son elegibles aquellos ciudadanos que, poseyendo la condición de electores, no incurran en alguna de las causas de inelegibilidad (art. 3.2 de la Ley 11/1986 y art. 6 LOREG). Para ser elector se requiere ser español, mayor de edad, gozar del derecho de sufragio y tener la condición política de ciudadano de la Comunidad de Madrid conforme al art. 7 del Estatuto de Autonomía (esto es, tener vecindad administrativa en cualquiera de sus municipios) y estar inscrito en el censo electoral vigente para la convocatoria electoral de que se trate (art. 2 de la Ley 11/1986).</w:t>
      </w:r>
    </w:p>
    <w:p w:rsidR="005728DD" w:rsidRDefault="005728DD" w:rsidP="005728DD">
      <w:pPr>
        <w:pStyle w:val="TextoNormal"/>
      </w:pPr>
    </w:p>
    <w:p w:rsidR="005728DD" w:rsidRDefault="005728DD" w:rsidP="005728DD">
      <w:pPr>
        <w:pStyle w:val="TextoNormal"/>
      </w:pPr>
      <w:r>
        <w:t>El objeto fundamental del recurso planteado era determinar si la interpretación efectuada por el órgano judicial, que fundamentó la anulación parcial de la proclamación de la candidatura presentada por el Partido Popular para las elecciones autonómicas del 4 de mayo de 2021, había vulnerado el derecho de sufragio pasivo de los candidatos de esta formación política que fueron excluidos. En cuanto al fondo del asunto, conviene tener en cuenta que no se ha discutido en el proceso judicial la cuestión relativa a que los candidatos han de cumplir con los requisitos exigidos por la ley electoral madrileña. Lo que se controvertía en realidad era los términos en los que esos requisitos han de cumplirse y, concretamente, la interpretación adecuada del momento en el que tales requisitos para poder ser candidato han de hacerse efectivos.</w:t>
      </w:r>
    </w:p>
    <w:p w:rsidR="005728DD" w:rsidRDefault="005728DD" w:rsidP="005728DD">
      <w:pPr>
        <w:pStyle w:val="TextoNormal"/>
      </w:pPr>
    </w:p>
    <w:p w:rsidR="005728DD" w:rsidRDefault="005728DD" w:rsidP="005728DD">
      <w:pPr>
        <w:pStyle w:val="TextoNormal"/>
      </w:pPr>
      <w:r>
        <w:t>Se planteaba, por tanto, un problema de interpretación legal en el que se ve concernido un derecho fundamental, el de sufragio pasivo del art. 23.2 CE, lo que obligaba al tribunal a indagar si había quedado afectada la integridad del derecho fundamental, haciéndose ineludible tener presente el principio de interpretación del ordenamiento jurídico en el sentido más favorable al ejercicio y disfrute de los derechos fundamentales.</w:t>
      </w:r>
    </w:p>
    <w:p w:rsidR="005728DD" w:rsidRDefault="005728DD" w:rsidP="005728DD">
      <w:pPr>
        <w:pStyle w:val="TextoNormal"/>
      </w:pPr>
    </w:p>
    <w:p w:rsidR="005728DD" w:rsidRDefault="005728DD" w:rsidP="005728DD">
      <w:pPr>
        <w:pStyle w:val="TextoNormal"/>
      </w:pPr>
      <w:r>
        <w:t>Conforme a la doctrina constitucional consolidada (por todas, STC 114/2014, de 7 de julio, FJ 4), nuestra labor de enjuiciamiento no debía circunscribirse en este caso a la mera constatación de la razonabilidad de la interpretación de la legislación electoral madrileña efectuada por el órgano judicial. Por el contrario, el análisis de la resolución judicial recurrida en amparo, para apreciar si incurría en la denunciada vulneración del art. 23 CE, exigía valorar si se había aplicado la normativa legal en el sentido más favorable a la efectividad de aquellos derechos fundamentales. Cualquier exégesis en este ámbito debe estar presidida por el principio de interpretación del ordenamiento jurídico en el sentido más favorable a la efectividad de los derechos fundamentales, principio que ha de ser tenido en cuenta por todos los poderes públicos y muy especialmente por los órganos jurisdiccionales en su función de aplicación de las leyes. Tal exigencia no se cumple con la mera constatación de que la resolución judicial impugnada hace una interpretación razonable entre otras posibles, sino que obliga a revisar si esa interpretación de la legalidad se ha hecho en el sentido más favorable al ejercicio del derecho fundamental.</w:t>
      </w:r>
    </w:p>
    <w:p w:rsidR="005728DD" w:rsidRDefault="005728DD" w:rsidP="005728DD">
      <w:pPr>
        <w:pStyle w:val="TextoNormal"/>
      </w:pPr>
    </w:p>
    <w:p w:rsidR="005728DD" w:rsidRDefault="005728DD" w:rsidP="005728DD">
      <w:pPr>
        <w:pStyle w:val="TextoNormal"/>
      </w:pPr>
      <w:r>
        <w:t xml:space="preserve">Esta exigencia es aún más relevante si se tiene en cuenta que el derecho fundamental que se entiende vulnerado es de configuración legal, pues ello no implica que el margen del que dispone el legislador o su intérprete sea absoluto, toda vez que la operación interpretativa </w:t>
      </w:r>
      <w:r>
        <w:lastRenderedPageBreak/>
        <w:t>ha de hacerse sin restricciones innecesarias para el ejercicio del derecho. Operación que ha de ser llevada a cabo por el tribunal cuando sea requerido para ello, pues, de no hacerlo, “los derechos fundamentales de configuración legal quedarían degradados al plano de la legalidad ordinaria y por esta vía excluidos del control del amparo constitucional, instrumento que resulta idóneo para revisar una eventual lesión de los derechos del art. 23.2 CE causada por no aplicarse la normativa legal en el sentido más favorable a la efectividad del derecho fundamental” (STC 192/2012, de 29 de octubre, FJ 6).</w:t>
      </w:r>
    </w:p>
    <w:p w:rsidR="005728DD" w:rsidRDefault="005728DD" w:rsidP="005728DD">
      <w:pPr>
        <w:pStyle w:val="TextoNormal"/>
      </w:pPr>
    </w:p>
    <w:p w:rsidR="005728DD" w:rsidRDefault="005728DD" w:rsidP="005728DD">
      <w:pPr>
        <w:pStyle w:val="TextoNormal"/>
      </w:pPr>
      <w:r>
        <w:t>La sentencia adoptada en el presente caso se hace expreso eco de lo anterior en sus fundamentos jurídicos 3 c) y 4 e), pero la invocación que hace de esta doctrina y del principio que proclama es meramente rituaria, en la medida en que ningún papel juega en la resolución del presente recurso.</w:t>
      </w:r>
    </w:p>
    <w:p w:rsidR="005728DD" w:rsidRDefault="005728DD" w:rsidP="005728DD">
      <w:pPr>
        <w:pStyle w:val="TextoNormal"/>
      </w:pPr>
    </w:p>
    <w:p w:rsidR="005728DD" w:rsidRDefault="005728DD" w:rsidP="005728DD">
      <w:pPr>
        <w:pStyle w:val="TextoNormal"/>
      </w:pPr>
      <w:r>
        <w:t>Según nuestro criterio, de acuerdo con dicho principio hermenéutico, la clave del presente recurso era, por tanto, determinar si la regla general de la Ley 11/1986, que vincula la condición de elector y la de elegible a través de la exigencia de inscripción en el censo electoral vigente, es de carácter absoluto o conoce excepciones; o, más concretamente, si es posible entender que el art. 4.2 de la Ley 11/1986, del que más adelante nos ocupamos, contiene una excepción a dicha regla, en la medida en que permitiría que ciudadanos no inscritos en el censo vigente a la fecha de convocatoria de las elecciones pudieran presentarse como candidatos electorales.</w:t>
      </w:r>
    </w:p>
    <w:p w:rsidR="005728DD" w:rsidRDefault="005728DD" w:rsidP="005728DD">
      <w:pPr>
        <w:pStyle w:val="TextoNormal"/>
      </w:pPr>
    </w:p>
    <w:p w:rsidR="005728DD" w:rsidRDefault="005728DD" w:rsidP="005728DD">
      <w:pPr>
        <w:pStyle w:val="TextoNormal"/>
      </w:pPr>
      <w:r>
        <w:t>La presente sentencia viene a argumentar que solamente es posible interpretar la ley electoral madrileña y la LOREG (que coinciden en este punto, en la medida en que la primera ha de ajustarse a lo dispuesto por la segunda) en el sentido de entender que no se puede ser elegible (candidato) si no se puede ser elector (votante), de forma que para ser candidato en todo caso han de cumplirse (o ha de estarse en disposición de cumplir) los requisitos necesarios para poder votar en el concreto proceso electoral de que se trate, entre ellos y específicamente, la inscripción en el censo electoral a utilizar.</w:t>
      </w:r>
    </w:p>
    <w:p w:rsidR="005728DD" w:rsidRDefault="005728DD" w:rsidP="005728DD">
      <w:pPr>
        <w:pStyle w:val="TextoNormal"/>
      </w:pPr>
    </w:p>
    <w:p w:rsidR="005728DD" w:rsidRDefault="005728DD" w:rsidP="005728DD">
      <w:pPr>
        <w:pStyle w:val="TextoNormal"/>
      </w:pPr>
      <w:r>
        <w:t>Ninguno de los argumentos a través de los cuales se pretende llegar a dicha conclusión resulta convincente. Compartimos, como no puede ser de otro modo, su punto de partida, según el cual la LOREG y la legislación autonómica, sientan una regla general, la de que para ser elegible es preciso ser elector, para lo que se requiere estar inscrito en el censo electoral vigente, o lo que es lo mismo, el aplicable al concreto proceso electoral de que se trate (en el caso, el cerrado a 1 de enero de 2021). A partir de ahí, el razonamiento se despliega en varios planos.</w:t>
      </w:r>
    </w:p>
    <w:p w:rsidR="005728DD" w:rsidRDefault="005728DD" w:rsidP="005728DD">
      <w:pPr>
        <w:pStyle w:val="TextoNormal"/>
      </w:pPr>
    </w:p>
    <w:p w:rsidR="005728DD" w:rsidRDefault="005728DD" w:rsidP="005728DD">
      <w:pPr>
        <w:pStyle w:val="TextoNormal"/>
      </w:pPr>
      <w:r>
        <w:t xml:space="preserve">Por un lado, se cita doctrina constitucional —SSTC 144/1999 y 25/1992— que no parece aplicable al caso ahora planteado. La STC 144/1999 se refiere a un supuesto en el que el entonces candidato se veía afectado por la ejecución de una previa condena penal en la que se le privaba del derecho de sufragio activo y pasivo. El caso no tiene nada que ver con lo aquí discutido, ya que en él la condena penal había determinado la privación de ambos derechos. Lo que se discute aquí, sin embargo, es si ser elector es, en todo caso, necesario para ser elegible o si es posible que haya excepciones a lo que debe ser la regla general, si así lo permite el legislador competente. La doctrina de esta STC 144/1999 abogaría por la conformidad constitucional de esa regla que vincula a electores y elegibles, pero nada dice sobre la posibilidad de excepciones en los términos previstos por el legislador, que es lo que aquí </w:t>
      </w:r>
      <w:r>
        <w:lastRenderedPageBreak/>
        <w:t>se plantea. Por su parte, la STC 25/1992 analiza un caso en el que se concluye que no existe vulneración alguna ni del art. 14 ni del 23.2 CE en el hecho de que en unas determinadas elecciones de ámbito territorial restringido a una comunidad autónoma, solo tengan derecho de sufragio activo y pasivo los residentes en ella, esto es, los ciudadanos de la comunidad; condición que se cumplía en este proceso.</w:t>
      </w:r>
    </w:p>
    <w:p w:rsidR="005728DD" w:rsidRDefault="005728DD" w:rsidP="005728DD">
      <w:pPr>
        <w:pStyle w:val="TextoNormal"/>
      </w:pPr>
    </w:p>
    <w:p w:rsidR="005728DD" w:rsidRDefault="005728DD" w:rsidP="005728DD">
      <w:pPr>
        <w:pStyle w:val="TextoNormal"/>
      </w:pPr>
      <w:r>
        <w:t>Por otro lado, se realizan en la sentencia de la que disentimos numerosas invocaciones a la necesidad de cohonestar el derecho de sufragio activo y pasivo, invocaciones que no cabe sino compartir, pero tales invocaciones no se emplean para alcanzar el resultado que efectivamente importa; esto es, si, conforme a la ley madrileña, los interesados tenían derecho a ser candidatos o no. De tenerlo, es evidente que ello supondría ese entrelazamiento entre electores y elegibles que tanto resalta la sentencia de la que disentimos.</w:t>
      </w:r>
    </w:p>
    <w:p w:rsidR="005728DD" w:rsidRDefault="005728DD" w:rsidP="005728DD">
      <w:pPr>
        <w:pStyle w:val="TextoNormal"/>
      </w:pPr>
    </w:p>
    <w:p w:rsidR="005728DD" w:rsidRDefault="005728DD" w:rsidP="005728DD">
      <w:pPr>
        <w:pStyle w:val="TextoNormal"/>
      </w:pPr>
      <w:r>
        <w:t>Finalmente, la sentencia desecha tajantemente la interpretación que había sido propuesta por los recurrentes, y lo hace sin entrar en el más mínimo diálogo con las previsiones legales que eran aquí de ineludible aplicación.</w:t>
      </w:r>
    </w:p>
    <w:p w:rsidR="005728DD" w:rsidRDefault="005728DD" w:rsidP="005728DD">
      <w:pPr>
        <w:pStyle w:val="TextoNormal"/>
      </w:pPr>
    </w:p>
    <w:p w:rsidR="005728DD" w:rsidRDefault="005728DD" w:rsidP="005728DD">
      <w:pPr>
        <w:pStyle w:val="TextoNormal"/>
      </w:pPr>
      <w:r>
        <w:t>Frente a lo que la sentencia afirma [FJ 4 e)], la Ley 11/1986 no es ni clara ni “muy precisa”. Si lo fuera, no habría dado lugar a interpretaciones tan contrapuestas como las del órgano judicial y la previa de la Junta Electoral Provincial, y tampoco habría dado lugar a plantear el recurso de amparo ante este tribunal. En contraposición a lo que la sentencia parece dar a entender, de lo que se trataba en este recurso era de solucionar la falta de claridad de una regulación que es, cuando menos, ambigua y que por ello admite varias interpretaciones. Por ello, se imponía la opción a favor de una interpretación flexible y, desde luego, favorable a la efectividad del derecho fundamental concernido.</w:t>
      </w:r>
    </w:p>
    <w:p w:rsidR="005728DD" w:rsidRDefault="005728DD" w:rsidP="005728DD">
      <w:pPr>
        <w:pStyle w:val="TextoNormal"/>
      </w:pPr>
    </w:p>
    <w:p w:rsidR="005728DD" w:rsidRDefault="005728DD" w:rsidP="005728DD">
      <w:pPr>
        <w:pStyle w:val="TextoNormal"/>
      </w:pPr>
      <w:r>
        <w:t>Esa interpretación era, a nuestro entender, perfectamente posible y razonable.</w:t>
      </w:r>
    </w:p>
    <w:p w:rsidR="005728DD" w:rsidRDefault="005728DD" w:rsidP="005728DD">
      <w:pPr>
        <w:pStyle w:val="TextoNormal"/>
      </w:pPr>
    </w:p>
    <w:p w:rsidR="005728DD" w:rsidRDefault="005728DD" w:rsidP="005728DD">
      <w:pPr>
        <w:pStyle w:val="TextoNormal"/>
      </w:pPr>
      <w:r>
        <w:t>En efecto, del propio tenor literal de los arts. 3.1 y 4.2 puede inferirse que la ley no establece una vinculación idéntica entre el sufragio activo y la inscripción en el censo (elector) y el sufragio pasivo y dicha inscripción (elegible). Esta falta de identificación es comprensible, pues la inscripción en el censo es el instrumento elegido por el legislador para ordenar el ejercicio del derecho de sufragio activo (STC 86/2003, de 8 de mayo); de ahí la exigencia legal incluida al efecto, tanto en la ley madrileña como en la LOREG.</w:t>
      </w:r>
    </w:p>
    <w:p w:rsidR="005728DD" w:rsidRDefault="005728DD" w:rsidP="005728DD">
      <w:pPr>
        <w:pStyle w:val="TextoNormal"/>
      </w:pPr>
    </w:p>
    <w:p w:rsidR="005728DD" w:rsidRDefault="005728DD" w:rsidP="005728DD">
      <w:pPr>
        <w:pStyle w:val="TextoNormal"/>
      </w:pPr>
      <w:r>
        <w:t>Sin embargo, en el caso del sufragio pasivo, la cuestión no está tan clara. Es tan evidente que la Ley 11/1986 no explicita de forma terminante la posibilidad de presentarse como candidato cuando no se está inscrito en el censo electoral vigente, como que tampoco lo prohíbe expresamente. De hecho, el tenor literal de la norma permite entender que no establece tal prohibición, entendimiento que constituiría, evidentemente, una interpretación más favorable al ejercicio del derecho que la que sostenía el órgano judicial y que ha dado lugar al presente recurso de amparo.</w:t>
      </w:r>
    </w:p>
    <w:p w:rsidR="005728DD" w:rsidRDefault="005728DD" w:rsidP="005728DD">
      <w:pPr>
        <w:pStyle w:val="TextoNormal"/>
      </w:pPr>
    </w:p>
    <w:p w:rsidR="005728DD" w:rsidRDefault="005728DD" w:rsidP="005728DD">
      <w:pPr>
        <w:pStyle w:val="TextoNormal"/>
      </w:pPr>
      <w:r>
        <w:t xml:space="preserve">En efecto, el art. 3.1 fija una regla general que vincula la condición de elector con la de elegible, pero el art. 4.2 puede ser entendido como una excepción a dicha regla en cuanto que, refiriéndose a aquellos que aspiren a ser proclamados candidatos y no a los electores, permite que sean proclamados candidatos determinadas personas que no están incluidas en </w:t>
      </w:r>
      <w:r>
        <w:lastRenderedPageBreak/>
        <w:t>el censo electoral vigente, siempre que, en el momento de la presentación de las candidaturas acreditaran que reúnen las condiciones exigidas para poder serlo. No creemos que la única interpretación posible del art. 4.2 de la Ley 11/1986 sea la de que se refiere al supuesto de corrección de errores materiales, pues para ello no se precisaría de una habilitación legal específica. Por el contrario, el tenor literal del art. 4.2 (“[n]o obstante lo dispuesto en el párrafo primero del artículo anterior”) comienza claramente formulando una excepción a lo prescrito en la regla del art. 3.1 (la identificación elector-elegible) que hace posible defender lo que venimos exponiendo, de suerte que, ya que la ley electoral madrileña lo permite, puedan ser candidatos, a tenor de lo dispuesto en el tantas veces citado art. 4.2, quienes no figuran en el censo electoral de la Comunidad de Madrid, cerrado a efectos de unas determinadas elecciones, porque han adquirido la vecindad administrativa madrileña una vez que ese censo electoral se había cerrado, pero antes de la presentación de las candidaturas; no se discute que tal condición la ostentaban los candidatos excluidos por la sentencia impugnada.</w:t>
      </w:r>
    </w:p>
    <w:p w:rsidR="005728DD" w:rsidRDefault="005728DD" w:rsidP="005728DD">
      <w:pPr>
        <w:pStyle w:val="TextoNormal"/>
      </w:pPr>
    </w:p>
    <w:p w:rsidR="005728DD" w:rsidRDefault="005728DD" w:rsidP="005728DD">
      <w:pPr>
        <w:pStyle w:val="TextoNormal"/>
      </w:pPr>
      <w:r>
        <w:t>La interpretación restrictiva de la finalidad de la norma que realiza el órgano judicial y hace suya la sentencia vacía en parte de contenido a dicha norma, pues excluye de su tenor literal algo que no es incompatible con el mismo; a saber, que el precepto no solo posibilita la corrección de errores en la inscripción censal sino que también permite, en los términos antes expuestos, excepcionar la antedicha regla general que identifica elector con elegible.</w:t>
      </w:r>
    </w:p>
    <w:p w:rsidR="005728DD" w:rsidRDefault="005728DD" w:rsidP="005728DD">
      <w:pPr>
        <w:pStyle w:val="TextoNormal"/>
      </w:pPr>
    </w:p>
    <w:p w:rsidR="005728DD" w:rsidRDefault="005728DD" w:rsidP="005728DD">
      <w:pPr>
        <w:pStyle w:val="TextoNormal"/>
      </w:pPr>
      <w:r>
        <w:t>La mera existencia de esta interpretación más favorable al ejercicio del derecho fundamental de sufragio pasivo, que permite que el examen del cumplimiento de los requisitos de los que aspiren a ser candidatos se difiera al momento mismo de la presentación de la candidatura, hubiera debido llevar, en aplicación de la doctrina tradicional del tribunal ya mencionada al comienzo, a estimar el presente recurso.</w:t>
      </w:r>
    </w:p>
    <w:p w:rsidR="005728DD" w:rsidRDefault="005728DD" w:rsidP="005728DD">
      <w:pPr>
        <w:pStyle w:val="TextoNormal"/>
      </w:pPr>
    </w:p>
    <w:p w:rsidR="005728DD" w:rsidRDefault="005728DD" w:rsidP="005728DD">
      <w:pPr>
        <w:pStyle w:val="TextoNormal"/>
      </w:pPr>
      <w:r>
        <w:t>Tal interpretación no solamente es más favorable al ejercicio del derecho sino que también se adecúa mejor al tenor literal de los preceptos aplicables y a su interpretación sistemática en el seno de la Ley 11/1986.</w:t>
      </w:r>
    </w:p>
    <w:p w:rsidR="005728DD" w:rsidRDefault="005728DD" w:rsidP="005728DD">
      <w:pPr>
        <w:pStyle w:val="TextoNormal"/>
      </w:pPr>
    </w:p>
    <w:p w:rsidR="005728DD" w:rsidRDefault="005728DD" w:rsidP="005728DD">
      <w:pPr>
        <w:pStyle w:val="TextoNormal"/>
      </w:pPr>
      <w:r>
        <w:t>Y en tal sentido emito mi voto particular.</w:t>
      </w:r>
    </w:p>
    <w:p w:rsidR="005728DD" w:rsidRDefault="005728DD" w:rsidP="005728DD">
      <w:pPr>
        <w:pStyle w:val="TextoNormal"/>
      </w:pPr>
    </w:p>
    <w:p w:rsidR="005728DD" w:rsidRDefault="005728DD" w:rsidP="005728DD">
      <w:pPr>
        <w:pStyle w:val="TextoNormal"/>
      </w:pPr>
      <w:r>
        <w:t>Madrid, a quince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0" w:name="SENTENCIA_2021_77"/>
      <w:r>
        <w:lastRenderedPageBreak/>
        <w:t>SENTENCIA 77/2021, de 19 de abril de 2021</w:t>
      </w:r>
    </w:p>
    <w:bookmarkEnd w:id="80"/>
    <w:p w:rsidR="005728DD" w:rsidRDefault="005728DD" w:rsidP="005728DD">
      <w:pPr>
        <w:pStyle w:val="TtuloResolucin"/>
      </w:pPr>
      <w:r>
        <w:t>Sala Primera</w:t>
      </w:r>
    </w:p>
    <w:p w:rsidR="005728DD" w:rsidRDefault="005728DD" w:rsidP="005728DD">
      <w:pPr>
        <w:pStyle w:val="TtuloBOE"/>
      </w:pPr>
      <w:r>
        <w:t>(BOE núm. 119, de 19 de mayo de 2021)</w:t>
      </w:r>
    </w:p>
    <w:p w:rsidR="005728DD" w:rsidRDefault="005728DD" w:rsidP="005728DD">
      <w:pPr>
        <w:pStyle w:val="TextoNormalCentrado"/>
      </w:pPr>
      <w:r>
        <w:t>ECLI:ES:TC:2021:77</w:t>
      </w:r>
    </w:p>
    <w:p w:rsidR="005728DD" w:rsidRDefault="005728DD" w:rsidP="005728DD">
      <w:pPr>
        <w:pStyle w:val="TextoNormalCentrado"/>
      </w:pPr>
    </w:p>
    <w:p w:rsidR="005728DD" w:rsidRDefault="005728DD" w:rsidP="005728DD">
      <w:pPr>
        <w:pStyle w:val="SntesisDescriptiva"/>
      </w:pPr>
      <w:r>
        <w:t>Recurso de amparo 6510-2018. Promovido por doña Luz Aurora Cuya Ayala respecto de las resoluciones dictadas por un juzgado de primera instancia de Móstoles (Madrid)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2, 3].</w:t>
      </w:r>
    </w:p>
    <w:p w:rsidR="005728DD" w:rsidRDefault="005728DD" w:rsidP="005728DD">
      <w:pPr>
        <w:pStyle w:val="Extracto"/>
      </w:pPr>
    </w:p>
    <w:p w:rsidR="005728DD" w:rsidRDefault="005728DD" w:rsidP="005728DD">
      <w:pPr>
        <w:pStyle w:val="Extracto"/>
      </w:pPr>
      <w:r>
        <w:t>2.</w:t>
      </w:r>
      <w:r>
        <w:tab/>
        <w:t>Aplicación de la Directiva 93/13/CEE, del Consejo, de 5 de abril, sobre cláusulas abusivas en los contratos celebrados con consumidores, y de la STJUE de 26 de enero de 2017, Asunto</w:t>
      </w:r>
      <w:r w:rsidRPr="005728DD">
        <w:rPr>
          <w:i/>
        </w:rPr>
        <w:t xml:space="preserve"> Banco Primus, S.A. v. Jesús Gutiérrez García </w:t>
      </w:r>
      <w:r>
        <w:t>(asunto C-421/14), que instan a los órganos judiciales al control del carácter abusivo del clausulado de un contrato de préstamo con garantía hipotecaria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6510-2018, interpuesto por la procuradora de los tribunales doña Paloma Izquierdo Labrada, en nombre y representación de doña Luz Aurora Cuya Ayala, asistida por la abogada doña Ana María Muñoz del Reino, contra las providencias de 1 y 2 de octubre de 2018 y el auto de 28 de noviembre de 2018 del Juzgado de Primera Instancia núm. 6 de Móstoles, en el procedimiento de ejecución hipotecaria núm. 692-2013. Han comparecido don Miguel Valentín Moreno Cuya, representado por la procuradora de </w:t>
      </w:r>
      <w:r>
        <w:lastRenderedPageBreak/>
        <w:t>los tribunales doña Cristina Álvarez Pérez y asistido por el abogado don Eduardo de Zulueta y Luchsinger, y la entidad Banco Bilbao Vizcaya Argentaria, S.A., representada por la procuradora de los tribunales doña Ana María Llorens Pardo y asistida por la abogada doña Laura Rodríguez Arias. Ha intervenido el Ministerio Fiscal. Ha sido ponente el magistrado don Andrés Ollero Tassara.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7 de diciembre de 2018, doña Luz Aurora Cuya Ayala solicitó la designación de procurador y abogado del turno de oficio para interponer recurso de amparo contra las resoluciones judiciales a las que se ha hecho mención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Tras diversas incidencias procesales, por diligencia de ordenación de la secretaría de justicia de la Sala Primera de este tribunal de 26 de abril de 2019 se tuvo por efectuada la designación de profesionales del turno de oficio por los colegios de procuradores y de abogados de Madrid, concediendo a la procuradora designada, doña Paloma Izquierdo Labrada, un plazo de treinta días para que, bajo la dirección de la abogada designada, doña Ana María Muñoz del Reino, formulasen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Mediante escrito registrado en este tribunal el 24 de mayo de 2019 la referida procuradora procedió a presentar demanda de amparo contra las providencias de 1 y 2 de octubre de 2018 y el auto de 28 de noviembre de 2018, dictados por el Juzgado de Primera Instancia núm. 6 de Móstoles en el procedimiento de ejecución hipotecaria núm. 692-2013.</w:t>
      </w:r>
    </w:p>
    <w:p w:rsidR="005728DD" w:rsidRDefault="005728DD" w:rsidP="005728DD">
      <w:pPr>
        <w:pStyle w:val="TextoNormal"/>
      </w:pPr>
    </w:p>
    <w:p w:rsidR="005728DD" w:rsidRDefault="005728DD" w:rsidP="005728DD">
      <w:pPr>
        <w:pStyle w:val="TextoNormal"/>
      </w:pPr>
      <w:r>
        <w:t>Los hechos en que se fundamenta la demanda de amparo son, en síntesis, los que seguidamente se relacionan.</w:t>
      </w:r>
    </w:p>
    <w:p w:rsidR="005728DD" w:rsidRDefault="005728DD" w:rsidP="005728DD">
      <w:pPr>
        <w:pStyle w:val="TextoNormal"/>
      </w:pPr>
    </w:p>
    <w:p w:rsidR="005728DD" w:rsidRDefault="005728DD" w:rsidP="005728DD">
      <w:pPr>
        <w:pStyle w:val="TextoNormal"/>
      </w:pPr>
      <w:r>
        <w:t>a) En el Juzgado de Primera Instancia núm. 6 de Móstoles se sigue frente a la demandante de amparo el procedimiento de ejecución hipotecaria núm. 692-2013, promovido por la entidad Catalunya Bank, S.A. (como sucesora universal de Caja de Ahorros de Cataluña, S.A.), en relación con fincas situadas en las localidades de Humanes y Móstoles (Madrid), por el impago de sus obligaciones derivadas del contrato de préstamo hipotecario suscrito ante notario con fecha 31 de mayo de 2004. En dicho procedimiento se dictó auto el 31 de julio de 2013 despachando la ejecución y requiriendo de pago a la ejecutada.</w:t>
      </w:r>
    </w:p>
    <w:p w:rsidR="005728DD" w:rsidRDefault="005728DD" w:rsidP="005728DD">
      <w:pPr>
        <w:pStyle w:val="TextoNormal"/>
      </w:pPr>
    </w:p>
    <w:p w:rsidR="005728DD" w:rsidRDefault="005728DD" w:rsidP="005728DD">
      <w:pPr>
        <w:pStyle w:val="TextoNormal"/>
      </w:pPr>
      <w:r>
        <w:t>La entidad Catalunya Bank, S.A., fue absorbida el 13 de septiembre de 2016 por la entidad Banco Bilbao Vizcaya Argentaria, S.A.</w:t>
      </w:r>
    </w:p>
    <w:p w:rsidR="005728DD" w:rsidRDefault="005728DD" w:rsidP="005728DD">
      <w:pPr>
        <w:pStyle w:val="TextoNormal"/>
      </w:pPr>
    </w:p>
    <w:p w:rsidR="005728DD" w:rsidRDefault="005728DD" w:rsidP="005728DD">
      <w:pPr>
        <w:pStyle w:val="TextoNormal"/>
      </w:pPr>
      <w:r>
        <w:t>b) Por escrito de 21 de noviembre de 2013, la recurrente en amparo formuló oposición a la ejecución, alegando error en la determinación de la cantidad exigible y la nulidad por abusiva de la cláusula undécima del título ejecutivo, conocida como “pacto de liquidez”. La oposición fue desestimada por auto de 17 de marzo de 2014. Razona el juzgado, en cuanto al alegado error en la determinación de la cantidad exigible, que la ejecutada no indica en qué consistiría el pretendido error de cálculo, ni aporta una liquidación alternativa y, en cuanto a la cláusula de “pacto de liquidez”, considera que es válido, con apoyo en la jurisprudencia de la Sala de lo Civil del Tribunal Supremo.</w:t>
      </w:r>
    </w:p>
    <w:p w:rsidR="005728DD" w:rsidRDefault="005728DD" w:rsidP="005728DD">
      <w:pPr>
        <w:pStyle w:val="TextoNormal"/>
      </w:pPr>
    </w:p>
    <w:p w:rsidR="005728DD" w:rsidRDefault="005728DD" w:rsidP="005728DD">
      <w:pPr>
        <w:pStyle w:val="TextoNormal"/>
      </w:pPr>
      <w:r>
        <w:t>Fueron igualmente rechazadas por el juzgado las ulteriores solicitudes de la recurrente en amparo de anulación de la cláusula de “vencimiento anticipado”, mediante providencias de 9 de abril de 2015, 28 de abril de 2016, 23 de mayo de 2016 y 24 de junio de 2018. El Juzgado consideró que la recurrente ya había formulado oposición a la ejecución, que fue resuelta por el auto de 17 de marzo de 2014, y que tales pretensiones se quieren hacer valer cuando ya se habían adjudicado las fincas a la entidad bancaria ejecutante.</w:t>
      </w:r>
    </w:p>
    <w:p w:rsidR="005728DD" w:rsidRDefault="005728DD" w:rsidP="005728DD">
      <w:pPr>
        <w:pStyle w:val="TextoNormal"/>
      </w:pPr>
    </w:p>
    <w:p w:rsidR="005728DD" w:rsidRDefault="005728DD" w:rsidP="005728DD">
      <w:pPr>
        <w:pStyle w:val="TextoNormal"/>
      </w:pPr>
      <w:r>
        <w:t>c) El 27 de septiembre de 2018 la recurrente solicitó la suspensión del procedimiento hasta que el Tribunal de Justicia de la Unión Europea dictase sentencia en varias cuestiones prejudiciales, entre ellas la C-70/17, planteada por el Tribunal Supremo en relación con una cláusula de “vencimiento anticipado”. Esa solicitud de suspensión fue denegada mediante providencia de 1 de octubre de 2018. Rechazó también el juzgado, mediante providencia de 2 de octubre de 2018, el alegato de la recurrente sobre la falta de legitimación de la entidad bancaria ejecutante para instar la ejecución.</w:t>
      </w:r>
    </w:p>
    <w:p w:rsidR="005728DD" w:rsidRDefault="005728DD" w:rsidP="005728DD">
      <w:pPr>
        <w:pStyle w:val="TextoNormal"/>
      </w:pPr>
    </w:p>
    <w:p w:rsidR="005728DD" w:rsidRDefault="005728DD" w:rsidP="005728DD">
      <w:pPr>
        <w:pStyle w:val="TextoNormal"/>
      </w:pPr>
      <w:r>
        <w:t>d) Interpuesto contra ambas providencias recurso de reposición, fue desestimado por auto de 28 de noviembre de 2018. Por lo que se refiere a la providencia de 1 de octubre de 2018, razona el juzgado, reiterando argumentos ya mantenidos en ella, que la solicitante ya tuvo la oportunidad de alegar la abusividad de las cláusulas cuando formuló la oposición a la ejecución y solo lo hizo respecto de la cláusula de “pacto de liquidez”, sin incluir la de “vencimiento anticipado”. Además, el procedimiento ya ha concluido, al haberse adjudicado las fincas gravadas a la entidad ejecutante. Respecto a la providencia de 2 de octubre de 2018, el auto descarta los alegatos de la recurrente, concluyendo que la ejecutante se halla legitimada para instar el proceso de ejecución.</w:t>
      </w:r>
    </w:p>
    <w:p w:rsidR="005728DD" w:rsidRDefault="005728DD" w:rsidP="005728DD">
      <w:pPr>
        <w:pStyle w:val="TextoNormal"/>
      </w:pPr>
    </w:p>
    <w:p w:rsidR="005728DD" w:rsidRDefault="005728DD" w:rsidP="005728DD">
      <w:pPr>
        <w:pStyle w:val="TextoNormal"/>
      </w:pPr>
      <w:r w:rsidRPr="005728DD">
        <w:rPr>
          <w:rStyle w:val="NumeroAFNegritaCaracter"/>
        </w:rPr>
        <w:t>4</w:t>
      </w:r>
      <w:r>
        <w:t>. La demanda de amparo se interpone contra la providencia de 1 de octubre de 2018 y el auto de 28 de noviembre del mismo año del Juzgado de Primera Instancia núm. 6 de Móstoles, (procedimiento de ejecución hipotecaria núm. 692-2013). Se alega la vulneración del derecho a la tutela judicial efectiva (art. 24.1 CE), en relación con el principio de primacía del Derecho europeo (art. 91.6 CE), la protección de los consumidores (art. 51 CE) y otros preceptos de la Constitución española (arts. 9 y 14) y del Convenio europeo para la protección de los derechos humanos y de las libertades fundamentales (arts. 6, 13 y 14). La vulneración del derecho fundamental a la tutela judicial efectiva se concreta en la ausencia de control judicial sobre el carácter abusivo de la cláusula de “vencimiento anticipado”. La sentencia del Tribunal de Justicia de la Unión Europea de 26 de enero de 2017 (</w:t>
      </w:r>
      <w:r w:rsidRPr="005728DD">
        <w:rPr>
          <w:i/>
        </w:rPr>
        <w:t>Banco Primus, S.A., c. Jesús Gutiérrez García</w:t>
      </w:r>
      <w:r>
        <w:t>, asunto C-421/14) habría dejado clara e indubitada la nulidad de la cláusula de “vencimiento anticipado”. Solicitaba por ello la recurrente que se declarasen nulas las resoluciones judiciales impugnadas. Mediante otrosí solicitó la suspensión cautelar del procedimiento de ejecución hipotecaria.</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Por providencia de 19 de octubre de 2020, la Sección Segunda de este tribunal acordó admitir a trámite el recurso de amparo, apreciando que concurre una especial trascendencia constitucional [art. 50.1 de la Ley Orgánica del Tribunal Constitucional (LOTC)], por cuanto el asunto suscitado trasciende del caso concreto porque plantea una cuestión jurídica de relevante y general repercusión social o económica [STC 155/2009, FJ 2 g)]. Por ello, en aplicación de lo dispuesto en el art. 51 LOTC, se ordena dirigir atenta comunicación al Juzgado de Primera Instancia núm. 6 de Móstoles, para que, en plazo que no exceda de diez </w:t>
      </w:r>
      <w:r>
        <w:lastRenderedPageBreak/>
        <w:t>días, remita certificación o fotocopia adverada de las actuaciones correspondientes al procedimiento de ejecución hipotecaria núm. 692-2013, debiendo asimismo emplazar a quienes hubieran sido parte en dicho procedimiento, excepto a la recurrente en amparo, a fin de que puedan comparecer, si lo desean, en el presente proceso constitucional.</w:t>
      </w:r>
    </w:p>
    <w:p w:rsidR="005728DD" w:rsidRDefault="005728DD" w:rsidP="005728DD">
      <w:pPr>
        <w:pStyle w:val="TextoNormal"/>
      </w:pPr>
    </w:p>
    <w:p w:rsidR="005728DD" w:rsidRDefault="005728DD" w:rsidP="005728DD">
      <w:pPr>
        <w:pStyle w:val="TextoNormal"/>
      </w:pPr>
      <w:r>
        <w:t>Se acordó igualmente formar la correspondiente pieza separada de suspensión. Tramitada esta, por ATC 158/2020, de 14 de diciembre, se acordó, conforme a lo alegado por el Ministerio Fiscal, denegar la suspensión cautelar del procedimiento de ejecución hipotecaria y ordenar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6</w:t>
      </w:r>
      <w:r>
        <w:t>. La secretaría de justicia de la Sala Primera de este tribunal, por diligencia de ordenación de 19 de enero de 2021, acordó tener por personada y parte en el presente proceso constitucional a la procuradora doña Ana María Llorens Pardo, en nombre y representación de Banco Bilbao Vizcaya Argentaria, S.A., y a la procuradora doña Cristina Álvarez Pérez, en nombre y representación de don Miguel Valentín Moreno Cuya. Acordó asimismo dar vista de las actuaciones recibidas del Juzgado de Primera Instancia núm. 6 de Móstoles a las partes personadas y al Ministerio Fiscal, por plazo común de veinte días, para presentar las alegaciones que estimasen pertinentes, de conformidad con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El 2 de febrero de 2021 tuvo entrada en el registro de este tribunal el escrito de alegaciones presentado por la procuradora que representa a la recurrente, y que se remite íntegramente a lo razonado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mediante escrito presentado en este tribunal el 12 de febrero de 2021, formuló sus alegaciones, que a continuación se resumen.</w:t>
      </w:r>
    </w:p>
    <w:p w:rsidR="005728DD" w:rsidRDefault="005728DD" w:rsidP="005728DD">
      <w:pPr>
        <w:pStyle w:val="TextoNormal"/>
      </w:pPr>
    </w:p>
    <w:p w:rsidR="005728DD" w:rsidRDefault="005728DD" w:rsidP="005728DD">
      <w:pPr>
        <w:pStyle w:val="TextoNormal"/>
      </w:pPr>
      <w:r>
        <w:t xml:space="preserve">Tras aludir los antecedentes procesales relevantes para el caso y acotar la pretensión de la demandante de amparo, señala que el objeto del presente recurso consiste en dilucidar si el juez ha desconocido la doctrina del Tribunal de Justicia de la Unión Europea en materia de revisión de las cláusulas abusivas de los contratos hipotecarios (STJUE de 26 de enero de 2017, asunto </w:t>
      </w:r>
      <w:r w:rsidRPr="005728DD">
        <w:rPr>
          <w:i/>
        </w:rPr>
        <w:t>Banco Primus, S.A., c. Jesús Gutiérrez García</w:t>
      </w:r>
      <w:r>
        <w:t>) y la doctrina constitucional al respecto (STC 31/2019, de 28 de febrero, reiterada en otras posteriores). No se trata, pues, de un caso original que se plantee ante el Tribunal Constitucional, sino de un asunto más de una serie en la que ya existe una consolidada doctrina constitucional de aplicación al caso.</w:t>
      </w:r>
    </w:p>
    <w:p w:rsidR="005728DD" w:rsidRDefault="005728DD" w:rsidP="005728DD">
      <w:pPr>
        <w:pStyle w:val="TextoNormal"/>
      </w:pPr>
    </w:p>
    <w:p w:rsidR="005728DD" w:rsidRDefault="005728DD" w:rsidP="005728DD">
      <w:pPr>
        <w:pStyle w:val="TextoNormal"/>
      </w:pPr>
      <w:r>
        <w:t xml:space="preserve">Partiendo de esta premisa, el fiscal recuerda los pronunciamientos más relevantes de la citada STC 31/2019 y concluye que la aplicación de esta doctrina al presente caso conduce derechamente al otorgamiento del amparo solicitado. Como señala este tribunal en la STC 31/2019, FJ 7, el órgano judicial debió examinar si la doctrina de la STJUE de 26 de enero de 2017 era aplicable al supuesto sometido a su consideración. Esto implicaba llegar a la conclusión de que debió proceder al control del carácter abusivo de las cláusulas del contrato de préstamo hipotecario que solicitaba la recurrente, porque ese control judicial es susceptible de efectuarse mientras el proceso esté en curso, que es lo que ocurría en el presente caso. El juzgado no puede escudarse, para eludir ese control, en el argumento de que la recurrente, al formular oposición a la ejecución, solo alegó la abusividad de la cláusula de “pacto de liquidez”; ello supone olvidar que, conforme a la jurisprudencia citada, es obligado llevar a cabo el control judicial incluso de oficio. No podía el juzgado, por tanto, dejar </w:t>
      </w:r>
      <w:r>
        <w:lastRenderedPageBreak/>
        <w:t>de pronunciarse sobre la pretendida abusividad de la cláusula de “vencimiento anticipado”. Tampoco puede eludirse ese control bajo el argumento de que no es posible por haberse adjudicado ya las fincas gravadas a la entidad ejecutante. De acuerdo con esa misma doctrina, el control de la abusividad de las cláusulas puede y debe llevarse a cabo mientras el procedimiento esté vivo y en este caso el proceso de ejecución no había concluido, ya que no se había producido aún el lanzamiento y la ejecutada estaba todavía en posesión de las fincas.</w:t>
      </w:r>
    </w:p>
    <w:p w:rsidR="005728DD" w:rsidRDefault="005728DD" w:rsidP="005728DD">
      <w:pPr>
        <w:pStyle w:val="TextoNormal"/>
      </w:pPr>
    </w:p>
    <w:p w:rsidR="005728DD" w:rsidRDefault="005728DD" w:rsidP="005728DD">
      <w:pPr>
        <w:pStyle w:val="TextoNormal"/>
      </w:pPr>
      <w:r>
        <w:t>Por todo ello, el fiscal considera que se ha vulnerado el derecho de la recurrente a la tutela judicial efectiva sin indefensión (art. 24.1 CE), debiendo acordarse la nulidad de todo lo actuado a partir de la providencia de 1 de octubre de 2018 y retrotraer las actuaciones al momento inmediatamente anterior al dictado de esa providencia, a fin de que el juzgado resuelva sobre el carácter abusivo de las cláusulas denunciadas.</w:t>
      </w:r>
    </w:p>
    <w:p w:rsidR="005728DD" w:rsidRDefault="005728DD" w:rsidP="005728DD">
      <w:pPr>
        <w:pStyle w:val="TextoNormal"/>
      </w:pPr>
    </w:p>
    <w:p w:rsidR="005728DD" w:rsidRDefault="005728DD" w:rsidP="005728DD">
      <w:pPr>
        <w:pStyle w:val="TextoNormal"/>
      </w:pPr>
      <w:r w:rsidRPr="005728DD">
        <w:rPr>
          <w:rStyle w:val="NumeroAFNegritaCaracter"/>
        </w:rPr>
        <w:t>9</w:t>
      </w:r>
      <w:r>
        <w:t>. El 22 de febrero de 2021 tuvo entrada en el registro general de este tribunal el escrito de alegaciones de la procuradora de los tribunales doña Cristina Álvarez Pérez, en representación de don Miguel Valentín Moreno Cuya, en el que solicita la estimación del recurso de amparo.</w:t>
      </w:r>
    </w:p>
    <w:p w:rsidR="005728DD" w:rsidRDefault="005728DD" w:rsidP="005728DD">
      <w:pPr>
        <w:pStyle w:val="TextoNormal"/>
      </w:pPr>
    </w:p>
    <w:p w:rsidR="005728DD" w:rsidRDefault="005728DD" w:rsidP="005728DD">
      <w:pPr>
        <w:pStyle w:val="TextoNormal"/>
      </w:pPr>
      <w:r>
        <w:t>Recuerda que el Tribunal de Justicia de la Unión Europea viene exigiendo al juez que, si el proceso no está acabado (aun cuando ya se haya adjudicado la vivienda a un tercero), y previamente nunca se ha pronunciado al respecto, resuelva sobre la nulidad de las cláusulas abusivas que afecten al título, tan pronto como tenga conocimiento y elementos de juicio para ello. En el presente caso ese pronunciamiento previo no ha existido y el procedimiento hipotecario aún no finalizado en su integridad, por lo que el órgano judicial viene obligado a verificar si las cláusulas de carácter esencial contenidas en el título traído a ejecución tienen o no carácter abusivo. El Juzgado de Primera Instancia núm. 6 de Móstoles se ha negado a llevar a cabo ese control en lo que se refiere a la cláusula de “vencimiento anticipado”, desconociendo la primacía del Derecho de la Unión Europea, conforme ha sido interpretado por el Tribunal de Justicia de la Unión Europea, lo que determina la vulneración del derecho a la tutela judicial efectiva (art. 24.1 CE), como tiene reiteradamente declarado la doctrina constitucional.</w:t>
      </w:r>
    </w:p>
    <w:p w:rsidR="005728DD" w:rsidRDefault="005728DD" w:rsidP="005728DD">
      <w:pPr>
        <w:pStyle w:val="TextoNormal"/>
      </w:pPr>
    </w:p>
    <w:p w:rsidR="005728DD" w:rsidRDefault="005728DD" w:rsidP="005728DD">
      <w:pPr>
        <w:pStyle w:val="TextoNormal"/>
      </w:pPr>
      <w:r w:rsidRPr="005728DD">
        <w:rPr>
          <w:rStyle w:val="NumeroAFNegritaCaracter"/>
        </w:rPr>
        <w:t>10</w:t>
      </w:r>
      <w:r>
        <w:t>. La representación procesal de entidad Banco Bilbao Vizcaya Argentaria, S.A., no formuló alegaciones.</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15 de abril de 2021 se señaló para la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La demandante de amparo sostiene que el Juzgado de Primera núm. 6 de Móstoles, en el procedimiento de ejecución hipotecaria núm. 692-2013, ha vulnerado su derecho fundamental a la tutela judicial efectiva (art. 24.1 CE), por mostrarse contrario a controlar la abusividad de las cláusulas del contrato de préstamo con garantía hipotecaria suscrito con una entidad de crédito. La demanda de amparo se dirige concretamente contra: la providencia </w:t>
      </w:r>
      <w:r>
        <w:lastRenderedPageBreak/>
        <w:t>de 1 de octubre de 2018, que rechaza suspender el procedimiento en tanto el Tribunal de Justicia de la Unión Europea no resolviese varias cuestiones prejudiciales; la providencia de 2 de octubre de 2018, que descarta la alegada falta de legitimación de la entidad ejecutante para instar la ejecución; así como el auto de 28 de noviembre de 2018, que desestima el recurso de reposición interpuesto frente a ambas providencias.</w:t>
      </w:r>
    </w:p>
    <w:p w:rsidR="005728DD" w:rsidRDefault="005728DD" w:rsidP="005728DD">
      <w:pPr>
        <w:pStyle w:val="TextoNormal"/>
      </w:pPr>
    </w:p>
    <w:p w:rsidR="005728DD" w:rsidRDefault="005728DD" w:rsidP="005728DD">
      <w:pPr>
        <w:pStyle w:val="TextoNormal"/>
      </w:pPr>
      <w:r>
        <w:t>El Ministerio Fiscal y la representación procesal de don Miguel Valentín Moreno Cuya solicitan la 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2</w:t>
      </w:r>
      <w:r>
        <w:t>. Este tribunal en ningún caso puede dirimir si la cláusula contractual denunciada por la demandante (de “vencimiento anticipado”) tiene o no carácter abusivo, pues esa cuestión se incardina dentro de los límites de la legalidad ordinaria y, en consecuencia, su conocimiento corresponde a la jurisdicción civil (por todas, STC 140/2020, de 6 de octubre, FJ 2). Nuestro cometido será determinar si la negativa del órgano judicial a pronunciarse sobre el carácter abusivo de la cláusula aludida vulnera o no el derecho a la tutela judicial efectiva sin indefensión (art. 24.1 CE), lo que implica analizar el pretexto de que las fincas gravadas ya han sido puestas a disposición de la entidad financiera ejecutante y de que la ejecutada tuvo ocasión de alegar sobre el carácter abusivo de las cláusulas cuando formuló la oposición a la ejecución; pues solo lo hizo respecto de la cláusula de “pacto de liquidez”, sin referirse a la de “vencimiento anticipado”.</w:t>
      </w:r>
    </w:p>
    <w:p w:rsidR="005728DD" w:rsidRDefault="005728DD" w:rsidP="005728DD">
      <w:pPr>
        <w:pStyle w:val="TextoNormal"/>
      </w:pPr>
    </w:p>
    <w:p w:rsidR="005728DD" w:rsidRDefault="005728DD" w:rsidP="005728DD">
      <w:pPr>
        <w:pStyle w:val="TextoNormal"/>
      </w:pPr>
      <w:r>
        <w:t xml:space="preserve">Para dar respuesta a esta cuestión habremos de tener en cuenta la doctrina constitucional sentada por la STC 31/2019, de 28 de febrero, reiterada en ulteriores pronunciamientos de este tribunal. La citada STC 31/2019 resolvió un asunto coincidente en lo sustancial con el suscitado en el presente recurso de amparo. Con base en el Derecho de la Unión Europea (Directiva 93/13/CEE, del Consejo, de 5 de abril, sobre cláusulas abusivas en los contratos celebrados con consumidores y sentencia del Tribunal de Justicia de la Unión Europea de 26 de enero de 2017, asunto </w:t>
      </w:r>
      <w:r w:rsidRPr="005728DD">
        <w:rPr>
          <w:i/>
        </w:rPr>
        <w:t>Banco Primus, S.A., y Jesús Gutiérrez García</w:t>
      </w:r>
      <w:r>
        <w:t>, C-421/14), se instaba el control del carácter abusivo de un contrato de préstamo con garantía hipotecaria; en concreto, de la cláusula de “vencimiento anticipado”.</w:t>
      </w:r>
    </w:p>
    <w:p w:rsidR="005728DD" w:rsidRDefault="005728DD" w:rsidP="005728DD">
      <w:pPr>
        <w:pStyle w:val="TextoNormal"/>
      </w:pPr>
    </w:p>
    <w:p w:rsidR="005728DD" w:rsidRDefault="005728DD" w:rsidP="005728DD">
      <w:pPr>
        <w:pStyle w:val="TextoNormal"/>
      </w:pPr>
      <w:r>
        <w:t>La sentencia recuerda que una selección irrazonable y arbitraria de la norma aplicable al proceso vulnera el derecho fundamental del demandante de amparo a la tutela judicial efectiva (art. 24.1 CE). Con cita de doctrina precedente, advierte que el desconocimiento y preterición de una norma de Derecho de la Unión, tal y como ha sido interpretada por el Tribunal de Justicia de la Unión Europea, puede suponer una selección irrazonable y arbitraria de una norma aplicable al proceso, lo cual puede dar lugar a una vulneración del derecho a la tutela judicial efectiva (STC 31/2019, FJ 4).</w:t>
      </w:r>
    </w:p>
    <w:p w:rsidR="005728DD" w:rsidRDefault="005728DD" w:rsidP="005728DD">
      <w:pPr>
        <w:pStyle w:val="TextoNormal"/>
      </w:pPr>
    </w:p>
    <w:p w:rsidR="005728DD" w:rsidRDefault="005728DD" w:rsidP="005728DD">
      <w:pPr>
        <w:pStyle w:val="TextoNormal"/>
      </w:pPr>
      <w:r>
        <w:t xml:space="preserve">En lo que interesa específicamente al presente recurso, la STC 31/2019, FJ 6, subraya que, de la Directiva 93/13/CEE, conforme a la interpretación realizada por parte del Tribunal de Justicia de la Unión Europea (sentencia de 26 de enero de 2017, asunto </w:t>
      </w:r>
      <w:r w:rsidRPr="005728DD">
        <w:rPr>
          <w:i/>
        </w:rPr>
        <w:t>Banco Primus, S.A</w:t>
      </w:r>
      <w:r>
        <w:t xml:space="preserve">.), se desprende que el juez nacional viene obligado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w:t>
      </w:r>
      <w:r>
        <w:lastRenderedPageBreak/>
        <w:t xml:space="preserve">En este caso, la sentencia </w:t>
      </w:r>
      <w:r w:rsidRPr="005728DD">
        <w:rPr>
          <w:i/>
        </w:rPr>
        <w:t>Banco Primus</w:t>
      </w:r>
      <w:r>
        <w:t xml:space="preserve"> aportaba los elementos de hecho y de Derecho que permitían, en el caso de que así procediera, declarar abusiva la cláusula de vencimiento anticipado”.</w:t>
      </w:r>
    </w:p>
    <w:p w:rsidR="005728DD" w:rsidRDefault="005728DD" w:rsidP="005728DD">
      <w:pPr>
        <w:pStyle w:val="TextoNormal"/>
      </w:pPr>
    </w:p>
    <w:p w:rsidR="005728DD" w:rsidRDefault="005728DD" w:rsidP="005728DD">
      <w:pPr>
        <w:pStyle w:val="TextoNormal"/>
      </w:pPr>
      <w:r>
        <w:t>Así pues, sobre el órgano judicial recae la obligación de llevar a cabo un efectivo control del posible abuso de las cláusulas contractuales de los contratos celebrados con los consumidores, en los términos establecidos en la doctrina constitucional referida.</w:t>
      </w:r>
    </w:p>
    <w:p w:rsidR="005728DD" w:rsidRDefault="005728DD" w:rsidP="005728DD">
      <w:pPr>
        <w:pStyle w:val="TextoNormal"/>
      </w:pPr>
    </w:p>
    <w:p w:rsidR="005728DD" w:rsidRDefault="005728DD" w:rsidP="005728DD">
      <w:pPr>
        <w:pStyle w:val="TextoNormal"/>
      </w:pPr>
      <w:r w:rsidRPr="005728DD">
        <w:rPr>
          <w:rStyle w:val="NumeroAFNegritaCaracter"/>
        </w:rPr>
        <w:t>3</w:t>
      </w:r>
      <w:r>
        <w:t>. La aplicación de esta doctrina constitucional al presente caso conduce al otorgamiento del amparo solicitado.</w:t>
      </w:r>
    </w:p>
    <w:p w:rsidR="005728DD" w:rsidRDefault="005728DD" w:rsidP="005728DD">
      <w:pPr>
        <w:pStyle w:val="TextoNormal"/>
      </w:pPr>
    </w:p>
    <w:p w:rsidR="005728DD" w:rsidRDefault="005728DD" w:rsidP="005728DD">
      <w:pPr>
        <w:pStyle w:val="TextoNormal"/>
      </w:pPr>
      <w:r>
        <w:t>Como ha quedado expuesto, para rechazar la revisión sobre la abusividad de la cláusula de “vencimiento anticipado” el juzgado se limita a proclamar el carácter extemporáneo de la solicitud de revisión, bien señalando que la ejecución hipotecaria ya se había consumado con la puesta a disposición de la ejecutante de las fincas gravadas, bien indicando que la recurrente no hizo uso oportunamente de las posibilidades procesales para denunciar esa cláusula. Esta respuesta del órgano judicial no satisface las mínimas exigencias de motivación que dimanan de la doctrina constitucional referida, pues desconoce las exigencias del principio de primacía del Derecho de la Unión Europea y la obligación de control de oficio por los órganos judiciales del eventual carácter abusivo de las cláusulas de los contratos de préstamo hipotecario. Esta únicamente se exceptúa en el caso de que la posible abusividad del clausulado hubiera sido examinada en un anterior control judicial, lo que no sucedía en el presente caso respecto de la cláusula de “vencimiento anticipado”. En suma, el juzgador rehusó revisar la cláusula de resolución por vencimiento anticipado del título de ejecución, sin que tal decisión se fundara en el hecho de que, en un estadio procesal anterior, hubiera ya examinado, de oficio o a instancia de parte, el posible abuso de la referida cláusula.</w:t>
      </w:r>
    </w:p>
    <w:p w:rsidR="005728DD" w:rsidRDefault="005728DD" w:rsidP="005728DD">
      <w:pPr>
        <w:pStyle w:val="TextoNormal"/>
      </w:pPr>
    </w:p>
    <w:p w:rsidR="005728DD" w:rsidRDefault="005728DD" w:rsidP="005728DD">
      <w:pPr>
        <w:pStyle w:val="TextoNormal"/>
      </w:pPr>
      <w:r>
        <w:t>Por consiguiente, las resoluciones judiciales impugnadas en amparo han vulnerado el derecho de la recurrente a la tutela judicial efectiva sin indefensión (art. 24.1 CE), pues la decisión de no pronunciarse sobre el eventual carácter abusivo de la cláusula de “vencimiento anticipado” infringe el principio de primacía del Derecho de la Unión Europea, “al prescindir el juzgado de la interpretación impuesta y señalada por el órgano competente para hacerlo con carácter vinculante”. Incurre, por ello, “en una interpretación irrazonable y arbitraria de una norma aplicada al proceso” (STC 31/2019, FJ 9). Procede por tanto el otorgamiento del amparo, con declaración de la nulidad de las resoluciones impugnadas y retroacción de las actuaciones al momento procesal oportuno a fin de que el órgano judicial, con plenitud de jurisdicción, dicte una nueva resolución respetuosa con el derecho fundamental reconocido.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Luz Aurora Cuya Ayala y, en su virtud:</w:t>
      </w:r>
    </w:p>
    <w:p w:rsidR="005728DD" w:rsidRDefault="005728DD" w:rsidP="005728DD">
      <w:pPr>
        <w:pStyle w:val="TextoNormal"/>
      </w:pPr>
    </w:p>
    <w:p w:rsidR="005728DD" w:rsidRDefault="005728DD" w:rsidP="005728DD">
      <w:pPr>
        <w:pStyle w:val="TextoNormal"/>
      </w:pPr>
      <w:r>
        <w:t>1º Declarar que ha sido vulnerado su derecho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a tal fin, declarar la nulidad de las providencias de 1 y 2 de octubre de 2018 y del auto de 28 de noviembre de 2018, dictados por el Juzgado de Primera Instancia núm. 6 de Móstoles en el procedimiento de ejecución hipotecaria núm. 692-2013.</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 la providencia de 1 de octubre de 2018, para que el órgano judicial dicte una nueva resolución que sea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1" w:name="SENTENCIA_2021_78"/>
      <w:r>
        <w:lastRenderedPageBreak/>
        <w:t>SENTENCIA 78/2021, de 19 de abril de 2021</w:t>
      </w:r>
    </w:p>
    <w:bookmarkEnd w:id="81"/>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ECLI:ES:TC:2021:78</w:t>
      </w:r>
    </w:p>
    <w:p w:rsidR="005728DD" w:rsidRDefault="005728DD" w:rsidP="005728DD">
      <w:pPr>
        <w:pStyle w:val="TextoNormalCentrado"/>
      </w:pPr>
    </w:p>
    <w:p w:rsidR="005728DD" w:rsidRDefault="005728DD" w:rsidP="005728DD">
      <w:pPr>
        <w:pStyle w:val="SntesisDescriptiva"/>
      </w:pPr>
      <w:r>
        <w:t>Recurso de amparo 541-2019. Promovido por don Clemente Cerros Díez de Baldeón en relación con las sentencias de un juzgado de lo penal y la Audiencia Provincial de Madrid que le condenaron por un delito de quebrantamiento de medida cautelar.</w:t>
      </w:r>
    </w:p>
    <w:p w:rsidR="005728DD" w:rsidRDefault="005728DD" w:rsidP="005728DD">
      <w:pPr>
        <w:pStyle w:val="SntesisDescriptiva"/>
      </w:pPr>
    </w:p>
    <w:p w:rsidR="005728DD" w:rsidRDefault="005728DD" w:rsidP="005728DD">
      <w:pPr>
        <w:pStyle w:val="SntesisAnaltica"/>
      </w:pPr>
      <w:r>
        <w:t>Vulneración del derecho a la legalidad penal: condena impuesta por el incumplimiento de una medida adoptada en un proceso penal que se había sobreseído.</w:t>
      </w:r>
    </w:p>
    <w:p w:rsidR="005728DD" w:rsidRDefault="005728DD" w:rsidP="005728DD">
      <w:pPr>
        <w:pStyle w:val="SntesisAnaltica"/>
      </w:pPr>
    </w:p>
    <w:p w:rsidR="005728DD" w:rsidRDefault="005728DD" w:rsidP="005728DD">
      <w:pPr>
        <w:pStyle w:val="Extracto"/>
      </w:pPr>
      <w:r>
        <w:t>1.</w:t>
      </w:r>
      <w:r>
        <w:tab/>
        <w:t>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(SSTC 137/1997, 189/1998, 13/2003, 138/2004, 242/2005, 9/2006 y 262/2006) [FJ 5].</w:t>
      </w:r>
    </w:p>
    <w:p w:rsidR="005728DD" w:rsidRDefault="005728DD" w:rsidP="005728DD">
      <w:pPr>
        <w:pStyle w:val="Extracto"/>
      </w:pPr>
    </w:p>
    <w:p w:rsidR="005728DD" w:rsidRDefault="005728DD" w:rsidP="005728DD">
      <w:pPr>
        <w:pStyle w:val="Extracto"/>
      </w:pPr>
      <w:r>
        <w:t>2.</w:t>
      </w:r>
      <w:r>
        <w:tab/>
        <w:t>Doctrina constitucional sobre el derecho a la legalidad penal, principalmente referida a la interpretación y aplicación de las normas penales por los órganos judiciales y al parámetro de fiscalización por parte de este tribunal (STC 129/2008) [FJ 5].</w:t>
      </w:r>
    </w:p>
    <w:p w:rsidR="005728DD" w:rsidRDefault="005728DD" w:rsidP="005728DD">
      <w:pPr>
        <w:pStyle w:val="Extracto"/>
      </w:pPr>
    </w:p>
    <w:p w:rsidR="005728DD" w:rsidRDefault="005728DD" w:rsidP="005728DD">
      <w:pPr>
        <w:pStyle w:val="Extracto"/>
      </w:pPr>
      <w:r>
        <w:t>3.</w:t>
      </w:r>
      <w:r>
        <w:tab/>
        <w:t>Una resolución absolutoria supone la desaparición, en principio, de los indicios incriminatorios contra el acusado, y, en consecuencia, el levantamiento de las eventuales medidas de protección, máxime cuando afectan a derechos y libertades del imputado también constitucionalmente protegidos [FJ 6].</w:t>
      </w:r>
    </w:p>
    <w:p w:rsidR="005728DD" w:rsidRDefault="005728DD" w:rsidP="005728DD">
      <w:pPr>
        <w:pStyle w:val="Extracto"/>
      </w:pPr>
    </w:p>
    <w:p w:rsidR="005728DD" w:rsidRDefault="005728DD" w:rsidP="005728DD">
      <w:pPr>
        <w:pStyle w:val="Extracto"/>
      </w:pPr>
      <w:r>
        <w:t>4.</w:t>
      </w:r>
      <w:r>
        <w:tab/>
        <w:t>El mantenimiento de una orden de protección en el supuesto de sentencia absolutoria se supedita por el legislador (art. 69 de la Ley Orgánica 1/2004, de medidas de protección integral contra la violencia de género), a que se haga constar expresamente en dicha resolución, lo que requerirá un plus de motivación al órgano judicial, desde el canon de la proporcionalidad (STC 16/2012) [FJ 6].</w:t>
      </w:r>
    </w:p>
    <w:p w:rsidR="005728DD" w:rsidRDefault="005728DD" w:rsidP="005728DD">
      <w:pPr>
        <w:pStyle w:val="Extracto"/>
      </w:pPr>
    </w:p>
    <w:p w:rsidR="005728DD" w:rsidRDefault="005728DD" w:rsidP="005728DD">
      <w:pPr>
        <w:pStyle w:val="Extracto"/>
      </w:pPr>
      <w:r>
        <w:t>5.</w:t>
      </w:r>
      <w:r>
        <w:tab/>
        <w:t>Una decisión de sobreseimiento provisional por su propia naturaleza no puede jurídicamente afectar a la presunción de inocencia (art. 24.2 CE) y, en consecuencia, el sobreseído ha de ser tenido como inocente a todos los efectos, incluido por supuesto el ejercicio de sus derechos, dado que no se ha producido una decisión condenatoria en forma de sentencia (STC 34/1983) [FJ 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 xml:space="preserve">La Sala Segunda del Tribunal Constitucional, compuesta por la magistrada doña Encarnación Roca Trías, presidenta, y los magistrados don Juan Antonio Xiol Ríos, don Pedro </w:t>
      </w:r>
      <w:r>
        <w:lastRenderedPageBreak/>
        <w:t>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541-2019, promovido por don Clemente Cerros Díez de Baldeón, representado por la procuradora de tribunales doña Isabel Rufo Chocano y asistida por la letrada doña Marta Mendoza Alonso, contra las siguientes resoluciones: sentencia núm. 46/2018, de 1 de febrero, dictada por el Juzgado de lo Penal núm. 33 de Madrid, en cuya virtud el demandante resultó condenado por los delitos que más adelante se indican; sentencia núm. 254/2018, de 4 de abril, de la Sección Vigesimosexta de la Audiencia Provincial de Madrid, que desestimó el recurso de apelación interpuesto por aquel; auto núm. 1096/2018, de 6 de septiembre, en cuya virtud la Sala de lo Penal del Tribunal Supremo inadmitió el recurso de casación formulado por el demandante y auto de 29 de noviembre de 2018, dictado por el órgano judicial último citado, que deniega la aclaración interesada respecto del auto de inadmisión. Ha comparecido doña Lucía Isabel Diego Camargo. Ha intervenido el Ministerio Fiscal.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el día 25 de enero de 2019, doña Isabel Rufo Chocano, procuradora de los tribunales, en nombre y representación de don Clemente Cerros Díez de Baldeón, interpuso recurso de amparo contra las resoluciones indicadas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de los que trae causa la demanda de amparo son los siguientes:</w:t>
      </w:r>
    </w:p>
    <w:p w:rsidR="005728DD" w:rsidRDefault="005728DD" w:rsidP="005728DD">
      <w:pPr>
        <w:pStyle w:val="TextoNormal"/>
      </w:pPr>
    </w:p>
    <w:p w:rsidR="005728DD" w:rsidRDefault="005728DD" w:rsidP="005728DD">
      <w:pPr>
        <w:pStyle w:val="TextoNormal"/>
      </w:pPr>
      <w:r>
        <w:t>a) El día tres de mayo de 2015, el Juzgado de Primera Instancia e Instrucción núm. 2 de Colmenar Viejo incoó las diligencias urgentes núm. 27-2015, con motivo de la denuncia formulada contra el demandante por los malos tratos causados a doña Lucía Isabel Diego Camargo. Por auto de fecha 3 de mayo del 2015, el juzgado instructor acordó la medida cautelar de prohibición de aproximación a menos de trescientos metros y de comunicarse por cualquier medio con aquella. Según reza la referida resolución, la medida cautelar “se mantendrá durante toda la tramitación del proceso, hasta que recaiga sentencia firme o, en el caso de que fuera condenatoria, hasta que se le requiera para el cumplimiento de la condena; y ello sin perjuicio de lo que ulteriormente pueda acordarse en sentencia o pueda modificarse en atención a la alteración sustancial de las circunstancias o el cese de la situación de riesgo”.</w:t>
      </w:r>
    </w:p>
    <w:p w:rsidR="005728DD" w:rsidRDefault="005728DD" w:rsidP="005728DD">
      <w:pPr>
        <w:pStyle w:val="TextoNormal"/>
      </w:pPr>
    </w:p>
    <w:p w:rsidR="005728DD" w:rsidRDefault="005728DD" w:rsidP="005728DD">
      <w:pPr>
        <w:pStyle w:val="TextoNormal"/>
      </w:pPr>
      <w:r>
        <w:lastRenderedPageBreak/>
        <w:t>b) Las referidas diligencias urgentes fueron inhibidas a favor del Juzgado de Primera Instancia e Instrucción núm. 4 de Colmenar Viejo, que en fecha 4 de mayo de 2015 incoó las diligencias urgentes núm. 59-2015, ulteriormente trasformadas en la diligencias previas núm. 647-2015.</w:t>
      </w:r>
    </w:p>
    <w:p w:rsidR="005728DD" w:rsidRDefault="005728DD" w:rsidP="005728DD">
      <w:pPr>
        <w:pStyle w:val="TextoNormal"/>
      </w:pPr>
    </w:p>
    <w:p w:rsidR="005728DD" w:rsidRDefault="005728DD" w:rsidP="005728DD">
      <w:pPr>
        <w:pStyle w:val="TextoNormal"/>
      </w:pPr>
      <w:r>
        <w:t>c) Mediante comparecencia efectuada el 29 de junio de 2015, doña Lucía Isabel Diego Camargo solicitó “retirar la orden de alejamiento y que se archive el procedimiento”. Por auto de fecha 4 de agosto de 2015 se acordó el sobreseimiento provisional y archivo de las actuaciones, al amparo de lo dispuesto en el art. 641.1 de la Ley de enjuiciamiento criminal (LECrim). En la fundamentación jurídica de la citada resolución consta lo siguiente “[i]nsiste en negar la evaluada haber sufrido cualquier agresión física por el denunciado, desacreditando las voces que afirman lo contrario”. Contra la referida resolución no se interpuso recurso alguno.</w:t>
      </w:r>
    </w:p>
    <w:p w:rsidR="005728DD" w:rsidRDefault="005728DD" w:rsidP="005728DD">
      <w:pPr>
        <w:pStyle w:val="TextoNormal"/>
      </w:pPr>
    </w:p>
    <w:p w:rsidR="005728DD" w:rsidRDefault="005728DD" w:rsidP="005728DD">
      <w:pPr>
        <w:pStyle w:val="TextoNormal"/>
      </w:pPr>
      <w:r>
        <w:t>d) El Juzgado de Primera Instancia e Instrucción núm. 4 de Colmenar Viejo dictó auto, de fecha 11 de noviembre de 2015, en cuya virtud dejó sin efecto las medidas cautelares a que se ha hecho referencia. En esencia, el motivo de lo resuelto fue que “habiéndose dictado auto de sobreseimiento provisional y archivo de las actuaciones procede dejar sin efecto la orden de protección dictada […] en fecha 3 de mayo de 2015 por el Juzgado de Instrucción núm.  2 de Colmenar Viejo”.</w:t>
      </w:r>
    </w:p>
    <w:p w:rsidR="005728DD" w:rsidRDefault="005728DD" w:rsidP="005728DD">
      <w:pPr>
        <w:pStyle w:val="TextoNormal"/>
      </w:pPr>
    </w:p>
    <w:p w:rsidR="005728DD" w:rsidRDefault="005728DD" w:rsidP="005728DD">
      <w:pPr>
        <w:pStyle w:val="TextoNormal"/>
      </w:pPr>
      <w:r>
        <w:t>e) Las diligencias previas núm. 647-2015 fueron acumuladas, por auto de fecha 1 de marzo de 2016, a las diligencias previas núm. 482-2015 del Juzgado de Instrucción núm. 4 de Colmenar Viejo, las cuales también se habían sobreseído provisionalmente por auto de fecha 23 de abril de 2015.</w:t>
      </w:r>
    </w:p>
    <w:p w:rsidR="005728DD" w:rsidRDefault="005728DD" w:rsidP="005728DD">
      <w:pPr>
        <w:pStyle w:val="TextoNormal"/>
      </w:pPr>
    </w:p>
    <w:p w:rsidR="005728DD" w:rsidRDefault="005728DD" w:rsidP="005728DD">
      <w:pPr>
        <w:pStyle w:val="TextoNormal"/>
      </w:pPr>
      <w:r>
        <w:t>f) Posteriormente, con motivo de denuncia formulada el día 23 de febrero de 2016, por las presuntas lesiones causadas por el demandante a doña Lucía Isabel Diego Camargo, el Juzgado de Violencia sobre la Mujer núm. 1 de Alcobendas abrió las diligencias urgentes núm. 42-2016, que posteriormente fueron transformadas en las diligencias previas 104-2016. Por auto de 26 de febrero de 2016, se acordó la inhibición a favor del Jugado de Instrucción núm. 4 de Colmenar Viejo, quien mediante auto de fecha 1 de marzo de 2016 resolvió acumularlas a las diligencias previas núm. 482-2015, cuya reapertura también fue decidida.</w:t>
      </w:r>
    </w:p>
    <w:p w:rsidR="005728DD" w:rsidRDefault="005728DD" w:rsidP="005728DD">
      <w:pPr>
        <w:pStyle w:val="TextoNormal"/>
      </w:pPr>
    </w:p>
    <w:p w:rsidR="005728DD" w:rsidRDefault="005728DD" w:rsidP="005728DD">
      <w:pPr>
        <w:pStyle w:val="TextoNormal"/>
      </w:pPr>
      <w:r>
        <w:t>g) En la declaración que como perjudicada prestó doña Lucía Isabel Diego Camargo ante el órgano judicial indicado, en fecha 16 de marzo de 2016, expresamente manifestó que ella y el demandante “estuvieron conviviendo desde septiembre de 2015 hasta enero de 2015” (</w:t>
      </w:r>
      <w:r w:rsidRPr="005728DD">
        <w:rPr>
          <w:i/>
        </w:rPr>
        <w:t>rectius</w:t>
      </w:r>
      <w:r>
        <w:t>: enero de 2016).</w:t>
      </w:r>
    </w:p>
    <w:p w:rsidR="005728DD" w:rsidRDefault="005728DD" w:rsidP="005728DD">
      <w:pPr>
        <w:pStyle w:val="TextoNormal"/>
      </w:pPr>
    </w:p>
    <w:p w:rsidR="005728DD" w:rsidRDefault="005728DD" w:rsidP="005728DD">
      <w:pPr>
        <w:pStyle w:val="TextoNormal"/>
      </w:pPr>
      <w:r>
        <w:t xml:space="preserve">h) Por auto de fecha 18 de octubre de 2016 se dispuso continuar la tramitación de las diligencias previas núm. 482-205 “como procedimiento abreviado”, que fue registrado con el núm. 584-2015. Por escrito de fecha 30 de noviembre de 2016, el Ministerio Fiscal interesó la apertura del juicio oral contra el demandante de amparo, entre otros, por los hechos que consideró constitutivos de un delito continuado de quebrantamiento de medida cautelar de los arts. 468.2 y 74, ambos del Código penal (CP). Respecto de estos hechos, en dicho escrito se afirma que la orden de protección que imponía al demandante la prohibición de </w:t>
      </w:r>
      <w:r>
        <w:lastRenderedPageBreak/>
        <w:t>acercamiento y comunicación mantuvo su vigencia desde el 3 de mayo hasta el 11 de noviembre de 2015; y, pese a ello, “[a] sabiendas y con voluntad de hacer caso omiso de aquellas, estuvo conviviendo con Lucia Isabel Diego Camargo en su propio domicilio, que compartían con la madre de él, sito en [...], desde los meses de septiembre de 2015 hasta mediados del mes de enero de 2016”.</w:t>
      </w:r>
    </w:p>
    <w:p w:rsidR="005728DD" w:rsidRDefault="005728DD" w:rsidP="005728DD">
      <w:pPr>
        <w:pStyle w:val="TextoNormal"/>
      </w:pPr>
    </w:p>
    <w:p w:rsidR="005728DD" w:rsidRDefault="005728DD" w:rsidP="005728DD">
      <w:pPr>
        <w:pStyle w:val="TextoNormal"/>
      </w:pPr>
      <w:r>
        <w:t>Una vez remitido el procedimiento a los juzgados de lo penal, en concreto le correspondió conocer al Juzgado de lo Penal núm. 33 de Madrid, que registró el procedimiento con el núm. 355-2017.</w:t>
      </w:r>
    </w:p>
    <w:p w:rsidR="005728DD" w:rsidRDefault="005728DD" w:rsidP="005728DD">
      <w:pPr>
        <w:pStyle w:val="TextoNormal"/>
      </w:pPr>
    </w:p>
    <w:p w:rsidR="005728DD" w:rsidRDefault="005728DD" w:rsidP="005728DD">
      <w:pPr>
        <w:pStyle w:val="TextoNormal"/>
      </w:pPr>
      <w:r>
        <w:t>i) En virtud de sentencia núm. 46/2018, de 1 de febrero, el demandante de amparo fue condenado como autor de las siguientes infracciones penales: dos delitos de maltrato de obra en el ámbito familiar del artículo 153.1 CP; un delito de quebrantamiento de medida cautelar del artículo 468.2 CP; y un delito de lesiones del artículo 147.1 CP. Interesa destacar que en la referida sentencia se declara probado que:</w:t>
      </w:r>
    </w:p>
    <w:p w:rsidR="005728DD" w:rsidRDefault="005728DD" w:rsidP="005728DD">
      <w:pPr>
        <w:pStyle w:val="TextoNormal"/>
      </w:pPr>
    </w:p>
    <w:p w:rsidR="005728DD" w:rsidRDefault="005728DD" w:rsidP="005728DD">
      <w:pPr>
        <w:pStyle w:val="TextoNormal"/>
      </w:pPr>
      <w:r>
        <w:t>“En fecha 3 de mayo de 2015, por el Juzgado de Primera Instancia e Instrucción núm. 2 de Colmenar Viejo, se dictó un auto de medidas cautelares frente al acusado por el cual se le prohibía entre otras cosas, aproximarse a menos de quinientos (</w:t>
      </w:r>
      <w:r w:rsidRPr="005728DD">
        <w:rPr>
          <w:i/>
        </w:rPr>
        <w:t>rectius</w:t>
      </w:r>
      <w:r>
        <w:t xml:space="preserve"> trescientos) metros de su pareja doña. Lucía Isabel Diego Camargo. Así, consta probado que en el mes de octubre y parte de noviembre de 2015, y estando en vigor el citado auto, el acusado convivió con su pareja en el domicilio de la madre del mismo, sito en la calle [...]. Las anteriores medidas cautelares fueron dejadas sin efecto por auto de fecha 11 de noviembre de 2015”.</w:t>
      </w:r>
    </w:p>
    <w:p w:rsidR="005728DD" w:rsidRDefault="005728DD" w:rsidP="005728DD">
      <w:pPr>
        <w:pStyle w:val="TextoNormal"/>
      </w:pPr>
    </w:p>
    <w:p w:rsidR="005728DD" w:rsidRDefault="005728DD" w:rsidP="005728DD">
      <w:pPr>
        <w:pStyle w:val="TextoNormal"/>
      </w:pPr>
      <w:r>
        <w:t>También se consideró acreditado que:</w:t>
      </w:r>
    </w:p>
    <w:p w:rsidR="005728DD" w:rsidRDefault="005728DD" w:rsidP="005728DD">
      <w:pPr>
        <w:pStyle w:val="TextoNormal"/>
      </w:pPr>
    </w:p>
    <w:p w:rsidR="005728DD" w:rsidRDefault="005728DD" w:rsidP="005728DD">
      <w:pPr>
        <w:pStyle w:val="TextoNormal"/>
      </w:pPr>
      <w:r>
        <w:t>“Sobre la 1:10 horas del día 23 de febrero de 2016 y en la avenida de Cantabria de San Sebastián de los Reyes, mantuvo una discusión con su pareja afectiva, en el curso de la cual y obrando con el ánimo de menoscabar su integridad física, le dio varios golpes con un casco de moto en la cara y la tiró al suelo y una vez en el suelo le propinó varias patadas, procediendo a sustraerle el teléfono móvil y 180 euros. A causa de la agresión, la perjudicada sufrió lesiones consistentes en rotura parcial del incisivo lateral superior izquierdo, heridas escoriativas en el labio inferior, hematomas en ambas nalgas, hematoma en el polo superior de la rodilla derecha, y en la cara externa del muslo derecho, lesiones que para su curación precisaron además de una primera asistencia facultativa de tratamiento médico posterior, consistente en la reparación del incisivo parcialmente roto, y que tardaron en sanar diez días, dos de los cuales estuvo la perjudicada impedida para sus ocupaciones habituales, quedándote como secuela la pérdida incompleta de la pieza dental núm. 21”.</w:t>
      </w:r>
    </w:p>
    <w:p w:rsidR="005728DD" w:rsidRDefault="005728DD" w:rsidP="005728DD">
      <w:pPr>
        <w:pStyle w:val="TextoNormal"/>
      </w:pPr>
    </w:p>
    <w:p w:rsidR="005728DD" w:rsidRDefault="005728DD" w:rsidP="005728DD">
      <w:pPr>
        <w:pStyle w:val="TextoNormal"/>
      </w:pPr>
      <w:r>
        <w:t>Los hechos transcritos sustentaron la condena por el delito de lesiones y el delito de quebrantamiento de medida cautelar. En relación con esta última infracción, en el fundamento jurídico cuarto se razona del siguiente modo:</w:t>
      </w:r>
    </w:p>
    <w:p w:rsidR="005728DD" w:rsidRDefault="005728DD" w:rsidP="005728DD">
      <w:pPr>
        <w:pStyle w:val="TextoNormal"/>
      </w:pPr>
    </w:p>
    <w:p w:rsidR="005728DD" w:rsidRDefault="005728DD" w:rsidP="005728DD">
      <w:pPr>
        <w:pStyle w:val="TextoNormal"/>
      </w:pPr>
      <w:r>
        <w:t xml:space="preserve">“El tercer hecho es el supuesto quebrantamiento de medida cautelar. Al respecto, y no poniéndose en duda la existencia del auto de medidas cautelares obrante al folio 131 y siguientes de la causa, así como su notificación y requerimiento al acusado para que lo cumpliera, debemos de decir que si bien la testigo denunciante no ha sido capaz de concretar cuándo estuvo viviendo con el acusado una vez dictado el auto, ni tampoco sus padres, lo </w:t>
      </w:r>
      <w:r>
        <w:lastRenderedPageBreak/>
        <w:t>cierto es que la madre del acusado, la testigo María Lourdes Díez de Baldeón sí que ha declarado con total claridad que Lucía y su hijo, el acusado, estuvieron viviendo juntos con la declarante en la casa de la declarante desde octubre de 2015 hasta enero de 2016. Como quiera que el auto de medidas cautelares de fecha 3 de mayo de 2015 no fue dejado sin efecto sino hasta el día 11 de noviembre de 2015, podemos afirmar que en el mes de octubre y en parte del mes de noviembre de 2015, el acusado vivió con su pareja afectiva a pesar de que una resolución judicial se lo prohibía. Por ello es autor de un delito de quebrantamiento de medida cautelar, si bien no en su modalidad de delito continuado, pues lo que ocurrió en definitiva es que el acusado quebrantaba de manera permanente la resolución judicial no siendo posible distinguir actos aislados de quebrantamiento, una pluralidad de ellos, que me permitiera efectuar una calificación de delito continuado”.</w:t>
      </w:r>
    </w:p>
    <w:p w:rsidR="005728DD" w:rsidRDefault="005728DD" w:rsidP="005728DD">
      <w:pPr>
        <w:pStyle w:val="TextoNormal"/>
      </w:pPr>
    </w:p>
    <w:p w:rsidR="005728DD" w:rsidRDefault="005728DD" w:rsidP="005728DD">
      <w:pPr>
        <w:pStyle w:val="TextoNormal"/>
      </w:pPr>
      <w:r>
        <w:t>j) La referida sentencia fue recurrida en apelación por el demandante. En síntesis, respecto del delito de quebrantamiento de medida cautelar, alegó que en fecha 4 de agosto de 2015 se acordó el sobreseimiento provisional de la causa en la que se dictó la orden de protección, si bien, hasta el dictado del auto de 11 de noviembre de 2015, el órgano judicial no dejó sin efecto la referida medida. Por ello, descarta que cometiera el indicado delito, toda vez que la efectividad de la orden de protección estaba subordinada a la tramitación y vigencia del procedimiento; y en la fecha en que ocurrieron los hechos determinantes de la condena, la causa en que se había acordado la medida cautelar ya estaba archivada.</w:t>
      </w:r>
    </w:p>
    <w:p w:rsidR="005728DD" w:rsidRDefault="005728DD" w:rsidP="005728DD">
      <w:pPr>
        <w:pStyle w:val="TextoNormal"/>
      </w:pPr>
    </w:p>
    <w:p w:rsidR="005728DD" w:rsidRDefault="005728DD" w:rsidP="005728DD">
      <w:pPr>
        <w:pStyle w:val="TextoNormal"/>
      </w:pPr>
      <w:r>
        <w:t>k) Por sentencia núm. 254/2018, de 4 de abril, la Sección Vigesimosexta de la Audiencia Provincial de Madrid resolvió el recurso de apelación, que fue estimado parcialmente al no considerar aplicable la agravante de reincidencia. Respecto del delito de quebrantamiento de medida cautelar, la sentencia dictada en apelación confirmó la condena, con base en el siguiente razonamiento:</w:t>
      </w:r>
    </w:p>
    <w:p w:rsidR="005728DD" w:rsidRDefault="005728DD" w:rsidP="005728DD">
      <w:pPr>
        <w:pStyle w:val="TextoNormal"/>
      </w:pPr>
    </w:p>
    <w:p w:rsidR="005728DD" w:rsidRDefault="005728DD" w:rsidP="005728DD">
      <w:pPr>
        <w:pStyle w:val="TextoNormal"/>
      </w:pPr>
      <w:r>
        <w:t>“[C]onforme cumplidamente se explica en la resolución recurrida, las mencionadas medidas cautelares no fueron dejadas sin efecto sino el día 11 de noviembre de 2015 a medio de la correspondiente resolución que así lo acordaba. Y consta acreditado también que la propia Lucía Isabel Diego señaló que durante un periodo de tiempo convivió con el acusado en la casa de la madre de este, aunque no podía precisar las fechas con exactitud. Sin embargo, la propia doña María Lourdes Díez de Baldeón, madre del acusado, confirmó en el acto del juicio oral que Lucía vivió en la casa de ella en octubre de 2015 y con su hijo también, fecha en la que las mencionadas medidas cautelares se encontraban vigentes.</w:t>
      </w:r>
    </w:p>
    <w:p w:rsidR="005728DD" w:rsidRDefault="005728DD" w:rsidP="005728DD">
      <w:pPr>
        <w:pStyle w:val="TextoNormal"/>
      </w:pPr>
    </w:p>
    <w:p w:rsidR="005728DD" w:rsidRDefault="005728DD" w:rsidP="005728DD">
      <w:pPr>
        <w:pStyle w:val="TextoNormal"/>
      </w:pPr>
      <w:r>
        <w:t>Frente a los anteriores razonamientos, expone la recurrente que, tras ser dictado el auto que establecía las mencionadas medidas cautelares, se acordó la inhibición en favor del Juzgado de Instrucción núm. 4 de Colmenar Viejo, en cuyo seno se acordó el sobreseimiento provisional de la causa con fecha 4 de agosto de 2015 (folio 180 de las actuaciones), razonando que, desde ese momento, debían reputarse sin efecto alguno las medidas cautelares adoptadas.</w:t>
      </w:r>
    </w:p>
    <w:p w:rsidR="005728DD" w:rsidRDefault="005728DD" w:rsidP="005728DD">
      <w:pPr>
        <w:pStyle w:val="TextoNormal"/>
      </w:pPr>
    </w:p>
    <w:p w:rsidR="005728DD" w:rsidRDefault="005728DD" w:rsidP="005728DD">
      <w:pPr>
        <w:pStyle w:val="TextoNormal"/>
      </w:pPr>
      <w:r>
        <w:t xml:space="preserve">Es verdad, indudablemente que, con carácter general, cuando se adopta en un procedimiento la decisión de sobreseerlo provisionalmente al amparo del artículo 641.1 de la Ley de Enjuiciamiento Criminal de ordinario el instructor adoptará también la decisión de dejar sin efecto las medidas cautelares que pudieran haber sido adoptadas en el procedimiento. Sin embargo, no sucedió así en el supuesto presente, siendo además que la causa se reabrió </w:t>
      </w:r>
      <w:r>
        <w:lastRenderedPageBreak/>
        <w:t>con posterioridad, como lo evidencia el hecho de que también haya sido enjuiciado en este procedimiento (aunque finalmente absuelto) por los hechos que dieron lugar al dictado de las referidas medidas cautelares. Así las cosas, las medidas cautelares adoptadas, no habían sido dejadas sin efecto por el órgano jurisdiccional que las adoptó y se hallaban, en consecuencia, vigentes. Pudo, desde luego, la defensa del acusado recurrir la resolución que acordaba el sobreseimiento provisional si, como ahora sostiene, entendía que debió adoptar también la decisión de dejar sin efecto las mencionadas medidas cautelares. Pero no lo hizo. Y lo cierto es que hasta la ya citada resolución de fecha 11 de noviembre de 2015, las mismas siguieron en vigor.</w:t>
      </w:r>
    </w:p>
    <w:p w:rsidR="005728DD" w:rsidRDefault="005728DD" w:rsidP="005728DD">
      <w:pPr>
        <w:pStyle w:val="TextoNormal"/>
      </w:pPr>
    </w:p>
    <w:p w:rsidR="005728DD" w:rsidRDefault="005728DD" w:rsidP="005728DD">
      <w:pPr>
        <w:pStyle w:val="TextoNormal"/>
      </w:pPr>
      <w:r>
        <w:t>Argumenta la recurrente que, en cualquier caso, la referida situación pudo provocar en el acusado la existencia de un error relevante acerca de la vigencia de las mencionadas medidas cautelares que después quebrantó. Sin embargo, el hecho cierto es que, como también resulta del relato de hechos probados de la sentencia que ahora se recurre, el acusado ha sido condenado como autor de tres delitos de quebrantamiento de condena, por lo que, evidentemente, conoce por propia experiencia la existencia de esta infracción criminal y los aspectos esenciales que la conforman. Pero es que, además, como ya se ha señalado, al mismo no solo le fue notificado el auto en el que se acordaban las medidas cautelares que posteriormente quebrantó, sino que se le requirió también explícitamente para el cumplimiento de las mismas y se le advirtió, también de forma expresa, de las eventuales consecuencias de su vulneración.</w:t>
      </w:r>
    </w:p>
    <w:p w:rsidR="005728DD" w:rsidRDefault="005728DD" w:rsidP="005728DD">
      <w:pPr>
        <w:pStyle w:val="TextoNormal"/>
      </w:pPr>
    </w:p>
    <w:p w:rsidR="005728DD" w:rsidRDefault="005728DD" w:rsidP="005728DD">
      <w:pPr>
        <w:pStyle w:val="TextoNormal"/>
      </w:pPr>
      <w:r>
        <w:t>Por eso, considera la Sala que no puede ahora sostenerse con éxito que el mismo tuviera un conocimiento equivocado acerca de la vigencia de las medidas cautelares controvertidas, habida cuenta de que ninguna resolución recaída en sentido contrario le había sido notificada cuando resolvió reanudar la convivencia, en casa de su madre, con la persona de Lucía Isabel. Pero es que, además, cualquier duda que pudiera haber albergado al respecto, pudo haberla disipado por sencillos procedimientos que siempre se encontraron a su alcance, tales como consultar la vigencia de dichas medidas con su propio letrado o, incluso, dirigirse al órgano jurisdiccional que las adoptó, si verdaderamente albergaba alguna duda sobre este particular, para conocer si las mismas se encontraban vigentes o no.</w:t>
      </w:r>
    </w:p>
    <w:p w:rsidR="005728DD" w:rsidRDefault="005728DD" w:rsidP="005728DD">
      <w:pPr>
        <w:pStyle w:val="TextoNormal"/>
      </w:pPr>
    </w:p>
    <w:p w:rsidR="005728DD" w:rsidRDefault="005728DD" w:rsidP="005728DD">
      <w:pPr>
        <w:pStyle w:val="TextoNormal"/>
      </w:pPr>
      <w:r>
        <w:t>Lejos de desplegar la más mínima diligencia para sobreponerse a la duda que ahora invoca, el acusado, colocándose en una posición de ‘ignorancia deliberada’, desentendido de las prohibiciones judicialmente establecidas, resolvió, pese a conocer oficialmente la existencia de las mismas, el requerimiento que se le hizo para cumplirlas, y las consecuencias de su posible vulneración, reanudar la convivencia con Lucía Isabel, en casa de su madre, haciéndose así acreedor a la condena que se le impuso por este delito de quebrantamiento de medida cautelar”.</w:t>
      </w:r>
    </w:p>
    <w:p w:rsidR="005728DD" w:rsidRDefault="005728DD" w:rsidP="005728DD">
      <w:pPr>
        <w:pStyle w:val="TextoNormal"/>
      </w:pPr>
    </w:p>
    <w:p w:rsidR="005728DD" w:rsidRDefault="005728DD" w:rsidP="005728DD">
      <w:pPr>
        <w:pStyle w:val="TextoNormal"/>
      </w:pPr>
      <w:r>
        <w:t>l) Mediante escrito de 19 de junio de 2018, el demandante interpuso recurso de casación por infracción de ley y doctrina legal (art. 849.1 LECrim) contra la sentencia que puso fin al recurso de apelación. En dicho recurso impugnó su condena por el delito de lesiones y por el quebrantamiento de medida cautelar.</w:t>
      </w:r>
    </w:p>
    <w:p w:rsidR="005728DD" w:rsidRDefault="005728DD" w:rsidP="005728DD">
      <w:pPr>
        <w:pStyle w:val="TextoNormal"/>
      </w:pPr>
    </w:p>
    <w:p w:rsidR="005728DD" w:rsidRDefault="005728DD" w:rsidP="005728DD">
      <w:pPr>
        <w:pStyle w:val="TextoNormal"/>
      </w:pPr>
      <w:r>
        <w:t>m) Por auto núm. 1096/2018, de 6 de septiembre, la Sala de lo Penal del Tribunal Supremo resolvió inadmitir el recurso de casación interpuesto con base en el siguiente razonamiento:</w:t>
      </w:r>
    </w:p>
    <w:p w:rsidR="005728DD" w:rsidRDefault="005728DD" w:rsidP="005728DD">
      <w:pPr>
        <w:pStyle w:val="TextoNormal"/>
      </w:pPr>
    </w:p>
    <w:p w:rsidR="005728DD" w:rsidRDefault="005728DD" w:rsidP="005728DD">
      <w:pPr>
        <w:pStyle w:val="TextoNormal"/>
      </w:pPr>
      <w:r>
        <w:t>“Se trata de una sentencia dictada en apelación por la Audiencia Provincial de Madrid, que desestimó el recurso de apelación formulado por Clemente Cerros Díez de Baldeón, contra una sentencia dictada por un juzgado de lo penal de Madrid.</w:t>
      </w:r>
    </w:p>
    <w:p w:rsidR="005728DD" w:rsidRDefault="005728DD" w:rsidP="005728DD">
      <w:pPr>
        <w:pStyle w:val="TextoNormal"/>
      </w:pPr>
    </w:p>
    <w:p w:rsidR="005728DD" w:rsidRDefault="005728DD" w:rsidP="005728DD">
      <w:pPr>
        <w:pStyle w:val="TextoNormal"/>
      </w:pPr>
      <w:r>
        <w:t>Para abordar esta cuestión, se hace necesario partir de una premisa esencial, cual es que la redacción actual del artículo 847.1 b) de la Ley de enjuiciamiento criminal, es la otorgada por la Ley 41/2015, de 5 de octubre (‘BOE’ del 6 de octubre), de modificación de la Ley de enjuiciamiento criminal para la agilización de la justicia penal y el fortalecimiento de las garantías procesales.</w:t>
      </w:r>
    </w:p>
    <w:p w:rsidR="005728DD" w:rsidRDefault="005728DD" w:rsidP="005728DD">
      <w:pPr>
        <w:pStyle w:val="TextoNormal"/>
      </w:pPr>
    </w:p>
    <w:p w:rsidR="005728DD" w:rsidRDefault="005728DD" w:rsidP="005728DD">
      <w:pPr>
        <w:pStyle w:val="TextoNormal"/>
      </w:pPr>
      <w:r>
        <w:t>Dicha reforma entró en vigor el seis de diciembre de 2015 (disposición final cuarta de la Ley 41/2015), siendo determinante que en la disposición transitoria única de la Ley 41/2015, se establezca que se aplicará ‘a los procedimientos penales incoados con posterioridad a su entrada en vigor’.</w:t>
      </w:r>
    </w:p>
    <w:p w:rsidR="005728DD" w:rsidRDefault="005728DD" w:rsidP="005728DD">
      <w:pPr>
        <w:pStyle w:val="TextoNormal"/>
      </w:pPr>
    </w:p>
    <w:p w:rsidR="005728DD" w:rsidRDefault="005728DD" w:rsidP="005728DD">
      <w:pPr>
        <w:pStyle w:val="TextoNormal"/>
      </w:pPr>
      <w:r>
        <w:t>Por lo tanto, la modificación de la Ley de enjuiciamiento criminal, al amparo de la cual, son recurribles en casación las sentencias dictadas en apelación por las audiencias provinciales, no puede incidir, en virtud de la disposición transitoria referida, sobre un proceso, como el que nos ocupa, cuya incoación empezó el día 3 de mayo de 2015, antes de la entrada en vigor de la Ley 41/2015.</w:t>
      </w:r>
    </w:p>
    <w:p w:rsidR="005728DD" w:rsidRDefault="005728DD" w:rsidP="005728DD">
      <w:pPr>
        <w:pStyle w:val="TextoNormal"/>
      </w:pPr>
    </w:p>
    <w:p w:rsidR="005728DD" w:rsidRDefault="005728DD" w:rsidP="005728DD">
      <w:pPr>
        <w:pStyle w:val="TextoNormal"/>
      </w:pPr>
      <w:r>
        <w:t>En conclusión, la modificación legal operada por la Ley 41/2015 no puede tener efectos retroactivos sobre el presente procedimiento, al no estar previsto expresamente en su disposición transitoria, única posibilidad que posibilitaría que esta Sala conociese sobre el fondo del recurso de casación interpuesto. No pudiéndose acudir, ante dicha falta de previsión, al principio de retroactividad de la ley penal más favorable, ya que no estamos en el ámbito de la normatividad penal sustantiva, sino de la procesal penal, donde la redacción del artículo 792.3 de la Ley de enjuiciamiento criminal, vigente y aplicable al procedimiento del que estamos tratando, establecía que ‘contra la sentencia dictada en apelación no cabrá recurso alguno’.</w:t>
      </w:r>
    </w:p>
    <w:p w:rsidR="005728DD" w:rsidRDefault="005728DD" w:rsidP="005728DD">
      <w:pPr>
        <w:pStyle w:val="TextoNormal"/>
      </w:pPr>
    </w:p>
    <w:p w:rsidR="005728DD" w:rsidRDefault="005728DD" w:rsidP="005728DD">
      <w:pPr>
        <w:pStyle w:val="TextoNormal"/>
      </w:pPr>
      <w:r>
        <w:t>Procede, pues, inadmitir el recurso interpuesto, de conformidad con el artículo 884.2 de la Ley de enjuiciamiento criminal”.</w:t>
      </w:r>
    </w:p>
    <w:p w:rsidR="005728DD" w:rsidRDefault="005728DD" w:rsidP="005728DD">
      <w:pPr>
        <w:pStyle w:val="TextoNormal"/>
      </w:pPr>
    </w:p>
    <w:p w:rsidR="005728DD" w:rsidRDefault="005728DD" w:rsidP="005728DD">
      <w:pPr>
        <w:pStyle w:val="TextoNormal"/>
      </w:pPr>
      <w:r>
        <w:t>n) Mediante escrito de fecha 11 de octubre de 2018, el recurrente solicitó aclaración del auto de inadmisión. En dicha solicitud advirtió al órgano judicial de haber padecido un error involuntario, por inadmitir el recurso de casación respecto del delito de lesiones por el que fue condenado. Y ello porque entendió que la fecha de comisión de los hechos, concretamente, el 23 de febrero de 2016, es posterior a la entrada en vigor de la reforma de la Ley de enjuiciamiento criminal operada por la Ley 41/2015, a saber el 6 de diciembre del 2015, por lo que resulta imposible que la incoación del proceso penal por esos hechos fuera anterior a esta última data. A fin reforzar este aserto, el demandante formuló el siguiente alegato:</w:t>
      </w:r>
    </w:p>
    <w:p w:rsidR="005728DD" w:rsidRDefault="005728DD" w:rsidP="005728DD">
      <w:pPr>
        <w:pStyle w:val="TextoNormal"/>
      </w:pPr>
    </w:p>
    <w:p w:rsidR="005728DD" w:rsidRDefault="005728DD" w:rsidP="005728DD">
      <w:pPr>
        <w:pStyle w:val="TextoNormal"/>
      </w:pPr>
      <w:r>
        <w:t xml:space="preserve">“[T]al y como se desprende de la simple lectura de la causa, en concreto a los folios 282 y 283, los hechos acaecidos el 23 de febrero de 2016 dieron lugar al dictado de un auto de misma fecha, mediante el cual se incoaron diligencias urgentes a los efectos de celebración del juicio rápido 42-2016, por lo que esta parte entiende que el punto en que la Excma. Sala </w:t>
      </w:r>
      <w:r>
        <w:lastRenderedPageBreak/>
        <w:t>alega que la incoación del procedimiento fue anterior a diciembre de 2015 ha de ser objeto de aclaración. Cosa bien distinta es que, posteriormente, tal y como obra al folio 437, las diligencias urgentes incoadas el 23 de febrero de 2016 son transformadas en diligencias previas para la continuación del proceso por los trámites del procedimiento abreviado, siendo que, a los folios 504 y 505 de la causa, obra auto de 25 de febrero de 2016, mediante el cual el Juzgado de Violencia sobre la Mujer núm. 1 de Alcobendas incoa diligencias previas 119-2016 en relación a estos hechos de febrero de 2016, acordándose a su vez en la referida resolución la acumulación de estas diligencias previas a las diligencias previas 104-2016, seguidas ante el Juzgado de Instrucción núm. 4 de Colmenar Viejo.</w:t>
      </w:r>
    </w:p>
    <w:p w:rsidR="005728DD" w:rsidRDefault="005728DD" w:rsidP="005728DD">
      <w:pPr>
        <w:pStyle w:val="TextoNormal"/>
      </w:pPr>
    </w:p>
    <w:p w:rsidR="005728DD" w:rsidRDefault="005728DD" w:rsidP="005728DD">
      <w:pPr>
        <w:pStyle w:val="TextoNormal"/>
      </w:pPr>
      <w:r>
        <w:t>Acumulación la señalada anteriormente que, a juicio de esta representación y en términos constitucionales, nunca puede suponer una privación a mi mandante de ejercer su derecho fundamental a una tutela judicial efectiva del art. 24 CE, en cuanto al derecho a los recursos legalmente establecidos, desde el momento en que los hechos objeto de condena son posteriores a la entrada en vigor de una reforma legal que permita la interposición del recurso de casación.</w:t>
      </w:r>
    </w:p>
    <w:p w:rsidR="005728DD" w:rsidRDefault="005728DD" w:rsidP="005728DD">
      <w:pPr>
        <w:pStyle w:val="TextoNormal"/>
      </w:pPr>
    </w:p>
    <w:p w:rsidR="005728DD" w:rsidRDefault="005728DD" w:rsidP="005728DD">
      <w:pPr>
        <w:pStyle w:val="TextoNormal"/>
      </w:pPr>
      <w:r>
        <w:t>Con motivo de lo anterior, esta representación interesa se aclare la fecha en que tuvo lugar la comisión e incoación de las diligencias previas derivadas de la presunta comisión del delito de lesiones por el que ha sido condenado mi representado, procediéndose a dictar nueva resolución mediante la que se admita a trámite el recurso presentado, al menos en lo referente al delito de lesiones, al no caber duda de que la incoación del procedimiento referente al mismo se produjo con posterioridad a la entrada en vigor de la reforma de la ley, todo ello, sin perjuicio de que, a consideración de esta Sala no quepa recurso de casación por el delito de quebrantamiento de condena, en base a la argumentación jurídica plasmada en el auto de 6 de septiembre de 2018 y que se ha sido reproducida al inicio del cuerpo del presente escrito”.</w:t>
      </w:r>
    </w:p>
    <w:p w:rsidR="005728DD" w:rsidRDefault="005728DD" w:rsidP="005728DD">
      <w:pPr>
        <w:pStyle w:val="TextoNormal"/>
      </w:pPr>
    </w:p>
    <w:p w:rsidR="005728DD" w:rsidRDefault="005728DD" w:rsidP="005728DD">
      <w:pPr>
        <w:pStyle w:val="TextoNormal"/>
      </w:pPr>
      <w:r>
        <w:t>ñ) Por auto de fecha 29 de noviembre de 2018, la Sala Segunda del Tribunal Supremo acordó no haber lugar a lo interesado, al considerar que la pretendida aclaración ya fue contestada en los razonamientos jurídicos del auto precedente:</w:t>
      </w:r>
    </w:p>
    <w:p w:rsidR="005728DD" w:rsidRDefault="005728DD" w:rsidP="005728DD">
      <w:pPr>
        <w:pStyle w:val="TextoNormal"/>
      </w:pPr>
    </w:p>
    <w:p w:rsidR="005728DD" w:rsidRDefault="005728DD" w:rsidP="005728DD">
      <w:pPr>
        <w:pStyle w:val="TextoNormal"/>
      </w:pPr>
      <w:r>
        <w:t>“No ha lugar a la solicitud de aclaración. El recurrente pretende una aclaración que ya ha sido contestada con los razonamientos jurídicos de nuestro auto de inadmisión. No plantea, pues, que se aclare algún concepto oscuro o que se supla alguna omisión de relevancia para la decisión adoptada, o que rectifiquemos alguno de los errores mencionados en el artículo 267 LOPJ.</w:t>
      </w:r>
    </w:p>
    <w:p w:rsidR="005728DD" w:rsidRDefault="005728DD" w:rsidP="005728DD">
      <w:pPr>
        <w:pStyle w:val="TextoNormal"/>
      </w:pPr>
    </w:p>
    <w:p w:rsidR="005728DD" w:rsidRDefault="005728DD" w:rsidP="005728DD">
      <w:pPr>
        <w:pStyle w:val="TextoNormal"/>
      </w:pPr>
      <w:r>
        <w:t>En cualquier caso, cabe indicar lo siguiente. Las diligencias previas 119/2016 fueron acumuladas a este procedimiento penal, incoado antes de la Ley 41/2015, y en el que el recurrente ha sido condenado por los delitos de maltrato de obra del artículo 153.1 del Código penal, un delito de quebrantamiento de condena del artículo 468.2 CP, un delito de lesiones del artículo 147.1 CP y un delito intentado de robo con violencia”.</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el recurrente alega la vulneración del derecho a la tutela judicial efectiva sin indefensión (art. 24.1 CE) en la vertiente del derecho de acceso al recurso y del derecho al principio de legalidad en materia penal, en la faceta del derecho a no ser condenado por acciones que no constituyen delito (art. 25.1 CE).</w:t>
      </w:r>
    </w:p>
    <w:p w:rsidR="005728DD" w:rsidRDefault="005728DD" w:rsidP="005728DD">
      <w:pPr>
        <w:pStyle w:val="TextoNormal"/>
      </w:pPr>
    </w:p>
    <w:p w:rsidR="005728DD" w:rsidRDefault="005728DD" w:rsidP="005728DD">
      <w:pPr>
        <w:pStyle w:val="TextoNormal"/>
      </w:pPr>
      <w:r>
        <w:t>En relación con la primera queja, el demandante sintetizó la doctrina constitucional que consideró de aplicación en relación con el derecho de acceso a los recursos, para a continuación exponer que el razonamiento dado por el tribunal de apelación en el ATS 1097/2018, a fin de inadmitir el recurso de casación, atenta frontalmente contra el referido derecho fundamental. Sostiene que esta resolución justifica la inadmisón en base a que el procedimiento incoado por el delito de lesiones fue acumulado a unas diligencias previas iniciadas el día el 3 de mayo de 2015. Añade que esta decisión ha supuesto que ninguno de los motivos en que fundó el recurso de casación haya obtenido respuesta, pues aunque el auto cuestionado se refiere al delito de lesiones, implícitamente también impide la admisión del motivo relativo al delito de quebrantamiento de medida cautelar, de todo lo cual infiere que se ha producido una incongruencia omisiva.</w:t>
      </w:r>
    </w:p>
    <w:p w:rsidR="005728DD" w:rsidRDefault="005728DD" w:rsidP="005728DD">
      <w:pPr>
        <w:pStyle w:val="TextoNormal"/>
      </w:pPr>
    </w:p>
    <w:p w:rsidR="005728DD" w:rsidRDefault="005728DD" w:rsidP="005728DD">
      <w:pPr>
        <w:pStyle w:val="TextoNormal"/>
      </w:pPr>
      <w:r>
        <w:t>A continuación, el demandante sintetizó los acontecimientos procesales que estimó de interés, entre los que destaca que, por el delito de lesiones se incoaron las diligencias urgentes núm. 42-2016, del Juzgado de Violencia sobre la Mujer núm. 1 de Alcobendas, y que por el hecho de haber vuelto a convivir con doña Lucía Diego Camargo se acordó la apertura de las diligencias previas 119-2016, en fecha 25 de febrero de 2016. De todo ello, el recurrente colige que los procedimientos seguidos por los hechos en cuya virtud, a la postre, resultó condenado por delitos de lesiones y quebrantamiento de medida cautelar fueron iniciados con posterioridad a la fecha de entrada en vigor de la Ley 41/2015, por lo que, de conformidad con lo establecido en su disposición transitoria única, el recurso de casación debió de ser admitido. Sin embargo, el órgano judicial entendió, como circunstancia determinante de la inadmisión, que esos procedimientos fueron acumulados en las diligencias previas núm. 482-2015, incoadas por los hechos presuntamente acaecidos el día 3 de mayo de 2015. Ese extremo, sin embargo, no constituye una circunstancia legalmente impeditiva de la admisión a trámite del recurso de casación, por lo que la decisión de órgano casacional es absolutamente rigorista, inflexible y contraria al derecho fundamental reconocido en el art. 24.1 CE, toda vez que una “acumulación de procedimientos nunca puede suponer una privación del derecho de acceso a los recursos legalmente establecidos”.</w:t>
      </w:r>
    </w:p>
    <w:p w:rsidR="005728DD" w:rsidRDefault="005728DD" w:rsidP="005728DD">
      <w:pPr>
        <w:pStyle w:val="TextoNormal"/>
      </w:pPr>
    </w:p>
    <w:p w:rsidR="005728DD" w:rsidRDefault="005728DD" w:rsidP="005728DD">
      <w:pPr>
        <w:pStyle w:val="TextoNormal"/>
      </w:pPr>
      <w:r>
        <w:t>En relación con la lesión del derecho a la legalidad en materia penal reconocido en el art. 25.1 CE, el demandante trae a colación la doctrina constitucional que consideró de aplicación. Y sitúa la vulneración producida en el dato de que fue condenado por una conducta no tipificada por el art. 468 CP, pues cuando ocurrieron los hechos tenidos en cuenta por el órgano sentenciador, la medida cautelar ya no se hallaba vigente. Según el relato histórico de la sentencia condenatoria, el recurrente convivió con doña Lucía Isabel Diego Camargo “en el mes de octubre y parte de noviembre del 2015”; y si bien la indicada sentencia afirma que la medida cautelar fue dejada sin efecto en fecha 11 de noviembre de 2015, realmente esa medida dejó de estar vigente desde el momento en que se dictó el auto de sobreseimiento provisional; esto es, el 4 de agosto de 2015.</w:t>
      </w:r>
    </w:p>
    <w:p w:rsidR="005728DD" w:rsidRDefault="005728DD" w:rsidP="005728DD">
      <w:pPr>
        <w:pStyle w:val="TextoNormal"/>
      </w:pPr>
    </w:p>
    <w:p w:rsidR="005728DD" w:rsidRDefault="005728DD" w:rsidP="005728DD">
      <w:pPr>
        <w:pStyle w:val="TextoNormal"/>
      </w:pPr>
      <w:r>
        <w:t xml:space="preserve">Censura el razonamiento dado por el tribunal de apelación para justificar la condena, al entender que choca frontalmente con el principio de legalidad reconocido como derecho fundamental en el art. 25.1 CE. Afirma que, para que pueda adoptarse una medida cautelar, la ley exige como presupuesto, y también para su efectividad, la vigencia del procedimiento penal en el que fue acordada. Por tanto, deviene imposible su subsistencia una vez que el procedimiento se ha sobreseído por falta de indicios. Siendo así, en el presente caso los </w:t>
      </w:r>
      <w:r>
        <w:lastRenderedPageBreak/>
        <w:t>órganos judiciales han conferido vigencia a una medida que, en el momento que el demandante reanudó la convivencia con su pareja, ya había decaído. A lo expuesto, se añade el dato de que el propio auto que acordó las medida de protección señala que esta se mantendría durante “toda la tramitación del proceso”, por lo que medida de protección carecía de eficacia desde el momento en que el procedimiento se sobreseyó provisionalmente.</w:t>
      </w:r>
    </w:p>
    <w:p w:rsidR="005728DD" w:rsidRDefault="005728DD" w:rsidP="005728DD">
      <w:pPr>
        <w:pStyle w:val="TextoNormal"/>
      </w:pPr>
    </w:p>
    <w:p w:rsidR="005728DD" w:rsidRDefault="005728DD" w:rsidP="005728DD">
      <w:pPr>
        <w:pStyle w:val="TextoNormal"/>
      </w:pPr>
      <w:r>
        <w:t>En contra de lo afirmado por el tribunal de apelación, el recurrente rechaza, asimismo, que tuviera que haber recurrido el auto de sobreseimiento provisional, a fin de que se acordase dejar sin efecto la medida de alejamiento. Entiende que la vigencia ya había sido acotada por la propia resolución que la acordó, al condicionar su duración a la tramitación del procedimiento. También refuta que la ulterior reapertura del proceso fuera relevante, pues esa decisión obedeció a que se inició la investigación de hechos posteriores.</w:t>
      </w:r>
    </w:p>
    <w:p w:rsidR="005728DD" w:rsidRDefault="005728DD" w:rsidP="005728DD">
      <w:pPr>
        <w:pStyle w:val="TextoNormal"/>
      </w:pPr>
    </w:p>
    <w:p w:rsidR="005728DD" w:rsidRDefault="005728DD" w:rsidP="005728DD">
      <w:pPr>
        <w:pStyle w:val="TextoNormal"/>
      </w:pPr>
      <w:r>
        <w:t>Finalmente, el recurrente interesa, con carácter principal, la estimación del primer motivo referido al derecho a la lesión del derecho a la tutela judicial, en la vertiente del derecho de acceso al recurso legal (art. 24.1 CE); y de manera subsidiaria, para el caso de que no se estime ese motivo, solicita que se “ha de resolver el presente recurso revocando las sentencias y el auto objeto del mismo, acordando la absolución del señor Cerros respeto del delito de quebrantamiento de medida cautelar del art. 468.2 del Código penal, por haber llegado los órganos jurisdiccionales de primera y segunda instancia a una conclusión condenatoria en la cual se ha conculcado de manera patente el derecho fundamental a la legalidad penal del art. 25.1 de la Constitución Española”.</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9 de marzo de 2020, la Sección Cuarta del Tribunal Constitucional acordó la admisión a trámite del recurso, al apreciar que concurre en el mismo una especial trascendencia constitucional, ya que el recurso plantea un problema o afecta a una faceta del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Al haberse remitido con anterioridad las actuaciones correspondientes al recurso de casación 10259-2018 y al procedimiento abreviado núm. 355-2017, en aplicación de lo dispuesto en el art. 51 de la Ley Orgánica de este tribunal, solamente se acordó dirigir atenta comunicación al Juzgado de lo Penal núm. 32 de Madrid/Ejecutorias/Violencia, a fin de que, en plazo que no excede de diez días, proceda a emplazar a quienes hubieran sido parte en el procedimiento, excepto la parte recurrente en amparo, para que, si lo desean, puedan comparecer en el presente recurso.</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presentado el día 15 de julio del 2020, doña Lucía Isabel Diego Camargo, representada por el procurador de tribunales don Jorge Andrés Pajares Moral y asistida por la letrada doña Sonia Gómez Carballo, interesó que se la tuviera por comparecida en el presente recurso.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Por diligencia de ordenación de la secretaría de la Sección Cuarta de este tribunal, de fecha 17 de julio de 2020, se tuvo por personado y parte en el procedimiento al procurador de los tribunales don Jorge Andrés Pajares Moral, en nombre y representación de doña Lucía Isabel Diego Camargo. Asimismo, se resolvió dar vista de las actuaciones a las partes personadas y al Ministerio Fiscal, por plazo común de veinte días, dentro de los cuales podrán </w:t>
      </w:r>
      <w:r>
        <w:lastRenderedPageBreak/>
        <w:t>presentar las alegaciones que estimen pertinentes, conforme a lo dispuesto en el artículo 52.1 de la Ley Orgánica de este tribunal.</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26 de agosto de 2020, a través de su representación procesal presentó sus alegaciones doña Lucía Isabel Diego Camargo. Afirma que, en contra de lo sostenido por el demandante, la medida cautelar acordada se mantuvo y este último “nada hizo en aquel momento cuando de no haber estado debiera hacerlo”. Por otro lado, indica que el sobreseimiento provisional se adoptó por no poder localizar a la víctima, “que estaba completamente anulada por la violencia del recurrente”. Por tanto, el auto de sobreseimiento solo supuso el archivo del procedimiento hasta la localización de la víctima. Por todo ello, afirma que no procede estimar el recurso de amparo, al no haberse producido la vulneración del derecho fundamental que el demandante refiere.</w:t>
      </w:r>
    </w:p>
    <w:p w:rsidR="005728DD" w:rsidRDefault="005728DD" w:rsidP="005728DD">
      <w:pPr>
        <w:pStyle w:val="TextoNormal"/>
      </w:pPr>
    </w:p>
    <w:p w:rsidR="005728DD" w:rsidRDefault="005728DD" w:rsidP="005728DD">
      <w:pPr>
        <w:pStyle w:val="TextoNormal"/>
      </w:pPr>
      <w:r w:rsidRPr="005728DD">
        <w:rPr>
          <w:rStyle w:val="NumeroAFNegritaCaracter"/>
        </w:rPr>
        <w:t>8</w:t>
      </w:r>
      <w:r>
        <w:t>. En fecha 14 de septiembre de 2020 presentó sus alegaciones el Ministerio Fiscal. En primer lugar, resume los acontecimientos procesales más relevantes de la tramitación llevada a cabo durante las fases de instrucción, enjuiciamiento y sustanciación de los recursos de apelación y casación interpuestos. Seguidamente, analiza la queja relativa a la lesión del derecho de acceso al recurso legal, que se incardina dentro del ámbito del art. 24.1 CE, a cuyo fin transcribe parte de la fundamentación jurídica dada por el órgano casacional y de las alegaciones del recurrente, así como también trae a colación la doctrina de este tribunal respecto del referido derecho fundamental.</w:t>
      </w:r>
    </w:p>
    <w:p w:rsidR="005728DD" w:rsidRDefault="005728DD" w:rsidP="005728DD">
      <w:pPr>
        <w:pStyle w:val="TextoNormal"/>
      </w:pPr>
    </w:p>
    <w:p w:rsidR="005728DD" w:rsidRDefault="005728DD" w:rsidP="005728DD">
      <w:pPr>
        <w:pStyle w:val="TextoNormal"/>
      </w:pPr>
      <w:r>
        <w:t>Tras ello, para ilustrar sobre lo que debe entenderse por “fecha de incoación del procedimiento” a que se refiere la disposición transitoria única de la Ley 41/2015, reproduce parte del fundamento jurídico quinto del ATC 110/2018, de 16 de octubre, resolución esta que recoge la doctrina establecida por la Sala Segunda del Tribunal Supremo en diferentes resoluciones, de cuyo contenido colige que la fecha a tomar en consideración, de cara a la aplicación de la reiterada disposición transitoria, es la de la causa que inicia la investigación de unos hechos concretos, ya se trate de diligencias urgentes o de diligencias previas.</w:t>
      </w:r>
    </w:p>
    <w:p w:rsidR="005728DD" w:rsidRDefault="005728DD" w:rsidP="005728DD">
      <w:pPr>
        <w:pStyle w:val="TextoNormal"/>
      </w:pPr>
    </w:p>
    <w:p w:rsidR="005728DD" w:rsidRDefault="005728DD" w:rsidP="005728DD">
      <w:pPr>
        <w:pStyle w:val="TextoNormal"/>
      </w:pPr>
      <w:r>
        <w:t>Descendiendo al caso analizado, afirma que los hechos ocurridos el 23 de febrero de 2016 dieron lugar a la incoación, en esa misma fecha, de las diligencias urgentes 42-2016 a que se ha hecho mención. De ahí que los avatares posteriores derivados de la aplicación de las normas de la competencia territorial (la inhibición a favor del juzgado de Primera Instancia e Instrucción núm. 4 de Colmenar Viejo o de acumulación procesal a diligencias incoadas con anterioridad por razón de la conexidad establecida en el art. 17.3 LECrim), no pueden dar lugar a la pérdida del derecho de acceso al recurso de casación regulado en el art. 847 LECrim, respecto de unos hechos que son posteriores a la entrada en vigor de la Ley 41/2015 y que dieron lugar a la incoación de un procedimiento estando vigente ya la citada norma.</w:t>
      </w:r>
    </w:p>
    <w:p w:rsidR="005728DD" w:rsidRDefault="005728DD" w:rsidP="005728DD">
      <w:pPr>
        <w:pStyle w:val="TextoNormal"/>
      </w:pPr>
    </w:p>
    <w:p w:rsidR="005728DD" w:rsidRDefault="005728DD" w:rsidP="005728DD">
      <w:pPr>
        <w:pStyle w:val="TextoNormal"/>
      </w:pPr>
      <w:r>
        <w:t xml:space="preserve">Cuestiona la decisión adoptada por el tribunal de casación, que estimó que la acumulación de un procedimiento a otro incoado con anterioridad al 6 de diciembre del 2015 determina la pérdida del recurso de casación. Estima que este criterio no solo resulta contrario al principio de interpretación favorable al derecho de acceso al recurso, sino también a la propia letra de la ley (art. 3 del Código civil), pues la fecha de incoación del procedimiento no puede referirse más que a aquella en la que se incoa la causa que originó “la noticia de los </w:t>
      </w:r>
      <w:r>
        <w:lastRenderedPageBreak/>
        <w:t>hechos objeto de instrucción y enjuiciamiento”. Por ello, aunque tras la inhibición al Juzgado de Instrucción núm. 4 de Colmenar Viejo, la causa se acumuló a las diligencias previas 104-2016, que tuvieron su origen en unas diligencias urgentes incoadas el 3 de mayo de 2015, sin embargo, “esa fecha de incoación no muta la de la incoación del procedimiento por los hechos de 23 de febrero de 2016, cuya condena se recurre en casación”.</w:t>
      </w:r>
    </w:p>
    <w:p w:rsidR="005728DD" w:rsidRDefault="005728DD" w:rsidP="005728DD">
      <w:pPr>
        <w:pStyle w:val="TextoNormal"/>
      </w:pPr>
    </w:p>
    <w:p w:rsidR="005728DD" w:rsidRDefault="005728DD" w:rsidP="005728DD">
      <w:pPr>
        <w:pStyle w:val="TextoNormal"/>
      </w:pPr>
      <w:r>
        <w:t>Por lo demás, afirma que el auto de 6 de septiembre de 2018 es manifiestamente irrazonable, al partir de la errónea premisa antes mencionada y, en consecuencia, vulnera el derecho de acceso al recurso que consagra el art. 24.1 CE.</w:t>
      </w:r>
    </w:p>
    <w:p w:rsidR="005728DD" w:rsidRDefault="005728DD" w:rsidP="005728DD">
      <w:pPr>
        <w:pStyle w:val="TextoNormal"/>
      </w:pPr>
    </w:p>
    <w:p w:rsidR="005728DD" w:rsidRDefault="005728DD" w:rsidP="005728DD">
      <w:pPr>
        <w:pStyle w:val="TextoNormal"/>
      </w:pPr>
      <w:r>
        <w:t>A continuación, la fiscal considera necesario analizar la segunda vulneración denunciada, toda vez que los hechos que dieron lugar a la condena por el delito de quebrantamiento de medida fueron anteriores a la entrada en vigor de la Ley 41/2015, de modo que la condena por ese delito no es recurrible en casación. Por otro lado, señala que esa lesión se imputa a las sentencias dictadas por el juzgado de lo penal y la audiencia provincial, pues contra estas resoluciones también se dirige el recurso. Seguidamente, refleja los acontecimientos procesales que estima trascendentes para la solución de la queja, así como la argumentación dada por el tribunal de apelación para desestimar el motivo planteado por el recurrente, para posteriormente centrar el aspecto nuclear de la cuestión en los siguientes términos: “si pese a que no exista pronunciamiento expreso al respecto, las medidas cautelares cesan cuando el procedimiento ha concluido, en este caso por sobreseimiento provisional o firme, o por el contrario, subsisten hasta que se pronuncia el juzgado sobre su cese.</w:t>
      </w:r>
    </w:p>
    <w:p w:rsidR="005728DD" w:rsidRDefault="005728DD" w:rsidP="005728DD">
      <w:pPr>
        <w:pStyle w:val="TextoNormal"/>
      </w:pPr>
    </w:p>
    <w:p w:rsidR="005728DD" w:rsidRDefault="005728DD" w:rsidP="005728DD">
      <w:pPr>
        <w:pStyle w:val="TextoNormal"/>
      </w:pPr>
      <w:r>
        <w:t>Para resolver sobre el objeto de la queja, la fiscal invoca la respuesta dada por este tribunal en la STC 16/2012, de 13 de febrero, que trajo causa de una condena por quebrantamiento de medida cautelar tras el dictado de una sentencia absolutoria que no había adquirido firmeza. En relación con el presente recurso, afirma que el sobreseimiento provisional fue acordado por no resultar acreditada la perpetración del delito y que esta resolución devino firme al no haber sido recurrida. Señala también que el auto de sobreseimiento provisional no se pronunció sobre el cese o el mantenimiento de la medida cautelar; pero al no apreciarse los indicios incriminatorios contra el investigado, la consecuencia lógica debió ser el levantamiento de la orden de protección, dada la afectación que comporta sobre los derechos fundamentales del imputado.</w:t>
      </w:r>
    </w:p>
    <w:p w:rsidR="005728DD" w:rsidRDefault="005728DD" w:rsidP="005728DD">
      <w:pPr>
        <w:pStyle w:val="TextoNormal"/>
      </w:pPr>
    </w:p>
    <w:p w:rsidR="005728DD" w:rsidRDefault="005728DD" w:rsidP="005728DD">
      <w:pPr>
        <w:pStyle w:val="TextoNormal"/>
      </w:pPr>
      <w:r>
        <w:t xml:space="preserve">A lo expuesto añade que, cuando el sobreseimiento alcanza la firmeza, el decaimiento de la medida deviene automático, pues resulta inaceptable, por ser contrario a su naturaleza, entender que la medida cautelar puede mantenerse </w:t>
      </w:r>
      <w:r w:rsidRPr="005728DD">
        <w:rPr>
          <w:i/>
        </w:rPr>
        <w:t>sine die</w:t>
      </w:r>
      <w:r>
        <w:t xml:space="preserve"> hasta que el juez considere conveniente pronunciarse sobre su cese, lo que en este caso se produjo el 11 de noviembre de 2015. También considera destacable que, como motivo del cese de la medida el órgano judicial se remitiera, exclusivamente, al sobreseimiento de las actuaciones previamente acordado.</w:t>
      </w:r>
    </w:p>
    <w:p w:rsidR="005728DD" w:rsidRDefault="005728DD" w:rsidP="005728DD">
      <w:pPr>
        <w:pStyle w:val="TextoNormal"/>
      </w:pPr>
    </w:p>
    <w:p w:rsidR="005728DD" w:rsidRDefault="005728DD" w:rsidP="005728DD">
      <w:pPr>
        <w:pStyle w:val="TextoNormal"/>
      </w:pPr>
      <w:r>
        <w:t xml:space="preserve">A la vista de lo expuesto, la fiscal concluye que el demandante fue condenado por convivir con su ex compañera en un periodo de tiempo en que ya no estaba en vigor la medida cautelar de prohibición de aproximación; por ello, la condena por este motivo, al amparo del art. 468.2 CP, “es contraria a la esencia y características propias de las medidas cautelares y discrepante con las pautas interpretativas al uso en la comunidad jurídica” y ha vulnerado el derecho del recurrente a la tutela judicial efectiva (art. 24.1 CE), en relación con el </w:t>
      </w:r>
      <w:r>
        <w:lastRenderedPageBreak/>
        <w:t>principio de legalidad penal (art. 25.1 CE), resultando también contraria al derecho a la presunción de inocencia (art. 24.2 CE), como regla probatoria, al no haberse acreditado por los órganos judiciales la vigencia objetiva y efectiva de la medida cautelar.</w:t>
      </w:r>
    </w:p>
    <w:p w:rsidR="005728DD" w:rsidRDefault="005728DD" w:rsidP="005728DD">
      <w:pPr>
        <w:pStyle w:val="TextoNormal"/>
      </w:pPr>
    </w:p>
    <w:p w:rsidR="005728DD" w:rsidRDefault="005728DD" w:rsidP="005728DD">
      <w:pPr>
        <w:pStyle w:val="TextoNormal"/>
      </w:pPr>
      <w:r w:rsidRPr="005728DD">
        <w:rPr>
          <w:rStyle w:val="NumeroAFNegritaCaracter"/>
        </w:rPr>
        <w:t>9</w:t>
      </w:r>
      <w:r>
        <w:t>. El demandante de amparo no ha presentado alegaciones.</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fecha de 15 de abril de 2021se señaló para votación y fallo del presente recurso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presente recurso se interpone contra las siguientes resoluciones: la sentencia núm. 46/2018, de 1 de febrero, dictada por el Juzgado de lo Penal núm. 33 de Madrid, en cuya virtud el demandante resultó condenado por los delitos que más adelante se indican; la sentencia núm. 254/2018, de 4 de abril, de la Sección Vigesimosexta de la Audiencia Provincial de Madrid, que desestimó el recurso de apelación interpuesto por aquel; el auto núm. 1096/2018, de 6 de septiembre, en cuya virtud la Sala de lo Penal del Tribunal Supremo inadmitió el recurso de casación formulado por el demandante; y el auto de 29 de noviembre de 2018, dictado por el órgano judicial último citado, que deniega la aclaración interesada respecto del auto de inadmisión.</w:t>
      </w:r>
    </w:p>
    <w:p w:rsidR="005728DD" w:rsidRDefault="005728DD" w:rsidP="005728DD">
      <w:pPr>
        <w:pStyle w:val="TextoNormal"/>
      </w:pPr>
    </w:p>
    <w:p w:rsidR="005728DD" w:rsidRDefault="005728DD" w:rsidP="005728DD">
      <w:pPr>
        <w:pStyle w:val="TextoNormal"/>
      </w:pPr>
      <w:r>
        <w:t>Resumidamente, el demandante alega la vulneración de su derecho a la tutela judicial efectiva sin indefensión (art. 24.1 CE), en su vertiente de acceso al recurso, por la indebida inadmisión del recurso de casación contra la sentencia dictada por el tribunal de apelación. También alega la vulneración del derecho a la legalidad penal (art. 25.1 CE), al haber sido condenado por quebrantar una medida cautelar en un periodo temporal en que la misma ya no estaba en vigor, por haberse acordado el sobreseimiento provisional de las actuaciones.</w:t>
      </w:r>
    </w:p>
    <w:p w:rsidR="005728DD" w:rsidRDefault="005728DD" w:rsidP="005728DD">
      <w:pPr>
        <w:pStyle w:val="TextoNormal"/>
      </w:pPr>
    </w:p>
    <w:p w:rsidR="005728DD" w:rsidRDefault="005728DD" w:rsidP="005728DD">
      <w:pPr>
        <w:pStyle w:val="TextoNormal"/>
      </w:pPr>
      <w:r>
        <w:t>La parte comparecida interesa la desestimación del recurso de amparo, en la consideración de que la medida cautelar por cuyo quebrantamiento fue condenado el demandante sí se hallaba vigente en la fecha de comisión del hecho.</w:t>
      </w:r>
    </w:p>
    <w:p w:rsidR="005728DD" w:rsidRDefault="005728DD" w:rsidP="005728DD">
      <w:pPr>
        <w:pStyle w:val="TextoNormal"/>
      </w:pPr>
    </w:p>
    <w:p w:rsidR="005728DD" w:rsidRDefault="005728DD" w:rsidP="005728DD">
      <w:pPr>
        <w:pStyle w:val="TextoNormal"/>
      </w:pPr>
      <w:r>
        <w:t>Por su parte, el Ministerio Fiscal interesa la estimación del recurso de amparo con sustento en los argumentos detalladamente reflejados en los antecedentes de esta resolución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Aunque ninguno de los intervinientes ha suscitado la existencia de óbices de admisión, que tampoco fueron apreciados por este tribunal en el trámite de admisión, ello no es obstáculo para que, en este momento procesal, nos pronunciemos sobre la concurrencia de los requisitos para la admisibilidad del recurso, “pues, como venimos declarando (así en la STC 154/2016, de 22 de septiembre, FJ 2), los defectos insubsanables de que pudiera estar afectado el recurso de amparo no resultan subsanados porque haya sido inicialmente admitido a trámite (entre otras,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w:t>
      </w:r>
      <w:r>
        <w:lastRenderedPageBreak/>
        <w:t>en el art. 53 LOTC” (entre otras, SSTC 69/2004, de 19 de abril, FJ 3; 89/2011, de 6 de junio, FJ 2; 174/2011 de 7 de noviembre, FJ 2, y 166/2020, de 16 de noviembre, FJ 2).</w:t>
      </w:r>
    </w:p>
    <w:p w:rsidR="005728DD" w:rsidRDefault="005728DD" w:rsidP="005728DD">
      <w:pPr>
        <w:pStyle w:val="TextoNormal"/>
      </w:pPr>
    </w:p>
    <w:p w:rsidR="005728DD" w:rsidRDefault="005728DD" w:rsidP="005728DD">
      <w:pPr>
        <w:pStyle w:val="TextoNormal"/>
      </w:pPr>
      <w:r>
        <w:t>Como así se ha reflejado en los antecedentes de esta resolución, frente al auto que acuerda la inadmisión del recurso de casación el demandante formuló solicitud de aclaración, en la que interesa que el tribunal advierta el error padecido sobre la fecha de la incoación del procedimiento por el delito de lesiones que resultó condenado y que rectifique lo resuelto, al menos en relación con el referido delito, toda vez que el procedimiento seguido por tales hechos fue posterior a la entrada en vigor de la Ley 41/2015, sin que, a estos efectos, resulte relevante la acumulación a otro procedimiento iniciado con anterioridad a la vigencia de la indicada norma. A dicha solicitud, el órgano judicial respondió, en esencia, que: i) la aclaración pretendida ya había sido contestada en el auto de inadmisión; ii) el solicitante realmente no interesó la aclaración de ningún concepto oscuro, la subsanación de alguna omisión o la rectificación de algún error material; iii) en cualquier caso, afirma que las diligencias 119-2016 fueron acumuladas a un procedimiento penal incoado con anterioridad a la Ley 41/2015.</w:t>
      </w:r>
    </w:p>
    <w:p w:rsidR="005728DD" w:rsidRDefault="005728DD" w:rsidP="005728DD">
      <w:pPr>
        <w:pStyle w:val="TextoNormal"/>
      </w:pPr>
    </w:p>
    <w:p w:rsidR="005728DD" w:rsidRDefault="005728DD" w:rsidP="005728DD">
      <w:pPr>
        <w:pStyle w:val="TextoNormal"/>
      </w:pPr>
      <w:r>
        <w:t>Dado que frente al auto que acordó la inadmisión del recurso de casación, el demandante interpuso la solicitud de aclaración ya aludida, procede determinar la incidencia que sobre la admisibilidad del presente recurso supone el empleo de ese remedio. La STC 186/2014, de 17 de noviembre, FJ 2 a), compila la doctrina de este tribunal sobre los supuestos en que la solicitud de aclaración puede provocar la extemporaneidad del recurso de amparo por prolongación indebida de la vía judicial:</w:t>
      </w:r>
    </w:p>
    <w:p w:rsidR="005728DD" w:rsidRDefault="005728DD" w:rsidP="005728DD">
      <w:pPr>
        <w:pStyle w:val="TextoNormal"/>
      </w:pPr>
    </w:p>
    <w:p w:rsidR="005728DD" w:rsidRDefault="005728DD" w:rsidP="005728DD">
      <w:pPr>
        <w:pStyle w:val="TextoNormal"/>
      </w:pPr>
      <w:r>
        <w:t xml:space="preserve">“En concreto, por lo que se refiere a la formulación de la solicitud de aclaración, reconocida en el art. 267 de la Ley Orgánica del poder judicial, este tribunal ha afirmado que ‘su interposición hace extemporáneo el recurso de amparo interpuesto una vez transcurrido el plazo de veinte días previsto en el art. 44.2 LOTC, cuando resulte injustificada produciendo una prolongación artificial del plazo de interposición del amparo o pueda calificarse como un remedio manifiestamente improcedente contra la resolución judicial’ (SSTC 131/2004, de 19 de julio, FJ 2; y 77/2005, de 4 de abril, FJ 2), lo que, por ejemplo, sucede cuando se utiliza para volver a analizar el objeto del recurso o para pretender alterar la fundamentación jurídica de la resolución o el sentido del fallo. No concurriendo tales circunstancias, el tiempo que transcurra entre la petición de aclaración y el auto correspondiente (aclare o no) ha de ser excluido en el cómputo del plazo de cualquier recurso en sentido propio, cuyo </w:t>
      </w:r>
      <w:r w:rsidRPr="005728DD">
        <w:rPr>
          <w:i/>
        </w:rPr>
        <w:t>dies a quo</w:t>
      </w:r>
      <w:r>
        <w:t xml:space="preserve"> o hito inicial ha de situarse en el de la notificación de aquel auto (ATC 45/1995, de 13 de febrero, FJ 1); en cambio la utilización del instrumento de la aclaración para un fin distinto del que le es propio provoca una ampliación artificial del plazo para interponer el amparo, lo que determina la inadmisibilidad de la demanda de éste por extemporánea (por todas, SSTC 233/2005, de 23 de septiembre, FJ 2; y 94/2006, de 27 de marzo, FJ 3)”.</w:t>
      </w:r>
    </w:p>
    <w:p w:rsidR="005728DD" w:rsidRDefault="005728DD" w:rsidP="005728DD">
      <w:pPr>
        <w:pStyle w:val="TextoNormal"/>
      </w:pPr>
    </w:p>
    <w:p w:rsidR="005728DD" w:rsidRDefault="005728DD" w:rsidP="005728DD">
      <w:pPr>
        <w:pStyle w:val="TextoNormal"/>
      </w:pPr>
      <w:r>
        <w:t>Por otro lado, en la letra b) del referido fundamento jurídico, analiza la idoneidad de la solicitud de aclaración como medio apto para agotar la vía judicial:</w:t>
      </w:r>
    </w:p>
    <w:p w:rsidR="005728DD" w:rsidRDefault="005728DD" w:rsidP="005728DD">
      <w:pPr>
        <w:pStyle w:val="TextoNormal"/>
      </w:pPr>
    </w:p>
    <w:p w:rsidR="005728DD" w:rsidRDefault="005728DD" w:rsidP="005728DD">
      <w:pPr>
        <w:pStyle w:val="TextoNormal"/>
      </w:pPr>
      <w:r>
        <w:t xml:space="preserve">“Conforme a reiterada doctrina de este tribunal, ‘el requisito de agotar todos los recursos utilizables en la vía judicial ordinaria que establece el art. 44.1 a) LOTC deriva de la necesidad de respetar la subsidiariedad del recurso de amparo, dado que, en virtud de lo dispuesto en el art. 53.2 CE, la tutela general de los derechos y libertades corresponde, en primer lugar, </w:t>
      </w:r>
      <w:r>
        <w:lastRenderedPageBreak/>
        <w:t>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FJ 5; 60/2005, de 14 de marzo, FJ 2; 288/2005, de 7 de noviembre, FJ 1; 313/2005, de 12 de diciembre, FJ 2, y 85/2006, de 27 de marzo, FJ 2)’ (STC 144/2007, de 18 de junio, FJ 2). […]</w:t>
      </w:r>
    </w:p>
    <w:p w:rsidR="005728DD" w:rsidRDefault="005728DD" w:rsidP="005728DD">
      <w:pPr>
        <w:pStyle w:val="TextoNormal"/>
      </w:pPr>
    </w:p>
    <w:p w:rsidR="005728DD" w:rsidRDefault="005728DD" w:rsidP="005728DD">
      <w:pPr>
        <w:pStyle w:val="TextoNormal"/>
      </w:pPr>
      <w:r>
        <w:t>[H]emos declarado respecto de la aclaración de sentencia regulada en el art. 267 LOPJ que no puede utilizarse como remedio de la fundamentación jurídica,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(por todas, SSTC 218/1999, de 29 de noviembre, FJ 3; 305/2006, de 23 de octubre, FJ 5, y 19/2008, de 31 de enero, FJ 2). Esto es, el cauce excepcional de la aclaración que arbitra el art. 267 LOPJ debe limitarse a la función específica reparadora para la que se encuentra establecido, toda vez que el órgano judicial, al explicar el sentido de sus palabras o adicionar lo que faltase, o al rectificar un error material, debe moverse en el marco interpretativo de lo anteriormente manifestado o razonado, sin realizar una nueva apreciación de valoración o interpretación en Derecho, en cuyo caso, de llevarla a efecto, se produciría un desbordamiento de los límites de ese mecanismo que no permite un juicio valorativo, ni operaciones de calificación jurídica o nuevas y distintas apreciaciones de la prueba, ni supone resolver cuestiones discutibles u opinables (por todas, STC 31/2004, de 4 de marzo, FJ 6).</w:t>
      </w:r>
    </w:p>
    <w:p w:rsidR="005728DD" w:rsidRDefault="005728DD" w:rsidP="005728DD">
      <w:pPr>
        <w:pStyle w:val="TextoNormal"/>
      </w:pPr>
    </w:p>
    <w:p w:rsidR="005728DD" w:rsidRDefault="005728DD" w:rsidP="005728DD">
      <w:pPr>
        <w:pStyle w:val="TextoNormal"/>
      </w:pPr>
      <w:r>
        <w:t>Por tanto, la aclaración regulada en el art. 267 LOPJ no constituye un auténtico medio de impugnación que pueda servir como instrumento para agotar la vía judicial previa cuando, como es el caso, se denuncia la irrazonabilidad en los argumentos de la sentencia, supuesto en el que, manifestando la actora su desacuerdo con la fundamentación de la misma, que entendía vulneradora de su derecho a la tutela judicial efectiva, debería haber acudido al incidente de nulidad de actuaciones del art. 241.1 LOPJ para agotar en debida forma la vía judicial previa, puesto que era el remedio procesal adecuado para reparar la lesión del derecho fundamental invocado en la demanda de amparo. Al no haberlo hecho así, la actora no ha dado debido cumplimiento al requisito del agotamiento de los recursos utilizables establecido en el art. 44.1 a) LOTC, ni, por consiguiente, brindó a la Sala la posibilidad de reparar el vicio denunciado, salvaguardando, de este modo, el carácter subsidiario del recurso de amparo al que, como hemos señalado, responde dicho requisito”.</w:t>
      </w:r>
    </w:p>
    <w:p w:rsidR="005728DD" w:rsidRDefault="005728DD" w:rsidP="005728DD">
      <w:pPr>
        <w:pStyle w:val="TextoNormal"/>
      </w:pPr>
    </w:p>
    <w:p w:rsidR="005728DD" w:rsidRDefault="005728DD" w:rsidP="005728DD">
      <w:pPr>
        <w:pStyle w:val="TextoNormal"/>
      </w:pPr>
      <w:r>
        <w:t xml:space="preserve">En el supuesto presente, la aclaración instada por el demandante fue reputada manifiestamente improcedente por parte del tribunal de casación por los motivos ya apuntados. Si asumiéramos el criterio del órgano judicial, convendríamos que el recurso de amparo se </w:t>
      </w:r>
      <w:r>
        <w:lastRenderedPageBreak/>
        <w:t>interpuso extemporáneamente, de acuerdo con la consolidada doctrina de este tribunal. Ahora bien, aun cuando considerásemos que la reiterada aclaración no fue absolutamente impertinente, lo que no admite duda es que esa petición, por sí sola, no es un instrumento adecuado para intentar remediar, en sede judicial, la vulneración de los derechos fundamentales denunciada en la demanda.</w:t>
      </w:r>
    </w:p>
    <w:p w:rsidR="005728DD" w:rsidRDefault="005728DD" w:rsidP="005728DD">
      <w:pPr>
        <w:pStyle w:val="TextoNormal"/>
      </w:pPr>
    </w:p>
    <w:p w:rsidR="005728DD" w:rsidRDefault="005728DD" w:rsidP="005728DD">
      <w:pPr>
        <w:pStyle w:val="TextoNormal"/>
      </w:pPr>
      <w:r>
        <w:t>Conforme a la argumentación reflejada en la STC 186/2014, ni la aclaración de sentencia puede ser considerada un auténtico medio de impugnación apto para modificar el sentido de la resolución principal ni, menos aún, puede equipararse al incidente de nulidad de actuaciones previsto en el art. 241 LOPJ pues, dada su naturaleza, no permite reparar las vulneraciones de derechos fundamentales que se atribuyen al propio órgano judicial. En el presente caso, pese a que el órgano judicial persistió en su decisión de inadmitir el recurso de casación, el demandante debió interponer el mencionado incidente de nulidad de actuaciones, a fin de poner explícitamente de manifiesto la vulneración del derecho a la tutela judicial efectiva (art. 24.1 CE), en su vertiente de acceso al recurso legal, para intentar obtener la reparación de esa eventual lesión antes de acceder a esta sede constitucional. Al no obrar de ese modo, constatamos que la vía judicial no ha sido debidamente agotada, por lo que la queja de lesión atribuida a la Sala de lo Penal del Tribunal Supremo debe ser inadmitida.</w:t>
      </w:r>
    </w:p>
    <w:p w:rsidR="005728DD" w:rsidRDefault="005728DD" w:rsidP="005728DD">
      <w:pPr>
        <w:pStyle w:val="TextoNormal"/>
      </w:pPr>
    </w:p>
    <w:p w:rsidR="005728DD" w:rsidRDefault="005728DD" w:rsidP="005728DD">
      <w:pPr>
        <w:pStyle w:val="TextoNormal"/>
      </w:pPr>
      <w:r w:rsidRPr="005728DD">
        <w:rPr>
          <w:rStyle w:val="NumeroAFNegritaCaracter"/>
        </w:rPr>
        <w:t>3</w:t>
      </w:r>
      <w:r>
        <w:t>. Ahora bien, en el presente recurso también se invoca otra lesión, si bien de manera subsidiaria, concretamente asociada al derecho a la legalidad penal reconocido en el art. 25.1 CE que el recurrente atribuye al Juzgado de lo Penal núm. 33 de Madrid y al tribunal de apelación; esto es, a órganos judiciales distintos del que inadmitió a trámite el recurso de casación.</w:t>
      </w:r>
    </w:p>
    <w:p w:rsidR="005728DD" w:rsidRDefault="005728DD" w:rsidP="005728DD">
      <w:pPr>
        <w:pStyle w:val="TextoNormal"/>
      </w:pPr>
    </w:p>
    <w:p w:rsidR="005728DD" w:rsidRDefault="005728DD" w:rsidP="005728DD">
      <w:pPr>
        <w:pStyle w:val="TextoNormal"/>
      </w:pPr>
      <w:r>
        <w:t>Este tribunal ha tenido ocasión de pronunciarse sobre lo que cabría definir como el “efecto reflejo” o “efecto arrastre” producido por las decisiones de inadmisibilidad de un recurso de amparo, fundadas en la falta de agotamiento de la vía judicial. Sobre ese particular la STC 101/2018, de 1 de octubre FJ 2, rechazó el referido “efecto arrastre”, al concluir:</w:t>
      </w:r>
    </w:p>
    <w:p w:rsidR="005728DD" w:rsidRDefault="005728DD" w:rsidP="005728DD">
      <w:pPr>
        <w:pStyle w:val="TextoNormal"/>
      </w:pPr>
    </w:p>
    <w:p w:rsidR="005728DD" w:rsidRDefault="005728DD" w:rsidP="005728DD">
      <w:pPr>
        <w:pStyle w:val="TextoNormal"/>
      </w:pPr>
      <w:r>
        <w:t>“En suma, la posición según la cual la falta de denuncia de la última vulneración (por lo común procesal) consumada debe arrastrar todas las anteriores se funda en un criterio rigorista que no tiene asiento en el sistema de nuestra ley orgánica, ya que (y solo de ese supuesto nos ocupamos) las lesiones previamente acaecidas han sido temporáneamente denunciadas y se ha agotado la vía judicial respecto de ellas. Por todo ello, la decisión que corresponde en estos casos [...] es la de apreciar el óbice de falta de interposición de incidente de nulidad de actuaciones del artículo 241 de la Ley Orgánica del Poder Judicial solo para dichas quejas [...]. Una circunstancia que implica de modo derivado, por tanto, una posible decisión de admisión del recurso en lo que atañe a las demás denuncias, ya que nada impide, descartado el efecto arrastre en los términos descritos y como se desprende del artículo 50.1 LOTC, la admisión de la demanda para la sustanciación de las vulneraciones adicionales aducidas, conforme a lo dispuesto en tal precepto y siempre que se cumplan los requisitos de admisibilidad del elenco que esa previsión normativa contiene, al ser posible la admisión del recurso de amparo ‘en todo o en parte’, dice la Ley Orgánica (ATC 233/2009, de 10 de septiembre, FJ 2)”.</w:t>
      </w:r>
    </w:p>
    <w:p w:rsidR="005728DD" w:rsidRDefault="005728DD" w:rsidP="005728DD">
      <w:pPr>
        <w:pStyle w:val="TextoNormal"/>
      </w:pPr>
    </w:p>
    <w:p w:rsidR="005728DD" w:rsidRDefault="005728DD" w:rsidP="005728DD">
      <w:pPr>
        <w:pStyle w:val="TextoNormal"/>
      </w:pPr>
      <w:r>
        <w:t xml:space="preserve">En aplicación de la doctrina transcrita, la queja asociada al art. 25.1 CE no debe resultar afectada por el óbice de admisibilidad anteriormente detectado, habida cuenta de que: i) la </w:t>
      </w:r>
      <w:r>
        <w:lastRenderedPageBreak/>
        <w:t>lesión se atribuye a órganos judiciales diferentes del que vetó la posibilidad de acceder a la casación; ii) en la solicitud de aclaración se efectúa la salvedad de que el recurso de casación podría ser admitido solamente respecto del motivo asociado al delito de lesiones; iii) con carácter subsidiario, en la demanda de amparo se denuncia la lesión de aquel derecho fundamental, con motivo de la condena por el delito de quebrantamiento de medida cautelar (art. 468.2 CP).</w:t>
      </w:r>
    </w:p>
    <w:p w:rsidR="005728DD" w:rsidRDefault="005728DD" w:rsidP="005728DD">
      <w:pPr>
        <w:pStyle w:val="TextoNormal"/>
      </w:pPr>
    </w:p>
    <w:p w:rsidR="005728DD" w:rsidRDefault="005728DD" w:rsidP="005728DD">
      <w:pPr>
        <w:pStyle w:val="TextoNormal"/>
      </w:pPr>
      <w:r w:rsidRPr="005728DD">
        <w:rPr>
          <w:rStyle w:val="NumeroAFNegritaCaracter"/>
        </w:rPr>
        <w:t>4</w:t>
      </w:r>
      <w:r>
        <w:t>. Antes de adentrarnos en el análisis de la lesión enunciada, resulta oportuno reflejar el esquema al que nos vamos a sujetar para la resolución de la referida queja. En primer lugar, resumiremos los aspectos relevantes de la medida cautelar que se consideró quebrantada para, seguidamente, sintetizar las razones dadas por los órganos judiciales para fundar la condena del demandante por el referido delito. A continuación determinaremos qué vertiente o faceta del derecho a la legalidad penal concierne al presente recurso, con el correspondiente reflejo de la doctrina estatuida por este tribunal al respecto; y finalmente, nos pronunciaremos sobre lo que constituye el fondo de la queja.</w:t>
      </w:r>
    </w:p>
    <w:p w:rsidR="005728DD" w:rsidRDefault="005728DD" w:rsidP="005728DD">
      <w:pPr>
        <w:pStyle w:val="TextoNormal"/>
      </w:pPr>
    </w:p>
    <w:p w:rsidR="005728DD" w:rsidRDefault="005728DD" w:rsidP="005728DD">
      <w:pPr>
        <w:pStyle w:val="TextoNormal"/>
      </w:pPr>
      <w:r>
        <w:t>a) Del relato consignado en los antecedentes se desprende que: i) la medida cautelar adoptada por auto, de fecha 3 de mayo de 2015, del Juzgado de Primera Instancia e Instrucción núm. 2 de Colmenar Viejo, impuso al recurrente la prohibición de aproximación, a menos de trescientos metros, y de comunicación con quien fue su pareja; ii) su vigencia se concretó en los términos que figuran en el antecedente a) de esta resolución; iii) pese a haber recaído resolución de sobreseimiento provisional prevista en el art. 641.1 LECrim, en fecha 4 de agosto de 2015, hasta el 11 de noviembre de 2015 la medida cautelar no se dejó formalmente sin efecto, por auto de la misma fecha; iv) que el único motivo tenido en cuenta por el auto que acordó el cese de la reiterada medida fue que, previamente, se había dictado el sobreseimiento provisional y archivo de las actuaciones.</w:t>
      </w:r>
    </w:p>
    <w:p w:rsidR="005728DD" w:rsidRDefault="005728DD" w:rsidP="005728DD">
      <w:pPr>
        <w:pStyle w:val="TextoNormal"/>
      </w:pPr>
    </w:p>
    <w:p w:rsidR="005728DD" w:rsidRDefault="005728DD" w:rsidP="005728DD">
      <w:pPr>
        <w:pStyle w:val="TextoNormal"/>
      </w:pPr>
      <w:r>
        <w:t>b) Como se refleja en la fundamentación jurídica de la sentencia dictada en la instancia, la única razón tenida en cuenta para condenar por el delito previsto en el art. 468.2 CP fue que el demandante convivió, con su entonces pareja, desde octubre de 2015 hasta enero del 2016; esto es, con posterioridad al dictado del auto de sobreseimiento provisional, pero con anterioridad a que se dejase sin efecto la medida cautelar de prohibición de aproximación y comunicación.</w:t>
      </w:r>
    </w:p>
    <w:p w:rsidR="005728DD" w:rsidRDefault="005728DD" w:rsidP="005728DD">
      <w:pPr>
        <w:pStyle w:val="TextoNormal"/>
      </w:pPr>
    </w:p>
    <w:p w:rsidR="005728DD" w:rsidRDefault="005728DD" w:rsidP="005728DD">
      <w:pPr>
        <w:pStyle w:val="TextoNormal"/>
      </w:pPr>
      <w:r>
        <w:t>Por su parte, la sentencia que puso fin al recurso de apelación confirmó la condena impuesta en la instancia, por las siguientes razones: i) En la fecha en que el demandante pasó a residir con su pareja, la medida cautelar aún se hallaba en vigor, pese a haberse acordado el sobreseimiento provisional con anterioridad; ii) la causa sobreseída se reabrió con posterioridad; iii) el demandante debió recurrir la resolución que acordaba el sobreseimiento provisional, a fin de que también se dejara sin efecto la medida cautelar; iv) el recurrente no puede pretextar error o ignorancia, toda vez que ya había sido condenado anteriormente como autor de tres delitos de quebrantamiento de condena, y por tanto, conocía los aspectos esenciales de esta infracción; v) el demandante fue expresamente requerido para que acatara las medidas acordadas y debidamente informado de las consecuencias de su incumplimiento.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Frente a las consideraciones dadas por los órganos judiciales, el recurrente opone en su demanda que en la fecha en que comenzó a convivir con su anterior pareja, la orden de </w:t>
      </w:r>
      <w:r>
        <w:lastRenderedPageBreak/>
        <w:t>protección ya no estaba vigente, puesto que, al ser acordado el sobreseimiento provisional del procedimiento, la medida cautelar adoptada en el mismo perdió su razón de ser y efectividad. El argumento compendiado lleva a entender que la queja que al amparo del art. 25.1 CE formula al recurrente, trae causa de su condena por unos hechos cuya certeza no niega; pero sí refuta que los mismos sean constitutivos del delito previsto en el art. 468.2 CP. Por tanto, la denuncia de lesión cuestiona la subsunción de los hechos en la norma penal por parte de los órganos judiciales.</w:t>
      </w:r>
    </w:p>
    <w:p w:rsidR="005728DD" w:rsidRDefault="005728DD" w:rsidP="005728DD">
      <w:pPr>
        <w:pStyle w:val="TextoNormal"/>
      </w:pPr>
    </w:p>
    <w:p w:rsidR="005728DD" w:rsidRDefault="005728DD" w:rsidP="005728DD">
      <w:pPr>
        <w:pStyle w:val="TextoNormal"/>
      </w:pPr>
      <w:r>
        <w:t>Una vez identificada la faceta del derecho reconocido en el art. 25.1 CE que el recurrente estima vulnerada, resulta de interés reflejar la doctrina fijada por este tribunal en relación con la subsunción de los hechos en la norma penal realizada por los juzgados y tribunales, así como el control que en sede constitucional cabe efectuar al respecto. La STC 129/2008, de 27 de octubre, FJ 3, ofrece así una detallada recopilación de la doctrina constitucional sobre el derecho a la legalidad penal, principalmente referida a la interpretación y aplicación de las normas penales por los órganos judiciales y, por otro lado, al parámetro de fiscalización por parte de este tribunal:</w:t>
      </w:r>
    </w:p>
    <w:p w:rsidR="005728DD" w:rsidRDefault="005728DD" w:rsidP="005728DD">
      <w:pPr>
        <w:pStyle w:val="TextoNormal"/>
      </w:pPr>
    </w:p>
    <w:p w:rsidR="005728DD" w:rsidRDefault="005728DD" w:rsidP="005728DD">
      <w:pPr>
        <w:pStyle w:val="TextoNormal"/>
      </w:pPr>
      <w: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y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w:t>
      </w:r>
      <w:r>
        <w:lastRenderedPageBreak/>
        <w:t>FJ 3; 242/2005, de 10 de octubre, FJ 4; 9/2006, de 16 de enero, FJ 4, y 262/2006, de 11 de septiembre, FJ 4).</w:t>
      </w:r>
    </w:p>
    <w:p w:rsidR="005728DD" w:rsidRDefault="005728DD" w:rsidP="005728DD">
      <w:pPr>
        <w:pStyle w:val="TextoNormal"/>
      </w:pPr>
    </w:p>
    <w:p w:rsidR="005728DD" w:rsidRDefault="005728DD" w:rsidP="005728DD">
      <w:pPr>
        <w:pStyle w:val="TextoNormal"/>
      </w:pPr>
      <w:r>
        <w:t>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sólo podrá ser tomada en cuenta en la medida en que incida en la irrazonabilidad de la interpretación judicial impugnada”.</w:t>
      </w:r>
    </w:p>
    <w:p w:rsidR="005728DD" w:rsidRDefault="005728DD" w:rsidP="005728DD">
      <w:pPr>
        <w:pStyle w:val="TextoNormal"/>
      </w:pPr>
    </w:p>
    <w:p w:rsidR="005728DD" w:rsidRDefault="005728DD" w:rsidP="005728DD">
      <w:pPr>
        <w:pStyle w:val="TextoNormal"/>
      </w:pPr>
      <w:r w:rsidRPr="005728DD">
        <w:rPr>
          <w:rStyle w:val="NumeroAFNegritaCaracter"/>
        </w:rPr>
        <w:t>6</w:t>
      </w:r>
      <w:r>
        <w:t>. Como ha quedado reflejado, para el demandante la vulneración del derecho reconocido en el art. 25.1 CE deriva de la condena de que fue objeto, como autor del delito de quebrantamiento de medida cautelar previsto en el art. 468.2 CP. Este precepto sancionador dispone que “[s]e impondrá en todo caso la pena de prisión de seis meses a un año a los que quebrantaren una pena de las contempladas en el artículo 48 de este Código o una medida cautelar o de seguridad de la misma naturaleza impuesta en procesos criminales en los que el ofendido sea alguna de las personas a las que se refiere el artículo 173.2, así como a aquellos que quebrantaren la medida de libertad vigilada”.</w:t>
      </w:r>
    </w:p>
    <w:p w:rsidR="005728DD" w:rsidRDefault="005728DD" w:rsidP="005728DD">
      <w:pPr>
        <w:pStyle w:val="TextoNormal"/>
      </w:pPr>
    </w:p>
    <w:p w:rsidR="005728DD" w:rsidRDefault="005728DD" w:rsidP="005728DD">
      <w:pPr>
        <w:pStyle w:val="TextoNormal"/>
      </w:pPr>
      <w:r>
        <w:t>Dado que el recurrente no cuestiona aspectos tales como la realidad de la medida cautelar acordada, la convivencia que mantuvo con su pareja desde el mes de septiembre del 2015 hasta el mes de enero de 2016 o la fecha en que aquella medida fue formalmente dejada sin efecto, el núcleo esencial de su impugnación se focaliza frente a la argumentación del tribunal de apelación, que consideró que hasta en tanto no se acordó judicialmente el cese de la medida cautelar esta permanecía en vigor, con independencia de que en el procedimiento que recayó se hubiera sobreseído con anterioridad.</w:t>
      </w:r>
    </w:p>
    <w:p w:rsidR="005728DD" w:rsidRDefault="005728DD" w:rsidP="005728DD">
      <w:pPr>
        <w:pStyle w:val="TextoNormal"/>
      </w:pPr>
    </w:p>
    <w:p w:rsidR="005728DD" w:rsidRDefault="005728DD" w:rsidP="005728DD">
      <w:pPr>
        <w:pStyle w:val="TextoNormal"/>
      </w:pPr>
      <w:r>
        <w:t xml:space="preserve">La primera conclusión que cabe extraer, visto el tenor del precepto penal, es que la argumentación judicial no lleva a cabo una interpretación extensiva o analógica </w:t>
      </w:r>
      <w:r w:rsidRPr="005728DD">
        <w:rPr>
          <w:i/>
        </w:rPr>
        <w:t>in malam partem</w:t>
      </w:r>
      <w:r>
        <w:t>, toda vez que la orden de protección estaba formalmente en vigor cuando ocurrieron los hechos. Ahora bien, como ha quedado reflejado al transcribir la doctrina constitucional, el hecho de que la exégesis judicial respete el tenor literal del tipo penal no exonera de valorar si la interpretación realizada resulta ilógica, manifiestamente extravagante o parte de una base valorativa que no se acomoda los criterios que informan nuestro ordenamiento constitucional, o conduce a soluciones esencialmente opuestas a la orientación material de la norma y, por ello, resulta imprevisible para sus destinatarios. Por tanto, a continuación procede dirimir si la respuesta dada por los órganos judiciales incurre o no en las deficiencias señaladas.</w:t>
      </w:r>
    </w:p>
    <w:p w:rsidR="005728DD" w:rsidRDefault="005728DD" w:rsidP="005728DD">
      <w:pPr>
        <w:pStyle w:val="TextoNormal"/>
      </w:pPr>
    </w:p>
    <w:p w:rsidR="005728DD" w:rsidRDefault="005728DD" w:rsidP="005728DD">
      <w:pPr>
        <w:pStyle w:val="TextoNormal"/>
      </w:pPr>
      <w:r>
        <w:lastRenderedPageBreak/>
        <w:t>Oportunamente, la fiscal invoca en sus alegaciones la STC 16/2012, de 13 de marzo. En el supuesto analizado en esta resolución consta que el entonces demandante de amparo fue absuelto en el procedimiento en el que se acordó la medida cautelar de prohibición de aproximación a la presunta víctima, sin que la resolución absolutoria, que ulteriormente fue recurrida por la acusación particular, se pronunciara sobre la subsistencia o cese de la referida medida cautelar. No obstante ello, resultó condenado como autor de un delito del art. 468.2 CP, pues según razonó el órgano judicial, al no ser dejada sin efecto la medida cautelar esta continuaba en vigor, de manera que el contacto que aquel mantuvo con su ex pareja determinó la condena como autor del delito antes indicado. En relación con ese supuesto, la sentencia dictada por este tribunal apreció la lesión del derecho a la presunción de inocencia del demandante (art. 24.2 CE), al considerar irrazonable la conclusión alcanzada respecto de la vigencia de la medida cautelar:</w:t>
      </w:r>
    </w:p>
    <w:p w:rsidR="005728DD" w:rsidRDefault="005728DD" w:rsidP="005728DD">
      <w:pPr>
        <w:pStyle w:val="TextoNormal"/>
      </w:pPr>
    </w:p>
    <w:p w:rsidR="005728DD" w:rsidRDefault="005728DD" w:rsidP="005728DD">
      <w:pPr>
        <w:pStyle w:val="TextoNormal"/>
      </w:pPr>
      <w:r>
        <w:t>“Así las cosas, dado que bajo la expresión ‘las medidas de este capítulo’ se incluye la medida de alejamiento impuesta al recurrente (</w:t>
      </w:r>
      <w:r w:rsidRPr="005728DD">
        <w:rPr>
          <w:i/>
        </w:rPr>
        <w:t>vid</w:t>
      </w:r>
      <w:r>
        <w:t>. art. 64.3 de la Ley Orgánica 1/2004 citada) y que por sentencia ‘definitiva’ debe entenderse, no la sentencia firme —lo que sería contradictorio con la posibilidad de recurso—, sino la sentencia dictada en la instancia, es evidente que la ausencia de mención expresa sobre el mantenimiento de la medida cautelar en la sentencia absolutoria del juzgado de lo penal (hecho aceptado por las propias resoluciones ahora impugnadas) conlleva la finalización de la vigencia de dicha medida en el momento en que tal sentencia fue dictada. En consecuencia, la falta de este pronunciamiento por parte del juzgado determina el decaimiento de la referida medida de protección y, por ello, su pérdida de eficacia, aunque la sentencia dictada no fuera firme y estuviera pendiente de recurso o no hubiera transcurrido el plazo legal previsto para su interposición.</w:t>
      </w:r>
    </w:p>
    <w:p w:rsidR="005728DD" w:rsidRDefault="005728DD" w:rsidP="005728DD">
      <w:pPr>
        <w:pStyle w:val="TextoNormal"/>
      </w:pPr>
    </w:p>
    <w:p w:rsidR="005728DD" w:rsidRDefault="005728DD" w:rsidP="005728DD">
      <w:pPr>
        <w:pStyle w:val="TextoNormal"/>
      </w:pPr>
      <w:r>
        <w:t>Es por tanto de concluir que la argumentación utilizada por los órganos judiciales intervinientes, en los términos expuestos, que viene a ligar de manera no justificada la falta de firmeza de la sentencia absolutoria de instancia con la prórroga de la medida de alejamiento, resulta irrazonable al quebrantar el contenido del citado art. 69, siendo una interpretación inaceptable desde la perspectiva constitucional.</w:t>
      </w:r>
    </w:p>
    <w:p w:rsidR="005728DD" w:rsidRDefault="005728DD" w:rsidP="005728DD">
      <w:pPr>
        <w:pStyle w:val="TextoNormal"/>
      </w:pPr>
    </w:p>
    <w:p w:rsidR="005728DD" w:rsidRDefault="005728DD" w:rsidP="005728DD">
      <w:pPr>
        <w:pStyle w:val="TextoNormal"/>
      </w:pPr>
      <w:r>
        <w:t>Y es que en el presente caso la concurrencia de la situación típica de la que dimana la prohibición judicial de aproximación constituye el elemento específico de este delito, del que surge la prohibición de la conducta de acercamiento. La inexistencia del presupuesto típico hace decaer la relevancia penal del comportamiento”.</w:t>
      </w:r>
    </w:p>
    <w:p w:rsidR="005728DD" w:rsidRDefault="005728DD" w:rsidP="005728DD">
      <w:pPr>
        <w:pStyle w:val="TextoNormal"/>
      </w:pPr>
    </w:p>
    <w:p w:rsidR="005728DD" w:rsidRDefault="005728DD" w:rsidP="005728DD">
      <w:pPr>
        <w:pStyle w:val="TextoNormal"/>
      </w:pPr>
      <w:r>
        <w:t>Y en relación con el aspecto que principalmente concierne al presente recurso, en el fundamento jurídico quinto figura la siguiente argumentación:</w:t>
      </w:r>
    </w:p>
    <w:p w:rsidR="005728DD" w:rsidRDefault="005728DD" w:rsidP="005728DD">
      <w:pPr>
        <w:pStyle w:val="TextoNormal"/>
      </w:pPr>
    </w:p>
    <w:p w:rsidR="005728DD" w:rsidRDefault="005728DD" w:rsidP="005728DD">
      <w:pPr>
        <w:pStyle w:val="TextoNormal"/>
      </w:pPr>
      <w:r>
        <w:t>“Por otra parte, tal modo de razonar de los órganos judiciales, además de ser contrario al tenor de los preceptos estudiados (art. 468.2 CP en relación con el art. 69 de la Ley Orgánica 1/2004), puede considerarse divergente de las pautas de interpretación comúnmente aceptadas, a la vista de los intereses y valores constitucionales en juego. En efecto, la orden de protección, de acuerdo con su naturaleza de medida cautelar, tiene como presupuesto, entre otros, la razonada previsión de un hecho punible a una persona determinada, pudiéndose mantener por el juez en tanto en cuanto subsistan las condiciones que la han justificado, en el caso de los delitos de violencia doméstica ante la existencia de una situación objetiva de riesgo para la víctima (544.</w:t>
      </w:r>
      <w:r w:rsidRPr="005728DD">
        <w:rPr>
          <w:i/>
        </w:rPr>
        <w:t>ter</w:t>
      </w:r>
      <w:r>
        <w:t xml:space="preserve"> de la Ley de enjuiciamiento criminal). Por ello, esta medida </w:t>
      </w:r>
      <w:r>
        <w:lastRenderedPageBreak/>
        <w:t>está sometida al principio de variabilidad, como instrumental del proceso penal en curso, de tal modo que el órgano judicial debe dejarla sin efecto cuando se modifiquen las circunstancias que aconsejaron su imposición.</w:t>
      </w:r>
    </w:p>
    <w:p w:rsidR="005728DD" w:rsidRDefault="005728DD" w:rsidP="005728DD">
      <w:pPr>
        <w:pStyle w:val="TextoNormal"/>
      </w:pPr>
    </w:p>
    <w:p w:rsidR="005728DD" w:rsidRDefault="005728DD" w:rsidP="005728DD">
      <w:pPr>
        <w:pStyle w:val="TextoNormal"/>
      </w:pPr>
      <w:r>
        <w:t>Y es incuestionable que el momento en que se procede por el juez al pronunciamiento de una sentencia absolutoria representa un acontecimiento relevante en el proceso, al desaparecer en principio los indicios incriminatorios contra el acusado, por lo que la consecuencia lógica ha de ser el levantamiento de la expresada medida de protección, máxime cuando dicha medida afecta a derechos y libertades del imputado también constitucionalmente protegidos. Por ello, el mantenimiento de la orden de protección en este supuesto de sentencia absolutoria se supedita por el legislador (art. 69 de la Ley Orgánica 1/2004), como hemos visto, a que se haga constar expresamente en dicha resolución, lo que requerirá un plus de motivación al órgano judicial, desde el canon de la proporcionalidad, para justificar las razones por las que se acuerda en tales circunstancias la prórroga de la medida”.</w:t>
      </w:r>
    </w:p>
    <w:p w:rsidR="005728DD" w:rsidRDefault="005728DD" w:rsidP="005728DD">
      <w:pPr>
        <w:pStyle w:val="TextoNormal"/>
      </w:pPr>
    </w:p>
    <w:p w:rsidR="005728DD" w:rsidRDefault="005728DD" w:rsidP="005728DD">
      <w:pPr>
        <w:pStyle w:val="TextoNormal"/>
      </w:pPr>
      <w:r>
        <w:t>En el presente supuesto, el órgano judicial que adoptó la medida cautelar puso fin al procedimiento penal, al acordar el sobreseimiento provisional previsto en el art. 641.1 LECrim por no resultar justificada la perpetración del delito que dio lugar a la formación de la causa. Esa decisión supuso, necesariamente, que la presunta infracción penal que motivó el dictado de la orden de protección se tuviera por no acreditada, de manera que, al no constar la comisión de delito alguno que perseguir, tampoco existía víctima del delito a la que proteger mediante el mantenimiento de la referida orden. La medida cautelar impuesta en el proceso penal tuvo por objeto brindar efectiva protección a la presunta víctima del delito; por tanto, si el procedimiento en el que se adoptó concluye por sentencia absolutoria o auto de sobreseimiento, el sustrato necesario para que la referida medida pueda adoptarse decae materialmente, de suerte que también su perpetuación carece ya de razón de ser.</w:t>
      </w:r>
    </w:p>
    <w:p w:rsidR="005728DD" w:rsidRDefault="005728DD" w:rsidP="005728DD">
      <w:pPr>
        <w:pStyle w:val="TextoNormal"/>
      </w:pPr>
    </w:p>
    <w:p w:rsidR="005728DD" w:rsidRDefault="005728DD" w:rsidP="005728DD">
      <w:pPr>
        <w:pStyle w:val="TextoNormal"/>
      </w:pPr>
      <w:r>
        <w:t>Las anteriores consideraciones se ven reforzadas por las razones adicionales que a continuación se expresan. En primer lugar, el auto de sobreseimiento provisional no contiene pronunciamiento alguno para justificar el mantenimiento de la medida cautelar en su día adoptada; y en segundo término, el auto que expresamente resolvió dejarla sin efecto se fundó, exclusivamente, en el sobreseimiento provisional del procedimiento penal acordado en su día. La conjunción de ambas circunstancias lleva a colegir que el órgano judicial no apreció razón alguna que autorizara la vigencia de la orden de protección más allá del sobreseimiento acordado, precisamente porque solo tuvo en cuenta este último dato para dejarla expresamente sin efecto. Así pues, la única conclusión plausible que cabe extraer es la siguiente: la medida cautelar no fue dejada sin efecto hasta el 11 de noviembre de 2015 por la omisión involuntaria del juzgado instructor.</w:t>
      </w:r>
    </w:p>
    <w:p w:rsidR="005728DD" w:rsidRDefault="005728DD" w:rsidP="005728DD">
      <w:pPr>
        <w:pStyle w:val="TextoNormal"/>
      </w:pPr>
    </w:p>
    <w:p w:rsidR="005728DD" w:rsidRDefault="005728DD" w:rsidP="005728DD">
      <w:pPr>
        <w:pStyle w:val="TextoNormal"/>
      </w:pPr>
      <w:r>
        <w:t xml:space="preserve">La argumentación dada por el tribunal de apelación no controvierte los extremos que se han puesto de relieve. En esencia, lo que sustentó la confirmación de la condena del recurrente como autor de un delito previsto en el art. 468.2 CP fue, por un lado, la demora en dejar sin efecto la medida cautelar, lo que determinó que formalmente perdurara durante parte del tiempo en que el recurrente convivió </w:t>
      </w:r>
      <w:r w:rsidRPr="005728DD">
        <w:rPr>
          <w:i/>
        </w:rPr>
        <w:t>more uxorio</w:t>
      </w:r>
      <w:r>
        <w:t xml:space="preserve">; y, por otro, que este último no se condujera de manera diligente, a fin de advertir al instructor que la referida medida no había sido anulada. Sin embargo, tal argumentación no resulta conforme con el derecho reconocido en art. 25.1 CE pues, por las razones anteriormente expuestas, se basa en una </w:t>
      </w:r>
      <w:r>
        <w:lastRenderedPageBreak/>
        <w:t>interpretación del precepto penal que no se acomoda los criterios que informan nuestro ordenamiento constitucional y conduce a soluciones opuestas a la orientación material del tipo penal, por lo que resulta imprevisible para su destinatario.</w:t>
      </w:r>
    </w:p>
    <w:p w:rsidR="005728DD" w:rsidRDefault="005728DD" w:rsidP="005728DD">
      <w:pPr>
        <w:pStyle w:val="TextoNormal"/>
      </w:pPr>
    </w:p>
    <w:p w:rsidR="005728DD" w:rsidRDefault="005728DD" w:rsidP="005728DD">
      <w:pPr>
        <w:pStyle w:val="TextoNormal"/>
      </w:pPr>
      <w:r>
        <w:t>Corrobora la anterior conclusión, la preterición del derecho a la presunción de inocencia (art. 24.2 CE) que la interpretación de los órganos judiciales comporta. El recurrente se vio favorecido por una decisión de sobreseimiento provisional que, conforme a nuestra doctrina “por su propia naturaleza no puede jurídicamente afectar a la presunción de inocencia y, en consecuencia, el sobreseído ha de ser tenido como inocente a todos los efectos, incluido por supuesto el ejercicio de sus derechos dado que no se ha producido una decisión condenatoria en forma de sentencia” (STC 34/1983, de 6 de mayo, FJ 4).</w:t>
      </w:r>
    </w:p>
    <w:p w:rsidR="005728DD" w:rsidRDefault="005728DD" w:rsidP="005728DD">
      <w:pPr>
        <w:pStyle w:val="TextoNormal"/>
      </w:pPr>
    </w:p>
    <w:p w:rsidR="005728DD" w:rsidRDefault="005728DD" w:rsidP="005728DD">
      <w:pPr>
        <w:pStyle w:val="TextoNormal"/>
      </w:pPr>
      <w:r>
        <w:t>En el presente caso, la condena por quebrantamiento de medida cautelar trajo causa del incumplimiento de una obligación, por parte del demandante, que le fue impuesta en un proceso penal y que se consideró subsistente pese a que el referido proceso había sido sobreseído. De ello se desprende que aquel estaba obligado a soportar una severa restricción de su derecho a la libertad de circulación reconocida en el art. 19 CE, so riesgo —que en el presente caso se materializó— de sufrir condena penal por incumplir las referidas limitaciones de este derecho fundamental, con la consiguiente postergación de la efectividad del derecho a la presunción de inocencia (art. 24.2 CE) que ello supuso.</w:t>
      </w:r>
    </w:p>
    <w:p w:rsidR="005728DD" w:rsidRDefault="005728DD" w:rsidP="005728DD">
      <w:pPr>
        <w:pStyle w:val="TextoNormal"/>
      </w:pPr>
    </w:p>
    <w:p w:rsidR="005728DD" w:rsidRDefault="005728DD" w:rsidP="005728DD">
      <w:pPr>
        <w:pStyle w:val="TextoNormal"/>
      </w:pPr>
      <w:r w:rsidRPr="005728DD">
        <w:rPr>
          <w:rStyle w:val="NumeroAFNegritaCaracter"/>
        </w:rPr>
        <w:t>7</w:t>
      </w:r>
      <w:r>
        <w:t>. En virtud de lo expuesto, procede estimar parcialmente el presente recurso de amparo por vulneración del derecho a la legalidad penal reconocido en el art. 25.1 CE, por lo que procede declarar nulidad del pronunciamiento condenatorio por el delito de quebrantamiento de medida cautelar previsto y penado en el art. 468.2 CP, de las sentencias dictadas por el Juzgado de lo Penal núm. 33 de Madrid y por la Sección Vigesimosexta de la Audiencia Provincial de Madrid.</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parcialmente el recurso de amparo interpuesto por don Clemente Cerros Díez de Baldeón y, en su virtud,</w:t>
      </w:r>
    </w:p>
    <w:p w:rsidR="005728DD" w:rsidRDefault="005728DD" w:rsidP="005728DD">
      <w:pPr>
        <w:pStyle w:val="TextoNormal"/>
      </w:pPr>
    </w:p>
    <w:p w:rsidR="005728DD" w:rsidRDefault="005728DD" w:rsidP="005728DD">
      <w:pPr>
        <w:pStyle w:val="TextoNormal"/>
      </w:pPr>
      <w:r>
        <w:t>1º Declarar vulnerado su derecho fundamental a la legalidad penal (art. 25.1 CE)</w:t>
      </w:r>
    </w:p>
    <w:p w:rsidR="005728DD" w:rsidRDefault="005728DD" w:rsidP="005728DD">
      <w:pPr>
        <w:pStyle w:val="TextoNormal"/>
      </w:pPr>
    </w:p>
    <w:p w:rsidR="005728DD" w:rsidRDefault="005728DD" w:rsidP="005728DD">
      <w:pPr>
        <w:pStyle w:val="TextoNormal"/>
      </w:pPr>
      <w:r>
        <w:t>2º Restablecerle en su derecho, a cuyo fin se acuerda la nulidad de los pronunciamientos de condena relativos al quebrantamiento de medida cautelar previsto en el art. 468.2 del Código penal, tanto de la sentencia núm. 46/2018 del Juzgado de lo Penal núm. 33 de Madrid, de 1 de febrero, como de la sentencia núm. 254/2018 de la Sección Vigesimosexta de la Audiencia Provincial de Madrid, de 4 de abril, que desestimó el recurso de apelación contra la primera sentencia citada.</w:t>
      </w:r>
    </w:p>
    <w:p w:rsidR="005728DD" w:rsidRDefault="005728DD" w:rsidP="005728DD">
      <w:pPr>
        <w:pStyle w:val="TextoNormal"/>
      </w:pPr>
    </w:p>
    <w:p w:rsidR="005728DD" w:rsidRDefault="005728DD" w:rsidP="005728DD">
      <w:pPr>
        <w:pStyle w:val="TextoNormal"/>
      </w:pPr>
      <w:r>
        <w:t>3º Inadmitir el recurso de amparo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5728DD" w:rsidRDefault="005728DD" w:rsidP="005728DD">
      <w:pPr>
        <w:pStyle w:val="TtuloResolucin"/>
      </w:pPr>
      <w:bookmarkStart w:id="82" w:name="SENTENCIA_2021_79"/>
      <w:r>
        <w:lastRenderedPageBreak/>
        <w:t>SENTENCIA 79/2021, de 19 de abril de 2021</w:t>
      </w:r>
    </w:p>
    <w:bookmarkEnd w:id="82"/>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ECLI:ES:TC:2021:79</w:t>
      </w:r>
    </w:p>
    <w:p w:rsidR="005728DD" w:rsidRDefault="005728DD" w:rsidP="005728DD">
      <w:pPr>
        <w:pStyle w:val="TextoNormalCentrado"/>
      </w:pPr>
    </w:p>
    <w:p w:rsidR="005728DD" w:rsidRDefault="005728DD" w:rsidP="005728DD">
      <w:pPr>
        <w:pStyle w:val="SntesisDescriptiva"/>
      </w:pPr>
      <w:r>
        <w:t>Recurso de amparo 1468-2019. Promovido por doña Flora Mayo González y la entidad Asistencia Técnica Integral de Salamanca, S.L., respecto de las actuaciones llevadas a cabo por un juzgado de primera instancia de Zaragoza en procedimiento ordinario.</w:t>
      </w:r>
    </w:p>
    <w:p w:rsidR="005728DD" w:rsidRDefault="005728DD" w:rsidP="005728DD">
      <w:pPr>
        <w:pStyle w:val="SntesisDescriptiva"/>
      </w:pPr>
    </w:p>
    <w:p w:rsidR="005728DD" w:rsidRDefault="005728DD" w:rsidP="005728DD">
      <w:pPr>
        <w:pStyle w:val="SntesisAnaltica"/>
      </w:pPr>
      <w:r>
        <w:t>Vulneración del derecho a la tutela judicial sin indefensión: notificaciones practicadas tras la sustitución, no comunicada a los colegios profesionales radicados fuera de Aragón, del sistema Lexnet por Avantius.</w:t>
      </w:r>
    </w:p>
    <w:p w:rsidR="005728DD" w:rsidRDefault="005728DD" w:rsidP="005728DD">
      <w:pPr>
        <w:pStyle w:val="SntesisAnaltica"/>
      </w:pPr>
    </w:p>
    <w:p w:rsidR="005728DD" w:rsidRDefault="005728DD" w:rsidP="005728DD">
      <w:pPr>
        <w:pStyle w:val="Extracto"/>
      </w:pPr>
      <w:r>
        <w:t>1.</w:t>
      </w:r>
      <w:r>
        <w:tab/>
        <w:t>Jurisprudencia constitucional sobre el deber de diligencia judicial para la correcta comunicación con las partes procesales y su proyección a las comunicaciones electrónicas [FJ 3].</w:t>
      </w:r>
    </w:p>
    <w:p w:rsidR="005728DD" w:rsidRDefault="005728DD" w:rsidP="005728DD">
      <w:pPr>
        <w:pStyle w:val="Extracto"/>
      </w:pPr>
    </w:p>
    <w:p w:rsidR="005728DD" w:rsidRDefault="005728DD" w:rsidP="005728DD">
      <w:pPr>
        <w:pStyle w:val="Extracto"/>
      </w:pPr>
      <w:r>
        <w:t>2.</w:t>
      </w:r>
      <w:r>
        <w:tab/>
        <w:t>Doctrina sobre las implicaciones constitucionales de la regulación de uso de los sistemas telemáticos para la práctica de los actos de comunicación en el concreto contexto de la previsión establecida en el art. 155.1 LEC, respecto de la obligación de emplazamiento personal por remisión al domicilio de los litigantes cuando lo sea para comunicar o se trate del primer emplazamiento o citación al demandado; en tales supuestos la correcta conformación constitucional del acto de comunicación exige, en el actual contexto normativo, la notificación personal con exclusión de la vía telemática (SSTC 47/2019 y 40/2020) [FJ 3].</w:t>
      </w:r>
    </w:p>
    <w:p w:rsidR="005728DD" w:rsidRDefault="005728DD" w:rsidP="005728DD">
      <w:pPr>
        <w:pStyle w:val="Extracto"/>
      </w:pPr>
    </w:p>
    <w:p w:rsidR="005728DD" w:rsidRDefault="005728DD" w:rsidP="005728DD">
      <w:pPr>
        <w:pStyle w:val="Extracto"/>
      </w:pPr>
      <w:r>
        <w:t>3.</w:t>
      </w:r>
      <w:r>
        <w:tab/>
        <w:t>Se vulnera el derecho a la tutela judicial efectiva (art. 24.1 CE) si, una vez la parte pone de manifiesto en el incidente de nulidad de actuaciones las concretas razones por las que no se pudo tomar conocimiento efectivo de un acto de comunicación, el órgano judicial no da debido cumplimiento a la exigencia constitucional de velar por cerciorarse de si su acto de comunicación de la sentencia dictada en el procedimiento cumplió eficazmente su fin de que sea conocida por la representación procesal del interesado, para que, en su caso, tome las oportunas decisiones en defensa de sus intereses y derechos, incluida la interposición de un eventual recurso [FJ 4].</w:t>
      </w:r>
    </w:p>
    <w:p w:rsidR="005728DD" w:rsidRDefault="005728DD" w:rsidP="005728DD">
      <w:pPr>
        <w:pStyle w:val="Extracto"/>
      </w:pPr>
    </w:p>
    <w:p w:rsidR="005728DD" w:rsidRDefault="005728DD" w:rsidP="005728DD">
      <w:pPr>
        <w:pStyle w:val="Extracto"/>
      </w:pPr>
      <w:r>
        <w:t>4.</w:t>
      </w:r>
      <w:r>
        <w:tab/>
        <w:t>La apreciación por parte del órgano judicial de que le es ajeno y no le compete ponderar cualquier dificultad que, para profesionales debidamente colegiados para postulación y defensa de los ciudadanos que habitualmente ejercen en una determinada comunidad autónoma, pueda suponer desarrollar su cometido en otra distinta, desde el momento en que pueden existir diferencias en cuanto a los sistemas informáticos implantados en cada una de ellas, implica un proceso argumental contrario a la efectividad del derecho a la libre elección de profesionales que presten la representación y la asistencia jurídica, que es una garantía del derecho de defensa reconocido en el art 24.2 CE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lastRenderedPageBreak/>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1468-2019, promovido por doña Flora Mayo González y la entidad Asistencia Técnica Integral de Salamanca, S.L., contra el auto del Juzgado de Primera Instancia núm. 8 de Zaragoza de 21 de enero de 2019, por el que se desestima el incidente de nulidad de actuaciones, pronunciado en el procedimiento ordinario núm. 894-2016. Ha comparecido la entidad Interdomicilio Servicios Integrales, S.L.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Doña Flora Mayo González y la entidad Asistencia Técnica Integral de Salamanca, S.L., representadas por la procuradora de los tribunales doña Elena Gutiérrez Pertejo y bajo la dirección de la letrada doña Nuria González Montero, interpusieron recurso de amparo contra la resolución citada en el encabezamiento, mediante escrito registrado en este tribunal el 7 de marzo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Las demandantes de amparo formularon demanda de resolución de contrato contra la entidad Interdomicilio Servicios Integrales, S.L., de la que conoció inicialmente el Juzgado de Primera Instancia núm. 9 de Salamanca mediante procedimiento ordinario núm. 374-2016. El juzgado, aceptando la declinatoria formulada por la demandada, se inhibió en favor del Juzgado Decano de Zaragoza, dando lugar al procedimiento ordinario núm. 894-2016, tramitado por el Juzgado de Primera Instancia núm. 8 de Zaragoza.</w:t>
      </w:r>
    </w:p>
    <w:p w:rsidR="005728DD" w:rsidRDefault="005728DD" w:rsidP="005728DD">
      <w:pPr>
        <w:pStyle w:val="TextoNormal"/>
      </w:pPr>
    </w:p>
    <w:p w:rsidR="005728DD" w:rsidRDefault="005728DD" w:rsidP="005728DD">
      <w:pPr>
        <w:pStyle w:val="TextoNormal"/>
      </w:pPr>
      <w:r>
        <w:t>En este procedimiento se personaron las demandantes de amparo bajo la misma representación que tenían en el procedimiento inicial verificándose las sucesivas comunicaciones con el procurador del Colegio de Procuradores de Salamanca mediante el sistema de Lexnet.</w:t>
      </w:r>
    </w:p>
    <w:p w:rsidR="005728DD" w:rsidRDefault="005728DD" w:rsidP="005728DD">
      <w:pPr>
        <w:pStyle w:val="TextoNormal"/>
      </w:pPr>
    </w:p>
    <w:p w:rsidR="005728DD" w:rsidRDefault="005728DD" w:rsidP="005728DD">
      <w:pPr>
        <w:pStyle w:val="TextoNormal"/>
      </w:pPr>
      <w:r>
        <w:t>La última comunicación así efectuada fue la diligencia de ordenación de 7 de mayo de 2018 en que se acordaba que el procedimiento quedaba visto para sentencia.</w:t>
      </w:r>
    </w:p>
    <w:p w:rsidR="005728DD" w:rsidRDefault="005728DD" w:rsidP="005728DD">
      <w:pPr>
        <w:pStyle w:val="TextoNormal"/>
      </w:pPr>
    </w:p>
    <w:p w:rsidR="005728DD" w:rsidRDefault="005728DD" w:rsidP="005728DD">
      <w:pPr>
        <w:pStyle w:val="TextoNormal"/>
      </w:pPr>
      <w:r>
        <w:t xml:space="preserve">b) Por sentencia de 4 de julio de 2018 se condenó a las demandantes de amparo en virtud de la reconvención formulada por la entidad demandada, procediéndose a notificar la sentencia a través de un nuevo sistema de gestión procesal llamado Avantius-Aragón, sin que </w:t>
      </w:r>
      <w:r>
        <w:lastRenderedPageBreak/>
        <w:t>fuera recibida por el procurador de las demandantes de amparo al que, como miembro del Colegio de Procuradores de Salamanca, no se le había comunicado personal o institucionalmente el cambio de plataforma de notificación.</w:t>
      </w:r>
    </w:p>
    <w:p w:rsidR="005728DD" w:rsidRDefault="005728DD" w:rsidP="005728DD">
      <w:pPr>
        <w:pStyle w:val="TextoNormal"/>
      </w:pPr>
    </w:p>
    <w:p w:rsidR="005728DD" w:rsidRDefault="005728DD" w:rsidP="005728DD">
      <w:pPr>
        <w:pStyle w:val="TextoNormal"/>
      </w:pPr>
      <w:r>
        <w:t>La sentencia fue declarada firme por diligencia de ordenación de 17 de septiembre de 2018, que también fue notificada por el sistema Avantius-Aragón.</w:t>
      </w:r>
    </w:p>
    <w:p w:rsidR="005728DD" w:rsidRDefault="005728DD" w:rsidP="005728DD">
      <w:pPr>
        <w:pStyle w:val="TextoNormal"/>
      </w:pPr>
    </w:p>
    <w:p w:rsidR="005728DD" w:rsidRDefault="005728DD" w:rsidP="005728DD">
      <w:pPr>
        <w:pStyle w:val="TextoNormal"/>
      </w:pPr>
      <w:r>
        <w:t>c) La demandada formuló el 15 de octubre de 2018 demanda de ejecución para hacer efectiva la cantidad adeudada, dando lugar al juicio verbal núm. 1101-2018 tramitado por el mismo Juzgado de Primera Instancia núm. 8 de Zaragoza. La notificación de esta demanda de ejecución y las diversas resoluciones a que dio lugar este procedimiento fueron notificadas por el sistema Avantius-Aragón.</w:t>
      </w:r>
    </w:p>
    <w:p w:rsidR="005728DD" w:rsidRDefault="005728DD" w:rsidP="005728DD">
      <w:pPr>
        <w:pStyle w:val="TextoNormal"/>
      </w:pPr>
    </w:p>
    <w:p w:rsidR="005728DD" w:rsidRDefault="005728DD" w:rsidP="005728DD">
      <w:pPr>
        <w:pStyle w:val="TextoNormal"/>
      </w:pPr>
      <w:r>
        <w:t>d) Las demandantes de amparo, al tomar conocimiento del procedimiento de ejecución por el embargo trabado en las cuentas corrientes de su titularidad, mediante escrito de 22 de noviembre de 2018, formularon incidente de nulidad de actuaciones, invocando el derecho a la tutela judicial efectiva (art. 24.1 CE), alegando que, al amparo de la Ley 25/2009, de 22 de diciembre, se había procedido a utilizar los servicios de un procurador del Colegio de Procuradores de Salamanca, y que este representante procesal no había podido tomar conocimiento de las notificaciones posteriores a que dejara de utilizarse por el órgano judicial la plataforma Lexnet, ya que no se les había notificado personal o institucionalmente el cambio del sistema de notificaciones, lo que había impedido a las demandantes de amparo ejercer su derecho de defensa y recurrir la sentencia condenatoria.</w:t>
      </w:r>
    </w:p>
    <w:p w:rsidR="005728DD" w:rsidRDefault="005728DD" w:rsidP="005728DD">
      <w:pPr>
        <w:pStyle w:val="TextoNormal"/>
      </w:pPr>
    </w:p>
    <w:p w:rsidR="005728DD" w:rsidRDefault="005728DD" w:rsidP="005728DD">
      <w:pPr>
        <w:pStyle w:val="TextoNormal"/>
      </w:pPr>
      <w:r>
        <w:t>El incidente fue desestimado por auto de 21 de enero de 2019, argumentando que “del propio escrito de la parte actora se desprende que no ha existido irregularidad alguna por parte del juzgado en la notificación realizada de la sentencia recaída en los autos de juicio ordinario a quien ese momento era procurador de la parte actora, y a quien se había apoderado para representarla ante el juzgado, asumiendo dicho procurador las obligaciones contempladas en el artículo 26 de la Ley de enjuiciamiento civil (LEC). Los motivos por los que el procurador, al parecer, no estaba al tanto del cambio del sistema de notificaciones, son ajenos a la actuación del juzgado. No nos compete analizar las dificultades que pueda suponer para profesionales que habitualmente ejercen en una determinada comunidad autónoma, el desarrollar su cometido en otra distinta, desde el momento en que pueden existir diferencias en cuanto a los sistemas informáticos implantados en cada una de ellas”.</w:t>
      </w:r>
    </w:p>
    <w:p w:rsidR="005728DD" w:rsidRDefault="005728DD" w:rsidP="005728DD">
      <w:pPr>
        <w:pStyle w:val="TextoNormal"/>
      </w:pPr>
    </w:p>
    <w:p w:rsidR="005728DD" w:rsidRDefault="005728DD" w:rsidP="005728DD">
      <w:pPr>
        <w:pStyle w:val="TextoNormal"/>
      </w:pPr>
      <w:r w:rsidRPr="005728DD">
        <w:rPr>
          <w:rStyle w:val="NumeroAFNegritaCaracter"/>
        </w:rPr>
        <w:t>3</w:t>
      </w:r>
      <w:r>
        <w:t>. Las demandantes de amparo solicitan que se estime su recurso de amparo por vulneración del derecho a la tutela judicial efectiva (art. 24.1 CE) con declaración de nulidad de todo lo actuado desde el intento de notificación de la sentencia 4 de julio de 2018 con retroacción de actuaciones hasta ese momento.</w:t>
      </w:r>
    </w:p>
    <w:p w:rsidR="005728DD" w:rsidRDefault="005728DD" w:rsidP="005728DD">
      <w:pPr>
        <w:pStyle w:val="TextoNormal"/>
      </w:pPr>
    </w:p>
    <w:p w:rsidR="005728DD" w:rsidRDefault="005728DD" w:rsidP="005728DD">
      <w:pPr>
        <w:pStyle w:val="TextoNormal"/>
      </w:pPr>
      <w:r>
        <w:t>Las demandantes de amparo fundamentan la vulneración del art. 24.1 CE en que la actuación del órgano judicial no ha dado cumplimiento a la jurisprudencia constitucional sobre la corrección de los actos de comunicación, ya que (i) tenía conocimiento fehaciente de que todas las resoluciones notificadas a través de la nueva plataforma autonómica, incluyendo la sentencia condenatoria, no habían sido abiertas por su representante procesal; (ii) el cambio de plataforma de notificación desde el sistema de Lexnet, que era el que se estaba utili</w:t>
      </w:r>
      <w:r>
        <w:lastRenderedPageBreak/>
        <w:t>zando en el procedimiento, al Avantius-Aragón no le fue comunicado personalmente al procurador que llevaba actuando en el procedimiento desde 2016; y (iii) el cambio de plataforma solo fue comunicado por la Dirección General de Justicia e Interior de la Diputación de Aragón al Consejo General de Procuradores de España el 17 de enero de 2019, momento en que se remitió dicha comunicación a los diversos colegios. En concreto, dicha comunicación fue trasladada el 22 de enero de 2019 por parte del Colegio de Procuradores de Salamanca a sus colegiados y, por tanto, con posterioridad a que se hubieran verificado todos los intentos de notificación por el órgano judicial al representante procesal de las demandantes de amparo.</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15 de junio de 2020, acordó la admisión a trámite del presente recurso,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y dirigir atenta comunicación al órgano judicial para el emplazamiento de quienes hubieran sido parte en el procedimiento para que pudiesen comparecen en el plazo de diez días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del Tribunal, por diligencia de ordenación de 11 de septiembre de 2020, acordó tener por personada y parte en el procedimiento a la entidad Interdomicilio Servicios Integrales, S.L., representada por el procurador de los tribunales don Pedro Charlez Landivar, bajo la asistencia de la letrada doña Pilar López Mateo, y dar vista de las actuaciones al Ministerio Fiscal y a las partes personadas por el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el 28 de octubre de 2020, formuló alegaciones interesando que se otorgue el amparo solicitado por vulneración del derecho a la tutela judicial efectiva (art. 24.1 CE) y se declare la nulidad de la resolución impugnada y de todo lo actuado desde la notificación de la sentencia condenatoria, que debe hacerse extensible a todo lo actuado en el procedimiento de ejecución.</w:t>
      </w:r>
    </w:p>
    <w:p w:rsidR="005728DD" w:rsidRDefault="005728DD" w:rsidP="005728DD">
      <w:pPr>
        <w:pStyle w:val="TextoNormal"/>
      </w:pPr>
    </w:p>
    <w:p w:rsidR="005728DD" w:rsidRDefault="005728DD" w:rsidP="005728DD">
      <w:pPr>
        <w:pStyle w:val="TextoNormal"/>
      </w:pPr>
      <w:r>
        <w:t>El Ministerio Fiscal, tras la reproducción de la jurisprudencia constitucional en materia de comunicaciones procesales (STC 169/2014, de 22 de octubre) y sobre notificaciones electrónicas y la obligatoriedad de su uso (STC 6/2019, de 17 de enero, y 47/2019, de 8 de abril), expone que se ha vulnerado el art. 24.1 CE, ya que el órgano judicial incumplió la obligación de facilitar a las demandantes de amparo su participación en el procedimiento, que no se concretaba solo en la constatación de que las notificaciones fueran puestas a disposición de la parte sino de que pudiera tener un efectivo acceso a las mismas en el contexto de la transición entre dos plataformas de comunicación comprobando “si las autoridades administrativas habían tomado medidas para que esa implantación no perjudicase los derechos fundamentales de los ciudadanos”. Igualmente, el Ministerio Fiscal destaca que, aunque no haya sido alegado en el recurso de amparo, también habría existido vulneración del art. 24.1 CE, ya que el comienzo del procedimiento de ejecución, en vulneración de la jurisprudencia constitucional establecida al efecto, fue notificado por vía telemática y no de manera personal en el domicilio de las demandadas, a pesar de constituir un procedimiento nuevo independiente del juicio declarativo del que trae causa.</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personada, por escrito registrado el 3 de noviembre de 2020, formuló alegaciones solicitando que se desestime el recurso por no haber existido la vulneración del art. 24.1 CE alegada, ya que el órgano judicial notificó conforme a derecho la sentencia condenatoria, derivando la circunstancias del desconocimiento de la notificación a la negligencia de la parte en tanto que la ley establece la obligatoriedad de la comunicación a través de los medios electrónicos establecidos legalmente como era la plataforma Avantius-Aragón en el contexto de la Comunidad Autónoma de Aragón.</w:t>
      </w:r>
    </w:p>
    <w:p w:rsidR="005728DD" w:rsidRDefault="005728DD" w:rsidP="005728DD">
      <w:pPr>
        <w:pStyle w:val="TextoNormal"/>
      </w:pPr>
    </w:p>
    <w:p w:rsidR="005728DD" w:rsidRDefault="005728DD" w:rsidP="005728DD">
      <w:pPr>
        <w:pStyle w:val="TextoNormal"/>
      </w:pPr>
      <w:r w:rsidRPr="005728DD">
        <w:rPr>
          <w:rStyle w:val="NumeroAFNegritaCaracter"/>
        </w:rPr>
        <w:t>8</w:t>
      </w:r>
      <w:r>
        <w:t>. Las demandantes de amparo, por escrito registrado el 19 de octubre de 2020, formularon alegaciones reiterando las expuestas en su demanda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El objeto del recurso</w:t>
      </w:r>
      <w:r>
        <w:t>: El objeto de este recurso es determinar si ha vulnerado el derecho a la tutela judicial efectiva (art. 24.1 CE) de las demandantes de amparo el cambio de plataforma de comunicación telemática que el Juzgado de Primera Instancia núm. 8 de Zaragoza venía utilizando con su representación procesal desde el comienzo del procedimiento ordinario núm. 894-2016 (Lexnet) a la Avantius-Aragón, sin que esa circunstancia fuera comunicada personal o institucionalmente a dicha representación procesal, y que implicó que no tuvieran efectivo conocimiento de la sentencia condenatoria recaída en el procedimiento, con la perdida de oportunidad de formulación del recurso de apelación.</w:t>
      </w:r>
    </w:p>
    <w:p w:rsidR="005728DD" w:rsidRDefault="005728DD" w:rsidP="005728DD">
      <w:pPr>
        <w:pStyle w:val="TextoNormal"/>
      </w:pPr>
    </w:p>
    <w:p w:rsidR="005728DD" w:rsidRDefault="005728DD" w:rsidP="005728DD">
      <w:pPr>
        <w:pStyle w:val="TextoNormal"/>
      </w:pPr>
      <w:r>
        <w:t>Por el contrario, tal como también sostiene el Ministerio Fiscal, queda fuera del objeto de este recurso, por no haber sido concretamente planteado por las demandantes de amparo, la eventual vulneración que hubiera podido derivarse de la circunstancia de que, con independencia de la plataforma de notificación que se hubiera utilizado, se hubiera acudido al sistema telemático y no al emplazamiento personal de las demandantes para comunicarles su condición de ejecutadas en el juicio verbal núm. 1101-2018, tramitado por el mismo Juzgado de Primera Instancia núm. 8 de Zaragoza, como consecuencia de la demanda presentada para la ejecución de la sentencia recaída en el citado procedimiento ordinario núm. 894-2016. Todo ello, sin perjuicio de la eventual nulidad de todo lo actuado en ese juicio verbal en caso de estimarse el recurso de amparo y si fuera necesario para el pleno restablecimiento del derecho de las demandantes.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 especial transcendencia constitucional del recurso</w:t>
      </w:r>
      <w:r>
        <w:t>: El tribunal admitió este recurso por considerar que concurría la causa de especial transcendencia constitucional consistente en que podía dar ocasión al tribunal para aclarar o cambiar su doctrina como consecuencia de cambios normativos relevantes para la configuración del contenido del derecho fundamental [STC 155/2009, FJ 2 b)].</w:t>
      </w:r>
    </w:p>
    <w:p w:rsidR="005728DD" w:rsidRDefault="005728DD" w:rsidP="005728DD">
      <w:pPr>
        <w:pStyle w:val="TextoNormal"/>
      </w:pPr>
    </w:p>
    <w:p w:rsidR="005728DD" w:rsidRDefault="005728DD" w:rsidP="005728DD">
      <w:pPr>
        <w:pStyle w:val="TextoNormal"/>
      </w:pPr>
      <w:r>
        <w:t xml:space="preserve">En el contexto normativo de la regulación de la obligatoriedad de la comunicación electrónica con la administración de justicia, la singularidad planteada en el presente recurso de </w:t>
      </w:r>
      <w:r>
        <w:lastRenderedPageBreak/>
        <w:t>los problemas de notificación efectiva de resoluciones judiciales derivado de la doble circunstancia de la liberalización de los servicios de los profesionales de la procuración de Justicia y el proceso de implantación de distintas plataformas de notificación según el ámbito autonómico permite al tribunal aclarar el estándar del deber de diligencia a desarrollar por los órganos judiciales en el cumplimiento de las exigencias de correcta comunicación con las partes.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La jurisprudencia constitucional sobre el deber de diligencia judicial para la correcta comunicación con las partes procesales y su proyección a las comunicaciones electrónicas</w:t>
      </w:r>
      <w:r>
        <w:t>:</w:t>
      </w:r>
    </w:p>
    <w:p w:rsidR="005728DD" w:rsidRDefault="005728DD" w:rsidP="005728DD">
      <w:pPr>
        <w:pStyle w:val="TextoNormal"/>
      </w:pPr>
    </w:p>
    <w:p w:rsidR="005728DD" w:rsidRDefault="005728DD" w:rsidP="005728DD">
      <w:pPr>
        <w:pStyle w:val="TextoNormal"/>
      </w:pPr>
      <w:r>
        <w:t>a) El tribunal ha reiterado la trascendencia constitucional, desde la perspectiva del derecho a la tutela judicial efectiva (art. 24.1 CE), de los actos de comunicación judicial con las partes tanto respecto de quienes aún no son parte y han de ser emplazados para que puedan hacer efectivo su derecho de acceso a la jurisdicción, como respecto de aquellos a los que siendo parte formal en el procedimiento ha de darse traslado de las resoluciones judiciales para que puedan ejercitar la defensa de sus derechos e intereses legítimos, con respeto de los principios de bilateralidad, contradicción e igualdad de armas procesales, incluyendo, en su caso, el ejercicio del derecho a un posible recurso contra dichas decisiones. En correlación con esa trascendencia, la jurisprudencia constitucional ha impuesto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(así, por ejemplo, SSTC 6/2019, de 17 de enero, FJ 3, y 47/2019, de 8 de abril, FJ 3).</w:t>
      </w:r>
    </w:p>
    <w:p w:rsidR="005728DD" w:rsidRDefault="005728DD" w:rsidP="005728DD">
      <w:pPr>
        <w:pStyle w:val="TextoNormal"/>
      </w:pPr>
    </w:p>
    <w:p w:rsidR="005728DD" w:rsidRDefault="005728DD" w:rsidP="005728DD">
      <w:pPr>
        <w:pStyle w:val="TextoNormal"/>
      </w:pPr>
      <w:r>
        <w:t>A esos efectos, la jurisprudencia constitucional (así, por ejemplo, STC 113/2001, de 7 de mayo, FFJJ 5 y 6) ha incidido en las siguientes circunstancias:</w:t>
      </w:r>
    </w:p>
    <w:p w:rsidR="005728DD" w:rsidRDefault="005728DD" w:rsidP="005728DD">
      <w:pPr>
        <w:pStyle w:val="TextoNormal"/>
      </w:pPr>
    </w:p>
    <w:p w:rsidR="005728DD" w:rsidRDefault="005728DD" w:rsidP="005728DD">
      <w:pPr>
        <w:pStyle w:val="TextoNormal"/>
      </w:pPr>
      <w:r>
        <w:t>(i) El órgano judicial ha de velar no solo por que la práctica de los actos de comunicación con las partes se desarrolle con sujeción a sus requisitos legales, sino que, además, se asegure de que dichos actos sirven a su propósito, de forma que, efectivamente, el acto de comunicación procesal llegue al conocimiento de su destinatario, debiendo desplegar la oportuna diligencia y actividad dirigida a asegurarse de que se ha cumplido con la finalidad perseguida con el acto de comunicación procesal.</w:t>
      </w:r>
    </w:p>
    <w:p w:rsidR="005728DD" w:rsidRDefault="005728DD" w:rsidP="005728DD">
      <w:pPr>
        <w:pStyle w:val="TextoNormal"/>
      </w:pPr>
    </w:p>
    <w:p w:rsidR="005728DD" w:rsidRDefault="005728DD" w:rsidP="005728DD">
      <w:pPr>
        <w:pStyle w:val="TextoNormal"/>
      </w:pPr>
      <w:r>
        <w:t>(ii) El deber de diligencia judicial no posee la misma intensidad según el objeto del acto de comunicación procesal, ya que no es el mismo en el caso de que su finalidad sea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En estos últimos casos, el Tribunal ha considerado que no cabe imponer al órgano judicial una desmedida labor de cerciorarse de la efectividad del acto de comunicación en cuestión cuando tiene la apariencia de haberse practicado con arreglo a la legalidad que lo rige.</w:t>
      </w:r>
    </w:p>
    <w:p w:rsidR="005728DD" w:rsidRDefault="005728DD" w:rsidP="005728DD">
      <w:pPr>
        <w:pStyle w:val="TextoNormal"/>
      </w:pPr>
    </w:p>
    <w:p w:rsidR="005728DD" w:rsidRDefault="005728DD" w:rsidP="005728DD">
      <w:pPr>
        <w:pStyle w:val="TextoNormal"/>
      </w:pPr>
      <w:r>
        <w:t xml:space="preserve">(iii) Las partes procesales tienen también el deber de colaborar con la administración de justicia en su regular y ordenado proceder por lo que no existirá indefensión efectiva lesiva </w:t>
      </w:r>
      <w:r>
        <w:lastRenderedPageBreak/>
        <w:t>del art. 24.1 CE si de las actuaciones se deduce que quien la denuncia no ha observado la debida diligencia en la defensa de sus derechos, de modo tal que la indefensión alegada sea la consecuencia del desinterés, la negligencia, el error técnico o impericia de la parte o profesionales que le representen o defiendan.</w:t>
      </w:r>
    </w:p>
    <w:p w:rsidR="005728DD" w:rsidRDefault="005728DD" w:rsidP="005728DD">
      <w:pPr>
        <w:pStyle w:val="TextoNormal"/>
      </w:pPr>
    </w:p>
    <w:p w:rsidR="005728DD" w:rsidRDefault="005728DD" w:rsidP="005728DD">
      <w:pPr>
        <w:pStyle w:val="TextoNormal"/>
      </w:pPr>
      <w:r>
        <w:t>(iv) En coherencia con todo lo anterior, el deber de diligencia que pesa sobre los órganos judiciales de velar por que el acto de comunicación procesal cumpla eficazmente con su fin de hacer llegar al interesado, o a quien legalmente le represente, las decisiones judiciales para que acomode su proceder a las mismas o tome las oportunas decisiones en defensa de sus intereses y derechos conlleva la necesidad de que no otorguen mecánicamente un valor absoluto al simple contenido formal de la diligencia de notificación, prescindiendo de cualquier enjuiciamiento sobre los motivos alegados por la parte acerca de la no recepción en plazo de la notificación, o más simplemente, haciendo caso omiso de los defectos de la notificación puestos de manifiesto.</w:t>
      </w:r>
    </w:p>
    <w:p w:rsidR="005728DD" w:rsidRDefault="005728DD" w:rsidP="005728DD">
      <w:pPr>
        <w:pStyle w:val="TextoNormal"/>
      </w:pPr>
    </w:p>
    <w:p w:rsidR="005728DD" w:rsidRDefault="005728DD" w:rsidP="005728DD">
      <w:pPr>
        <w:pStyle w:val="TextoNormal"/>
      </w:pPr>
      <w:r>
        <w:t>b) El tribunal, en la STC 6/2019, de 17 de enero, FJ 4, hizo un extenso análisis de la proyección constitucional que sobre el art. 24.1 CE ha tenido el desarrollo normativo producido en los últimos años para avanzar en la generalización del uso de los sistemas telemáticos (internet) en la práctica de los actos de comunicación en los distintos tipos de procesos, así como su configuración desde el 1 de enero de 2016, en aplicación de la Ley 18/2011, de 5 de julio, reguladora del uso de las tecnologías de la información y la comunicación en la administración de justicia, como una obligación por parte de los profesionales de la justicia que intervienen en representación de alguna de las partes del proceso a través de los concretos canales de comunicación que opcional o preceptivamente se hubieran establecido y los plenos efectos de comunicación desplegados, en aplicación del art. 162.2 LEC, cuando, constando la correcta remisión del acto de comunicación por estos medios transcurrieran tres días sin que el destinatario acceda a su contenido. En dicha resolución no se objetó la constitucionalidad de dicho sistema.</w:t>
      </w:r>
    </w:p>
    <w:p w:rsidR="005728DD" w:rsidRDefault="005728DD" w:rsidP="005728DD">
      <w:pPr>
        <w:pStyle w:val="TextoNormal"/>
      </w:pPr>
    </w:p>
    <w:p w:rsidR="005728DD" w:rsidRDefault="005728DD" w:rsidP="005728DD">
      <w:pPr>
        <w:pStyle w:val="TextoNormal"/>
      </w:pPr>
      <w:r>
        <w:t>De manera complementaria, el tribunal, en las SSTC 47/2019, de 8 de abril, FJ 3, y 40/2020, de 27 de febrero, FJ 3, desarrolló las implicaciones constitucionales de la actual regulación de uso de los sistemas telemáticos para la práctica de los actos de comunicación en el concreto contexto de la previsión establecida en el art. 155.1 LEC, respecto de la obligación de emplazamiento personal por remisión al domicilio de los litigantes cuando lo sea para comunicar o se trate del primer emplazamiento o citación al demandado, concluyendo que en tales supuestos la correcta conformación constitucional del acto de comunicación exige, en el actual contexto normativo, la notificación personal con exclusión de la vía telemática.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jurisprudencia constitucional al presente recurso</w:t>
      </w:r>
      <w:r>
        <w:t>:</w:t>
      </w:r>
    </w:p>
    <w:p w:rsidR="005728DD" w:rsidRDefault="005728DD" w:rsidP="005728DD">
      <w:pPr>
        <w:pStyle w:val="TextoNormal"/>
      </w:pPr>
    </w:p>
    <w:p w:rsidR="005728DD" w:rsidRDefault="005728DD" w:rsidP="005728DD">
      <w:pPr>
        <w:pStyle w:val="TextoNormal"/>
      </w:pPr>
      <w:r>
        <w:t>a) En el presente caso, han quedado acreditados en las actuaciones, tal como se ha expuesto con más detalle en los antecedentes, y no es controvertido por ninguna de las partes, los siguientes extremos:</w:t>
      </w:r>
    </w:p>
    <w:p w:rsidR="005728DD" w:rsidRDefault="005728DD" w:rsidP="005728DD">
      <w:pPr>
        <w:pStyle w:val="TextoNormal"/>
      </w:pPr>
    </w:p>
    <w:p w:rsidR="005728DD" w:rsidRDefault="005728DD" w:rsidP="005728DD">
      <w:pPr>
        <w:pStyle w:val="TextoNormal"/>
      </w:pPr>
      <w:r>
        <w:t xml:space="preserve">(i) Las demandantes de amparo, tras formular demanda en los juzgados de Salamanca, sirviéndose para ello de los servicios de un procurador inscrito en el colegio profesional de </w:t>
      </w:r>
      <w:r>
        <w:lastRenderedPageBreak/>
        <w:t>esta provincia, mantuvieron los servicios de este profesional cuando se aprobó la inhibición en el conocimiento de la causa en favor de los juzgados de Zaragoza.</w:t>
      </w:r>
    </w:p>
    <w:p w:rsidR="005728DD" w:rsidRDefault="005728DD" w:rsidP="005728DD">
      <w:pPr>
        <w:pStyle w:val="TextoNormal"/>
      </w:pPr>
    </w:p>
    <w:p w:rsidR="005728DD" w:rsidRDefault="005728DD" w:rsidP="005728DD">
      <w:pPr>
        <w:pStyle w:val="TextoNormal"/>
      </w:pPr>
      <w:r>
        <w:t>(ii) El procurador de las demandantes de amparo, desde el comienzo del procedimiento ante el Juzgado de Primera Instancia núm. 8 de Zaragoza, en cumplimiento de la obligación del uso de medios telemáticos, se comunicó con dicho órgano judicial mediante la plataforma Lexnet, que era la única utilizada por los órganos judiciales del ámbito territorial de la Comunidad Autónoma de Aragón. Esa situación se mantuvo hasta la notificación de la diligencia de ordenación de 7 de mayo de 2018 en que se acordaba que el procedimiento quedaba visto para sentencia.</w:t>
      </w:r>
    </w:p>
    <w:p w:rsidR="005728DD" w:rsidRDefault="005728DD" w:rsidP="005728DD">
      <w:pPr>
        <w:pStyle w:val="TextoNormal"/>
      </w:pPr>
    </w:p>
    <w:p w:rsidR="005728DD" w:rsidRDefault="005728DD" w:rsidP="005728DD">
      <w:pPr>
        <w:pStyle w:val="TextoNormal"/>
      </w:pPr>
      <w:r>
        <w:t>(iii) La sentencia de 4 de julio de 2018 pronunciada en este procedimiento, en virtud de la entrada en vigor para el Juzgado de Primera Instancia núm. 8 de Zaragoza de una nueva plataforma telemática de comunicación con las partes procesales, denominada Avantius-Aragón, fue puesta a disposición del procurador de las demandantes de amparo a través de dicha plataforma para su comunicación, desplegando sus plenos efectos como resolución notificada, al amparo del art. 162.2 LEC, a los tres días de dicha puesta a disposición aunque constara que el procurador nunca accedió a su contenido. Igual sucedió con la diligencia de ordenación de 17 de septiembre de 2018, por la que se declaró firme la anterior sentencia. También fue utilizada esta misma vía de comunicación en relación con todas las actuaciones del juicio verbal núm. 1101-2018, tramitado por el mismo Juzgado de Primera Instancia núm. 8 de Zaragoza, como consecuencia de la demanda presentada para la ejecución de la sentencia, incluyendo la presentación del escrito inicial de ejecución del título judicial.</w:t>
      </w:r>
    </w:p>
    <w:p w:rsidR="005728DD" w:rsidRDefault="005728DD" w:rsidP="005728DD">
      <w:pPr>
        <w:pStyle w:val="TextoNormal"/>
      </w:pPr>
    </w:p>
    <w:p w:rsidR="005728DD" w:rsidRDefault="005728DD" w:rsidP="005728DD">
      <w:pPr>
        <w:pStyle w:val="TextoNormal"/>
      </w:pPr>
      <w:r>
        <w:t>(iv) Las demandantes de amparo tomaron conocimiento de la existencia del procedimiento de ejecución derivado de una sentencia condenatoria por el embargo de sus cuentas corrientes, procediendo, mediante escrito de 22 de noviembre de 2018, a formular incidente de nulidad de actuaciones, invocando el derecho a la tutela judicial efectiva (art. 24.1 CE), alegando que, al amparo de la Ley 25/2009, de 22 de diciembre, se había procedido a utilizar los servicios de un procurador del Colegio de Procuradores de Salamanca y que este representante procesal no había podido tomar conocimiento de las notificaciones posteriores a que dejara de utilizarse por el órgano judicial la plataforma Lexnet, ya que no se les había notificado personal o institucionalmente el cambio del sistema de notificaciones.</w:t>
      </w:r>
    </w:p>
    <w:p w:rsidR="005728DD" w:rsidRDefault="005728DD" w:rsidP="005728DD">
      <w:pPr>
        <w:pStyle w:val="TextoNormal"/>
      </w:pPr>
    </w:p>
    <w:p w:rsidR="005728DD" w:rsidRDefault="005728DD" w:rsidP="005728DD">
      <w:pPr>
        <w:pStyle w:val="TextoNormal"/>
      </w:pPr>
      <w:r>
        <w:t>(v) El incidente fue desestimado por auto de 21 de enero de 2019, argumentando que no había existido irregularidad alguna en la notificación de la sentencia, que el procurador asume las obligaciones contempladas en el art. 26 LEC y que los motivos por los que dicho profesional no estaban al tanto del cambio del sistema de notificaciones, son ajenos a la actuación del juzgado, al que no compete analizar las dificultades que pueda suponer para profesionales que habitualmente ejercen en una determinada comunidad autónoma, el desarrollar su cometido en otra distinta, desde el momento en que pueden existir diferencias en cuanto a los sistemas informáticos implantados en cada una de ellas.</w:t>
      </w:r>
    </w:p>
    <w:p w:rsidR="005728DD" w:rsidRDefault="005728DD" w:rsidP="005728DD">
      <w:pPr>
        <w:pStyle w:val="TextoNormal"/>
      </w:pPr>
    </w:p>
    <w:p w:rsidR="005728DD" w:rsidRDefault="005728DD" w:rsidP="005728DD">
      <w:pPr>
        <w:pStyle w:val="TextoNormal"/>
      </w:pPr>
      <w:r>
        <w:t xml:space="preserve">b) En atención a lo expuesto, el tribunal concluye, conforme también interesa el Ministerio Fiscal, que se ha vulnerado a las demandantes de amparo su derecho a la tutela judicial efectiva (art. 24.1 CE). No cabe imputar al órgano judicial ninguna irregularidad en el modo en que intentó el acto de comunicación de la sentencia y posteriores resoluciones judiciales mediante el sistema Avantius. Ahora bien, una vez que las demandantes de amparo pusieron </w:t>
      </w:r>
      <w:r>
        <w:lastRenderedPageBreak/>
        <w:t>de manifiesto en el incidente de nulidad de actuaciones las concretas razones por las que no se pudo tomar conocimiento efectivo de dichos actos de comunicación, el órgano judicial no dio debido cumplimiento a la exigencia constitucional de velar por cerciorarse que su acto de comunicación de la sentencia dictada en el procedimiento hubiera cumplido eficazmente su fin de que fuera conocida por la representación procesal de las interesadas para que, en su caso, tomara las oportunas decisiones en defensa de sus intereses y derechos, incluido recurrirla en apelación, al haber procedido a otorgar mecánicamente un valor absoluto al simple acto formal de la puesta a disposición de la notificación de la sentencia en la nueva plataforma telemática, prescindiendo de la ponderación de las circunstancias concurrentes en el caso que fueron alegadas por las demandantes de amparo en su escrito de incidente de nulidad de actuaciones sobre las razones por las que no se pudo tomar conocimiento efectivo de dicha resolución.</w:t>
      </w:r>
    </w:p>
    <w:p w:rsidR="005728DD" w:rsidRDefault="005728DD" w:rsidP="005728DD">
      <w:pPr>
        <w:pStyle w:val="TextoNormal"/>
      </w:pPr>
    </w:p>
    <w:p w:rsidR="005728DD" w:rsidRDefault="005728DD" w:rsidP="005728DD">
      <w:pPr>
        <w:pStyle w:val="TextoNormal"/>
      </w:pPr>
      <w:r>
        <w:t>En efecto, el tribunal constata, a los efectos de valorar las circunstancias concurrentes en el caso para establecer la debida ponderación sobre la diligencia desplegada por la parte recurrente en el deber de colaboración con la administración de justicia y que el órgano judicial considera como relevante para no considerar vulnerado el art. 24.1 CE en este caso, los siguientes extremos:</w:t>
      </w:r>
    </w:p>
    <w:p w:rsidR="005728DD" w:rsidRDefault="005728DD" w:rsidP="005728DD">
      <w:pPr>
        <w:pStyle w:val="TextoNormal"/>
      </w:pPr>
    </w:p>
    <w:p w:rsidR="005728DD" w:rsidRDefault="005728DD" w:rsidP="005728DD">
      <w:pPr>
        <w:pStyle w:val="TextoNormal"/>
      </w:pPr>
      <w:r>
        <w:t>(i) Las recurrentes se sirvieron de los servicios de un procurador colegiado en el Colegio de Procuradores de Salamanca para que las representara en un procedimiento tramitado en un órgano judicial del partido judicial de Zaragoza, al ser una posibilidad que está amparada en la Ley 25/2009, de 22 de diciembre, de modificación de diversas leyes para su adaptación a la Ley sobre el libre acceso a las actividades de servicios y su ejercicio, que modificó el art. 3.3 de la Ley 2/1974, de 13 de febrero, sobre Colegios Profesionales. Dicho precepto establece, entre otras previsiones, que cuando una profesión se organice por colegios territoriales, bastará la incorporación a uno solo de ellos, que será el del domicilio profesional único o principal, para ejercer en todo el territorio español y que los colegios no podrán exigir a los profesionales que ejerzan en un territorio diferente al de colegiación comunicación ni habilitación alguna.</w:t>
      </w:r>
    </w:p>
    <w:p w:rsidR="005728DD" w:rsidRDefault="005728DD" w:rsidP="005728DD">
      <w:pPr>
        <w:pStyle w:val="TextoNormal"/>
      </w:pPr>
    </w:p>
    <w:p w:rsidR="005728DD" w:rsidRDefault="005728DD" w:rsidP="005728DD">
      <w:pPr>
        <w:pStyle w:val="TextoNormal"/>
      </w:pPr>
      <w:r>
        <w:t>Esta regulación es determinante de que el órgano judicial, frente a lo que afirma en la resolución judicial impugnada, no pueda desentenderse de la obligación que le compete de valorar de qué manera la circunstancia de que la opción de cualquier ciudadano por esta posibilidad legal no perjudique sus derechos a la tutela judicial efectiva y a la defensa. En última instancia, una apreciación como la utilizada por el órgano judicial de que le es ajeno y no le compete ponderar cualquier dificultad que pueda suponer para profesionales que habitualmente ejercen en una determinada comunidad autónoma, el desarrollar su cometido en otra distinta, desde el momento en que pueden existir diferencias en cuanto a los sistemas informáticos implantados en cada una de ellas, implica un proceso argumental contrario a la efectividad del derecho a la libre elección de profesionales que presten la representación y la asistencia jurídica, que es una garantía del derecho de defensa reconocido en el art 24.2 CE.</w:t>
      </w:r>
    </w:p>
    <w:p w:rsidR="005728DD" w:rsidRDefault="005728DD" w:rsidP="005728DD">
      <w:pPr>
        <w:pStyle w:val="TextoNormal"/>
      </w:pPr>
    </w:p>
    <w:p w:rsidR="005728DD" w:rsidRDefault="005728DD" w:rsidP="005728DD">
      <w:pPr>
        <w:pStyle w:val="TextoNormal"/>
      </w:pPr>
      <w:r>
        <w:t>(ii) Esta representación procesal, durante todo el devenir procedimental, mantuvo sin incidencia la comunicación con el órgano judicial mediante la plataforma Lexnet sin que dicho órgano judicial le hubiera comunicado de manera personal ninguna alteración o cambio de plataforma.</w:t>
      </w:r>
    </w:p>
    <w:p w:rsidR="005728DD" w:rsidRDefault="005728DD" w:rsidP="005728DD">
      <w:pPr>
        <w:pStyle w:val="TextoNormal"/>
      </w:pPr>
    </w:p>
    <w:p w:rsidR="005728DD" w:rsidRDefault="005728DD" w:rsidP="005728DD">
      <w:pPr>
        <w:pStyle w:val="TextoNormal"/>
      </w:pPr>
      <w:r>
        <w:t>De ese modo, la ausencia de cualquier tipo de comunicación personal o singular a este profesional generaba una legítima expectativa sobre la continuidad o mantenimiento de dicha comunicación, especialmente tomando en consideración que el procedimiento estaba visto para sentencia.</w:t>
      </w:r>
    </w:p>
    <w:p w:rsidR="005728DD" w:rsidRDefault="005728DD" w:rsidP="005728DD">
      <w:pPr>
        <w:pStyle w:val="TextoNormal"/>
      </w:pPr>
    </w:p>
    <w:p w:rsidR="005728DD" w:rsidRDefault="005728DD" w:rsidP="005728DD">
      <w:pPr>
        <w:pStyle w:val="TextoNormal"/>
      </w:pPr>
      <w:r>
        <w:t>(iii) El sistema Avantius-Aragón como sustituto del sistema Lexnet en el ámbito de la Comunidad Autónoma de Aragón se oficializó a través de sendos protocolos de 13 de marzo de 2018 para el envío y recepción de actos de comunicación procesal por medios telemáticos en el ámbito de la administración de justicia en la Comunidad Autónoma de Aragón y para la presentación de escritos de trámite e inicio por medios telemáticos en el ámbito de la administración de justicia en la Comunidad Autónoma de Aragón, suscritos por el Gobierno de Aragón, el Tribunal Superior de Justicia de Aragón, el Consejo de Colegios de Abogados de Aragón, el Consejo de Colegios de Procuradores de Aragón y el Consejo Oficial de Graduados Sociales de Aragón.</w:t>
      </w:r>
    </w:p>
    <w:p w:rsidR="005728DD" w:rsidRDefault="005728DD" w:rsidP="005728DD">
      <w:pPr>
        <w:pStyle w:val="TextoNormal"/>
      </w:pPr>
    </w:p>
    <w:p w:rsidR="005728DD" w:rsidRDefault="005728DD" w:rsidP="005728DD">
      <w:pPr>
        <w:pStyle w:val="TextoNormal"/>
      </w:pPr>
      <w:r>
        <w:t>La implantación de este sistema fue progresiva y la comunicación sobre los momentos en que se sustituía un sistema por otro en cada partido judicial y orden jurisdiccional se produjo directamente por parte del Gobierno de Aragón con los colegios afectados. En concreto, el 25 de mayo de 2018, según se reconoce en la Circular 27/2018, de 1 de junio, del Colegio de Abogados de Zaragoza, se le comunicó que la desconexión de Lexnet para los juzgados de primera instancia de Zaragoza se produciría el 22 de junio de 2018 a las 15:00 horas y la conexión al sistema Avantius el 25 de junio de 2018.</w:t>
      </w:r>
    </w:p>
    <w:p w:rsidR="005728DD" w:rsidRDefault="005728DD" w:rsidP="005728DD">
      <w:pPr>
        <w:pStyle w:val="TextoNormal"/>
      </w:pPr>
    </w:p>
    <w:p w:rsidR="005728DD" w:rsidRDefault="005728DD" w:rsidP="005728DD">
      <w:pPr>
        <w:pStyle w:val="TextoNormal"/>
      </w:pPr>
      <w:r>
        <w:t>No consta que dicha comunicación se pusiera en conocimiento del resto de colegios profesionales fuera del ámbito territorial de la Comunidad Autónoma de Aragón hasta la comunicación efectuada por la Dirección General de Justicia e Interior de la Diputación de Aragón al Consejo General de Procuradores de España el 17 de enero de 2019, que dio traslado de dicha novedad a los diferentes colegios de procuradores de España, entre ellos al de Salamanca, que el día 22 de enero de 2019 lo notificó a sus colegiados incluido quien había sido procurador de las demandantes de amparo.</w:t>
      </w:r>
    </w:p>
    <w:p w:rsidR="005728DD" w:rsidRDefault="005728DD" w:rsidP="005728DD">
      <w:pPr>
        <w:pStyle w:val="TextoNormal"/>
      </w:pPr>
    </w:p>
    <w:p w:rsidR="005728DD" w:rsidRDefault="005728DD" w:rsidP="005728DD">
      <w:pPr>
        <w:pStyle w:val="TextoNormal"/>
      </w:pPr>
      <w:r>
        <w:t>Por tanto, de manera institucional el representante procesal de las recurrentes solo pudo tomar conocimiento institucional de la modificación de plataforma con bastante posterioridad a que se hubieran intentado practicar los diversos actos de comunicación mediante la nueva plataforma telemática.</w:t>
      </w:r>
    </w:p>
    <w:p w:rsidR="005728DD" w:rsidRDefault="005728DD" w:rsidP="005728DD">
      <w:pPr>
        <w:pStyle w:val="TextoNormal"/>
      </w:pPr>
    </w:p>
    <w:p w:rsidR="005728DD" w:rsidRDefault="005728DD" w:rsidP="005728DD">
      <w:pPr>
        <w:pStyle w:val="TextoNormal"/>
      </w:pPr>
      <w:r>
        <w:t>(iv) No ha quedado acreditado que hubiera existido una regulación publicada en cualquier boletín oficial con efectos de conocimiento general de la implantación de este sistema hasta la publicación en el “Boletín Oficial de Aragón” núm. 231, de 26 de noviembre de 2019, del Decreto 223/2019, de 19 de noviembre, del Gobierno de Aragón, por el que se crea la sede judicial electrónica correspondiente al ámbito territorial de la Comunidad Autónoma de Aragón.</w:t>
      </w:r>
    </w:p>
    <w:p w:rsidR="005728DD" w:rsidRDefault="005728DD" w:rsidP="005728DD">
      <w:pPr>
        <w:pStyle w:val="TextoNormal"/>
      </w:pPr>
    </w:p>
    <w:p w:rsidR="005728DD" w:rsidRDefault="005728DD" w:rsidP="005728DD">
      <w:pPr>
        <w:pStyle w:val="TextoNormal"/>
      </w:pPr>
      <w:r>
        <w:t>Tampoco ha quedado acreditado ni alegado por ninguna parte procesal que, por cualquier otro sistema, incluyendo la plataforma Lexnet, se hubiera notificado a los profesionales colegiados en colegios profesionales fuera de la Comunidad Autónoma de Aragón de la des</w:t>
      </w:r>
      <w:r>
        <w:lastRenderedPageBreak/>
        <w:t>conexión de la plataforma Lexnet y su sustitución por la plataforma Avantius-Aragón. Singularmente se constata que en los citados protocolos se establece que no era necesario el alta de los procuradores en el citado sistema, ya que este se producía de oficio mediante el volcado de los listados de colegiados de los diversos colegios profesionales, por lo que tampoco por esta vía se pudo tener efectivo conocimiento de la entrada en funcionamiento de la nueva plataforma.</w:t>
      </w:r>
    </w:p>
    <w:p w:rsidR="005728DD" w:rsidRDefault="005728DD" w:rsidP="005728DD">
      <w:pPr>
        <w:pStyle w:val="TextoNormal"/>
      </w:pPr>
    </w:p>
    <w:p w:rsidR="005728DD" w:rsidRDefault="005728DD" w:rsidP="005728DD">
      <w:pPr>
        <w:pStyle w:val="TextoNormal"/>
      </w:pPr>
      <w:r>
        <w:t>En conclusión, el órgano judicial, tomando en consideración todas estas circunstancias concurrentes y el hecho, también relevante, de que le constaba que ninguno de los intentos de comunicación a través de la nueva plataforma telemática hubiera cumplido eficazmente su fin de que fuera conocida por la representación procesal de las interesadas, ha vulnerado el derecho a la tutela judicial efectiva de las demandantes de amparo. Se ha otorgado un valor automático al simple acto formal de la puesta a disposición de la notificación de la sentencia en la nueva plataforma telemática sin ponderar adecuadamente las razones por las que no se pudo tomar conocimiento efectivo de dicha resolución por la ausencia de cualquier tipo de comunicación personal, institucional u oficial del cambio de plataforma telemática a través de la cual se debía dar cumplimiento a su obligación de comunicación electrónica con el juzgado en dicho procedimiento.</w:t>
      </w:r>
    </w:p>
    <w:p w:rsidR="005728DD" w:rsidRDefault="005728DD" w:rsidP="005728DD">
      <w:pPr>
        <w:pStyle w:val="TextoNormal"/>
      </w:pPr>
    </w:p>
    <w:p w:rsidR="005728DD" w:rsidRDefault="005728DD" w:rsidP="005728DD">
      <w:pPr>
        <w:pStyle w:val="TextoNormal"/>
      </w:pPr>
      <w:r>
        <w:t>Ello determina que deba otorgarse el amparo solicitado, a cuyos efectos debe anularse el auto impugnado y todas las actuaciones llevadas a cabo desde el intento de notificación de la sentencia de 4 de julio de 2018, dictada en el procedimiento ordinario núm. 894-2016, tramitado por el Juzgado de Primera Instancia núm. 8 de Zaragoza, incluyendo el juicio verbal núm. 1101-2018 tramitado por el mismo juzgado, que tiene origen en la ejecución de aquella sentencia, con retroacción de actuaciones a dicho momento procesal para que se practique la notificación con respeto a su derecho a la tutela judicial efectiva.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Flora Mayo González y la entidad Asistencia Técnica Integral de Salamanca, S.L., y, en su virtud:</w:t>
      </w:r>
    </w:p>
    <w:p w:rsidR="005728DD" w:rsidRDefault="005728DD" w:rsidP="005728DD">
      <w:pPr>
        <w:pStyle w:val="TextoNormal"/>
      </w:pPr>
    </w:p>
    <w:p w:rsidR="005728DD" w:rsidRDefault="005728DD" w:rsidP="005728DD">
      <w:pPr>
        <w:pStyle w:val="TextoNormal"/>
      </w:pPr>
      <w:r>
        <w:t>1º Declarar que ha sido vulnerado el derecho de las demandantes de amparo a la tutela judicial efectiva sin indefensión (art. 24.1 CE).</w:t>
      </w:r>
    </w:p>
    <w:p w:rsidR="005728DD" w:rsidRDefault="005728DD" w:rsidP="005728DD">
      <w:pPr>
        <w:pStyle w:val="TextoNormal"/>
      </w:pPr>
    </w:p>
    <w:p w:rsidR="005728DD" w:rsidRDefault="005728DD" w:rsidP="005728DD">
      <w:pPr>
        <w:pStyle w:val="TextoNormal"/>
      </w:pPr>
      <w:r>
        <w:t>2º Restablecerles en su derecho y, a tal fin, declarar la nulidad del auto del Juzgado de Primera Instancia núm. 8 de Zaragoza de 21 de enero de 2019, pronunciado en el procedimiento ordinario núm. 894-2016, así como de todo lo actuado desde el intento de notificación de la sentencia de 4 de julio de 2018, dictada en dicho procedimiento, incluyendo el juicio verbal núm. 1101-2018 tramitado por el mismo juzgado.</w:t>
      </w:r>
    </w:p>
    <w:p w:rsidR="005728DD" w:rsidRDefault="005728DD" w:rsidP="005728DD">
      <w:pPr>
        <w:pStyle w:val="TextoNormal"/>
      </w:pPr>
    </w:p>
    <w:p w:rsidR="005728DD" w:rsidRDefault="005728DD" w:rsidP="005728DD">
      <w:pPr>
        <w:pStyle w:val="TextoNormal"/>
      </w:pPr>
      <w:r>
        <w:t>3º Retrotraer las actuaciones al momento inmediatamente anterior al intento de notificación de la citada sentencia de 4 de julio de 2018 para que el acto de comunicación se practique de manera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lastRenderedPageBreak/>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3" w:name="SENTENCIA_2021_80"/>
      <w:r>
        <w:lastRenderedPageBreak/>
        <w:t>SENTENCIA 80/2021, de 19 de abril de 2021</w:t>
      </w:r>
    </w:p>
    <w:bookmarkEnd w:id="83"/>
    <w:p w:rsidR="005728DD" w:rsidRDefault="005728DD" w:rsidP="005728DD">
      <w:pPr>
        <w:pStyle w:val="TtuloResolucin"/>
      </w:pPr>
      <w:r>
        <w:t>Sala Primera</w:t>
      </w:r>
    </w:p>
    <w:p w:rsidR="005728DD" w:rsidRDefault="005728DD" w:rsidP="005728DD">
      <w:pPr>
        <w:pStyle w:val="TtuloBOE"/>
      </w:pPr>
      <w:r>
        <w:t>(BOE núm. 119, de 19 de mayo de 2021)</w:t>
      </w:r>
    </w:p>
    <w:p w:rsidR="005728DD" w:rsidRDefault="005728DD" w:rsidP="005728DD">
      <w:pPr>
        <w:pStyle w:val="TextoNormalCentrado"/>
      </w:pPr>
      <w:r>
        <w:t>ECLI:ES:TC:2021:80</w:t>
      </w:r>
    </w:p>
    <w:p w:rsidR="005728DD" w:rsidRDefault="005728DD" w:rsidP="005728DD">
      <w:pPr>
        <w:pStyle w:val="TextoNormalCentrado"/>
      </w:pPr>
    </w:p>
    <w:p w:rsidR="005728DD" w:rsidRDefault="005728DD" w:rsidP="005728DD">
      <w:pPr>
        <w:pStyle w:val="SntesisDescriptiva"/>
      </w:pPr>
      <w:r>
        <w:t>Recurso de amparo 1692-2019. Promovido por don Jesús Rocho Sosa y doña Josefa Rodríguez Sanabria en relación con los autos dictados por la Audiencia Provincial y un juzgado de instrucción de Badajoz decretando prisión provisional.</w:t>
      </w:r>
    </w:p>
    <w:p w:rsidR="005728DD" w:rsidRDefault="005728DD" w:rsidP="005728DD">
      <w:pPr>
        <w:pStyle w:val="SntesisDescriptiva"/>
      </w:pPr>
    </w:p>
    <w:p w:rsidR="005728DD" w:rsidRDefault="005728DD" w:rsidP="005728DD">
      <w:pPr>
        <w:pStyle w:val="SntesisAnaltica"/>
      </w:pPr>
      <w:r>
        <w:t>Vulneración del derecho a la libertad personal en relación con el derecho a la tutela judicial efectiva: medida cautelar adoptada sin poner de manifiesto las actuaciones esenciales del expediente (STC 83/2019).</w:t>
      </w:r>
    </w:p>
    <w:p w:rsidR="005728DD" w:rsidRDefault="005728DD" w:rsidP="005728DD">
      <w:pPr>
        <w:pStyle w:val="SntesisAnaltica"/>
      </w:pPr>
    </w:p>
    <w:p w:rsidR="005728DD" w:rsidRDefault="005728DD" w:rsidP="005728DD">
      <w:pPr>
        <w:pStyle w:val="Extracto"/>
      </w:pPr>
      <w:r>
        <w:t>1.</w:t>
      </w:r>
      <w:r>
        <w:tab/>
        <w:t>Reitera la doctrina constitucional de la STC 83/2019, sobre el ejercicio del derecho de acceso a los elementos de las actuaciones que resulten esenciales con el fin de controlar la legalidad y, en su caso, impugnar la privación de libertad en causa declarada secreta [FFJJ 3 a 6] [FFJJ 3 a 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1692-2019, interpuesto por el procurador de los tribunales don Santos Gómez Rodríguez, en nombre y representación de don Jesús Rocho Sosa y doña Josefa Rodríguez Sanabria, asistidos por el letrado don José Duarte González, contra el auto de 1 de febrero de 2019, que inadmite el incidente de nulidad de actuaciones presentado contra el auto de 11 de enero de 2019, dictados ambos por la Sección Primera de la Audiencia Provincial de Badajoz en el recurso de apelación 296-2018, desestimando este último el recurso de apelación interpuesto contra el auto de 16 de diciembre de 2018 que acordaba la prisión provisional de los recurrentes, dictado por el Juzgado de Instrucción núm. 4 de Badajoz en las diligencias previas 2037-2018. Han comparecido don José David Serrano Cordón, doña Cristina Madera Gallardo y don Javier García Casanovas, representados por el procurador de los tribunales don José Antonio Rico Sánchez y asistidos por los letrados doña Gloria Iglesias Lagoa y don José Duarte González. Ha intervenido el Ministerio Fiscal. Ha sido ponente el magistrado don Alfredo Montoya Melgar.</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este tribunal el 15 de marzo de 2019, el procurador de los tribunales don Santos Gómez Rodríguez, en nombre y representación de don Jesús Rocho Sosa y doña Josefa Rodríguez Sanabria, interpuso recurso de amparo por vulneración del derecho a la tutela judicial efectiva del art. 24.1 CE, del derecho a utilizar los medios de prueba pertinentes del art. 24.2 CE, y por vulneración del derecho de defensa del art. 24.2 CE en relación con el derecho a la libertad del art. 17.1 CE, contra el auto de 1 de febrero de 2019 que inadmite el incidente de nulidad de actuaciones presentado contra el auto de 11 de enero de 2019, dictados ambos por la Sección Primera de la Audiencia Provincial de Badajoz en el recurso de apelación 296-2018, desestimando este último el recurso de apelación interpuesto contra el auto de 16 de diciembre de 2018 que acordaba la prisión provisional de los recurrentes, dictado por el Juzgado de Instrucción núm. 4 de Badajoz en las diligencias previas 2037-2018.</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en que se sustenta la demanda son, sucintamente expuestos, los siguientes:</w:t>
      </w:r>
    </w:p>
    <w:p w:rsidR="005728DD" w:rsidRDefault="005728DD" w:rsidP="005728DD">
      <w:pPr>
        <w:pStyle w:val="TextoNormal"/>
      </w:pPr>
    </w:p>
    <w:p w:rsidR="005728DD" w:rsidRDefault="005728DD" w:rsidP="005728DD">
      <w:pPr>
        <w:pStyle w:val="TextoNormal"/>
      </w:pPr>
      <w:r>
        <w:t>a) Los recurrentes en amparo, don Jesús Rocho Sosa y doña Josefa Rodríguez Sanabria, eran partes investigadas en las diligencias previas 784-2018 del Juzgado de Instrucción núm. 1 de Badajoz, incoadas por auto de 22 de mayo de 2018 y declaradas secretas el 28 de mayo de 2018.</w:t>
      </w:r>
    </w:p>
    <w:p w:rsidR="005728DD" w:rsidRDefault="005728DD" w:rsidP="005728DD">
      <w:pPr>
        <w:pStyle w:val="TextoNormal"/>
      </w:pPr>
    </w:p>
    <w:p w:rsidR="005728DD" w:rsidRDefault="005728DD" w:rsidP="005728DD">
      <w:pPr>
        <w:pStyle w:val="TextoNormal"/>
      </w:pPr>
      <w:r>
        <w:t>b) Los recurrentes fueron detenidos sobre las 6:40 horas del 14 de diciembre de 2018, tras la práctica de una entrada y registro en su domicilio, acordada por el citado juzgado de instrucción. En la tarde del 16 de diciembre de 2018, una vez puestos a disposición del Juzgado de Instrucción núm. 4 de Badajoz, en funciones de guardia, tras incoar las diligencias previas 2037-2018 y declararlas secretas, celebró en su sede las comparecencias previas a la decisión que la magistrada debía adoptar sobre la situación personal de los recurrentes.</w:t>
      </w:r>
    </w:p>
    <w:p w:rsidR="005728DD" w:rsidRDefault="005728DD" w:rsidP="005728DD">
      <w:pPr>
        <w:pStyle w:val="TextoNormal"/>
      </w:pPr>
    </w:p>
    <w:p w:rsidR="005728DD" w:rsidRDefault="005728DD" w:rsidP="005728DD">
      <w:pPr>
        <w:pStyle w:val="TextoNormal"/>
      </w:pPr>
      <w:r>
        <w:t>c) Durante la comparecencia de don Jesús Rocho Sosa, la magistrada le informó de que estaba siendo investigado por la posible comisión de delitos contra la salud pública, organización criminal, blanqueo de capitales y tenencia ilícita de armas, así como de los indicios de participación, derivados de las intervenciones telefónicas practicadas, la vigilancia y seguimientos policiales y de la entrada y registro que se llevó a cabo el 14 de diciembre de 2018. El demandante de amparo no quiso declarar, manifestando que antes debía conocer el contenido del sumario.</w:t>
      </w:r>
    </w:p>
    <w:p w:rsidR="005728DD" w:rsidRDefault="005728DD" w:rsidP="005728DD">
      <w:pPr>
        <w:pStyle w:val="TextoNormal"/>
      </w:pPr>
    </w:p>
    <w:p w:rsidR="005728DD" w:rsidRDefault="005728DD" w:rsidP="005728DD">
      <w:pPr>
        <w:pStyle w:val="TextoNormal"/>
      </w:pPr>
      <w:r>
        <w:t>Terminada la comparecencia, su abogado, dado que el fiscal acababa de interesar que se adoptase la medida cautelar de prisión provisional, solicitó el acceso a una serie de diligencias de investigación declaradas secretas por el Juzgado de Instrucción núm. 1 de Badajoz.</w:t>
      </w:r>
    </w:p>
    <w:p w:rsidR="005728DD" w:rsidRDefault="005728DD" w:rsidP="005728DD">
      <w:pPr>
        <w:pStyle w:val="TextoNormal"/>
      </w:pPr>
    </w:p>
    <w:p w:rsidR="005728DD" w:rsidRDefault="005728DD" w:rsidP="005728DD">
      <w:pPr>
        <w:pStyle w:val="TextoNormal"/>
      </w:pPr>
      <w:r>
        <w:t xml:space="preserve">Así, en cuanto a las escuchas telefónicas, pidió información acerca de si el teléfono al que se había referido el fiscal era de don Jesús Rocho, si había datos para atribuirle esa conversación como suya, y que se citara al otro interlocutor para poderlo interrogar. En lo que afectaba a los seguimientos, interesó saber qué automóvil conducía el investigado, quién era el titular, a qué hora y dónde se efectuaron, con quién estaba el investigado y quiénes le hacían los seguimientos. En referencia a la entrada y registro, pidió ser informado sobre el </w:t>
      </w:r>
      <w:r>
        <w:lastRenderedPageBreak/>
        <w:t>domicilio en que se había realizado, qué sustancia se había encontrado y cuánto dinero se halló. En relación con el blanqueo, preguntó de qué cuentas bancarias se trataba, quiénes eran sus titulares, y qué propiedades rústicas y urbanas figuraban a nombre del investigado.</w:t>
      </w:r>
    </w:p>
    <w:p w:rsidR="005728DD" w:rsidRDefault="005728DD" w:rsidP="005728DD">
      <w:pPr>
        <w:pStyle w:val="TextoNormal"/>
      </w:pPr>
    </w:p>
    <w:p w:rsidR="005728DD" w:rsidRDefault="005728DD" w:rsidP="005728DD">
      <w:pPr>
        <w:pStyle w:val="TextoNormal"/>
      </w:pPr>
      <w:r>
        <w:t>La magistrada respondió verbalmente al letrado que todas estas alegaciones las tendría que exponer ante el Juzgado de Instrucción núm. 1 de Badajoz, por ser el competente para conocer de la causa, toda vez que, no habiendo solicitado la defensa la práctica de medios de prueba necesarios para resolver sobre la situación personal del detenido y habiendo interesado el fiscal directamente la prisión, tenía que resolver sobre la situación personal.</w:t>
      </w:r>
    </w:p>
    <w:p w:rsidR="005728DD" w:rsidRDefault="005728DD" w:rsidP="005728DD">
      <w:pPr>
        <w:pStyle w:val="TextoNormal"/>
      </w:pPr>
    </w:p>
    <w:p w:rsidR="005728DD" w:rsidRDefault="005728DD" w:rsidP="005728DD">
      <w:pPr>
        <w:pStyle w:val="TextoNormal"/>
      </w:pPr>
      <w:r>
        <w:t>d) Seguidamente se practicó la comparecencia de doña Josefa Rodríguez Sanabria. Por parte de la magistrada se le informó de que estaba siendo investigada por delitos contra la salud pública, organización criminal, blanqueo de capitales y tenencia ilícita de armas, y que los indicios de su participación se derivaban de las intervenciones telefónicas efectuadas, los seguimientos policiales y la entrada y registro efectuada en su vivienda dos días antes. La recurrente en amparo sí quiso declarar y fue interrogada sobre varios domicilios, sobre su relación con determinadas personas y sus conversaciones telefónicas con ellas, así como sobre la utilización de teléfonos móviles, y sobre los efectos intervenidos durante el registro.</w:t>
      </w:r>
    </w:p>
    <w:p w:rsidR="005728DD" w:rsidRDefault="005728DD" w:rsidP="005728DD">
      <w:pPr>
        <w:pStyle w:val="TextoNormal"/>
      </w:pPr>
    </w:p>
    <w:p w:rsidR="005728DD" w:rsidRDefault="005728DD" w:rsidP="005728DD">
      <w:pPr>
        <w:pStyle w:val="TextoNormal"/>
      </w:pPr>
      <w:r>
        <w:t>Finalizado el interrogatorio, el abogado de la recurrente, que era el mismo que había asistido a don Jesús Rocho, después de leer el art. 505.3 de la Ley de enjuiciamiento criminal (LECrim) sobre el derecho de acceso a los elementos esenciales para poder impugnar la privación de libertad, formuló la petición de práctica de medios de prueba que a su entender se podían realizar dentro de las setenta y dos horas siguientes. Dijo que, en caso de haberse efectuado un seguimiento hasta un domicilio, era preciso citar al inquilino y preguntarle si la investigada le había alquilado la casa, si le pagaba a ella el alquiler y si le constaba que la investigada traficara con droga. En cuanto a lo ocurrido en una de las calles de la localidad, interesó la comparecencia de los dos investigados que habían participado en el suceso. En referencia al registro de la casa de la investigada, solicitó los teléfonos como pieza de convicción para determinar la existencia de pruebas biológicas. En cuanto al blanqueo, solicitó que se acreditara de cuántos vehículos era propietaria.</w:t>
      </w:r>
    </w:p>
    <w:p w:rsidR="005728DD" w:rsidRDefault="005728DD" w:rsidP="005728DD">
      <w:pPr>
        <w:pStyle w:val="TextoNormal"/>
      </w:pPr>
    </w:p>
    <w:p w:rsidR="005728DD" w:rsidRDefault="005728DD" w:rsidP="005728DD">
      <w:pPr>
        <w:pStyle w:val="TextoNormal"/>
      </w:pPr>
      <w:r>
        <w:t>La respuesta de la magistrada fue que no procedía la suspensión de la comparecencia, ni la práctica de las diligencias en el plazo de setenta y dos horas porque, a efectos de resolver sobre la situación personal, con las diligencias obrantes en el atestado policial que derivan de una investigación declarada secreta tenía elementos suficientes para valorar la existencia de indicios y la necesidad de garantizar el buen fin de la investigación. Añadió que los dos investigados cuya declaración se proponía ya habían declarado como tales y que, una vez que se alzara el secreto del sumario por el juzgado competente, podría el letrado acceder a las mismas y a todas las diligencias practicadas.</w:t>
      </w:r>
    </w:p>
    <w:p w:rsidR="005728DD" w:rsidRDefault="005728DD" w:rsidP="005728DD">
      <w:pPr>
        <w:pStyle w:val="TextoNormal"/>
      </w:pPr>
    </w:p>
    <w:p w:rsidR="005728DD" w:rsidRDefault="005728DD" w:rsidP="005728DD">
      <w:pPr>
        <w:pStyle w:val="TextoNormal"/>
      </w:pPr>
      <w:r>
        <w:t>e) A continuación, el juzgado dictó auto el 16 de diciembre de 2018, acordando la prisión provisional, comunicada y sin fianza, contra ambos investigados, quienes en la misma resolución quedaron a disposición del Juzgado de Instrucción núm. 1 de Badajoz “en sus diligencias previas 784-2018”, al ser el titular de la causa. Como esta última estaba declarada secreta, el juzgado solo les notificó la parte dispositiva del auto.</w:t>
      </w:r>
    </w:p>
    <w:p w:rsidR="005728DD" w:rsidRDefault="005728DD" w:rsidP="005728DD">
      <w:pPr>
        <w:pStyle w:val="TextoNormal"/>
      </w:pPr>
    </w:p>
    <w:p w:rsidR="005728DD" w:rsidRDefault="005728DD" w:rsidP="005728DD">
      <w:pPr>
        <w:pStyle w:val="TextoNormal"/>
      </w:pPr>
      <w:r>
        <w:lastRenderedPageBreak/>
        <w:t>f) El 26 de diciembre de 2018, el Juzgado de Instrucción núm. 1 de Badajoz dictó auto por el que se acordó mantener la prisión provisional de los dos recurrentes en amparo.</w:t>
      </w:r>
    </w:p>
    <w:p w:rsidR="005728DD" w:rsidRDefault="005728DD" w:rsidP="005728DD">
      <w:pPr>
        <w:pStyle w:val="TextoNormal"/>
      </w:pPr>
    </w:p>
    <w:p w:rsidR="005728DD" w:rsidRDefault="005728DD" w:rsidP="005728DD">
      <w:pPr>
        <w:pStyle w:val="TextoNormal"/>
      </w:pPr>
      <w:r>
        <w:t>g) Los recurrentes interpusieron recurso de apelación contra el auto dictado el 16 de diciembre de 2018 por el Juzgado de Instrucción núm. 4 de Badajoz. En el recurso se alegó la vulneración de los derechos a la tutela judicial efectiva (art. 24.1 CE) y a la libertad individual (art. 17.1 CE), y se alegaron cuatro motivos: a) inexistencia de una motivación suficiente para acordar la medida de prisión provisional; b) falta de acceso a los elementos esenciales de la causa con la finalidad de poder impugnar la medida; c) falta de práctica de medios de prueba solicitados antes de la adopción de la medida; d) el auto de prisión, con independencia de que las actuaciones estuvieran declaradas secretas, no contenía un mínimo de motivación fáctica y jurídica.</w:t>
      </w:r>
    </w:p>
    <w:p w:rsidR="005728DD" w:rsidRDefault="005728DD" w:rsidP="005728DD">
      <w:pPr>
        <w:pStyle w:val="TextoNormal"/>
      </w:pPr>
    </w:p>
    <w:p w:rsidR="005728DD" w:rsidRDefault="005728DD" w:rsidP="005728DD">
      <w:pPr>
        <w:pStyle w:val="TextoNormal"/>
      </w:pPr>
      <w:r>
        <w:t>h) La Sección Primera de la Audiencia Provincial de Badajoz, a la que correspondió conocer del recurso, lo desestimó por auto 11/2019, de 11 de enero.</w:t>
      </w:r>
    </w:p>
    <w:p w:rsidR="005728DD" w:rsidRDefault="005728DD" w:rsidP="005728DD">
      <w:pPr>
        <w:pStyle w:val="TextoNormal"/>
      </w:pPr>
    </w:p>
    <w:p w:rsidR="005728DD" w:rsidRDefault="005728DD" w:rsidP="005728DD">
      <w:pPr>
        <w:pStyle w:val="TextoNormal"/>
      </w:pPr>
      <w:r>
        <w:t>Fundamenta su decisión la Sala en que los recurrentes se encuentran acusados de un delito contra la salud pública, otro de tenencia ilícita de armas así como de blanqueo de capitales, y que constituyen una organización criminal. Argumenta que existen indicios racionales más que suficientes para considerarlos autores de tales hechos, puesto que en el auto recurrido consta que en los registros domiciliarios se encontraron más de un kilo de cocaína, ciertas cantidades de heroína, un volumen importante de hachís y diversos tipos de armas ilícitas.</w:t>
      </w:r>
    </w:p>
    <w:p w:rsidR="005728DD" w:rsidRDefault="005728DD" w:rsidP="005728DD">
      <w:pPr>
        <w:pStyle w:val="TextoNormal"/>
      </w:pPr>
    </w:p>
    <w:p w:rsidR="005728DD" w:rsidRDefault="005728DD" w:rsidP="005728DD">
      <w:pPr>
        <w:pStyle w:val="TextoNormal"/>
      </w:pPr>
      <w:r>
        <w:t>Añade la Sala que no puede hablarse de indefensión de ningún tipo, pues los investigados fueron informados debidamente por el juzgado de guardia, que tuvo en cuenta el riesgo de reiteración delictiva y de destrucción de pruebas, por lo que se cumplen todos los requisitos previstos en el art. 503 LECrim para la adopción de la medida cautelar de prisión provisional.</w:t>
      </w:r>
    </w:p>
    <w:p w:rsidR="005728DD" w:rsidRDefault="005728DD" w:rsidP="005728DD">
      <w:pPr>
        <w:pStyle w:val="TextoNormal"/>
      </w:pPr>
    </w:p>
    <w:p w:rsidR="005728DD" w:rsidRDefault="005728DD" w:rsidP="005728DD">
      <w:pPr>
        <w:pStyle w:val="TextoNormal"/>
      </w:pPr>
      <w:r>
        <w:t>En cuanto a la práctica de pruebas solicitada, sostiene la Sala que para que pueda conocer de una posible denegación de práctica de las mismas, es preciso un recurso que combata la resolución en la cual se denieguen, lo que no acontece en este supuesto, razón por la que su decisión se centra única y exclusivamente en la situación personal de los recurrentes.</w:t>
      </w:r>
    </w:p>
    <w:p w:rsidR="005728DD" w:rsidRDefault="005728DD" w:rsidP="005728DD">
      <w:pPr>
        <w:pStyle w:val="TextoNormal"/>
      </w:pPr>
    </w:p>
    <w:p w:rsidR="005728DD" w:rsidRDefault="005728DD" w:rsidP="005728DD">
      <w:pPr>
        <w:pStyle w:val="TextoNormal"/>
      </w:pPr>
      <w:r>
        <w:t>i) Contra este auto los recurrentes promovieron un incidente de nulidad de actuaciones. Fue inadmitido a trámite por auto de 1 de febrero de 2019, de la Sección Primera de la Audiencia Provincial de Badajoz, entrando para ello en el fondo de los motivos alegados.</w:t>
      </w:r>
    </w:p>
    <w:p w:rsidR="005728DD" w:rsidRDefault="005728DD" w:rsidP="005728DD">
      <w:pPr>
        <w:pStyle w:val="TextoNormal"/>
      </w:pPr>
    </w:p>
    <w:p w:rsidR="005728DD" w:rsidRDefault="005728DD" w:rsidP="005728DD">
      <w:pPr>
        <w:pStyle w:val="TextoNormal"/>
      </w:pPr>
      <w:r>
        <w:t xml:space="preserve">Con respecto a la falta de fundamentación de la resolución impugnada, señala el auto que, “tanto la resolución de primera instancia como la ahora impugnada en nulidad cumplen más que sobradamente el deber de motivación a que hace referencia el art. 120.3 CE (en relación con el art. 24.1 CE y art. 5.4 LOPJ) pues ambas hacen una valoración de los indicios existentes”. Insiste, con respecto al deber de información, en que “los investigados fueron debidamente informados tanto de sus derechos como de los delitos por los que se les estaba investigando y dicha información les fue facilitada tanto en sede policial como ante el juzgado instructor y ambos casos con asistencia letrada, negándose el investigado señor Rocho Sosa a declarar y limitándose su esposa señora Rodríguez Sanabria a negar su participación </w:t>
      </w:r>
      <w:r>
        <w:lastRenderedPageBreak/>
        <w:t>en los hechos”. Por último, y en cuanto se refiere a la necesidad de la práctica de la prueba previa, indica que “este tribunal ya se pronunció expresamente en la resolución ahora impugnada y en concreto en su fundamento jurídico primero párrafo segundo, manteniendo el mismo criterio ya sostenido y reiterando la decisión tomada con respecto a la prisión provisional se hace en base a meros indicios, indicios que por otra parte permiten conforme a lo dispuesto en el art. 503 [LECrim] mantener la situación de prisión provisional, y ello reiteramos no produce indefensión alguna, dado que como también se expone en el auto ahora recurrido, los investigados podrán pedir al instructor la práctica de cuantas pruebas consideren oportunas”.</w:t>
      </w:r>
    </w:p>
    <w:p w:rsidR="005728DD" w:rsidRDefault="005728DD" w:rsidP="005728DD">
      <w:pPr>
        <w:pStyle w:val="TextoNormal"/>
      </w:pPr>
    </w:p>
    <w:p w:rsidR="005728DD" w:rsidRDefault="005728DD" w:rsidP="005728DD">
      <w:pPr>
        <w:pStyle w:val="TextoNormal"/>
      </w:pPr>
      <w:r>
        <w:t>j) Por auto de 15 de enero de 2019, el Juzgado de Instrucción núm. 1 de Badajoz alzó el secreto de las actuaciones, permitiendo el acceso a su totalidad respecto de todas las partes personadas.</w:t>
      </w:r>
    </w:p>
    <w:p w:rsidR="005728DD" w:rsidRDefault="005728DD" w:rsidP="005728DD">
      <w:pPr>
        <w:pStyle w:val="TextoNormal"/>
      </w:pPr>
    </w:p>
    <w:p w:rsidR="005728DD" w:rsidRDefault="005728DD" w:rsidP="005728DD">
      <w:pPr>
        <w:pStyle w:val="TextoNormal"/>
      </w:pPr>
      <w:r>
        <w:t>k) Como consecuencia de la impugnación del auto de ratificación de la prisión dictado por el Juzgado de Instrucción núm. 1 de Badajoz, la audiencia provincial estimó el recurso y acordó la libertad provisional bajo fianza de los recurrentes, acordándose su puesta en libertad por auto de 28 de febrero de 2019.</w:t>
      </w:r>
    </w:p>
    <w:p w:rsidR="005728DD" w:rsidRDefault="005728DD" w:rsidP="005728DD">
      <w:pPr>
        <w:pStyle w:val="TextoNormal"/>
      </w:pPr>
    </w:p>
    <w:p w:rsidR="005728DD" w:rsidRDefault="005728DD" w:rsidP="005728DD">
      <w:pPr>
        <w:pStyle w:val="TextoNormal"/>
      </w:pPr>
      <w:r w:rsidRPr="005728DD">
        <w:rPr>
          <w:rStyle w:val="NumeroAFNegritaCaracter"/>
        </w:rPr>
        <w:t>3</w:t>
      </w:r>
      <w:r>
        <w:t>. Los recurrentes aducen en su demanda de amparo que tanto el auto de 16 de diciembre de 2018 del Juzgado de Instrucción núm. 4 de Badajoz, como el dictado en apelación el 11 de enero de 2019 y el recaído en el incidente de nulidad de actuaciones, de 1 de febrero de 2019, dictados ambos por la Sección Primera de la Audiencia Provincial de Badajoz, infringen el derecho a la tutela judicial efectiva (art. 24.1 CE), el derecho a utilizar los medios de prueba pertinentes (art. 24.2 CE) y el derecho de defensa (art. 24.2 CE) en relación con el derecho a la libertad personal (art. 17.1 CE). Arguyen que el auto de prisión provisional notificado por el Juzgado de Instrucción núm. 4 de Badajoz debía contener un mínimo de motivación fáctica y jurídica a pesar de que las actuaciones estuvieran declaradas secretas. El art. 502.6 LECrim prevé que “en ningún caso se omitirá en la notificación una sucinta descripción del hecho imputado y de cuál o cuáles son los fines previstos por el art. 503 se pretenden conseguir con la prisión”. Sin embargo, a los recurrentes solo se les notificó la parte dispositiva. Esto vulnera la doctrina de las SSTC 143/2010, de 21 de diciembre, FFJJ 2 y 3; 12/2007, de 15 de enero, FFJJ 2 y 3, y 18/1999, de 22 de febrero, FFJJ 3, 4 y 5.</w:t>
      </w:r>
    </w:p>
    <w:p w:rsidR="005728DD" w:rsidRDefault="005728DD" w:rsidP="005728DD">
      <w:pPr>
        <w:pStyle w:val="TextoNormal"/>
      </w:pPr>
    </w:p>
    <w:p w:rsidR="005728DD" w:rsidRDefault="005728DD" w:rsidP="005728DD">
      <w:pPr>
        <w:pStyle w:val="TextoNormal"/>
      </w:pPr>
      <w:r>
        <w:t>Se quejan también de que no tuvieron acceso a ningún elemento esencial de las actuaciones previamente a la decisión sobre su prisión provisional, por lo que no pudieron oponerse eficazmente a la misma. Finalmente afirman que solicitaron medios de prueba que se podían practicar en el acto o dentro de las setenta y dos horas siguientes, y que no fueron admitidos.</w:t>
      </w:r>
    </w:p>
    <w:p w:rsidR="005728DD" w:rsidRDefault="005728DD" w:rsidP="005728DD">
      <w:pPr>
        <w:pStyle w:val="TextoNormal"/>
      </w:pPr>
    </w:p>
    <w:p w:rsidR="005728DD" w:rsidRDefault="005728DD" w:rsidP="005728DD">
      <w:pPr>
        <w:pStyle w:val="TextoNormal"/>
      </w:pPr>
      <w:r>
        <w:t>Terminan suplicando que reconozca la vulneración de los derechos fundamentales invocados y que se retrotraigan las actuaciones para que el juzgado de instrucción resuelva conforme a derecho, posibilitando el acceso de los recurrentes a los concretos elementos de las actuaciones que resulten esenciales y pronunciándose sobre los medios de prueba que fueron solicitados en la comparecencia previa a la adopción de la medida cautelar, y que se les notifique el auto de 16 de diciembre de 2018 con un mínimo de motivación fáctica y jurídica. También suplican que se retrotraigan las actuaciones para que la audiencia provincial resuelva conforme a derecho.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Con fecha 30 de julio de 2019, la secretaría de justicia de la Sección Primera de este tribunal acordó requerir al Juzgado de Instrucción núm. 1 de Badajoz la remisión de testimonio íntegro de las piezas de situación personal de los recurrentes; y a la Sección Primera de la Audiencia Provincial de Badajoz, testimonio del incidente de nulidad de actuaciones presentado por aquellos en el recurso de apelación 296-2018.</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providencia de 16 de diciembre de 2019, la Sección Primera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y el órgano judicial pudiera haber incurrido en una negativa manifiesta del deber de acatamiento de la doctrina de este tribunal [STC 155/2009, FJ 2 f)]”.</w:t>
      </w:r>
    </w:p>
    <w:p w:rsidR="005728DD" w:rsidRDefault="005728DD" w:rsidP="005728DD">
      <w:pPr>
        <w:pStyle w:val="TextoNormal"/>
      </w:pPr>
    </w:p>
    <w:p w:rsidR="005728DD" w:rsidRDefault="005728DD" w:rsidP="005728DD">
      <w:pPr>
        <w:pStyle w:val="TextoNormal"/>
      </w:pPr>
      <w:r>
        <w:t>De conformidad con lo dispuesto en el art. 51 de la Ley Orgánica del Tribunal Constitucional (LOTC), acordó también dirigir atenta comunicación a la Sección Primera de la Audiencia Provincial de Badajoz, y al Juzgado de Instrucción núm. 1 de Badajoz, para que remitieran en plazo no superior a diez días una certificación o fotocopia adverada de las actuaciones correspondientes, respectivamente, al recurso de apelación 296-2018 y a las diligencias previas del procedimiento abreviado 784-2018. Y a este último órgano judicial, finalmente, para que en plazo no superior a diez días procediera a emplazar a quienes hubieran sido parte en el procedimiento, para que en el plazo de diez días pudieran comparecer, si lo deseaban, en el recurso, excepto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la secretaría de justicia de la Sala Primera de este tribunal, de fecha 1 de julio de 2020, se acordó tener por personado al procurador de los tribunales don José Antonio Rico Sánchez, en nombre y representación de don José David Serrano Cordón, doña Cristina Madera Gallardo y don Javier García Casanova, ordenándose entender con él las sucesivas actuaciones “a los solos efectos de evacuar el trámite de alegaciones del art. 52 LOTC”. Y, con arreglo al art. 52.1 LOTC, se acordó conceder a las partes personadas y al Ministerio Fiscal el plazo común de veinte días para que, con vista de las actuaciones, formulasen alegaciones.</w:t>
      </w:r>
    </w:p>
    <w:p w:rsidR="005728DD" w:rsidRDefault="005728DD" w:rsidP="005728DD">
      <w:pPr>
        <w:pStyle w:val="TextoNormal"/>
      </w:pPr>
    </w:p>
    <w:p w:rsidR="005728DD" w:rsidRDefault="005728DD" w:rsidP="005728DD">
      <w:pPr>
        <w:pStyle w:val="TextoNormal"/>
      </w:pPr>
      <w:r w:rsidRPr="005728DD">
        <w:rPr>
          <w:rStyle w:val="NumeroAFNegritaCaracter"/>
        </w:rPr>
        <w:t>7</w:t>
      </w:r>
      <w:r>
        <w:t>. Por escrito presentado el 14 de julio de 2020, el procurador de los dos demandantes de amparo, actuando en nombre de estos y de “doña Libertad Rocho Leal, doña Claudia Álvarez Chávez, como consta acreditado en el procedimiento”, formuló la siguiente alegación: “Esta parte reitera todas y cada una de las alegaciones y pedimentos ya alegados”.</w:t>
      </w:r>
    </w:p>
    <w:p w:rsidR="005728DD" w:rsidRDefault="005728DD" w:rsidP="005728DD">
      <w:pPr>
        <w:pStyle w:val="TextoNormal"/>
      </w:pPr>
    </w:p>
    <w:p w:rsidR="005728DD" w:rsidRDefault="005728DD" w:rsidP="005728DD">
      <w:pPr>
        <w:pStyle w:val="TextoNormal"/>
      </w:pPr>
      <w:r>
        <w:t>Posteriormente, con fecha 2 de septiembre de 2020 el citado procurador presentó un nuevo escrito de alegaciones, esta vez en representación solamente de los dos recurrentes de amparo, a fin de “reiterar las alegaciones y motivos esgrimidos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Por escrito registrado en este tribunal el día 10 de julio de 2020, el procurador señor Rico Sánchez, diciendo actuar en nombre de don Javier García Casanova, doña Cándida Amparo Sequeira Parra, don David Real Domínguez, don José David Serrano Cordón y doña Cristina Madera Gallardo, “como consta acreditado en el procedimiento”, se limitó a </w:t>
      </w:r>
      <w:r>
        <w:lastRenderedPageBreak/>
        <w:t>manifestar que “se adhieren en su integridad a todas las alegaciones y pedimentos formulados por la parte recurrente”.</w:t>
      </w:r>
    </w:p>
    <w:p w:rsidR="005728DD" w:rsidRDefault="005728DD" w:rsidP="005728DD">
      <w:pPr>
        <w:pStyle w:val="TextoNormal"/>
      </w:pPr>
    </w:p>
    <w:p w:rsidR="005728DD" w:rsidRDefault="005728DD" w:rsidP="005728DD">
      <w:pPr>
        <w:pStyle w:val="TextoNormal"/>
      </w:pPr>
      <w:r>
        <w:t>Mediante un segundo escrito, presentado el 12 de agosto de 2020, el mismo procurador, actuando ahora en representación solamente de don José David Serrano Cordón, doña Cristina Madera Gallardo y don Javier García Casanova, manifestó que “venimos a adherirnos y reiterar las alegaciones y motivos esgrimidos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El 14 de agosto de 2020 presentó su escrito de alegaciones el Ministerio Fiscal, interesando la estimación del recurso en los términos que seguidamente se exponen.</w:t>
      </w:r>
    </w:p>
    <w:p w:rsidR="005728DD" w:rsidRDefault="005728DD" w:rsidP="005728DD">
      <w:pPr>
        <w:pStyle w:val="TextoNormal"/>
      </w:pPr>
    </w:p>
    <w:p w:rsidR="005728DD" w:rsidRDefault="005728DD" w:rsidP="005728DD">
      <w:pPr>
        <w:pStyle w:val="TextoNormal"/>
      </w:pPr>
      <w:r>
        <w:t>Considera en primer lugar, respecto de la queja de falta de acceso a los elementos de las actuaciones que resultan esenciales para atacar la medida de privación de libertad de los recurrentes, que habiéndose exteriorizado la petición por parte de los interesados por sí y/o a través de su defensa, esta fue denegada para ambos recurrentes, de manera que no pudieron tener conocimiento de un mínimo de actuaciones necesario para impugnar la medida cautelar de privación de libertad solicitada, con lo que se vulneró el derecho a la libertad personal (art. 17.1 CE) en relación con el derecho a la tutela judicial efectiva (art. 24.1 CE).</w:t>
      </w:r>
    </w:p>
    <w:p w:rsidR="005728DD" w:rsidRDefault="005728DD" w:rsidP="005728DD">
      <w:pPr>
        <w:pStyle w:val="TextoNormal"/>
      </w:pPr>
    </w:p>
    <w:p w:rsidR="005728DD" w:rsidRDefault="005728DD" w:rsidP="005728DD">
      <w:pPr>
        <w:pStyle w:val="TextoNormal"/>
      </w:pPr>
      <w:r>
        <w:t xml:space="preserve">Aunque es cierto que el órgano judicial de guardia no era el que tenía atribuida la instrucción de la causa, esto no le excluía de la obligación de dar cumplimiento a facilitar el acceso en la forma prevenida en el art. 505.3 LECrim. Por una parte, porque el art. 505.6 LECrim no establece ninguna diferencia ni, por tanto exclusión de dicha obligación, remitiéndose además a “lo previsto en los apartados anteriores” del precepto. Y por otra parte, este criterio implicaría privar del derecho a quien no fuera puesto a disposición del juzgado de la causa, difiriendo por plazo ilimitado —aunque en los términos del art. 505.6 </w:t>
      </w:r>
      <w:r w:rsidRPr="005728DD">
        <w:rPr>
          <w:i/>
        </w:rPr>
        <w:t>in fine</w:t>
      </w:r>
      <w:r>
        <w:t xml:space="preserve"> LECrim— la posibilidad de su ejercicio y, consecuentemente, la efectiva impugnación de la privación de libertad, manteniéndose, mientras tanto, en prisión, como de hecho ocurrió en este caso, por celebrarse la segunda comparecencia diez días después, el 26 de diciembre de 2018.</w:t>
      </w:r>
    </w:p>
    <w:p w:rsidR="005728DD" w:rsidRDefault="005728DD" w:rsidP="005728DD">
      <w:pPr>
        <w:pStyle w:val="TextoNormal"/>
      </w:pPr>
    </w:p>
    <w:p w:rsidR="005728DD" w:rsidRDefault="005728DD" w:rsidP="005728DD">
      <w:pPr>
        <w:pStyle w:val="TextoNormal"/>
      </w:pPr>
      <w:r>
        <w:t>En cuanto a la falta de adecuada notificación del auto de 16 de diciembre de 2018, el Ministerio Fiscal considera que fue defectuosa, por incompleta, por haberse suprimido toda referencia a los fundamentos fácticos y jurídicos que la sustentaban. Con todo, la estimación del anterior motivo haría innecesario entrar en esta ponderación.</w:t>
      </w:r>
    </w:p>
    <w:p w:rsidR="005728DD" w:rsidRDefault="005728DD" w:rsidP="005728DD">
      <w:pPr>
        <w:pStyle w:val="TextoNormal"/>
      </w:pPr>
    </w:p>
    <w:p w:rsidR="005728DD" w:rsidRDefault="005728DD" w:rsidP="005728DD">
      <w:pPr>
        <w:pStyle w:val="TextoNormal"/>
      </w:pPr>
      <w:r>
        <w:t>Y en lo que respecta a la queja referida a la denegación de los medios de prueba propuestos, la petición de práctica de determinados medios de prueba en dicho acto aparecía directamente vinculada a la falta de acceso a los elementos esenciales de las actuaciones. No obstante, en la demanda no consta un desarrollo de la vulneración, pues para nada se alude a que la prueba propuesta y no practicada fuera decisiva en términos de defensa, así como a la justificación de la indefensión sufrida. En este sentido, una cosa es la posible indefensión padecida como consecuencia de la falta de acceso a los elementos esenciales, y otra la derivada de la prueba denegada a la que, o bien no se alude, o bien se identifica con la primera, en cuyo caso carecería de autonomía propia y virtualidad de producir una lesión de relevancia constitucional.</w:t>
      </w:r>
    </w:p>
    <w:p w:rsidR="005728DD" w:rsidRDefault="005728DD" w:rsidP="005728DD">
      <w:pPr>
        <w:pStyle w:val="TextoNormal"/>
      </w:pPr>
    </w:p>
    <w:p w:rsidR="005728DD" w:rsidRDefault="005728DD" w:rsidP="005728DD">
      <w:pPr>
        <w:pStyle w:val="TextoNormal"/>
      </w:pPr>
      <w:r>
        <w:lastRenderedPageBreak/>
        <w:t>Por lo expuesto, el Ministerio Fiscal interesa del Tribunal Constitucional que dicte sentencia con el siguiente pronunciamiento: a) declarar vulnerado el derecho fundamental de los demandantes de amparo a la libertad personal (art. 17.1 CE) en relación con el derecho a la tutela judicial efectiva (art. 24.1 CE), derivado de la denegación de acceso a los elementos esenciales de las actuaciones; b) acordar la nulidad del auto de 1 de febrero de 2019, y del auto de 11 de enero de 2019, dictados ambos por la Sección Primera de la Audiencia Provincial de Badajoz (recurso de apelación 296-2018), así como del auto de 16 de diciembre de 2018, dictado por el Juzgado de Instrucción núm. 4 de Badajoz (diligencias previas 2037-2018); c) subsidiariamente, que se otorgue el amparo a los demandantes, declarando vulnerado su derecho a la libertad personal (art. 17.1 CE), en relación con el derecho a la tutela judicial efectiva sin indefensión (art. 24.1 CE), por la defectuosa notificación, por incompleta, del auto de 16 de diciembre de 2018 dictado por el Juzgado de Instrucción núm. 4 de Badajoz, declarando la nulidad del mismo; d) desestimar la vulneración en relación con el derecho a la utilización de los medios de prueba (art. 24.2 CE).</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15 de abril de 2021 se señaló para la deliberación y votación de la presente sentencia el día 19 de dicho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planteamiento de las partes</w:t>
      </w:r>
      <w:r>
        <w:t>.</w:t>
      </w:r>
    </w:p>
    <w:p w:rsidR="005728DD" w:rsidRDefault="005728DD" w:rsidP="005728DD">
      <w:pPr>
        <w:pStyle w:val="TextoNormal"/>
      </w:pPr>
    </w:p>
    <w:p w:rsidR="005728DD" w:rsidRDefault="005728DD" w:rsidP="005728DD">
      <w:pPr>
        <w:pStyle w:val="TextoNormal"/>
      </w:pPr>
      <w:r>
        <w:t>a) Los dos demandantes de amparo, don Jesús Rocho Sosa y doña Josefa Rodríguez Sanabria, que fueron detenidos policialmente el 14 de diciembre de 2018, dirigen su petición de amparo frente al auto por el que el 16 de diciembre de 2018 el Juzgado de Instrucción núm. 4 de Badajoz elevó la detención a prisión provisional, comunicada y sin fianza, e impugnan también el auto de 11 de enero de 2019 por el que la Audiencia Provincial de Badajoz (Sección Primera) confirmó en apelación la medida cautelar privativa de libertad, así como el auto de 1 de febrero de 2019 por el que desestima el incidente de nulidad de actuaciones planteado por su representación procesal contra el anterior auto de la Sección.</w:t>
      </w:r>
    </w:p>
    <w:p w:rsidR="005728DD" w:rsidRDefault="005728DD" w:rsidP="005728DD">
      <w:pPr>
        <w:pStyle w:val="TextoNormal"/>
      </w:pPr>
    </w:p>
    <w:p w:rsidR="005728DD" w:rsidRDefault="005728DD" w:rsidP="005728DD">
      <w:pPr>
        <w:pStyle w:val="TextoNormal"/>
      </w:pPr>
      <w:r>
        <w:t>Los dos recurrentes sostienen en su demanda, como se expuso en los antecedentes, en primer término que no tuvieron acceso a ningún elemento esencial de las actuaciones previamente a la decisión sobre su prisión provisional (art. 24.2 y 17.1 CE), por lo que no pudieron oponerse eficazmente a la misma.</w:t>
      </w:r>
    </w:p>
    <w:p w:rsidR="005728DD" w:rsidRDefault="005728DD" w:rsidP="005728DD">
      <w:pPr>
        <w:pStyle w:val="TextoNormal"/>
      </w:pPr>
    </w:p>
    <w:p w:rsidR="005728DD" w:rsidRDefault="005728DD" w:rsidP="005728DD">
      <w:pPr>
        <w:pStyle w:val="TextoNormal"/>
      </w:pPr>
      <w:r>
        <w:t>En un segundo motivo, defienden que solicitaron medios de prueba que se podían practicar en el acto de la comparecencia inmediatamente anterior a la resolución sobre su situación personal o dentro de las setenta y dos horas siguientes, y que sin embargo no fueron admitidos (art. 24.2 CE).</w:t>
      </w:r>
    </w:p>
    <w:p w:rsidR="005728DD" w:rsidRDefault="005728DD" w:rsidP="005728DD">
      <w:pPr>
        <w:pStyle w:val="TextoNormal"/>
      </w:pPr>
    </w:p>
    <w:p w:rsidR="005728DD" w:rsidRDefault="005728DD" w:rsidP="005728DD">
      <w:pPr>
        <w:pStyle w:val="TextoNormal"/>
      </w:pPr>
      <w:r>
        <w:t>Finalmente, en un tercer motivo, se quejan de que la notificación del auto de prisión provisional dictado por el juzgado de instrucción solo contenía la parte dispositiva, por lo que carecía de una mínima motivación fáctica y jurídica (art. 24.1 CE).</w:t>
      </w:r>
    </w:p>
    <w:p w:rsidR="005728DD" w:rsidRDefault="005728DD" w:rsidP="005728DD">
      <w:pPr>
        <w:pStyle w:val="TextoNormal"/>
      </w:pPr>
    </w:p>
    <w:p w:rsidR="005728DD" w:rsidRDefault="005728DD" w:rsidP="005728DD">
      <w:pPr>
        <w:pStyle w:val="TextoNormal"/>
      </w:pPr>
      <w:r>
        <w:t xml:space="preserve">Aunque en el primero de los dos escritos de alegaciones presentados por el procurador señor Rico Sánchez en el trámite posterior del art. 52 LOTC, en concreto el 10 de julio de </w:t>
      </w:r>
      <w:r>
        <w:lastRenderedPageBreak/>
        <w:t>2020, este dijo actuar en nombre no solo de los dos recurrentes ya mencionados sino también de doña Libertad Rocho Leal y doña Claudia Álvarez Chávez, considerando a los cuatro como “esta parte”, dicha indicación ha de tenerse como un error que en todo caso quedó subsanado en el segundo escrito presentado el 12 de agosto de 2020, ya que las dos últimas personas referidas no aparecen como demandantes en el presente recurso núm. 1692-2019.</w:t>
      </w:r>
    </w:p>
    <w:p w:rsidR="005728DD" w:rsidRDefault="005728DD" w:rsidP="005728DD">
      <w:pPr>
        <w:pStyle w:val="TextoNormal"/>
      </w:pPr>
    </w:p>
    <w:p w:rsidR="005728DD" w:rsidRDefault="005728DD" w:rsidP="005728DD">
      <w:pPr>
        <w:pStyle w:val="TextoNormal"/>
      </w:pPr>
      <w:r>
        <w:t>b) El Ministerio Fiscal, que también ha formulado alegaciones, apoya el primero de los motivos de la demanda, interesando la estimación del recurso de amparo, y subsidiariamente su estimación por el motivo tercero, pero interesa la desestimación del segundo motivo, por falta de desarrollo argumental.</w:t>
      </w:r>
    </w:p>
    <w:p w:rsidR="005728DD" w:rsidRDefault="005728DD" w:rsidP="005728DD">
      <w:pPr>
        <w:pStyle w:val="TextoNormal"/>
      </w:pPr>
    </w:p>
    <w:p w:rsidR="005728DD" w:rsidRDefault="005728DD" w:rsidP="005728DD">
      <w:pPr>
        <w:pStyle w:val="TextoNormal"/>
      </w:pPr>
      <w:r>
        <w:t xml:space="preserve">c) Como única parte del procedimiento </w:t>
      </w:r>
      <w:r w:rsidRPr="005728DD">
        <w:rPr>
          <w:i/>
        </w:rPr>
        <w:t>a quo</w:t>
      </w:r>
      <w:r>
        <w:t xml:space="preserve"> que se ha tenido por comparecida en forma mediante la diligencia de ordenación de la secretaría de justicia de 1 de julio de 2020, don José David Serrano Cordón, doña Cristina Madera Gallardo y don Javier García Casanova, a través de su procurador presentaron alegaciones en el trámite del art. 52.1 LOTC, manifestando su adhesión a la demanda, sin que ello configure una pretensión autónoma sino solamente un respaldo a la posición de la parte actora, de acuerdo con la jurisprudencia reiterada de este tribunal (por todas, STC 143/2006, de 8 de mayo, FJ 2).</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Consideraciones previas. Orden de examen de las quejas</w:t>
      </w:r>
      <w:r>
        <w:t>.</w:t>
      </w:r>
    </w:p>
    <w:p w:rsidR="005728DD" w:rsidRDefault="005728DD" w:rsidP="005728DD">
      <w:pPr>
        <w:pStyle w:val="TextoNormal"/>
      </w:pPr>
    </w:p>
    <w:p w:rsidR="005728DD" w:rsidRDefault="005728DD" w:rsidP="005728DD">
      <w:pPr>
        <w:pStyle w:val="TextoNormal"/>
      </w:pPr>
      <w:r>
        <w:t>Como bien indica el Ministerio Fiscal, la queja referida a la vulneración del derecho a la utilización de los medios de prueba pertinentes no solo carece de desarrollo, sino también de autonomía de contenido, en cuanto está directamente vinculada a la denuncia de vulneración del derecho de defensa por la falta de acceso a los elementos esenciales de las actuaciones.</w:t>
      </w:r>
    </w:p>
    <w:p w:rsidR="005728DD" w:rsidRDefault="005728DD" w:rsidP="005728DD">
      <w:pPr>
        <w:pStyle w:val="TextoNormal"/>
      </w:pPr>
    </w:p>
    <w:p w:rsidR="005728DD" w:rsidRDefault="005728DD" w:rsidP="005728DD">
      <w:pPr>
        <w:pStyle w:val="TextoNormal"/>
      </w:pPr>
      <w:r>
        <w:t>Para determinar el orden de examen de las quejas articuladas por las actoras nos atendremos a los criterios expuestos en nuestra doctrina, según la cual, en el análisis de las diferentes lesiones alegadas ha de seguirse el criterio de “mayor retroacción” (SSTC 102/2020, de 21 de septiembre, FJ 2, y 180/2015, de 7 de septiembre, FJ 3), que implica conceder prioridad al examen de aquellas causas que, de prosperar, determinarían la retroacción a un momento procesal anterior, lo que haría innecesario un pronunciamiento sobre las restantes (SSTC 90/2010, de 15 de noviembre, FJ 2; 25/2012, de 27 de febrero, FJ 2, y las que en ellas se citan). Ese criterio se va a aplicar, por consiguiente, en el análisis de las vulneraciones denunciadas, debiendo empezar por la que afecta a la validez del auto de prisión dictado, y solo en caso de desestimarse se entraría en el estudio de la queja por defectuosa notificación de dicha resolución judicial.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Examen de la queja referida a la denegación de acceso a los elementos esenciales de las actuaciones relacionados con la privación de libertad. Planteamiento</w:t>
      </w:r>
      <w:r>
        <w:t>.</w:t>
      </w:r>
    </w:p>
    <w:p w:rsidR="005728DD" w:rsidRDefault="005728DD" w:rsidP="005728DD">
      <w:pPr>
        <w:pStyle w:val="TextoNormal"/>
      </w:pPr>
    </w:p>
    <w:p w:rsidR="005728DD" w:rsidRDefault="005728DD" w:rsidP="005728DD">
      <w:pPr>
        <w:pStyle w:val="TextoNormal"/>
      </w:pPr>
      <w:r>
        <w:t>El tribunal ha tenido ocasión de examinar aspectos del derecho de acceso a los elementos de las actuaciones que resulten esenciales para impugnar la privación de libertad en las SSTC 13/2017, de 30 de enero y 21/2018, de 5 de marzo, referidas a la situación de detención, y en las SSTC 83/2019, de 17 de junio; 94/2019, 95/2019, de 15 de julio, y 180/2020, de 14 de diciembre, referidas a su vez a la medida de prisión provisional en causas que se hallan bajo secreto.</w:t>
      </w:r>
    </w:p>
    <w:p w:rsidR="005728DD" w:rsidRDefault="005728DD" w:rsidP="005728DD">
      <w:pPr>
        <w:pStyle w:val="TextoNormal"/>
      </w:pPr>
    </w:p>
    <w:p w:rsidR="005728DD" w:rsidRDefault="005728DD" w:rsidP="005728DD">
      <w:pPr>
        <w:pStyle w:val="TextoNormal"/>
      </w:pPr>
      <w:r>
        <w:t>El presente caso proporciona a este tribunal ocasión para abordar un aspecto no tratado entonces, cual es el alcance constitucional de los indicados derechos a ser informado y a acceder a aquellos elementos de las actuaciones que resulten esenciales para impugnar la legalidad de la privación de libertad cuando, encontrándose la causa bajo secreto (art. 302 LECrim), el detenido ha pasado a disposición judicial y corresponde decidir sobre su situación personal, convocándose a tal fin la comparecencia del art. 505 LECrim, pero, a diferencia de las tres últimas sentencias citadas, ante un juez distinto del que tiene asignada la instrucción de la causa, en este caso ante el juez de guardia.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Doctrina constitucional sobre el acceso a los elementos esenciales de las actuaciones relacionados con la privación de libertad</w:t>
      </w:r>
      <w:r>
        <w:t>.</w:t>
      </w:r>
    </w:p>
    <w:p w:rsidR="005728DD" w:rsidRDefault="005728DD" w:rsidP="005728DD">
      <w:pPr>
        <w:pStyle w:val="TextoNormal"/>
      </w:pPr>
    </w:p>
    <w:p w:rsidR="005728DD" w:rsidRDefault="005728DD" w:rsidP="005728DD">
      <w:pPr>
        <w:pStyle w:val="TextoNormal"/>
      </w:pPr>
      <w:r>
        <w:t>En lo que aquí atañe, la doctrina sentada en las SSTC 83/2019, de 17 de junio, FFJJ 3 a 5; 94/2019 y 95/2019, de 15 de julio, FFJJ 3 a 5, y 180/2020, de 14 de diciembre, FFJJ 4 y 5, es la siguiente:</w:t>
      </w:r>
    </w:p>
    <w:p w:rsidR="005728DD" w:rsidRDefault="005728DD" w:rsidP="005728DD">
      <w:pPr>
        <w:pStyle w:val="TextoNormal"/>
      </w:pPr>
    </w:p>
    <w:p w:rsidR="005728DD" w:rsidRDefault="005728DD" w:rsidP="005728DD">
      <w:pPr>
        <w:pStyle w:val="TextoNormal"/>
      </w:pPr>
      <w:r>
        <w:t xml:space="preserve">a) “Con carácter general, corresponde al juez instructor velar por que el detenido, una vez que se encuentra a su disposición (art. 17.2 CE), sea debidamente informado de sus derechos y garantías procesales (arts. 17.3 CE y 118 y 520 LECrim), procurando que esa información se le facilite por escrito de forma inmediata y, en todo caso, con anterioridad a alguno de los momentos en los que pueda verse comprometida la efectividad de su derecho de defensa. Particularmente destacables son los momentos de recibirle declaración y de decidir sobre su situación personal. Deberá asegurarse también el instructor de la adecuada comprensión por el justiciable, puesto bajo su custodia, del elenco de derechos que le asisten </w:t>
      </w:r>
      <w:r w:rsidRPr="005728DD">
        <w:rPr>
          <w:i/>
        </w:rPr>
        <w:t>ex</w:t>
      </w:r>
      <w:r>
        <w:t xml:space="preserve"> art. 520 LECrim, de los que se le entregará además copia escrita” (SSTC 95/2019, FJ 6; 94/2019, FJ 6, y 83/2019, FJ 6).</w:t>
      </w:r>
    </w:p>
    <w:p w:rsidR="005728DD" w:rsidRDefault="005728DD" w:rsidP="005728DD">
      <w:pPr>
        <w:pStyle w:val="TextoNormal"/>
      </w:pPr>
    </w:p>
    <w:p w:rsidR="005728DD" w:rsidRDefault="005728DD" w:rsidP="005728DD">
      <w:pPr>
        <w:pStyle w:val="TextoNormal"/>
      </w:pPr>
      <w:r>
        <w:t>“Mientras que el derecho a ser informado sobre los hechos investigados y sobre las razones que han llevado al detenido a presencia judicial debe ser promovido directamente por el instructor, proporcionando de oficio al investigado y a su defensa cuantos detalles fácticos y jurídicos sean necesarios, por expresivos en tal sentido (art. 520.2 inciso 1 LECrim),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 (SSTC 95/2019, FJ 6; 94/2019, FJ 6, y 83/2019, FJ 6).</w:t>
      </w:r>
    </w:p>
    <w:p w:rsidR="005728DD" w:rsidRDefault="005728DD" w:rsidP="005728DD">
      <w:pPr>
        <w:pStyle w:val="TextoNormal"/>
      </w:pPr>
    </w:p>
    <w:p w:rsidR="005728DD" w:rsidRDefault="005728DD" w:rsidP="005728DD">
      <w:pPr>
        <w:pStyle w:val="TextoNormal"/>
      </w:pPr>
      <w:r>
        <w:t>b) “Como venimos diciendo, el supuesto planteado en este amparo afecta al derecho reconocido en el art. 520.2 d) LECrim. La conexión entre el derecho a conocer las razones de la privación de libertad y el de acceder a los elementos de las actuaciones que sean esenciales para impugnarla explica en gran medida el contenido de esta segunda garantía, puesto que a partir de la información recibida, y para contrastar su veracidad y suficiencia, el privado de libertad puede solicitar acceso a aquello que recoja o documente las razones aducidas (STC 21/2018, FJ 7), activando con ello su derecho.</w:t>
      </w:r>
    </w:p>
    <w:p w:rsidR="005728DD" w:rsidRDefault="005728DD" w:rsidP="005728DD">
      <w:pPr>
        <w:pStyle w:val="TextoNormal"/>
      </w:pPr>
    </w:p>
    <w:p w:rsidR="005728DD" w:rsidRDefault="005728DD" w:rsidP="005728DD">
      <w:pPr>
        <w:pStyle w:val="TextoNormal"/>
      </w:pPr>
      <w:r>
        <w:lastRenderedPageBreak/>
        <w:t>En supuestos como el de autos, a la declaración del investigado sigue la convocatoria por el juez instructor de la comparecencia prevista en el art. 505 LECrim, en la que las partes acusadoras podrán interesar que el instructor decrete la prisión provisional del investigado o encausado, o bien su puesta en libertad previa prestación de fianza. Al respecto, el Tribunal Constitucional se reserva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[STC 29/2019, de 28 de febrero, FJ 3 e)].</w:t>
      </w:r>
    </w:p>
    <w:p w:rsidR="005728DD" w:rsidRDefault="005728DD" w:rsidP="005728DD">
      <w:pPr>
        <w:pStyle w:val="TextoNormal"/>
      </w:pPr>
    </w:p>
    <w:p w:rsidR="005728DD" w:rsidRDefault="005728DD" w:rsidP="005728DD">
      <w:pPr>
        <w:pStyle w:val="TextoNormal"/>
      </w:pPr>
      <w:r>
        <w:t>Este tribunal es asimismo garante de que ‘el procedimiento de adopción o confirmación de la prisión provisional, se ajuste a las exigencias constitucionales de preservación del derecho a la tutela judicial efectiva, en relación con el art. 17 CE’ [STC 29/2019, FJ 3 e)]” (SSTC 83/2019, FJ 6; 94/2019, FJ 6, y 95/2019, FJ 6).</w:t>
      </w:r>
    </w:p>
    <w:p w:rsidR="005728DD" w:rsidRDefault="005728DD" w:rsidP="005728DD">
      <w:pPr>
        <w:pStyle w:val="TextoNormal"/>
      </w:pPr>
    </w:p>
    <w:p w:rsidR="005728DD" w:rsidRDefault="005728DD" w:rsidP="005728DD">
      <w:pPr>
        <w:pStyle w:val="TextoNormal"/>
      </w:pPr>
      <w:r>
        <w:t>“Corresponde ahora perfilar el acceso al expediente que, vinculado a la comparecencia del art. 505 LECrim y en garantía de su libertad personal, incumbirá al investigado o encausado con el fin de rehuir una situación de indefensión (art. 17.1 CE, en relación con el art. 24.1 CE). El sentido constitucional de estos derechos lleva a interpretar que, desde el momento en que el órgano judicial haya informado de que se va a celebrar esta comparecencia, estará habilitado el investigado para expresar, por sí o a través de su abogado, su voluntad de acceder al expediente con la finalidad de tomar conocimiento de lo necesario para rebatir la procedencia de las medidas cautelares privativas de libertad que puedan interesar las acusaciones. Dado que es precisamente esta su finalidad, el uso del derecho que le asiste no podrá posponerse más allá del momento en que, durante la propia comparecencia, una vez expuestas sus alegaciones por las acusaciones, llegue el turno de intervención de la defensa del interesado. Y ello porque ha de ser con anterioridad a que el órgano judicial adopte una decisión sobre la libertad del investigado cuando este, potencialmente afectado por la medida cautelar que vaya a interesarse, tenga la oportunidad de requerir, por sí o a través de su representante en el proceso, ese acceso al expediente que le permita disponer de aquellos datos que, como consecuencia de las diligencias practicadas, puedan atraer una valoración judicial última de pertinencia de la medida cautelar privativa de libertad que se solicite, conforme a los fines que la justifican” (STC 83/2019, FJ 6).</w:t>
      </w:r>
    </w:p>
    <w:p w:rsidR="005728DD" w:rsidRDefault="005728DD" w:rsidP="005728DD">
      <w:pPr>
        <w:pStyle w:val="TextoNormal"/>
      </w:pPr>
    </w:p>
    <w:p w:rsidR="005728DD" w:rsidRDefault="005728DD" w:rsidP="005728DD">
      <w:pPr>
        <w:pStyle w:val="TextoNormal"/>
      </w:pPr>
      <w:r>
        <w:t>“Mostrada por el justiciable o por su defensa la voluntad de hacer uso del derecho reconocido en el art. 520.2 d) LECrim, compete al órgano judicial darle efectividad del modo más inmediato y efectivo posible, interrumpiendo, si fuere preciso, la comparecencia ya iniciada, sin perjuicio de su reiteración en fase posterior” (STC 83/2019, FJ 6).</w:t>
      </w:r>
    </w:p>
    <w:p w:rsidR="005728DD" w:rsidRDefault="005728DD" w:rsidP="005728DD">
      <w:pPr>
        <w:pStyle w:val="TextoNormal"/>
      </w:pPr>
    </w:p>
    <w:p w:rsidR="005728DD" w:rsidRDefault="005728DD" w:rsidP="005728DD">
      <w:pPr>
        <w:pStyle w:val="TextoNormal"/>
      </w:pPr>
      <w:r>
        <w:t>c) “Aplicándose lo hasta aquí expuesto al común de supuestos del art. 505 LECrim, debemos detenernos ahora en aquella situación en la que los derechos de información y de acceso al expediente con fines de impugnar la privación de libertad se promueven, al tiempo de la comparecencia, en el seno de una causa declarada total o parcialmente secreta (art. 302 LECrim). Confluyen entonces el interés de defensa vinculada a la libertad personal (art. 17.1 CE) y el interés en no perjudicar los fines con relevancia constitucional de los que es tributario el secreto, consecuencia de la interpretación de la justicia como valor superior del ordenamiento jurídico (art. 1.1 CE), debiendo conciliar ambos.</w:t>
      </w:r>
    </w:p>
    <w:p w:rsidR="005728DD" w:rsidRDefault="005728DD" w:rsidP="005728DD">
      <w:pPr>
        <w:pStyle w:val="TextoNormal"/>
      </w:pPr>
    </w:p>
    <w:p w:rsidR="005728DD" w:rsidRDefault="005728DD" w:rsidP="005728DD">
      <w:pPr>
        <w:pStyle w:val="TextoNormal"/>
      </w:pPr>
      <w:r>
        <w:lastRenderedPageBreak/>
        <w:t>No hay duda de que 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Tampoco puede privarle, en términos absolutos, de su derecho de acceder a las actuaciones para cuestionar e impugnar la legalidad de la privación de libertad, cercenando con ello toda posibilidad de defensa frente a la medida cautelar.</w:t>
      </w:r>
    </w:p>
    <w:p w:rsidR="005728DD" w:rsidRDefault="005728DD" w:rsidP="005728DD">
      <w:pPr>
        <w:pStyle w:val="TextoNormal"/>
      </w:pPr>
    </w:p>
    <w:p w:rsidR="005728DD" w:rsidRDefault="005728DD" w:rsidP="005728DD">
      <w:pPr>
        <w:pStyle w:val="TextoNormal"/>
      </w:pPr>
      <w:r>
        <w:t xml:space="preserve">Del otro lado, los fines a los que legal y constitucionalmente sirve el secreto sumarial no pueden desvanecerse como consecuencia del ejercicio efectivo de los indicados derechos del justiciable, pues en tal caso el secreto perdería su razón de ser. Así se desprende de la doctrina constitucional a la que venimos haciendo referencia (entre muchas, SSTC 176/1988, de 4 de octubre, FJ 2, y 18/1999, de 22 de febrero, FJ 4), y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En este sentido, el Tribunal Europeo de Derechos Humanos viene apreciando que, de conformidad con el art. 6 CEDH, resulta necesario proporcionar un grado de acceso al expediente que permita al interesado disfrutar de una efectiva oportunidad de conocer en lo esencial los elementos en que se sustenta su privación de libertad, sin perjuicio de lo cual está justificada la denegación del acceso al expediente penal en determinados casos, como cuando estamos ante una investigación compleja que afecta a la actividad criminal de un conjunto de individuos o bien cuando incluye determinados documentos, como sucede con los clasificados; en cualquier caso, el eficiente desarrollo de la investigación, siendo un objetivo legítimo, no puede conseguirse a expensas de restricciones sustanciales de los derechos de la defensa que se dilaten en el tiempo mientras el investigado permanece en situación de prisión provisional: en estos supuestos, caso de solicitarlo el interesado, deberá ponderarse aquello que resulte necesario para poder ejercitar una defensa eficaz frente a la privación de libertad (STEDH de 18 de septiembre de 2012, asunto </w:t>
      </w:r>
      <w:r w:rsidRPr="005728DD">
        <w:rPr>
          <w:i/>
        </w:rPr>
        <w:t>Dochnal contra Polonia</w:t>
      </w:r>
      <w:r>
        <w:t>, § 87 y 88).</w:t>
      </w:r>
    </w:p>
    <w:p w:rsidR="005728DD" w:rsidRDefault="005728DD" w:rsidP="005728DD">
      <w:pPr>
        <w:pStyle w:val="TextoNormal"/>
      </w:pPr>
    </w:p>
    <w:p w:rsidR="005728DD" w:rsidRDefault="005728DD" w:rsidP="005728DD">
      <w:pPr>
        <w:pStyle w:val="TextoNormal"/>
      </w:pPr>
      <w:r>
        <w:t>La expresión ‘en todo caso’ incorporada al art. 505.3 LECrim para referirse a esta situación no comporta, en su entendimiento constitucional, una suerte de alzamiento del secreto sumarial que abra ilimitadamente la causa o alguna de sus piezas, declaradas secretas, al conocimiento de las partes en situación, efectiva o potencial, de privación de libertad, a resultas de lo que suceda en la comparecencia del art. 505 LECrim. Muy al contrario, subordina la toma de conocimiento de lo actuado a lo estrictamente necesario en orden a comprobar la regularidad de la medida privativa de libertad, debiendo facilitarse tan solo lo imprescindible para, dado el caso, cuestionar su pertinencia y promover su impugnación. Así pues,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siempre previa solicitud expresa por su parte en tal sentido” (STC 95/2019, FJ 6).</w:t>
      </w:r>
    </w:p>
    <w:p w:rsidR="005728DD" w:rsidRDefault="005728DD" w:rsidP="005728DD">
      <w:pPr>
        <w:pStyle w:val="TextoNormal"/>
      </w:pPr>
    </w:p>
    <w:p w:rsidR="005728DD" w:rsidRDefault="005728DD" w:rsidP="005728DD">
      <w:pPr>
        <w:pStyle w:val="TextoNormal"/>
      </w:pPr>
      <w:r>
        <w:t xml:space="preserve">d) “Determinados por el instructor los elementos fundamentales del caso en clave de privación de libertad, la efectividad de la garantía requiere que la información se suministre </w:t>
      </w:r>
      <w:r>
        <w:lastRenderedPageBreak/>
        <w:t>al interesado por el mecanismo que resulte más idóneo, a criterio del órgano judicial: extracto de materiales que obren en las actuaciones, exhibición de documentos u otras fuentes de prueba, entrega de copias o de cualquier otro soporte o formato, siempre que garantice el ajuste con los datos obrantes en el expediente y permita un adecuado uso en términos de defensa (STC 21/2018, de 5 de marzo, FJ 6). No basta, por tanto, con la información que verbal y genéricamente pueda proporcionarse en tal sentido.</w:t>
      </w:r>
    </w:p>
    <w:p w:rsidR="005728DD" w:rsidRDefault="005728DD" w:rsidP="005728DD">
      <w:pPr>
        <w:pStyle w:val="TextoNormal"/>
      </w:pPr>
    </w:p>
    <w:p w:rsidR="005728DD" w:rsidRDefault="005728DD" w:rsidP="005728DD">
      <w:pPr>
        <w:pStyle w:val="TextoNormal"/>
      </w:pPr>
      <w:r>
        <w:t xml:space="preserve">La idoneidad de la decisión judicial de entrega de datos y materiales en ejercicio de estos derechos será, en cualquier caso, susceptible de supervisión a través del régimen de recursos legalmente establecido. Corresponde al órgano judicial que conozca del recurso revisar la ponderación efectuada por el instructor de la adecuación de los materiales facilitados a los fines y derechos concernidos, lo que valorará a la luz de las específicas circunstancias del caso, atendiendo a la naturaleza de los datos y documentos puestos a disposición del interesado y a su importancia en relación con las circunstancias que propiciaron la privación de libertad (STEDH de 25 de junio de 2002, asunto </w:t>
      </w:r>
      <w:r w:rsidRPr="005728DD">
        <w:rPr>
          <w:i/>
        </w:rPr>
        <w:t>Migoń contra Polonia</w:t>
      </w:r>
      <w:r>
        <w:t>, § 81), sin olvidar los propósitos del secreto decretado en el caso, igualmente dignos de atención” (STC 95/2019, FJ 6).</w:t>
      </w:r>
    </w:p>
    <w:p w:rsidR="005728DD" w:rsidRDefault="005728DD" w:rsidP="005728DD">
      <w:pPr>
        <w:pStyle w:val="TextoNormal"/>
      </w:pPr>
    </w:p>
    <w:p w:rsidR="005728DD" w:rsidRDefault="005728DD" w:rsidP="005728DD">
      <w:pPr>
        <w:pStyle w:val="TextoNormal"/>
      </w:pPr>
      <w:r>
        <w:t xml:space="preserve">e) Finalmente, hemos señalado en la STC 95/2019, FJ 6, que “es significativo el periodo durante el cual el investigado, privado de libertad, haya estado a su vez privado de acceso íntegro al procedimiento (SSTEDH de 25 de junio de 2002, asunto </w:t>
      </w:r>
      <w:r w:rsidRPr="005728DD">
        <w:rPr>
          <w:i/>
        </w:rPr>
        <w:t>Migoń contra Polonia</w:t>
      </w:r>
      <w:r>
        <w:t xml:space="preserve">, § 81, y de 18 de septiembre de 2012, asunto </w:t>
      </w:r>
      <w:r w:rsidRPr="005728DD">
        <w:rPr>
          <w:i/>
        </w:rPr>
        <w:t>Dochnal contra Polonia</w:t>
      </w:r>
      <w:r>
        <w:t>, § 87 y 88). Y ello porque la prolongación en el tiempo del secreto no puede constreñir indefinidamente un ejercicio del derecho de defensa que llegue a abarcar la totalidad del sumario, desautorizándose constitucionalmente todo proceso penal que, como consecuencia de la declaración judicial de secreto, se geste a espaldas del investigado y recorte así sus derechos y garantías en el proceso (art. 24.2 CE). El factor tiempo juega, por sí mismo, un papel altamente relevante en toda causa declarada secreta. Al restringir las posibilidades de conocimiento íntegro de lo investigado y, por tanto, de defensa, la declaración de una causa como secreta siempre habrá de extenderse en el tiempo el mínimo indispensable para lograr sus fines, debiendo cesar de forma inmediata en caso de lograrse aquellos; subsidiariamente, y aun cuando no se hayan obtenido, decaerá en el momento en que expire el plazo específicamente conferido por la resolución judicial, que nunca podrá sobrepasar los máximos legalmente previstos con inclusión, dado el caso, de sus prórrogas.</w:t>
      </w:r>
    </w:p>
    <w:p w:rsidR="005728DD" w:rsidRDefault="005728DD" w:rsidP="005728DD">
      <w:pPr>
        <w:pStyle w:val="TextoNormal"/>
      </w:pPr>
    </w:p>
    <w:p w:rsidR="005728DD" w:rsidRDefault="005728DD" w:rsidP="005728DD">
      <w:pPr>
        <w:pStyle w:val="TextoNormal"/>
      </w:pPr>
      <w:r>
        <w:t>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005728DD" w:rsidRDefault="005728DD" w:rsidP="005728DD">
      <w:pPr>
        <w:pStyle w:val="TextoNormal"/>
      </w:pPr>
    </w:p>
    <w:p w:rsidR="005728DD" w:rsidRDefault="005728DD" w:rsidP="005728DD">
      <w:pPr>
        <w:pStyle w:val="TextoNormal"/>
      </w:pPr>
      <w:r>
        <w:t xml:space="preserve">Por todo ello, si la virtualidad del secreto puede operar como valor preponderante en los comienzos de la investigación en la que se decreta, bien por ponderación de los intereses en presencia (art. 301 y 302 LECrim), bien por mandato legal y sin necesidad de expresa declaración en el caso de adoptarse medidas de investigación tecnológica [art. 588 </w:t>
      </w:r>
      <w:r w:rsidRPr="005728DD">
        <w:rPr>
          <w:i/>
        </w:rPr>
        <w:t>bis</w:t>
      </w:r>
      <w:r>
        <w:t xml:space="preserve"> d) LECrim], pudiendo provocar incluso que el derecho de defensa del investigado sobre el que se </w:t>
      </w:r>
      <w:r>
        <w:lastRenderedPageBreak/>
        <w:t>ejecuta una medida cautelar personal privativa de libertad tropiece con parcelas de investigación desconocidas, no es menos cierto que el paso del tiempo debilita aquel interés, que puede predominar en un principio”.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Análisis de la cuestión de fondo</w:t>
      </w:r>
      <w:r>
        <w:t>.</w:t>
      </w:r>
    </w:p>
    <w:p w:rsidR="005728DD" w:rsidRDefault="005728DD" w:rsidP="005728DD">
      <w:pPr>
        <w:pStyle w:val="TextoNormal"/>
      </w:pPr>
    </w:p>
    <w:p w:rsidR="005728DD" w:rsidRDefault="005728DD" w:rsidP="005728DD">
      <w:pPr>
        <w:pStyle w:val="TextoNormal"/>
      </w:pPr>
      <w:r>
        <w:t>Los demandantes no cuestionan el contexto bajo el que discurrió su detención policial. En el caso de don Jesús Rocho Sosa, fue con ocasión de la comparecencia en la que el Ministerio Fiscal interesó la transformación de la situación de detención en prisión provisional (art. 505 LECrim) cuando por primera vez expresó, personalmente, su negativa a declarar hasta no conocer el contenido de las actuaciones y luego, a través de su defensa, la voluntad de ejercitar el derecho a acceder a lo esencial en las actuaciones para defenderse de la privación de libertad interesada por esta acusación. Por lo que respecta a doña Josefa Rodríguez Sanabria, fue su letrado el que, como la magistrada había rechazado su petición de acceso a los elementos esenciales durante la comparecencia del señor Rocho Sosa, aludiendo, entre otros argumentos, a que no había interesado medios de prueba que pudieran ser practicados durante la comparecencia, moduló esta vez la petición, con lectura expresa del artículo de la ley rituaria referido al acceso a tales elementos, aplicable, incluso, como recalcó, en los casos en que esté acordado el secreto sumarial, mediante la solicitud de medios de prueba que pudieran practicarse en ese momento o en las setenta y dos horas siguientes.</w:t>
      </w:r>
    </w:p>
    <w:p w:rsidR="005728DD" w:rsidRDefault="005728DD" w:rsidP="005728DD">
      <w:pPr>
        <w:pStyle w:val="TextoNormal"/>
      </w:pPr>
    </w:p>
    <w:p w:rsidR="005728DD" w:rsidRDefault="005728DD" w:rsidP="005728DD">
      <w:pPr>
        <w:pStyle w:val="TextoNormal"/>
      </w:pPr>
      <w:r>
        <w:t>A ello anudan su petición de amparo, lamentando que la instructora no atendiera su petición, habiéndoles anunciado con anterioridad que la causa se encontraba bajo secreto y que ella no era la competente para conocer de la causa, por lo que la petición deberían efectuarla ante el juzgado de instrucción competente cuando este se propusiera ratificar o alzar la medida cautelar. Esto supuso que, dados los detalles proporcionados en sede policial y judicial, que estiman escasos e insuficientes en términos de defensa frente a la medida cautelar, no pudieran contradecir los argumentos del fiscal que actuaba en ese acto, ya que no se les procuró acceso alguno, aun limitado, a las actuaciones.</w:t>
      </w:r>
    </w:p>
    <w:p w:rsidR="005728DD" w:rsidRDefault="005728DD" w:rsidP="005728DD">
      <w:pPr>
        <w:pStyle w:val="TextoNormal"/>
      </w:pPr>
    </w:p>
    <w:p w:rsidR="005728DD" w:rsidRDefault="005728DD" w:rsidP="005728DD">
      <w:pPr>
        <w:pStyle w:val="TextoNormal"/>
      </w:pPr>
      <w:r>
        <w:t>Como indica el fiscal ante este tribunal en su escrito de alegaciones del art. 52 LOTC, aunque es cierto que el órgano judicial de guardia no era el que tenía atribuida la instrucción de la causa, ello no le excluía de dar cumplimiento a la obligación de facilitar el acceso a las actuaciones esenciales, en la forma prevenida en el art. 505.3 LECrim. Por una parte, el art. 505.6 LECrim establece que cuando el detenido es puesto a disposición de juez distinto del que hubiere de conocer de la causa, es a aquel al que le corresponde cumplir esta obligación. La propia instructora respondió verbalmente a la solicitud de práctica de prueba en la segunda comparecencia, afirmando que, con las diligencias obrantes en el atestado policial que derivaban de una investigación declarada secreta, los recurrentes tenían elementos suficientes para valorar la existencia de indicios y la necesidad de garantizar el buen fin de la investigación. Por tanto, nada obstaba a que pudiera facilitar los elementos esenciales referidos a la privación de libertad de que disponía en los términos señalados anteriormente.</w:t>
      </w:r>
    </w:p>
    <w:p w:rsidR="005728DD" w:rsidRDefault="005728DD" w:rsidP="005728DD">
      <w:pPr>
        <w:pStyle w:val="TextoNormal"/>
      </w:pPr>
    </w:p>
    <w:p w:rsidR="005728DD" w:rsidRDefault="005728DD" w:rsidP="005728DD">
      <w:pPr>
        <w:pStyle w:val="TextoNormal"/>
      </w:pPr>
      <w:r>
        <w:t xml:space="preserve">Y por otra parte, el criterio contrario implicaría privar de este derecho a quien no fuera puesto desde el principio a disposición del juzgado de la causa, difiriéndose con ello durante un tiempo más o menos largo la posibilidad de su ejercicio y la efectiva impugnación de la privación de libertad, permaneciendo además, mientras tanto, en prisión, como de hecho </w:t>
      </w:r>
      <w:r>
        <w:lastRenderedPageBreak/>
        <w:t>ocurrió en este caso, en el que esta situación se prolongó durante diez días, puesto que hasta entonces no se celebró la comparecencia ante el juez que debía conocer de la causa.</w:t>
      </w:r>
    </w:p>
    <w:p w:rsidR="005728DD" w:rsidRDefault="005728DD" w:rsidP="005728DD">
      <w:pPr>
        <w:pStyle w:val="TextoNormal"/>
      </w:pPr>
    </w:p>
    <w:p w:rsidR="005728DD" w:rsidRDefault="005728DD" w:rsidP="005728DD">
      <w:pPr>
        <w:pStyle w:val="TextoNormal"/>
      </w:pPr>
      <w:r>
        <w:t>De conformidad con la doctrina que hemos dejado expuesta, debe entenderse lesionado el derecho de los demandantes a recibir en aquel momento conocimiento de lo esencial en las actuaciones para impugnar la medida cautelar de prisión provisional que instantes antes había interesado el Ministerio Fiscal: (i) pues en el caso del señor Rocho Sosa no se le dio acceso alguno a aquellos materiales de la investigación desde los cuales, y sin perjuicio del respeto debido al secreto sumarial, poder rebatir los argumentos expuestos de contrario (arts. 17.1 y 24.1 CE), y (ii) en el de la señora Rodríguez Sanabria, si bien al hilo del interrogatorio judicial se hizo mención por parte de la instructora a algunos elementos incriminadores —utilización y comunicación a través de determinados teléfonos, domicilios registrados, conocimiento de otros investigados—, esta comunicación fue incompleta y suministrada de forma verbal.</w:t>
      </w:r>
    </w:p>
    <w:p w:rsidR="005728DD" w:rsidRDefault="005728DD" w:rsidP="005728DD">
      <w:pPr>
        <w:pStyle w:val="TextoNormal"/>
      </w:pPr>
    </w:p>
    <w:p w:rsidR="005728DD" w:rsidRDefault="005728DD" w:rsidP="005728DD">
      <w:pPr>
        <w:pStyle w:val="TextoNormal"/>
      </w:pPr>
      <w:r>
        <w:t>La solicitud de los demandantes se ajustó así tanto al requisito formal de rogación expresa, como al temporal vinculado a la comparecencia del art. 505 LECrim, antes indicados. La vulneración de su derecho dimana del hecho mismo de que, pese a mostrar en tiempo y forma ese claro disenso, la comparecencia continuara hasta su finalización, sin suspenderse para atender aquella petición y permitirles con ello adquirir conocimiento de lo necesario para cuestionar las razones que habrían de justificar la medida cautelar, antes de que se resolviera judicialmente sobre su situación personal.</w:t>
      </w:r>
    </w:p>
    <w:p w:rsidR="005728DD" w:rsidRDefault="005728DD" w:rsidP="005728DD">
      <w:pPr>
        <w:pStyle w:val="TextoNormal"/>
      </w:pPr>
    </w:p>
    <w:p w:rsidR="005728DD" w:rsidRDefault="005728DD" w:rsidP="005728DD">
      <w:pPr>
        <w:pStyle w:val="TextoNormal"/>
      </w:pPr>
      <w:r>
        <w:t xml:space="preserve">Esta vulneración cometida por el juzgado que actuaba en funciones de guardia, no fue reparada por la Sección de la Audiencia Provincial que conoció del recurso de apelación interpuesto contra el auto de prisión, desestimando este y el posterior incidente de nulidad, e insistiendo en que la información verbal dada por la titular del órgano </w:t>
      </w:r>
      <w:r w:rsidRPr="005728DD">
        <w:rPr>
          <w:i/>
        </w:rPr>
        <w:t>a quo</w:t>
      </w:r>
      <w:r>
        <w:t xml:space="preserve"> había sido suficiente.</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Conclusión y efectos de la estimación del recurso de amparo</w:t>
      </w:r>
      <w:r>
        <w:t>.</w:t>
      </w:r>
    </w:p>
    <w:p w:rsidR="005728DD" w:rsidRDefault="005728DD" w:rsidP="005728DD">
      <w:pPr>
        <w:pStyle w:val="TextoNormal"/>
      </w:pPr>
    </w:p>
    <w:p w:rsidR="005728DD" w:rsidRDefault="005728DD" w:rsidP="005728DD">
      <w:pPr>
        <w:pStyle w:val="TextoNormal"/>
      </w:pPr>
      <w:r>
        <w:t>Los razonamientos precedentes nos llevan a otorgar el amparo [art. 53 a) LOTC] por vulneración de los derechos de los demandantes previstos en los arts. 17.1 y 24.1 CE, porque no se pusieron de manifiesto las actuaciones esenciales del expediente para que pudieran oponerse a la medida de prisión interesada por el fiscal. Habiéndose apreciado este primer motivo, resulta innecesario entrar a examinar la otra queja planteada en la demanda, referida a la vulneración de la tutela judicial efectiva por haberse omitido en la notificación del auto de prisión una mínima referencia a los fundamentos fácticos y jurídicos.</w:t>
      </w:r>
    </w:p>
    <w:p w:rsidR="005728DD" w:rsidRDefault="005728DD" w:rsidP="005728DD">
      <w:pPr>
        <w:pStyle w:val="TextoNormal"/>
      </w:pPr>
    </w:p>
    <w:p w:rsidR="005728DD" w:rsidRDefault="005728DD" w:rsidP="005728DD">
      <w:pPr>
        <w:pStyle w:val="TextoNormal"/>
      </w:pPr>
      <w:r>
        <w:t>Resta determinar cuáles hayan de ser los efectos de la estimación de la demanda (art. 55.1 LOTC) pues tanto el demandante como el fiscal ante el Tribunal Constitucional interesan que se declare la nulidad de las resoluciones judiciales concernidas.</w:t>
      </w:r>
    </w:p>
    <w:p w:rsidR="005728DD" w:rsidRDefault="005728DD" w:rsidP="005728DD">
      <w:pPr>
        <w:pStyle w:val="TextoNormal"/>
      </w:pPr>
    </w:p>
    <w:p w:rsidR="005728DD" w:rsidRDefault="005728DD" w:rsidP="005728DD">
      <w:pPr>
        <w:pStyle w:val="TextoNormal"/>
      </w:pPr>
      <w:r>
        <w:t xml:space="preserve">Cabe destacar que la situación de indefensión se ciñe al hecho mismo de haberse impedido </w:t>
      </w:r>
      <w:r w:rsidRPr="005728DD">
        <w:rPr>
          <w:i/>
        </w:rPr>
        <w:t>a limine</w:t>
      </w:r>
      <w:r>
        <w:t xml:space="preserve"> todo contacto de los demandantes con el expediente procesal, de modo tal que pudieran adquirir conocimiento de lo que, obrando en las actuaciones, resultara esencial para poder impugnar su privación de libertad. No alcanza, en cambio, al contenido de los motivos que razona la resolución judicial para fundar la medida de prisión, en cuyo examen </w:t>
      </w:r>
      <w:r>
        <w:lastRenderedPageBreak/>
        <w:t>no entramos por ser ajeno al objeto de este proceso. El auto del juez instructor recurrido en este amparo debe ser, por tanto, anulado, no por defectos ínsitos a la propia resolución judicial que acuerda la prisión provisional, cuya solvencia argumentativa no se discute, sino como consecuencia de la lesión de las garantías inherentes al proceso que le precede. Dicha nulidad afecta también al auto por el que la audiencia provincial resolvió en apelación el recurso de los demandantes, confirmando la decisión anterior, así como al auto que inadmitió a trámite el incidente de nulidad de actuaciones.</w:t>
      </w:r>
    </w:p>
    <w:p w:rsidR="005728DD" w:rsidRDefault="005728DD" w:rsidP="005728DD">
      <w:pPr>
        <w:pStyle w:val="TextoNormal"/>
      </w:pPr>
    </w:p>
    <w:p w:rsidR="005728DD" w:rsidRDefault="005728DD" w:rsidP="005728DD">
      <w:pPr>
        <w:pStyle w:val="TextoNormal"/>
      </w:pPr>
      <w:r>
        <w:t>En todo caso, las consecuencias de la lesión deben entenderse superadas por acontecimientos procesales posteriores, de los que se ha dejado constancia en los antecedentes de esta resolución. Así, el acceso integral al expediente penal sobrevenido como consecuencia del alzamiento del secreto, junto con la puesta en libertad de los demandantes, determinan que el amparo que en este momento se otorga quede constreñido al reconocimiento de la vulneración de los indicados derechos fundamentales en el seno de la comparecencia del art. 505 LECrim. Alzado el secreto de las actuaciones y puestos en libertad los demandantes tras presentarse la demanda de amparo que examinamos, cabe entender ineficaz cualquier reparación que, más allá del reconocimiento formal de aquellos derechos, pudiera ahora reconocerse y ello, como subraya la jurisprudencia de este tribunal (por todas, la STC 167/2005, de 20 de junio) al no considerarse la pérdida sobrevenida de objeto, pues nuestro enjuiciamiento se concreta al momento temporal de formulación de la demanda de amparo, atendiendo a las circunstancias concurrentes en esa ocasión a efectos de dilucidar si existió vulneración de los derechos fundamentales invocados.</w:t>
      </w:r>
    </w:p>
    <w:p w:rsidR="005728DD" w:rsidRDefault="005728DD" w:rsidP="005728DD">
      <w:pPr>
        <w:pStyle w:val="TextoNormal"/>
      </w:pPr>
    </w:p>
    <w:p w:rsidR="005728DD" w:rsidRDefault="005728DD" w:rsidP="005728DD">
      <w:pPr>
        <w:pStyle w:val="TextoNormal"/>
      </w:pPr>
      <w:r>
        <w:t>De esta forma, el otorgamiento del amparo no tendrá más efectos en el proceso de instancia que los meramente declarativos. En supuestos similares (SSTC 83/2019, FJ 8; 94/2019, FJ 8; 95/2019, FJ 8, y 180/2020, FJ 10), este tribunal ha venido entendiendo que un pronunciamiento como el que nos ocupa constituye en sí mismo la reparación del derecho fundamental invocado, sin que su carácter declarativo le prive de su efecto reparador.</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en el recurso de amparo interpuesto por don Jesús Rocho Sosa y doña Josefa Rodríguez Sanabria, los siguientes pronunciamientos:</w:t>
      </w:r>
    </w:p>
    <w:p w:rsidR="005728DD" w:rsidRDefault="005728DD" w:rsidP="005728DD">
      <w:pPr>
        <w:pStyle w:val="TextoNormal"/>
      </w:pPr>
    </w:p>
    <w:p w:rsidR="005728DD" w:rsidRDefault="005728DD" w:rsidP="005728DD">
      <w:pPr>
        <w:pStyle w:val="TextoNormal"/>
      </w:pPr>
      <w:r>
        <w:t>Estimar el recurso de amparo en los términos fijados en el fundamento jurídico 6 de esta resolución y, en consecuencia:</w:t>
      </w:r>
    </w:p>
    <w:p w:rsidR="005728DD" w:rsidRDefault="005728DD" w:rsidP="005728DD">
      <w:pPr>
        <w:pStyle w:val="TextoNormal"/>
      </w:pPr>
    </w:p>
    <w:p w:rsidR="005728DD" w:rsidRDefault="005728DD" w:rsidP="005728DD">
      <w:pPr>
        <w:pStyle w:val="TextoNormal"/>
      </w:pPr>
      <w:r>
        <w:t>1º Declarar vulnerado el derecho de los demandantes a la libertad personal (art. 17.1 CE), en relación con el derecho a la tutela judicial efectiva sin indefensión (art. 24.1 CE).</w:t>
      </w:r>
    </w:p>
    <w:p w:rsidR="005728DD" w:rsidRDefault="005728DD" w:rsidP="005728DD">
      <w:pPr>
        <w:pStyle w:val="TextoNormal"/>
      </w:pPr>
    </w:p>
    <w:p w:rsidR="005728DD" w:rsidRDefault="005728DD" w:rsidP="005728DD">
      <w:pPr>
        <w:pStyle w:val="TextoNormal"/>
      </w:pPr>
      <w:r>
        <w:t>2º Restablecerles en sus derechos y, a tal fin, declarar la nulidad del auto de 16 de diciembre de 2018, por el que el Juzgado de Instrucción núm. 4 de Badajoz decretó la prisión provisional, comunicada y sin fianza de los demandantes, así como del auto de 11 de enero de 2019 por el que la Audiencia Provincial de Badajoz (Sección Primera) confirmó, en apelación, la medida cautelar privativa de libertad, y del auto de 1 de febrero de 2019 por el que se inadmitió a trámite el incidente de nulidad de actuaciones.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4" w:name="SENTENCIA_2021_81"/>
      <w:r>
        <w:lastRenderedPageBreak/>
        <w:t>SENTENCIA 81/2021, de 19 de abril de 2021</w:t>
      </w:r>
    </w:p>
    <w:bookmarkEnd w:id="84"/>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ECLI:ES:TC:2021:81</w:t>
      </w:r>
    </w:p>
    <w:p w:rsidR="005728DD" w:rsidRDefault="005728DD" w:rsidP="005728DD">
      <w:pPr>
        <w:pStyle w:val="TextoNormalCentrado"/>
      </w:pPr>
    </w:p>
    <w:p w:rsidR="005728DD" w:rsidRDefault="005728DD" w:rsidP="005728DD">
      <w:pPr>
        <w:pStyle w:val="SntesisDescriptiva"/>
      </w:pPr>
      <w:r>
        <w:t>Recurso de amparo 3826-2019. Promovido por doña A.R.G. y don M.F.J., en relación con las resoluciones de la dirección de un colegio público de Alicante y las sentencias del Tribunal Superior de Justicia de la Comunidad Valenciana y un juzgado de lo contencioso-administrativo de Alicante, que confirmaron su legalidad.</w:t>
      </w:r>
    </w:p>
    <w:p w:rsidR="005728DD" w:rsidRDefault="005728DD" w:rsidP="005728DD">
      <w:pPr>
        <w:pStyle w:val="SntesisDescriptiva"/>
      </w:pPr>
    </w:p>
    <w:p w:rsidR="005728DD" w:rsidRDefault="005728DD" w:rsidP="005728DD">
      <w:pPr>
        <w:pStyle w:val="SntesisAnaltica"/>
      </w:pPr>
      <w:r>
        <w:t>Supuesta vulneración de los derechos a la educación, igualdad y no discriminación, integridad física y moral y a no padecer indefensión: medida preventiva de suspensión de asistencia al centro escolar, en tanto se procedía a la emisión de un diagnóstico médico, adoptada con ponderación del interés superior del menor. Voto particular.</w:t>
      </w:r>
    </w:p>
    <w:p w:rsidR="005728DD" w:rsidRDefault="005728DD" w:rsidP="005728DD">
      <w:pPr>
        <w:pStyle w:val="SntesisAnaltica"/>
      </w:pPr>
    </w:p>
    <w:p w:rsidR="005728DD" w:rsidRDefault="005728DD" w:rsidP="005728DD">
      <w:pPr>
        <w:pStyle w:val="Extracto"/>
      </w:pPr>
      <w:r>
        <w:t>1.</w:t>
      </w:r>
      <w:r>
        <w:tab/>
        <w:t>La educación debe ser inclusiva, es decir se debe promover la escolarización de los menores en un centro de educación ordinaria, proporcionándoseles los apoyos necesarios para su integración en el sistema educativo si padecen algún tipo de discapacidad (STC 10/2014) [FJ 2].</w:t>
      </w:r>
    </w:p>
    <w:p w:rsidR="005728DD" w:rsidRDefault="005728DD" w:rsidP="005728DD">
      <w:pPr>
        <w:pStyle w:val="Extracto"/>
      </w:pPr>
    </w:p>
    <w:p w:rsidR="005728DD" w:rsidRDefault="005728DD" w:rsidP="005728DD">
      <w:pPr>
        <w:pStyle w:val="Extracto"/>
      </w:pPr>
      <w:r>
        <w:t>2.</w:t>
      </w:r>
      <w:r>
        <w:tab/>
        <w:t>El interés superior del menor es la consideración primordial a la que deben atender todas las medidas concernientes a los menores que tomen las instituciones públicas o privadas de bienestar social, los tribunales, las autoridades administrativas o los órganos legislativos, de conformidad con la Convención sobre los derechos del niño (SSTC 64/2019 y 178/2020) [FJ 3].</w:t>
      </w:r>
    </w:p>
    <w:p w:rsidR="005728DD" w:rsidRDefault="005728DD" w:rsidP="005728DD">
      <w:pPr>
        <w:pStyle w:val="Extracto"/>
      </w:pPr>
    </w:p>
    <w:p w:rsidR="005728DD" w:rsidRDefault="005728DD" w:rsidP="005728DD">
      <w:pPr>
        <w:pStyle w:val="Extracto"/>
      </w:pPr>
      <w:r>
        <w:t>3.</w:t>
      </w:r>
      <w:r>
        <w:tab/>
        <w:t>Es preciso que todos los poderes públicos cumplan el mandato dirigido a ellos en el art. 39 CE y atiendan de un modo preferente a la situación del menor de edad, observando y haciendo observar el estatuto del menor como norma de orden público. Para valorar qué es lo que resulta más beneficioso para el menor, ha de atenderse especialmente a las circunstancias concretas del caso, pues no hay dos supuestos iguales, ni puede establecerse un criterio apriorístico sobre cuál sea su mayor beneficio (STC 178/2020) [FJ 3].</w:t>
      </w:r>
    </w:p>
    <w:p w:rsidR="005728DD" w:rsidRDefault="005728DD" w:rsidP="005728DD">
      <w:pPr>
        <w:pStyle w:val="Extracto"/>
      </w:pPr>
    </w:p>
    <w:p w:rsidR="005728DD" w:rsidRDefault="005728DD" w:rsidP="005728DD">
      <w:pPr>
        <w:pStyle w:val="Extracto"/>
      </w:pPr>
      <w:r>
        <w:t>4.</w:t>
      </w:r>
      <w:r>
        <w:tab/>
        <w:t>Reproducción de consolidada doctrina constitucional sobre el derecho a la igualdad y a no sufrir discriminación (SSTC 22/1981 y 1/2021); y específicamente, respecto de la discriminación por enfermedad (STC 62/2008) [FJ 4].</w:t>
      </w:r>
    </w:p>
    <w:p w:rsidR="005728DD" w:rsidRDefault="005728DD" w:rsidP="005728DD">
      <w:pPr>
        <w:pStyle w:val="Extracto"/>
      </w:pPr>
    </w:p>
    <w:p w:rsidR="005728DD" w:rsidRDefault="005728DD" w:rsidP="005728DD">
      <w:pPr>
        <w:pStyle w:val="Extracto"/>
      </w:pPr>
      <w:r>
        <w:t>5.</w:t>
      </w:r>
      <w:r>
        <w:tab/>
        <w:t>Doctrina sobre la vulneración del derecho a la integridad física y moral del menor (art. 15 CE), en relación con la contención física aplicada al menor a fin de evitar que se haga daño a sí mismo o a su entorno (STC 116/2010) [FJ 4].</w:t>
      </w:r>
    </w:p>
    <w:p w:rsidR="005728DD" w:rsidRDefault="005728DD" w:rsidP="005728DD">
      <w:pPr>
        <w:pStyle w:val="Extracto"/>
      </w:pPr>
    </w:p>
    <w:p w:rsidR="005728DD" w:rsidRDefault="005728DD" w:rsidP="005728DD">
      <w:pPr>
        <w:pStyle w:val="Extracto"/>
      </w:pPr>
      <w:r>
        <w:t>6.</w:t>
      </w:r>
      <w:r>
        <w:tab/>
        <w:t xml:space="preserve">Acerca de la naturaleza preventiva de la medida aplicada al menor, se ha de buscar  de manera primordial garantizar su salud e integridad física. Si la medida no tiene carácter disciplinario ni sancionador, sino que se trata de una decisión </w:t>
      </w:r>
      <w:r w:rsidRPr="005728DD">
        <w:rPr>
          <w:i/>
        </w:rPr>
        <w:t xml:space="preserve">ad hoc </w:t>
      </w:r>
      <w:r>
        <w:t>guiada por el interés superior del menor, no cabe examinarla desde la perspectiva del art. 24.2 CE (SSTC 46/2014, 8/2017 y 165/2020), en el que se incardina el derecho a la presunción de inocencia [FJ 4].</w:t>
      </w:r>
    </w:p>
    <w:p w:rsidR="005728DD" w:rsidRDefault="005728DD" w:rsidP="005728DD">
      <w:pPr>
        <w:pStyle w:val="Extracto"/>
      </w:pPr>
    </w:p>
    <w:p w:rsidR="005728DD" w:rsidRDefault="005728DD" w:rsidP="005728DD">
      <w:pPr>
        <w:pStyle w:val="Extracto"/>
      </w:pPr>
      <w:r>
        <w:t>7.</w:t>
      </w:r>
      <w:r>
        <w:tab/>
        <w:t>Cuando una resolución judicial se cuestiona por no reparar la vulneración de derechos fundamentales sustantivos imputada a la Administración, el examen de las lesiones denunciadas lleva implícito el escrutinio de la razonabilidad de la motivación empleada por el órgano judicial, conforme a un canon reforzado y más exigente que el general del art. 24.1 CE (derecho a la tutela judicial efectiva); de tal suerte que los derechos sustantivos supuestamente vulnerados (como pudieran ser los derivados de los arts. 27, 14 y 15 CE) constituyen el parámetro único de constitucionalidad. Si se descarta la lesión de tales derechos sustantivos, la vulneración del art. 24.1 CE debe ser también desestimada (SSTC 2/2015 y 220/2016)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3826-2019, promovido por doña A.R.G. y don M.F.J. contra: i) la resolución de la directora del colegio público Costa Blanca de Alicante de 16 de febrero de 2017, sobre asistencia a clase del alumno e hijo de los recurrentes, el menor M.F.R.; ii) la sentencia del Juzgado de lo Contencioso-Administrativo núm. 3 de Alicante, de fecha 26 de diciembre de 2017 (procedimiento especial para la protección de los derechos fundamentales núm. 411-2017), que desestimó el recurso contencioso-administrativo interpuesto contra el acto administrativo anterior; iii) la sentencia de la Sección Cuarta de la Sala de lo Contencioso-Administrativo del Tribunal Superior de Justicia de la Comunidad Valenciana, de 10 de octubre de 2018 (recurso de apelación núm. 86-2018), que confirmó la mencionada sentencia del juzgado; y iv) la providencia de la Sección Primera de la Sala de lo Contencioso-Administrativo del Tribunal Supremo, de 16 de mayo de 2019, que inadmitió el recurso de casación (núm. 403-2019) interpuesto contra la última sentencia. Ha sido parte la abogada de la Generalitat Valenciana.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de este tribunal el día 19 de junio de 2019, la procuradora de los tribunales doña Irene Ortega Ruiz, en nombre y representación de doña A.R.G. y don M.F.J., asistidos por el letrado don Juan Rodríguez Zapatero, interpusieron un recurso de amparo contra las resoluciones indicadas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Los hechos relevantes para el examen de la presente demanda de amparo son los siguientes:</w:t>
      </w:r>
    </w:p>
    <w:p w:rsidR="005728DD" w:rsidRDefault="005728DD" w:rsidP="005728DD">
      <w:pPr>
        <w:pStyle w:val="TextoNormal"/>
      </w:pPr>
    </w:p>
    <w:p w:rsidR="005728DD" w:rsidRDefault="005728DD" w:rsidP="005728DD">
      <w:pPr>
        <w:pStyle w:val="TextoNormal"/>
      </w:pPr>
      <w:r>
        <w:t>a) El hijo de los recurrentes —M.F.R.— fue escolarizado a los tres años de edad en el ciclo de educación infantil del colegio público Costa Blanca de Alicante, dependiente de la Generalitat Valenciana. Durante el primer curso (2015/2016), el niño no presentó ningún problema de conducta, pero durante el curso 2016/2017 comenzó a exteriorizar una serie de comportamientos, que la demanda califica de “rabietas” y la administración educativa como conductas agresivas que ponen en riesgo la integridad del propio alumno, de sus compañeros de clase y de los profesores que lo atienden.</w:t>
      </w:r>
    </w:p>
    <w:p w:rsidR="005728DD" w:rsidRDefault="005728DD" w:rsidP="005728DD">
      <w:pPr>
        <w:pStyle w:val="TextoNormal"/>
      </w:pPr>
    </w:p>
    <w:p w:rsidR="005728DD" w:rsidRDefault="005728DD" w:rsidP="005728DD">
      <w:pPr>
        <w:pStyle w:val="TextoNormal"/>
      </w:pPr>
      <w:r>
        <w:t xml:space="preserve">b) Entre los informes que obran en el expediente administrativo del procedimiento especial para la protección de los derechos fundamentales núm. 411-2017, seguido ante el Juzgado de lo Contencioso-Administrativo núm. 3 de Alicante, consta el emitido el 2 de noviembre de 2016 (documento 1, págs. 74 y ss. del expediente) por la inspectora de educación responsable del centro Costa Blanca, según el cual M.F.R. “da patadas, escupe, se quita los zapatos y los calcetines, lanzándolos al aire” y “[e]stos episodios suelen durar más de treinta minutos y se producen a cualquier hora del día. Cada vez se producen con más frecuencia”. La inspectora describe las conductas como de “rabieta, angustia, agresión a compañeros, autolesión, rotura de materiales del aula”. Indica que “se tiene conocimiento de que el alumno tiene antecedentes de esquizofrenia en padre y tío”, afirmando que “a la espera del diagnóstico de un especialista, el centro ha indicado un protocolo de actuación que incluye </w:t>
      </w:r>
      <w:r w:rsidRPr="005728DD">
        <w:rPr>
          <w:i/>
        </w:rPr>
        <w:t>time-out</w:t>
      </w:r>
      <w:r>
        <w:t>, extinción, mediación, registro de los episodios disruptivos, etc.”.</w:t>
      </w:r>
    </w:p>
    <w:p w:rsidR="005728DD" w:rsidRDefault="005728DD" w:rsidP="005728DD">
      <w:pPr>
        <w:pStyle w:val="TextoNormal"/>
      </w:pPr>
    </w:p>
    <w:p w:rsidR="005728DD" w:rsidRDefault="005728DD" w:rsidP="005728DD">
      <w:pPr>
        <w:pStyle w:val="TextoNormal"/>
      </w:pPr>
      <w:r>
        <w:t>c) En el expediente figuran, igualmente, diversos informes elaborados sobre M.F.R. por el servicio psicopedagógico escolar A-1 de la Dirección Territorial de Alicante a lo largo del curso 2016/2017. En concreto, en el de fecha 15 de febrero de 2017 (documento 1, págs. 13 y ss. del expediente) puede leerse que: i) las reacciones se producen ante situaciones frustrantes relacionadas con el trato con el resto de niños, aunque últimamente, él provoca las situaciones, agrediendo a algún compañero, sin previo conflicto; ii) suelen comenzar con una actitud desafiante que va en aumento hasta llegar a la agresión a otros compañeros o golpear fuertemente las piernas contra el cristal del aula, romper materiales, etc.; iii) ante tales situaciones se aplica la contención física para evitar que el alumno se haga daño a sí mismo, a lo que éste reacciona mordiendo, golpeando la cabeza contra el adulto y dando patadas, pudiendo durar los episodios entre veinte y cincuenta minutos; iv) los episodios pueden repetirse dos y tres veces al día, hasta que finalmente hay que llamar al padre o a la madre para que vengan a buscarlo; v) los padres niegan que tales conductas se produzcan en el ámbito familiar; y vi) el niño tiene un hermano gemelo con trastorno del espectro autista, que inicialmente estuvo escolarizado en el centro Costa Blanca pero ahora lo está en un aula específica de otro centro escolar.</w:t>
      </w:r>
    </w:p>
    <w:p w:rsidR="005728DD" w:rsidRDefault="005728DD" w:rsidP="005728DD">
      <w:pPr>
        <w:pStyle w:val="TextoNormal"/>
      </w:pPr>
    </w:p>
    <w:p w:rsidR="005728DD" w:rsidRDefault="005728DD" w:rsidP="005728DD">
      <w:pPr>
        <w:pStyle w:val="TextoNormal"/>
      </w:pPr>
      <w:r>
        <w:t xml:space="preserve">El citado informe de 15 de febrero de 2017 refiere las medidas que se han tomado ante dicha situación: i) trabajo tutorial con el resto de compañeros de clase para que colaboren con M.F.R.; ii) reducción de su jornada escolar, retrasando el horario de entrada y permitiendo que coma en casa; iii) trabajo individualizado con un profesor de pedagogía terapéutica, que, en las primeras sesiones de la mañana, le anticipa de manera individualizada las </w:t>
      </w:r>
      <w:r>
        <w:lastRenderedPageBreak/>
        <w:t>actividades del día, lo que se repite después del recreo con el profesor especialista de audición y lenguaje (logopeda), y iv) asignación permanente de un segundo maestro para ayudar a supervisar su conducta en todo momento mientras M.F.R. está en el aula.</w:t>
      </w:r>
    </w:p>
    <w:p w:rsidR="005728DD" w:rsidRDefault="005728DD" w:rsidP="005728DD">
      <w:pPr>
        <w:pStyle w:val="TextoNormal"/>
      </w:pPr>
    </w:p>
    <w:p w:rsidR="005728DD" w:rsidRDefault="005728DD" w:rsidP="005728DD">
      <w:pPr>
        <w:pStyle w:val="TextoNormal"/>
      </w:pPr>
      <w:r>
        <w:t>Se reseña, asimismo, que la actitud de la maestra-tutora del grupo, la misma que tuvo en el curso anterior, está siendo de gran ayuda, dado que se ha mostrado muy colaboradora.</w:t>
      </w:r>
    </w:p>
    <w:p w:rsidR="005728DD" w:rsidRDefault="005728DD" w:rsidP="005728DD">
      <w:pPr>
        <w:pStyle w:val="TextoNormal"/>
      </w:pPr>
    </w:p>
    <w:p w:rsidR="005728DD" w:rsidRDefault="005728DD" w:rsidP="005728DD">
      <w:pPr>
        <w:pStyle w:val="TextoNormal"/>
      </w:pPr>
      <w:r>
        <w:t>El informe relata que, en los meses de enero y febrero de 2017, se han producido nuevos episodios “con el resultado de agresiones graves a la tutora y al maestro de audición y lenguaje, de las cuales hay parte de lesiones”, observándose que el factor desencadenante es “la interacción con los iguales” o “la exigencia en la realización de una determinada tarea”. Precisa que se ha emitido informe de derivación a psiquiatría infantil pero “no se emite diagnóstico y es derivado a terapia con psicólogo clínico”. Sin embargo, cuando, desde el centro escolar se mantiene conversación telefónica con la psicóloga clínica, se constata que esta no tiene conocimiento de que el alumno haya sido atendido previamente por un psiquiatra infantil.</w:t>
      </w:r>
    </w:p>
    <w:p w:rsidR="005728DD" w:rsidRDefault="005728DD" w:rsidP="005728DD">
      <w:pPr>
        <w:pStyle w:val="TextoNormal"/>
      </w:pPr>
    </w:p>
    <w:p w:rsidR="005728DD" w:rsidRDefault="005728DD" w:rsidP="005728DD">
      <w:pPr>
        <w:pStyle w:val="TextoNormal"/>
      </w:pPr>
      <w:r>
        <w:t>Reseña, asimismo, que el 14 de febrero de 2017 los responsables del centro escolar mantuvieron una reunión con la trabajadora social que realiza seguimiento del padre, “con el fin de profundizar en la posible problemática familiar”, y con la psicóloga clínica que atiende al menor, que refiere que en las sesiones “no presenta problemática”, pudiendo esto deberse a que no hay interacción con otros niños ni exigencia de tarea alguna. Añade que el niño “muestra poco contacto ocular y no se muestra especialmente cómodo con el contacto físico”.</w:t>
      </w:r>
    </w:p>
    <w:p w:rsidR="005728DD" w:rsidRDefault="005728DD" w:rsidP="005728DD">
      <w:pPr>
        <w:pStyle w:val="TextoNormal"/>
      </w:pPr>
    </w:p>
    <w:p w:rsidR="005728DD" w:rsidRDefault="005728DD" w:rsidP="005728DD">
      <w:pPr>
        <w:pStyle w:val="TextoNormal"/>
      </w:pPr>
      <w:r>
        <w:t>El servicio psicopedagógico concluye en el mencionado informe que, “ante la imposibilidad de llevar a cabo en el centro escolar otras medidas, que entrarían dentro de una terapia conductual de tipo clínico y más propio del ámbito sanitario y dado el grave riesgo que la agresividad de M.F.R. implica para su propia integridad y para el resto de compañeros, así como las graves repercusiones que están suponiendo para el profesorado que lo atiende, se requiere con urgencia: i) diagnóstico por parte de psiquiatría infantil, o servicio de neuropediatría, que clarifique si nos encontramos ante algún tipo de trastorno que explique el origen de la problemática conductual de M.F.R., así como la prescripción del correspondiente tratamiento, ya sea farmacológico, si procede, o de modificación de conducta, que permita la mejora de la misma, tanto por el bien del niño como por la normalización de su escolarización; ii) seguimiento del caso por los servicios sociales de la zona y de los profesionales médicos que atienden al alumno”.</w:t>
      </w:r>
    </w:p>
    <w:p w:rsidR="005728DD" w:rsidRDefault="005728DD" w:rsidP="005728DD">
      <w:pPr>
        <w:pStyle w:val="TextoNormal"/>
      </w:pPr>
    </w:p>
    <w:p w:rsidR="005728DD" w:rsidRDefault="005728DD" w:rsidP="005728DD">
      <w:pPr>
        <w:pStyle w:val="TextoNormal"/>
      </w:pPr>
      <w:r>
        <w:t>El informe incorpora como anexos (documento 1, págs. 42 a 73 del expediente administrativo) la detallada descripción, semana por semana, de la conducta de M.F.R. desde el comienzo del curso 2016/2017, especificando las consecuencias que tuvieron para él, sus compañeros y los profesores, las técnicas aplicadas para reconducirla y los resultados obtenidos. En la pág. 65 del expediente consta una reseña de hasta seis reuniones mantenidas en el centro para abordar el caso, varias de ellas con asistencia de los padres. Figuran, igualmente incorporados al expediente (págs. 78 y 81), dos partes de lesiones según los cuales dos profesores tuvieron que ser atendidos por mordeduras y arañazos.</w:t>
      </w:r>
    </w:p>
    <w:p w:rsidR="005728DD" w:rsidRDefault="005728DD" w:rsidP="005728DD">
      <w:pPr>
        <w:pStyle w:val="TextoNormal"/>
      </w:pPr>
    </w:p>
    <w:p w:rsidR="005728DD" w:rsidRDefault="005728DD" w:rsidP="005728DD">
      <w:pPr>
        <w:pStyle w:val="TextoNormal"/>
      </w:pPr>
      <w:r>
        <w:lastRenderedPageBreak/>
        <w:t>d) El día 16 de febrero de 2017, los demandantes recibieron un escrito firmado por la directora del centro, que es el acto impugnado en el recurso de amparo, en el que expone lo que sigue: i) el niño presenta conductas agresivas que ponen en riesgo su propia integridad, la de sus compañeros y los profesores que lo atienden; ii) se han tomado numerosas medidas (cambios en el horario, atención personalizada), que no han conseguido resultados positivos; iii) estudiado el caso se considera necesario contar con un diagnóstico facultativo, a ser posible de la Unidad de Salud Mental Infantil, sobre la causa que genera la agresividad de su conducta.</w:t>
      </w:r>
    </w:p>
    <w:p w:rsidR="005728DD" w:rsidRDefault="005728DD" w:rsidP="005728DD">
      <w:pPr>
        <w:pStyle w:val="TextoNormal"/>
      </w:pPr>
    </w:p>
    <w:p w:rsidR="005728DD" w:rsidRDefault="005728DD" w:rsidP="005728DD">
      <w:pPr>
        <w:pStyle w:val="TextoNormal"/>
      </w:pPr>
      <w:r>
        <w:t>El escrito comunica que “durante el tiempo que sea necesario para determinar el diagnóstico desde el ámbito facultativo y la indicación de su tratamiento, como medida preventiva, el alumno permanecerá en su domicilio y una vez iniciado el tratamiento se procederá a establecer el protocolo de actuación en el centro, mediante una escolarización progresiva del alumno hasta llegar a una completa integración del alumno en su clase o determinar otras posibles modalidades de escolarización. Por tanto, se considera necesario que la familia del citado alumno aporte a la dirección del centro diagnóstico médico de la situación del alumno y la propuesta de tratamiento adecuado por parte de la Unidad de Salud Mental Infantil”.</w:t>
      </w:r>
    </w:p>
    <w:p w:rsidR="005728DD" w:rsidRDefault="005728DD" w:rsidP="005728DD">
      <w:pPr>
        <w:pStyle w:val="TextoNormal"/>
      </w:pPr>
    </w:p>
    <w:p w:rsidR="005728DD" w:rsidRDefault="005728DD" w:rsidP="005728DD">
      <w:pPr>
        <w:pStyle w:val="TextoNormal"/>
      </w:pPr>
      <w:r>
        <w:t>Por último, añade que “durante el tiempo de permanencia en el domicilio, la familia del alumno podrá recibir del profesorado del centro cuanta información y recursos pedagógicos sean necesarios para continuar con la educación del mismo en el ámbito familiar”.</w:t>
      </w:r>
    </w:p>
    <w:p w:rsidR="005728DD" w:rsidRDefault="005728DD" w:rsidP="005728DD">
      <w:pPr>
        <w:pStyle w:val="TextoNormal"/>
      </w:pPr>
    </w:p>
    <w:p w:rsidR="005728DD" w:rsidRDefault="005728DD" w:rsidP="005728DD">
      <w:pPr>
        <w:pStyle w:val="TextoNormal"/>
      </w:pPr>
      <w:r>
        <w:t>e) El día 10 de marzo de 2017, los padres de M.F.R. presentaron una reclamación a la Consellería de Educación de la Generalitat Valenciana denunciando que la resolución de 16 de febrero anterior impedía al menor continuar en el centro educativo si no aportaban un diagnóstico médico sobre su salud mental. En ella solicitaban que: i) el menor fuera reintegrado al centro, dejando sin efecto lo acordado en la citada resolución de la directora; ii) se establecieran las medidas de apoyo educativo que, en su caso, requiriese el niño para evitar los problemas conductuales; iii) se abriese expediente disciplinario por las actuaciones de los responsables del centro educativo; iv) se garantizase el derecho a la educación inclusiva del menor, sin discriminación de ningún tipo y con los ajustes razonables que procedan en función de sus necesidades educativas individuales; y v) se declarase sin valor ni efecto alguno como evaluación psicopedagógica el informe emitido el 15 de febrero de 2017 por el servicio psicopedagógico escolar A-1 de la Dirección Territorial de Alicante.</w:t>
      </w:r>
    </w:p>
    <w:p w:rsidR="005728DD" w:rsidRDefault="005728DD" w:rsidP="005728DD">
      <w:pPr>
        <w:pStyle w:val="TextoNormal"/>
      </w:pPr>
    </w:p>
    <w:p w:rsidR="005728DD" w:rsidRDefault="005728DD" w:rsidP="005728DD">
      <w:pPr>
        <w:pStyle w:val="TextoNormal"/>
      </w:pPr>
      <w:r>
        <w:t>f) En el mes de marzo de 2017, los padres matricularon a M.F.R. en la Escuela Europea, en la que —informa la demanda— es profesora la madre. Según declaración judicial del tutor del menor en dicho centro privado, se han utilizado técnicas de modificación de conducta basadas en que el niño reconociera sus errores y obtuviera un premio. Se le recomendó hacer deporte, dado que es fuerte y atlético y, en la parte académica, se solicitó un apoyo especial. El mismo profesor precisó que se trataba de un niño normal de cuatro años pero que, “debido a su carácter y su fuerza, podía parecer que era más agresivo”. Teniendo en cuenta estos rasgos, han conseguido modificar su conducta y “hoy en día se le puede considerar como un alumno más”.</w:t>
      </w:r>
    </w:p>
    <w:p w:rsidR="005728DD" w:rsidRDefault="005728DD" w:rsidP="005728DD">
      <w:pPr>
        <w:pStyle w:val="TextoNormal"/>
      </w:pPr>
    </w:p>
    <w:p w:rsidR="005728DD" w:rsidRDefault="005728DD" w:rsidP="005728DD">
      <w:pPr>
        <w:pStyle w:val="TextoNormal"/>
      </w:pPr>
      <w:r>
        <w:t xml:space="preserve">g) El día 3 de mayo de 2017, los padres fueron convocados a una reunión en la sede de la inspección educativa territorial de Alicante para abordar el caso de su hijo, con asistencia </w:t>
      </w:r>
      <w:r>
        <w:lastRenderedPageBreak/>
        <w:t>del inspector-secretario de la inspección territorial, el inspector coordinador de la circunscripción, la inspectora responsable del centro Costa Blanca, la directora, las psicopedagogas autoras de los informes de seguimiento y una representante de la unidad de atención e intervención del plan de prevención de la violencia y de promoción de la convivencia (PREVI).</w:t>
      </w:r>
    </w:p>
    <w:p w:rsidR="005728DD" w:rsidRDefault="005728DD" w:rsidP="005728DD">
      <w:pPr>
        <w:pStyle w:val="TextoNormal"/>
      </w:pPr>
    </w:p>
    <w:p w:rsidR="005728DD" w:rsidRDefault="005728DD" w:rsidP="005728DD">
      <w:pPr>
        <w:pStyle w:val="TextoNormal"/>
      </w:pPr>
      <w:r>
        <w:t>La madre acudió a la reunión, pero manifestó que no tenía intención de participar en ella, mientras no recibiera respuesta a su reclamación de 10 de marzo anterior. A pregunta del inspector-coordinador, contestó que renunciaba a la mediación y abandonó la sala. Los representantes de la administración educativa firmaron un acta con un informe psicopedagógico anexo que recoge varias medidas a adoptar por parte del centro ante los “episodios de explosión de ira y de descontrol emocional que evidencia una carencia de autonomía personal [de M.F.R.] que le impide seguir con normalidad las dinámicas de la clase”: i) cambio de modalidad lingüística; ii) desdoble de curso-grupo; iii) incorporación progresiva semanalmente revisada; iv) solicitud de un educador de educación especial.</w:t>
      </w:r>
    </w:p>
    <w:p w:rsidR="005728DD" w:rsidRDefault="005728DD" w:rsidP="005728DD">
      <w:pPr>
        <w:pStyle w:val="TextoNormal"/>
      </w:pPr>
    </w:p>
    <w:p w:rsidR="005728DD" w:rsidRDefault="005728DD" w:rsidP="005728DD">
      <w:pPr>
        <w:pStyle w:val="TextoNormal"/>
      </w:pPr>
      <w:r>
        <w:t>Asimismo, en el acta se solicita a la familia el compromiso de entregar al centro educativo el informe facultativo de M.F.R. en el plazo de quince días, y formalizar con el centro educativo la declaración de compromiso familia-tutor, con mención explícita al “intercambio de información médica o social que pueda interferir en el proceso educativo, y que será tratada confidencialmente por ambas partes” (Decreto del Consell 30/2014, de 14 de febrero, sobre la información necesaria en el marco del compromiso familia-centro).</w:t>
      </w:r>
    </w:p>
    <w:p w:rsidR="005728DD" w:rsidRDefault="005728DD" w:rsidP="005728DD">
      <w:pPr>
        <w:pStyle w:val="TextoNormal"/>
      </w:pPr>
    </w:p>
    <w:p w:rsidR="005728DD" w:rsidRDefault="005728DD" w:rsidP="005728DD">
      <w:pPr>
        <w:pStyle w:val="TextoNormal"/>
      </w:pPr>
      <w:r>
        <w:t>h) El día 5 de mayo de 2017, el colegio Costa Blanca remitió al equipo municipal de servicios sociales una “notificación de posible situación de desprotección desde el ámbito educativo”, suscrita por la tutora de M.F.R. y la directora del centro, marcando los indicadores siguientes: “presenta cambios bruscos de humor”, “muestra agresividad física o verbal”, “parece generalmente ausente”, “muestra dificultades en cuestiones de autonomía” y “los padres han acudido a recogerlo en condiciones no adecuadas para su seguridad”. Tras indicar que, en reiteradas ocasiones, se ha solicitado a la familia un informe médico-psiquiátrico, se pide a los servicios sociales que insten a la familia para que aporte al centro la información médica solicitada.</w:t>
      </w:r>
    </w:p>
    <w:p w:rsidR="005728DD" w:rsidRDefault="005728DD" w:rsidP="005728DD">
      <w:pPr>
        <w:pStyle w:val="TextoNormal"/>
      </w:pPr>
    </w:p>
    <w:p w:rsidR="005728DD" w:rsidRDefault="005728DD" w:rsidP="005728DD">
      <w:pPr>
        <w:pStyle w:val="TextoNormal"/>
      </w:pPr>
      <w:r>
        <w:t>i) Asimismo, constan en el expediente administrativo los siguientes informes emitidos a requerimiento de la inspección general de educación de la Generalitat, en relación con la reclamación presentada por los padres de M.F.R. el 10 de marzo de 2017:</w:t>
      </w:r>
    </w:p>
    <w:p w:rsidR="005728DD" w:rsidRDefault="005728DD" w:rsidP="005728DD">
      <w:pPr>
        <w:pStyle w:val="TextoNormal"/>
      </w:pPr>
    </w:p>
    <w:p w:rsidR="005728DD" w:rsidRDefault="005728DD" w:rsidP="005728DD">
      <w:pPr>
        <w:pStyle w:val="TextoNormal"/>
      </w:pPr>
      <w:r>
        <w:t>- Informe de 5 de mayo de 2017, de la directora del centro escolar (documento 5, págs. 121 y ss. del expediente) en el que indica que: i) los padres fueron informados en todo momento y consintieron las técnicas de contención aplicadas al niño “para evitar la autolesión”; ii) “a partir de esa fecha [16 de febrero de 2017, en que se adoptó la resolución impugnada] la madre solicita la programación y recursos para continuar con la educación del niño en el ámbito familiar” y que “el centro ha proporcionado quincenalmente dicho material”; iii) en vista de la negativa de la madre a participar en la reunión de 3 de mayo, convocada para abordar la reincorporación de M.F.R., se acordó notificar a los servicios sociales la posible situación de desprotección del menor.</w:t>
      </w:r>
    </w:p>
    <w:p w:rsidR="005728DD" w:rsidRDefault="005728DD" w:rsidP="005728DD">
      <w:pPr>
        <w:pStyle w:val="TextoNormal"/>
      </w:pPr>
    </w:p>
    <w:p w:rsidR="005728DD" w:rsidRDefault="005728DD" w:rsidP="005728DD">
      <w:pPr>
        <w:pStyle w:val="TextoNormal"/>
      </w:pPr>
      <w:r>
        <w:lastRenderedPageBreak/>
        <w:t>- Informe de 16 de mayo de 2017, de la inspectora de educación responsable del centro Costa Blanca (documento 2, págs. 22 y ss. del expediente), en el que manifiesta lo siguiente: i) ante los problemas conductuales del niño se ha venido recortando su jornada escolar “con carácter preventivo y por el bien del menor y de sus compañeros”, porque en los episodios que sufre “muerde a otros compañeros y se golpea la cabeza”; ii) la familia ha denegado al centro escolar información esencial que permita explicar adecuadamente la problemática conductual de M.F.R.; iii) se le ha privado de asistir a una excursión “dada la peligrosidad exponencial de realizarse fuera del recinto escolar”; iv) la situación se ha hecho insostenible pese a que el centro “ha volcado todos sus recursos”; v) cuando se expuso la situación a la madre, esta quedó pendiente de consultar con expertos qué es lo mejor para su hijo, pero el centro no recibió información alguna. Y concluye que “se trata de un caso extremo de no colaboración” y que, tras la férrea oposición de la madre a participar en la reunión del 3 de mayo de 2017, se evidencia que ha quedado agotada la vía del diálogo, por lo que el centro ha comunicado a los servicios sociales la situación de riesgo y desamparo en que podría hallarse el menor.</w:t>
      </w:r>
    </w:p>
    <w:p w:rsidR="005728DD" w:rsidRDefault="005728DD" w:rsidP="005728DD">
      <w:pPr>
        <w:pStyle w:val="TextoNormal"/>
      </w:pPr>
    </w:p>
    <w:p w:rsidR="005728DD" w:rsidRDefault="005728DD" w:rsidP="005728DD">
      <w:pPr>
        <w:pStyle w:val="TextoNormal"/>
      </w:pPr>
      <w:r>
        <w:t>- Informe de 20 de julio de 2017, de la unidad de atención e intervención del Plan de prevención de la violencia y de promoción de la convivencia (PREVI), suscrito por dos inspectoras de educación. En el mismo se recoge que: i) la unidad asesoró en la redacción de la resolución impugnada, solicitando la intervención y tratamiento del alumno desde salud mental, para su protección y la de sus compañeros y adultos que le rodean, “dada la peligrosidad de las conductas”; ii) se propuso la coordinación con la trabajadora social de la Federación alicantina de enfermos mentales, donde el padre es atendido por esquizofrenia; iii) la reunión de 3 de mayo se planteó para “convencer a la madre de la necesaria atención por parte de la unidad de salud mental”, para “lograr una incorporación del alumno rápida y eficaz”; y iv) se puso en marcha el protocolo frente a conductas que alteran gravemente la convivencia, adoptando como medida cautelar la “separación del entorno escolar cuando se detectó desde el centro el aumento de la frecuencia en la aparición de conductas de riesgo para la seguridad del niño y de sus compañeros/as”.</w:t>
      </w:r>
    </w:p>
    <w:p w:rsidR="005728DD" w:rsidRDefault="005728DD" w:rsidP="005728DD">
      <w:pPr>
        <w:pStyle w:val="TextoNormal"/>
      </w:pPr>
    </w:p>
    <w:p w:rsidR="005728DD" w:rsidRDefault="005728DD" w:rsidP="005728DD">
      <w:pPr>
        <w:pStyle w:val="TextoNormal"/>
      </w:pPr>
      <w:r>
        <w:t>j) El día 21 de junio de 2017, los padres de M.F.R. interpusieron un recurso contencioso-administrativo, por el procedimiento especial para la protección de los derechos fundamentales, en el que impugnaron la denegación presunta de las medidas solicitadas en el escrito dirigido a la Consellería de Educación de la Generalitat Valenciana, el 10 de marzo de 2017, en relación con el escrito de la directora del centro escolar de 16 de febrero anterior.</w:t>
      </w:r>
    </w:p>
    <w:p w:rsidR="005728DD" w:rsidRDefault="005728DD" w:rsidP="005728DD">
      <w:pPr>
        <w:pStyle w:val="TextoNormal"/>
      </w:pPr>
    </w:p>
    <w:p w:rsidR="005728DD" w:rsidRDefault="005728DD" w:rsidP="005728DD">
      <w:pPr>
        <w:pStyle w:val="TextoNormal"/>
      </w:pPr>
      <w:r>
        <w:t>En la demanda solicitaban que i) se declarara que, tanto la actuación del centro Costa Blanca, como la de la Consellería de Educación, habían vulnerado los derechos fundamentales a la educación, la igualdad, la integridad física y moral y a la presunción de inocencia y tutela judicial efectiva del menor M.F.R.; ii) se anulara la resolución de la directora de 16 de febrero de 2017, los informes psicopedagógicos emitidos por la administración educativa, así como el expediente de servicios sociales; iii) se abriera expediente disciplinario a los responsables de las actuaciones denunciadas; y iv) se condenara a la administración a indemnizar los daños materiales y morales producidos.</w:t>
      </w:r>
    </w:p>
    <w:p w:rsidR="005728DD" w:rsidRDefault="005728DD" w:rsidP="005728DD">
      <w:pPr>
        <w:pStyle w:val="TextoNormal"/>
      </w:pPr>
    </w:p>
    <w:p w:rsidR="005728DD" w:rsidRDefault="005728DD" w:rsidP="005728DD">
      <w:pPr>
        <w:pStyle w:val="TextoNormal"/>
      </w:pPr>
      <w:r>
        <w:t>A la demanda se acompañaba el informe de una psicóloga de la Fundación Gerard, especializada en educación inclusiva. En él se sostiene que i) los antecedentes familiares ali</w:t>
      </w:r>
      <w:r>
        <w:lastRenderedPageBreak/>
        <w:t>mentaron la creencia de que el niño padecía un trastorno psiquiátrico heredado, lo que desencadenó un conjunto de actuaciones desproporcionadas, innecesarias, tendenciosas y negligentes, que desembocaron en su expulsión del centro escolar, condicionando su retorno a la aportación de un diagnóstico psiquiátrico y un tratamiento; ii) se trató al niño como si tuviera una psicosis y se adiestró a sus iguales para que se relacionaran con él a partir del estigma patológico; iii) se emitieron informes psicopedagógicos innecesarios e injustificados, con una intervención conductual deficiente, abuso de los castigos y la contención física y una praxis negligente; iv) se notificó a los servicios sociales una posible situación de riesgo, cuando la familia siempre ha colaborado; v) la expulsión del menor vulneró su derecho a la educación e incumplió el procedimiento legalmente establecido, causando indefensión; y vi) habrá que valorar las secuelas de estos hechos en el desarrollo de la personalidad del niño, ya que pueden ser el germen de trastornos futuros.</w:t>
      </w:r>
    </w:p>
    <w:p w:rsidR="005728DD" w:rsidRDefault="005728DD" w:rsidP="005728DD">
      <w:pPr>
        <w:pStyle w:val="TextoNormal"/>
      </w:pPr>
    </w:p>
    <w:p w:rsidR="005728DD" w:rsidRDefault="005728DD" w:rsidP="005728DD">
      <w:pPr>
        <w:pStyle w:val="TextoNormal"/>
      </w:pPr>
      <w:r>
        <w:t>El recurso fue desestimado por sentencia del Juzgado de lo Contencioso-Administrativo núm. 3 de Alicante, de 26 de diciembre de 2017. Afirma que la demanda parte de que el menor fue expulsado, lo que no se corresponde con la realidad. En la resolución de 16 de febrero de 2017 se indicó a los padres que se suspendía la asistencia a clase de M.F.R. por poner “en grave riesgo tanto su propia integridad física como la de sus compañeros de clase y el propio profesorado del centro”. Así resulta de la “situación absolutamente insostenible provocada por el comportamiento del propio menor y la absoluta falta de colaboración de sus padres […]. Estamos, por tanto, ante un menor con una conducta marcadamente asocial, que no es asumida por sus padres, es más, absolutamente negada por los mismos y cuyas consecuencias se pretenden imputar al sistema educativo público” (fundamento tercero).</w:t>
      </w:r>
    </w:p>
    <w:p w:rsidR="005728DD" w:rsidRDefault="005728DD" w:rsidP="005728DD">
      <w:pPr>
        <w:pStyle w:val="TextoNormal"/>
      </w:pPr>
    </w:p>
    <w:p w:rsidR="005728DD" w:rsidRDefault="005728DD" w:rsidP="005728DD">
      <w:pPr>
        <w:pStyle w:val="TextoNormal"/>
      </w:pPr>
      <w:r>
        <w:t>La sentencia argumenta que la medida adoptada por el centro escolar no es disciplinaria, lo que requeriría un grado de intencionalidad que no existe en este caso. No estamos ante un niño que tuviera “rabietas infantiles”, sino que claramente presentaba síntomas de poder tener problemas mentales, lo que hace exigible la colaboración de la familia, que no puede desentenderse del problema y desviarlo al centro escolar. Invoca los apartados 5 y 7 del art. 27 CE, que aluden a dicha participación de los padres en la educación de sus hijos y los arts. 5.2 b) y 7.3 del Decreto 30/2014, de 14 de febrero, del Consell, antes citado. Los padres de M.F.R. se negaron a suscribir dicho compromiso, lo que demuestra su falta de colaboración (fundamento tercero).</w:t>
      </w:r>
    </w:p>
    <w:p w:rsidR="005728DD" w:rsidRDefault="005728DD" w:rsidP="005728DD">
      <w:pPr>
        <w:pStyle w:val="TextoNormal"/>
      </w:pPr>
    </w:p>
    <w:p w:rsidR="005728DD" w:rsidRDefault="005728DD" w:rsidP="005728DD">
      <w:pPr>
        <w:pStyle w:val="TextoNormal"/>
      </w:pPr>
      <w:r>
        <w:t>El centro se vio obligado a poner en marcha un calendario de actuaciones para hacer frente a la situación creada, con lesiones a profesores, que necesitaron incluso de asistencia médica. Lo cual hacía necesario contar con una valoración del menor por un especialista médico cualificado. El juzgado asume como propias las conclusiones de la inspección educativa. Por último, considera que la reacción de los padres de cambiar al menor de centro educativo confirma su falta de colaboración con el sistema educativo público.</w:t>
      </w:r>
    </w:p>
    <w:p w:rsidR="005728DD" w:rsidRDefault="005728DD" w:rsidP="005728DD">
      <w:pPr>
        <w:pStyle w:val="TextoNormal"/>
      </w:pPr>
    </w:p>
    <w:p w:rsidR="005728DD" w:rsidRDefault="005728DD" w:rsidP="005728DD">
      <w:pPr>
        <w:pStyle w:val="TextoNormal"/>
      </w:pPr>
      <w:r>
        <w:t xml:space="preserve">La sentencia del juzgado resume las manifestaciones realizadas por los testigos en la fase de prueba en las que apoya las conclusiones anteriores. Respecto del tutor del niño en la Escuela Europea, aclara que manifestó, en presencia judicial, que su única información era la recibida de la madre del menor. En cuanto al dictamen de la psicóloga de la Fundación Gerard, señala que excede notoriamente del objeto de un dictamen pericial, ya que entra a valorar cuestiones jurídicas que no son competencia de quien emite el dictamen. En suma, </w:t>
      </w:r>
      <w:r>
        <w:lastRenderedPageBreak/>
        <w:t>el juzgado no les otorga credibilidad y desestima íntegramente la demanda (fundamento cuarto).</w:t>
      </w:r>
    </w:p>
    <w:p w:rsidR="005728DD" w:rsidRDefault="005728DD" w:rsidP="005728DD">
      <w:pPr>
        <w:pStyle w:val="TextoNormal"/>
      </w:pPr>
    </w:p>
    <w:p w:rsidR="005728DD" w:rsidRDefault="005728DD" w:rsidP="005728DD">
      <w:pPr>
        <w:pStyle w:val="TextoNormal"/>
      </w:pPr>
      <w:r>
        <w:t>k) Contra la anterior sentencia los padres del menor interpusieron recurso de apelación, que fue desestimado por la sentencia de la Sección Cuarta de la Sala de lo Contencioso-Administrativo del Tribunal Superior de Justicia de la Comunidad Valenciana de 10 de octubre de 2018. En ella se recuerda que, si bien la vía de apelación permite una reconsideración integral del tema debatido, tanto en el plano fáctico como jurídico, en este caso debe darse prevalencia a la apreciación de la prueba realizada en la instancia.</w:t>
      </w:r>
    </w:p>
    <w:p w:rsidR="005728DD" w:rsidRDefault="005728DD" w:rsidP="005728DD">
      <w:pPr>
        <w:pStyle w:val="TextoNormal"/>
      </w:pPr>
    </w:p>
    <w:p w:rsidR="005728DD" w:rsidRDefault="005728DD" w:rsidP="005728DD">
      <w:pPr>
        <w:pStyle w:val="TextoNormal"/>
      </w:pPr>
      <w:r>
        <w:t>La Sala destaca que el recurso de los padres se centra en una valoración de la prueba, alternativa a la realizada por el juzgado. Ahora bien, no aprecia que el órgano judicial de instancia haya incurrido en ningún error ni contradicción en el enjuiciamiento de la prueba. A partir del relato de hechos de la sentencia de instancia, califica la medida enjuiciada como preventiva, dirigida a evitar que persistiera el riesgo y “del todo adecuada y proporcionada con la situación creada”.</w:t>
      </w:r>
    </w:p>
    <w:p w:rsidR="005728DD" w:rsidRDefault="005728DD" w:rsidP="005728DD">
      <w:pPr>
        <w:pStyle w:val="TextoNormal"/>
      </w:pPr>
    </w:p>
    <w:p w:rsidR="005728DD" w:rsidRDefault="005728DD" w:rsidP="005728DD">
      <w:pPr>
        <w:pStyle w:val="TextoNormal"/>
      </w:pPr>
      <w:r>
        <w:t>l) Los ahora demandantes prepararon un recurso de casación, que fue inadmitido a trámite por providencia de la Sección Primera de la Sala de lo Contencioso-Administrativo del Tribunal Supremo de 16 de mayo de 2019, que entendió que el asunto carecía de interés casacional objetivo. A continuación, interpusieron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El recurso de amparo se dirige contra la resolución de la directora del colegio público Costa Blanca de Alicante de 16 de febrero de 2017 y las resoluciones que la han confirmado en la vía judicial.</w:t>
      </w:r>
    </w:p>
    <w:p w:rsidR="005728DD" w:rsidRDefault="005728DD" w:rsidP="005728DD">
      <w:pPr>
        <w:pStyle w:val="TextoNormal"/>
      </w:pPr>
    </w:p>
    <w:p w:rsidR="005728DD" w:rsidRDefault="005728DD" w:rsidP="005728DD">
      <w:pPr>
        <w:pStyle w:val="TextoNormal"/>
      </w:pPr>
      <w:r>
        <w:t>a) La demanda comienza precisando que, desde el momento en que empezaron las “rabietas” de M.F.R. (aclara que así las denominan los informes de la propia administración educativa), diversos documentos del centro escolar aluden a los antecedentes psiquiátricos de familiares directos del menor y que, con base en esta creencia o prejuicio, el centro educativo ha enfocado la respuesta a los comportamientos de M.F.R. desde un punto de vista psiquiátrico o mental, lo que ha viciado toda la actuación administrativa.</w:t>
      </w:r>
    </w:p>
    <w:p w:rsidR="005728DD" w:rsidRDefault="005728DD" w:rsidP="005728DD">
      <w:pPr>
        <w:pStyle w:val="TextoNormal"/>
      </w:pPr>
    </w:p>
    <w:p w:rsidR="005728DD" w:rsidRDefault="005728DD" w:rsidP="005728DD">
      <w:pPr>
        <w:pStyle w:val="TextoNormal"/>
      </w:pPr>
      <w:r>
        <w:t>M.F.R. no tiene ninguna discapacidad ni diversidad funcional ni, por ello, necesidades educativas especiales. No hay ningún informe en el expediente escolar —alega— que constate discapacidad intelectual o cognitiva alguna. Siguiendo las instrucciones del centro, los padres llevaron al menor a una consulta de psiquiatría infantil y en ella no se constató ninguna patología mental. Desde dicha consulta se le remitió a una psicóloga clínica para tratar los problemas de conducta. Comunicaron a los responsables del centro escolar los datos del psiquiatra para que se pusieran en contacto con él, lo que demuestra que colaboraron. Asimismo, autorizaron el uso de medidas de contención, que incluían reducirlo mediante bloqueos en los que el adulto llegaba a ponerse encima del niño. También, asistieron a las reuniones a las que fueron convocados por el colegio.</w:t>
      </w:r>
    </w:p>
    <w:p w:rsidR="005728DD" w:rsidRDefault="005728DD" w:rsidP="005728DD">
      <w:pPr>
        <w:pStyle w:val="TextoNormal"/>
      </w:pPr>
    </w:p>
    <w:p w:rsidR="005728DD" w:rsidRDefault="005728DD" w:rsidP="005728DD">
      <w:pPr>
        <w:pStyle w:val="TextoNormal"/>
      </w:pPr>
      <w:r>
        <w:t xml:space="preserve">En resumen, M.F.R.: i) no tenía ninguna patología; ii) fue objeto de malos tratos, físicos y morales, con contenciones físicas injustificadas, que tenían su origen en una inadecuada y errónea atención educativa; iii) fue expulsado del centro Costa Blanca, aunque se haya presentado como una medida preventiva; y iv) lo anterior se ha hecho sin procedimiento, </w:t>
      </w:r>
      <w:r>
        <w:lastRenderedPageBreak/>
        <w:t>audiencia ni expediente alguno, mediante una comunicación de la directora del centro educativo que, además, condicionó su vuelta a que la familia aportase un diagnóstico médico de la Unidad de Salud Mental Infantil.</w:t>
      </w:r>
    </w:p>
    <w:p w:rsidR="005728DD" w:rsidRDefault="005728DD" w:rsidP="005728DD">
      <w:pPr>
        <w:pStyle w:val="TextoNormal"/>
      </w:pPr>
    </w:p>
    <w:p w:rsidR="005728DD" w:rsidRDefault="005728DD" w:rsidP="005728DD">
      <w:pPr>
        <w:pStyle w:val="TextoNormal"/>
      </w:pPr>
      <w:r>
        <w:t>b) La resolución de la directora del colegio Costa Blanca de 16 de febrero de 2017 ha vulnerado el derecho a la educación (art. 27 CE), a la igualdad (art. 14 CE), a la presunción de inocencia, a la tutela judicial efectiva (art. 24 CE) y a la integridad física y moral (art. 15 CE) de M.F.R.. Las lesiones se imputan a la actuación administrativa, achacándose a las resoluciones judiciales únicamente el no haberlas reparado.</w:t>
      </w:r>
    </w:p>
    <w:p w:rsidR="005728DD" w:rsidRDefault="005728DD" w:rsidP="005728DD">
      <w:pPr>
        <w:pStyle w:val="TextoNormal"/>
      </w:pPr>
    </w:p>
    <w:p w:rsidR="005728DD" w:rsidRDefault="005728DD" w:rsidP="005728DD">
      <w:pPr>
        <w:pStyle w:val="TextoNormal"/>
      </w:pPr>
      <w:r>
        <w:t>c) El derecho a la educación del art. 27 CE se ha conculcado mediante: i) prácticas de discriminación con respecto al resto de alumnos; ii) empleo inadecuado y desproporcionado de la contención física; iii) categorización de M.F.R. como si tuviera una enfermedad mental y actuación educativa bajo esa óptica; y iv) empleo de medios atentatorios a la dignidad, personal y moral del propio menor.</w:t>
      </w:r>
    </w:p>
    <w:p w:rsidR="005728DD" w:rsidRDefault="005728DD" w:rsidP="005728DD">
      <w:pPr>
        <w:pStyle w:val="TextoNormal"/>
      </w:pPr>
    </w:p>
    <w:p w:rsidR="005728DD" w:rsidRDefault="005728DD" w:rsidP="005728DD">
      <w:pPr>
        <w:pStyle w:val="TextoNormal"/>
      </w:pPr>
      <w:r>
        <w:t>Se aduce la infracción de la Ley Orgánica 2/2006, de 3 de mayo, de educación (en adelante, LOE), que prescribe, entre los fines del sistema educativo, el libre desarrollo de la personalidad y de las capacidades de los alumnos [art. 2.1 a)], así como la igualdad de oportunidades y la inclusión educativa [art. 2.1 b)]. También, se han vulnerado los arts. 28 y 29 de la Convención sobre derechos del niño, que recogen los anteriores principios.</w:t>
      </w:r>
    </w:p>
    <w:p w:rsidR="005728DD" w:rsidRDefault="005728DD" w:rsidP="005728DD">
      <w:pPr>
        <w:pStyle w:val="TextoNormal"/>
      </w:pPr>
    </w:p>
    <w:p w:rsidR="005728DD" w:rsidRDefault="005728DD" w:rsidP="005728DD">
      <w:pPr>
        <w:pStyle w:val="TextoNormal"/>
      </w:pPr>
      <w:r>
        <w:t>El derecho a la educación alcanza a todas las etapas educativas y M.F.R. fue privado de la permanencia en el centro en que estaba escolarizado mediante una resolución de la directora que no puede ser cautelar, porque en todo caso tendría que haberse abierto el correspondiente expediente. Además, no se basa en ninguna infracción de la normativa aplicable. Se justifica la expulsión del centro educativo sobre la base de hacer un diagnóstico médico de salud mental, de modo que el regreso se condicionaba al cumplimiento de obligaciones no justificadas, externas al sistema educativo.</w:t>
      </w:r>
    </w:p>
    <w:p w:rsidR="005728DD" w:rsidRDefault="005728DD" w:rsidP="005728DD">
      <w:pPr>
        <w:pStyle w:val="TextoNormal"/>
      </w:pPr>
    </w:p>
    <w:p w:rsidR="005728DD" w:rsidRDefault="005728DD" w:rsidP="005728DD">
      <w:pPr>
        <w:pStyle w:val="TextoNormal"/>
      </w:pPr>
      <w:r>
        <w:t>d) Asimismo, M.F.R. sufrió discriminación. Se le trataba como si tuviese una enfermedad mental o psiquiátrica y se decía que el niño tenía “brotes”. No iba a las excursiones como los demás niños. Se le sacaba del grupo y de su clase durante dos horas al día y sin comunicarlo a los padres por escrito, solo verbalmente.</w:t>
      </w:r>
    </w:p>
    <w:p w:rsidR="005728DD" w:rsidRDefault="005728DD" w:rsidP="005728DD">
      <w:pPr>
        <w:pStyle w:val="TextoNormal"/>
      </w:pPr>
    </w:p>
    <w:p w:rsidR="005728DD" w:rsidRDefault="005728DD" w:rsidP="005728DD">
      <w:pPr>
        <w:pStyle w:val="TextoNormal"/>
      </w:pPr>
      <w:r>
        <w:t>Como acredita el informe de la psicóloga de la Fundación Gerard aportado al proceso judicial, ha habido una mala orientación educativa con M.F.R. Se ha utilizado la contención física con un niño de cuatro años, lo que agravó su reacción. No se adaptaron las técnicas y los métodos educativos a su edad. Y toda esa situación se produjo en el curso escolar 2016/2017, cuando en el curso 2015/2016 no había tenido ningún problema.</w:t>
      </w:r>
    </w:p>
    <w:p w:rsidR="005728DD" w:rsidRDefault="005728DD" w:rsidP="005728DD">
      <w:pPr>
        <w:pStyle w:val="TextoNormal"/>
      </w:pPr>
    </w:p>
    <w:p w:rsidR="005728DD" w:rsidRDefault="005728DD" w:rsidP="005728DD">
      <w:pPr>
        <w:pStyle w:val="TextoNormal"/>
      </w:pPr>
      <w:r>
        <w:t>Desde marzo de 2017, el menor fue escolarizado en la Escuela Europea, donde se adaptó bien y desaparecieron todos los problemas de conducta. Lo acredita plenamente el profesor que le atendió en dicho centro educativo. Sin embargo, las sentencias dictadas ignoraron por completo el valor probatorio de este testimonio determinante, que demuestra que los problemas conductuales del menor se debieron a una estrategia educativa inadecuada.</w:t>
      </w:r>
    </w:p>
    <w:p w:rsidR="005728DD" w:rsidRDefault="005728DD" w:rsidP="005728DD">
      <w:pPr>
        <w:pStyle w:val="TextoNormal"/>
      </w:pPr>
    </w:p>
    <w:p w:rsidR="005728DD" w:rsidRDefault="005728DD" w:rsidP="005728DD">
      <w:pPr>
        <w:pStyle w:val="TextoNormal"/>
      </w:pPr>
      <w:r>
        <w:lastRenderedPageBreak/>
        <w:t>e) Privar de la asistencia al centro educativo y, por tanto, de la escolarización a un menor, a través de una comunicación de la directora del centro, sin expediente disciplinario alguno y sin ni siquiera haber oído al menor, constituye una vulneración, tanto del derecho fundamental a la tutela judicial efectiva, como de la presunción de inocencia y la prohibición de indefensión.</w:t>
      </w:r>
    </w:p>
    <w:p w:rsidR="005728DD" w:rsidRDefault="005728DD" w:rsidP="005728DD">
      <w:pPr>
        <w:pStyle w:val="TextoNormal"/>
      </w:pPr>
    </w:p>
    <w:p w:rsidR="005728DD" w:rsidRDefault="005728DD" w:rsidP="005728DD">
      <w:pPr>
        <w:pStyle w:val="TextoNormal"/>
      </w:pPr>
      <w:r>
        <w:t>f) M.F.R. fue objeto de malos tratos físicos y morales, lo que vulnera el art. 15 CE. Así lo confirma la lectura del expediente administrativo, que describe la técnica de contención física que le aplicaron los responsables del centro. La demanda transcribe el testimonio de la directora en el proceso judicial, así como la valoración de la psicóloga de la Fundación Gerard, según la cual “las contenciones físicas tampoco son recomendables a esa edad tan temprana, ni en la frecuencia que se han aplicado, ni con la intensidad que reflejan los registros, llegándose a hacer entre varias personas y en el suelo, pues en esa forma, constituyen un maltrato para un niño de cuatro años”.</w:t>
      </w:r>
    </w:p>
    <w:p w:rsidR="005728DD" w:rsidRDefault="005728DD" w:rsidP="005728DD">
      <w:pPr>
        <w:pStyle w:val="TextoNormal"/>
      </w:pPr>
    </w:p>
    <w:p w:rsidR="005728DD" w:rsidRDefault="005728DD" w:rsidP="005728DD">
      <w:pPr>
        <w:pStyle w:val="TextoNormal"/>
      </w:pPr>
      <w:r>
        <w:t>La demanda concluye solicitando al Tribunal que otorgue el amparo y: i) anule la resolución administrativa, declarando que vulneró los derechos de los arts. 27, 14, 15 y 24 CE; ii) anule las sentencias judiciales que la han confirmado, por no haber reparado las lesiones producidas; y iii) reconozca el derecho de los demandantes a ser indemnizados por los daños morales y materiales sufridos.</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29 de junio de 2020, la Sección Cuarta de este tribunal acordó admitir a trámite el recurso de amparo apreciando que en el mismo concurre una especial trascendencia constitucional (art. 50.1 LOTC), “porque el recurso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En la misma providencia se ordenaba enviar atenta comunicación a la Sección Primera de la Sala de lo Contencioso-Administrativo del Tribunal Supremo, a la Sección Cuarta de la Sala de lo Contencioso-Administrativo del Tribunal Superior de Justicia de la Comunidad Valenciana y al Juzgado de lo Contencioso-Administrativo núm. 3 de Alicante para que remitieran certificación o copia adverada de las actuaciones correspondientes a los procedimientos judiciales respectivos (procedimiento especial para la protección de los derechos fundamentales 411-2017; recurso de apelación 86-2018; y recurso de casación núm. 403-2019). Igualmente, se acordó que el juzgado emplazara a quienes hubieran sido parte en el procedimiento, excepto la parte recurrente en amparo, para que, en el plazo de diez días, pudieran comparecer.</w:t>
      </w:r>
    </w:p>
    <w:p w:rsidR="005728DD" w:rsidRDefault="005728DD" w:rsidP="005728DD">
      <w:pPr>
        <w:pStyle w:val="TextoNormal"/>
      </w:pPr>
    </w:p>
    <w:p w:rsidR="005728DD" w:rsidRDefault="005728DD" w:rsidP="005728DD">
      <w:pPr>
        <w:pStyle w:val="TextoNormal"/>
      </w:pPr>
      <w:r w:rsidRPr="005728DD">
        <w:rPr>
          <w:rStyle w:val="NumeroAFNegritaCaracter"/>
        </w:rPr>
        <w:t>5</w:t>
      </w:r>
      <w:r>
        <w:t>. Por virtud de escrito registrado el día 14 de agosto de 2020, la procuradora de los tribunales doña Rosa Sorribes Calle, en representación de la Generalitat Valenciana, solicitó que se la tuviera por comparecida y parte en las actuaciones, lo que se acordó por diligencia de ordenación del día 23 de septiembre de 2020.</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1 de diciembre de 2020, la secretaría de justicia de la Sala Segunda, de conformidad con lo dispuesto en el art. 52.1 LOTC, dispuso dar vista de las actuaciones a las partes personadas y al Ministerio Fiscal, por plazo común de veinte días, para que pudieran presentar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7</w:t>
      </w:r>
      <w:r>
        <w:t>. Por escrito que tuvo entrada el día 30 de diciembre de 2020 en el registro de este tribunal, presentó sus alegaciones la abogada de la Generalitat Valenciana, solicitando la desestimación del recurso de amparo, con base en los siguientes argumentos:</w:t>
      </w:r>
    </w:p>
    <w:p w:rsidR="005728DD" w:rsidRDefault="005728DD" w:rsidP="005728DD">
      <w:pPr>
        <w:pStyle w:val="TextoNormal"/>
      </w:pPr>
    </w:p>
    <w:p w:rsidR="005728DD" w:rsidRDefault="005728DD" w:rsidP="005728DD">
      <w:pPr>
        <w:pStyle w:val="TextoNormal"/>
      </w:pPr>
      <w:r>
        <w:t>a) Como precisión previa, no se puede aceptar que la comunicación de la directora del centro escolar Costa Blanca, remitida a los recurrentes de amparo, sea una resolución de expulsión. Dicha comunicación tenía por finalidad buscar una solución y tratamiento a la situación generada en el aula por las conductas agresivas del menor, para lo que se estimaba necesario, como medida preventiva, que permaneciera en su domicilio durante el tiempo necesario para determinar un diagnóstico facultativo y un tratamiento a seguir para poder establecer un protocolo de integración. Además, se informaba a los padres que durante la permanencia en el domicilio, recibirían del profesorado del centro cuanta información y recursos pedagógicos fueran necesarios para continuar con su educación, como así se hizo. La prueba de que el menor no había sido expulsado es que continuaba matriculado en el centro e incluido en la lista de alumnos de su tutora.</w:t>
      </w:r>
    </w:p>
    <w:p w:rsidR="005728DD" w:rsidRDefault="005728DD" w:rsidP="005728DD">
      <w:pPr>
        <w:pStyle w:val="TextoNormal"/>
      </w:pPr>
    </w:p>
    <w:p w:rsidR="005728DD" w:rsidRDefault="005728DD" w:rsidP="005728DD">
      <w:pPr>
        <w:pStyle w:val="TextoNormal"/>
      </w:pPr>
      <w:r>
        <w:t>En segundo término, enfatiza que los padres nunca aportaron un diagnóstico médico del menor que permitiera conocer al centro escolar la patología que presentaba, a pesar de los numerosos requerimientos. Se les informó de la necesidad de llevarle a la Unidad de Salud Mental Infantil, pero no colaboraron. A este respecto, se invoca la STC 10/2014, de 27 de enero, que analiza la escolarización de un menor, con determinado grado de autismo, en un centro de educación especial en lugar de incluirle en un centro ordinario con los apoyos necesarios para su integración y en el que los padres demandantes de amparo alegaron la vulneración de los derechos a la igualdad (art. 14 CE), a la educación (art. 27 CE), a la integridad física y moral (art. 15 CE) y a la tutela judicial efectiva (art. 24 CE), denuncias que fueron desestimadas íntegramente. La referencia es importante, no solo porque se denuncia la vulneración de los mismos derechos y por las mismas razones que en el presente recurso de amparo, sino también por el sentido del fallo, a pesar de que, a diferencia del que aquí se analiza, en aquel caso se conocía que el menor tenía autismo.</w:t>
      </w:r>
    </w:p>
    <w:p w:rsidR="005728DD" w:rsidRDefault="005728DD" w:rsidP="005728DD">
      <w:pPr>
        <w:pStyle w:val="TextoNormal"/>
      </w:pPr>
    </w:p>
    <w:p w:rsidR="005728DD" w:rsidRDefault="005728DD" w:rsidP="005728DD">
      <w:pPr>
        <w:pStyle w:val="TextoNormal"/>
      </w:pPr>
      <w:r>
        <w:t>b) Abordando la presunta vulneración del art. 27, en relación con el art. 14 CE, debe partirse, de lo siguiente: i) de manera reiterada, el menor M.F.R. presentaba conductas agresivas y violentas que no se reducían a simples rabietas; ii) dicho comportamiento suponía un peligro y riesgo grave para la propia integridad del menor y la de sus compañeros de clase y profesores; y iii) algunos de los cuales sufrieron lesiones intentando contener al menor.</w:t>
      </w:r>
    </w:p>
    <w:p w:rsidR="005728DD" w:rsidRDefault="005728DD" w:rsidP="005728DD">
      <w:pPr>
        <w:pStyle w:val="TextoNormal"/>
      </w:pPr>
    </w:p>
    <w:p w:rsidR="005728DD" w:rsidRDefault="005728DD" w:rsidP="005728DD">
      <w:pPr>
        <w:pStyle w:val="TextoNormal"/>
      </w:pPr>
      <w:r>
        <w:t>En el expediente administrativo consta que el centro educativo adoptó diversas medidas: i) se asignó a la atención del menor, un maestro especialista en audición y lenguaje y otro especialista en pedagogía terapéutica; ii) se trabajó con el resto de alumnos del grupo, se hizo seguimiento por la orientadora, se intentó que la madre recibiera asistencia de terapia familiar; y iii) se propuso a los padres el cambio de opción lingüística de inglés a castellano y que solicitaran un educador de educación especial. Pero los padres no colaboraron.</w:t>
      </w:r>
    </w:p>
    <w:p w:rsidR="005728DD" w:rsidRDefault="005728DD" w:rsidP="005728DD">
      <w:pPr>
        <w:pStyle w:val="TextoNormal"/>
      </w:pPr>
    </w:p>
    <w:p w:rsidR="005728DD" w:rsidRDefault="005728DD" w:rsidP="005728DD">
      <w:pPr>
        <w:pStyle w:val="TextoNormal"/>
      </w:pPr>
      <w:r>
        <w:t xml:space="preserve">El art. 27 CE reconoce a todos el derecho a la educación, del que deriva, no solo la responsabilidad que pesa sobre los poderes públicos para su consecución, sino también el deber de los padres, madres, tutores o tutoras de cumplir con la escolarización de sus hijos e hijas </w:t>
      </w:r>
      <w:r>
        <w:lastRenderedPageBreak/>
        <w:t>y atender a las necesidades educativas que surjan. Así, se exige de los padres la participación en el proceso educativo.</w:t>
      </w:r>
    </w:p>
    <w:p w:rsidR="005728DD" w:rsidRDefault="005728DD" w:rsidP="005728DD">
      <w:pPr>
        <w:pStyle w:val="TextoNormal"/>
      </w:pPr>
    </w:p>
    <w:p w:rsidR="005728DD" w:rsidRDefault="005728DD" w:rsidP="005728DD">
      <w:pPr>
        <w:pStyle w:val="TextoNormal"/>
      </w:pPr>
      <w:r>
        <w:t>Las modificaciones y adaptaciones para procurar la integración de los alumnos con una discapacidad o trastorno grave de conducta en los centros ordinarios deben ser las necesarias y adecuadas. Para ello, sus necesidades educativas deben identificarse y valorarse lo más tempranamente posible, por personal cualificado y en los términos que determinen las administraciones educativas.</w:t>
      </w:r>
    </w:p>
    <w:p w:rsidR="005728DD" w:rsidRDefault="005728DD" w:rsidP="005728DD">
      <w:pPr>
        <w:pStyle w:val="TextoNormal"/>
      </w:pPr>
    </w:p>
    <w:p w:rsidR="005728DD" w:rsidRDefault="005728DD" w:rsidP="005728DD">
      <w:pPr>
        <w:pStyle w:val="TextoNormal"/>
      </w:pPr>
      <w:r>
        <w:t>A la vista de lo anterior, la letrada autonómica concluye que, en el presente caso, no cabe hablar de vulneración del derecho a la educación, sino del incumplimiento de la obligación de los padres de permitir la valoración de las medidas que permitieran ajustar las necesidades educativas del menor a su patología. Ante la falta de colaboración de los padres, tal y como señala la sentencia de instancia, el centro educativo iba “a ciegas” con el niño.</w:t>
      </w:r>
    </w:p>
    <w:p w:rsidR="005728DD" w:rsidRDefault="005728DD" w:rsidP="005728DD">
      <w:pPr>
        <w:pStyle w:val="TextoNormal"/>
      </w:pPr>
    </w:p>
    <w:p w:rsidR="005728DD" w:rsidRDefault="005728DD" w:rsidP="005728DD">
      <w:pPr>
        <w:pStyle w:val="TextoNormal"/>
      </w:pPr>
      <w:r>
        <w:t>c) Respecto a la vulneración del art 14 CE, precisa que el principio de igualdad no solo consiste en el derecho a ser tratado de igual modo cuando se habla de colectivos vinculados a un criterio de identidad común, sino el de no ser tratado en forma desigual por mera arbitrariedad. Invoca y transcribe parcialmente la STC 36/2011, de 28 de marzo.</w:t>
      </w:r>
    </w:p>
    <w:p w:rsidR="005728DD" w:rsidRDefault="005728DD" w:rsidP="005728DD">
      <w:pPr>
        <w:pStyle w:val="TextoNormal"/>
      </w:pPr>
    </w:p>
    <w:p w:rsidR="005728DD" w:rsidRDefault="005728DD" w:rsidP="005728DD">
      <w:pPr>
        <w:pStyle w:val="TextoNormal"/>
      </w:pPr>
      <w:r>
        <w:t>d) En lo concerniente a la vulneración del art. 24.2 CE, la abogada de la Generalitat hace referencia al informe de la inspectora de educación de fecha 16 de mayo de 2017, según el cual: “es evidente que el centro ha requerido en múltiples ocasiones a los padres de M.F.R. un informe facultativo considerado como información necesaria e imprescindible para poder establecer los procedimientos y recursos precisos que permitan identificar tempranamente las necesidades educativas específicas del menor y poderle aplicar una atención integral regida en todo momento por los principios de normalización e inclusión”.</w:t>
      </w:r>
    </w:p>
    <w:p w:rsidR="005728DD" w:rsidRDefault="005728DD" w:rsidP="005728DD">
      <w:pPr>
        <w:pStyle w:val="TextoNormal"/>
      </w:pPr>
    </w:p>
    <w:p w:rsidR="005728DD" w:rsidRDefault="005728DD" w:rsidP="005728DD">
      <w:pPr>
        <w:pStyle w:val="TextoNormal"/>
      </w:pPr>
      <w:r>
        <w:t>Con base en lo expuesto, concluye interesando la desestimación íntegra del recurso.</w:t>
      </w:r>
    </w:p>
    <w:p w:rsidR="005728DD" w:rsidRDefault="005728DD" w:rsidP="005728DD">
      <w:pPr>
        <w:pStyle w:val="TextoNormal"/>
      </w:pPr>
    </w:p>
    <w:p w:rsidR="005728DD" w:rsidRDefault="005728DD" w:rsidP="005728DD">
      <w:pPr>
        <w:pStyle w:val="TextoNormal"/>
      </w:pPr>
      <w:r w:rsidRPr="005728DD">
        <w:rPr>
          <w:rStyle w:val="NumeroAFNegritaCaracter"/>
        </w:rPr>
        <w:t>8</w:t>
      </w:r>
      <w:r>
        <w:t>. El día 18 de enero de 2021 se presentó en el registro del Tribunal un escrito de alegaciones de los demandantes en el que reproducen, en esencia, las argumentaciones de la demanda, solicitando la estimación del recurso de amparo, con reconocimiento de los derechos vulnerados y del derecho de los padres a ser indemnizados por los daños producidos, tanto morales como materiales, teniendo en cuenta las secuelas psicológicas y emocionales futuras para el menor.</w:t>
      </w:r>
    </w:p>
    <w:p w:rsidR="005728DD" w:rsidRDefault="005728DD" w:rsidP="005728DD">
      <w:pPr>
        <w:pStyle w:val="TextoNormal"/>
      </w:pPr>
    </w:p>
    <w:p w:rsidR="005728DD" w:rsidRDefault="005728DD" w:rsidP="005728DD">
      <w:pPr>
        <w:pStyle w:val="TextoNormal"/>
      </w:pPr>
      <w:r w:rsidRPr="005728DD">
        <w:rPr>
          <w:rStyle w:val="NumeroAFNegritaCaracter"/>
        </w:rPr>
        <w:t>9</w:t>
      </w:r>
      <w:r>
        <w:t>. En fecha 28 de enero de 2021 tuvo entrada en el registro del tribunal el escrito de alegaciones del Ministerio Fiscal en el que solicita la estimación parcial del recurso de amparo, con base en las razones siguientes:</w:t>
      </w:r>
    </w:p>
    <w:p w:rsidR="005728DD" w:rsidRDefault="005728DD" w:rsidP="005728DD">
      <w:pPr>
        <w:pStyle w:val="TextoNormal"/>
      </w:pPr>
    </w:p>
    <w:p w:rsidR="005728DD" w:rsidRDefault="005728DD" w:rsidP="005728DD">
      <w:pPr>
        <w:pStyle w:val="TextoNormal"/>
      </w:pPr>
      <w:r>
        <w:t>a) Para enmarcar sus alegaciones comienza refiriéndose al interés superior del menor, que debe actuar como guía en el examen del caso, con cita de la normativa y jurisprudencia aplicable. Respecto de la alegada vulneración del derecho a la educación, la LOE y la normativa autonómica establecen, en primer lugar, que la enseñanza infantil es un derecho educativo que debe contribuir al desarrollo físico, afectivo, social, cognitivo y artístico del alumnado, al pleno desarrollo de la personalidad y cuyo principio rector e interpretativo es la primacía del interés superior del menor sobre cualquier otro.</w:t>
      </w:r>
    </w:p>
    <w:p w:rsidR="005728DD" w:rsidRDefault="005728DD" w:rsidP="005728DD">
      <w:pPr>
        <w:pStyle w:val="TextoNormal"/>
      </w:pPr>
    </w:p>
    <w:p w:rsidR="005728DD" w:rsidRDefault="005728DD" w:rsidP="005728DD">
      <w:pPr>
        <w:pStyle w:val="TextoNormal"/>
      </w:pPr>
      <w:r>
        <w:t>En segundo lugar, recuerda que, para facilitar la convivencia en los centros docentes, se establece el deber de los alumnos de respetar a los demás y las normas de convivencia y, para ello, se prevé la posibilidad de adoptar medidas correctoras o disciplinarias de carácter educativo y rehabilitador, pero, en ningún caso, los alumnos podrán ser privados del ejercicio de su derecho a la educación.</w:t>
      </w:r>
    </w:p>
    <w:p w:rsidR="005728DD" w:rsidRDefault="005728DD" w:rsidP="005728DD">
      <w:pPr>
        <w:pStyle w:val="TextoNormal"/>
      </w:pPr>
    </w:p>
    <w:p w:rsidR="005728DD" w:rsidRDefault="005728DD" w:rsidP="005728DD">
      <w:pPr>
        <w:pStyle w:val="TextoNormal"/>
      </w:pPr>
      <w:r>
        <w:t>La conducta del alumno alteraba el normal desarrollo de las actividades del centro educativo, lo que se corrobora con la prueba testifical practicada en la instancia y no es controvertido por los recurrentes, aunque estos la tachan de “rabietas” y niegan su carácter violento y agresivo.</w:t>
      </w:r>
    </w:p>
    <w:p w:rsidR="005728DD" w:rsidRDefault="005728DD" w:rsidP="005728DD">
      <w:pPr>
        <w:pStyle w:val="TextoNormal"/>
      </w:pPr>
    </w:p>
    <w:p w:rsidR="005728DD" w:rsidRDefault="005728DD" w:rsidP="005728DD">
      <w:pPr>
        <w:pStyle w:val="TextoNormal"/>
      </w:pPr>
      <w:r>
        <w:t>b) Así, se produjo un conflicto de intereses entre el derecho del menor a la educación, del que no se le puede privar, y el interés general para el sistema educativo y sus integrantes, profesores y alumnos, a que la educación se preste en un ambiente adecuado, sin la alteración del normal desarrollo de las clases. La medida adoptada, que restringe un derecho fundamental, debe tener en cuenta el interés superior del menor, ser proporcional y respetar su dignidad e integridad física, psicológica o moral. Debe hacerse compatible ese interés superior del menor con la proporcionalidad de la respuesta a su conducta.</w:t>
      </w:r>
    </w:p>
    <w:p w:rsidR="005728DD" w:rsidRDefault="005728DD" w:rsidP="005728DD">
      <w:pPr>
        <w:pStyle w:val="TextoNormal"/>
      </w:pPr>
    </w:p>
    <w:p w:rsidR="005728DD" w:rsidRDefault="005728DD" w:rsidP="005728DD">
      <w:pPr>
        <w:pStyle w:val="TextoNormal"/>
      </w:pPr>
      <w:r>
        <w:t>El fiscal examina si el acto administrativo impugnado y las resoluciones judiciales que lo confirmaron analizaron la idoneidad, necesidad y proporcionalidad en sentido estricto de la medida, en atención a las circunstancias concretas del caso y, por tanto, determinar si se ha llevado a cabo un juicio de ponderación entre los derechos y bienes constitucionalmente protegidos.</w:t>
      </w:r>
    </w:p>
    <w:p w:rsidR="005728DD" w:rsidRDefault="005728DD" w:rsidP="005728DD">
      <w:pPr>
        <w:pStyle w:val="TextoNormal"/>
      </w:pPr>
    </w:p>
    <w:p w:rsidR="005728DD" w:rsidRDefault="005728DD" w:rsidP="005728DD">
      <w:pPr>
        <w:pStyle w:val="TextoNormal"/>
      </w:pPr>
      <w:r>
        <w:t xml:space="preserve">Hay que partir de que la suspensión de asistencia del menor al centro educativo por un tiempo sin determinar y condicionado a que los padres aportaran un diagnóstico médico del alumno y la propuesta de tratamiento adecuado por parte de la Unidad de Salud Mental Infantil, provocó </w:t>
      </w:r>
      <w:r w:rsidRPr="005728DD">
        <w:rPr>
          <w:i/>
        </w:rPr>
        <w:t>de facto</w:t>
      </w:r>
      <w:r>
        <w:t xml:space="preserve"> que M.F.R. “no pudiera seguir con su formación educativa, con la posible afección al desarrollo de su personalidad y su desarrollo físico, afectivo, social, cognitivo y artístico, así como la educación en valores cívicos para la convivencia(art. 12.3 LOE)”.</w:t>
      </w:r>
    </w:p>
    <w:p w:rsidR="005728DD" w:rsidRDefault="005728DD" w:rsidP="005728DD">
      <w:pPr>
        <w:pStyle w:val="TextoNormal"/>
      </w:pPr>
    </w:p>
    <w:p w:rsidR="005728DD" w:rsidRDefault="005728DD" w:rsidP="005728DD">
      <w:pPr>
        <w:pStyle w:val="TextoNormal"/>
      </w:pPr>
      <w:r>
        <w:t>La medida carece de una determinación temporal y su cese viene condicionado a un diagnóstico médico de la salud mental del menor que permitiría determinar las causas de su comportamiento, su tratamiento y su posterior integración en el proceso educativo del centro escolar. Así, se impone por el comportamiento del menor, pero su duración se condiciona por la administración educativa a un deber de colaboración de los padres a quienes se exige aportar un informe médico de la salud mental, convirtiendo la colaboración con el centro educativo en determinante de la duración de la medida.</w:t>
      </w:r>
    </w:p>
    <w:p w:rsidR="005728DD" w:rsidRDefault="005728DD" w:rsidP="005728DD">
      <w:pPr>
        <w:pStyle w:val="TextoNormal"/>
      </w:pPr>
    </w:p>
    <w:p w:rsidR="005728DD" w:rsidRDefault="005728DD" w:rsidP="005728DD">
      <w:pPr>
        <w:pStyle w:val="TextoNormal"/>
      </w:pPr>
      <w:r>
        <w:t xml:space="preserve">A juicio del fiscal, aunque la situación exigiera una respuesta, las normas invocadas no dan cobertura a la medida impuesta por el centro pues el propio Decreto del Consell 30/2014, de 14 de abril (art. 1), establece como voluntario el compromiso familia/tutor, aunque sea conveniente y necesario. El Decreto 39/2008, de 4 de abril, del Consell, por su parte, no prevé la medida de no asistencia al centro educativo de manera indeterminada </w:t>
      </w:r>
      <w:r>
        <w:lastRenderedPageBreak/>
        <w:t>condicionada a la realización por los padres del menor de una determinada conducta, existiendo así un vacío normativo, pese a que la medida pretendiera evitar que persistiera la situación provocada por el niño.</w:t>
      </w:r>
    </w:p>
    <w:p w:rsidR="005728DD" w:rsidRDefault="005728DD" w:rsidP="005728DD">
      <w:pPr>
        <w:pStyle w:val="TextoNormal"/>
      </w:pPr>
    </w:p>
    <w:p w:rsidR="005728DD" w:rsidRDefault="005728DD" w:rsidP="005728DD">
      <w:pPr>
        <w:pStyle w:val="TextoNormal"/>
      </w:pPr>
      <w:r>
        <w:t xml:space="preserve">c) En principio, la medida es adecuada al objetivo propuesto, que sería lograr que los padres presten su colaboración mediante la aportación de un diagnóstico sobre las razones médicas del comportamiento del menor. Ahora bien, considerando que la restricción del derecho a la educación se hace </w:t>
      </w:r>
      <w:r w:rsidRPr="005728DD">
        <w:rPr>
          <w:i/>
        </w:rPr>
        <w:t>sine die</w:t>
      </w:r>
      <w:r>
        <w:t>, la medida deja de ser idónea, ya que la determinación temporal va ligada a la proporcionalidad.</w:t>
      </w:r>
    </w:p>
    <w:p w:rsidR="005728DD" w:rsidRDefault="005728DD" w:rsidP="005728DD">
      <w:pPr>
        <w:pStyle w:val="TextoNormal"/>
      </w:pPr>
    </w:p>
    <w:p w:rsidR="005728DD" w:rsidRDefault="005728DD" w:rsidP="005728DD">
      <w:pPr>
        <w:pStyle w:val="TextoNormal"/>
      </w:pPr>
      <w:r>
        <w:t>El Ministerio Fiscal señala que para el órgano judicial la medida es necesaria. Ahora bien, precisa que esta necesidad se predica del informe médico, no de la conducta del menor, que fue la determinante de la suspensión. En consecuencia, cabe decir que la medida adoptada se orientaba a un fin constitucionalmente legítimo, como es procurar que el proceso educativo se realizara de forma adecuada y corregir el comportamiento del menor, que suponía un riesgo o peligro para la integridad de sí mismo, de sus compañeros de clase y los profesores.</w:t>
      </w:r>
    </w:p>
    <w:p w:rsidR="005728DD" w:rsidRDefault="005728DD" w:rsidP="005728DD">
      <w:pPr>
        <w:pStyle w:val="TextoNormal"/>
      </w:pPr>
    </w:p>
    <w:p w:rsidR="005728DD" w:rsidRDefault="005728DD" w:rsidP="005728DD">
      <w:pPr>
        <w:pStyle w:val="TextoNormal"/>
      </w:pPr>
      <w:r>
        <w:t>En cuanto a si la medida es ponderada o equilibrada, por derivarse de ella más beneficios o ventajas para el interés general que perjuicios sobre otros bienes o valores en conflicto (juicio de proporcionalidad en sentido estricto), la ponderación que lleva a cabo el órgano judicial obvia cualquier referencia a los perjuicios que la medida suponía para el menor. Por ello, no se ha motivado suficientemente el juicio estricto de proporcionalidad, pues el órgano judicial no contiene ningún razonamiento sobre la afectación que la medida supone para la educación del menor y el pleno desarrollo de su personalidad.</w:t>
      </w:r>
    </w:p>
    <w:p w:rsidR="005728DD" w:rsidRDefault="005728DD" w:rsidP="005728DD">
      <w:pPr>
        <w:pStyle w:val="TextoNormal"/>
      </w:pPr>
    </w:p>
    <w:p w:rsidR="005728DD" w:rsidRDefault="005728DD" w:rsidP="005728DD">
      <w:pPr>
        <w:pStyle w:val="TextoNormal"/>
      </w:pPr>
      <w:r>
        <w:t>En consecuencia, la medida preventiva adoptada por resolución de la directora de dicho centro de 16 de febrero de 2017, así como las posteriores dictadas en la vía judicial, que no la revocaron, han vulnerado el derecho a la educación del menor del art. 27 CE.</w:t>
      </w:r>
    </w:p>
    <w:p w:rsidR="005728DD" w:rsidRDefault="005728DD" w:rsidP="005728DD">
      <w:pPr>
        <w:pStyle w:val="TextoNormal"/>
      </w:pPr>
    </w:p>
    <w:p w:rsidR="005728DD" w:rsidRDefault="005728DD" w:rsidP="005728DD">
      <w:pPr>
        <w:pStyle w:val="TextoNormal"/>
      </w:pPr>
      <w:r>
        <w:t>d) Respecto de la vulneración del derecho a la igualdad y a no ser discriminado del art. 14 CE, que los recurrentes vinculan a la mala praxis del centro, se debería haber aportado un elemento de contraste que permitiera comparar si había habido un trato diferenciado y sin justificar en supuestos iguales, lo que no se ha hecho. Tampoco se aporta principio de prueba alguna de que el menor haya sido discriminado.</w:t>
      </w:r>
    </w:p>
    <w:p w:rsidR="005728DD" w:rsidRDefault="005728DD" w:rsidP="005728DD">
      <w:pPr>
        <w:pStyle w:val="TextoNormal"/>
      </w:pPr>
    </w:p>
    <w:p w:rsidR="005728DD" w:rsidRDefault="005728DD" w:rsidP="005728DD">
      <w:pPr>
        <w:pStyle w:val="TextoNormal"/>
      </w:pPr>
      <w:r>
        <w:t>e) En cuanto al art. 15 CE, la denuncia se centra, nuevamente, en la mala praxis del centro, particularmente en el uso de la técnica de contención física. Pero no consta ningún tipo de lesión que M.F.R. hubiera sufrido como resultado de la misma. Por tanto, la alegada vulneración no se ha producido.</w:t>
      </w:r>
    </w:p>
    <w:p w:rsidR="005728DD" w:rsidRDefault="005728DD" w:rsidP="005728DD">
      <w:pPr>
        <w:pStyle w:val="TextoNormal"/>
      </w:pPr>
    </w:p>
    <w:p w:rsidR="005728DD" w:rsidRDefault="005728DD" w:rsidP="005728DD">
      <w:pPr>
        <w:pStyle w:val="TextoNormal"/>
      </w:pPr>
      <w:r>
        <w:t>f) Abordando la última queja, respecto del derecho a la presunción de inocencia del art. 24.2 CE, entiende que está huérfana de cualquier argumentación. Tampoco considera lesionado el derecho a la tutela judicial efectiva sin indefensión del art. 24.1 CE, pues se ha podido alegar y aportar prueba en el proceso contencioso-administrativo. Ahora bien, como la vulneración del derecho a la educación del menor por la administración no ha sido repa</w:t>
      </w:r>
      <w:r>
        <w:lastRenderedPageBreak/>
        <w:t>rada por los órganos judiciales, aduce que no puede hablarse de que las resoluciones judiciales sean razonables, lógicas, no arbitrarias y en Derecho, lo que conllevaría la vulneración de este derecho fundamental.</w:t>
      </w:r>
    </w:p>
    <w:p w:rsidR="005728DD" w:rsidRDefault="005728DD" w:rsidP="005728DD">
      <w:pPr>
        <w:pStyle w:val="TextoNormal"/>
      </w:pPr>
    </w:p>
    <w:p w:rsidR="005728DD" w:rsidRDefault="005728DD" w:rsidP="005728DD">
      <w:pPr>
        <w:pStyle w:val="TextoNormal"/>
      </w:pPr>
      <w:r>
        <w:t>Por todo lo expuesto, concluye solicitando la estimación parcial del recurso de amparo por vulneración de los arts. 27 y 24.1 CE y la desestimación en cuanto al resto.</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a) Como cuestión preliminar, corresponde a este tribunal adoptar las medidas pertinentes para la adecuada protección de los derechos reconocidos en el art. 18.1 y 4 CE, en aplicación del art. 86.3 LOTC y del acuerdo del Pleno de 23 de julio de 2015, por el que se regula la exclusión de los datos de identificación personal en la publicación de las resoluciones jurisdiccionales (“Boletín Oficial del Estado” núm. 178, de 27 de julio de 2015). En consecuencia, la presente sentencia identifica por sus iniciales al menor al que se refieren los hechos y a sus progenitores.</w:t>
      </w:r>
    </w:p>
    <w:p w:rsidR="005728DD" w:rsidRDefault="005728DD" w:rsidP="005728DD">
      <w:pPr>
        <w:pStyle w:val="TextoNormal"/>
      </w:pPr>
    </w:p>
    <w:p w:rsidR="005728DD" w:rsidRDefault="005728DD" w:rsidP="005728DD">
      <w:pPr>
        <w:pStyle w:val="TextoNormal"/>
      </w:pPr>
      <w:r>
        <w:t>b) La demanda de amparo articula sus pretensiones por la vía del art. 43 LOTC, impugnando la resolución de la directora del colegio público Costa Blanca de Alicante de 16 de febrero de 2017, sobre asistencia a clase del alumno e hijo de los recurrentes, el menor M.F.R.; las resoluciones judiciales que la han confirmado en primera instancia (sentencia del Juzgado de lo Contencioso-Administrativo núm. 3 de Alicante de 26 de diciembre de 2017) y, en trámite de apelación (sentencia de la Sección Cuarta de la Sala de lo Contencioso-Administrativo del Tribunal Superior de Justicia de la Comunidad Valenciana de 10 de octubre de 2018), así como la providencia de la Sección Primera de la Sala de lo Contencioso-Administrativo del Tribunal Supremo, de 16 de mayo de 2019, que inadmitió el recurso de casación preparado contra la última. Como se ha indicado en los antecedentes, las lesiones se imputan a la actuación administrativa, achacándose a las resoluciones judiciales únicamente el no haberlas reparado. El tenor literal de la resolución administrativa impugnada es el siguiente:</w:t>
      </w:r>
    </w:p>
    <w:p w:rsidR="005728DD" w:rsidRDefault="005728DD" w:rsidP="005728DD">
      <w:pPr>
        <w:pStyle w:val="TextoNormal"/>
      </w:pPr>
    </w:p>
    <w:p w:rsidR="005728DD" w:rsidRDefault="005728DD" w:rsidP="005728DD">
      <w:pPr>
        <w:pStyle w:val="TextoNormal"/>
      </w:pPr>
      <w:r>
        <w:t>“El alumno M.F.R., escolarizado en el C.P. Costa Blanca, ha presentado conductas agresivas que ponen en riesgo la integridad del propio alumno, de sus compañeros de clase y de los profesores que lo atienden.</w:t>
      </w:r>
    </w:p>
    <w:p w:rsidR="005728DD" w:rsidRDefault="005728DD" w:rsidP="005728DD">
      <w:pPr>
        <w:pStyle w:val="TextoNormal"/>
      </w:pPr>
    </w:p>
    <w:p w:rsidR="005728DD" w:rsidRDefault="005728DD" w:rsidP="005728DD">
      <w:pPr>
        <w:pStyle w:val="TextoNormal"/>
      </w:pPr>
      <w:r>
        <w:t>Desde el inicio del curso se han puesto en marcha numerosas actuaciones con el objetivo de modificar dicha conducta: técnicas de modificación de conducta, cambios en el horario del aula y atención personalizada por parte del profesorado del centro.</w:t>
      </w:r>
    </w:p>
    <w:p w:rsidR="005728DD" w:rsidRDefault="005728DD" w:rsidP="005728DD">
      <w:pPr>
        <w:pStyle w:val="TextoNormal"/>
      </w:pPr>
    </w:p>
    <w:p w:rsidR="005728DD" w:rsidRDefault="005728DD" w:rsidP="005728DD">
      <w:pPr>
        <w:pStyle w:val="TextoNormal"/>
      </w:pPr>
      <w:r>
        <w:t xml:space="preserve">No se han conseguido resultados positivos en la modificación de la conducta, ya que reiteradamente ha continuado agrediendo a compañeros de clase, a la tutora del aula y al </w:t>
      </w:r>
      <w:r>
        <w:lastRenderedPageBreak/>
        <w:t>profesor de audición y lenguaje, provocándole lesiones a ambos, recogidas en partes médicos.</w:t>
      </w:r>
    </w:p>
    <w:p w:rsidR="005728DD" w:rsidRDefault="005728DD" w:rsidP="005728DD">
      <w:pPr>
        <w:pStyle w:val="TextoNormal"/>
      </w:pPr>
    </w:p>
    <w:p w:rsidR="005728DD" w:rsidRDefault="005728DD" w:rsidP="005728DD">
      <w:pPr>
        <w:pStyle w:val="TextoNormal"/>
      </w:pPr>
      <w:r>
        <w:t>Este comportamiento inadecuado se debe reconducir con el objetivo de normalizar el proceso educativo del alumno y del grupo-clase en el que está integrado.</w:t>
      </w:r>
    </w:p>
    <w:p w:rsidR="005728DD" w:rsidRDefault="005728DD" w:rsidP="005728DD">
      <w:pPr>
        <w:pStyle w:val="TextoNormal"/>
      </w:pPr>
    </w:p>
    <w:p w:rsidR="005728DD" w:rsidRDefault="005728DD" w:rsidP="005728DD">
      <w:pPr>
        <w:pStyle w:val="TextoNormal"/>
      </w:pPr>
      <w:r>
        <w:t>Con la finalidad de buscar una solución y tratamiento a esta situación, que superaba el ámbito escolar, se mantuvo una reunión en el centro, para estudiar el caso, a la que asistieron:</w:t>
      </w:r>
    </w:p>
    <w:p w:rsidR="005728DD" w:rsidRDefault="005728DD" w:rsidP="005728DD">
      <w:pPr>
        <w:pStyle w:val="TextoNormal"/>
      </w:pPr>
    </w:p>
    <w:p w:rsidR="005728DD" w:rsidRDefault="005728DD" w:rsidP="005728DD">
      <w:pPr>
        <w:pStyle w:val="TextoNormal"/>
      </w:pPr>
      <w:r>
        <w:t>-</w:t>
      </w:r>
      <w:r>
        <w:tab/>
        <w:t>Profesorado del centro que interactúa con el alumno</w:t>
      </w:r>
    </w:p>
    <w:p w:rsidR="005728DD" w:rsidRDefault="005728DD" w:rsidP="005728DD">
      <w:pPr>
        <w:pStyle w:val="TextoNormal"/>
      </w:pPr>
      <w:r>
        <w:t>-</w:t>
      </w:r>
      <w:r>
        <w:tab/>
        <w:t>Orientadora del centro</w:t>
      </w:r>
    </w:p>
    <w:p w:rsidR="005728DD" w:rsidRDefault="005728DD" w:rsidP="005728DD">
      <w:pPr>
        <w:pStyle w:val="TextoNormal"/>
      </w:pPr>
      <w:r>
        <w:t>-</w:t>
      </w:r>
      <w:r>
        <w:tab/>
        <w:t>Dirección y jefatura de estudios del centro</w:t>
      </w:r>
    </w:p>
    <w:p w:rsidR="005728DD" w:rsidRDefault="005728DD" w:rsidP="005728DD">
      <w:pPr>
        <w:pStyle w:val="TextoNormal"/>
      </w:pPr>
      <w:r>
        <w:t>-</w:t>
      </w:r>
      <w:r>
        <w:tab/>
        <w:t>Orientadora de la unidad de actuación e intervención (PREVI)</w:t>
      </w:r>
    </w:p>
    <w:p w:rsidR="005728DD" w:rsidRDefault="005728DD" w:rsidP="005728DD">
      <w:pPr>
        <w:pStyle w:val="TextoNormal"/>
      </w:pPr>
      <w:r>
        <w:t>-</w:t>
      </w:r>
      <w:r>
        <w:tab/>
        <w:t>Inspectora del centro</w:t>
      </w:r>
    </w:p>
    <w:p w:rsidR="005728DD" w:rsidRDefault="005728DD" w:rsidP="005728DD">
      <w:pPr>
        <w:pStyle w:val="TextoNormal"/>
      </w:pPr>
      <w:r>
        <w:t>-</w:t>
      </w:r>
      <w:r>
        <w:tab/>
        <w:t>Inspector coordinador del CIR núm. 1 de Alicante</w:t>
      </w:r>
    </w:p>
    <w:p w:rsidR="005728DD" w:rsidRDefault="005728DD" w:rsidP="005728DD">
      <w:pPr>
        <w:pStyle w:val="TextoNormal"/>
      </w:pPr>
    </w:p>
    <w:p w:rsidR="005728DD" w:rsidRDefault="005728DD" w:rsidP="005728DD">
      <w:pPr>
        <w:pStyle w:val="TextoNormal"/>
      </w:pPr>
      <w:r>
        <w:t>Estudiado el caso se considera necesario contar con un diagnóstico facultativo, a ser posible de la USMI [Unidad de Salud Mental Infantil] sobre el origen o causa que provoca en el alumno la agresividad en su conducta.</w:t>
      </w:r>
    </w:p>
    <w:p w:rsidR="005728DD" w:rsidRDefault="005728DD" w:rsidP="005728DD">
      <w:pPr>
        <w:pStyle w:val="TextoNormal"/>
      </w:pPr>
    </w:p>
    <w:p w:rsidR="005728DD" w:rsidRDefault="005728DD" w:rsidP="005728DD">
      <w:pPr>
        <w:pStyle w:val="TextoNormal"/>
      </w:pPr>
      <w:r>
        <w:t>Igualmente, se considera necesario proteger al propio alumno y a los alumnos del grupo de estas situaciones con riesgo de lesiones.</w:t>
      </w:r>
    </w:p>
    <w:p w:rsidR="005728DD" w:rsidRDefault="005728DD" w:rsidP="005728DD">
      <w:pPr>
        <w:pStyle w:val="TextoNormal"/>
      </w:pPr>
    </w:p>
    <w:p w:rsidR="005728DD" w:rsidRDefault="005728DD" w:rsidP="005728DD">
      <w:pPr>
        <w:pStyle w:val="TextoNormal"/>
      </w:pPr>
      <w:r>
        <w:t>Por ello, durante el tiempo que sea necesario para determinar el diagnóstico desde el ámbito facultativo y la indicación de su tratamiento, como medida preventiva, el alumno permanecerá en su domicilio y una vez iniciado el tratamiento se procederá a establecer el protocolo de actuación en el centro, mediante una escolarización progresiva del alumno hasta llegar a una completa integración del alumno en su clase o determinar otras posibles modalidades de escolarización.</w:t>
      </w:r>
    </w:p>
    <w:p w:rsidR="005728DD" w:rsidRDefault="005728DD" w:rsidP="005728DD">
      <w:pPr>
        <w:pStyle w:val="TextoNormal"/>
      </w:pPr>
    </w:p>
    <w:p w:rsidR="005728DD" w:rsidRDefault="005728DD" w:rsidP="005728DD">
      <w:pPr>
        <w:pStyle w:val="TextoNormal"/>
      </w:pPr>
      <w:r>
        <w:t>Por tanto, se considera necesario que la familia del citado alumno aporte a la dirección del centro diagnóstico médico de la situación del alumno y la propuesta de tratamiento adecuado por parte de la Unidad de Salud Mental Infantil (USMI).</w:t>
      </w:r>
    </w:p>
    <w:p w:rsidR="005728DD" w:rsidRDefault="005728DD" w:rsidP="005728DD">
      <w:pPr>
        <w:pStyle w:val="TextoNormal"/>
      </w:pPr>
    </w:p>
    <w:p w:rsidR="005728DD" w:rsidRDefault="005728DD" w:rsidP="005728DD">
      <w:pPr>
        <w:pStyle w:val="TextoNormal"/>
      </w:pPr>
      <w:r>
        <w:t>Durante el tiempo de permanencia en el domicilio, la familia del alumno podrá recibir del profesorado del centro cuanta información y recursos pedagógicos sean necesarios para continuar con la educación del mismo en el ámbito familiar”.</w:t>
      </w:r>
    </w:p>
    <w:p w:rsidR="005728DD" w:rsidRDefault="005728DD" w:rsidP="005728DD">
      <w:pPr>
        <w:pStyle w:val="TextoNormal"/>
      </w:pPr>
    </w:p>
    <w:p w:rsidR="005728DD" w:rsidRDefault="005728DD" w:rsidP="005728DD">
      <w:pPr>
        <w:pStyle w:val="TextoNormal"/>
      </w:pPr>
      <w:r>
        <w:t>c) Con los argumentos detallados en los antecedentes, la demanda alega que la resolución transcrita privó a M.F.R. del derecho a la educación, con carácter indefinido, condicionando su reincorporación a que la familia presentara un diagnóstico médico sobre su estado mental. Además, denuncia que el trato dado al menor M.F.R. por los responsables del centro escolar Costa Blanca de Alicante infringió su derecho a la igualdad y a la no discriminación del art. 14 CE; a la tutela judicial efectiva y a la presunción de inocencia del art. 24 CE, así como a la integridad física y moral del art. 15 CE.</w:t>
      </w:r>
    </w:p>
    <w:p w:rsidR="005728DD" w:rsidRDefault="005728DD" w:rsidP="005728DD">
      <w:pPr>
        <w:pStyle w:val="TextoNormal"/>
      </w:pPr>
    </w:p>
    <w:p w:rsidR="005728DD" w:rsidRDefault="005728DD" w:rsidP="005728DD">
      <w:pPr>
        <w:pStyle w:val="TextoNormal"/>
      </w:pPr>
      <w:r>
        <w:lastRenderedPageBreak/>
        <w:t>Por su parte, la Generalitat Valenciana solicita la desestimación del recurso de amparo argumentando que la medida impugnada era preventiva y no de expulsión y pretendía evitar un riesgo grave para la propia integridad del menor y la de sus compañeros y profesores, habiéndose adoptado después de poner en práctica muchas otras, sin éxito, dada la falta de un diagnóstico médico. Subraya, asimismo, que, a M.F.R. se le ofrecieron todos los recursos pedagógicos necesarios para continuar con su educación en el ámbito familiar. Niega, igualmente, el resto de vulneraciones denunciadas.</w:t>
      </w:r>
    </w:p>
    <w:p w:rsidR="005728DD" w:rsidRDefault="005728DD" w:rsidP="005728DD">
      <w:pPr>
        <w:pStyle w:val="TextoNormal"/>
      </w:pPr>
    </w:p>
    <w:p w:rsidR="005728DD" w:rsidRDefault="005728DD" w:rsidP="005728DD">
      <w:pPr>
        <w:pStyle w:val="TextoNormal"/>
      </w:pPr>
      <w:r>
        <w:t xml:space="preserve">Finalmente, el Ministerio Fiscal interesa, por el contrario, la estimación parcial de la demanda porque considera que se ha vulnerado el art. 27 CE al privar </w:t>
      </w:r>
      <w:r w:rsidRPr="005728DD">
        <w:rPr>
          <w:i/>
        </w:rPr>
        <w:t>de facto</w:t>
      </w:r>
      <w:r>
        <w:t xml:space="preserve"> al menor del derecho a la educación. Aunque la situación exigiera una respuesta, se ha priorizado la convivencia en el centro educativo, obviando los perjuicios para el menor. Al no reparar la lesión, los órganos judiciales también han vulnerado el art. 24.1 CE. Por lo demás, interesa la desestimación de las quejas relativas al art. 14 y al art. 15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El derecho a la educación del art. 27 CE: Doctrina constitucional</w:t>
      </w:r>
      <w:r>
        <w:t>.</w:t>
      </w:r>
    </w:p>
    <w:p w:rsidR="005728DD" w:rsidRDefault="005728DD" w:rsidP="005728DD">
      <w:pPr>
        <w:pStyle w:val="TextoNormal"/>
      </w:pPr>
    </w:p>
    <w:p w:rsidR="005728DD" w:rsidRDefault="005728DD" w:rsidP="005728DD">
      <w:pPr>
        <w:pStyle w:val="TextoNormal"/>
      </w:pPr>
      <w:r>
        <w:t xml:space="preserve">A) </w:t>
      </w:r>
      <w:r w:rsidRPr="005728DD">
        <w:rPr>
          <w:i/>
        </w:rPr>
        <w:t>Consideraciones generales</w:t>
      </w:r>
      <w:r>
        <w:t>.</w:t>
      </w:r>
    </w:p>
    <w:p w:rsidR="005728DD" w:rsidRDefault="005728DD" w:rsidP="005728DD">
      <w:pPr>
        <w:pStyle w:val="TextoNormal"/>
      </w:pPr>
    </w:p>
    <w:p w:rsidR="005728DD" w:rsidRDefault="005728DD" w:rsidP="005728DD">
      <w:pPr>
        <w:pStyle w:val="TextoNormal"/>
      </w:pPr>
      <w:r>
        <w:t>Este tribunal ha declarado reiteradamente que “el derecho de todos a la educación recogido sintéticamente en el apartado 1 del artículo 27 CE y desarrollado en los apartados siguientes, tiene una doble ‘dimensión’ o ‘contenido’ de ‘derecho de libertad’ y ‘prestacional’ (STC 5/1981, de 13 de febrero, FJ 7)” (STC 191/2020, de 17 de diciembre, por todas).</w:t>
      </w:r>
    </w:p>
    <w:p w:rsidR="005728DD" w:rsidRDefault="005728DD" w:rsidP="005728DD">
      <w:pPr>
        <w:pStyle w:val="TextoNormal"/>
      </w:pPr>
    </w:p>
    <w:p w:rsidR="005728DD" w:rsidRDefault="005728DD" w:rsidP="005728DD">
      <w:pPr>
        <w:pStyle w:val="TextoNormal"/>
      </w:pPr>
      <w:r>
        <w:t>Esta doble dimensión del derecho cobra una especial significación en el supuesto de autos porque la queja de los recurrentes, como tendremos ocasión de analizar en el fundamento jurídico siguiente, se localiza, de una parte, en el contenido primario del derecho de su hijo a recibir una educación en libertad tendente a garantizarle el pleno desarrollo de su personalidad; pero, de otro lado, incluye, también, el mandato prestacional dirigido a los poderes públicos para que promuevan las condiciones necesarias a fin de conseguir que esa libertad sea real y efectiva. Además, el enjuiciamiento de la vulneración del derecho a la educación, en la doble dimensión que denuncian los recurrentes, debe tener en cuenta el “interés superior del menor”, que es un principio que debe guiar la actuación de los poderes públicos en la aplicación de las normas que desarrollan el contenido del derecho fundamental de referencia.</w:t>
      </w:r>
    </w:p>
    <w:p w:rsidR="005728DD" w:rsidRDefault="005728DD" w:rsidP="005728DD">
      <w:pPr>
        <w:pStyle w:val="TextoNormal"/>
      </w:pPr>
    </w:p>
    <w:p w:rsidR="005728DD" w:rsidRDefault="005728DD" w:rsidP="005728DD">
      <w:pPr>
        <w:pStyle w:val="TextoNormal"/>
      </w:pPr>
      <w:r>
        <w:t>A partir de estas consideraciones generales, hemos de hacer mención a las dimensiones enunciadas del derecho a la educación, así como también poner de manifiesto la relevancia del principio del “interés superior del menor”, que debe regir la actuación de la administración educativa en estos casos.</w:t>
      </w:r>
    </w:p>
    <w:p w:rsidR="005728DD" w:rsidRDefault="005728DD" w:rsidP="005728DD">
      <w:pPr>
        <w:pStyle w:val="TextoNormal"/>
      </w:pPr>
    </w:p>
    <w:p w:rsidR="005728DD" w:rsidRDefault="005728DD" w:rsidP="005728DD">
      <w:pPr>
        <w:pStyle w:val="TextoNormal"/>
      </w:pPr>
      <w:r>
        <w:t xml:space="preserve">B) </w:t>
      </w:r>
      <w:r w:rsidRPr="005728DD">
        <w:rPr>
          <w:i/>
        </w:rPr>
        <w:t>Doble dimensión del derecho a la educación del art. 27 CE</w:t>
      </w:r>
      <w:r>
        <w:t>.</w:t>
      </w:r>
    </w:p>
    <w:p w:rsidR="005728DD" w:rsidRDefault="005728DD" w:rsidP="005728DD">
      <w:pPr>
        <w:pStyle w:val="TextoNormal"/>
      </w:pPr>
    </w:p>
    <w:p w:rsidR="005728DD" w:rsidRDefault="005728DD" w:rsidP="005728DD">
      <w:pPr>
        <w:pStyle w:val="TextoNormal"/>
      </w:pPr>
      <w:r>
        <w:t xml:space="preserve">En la temprana STC 86/1985, de 10 de julio, este tribunal, además de reconocer la doble dimensión del derecho a la educación, declaró que “los poderes públicos habrán de procurar la efectividad de tal derecho y hacerlo, para los niveles básicos de la enseñanza, en las condiciones de obligatoriedad y gratuidad que demanda el apartado 4 de este art. 27 de la norma fundamental. Al servicio de tal acción prestacional de los poderes públicos se hallan los </w:t>
      </w:r>
      <w:r>
        <w:lastRenderedPageBreak/>
        <w:t>instrumentos de planificación y promoción mencionados en el apartado 5 del mismo precepto” (FJ 3).</w:t>
      </w:r>
    </w:p>
    <w:p w:rsidR="005728DD" w:rsidRDefault="005728DD" w:rsidP="005728DD">
      <w:pPr>
        <w:pStyle w:val="TextoNormal"/>
      </w:pPr>
    </w:p>
    <w:p w:rsidR="005728DD" w:rsidRDefault="005728DD" w:rsidP="005728DD">
      <w:pPr>
        <w:pStyle w:val="TextoNormal"/>
      </w:pPr>
      <w:r>
        <w:t>El ámbito material al que se refiere el recurso de amparo es el de la etapa de la educación infantil, que comprende desde el nacimiento hasta los seis años de edad (art. 12.1 LOE); más concretamente, el del período correspondiente al segundo ciclo, que transcurre entre los tres y los seis años (art. 14.1 LOE).</w:t>
      </w:r>
    </w:p>
    <w:p w:rsidR="005728DD" w:rsidRDefault="005728DD" w:rsidP="005728DD">
      <w:pPr>
        <w:pStyle w:val="TextoNormal"/>
      </w:pPr>
    </w:p>
    <w:p w:rsidR="005728DD" w:rsidRDefault="005728DD" w:rsidP="005728DD">
      <w:pPr>
        <w:pStyle w:val="TextoNormal"/>
      </w:pPr>
      <w:r>
        <w:t>La educación infantil aparece configurada como la primera etapa del proceso educativo, que no forma parte del periodo de escolarización obligatoria pues “tiene carácter voluntario y su finalidad es la de contribuir al desarrollo físico, afectivo, social, cognitivo y artístico del alumnado, así como la educación en valores cívicos para la convivencia” (art. 12.3 LOE). Sin embargo, nuestra jurisprudencia no limita la dimensión prestacional del derecho consagrado en el art. 27.1 CE a la educación básica, que debe ser obligatoria y gratuita (art. 27.4 CE), sino que deberán hacerla efectiva los poderes públicos, garantizando “el derecho de todos a la educación mediante una programación general de la enseñanza (art. 27.5 CE)” (STC 236/2007, de 7 de noviembre, FJ 8). Por tanto, esa dimensión prestacional alcanza también a las etapas no obligatorias, como es la de la educación infantil, que será gratuita (art. 15.2 LOE), como así lo ha establecido el legislador.</w:t>
      </w:r>
    </w:p>
    <w:p w:rsidR="005728DD" w:rsidRDefault="005728DD" w:rsidP="005728DD">
      <w:pPr>
        <w:pStyle w:val="TextoNormal"/>
      </w:pPr>
    </w:p>
    <w:p w:rsidR="005728DD" w:rsidRDefault="005728DD" w:rsidP="005728DD">
      <w:pPr>
        <w:pStyle w:val="TextoNormal"/>
      </w:pPr>
      <w:r>
        <w:t xml:space="preserve">C) </w:t>
      </w:r>
      <w:r w:rsidRPr="005728DD">
        <w:rPr>
          <w:i/>
        </w:rPr>
        <w:t>El “interés superior del menor</w:t>
      </w:r>
      <w:r>
        <w:t>”.</w:t>
      </w:r>
    </w:p>
    <w:p w:rsidR="005728DD" w:rsidRDefault="005728DD" w:rsidP="005728DD">
      <w:pPr>
        <w:pStyle w:val="TextoNormal"/>
      </w:pPr>
    </w:p>
    <w:p w:rsidR="005728DD" w:rsidRDefault="005728DD" w:rsidP="005728DD">
      <w:pPr>
        <w:pStyle w:val="TextoNormal"/>
      </w:pPr>
      <w:r>
        <w:t>a) El art. 39.4 CE dispone que “los niños gozarán de la protección prevista en los acuerdos internacionales que velan por sus derechos”, de tal modo que este precepto constitucional prevé una protección integral del niño, que deberá ajustarse a lo prescrito en los convenios internacionales ratificados por España (art. 10.2 CE).</w:t>
      </w:r>
    </w:p>
    <w:p w:rsidR="005728DD" w:rsidRDefault="005728DD" w:rsidP="005728DD">
      <w:pPr>
        <w:pStyle w:val="TextoNormal"/>
      </w:pPr>
    </w:p>
    <w:p w:rsidR="005728DD" w:rsidRDefault="005728DD" w:rsidP="005728DD">
      <w:pPr>
        <w:pStyle w:val="TextoNormal"/>
      </w:pPr>
      <w:r>
        <w:t>Lugar destacado dentro de la relación de derechos del niño lo ocupa el derecho a la educación, reconocido por el art. 28 de la Convención sobre los Derechos del Niño, adoptada por Naciones Unidas el 20 de noviembre de 1989 y ratificada por el Reino de España el 30 de noviembre de 1990. Además, el citado Tratado consagra el “interés superior del menor” como un principio que debe tener una “consideración primordial” por los Estados parte. Así, el art. 3.1 de la indicada Convención establece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rsidR="005728DD" w:rsidRDefault="005728DD" w:rsidP="005728DD">
      <w:pPr>
        <w:pStyle w:val="TextoNormal"/>
      </w:pPr>
    </w:p>
    <w:p w:rsidR="005728DD" w:rsidRDefault="005728DD" w:rsidP="005728DD">
      <w:pPr>
        <w:pStyle w:val="TextoNormal"/>
      </w:pPr>
      <w:r>
        <w:t>De este modo, nuestra Constitución, además de reconocer el derecho fundamental a la educación de todos (art. 27.1 CE), prevé también, de modo especial, el derecho de los niños a gozar de la protección prevista en los acuerdos internacionales ratificados por España, en relación con aquel derecho (art. 39.4 CE), al tiempo que impone a las administraciones educativas el deber de regir su actuación conforme al principio rector del “interés superior del menor”.</w:t>
      </w:r>
    </w:p>
    <w:p w:rsidR="005728DD" w:rsidRDefault="005728DD" w:rsidP="005728DD">
      <w:pPr>
        <w:pStyle w:val="TextoNormal"/>
      </w:pPr>
    </w:p>
    <w:p w:rsidR="005728DD" w:rsidRDefault="005728DD" w:rsidP="005728DD">
      <w:pPr>
        <w:pStyle w:val="TextoNormal"/>
      </w:pPr>
      <w:r>
        <w:t xml:space="preserve">Precisamente, el art. 1 a) LOE, en la vigente redacción introducida por la Ley Orgánica 3/2020, de 29 de diciembre, enumera, entre los principios del sistema educativo español, “[e]l cumplimiento efectivo de los derechos de la infancia según lo establecido en la Convención sobre los derechos del niño […] reconociendo el interés superior del menor, su </w:t>
      </w:r>
      <w:r>
        <w:lastRenderedPageBreak/>
        <w:t>derecho a la educación, a no ser discriminado y a participar en las decisiones que les afecten y la obligación del Estado de asegurar sus derechos”. Por todo ello, los centros de enseñanza, al tiempo que prestan el servicio de formación y educación, y como responsables de la guarda y custodia de los alumnos durante la jornada lectiva, deben garantizar en todo momento su integridad, atendiendo a la primacía del “interés superior del menor”, por mandato del citado art. 39.4 CE.</w:t>
      </w:r>
    </w:p>
    <w:p w:rsidR="005728DD" w:rsidRDefault="005728DD" w:rsidP="005728DD">
      <w:pPr>
        <w:pStyle w:val="TextoNormal"/>
      </w:pPr>
    </w:p>
    <w:p w:rsidR="005728DD" w:rsidRDefault="005728DD" w:rsidP="005728DD">
      <w:pPr>
        <w:pStyle w:val="TextoNormal"/>
      </w:pPr>
      <w:r>
        <w:t>El tribunal ha advertido, también, que, en todas aquellas ocasiones en que haya sido denunciada la vulneración del derecho fundamental de un menor, su interés superior “inherente a algunas de las previsiones del art. 39 CE es, considerado en abstracto, un bien constitucional suficientemente relevante para motivar la adopción de medidas legales que restrinjan derechos y principios constitucionales” (STC 99/2019, de 18 de julio, FJ 7).</w:t>
      </w:r>
    </w:p>
    <w:p w:rsidR="005728DD" w:rsidRDefault="005728DD" w:rsidP="005728DD">
      <w:pPr>
        <w:pStyle w:val="TextoNormal"/>
      </w:pPr>
    </w:p>
    <w:p w:rsidR="005728DD" w:rsidRDefault="005728DD" w:rsidP="005728DD">
      <w:pPr>
        <w:pStyle w:val="TextoNormal"/>
      </w:pPr>
      <w:r>
        <w:t>Además, la reciente STC 178/2020, de 14 de diciembre, con cita de la precedente STC 64/2019, de 9 de mayo, FJ 4, ha recordado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(FJ 3). Y la precitada STC 178/2020 ha insistido, también, en la necesidad de que todos los poderes públicos cumplan el mandato dirigido a ellos en el art. 39 CE y atiendan de un modo preferente a la situación del menor de edad, observando y haciendo observar el estatuto del menor como norma de orden público. Por último, ha recalcado que, para valorar qué es lo que resulta más beneficioso para el menor, “ha de atenderse especialmente a las circunstancias concretas del caso, pues no hay dos supuestos iguales, ni puede establecerse un criterio apriorístico sobre cuál sea su mayor beneficio” (FJ 3).</w:t>
      </w:r>
    </w:p>
    <w:p w:rsidR="005728DD" w:rsidRDefault="005728DD" w:rsidP="005728DD">
      <w:pPr>
        <w:pStyle w:val="TextoNormal"/>
      </w:pPr>
    </w:p>
    <w:p w:rsidR="005728DD" w:rsidRDefault="005728DD" w:rsidP="005728DD">
      <w:pPr>
        <w:pStyle w:val="TextoNormal"/>
      </w:pPr>
      <w:r>
        <w:t>b) Para completar el régimen jurídico de este principio, el art. 74.2 LOE, específicamente destinado al alumnado con necesidades educativas especiales, menciona “el interés superior del menor”, junto con el del respeto a “la voluntad de las familias que muestren su preferencia por el régimen más inclusivo”, como los dos criterios que deben utilizar las administraciones educativas para resolver las posibles discrepancias que puedan surgir en la escolarización de aquellos alumnos, haciendo mención, de modo particular, a los que tengan “trastornos graves de conducta” (art. 73.1 LOE), como eventualmente sucede con el caso que nos ocupa.</w:t>
      </w:r>
    </w:p>
    <w:p w:rsidR="005728DD" w:rsidRDefault="005728DD" w:rsidP="005728DD">
      <w:pPr>
        <w:pStyle w:val="TextoNormal"/>
      </w:pPr>
    </w:p>
    <w:p w:rsidR="005728DD" w:rsidRDefault="005728DD" w:rsidP="005728DD">
      <w:pPr>
        <w:pStyle w:val="TextoNormal"/>
      </w:pPr>
      <w:r>
        <w:t>Para que estos alumnos puedan “alcanzar los objetivos establecidos con carácter general para todos los alumnos” (art. 73.2 LOE), el legislador prevé la habilitación de los recursos necesarios para una “detección precoz” de aquellos trastornos, la “identificación y valoración de sus necesidades educativas por profesionales especialistas” y el “apoyo preciso desde el momento de su escolarización o de la detección de su necesidad” (arts. 73 y 74 LOE), rigiéndose, en todo caso, su escolarización “por los principios de normalización e inclusión”, asegurándose “su no discriminación y la igualdad efectiva en el acceso y la permanencia en el sistema educativo” (art. 74.1 LOE). Como así lo declaró la STC 10/2014, de 27 de enero, “la educación debe ser inclusiva, es decir se debe promover la escolarización de los menores en un centro de educación ordinaria, proporcionándoseles los apoyos necesarios para su integración en el sistema educativo si padecen algún tipo de discapacidad” (FJ 4).</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al caso: desestimación de la alegada vulneración del art. 27 CE</w:t>
      </w:r>
      <w:r>
        <w:t>.</w:t>
      </w:r>
    </w:p>
    <w:p w:rsidR="005728DD" w:rsidRDefault="005728DD" w:rsidP="005728DD">
      <w:pPr>
        <w:pStyle w:val="TextoNormal"/>
      </w:pPr>
    </w:p>
    <w:p w:rsidR="005728DD" w:rsidRDefault="005728DD" w:rsidP="005728DD">
      <w:pPr>
        <w:pStyle w:val="TextoNormal"/>
      </w:pPr>
      <w:r>
        <w:t>A) La demanda de amparo tiene como eje central de la queja la dimensión prestacional de este derecho fundamental, toda vez que el núcleo del debate se localiza en determinar, a la vista de los hechos descritos en los antecedentes, si la decisión adoptada por la directora del centro escolar Costa Blanca vulneró el derecho a la educación del menor M.F.R. por, según destaca la demanda, haber expulsado indefinidamente al menor del colegio público en el que estaba matriculado, hasta tanto los padres hubieran aportado una certificación médico-psiquiátrica que identificara los trastornos de conducta que aquel había exteriorizado, sin que la administración educativa hubiera realizado el aporte de recursos materiales y personales necesarios para solucionar aquella problemática, pero manteniendo la asistencia de M.F.R. al centro, como el resto de los alumnos.</w:t>
      </w:r>
    </w:p>
    <w:p w:rsidR="005728DD" w:rsidRDefault="005728DD" w:rsidP="005728DD">
      <w:pPr>
        <w:pStyle w:val="TextoNormal"/>
      </w:pPr>
    </w:p>
    <w:p w:rsidR="005728DD" w:rsidRDefault="005728DD" w:rsidP="005728DD">
      <w:pPr>
        <w:pStyle w:val="TextoNormal"/>
      </w:pPr>
      <w:r>
        <w:t>Como acabamos de recordar, nuestra doctrina exige una respuesta a la queja, que deberá estar guiada por el principio del “interés superior del menor” en el caso concreto. Para llegar a ella, debemos retomar los antecedentes de hecho más relevantes:</w:t>
      </w:r>
    </w:p>
    <w:p w:rsidR="005728DD" w:rsidRDefault="005728DD" w:rsidP="005728DD">
      <w:pPr>
        <w:pStyle w:val="TextoNormal"/>
      </w:pPr>
    </w:p>
    <w:p w:rsidR="005728DD" w:rsidRDefault="005728DD" w:rsidP="005728DD">
      <w:pPr>
        <w:pStyle w:val="TextoNormal"/>
      </w:pPr>
      <w:r>
        <w:t>a) En las actuaciones administrativas y judiciales ha quedado acreditado que: i) el menor M.F.R sufría episodios de agresividad dirigidos contra compañeros y profesores, así como contra sí mismo llegando a autolesionarse, ya que golpeaba fuertemente los cristales del aula, daba cabezazos y rompía materiales con violencia; ii) por esta razón, el centro tuvo que habilitar una sala acolchada que —según manifiesta la inspectora educativa responsable del mismo— solo podía estar en un centro de educación especial; iii) para evitar que se hiciera daño a sí mismo, se le aplicaba contención física, al punto de que dos profesores sufrieron lesiones al hacerlo; y iv) los referidos comportamientos se podían repetir varias veces al día y tener una duración de hasta cincuenta minutos, siendo en general de más de treinta minutos.</w:t>
      </w:r>
    </w:p>
    <w:p w:rsidR="005728DD" w:rsidRDefault="005728DD" w:rsidP="005728DD">
      <w:pPr>
        <w:pStyle w:val="TextoNormal"/>
      </w:pPr>
    </w:p>
    <w:p w:rsidR="005728DD" w:rsidRDefault="005728DD" w:rsidP="005728DD">
      <w:pPr>
        <w:pStyle w:val="TextoNormal"/>
      </w:pPr>
      <w:r>
        <w:t>b) Desde que, en octubre de 2016, comenzaron tales comportamientos disruptivos hasta el 16 de febrero de 2017, fecha en que fue adoptada la resolución controvertida, el servicio de psicopedagogía del centro, en sucesivos informes, registró con detalle los episodios que se producían cada semana, las consecuencias que tenían para el menor y sus compañeros y profesores, las técnicas aplicadas para reconducirlos y los resultados obtenidos. En dichas reseñas la psicopedagoga del centro relata que, en ocasiones, no era posible reconducir la situación, que el niño se hacía daño a sí mismo, agredía a la tutora y compañeros (tirándoles del pelo, escupiendo, mordiendo, golpeando, lanzándoles objetos) y el resto de niños gritaban que “está loco” y le tenían miedo. El logopeda, por su parte, informa que, en las sesiones que tuvo con él, “se tapaba las orejas” y que, al preguntarle por qué lo hacía, el niño respondía que oía “ruidos de perros y gatos”. En ocasiones, las agresiones a otros niños tenían lugar “muy violentamente”, lo que obligaba a sacarle del aula y a practicar contención, “dada la peligrosidad de la situación”.</w:t>
      </w:r>
    </w:p>
    <w:p w:rsidR="005728DD" w:rsidRDefault="005728DD" w:rsidP="005728DD">
      <w:pPr>
        <w:pStyle w:val="TextoNormal"/>
      </w:pPr>
    </w:p>
    <w:p w:rsidR="005728DD" w:rsidRDefault="005728DD" w:rsidP="005728DD">
      <w:pPr>
        <w:pStyle w:val="TextoNormal"/>
      </w:pPr>
      <w:r>
        <w:t xml:space="preserve">c) El centro diseñó un protocolo de intervención para abordar la situación creada y adoptó medidas específicas, como reducir la duración de su jornada escolar, dedicar dos profesores que le atendieran de manera individual durante varias horas al día (un pedagogo y un logopeda), así como asegurar que, cuando M.F.R. estuviera con el resto de sus compañeros en el aula, hubiera siempre dos personas presentes “para evitar el peligro”. Se le privó también </w:t>
      </w:r>
      <w:r>
        <w:lastRenderedPageBreak/>
        <w:t>de acudir a alguna excursión, “dada la peligrosidad exponencial de realizarse fuera del recinto escolar”.</w:t>
      </w:r>
    </w:p>
    <w:p w:rsidR="005728DD" w:rsidRDefault="005728DD" w:rsidP="005728DD">
      <w:pPr>
        <w:pStyle w:val="TextoNormal"/>
      </w:pPr>
    </w:p>
    <w:p w:rsidR="005728DD" w:rsidRDefault="005728DD" w:rsidP="005728DD">
      <w:pPr>
        <w:pStyle w:val="TextoNormal"/>
      </w:pPr>
      <w:r>
        <w:t>De todo lo acontecido se fue informando a los padres en sucesivas reuniones, entre otras, la de 22 de diciembre de 2016, en la que se hizo saber que “el comportamiento agresivo del alumno está llegando a límites insostenibles para garantizar su seguridad e integridad física y la de los que le rodean”; también, la de 18 de enero de 2017, en que se recalcó “la gravedad y progresión de los episodios de agresividad sufridos por el niño”.</w:t>
      </w:r>
    </w:p>
    <w:p w:rsidR="005728DD" w:rsidRDefault="005728DD" w:rsidP="005728DD">
      <w:pPr>
        <w:pStyle w:val="TextoNormal"/>
      </w:pPr>
    </w:p>
    <w:p w:rsidR="005728DD" w:rsidRDefault="005728DD" w:rsidP="005728DD">
      <w:pPr>
        <w:pStyle w:val="TextoNormal"/>
      </w:pPr>
      <w:r>
        <w:t>d) Ante la imposibilidad de llevar a cabo otras medidas en el centro escolar, se requirió repetidamente a los padres que aportaran un diagnóstico de psiquiatría infantil, o servicio de neuropediatría, para así clarificar si había algún tipo de trastorno que explicara la conducta de M.F.R., tanto por el bien del niño como por la normalización de su escolarización. Sin embargo, la familia no aportó ningún diagnóstico médico al centro.</w:t>
      </w:r>
    </w:p>
    <w:p w:rsidR="005728DD" w:rsidRDefault="005728DD" w:rsidP="005728DD">
      <w:pPr>
        <w:pStyle w:val="TextoNormal"/>
      </w:pPr>
    </w:p>
    <w:p w:rsidR="005728DD" w:rsidRDefault="005728DD" w:rsidP="005728DD">
      <w:pPr>
        <w:pStyle w:val="TextoNormal"/>
      </w:pPr>
      <w:r>
        <w:t>e) Los episodios sucedían al interactuar con los demás niños y con los profesores, informando los padres que en el ámbito familiar no se producían. Esto permitía inferir que la situación de riesgo estaba ligada al entorno escolar.</w:t>
      </w:r>
    </w:p>
    <w:p w:rsidR="005728DD" w:rsidRDefault="005728DD" w:rsidP="005728DD">
      <w:pPr>
        <w:pStyle w:val="TextoNormal"/>
      </w:pPr>
    </w:p>
    <w:p w:rsidR="005728DD" w:rsidRDefault="005728DD" w:rsidP="005728DD">
      <w:pPr>
        <w:pStyle w:val="TextoNormal"/>
      </w:pPr>
      <w:r>
        <w:t>B) Los antecedentes relatados describen un escenario en el que la dirección del centro escolar de M.F.R. se vio imposibilitada para poder reconducir la situación generada por la conducta reiterada del menor, que, con su comportamiento agresivo, había ocasionado lesiones a profesores, a compañeros de clase e incluso a sí mismo, con el riesgo probable de que la situación pudiera empeorar aún más, a raíz de su interacción con aquellos. Tal imposibilidad venía determinada por dos factores: (i) el desconocimiento por parte del centro de la causa que motivaba aquellos trastornos del comportamiento, toda vez que los sucesivos informes incorporados a las actuaciones describían el resultado del comportamiento del menor, pero no identificaban la etiología de aquellos trastornos de conducta y agresividad; faltaba un diagnóstico clínico que pudiera determinar el origen para, seguidamente, prescribir el tratamiento terapéutico y psicopedagógico adecuado; y (ii) el protocolo de intervención que diseñó el centro para tratar de dar solución al problema no obtuvo ningún resultado satisfactorio. A ambas conclusiones podemos llegar luego de una atenta lectura de la resolución de 16 de febrero de 2017, dictada por la directora del colegio Costa Blanca en el que estaba escolarizado M.F.R.</w:t>
      </w:r>
    </w:p>
    <w:p w:rsidR="005728DD" w:rsidRDefault="005728DD" w:rsidP="005728DD">
      <w:pPr>
        <w:pStyle w:val="TextoNormal"/>
      </w:pPr>
    </w:p>
    <w:p w:rsidR="005728DD" w:rsidRDefault="005728DD" w:rsidP="005728DD">
      <w:pPr>
        <w:pStyle w:val="TextoNormal"/>
      </w:pPr>
      <w:r>
        <w:t>A partir de esta descripción de los presupuestos de este proceso de amparo debemos ahora someter a nuestro enjuiciamiento las razones que ofreció la resolución administrativa impugnada para justificar las medidas que adoptó y si el conjunto de aquellos razonamientos y decisiones se ajustan o no al “interés superior del menor”. En el caso de autos, tal interés superior vendría determinado por la exigencia de garantizar el aseguramiento de dos aspectos relevantes para el desarrollo de la personalidad de M.F.R: de una parte, la integridad psíquica y física del menor y del resto de escolares y equipo pedagógico del centro escolar; de otro lado, el progreso en la formación educativa del menor.</w:t>
      </w:r>
    </w:p>
    <w:p w:rsidR="005728DD" w:rsidRDefault="005728DD" w:rsidP="005728DD">
      <w:pPr>
        <w:pStyle w:val="TextoNormal"/>
      </w:pPr>
    </w:p>
    <w:p w:rsidR="005728DD" w:rsidRDefault="005728DD" w:rsidP="005728DD">
      <w:pPr>
        <w:pStyle w:val="TextoNormal"/>
      </w:pPr>
      <w:r>
        <w:t xml:space="preserve">Fueron tres las medidas que adoptó la dirección del colegio para tratar de solucionar la problemática planteada: (i) recabar de la familia del alumno el aporte de un diagnóstico médico de los padecimientos que tuviera, así como una propuesta de tratamiento, con recomendación de que el informe lo elaborara la Unidad de Salud Mental Infantil (USMI); (ii) </w:t>
      </w:r>
      <w:r>
        <w:lastRenderedPageBreak/>
        <w:t>suspender la asistencia a clase del alumno hasta que, iniciado el tratamiento, se estableciera el protocolo de actuación en el centro, con una progresiva escolarización del menor hasta su completa integración; y (iii) proponer a la familia la información y el aporte de recursos pedagógicos de apoyo para continuar con la educación del alumno en su ámbito familiar.</w:t>
      </w:r>
    </w:p>
    <w:p w:rsidR="005728DD" w:rsidRDefault="005728DD" w:rsidP="005728DD">
      <w:pPr>
        <w:pStyle w:val="TextoNormal"/>
      </w:pPr>
    </w:p>
    <w:p w:rsidR="005728DD" w:rsidRDefault="005728DD" w:rsidP="005728DD">
      <w:pPr>
        <w:pStyle w:val="TextoNormal"/>
      </w:pPr>
      <w:r>
        <w:t>a) Por lo que se refiere a la primera de las medidas adoptadas, se apoya en fundamentos razonables y es conforme a una lógica de actuación que responde al hecho de haber constatado el centro y quedado acreditada en el expediente la existencia de una sucesión reiterada de episodios de conducta agresiva por parte de M.F.R., sin que se hubiera llegado a identificar la causa generadora de aquel comportamiento. Era, por tanto, imprescindible averiguar por qué se producían aquellos trastornos violentos del comportamiento del menor, para poder elaborar más tarde un tratamiento terapéutico y un protocolo psicopedagógico adecuado que permitiera reconducir la situación y reintegrar al alumno a la normalidad del funcionamiento del centro escolar.</w:t>
      </w:r>
    </w:p>
    <w:p w:rsidR="005728DD" w:rsidRDefault="005728DD" w:rsidP="005728DD">
      <w:pPr>
        <w:pStyle w:val="TextoNormal"/>
      </w:pPr>
    </w:p>
    <w:p w:rsidR="005728DD" w:rsidRDefault="005728DD" w:rsidP="005728DD">
      <w:pPr>
        <w:pStyle w:val="TextoNormal"/>
      </w:pPr>
      <w:r>
        <w:t>Además, como se desprende de las actuaciones, los accesos de violencia que experimentaba M.F.R. tenían lugar en el momento en que se relacionaba con profesores y otros alumnos del centro escolar, pero no cuando asistía a las sesiones individuales con la psicóloga clínica del centro, ni tampoco cuando se encontraba en el ámbito familiar. Interesar de la familia que fuera ella la que aportara un informe médico era una forma de hacerla participar de manera activa en el problema suscitado y en las vías de solución que podrían abrirse, teniendo en cuenta, además, que se trataba de un menor de muy corta edad (cuatro años, cuando tuvieron lugar los hechos) y que, según manifiestan los padres, en el entorno familiar no desarrollaba estos comportamientos violentos, por lo que resultaría más fácil la realización de las pruebas necesarias para la elaboración del diagnóstico y el diseño de un tratamiento con el que poner en vías de solución los trastornos conductuales del menor.</w:t>
      </w:r>
    </w:p>
    <w:p w:rsidR="005728DD" w:rsidRDefault="005728DD" w:rsidP="005728DD">
      <w:pPr>
        <w:pStyle w:val="TextoNormal"/>
      </w:pPr>
    </w:p>
    <w:p w:rsidR="005728DD" w:rsidRDefault="005728DD" w:rsidP="005728DD">
      <w:pPr>
        <w:pStyle w:val="TextoNormal"/>
      </w:pPr>
      <w:r>
        <w:t xml:space="preserve">Finalmente, no podemos dejar de lado que el esfuerzo compartido por padres y autoridad educativa para fortalecer la formación educativa de los alumnos, así como el carácter de “primeros responsables de la educación de sus hijos” [art. 1, apartados h) y h </w:t>
      </w:r>
      <w:r w:rsidRPr="005728DD">
        <w:rPr>
          <w:i/>
        </w:rPr>
        <w:t>bis</w:t>
      </w:r>
      <w:r>
        <w:t>) LOE], son principios informadores establecidos por el legislador para involucrar a los recurrentes, en cuanto padres, en la consolidación de su compromiso con el desarrollo formativo de su hijo.</w:t>
      </w:r>
    </w:p>
    <w:p w:rsidR="005728DD" w:rsidRDefault="005728DD" w:rsidP="005728DD">
      <w:pPr>
        <w:pStyle w:val="TextoNormal"/>
      </w:pPr>
    </w:p>
    <w:p w:rsidR="005728DD" w:rsidRDefault="005728DD" w:rsidP="005728DD">
      <w:pPr>
        <w:pStyle w:val="TextoNormal"/>
      </w:pPr>
      <w:r>
        <w:t xml:space="preserve">b) La suspensión de la asistencia al centro escolar, medida sobre la que pone especial énfasis la demanda para sostener la vulneración del derecho a la educación del art. 27 CE, se adoptó con carácter preventivo, según destacaba la resolución impugnada, y su duración iba a depender del aporte del diagnóstico clínico del menor y del tratamiento que se le pudiera prescribir. Por ello, debemos descartar </w:t>
      </w:r>
      <w:r w:rsidRPr="005728DD">
        <w:rPr>
          <w:i/>
        </w:rPr>
        <w:t>a limine</w:t>
      </w:r>
      <w:r>
        <w:t xml:space="preserve"> que se tratara de una medida de expulsión, como sostiene la demanda, porque, como hemos detallado en los antecedentes, tanto la dirección del colegio como la administración educativa continuaron realizando un seguimiento de la situación del menor en meses posteriores al de la resolución de 16 de febrero de 2017 ahora impugnada, siendo, además, desconocedores aquellos de que los padres de M.F.R. habían inscrito a su hijo en otro centro escolar de titularidad privada, sin haber comunicado al colegio Costa Blanca dicha matriculación.</w:t>
      </w:r>
    </w:p>
    <w:p w:rsidR="005728DD" w:rsidRDefault="005728DD" w:rsidP="005728DD">
      <w:pPr>
        <w:pStyle w:val="TextoNormal"/>
      </w:pPr>
    </w:p>
    <w:p w:rsidR="005728DD" w:rsidRDefault="005728DD" w:rsidP="005728DD">
      <w:pPr>
        <w:pStyle w:val="TextoNormal"/>
      </w:pPr>
      <w:r>
        <w:t xml:space="preserve">Por otro lado, según se desprende de los antecedentes y de la resolución administrativa impugnada, la medida de suspensión se acordó como último remedio, después de que el centro hubiera “volcado todos sus recursos” —en palabras de la inspectora de educación— </w:t>
      </w:r>
      <w:r>
        <w:lastRenderedPageBreak/>
        <w:t>para abordar la situación con los medios a su alcance: trabajando con el resto de alumnos para que aprendieran a tratar con M.F.R.; reduciendo la jornada escolar del menor; asignando un pedagogo y un logopeda que le atendían individualizadamente durante ciertas horas; y destinando un segundo profesor en el aula, para evitar riesgos, cuando el niño estaba con sus compañeros.</w:t>
      </w:r>
    </w:p>
    <w:p w:rsidR="005728DD" w:rsidRDefault="005728DD" w:rsidP="005728DD">
      <w:pPr>
        <w:pStyle w:val="TextoNormal"/>
      </w:pPr>
    </w:p>
    <w:p w:rsidR="005728DD" w:rsidRDefault="005728DD" w:rsidP="005728DD">
      <w:pPr>
        <w:pStyle w:val="TextoNormal"/>
      </w:pPr>
      <w:r>
        <w:t>Al no resolverse el problema, el servicio de psicopedagogía y el resto del equipo docente valoró, ante el aumento en frecuencia y gravedad de los episodios, que el tratamiento de aquellos trastornos del comportamiento de M.F.R. excedía del ámbito escolar y que, para garantizar su integridad física (y evitar males mayores), lo mejor era suspender su asistencia a clase, en tanto no se tuviera un diagnóstico médico que permitiera adoptar la respuesta adecuada al caso.</w:t>
      </w:r>
    </w:p>
    <w:p w:rsidR="005728DD" w:rsidRDefault="005728DD" w:rsidP="005728DD">
      <w:pPr>
        <w:pStyle w:val="TextoNormal"/>
      </w:pPr>
    </w:p>
    <w:p w:rsidR="005728DD" w:rsidRDefault="005728DD" w:rsidP="005728DD">
      <w:pPr>
        <w:pStyle w:val="TextoNormal"/>
      </w:pPr>
      <w:r>
        <w:t>Así pues, la medida de suspensión obedeció a una necesidad apremiante, surgida de una problemática conductual de M.F.R. que era reiterada en el tiempo y que cada vez, con mayor frecuencia y duración, se iba reproduciendo con episodios violentos contra sí mismo y también contra los compañeros de clase y profesores que le atendían. Fue adoptada después de haber intentado otro tipo de medidas alternativas menos gravosas, con la utilización de todos los recursos psicopedagógicos de que disponía el centro escolar y también la administración educativa para tratar de revertir aquella progresión, sin que se obtuviera ningún resultado satisfactorio.</w:t>
      </w:r>
    </w:p>
    <w:p w:rsidR="005728DD" w:rsidRDefault="005728DD" w:rsidP="005728DD">
      <w:pPr>
        <w:pStyle w:val="TextoNormal"/>
      </w:pPr>
    </w:p>
    <w:p w:rsidR="005728DD" w:rsidRDefault="005728DD" w:rsidP="005728DD">
      <w:pPr>
        <w:pStyle w:val="TextoNormal"/>
      </w:pPr>
      <w:r>
        <w:t>Finalmente, resultaba proporcionada al tiempo de duración y a las condiciones en que iba a tener lugar: (i) al tiempo porque, aunque tenía inicialmente carácter indefinido, quedaba supeditado su mantenimiento al que fuera imprescindible para obtener un diagnóstico clínico que identificara la etiología de aquellos trastornos de conducta y ofreciera un tratamiento clínico adecuado para la solución de aquel comportamiento; y (ii) en lo que se refiere a las condiciones, porque, como se destacará después, la medida no era de interrupción temporal del proceso de formación educativa del menor, sino tan solo de la suspensión de su asistencia a clase, pues se preveía que durante aquel tiempo de permanencia de la medida se suministrara la información y los recursos pedagógicos adecuados para que el niño pudiera continuar su educación en el ámbito familiar.</w:t>
      </w:r>
    </w:p>
    <w:p w:rsidR="005728DD" w:rsidRDefault="005728DD" w:rsidP="005728DD">
      <w:pPr>
        <w:pStyle w:val="TextoNormal"/>
      </w:pPr>
    </w:p>
    <w:p w:rsidR="005728DD" w:rsidRDefault="005728DD" w:rsidP="005728DD">
      <w:pPr>
        <w:pStyle w:val="TextoNormal"/>
      </w:pPr>
      <w:r>
        <w:t>c) Por último, la tercera de las medidas estaba encaminada a evitar el perjuicio que podría suponer para el menor la suspensión de su asistencia a clase. A tal fin, la resolución administrativa de la directora del centro ofreció a la familia de M.F.R. poder “recibir del profesorado del centro cuanta información y recursos pedagógicos [fueran] necesarios para continuar con la educación del mismo en el ámbito familiar”. Es decir, en la resolución lo que, en realidad, se proponía era sustituir temporalmente la educación presencial del menor, supliendo la suspensión de asistencia a clase en el centro escolar, por otra en la que el niño recibiera, en su ámbito familiar, la asistencia pedagógica necesaria para continuar su educación. El art. 3.9 LOE dispone, al respecto, que “[p]ara garantizar el derecho a la educación de quienes no puedan asistir de modo regular a los centros docentes, se desarrollará una oferta adecuada de educación a distancia o, en su caso, de apoyo y atención educativa específica”. Por tanto, la medida adoptada, además de estar prevista legalmente para supuestos muy concretos (oferta de “apoyo y atención educativa específica”), fue aplicada en el caso de autos después de una justificación razonada y lógica, teniendo en cuenta las circunstancias concurrentes en aquel.</w:t>
      </w:r>
    </w:p>
    <w:p w:rsidR="005728DD" w:rsidRDefault="005728DD" w:rsidP="005728DD">
      <w:pPr>
        <w:pStyle w:val="TextoNormal"/>
      </w:pPr>
    </w:p>
    <w:p w:rsidR="005728DD" w:rsidRDefault="005728DD" w:rsidP="005728DD">
      <w:pPr>
        <w:pStyle w:val="TextoNormal"/>
      </w:pPr>
      <w:r>
        <w:t>No cabe, por ello, compartir la apreciación del Ministerio Fiscal de que se ha priorizado el interés general representado por el buen funcionamiento del proceso educativo, obviando cualquier referencia a los perjuicios que la medida suponía para el menor. Al contrario, el interés superior de M.F.R. hacía necesario proteger, antes que nada, su integridad física, como también la del resto de sus compañeros de clase y del equipo docente del centro escolar. Para ello, la decisión administrativa de suspender la asistencia a las clases tenía por objeto hacerle salir del escenario en el que se había comprobado que surgían los brotes de violencia y los episodios de conducta agresiva del menor, para sustituirlo por el entorno familiar, que favorecía un apaciguamiento de su comportamiento agresivo. Además, la suspensión acordada no interrumpía el proceso educativo del niño, sino que simplemente, resultaba sustituida la educación presencial por otra con apoyo pedagógico específico en el seno de su familia.</w:t>
      </w:r>
    </w:p>
    <w:p w:rsidR="005728DD" w:rsidRDefault="005728DD" w:rsidP="005728DD">
      <w:pPr>
        <w:pStyle w:val="TextoNormal"/>
      </w:pPr>
    </w:p>
    <w:p w:rsidR="005728DD" w:rsidRDefault="005728DD" w:rsidP="005728DD">
      <w:pPr>
        <w:pStyle w:val="TextoNormal"/>
      </w:pPr>
      <w:r>
        <w:t>De la consideración de todas las circunstancias concurrentes, llegamos a la conclusión de que la resolución impugnada fue dictada teniendo en cuenta el “interés superior del menor” M.F.R., justificándolo mediante un razonamiento que supera el juicio de proporcionalidad exigido por nuestra doctrina en aquellos casos en los que la actuación cuestionada de los poderes públicos afecta a un derecho fundamental sustantivo (por todas, SSTC 173/1995, de 21 de noviembre, FJ 2, y 96/2012, de 7 de mayo, FJ 10).</w:t>
      </w:r>
    </w:p>
    <w:p w:rsidR="005728DD" w:rsidRDefault="005728DD" w:rsidP="005728DD">
      <w:pPr>
        <w:pStyle w:val="TextoNormal"/>
      </w:pPr>
    </w:p>
    <w:p w:rsidR="005728DD" w:rsidRDefault="005728DD" w:rsidP="005728DD">
      <w:pPr>
        <w:pStyle w:val="TextoNormal"/>
      </w:pPr>
      <w:r>
        <w:t>C) Por su parte, las sentencias dictadas por el Juzgado de lo Contencioso-Administrativo núm. 3 de Alicante y por la Sala de lo Contencioso-Administrativo del Tribunal Superior de Justicia de la Comunidad Valenciana de 26 de diciembre de 2017 y 10 de octubre de 2018, a las que se imputa no haber corregido las lesiones causadas por la administración educativa, integran una respuesta, no solamente motivada y fundada en Derecho, sino además coherente y respetuosa con el derecho a la educación.</w:t>
      </w:r>
    </w:p>
    <w:p w:rsidR="005728DD" w:rsidRDefault="005728DD" w:rsidP="005728DD">
      <w:pPr>
        <w:pStyle w:val="TextoNormal"/>
      </w:pPr>
    </w:p>
    <w:p w:rsidR="005728DD" w:rsidRDefault="005728DD" w:rsidP="005728DD">
      <w:pPr>
        <w:pStyle w:val="TextoNormal"/>
      </w:pPr>
      <w:r>
        <w:t>a) Así, el juzgado, tras descartar que lo impugnado sea una medida disciplinaria, enfatiza que viene motivada porque se ponía “en grave riesgo tanto su propia integridad física [de M.F.R.] como la de sus compañeros de clase y el propio profesorado del centro”, habiéndose llegado a ella tras una “situación absolutamente insostenible provocada por el comportamiento del propio menor y la absoluta falta de colaboración de sus padres”. La sentencia subraya que el centro se vio obligado a poner en marcha un calendario de actuaciones para hacer frente a la situación creada, pero carecía de la información necesaria para poder determinar las necesidades educativas especiales que requería el menor, en concreto, “de algo tan elemental como la valoración por un especialista médico cualificado”. Fundamenta todo lo anterior en las declaraciones de los testigos en la fase de prueba.</w:t>
      </w:r>
    </w:p>
    <w:p w:rsidR="005728DD" w:rsidRDefault="005728DD" w:rsidP="005728DD">
      <w:pPr>
        <w:pStyle w:val="TextoNormal"/>
      </w:pPr>
    </w:p>
    <w:p w:rsidR="005728DD" w:rsidRDefault="005728DD" w:rsidP="005728DD">
      <w:pPr>
        <w:pStyle w:val="TextoNormal"/>
      </w:pPr>
      <w:r>
        <w:t>b) Por su parte, la sentencia de la Sala de lo Contencioso-Administrativo del Tribunal Superior de Justicia de la Comunidad Valenciana de 10 de octubre de 2018 destaca que el debate es fundamentalmente fáctico. La Sala insiste, como ya había hecho el juzgado, en el carácter preventivo o cautelar de la medida, cuyo objetivo era evitar que persistiera una situación de riesgo para el alumno, los compañeros (asimismo titulares del derecho a la educación —precisa—) y los profesores. Concluye, en suma, que fue “adecuada y proporcionada a la situación acreditada”.</w:t>
      </w:r>
    </w:p>
    <w:p w:rsidR="005728DD" w:rsidRDefault="005728DD" w:rsidP="005728DD">
      <w:pPr>
        <w:pStyle w:val="TextoNormal"/>
      </w:pPr>
    </w:p>
    <w:p w:rsidR="005728DD" w:rsidRDefault="005728DD" w:rsidP="005728DD">
      <w:pPr>
        <w:pStyle w:val="TextoNormal"/>
      </w:pPr>
      <w:r>
        <w:lastRenderedPageBreak/>
        <w:t>Por todo lo anterior, debemos descartar que la resolución de 16 de febrero de 2017 de la directora del centro escolar Costa Blanca por la que disponía que, como medida preventiva, el menor M.F.R. permaneciera en su domicilio mientras era diagnosticado por un especialista médico, así como las resoluciones judiciales que la confirmaron, hayan vulnerado su derecho fundamental a la educación, al haber motivado y ponderado suficientemente las razones en que se basa la adopción de tal medida excepcional, de forma coherente con la primacía del interés superior del menor. En consecuencia, dicha resolución fue respetuosa con el contenido del art. 27 CE (STC 10/2014, de 27 de enero, FJ 7).</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Examen de la alegada vulneración de los arts. 14, 15 y 24 CE: desestimación</w:t>
      </w:r>
      <w:r>
        <w:t>.</w:t>
      </w:r>
    </w:p>
    <w:p w:rsidR="005728DD" w:rsidRDefault="005728DD" w:rsidP="005728DD">
      <w:pPr>
        <w:pStyle w:val="TextoNormal"/>
      </w:pPr>
    </w:p>
    <w:p w:rsidR="005728DD" w:rsidRDefault="005728DD" w:rsidP="005728DD">
      <w:pPr>
        <w:pStyle w:val="TextoNormal"/>
      </w:pPr>
      <w:r>
        <w:t>La demanda de amparo alega que la actuación del centro Costa Blanca también lesionó los derechos fundamentales de los arts. 14, 15 y 24 CE.</w:t>
      </w:r>
    </w:p>
    <w:p w:rsidR="005728DD" w:rsidRDefault="005728DD" w:rsidP="005728DD">
      <w:pPr>
        <w:pStyle w:val="TextoNormal"/>
      </w:pPr>
    </w:p>
    <w:p w:rsidR="005728DD" w:rsidRDefault="005728DD" w:rsidP="005728DD">
      <w:pPr>
        <w:pStyle w:val="TextoNormal"/>
      </w:pPr>
      <w:r>
        <w:t>a) En primer lugar, se argumenta que M.F.R. sufrió discriminación contraria al art. 14 CE porque se le trató como si tuviese una enfermedad mental o psiquiátrica, no iba a las excursiones como los demás niños y se le sacaba de su clase durante dos horas al día, aplicándole técnicas y métodos educativos equivocados. El fiscal y la abogada de la Generalitat niegan la vulneración porque no se ha aportado un término válido de comparación ni prueba alguna de que el niño haya sido discriminado por el centro escolar.</w:t>
      </w:r>
    </w:p>
    <w:p w:rsidR="005728DD" w:rsidRDefault="005728DD" w:rsidP="005728DD">
      <w:pPr>
        <w:pStyle w:val="TextoNormal"/>
      </w:pPr>
    </w:p>
    <w:p w:rsidR="005728DD" w:rsidRDefault="005728DD" w:rsidP="005728DD">
      <w:pPr>
        <w:pStyle w:val="TextoNormal"/>
      </w:pPr>
      <w:r>
        <w:t>Debemos dar por reproducida la consolidada doctrina constitucional sobre el derecho a la igualdad y a no sufrir discriminación, recogida, entre otras muchas, en las SSTC 22/1981, de 2 de julio, FJ 3, y 1/2021, de 25 de enero, FJ 3; y específicamente, respecto de la discriminación por enfermedad, en la STC 62/2008, de 26 de mayo, FJ 3.</w:t>
      </w:r>
    </w:p>
    <w:p w:rsidR="005728DD" w:rsidRDefault="005728DD" w:rsidP="005728DD">
      <w:pPr>
        <w:pStyle w:val="TextoNormal"/>
      </w:pPr>
    </w:p>
    <w:p w:rsidR="005728DD" w:rsidRDefault="005728DD" w:rsidP="005728DD">
      <w:pPr>
        <w:pStyle w:val="TextoNormal"/>
      </w:pPr>
      <w:r>
        <w:t>A la vista de tal doctrina, la queja no puede estimarse. Por un lado, no se aporta como término de comparación el caso de ningún otro niño que, en una situación similar a la de M.F.R., fuera tratado de forma distinta. Por otro, la discriminación imputada al centro se asocia a decisiones como asignarle profesores de refuerzo o aplicarle técnicas para evitar que, durante sus reacciones agresivas, se lesionara. Nada de lo cual puede calificarse de discriminatorio. Aunque los padres puedan legítimamente discrepar de las medidas, estas se orientaban a intentar resolver la situación y no a discriminar al menor frente al resto.</w:t>
      </w:r>
    </w:p>
    <w:p w:rsidR="005728DD" w:rsidRDefault="005728DD" w:rsidP="005728DD">
      <w:pPr>
        <w:pStyle w:val="TextoNormal"/>
      </w:pPr>
    </w:p>
    <w:p w:rsidR="005728DD" w:rsidRDefault="005728DD" w:rsidP="005728DD">
      <w:pPr>
        <w:pStyle w:val="TextoNormal"/>
      </w:pPr>
      <w:r>
        <w:t>b) De forma similar, la vulneración del derecho a la integridad física y moral del menor (art. 15 CE) se relaciona con la contención física aplicada cuando tenía reacciones de violencia y agresividad hacia sí mismo y hacia quienes le rodeaban.</w:t>
      </w:r>
    </w:p>
    <w:p w:rsidR="005728DD" w:rsidRDefault="005728DD" w:rsidP="005728DD">
      <w:pPr>
        <w:pStyle w:val="TextoNormal"/>
      </w:pPr>
    </w:p>
    <w:p w:rsidR="005728DD" w:rsidRDefault="005728DD" w:rsidP="005728DD">
      <w:pPr>
        <w:pStyle w:val="TextoNormal"/>
      </w:pPr>
      <w:r>
        <w:t>De acuerdo con la descripción de los hechos recogida en los antecedentes, la contención física del menor tenía por finalidad precisamente evitar que el niño se hiciera daño a sí mismo o a su entorno. Por consiguiente, a la vista de la doctrina constitucional sobre el art. 15 CE (por todas, STC 116/2010, de 24 de noviembre, FJ 2), la queja debe ser desestimada.</w:t>
      </w:r>
    </w:p>
    <w:p w:rsidR="005728DD" w:rsidRDefault="005728DD" w:rsidP="005728DD">
      <w:pPr>
        <w:pStyle w:val="TextoNormal"/>
      </w:pPr>
    </w:p>
    <w:p w:rsidR="005728DD" w:rsidRDefault="005728DD" w:rsidP="005728DD">
      <w:pPr>
        <w:pStyle w:val="TextoNormal"/>
      </w:pPr>
      <w:r>
        <w:t xml:space="preserve">c) Se invoca, asimismo, la infracción del art. 24.2 CE, pues, al privar de la asistencia al centro educativo, se le habría impuesto una sanción sin audiencia y sin expediente disciplinario alguno, produciendo indefensión y vulnerando la presunción de inocencia. Lo anterior es rechazado por la letrada autonómica y por el fiscal, pues ambos niegan que la suspensión de asistencia a clase tuviera carácter disciplinario, por lo que no eran aplicables las garantías </w:t>
      </w:r>
      <w:r>
        <w:lastRenderedPageBreak/>
        <w:t>del art. 24.2 CE. No obstante, el fiscal considera que, como la vulneración del derecho a la educación del menor por la administración no ha sido reparada por los órganos judiciales, las resoluciones judiciales recaídas sí habrían infringido el derecho a la tutela judicial efectiva del art. 24.1 CE.</w:t>
      </w:r>
    </w:p>
    <w:p w:rsidR="005728DD" w:rsidRDefault="005728DD" w:rsidP="005728DD">
      <w:pPr>
        <w:pStyle w:val="TextoNormal"/>
      </w:pPr>
    </w:p>
    <w:p w:rsidR="005728DD" w:rsidRDefault="005728DD" w:rsidP="005728DD">
      <w:pPr>
        <w:pStyle w:val="TextoNormal"/>
      </w:pPr>
      <w:r>
        <w:t xml:space="preserve">El análisis de la queja debe partir de la naturaleza preventiva de la medida enjuiciada. Como hemos razonado en el fundamento jurídico tercero, la decisión de suspender la asistencia a clase del menor M.F.R. buscaba de manera primordial garantizar su salud e integridad física. No se trataba —cabe insistir— de una medida disciplinaria ni sancionadora, sino de una decisión </w:t>
      </w:r>
      <w:r w:rsidRPr="005728DD">
        <w:rPr>
          <w:i/>
        </w:rPr>
        <w:t>ad hoc</w:t>
      </w:r>
      <w:r>
        <w:t xml:space="preserve"> guiada por el interés superior del menor. Por consiguiente, no cabe examinarla desde la perspectiva del art. 24.2 CE (entre otras, SSTC 46/2014, de 7 de abril, FJ 7; 8/2017, de 19 de enero, FJ 6, y 165/2020, de 16 de noviembre, FJ 1), en el que se incardina el derecho a la presunción de inocencia que alega la demanda.</w:t>
      </w:r>
    </w:p>
    <w:p w:rsidR="005728DD" w:rsidRDefault="005728DD" w:rsidP="005728DD">
      <w:pPr>
        <w:pStyle w:val="TextoNormal"/>
      </w:pPr>
    </w:p>
    <w:p w:rsidR="005728DD" w:rsidRDefault="005728DD" w:rsidP="005728DD">
      <w:pPr>
        <w:pStyle w:val="TextoNormal"/>
      </w:pPr>
      <w:r>
        <w:t>Tampoco podemos acoger la tesis del fiscal, según la cual los órganos judiciales habrían vulnerado el derecho a la tutela judicial efectiva (art. 24.1 CE), al confirmar la decisión administrativa. Como ya se ha indicado, la demanda de amparo solo achaca a las resoluciones judiciales el no haber reparado las lesiones de derechos sustantivos atribuidas al colegio. Pues bien, de acuerdo con nuestra doctrina (por todas, SSTC 2/2015, de 19 de enero, FJ 8, y 220/2016, de 19 de diciembre, FJ 3), cuando una resolución judicial se cuestiona por no reparar la vulneración de derechos fundamentales sustantivos imputada a la administración, el examen de las lesiones denunciadas lleva implícito el escrutinio de la razonabilidad de la motivación empleada por el órgano judicial, conforme a un canon reforzado y más exigente que el general del art. 24.1 CE, de tal suerte que los derechos sustantivos (en el presente caso, los arts. 27, 14 y 15 CE) constituyen el parámetro único de constitucionalidad. Una vez que hemos descartado la lesión de tales derechos sustantivos, esta queja debe ser también desestimada y, con ello, la totalidad del recurso.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doña A.R.G. y don M.F.J. contra la resolución de la directora del centro público educativo Costa Blanca de Alicante de 16 de febrero de 2017 y contra las resoluciones judiciales que la han confirmado, citadas en el encabezamiento.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Juan Antonio Xiol Ríos respecto de la sentencia pronunciada en el recurso de amparo núm. 3826-2019</w:t>
      </w:r>
    </w:p>
    <w:p w:rsidR="005728DD" w:rsidRDefault="005728DD" w:rsidP="005728DD">
      <w:pPr>
        <w:pStyle w:val="TextoNormalNegritaCentrado"/>
        <w:keepNext/>
      </w:pPr>
    </w:p>
    <w:p w:rsidR="005728DD" w:rsidRDefault="005728DD" w:rsidP="005728DD">
      <w:pPr>
        <w:pStyle w:val="TextoNormal"/>
      </w:pPr>
      <w:r>
        <w:t>Con el máximo respeto a mis compañeros de Sala, manifiesto mi discrepancia con la fundamentación jurídica y con el fallo de la sentencia, que considero que debería haber sido estimatorio por vulneración de los derechos a la educación (art. 27.1 CE), en relación con la prohibición de discriminación (art. 14), y a la integridad física y moral (art. 15 CE).</w:t>
      </w:r>
    </w:p>
    <w:p w:rsidR="005728DD" w:rsidRDefault="005728DD" w:rsidP="005728DD">
      <w:pPr>
        <w:pStyle w:val="TextoNormal"/>
      </w:pPr>
    </w:p>
    <w:p w:rsidR="005728DD" w:rsidRDefault="005728DD" w:rsidP="005728DD">
      <w:pPr>
        <w:pStyle w:val="TextoNormal"/>
      </w:pPr>
      <w:r>
        <w:lastRenderedPageBreak/>
        <w:t xml:space="preserve">1. </w:t>
      </w:r>
      <w:r w:rsidRPr="005728DD">
        <w:rPr>
          <w:i/>
        </w:rPr>
        <w:t>Objeto de análisis constitucional que se plantea en este recurso</w:t>
      </w:r>
      <w:r>
        <w:t>.</w:t>
      </w:r>
    </w:p>
    <w:p w:rsidR="005728DD" w:rsidRDefault="005728DD" w:rsidP="005728DD">
      <w:pPr>
        <w:pStyle w:val="TextoNormal"/>
      </w:pPr>
    </w:p>
    <w:p w:rsidR="005728DD" w:rsidRDefault="005728DD" w:rsidP="005728DD">
      <w:pPr>
        <w:pStyle w:val="TextoNormal"/>
      </w:pPr>
      <w:r>
        <w:t>El objeto de análisis constitucional que se plantea en este recurso es doble:</w:t>
      </w:r>
    </w:p>
    <w:p w:rsidR="005728DD" w:rsidRDefault="005728DD" w:rsidP="005728DD">
      <w:pPr>
        <w:pStyle w:val="TextoNormal"/>
      </w:pPr>
    </w:p>
    <w:p w:rsidR="005728DD" w:rsidRDefault="005728DD" w:rsidP="005728DD">
      <w:pPr>
        <w:pStyle w:val="TextoNormal"/>
      </w:pPr>
      <w:r>
        <w:t>(i) La eventual vulneración de los derechos a la educación y a la prohibición de discriminación por razones de discapacidad derivado de la decisión de un colegio público de que el niño recurrente, de cuatro años, en atención a una cierta conducta agresiva que el centro achacaba a posibles problemas de salud mental, permaneciera en su domicilio para que pudiera ser diagnosticado y tratado, y proceder de manera progresiva a su reintegración progresiva o determinar otras posibles modalidades de escolarización, condicionado a que se aportara a la dirección del centro un diagnóstico médico de la situación del niño y la propuesta de tratamiento adecuado por parte de la Unidad de Salud Mental Infantil (USMI). En cuanto a la continuidad de la prestación educativa del niño recurrente, el acuerdo del centro determinaba que su familia podría recibir del profesorado del centro cuanta información y recursos pedagógicos fueran necesarios para continuar con su educación en el ámbito familiar.</w:t>
      </w:r>
    </w:p>
    <w:p w:rsidR="005728DD" w:rsidRDefault="005728DD" w:rsidP="005728DD">
      <w:pPr>
        <w:pStyle w:val="TextoNormal"/>
      </w:pPr>
    </w:p>
    <w:p w:rsidR="005728DD" w:rsidRDefault="005728DD" w:rsidP="005728DD">
      <w:pPr>
        <w:pStyle w:val="TextoNormal"/>
      </w:pPr>
      <w:r>
        <w:t>(ii) La eventual vulneración del derecho a la integridad física y moral (art. 15 CE) por razón de la reiterada utilización en este centro de medios de contención física sobre el niño recurrente, llegando a aplicarle técnicas de reducción mediante bloqueo poniéndose un educador encima del niño hasta que se calmara.</w:t>
      </w:r>
    </w:p>
    <w:p w:rsidR="005728DD" w:rsidRDefault="005728DD" w:rsidP="005728DD">
      <w:pPr>
        <w:pStyle w:val="TextoNormal"/>
      </w:pPr>
    </w:p>
    <w:p w:rsidR="005728DD" w:rsidRDefault="005728DD" w:rsidP="005728DD">
      <w:pPr>
        <w:pStyle w:val="TextoNormal"/>
      </w:pPr>
      <w:r>
        <w:t>La posición mayoritaria en la que se sustenta la sentencia considera que no concurre la primera de las vulneraciones, ya que se han motivado y ponderado suficientemente las razones en las que se basa la adopción de tal medida excepcional, de forma coherente con la primacía del interés superior del menor; ni la segunda, ya que la contención física del menor tenía por finalidad evitar que el niño se hiciera daño a sí mismo o a su entorno.</w:t>
      </w:r>
    </w:p>
    <w:p w:rsidR="005728DD" w:rsidRDefault="005728DD" w:rsidP="005728DD">
      <w:pPr>
        <w:pStyle w:val="TextoNormal"/>
      </w:pPr>
    </w:p>
    <w:p w:rsidR="005728DD" w:rsidRDefault="005728DD" w:rsidP="005728DD">
      <w:pPr>
        <w:pStyle w:val="TextoNormal"/>
      </w:pPr>
      <w:r>
        <w:t>En el presente caso, sin perjuicio de que también discrepo de la proyección que se ha hecho del juicio de proporcionalidad y de la aplicación del principio del interés superior del menor, considero que es necesario concentrarme en este voto particular en destacar que ni la decisión de privar a un niño por un plazo indeterminado de su derecho a asistir al centro educativo, obligándole a su permanencia en casa condicionado a un diagnóstico y tratamiento sobre su salud mental sin una solución efectiva sobre el seguimiento de su proceso educativo, ni, mucho menos, la de someterle a medidas de contención física, cuentan con una norma legal habilitante que las autorice ni, por tanto, se está ante supuestos en que frente a actuaciones del poder público restrictivas de derechos fundamentales del niño, este hubiera podido contar con las garantías sustantivas y procedimentales que les asistían en defensa de sus derechos fundamentales.</w:t>
      </w:r>
    </w:p>
    <w:p w:rsidR="005728DD" w:rsidRDefault="005728DD" w:rsidP="005728DD">
      <w:pPr>
        <w:pStyle w:val="TextoNormal"/>
      </w:pPr>
    </w:p>
    <w:p w:rsidR="005728DD" w:rsidRDefault="005728DD" w:rsidP="005728DD">
      <w:pPr>
        <w:pStyle w:val="TextoNormal"/>
      </w:pPr>
      <w:r>
        <w:t xml:space="preserve">La enorme importancia institucional que revisten los derechos fundamentales en una sociedad democrática, con independencia de la edad de sus titulares, determina que no puedan proyectarse soluciones que, en términos de la más moderna sociología, pudieran denominarse adultocéntricas. Las autoridades educativas, los órganos judiciales y la posición mayoritaria en la que se sustenta la sentencia han podido considerar que las decisiones adoptadas en relación con el niño recurrente podrían responder a su superior interés y que eran medidas que respondían a una finalidad legítima, que eran necesarias y las menos lesivas entre todas las alternativas posibles de los derechos del niño recurrente. Sin embargo, el </w:t>
      </w:r>
      <w:r>
        <w:lastRenderedPageBreak/>
        <w:t>niño recurrente, a pesar de contar con cuatro años cuando sucedieron los hechos controvertidos, es titular de derechos fundamentales en la misma extensión y calidad que el resto de los ciudadanos. Cuenta con la plenitud de las garantías que irradia el reconocimiento de los derechos fundamentales contra cualquier actuación de los poderes públicos. Esos derechos no pueden verse intermediados, flexibilizados ni condicionados por la visión proyectada desde concepciones que subestiman la condición de plena ciudadanía de los niños en cuanto a la titularidad de los derechos fundamentales por el hecho de que, como ocurre en este caso, sea de muy corta edad. A esos efectos, es preciso recordar, que en 2005 la Observación general núm. 7 del Comité de Derechos del Niño (CRC/C/GC/7/Rev.1) se dedicó a la “realización de los derechos del niño en la primera infancia”, en el deseo de impulsar el reconocimiento de que los niños pequeños —hasta los ocho años de edad— también son portadores de todos los derechos consagrados en la Convención de derechos del niño, adoptada por la Asamblea General de las Naciones Unidas el 20 de noviembre de 1989 y ratificada por España (“BOE” núm. 313, de 31 de diciembre de 1990), y con el objetivo primordial de “reforzar la comprensión de los derechos humanos de todos los niños pequeños y señalar a la atención de los Estados partes sus obligaciones para con los niños en la primera infancia”. En dicha Observación ya se hacía especial incidencia en dos ideas fundamentales como son que (i) “deben abandonarse creencias tradicionales que consideran la primera infancia principalmente un período de socialización de un ser humano inmaduro, en el que se le encamina hacia la condición de adulto maduro” y (ii) “la Convención exige que los niños, en particular los niños muy pequeños, sean respetados como personas por derecho propio. Los niños pequeños deben considerarse miembros activos de las familias, comunidades y sociedades, con sus propias inquietudes, intereses y puntos de vista”.</w:t>
      </w:r>
    </w:p>
    <w:p w:rsidR="005728DD" w:rsidRDefault="005728DD" w:rsidP="005728DD">
      <w:pPr>
        <w:pStyle w:val="TextoNormal"/>
      </w:pPr>
    </w:p>
    <w:p w:rsidR="005728DD" w:rsidRDefault="005728DD" w:rsidP="005728DD">
      <w:pPr>
        <w:pStyle w:val="TextoNormal"/>
      </w:pPr>
      <w:r>
        <w:t>La primigenia y más esencial de las garantías del pleno disfrute de los derechos fundamentales en una sociedad democrática es que las limitaciones de estos derechos cuenten, como presupuesto habilitante, con una previsión legal específica que cumpla con los requisitos del necesario rango legal, de modo que no puede ser autorizada solo por la vía reglamentaria, y con la debida calidad legislativa, en el sentido de que se establezcan con la suficiente claridad los supuestos en que cabe apreciar la limitación del derecho fundamental y las garantías sustantivas y procedimentales aplicables frente a las decisiones limitativas de tales derechos. En ausencia de este presupuesto habilitante ninguna limitación de derechos fundamentales queda autorizada constitucionalmente con independencia de la edad y condición de sus titulares. Tampoco cuando se trate de niños de tan corta edad como es el caso de recurrente de amparo.</w:t>
      </w:r>
    </w:p>
    <w:p w:rsidR="005728DD" w:rsidRDefault="005728DD" w:rsidP="005728DD">
      <w:pPr>
        <w:pStyle w:val="TextoNormal"/>
      </w:pPr>
    </w:p>
    <w:p w:rsidR="005728DD" w:rsidRDefault="005728DD" w:rsidP="005728DD">
      <w:pPr>
        <w:pStyle w:val="TextoNormal"/>
      </w:pPr>
      <w:r>
        <w:t xml:space="preserve">2. </w:t>
      </w:r>
      <w:r w:rsidRPr="005728DD">
        <w:rPr>
          <w:i/>
        </w:rPr>
        <w:t>Ausencia de habilitación legal suficiente en relación con la decisión de privación de la escolarización del niño</w:t>
      </w:r>
      <w:r>
        <w:t>.</w:t>
      </w:r>
    </w:p>
    <w:p w:rsidR="005728DD" w:rsidRDefault="005728DD" w:rsidP="005728DD">
      <w:pPr>
        <w:pStyle w:val="TextoNormal"/>
      </w:pPr>
    </w:p>
    <w:p w:rsidR="005728DD" w:rsidRDefault="005728DD" w:rsidP="005728DD">
      <w:pPr>
        <w:pStyle w:val="TextoNormal"/>
      </w:pPr>
      <w:r>
        <w:t>El Ministerio Fiscal ha sustentado en este recurso de amparo que una de las circunstancias determinantes de la vulneración del derecho a la educación del niño recurrente radica en que se le ha privado del derecho de asistencia al centro educativo sin una habilitación legal suficiente. Estoy de acuerdo con dicha apreciación y esto hubiera debido ser suficiente para estimar el presente recurso por vulneración del derecho a la educación del niño recurrente.</w:t>
      </w:r>
    </w:p>
    <w:p w:rsidR="005728DD" w:rsidRDefault="005728DD" w:rsidP="005728DD">
      <w:pPr>
        <w:pStyle w:val="TextoNormal"/>
      </w:pPr>
    </w:p>
    <w:p w:rsidR="005728DD" w:rsidRDefault="005728DD" w:rsidP="005728DD">
      <w:pPr>
        <w:pStyle w:val="TextoNormal"/>
      </w:pPr>
      <w:r>
        <w:lastRenderedPageBreak/>
        <w:t>El tribunal ya hizo una extensa exposición de la importancia de la escolarización de los niños desde la perspectiva de su derecho a la educación en la STC 133/2010, de 2 de diciembre, en que se analizó la legitimidad constitucional de la educación domiciliaria. Aunque entonces la cuestión controvertida quedaba centrada en la fase de escolarización obligatoria, que no es el caso planteado en este recurso de amparo, en dicha resolución se establecieron determinados principios que resultan de relevancia en cuando a la garantía de asistencia a los centros, que es la concreta dimensión prestacional del derecho a la educación que se ha visto afectada en el presente recurso de amparo. El principal y más esencial de esos principios es que la escolarización, en atención a que no tiene como única finalidad la satisfacción de garantizar una adecuada transmisión de conocimientos a los alumnos, sino también, en los términos del art. 27.2 CE, el pleno desarrollo de la personalidad humana en el respeto a los principios democráticos de convivencia y a los derechos y libertades fundamentales, “se ve satisfecha más eficazmente mediante un modelo de enseñanza básica en el que el contacto con la sociedad plural y con los diversos y heterogéneos elementos que la integran, lejos de tener lugar de manera puramente ocasional y fragmentaria, forma parte de la experiencia cotidiana que facilita la escolarización” [FJ 8 b)].</w:t>
      </w:r>
    </w:p>
    <w:p w:rsidR="005728DD" w:rsidRDefault="005728DD" w:rsidP="005728DD">
      <w:pPr>
        <w:pStyle w:val="TextoNormal"/>
      </w:pPr>
    </w:p>
    <w:p w:rsidR="005728DD" w:rsidRDefault="005728DD" w:rsidP="005728DD">
      <w:pPr>
        <w:pStyle w:val="TextoNormal"/>
      </w:pPr>
      <w:r>
        <w:t>En conexión con lo anterior, la legislación básica estatal en materia educativa solo establece la posibilidad de suspensión del derecho a la asistencia al centro educativo en el art. 124.2 de la Ley Orgánica 2/2006, de 3 de mayo, de educación, dentro de las normas de organización, funcionamiento y convivencia, como una medida correctora respecto de determinadas conductas de los alumnos. En desarrollo de esa previsión, en el ámbito específico de la Comunitat Valenciana, el Decreto 39/2008, de 4 de abril, del Consell, sobre la convivencia en los centros docentes no universitarios sostenidos con fondos públicos y sobre los derechos y deberes del alumnado, padres, madres, tutores o tutoras, profesorado y personal de administración y servicios, establece en su art. 29.2, en relación con las medidas correctoras y disciplinarias, que “en ningún caso, los alumnos y las alumnas podrán ser privados del ejercicio de su derecho a la educación, ni en el caso de la educación obligatoria, de su derecho a la escolaridad”. A estos efectos, el citado decreto solo prevé la suspensión del derecho de asistencia al centro como medida educativa disciplinaria aplicable por la comisión de determinadas conductas gravemente perjudiciales para la convivencia en el centro [art. 43.3 a)] y como medida cautelar a adoptar en el contexto de un expediente disciplinario por la comisión de esas conductas [art. 49.2 d)].</w:t>
      </w:r>
    </w:p>
    <w:p w:rsidR="005728DD" w:rsidRDefault="005728DD" w:rsidP="005728DD">
      <w:pPr>
        <w:pStyle w:val="TextoNormal"/>
      </w:pPr>
    </w:p>
    <w:p w:rsidR="005728DD" w:rsidRDefault="005728DD" w:rsidP="005728DD">
      <w:pPr>
        <w:pStyle w:val="TextoNormal"/>
      </w:pPr>
      <w:r>
        <w:t>En ambos casos, estas medidas de suspensión del derecho de asistencia al centro cuentan con las debidas garantías sustantivas, como son las relativas a su limitación temporal y la continuación del proceso formativo, y procedimentales. En concreto, como medida disciplinaria, el art. 43.3 a) establece que las garantías sustantivas en la aplicación de esta suspensión son (i) una duración de entre seis y treinta días lectivos y, (ii) que durante el tiempo que dure la suspensión, el afectado deberá realizar los trabajos académicos que determine el profesorado que le imparte docencia y que el reglamento de régimen interior determinará los mecanismos que posibiliten un adecuado seguimiento de dicho proceso, especificando la persona encargada de llevarlo a cabo y el horario de visitas al centro por parte del niño sancionado. Como garantía procedimental, el art. 45.1 del citado decreto autonómico determina que su imposición solo pueda producirse con la previa instrucción del correspondiente expediente disciplinario cuyo desarrollo se especifica en los arts. 45 a 47.</w:t>
      </w:r>
    </w:p>
    <w:p w:rsidR="005728DD" w:rsidRDefault="005728DD" w:rsidP="005728DD">
      <w:pPr>
        <w:pStyle w:val="TextoNormal"/>
      </w:pPr>
    </w:p>
    <w:p w:rsidR="005728DD" w:rsidRDefault="005728DD" w:rsidP="005728DD">
      <w:pPr>
        <w:pStyle w:val="TextoNormal"/>
      </w:pPr>
      <w:r>
        <w:lastRenderedPageBreak/>
        <w:t>Por su parte, al regular la posibilidad de suspensión del derecho de asistencia al centro como medida cautelar, el citado decreto establece que las garantías sustantivas en la aplicación de esta medida son que (i) podrá establecerse por un período máximo de cinco días (art. 49.3) o en casos muy graves y de manera excepcional hasta la resolución del procedimiento disciplinario, sin perjuicio de que esta no deberá ser superior en tiempo ni distinta a la medida correctora que se proponga (art. 49.4); y (ii) la persona responsable de la tutorización entregará un plan detallado de las actividades académicas y educativas que deben realizarse y establecerá las formas de seguimiento y control durante los días de no asistencia al centro para garantizar el derecho a la evaluación continua (art. 49.8). Como garantía procedimental, el art. 49.1 añade que (i) dicha medida ha de adoptarse al incoarse un expediente o en cualquier momento de su instrucción y (ii) debe tomarla la dirección del centro, a propuesta del quien esté instruyendo el procedimiento, oída la comisión de convivencia del consejo escolar del centro.</w:t>
      </w:r>
    </w:p>
    <w:p w:rsidR="005728DD" w:rsidRDefault="005728DD" w:rsidP="005728DD">
      <w:pPr>
        <w:pStyle w:val="TextoNormal"/>
      </w:pPr>
    </w:p>
    <w:p w:rsidR="005728DD" w:rsidRDefault="005728DD" w:rsidP="005728DD">
      <w:pPr>
        <w:pStyle w:val="TextoNormal"/>
      </w:pPr>
      <w:r>
        <w:t>En el presente caso, la medida de suspensión del derecho a la asistencia al centro educativo acordada en la resolución administrativa impugnada no encuentra amparo en ninguna de estas figuras. Tampoco aparece revestida de ninguna de las garantías sustantivas o procedimentales de las que están revestidas. Ni en vía administrativa ni en la judicial se ha hecho el mínimo esfuerzo, en respeto a la severa injerencia que supone en el derecho a la educación del niño recurrente, por identificar la habilitación legal de una decisión limitativa de un derecho fundamental de esas características y gravedad que hubiera podido justificarla.</w:t>
      </w:r>
    </w:p>
    <w:p w:rsidR="005728DD" w:rsidRDefault="005728DD" w:rsidP="005728DD">
      <w:pPr>
        <w:pStyle w:val="TextoNormal"/>
      </w:pPr>
    </w:p>
    <w:p w:rsidR="005728DD" w:rsidRDefault="005728DD" w:rsidP="005728DD">
      <w:pPr>
        <w:pStyle w:val="TextoNormal"/>
      </w:pPr>
      <w:r>
        <w:t>La resolución administrativa impugnada define expresamente la medida como “preventiva”, lo que, a lo sumo, debería poder remitir a las medidas cautelares previstas en el art. 49.2 d) del citado Decreto 39/2008. Sin embargo, la ausencia de cualquier de las garantías sustantivas y procedimentales de las que está revestida, así como determinadas afirmaciones contenidas en las actuaciones administrativas respecto de la imposibilidad de establecer elementos de responsabilidad disciplinaria en un niño de cuatro años, ponen de manifiesto que se trataba de una actuación administrativa atípica legalmente que no contaba con ninguna habilitación legal. En esas condiciones, solo puede concluirse que la decisión misma de privar del derecho a la asistencia al centro del niño recurrente vulneró su derecho a la educación, sin que ni siquiera la temporalidad, las previsiones en relación con las posibilidades de su continuidad formativa durante esta suspensión o el procedimiento utilizado pueda en este caso permitir defender una hipotética pretensión de que se trataba, al menos, de una aplicación analógica de este tipo de medidas para poder afrontar una situación equivalente a una conductas responsable gravemente perjudicial para la convivencia en el centro.</w:t>
      </w:r>
    </w:p>
    <w:p w:rsidR="005728DD" w:rsidRDefault="005728DD" w:rsidP="005728DD">
      <w:pPr>
        <w:pStyle w:val="TextoNormal"/>
      </w:pPr>
    </w:p>
    <w:p w:rsidR="005728DD" w:rsidRDefault="005728DD" w:rsidP="005728DD">
      <w:pPr>
        <w:pStyle w:val="TextoNormal"/>
      </w:pPr>
      <w:r>
        <w:t xml:space="preserve">Por su parte, la resolución judicial de instancia defiende que no se trataba de una medida disciplinaria de expulsión, lo que requeriría la concurrencia de un grado de intencionalidad que se reconoce que no existe, “sino una medida perfectamente legal establecida en el Decreto autonómico valenciano 39/2008”, que se justifica en que “es la propia conducta asocial del menor la que genera una situación de grave riesgo para la propia integridad del mismo, pero también para la del resto de menores presentes en el aula (que tienen exactamente el mismo derecho fundamental a ser educados que el que tiene el hijo de los recurrentes); y en definitiva, también para el profesorado, que debe aguantar y soportar este tipo de situaciones”. El problema es que ni la resolución judicial de instancia ni la de apelación que la confirma aciertan a identificar cual es el precepto del citado decreto que daría cobertura </w:t>
      </w:r>
      <w:r>
        <w:lastRenderedPageBreak/>
        <w:t>normativa a la medida. En ese sentido, no parece quedar otro remedio que concluir que es posible que también se pudiera estar refiriendo a las medidas cautelares del art. 49.2 d) pero, en tal caso, se hubiera incurrido en los mismos defectos antes señalados.</w:t>
      </w:r>
    </w:p>
    <w:p w:rsidR="005728DD" w:rsidRDefault="005728DD" w:rsidP="005728DD">
      <w:pPr>
        <w:pStyle w:val="TextoNormal"/>
      </w:pPr>
    </w:p>
    <w:p w:rsidR="005728DD" w:rsidRDefault="005728DD" w:rsidP="005728DD">
      <w:pPr>
        <w:pStyle w:val="TextoNormal"/>
      </w:pPr>
      <w:r>
        <w:t>En estas condiciones, lo único que puede concluirse es que, al haberse adoptado respecto del niño recurrente una medida privativa de su derecho de asistencia al centro educativo sin ningún tipo de habilitación legal, se vulneró su derecho a la educación (art. 27.1 CE). Además, tomando en consideración que la razón última por la que se privó al niño recurrente de este derecho han sido las sospechas respecto de una posible discapacidad, solo cabe concluir que dicho trato fue discriminatorio, tal como ya sostuve en el voto particular formulado en la STC 10/2014, de 27 de enero, en un supuesto con ciertos paralelismos en que lo controvertido fue la decisión de las autoridades educativas de que un menor continuara su escolarización en un colegio público de educación especial en lugar de en un centro ordinario.</w:t>
      </w:r>
    </w:p>
    <w:p w:rsidR="005728DD" w:rsidRDefault="005728DD" w:rsidP="005728DD">
      <w:pPr>
        <w:pStyle w:val="TextoNormal"/>
      </w:pPr>
    </w:p>
    <w:p w:rsidR="005728DD" w:rsidRDefault="005728DD" w:rsidP="005728DD">
      <w:pPr>
        <w:pStyle w:val="TextoNormal"/>
      </w:pPr>
      <w:r>
        <w:t xml:space="preserve">3. </w:t>
      </w:r>
      <w:r w:rsidRPr="005728DD">
        <w:rPr>
          <w:i/>
        </w:rPr>
        <w:t>Ausencia de habilitación legal para el uso de medios de contención física de los niños en el sistema educativo</w:t>
      </w:r>
      <w:r>
        <w:t>.</w:t>
      </w:r>
    </w:p>
    <w:p w:rsidR="005728DD" w:rsidRDefault="005728DD" w:rsidP="005728DD">
      <w:pPr>
        <w:pStyle w:val="TextoNormal"/>
      </w:pPr>
    </w:p>
    <w:p w:rsidR="005728DD" w:rsidRDefault="005728DD" w:rsidP="005728DD">
      <w:pPr>
        <w:pStyle w:val="TextoNormal"/>
      </w:pPr>
      <w:r>
        <w:t>El tratamiento dispensado por la posición mayoritaria en la que se sustenta la sentencia a la invocación del derecho a la integridad física y moral del niño recurrente con ocasión de la reiteración de medidas de contención física usadas ha quedado limitado al siguiente razonamiento: “la contención física del menor tenía por finalidad precisamente evitar que el niño se hiciera daño a sí mismo o a su entorno. Por consiguiente, a la vista de la doctrina constitucional sobre el art. 15 CE (por todas, STC 116/2010, de 24 de noviembre, FJ 2), la queja debe ser desestimada” [FJ 4 b)].</w:t>
      </w:r>
    </w:p>
    <w:p w:rsidR="005728DD" w:rsidRDefault="005728DD" w:rsidP="005728DD">
      <w:pPr>
        <w:pStyle w:val="TextoNormal"/>
      </w:pPr>
    </w:p>
    <w:p w:rsidR="005728DD" w:rsidRDefault="005728DD" w:rsidP="005728DD">
      <w:pPr>
        <w:pStyle w:val="TextoNormal"/>
      </w:pPr>
      <w:r>
        <w:t>Considero que la relevancia de los problemas de constitucionalidad que plantea el uso de medidas de contención física, desde la perspectiva del derecho a la integridad física y moral (art. 15 CE), hubiera sido merecedora de una mayor atención, especialmente tomando en consideración que se trataba de una situación de uso sistemático con técnicas de inmovilización física tumbado en el suelo durante un tiempo indeterminado y de que se proyectaba sobre un niño de cuatro años.</w:t>
      </w:r>
    </w:p>
    <w:p w:rsidR="005728DD" w:rsidRDefault="005728DD" w:rsidP="005728DD">
      <w:pPr>
        <w:pStyle w:val="TextoNormal"/>
      </w:pPr>
    </w:p>
    <w:p w:rsidR="005728DD" w:rsidRDefault="005728DD" w:rsidP="005728DD">
      <w:pPr>
        <w:pStyle w:val="TextoNormal"/>
      </w:pPr>
      <w:r>
        <w:t>El tribunal, aunque en un contexto muy distinto —el de las medidas de contención física en los centros de internamiento de extranjeros—, se ha pronunciado sobre sus problemas de constitucionalidad en la STC 17/2013, de 31 de enero, FJ 15. A los efectos que ahora interesan, se concluyó la constitucionalidad del precepto impugnado en tanto que se cumplían las exigencias de previsión legal con una delimitación suficiente de los supuestos que determinan la posibilidad de utilizar los medios de contención física personal y las garantías sustantivas y procesales de las que están revestidas. Dicha sentencia, no obstante, contaba con el voto particular de cuatro magistrados que consideraban inconstitucional la regulación de los medios de contención física en atención a que carecía del necesario detalle.</w:t>
      </w:r>
    </w:p>
    <w:p w:rsidR="005728DD" w:rsidRDefault="005728DD" w:rsidP="005728DD">
      <w:pPr>
        <w:pStyle w:val="TextoNormal"/>
      </w:pPr>
    </w:p>
    <w:p w:rsidR="005728DD" w:rsidRDefault="005728DD" w:rsidP="005728DD">
      <w:pPr>
        <w:pStyle w:val="TextoNormal"/>
      </w:pPr>
      <w:r>
        <w:t xml:space="preserve">De la citada STC 17/2013 me interesa destacar ahora que tanto la posición de la mayoría como la de los magistrados disidentes era común en un aspecto: las medidas de contención física personal son medidas limitativas de derechos fundamentales sometidas a la exigencia de reserva de ley que prevea con la suficiente calidad y detalle los supuestos y las garantías sustantivas y procedimentales en su aplicación. La traslación de esta jurisprudencia constitucional al presente recurso hubiera debido determinado la necesidad de que, con carácter </w:t>
      </w:r>
      <w:r>
        <w:lastRenderedPageBreak/>
        <w:t>principal, el tribunal hubiera centrado el análisis en la existencia de cobertura legal suficiente tanto en términos de rango como de calidad normativa.</w:t>
      </w:r>
    </w:p>
    <w:p w:rsidR="005728DD" w:rsidRDefault="005728DD" w:rsidP="005728DD">
      <w:pPr>
        <w:pStyle w:val="TextoNormal"/>
      </w:pPr>
    </w:p>
    <w:p w:rsidR="005728DD" w:rsidRDefault="005728DD" w:rsidP="005728DD">
      <w:pPr>
        <w:pStyle w:val="TextoNormal"/>
      </w:pPr>
      <w:r>
        <w:t>Un análisis de la normativa en materia educativa estatal y autonómica en el ámbito de la Comunitat Valenciana pone de manifiesto que no existe ninguna previsión legal que permita la aplicación de este tipo de medidas en los centros educativos. Específicamente, en la legislación de protección de menores, los artículos 27 y 28 de la Ley Orgánica 1/1996, de 15 de enero, de protección jurídica del menor, en la redacción dada por la Ley Orgánica 8/2015, de 22 de julio, establecen una regulación muy precisa de este tipo de medidas en cuanto a los supuestos de aplicación y las garantías sustantivas y procedimentales de las que están revestidas, pero son medidas que quedan estrictamente limitadas en su aplicación a los centros de protección específicos de menores con problemas de conducta. A esos efectos, si bien en las actuaciones se hace referencia a la existencia de un protocolo de actuaciones en relación con la aplicación de estas medidas, es preciso subrayar que este tipo de protocolos carecen de la aptitud para ser fuente de cualquier tipo de limitación o restricción de los derechos fundamentales.</w:t>
      </w:r>
    </w:p>
    <w:p w:rsidR="005728DD" w:rsidRDefault="005728DD" w:rsidP="005728DD">
      <w:pPr>
        <w:pStyle w:val="TextoNormal"/>
      </w:pPr>
    </w:p>
    <w:p w:rsidR="005728DD" w:rsidRDefault="005728DD" w:rsidP="005728DD">
      <w:pPr>
        <w:pStyle w:val="TextoNormal"/>
      </w:pPr>
      <w:r>
        <w:t>Por tanto, la ausencia de habilitación legal impide un uso sistematizado de medidas de contención física invasivas del derecho a la integridad física y moral como las utilizadas con el niño recurrente, cosa que hubiera debido ser determinante para concluir que también fue vulnerado el art. 15 CE.</w:t>
      </w:r>
    </w:p>
    <w:p w:rsidR="005728DD" w:rsidRDefault="005728DD" w:rsidP="005728DD">
      <w:pPr>
        <w:pStyle w:val="TextoNormal"/>
      </w:pPr>
    </w:p>
    <w:p w:rsidR="005728DD" w:rsidRDefault="005728DD" w:rsidP="005728DD">
      <w:pPr>
        <w:pStyle w:val="TextoNormal"/>
      </w:pPr>
      <w:r>
        <w:t>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5" w:name="SENTENCIA_2021_82"/>
      <w:r>
        <w:lastRenderedPageBreak/>
        <w:t>SENTENCIA 82/2021, de 19 de abril de 2021</w:t>
      </w:r>
    </w:p>
    <w:bookmarkEnd w:id="85"/>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ECLI:ES:TC:2021:82</w:t>
      </w:r>
    </w:p>
    <w:p w:rsidR="005728DD" w:rsidRDefault="005728DD" w:rsidP="005728DD">
      <w:pPr>
        <w:pStyle w:val="TextoNormalCentrado"/>
      </w:pPr>
    </w:p>
    <w:p w:rsidR="005728DD" w:rsidRDefault="005728DD" w:rsidP="005728DD">
      <w:pPr>
        <w:pStyle w:val="SntesisDescriptiva"/>
      </w:pPr>
      <w:r>
        <w:t>Recurso de amparo 4513-2019. Promovido por LG Inversa Recycle Pallets, S.L.U., respecto de las actuaciones llevadas a cabo por un juzgado de primera instancia de Jerez de la Frontera (Cádiz) en juicio verbal de desahucio arrendaticio.</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de la demandada, sin agotar las posibilidades de notificación personal (STC 30/2014).</w:t>
      </w:r>
    </w:p>
    <w:p w:rsidR="005728DD" w:rsidRDefault="005728DD" w:rsidP="005728DD">
      <w:pPr>
        <w:pStyle w:val="SntesisAnaltica"/>
      </w:pPr>
    </w:p>
    <w:p w:rsidR="005728DD" w:rsidRDefault="005728DD" w:rsidP="005728DD">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30/2014)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4513-2019, promovido por la entidad LG Inversa Recycle Pallets, S.L.U., contra el auto del Juzgado de Primera Instancia núm. 4 de Jerez de la Frontera, de 4 de junio de 2019, que acordó no haber lugar a la nulidad de actuaciones instada por la recurrente en juicio verbal de desahucio arrendaticio. Ha intervenido el Ministerio Fiscal.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17 de julio de 2019, el procurador de los tribunales don Javier Domínguez López, actuando en nombre y representación de la entidad LG Inversa Recycle Pallets, S.L.U., bajo la defensa de la letrada doña Carmen Zaragoza Sabaté,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mercantil Imagen y Explotación, S.A., formalizó contra la aquí recurrente en amparo, demanda de reclamación de rentas y desahucio por resolución de contrato de arrendamiento de la nave industrial situada en el polígono industrial Ciudad del Transporte, calle Lira, parcela 12.4, de Jerez de la Frontera, por falta de pago de las rentas debidas, dado lugar a la apertura del procedimiento de “juicio verbal de desahucio y reclamación rentas 153-19” del Juzgado de Primera Instancia núm. 4 de Jerez de la Frontera.</w:t>
      </w:r>
    </w:p>
    <w:p w:rsidR="005728DD" w:rsidRDefault="005728DD" w:rsidP="005728DD">
      <w:pPr>
        <w:pStyle w:val="TextoNormal"/>
      </w:pPr>
    </w:p>
    <w:p w:rsidR="005728DD" w:rsidRDefault="005728DD" w:rsidP="005728DD">
      <w:pPr>
        <w:pStyle w:val="TextoNormal"/>
      </w:pPr>
      <w:r>
        <w:t xml:space="preserve">Al no haber sido posible por dos veces el intento de emplazamiento personal de la demandada en el domicilio señalado a efecto de notificaciones en el contrato, calle Ermita del Rocío, núm. 7, de la misma ciudad, según diligencia negativa del auxilio judicial de 4 de marzo de 2019, el letrado de la administración de justicia del juzgado </w:t>
      </w:r>
      <w:r w:rsidRPr="005728DD">
        <w:rPr>
          <w:i/>
        </w:rPr>
        <w:t>a quo</w:t>
      </w:r>
      <w:r>
        <w:t xml:space="preserve"> proveyó en su respuesta dictando diligencia de ordenación el 5 de marzo de 2019 por la que acordó unir dicha diligencia a los autos, dar traslado a la parte actora y “practicar averiguación domiciliaria y constando la misma dirección C/ Lira núm. 12 en Guadalcacín, procédase a requerir a la parte para que alegue a lo que a su derecho convenga”. Se indica por error en esta diligencia que el intento de notificación se había realizado en la dirección del inmueble arrendado y no en la designada en el contrato, la de la calle Ermita del Rocío, núm. 7.</w:t>
      </w:r>
    </w:p>
    <w:p w:rsidR="005728DD" w:rsidRDefault="005728DD" w:rsidP="005728DD">
      <w:pPr>
        <w:pStyle w:val="TextoNormal"/>
      </w:pPr>
    </w:p>
    <w:p w:rsidR="005728DD" w:rsidRDefault="005728DD" w:rsidP="005728DD">
      <w:pPr>
        <w:pStyle w:val="TextoNormal"/>
      </w:pPr>
      <w:r>
        <w:t xml:space="preserve">No obstante, sin haberse efectuado lo acordado el propio letrado de la administración de justicia del juzgado </w:t>
      </w:r>
      <w:r w:rsidRPr="005728DD">
        <w:rPr>
          <w:i/>
        </w:rPr>
        <w:t>a quo</w:t>
      </w:r>
      <w:r>
        <w:t xml:space="preserve"> dictó nueva diligencia de ordenación el 6 de marzo de 2019, por la que resolvió que: “Habiendo resultado negativas las gestiones realizadas para conocer el domicilio o residencia actual de la parte demandada, y de conformidad con lo establecido en los artículos 156.4, 164 y 157.1 LEC, acuerdo: 1.- Citar-emplazar-notificar a la parte demandada por medio de edicto, que se fijará en el tablón de anuncios de este juzgado”.</w:t>
      </w:r>
    </w:p>
    <w:p w:rsidR="005728DD" w:rsidRDefault="005728DD" w:rsidP="005728DD">
      <w:pPr>
        <w:pStyle w:val="TextoNormal"/>
      </w:pPr>
    </w:p>
    <w:p w:rsidR="005728DD" w:rsidRDefault="005728DD" w:rsidP="005728DD">
      <w:pPr>
        <w:pStyle w:val="TextoNormal"/>
      </w:pPr>
      <w:r>
        <w:t>Efectuada así la notificación por edictos, y tras haberse superado el plazo concedido sin constar su oposición a la demanda, el letrado de la administración de justicia del mencionado juzgado dictó un decreto el 20 de marzo de 2019 por el que, con base en lo dispuesto en el art. 440.3 de la Ley de enjuiciamiento civil (LEC), acordó dar por finalizado el procedimiento y dar traslado a la parte actora para que pudiera instar la ejecución forzosa mediante solicitud, fijando de una vez la fecha del lanzamiento de la finca para el 23 de abril de 2019. Fecha en la que tuvo lugar la medida, conforme indica la copia del acta que se acompaña con la demanda de amparo.</w:t>
      </w:r>
    </w:p>
    <w:p w:rsidR="005728DD" w:rsidRDefault="005728DD" w:rsidP="005728DD">
      <w:pPr>
        <w:pStyle w:val="TextoNormal"/>
      </w:pPr>
    </w:p>
    <w:p w:rsidR="005728DD" w:rsidRDefault="005728DD" w:rsidP="005728DD">
      <w:pPr>
        <w:pStyle w:val="TextoNormal"/>
      </w:pPr>
      <w:r>
        <w:t>b) El representante procesal de la aquí recurrente en amparo presentó escrito de incidente de nulidad de actuaciones en el mismo procedimiento, alegando indefensión (art. 24.1 CE) al haber tenido conocimiento del juicio de desahucio seguido en su contra apenas en el acto de lanzamiento del inmueble, resultando de la consulta posterior de las actuaciones en el juzgado, que había sido emplazada por edictos sin haberse intentado su notificación en la propia finca arrendada donde realizaba, dice, su actividad.</w:t>
      </w:r>
    </w:p>
    <w:p w:rsidR="005728DD" w:rsidRDefault="005728DD" w:rsidP="005728DD">
      <w:pPr>
        <w:pStyle w:val="TextoNormal"/>
      </w:pPr>
    </w:p>
    <w:p w:rsidR="005728DD" w:rsidRDefault="005728DD" w:rsidP="005728DD">
      <w:pPr>
        <w:pStyle w:val="TextoNormal"/>
      </w:pPr>
      <w:r>
        <w:t xml:space="preserve">c) El juzgado </w:t>
      </w:r>
      <w:r w:rsidRPr="005728DD">
        <w:rPr>
          <w:i/>
        </w:rPr>
        <w:t>a quo</w:t>
      </w:r>
      <w:r>
        <w:t>, tras la tramitación del incidente, dictó auto el 4 de junio de 2019, en sentido desestimatorio, razonando en el fundamento de Derecho primero:</w:t>
      </w:r>
    </w:p>
    <w:p w:rsidR="005728DD" w:rsidRDefault="005728DD" w:rsidP="005728DD">
      <w:pPr>
        <w:pStyle w:val="TextoNormal"/>
      </w:pPr>
    </w:p>
    <w:p w:rsidR="005728DD" w:rsidRDefault="005728DD" w:rsidP="005728DD">
      <w:pPr>
        <w:pStyle w:val="TextoNormal"/>
      </w:pPr>
      <w:r>
        <w:t xml:space="preserve">“Revisadas las actuaciones, y como la propia parte demandada admite, el emplazamiento, —con traslado de la demanda y requerimiento legal, conforme al art. 440 LEC—, fue intentado hasta en dos ocasiones en el domicilio sito en c/. Ermita del Rocío, 7, que, si se </w:t>
      </w:r>
      <w:r>
        <w:lastRenderedPageBreak/>
        <w:t>observa el contrato de arrendamiento suscito entre las partes, en el que la hoy demandada (arrendataria) designó expresamente para que en el mismo se practicaran las oportunas notificaciones. Solo tras ello, se acudió a la citación edictal, declarándose en rebeldía procesal a dicha parte y siguiendo su curso el procedimiento.</w:t>
      </w:r>
    </w:p>
    <w:p w:rsidR="005728DD" w:rsidRDefault="005728DD" w:rsidP="005728DD">
      <w:pPr>
        <w:pStyle w:val="TextoNormal"/>
      </w:pPr>
    </w:p>
    <w:p w:rsidR="005728DD" w:rsidRDefault="005728DD" w:rsidP="005728DD">
      <w:pPr>
        <w:pStyle w:val="TextoNormal"/>
      </w:pPr>
      <w:r>
        <w:t>Es irrelevante que no se haya realizado en la nave arrendada, no solo porque, como argumenta la actora, la propia demandada anunció que la desalojaría en febrero de 2019, sino porque de forma voluntaria la propia demanda que ahora alega indefensión, designó para los actos de comunicación expresamente en el contrato otro domicilio distinto, en el que el juzgado ha intentado sin éxito el emplazamiento.</w:t>
      </w:r>
    </w:p>
    <w:p w:rsidR="005728DD" w:rsidRDefault="005728DD" w:rsidP="005728DD">
      <w:pPr>
        <w:pStyle w:val="TextoNormal"/>
      </w:pPr>
    </w:p>
    <w:p w:rsidR="005728DD" w:rsidRDefault="005728DD" w:rsidP="005728DD">
      <w:pPr>
        <w:pStyle w:val="TextoNormal"/>
      </w:pPr>
      <w:r>
        <w:t>No existe por ello vulneración de norma procesal, (arts. 440, 156, 157 y 164 LEC), ni se ha causado indefensión a la demanda, que fue quien indicó ese concreto domicilio para notificaciones.</w:t>
      </w:r>
    </w:p>
    <w:p w:rsidR="005728DD" w:rsidRDefault="005728DD" w:rsidP="005728DD">
      <w:pPr>
        <w:pStyle w:val="TextoNormal"/>
      </w:pPr>
    </w:p>
    <w:p w:rsidR="005728DD" w:rsidRDefault="005728DD" w:rsidP="005728DD">
      <w:pPr>
        <w:pStyle w:val="TextoNormal"/>
      </w:pPr>
      <w:r>
        <w:t>A la vista de lo expuesto, no procede apreciar defecto procesal causante de indefensión respecto de la ejecutante, y no procede acordar la nulidad de actuaciones instada”.</w:t>
      </w:r>
    </w:p>
    <w:p w:rsidR="005728DD" w:rsidRDefault="005728DD" w:rsidP="005728DD">
      <w:pPr>
        <w:pStyle w:val="TextoNormal"/>
      </w:pPr>
    </w:p>
    <w:p w:rsidR="005728DD" w:rsidRDefault="005728DD" w:rsidP="005728DD">
      <w:pPr>
        <w:pStyle w:val="TextoNormal"/>
      </w:pPr>
      <w:r>
        <w:t>d) El procedimiento continuó con la apertura de la fase ejecutiva para el cobro de las cantidades reclamadas. Así, efectuada la correspondiente solicitud por escrito del representante de la mercantil demandante el 11 de abril de 2019, la titular del juzgado dictó auto despachando ejecución el 6 de mayo de 2019 (procedimiento de ejecución de títulos judiciales 477-2019), y en la misma fecha emitió un decreto el letrado de la administración de justicia concretando las medidas ejecutivas, en la que se incluyó el embargo de bienes, previa su averiguación y localización.</w:t>
      </w:r>
    </w:p>
    <w:p w:rsidR="005728DD" w:rsidRDefault="005728DD" w:rsidP="005728DD">
      <w:pPr>
        <w:pStyle w:val="TextoNormal"/>
      </w:pPr>
    </w:p>
    <w:p w:rsidR="005728DD" w:rsidRDefault="005728DD" w:rsidP="005728DD">
      <w:pPr>
        <w:pStyle w:val="TextoNormal"/>
      </w:pPr>
      <w:r>
        <w:t>En el auto de referencia, se acuerda además conceder trámite de oposición a la ejecución por plazo de diez días siguientes a partir de la fecha de notificación de dicha resolución. Dentro de plazo la aquí recurrente formalizó escrito de oposición a la ejecución, donde además de denunciar la infracción de preceptos legales adujo haber sufrido indefensión.</w:t>
      </w:r>
    </w:p>
    <w:p w:rsidR="005728DD" w:rsidRDefault="005728DD" w:rsidP="005728DD">
      <w:pPr>
        <w:pStyle w:val="TextoNormal"/>
      </w:pPr>
    </w:p>
    <w:p w:rsidR="005728DD" w:rsidRDefault="005728DD" w:rsidP="005728DD">
      <w:pPr>
        <w:pStyle w:val="TextoNormal"/>
      </w:pPr>
      <w:r>
        <w:t xml:space="preserve">El incidente de oposición a la ejecución fue resuelto por auto desestimatorio del juzgado </w:t>
      </w:r>
      <w:r w:rsidRPr="005728DD">
        <w:rPr>
          <w:i/>
        </w:rPr>
        <w:t>a quo</w:t>
      </w:r>
      <w:r>
        <w:t>, de 15 de julio de 2019.</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La demanda de amparo, que solamente impugna el auto del juzgado competente de 4 de junio de 2019, alega que la entidad recurrente ha sido privada de su derecho a comparecer en el juicio verbal núm. 153-2019 del juzgado </w:t>
      </w:r>
      <w:r w:rsidRPr="005728DD">
        <w:rPr>
          <w:i/>
        </w:rPr>
        <w:t>a quo</w:t>
      </w:r>
      <w:r>
        <w:t>, de desahucio y reclamación de cantidad instado en su contra, y por tanto privada también de su derecho a ser oída y defenderse en el procedimiento, con quiebra de los principios de bilateralidad, contradicción e igualdad, comportando todo ello la vulneración de su derecho a la tutela judicial efectiva sin indefensión (art. 24.1 CE).</w:t>
      </w:r>
    </w:p>
    <w:p w:rsidR="005728DD" w:rsidRDefault="005728DD" w:rsidP="005728DD">
      <w:pPr>
        <w:pStyle w:val="TextoNormal"/>
      </w:pPr>
    </w:p>
    <w:p w:rsidR="005728DD" w:rsidRDefault="005728DD" w:rsidP="005728DD">
      <w:pPr>
        <w:pStyle w:val="TextoNormal"/>
      </w:pPr>
      <w:r>
        <w:t xml:space="preserve">En tal sentido, en línea con lo expuesto en el escrito previo de nulidad, señala que se ha utilizado de manera indebida la vía de la notificación por edictos, al no haber intentado el juzgado su notificación personal en el local objeto de desahucio (calle Lira, 12), limitándose a hacerlo dos veces en el domicilio de la entidad (calle Ermita del Rocío, 7), siendo que al día siguiente de resultar infructuoso el segundo intento, el 6 de marzo de 2019 se acordó la citación por edictos. Añade que la ubicación del local resultaba conocida por el juzgado y </w:t>
      </w:r>
      <w:r>
        <w:lastRenderedPageBreak/>
        <w:t>por la parte arrendadora, según evidencia el contenido de las actuaciones (donde aparecen entre otros documentos el contrato de arrendamiento, un burofax dirigido por la actora a la demandada a la dirección de la nave industrial, y una diligencia de ordenación de 5 de marzo de 2019), reiterando que la recurrente solo tuvo conocimiento de la existencia de ese proceso en la fecha en que se llevó a cabo su lanzamiento del inmueble —23 de abril de 2019—. Se invoca como doctrina las SSTC 38/2006, de 13 de febrero, y 61/2010, de 18 de octubre, mostrando su discrepancia con los argumentos esgrimidos por el juzgado en el auto que impugna, alegando que concurre indefensión.</w:t>
      </w:r>
    </w:p>
    <w:p w:rsidR="005728DD" w:rsidRDefault="005728DD" w:rsidP="005728DD">
      <w:pPr>
        <w:pStyle w:val="TextoNormal"/>
      </w:pPr>
    </w:p>
    <w:p w:rsidR="005728DD" w:rsidRDefault="005728DD" w:rsidP="005728DD">
      <w:pPr>
        <w:pStyle w:val="TextoNormal"/>
      </w:pPr>
      <w:r>
        <w:t>En el suplico de la demanda se solicita de este tribunal el dictado de sentencia estimatoria del amparo y, como consecuencia, según el punto 1 del suplico, que declaremos la nulidad del juicio verbal de desahucio ya referido desde la diligencia de ordenación de 6 de marzo de 2019, la cual ordenó el emplazamiento por edictos de la recurrente, con retroacción de las actuaciones al momento inmediato anterior a aquella resolución, para que se proceda a su emplazamiento en términos respetuosos con el derecho fundamental invocado.</w:t>
      </w:r>
    </w:p>
    <w:p w:rsidR="005728DD" w:rsidRDefault="005728DD" w:rsidP="005728DD">
      <w:pPr>
        <w:pStyle w:val="TextoNormal"/>
      </w:pPr>
    </w:p>
    <w:p w:rsidR="005728DD" w:rsidRDefault="005728DD" w:rsidP="005728DD">
      <w:pPr>
        <w:pStyle w:val="TextoNormal"/>
      </w:pPr>
      <w:r>
        <w:t>Como apartado 2 del suplico, la demanda pidió que “en virtud de lo dispuesto en el artículo 56.2 LOTC, acuerde la suspensión de los efectos del procedimiento de ejecución de títulos judiciales 477-2019 (dimanante del juicio verbal 153-2019), seguido ante el Juzgado número 4 de Jerez de la Frontera, pues al negar mi representada deber la cantidad reclamada de contrario, los embargos trabados en el citado procedimiento de ejecución le causan un grave perjuicio, haciendo perder —de efectuarse los mismos— la finalidad de la presente demanda de amparo”.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La secretaría de justicia de la Sección Cuarta, Sala Segunda, de este Tribunal Constitucional, dictó diligencia de ordenación el 26 de julio de 2019 requiriendo al representante procesal de la recurrente para que aportara el poder acreditativo de su representación o bien otorgara esta por comparecencia </w:t>
      </w:r>
      <w:r w:rsidRPr="005728DD">
        <w:rPr>
          <w:i/>
        </w:rPr>
        <w:t>apud acta</w:t>
      </w:r>
      <w:r>
        <w:t>, con advertencia de archivo de la demanda si no lo efectuaba en el plazo de diez días.</w:t>
      </w:r>
    </w:p>
    <w:p w:rsidR="005728DD" w:rsidRDefault="005728DD" w:rsidP="005728DD">
      <w:pPr>
        <w:pStyle w:val="TextoNormal"/>
      </w:pPr>
    </w:p>
    <w:p w:rsidR="005728DD" w:rsidRDefault="005728DD" w:rsidP="005728DD">
      <w:pPr>
        <w:pStyle w:val="TextoNormal"/>
      </w:pPr>
      <w:r>
        <w:t>El requerimiento se cumplimentó por escrito del procurador de la recurrente, presentado el 13 de septiembre de 2019, con el poder notarial correspondiente.</w:t>
      </w:r>
    </w:p>
    <w:p w:rsidR="005728DD" w:rsidRDefault="005728DD" w:rsidP="005728DD">
      <w:pPr>
        <w:pStyle w:val="TextoNormal"/>
      </w:pPr>
    </w:p>
    <w:p w:rsidR="005728DD" w:rsidRDefault="005728DD" w:rsidP="005728DD">
      <w:pPr>
        <w:pStyle w:val="TextoNormal"/>
      </w:pPr>
      <w:r w:rsidRPr="005728DD">
        <w:rPr>
          <w:rStyle w:val="NumeroAFNegritaCaracter"/>
        </w:rPr>
        <w:t>5</w:t>
      </w:r>
      <w:r>
        <w:t>. La Sección Cuarta de este tribunal dictó providencia el 29 de junio de 2020 del siguiente tenor:</w:t>
      </w:r>
    </w:p>
    <w:p w:rsidR="005728DD" w:rsidRDefault="005728DD" w:rsidP="005728DD">
      <w:pPr>
        <w:pStyle w:val="TextoNormal"/>
      </w:pPr>
    </w:p>
    <w:p w:rsidR="005728DD" w:rsidRDefault="005728DD" w:rsidP="005728DD">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5728DD" w:rsidRDefault="005728DD" w:rsidP="005728DD">
      <w:pPr>
        <w:pStyle w:val="TextoNormal"/>
      </w:pPr>
    </w:p>
    <w:p w:rsidR="005728DD" w:rsidRDefault="005728DD" w:rsidP="005728DD">
      <w:pPr>
        <w:pStyle w:val="TextoNormal"/>
      </w:pPr>
      <w:r>
        <w:t>Por ello, en aplicación de lo dispuesto en el art. 51 LOTC, diríjase atenta comunicación a Juzgado de Primera Instancia e Instrucción núm. 4 de Jerez de la Frontera a fin de que, en plazo que no exceda de diez días, remita certificación o fotocopia adverada de las actuaciones correspondientes al juicio verbal 153-2019; debiendo previamente emplazarse, para que en el plazo de diez días puedan comparecer, si lo desean,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t>Fórmese pieza separada para la sustanciación del incidente de suspensión”.</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providencia de 17 de noviembre de 2020 la secretaría de justicia de la Sección Cuarta de este tribunal acordó conceder a la parte recurrente y al Ministerio Fiscal un plazo común de veinte días, a fin de que pudieran formular alegaciones,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El fiscal ante este Tribunal Constitucional presentó su escrito de alegaciones el 17 de diciembre de 2020, por el que interesó de este tribunal se dictase sentencia otorgando el amparo solicitado, por vulneración del derecho a la tutela judicial efectiva sin indefensión, con “nulidad de todo lo actuado desde la admisión de la demanda de desahucio en el juicio verbal de desahucio 153-2019”, y la retroacción de las actuaciones “al momento inmediatamente anterior a dicha actuación para que se le dé a la recurrente posibilidad de contestar a la demanda”.</w:t>
      </w:r>
    </w:p>
    <w:p w:rsidR="005728DD" w:rsidRDefault="005728DD" w:rsidP="005728DD">
      <w:pPr>
        <w:pStyle w:val="TextoNormal"/>
      </w:pPr>
    </w:p>
    <w:p w:rsidR="005728DD" w:rsidRDefault="005728DD" w:rsidP="005728DD">
      <w:pPr>
        <w:pStyle w:val="TextoNormal"/>
      </w:pPr>
      <w:r>
        <w:t xml:space="preserve">A tal efecto, luego de resumir los hechos más relevantes del proceso </w:t>
      </w:r>
      <w:r w:rsidRPr="005728DD">
        <w:rPr>
          <w:i/>
        </w:rPr>
        <w:t>a quo</w:t>
      </w:r>
      <w:r>
        <w:t>, afirma que el presente recurso se inscribe en “una serie de antecedentes” sobre los que este Tribunal Constitucional ha levantado una doctrina reiterada a propósito de la proyección del derecho a la tutela judicial efectiva en el ámbito de los actos de comunicación procesal, lo que trae consigo, en lo que aquí importa, la preferencia del sistema de emplazamiento personal del demandado y solo de manera subsidiaria a través de edictos, citando las SSTC 89/2015, FJ 3, y 78/2008, de 7 de julio, FJ 2. Trasladada esa doctrina al caso aquí planteado, recuerda el fiscal que el intento de notificación personal a la entidad aquí recurrente se realizó en el domicilio designado en el contrato y al resultar esta gestión fallida, pese a que en principio se iban a hacer gestiones de averiguación de un domicilio alternativo, resultó que al día siguiente se acordó la notificación por edictos. Reflexiona el fiscal sobre la rapidez del procedimiento evidenciada y que, con este proceder, el juzgado “no desplegó ni la más mínima actividad para hacer de forma efectiva y eficaz la notificación de la demanda al demandado para que este pudiera ejercer su derecho de defensa […] cuando le constaba otro posible lugar donde realizar esa comunicación, pues en la misma diligencia hace constar el domicilio de la calle Lira núm. 12”; además de que “podría haber acudido a organismos públicos como la Agencia Tributaria o la Seguridad Social para que informaran si esa persona tenía algún otro domicilio en España, e incluso podría haberse auxiliado de las fuerzas y cuerpos de seguridad”.</w:t>
      </w:r>
    </w:p>
    <w:p w:rsidR="005728DD" w:rsidRDefault="005728DD" w:rsidP="005728DD">
      <w:pPr>
        <w:pStyle w:val="TextoNormal"/>
      </w:pPr>
    </w:p>
    <w:p w:rsidR="005728DD" w:rsidRDefault="005728DD" w:rsidP="005728DD">
      <w:pPr>
        <w:pStyle w:val="TextoNormal"/>
      </w:pPr>
      <w:r>
        <w:t xml:space="preserve">Añade que no pretende con lo expuesto “que la doctrina constitucional deba llevar a exigir el agotamiento en las posibilidades de averiguación de un auténtico y real domicilio, cuando el que se ofreció por el demandante resultó frustrado, pero desde luego la total falta de actividad del órgano en esta dirección debe llevarnos a considerar que efectivamente se incumplió con lo requerido de los órganos públicos, en este caso del juzgado, para dar satisfacción a la tutela judicial efectiva en concordancia con la doctrina que menciona el recurrente y cuya aplicabilidad al caso compartimos”. Y señala que no consta en absoluto que la parte hubiera tenido conocimiento extraprocesal de las actuaciones en fecha previa a la del lanzamiento, por lo que no concurre el supuesto que excluiría en su caso la indefensión constitucional (material) conforme a la misma doctrina del tribunal, de nuevo con cita de la STC 78/2008, FJ 3. Como colofón, advierte que el juzgado </w:t>
      </w:r>
      <w:r w:rsidRPr="005728DD">
        <w:rPr>
          <w:i/>
        </w:rPr>
        <w:t>a quo</w:t>
      </w:r>
      <w:r>
        <w:t xml:space="preserve">, “una vez denunciada ante el mismo la posible vulneración de los derechos, rechazó declarar la nulidad de lo actuado. </w:t>
      </w:r>
      <w:r>
        <w:lastRenderedPageBreak/>
        <w:t>Con su actuación el órgano judicial ha impedido a la ejecutada acceder al proceso y ejercer en el mismo las actuaciones que le correspondían, viendo cómo se hizo efectiva su expulsión del local arrendado, y por ende articular las posibles causas de oposición en su defensa”.</w:t>
      </w:r>
    </w:p>
    <w:p w:rsidR="005728DD" w:rsidRDefault="005728DD" w:rsidP="005728DD">
      <w:pPr>
        <w:pStyle w:val="TextoNormal"/>
      </w:pPr>
    </w:p>
    <w:p w:rsidR="005728DD" w:rsidRDefault="005728DD" w:rsidP="005728DD">
      <w:pPr>
        <w:pStyle w:val="TextoNormal"/>
      </w:pPr>
      <w:r>
        <w:t>Alega el fiscal que no es aceptable el razonamiento del auto recurrido en el sentido de que se actuó conforme a lo previsto en la ley, pues las reformas legales que han habido en esta materia tendentes a mejorar la operatividad del procedimiento, no pueden oponerse a la doctrina reiterada de este Tribunal Constitucional que exige el emplazamiento personal, tanto en procesos ejecutivos hipotecarios como en los de desahucio arrendaticio, citando sobre este segundo la STC 181/2015, de 7 de septiembre, FJ 5, donde se hace cita de la anterior STC 30/2014. En consecuencia, remacha el fiscal que si se otorga el amparo “sus efectos deben ser, en coherencia con lo acordado por el tribunal en otros casos precedentes (STC 122/2013, FJ 6), la de acordar la nulidad de lo actuado en el procedimiento de desahucio, y la retroacción de las actuaciones al momento anterior al requerimiento para contestar a la demanda, con el fin de que se le comunique, a la recurrente, lo allí acordado en legal forma y darle la posibilidad de ejercer su derecho”.</w:t>
      </w:r>
    </w:p>
    <w:p w:rsidR="005728DD" w:rsidRDefault="005728DD" w:rsidP="005728DD">
      <w:pPr>
        <w:pStyle w:val="TextoNormal"/>
      </w:pPr>
    </w:p>
    <w:p w:rsidR="005728DD" w:rsidRDefault="005728DD" w:rsidP="005728DD">
      <w:pPr>
        <w:pStyle w:val="TextoNormal"/>
      </w:pPr>
      <w:r w:rsidRPr="005728DD">
        <w:rPr>
          <w:rStyle w:val="NumeroAFNegritaCaracter"/>
        </w:rPr>
        <w:t>8</w:t>
      </w:r>
      <w:r>
        <w:t>. La secretaría de justicia de la Sección Cuarta de este tribunal dictó diligencia haciendo constar la recepción del escrito de alegaciones del fiscal, y la preclusión del plazo otorgado a la entidad recurrente sin que esta presentara alegaciones, quedando concluso el trámite.</w:t>
      </w:r>
    </w:p>
    <w:p w:rsidR="005728DD" w:rsidRDefault="005728DD" w:rsidP="005728DD">
      <w:pPr>
        <w:pStyle w:val="TextoNormal"/>
      </w:pPr>
    </w:p>
    <w:p w:rsidR="005728DD" w:rsidRDefault="005728DD" w:rsidP="005728DD">
      <w:pPr>
        <w:pStyle w:val="TextoNormal"/>
      </w:pPr>
      <w:r w:rsidRPr="005728DD">
        <w:rPr>
          <w:rStyle w:val="NumeroAFNegritaCaracter"/>
        </w:rPr>
        <w:t>9</w:t>
      </w:r>
      <w:r>
        <w:t>. Respecto de la solicitud de la demanda de amparo para que se acordara la suspensión del proceso ejecutivo 477-2019, de acuerdo con lo resuelto en la providencia de admisión a trámite del recurso se dictó por la Secretaría de Justicia de la Sala Segunda otra providencia en la misma fecha, 29 de junio de 2020, ordenando la formación de la respectiva pieza incidental, en la que presentaron alegaciones la recurrente, reafirmando lo solicitado en la demanda, y el fiscal, quien interesó se accediera a lo pedido.</w:t>
      </w:r>
    </w:p>
    <w:p w:rsidR="005728DD" w:rsidRDefault="005728DD" w:rsidP="005728DD">
      <w:pPr>
        <w:pStyle w:val="TextoNormal"/>
      </w:pPr>
    </w:p>
    <w:p w:rsidR="005728DD" w:rsidRDefault="005728DD" w:rsidP="005728DD">
      <w:pPr>
        <w:pStyle w:val="TextoNormal"/>
      </w:pPr>
      <w:r>
        <w:t>Por ATC 105/2020, de 21 de septiembre, se acordó denegar la suspensión cautelar solicitada.</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providencia de fecha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w:t>
      </w:r>
      <w:r>
        <w:t>.</w:t>
      </w:r>
    </w:p>
    <w:p w:rsidR="005728DD" w:rsidRDefault="005728DD" w:rsidP="005728DD">
      <w:pPr>
        <w:pStyle w:val="TextoNormal"/>
      </w:pPr>
    </w:p>
    <w:p w:rsidR="005728DD" w:rsidRDefault="005728DD" w:rsidP="005728DD">
      <w:pPr>
        <w:pStyle w:val="TextoNormal"/>
      </w:pPr>
      <w:r>
        <w:t xml:space="preserve">Se interpone demanda de amparo contra el auto del Juzgado de Primera Instancia núm. 4 de Jerez de la Frontera, de 4 de junio de 2019, que desestimó el incidente de nulidad de actuaciones promovido por la entidad demandada en juicio verbal de reclamación de rentas y disolución de contrato de arrendamiento con desahucio de la finca arrendada instado contra ella (procedimiento 153-19), alegando indefensión (art. 24.1 CE) al haber sido emplazada por medio de edictos tras el intento fallido de notificación en el domicilio señalado en el contrato de arrendamiento, sin realizar el juzgado ninguna otra diligencia de localización, </w:t>
      </w:r>
      <w:r>
        <w:lastRenderedPageBreak/>
        <w:t>en concreto la notificación en la propia finca arrendada, cuya dirección constaba en las actuaciones. Como se ha expuesto en los antecedentes, la recurrente alega que solo ha tenido conocimiento del procedimiento de desahucio cuando este ya había finalizado, el día 23 de abril de 2019 en que se procedió al desalojo de la nave industrial arrendada. La pretensión de la demanda es apoyada por el fiscal ante este tribunal en su escrito de alegaciones, solicitando el otorgamiento del amparo al incumplir el órgano judicial con el deber de agotar las gestiones para el emplazamiento personal de la demandada aquí recurrente, lo que en este caso resultaba posible.</w:t>
      </w:r>
    </w:p>
    <w:p w:rsidR="005728DD" w:rsidRDefault="005728DD" w:rsidP="005728DD">
      <w:pPr>
        <w:pStyle w:val="TextoNormal"/>
      </w:pPr>
    </w:p>
    <w:p w:rsidR="005728DD" w:rsidRDefault="005728DD" w:rsidP="005728DD">
      <w:pPr>
        <w:pStyle w:val="TextoNormal"/>
      </w:pPr>
      <w:r>
        <w:t xml:space="preserve">Así planteado el debate, debe advertirse que en este proceso no se ha impugnado el auto dictado por el propio juzgado </w:t>
      </w:r>
      <w:r w:rsidRPr="005728DD">
        <w:rPr>
          <w:i/>
        </w:rPr>
        <w:t>a quo</w:t>
      </w:r>
      <w:r>
        <w:t xml:space="preserve"> el 15 de julio de 2019, en desestimación del incidente de oposición a la ejecución tramitado en el procedimiento de ejecución judicial 477-2019, abierto a su vez a instancia de la mercantil actora contra la aquí recurrente para el cobro de las rentas impagadas, por lo que no cabe que realicemos ningún enjuiciamiento acerca de la constitucionalidad de dicha resolución.</w:t>
      </w:r>
    </w:p>
    <w:p w:rsidR="005728DD" w:rsidRDefault="005728DD" w:rsidP="005728DD">
      <w:pPr>
        <w:pStyle w:val="TextoNormal"/>
      </w:pPr>
    </w:p>
    <w:p w:rsidR="005728DD" w:rsidRDefault="005728DD" w:rsidP="005728DD">
      <w:pPr>
        <w:pStyle w:val="TextoNormal"/>
      </w:pPr>
      <w:r>
        <w:t>En todo caso, dada la directa conexión causal entre ese procedimiento ejecutivo y el declarativo verbal que le precede, en cuyo seno se dictó precisamente el título de ejecución (decreto del letrado de la administración de justicia de 20 de marzo de 2019, con el contenido previsto en el art. 440.3 de la Ley de enjuiciamiento civil —LEC—), de apreciarse la lesión del derecho fundamental denunciada contra el auto de 4 de junio de 2019 que sí se ha impugnado, los efectos de la estimación de la demanda de amparo alcanzarían al proceso ejecutivo posterior, sin necesidad de haber tenido que formalizar una pretensión de nulidad independiente contra lo actuado en él [SSTC 181/2015, de 7 de septiembre, antecedente 2 d), FJ 5 y fallo apartados 2 y 3, y 37/2017, de 27 de noviembre, antecedente 2 d), FJ 6 y fallo apartados 2 y 3].</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Aplicación de la doctrina de la STC 30/2014, de 24 de febrero</w:t>
      </w:r>
      <w:r>
        <w:t>.</w:t>
      </w:r>
    </w:p>
    <w:p w:rsidR="005728DD" w:rsidRDefault="005728DD" w:rsidP="005728DD">
      <w:pPr>
        <w:pStyle w:val="TextoNormal"/>
      </w:pPr>
    </w:p>
    <w:p w:rsidR="005728DD" w:rsidRDefault="005728DD" w:rsidP="005728DD">
      <w:pPr>
        <w:pStyle w:val="TextoNormal"/>
      </w:pPr>
      <w:r>
        <w:t>a) 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005728DD" w:rsidRDefault="005728DD" w:rsidP="005728DD">
      <w:pPr>
        <w:pStyle w:val="TextoNormal"/>
      </w:pPr>
    </w:p>
    <w:p w:rsidR="005728DD" w:rsidRDefault="005728DD" w:rsidP="005728DD">
      <w:pPr>
        <w:pStyle w:val="TextoNormal"/>
      </w:pPr>
      <w:r>
        <w:t xml:space="preserve">Contra la aplicación literal de estos preceptos y sus consecuencias en orden a causar indefensión, se pronunció este Tribunal Constitucional tanto en la STC 122/2013, de 20 de mayo, respecto del art. 686.3 LEC, como poco tiempo después en la STC 30/2014, de 24 de febrero, respecto del art. 164 LEC; proclamando en ambos casos el deber judicial de realizar una interpretación </w:t>
      </w:r>
      <w:r w:rsidRPr="005728DD">
        <w:rPr>
          <w:i/>
        </w:rPr>
        <w:t>secundum constitutionem</w:t>
      </w:r>
      <w:r>
        <w:t xml:space="preserve"> de tales normas, lo que comporta que ante el resultado infructuoso del intento de emplazamiento en el domicilio señalado en el contrato, el órgano judicial ha de agotar las gestiones previstas en el art. 155.3 LEC para localizar al </w:t>
      </w:r>
      <w:r>
        <w:lastRenderedPageBreak/>
        <w:t>ejecutado o demandado, antes de acudir a los edictos, instrumento este que tiene siempre un carácter subsidiario. Cabe añadir que el art. 686.3 LEC fue modificado por la Ley 19/2015, de 13 de julio, de medidas de reforma administrativa en el ámbito de la administración de justicia y del registro civil, disponiendo expresamente desde entonces que ante el intento fallido de emplazamiento personal, la oficina judicial ha de realizar “las averiguaciones pertinentes para determinar el domicilio del deudor” antes de ordenar la publicación de edictos. Por el contrario, y sin que se alcancen a entender las razones de ello, el legislador ha mantenido la misma dicción del art. 164 párrafo cuarto LEC hasta hoy, según la cual:</w:t>
      </w:r>
    </w:p>
    <w:p w:rsidR="005728DD" w:rsidRDefault="005728DD" w:rsidP="005728DD">
      <w:pPr>
        <w:pStyle w:val="TextoNormal"/>
      </w:pPr>
    </w:p>
    <w:p w:rsidR="005728DD" w:rsidRDefault="005728DD" w:rsidP="005728DD">
      <w:pPr>
        <w:pStyle w:val="TextoNormal"/>
      </w:pPr>
      <w:r>
        <w:t>“En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párrafo segundo del apartado 3 del artículo 155, ni hubiese comunicado de forma fehaciente con posterioridad al contrato un nuevo domicilio al arrendador, al que este no se hubiese opuesto, se procederá, sin más trámites, a fijar la cédula de citación o requerimiento en el tablón de anuncios de la oficina judicial”.</w:t>
      </w:r>
    </w:p>
    <w:p w:rsidR="005728DD" w:rsidRDefault="005728DD" w:rsidP="005728DD">
      <w:pPr>
        <w:pStyle w:val="TextoNormal"/>
      </w:pPr>
    </w:p>
    <w:p w:rsidR="005728DD" w:rsidRDefault="005728DD" w:rsidP="005728DD">
      <w:pPr>
        <w:pStyle w:val="TextoNormal"/>
      </w:pPr>
      <w:r>
        <w:t>El art. 155.3 párrafo segundo se refiere al domicilio que las partes hayan acordado en el contrato de arrendamiento a efecto de notificaciones, y solo a falta de tal indicación expresa, añade, tal domicilio “será, a todos los efectos, el de la vivienda o local arrendado”.</w:t>
      </w:r>
    </w:p>
    <w:p w:rsidR="005728DD" w:rsidRDefault="005728DD" w:rsidP="005728DD">
      <w:pPr>
        <w:pStyle w:val="TextoNormal"/>
      </w:pPr>
    </w:p>
    <w:p w:rsidR="005728DD" w:rsidRDefault="005728DD" w:rsidP="005728DD">
      <w:pPr>
        <w:pStyle w:val="TextoNormal"/>
      </w:pPr>
      <w:r>
        <w:t>b) En lo que aquí importa destacar, la STC 30/2014 explica en su fundamento jurídico 3 lo siguiente:</w:t>
      </w:r>
    </w:p>
    <w:p w:rsidR="005728DD" w:rsidRDefault="005728DD" w:rsidP="005728DD">
      <w:pPr>
        <w:pStyle w:val="TextoNormal"/>
      </w:pPr>
    </w:p>
    <w:p w:rsidR="005728DD" w:rsidRDefault="005728DD" w:rsidP="005728DD">
      <w:pPr>
        <w:pStyle w:val="TextoNormal"/>
      </w:pPr>
      <w:r>
        <w:t xml:space="preserve">“[E]ste tribunal se ha pronunciado en reiteradas ocasiones, señalando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w:t>
      </w:r>
      <w:r w:rsidRPr="005728DD">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5728DD" w:rsidRDefault="005728DD" w:rsidP="005728DD">
      <w:pPr>
        <w:pStyle w:val="TextoNormal"/>
      </w:pPr>
    </w:p>
    <w:p w:rsidR="005728DD" w:rsidRDefault="005728DD" w:rsidP="005728DD">
      <w:pPr>
        <w:pStyle w:val="TextoNormal"/>
      </w:pPr>
      <w:r>
        <w:lastRenderedPageBreak/>
        <w:t>Por las razones expuestas, y como también hemos razonado,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5728DD" w:rsidRDefault="005728DD" w:rsidP="005728DD">
      <w:pPr>
        <w:pStyle w:val="TextoNormal"/>
      </w:pPr>
    </w:p>
    <w:p w:rsidR="005728DD" w:rsidRDefault="005728DD" w:rsidP="005728DD">
      <w:pPr>
        <w:pStyle w:val="TextoNormal"/>
      </w:pPr>
      <w:r>
        <w:t>Y más adelante en el fundamento jurídico 5:</w:t>
      </w:r>
    </w:p>
    <w:p w:rsidR="005728DD" w:rsidRDefault="005728DD" w:rsidP="005728DD">
      <w:pPr>
        <w:pStyle w:val="TextoNormal"/>
      </w:pPr>
    </w:p>
    <w:p w:rsidR="005728DD" w:rsidRDefault="005728DD" w:rsidP="005728DD">
      <w:pPr>
        <w:pStyle w:val="TextoNormal"/>
      </w:pPr>
      <w:r>
        <w:t xml:space="preserve">“A la conclusión alcanzada no cabe oponer, como sostiene el órgano judicial en el auto de 18 de octubre de 2011, que desestima la solicitud de nulidad interpuesto por el recurrente, que la Ley de enjuiciamiento civil no exige realizar mayores averiguaciones tras la reforma llevada a cabo mediante por la Ley 19/2009, de 23 de noviembre. Como ya advertimos en la STC 122/2013, de 20 de mayo, en relación con los juicios hipotecarios y la reforma llevada a cabo por la Ley 13/2009, de 3 de noviembre —reforma muy semejante en sus términos a la que ahora analizamos—, la doctrina constitucional en materia de emplazamientos es una doctrina muy consolidada que no puede verse interferida por la reforma operada por la Ley 19/2009, de 23 de noviembre, de medidas de fomento y agilización procesal del alquiler y de la eficiencia energética de los edificios. Cierto es que la Ley 19/2009 reforma el art. 164 LEC relativo a la comunicación edictal como forma de comunicación procesal y añade a dicho precepto un segundo párrafo relativo a los desahucios en un arrendamiento por falta de pago de las rentas, que dispone: ‘En los procesos de desahucio de finca urbana o rústica por falta de pago de rentas o cantidades debidas o por expiración legal o contractual del plazo y en los procesos de reclamación de estas rentas o cantidades debidas, cuando no pudiere hallársele ni efectuarle la comunicación al arrendatario en los domicilios designados en el segundo párrafo del número 3 del artículo 155, ni hubiese comunicado de forma fehaciente con posterioridad al contrato un nuevo domicilio al arrendador al que este no se hubiese opuesto, se procederá, sin más trámites, a fijar la cédula de citación en el tablón de anuncios de la oficina judicial.’ Pero, como pusimos de manifiesto en la STC 122/2013, de dicho precepto ha de realizarse una interpretación </w:t>
      </w:r>
      <w:r w:rsidRPr="005728DD">
        <w:rPr>
          <w:i/>
        </w:rPr>
        <w:t>secundum constitutionem</w:t>
      </w:r>
      <w:r>
        <w:t xml:space="preserve">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solo puede utilizarse cuando se hayan agotado los medios de averiguación del domicilio del deudor o ejecutado.</w:t>
      </w:r>
    </w:p>
    <w:p w:rsidR="005728DD" w:rsidRDefault="005728DD" w:rsidP="005728DD">
      <w:pPr>
        <w:pStyle w:val="TextoNormal"/>
      </w:pPr>
    </w:p>
    <w:p w:rsidR="005728DD" w:rsidRDefault="005728DD" w:rsidP="005728DD">
      <w:pPr>
        <w:pStyle w:val="TextoNormal"/>
      </w:pPr>
      <w:r>
        <w:t xml:space="preserve">Por lo demás, se trata, en todo caso, de una operación sencilla que no requiere mayor esfuerzo intelectual, pues el nuevo párrafo del art. 164 LEC tiene una remisión legislativa al art. 155.3 LEC y este precepto no limita el domicilio a uno, sino a varios. Así se deduce de la lectura de su contenido, a tenor del cual [regla general, párrafo primero]: ‘A efectos de actos de comunicación, podrá designarse como domicilio el que aparezca en el padrón municipal o el que conste oficialmente a otros efectos, así como el que aparezca en registro </w:t>
      </w:r>
      <w:r>
        <w:lastRenderedPageBreak/>
        <w:t>oficial o en publicaciones de colegios profesionales, cuando se tratare, respectivamente, de empresas y otras entidades o de personas que ejerzan profesión para la que deban colegiarse obligatoriamente. También podrá designarse como domicilio, a los referidos efectos, el lugar en que se desarrolle actividad profesional o laboral no ocasional […]’.</w:t>
      </w:r>
    </w:p>
    <w:p w:rsidR="005728DD" w:rsidRDefault="005728DD" w:rsidP="005728DD">
      <w:pPr>
        <w:pStyle w:val="TextoNormal"/>
      </w:pPr>
    </w:p>
    <w:p w:rsidR="005728DD" w:rsidRDefault="005728DD" w:rsidP="005728DD">
      <w:pPr>
        <w:pStyle w:val="TextoNormal"/>
      </w:pPr>
      <w:r>
        <w:t>En consecuencia, ha de concluirse que en el presente caso 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w:t>
      </w:r>
    </w:p>
    <w:p w:rsidR="005728DD" w:rsidRDefault="005728DD" w:rsidP="005728DD">
      <w:pPr>
        <w:pStyle w:val="TextoNormal"/>
      </w:pPr>
    </w:p>
    <w:p w:rsidR="005728DD" w:rsidRDefault="005728DD" w:rsidP="005728DD">
      <w:pPr>
        <w:pStyle w:val="TextoNormal"/>
      </w:pPr>
      <w:r>
        <w:t>Esta doctrina sobre el correcto modo de efectuar el emplazamiento del demandado en los procesos de desahucio arrendaticio, se ha reiterado en las posteriores SSTC 181/2015, FJ 4; 137/2017, FJ 4; 39/2018, de 25 de abril, FJ 3; 123/2019, de 28 de octubre, FJ 3; 62/2020, de 15 de junio, FJ 2, y 20/2021, de 15 de febrero, FJ 2.</w:t>
      </w:r>
    </w:p>
    <w:p w:rsidR="005728DD" w:rsidRDefault="005728DD" w:rsidP="005728DD">
      <w:pPr>
        <w:pStyle w:val="TextoNormal"/>
      </w:pPr>
    </w:p>
    <w:p w:rsidR="005728DD" w:rsidRDefault="005728DD" w:rsidP="005728DD">
      <w:pPr>
        <w:pStyle w:val="TextoNormal"/>
      </w:pPr>
      <w:r>
        <w:t xml:space="preserve">c) La aplicación de la doctrina de referencia conduce a la estimación de la presente demanda de amparo. Como se ha indicado en los antecedentes y resultaba por lo demás evidente, una vez que resultó infructuoso el intento de emplazamiento a la entidad demandada en el domicilio señalado en el contrato de arrendamiento (calle Ermita del Rocío, núm. 7, de Jerez de la Frontera), existía incluso la posibilidad, antes de iniciar cualquier otra gestión dirigida a su localización en archivos o registros públicos </w:t>
      </w:r>
      <w:r w:rsidRPr="005728DD">
        <w:rPr>
          <w:i/>
        </w:rPr>
        <w:t>ex</w:t>
      </w:r>
      <w:r>
        <w:t xml:space="preserve"> art. 156 LEC en relación con el 155.3 párrafo primero LEC, de intentar la notificación en la dirección de la propia finca arrendada (sita en la calle Lira, parcela 12.4 de la entidad local autónoma de Guadalcacín, mismo municipio de Jerez de la Frontera), en la que según la recurrente hasta la fecha de su lanzamiento se encontraba desarrollando su actividad.</w:t>
      </w:r>
    </w:p>
    <w:p w:rsidR="005728DD" w:rsidRDefault="005728DD" w:rsidP="005728DD">
      <w:pPr>
        <w:pStyle w:val="TextoNormal"/>
      </w:pPr>
    </w:p>
    <w:p w:rsidR="005728DD" w:rsidRDefault="005728DD" w:rsidP="005728DD">
      <w:pPr>
        <w:pStyle w:val="TextoNormal"/>
      </w:pPr>
      <w:r>
        <w:t>Mas no solamente no se hizo esto sino que, en solo veinticuatro horas, la posición del juzgado expresada por el letrado de la administración de justicia varió totalmente, pasando de comunicar a la parte actora el intento fallido de emplazamiento para que pudiera suministrar otra dirección y en su caso realizarse las pertinentes gestiones de localización (diligencia de ordenación de 5 de marzo de 2019), a obviar lo anterior y ordenar el emplazamiento por edictos (diligencia de ordenación de 6 de marzo de 2019), sin ninguna explicación para este cambio de criterio.</w:t>
      </w:r>
    </w:p>
    <w:p w:rsidR="005728DD" w:rsidRDefault="005728DD" w:rsidP="005728DD">
      <w:pPr>
        <w:pStyle w:val="TextoNormal"/>
      </w:pPr>
    </w:p>
    <w:p w:rsidR="005728DD" w:rsidRDefault="005728DD" w:rsidP="005728DD">
      <w:pPr>
        <w:pStyle w:val="TextoNormal"/>
      </w:pPr>
      <w:r>
        <w:t>Puesta de manifiesto esta circunstancia en el escrito de nulidad de actuaciones, el auto de 4 de junio de 2019 se limitó a negar la lesión del derecho fundamental razonando que era suficiente el intento de emplazamiento en la dirección designada en el contrato, y que la demandada había anunciado que desalojaría la finca en febrero de ese año (2019), extremo este último que ni se verificó previamente ni se corresponde con los hechos, pues se encontraba personal de esta en su interior cuando se llevó a cabo el desalojo, el 23 de abril de 2019. Tampoco el auto expresa que estuviera acreditado el conocimiento extraprocesal de la causa por la entidad demandada, lo que de concurrir resultaría impeditivo de indefensión de acuerdo con aquella misma doctrina.</w:t>
      </w:r>
    </w:p>
    <w:p w:rsidR="005728DD" w:rsidRDefault="005728DD" w:rsidP="005728DD">
      <w:pPr>
        <w:pStyle w:val="TextoNormal"/>
      </w:pPr>
    </w:p>
    <w:p w:rsidR="005728DD" w:rsidRDefault="005728DD" w:rsidP="005728DD">
      <w:pPr>
        <w:pStyle w:val="TextoNormal"/>
      </w:pPr>
      <w:r>
        <w:t xml:space="preserve">Con su actuación, en definitiva, el juzgado causó indefensión a la demandada aquí recurrente, siguiéndose a sus espaldas el procedimiento y dictándose el decreto de lanzamiento </w:t>
      </w:r>
      <w:r>
        <w:lastRenderedPageBreak/>
        <w:t>y apertura de la vía ejecutiva, que luego no se ha reparado en el incidente de nulidad. Procede por tanto que se acuerde el amparo que se solicita, con nulidad tanto del auto de 4 de junio de 2019 como de la diligencia de ordenación de 6 de marzo de 2019, así como la nulidad de todo lo actuado con posterioridad a recaer esa misma diligencia incluyendo el proceso de ejecución judicial 477-2019, con retroacción del procedimiento al momento inmediatamente anterior al de su dictado, a fin de que en su lugar se pronuncie otra resolución que resulte respetuosa del derecho fundamental vulnerado.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LG Inversa Recycle Pallets, S.L.U., por vulneración de su derecho fundamental a la tutela judicial efectiva sin padecer indefensión; con reconocimiento de tal derecho.</w:t>
      </w:r>
    </w:p>
    <w:p w:rsidR="005728DD" w:rsidRDefault="005728DD" w:rsidP="005728DD">
      <w:pPr>
        <w:pStyle w:val="TextoNormal"/>
      </w:pPr>
    </w:p>
    <w:p w:rsidR="005728DD" w:rsidRDefault="005728DD" w:rsidP="005728DD">
      <w:pPr>
        <w:pStyle w:val="TextoNormal"/>
      </w:pPr>
      <w:r>
        <w:t>2º Declarar la nulidad: (i) del auto del Juzgado de Primera Instancia núm. 4 de Jerez de la Frontera, de 4 de junio de 2019, dictado en el juicio verbal de desahucio y reclamación de rentas núm. 153-2019; (ii) de la diligencia de ordenación de 6 marzo de 2019 dictada en el mismo procedimiento; y (iii) de todas las actuaciones realizadas desde el dictado de dicha diligencia de ordenación, incluyendo las del proceso de ejecución judicial núm. 477-2019.</w:t>
      </w:r>
    </w:p>
    <w:p w:rsidR="005728DD" w:rsidRDefault="005728DD" w:rsidP="005728DD">
      <w:pPr>
        <w:pStyle w:val="TextoNormal"/>
      </w:pPr>
    </w:p>
    <w:p w:rsidR="005728DD" w:rsidRDefault="005728DD" w:rsidP="005728DD">
      <w:pPr>
        <w:pStyle w:val="TextoNormal"/>
      </w:pPr>
      <w:r>
        <w:t>3º Retrotraer el procedimiento a la fecha inmediatamente anterior a la de dictarse la diligencia de ordenación de 6 de marzo de 2019 que acordó la notificación por edictos, a fin de que en su lugar se dicte otra resolución que resulte respetuosa del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6" w:name="SENTENCIA_2021_83"/>
      <w:r>
        <w:lastRenderedPageBreak/>
        <w:t>SENTENCIA 83/2021, de 19 de abril de 2021</w:t>
      </w:r>
    </w:p>
    <w:bookmarkEnd w:id="86"/>
    <w:p w:rsidR="005728DD" w:rsidRDefault="005728DD" w:rsidP="005728DD">
      <w:pPr>
        <w:pStyle w:val="TtuloResolucin"/>
      </w:pPr>
      <w:r>
        <w:t>Sala Primera</w:t>
      </w:r>
    </w:p>
    <w:p w:rsidR="005728DD" w:rsidRDefault="005728DD" w:rsidP="005728DD">
      <w:pPr>
        <w:pStyle w:val="TtuloBOE"/>
      </w:pPr>
      <w:r>
        <w:t>(BOE núm. 119, de 19 de mayo de 2021)</w:t>
      </w:r>
    </w:p>
    <w:p w:rsidR="005728DD" w:rsidRDefault="005728DD" w:rsidP="005728DD">
      <w:pPr>
        <w:pStyle w:val="TextoNormalCentrado"/>
      </w:pPr>
      <w:r>
        <w:t>ECLI:ES:TC:2021:83</w:t>
      </w:r>
    </w:p>
    <w:p w:rsidR="005728DD" w:rsidRDefault="005728DD" w:rsidP="005728DD">
      <w:pPr>
        <w:pStyle w:val="TextoNormalCentrado"/>
      </w:pPr>
    </w:p>
    <w:p w:rsidR="005728DD" w:rsidRDefault="005728DD" w:rsidP="005728DD">
      <w:pPr>
        <w:pStyle w:val="SntesisDescriptiva"/>
      </w:pPr>
      <w:r>
        <w:t>Recurso de amparo 4575-2019. Promovido por don Víctor González Méndez en relación con las resoluciones dictadas por las salas de lo contencioso-administrativo del Tribunal Supremo y de la Audiencia Nacional en procedimiento por responsabilidad patrimonial de la administración de Justicia.</w:t>
      </w:r>
    </w:p>
    <w:p w:rsidR="005728DD" w:rsidRDefault="005728DD" w:rsidP="005728DD">
      <w:pPr>
        <w:pStyle w:val="SntesisDescriptiva"/>
      </w:pPr>
    </w:p>
    <w:p w:rsidR="005728DD" w:rsidRDefault="005728DD" w:rsidP="005728DD">
      <w:pPr>
        <w:pStyle w:val="SntesisAnaltica"/>
      </w:pPr>
      <w:r>
        <w:t>Vulneración del derecho a la presunción de inocencia: STC 125/2019 (denegación de indemnización resultante de la aplicación del precepto legal anulado por la STC 85/2019, de 19 de junio).</w:t>
      </w:r>
    </w:p>
    <w:p w:rsidR="005728DD" w:rsidRDefault="005728DD" w:rsidP="005728DD">
      <w:pPr>
        <w:pStyle w:val="SntesisAnaltica"/>
      </w:pPr>
    </w:p>
    <w:p w:rsidR="005728DD" w:rsidRDefault="005728DD" w:rsidP="005728DD">
      <w:pPr>
        <w:pStyle w:val="Extracto"/>
      </w:pPr>
      <w:r>
        <w:t>1.</w:t>
      </w:r>
      <w:r>
        <w:tab/>
        <w:t>Aplicación de doctrina sobre indemnización por responsabilidad patrimonial de la Administración de Justicia en casos de prisión provisional seguida de absolución (SSTC 85/2019 y 125/2019)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y los magistrados don Andrés Ollero Tassara, don Santiago Martínez-Vares García, don Alfredo Montoya Melgar, don Cándido Conde-Pumpido Tourón y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4575-2019, interpuesto por don Víctor González Méndez, representado por la procuradora de los tribunales doña María de los Ángeles Almansa Sanz y asistido por el abogado don Juan Manuel Pérez García, contra la providencia de 6 de junio de 2019, dictada por la Sección Primera de la Sala de lo Contencioso-Administrativo del Tribunal Supremo que inadmitió el recurso de casación interpuesto contra la sentencia de 16 de octubre de 2018 de la Sección Tercera de la Sala de lo Contencioso-Administrativo de la Audiencia Nacional, desestimatoria del recurso contencioso-administrativo núm. 310-2016, que confirma la resolución del secretario de Estado de Justicia de 27 de septiembre de 2016 por la que se deniega la indemnización solicitada en concepto de responsabilidad patrimonial del Estado por prisión provisional seguida de absolución —expediente administrativo núm. 485-2015—. Han intervenido el abogado del Estado y el Ministerio Fiscal.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19 de julio de 2019 la procuradora de los tribunales doña María de los Ángeles Almansa Sanz, en nombre y representación de don Víctor González Méndez y bajo la dirección del abogado don Juan Manuel Pérez García, interpuso recurso de amparo contra las resoluciones mencionadas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resolver este recurso de amparo son los siguientes:</w:t>
      </w:r>
    </w:p>
    <w:p w:rsidR="005728DD" w:rsidRDefault="005728DD" w:rsidP="005728DD">
      <w:pPr>
        <w:pStyle w:val="TextoNormal"/>
      </w:pPr>
    </w:p>
    <w:p w:rsidR="005728DD" w:rsidRDefault="005728DD" w:rsidP="005728DD">
      <w:pPr>
        <w:pStyle w:val="TextoNormal"/>
      </w:pPr>
      <w:r>
        <w:t>a) El demandante de amparo estuvo privado de libertad por prisión preventiva entre el 27 diciembre de 2006 y el 28 de septiembre de 2010 en el marco del sumario núm. 1-2009 del Juzgado de Instrucción núm. 3 de La Orotava seguido contra él como presunto autor de un delito contra la salud pública y otro de blanqueo de capitales procedentes del tráfico ilegal de drogas. La Sección Quinta de la Audiencia Provincial de Santa Cruz de Tenerife, mediante sentencia de 18 de febrero de 2015 —rollo 11-2010— absolvió al recurrente de los delitos de los que había sido acusado.</w:t>
      </w:r>
    </w:p>
    <w:p w:rsidR="005728DD" w:rsidRDefault="005728DD" w:rsidP="005728DD">
      <w:pPr>
        <w:pStyle w:val="TextoNormal"/>
      </w:pPr>
    </w:p>
    <w:p w:rsidR="005728DD" w:rsidRDefault="005728DD" w:rsidP="005728DD">
      <w:pPr>
        <w:pStyle w:val="TextoNormal"/>
      </w:pPr>
      <w:r>
        <w:t>b) El demandante de amparo presentó ante el Ministerio de Justicia reclamación indemnizatoria por responsabilidad patrimonial del Estado por la vía del art. 294 de la Ley Orgánica del Poder Judicial (en adelante, LOPJ). La reclamación, por importe de 481 434,90 €, se fundó en que había estado privado de libertad entre el 27 diciembre de 2006 y el 28 de septiembre de 2010 (cuarenta y cinco meses y nueve días). El secretario de Estado de justicia, por delegación del ministro del ramo, denegó la reclamación, mediante resolución de 27 de septiembre de 2016 —expediente administrativo núm. 485-2015—.</w:t>
      </w:r>
    </w:p>
    <w:p w:rsidR="005728DD" w:rsidRDefault="005728DD" w:rsidP="005728DD">
      <w:pPr>
        <w:pStyle w:val="TextoNormal"/>
      </w:pPr>
    </w:p>
    <w:p w:rsidR="005728DD" w:rsidRDefault="005728DD" w:rsidP="005728DD">
      <w:pPr>
        <w:pStyle w:val="TextoNormal"/>
      </w:pPr>
      <w:r>
        <w:t>c) El demandante interpuso recurso contencioso-administrativo contra la resolución anterior, que fue desestimado por la Sección Tercera de la Sala de lo Contencioso-Administrativo de la Audiencia Nacional mediante sentencia de 16 de octubre de 2018. Según razona la sentencia, debe rechazarse que el recurrente tenga derecho a indemnización porque no concurre el presupuesto para que se declare la responsabilidad patrimonial del Estado ya que el artículo 294 LOPJ lo limita a los casos de existencia de sentencia absolutoria o auto de sobreseimiento libre por “inexistencia del hecho imputado”, “lo que no sucede en el supuesto examinado, ya que se ha cometido un delito, si bien no consta que haya participado el interesado. Se trata de un supuesto de inexistencia subjetiva que como hemos señalado en el fundamento de derecho anterior está excluido del ámbito de aplicación del artículo 294 LOPJ”.</w:t>
      </w:r>
    </w:p>
    <w:p w:rsidR="005728DD" w:rsidRDefault="005728DD" w:rsidP="005728DD">
      <w:pPr>
        <w:pStyle w:val="TextoNormal"/>
      </w:pPr>
    </w:p>
    <w:p w:rsidR="005728DD" w:rsidRDefault="005728DD" w:rsidP="005728DD">
      <w:pPr>
        <w:pStyle w:val="TextoNormal"/>
      </w:pPr>
      <w:r>
        <w:t>d) Contra la anterior sentencia, el demandante preparó recurso de casación que fue inadmitido por providencia de la Sección Primera de la Sala de lo Contencioso-Administrativo del Tribunal Supremo de 6 de junio de 2019.</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El demandante de amparo denuncia que la Audiencia Nacional, al confirmar la resolución administrativa denegatoria, ha vulnerado su derecho a la libertad personal (art. 17.1 CE) y del derecho a la presunción de inocencia (art. 24.2 CE). Con cita de la STEDH de 13 de julio de 2010, asunto </w:t>
      </w:r>
      <w:r w:rsidRPr="005728DD">
        <w:rPr>
          <w:i/>
        </w:rPr>
        <w:t>Tendam c. España</w:t>
      </w:r>
      <w:r>
        <w:t>, considera que las autoridades internas han sembrado dudas sobre la inocencia del recurrente.</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25 de enero de 2021, la Sección Segunda de este tribunal acordó admitir el presente recurso a trámite apreciando que concurría especial transcendencia constitucional (art. 50.1 de la Ley Orgánica del Tribunal Constitucional), porque la posible vulneración denunciada pudiera traer causa de la ley o de otra disposición de carácter general [STC 155/2009, FJ 2 c)], y dirigir atenta comunicación a los órganos judiciales para que remitieran certificación o fotocopia adverada de las actuaciones correspondientes y emplazaran para que pudieran personarse en el recurso de amparo a quienes hubieran sido parte en el procedimiento, excepto a la parte recurrente.</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secretaria de justicia de la Sección Segunda de este tribunal, por diligencia de ordenación de 20 de febrero de 2021, acordó tener por personado al abogado del Estado y dar vista de las actuaciones al Ministerio Fiscal y a las partes personadas por plazo común de veinte días para presentar las alegaciones que estimasen pertinentes, de conformidad con el art. 52.1 LOTC.</w:t>
      </w:r>
    </w:p>
    <w:p w:rsidR="005728DD" w:rsidRDefault="005728DD" w:rsidP="005728DD">
      <w:pPr>
        <w:pStyle w:val="TextoNormal"/>
      </w:pPr>
    </w:p>
    <w:p w:rsidR="005728DD" w:rsidRDefault="005728DD" w:rsidP="005728DD">
      <w:pPr>
        <w:pStyle w:val="TextoNormal"/>
      </w:pPr>
      <w:r w:rsidRPr="005728DD">
        <w:rPr>
          <w:rStyle w:val="NumeroAFNegritaCaracter"/>
        </w:rPr>
        <w:t>6</w:t>
      </w:r>
      <w:r>
        <w:t>. El abogado del Estado, mediante escrito registrado el 5 de abril de 2021, solicitó, en primer lugar, la inadmisión del amparo por extemporáneo, al considerar que se encuentra ante un recurso de amparo del art. 43 LOTC y, por tanto, el plazo para su interposición es de veinte días hábiles, dado que lo que se impugna es la resolución administrativa que deniega la indemnización solicitada por prisión provisional indebida. Subsidiariamente interesa se dicte sentencia conforme a Derecho y, en caso de estimación del recurso, “se ordene […] la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aunque resulta de aplicación la STC 85/2019, de 19 de junio, y, por ello, ha de declararse la vulneración del derecho a la presunción de inocencia al haberse aplicado un inciso del art. 294.1 LOPJ declarado inconstitucional por su contradicción con el art. 24.2 CE, el fallo de la citada resolución “deja incólume la expresión ‘siempre que se hayan arrogado perjuicios’”, lo que implica que el resarcimiento no es automático y que no le corresponde al Tribunal Constitucional pronunciarse sobre la procedencia del resarcimiento determinando la realidad de los daños sino a la administración una vez depurado el art. 294.1 LOPJ de sus incisos inconstitucionales.</w:t>
      </w:r>
    </w:p>
    <w:p w:rsidR="005728DD" w:rsidRDefault="005728DD" w:rsidP="005728DD">
      <w:pPr>
        <w:pStyle w:val="TextoNormal"/>
      </w:pPr>
    </w:p>
    <w:p w:rsidR="005728DD" w:rsidRDefault="005728DD" w:rsidP="005728DD">
      <w:pPr>
        <w:pStyle w:val="TextoNormal"/>
      </w:pPr>
      <w:r w:rsidRPr="005728DD">
        <w:rPr>
          <w:rStyle w:val="NumeroAFNegritaCaracter"/>
        </w:rPr>
        <w:t>7</w:t>
      </w:r>
      <w:r>
        <w:t>. El Ministerio Fiscal, por escrito registrado en este tribunal el 7 de abril de 2021, interesó el otorgamiento del amparo “una vez que el origen de las lesiones al derecho a la presunción de inocencia se hallaría en la norma legal”. Entiende que, dado que en buena parte los planteamientos sustantivos introducidos en el debate son sustancialmente coincidentes con los abordados en la STC 125/2019, de 31 de octubre, se debe “reconocer el derecho del recurrente a que la decisión sobre su solicitud de indemnización se adopte, en cuanto a sus criterios rectores, de acuerdo a las exigencias constitucionales del art. 14 CE y del art. 24.2 CE señaladas en las SSTC 85/2019 y 125/2019”. En la primera de ellas, los incisos “por inexistencia objetiva del hecho imputado” y “por esta misma causa” del art. 294.1 LOPJ son declarados inconstitucionales y nulos por vulneración de los citados artículos.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Mediante providencia de 15 de abril de 2021 se señala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Único. Remisión a lo resuelto en las SSTC 85/2019, de 19 de junio, y 125/2019, de 31 de octubre.</w:t>
      </w:r>
    </w:p>
    <w:p w:rsidR="005728DD" w:rsidRDefault="005728DD" w:rsidP="005728DD">
      <w:pPr>
        <w:pStyle w:val="TextoNormal"/>
      </w:pPr>
    </w:p>
    <w:p w:rsidR="005728DD" w:rsidRDefault="005728DD" w:rsidP="005728DD">
      <w:pPr>
        <w:pStyle w:val="TextoNormal"/>
      </w:pPr>
      <w:r>
        <w:t>El recurso de amparo tiene por objeto la resolución de 27 de septiembre de 2016, dictada por el secretario de Estado de Justicia, en el expediente administrativo núm. 485-2015, por la que se deniega la indemnización solicitada en concepto de responsabilidad patrimonial del Estado por prisión provisional seguida de absolución. También la sentencia de 16 de octubre de 2018 de la Sección Tercera de la Sala de lo Contencioso-Administrativo de la Audiencia Nacional, desestimatoria del recurso contencioso-administrativo núm. 310-2016 interpuesto frente a la resolución citada, y la providencia de 6 de junio de 2019, dictada por la Sección Primera de la Sala de lo Contencioso-Administrativo del Tribunal Supremo que inadmitió el recurso de casación formulado contra la sentencia anterior son objeto de impugnación.</w:t>
      </w:r>
    </w:p>
    <w:p w:rsidR="005728DD" w:rsidRDefault="005728DD" w:rsidP="005728DD">
      <w:pPr>
        <w:pStyle w:val="TextoNormal"/>
      </w:pPr>
    </w:p>
    <w:p w:rsidR="005728DD" w:rsidRDefault="005728DD" w:rsidP="005728DD">
      <w:pPr>
        <w:pStyle w:val="TextoNormal"/>
      </w:pPr>
      <w:r>
        <w:t>Hay que descartar, en primer lugar, que la demanda haya incurrido en extemporaneidad como alega el abogado del Estado. En tal sentido, “[h]asta la STC 125/2019, de 31 de octubre, resolviendo las dudas existentes, no se dejó establecida una doctrina constitucional según la cual en casos similares al aquí enjuiciado la vulneración denunciada trae causa exclusiva de la resolución administrativa. Dado que esta doctrina no podía ser conocida por el recurrente en el momento de interponer su recurso de amparo, las dudas a la sazón subsistentes no podían ser resueltas en contra de la admisibilidad de recurso. Por tanto, debe considerarse como plazo aplicable a la interposición del presente procedimiento de amparo el más amplio de treinta días que fija el artículo 44.2 LOTC, en lugar del fijado en el artículo 43.2” (FJ único de las SSTC 170/2019, de 16 de diciembre; 44/2020 y 45/2020, de 9 de marzo, y 64/2020, de 15 de junio). En atención a que la última resolución dictada fue notificada el 7 de junio de 2019, el plazo finalizaba el día 22 de julio de 2019, y el recurso se interpuso telemáticamente el 19 de julio de 2019.</w:t>
      </w:r>
    </w:p>
    <w:p w:rsidR="005728DD" w:rsidRDefault="005728DD" w:rsidP="005728DD">
      <w:pPr>
        <w:pStyle w:val="TextoNormal"/>
      </w:pPr>
    </w:p>
    <w:p w:rsidR="005728DD" w:rsidRDefault="005728DD" w:rsidP="005728DD">
      <w:pPr>
        <w:pStyle w:val="TextoNormal"/>
      </w:pPr>
      <w:r>
        <w:t>Tanto el objeto del presente proceso constitucional como los planteamientos introducidos por las partes en el debate son sustancialmente coincidentes con los abordados por el Pleno del Tribunal Constitucional en la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5728DD" w:rsidRDefault="005728DD" w:rsidP="005728DD">
      <w:pPr>
        <w:pStyle w:val="TextoNormal"/>
      </w:pPr>
    </w:p>
    <w:p w:rsidR="005728DD" w:rsidRDefault="005728DD" w:rsidP="005728DD">
      <w:pPr>
        <w:pStyle w:val="TextoNormal"/>
      </w:pPr>
      <w:r>
        <w:lastRenderedPageBreak/>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de 19 de junio, y 125/2019, de 31 de octubre. Por ello, la retroacción debe remontarse al momento anterior a dictarse la resolución de la secretaria de Estado de justicia, de 27 de septiembre de 2016,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la STC 125/2019, FJ 5.</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Víctor González Méndez y, en consecuencia:</w:t>
      </w:r>
    </w:p>
    <w:p w:rsidR="005728DD" w:rsidRDefault="005728DD" w:rsidP="005728DD">
      <w:pPr>
        <w:pStyle w:val="TextoNormal"/>
      </w:pPr>
    </w:p>
    <w:p w:rsidR="005728DD" w:rsidRDefault="005728DD" w:rsidP="005728DD">
      <w:pPr>
        <w:pStyle w:val="TextoNormal"/>
      </w:pPr>
      <w:r>
        <w:t>1º Declarar vulnerado el derecho a la presunción de inocencia (art. 24.2 CE).</w:t>
      </w:r>
    </w:p>
    <w:p w:rsidR="005728DD" w:rsidRDefault="005728DD" w:rsidP="005728DD">
      <w:pPr>
        <w:pStyle w:val="TextoNormal"/>
      </w:pPr>
    </w:p>
    <w:p w:rsidR="005728DD" w:rsidRDefault="005728DD" w:rsidP="005728DD">
      <w:pPr>
        <w:pStyle w:val="TextoNormal"/>
      </w:pPr>
      <w:r>
        <w:t>2º Restablecerle en sus derechos y, a tal fin, declarar la nulidad de la providencia de 6 de junio de 2019, dictada por la Sección Primera de la Sala de lo Contencioso-Administrativo del Tribunal Supremo dictada en el recurso de casación núm. 1399-2019; la sentencia de 16 de octubre de 2018 de la Sección Tercera de la Sala de lo Contencioso-Administrativo de la Audiencia Nacional dictada en el recurso contencioso-administrativo núm. 310-2016, y la resolución del secretario de Estado de justicia de 27 de septiembre de 2016, recaída en expediente 485-2015.</w:t>
      </w:r>
    </w:p>
    <w:p w:rsidR="005728DD" w:rsidRDefault="005728DD" w:rsidP="005728DD">
      <w:pPr>
        <w:pStyle w:val="TextoNormal"/>
      </w:pPr>
    </w:p>
    <w:p w:rsidR="005728DD" w:rsidRDefault="005728DD" w:rsidP="005728DD">
      <w:pPr>
        <w:pStyle w:val="TextoNormal"/>
      </w:pPr>
      <w:r>
        <w:t>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7" w:name="SENTENCIA_2021_84"/>
      <w:r>
        <w:lastRenderedPageBreak/>
        <w:t>SENTENCIA 84/2021, de 19 de abril de 2021</w:t>
      </w:r>
    </w:p>
    <w:bookmarkEnd w:id="87"/>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ECLI:ES:TC:2021:84</w:t>
      </w:r>
    </w:p>
    <w:p w:rsidR="005728DD" w:rsidRDefault="005728DD" w:rsidP="005728DD">
      <w:pPr>
        <w:pStyle w:val="TextoNormalCentrado"/>
      </w:pPr>
    </w:p>
    <w:p w:rsidR="005728DD" w:rsidRDefault="005728DD" w:rsidP="005728DD">
      <w:pPr>
        <w:pStyle w:val="SntesisDescriptiva"/>
      </w:pPr>
      <w:r>
        <w:t>Recurso de amparo 5128-2019.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5128-2019, promovido por la entidad Penrei Inversiones, S.L., contra el auto del Juzgado de Primera Instancia e Instrucción núm. 5 de Lorca de 25 de junio de 2019, por el que se desestima el recurso de reposición interpuesto contra el auto de 21 de septiembre de 2018, por el que se inadmite el escrito de oposición a la ejecución hipotecaria en el procedimiento de ejecución hipotecaria núm. 378-2018. Ha comparecido la entidad Pera Assets Designated Activity Company.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entidad Penrei Inversiones, S.L., representada por la procuradora de los tribunales doña Blanca Berriatua Horta, y bajo la asistencia de la letrada doña Anju Nirmala Benavent Rodríguez, interpuso recurso de amparo contra las resoluciones judiciales que se mencionan en el encabezamiento de esta sentencia mediante escrito registrado en este tribunal el 9 de septiembre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5 de Lorca con el núm. 378-2018.</w:t>
      </w:r>
    </w:p>
    <w:p w:rsidR="005728DD" w:rsidRDefault="005728DD" w:rsidP="005728DD">
      <w:pPr>
        <w:pStyle w:val="TextoNormal"/>
      </w:pPr>
    </w:p>
    <w:p w:rsidR="005728DD" w:rsidRDefault="005728DD" w:rsidP="005728DD">
      <w:pPr>
        <w:pStyle w:val="TextoNormal"/>
      </w:pPr>
      <w:r>
        <w:t>b) El juzgado acordó despachar ejecución mediante auto de 14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18 de junio de 2018; fecha en la que se recibió en la dirección electrónica habilitada de ambas entidades un mensaje del servicio de notificaciones electrónicas de la Fábrica Nacional de Moneda y Timbre con el aviso de que hasta el 3 de agosto siguiente tendrían disponible una notificación relacionada con el procedimiento 378-2018, a la que, para que constase como leída, debía acceder a través de un enlace adjunto. La ejecutada accedió a dicho enlace el 25 de julio de 2018.</w:t>
      </w:r>
    </w:p>
    <w:p w:rsidR="005728DD" w:rsidRDefault="005728DD" w:rsidP="005728DD">
      <w:pPr>
        <w:pStyle w:val="TextoNormal"/>
      </w:pPr>
    </w:p>
    <w:p w:rsidR="005728DD" w:rsidRDefault="005728DD" w:rsidP="005728DD">
      <w:pPr>
        <w:pStyle w:val="TextoNormal"/>
      </w:pPr>
      <w:r>
        <w:t>c) La entidad demandante de amparo presentó el 31 de julio de 2018 escrito de oposición a la ejecución despachada. Por auto de 21 de septiembre de 2018, el órgano judicial acordó la inadmisión de la oposición formulada por entender extemporánea su presentación, tras tomar como fecha de emplazamiento el 18 de junio de 2018.</w:t>
      </w:r>
    </w:p>
    <w:p w:rsidR="005728DD" w:rsidRDefault="005728DD" w:rsidP="005728DD">
      <w:pPr>
        <w:pStyle w:val="TextoNormal"/>
      </w:pPr>
    </w:p>
    <w:p w:rsidR="005728DD" w:rsidRDefault="005728DD" w:rsidP="005728DD">
      <w:pPr>
        <w:pStyle w:val="TextoNormal"/>
      </w:pPr>
      <w:r>
        <w:t>d) La entidad demandante de amparo interpuso recurso de reposición, alegando que la notificación y requerimiento no habían de entenderse realizadas el 18 de junio de 2018, sino el 25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005728DD" w:rsidRDefault="005728DD" w:rsidP="005728DD">
      <w:pPr>
        <w:pStyle w:val="TextoNormal"/>
      </w:pPr>
    </w:p>
    <w:p w:rsidR="005728DD" w:rsidRDefault="005728DD" w:rsidP="005728DD">
      <w:pPr>
        <w:pStyle w:val="TextoNormal"/>
      </w:pPr>
      <w:r>
        <w:t xml:space="preserve">e) El recurso fue desestimado por auto de 25 de junio de 2019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w:t>
      </w:r>
      <w:r>
        <w:lastRenderedPageBreak/>
        <w:t>Según el auto, el art. 162.2 LEC impone que la comunicación electrónica surte efecto trascurridos tres días desde que fue efectuada sin que el destinatario acceda a su contenido. Concluye que, al constar que la notificación se puso a disposición de las ejecutadas el 18 de junio de 2018, la presentación del escrito de oposición el 31 de julio de 2018 se produjo fuera del plazo legalmente establecido en el art. 556.1 LEC, esto es, más allá de los diez días siguientes al de la notificación del auto despachando la ejecución.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dentro del plazo fijado de disponibilidad; fecha que, sin embargo, el órgano judicial ha considerado fuera de plazo, por lo que acordó la inadmisión del escrito de oposición presentado dentro de los diez días que prevé el art. 556 LEC.</w:t>
      </w:r>
    </w:p>
    <w:p w:rsidR="005728DD" w:rsidRDefault="005728DD" w:rsidP="005728DD">
      <w:pPr>
        <w:pStyle w:val="TextoNormal"/>
      </w:pPr>
    </w:p>
    <w:p w:rsidR="005728DD" w:rsidRDefault="005728DD" w:rsidP="005728DD">
      <w:pPr>
        <w:pStyle w:val="TextoNormal"/>
      </w:pPr>
      <w:r>
        <w:t>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no se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5728DD" w:rsidRDefault="005728DD" w:rsidP="005728DD">
      <w:pPr>
        <w:pStyle w:val="TextoNormal"/>
      </w:pPr>
    </w:p>
    <w:p w:rsidR="005728DD" w:rsidRDefault="005728DD" w:rsidP="005728DD">
      <w:pPr>
        <w:pStyle w:val="TextoNormal"/>
      </w:pPr>
      <w:r>
        <w:t>La demandante de amparo, además, expone que el auto de 25 de junio de 2019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w:t>
      </w:r>
    </w:p>
    <w:p w:rsidR="005728DD" w:rsidRDefault="005728DD" w:rsidP="005728DD">
      <w:pPr>
        <w:pStyle w:val="TextoNormal"/>
      </w:pPr>
    </w:p>
    <w:p w:rsidR="005728DD" w:rsidRDefault="005728DD" w:rsidP="005728DD">
      <w:pPr>
        <w:pStyle w:val="TextoNormal"/>
      </w:pPr>
      <w:r>
        <w:t>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La Sección Tercera de este tribunal, por providencia de 29 de junio de 2020, acordó admitir a trámite el recurso de amparo apreciando que concurre en el mismo una especial </w:t>
      </w:r>
      <w:r>
        <w:lastRenderedPageBreak/>
        <w:t>trascendencia constitucional [art. 50.1 de la Ley Orgánica del Tribunal Constitucional (LOTC)] porque plantea un problema o afecta a una faceta de un derecho fundamental sobre el que no hay doctrina de este Tribunal [STC 155/2009, FJ 2 a)] y puede dar ocasión para aclarar o cambiar su doctrina, como consecuencia de cambios normativos relevantes para la configuración del contenido del derecho fundamental [STC 155/2009, FJ 2 b)]; dirigir atenta comunicación al órgano judicial para el emplazamiento de quienes hubieran sido parte en el procedimiento para que puedan comparecen en el recurso de amparo; y la formación de la pieza separada de suspensión, que fue resuelta por ATC 86/2020, de 22 de julio.</w:t>
      </w:r>
    </w:p>
    <w:p w:rsidR="005728DD" w:rsidRDefault="005728DD" w:rsidP="005728DD">
      <w:pPr>
        <w:pStyle w:val="TextoNormal"/>
      </w:pPr>
    </w:p>
    <w:p w:rsidR="005728DD" w:rsidRDefault="005728DD" w:rsidP="005728DD">
      <w:pPr>
        <w:pStyle w:val="TextoNormal"/>
      </w:pPr>
      <w:r w:rsidRPr="005728DD">
        <w:rPr>
          <w:rStyle w:val="NumeroAFNegritaCaracter"/>
        </w:rPr>
        <w:t>5</w:t>
      </w:r>
      <w:r>
        <w:t>. La entidad Pera Assets Designated Activity Company, representada por la procuradora de los Tribunales doña Blanca María Grande Pesquero, bajo la asistencia del letrado don Alejandro Ingram Solís, por escrito registrado el 28 de julio de 2020,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5 de Lorca para comparecer ante este tribunal, por lo que solicitó que se le tuviera por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t>La Secretaría de Justicia de la Sección Tercera del tribunal, por diligencia de ordenación de 12 de febrero de 2021,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mediante escrito registrado el 10 de marzo de 2021,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 El Ministerio Fiscal fundamenta esta petición en la jurisprudencia constitucional establecida en las SSTC 40/2020, de 27 de febrero, y 43/2020, de 9 de marzo, en las que, entre otras, se han resulto demandas de amparo semejantes a la presente.</w:t>
      </w:r>
    </w:p>
    <w:p w:rsidR="005728DD" w:rsidRDefault="005728DD" w:rsidP="005728DD">
      <w:pPr>
        <w:pStyle w:val="TextoNormal"/>
      </w:pPr>
    </w:p>
    <w:p w:rsidR="005728DD" w:rsidRDefault="005728DD" w:rsidP="005728DD">
      <w:pPr>
        <w:pStyle w:val="TextoNormal"/>
      </w:pPr>
      <w:r w:rsidRPr="005728DD">
        <w:rPr>
          <w:rStyle w:val="NumeroAFNegritaCaracter"/>
        </w:rPr>
        <w:t>7</w:t>
      </w:r>
      <w:r>
        <w:t>. La entidad recurrente presentó sus alegaciones el 17 de marzo de 2021, remitiéndose a lo expuesto en su demanda, haciendo mención adicional a la STC 40/2020, de 27 de febrero, en la que el tribunal resolvió estimatoriamente un asunto prácticamente idéntico al actual.</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jurisprudencia constitucional establecida por las SSTC 6/2019, 47/2019 y</w:t>
      </w:r>
      <w:r>
        <w:t xml:space="preserve"> 40/2020.</w:t>
      </w:r>
    </w:p>
    <w:p w:rsidR="005728DD" w:rsidRDefault="005728DD" w:rsidP="005728DD">
      <w:pPr>
        <w:pStyle w:val="TextoNormal"/>
      </w:pPr>
    </w:p>
    <w:p w:rsidR="005728DD" w:rsidRDefault="005728DD" w:rsidP="005728DD">
      <w:pPr>
        <w:pStyle w:val="TextoNormal"/>
      </w:pPr>
      <w:r>
        <w:t>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del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del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el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 Además, el plazo para presentar el escrito de oposición fue computado invocando normas del procedimiento administrativo común que son ajenas al ámbito jurisdiccional en el que nos encontramos.</w:t>
      </w:r>
    </w:p>
    <w:p w:rsidR="005728DD" w:rsidRDefault="005728DD" w:rsidP="005728DD">
      <w:pPr>
        <w:pStyle w:val="TextoNormal"/>
      </w:pPr>
    </w:p>
    <w:p w:rsidR="005728DD" w:rsidRDefault="005728DD" w:rsidP="005728DD">
      <w:pPr>
        <w:pStyle w:val="TextoNormal"/>
      </w:pPr>
      <w:r>
        <w:t>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5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haestimar el recurso de amparo interpuesto por Penrei Inversiones, S.L., y, en consecuencia:</w:t>
      </w:r>
    </w:p>
    <w:p w:rsidR="005728DD" w:rsidRDefault="005728DD" w:rsidP="005728DD">
      <w:pPr>
        <w:pStyle w:val="TextoNormal"/>
      </w:pPr>
    </w:p>
    <w:p w:rsidR="005728DD" w:rsidRDefault="005728DD" w:rsidP="005728DD">
      <w:pPr>
        <w:pStyle w:val="TextoNormal"/>
      </w:pPr>
      <w:r>
        <w:t>1º Declarar que ha sido vulnerado el derecho fundamental de la recurrente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 los autos de 21 de septiembre de 2018 y 25 de junio de 2019, dictados por el Juzgado de Primera Instancia e Instrucción núm. 5 de Lorca en el proceso de ejecución hipotecaria núm. 378-2018, así como de las actuaciones realizadas a partir del emplazamiento de la entidad recurrente a través de la dirección electrónica habilitada, en lo que respecta exclusivamente a la demandante de amparo.</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demandante de amparo, debiendo llevarse a cabo de nuevo este último de forma que resulte respetuosa con el derecho fundamental reconocido.</w:t>
      </w:r>
    </w:p>
    <w:p w:rsidR="005728DD" w:rsidRDefault="005728DD" w:rsidP="005728DD">
      <w:pPr>
        <w:pStyle w:val="TextoNormal"/>
      </w:pPr>
      <w:r>
        <w:t xml:space="preserve"> decidido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8" w:name="SENTENCIA_2021_85"/>
      <w:r>
        <w:lastRenderedPageBreak/>
        <w:t>SENTENCIA 85/2021, de 19 de abril de 2021</w:t>
      </w:r>
    </w:p>
    <w:bookmarkEnd w:id="88"/>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ECLI:ES:TC:2021:85</w:t>
      </w:r>
    </w:p>
    <w:p w:rsidR="005728DD" w:rsidRDefault="005728DD" w:rsidP="005728DD">
      <w:pPr>
        <w:pStyle w:val="TextoNormalCentrado"/>
      </w:pPr>
    </w:p>
    <w:p w:rsidR="005728DD" w:rsidRDefault="005728DD" w:rsidP="005728DD">
      <w:pPr>
        <w:pStyle w:val="SntesisDescriptiva"/>
      </w:pPr>
      <w:r>
        <w:t>Recurso de amparo 7132-2019.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7132-2019, promovido por Euroinversiones Inmobiliarias Costa Sur, S.L., contra el auto del Juzgado de Primera Instancia e Instrucción núm. 4 de Lorca, de 15 de noviembre de 2018, que inadmitió la demanda de oposición a la ejecución formulada por dicha mercantil, en el procedimiento de ejecución hipotecaria núm. 368-2018 instado por la entidad Banco de Sabadell, S.A., y contra el auto del mismo juzgado, de 24 de octubre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10 de diciembre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y Penrei Inversiones, S.L., en relación con la finca registral 43.258 sita en el término municipal de Lorca, resultando la primera de las demandadas la deudora hipotecaria y, la segunda, titular de un derecho de uso y disfrute sobre dicho inmueble.</w:t>
      </w:r>
    </w:p>
    <w:p w:rsidR="005728DD" w:rsidRDefault="005728DD" w:rsidP="005728DD">
      <w:pPr>
        <w:pStyle w:val="TextoNormal"/>
      </w:pPr>
    </w:p>
    <w:p w:rsidR="005728DD" w:rsidRDefault="005728DD" w:rsidP="005728DD">
      <w:pPr>
        <w:pStyle w:val="TextoNormal"/>
      </w:pPr>
      <w:r>
        <w:t>El Juzgado de Primera Instancia e Instrucción núm. 4 de Lorca, al que correspondió el conocimiento del proceso, dictó auto el 21 de junio de 2018 por el que acordó el despacho de ejecución (procedimiento de ejecución hipotecaria núm. 368-2018), requiriendo de pago a las ejecutadas y alternativo derecho a oponerse a la ejecución en el plazo de diez días.</w:t>
      </w:r>
    </w:p>
    <w:p w:rsidR="005728DD" w:rsidRDefault="005728DD" w:rsidP="005728DD">
      <w:pPr>
        <w:pStyle w:val="TextoNormal"/>
      </w:pPr>
    </w:p>
    <w:p w:rsidR="005728DD" w:rsidRDefault="005728DD" w:rsidP="005728DD">
      <w:pPr>
        <w:pStyle w:val="TextoNormal"/>
      </w:pPr>
      <w:r>
        <w:t>b) El 22 de junio de 2018, el servicio de notificaciones electrónicas de la Fábrica Nacional de Moneda y Timbre remitió un correo al buzón de la dirección electrónica habilitada de la entidad aquí recurrente en amparo, avisándole de una notificación del Juzgado de Primera Instancia núm. 4 de Lorca relativa al proceso “EJH/0000368/2018”, notificación a la que podía acceder entre los días 22 de junio a 7 de agosto de 2018.</w:t>
      </w:r>
    </w:p>
    <w:p w:rsidR="005728DD" w:rsidRDefault="005728DD" w:rsidP="005728DD">
      <w:pPr>
        <w:pStyle w:val="TextoNormal"/>
      </w:pPr>
    </w:p>
    <w:p w:rsidR="005728DD" w:rsidRDefault="005728DD" w:rsidP="005728DD">
      <w:pPr>
        <w:pStyle w:val="TextoNormal"/>
      </w:pPr>
      <w:r>
        <w:t>c) El 31 de julio de 2018 por personal de la recurrente se accedió al enlace remitido por la dirección electrónica habilitada y, con ello, a la notificación enviada por el juzgado de primera instancia ejecutor en relación con el procedimiento hipotecario núm. 368-2018. También en esa fecha, la Fábrica Nacional de Moneda y Timbre emitió un certificado electrónico que obra en las actuaciones del proceso, dejando constancia de que la notificación había sido “aceptada”.</w:t>
      </w:r>
    </w:p>
    <w:p w:rsidR="005728DD" w:rsidRDefault="005728DD" w:rsidP="005728DD">
      <w:pPr>
        <w:pStyle w:val="TextoNormal"/>
      </w:pPr>
    </w:p>
    <w:p w:rsidR="005728DD" w:rsidRDefault="005728DD" w:rsidP="005728DD">
      <w:pPr>
        <w:pStyle w:val="TextoNormal"/>
      </w:pPr>
      <w:r>
        <w:t xml:space="preserve">d) El 29 de agosto de 2018, el representante procesal de la demandante de amparo formalizó ante el juzgado </w:t>
      </w:r>
      <w:r w:rsidRPr="005728DD">
        <w:rPr>
          <w:i/>
        </w:rPr>
        <w:t>a quo</w:t>
      </w:r>
      <w:r>
        <w:t xml:space="preserve"> el escrito de oposición al despacho de ejecución.</w:t>
      </w:r>
    </w:p>
    <w:p w:rsidR="005728DD" w:rsidRDefault="005728DD" w:rsidP="005728DD">
      <w:pPr>
        <w:pStyle w:val="TextoNormal"/>
      </w:pPr>
    </w:p>
    <w:p w:rsidR="005728DD" w:rsidRDefault="005728DD" w:rsidP="005728DD">
      <w:pPr>
        <w:pStyle w:val="TextoNormal"/>
      </w:pPr>
      <w:r>
        <w:t>e) El Juzgado de Primera Instancia e Instrucción núm. 4 de Lorca dictó auto el 15 de noviembre de 2018, con esta dispositiva:</w:t>
      </w:r>
    </w:p>
    <w:p w:rsidR="005728DD" w:rsidRDefault="005728DD" w:rsidP="005728DD">
      <w:pPr>
        <w:pStyle w:val="TextoNormal"/>
      </w:pPr>
    </w:p>
    <w:p w:rsidR="005728DD" w:rsidRDefault="005728DD" w:rsidP="005728DD">
      <w:pPr>
        <w:pStyle w:val="TextoNormal"/>
      </w:pPr>
      <w:r>
        <w:t>“Acuerdo:</w:t>
      </w:r>
    </w:p>
    <w:p w:rsidR="005728DD" w:rsidRDefault="005728DD" w:rsidP="005728DD">
      <w:pPr>
        <w:pStyle w:val="TextoNormal"/>
      </w:pPr>
    </w:p>
    <w:p w:rsidR="005728DD" w:rsidRDefault="005728DD" w:rsidP="005728DD">
      <w:pPr>
        <w:pStyle w:val="TextoNormal"/>
      </w:pPr>
      <w:r>
        <w:t>1. Inadmitir a trámite la oposición formulada por la parte ejecutada Euroinversiones Inmobiliarias Costa Sur, S.L., representada por el procurador don Antonio Serrano Caro por estar presentada fuera de plazo, contra Banco de Sabadell, S.A.</w:t>
      </w:r>
    </w:p>
    <w:p w:rsidR="005728DD" w:rsidRDefault="005728DD" w:rsidP="005728DD">
      <w:pPr>
        <w:pStyle w:val="TextoNormal"/>
      </w:pPr>
    </w:p>
    <w:p w:rsidR="005728DD" w:rsidRDefault="005728DD" w:rsidP="005728DD">
      <w:pPr>
        <w:pStyle w:val="TextoNormal"/>
      </w:pPr>
      <w:r>
        <w:lastRenderedPageBreak/>
        <w:t>2. Mandar seguir con la presente ejecución y en los términos ya acordados”.</w:t>
      </w:r>
    </w:p>
    <w:p w:rsidR="005728DD" w:rsidRDefault="005728DD" w:rsidP="005728DD">
      <w:pPr>
        <w:pStyle w:val="TextoNormal"/>
      </w:pPr>
    </w:p>
    <w:p w:rsidR="005728DD" w:rsidRDefault="005728DD" w:rsidP="005728DD">
      <w:pPr>
        <w:pStyle w:val="TextoNormal"/>
      </w:pPr>
      <w:r>
        <w:t>En cuanto a la inadmisión del escrito de oposición a la ejecución, el auto razonó en su fundamento de Derecho único lo que sigue:</w:t>
      </w:r>
    </w:p>
    <w:p w:rsidR="005728DD" w:rsidRDefault="005728DD" w:rsidP="005728DD">
      <w:pPr>
        <w:pStyle w:val="TextoNormal"/>
      </w:pPr>
    </w:p>
    <w:p w:rsidR="005728DD" w:rsidRDefault="005728DD" w:rsidP="005728DD">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5728DD" w:rsidRDefault="005728DD" w:rsidP="005728DD">
      <w:pPr>
        <w:pStyle w:val="TextoNormal"/>
      </w:pPr>
    </w:p>
    <w:p w:rsidR="005728DD" w:rsidRDefault="005728DD" w:rsidP="005728DD">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728DD" w:rsidRDefault="005728DD" w:rsidP="005728DD">
      <w:pPr>
        <w:pStyle w:val="TextoNormal"/>
      </w:pPr>
    </w:p>
    <w:p w:rsidR="005728DD" w:rsidRDefault="005728DD" w:rsidP="005728DD">
      <w:pPr>
        <w:pStyle w:val="TextoNormal"/>
      </w:pPr>
      <w:r>
        <w:t>Como pie de recurso, se ofrecía “recurso de reposición en el plazo de cinco días ante este tribunal”.</w:t>
      </w:r>
    </w:p>
    <w:p w:rsidR="005728DD" w:rsidRDefault="005728DD" w:rsidP="005728DD">
      <w:pPr>
        <w:pStyle w:val="TextoNormal"/>
      </w:pPr>
    </w:p>
    <w:p w:rsidR="005728DD" w:rsidRDefault="005728DD" w:rsidP="005728DD">
      <w:pPr>
        <w:pStyle w:val="TextoNormal"/>
      </w:pPr>
      <w:r>
        <w:t>f)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5728DD" w:rsidRDefault="005728DD" w:rsidP="005728DD">
      <w:pPr>
        <w:pStyle w:val="TextoNormal"/>
      </w:pPr>
    </w:p>
    <w:p w:rsidR="005728DD" w:rsidRDefault="005728DD" w:rsidP="005728DD">
      <w:pPr>
        <w:pStyle w:val="TextoNormal"/>
      </w:pPr>
      <w:r>
        <w:t>g) El juzgado ejecutor dictó auto el 24 de octubre de 2019 en desestimación del recurso de reposición, con los argumentos que expuso en su razonamiento jurídico único:</w:t>
      </w:r>
    </w:p>
    <w:p w:rsidR="005728DD" w:rsidRDefault="005728DD" w:rsidP="005728DD">
      <w:pPr>
        <w:pStyle w:val="TextoNormal"/>
      </w:pPr>
    </w:p>
    <w:p w:rsidR="005728DD" w:rsidRDefault="005728DD" w:rsidP="005728DD">
      <w:pPr>
        <w:pStyle w:val="TextoNormal"/>
      </w:pPr>
      <w:r>
        <w:t>“Único. Debe ser desestimado el recurso de reposición interpuesto por ser el auto por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31de julio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5728DD" w:rsidRDefault="005728DD" w:rsidP="005728DD">
      <w:pPr>
        <w:pStyle w:val="TextoNormal"/>
      </w:pPr>
    </w:p>
    <w:p w:rsidR="005728DD" w:rsidRDefault="005728DD" w:rsidP="005728DD">
      <w:pPr>
        <w:pStyle w:val="TextoNormal"/>
      </w:pPr>
      <w:r>
        <w:t xml:space="preserve">Los artículos citados como infringidos por la parte recurrente (arts. 135, 152, 162 y 273 y siguientes de la LEC) han sido perfectamente respetados en el presente procedimiento. La </w:t>
      </w:r>
      <w:r>
        <w:lastRenderedPageBreak/>
        <w:t>propia parte recurrente afirma estar obligada a utilizar los medios electrónicos en sus comunicaciones con el juzgado y afirma que la notificación se remitió a la dirección de correo electrónico ‘habilitada del titular a las que se refiere el art. 162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22 de junio de 2018, fecha en la que se materializó la ‘puesta a disposición’ de la notificación correctamente y del propio documento resulta que pasaron más de tres días desde la misma sin que se hubiera accedido al contenido hasta el día 31 de julio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5728DD" w:rsidRDefault="005728DD" w:rsidP="005728DD">
      <w:pPr>
        <w:pStyle w:val="TextoNormal"/>
      </w:pPr>
    </w:p>
    <w:p w:rsidR="005728DD" w:rsidRDefault="005728DD" w:rsidP="005728DD">
      <w:pPr>
        <w:pStyle w:val="TextoNormal"/>
      </w:pPr>
      <w:r>
        <w:t>Como pie de recurso, el auto indicaba que dicha resolución “es firme, y contra la misma no cabe recurso alguno”. Tanto este auto como el anterior de 15 de noviembre de 2018, fueron notificados por el juzgado al procurador de la demandante de amparo a través del sistema Lexnet, tal como obra en las actuaciones.</w:t>
      </w:r>
    </w:p>
    <w:p w:rsidR="005728DD" w:rsidRDefault="005728DD" w:rsidP="005728DD">
      <w:pPr>
        <w:pStyle w:val="TextoNormal"/>
      </w:pPr>
    </w:p>
    <w:p w:rsidR="005728DD" w:rsidRDefault="005728DD" w:rsidP="005728DD">
      <w:pPr>
        <w:pStyle w:val="TextoNormal"/>
      </w:pPr>
      <w:r>
        <w:t>Notificado así el auto de 24 de octubre de 2019, por la indicada mercantil se interpuso el presente recurso.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5728DD" w:rsidRDefault="005728DD" w:rsidP="005728DD">
      <w:pPr>
        <w:pStyle w:val="TextoNormal"/>
      </w:pPr>
    </w:p>
    <w:p w:rsidR="005728DD" w:rsidRDefault="005728DD" w:rsidP="005728DD">
      <w:pPr>
        <w:pStyle w:val="TextoNormal"/>
      </w:pPr>
      <w:r>
        <w:t>Sobre el auto del 24 de octubre de 2019 que desestimó el recurso de reposición promovido contra la anterior resolución —y del que se han expuesto sus argumentos—, se rechaza por la recurrente que el juzgado haya fundamentado su segunda decisión en una interpretación forzada y contradictoria de las normas procesales, al incluir indicaciones equívocas en el aviso de puesta a disposición, además de infringir las prescripciones sobre el primer emplazamiento en sede judicial.</w:t>
      </w:r>
    </w:p>
    <w:p w:rsidR="005728DD" w:rsidRDefault="005728DD" w:rsidP="005728DD">
      <w:pPr>
        <w:pStyle w:val="TextoNormal"/>
      </w:pPr>
    </w:p>
    <w:p w:rsidR="005728DD" w:rsidRDefault="005728DD" w:rsidP="005728DD">
      <w:pPr>
        <w:pStyle w:val="TextoNormal"/>
      </w:pPr>
      <w:r>
        <w:t xml:space="preserve">Alega también la vulneración del derecho a un proceso con todas las garantías (art. 24.2 CE), en cuanto a un proceso de defensa contradictoria, y del derecho a la asistencia letrada </w:t>
      </w:r>
      <w:r>
        <w:lastRenderedPageBreak/>
        <w:t xml:space="preserve">(art. 24.2 CE), aunque sin concreción al caso. Y solicita la estimación del amparo, con nulidad de los dos autos recurridos y la retroacción de las actuaciones al momento previo al dictado de la primera de aquellas, a fin de que el juzgado </w:t>
      </w:r>
      <w:r w:rsidRPr="005728DD">
        <w:rPr>
          <w:i/>
        </w:rPr>
        <w:t>a quo</w:t>
      </w:r>
      <w:r>
        <w:t xml:space="preserve"> admita a trámite la oposición al despacho de ejecución formulada.</w:t>
      </w:r>
    </w:p>
    <w:p w:rsidR="005728DD" w:rsidRDefault="005728DD" w:rsidP="005728DD">
      <w:pPr>
        <w:pStyle w:val="TextoNormal"/>
      </w:pPr>
    </w:p>
    <w:p w:rsidR="005728DD" w:rsidRDefault="005728DD" w:rsidP="005728DD">
      <w:pPr>
        <w:pStyle w:val="TextoNormal"/>
      </w:pPr>
      <w:r>
        <w:t>Por medio de un segundo otrosí digo, el escrito de demanda argumentó “que la continuación de la ejecución derivadas (</w:t>
      </w:r>
      <w:r w:rsidRPr="005728DD">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368-2018 seguido ante el Juzgado de Primera Instancia e Instrucción núm. 4 de Lorca, hasta tanto sea resuelto el presente recurso de amparo, poniéndolo en conocimiento del órgano judicial”.</w:t>
      </w:r>
    </w:p>
    <w:p w:rsidR="005728DD" w:rsidRDefault="005728DD" w:rsidP="005728DD">
      <w:pPr>
        <w:pStyle w:val="TextoNormal"/>
      </w:pPr>
    </w:p>
    <w:p w:rsidR="005728DD" w:rsidRDefault="005728DD" w:rsidP="005728DD">
      <w:pPr>
        <w:pStyle w:val="TextoNormal"/>
      </w:pPr>
      <w:r w:rsidRPr="005728DD">
        <w:rPr>
          <w:rStyle w:val="NumeroAFNegritaCaracter"/>
        </w:rPr>
        <w:t>4</w:t>
      </w:r>
      <w:r>
        <w:t>. Una vez recibidas las actuaciones, la Sección Cuarta de este tribunal dictó providencia el 4 de noviembre de 2020 por la que acordó: (</w:t>
      </w:r>
      <w:r w:rsidRPr="005728DD">
        <w:rPr>
          <w:i/>
        </w:rPr>
        <w:t>i</w:t>
      </w:r>
      <w:r>
        <w:t>) admitir a trámite el recurso, “apreciando que concurre en el mismo una especial trascendencia constitucional [art. 50.1 de la Ley Orgánica del Tribunal Constitucional (LOTC)] porque el recurso plantea un problema o afecta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w:t>
      </w:r>
      <w:r w:rsidRPr="005728DD">
        <w:rPr>
          <w:i/>
        </w:rPr>
        <w:t>ii</w:t>
      </w:r>
      <w:r>
        <w:t>) constatar que el testimonio de las actuaciones ya había sido remitido a requerimiento de la Secretaría de Justicia de la Sección y emplazar a través del juzgado ejecutor a quienes hubieren sido parte en el procedimiento excepto a la parte recurrente en amparo; y (</w:t>
      </w:r>
      <w:r w:rsidRPr="005728DD">
        <w:rPr>
          <w:i/>
        </w:rPr>
        <w:t>iii</w:t>
      </w:r>
      <w:r>
        <w:t>) formar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presentado en el registro de este tribunal el 1 de febrero de 2021,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la Secretaría de Justicia de la Sección Cuarta de 9 de febrero de 2021 se acordó: (</w:t>
      </w:r>
      <w:r w:rsidRPr="005728DD">
        <w:rPr>
          <w:i/>
        </w:rPr>
        <w:t>i</w:t>
      </w:r>
      <w:r>
        <w:t>) tener por personada y parte a la procuradora doña María Claudia Munteanu en nombre y representación de la sociedad indicada y (</w:t>
      </w:r>
      <w:r w:rsidRPr="005728DD">
        <w:rPr>
          <w:i/>
        </w:rPr>
        <w:t>ii</w:t>
      </w:r>
      <w:r>
        <w:t>) dar vista de las actuaciones recibidas a las partes personadas y al Ministerio Fiscal por plazo común de veinte días para presentar alegaciones de conformidad con lo previsto en el art. 52. 1 LOTC.</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El fiscal ante este Tribunal Constitucional presentó escrito de alegaciones el 4 de marzo de 2021, por el que interesó de este tribunal que dictara sentencia otorgando el amparo a la recurrente, con reconocimiento de la vulneración de su derecho a la tutela judicial efectiva sin indefensión (art. 24.1 CE), declarando la nulidad de “todo lo actuado desde la notificación efectuada electrónicamente del auto despachando ejecución acordado por el </w:t>
      </w:r>
      <w:r>
        <w:lastRenderedPageBreak/>
        <w:t>Juzgado de Primera Instancia e Instrucción núm. 4 de Lorca, en el juicio de ejecución hipotecaria 368-2018”, y retroacción de las actuaciones al momento inmediato anterior a aquella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t>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005728DD" w:rsidRDefault="005728DD" w:rsidP="005728DD">
      <w:pPr>
        <w:pStyle w:val="TextoNormal"/>
      </w:pPr>
    </w:p>
    <w:p w:rsidR="005728DD" w:rsidRDefault="005728DD" w:rsidP="005728DD">
      <w:pPr>
        <w:pStyle w:val="TextoNormal"/>
      </w:pPr>
      <w:r w:rsidRPr="005728DD">
        <w:rPr>
          <w:rStyle w:val="NumeroAFNegritaCaracter"/>
        </w:rPr>
        <w:t>8</w:t>
      </w:r>
      <w:r>
        <w:t>. La representante procesal de la entidad recurrente presentó su escrito de alegaciones el 12 de marzo de 2021, por el que interesó se dictara resolución estimatoria del recurso de amparo, haciendo mención a la STC 40/2020, del Pleno del Tribunal Constitucional que resuelve el recurso de amparo 5377-2018 promovido por la misma parte Euroinversiones Inmobiliarias Costa Sur, S.L., “en un asunto prácticamente igual al del presente recurso de amparo” que refuerza las exigencias para llevar a efecto el primer emplazamiento.</w:t>
      </w:r>
    </w:p>
    <w:p w:rsidR="005728DD" w:rsidRDefault="005728DD" w:rsidP="005728DD">
      <w:pPr>
        <w:pStyle w:val="TextoNormal"/>
      </w:pPr>
    </w:p>
    <w:p w:rsidR="005728DD" w:rsidRDefault="005728DD" w:rsidP="005728DD">
      <w:pPr>
        <w:pStyle w:val="TextoNormal"/>
      </w:pPr>
      <w:r w:rsidRPr="005728DD">
        <w:rPr>
          <w:rStyle w:val="NumeroAFNegritaCaracter"/>
        </w:rPr>
        <w:t>9</w:t>
      </w:r>
      <w:r>
        <w:t>. No consta presentado dentro del plazo del art. 52 LOTC, o con posterioridad, ningún escrito de alegaciones de la entidad Pera Assets Designated Activity Company.</w:t>
      </w:r>
    </w:p>
    <w:p w:rsidR="005728DD" w:rsidRDefault="005728DD" w:rsidP="005728DD">
      <w:pPr>
        <w:pStyle w:val="TextoNormal"/>
      </w:pPr>
    </w:p>
    <w:p w:rsidR="005728DD" w:rsidRDefault="005728DD" w:rsidP="005728DD">
      <w:pPr>
        <w:pStyle w:val="TextoNormal"/>
      </w:pPr>
      <w:r w:rsidRPr="005728DD">
        <w:rPr>
          <w:rStyle w:val="NumeroAFNegritaCaracter"/>
        </w:rPr>
        <w:t>10</w:t>
      </w:r>
      <w:r>
        <w:t>. Respecto de la solicitud de suspensión formulada por la recurrente en amparo mediante otrosí de su escrito de demanda, por auto de la Sala Segunda de este tribunal núm. 153/2020, de 30 de noviembre,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728DD" w:rsidRDefault="005728DD" w:rsidP="005728DD">
      <w:pPr>
        <w:pStyle w:val="TextoNormal"/>
      </w:pPr>
    </w:p>
    <w:p w:rsidR="005728DD" w:rsidRDefault="005728DD" w:rsidP="005728DD">
      <w:pPr>
        <w:pStyle w:val="TextoNormal"/>
      </w:pPr>
      <w:r w:rsidRPr="005728DD">
        <w:rPr>
          <w:rStyle w:val="NumeroAFNegritaCaracter"/>
        </w:rPr>
        <w:t>11</w:t>
      </w:r>
      <w:r>
        <w:t>. Por la Secretaría de Justicia se ha dictado diligencia el 16 de marzo de 2021,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005728DD" w:rsidRDefault="005728DD" w:rsidP="005728DD">
      <w:pPr>
        <w:pStyle w:val="TextoNormal"/>
      </w:pPr>
    </w:p>
    <w:p w:rsidR="005728DD" w:rsidRDefault="005728DD" w:rsidP="005728DD">
      <w:pPr>
        <w:pStyle w:val="TextoNormal"/>
      </w:pPr>
      <w:r w:rsidRPr="005728DD">
        <w:rPr>
          <w:rStyle w:val="NumeroAFNegritaCaracter"/>
        </w:rPr>
        <w:t>12</w:t>
      </w:r>
      <w:r>
        <w:t>. Mediante providencia de fecha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 xml:space="preserve">La presente demanda se integra en la serie de recursos de amparo interpuestos por dos entidades, una de ellas la aquí recurrente, demandadas en procesos ejecutivos hipotecarios </w:t>
      </w:r>
      <w:r>
        <w:lastRenderedPageBreak/>
        <w:t>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5728DD" w:rsidRDefault="005728DD" w:rsidP="005728DD">
      <w:pPr>
        <w:pStyle w:val="TextoNormal"/>
      </w:pPr>
    </w:p>
    <w:p w:rsidR="005728DD" w:rsidRDefault="005728DD" w:rsidP="005728DD">
      <w:pPr>
        <w:pStyle w:val="TextoNormal"/>
      </w:pPr>
      <w:r>
        <w:t>En concreto, en el presente recurso la entidad Euroinversiones Inmobiliarias Costa Sur, S.L., impugna los autos del Juzgado de Primera Instancia e Instrucción núm. 4 de Lorca, de 15 de noviembre de 2018 y 24 de octubre de 2019, recaídos en el proceso hipotecario núm. 368-2018.</w:t>
      </w:r>
    </w:p>
    <w:p w:rsidR="005728DD" w:rsidRDefault="005728DD" w:rsidP="005728DD">
      <w:pPr>
        <w:pStyle w:val="TextoNormal"/>
      </w:pPr>
    </w:p>
    <w:p w:rsidR="005728DD" w:rsidRDefault="005728DD" w:rsidP="005728DD">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5728DD">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w:t>
      </w:r>
      <w:r>
        <w:lastRenderedPageBreak/>
        <w:t>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5728DD">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15 de noviembre de 2018 y de 24 de octubre de 2019, dictados por el Juzgado de Primera Instancia e Instrucción núm. 4 de Lorca en el proceso de ejecución hipotecaria núm. 368-2018,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89" w:name="SENTENCIA_2021_86"/>
      <w:r>
        <w:lastRenderedPageBreak/>
        <w:t>SENTENCIA 86/2021, de 19 de abril de 2021</w:t>
      </w:r>
    </w:p>
    <w:bookmarkEnd w:id="89"/>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ECLI:ES:TC:2021:86</w:t>
      </w:r>
    </w:p>
    <w:p w:rsidR="005728DD" w:rsidRDefault="005728DD" w:rsidP="005728DD">
      <w:pPr>
        <w:pStyle w:val="TextoNormalCentrado"/>
      </w:pPr>
    </w:p>
    <w:p w:rsidR="005728DD" w:rsidRDefault="005728DD" w:rsidP="005728DD">
      <w:pPr>
        <w:pStyle w:val="SntesisDescriptiva"/>
      </w:pPr>
      <w:r>
        <w:t>Recurso de amparo 7508-2019.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7508-2019, promovido por la entidad Euroinversiones Inmobiliarias Costa Sur, S.L., contra el auto del Juzgado de Primera Instancia e Instrucción núm. 4 de Lorca de 30 de octubre de 2019, por el que se desestima el recurso de reposición interpuesto contra el auto de 14 de diciembre de 2018, por el que se inadmite el escrito de oposición a la ejecución hipotecaria en el procedimiento de ejecución hipotecaria núm. 367-2018. Ha comparecido la entidad Pera Assets Designated Activity Company.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entidad Euroinversiones Inmobiliarias Costa Sur, S.L., representada por la procuradora de los tribunales doña Blanca Berriatua Horta, bajo la asistencia del letrado don Marcelino Gilabert García, interpuso recurso de amparo contra las resoluciones judiciales que se mencionan en el encabezamiento de esta sentencia mediante escrito registrado en este tribunal el 26 de diciembre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4 de Lorca con el núm. 367-2018.</w:t>
      </w:r>
    </w:p>
    <w:p w:rsidR="005728DD" w:rsidRDefault="005728DD" w:rsidP="005728DD">
      <w:pPr>
        <w:pStyle w:val="TextoNormal"/>
      </w:pPr>
    </w:p>
    <w:p w:rsidR="005728DD" w:rsidRDefault="005728DD" w:rsidP="005728DD">
      <w:pPr>
        <w:pStyle w:val="TextoNormal"/>
      </w:pPr>
      <w:r>
        <w:t>b) El juzgado acordó despachar ejecución mediante auto de 21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22 de junio de 2018; fecha en la que se recibió en la dirección electrónica habilitada de ambas entidades un mensaje del servicio de notificaciones electrónicas de la Fábrica Nacional de Moneda y Timbre con el aviso de que hasta el 7 de agosto siguiente tendrían disponible una notificación del juzgado de Lorca relacionada con el procedimiento EJH 367-2018, a la que, para que constase como leída, debía acceder a través de un enlace adjunto. La ejecutada accedió a dicho enlace el 31 de julio de 2018.</w:t>
      </w:r>
    </w:p>
    <w:p w:rsidR="005728DD" w:rsidRDefault="005728DD" w:rsidP="005728DD">
      <w:pPr>
        <w:pStyle w:val="TextoNormal"/>
      </w:pPr>
    </w:p>
    <w:p w:rsidR="005728DD" w:rsidRDefault="005728DD" w:rsidP="005728DD">
      <w:pPr>
        <w:pStyle w:val="TextoNormal"/>
      </w:pPr>
      <w:r>
        <w:t>c) La entidad demandante de amparo presentó el 29 de agosto de 2018 escrito de oposición a la ejecución despachada. Por auto de 14 de noviembre de 2018, el órgano judicial acordó la inadmisión de la oposición formulada por entender extemporánea su presentación, tras tomar como fecha de emplazamiento el 22 de junio de 2018.</w:t>
      </w:r>
    </w:p>
    <w:p w:rsidR="005728DD" w:rsidRDefault="005728DD" w:rsidP="005728DD">
      <w:pPr>
        <w:pStyle w:val="TextoNormal"/>
      </w:pPr>
    </w:p>
    <w:p w:rsidR="005728DD" w:rsidRDefault="005728DD" w:rsidP="005728DD">
      <w:pPr>
        <w:pStyle w:val="TextoNormal"/>
      </w:pPr>
      <w:r>
        <w:t>d) La entidad demandante de amparo interpuso recurso de reposición, alegando que la notificación y requerimiento no habían de entenderse realizadas el 22 de junio de 2018, sino el 31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005728DD" w:rsidRDefault="005728DD" w:rsidP="005728DD">
      <w:pPr>
        <w:pStyle w:val="TextoNormal"/>
      </w:pPr>
    </w:p>
    <w:p w:rsidR="005728DD" w:rsidRDefault="005728DD" w:rsidP="005728DD">
      <w:pPr>
        <w:pStyle w:val="TextoNormal"/>
      </w:pPr>
      <w:r>
        <w:t>e) El recurso fue desestimado por auto de 30 de septiembre de 2019 con fundamento en que se ha dado cumplimiento al art. 162.2 LEC, que impone que la comunicación electrónica surte efecto trascurridos tres días desde que fue efectuada sin que el destinatario acceda a su contenido. Concluye que, al constar que la notificación se puso a disposición de las ejecutadas el 23 de junio de 2018, la presentación del escrito de oposición el 31 de julio de 2018 se produjo fuera del plazo legalmente establecido en el art. 556.1 LEC, esto es más allá de los diez días siguientes al de la notificación del auto despachando ejecución.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005728DD" w:rsidRDefault="005728DD" w:rsidP="005728DD">
      <w:pPr>
        <w:pStyle w:val="TextoNormal"/>
      </w:pPr>
    </w:p>
    <w:p w:rsidR="005728DD" w:rsidRDefault="005728DD" w:rsidP="005728DD">
      <w:pPr>
        <w:pStyle w:val="TextoNormal"/>
      </w:pPr>
      <w:r>
        <w:t>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se no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5728DD" w:rsidRDefault="005728DD" w:rsidP="005728DD">
      <w:pPr>
        <w:pStyle w:val="TextoNormal"/>
      </w:pPr>
    </w:p>
    <w:p w:rsidR="005728DD" w:rsidRDefault="005728DD" w:rsidP="005728DD">
      <w:pPr>
        <w:pStyle w:val="TextoNormal"/>
      </w:pPr>
      <w:r>
        <w:t>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005728DD" w:rsidRDefault="005728DD" w:rsidP="005728DD">
      <w:pPr>
        <w:pStyle w:val="TextoNormal"/>
      </w:pPr>
    </w:p>
    <w:p w:rsidR="005728DD" w:rsidRDefault="005728DD" w:rsidP="005728DD">
      <w:pPr>
        <w:pStyle w:val="TextoNormal"/>
      </w:pPr>
      <w:r w:rsidRPr="005728DD">
        <w:rPr>
          <w:rStyle w:val="NumeroAFNegritaCaracter"/>
        </w:rPr>
        <w:t>4</w:t>
      </w:r>
      <w:r>
        <w:t>. La Secretaría de Justicia de la Sección Tercera de este tribunal, por diligencia de ordenación de 5 de septiembre de 2019, acordó requerir al órgano judicial para que remitiera certificación acreditativa sobre la interposición de algún recurso de apelación en dicho procedimiento. El 6 de septiembre de 2019 se recibió certificación indicativa de que no fue presentado recurso alguno.</w:t>
      </w:r>
    </w:p>
    <w:p w:rsidR="005728DD" w:rsidRDefault="005728DD" w:rsidP="005728DD">
      <w:pPr>
        <w:pStyle w:val="TextoNormal"/>
      </w:pPr>
    </w:p>
    <w:p w:rsidR="005728DD" w:rsidRDefault="005728DD" w:rsidP="005728DD">
      <w:pPr>
        <w:pStyle w:val="TextoNormal"/>
      </w:pPr>
      <w:r w:rsidRPr="005728DD">
        <w:rPr>
          <w:rStyle w:val="NumeroAFNegritaCaracter"/>
        </w:rPr>
        <w:t>5</w:t>
      </w:r>
      <w:r>
        <w:t>. La Sección Tercera de este tribunal, por providencia de 15 de octubre de 2020, acordó admitir a trámite el recurso de amparo “apreciando que concurre en el mismo una especial trascendencia constitucional [art. 50.1 de la Ley Orgánica del Tribunal Constitucional (LOTC)] porque puede dar ocasión para aclarar o cambiar su doctrina, como consecuencia de cambios normativos relevantes para la configuración del contenido del derecho fundamental [STC 155/2009, FJ 2, b)]”; dirigir atenta comunicación al órgano judicial para el emplazamiento de quienes hubieran sido parte en el procedimiento para que puedan comparecen en el recurso de amparo; y la formación de la pieza separada de suspensión, que fue resuelta por ATC 154/2020, de 30 de noviembre.</w:t>
      </w:r>
    </w:p>
    <w:p w:rsidR="005728DD" w:rsidRDefault="005728DD" w:rsidP="005728DD">
      <w:pPr>
        <w:pStyle w:val="TextoNormal"/>
      </w:pPr>
    </w:p>
    <w:p w:rsidR="005728DD" w:rsidRDefault="005728DD" w:rsidP="005728DD">
      <w:pPr>
        <w:pStyle w:val="TextoNormal"/>
      </w:pPr>
      <w:r w:rsidRPr="005728DD">
        <w:rPr>
          <w:rStyle w:val="NumeroAFNegritaCaracter"/>
        </w:rPr>
        <w:t>6</w:t>
      </w:r>
      <w:r>
        <w:t>. La entidad Pera Assets Designated Activity Company, representada por la procuradora de los tribunales doña María Claudia Munteanu, bajo la dirección letrada de don Ale</w:t>
      </w:r>
      <w:r>
        <w:lastRenderedPageBreak/>
        <w:t>jandro Ingram Solís, por escrito registrado el 15 de diciembre de 2020,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t>La Secretaría de Justicia de la Sala Segunda del tribunal, por diligencia de ordenación de 2 de febrero de 2021, tuvo por personada y parte a la procuradora doña María Claudia Munteanu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comparecida no presentó alegaciones.</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mediante escrito registrado el 12 de febrero de 2021,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t>El Ministerio Fiscal, tras exponer la jurisprudencia del Tribunal Constitucional sobre los actos de comunicación procesal, con expresa referencia a las SSTC 6/2019, de 17 de enero; 47/2019, de 8 de abril, y 40/2020, de 27 de febrero,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estas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005728DD" w:rsidRDefault="005728DD" w:rsidP="005728DD">
      <w:pPr>
        <w:pStyle w:val="TextoNormal"/>
      </w:pPr>
    </w:p>
    <w:p w:rsidR="005728DD" w:rsidRDefault="005728DD" w:rsidP="005728DD">
      <w:pPr>
        <w:pStyle w:val="TextoNormal"/>
      </w:pPr>
      <w:r w:rsidRPr="005728DD">
        <w:rPr>
          <w:rStyle w:val="NumeroAFNegritaCaracter"/>
        </w:rPr>
        <w:t>9</w:t>
      </w:r>
      <w:r>
        <w:t>. La entidad recurrente presentó sus alegaciones el 8 de marzo de 2021, remitiéndose a lo expuesto en su demanda, haciendo mención adicional a los pronunciamientos de la STC 40/2020, de 27 de febrero, a propósito del uso indebido de la dirección electrónica habilitada para realizar el primer emplazamiento del demandado, en un asunto idéntico al presente.</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jurisprudencia constitucional establecida por las SSTC 6/2019, 47/2019 y</w:t>
      </w:r>
      <w:r>
        <w:t xml:space="preserve"> 40/2020.</w:t>
      </w:r>
    </w:p>
    <w:p w:rsidR="005728DD" w:rsidRDefault="005728DD" w:rsidP="005728DD">
      <w:pPr>
        <w:pStyle w:val="TextoNormal"/>
      </w:pPr>
    </w:p>
    <w:p w:rsidR="005728DD" w:rsidRDefault="005728DD" w:rsidP="005728DD">
      <w:pPr>
        <w:pStyle w:val="TextoNormal"/>
      </w:pPr>
      <w:r>
        <w:t>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del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del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el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w:t>
      </w:r>
    </w:p>
    <w:p w:rsidR="005728DD" w:rsidRDefault="005728DD" w:rsidP="005728DD">
      <w:pPr>
        <w:pStyle w:val="TextoNormal"/>
      </w:pPr>
    </w:p>
    <w:p w:rsidR="005728DD" w:rsidRDefault="005728DD" w:rsidP="005728DD">
      <w:pPr>
        <w:pStyle w:val="TextoNormal"/>
      </w:pPr>
      <w:r>
        <w:t>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4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5728DD" w:rsidRDefault="005728DD" w:rsidP="005728DD">
      <w:pPr>
        <w:pStyle w:val="TextoNormal"/>
      </w:pPr>
    </w:p>
    <w:p w:rsidR="005728DD" w:rsidRDefault="005728DD" w:rsidP="005728DD">
      <w:pPr>
        <w:pStyle w:val="TextoNormal"/>
      </w:pPr>
      <w:r>
        <w:t>1º Declarar que ha sido vulnerado el derecho fundamental de la recurrente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 los autos de 14 de diciembre de 2018 y 30 de octubre de 2019, dictados por el Juzgado de Primera Instancia e Instrucción núm. 4 de Lorca en el proceso de ejecución hipotecaria núm. 367-2018, así como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0" w:name="SENTENCIA_2021_87"/>
      <w:r>
        <w:lastRenderedPageBreak/>
        <w:t>SENTENCIA 87/2021, de 19 de abril de 2021</w:t>
      </w:r>
    </w:p>
    <w:bookmarkEnd w:id="90"/>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ECLI:ES:TC:2021:87</w:t>
      </w:r>
    </w:p>
    <w:p w:rsidR="005728DD" w:rsidRDefault="005728DD" w:rsidP="005728DD">
      <w:pPr>
        <w:pStyle w:val="TextoNormalCentrado"/>
      </w:pPr>
    </w:p>
    <w:p w:rsidR="005728DD" w:rsidRDefault="005728DD" w:rsidP="005728DD">
      <w:pPr>
        <w:pStyle w:val="SntesisDescriptiva"/>
      </w:pPr>
      <w:r>
        <w:t>Recurso de amparo 1004-2020. Promovido por Aluminios Torralba, S.A., respecto de las actuaciones llevadas a cabo por un juzgado de primera instancia de Murcia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llevado a cabo sin apurar previamente las posibilidades de averiguación del domicilio efectivo (STC 122/2013).</w:t>
      </w:r>
    </w:p>
    <w:p w:rsidR="005728DD" w:rsidRDefault="005728DD" w:rsidP="005728DD">
      <w:pPr>
        <w:pStyle w:val="SntesisAnaltica"/>
      </w:pPr>
    </w:p>
    <w:p w:rsidR="005728DD" w:rsidRDefault="005728DD" w:rsidP="005728DD">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1004-2020, interpuesto por Aluminios Torralba, S.A., contra el auto de 15 de enero de 2020, dictado por el Juzgado de Primera Instancia núm. 14 de Murcia, que desestimó el incidente extraordinario de nulidad de actuaciones promovido por aquella entidad, en el procedimiento de ejecución hipotecaria núm. 1646-2013 instado por la entidad Banco de Sabadell, S.A.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día 17 de febrero de 2020, el procurador de los tribunales don José Ramón Rego Rodríguez, actuando en nombre y representación de Aluminios Torralba, S.A., bajo la defensa del letrado don Román Arias Pintado, ha interpuesto recurso de amparo contra la resolución arriba mencionada.</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En fecha 5 de noviembre de 2013, la entidad Banco de Sabadell, S.A., interpuso demanda ejecutiva contra la ahora recurrente, Aluminios Torralba, S.A., en reclamación de un determinado importe por impago de un préstamo garantizado con hipoteca sobre varios inmuebles.</w:t>
      </w:r>
    </w:p>
    <w:p w:rsidR="005728DD" w:rsidRDefault="005728DD" w:rsidP="005728DD">
      <w:pPr>
        <w:pStyle w:val="TextoNormal"/>
      </w:pPr>
    </w:p>
    <w:p w:rsidR="005728DD" w:rsidRDefault="005728DD" w:rsidP="005728DD">
      <w:pPr>
        <w:pStyle w:val="TextoNormal"/>
      </w:pPr>
      <w:r>
        <w:t>En la demanda, la entidad ejecutante fijó como domicilio de Aluminios Torralba S.A., el de la calle Jara, 31, 3º A, de Cartagena. Este era el domicilio que figuraba, a efectos de notificaciones, en la escritura de constitución de la garantía hipotecaria, autorizada el día 14 de marzo de 2006. Mediante “primer otrosí digo”, la entidad demandante solicitaba “en virtud de lo dispuesto en el art. 152.1.2 LEC” que la “diligencia de requerimiento de pago […], así como la notificación del señalamiento de subasta, se practique por el procurador de la actora”.</w:t>
      </w:r>
    </w:p>
    <w:p w:rsidR="005728DD" w:rsidRDefault="005728DD" w:rsidP="005728DD">
      <w:pPr>
        <w:pStyle w:val="TextoNormal"/>
      </w:pPr>
    </w:p>
    <w:p w:rsidR="005728DD" w:rsidRDefault="005728DD" w:rsidP="005728DD">
      <w:pPr>
        <w:pStyle w:val="TextoNormal"/>
      </w:pPr>
      <w:r>
        <w:t>b) La demanda correspondió por turno al Juzgado de Primera Instancia núm. 14 de Murcia. En fecha 19 de febrero de 2014, en el marco del procedimiento registrado como ejecución hipotecaria núm. 1646-2013, se dictó auto por el que se acordó despachar ejecución contra la ahora demandante de amparo, así como requerirle al pago de las cantidades reclamadas. En su parte dispositiva se indicaba que la notificación se realizaría en los términos del art. 553 de la Ley de enjuiciamiento civil (LEC). Mediante decreto de la misma fecha, el letrado de la administración de justicia dispuso la notificación “en el domicilio que resulte vigente en el registro conforme lo previsto en el artículo 686.2 LEC”, señalando a continuación que “teniendo su domicilio los demandados en Cartagena, se librará correo certificado con acuse de recibo”.</w:t>
      </w:r>
    </w:p>
    <w:p w:rsidR="005728DD" w:rsidRDefault="005728DD" w:rsidP="005728DD">
      <w:pPr>
        <w:pStyle w:val="TextoNormal"/>
      </w:pPr>
    </w:p>
    <w:p w:rsidR="005728DD" w:rsidRDefault="005728DD" w:rsidP="005728DD">
      <w:pPr>
        <w:pStyle w:val="TextoNormal"/>
      </w:pPr>
      <w:r>
        <w:t>c) La notificación y requerimiento de pago se intentó efectuar el día 3 de marzo de 2014, dando resultado negativo, con devolución al juzgado por resultar desconocido el destinatario en la dirección ubicada en la calle Jara 31, de Cartagena. Así se constató por diligencia de ordenación de fecha 8 de abril de 2014, por la que se dio traslado a la parte ejecutante “a fin de que inste lo que a su derecho convenga”.</w:t>
      </w:r>
    </w:p>
    <w:p w:rsidR="005728DD" w:rsidRDefault="005728DD" w:rsidP="005728DD">
      <w:pPr>
        <w:pStyle w:val="TextoNormal"/>
      </w:pPr>
    </w:p>
    <w:p w:rsidR="005728DD" w:rsidRDefault="005728DD" w:rsidP="005728DD">
      <w:pPr>
        <w:pStyle w:val="TextoNormal"/>
      </w:pPr>
      <w:r>
        <w:t>d) Mediante escrito de 11 de abril de 2014, la parte ejecutante interesó que la notificación y requerimiento de pago se efectuaran en el domicilio de la representante legal de la ejecutada, doña Rosa María Salcedo Hernández, sito en la calle Gran Vía, 4, 1 de Murcia; solicitando de nuevo su práctica por el procurador de la parte actora. Así se acordó por diligencia de 25 de abril de 2014, que dispuso la “entrega de la documentación […] conforme a lo solicitado y dispuesto en el art. 152.1.2 LEC”.</w:t>
      </w:r>
    </w:p>
    <w:p w:rsidR="005728DD" w:rsidRDefault="005728DD" w:rsidP="005728DD">
      <w:pPr>
        <w:pStyle w:val="TextoNormal"/>
      </w:pPr>
    </w:p>
    <w:p w:rsidR="005728DD" w:rsidRDefault="005728DD" w:rsidP="005728DD">
      <w:pPr>
        <w:pStyle w:val="TextoNormal"/>
      </w:pPr>
      <w:r>
        <w:t>e) Por diligencia de entrega de 9 de mayo de 2014, el procurador de la parte ejecutante puso de manifiesto que, a las 13:55 horas de ese mismo día, se había constituido en el domicilio sito en la calle Gran Vía, 4, indicando en la diligencia que “el piso se encuentra cerrado y no se encuentra a nadie en su interior”, estando las “persianas bajadas”. La diligencia estaba firmada por el procurador y dos testigos.</w:t>
      </w:r>
    </w:p>
    <w:p w:rsidR="005728DD" w:rsidRDefault="005728DD" w:rsidP="005728DD">
      <w:pPr>
        <w:pStyle w:val="TextoNormal"/>
      </w:pPr>
    </w:p>
    <w:p w:rsidR="005728DD" w:rsidRDefault="005728DD" w:rsidP="005728DD">
      <w:pPr>
        <w:pStyle w:val="TextoNormal"/>
      </w:pPr>
      <w:r>
        <w:t xml:space="preserve">f) Por diligencia de ordenación de 31 de julio de 2014, previa solicitud en tal sentido de la parte ejecutante, se acordó realizar la notificación y requerimiento de pago “por medio de </w:t>
      </w:r>
      <w:r>
        <w:lastRenderedPageBreak/>
        <w:t>edicto”, conforme a lo “establecido en los artículos 156.4 y 164 LEC”, quedando expuesto en el tablón de anuncios del juzgado desde esa fecha hasta el 27 de noviembre de 2014.</w:t>
      </w:r>
    </w:p>
    <w:p w:rsidR="005728DD" w:rsidRDefault="005728DD" w:rsidP="005728DD">
      <w:pPr>
        <w:pStyle w:val="TextoNormal"/>
      </w:pPr>
    </w:p>
    <w:p w:rsidR="005728DD" w:rsidRDefault="005728DD" w:rsidP="005728DD">
      <w:pPr>
        <w:pStyle w:val="TextoNormal"/>
      </w:pPr>
      <w:r>
        <w:t>g) En fecha 10 de diciembre de 2014, a instancia de la entidad ejecutante, se acordó la celebración de la subasta de los bienes hipotecados, que fue fijada para el día 29 de mayo de 2015. No obstante, en fecha 5 de mayo de 2015, se dictó la diligencia de ordenación en la que se indicaba lo siguiente: “Visto el estado de las presentes actuaciones se acuerda consultar el PNJ [punto neutro judicial] a fin de averiguar nuevo domicilio de la mercantil ejecutada. Visto el resultado de la consulta y no constando domicilio diferente del que obra en las actuaciones en el que poder practicar la diligencia de notificación de la subasta […] la publicación de edicto en el tablón de anuncios de la oficina judicial y en el portal de subastas judiciales del Ministerio de Justicia servirá de notificación en forma”.</w:t>
      </w:r>
    </w:p>
    <w:p w:rsidR="005728DD" w:rsidRDefault="005728DD" w:rsidP="005728DD">
      <w:pPr>
        <w:pStyle w:val="TextoNormal"/>
      </w:pPr>
    </w:p>
    <w:p w:rsidR="005728DD" w:rsidRDefault="005728DD" w:rsidP="005728DD">
      <w:pPr>
        <w:pStyle w:val="TextoNormal"/>
      </w:pPr>
      <w:r>
        <w:t>En las actuaciones remitidas por el órgano judicial no consta que se hubiera realizado la consulta al punto neutro judicial ni, por lo tanto, el resultado de la misma.</w:t>
      </w:r>
    </w:p>
    <w:p w:rsidR="005728DD" w:rsidRDefault="005728DD" w:rsidP="005728DD">
      <w:pPr>
        <w:pStyle w:val="TextoNormal"/>
      </w:pPr>
    </w:p>
    <w:p w:rsidR="005728DD" w:rsidRDefault="005728DD" w:rsidP="005728DD">
      <w:pPr>
        <w:pStyle w:val="TextoNormal"/>
      </w:pPr>
      <w:r>
        <w:t>h) El procedimiento judicial continuó su tramitación, mediante la celebración de subasta, el decreto de adjudicación fechado el 15 de febrero de 2018 y declarado firme por diligencia de 9 de marzo de 2018, así como el señalamiento para la entrada en la posesión de los inmuebles, notificado también por edicto en fecha 7 de mayo de 2018.</w:t>
      </w:r>
    </w:p>
    <w:p w:rsidR="005728DD" w:rsidRDefault="005728DD" w:rsidP="005728DD">
      <w:pPr>
        <w:pStyle w:val="TextoNormal"/>
      </w:pPr>
    </w:p>
    <w:p w:rsidR="005728DD" w:rsidRDefault="005728DD" w:rsidP="005728DD">
      <w:pPr>
        <w:pStyle w:val="TextoNormal"/>
      </w:pPr>
      <w:r>
        <w:t>La diligencia de entrega fue intentada en fechas 30 de mayo y 6 y 14 de junio de 2018, siendo suspendida ante la presencia de inquilinos en los inmuebles, que aportaron el correspondiente contrato de arrendamiento de establecimiento de negocio, suscrito el 16 de enero de 2017.</w:t>
      </w:r>
    </w:p>
    <w:p w:rsidR="005728DD" w:rsidRDefault="005728DD" w:rsidP="005728DD">
      <w:pPr>
        <w:pStyle w:val="TextoNormal"/>
      </w:pPr>
    </w:p>
    <w:p w:rsidR="005728DD" w:rsidRDefault="005728DD" w:rsidP="005728DD">
      <w:pPr>
        <w:pStyle w:val="TextoNormal"/>
      </w:pPr>
      <w:r>
        <w:t>i) En fecha 20 de junio de 2018, la entidad recurrente se personó en el procedimiento judicial, al haber tenido conocimiento de su existencia a través de los arrendatarios de los inmuebles hipotecados, y en fecha 4 de julio de 2018 interpuso un incidente de nulidad de actuaciones.</w:t>
      </w:r>
    </w:p>
    <w:p w:rsidR="005728DD" w:rsidRDefault="005728DD" w:rsidP="005728DD">
      <w:pPr>
        <w:pStyle w:val="TextoNormal"/>
      </w:pPr>
    </w:p>
    <w:p w:rsidR="005728DD" w:rsidRDefault="005728DD" w:rsidP="005728DD">
      <w:pPr>
        <w:pStyle w:val="TextoNormal"/>
      </w:pPr>
      <w:r>
        <w:t>En su escrito alegó la vulneración del derecho a la tutela judicial efectiva (art. 24.1 CE), interesando la reposición de las actuaciones al momento de dictarse el auto y decreto de notificación y requerimiento de pago. Tras reseñar los antecedentes que consideró de interés, hizo una expresa invocación de la doctrina de este tribunal (con cita de las SSTC 245/2006, de 24 de julio; 104/2008, de 15 de septiembre; 28/2010, de 27 de abril; 122/2013, de 20 de mayo, y 137/2014, de 8 de septiembre), sobre la necesidad de agotar los medios de comunicación ordinarios, antes de acudir a la notificación edictal. Más en concreto, consideraba que el juzgado y la parte actora no habían realizado las gestiones necesarias para determinar el domicilio real de la entidad ejecutada. Si hubieran recabado la información del registro mercantil, hubieran comprobado que el mandato de doña Rosa María Salcedo Hernández estaba caducado. Tampoco consta practicada la averiguación del domicilio a través del punto neutro judicial.</w:t>
      </w:r>
    </w:p>
    <w:p w:rsidR="005728DD" w:rsidRDefault="005728DD" w:rsidP="005728DD">
      <w:pPr>
        <w:pStyle w:val="TextoNormal"/>
      </w:pPr>
    </w:p>
    <w:p w:rsidR="005728DD" w:rsidRDefault="005728DD" w:rsidP="005728DD">
      <w:pPr>
        <w:pStyle w:val="TextoNormal"/>
      </w:pPr>
      <w:r>
        <w:t xml:space="preserve">j) El incidente fue desestimado por medio de auto de 15 de enero de 2020, en cuyo fundamento jurídico segundo se argumenta que el domicilio en el que se intentó la notificación (calle Jara 31, 3º A, de Cartagena) es el que figura en la escritura de constitución del préstamo hipotecario de 14 de marzo de 2006, así como en la posterior escritura de novación de </w:t>
      </w:r>
      <w:r>
        <w:lastRenderedPageBreak/>
        <w:t>30 de diciembre de 2009, por no contener modificación alguna al respecto. Igualmente, no consta que la prestataria comunicara la modificación de domicilio en los términos y con los efectos del art. 683 LEC. Finaliza señalando que también se intentó la notificación en el domicilio de la representante legal de la sociedad que aparece en las escrituras, lo que también resultó infructuoso. Por todo ello, el auto concluye que no concurre causa alguna de nulidad.</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se alega la vulneración del art. 24.1 CE, en su vertiente del derecho a la tutela judicial efectiva sin indefensión, ya que “no ha tenido conocimiento de la tramitación del proceso, y, por lo tanto, no pudo hacer valer en él los medios de oposición que la ley le confiere, dado que el órgano judicial le notificó la demanda de ejecución y le requirió de pago por edictos, en lugar de haber agotado los medios de averiguación domiciliaria que hubiesen permitido efectuar su emplazamiento de forma personal”.</w:t>
      </w:r>
    </w:p>
    <w:p w:rsidR="005728DD" w:rsidRDefault="005728DD" w:rsidP="005728DD">
      <w:pPr>
        <w:pStyle w:val="TextoNormal"/>
      </w:pPr>
    </w:p>
    <w:p w:rsidR="005728DD" w:rsidRDefault="005728DD" w:rsidP="005728DD">
      <w:pPr>
        <w:pStyle w:val="TextoNormal"/>
      </w:pPr>
      <w:r>
        <w:t>La entidad demandante reitera las quejas formuladas en su escrito de planteamiento del incidente de nulidad de actuaciones y, tras reseñar los principales hitos del procedimiento judicial de origen, insiste en que “no consta en ningún momento que se hubiera practicado la consulta acordada a punto neutro judicial, ni que la mercantil actora ‘Banco de Sabadell, S.A.’, haya mostrado la necesaria diligencia en instar esa averiguación acordada ni tampoco la necesaria consulta el Registro Mercantil de Murcia”, incumpliendo lo dispuesto en el art. 155.3 LEC.</w:t>
      </w:r>
    </w:p>
    <w:p w:rsidR="005728DD" w:rsidRDefault="005728DD" w:rsidP="005728DD">
      <w:pPr>
        <w:pStyle w:val="TextoNormal"/>
      </w:pPr>
    </w:p>
    <w:p w:rsidR="005728DD" w:rsidRDefault="005728DD" w:rsidP="005728DD">
      <w:pPr>
        <w:pStyle w:val="TextoNormal"/>
      </w:pPr>
      <w:r>
        <w:t>La recurrente considera que el asunto tiene especial trascendencia constitucional, porque el órgano judicial pudiera haber incurrido en una negativa manifiesta del deber de acatamiento de la doctrina de este tribunal [STC 155/2009, FJ 2 f)]”, ya que ni siquiera entró a valorar la jurisprudencia que le fue invocada.</w:t>
      </w:r>
    </w:p>
    <w:p w:rsidR="005728DD" w:rsidRDefault="005728DD" w:rsidP="005728DD">
      <w:pPr>
        <w:pStyle w:val="TextoNormal"/>
      </w:pPr>
    </w:p>
    <w:p w:rsidR="005728DD" w:rsidRDefault="005728DD" w:rsidP="005728DD">
      <w:pPr>
        <w:pStyle w:val="TextoNormal"/>
      </w:pPr>
      <w:r>
        <w:t>Con expresa reseña de la doctrina contenida en las SSTC 150/2008, de 17 de noviembre; 78/2008, de 7 de julio; 122/2013, de 20 de mayo, y 6/2017, de 16 de enero, la entidad recurrente interesa la estimación de la demanda, con la declaración de la vulneración del derecho fundamental alegado, su restablecimiento mediante la nulidad del auto de 15 de enero de 2020, así como la nulidad y consiguiente retroacción de las actuaciones al momento del dictado del auto de 19 de febrero de 2014, a fin de poder formular la correspondiente oposición a la demanda.</w:t>
      </w:r>
    </w:p>
    <w:p w:rsidR="005728DD" w:rsidRDefault="005728DD" w:rsidP="005728DD">
      <w:pPr>
        <w:pStyle w:val="TextoNormal"/>
      </w:pPr>
    </w:p>
    <w:p w:rsidR="005728DD" w:rsidRDefault="005728DD" w:rsidP="005728DD">
      <w:pPr>
        <w:pStyle w:val="TextoNormal"/>
      </w:pPr>
      <w:r>
        <w:t xml:space="preserve">Como primer otrosí digo la entidad demandante solicitó, al amparo del art. 56 de la Ley Orgánica del Tribunal Constitucional (LOTC), la medida cautelar de “suspensión del procedimiento de ejecución hipotecaria”, interesando su tramitación </w:t>
      </w:r>
      <w:r w:rsidRPr="005728DD">
        <w:rPr>
          <w:i/>
        </w:rPr>
        <w:t>inaudita parte</w:t>
      </w:r>
      <w:r>
        <w:t xml:space="preserve"> (art. 56.6 LOTC), con la finalidad de evitar perjuicios de imposible reparación que hicieran ineficaz la eventual sentencia estimatoria de la demanda.</w:t>
      </w:r>
    </w:p>
    <w:p w:rsidR="005728DD" w:rsidRDefault="005728DD" w:rsidP="005728DD">
      <w:pPr>
        <w:pStyle w:val="TextoNormal"/>
      </w:pPr>
    </w:p>
    <w:p w:rsidR="005728DD" w:rsidRDefault="005728DD" w:rsidP="005728DD">
      <w:pPr>
        <w:pStyle w:val="TextoNormal"/>
      </w:pPr>
      <w:r w:rsidRPr="005728DD">
        <w:rPr>
          <w:rStyle w:val="NumeroAFNegritaCaracter"/>
        </w:rPr>
        <w:t>4</w:t>
      </w:r>
      <w:r>
        <w:t>. La Sala Segunda, Sección Cuarta, de este Tribunal Constitucional dictó providencia el día 4 de noviembre de 2020, del siguiente tenor:</w:t>
      </w:r>
    </w:p>
    <w:p w:rsidR="005728DD" w:rsidRDefault="005728DD" w:rsidP="005728DD">
      <w:pPr>
        <w:pStyle w:val="TextoNormal"/>
      </w:pPr>
    </w:p>
    <w:p w:rsidR="005728DD" w:rsidRDefault="005728DD" w:rsidP="005728DD">
      <w:pPr>
        <w:pStyle w:val="TextoNormal"/>
      </w:pPr>
      <w:r>
        <w:t xml:space="preserve">“La Sección Cuarta ha examinado el recurso de amparo y ha acordado admitirlo a trámite, apreciando que concurre en el mismo una especial trascendencia constitucional (art. 50.1 LOTC) como consecuencia de que el órgano judicial pudiera haber incurrido en una </w:t>
      </w:r>
      <w:r>
        <w:lastRenderedPageBreak/>
        <w:t>negativa manifiesta del deber de acatamiento de la doctrina de este tribunal [STC 155/2009, FJ 2 f)].</w:t>
      </w:r>
    </w:p>
    <w:p w:rsidR="005728DD" w:rsidRDefault="005728DD" w:rsidP="005728DD">
      <w:pPr>
        <w:pStyle w:val="TextoNormal"/>
      </w:pPr>
    </w:p>
    <w:p w:rsidR="005728DD" w:rsidRDefault="005728DD" w:rsidP="005728DD">
      <w:pPr>
        <w:pStyle w:val="TextoNormal"/>
      </w:pPr>
      <w:r>
        <w:t>Por ello, en aplicación de lo dispuesto en el art. 51 LOTC, diríjase atenta comunicación al Juzgado de Primera Instancia núm. 14 de Murcia, a fin de que, en plazo que no exceda de diez días, remita certificación o copia adverada de las actuaciones correspondientes al Procedimiento de Ejecución Hipotecaria núm. 1646-2013; debiendo previamente emplazarse, para que en el plazo de diez días puedan comparecer, si lo desean,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t>Fórmese la oportuna pieza separada para la sustanciación de la suspensión solicitada”.</w:t>
      </w:r>
    </w:p>
    <w:p w:rsidR="005728DD" w:rsidRDefault="005728DD" w:rsidP="005728DD">
      <w:pPr>
        <w:pStyle w:val="TextoNormal"/>
      </w:pPr>
    </w:p>
    <w:p w:rsidR="005728DD" w:rsidRDefault="005728DD" w:rsidP="005728DD">
      <w:pPr>
        <w:pStyle w:val="TextoNormal"/>
      </w:pPr>
      <w:r w:rsidRPr="005728DD">
        <w:rPr>
          <w:rStyle w:val="NumeroAFNegritaCaracter"/>
        </w:rPr>
        <w:t>5</w:t>
      </w:r>
      <w:r>
        <w:t>. Por nueva providencia de la misma fecha, dictada por la Sección Cuarta de este tribunal,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En fecha 16 de noviembre de 2020, la entidad recurrente presentó su escrito de alegaciones, ratificando la petición formulada en la demanda, complementada por el hecho de que en el procedimiento judicial de origen se había personado la entidad Promontoria Coliseum Industrial Assets, en su condición de nuevo titular de los inmuebles hipotecados. Por su parte, el Ministerio Fiscal, mediante escrito de 23 de noviembre de 2020, interesó que se adoptara únicamente la medida de anotación preventiva de la demanda de amparo.</w:t>
      </w:r>
    </w:p>
    <w:p w:rsidR="005728DD" w:rsidRDefault="005728DD" w:rsidP="005728DD">
      <w:pPr>
        <w:pStyle w:val="TextoNormal"/>
      </w:pPr>
    </w:p>
    <w:p w:rsidR="005728DD" w:rsidRDefault="005728DD" w:rsidP="005728DD">
      <w:pPr>
        <w:pStyle w:val="TextoNormal"/>
      </w:pPr>
      <w:r>
        <w:t>Así se acordó por medio de ATC 157/2020, de 30 de noviembre, dictado por la Sala Segunda de este tribunal, en el que se denegó la suspensión solicitada y se ordenó la anotación preventiva de la demanda de amparo en el registro de la propiedad, con remisión al referido juzgado para la expedición del mandamiento oportuno.</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fecha 18 de diciembre de 2020, la secretaria de Justicia de la Sala Segunda de este tribunal acordó tener por personado y parte en el procedimiento a la procuradora doña María Dolores Alcocer Antón, en nombre y representación de Promontoria Coliseum Industrial Assets, que había solicitado su personación en fecha 11 de diciembre. No obstante, esta personación quedada condicionada expresamente a la acreditación de la representación que decía ostentar, mediante la correspondiente escritura de poder.</w:t>
      </w:r>
    </w:p>
    <w:p w:rsidR="005728DD" w:rsidRDefault="005728DD" w:rsidP="005728DD">
      <w:pPr>
        <w:pStyle w:val="TextoNormal"/>
      </w:pPr>
    </w:p>
    <w:p w:rsidR="005728DD" w:rsidRDefault="005728DD" w:rsidP="005728DD">
      <w:pPr>
        <w:pStyle w:val="TextoNormal"/>
      </w:pPr>
      <w:r>
        <w:t>Igualmente, en esta resolución se acordó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La entidad recurrente presentó su escrito de alegaciones en fecha 26 de enero de 2021, ratificándose íntegramente en el contenido de la demanda.</w:t>
      </w:r>
    </w:p>
    <w:p w:rsidR="005728DD" w:rsidRDefault="005728DD" w:rsidP="005728DD">
      <w:pPr>
        <w:pStyle w:val="TextoNormal"/>
      </w:pPr>
    </w:p>
    <w:p w:rsidR="005728DD" w:rsidRDefault="005728DD" w:rsidP="005728DD">
      <w:pPr>
        <w:pStyle w:val="TextoNormal"/>
      </w:pPr>
      <w:r w:rsidRPr="005728DD">
        <w:rPr>
          <w:rStyle w:val="NumeroAFNegritaCaracter"/>
        </w:rPr>
        <w:t>8</w:t>
      </w:r>
      <w:r>
        <w:t>. La fiscal ante el Tribunal Constitucional presentó su escrito de alegaciones el día 5 de febrero de 2021.</w:t>
      </w:r>
    </w:p>
    <w:p w:rsidR="005728DD" w:rsidRDefault="005728DD" w:rsidP="005728DD">
      <w:pPr>
        <w:pStyle w:val="TextoNormal"/>
      </w:pPr>
    </w:p>
    <w:p w:rsidR="005728DD" w:rsidRDefault="005728DD" w:rsidP="005728DD">
      <w:pPr>
        <w:pStyle w:val="TextoNormal"/>
      </w:pPr>
      <w:r>
        <w:lastRenderedPageBreak/>
        <w:t>Tras exponer los antecedentes fácticos que consideró más relevantes, señala que el objeto de la demanda coincide con el que fue objeto de resolución en las SSTC 30/2014 y 181/2015, para centrarse en el precedente recogido en la STC 187/2020, FJ 3, que recuerda la doctrina expuesta en la STC 122/2013, de 20 de mayo.</w:t>
      </w:r>
    </w:p>
    <w:p w:rsidR="005728DD" w:rsidRDefault="005728DD" w:rsidP="005728DD">
      <w:pPr>
        <w:pStyle w:val="TextoNormal"/>
      </w:pPr>
    </w:p>
    <w:p w:rsidR="005728DD" w:rsidRDefault="005728DD" w:rsidP="005728DD">
      <w:pPr>
        <w:pStyle w:val="TextoNormal"/>
      </w:pPr>
      <w:r>
        <w:t>A juicio del Ministerio Fiscal, no consta que se hubiera practicado la consulta acordada al punto neutro judicial, y tampoco se llevó a efecto ninguna otra diligencia a través de los organismos públicos a los que se remite el art. 155.3 LEC, ni por los medios que se recogen en el art. 156 LEC, a fin de conocer el domicilio de la demandada. De esta forma, el órgano judicial no tuvo en cuenta el deber de velar por la correcta ejecución de los actos de comunicación procesal, y tampoco se aseguró de que dichos actos han de servir a su propósito de garantizar que la parte sea oída en el proceso, lo que comporta la exigencia del emplazamiento personal, y el agotamiento de los medios de averiguación domiciliaria antes de proceder a la notificación por edictos.</w:t>
      </w:r>
    </w:p>
    <w:p w:rsidR="005728DD" w:rsidRDefault="005728DD" w:rsidP="005728DD">
      <w:pPr>
        <w:pStyle w:val="TextoNormal"/>
      </w:pPr>
    </w:p>
    <w:p w:rsidR="005728DD" w:rsidRDefault="005728DD" w:rsidP="005728DD">
      <w:pPr>
        <w:pStyle w:val="TextoNormal"/>
      </w:pPr>
      <w:r>
        <w:t>La fiscal finaliza interesando que se estime el presente recurso de amparo y que, en consecuencia, se reconozca que se ha vulnerado el derecho a la tutela judicial efectiva sin indefensión (art. 24.1 CE), y que se le restablezca en su derecho, “acordándose la nulidad de todo lo actuado desde la notificación edictal por la cual se emplazó a la demandada en el procedimiento judicial de origen”, con retroacción de las actuaciones “al momento inmediatamente anterior a dicha notificación para que se le dé al recurrente posibilidad de comparecer en el proceso y actuar en defensa de sus intereses”.</w:t>
      </w:r>
    </w:p>
    <w:p w:rsidR="005728DD" w:rsidRDefault="005728DD" w:rsidP="005728DD">
      <w:pPr>
        <w:pStyle w:val="TextoNormal"/>
      </w:pPr>
    </w:p>
    <w:p w:rsidR="005728DD" w:rsidRDefault="005728DD" w:rsidP="005728DD">
      <w:pPr>
        <w:pStyle w:val="TextoNormal"/>
      </w:pPr>
      <w:r w:rsidRPr="005728DD">
        <w:rPr>
          <w:rStyle w:val="NumeroAFNegritaCaracter"/>
        </w:rPr>
        <w:t>9</w:t>
      </w:r>
      <w:r>
        <w:t>. Por medio de providencia de fecha 9 de febrero de 2021, la Sección Cuarta de este tribunal acordó tener por decaída en su derecho a la entidad Promontoria Coliseum Industrial Assets, al no haber subsanado el defecto que se le puso de manifiesto en la diligencia de ordenación de 18 de diciembre de 2020.</w:t>
      </w:r>
    </w:p>
    <w:p w:rsidR="005728DD" w:rsidRDefault="005728DD" w:rsidP="005728DD">
      <w:pPr>
        <w:pStyle w:val="TextoNormal"/>
      </w:pPr>
    </w:p>
    <w:p w:rsidR="005728DD" w:rsidRDefault="005728DD" w:rsidP="005728DD">
      <w:pPr>
        <w:pStyle w:val="TextoNormal"/>
      </w:pPr>
      <w:r w:rsidRPr="005728DD">
        <w:rPr>
          <w:rStyle w:val="NumeroAFNegritaCaracter"/>
        </w:rPr>
        <w:t>10</w:t>
      </w:r>
      <w:r>
        <w:t>. La Secretaría de Justicia ha dictado diligencia el día 11 de marzo de 2021, dejando constancia de la presentación de los escritos de alegaciones del Ministerio Fiscal y de la representación procesal de la entidad recurrente, “quedando el presente recurso de amparo pendiente para deliberación cuando por turno corresponda”.</w:t>
      </w:r>
    </w:p>
    <w:p w:rsidR="005728DD" w:rsidRDefault="005728DD" w:rsidP="005728DD">
      <w:pPr>
        <w:pStyle w:val="TextoNormal"/>
      </w:pPr>
    </w:p>
    <w:p w:rsidR="005728DD" w:rsidRDefault="005728DD" w:rsidP="005728DD">
      <w:pPr>
        <w:pStyle w:val="TextoNormal"/>
      </w:pPr>
      <w:r w:rsidRPr="005728DD">
        <w:rPr>
          <w:rStyle w:val="NumeroAFNegritaCaracter"/>
        </w:rPr>
        <w:t>11</w:t>
      </w:r>
      <w:r>
        <w:t>. Mediante providencia de fecha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demanda de amparo impugna el auto de 15 de enero de 2020, dictado por el Juzgado de Primera Instancia núm. 14 de Murcia, que desestimó el incidente de nulidad de actuaciones promovido por la actora en el procedimiento de ejecución hipotecaria núm. 1646-2013, instado por la entidad Banco de Sabadell, S.A.</w:t>
      </w:r>
    </w:p>
    <w:p w:rsidR="005728DD" w:rsidRDefault="005728DD" w:rsidP="005728DD">
      <w:pPr>
        <w:pStyle w:val="TextoNormal"/>
      </w:pPr>
    </w:p>
    <w:p w:rsidR="005728DD" w:rsidRDefault="005728DD" w:rsidP="005728DD">
      <w:pPr>
        <w:pStyle w:val="TextoNormal"/>
      </w:pPr>
      <w:r>
        <w:lastRenderedPageBreak/>
        <w:t>La demandante de amparo denuncia que la resolución impugnada ha vulnerado su derecho a la tutela judicial efectiva y a no sufrir indefensión (art. 24.1 CE). El órgano judicial ha iniciado, tramitado y resuelto un procedimiento de ejecución hipotecaria sin haberle dado conocimiento del mismo, y sin que se hayan agotado todos los mecanismos previstos en el art. 686.3 LEC antes de proceder a la notificación por edictos. El auto impugnado no la ha restablecido en su derecho, al haberle denegado toda posibilidad de rectificación de las irregularidades invocadas.</w:t>
      </w:r>
    </w:p>
    <w:p w:rsidR="005728DD" w:rsidRDefault="005728DD" w:rsidP="005728DD">
      <w:pPr>
        <w:pStyle w:val="TextoNormal"/>
      </w:pPr>
    </w:p>
    <w:p w:rsidR="005728DD" w:rsidRDefault="005728DD" w:rsidP="005728DD">
      <w:pPr>
        <w:pStyle w:val="TextoNormal"/>
      </w:pPr>
      <w:r>
        <w:t>El Ministerio Fiscal considera que procede estimar el recurso y declarar que el citado derecho fundamental ha sido vulnerado por las razones ya expuestas en los antecedentes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del Tribunal Constitucional sobre los actos de comunicación</w:t>
      </w:r>
      <w:r>
        <w:t>.</w:t>
      </w:r>
    </w:p>
    <w:p w:rsidR="005728DD" w:rsidRDefault="005728DD" w:rsidP="005728DD">
      <w:pPr>
        <w:pStyle w:val="TextoNormal"/>
      </w:pPr>
    </w:p>
    <w:p w:rsidR="005728DD" w:rsidRDefault="005728DD" w:rsidP="005728DD">
      <w:pPr>
        <w:pStyle w:val="TextoNormal"/>
      </w:pPr>
      <w:r>
        <w:t>Este tribunal se ha pronunciado en reiteradas ocasiones sobre el problema aquí planteado acerca de la comunicación del procedimiento de ejecución hipotecaria en el caso de que sea negativa la notificación y el requerimiento de pago en el domicilio que consta en la escritura del préstamo o en el registro de la propiedad y, más concretamente, sobre la necesidad de que el órgano judicial agote las posibilidades de averiguación del domicilio real antes de acudir a la notificación por edictos.</w:t>
      </w:r>
    </w:p>
    <w:p w:rsidR="005728DD" w:rsidRDefault="005728DD" w:rsidP="005728DD">
      <w:pPr>
        <w:pStyle w:val="TextoNormal"/>
      </w:pPr>
    </w:p>
    <w:p w:rsidR="005728DD" w:rsidRDefault="005728DD" w:rsidP="005728DD">
      <w:pPr>
        <w:pStyle w:val="TextoNormal"/>
      </w:pPr>
      <w:r>
        <w:t>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005728DD" w:rsidRDefault="005728DD" w:rsidP="005728DD">
      <w:pPr>
        <w:pStyle w:val="TextoNormal"/>
      </w:pPr>
    </w:p>
    <w:p w:rsidR="005728DD" w:rsidRDefault="005728DD" w:rsidP="005728DD">
      <w:pPr>
        <w:pStyle w:val="TextoNormal"/>
      </w:pPr>
      <w:r>
        <w:t xml:space="preserve">Para el tribunal, “desde una estricta perspectiva constitucional, procede realizar una interpretación </w:t>
      </w:r>
      <w:r w:rsidRPr="005728DD">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 Esta doctrina ha sido reiterada en pronunciamientos posteriores (SSTC 83/2018, de 16 de julio, FJ 4; 29/2020, de 24 de febrero, FJ 3; 62/2020, de 15 de junio, FJ 2, y 86/2020, de 20 de julio, FJ 2).</w:t>
      </w:r>
    </w:p>
    <w:p w:rsidR="005728DD" w:rsidRDefault="005728DD" w:rsidP="005728DD">
      <w:pPr>
        <w:pStyle w:val="TextoNormal"/>
      </w:pPr>
    </w:p>
    <w:p w:rsidR="005728DD" w:rsidRDefault="005728DD" w:rsidP="005728DD">
      <w:pPr>
        <w:pStyle w:val="TextoNormal"/>
      </w:pPr>
      <w:r>
        <w:t>En la misma línea, también ha señalado este Tribunal que no puede estimarse la consulta al punto neutro judicial “como único medio posible de investigación del paradero del demandado” para entender agotadas las posibilidades de localización, si cabe realizar “otras pesquisas, que por el contenido de las actuaciones”, puedan encontrarse “razonablemente a su alcance” (STC 50/2017, de 8 de mayo, FJ 5).</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Enjuiciamiento del caso</w:t>
      </w:r>
      <w:r>
        <w:t>.</w:t>
      </w:r>
    </w:p>
    <w:p w:rsidR="005728DD" w:rsidRDefault="005728DD" w:rsidP="005728DD">
      <w:pPr>
        <w:pStyle w:val="TextoNormal"/>
      </w:pPr>
    </w:p>
    <w:p w:rsidR="005728DD" w:rsidRDefault="005728DD" w:rsidP="005728DD">
      <w:pPr>
        <w:pStyle w:val="TextoNormal"/>
      </w:pPr>
      <w:r>
        <w:lastRenderedPageBreak/>
        <w:t>La resolución de la queja planteada debe partir necesariamente de una aproximación detallada a los datos fácticos obrantes en la causa para, seguidamente, verificar si se dio cumplimiento a la doctrina de este tribunal sobre la cuestión controvertida.</w:t>
      </w:r>
    </w:p>
    <w:p w:rsidR="005728DD" w:rsidRDefault="005728DD" w:rsidP="005728DD">
      <w:pPr>
        <w:pStyle w:val="TextoNormal"/>
      </w:pPr>
    </w:p>
    <w:p w:rsidR="005728DD" w:rsidRDefault="005728DD" w:rsidP="005728DD">
      <w:pPr>
        <w:pStyle w:val="TextoNormal"/>
      </w:pPr>
      <w:r>
        <w:t>a) La demanda de la entidad Banco de Sabadell, S.A., iniciadora del proceso de ejecución, fijaba como domicilio de la parte ejecutada, a efectos de notificaciones, el de la calle Jara, 31, 3 A, de Cartagena. Se trataba del domicilio establecido a tal efecto en la escritura de constitución de la garantía hipotecaria (cláusula décima). Sin embargo, el intento de notificación llevado a cabo el día 3 de marzo de 2014 en ese domicilio fue negativo, por resultar desconocido el destinatario. Otro tanto ocurrió con el nuevo intento realizado en fecha 9 de mayo de 2014 en la calle Gran Vía, 4, 1 de Murcia, identificado como domicilio de la persona que figuraba como representante de la ejecutada en la escritura de constitución de la hipoteca. La diligencia dejó constancia de que el piso estaba cerrado, sin personas en su interior y con las persianas bajadas.</w:t>
      </w:r>
    </w:p>
    <w:p w:rsidR="005728DD" w:rsidRDefault="005728DD" w:rsidP="005728DD">
      <w:pPr>
        <w:pStyle w:val="TextoNormal"/>
      </w:pPr>
    </w:p>
    <w:p w:rsidR="005728DD" w:rsidRDefault="005728DD" w:rsidP="005728DD">
      <w:pPr>
        <w:pStyle w:val="TextoNormal"/>
      </w:pPr>
      <w:r>
        <w:t>Tras esos intentos frustrados, el órgano judicial procedió a la notificación edictal en fecha 31 de julio de 2014, continuando la tramitación del procedimiento al margen de la entidad ejecutada.</w:t>
      </w:r>
    </w:p>
    <w:p w:rsidR="005728DD" w:rsidRDefault="005728DD" w:rsidP="005728DD">
      <w:pPr>
        <w:pStyle w:val="TextoNormal"/>
      </w:pPr>
    </w:p>
    <w:p w:rsidR="005728DD" w:rsidRDefault="005728DD" w:rsidP="005728DD">
      <w:pPr>
        <w:pStyle w:val="TextoNormal"/>
      </w:pPr>
      <w:r>
        <w:t>De hecho, solo cuando se acordó la fecha concreta del señalamiento de la subasta de los inmuebles hipotecados, en el mes de mayo de 2015, el juzgado acordó la averiguación del domicilio de la recurrente a través del punto neutro judicial. Sin embargo, no consta que esta diligencia se practicara. El testimonio de las actuaciones obrante en autos no recoge la solicitud ni el resultado de una hipotética petición en tal sentido.</w:t>
      </w:r>
    </w:p>
    <w:p w:rsidR="005728DD" w:rsidRDefault="005728DD" w:rsidP="005728DD">
      <w:pPr>
        <w:pStyle w:val="TextoNormal"/>
      </w:pPr>
    </w:p>
    <w:p w:rsidR="005728DD" w:rsidRDefault="005728DD" w:rsidP="005728DD">
      <w:pPr>
        <w:pStyle w:val="TextoNormal"/>
      </w:pPr>
      <w:r>
        <w:t>El juzgado no realizó, ni de oficio, ni tampoco a instancia de la ejecutante, ninguna otra actuación indagatoria sobre el domicilio de la ejecutada.</w:t>
      </w:r>
    </w:p>
    <w:p w:rsidR="005728DD" w:rsidRDefault="005728DD" w:rsidP="005728DD">
      <w:pPr>
        <w:pStyle w:val="TextoNormal"/>
      </w:pPr>
    </w:p>
    <w:p w:rsidR="005728DD" w:rsidRDefault="005728DD" w:rsidP="005728DD">
      <w:pPr>
        <w:pStyle w:val="TextoNormal"/>
      </w:pPr>
      <w:r>
        <w:t>b) Este tribunal constata que el órgano judicial de instancia no ha observado la diligencia debida y ha incumplido la doctrina constitucional anteriormente expuesta en las actuaciones realizadas hasta la terminación del proceso de ejecución. Ante la situación descrita, con dos intentos infructuosos de notificación personal, el juzgado tenía la obligación de realizar las averiguaciones pertinentes para determinar el domicilio del deudor antes de acudir a la comunicación edictal, tal y como dispone la interpretación conjunta de los arts. 686.3 y 164 LEC. El órgano judicial tenía ante sí un abanico de posibilidades, todas ellas razonablemente a su alcance, que no fueron llevadas a cabo.</w:t>
      </w:r>
    </w:p>
    <w:p w:rsidR="005728DD" w:rsidRDefault="005728DD" w:rsidP="005728DD">
      <w:pPr>
        <w:pStyle w:val="TextoNormal"/>
      </w:pPr>
    </w:p>
    <w:p w:rsidR="005728DD" w:rsidRDefault="005728DD" w:rsidP="005728DD">
      <w:pPr>
        <w:pStyle w:val="TextoNormal"/>
      </w:pPr>
      <w:r>
        <w:t>Así, debería haber intentado la notificación en la dirección de la propia finca hipotecada, al tratarse de naves para usos industriales, según se recoge en la escritura y se constata con el hecho de que se celebrara un ulterior contrato de arrendamiento de negocio, aportado en la causa con anterioridad a la resolución del incidente de nulidad de actuaciones.</w:t>
      </w:r>
    </w:p>
    <w:p w:rsidR="005728DD" w:rsidRDefault="005728DD" w:rsidP="005728DD">
      <w:pPr>
        <w:pStyle w:val="TextoNormal"/>
      </w:pPr>
    </w:p>
    <w:p w:rsidR="005728DD" w:rsidRDefault="005728DD" w:rsidP="005728DD">
      <w:pPr>
        <w:pStyle w:val="TextoNormal"/>
      </w:pPr>
      <w:r>
        <w:t xml:space="preserve">Por otro lado, el juzgado podría haber requerido a la parte ejecutante para que ampliara la información sobre la parte demandada, en cumplimiento de la obligación recogida con carácter general en el art. 155.2 LEC. Este precepto es aplicable a este supuesto porque regula los actos de comunicación con las partes aún no personadas, y establece la obligación para el demandante de “indicar cuantos datos conozca del demandado y que puedan ser de utilidad para la localización de este, como números de teléfono, de fax, dirección de correo </w:t>
      </w:r>
      <w:r>
        <w:lastRenderedPageBreak/>
        <w:t>electrónico o similares”. Se trata de un deber de la parte demandante (en este caso, ejecutante) que, a su vez, debe ser susceptible de control por parte del órgano judicial en su labor de actuar en garantía de los derechos de las partes en el proceso (art. 117.4 CE, en relación con el derecho a la tutela judicial efectiva del art. 24.1 CE). Esto tiene particular relevancia en un caso como el presente, en el que el juzgado habilitó al representante procesal de la parte ejecutante para que realizara las notificaciones. Esta posibilidad, prevista en el art. 152.1.2 LEC, ha de exigir una posterior labor de verificación judicial, a fin de evitar cualquier situación de desigualdad entre las partes o de indefensión para alguna de ellas.</w:t>
      </w:r>
    </w:p>
    <w:p w:rsidR="005728DD" w:rsidRDefault="005728DD" w:rsidP="005728DD">
      <w:pPr>
        <w:pStyle w:val="TextoNormal"/>
      </w:pPr>
    </w:p>
    <w:p w:rsidR="005728DD" w:rsidRDefault="005728DD" w:rsidP="005728DD">
      <w:pPr>
        <w:pStyle w:val="TextoNormal"/>
      </w:pPr>
      <w:r>
        <w:t>Del mismo modo, el juzgado podría haber interesado la información obrante en el registro mercantil de Murcia, teniendo en cuenta que la ejecutada era una persona jurídica constituida como sociedad. De hecho, si el órgano judicial hubiera realizado esa consulta tras el primer intento fallido de notificación, habría advertido que la persona que figuraba en la escritura de hipoteca como representante de la entidad ejecutada tenía su mandato caducado y, por lo tanto, hubiera sido previsible el resultado del segundo intento frustrado de notificación.</w:t>
      </w:r>
    </w:p>
    <w:p w:rsidR="005728DD" w:rsidRDefault="005728DD" w:rsidP="005728DD">
      <w:pPr>
        <w:pStyle w:val="TextoNormal"/>
      </w:pPr>
    </w:p>
    <w:p w:rsidR="005728DD" w:rsidRDefault="005728DD" w:rsidP="005728DD">
      <w:pPr>
        <w:pStyle w:val="TextoNormal"/>
      </w:pPr>
      <w:r>
        <w:t>Y, desde luego, el juzgado podría haber acudido a la consulta del punto neutro judicial, tal y como acordó —aunque no ejecutó— en una fase ulterior del procedimiento, ya en el año 2015.</w:t>
      </w:r>
    </w:p>
    <w:p w:rsidR="005728DD" w:rsidRDefault="005728DD" w:rsidP="005728DD">
      <w:pPr>
        <w:pStyle w:val="TextoNormal"/>
      </w:pPr>
    </w:p>
    <w:p w:rsidR="005728DD" w:rsidRDefault="005728DD" w:rsidP="005728DD">
      <w:pPr>
        <w:pStyle w:val="TextoNormal"/>
      </w:pPr>
      <w:r>
        <w:t>Todo ello conduce a considerar que el órgano judicial no extremó su diligencia en la averiguación del domicilio del deudor ejecutado. Por el contrario, sin haber agotado las posibilidades de notificación personal acudió al sistema de edictos, generándole a la demandante de amparo una real y efectiva indefensión, ya que el proceso se tramitó enteramente a sus espaldas. Posteriormente, cuando la parte ejecutada puso de manifiesto esta situación a través del instrumento procesal adecuado, como es el incidente de nulidad de actuaciones previsto en el art. 241 de la Ley Orgánica del Poder Judicial, y con expresa invocación de la doctrina de este tribunal, el juzgado mantuvo la situación de indefensión sin reparar la lesión alegada.</w:t>
      </w:r>
    </w:p>
    <w:p w:rsidR="005728DD" w:rsidRDefault="005728DD" w:rsidP="005728DD">
      <w:pPr>
        <w:pStyle w:val="TextoNormal"/>
      </w:pPr>
    </w:p>
    <w:p w:rsidR="005728DD" w:rsidRDefault="005728DD" w:rsidP="005728DD">
      <w:pPr>
        <w:pStyle w:val="TextoNormal"/>
      </w:pPr>
      <w:r>
        <w:t>En consecuencia, procede la estimación de la demanda.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Alcance de la estimación del amparo</w:t>
      </w:r>
      <w:r>
        <w:t>.</w:t>
      </w:r>
    </w:p>
    <w:p w:rsidR="005728DD" w:rsidRDefault="005728DD" w:rsidP="005728DD">
      <w:pPr>
        <w:pStyle w:val="TextoNormal"/>
      </w:pPr>
    </w:p>
    <w:p w:rsidR="005728DD" w:rsidRDefault="005728DD" w:rsidP="005728DD">
      <w:pPr>
        <w:pStyle w:val="TextoNormal"/>
      </w:pPr>
      <w:r>
        <w:t>La estimación del recurso de amparo debe acarrear la nulidad del auto de 15 de enero de 2020, dictado por el Juzgado de Primera Instancia núm. 14 de Murcia, que desestimó el incidente de nulidad de actuaciones promovido por la mercantil recurrente en el procedimiento de ejecución hipotecaria núm. 1646-2013.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 la recurrente en términos respetuosos con su derecho fundamental a la tutela judicial efectiva sin indefensión (art. 24.1 CE).</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Aluminios Torralba, S.A.,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Restablecerla en su derecho y, a tal fin, declarar la nulidad del auto de 15 de enero de 2020, dictado por el Juzgado de Primera Instancia núm. 14 de Murcia, en el proceso de ejecución hipotecaria núm. 1646-2013, así como la nulidad de las actuaciones realizadas a partir del auto de 19 de febrero de 2014 por el que se acordó el despacho de la ejecución y el requerimiento de pago a la entidad deudora.</w:t>
      </w:r>
    </w:p>
    <w:p w:rsidR="005728DD" w:rsidRDefault="005728DD" w:rsidP="005728DD">
      <w:pPr>
        <w:pStyle w:val="TextoNormal"/>
      </w:pPr>
    </w:p>
    <w:p w:rsidR="005728DD" w:rsidRDefault="005728DD" w:rsidP="005728DD">
      <w:pPr>
        <w:pStyle w:val="TextoNormal"/>
      </w:pPr>
      <w:r>
        <w:t>3º Retrotraer el procedimiento al momento inmediatamente anterior al requerimiento de pago a Aluminios Torralba, S.A., debiendo llevarse a cabo su notificación a la parte ejecutada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1" w:name="SENTENCIA_2021_88"/>
      <w:r>
        <w:lastRenderedPageBreak/>
        <w:t>SENTENCIA 88/2021, de 19 de abril de 2021</w:t>
      </w:r>
    </w:p>
    <w:bookmarkEnd w:id="91"/>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ECLI:ES:TC:2021:88</w:t>
      </w:r>
    </w:p>
    <w:p w:rsidR="005728DD" w:rsidRDefault="005728DD" w:rsidP="005728DD">
      <w:pPr>
        <w:pStyle w:val="TextoNormalCentrado"/>
      </w:pPr>
    </w:p>
    <w:p w:rsidR="005728DD" w:rsidRDefault="005728DD" w:rsidP="005728DD">
      <w:pPr>
        <w:pStyle w:val="SntesisDescriptiva"/>
      </w:pPr>
      <w:r>
        <w:t>Recurso de amparo 1683-2020. Promovido por doña Carmen Borrero Rodríguez en relación con la sentencia de la Sala de lo Contencioso-Administrativo de la Audiencia Nacional que desestimó su impugnación de la denegación por silencio de solicitud de concesión de uso, ocupación y aprovechamiento de un inmueble en el municipio de Cartaya (Huelva).</w:t>
      </w:r>
    </w:p>
    <w:p w:rsidR="005728DD" w:rsidRDefault="005728DD" w:rsidP="005728DD">
      <w:pPr>
        <w:pStyle w:val="SntesisDescriptiva"/>
      </w:pPr>
    </w:p>
    <w:p w:rsidR="005728DD" w:rsidRDefault="005728DD" w:rsidP="005728DD">
      <w:pPr>
        <w:pStyle w:val="SntesisAnaltica"/>
      </w:pPr>
      <w:r>
        <w:t>Vulneración del derecho a la tutela judicial efectiva (motivación): resolución judicial que desatiende el previo reconocimiento por sentencia de la titularidad dominical de un bien, que se retrotrae a un momento anterior a la entrada en vigor de la Ley de costas.</w:t>
      </w:r>
    </w:p>
    <w:p w:rsidR="005728DD" w:rsidRDefault="005728DD" w:rsidP="005728DD">
      <w:pPr>
        <w:pStyle w:val="SntesisAnaltica"/>
      </w:pPr>
    </w:p>
    <w:p w:rsidR="005728DD" w:rsidRDefault="005728DD" w:rsidP="005728DD">
      <w:pPr>
        <w:pStyle w:val="Extracto"/>
      </w:pPr>
      <w:r>
        <w:t>1.</w:t>
      </w:r>
      <w:r>
        <w:tab/>
        <w:t>Doctrina sobre el criterio de la mayor retroacción, que concede prioridad al examen de aquellas causas que, de prosperar, determinarían la retroacción a un momento procesal anterior, lo que haría innecesario un pronunciamiento sobre las restantes (SSTC 25/2012, 90/2010, 41/2020 o 102/2020) [FJ 3].</w:t>
      </w:r>
    </w:p>
    <w:p w:rsidR="005728DD" w:rsidRDefault="005728DD" w:rsidP="005728DD">
      <w:pPr>
        <w:pStyle w:val="Extracto"/>
      </w:pPr>
    </w:p>
    <w:p w:rsidR="005728DD" w:rsidRDefault="005728DD" w:rsidP="005728DD">
      <w:pPr>
        <w:pStyle w:val="Extracto"/>
      </w:pPr>
      <w:r>
        <w:t>2.</w:t>
      </w:r>
      <w:r>
        <w:tab/>
        <w:t>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y 116/2001) [FJ 3].</w:t>
      </w:r>
    </w:p>
    <w:p w:rsidR="005728DD" w:rsidRDefault="005728DD" w:rsidP="005728DD">
      <w:pPr>
        <w:pStyle w:val="Extracto"/>
      </w:pPr>
    </w:p>
    <w:p w:rsidR="005728DD" w:rsidRDefault="005728DD" w:rsidP="005728DD">
      <w:pPr>
        <w:pStyle w:val="Extracto"/>
      </w:pPr>
      <w:r>
        <w:t>3.</w:t>
      </w:r>
      <w:r>
        <w:tab/>
        <w:t>La motivación de las resoluciones judiciales, aparte de venir impuesta en el art. 120.3 CE es una exigencia derivada del art. 24.1 CE con el fin de que se puedan conocer las razones de la decisión que aquellas contienen, posibilitando su control mediante el sistema de los recursos (SSTC 163/2000 y 214/2000) [FJ 3].</w:t>
      </w:r>
    </w:p>
    <w:p w:rsidR="005728DD" w:rsidRDefault="005728DD" w:rsidP="005728DD">
      <w:pPr>
        <w:pStyle w:val="Extracto"/>
      </w:pPr>
    </w:p>
    <w:p w:rsidR="005728DD" w:rsidRDefault="005728DD" w:rsidP="005728DD">
      <w:pPr>
        <w:pStyle w:val="Extracto"/>
      </w:pPr>
      <w:r>
        <w:t>4.</w:t>
      </w:r>
      <w:r>
        <w:tab/>
        <w:t>El derecho a obtener una resolución fundada en Derecho, favorable o adversa, es garantía frente a la arbitrariedad e irrazonabilidad de los poderes públicos (SSTC 112/1996, 87/2000, 8/2021 o 12/2021) [FJ 3].</w:t>
      </w:r>
    </w:p>
    <w:p w:rsidR="005728DD" w:rsidRDefault="005728DD" w:rsidP="005728DD">
      <w:pPr>
        <w:pStyle w:val="Extracto"/>
      </w:pPr>
    </w:p>
    <w:p w:rsidR="005728DD" w:rsidRDefault="005728DD" w:rsidP="005728DD">
      <w:pPr>
        <w:pStyle w:val="Extracto"/>
      </w:pPr>
      <w:r>
        <w:t>5.</w:t>
      </w:r>
      <w:r>
        <w:tab/>
        <w:t>El art. 24.1 CE garantiza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(STC 142/2012) [FJ 3].</w:t>
      </w:r>
    </w:p>
    <w:p w:rsidR="005728DD" w:rsidRDefault="005728DD" w:rsidP="005728DD">
      <w:pPr>
        <w:pStyle w:val="Extracto"/>
      </w:pPr>
    </w:p>
    <w:p w:rsidR="005728DD" w:rsidRDefault="005728DD" w:rsidP="005728DD">
      <w:pPr>
        <w:pStyle w:val="Extracto"/>
      </w:pPr>
      <w:r>
        <w:t>6.</w:t>
      </w:r>
      <w:r>
        <w:tab/>
        <w:t>Una resolución judicial vulnera el derecho a la tutela judicial efectiva cuando el razonamiento que la funda incurre en tal grado de arbitrariedad, irrazonabilidad o error que, por su evidencia y contenido, sea manifiesto, grave y patente que la resolución carece de toda motivación o razonamiento [FJ 3].</w:t>
      </w:r>
    </w:p>
    <w:p w:rsidR="005728DD" w:rsidRDefault="005728DD" w:rsidP="005728DD">
      <w:pPr>
        <w:pStyle w:val="Extracto"/>
      </w:pPr>
    </w:p>
    <w:p w:rsidR="005728DD" w:rsidRDefault="005728DD" w:rsidP="005728DD">
      <w:pPr>
        <w:pStyle w:val="Extracto"/>
      </w:pPr>
      <w:r>
        <w:lastRenderedPageBreak/>
        <w:t>7.</w:t>
      </w:r>
      <w:r>
        <w:tab/>
        <w:t>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133/2013 o 46/2020)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1683-2020, promovido por doña Carmen Borrero Rodríguez contra la sentencia de 18 de octubre de 2018, dictada por la Sección Primera de la Sala de lo Contencioso-Administrativo de la Audiencia Nacional, recaída en el procedimiento ordinario núm. 76-2017, que había desestimado el recurso interpuesto por aquella contra la denegación presunta por silencio administrativo de la solicitud de concesión de uso, ocupación y aprovechamiento de un inmueble sito en la localidad de El Portil, término municipal de Cartaya (Huelva), al amparo de lo establecido en la disposición transitoria primera de la Ley 22/1988, de 28 de julio, de costas, que, en fecha 22 de noviembre de 2013, había presentado ante el Ministerio de Medio Ambiente; y, también, contra la providencia de 24 de enero de 2020 de la misma Sección y Sala que inadmitió a trámite el incidente extraordinario de nulidad de actuaciones interpuesto contra la anterior resolución. Ha sido parte el abogado del Estado.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Mediante escrito que tuvo entrada en el registro de este tribunal el día 13 de marzo de 2020, el procurador de los tribunales don Marcos Juan Calleja García, en nombre y representación de doña Carmen Borrero Rodríguez, defendida por el letrado don Juan Antonio Carrillo Donaire, interpuso recurso de amparo contra la sentencia de 18 de octubre de 2018, dictada por la Sección Primera de la Sala de lo Contencioso-Administrativo de la Audiencia Nacional, recaída en el procedimiento ordinario núm. 76-2017, que había desestimado el recurso interpuesto por aquella contra la denegación presunta por silencio administrativo de la solicitud de concesión de uso, ocupación y aprovechamiento de un inmueble sito en la localidad de El Portil, término municipal de Cartaya (Huelva), al amparo de lo establecido </w:t>
      </w:r>
      <w:r>
        <w:lastRenderedPageBreak/>
        <w:t>en la disposición transitoria primera de la Ley 22/1988, de 28 de julio, de costas, que, en fecha 22 de noviembre de 2013, había presentado ante el Ministerio de Medio Ambiente; y, también, contra la providencia de 24 de enero de 2020 de la misma Sección y Sala que inadmitió a trámite el incidente extraordinario de nulidad de actuaciones interpuesto contra la anterior resolución.</w:t>
      </w:r>
    </w:p>
    <w:p w:rsidR="005728DD" w:rsidRDefault="005728DD" w:rsidP="005728DD">
      <w:pPr>
        <w:pStyle w:val="TextoNormal"/>
      </w:pPr>
    </w:p>
    <w:p w:rsidR="005728DD" w:rsidRDefault="005728DD" w:rsidP="005728DD">
      <w:pPr>
        <w:pStyle w:val="TextoNormal"/>
      </w:pPr>
      <w:r w:rsidRPr="005728DD">
        <w:rPr>
          <w:rStyle w:val="NumeroAFNegritaCaracter"/>
        </w:rPr>
        <w:t>2</w:t>
      </w:r>
      <w:r>
        <w:t>. La demanda trae causa de los siguientes hechos:</w:t>
      </w:r>
    </w:p>
    <w:p w:rsidR="005728DD" w:rsidRDefault="005728DD" w:rsidP="005728DD">
      <w:pPr>
        <w:pStyle w:val="TextoNormal"/>
      </w:pPr>
    </w:p>
    <w:p w:rsidR="005728DD" w:rsidRDefault="005728DD" w:rsidP="005728DD">
      <w:pPr>
        <w:pStyle w:val="TextoNormal"/>
      </w:pPr>
      <w:r>
        <w:t>a) La demandante, que había adquirido en 1978, mediante escritura pública e inscripción en el correspondiente registro de la propiedad, el dominio de una finca sita en la localidad de El Portil, término municipal de Cartaya (Huelva), sobre la que había construido una vivienda unifamiliar, pretendió acreditar que dicha titularidad era anterior a la Orden de 14 de septiembre de 1989, fecha en la que fue practicado el deslinde para determinar la zona marítimo-terrestre, en aplicación de lo establecido en el apartado 3 de la disposición transitoria primera de la Ley 22/1988, de 28 de julio, de costas (en adelante, Ley 22/1988), para, de ese modo, acogerse a la posibilidad de obtener una concesión administrativa de ocupación y aprovechamiento del dominio público marítimo-terrestre en la forma prevista por aquella disposición transitoria primera de la Ley. Sin embargo, la solicitud le fue denegada por la Orden de 17 de septiembre de 1996 del entonces Ministerio de Medio Ambiente. La denegación obedeció a la consideración de que las obras eran ilegales al no haberse presentado la solicitud de legalización, de conformidad con lo que establecía en aquel momento el Real Decreto 1088/1980, de 23 de mayo, aprobatorio del reglamento para la ejecución de la Ley 28/1969, de 26 de abril, de costas, no siendo tampoco aplicable la disposición transitoria cuarta de la Ley 22/1988, en vigor, por entenderse que no era de interés público. Acudió, entonces, a la vía contencioso-administrativa, que finalizó con sendas sentencias desestimatorias de su recurso, dictadas, en fecha 15 de octubre de 1999 por la Audiencia Nacional y, en trámite de casación por el Tribunal Supremo el día 3 de diciembre de 2003. El argumento determinante de aquella desestimación fue que el terreno objeto de controversia pertenecía ya al dominio marítimo-terrestre incluso antes de que entrara en vigor la Ley 22/1988, teniendo tal consideración de conformidad con las prescripciones que establecía ya la Ley de costas de 1969. La sentencia del Tribunal Supremo agregó que “[e]l efecto que de ello se deriva es que las autorizaciones para construir de que dispone el recurrente [se refiere a la licencia de obras que, en su momento, le concedió el Ayuntamiento de Cartaya] son autorizaciones que no dan cobertura a las edificaciones en dominio público que es, precisamente, donde nos encontramos, pues las autorizaciones edificatorias obtenidas son las generales sobre los terrenos privados, y no las especiales que se exigen cuando la edificación tiene lugar sobre terrenos de dominio público, como es el caso” (FJ 3).</w:t>
      </w:r>
    </w:p>
    <w:p w:rsidR="005728DD" w:rsidRDefault="005728DD" w:rsidP="005728DD">
      <w:pPr>
        <w:pStyle w:val="TextoNormal"/>
      </w:pPr>
    </w:p>
    <w:p w:rsidR="005728DD" w:rsidRDefault="005728DD" w:rsidP="005728DD">
      <w:pPr>
        <w:pStyle w:val="TextoNormal"/>
      </w:pPr>
      <w:r>
        <w:t xml:space="preserve">b) Rechazada aquella pretensión, la actora presentó, en este caso ante la jurisdicción civil, una demanda para obtener el reconocimiento de su titularidad dominical sobre aquel inmueble en fecha anterior a la de 1989 y, si bien la inicial sentencia de 6 de marzo de 2013 del Juzgado de Primera Instancia núm. 6 de Huelva desestimó su pretensión, la posterior resolución de 4 de septiembre de 2013, de la Sección Segunda de la Audiencia Provincial de aquella capital, recaída en trámite de apelación, estimó definitivamente y en firme la demanda declarando que doña Carmen Borrero Rodríguez “fue propietaria, por justo título inscrito y con la condición de tercero hipotecario” del art. 34 de la Ley hipotecaria, de una finca registral inscrita en la localidad de El Portil, término municipal de Cartaya, con anterioridad al deslinde aprobado por Orden Ministerial de 14 de septiembre de 1989 y que </w:t>
      </w:r>
      <w:r>
        <w:lastRenderedPageBreak/>
        <w:t>reunía “los requisitos sustantivos para solicitar la concesión a que se refiere la disposición transitoria primera” de la Ley 22/1988.</w:t>
      </w:r>
    </w:p>
    <w:p w:rsidR="005728DD" w:rsidRDefault="005728DD" w:rsidP="005728DD">
      <w:pPr>
        <w:pStyle w:val="TextoNormal"/>
      </w:pPr>
    </w:p>
    <w:p w:rsidR="005728DD" w:rsidRDefault="005728DD" w:rsidP="005728DD">
      <w:pPr>
        <w:pStyle w:val="TextoNormal"/>
      </w:pPr>
      <w:r>
        <w:t>c) Paralelamente a la anterior iniciativa procesal de la actora, la Dirección General de Costas, en fecha 4 de noviembre de 2011, dictó una resolución en trámite de alzada, que desestimaba el recurso administrativo formalizado por doña Carmen Borrero Rodríguez contra otra anterior de 28 de julio de 2009 del Servicio Provincial de Costas en Huelva, que había acordado la recuperación posesoria del dominio público marítimo-terrestre ocupado, en base a la decisión judicial firme dictada por el Tribunal Supremo en su sentencia de 3 de diciembre de 2003 [antecedente 2 a)].</w:t>
      </w:r>
    </w:p>
    <w:p w:rsidR="005728DD" w:rsidRDefault="005728DD" w:rsidP="005728DD">
      <w:pPr>
        <w:pStyle w:val="TextoNormal"/>
      </w:pPr>
    </w:p>
    <w:p w:rsidR="005728DD" w:rsidRDefault="005728DD" w:rsidP="005728DD">
      <w:pPr>
        <w:pStyle w:val="TextoNormal"/>
      </w:pPr>
      <w:r>
        <w:t>La ahora demandante interpuso recurso contencioso-administrativo contra aquella resolución pero fue desestimado por sentencias, de 24 de septiembre de 2015 de la Sección Tercera de la Sala de lo Contencioso-Administrativo del Tribunal Superior de Justicia de Andalucía (sede de Sevilla) y, en vía de casación, por la sentencia de 24 de noviembre de 2016 de la Sala correspondiente del Tribunal Supremo. La primera de estas resoluciones señaló que las administraciones públicas tienen potestad “para recuperar por sí mismas la tenencia de sus bienes de dominio público”, de tal manera que, dado que la parcela y la edificación construida sobre la misma por la recurrente se asentaba dentro del dominio público marítimo-terrestre y le había sido denegada a esta la concesión para la ocupación de aquel dominio público por la resolución de 17 de septiembre de 1996, confirmada después por la sentencia del Tribunal Supremo de 3 de septiembre de 2003, procedía acceder a la pretensión sostenida por la administración de recuperar dicho dominio, demoler la construcción realizada, retirar los materiales y acordar la reposición del terreno a su estado primitivo, con apercibimiento de desahucio y de ejecución subsidiaria.</w:t>
      </w:r>
    </w:p>
    <w:p w:rsidR="005728DD" w:rsidRDefault="005728DD" w:rsidP="005728DD">
      <w:pPr>
        <w:pStyle w:val="TextoNormal"/>
      </w:pPr>
    </w:p>
    <w:p w:rsidR="005728DD" w:rsidRDefault="005728DD" w:rsidP="005728DD">
      <w:pPr>
        <w:pStyle w:val="TextoNormal"/>
      </w:pPr>
      <w:r>
        <w:t>Por su parte, la sentencia del Tribunal Supremo, en lo que ahora es de interés, confirmó la sentencia de instancia, en cuanto que se apoyó en una resolución judicial firme que había declarado que se trataba de un terreno perteneciente al demanio público. Señaló, de modo textual, que “[t]anto la cuestión relativa al tratamiento desigual del resto de parcelas del litoral como la referida a la demolición y retirada de materiales han quedado implícitamente resueltas con la razón expresada por la Sala de instancia para desestimar la acción ejercitada, cual es que tales cuestiones quedaron decididas en sentencia firme y, por consiguiente, lo acaecido a otras parcelas es irrelevante y la recuperación posesoria resulta incontestable, sin prejuzgar lo que pueda decidirse en definitiva respecto de la concesión que de nuevo ha interesado la recurrente a la vista de la sentencia recaída en la jurisdicción civil, que se ha aportado como prueba documental en este recurso de casación”.</w:t>
      </w:r>
    </w:p>
    <w:p w:rsidR="005728DD" w:rsidRDefault="005728DD" w:rsidP="005728DD">
      <w:pPr>
        <w:pStyle w:val="TextoNormal"/>
      </w:pPr>
    </w:p>
    <w:p w:rsidR="005728DD" w:rsidRDefault="005728DD" w:rsidP="005728DD">
      <w:pPr>
        <w:pStyle w:val="TextoNormal"/>
      </w:pPr>
      <w:r>
        <w:t xml:space="preserve">d) Finalmente, con apoyo en el pronunciamiento firme de la jurisdicción civil que le permitía acreditar su titularidad dominical sobre el inmueble objeto de cuestionamiento en fecha anterior al año 1989, la actora presentó, el día 22 de noviembre de 2013, una nueva solicitud ante la Dirección General de Sostenibilidad de la Costa y del Mar (Ministerio de Medio Ambiente, Medio Rural y Marino), en demanda de que le fuera otorgada la concesión para la utilización, ocupación y aprovechamiento del terreno cuestionado, que figuraba incluido en el dominio público marítimo-terrestre, con fundamento en lo establecido en la disposición transitoria primera de la Ley 22/1988. La administración no dictó resolución expresa y, contra el pronunciamiento desestimatorio operado por silencio administrativo, doña Carmen Borrero interpuso recurso contencioso-administrativo ante la Sección Primera </w:t>
      </w:r>
      <w:r>
        <w:lastRenderedPageBreak/>
        <w:t>de la Sala correspondiente de la Audiencia Nacional, instando en el suplico de su demanda, además de la revocación de la resolución presunta, las siguientes peticiones: (i) que declarara su derecho a la concesión de uso, ocupación y aprovechamiento del terreno “en el plazo previsto en el artículo 2 de la Ley 2/2013 y con derecho a las prórrogas legalmente previstas”; (ii) que declarara “el derecho a que la concesión le [fuera] otorgada con plazo de inicio desde la fecha de su otorgamiento; y (iii) que [condenara] a la administración demandada a estar y pasar por dichas declaraciones y a otorgar el título concesional correspondiente”. Igualmente, reclamaba la condena en costas de la administración demandada.</w:t>
      </w:r>
    </w:p>
    <w:p w:rsidR="005728DD" w:rsidRDefault="005728DD" w:rsidP="005728DD">
      <w:pPr>
        <w:pStyle w:val="TextoNormal"/>
      </w:pPr>
    </w:p>
    <w:p w:rsidR="005728DD" w:rsidRDefault="005728DD" w:rsidP="005728DD">
      <w:pPr>
        <w:pStyle w:val="TextoNormal"/>
      </w:pPr>
      <w:r>
        <w:t>A la citada pretensión principal, añadía la recurrente una alegada vulneración del art. 14 CE porque, con apoyo en un documento expedido por el director del Servicio Provincial de Costas de Huelva, que daba cuenta de las viviendas construidas en la zona marítimo-terrestre de la localidad de El Portil, en virtud de licencias de obras concedidas por el Ayuntamiento de Cartaya en fechas anteriores a la vigencia de la Ley 22/1988, aquellas, o bien habían obtenido la correspondiente concesión, o bien se hallaban en trámite de resolución, a diferencia de la solicitud de concesión administrativa presentada por la actora, que no le había sido otorgada, siendo la única excepción respecto de las demás.</w:t>
      </w:r>
    </w:p>
    <w:p w:rsidR="005728DD" w:rsidRDefault="005728DD" w:rsidP="005728DD">
      <w:pPr>
        <w:pStyle w:val="TextoNormal"/>
      </w:pPr>
    </w:p>
    <w:p w:rsidR="005728DD" w:rsidRDefault="005728DD" w:rsidP="005728DD">
      <w:pPr>
        <w:pStyle w:val="TextoNormal"/>
      </w:pPr>
      <w:r>
        <w:t>La Sala, en el seno del procedimiento ordinario núm. 76-2017, dictó sentencia de 18 de octubre de 2018 por la que desestimó el recurso interpuesto.</w:t>
      </w:r>
    </w:p>
    <w:p w:rsidR="005728DD" w:rsidRDefault="005728DD" w:rsidP="005728DD">
      <w:pPr>
        <w:pStyle w:val="TextoNormal"/>
      </w:pPr>
    </w:p>
    <w:p w:rsidR="005728DD" w:rsidRDefault="005728DD" w:rsidP="005728DD">
      <w:pPr>
        <w:pStyle w:val="TextoNormal"/>
      </w:pPr>
      <w:r>
        <w:t xml:space="preserve">En su resolución, el tribunal señala que, si bien es cierto que, con posterioridad a los pronunciamientos de la jurisdicción contencioso-administrativa (en referencia a las anteriores sentencias, de la Audiencia Nacional de 15 de octubre de 1999 y del Tribunal Supremo de 3 de septiembre de 2003), la Audiencia Provincial de Huelva dictó sentencia en fecha 4 de septiembre de 2013 “en la que, de manera contradictoria con las anteriores, se concluye que la demandante </w:t>
      </w:r>
      <w:r w:rsidRPr="005728DD">
        <w:rPr>
          <w:i/>
        </w:rPr>
        <w:t>reúne los requisitos sustantivos para solicitar la concesión a que se refiere la disposición transitoria primera de la Ley de costas 22/1988, de 28 de julio</w:t>
      </w:r>
      <w:r>
        <w:t>” (en cursiva, en el texto de la sentencia) destaca, a continuación, que “la parte actora omite en la demanda un antecedente fáctico, de gran trascendencia a efectos de resolución de la presente litis, cual es la sustanciación de otro procedimiento de recuperación posesoria, primero en vía administrativa previa y frente al que se recurrió ante esta jurisdicción contencioso-administrativa, en el que se dicta la sentencia del Tribunal Supremo de 24 de noviembre de 2016 […] de fecha posterior a la sentencia civil, y con pleno conocimiento de dicho pronunciamiento de la jurisdicción civil, según expresamente consta en tal sentencia, que asimismo remite a la anterior STS de 3 de septiembre de 2003, desestimatoria de la pretensión actora y en la que se da respuesta, de manera diáfana, a las cuestiones suscitadas (nuevamente) en el presente litigio” (FJ 3).</w:t>
      </w:r>
    </w:p>
    <w:p w:rsidR="005728DD" w:rsidRDefault="005728DD" w:rsidP="005728DD">
      <w:pPr>
        <w:pStyle w:val="TextoNormal"/>
      </w:pPr>
    </w:p>
    <w:p w:rsidR="005728DD" w:rsidRDefault="005728DD" w:rsidP="005728DD">
      <w:pPr>
        <w:pStyle w:val="TextoNormal"/>
      </w:pPr>
      <w:r>
        <w:t xml:space="preserve">Para desestimar aquella pretensión principal de la recurrente, consistente en que la Sala declarara su derecho a la concesión del uso, ocupación y aprovechamiento del terreno objeto de la litis planteada, la sentencia se apoya en lo razonado en el fundamento jurídico segundo de la sentencia del Tribunal Supremo de 24 de noviembre de 2016, que, de modo resumido, había expresado lo siguiente: (i) que, conforme a lo resuelto por sentencia firme (en referencia a las sentencias de las Salas de lo Contencioso-Administrativo de la Audiencia Nacional de 15 de octubre de 1999 y del Tribunal Supremo de 3 de septiembre de 2003), el terreno objeto de la controversia tenía naturaleza demanial desde el año 1969, de tal manera que las autorizaciones para construir (licencia municipal) que tenía la recurrente, no daban </w:t>
      </w:r>
      <w:r>
        <w:lastRenderedPageBreak/>
        <w:t>cobertura a las edificaciones que construyó sobre aquel terreno; (ii) que, al no haberse ocupado legítimamente el terreno de dominio público, “no cabe aplicar la doctrina constitucional recogida en las sentencias que se citan del Tribunal Constitucional, ya que, con anterioridad al último deslinde y a la entrada en vigor de la vigente Ley de costas, ese terreno era dominio público marítimo-terrestre”, no siendo, por tanto, de aplicación lo establecido en la disposición transitoria primera de la Ley 22/1988, “sino la disposición transitoria cuarta de esta Ley”; y (iii) que todo ello “repetimos, con independencia de lo que se pueda resolver respecto de la concesión que ha solicitado la recurrente a la vista de la decisión firme de la jurisdicción civil”.</w:t>
      </w:r>
    </w:p>
    <w:p w:rsidR="005728DD" w:rsidRDefault="005728DD" w:rsidP="005728DD">
      <w:pPr>
        <w:pStyle w:val="TextoNormal"/>
      </w:pPr>
    </w:p>
    <w:p w:rsidR="005728DD" w:rsidRDefault="005728DD" w:rsidP="005728DD">
      <w:pPr>
        <w:pStyle w:val="TextoNormal"/>
      </w:pPr>
      <w:r>
        <w:t>La sentencia desestima, también, la segunda pretensión de la recurrente, fundamentada en la alegada vulneración del principio de igualdad en la aplicación de la ley (art. 14 CE). Para ello reproduce, asimismo, el fundamento de Derecho tercero de la sentencia del Tribunal Supremo de 24 de noviembre de 2016, que, además de haber puesto de manifiesto que la parte no había ofrecido “un término de comparación adecuado, de identidad absoluta en términos fácticos”, señala que “no estamos ante un supuesto contemplado en la disposición transitoria primera de la Ley de costas 22/1988, sino ante el previsto, como ya hemos señalado, en la disposición transitoria cuarta de la misma Ley”.</w:t>
      </w:r>
    </w:p>
    <w:p w:rsidR="005728DD" w:rsidRDefault="005728DD" w:rsidP="005728DD">
      <w:pPr>
        <w:pStyle w:val="TextoNormal"/>
      </w:pPr>
    </w:p>
    <w:p w:rsidR="005728DD" w:rsidRDefault="005728DD" w:rsidP="005728DD">
      <w:pPr>
        <w:pStyle w:val="TextoNormal"/>
      </w:pPr>
      <w:r>
        <w:t>e) Contra esta resolución, la actora preparó recurso de casación que fue inadmitido por providencia de 6 de junio de 2019, de la Sección Primera de la Sala correspondiente del Tribunal Supremo, al no apreciar interés casacional objetivo.</w:t>
      </w:r>
    </w:p>
    <w:p w:rsidR="005728DD" w:rsidRDefault="005728DD" w:rsidP="005728DD">
      <w:pPr>
        <w:pStyle w:val="TextoNormal"/>
      </w:pPr>
    </w:p>
    <w:p w:rsidR="005728DD" w:rsidRDefault="005728DD" w:rsidP="005728DD">
      <w:pPr>
        <w:pStyle w:val="TextoNormal"/>
      </w:pPr>
      <w:r>
        <w:t>f) Finalmente, la actora promovió incidente extraordinario de nulidad de actuaciones contra la sentencia dictada, que fue inadmitido por providencia de 24 de enero de 2020 de la misma Sección y Sala de la Audiencia Nacional que había dictado sentencia. La resolución destaca que “[l]o que en definitiva se pretende con el presente incidente de nulidad de actuaciones es plantear de nuevo lo suscitado a lo largo del procedimiento”. Esta resolución fue notificada a la parte el día 3 de febrero de 2020.</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comienza haciendo una detallada descripción de los antecedentes y de los sucesivos procedimientos administrativos y judiciales en que ha intervenido la recurrente en defensa de sus derechos e intereses legítimos. Ahora recogemos el que incluye en el antecedente noveno de su escrito, que encabeza con la rúbrica “adenda aclaratoria a los antecedentes expuestos. Desistimiento del recurso da Amparo núm. 5880-2019”.</w:t>
      </w:r>
    </w:p>
    <w:p w:rsidR="005728DD" w:rsidRDefault="005728DD" w:rsidP="005728DD">
      <w:pPr>
        <w:pStyle w:val="TextoNormal"/>
      </w:pPr>
    </w:p>
    <w:p w:rsidR="005728DD" w:rsidRDefault="005728DD" w:rsidP="005728DD">
      <w:pPr>
        <w:pStyle w:val="TextoNormal"/>
      </w:pPr>
      <w:r>
        <w:t>Hacemos esta mención al mismo porque, ulteriormente, el abogado del Estado hará referencia a aquel en su escrito de alegaciones, en los términos que luego se expondrán.</w:t>
      </w:r>
    </w:p>
    <w:p w:rsidR="005728DD" w:rsidRDefault="005728DD" w:rsidP="005728DD">
      <w:pPr>
        <w:pStyle w:val="TextoNormal"/>
      </w:pPr>
    </w:p>
    <w:p w:rsidR="005728DD" w:rsidRDefault="005728DD" w:rsidP="005728DD">
      <w:pPr>
        <w:pStyle w:val="TextoNormal"/>
      </w:pPr>
      <w:r>
        <w:t xml:space="preserve">Pues bien, en la citada adenda la demanda pone de manifiesto que esta misma parte había interpuesto, en fecha 15 de octubre de 2019, un recurso de amparo, registrado con el núm. 5880-2019, por el que impugnaba la providencia de 4 de septiembre de 2019 de la Sala de lo Contencioso-Administrativo del Tribunal Supremo, que había inadmitido “indebidamente el incidente de nulidad de actuaciones interpuesto por mi representada en 27 de junio de 2019, al haberse registrado aquel, por error, ante el Tribunal Supremo, estando materialmente dirigido a la Audiencia Nacional”. La parte se refería, con ello, a que el incidente de nulidad no iba dirigido contra la providencia de 6 de junio anterior de la misma Sala, que había inadmitido a trámite el recurso de casación preparado por la parte contra la sentencia </w:t>
      </w:r>
      <w:r>
        <w:lastRenderedPageBreak/>
        <w:t>de 18 de octubre de 2018 de la Audiencia Nacional, sino que el objeto de aquel incidente de nulidad era la propia sentencia de esta última Sala.</w:t>
      </w:r>
    </w:p>
    <w:p w:rsidR="005728DD" w:rsidRDefault="005728DD" w:rsidP="005728DD">
      <w:pPr>
        <w:pStyle w:val="TextoNormal"/>
      </w:pPr>
    </w:p>
    <w:p w:rsidR="005728DD" w:rsidRDefault="005728DD" w:rsidP="005728DD">
      <w:pPr>
        <w:pStyle w:val="TextoNormal"/>
      </w:pPr>
      <w:r>
        <w:t>Agrega la demandante que, restablecido aquel error en el sentido de que la Audiencia Nacional dictó luego una providencia de 24 de enero de 2020 inadmitiendo a trámite aquel incidente de nulidad de actuaciones, el 26 de febrero siguiente presentó un escrito de desistimiento del recurso de amparo, que fue aceptado por este tribunal mediante providencia de la Sala Primera, Sección Segunda de 15 de junio de 2020.</w:t>
      </w:r>
    </w:p>
    <w:p w:rsidR="005728DD" w:rsidRDefault="005728DD" w:rsidP="005728DD">
      <w:pPr>
        <w:pStyle w:val="TextoNormal"/>
      </w:pPr>
    </w:p>
    <w:p w:rsidR="005728DD" w:rsidRDefault="005728DD" w:rsidP="005728DD">
      <w:pPr>
        <w:pStyle w:val="TextoNormal"/>
      </w:pPr>
      <w:r>
        <w:t>A partir de aquellos antecedentes, la recurrente denuncia la vulneración de sus derechos fundamentales a la tutela judicial efectiva y a la igualdad ante la ley (arts. 24.1 y 14 CE, respectivamente), que imputa directamente a las resoluciones judiciales impugnadas, utilizando el cauce del art. 44 de la Ley Orgánica del Tribunal Constitucional (LOTC).</w:t>
      </w:r>
    </w:p>
    <w:p w:rsidR="005728DD" w:rsidRDefault="005728DD" w:rsidP="005728DD">
      <w:pPr>
        <w:pStyle w:val="TextoNormal"/>
      </w:pPr>
    </w:p>
    <w:p w:rsidR="005728DD" w:rsidRDefault="005728DD" w:rsidP="005728DD">
      <w:pPr>
        <w:pStyle w:val="TextoNormal"/>
      </w:pPr>
      <w:r>
        <w:t>a) Identifica la queja relativa a su derecho a la tutela judicial efectiva en la vertiente del derecho a obtener una resolución judicial motivada, de fondo y congruente con la pretensión ejercitada y, de modo más concreto, en la vulneración del art. 24.1 CE “por incongruencia omisiva”, que, a su parecer, “está estrechamente relacionada con la violación que también se ha producido del principio de igualdad ante la ley” del art. 14 CE.</w:t>
      </w:r>
    </w:p>
    <w:p w:rsidR="005728DD" w:rsidRDefault="005728DD" w:rsidP="005728DD">
      <w:pPr>
        <w:pStyle w:val="TextoNormal"/>
      </w:pPr>
    </w:p>
    <w:p w:rsidR="005728DD" w:rsidRDefault="005728DD" w:rsidP="005728DD">
      <w:pPr>
        <w:pStyle w:val="TextoNormal"/>
      </w:pPr>
      <w:r>
        <w:t xml:space="preserve">A partir de una pormenorizada exposición de la doctrina de este tribunal sobre la incongruencia omisiva, con cita, entre otras, de las SSTC 4/2006, de 16 de enero, y 269/2006, de 11 de septiembre, señala que la sentencia de 18 de octubre de 2018 de la Audiencia Nacional impugnada, “en su fundamento jurídico tercero, aparenta pronunciarse sobre la </w:t>
      </w:r>
      <w:r w:rsidRPr="005728DD">
        <w:rPr>
          <w:i/>
        </w:rPr>
        <w:t>causa petendi</w:t>
      </w:r>
      <w:r>
        <w:t xml:space="preserve"> de las pretensiones de la recurrente, cuando, para contradecir la declaración de titularidad privada de la finca realizada por la Audiencia Provincial de Huelva, alega la existencia de otros procedimientos en los que tal cuestión, supuestamente, ya se había valorado, y que habían dado lugar a las sentencias del Tribunal Supremo (Sala de lo Contencioso-Administrativo, Sección Quinta), de 24 de noviembre de 2016 y 3 de diciembre de 2003, declarando el carácter público demanial de dicho inmueble”.</w:t>
      </w:r>
    </w:p>
    <w:p w:rsidR="005728DD" w:rsidRDefault="005728DD" w:rsidP="005728DD">
      <w:pPr>
        <w:pStyle w:val="TextoNormal"/>
      </w:pPr>
    </w:p>
    <w:p w:rsidR="005728DD" w:rsidRDefault="005728DD" w:rsidP="005728DD">
      <w:pPr>
        <w:pStyle w:val="TextoNormal"/>
      </w:pPr>
      <w:r>
        <w:t xml:space="preserve">Sin embargo, a juicio de la recurrente, tales sentencias del Tribunal Supremo no dieron, en su momento, respuesta a las concretas cuestiones ahora deducidas por la actora ante la Audiencia Nacional, por lo que no pueden entenderse ajustadas a la pretensión de la actora ejercitada. Destaca la demandante que la </w:t>
      </w:r>
      <w:r w:rsidRPr="005728DD">
        <w:rPr>
          <w:i/>
        </w:rPr>
        <w:t>causa petendi</w:t>
      </w:r>
      <w:r>
        <w:t xml:space="preserve"> que tenía que valorarse en el procedimiento de autos —segunda solicitud de concesión de uso y aprovechamiento sobre la finca— “estaba basada en la existencia de la declaración de titularidad privada de la finca por sentencia judicial firme de la Audiencia Provincial de Huelva para la aplicación de la disposición transitoria primera de la Ley de costas” y la Audiencia Nacional lo que hace es utilizar, como fundamentos de su desestimación, dos sentencias del Tribunal Supremo, una dictada antes de que recayera aquel pronunciamiento de la jurisdicción civil (sentencia de 3 de septiembre de 2003), y la otra que “no lo requirió por el distinto objeto del procedimiento —recuperación posesoria de la finca—, en alusión a la sentencia de 24 de noviembre de 2016”; a su parecer, la sentencia de la Audiencia Nacional no valoró “dicho hecho diferencial”. Por tanto, según criterio de la demandante, la remisión a las anteriores sentencias del Tribunal Supremo “arrastra la inexistente valoración de la concreta pretensión formulada por la recurrente ante la Audiencia Nacional” en el proceso judicial ahora emprendido, “lo que demuestra” que dicha cuestión “ha quedado imprejuzgada”.</w:t>
      </w:r>
    </w:p>
    <w:p w:rsidR="005728DD" w:rsidRDefault="005728DD" w:rsidP="005728DD">
      <w:pPr>
        <w:pStyle w:val="TextoNormal"/>
      </w:pPr>
    </w:p>
    <w:p w:rsidR="005728DD" w:rsidRDefault="005728DD" w:rsidP="005728DD">
      <w:pPr>
        <w:pStyle w:val="TextoNormal"/>
      </w:pPr>
      <w:r>
        <w:t>Según la demandante, la sentencia de la Audiencia Nacional ha vulnerado su derecho a la tutela judicial efectiva “en su vertiente del derecho a obtener una resolución de fondo congruente con la causa de pedir, con prohibición de indefensión derivada de una incongruencia omisiva de la sentencia, a pesar de la mera apariencia de razonabilidad a la motivación que envuelve dicha decisión”. Esconde “un ejercicio de puro formalismo desconectado de la verdadera motivación y del trasfondo de decisiones previamente tomadas en base a supuestos y razones bien diferentes”.</w:t>
      </w:r>
    </w:p>
    <w:p w:rsidR="005728DD" w:rsidRDefault="005728DD" w:rsidP="005728DD">
      <w:pPr>
        <w:pStyle w:val="TextoNormal"/>
      </w:pPr>
    </w:p>
    <w:p w:rsidR="005728DD" w:rsidRDefault="005728DD" w:rsidP="005728DD">
      <w:pPr>
        <w:pStyle w:val="TextoNormal"/>
      </w:pPr>
      <w:r>
        <w:t xml:space="preserve">Por otro lado, destaca que la STC 149/1991, de 4 de julio, FJ 8 B) a), declaró que “el reconocimiento de la concesión de uso y aprovechamiento a la que hace referencia la disposición transitoria primera de la Ley de costas no es dispositivo ni está sometido a la observancia de una especial diligencia temporal por el administrado, pues se trata de la compensación por la privación, a modo expropiatorio, producida por la privación de una titularidad dominical por la vía del deslinde del dominio público marítimo-terrestre”. Por tanto, añade la demanda, “existiendo en este caso una sentencia judicial firme de la jurisdicción civil, única competente para conocer de las cuestiones de colisión entre propiedad privada y pública como la propia sentencia de la Audiencia Provincial de Huelva señala, que reconocía la titularidad dominical privada de la finca con anterioridad al deslinde practicado en 1989” y cumpliéndose el presupuesto de hecho previsto en la disposición transitoria primera de la Ley 22/1988, entiende la actora que “la Audiencia Nacional carecía de discrecionalidad para ignorar dicha declaración de propiedad privada, </w:t>
      </w:r>
      <w:r w:rsidRPr="005728DD">
        <w:rPr>
          <w:i/>
        </w:rPr>
        <w:t>causa petendi</w:t>
      </w:r>
      <w:r>
        <w:t xml:space="preserve"> de la pretensión de la recurrente”.</w:t>
      </w:r>
    </w:p>
    <w:p w:rsidR="005728DD" w:rsidRDefault="005728DD" w:rsidP="005728DD">
      <w:pPr>
        <w:pStyle w:val="TextoNormal"/>
      </w:pPr>
    </w:p>
    <w:p w:rsidR="005728DD" w:rsidRDefault="005728DD" w:rsidP="005728DD">
      <w:pPr>
        <w:pStyle w:val="TextoNormal"/>
      </w:pPr>
      <w:r>
        <w:t>b) A continuación, alega que, en estrecha relación con la anterior vulneración del art. 24.1 CE, ha concurrido también la infracción del principio de igualdad ante la ley, pues entiende que queda demostrada esta “por el hecho, plenamente acreditado, de que la señora Borrero es la única ocupante de una vivienda en la localidad de El Portil, en el término municipal de Cartaya, afectada por el deslinde de dominio público marítimo-terrestre aprobado por Orden Ministerial de 14 de septiembre de 1989 que no ha obtenido la concesión de ocupación y uso”. Señala, al respecto, que así quedó acreditado “mediante informe del Jefe del Servicio Provincial de Costas” de Huelva, “que fue aportado en la instancia”.</w:t>
      </w:r>
    </w:p>
    <w:p w:rsidR="005728DD" w:rsidRDefault="005728DD" w:rsidP="005728DD">
      <w:pPr>
        <w:pStyle w:val="TextoNormal"/>
      </w:pPr>
    </w:p>
    <w:p w:rsidR="005728DD" w:rsidRDefault="005728DD" w:rsidP="005728DD">
      <w:pPr>
        <w:pStyle w:val="TextoNormal"/>
      </w:pPr>
      <w:r>
        <w:t>Denuncia la parte que “existiendo idénticas circunstancias fácticas y jurídicas (idéntico deslinde, idénticos títulos de propiedad inscritos y edificaciones construidas conforme a las licencias municipales otorgadas en su día antes del deslinde), habiéndose otorgado ya la concesión a todas las viviendas del término municipal de Cartaya (el mismo que el de la señora Borrero), sin que exista ni un solo supuesto de denegación de la concesión más que el de la señora Borrero”, concurre, a su juicio, la vulneración del principio de igualdad ante la ley del art. 14 CE. Cita, en apoyo de su pretensión, la STC 11/2012, de 26 de febrero.</w:t>
      </w:r>
    </w:p>
    <w:p w:rsidR="005728DD" w:rsidRDefault="005728DD" w:rsidP="005728DD">
      <w:pPr>
        <w:pStyle w:val="TextoNormal"/>
      </w:pPr>
    </w:p>
    <w:p w:rsidR="005728DD" w:rsidRDefault="005728DD" w:rsidP="005728DD">
      <w:pPr>
        <w:pStyle w:val="TextoNormal"/>
      </w:pPr>
      <w:r>
        <w:t xml:space="preserve">c) La demanda justifica la especial transcendencia constitucional del recurso en que la doctrina de este tribunal sobre el derecho a una resolución congruente ha sido infringida manifiestamente por la Audiencia Nacional, al haber omitido en su fundamentación toda valoración de la </w:t>
      </w:r>
      <w:r w:rsidRPr="005728DD">
        <w:rPr>
          <w:i/>
        </w:rPr>
        <w:t>causa petendi</w:t>
      </w:r>
      <w:r>
        <w:t xml:space="preserve"> diferencial en la que la recurrente basaba sus pretensiones, esto es, la declaración de titularidad privada de la finca </w:t>
      </w:r>
      <w:r w:rsidRPr="005728DD">
        <w:rPr>
          <w:i/>
        </w:rPr>
        <w:t>ex</w:t>
      </w:r>
      <w:r>
        <w:t xml:space="preserve"> art. 34 de la Ley hipotecaria antes del deslinde de 1989, a los efectos del reconocimiento de un derecho de uso a su titular, lo </w:t>
      </w:r>
      <w:r>
        <w:lastRenderedPageBreak/>
        <w:t>cual, a su entender, va en contra de la interpretación de la disposición transitoria primera de la Ley 22/1988 realizada por este Tribunal Constitucional en su STC 149/1991.</w:t>
      </w:r>
    </w:p>
    <w:p w:rsidR="005728DD" w:rsidRDefault="005728DD" w:rsidP="005728DD">
      <w:pPr>
        <w:pStyle w:val="TextoNormal"/>
      </w:pPr>
    </w:p>
    <w:p w:rsidR="005728DD" w:rsidRDefault="005728DD" w:rsidP="005728DD">
      <w:pPr>
        <w:pStyle w:val="TextoNormal"/>
      </w:pPr>
      <w:r>
        <w:t>En tal sentido, se alega que, en el presente recurso, este tribunal puede tener la oportunidad de aclarar y consolidar su doctrina sobre el derecho a la tutela judicial efectiva en su vertiente del derecho a obtener una resolución judicial motivada y congruente con la pretensión ejercitada, así como reiterar su interpretación de la referida disposición transitoria, determinando expresamente y con precisión cuál es el grado de discrecionalidad de que disponen los órganos judiciales para ignorar la existencia de declaración de titularidad privada de un enclave, anterior a la Ley de costas, amparada por el art. 34 de la Ley hipotecaria, reconocida por sentencia judicial firme, a los efectos de obtención de la consabida concesión de uso y aprovechamiento.</w:t>
      </w:r>
    </w:p>
    <w:p w:rsidR="005728DD" w:rsidRDefault="005728DD" w:rsidP="005728DD">
      <w:pPr>
        <w:pStyle w:val="TextoNormal"/>
      </w:pPr>
    </w:p>
    <w:p w:rsidR="005728DD" w:rsidRDefault="005728DD" w:rsidP="005728DD">
      <w:pPr>
        <w:pStyle w:val="TextoNormal"/>
      </w:pPr>
      <w:r w:rsidRPr="005728DD">
        <w:rPr>
          <w:rStyle w:val="NumeroAFNegritaCaracter"/>
        </w:rPr>
        <w:t>4</w:t>
      </w:r>
      <w:r>
        <w:t>. Por medio de escrito presentado el día 12 de junio de 2020 en el registro de este tribunal, la representación de la recurrente solicitó, como medida cautelar, la suspensión de la ejecución de la resolución de 28 de julio de 2009, dictada por el Servicio Provincial de Costas en Huelva, por la que había acordado recuperar de oficio la posesión del dominio público marítimo-terrestre sobre el que se encuentra enclavada la vivienda unifamiliar que construyó la actora. Igualmente, destacó en el escrito que el día 19 de mayo de 2020 le fue notificado a la señora Borrero Rodríguez un requerimiento expedido por el mencionado servicio provincial de fecha 12 de marzo anterior, por el que, en ejecución de la precedente resolución de 2009, se le exigía a la actora que, en el plazo de los quince días siguientes a la notificación de este requerimiento, iniciara los trabajos para la demolición de la vivienda construida en 1984, concediéndole el plazo de dos meses para que finalizara aquellos trabajos.</w:t>
      </w:r>
    </w:p>
    <w:p w:rsidR="005728DD" w:rsidRDefault="005728DD" w:rsidP="005728DD">
      <w:pPr>
        <w:pStyle w:val="TextoNormal"/>
      </w:pPr>
    </w:p>
    <w:p w:rsidR="005728DD" w:rsidRDefault="005728DD" w:rsidP="005728DD">
      <w:pPr>
        <w:pStyle w:val="TextoNormal"/>
      </w:pPr>
      <w:r>
        <w:t xml:space="preserve">En su escrito, la demandante de amparo solicitó de este tribunal la adopción </w:t>
      </w:r>
      <w:r w:rsidRPr="005728DD">
        <w:rPr>
          <w:i/>
        </w:rPr>
        <w:t>inaudita parte</w:t>
      </w:r>
      <w:r>
        <w:t xml:space="preserve"> de la medida cautelar de suspensión de la resolución del Servicio Provincial de Costas en Huelva de 28 de julio de 2009, así como del requerimiento de ejecución de la misma y de demolición de la vivienda edificada de 12 de marzo de 2020.</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providencia de 22 de junio de 2020, la Sección Cuarta de este tribunal acordó admitir a trámite el recurso de amparo apreciando que en el mismo concurre una especial trascendencia constitucional (art. 50.1 LOTC), “como consecuencia de que el órgano judicial pudiera haber incurrido en una negativa manifiesta del deber de acatamiento de la doctrina de este tribunal [STC 155/2009, FJ 2 f)]”.</w:t>
      </w:r>
    </w:p>
    <w:p w:rsidR="005728DD" w:rsidRDefault="005728DD" w:rsidP="005728DD">
      <w:pPr>
        <w:pStyle w:val="TextoNormal"/>
      </w:pPr>
    </w:p>
    <w:p w:rsidR="005728DD" w:rsidRDefault="005728DD" w:rsidP="005728DD">
      <w:pPr>
        <w:pStyle w:val="TextoNormal"/>
      </w:pPr>
      <w:r>
        <w:t>En la misma providencia se ordenaba enviar atenta comunicación a la Sección Primera de la Sala de lo Contencioso-Administrativo de la Audiencia Nacional para que remitiera certificación o copia adverada de las actuaciones correspondientes al procedimiento ordinario núm. 76-2017. Igualmente, se acordó que la Sala de referencia emplazara a quienes hubieran sido parte en el procedimiento, excepto la parte recurrente en amparo, para que, en el plazo de diez días, pudieran comparecer en el recurso de amparo.</w:t>
      </w:r>
    </w:p>
    <w:p w:rsidR="005728DD" w:rsidRDefault="005728DD" w:rsidP="005728DD">
      <w:pPr>
        <w:pStyle w:val="TextoNormal"/>
      </w:pPr>
    </w:p>
    <w:p w:rsidR="005728DD" w:rsidRDefault="005728DD" w:rsidP="005728DD">
      <w:pPr>
        <w:pStyle w:val="TextoNormal"/>
      </w:pPr>
      <w:r>
        <w:t>Finalmente, la providencia decidió, también, formar la oportuna pieza separada de suspensión, abriendo un trámite de audiencia al Ministerio Fiscal y a la recurrente.</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La pieza separada de suspensión finalizó con el ATC 68/2020, de 13 de julio, por el que la Sección Cuarta de la Sala Segunda de este tribunal acordó otorgar la medida cautelar solicitada y suspender la ejecución de la resolución del Servicio Provincial de Costas en Huelva de 28 de julio de 2009, así como del requerimiento de ejecución de la misma y de demolición de la vivienda edificada de 12 de marzo de 2020.</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8 de septiembre de 2020 tuvo entrada en el registro de este tribunal escrito presentado por el abogado del Estado, en la representación que ostenta, solicitando que se le tuviera por comparecido y parte en las actuaciones.</w:t>
      </w:r>
    </w:p>
    <w:p w:rsidR="005728DD" w:rsidRDefault="005728DD" w:rsidP="005728DD">
      <w:pPr>
        <w:pStyle w:val="TextoNormal"/>
      </w:pPr>
    </w:p>
    <w:p w:rsidR="005728DD" w:rsidRDefault="005728DD" w:rsidP="005728DD">
      <w:pPr>
        <w:pStyle w:val="TextoNormal"/>
      </w:pPr>
      <w:r w:rsidRPr="005728DD">
        <w:rPr>
          <w:rStyle w:val="NumeroAFNegritaCaracter"/>
        </w:rPr>
        <w:t>8</w:t>
      </w:r>
      <w:r>
        <w:t>. Por diligencia de ordenación de 10 de septiembre de 2020, la secretaría de justicia de la Sala Segunda tuvo por personado y parte en el procedimiento al abogado del Estado y, de conformidad con lo dispuesto en el art. 52.1 LOTC, se dispuso dar vista de las actuaciones a las partes personadas y al Ministerio Fiscal, por plazo común de veinte días, para que pudieran presentar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9</w:t>
      </w:r>
      <w:r>
        <w:t>. En fecha 30 de septiembre de 2020, la representación de doña Carmen Borrero Rodríguez presentó escrito en el que solicitó que fueran incorporados a este proceso las actuaciones correspondientes a los diferentes procedimientos que finalizaron con las resoluciones que se han detallado en el apartado 2 de estos antecedentes. Por diligencia de ordenación de la secretaría de justicia de la Sala Segunda de 1 de octubre siguiente se dio cuenta a este tribunal de la solicitud formulada.</w:t>
      </w:r>
    </w:p>
    <w:p w:rsidR="005728DD" w:rsidRDefault="005728DD" w:rsidP="005728DD">
      <w:pPr>
        <w:pStyle w:val="TextoNormal"/>
      </w:pPr>
    </w:p>
    <w:p w:rsidR="005728DD" w:rsidRDefault="005728DD" w:rsidP="005728DD">
      <w:pPr>
        <w:pStyle w:val="TextoNormal"/>
      </w:pPr>
      <w:r>
        <w:t>Posteriormente, por medio de providencia de 15 de octubre de 2020, la Sección Cuarta de la Sala Segunda, declaró “no haber lugar a la incorporación de las actuaciones, toda vez que constan las resoluciones incorporadas y que además no son objeto aquellas de este recurso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El día 9 de octubre de 2020 tuvieron entrada en el registro de este tribunal las alegaciones del abogado del Estado, que propugnaban, en primer lugar, la inadmisión del recurso, en base a las consideraciones que, seguidamente, se describirán; de modo subsidiario, interesaban la desestimación del recurso.</w:t>
      </w:r>
    </w:p>
    <w:p w:rsidR="005728DD" w:rsidRDefault="005728DD" w:rsidP="005728DD">
      <w:pPr>
        <w:pStyle w:val="TextoNormal"/>
      </w:pPr>
    </w:p>
    <w:p w:rsidR="005728DD" w:rsidRDefault="005728DD" w:rsidP="005728DD">
      <w:pPr>
        <w:pStyle w:val="TextoNormal"/>
      </w:pPr>
      <w:r>
        <w:t xml:space="preserve">a) Después de hacer una detallada exposición de los antecedentes que estima procedentes, el abogado del Estado sostiene una doble causa de inadmisibilidad del recurso de amparo: (i) por incorrecto planteamiento del recurso, pues entiende que las eventuales lesiones serían imputables a la administración y no al poder judicial. El recurso de amparo debería haber sido interpuesto por la vía del art. 43 LOTC y no por la del art. 44 de la misma norma legal, dado que las resoluciones judiciales impugnadas se han limitado a confirmar la desestimación de la reclamación realizada por la administración actuante, que la demandante considera contraria a la debida aplicación de la disposición transitoria primera de la Ley 22/1988, y (ii) porque el recurso es extemporáneo, toda vez que la demandante de amparo presentó un recurso de casación y dos incidentes de nulidad de actuaciones [uno contra la sentencia de 18 de octubre de 2018 de la Audiencia Nacional y otro contra la providencia de 6 de junio de 2019 del Tribunal Supremo, que inadmitió a trámite el recurso de casación preparado por la actora contra la precedente sentencia (hace referencia al incidente de nulidad de actuaciones que la parte promovió contra la citada providencia de 6 de junio de 2019, </w:t>
      </w:r>
      <w:r>
        <w:lastRenderedPageBreak/>
        <w:t>que fue inadmitido por providencia de la Sala Tercera del Tribunal Supremo de 4 de septiembre de 2019. Como hemos anticipado en el apartado 3 de estos antecedentes, la recurrente acudiría después a este tribunal y dio lugar al recurso de amparo núm. 5880-2019, del que la actora desistió mediante escrito presentado en este tribunal en fecha 26 de febrero de 2020; el desistimiento fue aprobado por providencia de la Sala Primera, Sección Segunda de 15 de junio de 2020)] con el mismo objeto, la vulneración de los arts. 14 y 24 CE. En el parecer del representante del Estado, los incidentes de nulidad de actuaciones eran innecesarios pues, con cita de una sentencia del Tribunal Supremo (STS 121/2019, FJ 2) que hace referencia a la STC 112/2019, de 3 de octubre, FJ 3, no es necesario interponer este incidente a los efectos de agotar la vía judicial previa al recurso de amparo “en aquellos supuestos en los que la vulneración del derecho fundamental no se imputa a la última resolución judicial, sino a la inmediata anterior, y dicha vulneración ha quedado imprejuzgada porque el ulterior recurso interpuesto contra la misma ha sido inadmitido por razones procesales no imputables a la falta de diligencia de la parte”.</w:t>
      </w:r>
    </w:p>
    <w:p w:rsidR="005728DD" w:rsidRDefault="005728DD" w:rsidP="005728DD">
      <w:pPr>
        <w:pStyle w:val="TextoNormal"/>
      </w:pPr>
    </w:p>
    <w:p w:rsidR="005728DD" w:rsidRDefault="005728DD" w:rsidP="005728DD">
      <w:pPr>
        <w:pStyle w:val="TextoNormal"/>
      </w:pPr>
      <w:r>
        <w:t>b) De modo subsidiario, el abogado del Estado solicita la desestimación del recurso pues entiende que las resoluciones judiciales impugnadas no han incurrido en las vulneraciones de derechos fundamentales denunciadas.</w:t>
      </w:r>
    </w:p>
    <w:p w:rsidR="005728DD" w:rsidRDefault="005728DD" w:rsidP="005728DD">
      <w:pPr>
        <w:pStyle w:val="TextoNormal"/>
      </w:pPr>
    </w:p>
    <w:p w:rsidR="005728DD" w:rsidRDefault="005728DD" w:rsidP="005728DD">
      <w:pPr>
        <w:pStyle w:val="TextoNormal"/>
      </w:pPr>
      <w:r>
        <w:t>A este respecto y por lo que se refiere a la queja por eventual incongruencia omisiva que denuncia la demanda, objeta el abogado del Estado que “la demandante no niega que la sentencia recurrida haya tenido en cuenta la sentencia de la Audiencia Provincial de Huelva de 2013, sino que ha denegado la pretensión de concesión al amparo de la disposición transitoria primera de la Ley de costas por una errónea interpretación de las sentencias del Tribunal Supremo de 2003 y de 2016 ya que, a su juicio, ambas sentencias dejaron imprejuzgada la cuestión relativa a si era justo título para la concesión la sentencia civil de 2013”. No nos encontraríamos, pues, ante una incongruencia omisiva, sino “en su caso ante una motivación errónea”, pues, según refiere la actora, aquellas sentencias no han resuelto la cuestión planteada.</w:t>
      </w:r>
    </w:p>
    <w:p w:rsidR="005728DD" w:rsidRDefault="005728DD" w:rsidP="005728DD">
      <w:pPr>
        <w:pStyle w:val="TextoNormal"/>
      </w:pPr>
    </w:p>
    <w:p w:rsidR="005728DD" w:rsidRDefault="005728DD" w:rsidP="005728DD">
      <w:pPr>
        <w:pStyle w:val="TextoNormal"/>
      </w:pPr>
      <w:r>
        <w:t>En el parecer del abogado del Estado, la vulneración del art. 24.1 CE por errónea motivación no ha sido alegada por la demandante, ya que esta ha denunciado otra vertiente del derecho a la tutela judicial efectiva, que es la de la incongruencia omisiva. Además, para apreciar la falta de motivación “como vulneradora del art. 24.1 CE es necesario que esta sea irracional, arbitraria o incursa en un error patente como señala la jurisprudencia constante del Tribunal Constitucional”, lo que no se ha dado en este caso. La sentencia de la Audiencia Nacional “se basa en que el Tribunal Supremo ya ha resuelto la pretensión de la demandante de concesión al amparo de la disposición transitoria primera de la Ley de costas y que dicha sentencia es firme (cosa juzgada) y que, además, la demandante presentó demanda reclamando indemnización por la recuperación posesoria sin discutir la titularidad de la vivienda que fue desestimada, también, por el Tribunal Supremo en 2016”.</w:t>
      </w:r>
    </w:p>
    <w:p w:rsidR="005728DD" w:rsidRDefault="005728DD" w:rsidP="005728DD">
      <w:pPr>
        <w:pStyle w:val="TextoNormal"/>
      </w:pPr>
    </w:p>
    <w:p w:rsidR="005728DD" w:rsidRDefault="005728DD" w:rsidP="005728DD">
      <w:pPr>
        <w:pStyle w:val="TextoNormal"/>
      </w:pPr>
      <w:r>
        <w:t xml:space="preserve">Tampoco entiende el abogado del Estado que la sentencia de la Audiencia Nacional haya incurrido en la vulneración del art. 14 CE, ya que “la demandante no ha justificado la existencia de término de comparación”. Destaca que aquella “se basa en un correo electrónico remitido por la administración de costas a la abogacía del Estado en el que se adjunta un listado de concesiones en la misma zona. Pero la demandante no acredita que abarque a </w:t>
      </w:r>
      <w:r>
        <w:lastRenderedPageBreak/>
        <w:t>todas las viviendas de la zona y, además, no acredita que ninguna de las concedidas se encuentre en la misma situación en que se encuentra su vivienda, tampoco solicitó dicha prueba en el proceso ante la Audiencia Nacional”.</w:t>
      </w:r>
    </w:p>
    <w:p w:rsidR="005728DD" w:rsidRDefault="005728DD" w:rsidP="005728DD">
      <w:pPr>
        <w:pStyle w:val="TextoNormal"/>
      </w:pPr>
    </w:p>
    <w:p w:rsidR="005728DD" w:rsidRDefault="005728DD" w:rsidP="005728DD">
      <w:pPr>
        <w:pStyle w:val="TextoNormal"/>
      </w:pPr>
      <w:r w:rsidRPr="005728DD">
        <w:rPr>
          <w:rStyle w:val="NumeroAFNegritaCaracter"/>
        </w:rPr>
        <w:t>11</w:t>
      </w:r>
      <w:r>
        <w:t>. Por medio de escrito que tuvo entrada en este tribunal el día 16 de octubre de 2020, la fiscal jefe de la fiscalía ante el Tribunal Constitucional informó que se había producido un error involuntario respecto de este recurso de amparo “al haberse traspapelado la resolución de fecha 10 de septiembre de 2020 de esa Sala Segunda, a la que no se le ha dado el oportuno trámite en esta fiscalía, y con ello y con objeto de poder subsanarlo, dirijo el presente al objeto de interesar se amplíe el plazo para presentación del oportuno informe”.</w:t>
      </w:r>
    </w:p>
    <w:p w:rsidR="005728DD" w:rsidRDefault="005728DD" w:rsidP="005728DD">
      <w:pPr>
        <w:pStyle w:val="TextoNormal"/>
      </w:pPr>
    </w:p>
    <w:p w:rsidR="005728DD" w:rsidRDefault="005728DD" w:rsidP="005728DD">
      <w:pPr>
        <w:pStyle w:val="TextoNormal"/>
      </w:pPr>
      <w:r>
        <w:t>Mediante providencia de 21 de octubre de 2020, la Sección Cuarta de la Sala Segunda acordó ampliar el plazo de alegaciones en diez días, conforme a lo dispuesto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12</w:t>
      </w:r>
      <w:r>
        <w:t>. Finalmente, en fecha 23 de noviembre de 2020, tuvieron entrada en el registro de este tribunal las alegaciones del Ministerio Fiscal, por las que ha solicitado la estimación del recurso de amparo al entender vulnerado el derecho a la tutela judicial efectiva de la recurrente. Asimismo, ha propugnado la anulación de las resoluciones impugnadas, con retroacción de lo actuado al momento inmediatamente anterior al de la sentencia de 18 de octubre de 2018 de la Sala de lo Contencioso-Administrativo de la Audiencia Nacional, para que la misma dicte una resolución que sea respetuosa con el derecho fundamental vulnerado. En cambio, el fiscal se muestra contrario a otorgar el amparo por la denunciada infracción del principio de igualdad del art. 14 CE.</w:t>
      </w:r>
    </w:p>
    <w:p w:rsidR="005728DD" w:rsidRDefault="005728DD" w:rsidP="005728DD">
      <w:pPr>
        <w:pStyle w:val="TextoNormal"/>
      </w:pPr>
    </w:p>
    <w:p w:rsidR="005728DD" w:rsidRDefault="005728DD" w:rsidP="005728DD">
      <w:pPr>
        <w:pStyle w:val="TextoNormal"/>
      </w:pPr>
      <w:r>
        <w:t>Los argumentos del Ministerio Fiscal quedan resumidos en los siguientes apartados:</w:t>
      </w:r>
    </w:p>
    <w:p w:rsidR="005728DD" w:rsidRDefault="005728DD" w:rsidP="005728DD">
      <w:pPr>
        <w:pStyle w:val="TextoNormal"/>
      </w:pPr>
    </w:p>
    <w:p w:rsidR="005728DD" w:rsidRDefault="005728DD" w:rsidP="005728DD">
      <w:pPr>
        <w:pStyle w:val="TextoNormal"/>
      </w:pPr>
      <w:r>
        <w:t>a) Primeramente, el fiscal, después de hacer una detallada exposición de los antecedentes del recurso, comienza su argumentación jurídica con la delimitación del objeto del mismo, señalando que la cuestión suscitada consiste en enjuiciar si las resoluciones impugnadas han facilitado o no “una respuesta congruente y suficiente a la pretensión planteada por la recurrente”, que se centra en determinar la eficacia de la precedente sentencia de 4 de septiembre de 2013 de la Audiencia Provincial de Huelva respecto “a la concesión de ocupación y uso de terrenos y vivienda solicitada por escrito de 22 de noviembre de 2013, de acuerdo con la disposición transitoria primera de la Ley de costas 22/1988, modificada por la Ley 2/2013, que resultó desestimada por silencio administrativo”.</w:t>
      </w:r>
    </w:p>
    <w:p w:rsidR="005728DD" w:rsidRDefault="005728DD" w:rsidP="005728DD">
      <w:pPr>
        <w:pStyle w:val="TextoNormal"/>
      </w:pPr>
    </w:p>
    <w:p w:rsidR="005728DD" w:rsidRDefault="005728DD" w:rsidP="005728DD">
      <w:pPr>
        <w:pStyle w:val="TextoNormal"/>
      </w:pPr>
      <w:r>
        <w:t>Seguidamente, prioriza en su estudio la queja relativa a la vulneración del derecho a la tutela judicial efectiva, poniendo de manifiesto que esta afecta a la sentencia de la Audiencia Nacional de 18 de octubre de 2018, pues su nulidad determinaría la de las dos resoluciones posteriores, igualmente impugnadas. En este sentido, hace una extensa cita de la doctrina de este tribunal respecto de la incongruencia omisiva, con referencia a las SSTC 165/2008, de 15 de diciembre, FJ 2, y 128/2017, de 13 de noviembre, FJ 8, para, más adelante, entrar en el análisis del caso.</w:t>
      </w:r>
    </w:p>
    <w:p w:rsidR="005728DD" w:rsidRDefault="005728DD" w:rsidP="005728DD">
      <w:pPr>
        <w:pStyle w:val="TextoNormal"/>
      </w:pPr>
    </w:p>
    <w:p w:rsidR="005728DD" w:rsidRDefault="005728DD" w:rsidP="005728DD">
      <w:pPr>
        <w:pStyle w:val="TextoNormal"/>
      </w:pPr>
      <w:r>
        <w:t xml:space="preserve">A este respecto, destaca que “la pretensión nuclear” de la recurrente era “la eficacia del pronunciamiento” de la sentencia de la Audiencia de Huelva de 4 de septiembre de 2013, en cuanto que esta resolución declaraba que: (i) aquella había adquirido unos terrenos que, </w:t>
      </w:r>
      <w:r>
        <w:lastRenderedPageBreak/>
        <w:t>a fecha de su adquisición, no habían adquirido la condición de terrenos de dominio público, ni por deslinde, ni tampoco por acción ejercitada por la administración; (ii) que, por ello, le permitía acogerse a la disposición transitoria primera de la Ley 22/1988; (iii) que no había prescrito la acción concedida a los titulares dominicales, según la citada disposición transitoria primera y “que ni siquiera la denegación de la concesión por el Tribunal Supremo era obstáculo para su actual ejercicio, pues la ausencia de sentencia firme motivó que no cumpliera el supuesto de hecho previsto en el número 1 de la disposición transitoria primera de la Ley de costas”; y (iv) que debía tenerse en cuenta “el sistema de equiparación de esta última norma entre los titulares con sentencia judicial firme y los titulares amparados por el art. 34 LH, con un criterio establecido ya desde la STC 149/1991, FJ 8, y recogido finalmente en la Ley de costas 2/2013, de 29 de mayo”.</w:t>
      </w:r>
    </w:p>
    <w:p w:rsidR="005728DD" w:rsidRDefault="005728DD" w:rsidP="005728DD">
      <w:pPr>
        <w:pStyle w:val="TextoNormal"/>
      </w:pPr>
    </w:p>
    <w:p w:rsidR="005728DD" w:rsidRDefault="005728DD" w:rsidP="005728DD">
      <w:pPr>
        <w:pStyle w:val="TextoNormal"/>
      </w:pPr>
      <w:r>
        <w:t>El fiscal pone de manifiesto que, si bien la sentencia de la Audiencia Nacional de 18 de octubre de 2018 no ignora el pronunciamiento anterior efectuado en la vía civil por la Audiencia de Huelva, su respuesta “es solo formal y aparente”. Entiende que, en la sentencia del Tribunal Supremo de 24 de noviembre de 2016, “no solo no se discutía esta cuestión relativa a la sentencia de la Audiencia Provincial de Huelva, sino que lo que se ventilaba en ella era la legalidad de la resolución de recuperación posesoria de 28 de julio de 2009, que había confirmado la sentencia del Tribunal Superior de Justicia de Andalucía”. Además, “lo que se resolvía” en la sentencia del Tribunal Supremo citada era la procedencia o no de reconocer una indemnización a la actora por la ocupación y recuperación posesoria del terreno por parte de la administración, de tal manera que quedaba excluida la aplicación de la disposición transitoria primera de la Ley 22/1988 y se denegaba la indemnización porque “la recurrente venía ocupando una zona de terreno público marítimo-terrestre y carecía de la autorización especial para edificar en terreno de dominio público”.</w:t>
      </w:r>
    </w:p>
    <w:p w:rsidR="005728DD" w:rsidRDefault="005728DD" w:rsidP="005728DD">
      <w:pPr>
        <w:pStyle w:val="TextoNormal"/>
      </w:pPr>
    </w:p>
    <w:p w:rsidR="005728DD" w:rsidRDefault="005728DD" w:rsidP="005728DD">
      <w:pPr>
        <w:pStyle w:val="TextoNormal"/>
      </w:pPr>
      <w:r>
        <w:t>En el parecer del Ministerio Fiscal, la sentencia del Tribunal Supremo de 24 de noviembre de 2016 conocía el contenido de la sentencia de la Audiencia de Huelva, “pero no se aplicó porque estaba al margen de la cuestión debatida en aquel proceso contencioso-administrativo”. Señala que las consideraciones que efectúa la sentencia de la Audiencia Nacional impugnada sobre lo que había señalado el Tribunal Supremo en aquella sentencia “son naturalmente ciertas, pero absolutamente incompletas y ajenas a la pretensión debatida”, por lo que “no pueden dar fundamento a la desestimación de las pretensiones deducidas ante este órgano judicial, pues se refiere a la aplicación de la sentencia de la Audiencia Provincial de Huelva que no es objeto de aplicación por el Tribunal Supremo y cuya eficacia se deja expresamente al margen por el mismo, quedando sin respuesta en la Audiencia Nacional”.</w:t>
      </w:r>
    </w:p>
    <w:p w:rsidR="005728DD" w:rsidRDefault="005728DD" w:rsidP="005728DD">
      <w:pPr>
        <w:pStyle w:val="TextoNormal"/>
      </w:pPr>
    </w:p>
    <w:p w:rsidR="005728DD" w:rsidRDefault="005728DD" w:rsidP="005728DD">
      <w:pPr>
        <w:pStyle w:val="TextoNormal"/>
      </w:pPr>
      <w:r>
        <w:t xml:space="preserve">En definitiva, el fiscal sostiene que la sentencia de 18 de octubre de 2018 de la Audiencia Nacional: (i) no da respuesta a la pretensión esencial de la parte, “dejando imprejuzgada la cuestión planteada”; (ii) “adopta una decisión solo formalmente motivada, en cuanto se hace por remisión a una previa resolución judicial” (STS de 24 de noviembre de 2016, FJ 2) “que no solo no resuelve la cuestión, sino que deja a salvo la eventual aplicación de la sentencia civil, de modo que la fundamentación por remisión es solo aparente, careciendo de contenido real”; y (iii) que no se valora la eficacia y alcance de la contradicción de las previas sentencias de la jurisdicción contencioso-administrativa con la de la jurisdicción civil, que declara que la recurrente adquirió y edificó en terrenos que solo después devinieron como </w:t>
      </w:r>
      <w:r>
        <w:lastRenderedPageBreak/>
        <w:t>de dominio público, lo que plantea la innecesariedad de la autorización especial de edificación, que fue la causa determinante de las desestimaciones obtenidas en vía contencioso-administrativa.</w:t>
      </w:r>
    </w:p>
    <w:p w:rsidR="005728DD" w:rsidRDefault="005728DD" w:rsidP="005728DD">
      <w:pPr>
        <w:pStyle w:val="TextoNormal"/>
      </w:pPr>
    </w:p>
    <w:p w:rsidR="005728DD" w:rsidRDefault="005728DD" w:rsidP="005728DD">
      <w:pPr>
        <w:pStyle w:val="TextoNormal"/>
      </w:pPr>
      <w:r>
        <w:t>Por todo lo cual, concluye el análisis del motivo de amparo expresando que la sentencia de la Audiencia Nacional impugnada “mantiene, por imprejuzgado, un conflicto no resuelto que integra una denegación de tutela judicial efectiva conculcando el art. 24 CE” y propugna el otorgamiento del amparo solicitado por vulneración de ese derecho.</w:t>
      </w:r>
    </w:p>
    <w:p w:rsidR="005728DD" w:rsidRDefault="005728DD" w:rsidP="005728DD">
      <w:pPr>
        <w:pStyle w:val="TextoNormal"/>
      </w:pPr>
    </w:p>
    <w:p w:rsidR="005728DD" w:rsidRDefault="005728DD" w:rsidP="005728DD">
      <w:pPr>
        <w:pStyle w:val="TextoNormal"/>
      </w:pPr>
      <w:r>
        <w:t>b) Seguidamente, el escrito del fiscal analiza la queja por infracción del principio de igualdad del art. 14 CE, destacando que “si bien es cierto que se ha aportado una relación de concesiones de ocupación y uso de viviendas al parecer análogas a la de la recurrente y en el mismo término municipal y zona marítimo-terrestre, no se acredita sin embargo un término de comparación válido”. No se ha facilitado “una resolución procedente del mismo órgano judicial y sobre la misma cuestión que pueda [constituir] un término de contraste válido, ni consta, por tanto, resolución contradictoria que identifique supuestos sustancialmente idénticos y aplique un criterio sustancialmente distinto con la ahora recurrida, a través de la cual se introduzca un cambio de criterio cuya justificación pudiera ser objeto de valoración”.</w:t>
      </w:r>
    </w:p>
    <w:p w:rsidR="005728DD" w:rsidRDefault="005728DD" w:rsidP="005728DD">
      <w:pPr>
        <w:pStyle w:val="TextoNormal"/>
      </w:pPr>
    </w:p>
    <w:p w:rsidR="005728DD" w:rsidRDefault="005728DD" w:rsidP="005728DD">
      <w:pPr>
        <w:pStyle w:val="TextoNormal"/>
      </w:pPr>
      <w:r>
        <w:t>Concluye, pues, el fiscal entendiendo que no puede apreciarse la vulneración del principio de igualdad propugnado por la recurrente.</w:t>
      </w:r>
    </w:p>
    <w:p w:rsidR="005728DD" w:rsidRDefault="005728DD" w:rsidP="005728DD">
      <w:pPr>
        <w:pStyle w:val="TextoNormal"/>
      </w:pPr>
    </w:p>
    <w:p w:rsidR="005728DD" w:rsidRDefault="005728DD" w:rsidP="005728DD">
      <w:pPr>
        <w:pStyle w:val="TextoNormal"/>
      </w:pPr>
      <w:r w:rsidRPr="005728DD">
        <w:rPr>
          <w:rStyle w:val="NumeroAFNegritaCaracter"/>
        </w:rPr>
        <w:t>13</w:t>
      </w:r>
      <w:r>
        <w:t>. Por providencia de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Pretensiones de las partes y objeto del recurso</w:t>
      </w:r>
      <w:r>
        <w:t>.</w:t>
      </w:r>
    </w:p>
    <w:p w:rsidR="005728DD" w:rsidRDefault="005728DD" w:rsidP="005728DD">
      <w:pPr>
        <w:pStyle w:val="TextoNormal"/>
      </w:pPr>
    </w:p>
    <w:p w:rsidR="005728DD" w:rsidRDefault="005728DD" w:rsidP="005728DD">
      <w:pPr>
        <w:pStyle w:val="TextoNormal"/>
      </w:pPr>
      <w:r>
        <w:t>La demanda de amparo, que articula sus pretensiones por la vía del art. 44 LOTC, impugna, de modo directo, la sentencia de 18 de octubre de 2018, dictada por la Sección Primera de la Sala de lo Contencioso-Administrativo de la Audiencia Nacional, recaída en el procedimiento ordinario núm. 76-2017 y desestimatoria del recurso interpuesto por aquella contra la denegación presunta operada por silencio administrativo de la solicitud de concesión de uso, ocupación y aprovechamiento de un inmueble sito en la localidad de El Portil, término municipal de Cartaya (Huelva), al amparo de lo establecido en la disposición transitoria primera de la Ley 22/1988, de 28 de julio, de costas (Ley 22/1988), que, en fecha 22 de noviembre de 2013, había presentado ante el Ministerio de Medio Ambiente. Igualmente, impugna la providencia de 24 de enero de 2020 de la misma Sección y Sala, que inadmitió a trámite el incidente extraordinario de nulidad de actuaciones interpuesto contra la anterior resolución.</w:t>
      </w:r>
    </w:p>
    <w:p w:rsidR="005728DD" w:rsidRDefault="005728DD" w:rsidP="005728DD">
      <w:pPr>
        <w:pStyle w:val="TextoNormal"/>
      </w:pPr>
    </w:p>
    <w:p w:rsidR="005728DD" w:rsidRDefault="005728DD" w:rsidP="005728DD">
      <w:pPr>
        <w:pStyle w:val="TextoNormal"/>
      </w:pPr>
      <w:r>
        <w:t>Denuncia la vulneración de su derecho a la tutela judicial efectiva (art. 24.1 CE), en su vertiente del derecho a obtener una resolución judicial que sea congruente con la pretensión ejercitada, por entender que la sentencia de la Audiencia Nacional y, por extensión, la pro</w:t>
      </w:r>
      <w:r>
        <w:lastRenderedPageBreak/>
        <w:t>videncia de inadmisión del incidente de nulidad de actuaciones, han incurrido en incongruencia omisiva por no haber dado una respuesta motivada a lo que era objeto de su reclamación, consistente en que le fuera reconocido el derecho a disfrutar de una concesión administrativa sobre el uso de unos terrenos que forman parte del dominio público marítimo-terrestre, así como del derecho a disfrutar temporalmente de los mismos y de la vivienda construida sobre aquellos, de conformidad con lo establecido en la disposición transitoria primera de la Ley 22/1988. La actora, en la vía judicial, había fundamentado su solicitud en el derecho reconocido por la sentencia firme de 4 de septiembre de 2013 de la Audiencia Provincial de Huelva, que había declarado que la recurrente “fue propietaria, por justo título inscrito y con la condición de tercero hipotecario del art. 34 de la Ley hipotecaria, de una finca registral inscrita en la localidad de El Portil, término municipal de Cartaya, con anterioridad al deslinde aprobado por Orden Ministerial de 14 de septiembre de 1989” y que reunía “los requisitos sustantivos para solicitar la concesión a que se refiere la disposición transitoria primera” de la Ley 22/1988.</w:t>
      </w:r>
    </w:p>
    <w:p w:rsidR="005728DD" w:rsidRDefault="005728DD" w:rsidP="005728DD">
      <w:pPr>
        <w:pStyle w:val="TextoNormal"/>
      </w:pPr>
    </w:p>
    <w:p w:rsidR="005728DD" w:rsidRDefault="005728DD" w:rsidP="005728DD">
      <w:pPr>
        <w:pStyle w:val="TextoNormal"/>
      </w:pPr>
      <w:r>
        <w:t>Tal y como se detalla en los antecedentes, la demandante considera que la sentencia impugnada ha fundamentado su decisión desestimatoria en otras dos precedentes resoluciones de la Sala de lo Contencioso-Administrativo del Tribunal Supremo que, o bien la primera no pudo tener en cuenta, por ser de fecha anterior a la de la jurisdicción civil, aquella declaración de titularidad privada de la actora sobre los terrenos objeto de la controversia (en referencia a la sentencia de la Sala de lo Contencioso-Administrativo del Tribunal Supremo de 3 de diciembre de 2003), o bien, aun siendo posterior en la fecha y hacer cita de la sentencia de la Audiencia Provincial de Huelva, no requirió hacer un pronunciamiento respecto de lo declarado en la misma, por ser distinto el objeto del procedimiento —recuperación posesoria de la finca— (en alusión a la sentencia de la Sala de lo Contencioso-Administrativo del Tribunal Supremo de 24 de noviembre de 2016), lo que ha llevado a que la resolución impugnada no haya respondido motivadamente a su pretensión.</w:t>
      </w:r>
    </w:p>
    <w:p w:rsidR="005728DD" w:rsidRDefault="005728DD" w:rsidP="005728DD">
      <w:pPr>
        <w:pStyle w:val="TextoNormal"/>
      </w:pPr>
    </w:p>
    <w:p w:rsidR="005728DD" w:rsidRDefault="005728DD" w:rsidP="005728DD">
      <w:pPr>
        <w:pStyle w:val="TextoNormal"/>
      </w:pPr>
      <w:r>
        <w:t>Asimismo, se queja la recurrente de que la sentencia impugnada, con extensión a la providencia de inadmisión del incidente de nulidad de actuaciones, ha vulnerado también el principio de igualdad del art. 14 CE, pues el rechazo de la concesión de uso solicitada, que ha alcanzado firmeza en la vía judicial, constituye la única excepción a todos los demás supuestos en que los ocupantes de terrenos y de viviendas edificadas sobre la zona marítimo-terrestre de la localidad de El Portil (término municipal de Cartaya), que se hallaban en la misma situación jurídica que la recurrente, han obtenido, sin embargo, la concesión temporal de uso de los terrenos, al amparo de lo establecido en la disposición transitoria primera de la Ley 22/1988.</w:t>
      </w:r>
    </w:p>
    <w:p w:rsidR="005728DD" w:rsidRDefault="005728DD" w:rsidP="005728DD">
      <w:pPr>
        <w:pStyle w:val="TextoNormal"/>
      </w:pPr>
    </w:p>
    <w:p w:rsidR="005728DD" w:rsidRDefault="005728DD" w:rsidP="005728DD">
      <w:pPr>
        <w:pStyle w:val="TextoNormal"/>
      </w:pPr>
      <w:r>
        <w:t xml:space="preserve">Por su parte, el abogado del Estado propugna la inadmisión del recurso porque entiende que concurren dos causas de inadmisibilidad de la demanda: (i) Incorrecta selección de la vía procesal adecuada para la formulación de la demanda, toda vez que entiende que las eventuales lesiones denunciadas serían imputables a la administración y no a las resoluciones judiciales ahora impugnadas, dado que estas se limitaron a confirmar las decisiones que, en su momento, fueron adoptadas en la vía administrativa. A su parecer, no era aplicable al caso la disposición transitoria primera, sino la transitoria cuarta de la Ley 22/1988, porque los terrenos objeto de la controversia tenían ya la condición de dominio público marítimo-terrestre antes de la vigencia de la Ley 22/1988. Por consiguiente, la demanda debería haber utilizado la vía del art. 43 y no la del 44, ambos de la LOTC. Y (ii) extemporaneidad por </w:t>
      </w:r>
      <w:r>
        <w:lastRenderedPageBreak/>
        <w:t>prolongación excesiva de la vía judicial previa al recurso de amparo, toda vez que la demandante presentó recurso de casación y dos incidentes de nulidad con el mismo objeto: la vulneración de los arts. 14 y 24.1 CE.</w:t>
      </w:r>
    </w:p>
    <w:p w:rsidR="005728DD" w:rsidRDefault="005728DD" w:rsidP="005728DD">
      <w:pPr>
        <w:pStyle w:val="TextoNormal"/>
      </w:pPr>
    </w:p>
    <w:p w:rsidR="005728DD" w:rsidRDefault="005728DD" w:rsidP="005728DD">
      <w:pPr>
        <w:pStyle w:val="TextoNormal"/>
      </w:pPr>
      <w:r>
        <w:t>De modo subsidiario, el abogado del Estado interesa la desestimación del recurso porque entiende que la sentencia de la Audiencia Nacional sí ha tenido en cuenta la precedente resolución de la Audiencia Provincial de Huelva, lo que ocurre es que, además de valorar el pronunciamiento de la misma, ha entendido que lo decidido por esta última no era justo título para obtener la concesión de uso reclamada, teniendo en cuenta lo acordado por las dos sentencias de la Sala de lo Contencioso-Administrativo del Tribunal Supremo precitadas. Rechaza, también, la queja alegada por vulneración del principio de igualdad porque la actora no ha ofrecido un término de comparación válido para establecer el juicio de relación necesario.</w:t>
      </w:r>
    </w:p>
    <w:p w:rsidR="005728DD" w:rsidRDefault="005728DD" w:rsidP="005728DD">
      <w:pPr>
        <w:pStyle w:val="TextoNormal"/>
      </w:pPr>
    </w:p>
    <w:p w:rsidR="005728DD" w:rsidRDefault="005728DD" w:rsidP="005728DD">
      <w:pPr>
        <w:pStyle w:val="TextoNormal"/>
      </w:pPr>
      <w:r>
        <w:t>Por su parte, el Ministerio Fiscal apoya la estimación parcial del recurso. Entiende que la sentencia impugnada ha ofrecido una aparente respuesta, que no satisface el derecho de la actora a la tutela judicial efectiva que exige del órgano judicial una decisión motivada y congruente con el objeto de la pretensión ejercitada. La sentencia impugnada ha incurrido, pues, en incongruencia omisiva. Por el contrario, en coincidencia con el abogado del Estado, el fiscal interesa la desestimación del recurso en lo atinente a la denunciada vulneración del principio de igualdad, porque la demanda no ha ofrecido un término válido de comparación en que el mismo órgano judicial hubiese resuelto en sentido contrario al ahora enjuiciado.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Óbices procesales</w:t>
      </w:r>
      <w:r>
        <w:t>.</w:t>
      </w:r>
    </w:p>
    <w:p w:rsidR="005728DD" w:rsidRDefault="005728DD" w:rsidP="005728DD">
      <w:pPr>
        <w:pStyle w:val="TextoNormal"/>
      </w:pPr>
    </w:p>
    <w:p w:rsidR="005728DD" w:rsidRDefault="005728DD" w:rsidP="005728DD">
      <w:pPr>
        <w:pStyle w:val="TextoNormal"/>
      </w:pPr>
      <w:r>
        <w:t>Es preciso comenzar por el análisis de los dos óbices de inadmisibilidad invocados por el abogado del Estado en sus alegaciones.</w:t>
      </w:r>
    </w:p>
    <w:p w:rsidR="005728DD" w:rsidRDefault="005728DD" w:rsidP="005728DD">
      <w:pPr>
        <w:pStyle w:val="TextoNormal"/>
      </w:pPr>
    </w:p>
    <w:p w:rsidR="005728DD" w:rsidRDefault="005728DD" w:rsidP="005728DD">
      <w:pPr>
        <w:pStyle w:val="TextoNormal"/>
      </w:pPr>
      <w:r>
        <w:t>a) El primero, relativo a la eventual inadecuación de la vía utilizada por la demandante para impugnar en amparo las lesiones de sus derechos a la tutela judicial efectiva y al principio de igualdad, debe ser desestimado porque, a diferencia de lo que sostiene el escrito de alegaciones del representante del Estado, las eventuales vulneraciones de sus derechos fundamentales las imputa la actora a las resoluciones judiciales y no a decisiones de la administración. De modo expreso, señala que ha presentado su demanda por la vía del art. 44 LOTC e impugna las dos resoluciones judiciales, que cita con reiteración a lo largo de todo su escrito.</w:t>
      </w:r>
    </w:p>
    <w:p w:rsidR="005728DD" w:rsidRDefault="005728DD" w:rsidP="005728DD">
      <w:pPr>
        <w:pStyle w:val="TextoNormal"/>
      </w:pPr>
    </w:p>
    <w:p w:rsidR="005728DD" w:rsidRDefault="005728DD" w:rsidP="005728DD">
      <w:pPr>
        <w:pStyle w:val="TextoNormal"/>
      </w:pPr>
      <w:r>
        <w:t xml:space="preserve">Además, por lo que atañe a la queja principal de la demandante, que viene referida a la vulneración de su derecho a la tutela judicial efectiva, hay que señalar que el recurso contencioso-administrativo fue interpuesto contra una resolución presunta de la administración, a la que el ordenamiento jurídico le atribuye la ficción de entender desestimada por silencio la solicitud presentada. En consecuencia, si no es posible conocer cuáles habrían sido los argumentos empleados por la administración para desestimar aquella solicitud, tampoco podrá hablarse de incongruencia entre la reclamación efectuada, la fundamentación en derecho ofrecida y la decisión adoptada en la vía administrativa. Antes bien, la demanda de amparo solo impugna los argumentos que ha conocido para ver rechazada su pretensión y estos han sido únicamente los recogidos en la sentencia de la Audiencia Nacional, por lo que la eventual lesión del derecho a obtener una resolución motivada y congruente únicamente puede </w:t>
      </w:r>
      <w:r>
        <w:lastRenderedPageBreak/>
        <w:t>referirse, en este caso, a la precitada sentencia judicial. Lo mismo sucede con la alegada vulneración del principio de igualdad, a la que únicamente da respuesta la resolución judicial impugnada.</w:t>
      </w:r>
    </w:p>
    <w:p w:rsidR="005728DD" w:rsidRDefault="005728DD" w:rsidP="005728DD">
      <w:pPr>
        <w:pStyle w:val="TextoNormal"/>
      </w:pPr>
    </w:p>
    <w:p w:rsidR="005728DD" w:rsidRDefault="005728DD" w:rsidP="005728DD">
      <w:pPr>
        <w:pStyle w:val="TextoNormal"/>
      </w:pPr>
      <w:r>
        <w:t>Finalmente, hemos de recordar que el derecho a la tutela judicial efectiva, por su propia naturaleza, solo es predicable de las resoluciones judiciales, nunca de las administrativas, excepción hecha de las resoluciones sancionadoras (por todas, la STC 159/2002, de 16 de septiembre, FJ 2) o de aquellas otras en que “la revisión judicial del acto administrativo en cuestión no contiene la debida motivación de las circunstancias personales del recurrente, cuando están en juego ‘asociados a derechos fundamentales como los contemplados en los artículos 18.1 y 24.1 CE (STC 46/2014, FJ 7) una pluralidad de intereses constitucionales como el de protección social, económica y jurídica de la familia (art. 39.1 CE) […]’” (STC 42/2020, de 9 de marzo, FJ 3).</w:t>
      </w:r>
    </w:p>
    <w:p w:rsidR="005728DD" w:rsidRDefault="005728DD" w:rsidP="005728DD">
      <w:pPr>
        <w:pStyle w:val="TextoNormal"/>
      </w:pPr>
    </w:p>
    <w:p w:rsidR="005728DD" w:rsidRDefault="005728DD" w:rsidP="005728DD">
      <w:pPr>
        <w:pStyle w:val="TextoNormal"/>
      </w:pPr>
      <w:r>
        <w:t>El óbice debe ser, pues, desestimado.</w:t>
      </w:r>
    </w:p>
    <w:p w:rsidR="005728DD" w:rsidRDefault="005728DD" w:rsidP="005728DD">
      <w:pPr>
        <w:pStyle w:val="TextoNormal"/>
      </w:pPr>
    </w:p>
    <w:p w:rsidR="005728DD" w:rsidRDefault="005728DD" w:rsidP="005728DD">
      <w:pPr>
        <w:pStyle w:val="TextoNormal"/>
      </w:pPr>
      <w:r>
        <w:t>b) El segundo óbice atiende a la eventual extemporaneidad de la demanda de amparo, por haber prolongado indebidamente la vía judicial previa al haber preparado recurso de casación contra la sentencia de 18 de octubre de 2018, que fue inadmitido por el Tribunal Supremo, y, más tarde, haber promovido dos incidentes de nulidad de actuaciones, uno contra la citada sentencia y otro contra la providencia de inadmisión del recurso de casación, en los que alegó, en todos ellos, la vulneración de los arts. 14 y 24.1 CE.</w:t>
      </w:r>
    </w:p>
    <w:p w:rsidR="005728DD" w:rsidRDefault="005728DD" w:rsidP="005728DD">
      <w:pPr>
        <w:pStyle w:val="TextoNormal"/>
      </w:pPr>
    </w:p>
    <w:p w:rsidR="005728DD" w:rsidRDefault="005728DD" w:rsidP="005728DD">
      <w:pPr>
        <w:pStyle w:val="TextoNormal"/>
      </w:pPr>
      <w:r>
        <w:t>Tampoco este óbice procesal puede prosperar. Este tribunal ha declarado que cuando la parte haya preparado un recurso de casación y este haya sido inadmitido a trámite por razones procesales no imputables a la falta de diligencia de la parte, podrá promover el incidente de nulidad de actuaciones para, de ese modo, recabar la tutela de sus derechos fundamentales. En este sentido, hemos dicho recientemente que “[c]on el fin de garantizar la tutela judicial frente a las vulneraciones de derechos fundamentales que ocasionen los órganos judiciales cuando sus decisiones no son susceptibles de recurso, ha de interpretarse que cabe interponer este incidente también en los casos en los que el recurso interpuesto contra la resolución que se considera lesiva de derechos fundamentales ha sido inadmitido por razones procesales no imputables a la falta de diligencia de la parte. En estos supuestos, la frustración del recurso, al no ser consecuencia de la defectuosa actuación procesal de la parte, no puede conllevar que el recurrente no pueda obtener la tutela de los derechos fundamentales que hizo valer a través del recurso intentado y por ello en estos casos, una vez inadmitido el recurso —siempre que su interposición no pueda calificarse de manifiestamente improcedente—, puede solicitar la tutela de los referidos derechos instando un incidente de nulidad de actuaciones ante el órgano judicial que dictó la resolución que se estima lesiva de derechos fundamentales” [STC 112/2019, de 3 de octubre, FJ 3 f)].</w:t>
      </w:r>
    </w:p>
    <w:p w:rsidR="005728DD" w:rsidRDefault="005728DD" w:rsidP="005728DD">
      <w:pPr>
        <w:pStyle w:val="TextoNormal"/>
      </w:pPr>
    </w:p>
    <w:p w:rsidR="005728DD" w:rsidRDefault="005728DD" w:rsidP="005728DD">
      <w:pPr>
        <w:pStyle w:val="TextoNormal"/>
      </w:pPr>
      <w:r>
        <w:t>Resulta, por tanto, que la interposición del incidente de nulidad de actuaciones en supuestos como el que ahora se examina, constituye “un cauce idóneo para obtener la tutela de los derechos fundamentales que se imputan a la resolución frente a la que se interpuso el recurso inadmitido y, por tanto, no podrá considerarse un recurso manifiestamente improcedente que pueda conllevar la extemporaneidad del recurso de amparo por alargar indebidamente la vía judicial” [STC 112/2019, FJ 3 f)].</w:t>
      </w:r>
    </w:p>
    <w:p w:rsidR="005728DD" w:rsidRDefault="005728DD" w:rsidP="005728DD">
      <w:pPr>
        <w:pStyle w:val="TextoNormal"/>
      </w:pPr>
    </w:p>
    <w:p w:rsidR="005728DD" w:rsidRDefault="005728DD" w:rsidP="005728DD">
      <w:pPr>
        <w:pStyle w:val="TextoNormal"/>
      </w:pPr>
      <w:r>
        <w:lastRenderedPageBreak/>
        <w:t>En el caso de autos, la demandante preparó recurso de casación contra la sentencia de 18 de octubre de 2018 de la Audiencia Nacional y la Sala de lo Contencioso-Administrativo del Tribunal Supremo dictó providencia de 6 de junio de 2019 por la que acordó la inadmisión a trámite del recurso al no haber apreciado interés casacional objetivo. De conformidad, pues, con nuestra doctrina, al no concurrir defecto procesal alguno en la preparación de aquel recurso, no debiéndose reputar como tal la citada falta de interés casacional objetivo, la parte podía acudir al incidente extraordinario de nulidad de actuaciones del art. 241.1 de la Ley Orgánica del Poder Judicial contra la resolución frente a la que se interpuso el recurso inadmitido, sin que, por ello, pudiera entenderse prolongada indebidamente la vía judicial.</w:t>
      </w:r>
    </w:p>
    <w:p w:rsidR="005728DD" w:rsidRDefault="005728DD" w:rsidP="005728DD">
      <w:pPr>
        <w:pStyle w:val="TextoNormal"/>
      </w:pPr>
    </w:p>
    <w:p w:rsidR="005728DD" w:rsidRDefault="005728DD" w:rsidP="005728DD">
      <w:pPr>
        <w:pStyle w:val="TextoNormal"/>
      </w:pPr>
      <w:r>
        <w:t>Por otra parte, hemos detallado en los antecedentes que el segundo incidente de nulidad de actuaciones, al que se refiere el abogado del Estado y que fue promovido contra aquella providencia de 6 de junio de 2019 del Tribunal Supremo ante la propia Sala Tercera, siguió un curso procesal distinto al que ahora es objeto de nuestro enjuiciamiento y finalizó con una resolución aprobatoria de la solicitud de desistimiento, que fue dictada por este tribunal (providencia de 15 de junio de 2020, recaída en el recurso de amparo núm. 5880-2019). Se trataba, pues, de un proceso diferente al presente y respecto del que la actora en su demanda destaca que fue un error material la presentación del incidente ante la Sala de lo Contencioso-Administrativo del Tribunal Supremo, cuando su intención era la de promoverlo ante la misma Sala pero de la Audiencia Nacional.</w:t>
      </w:r>
    </w:p>
    <w:p w:rsidR="005728DD" w:rsidRDefault="005728DD" w:rsidP="005728DD">
      <w:pPr>
        <w:pStyle w:val="TextoNormal"/>
      </w:pPr>
    </w:p>
    <w:p w:rsidR="005728DD" w:rsidRDefault="005728DD" w:rsidP="005728DD">
      <w:pPr>
        <w:pStyle w:val="TextoNormal"/>
      </w:pPr>
      <w:r>
        <w:t>Este segundo óbice procesal debe ser, también, desestimado.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Derecho a la tutela judicial efectiva</w:t>
      </w:r>
      <w:r>
        <w:t>.</w:t>
      </w:r>
    </w:p>
    <w:p w:rsidR="005728DD" w:rsidRDefault="005728DD" w:rsidP="005728DD">
      <w:pPr>
        <w:pStyle w:val="TextoNormal"/>
      </w:pPr>
    </w:p>
    <w:p w:rsidR="005728DD" w:rsidRDefault="005728DD" w:rsidP="005728DD">
      <w:pPr>
        <w:pStyle w:val="TextoNormal"/>
      </w:pPr>
      <w:r>
        <w:t>a) Hemos de abordar, a continuación, el análisis de las quejas que formula la demanda de amparo y, para ello, de conformidad con el criterio de la mayor retroacción establecido por la doctrina de este tribunal (por todas, las SSTC 41/2020, de 9 de marzo, FJ 2, y 102/2020, de 21 de septiembre, FJ 2), que implica conceder prioridad al examen de aquellas causas que, de prosperar, determinarían la retroacción a un momento procesal anterior, lo que haría innecesario un pronunciamiento sobre las restantes (SSTC 25/2012, de 27 de febrero, FJ 2, y 90/2010, de 15 de noviembre, FJ 2, y las que en ellas se citan), procede examinar en primer lugar la queja principal, tal y como figura en la demanda, que es la de la denunciada vulneración del derecho a la tutela judicial efectiva que la demandante imputa a la sentencia de 18 de octubre de 2018 de la Sala de lo Contencioso-Administrativo de la Audiencia Nacional y, por extensión, también a la providencia de 24 de enero de 2020 del mismo tribunal, que inadmitió a trámite el incidente de nulidad de actuaciones formalizado contra aquella.</w:t>
      </w:r>
    </w:p>
    <w:p w:rsidR="005728DD" w:rsidRDefault="005728DD" w:rsidP="005728DD">
      <w:pPr>
        <w:pStyle w:val="TextoNormal"/>
      </w:pPr>
    </w:p>
    <w:p w:rsidR="005728DD" w:rsidRDefault="005728DD" w:rsidP="005728DD">
      <w:pPr>
        <w:pStyle w:val="TextoNormal"/>
      </w:pPr>
      <w:r>
        <w:t>b) La demanda centra la invocada vulneración de su derecho a la tutela judicial efectiva en la vertiente del derecho a obtener una resolución judicial motivada y congruente con la pretensión ejercitada, localizando el objeto de la queja en el específico aspecto de la congruencia entre lo solicitado al órgano judicial y lo decidido por este respecto de aquella solicitud. Ciñe, pues, su reclamación de amparo a la eventual existencia de un vicio de incongruencia omisiva porque, a su parecer, la sentencia impugnada no se ha pronunciado sobre la petición específica que había dirigido al tribunal de instancia.</w:t>
      </w:r>
    </w:p>
    <w:p w:rsidR="005728DD" w:rsidRDefault="005728DD" w:rsidP="005728DD">
      <w:pPr>
        <w:pStyle w:val="TextoNormal"/>
      </w:pPr>
    </w:p>
    <w:p w:rsidR="005728DD" w:rsidRDefault="005728DD" w:rsidP="005728DD">
      <w:pPr>
        <w:pStyle w:val="TextoNormal"/>
      </w:pPr>
      <w:r>
        <w:lastRenderedPageBreak/>
        <w:t>Aunque más adelante analizaremos el contenido de la pretensión de la demandante de amparo, hay que identificar antes y de modo correcto cuál es la vulneración de la tutela judicial que se denuncia porque, como bien señala el abogado del Estado en su escrito de alegaciones, no es propiamente el vicio de incongruencia omisiva el que la parte imputa a la sentencia de la Audiencia Nacional, toda vez que esta ha dado una respuesta, calificada como “aparente” por el Ministerio Fiscal, a la pretensión ejercitada, pero que, en definitiva, sí ha razonado sobre aquella y ha expresado una decisión sobre la misma.</w:t>
      </w:r>
    </w:p>
    <w:p w:rsidR="005728DD" w:rsidRDefault="005728DD" w:rsidP="005728DD">
      <w:pPr>
        <w:pStyle w:val="TextoNormal"/>
      </w:pPr>
    </w:p>
    <w:p w:rsidR="005728DD" w:rsidRDefault="005728DD" w:rsidP="005728DD">
      <w:pPr>
        <w:pStyle w:val="TextoNormal"/>
      </w:pPr>
      <w:r>
        <w:t>La resolución impugnada responde, en sentido denegatorio, a la solicitud de otorgamiento de una concesión administrativa para el uso temporal de unos terrenos comprendidos en el dominio público marítimo-terrestre, de conformidad con lo establecido en la disposición transitoria primera de la Ley 22/1988. Aquella solicitud se había formulado al amparo de un título de propiedad que era anterior a la entrada en vigor de la citada ley y que así le fue reconocido a la actora por la jurisdicción civil en sentencia firme de 4 de septiembre de 2013 de la Audiencia Provincial de Huelva.</w:t>
      </w:r>
    </w:p>
    <w:p w:rsidR="005728DD" w:rsidRDefault="005728DD" w:rsidP="005728DD">
      <w:pPr>
        <w:pStyle w:val="TextoNormal"/>
      </w:pPr>
    </w:p>
    <w:p w:rsidR="005728DD" w:rsidRDefault="005728DD" w:rsidP="005728DD">
      <w:pPr>
        <w:pStyle w:val="TextoNormal"/>
      </w:pPr>
      <w:r>
        <w:t>En el fundamento jurídico tercero de su resolución, la Audiencia Nacional tiene presente la referencia a la citada sentencia de la jurisdicción civil pero razona que los terrenos objeto de la controversia pertenecían al dominio público desde fecha muy anterior a la de la vigencia de la Ley 22/1988. Apoya su argumentación en las dos sentencias de la Sala de lo Contencioso-Administrativo del Tribunal Supremo, de 3 de septiembre de 2003 y de 24 de noviembre de 2016, que, según la sentencia impugnada, llegaron a aquella conclusión y a decidir, en consecuencia, que no era aplicable al caso de autos la disposición transitoria primera de la Ley 22/1988, acordando la desestimación del recurso.</w:t>
      </w:r>
    </w:p>
    <w:p w:rsidR="005728DD" w:rsidRDefault="005728DD" w:rsidP="005728DD">
      <w:pPr>
        <w:pStyle w:val="TextoNormal"/>
      </w:pPr>
    </w:p>
    <w:p w:rsidR="005728DD" w:rsidRDefault="005728DD" w:rsidP="005728DD">
      <w:pPr>
        <w:pStyle w:val="TextoNormal"/>
      </w:pPr>
      <w:r>
        <w:t>c) A partir de las anteriores consideraciones sobre los presupuestos de hecho, hemos de precisar que, aunque la demanda yerra en la calificación jurídica de la vulneración del derecho a la tutela judicial efectiva que denuncia, pues identifica su queja como un supuesto de “incongruencia omisiva”, sin embargo toda la argumentación gira en torno a otra vertiente del derecho a la tutela efectiva que es la del derecho a obtener una resolución judicial que dé respuesta motivada a la pretensión ejercitada.</w:t>
      </w:r>
    </w:p>
    <w:p w:rsidR="005728DD" w:rsidRDefault="005728DD" w:rsidP="005728DD">
      <w:pPr>
        <w:pStyle w:val="TextoNormal"/>
      </w:pPr>
    </w:p>
    <w:p w:rsidR="005728DD" w:rsidRDefault="005728DD" w:rsidP="005728DD">
      <w:pPr>
        <w:pStyle w:val="TextoNormal"/>
      </w:pPr>
      <w:r>
        <w:t>La recurrente se queja de que la sentencia haya desatendido un presupuesto que, a su juicio, era esencial para la resolución del caso como era el de la verdad judicialmente declarada de su titularidad dominical privada sobre los terrenos controvertidos en fecha anterior a la de la vigencia de la Ley 22/1988, a los efectos de luego decidir si era o no merecedora de la concesión sobre el uso temporal de aquellos terrenos, de conformidad con lo establecido en la disposición transitoria primera de la Ley 22/1988. Frente a esta tesis de la recurrente, la sentencia de la Audiencia Nacional considera aquellos terrenos de titularidad pública, alcanzada en fecha anterior a la Ley 22/1988, apoyándose para llegar a tal conclusión en otras dos resoluciones, igualmente firmes, de la Sala de lo Contencioso-Administrativo del Tribunal Supremo.</w:t>
      </w:r>
    </w:p>
    <w:p w:rsidR="005728DD" w:rsidRDefault="005728DD" w:rsidP="005728DD">
      <w:pPr>
        <w:pStyle w:val="TextoNormal"/>
      </w:pPr>
    </w:p>
    <w:p w:rsidR="005728DD" w:rsidRDefault="005728DD" w:rsidP="005728DD">
      <w:pPr>
        <w:pStyle w:val="TextoNormal"/>
      </w:pPr>
      <w:r>
        <w:t xml:space="preserve">d) Este tribunal, de modo reiterado, ha declarado que “el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w:t>
      </w:r>
      <w:r>
        <w:lastRenderedPageBreak/>
        <w:t>FJ 2, y 116/2001, de 21 de mayo, FJ 4, entre otras muchas). Asimismo, hemos dicho que la motivación de las resoluciones judiciales, aparte de venir impuesta en el art. 120.3 CE es una exigencia derivada del art. 24.1 CE con el fin de que se puedan conocer las razones de la decisión que aquellas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 (por todas, las SSTC 8/2021, de 25 de enero, FJ 3, y 12/2021, de 25 de enero, FJ 3, como las más recientes).</w:t>
      </w:r>
    </w:p>
    <w:p w:rsidR="005728DD" w:rsidRDefault="005728DD" w:rsidP="005728DD">
      <w:pPr>
        <w:pStyle w:val="TextoNormal"/>
      </w:pPr>
    </w:p>
    <w:p w:rsidR="005728DD" w:rsidRDefault="005728DD" w:rsidP="005728DD">
      <w:pPr>
        <w:pStyle w:val="TextoNormal"/>
      </w:pPr>
      <w:r>
        <w:t>También ha declarado este tribunal que “para valorar si la decisión judicial recurrida vulneró el derecho a la tutela judicial efectiva del art. 24.1 CE, en su vertiente de derecho a la motivación de las resoluciones judiciales, conviene recordar en primer término que, según es consolidada doctrina constitucional,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Ahora bien, lo que, en todo caso, sí garantiza el art. 24.1 CE es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y 133/2013, de 5 de junio, FJ 5, entre otras muchas)” (STC 46/2020, de 15 de junio, FJ 3).</w:t>
      </w:r>
    </w:p>
    <w:p w:rsidR="005728DD" w:rsidRDefault="005728DD" w:rsidP="005728DD">
      <w:pPr>
        <w:pStyle w:val="TextoNormal"/>
      </w:pPr>
    </w:p>
    <w:p w:rsidR="005728DD" w:rsidRDefault="005728DD" w:rsidP="005728DD">
      <w:pPr>
        <w:pStyle w:val="TextoNormal"/>
      </w:pPr>
      <w:r>
        <w:t>En definitiva, habrá que determinar en el caso de autos si la sentencia impugnada y, por extensión, la providencia de inadmisión del incidente de nulidad de actuaciones, que sigue a la anterior y con la que está estrechamente relacionada, incurre en su argumentación en tal grado de arbitrariedad, irrazonabilidad o error que, por su evidencia y contenido, sean tan manifiestos y graves que, como acabamos de destacar, resulte patente para cualquier observador la carencia de toda motivación o razonamiento.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al caso</w:t>
      </w:r>
      <w:r>
        <w:t>.</w:t>
      </w:r>
    </w:p>
    <w:p w:rsidR="005728DD" w:rsidRDefault="005728DD" w:rsidP="005728DD">
      <w:pPr>
        <w:pStyle w:val="TextoNormal"/>
      </w:pPr>
    </w:p>
    <w:p w:rsidR="005728DD" w:rsidRDefault="005728DD" w:rsidP="005728DD">
      <w:pPr>
        <w:pStyle w:val="TextoNormal"/>
      </w:pPr>
      <w:r>
        <w:lastRenderedPageBreak/>
        <w:t>A) Dado que, de la argumentación utilizada por la recurrente para denunciar la vulneración de su derecho a la tutela judicial efectiva, hemos identificado en la sentencia de 18 de octubre de 2018 de la Audiencia Nacional, la eventual constatación de una motivación calificada de ilógica e irrazonable, deberemos valorar ahora si esta resolución responde a ese vicio de motivación que le imputa la demandante de amparo.</w:t>
      </w:r>
    </w:p>
    <w:p w:rsidR="005728DD" w:rsidRDefault="005728DD" w:rsidP="005728DD">
      <w:pPr>
        <w:pStyle w:val="TextoNormal"/>
      </w:pPr>
    </w:p>
    <w:p w:rsidR="005728DD" w:rsidRDefault="005728DD" w:rsidP="005728DD">
      <w:pPr>
        <w:pStyle w:val="TextoNormal"/>
      </w:pPr>
      <w:r>
        <w:t>Para ello, hemos de volver a los antecedentes que son relevantes para nuestro enjuiciamiento:</w:t>
      </w:r>
    </w:p>
    <w:p w:rsidR="005728DD" w:rsidRDefault="005728DD" w:rsidP="005728DD">
      <w:pPr>
        <w:pStyle w:val="TextoNormal"/>
      </w:pPr>
    </w:p>
    <w:p w:rsidR="005728DD" w:rsidRDefault="005728DD" w:rsidP="005728DD">
      <w:pPr>
        <w:pStyle w:val="TextoNormal"/>
      </w:pPr>
      <w:r>
        <w:t>a) La actora, que había adquirido en 1978 unos terrenos en la localidad de El Portil, perteneciente al término municipal de Cartaya, vio inicialmente denegada su solicitud de obtener una concesión de uso y disfrute temporal sobre los mismos. La sentencia de la Sala de lo Contencioso-Administrativo del Tribunal Supremo de 3 de septiembre de 2003 puso fin a un largo litigio que, tanto en la vía administrativa como en la judicial, terminó con la consideración de que aquellos terrenos pertenecían al demanio público y que, además, habían permanecido con tal titularidad pública desde una fecha anterior a la de la entrada en vigor de la Ley 22/1988.</w:t>
      </w:r>
    </w:p>
    <w:p w:rsidR="005728DD" w:rsidRDefault="005728DD" w:rsidP="005728DD">
      <w:pPr>
        <w:pStyle w:val="TextoNormal"/>
      </w:pPr>
    </w:p>
    <w:p w:rsidR="005728DD" w:rsidRDefault="005728DD" w:rsidP="005728DD">
      <w:pPr>
        <w:pStyle w:val="TextoNormal"/>
      </w:pPr>
      <w:r>
        <w:t>Con fundamento en aquella resolución judicial firme, la administración, por medio de sendas resoluciones de 28 de julio de 2009 (del Servicio Provincial de Costas en Huelva) y de 4 de noviembre de 2011 (de la Dirección General de Costas), acordó la recuperación posesoria de los terrenos objeto del conflicto, que permanecían hasta aquel momento ocupados por la ahora demandante de amparo. Aquella realidad jurídica obligó a que la actora tuviera que acudir, nuevamente, a la jurisdicción contencioso-administrativa para tratar de evitar su pérdida y la de lo edificado sobre los mismos.</w:t>
      </w:r>
    </w:p>
    <w:p w:rsidR="005728DD" w:rsidRDefault="005728DD" w:rsidP="005728DD">
      <w:pPr>
        <w:pStyle w:val="TextoNormal"/>
      </w:pPr>
    </w:p>
    <w:p w:rsidR="005728DD" w:rsidRDefault="005728DD" w:rsidP="005728DD">
      <w:pPr>
        <w:pStyle w:val="TextoNormal"/>
      </w:pPr>
      <w:r>
        <w:t>Las sentencias, de 24 de septiembre de 2015 de la Sala de lo Contencioso-Administrativo del Tribunal Superior de Justicia de Andalucía (sede de Sevilla) y, en trámite de casación, de 24 de noviembre de 2016, de la misma Sala del Tribunal Supremo, desestimaron el recurso de la actora al entender que los terrenos, en cuanto pertenecientes al dominio público marítimo-terrestre, debían ser recuperados en su posesión por la administración. Sin embargo, en lo que ahora es de interés, esta última resolución, declaró en su fundamento jurídico 1 que, si bien la “recuperación posesoria resulta incontestable”, todo ello era “sin prejuzgar lo que pueda decidirse en definitiva respecto de la concesión que de nuevo ha interesado la recurrente a la vista de la sentencia recaída en la jurisdicción civil, que se ha aportado como prueba documental en este recurso de casación”.</w:t>
      </w:r>
    </w:p>
    <w:p w:rsidR="005728DD" w:rsidRDefault="005728DD" w:rsidP="005728DD">
      <w:pPr>
        <w:pStyle w:val="TextoNormal"/>
      </w:pPr>
    </w:p>
    <w:p w:rsidR="005728DD" w:rsidRDefault="005728DD" w:rsidP="005728DD">
      <w:pPr>
        <w:pStyle w:val="TextoNormal"/>
      </w:pPr>
      <w:r>
        <w:t>b) A raíz de aquel inicial rechazo de su titularidad dominical sobre los terrenos en conflicto, la actora ejercitó una acción civil declarativa de su derecho de propiedad sobre aquellos, haciéndolo ante la correspondiente jurisdicción, y obtuvo de la misma un pronunciamiento judicial firme en la sentencia de 4 de septiembre de 2013, dictada por la Audiencia Provincial de Huelva. Esta resolución reconoció a la señora Borrero Rodríguez los siguientes derechos: (i) que, por justo título y con la condición de tercero del art. 34 de la Ley hipotecaria, había sido propietaria de la finca registral en la que quedaban ubicados los terrenos objeto de la controversia; (ii) que esta titularidad dominical era anterior “al deslinde aprobado por Orden Ministerial de 14 de septiembre de 1989”; y (iii) que, además, “reunía los requisitos sustantivos para solicitar la concesión a que se refiere la disposición transitoria primera” de la Ley 22/1988.</w:t>
      </w:r>
    </w:p>
    <w:p w:rsidR="005728DD" w:rsidRDefault="005728DD" w:rsidP="005728DD">
      <w:pPr>
        <w:pStyle w:val="TextoNormal"/>
      </w:pPr>
    </w:p>
    <w:p w:rsidR="005728DD" w:rsidRDefault="005728DD" w:rsidP="005728DD">
      <w:pPr>
        <w:pStyle w:val="TextoNormal"/>
      </w:pPr>
      <w:r>
        <w:t>c) Sirviéndose, pues, de la declaración judicial que le reconocía el título dominical sobre los terrenos controvertidos, en las condiciones que se especificaban en el fallo del tribunal civil, la actora presentó una segunda solicitud de concesión del uso temporal de aquellos, con invocación expresa de lo preceptuado en la disposición transitoria primera de la Ley 22/1988.</w:t>
      </w:r>
    </w:p>
    <w:p w:rsidR="005728DD" w:rsidRDefault="005728DD" w:rsidP="005728DD">
      <w:pPr>
        <w:pStyle w:val="TextoNormal"/>
      </w:pPr>
    </w:p>
    <w:p w:rsidR="005728DD" w:rsidRDefault="005728DD" w:rsidP="005728DD">
      <w:pPr>
        <w:pStyle w:val="TextoNormal"/>
      </w:pPr>
      <w:r>
        <w:t>El texto de la disposición transitoria primera de la Ley 22/1988, modificado por la Ley 2/2013, de 29 de mayo, adaptada a la doctrina establecida por la STC 149/1991, de 4 de julio, FJ 8 B) d), y de alegada aplicación al caso, establece lo siguiente en sus dos primeros apartados:</w:t>
      </w:r>
    </w:p>
    <w:p w:rsidR="005728DD" w:rsidRDefault="005728DD" w:rsidP="005728DD">
      <w:pPr>
        <w:pStyle w:val="TextoNormal"/>
      </w:pPr>
    </w:p>
    <w:p w:rsidR="005728DD" w:rsidRDefault="005728DD" w:rsidP="005728DD">
      <w:pPr>
        <w:pStyle w:val="TextoNormal"/>
      </w:pPr>
      <w:r>
        <w:t>“1. En virtud de lo dispuesto en el artículo 132.2 de la Constitución, los titulares de espacios de la zona marítimo-terrestre, playa y mar territorial que hubieran sido declarados de propiedad particular por sentencia judicial firme anterior a la entrada en vigor de la presente Ley pasarán a ser titulares de un derecho de ocupación y aprovechamiento del dominio público marítimo-terrestre, a cuyo efecto deberán solicitar la correspondiente concesión en el plazo de un año a contar desde la mencionada fecha. La concesión se otorgará por treinta años, prorrogables por otros treinta, respetando los usos y aprovechamientos existentes, sin obligación de abonar canon, y se inscribirá en el registro a que se refiere el artículo 37.3.</w:t>
      </w:r>
    </w:p>
    <w:p w:rsidR="005728DD" w:rsidRDefault="005728DD" w:rsidP="005728DD">
      <w:pPr>
        <w:pStyle w:val="TextoNormal"/>
      </w:pPr>
    </w:p>
    <w:p w:rsidR="005728DD" w:rsidRDefault="005728DD" w:rsidP="005728DD">
      <w:pPr>
        <w:pStyle w:val="TextoNormal"/>
      </w:pPr>
      <w:r>
        <w:t>2. Los titulares de los terrenos de la zona marítimo-terrestre o playa que no hayan podido ser ocupados por la administración al practicar un deslinde anterior a la entrada en vigor de esta Ley, por estar inscritos en el registro de la propiedad y amparados por el artículo 34 de la Ley hipotecaria, pasarán a ser titulares de un derecho de ocupación y aprovechamiento del dominio público marítimo-terrestre, por treinta años, respetando los usos y aprovechamientos existentes, a cuyo efecto deberán solicitar la correspondiente concesión”.</w:t>
      </w:r>
    </w:p>
    <w:p w:rsidR="005728DD" w:rsidRDefault="005728DD" w:rsidP="005728DD">
      <w:pPr>
        <w:pStyle w:val="TextoNormal"/>
      </w:pPr>
    </w:p>
    <w:p w:rsidR="005728DD" w:rsidRDefault="005728DD" w:rsidP="005728DD">
      <w:pPr>
        <w:pStyle w:val="TextoNormal"/>
      </w:pPr>
      <w:r>
        <w:t>La solicitud fue, sin embargo, denegada por silencio administrativo y, de nuevo, la actora tuvo que acudir a la jurisdicción contencioso-administrativa en defensa de sus derechos. Interpuso, a tal efecto, el correspondiente recurso que ha sido resuelto en sentido desestimatorio por la sentencia de 18 de octubre de 2018 de la Sala correspondiente de la Audiencia Nacional. Dicha resolución alcanzaría firmeza después de haber inadmitido el Tribunal Supremo, por falta de interés casacional objetivo, el recurso de casación que la parte había preparado contra la misma. Finalmente, la misma Sala de lo Contencioso-Administrativo de la Audiencia Nacional ha inadmitido a trámite el incidente de nulidad de actuaciones promovido por la recurrente contra aquella sentencia.</w:t>
      </w:r>
    </w:p>
    <w:p w:rsidR="005728DD" w:rsidRDefault="005728DD" w:rsidP="005728DD">
      <w:pPr>
        <w:pStyle w:val="TextoNormal"/>
      </w:pPr>
    </w:p>
    <w:p w:rsidR="005728DD" w:rsidRDefault="005728DD" w:rsidP="005728DD">
      <w:pPr>
        <w:pStyle w:val="TextoNormal"/>
      </w:pPr>
      <w:r>
        <w:t xml:space="preserve">B) A partir del tortuoso como prolongado </w:t>
      </w:r>
      <w:r w:rsidRPr="005728DD">
        <w:rPr>
          <w:i/>
        </w:rPr>
        <w:t>iter</w:t>
      </w:r>
      <w:r>
        <w:t xml:space="preserve"> procedimental que se ha descrito, hemos ya de adelantar que el sentido de nuestro pronunciamiento será estimatorio de la pretensión de amparo ejercitada por la recurrente, debiendo apreciar la vulneración de su derecho a la tutela judicial efectiva. A tal conclusión llegamos teniendo en cuenta las siguientes consideraciones:</w:t>
      </w:r>
    </w:p>
    <w:p w:rsidR="005728DD" w:rsidRDefault="005728DD" w:rsidP="005728DD">
      <w:pPr>
        <w:pStyle w:val="TextoNormal"/>
      </w:pPr>
    </w:p>
    <w:p w:rsidR="005728DD" w:rsidRDefault="005728DD" w:rsidP="005728DD">
      <w:pPr>
        <w:pStyle w:val="TextoNormal"/>
      </w:pPr>
      <w:r>
        <w:t xml:space="preserve">a) En primer lugar, que las resoluciones judiciales impugnadas (la sentencia de 18 de octubre de 2018 y la providencia de 24 de enero de 2020 de inadmisión a trámite del incidente de nulidad de actuaciones, ambas de la Sala de lo Contencioso-Administrativo de la Audiencia Nacional) han desatendido el contenido de un fallo judicial firme previamente </w:t>
      </w:r>
      <w:r>
        <w:lastRenderedPageBreak/>
        <w:t>emitido por la jurisdicción civil, que configuró una verdad formal, consistente en la declaración de que los terrenos objeto de la controversia habían sido de titularidad dominical de la ahora demandante de amparo en fecha anterior a la de la entrada en vigor de la Ley 22/1988. Esta realidad jurídica constituye un presupuesto de hecho indispensable para realizar el correspondiente juicio aplicativo de la disposición transitoria primera de la Ley 22/1988, que la actora reclamaba en su recurso contencioso-administrativo. A la hora de tomar una decisión sobre la pretensión ejercitada, la Audiencia Nacional no podía desatender aquella declaración judicial. Sin embargo, la Sala, a pesar de haberle sido puesto de manifiesto lo resuelto por el tribunal civil, que afirmaba la existencia de aquella titularidad dominical en los términos establecidos por el fallo judicial, ha prescindido de dicha realidad jurídica, sin haberla valorado, a la hora de tomar su decisión.</w:t>
      </w:r>
    </w:p>
    <w:p w:rsidR="005728DD" w:rsidRDefault="005728DD" w:rsidP="005728DD">
      <w:pPr>
        <w:pStyle w:val="TextoNormal"/>
      </w:pPr>
    </w:p>
    <w:p w:rsidR="005728DD" w:rsidRDefault="005728DD" w:rsidP="005728DD">
      <w:pPr>
        <w:pStyle w:val="TextoNormal"/>
      </w:pPr>
      <w:r>
        <w:t>b) Y, en segundo término, que, en lo atinente a las dos resoluciones de la Sala de lo Contencioso-Administrativo del Tribunal Supremo sobre las que la Audiencia Nacional ha apoyado su pronunciamiento desestimatorio del recurso, hemos de descartar, como no relevante para la resolución de este caso, el fallo de la inicial sentencia de 3 de septiembre de 2003, que, por ser de fecha anterior al recaído en la jurisdicción civil, partió de una realidad jurídica distinta a la que tendría que haberle servido de presupuesto al tribunal de instancia para realizar el nuevo enjuiciamiento. Cuando dictó esta sentencia, el Tribunal Supremo no podía entrar a valorar, ante su inexistencia, el título de propiedad de los terrenos que le había sido reconocido a la demandante, de tal manera que acogió entonces la tesis sostenida por la administración de que los terrenos litigiosos tenían la consideración de playa, conforme a la Ley de costas de 1969 y, por ende, se hallaban incluidos en el dominio público marítimo-terrestre.</w:t>
      </w:r>
    </w:p>
    <w:p w:rsidR="005728DD" w:rsidRDefault="005728DD" w:rsidP="005728DD">
      <w:pPr>
        <w:pStyle w:val="TextoNormal"/>
      </w:pPr>
    </w:p>
    <w:p w:rsidR="005728DD" w:rsidRDefault="005728DD" w:rsidP="005728DD">
      <w:pPr>
        <w:pStyle w:val="TextoNormal"/>
      </w:pPr>
      <w:r>
        <w:t>Sin embargo, en la segunda sentencia de 24 de noviembre de 2016, si bien es ya de fecha posterior a la de la Audiencia Provincial de Huelva, el Tribunal Supremo se refiere a la misma y, además, presenta dos aspectos decisivos para la resolución del recurso de la actora que la Audiencia Nacional tampoco ha tenido en cuenta: (i) que el objeto de la litis, finalizado en el trámite de la casación con la precitada sentencia de 24 de noviembre de 2016, era distinto al que tenía que ser enjuiciado por la Audiencia Nacional, toda vez que aquel quedaba limitado a resolver sobre la procedencia de la recuperación posesoria del dominio público marítimo-terrestre ocupado, correspondiente a unos terrenos que, en su día y hasta la declaración de propiedad privada efectuada por la jurisdicción civil, tenían, como se ha dicho, la consideración de dominio público por estar incluidos en la zona marítimo-terrestre; y (ii) que la propia sentencia del Tribunal Supremo advertía ya de que aquel pronunciamiento se realizaba con independencia de lo que se pudiera resolver respecto de la concesión que había solicitado la recurrente, a la vista de la decisión firme de la jurisdicción civil. Es decir, que el Tribunal Supremo era consciente de que la actora había presentado una nueva solicitud de concesión del uso temporal de aquellos terrenos, apoyada en una declaración judicial de titularidad dominical, y, por ello, su pronunciamiento no afectaba a lo que pudiera ser resuelto en relación con la nueva solicitud cursada.</w:t>
      </w:r>
    </w:p>
    <w:p w:rsidR="005728DD" w:rsidRDefault="005728DD" w:rsidP="005728DD">
      <w:pPr>
        <w:pStyle w:val="TextoNormal"/>
      </w:pPr>
    </w:p>
    <w:p w:rsidR="005728DD" w:rsidRDefault="005728DD" w:rsidP="005728DD">
      <w:pPr>
        <w:pStyle w:val="TextoNormal"/>
      </w:pPr>
      <w:r>
        <w:t xml:space="preserve">Las dos consideraciones expuestas llevan indefectiblemente a la conclusión de que la sentencia impugnada incluye una motivación que no se acompasa a las exigencias de nuestra doctrina anteriormente expuesta. Antes bien, ha desatendido el presupuesto de hecho sobre el que tendría que haber establecido su valoración, el título de propiedad reconocido por la jurisdicción civil, aportado como documento justificativo, por la parte. Además, tampoco </w:t>
      </w:r>
      <w:r>
        <w:lastRenderedPageBreak/>
        <w:t>ha tenido en cuenta cuál fue el objeto y los límites a los que quedó sujeto el pronunciamiento de la sentencia del Tribunal Supremo de 24 de noviembre de 2016, distinto al que debía enjuiciar la Audiencia Nacional. Finalmente, el órgano judicial tampoco ha tenido en consideración la advertencia del Tribunal Supremo de excluir expresamente del alcance de su pronunciamiento la nueva solicitud de concesión formulada por la recurrente, asentada precisamente en unos presupuestos de hecho contrarios a los que en su día sirvieron de fundamento a anteriores decisiones administrativas y de la jurisdicción contencioso-administrativa.</w:t>
      </w:r>
    </w:p>
    <w:p w:rsidR="005728DD" w:rsidRDefault="005728DD" w:rsidP="005728DD">
      <w:pPr>
        <w:pStyle w:val="TextoNormal"/>
      </w:pPr>
    </w:p>
    <w:p w:rsidR="005728DD" w:rsidRDefault="005728DD" w:rsidP="005728DD">
      <w:pPr>
        <w:pStyle w:val="TextoNormal"/>
      </w:pPr>
      <w:r>
        <w:t>Por todas las razones expuestas, la queja de la recurrente debe ser estimada. La sentencia de la Audiencia Nacional ha vulnerado el derecho a la tutela judicial efectiva de la recurrente por haber incorporado una motivación que no se corresponde con los criterios de nuestra doctrina, en cuanto que se apoya sobre unos presupuestos de hecho y de derecho que no dan respuesta argumentativa a los que la demandante de amparo acreditó como realidad jurídica verdadera.</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Alcance del amparo</w:t>
      </w:r>
      <w:r>
        <w:t>.</w:t>
      </w:r>
    </w:p>
    <w:p w:rsidR="005728DD" w:rsidRDefault="005728DD" w:rsidP="005728DD">
      <w:pPr>
        <w:pStyle w:val="TextoNormal"/>
      </w:pPr>
    </w:p>
    <w:p w:rsidR="005728DD" w:rsidRDefault="005728DD" w:rsidP="005728DD">
      <w:pPr>
        <w:pStyle w:val="TextoNormal"/>
      </w:pPr>
      <w:r>
        <w:t>La estimación del recurso de amparo por la apreciada vulneración del derecho a la tutela judicial efectiva debe acarrear la nulidad de la sentencia de 18 de octubre de 2018 de la Sección Primera de la Sala de lo Contencioso-Administrativo de la Audiencia Nacional, recaída en el procedimiento ordinario núm. 76-2017, así como de la providencia de 24 de enero de 2020 de la misma Sección y Sala, que inadmitió a trámite el incidente de nulidad de actuaciones promovido por la recurrente contra la anterior resolución. Asimismo, como medida de restablecimiento del derecho, hemos de acordar la retroacción de las actuaciones hasta el momento inmediatamente anterior al de la referida sentencia para que el citado tribunal dicte otra que sea respetuosa con el derecho fundamental a la tutela judicial efectiva sin indefensión (art. 24.1 CE).</w:t>
      </w:r>
    </w:p>
    <w:p w:rsidR="005728DD" w:rsidRDefault="005728DD" w:rsidP="005728DD">
      <w:pPr>
        <w:pStyle w:val="TextoNormal"/>
      </w:pPr>
    </w:p>
    <w:p w:rsidR="005728DD" w:rsidRDefault="005728DD" w:rsidP="005728DD">
      <w:pPr>
        <w:pStyle w:val="TextoNormal"/>
      </w:pPr>
      <w:r>
        <w:t>Asimismo, la estimación del anterior motivo de amparo hace innecesario entrar en el examen de la queja por vulneración del principio de igualdad que, también, denunció la recurrente en su demanda de amparo.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Carmen Borrero Rodríguez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(art. 24.1 CE).</w:t>
      </w:r>
    </w:p>
    <w:p w:rsidR="005728DD" w:rsidRDefault="005728DD" w:rsidP="005728DD">
      <w:pPr>
        <w:pStyle w:val="TextoNormal"/>
      </w:pPr>
    </w:p>
    <w:p w:rsidR="005728DD" w:rsidRDefault="005728DD" w:rsidP="005728DD">
      <w:pPr>
        <w:pStyle w:val="TextoNormal"/>
      </w:pPr>
      <w:r>
        <w:t>2º Restablecerla en su derecho y, a tal fin, declarar la nulidad de la sentencia de 18 de octubre de 2018, de la Sección Primera de la Sala de lo Contencioso-Administrativo de la Audiencia Nacional, recaída en el procedimiento ordinario núm. 76-2017, así como de la providencia de 24 de enero de 2020 de la misma Sección y Sala, que inadmitió a trámite el incidente de nulidad de actuaciones promovido contra la anterior resolución.</w:t>
      </w:r>
    </w:p>
    <w:p w:rsidR="005728DD" w:rsidRDefault="005728DD" w:rsidP="005728DD">
      <w:pPr>
        <w:pStyle w:val="TextoNormal"/>
      </w:pPr>
    </w:p>
    <w:p w:rsidR="005728DD" w:rsidRDefault="005728DD" w:rsidP="005728DD">
      <w:pPr>
        <w:pStyle w:val="TextoNormal"/>
      </w:pPr>
      <w:r>
        <w:t>3º Retrotraer el procedimiento al momento inmediatamente anterior al del dictado de la sentencia, para que en su lugar el órgano judicial dicte otra que resulte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2" w:name="SENTENCIA_2021_89"/>
      <w:r>
        <w:lastRenderedPageBreak/>
        <w:t>SENTENCIA 89/2021, de 19 de abril de 2021</w:t>
      </w:r>
    </w:p>
    <w:bookmarkEnd w:id="92"/>
    <w:p w:rsidR="005728DD" w:rsidRDefault="005728DD" w:rsidP="005728DD">
      <w:pPr>
        <w:pStyle w:val="TtuloResolucin"/>
      </w:pPr>
      <w:r>
        <w:t>Sala Segunda</w:t>
      </w:r>
    </w:p>
    <w:p w:rsidR="005728DD" w:rsidRDefault="005728DD" w:rsidP="005728DD">
      <w:pPr>
        <w:pStyle w:val="TtuloBOE"/>
      </w:pPr>
      <w:r>
        <w:t>(BOE núm. 119, de 19 de mayo de 2021)</w:t>
      </w:r>
    </w:p>
    <w:p w:rsidR="005728DD" w:rsidRDefault="005728DD" w:rsidP="005728DD">
      <w:pPr>
        <w:pStyle w:val="TextoNormalCentrado"/>
      </w:pPr>
      <w:r>
        <w:t>ECLI:ES:TC:2021:89</w:t>
      </w:r>
    </w:p>
    <w:p w:rsidR="005728DD" w:rsidRDefault="005728DD" w:rsidP="005728DD">
      <w:pPr>
        <w:pStyle w:val="TextoNormalCentrado"/>
      </w:pPr>
    </w:p>
    <w:p w:rsidR="005728DD" w:rsidRDefault="005728DD" w:rsidP="005728DD">
      <w:pPr>
        <w:pStyle w:val="SntesisDescriptiva"/>
      </w:pPr>
      <w:r>
        <w:t>Recurso de amparo 1914-2020. Promovido por Fuentes y Rebellín, S.L., en relación con las actuaciones llevadas a cabo por un juzgado de primera instancia e instrucción de Molina de Segura (Murcia)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sin indefensión: STC 47/2019 (inadecuada utilización de la dirección electrónica habilitada como cauce de comunicación del primer emplazamiento procesal).</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1914-2020, promovido por la entidad Fuentes y Rebellín, S.L., contra el auto del Juzgado de Primera Instancia e Instrucción núm. 4 de Molina de Segura (Murcia), de 27 de febrero de 2020, que desestimó el incidente de nulidad de las actuaciones llevadas a efecto en el curso del procedimiento de ejecución hipotecaria núm. 112-2018, promovido por la Sociedad de Gestión de Activos Procedentes de la Reestructuración Bancaria, S.A., (en adelante, SAREB, S.A.) personada en estas actuaciones.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Mediante escrito presentado en el registro general de este tribunal el 15 de abril de 2020, el procurador de los tribunales don Eduardo Moya Gómez, actuando en nombre y </w:t>
      </w:r>
      <w:r>
        <w:lastRenderedPageBreak/>
        <w:t>representación de la mercantil Fuentes y Rebellín, S.L., asistida por el letrado don Manuel Muñiz Bernuy, interpuso demanda de amparo contra la resolución ya mencionada.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SAREB, S.A., interpuso demanda de ejecución hipotecaria contra la mercantil Fuentes y Rebellín, S.L., en reclamación de 6 132 529,96 € de principal, así como la cantidad de 1 839 758,99 € por intereses, gastos y costas, cuyo conocimiento correspondió al Juzgado de Primera Instancia e Instrucción núm. 4 de Molina de Segura (Murcia), que incoó el procedimiento de ejecución hipotecaria núm. 112-2018, en cuyo seno dictó el auto de 8 de enero de 2019 por el que ordenó despachar ejecución por los mencionados importes, así como requerir a la entidad ejecutada a fin de que efectuara el pago de aquellos. En la misma fecha, el letrado de la administración de justicia emitió un decreto para dar ejecución a lo acordado en el citado auto.</w:t>
      </w:r>
    </w:p>
    <w:p w:rsidR="005728DD" w:rsidRDefault="005728DD" w:rsidP="005728DD">
      <w:pPr>
        <w:pStyle w:val="TextoNormal"/>
      </w:pPr>
    </w:p>
    <w:p w:rsidR="005728DD" w:rsidRDefault="005728DD" w:rsidP="005728DD">
      <w:pPr>
        <w:pStyle w:val="TextoNormal"/>
      </w:pPr>
      <w:r>
        <w:t>b) La notificación del auto, y el consiguiente requerimiento y emplazamiento, se produjeron a través del servicio de notificaciones electrónicas de la Fábrica Nacional de Moneda y Timbre, más en concreto, a través de la dirección electrónica habilitada. Según las certificaciones obrantes en las actuaciones, consta que la notificación de la cédula de emplazamiento tenía como número de referencia el “Acto 30027410000000001910/2019”. Fue enviada el 9 de enero de 2019, a las 9:53 horas, y recibida en destino el día 11 de enero de 2019, a las 17:40 horas, sin que conste fecha de retirada por el destinatario.</w:t>
      </w:r>
    </w:p>
    <w:p w:rsidR="005728DD" w:rsidRDefault="005728DD" w:rsidP="005728DD">
      <w:pPr>
        <w:pStyle w:val="TextoNormal"/>
      </w:pPr>
    </w:p>
    <w:p w:rsidR="005728DD" w:rsidRDefault="005728DD" w:rsidP="005728DD">
      <w:pPr>
        <w:pStyle w:val="TextoNormal"/>
      </w:pPr>
      <w:r>
        <w:t>c) Con posterioridad, el día 6 de mayo de 2019, la representación de la sociedad Fuentes y Rebellín, S.L., presentó un escrito en el juzgado promoviendo incidente de nulidad de actuaciones. En ese escrito manifestaba haber tenido conocimiento de que se seguía un procedimiento de ejecución hipotecaria contra ella en reclamación del pago de un préstamo con garantía hipotecaria constituido sobre determinados bienes inmuebles de su titularidad, sin que le hubiere constado el emplazamiento para personarse en las actuaciones, por lo que entendía que se había producido una vulneración de su derecho a la tutela judicial efectiva (art. 24.1 CE). En el escrito se argumentaba que no se había “respetado la forma prevista para el primer emplazamiento del demandado, cuando aún no se encuentra personado en autos, el cual debe ser personal”, según dispone el art. 155 de la Ley de enjuiciamiento civil (LEC). Con amplia reseña jurisprudencial sobre la relevancia de la corrección de los actos de comunicación con las partes, en el suplico del escrito solicitaba que se le tuviera por parte personada en las actuaciones, por instado el incidente y que el juzgado declarara la nulidad de todas las actuaciones “en base a la falta de tasación de los bienes gravados con la hipoteca que hoy se ejecuta con la consecuencia de declarar la improcedencia de la acción hipotecaria instada, o subsidiariamente, declarar la nulidad de actuaciones judiciales realizadas desde la presentación de la demanda” y otorgarle plazo para ejercitar los derechos de oposición legalmente previstos.</w:t>
      </w:r>
    </w:p>
    <w:p w:rsidR="005728DD" w:rsidRDefault="005728DD" w:rsidP="005728DD">
      <w:pPr>
        <w:pStyle w:val="TextoNormal"/>
      </w:pPr>
    </w:p>
    <w:p w:rsidR="005728DD" w:rsidRDefault="005728DD" w:rsidP="005728DD">
      <w:pPr>
        <w:pStyle w:val="TextoNormal"/>
      </w:pPr>
      <w:r>
        <w:t>d) Una vez admitido a trámite el incidente, la ahora demandante de amparo presentó un escrito el día 20 de mayo de 2019, en el que puso de manifiesto que este tribunal había dictado una sentencia, en concreto la STC 47/2019, de 8 de abril, cuya copia aportaba, en la que se establecía como doctrina la necesidad de que el primer emplazamiento realizado a las personas jurídicas fuera de carácter personal.</w:t>
      </w:r>
    </w:p>
    <w:p w:rsidR="005728DD" w:rsidRDefault="005728DD" w:rsidP="005728DD">
      <w:pPr>
        <w:pStyle w:val="TextoNormal"/>
      </w:pPr>
    </w:p>
    <w:p w:rsidR="005728DD" w:rsidRDefault="005728DD" w:rsidP="005728DD">
      <w:pPr>
        <w:pStyle w:val="TextoNormal"/>
      </w:pPr>
      <w:r>
        <w:t>e) En fecha 27 de febrero de 2020, el juzgado dictó el auto que es objeto de este recurso de amparo. En su fundamento jurídico primero, con apoyo en el art. 152.2, en relación con los arts. 173 y 162.2 LEC, y el art. 11.1 del Real Decreto 1065/2015, de 27 de noviembre, sobre comunicaciones electrónicas en la administración de justicia, el órgano judicial consideró que la entidad recurrente estaba obligada a comunicarse por medios electrónicos con la administración de justicia, y que disponía de una dirección electrónica habilitada a tal efecto, que estaba operativa. En consecuencia, el incidente de nulidad de actuaciones fue desestimado, al entender que el acto de notificación realizado a través de la dirección electrónica habilitada era correcto.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 resolución impugnada vulnera el derecho a la tutela judicial efectiva, sin indefensión (art. 24.1 CE).</w:t>
      </w:r>
    </w:p>
    <w:p w:rsidR="005728DD" w:rsidRDefault="005728DD" w:rsidP="005728DD">
      <w:pPr>
        <w:pStyle w:val="TextoNormal"/>
      </w:pPr>
    </w:p>
    <w:p w:rsidR="005728DD" w:rsidRDefault="005728DD" w:rsidP="005728DD">
      <w:pPr>
        <w:pStyle w:val="TextoNormal"/>
      </w:pPr>
      <w:r>
        <w:t>Tras exponer los antecedentes de hecho que considera de interés, la fundamentación del recurso se basa en la amplia reseña de la doctrina expuesta en la STC 47/2019, de 8 de abril, y en la jurisprudencia allí citada. El recurrente afirma que el órgano judicial incumplió la normativa procesal (art. 155.1 LEC), al haber notificado telemáticamente el primer emplazamiento, cuando la norma exige que se haga de forma personal y con entrega de la documentación anexa. Esta infracción procesal le ha causado indefensión, porque le ha privado del conocimiento de la existencia del proceso y, por lo tanto, del derecho de acceso a la jurisdicción para desplegar su derecho de defensa y poder oponerse a la ejecución hipotecaria despachada.</w:t>
      </w:r>
    </w:p>
    <w:p w:rsidR="005728DD" w:rsidRDefault="005728DD" w:rsidP="005728DD">
      <w:pPr>
        <w:pStyle w:val="TextoNormal"/>
      </w:pPr>
    </w:p>
    <w:p w:rsidR="005728DD" w:rsidRDefault="005728DD" w:rsidP="005728DD">
      <w:pPr>
        <w:pStyle w:val="TextoNormal"/>
      </w:pPr>
      <w:r>
        <w:t>La demanda dedica un apartado a justificar la especial trascendencia constitucional del recurso, en el que se resalta la “contravención” del auto con la doctrina de este tribunal, lo que permite tener por cumplido el requisito exigido en el art. 49.1 de la Ley Orgánica del Tribunal Constitucional (LOTC).</w:t>
      </w:r>
    </w:p>
    <w:p w:rsidR="005728DD" w:rsidRDefault="005728DD" w:rsidP="005728DD">
      <w:pPr>
        <w:pStyle w:val="TextoNormal"/>
      </w:pPr>
    </w:p>
    <w:p w:rsidR="005728DD" w:rsidRDefault="005728DD" w:rsidP="005728DD">
      <w:pPr>
        <w:pStyle w:val="TextoNormal"/>
      </w:pPr>
      <w:r>
        <w:t>La demanda finaliza solicitando su estimación, y la consiguiente nulidad de la resolución impugnada.</w:t>
      </w:r>
    </w:p>
    <w:p w:rsidR="005728DD" w:rsidRDefault="005728DD" w:rsidP="005728DD">
      <w:pPr>
        <w:pStyle w:val="TextoNormal"/>
      </w:pPr>
    </w:p>
    <w:p w:rsidR="005728DD" w:rsidRDefault="005728DD" w:rsidP="005728DD">
      <w:pPr>
        <w:pStyle w:val="TextoNormal"/>
      </w:pPr>
      <w:r>
        <w:t>Por otrosí digo se solicitó la medida cautelar de suspensión de la ejecución del auto recurrido, al amparo de lo dispuesto en el art. 56 LOTC, argumentando la apariencia de buen derecho, basada en el precedente jurisprudencial, y el riesgo de generar una situación irreversible mediante la ejecución y consiguiente subasta de los bienes hipotecados, ofreciendo finalmente una fianza de 1000 € para garantizar los posibles perjuicios frente a terceros.</w:t>
      </w:r>
    </w:p>
    <w:p w:rsidR="005728DD" w:rsidRDefault="005728DD" w:rsidP="005728DD">
      <w:pPr>
        <w:pStyle w:val="TextoNormal"/>
      </w:pPr>
    </w:p>
    <w:p w:rsidR="005728DD" w:rsidRDefault="005728DD" w:rsidP="005728DD">
      <w:pPr>
        <w:pStyle w:val="TextoNormal"/>
      </w:pPr>
      <w:r w:rsidRPr="005728DD">
        <w:rPr>
          <w:rStyle w:val="NumeroAFNegritaCaracter"/>
        </w:rPr>
        <w:t>4</w:t>
      </w:r>
      <w:r>
        <w:t>. Una vez recibidas las actuaciones, la Sección Cuarta de este tribunal dictó providencia el 16 de noviembre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(ii) dirigir atenta comunicación al Juzgado de Primera Instancia e Instrucción núm. 4 de Molina de Segura, a fin de que proceda a “emplazar a quienes hubieran sido parte en el procedimiento” de origen, excepto a la “recurrente en amparo”, para poder comparecer en el presente proceso constitucional en el plazo de diez días; y (iii) formar la correspondiente pieza separada “para la tramitación de la suspensión interesada”.</w:t>
      </w:r>
    </w:p>
    <w:p w:rsidR="005728DD" w:rsidRDefault="005728DD" w:rsidP="005728DD">
      <w:pPr>
        <w:pStyle w:val="TextoNormal"/>
      </w:pPr>
    </w:p>
    <w:p w:rsidR="005728DD" w:rsidRDefault="005728DD" w:rsidP="005728DD">
      <w:pPr>
        <w:pStyle w:val="TextoNormal"/>
      </w:pPr>
      <w:r w:rsidRPr="005728DD">
        <w:rPr>
          <w:rStyle w:val="NumeroAFNegritaCaracter"/>
        </w:rPr>
        <w:t>5</w:t>
      </w:r>
      <w:r>
        <w:t>. En el marco de la pieza separada de suspensión, la entidad recurrente presentó escrito de alegaciones en fecha 26 de noviembre de 2020, reiterando los argumentos expuestos en la demanda; mientras que el Ministerio Fiscal formuló alegaciones mediante dictamen fechado el 2 de diciembre de 2020, interesando la anotación preventiva de la demanda, conforme permite el art. 56.3 LOTC.</w:t>
      </w:r>
    </w:p>
    <w:p w:rsidR="005728DD" w:rsidRDefault="005728DD" w:rsidP="005728DD">
      <w:pPr>
        <w:pStyle w:val="TextoNormal"/>
      </w:pPr>
    </w:p>
    <w:p w:rsidR="005728DD" w:rsidRDefault="005728DD" w:rsidP="005728DD">
      <w:pPr>
        <w:pStyle w:val="TextoNormal"/>
      </w:pPr>
      <w:r>
        <w:t>Por medio del ATC 168/2020, de 14 de diciembre, la Sala Segunda de este tribunal acordó denegar la suspensión cautelar solicitada, ordenando en cambio la anotación preventiva de la demanda de amparo en el registro de la propiedad, conforme a lo dispuesto en el art. 56 LOTC.</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presentado en el registro de este tribunal el 9 de diciembre de 2020, la procuradora de los tribunales doña Paula Bonafuente Escalada, actuando en nombre y representación de la entidad SAREB, S.A., bajo la dirección letrada de don Francisco Moreno Sabater, solicitó que se le tuviera por personada en este recurso, entendiéndose con esa representación las sucesivas diligencias y notificaciones que se produjeran.</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1 de febrero de 2021, la secretaría de justicia de la Sala Segunda de este tribunal dictó diligencia de ordenación por la que se acordó, de un lado, tener por personado y parte a la entidad SAREB, S.A.,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8</w:t>
      </w:r>
      <w:r>
        <w:t>. La fiscal ante el Tribunal Constitucional presentó escrito de alegaciones el 18 de febrero de 2021,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4 de Molina de Segura, en el juicio de ejecución hipotecaria 112-2018”, así como la retroacción de las actuaciones “al momento inmediatamente anterior a dicha notificación para que se le dé al recurrente [la] posibilidad de formular oposición a la ejecución”.</w:t>
      </w:r>
    </w:p>
    <w:p w:rsidR="005728DD" w:rsidRDefault="005728DD" w:rsidP="005728DD">
      <w:pPr>
        <w:pStyle w:val="TextoNormal"/>
      </w:pPr>
    </w:p>
    <w:p w:rsidR="005728DD" w:rsidRDefault="005728DD" w:rsidP="005728DD">
      <w:pPr>
        <w:pStyle w:val="TextoNormal"/>
      </w:pPr>
      <w:r>
        <w:t>En su escrito, la fiscal comienza con una reseña de los antecedentes que consideró de interés, para continuar señalando que nos encontramos ante el mismo supuesto que ya fue resuelto en sentido estimatorio mediante las SSTC 40/2020, de 27 de febrero y 43/2020, de 9 de marzo, cuyo contenido extracta parcialmente.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el art. 155.2 LEC. Una doctrina que, para la fiscal, es plenamente aplicable al presente supuesto.</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Por la secretaría de justicia se ha dictado diligencia el 11 de marzo de 2021, dejando constancia de la presentación del escrito de alegaciones del Ministerio Fiscal, “no habiendo </w:t>
      </w:r>
      <w:r>
        <w:lastRenderedPageBreak/>
        <w:t>efectuado alegación alguna […] las partes personadas”, quedando el asunto concluso y pendiente para deliberación cuando por turno corresponda.</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providencia de fecha 15 de abril de 2021, se señaló para deliberación y votación de la presente sentencia el día 19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presente demanda plantea un supuesto de hecho idéntico a los ya resueltos en anteriores precedentes de este tribunal en los que se impugnaba la actuación judicial consistente en la inadmisión de incidentes de nulidad de actuaciones, por considerar realizados conforme a Derecho las notificaciones de la admisión de una demanda y el consiguiente emplazamiento para personación a través del servicio de notificaciones electrónicas y de dirección electrónica habilitada de la Fábrica Nacional de Moneda y Timbre.</w:t>
      </w:r>
    </w:p>
    <w:p w:rsidR="005728DD" w:rsidRDefault="005728DD" w:rsidP="005728DD">
      <w:pPr>
        <w:pStyle w:val="TextoNormal"/>
      </w:pPr>
    </w:p>
    <w:p w:rsidR="005728DD" w:rsidRDefault="005728DD" w:rsidP="005728DD">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5728DD" w:rsidRDefault="005728DD" w:rsidP="005728DD">
      <w:pPr>
        <w:pStyle w:val="TextoNormal"/>
      </w:pPr>
    </w:p>
    <w:p w:rsidR="005728DD" w:rsidRDefault="005728DD" w:rsidP="005728DD">
      <w:pPr>
        <w:pStyle w:val="TextoNormal"/>
      </w:pPr>
      <w:r>
        <w:t>El Ministerio Fiscal, por su parte, interesa la estimación del amparo. La parte contraria en el procedimiento judicial de origen no ha formulado alegaciones.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Aplicación de la doctrina del Tribunal Constitucional sobre la cuestión planteada</w:t>
      </w:r>
      <w:r>
        <w:t>.</w:t>
      </w:r>
    </w:p>
    <w:p w:rsidR="005728DD" w:rsidRDefault="005728DD" w:rsidP="005728DD">
      <w:pPr>
        <w:pStyle w:val="TextoNormal"/>
      </w:pPr>
    </w:p>
    <w:p w:rsidR="005728DD" w:rsidRDefault="005728DD" w:rsidP="005728DD">
      <w:pPr>
        <w:pStyle w:val="TextoNormal"/>
      </w:pPr>
      <w:r>
        <w:t>Planteado el debate en los términos descritos, debe indicarse que el Pleno de este tribunal ha dictado la STC 47/2019, de 8 de abril, en la que ha tenido la oportunidad de resolver un recurso de amparo donde se dio respuesta a los mismos argumentos que aquí se postulan, con fallo estimatorio de la demanda. El pronunciamiento contenido en la citada STC 47/2019, ha sido ulteriormente reiterado en las SSTC 40/2020, de 27 de febrero; 43/2020, de 9 de marzo; 55/2020, de 15 de junio; 76/2020, de 29 de junio, o 176/2020, de 30 de noviembre, por citar algunas de las más recientes.</w:t>
      </w:r>
    </w:p>
    <w:p w:rsidR="005728DD" w:rsidRDefault="005728DD" w:rsidP="005728DD">
      <w:pPr>
        <w:pStyle w:val="TextoNormal"/>
      </w:pPr>
    </w:p>
    <w:p w:rsidR="005728DD" w:rsidRDefault="005728DD" w:rsidP="005728DD">
      <w:pPr>
        <w:pStyle w:val="TextoNormal"/>
      </w:pPr>
      <w:r>
        <w:t>Descartada en este caso la concurrencia de algún elemento distintivo que obligue a una fundamentación o resultado diferente a lo declarado entonces, procede por tanto que hagamos aplicación de la doctrina expuesta en los citados precedentes.</w:t>
      </w:r>
    </w:p>
    <w:p w:rsidR="005728DD" w:rsidRDefault="005728DD" w:rsidP="005728DD">
      <w:pPr>
        <w:pStyle w:val="TextoNormal"/>
      </w:pPr>
    </w:p>
    <w:p w:rsidR="005728DD" w:rsidRDefault="005728DD" w:rsidP="005728DD">
      <w:pPr>
        <w:pStyle w:val="TextoNormal"/>
      </w:pPr>
      <w:r>
        <w:t xml:space="preserve">Así, en la STC 47/2019, de 8 de abril, FJ 4 a), recaída en un proceso de amparo, con cita de la STC 6/2019, de 17 de enero, FJ 4 a), dictada en sede de cuestión de inconstitucionalidad, se afirma la “garantía del emplazamiento personal del demandado o ejecutado en los procesos regidos en esta materia por la LEC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w:t>
      </w:r>
      <w:r>
        <w:lastRenderedPageBreak/>
        <w:t>regla del art. 273.4 LEC sobre la presentación en papel de las copias de los escritos y documentos para ese primer emplazamiento. El incumplimiento de este deber del órgano judicial “acarrea por tanto la conculcación [del] derecho fundamental” a la tutela judicial efectiva, como ya ha declarado este tribunal en varios recursos de amparo referidos a procesos laborales, civiles y concursales, precisamente en aplicación de la doctrina de referencia (ver, en tal sentido, las SSTC 102/2019, de 16 de septiembre, FJ 2; 150/2019, de 25 de noviembre, FJ 3; 7/2020, de 27 de enero, FJ 2; 122/2019, de 28 de octubre, FJ 3, y STC 129/2019, de 11 de noviembre, FJ 4).</w:t>
      </w:r>
    </w:p>
    <w:p w:rsidR="005728DD" w:rsidRDefault="005728DD" w:rsidP="005728DD">
      <w:pPr>
        <w:pStyle w:val="TextoNormal"/>
      </w:pPr>
    </w:p>
    <w:p w:rsidR="005728DD" w:rsidRDefault="005728DD" w:rsidP="005728DD">
      <w:pPr>
        <w:pStyle w:val="TextoNormal"/>
      </w:pPr>
      <w:r>
        <w:t>En el presente caso, el juzgado optó por un emplazamiento a través del servicio de notificaciones electrónicas y dirección electrónica habilitada de la Fábrica Nacional de Moneda y Timbre, que no está previsto en la normativa procesal para estos casos. Ese sistema de notificación determinó que el procedimiento se siguiera a espaldas de la entidad ahora recurrente, que no pudo ejercer las acciones que tuviera por conveniente. Una vez tuvo conocimiento del proceso, y planteado el correspondiente incidente de nulidad de actuaciones, este fue indebidamente desestimado porque, una vez invocada la doctrina de este tribunal, el juzgado debió aplicarla en el caso concreto a fin de reparar la vulneración alegada, lo que no hizo.</w:t>
      </w:r>
    </w:p>
    <w:p w:rsidR="005728DD" w:rsidRDefault="005728DD" w:rsidP="005728DD">
      <w:pPr>
        <w:pStyle w:val="TextoNormal"/>
      </w:pPr>
    </w:p>
    <w:p w:rsidR="005728DD" w:rsidRDefault="005728DD" w:rsidP="005728DD">
      <w:pPr>
        <w:pStyle w:val="TextoNormal"/>
      </w:pPr>
      <w:r>
        <w:t>En consecuencia, procede la estimación del amparo por vulneración del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Procede, igualmente, el restablecimiento del derecho vulnerado, acordando la nulidad de la resolución impugnada y de todo lo actuado en el procedimiento de origen,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Fuentes y Rebellín, S.L.,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Restablecerla en su derecho y, a tal fin, declarar la nulidad del auto de 27 de febrero de 2020, dictado por el Juzgado de Primera Instancia e Instrucción núm. 4 de Molina de Segura (Murcia) en el proceso de ejecución hipotecaria núm. 112-2018, así como la nulidad de las actuaciones realizadas a partir del decreto de 8 de enero 2019, por el que se acordó la ejecución del auto de la misma fecha, que admitió a trámite de la demanda y el consiguiente despacho de la ejecución.</w:t>
      </w:r>
    </w:p>
    <w:p w:rsidR="005728DD" w:rsidRDefault="005728DD" w:rsidP="005728DD">
      <w:pPr>
        <w:pStyle w:val="TextoNormal"/>
      </w:pPr>
    </w:p>
    <w:p w:rsidR="005728DD" w:rsidRDefault="005728DD" w:rsidP="005728DD">
      <w:pPr>
        <w:pStyle w:val="TextoNormal"/>
      </w:pPr>
      <w:r>
        <w:t xml:space="preserve">3º Retrotraer el procedimiento al momento inmediatamente posterior al dictado del decreto de 8 de enero de 2019, debiendo llevarse a cabo de nuevo por el juzgado el trámite de </w:t>
      </w:r>
      <w:r>
        <w:lastRenderedPageBreak/>
        <w:t>notificación y emplazamiento a la parte demandada,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diecinueve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3" w:name="SENTENCIA_2021_90"/>
      <w:r>
        <w:lastRenderedPageBreak/>
        <w:t>SENTENCIA 90/2021, de 22 de abril de 2021</w:t>
      </w:r>
    </w:p>
    <w:bookmarkEnd w:id="93"/>
    <w:p w:rsidR="005728DD" w:rsidRDefault="005728DD" w:rsidP="005728DD">
      <w:pPr>
        <w:pStyle w:val="TtuloResolucin"/>
      </w:pPr>
      <w:r>
        <w:t>Pleno</w:t>
      </w:r>
    </w:p>
    <w:p w:rsidR="005728DD" w:rsidRDefault="005728DD" w:rsidP="005728DD">
      <w:pPr>
        <w:pStyle w:val="TtuloBOE"/>
      </w:pPr>
      <w:r>
        <w:t>(BOE núm. 119, de 19 de mayo de 2021)</w:t>
      </w:r>
    </w:p>
    <w:p w:rsidR="005728DD" w:rsidRDefault="005728DD" w:rsidP="005728DD">
      <w:pPr>
        <w:pStyle w:val="TextoNormalCentrado"/>
      </w:pPr>
      <w:r>
        <w:t>ECLI:ES:TC:2021:90</w:t>
      </w:r>
    </w:p>
    <w:p w:rsidR="005728DD" w:rsidRDefault="005728DD" w:rsidP="005728DD">
      <w:pPr>
        <w:pStyle w:val="TextoNormalCentrado"/>
      </w:pPr>
    </w:p>
    <w:p w:rsidR="005728DD" w:rsidRDefault="005728DD" w:rsidP="005728DD">
      <w:pPr>
        <w:pStyle w:val="SntesisDescriptiva"/>
      </w:pPr>
      <w:r>
        <w:t>Recurso de amparo 6240-2019. Promovido por don Josep Rull i Andreu respecto de su suspensión como diputado, acordada por la mesa del Congreso de los Diputados.</w:t>
      </w:r>
    </w:p>
    <w:p w:rsidR="005728DD" w:rsidRDefault="005728DD" w:rsidP="005728DD">
      <w:pPr>
        <w:pStyle w:val="SntesisDescriptiva"/>
      </w:pPr>
    </w:p>
    <w:p w:rsidR="005728DD" w:rsidRDefault="005728DD" w:rsidP="005728DD">
      <w:pPr>
        <w:pStyle w:val="SntesisAnaltica"/>
      </w:pPr>
      <w:r>
        <w:t>Supuesta vulneración de los derechos al ejercicio del cargo público representativo y a la tutela judicial: STC 69/2021 (resoluciones parlamentarias que aplican, motivadamente y sin afectar al grupo parlamentario, la previsión legal de suspensión automática del cargo representativo).</w:t>
      </w:r>
    </w:p>
    <w:p w:rsidR="005728DD" w:rsidRDefault="005728DD" w:rsidP="005728DD">
      <w:pPr>
        <w:pStyle w:val="SntesisAnaltica"/>
      </w:pPr>
    </w:p>
    <w:p w:rsidR="005728DD" w:rsidRDefault="005728DD" w:rsidP="005728DD">
      <w:pPr>
        <w:pStyle w:val="Extracto"/>
      </w:pPr>
      <w:r>
        <w:t>1.</w:t>
      </w:r>
      <w:r>
        <w:tab/>
        <w:t xml:space="preserve">Se aplica la doctrina constitucional sentada en las SSTC 97/2020 y 69/2021, relativa a la ausencia de vulneración del derecho a acceder a cargos representativos (art. 23.2 CE), por parte de las resoluciones de la mesa del Congreso de los Diputados que determinan el alcance y los efectos de la suspensión automática en el ejercicio del cargo parlamentario de forma motivada y respetuosa con el núcleo del </w:t>
      </w:r>
      <w:r w:rsidRPr="005728DD">
        <w:rPr>
          <w:i/>
        </w:rPr>
        <w:t xml:space="preserve">ius in officium </w:t>
      </w:r>
      <w:r>
        <w:t>[FJ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6240-2019, promovido por don Josep Rull i Andreu representado por el procurador de los tribunales don Carlos Estévez Sanz y defendido por el letrado don Jaume Alonso-Cuevillas i Sayrol, contra el acuerdo de la mesa del Congreso de los Diputados de 25 (sic) de julio de 2019, por el que se desestima la solicitud de reconsideración presentada contra el acuerdo del mismo órgano de gobierno de la Cámara de 5 de junio de 2019, complementario del acuerdo de 24 de mayo de 2019, en relación con la declaración de suspensión como diputado del recurrente. Ha comparecido y presentado alegaciones el Congreso de los Diputados, representado por la letrada de las Cortes Generales. Ha intervenido el Ministerio Fiscal.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general del Tribunal Constitucional el 31 de octubre de 2019, el procurador de los tribunales don Carlos Estévez Sanz presentó recurso de amparo en representación de don Josep Rull i Andreu contra las resoluciones de la mesa del Congreso de los Diputados reseñadas en el encabezamiento de la presente sentencia.</w:t>
      </w:r>
    </w:p>
    <w:p w:rsidR="005728DD" w:rsidRDefault="005728DD" w:rsidP="005728DD">
      <w:pPr>
        <w:pStyle w:val="TextoNormal"/>
      </w:pPr>
    </w:p>
    <w:p w:rsidR="005728DD" w:rsidRDefault="005728DD" w:rsidP="005728DD">
      <w:pPr>
        <w:pStyle w:val="TextoNormal"/>
      </w:pPr>
      <w:r>
        <w:t>A) Los hechos expuestos en la demanda son, en síntesis, los siguientes:</w:t>
      </w:r>
    </w:p>
    <w:p w:rsidR="005728DD" w:rsidRDefault="005728DD" w:rsidP="005728DD">
      <w:pPr>
        <w:pStyle w:val="TextoNormal"/>
      </w:pPr>
    </w:p>
    <w:p w:rsidR="005728DD" w:rsidRDefault="005728DD" w:rsidP="005728DD">
      <w:pPr>
        <w:pStyle w:val="TextoNormal"/>
      </w:pPr>
      <w:r>
        <w:t>a) El 21 de marzo de 2018, el magistrado de la Sala de lo Penal del Tribunal Supremo que instruía la causa especial 20907-2017 dictó auto de procesamiento contra, entre otras personas, el demandante, entonces diputado del Parlamento de Cataluña, quien, acusado inicialmente de sedición, se hallaba en prisión provisional desde el 23 de marzo de 2018. El procesamiento lo fue por un posible delito de rebelión.</w:t>
      </w:r>
    </w:p>
    <w:p w:rsidR="005728DD" w:rsidRDefault="005728DD" w:rsidP="005728DD">
      <w:pPr>
        <w:pStyle w:val="TextoNormal"/>
      </w:pPr>
    </w:p>
    <w:p w:rsidR="005728DD" w:rsidRDefault="005728DD" w:rsidP="005728DD">
      <w:pPr>
        <w:pStyle w:val="TextoNormal"/>
      </w:pPr>
      <w:r>
        <w:t>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005728DD" w:rsidRDefault="005728DD" w:rsidP="005728DD">
      <w:pPr>
        <w:pStyle w:val="TextoNormal"/>
      </w:pPr>
    </w:p>
    <w:p w:rsidR="005728DD" w:rsidRDefault="005728DD" w:rsidP="005728DD">
      <w:pPr>
        <w:pStyle w:val="TextoNormal"/>
      </w:pPr>
      <w:r>
        <w:t>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005728DD" w:rsidRDefault="005728DD" w:rsidP="005728DD">
      <w:pPr>
        <w:pStyle w:val="TextoNormal"/>
      </w:pPr>
    </w:p>
    <w:p w:rsidR="005728DD" w:rsidRDefault="005728DD" w:rsidP="005728DD">
      <w:pPr>
        <w:pStyle w:val="TextoNormal"/>
      </w:pPr>
      <w:r>
        <w:t>d) El 28 de abril de 2019 se celebraron elecciones a Cortes Generales. La Junta Electoral Provincial de Barcelona proclamó diputado al Congreso al señor Josep Rull i Andreu que concurrió a los comicios en la candidatura electoral de Junts per Catalunya. El 21 de mayo, el recurrente concurrió a la sesión constitutiva del Congreso de los Diputados y participó en la votación para elegir a los miembros de la mesa de la Cámara.</w:t>
      </w:r>
    </w:p>
    <w:p w:rsidR="005728DD" w:rsidRDefault="005728DD" w:rsidP="005728DD">
      <w:pPr>
        <w:pStyle w:val="TextoNormal"/>
      </w:pPr>
    </w:p>
    <w:p w:rsidR="005728DD" w:rsidRDefault="005728DD" w:rsidP="005728DD">
      <w:pPr>
        <w:pStyle w:val="TextoNormal"/>
      </w:pPr>
      <w:r>
        <w:t xml:space="preserve">e) El 24 de mayo, la mesa del Congreso de los Diputados acordó declarar automáticamente suspendidos en el cargo y, por tanto, en los derechos y deberes establecidos en el Reglamento de la Cámara, con efectos desde el 21 de mayo de 2019, al demandante de amparo, además de a los señores don Oriol Junqueras i Vies, Jordi Sànchez i Picanyol y don Jordi Turull i Negre, por concurrir las circunstancias necesarias para la aplicación del artículo 384 </w:t>
      </w:r>
      <w:r w:rsidRPr="005728DD">
        <w:rPr>
          <w:i/>
        </w:rPr>
        <w:t>bis</w:t>
      </w:r>
      <w:r>
        <w:t xml:space="preserve"> de la Ley de enjuiciamiento criminal (LECrim). Se acordó comunicarlo así a los afectados y al Tribunal Supremo y encomendar a la secretaría general de la cámara la adopción de las medidas cautelares oportunas.</w:t>
      </w:r>
    </w:p>
    <w:p w:rsidR="005728DD" w:rsidRDefault="005728DD" w:rsidP="005728DD">
      <w:pPr>
        <w:pStyle w:val="TextoNormal"/>
      </w:pPr>
    </w:p>
    <w:p w:rsidR="005728DD" w:rsidRDefault="005728DD" w:rsidP="005728DD">
      <w:pPr>
        <w:pStyle w:val="TextoNormal"/>
      </w:pPr>
      <w:r>
        <w:lastRenderedPageBreak/>
        <w:t>f) Contra el acuerdo anterior se presentó una solicitud de reconsideración, ampliada posteriormente, ante la mesa del Congreso de los Diputados, que la desestimó el 11 de junio de 2019. Contra los citados acuerdos de 24 de mayo y de 11 de junio de 2019 se interpuso recurso de amparo por el ahora recurrente (recurso de amparo 5199-2019), que fue desestimado por STC 194/2020, de 17 de diciembre.</w:t>
      </w:r>
    </w:p>
    <w:p w:rsidR="005728DD" w:rsidRDefault="005728DD" w:rsidP="005728DD">
      <w:pPr>
        <w:pStyle w:val="TextoNormal"/>
      </w:pPr>
    </w:p>
    <w:p w:rsidR="005728DD" w:rsidRDefault="005728DD" w:rsidP="005728DD">
      <w:pPr>
        <w:pStyle w:val="TextoNormal"/>
      </w:pPr>
      <w:r>
        <w:t>g) Con fecha de 5 de junio de 2019, la mesa del Congreso de los Diputados adopta el siguiente acuerdo, complementario al anterior de 24 de mayo:</w:t>
      </w:r>
    </w:p>
    <w:p w:rsidR="005728DD" w:rsidRDefault="005728DD" w:rsidP="005728DD">
      <w:pPr>
        <w:pStyle w:val="TextoNormal"/>
      </w:pPr>
    </w:p>
    <w:p w:rsidR="005728DD" w:rsidRDefault="005728DD" w:rsidP="005728DD">
      <w:pPr>
        <w:pStyle w:val="TextoNormal"/>
      </w:pPr>
      <w:r>
        <w:t>“1. Que la suspensión en el ejercicio del cargo y, por tanto, en los derechos y deberes establecidos en el Reglamento de la Cámara, a los Excmos. Sres. D. Oriol Junqueras i Vies, D. Josep Rull i Andreu, D. Jordi Sànchez i Picanyol y D. Jordi Turull i Negre, acordada por la Mesa de la Cámara en su reunión del día 24 de mayo de 2019, no puede afectar al cómputo legal del número de miembros de la Cámara, ya que se les priva del ejercicio pero no de la titularidad del cargo.</w:t>
      </w:r>
    </w:p>
    <w:p w:rsidR="005728DD" w:rsidRDefault="005728DD" w:rsidP="005728DD">
      <w:pPr>
        <w:pStyle w:val="TextoNormal"/>
      </w:pPr>
    </w:p>
    <w:p w:rsidR="005728DD" w:rsidRDefault="005728DD" w:rsidP="005728DD">
      <w:pPr>
        <w:pStyle w:val="TextoNormal"/>
      </w:pPr>
      <w:r>
        <w:t>Por ello, debe entenderse que los diputados suspendidos mantienen la condición de miembros de la Cámara y, en consecuencia, deben computar a efectos de su composición fijada en 350 desde el día de su constitución, no afectando así al número de votos requerido para alcanzar la mayoría absoluta (176) ni al resto de las mayorías especiales que establezca la Constitución, las leyes orgánicas o el Reglamento del Congreso.</w:t>
      </w:r>
    </w:p>
    <w:p w:rsidR="005728DD" w:rsidRDefault="005728DD" w:rsidP="005728DD">
      <w:pPr>
        <w:pStyle w:val="TextoNormal"/>
      </w:pPr>
    </w:p>
    <w:p w:rsidR="005728DD" w:rsidRDefault="005728DD" w:rsidP="005728DD">
      <w:pPr>
        <w:pStyle w:val="TextoNormal"/>
      </w:pPr>
      <w:r>
        <w:t>2. Que, del mismo modo, cuando el Reglamento de la Cámara señala que la composición de un determinado órgano se haga de manera proporcional a la importancia numérica de los grupos parlamentarios, la referencia base de esa proporcionalidad debe ser la total señalada de 350, si bien, en la medida en que los citados diputados no pueden pertenecer a ninguna Comisión, ni formar parte de otros órganos como las Ponencias o Subcomisiones, esta circunstancia habrá de ser tenida en cuenta en el momento de determinar el número de miembros que en los distintos órganos corresponderá designar al Grupo Parlamentario Mixto.</w:t>
      </w:r>
    </w:p>
    <w:p w:rsidR="005728DD" w:rsidRDefault="005728DD" w:rsidP="005728DD">
      <w:pPr>
        <w:pStyle w:val="TextoNormal"/>
      </w:pPr>
    </w:p>
    <w:p w:rsidR="005728DD" w:rsidRDefault="005728DD" w:rsidP="005728DD">
      <w:pPr>
        <w:pStyle w:val="TextoNormal"/>
      </w:pPr>
      <w:r>
        <w:t xml:space="preserve">3. Que, considerando que la suspensión afecta a todos los derechos del diputado, incluyendo también el de incorporarse a un grupo parlamentario concreto, puesto que según la jurisprudencia constitucional (STC 76/2017) la formación de grupo parlamentario es un derecho del diputado que pertenece al núcleo esencial de su </w:t>
      </w:r>
      <w:r w:rsidRPr="005728DD">
        <w:rPr>
          <w:i/>
        </w:rPr>
        <w:t>ius in officium</w:t>
      </w:r>
      <w:r>
        <w:t>, procede la incorporación de los diputados suspendidos al Grupo Parlamentario Mixto.</w:t>
      </w:r>
    </w:p>
    <w:p w:rsidR="005728DD" w:rsidRDefault="005728DD" w:rsidP="005728DD">
      <w:pPr>
        <w:pStyle w:val="TextoNormal"/>
      </w:pPr>
    </w:p>
    <w:p w:rsidR="005728DD" w:rsidRDefault="005728DD" w:rsidP="005728DD">
      <w:pPr>
        <w:pStyle w:val="TextoNormal"/>
      </w:pPr>
      <w:r>
        <w:t>4. Que, no obstante lo anterior, la incorporación al Grupo Mixto lo debe ser tan solo a efectos de cumplir con el artículo 25.1 del Reglamento, pero no puede servir ni a efectos de ponderar el voto en los casos en que sea precisa tal ponderación, como por ejemplo en la Junta de Portavoces, ni para la asignación del número de iniciativas correspondientes a dicho grupo cuya inclusión se establezca con referencia a un sistema de cupo, como las preguntas con respuesta oral en Pleno, las interpelaciones, proposiciones de Ley y proposiciones no de Ley en Pleno. A estos efectos, se descontarán los cuatro diputados suspendidos del número total de miembros del Grupo Parlamentario Mixto, una vez se formalice su incorporación al mismo.</w:t>
      </w:r>
    </w:p>
    <w:p w:rsidR="005728DD" w:rsidRDefault="005728DD" w:rsidP="005728DD">
      <w:pPr>
        <w:pStyle w:val="TextoNormal"/>
      </w:pPr>
    </w:p>
    <w:p w:rsidR="005728DD" w:rsidRDefault="005728DD" w:rsidP="005728DD">
      <w:pPr>
        <w:pStyle w:val="TextoNormal"/>
      </w:pPr>
      <w:r>
        <w:t xml:space="preserve">5. No autorizar el abono de las percepciones económicas propias de la condición de diputado, incluidas las que habrían correspondido a los citados diputados entre el 28 de abril y </w:t>
      </w:r>
      <w:r>
        <w:lastRenderedPageBreak/>
        <w:t>el 21 de mayo de 2019 conforme el acuerdo adoptado por la Mesa de la Cámara el día 23 de mayo de 2019, en relación con el devengo de las retribuciones de los diputados de la XIII Legislatura.</w:t>
      </w:r>
    </w:p>
    <w:p w:rsidR="005728DD" w:rsidRDefault="005728DD" w:rsidP="005728DD">
      <w:pPr>
        <w:pStyle w:val="TextoNormal"/>
      </w:pPr>
    </w:p>
    <w:p w:rsidR="005728DD" w:rsidRDefault="005728DD" w:rsidP="005728DD">
      <w:pPr>
        <w:pStyle w:val="TextoNormal"/>
      </w:pPr>
      <w:r>
        <w:t>Todo ello, teniendo en cuenta que, al haberse declarado automáticamente suspendidos sus derechos tan pronto como perfeccionaron su condición, y mientras esta suspensión se mantenga, aquellos no han llegado a desplegar sus efectos, así como el hecho de que los diputados tenían, asimismo, la condición de diputados del Parlament de Cataluña durante el periodo anterior a la constitución de la Cámara.</w:t>
      </w:r>
    </w:p>
    <w:p w:rsidR="005728DD" w:rsidRDefault="005728DD" w:rsidP="005728DD">
      <w:pPr>
        <w:pStyle w:val="TextoNormal"/>
      </w:pPr>
    </w:p>
    <w:p w:rsidR="005728DD" w:rsidRDefault="005728DD" w:rsidP="005728DD">
      <w:pPr>
        <w:pStyle w:val="TextoNormal"/>
      </w:pPr>
      <w:r>
        <w:t>6. Detraer la parte proporcional de la subvención correspondiente al Grupo Parlamentario Mixto, en lo relativo a la pertenencia al mismo de dichos diputados, una vez se formalice su incorporación a aquel.</w:t>
      </w:r>
    </w:p>
    <w:p w:rsidR="005728DD" w:rsidRDefault="005728DD" w:rsidP="005728DD">
      <w:pPr>
        <w:pStyle w:val="TextoNormal"/>
      </w:pPr>
    </w:p>
    <w:p w:rsidR="005728DD" w:rsidRDefault="005728DD" w:rsidP="005728DD">
      <w:pPr>
        <w:pStyle w:val="TextoNormal"/>
      </w:pPr>
      <w:r>
        <w:t>7. Proceder a dar de baja a los mencionados diputados en la cobertura de protección social prevista en el artículo 9 del Reglamento de la Cámara, así como en la póliza de accidentes contratada por las Cortes Generales, mientras se mantenga la suspensión de sus derechos”.</w:t>
      </w:r>
    </w:p>
    <w:p w:rsidR="005728DD" w:rsidRDefault="005728DD" w:rsidP="005728DD">
      <w:pPr>
        <w:pStyle w:val="TextoNormal"/>
      </w:pPr>
    </w:p>
    <w:p w:rsidR="005728DD" w:rsidRDefault="005728DD" w:rsidP="005728DD">
      <w:pPr>
        <w:pStyle w:val="TextoNormal"/>
      </w:pPr>
      <w:r>
        <w:t>h) Contra el acuerdo anterior se presentó una solicitud de reconsideración ante la mesa del Congreso de los Diputados, que la desestimó el 25 (</w:t>
      </w:r>
      <w:r w:rsidRPr="005728DD">
        <w:rPr>
          <w:i/>
        </w:rPr>
        <w:t>sic</w:t>
      </w:r>
      <w:r>
        <w:t>) de julio de 2019. Contra los citados acuerdos de 5 de junio y 25 (</w:t>
      </w:r>
      <w:r w:rsidRPr="005728DD">
        <w:rPr>
          <w:i/>
        </w:rPr>
        <w:t>sic</w:t>
      </w:r>
      <w:r>
        <w:t>) de julio de 2019 se interpuso el presente recurso de amparo.</w:t>
      </w:r>
    </w:p>
    <w:p w:rsidR="005728DD" w:rsidRDefault="005728DD" w:rsidP="005728DD">
      <w:pPr>
        <w:pStyle w:val="TextoNormal"/>
      </w:pPr>
    </w:p>
    <w:p w:rsidR="005728DD" w:rsidRDefault="005728DD" w:rsidP="005728DD">
      <w:pPr>
        <w:pStyle w:val="TextoNormal"/>
      </w:pPr>
      <w:r>
        <w:t>B) La fundamentación en Derecho de la demanda de amparo puede ser resumida como sigue:</w:t>
      </w:r>
    </w:p>
    <w:p w:rsidR="005728DD" w:rsidRDefault="005728DD" w:rsidP="005728DD">
      <w:pPr>
        <w:pStyle w:val="TextoNormal"/>
      </w:pPr>
    </w:p>
    <w:p w:rsidR="005728DD" w:rsidRDefault="005728DD" w:rsidP="005728DD">
      <w:pPr>
        <w:pStyle w:val="TextoNormal"/>
      </w:pPr>
      <w:r>
        <w:t>a) Se estiman infringidos los derechos reconocidos en los artículos 23.2 y 24.2 CE, en conexión con los artículos 9.3, 16.1, 20.1 d) (</w:t>
      </w:r>
      <w:r w:rsidRPr="005728DD">
        <w:rPr>
          <w:i/>
        </w:rPr>
        <w:t>sic</w:t>
      </w:r>
      <w:r>
        <w:t>), 23.1, 24.1, 25, 33.3,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para la protección de los derechos humanos y de las libertades fundamentales (CEDH), que, conforme al artículo 6.3 TUE, forma parte, como principio general, del Derecho de la Unión Europea. Se invocan, asimismo, los artículos 17 y 48.1 de la Carta de los derechos fundamentales de la Unión Europea (CDFUE), el artículo 14.2 del Pacto internacional de derechos civiles y políticos (PIDCP), los artículos 6 y 7 del antes citado CEDH y el artículo 1 del Protocolo núm. 1 a dicho convenio.</w:t>
      </w:r>
    </w:p>
    <w:p w:rsidR="005728DD" w:rsidRDefault="005728DD" w:rsidP="005728DD">
      <w:pPr>
        <w:pStyle w:val="TextoNormal"/>
      </w:pPr>
    </w:p>
    <w:p w:rsidR="005728DD" w:rsidRDefault="005728DD" w:rsidP="005728DD">
      <w:pPr>
        <w:pStyle w:val="TextoNormal"/>
      </w:pPr>
      <w:r>
        <w:t>b) Tras justificar la especial trascendencia constitucional del recurso, la demanda comienza por referirse a los argumentos expuestos por la mesa del Congreso de los Diputados para rechazar, en el acuerdo de 25 (</w:t>
      </w:r>
      <w:r w:rsidRPr="005728DD">
        <w:rPr>
          <w:i/>
        </w:rPr>
        <w:t>sic</w:t>
      </w:r>
      <w:r>
        <w:t>) de julio de 2019, la reconsideración de su resolución inicial, acuerdo de 5 de junio del mismo año, porque se considera que dichos acuerdos no tienen ninguna justificación jurídica que los avale.</w:t>
      </w:r>
    </w:p>
    <w:p w:rsidR="005728DD" w:rsidRDefault="005728DD" w:rsidP="005728DD">
      <w:pPr>
        <w:pStyle w:val="TextoNormal"/>
      </w:pPr>
    </w:p>
    <w:p w:rsidR="005728DD" w:rsidRDefault="005728DD" w:rsidP="005728DD">
      <w:pPr>
        <w:pStyle w:val="TextoNormal"/>
      </w:pPr>
      <w:r>
        <w:t xml:space="preserve">c) Los acuerdos impugnados en el presente recurso de amparo traen causa, según la demanda, de los acuerdos de la mesa del Congreso de 24 de mayo y 11 de junio de 2019, relativos a la suspensión del recurrente en el ejercicio del cargo de diputado. Por ello, la </w:t>
      </w:r>
      <w:r>
        <w:lastRenderedPageBreak/>
        <w:t xml:space="preserve">demanda da por reproducidos los argumentos esgrimidos en el recurso de amparo (núm. 5199-2019) planteado frente a los mismos, afirmando que la nulidad de dichos acuerdos traería como consecuencia la nulidad de los que ahora se recurren. A ello añade una serie de consideraciones adicionales. Por una parte, se refiere la demanda a que, con posterioridad a la interposición del recurso de amparo núm. 5199-2019, la Sala de lo Penal del Tribunal Supremo dictó sentencia en la causa especial 20907-2017, absolviendo al recurrente del delito de rebelión por el que había sido procesado por auto del magistrado instructor de la Sala de lo Penal del Tribunal Supremo de 21 de marzo de 2018. Entiende la parte recurrente que “la absolución por este delito confirma los argumentos de esta parte en relación con el uso torticero del procesamiento por rebelión para privar al recurrente, como al resto de los cargos electos procesados en aquella causa, de sus derechos políticos, con base en una interpretación radicalmente antidemocrática, así como contraria a los derechos fundamentales, del artículo 384 </w:t>
      </w:r>
      <w:r w:rsidRPr="005728DD">
        <w:rPr>
          <w:i/>
        </w:rPr>
        <w:t>bis</w:t>
      </w:r>
      <w:r>
        <w:t xml:space="preserve"> de la Ley de Enjuiciamiento Criminal”. Asimismo considera que “el procesamiento del recurrente por el delito de rebelión obedeció, como señaló el grupo de trabajo de las Naciones Unidas sobre la detención arbitraria en su opinión 6/2019, de 25 de abril de 2019, al ejercicio, por el recurrente, de sus derechos fundamentales, reconocidos en la Constitución, en el Convenio europeo para la protección de los derechos humanos y de las libertades fundamentales y en el Pacto internacional de derechos civiles y políticos, incluido su derecho de participación política”.</w:t>
      </w:r>
    </w:p>
    <w:p w:rsidR="005728DD" w:rsidRDefault="005728DD" w:rsidP="005728DD">
      <w:pPr>
        <w:pStyle w:val="TextoNormal"/>
      </w:pPr>
    </w:p>
    <w:p w:rsidR="005728DD" w:rsidRDefault="005728DD" w:rsidP="005728DD">
      <w:pPr>
        <w:pStyle w:val="TextoNormal"/>
      </w:pPr>
      <w:r>
        <w:t xml:space="preserve">Por otra parte, se afirma que “más relevante si cabe resulta, a los efectos de lo que aquí se discute, el auto del magistrado instructor de la Sala de lo Penal del Tribunal Supremo de 14 de octubre de 2019, en que, sin modificar el procesamiento por rebelión de los señores Carles Puigdemont y Antoni Comín, acuerda que no procede, respecto de ellos, la suspensión a la que se refiere el artículo 384 </w:t>
      </w:r>
      <w:r w:rsidRPr="005728DD">
        <w:rPr>
          <w:i/>
        </w:rPr>
        <w:t>bis</w:t>
      </w:r>
      <w:r>
        <w:t xml:space="preserve"> de la Ley de enjuiciamiento criminal”. Considera el recurrente que este auto desmiente lo afirmado en el ATC 13/2019, de 26 de septiembre, mediante el que denegó la suspensión cautelar solicitada. Además, añade, “viene a poner de manifiesto la absoluta arbitrariedad de la actuación del Pleno del Tribunal Constitucional, que, con grosera vulneración del derecho a la tutela judicial efectiva, en su manifestación de derecho a la tutela judicial cautelar, así como a los derechos de participación y representación políticas del recurrente, y con pretextos que ahora han quedado desmentidos, denegó la suspensión cautelar (en relación con el recurrente, el ATC 13/2019, pero también en los AATC 128/2018, 12/2019 y 16/2019 respecto de otros procesados en la misma causa), solicitada al amparo del artículo 56 LOTC, del auto del magistrado instructor de la Sala de lo Penal del Tribunal Supremo de 9 de julio de 2018, así como el auto de la Sala de lo Penal de 30 de julio de 2018, que pretendieron suspender al recurrente como diputado al Parlamento de Cataluña”. A juicio del recurrente, el citado auto de 14 de octubre de 2019 ha venido a confirmar su interpretación y ha quedado acreditado que, contrariamente a lo que afirmó la mesa del Congreso de los Diputados en sus acuerdos de 24 de mayo y 11 de junio de 2019 [en los que se pretenden fundamentar los acuerdos de 5 de junio y 30 de julio de 2019 (</w:t>
      </w:r>
      <w:r w:rsidRPr="005728DD">
        <w:rPr>
          <w:i/>
        </w:rPr>
        <w:t>sic</w:t>
      </w:r>
      <w:r>
        <w:t xml:space="preserve">) impugnados en este recurso de amparo], el artículo 384 </w:t>
      </w:r>
      <w:r w:rsidRPr="005728DD">
        <w:rPr>
          <w:i/>
        </w:rPr>
        <w:t>bis</w:t>
      </w:r>
      <w:r>
        <w:t xml:space="preserve"> LECrim no supone la automática suspensión de un procesado por delito de rebelión que se encuentre en prisión provisional, sino que tal suspensión requiere en todo caso una actividad de ponderación de los intereses en conflicto que en todo caso debe dar lugar a una resolución judicial expresa. Considera que así lo pone claramente de manifiesto el hecho de que el auto del magistrado instructor de 14 de octubre de 2019, sin revisar el auto de procesamiento por delito de rebelión que afecta a los Excmos. Sres. Carles Puigdemont i Antoni Comín, haya acordado que tal precepto no resulta de aplicación a su situación personal.</w:t>
      </w:r>
    </w:p>
    <w:p w:rsidR="005728DD" w:rsidRDefault="005728DD" w:rsidP="005728DD">
      <w:pPr>
        <w:pStyle w:val="TextoNormal"/>
      </w:pPr>
    </w:p>
    <w:p w:rsidR="005728DD" w:rsidRDefault="005728DD" w:rsidP="005728DD">
      <w:pPr>
        <w:pStyle w:val="TextoNormal"/>
      </w:pPr>
      <w:r>
        <w:t xml:space="preserve">El recurrente señala que “este Tribunal Constitucional, lejos de amparar el ejercicio de los derechos de participación y representación políticas por parte de unos diputados democráticamente elegidos por las ciudadanas y los ciudadanos de Cataluña, con su actuación [...] ha amparado y coadyuvado a una actuación ilegal e ilegítima que ha vulnerado, no solo los derechos del recurrente, sino también los de las ciudadanas y los ciudadanos que lo eligieron, primero, como diputado al Parlamento de Cataluña, y posteriormente, como diputado del Congreso de los Diputados”. Sigue el recurrente afirmando que “el Tribunal Constitucional, al obrar de este modo, se ha situado por completo al margen del Derecho y ha dejado de actuar en el ejercicio de sus funciones constitucionales propias y ha puesto en riesgo máximo, para todos los ciudadanos y las ciudadanas de Cataluña, la efectividad de cuantas garantías y derechos preservan para ellos el Convenio europeo para la protección de los derechos humanos y de las libertades fundamentales (en particular el artículo 3 de su Protocolo núm. 1), así como el Pacto internacional de derechos civiles y políticos (en particular su artículo 25). Pero no solo estos, sino también el derecho a un proceso equitativo, el derecho a la legalidad penal (dado el carácter claramente sancionador del artículo 384 </w:t>
      </w:r>
      <w:r w:rsidRPr="005728DD">
        <w:rPr>
          <w:i/>
        </w:rPr>
        <w:t>bis</w:t>
      </w:r>
      <w:r>
        <w:t xml:space="preserve"> de la Ley de Enjuiciamiento Criminal), los derechos a las libertades de expresión, ideológica y de reunión, el derecho a un recurso efectivo, así como la prohibición de discriminación. Y en lo que respecta al recurrente, claramente, el derecho a la presunción de inocencia”. A su juicio, “de esta actuación ilegal e ilegítima de las instituciones del Estado no son sino un elemento más los acuerdos de la mesa del Congreso de los Diputados de 5 de junio y 30 de julio de 2019, impugnados en el presente recurso de amparo. Las decisiones previstas en dichos acuerdos, como la suspensión acordada por la mesa de la Cámara, ni estaba prevista en la ley, ni respondía a un objetivo legítimo, ni mucho menos era necesaria en una sociedad democrática, sino, antes bien, diametralmente contraria a las necesidades de una sociedad democrática”.</w:t>
      </w:r>
    </w:p>
    <w:p w:rsidR="005728DD" w:rsidRDefault="005728DD" w:rsidP="005728DD">
      <w:pPr>
        <w:pStyle w:val="TextoNormal"/>
      </w:pPr>
    </w:p>
    <w:p w:rsidR="005728DD" w:rsidRDefault="005728DD" w:rsidP="005728DD">
      <w:pPr>
        <w:pStyle w:val="TextoNormal"/>
      </w:pPr>
      <w:r>
        <w:t>Recuerda, a este respecto, la opinión de la Comisión de Venecia del Consejo de Europa sobre la Ley Orgánica 15/2015, de 16 de octubre, de reforma de la Ley Orgánica 2/1979, de 3 de octubre, del Tribunal Constitucional, en relación con el actual artículo 92.4 b) LOTC, en la que señala que la suspensión de parlamentarios con un mandato democrático resulta problemática, especialmente desde la perspectiva de su inmunidad. Entendiendo, además, que dicha conclusión “es perfectamente trasladable a la suspensión de diputados acordada por la mesa del Congreso de los Diputados en sus acuerdos de 5 de junio y 25</w:t>
      </w:r>
      <w:r w:rsidRPr="005728DD">
        <w:rPr>
          <w:i/>
        </w:rPr>
        <w:t xml:space="preserve"> (s</w:t>
      </w:r>
      <w:r>
        <w:t>ic) de julio de 2019”.</w:t>
      </w:r>
    </w:p>
    <w:p w:rsidR="005728DD" w:rsidRDefault="005728DD" w:rsidP="005728DD">
      <w:pPr>
        <w:pStyle w:val="TextoNormal"/>
      </w:pPr>
    </w:p>
    <w:p w:rsidR="005728DD" w:rsidRDefault="005728DD" w:rsidP="005728DD">
      <w:pPr>
        <w:pStyle w:val="TextoNormal"/>
      </w:pPr>
      <w:r>
        <w:t>d) Los acuerdos son nulos de pleno derecho por vulnerar autónomamente los derechos reconocidos en los artículos 14 y 23 CE, así como el artículo 3 del Protocolo núm. 1 CEDH.</w:t>
      </w:r>
    </w:p>
    <w:p w:rsidR="005728DD" w:rsidRDefault="005728DD" w:rsidP="005728DD">
      <w:pPr>
        <w:pStyle w:val="TextoNormal"/>
      </w:pPr>
    </w:p>
    <w:p w:rsidR="005728DD" w:rsidRDefault="005728DD" w:rsidP="005728DD">
      <w:pPr>
        <w:pStyle w:val="TextoNormal"/>
      </w:pPr>
      <w:r>
        <w:t xml:space="preserve">(i) La demanda alega, en primer lugar, que el acuerdo de 5 de junio de 2019 fue dictado por un órgano manifiestamente incompetente, y que se ha producido la vulneración del derecho del diputado recurrente por su adopción sin audiencia de la junta de portavoces. El acuerdo de 5 de junio de 2019, en su apartado segundo, dispone expresamente que la suspensión de determinados diputados supone que los mismos “no pueden pertenecer a ninguna comisión, ni formar parte de otros órganos como las ponencias o subcomisiones”. Señala, además, que “esta circunstancia habrá de ser tenida en cuenta en el momento de determinar el número de miembros que en los distintos órganos corresponderá designar al Grupo Parlamentario Mixto”. Este último inciso se trata, a juicio de la demanda, de una disposición </w:t>
      </w:r>
      <w:r>
        <w:lastRenderedPageBreak/>
        <w:t>de carácter general, en los términos de la STC 118/1998, de 20 de junio. Se trata de “un instrumento ordenador que, como tal, completa el reglamento erigiéndose en pauta rectora de ulteriores relaciones y situaciones jurídicas, cuya eficacia no se agota en una aplicación, sino que permanece”.</w:t>
      </w:r>
    </w:p>
    <w:p w:rsidR="005728DD" w:rsidRDefault="005728DD" w:rsidP="005728DD">
      <w:pPr>
        <w:pStyle w:val="TextoNormal"/>
      </w:pPr>
    </w:p>
    <w:p w:rsidR="005728DD" w:rsidRDefault="005728DD" w:rsidP="005728DD">
      <w:pPr>
        <w:pStyle w:val="TextoNormal"/>
      </w:pPr>
      <w:r>
        <w:t xml:space="preserve">La competencia para la adopción de las disposiciones de carácter general corresponde, según el artículo 32.2 del Reglamento del Congreso de los Diputados (RCD) a la presidencia de la Cámara, oída la junta de portavoces. Al adoptarse, pues, dicho inciso del acuerdo por un órgano al que no correspondía (la mesa, en lugar de la presidencia de la cámara), sin la preceptiva audiencia de la junta de portavoces (art. 32.2 RCD) se ha producido, a juicio de la demanda, idéntica vulneración a la apreciada por el Tribunal Constitucional en las SSTC 107/2016, 108/2016 y 109/2016, todas ellas de 7 junio, en las que se destacó el carácter esencial del trámite de audiencia a la junta de portavoces. En consecuencia, la adopción por la mesa del segundo apartado del acuerdo de 5 de junio, incurrió en vicio de incompetencia y vulneró el </w:t>
      </w:r>
      <w:r w:rsidRPr="005728DD">
        <w:rPr>
          <w:i/>
        </w:rPr>
        <w:t>ius in officium</w:t>
      </w:r>
      <w:r>
        <w:t xml:space="preserve"> de las diputadas y de los diputados del Grupo Parlamentario Mixto, incluido el recurrente.</w:t>
      </w:r>
    </w:p>
    <w:p w:rsidR="005728DD" w:rsidRDefault="005728DD" w:rsidP="005728DD">
      <w:pPr>
        <w:pStyle w:val="TextoNormal"/>
      </w:pPr>
    </w:p>
    <w:p w:rsidR="005728DD" w:rsidRDefault="005728DD" w:rsidP="005728DD">
      <w:pPr>
        <w:pStyle w:val="TextoNormal"/>
      </w:pPr>
      <w:r>
        <w:t>(ii) Aduce asimismo la demanda que los acuerdos son nulos de pleno derecho por cuanto alteran las mayorías del Congreso de los Diputados, vulneran los derechos de los diputados del Grupo Mixto, con expresa vulneración del Reglamento del Congreso de los Diputados y de los derechos del recurrente. Tras reproducir parcialmente los apartados 2, 4 y 6 del acuerdo de 5 de junio de 2019, se alega que la mesa ha decidido atribuir determinadas consecuencias a la suspensión de la condición de diputado, vulnerando con ello la interdicción de la arbitrariedad de los poderes públicos, así como el derecho a una resolución motivada.</w:t>
      </w:r>
    </w:p>
    <w:p w:rsidR="005728DD" w:rsidRDefault="005728DD" w:rsidP="005728DD">
      <w:pPr>
        <w:pStyle w:val="TextoNormal"/>
      </w:pPr>
    </w:p>
    <w:p w:rsidR="005728DD" w:rsidRDefault="005728DD" w:rsidP="005728DD">
      <w:pPr>
        <w:pStyle w:val="TextoNormal"/>
      </w:pPr>
      <w:r>
        <w:t>A juicio de la demanda, los apartados segundo y cuarto del acuerdo de 5 de junio alteran las mayorías en las comisiones parlamentarias y otros órganos parlamentarios (excepto la mayoría absoluta en el Pleno del Congreso de los Diputados), y reducen la debida representación de los ciudadanos que optaron por la candidatura del diputado recurrente, que se quedan sin su parte proporcional de voto e iniciativas parlamentarias de conformidad con el reglamento. Parte proporcional que debería haberse calculado no respecto del número de diputados plenamente en ejercicio, sino proporcional a los diputados y escaños con los que cuentan, consecuencia lógica del reconocimiento de la propia mesa al asignarlos a un grupo parlamentario y considerar que sigue habiendo 350 diputados en el Pleno. Si hay 350 diputados, el Grupo Mixto no puede tener diputados para unas cosas y no para otras. Considera la demanda arbitrario tanto determinar que la mayoría absoluta se debe calcular computando en ella a los diputados ilegalmente suspendidos, pero sostener lo contrario en relación con los derechos de los diputados del Grupo Mixto, entre los que se cuenta el recurrente; así como sostener que el diputado recurrente no puede pertenecer al grupo parlamentario de su elección, porque se encontraría privado de su derecho a pertenecer a un grupo parlamentario, y obligarle a pertenecer al Grupo Mixto.</w:t>
      </w:r>
    </w:p>
    <w:p w:rsidR="005728DD" w:rsidRDefault="005728DD" w:rsidP="005728DD">
      <w:pPr>
        <w:pStyle w:val="TextoNormal"/>
      </w:pPr>
    </w:p>
    <w:p w:rsidR="005728DD" w:rsidRDefault="005728DD" w:rsidP="005728DD">
      <w:pPr>
        <w:pStyle w:val="TextoNormal"/>
      </w:pPr>
      <w:r>
        <w:t xml:space="preserve">Dichas consideraciones se extienden a lo dispuesto en el apartado sexto del acuerdo de 5 de junio, en lo relativo a la detracción de la parte proporcional de la subvención correspondiente al Grupo Parlamentario Mixto, lo que, conforme a la STC 15/1992, de 10 de febrero, FJ 5, vulneraría el artículo 23.2 CE. En definitiva, con dicho acuerdo se habrían vulnerado los derechos del recurrente reconocidos en el artículo 23.2 CE y el principio de igualdad (art. 14 CE), en comparación con el resto de diputados del Congreso y del resto de grupos, </w:t>
      </w:r>
      <w:r>
        <w:lastRenderedPageBreak/>
        <w:t>que han visto incrementada su proporción en las comisiones, las subvenciones y las iniciativas parlamentarias, así como se habría vulnerado el artículo 23.1 CE.</w:t>
      </w:r>
    </w:p>
    <w:p w:rsidR="005728DD" w:rsidRDefault="005728DD" w:rsidP="005728DD">
      <w:pPr>
        <w:pStyle w:val="TextoNormal"/>
      </w:pPr>
    </w:p>
    <w:p w:rsidR="005728DD" w:rsidRDefault="005728DD" w:rsidP="005728DD">
      <w:pPr>
        <w:pStyle w:val="TextoNormal"/>
      </w:pPr>
      <w:r>
        <w:t>(iii) Los apartados quinto y séptimo del acuerdo de 5 de junio de 2019 son nulos de pleno derecho por privar al recurrente de la asignación económica y de otros derechos de carácter económico. El acuerdo de 25 (</w:t>
      </w:r>
      <w:r w:rsidRPr="005728DD">
        <w:rPr>
          <w:i/>
        </w:rPr>
        <w:t>sic</w:t>
      </w:r>
      <w:r>
        <w:t>) de julio de 2019 desestima la solicitud de reconsideración en relación con este acuerdo sin fundamentación jurídica que pueda ser calificada de tal, vulnerando con ello, también, el derecho a una resolución motivada, en relación con el derecho a la defensa, así como el derecho a un proceso equitativo. Además, la demanda reitera que dicha nulidad deriva de la suspensión de la condición de diputado del recurrente a la que se refieren los acuerdos de 24 de mayo y 11 de junio de 2019, e incurre en las mismas vulneraciones que dichos acuerdos y así como del principio de igualdad artículo 14 CE. Además, dicha vulneración se produce, también, por razones autónomas. Se recuerda lo dispuesto en el artículo 71.4 CE y en la STC 36/2014, de 27 de febrero FJ 6 b).</w:t>
      </w:r>
    </w:p>
    <w:p w:rsidR="005728DD" w:rsidRDefault="005728DD" w:rsidP="005728DD">
      <w:pPr>
        <w:pStyle w:val="TextoNormal"/>
      </w:pPr>
    </w:p>
    <w:p w:rsidR="005728DD" w:rsidRDefault="005728DD" w:rsidP="005728DD">
      <w:pPr>
        <w:pStyle w:val="TextoNormal"/>
      </w:pPr>
      <w:r>
        <w:t>Al respecto señala, por una parte, que, si bien le corresponde a la mesa de la Cámara determinar la cuantía de las subvenciones (art. 8 RCD), no así el momento de su devengo, conforme al artículo 68.4 CE, que establece el mandato de los diputados, y al artículo 20.2 RCD que dispone que “los derechos y prerrogativas serán efectivos desde el momento mismo en que el diputado sea proclamado electo”. Ahora bien, la mesa del Congreso, en su reunión de 23 de mayo de 2019, acordó fijar en el 28 de abril de 2019, fecha de las elecciones, el día inicial del devengo de retribuciones por parte de las diputadas y los diputados de la cámara.</w:t>
      </w:r>
    </w:p>
    <w:p w:rsidR="005728DD" w:rsidRDefault="005728DD" w:rsidP="005728DD">
      <w:pPr>
        <w:pStyle w:val="TextoNormal"/>
      </w:pPr>
    </w:p>
    <w:p w:rsidR="005728DD" w:rsidRDefault="005728DD" w:rsidP="005728DD">
      <w:pPr>
        <w:pStyle w:val="TextoNormal"/>
      </w:pPr>
      <w:r>
        <w:t>Además, aduce que no está en manos de la autonomía de las cámaras ni de la legislación el hecho de establecer o no una percepción económica, puesto que el artículo 71.4 CE prevé que todos los diputados tienen derecho a una asignación económica y, de conformidad con el artículo 8 RCD, la mesa tiene derecho a determinar la cuantía, pero no puede privar absolutamente de esa asignación a un diputado, aun en el caso de que se hallase legalmente suspendido de sus funciones.</w:t>
      </w:r>
    </w:p>
    <w:p w:rsidR="005728DD" w:rsidRDefault="005728DD" w:rsidP="005728DD">
      <w:pPr>
        <w:pStyle w:val="TextoNormal"/>
      </w:pPr>
    </w:p>
    <w:p w:rsidR="005728DD" w:rsidRDefault="005728DD" w:rsidP="005728DD">
      <w:pPr>
        <w:pStyle w:val="TextoNormal"/>
      </w:pPr>
      <w:r>
        <w:t xml:space="preserve">Por lo tanto, la mesa del Congreso, al negar el abono de la asignación económica constitucionalmente prevista al recurrente, ha vulnerado sus derechos, entre los que se cuenta la asignación. A ello añade que dichos acuerdos han situado al recurrente en peor condición que el diputado kurdo señor Selahattin Demirtas, el cual, como recuerda el Tribunal Europeo de Derechos Humanos en sentencia de 20 de noviembre de 2018, </w:t>
      </w:r>
      <w:r w:rsidRPr="005728DD">
        <w:rPr>
          <w:i/>
        </w:rPr>
        <w:t>asunto Demirtas</w:t>
      </w:r>
      <w:r>
        <w:t xml:space="preserve"> (§ 240), por haber mantenido la condición de diputado de la Asamblea Nacional de Turquía, mantuvo la asignación económica correspondiente.</w:t>
      </w:r>
    </w:p>
    <w:p w:rsidR="005728DD" w:rsidRDefault="005728DD" w:rsidP="005728DD">
      <w:pPr>
        <w:pStyle w:val="TextoNormal"/>
      </w:pPr>
    </w:p>
    <w:p w:rsidR="005728DD" w:rsidRDefault="005728DD" w:rsidP="005728DD">
      <w:pPr>
        <w:pStyle w:val="TextoNormal"/>
      </w:pPr>
      <w:r>
        <w:t xml:space="preserve">La demanda específicamente se refiere a la privación de la asignación económica correspondiente entre los días 28 de abril y 21 de mayo de 2019, en los términos que había acordado, para todos los miembros de la Cámara, la mesa del Congreso de los Diputados el 23 de mayo de 2019, y de la correspondiente cobertura de protección social y de la póliza de accidentes. Se pone de relieve que el recurrente participó en varias votaciones del Congreso en la sesión constitutiva de la XIII Legislatura, pero lo hizo sin asignación económica, sin cotización a la Seguridad Social, así como sin póliza de accidentes durante ese día. Es evidente, a su juicio, que, solo por ello, los apartados quinto y séptimo del acuerdo de 5 de junio de 2019, confirmados por el acuerdo de la mesa del Congreso de los Diputados de 25 </w:t>
      </w:r>
      <w:r>
        <w:lastRenderedPageBreak/>
        <w:t>(</w:t>
      </w:r>
      <w:r w:rsidRPr="005728DD">
        <w:rPr>
          <w:i/>
        </w:rPr>
        <w:t>sic</w:t>
      </w:r>
      <w:r>
        <w:t>) de julio de 2019, vulneraron sus derechos. La privación de la cotización a la Seguridad Social y la privación de la póliza de accidentes respecto de una sesión de la Cámara en que el diputado recurrente efectivamente participó, pone de manifiesto la absoluta arbitrariedad de los acuerdos adoptados.</w:t>
      </w:r>
    </w:p>
    <w:p w:rsidR="005728DD" w:rsidRDefault="005728DD" w:rsidP="005728DD">
      <w:pPr>
        <w:pStyle w:val="TextoNormal"/>
      </w:pPr>
    </w:p>
    <w:p w:rsidR="005728DD" w:rsidRDefault="005728DD" w:rsidP="005728DD">
      <w:pPr>
        <w:pStyle w:val="TextoNormal"/>
      </w:pPr>
      <w:r>
        <w:t>Lo anterior resulta también aplicable al apartado séptimo del acuerdo de la mesa del Congreso de los Diputados de 5 de junio de 2019, por el cual se “procede a dar de baja a los mencionados diputados en la cobertura de protección social prevista en el artículo 9 del Reglamento de la Cámara”, sin que exista previsión normativa alguna que ampare la baja en la cobertura de protección social. Dicha baja es contraria a las disposiciones normativas aplicables en materia de Seguridad Social en particular, el artículo 11 de la orden TAS/2865/2003, de 13 de octubre, por la que se regula el convenio especial en el sistema de la Seguridad Social. Idénticas consideraciones, se añade, son de aplicación a la póliza de accidentes suscrita por las Cortes Generales. La privación de todos estos derechos vulnera el artículo 23 CE, en relación con su artículo 33.3, así como los derechos reconocidos en el artículo 17 CDFUE y el artículo 1 del Protocolo núm. 1 CEDH.</w:t>
      </w:r>
    </w:p>
    <w:p w:rsidR="005728DD" w:rsidRDefault="005728DD" w:rsidP="005728DD">
      <w:pPr>
        <w:pStyle w:val="TextoNormal"/>
      </w:pPr>
    </w:p>
    <w:p w:rsidR="005728DD" w:rsidRDefault="005728DD" w:rsidP="005728DD">
      <w:pPr>
        <w:pStyle w:val="TextoNormal"/>
      </w:pPr>
      <w:r>
        <w:t>Destaca la demanda que, además, la privación de tales derechos se ha llevado a cabo sin dar audiencia al recurrente, incluso respecto de derechos como el de la percepción de la asignación entre el 28 de abril y el 21 de mayo de 2019, que ya le habían sido reconocidos por la mesa de la Cámara en la reunión de 23 de mayo de 2019. Por ello, se vulneran también así los derechos reconocidos en el artículo 6 CEDH.</w:t>
      </w:r>
    </w:p>
    <w:p w:rsidR="005728DD" w:rsidRDefault="005728DD" w:rsidP="005728DD">
      <w:pPr>
        <w:pStyle w:val="TextoNormal"/>
      </w:pPr>
    </w:p>
    <w:p w:rsidR="005728DD" w:rsidRDefault="005728DD" w:rsidP="005728DD">
      <w:pPr>
        <w:pStyle w:val="TextoNormal"/>
      </w:pPr>
      <w:r>
        <w:t>Finalmente, se pone de manifiesto que el Tribunal Constitucional, a la hora de resolver sobre estas cuestiones, ha de respetar el derecho a un recurso efectivo reconocido en el artículo 13 CEDH.</w:t>
      </w:r>
    </w:p>
    <w:p w:rsidR="005728DD" w:rsidRDefault="005728DD" w:rsidP="005728DD">
      <w:pPr>
        <w:pStyle w:val="TextoNormal"/>
      </w:pPr>
    </w:p>
    <w:p w:rsidR="005728DD" w:rsidRDefault="005728DD" w:rsidP="005728DD">
      <w:pPr>
        <w:pStyle w:val="TextoNormal"/>
      </w:pPr>
      <w:r>
        <w:t xml:space="preserve">Con cita del artículo 89.1 de la Ley Orgánica del Tribunal Constitucional (LOTC), se solicitó práctica de prueba documental, consistente en libramiento de oficio al registro central de medidas cautelares, requisitorias y sentencias no firmes para que se certificara si algún juez o tribunal ha decretado la medida prevista en el artículo 384 </w:t>
      </w:r>
      <w:r w:rsidRPr="005728DD">
        <w:rPr>
          <w:i/>
        </w:rPr>
        <w:t>bis</w:t>
      </w:r>
      <w:r>
        <w:t xml:space="preserve"> LECrim en relación con la condición de diputado del señor Rull i Andreu, así como de la documentación que se acompañaba a la demanda; también se solicitó libramiento de atento oficio al Congreso de los Diputados, por medio de la presidenta de su diputación permanente, para que aporte copia del convenio especial vigente con la Seguridad Social aplicable a los diputados del Congreso, así como de la póliza de accidentes contratada por las Cortes Generales.</w:t>
      </w:r>
    </w:p>
    <w:p w:rsidR="005728DD" w:rsidRDefault="005728DD" w:rsidP="005728DD">
      <w:pPr>
        <w:pStyle w:val="TextoNormal"/>
      </w:pPr>
    </w:p>
    <w:p w:rsidR="005728DD" w:rsidRDefault="005728DD" w:rsidP="005728DD">
      <w:pPr>
        <w:pStyle w:val="TextoNormal"/>
      </w:pPr>
      <w:r>
        <w:t>De conformidad con lo previsto en el artículo 83 LOTC, se solicitó, además, la acumulación del presente recurso de amparo al recurso núm. 5199-2019, por ser los acuerdos de 5 de junio y de 25 (</w:t>
      </w:r>
      <w:r w:rsidRPr="005728DD">
        <w:rPr>
          <w:i/>
        </w:rPr>
        <w:t>sic</w:t>
      </w:r>
      <w:r>
        <w:t>) de julio de 2019 complementarios, según asegura la propia Mesa del Congreso de los Diputados, de los acuerdos de 24 de mayo y 11 de junio impugnados en aquel.</w:t>
      </w:r>
    </w:p>
    <w:p w:rsidR="005728DD" w:rsidRDefault="005728DD" w:rsidP="005728DD">
      <w:pPr>
        <w:pStyle w:val="TextoNormal"/>
      </w:pPr>
    </w:p>
    <w:p w:rsidR="005728DD" w:rsidRDefault="005728DD" w:rsidP="005728DD">
      <w:pPr>
        <w:pStyle w:val="TextoNormal"/>
      </w:pPr>
      <w:r>
        <w:t xml:space="preserve">Con cita de los artículos 53 y 55 LOTC, se pretendió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en condiciones de igualdad (art. 23.2 CE); (ii) del derecho de los ciudadanos a </w:t>
      </w:r>
      <w:r>
        <w:lastRenderedPageBreak/>
        <w:t>participar en los asuntos públicos por medio de representantes (art. 23.1 CE); (iii) del derecho del recurrente a participar en la vida democrática de la Unión (art. 10.3 TUE), todo ello en relación con el artículo 3 del Protocolo adicional núm.1 CEDH y con el artículo 25 PIDCP, así como de los derechos conexos invocados; y (iv) del derecho del recurrente a la presunción de inocencia (arts. 24.2 CE y 48.1 CDFUE), así como de los derechos conexos invocados.</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21 de julio de 2020, el Pleno acordó, conforme al artículo 10.1 n) LOTC, a propuesta de la Sala, recabar para sí el conocimiento del recurso de amparo que se tramita en la Sala Segunda bajo el número 6240-2019, interpuesto por don Josep Rull i Andreu,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aplicación de lo dispuesto en el artículo 51 LOTC, que se dirigiera atenta comunicación al Congreso de los Diputados, a fin de que, en plazo que no excediera de diez días, remitiera certificación o fotocopia adverada de las actuaciones correspondientes a los acuerdos de la mesa del Congreso de 25 de julio, 5 de junio y 24 de mayo de 2019; debiendo previamente emplazarse a quienes hubieran sido parte en el procedimiento, excepto al recurrente en amparo, para que en el plazo de diez días pudieran comparecer, si lo desearan,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Por diligencia de ordenación de 29 de julio de 2020 se tuvo por recibido el testimonio de las actuaciones solicitadas, se tuvo por personado y parte en el procedimiento al Congreso de los Diputados, y a tenor de lo dispuesto en el artículo 52 de la Ley Orgánica de este tribunal, se dio vista de todas las actuaciones del presente recurso de amparo, en la secretaría del Pleno, al Ministerio Fiscal y las partes personadas, por un plazo común de veinte días, para que dentro de dicho término pudieran presentar las alegaciones que a su derecho convengan.</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escrito que tuvo entrada en el registro general del tribunal el 22 de septiembre de 2020 presentó sus alegaciones el Ministerio Fiscal, en las que solicita se inadmita el recurso por falta de legitimación del recurrente en cuanto a los pronunciamientos de los acuerdos impugnados contenidos en los puntos 2, 4 y 6 que afectan a los derechos atribuidos al Grupo Parlamentario Mixto, cuya representación legal no ostenta el demandante, y se desestime el recurso en todo lo demás. Pueden resumirse en los términos siguientes:</w:t>
      </w:r>
    </w:p>
    <w:p w:rsidR="005728DD" w:rsidRDefault="005728DD" w:rsidP="005728DD">
      <w:pPr>
        <w:pStyle w:val="TextoNormal"/>
      </w:pPr>
    </w:p>
    <w:p w:rsidR="005728DD" w:rsidRDefault="005728DD" w:rsidP="005728DD">
      <w:pPr>
        <w:pStyle w:val="TextoNormal"/>
      </w:pPr>
      <w:r>
        <w:t>A) Se comienza exponiendo los antecedentes de hecho del presente recurso de amparo, en los que pone de manifiesto que, aunque el recurrente identifica el acuerdo por el que se desestima la solicitud de reconsideración con fecha de 25 de julio de 2019, la fecha de adopción de dicho acuerdo es de 16 de julio, siendo el 25 de julio la fecha de notificación del mismo. Aborda, a continuación, las siguientes cuestiones de carácter preliminar:</w:t>
      </w:r>
    </w:p>
    <w:p w:rsidR="005728DD" w:rsidRDefault="005728DD" w:rsidP="005728DD">
      <w:pPr>
        <w:pStyle w:val="TextoNormal"/>
      </w:pPr>
    </w:p>
    <w:p w:rsidR="005728DD" w:rsidRDefault="005728DD" w:rsidP="005728DD">
      <w:pPr>
        <w:pStyle w:val="TextoNormal"/>
      </w:pPr>
      <w:r>
        <w:t xml:space="preserve">a) En relación con la acumulación del presente recurso de amparo con el recurso de amparo núm. 5199-2019, entiende que se dan las condiciones de conexidad para la acumulación dichos recursos teniendo en cuenta que su objeto lo constituye la impugnación de </w:t>
      </w:r>
      <w:r>
        <w:lastRenderedPageBreak/>
        <w:t>acuerdos de la mesa del Congreso directamente conectados, teniendo los impugnados en el presente recurso carácter complementario respecto de los anteriores, así como que en ambos recursos el demandante es el mismo y que la pretensión de amparo deducida en ambos presenta una relevante identidad. Procede por ello, aduce el Ministerio Fiscal, que el tribunal, apreciando esta conexidad, acuerde la acumulación del presente recurso al 5199-2019, para su tramitación y decisión de manera unitaria.</w:t>
      </w:r>
    </w:p>
    <w:p w:rsidR="005728DD" w:rsidRDefault="005728DD" w:rsidP="005728DD">
      <w:pPr>
        <w:pStyle w:val="TextoNormal"/>
      </w:pPr>
    </w:p>
    <w:p w:rsidR="005728DD" w:rsidRDefault="005728DD" w:rsidP="005728DD">
      <w:pPr>
        <w:pStyle w:val="TextoNormal"/>
      </w:pPr>
      <w:r>
        <w:t>b) Aunque el demandante ha perdido la condición de diputado por la disolución de las Cortes Generales, Real Decreto 551/2019, de 24 de septiembre, y, posteriormente, por la sentencia 459/2019, de 14 de octubre, de la Sala de lo Penal del Tribunal Supremo, estima que subsiste el objeto del recurso de amparo y la necesidad de pronunciamiento sobre la pretensión deducida, puesto que el recurso se interpone contra los acuerdos de la mesa del Congreso que, con carácter complementario a los acuerdos que declararon la suspensión en el ejercicio del cargo que en aquel momento ostentaba, establecen los efectos y el alcance de esa suspensión, ello con independencia del alcance que, en su caso, pudiera tener un pronunciamiento estimatorio. Estos acuerdos desplegaron su eficacia, en algún caso, desde el día 21 de mayo de 2019 —fecha de constitución de la cámara—, hasta su disolución el 24 de septiembre, momento en el que los acuerdos de la mesa dejaron de tener virtualidad.</w:t>
      </w:r>
    </w:p>
    <w:p w:rsidR="005728DD" w:rsidRDefault="005728DD" w:rsidP="005728DD">
      <w:pPr>
        <w:pStyle w:val="TextoNormal"/>
      </w:pPr>
    </w:p>
    <w:p w:rsidR="005728DD" w:rsidRDefault="005728DD" w:rsidP="005728DD">
      <w:pPr>
        <w:pStyle w:val="TextoNormal"/>
      </w:pPr>
      <w:r>
        <w:t>c) El Ministerio Fiscal cuestiona la legitimación del recurrente para impugnar la totalidad de los pronunciamientos que se recogen en los acuerdos de la mesa del Congreso de 5 de junio y 16 de julio de 2019, por la diversa naturaleza de los mismos. Diferencia de esta manera en sus alegaciones dos tipos de pronunciamientos:</w:t>
      </w:r>
    </w:p>
    <w:p w:rsidR="005728DD" w:rsidRDefault="005728DD" w:rsidP="005728DD">
      <w:pPr>
        <w:pStyle w:val="TextoNormal"/>
      </w:pPr>
    </w:p>
    <w:p w:rsidR="005728DD" w:rsidRDefault="005728DD" w:rsidP="005728DD">
      <w:pPr>
        <w:pStyle w:val="TextoNormal"/>
      </w:pPr>
      <w:r>
        <w:t>(i) Pronunciamientos del acuerdo de la mesa del Congreso de los Diputados de 5 de junio de 2019 que inciden directamente en los derechos que integran el estatus parlamentario del recurrente: “los diputados suspendidos no pueden pertenecer a ninguna comisión, ni formar parte de otros órganos como ponencias o subcomisiones” punto 2; “incorporación de los diputados suspendidos al Grupo Parlamentario Mixto” (punto 3 del acuerdo); “no autorizar el abono de las percepciones económicas propias de la condición de diputado, incluidas las que habrían correspondido a los citados diputados entre el 28 de abril y el 21 de mayo de 2019, conforme al acuerdo adoptado por la mesa de la Cámara el 23 de mayo de 2019, en relación con el devengo de las retribuciones de los diputados de la XIII Legislatura” (punto 5); y “proceder a dar de baja a los mencionados diputados en la cobertura de protección social prevista en el art. 9 del Reglamento de la Cámara, así como en la póliza de accidentes contratada por la Cortes Generales, mientras se mantenga la suspensión de sus derechos” (punto 7).</w:t>
      </w:r>
    </w:p>
    <w:p w:rsidR="005728DD" w:rsidRDefault="005728DD" w:rsidP="005728DD">
      <w:pPr>
        <w:pStyle w:val="TextoNormal"/>
      </w:pPr>
    </w:p>
    <w:p w:rsidR="005728DD" w:rsidRDefault="005728DD" w:rsidP="005728DD">
      <w:pPr>
        <w:pStyle w:val="TextoNormal"/>
      </w:pPr>
      <w:r>
        <w:t>(ii) Pronunciamientos del acuerdo 5 de junio de 2019 que se refieren a las consecuencias que tiene la suspensión de los cuatro diputados electos en la composición y funcionamiento de los órganos de la cámara y pronunciamientos que afectan a los derechos del Grupo Parlamentario Mixto: número de miembros que integran la cámara y el cómputo de los votos para alcanzar los acuerdos por mayoría absoluta o por otras mayorías especiales requeridas (punto 1); número de miembros que en los distintos órganos corresponde designar al Grupo Parlamentario Mixto (punto 2); modo de adopción de los acuerdos en los distintos órganos de la cámara en los casos en los que se contempla por el reglamento la ponderación del voto o la asignación por cupo de las iniciativas al Grupo Parlamentario Mixto (punto 4); regulación de la subvención del Grupo Parlamentario Mixto (punto 6).</w:t>
      </w:r>
    </w:p>
    <w:p w:rsidR="005728DD" w:rsidRDefault="005728DD" w:rsidP="005728DD">
      <w:pPr>
        <w:pStyle w:val="TextoNormal"/>
      </w:pPr>
    </w:p>
    <w:p w:rsidR="005728DD" w:rsidRDefault="005728DD" w:rsidP="005728DD">
      <w:pPr>
        <w:pStyle w:val="TextoNormal"/>
      </w:pPr>
      <w:r>
        <w:t xml:space="preserve">El Ministerio Fiscal parte de la doctrina del Tribunal Constitucional sobre la legitimación en materia de recursos de amparo parlamentarios, reproduciendo lo afirmado en la STC 24/2020, de 13 de febrero, FFJJ 3 y 4, y considera que el recurrente tiene legitimación para recurrir los pronunciamientos que se refieren a la composición y funcionamiento de los distintos órganos de la cámara y a la adopción de acuerdos y, en concreto, los que establecen el cómputo legal de miembros de la cámara y el número de votos requeridos para la mayoría absoluta y las diferentes mayorías especiales (punto 1) y la adopción de acuerdos en los que se contempla la ponderación de votos (punto 4). Con relación a estos pronunciamientos señala que, si bien no suponen directamente una restricción de los derechos y facultades que el Reglamento del Congreso de los Diputados atribuye a cada diputado, considera que forma parte de su </w:t>
      </w:r>
      <w:r w:rsidRPr="005728DD">
        <w:rPr>
          <w:i/>
        </w:rPr>
        <w:t>ius in officium</w:t>
      </w:r>
      <w:r>
        <w:t xml:space="preserve"> el que el funcionamiento de la cámara y de sus órganos se produzca conforme al procedimiento •establecido en el reglamento y que los acuerdos que se adopten por dichos órganos lo sean de conformidad con lo establecido en el mismo. La infracción del procedimiento establecido reglamentariamente para la adopción de los acuerdos incide en la correcta formación de la voluntad de la cámara o de sus órganos, pudiendo dar lugar a que se establezcan mayorías parlamentarias fraudulentas contrarias al derecho de representación política que ostenta cada diputado.</w:t>
      </w:r>
    </w:p>
    <w:p w:rsidR="005728DD" w:rsidRDefault="005728DD" w:rsidP="005728DD">
      <w:pPr>
        <w:pStyle w:val="TextoNormal"/>
      </w:pPr>
    </w:p>
    <w:p w:rsidR="005728DD" w:rsidRDefault="005728DD" w:rsidP="005728DD">
      <w:pPr>
        <w:pStyle w:val="TextoNormal"/>
      </w:pPr>
      <w:r>
        <w:t>Sin embargo, entiende que el ahora recurrente en amparo carece de legitimación para impugnar el acuerdo de la mesa de 5 de junio respecto de los pronunciamientos que inciden en los derechos que el reglamento atribuye a los grupos parlamentarios y, en concreto, al grupo mixto, en cuanto que ha comparecido a título individual y sin ostentar representación legal del grupo parlamentario en el que resulta integrado. En dichos pronunciamientos incluye el Ministerio Fiscal el número de miembros que en los distintos órganos corresponde designar al Grupo Parlamentario Mixto (punto 2); el número de iniciativas que corresponden al Grupo Parlamentario Mixto con referencia a un sistema de cupo, en el que se descontará los cuatro diputados suspendidos del número total de diputados de dicho grupo (punto 4); y la subvención correspondiente al Grupo Parlamentario Mixto (punto 6).</w:t>
      </w:r>
    </w:p>
    <w:p w:rsidR="005728DD" w:rsidRDefault="005728DD" w:rsidP="005728DD">
      <w:pPr>
        <w:pStyle w:val="TextoNormal"/>
      </w:pPr>
    </w:p>
    <w:p w:rsidR="005728DD" w:rsidRDefault="005728DD" w:rsidP="005728DD">
      <w:pPr>
        <w:pStyle w:val="TextoNormal"/>
      </w:pPr>
      <w:r>
        <w:t>El Ministerio Fiscal estima, en definitiva, que debe apreciarse que el recurrente está legitimado para impugnar aquellos pronunciamientos del acuerdo de la mesa del Congreso de 5 de junio que bien inciden directamente en los derechos individuales que integran su estatus parlamentario, o bien se refieren a los mecanismos o criterios para la adopción de acuerdos en los órganos parlamentarios, afectando al proceso para la formación de la voluntad parlamentaria, por lo que ha de considerarse que inciden en el derecho al ejercicio del cargo de representación política del demandante y, correlativamente en el derecho de los ciudadanos a participar en los asuntos públicos a través de sus legítimos representantes. No concurre, sin embargo, legitimación del demandante para impugnar en el presente recurso de amparo los pronunciamientos del acuerdo de la mesa de 5 de junio de 2019 que inciden en los derechos que el Reglamento del Congreso de los Diputados atribuye al Grupo Parlamentario Mixto, al no haber comparecido ostentando su representación legal (STC 24/2020).</w:t>
      </w:r>
    </w:p>
    <w:p w:rsidR="005728DD" w:rsidRDefault="005728DD" w:rsidP="005728DD">
      <w:pPr>
        <w:pStyle w:val="TextoNormal"/>
      </w:pPr>
    </w:p>
    <w:p w:rsidR="005728DD" w:rsidRDefault="005728DD" w:rsidP="005728DD">
      <w:pPr>
        <w:pStyle w:val="TextoNormal"/>
      </w:pPr>
      <w:r>
        <w:t>B) Analiza, a continuación, la alegación de la demanda relativa a la nulidad de los acuerdos de la mesa de 5 de junio y de 16 de julio, de acuerdo con la nulidad de los impugnados en el recurso de amparo núm. 5199-2019, en la medida en que los primeros traen causa y son complementarios de los segundos. Respecto de esta alegación, el Ministerio Fiscal, a su vez, da por reproducidas sus alegaciones en el recurso de amparo 5199-2019.</w:t>
      </w:r>
    </w:p>
    <w:p w:rsidR="005728DD" w:rsidRDefault="005728DD" w:rsidP="005728DD">
      <w:pPr>
        <w:pStyle w:val="TextoNormal"/>
      </w:pPr>
    </w:p>
    <w:p w:rsidR="005728DD" w:rsidRDefault="005728DD" w:rsidP="005728DD">
      <w:pPr>
        <w:pStyle w:val="TextoNormal"/>
      </w:pPr>
      <w:r>
        <w:t>Además, rechaza las alegaciones adicionales del recurrente en las que, como refuerzo de lo argumentado en el recurso 5199-2019, aduce que debe tenerse en cuenta, y dado que se dictaron con posterioridad a interponer el mismo, tanto la sentencia dictada el 14 de octubre de 2019, por la Sala Penal del Tribunal Supremo, como el auto de 14 de octubre de 2019, del magistrado instructor de la causa especial 20907-2017. Entiende el Ministerio Fiscal que las alegaciones del recurrente son una apreciación subjetiva y las realizadas sobre la sentencia no pueden ser acogidas con respecto a un recurso de amparo parlamentario, en cuanto que su objeto debe quedar limitado al enjuiciamiento sobre la constitucionalidad de los actos y decisiones de los órganos de los parlamentos que no tienen fuerza de ley, sin que sea posible reclamar por la vía de un recurso de amparo parlamentario que en sus decisiones o acuerdos estos órganos no entraron a revisar o a cuestionar las resoluciones de los de la jurisdicción penal que fueron dictadas en los procesos de su competencia. Por lo que se refiere al auto de 14 de octubre de 2019, por el magistrado instructor de la causa especial 20907-2017, que invoca el recurrente, señala que dicho auto no puede ser acogido para hacer valer que la suspensión del ejercicio del cargo de los diputados procesados por rebelión, no es automática ni se produce directament</w:t>
      </w:r>
      <w:r w:rsidRPr="005728DD">
        <w:rPr>
          <w:i/>
        </w:rPr>
        <w:t>e ex le</w:t>
      </w:r>
      <w:r>
        <w:t>ge.</w:t>
      </w:r>
    </w:p>
    <w:p w:rsidR="005728DD" w:rsidRDefault="005728DD" w:rsidP="005728DD">
      <w:pPr>
        <w:pStyle w:val="TextoNormal"/>
      </w:pPr>
    </w:p>
    <w:p w:rsidR="005728DD" w:rsidRDefault="005728DD" w:rsidP="005728DD">
      <w:pPr>
        <w:pStyle w:val="TextoNormal"/>
      </w:pPr>
      <w:r>
        <w:t xml:space="preserve">Dicho auto se pronuncia sobre la situación personal de los procesados, don Carles Puigdemont i Casamajó y don Antonio Comín i Oliveres, tras la sentencia dictada el 14 de octubre de 2019, por la Sala Penal del Tribunal Supremo. La situación procesal difiere, notoriamente, de la que tuvieron el resto de los procesados en la causa especial 20907-2017 que fueron posteriormente enjuiciados y condenados en la sentencia dictada por la Sala Penal del Tribunal Supremo. El ahora recurrente en amparo ha estado procesado en firme por delito de rebelión y en situación de prisión provisional durante la tramitación de la causa y hasta la sentencia de 14 de octubre de 2019 por lo que, cuando se dictan los acuerdos de la mesa del Congreso que se impugnan en el presente recurso de amparo y en el recurso de amparo núm. 5199-2019, concurrían plenamente en él las circunstancias que contempla el art. 384 </w:t>
      </w:r>
      <w:r w:rsidRPr="005728DD">
        <w:rPr>
          <w:i/>
        </w:rPr>
        <w:t>bis</w:t>
      </w:r>
      <w:r>
        <w:t xml:space="preserve"> LECrim, para declarar la suspensión automática en el ejercicio de los cargos públicos que se ostentasen. El auto de 14 de octubre de 2019 del magistrado instructor, cuando dispone comunicar a la mesa del Parlamento de Cataluña que a los procesados y miembros de ese Parlamento, señores Carles Puigdemont y Antoní Comin, no les es aplicable la suspensión del art. 384 </w:t>
      </w:r>
      <w:r w:rsidRPr="005728DD">
        <w:rPr>
          <w:i/>
        </w:rPr>
        <w:t>bis</w:t>
      </w:r>
      <w:r>
        <w:t xml:space="preserve"> LECrim, lo hace teniendo en cuenta la sentencia del Tribunal Supremo que condenó por delito de sedición, a quienes estaban acusados por hechos similares a aquellos por los que está procesado don Carles Puigdemont.</w:t>
      </w:r>
    </w:p>
    <w:p w:rsidR="005728DD" w:rsidRDefault="005728DD" w:rsidP="005728DD">
      <w:pPr>
        <w:pStyle w:val="TextoNormal"/>
      </w:pPr>
    </w:p>
    <w:p w:rsidR="005728DD" w:rsidRDefault="005728DD" w:rsidP="005728DD">
      <w:pPr>
        <w:pStyle w:val="TextoNormal"/>
      </w:pPr>
      <w:r>
        <w:t>Del fundamento jurídico undécimo de dicho auto de 14 de octubre se desprende que el instructor está tomando en consideración la calificación jurídica de los hechos que resulta de la sentencia de la Sala Penal del Tribunal Supremo, y su proyección en una eventual revisión del procesamiento, cuando se reabra la causa ahora suspendida para los procesados en rebeldía.</w:t>
      </w:r>
    </w:p>
    <w:p w:rsidR="005728DD" w:rsidRDefault="005728DD" w:rsidP="005728DD">
      <w:pPr>
        <w:pStyle w:val="TextoNormal"/>
      </w:pPr>
    </w:p>
    <w:p w:rsidR="005728DD" w:rsidRDefault="005728DD" w:rsidP="005728DD">
      <w:pPr>
        <w:pStyle w:val="TextoNormal"/>
      </w:pPr>
      <w:r>
        <w:t xml:space="preserve">Por lo anterior, el Ministerio Fiscal entiende que debe rechazarse que el auto dictado el 14 de octubre de 2019 por el magistrado instructor de la causa especial permita considerar que la suspensión en el ejercicio del cargo público electivo que establece el art. 384 </w:t>
      </w:r>
      <w:r w:rsidRPr="005728DD">
        <w:rPr>
          <w:i/>
        </w:rPr>
        <w:t>bis</w:t>
      </w:r>
      <w:r>
        <w:t xml:space="preserve"> LECrim, no se produce automáticamente y </w:t>
      </w:r>
      <w:r w:rsidRPr="005728DD">
        <w:rPr>
          <w:i/>
        </w:rPr>
        <w:t>ex lege</w:t>
      </w:r>
      <w:r>
        <w:t xml:space="preserve">, como declaran los acuerdos de la mesa del Congreso impugnados al concurrir en el demandante de amparo los presupuestos que </w:t>
      </w:r>
      <w:r>
        <w:lastRenderedPageBreak/>
        <w:t>contempla ese precepto, procesamiento firme por los delitos enunciados y situación de prisión preventiva.</w:t>
      </w:r>
    </w:p>
    <w:p w:rsidR="005728DD" w:rsidRDefault="005728DD" w:rsidP="005728DD">
      <w:pPr>
        <w:pStyle w:val="TextoNormal"/>
      </w:pPr>
    </w:p>
    <w:p w:rsidR="005728DD" w:rsidRDefault="005728DD" w:rsidP="005728DD">
      <w:pPr>
        <w:pStyle w:val="TextoNormal"/>
      </w:pPr>
      <w:r>
        <w:t xml:space="preserve">Finalmente pone de relieve que es trasladable a este recurso por lo que se refiere a la pretensión de que la nulidad de los Acuerdos de 5 de junio de 2019 y 16 de julio de 2019 resulta de la nulidad plena de los acuerdos iniciales de 24 de mayo y 11 de junio, la doctrina de la STC 97/2020, de 21 de julio, FFJJ 3 a 6, para descartar que se hubieran causado por los acuerdos de la mesa del Congreso que declararon la suspensión automática de los cargos de diputados en aplicación del art 384 </w:t>
      </w:r>
      <w:r w:rsidRPr="005728DD">
        <w:rPr>
          <w:i/>
        </w:rPr>
        <w:t>bis</w:t>
      </w:r>
      <w:r>
        <w:t xml:space="preserve"> LECrim, las vulneraciones de derechos fundamentales invocadas, desestimando el tribunal en la citada sentencia el recurso de amparo contra los mismos y la declaración de su nulidad.</w:t>
      </w:r>
    </w:p>
    <w:p w:rsidR="005728DD" w:rsidRDefault="005728DD" w:rsidP="005728DD">
      <w:pPr>
        <w:pStyle w:val="TextoNormal"/>
      </w:pPr>
    </w:p>
    <w:p w:rsidR="005728DD" w:rsidRDefault="005728DD" w:rsidP="005728DD">
      <w:pPr>
        <w:pStyle w:val="TextoNormal"/>
      </w:pPr>
      <w:r>
        <w:t>C) El Ministerio Fiscal rechaza, asimismo, que los acuerdos sean nulos por falta de competencia del órgano rector de la Cámara para adoptarlos, y que vulneren el derecho fundamental al ejercicio del derecho parlamentario. Al respecto, pone de manifiesto que el razonamiento del acuerdo de la mesa de 16 de julio conforme al cual, siendo el acuerdo de 5 de junio de 2019 complementario de la declaración de suspensión en el ejercicio del cargo de cuatro diputados, la competencia para precisar los efectos y alcance de la suspensión debe entenderse también competencia del órgano rector colegiado que la declaró, no puede considerarse que infrinja la previsión del artículo 32.2 RCD. Tampoco que la decisión adoptada colegiadamente por la mesa del Congreso, y no a título individual por el presidente que es miembro de ella, tenga relevancia constitucional en relación con una posible vulneración del derecho al ejercicio del cargo parlamentario. Es precisamente la garantía de la intervención del órgano colegiado, además de la junta de portavoces, la que se contempla por el artículo 32.2 RCD, cuando el presidente vaya a adoptar alguna decisión que tenga alcance general. Por otra parte, debe rechazarse que se haya privado al recurrente del derecho a la intervención de la junta de portavoces, puesto que se contempla preceptivamente esa intervención a través de la solicitud de reconsideración que puede ser ejercitada contra el acuerdo adoptado y, en este caso, la junta de portavoces fue oída en la sesión de fecha 16 de julio, previamente a resolver la mesa del Congreso sobre la solicitud de reconsideración presentada contra el acuerdo de 5 de junio de 2019.</w:t>
      </w:r>
    </w:p>
    <w:p w:rsidR="005728DD" w:rsidRDefault="005728DD" w:rsidP="005728DD">
      <w:pPr>
        <w:pStyle w:val="TextoNormal"/>
      </w:pPr>
    </w:p>
    <w:p w:rsidR="005728DD" w:rsidRDefault="005728DD" w:rsidP="005728DD">
      <w:pPr>
        <w:pStyle w:val="TextoNormal"/>
      </w:pPr>
      <w:r>
        <w:t xml:space="preserve">Finalmente aduce que el Tribunal Constitucional se ha pronunciado en la ya citada STC 97/2020, sobre la supuesta falta de competencia de la mesa del Congreso para declarar la suspensión automática del cargo del recurrente por aplicación del artículo 384 </w:t>
      </w:r>
      <w:r w:rsidRPr="005728DD">
        <w:rPr>
          <w:i/>
        </w:rPr>
        <w:t>bis</w:t>
      </w:r>
      <w:r>
        <w:t xml:space="preserve"> LECrim, habiendo alegado en ese caso el demandante que la competencia era del Pleno de la cámara. El tribunal rechazó en esa sentencia la aducida tacha de incompetencia de la mesa del Congreso con relevancia constitucional por vulnerar el derecho al ejercicio del cargo parlamentario.</w:t>
      </w:r>
    </w:p>
    <w:p w:rsidR="005728DD" w:rsidRDefault="005728DD" w:rsidP="005728DD">
      <w:pPr>
        <w:pStyle w:val="TextoNormal"/>
      </w:pPr>
    </w:p>
    <w:p w:rsidR="005728DD" w:rsidRDefault="005728DD" w:rsidP="005728DD">
      <w:pPr>
        <w:pStyle w:val="TextoNormal"/>
      </w:pPr>
      <w:r>
        <w:t xml:space="preserve">D) El Ministerio Fiscal analiza las vulneraciones aducidas por el recurrente por los pronunciamientos que, a su juicio, inciden en el </w:t>
      </w:r>
      <w:r w:rsidRPr="005728DD">
        <w:rPr>
          <w:i/>
        </w:rPr>
        <w:t>ius in officium</w:t>
      </w:r>
      <w:r>
        <w:t xml:space="preserve"> del recurrente y, en concreto, por lo dispuesto en los puntos 2, 3, 5 y 7 del acuerdo de 5 de junio, partiendo de la consideración de que la suspensión en los derechos del cargo parlamentario de los diputados suspendidos fue ya declarada por el acuerdo de la mesa del Congreso de 24 de mayo de 2019, ratificado por el de fecha 11 de junio, pues en él, la mesa del Congreso declaró: “automáticamente suspendidos en el ejercicio del cargo parlamentario y, consiguientemente, en los </w:t>
      </w:r>
      <w:r>
        <w:lastRenderedPageBreak/>
        <w:t>derechos y deberes establecidos en el Reglamento de la Cámara” al demandante y a otros tres diputados.</w:t>
      </w:r>
    </w:p>
    <w:p w:rsidR="005728DD" w:rsidRDefault="005728DD" w:rsidP="005728DD">
      <w:pPr>
        <w:pStyle w:val="TextoNormal"/>
      </w:pPr>
    </w:p>
    <w:p w:rsidR="005728DD" w:rsidRDefault="005728DD" w:rsidP="005728DD">
      <w:pPr>
        <w:pStyle w:val="TextoNormal"/>
      </w:pPr>
      <w:r>
        <w:t>Señala el Ministerio Fiscal que el acuerdo de 5 de junio de 2019 tiene, como en el mismo se expresa, un carácter complementario respecto de la suspensión del ejercicio del cargo y, consiguientemente, de los derechos y deberes que le son inherentes establecidos en el Reglamento del Congreso de los Diputados, declarada en el acuerdo de la mesa de 24 de mayo. En este acuerdo de carácter complementario se trata de precisar, por un lado, los efectos y, el alcance que esa suspensión de derechos tiene con respecto a la composición y funcionamiento de la Cámara y de sus órganos y, por otro, precisar el alcance de la suspensión en relación con los derechos económicos y de prestaciones sociales de los diputados suspensos.</w:t>
      </w:r>
    </w:p>
    <w:p w:rsidR="005728DD" w:rsidRDefault="005728DD" w:rsidP="005728DD">
      <w:pPr>
        <w:pStyle w:val="TextoNormal"/>
      </w:pPr>
    </w:p>
    <w:p w:rsidR="005728DD" w:rsidRDefault="005728DD" w:rsidP="005728DD">
      <w:pPr>
        <w:pStyle w:val="TextoNormal"/>
      </w:pPr>
      <w:r>
        <w:t>Afirma, además, que en el presente recurso de amparo no se impugna con carácter general la privación de cada uno de los derechos que integran su estatuto parlamentario, puesto que los mismos ya fueron suspendidos por el acuerdo de la mesa de 24 de mayo, y constituye el objeto de impugnación del recurso de amparo 5199-2019. Ahora, el demandante cuestiona algunos de los específicos pronunciamientos del acuerdo de 5 de junio, que precisan el alcance o consecuencias que esa suspensión de derechos tiene en el funcionamiento de la Cámara y de sus órganos, así como en los derechos de naturaleza económica y social de los diputados suspensos.</w:t>
      </w:r>
    </w:p>
    <w:p w:rsidR="005728DD" w:rsidRDefault="005728DD" w:rsidP="005728DD">
      <w:pPr>
        <w:pStyle w:val="TextoNormal"/>
      </w:pPr>
    </w:p>
    <w:p w:rsidR="005728DD" w:rsidRDefault="005728DD" w:rsidP="005728DD">
      <w:pPr>
        <w:pStyle w:val="TextoNormal"/>
      </w:pPr>
      <w:r>
        <w:t>En este sentido, el Ministerio Fiscal señala que no se hace en el presente recurso de amparo ninguna alegación sobre algunas cuestiones que se recogen en el acuerdo de la mesa de fecha 5 de junio, en relación con los derechos del diputado, como punto de partida para poder precisar su incidencia en la composición y funcionamiento de los órganos de la Cámara. El recurrente no impugna el punto 2 del acuerdo de la mesa, en la parte que establece que los diputados suspendidos no pueden pertenecer a ninguna comisión, ni formar parte de otros órganos como ponencias o subcomisiones, derecho recogido en el artículo 6.2 RCD, sino que se centra en impugnar lo establecido en este punto 2 del acuerdo sobre el alcance que esto tiene en relación con el número de miembros que corresponde designar al Grupo Parlamentario Mixto. Tampoco impugna que se declare su incorporación al Grupo Parlamentario Mixto, de conformidad con el art. 25.1 RCD (punto 3 del acuerdo), sino las consecuencias de carácter formal de esa incorporación, al señalar que los diputados suspensos no serán computados para la adopción de acuerdos en caso de voto ponderado o de asignación de iniciativas a los grupos parlamentarios por cupo (punto 4 del acuerdo).</w:t>
      </w:r>
    </w:p>
    <w:p w:rsidR="005728DD" w:rsidRDefault="005728DD" w:rsidP="005728DD">
      <w:pPr>
        <w:pStyle w:val="TextoNormal"/>
      </w:pPr>
    </w:p>
    <w:p w:rsidR="005728DD" w:rsidRDefault="005728DD" w:rsidP="005728DD">
      <w:pPr>
        <w:pStyle w:val="TextoNormal"/>
      </w:pPr>
      <w:r>
        <w:t xml:space="preserve">En relación con las alegaciones en las que el recurrente trata de sustentar la impugnación de la privación de las percepciones económicas que establece el acuerdo de 5 de junio (punto 5), señala que el reconocimiento del derecho a una asignación económica de los diputados y senadores que establece el artículo 71.4 CE, integra el estatus parlamentario, que aparece directamente vinculado con el efectivo ejercicio de la función del cargo parlamentario, por lo que ese derecho puede ser objeto de restricción cuando el diputado está suspendido en dicho ejercicio del cargo, al igual que ocurre con los otros derechos y deberes que le son inherentes. El artículo 8.1 RCD prevé dentro de los derechos económicos que integran este estatus, que los diputados percibirán una asignación económica que les permita cumplir eficaz y dignamente su función. La suspensión en el ejercicio del cargo parlamentario supone, junto a la suspensión de todos los derechos y deberes de naturaleza política que son inherentes al mismo, la de las asignaciones económicas que garantizan el desempeño eficaz </w:t>
      </w:r>
      <w:r>
        <w:lastRenderedPageBreak/>
        <w:t>y digno de la función, en cuanto que esta no es materialmente desempeñada durante el periodo de la suspensión por quien mantiene la titularidad del cargo; tales derechos de naturaleza política y económica serán restituidos al levantarse la suspensión del ejercicio del cargo y reanudarse el ejercicio de la función parlamentaria.</w:t>
      </w:r>
    </w:p>
    <w:p w:rsidR="005728DD" w:rsidRDefault="005728DD" w:rsidP="005728DD">
      <w:pPr>
        <w:pStyle w:val="TextoNormal"/>
      </w:pPr>
    </w:p>
    <w:p w:rsidR="005728DD" w:rsidRDefault="005728DD" w:rsidP="005728DD">
      <w:pPr>
        <w:pStyle w:val="TextoNormal"/>
      </w:pPr>
      <w:r>
        <w:t xml:space="preserve">Por lo que se refiere a la privación de las percepciones económicas que corresponderían al periodo comprendido entre el 28 de abril y 21 de mayo de 2019 el Ministerio Fiscal pone de relieve que la mesa del Congreso, por acuerdo de 23 de mayo de 2019 y, de conformidad con lo dispuesto en el artículo 8 RCD, estableció el 28 de abril de 2019, como la fecha inicial de devengo de las retribuciones económicas de los diputados en la XIII Legislatura, siempre que hubieran perfeccionado su condición de diputados, conforme a lo dispuesto en el artículo 20 RCD. En el presente caso, el recurrente adquirió la condición plena de diputado el 21 de mayo, pero la suspensión en el ejercicio del cargo parlamentario que declaró la mesa en el acuerdo de 24 de mayo, lo es con efectos del propio día 21 de mayo, pues como se señala en el informe de la Secretaría General del Congreso de 4 de junio, en el momento de adquirir la condición plena de diputado, es cuando la mesa podía hacer la declaración de la suspensión en el cargo adquirido. Dicha suspensión se producía </w:t>
      </w:r>
      <w:r w:rsidRPr="005728DD">
        <w:rPr>
          <w:i/>
        </w:rPr>
        <w:t>ex lege</w:t>
      </w:r>
      <w:r>
        <w:t xml:space="preserve"> en virtud del artículo 384 </w:t>
      </w:r>
      <w:r w:rsidRPr="005728DD">
        <w:rPr>
          <w:i/>
        </w:rPr>
        <w:t>bis</w:t>
      </w:r>
      <w:r>
        <w:t xml:space="preserve"> LECrim, el cual estaba vigente respecto del recurrente con anterioridad a las elecciones de 28 abril de 2019, desplegando sus efectos respecto del cargo de diputado del Congreso en el instante en que se produjo la adquisición plena de dicho cargo público representativo.</w:t>
      </w:r>
    </w:p>
    <w:p w:rsidR="005728DD" w:rsidRDefault="005728DD" w:rsidP="005728DD">
      <w:pPr>
        <w:pStyle w:val="TextoNormal"/>
      </w:pPr>
    </w:p>
    <w:p w:rsidR="005728DD" w:rsidRDefault="005728DD" w:rsidP="005728DD">
      <w:pPr>
        <w:pStyle w:val="TextoNormal"/>
      </w:pPr>
      <w:r>
        <w:t xml:space="preserve">Por lo tanto, se considera que la decisión de la mesa sobre las retribuciones no es una decisión contraria a lo dispuesto en el RCD. Se debe tener en cuenta a este respecto que, con efectos del mismo día 21 de mayo en el que se constituyó la Cámara, el recurrente fue declarado automáticamente suspendido en el ejercicio del cargo parlamentario, en virtud de lo establecido en el artículo 384 </w:t>
      </w:r>
      <w:r w:rsidRPr="005728DD">
        <w:rPr>
          <w:i/>
        </w:rPr>
        <w:t>bis</w:t>
      </w:r>
      <w:r>
        <w:t xml:space="preserve"> LECrim, que era de aplicación al recurrente con anterioridad a su elección el 28 de abril de 2019, si bien desplegaba sus efectos respecto del cargo de diputado del Congreso, tras adquirir el recurrente la condición plena de diputado en la misma sesión de constitución de la cámara, con el acatamiento de la Constitución. No cabe, por tanto, estimar que el recurrente pudo devengar el derecho de asignación económica que la mesa fijó para el periodo comprendido entre las elecciones del 28 de abril y el día de constitución de la Cámara.</w:t>
      </w:r>
    </w:p>
    <w:p w:rsidR="005728DD" w:rsidRDefault="005728DD" w:rsidP="005728DD">
      <w:pPr>
        <w:pStyle w:val="TextoNormal"/>
      </w:pPr>
    </w:p>
    <w:p w:rsidR="005728DD" w:rsidRDefault="005728DD" w:rsidP="005728DD">
      <w:pPr>
        <w:pStyle w:val="TextoNormal"/>
      </w:pPr>
      <w:r>
        <w:t>El Ministerio Fiscal tampoco comparte la alegación de que la decisión carece de toda motivación y es arbitraria, toda vez que la única argumentación de la impugnación es la discriminación con relación al caso del diputado Selahattin Demirtas, al que se refiere la STEDH de 20 de noviembre de 2018. El acuerdo de la mesa recoge una motivación que se corresponde con la justificación que se da en el informe de Secretaría General del Congreso de 4 de junio, y el acuerdo desestimatorio de la reconsideración pone de relieve que la suspensión en el ejercicio del cargo parlamentario conlleva la de todos los derechos que son inherentes a su desempeño y, por tanto, también los de naturaleza económica. En su acuerdo de 16 de julio, la mesa recoge expresamente que se ha seguido el precedente parlamentario del diputado señor Alcalde Linares en la IV Legislatura, por ser el único supuesto parlamentario que se corresponde con el de la suspensión del ejercicio del cargo que ahora se plantea, precedente en el que también se apoya en el citado informe de la Secretaría General. Por lo tanto, no cabe estimar que el acuerdo de la mesa es arbitrario, porque no se ha dado respuesta motivada a la solicitud de reconsideración.</w:t>
      </w:r>
    </w:p>
    <w:p w:rsidR="005728DD" w:rsidRDefault="005728DD" w:rsidP="005728DD">
      <w:pPr>
        <w:pStyle w:val="TextoNormal"/>
      </w:pPr>
    </w:p>
    <w:p w:rsidR="005728DD" w:rsidRDefault="005728DD" w:rsidP="005728DD">
      <w:pPr>
        <w:pStyle w:val="TextoNormal"/>
      </w:pPr>
      <w:r>
        <w:t>Entiende, además, que no puede acogerse el argumento de que la STEDH de 20 de noviembre de 2018 refleja que Selahattim Demirtas percibía su asignación económica, porque esta sentencia no puede ser invocada para sustentar que la suspensión del derecho de retribuciones económicas del recurrente vulnera el artículo 23.2 CE, ya que en la misma no se enjuicia una suspensión en el ejercicio del cargo parlamentario y la consiguiente suspensión de derechos políticos y económicos que le son inherentes, prevista en el ordenamiento jurídico nacional para determinados supuestos; y porque no es una sentencia firme.</w:t>
      </w:r>
    </w:p>
    <w:p w:rsidR="005728DD" w:rsidRDefault="005728DD" w:rsidP="005728DD">
      <w:pPr>
        <w:pStyle w:val="TextoNormal"/>
      </w:pPr>
    </w:p>
    <w:p w:rsidR="005728DD" w:rsidRDefault="005728DD" w:rsidP="005728DD">
      <w:pPr>
        <w:pStyle w:val="TextoNormal"/>
      </w:pPr>
      <w:r>
        <w:t xml:space="preserve">Respecto a la impugnación de la decisión de la mesa sobre las prestaciones de la seguridad social y la póliza de accidentes (punto 7 del acuerdo) que el recurrente entiende que vulnera su derecho fundamental al ejercicio del cargo del artículo 23.2 en relación con el artículo 33.3 CE, al privarle de un derecho que forma parte de su estatus parlamentario, el Ministerio Fiscal pone de relieve que si bien si bien el RCD contempla entre los derechos que integran el estatuto de los diputados, los concernientes a las prestaciones sociales, cuya cobertura es asumida por el Congreso con cargo a sus presupuestos, de acuerdo con la propia doctrina del Tribunal Constitucional, no cabe estimar que cualquier infracción de las disposiciones reglamentarias sobre el estatus parlamentario o de las disposiciones legales que resultan de aplicación, pueda constituir una vulneración del núcleo esencial del </w:t>
      </w:r>
      <w:r w:rsidRPr="005728DD">
        <w:rPr>
          <w:i/>
        </w:rPr>
        <w:t>ius in officium</w:t>
      </w:r>
      <w:r>
        <w:t xml:space="preserve"> del cargo parlamentario representativo (con cita de la STC 110/2019, de 2 de octubre, FJ 2). La supuesta infracción de la normativa en materia de cobertura de las prestaciones sociales de los diputados que se denuncia por el demandante, no puede considerarse como constitutiva de una vulneración del núcleo esencial del </w:t>
      </w:r>
      <w:r w:rsidRPr="005728DD">
        <w:rPr>
          <w:i/>
        </w:rPr>
        <w:t>ius in officium</w:t>
      </w:r>
      <w:r>
        <w:t xml:space="preserve"> (art. 23.2 CE) y del correlativo derecho de los ciudadanos a participar en los asuntos públicos a través de sus representantes (art. 23.1 CE). La supuesta infracción de la normativa aplicable a los diputados en materia de prestaciones sociales por estimar el recurrente que, de acuerdo con la misma, no podía producirse la baja en la cobertura de las prestaciones sociales de los diputados suspendidos en el ejercicio del cargo al mantener estos su titularidad, es una cuestión de infracción de la legalidad ordinaria, cuyo examen es ajeno a la jurisdicción constitucional en un recurso de amparo parlamentario. En el mismo sentido, el pronunciamiento del punto 7 del acuerdo sobre la baja en la póliza de accidentes que las Cortes Generales tienen contratada en tanto dure la suspensión en el ejercicio del cargo, no puede estimarse tampoco constitutiva de una posible vulneración del derecho fundamental al ejercicio del cargo público del artículo 23.2 CE. Estos derechos, además, eran expectativas de derechos que podían ser adquiridas, si efectivamente hubieran llegado a desempeñar la función y el cargo parlamentario, lo que no tuvo lugar al declararse suspendidos automáticamente en su ejercicio en el instante mismo en que adquirieron la condición plena de diputado y desplegó sus efectos el art. 384 </w:t>
      </w:r>
      <w:r w:rsidRPr="005728DD">
        <w:rPr>
          <w:i/>
        </w:rPr>
        <w:t>bis</w:t>
      </w:r>
      <w:r>
        <w:t xml:space="preserve"> LECrim que era ya aplicable con anterioridad, por lo que no se vulnera el artículo 33.3 CE.</w:t>
      </w:r>
    </w:p>
    <w:p w:rsidR="005728DD" w:rsidRDefault="005728DD" w:rsidP="005728DD">
      <w:pPr>
        <w:pStyle w:val="TextoNormal"/>
      </w:pPr>
    </w:p>
    <w:p w:rsidR="005728DD" w:rsidRDefault="005728DD" w:rsidP="005728DD">
      <w:pPr>
        <w:pStyle w:val="TextoNormal"/>
      </w:pPr>
      <w:r>
        <w:t xml:space="preserve">Finalmente, en relación con la impugnación de los pronunciamientos sobre el funcionamiento de la cámara y la adopción de acuerdos por sus órganos, el Ministerio Fiscal considera que lo que el recurrente alega al respecto es que resulta arbitrario que la mesa, en su acuerdo, determine que la mayoría absoluta se calcule computando el número total de miembros que tiene la cámara, incluyendo a los diputados suspendidos que mantienen la titularidad del cargo, pero no se compute a los mismos para establecer la proporcionalidad de los diputados que corresponden al Grupo Mixto en las comisiones, o para los supuestos de ponderación de voto. Al respecto, parte de la doctrina constitucional que de acuerdo con la </w:t>
      </w:r>
      <w:r>
        <w:lastRenderedPageBreak/>
        <w:t xml:space="preserve">autonomía parlamentaria artículo 72 CE y la naturaleza del derecho del artículo 23.2 CE como derecho de configuración legal, pone de manifiesto la necesidad de que se otorgue a los órganos rectores de los parlamentos un margen de apreciación en el ejercicio de su función técnico-jurídica, al calificar y decidir sobre los escritos y documentos parlamentarios. Esta doctrina también pone de relieve que la posible limitación que las decisiones de los órganos rectores de los parlamentos pueden suponer para el ejercicio de la función parlamentaria (art. 23.2 CE) y para el derecho de participación política de los ciudadanos a través de sus representantes políticos (art. 23. l CE), exige que tales decisiones apliquen la normativa parlamentaria y estén motivadas formal y materialmente. Pues bien, el acuerdo de la mesa del Congreso de 16 de julio de 2019 expresa los motivos por los que no deben ser computados los diputados declarados suspendidos en el ejercicio del cargo, en relación con la composición de los órganos de la cámara o para la adopción de acuerdos en determinados casos, por lo que, a su juicio, está debidamente motivado, sin que su razonamiento infrinja algún precepto del Reglamento del Congreso de los Diputados o pueda ser considerado irracional o arbitrario. Pone de manifiesto que, si bien estos diputados siguen ostentando la titularidad del cargo y, en cuanto que mantienen su condición de diputados, computan como miembros de la cámara, la suspensión en el ejercicio del cargo supone que ninguna de las funciones que son inherentes al cargo pueden ser desempeñadas mientras dure la suspensión, lo que impacta en la importancia numérica que materialmente debe asignarse al grupo parlamentario en el que son incluidos, en los casos en los que reglamentariamente se dispone que dicha importancia numérica debe ser tenida en cuenta. En definitiva, dicho acuerdo debe ser como un acuerdo motivado y no arbitrario, que se sustenta en la exigencia de que la suspensión en el ejercicio del cargo, declarada en aplicación del art. 384 </w:t>
      </w:r>
      <w:r w:rsidRPr="005728DD">
        <w:rPr>
          <w:i/>
        </w:rPr>
        <w:t>bis</w:t>
      </w:r>
      <w:r>
        <w:t xml:space="preserve"> LECrim, sea efectiva. La declaración de suspensión </w:t>
      </w:r>
      <w:r w:rsidRPr="005728DD">
        <w:rPr>
          <w:i/>
        </w:rPr>
        <w:t>ex lege</w:t>
      </w:r>
      <w:r>
        <w:t xml:space="preserve"> carecería de efectividad si los diputados suspendidos son computados como si realmente, pudieran desempeñar las funciones inherentes al cargo suspendido. Considera el Ministerio Fiscal que se plantea en el presente caso y, en lo que concierne al sistema de ponderación de voto en caso de empate en las comisiones art. 88.2 RCD o en la junta de portavoces art. 39.4 RCD, una cuestión similar a la que se planteó en el recurso de amparo núm. 5887-2018, que se encuentra en tramitación.</w:t>
      </w:r>
    </w:p>
    <w:p w:rsidR="005728DD" w:rsidRDefault="005728DD" w:rsidP="005728DD">
      <w:pPr>
        <w:pStyle w:val="TextoNormal"/>
      </w:pPr>
    </w:p>
    <w:p w:rsidR="005728DD" w:rsidRDefault="005728DD" w:rsidP="005728DD">
      <w:pPr>
        <w:pStyle w:val="TextoNormal"/>
      </w:pPr>
      <w:r>
        <w:t xml:space="preserve">Afirma el Ministerio Fiscal que los acuerdos impugnados no hacen una interpretación arbitraria o desproporcionada, cuando establecen que no se tendrá en cuenta a los diputados suspendidos </w:t>
      </w:r>
      <w:r w:rsidRPr="005728DD">
        <w:rPr>
          <w:i/>
        </w:rPr>
        <w:t>ex lege</w:t>
      </w:r>
      <w:r>
        <w:t xml:space="preserve"> en el ejercicio del cargo, en aquellos casos en que el Reglamento del Congreso de los Diputados establece que hay que atender de manera proporcional a la importancia numérica del grupo parlamentario al que están asignados, puesto que ello es consecuencia de que no puede computarse a quienes carecen de las funciones inherentes al desempeño del cargo, sin hacer con ello ineficaz la propia suspensión declarada. Existiría, además, una contradicción en los casos en los que el Reglamento del Congreso contempla la ponderación de voto, en cuanto que en el Pleno no se computaría el voto de los diputados suspensos, al no poder ejercitar el derecho, mientras que cobraría virtualidad, al incluirlo en el cómputo del voto ponderado en caso de empate en las comisiones o en la votación en la junta de portavoces.</w:t>
      </w:r>
    </w:p>
    <w:p w:rsidR="005728DD" w:rsidRDefault="005728DD" w:rsidP="005728DD">
      <w:pPr>
        <w:pStyle w:val="TextoNormal"/>
      </w:pPr>
    </w:p>
    <w:p w:rsidR="005728DD" w:rsidRDefault="005728DD" w:rsidP="005728DD">
      <w:pPr>
        <w:pStyle w:val="TextoNormal"/>
      </w:pPr>
      <w:r>
        <w:t>Finalmente, se refiere a que determinados pronunciamientos de los acuerdos de la mesa impugnados supondrían una restricción de los derechos que en el Reglamento del Congreso son atribuidos al Grupo Parlamentario Mixto y, por ello, habiéndose personado el recurrente a título individual, carece de legitimación para su impugnación. Se trata de derechos titula</w:t>
      </w:r>
      <w:r>
        <w:lastRenderedPageBreak/>
        <w:t xml:space="preserve">ridad de los grupos parlamentarios de la cámara que se atribuyen a aquellos proporcionalmente a su importancia numérica, en consideración al eficaz desempeño de las funciones parlamentarias por los diputados que se integran en ellos. De acuerdo con la doctrina del Tribunal Constitucional, el derecho a la constitución de un grupo parlamentario es una manifestación relevante del </w:t>
      </w:r>
      <w:r w:rsidRPr="005728DD">
        <w:rPr>
          <w:i/>
        </w:rPr>
        <w:t>ius in officium</w:t>
      </w:r>
      <w:r>
        <w:t xml:space="preserve"> y constituyen un instrumento imprescindible y principal para la organización y funcionamiento de la Cámara y para el desempeño de las funciones parlamentarias propias del estatus parlamentario STC 76/2017, de 19 de junio, FJ 4.</w:t>
      </w:r>
    </w:p>
    <w:p w:rsidR="005728DD" w:rsidRDefault="005728DD" w:rsidP="005728DD">
      <w:pPr>
        <w:pStyle w:val="TextoNormal"/>
      </w:pPr>
    </w:p>
    <w:p w:rsidR="005728DD" w:rsidRDefault="005728DD" w:rsidP="005728DD">
      <w:pPr>
        <w:pStyle w:val="TextoNormal"/>
      </w:pPr>
      <w:r>
        <w:t xml:space="preserve">El recurrente y el resto de los diputados suspendidos han sido incorporados al Grupo Mixto en cuanto ostentan la condición de diputados y en cumplimiento de lo dispuesto en el artículo 25.1 RCD, pero al no poder ejercer durante su suspensión las funciones parlamentarias, ni las facultades que integran el </w:t>
      </w:r>
      <w:r w:rsidRPr="005728DD">
        <w:rPr>
          <w:i/>
        </w:rPr>
        <w:t>ius in officium</w:t>
      </w:r>
      <w:r>
        <w:t>, esa asignación no puede dar lugar a que materialmente, aquellos sean computados para atribuir al grupo parlamentario los derechos previstos en función de las facultades que son inherentes al ejercicio del cargo. En cualquier caso y, con independencia de la falta de legitimación para impugnar la vulneración de los derechos que resultan de los grupos parlamentarios, la precisión del punto 2 del acuerdo de la mesa de 5 de junio, que dispone que la imposibilidad de formar parte de las comisiones y otros órganos de la cámara, deberá ser tenida en cuenta en el momento de determinar el número de miembros que en los distintos órganos corresponderá designar al Grupo Parlamentario Mixto, que el acuerdo de la mesa de 16 de julio, pone de manifiesto que no ha sido adoptada, debe considerarse prematura.</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que tuvo entrada en el registro general del tribunal el 23 de septiembre de 2020, la letrada de las Cortes Generales presentó alegaciones en nombre y representación del Congreso de los Diputados, solicitando la inadmisión de la demanda por falta de agotamiento de la vía previa, mutación subjetiva del ejercicio de la acción y consiguiente falta de legitimación, considerando infringidos los artículos 31.2 RCD y 42 y 46.1 a) LOTC y, subsidiariamente, la desestimación del recurso de amparo en su integridad. Sus alegaciones pueden resumirse como sigue:</w:t>
      </w:r>
    </w:p>
    <w:p w:rsidR="005728DD" w:rsidRDefault="005728DD" w:rsidP="005728DD">
      <w:pPr>
        <w:pStyle w:val="TextoNormal"/>
      </w:pPr>
    </w:p>
    <w:p w:rsidR="005728DD" w:rsidRDefault="005728DD" w:rsidP="005728DD">
      <w:pPr>
        <w:pStyle w:val="TextoNormal"/>
      </w:pPr>
      <w:r>
        <w:t>A) Expone los antecedentes de hecho del presente recurso de amparo, poniendo de manifiesto que no existe ningún acuerdo de la mesa del Congreso de los Diputados de 25 de julio de 2019 sino que esta es la fecha de notificación del acuerdo de 16 de julio del mismo año. A continuación, aborda las siguientes cuestiones de carácter jurídico procesal:</w:t>
      </w:r>
    </w:p>
    <w:p w:rsidR="005728DD" w:rsidRDefault="005728DD" w:rsidP="005728DD">
      <w:pPr>
        <w:pStyle w:val="TextoNormal"/>
      </w:pPr>
    </w:p>
    <w:p w:rsidR="005728DD" w:rsidRDefault="005728DD" w:rsidP="005728DD">
      <w:pPr>
        <w:pStyle w:val="TextoNormal"/>
      </w:pPr>
      <w:r>
        <w:t>a) Se aduce falta de agotamiento de la vía previa, mutación subjetiva del ejercicio de la acción y consiguiente falta de legitimación en la interposición de la demanda de amparo.</w:t>
      </w:r>
    </w:p>
    <w:p w:rsidR="005728DD" w:rsidRDefault="005728DD" w:rsidP="005728DD">
      <w:pPr>
        <w:pStyle w:val="TextoNormal"/>
      </w:pPr>
    </w:p>
    <w:p w:rsidR="005728DD" w:rsidRDefault="005728DD" w:rsidP="005728DD">
      <w:pPr>
        <w:pStyle w:val="TextoNormal"/>
      </w:pPr>
      <w:r>
        <w:t>Se considera que el recurrente carece de legitimación para recurrir los acuerdos de la mesa de 5 de junio y 16 de julio de 2019 ya que no fue él quien interpuso la solicitud de reconsideración (art. 31.2 RCD), preceptiva para considerar agotada la vía previa exigida por el artículo 42 LOTC, sino que lo hizo la portavoz del Grupo Mixto. Por tanto, no se puede considerar que se haya cumplido el requisito del artículo 42 LOTC puesto que el “directamente afectado” como exige el artículo 46.l a) LOTC no es el que ha solicitado la reconsideración.</w:t>
      </w:r>
    </w:p>
    <w:p w:rsidR="005728DD" w:rsidRDefault="005728DD" w:rsidP="005728DD">
      <w:pPr>
        <w:pStyle w:val="TextoNormal"/>
      </w:pPr>
    </w:p>
    <w:p w:rsidR="005728DD" w:rsidRDefault="005728DD" w:rsidP="005728DD">
      <w:pPr>
        <w:pStyle w:val="TextoNormal"/>
      </w:pPr>
      <w:r>
        <w:t xml:space="preserve">La discrepancia en la titularidad de la acción imposibilita encontrar la imprescindible continuidad procesal entre el escrito de reconsideración y la demanda de amparo, en un </w:t>
      </w:r>
      <w:r>
        <w:lastRenderedPageBreak/>
        <w:t>supuesto que puede tener algún parecido estructural con la llamada desviación procesal en el recurso contencioso-administrativo. El Congreso se sitúa en un plano de clara indefensión, en cuanto que quien solicita la reconsideración es una persona y es otro sujeto diferente quien interpone la demanda de amparo. Se trata de una mutación subjetiva que se plantea al Congreso de los Diputados de forma sorpresiva, pues las alegaciones que pueda realizar la portavoz del Grupo Parlamentario Mixto no tienen nada que ver con las que pueda formular el recurrente en amparo quien ni siquiera pertenece “como activo” al Grupo Mixto, al estar suspendido. Discute también la legitimación de la portavoz del Grupo Mixto en lo que se refiere a la parte de los acuerdos que tratan sobre los efectos de la suspensión en el diputado afectado, en cuanto que ella no se puede considerar directa ni indirectamente afectada por dicha parte de los acuerdos, dado su carácter personalísimo. Tampoco puede actuar la referida portavoz en representación del recurrente en amparo al interponer la reconsideración porque en escrito de 20 de junio de 2019, complementario de su escrito de reconsideración, manifiesta que dicho escrito “fue registrado a iniciativa exclusiva de JxCAT-Junts”. Ello plantea que, para ser congruentes, el recurso de amparo se tendría que haber presentado por todos los miembros de JxCAT- Junts del Grupo Mixto, o incluso por todos los miembros de dicho grupo, en cuanto se estaban invocando los derechos de todos. Del mismo modo, desde la perspectiva del demandante de amparo, solo son sus derechos personales lo que resultan afectados, ya que su condición de miembro del Grupo Mixto lo es en calidad de suspenso, por lo que ningún tipo de vinculación puede encontrarse entre el acuerdo de suspensión de su condición y la personalidad y actividad del propio Grupo Parlamentario Mixto. Por tanto, las alegaciones que lleva a cabo sobre la posible afectación de los derechos del Grupo Mixto no pueden ser invocadas en una demanda de amparo planteada por un diputado suspendido aunque esté en el propio Grupo Mixto. Esta incongruencia procesal, incluso en el caso de suponer que la legitimación en la reconsideración sea correcta, acredita un defecto de orden público procesal que determina la inadmisión de la acción.</w:t>
      </w:r>
    </w:p>
    <w:p w:rsidR="005728DD" w:rsidRDefault="005728DD" w:rsidP="005728DD">
      <w:pPr>
        <w:pStyle w:val="TextoNormal"/>
      </w:pPr>
    </w:p>
    <w:p w:rsidR="005728DD" w:rsidRDefault="005728DD" w:rsidP="005728DD">
      <w:pPr>
        <w:pStyle w:val="TextoNormal"/>
      </w:pPr>
      <w:r>
        <w:t>b) En segundo lugar, la letrada de las Cortes Generales se opone a la acumulación de este recurso de amparo con el recurso de amparo 5199-2019, en el entendimiento que no se cumplen los requisitos del artículo 83 LOTC. Cada uno de los acuerdos debe tener plena autonomía a los efectos de su impugnación, pues las cuestiones a analizar en cada uno son diferentes, y no se da la unidad de tramitación ni de decisión.</w:t>
      </w:r>
    </w:p>
    <w:p w:rsidR="005728DD" w:rsidRDefault="005728DD" w:rsidP="005728DD">
      <w:pPr>
        <w:pStyle w:val="TextoNormal"/>
      </w:pPr>
    </w:p>
    <w:p w:rsidR="005728DD" w:rsidRDefault="005728DD" w:rsidP="005728DD">
      <w:pPr>
        <w:pStyle w:val="TextoNormal"/>
      </w:pPr>
      <w:r>
        <w:t>B) En cuanto a los fundamentos jurídico-materiales, se expone lo que sigue:</w:t>
      </w:r>
    </w:p>
    <w:p w:rsidR="005728DD" w:rsidRDefault="005728DD" w:rsidP="005728DD">
      <w:pPr>
        <w:pStyle w:val="TextoNormal"/>
      </w:pPr>
    </w:p>
    <w:p w:rsidR="005728DD" w:rsidRDefault="005728DD" w:rsidP="005728DD">
      <w:pPr>
        <w:pStyle w:val="TextoNormal"/>
      </w:pPr>
      <w:r>
        <w:t xml:space="preserve">a) En relación con la remisión que realiza el recurrente a los argumentos del recurso de amparo 5199-2019, se considera que es irrelevante pues el objeto del presente recurso no versa sobre la aplicación del artículo 384 </w:t>
      </w:r>
      <w:r w:rsidRPr="005728DD">
        <w:rPr>
          <w:i/>
        </w:rPr>
        <w:t>bis</w:t>
      </w:r>
      <w:r>
        <w:t xml:space="preserve"> LECrim y la supuesta inconstitucionalidad del acuerdo de declaración de suspensión en sí mismo considerado, sino sobre otra cuestión distinta, por mucho que derive de la anterior, que es la conformidad constitucional de los efectos derivados de esa suspensión, esto es, la privación al diputado suspendido de determinados derechos asociados a su condición, así como de otros efectos en relación al Grupo Mixto, ponderación del voto, atribución de iniciativas y composición de los órganos de la Cámara. En este recurso, lo que se trata de dilucidar no es si es procedente o no la suspensión del diputado, lo que se decide en el anterior recurso, sino si, partiendo de la suspensión, son conforme a Derecho las medidas adoptadas por la mesa. Por ello, en su opinión, resultan ajenas al objeto de este recurso todas las alegaciones contenidas en la demanda de amparo que reiteran, se remiten o pretenden ampliar de algún modo los argumentos ya expuestos en </w:t>
      </w:r>
      <w:r>
        <w:lastRenderedPageBreak/>
        <w:t xml:space="preserve">el anterior recurso, en relación con la aplicación por la mesa de la cámara del artículo 384 </w:t>
      </w:r>
      <w:r w:rsidRPr="005728DD">
        <w:rPr>
          <w:i/>
        </w:rPr>
        <w:t>bis</w:t>
      </w:r>
      <w:r>
        <w:t xml:space="preserve"> LECrim y la inconstitucionalidad de la suspensión declarada.</w:t>
      </w:r>
    </w:p>
    <w:p w:rsidR="005728DD" w:rsidRDefault="005728DD" w:rsidP="005728DD">
      <w:pPr>
        <w:pStyle w:val="TextoNormal"/>
      </w:pPr>
    </w:p>
    <w:p w:rsidR="005728DD" w:rsidRDefault="005728DD" w:rsidP="005728DD">
      <w:pPr>
        <w:pStyle w:val="TextoNormal"/>
      </w:pPr>
      <w:r>
        <w:t xml:space="preserve">En este sentido, a la vista de las “consideraciones adicionales”, se podría decir que el recurrente no está planteando un recurso para acumular al otro, sino una ampliación de su anterior demanda de amparo, completamente extemporánea y al margen de cauce procesal previsto, razón por la cual todas las alegaciones que pretenden reabrir el debate sobre la aplicación del artículo 384 </w:t>
      </w:r>
      <w:r w:rsidRPr="005728DD">
        <w:rPr>
          <w:i/>
        </w:rPr>
        <w:t>bis</w:t>
      </w:r>
      <w:r>
        <w:t xml:space="preserve"> LECrim, no pueden ser tenidas en cuenta a los efectos del presente recurso de amparo. No obstante lo anterior, la letrada de las Cortes reproduce sus alegaciones en el recurso de amparo 5199-2019 sobre la sentencia de 14 de octubre de 2019 de la Sala de lo Penal del Tribunal Supremo. Se aduce que lo que se considera relevante, no es dicha sentencia, sino la STC 11/2020, de 28 de enero, que avala la constitucionalidad de la suspensión automática y </w:t>
      </w:r>
      <w:r w:rsidRPr="005728DD">
        <w:rPr>
          <w:i/>
        </w:rPr>
        <w:t>ex lege</w:t>
      </w:r>
      <w:r>
        <w:t xml:space="preserve"> de la condición de diputados del Parlament de Catalunya de los recurrentes por imperio del artículo 384 </w:t>
      </w:r>
      <w:r w:rsidRPr="005728DD">
        <w:rPr>
          <w:i/>
        </w:rPr>
        <w:t>bis</w:t>
      </w:r>
      <w:r>
        <w:t xml:space="preserve"> LECrim que acordó el magistrado instructor de la causa especial número 20907-2017, en la que se afirma que dicho precepto no deja margen alguno en su aplicación, más allá de la verificación de la concurrencia de los presupuestos a los que la norma liga tal medida: procesamiento firme y prisión provisional por razón de los delitos a los que se refiere el precepto y en el mismo sentido, cita las SSTC 37/2020 y 38/2020, de 25 de febrero.</w:t>
      </w:r>
    </w:p>
    <w:p w:rsidR="005728DD" w:rsidRDefault="005728DD" w:rsidP="005728DD">
      <w:pPr>
        <w:pStyle w:val="TextoNormal"/>
      </w:pPr>
    </w:p>
    <w:p w:rsidR="005728DD" w:rsidRDefault="005728DD" w:rsidP="005728DD">
      <w:pPr>
        <w:pStyle w:val="TextoNormal"/>
      </w:pPr>
      <w:r>
        <w:t xml:space="preserve">Los criterios reseñados por la doctrina del Tribunal Constitucional son semejantes a los que se desprenden de la jurisprudencia del Tribunal Europeo de Derechos Humanos sobre el art. 3 del Protocolo núm. 1 CEDH, cuyos principios generales aparecen expuestos en la STEDH de 8 de abril de 2010, asunto </w:t>
      </w:r>
      <w:r w:rsidRPr="005728DD">
        <w:rPr>
          <w:i/>
        </w:rPr>
        <w:t>Namat Aliyev c. Azerbaiyán</w:t>
      </w:r>
      <w:r>
        <w:t xml:space="preserve">, § 70- 73. Con cita de diferentes sentencias del Tribunal Europeo de Derechos Humanos, destaca que el art. 3 del Protocolo núm. 1 consagra un principio fundamental en un régimen político verdaderamente democrático y, por tanto, reviste en el sistema del convenio una importancia capital, sin embargo, los derechos reconocidos en el art. 3 del Protocolo núm. 1 no son absolutos sino que pueden estar sometidos a “limitaciones implícitas”, disponiendo los Estados de un amplio margen de apreciación al respecto, correspondiendo al Tribunal Europeo de Derechos Humanos determinar en última instancia si los requisitos de este artículo se han cumplido. Para ello, “tiene que convencerse de que las condiciones no restringen los derechos en cuestión hasta el punto de menoscabar su propia esencia y privarlos de su eficacia; que se impongan en pos de un fin legítimo; y que los medios empleados no son desproporcionados o arbitrarios SSTEDH asunto </w:t>
      </w:r>
      <w:r w:rsidRPr="005728DD">
        <w:rPr>
          <w:i/>
        </w:rPr>
        <w:t>Mathieu-Mohin y Clerfayt c. Bélgica</w:t>
      </w:r>
      <w:r>
        <w:t xml:space="preserve">, § 52, y asunto </w:t>
      </w:r>
      <w:r w:rsidRPr="005728DD">
        <w:rPr>
          <w:i/>
        </w:rPr>
        <w:t>Gitonas y otros c. Grecia</w:t>
      </w:r>
      <w:r>
        <w:t xml:space="preserve">, § 39”, SSTEDH de 6 de abril de 2000 asunto </w:t>
      </w:r>
      <w:r w:rsidRPr="005728DD">
        <w:rPr>
          <w:i/>
        </w:rPr>
        <w:t>Labita c. Italia</w:t>
      </w:r>
      <w:r>
        <w:t xml:space="preserve">, § 201 y 21 de febrero de 2012 asunto </w:t>
      </w:r>
      <w:r w:rsidRPr="005728DD">
        <w:rPr>
          <w:i/>
        </w:rPr>
        <w:t>Abil c. Azerbayan</w:t>
      </w:r>
      <w:r>
        <w:t xml:space="preserve">, § 43. La noción de “limitación implícita” significa también que, al enjuiciar su alegada vulneración, el Tribunal Europeo de Derechos Humanos no aplica los criterios tradicionales de “necesidad” o de “necesidad social imperiosa”. Cuando tiene que conocer de cuestiones referidas a la conformidad de una restricción al art. 3 del Protocolo núm. 1, el Tribunal Europeo de Derechos Humanos se atiene esencialmente a dos criterios: por una parte, investiga si hubo arbitrariedad o falta de proporcionalidad y, por otra, si la restricción atentó contra la libre expresión de la opinión pública asunto </w:t>
      </w:r>
      <w:r w:rsidRPr="005728DD">
        <w:rPr>
          <w:i/>
        </w:rPr>
        <w:t>Zdanoka c. Letonia</w:t>
      </w:r>
      <w:r>
        <w:t xml:space="preserve">, de 16 de marzo de 2006, citada, § 115. Teniendo en cuenta esta doctrina, no parece fundamentado, en su opinión, que el recurrente invoque como vulnerado el artículo 3 del Protocolo núm. 1 CEDH, puesto que la misma jurisprudencia europea admite sus límites. Afirmado este carácter limitado del derecho fundamental, el siguiente paso ha </w:t>
      </w:r>
      <w:r>
        <w:lastRenderedPageBreak/>
        <w:t>de venir constituido, como exige la jurisprudencia, por el juicio de proporcionalidad que se debe hacer de la medida limitadora del derecho fundamental.</w:t>
      </w:r>
    </w:p>
    <w:p w:rsidR="005728DD" w:rsidRDefault="005728DD" w:rsidP="005728DD">
      <w:pPr>
        <w:pStyle w:val="TextoNormal"/>
      </w:pPr>
    </w:p>
    <w:p w:rsidR="005728DD" w:rsidRDefault="005728DD" w:rsidP="005728DD">
      <w:pPr>
        <w:pStyle w:val="TextoNormal"/>
      </w:pPr>
      <w:r>
        <w:t>De acuerdo con lo anterior, la letrada de las Cortes Generales analiza, siguiendo el orden de los motivos de la demanda de amparo, si las medidas adoptadas en el acuerdo de la mesa de 5 de junio de 2019 pueden considerarse una “injerencia proporcionada” desde la perspectiva del derecho fundamental reconocido en el artículo 23.2 CE.</w:t>
      </w:r>
    </w:p>
    <w:p w:rsidR="005728DD" w:rsidRDefault="005728DD" w:rsidP="005728DD">
      <w:pPr>
        <w:pStyle w:val="TextoNormal"/>
      </w:pPr>
    </w:p>
    <w:p w:rsidR="005728DD" w:rsidRDefault="005728DD" w:rsidP="005728DD">
      <w:pPr>
        <w:pStyle w:val="TextoNormal"/>
      </w:pPr>
      <w:r>
        <w:t>b) En relación con la alegación de la demanda de que el acuerdo de 5 de junio de 2019 fue dictado por un órgano manifiestamente incompetente, lo que comporta la vulneración del derecho del diputado recurrente por su adopción sin audiencia de la junta de portavoces, considera que el recurrente incurre en este punto en cierta confusión respecto a la naturaleza de los acuerdos de la mesa y a las fuentes del derecho parlamentario.</w:t>
      </w:r>
    </w:p>
    <w:p w:rsidR="005728DD" w:rsidRDefault="005728DD" w:rsidP="005728DD">
      <w:pPr>
        <w:pStyle w:val="TextoNormal"/>
      </w:pPr>
    </w:p>
    <w:p w:rsidR="005728DD" w:rsidRDefault="005728DD" w:rsidP="005728DD">
      <w:pPr>
        <w:pStyle w:val="TextoNormal"/>
      </w:pPr>
      <w:r>
        <w:t>Afirma que los acuerdos de la mesa del Congreso de los Diputados han sido adoptados tanto al amparo de su competencia residual (art. 31.1.7 RCD), como de la competencia en su condición de órgano rector y de gobierno de la cámara (art. 30.1 RCD). Y también implícitamente de acuerdo con el artículo 31.1.1 RCD, en las que encaja un acuerdo que tiene un contenido tanto relativo al régimen de los diputados como a diversas cuestiones de funcionamiento y organización de la cámara.</w:t>
      </w:r>
    </w:p>
    <w:p w:rsidR="005728DD" w:rsidRDefault="005728DD" w:rsidP="005728DD">
      <w:pPr>
        <w:pStyle w:val="TextoNormal"/>
      </w:pPr>
    </w:p>
    <w:p w:rsidR="005728DD" w:rsidRDefault="005728DD" w:rsidP="005728DD">
      <w:pPr>
        <w:pStyle w:val="TextoNormal"/>
      </w:pPr>
      <w:r>
        <w:t xml:space="preserve">Finalmente, funda la competencia de la mesa en el artículo 31.1. 4 y 5 RCD que le atribuye la función de calificar y decidir la tramitación de todos los escritos y documentos de índole parlamentaria, entendiendo por tramitación dar el curso conforme a ley de los citados documentos. En efecto, la mesa, cuando en su día recibió testimonio de la resolución de 14 de mayo de 2019, dictada por la Sala Segunda del Tribunal Supremo, en la causa especial 20907-2017, tomó conocimiento de la situación procesal en la que se encontraba el recurrente y procedió a la calificación de este escrito y a la adopción de la declaración de suspensión. El posterior acuerdo de 5 de junio, que ahora se recurre, complemento del anterior, es al igual que aquél, producto del ejercicio por la mesa de su competencia de calificación de escritos y de determinar la tramitación y los efectos de cada uno de ellos. A todo lo dicho, se puede añadir que la citada competencia de la mesa es la consecuencia de un efecto que se produce por ministerio de la ley, en concreto, la suspensión operada </w:t>
      </w:r>
      <w:r w:rsidRPr="005728DD">
        <w:rPr>
          <w:i/>
        </w:rPr>
        <w:t>ex</w:t>
      </w:r>
      <w:r>
        <w:t xml:space="preserve"> artículo 384 </w:t>
      </w:r>
      <w:r w:rsidRPr="005728DD">
        <w:rPr>
          <w:i/>
        </w:rPr>
        <w:t>bis</w:t>
      </w:r>
      <w:r>
        <w:t xml:space="preserve"> LECrim, pudiéndose sostener que dicho acuerdo de 5 de junio constituye un "acto debido”, ya que la previsión legal del artículo 384 </w:t>
      </w:r>
      <w:r w:rsidRPr="005728DD">
        <w:rPr>
          <w:i/>
        </w:rPr>
        <w:t>bis</w:t>
      </w:r>
      <w:r>
        <w:t xml:space="preserve"> y la declaración judicial sobre su aplicación, no pueden producir sus efectos directamente sobre el ordenamiento de las cámaras, sino que es necesario que la cámara aplique sus efectos.</w:t>
      </w:r>
    </w:p>
    <w:p w:rsidR="005728DD" w:rsidRDefault="005728DD" w:rsidP="005728DD">
      <w:pPr>
        <w:pStyle w:val="TextoNormal"/>
      </w:pPr>
    </w:p>
    <w:p w:rsidR="005728DD" w:rsidRDefault="005728DD" w:rsidP="005728DD">
      <w:pPr>
        <w:pStyle w:val="TextoNormal"/>
      </w:pPr>
      <w:r>
        <w:t xml:space="preserve">En relación con la división que realiza el recurrente entre acuerdos generales, que deben ser adoptados por la presidencia, y acuerdos concretos, que deben ser adoptados por la mesa, considera que la misma no es correcta ya que el Reglamento del Congreso de los Diputados no excluye que dichos acuerdos de la mesa tengan un alcance general, sino que es lo normal, teniendo en cuenta la competencia genérica de la mesa para adoptar medidas organizativas y de régimen interior que están pensadas precisamente para una aplicación general. Relaciona una amplia lista de ejemplos de acuerdos de carácter general. Por tanto, concluye que el Reglamento del Congreso ampara, y la práctica lo confirma, que la mesa puede adoptar disposiciones o acuerdos de este tipo. En todo caso, a su juicio, el acuerdo recurrido no tiene </w:t>
      </w:r>
      <w:r>
        <w:lastRenderedPageBreak/>
        <w:t>carácter general, ya que su objeto es determinar las consecuencias de una concreta suspensión, la de los cuatro diputados afectados, no la de otros posibles casos que se puedan dar en el futuro respecto a esos mismos diputados u otros, que de plantearse, requerirían la adopción por la mesa del correspondiente acuerdo específico.</w:t>
      </w:r>
    </w:p>
    <w:p w:rsidR="005728DD" w:rsidRDefault="005728DD" w:rsidP="005728DD">
      <w:pPr>
        <w:pStyle w:val="TextoNormal"/>
      </w:pPr>
    </w:p>
    <w:p w:rsidR="005728DD" w:rsidRDefault="005728DD" w:rsidP="005728DD">
      <w:pPr>
        <w:pStyle w:val="TextoNormal"/>
      </w:pPr>
      <w:r>
        <w:t>Considera que resulta descartable que el acuerdo de 5 de junio se hubiera tenido que adoptar por la presidencia de la cámara (art. 32.2 RCD), como defiende el recurrente. El presidente puede dictar normas que interpreten el reglamento, las denominadas “resoluciones interpretativas”, o que suplan sus lagunas, las denominadas “resoluciones supletorias”, necesitando para la aprobación de estas últimas el parecer favorable de la mesa y junta de portavoces, si bien este caso no se incluye en ninguno de estos dos supuestos, pues en ningún momento se planteó un problema de interpretación del Reglamento o una laguna del mismo.</w:t>
      </w:r>
    </w:p>
    <w:p w:rsidR="005728DD" w:rsidRDefault="005728DD" w:rsidP="005728DD">
      <w:pPr>
        <w:pStyle w:val="TextoNormal"/>
      </w:pPr>
    </w:p>
    <w:p w:rsidR="005728DD" w:rsidRDefault="005728DD" w:rsidP="005728DD">
      <w:pPr>
        <w:pStyle w:val="TextoNormal"/>
      </w:pPr>
      <w:r>
        <w:t>En cuanto a la falta de audiencia de la junta de portavoces, insiste en que el objeto del recurso de amparo no es una resolución supletoria de la presidencia (art. 32.2 RCD), que se debe adoptar mediando el parecer favorable de la mesa y la junta de portavoces. Aun así, en este caso se produjo la audiencia de la junta de portavoces, no por aplicación del artículo 32.2 RCD, sino del artículo 31.2 RCD a efectos de la decisión sobre la reconsideración de su acuerdo de 5 de junio de 2019, tal y como consta en el acta de la junta de portavoces de 16 de julio de 2019. Finalmente, aduce en relación con esta cuestión, que la materia referida a la suspensión de los diputados no es competencia de la junta de portavoces, tal y como se infiere del artículo 21 RCD y, del artículo 39 RCD, que no es una norma atributiva de competencia, que pueda servir de fundamento para justificar una exigencia de audiencia previa en este o en otros casos.</w:t>
      </w:r>
    </w:p>
    <w:p w:rsidR="005728DD" w:rsidRDefault="005728DD" w:rsidP="005728DD">
      <w:pPr>
        <w:pStyle w:val="TextoNormal"/>
      </w:pPr>
    </w:p>
    <w:p w:rsidR="005728DD" w:rsidRDefault="005728DD" w:rsidP="005728DD">
      <w:pPr>
        <w:pStyle w:val="TextoNormal"/>
      </w:pPr>
      <w:r>
        <w:t>c) Respecto a la alegación de que los acuerdos son nulos de pleno derecho porque alteran las mayorías del Congreso de los Diputados, vulneran los derechos de los diputados del Grupo Mixto, con expresa infracción del Reglamento del Congreso y de los derechos del recurrente, considera que el reproche que realiza el recurrente va dirigido exclusivamente a la arbitrariedad y falta de motivación o de razonamiento en el acuerdo de la mesa. Sin embargo, a su juicio, no se puede afirmar que se haya adoptado sin razonamiento jurídico alguno o de forma arbitraria, para lo que menciona el “informe de la Secretaría General del Congreso de los Diputados sobre el alcance y efectos de la suspensión de los señores diputados que se encuentran en situación de prisión preventiva”, de 4 de junio de 2019, sobre cuya base la mesa adoptó el acuerdo de 5 de junio, como se desprende del acta de la reunión de ese día. Por tanto, no puede afirmarse que el acuerdo esté desprovisto de motivación, pues fue precedido de un informe jurídico en el cual la mesa se basa, y adoptado previo intercambio de pareceres por los miembros de la mesa, que han quedado reflejados documentalmente. Es decir no se trata de un acuerdo despojado de razonamiento, o como incluso llega a decir el recurrente sin “ninguna justificación jurídica que los avale”. Se podrá estar de acuerdo o no con la justificación, pero existe un claro razonamiento jurídico que sirve de apoyo al acuerdo adoptado.</w:t>
      </w:r>
    </w:p>
    <w:p w:rsidR="005728DD" w:rsidRDefault="005728DD" w:rsidP="005728DD">
      <w:pPr>
        <w:pStyle w:val="TextoNormal"/>
      </w:pPr>
    </w:p>
    <w:p w:rsidR="005728DD" w:rsidRDefault="005728DD" w:rsidP="005728DD">
      <w:pPr>
        <w:pStyle w:val="TextoNormal"/>
      </w:pPr>
      <w:r>
        <w:t>La letrada de las Cortes Generales entra a analizar la justificación del acuerdo de la mesa respecto de cada una de las medidas adoptadas a las que se refiere el recurrente, comenzando con las recogidas en los apartados 1, 2, 3, 4 y 6.</w:t>
      </w:r>
    </w:p>
    <w:p w:rsidR="005728DD" w:rsidRDefault="005728DD" w:rsidP="005728DD">
      <w:pPr>
        <w:pStyle w:val="TextoNormal"/>
      </w:pPr>
    </w:p>
    <w:p w:rsidR="005728DD" w:rsidRDefault="005728DD" w:rsidP="005728DD">
      <w:pPr>
        <w:pStyle w:val="TextoNormal"/>
      </w:pPr>
      <w:r>
        <w:lastRenderedPageBreak/>
        <w:t>En relación con lo dispuesto en el apartado 1 del acuerdo de 5 de junio, pone de manifiesto que, como se justifica en el informe de la Secretaría General, el diputado suspendido no pierde su condición. Se le suspende en sus derechos y deberes parlamentarios, pero le queda la condición misma de diputado, que solo se pierde por las causas previstas en el artículo 22 RCD. Consecuencia de ello, es que la mayoría absoluta y las demás mayorías especiales se siguen computando sobre 350 diputados, puesto que los diputados suspendidos siguen siendo miembros de la Cámara. Este tipo de mayorías se computan sobre los “miembros de la Cámara” (arts. 131, 146.2 y 147.2 RCD) o sobre los “miembros del Congreso” (arts. 164.2 y 204 RCD). La citada composición se establece con carácter general y siempre se remite al número de diputados de derecho, al margen de las situaciones diversas en que se puedan encontrar, entre ellas una suspensión de funciones y tan solo se altera con la pérdida del mandato por disolución de la cámara o por renuncia o pérdida de la condición. Al no ser un supuesto de pérdida de la condición, la suspensión no determina que deba reducirse el número de diputados de derecho a los efectos de calcular la válida constitución, o a los efectos que determinadas normas establecen teniendo en cuenta el número de diputados de derecho. La suspensión mantiene la condición de diputado y por tanto no altera el número de integrantes de la misma.</w:t>
      </w:r>
    </w:p>
    <w:p w:rsidR="005728DD" w:rsidRDefault="005728DD" w:rsidP="005728DD">
      <w:pPr>
        <w:pStyle w:val="TextoNormal"/>
      </w:pPr>
    </w:p>
    <w:p w:rsidR="005728DD" w:rsidRDefault="005728DD" w:rsidP="005728DD">
      <w:pPr>
        <w:pStyle w:val="TextoNormal"/>
      </w:pPr>
      <w:r>
        <w:t>Respecto al apartado 2, en el que se contienen diferentes afirmaciones, la letrada de las Cortes Generales afirma que es consecuencia de la declaración de suspensión. El diputado suspendido, aunque mantiene tal condición, queda privado “de sus derechos y deberes parlamentarios”, entendiéndose por estos todos los reconocidos en el reglamento, entre los que se encuentra formar parte de las comisiones (art. 6.2 RCD) y demás órganos parlamentarios. Dado que el diputado suspendido no puede formar parte de la comisión, ponencia o subcomisión, resulta lógico que, a la hora de atribuir miembros en esos órganos al Grupo Mixto, a éste se le descuenten de su composición numérica total los diputados suspendidos.</w:t>
      </w:r>
    </w:p>
    <w:p w:rsidR="005728DD" w:rsidRDefault="005728DD" w:rsidP="005728DD">
      <w:pPr>
        <w:pStyle w:val="TextoNormal"/>
      </w:pPr>
    </w:p>
    <w:p w:rsidR="005728DD" w:rsidRDefault="005728DD" w:rsidP="005728DD">
      <w:pPr>
        <w:pStyle w:val="TextoNormal"/>
      </w:pPr>
      <w:r>
        <w:t>El apartado 3, que determina que el diputado suspendido se incorpore al Grupo Parlamentario Mixto, según la letrada de las Cortes Generales, no es discutido por el recurrente. Ello no obstante aduce que dicha incorporación es consecuencia de la suspensión.</w:t>
      </w:r>
    </w:p>
    <w:p w:rsidR="005728DD" w:rsidRDefault="005728DD" w:rsidP="005728DD">
      <w:pPr>
        <w:pStyle w:val="TextoNormal"/>
      </w:pPr>
    </w:p>
    <w:p w:rsidR="005728DD" w:rsidRDefault="005728DD" w:rsidP="005728DD">
      <w:pPr>
        <w:pStyle w:val="TextoNormal"/>
      </w:pPr>
      <w:r>
        <w:t>En relación con el apartado 4, la representación del Congreso de los Diputados pone de manifiesto que el diputado suspendido por efecto del artículo 25.2 RCD queda incorporado directamente al Grupo Mixto. Ahora bien, dado que en ese grupo no puede ejercer ningún derecho, al grupo se le debe descontar del total de sus miembros el número de diputados suspendidos en todas aquellas ocasiones en que se haya de tener en cuenta el número de miembros del grupo para atribuirle un cupo de iniciativas.</w:t>
      </w:r>
    </w:p>
    <w:p w:rsidR="005728DD" w:rsidRDefault="005728DD" w:rsidP="005728DD">
      <w:pPr>
        <w:pStyle w:val="TextoNormal"/>
      </w:pPr>
    </w:p>
    <w:p w:rsidR="005728DD" w:rsidRDefault="005728DD" w:rsidP="005728DD">
      <w:pPr>
        <w:pStyle w:val="TextoNormal"/>
      </w:pPr>
      <w:r>
        <w:t>Finalmente, en cuanto al apartado 6, que detrae la parte proporcional de la subvención del Grupo Parlamentario Mixto, en lo relativo a la pertenencia al mismo de los diputados suspendidos, la letrada de las Cortes Generales justifica la misma en que, si la finalidad de la subvención es el apoyo al grupo en el ejercicio de sus funciones parlamentarias, es lógico que solo se tenga en cuenta el número de sus diputados que efectivamente pueden realizar tales funciones porque no se encuentren suspendidos. Computar también a los diputados suspendidos a efectos de la subvención, supondría desvirtuar la finalidad de tales ayudas económicas, de acuerdo con el artículo 8 RCD. No considera aplicable la STC 15/1992, que invoca el recurrente, a este caso, ya que no se ha privado al Grupo Parlamentario Mixto de la subvención.</w:t>
      </w:r>
    </w:p>
    <w:p w:rsidR="005728DD" w:rsidRDefault="005728DD" w:rsidP="005728DD">
      <w:pPr>
        <w:pStyle w:val="TextoNormal"/>
      </w:pPr>
    </w:p>
    <w:p w:rsidR="005728DD" w:rsidRDefault="005728DD" w:rsidP="005728DD">
      <w:pPr>
        <w:pStyle w:val="TextoNormal"/>
      </w:pPr>
      <w:r>
        <w:t>En resumen, a juicio la letrada de las Cortes Generales, no se puede decir que los referidos apartados del acuerdo de la mesa carezcan de una lógica de razonamiento y sean fruto de la arbitrariedad, pues todos ellos responden a un principio del funcionamiento parlamentario que es el de proporcionalidad en la composición de los órganos, conforme a la importancia numérica de cada grupo parlamentario en el total de la cámara. Si bien en este caso la mesa ha tenido que ajustar o modular la aplicación de dicha proporcionalidad, debido a la situación de suspensión de determinados diputados que, aun siendo miembros de un Grupo, y contando en el cómputo total, no ejercen su función parlamentaria, y de acuerdo con el principio de ejercicio de la función parlamentaria, no han de ser tenidos en cuenta a efectos del reparto de miembros en los órganos, la atribución de cupos de iniciativas o la determinación de la cuantía de la subvención a los grupos, o de cualesquiera otros efectos que pudieran derivarse. Considera que con ello no se ha vulnerado el principio de igualdad, como se alega por el recurrente. La justificación del acuerdo de la mesa es el “ejercicio de la función parlamentaria”, que es el fundamento de la atribución de derechos. De forma que cualquier acuerdo que tenga que ver con el reparto o atribución de derechos entre los grupos que se decida en virtud del número de miembros de cada grupo conforme al principio de proporcionalidad, habrá de atender solo al número de miembros del grupo que, de forma efectiva, estén ejerciendo sus funciones, quedando por tanto, excluidos, los diputados suspendidos.</w:t>
      </w:r>
    </w:p>
    <w:p w:rsidR="005728DD" w:rsidRDefault="005728DD" w:rsidP="005728DD">
      <w:pPr>
        <w:pStyle w:val="TextoNormal"/>
      </w:pPr>
    </w:p>
    <w:p w:rsidR="005728DD" w:rsidRDefault="005728DD" w:rsidP="005728DD">
      <w:pPr>
        <w:pStyle w:val="TextoNormal"/>
      </w:pPr>
      <w:r>
        <w:t>El ejercicio de la función parlamentaria es, por tanto, el parámetro que marca la separación entre el diputado activo que la ejerce plenamente y el suspendido, y viene a justificar el diferente tratamiento que ambos deben tener. Entiende que la propia STC 15/1992, que se cita en la demanda de amparo, sirve para justificar esta conclusión. La finalidad de cualquier reconocimiento de derechos a los diputados o a los grupos en que se integran, es para facilitar el ejercicio de sus funciones parlamentarias. De forma que es consecuente con este principio no reconocer tales derechos cuando no se da como presupuesto de hecho el ejercicio de tales funciones. Este caso pone de manifiesto que el estatuto de derechos del diputado suspendido es diferente al diputado activo. Tal distinción no infringe el principio de igualdad, puesto que se justifica en la imposibilidad del ejercicio de la función parlamentaria por el diputado ausente. Tampoco vulnera el artículo 23.2 CE, puesto que se trata de un derecho limitado, de configuración legal. El artículo 21 RCD determina que los diputados suspendidos quedan privados de sus derechos y deberes parlamentarios. Además, destaca que en el marco de la disciplina parlamentaria, la suspensión puede extenderse a la parte proporcional de la subvención (art. 99.2 RCD). Por tanto, y conforme exige la jurisprudencia, la injerencia en el derecho fundamental del artículo 23.2 CE en el caso que nos ocupa, a juicio de la letrada de las Cortes Generales, ha resultado proporcionada, deriva de la aplicación de normas legales, responde a un fin legítimo y se han justificado de una forma razonable y suficiente.</w:t>
      </w:r>
    </w:p>
    <w:p w:rsidR="005728DD" w:rsidRDefault="005728DD" w:rsidP="005728DD">
      <w:pPr>
        <w:pStyle w:val="TextoNormal"/>
      </w:pPr>
    </w:p>
    <w:p w:rsidR="005728DD" w:rsidRDefault="005728DD" w:rsidP="005728DD">
      <w:pPr>
        <w:pStyle w:val="TextoNormal"/>
      </w:pPr>
      <w:r>
        <w:t xml:space="preserve">d) Finalmente, la letrada analiza las alegaciones en relación con los apartados 5 y 7 del acuerdo de la mesa de 5 de junio de 2019, a las cuales les resultan trasladables las conclusiones que antes se han realizado respecto a la no vulneración del artículo 23.2 CE. Respecto al apartado 5, afirma que el no ejercicio de la función parlamentaria que supone la condición de suspendido, justifica que los diputados suspendidos no perciban las retribuciones económicas propias de los diputados (art. 8.1 RCD). Reitera que todos los acuerdos de la mesa responden al no ejercicio de la función parlamentaria de los diputados suspendidos, de </w:t>
      </w:r>
      <w:r>
        <w:lastRenderedPageBreak/>
        <w:t>acuerdo con el informe de la secretaría general de 4 de junio de 2019, que sirvió de apoyo al citado acuerdo de la mesa. Además, la letrada aduce que el recurrente no aporta ninguna razón autónoma a la nulidad del acuerdo de 24 de mayo.</w:t>
      </w:r>
    </w:p>
    <w:p w:rsidR="005728DD" w:rsidRDefault="005728DD" w:rsidP="005728DD">
      <w:pPr>
        <w:pStyle w:val="TextoNormal"/>
      </w:pPr>
    </w:p>
    <w:p w:rsidR="005728DD" w:rsidRDefault="005728DD" w:rsidP="005728DD">
      <w:pPr>
        <w:pStyle w:val="TextoNormal"/>
      </w:pPr>
      <w:r>
        <w:t xml:space="preserve">Respecto a la afirmación de que se vulnera el derecho a un proceso equitativo, el derecho a la legalidad penal dado el carácter claramente sancionador del artículo 384 </w:t>
      </w:r>
      <w:r w:rsidRPr="005728DD">
        <w:rPr>
          <w:i/>
        </w:rPr>
        <w:t>bis</w:t>
      </w:r>
      <w:r>
        <w:t xml:space="preserve"> LECrim, los derechos a las libertades de expresión, ideológica y de reunión, el derecho a un recurso efectivo, así como la prohibición de discriminación, aduce que se trata de una afirmación ajena a este recurso que, tiene como objeto de impugnación los efectos de la suspensión, no la medida de prisión provisional ni tampoco la suspensión aparejada a la misma.</w:t>
      </w:r>
    </w:p>
    <w:p w:rsidR="005728DD" w:rsidRDefault="005728DD" w:rsidP="005728DD">
      <w:pPr>
        <w:pStyle w:val="TextoNormal"/>
      </w:pPr>
    </w:p>
    <w:p w:rsidR="005728DD" w:rsidRDefault="005728DD" w:rsidP="005728DD">
      <w:pPr>
        <w:pStyle w:val="TextoNormal"/>
      </w:pPr>
      <w:r>
        <w:t xml:space="preserve">En todo caso, alega, la mesa es competente para determinar el inicio del devengo de las percepciones económicas, de acuerdo con sus competencias genéricas sobre régimen interior y sus competencias subsidiarias. A su vez, en cuanto a la autonomía de la cámara para la regulación de las percepciones de los diputados, afirma que la autonomía normativa que se reconoce a las cámaras artículo 72 RCD y la autonomía presupuestaria, fundamentan que el artículo 8 RCD concrete el artículo 71.4 CE. El momento del devengo es correcto (art. 68.4 CE); sin embargo, aunque la suspensión se declara por la mesa con fecha 21 de mayo, ya que antes no era posible porque el diputado no había adquirido plenamente su condición, los efectos de la suspensión, al estar vinculados a la aplicación automática del artículo 384 </w:t>
      </w:r>
      <w:r w:rsidRPr="005728DD">
        <w:rPr>
          <w:i/>
        </w:rPr>
        <w:t>bis</w:t>
      </w:r>
      <w:r>
        <w:t xml:space="preserve"> LECrim, se producen desde antes de esa fecha, desde el acuerdo judicial de adopción de la medida de prisión provisional, la cual seguía manteniéndose a fecha de 28 de abril de 2019, día de las elecciones generales. Al encontrarse los diputados afectados en situación provisional ya desde el momento de las elecciones y con posterioridad, los efectos de la suspensión han de retrotraerse a esa fecha de las elecciones. Por esta razón, la mesa acuerda que no procede el abono de la retribución que les correspondería en ese periodo entre el 28 de abril de 2019 y el 21 de mayo de 2019. La sentencia del Tribunal Europeo de Derechos Humanos de 20 de noviembre de 2018 no es aplicable al caso que nos ocupa, y no actúa de forma directa sobre nuestro sistema de protección de los derechos fundamentales exigiendo una proyección automática como ejecución de esta y cita los AATC 131/2018, de 18 de diciembre, y 21/2019, de 26 de marzo.</w:t>
      </w:r>
    </w:p>
    <w:p w:rsidR="005728DD" w:rsidRDefault="005728DD" w:rsidP="005728DD">
      <w:pPr>
        <w:pStyle w:val="TextoNormal"/>
      </w:pPr>
    </w:p>
    <w:p w:rsidR="005728DD" w:rsidRDefault="005728DD" w:rsidP="005728DD">
      <w:pPr>
        <w:pStyle w:val="TextoNormal"/>
      </w:pPr>
      <w:r>
        <w:t xml:space="preserve">Finalmente, respecto al apartado 7, aduce que las ayudas a las que se refiere tienen como justificación el ejercicio de las funciones parlamentarias, tal y como se establece en el artículo 9 RCD, como consecuencia de su dedicación parlamentaria. Y si bien el recurrente alega que ha acudido a la sesión constitutiva del Congreso el día 21 de mayo de 2019, pero que, por el acuerdo de la mesa, lo hizo sin asignación económica, sin cotización a la Seguridad Social y sin póliza de accidentes durante ese día, considerando que, aunque solo fuera por ese día, se han violado sus derechos, y entiende que por aplicación del artículo 384 </w:t>
      </w:r>
      <w:r w:rsidRPr="005728DD">
        <w:rPr>
          <w:i/>
        </w:rPr>
        <w:t>bis</w:t>
      </w:r>
      <w:r>
        <w:t xml:space="preserve"> LECrim, este debe ser el efecto correcto. En el mismo momento en que perfeccionó su condición de diputado en la sesión constitutiva, quedó automáticamente suspendido en el ejercicio de sus funciones, estando entonces justificado que no figure como beneficiario de las prestaciones que se relacionan en el apartado 9 del acuerdo de la mesa, al haber desaparecido la causa que las justifica, que es el efectivo ejercicio de la función parlamentaria. Asimismo aduce que la previsión normativa que ampara la baja en la cobertura de protección social es el artículo 9.1 RCD, que vincula la cobertura a “la dedicación parlamentaria”.</w:t>
      </w:r>
    </w:p>
    <w:p w:rsidR="005728DD" w:rsidRDefault="005728DD" w:rsidP="005728DD">
      <w:pPr>
        <w:pStyle w:val="TextoNormal"/>
      </w:pPr>
    </w:p>
    <w:p w:rsidR="005728DD" w:rsidRDefault="005728DD" w:rsidP="005728DD">
      <w:pPr>
        <w:pStyle w:val="TextoNormal"/>
      </w:pPr>
      <w:r>
        <w:lastRenderedPageBreak/>
        <w:t>Por otra parte, la cita de la normativa sobre Seguridad Social que contiene la demanda no contradice en nada las consideraciones realizadas, pues es obvio que para cotizar a la Seguridad Social, es necesario ser trabajador por cuenta ajena o asimilado que realice alguna actividad, lo que no se da en el caso de los diputados suspendidos porque no están ejerciendo dicha actividad. De esta manera, no se puede considerar que la privación de estos derechos vulnere el artículo 33.3 CE, puesto que no es una privación ilegítima, ni tampoco los derechos reconocidos en el artículo 17 CDFUE y el artículo 1 del Protocolo núm. 1 CEDH.</w:t>
      </w:r>
    </w:p>
    <w:p w:rsidR="005728DD" w:rsidRDefault="005728DD" w:rsidP="005728DD">
      <w:pPr>
        <w:pStyle w:val="TextoNormal"/>
      </w:pPr>
    </w:p>
    <w:p w:rsidR="005728DD" w:rsidRDefault="005728DD" w:rsidP="005728DD">
      <w:pPr>
        <w:pStyle w:val="TextoNormal"/>
      </w:pPr>
      <w:r>
        <w:t>Asimismo, ha de rechazarse la alegación respecto a la falta de un proceso debido, por el hecho de no haberse dado audiencia al diputado cuando la mesa adoptó sus acuerdos. El Reglamento del Congreso, que es la norma que regula los procedimientos internos en el ámbito de la Cámara, no contempla una fase de audiencia previa a la adopción de los acuerdos de la mesa. La cita que se realiza del artículo 6 CEDH, por considerarlo vulnerado por esta razón, es inadecuada, puesto que este artículo solo se aplica respecto a las garantías de los procesos judiciales.</w:t>
      </w:r>
    </w:p>
    <w:p w:rsidR="005728DD" w:rsidRDefault="005728DD" w:rsidP="005728DD">
      <w:pPr>
        <w:pStyle w:val="TextoNormal"/>
      </w:pPr>
    </w:p>
    <w:p w:rsidR="005728DD" w:rsidRDefault="005728DD" w:rsidP="005728DD">
      <w:pPr>
        <w:pStyle w:val="TextoNormal"/>
      </w:pPr>
      <w:r>
        <w:t xml:space="preserve">En conclusión, los acuerdos adoptados por la mesa el 5 de junio de 2019, son proporcionados y necesarios, y derivan directamente del primer acuerdo de declaración de la suspensión y de sus consecuencias en la relación jurídica representativa, ordenadas básicamente por el Reglamento del Congreso. No cabe por tanto una discrecionalidad en su contenido, que deje al albur de lo que disponga un órgano de la cámara la efectividad de los derechos y obligaciones que deriva del Reglamento del Congreso. En cuanto a sus presupuestos de hecho y consecuencias, estos son completamente reglados. Están contemplados en la propia norma de forma completa y cerrada, sin que quepa modificarlos. La mesa de la cámara se encuentra no solo obligada a adoptar el acuerdo sino también a ceñirse al supuesto fundamental, la suspensión </w:t>
      </w:r>
      <w:r w:rsidRPr="005728DD">
        <w:rPr>
          <w:i/>
        </w:rPr>
        <w:t>ex</w:t>
      </w:r>
      <w:r>
        <w:t xml:space="preserve"> artículo 384 </w:t>
      </w:r>
      <w:r w:rsidRPr="005728DD">
        <w:rPr>
          <w:i/>
        </w:rPr>
        <w:t>bis</w:t>
      </w:r>
      <w:r>
        <w:t xml:space="preserve"> LECrim, y a deducir los efectos que permiten hablar de tal suspensión, conforme a las propias normas del Reglamento del Congreso.</w:t>
      </w:r>
    </w:p>
    <w:p w:rsidR="005728DD" w:rsidRDefault="005728DD" w:rsidP="005728DD">
      <w:pPr>
        <w:pStyle w:val="TextoNormal"/>
      </w:pPr>
    </w:p>
    <w:p w:rsidR="005728DD" w:rsidRDefault="005728DD" w:rsidP="005728DD">
      <w:pPr>
        <w:pStyle w:val="TextoNormal"/>
      </w:pPr>
      <w:r w:rsidRPr="005728DD">
        <w:rPr>
          <w:rStyle w:val="NumeroAFNegritaCaracter"/>
        </w:rPr>
        <w:t>6</w:t>
      </w:r>
      <w:r>
        <w:t>. Habiendo cesado como magistrado constitucional don Fernando Valdés Dal-Ré, el presidente de este tribunal, mediante acuerdo de 20 de octubre de 2020, designó a don Santiago Martínez-Vares García ponente del presente recurso.</w:t>
      </w:r>
    </w:p>
    <w:p w:rsidR="005728DD" w:rsidRDefault="005728DD" w:rsidP="005728DD">
      <w:pPr>
        <w:pStyle w:val="TextoNormal"/>
      </w:pPr>
    </w:p>
    <w:p w:rsidR="005728DD" w:rsidRDefault="005728DD" w:rsidP="005728DD">
      <w:pPr>
        <w:pStyle w:val="TextoNormal"/>
      </w:pPr>
      <w:r w:rsidRPr="005728DD">
        <w:rPr>
          <w:rStyle w:val="NumeroAFNegritaCaracter"/>
        </w:rPr>
        <w:t>7</w:t>
      </w:r>
      <w:r>
        <w:t>. Por providencia de 20 de abril de 2021, se señaló para deliberación y votación de la presente sentencia el 22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El presente recurso de amparo se interpone contra los acuerdos de la mesa del Congreso de los Diputados, de 5 de junio y 16 de julio de 2019. En la primera de estas resoluciones, la mesa adoptó un acuerdo complementario de su acuerdo de 24 de mayo del mismo año, por el que había declarado “automáticamente suspendidos en el ejercicio del cargo y, por tanto, en los derechos y deberes establecidos en el Reglamento de la Cámara” a cuatro diputados, entre ellos, al ahora recurrente en amparo. Instada por la portavoz del Grupo Parla</w:t>
      </w:r>
      <w:r>
        <w:lastRenderedPageBreak/>
        <w:t>mentario Mixto la reconsideración de esta decisión con arreglo al artículo 31.2 del Reglamento del Congreso de los Diputados (RCD), la mesa adoptó la segunda de las resoluciones impugnadas y confirmó en ella su acuerdo inicial.</w:t>
      </w:r>
    </w:p>
    <w:p w:rsidR="005728DD" w:rsidRDefault="005728DD" w:rsidP="005728DD">
      <w:pPr>
        <w:pStyle w:val="TextoNormal"/>
      </w:pPr>
    </w:p>
    <w:p w:rsidR="005728DD" w:rsidRDefault="005728DD" w:rsidP="005728DD">
      <w:pPr>
        <w:pStyle w:val="TextoNormal"/>
      </w:pPr>
      <w:r>
        <w:t>El recurrente alega, en los términos que se han expuesto con detalle en los antecedentes de esta sentencia, que dichos acuerdos habrían infringido los artículos 23.2 y 24.2 CE, en conexión con los artículos 9.3, 16.1, 20.1 a), 23.1, 24.1, 25, 33.3, 70 y 71 de la misma norma fundamental; determinadas reglas del Derecho de la Unión Europea y otras enunciadas en tratados internacionales de aquellos a los que remite el artículo 10.2 CE.</w:t>
      </w:r>
    </w:p>
    <w:p w:rsidR="005728DD" w:rsidRDefault="005728DD" w:rsidP="005728DD">
      <w:pPr>
        <w:pStyle w:val="TextoNormal"/>
      </w:pPr>
    </w:p>
    <w:p w:rsidR="005728DD" w:rsidRDefault="005728DD" w:rsidP="005728DD">
      <w:pPr>
        <w:pStyle w:val="TextoNormal"/>
      </w:pPr>
      <w:r>
        <w:t>El Ministerio Fiscal por su parte, tal y como se ha dado cumplida cuenta en los antecedentes de esta sentencia, solicita que se inadmita parcialmente el recurso de amparo, y se desestime en todo lo demás. La representación del Congreso de los Diputados, a su vez, solicita la inadmisión del recurso de amparo y, subsidiariamente, la desestimación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Aplicación de la doctrina sentada por la STC 69/2021, de 18 de marzo</w:t>
      </w:r>
      <w:r>
        <w:t>.</w:t>
      </w:r>
    </w:p>
    <w:p w:rsidR="005728DD" w:rsidRDefault="005728DD" w:rsidP="005728DD">
      <w:pPr>
        <w:pStyle w:val="TextoNormal"/>
      </w:pPr>
    </w:p>
    <w:p w:rsidR="005728DD" w:rsidRDefault="005728DD" w:rsidP="005728DD">
      <w:pPr>
        <w:pStyle w:val="TextoNormal"/>
      </w:pPr>
      <w:r>
        <w:t>El acuerdo de la mesa del Congreso de los Diputados de 5 de junio de 2019, confirmado por el acuerdo de 16 de julio de 2019, es complementario del acuerdo de 24 de mayo de 2019, confirmado por el acuerdo de 11 de junio del mismo año. Contra estos dos últimos acuerdos el recurrente interpuso recurso de amparo (núm. 5099-2019) que fue desestimado por STC 194/2020, de 17 de diciembre, por remisión a la STC 97/2020, de 21 de julio.</w:t>
      </w:r>
    </w:p>
    <w:p w:rsidR="005728DD" w:rsidRDefault="005728DD" w:rsidP="005728DD">
      <w:pPr>
        <w:pStyle w:val="TextoNormal"/>
      </w:pPr>
    </w:p>
    <w:p w:rsidR="005728DD" w:rsidRDefault="005728DD" w:rsidP="005728DD">
      <w:pPr>
        <w:pStyle w:val="TextoNormal"/>
      </w:pPr>
      <w:r>
        <w:t>A su vez, el presente recurso de amparo presenta identidad en el objeto, en la pretensión de amparo deducida y en los argumentos que la sustentan con el recurso de amparo núm. 6238-2019, desestimado mediante STC 69/2021, de 18 de marzo. Dicha sentencia cobra relevancia en el presente recurso de amparo tanto para el análisis de las cuestiones procesales, como para la resolución de la controversia suscitada en el mismo.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Cuestiones previas</w:t>
      </w:r>
      <w:r>
        <w:t>.</w:t>
      </w:r>
    </w:p>
    <w:p w:rsidR="005728DD" w:rsidRDefault="005728DD" w:rsidP="005728DD">
      <w:pPr>
        <w:pStyle w:val="TextoNormal"/>
      </w:pPr>
    </w:p>
    <w:p w:rsidR="005728DD" w:rsidRDefault="005728DD" w:rsidP="005728DD">
      <w:pPr>
        <w:pStyle w:val="TextoNormal"/>
      </w:pPr>
      <w:r>
        <w:t>Como se ha expuesto en los antecedentes de esta sentencia, la letrada de las Cortes Generales solicita la inadmisión del presente recurso de amparo. El Ministerio Fiscal, por su parte, además de solicitar la inadmisión parcial del recurso, plantea una serie de cuestiones que han de resolverse antes de entrar a analizar el fondo del asunto. Todas estas cuestiones se solventaron, asimismo, en la citada STC 69/2021, a la que ahora hemos de remitirnos.</w:t>
      </w:r>
    </w:p>
    <w:p w:rsidR="005728DD" w:rsidRDefault="005728DD" w:rsidP="005728DD">
      <w:pPr>
        <w:pStyle w:val="TextoNormal"/>
      </w:pPr>
    </w:p>
    <w:p w:rsidR="005728DD" w:rsidRDefault="005728DD" w:rsidP="005728DD">
      <w:pPr>
        <w:pStyle w:val="TextoNormal"/>
      </w:pPr>
      <w:r>
        <w:t>a) En la demanda se impugna el acuerdo de la mesa del Congreso de los Diputados de 25 de julio de 2019; sin embargo, como ponen de relieve tanto el Ministerio Fiscal como la letrada de las Cortes Generales, el acuerdo de la mesa por el que se desestima la solicitud de reconsideración fue adoptado con fecha de 16 de julio de 2019, siendo el 25 de julio la fecha de la comunicación de dicho acuerdo por la presidenta del Congreso de los Diputados a la portavoz del Grupo Parlamentario Mixto. Por tanto, el presente recurso debe entenderse dirigido contra el acuerdo de la mesa del congreso de 16 de julio de 2019, resolución esta que desestimó la solicitud de reconsideración formulada por el grupo parlamentario contra el acuerdo inicial de 5 de junio de 2019.</w:t>
      </w:r>
    </w:p>
    <w:p w:rsidR="005728DD" w:rsidRDefault="005728DD" w:rsidP="005728DD">
      <w:pPr>
        <w:pStyle w:val="TextoNormal"/>
      </w:pPr>
    </w:p>
    <w:p w:rsidR="005728DD" w:rsidRDefault="005728DD" w:rsidP="005728DD">
      <w:pPr>
        <w:pStyle w:val="TextoNormal"/>
      </w:pPr>
      <w:r>
        <w:lastRenderedPageBreak/>
        <w:t>b) La letrada de las Cortes Generales, como se ha expuesto en los antecedentes de esta sentencia, solicita la inadmisión del presente recurso de amparo, por lo que ha de abordarse ahora la comprobación de los requisitos procesales (por todas, STC 36/2020, de 25 de febrero, FJ 2). La razón que alega es que el recurrente no interpuso la solicitud de reconsideración (art. 31.2 RCD), requisito necesario para considerar agotada la vía previa para la interposición del recurso de amparo (art. 42 LOTC), sino que dicha solicitud fuera planteada por la portavoz del Grupo Parlamentario Mixto.</w:t>
      </w:r>
    </w:p>
    <w:p w:rsidR="005728DD" w:rsidRDefault="005728DD" w:rsidP="005728DD">
      <w:pPr>
        <w:pStyle w:val="TextoNormal"/>
      </w:pPr>
    </w:p>
    <w:p w:rsidR="005728DD" w:rsidRDefault="005728DD" w:rsidP="005728DD">
      <w:pPr>
        <w:pStyle w:val="TextoNormal"/>
      </w:pPr>
      <w:r>
        <w:t>No pueden acogerse, en este punto, las diferentes apreciaciones realizadas al respecto por la letrada de las Cortes Generales que, a su juicio, conducirían a la inadmisión de este recurso de amparo por las mismas razones que expusimos en la STC 69/2021, FJ 2 b), ante la misma alegación y con el mismo fundamento que ahora se ha expresado.</w:t>
      </w:r>
    </w:p>
    <w:p w:rsidR="005728DD" w:rsidRDefault="005728DD" w:rsidP="005728DD">
      <w:pPr>
        <w:pStyle w:val="TextoNormal"/>
      </w:pPr>
    </w:p>
    <w:p w:rsidR="005728DD" w:rsidRDefault="005728DD" w:rsidP="005728DD">
      <w:pPr>
        <w:pStyle w:val="TextoNormal"/>
      </w:pPr>
      <w:r>
        <w:t>c) El Ministerio Fiscal ha solicitado la inadmisión del recurso de amparo en relación con los pronunciamientos del acuerdo de 5 de junio de 2019, contenidos en los puntos 2, 4 y 6, confirmados por el acuerdo de 16 de julio, por falta de legitimación del recurrente en cuanto dichos pronunciamientos afectan a los derechos atribuidos al Grupo Parlamentario Mixto, cuya representación legal no ostenta el demandante. En concreto, aduce, de acuerdo con lo afirmado en la STC 24/2020, de 13 de febrero, FFJJ 3 y 4, que los mismos inciden en los derechos que el reglamento atribuye a los grupos parlamentarios y, en concreto, al Grupo Parlamentario Mixto, y el recurrente carece de legitimación para impugnar los mismos, en cuanto ha comparecido a título individual y sin ostentar la representación legal del grupo parlamentario en el que resulta integrado. Por su parte, la letrada de las Cortes Generales afirma que la afectación de los derechos del Grupo Mixto no puede ser invocada en una demanda de amparo planteada por un diputado suspendido de dicho grupo.</w:t>
      </w:r>
    </w:p>
    <w:p w:rsidR="005728DD" w:rsidRDefault="005728DD" w:rsidP="005728DD">
      <w:pPr>
        <w:pStyle w:val="TextoNormal"/>
      </w:pPr>
    </w:p>
    <w:p w:rsidR="005728DD" w:rsidRDefault="005728DD" w:rsidP="005728DD">
      <w:pPr>
        <w:pStyle w:val="TextoNormal"/>
      </w:pPr>
      <w:r>
        <w:t>En efecto, la sola condición de miembro de un grupo parlamentario no es suficiente para arrogarse la defensa de los derechos del grupo al que pertenece, por lo que debemos convenir con el Ministerio Fiscal que el diputado recurrente en amparo no estaba legitimado para impugnar los puntos 2, 4 y 6 del acuerdo de la Mesa del Congreso de los Diputados de 5 de junio de 2019, confirmado por el acuerdo de 16 de julio del mismo año, en lo que hace referencia a los derechos del Grupo Mixto [STC 69/2021, FJ 2 c)].</w:t>
      </w:r>
    </w:p>
    <w:p w:rsidR="005728DD" w:rsidRDefault="005728DD" w:rsidP="005728DD">
      <w:pPr>
        <w:pStyle w:val="TextoNormal"/>
      </w:pPr>
    </w:p>
    <w:p w:rsidR="005728DD" w:rsidRDefault="005728DD" w:rsidP="005728DD">
      <w:pPr>
        <w:pStyle w:val="TextoNormal"/>
      </w:pPr>
      <w:r>
        <w:t>d) La impugnación por el recurrente no ha perdido objeto por el hecho de que cesara definitivamente en la condición de diputado tras la disolución de la cámara y convocatoria de elecciones por Real Decreto 551/2019, de 24 de septiembre artículo 68.4 CE, antes de que recayera, el 14 de octubre del mismo año, la sentencia 459/2019, de 14 de octubre, de la Sala de lo Penal del Tribunal Supremo [STC 69/2021, FJ 2 d)].</w:t>
      </w:r>
    </w:p>
    <w:p w:rsidR="005728DD" w:rsidRDefault="005728DD" w:rsidP="005728DD">
      <w:pPr>
        <w:pStyle w:val="TextoNormal"/>
      </w:pPr>
    </w:p>
    <w:p w:rsidR="005728DD" w:rsidRDefault="005728DD" w:rsidP="005728DD">
      <w:pPr>
        <w:pStyle w:val="TextoNormal"/>
      </w:pPr>
      <w:r>
        <w:t>e) No procede la práctica de la prueba solicitada, por las mismas razones expuestas en la STC 69/2021, FJ 2 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Delimitación del objeto y fundamento del recurso de amparo. Sobre las vulneraciones alegadas del artículo 23 CE</w:t>
      </w:r>
      <w:r>
        <w:t>.</w:t>
      </w:r>
    </w:p>
    <w:p w:rsidR="005728DD" w:rsidRDefault="005728DD" w:rsidP="005728DD">
      <w:pPr>
        <w:pStyle w:val="TextoNormal"/>
      </w:pPr>
    </w:p>
    <w:p w:rsidR="005728DD" w:rsidRDefault="005728DD" w:rsidP="005728DD">
      <w:pPr>
        <w:pStyle w:val="TextoNormal"/>
      </w:pPr>
      <w:r>
        <w:t xml:space="preserve">En cuanto al fondo del asunto suscitado en el presente recurso de amparo, dado que, como se ha señalado, tanto el objeto como la fundamentación del mismo coinciden en su </w:t>
      </w:r>
      <w:r>
        <w:lastRenderedPageBreak/>
        <w:t>integridad con los del recurso que fue resuelto por la citada STC 69/2021, de 18 de marzo, procede remitirse a esta y, en consecuencia, desestimar el presente recurso de amparo.</w:t>
      </w:r>
    </w:p>
    <w:p w:rsidR="005728DD" w:rsidRDefault="005728DD" w:rsidP="005728DD">
      <w:pPr>
        <w:pStyle w:val="TextoNormal"/>
      </w:pPr>
    </w:p>
    <w:p w:rsidR="005728DD" w:rsidRDefault="005728DD" w:rsidP="005728DD">
      <w:pPr>
        <w:pStyle w:val="TextoNormal"/>
      </w:pPr>
      <w:r>
        <w:t xml:space="preserve">A) Como se ha señalado con anterioridad, la mesa del Congreso de los Diputados, en sus resoluciones de 24 de mayo y 11 de junio de 2019, declaró “automáticamente suspendidos en el ejercicio del cargo y, por tanto, y en los derechos y deberes establecidos en el Reglamento de la Cámara” a cuatro diputados, entre ellos a quien hoy demanda amparo, con efectos desde el 21 de mayo del mismo año, fecha en la que unos y otros adquirieron tal condición, por concurrir las “circunstancias necesarias para la aplicación” del artículo 384 </w:t>
      </w:r>
      <w:r w:rsidRPr="005728DD">
        <w:rPr>
          <w:i/>
        </w:rPr>
        <w:t>bis</w:t>
      </w:r>
      <w:r>
        <w:t xml:space="preserve"> LECrim. Contra dichas resoluciones se interpuso recurso de amparo núm. 5099-2019, por quien ahora también recurre, que fue desestimado por STC 194/2020, por remisión a la STC 97/2020.</w:t>
      </w:r>
    </w:p>
    <w:p w:rsidR="005728DD" w:rsidRDefault="005728DD" w:rsidP="005728DD">
      <w:pPr>
        <w:pStyle w:val="TextoNormal"/>
      </w:pPr>
    </w:p>
    <w:p w:rsidR="005728DD" w:rsidRDefault="005728DD" w:rsidP="005728DD">
      <w:pPr>
        <w:pStyle w:val="TextoNormal"/>
      </w:pPr>
      <w:r>
        <w:t>Las citadas sentencias, y los acuerdos sobre los que se pronuncian las mismas, tienen relevancia en el presente proceso bajo los siguientes puntos de vista:</w:t>
      </w:r>
    </w:p>
    <w:p w:rsidR="005728DD" w:rsidRDefault="005728DD" w:rsidP="005728DD">
      <w:pPr>
        <w:pStyle w:val="TextoNormal"/>
      </w:pPr>
    </w:p>
    <w:p w:rsidR="005728DD" w:rsidRDefault="005728DD" w:rsidP="005728DD">
      <w:pPr>
        <w:pStyle w:val="TextoNormal"/>
      </w:pPr>
      <w:r>
        <w:t>a) Debe descartarse la nulidad de los acuerdos ahora recurridos por derivar de la nulidad de los acuerdos de 24 de mayo y 11 de junio de 2019 por remisión a lo alegado en el citado recurso de amparo núm. 5099-2019. Baste para ello, la remisión a lo afirmado en la STC 194/2020.</w:t>
      </w:r>
    </w:p>
    <w:p w:rsidR="005728DD" w:rsidRDefault="005728DD" w:rsidP="005728DD">
      <w:pPr>
        <w:pStyle w:val="TextoNormal"/>
      </w:pPr>
    </w:p>
    <w:p w:rsidR="005728DD" w:rsidRDefault="005728DD" w:rsidP="005728DD">
      <w:pPr>
        <w:pStyle w:val="TextoNormal"/>
      </w:pPr>
      <w:r>
        <w:t>b) El recurrente, además, formula alegaciones adicionales sobre la nulidad de los acuerdos de 24 de mayo y 11 de junio. Dichas alegaciones no serían imputables a los acuerdos de la mesa del Congreso de los Diputados de 5 de junio y 16 de julio de 2019, que ahora se impugnan, únicas resoluciones aquí enjuiciables (en este sentido, STC 97/2020, FJ 3) sino, en su caso, a los de 24 de mayo y 11 de junio de 2019, como se afirmó en la STC 69/2021, FJ 3 b), y en los términos allí expresados.</w:t>
      </w:r>
    </w:p>
    <w:p w:rsidR="005728DD" w:rsidRDefault="005728DD" w:rsidP="005728DD">
      <w:pPr>
        <w:pStyle w:val="TextoNormal"/>
      </w:pPr>
    </w:p>
    <w:p w:rsidR="005728DD" w:rsidRDefault="005728DD" w:rsidP="005728DD">
      <w:pPr>
        <w:pStyle w:val="TextoNormal"/>
      </w:pPr>
      <w:r>
        <w:t>c) Debemos limitarnos por tanto ahora a las vulneraciones autónomas de este recurso de amparo, por las razones afirmadas en la STC 69/2021, FJ 3 c) y, en concreto, a las vulneraciones aducidas del artículo 23 CE, en los términos en los que delimitamos las quejas del recurso de amparo en la STC 69/2021, FJ 3 d).</w:t>
      </w:r>
    </w:p>
    <w:p w:rsidR="005728DD" w:rsidRDefault="005728DD" w:rsidP="005728DD">
      <w:pPr>
        <w:pStyle w:val="TextoNormal"/>
      </w:pPr>
    </w:p>
    <w:p w:rsidR="005728DD" w:rsidRDefault="005728DD" w:rsidP="005728DD">
      <w:pPr>
        <w:pStyle w:val="TextoNormal"/>
      </w:pPr>
      <w:r>
        <w:t xml:space="preserve">B) En el análisis de las vulneraciones del artículo 23 CE aducidas en la demanda hay que partir de que este tribunal ya consideró que la aplicación por los acuerdos de 24 de mayo y de 11 de junio de 2019 del artículo 384 </w:t>
      </w:r>
      <w:r w:rsidRPr="005728DD">
        <w:rPr>
          <w:i/>
        </w:rPr>
        <w:t>bis</w:t>
      </w:r>
      <w:r>
        <w:t xml:space="preserve"> LECrim no fue lesiva del derecho fundamental enunciado en el artículo 23.2 CE [STC 97/2020, FJ 6 B) e), a la que se remite la STC 194/2020, FJ 3]. En el acuerdo de 24 de mayo, confirmado por el acuerdo de 11 de junio, se declaró automáticamente suspendido al ahora recurrente en amparo, en el ejercicio del cargo y en los derechos y deberes establecidos en el Reglamento del Congreso. Entre esos derechos se encuentran los derechos y las facultades a las que se refieren los acuerdos ahora recurridos, que, por ser complementarios de los anteriores, se limitan, como los propios acuerdos expresan, a establecer el alcance y los efectos de la suspensión. Partiendo de dicha premisa, deben ahora analizarse las diferentes quejas que aduce la demanda.</w:t>
      </w:r>
    </w:p>
    <w:p w:rsidR="005728DD" w:rsidRDefault="005728DD" w:rsidP="005728DD">
      <w:pPr>
        <w:pStyle w:val="TextoNormal"/>
      </w:pPr>
    </w:p>
    <w:p w:rsidR="005728DD" w:rsidRDefault="005728DD" w:rsidP="005728DD">
      <w:pPr>
        <w:pStyle w:val="TextoNormal"/>
      </w:pPr>
      <w:r>
        <w:t>a) La demanda alega, en primer lugar, que el acuerdo de 5 de junio de 2019, fue dictado por un órgano manifiestamente incompetente, la mesa, y que se ha producido la vulneración del derecho del diputado recurrente por su adopción, sin audiencia de la junta de portavoces.</w:t>
      </w:r>
    </w:p>
    <w:p w:rsidR="005728DD" w:rsidRDefault="005728DD" w:rsidP="005728DD">
      <w:pPr>
        <w:pStyle w:val="TextoNormal"/>
      </w:pPr>
    </w:p>
    <w:p w:rsidR="005728DD" w:rsidRDefault="005728DD" w:rsidP="005728DD">
      <w:pPr>
        <w:pStyle w:val="TextoNormal"/>
      </w:pPr>
      <w:r>
        <w:t>No cabe acoger esta queja por las razones expuestas en la STC 69/2021, FJ 5 A), a la que nos remitimos. Si entendimos que la mesa era competente para la adopción de la declaración de suspensión, no hay razón alguna para entender que no lo es para definir los efectos de la misma. Además, y en todo caso, la junta de portavoces fue efectivamente oída por el órgano de gobierno de la cámara antes de resolver sobre la solicitud de reconsideración, de acuerdo con el artículo 31.2 RCD.</w:t>
      </w:r>
    </w:p>
    <w:p w:rsidR="005728DD" w:rsidRDefault="005728DD" w:rsidP="005728DD">
      <w:pPr>
        <w:pStyle w:val="TextoNormal"/>
      </w:pPr>
    </w:p>
    <w:p w:rsidR="005728DD" w:rsidRDefault="005728DD" w:rsidP="005728DD">
      <w:pPr>
        <w:pStyle w:val="TextoNormal"/>
      </w:pPr>
      <w:r>
        <w:t>b) El recurrente alega que los apartados 2, 4 y 6 del acuerdo de 5 de junio vulneran los derechos del Grupo Parlamentario Mixto y del recurrente. Dichos apartados, como ha quedado constancia en los antecedentes, precisan las consecuencias de la suspensión de los diputados a los que se refiere el acuerdo de 24 de mayo de 2019, en las mayorías del Congreso y de sus órganos, y en los derechos del Grupo Parlamentario Mixto.</w:t>
      </w:r>
    </w:p>
    <w:p w:rsidR="005728DD" w:rsidRDefault="005728DD" w:rsidP="005728DD">
      <w:pPr>
        <w:pStyle w:val="TextoNormal"/>
      </w:pPr>
    </w:p>
    <w:p w:rsidR="005728DD" w:rsidRDefault="005728DD" w:rsidP="005728DD">
      <w:pPr>
        <w:pStyle w:val="TextoNormal"/>
      </w:pPr>
      <w:r>
        <w:t>La queja, tal y como afirmamos en la STC 69/2021, FJ 5 B), ha de entenderse limitada a la denuncia de falta de motivación y arbitrariedad de tales acuerdos vulneradora, a decir de la demanda, de los derechos del recurrente. Y, por las razones expuestas en la citada STC 69/2021, FJ 5 B), al que nos remitimos, han de entenderse satisfechas las exigencias de motivación y por lo tanto no cabría tildar de arbitraria la interpretación aun en la hipótesis de que no sea la única posible, que la mesa del Congreso de los Diputados realizó en dichos acuerdos.</w:t>
      </w:r>
    </w:p>
    <w:p w:rsidR="005728DD" w:rsidRDefault="005728DD" w:rsidP="005728DD">
      <w:pPr>
        <w:pStyle w:val="TextoNormal"/>
      </w:pPr>
    </w:p>
    <w:p w:rsidR="005728DD" w:rsidRDefault="005728DD" w:rsidP="005728DD">
      <w:pPr>
        <w:pStyle w:val="TextoNormal"/>
      </w:pPr>
      <w:r>
        <w:t>c) Finalmente, la demanda aduce que los apartados quinto y séptimo del acuerdo de 5 de junio de 2019 son nulos de pleno derecho por privar al recurrente de la asignación económica y de otros derechos de carácter económico. Sin embargo, no podemos compartir ninguna de las razones por las que, a juicio del demandante, dichos apartados serían nulos, por los mismos motivos que expusimos en la STC 69/2021, FJ 5 C), al que nos remitimos.</w:t>
      </w:r>
    </w:p>
    <w:p w:rsidR="005728DD" w:rsidRDefault="005728DD" w:rsidP="005728DD">
      <w:pPr>
        <w:pStyle w:val="TextoNormal"/>
      </w:pPr>
    </w:p>
    <w:p w:rsidR="005728DD" w:rsidRDefault="005728DD" w:rsidP="005728DD">
      <w:pPr>
        <w:pStyle w:val="TextoNormal"/>
      </w:pPr>
      <w:r>
        <w:t>En primer lugar, porque, tal y como se ha afirmado en el FJ 4 A) a) de esta sentencia, ha de descartarse que estos acuerdos sean nulos por serlo los acuerdos de 24 de mayo y 11 de junio de 2019 [STC 69/2021, FJ 5 C) a)].</w:t>
      </w:r>
    </w:p>
    <w:p w:rsidR="005728DD" w:rsidRDefault="005728DD" w:rsidP="005728DD">
      <w:pPr>
        <w:pStyle w:val="TextoNormal"/>
      </w:pPr>
    </w:p>
    <w:p w:rsidR="005728DD" w:rsidRDefault="005728DD" w:rsidP="005728DD">
      <w:pPr>
        <w:pStyle w:val="TextoNormal"/>
      </w:pPr>
      <w:r>
        <w:t>En segundo lugar, no resulta atendible la queja de falta de motivación de los acuerdos impugnados en este punto, por las mismas razones expuestas en el fundamento jurídico 4 B) b) de esta sentencia, habiendo razonado, además, la mesa, en su acuerdo de 16 de julio de 2019, en el que desestima la solicitud de reconsideración, que la suspensión de dichos derechos ya se resolvió en el acuerdo de 24 de mayo, encontrándose entre dichos derechos los previstos en los artículos 8 y 9 RCD, por lo que no se puede entender que carezcan de fundamentación jurídica como aduce la demanda [STC 69/2021, FJ 5 C) b)].</w:t>
      </w:r>
    </w:p>
    <w:p w:rsidR="005728DD" w:rsidRDefault="005728DD" w:rsidP="005728DD">
      <w:pPr>
        <w:pStyle w:val="TextoNormal"/>
      </w:pPr>
    </w:p>
    <w:p w:rsidR="005728DD" w:rsidRDefault="005728DD" w:rsidP="005728DD">
      <w:pPr>
        <w:pStyle w:val="TextoNormal"/>
      </w:pPr>
      <w:r>
        <w:t xml:space="preserve">En tercer lugar, el tribunal no puede compartir los argumentos expuestos en la demanda sobre los apartados 5 y 7 del acuerdo de 5 de junio de 2019, confirmado por el acuerdo de 16 de julio, por los motivos expuestos en el FJ 5 C) c) de la STC 69/2021, al que nos remitimos. En primer lugar, porque como ya hemos recordado reiteradamente el tribunal consideró que la aplicación del artículo 384 </w:t>
      </w:r>
      <w:r w:rsidRPr="005728DD">
        <w:rPr>
          <w:i/>
        </w:rPr>
        <w:t>bis</w:t>
      </w:r>
      <w:r>
        <w:t xml:space="preserve"> LECrim por los acuerdos de 24 de mayo y de 11 de junio de 2019 no lesionó el derecho fundamental enunciado en el artículo 23.2 CE [STC 97/2020, FJ 6 B) e) al que se remite la STC 194/2020, FJ 3], y en el acuerdo de 24 de mayo, confirmado por el acuerdo de 11 de junio, se declaró automáticamente suspendido al ahora </w:t>
      </w:r>
      <w:r>
        <w:lastRenderedPageBreak/>
        <w:t xml:space="preserve">recurrente en amparo, en el ejercicio del cargo y en los derechos y deberes establecidos en el Reglamento del Congreso, con efectos desde el 21 de mayo del mismo año, fecha en la que unos y otros adquirieron tal condición, por concurrir, se puntualizó las “circunstancias necesarias para la aplicación” del artículo 384 </w:t>
      </w:r>
      <w:r w:rsidRPr="005728DD">
        <w:rPr>
          <w:i/>
        </w:rPr>
        <w:t>bis</w:t>
      </w:r>
      <w:r>
        <w:t xml:space="preserve"> LECrim. Entre esos derechos se encuentran los derechos, y otras previsiones, a los que se refieren los apartados 5 y 7 del acuerdo de 5 de junio de 2019. Así, han sido suspendidos los previstos en el artículo 8 RCD, derechos de contenido económico que se establecen para el ejercicio de la función parlamentaria que quedó suspendida desde el momento de la adquisición de la condición de diputado, esto es desde el 21 de mayo de 2019. A ello hemos de añadir que el Tribunal Constitucional consideró que la suspensión de los derechos de contenido económico (ATC 334/1993, de 10 de noviembre, FJ 2) no vulnera el artículo 23.2 CE precisamente porque se impone por la falta de ejercicio de las funciones parlamentarias.</w:t>
      </w:r>
    </w:p>
    <w:p w:rsidR="005728DD" w:rsidRDefault="005728DD" w:rsidP="005728DD">
      <w:pPr>
        <w:pStyle w:val="TextoNormal"/>
      </w:pPr>
    </w:p>
    <w:p w:rsidR="005728DD" w:rsidRDefault="005728DD" w:rsidP="005728DD">
      <w:pPr>
        <w:pStyle w:val="TextoNormal"/>
      </w:pPr>
      <w:r>
        <w:t xml:space="preserve">Dichas consideraciones resultan también aplicables al apartado 7 del acuerdo, a lo que se ha de añadir que, si bien está prevista la posibilidad de la cotización a la seguridad social en el artículo 9 RCD, no puede entenderse que forme parte del núcleo del </w:t>
      </w:r>
      <w:r w:rsidRPr="005728DD">
        <w:rPr>
          <w:i/>
        </w:rPr>
        <w:t>ius in officium</w:t>
      </w:r>
      <w:r>
        <w:t>, cuya afectación pueda provocar una vulneración del artículo 23.2 CE. Tampoco la contratación de una póliza de accidentes, que no se encuentra prevista en el reglamento de la cámara. Ambas prestaciones son accesorias del ejercicio de la función parlamentaria y su privación, en su caso, sería una cuestión de legalidad ordinaria, como aduce el Ministerio Fiscal.</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Josep Rull i Andreu.</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veintidós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4" w:name="SENTENCIA_2021_91"/>
      <w:r>
        <w:lastRenderedPageBreak/>
        <w:t>SENTENCIA 91/2021, de 22 de abril de 2021</w:t>
      </w:r>
    </w:p>
    <w:bookmarkEnd w:id="94"/>
    <w:p w:rsidR="005728DD" w:rsidRDefault="005728DD" w:rsidP="005728DD">
      <w:pPr>
        <w:pStyle w:val="TtuloResolucin"/>
      </w:pPr>
      <w:r>
        <w:t>Pleno</w:t>
      </w:r>
    </w:p>
    <w:p w:rsidR="005728DD" w:rsidRDefault="005728DD" w:rsidP="005728DD">
      <w:pPr>
        <w:pStyle w:val="TtuloBOE"/>
      </w:pPr>
      <w:r>
        <w:t>(BOE núm. 119, de 19 de mayo de 2021)</w:t>
      </w:r>
    </w:p>
    <w:p w:rsidR="005728DD" w:rsidRDefault="005728DD" w:rsidP="005728DD">
      <w:pPr>
        <w:pStyle w:val="TextoNormalCentrado"/>
      </w:pPr>
      <w:r>
        <w:t>ECLI:ES:TC:2021:91</w:t>
      </w:r>
    </w:p>
    <w:p w:rsidR="005728DD" w:rsidRDefault="005728DD" w:rsidP="005728DD">
      <w:pPr>
        <w:pStyle w:val="TextoNormalCentrado"/>
      </w:pPr>
    </w:p>
    <w:p w:rsidR="005728DD" w:rsidRDefault="005728DD" w:rsidP="005728DD">
      <w:pPr>
        <w:pStyle w:val="SntesisDescriptiva"/>
      </w:pPr>
      <w:r>
        <w:t>Recurso de amparo 1403-2020. Promovido por don Jordi Turull i Negre respecto de la sentencia de la Sala de lo Penal del Tribunal Supremo que le condenó por sendos delitos de sedición y malversación de caudales públicos.</w:t>
      </w:r>
    </w:p>
    <w:p w:rsidR="005728DD" w:rsidRDefault="005728DD" w:rsidP="005728DD">
      <w:pPr>
        <w:pStyle w:val="SntesisDescriptiva"/>
      </w:pPr>
    </w:p>
    <w:p w:rsidR="005728DD" w:rsidRDefault="005728DD" w:rsidP="005728DD">
      <w:pPr>
        <w:pStyle w:val="SntesisAnaltica"/>
      </w:pPr>
      <w:r>
        <w:t>Supuesta vulneración de los derechos al juez ordinario predeterminado por la ley y de defensa, a un proceso con todas las garantías y a la presunción de inocencia, a la tutela judicial efectiva y a la legalidad penal: resolución judicial dictada en causa especial en cuya tramitación se preservaron las garantías procesales y en la que se impuso una pena que no puede considerarse desproporcionada o que desaliente el ejercicio de otros derechos fundamentales. Voto particular.</w:t>
      </w:r>
    </w:p>
    <w:p w:rsidR="005728DD" w:rsidRDefault="005728DD" w:rsidP="005728DD">
      <w:pPr>
        <w:pStyle w:val="SntesisAnaltica"/>
      </w:pPr>
    </w:p>
    <w:p w:rsidR="005728DD" w:rsidRDefault="005728DD" w:rsidP="005728DD">
      <w:pPr>
        <w:pStyle w:val="Extracto"/>
        <w:rPr>
          <w:i/>
        </w:rPr>
      </w:pPr>
      <w:r>
        <w:t>1.</w:t>
      </w:r>
      <w:r>
        <w:tab/>
      </w:r>
      <w:r w:rsidRPr="005728DD">
        <w:rPr>
          <w:i/>
        </w:rPr>
        <w:t xml:space="preserve">Derecho a la defensa y a no ser discriminado en el uso de la lengua. </w:t>
      </w:r>
    </w:p>
    <w:p w:rsidR="005728DD" w:rsidRDefault="005728DD" w:rsidP="005728DD">
      <w:pPr>
        <w:pStyle w:val="Extracto"/>
      </w:pPr>
    </w:p>
    <w:p w:rsidR="005728DD" w:rsidRDefault="005728DD" w:rsidP="005728DD">
      <w:pPr>
        <w:pStyle w:val="Extracto"/>
      </w:pPr>
      <w:r>
        <w:t>2.</w:t>
      </w:r>
      <w:r>
        <w:tab/>
        <w:t>La indefensión ha de ser algo real, efectivo y actual, nunca potencial o abstracto, por colocar a su víctima en una situación concreta que le produzca un perjuicio, sin que le sea equiparable cualquier expectativa de peligro o riesgo [FJ 4].</w:t>
      </w:r>
    </w:p>
    <w:p w:rsidR="005728DD" w:rsidRDefault="005728DD" w:rsidP="005728DD">
      <w:pPr>
        <w:pStyle w:val="Extracto"/>
      </w:pPr>
    </w:p>
    <w:p w:rsidR="005728DD" w:rsidRDefault="005728DD" w:rsidP="005728DD">
      <w:pPr>
        <w:pStyle w:val="Extracto"/>
      </w:pPr>
      <w:r>
        <w:t>3.</w:t>
      </w:r>
      <w:r>
        <w:tab/>
        <w:t>El derecho a la defensa incluye el derecho de toda persona acusada a ser asistida por un intérprete cuando no comprenda o no pueda expresarse fluidamente en el idioma utilizado por el tribunal. No obstante, se exige valorar en cada caso, no solo el derecho y el deber de conocer el castellano (art. 3 CE), sino el hecho concreto de la ignorancia o conocimiento precario de nuestra lengua común, en cuanto afecte al ejercicio de un derecho fundamental como el de defensa (STC 71/1988) [FJ 4].</w:t>
      </w:r>
    </w:p>
    <w:p w:rsidR="005728DD" w:rsidRDefault="005728DD" w:rsidP="005728DD">
      <w:pPr>
        <w:pStyle w:val="Extracto"/>
      </w:pPr>
    </w:p>
    <w:p w:rsidR="005728DD" w:rsidRDefault="005728DD" w:rsidP="005728DD">
      <w:pPr>
        <w:pStyle w:val="Extracto"/>
        <w:rPr>
          <w:i/>
        </w:rPr>
      </w:pPr>
      <w:r>
        <w:t>4.</w:t>
      </w:r>
      <w:r>
        <w:tab/>
      </w:r>
      <w:r w:rsidRPr="005728DD">
        <w:rPr>
          <w:i/>
        </w:rPr>
        <w:t xml:space="preserve">Derecho a un juez imparcial. </w:t>
      </w:r>
    </w:p>
    <w:p w:rsidR="005728DD" w:rsidRDefault="005728DD" w:rsidP="005728DD">
      <w:pPr>
        <w:pStyle w:val="Extracto"/>
      </w:pPr>
    </w:p>
    <w:p w:rsidR="005728DD" w:rsidRDefault="005728DD" w:rsidP="005728DD">
      <w:pPr>
        <w:pStyle w:val="Extracto"/>
      </w:pPr>
      <w:r>
        <w:t>5.</w:t>
      </w:r>
      <w:r>
        <w:tab/>
        <w:t>El derecho a un juez imparcial constituye una garantía fundamental de la administración de justicia de un Estado de Derecho que condiciona su existencia misma, ya que sin juez imparcial no hay proceso jurisdiccional [FJ 5].</w:t>
      </w:r>
    </w:p>
    <w:p w:rsidR="005728DD" w:rsidRDefault="005728DD" w:rsidP="005728DD">
      <w:pPr>
        <w:pStyle w:val="Extracto"/>
      </w:pPr>
    </w:p>
    <w:p w:rsidR="005728DD" w:rsidRDefault="005728DD" w:rsidP="005728DD">
      <w:pPr>
        <w:pStyle w:val="Extracto"/>
      </w:pPr>
      <w:r>
        <w:t>6.</w:t>
      </w:r>
      <w:r>
        <w:tab/>
        <w:t xml:space="preserve">La imparcialidad judicial comprende dos vertientes: una subjetiva, por cuanto el juez no ha mantenido relaciones indebidas con las partes, y una objetiva, por la que se asegura que el juez se acerca al </w:t>
      </w:r>
      <w:r w:rsidRPr="005728DD">
        <w:rPr>
          <w:i/>
        </w:rPr>
        <w:t xml:space="preserve"> thema decidendi </w:t>
      </w:r>
      <w:r>
        <w:t xml:space="preserve"> sin haber tomado postura en relación con él [FJ 5].</w:t>
      </w:r>
    </w:p>
    <w:p w:rsidR="005728DD" w:rsidRDefault="005728DD" w:rsidP="005728DD">
      <w:pPr>
        <w:pStyle w:val="Extracto"/>
      </w:pPr>
    </w:p>
    <w:p w:rsidR="005728DD" w:rsidRDefault="005728DD" w:rsidP="005728DD">
      <w:pPr>
        <w:pStyle w:val="Extracto"/>
      </w:pPr>
      <w:r>
        <w:t>7.</w:t>
      </w:r>
      <w:r>
        <w:tab/>
        <w:t>La imparcialidad del juez ha de presumirse y las sospechas sobre su idoneidad han de ser probadas y han de fundarse en causas tasadas e interpretadas restrictivamente sin posibilidad de aplicaciones extensivas o analógicas (STC 60/2008) [FJ 5].</w:t>
      </w:r>
    </w:p>
    <w:p w:rsidR="005728DD" w:rsidRDefault="005728DD" w:rsidP="005728DD">
      <w:pPr>
        <w:pStyle w:val="Extracto"/>
      </w:pPr>
    </w:p>
    <w:p w:rsidR="005728DD" w:rsidRDefault="005728DD" w:rsidP="005728DD">
      <w:pPr>
        <w:pStyle w:val="Extracto"/>
      </w:pPr>
      <w:r>
        <w:t>8.</w:t>
      </w:r>
      <w:r>
        <w:tab/>
        <w:t>Es lícito que el legislador imponga la carga de impugnar la idoneidad subjetiva con premura y que, en consecuencia, limite o excluya la posibilidad de invocación tardía de la causa de recusación [FJ 5].</w:t>
      </w:r>
    </w:p>
    <w:p w:rsidR="005728DD" w:rsidRDefault="005728DD" w:rsidP="005728DD">
      <w:pPr>
        <w:pStyle w:val="Extracto"/>
      </w:pPr>
    </w:p>
    <w:p w:rsidR="005728DD" w:rsidRDefault="005728DD" w:rsidP="005728DD">
      <w:pPr>
        <w:pStyle w:val="Extracto"/>
      </w:pPr>
      <w:r>
        <w:t>9.</w:t>
      </w:r>
      <w:r>
        <w:tab/>
        <w:t xml:space="preserve">El Tribunal Europeo de Derechos Humanos ha establecido que, a la hora de decidir sobre si en un caso concreto hay una razón justificada para temer que un juez o tribunal carecen de imparcialidad, el punto de vista de la persona afectada es importante pero no decisivo, lo decisivo es determinar si dicho temor puede considerarse objetivamente justificado (STEDH, de 15 de octubre de 2009, asunto </w:t>
      </w:r>
      <w:r w:rsidRPr="005728DD">
        <w:rPr>
          <w:i/>
        </w:rPr>
        <w:t>Micallef v. Malta</w:t>
      </w:r>
      <w:r>
        <w:t>) [FJ 5].</w:t>
      </w:r>
    </w:p>
    <w:p w:rsidR="005728DD" w:rsidRDefault="005728DD" w:rsidP="005728DD">
      <w:pPr>
        <w:pStyle w:val="Extracto"/>
      </w:pPr>
    </w:p>
    <w:p w:rsidR="005728DD" w:rsidRDefault="005728DD" w:rsidP="005728DD">
      <w:pPr>
        <w:pStyle w:val="Extracto"/>
      </w:pPr>
      <w:r>
        <w:t>10.</w:t>
      </w:r>
      <w:r>
        <w:tab/>
        <w:t>No todas las expresiones fácticas recogidas en un auto de procesamiento tienen un grado de vinculación absoluta para la delimitación del objeto del proceso ni para su resolución final. Lo relevante es que se respete el núcleo esencial de los hechos atribuidos a la persona investigada a los efectos de formular la acusación y que exista una correlación o coherencia entre el núcleo esencial de los hechos y la sentencia que ponga fin al proceso (STC 155/2009) [FJ 5].</w:t>
      </w:r>
    </w:p>
    <w:p w:rsidR="005728DD" w:rsidRDefault="005728DD" w:rsidP="005728DD">
      <w:pPr>
        <w:pStyle w:val="Extracto"/>
      </w:pPr>
    </w:p>
    <w:p w:rsidR="005728DD" w:rsidRDefault="005728DD" w:rsidP="005728DD">
      <w:pPr>
        <w:pStyle w:val="Extracto"/>
      </w:pPr>
      <w:r>
        <w:t>11.</w:t>
      </w:r>
      <w:r>
        <w:tab/>
        <w:t>El juez que instruye no puede fallar, mientras que los jueces que revisan las decisiones de la fase de instrucción no pueden intervenir en la fase de enjuiciamiento si en su labor de revisión han anticipado algún posicionamiento sobre la cuestión de fondo [FJ 5].</w:t>
      </w:r>
    </w:p>
    <w:p w:rsidR="005728DD" w:rsidRDefault="005728DD" w:rsidP="005728DD">
      <w:pPr>
        <w:pStyle w:val="Extracto"/>
      </w:pPr>
    </w:p>
    <w:p w:rsidR="005728DD" w:rsidRDefault="005728DD" w:rsidP="005728DD">
      <w:pPr>
        <w:pStyle w:val="Extracto"/>
      </w:pPr>
      <w:r>
        <w:t>12.</w:t>
      </w:r>
      <w:r>
        <w:tab/>
        <w:t>La negativa a practicar una prueba no implica necesariamente la vulneración del derecho, salvo que vaya acompañada de una concreta indefensión que el recurrente debe invocar y motivar (STC 165/2001) [FJ 5].</w:t>
      </w:r>
    </w:p>
    <w:p w:rsidR="005728DD" w:rsidRDefault="005728DD" w:rsidP="005728DD">
      <w:pPr>
        <w:pStyle w:val="Extracto"/>
      </w:pPr>
    </w:p>
    <w:p w:rsidR="005728DD" w:rsidRDefault="005728DD" w:rsidP="005728DD">
      <w:pPr>
        <w:pStyle w:val="Extracto"/>
      </w:pPr>
      <w:r>
        <w:t>13.</w:t>
      </w:r>
      <w:r>
        <w:tab/>
        <w:t>Cualquier duda basada en condiciones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 [FJ 5].</w:t>
      </w:r>
    </w:p>
    <w:p w:rsidR="005728DD" w:rsidRDefault="005728DD" w:rsidP="005728DD">
      <w:pPr>
        <w:pStyle w:val="Extracto"/>
      </w:pPr>
    </w:p>
    <w:p w:rsidR="005728DD" w:rsidRDefault="005728DD" w:rsidP="005728DD">
      <w:pPr>
        <w:pStyle w:val="Extracto"/>
      </w:pPr>
      <w:r>
        <w:t>14.</w:t>
      </w:r>
      <w:r>
        <w:tab/>
        <w:t>La publicidad del proceso es una garantía de profundas raíces democráticas, porque no solo permite que la persona sometida a juicio pueda tener acceso a todo aquello que va a ser utilizado por el tribunal para la resolución de su caso, sino que contribuye a la transparencia del sistema de justicia generando con ello la máxima confianza de los ciudadanos en el funcionamiento del Poder Judicial, que es fuente de su legitimidad constitucional (art. 117.1 CE) [FJ 5].</w:t>
      </w:r>
    </w:p>
    <w:p w:rsidR="005728DD" w:rsidRDefault="005728DD" w:rsidP="005728DD">
      <w:pPr>
        <w:pStyle w:val="Extracto"/>
      </w:pPr>
    </w:p>
    <w:p w:rsidR="005728DD" w:rsidRDefault="005728DD" w:rsidP="005728DD">
      <w:pPr>
        <w:pStyle w:val="Extracto"/>
      </w:pPr>
      <w:r>
        <w:t>15.</w:t>
      </w:r>
      <w:r>
        <w:tab/>
        <w:t>No toda vulneración de una norma procesal genera necesariamente una vulneración de la prohibición de indefensión y del derecho a un proceso con todas las garantías, debe producir un perjuicio real y efectivo en las posibilidades de defensa de quien lo denuncie [FJ 5].</w:t>
      </w:r>
    </w:p>
    <w:p w:rsidR="005728DD" w:rsidRDefault="005728DD" w:rsidP="005728DD">
      <w:pPr>
        <w:pStyle w:val="Extracto"/>
      </w:pPr>
    </w:p>
    <w:p w:rsidR="005728DD" w:rsidRDefault="005728DD" w:rsidP="005728DD">
      <w:pPr>
        <w:pStyle w:val="Extracto"/>
      </w:pPr>
      <w:r>
        <w:t>16.</w:t>
      </w:r>
      <w:r>
        <w:tab/>
      </w:r>
      <w:r w:rsidRPr="005728DD">
        <w:rPr>
          <w:i/>
        </w:rPr>
        <w:t>Derecho a la igualdad de armas en el proceso.</w:t>
      </w:r>
      <w:r>
        <w:t xml:space="preserve"> </w:t>
      </w:r>
    </w:p>
    <w:p w:rsidR="005728DD" w:rsidRDefault="005728DD" w:rsidP="005728DD">
      <w:pPr>
        <w:pStyle w:val="Extracto"/>
      </w:pPr>
    </w:p>
    <w:p w:rsidR="005728DD" w:rsidRDefault="005728DD" w:rsidP="005728DD">
      <w:pPr>
        <w:pStyle w:val="Extracto"/>
      </w:pPr>
      <w:r>
        <w:t>17.</w:t>
      </w:r>
      <w:r>
        <w:tab/>
        <w:t xml:space="preserve">El derecho a un proceso judicial con todas las garantías otorga al acusado y procesado el derecho a exigir del juez penal la observancia inexcusable de una actitud neutra respecto de las posiciones de las partes en el proceso, lo que obviamente </w:t>
      </w:r>
      <w:r>
        <w:lastRenderedPageBreak/>
        <w:t>tiene lugar si actúa en el proceso penal con estricta sujeción a lo que las normas procesales establecen [FJ 6].</w:t>
      </w:r>
    </w:p>
    <w:p w:rsidR="005728DD" w:rsidRDefault="005728DD" w:rsidP="005728DD">
      <w:pPr>
        <w:pStyle w:val="Extracto"/>
      </w:pPr>
    </w:p>
    <w:p w:rsidR="005728DD" w:rsidRDefault="005728DD" w:rsidP="005728DD">
      <w:pPr>
        <w:pStyle w:val="Extracto"/>
      </w:pPr>
      <w:r>
        <w:t>18.</w:t>
      </w:r>
      <w:r>
        <w:tab/>
        <w:t>No resulta exigible infalibilidad ni al presidente ni a los restantes miembros de un tribunal de enjuiciamiento [FJ 6].</w:t>
      </w:r>
    </w:p>
    <w:p w:rsidR="005728DD" w:rsidRDefault="005728DD" w:rsidP="005728DD">
      <w:pPr>
        <w:pStyle w:val="Extracto"/>
      </w:pPr>
    </w:p>
    <w:p w:rsidR="005728DD" w:rsidRDefault="005728DD" w:rsidP="005728DD">
      <w:pPr>
        <w:pStyle w:val="Extracto"/>
        <w:rPr>
          <w:i/>
        </w:rPr>
      </w:pPr>
      <w:r>
        <w:t>19.</w:t>
      </w:r>
      <w:r>
        <w:tab/>
      </w:r>
      <w:r w:rsidRPr="005728DD">
        <w:rPr>
          <w:i/>
        </w:rPr>
        <w:t xml:space="preserve">Derecho a la prueba. </w:t>
      </w:r>
    </w:p>
    <w:p w:rsidR="005728DD" w:rsidRDefault="005728DD" w:rsidP="005728DD">
      <w:pPr>
        <w:pStyle w:val="Extracto"/>
      </w:pPr>
    </w:p>
    <w:p w:rsidR="005728DD" w:rsidRDefault="005728DD" w:rsidP="005728DD">
      <w:pPr>
        <w:pStyle w:val="Extracto"/>
      </w:pPr>
      <w:r>
        <w:t>20.</w:t>
      </w:r>
      <w:r>
        <w:tab/>
        <w:t>El derecho a la prueba no comprende un hipotético derecho a llevar a cabo una actividad probatoria ilimitada, sino que atribuye solo el derecho a la recepción y práctica de las que sean pertinentes [FJ 7].</w:t>
      </w:r>
    </w:p>
    <w:p w:rsidR="005728DD" w:rsidRDefault="005728DD" w:rsidP="005728DD">
      <w:pPr>
        <w:pStyle w:val="Extracto"/>
      </w:pPr>
    </w:p>
    <w:p w:rsidR="005728DD" w:rsidRDefault="005728DD" w:rsidP="005728DD">
      <w:pPr>
        <w:pStyle w:val="Extracto"/>
      </w:pPr>
      <w:r>
        <w:t>21.</w:t>
      </w:r>
      <w:r>
        <w:tab/>
        <w:t>Puesto que se trata de un derecho de configuración legal, es preciso que la prueba se haya solicitado en la forma y momento legalmente establecidos y solo serán admisibles los medios de prueba autorizados por el ordenamiento [FJ 7].</w:t>
      </w:r>
    </w:p>
    <w:p w:rsidR="005728DD" w:rsidRDefault="005728DD" w:rsidP="005728DD">
      <w:pPr>
        <w:pStyle w:val="Extracto"/>
      </w:pPr>
    </w:p>
    <w:p w:rsidR="005728DD" w:rsidRDefault="005728DD" w:rsidP="005728DD">
      <w:pPr>
        <w:pStyle w:val="Extracto"/>
      </w:pPr>
      <w:r>
        <w:t>22.</w:t>
      </w:r>
      <w:r>
        <w:tab/>
        <w:t>El Tribunal Constitucional solo es competente para controlar las decisiones judiciales dictadas en ejercicio de la función jurisdiccional cuando se hubiera inadmitido pruebas relevantes para la decisión final sin motivación alguna o mediante interpretación y aplicación de la legalidad arbitraria o irrazonable o cuando la falta de práctica de prueba sea imputable al órgano judicial [FJ 7].</w:t>
      </w:r>
    </w:p>
    <w:p w:rsidR="005728DD" w:rsidRDefault="005728DD" w:rsidP="005728DD">
      <w:pPr>
        <w:pStyle w:val="Extracto"/>
      </w:pPr>
    </w:p>
    <w:p w:rsidR="005728DD" w:rsidRDefault="005728DD" w:rsidP="005728DD">
      <w:pPr>
        <w:pStyle w:val="Extracto"/>
      </w:pPr>
      <w:r>
        <w:t>23.</w:t>
      </w:r>
      <w:r>
        <w:tab/>
        <w:t>La tarea de verificar si la prueba es decisiva en términos de defensa, y por lo tanto, constitucionalmente relevante, exige que el recurrente haya alegado y fundamentado adecuadamente dicha indefensión material en la demanda de amparo [FJ 7].</w:t>
      </w:r>
    </w:p>
    <w:p w:rsidR="005728DD" w:rsidRDefault="005728DD" w:rsidP="005728DD">
      <w:pPr>
        <w:pStyle w:val="Extracto"/>
      </w:pPr>
    </w:p>
    <w:p w:rsidR="005728DD" w:rsidRDefault="005728DD" w:rsidP="005728DD">
      <w:pPr>
        <w:pStyle w:val="Extracto"/>
      </w:pPr>
      <w:r>
        <w:t>24.</w:t>
      </w:r>
      <w:r>
        <w:tab/>
      </w:r>
      <w:r w:rsidRPr="005728DD">
        <w:rPr>
          <w:i/>
        </w:rPr>
        <w:t>Derecho a la presunción de inocencia en su dimensión extraprocesal.</w:t>
      </w:r>
      <w:r>
        <w:t xml:space="preserve"> </w:t>
      </w:r>
    </w:p>
    <w:p w:rsidR="005728DD" w:rsidRDefault="005728DD" w:rsidP="005728DD">
      <w:pPr>
        <w:pStyle w:val="Extracto"/>
      </w:pPr>
    </w:p>
    <w:p w:rsidR="005728DD" w:rsidRDefault="005728DD" w:rsidP="005728DD">
      <w:pPr>
        <w:pStyle w:val="Extracto"/>
      </w:pPr>
      <w:r>
        <w:t>25.</w:t>
      </w:r>
      <w:r>
        <w:tab/>
        <w:t>La dimensión extraprocesal de la presunción de inocencia encuentra específica protección en nuestro sistema de derechos fundamentales a través de la tutela del derecho al honor, operando dicha presunción como elemento instrumental del enjuiciamiento de una posible lesión del derecho al honor (STC 244/2007) [FJ 8].</w:t>
      </w:r>
    </w:p>
    <w:p w:rsidR="005728DD" w:rsidRDefault="005728DD" w:rsidP="005728DD">
      <w:pPr>
        <w:pStyle w:val="Extracto"/>
      </w:pPr>
    </w:p>
    <w:p w:rsidR="005728DD" w:rsidRDefault="005728DD" w:rsidP="005728DD">
      <w:pPr>
        <w:pStyle w:val="Extracto"/>
        <w:rPr>
          <w:i/>
        </w:rPr>
      </w:pPr>
      <w:r>
        <w:t>26.</w:t>
      </w:r>
      <w:r>
        <w:tab/>
      </w:r>
      <w:r w:rsidRPr="005728DD">
        <w:rPr>
          <w:i/>
        </w:rPr>
        <w:t xml:space="preserve">Derecho a un proceso con todas las garantías. </w:t>
      </w:r>
    </w:p>
    <w:p w:rsidR="005728DD" w:rsidRDefault="005728DD" w:rsidP="005728DD">
      <w:pPr>
        <w:pStyle w:val="Extracto"/>
      </w:pPr>
    </w:p>
    <w:p w:rsidR="005728DD" w:rsidRDefault="005728DD" w:rsidP="005728DD">
      <w:pPr>
        <w:pStyle w:val="Extracto"/>
      </w:pPr>
      <w:r>
        <w:t>27.</w:t>
      </w:r>
      <w:r>
        <w:tab/>
        <w:t>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[FJ 9].</w:t>
      </w:r>
    </w:p>
    <w:p w:rsidR="005728DD" w:rsidRDefault="005728DD" w:rsidP="005728DD">
      <w:pPr>
        <w:pStyle w:val="Extracto"/>
      </w:pPr>
    </w:p>
    <w:p w:rsidR="005728DD" w:rsidRDefault="005728DD" w:rsidP="005728DD">
      <w:pPr>
        <w:pStyle w:val="Extracto"/>
      </w:pPr>
      <w:r>
        <w:t>28.</w:t>
      </w:r>
      <w:r>
        <w:tab/>
        <w:t>No repercute negativamente a la imparcialidad del tribunal el solo dato de que, desde el entorno de la sala sentenciadora, se hubiera filtrado hipotéticamente a los medios el sentido general del fallo de la sentencia antes de que la resolución fuese notificada a las partes [FJ 9].</w:t>
      </w:r>
    </w:p>
    <w:p w:rsidR="005728DD" w:rsidRDefault="005728DD" w:rsidP="005728DD">
      <w:pPr>
        <w:pStyle w:val="Extracto"/>
      </w:pPr>
    </w:p>
    <w:p w:rsidR="005728DD" w:rsidRDefault="005728DD" w:rsidP="005728DD">
      <w:pPr>
        <w:pStyle w:val="Extracto"/>
      </w:pPr>
      <w:r>
        <w:t>29.</w:t>
      </w:r>
      <w:r>
        <w:tab/>
        <w:t xml:space="preserve">La imparcialidad subjetiva y objetiva del tribunal debe ser presumida mientras no medie prueba en contrario. En todo caso, podrá tenerse en cuenta a la hora de valorar la situación que no pueda cuestionarse el desinterés objetivo en el asunto </w:t>
      </w:r>
      <w:r>
        <w:lastRenderedPageBreak/>
        <w:t>de los miembros del tribunal, el secreto en las deliberaciones y en el voto de los magistrados así como el contenido de la información y el tiempo en que se produjo su aparición en los medios de comunicación [FJ 9].</w:t>
      </w:r>
    </w:p>
    <w:p w:rsidR="005728DD" w:rsidRDefault="005728DD" w:rsidP="005728DD">
      <w:pPr>
        <w:pStyle w:val="Extracto"/>
      </w:pPr>
    </w:p>
    <w:p w:rsidR="005728DD" w:rsidRDefault="005728DD" w:rsidP="005728DD">
      <w:pPr>
        <w:pStyle w:val="Extracto"/>
      </w:pPr>
      <w:r>
        <w:t>30.</w:t>
      </w:r>
      <w:r>
        <w:tab/>
        <w:t>Puede entenderse por filtración la transmisión de información a terceros acerca del contenido o sentido de la deliberación y resolución de un caso, procedente de algunos magistrados integrantes del tribunal, seguida la publicación en los medios de comunicación, con anterioridad a la definitiva conformación del fallo y de su notificación a las partes [FJ 9].</w:t>
      </w:r>
    </w:p>
    <w:p w:rsidR="005728DD" w:rsidRDefault="005728DD" w:rsidP="005728DD">
      <w:pPr>
        <w:pStyle w:val="Extracto"/>
      </w:pPr>
    </w:p>
    <w:p w:rsidR="005728DD" w:rsidRDefault="005728DD" w:rsidP="005728DD">
      <w:pPr>
        <w:pStyle w:val="Extracto"/>
      </w:pPr>
      <w:r>
        <w:t>31.</w:t>
      </w:r>
      <w:r>
        <w:tab/>
        <w:t>Doctrina sobre el principio acusatorio [FJ 10].</w:t>
      </w:r>
    </w:p>
    <w:p w:rsidR="005728DD" w:rsidRDefault="005728DD" w:rsidP="005728DD">
      <w:pPr>
        <w:pStyle w:val="Extracto"/>
      </w:pPr>
    </w:p>
    <w:p w:rsidR="005728DD" w:rsidRDefault="005728DD" w:rsidP="005728DD">
      <w:pPr>
        <w:pStyle w:val="Extracto"/>
      </w:pPr>
      <w:r>
        <w:t>32.</w:t>
      </w:r>
      <w:r>
        <w:tab/>
        <w:t>El alcance del deber de congruencia entre la acusación y el fallo, por lo que respecta a la pena a imponer por el órgano judicial, se cohonesta mejor con la garantía de la imparcialidad judicial en el seno del proceso penal [FJ 10].</w:t>
      </w:r>
    </w:p>
    <w:p w:rsidR="005728DD" w:rsidRDefault="005728DD" w:rsidP="005728DD">
      <w:pPr>
        <w:pStyle w:val="Extracto"/>
      </w:pPr>
    </w:p>
    <w:p w:rsidR="005728DD" w:rsidRDefault="005728DD" w:rsidP="005728DD">
      <w:pPr>
        <w:pStyle w:val="Extracto"/>
      </w:pPr>
      <w:r>
        <w:t>33.</w:t>
      </w:r>
      <w:r>
        <w:tab/>
        <w:t xml:space="preserve">La garantía de la imparcialidad judicial en el seno del proceso penal resulta mejor protegida si el órgano judicial no asume la iniciativa de imponer </w:t>
      </w:r>
      <w:r w:rsidRPr="005728DD">
        <w:rPr>
          <w:i/>
        </w:rPr>
        <w:t xml:space="preserve">ex officio </w:t>
      </w:r>
      <w:r>
        <w:t>una pena que exceda en su gravedad, naturaleza o cuantía de la solicitada por la acusación [FJ 10].</w:t>
      </w:r>
    </w:p>
    <w:p w:rsidR="005728DD" w:rsidRDefault="005728DD" w:rsidP="005728DD">
      <w:pPr>
        <w:pStyle w:val="Extracto"/>
      </w:pPr>
    </w:p>
    <w:p w:rsidR="005728DD" w:rsidRDefault="005728DD" w:rsidP="005728DD">
      <w:pPr>
        <w:pStyle w:val="Extracto"/>
      </w:pPr>
      <w:r>
        <w:t>34.</w:t>
      </w:r>
      <w:r>
        <w:tab/>
        <w:t>La pena interesada por una acusación popular válidamente constituida en el proceso puede ser tenida en cuenta a los efectos de fijar el límite máximo penológico imponible [FJ 10].</w:t>
      </w:r>
    </w:p>
    <w:p w:rsidR="005728DD" w:rsidRDefault="005728DD" w:rsidP="005728DD">
      <w:pPr>
        <w:pStyle w:val="Extracto"/>
      </w:pPr>
    </w:p>
    <w:p w:rsidR="005728DD" w:rsidRDefault="005728DD" w:rsidP="005728DD">
      <w:pPr>
        <w:pStyle w:val="Extracto"/>
        <w:rPr>
          <w:i/>
        </w:rPr>
      </w:pPr>
      <w:r>
        <w:t>35.</w:t>
      </w:r>
      <w:r>
        <w:tab/>
      </w:r>
      <w:r w:rsidRPr="005728DD">
        <w:rPr>
          <w:i/>
        </w:rPr>
        <w:t xml:space="preserve">Derecho a la legalidad penal. </w:t>
      </w:r>
    </w:p>
    <w:p w:rsidR="005728DD" w:rsidRDefault="005728DD" w:rsidP="005728DD">
      <w:pPr>
        <w:pStyle w:val="Extracto"/>
      </w:pPr>
    </w:p>
    <w:p w:rsidR="005728DD" w:rsidRDefault="005728DD" w:rsidP="005728DD">
      <w:pPr>
        <w:pStyle w:val="Extracto"/>
      </w:pPr>
      <w:r>
        <w:t>36.</w:t>
      </w:r>
      <w:r>
        <w:tab/>
        <w:t>El derecho a la legalidad penal, en su vertiente formal, consiste en la necesaria exigencia de una norma con rango de ley como presupuesto de la actuación punitiva del Estado, que defina las conductas punibles y las sanciones que les corresponden [FJ 11].</w:t>
      </w:r>
    </w:p>
    <w:p w:rsidR="005728DD" w:rsidRDefault="005728DD" w:rsidP="005728DD">
      <w:pPr>
        <w:pStyle w:val="Extracto"/>
      </w:pPr>
    </w:p>
    <w:p w:rsidR="005728DD" w:rsidRDefault="005728DD" w:rsidP="005728DD">
      <w:pPr>
        <w:pStyle w:val="Extracto"/>
      </w:pPr>
      <w:r>
        <w:t>37.</w:t>
      </w:r>
      <w:r>
        <w:tab/>
        <w:t>Las garantías materiales del derecho a la legalidad penal comportan la exigencia de predeterminación normativa de las conductas y sus correspondientes sanciones, a través de una tipificación precisa dotada de la adecuada concreción en la descripción que incorpora [FJ 11].</w:t>
      </w:r>
    </w:p>
    <w:p w:rsidR="005728DD" w:rsidRDefault="005728DD" w:rsidP="005728DD">
      <w:pPr>
        <w:pStyle w:val="Extracto"/>
      </w:pPr>
    </w:p>
    <w:p w:rsidR="005728DD" w:rsidRDefault="005728DD" w:rsidP="005728DD">
      <w:pPr>
        <w:pStyle w:val="Extracto"/>
      </w:pPr>
      <w:r>
        <w:t>38.</w:t>
      </w:r>
      <w:r>
        <w:tab/>
        <w:t>El principio de taxatividad no es incompatible con el empleo de conceptos jurídicos indeterminados o la utilización de una terminología con cierto grado de ambigüedad por parte del legislador [FJ 11].</w:t>
      </w:r>
    </w:p>
    <w:p w:rsidR="005728DD" w:rsidRDefault="005728DD" w:rsidP="005728DD">
      <w:pPr>
        <w:pStyle w:val="Extracto"/>
      </w:pPr>
    </w:p>
    <w:p w:rsidR="005728DD" w:rsidRDefault="005728DD" w:rsidP="005728DD">
      <w:pPr>
        <w:pStyle w:val="Extracto"/>
      </w:pPr>
      <w:r>
        <w:t>39.</w:t>
      </w:r>
      <w:r>
        <w:tab/>
        <w:t>Vulneran el principio de legalidad las resoluciones sancionadoras que se sustenten en una subsunción de los hechos ajena al significado posible de los términos de la norma aplicada y aquellas aplicaciones que por su soporte metodológico y axiológico conduzcan a soluciones esencialmente opuestas a la orientación material de la norma y por ello imprevisibles para sus destinatarios [FJ 11].</w:t>
      </w:r>
    </w:p>
    <w:p w:rsidR="005728DD" w:rsidRDefault="005728DD" w:rsidP="005728DD">
      <w:pPr>
        <w:pStyle w:val="Extracto"/>
      </w:pPr>
    </w:p>
    <w:p w:rsidR="005728DD" w:rsidRDefault="005728DD" w:rsidP="005728DD">
      <w:pPr>
        <w:pStyle w:val="Extracto"/>
      </w:pPr>
      <w:r>
        <w:t>40.</w:t>
      </w:r>
      <w:r>
        <w:tab/>
        <w:t>Doctrina sobre la proporcionalidad de las penas [FJ 11].</w:t>
      </w:r>
    </w:p>
    <w:p w:rsidR="005728DD" w:rsidRDefault="005728DD" w:rsidP="005728DD">
      <w:pPr>
        <w:pStyle w:val="Extracto"/>
      </w:pPr>
    </w:p>
    <w:p w:rsidR="005728DD" w:rsidRDefault="005728DD" w:rsidP="005728DD">
      <w:pPr>
        <w:pStyle w:val="Extracto"/>
      </w:pPr>
      <w:r>
        <w:t>41.</w:t>
      </w:r>
      <w:r>
        <w:tab/>
        <w:t>Para calificar una pena como desproporcionada desde el prisma constitucional debe apreciarse un desequilibrio manifiesto y no justificable entre la sanción impuesta y la finalidad de la norma punitiva [FJ 11].</w:t>
      </w:r>
    </w:p>
    <w:p w:rsidR="005728DD" w:rsidRDefault="005728DD" w:rsidP="005728DD">
      <w:pPr>
        <w:pStyle w:val="Extracto"/>
      </w:pPr>
    </w:p>
    <w:p w:rsidR="005728DD" w:rsidRDefault="005728DD" w:rsidP="005728DD">
      <w:pPr>
        <w:pStyle w:val="Extracto"/>
      </w:pPr>
      <w:r>
        <w:t>42.</w:t>
      </w:r>
      <w:r>
        <w:tab/>
        <w:t xml:space="preserve">El TEDH ha señalado de forma reiterada que, en cualquier sistema jurídico, por muy clara que sea la redacción de una disposición legal, incluso en materia penal, existe inevitablemente un elemento de interpretación y el papel de los tribunales es precisamente disipar las dudas que la norma pueda plantear. (STEDH, de 12 de febrero de 2008, asunto </w:t>
      </w:r>
      <w:r w:rsidRPr="005728DD">
        <w:rPr>
          <w:i/>
        </w:rPr>
        <w:t>Kafkaris c. Chipre</w:t>
      </w:r>
      <w:r>
        <w:t>) [FJ 11].</w:t>
      </w:r>
    </w:p>
    <w:p w:rsidR="005728DD" w:rsidRDefault="005728DD" w:rsidP="005728DD">
      <w:pPr>
        <w:pStyle w:val="Extracto"/>
      </w:pPr>
    </w:p>
    <w:p w:rsidR="005728DD" w:rsidRDefault="005728DD" w:rsidP="005728DD">
      <w:pPr>
        <w:pStyle w:val="Extracto"/>
      </w:pPr>
      <w:r>
        <w:t>43.</w:t>
      </w:r>
      <w:r>
        <w:tab/>
        <w:t>Doctrina sobre el delito de sedición [FJ 11].</w:t>
      </w:r>
    </w:p>
    <w:p w:rsidR="005728DD" w:rsidRDefault="005728DD" w:rsidP="005728DD">
      <w:pPr>
        <w:pStyle w:val="Extracto"/>
      </w:pPr>
    </w:p>
    <w:p w:rsidR="005728DD" w:rsidRDefault="005728DD" w:rsidP="005728DD">
      <w:pPr>
        <w:pStyle w:val="Extracto"/>
      </w:pPr>
      <w:r>
        <w:t>44.</w:t>
      </w:r>
      <w:r>
        <w:tab/>
        <w:t>El tipo penal de sedición no requiere la implicación de un elevado número de alzados ni que estos últimos actúen en un contexto absolutamente desvinculado de manifestaciones o reuniones cuyo propósito sea reivindicativo o de protesta [FJ 11].</w:t>
      </w:r>
    </w:p>
    <w:p w:rsidR="005728DD" w:rsidRDefault="005728DD" w:rsidP="005728DD">
      <w:pPr>
        <w:pStyle w:val="Extracto"/>
      </w:pPr>
    </w:p>
    <w:p w:rsidR="005728DD" w:rsidRDefault="005728DD" w:rsidP="005728DD">
      <w:pPr>
        <w:pStyle w:val="Extracto"/>
      </w:pPr>
      <w:r>
        <w:t>45.</w:t>
      </w:r>
      <w:r>
        <w:tab/>
        <w:t>Doctrina sobre el principio de accesoriedad limitada [FJ 11].</w:t>
      </w:r>
    </w:p>
    <w:p w:rsidR="005728DD" w:rsidRDefault="005728DD" w:rsidP="005728DD">
      <w:pPr>
        <w:pStyle w:val="Extracto"/>
      </w:pPr>
    </w:p>
    <w:p w:rsidR="005728DD" w:rsidRDefault="005728DD" w:rsidP="005728DD">
      <w:pPr>
        <w:pStyle w:val="Extracto"/>
      </w:pPr>
      <w:r>
        <w:t>46.</w:t>
      </w:r>
      <w:r>
        <w:tab/>
        <w:t>No le corresponde a este tribunal pronunciarse sobre si las respuestas dadas por el órgano judicial son las únicas que se ajustan a Derecho, pues ello supondría adelantarse en una labor que queda extramuros de nuestro cometido [FJ 11].</w:t>
      </w:r>
    </w:p>
    <w:p w:rsidR="005728DD" w:rsidRDefault="005728DD" w:rsidP="005728DD">
      <w:pPr>
        <w:pStyle w:val="Extracto"/>
      </w:pPr>
    </w:p>
    <w:p w:rsidR="005728DD" w:rsidRDefault="005728DD" w:rsidP="005728DD">
      <w:pPr>
        <w:pStyle w:val="Extracto"/>
      </w:pPr>
      <w:r>
        <w:t>47.</w:t>
      </w:r>
      <w:r>
        <w:tab/>
        <w:t>Todo lo que sea mostrar la discrepancia frente a las leyes, las decisiones judiciales, propugnar su modificación, denunciar sus puntos débiles, incluso, con críticas descarnadas o subidas de tono, agrias y descalificadoras, está al abrigo del derecho a la protesta o a la disidencia. Cosa bien distinta es la oposición activa y concertada frente a actuaciones de agentes de la autoridad con respaldo legal y constitucional encaminadas a dar cumplimiento a un mandato judicial [FJ 11].</w:t>
      </w:r>
    </w:p>
    <w:p w:rsidR="005728DD" w:rsidRDefault="005728DD" w:rsidP="005728DD">
      <w:pPr>
        <w:pStyle w:val="Extracto"/>
      </w:pPr>
    </w:p>
    <w:p w:rsidR="005728DD" w:rsidRDefault="005728DD" w:rsidP="005728DD">
      <w:pPr>
        <w:pStyle w:val="Extracto"/>
      </w:pPr>
      <w:r>
        <w:t>48.</w:t>
      </w:r>
      <w:r>
        <w:tab/>
        <w:t>Recae sobre los titulares de cargos públicos un cualificado deber de acatamiento a la norma fundamental, que no se cifra en una necesaria adhesión ideológica a su total contenido, pero sí en el compromiso a realizar sus funciones de acuerdo con ella y en el respeto al resto del ordenamiento jurídico (STC 259/2015) [FJ 11].</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lastRenderedPageBreak/>
        <w:t>SENTENCIA</w:t>
      </w:r>
    </w:p>
    <w:p w:rsidR="005728DD" w:rsidRDefault="005728DD" w:rsidP="005728DD">
      <w:pPr>
        <w:pStyle w:val="TextoNormalCentrado"/>
        <w:keepNext/>
      </w:pPr>
    </w:p>
    <w:p w:rsidR="005728DD" w:rsidRDefault="005728DD" w:rsidP="005728DD">
      <w:pPr>
        <w:pStyle w:val="TextoNormal"/>
      </w:pPr>
      <w:r>
        <w:t>En el recurso de amparo avocado núm. 1403-2020, promovido por don Jordi Turull i Negre, representado por el procurador de los tribunales don Aníbal Bordallo Huidobro y asistido por el letrado don Jordi Pina Massachs, contra la sentencia núm. 459/2019, de 14 de octubre, dictada por la Sala de lo Penal del Tribunal Supremo en la causa especial núm. 20907-2017 y contra el auto de 29 de enero de 2020, que desestimó los incidentes de nulidad interpuestos frente a esta. Han comparecido el abogado del Estado; el partido político Vox, representado por la procuradora de los tribunales doña María del Pilar Hidalgo López y asistido por la letrada doña Marta Castro Fuertes, y don Carles Puigdemont i Casamajó, representado por el procurador de los tribunales don Carlos Ricardo Estévez Sanz, y asistido por el letrado don Gonzalo Boye Tuset. Ha intervenido el Ministerio Fiscal.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4 de marzo de 2020, don Aníbal Bordallo Huidobro, procurador de los tribunales, en nombre y representación de don Jordi Turull i Negre, interpuso recurso de amparo contra las resoluciones judiciales a las que se ha hecho mención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Son antecedentes procesales relevantes para resolver el presente recurso, los siguientes:</w:t>
      </w:r>
    </w:p>
    <w:p w:rsidR="005728DD" w:rsidRDefault="005728DD" w:rsidP="005728DD">
      <w:pPr>
        <w:pStyle w:val="TextoNormal"/>
      </w:pPr>
    </w:p>
    <w:p w:rsidR="005728DD" w:rsidRDefault="005728DD" w:rsidP="005728DD">
      <w:pPr>
        <w:pStyle w:val="TextoNormal"/>
      </w:pPr>
      <w:r>
        <w:t>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(ANC), entre otros, que se valoraban como obstruccionistas de la actividad policial. Las únicas personas que fueron nominalmente citadas en dicha denuncia fueron don Jordi Sánchez i Picanyol, presidente de la ANC, y don Jordi Cuixart Navarro, presidente de la entidad Òmnium Cultural.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005728DD" w:rsidRDefault="005728DD" w:rsidP="005728DD">
      <w:pPr>
        <w:pStyle w:val="TextoNormal"/>
      </w:pPr>
    </w:p>
    <w:p w:rsidR="005728DD" w:rsidRDefault="005728DD" w:rsidP="005728DD">
      <w:pPr>
        <w:pStyle w:val="TextoNormal"/>
      </w:pPr>
      <w:r>
        <w:t>b) El 30 de octubre de 2017, el fiscal general del Estado presentó dos querellas por unos mismos hechos que consideraba podían ser constitutivos de los delitos de rebelión (art. 472 CP), sedición (art. 544 CP) y malversación de caudales públicos (art. 432 CP).</w:t>
      </w:r>
    </w:p>
    <w:p w:rsidR="005728DD" w:rsidRDefault="005728DD" w:rsidP="005728DD">
      <w:pPr>
        <w:pStyle w:val="TextoNormal"/>
      </w:pPr>
    </w:p>
    <w:p w:rsidR="005728DD" w:rsidRDefault="005728DD" w:rsidP="005728DD">
      <w:pPr>
        <w:pStyle w:val="TextoNormal"/>
      </w:pPr>
      <w:r>
        <w:t xml:space="preserve">La primera se presentó ante el Juzgado Central de Instrucción de guardia de la Audiencia Nacional. Se dirigió contra “todos los que fueron miembros del Consell Executiu del Govern </w:t>
      </w:r>
      <w:r>
        <w:lastRenderedPageBreak/>
        <w:t>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005728DD" w:rsidRDefault="005728DD" w:rsidP="005728DD">
      <w:pPr>
        <w:pStyle w:val="TextoNormal"/>
      </w:pPr>
    </w:p>
    <w:p w:rsidR="005728DD" w:rsidRDefault="005728DD" w:rsidP="005728DD">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5728DD" w:rsidRDefault="005728DD" w:rsidP="005728DD">
      <w:pPr>
        <w:pStyle w:val="TextoNormal"/>
      </w:pPr>
    </w:p>
    <w:p w:rsidR="005728DD" w:rsidRDefault="005728DD" w:rsidP="005728DD">
      <w:pPr>
        <w:pStyle w:val="TextoNormal"/>
      </w:pPr>
      <w:r>
        <w:t>c) En este último caso, una vez registrada y designado ponente, la querella fue admitida a trámite por la sala de admisión de la Sala de lo Penal del Tribunal Supremo, mediante auto del siguiente día, 31 de octubre de 2017 (después ratificado en súplica por otro de 18 de diciembre de 2017), en el que se acordó:</w:t>
      </w:r>
    </w:p>
    <w:p w:rsidR="005728DD" w:rsidRDefault="005728DD" w:rsidP="005728DD">
      <w:pPr>
        <w:pStyle w:val="TextoNormal"/>
      </w:pPr>
    </w:p>
    <w:p w:rsidR="005728DD" w:rsidRDefault="005728DD" w:rsidP="005728DD">
      <w:pPr>
        <w:pStyle w:val="TextoNormal"/>
      </w:pPr>
      <w:r>
        <w:t>(i)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005728DD" w:rsidRDefault="005728DD" w:rsidP="005728DD">
      <w:pPr>
        <w:pStyle w:val="TextoNormal"/>
      </w:pPr>
    </w:p>
    <w:p w:rsidR="005728DD" w:rsidRDefault="005728DD" w:rsidP="005728DD">
      <w:pPr>
        <w:pStyle w:val="TextoNormal"/>
      </w:pPr>
      <w:r>
        <w:t>(ii)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5728DD" w:rsidRDefault="005728DD" w:rsidP="005728DD">
      <w:pPr>
        <w:pStyle w:val="TextoNormal"/>
      </w:pPr>
    </w:p>
    <w:p w:rsidR="005728DD" w:rsidRDefault="005728DD" w:rsidP="005728DD">
      <w:pPr>
        <w:pStyle w:val="TextoNormal"/>
      </w:pPr>
      <w:r>
        <w:t>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005728DD" w:rsidRDefault="005728DD" w:rsidP="005728DD">
      <w:pPr>
        <w:pStyle w:val="TextoNormal"/>
      </w:pPr>
    </w:p>
    <w:p w:rsidR="005728DD" w:rsidRDefault="005728DD" w:rsidP="005728DD">
      <w:pPr>
        <w:pStyle w:val="TextoNormal"/>
      </w:pPr>
      <w:r>
        <w:t xml:space="preserve">Recibida la información solicitada, el magistrado instructor dictó auto de fecha 24 de noviembre de 2017 en el que, apreciando conexidad entre las tres causas, extendió la investigación a los presidentes de las asociaciones Òmniun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w:t>
      </w:r>
      <w:r>
        <w:lastRenderedPageBreak/>
        <w:t>una de las causas seguidas ante el juzgado central de instrucción. Las actuaciones recibidas fueron acumuladas a la causa especial.</w:t>
      </w:r>
    </w:p>
    <w:p w:rsidR="005728DD" w:rsidRDefault="005728DD" w:rsidP="005728DD">
      <w:pPr>
        <w:pStyle w:val="TextoNormal"/>
      </w:pPr>
    </w:p>
    <w:p w:rsidR="005728DD" w:rsidRDefault="005728DD" w:rsidP="005728DD">
      <w:pPr>
        <w:pStyle w:val="TextoNormal"/>
      </w:pPr>
      <w:r>
        <w:t>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005728DD" w:rsidRDefault="005728DD" w:rsidP="005728DD">
      <w:pPr>
        <w:pStyle w:val="TextoNormal"/>
      </w:pPr>
    </w:p>
    <w:p w:rsidR="005728DD" w:rsidRDefault="005728DD" w:rsidP="005728DD">
      <w:pPr>
        <w:pStyle w:val="TextoNormal"/>
      </w:pPr>
      <w:r>
        <w:t>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005728DD" w:rsidRDefault="005728DD" w:rsidP="005728DD">
      <w:pPr>
        <w:pStyle w:val="TextoNormal"/>
      </w:pPr>
    </w:p>
    <w:p w:rsidR="005728DD" w:rsidRDefault="005728DD" w:rsidP="005728DD">
      <w:pPr>
        <w:pStyle w:val="TextoNormal"/>
      </w:pPr>
      <w:r>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5728DD" w:rsidRDefault="005728DD" w:rsidP="005728DD">
      <w:pPr>
        <w:pStyle w:val="TextoNormal"/>
      </w:pPr>
    </w:p>
    <w:p w:rsidR="005728DD" w:rsidRDefault="005728DD" w:rsidP="005728DD">
      <w:pPr>
        <w:pStyle w:val="TextoNormal"/>
      </w:pPr>
      <w:r>
        <w:t>e) Por auto de fecha 21 de marzo del 2018 se acordó el procesamiento del demandante de amparo, junto con otros encausados, por los presuntos delitos de rebelión y de malversación de caudales públicos. Por auto de 9 de mayo de 2018 se desestimaron los recursos de reforma interpuestos contra la anterior resolución y por auto de 26 de junio de 2018 se desestimaron los recursos de apelación entablados contra el auto de 9 de mayo de 2018.</w:t>
      </w:r>
    </w:p>
    <w:p w:rsidR="005728DD" w:rsidRDefault="005728DD" w:rsidP="005728DD">
      <w:pPr>
        <w:pStyle w:val="TextoNormal"/>
      </w:pPr>
    </w:p>
    <w:p w:rsidR="005728DD" w:rsidRDefault="005728DD" w:rsidP="005728DD">
      <w:pPr>
        <w:pStyle w:val="TextoNormal"/>
      </w:pPr>
      <w:r>
        <w:t>f) Una vez ratificado el procesamiento, el magistrado instructor declaró concluso el sumario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8 de octubre de 2018, el demandante de amparo interesó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el recurrente por los mismos delitos por los que había sido procesado.</w:t>
      </w:r>
    </w:p>
    <w:p w:rsidR="005728DD" w:rsidRDefault="005728DD" w:rsidP="005728DD">
      <w:pPr>
        <w:pStyle w:val="TextoNormal"/>
      </w:pPr>
    </w:p>
    <w:p w:rsidR="005728DD" w:rsidRDefault="005728DD" w:rsidP="005728DD">
      <w:pPr>
        <w:pStyle w:val="TextoNormal"/>
      </w:pPr>
      <w:r>
        <w:t>g) En sus conclusiones provisionales, el Ministerio Fiscal calificó los hechos atribuidos al demandante como constitutivos de un delito de rebelión de los arts. 472.1, 5 y 7; 473, inciso segundo, y 2 (distracción ilegal de caudales públicos) y 478 CP, por el que interesó la imposición de las penas de dieciséis años de prisión y de dieciséis años de inhabilitación absoluta y la condena en costas. En cuanto a la responsabilidad civil, solicitó la remisión de particulares y de la sentencia al Tribunal de Cuentas, de conformidad con lo previsto en los arts. 18.2 de la Ley Orgánica 1/1982, de 12 de mayo, del Tribunal de Cuentas (LOTCu), y en los arts. 16, 17 y 49.3 de la Ley de funcionamiento del Tribunal de Cuentas (LFTCu), para el establecimiento y reclamación definitiva de las cantidades totales desviadas.</w:t>
      </w:r>
    </w:p>
    <w:p w:rsidR="005728DD" w:rsidRDefault="005728DD" w:rsidP="005728DD">
      <w:pPr>
        <w:pStyle w:val="TextoNormal"/>
      </w:pPr>
    </w:p>
    <w:p w:rsidR="005728DD" w:rsidRDefault="005728DD" w:rsidP="005728DD">
      <w:pPr>
        <w:pStyle w:val="TextoNormal"/>
      </w:pPr>
      <w:r>
        <w:t>El abogado del Estado calificó los hechos imputados al recurrente como constitutivos de: i) un delito de sedición de los arts. 544 y 545.1 CP, y ii) de un delito de malversación de caudales públicos del art. 432.1 y 3 CP. Estimando que los referidos delitos se hallan en relación de concurso medial, solicitó la imposición de las penas de once años y seis meses de prisión e inhabilitación absoluta, condena en costas y la responsabilidad civil en los términos solicitados por el Ministerio Fiscal.</w:t>
      </w:r>
    </w:p>
    <w:p w:rsidR="005728DD" w:rsidRDefault="005728DD" w:rsidP="005728DD">
      <w:pPr>
        <w:pStyle w:val="TextoNormal"/>
      </w:pPr>
    </w:p>
    <w:p w:rsidR="005728DD" w:rsidRDefault="005728DD" w:rsidP="005728DD">
      <w:pPr>
        <w:pStyle w:val="TextoNormal"/>
      </w:pPr>
      <w:r>
        <w:t xml:space="preserve">La acusación popular consideró que la conducta del recurrente era constitutiva de los siguientes delitos: i) dos delitos de rebelión de los arts. 472.5 y 7, 473.1 y 2 y 478 CP; ii) alternativamente, de dos delitos de sedición de los arts. 544 y 545.1 CP; iii) un delito de organización criminal de los arts. 570 </w:t>
      </w:r>
      <w:r w:rsidRPr="005728DD">
        <w:rPr>
          <w:i/>
        </w:rPr>
        <w:t>bis</w:t>
      </w:r>
      <w:r>
        <w:t xml:space="preserve"> 1 y 2 a) y c) y 570 </w:t>
      </w:r>
      <w:r w:rsidRPr="005728DD">
        <w:rPr>
          <w:i/>
        </w:rPr>
        <w:t>quáter</w:t>
      </w:r>
      <w:r>
        <w:t xml:space="preserve"> 2 CP, y iv) un delito de malversación de caudales públicos del art. 432.1 y 3 a) y b) CP en relación con el art. 252 CP. Por cada delito de rebelión interesó la imposición de las penas de veinticinco años de prisión y de veinte años de inhabilitación absoluta; alternativamente, por cada delito de sedición solicitó las penas de quince años de prisión y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de veinte años de inhabilitación absoluta. También pidió la condena en costas y, en concepto de responsabilidad civil, solicitó que el demandante de amparo abonara solidariamente con otros acusados la cantidad de 4 279 985,03 €, importe a que asciende la cuantía malversada.</w:t>
      </w:r>
    </w:p>
    <w:p w:rsidR="005728DD" w:rsidRDefault="005728DD" w:rsidP="005728DD">
      <w:pPr>
        <w:pStyle w:val="TextoNormal"/>
      </w:pPr>
    </w:p>
    <w:p w:rsidR="005728DD" w:rsidRDefault="005728DD" w:rsidP="005728DD">
      <w:pPr>
        <w:pStyle w:val="TextoNormal"/>
      </w:pPr>
      <w:r>
        <w:t>h) Al amparo de lo previsto en el art. 666.1 y ss. LECrim, tanto el demandante como otras personas acusadas presentaron, como artículo de previo pronunciamiento, una solicitud de declinatoria de jurisdicción en favor del Tribunal Superior de Justicia de Cataluña. Para justificar su pretensión, invocó expresamente la vulneración del derecho al juez predeterminado por la ley.</w:t>
      </w:r>
    </w:p>
    <w:p w:rsidR="005728DD" w:rsidRDefault="005728DD" w:rsidP="005728DD">
      <w:pPr>
        <w:pStyle w:val="TextoNormal"/>
      </w:pPr>
    </w:p>
    <w:p w:rsidR="005728DD" w:rsidRDefault="005728DD" w:rsidP="005728DD">
      <w:pPr>
        <w:pStyle w:val="TextoNormal"/>
      </w:pPr>
      <w:r>
        <w:t>i) Tomando en consideración dicha perspectiva, la pretensión fue desestimada mediante auto de 27 de diciembre de 2018, por el que la sala mantuvo su competencia objetiva para conocer y juzgar los delitos por los que los procesados habían sido provisionalmente acusados.</w:t>
      </w:r>
    </w:p>
    <w:p w:rsidR="005728DD" w:rsidRDefault="005728DD" w:rsidP="005728DD">
      <w:pPr>
        <w:pStyle w:val="TextoNormal"/>
      </w:pPr>
    </w:p>
    <w:p w:rsidR="005728DD" w:rsidRDefault="005728DD" w:rsidP="005728DD">
      <w:pPr>
        <w:pStyle w:val="TextoNormal"/>
      </w:pPr>
      <w:r>
        <w:lastRenderedPageBreak/>
        <w:t>j) En fecha 16 de enero de 2019, el demandante presentó el escrito de conclusiones provisionales, conforme a lo dispuesto en el art. 652 LECrim, en el que interesó su libre absolución. Asimismo, propuso la prueba que consideró pertinente y se reservó la posibilidad de solicitar más prueba con anterioridad a la celebración del juicio oral, pues afirmó no haber podido acceder de forma completa al procedimiento.</w:t>
      </w:r>
    </w:p>
    <w:p w:rsidR="005728DD" w:rsidRDefault="005728DD" w:rsidP="005728DD">
      <w:pPr>
        <w:pStyle w:val="TextoNormal"/>
      </w:pPr>
    </w:p>
    <w:p w:rsidR="005728DD" w:rsidRDefault="005728DD" w:rsidP="005728DD">
      <w:pPr>
        <w:pStyle w:val="TextoNormal"/>
      </w:pPr>
      <w:r>
        <w:t>k) Mediante auto de fecha 1 de febrero de 2019 se señalaron las fechas de celebración del juicio oral, cuyo inicio se fijó para el día 12 de febrero y su finalización para el 1 de junio del 2019. En la misma resolución, el órgano de enjuiciamiento resolvió sobre la admisión de las pruebas propuestas por las partes. En concreto, en el fundamento jurídico sexto (págs. 92 a 105) figuran las pruebas interesadas por el recurrente que fueron inadmitidas.</w:t>
      </w:r>
    </w:p>
    <w:p w:rsidR="005728DD" w:rsidRDefault="005728DD" w:rsidP="005728DD">
      <w:pPr>
        <w:pStyle w:val="TextoNormal"/>
      </w:pPr>
    </w:p>
    <w:p w:rsidR="005728DD" w:rsidRDefault="005728DD" w:rsidP="005728DD">
      <w:pPr>
        <w:pStyle w:val="TextoNormal"/>
      </w:pPr>
      <w:r>
        <w:t>l) El 12 de febrero de 2019, antes del comienzo de la práctica de la prueba en el juicio oral, el recurrente y otros dos procesados plantearon a la sala cuestiones previas alegando las siguientes vulneraciones de derechos fundamentales: i) del derecho a la tutela judicial efectiva sin indefensión (art. 24.1 CE) y, en concreto, del derecho a la doble instancia en materia penal [art. 2.2 del Protocolo núm. 7 al Convenio europeo para la protección de los derechos humanos y de las libertades fundamentales (CEDH)], ya que la Sala Segunda del Tribunal Supremo asumió el conocimiento de la presente causa sin tener competencia para enjuiciar; ii) del derecho a un juez imparcial (arts. 6 CEDH y 24 CE), lesión que se produjo en la fase de instrucción, tanto por la intervención del magistrado instructor designado, como por la de sala de recursos, especialmente, del miembro de la misma don Francisco Monterde Ferrer, vicepresidente y miembro del comité ejecutivo de la Asociación Profesional de la Magistratura; y en la fase de enjuiciamiento, con mención de las recusaciones resueltas por la Sala del art. 61 de la Ley Orgánica del Poder Judicial (LOPJ) y las manifestaciones de don Carlos Lesmes, presidente del Tribunal Supremo, que no atañen a los magistrados que integran la Sala, pero son “ilustrativas del contexto que rodea a la presente causa en términos de imparcialidad institucional”; iii) de los derechos a la defensa, a un proceso con todas las garantías (arts. 24 CE y 6 CEDH) y a la no discriminación (arts. 14 CE y 14 CEDH), por haberse denegado el sistema de traducción simultánea solicitado por esta defensa; iv) del derecho a la defensa y del derecho a un proceso con todas las garantías, por haber tenido que preparar el juicio en una situación de privación de libertad (art. 17 en relación con 24 CE); v) de los derechos de defensa y a un proceso con todas las garantías, por no permitirse un acceso completo a las actuaciones (arts. 24 CE y 6 CEDH); queja que se desglosa a su vez en las siguientes: acceso incompleto a la “nube virtual” para consultar las actuaciones de la instrucción; denegación de traslado de los denominados sobres cerrados y del resultado de las pruebas documentales requeridas por la Sala en su auto de admisión de pruebas, de fecha 1 de febrero de 2019; vi) de los derechos de defensa y a un proceso con todas las garantías, por haberse denegado la aportación de testimonio íntegro de las diligencias practicadas en el Juzgado de Instrucción núm. 13 de Barcelona (arts. 24 CE y 6 CEDH); vii) del derecho a la presunción de inocencia por las declaraciones a la BBC de doña Irene Lozano Domingo, responsable de la campaña gubernamental “España Global” (arts. 24 CE y 6.3 CEDH), y viii) de los derechos de defensa y a un proceso con todas las garantías, por denegación de medios de prueba pertinentes propuestos en tiempo y forma (arts. 24 CE y 6 CEDH).</w:t>
      </w:r>
    </w:p>
    <w:p w:rsidR="005728DD" w:rsidRDefault="005728DD" w:rsidP="005728DD">
      <w:pPr>
        <w:pStyle w:val="TextoNormal"/>
      </w:pPr>
    </w:p>
    <w:p w:rsidR="005728DD" w:rsidRDefault="005728DD" w:rsidP="005728DD">
      <w:pPr>
        <w:pStyle w:val="TextoNormal"/>
      </w:pPr>
      <w:r>
        <w:lastRenderedPageBreak/>
        <w:t>m) En sus conclusiones definitivas, las partes acusadoras mantuvieron sus calificaciones jurídicas y peticiones de penas. Por su parte, el demandante modificó sus conclusiones provisionales, en el sentido de interesar, en la conclusión cuarta, la apreciación de la circunstancia eximente (art. 20.7 CP) de obrar en el legítimo ejercicio de los derechos a la libertad ideológica (art. 16 CE), de expresión (art. 20 CE), de reunión pacífica y manifestación (art. 21 CE) y de asociación (art. 22 CE).</w:t>
      </w:r>
    </w:p>
    <w:p w:rsidR="005728DD" w:rsidRDefault="005728DD" w:rsidP="005728DD">
      <w:pPr>
        <w:pStyle w:val="TextoNormal"/>
      </w:pPr>
    </w:p>
    <w:p w:rsidR="005728DD" w:rsidRDefault="005728DD" w:rsidP="005728DD">
      <w:pPr>
        <w:pStyle w:val="TextoNormal"/>
      </w:pPr>
      <w:r>
        <w:t>En el momento de elevar a definitivas sus conclusiones, amén de reiterar las vulneraciones ya alegadas al inicio del juicio oral, el recurrente denunció las siguientes lesiones de sus derechos fundamentales causadas durante la celebración del plenario: i) del derecho a un proceso con todas las garantías (arts. 24 CE y 6 CEDH), por la imposibilidad de confrontar las declaraciones testificales con la prueba documental videográfica; ii) del derecho de defensa (arts. 24 CE y 6 CEDH), por la restricción injustificada del alcance de los interrogatorios efectuados por las defensas; iii) del derecho a un proceso con todas las garantías (arts. 24 CE y 6 CEDH), por el quebrantamiento del principio de igualdad de armas entre acusaciones y defensas y por la asunción de un rol acusatorio por parte del presidente del tribunal.</w:t>
      </w:r>
    </w:p>
    <w:p w:rsidR="005728DD" w:rsidRDefault="005728DD" w:rsidP="005728DD">
      <w:pPr>
        <w:pStyle w:val="TextoNormal"/>
      </w:pPr>
    </w:p>
    <w:p w:rsidR="005728DD" w:rsidRDefault="005728DD" w:rsidP="005728DD">
      <w:pPr>
        <w:pStyle w:val="TextoNormal"/>
      </w:pPr>
      <w:r>
        <w:t>n) En fecha 14 de octubre de 2019 la sala dictó sentencia en la referida causa especial. El demandante fue considerado autor de: a) un delito de sedición previsto en los arts. 544 y 545.1 CP; y b) un delito de malversación de caudales públicos previsto en los arts. 432.1 y 3 CP. Al serle aplicada la regla penológica prevista en el art. 77.3 CP para el concurso medial, las penas impuestas fueron las de doce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cuatro setentaidosavas partes de las costas procesales, sin inclusión de las costas de la acusación popular, y a la responsabilidad pecuniaria que se determinase por la jurisdicción contable, en el ámbito de su competencia y de conformidad con lo previsto en el art. 18.2 LOTCu, y en los arts. 16, 17 y 49.3 LFTCu, para el establecimiento y reclamación definitiva de las cantidades totales desviadas. El demandante fue absuelto de los delitos de rebelión y de organización criminal.</w:t>
      </w:r>
    </w:p>
    <w:p w:rsidR="005728DD" w:rsidRDefault="005728DD" w:rsidP="005728DD">
      <w:pPr>
        <w:pStyle w:val="TextoNormal"/>
      </w:pPr>
    </w:p>
    <w:p w:rsidR="005728DD" w:rsidRDefault="005728DD" w:rsidP="005728DD">
      <w:pPr>
        <w:pStyle w:val="TextoNormal"/>
      </w:pPr>
      <w:r>
        <w:t>ñ) En las páginas 24 a 60 de la sentencia condenatoria se consignan los hechos que el tribunal consideró probados, cuyo tenor literal, es el siguiente:</w:t>
      </w:r>
    </w:p>
    <w:p w:rsidR="005728DD" w:rsidRDefault="005728DD" w:rsidP="005728DD">
      <w:pPr>
        <w:pStyle w:val="TextoNormal"/>
      </w:pPr>
    </w:p>
    <w:p w:rsidR="005728DD" w:rsidRDefault="005728DD" w:rsidP="005728DD">
      <w:pPr>
        <w:pStyle w:val="TextoNormal"/>
      </w:pPr>
      <w:r>
        <w:t>“1. Con fecha 8 de septiembre de 2017, el ‘Diario Oficial de la Generalitat’ núm. 7451-A publicó la Ley del Parlament de Cataluña 20/2017, 8 de septiembre, de transitoriedad jurídica y fundacional de la República.</w:t>
      </w:r>
    </w:p>
    <w:p w:rsidR="005728DD" w:rsidRDefault="005728DD" w:rsidP="005728DD">
      <w:pPr>
        <w:pStyle w:val="TextoNormal"/>
      </w:pPr>
    </w:p>
    <w:p w:rsidR="005728DD" w:rsidRDefault="005728DD" w:rsidP="005728DD">
      <w:pPr>
        <w:pStyle w:val="TextoNormal"/>
      </w:pPr>
      <w:r>
        <w:t>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w:t>
      </w:r>
      <w:r>
        <w:lastRenderedPageBreak/>
        <w:t>pacio terrestre, incluido el subsuelo, correspondiente a sus límites geográficos y administrativos preexistentes, por el mar territorial, incluido su lecho y subsuelo y por el espacio aéreo situado sobre el espacio terrestre y el mar territorial de Cataluña.</w:t>
      </w:r>
    </w:p>
    <w:p w:rsidR="005728DD" w:rsidRDefault="005728DD" w:rsidP="005728DD">
      <w:pPr>
        <w:pStyle w:val="TextoNormal"/>
      </w:pPr>
    </w:p>
    <w:p w:rsidR="005728DD" w:rsidRDefault="005728DD" w:rsidP="005728DD">
      <w:pPr>
        <w:pStyle w:val="TextoNormal"/>
      </w:pPr>
      <w:r>
        <w:t>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005728DD" w:rsidRDefault="005728DD" w:rsidP="005728DD">
      <w:pPr>
        <w:pStyle w:val="TextoNormal"/>
      </w:pPr>
    </w:p>
    <w:p w:rsidR="005728DD" w:rsidRDefault="005728DD" w:rsidP="005728DD">
      <w:pPr>
        <w:pStyle w:val="TextoNormal"/>
      </w:pPr>
      <w:r>
        <w:t>Se atribuía al Parlament, a propuesta del Gobierno de la Generalidad, una vez oída la Sala de Gobierno del Tribunal Supremo, el nombramiento del fiscal general de Cataluña.</w:t>
      </w:r>
    </w:p>
    <w:p w:rsidR="005728DD" w:rsidRDefault="005728DD" w:rsidP="005728DD">
      <w:pPr>
        <w:pStyle w:val="TextoNormal"/>
      </w:pPr>
    </w:p>
    <w:p w:rsidR="005728DD" w:rsidRDefault="005728DD" w:rsidP="005728DD">
      <w:pPr>
        <w:pStyle w:val="TextoNormal"/>
      </w:pPr>
      <w:r>
        <w:t>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005728DD" w:rsidRDefault="005728DD" w:rsidP="005728DD">
      <w:pPr>
        <w:pStyle w:val="TextoNormal"/>
      </w:pPr>
    </w:p>
    <w:p w:rsidR="005728DD" w:rsidRDefault="005728DD" w:rsidP="005728DD">
      <w:pPr>
        <w:pStyle w:val="TextoNormal"/>
      </w:pPr>
      <w:r>
        <w:t>2. La Ley 19/2017, 6 de septiembre, reguladora del llamado referéndum de autodeterminación, fue publicada en el ‘Diario Oficial de la Generalitat’ núm. 7449A, de 6 de septiembre de 2017.</w:t>
      </w:r>
    </w:p>
    <w:p w:rsidR="005728DD" w:rsidRDefault="005728DD" w:rsidP="005728DD">
      <w:pPr>
        <w:pStyle w:val="TextoNormal"/>
      </w:pPr>
    </w:p>
    <w:p w:rsidR="005728DD" w:rsidRDefault="005728DD" w:rsidP="005728DD">
      <w:pPr>
        <w:pStyle w:val="TextoNormal"/>
      </w:pPr>
      <w:r>
        <w:t>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005728DD" w:rsidRDefault="005728DD" w:rsidP="005728DD">
      <w:pPr>
        <w:pStyle w:val="TextoNormal"/>
      </w:pPr>
    </w:p>
    <w:p w:rsidR="005728DD" w:rsidRDefault="005728DD" w:rsidP="005728DD">
      <w:pPr>
        <w:pStyle w:val="TextoNormal"/>
      </w:pPr>
      <w:r>
        <w:t>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005728DD" w:rsidRDefault="005728DD" w:rsidP="005728DD">
      <w:pPr>
        <w:pStyle w:val="TextoNormal"/>
      </w:pPr>
    </w:p>
    <w:p w:rsidR="005728DD" w:rsidRDefault="005728DD" w:rsidP="005728DD">
      <w:pPr>
        <w:pStyle w:val="TextoNormal"/>
      </w:pPr>
      <w: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w:t>
      </w:r>
      <w:r>
        <w:lastRenderedPageBreak/>
        <w:t>depositara su voto estaría contribuyendo al acto fundacional de la República independiente de Cataluña. Ese acuerdo implicaba un reparto funcional entre sus protagonistas. Dña. Carme Forcadell Lluis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i Solé, Consejera de Gobernación, Administraciones Públicas y Vivienda; y D. Carles Mundó i Blanch, Consejero de Justicia.</w:t>
      </w:r>
    </w:p>
    <w:p w:rsidR="005728DD" w:rsidRDefault="005728DD" w:rsidP="005728DD">
      <w:pPr>
        <w:pStyle w:val="TextoNormal"/>
      </w:pPr>
    </w:p>
    <w:p w:rsidR="005728DD" w:rsidRDefault="005728DD" w:rsidP="005728DD">
      <w:pPr>
        <w:pStyle w:val="TextoNormal"/>
      </w:pPr>
      <w:r>
        <w:t>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005728DD" w:rsidRDefault="005728DD" w:rsidP="005728DD">
      <w:pPr>
        <w:pStyle w:val="TextoNormal"/>
      </w:pPr>
    </w:p>
    <w:p w:rsidR="005728DD" w:rsidRDefault="005728DD" w:rsidP="005728DD">
      <w:pPr>
        <w:pStyle w:val="TextoNormal"/>
      </w:pPr>
      <w:r>
        <w:t>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Sánchez Picanyol y D. Jordi Cuixart Navarro. Eran los líderes respectivos de la Asamblea Nacional Catalana (en adelante, ANC) y de Omnium Cultural (en adelante, OC), organizaciones ciudadanas que fueron puestas por sus dos principales dirigentes al servicio de la maniobra de presión política que había sido ideada de forma concertada con el resto de los acusados.</w:t>
      </w:r>
    </w:p>
    <w:p w:rsidR="005728DD" w:rsidRDefault="005728DD" w:rsidP="005728DD">
      <w:pPr>
        <w:pStyle w:val="TextoNormal"/>
      </w:pPr>
    </w:p>
    <w:p w:rsidR="005728DD" w:rsidRDefault="005728DD" w:rsidP="005728DD">
      <w:pPr>
        <w:pStyle w:val="TextoNormal"/>
      </w:pPr>
      <w: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w:t>
      </w:r>
      <w:r w:rsidRPr="005728DD">
        <w:rPr>
          <w:i/>
        </w:rPr>
        <w:t>ope legis</w:t>
      </w:r>
      <w:r>
        <w:t xml:space="preserve"> la independencia de Cataluña, a la que debería seguir una declaración formal del Parlament, concretando sus efectos e iniciando el proceso constituyente.</w:t>
      </w:r>
    </w:p>
    <w:p w:rsidR="005728DD" w:rsidRDefault="005728DD" w:rsidP="005728DD">
      <w:pPr>
        <w:pStyle w:val="TextoNormal"/>
      </w:pPr>
    </w:p>
    <w:p w:rsidR="005728DD" w:rsidRDefault="005728DD" w:rsidP="005728DD">
      <w:pPr>
        <w:pStyle w:val="TextoNormal"/>
      </w:pPr>
      <w:r>
        <w:t>Según los datos hechos públicos por el gobierno de la Generalitat, el referéndum arrojó el siguiente resultado: de un total de 5 500 000 personas con derecho a voto, la cifra total de votantes ascendió a 2 286 217 personas. Se contabilizaron 2 044 058 votos favorables al ‘SÍ’, cifra esta que representaba el 37 por 100 del censo electoral y poco más de una cuarta parte (el 27 por 100) de la población total de Cataluña en esas fechas.</w:t>
      </w:r>
    </w:p>
    <w:p w:rsidR="005728DD" w:rsidRDefault="005728DD" w:rsidP="005728DD">
      <w:pPr>
        <w:pStyle w:val="TextoNormal"/>
      </w:pPr>
    </w:p>
    <w:p w:rsidR="005728DD" w:rsidRDefault="005728DD" w:rsidP="005728DD">
      <w:pPr>
        <w:pStyle w:val="TextoNormal"/>
      </w:pPr>
      <w:r>
        <w:t>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005728DD" w:rsidRDefault="005728DD" w:rsidP="005728DD">
      <w:pPr>
        <w:pStyle w:val="TextoNormal"/>
      </w:pPr>
    </w:p>
    <w:p w:rsidR="005728DD" w:rsidRDefault="005728DD" w:rsidP="005728DD">
      <w:pPr>
        <w:pStyle w:val="TextoNormal"/>
      </w:pPr>
      <w:r>
        <w:lastRenderedPageBreak/>
        <w:t>La inexistencia de un censo con garantías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005728DD" w:rsidRDefault="005728DD" w:rsidP="005728DD">
      <w:pPr>
        <w:pStyle w:val="TextoNormal"/>
      </w:pPr>
    </w:p>
    <w:p w:rsidR="005728DD" w:rsidRDefault="005728DD" w:rsidP="005728DD">
      <w:pPr>
        <w:pStyle w:val="TextoNormal"/>
      </w:pPr>
      <w:r>
        <w:t>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005728DD" w:rsidRDefault="005728DD" w:rsidP="005728DD">
      <w:pPr>
        <w:pStyle w:val="TextoNormal"/>
      </w:pPr>
    </w:p>
    <w:p w:rsidR="005728DD" w:rsidRDefault="005728DD" w:rsidP="005728DD">
      <w:pPr>
        <w:pStyle w:val="TextoNormal"/>
      </w:pPr>
      <w:r>
        <w:t>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005728DD" w:rsidRDefault="005728DD" w:rsidP="005728DD">
      <w:pPr>
        <w:pStyle w:val="TextoNormal"/>
      </w:pPr>
    </w:p>
    <w:p w:rsidR="005728DD" w:rsidRDefault="005728DD" w:rsidP="005728DD">
      <w:pPr>
        <w:pStyle w:val="TextoNormal"/>
      </w:pPr>
      <w:r>
        <w:t>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005728DD" w:rsidRDefault="005728DD" w:rsidP="005728DD">
      <w:pPr>
        <w:pStyle w:val="TextoNormal"/>
      </w:pPr>
    </w:p>
    <w:p w:rsidR="005728DD" w:rsidRDefault="005728DD" w:rsidP="005728DD">
      <w:pPr>
        <w:pStyle w:val="TextoNormal"/>
      </w:pPr>
      <w:r>
        <w:t>2º) Que, por tanto, carecen de todo valor los que se vienen presentando como resultados del llamado referéndum de autodeterminación.</w:t>
      </w:r>
    </w:p>
    <w:p w:rsidR="005728DD" w:rsidRDefault="005728DD" w:rsidP="005728DD">
      <w:pPr>
        <w:pStyle w:val="TextoNormal"/>
      </w:pPr>
    </w:p>
    <w:p w:rsidR="005728DD" w:rsidRDefault="005728DD" w:rsidP="005728DD">
      <w:pPr>
        <w:pStyle w:val="TextoNormal"/>
      </w:pPr>
      <w:r>
        <w:t>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5728DD" w:rsidRDefault="005728DD" w:rsidP="005728DD">
      <w:pPr>
        <w:pStyle w:val="TextoNormal"/>
      </w:pPr>
    </w:p>
    <w:p w:rsidR="005728DD" w:rsidRDefault="005728DD" w:rsidP="005728DD">
      <w:pPr>
        <w:pStyle w:val="TextoNormal"/>
      </w:pPr>
      <w:r>
        <w:lastRenderedPageBreak/>
        <w:t>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005728DD" w:rsidRDefault="005728DD" w:rsidP="005728DD">
      <w:pPr>
        <w:pStyle w:val="TextoNormal"/>
      </w:pPr>
    </w:p>
    <w:p w:rsidR="005728DD" w:rsidRDefault="005728DD" w:rsidP="005728DD">
      <w:pPr>
        <w:pStyle w:val="TextoNormal"/>
      </w:pPr>
      <w:r>
        <w:t>La suscripción de este documento se realizó fuera del Salón de Plenos de la Cámara.</w:t>
      </w:r>
    </w:p>
    <w:p w:rsidR="005728DD" w:rsidRDefault="005728DD" w:rsidP="005728DD">
      <w:pPr>
        <w:pStyle w:val="TextoNormal"/>
      </w:pPr>
    </w:p>
    <w:p w:rsidR="005728DD" w:rsidRDefault="005728DD" w:rsidP="005728DD">
      <w:pPr>
        <w:pStyle w:val="TextoNormal"/>
      </w:pPr>
      <w:r>
        <w:t>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005728DD" w:rsidRDefault="005728DD" w:rsidP="005728DD">
      <w:pPr>
        <w:pStyle w:val="TextoNormal"/>
      </w:pPr>
    </w:p>
    <w:p w:rsidR="005728DD" w:rsidRDefault="005728DD" w:rsidP="005728DD">
      <w:pPr>
        <w:pStyle w:val="TextoNormal"/>
      </w:pPr>
      <w:r>
        <w:t>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005728DD" w:rsidRDefault="005728DD" w:rsidP="005728DD">
      <w:pPr>
        <w:pStyle w:val="TextoNormal"/>
      </w:pPr>
    </w:p>
    <w:p w:rsidR="005728DD" w:rsidRDefault="005728DD" w:rsidP="005728DD">
      <w:pPr>
        <w:pStyle w:val="TextoNormal"/>
      </w:pPr>
      <w:r>
        <w:t>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005728DD" w:rsidRDefault="005728DD" w:rsidP="005728DD">
      <w:pPr>
        <w:pStyle w:val="TextoNormal"/>
      </w:pPr>
    </w:p>
    <w:p w:rsidR="005728DD" w:rsidRDefault="005728DD" w:rsidP="005728DD">
      <w:pPr>
        <w:pStyle w:val="TextoNormal"/>
      </w:pPr>
      <w:r>
        <w:t>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5728DD" w:rsidRDefault="005728DD" w:rsidP="005728DD">
      <w:pPr>
        <w:pStyle w:val="TextoNormal"/>
      </w:pPr>
    </w:p>
    <w:p w:rsidR="005728DD" w:rsidRDefault="005728DD" w:rsidP="005728DD">
      <w:pPr>
        <w:pStyle w:val="TextoNormal"/>
      </w:pPr>
      <w:r>
        <w:lastRenderedPageBreak/>
        <w:t>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5728DD" w:rsidRDefault="005728DD" w:rsidP="005728DD">
      <w:pPr>
        <w:pStyle w:val="TextoNormal"/>
      </w:pPr>
    </w:p>
    <w:p w:rsidR="005728DD" w:rsidRDefault="005728DD" w:rsidP="005728DD">
      <w:pPr>
        <w:pStyle w:val="TextoNormal"/>
      </w:pPr>
      <w:r>
        <w:t>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005728DD" w:rsidRDefault="005728DD" w:rsidP="005728DD">
      <w:pPr>
        <w:pStyle w:val="TextoNormal"/>
      </w:pPr>
    </w:p>
    <w:p w:rsidR="005728DD" w:rsidRDefault="005728DD" w:rsidP="005728DD">
      <w:pPr>
        <w:pStyle w:val="TextoNormal"/>
      </w:pPr>
      <w:r>
        <w:t>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 —en adelante, ‘DOGC’— 6 de septiembre de 2017), y 20/2017, de 8 de septiembre, de transitoriedad jurídica y fundacional de la república (‘DOGC’ de 8 de septiembre de 2017).</w:t>
      </w:r>
    </w:p>
    <w:p w:rsidR="005728DD" w:rsidRDefault="005728DD" w:rsidP="005728DD">
      <w:pPr>
        <w:pStyle w:val="TextoNormal"/>
      </w:pPr>
    </w:p>
    <w:p w:rsidR="005728DD" w:rsidRDefault="005728DD" w:rsidP="005728DD">
      <w:pPr>
        <w:pStyle w:val="TextoNormal"/>
      </w:pPr>
      <w:r>
        <w:t>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005728DD" w:rsidRDefault="005728DD" w:rsidP="005728DD">
      <w:pPr>
        <w:pStyle w:val="TextoNormal"/>
      </w:pPr>
    </w:p>
    <w:p w:rsidR="005728DD" w:rsidRDefault="005728DD" w:rsidP="005728DD">
      <w:pPr>
        <w:pStyle w:val="TextoNormal"/>
      </w:pPr>
      <w:r>
        <w:t>Ambas leyes fueron recurridas por el Gobierno del Estado y suspendidas por el Tribunal Constitucional mediante providencias de 7 de septiembre de 2017. La Ley 19/2017 fue finalmente declarada nula por STC 114/2017, de 17 octubre, e igualmente se declaró la nuli</w:t>
      </w:r>
      <w:r>
        <w:lastRenderedPageBreak/>
        <w:t>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005728DD" w:rsidRDefault="005728DD" w:rsidP="005728DD">
      <w:pPr>
        <w:pStyle w:val="TextoNormal"/>
      </w:pPr>
    </w:p>
    <w:p w:rsidR="005728DD" w:rsidRDefault="005728DD" w:rsidP="005728DD">
      <w:pPr>
        <w:pStyle w:val="TextoNormal"/>
      </w:pPr>
      <w:r>
        <w:t>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005728DD" w:rsidRDefault="005728DD" w:rsidP="005728DD">
      <w:pPr>
        <w:pStyle w:val="TextoNormal"/>
      </w:pPr>
    </w:p>
    <w:p w:rsidR="005728DD" w:rsidRDefault="005728DD" w:rsidP="005728DD">
      <w:pPr>
        <w:pStyle w:val="TextoNormal"/>
      </w:pPr>
      <w:r>
        <w:t>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5728DD" w:rsidRDefault="005728DD" w:rsidP="005728DD">
      <w:pPr>
        <w:pStyle w:val="TextoNormal"/>
      </w:pPr>
    </w:p>
    <w:p w:rsidR="005728DD" w:rsidRDefault="005728DD" w:rsidP="005728DD">
      <w:pPr>
        <w:pStyle w:val="TextoNormal"/>
      </w:pPr>
      <w:r>
        <w:t>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005728DD" w:rsidRDefault="005728DD" w:rsidP="005728DD">
      <w:pPr>
        <w:pStyle w:val="TextoNormal"/>
      </w:pPr>
    </w:p>
    <w:p w:rsidR="005728DD" w:rsidRDefault="005728DD" w:rsidP="005728DD">
      <w:pPr>
        <w:pStyle w:val="TextoNormal"/>
      </w:pPr>
      <w:r>
        <w:t>Fue admitida a trámite por la mesa e impugnada ante el Tribunal Constitucional que, mediante su sentencia 259/2015, de 2 diciembre, la declaró inconstitucional.</w:t>
      </w:r>
    </w:p>
    <w:p w:rsidR="005728DD" w:rsidRDefault="005728DD" w:rsidP="005728DD">
      <w:pPr>
        <w:pStyle w:val="TextoNormal"/>
      </w:pPr>
    </w:p>
    <w:p w:rsidR="005728DD" w:rsidRDefault="005728DD" w:rsidP="005728DD">
      <w:pPr>
        <w:pStyle w:val="TextoNormal"/>
      </w:pPr>
      <w:r>
        <w:t>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005728DD" w:rsidRDefault="005728DD" w:rsidP="005728DD">
      <w:pPr>
        <w:pStyle w:val="TextoNormal"/>
      </w:pPr>
    </w:p>
    <w:p w:rsidR="005728DD" w:rsidRDefault="005728DD" w:rsidP="005728DD">
      <w:pPr>
        <w:pStyle w:val="TextoNormal"/>
      </w:pPr>
      <w:r>
        <w:t>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005728DD" w:rsidRDefault="005728DD" w:rsidP="005728DD">
      <w:pPr>
        <w:pStyle w:val="TextoNormal"/>
      </w:pPr>
    </w:p>
    <w:p w:rsidR="005728DD" w:rsidRDefault="005728DD" w:rsidP="005728DD">
      <w:pPr>
        <w:pStyle w:val="TextoNormal"/>
      </w:pPr>
      <w:r>
        <w:lastRenderedPageBreak/>
        <w:t>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005728DD" w:rsidRDefault="005728DD" w:rsidP="005728DD">
      <w:pPr>
        <w:pStyle w:val="TextoNormal"/>
      </w:pPr>
    </w:p>
    <w:p w:rsidR="005728DD" w:rsidRDefault="005728DD" w:rsidP="005728DD">
      <w:pPr>
        <w:pStyle w:val="TextoNormal"/>
      </w:pPr>
      <w:r>
        <w:t>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005728DD" w:rsidRDefault="005728DD" w:rsidP="005728DD">
      <w:pPr>
        <w:pStyle w:val="TextoNormal"/>
      </w:pPr>
    </w:p>
    <w:p w:rsidR="005728DD" w:rsidRDefault="005728DD" w:rsidP="005728DD">
      <w:pPr>
        <w:pStyle w:val="TextoNormal"/>
      </w:pPr>
      <w:r>
        <w:t>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005728DD" w:rsidRDefault="005728DD" w:rsidP="005728DD">
      <w:pPr>
        <w:pStyle w:val="TextoNormal"/>
      </w:pPr>
    </w:p>
    <w:p w:rsidR="005728DD" w:rsidRDefault="005728DD" w:rsidP="005728DD">
      <w:pPr>
        <w:pStyle w:val="TextoNormal"/>
      </w:pPr>
      <w:r>
        <w:t>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005728DD" w:rsidRDefault="005728DD" w:rsidP="005728DD">
      <w:pPr>
        <w:pStyle w:val="TextoNormal"/>
      </w:pPr>
    </w:p>
    <w:p w:rsidR="005728DD" w:rsidRDefault="005728DD" w:rsidP="005728DD">
      <w:pPr>
        <w:pStyle w:val="TextoNormal"/>
      </w:pPr>
      <w:r>
        <w:t>El Tribunal Europeo de Derechos Humanos de Estrasburgo ha inadmitido la demanda núm. 70219-17 promovida por una de las personas a la que se impusieron las multas coercitivas por formar parte de esa administración electoral, en decisió</w:t>
      </w:r>
      <w:r w:rsidRPr="005728DD">
        <w:rPr>
          <w:i/>
        </w:rPr>
        <w:t>n Aumatell i Arnau c. Espa</w:t>
      </w:r>
      <w:r>
        <w:t>ña de 11 de septiembre de 2018.</w:t>
      </w:r>
    </w:p>
    <w:p w:rsidR="005728DD" w:rsidRDefault="005728DD" w:rsidP="005728DD">
      <w:pPr>
        <w:pStyle w:val="TextoNormal"/>
      </w:pPr>
    </w:p>
    <w:p w:rsidR="005728DD" w:rsidRDefault="005728DD" w:rsidP="005728DD">
      <w:pPr>
        <w:pStyle w:val="TextoNormal"/>
      </w:pPr>
      <w:r>
        <w:t>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005728DD" w:rsidRDefault="005728DD" w:rsidP="005728DD">
      <w:pPr>
        <w:pStyle w:val="TextoNormal"/>
      </w:pPr>
    </w:p>
    <w:p w:rsidR="005728DD" w:rsidRDefault="005728DD" w:rsidP="005728DD">
      <w:pPr>
        <w:pStyle w:val="TextoNormal"/>
      </w:pPr>
      <w:r>
        <w:t>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005728DD" w:rsidRDefault="005728DD" w:rsidP="005728DD">
      <w:pPr>
        <w:pStyle w:val="TextoNormal"/>
      </w:pPr>
    </w:p>
    <w:p w:rsidR="005728DD" w:rsidRDefault="005728DD" w:rsidP="005728DD">
      <w:pPr>
        <w:pStyle w:val="TextoNormal"/>
      </w:pPr>
      <w:r>
        <w:t>El 6 de octubre de 2017, el Gobierno de la Generalitat, mediante una carta firmada por el Vicepresidente del Gobierno de la Generalitat D. Oriol Junqueras, su portavoz D. Jordi Turull y el consejero de Asuntos Exteriores D. Raül Romeva comunicó al Parlament el resultado del referéndum, afirmando que había ganado el ‘SÍ’ con un 90,18 por 100 de los votos emitidos.</w:t>
      </w:r>
    </w:p>
    <w:p w:rsidR="005728DD" w:rsidRDefault="005728DD" w:rsidP="005728DD">
      <w:pPr>
        <w:pStyle w:val="TextoNormal"/>
      </w:pPr>
    </w:p>
    <w:p w:rsidR="005728DD" w:rsidRDefault="005728DD" w:rsidP="005728DD">
      <w:pPr>
        <w:pStyle w:val="TextoNormal"/>
      </w:pPr>
      <w:r>
        <w:t>7.6. Con anterioridad, el impulso a lo que se presentaba como el camino hacia la independencia, con palmario incumplimiento de las bases de nuestro sistema normativo, había conocido otros hitos fundamentales.</w:t>
      </w:r>
    </w:p>
    <w:p w:rsidR="005728DD" w:rsidRDefault="005728DD" w:rsidP="005728DD">
      <w:pPr>
        <w:pStyle w:val="TextoNormal"/>
      </w:pPr>
    </w:p>
    <w:p w:rsidR="005728DD" w:rsidRDefault="005728DD" w:rsidP="005728DD">
      <w:pPr>
        <w:pStyle w:val="TextoNormal"/>
      </w:pPr>
      <w:r>
        <w:t>Así, el día 30 de marzo de 2015 se formalizó el concierto de actuación ilegal mediante el acuerdo de una ‘hoja de ruta’ respecto del proceso de independencia entre los partidos políticos Convergencia Democrática de Cataluña (representada por D. Josep Rull Andreu) y Esquerra Republicana de Cataluña, con las entidades soberanistas Ómnium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005728DD" w:rsidRDefault="005728DD" w:rsidP="005728DD">
      <w:pPr>
        <w:pStyle w:val="TextoNormal"/>
      </w:pPr>
    </w:p>
    <w:p w:rsidR="005728DD" w:rsidRDefault="005728DD" w:rsidP="005728DD">
      <w:pPr>
        <w:pStyle w:val="TextoNormal"/>
      </w:pPr>
      <w:r>
        <w:t>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005728DD" w:rsidRDefault="005728DD" w:rsidP="005728DD">
      <w:pPr>
        <w:pStyle w:val="TextoNormal"/>
      </w:pPr>
    </w:p>
    <w:p w:rsidR="005728DD" w:rsidRDefault="005728DD" w:rsidP="005728DD">
      <w:pPr>
        <w:pStyle w:val="TextoNormal"/>
      </w:pPr>
      <w:r>
        <w:t>El 12 de abril de 2015 la ANC —un mes antes de que el acusado D. Jordi Sánchez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005728DD" w:rsidRDefault="005728DD" w:rsidP="005728DD">
      <w:pPr>
        <w:pStyle w:val="TextoNormal"/>
      </w:pPr>
    </w:p>
    <w:p w:rsidR="005728DD" w:rsidRDefault="005728DD" w:rsidP="005728DD">
      <w:pPr>
        <w:pStyle w:val="TextoNormal"/>
      </w:pPr>
      <w:r>
        <w:lastRenderedPageBreak/>
        <w:t>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005728DD" w:rsidRDefault="005728DD" w:rsidP="005728DD">
      <w:pPr>
        <w:pStyle w:val="TextoNormal"/>
      </w:pPr>
    </w:p>
    <w:p w:rsidR="005728DD" w:rsidRDefault="005728DD" w:rsidP="005728DD">
      <w:pPr>
        <w:pStyle w:val="TextoNormal"/>
      </w:pPr>
      <w:r>
        <w:t>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005728DD" w:rsidRDefault="005728DD" w:rsidP="005728DD">
      <w:pPr>
        <w:pStyle w:val="TextoNormal"/>
      </w:pPr>
    </w:p>
    <w:p w:rsidR="005728DD" w:rsidRDefault="005728DD" w:rsidP="005728DD">
      <w:pPr>
        <w:pStyle w:val="TextoNormal"/>
      </w:pPr>
      <w:r>
        <w:t>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don Jordi Jané por el acusado don Joaquín Forn, para que respaldara sin reservas la celebración del referéndum. Unos días más tarde, ante el rumbo que tomaban los acontecimientos, también dimitió́ el hasta entonces Director General de Policía de la Generalitat, don Albert Batlle.</w:t>
      </w:r>
    </w:p>
    <w:p w:rsidR="005728DD" w:rsidRDefault="005728DD" w:rsidP="005728DD">
      <w:pPr>
        <w:pStyle w:val="TextoNormal"/>
      </w:pPr>
    </w:p>
    <w:p w:rsidR="005728DD" w:rsidRDefault="005728DD" w:rsidP="005728DD">
      <w:pPr>
        <w:pStyle w:val="TextoNormal"/>
      </w:pPr>
      <w:r>
        <w:t>Por el mismo motivo y en la misma época, fueron cesadas las consejeras de Enseñanza, Dña. Meritxell Ruiz Isem, y de la presidencia, doña Neus Munté Fernández, pasando a ocupar sus cargos doña Clara Ponsatí y el acusado don Jordi Turull. También en ese momento fue cesado el consejero de Industria don Jordi Baiget, a raíz de haber manifestado en una entrevista que consideraba una irresponsabilidad la celebración de un referéndum unilateral.</w:t>
      </w:r>
    </w:p>
    <w:p w:rsidR="005728DD" w:rsidRDefault="005728DD" w:rsidP="005728DD">
      <w:pPr>
        <w:pStyle w:val="TextoNormal"/>
      </w:pPr>
    </w:p>
    <w:p w:rsidR="005728DD" w:rsidRDefault="005728DD" w:rsidP="005728DD">
      <w:pPr>
        <w:pStyle w:val="TextoNormal"/>
      </w:pPr>
      <w:r>
        <w:t>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don Oriol Junqueras.</w:t>
      </w:r>
    </w:p>
    <w:p w:rsidR="005728DD" w:rsidRDefault="005728DD" w:rsidP="005728DD">
      <w:pPr>
        <w:pStyle w:val="TextoNormal"/>
      </w:pPr>
    </w:p>
    <w:p w:rsidR="005728DD" w:rsidRDefault="005728DD" w:rsidP="005728DD">
      <w:pPr>
        <w:pStyle w:val="TextoNormal"/>
      </w:pPr>
      <w:r>
        <w:t>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005728DD" w:rsidRDefault="005728DD" w:rsidP="005728DD">
      <w:pPr>
        <w:pStyle w:val="TextoNormal"/>
      </w:pPr>
    </w:p>
    <w:p w:rsidR="005728DD" w:rsidRDefault="005728DD" w:rsidP="005728DD">
      <w:pPr>
        <w:pStyle w:val="TextoNormal"/>
      </w:pPr>
      <w:r>
        <w:t xml:space="preserve">El mismo 6 de septiembre de 2017, a propuesta del Departamento de la Vicepresidencia y de Economía y Hacienda de la Generalitat de Cataluña, el Gobierno autonómico aprobó </w:t>
      </w:r>
      <w:r>
        <w:lastRenderedPageBreak/>
        <w:t>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don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5728DD" w:rsidRDefault="005728DD" w:rsidP="005728DD">
      <w:pPr>
        <w:pStyle w:val="TextoNormal"/>
      </w:pPr>
    </w:p>
    <w:p w:rsidR="005728DD" w:rsidRDefault="005728DD" w:rsidP="005728DD">
      <w:pPr>
        <w:pStyle w:val="TextoNormal"/>
      </w:pPr>
      <w:r>
        <w:t>8.4. En septiembre de 2017, la interventora general de la Generalidad dejó de remitir información al Ministerio de Hacienda comunicando que el vicepresidente y consejero de Economía y Hacienda, don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005728DD" w:rsidRDefault="005728DD" w:rsidP="005728DD">
      <w:pPr>
        <w:pStyle w:val="TextoNormal"/>
      </w:pPr>
    </w:p>
    <w:p w:rsidR="005728DD" w:rsidRDefault="005728DD" w:rsidP="005728DD">
      <w:pPr>
        <w:pStyle w:val="TextoNormal"/>
      </w:pPr>
      <w:r>
        <w:t>Mediante acuerdo del Gobierno de la Generalitat de fecha 7 de septiembre de 2017 —a propuesta del vicepresidente, don Oriol Junqueras, y de los consejeros de Presidencia, don Jordi Turull, y de Asuntos Institucionales y Exteriores, don Raül Romeva— se autorizó a los diferentes departamentos para que realizaran las acciones y contrataciones necesarias para la realización del referéndum.</w:t>
      </w:r>
    </w:p>
    <w:p w:rsidR="005728DD" w:rsidRDefault="005728DD" w:rsidP="005728DD">
      <w:pPr>
        <w:pStyle w:val="TextoNormal"/>
      </w:pPr>
    </w:p>
    <w:p w:rsidR="005728DD" w:rsidRDefault="005728DD" w:rsidP="005728DD">
      <w:pPr>
        <w:pStyle w:val="TextoNormal"/>
      </w:pPr>
      <w:r>
        <w:lastRenderedPageBreak/>
        <w:t>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005728DD" w:rsidRDefault="005728DD" w:rsidP="005728DD">
      <w:pPr>
        <w:pStyle w:val="TextoNormal"/>
      </w:pPr>
    </w:p>
    <w:p w:rsidR="005728DD" w:rsidRDefault="005728DD" w:rsidP="005728DD">
      <w:pPr>
        <w:pStyle w:val="TextoNormal"/>
      </w:pPr>
      <w:r>
        <w:t>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005728DD" w:rsidRDefault="005728DD" w:rsidP="005728DD">
      <w:pPr>
        <w:pStyle w:val="TextoNormal"/>
      </w:pPr>
    </w:p>
    <w:p w:rsidR="005728DD" w:rsidRDefault="005728DD" w:rsidP="005728DD">
      <w:pPr>
        <w:pStyle w:val="TextoNormal"/>
      </w:pPr>
      <w:r>
        <w:t>Añadía el último apartado que ‘las decisiones y actuaciones nombradas serán tomadas de forma colectiva y colegiada por parte de los miembros del Gobierno, y asumidas de manera solidaria’.</w:t>
      </w:r>
    </w:p>
    <w:p w:rsidR="005728DD" w:rsidRDefault="005728DD" w:rsidP="005728DD">
      <w:pPr>
        <w:pStyle w:val="TextoNormal"/>
      </w:pPr>
    </w:p>
    <w:p w:rsidR="005728DD" w:rsidRDefault="005728DD" w:rsidP="005728DD">
      <w:pPr>
        <w:pStyle w:val="TextoNormal"/>
      </w:pPr>
      <w:r>
        <w:t>9. Los acusados don Jordi Sánchez Picanyol y don Jordi Cuixart Navarro eran los líderes respectivos de la Asamblea Nacional Catalana (ANC) y Omnium Cultural (OC). Su contribución resultaba decisiva para los fines ideados. Ambas asociaciones cuentan con una amplia e histórica trayectoria de movilización popular. Los señores. Sánchez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005728DD" w:rsidRDefault="005728DD" w:rsidP="005728DD">
      <w:pPr>
        <w:pStyle w:val="TextoNormal"/>
      </w:pPr>
    </w:p>
    <w:p w:rsidR="005728DD" w:rsidRDefault="005728DD" w:rsidP="005728DD">
      <w:pPr>
        <w:pStyle w:val="TextoNormal"/>
      </w:pPr>
      <w:r>
        <w:t xml:space="preserve">El día 20 de septiembre de 2017, los acusados don Jordi Sánchez Picanyol y don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w:t>
      </w:r>
      <w:r>
        <w:lastRenderedPageBreak/>
        <w:t>agentes del Grupo de Policía Judicial de la Guardia Civil de Barcelona, por orden del Juzgado de Instrucción num.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005728DD" w:rsidRDefault="005728DD" w:rsidP="005728DD">
      <w:pPr>
        <w:pStyle w:val="TextoNormal"/>
      </w:pPr>
    </w:p>
    <w:p w:rsidR="005728DD" w:rsidRDefault="005728DD" w:rsidP="005728DD">
      <w:pPr>
        <w:pStyle w:val="TextoNormal"/>
      </w:pPr>
      <w:r>
        <w:t>Las entidades ANC y OC, a través de la página web ‘www.crídademocracia.cat’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005728DD" w:rsidRDefault="005728DD" w:rsidP="005728DD">
      <w:pPr>
        <w:pStyle w:val="TextoNormal"/>
      </w:pPr>
    </w:p>
    <w:p w:rsidR="005728DD" w:rsidRDefault="005728DD" w:rsidP="005728DD">
      <w:pPr>
        <w:pStyle w:val="TextoNormal"/>
      </w:pPr>
      <w:r>
        <w:t>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005728DD" w:rsidRDefault="005728DD" w:rsidP="005728DD">
      <w:pPr>
        <w:pStyle w:val="TextoNormal"/>
      </w:pPr>
    </w:p>
    <w:p w:rsidR="005728DD" w:rsidRDefault="005728DD" w:rsidP="005728DD">
      <w:pPr>
        <w:pStyle w:val="TextoNormal"/>
      </w:pPr>
      <w:r>
        <w:t>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005728DD" w:rsidRDefault="005728DD" w:rsidP="005728DD">
      <w:pPr>
        <w:pStyle w:val="TextoNormal"/>
      </w:pPr>
    </w:p>
    <w:p w:rsidR="005728DD" w:rsidRDefault="005728DD" w:rsidP="005728DD">
      <w:pPr>
        <w:pStyle w:val="TextoNormal"/>
      </w:pPr>
      <w:r>
        <w:t>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005728DD" w:rsidRDefault="005728DD" w:rsidP="005728DD">
      <w:pPr>
        <w:pStyle w:val="TextoNormal"/>
      </w:pPr>
    </w:p>
    <w:p w:rsidR="005728DD" w:rsidRDefault="005728DD" w:rsidP="005728DD">
      <w:pPr>
        <w:pStyle w:val="TextoNormal"/>
      </w:pPr>
      <w:r>
        <w:t>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5728DD" w:rsidRDefault="005728DD" w:rsidP="005728DD">
      <w:pPr>
        <w:pStyle w:val="TextoNormal"/>
      </w:pPr>
    </w:p>
    <w:p w:rsidR="005728DD" w:rsidRDefault="005728DD" w:rsidP="005728DD">
      <w:pPr>
        <w:pStyle w:val="TextoNormal"/>
      </w:pPr>
      <w:r>
        <w:lastRenderedPageBreak/>
        <w:t>Las entidades sociales que animaban la convocatoria montaron una tarima y repartieron agua y bocadillos entre los asistentes.</w:t>
      </w:r>
    </w:p>
    <w:p w:rsidR="005728DD" w:rsidRDefault="005728DD" w:rsidP="005728DD">
      <w:pPr>
        <w:pStyle w:val="TextoNormal"/>
      </w:pPr>
    </w:p>
    <w:p w:rsidR="005728DD" w:rsidRDefault="005728DD" w:rsidP="005728DD">
      <w:pPr>
        <w:pStyle w:val="TextoNormal"/>
      </w:pPr>
      <w:r>
        <w:t>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005728DD" w:rsidRDefault="005728DD" w:rsidP="005728DD">
      <w:pPr>
        <w:pStyle w:val="TextoNormal"/>
      </w:pPr>
    </w:p>
    <w:p w:rsidR="005728DD" w:rsidRDefault="005728DD" w:rsidP="005728DD">
      <w:pPr>
        <w:pStyle w:val="TextoNormal"/>
      </w:pPr>
      <w:r>
        <w:t>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horas de la madrugada del día 21 de septiembre, y el otro a las 07:00 horas de esa misma fecha.</w:t>
      </w:r>
    </w:p>
    <w:p w:rsidR="005728DD" w:rsidRDefault="005728DD" w:rsidP="005728DD">
      <w:pPr>
        <w:pStyle w:val="TextoNormal"/>
      </w:pPr>
    </w:p>
    <w:p w:rsidR="005728DD" w:rsidRDefault="005728DD" w:rsidP="005728DD">
      <w:pPr>
        <w:pStyle w:val="TextoNormal"/>
      </w:pPr>
      <w:r>
        <w:t>La efectiva dispersión de los últimos manifestantes tuvo lugar, ya entrada la madrugada, a raíz de unas cargas policiales ejecutadas por la brigada antidisturbios de los ‘Mossos’.</w:t>
      </w:r>
    </w:p>
    <w:p w:rsidR="005728DD" w:rsidRDefault="005728DD" w:rsidP="005728DD">
      <w:pPr>
        <w:pStyle w:val="TextoNormal"/>
      </w:pPr>
    </w:p>
    <w:p w:rsidR="005728DD" w:rsidRDefault="005728DD" w:rsidP="005728DD">
      <w:pPr>
        <w:pStyle w:val="TextoNormal"/>
      </w:pPr>
      <w:r>
        <w:t>Durante los disturbios, el acusado D. Jordi Sánchez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005728DD" w:rsidRDefault="005728DD" w:rsidP="005728DD">
      <w:pPr>
        <w:pStyle w:val="TextoNormal"/>
      </w:pPr>
    </w:p>
    <w:p w:rsidR="005728DD" w:rsidRDefault="005728DD" w:rsidP="005728DD">
      <w:pPr>
        <w:pStyle w:val="TextoNormal"/>
      </w:pPr>
      <w:r>
        <w:t>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Sánchez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005728DD" w:rsidRDefault="005728DD" w:rsidP="005728DD">
      <w:pPr>
        <w:pStyle w:val="TextoNormal"/>
      </w:pPr>
    </w:p>
    <w:p w:rsidR="005728DD" w:rsidRDefault="005728DD" w:rsidP="005728DD">
      <w:pPr>
        <w:pStyle w:val="TextoNormal"/>
      </w:pPr>
      <w:r>
        <w:t>Desde la llegada al lugar del acusado D. Jordi Cuixart, este y D. Jordi Sánchez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005728DD" w:rsidRDefault="005728DD" w:rsidP="005728DD">
      <w:pPr>
        <w:pStyle w:val="TextoNormal"/>
      </w:pPr>
    </w:p>
    <w:p w:rsidR="005728DD" w:rsidRDefault="005728DD" w:rsidP="005728DD">
      <w:pPr>
        <w:pStyle w:val="TextoNormal"/>
      </w:pPr>
      <w:r>
        <w:lastRenderedPageBreak/>
        <w:t>Tras esta intervención, tomó la palabra el acusado D. Jordi Sánchez,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005728DD" w:rsidRDefault="005728DD" w:rsidP="005728DD">
      <w:pPr>
        <w:pStyle w:val="TextoNormal"/>
      </w:pPr>
    </w:p>
    <w:p w:rsidR="005728DD" w:rsidRDefault="005728DD" w:rsidP="005728DD">
      <w:pPr>
        <w:pStyle w:val="TextoNormal"/>
      </w:pPr>
      <w:r>
        <w:t>Sobre las 23:41 horas, ambos acusados D. Jordi Sánchez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‘desde ese altar’ —en clara referencia al vehículo policial— el Sr. Sánchez y él querían convocar a todos los asistentes a una movilización permanente en defensa de los detenidos, emplazándoles a una concentración que tendría lugar a las 12:00 horas del día siguiente, en el Tribunal Superior de Justicia de Cataluña. Por su parte, D. Jordi Sánchez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005728DD" w:rsidRDefault="005728DD" w:rsidP="005728DD">
      <w:pPr>
        <w:pStyle w:val="TextoNormal"/>
      </w:pPr>
    </w:p>
    <w:p w:rsidR="005728DD" w:rsidRDefault="005728DD" w:rsidP="005728DD">
      <w:pPr>
        <w:pStyle w:val="TextoNormal"/>
      </w:pPr>
      <w:r>
        <w:t>Estos actos fueron promovidos, dirigidos y queridos por los acusados Sres. Sánchez y Cuixart, que mantuvieron la convocatoria hasta las 00:00 horas — momento en el que se había fijado y comunicado previamente su finalización—, llamando entonces a la manifestación permanente y a presentarse a exigir la libertad de los detenidos al día siguiente ante el Tribunal Superior de Justicia de Cataluña.</w:t>
      </w:r>
    </w:p>
    <w:p w:rsidR="005728DD" w:rsidRDefault="005728DD" w:rsidP="005728DD">
      <w:pPr>
        <w:pStyle w:val="TextoNormal"/>
      </w:pPr>
    </w:p>
    <w:p w:rsidR="005728DD" w:rsidRDefault="005728DD" w:rsidP="005728DD">
      <w:pPr>
        <w:pStyle w:val="TextoNormal"/>
      </w:pPr>
      <w:r>
        <w:t>9.1. Hechos similares orientados a impedir el funcionamiento normal de la administración de justicia tuvieron lugar con ocasión de otros registros y detenciones acordadas por el Juzgado de Instrucción núm. 13 citado.</w:t>
      </w:r>
    </w:p>
    <w:p w:rsidR="005728DD" w:rsidRDefault="005728DD" w:rsidP="005728DD">
      <w:pPr>
        <w:pStyle w:val="TextoNormal"/>
      </w:pPr>
    </w:p>
    <w:p w:rsidR="005728DD" w:rsidRDefault="005728DD" w:rsidP="005728DD">
      <w:pPr>
        <w:pStyle w:val="TextoNormal"/>
      </w:pPr>
      <w:r>
        <w:t>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005728DD" w:rsidRDefault="005728DD" w:rsidP="005728DD">
      <w:pPr>
        <w:pStyle w:val="TextoNormal"/>
      </w:pPr>
    </w:p>
    <w:p w:rsidR="005728DD" w:rsidRDefault="005728DD" w:rsidP="005728DD">
      <w:pPr>
        <w:pStyle w:val="TextoNormal"/>
      </w:pPr>
      <w:r>
        <w:lastRenderedPageBreak/>
        <w:t>Los acusados Sres. Junqueras, Turull, Rull, Romeva, Forn, Sánchez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5728DD" w:rsidRDefault="005728DD" w:rsidP="005728DD">
      <w:pPr>
        <w:pStyle w:val="TextoNormal"/>
      </w:pPr>
    </w:p>
    <w:p w:rsidR="005728DD" w:rsidRDefault="005728DD" w:rsidP="005728DD">
      <w:pPr>
        <w:pStyle w:val="TextoNormal"/>
      </w:pPr>
      <w:r>
        <w:t>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Sánchez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005728DD" w:rsidRDefault="005728DD" w:rsidP="005728DD">
      <w:pPr>
        <w:pStyle w:val="TextoNormal"/>
      </w:pPr>
    </w:p>
    <w:p w:rsidR="005728DD" w:rsidRDefault="005728DD" w:rsidP="005728DD">
      <w:pPr>
        <w:pStyle w:val="TextoNormal"/>
      </w:pPr>
      <w:r>
        <w:t>9.2. El día 21 de septiembre de 2017 se congregaron frente a la sede del Tribunal Superior de Justicia de Cataluña unas 20000 personas, convocadas por los Sres. Sánchez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005728DD" w:rsidRDefault="005728DD" w:rsidP="005728DD">
      <w:pPr>
        <w:pStyle w:val="TextoNormal"/>
      </w:pPr>
    </w:p>
    <w:p w:rsidR="005728DD" w:rsidRDefault="005728DD" w:rsidP="005728DD">
      <w:pPr>
        <w:pStyle w:val="TextoNormal"/>
      </w:pPr>
      <w:r>
        <w:t>En el cuartel de la Guardia Civil en Travesera de Gracia, lugar donde los detenidos estaban custodiados, se congregaron 300 personas que llegaron a cortar la circulación.</w:t>
      </w:r>
    </w:p>
    <w:p w:rsidR="005728DD" w:rsidRDefault="005728DD" w:rsidP="005728DD">
      <w:pPr>
        <w:pStyle w:val="TextoNormal"/>
      </w:pPr>
    </w:p>
    <w:p w:rsidR="005728DD" w:rsidRDefault="005728DD" w:rsidP="005728DD">
      <w:pPr>
        <w:pStyle w:val="TextoNormal"/>
      </w:pPr>
      <w:r>
        <w:t>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005728DD" w:rsidRDefault="005728DD" w:rsidP="005728DD">
      <w:pPr>
        <w:pStyle w:val="TextoNormal"/>
      </w:pPr>
    </w:p>
    <w:p w:rsidR="005728DD" w:rsidRDefault="005728DD" w:rsidP="005728DD">
      <w:pPr>
        <w:pStyle w:val="TextoNormal"/>
      </w:pPr>
      <w:r>
        <w:t>En la Ciudad de la Justicia, cuando los detenidos fueron puestos a disposición judicial, se concentraron unas 2000 personas, entre las que se hallaban los acusados Sra. Forcadell y los Sres. Romeva y Junqueras.</w:t>
      </w:r>
    </w:p>
    <w:p w:rsidR="005728DD" w:rsidRDefault="005728DD" w:rsidP="005728DD">
      <w:pPr>
        <w:pStyle w:val="TextoNormal"/>
      </w:pPr>
    </w:p>
    <w:p w:rsidR="005728DD" w:rsidRDefault="005728DD" w:rsidP="005728DD">
      <w:pPr>
        <w:pStyle w:val="TextoNormal"/>
      </w:pPr>
      <w:r>
        <w:t>El 22 de septiembre de 2017 se produjeron concentraciones, con similar inspiración, ante los cuarteles de la Guardia Civil de Canovelles, Vilanova y Ripoll y se empapelaron las oficinas del DNI de la Policía Nacional de Barcelona.</w:t>
      </w:r>
    </w:p>
    <w:p w:rsidR="005728DD" w:rsidRDefault="005728DD" w:rsidP="005728DD">
      <w:pPr>
        <w:pStyle w:val="TextoNormal"/>
      </w:pPr>
    </w:p>
    <w:p w:rsidR="005728DD" w:rsidRDefault="005728DD" w:rsidP="005728DD">
      <w:pPr>
        <w:pStyle w:val="TextoNormal"/>
      </w:pPr>
      <w:r>
        <w:t>En relación con la votación, el día 1 de octubre los acusados D. Jordi Sánchez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005728DD" w:rsidRDefault="005728DD" w:rsidP="005728DD">
      <w:pPr>
        <w:pStyle w:val="TextoNormal"/>
      </w:pPr>
    </w:p>
    <w:p w:rsidR="005728DD" w:rsidRDefault="005728DD" w:rsidP="005728DD">
      <w:pPr>
        <w:pStyle w:val="TextoNormal"/>
      </w:pPr>
      <w:r>
        <w:t>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005728DD" w:rsidRDefault="005728DD" w:rsidP="005728DD">
      <w:pPr>
        <w:pStyle w:val="TextoNormal"/>
      </w:pPr>
    </w:p>
    <w:p w:rsidR="005728DD" w:rsidRDefault="005728DD" w:rsidP="005728DD">
      <w:pPr>
        <w:pStyle w:val="TextoNormal"/>
      </w:pPr>
      <w:r>
        <w:t>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005728DD" w:rsidRDefault="005728DD" w:rsidP="005728DD">
      <w:pPr>
        <w:pStyle w:val="TextoNormal"/>
      </w:pPr>
    </w:p>
    <w:p w:rsidR="005728DD" w:rsidRDefault="005728DD" w:rsidP="005728DD">
      <w:pPr>
        <w:pStyle w:val="TextoNormal"/>
      </w:pPr>
      <w:r>
        <w:t>Líbrense los oficios oportunos a los respectivos mandos de Mossos d’Esquadra, Guardia Civil y Policía Nacional’.</w:t>
      </w:r>
    </w:p>
    <w:p w:rsidR="005728DD" w:rsidRDefault="005728DD" w:rsidP="005728DD">
      <w:pPr>
        <w:pStyle w:val="TextoNormal"/>
      </w:pPr>
    </w:p>
    <w:p w:rsidR="005728DD" w:rsidRDefault="005728DD" w:rsidP="005728DD">
      <w:pPr>
        <w:pStyle w:val="TextoNormal"/>
      </w:pPr>
      <w:r>
        <w:lastRenderedPageBreak/>
        <w:t>En el Fundamento Jurídico 2º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005728DD" w:rsidRDefault="005728DD" w:rsidP="005728DD">
      <w:pPr>
        <w:pStyle w:val="TextoNormal"/>
      </w:pPr>
    </w:p>
    <w:p w:rsidR="005728DD" w:rsidRDefault="005728DD" w:rsidP="005728DD">
      <w:pPr>
        <w:pStyle w:val="TextoNormal"/>
      </w:pPr>
      <w:r>
        <w:t>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42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Lluis Trapero —jefe policial de los Mossos— de la posible concurrencia a la votación de 2 millones de personas, con el riesgo subsiguiente de graves incidentes entre agentes policiales y ciudadanos.</w:t>
      </w:r>
    </w:p>
    <w:p w:rsidR="005728DD" w:rsidRDefault="005728DD" w:rsidP="005728DD">
      <w:pPr>
        <w:pStyle w:val="TextoNormal"/>
      </w:pPr>
    </w:p>
    <w:p w:rsidR="005728DD" w:rsidRDefault="005728DD" w:rsidP="005728DD">
      <w:pPr>
        <w:pStyle w:val="TextoNormal"/>
      </w:pPr>
      <w:r>
        <w:t>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005728DD" w:rsidRDefault="005728DD" w:rsidP="005728DD">
      <w:pPr>
        <w:pStyle w:val="TextoNormal"/>
      </w:pPr>
    </w:p>
    <w:p w:rsidR="005728DD" w:rsidRDefault="005728DD" w:rsidP="005728DD">
      <w:pPr>
        <w:pStyle w:val="TextoNormal"/>
      </w:pPr>
      <w:r>
        <w:t>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005728DD" w:rsidRDefault="005728DD" w:rsidP="005728DD">
      <w:pPr>
        <w:pStyle w:val="TextoNormal"/>
      </w:pPr>
    </w:p>
    <w:p w:rsidR="005728DD" w:rsidRDefault="005728DD" w:rsidP="005728DD">
      <w:pPr>
        <w:pStyle w:val="TextoNormal"/>
      </w:pPr>
      <w:r>
        <w:lastRenderedPageBreak/>
        <w:t>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005728DD" w:rsidRDefault="005728DD" w:rsidP="005728DD">
      <w:pPr>
        <w:pStyle w:val="TextoNormal"/>
      </w:pPr>
    </w:p>
    <w:p w:rsidR="005728DD" w:rsidRDefault="005728DD" w:rsidP="005728DD">
      <w:pPr>
        <w:pStyle w:val="TextoNormal"/>
      </w:pPr>
      <w:r>
        <w:t>Esa desleal actuación del acusado Sr. Forn tuvo como efecto que los centros no fueran sustraídos a la disponibilidad de los ciudadanos llamados a movilizarse para gestionar y hacer posible la jornada de votación. Con esa actitud se evidenció la firme decisión de la 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005728DD" w:rsidRDefault="005728DD" w:rsidP="005728DD">
      <w:pPr>
        <w:pStyle w:val="TextoNormal"/>
      </w:pPr>
    </w:p>
    <w:p w:rsidR="005728DD" w:rsidRDefault="005728DD" w:rsidP="005728DD">
      <w:pPr>
        <w:pStyle w:val="TextoNormal"/>
      </w:pPr>
      <w:r>
        <w:t>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005728DD" w:rsidRDefault="005728DD" w:rsidP="005728DD">
      <w:pPr>
        <w:pStyle w:val="TextoNormal"/>
      </w:pPr>
    </w:p>
    <w:p w:rsidR="005728DD" w:rsidRDefault="005728DD" w:rsidP="005728DD">
      <w:pPr>
        <w:pStyle w:val="TextoNormal"/>
      </w:pPr>
      <w:r>
        <w:t>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5728DD" w:rsidRDefault="005728DD" w:rsidP="005728DD">
      <w:pPr>
        <w:pStyle w:val="TextoNormal"/>
      </w:pPr>
    </w:p>
    <w:p w:rsidR="005728DD" w:rsidRDefault="005728DD" w:rsidP="005728DD">
      <w:pPr>
        <w:pStyle w:val="TextoNormal"/>
      </w:pPr>
      <w:r>
        <w:lastRenderedPageBreak/>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5728DD" w:rsidRDefault="005728DD" w:rsidP="005728DD">
      <w:pPr>
        <w:pStyle w:val="TextoNormal"/>
      </w:pPr>
    </w:p>
    <w:p w:rsidR="005728DD" w:rsidRDefault="005728DD" w:rsidP="005728DD">
      <w:pPr>
        <w:pStyle w:val="TextoNormal"/>
      </w:pPr>
      <w:r>
        <w:t>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005728DD" w:rsidRDefault="005728DD" w:rsidP="005728DD">
      <w:pPr>
        <w:pStyle w:val="TextoNormal"/>
      </w:pPr>
    </w:p>
    <w:p w:rsidR="005728DD" w:rsidRDefault="005728DD" w:rsidP="005728DD">
      <w:pPr>
        <w:pStyle w:val="TextoNormal"/>
      </w:pPr>
      <w:r>
        <w:t>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005728DD" w:rsidRDefault="005728DD" w:rsidP="005728DD">
      <w:pPr>
        <w:pStyle w:val="TextoNormal"/>
      </w:pPr>
    </w:p>
    <w:p w:rsidR="005728DD" w:rsidRDefault="005728DD" w:rsidP="005728DD">
      <w:pPr>
        <w:pStyle w:val="TextoNormal"/>
      </w:pPr>
      <w:r>
        <w:t>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5728DD" w:rsidRDefault="005728DD" w:rsidP="005728DD">
      <w:pPr>
        <w:pStyle w:val="TextoNormal"/>
      </w:pPr>
    </w:p>
    <w:p w:rsidR="005728DD" w:rsidRDefault="005728DD" w:rsidP="005728DD">
      <w:pPr>
        <w:pStyle w:val="TextoNormal"/>
      </w:pPr>
      <w:r>
        <w:t>A primeras horas de la tarde, dado que el uso de la fuerza podría devenir desproporcionado, los agentes de Policía Nacional y Guardia Civil recibieron órdenes y se vieron irremediablemente forzadas a declinar el propósito inicial.</w:t>
      </w:r>
    </w:p>
    <w:p w:rsidR="005728DD" w:rsidRDefault="005728DD" w:rsidP="005728DD">
      <w:pPr>
        <w:pStyle w:val="TextoNormal"/>
      </w:pPr>
    </w:p>
    <w:p w:rsidR="005728DD" w:rsidRDefault="005728DD" w:rsidP="005728DD">
      <w:pPr>
        <w:pStyle w:val="TextoNormal"/>
      </w:pPr>
      <w:r>
        <w:t>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w:t>
      </w:r>
      <w:r w:rsidRPr="005728DD">
        <w:rPr>
          <w:i/>
        </w:rPr>
        <w:t>o sup</w:t>
      </w:r>
      <w:r>
        <w:t>ra— inicialmente suspendidas y luego anuladas por el Tribunal Constitucional.</w:t>
      </w:r>
    </w:p>
    <w:p w:rsidR="005728DD" w:rsidRDefault="005728DD" w:rsidP="005728DD">
      <w:pPr>
        <w:pStyle w:val="TextoNormal"/>
      </w:pPr>
    </w:p>
    <w:p w:rsidR="005728DD" w:rsidRDefault="005728DD" w:rsidP="005728DD">
      <w:pPr>
        <w:pStyle w:val="TextoNormal"/>
      </w:pPr>
      <w:r>
        <w:t>Al socaire de la Ley del Parlament de Cataluña 4/2017, de 28 de marzo, de presupuestos de la Generalitat de Cataluña para 2017, se introdujeron durante su tramitación sendas enmiendas, que resultarían aprobadas como Disposición Adicional 40ª,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005728DD" w:rsidRDefault="005728DD" w:rsidP="005728DD">
      <w:pPr>
        <w:pStyle w:val="TextoNormal"/>
      </w:pPr>
    </w:p>
    <w:p w:rsidR="005728DD" w:rsidRDefault="005728DD" w:rsidP="005728DD">
      <w:pPr>
        <w:pStyle w:val="TextoNormal"/>
      </w:pPr>
      <w:r>
        <w:lastRenderedPageBreak/>
        <w:t>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005728DD" w:rsidRDefault="005728DD" w:rsidP="005728DD">
      <w:pPr>
        <w:pStyle w:val="TextoNormal"/>
      </w:pPr>
    </w:p>
    <w:p w:rsidR="005728DD" w:rsidRDefault="005728DD" w:rsidP="005728DD">
      <w:pPr>
        <w:pStyle w:val="TextoNormal"/>
      </w:pPr>
      <w:r>
        <w:t>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5728DD" w:rsidRDefault="005728DD" w:rsidP="005728DD">
      <w:pPr>
        <w:pStyle w:val="TextoNormal"/>
      </w:pPr>
    </w:p>
    <w:p w:rsidR="005728DD" w:rsidRDefault="005728DD" w:rsidP="005728DD">
      <w:pPr>
        <w:pStyle w:val="TextoNormal"/>
      </w:pPr>
      <w:r>
        <w:t>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005728DD" w:rsidRDefault="005728DD" w:rsidP="005728DD">
      <w:pPr>
        <w:pStyle w:val="TextoNormal"/>
      </w:pPr>
    </w:p>
    <w:p w:rsidR="005728DD" w:rsidRDefault="005728DD" w:rsidP="005728DD">
      <w:pPr>
        <w:pStyle w:val="TextoNormal"/>
      </w:pPr>
      <w:r>
        <w:t>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005728DD" w:rsidRDefault="005728DD" w:rsidP="005728DD">
      <w:pPr>
        <w:pStyle w:val="TextoNormal"/>
      </w:pPr>
    </w:p>
    <w:p w:rsidR="005728DD" w:rsidRDefault="005728DD" w:rsidP="005728DD">
      <w:pPr>
        <w:pStyle w:val="TextoNormal"/>
      </w:pPr>
      <w:r>
        <w:lastRenderedPageBreak/>
        <w:t>Uno de los conductores del acto fue el propio Sr.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euros, fue abonada por medio de transferencia bancaria tramitada por la oficina con el número 5000 de la sucursal de la entidad Caixabanc, con data del día anterior a la celebración de esa presentación.</w:t>
      </w:r>
    </w:p>
    <w:p w:rsidR="005728DD" w:rsidRDefault="005728DD" w:rsidP="005728DD">
      <w:pPr>
        <w:pStyle w:val="TextoNormal"/>
      </w:pPr>
    </w:p>
    <w:p w:rsidR="005728DD" w:rsidRDefault="005728DD" w:rsidP="005728DD">
      <w:pPr>
        <w:pStyle w:val="TextoNormal"/>
      </w:pPr>
      <w:r>
        <w:t>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005728DD" w:rsidRDefault="005728DD" w:rsidP="005728DD">
      <w:pPr>
        <w:pStyle w:val="TextoNormal"/>
      </w:pPr>
    </w:p>
    <w:p w:rsidR="005728DD" w:rsidRDefault="005728DD" w:rsidP="005728DD">
      <w:pPr>
        <w:pStyle w:val="TextoNormal"/>
      </w:pPr>
      <w: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43.341 euros; ii) contratación de un equipo de investigación experto en elecciones internacionales, en inglés </w:t>
      </w:r>
      <w:r w:rsidRPr="005728DD">
        <w:rPr>
          <w:i/>
        </w:rPr>
        <w:t>International Election Expert Research Team</w:t>
      </w:r>
      <w:r>
        <w:t xml:space="preserve"> (IEERT), dirigido por Dña. Helena Catt: 177 304,90 €; iii) contratación con MN2</w:t>
      </w:r>
      <w:r w:rsidRPr="005728DD">
        <w:rPr>
          <w:i/>
        </w:rPr>
        <w:t>S Managemet Limit</w:t>
      </w:r>
      <w:r>
        <w:t>ed de un equipo en el estuviera el político holandés D. Willem -Wim- Kok, en los días del referéndum: 54 030 €; si bien este importe fue devuelto porque la prestación no se realizó.</w:t>
      </w:r>
    </w:p>
    <w:p w:rsidR="005728DD" w:rsidRDefault="005728DD" w:rsidP="005728DD">
      <w:pPr>
        <w:pStyle w:val="TextoNormal"/>
      </w:pPr>
    </w:p>
    <w:p w:rsidR="005728DD" w:rsidRDefault="005728DD" w:rsidP="005728DD">
      <w:pPr>
        <w:pStyle w:val="TextoNormal"/>
      </w:pPr>
      <w: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w:t>
      </w:r>
      <w:r w:rsidRPr="005728DD">
        <w:rPr>
          <w:i/>
        </w:rPr>
        <w:t>lobby</w:t>
      </w:r>
      <w:r>
        <w:t xml:space="preserve"> en defensa de la celebración del referéndum: 60 000 €; ii) contratación de los servicios de la institució</w:t>
      </w:r>
      <w:r w:rsidRPr="005728DD">
        <w:rPr>
          <w:i/>
        </w:rPr>
        <w:t>n The Hague Center for Strategic Studi</w:t>
      </w:r>
      <w:r>
        <w:t>es, como observadores internacionales para verificar el referéndum del 1 de octubre: 167 065 €, si bien restan 47 635 € por abonar.</w:t>
      </w:r>
    </w:p>
    <w:p w:rsidR="005728DD" w:rsidRDefault="005728DD" w:rsidP="005728DD">
      <w:pPr>
        <w:pStyle w:val="TextoNormal"/>
      </w:pPr>
    </w:p>
    <w:p w:rsidR="005728DD" w:rsidRDefault="005728DD" w:rsidP="005728DD">
      <w:pPr>
        <w:pStyle w:val="TextoNormal"/>
      </w:pPr>
      <w:r>
        <w:t>c) A través del Departamento de Vicepresidencia y Economía fueron acordados los siguientes gastos: i) encargo a la empres</w:t>
      </w:r>
      <w:r w:rsidRPr="005728DD">
        <w:rPr>
          <w:i/>
        </w:rPr>
        <w:t>a Unipo</w:t>
      </w:r>
      <w:r>
        <w:t>st para la distribución de las notificaciones del nombramiento de los integrantes de las mesas electorales: 193 899,98 €.</w:t>
      </w:r>
    </w:p>
    <w:p w:rsidR="005728DD" w:rsidRDefault="005728DD" w:rsidP="005728DD">
      <w:pPr>
        <w:pStyle w:val="TextoNormal"/>
      </w:pPr>
    </w:p>
    <w:p w:rsidR="005728DD" w:rsidRDefault="005728DD" w:rsidP="005728DD">
      <w:pPr>
        <w:pStyle w:val="TextoNormal"/>
      </w:pPr>
      <w:r>
        <w:t xml:space="preserve">d) Por medio del Departamento de Presidencia se lideró: i) la puesta en marcha a través del Centro de Telecomunicaciones y Tecnologías de la Información (en adelante, CTTI), de la ‘web referéndum.cat’ y los diversos aplicativos incorporados a la misma, relacionados </w:t>
      </w:r>
      <w:r>
        <w:lastRenderedPageBreak/>
        <w:t xml:space="preserve">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w:t>
      </w:r>
      <w:r w:rsidRPr="005728DD">
        <w:rPr>
          <w:i/>
        </w:rPr>
        <w:t>T-Systems</w:t>
      </w:r>
      <w:r>
        <w:t xml:space="preserve">,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w:t>
      </w:r>
      <w:r w:rsidRPr="005728DD">
        <w:rPr>
          <w:i/>
        </w:rPr>
        <w:t>a Unipo</w:t>
      </w:r>
      <w:r>
        <w:t>st para la distribución de las notificaciones del nombramiento de los integrantes de las mesas electorales: 198 871,8 euros.</w:t>
      </w:r>
    </w:p>
    <w:p w:rsidR="005728DD" w:rsidRDefault="005728DD" w:rsidP="005728DD">
      <w:pPr>
        <w:pStyle w:val="TextoNormal"/>
      </w:pPr>
    </w:p>
    <w:p w:rsidR="005728DD" w:rsidRDefault="005728DD" w:rsidP="005728DD">
      <w:pPr>
        <w:pStyle w:val="TextoNormal"/>
      </w:pPr>
      <w:r>
        <w:t>e) El Departamento de Trabajo posibilitó los siguientes gastos: i) encargo a la empres</w:t>
      </w:r>
      <w:r w:rsidRPr="005728DD">
        <w:rPr>
          <w:i/>
        </w:rPr>
        <w:t>a Unipo</w:t>
      </w:r>
      <w:r>
        <w:t>st para la distribución de las notificaciones del nombramiento de los integrantes de las mesas electorales: 197 492,04 €.</w:t>
      </w:r>
    </w:p>
    <w:p w:rsidR="005728DD" w:rsidRDefault="005728DD" w:rsidP="005728DD">
      <w:pPr>
        <w:pStyle w:val="TextoNormal"/>
      </w:pPr>
    </w:p>
    <w:p w:rsidR="005728DD" w:rsidRDefault="005728DD" w:rsidP="005728DD">
      <w:pPr>
        <w:pStyle w:val="TextoNormal"/>
      </w:pPr>
      <w:r>
        <w:t xml:space="preserve">f) El Departamento de Salud también encomendó </w:t>
      </w:r>
      <w:r w:rsidRPr="005728DD">
        <w:rPr>
          <w:i/>
        </w:rPr>
        <w:t>a Unipo</w:t>
      </w:r>
      <w:r>
        <w:t>st para distribución de las notificaciones del nombramiento de los integrantes de las mesas electorales: 192 711,20 €.</w:t>
      </w:r>
    </w:p>
    <w:p w:rsidR="005728DD" w:rsidRDefault="005728DD" w:rsidP="005728DD">
      <w:pPr>
        <w:pStyle w:val="TextoNormal"/>
      </w:pPr>
    </w:p>
    <w:p w:rsidR="005728DD" w:rsidRDefault="005728DD" w:rsidP="005728DD">
      <w:pPr>
        <w:pStyle w:val="TextoNormal"/>
      </w:pPr>
      <w:r>
        <w:t xml:space="preserve">g) El Departamento de Cultura encargó a </w:t>
      </w:r>
      <w:r w:rsidRPr="005728DD">
        <w:rPr>
          <w:i/>
        </w:rPr>
        <w:t>Unipost</w:t>
      </w:r>
      <w:r>
        <w:t xml:space="preserve"> para distribución de las notificaciones del nombramiento de los integrantes de las mesas electorales: 196 696,98 €. Ninguno de esos pagos fue finalmente ejecutado a favor d</w:t>
      </w:r>
      <w:r w:rsidRPr="005728DD">
        <w:rPr>
          <w:i/>
        </w:rPr>
        <w:t>e Unipo</w:t>
      </w:r>
      <w:r>
        <w:t>st. Su administradora concursal decidió no reclamarlo a las Consejerías que habían efectuado los respectivos encargos.</w:t>
      </w:r>
    </w:p>
    <w:p w:rsidR="005728DD" w:rsidRDefault="005728DD" w:rsidP="005728DD">
      <w:pPr>
        <w:pStyle w:val="TextoNormal"/>
      </w:pPr>
    </w:p>
    <w:p w:rsidR="005728DD" w:rsidRDefault="005728DD" w:rsidP="005728DD">
      <w:pPr>
        <w:pStyle w:val="TextoNormal"/>
      </w:pPr>
      <w: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w:t>
      </w:r>
      <w:r>
        <w:lastRenderedPageBreak/>
        <w:t>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005728DD" w:rsidRDefault="005728DD" w:rsidP="005728DD">
      <w:pPr>
        <w:pStyle w:val="TextoNormal"/>
      </w:pPr>
    </w:p>
    <w:p w:rsidR="005728DD" w:rsidRDefault="005728DD" w:rsidP="005728DD">
      <w:pPr>
        <w:pStyle w:val="TextoNormal"/>
      </w:pPr>
      <w:r>
        <w:t>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 los arts. 432.1 y 3, párrafo último CP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XXI correspondiente a los “delitos contra la Constitución”, el delito de sedición se incardina dentro del título XXII, relativo a los “delitos contra el orden público”, siendo, por tanto, diferente el bien jurídico protegido, al igual que es distinta finalidad perseguida por los partícipes, que en el caso de la sedición atañe “al impedimento u obstrucción de la legítima voluntad legislativa, gubernativa o jurisdiccional”.</w:t>
      </w:r>
    </w:p>
    <w:p w:rsidR="005728DD" w:rsidRDefault="005728DD" w:rsidP="005728DD">
      <w:pPr>
        <w:pStyle w:val="TextoNormal"/>
      </w:pPr>
    </w:p>
    <w:p w:rsidR="005728DD" w:rsidRDefault="005728DD" w:rsidP="005728DD">
      <w:pPr>
        <w:pStyle w:val="TextoNormal"/>
      </w:pPr>
      <w:r>
        <w:t>Posteriormente, tras poner de relieve que el delito de sedición constituye u</w:t>
      </w:r>
      <w:r w:rsidRPr="005728DD">
        <w:rPr>
          <w:i/>
        </w:rPr>
        <w:t>n ali</w:t>
      </w:r>
      <w:r>
        <w:t>ud respecto de otras infracciones reguladas en el título vigésimo segundo del Código penal, la sala expone los requisitos de esa figura penal; a saber:</w:t>
      </w:r>
    </w:p>
    <w:p w:rsidR="005728DD" w:rsidRDefault="005728DD" w:rsidP="005728DD">
      <w:pPr>
        <w:pStyle w:val="TextoNormal"/>
      </w:pPr>
    </w:p>
    <w:p w:rsidR="005728DD" w:rsidRDefault="005728DD" w:rsidP="005728DD">
      <w:pPr>
        <w:pStyle w:val="TextoNormal"/>
      </w:pPr>
      <w:r>
        <w:t>(i)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005728DD" w:rsidRDefault="005728DD" w:rsidP="005728DD">
      <w:pPr>
        <w:pStyle w:val="TextoNormal"/>
      </w:pPr>
    </w:p>
    <w:p w:rsidR="005728DD" w:rsidRDefault="005728DD" w:rsidP="005728DD">
      <w:pPr>
        <w:pStyle w:val="TextoNormal"/>
      </w:pPr>
      <w:r>
        <w:t>(ii)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vincula los términos “alzar”, “alzarse” “tumultuario”, de modo exclusivo con su empleo.</w:t>
      </w:r>
    </w:p>
    <w:p w:rsidR="005728DD" w:rsidRDefault="005728DD" w:rsidP="005728DD">
      <w:pPr>
        <w:pStyle w:val="TextoNormal"/>
      </w:pPr>
    </w:p>
    <w:p w:rsidR="005728DD" w:rsidRDefault="005728DD" w:rsidP="005728DD">
      <w:pPr>
        <w:pStyle w:val="TextoNormal"/>
      </w:pPr>
      <w:r>
        <w:t xml:space="preserve">(iii)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w:t>
      </w:r>
      <w:r>
        <w:lastRenderedPageBreak/>
        <w:t>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005728DD" w:rsidRDefault="005728DD" w:rsidP="005728DD">
      <w:pPr>
        <w:pStyle w:val="TextoNormal"/>
      </w:pPr>
    </w:p>
    <w:p w:rsidR="005728DD" w:rsidRDefault="005728DD" w:rsidP="005728DD">
      <w:pPr>
        <w:pStyle w:val="TextoNormal"/>
      </w:pPr>
      <w:r>
        <w:t>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005728DD" w:rsidRDefault="005728DD" w:rsidP="005728DD">
      <w:pPr>
        <w:pStyle w:val="TextoNormal"/>
      </w:pPr>
    </w:p>
    <w:p w:rsidR="005728DD" w:rsidRDefault="005728DD" w:rsidP="005728DD">
      <w:pPr>
        <w:pStyle w:val="TextoNormal"/>
      </w:pPr>
      <w:r>
        <w:t>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 se aprecia que las referidas conductas supusieron un intento de “derogación de la legislación válida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t>Dentro de este apartado cabe destacar que, para el órgano sentenciador, el derecho a la protesta “no puede mutar en un exótico derecho al impedimento físico a los agentes de la autoridad a dar cumplimiento a un mandato judicial y hacerlo de una forma generalizada en toda la extensión de una comunidad autónoma, en la que por un día quedó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005728DD" w:rsidRDefault="005728DD" w:rsidP="005728DD">
      <w:pPr>
        <w:pStyle w:val="TextoNormal"/>
      </w:pPr>
    </w:p>
    <w:p w:rsidR="005728DD" w:rsidRDefault="005728DD" w:rsidP="005728DD">
      <w:pPr>
        <w:pStyle w:val="TextoNormal"/>
      </w:pPr>
      <w:r>
        <w:t>p) En el apartado C) de los fundamentos jurídicos queda reflejado el denominado “juicio de autoría” de los acusados que fueron condenados.</w:t>
      </w:r>
    </w:p>
    <w:p w:rsidR="005728DD" w:rsidRDefault="005728DD" w:rsidP="005728DD">
      <w:pPr>
        <w:pStyle w:val="TextoNormal"/>
      </w:pPr>
    </w:p>
    <w:p w:rsidR="005728DD" w:rsidRDefault="005728DD" w:rsidP="005728DD">
      <w:pPr>
        <w:pStyle w:val="TextoNormal"/>
      </w:pPr>
      <w:r>
        <w:t xml:space="preserve">(i) En el punto 1 se vierten unas consideraciones respecto del delito de sedición que atañen a al recurrente en amparo, a don Oriol Junqueras, don Raül Romeva, doña Carme Forcadell, don Josep Rull, doña Dolors Bassa, don Joaquim Forn, don Jordi Cuixart y don Jordi Sánchez. En síntesis, se reitera,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w:t>
      </w:r>
      <w:r>
        <w:lastRenderedPageBreak/>
        <w:t>se razona, el comportamiento atribuido al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w:t>
      </w:r>
      <w:r w:rsidRPr="005728DD">
        <w:rPr>
          <w:i/>
        </w:rPr>
        <w:t>, ab init</w:t>
      </w:r>
      <w:r>
        <w:t>io o de manera sobrevenida”.</w:t>
      </w:r>
    </w:p>
    <w:p w:rsidR="005728DD" w:rsidRDefault="005728DD" w:rsidP="005728DD">
      <w:pPr>
        <w:pStyle w:val="TextoNormal"/>
      </w:pPr>
    </w:p>
    <w:p w:rsidR="005728DD" w:rsidRDefault="005728DD" w:rsidP="005728DD">
      <w:pPr>
        <w:pStyle w:val="TextoNormal"/>
      </w:pPr>
      <w:r>
        <w:t>Se considera que a los acusados miembros del Govern, la conducta típica consistente en “la derogación de hecho de las leyes vigentes y válidas a sustituir por no válidas y la movilización de ciudadanos para comportamientos tumultuarios obstativos de la ejecución de órdenes jurisdiccionales”, les es objetivamente imputable como colectivo, en tanto que eran garantes de la indemnidad del bien jurídico protegido por el delito de sedición, a la vista de las competencias y atribuciones que la normativa autonómica asigna al Govern ( Ley de Presidencia de la Generalitat y del Govern de Cataluña y la Ley Catalana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aun, “conjurar todo riesgo de obstrucción a su cumplimiento”.</w:t>
      </w:r>
    </w:p>
    <w:p w:rsidR="005728DD" w:rsidRDefault="005728DD" w:rsidP="005728DD">
      <w:pPr>
        <w:pStyle w:val="TextoNormal"/>
      </w:pPr>
    </w:p>
    <w:p w:rsidR="005728DD" w:rsidRDefault="005728DD" w:rsidP="005728DD">
      <w:pPr>
        <w:pStyle w:val="TextoNormal"/>
      </w:pPr>
      <w:r>
        <w:t xml:space="preserve">Finalmente, se pone de relieve que, con base en los informes técnicos elaborados por los responsables policiales, los comportamientos lesivos para el orden público eran “de previsibilidad adecuada a la falta de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extraña al comportamiento de los acusados, pues estuvo preordenada y fue promovida </w:t>
      </w:r>
      <w:r w:rsidRPr="005728DD">
        <w:rPr>
          <w:i/>
        </w:rPr>
        <w:t>ex ante</w:t>
      </w:r>
      <w:r>
        <w:t xml:space="preserve"> por estos últimos, “como imprescindiblemente funcional para crear el riesgo de inaplicación de leyes e incumplimiento de decisiones legítimas de órganos judiciales,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005728DD" w:rsidRDefault="005728DD" w:rsidP="005728DD">
      <w:pPr>
        <w:pStyle w:val="TextoNormal"/>
      </w:pPr>
    </w:p>
    <w:p w:rsidR="005728DD" w:rsidRDefault="005728DD" w:rsidP="005728DD">
      <w:pPr>
        <w:pStyle w:val="TextoNormal"/>
      </w:pPr>
      <w:r>
        <w:t xml:space="preserve">(ii) En el punto 1.4 se reflejan las razones específicamente tenidas en cuenta para considerar al recurrente autor de un delito de sedición, previsto y penado en los arts. 544 y 545.1 CP. Como diputado del Parlament y presidente del Grupo “Junts pel sí”, se señala que aquel intervino en los actos celebrados en el auditorio del Parlament y en el Teatro Nacional de Cataluña, en apoyo al denominado procés. También se indica que el demandante participó activamente en la creación y puesta en marcha del Pacte Nacional pel Referéndum y en la aprobación de la resolución 306/XI, en la que se instaba al Govern a la convocatoria de un referéndum. Asimismo, se considera probada su participación en la presentación pública de </w:t>
      </w:r>
      <w:r>
        <w:lastRenderedPageBreak/>
        <w:t>los proyectos de ley sobre el referéndum y la transitoriedad política, que luego se convirtieron en las Leyes 19/2017 de 6 de septiembre, del referéndum de autodeterminación y 20/2017, de 8 de septiembre, de transitoriedad jurídica y fundacional de la República.</w:t>
      </w:r>
    </w:p>
    <w:p w:rsidR="005728DD" w:rsidRDefault="005728DD" w:rsidP="005728DD">
      <w:pPr>
        <w:pStyle w:val="TextoNormal"/>
      </w:pPr>
    </w:p>
    <w:p w:rsidR="005728DD" w:rsidRDefault="005728DD" w:rsidP="005728DD">
      <w:pPr>
        <w:pStyle w:val="TextoNormal"/>
      </w:pPr>
      <w:r>
        <w:t>En concreto, se detalla que el citado grupo parlamentario, representado por el demandante de amparo, contrató la cesión de uso del espacio del Teatro Nacional de Cataluña para que el día 4 de julio de 2017, en un acto público de gran difusión, fuera presentada la futura Ley de referéndum. El recurrente fue uno de los conductores del acto y se pronunció sobre el carácter vinculante del referéndum, de cara a la proclamación de la independencia, para el caso de ganar el “sí”, e hizo referencia a los mecanismos jurídico-administrativos que se habían previsto para neutralizar la previsible actuación del Estado, en orden a dificultar la celebración del referéndum. Por último, se destaca su participación en reuniones consideradas necesarias para conformar el Govern.</w:t>
      </w:r>
    </w:p>
    <w:p w:rsidR="005728DD" w:rsidRDefault="005728DD" w:rsidP="005728DD">
      <w:pPr>
        <w:pStyle w:val="TextoNormal"/>
      </w:pPr>
    </w:p>
    <w:p w:rsidR="005728DD" w:rsidRDefault="005728DD" w:rsidP="005728DD">
      <w:pPr>
        <w:pStyle w:val="TextoNormal"/>
      </w:pPr>
      <w:r>
        <w:t>Por otro lado, en su condición de consejero de Presidencia y portavoz del Govern, cargos para los que fue nombrado el 14 de julio de 2017, se considera acreditado que firmó el Decreto 139/2017, de convocatoria del referéndum, cuya aplicación fue suspendida por providencia de 7 de septiembre de 2017, del Pleno del Tribunal Constitucional, y recibió las correspondientes advertencias personales respecto de posibles incumplimientos y sobre las eventuales responsabilidades penales en que podía incurrir. Ese decreto fue declarado inconstitucional y nulo por la STC 122/2017, de 31 de octubre. También participó el recurrente en la aprobación del Decreto 140/2017, que establecía las normas complementarias para la celebración del referéndum, al tiempo que constituía al Govern como órgano electoral y declaraba la asunción de los gastos y contratos por ese órgano. Ese decreto también fue suspendido por el Pleno del Tribunal Constitucional, mediante providencia de fecha 7 de septiembre de 2017, y finalmente, declarado nulo e inconstitucional por la STC 121/2017, de 31 de octubre.</w:t>
      </w:r>
    </w:p>
    <w:p w:rsidR="005728DD" w:rsidRDefault="005728DD" w:rsidP="005728DD">
      <w:pPr>
        <w:pStyle w:val="TextoNormal"/>
      </w:pPr>
    </w:p>
    <w:p w:rsidR="005728DD" w:rsidRDefault="005728DD" w:rsidP="005728DD">
      <w:pPr>
        <w:pStyle w:val="TextoNormal"/>
      </w:pPr>
      <w:r>
        <w:t>Asimismo, se considera acreditado que el día 29 de septiembre de 2017, junto con el vicepresidente señor Junqueras y el conseller señor Romeva, el demandante presentó públicamente el modelo de urnas que iban a ser empleadas en la celebración del referéndum; y el día 1 de octubre de ese año, anunció la implantación del sistema de “censo universal”, cuya finalidad era la de posibilitar que el voto pudiera verificarse en cualquier colegio electoral, sin necesidad de acudir a un centro determinado. El referido sistema se sustentaba en un trabajo informático diseñado sobre el dominio “registremeses.com”, que posibilitaba el acceso y registro del voto en cualquier colegio y, según se refleja en la sentencia, el contenido de la página web informaba sobre la manera de utilizar el censo universal, con un programa informático de soporte e información a las mesas electorales. En la indicada comparecencia, el demandante comunicó la intención del Gobierno de la Generalitat de asegurar la celebración del referéndum: “hacer todo lo posible por que los catalanes puedan votar hoy en el referéndum de autodeterminación”.</w:t>
      </w:r>
    </w:p>
    <w:p w:rsidR="005728DD" w:rsidRDefault="005728DD" w:rsidP="005728DD">
      <w:pPr>
        <w:pStyle w:val="TextoNormal"/>
      </w:pPr>
    </w:p>
    <w:p w:rsidR="005728DD" w:rsidRDefault="005728DD" w:rsidP="005728DD">
      <w:pPr>
        <w:pStyle w:val="TextoNormal"/>
      </w:pPr>
      <w:r>
        <w:t xml:space="preserve">También se recoge la petición de ampliación del presupuesto, por un importe de 3 430 000 €, que se realizó para desarrollar la campaña institucional denominada “Civisme”; la cual, en realidad, consistía en una campaña publicitaria a favor de la participación en el referéndum. Según se refiere, la partida presupuestaria fue aprobada mediante la modificación de “créditos presupuestarios del fondo de contingencia-Gastos de diversos departamentos/Departamento de Difusión y la Consejería de Presidencia”, Consejería cuyo titular era </w:t>
      </w:r>
      <w:r>
        <w:lastRenderedPageBreak/>
        <w:t>el demandante de amparo. La gestión publicitaria se adjudicó sucesivamente a dos empresas, Carat y Focus Media, quienes rechazaron la adjudicación, al considerar que dichas campañas encubrían un acto de promoción del referéndum, lo que propició la posterior declaración del concurso como desierto. Concretamente, Focus Media recibió el encargo de gestión el 5 de septiembre de 2017, para su realización durante ese mes, con fecha de comienzo el día 6 y en concepto de publicidad de “Civisme”. Sin embargo, la agencia homologada rechazó el encargo, al entender que la campaña no podía ser encuadrada en el concepto de “publicidad cívica”, sino en el de “acción política” y a ese concepto le era aplicable una tarifa diferente.</w:t>
      </w:r>
    </w:p>
    <w:p w:rsidR="005728DD" w:rsidRDefault="005728DD" w:rsidP="005728DD">
      <w:pPr>
        <w:pStyle w:val="TextoNormal"/>
      </w:pPr>
    </w:p>
    <w:p w:rsidR="005728DD" w:rsidRDefault="005728DD" w:rsidP="005728DD">
      <w:pPr>
        <w:pStyle w:val="TextoNormal"/>
      </w:pPr>
      <w:r>
        <w:t>Por otro lado, la Dirección General del Atención Ciudadana, titular del dominio “Referéndum.cat con el I.S.P. 10 dencehispard S.L.”, que se había registrado el 14 de junio de 2006 y se volvió a registrar con el mismo nombre el 6 de septiembre de 2017, se encuadra dentro de la Consejería de Presidencia de la que era titular el recurrente. La finalidad de dicho dominio era la de servir de soporte al referéndum del 1 de octubre, pues facilitaba información sobre “la normativa electoral y los distintos modelos y guías de actuación, así como la inscripción de voluntarios y toda la información precisa sobre lo relacionado con el referéndum (cfr. informe técnico sobre el examen de las páginas webs referéndum.cat, Anexo documental tomo X sobre páginas webs – Carpeta CD f. 5710)”.</w:t>
      </w:r>
    </w:p>
    <w:p w:rsidR="005728DD" w:rsidRDefault="005728DD" w:rsidP="005728DD">
      <w:pPr>
        <w:pStyle w:val="TextoNormal"/>
      </w:pPr>
    </w:p>
    <w:p w:rsidR="005728DD" w:rsidRDefault="005728DD" w:rsidP="005728DD">
      <w:pPr>
        <w:pStyle w:val="TextoNormal"/>
      </w:pPr>
      <w:r>
        <w:t>En el indicado punto se afirma que el demandante fue especialmente activo de cara a promover la participación en el referéndum, habida cuenta de que, en sus intervenciones en las redes sociales, instó a la ciudadanía a perseverar en la determinación independentista y a participar en el referéndum, manteniendo la calma, la serenidad y el civismo. Concretamente, el día 1 de octubre envió sendo</w:t>
      </w:r>
      <w:r w:rsidRPr="005728DD">
        <w:rPr>
          <w:i/>
        </w:rPr>
        <w:t>s tui</w:t>
      </w:r>
      <w:r>
        <w:t>ts en los que comunicó que “el Gobierno pide a la gente que vaya a votar de manera cívica y pacífica” y que “han tenido que cerrar 319 colegios. Hacemos una llamada a los que no han podido votar para que vayan a uno donde se pueda”.</w:t>
      </w:r>
    </w:p>
    <w:p w:rsidR="005728DD" w:rsidRDefault="005728DD" w:rsidP="005728DD">
      <w:pPr>
        <w:pStyle w:val="TextoNormal"/>
      </w:pPr>
    </w:p>
    <w:p w:rsidR="005728DD" w:rsidRDefault="005728DD" w:rsidP="005728DD">
      <w:pPr>
        <w:pStyle w:val="TextoNormal"/>
      </w:pPr>
      <w:r>
        <w:t>En este apartado también se indica que, en su condición de conseller de Presidencia, el demandante fue advertido y requerido por parte del Tribunal Constitucional en una ocasión —y así lo reconoce aquel—, en los mismos términos en que lo fueron otros acusados. El recurrente admite que fue conocedor del contenido de otros requerimientos anteriores dirigidos a parlamentarios y miembros de Govern, en los que se advertía de la prohibición de realizar conductas que supusieran ignorar los mandatos de suspensión. Y al respecto, afirma que los puso en conocimiento de los servicios jurídicos de su departamento, “para atender el ámbito y contenido del requerimiento”.</w:t>
      </w:r>
    </w:p>
    <w:p w:rsidR="005728DD" w:rsidRDefault="005728DD" w:rsidP="005728DD">
      <w:pPr>
        <w:pStyle w:val="TextoNormal"/>
      </w:pPr>
    </w:p>
    <w:p w:rsidR="005728DD" w:rsidRDefault="005728DD" w:rsidP="005728DD">
      <w:pPr>
        <w:pStyle w:val="TextoNormal"/>
      </w:pPr>
      <w:r>
        <w:t xml:space="preserve">El órgano de enjuiciamiento rechaza las razones dadas por el demandante para justificar que no se suspendieran y, por consiguiente, se continuara con las iniciativas relativas al referéndum; sustancialmente, que realizaron una ponderación entre los términos del requerimiento y el contenido de la legalidad, pero de toda la legalidad; que se tuvo en cuenta lo que había resuelto el Parlament; que la despenalización del delito de la convocatoria de referéndum ya se verificó en el año 2005; que se consideró que “votar no era delito” y se valoró “el compromiso con la ciudadanía”; y que el Tribunal Constitucional no había hecho uso de la facultad, que posibilitaba la reforma de la Ley Orgánica 15/2015, 16 de octubre, para la ejecución de las resoluciones del Tribunal Constitucional como garantía del Estado </w:t>
      </w:r>
      <w:r>
        <w:lastRenderedPageBreak/>
        <w:t>de Derecho, de adoptar medidas coercitivas y sancionadoras en caso de incumplimiento de sus decisiones y resoluciones (art. 92.4 LOTC).</w:t>
      </w:r>
    </w:p>
    <w:p w:rsidR="005728DD" w:rsidRDefault="005728DD" w:rsidP="005728DD">
      <w:pPr>
        <w:pStyle w:val="TextoNormal"/>
      </w:pPr>
    </w:p>
    <w:p w:rsidR="005728DD" w:rsidRDefault="005728DD" w:rsidP="005728DD">
      <w:pPr>
        <w:pStyle w:val="TextoNormal"/>
      </w:pPr>
      <w:r>
        <w:t>Según el órgano sentenciador razona en la sentencia “el Estado de derecho quebraría si ante el requerimiento formal emanado del Tribunal Constitucional, órgano máximo en materia de garantías constitucionales (art. 123 CE), admitiéramos que el afectado puede someter ese requerimiento a su personal ponderación, de suerte que, en función de su particular desenlace valorativo, pudiera optar entre cumplir o desacatar lo mandado. Los mandatos del Tribunal Constitucional no pueden aplazar su ejecutividad en función de los compromisos políticos del requerido. Tampoco es de recibo entender que el deber de acatamiento de ese mandato puede neutralizarse por el hecho de que el órgano requirente no haga uso de las facultades legales de coerción económica que la ley autoriza. El argumento implícito de que solo obedezco si, además del requerimiento, me imponen una multa, carece de todo sentido”.</w:t>
      </w:r>
    </w:p>
    <w:p w:rsidR="005728DD" w:rsidRDefault="005728DD" w:rsidP="005728DD">
      <w:pPr>
        <w:pStyle w:val="TextoNormal"/>
      </w:pPr>
    </w:p>
    <w:p w:rsidR="005728DD" w:rsidRDefault="005728DD" w:rsidP="005728DD">
      <w:pPr>
        <w:pStyle w:val="TextoNormal"/>
      </w:pPr>
      <w:r>
        <w:t>Por otro lado, dicho órgano rechaza el alegato referido a la despenalización de la celebración de referéndums, pues esa derogación no comporta la derogación de otros tipos delictivos, en los que tendría encaje la conducta desarrollada. Es más, se afirma que el demandante ya era sabedor que la convocatoria de un referéndum ilegal, en función de los términos en que se ejecutara, podía desembocar en una condena; y también era consciente de que la desatención a los requerimientos del Tribunal Constitucional ya había sido considerada por esta Sala como un delito de desobediencia. “Y tenía que prever también que, si la acción imputada no se limitaba a una conducta omisiva de rechazo al mandato, sino que incluía la creación de una legalidad paralela para promover la inobservancia de las leyes y, además, la celebración de un referéndum prohibido que se pretende hacer realidad mediante una tumultuaria movilización ciudadana para rechazar el cumplimiento de las resoluciones judiciales, el título de imputación se agravaba”.</w:t>
      </w:r>
    </w:p>
    <w:p w:rsidR="005728DD" w:rsidRDefault="005728DD" w:rsidP="005728DD">
      <w:pPr>
        <w:pStyle w:val="TextoNormal"/>
      </w:pPr>
    </w:p>
    <w:p w:rsidR="005728DD" w:rsidRDefault="005728DD" w:rsidP="005728DD">
      <w:pPr>
        <w:pStyle w:val="TextoNormal"/>
      </w:pPr>
      <w:r>
        <w:t>La sala descarta que los llamamientos del demandante en favor de la serenidad y el civismo impidan que pueda ser considerado autor del delito de sedición, pues “[e]s evidente que la llamada al mantenimiento de la calma, la serenidad y el civismo, de tanta importancia en situaciones de tensión como la vivida el día 1 de octubre, con la existencia de anuncios de previsibles altercados violentos por los máximos responsables del orden público, encierra un valor positivo. Pero no puede tener un significado excluyente de la antijuridicidad —o de la culpabilidad— respecto de una conducta que estuvo siempre tendencialmente ordenada a hacer realidad un referéndum judicialmente prohibido. El acusado era consciente de que esos llamamientos a la celebración del referéndum suspendido por la autoridad judicial implicaban una clara voluntad de promover la inobservancia de los mandatos jurisdiccionales”.</w:t>
      </w:r>
    </w:p>
    <w:p w:rsidR="005728DD" w:rsidRDefault="005728DD" w:rsidP="005728DD">
      <w:pPr>
        <w:pStyle w:val="TextoNormal"/>
      </w:pPr>
    </w:p>
    <w:p w:rsidR="005728DD" w:rsidRDefault="005728DD" w:rsidP="005728DD">
      <w:pPr>
        <w:pStyle w:val="TextoNormal"/>
      </w:pPr>
      <w:r>
        <w:t>Finalmente, la decisión de condena reafirma categóricamente la participación del demandante en el delito de sedición, pese a su postrera incorporación al Govern: “[l]a autoría en el delito de sedición por el que ha sido acusado 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de las leyes, para hacer posible la vigencia de las resolu</w:t>
      </w:r>
      <w:r>
        <w:lastRenderedPageBreak/>
        <w:t>ciones administrativas o judiciales. La incorporación tardía del acusado señor. Turull al Govern de la Generalitat —julio de 2017— no es obstáculo para concluir su autoría. No lo es a partir de las categorías dogmáticas asumidas por la jurisprudencia de esta Sala sobre la autoría por adhesión o autoría sucesiva […] (SSTS 602/2016, de 7 de julio; 1180/2010, de 22 de diciembre; 687/2018, de 20 de diciembre, y 186/2019, de 2 de abril, entre otras muchas)”.</w:t>
      </w:r>
    </w:p>
    <w:p w:rsidR="005728DD" w:rsidRDefault="005728DD" w:rsidP="005728DD">
      <w:pPr>
        <w:pStyle w:val="TextoNormal"/>
      </w:pPr>
    </w:p>
    <w:p w:rsidR="005728DD" w:rsidRDefault="005728DD" w:rsidP="005728DD">
      <w:pPr>
        <w:pStyle w:val="TextoNormal"/>
      </w:pPr>
      <w:r>
        <w:t>q) En el punto 5 del apartado B) de la fundamentación jurídica se exponen los motivos por los que el tribunal sentenciador sostiene que los hechos son constitutivos de un delito de malversación de caudales públicos del art. 432.1 y 3 CP, último párrafo.</w:t>
      </w:r>
    </w:p>
    <w:p w:rsidR="005728DD" w:rsidRDefault="005728DD" w:rsidP="005728DD">
      <w:pPr>
        <w:pStyle w:val="TextoNormal"/>
      </w:pPr>
    </w:p>
    <w:p w:rsidR="005728DD" w:rsidRDefault="005728DD" w:rsidP="005728DD">
      <w:pPr>
        <w:pStyle w:val="TextoNormal"/>
      </w:pPr>
      <w:r>
        <w:t>En los epígrafes 5.1 a 5.3, la sentencia razona sobre la subsunción de los hechos en el tipo penal referido. En primer lugar, se dice que los miembros del Govern finalmente condenados por este delito ejecutaron, en unidad de acción que determina la común e inequívoca finalidad, actos de manifiesta deslealtad en la administración de fondos públicos —modalidad de conducta que se incardina en el tipo de malversación de caudales públicos tras la reforma operada por la Ley Orgánica 1/2015, de 30 de marzo—. Según se recoge, tanto en el Decreto 140/2017 ya citado como, de modo especial, mediante el acuerdo del Govern de fecha 7 de septiembre, acordaron utilizar “los recursos humanos, materiales y tecnológicos necesarios para garantizar la adecuada organización y desarrollo del referéndum de autodeterminación de Cataluña, así como aquellos de los que ya se dispone”. También se afirma que las decisiones y actuaciones serían tomadas de forma colectiva y colegiada por parte de los miembros del Gobierno y asumidas de manera solidaria. Ahora bien, el tribunal sentenciador sostiene que, conforme a la dogmática y jurisprudencia actual, el simple acuerdo de voluntades no basta para apreciar la coautoría en supuestos de codelincuencia ya consumada; por ello, solo aprecia responsabilidad penal en aquellos consejeros que materializaron actos de dispendio en ejecución de lo acordado.</w:t>
      </w:r>
    </w:p>
    <w:p w:rsidR="005728DD" w:rsidRDefault="005728DD" w:rsidP="005728DD">
      <w:pPr>
        <w:pStyle w:val="TextoNormal"/>
      </w:pPr>
    </w:p>
    <w:p w:rsidR="005728DD" w:rsidRDefault="005728DD" w:rsidP="005728DD">
      <w:pPr>
        <w:pStyle w:val="TextoNormal"/>
      </w:pPr>
      <w:r>
        <w:t>Asimismo, considera procedente la aplicación del subtipo agravado previsto en el art. 432.3 b), párrafo segundo CP, pues tras la reforma operada por la Ley Orgánica 1/2015, 30 de marzo, se dio nueva redacción a este precepto, de manera que basta con que concurra uno solo de los requisitos citados, esto es “el grave daño” o “el entorpecimiento al servicio público”, para que resulte apreciable el referido subtipo. Por otro lado, el órgano enjuiciador estima acreditado que la disposición de fondos públicos supera ampliamente la cantidad de 250 000 €, y que esa disposición fue ejecutada por quienes tenían la condición de autoridad, con el fin de celebrar un referéndum contrario a la Constitución y al estatuto de autonomía. Además, refiere que todos ellos habían sido personalmente advertidos y reiteradamente requeridos por parte del Tribunal Constitucional, “en su doble condición de titulares de sus departamentos y miembros del Govern, de su obligación de abstenerse de cualquier acto tendente a su preparación y celebración”, así como de la obligación de impedir la celebración del referéndum y de la existencia de responsabilidades penales para el caso de inobservancia.</w:t>
      </w:r>
    </w:p>
    <w:p w:rsidR="005728DD" w:rsidRDefault="005728DD" w:rsidP="005728DD">
      <w:pPr>
        <w:pStyle w:val="TextoNormal"/>
      </w:pPr>
    </w:p>
    <w:p w:rsidR="005728DD" w:rsidRDefault="005728DD" w:rsidP="005728DD">
      <w:pPr>
        <w:pStyle w:val="TextoNormal"/>
      </w:pPr>
      <w:r>
        <w:t xml:space="preserve">Seguidamente, el tribunal sentenciador rechaza el argumento dado por las defensas, relativo a que el Govern, como tal, no puede ser sujeto de contratación. Según se razona, aunque la Ley 9/2017, 8 de noviembre, de contratos del sector público, en su art. 323.1, al enumerar los órganos de contratación estatales, se refiere a “los ministros y los secretarios de Estado son los órganos de contratación de la administración general del Estado y, en </w:t>
      </w:r>
      <w:r>
        <w:lastRenderedPageBreak/>
        <w:t>consecuencia, están facultados para celebrar en su nombre los contratos en el ámbito de su competencia”; sin embargo, señala el tribunal, en el apartado 2 de ese artículo se establecen los supuestos en que los órganos de contratación del sector público estatal necesitarán de la autorización del Consejo de Ministros para celebrar contratos. Por su parte, el art. 160.6 de la Ley del Parlamento de Cataluña 5/2017, 28 de marzo, dispone que el Govern podrá actuar como órgano de contratación, en relación con los grandes proyectos estratégicos de carácter horizontal y de especial trascendencia, con la deliberación previa del consejo técnico, siempre que se aprecie la concurrencia de circunstancias excepcionales.</w:t>
      </w:r>
    </w:p>
    <w:p w:rsidR="005728DD" w:rsidRDefault="005728DD" w:rsidP="005728DD">
      <w:pPr>
        <w:pStyle w:val="TextoNormal"/>
      </w:pPr>
    </w:p>
    <w:p w:rsidR="005728DD" w:rsidRDefault="005728DD" w:rsidP="005728DD">
      <w:pPr>
        <w:pStyle w:val="TextoNormal"/>
      </w:pPr>
      <w:r>
        <w:t xml:space="preserve">Por otro lado, también desecha el argumento esgrimido, a fin de excluir la existencia de perjuicio patrimonial, de que muchos de los proveedores habían renunciado al abono de los gastos comprometidos por la administración autonómica o, que, en algunos casos, no se habían presentado verdaderas facturas sino “facturas proforma”. De conformidad con el dictamen de las expertas que declararon en el plenario, en la sentencia se considera que el momento en que el acreedor realiza correctamente la prestación a su cargo es cuando debe entenderse producido el menoscabo a los caudales o fondos públicos, aun cuando no se haya producido una salida material de fondos públicos para el pago. Y a lo dicho añade que: “[e]s cierto que en aquellos casos en los que se produce una renuncia por parte del proveedor o el pago se reivindica después del plazo de prescripción de la obligación, la salida material de fondos podrá eludirse. Pero incluso en estos casos de renuncia o </w:t>
      </w:r>
      <w:r w:rsidRPr="005728DD">
        <w:rPr>
          <w:i/>
        </w:rPr>
        <w:t>mora accipiendi</w:t>
      </w:r>
      <w:r>
        <w:t>, el perjuicio ya se tiene por producido. En términos contables no puede hablarse de un ingreso con efectos compensatorios respecto del gasto ya aprobado. De hecho, ese ingreso se contabiliza de forma autónoma y por separado de dicho gasto. De ahí que, en sentido estricto, no existe un mecanismo compensatorio que permita ver en esa renuncia una reparación del perjuicio por parte de quien lo generó”. Por tanto, el perjuicio patrimonial se produce en el momento en que se presta el servicio por el empresario, pues “siempre que haya habido un encargo aceptado de buena fe por el contratista, siempre va a haber un gasto”.</w:t>
      </w:r>
    </w:p>
    <w:p w:rsidR="005728DD" w:rsidRDefault="005728DD" w:rsidP="005728DD">
      <w:pPr>
        <w:pStyle w:val="TextoNormal"/>
      </w:pPr>
    </w:p>
    <w:p w:rsidR="005728DD" w:rsidRDefault="005728DD" w:rsidP="005728DD">
      <w:pPr>
        <w:pStyle w:val="TextoNormal"/>
      </w:pPr>
      <w:r>
        <w:t>En relación con el pretendido valor exoneratorio de la presentación de facturas proforma, el tribunal sentenciador refuta ese alegato porque, de acuerdo con el dictamen prestado por las expertas, “[l]a factura negativa puede tener su origen en muchos motivos. Normalmente se habla de factura rectificativa. El empresario ha repercutido el IVA y lo declara. Si no ha cobrado se enfrenta a un doble perjuicio, no ha cobrado y ha pagado el IVA. Por eso existe una factura negativa. No implica una renuncia al crédito. Una renuncia comporta una repercusión en el patrimonio, implica una condonación. Pero en el momento en que se realiza el servicio ya se ha producido el perjuicio. Lo que viene luego es una cancelación de la obligación que va a implicar un aumento del patrimonio neto de la Administración. Lo que se producirá es un ingreso que no elimina el gasto”.</w:t>
      </w:r>
    </w:p>
    <w:p w:rsidR="005728DD" w:rsidRDefault="005728DD" w:rsidP="005728DD">
      <w:pPr>
        <w:pStyle w:val="TextoNormal"/>
      </w:pPr>
    </w:p>
    <w:p w:rsidR="005728DD" w:rsidRDefault="005728DD" w:rsidP="005728DD">
      <w:pPr>
        <w:pStyle w:val="TextoNormal"/>
      </w:pPr>
      <w:r>
        <w:t>Finalmente, se afirma que los delitos de sedición y malversación de caudales públicos se hallan en una relación de concurso medial, pues el segundo de los delitos citados “como expresión de la deslealtad en la administración de los fondos públicos, viene a formar parte de la referencia típica integrada por una actuación ‘fuera de las vías legales’, que es lo que precisamente exige el delito de sedición. Queda así patentizada su instrumentalidad respecto de la finalidad sediciosa, en el sentido del art. 77.3 CP”.</w:t>
      </w:r>
    </w:p>
    <w:p w:rsidR="005728DD" w:rsidRDefault="005728DD" w:rsidP="005728DD">
      <w:pPr>
        <w:pStyle w:val="TextoNormal"/>
      </w:pPr>
    </w:p>
    <w:p w:rsidR="005728DD" w:rsidRDefault="005728DD" w:rsidP="005728DD">
      <w:pPr>
        <w:pStyle w:val="TextoNormal"/>
      </w:pPr>
      <w:r>
        <w:t xml:space="preserve">r) En el punto 2.1 del apartado C) de la fundamentación jurídica figura “el juicio de autoría” por el delito de malversación que se formula en relación con el demandante y los </w:t>
      </w:r>
      <w:r>
        <w:lastRenderedPageBreak/>
        <w:t>acusados don Oriol Junqueras, don Raül Romeva y doña Dolors Bassa. En ese apartado se lleva a cabo un extenso análisis recopilatorio sobre los hechos determinantes de la comisión de ese delito que, en resumen, atañen “a los gastos relacionados con el referéndum, como los relativos a publicidad institucional, organización de la administración electoral, confección del registro de catalanes en el exterior, material electoral, pago de observadores internacionales y, en fin, aplicaciones informáticas que hubiesen sido llevados a cabo por los acusados, miembros del Govern de Cataluña”. Y ello, porque tal proceder “supone una consciente, voluntaria concertada e ilícita desviación de destino de los fondos empleados, en cuanto devienen gastos ajenos a cualquier fin público lícito y, además, carecen de cobertura presupuestaria”.</w:t>
      </w:r>
    </w:p>
    <w:p w:rsidR="005728DD" w:rsidRDefault="005728DD" w:rsidP="005728DD">
      <w:pPr>
        <w:pStyle w:val="TextoNormal"/>
      </w:pPr>
    </w:p>
    <w:p w:rsidR="005728DD" w:rsidRDefault="005728DD" w:rsidP="005728DD">
      <w:pPr>
        <w:pStyle w:val="TextoNormal"/>
      </w:pPr>
      <w:r>
        <w:t>En términos generales, la participación de los acusados indicados en este apartado deriva del control que ostentaban respecto de los gastos y expensas necesarios para el desarrollo del referéndum ilegal; porque eran plenamente conscientes de la prohibición establecida por el Tribunal Constitucional para la disposición de esos fondos públicos; por su actitud de rechazo a todos los requerimientos que les fueron efectuados personalmente, lo que refleja que eran conscientes de la ilicitud de su comportamiento y lo desleal de su administración de los fondos que implicaba su aplicación a un referéndum proscrito por el Tribunal Constitucional por su oposición a las bases constitucionales de nuestro sistema jurídico; y que esas conclusiones se obtienen sin dificultad a la vista de los mandatos del Tribunal Constitucional y de la continua actitud de ocultación mantenida con las autoridades estatales de fiscalización del gasto público.</w:t>
      </w:r>
    </w:p>
    <w:p w:rsidR="005728DD" w:rsidRDefault="005728DD" w:rsidP="005728DD">
      <w:pPr>
        <w:pStyle w:val="TextoNormal"/>
      </w:pPr>
    </w:p>
    <w:p w:rsidR="005728DD" w:rsidRDefault="005728DD" w:rsidP="005728DD">
      <w:pPr>
        <w:pStyle w:val="TextoNormal"/>
      </w:pPr>
      <w:r>
        <w:t>En los epígrafes 2.1.11 y 2.1.12 se hace referencia a la difusión por Internet del registro de catalanes en exterior, tramitada en el expediente PR-2016-432 y adjudicada a la mercantil UTE Nothinghad y Kardumen, que emitió una factura de 97 332,63 € (IVA incluido) por su ejecución, con vencimiento en fecha 18 de agosto. En relación con estos hechos, la sala afirma que obra un certificado de prestación parcial de servicios, expedido el 27 de junio de 2017 por el director general de Difusión; también obra otro certificado expedido por el referido director junto con el consejero de Presidencia, a la sazón el demandante de amparo, sin fecha expresa, aunque lógicamente ulterior al 14 de julio, data de su toma posesión como consejero. En ese certificado se expresa que la UTE Nothingad y Kardumen ha realizado el servicio correspondiente a la campaña de publicidad institucional sobe el registro de catalanes residentes en el exterior de manera satisfactoria y da conformidad al cargo de la factura por un importe de 80 440,19 € más 16 892,44 € de IVA. Advierte el órgano enjuiciador que, en esa fecha, ya se había anunciado el contenido del proyecto de la ley de referéndum, su carácter vinculante en la proclamación de una hipotética independencia y que en la normativa de desarrollo se contemplaba ese registro de catalanes en el exterior como el instrumento que permitía recibir la comunicación para ejercitar el derecho al voto (art. 17 del Decreto 140/2017, de normas complementarias).</w:t>
      </w:r>
    </w:p>
    <w:p w:rsidR="005728DD" w:rsidRDefault="005728DD" w:rsidP="005728DD">
      <w:pPr>
        <w:pStyle w:val="TextoNormal"/>
      </w:pPr>
    </w:p>
    <w:p w:rsidR="005728DD" w:rsidRDefault="005728DD" w:rsidP="005728DD">
      <w:pPr>
        <w:pStyle w:val="TextoNormal"/>
      </w:pPr>
      <w:r>
        <w:t xml:space="preserve">El contrato del que trajo causa la factura se firmó el 6 de febrero de 2017 y fue suscrito por el representante de la UTE y el secretario general del Departamento de Presidencia. Además de la factura, obran en la causa diferentes correos en los que se reclama el pago de su importe. El responsable de difusión institucional de la Generalitat admitió que se encargó a la UTE el cometido contratado, pero que la factura no fue abonada, al desaconsejar su pago la asesoría jurídica del Departamento de Presidencia, por su relación directa con la investigación realizada por el Juzgado de Instrucción núm. 13 de Barcelona. Según declaró </w:t>
      </w:r>
      <w:r>
        <w:lastRenderedPageBreak/>
        <w:t>el representante legal de la entidad contratada, esta renunció al cobro de la factura y emitió una factura negativa.</w:t>
      </w:r>
    </w:p>
    <w:p w:rsidR="005728DD" w:rsidRDefault="005728DD" w:rsidP="005728DD">
      <w:pPr>
        <w:pStyle w:val="TextoNormal"/>
      </w:pPr>
    </w:p>
    <w:p w:rsidR="005728DD" w:rsidRDefault="005728DD" w:rsidP="005728DD">
      <w:pPr>
        <w:pStyle w:val="TextoNormal"/>
      </w:pPr>
      <w:r>
        <w:t xml:space="preserve">s) El 8 de noviembre de 2019 el recurrente en amparo formalizó escrito planteando un incidente de nulidad de actuaciones frente la sentencia de 14 de octubre de 2019. Tras reiterar las vulneraciones de derechos fundamentales que en anteriores fases procesales denunció, a fin de poner de relieve su manifiesta voluntad impugnativa, respecto de la sentencia condenatoria, cuya nulidad interesa expresamente, considera que ha producido las siguientes lesiones: i) vulneración del derecho a un proceso con todas las garantías (arts. 24 CE y 6 CEDH), por la filtración del contenido de la sentencia cuando su redacción no había sido todavía culminada; ii) vulneración del derecho antes indicado, por la imposición de penas superiores a las solicitadas por la acusación particular; iii) vulneración del derecho fundamental a la legalidad penal (arts. 25 CE y 7 CEDH), por abandono </w:t>
      </w:r>
      <w:r w:rsidRPr="005728DD">
        <w:rPr>
          <w:i/>
        </w:rPr>
        <w:t>ad hoc</w:t>
      </w:r>
      <w:r>
        <w:t xml:space="preserve"> del principio de accesoriedad en la participación; iv) vulneración del derecho fundamental a la legalidad penal (art. 25 CE), en relación con los derechos fundamentales a la libertad de reunión pacífica y a las libertades de expresión e ideológica (arts. 17, 20 y 21 CE), por la insuficiente taxatividad del tipo penal de la sedición; v) vulneración del derecho fundamental a la legalidad penal (arts. 25 CE y 7 CEDH), por aplicación analógica del delito de sedición a los hechos enjuiciados, que son subsumibles en el derogado tipo de convocatoria ilegal de referéndum; vi) vulneración del derecho fundamental a la legalidad penal por imposición de una pena desproporcionada [art. 25 CE en relación con el art. 17 CE y el art. 49 de la Carta de los derechos fundamentales de la Unión Europea (CDFUE)] con lesión, asimismo, de los derechos fundamentales a la libertad, reunión pacífica y a las libertades de expresión e ideológica (arts. 17, 20 y 21 CE).</w:t>
      </w:r>
    </w:p>
    <w:p w:rsidR="005728DD" w:rsidRDefault="005728DD" w:rsidP="005728DD">
      <w:pPr>
        <w:pStyle w:val="TextoNormal"/>
      </w:pPr>
    </w:p>
    <w:p w:rsidR="005728DD" w:rsidRDefault="005728DD" w:rsidP="005728DD">
      <w:pPr>
        <w:pStyle w:val="TextoNormal"/>
      </w:pPr>
      <w:r>
        <w:t>t) Por auto de fecha 29 de enero de 2020, la sala desestimó todos los incidentes de nulidad que le fueron planteados.</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el recurrente alega, de esta suerte, las siguientes vulneraciones de sus derechos fundamentales:</w:t>
      </w:r>
    </w:p>
    <w:p w:rsidR="005728DD" w:rsidRDefault="005728DD" w:rsidP="005728DD">
      <w:pPr>
        <w:pStyle w:val="TextoNormal"/>
      </w:pPr>
    </w:p>
    <w:p w:rsidR="005728DD" w:rsidRDefault="005728DD" w:rsidP="005728DD">
      <w:pPr>
        <w:pStyle w:val="TextoNormal"/>
      </w:pPr>
      <w:r>
        <w:t>3.1. Vulneración del derecho al juez ordinario predeterminado por la ley (art. 24 CE y 6 CEDH), por haber asumido el Tribunal Supremo una competencia territorial que no le corresponde para enjuiciar los hechos, privando adicionalmente al recurrente de su derecho a la doble instancia penal (art. 2 del Protocolo núm. 7 CEDH). Aduce que la asunción de esta causa por la Sala Segunda del Tribunal Supremo supone la privación del derecho “al juez natural”; concretamente, la Sala de lo Civil y Penal del Tribunal Superior de Justicia de Cataluña. Continúa diciendo que esa decisión se adoptó mediante una interpretación forzada e irrazonable de las normas procesales, que resulta contradictoria con pronunciamientos previos del Tribunal Supremo y que ha provocado el efecto colateral añadido de privarle de la posibilidad de contar con un recurso efectivo contra su condena, derecho reconocido en el art. 2 del Protocolo núm. 7 CEDH. Señala que la interpretación sobre el art. 57.2 del Estatuto de Autonomía de Cataluña (EAC) resulta, además, contradictoria con la propia doctrina del tribunal sentenciador en supuestos anteriores.</w:t>
      </w:r>
    </w:p>
    <w:p w:rsidR="005728DD" w:rsidRDefault="005728DD" w:rsidP="005728DD">
      <w:pPr>
        <w:pStyle w:val="TextoNormal"/>
      </w:pPr>
    </w:p>
    <w:p w:rsidR="005728DD" w:rsidRDefault="005728DD" w:rsidP="005728DD">
      <w:pPr>
        <w:pStyle w:val="TextoNormal"/>
      </w:pPr>
      <w:r>
        <w:t xml:space="preserve">El recurrente discrepa del fundamento de la desestimación de esta queja dado por la sala, tanto en su auto resolutorio de los artículos de previo pronunciamiento, de 27 de diciembre de 2018, como en la sentencia, a partir de la pág. 80. Todo apunta a que, se dice, como </w:t>
      </w:r>
      <w:r>
        <w:lastRenderedPageBreak/>
        <w:t>declaró sin disimulo un alto representante de la fiscalía española en otro procedimiento, la razón de tal alteración de las reglas de competencia se explica por la desconfianza existente entre las máximas instituciones judiciales españolas respecto de la “imparcialidad y serenidad” de los magistrados y jueces catalanes; unas declaraciones que motivaron, incluso, la publicación de una insólita nota de prensa, por parte del Tribunal Superior de Justicia de Cataluña, defendiendo la rectitud profesional de los jueces que ejercen en Cataluña.</w:t>
      </w:r>
    </w:p>
    <w:p w:rsidR="005728DD" w:rsidRDefault="005728DD" w:rsidP="005728DD">
      <w:pPr>
        <w:pStyle w:val="TextoNormal"/>
      </w:pPr>
    </w:p>
    <w:p w:rsidR="005728DD" w:rsidRDefault="005728DD" w:rsidP="005728DD">
      <w:pPr>
        <w:pStyle w:val="TextoNormal"/>
      </w:pPr>
      <w:r>
        <w:t>Señala a su vez que, con anterioridad al presente procedimiento penal, el Tribunal Supremo ha sostenido que lo que determina la competencia territorial es la realización, en un determinado ámbito geográfico, de alguno de los elementos del tipo de la infracción penal que se imputa a un sujeto, pues como se recoge en el acuerdo del Pleno de la Sala Segunda de 3 de febrero de 2005, “el delito se comete en todas las jurisdicciones en las que se haya realizado algún elemento del tipo”. Sin embargo, ni uno solo de los elementos típicos de los delitos atribuidos al demandante acontecieron fuera de Cataluña.</w:t>
      </w:r>
    </w:p>
    <w:p w:rsidR="005728DD" w:rsidRDefault="005728DD" w:rsidP="005728DD">
      <w:pPr>
        <w:pStyle w:val="TextoNormal"/>
      </w:pPr>
    </w:p>
    <w:p w:rsidR="005728DD" w:rsidRDefault="005728DD" w:rsidP="005728DD">
      <w:pPr>
        <w:pStyle w:val="TextoNormal"/>
      </w:pPr>
      <w:r>
        <w:t>En relación con los delitos de rebelión o sedición advierte que el supuesto “alzamiento” típico se materializó íntegramente en territorio catalán. Es más, en el auto de procesamiento no aparece ninguna referencia a que algunos hechos hubieran tenido lugar fuera de Cataluña, en relación con el referido “alzamiento”. En lo que respecta al delito de malversación, el demandante indica que ninguno de los elementos del tipo penal aconteció fuera de su territorio, pues no consta que alguno de los procesados hubiera adoptado decisiones con trascendencia patrimonial pública sino en Barcelona, que es donde se encuentra la sede del Govern, por lo que no cabe apreciar que el exceso en las facultades de administración tuviera lugar en el extranjero. Respecto del perjuicio patrimonial exigido por el tipo penal de la malversación, el demandante considera que las cantidades malversadas se habrían abonado, presuntamente, con cargo en partidas del presupuesto de la Generalitat de Cataluña, respecto de las cuales algunos procesados tenían las facultades de administración exigidas por los delitos de malversación y administración desleal. El hecho de que “algunos elementos citados por las acusaciones y por el tribunal —como el hecho de que algunos de los destinatarios de los pagos estuvieran en el extranjero—” carecen de relevancia a estos efectos. Aunque el beneficiario de la malversación resida fuera de Cataluña, tanto el exceso en el ejercicio de facultades de disposición como el perjuicio patrimonial —que son los únicos elementos objetivos del tipo penal— se producen de modo inequívoco en territorio catalán.</w:t>
      </w:r>
    </w:p>
    <w:p w:rsidR="005728DD" w:rsidRDefault="005728DD" w:rsidP="005728DD">
      <w:pPr>
        <w:pStyle w:val="TextoNormal"/>
      </w:pPr>
    </w:p>
    <w:p w:rsidR="005728DD" w:rsidRDefault="005728DD" w:rsidP="005728DD">
      <w:pPr>
        <w:pStyle w:val="TextoNormal"/>
      </w:pPr>
      <w:r>
        <w:t xml:space="preserve">Añade el demandante que la aplicación de su doctrina consolidada debía haber llevado al Tribunal Supremo a declinar de su competencia territorial. Pero, para no perder la competencia, decidió crear </w:t>
      </w:r>
      <w:r w:rsidRPr="005728DD">
        <w:rPr>
          <w:i/>
        </w:rPr>
        <w:t>ad hoc</w:t>
      </w:r>
      <w:r>
        <w:t xml:space="preserve"> nuevas reglas competenciales: en el caso de la rebelión/sedición, se inventó literalmente el concepto de “actos ejecutivos no necesariamente violentos pero vinculados al elemento tendencial del delito” (pág. 84 de la sentencia); y, en lo que respecta a la malversación, se crearon nuevos criterios, como la “unidad patrimonial que inspira la regulación del patrimonio de las administraciones públicas” o la “concepción integral del patrimonio del Estado” (auto de 27 de diciembre de 2018), que permiten sostener algo tan novedoso y sorprendente como que cualquier malversación de fondos públicos se comete siempre en la integridad del territorio español. Estas construcciones sirvieron a la sala para lograr, nada menos, que convertir en típicos lo que eran elementos fácticos manifiestamente ajenos a los citados tipos penales y, por tanto, intrascendentes para determinar la competencia con arreglo a la doctrina tradicional de la Sala de lo Penal.</w:t>
      </w:r>
    </w:p>
    <w:p w:rsidR="005728DD" w:rsidRDefault="005728DD" w:rsidP="005728DD">
      <w:pPr>
        <w:pStyle w:val="TextoNormal"/>
      </w:pPr>
    </w:p>
    <w:p w:rsidR="005728DD" w:rsidRDefault="005728DD" w:rsidP="005728DD">
      <w:pPr>
        <w:pStyle w:val="TextoNormal"/>
      </w:pPr>
      <w:r>
        <w:lastRenderedPageBreak/>
        <w:t>La afirmación adicional —expresada en la página 84 de la sentencia—, según la cual, para determinar la competencia territorial de acuerdo con el principio de ubicuidad deben tenerse en cuenta no solo los elementos objetivos sino también los subjetivos del delito, es muestra evidente de la absoluta debilidad de los argumentos esgrimidos en apoyo de la tesis de la Sala de lo Penal. Según reiterada doctrina del Tribunal Supremo, los hechos subjetivos son aquellos que acontecen en el fuero interno de los procesados, no constando en los hechos objeto de acusación que ninguno de dichos acusados hiciera o pensara nada penalmente relevante encontrándose fuera del territorio catalán.</w:t>
      </w:r>
    </w:p>
    <w:p w:rsidR="005728DD" w:rsidRDefault="005728DD" w:rsidP="005728DD">
      <w:pPr>
        <w:pStyle w:val="TextoNormal"/>
      </w:pPr>
    </w:p>
    <w:p w:rsidR="005728DD" w:rsidRDefault="005728DD" w:rsidP="005728DD">
      <w:pPr>
        <w:pStyle w:val="TextoNormal"/>
      </w:pPr>
      <w:r>
        <w:t>Añade que los criterios expuestos por el Tribunal Supremo entran en contradicción con los que dicho órgano ha seguido respecto del delito de desobediencia, “que sí consideró cometido íntegramente en Cataluña, pese a que ambos tipos penales guardaban relación con decisiones tomadas por miembros del Gobierno de la Generalitat y del Parlament”. Ello ha provocado que el Tribunal Supremo limitara su competencia al exclusivo enjuiciamiento de los máximos responsables políticos y a los líderes de las asociaciones civiles, estuvieran o no aforados, dando lugar a una “fragmentación del procedimiento muy difícil de entender y justificar”, sin base en la condición de aforado sino de unas reglas de conexidad difícilmente comprensibles y contradictorias con pronunciamientos anteriores recientes del propio Tribunal Supremo que, sin embargo, en la causa seguida contra el diputado señor Homs por la denominada “consulta del 9-N” (STS 972/2017) asumió exclusivamente la competencia para conocer de la responsabilidad del acusado que tenía la condición de diputado del Congreso, reservando para el Tribunal Superior de Justicia de Cataluña el enjuiciamiento de los restantes miembros del Gobierno y de quien, entonces, era su presidente.</w:t>
      </w:r>
    </w:p>
    <w:p w:rsidR="005728DD" w:rsidRDefault="005728DD" w:rsidP="005728DD">
      <w:pPr>
        <w:pStyle w:val="TextoNormal"/>
      </w:pPr>
    </w:p>
    <w:p w:rsidR="005728DD" w:rsidRDefault="005728DD" w:rsidP="005728DD">
      <w:pPr>
        <w:pStyle w:val="TextoNormal"/>
      </w:pPr>
      <w:r>
        <w:t xml:space="preserve">También refuta que el criterio expuesto en la pág. 81 de la sentencia, que toma en consideración el hecho de que el recurrente llegó a ser diputado del Congreso, sirva para justificar la asunción competencial por parte del tribunal sentenciador. Cuando el demandante adquirió la condición de diputado el juicio ya se estaba celebrando y, según la propia doctrina de la Sala Segunda, una vez abierto el juicio oral la jurisdicción es improrrogable (acuerdo del Pleno de la Sala Segunda de 2 de diciembre de 2014). Por otro lado, dicha justificación es muestra de la debilidad de lo argumentado, puesto que el recurrente dejó de ser diputado en fecha anterior al dictado de la sentencia, (por Real Decreto 551/2019, de 24 de septiembre, de disolución de las Cortes), y pese a ello, el Tribunal Supremo no dejó de dictar sentencia ni declinó su jurisdicción en favor de los tribunales radicados en territorio catalán. Finalmente, invoca la doctrina estatuida en la STC 183/1999, en lo que concierne al control de las reglas de competencia y el derecho al juez ordinario predeterminado por la ley (art. 24 CE), y afirma que la fijación de criterios </w:t>
      </w:r>
      <w:r w:rsidRPr="005728DD">
        <w:rPr>
          <w:i/>
        </w:rPr>
        <w:t>ad hoc</w:t>
      </w:r>
      <w:r>
        <w:t xml:space="preserve"> para asumir la competencia es un “síntoma claro de arbitrariedad”.</w:t>
      </w:r>
    </w:p>
    <w:p w:rsidR="005728DD" w:rsidRDefault="005728DD" w:rsidP="005728DD">
      <w:pPr>
        <w:pStyle w:val="TextoNormal"/>
      </w:pPr>
    </w:p>
    <w:p w:rsidR="005728DD" w:rsidRDefault="005728DD" w:rsidP="005728DD">
      <w:pPr>
        <w:pStyle w:val="TextoNormal"/>
      </w:pPr>
      <w:r>
        <w:t>Como efecto colateral, pone de relieve una segunda lesión: concretamente, la del derecho a la segunda instancia en materia penal. El respeto a ese derecho exigía que la Sala Segunda del Tribunal Supremo hubiera realizado una interpretación restrictiva de los criterios tenidos en cuenta para asumir la competencia, pues esa asunción ha supuesto la pérdida de la posibilidad de que los acusados, aforados o no, pudieran recurrir su condena, como así habría sido si esta se hubiera dictado en la instancia por el Tribunal Superior de Justicia de Cataluña. Por tanto, esa asunción de la competencia también ha provocado la vulneración del art. 24 CE y del art. 2 del Protocolo núm. 7 CEDH.</w:t>
      </w:r>
    </w:p>
    <w:p w:rsidR="005728DD" w:rsidRDefault="005728DD" w:rsidP="005728DD">
      <w:pPr>
        <w:pStyle w:val="TextoNormal"/>
      </w:pPr>
    </w:p>
    <w:p w:rsidR="005728DD" w:rsidRDefault="005728DD" w:rsidP="005728DD">
      <w:pPr>
        <w:pStyle w:val="TextoNormal"/>
      </w:pPr>
      <w:r>
        <w:lastRenderedPageBreak/>
        <w:t>3.2. Vulneración del derecho de defensa (art. 24 CE y 6 CEDH) por no haberse permitido a los acusados declarar en su lengua materna empleando un sistema de traducción simultánea. También se denuncia el hecho de haber impedido el empleo del catalán a testigos propuestos por la defensa y; finalmente, la vulneración del derecho a la no discriminación por razón de lengua (art. 14 CE y 14 CEDH).</w:t>
      </w:r>
    </w:p>
    <w:p w:rsidR="005728DD" w:rsidRDefault="005728DD" w:rsidP="005728DD">
      <w:pPr>
        <w:pStyle w:val="TextoNormal"/>
      </w:pPr>
    </w:p>
    <w:p w:rsidR="005728DD" w:rsidRDefault="005728DD" w:rsidP="005728DD">
      <w:pPr>
        <w:pStyle w:val="TextoNormal"/>
      </w:pPr>
      <w:r>
        <w:t>a) En relación con los acusados, recuerda que varias defensas solicitaron a la sala poder utilizar en la vista oral el catalán (su lengua materna), a fin de poder declarar con mayor fluidez. También se interesó la utilización del sistema de traducción simultánea, que el art. 123.2 LECrim considera preferente al sistema de traducción sucesiva. Sin embargo, tal petición fue denegada por el Tribunal Supremo, que pese a reconocer expresamente que los procesados tenían derecho a declarar en catalán (página 69 de la sentencia), accedió, a lo sumo, a que pudieran expresarse en esa lengua, pero sirviéndose de un sistema de traducción sucesiva, que es mucho menos ágil. Ello propició que los procesados se vieran forzados, en contra de su voluntad inicial, a desistir de expresarse en su lengua materna.</w:t>
      </w:r>
    </w:p>
    <w:p w:rsidR="005728DD" w:rsidRDefault="005728DD" w:rsidP="005728DD">
      <w:pPr>
        <w:pStyle w:val="TextoNormal"/>
      </w:pPr>
    </w:p>
    <w:p w:rsidR="005728DD" w:rsidRDefault="005728DD" w:rsidP="005728DD">
      <w:pPr>
        <w:pStyle w:val="TextoNormal"/>
      </w:pPr>
      <w:r>
        <w:t>Para el demandante, el derecho fundamental a la defensa debe garantizar el uso de la lengua materna, porque permite al procesado entender mejor las preguntas que se le hacen y responderlas con mayor fluidez. El catalán es lengua oficial en el territorio de residencia de los procesados, al que alcanza la jurisdicción del Tribunal Supremo, y el art. 6.2 EAC reconoce el derecho de sus ciudadanos a expresarse en catalán y obliga a los poderes públicos a garantizar su ejercicio. Por su parte, el sistema de traducción simultánea facilita el traslado inmediato del mensaje al tribunal y a las partes, sin prolongar de modo excesivo la duración del juicio. En cambio, la fórmula de traducción sucesiva ralentiza y prolonga en exceso el acto, de manera que este se convierte en un trámite procedimental largo y farragoso, que deviene agotador para todos los intervinientes y para la propia Sala, en un juicio ya de por sí extenso.</w:t>
      </w:r>
    </w:p>
    <w:p w:rsidR="005728DD" w:rsidRDefault="005728DD" w:rsidP="005728DD">
      <w:pPr>
        <w:pStyle w:val="TextoNormal"/>
      </w:pPr>
    </w:p>
    <w:p w:rsidR="005728DD" w:rsidRDefault="005728DD" w:rsidP="005728DD">
      <w:pPr>
        <w:pStyle w:val="TextoNormal"/>
      </w:pPr>
      <w:r>
        <w:t>Por ello, del contenido del art. 123.2 LECrim —aplicable por analogía al presente caso— se desprende con claridad, que la traducción consecutiva solamente debe emplearse cuando no sea posible habilitar un sistema de traducción simultánea; posibilidad que la sala reconoció abiertamente que podría haberse empleado en el presente caso, al no existir obstáculos económicos ni técnicos (pág. 72 de la sentencia). Sin embargo, (págs. 68 y siguientes de la sentencia) se justifica la adopción del sistema de traducción sucesiva a fin de favorecer la garantía del principio de publicidad del proceso. A juicio del recurrente, ese principio, con ser importante, no puede considerarse superior al derecho de defensa, de quien es acusado por delitos que conllevan penas de más de una década de prisión. Nada impedía al tribunal que, para salvaguardar la publicidad del proceso, “la traducción simultánea pudiera ser oída también por quienes seguían el juicio a través de la televisión e incluso por los presentes en la Sala mediante auriculares”.</w:t>
      </w:r>
    </w:p>
    <w:p w:rsidR="005728DD" w:rsidRDefault="005728DD" w:rsidP="005728DD">
      <w:pPr>
        <w:pStyle w:val="TextoNormal"/>
      </w:pPr>
    </w:p>
    <w:p w:rsidR="005728DD" w:rsidRDefault="005728DD" w:rsidP="005728DD">
      <w:pPr>
        <w:pStyle w:val="TextoNormal"/>
      </w:pPr>
      <w:r>
        <w:t xml:space="preserve">Además del menoscabo al derecho de defensa (art. 24.1 CE), la negativa a permitir la traducción simultánea constituye una discriminación contraria al art. 14 CE pues, en comparación con el trato dispensado a cualquier ciudadano español cuya lengua materna sea el castellano, los ciudadanos catalanohablantes tienen que “soportar la carga (absolutamente evitable) de una prolongación del juicio oral”, lo que se traduce en “un claro efecto desincentivador del ejercicio de los derechos lingüísticos”; y porque “es injustificable también </w:t>
      </w:r>
      <w:r>
        <w:lastRenderedPageBreak/>
        <w:t>que un catalanohablante pueda expresarse en catalán ante los órganos jurisdiccionales ubicados en Cataluña y, en cambio, no pueda hacerlo cuando es enjuiciado por el Tribunal Supremo por unos hechos cometidos en Cataluña”.</w:t>
      </w:r>
    </w:p>
    <w:p w:rsidR="005728DD" w:rsidRDefault="005728DD" w:rsidP="005728DD">
      <w:pPr>
        <w:pStyle w:val="TextoNormal"/>
      </w:pPr>
    </w:p>
    <w:p w:rsidR="005728DD" w:rsidRDefault="005728DD" w:rsidP="005728DD">
      <w:pPr>
        <w:pStyle w:val="TextoNormal"/>
      </w:pPr>
      <w:r>
        <w:t>b) Por otro lado, la decisión de la sala vulnera el derecho de defensa en relación con la práctica de la prueba testifical de numerosos testigos propuestos por las defensas, a quienes se impidió por completo la posibilidad de expresarse en catalán, sin concederles siquiera la posibilidad de intérprete. Aunque la sala señala, en la página 80 de su sentencia, que solo tres testigos pidieron declarar en catalán (cuyo testimonio se califica como intrascendente), lo cierto es que quienes pidieron declarar en dicha lengua fueron reprendidos y apercibidos con sanciones por parte del señor presidente. A título de ejemplo, a uno de ellos se le advirtió del siguiente modo: “usted va a contestar en castellano, si no quiere contestar en castellano esto es muy sencillo, usted se levanta, asume las consecuencias legales de su negativa a contestar y hemos terminado”.</w:t>
      </w:r>
    </w:p>
    <w:p w:rsidR="005728DD" w:rsidRDefault="005728DD" w:rsidP="005728DD">
      <w:pPr>
        <w:pStyle w:val="TextoNormal"/>
      </w:pPr>
    </w:p>
    <w:p w:rsidR="005728DD" w:rsidRDefault="005728DD" w:rsidP="005728DD">
      <w:pPr>
        <w:pStyle w:val="TextoNormal"/>
      </w:pPr>
      <w:r>
        <w:t>La sala basó su decisión en una interpretación del art. 231.3 LOPJ (“Las partes, sus representantes y quienes les dirijan, así como los testigos y peritos, podrán utilizar la lengua que sea también oficial en la comunidad autónoma en cuyo territorio tengan lugar las actuaciones judiciales, tanto en manifestaciones orales como escritas”). A juicio del recurrente, esa interpretación resulta absolutamente opuesta a los arts. 3.2 y 14 CE, pues dicho precepto no conlleva “una prohibición de hablar en catalán cuando las actuaciones tengan lugar ante un órgano judicial cuya jurisdicción territorial se extiende a toda la geografía española y cuando lo aconseje un adecuado ejercicio del derecho de defensa, así como una mínima sensibilidad que aquí debió desplegarse”. En suma, la decisión presidencial dio lugar a que los testigos tuvieran que expresarse en una lengua que hablan con menor fluidez, lo que afectó a la credibilidad de su testimonio.</w:t>
      </w:r>
    </w:p>
    <w:p w:rsidR="005728DD" w:rsidRDefault="005728DD" w:rsidP="005728DD">
      <w:pPr>
        <w:pStyle w:val="TextoNormal"/>
      </w:pPr>
    </w:p>
    <w:p w:rsidR="005728DD" w:rsidRDefault="005728DD" w:rsidP="005728DD">
      <w:pPr>
        <w:pStyle w:val="TextoNormal"/>
      </w:pPr>
      <w:r>
        <w:t>3.3. Vulneración del derecho a un juez imparcial (arts. 24 CE y 6 CEDH) por no haberse estimado las diversas recusaciones formuladas a lo largo del procedimiento y por el rol inquisitivo asumido por el presidente del tribunal durante el desarrollo del juicio. En este apartado se formulan varias quejas anudadas a la lesión del mismo derecho fundamental, subdivididas del siguiente modo:</w:t>
      </w:r>
    </w:p>
    <w:p w:rsidR="005728DD" w:rsidRDefault="005728DD" w:rsidP="005728DD">
      <w:pPr>
        <w:pStyle w:val="TextoNormal"/>
      </w:pPr>
    </w:p>
    <w:p w:rsidR="005728DD" w:rsidRDefault="005728DD" w:rsidP="005728DD">
      <w:pPr>
        <w:pStyle w:val="TextoNormal"/>
      </w:pPr>
      <w:r>
        <w:t>a) La desestimación de las recusaciones planteadas.</w:t>
      </w:r>
    </w:p>
    <w:p w:rsidR="005728DD" w:rsidRDefault="005728DD" w:rsidP="005728DD">
      <w:pPr>
        <w:pStyle w:val="TextoNormal"/>
      </w:pPr>
    </w:p>
    <w:p w:rsidR="005728DD" w:rsidRDefault="005728DD" w:rsidP="005728DD">
      <w:pPr>
        <w:pStyle w:val="TextoNormal"/>
      </w:pPr>
      <w:r>
        <w:t xml:space="preserve">(i) Falta de imparcialidad por parte del magistrado instructor. Funda el demandante su alegato en el hecho de que, en algunas de sus resoluciones, aquel se refiriese a “la estrategia que sufrimos” (auto de procesamiento de 21 de marzo de 2018, pág. 54, y auto de 12 de abril de 2018, pág. 54), presentándose a sí mismo como víctima de tales hechos. Esa circunstancia fue denunciada ante la sala de recursos, que desestimó dicho motivo por auto de 18 de junio de 2018. Entiende el demandante que, en su fuero interno, el magistrado instructor pueda compartir la “percepción generalizada de la forma en que se fueron desarrollando los acontecimientos en Cataluña”. Pero quien se siente y se reconoce, pública y repetidamente, como víctima directa o indirecta de unos hechos o quien manifiesta desasosiego por ellos, no puede ser juez imparcial en el procedimiento en el que se persigue penalmente a quien supuestamente le ha victimizado. La imparcialidad, añade el demandante, es una cuestión de fondo, pero también de apariencia, y cita al respecto el ATC 226/2002, de 20 de noviembre. Añade que esta cuestión fue respondida en la sentencia (págs. 116 y </w:t>
      </w:r>
      <w:r>
        <w:lastRenderedPageBreak/>
        <w:t>siguientes) remitiéndose íntegramente al auto de la sala de recursos de 18 de junio de 2018, el cual no reparó la lesión.</w:t>
      </w:r>
    </w:p>
    <w:p w:rsidR="005728DD" w:rsidRDefault="005728DD" w:rsidP="005728DD">
      <w:pPr>
        <w:pStyle w:val="TextoNormal"/>
      </w:pPr>
    </w:p>
    <w:p w:rsidR="005728DD" w:rsidRDefault="005728DD" w:rsidP="005728DD">
      <w:pPr>
        <w:pStyle w:val="TextoNormal"/>
      </w:pPr>
      <w:r>
        <w:t xml:space="preserve">(ii) Falta de imparcialidad de la sala de recursos que conoció de los recursos contra el magistrado instructor. Ese déficit se concreta en el magistrado don Francisco Monterde Ferrer. La razón para cuestionar su imparcialidad trae causa de su condición de vicepresidente y miembro del comité ejecutivo de la Asociación Profesional de la Magistratura (APM). Según se afirma en la demanda, en los meses anteriores, esa asociación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(la demanda a continuación transcribe literalmente, o con sus propias palabras, el contenido de algunos de esos mensajes). Esos hechos dieron lugar a la recusación del referido magistrado ante la sala de recursos, la cual fue rechazada </w:t>
      </w:r>
      <w:r w:rsidRPr="005728DD">
        <w:rPr>
          <w:i/>
        </w:rPr>
        <w:t>a limine</w:t>
      </w:r>
      <w:r>
        <w:t>, por providencia de 12 de febrero de 2018; rechazo en el que intervino el propio magistrado recusado. Esa resolución fue recurrida en súplica, por la defensa del señor Sánchez, y el recurso fue inadmitido por providencia de 14 de febrero de 2018, al considerar que no cabía recurso alguno. Finalmente, la referida sala desestimó un incidente de nulidad de actuaciones interpuesto contra esta última resolución, por auto de fecha 19 de abril de 2018.</w:t>
      </w:r>
    </w:p>
    <w:p w:rsidR="005728DD" w:rsidRDefault="005728DD" w:rsidP="005728DD">
      <w:pPr>
        <w:pStyle w:val="TextoNormal"/>
      </w:pPr>
    </w:p>
    <w:p w:rsidR="005728DD" w:rsidRDefault="005728DD" w:rsidP="005728DD">
      <w:pPr>
        <w:pStyle w:val="TextoNormal"/>
      </w:pPr>
      <w:r>
        <w:t xml:space="preserve">(iii) La falta de imparcialidad también se anuda al hecho de que formaran parte del tribunal sentenciador varios magistrados que, a su vez, habían acordado la admisión a trámite de la querella presentada, mediante una resolución que, según afirma el demandante, contiene un amplio juicio de tipicidad que es inusualmente extenso en sus razonamientos jurídico-sustantivos y va más allá de lo necesario para dilucidar sobre la pertinencia de investigar una </w:t>
      </w:r>
      <w:r w:rsidRPr="005728DD">
        <w:rPr>
          <w:i/>
        </w:rPr>
        <w:t>notitia criminis</w:t>
      </w:r>
      <w:r>
        <w:t>. Así pues, dadas las circunstancias particulares del caso, el recurrente sostiene que los magistrados que admitieron la querella necesariamente asumieron prejuicios sobre la cuestión de fondo.</w:t>
      </w:r>
    </w:p>
    <w:p w:rsidR="005728DD" w:rsidRDefault="005728DD" w:rsidP="005728DD">
      <w:pPr>
        <w:pStyle w:val="TextoNormal"/>
      </w:pPr>
    </w:p>
    <w:p w:rsidR="005728DD" w:rsidRDefault="005728DD" w:rsidP="005728DD">
      <w:pPr>
        <w:pStyle w:val="TextoNormal"/>
      </w:pPr>
      <w:r>
        <w:t>(iv) Por otro lado, el recurrente advierte que el magistrado instructor, los componentes de sala de recursos y los magistrados de la sala de enjuiciamiento son miembros de un mismo órgano judicial, conforme lo previsto en el art. 57.2 LOPJ. Por ello, sugirió el planteamiento de una cuestión de inconstitucionalidad sobre las normas legales vigentes, que permiten que causas instruidas por un magistrado sean luego juzgadas por compañeros de la misma sala, dejando así de garantizarse una “distancia” entre instructor y tribunal de enjuiciamiento, cuando se trata de aforados. Esta queja se desestimó, por auto de la Sala del art. 61 LOPJ, de 13 de septiembre de 2018, que consideró prematura esa pretensión. Por ello, en la demanda se vuelve a suscitar, ahora como propuesta al Tribunal Constitucional, para el planteamiento de una cuestión interna de inconstitucionalidad respecto del art. 57.2 LOPJ.</w:t>
      </w:r>
    </w:p>
    <w:p w:rsidR="005728DD" w:rsidRDefault="005728DD" w:rsidP="005728DD">
      <w:pPr>
        <w:pStyle w:val="TextoNormal"/>
      </w:pPr>
    </w:p>
    <w:p w:rsidR="005728DD" w:rsidRDefault="005728DD" w:rsidP="005728DD">
      <w:pPr>
        <w:pStyle w:val="TextoNormal"/>
      </w:pPr>
      <w:r>
        <w:t xml:space="preserve">(v) Afirma que la recusación del presidente del tribunal, don Manuel Marchena, se formuló a raíz del mensaje telemático enviado por don Ignacio Cosidó, senador del Partido Popular, en el que afirmaba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w:t>
      </w:r>
      <w:r>
        <w:lastRenderedPageBreak/>
        <w:t>Supremo”. Esta queja fue desestimada por la Sala del art. 61 LOPJ, así como por el posterior incidente de nulidad de actuaciones, sin que se accediera, siquiera, a tomar declaración como testigo al señor Cosidó. Por ello, la defensa no pudo demostrar la concurrencia de esta causa de recusación.</w:t>
      </w:r>
    </w:p>
    <w:p w:rsidR="005728DD" w:rsidRDefault="005728DD" w:rsidP="005728DD">
      <w:pPr>
        <w:pStyle w:val="TextoNormal"/>
      </w:pPr>
    </w:p>
    <w:p w:rsidR="005728DD" w:rsidRDefault="005728DD" w:rsidP="005728DD">
      <w:pPr>
        <w:pStyle w:val="TextoNormal"/>
      </w:pPr>
      <w:r>
        <w:t>(vi) Finalmente, censura que los mismos magistrados que dictaron la sentencia condenatoria resolvieran el incidente de nulidad promovido contra ella. Así pues, se obvió por completo la petición expresa de esta defensa, formulada por otrosí en su escrito de promoción de dicho incidente, de que al menos se variase la composición personal de la sala para garantizar la máxima imparcialidad del órgano revisor, lo que en este caso era posible, pero no se hizo. Como era de esperar, el órgano judicial no advirtió ninguna vulneración de derechos fundamentales en la resolución que ellos mismos habían dictado unas semanas antes.</w:t>
      </w:r>
    </w:p>
    <w:p w:rsidR="005728DD" w:rsidRDefault="005728DD" w:rsidP="005728DD">
      <w:pPr>
        <w:pStyle w:val="TextoNormal"/>
      </w:pPr>
    </w:p>
    <w:p w:rsidR="005728DD" w:rsidRDefault="005728DD" w:rsidP="005728DD">
      <w:pPr>
        <w:pStyle w:val="TextoNormal"/>
      </w:pPr>
      <w:r>
        <w:t>b) Debido al rol inquisitivo asumido por el presidente de la Sala.</w:t>
      </w:r>
    </w:p>
    <w:p w:rsidR="005728DD" w:rsidRDefault="005728DD" w:rsidP="005728DD">
      <w:pPr>
        <w:pStyle w:val="TextoNormal"/>
      </w:pPr>
    </w:p>
    <w:p w:rsidR="005728DD" w:rsidRDefault="005728DD" w:rsidP="005728DD">
      <w:pPr>
        <w:pStyle w:val="TextoNormal"/>
      </w:pPr>
      <w:r>
        <w:t>Tras advertir que en el escrito de conclusiones definitivas ya se formuló esa queja, el demandante refiere que, en la sesión del día 14 de marzo de 2019, en la que se llevó cabo a interrogatorio del testigo don Josep Lluis Trapero, (que fue propuesto por la representación de la acusación popular), el presidente del tribunal rechazó que el fiscal formulara una pregunta en relación con la reunión de la junta de seguridad, que tuvo lugar el 28 de septiembre de 2017; y ello, conforme al criterio adoptado por la sala, consistente en permitir únicamente el interrogatorio sobre los hechos establecidos por la parte que hubiera propuesto al respectivo testigo. Pese a ello, al amparo del art. 708 LECrim, el presidente del tribunal formuló personalmente al testigo la pregunta que anteriormente había impedido formular al fiscal.</w:t>
      </w:r>
    </w:p>
    <w:p w:rsidR="005728DD" w:rsidRDefault="005728DD" w:rsidP="005728DD">
      <w:pPr>
        <w:pStyle w:val="TextoNormal"/>
      </w:pPr>
    </w:p>
    <w:p w:rsidR="005728DD" w:rsidRDefault="005728DD" w:rsidP="005728DD">
      <w:pPr>
        <w:pStyle w:val="TextoNormal"/>
      </w:pPr>
      <w:r>
        <w:t>Según sostiene el recurrente, el precepto invocado no justifica que el tribunal formule preguntas sobre aspectos no interrogados por las acusaciones, ni que rechace determinadas preguntas, por ser ajenas al objeto del testimonio y, no obstante ello, el propio tribunal las formule después, creándose así una insólita situación de contradicción entre el interrogatorio efectuado por la presidencia y el subsiguiente de las defensas pues, tras ser respondida la pregunta efectuada por esta, se dio traslado a las defensas para poder repreguntar, trámite este que no prevé la Ley de enjuiciamiento criminal .</w:t>
      </w:r>
    </w:p>
    <w:p w:rsidR="005728DD" w:rsidRDefault="005728DD" w:rsidP="005728DD">
      <w:pPr>
        <w:pStyle w:val="TextoNormal"/>
      </w:pPr>
    </w:p>
    <w:p w:rsidR="005728DD" w:rsidRDefault="005728DD" w:rsidP="005728DD">
      <w:pPr>
        <w:pStyle w:val="TextoNormal"/>
      </w:pPr>
      <w:r>
        <w:t xml:space="preserve">El demandante discrepa así de la respuesta dada a esta cuestión en la sentencia (págs.179 y siguientes), pues entiende que la imparcialidad es una cuestión de fondo, pero también de apariencias (STEDH de 6 de noviembre de 2018, asunto </w:t>
      </w:r>
      <w:r w:rsidRPr="005728DD">
        <w:rPr>
          <w:i/>
        </w:rPr>
        <w:t>Otegi Mondragón y otros c. España</w:t>
      </w:r>
      <w:r>
        <w:t>, apartado 57). Finalmente, reprueba la respuesta dada en la pág. 103 y siguientes a las quejas sobre falta de imparcialidad del tribunal; concretamente, que en numerosos procedimientos anteriores relacionados con casos acontecidos en Cataluña no se había recusado a ningún magistrado de dicha sala. Para el recurrente, ese argumento resulta inasumible, pues lo que sucediera en otros casos precedentes que afectan a otros procesados asistidos por otros letrados, en nada prejuzga ni remedia lo acontecido en el presente, en el que se han vivido situaciones inauditas y difícilmente repetibles en términos de imparcialidad judicial.</w:t>
      </w:r>
    </w:p>
    <w:p w:rsidR="005728DD" w:rsidRDefault="005728DD" w:rsidP="005728DD">
      <w:pPr>
        <w:pStyle w:val="TextoNormal"/>
      </w:pPr>
    </w:p>
    <w:p w:rsidR="005728DD" w:rsidRDefault="005728DD" w:rsidP="005728DD">
      <w:pPr>
        <w:pStyle w:val="TextoNormal"/>
      </w:pPr>
      <w:r>
        <w:t>3.4. Vulneración del principio de igualdad de armas por el trato desfavorable dispensado a las defensas en el acto del juicio oral (arts. 24 CE y 6 CEDH). El demandante estima que son reveladores de esta vulneración los siguientes episodios procesales:</w:t>
      </w:r>
    </w:p>
    <w:p w:rsidR="005728DD" w:rsidRDefault="005728DD" w:rsidP="005728DD">
      <w:pPr>
        <w:pStyle w:val="TextoNormal"/>
      </w:pPr>
    </w:p>
    <w:p w:rsidR="005728DD" w:rsidRDefault="005728DD" w:rsidP="005728DD">
      <w:pPr>
        <w:pStyle w:val="TextoNormal"/>
      </w:pPr>
      <w:r>
        <w:lastRenderedPageBreak/>
        <w:t>a) Afirma que las acusaciones sí pudieron “desbordar el objeto de pertinencia” fijado por la parte que había propuesto al testigo, pues interrogaron sobre otros extremos diferentes; pero esa permisividad no se les concedió a las defensas. A título de ejemplo, trae a colación el testimonio del presidente del Parlamento de Cataluña, señor Torrent, que fue propuesto como testigo para el esclarecimiento de determinados hechos anteriores a que ostentara ese cargo. Mientras a la acusación popular se le autorizó a adentrarse en su etapa como presidente de la cámara, a las defensas no se les permitió preguntar sobre extremos relacionados con el referéndum del 1 de octubre de 2017, pese a manifestar el testigo haber estado presente en dicho referéndum. Añade el demandante que, ni la explicación dada en ese momento frente a la queja formulada, —que era el tribunal el que fijaba las razones de pertinencia y el objeto de las preguntas—, ni la respuesta dada en la sentencia a la objeción expuesta en las conclusiones definitivas (págs. 169 a 173), justifica el proceder del tribunal, que supuso una arbitraria, injustificada y desigual limitación de los interrogatorios, con la consiguiente violación del derecho de defensa (art. 24.2 CE), así como del derecho establecido en el art. 6 CEDH, que reconoce a las defensas la posibilidad de interrogar en igualdad de condiciones a los testigos que declaren en contra de sus mandantes.</w:t>
      </w:r>
    </w:p>
    <w:p w:rsidR="005728DD" w:rsidRDefault="005728DD" w:rsidP="005728DD">
      <w:pPr>
        <w:pStyle w:val="TextoNormal"/>
      </w:pPr>
    </w:p>
    <w:p w:rsidR="005728DD" w:rsidRDefault="005728DD" w:rsidP="005728DD">
      <w:pPr>
        <w:pStyle w:val="TextoNormal"/>
      </w:pPr>
      <w:r>
        <w:t>b) Se permitió a las acusaciones efectuar preguntas a los acusados o testigos sobre su afiliación política e ideología, pero no se autorizó a las defensas preguntar sobre dichos aspectos a algunos testigos que depusieron en el acto de plenario. Ejemplo de ello son las preguntas de las acusaciones a testigos de las defensas sobre su pertenencia a la ANC o a la entidad Òmnium Cultural. En cambio, “la Presidencia impidió preguntar a la letrada de la administración de justicia del Juzgado de Instrucción núm. 13 de Barcelona —una testigo crucial, como se desprende de la propia sentencia condenatoria— si era seguidora de páginas web de la extrema derecha, cuando ello podía ser igualmente trascendente al efecto de conocer posibles sesgos de su testimonio”. Cuestiona el recurrente la respuesta dada a esta queja en la sentencia (pág. 173), al remitirse a la notoriedad pública de la militancia del testigo señor Rufián en el partido político ERC, puesto que esa respuesta no tuvo cuenta que su condición de afiliado a la ANC era “algo estrictamente privado”.</w:t>
      </w:r>
    </w:p>
    <w:p w:rsidR="005728DD" w:rsidRDefault="005728DD" w:rsidP="005728DD">
      <w:pPr>
        <w:pStyle w:val="TextoNormal"/>
      </w:pPr>
    </w:p>
    <w:p w:rsidR="005728DD" w:rsidRDefault="005728DD" w:rsidP="005728DD">
      <w:pPr>
        <w:pStyle w:val="TextoNormal"/>
      </w:pPr>
      <w:r>
        <w:t>c) A los testigos de las acusaciones se les autorizó a exponer abiertamente sus valoraciones personales sobre los hechos. En concreto, los policías que declararon a propuesta de las acusaciones pudieron referirse a aspectos tales como las “caras de odio” de los votantes, el “clima hostil” que tuvieron que vivir el primero de octubre o comparar, incluso, “lo vivido con la situación que vivieron hace unos años en el País Vasco”. También se permitió al teniente coronel Baena aludir constantemente al “clima insurreccional”. En cambio, algunas valoraciones similares que intentó exponer doña Marina Garcés fueron impedidas por la presidencia. Otro ejemplo de trato desigual tiene que ver con la posibilidad de consultar notas escritas, lo que hicieron algunos testigos propuestos por la acusación, pero les fue impedido a la señora Garcés y al señor Matamala, a quien se obligó a retirar las notas que llevaba consigo, sin siquiera preguntarle por su contenido.</w:t>
      </w:r>
    </w:p>
    <w:p w:rsidR="005728DD" w:rsidRDefault="005728DD" w:rsidP="005728DD">
      <w:pPr>
        <w:pStyle w:val="TextoNormal"/>
      </w:pPr>
    </w:p>
    <w:p w:rsidR="005728DD" w:rsidRDefault="005728DD" w:rsidP="005728DD">
      <w:pPr>
        <w:pStyle w:val="TextoNormal"/>
      </w:pPr>
      <w:r>
        <w:t xml:space="preserve">d) Para el demandante, la diferencia de trato ha sido evidente ante manifestaciones de “desmemoria” o “renuencia” de algunos testigos, según que esto sucediera al responder a preguntas de las acusaciones o de las defensas. Se ponen como ejemplos las declaraciones de doña Soraya Sáenz de Santamaría, don Mariano Rajoy y don Ignacio Zoido, a quienes “en ningún momento procedió la Sala a apercibirles con las penas previstas para los testigos renuentes”. Sin embargo, la testigo doña Teresa Guix, en la sesión del 6 de marzo, o el </w:t>
      </w:r>
      <w:r>
        <w:lastRenderedPageBreak/>
        <w:t>testigo don Jaume Mestre, en la sesión de 13 de marzo, fueron advertidos de que debían ser más precisos en sus respuestas, pues, en caso contrario, podrían cometer un delito de falso testimonio. Añade el recurrente, que la argumentación que sobre este aspecto figura en la pág. 192 de la sentencia no repara la lesión producida, al entender justificables “olvidos” del señor Rajoy que son muy difíciles de creer (por ejemplo, no recordar a través de qué medio se comunicó con el señor Urkullu).</w:t>
      </w:r>
    </w:p>
    <w:p w:rsidR="005728DD" w:rsidRDefault="005728DD" w:rsidP="005728DD">
      <w:pPr>
        <w:pStyle w:val="TextoNormal"/>
      </w:pPr>
    </w:p>
    <w:p w:rsidR="005728DD" w:rsidRDefault="005728DD" w:rsidP="005728DD">
      <w:pPr>
        <w:pStyle w:val="TextoNormal"/>
      </w:pPr>
      <w:r>
        <w:t>e) Señala también que, en la sesión del día 11 de abril del 2019, se le impidió a su defensa interrogar a un inspector de policía, respecto del “aparente infarto” sufrido por un ciudadano cuando se disponía a votar; y ello, pese a que esa circunstancia se mencionaba en el escrito de acusación y, previamente, se había permitido al fiscal interrogar al respecto. Discrepa el demandante de la consideración de “intranscendente” con que se valora al testigo en la pág. 194 de la sentencia, pues la indicada resolución recoge, en las págs. 53 y 54, “los enfrentamientos entre ciudadanos y policías de los que derivan lesiones y son motivos de las graves condenas impuestas”. Sin perjuicio de lo expuesto, el demandante destaca que la presidencia le impidió exponer las razones de su protesta, por lo que se vio forzado a dejar de interrogar al testigo.</w:t>
      </w:r>
    </w:p>
    <w:p w:rsidR="005728DD" w:rsidRDefault="005728DD" w:rsidP="005728DD">
      <w:pPr>
        <w:pStyle w:val="TextoNormal"/>
      </w:pPr>
    </w:p>
    <w:p w:rsidR="005728DD" w:rsidRDefault="005728DD" w:rsidP="005728DD">
      <w:pPr>
        <w:pStyle w:val="TextoNormal"/>
      </w:pPr>
      <w:r>
        <w:t>f) La vulneración del principio de igualdad de armas también se constata por la predisposición de la presidencia a interrumpir los interrogatorios de las defensas y a la adopción de una posición mucho más rigurosa en relación con la forma de preguntar o de expresarse. Ejemplo de ello es el reproche que dirigió el presidente al letrado del aquí recurrente, en la sesión de 27 de abril de 2019, cuando este utilizó la expresión “ley de ritos” para referirse a la Ley de enjuiciamiento criminal, porque esa expresión constituía un “insulto a los procesalistas”. Sin embargo, según refiere el demandante, la Sala Segunda del Tribunal Supremo ha utilizado la expresión “ley de ritos” en 789 ocasiones y el término “ley rituaria” en otras 863. Por ello, la señalada actitud de la presidencia supuso una grave cortapisa a la hora de interrogar o de protestar, “pues a ningún letrado le complace que le reprochen en público y en un juicio visto por miles de personas y escrutado permanentemente por los medios de comunicación supuestas faltas de solvencia en su desempeño profesional”, con la consiguiente merma del derecho de defensa.</w:t>
      </w:r>
    </w:p>
    <w:p w:rsidR="005728DD" w:rsidRDefault="005728DD" w:rsidP="005728DD">
      <w:pPr>
        <w:pStyle w:val="TextoNormal"/>
      </w:pPr>
    </w:p>
    <w:p w:rsidR="005728DD" w:rsidRDefault="005728DD" w:rsidP="005728DD">
      <w:pPr>
        <w:pStyle w:val="TextoNormal"/>
      </w:pPr>
      <w:r>
        <w:t>3.5. Vulneración del derecho de defensa (arts. 24 CE y 6 CEDH) por no haber tenido el letrado defensor acceso al contenido de la investigación realizada por el Juzgado de Instrucción núm. 13 de Barcelona, por la imposibilidad de contrastar las declaraciones testificales con la prueba documental videográfica y por la denegación de pruebas pertinentes solicitadas en tiempo y forma. En este apartado se mencionan tres aspectos diferenciados.</w:t>
      </w:r>
    </w:p>
    <w:p w:rsidR="005728DD" w:rsidRDefault="005728DD" w:rsidP="005728DD">
      <w:pPr>
        <w:pStyle w:val="TextoNormal"/>
      </w:pPr>
    </w:p>
    <w:p w:rsidR="005728DD" w:rsidRDefault="005728DD" w:rsidP="005728DD">
      <w:pPr>
        <w:pStyle w:val="TextoNormal"/>
      </w:pPr>
      <w:r>
        <w:t xml:space="preserve">a) Denegación de la aportación de testimonio íntegro de las diligencias practicadas en el Juzgado de Instrucción núm. 13 de Barcelona (arts. 24 CE y 6 CEDH). El demandante sostiene que la mayor parte de la instrucción, entendida como fuente de obtención de material incriminatorio, no se verificó ante el Tribunal Supremo sino en las diligencias previas núm. 118-2017 seguidas ante el Juzgado de Instrucción núm.13 de Barcelona, en cuyo seno se practicaron la inmensa mayoría de las actuaciones policiales de las que dimanó buena parte del material probatorio que, posteriormente, fue aportado al presente procedimiento por el fiscal. Sin embargo, como el demandante no fue parte en ese procedimiento, no tuvo conocimiento de lo que lo que califica como una “instrucción paralela”, en la que se generaron gran parte de los informes policiales y numerosos documentos que las acusaciones hicieron </w:t>
      </w:r>
      <w:r>
        <w:lastRenderedPageBreak/>
        <w:t>valer como prueba en el acto del juicio oral, especialmente en relación con el delito de malversación de caudales públicos. El demandante pone de relieve que, en el trámite establecido en el art. 627 LECrim, interesó la reapertura de la fase de instrucción, a fin de que se remitiera testimonio íntegro de las referidas diligencias, siendo dicha petición rechazada, so pretexto de que esa diligencia podría interesarse en una fase posterior. Ello motivó que esa solicitud fuera reiterada en el escrito de conclusiones provisionales, pero sin éxito alguno.</w:t>
      </w:r>
    </w:p>
    <w:p w:rsidR="005728DD" w:rsidRDefault="005728DD" w:rsidP="005728DD">
      <w:pPr>
        <w:pStyle w:val="TextoNormal"/>
      </w:pPr>
    </w:p>
    <w:p w:rsidR="005728DD" w:rsidRDefault="005728DD" w:rsidP="005728DD">
      <w:pPr>
        <w:pStyle w:val="TextoNormal"/>
      </w:pPr>
      <w:r>
        <w:t>Según indica, la aportación del testimonio solicitado habría permitido a las partes y al tribunal analizar la totalidad de las actuaciones (informes técnicos, documentos y atestados) que obran en el procedimiento del que se nutrían las presentes actuaciones, pudiendo interrogar a procesados y testigos sobre la totalidad de documentos e informes allí obrantes, que en su mayoría no eran conocidos por el demandante. Esa diligencia era especialmente necesaria, pues el Ministerio Fiscal solicitó selectivamente testimonio de algunas resoluciones dictadas en el marco del procedimiento referenciado (véase el escrito del Ministerio Fiscal obrante a los folios 1253 y siguientes, tomo 3 de la pieza de instrucción), así como por la incorporación de testimonios de algunos de los atestados redactados por la Guardia Civil, en funciones de policía judicial, que se habían ido elaborando en el seno del citado procedimiento sobre la base de diligencias de investigación, en cuya práctica la defensa del demandante no había podido intervenir por no ser parte procesal.</w:t>
      </w:r>
    </w:p>
    <w:p w:rsidR="005728DD" w:rsidRDefault="005728DD" w:rsidP="005728DD">
      <w:pPr>
        <w:pStyle w:val="TextoNormal"/>
      </w:pPr>
    </w:p>
    <w:p w:rsidR="005728DD" w:rsidRDefault="005728DD" w:rsidP="005728DD">
      <w:pPr>
        <w:pStyle w:val="TextoNormal"/>
      </w:pPr>
      <w:r>
        <w:t>Por último, destaca la anómala situación a que se ha visto sujeto, desde la perspectiva del derecho de defensa. Si se admite la posibilidad de instrucciones paralelas practicadas a espaldas de las defensas, realmente se impide a estas conocer e intervenir en aquellas actuaciones instructoras que pueden beneficiar sus tesis y aportar al juicio aquellos elementos de prueba susceptibles de favorecerlas. Y esa vulneración no desaparece porque se argumente que la única prueba a la que se atribuye valor incriminatorio sea la practicada en el acto del juicio oral. Quien no ha estado presente en la fase instructora de un procedimiento difícilmente “podrá conocer y proponer la práctica de medios de prueba, favorables a sus tesis, dimanantes de diligencias practicadas en instrucción. De ahí que en el procedimiento penal español se reconozca de modo general el derecho de las defensas de estar presente en la fase instructora desde el inicio de esta. Un derecho que no se ha respetado en el presente caso y que justifica la presente denuncia”.</w:t>
      </w:r>
    </w:p>
    <w:p w:rsidR="005728DD" w:rsidRDefault="005728DD" w:rsidP="005728DD">
      <w:pPr>
        <w:pStyle w:val="TextoNormal"/>
      </w:pPr>
    </w:p>
    <w:p w:rsidR="005728DD" w:rsidRDefault="005728DD" w:rsidP="005728DD">
      <w:pPr>
        <w:pStyle w:val="TextoNormal"/>
      </w:pPr>
      <w:r>
        <w:t>b) Imposibilidad de contrastar las declaraciones testificales con la prueba documental videográfica. Señala el recurrente que, tras haber permitido ese contraste con algunos testigos iniciales (señores.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Esta decisión resultó contradictoria, pues tan prueba documental es un papel como una grabación de vídeo. Añade que la confrontación entre lo declarado por un testigo y prueba videográfica está prevista en el art. 729.3 LECrim y constituye una práctica absolutamente habitual en los tribunales españoles. Por ello, ese contraste forma parte de la garantía básica de contradicción propia del juicio oral y que, de haberse permitido su práctica, se habría evitado que “algunos testigos mintieran a la Sala o exageraran ostensiblemente en su declaración”.</w:t>
      </w:r>
    </w:p>
    <w:p w:rsidR="005728DD" w:rsidRDefault="005728DD" w:rsidP="005728DD">
      <w:pPr>
        <w:pStyle w:val="TextoNormal"/>
      </w:pPr>
    </w:p>
    <w:p w:rsidR="005728DD" w:rsidRDefault="005728DD" w:rsidP="005728DD">
      <w:pPr>
        <w:pStyle w:val="TextoNormal"/>
      </w:pPr>
      <w:r>
        <w:lastRenderedPageBreak/>
        <w:t>La decisión adoptada por la Sala, consistente en reproducir todos los vídeos en la fase de prueba documental, no subsanó la vulneración de la garantía de contradicción, porque no es lo mismo exhibir un video a un testigo cuando este último está declarando que hacerlo semanas o meses más tarde; y, en segundo lugar, porque durante la exhibición de la prueba documental, a los letrados no se les permitió glosar su contenido ni razonar las conclusiones que extraían del documento videográfico, respecto de la credibilidad de los testigos que habían depuesto semanas o meses antes. Finalmente, destaca que la decisión cuestionada impidió que los testigos pudieran rectificar el sentido de sus declaraciones mendaces o exageradas, a la vista de lo grabado. Por tanto, el recurrente concluye que con la injustificada limitación de la práctica de la prueba se vulneró también el derecho de defensa.</w:t>
      </w:r>
    </w:p>
    <w:p w:rsidR="005728DD" w:rsidRDefault="005728DD" w:rsidP="005728DD">
      <w:pPr>
        <w:pStyle w:val="TextoNormal"/>
      </w:pPr>
    </w:p>
    <w:p w:rsidR="005728DD" w:rsidRDefault="005728DD" w:rsidP="005728DD">
      <w:pPr>
        <w:pStyle w:val="TextoNormal"/>
      </w:pPr>
      <w:r>
        <w:t>c) Denegación de pruebas pertinentes solicitadas en tiempo y forma. Alega el demandante que la denegación de medios de prueba, que fue adoptada por auto de la Sala Segunda del Tribunal Supremo de 1 de febrero de 2019, ha vulnerado su derecho de defensa. En concreto, señala las siguientes:</w:t>
      </w:r>
    </w:p>
    <w:p w:rsidR="005728DD" w:rsidRDefault="005728DD" w:rsidP="005728DD">
      <w:pPr>
        <w:pStyle w:val="TextoNormal"/>
      </w:pPr>
    </w:p>
    <w:p w:rsidR="005728DD" w:rsidRDefault="005728DD" w:rsidP="005728DD">
      <w:pPr>
        <w:pStyle w:val="TextoNormal"/>
      </w:pPr>
      <w:r>
        <w:t>(i) Que se requiriese a la Unidad Central de Delitos Informáticos de los Mossos d’Esquadra a fin de que facilitaran los datos del titular de la cuenta de la red social twitter ‘@nmaquiavelo1984’ y ‘@JDanielBaena’. No se trataba de indagar gratuitamente en la ideología del testigo, sino de poner de manifiesto la abierta hostilidad que este profesaba respecto de los procesados y que se había manifestado en numerosos mensajes en las redes sociales. Este dato no era intrascendente para valorar la credibilidad de un testimonio tan crucial, teniendo en cuenta que se trataba de un funcionario público que debía regir su actuación por el principio de objetividad y que era la persona que había dirigido la investigación policial. La opción que se dio a las defensas, de preguntar al testigo sobre tal circunstancia en el momento de declarar, no podía suplir la necesidad de la diligencia rechazada, pues tal opción permitía al testigo negar sin más la autoría de tales mensajes (como así hizo), sin que la defensa tuviera opción de contrastar la veracidad de tales manifestaciones con medios probatorios mucho más fiables.</w:t>
      </w:r>
    </w:p>
    <w:p w:rsidR="005728DD" w:rsidRDefault="005728DD" w:rsidP="005728DD">
      <w:pPr>
        <w:pStyle w:val="TextoNormal"/>
      </w:pPr>
    </w:p>
    <w:p w:rsidR="005728DD" w:rsidRDefault="005728DD" w:rsidP="005728DD">
      <w:pPr>
        <w:pStyle w:val="TextoNormal"/>
      </w:pPr>
      <w:r>
        <w:t>(ii) La testifical del rey de España, don Felipe VI. El recurrente critica el argumento dado en el auto de 1 de febrero de 2019 (pág. 72) para rechazar esa testifical: que el art. 411 LECrim exceptúa del deber de declarar como testigo al rey. Ese precepto brinda al monarca la posibilidad de eximirse de la obligación de declarar, pero no establece una prohibición de hacerlo, como así lo interpretó erróneamente la Sala de lo Penal. Por tanto, se vulneró el derecho de defensa del recurrente, al rechazarse la prueba antes de saber si el testigo propuesto decidía o no acogerse a la dispensa. Por último, justifica la pertinencia de la prueba en base al relevante papel que las acusaciones atribuyeron al jefe del Estado, en sus escritos de conclusiones, en relación con los hechos enjuiciados.</w:t>
      </w:r>
    </w:p>
    <w:p w:rsidR="005728DD" w:rsidRDefault="005728DD" w:rsidP="005728DD">
      <w:pPr>
        <w:pStyle w:val="TextoNormal"/>
      </w:pPr>
    </w:p>
    <w:p w:rsidR="005728DD" w:rsidRDefault="005728DD" w:rsidP="005728DD">
      <w:pPr>
        <w:pStyle w:val="TextoNormal"/>
      </w:pPr>
      <w:r>
        <w:t>(iii) La testifical del jefe de la Casa de Su Majestad, don Jaime Alfonsín Alfonso. Dicha prueba se propuso con carácter alternativo, por si el monarca se acogía a la dispensa de no declarar. Por tanto, no resulta asumible el motivo de inadmisión que figura en el auto de 1 de febrero de 2019; a saber, que en el proceso penal no se admite el testigo por sustitución. Esta denegación vulneró el derecho de defensa del recurrente, pues la prueba era pertinente “a la vista de los hechos que motivan la acusación y del relevante papel que en ellos desempeña la Casa Real”.</w:t>
      </w:r>
    </w:p>
    <w:p w:rsidR="005728DD" w:rsidRDefault="005728DD" w:rsidP="005728DD">
      <w:pPr>
        <w:pStyle w:val="TextoNormal"/>
      </w:pPr>
    </w:p>
    <w:p w:rsidR="005728DD" w:rsidRDefault="005728DD" w:rsidP="005728DD">
      <w:pPr>
        <w:pStyle w:val="TextoNormal"/>
      </w:pPr>
      <w:r>
        <w:lastRenderedPageBreak/>
        <w:t>(iv) La testifical de don Carles Puigdemont. La inadmisión de su testimonio se basó en que estaba en rebeldía y aún no había sido enjuiciado. Sin embargo, el recurrente discrepa de la decisión adoptada, porque la declaración del testigo no solo era pertinente sino crucial, al ser el máximo responsable del Govern. Por otro lado, el hecho de que el propuesto como testigo no estuviera presente en el acto del juicio, fue debido a que el magistrado instructor había decidido rechazar su extradición por razones puramente estratégicas, ya que Alemania estaba dispuesta a entregarlo para ser juzgado por malversación. Añade que la responsabilidad del propuesto se dirimía en una pieza separada del proceso, por lo que podía declarar con las mismas garantías que otros testigos que, al mismo tiempo, estaban siendo investigados en otros procedimientos (cita como ejemplo a los señores Trapero o Jové). Por último, señala el contradictorio comportamiento de la Sala, al admitir el testimonio de doña Anna Simó, miembro de la mesa del Parlament, pese a haber estado procesada en la misma causa hasta el trámite de las cuestiones previas.</w:t>
      </w:r>
    </w:p>
    <w:p w:rsidR="005728DD" w:rsidRDefault="005728DD" w:rsidP="005728DD">
      <w:pPr>
        <w:pStyle w:val="TextoNormal"/>
      </w:pPr>
    </w:p>
    <w:p w:rsidR="005728DD" w:rsidRDefault="005728DD" w:rsidP="005728DD">
      <w:pPr>
        <w:pStyle w:val="TextoNormal"/>
      </w:pPr>
      <w:r>
        <w:t>3.6. Vulneración del derecho a la presunción de inocencia y a la tutela judicial efectiva (art. 24 CE). Esta queja trae causa de las manifestaciones públicas de miembros del Gobierno español sobre los hechos enjuiciados y de la reiterada omisión del órgano judicial, que no amparó a los procesados ante dichas vulneraciones. El demandante refiere que, mientras se desarrollaba el procedimiento penal ante el Tribunal Supremo, la Secretaría de Estado para la España Global, órgano dependiente del Ministerio de Asuntos Exteriores, emprendió una campaña propagandística para informar en el extranjero sobre los hechos que se estaban enjuiciando. En el contexto de dicha campaña se efectuaron declaraciones y se elaboraron documentos en los que abiertamente se consideraba a los procesados culpables de los hechos enjuiciados; todas ellas reflejadas en el escrito de demanda. También alega el recurrente, que en vídeos de fecha posterior a la sentencia se caricaturizó a los acusados como si fueran ladrones.</w:t>
      </w:r>
    </w:p>
    <w:p w:rsidR="005728DD" w:rsidRDefault="005728DD" w:rsidP="005728DD">
      <w:pPr>
        <w:pStyle w:val="TextoNormal"/>
      </w:pPr>
    </w:p>
    <w:p w:rsidR="005728DD" w:rsidRDefault="005728DD" w:rsidP="005728DD">
      <w:pPr>
        <w:pStyle w:val="TextoNormal"/>
      </w:pPr>
      <w:r>
        <w:t>El recurrente y otros procesados pidieron amparo a la Sala Segunda del Tribunal Supremo, por escrito de 4 de febrero de 2019, y alegaron la vulneración del derecho a la presunción de inocencia. Mediante auto de 7 de febrero de 2019, la Sala de lo Penal estimó que la vulneración del derecho a la presunción de inocencia derivada de las declaraciones de la Secretaria de Estado doña Irene Lozano, responsable de la campaña gubernamental “España Global”, podría ser objeto de alegación en las sesiones del plenario en las que se reivindicara la vigencia de ese derecho, motivo por el que la defensa planteó la presente cuestión previa al inicio de las sesiones del juicio y en su escrito de conclusiones definitivas. Asimismo, señala que por escrito de fecha 5 de septiembre de 2019 formuló denuncia ante el tribunal sentenciador por la comunicación del documento “La realidad del proceso independentista”. Que en los dos escritos citados, invocó el contenido del art. 4.2 de la Directiva 2016/343 del Parlamento y del Consejo, de 9 de marzo, que dispone que “[l]os Estados miembros velarán porque se disponga de medidas en caso de incumplimiento de la obligación establecida en el apartado 1 del presente artículo, de no referirse a sospechosos o acusados como culpables”, e interesó que se requiriese a la citada autoridad para que se abstuviera de efectuar nuevas manifestaciones. Tal petición fue rechazada en la sentencia, que minimizó las primeras manifestaciones ante la BBC, calificándoles simplemente de “torpes” (página 143), pero “intrascendentes”, sin hacer referencia alguna al informe publicado.</w:t>
      </w:r>
    </w:p>
    <w:p w:rsidR="005728DD" w:rsidRDefault="005728DD" w:rsidP="005728DD">
      <w:pPr>
        <w:pStyle w:val="TextoNormal"/>
      </w:pPr>
    </w:p>
    <w:p w:rsidR="005728DD" w:rsidRDefault="005728DD" w:rsidP="005728DD">
      <w:pPr>
        <w:pStyle w:val="TextoNormal"/>
      </w:pPr>
      <w:r>
        <w:t xml:space="preserve">3.7. Vulneración del derecho a un proceso con todas las garantías (arts. 24 CE y 6 CEDH) por la filtración del contenido de la sentencia, cuando su redacción no había sido todavía </w:t>
      </w:r>
      <w:r>
        <w:lastRenderedPageBreak/>
        <w:t>culminada. Señala el demandante que esa lesión ya se planteó en el incidente de nulidad, pues días antes de que se firmara y notificara la sentencia diversos medios de comunicación anticiparon cuál iba a ser el sentido del fallo, cuando su contenido era aún susceptible de experimentar cambios (se citan algunos enlaces de internet de medios de prensa digitales y en varios de esos medios se habla de “fuentes judiciales”).</w:t>
      </w:r>
    </w:p>
    <w:p w:rsidR="005728DD" w:rsidRDefault="005728DD" w:rsidP="005728DD">
      <w:pPr>
        <w:pStyle w:val="TextoNormal"/>
      </w:pPr>
    </w:p>
    <w:p w:rsidR="005728DD" w:rsidRDefault="005728DD" w:rsidP="005728DD">
      <w:pPr>
        <w:pStyle w:val="TextoNormal"/>
      </w:pPr>
      <w:r>
        <w:t>El recurrente incide en la importancia del secreto de las deliberaciones de un tribunal, por lo que no parece asumible que la filtración anticipada del fallo no tenga repercusiones procesales, ni de afectación a las garantías del procedimiento. Recuerda que la STC 69/2001, de 17 de marzo, declara que la filtración de una sentencia, en principio, es una circunstancia inocua para los derechos fundamentales, “salvo que el denunciante de tal vulneración pueda acreditar —cabría preguntarse de qué manera— que la opinión de alguno o de algunos de los integrantes del tribunal haya podido verse condicionada por hechos o circunstancias externas a la propia deliberación o que la citada ‘filtración’ iba encaminada a obtener una modificación interesada de lo previamente decidido’[…] (FJ 12)”. O bien, que haya propiciado la filtración “un clamor popular a favor de la condena o de la absolución de los encausados poniendo en entredicho la necesaria serenidad del tribunal o la confianza de la ciudadanía en el comportamiento neutral de los juzgadores” (FJ 6).</w:t>
      </w:r>
    </w:p>
    <w:p w:rsidR="005728DD" w:rsidRDefault="005728DD" w:rsidP="005728DD">
      <w:pPr>
        <w:pStyle w:val="TextoNormal"/>
      </w:pPr>
    </w:p>
    <w:p w:rsidR="005728DD" w:rsidRDefault="005728DD" w:rsidP="005728DD">
      <w:pPr>
        <w:pStyle w:val="TextoNormal"/>
      </w:pPr>
      <w:r>
        <w:t xml:space="preserve">Dicho clamor, se dice, se produjo en el presente caso, pues son notorias las incontables informaciones, artículos y comentarios anticipados del fallo aparecidos en los medios de comunicación con posterioridad a la filtración, así como las manifestaciones de responsables políticos —en un contexto de precampaña electoral— valorando anticipadamente la condena, cuando la sentencia no había sido aún firmada ni notificada. Como sucede cuando se quiebran garantías vinculadas con la imparcialidad judicial, su simple vulneración, aun no pudiéndose determinar cuáles han sido sus concretos efectos, debe suponer la invalidez del acto procesal, sin que proceda someter a quien denuncia a lo que supone una auténtica </w:t>
      </w:r>
      <w:r w:rsidRPr="005728DD">
        <w:rPr>
          <w:i/>
        </w:rPr>
        <w:t>probatio diabólica</w:t>
      </w:r>
      <w:r>
        <w:t>. Por tanto, el compromiso adquirido por el presidente de la Sala de que haría todo lo posible para que no se repitieran las filtraciones, pasaba por haber anulado la sentencia, como se pidió, por vulneración de los arts. 24 CE y 6 CEDH. Sin embargo, el auto resolutorio del incidente de nulidad se limitó a afirmar que no constaba que la filtración hubiera condicionado el sentido de la decisión; es decir, sometió al recurrente a la prueba diabólica antes aludida.</w:t>
      </w:r>
    </w:p>
    <w:p w:rsidR="005728DD" w:rsidRDefault="005728DD" w:rsidP="005728DD">
      <w:pPr>
        <w:pStyle w:val="TextoNormal"/>
      </w:pPr>
    </w:p>
    <w:p w:rsidR="005728DD" w:rsidRDefault="005728DD" w:rsidP="005728DD">
      <w:pPr>
        <w:pStyle w:val="TextoNormal"/>
      </w:pPr>
      <w:r>
        <w:t>3.8. Vulneración del derecho a un proceso con todas las garantías por imposición de penas superiores a las solicitadas por la acusación particular (arts. 24 CE y 6 CEDH). Señala el demandante que, desde el acuerdo del Pleno de 20 de diciembre de 2006, la jurisprudencia del Tribunal Supremo establece que “el tribunal sentenciador no puede imponer pena superior a la más grave de las pedidas en concreto por las acusaciones, cualquiera que sea el tipo de procedimiento por el que se sustancie la causa”. Esta decisión tiene un inequívoco fundamento constitucional, que se deriva del art. 24 CE y, más concretamente, del derecho fundamental a un proceso con todas las garantías y sin indefensión. En apoyo de ese argumento, el recurrente invoca la STS 675/2013, cuyo contenido parcialmente transcribe.</w:t>
      </w:r>
    </w:p>
    <w:p w:rsidR="005728DD" w:rsidRDefault="005728DD" w:rsidP="005728DD">
      <w:pPr>
        <w:pStyle w:val="TextoNormal"/>
      </w:pPr>
    </w:p>
    <w:p w:rsidR="005728DD" w:rsidRDefault="005728DD" w:rsidP="005728DD">
      <w:pPr>
        <w:pStyle w:val="TextoNormal"/>
      </w:pPr>
      <w:r>
        <w:t xml:space="preserve">Refiere a continuación que en las págs. 478 y 479 de la sentencia, el tribunal afirma que, a la hora de determinar la penalidad concretamente impuesta a los acusados, deben acogerse los términos acusatorios de la abogacía del Estado, descartándose las peticiones formuladas por fiscalía y la acusación popular. Sin embargo, al demandante le ha sido impuesta una </w:t>
      </w:r>
      <w:r>
        <w:lastRenderedPageBreak/>
        <w:t>condena superior a la solicitada por la abogacía del Estado, puesto que esa acusación solicitó para el recurrente una pena de once años y seis meses de prisión y otros tantos de inhabilitación, pero la pena finalmente impuesta asciende a los doce años.</w:t>
      </w:r>
    </w:p>
    <w:p w:rsidR="005728DD" w:rsidRDefault="005728DD" w:rsidP="005728DD">
      <w:pPr>
        <w:pStyle w:val="TextoNormal"/>
      </w:pPr>
    </w:p>
    <w:p w:rsidR="005728DD" w:rsidRDefault="005728DD" w:rsidP="005728DD">
      <w:pPr>
        <w:pStyle w:val="TextoNormal"/>
      </w:pPr>
      <w:r>
        <w:t>Afirma también que el hecho de que la acusación popular solicitara aisladamente para el delito de sedición penas más graves no justifica el proceder de la sala, pues la concreta calificación efectuada por esta última fue expresamente descartada por el tribunal, al no pronunciarse acertadamente sobre la naturaleza de la relación concursal —que se presentaba como un concurso real de delitos—. Por último, señala que resulta contradictorio que la sala se haya servido de las peticiones punitivas del partido político Vox para imponer las penas, cuando ha considerado que el ejercicio de la acusación por un partido político resulta ser un elemento perturbador (pág. 150 de la sentencia), que sería muy conveniente suprimir del texto de la ley procesal.</w:t>
      </w:r>
    </w:p>
    <w:p w:rsidR="005728DD" w:rsidRDefault="005728DD" w:rsidP="005728DD">
      <w:pPr>
        <w:pStyle w:val="TextoNormal"/>
      </w:pPr>
    </w:p>
    <w:p w:rsidR="005728DD" w:rsidRDefault="005728DD" w:rsidP="005728DD">
      <w:pPr>
        <w:pStyle w:val="TextoNormal"/>
      </w:pPr>
      <w:r>
        <w:t xml:space="preserve">3.9 Vulneración del derecho fundamental a la legalidad sancionatoria (arts. 25 CE y 7 CEDH), por abandono </w:t>
      </w:r>
      <w:r w:rsidRPr="005728DD">
        <w:rPr>
          <w:i/>
        </w:rPr>
        <w:t>ad hoc</w:t>
      </w:r>
      <w:r>
        <w:t xml:space="preserve"> del principio de accesoriedad limitada en la participación. En este apartado sostiene que la “accesoriedad limitada” es uno de los principios cardinales de la teoría de la imputación penal, que ha sido reconocido por la Sala Segunda del Tribunal Supremo; entre otras, en las SSTS 214/2018, de 8 de mayo, y 704/2018, de 15 de enero. Esta doctrina considera necesario que al autor se le pueda atribuir la comisión de un hecho típico y antijurídico, aunque no resulte culpable, para que pueda considerarse responsable penal al partícipe. Según refiere el recurrente, en el delito de sedición hay dos clases de sujetos intervinientes: los ejecutores materiales o autores directos, quienes se alzan pública o tumultuariamente (art. 544 CP); y los que hubieren inducido, sostenido o dirigido la sedición, o aparecieren en ella como sus principales autores (art. 545 CP). Al demandante, la sentencia (págs. 339 a 340) le atribuye el rol de inductor o promotor, al haber alentado a ciudadanos a movilizarse; y también le asigna el papel de cooperador por haber contribuido con medios materiales para que se realizara el referéndum, guiado por una clara voluntad de promover la inobservancia de los mandatos jurisdiccionales. Por tanto, de acuerdo con el principio de accesoriedad limitada, si no ha existido hecho antijurídico atribuible a uno o varios ejecutores directos no puede existir una participación penalmente relevante.</w:t>
      </w:r>
    </w:p>
    <w:p w:rsidR="005728DD" w:rsidRDefault="005728DD" w:rsidP="005728DD">
      <w:pPr>
        <w:pStyle w:val="TextoNormal"/>
      </w:pPr>
    </w:p>
    <w:p w:rsidR="005728DD" w:rsidRDefault="005728DD" w:rsidP="005728DD">
      <w:pPr>
        <w:pStyle w:val="TextoNormal"/>
      </w:pPr>
      <w:r>
        <w:t>Considera acreditado que los ciudadanos que intervinieron, como manifestantes o votantes en los actos del 20 de septiembre y 1 de octubre de 2017, no han merecido reproche penal alguno, y así lo afirma la sentencia de condena (págs. 240, 245 y 383), sin que nadie haya sido procesado por sedición por esos hechos. Incluso, algunos de los presuntos máximos responsables de la organización del referéndum, como don Lluis Salvadó y don Josep María Jové, tampoco han sido procesados por ese delito, sino por delitos de gravedad muy inferior (prevaricación, desobediencia o malversación, cita la demanda), mientras que algunos casos aislados de votantes que ejercieron resistencia contra las fuerzas del orden han sido condenados por un delito de atentado y lesiones leves.</w:t>
      </w:r>
    </w:p>
    <w:p w:rsidR="005728DD" w:rsidRDefault="005728DD" w:rsidP="005728DD">
      <w:pPr>
        <w:pStyle w:val="TextoNormal"/>
      </w:pPr>
    </w:p>
    <w:p w:rsidR="005728DD" w:rsidRDefault="005728DD" w:rsidP="005728DD">
      <w:pPr>
        <w:pStyle w:val="TextoNormal"/>
      </w:pPr>
      <w:r>
        <w:t xml:space="preserve">Con base en las anteriores premisas, el demandante refuta su condena por el delito de sedición. Afirma que no se le puede acusar de promover un alzamiento sedicioso, si los comportamientos más graves de los manifestantes solo se califican de atentado y si los organizadores, excepto los máximos dirigentes procesados por el Tribunal Supremo, tampoco han sido procesados por ese tipo de alzamiento. Para el recurrente, la condena por delito de sedición se explica “desde la voluntad de escarmentar a los máximos líderes políticos y </w:t>
      </w:r>
      <w:r>
        <w:lastRenderedPageBreak/>
        <w:t>sociales del movimiento independentista con castigos que nada tienen que ver con la gravedad real de los hechos a cuya comisión indujeron a los ciudadanos. Se trataba […] de construir un ‘traje punitivo a medida’ para los líderes políticos del movimiento independentista”. Descarta asimismo que en el presente caso quepa apreciar un supuesto de autoría mediata (posibilidad que, por lo demás, no se menciona siquiera en la sentencia), pues esa hipótesis no está prevista en los arts. 544 y 545 CP y supondría sostener que “los ciudadanos que se manifestaron actuaron como meros instrumentos, totalmente ‘abducidos’ por los acusados en una situación de error invencible que se mantuvo incluso frente a la actuación de agentes uniformados”.</w:t>
      </w:r>
    </w:p>
    <w:p w:rsidR="005728DD" w:rsidRDefault="005728DD" w:rsidP="005728DD">
      <w:pPr>
        <w:pStyle w:val="TextoNormal"/>
      </w:pPr>
    </w:p>
    <w:p w:rsidR="005728DD" w:rsidRDefault="005728DD" w:rsidP="005728DD">
      <w:pPr>
        <w:pStyle w:val="TextoNormal"/>
      </w:pPr>
      <w:r>
        <w:t xml:space="preserve">Ese cambio </w:t>
      </w:r>
      <w:r w:rsidRPr="005728DD">
        <w:rPr>
          <w:i/>
        </w:rPr>
        <w:t>ad hoc</w:t>
      </w:r>
      <w:r>
        <w:t xml:space="preserve"> de la doctrina sobre el principio de accesoriedad no se acomoda a las exigencias del principio de legalidad, tal como se define en el art. 7 CEDH (con cita de la STEDH de 21 de octubre de 2013, asunto </w:t>
      </w:r>
      <w:r w:rsidRPr="005728DD">
        <w:rPr>
          <w:i/>
        </w:rPr>
        <w:t>Del Río Prada c. España</w:t>
      </w:r>
      <w:r>
        <w:t xml:space="preserve">). Ese principio no solo prohíbe que se apliquen </w:t>
      </w:r>
      <w:r w:rsidRPr="005728DD">
        <w:rPr>
          <w:i/>
        </w:rPr>
        <w:t>a posteriori</w:t>
      </w:r>
      <w:r>
        <w:t xml:space="preserve"> y en perjuicio del reo cambios en el texto de la ley, pues también veda las modificaciones sobrevenidas de la jurisprudencia que perjudiquen al acusado (STEDH de 11 de abril de 2013, asunto </w:t>
      </w:r>
      <w:r w:rsidRPr="005728DD">
        <w:rPr>
          <w:i/>
        </w:rPr>
        <w:t>Vyerentsov c. Ucrania</w:t>
      </w:r>
      <w:r>
        <w:t>). En el auto resolutorio de los incidentes de nulidad se da respuesta a esta denuncia, al analizar una queja idéntica del procesado señor Forn en los siguientes términos (pág. 41): “las reglas generales de la participación quiebran en el caso del delito de sedición, donde todos los intervinientes son coautores”. Así pues, el referido auto confirma que estamos, se dice, ante el primer alzamiento sin alzados de la historia.</w:t>
      </w:r>
    </w:p>
    <w:p w:rsidR="005728DD" w:rsidRDefault="005728DD" w:rsidP="005728DD">
      <w:pPr>
        <w:pStyle w:val="TextoNormal"/>
      </w:pPr>
    </w:p>
    <w:p w:rsidR="005728DD" w:rsidRDefault="005728DD" w:rsidP="005728DD">
      <w:pPr>
        <w:pStyle w:val="TextoNormal"/>
      </w:pPr>
      <w:r>
        <w:t xml:space="preserve">3.10. Vulneración del derecho fundamental a la legalidad sancionatoria (art. 25.1 CE) en relación con los derechos fundamentales a la libertad de reunión pacífica y a las libertades de expresión e ideológica (arts. 17, 20 y 21 CE), por la insuficiente taxatividad del tipo penal de la sedición. Alega el recurrente que el art. 544 CP, que define el delito de sedición, adolece de la falta de taxatividad que cabe esperar de un delito que establece penas tan sumamente graves; y así lo considera Amnistía Internacional en un informe sobre la causa especial núm. 20907-2017. Términos tales como “alzarse”, “tumultos”, “fuerza” o “fuera de las vías legales” resultan extraordinariamente vagos, hasta el punto de que es muy difícil conocer exactamente qué conductas se están prohibiendo realmente por el legislador. El recurrente se plantea diversos interrogantes que el tipo penal suscita y, al respecto, colige que son tantas las dudas interpretativas que surgen de su redacción, que resulta difícilmente compatible con el principio de determinación, que tanto el Tribunal Constitucional como el Tribunal Europeo de Derechos Humanos exigen (STEDH de 11 de abril de 2013, asunto </w:t>
      </w:r>
      <w:r w:rsidRPr="005728DD">
        <w:rPr>
          <w:i/>
        </w:rPr>
        <w:t>Vyerentsov c. Ucrania</w:t>
      </w:r>
      <w:r>
        <w:t xml:space="preserve"> y STEDH de la Gran Sala, de 22 de marzo de 2001, asunt</w:t>
      </w:r>
      <w:r w:rsidRPr="005728DD">
        <w:rPr>
          <w:i/>
        </w:rPr>
        <w:t>o Streletz, Kessler y Krenz c. Aleman</w:t>
      </w:r>
      <w:r>
        <w:t>ia).</w:t>
      </w:r>
    </w:p>
    <w:p w:rsidR="005728DD" w:rsidRDefault="005728DD" w:rsidP="005728DD">
      <w:pPr>
        <w:pStyle w:val="TextoNormal"/>
      </w:pPr>
    </w:p>
    <w:p w:rsidR="005728DD" w:rsidRDefault="005728DD" w:rsidP="005728DD">
      <w:pPr>
        <w:pStyle w:val="TextoNormal"/>
      </w:pPr>
      <w:r>
        <w:t xml:space="preserve">Reconoce que el tribunal europeo admite que la indeterminación de un enunciado legal pueda ser corregida por la jurisprudencia sobre dicho precepto. Sin embargo, esto no ha sucedido en el tipo penal de la sedición en España, al no existir prácticamente ningún precedente relevante y reciente sobre este delito que haya sido conocido por el Tribunal Supremo. De hecho, el caso similar más cercano al presente fue resuelto por la STS de 12 de julio de 2005, que absolvió por sedición y condenó por un delito de atentado, a una pena de un año de prisión, por la toma de la Asamblea de Ceuta durante nueve horas, por unas sesenta personas. Por ello, la falta de precedentes jurisprudenciales ha supuesto que para los acusados resultara imprevisible que su actuación se considere constitutiva de un delito sedición; máxime teniendo en cuenta que el delito de convocatoria ilegal de referéndum, que </w:t>
      </w:r>
      <w:r>
        <w:lastRenderedPageBreak/>
        <w:t>abarcaba de modo concreto los hechos que se proponían emprender el día 1 de octubre, había sido expresamente derogado por el legislador español en el año 2005; y que la convocatoria previa de consulta sobre la autodeterminación el 9 de noviembre de 2014 se saldó con una leve condena por desobediencia, confirmada por el propio Tribunal Supremo, para los señores Mas y Homs y las señoras Rigau y Ortega. También pone de relieve que la vaguedad del art. 544 CP resulta especialmente preocupante, pues su mera vigencia puede suscitar la restricción del ejercicio de los derechos fundamentales de reunión pacífica, libertad de expresión y libertad ideológica, provocando con ello un efecto desincentivador de tales derechos.</w:t>
      </w:r>
    </w:p>
    <w:p w:rsidR="005728DD" w:rsidRDefault="005728DD" w:rsidP="005728DD">
      <w:pPr>
        <w:pStyle w:val="TextoNormal"/>
      </w:pPr>
    </w:p>
    <w:p w:rsidR="005728DD" w:rsidRDefault="005728DD" w:rsidP="005728DD">
      <w:pPr>
        <w:pStyle w:val="TextoNormal"/>
      </w:pPr>
      <w:r>
        <w:t>El auto que resuelve los incidentes de nulidad niega lo antes expuesto (págs. 12 y siguientes, al responder a la misma queja del procesado Jordi Cuixart), bajo el argumento de que el tipo delictivo no alcanza “una inconcreción o imprecisión que impida conocer de antemano el ámbito de lo proscrito”. Pero en esa resolución no se alude a algunos extremos que esta defensa también alegó, como la suma amplitud del precepto que en modo alguno justifica la pena mínima prevista, o el efecto restrictivo en el ejercicio de derechos que su aplicación puede llevar aparejada debido a los amplios términos de su redacción.</w:t>
      </w:r>
    </w:p>
    <w:p w:rsidR="005728DD" w:rsidRDefault="005728DD" w:rsidP="005728DD">
      <w:pPr>
        <w:pStyle w:val="TextoNormal"/>
      </w:pPr>
    </w:p>
    <w:p w:rsidR="005728DD" w:rsidRDefault="005728DD" w:rsidP="005728DD">
      <w:pPr>
        <w:pStyle w:val="TextoNormal"/>
      </w:pPr>
      <w:r>
        <w:t xml:space="preserve">3.11. Vulneración del derecho fundamental a la legalidad sancionatoria (arts. 25.1 CE y 7 CEDH) por aplicación analógica del delito de sedición a los hechos enjuiciados. Recuerda el demandante la prohibición de la analogía en materia penal que establece el art. 4.1 CP, y que dicha prohibición forma parte de los principios de legalidad y de seguridad jurídica. Dicho esto, añade que el precepto no solo adolece de falta de previsibilidad sino que el tribunal enjuiciador, en la subsunción realizada, ha desbordado también su tenor literal porque: i) es difícil entender qué hechos se subsumen en el tipo penal de sedición; esto es, si solo los acaecidos estrictamente los días 20 de septiembre y 1 de octubre de 2017 o también otros; ii) lo que la sentencia narra, en las págs. 41 y siguientes respecto de lo sucedido el 20 de septiembre, no es más que una manifestación ciudadana de 40000 personas, en la que solo unos muy pocos asistentes incurrieron en excesos que, a lo sumo, derivaron en daños materiales. Sin embargo, aunque sí se dificultó, no se impidió el cumplimiento de la resolución judicial en el Departamento de Economía, como exige el art. 544 CP, lo que hace que la aplicación analógica de este precepto a un caso no abarcado por su tenor literal sea aquí patente. Afirma así, que aunque no se pudo trasladar a los detenidos al lugar del registro, estos renunciaron voluntariamente a estar presentes; y añade que este requisito no es esencial para la validez de la diligencia (STS 463/2019); iii) al describir la sentencia los hechos acontecidos el 1 de octubre de 2017, (pág. 53), es “tan sumamente parco el relato en este punto que tan siquiera se explica en qué consistieron dichos enfrentamientos, quién llevó en cada lugar la iniciativa en ellos o cuáles fueron sus concretas consecuencias, más allá de la necesidad en algunos casos de ‘asistencia facultativa’ (pág. 54)”. En todo caso, “parece claro que quien se alza debe llevar claramente la iniciativa insurreccional, por lo que dicho verbo no puede abarcar —sin incurrir en una extensión analógica— los meros actos de ‘interposición física’ (pág. 246), el ‘impedimento físico’ (pág. 283) o los consistentes en ‘obstaculizar’ el ejercicio de la función jurisdiccional (págs. 247 o 363) a los que se alude en varios pasajes de la fundamentación jurídica de la sentencia”. Así pues, un mero enfrentamiento con la policía no es un alzamiento, pues de ser así “carecerían de sentido los delitos de desórdenes públicos o el atentado, por los que han sido condenados los pocos manifestantes que realizaron activamente conductas de fuerza”. Por otro lado, la “irrelevancia típica de los hechos probados no puede subsanarse apelando a los móviles políticos que perseguían los </w:t>
      </w:r>
      <w:r>
        <w:lastRenderedPageBreak/>
        <w:t xml:space="preserve">procesados o atribuyéndoles otras actuaciones ajenas por completo al tipo del art. 544 CP, como ‘haber pulverizado el pacto constitucional’ (pág. 243) o querer ‘alumbrar una legalidad paralela’ (pág. 347)”. El delito de sedición requiere que el orden público resulte gravísimamente perturbado, dadas las penas que prevé; y esa perturbación solo debe valorarse en relación con el bien jurídico protegido; iv) la sentencia no refiere qué concreta intervención tuvo el demandante en el supuesto ‘alzamiento tumultuario’ acontecido el día 20 de septiembre. En las páginas 334 a 341 de la citada resolución se atribuyen al demandante una serie de actuaciones, en su condición de consejero de gobierno y de diputado, que no están vinculadas con tales hechos y que consisten, básicamente, en desatenciones de resoluciones del Tribunal Constitucional. Esos comportamientos no pueden concebirse como una insurrección ni entrañan perturbación del orden público, que es el bien jurídico protegido del delito de sedición. Tampoco refleja la sentencia que el recurrente obrara con el propósito de que se produjeran enfrentamientos entre votantes y policías. Es más, la citada resolución refleja que este último instó a los votantes a comportarse de manera sosegada y pacífica (pág. 339), sin que las referencias a la “voluntad de promover la inobservancia de los mandatos jurisdiccionales satisfagan las exigencias del tipo subjetivo de sedición”; v) el comportamiento del demandante podría haberse subsumido en el antiguo tipo penal de convocatoria de referéndum (506 </w:t>
      </w:r>
      <w:r w:rsidRPr="005728DD">
        <w:rPr>
          <w:i/>
        </w:rPr>
        <w:t>bis</w:t>
      </w:r>
      <w:r>
        <w:t xml:space="preserve"> CP), derogado en 2005. Pero, según la Sala (pág. 225), este precepto no resultaría en todo caso aplicable a los hechos, por cuanto en él se tipificaba solamente un conflicto competencial entre autoridades. El recurrente rechaza esa respuesta porque, si solo se tratase de un conflicto competencial, esa conducta no podría considerarse como un delito merecedor de hasta cinco años de prisión.</w:t>
      </w:r>
    </w:p>
    <w:p w:rsidR="005728DD" w:rsidRDefault="005728DD" w:rsidP="005728DD">
      <w:pPr>
        <w:pStyle w:val="TextoNormal"/>
      </w:pPr>
    </w:p>
    <w:p w:rsidR="005728DD" w:rsidRDefault="005728DD" w:rsidP="005728DD">
      <w:pPr>
        <w:pStyle w:val="TextoNormal"/>
      </w:pPr>
      <w:r>
        <w:t>3.12. Vulneración del derecho fundamental a la legalidad penal por imposición de una pena desproporcionada (arts. 25.1 CE en relación con el art. 17 CE y el art. 49 CDFUE), lesionándose asimismo los derechos fundamentales a la libertad de reunión pacífica y a las libertades de expresión e ideológica (arts. 17, 20 y 21 CE). En primer lugar, evoca el contenido de la STC 136/1999, de 20 de julio, en la que el tribunal incluyó dentro del principio de legalidad penal “la proscripción constitucional de penas desproporcionadas”. Añade que en el art. 49.3 CDFUE se acoge ese postulado en términos similares: (“la intensidad de las penas no deberá ser desproporcionada en relación con la infracción”), por lo que se establece un “criterio hermenéutico de primer orden” con base en el art. 10.2 CE. Teniendo en cuenta este principio, sostiene que la indeterminación del tipo penal de sedición ha propiciado la imposición de penas desproporcionadas en relación con la gravedad de los hechos, lo que ha generado un efecto restrictivo que resulta desalentador para el ejercicio de derechos fundamentales, en especial de reunión y de libertad de expresión e ideológica. Y ello porque cualquier persona que convoque una manifestación multitudinaria de protesta, en la que de modo más o menos previsible algunos incurran en excesos, “será candidato a ser considerado inductor a una sedición y castigado con penas mínimas de ocho años de prisión”. Tras formular citas de doctrina científica, retoma el contenido de la STC 136/1999, para recalcar que el castigo de “estas situaciones limítrofes con el ejercicio de derechos con penas de prisión sumamente elevadas fue considerado incompatible con el art. 25.1 en relación con el art. 17 CE”.</w:t>
      </w:r>
    </w:p>
    <w:p w:rsidR="005728DD" w:rsidRDefault="005728DD" w:rsidP="005728DD">
      <w:pPr>
        <w:pStyle w:val="TextoNormal"/>
      </w:pPr>
    </w:p>
    <w:p w:rsidR="005728DD" w:rsidRDefault="005728DD" w:rsidP="005728DD">
      <w:pPr>
        <w:pStyle w:val="TextoNormal"/>
      </w:pPr>
      <w:r>
        <w:t xml:space="preserve">El recurrente no cuestiona que se sancionen penalmente aquellas conductas que amenacen seriamente el orden público; pero en este caso, ante una perturbación del orden público que no ha supuesto daños personales relevantes y en las que no se esgrimieron armas, se han impuesto a los acusados penas gravísimas de prisión que rayan o superan los diez años </w:t>
      </w:r>
      <w:r>
        <w:lastRenderedPageBreak/>
        <w:t>de privación de libertad, similares a las previstas para “el homicidio, los delitos más graves de agresión sexual o las formas más graves de privación de libertad ajena”, las cuales “desbordan con mucho las máximas previstas para el tipo penal de los desórdenes públicos”, un tipo delictivo aplicable en supuestos de actuaciones violentas realizadas de manera grupal, que prevé una pena máxima de tres años de prisión (art. 557 CP) o de seis años solo cuando se esgrimen armas (art. 55</w:t>
      </w:r>
      <w:r w:rsidRPr="005728DD">
        <w:rPr>
          <w:i/>
        </w:rPr>
        <w:t>7 b</w:t>
      </w:r>
      <w:r>
        <w:t>is CP).</w:t>
      </w:r>
    </w:p>
    <w:p w:rsidR="005728DD" w:rsidRDefault="005728DD" w:rsidP="005728DD">
      <w:pPr>
        <w:pStyle w:val="TextoNormal"/>
      </w:pPr>
    </w:p>
    <w:p w:rsidR="005728DD" w:rsidRDefault="005728DD" w:rsidP="005728DD">
      <w:pPr>
        <w:pStyle w:val="TextoNormal"/>
      </w:pPr>
      <w:r>
        <w:t>Censura también que el órgano de enjuiciamiento no haya tenido en cuenta, respecto de los hechos acaecidos el 20 de septiembre de 2017, que la diligencia judicial pudo culminarse sin que nadie resultara lesionado (en la pág. 361 se reconoce que la obstrucción fue solo parcial), por lo que por este episodio debió apreciarse una forma imperfecta de ejecución o de menor gravedad (art. 547 CP). Y lo mismo puede afirmarse respecto de los numerosos colegios electorales donde los efectivos policiales lograron de modo efectivo impedir las votaciones, dando así cumplimiento al mandato judicial.</w:t>
      </w:r>
    </w:p>
    <w:p w:rsidR="005728DD" w:rsidRDefault="005728DD" w:rsidP="005728DD">
      <w:pPr>
        <w:pStyle w:val="TextoNormal"/>
      </w:pPr>
    </w:p>
    <w:p w:rsidR="005728DD" w:rsidRDefault="005728DD" w:rsidP="005728DD">
      <w:pPr>
        <w:pStyle w:val="TextoNormal"/>
      </w:pPr>
      <w:r>
        <w:t>Añade que la sentencia tampoco tuvo en cuenta, al individualizar la pena aplicada al recurrente, que el delito por el que este fue condenado se produjo en un contexto de ejercicio de derechos fundamentales, pese a que la sala sí ha reconocido, implícitamente, que los ciudadanos que se “alzaron” se encontraban ejerciendo tales derechos. Tal constatación debió traducirse, cuando menos, en la aplicación de una muy importante atenuación punitiva, que pudo vehicularse perfectamente a través del art. 20.7 CP, alegado en las conclusiones definitivas, cuya apreciación como eximente incompleta habría permitido rebajar sustancialmente las sanciones impuestas. Insiste en la acusada gravedad de las penas de prisión, aplicadas en un supuesto en el que no se han producido muertos o heridos graves. Por ello, reitera la patente desproporción penológica en que se ha incurrido, que resulta “desalentadora del ejercicio de los derechos fundamentales básicos en una sociedad de libertades”, sin que los posibles móviles políticos del demandante deban ser tenidos en cuenta, por ser completamente ajenos a la sedición, que es un delito contra el orden público.</w:t>
      </w:r>
    </w:p>
    <w:p w:rsidR="005728DD" w:rsidRDefault="005728DD" w:rsidP="005728DD">
      <w:pPr>
        <w:pStyle w:val="TextoNormal"/>
      </w:pPr>
    </w:p>
    <w:p w:rsidR="005728DD" w:rsidRDefault="005728DD" w:rsidP="005728DD">
      <w:pPr>
        <w:pStyle w:val="TextoNormal"/>
      </w:pPr>
      <w:r>
        <w:t>Critica asimismo la argumentación dada en el auto de fecha 29 de enero de 2020, por haber utilizado valoraciones sobre la ideología política de los procesados que son completamente ajenas al tipo penal de la sedición. Con esa respuesta “el ejercicio de derechos como la libertad ideológica o de reunión y manifestación pasa a convertirse en una circunstancia agravante de la responsabilidad penal en lugar de actuar como causa de justificación (siquiera parcial) de la responsabilidad criminal”.</w:t>
      </w:r>
    </w:p>
    <w:p w:rsidR="005728DD" w:rsidRDefault="005728DD" w:rsidP="005728DD">
      <w:pPr>
        <w:pStyle w:val="TextoNormal"/>
      </w:pPr>
    </w:p>
    <w:p w:rsidR="005728DD" w:rsidRDefault="005728DD" w:rsidP="005728DD">
      <w:pPr>
        <w:pStyle w:val="TextoNormal"/>
      </w:pPr>
      <w:r>
        <w:t>Señala finalmente que, en la medida que la convocatoria a votar en el referéndum no implicaba una incitación a la violencia por parte de los organizadores, sino a la resistencia, según señala la sentencia impugnada, las penas impuestas son claramente desproporcionadas y, por tanto, no se incardinan dentro de las “medidas imperiosamente necesarias en una sociedad democrática”.</w:t>
      </w:r>
    </w:p>
    <w:p w:rsidR="005728DD" w:rsidRDefault="005728DD" w:rsidP="005728DD">
      <w:pPr>
        <w:pStyle w:val="TextoNormal"/>
      </w:pPr>
    </w:p>
    <w:p w:rsidR="005728DD" w:rsidRDefault="005728DD" w:rsidP="005728DD">
      <w:pPr>
        <w:pStyle w:val="TextoNormal"/>
      </w:pPr>
      <w:r>
        <w:t xml:space="preserve">Añade que el auto resolutorio del incidente agrava con su fundamentación la vulneración denunciada, por sus constantes valoraciones sobre la ideología política de los procesados, dato este completamente ajeno al delito de sedición, y porque el ejercicio de derechos como la libertad ideológica de reunión y manifestación “pasa a convertirse en una circunstancia agravante de la responsabilidad penal”. Finalmente, insiste en que las penas impuestas son </w:t>
      </w:r>
      <w:r>
        <w:lastRenderedPageBreak/>
        <w:t>manifiestamente desproporcionadas, pues como sostiene algún autor, imponen a “los organizadores de reuniones pacíficas —aun cuando ilegales— para la expresión de votos, opiniones o sentimientos políticos, sanciones de una severidad equivalente a las que el Código penal prevé para graves delitos contra la vida y la integridad física”.</w:t>
      </w:r>
    </w:p>
    <w:p w:rsidR="005728DD" w:rsidRDefault="005728DD" w:rsidP="005728DD">
      <w:pPr>
        <w:pStyle w:val="TextoNormal"/>
      </w:pPr>
    </w:p>
    <w:p w:rsidR="005728DD" w:rsidRDefault="005728DD" w:rsidP="005728DD">
      <w:pPr>
        <w:pStyle w:val="TextoNormal"/>
      </w:pPr>
      <w:r>
        <w:t>En el suplico de la demanda interesó también su admisión a trámite y que se dictara sentencia con el siguiente contenido: “1. Otorgar el amparo y reconocer al demandante sus derechos fundamentales a la no discriminación por razones lingüísticas (art. 14 CE), a la libertad ideológica (art. 16 CE), a la libertad (art. 17 CE), a los derechos de reunión y manifestación (art. 21 CE), a la defensa, la tutela judicial efectiva y a un proceso con todas las garantías (art. 24 CE) y a la legalidad penal (art. 25.1 CE); 2. Reparar las vulneraciones denunciadas declarando la nulidad de la sentencia de 14/10/2019 dictada por la Sala Segunda del Tribunal Supremo en la causa especial núm. 20907-2017 y del posterior auto de 29/01/2020, por el que se desestimó el incidente de nulidad de actuaciones promovido contra dicha resolución”.</w:t>
      </w:r>
    </w:p>
    <w:p w:rsidR="005728DD" w:rsidRDefault="005728DD" w:rsidP="005728DD">
      <w:pPr>
        <w:pStyle w:val="TextoNormal"/>
      </w:pPr>
    </w:p>
    <w:p w:rsidR="005728DD" w:rsidRDefault="005728DD" w:rsidP="005728DD">
      <w:pPr>
        <w:pStyle w:val="TextoNormal"/>
      </w:pPr>
      <w:r>
        <w:t>Por otrosí interesó que, conforme a lo dispuesto en el art. 56 de la Ley Orgánica del Tribunal Constitucional (LOTC), se acordara la suspensión cautelar de los efectos de la sentencia condenatoria. A fin de reducir al máximo la afectación de su libertad y sus derechos políticos, dado que cada día de privación de libertad y de inhabilitación le ocasionan un daño irreversible e irreparable, solicitó que la solicitud de suspensión se tramitara y resolviera conforme a lo previsto en el art. 56.6 LOTC.</w:t>
      </w:r>
    </w:p>
    <w:p w:rsidR="005728DD" w:rsidRDefault="005728DD" w:rsidP="005728DD">
      <w:pPr>
        <w:pStyle w:val="TextoNormal"/>
      </w:pPr>
    </w:p>
    <w:p w:rsidR="005728DD" w:rsidRDefault="005728DD" w:rsidP="005728DD">
      <w:pPr>
        <w:pStyle w:val="TextoNormal"/>
      </w:pPr>
      <w:r>
        <w:t>Mediante escritos presentados los días 8 y 16 de abril de 2020, el recurrente urgió la admisión a trámite del recurso de amparo y el otorgamiento de la medida cautelar interesada.</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6 de mayo del 2020, el Pleno de este tribunal acordó recabar para sí el conocimiento del recurso de amparo y admitirlo a trámite, apreciando que concurre en el mismo una especial trascendencia constitucional (art. 50.1 LOTC), porque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En aplicación de lo dispuesto en el artículo 51 LOTC, resolvió dirigir atenta comunicación a la Sala de lo Penal del Tribunal Supremo, a fin de que, en plazo que no excediera de diez días, remitiera certificación o fotocopia adverada de las actuaciones correspondientes al auto de 29 de enero de 2020 y a la sentencia de 14 de octubre de 2019 dictados en la causa especial núm. 20907-2017, debiendo previamente emplazar a quienes hubieran sido parte en el procedimiento, excepto a la parte recurrente en amparo, para que en el plazo de diez días, pudieran comparecer en el proceso de amparo.</w:t>
      </w:r>
    </w:p>
    <w:p w:rsidR="005728DD" w:rsidRDefault="005728DD" w:rsidP="005728DD">
      <w:pPr>
        <w:pStyle w:val="TextoNormal"/>
      </w:pPr>
    </w:p>
    <w:p w:rsidR="005728DD" w:rsidRDefault="005728DD" w:rsidP="005728DD">
      <w:pPr>
        <w:pStyle w:val="TextoNormal"/>
      </w:pPr>
      <w:r>
        <w:t xml:space="preserve">En relación con la solicitud de suspensión formulada en la demanda de amparo mediante otrosí, el Pleno no apreció la urgencia excepcional a la que se refiere el art. 56.6 LOTC, que justificaría su adopción </w:t>
      </w:r>
      <w:r w:rsidRPr="005728DD">
        <w:rPr>
          <w:i/>
        </w:rPr>
        <w:t>inaudita parte</w:t>
      </w:r>
      <w:r>
        <w:t xml:space="preserve"> de forma inmotivada; pero, a fin de resolver sobre la medida cautelar solicitada, acordó formar la oportuna pieza separada y, en ella, conceder un plazo de tres días al Ministerio Fiscal y al solicitante de amparo para que efectuasen alegaciones respecto a dicha petición.</w:t>
      </w:r>
    </w:p>
    <w:p w:rsidR="005728DD" w:rsidRDefault="005728DD" w:rsidP="005728DD">
      <w:pPr>
        <w:pStyle w:val="TextoNormal"/>
      </w:pPr>
    </w:p>
    <w:p w:rsidR="005728DD" w:rsidRDefault="005728DD" w:rsidP="005728DD">
      <w:pPr>
        <w:pStyle w:val="TextoNormal"/>
      </w:pPr>
      <w:r>
        <w:lastRenderedPageBreak/>
        <w:t>Mediante providencia de igual fecha se formó la correspondiente pieza separada de suspensión y, de conformidad con lo previsto en el art. 56 LOTC, se concedió un plazo común de tres días al Ministerio Fiscal y al solicitante de amparo para que pudieran alegar lo que estimaran pertinente en relación con la petición de suspensión interesada. Por ATC 57/2020, de 17 de junio, se acordó finalmente denegar la medida cautelar solicitada.</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de fecha 28 de mayo del 2020, la procuradora de tribunales doña Pilar Hidalgo López, en nombre y representación del partido político Vox y asistida de la letrada doña Marta Castro Fuertes, interesó que se la tuviera por personada y parte.</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de fecha 5 de junio del 2020, la abogacía del Estado, en la representación que le es propia, solicitó que se la tuviera por personada y parte.</w:t>
      </w:r>
    </w:p>
    <w:p w:rsidR="005728DD" w:rsidRDefault="005728DD" w:rsidP="005728DD">
      <w:pPr>
        <w:pStyle w:val="TextoNormal"/>
      </w:pPr>
    </w:p>
    <w:p w:rsidR="005728DD" w:rsidRDefault="005728DD" w:rsidP="005728DD">
      <w:pPr>
        <w:pStyle w:val="TextoNormal"/>
      </w:pPr>
      <w:r w:rsidRPr="005728DD">
        <w:rPr>
          <w:rStyle w:val="NumeroAFNegritaCaracter"/>
        </w:rPr>
        <w:t>7</w:t>
      </w:r>
      <w:r>
        <w:t>. El 18 de junio siguiente, el procurador de tribunales don Carlos Ricardo Estévez Sanz interesó que se le tuviera por personado y parte en nombre y representación de don Carles Puigdemont i Casamajó, con la asistencia del letrado don Gonzalo Boye Tuset.</w:t>
      </w:r>
    </w:p>
    <w:p w:rsidR="005728DD" w:rsidRDefault="005728DD" w:rsidP="005728DD">
      <w:pPr>
        <w:pStyle w:val="TextoNormal"/>
      </w:pPr>
    </w:p>
    <w:p w:rsidR="005728DD" w:rsidRDefault="005728DD" w:rsidP="005728DD">
      <w:pPr>
        <w:pStyle w:val="TextoNormal"/>
      </w:pPr>
      <w:r w:rsidRPr="005728DD">
        <w:rPr>
          <w:rStyle w:val="NumeroAFNegritaCaracter"/>
        </w:rPr>
        <w:t>8</w:t>
      </w:r>
      <w:r>
        <w:t>. Por diligencia de ordenación de 28 de septiembre de 2020, la secretaría del Pleno de este tribunal acordó tener por personados al partido político Vox, a la abogacía del Estado y a don Carles Puigdemont i Casamajó. A tenor de lo dispuesto en el art. 52 de la Ley Orgánica de este tribunal, también se acordó dar vista de todas las actuaciones del presente recurso de amparo, por un plazo común de veinte días, al Ministerio Fiscal y a las partes personadas, para que, dentro de dicho término pudieran presentar las alegaciones que a su derecho convenga.</w:t>
      </w:r>
    </w:p>
    <w:p w:rsidR="005728DD" w:rsidRDefault="005728DD" w:rsidP="005728DD">
      <w:pPr>
        <w:pStyle w:val="TextoNormal"/>
      </w:pPr>
    </w:p>
    <w:p w:rsidR="005728DD" w:rsidRDefault="005728DD" w:rsidP="005728DD">
      <w:pPr>
        <w:pStyle w:val="TextoNormal"/>
      </w:pPr>
      <w:r w:rsidRPr="005728DD">
        <w:rPr>
          <w:rStyle w:val="NumeroAFNegritaCaracter"/>
        </w:rPr>
        <w:t>9</w:t>
      </w:r>
      <w:r>
        <w:t>. El día 27 de octubre del 2020 presentó sus alegaciones la abogacía del Estado, cuya sistemática se adecúa al orden y esquema de las vulneraciones aducidas por el recurrente.</w:t>
      </w:r>
    </w:p>
    <w:p w:rsidR="005728DD" w:rsidRDefault="005728DD" w:rsidP="005728DD">
      <w:pPr>
        <w:pStyle w:val="TextoNormal"/>
      </w:pPr>
    </w:p>
    <w:p w:rsidR="005728DD" w:rsidRDefault="005728DD" w:rsidP="005728DD">
      <w:pPr>
        <w:pStyle w:val="TextoNormal"/>
      </w:pPr>
      <w:r>
        <w:t xml:space="preserve">9.1. Analiza en primer lugar la denunciada vulneración del derecho al juez ordinario predeterminado por la ley (art. 24.2 CE). Tras extractar la doctrina constitucional que considera aplicable al caso, con transcripción parcial de la STC 159/2014, FJ 3, así como de jurisprudencia del Tribunal Europeo de Derechos Humanos, apunta que los órganos judiciales no han llevado a cabo una interpretación que suponga una manipulación manifiesta de las reglas legales sobre atribución de competencias, ni que hayan incurrido en error evidente,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determinado la competencia en los términos reflejados en la pág. 256 de la sentencia; esto es, en función de un juicio </w:t>
      </w:r>
      <w:r w:rsidRPr="005728DD">
        <w:rPr>
          <w:i/>
        </w:rPr>
        <w:t>ex ante</w:t>
      </w:r>
      <w:r>
        <w:t xml:space="preserve"> que versa sobre la pretensión acusatoria, que no se puede ver revertida ni afectada por la decisión final. Trae a colación, como ejemplo de doctrina consolidada, el argumento que figura en la STS 484/2010, de 26 de mayo: en, síntesis, “que son los hechos y la calificación jurídica de la acusación los que deben de servir de base para la determinación de la competencia objetiva a los efectos del art. 14.3 y 14.4 LECrim”.</w:t>
      </w:r>
    </w:p>
    <w:p w:rsidR="005728DD" w:rsidRDefault="005728DD" w:rsidP="005728DD">
      <w:pPr>
        <w:pStyle w:val="TextoNormal"/>
      </w:pPr>
    </w:p>
    <w:p w:rsidR="005728DD" w:rsidRDefault="005728DD" w:rsidP="005728DD">
      <w:pPr>
        <w:pStyle w:val="TextoNormal"/>
      </w:pPr>
      <w:r>
        <w:lastRenderedPageBreak/>
        <w:t xml:space="preserve">Añade que la demanda se centra en formular una crítica aislada y descontextualizada de frases y párrafos concretos de las resoluciones que se pronuncian sobre la competencia y de los argumentos </w:t>
      </w:r>
      <w:r w:rsidRPr="005728DD">
        <w:rPr>
          <w:i/>
        </w:rPr>
        <w:t>obiter dicta</w:t>
      </w:r>
      <w:r>
        <w:t xml:space="preserve"> de la sentencia. En suma, afirma que no se ofrece un alegato que ponga de manifiesto la irrazonabilidad y arbitrariedad del criterio judicial. A fin de desvirtuar los argumentos dados por el recurrente, que minimizan los hechos acaecidos fuera de Cataluña, la abogacía del Estado también trae a colación el razonamiento expuesto en el ATS de 18 de enero de 2019, que pone en valor la particular naturaleza de los delitos de rebelión y sedición; esto es, como infracciones de ”resultado cortado”, cuyo aspecto diferencial, respecto de los delitos de lesión, reside en que para su consumación solo se requiere que se materialice el riesgo o peligro que se trata de precaver. Y añade que, a partir de ese entendimiento, queda esclarecido cuál es el lugar de comisión del delito de rebelión, cuando la finalidad es declarar la independencia de una parte del territorio nacional.</w:t>
      </w:r>
    </w:p>
    <w:p w:rsidR="005728DD" w:rsidRDefault="005728DD" w:rsidP="005728DD">
      <w:pPr>
        <w:pStyle w:val="TextoNormal"/>
      </w:pPr>
    </w:p>
    <w:p w:rsidR="005728DD" w:rsidRDefault="005728DD" w:rsidP="005728DD">
      <w:pPr>
        <w:pStyle w:val="TextoNormal"/>
      </w:pPr>
      <w:r>
        <w:t xml:space="preserve">En relación con el delito de malversación se refutan las objeciones planteadas en la demanda respecto del criterio de “unidad patrimonial de todas las administraciones públicas”, pauta a la que el Tribunal Supremo se acogió. Sostiene que en la demanda se obvia el razonamiento dado en el ATS de 27 de diciembre de 2018, alusivo a la desatención, por los principales procesados, de los requerimientos del Ministerio de Hacienda para ofrecer información acerca del gasto injustificado de fondos. También aduce que el alegato referido a que, durante la celebración del juicio, algunos procesados ya ostentaban la condición de diputados, no es más que un argumento </w:t>
      </w:r>
      <w:r w:rsidRPr="005728DD">
        <w:rPr>
          <w:i/>
        </w:rPr>
        <w:t>obiter dictum</w:t>
      </w:r>
      <w:r>
        <w:t xml:space="preserve"> y que respecto de la denunciada contradicción con pronunciamientos anteriores del Tribunal Supremo, se remite a lo manifestado en los fundamentos jurídicos 4.1.2. 3 y 4 de la sentencia.</w:t>
      </w:r>
    </w:p>
    <w:p w:rsidR="005728DD" w:rsidRDefault="005728DD" w:rsidP="005728DD">
      <w:pPr>
        <w:pStyle w:val="TextoNormal"/>
      </w:pPr>
    </w:p>
    <w:p w:rsidR="005728DD" w:rsidRDefault="005728DD" w:rsidP="005728DD">
      <w:pPr>
        <w:pStyle w:val="TextoNormal"/>
      </w:pPr>
      <w:r>
        <w:t>9.2. Sobre la alegada privación del derecho a la doble instancia en materia penal, derivada de la anterior lesión, la abogacía del Estado también rechaza esa vulneración, pues el propio art. 2 del Protocolo núm. 7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Esta segunda excepción es la que ha concurrido en el presente caso por razón de aforamiento, cuya constitucionalidad ha sido reconocida por este tribunal, amén de que tampoco resulta contraria a lo establecido en el art. 14.5 del Pacto internacional de derechos civiles y políticos.</w:t>
      </w:r>
    </w:p>
    <w:p w:rsidR="005728DD" w:rsidRDefault="005728DD" w:rsidP="005728DD">
      <w:pPr>
        <w:pStyle w:val="TextoNormal"/>
      </w:pPr>
    </w:p>
    <w:p w:rsidR="005728DD" w:rsidRDefault="005728DD" w:rsidP="005728DD">
      <w:pPr>
        <w:pStyle w:val="TextoNormal"/>
      </w:pPr>
      <w:r>
        <w:t>9.3. También se rechaza la denuncia de vulneración asociada al art. 24.2 CE, por la negativa a utilizar el sistema de traducción simultánea respecto de aquellos procesados que solicitaron expresamente declarar en el idioma catalán. Tras transcribir lo alegado por el órgano de enjuiciamiento en el fundamento jurídico 3.2, la abogacía del Estado colige que la configuración del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No obstante, señala que, en el presente caso, se pusieron traductores oficiales a disposición de la defensa y se concedió a los procesados la posibilidad de utilizar este idioma en sus respuestas.</w:t>
      </w:r>
    </w:p>
    <w:p w:rsidR="005728DD" w:rsidRDefault="005728DD" w:rsidP="005728DD">
      <w:pPr>
        <w:pStyle w:val="TextoNormal"/>
      </w:pPr>
    </w:p>
    <w:p w:rsidR="005728DD" w:rsidRDefault="005728DD" w:rsidP="005728DD">
      <w:pPr>
        <w:pStyle w:val="TextoNormal"/>
      </w:pPr>
      <w:r>
        <w:t xml:space="preserve">Tampoco se acepta la lesión del derecho a defensa, fundada en que no se permitió a los testigos declarar en catalán, so pretexto de verse afectada la credibilidad de su testimonio </w:t>
      </w:r>
      <w:r>
        <w:lastRenderedPageBreak/>
        <w:t>por no poder expresarse “con toda naturalidad”. Sobre este particular, se remite al contundente argumento de la sentencia: los tres testigos no solo tenían obligación de conocer el castellano, sino que por razón de sus cargos eran perfectamente conocedores de esa lengua; a lo que se añade que esos testimonios fueron inanes desde el punto de vista probatorio, por lo que no incidieron en el derecho de defensa.</w:t>
      </w:r>
    </w:p>
    <w:p w:rsidR="005728DD" w:rsidRDefault="005728DD" w:rsidP="005728DD">
      <w:pPr>
        <w:pStyle w:val="TextoNormal"/>
      </w:pPr>
    </w:p>
    <w:p w:rsidR="005728DD" w:rsidRDefault="005728DD" w:rsidP="005728DD">
      <w:pPr>
        <w:pStyle w:val="TextoNormal"/>
      </w:pPr>
      <w:r>
        <w:t>9.4. La vulneración del derecho al juez imparcial debe ser analizada, según se indica en las alegaciones, como parte de una estrategia procesal tendente a construir una causa general contra la justicia española y, en particular, contra el Tribunal Supremo, al prefabricar de modo abusivo una apariencia de parcialidad. Ello determina que la posición del recurrente, en tanto que emisor de la queja, pierda su virtualidad y peso en la ponderación, pues si bien el punto de vista de quien emite la queja ha de tenerse en cuenta, “el canon debe ser estricto cuando el sentimiento se invoca por quien ha seguido una conducta procesal abusiva que denuncia la STS de continua referencia”. Y, en particular, se señala lo que sigue:</w:t>
      </w:r>
    </w:p>
    <w:p w:rsidR="005728DD" w:rsidRDefault="005728DD" w:rsidP="005728DD">
      <w:pPr>
        <w:pStyle w:val="TextoNormal"/>
      </w:pPr>
    </w:p>
    <w:p w:rsidR="005728DD" w:rsidRDefault="005728DD" w:rsidP="005728DD">
      <w:pPr>
        <w:pStyle w:val="TextoNormal"/>
      </w:pPr>
      <w:r>
        <w:t>a) Se niega que la frase que obra en el auto de procesamiento “la estrategia que sufrimos” tenga virtualidad alguna, pues lo que hace el magistrado instructor es reproducir la misma frase referida al Libro Blanco, de manera que la misma únicamente guarda relación con la exposición del desarrollo de la estrategia secesionista que se recogía en el referido Libro Blanco, referida en el auto de procesamiento y en el auto de 12 de abril. También trae a colación lo razonado en el auto de la sala de recursos, de 18 de junio de 2018, a fin de descartar el reproche de la pérdida de imparcialidad por este motivo.</w:t>
      </w:r>
    </w:p>
    <w:p w:rsidR="005728DD" w:rsidRDefault="005728DD" w:rsidP="005728DD">
      <w:pPr>
        <w:pStyle w:val="TextoNormal"/>
      </w:pPr>
    </w:p>
    <w:p w:rsidR="005728DD" w:rsidRDefault="005728DD" w:rsidP="005728DD">
      <w:pPr>
        <w:pStyle w:val="TextoNormal"/>
      </w:pPr>
      <w:r>
        <w:t>b) Asimismo, considera que debe desestimarse la queja asociada a la pérdida de imparcialidad del magistrado señor Monterde, miembro de la sala de recursos, sustentada en los mensajes difundidos por la asociación judicial de la que era vicepresidente. La abogacía del Estado asume la apreciada extemporaneidad de la queja, dado que la composición de ese órgano se publicó en fecha de 21 de diciembre de 2016, por acuerdo de la comisión permanente del Consejo General del Poder Judicial (CGPJ), amén de que los mensajes fueron emitidos por personas “no identificadas” y no por el referido magistrado.</w:t>
      </w:r>
    </w:p>
    <w:p w:rsidR="005728DD" w:rsidRDefault="005728DD" w:rsidP="005728DD">
      <w:pPr>
        <w:pStyle w:val="TextoNormal"/>
      </w:pPr>
    </w:p>
    <w:p w:rsidR="005728DD" w:rsidRDefault="005728DD" w:rsidP="005728DD">
      <w:pPr>
        <w:pStyle w:val="TextoNormal"/>
      </w:pPr>
      <w:r>
        <w:t>c) El hecho de que el órgano de enjuiciamiento estuviera constituido por algunos magistrados que formaron parte de la sala que admitió la querella, tampoco conculca el derecho al juez imparcial. En el auto de fecha 31 de octubre de 2017, por el que se admite a trámite la querella interpuesta por el fiscal, no figura ni una sola frase o razonamiento que conlleve una valoración de la tipicidad de los hechos relatados, pues la decisión de admitir se funda en los extremos que se relatan en el escrito de querella, cuya realidad sería confirmada o desmentida en función del resultado de las diligencias practicadas por el instructor. Por otro lado, tampoco el demandante cumple con la carga argumental de proyectar sobre el auto de admisión el efecto que le atribuye, por lo que en este punto la demanda de amparo es genérica.</w:t>
      </w:r>
    </w:p>
    <w:p w:rsidR="005728DD" w:rsidRDefault="005728DD" w:rsidP="005728DD">
      <w:pPr>
        <w:pStyle w:val="TextoNormal"/>
      </w:pPr>
    </w:p>
    <w:p w:rsidR="005728DD" w:rsidRDefault="005728DD" w:rsidP="005728DD">
      <w:pPr>
        <w:pStyle w:val="TextoNormal"/>
      </w:pPr>
      <w:r>
        <w:t>d) Tampoco comparte la queja relativa a que el magistrado instructor designado formara parte de la Sala Segunda del Tribunal Supremo; es decir, del órgano de enjuiciamiento. Esa circunstancia no figura recogida en el elenco de causas de abstención y recusación, sujetas a interpretación restrictiva, sin que tampoco el recurrente haya acreditado la existencia de los contactos y comunicaciones que en la demanda se indican.</w:t>
      </w:r>
    </w:p>
    <w:p w:rsidR="005728DD" w:rsidRDefault="005728DD" w:rsidP="005728DD">
      <w:pPr>
        <w:pStyle w:val="TextoNormal"/>
      </w:pPr>
    </w:p>
    <w:p w:rsidR="005728DD" w:rsidRDefault="005728DD" w:rsidP="005728DD">
      <w:pPr>
        <w:pStyle w:val="TextoNormal"/>
      </w:pPr>
      <w:r>
        <w:lastRenderedPageBreak/>
        <w:t>e) En relación con el contenido del mensaje telemático atribuido al señor Cosidó, la abogacía del Estado se remite al contenido del FJ 5.5 y 6 del auto 7/2018, de la Sala especial del art. 61 LOPJ, a fin de descartar la merma de la imparcialidad que se atribuye al presidente del tribunal enjuiciador, pues la imparcialidad de un magistrado solo puede valorarse a partir de lo que este dice o hace o, incluso, de lo que aparente, pero no con base en la opinión de un tercero.</w:t>
      </w:r>
    </w:p>
    <w:p w:rsidR="005728DD" w:rsidRDefault="005728DD" w:rsidP="005728DD">
      <w:pPr>
        <w:pStyle w:val="TextoNormal"/>
      </w:pPr>
    </w:p>
    <w:p w:rsidR="005728DD" w:rsidRDefault="005728DD" w:rsidP="005728DD">
      <w:pPr>
        <w:pStyle w:val="TextoNormal"/>
      </w:pPr>
      <w:r>
        <w:t>f) El hecho de que el incidente de nulidad de actuaciones fuera resuelto por los mismos magistrados que dictaron la sentencia, tampoco vulnera el derecho al juez imparcial, toda vez que, conforme a la doctrina establecida en la STC 152/2015, FJ 9, si hubieran intervenido otros magistrados, como solicitó el recurrente, se habría conculcado el derecho al juez ordinario predeterminado por la ley.</w:t>
      </w:r>
    </w:p>
    <w:p w:rsidR="005728DD" w:rsidRDefault="005728DD" w:rsidP="005728DD">
      <w:pPr>
        <w:pStyle w:val="TextoNormal"/>
      </w:pPr>
    </w:p>
    <w:p w:rsidR="005728DD" w:rsidRDefault="005728DD" w:rsidP="005728DD">
      <w:pPr>
        <w:pStyle w:val="TextoNormal"/>
      </w:pPr>
      <w:r>
        <w:t>g) También se rechaza el motivo asociado a la pretendida asunción de un “papel inquisitivo” por parte del presidente del tribunal enjuiciador. La abogacía del Estado detalla el contexto de la pregunta formulada por el fiscal al señor Trapero, que fue objetada por la defensa del señor Forn; y al ser acogida la queja por la sala, tras finalizar las defensas el turno de interrogatorios, la presidencia formuló la pregunta al amparo de lo dispuesto en el art. 708 LECrim, cuya justificación se detalla en el fundamento jurídico 16.3.5.3 de la sentencia. En cualquier caso, tanto la pregunta como la respuesta resultó inane para la defensa del demandante de amparo, pues ni estaba presente en la reunión de 28 de septiembre de 2017, ni en el juicio de autoría que respecto de aquel se formula sale a colación la referida reunión.</w:t>
      </w:r>
    </w:p>
    <w:p w:rsidR="005728DD" w:rsidRDefault="005728DD" w:rsidP="005728DD">
      <w:pPr>
        <w:pStyle w:val="TextoNormal"/>
      </w:pPr>
    </w:p>
    <w:p w:rsidR="005728DD" w:rsidRDefault="005728DD" w:rsidP="005728DD">
      <w:pPr>
        <w:pStyle w:val="TextoNormal"/>
      </w:pPr>
      <w:r>
        <w:t>9.5. En el apartado relativo a las quejas atinentes a la quiebra del principio de igualdad de armas, las consideraciones que se formulan son las siguientes:</w:t>
      </w:r>
    </w:p>
    <w:p w:rsidR="005728DD" w:rsidRDefault="005728DD" w:rsidP="005728DD">
      <w:pPr>
        <w:pStyle w:val="TextoNormal"/>
      </w:pPr>
    </w:p>
    <w:p w:rsidR="005728DD" w:rsidRDefault="005728DD" w:rsidP="005728DD">
      <w:pPr>
        <w:pStyle w:val="TextoNormal"/>
      </w:pPr>
      <w:r>
        <w:t>a) En relación con el trato peyorativo dado a las defensas al valorar la pertinencia de sus preguntas, la abogacía del Estado también rechaza que ese trato hubiera tenido lugar, remitiéndose a las razones expresadas por el órgano judicial en la sentencia.</w:t>
      </w:r>
    </w:p>
    <w:p w:rsidR="005728DD" w:rsidRDefault="005728DD" w:rsidP="005728DD">
      <w:pPr>
        <w:pStyle w:val="TextoNormal"/>
      </w:pPr>
    </w:p>
    <w:p w:rsidR="005728DD" w:rsidRDefault="005728DD" w:rsidP="005728DD">
      <w:pPr>
        <w:pStyle w:val="TextoNormal"/>
      </w:pPr>
      <w:r>
        <w:t>b) También rechaza que se produjera una desigualdad de trato por el hecho de que a las acusaciones se les permitiera formular preguntas sobre la afiliación política e ideológica de los testigos, pero se impidiera hacerlo a las defensas. Sobre este punto se remite a lo razonado en el fundamento jurídico 16.3.1 y 2 de la sentencia.</w:t>
      </w:r>
    </w:p>
    <w:p w:rsidR="005728DD" w:rsidRDefault="005728DD" w:rsidP="005728DD">
      <w:pPr>
        <w:pStyle w:val="TextoNormal"/>
      </w:pPr>
    </w:p>
    <w:p w:rsidR="005728DD" w:rsidRDefault="005728DD" w:rsidP="005728DD">
      <w:pPr>
        <w:pStyle w:val="TextoNormal"/>
      </w:pPr>
      <w:r>
        <w:t>c) Respecto del alegato relativo a que los testigos propuestos por las partes acusadoras pudieron exponer abiertamente sus valoraciones personales, mientras que los de la defensa no, sin que tampoco se les permitiera a estos últimos consultar notas, se aduce que el recurrente reproduce íntegramente lo alegado en el juicio oral, sin añadir carga argumental que critique la respuesta dada en sentencia, que desestima esa alegación en el fundamento jurídico 16.3.3 y 4.</w:t>
      </w:r>
    </w:p>
    <w:p w:rsidR="005728DD" w:rsidRDefault="005728DD" w:rsidP="005728DD">
      <w:pPr>
        <w:pStyle w:val="TextoNormal"/>
      </w:pPr>
    </w:p>
    <w:p w:rsidR="005728DD" w:rsidRDefault="005728DD" w:rsidP="005728DD">
      <w:pPr>
        <w:pStyle w:val="TextoNormal"/>
      </w:pPr>
      <w:r>
        <w:t>d) Tampoco la censura que la presidencia dirigió al letrado de la demandante, por el empleo del término “ley de ritos”, pone de manifiesto el trato desfavorable que se denuncia. Añade que la sentencia ya explica las razones que hicieron oportuna la corrección, sin que, dado el contexto de esta, de nada sirva invocar el repertorio de casos en que el Tribunal Supremo utilizó esa expresión en otros asuntos pretéritos.</w:t>
      </w:r>
    </w:p>
    <w:p w:rsidR="005728DD" w:rsidRDefault="005728DD" w:rsidP="005728DD">
      <w:pPr>
        <w:pStyle w:val="TextoNormal"/>
      </w:pPr>
    </w:p>
    <w:p w:rsidR="005728DD" w:rsidRDefault="005728DD" w:rsidP="005728DD">
      <w:pPr>
        <w:pStyle w:val="TextoNormal"/>
      </w:pPr>
      <w:r>
        <w:t>9.6. A continuación, la abogacía del Estado analiza otro bloque de quejas que, según la demanda, guardan relación con vulneraciones del derecho de defensa. A saber:</w:t>
      </w:r>
    </w:p>
    <w:p w:rsidR="005728DD" w:rsidRDefault="005728DD" w:rsidP="005728DD">
      <w:pPr>
        <w:pStyle w:val="TextoNormal"/>
      </w:pPr>
    </w:p>
    <w:p w:rsidR="005728DD" w:rsidRDefault="005728DD" w:rsidP="005728DD">
      <w:pPr>
        <w:pStyle w:val="TextoNormal"/>
      </w:pPr>
      <w:r>
        <w:t>a) En primer lugar, se analiza la denuncia referida a la negativa a incorporar el testimonio íntegro del procedimiento seguido ante el Juzgado de Instrucción núm. 13 de Barcelona. Al respecto, se exponen las razones dadas en la sentencia sobre esa queja; en síntesis, que “[e]l bloque probatorio sobre el que se ha construido la apreciación del tribunal se ha generado, de forma única y exclusiva, en el plenario. Nada de lo que aquí se razona para respaldar el juicio de autoría ha sido ajeno a la contradicción de las partes y, por tanto, al ejercicio legítimo del derecho de defensa”.</w:t>
      </w:r>
    </w:p>
    <w:p w:rsidR="005728DD" w:rsidRDefault="005728DD" w:rsidP="005728DD">
      <w:pPr>
        <w:pStyle w:val="TextoNormal"/>
      </w:pPr>
    </w:p>
    <w:p w:rsidR="005728DD" w:rsidRDefault="005728DD" w:rsidP="005728DD">
      <w:pPr>
        <w:pStyle w:val="TextoNormal"/>
      </w:pPr>
      <w:r>
        <w:t>b) En cuanto a la “atomización procesal” y la ruptura de la continencia de la causa que se denuncia, se aduce que tal circunstancia es fruto de los aforamientos y del mandato legal restrictivo acerca del enjuiciamiento de delitos conexos, tras la reforma operada por la Ley 41/2015, de 5 de octubre. Se trae a colación el criterio seguido por el instructor, en el auto de 15 de febrero de 2018, y de la sala, en el auto de 27 de diciembre de 2018, que rechazaron por exorbitante el criterio de incluir, dentro de la causa especial, a todos aquellos que prestaron su colaboración a la hora de ejecutar el plan estratégico ideado e impulsado por los representantes políticos y sociales; y sobre ese argumento, señala que en el recurso de amparo nada se opone, por lo que sus alegaciones en este punto vuelven a ser valoradas como genéricas.</w:t>
      </w:r>
    </w:p>
    <w:p w:rsidR="005728DD" w:rsidRDefault="005728DD" w:rsidP="005728DD">
      <w:pPr>
        <w:pStyle w:val="TextoNormal"/>
      </w:pPr>
    </w:p>
    <w:p w:rsidR="005728DD" w:rsidRDefault="005728DD" w:rsidP="005728DD">
      <w:pPr>
        <w:pStyle w:val="TextoNormal"/>
      </w:pPr>
      <w:r>
        <w:t>c) También niega que se haya impedido a las defensas conocer con tiempo suficiente los elementos incorporados de otras causas durante la instrucción, amén de interesar la incorporación de lo que estimaran pertinente, sin perjuicio de la ulterior decisión del instructor y de la sala. Matiza la abogacía del Estado, que existe un derecho de acceso a todos los documentos que van a ser valorados, pero no un derecho de acceso en calidad de “imputado preventivo” a otras causas, a fin de esclarecer si incide en el derecho de defensa, pues ello supondría convertir la causa especial en un continente formal para incorporar, por aluvión, todos los procedimientos seguidos por hechos diferentes.</w:t>
      </w:r>
    </w:p>
    <w:p w:rsidR="005728DD" w:rsidRDefault="005728DD" w:rsidP="005728DD">
      <w:pPr>
        <w:pStyle w:val="TextoNormal"/>
      </w:pPr>
    </w:p>
    <w:p w:rsidR="005728DD" w:rsidRDefault="005728DD" w:rsidP="005728DD">
      <w:pPr>
        <w:pStyle w:val="TextoNormal"/>
      </w:pPr>
      <w:r>
        <w:t xml:space="preserve">d) Señala también que las defensas reiteraron </w:t>
      </w:r>
      <w:r w:rsidRPr="005728DD">
        <w:rPr>
          <w:i/>
        </w:rPr>
        <w:t>ad nauseam</w:t>
      </w:r>
      <w:r>
        <w:t xml:space="preserve"> la petición de reproducción de la prueba documental videográfica mientras los testigos prestaban declaración, a fin de poder contrastar su veracidad y poder exponer y razonar sobre las posibles contradicciones en que incurriesen. Tras remitirse a la argumentación expuesta en el fundamento jurídico 16.1.2 de la sentencia, se colige que el órgano judicial ha guardado un estricto respeto a la garantía de contradicción para que el acusado tenga la posibilidad de interrogar a quien declara en su contra para, de este modo, controvertir su credibilidad conforme a lo establecido en los arts. 6.3 d) y 6.1 CEDH.</w:t>
      </w:r>
    </w:p>
    <w:p w:rsidR="005728DD" w:rsidRDefault="005728DD" w:rsidP="005728DD">
      <w:pPr>
        <w:pStyle w:val="TextoNormal"/>
      </w:pPr>
    </w:p>
    <w:p w:rsidR="005728DD" w:rsidRDefault="005728DD" w:rsidP="005728DD">
      <w:pPr>
        <w:pStyle w:val="TextoNormal"/>
      </w:pPr>
      <w:r>
        <w:t>e) En cuanto a la denegación de pruebas propuestas por el demandante, la abogacía del Estado se remite al contenido del fundamento jurídico 10.1 de la sentencia, en el que se descarta que la denegación de pruebas a que se alude en la demanda de amparo tuviera incidencia material en el derecho de defensa.</w:t>
      </w:r>
    </w:p>
    <w:p w:rsidR="005728DD" w:rsidRDefault="005728DD" w:rsidP="005728DD">
      <w:pPr>
        <w:pStyle w:val="TextoNormal"/>
      </w:pPr>
    </w:p>
    <w:p w:rsidR="005728DD" w:rsidRDefault="005728DD" w:rsidP="005728DD">
      <w:pPr>
        <w:pStyle w:val="TextoNormal"/>
      </w:pPr>
      <w:r>
        <w:t xml:space="preserve">9.7. La queja relativa a la vulneración del derecho a la presunción de inocencia, derivada de las manifestaciones públicas efectuadas sobre los hechos enjuiciados por parte de algunos </w:t>
      </w:r>
      <w:r>
        <w:lastRenderedPageBreak/>
        <w:t>miembros del gobierno español, no merece favorable acogida, a juicio de la abogacía del Estado, remitiéndose a lo razonado al respecto en la sentencia.</w:t>
      </w:r>
    </w:p>
    <w:p w:rsidR="005728DD" w:rsidRDefault="005728DD" w:rsidP="005728DD">
      <w:pPr>
        <w:pStyle w:val="TextoNormal"/>
      </w:pPr>
    </w:p>
    <w:p w:rsidR="005728DD" w:rsidRDefault="005728DD" w:rsidP="005728DD">
      <w:pPr>
        <w:pStyle w:val="TextoNormal"/>
      </w:pPr>
      <w:r>
        <w:t>9.8. En relación con la filtración de la sentencia, producida cuando su redacción no había sido aún culminada, la abogacía del Estado razona que, de conformidad con la doctrina establecida en la STC 69/2001, solo si se acreditara que la opinión de alguno de los miembros del tribunal hubiera podido verse condicionada o afectada por hechos externos a la propia deliberación o, en su caso, la filtración fuera encaminada a obtener una modificación interesada de lo ya decidido, podría verse afectada la vertiente subjetiva de la garantía de imparcialidad. Sin embargo, en el presente caso las circunstancias indicadas no concurrieron, toda vez que cuando se produjo la filtración ya había concluido el juicio oral, se había desarrollado la práctica de la prueba e, incluso, había finalizado la deliberación sobre el contenido del fallo condenatorio.</w:t>
      </w:r>
    </w:p>
    <w:p w:rsidR="005728DD" w:rsidRDefault="005728DD" w:rsidP="005728DD">
      <w:pPr>
        <w:pStyle w:val="TextoNormal"/>
      </w:pPr>
    </w:p>
    <w:p w:rsidR="005728DD" w:rsidRDefault="005728DD" w:rsidP="005728DD">
      <w:pPr>
        <w:pStyle w:val="TextoNormal"/>
      </w:pPr>
      <w:r>
        <w:t>9.9. En relación con la denunciada vulneración del principio acusatorio, la abogacía del Estado refuta que se haya producido esa vulneración pues, tras transcribir el fundamento jurídico 7 de la STC 1/2020, de 14 de enero, señala que el demandante tuvo conocimiento de las concretas pretensiones punitivas de la referida abogacía y de la acusación popular personada, de modo que pudieron articular las medidas probatorias y alegatorias para defenderse de las mismas. Por tanto, cabe concluir que el recurrente tuvo conocimiento efectivo de la posibilidad de que le fuera impuesta una condena por el delito de sedición en concurso con el delito de malversación y esa pena no es superior a la pretendida por alguna de las acusaciones.</w:t>
      </w:r>
    </w:p>
    <w:p w:rsidR="005728DD" w:rsidRDefault="005728DD" w:rsidP="005728DD">
      <w:pPr>
        <w:pStyle w:val="TextoNormal"/>
      </w:pPr>
    </w:p>
    <w:p w:rsidR="005728DD" w:rsidRDefault="005728DD" w:rsidP="005728DD">
      <w:pPr>
        <w:pStyle w:val="TextoNormal"/>
      </w:pPr>
      <w:r>
        <w:t>También se rechaza la denuncia sobre la falta de motivación y proporcionalidad de la pena impuesta. Tras invocar la doctrina jurisprudencial reflejada en las SSTS 1007/2019, de 26 de marzo, FJ 4, y 172/2018, de 11 de abril, afirma que la justificación de la individualización de las penas se encuentra en el apartado correspondiente de la sentencia que se da por reproducido. Y añade que, como la pena prevista en el art. 545.1 CP es de diez a quince años de prisión, y la establecida para la malversación agravada es de seis a doce años, como se afirma en el ATS que resolvió el incidente de nulidad de actuaciones, la pena que pude llegar a imponerse era muy superior; concretamente hasta veinte años, teniendo en cuenta lo previsto en los arts. 77.3 y 66 CP.</w:t>
      </w:r>
    </w:p>
    <w:p w:rsidR="005728DD" w:rsidRDefault="005728DD" w:rsidP="005728DD">
      <w:pPr>
        <w:pStyle w:val="TextoNormal"/>
      </w:pPr>
    </w:p>
    <w:p w:rsidR="005728DD" w:rsidRDefault="005728DD" w:rsidP="005728DD">
      <w:pPr>
        <w:pStyle w:val="TextoNormal"/>
      </w:pPr>
      <w:r>
        <w:t>9.10. Seguidamente, la abogacía del Estado se pronuncia sobre el bloque de quejas relativas a la vulneración del derecho a la legalidad penal (art. 25.1 CE).</w:t>
      </w:r>
    </w:p>
    <w:p w:rsidR="005728DD" w:rsidRDefault="005728DD" w:rsidP="005728DD">
      <w:pPr>
        <w:pStyle w:val="TextoNormal"/>
      </w:pPr>
    </w:p>
    <w:p w:rsidR="005728DD" w:rsidRDefault="005728DD" w:rsidP="005728DD">
      <w:pPr>
        <w:pStyle w:val="TextoNormal"/>
      </w:pPr>
      <w:r>
        <w:t xml:space="preserve">a) En primer lugar, aborda el motivo asociado al abandono </w:t>
      </w:r>
      <w:r w:rsidRPr="005728DD">
        <w:rPr>
          <w:i/>
        </w:rPr>
        <w:t>ad hoc</w:t>
      </w:r>
      <w:r>
        <w:t xml:space="preserve"> del principio de accesoriedad limitada en la participación, que el demandante atribuye a la sala sentenciadora. Tras resumir los argumentos expuestos en la demanda, colige que esa queja no puede prosperar, porque supone ignorar la especialidad del art. 545 CP.</w:t>
      </w:r>
    </w:p>
    <w:p w:rsidR="005728DD" w:rsidRDefault="005728DD" w:rsidP="005728DD">
      <w:pPr>
        <w:pStyle w:val="TextoNormal"/>
      </w:pPr>
    </w:p>
    <w:p w:rsidR="005728DD" w:rsidRDefault="005728DD" w:rsidP="005728DD">
      <w:pPr>
        <w:pStyle w:val="TextoNormal"/>
      </w:pPr>
      <w:r>
        <w:t xml:space="preserve">Frente a la premisa de la que parte el recurrente, que en todo caso considera que su conducta se subsumiría en la figura del inductor del alzamiento tumultuario y, por tanto, está sujeta al régimen del principio de accesoriedad aplicable a los partícipes a que se refiere el art. 28.2 CP, la abogacía del Estado opone que el delito de sedición se caracteriza por la intervención de una pluralidad de sujetos para su comisión; y esta pluralidad subjetiva se diferencia de la participación, porque los partícipes coadyuvan a la producción del resultado, </w:t>
      </w:r>
      <w:r>
        <w:lastRenderedPageBreak/>
        <w:t>pero no ostentan el dominio funcional del hecho, lo que sí es predicable del autor en sentido estricto. Como así se recoge en la sentencia, el demandante y otros condenados son considerados autores del delito de sedición, puesto que la “acción típica del delito de sedición que se imputa a los condenados no requiere, para colmar la autoría, la realización personal de un acto material que suponga el alzamiento público y tumultuario, con las finalidades previstas en el tipo penal”, pues también se consideran típicas las conductas de quien posibilita el alzamiento de otros, que “no ha de reputarse inductor o cooperador necesario sino que tiene la cualidad de autor en sentido estricto en los términos del art. 28.1 del Código Penal”.</w:t>
      </w:r>
    </w:p>
    <w:p w:rsidR="005728DD" w:rsidRDefault="005728DD" w:rsidP="005728DD">
      <w:pPr>
        <w:pStyle w:val="TextoNormal"/>
      </w:pPr>
    </w:p>
    <w:p w:rsidR="005728DD" w:rsidRDefault="005728DD" w:rsidP="005728DD">
      <w:pPr>
        <w:pStyle w:val="TextoNormal"/>
      </w:pPr>
      <w:r>
        <w:t>Así pues, de lo anterior se deduce que concurre el supuesto de pluralidad subjetiva o coautoría y, por tanto, el demandante ha sido condenado en concepto de autor en sentido estricto, al evidenciarse una estrategia de conductas típicas que cada uno de los condenados asumió, con ostentación del dominio funcional del hecho. Siendo así, no resulta aplicable el principio de accesoriedad limitada que invoca el recurrente, dándose por reproducidos los argumentos recogidos al respecto en el auto que resuelve el incidente de nulidad de actuaciones, tanto al resolver las alegaciones de otros demandantes como las del propio recurrente, en el fundamento jurídico 6.2.3 de la referida resolución.</w:t>
      </w:r>
    </w:p>
    <w:p w:rsidR="005728DD" w:rsidRDefault="005728DD" w:rsidP="005728DD">
      <w:pPr>
        <w:pStyle w:val="TextoNormal"/>
      </w:pPr>
    </w:p>
    <w:p w:rsidR="005728DD" w:rsidRDefault="005728DD" w:rsidP="005728DD">
      <w:pPr>
        <w:pStyle w:val="TextoNormal"/>
      </w:pPr>
      <w:r>
        <w:t>b) Respecto de la pretendía aplicación analógica del delito de sedición a los hechos probados, la abogacía del Estado trae a colación la doctrina constitucional que concierne a la subsunción de los hechos en la norma penal desde la perspectiva del derecho a la legalidad en materia penal (SSTC 13/2003, FJ 3; 137/1997, FJ 6, y 129/2008, FJ 3), para concluir que, en el presente supuesto, la sentencia lleva a cabo la aludida subsunción de manera lógica y acorde con principios interpretativos válidos y previsibles, sin contrariar el sentido literal del precepto aplicado.</w:t>
      </w:r>
    </w:p>
    <w:p w:rsidR="005728DD" w:rsidRDefault="005728DD" w:rsidP="005728DD">
      <w:pPr>
        <w:pStyle w:val="TextoNormal"/>
      </w:pPr>
    </w:p>
    <w:p w:rsidR="005728DD" w:rsidRDefault="005728DD" w:rsidP="005728DD">
      <w:pPr>
        <w:pStyle w:val="TextoNormal"/>
      </w:pPr>
      <w:r>
        <w:t>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Luego, tras transcribir los fundamentos jurídicos 6.2.3 y 6.2.4 del auto que resolvió el incidente de nulidad, concluye que el demandante no ha sido condenado por apoyar dos concentraciones multitudinarias de protesta y votación, ni tampoco cabe apreciar que la reacción penal haya sido imprevisible o desproporcionada. Es más, carece de fundamento cualquier intento de comparación de los hechos con la consulta “del 9-N”, pues entonces no se aprobaron leyes manifiestamente inconstitucionales, para dotar de una pretendida cobertura legal que confundiera a los ciudadanos; no hubo un despliegue policial a fin de impedir la votación; ni se alentó a la población para que “resistiera a toda esa actividad”.</w:t>
      </w:r>
    </w:p>
    <w:p w:rsidR="005728DD" w:rsidRDefault="005728DD" w:rsidP="005728DD">
      <w:pPr>
        <w:pStyle w:val="TextoNormal"/>
      </w:pPr>
    </w:p>
    <w:p w:rsidR="005728DD" w:rsidRDefault="005728DD" w:rsidP="005728DD">
      <w:pPr>
        <w:pStyle w:val="TextoNormal"/>
      </w:pPr>
      <w:r>
        <w:t xml:space="preserve">c) Niega la abogacía del Estado que se haya conculcado el derecho a la libertad de expresión de los condenados, pues ninguno de los actos que se les imputan en la sentencia queda abarcado por el contenido material de ese derecho. Tras resumir la doctrina de este </w:t>
      </w:r>
      <w:r>
        <w:lastRenderedPageBreak/>
        <w:t>tribunal y del Tribunal Europeo de Derechos Humanos acerca de ese derecho, alega que los recurrentes de amparo asocian la lesión “a la criminalización del discurso político, que ellos en su momento expresaron”, y que ahora sostienen, que el ejercicio de ese derecho fundamental constituye una causa de exclusión de la antijuridicidad, conforme a lo dispuesto en el art. 20.7 CP.</w:t>
      </w:r>
    </w:p>
    <w:p w:rsidR="005728DD" w:rsidRDefault="005728DD" w:rsidP="005728DD">
      <w:pPr>
        <w:pStyle w:val="TextoNormal"/>
      </w:pPr>
    </w:p>
    <w:p w:rsidR="005728DD" w:rsidRDefault="005728DD" w:rsidP="005728DD">
      <w:pPr>
        <w:pStyle w:val="TextoNormal"/>
      </w:pPr>
      <w:r>
        <w:t>Sin embargo, como así se recoge en la sentencia, la responsabilidad penal no trae causa de difundir opiniones y doctrinas contrarias al estatus constitucional ni por propugnar la superación del marco político actual. Lo que es objeto de reproche penal es haber pulverizado el pacto constitucional mediante la aprobación de leyes “en abierta y contumaz desatención de los requerimientos del Tribunal Constitucional […] y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También menciona el contenido del apartado 2 del art. 10 CEDH, que considera legítimas las restricciones a la libertad de expresión que sean “medidas necesarias, en una sociedad democrática […] para la integridad territorial o la seguridad pública, la defensa del orden y la prevención del delito” y reitera que en ningún momento la sanción se ha fundado en la manifestación de opiniones políticas por parte del demandante.</w:t>
      </w:r>
    </w:p>
    <w:p w:rsidR="005728DD" w:rsidRDefault="005728DD" w:rsidP="005728DD">
      <w:pPr>
        <w:pStyle w:val="TextoNormal"/>
      </w:pPr>
    </w:p>
    <w:p w:rsidR="005728DD" w:rsidRDefault="005728DD" w:rsidP="005728DD">
      <w:pPr>
        <w:pStyle w:val="TextoNormal"/>
      </w:pPr>
      <w:r>
        <w:t>d) Respecto de la vulneración de los derechos de reunión y manifestación, pone de relieve que el art 21 CE establece, como requisitos necesarios y acumulativos, que las concentraciones sean pacíficas y sin armas. Descendiendo al caso, resulta evidente que ninguno de los ciudadanos que asistieron a las manifestaciones que se detallan en el relato histórico ha resultado condenado y que ninguno de los demandantes, que reforzaron con su presencia o desarrollaron un especial protagonismo en las protestas ante la sede de la Vicepresidencia y Consejería de Economía, fueron acusados de un delito de reunión o manifestación ilícita.</w:t>
      </w:r>
    </w:p>
    <w:p w:rsidR="005728DD" w:rsidRDefault="005728DD" w:rsidP="005728DD">
      <w:pPr>
        <w:pStyle w:val="TextoNormal"/>
      </w:pPr>
    </w:p>
    <w:p w:rsidR="005728DD" w:rsidRDefault="005728DD" w:rsidP="005728DD">
      <w:pPr>
        <w:pStyle w:val="TextoNormal"/>
      </w:pPr>
      <w:r>
        <w:t>Así pues, conforme se detalla en la sentencia impugnada en esta sede, la reacción penal no estaría justificada por la exhibición de discrepancia frente a las leyes, las críticas agrias subidas de tono o descalificadoras, incluso cuando sus destinatarios sean el poder central o la máxima autoridad del Estado o la misma Constitución, pues las proclamas independentistas, la reivindicación del derecho de autodeterminación y las movilizaciones encaminadas a promocionar y difundir esas ideas son legítimas. Sin embargo, cosa bien distinta es la estrategia desplegada de oposición activa y concertada frente a las actuaciones de los agentes de la autoridad encaminados a cumplir un específico y concreto mandato judicial, que fue estimulada y alentada con entusiasmo y poder de movilización por los acusados, a fin de que la votación prohibida tuviera lugar. Es esta actuación la que desborda totalmente las lindes del legítimo ejercicio del derecho de reunión, por lo que no puede quedar amparada por el art. 20.7 CP.</w:t>
      </w:r>
    </w:p>
    <w:p w:rsidR="005728DD" w:rsidRDefault="005728DD" w:rsidP="005728DD">
      <w:pPr>
        <w:pStyle w:val="TextoNormal"/>
      </w:pPr>
    </w:p>
    <w:p w:rsidR="005728DD" w:rsidRDefault="005728DD" w:rsidP="005728DD">
      <w:pPr>
        <w:pStyle w:val="TextoNormal"/>
      </w:pPr>
      <w:r>
        <w:t>El mismo rechazo merece la invocación del derecho a la libertad ideológica, que la abogacía del Estado considera inoponible ante los hechos probados, pues “ningún principio de autodeterminación de la voluntad libre ante cada circunstancia puede justificar la comisión probada, en el seno del proceso, de conductas legalmente tipificadas”.</w:t>
      </w:r>
    </w:p>
    <w:p w:rsidR="005728DD" w:rsidRDefault="005728DD" w:rsidP="005728DD">
      <w:pPr>
        <w:pStyle w:val="TextoNormal"/>
      </w:pPr>
    </w:p>
    <w:p w:rsidR="005728DD" w:rsidRDefault="005728DD" w:rsidP="005728DD">
      <w:pPr>
        <w:pStyle w:val="TextoNormal"/>
      </w:pPr>
      <w:r>
        <w:t xml:space="preserve">Seguidamente, tras incluir la doctrina constitucional sobre las conductas con relevancia penal en el contexto del ejercicio de los derechos fundamentales (SSTC 88/2003, FJ 8; </w:t>
      </w:r>
      <w:r>
        <w:lastRenderedPageBreak/>
        <w:t>104/2011, FJ 6, y 62/2019, FJ 7), se reitera que la condena penal nada tiene que ver con los postulados políticos de los condenados; de hecho, pudieron participar en la campaña electoral durante la prisión preventiva a que estuvieron sujetos y pudieron difundir las ideas que “hoy por hoy, sostienen la acción de Gobierno de la Generalitat”.</w:t>
      </w:r>
    </w:p>
    <w:p w:rsidR="005728DD" w:rsidRDefault="005728DD" w:rsidP="005728DD">
      <w:pPr>
        <w:pStyle w:val="TextoNormal"/>
      </w:pPr>
    </w:p>
    <w:p w:rsidR="005728DD" w:rsidRDefault="005728DD" w:rsidP="005728DD">
      <w:pPr>
        <w:pStyle w:val="TextoNormal"/>
      </w:pPr>
      <w:r>
        <w:t>En conclusión, no cabe afirmar un ejercicio de derechos al margen de la ley y se añade que lo que se llevó a cabo fueron levantamientos hostiles contra las resoluciones judiciales. Y “con ese levantamiento multitudinario, generalizado y proyectado de forma estratégica, no es posible eludir la tipicidad de la sedición”, remitiéndose en lo demás a lo argumentado en el fundamento jurídico 2.5 y siguientes de la sentencia.</w:t>
      </w:r>
    </w:p>
    <w:p w:rsidR="005728DD" w:rsidRDefault="005728DD" w:rsidP="005728DD">
      <w:pPr>
        <w:pStyle w:val="TextoNormal"/>
      </w:pPr>
    </w:p>
    <w:p w:rsidR="005728DD" w:rsidRDefault="005728DD" w:rsidP="005728DD">
      <w:pPr>
        <w:pStyle w:val="TextoNormal"/>
      </w:pPr>
      <w:r w:rsidRPr="005728DD">
        <w:rPr>
          <w:rStyle w:val="NumeroAFNegritaCaracter"/>
        </w:rPr>
        <w:t>10</w:t>
      </w:r>
      <w:r>
        <w:t>. El partido político Vox, personado en la causa penal como acusación popular, presentó sus alegaciones el día 29 de octubre de 2020.</w:t>
      </w:r>
    </w:p>
    <w:p w:rsidR="005728DD" w:rsidRDefault="005728DD" w:rsidP="005728DD">
      <w:pPr>
        <w:pStyle w:val="TextoNormal"/>
      </w:pPr>
    </w:p>
    <w:p w:rsidR="005728DD" w:rsidRDefault="005728DD" w:rsidP="005728DD">
      <w:pPr>
        <w:pStyle w:val="TextoNormal"/>
      </w:pPr>
      <w:r>
        <w:t>En ellas, en primer lugar, cuestiona que la especial trascendencia constitucional del recurso de amparo haya sido debidamente justificada. Tras resumir las razones dadas sobre este particular por el demandante, señala que este se ha limitado a plantear unas líneas genéricas para cumplimentar este trámite, pero “ni se explica la supuesta falta de compatibilidad del delito de sedición y su aplicación al presente caso con los derechos fundamentales alegados, ni tampoco se cita, siquiera, la supuesta vulneración de la jurisprudencia constitucional previa”.</w:t>
      </w:r>
    </w:p>
    <w:p w:rsidR="005728DD" w:rsidRDefault="005728DD" w:rsidP="005728DD">
      <w:pPr>
        <w:pStyle w:val="TextoNormal"/>
      </w:pPr>
    </w:p>
    <w:p w:rsidR="005728DD" w:rsidRDefault="005728DD" w:rsidP="005728DD">
      <w:pPr>
        <w:pStyle w:val="TextoNormal"/>
      </w:pPr>
      <w:r>
        <w:t>Seguidamente, lleva a cabo un análisis de las diferentes lesiones denunciadas en la demanda, que rechaza en su totalidad.</w:t>
      </w:r>
    </w:p>
    <w:p w:rsidR="005728DD" w:rsidRDefault="005728DD" w:rsidP="005728DD">
      <w:pPr>
        <w:pStyle w:val="TextoNormal"/>
      </w:pPr>
    </w:p>
    <w:p w:rsidR="005728DD" w:rsidRDefault="005728DD" w:rsidP="005728DD">
      <w:pPr>
        <w:pStyle w:val="TextoNormal"/>
      </w:pPr>
      <w:r>
        <w:t>10.1.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005728DD" w:rsidRDefault="005728DD" w:rsidP="005728DD">
      <w:pPr>
        <w:pStyle w:val="TextoNormal"/>
      </w:pPr>
    </w:p>
    <w:p w:rsidR="005728DD" w:rsidRDefault="005728DD" w:rsidP="005728DD">
      <w:pPr>
        <w:pStyle w:val="TextoNormal"/>
      </w:pPr>
      <w:r>
        <w:t>Añade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al acuerdo del Pleno no jurisdiccional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005728DD" w:rsidRDefault="005728DD" w:rsidP="005728DD">
      <w:pPr>
        <w:pStyle w:val="TextoNormal"/>
      </w:pPr>
    </w:p>
    <w:p w:rsidR="005728DD" w:rsidRDefault="005728DD" w:rsidP="005728DD">
      <w:pPr>
        <w:pStyle w:val="TextoNormal"/>
      </w:pPr>
      <w:r>
        <w:t xml:space="preserve">A continuación, invoca el contenido del ATS de 31 de octubre de 2017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w:t>
      </w:r>
      <w:r>
        <w:lastRenderedPageBreak/>
        <w:t>el que la coincidencia en la finalidad que anima la acción —la declaración de independencia de Cataluña—, tolera contribuciones fácticas de muy distinto signo y, precisamente por ello, ejecutados en diferentes puntos geográficos”.</w:t>
      </w:r>
    </w:p>
    <w:p w:rsidR="005728DD" w:rsidRDefault="005728DD" w:rsidP="005728DD">
      <w:pPr>
        <w:pStyle w:val="TextoNormal"/>
      </w:pPr>
    </w:p>
    <w:p w:rsidR="005728DD" w:rsidRDefault="005728DD" w:rsidP="005728DD">
      <w:pPr>
        <w:pStyle w:val="TextoNormal"/>
      </w:pPr>
      <w:r>
        <w:t>10.2. Descarta la vulneración del derecho a la doble instancia penal, con base en las excepciones señaladas en el art. 2 del Protocolo núm. 7 CEDH, para las infracciones de menor gravedad o cuando el interesado haya sido juzgado en primera instancia por el más Alto Tribunal del Estado.</w:t>
      </w:r>
    </w:p>
    <w:p w:rsidR="005728DD" w:rsidRDefault="005728DD" w:rsidP="005728DD">
      <w:pPr>
        <w:pStyle w:val="TextoNormal"/>
      </w:pPr>
    </w:p>
    <w:p w:rsidR="005728DD" w:rsidRDefault="005728DD" w:rsidP="005728DD">
      <w:pPr>
        <w:pStyle w:val="TextoNormal"/>
      </w:pPr>
      <w:r>
        <w:t>10.3. Respecto de las quejas relacionadas con la utilización del idioma catalán, trae a colación la STC 74/1987, en la que se recoge que, conforme se establece en el art. 3.1 CE, todos los españoles tienen el deber de conocer el castellano, que es la lengua española oficial del Estado y ese deber genera una presunción de conocimiento, que puede ser desvirtuada cuando de manera verosímil se alega ignorancia o conocimiento insuficiente. Entiende que, en el presente caso, ha quedado acreditado en el proceso que el demandante, cargo público de la Generalitat de Cataluña, conocía perfectamente el castellano, por lo que el argumento que expone, por no habérsele permitido declarar en catalán con un sistema de traducción simultánea, no es más que una argucia para salvar sus responsabilidades penales.</w:t>
      </w:r>
    </w:p>
    <w:p w:rsidR="005728DD" w:rsidRDefault="005728DD" w:rsidP="005728DD">
      <w:pPr>
        <w:pStyle w:val="TextoNormal"/>
      </w:pPr>
    </w:p>
    <w:p w:rsidR="005728DD" w:rsidRDefault="005728DD" w:rsidP="005728DD">
      <w:pPr>
        <w:pStyle w:val="TextoNormal"/>
      </w:pPr>
      <w:r>
        <w:t>En relación con el alegato referido a los testigos a quienes se impidió declarar en catalán, afirma que estos no acreditaron desconocer el castellano, de manera que el hecho de tener que expresarse en esta lengua no les supuso impedimento o discriminación alguna.</w:t>
      </w:r>
    </w:p>
    <w:p w:rsidR="005728DD" w:rsidRDefault="005728DD" w:rsidP="005728DD">
      <w:pPr>
        <w:pStyle w:val="TextoNormal"/>
      </w:pPr>
    </w:p>
    <w:p w:rsidR="005728DD" w:rsidRDefault="005728DD" w:rsidP="005728DD">
      <w:pPr>
        <w:pStyle w:val="TextoNormal"/>
      </w:pPr>
      <w:r>
        <w:t>10.4. En referencia a la vulneración del derecho a un juez imparcial señala, de una parte, que, de conformidad con la doctrina del Tribunal Europeo de Derechos Humanos, no bastan las meras sospechas de quien aduce la vulneración de la imparcialidad, si esos temores no resultan objetivamente justificados. A la vista de ello, apunta que si el recurrente no ha sido capaz “de hacer veraz sus temores de parcialidad como objetivamente justificados no puede pretender que el Tribunal Constitucional subsane esta insuficiencia relevante, que impide la estimación del motivo”.</w:t>
      </w:r>
    </w:p>
    <w:p w:rsidR="005728DD" w:rsidRDefault="005728DD" w:rsidP="005728DD">
      <w:pPr>
        <w:pStyle w:val="TextoNormal"/>
      </w:pPr>
    </w:p>
    <w:p w:rsidR="005728DD" w:rsidRDefault="005728DD" w:rsidP="005728DD">
      <w:pPr>
        <w:pStyle w:val="TextoNormal"/>
      </w:pPr>
      <w:r>
        <w:t>Tampoco el supuesto rol inquisitivo del presidente de la sala merece acogida, toda vez que la pregunta formulada por la presidencia al testigo señor Trapero está amparada legalmente por el art. 708 LECrim. Además, afirma que se dio traslado a las defensas para que pudieran repreguntar, de manera que quedó amparado el derecho de defensa. Por tanto, no se ha justificado que ese supuesto rol inquisitivo haya vulnerado el derecho al juez imparcial.</w:t>
      </w:r>
    </w:p>
    <w:p w:rsidR="005728DD" w:rsidRDefault="005728DD" w:rsidP="005728DD">
      <w:pPr>
        <w:pStyle w:val="TextoNormal"/>
      </w:pPr>
    </w:p>
    <w:p w:rsidR="005728DD" w:rsidRDefault="005728DD" w:rsidP="005728DD">
      <w:pPr>
        <w:pStyle w:val="TextoNormal"/>
      </w:pPr>
      <w:r>
        <w:t>10.5. Tras sintetizar la queja del demandante sobre la lesión del principio de igualdad de armas, trae a colación la STC 33/2003, de 13 de febrero, para a continuación concluir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y añade que el demandante no ha argumentado nada sobre esta relevante cuestión.</w:t>
      </w:r>
    </w:p>
    <w:p w:rsidR="005728DD" w:rsidRDefault="005728DD" w:rsidP="005728DD">
      <w:pPr>
        <w:pStyle w:val="TextoNormal"/>
      </w:pPr>
    </w:p>
    <w:p w:rsidR="005728DD" w:rsidRDefault="005728DD" w:rsidP="005728DD">
      <w:pPr>
        <w:pStyle w:val="TextoNormal"/>
      </w:pPr>
      <w:r>
        <w:t>10.6. En cuanto a los diferentes motivos en los que el demandante sustenta la lesión del derecho de defensa, argumenta del siguiente modo:</w:t>
      </w:r>
    </w:p>
    <w:p w:rsidR="005728DD" w:rsidRDefault="005728DD" w:rsidP="005728DD">
      <w:pPr>
        <w:pStyle w:val="TextoNormal"/>
      </w:pPr>
    </w:p>
    <w:p w:rsidR="005728DD" w:rsidRDefault="005728DD" w:rsidP="005728DD">
      <w:pPr>
        <w:pStyle w:val="TextoNormal"/>
      </w:pPr>
      <w:r>
        <w:t>a) Niega que la instrucción realmente se llevara a cabo en las diligencias previas núm. 118-2017 del Juzgado de Instrucción núm. 13 de Barcelona pues, como así afirma la sala, en la causa que ahora ocupa solo se tuvieron en cuenta las pruebas practicadas en el juicio oral; de manera que, incluso, la aportación de actuaciones procedentes del juzgado indicado no sería causa de indefensión, al no haberse tenido en cuenta en la sentencia.</w:t>
      </w:r>
    </w:p>
    <w:p w:rsidR="005728DD" w:rsidRDefault="005728DD" w:rsidP="005728DD">
      <w:pPr>
        <w:pStyle w:val="TextoNormal"/>
      </w:pPr>
    </w:p>
    <w:p w:rsidR="005728DD" w:rsidRDefault="005728DD" w:rsidP="005728DD">
      <w:pPr>
        <w:pStyle w:val="TextoNormal"/>
      </w:pPr>
      <w:r>
        <w:t>b) Respecto de la falta de confrontación simultánea entre la prueba videográfica y lo declarado por los testigos, estima que esa circunstancia no ha vulnerado el derecho de defensa, pues no se alcanza a comprender en qué aspecto podría haber mejorado la valoración de la prueba por parte de la sala, si se hubiera procedido del modo que indica el recurrente.</w:t>
      </w:r>
    </w:p>
    <w:p w:rsidR="005728DD" w:rsidRDefault="005728DD" w:rsidP="005728DD">
      <w:pPr>
        <w:pStyle w:val="TextoNormal"/>
      </w:pPr>
    </w:p>
    <w:p w:rsidR="005728DD" w:rsidRDefault="005728DD" w:rsidP="005728DD">
      <w:pPr>
        <w:pStyle w:val="TextoNormal"/>
      </w:pPr>
      <w:r>
        <w:t>c) Tampoco aprecia la vulneración de ese derecho, por la circunstancia de que algunas pruebas fueran denegadas. Y ello, porque el órgano judicial permitió “la razonable presentación de la causa y de sus pruebas por parte del condenado, con la admisión y práctica de las pruebas propuestas por el mismo”.</w:t>
      </w:r>
    </w:p>
    <w:p w:rsidR="005728DD" w:rsidRDefault="005728DD" w:rsidP="005728DD">
      <w:pPr>
        <w:pStyle w:val="TextoNormal"/>
      </w:pPr>
    </w:p>
    <w:p w:rsidR="005728DD" w:rsidRDefault="005728DD" w:rsidP="005728DD">
      <w:pPr>
        <w:pStyle w:val="TextoNormal"/>
      </w:pPr>
      <w:r>
        <w:t>10.7. Sobre la vulneración del derecho a la presunción de inocencia que es objeto de denuncia, manifiesta no entender con claridad el motivo del recurso, puesto que la actividad llevada a cabo por el Gobierno de España nada tiene que ver con las lesiones de derechos fundamentales en que la sentencia pudiera haber incurrido. En suma, considera que nada tiene que ver el poder ejecutivo con el poder judicial.</w:t>
      </w:r>
    </w:p>
    <w:p w:rsidR="005728DD" w:rsidRDefault="005728DD" w:rsidP="005728DD">
      <w:pPr>
        <w:pStyle w:val="TextoNormal"/>
      </w:pPr>
    </w:p>
    <w:p w:rsidR="005728DD" w:rsidRDefault="005728DD" w:rsidP="005728DD">
      <w:pPr>
        <w:pStyle w:val="TextoNormal"/>
      </w:pPr>
      <w:r>
        <w:t>10.8. Tampoco merece acogida la lesión del derecho a un proceso con todas las garantías, sustentada en la filtración de la sentencia antes de su culminación. Tras evocar el contenido de la STC 64/2001, concluye que, en el caso que ahora ocupa, no se desprende que las coincidencias entre lo publicado previamente y el sentido de la propia sentencia dictada posteriormente en la causa penal fueran consecuencia de filtraciones procedentes de miembros del Tribunal Supremo. Y en todo caso indica que, de haberse producido la filtración, desde el punto de vista de la imparcialidad subjetiva u objetiva, tampoco habría condicionado la deliberación que llevó a la sentencia condenatoria dictada, sin que elucubraciones o juicios de valor —sin base fáctica alguna— puedan desvirtuar estas conclusiones.</w:t>
      </w:r>
    </w:p>
    <w:p w:rsidR="005728DD" w:rsidRDefault="005728DD" w:rsidP="005728DD">
      <w:pPr>
        <w:pStyle w:val="TextoNormal"/>
      </w:pPr>
    </w:p>
    <w:p w:rsidR="005728DD" w:rsidRDefault="005728DD" w:rsidP="005728DD">
      <w:pPr>
        <w:pStyle w:val="TextoNormal"/>
      </w:pPr>
      <w:r>
        <w:t>10.9. Niega que se haya conculcado el principio acusatorio por la imposición de penas superiores a la solicitada por la acusación particular. Tras resumir la queja expuesta en la demanda, afirma que el recurrente se convierte en “juez y parte” al pronunciarse categóricamente sobre si el tribunal debe aplicar la pena solicitada por una acusación u otra, lo que considera una aberración jurídica. Teniendo en cuenta los escritos de las acusaciones, también el de la acusación popular, se constata que el demandante no ha sido condenado a unas penas superiores a las solicitadas respecto de él, hecho que el propio recurrente reconoce, aunque pretenda que no se tenga en cuenta.</w:t>
      </w:r>
    </w:p>
    <w:p w:rsidR="005728DD" w:rsidRDefault="005728DD" w:rsidP="005728DD">
      <w:pPr>
        <w:pStyle w:val="TextoNormal"/>
      </w:pPr>
    </w:p>
    <w:p w:rsidR="005728DD" w:rsidRDefault="005728DD" w:rsidP="005728DD">
      <w:pPr>
        <w:pStyle w:val="TextoNormal"/>
      </w:pPr>
      <w:r>
        <w:t>10.10. En lo que concierne al derecho a la legalidad penal, (art. 25.1 CE), alega lo siguiente:</w:t>
      </w:r>
    </w:p>
    <w:p w:rsidR="005728DD" w:rsidRDefault="005728DD" w:rsidP="005728DD">
      <w:pPr>
        <w:pStyle w:val="TextoNormal"/>
      </w:pPr>
    </w:p>
    <w:p w:rsidR="005728DD" w:rsidRDefault="005728DD" w:rsidP="005728DD">
      <w:pPr>
        <w:pStyle w:val="TextoNormal"/>
      </w:pPr>
      <w:r>
        <w:t xml:space="preserve">a) En cuanto a la inaplicación </w:t>
      </w:r>
      <w:r w:rsidRPr="005728DD">
        <w:rPr>
          <w:i/>
        </w:rPr>
        <w:t>ad hoc</w:t>
      </w:r>
      <w:r>
        <w:t xml:space="preserve"> del principio de accesoriedad limitada en la participación, reproduce los argumentos de la sentencia para justificar la condición de coautor del demandante. Por tanto, sostiene que su participación en el alzamiento sedicioso está </w:t>
      </w:r>
      <w:r>
        <w:lastRenderedPageBreak/>
        <w:t>perfectamente acreditada, no en calidad de partícipe accesorio sino como autor de los hechos.</w:t>
      </w:r>
    </w:p>
    <w:p w:rsidR="005728DD" w:rsidRDefault="005728DD" w:rsidP="005728DD">
      <w:pPr>
        <w:pStyle w:val="TextoNormal"/>
      </w:pPr>
    </w:p>
    <w:p w:rsidR="005728DD" w:rsidRDefault="005728DD" w:rsidP="005728DD">
      <w:pPr>
        <w:pStyle w:val="TextoNormal"/>
      </w:pPr>
      <w:r>
        <w:t>b) Según afirma, tampoco cabe apreciar la vulneración de los derechos fundamentales objeto de cita en la demanda, por la alegada falta de taxatividad del tipo penal de la sedición y por la deficiente subsunción de los hechos probados en la norma. A este respecto, aduce que no es dable apreciar imprevisibilidad en la resolución judicial, porque la conducta del recurrente fuera valorada como un delito de sedición. Tampoco es viable afirmar, vistos los argumentos expuestos en la sentencia impugnada, que la subsunción realizada fuera ilógica o irrazonable; y añade que la conducta sancionada “estuvo trufada de comportamientos añadidos que elevaban la relevancia y efectos penales para el condenado, más allá de lo que supondría un mero ejercicio de los derechos de libertad de expresión y reunión que alega el condenado, siendo este consciente de ello en su condición de consejero de la Generalidad de Cataluña”.</w:t>
      </w:r>
    </w:p>
    <w:p w:rsidR="005728DD" w:rsidRDefault="005728DD" w:rsidP="005728DD">
      <w:pPr>
        <w:pStyle w:val="TextoNormal"/>
      </w:pPr>
    </w:p>
    <w:p w:rsidR="005728DD" w:rsidRDefault="005728DD" w:rsidP="005728DD">
      <w:pPr>
        <w:pStyle w:val="TextoNormal"/>
      </w:pPr>
      <w:r>
        <w:t xml:space="preserve">c) A su juicio, el órgano judicial no llevó a cabo una interpretación analógica </w:t>
      </w:r>
      <w:r w:rsidRPr="005728DD">
        <w:rPr>
          <w:i/>
        </w:rPr>
        <w:t>in malam partem</w:t>
      </w:r>
      <w:r>
        <w:t xml:space="preserve"> del delito de sedición. Reitera que no se alcanzó tampoco un resultado imprevisible, al valorar los hechos atribuidos al recurrente como un delito de sedición, de acuerdo con lo expresado en la sentencia.</w:t>
      </w:r>
    </w:p>
    <w:p w:rsidR="005728DD" w:rsidRDefault="005728DD" w:rsidP="005728DD">
      <w:pPr>
        <w:pStyle w:val="TextoNormal"/>
      </w:pPr>
    </w:p>
    <w:p w:rsidR="005728DD" w:rsidRDefault="005728DD" w:rsidP="005728DD">
      <w:pPr>
        <w:pStyle w:val="TextoNormal"/>
      </w:pPr>
      <w:r>
        <w:t>d) Finalmente, analiza el último de los motivos planteados en la demanda, relativo a la imposición de una pena desproporcionada que conculca los derechos fundamentales que se mencionan en la demanda. Califica este motivo como un “cajón de sastre en el que se incorpora un poco de todo”. Tras resumir la queja, trae a colación la STC 136/1999, en la que se recoge la doctrina sobre proporcionalidad de las penas. Seguidamente, afirma que no cabe ignorar que el orden público alterado se pretendió preservar con la sentencia condenatoria; y la alteración de ese orden afectaba a la unidad política y territorial de la Nación española, por lo que una pena inferior a la impuesta no hubiera sido lo suficientemente desmotivadora para evitar que se reiteren las mismas conductas (señala que no puede obviarse que los condenados, aún después de ser condenados, mantienen públicamente que volverían a repetir los hechos declarados delictivos). Además, refiere que los hechos atribuidos al demandante fueron realizados cuando ocupaba cargo público “representando al Gobierno de España en el territorio de Cataluña”, por lo que el desvalor de su acción es mayor. La representación procesal del partido político Vox concluye su escrito de alegaciones interesando la inadmisión y, subsidiariamente,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11</w:t>
      </w:r>
      <w:r>
        <w:t>. El 12 de noviembre de 2020 tuvo entrada en este tribunal el escrito de alegaciones formulado por el Ministerio Fiscal. Tras una detallada exposición de los antecedentes de hecho que consideró más relevantes, el fiscal ante el Tribunal Constitucional analiza los motivos de amparo planteados en la demanda, comenzando por los de carácter estrictamente procesal, y siguiendo por los que presentan un contenido material. En síntesis, son las siguientes:</w:t>
      </w:r>
    </w:p>
    <w:p w:rsidR="005728DD" w:rsidRDefault="005728DD" w:rsidP="005728DD">
      <w:pPr>
        <w:pStyle w:val="TextoNormal"/>
      </w:pPr>
    </w:p>
    <w:p w:rsidR="005728DD" w:rsidRDefault="005728DD" w:rsidP="005728DD">
      <w:pPr>
        <w:pStyle w:val="TextoNormal"/>
      </w:pPr>
      <w:r>
        <w:t>11.1. Vulneración del derecho al juez ordinario predeterminado por la ley y, como consecuencia, del derecho a la doble instancia penal (art. 24.2 CE).</w:t>
      </w:r>
    </w:p>
    <w:p w:rsidR="005728DD" w:rsidRDefault="005728DD" w:rsidP="005728DD">
      <w:pPr>
        <w:pStyle w:val="TextoNormal"/>
      </w:pPr>
    </w:p>
    <w:p w:rsidR="005728DD" w:rsidRDefault="005728DD" w:rsidP="005728DD">
      <w:pPr>
        <w:pStyle w:val="TextoNormal"/>
      </w:pPr>
      <w:r>
        <w:t xml:space="preserve">La demanda considera que la vulneración de estos derechos viene motivada por la decisión del Tribunal Supremo de asumir la competencia para el conocimiento de esta causa. </w:t>
      </w:r>
      <w:r>
        <w:lastRenderedPageBreak/>
        <w:t xml:space="preserve">Más en concreto, se achaca la creación de una doctrina </w:t>
      </w:r>
      <w:r w:rsidRPr="005728DD">
        <w:rPr>
          <w:i/>
        </w:rPr>
        <w:t>ad hoc</w:t>
      </w:r>
      <w:r>
        <w:t xml:space="preserve"> para este caso, apartándose de los precedentes, además de fragmentar el procedimiento y, al mismo tiempo, enjuiciar conjuntamente a personas aforadas y no aforadas. La competencia del Tribunal Supremo habría determinado, como consecuencia necesaria, la imposibilidad de acudir a un órgano superior para que revisara la condena.</w:t>
      </w:r>
    </w:p>
    <w:p w:rsidR="005728DD" w:rsidRDefault="005728DD" w:rsidP="005728DD">
      <w:pPr>
        <w:pStyle w:val="TextoNormal"/>
      </w:pPr>
    </w:p>
    <w:p w:rsidR="005728DD" w:rsidRDefault="005728DD" w:rsidP="005728DD">
      <w:pPr>
        <w:pStyle w:val="TextoNormal"/>
      </w:pPr>
      <w:r>
        <w:t>En relación con el supuesto apartamiento de la doctrina establecida en la causa seguida contra don Francesc Homs por la consulta del 9 de noviembre de 2014, el fiscal entiende que el Tribunal Supremo ha dado una respuesta razonable y en Derecho a esta cuestión, para negar que se haya apartado del precedente citado. A tal efecto, la sala explicita las diferencias que existen entre ambos supuestos. Así, al señor Homs se le imputaba un delito de desobediencia por incumplimiento reiterado a los mandatos del Tribunal Constitucional, lo que permitía escindir la causa para los otros acusados no aforados, ya que su responsabilidad estaba individualizada y permitía un enjuiciamiento por separado. Sin embargo, en esta causa se imputan delitos de rebelión, sedición, malversación y desobediencia. Por tanto, estamos ante delitos plurisubjetivos de convergencia y de ejecución plural. Eso permite que, conforme a lo dispuesto en el art. 17.1 LECrim, se puedan enjuiciar conjuntamente aquellos hechos que no pueden ser escindidos, por su conexidad y complejidad, evitando dilaciones indebidas, mientras que se remitan al Tribunal Superior de Justicia las conductas de quienes han incurrido en responsabilidades ya individualizadas y con sustantividad propia; más en concreto, conductas constitutivas de delito de desobediencia, sin participación alguna en las otras figuras delictivas enjuiciadas en esta causa.</w:t>
      </w:r>
    </w:p>
    <w:p w:rsidR="005728DD" w:rsidRDefault="005728DD" w:rsidP="005728DD">
      <w:pPr>
        <w:pStyle w:val="TextoNormal"/>
      </w:pPr>
    </w:p>
    <w:p w:rsidR="005728DD" w:rsidRDefault="005728DD" w:rsidP="005728DD">
      <w:pPr>
        <w:pStyle w:val="TextoNormal"/>
      </w:pPr>
      <w:r>
        <w:t>En relación con los pronunciamientos anteriores del Tribunal Superior de Justicia de Cataluña para asumir su competencia, el fiscal considera que el Tribunal Supremo ha expuesto una interpretación que no puede tacharse de ilógica o irrazonable. Los precedentes invocados no guardan analogía con el presente caso, y las reglas de los arts. 18 y 21 LECrim no pueden ser de aplicación, porque se refieren a cuestiones de competencia que no pueden ser planteadas ante el Tribunal Supremo, como órgano superior en todos los órdenes jurisdiccionales (art. 123 CE). En definitiva, el tribunal solo puede verse obligado por su propia doctrina, como máximo intérprete de la legalidad ordinaria.</w:t>
      </w:r>
    </w:p>
    <w:p w:rsidR="005728DD" w:rsidRDefault="005728DD" w:rsidP="005728DD">
      <w:pPr>
        <w:pStyle w:val="TextoNormal"/>
      </w:pPr>
    </w:p>
    <w:p w:rsidR="005728DD" w:rsidRDefault="005728DD" w:rsidP="005728DD">
      <w:pPr>
        <w:pStyle w:val="TextoNormal"/>
      </w:pPr>
      <w:r>
        <w:t>En lo referente a la adquisición de la condición de diputado del recurrente y de otros procesados una vez acordada la apertura del juicio oral, que el Tribunal Supremo utiliza como argumento para sostener su competencia —supuestamente en contra del acuerdo del Pleno no jurisdiccional de 2 de diciembre de 2014—, el fiscal entiende que se trata de una motivación que no puede considerarse como irrazonable o arbitraria y que, en consecuencia, como mera cuestión de legalidad ordinaria su interpretación corresponde, precisamente, al Tribunal Supremo.</w:t>
      </w:r>
    </w:p>
    <w:p w:rsidR="005728DD" w:rsidRDefault="005728DD" w:rsidP="005728DD">
      <w:pPr>
        <w:pStyle w:val="TextoNormal"/>
      </w:pPr>
    </w:p>
    <w:p w:rsidR="005728DD" w:rsidRDefault="005728DD" w:rsidP="005728DD">
      <w:pPr>
        <w:pStyle w:val="TextoNormal"/>
      </w:pPr>
      <w:r>
        <w:t xml:space="preserve">Otro tanto ocurre con la denuncia de la excepcionalidad del enjuiciamiento conjunto de personas aforadas y no aforadas, mediante la creación </w:t>
      </w:r>
      <w:r w:rsidRPr="005728DD">
        <w:rPr>
          <w:i/>
        </w:rPr>
        <w:t>ad hoc</w:t>
      </w:r>
      <w:r>
        <w:t xml:space="preserve"> de una nueva doctrina que se habría apartado de los precedentes vigentes hasta ese momento. Tras hacer una reseña parcial de los hechos imputados a los procesados en la causa, el fiscal recoge los principales argumentos expuestos por el Tribunal Supremo en las diversas resoluciones emitidas sobre esta cuestión, desde el auto de admisión a trámite de la querella de 31 de octubre de 2017, pasando por el auto de 18 de diciembre de 2017 que desestimó el recurso de súplica contra el anterior, así como el auto de la sala de recursos de 26 de junio de 2018, para detenerse </w:t>
      </w:r>
      <w:r>
        <w:lastRenderedPageBreak/>
        <w:t>especialmente en el auto de 27 de diciembre de 2018, por el que se resuelve la declinatoria de jurisdicción, con una argumentación que es reiterada en el auto por el que se da respuesta a las cuestiones previas y en la propia sentencia de 14 de octubre de 2019.</w:t>
      </w:r>
    </w:p>
    <w:p w:rsidR="005728DD" w:rsidRDefault="005728DD" w:rsidP="005728DD">
      <w:pPr>
        <w:pStyle w:val="TextoNormal"/>
      </w:pPr>
    </w:p>
    <w:p w:rsidR="005728DD" w:rsidRDefault="005728DD" w:rsidP="005728DD">
      <w:pPr>
        <w:pStyle w:val="TextoNormal"/>
      </w:pPr>
      <w:r>
        <w:t>A partir de este análisis, con cita de la STC 220/2009, de 21 de diciembre (FJ 3), sobre la doctrina de este tribunal en relación con el derecho al juez ordinario predeterminado por la ley, el fiscal considera que, en realidad, la demanda no discute el contenido esencial de este derecho. Es decir, no se impugna que el “órgano judicial haya sido creado previamente por la norma jurídica, que esta le haya investido de jurisdicción y competencia con anterioridad al hecho motivador de la actuación o proceso judicial y que su régimen orgánico y procesal no permita calificarlo de órgano especial o excepcional”. Lo que se recurre es la interpretación del Tribunal Supremo sobre la norma procesal recogida en el art. 57.2 EAC, en relación con el art. 71.3 LOPJ.</w:t>
      </w:r>
    </w:p>
    <w:p w:rsidR="005728DD" w:rsidRDefault="005728DD" w:rsidP="005728DD">
      <w:pPr>
        <w:pStyle w:val="TextoNormal"/>
      </w:pPr>
    </w:p>
    <w:p w:rsidR="005728DD" w:rsidRDefault="005728DD" w:rsidP="005728DD">
      <w:pPr>
        <w:pStyle w:val="TextoNormal"/>
      </w:pPr>
      <w:r>
        <w:t>Se trata así de una regla de competencia objetiva que atribuye al Tribunal Supremo el conocimiento de la causa sobre la base de un doble criterio: i) la condición personal del procesado, como diputado del Parlamento de Cataluña, y ii) el ámbito geográfico de los hechos imputados, si son realizados fuera del territorio de esta comunidad autónoma.</w:t>
      </w:r>
    </w:p>
    <w:p w:rsidR="005728DD" w:rsidRDefault="005728DD" w:rsidP="005728DD">
      <w:pPr>
        <w:pStyle w:val="TextoNormal"/>
      </w:pPr>
    </w:p>
    <w:p w:rsidR="005728DD" w:rsidRDefault="005728DD" w:rsidP="005728DD">
      <w:pPr>
        <w:pStyle w:val="TextoNormal"/>
      </w:pPr>
      <w:r>
        <w:t>En el presente caso, el Tribunal Supremo aplica la vigente teoría de la ubicuidad, consistente en que el delito se entiende cometido en cualquiera de los territorios donde se realizan algunos de los elementos del tipo. Bajo esa premisa, se analizan los elementos fácticos atribuidos sobre la acción exterior de la Generalitat tendentes a preparar, financiar y legitimar la celebración del referéndum, a reforzar la imagen de Cataluña en el exterior y a procurar la participación de ciudadanos catalanes residentes en el extranjero. Por otro lado, la competencia sobre el delito de malversación se apoya en la concepción integral del patrimonio del Estado que se deduce de la Ley 33/2003, de 3 de noviembre. Se trataba, en todo caso, de una actuación coordinada entre responsables del Parlamento de Cataluña, miembros del Gobierno de la Generalitat y los máximos dirigentes de asociaciones ciudadanas. Por lo tanto, la participación se imputaba a personas aforadas y no aforadas, que intervenían en la comisión de unos hechos que no podían escindirse, sino que requerían una unidad de investigación y enjuiciamiento, para evitar pronunciamientos contradictorios y facilitar la tramitación de una causa tan compleja sin dilaciones indebidas.</w:t>
      </w:r>
    </w:p>
    <w:p w:rsidR="005728DD" w:rsidRDefault="005728DD" w:rsidP="005728DD">
      <w:pPr>
        <w:pStyle w:val="TextoNormal"/>
      </w:pPr>
    </w:p>
    <w:p w:rsidR="005728DD" w:rsidRDefault="005728DD" w:rsidP="005728DD">
      <w:pPr>
        <w:pStyle w:val="TextoNormal"/>
      </w:pPr>
      <w:r>
        <w:t xml:space="preserve">En consecuencia, finaliza el fiscal, “el Tribunal Supremo ha dado respuesta a cada una de las quejas que en este motivo de amparo se esgrimen por el recurrente, y la interpretación que ha hecho del art. 57.2 del Estatuto de Autonomía de Cataluña no puede ser tachada de falta de razonabilidad y lógica ni considerada como arbitraria, no ha supuesto la creación </w:t>
      </w:r>
      <w:r w:rsidRPr="005728DD">
        <w:rPr>
          <w:i/>
        </w:rPr>
        <w:t>ad hoc</w:t>
      </w:r>
      <w:r>
        <w:t xml:space="preserve"> de nuevos criterios jurisdiccionales para determinar la competencia del Tribunal Supremo, no se aparta de ningún precedente alegado, dada su falta de identidad, ni altera las reglas de competencia de los no aforados, dada la inescindibilidad de los hechos en atención a los delitos por los que se acusó al recurrente y los demás condenados. El Tribunal Supremo, en aplicación de la teoría de la ubicuidad y por las razones que expone ha declarado su propia competencia conforme al art. 57.2 EAC, respetándose así el contenido de la regla procesal que contiene la norma estatutaria, que con anterioridad a los hechos enjuiciados había predeterminado el órgano competente para la instrucción y enjuiciamiento de los hechos, por lo que ninguna vulneración se habría producido del derecho al juez predeterminado por la ley del art. 24.2 CE”.</w:t>
      </w:r>
    </w:p>
    <w:p w:rsidR="005728DD" w:rsidRDefault="005728DD" w:rsidP="005728DD">
      <w:pPr>
        <w:pStyle w:val="TextoNormal"/>
      </w:pPr>
    </w:p>
    <w:p w:rsidR="005728DD" w:rsidRDefault="005728DD" w:rsidP="005728DD">
      <w:pPr>
        <w:pStyle w:val="TextoNormal"/>
      </w:pPr>
      <w:r>
        <w:t>En cuanto a la vulneración del derecho al recurso como consecuencia de la infracción de las normas determinantes de la competencia que habrían privado al procesado del derecho a la doble instancia, el fiscal se muestra igualmente contrario a la estimación de esta pretensión.</w:t>
      </w:r>
    </w:p>
    <w:p w:rsidR="005728DD" w:rsidRDefault="005728DD" w:rsidP="005728DD">
      <w:pPr>
        <w:pStyle w:val="TextoNormal"/>
      </w:pPr>
    </w:p>
    <w:p w:rsidR="005728DD" w:rsidRDefault="005728DD" w:rsidP="005728DD">
      <w:pPr>
        <w:pStyle w:val="TextoNormal"/>
      </w:pPr>
      <w:r>
        <w:t>Tras analizar la respuesta del Tribunal Supremo a esta alegación, y con cita de las SSTC 22/1997, de 11 de febrero (FFJJ 5 y 6); 133/2000, de 16 de mayo (FJ 3); 66/2001, de 17 de marzo [FJ 4 a)], y 194/2015, de 21 de septiembre (FJ 2), que se reseñan parcialmente, el fiscal entiende que, una vez determinada la competencia del Tribunal Supremo, el propio art. 2 del Protocolo núm. 7 CEDH admite la excepción al derecho a la doble instancia, cuando el “interesado haya sido juzgado en primera instancia por el más alto órgano jurisdiccional”, lo que ocurre en el presente caso (</w:t>
      </w:r>
      <w:r w:rsidRPr="005728DD">
        <w:rPr>
          <w:i/>
        </w:rPr>
        <w:t>ex</w:t>
      </w:r>
      <w:r>
        <w:t xml:space="preserve"> art. 123 CE). Es el propio legislador el que ha realizado previamente la ponderación entre la prerrogativa que supone el aforamiento y la restricción del derecho a la segunda instancia penal.</w:t>
      </w:r>
    </w:p>
    <w:p w:rsidR="005728DD" w:rsidRDefault="005728DD" w:rsidP="005728DD">
      <w:pPr>
        <w:pStyle w:val="TextoNormal"/>
      </w:pPr>
    </w:p>
    <w:p w:rsidR="005728DD" w:rsidRDefault="005728DD" w:rsidP="005728DD">
      <w:pPr>
        <w:pStyle w:val="TextoNormal"/>
      </w:pPr>
      <w:r>
        <w:t>Concluye el fiscal señalando que “en el presente caso, el Tribunal Supremo ha asumido la competencia para la instrucción y enjuiciamiento de los hechos por los que se ha condenado al recurrente por entender que los delitos que se imputaron se cometieron no solo en el territorio de Cataluña y, como se ha indicado precedentemente, no ha existido una vulneración del derecho al juez predeterminado por la ley. El recurrente goza en virtud de la disposición del estatuto de autonomía y por razón de su cargo de una especial protección que contrarresta la imposibilidad de acudir a una instancia superior, pudiendo afirmarse que esas particulares garantías que acompañan a los diputados del Parlamento de Cataluña, de manera similar a senadores y diputados del Congreso de Diputados, cuando los hechos se producen fuera del territorio de la comunidad autónoma, ‘disculpan la falta de un segundo grado jurisdiccional, por ellas mismas y porque el órgano encargado de conocer en las causas en que puedan hallarse implicados es el superior en la vía judicial ordinaria’ (STC 51/1985, FJ 3)”.</w:t>
      </w:r>
    </w:p>
    <w:p w:rsidR="005728DD" w:rsidRDefault="005728DD" w:rsidP="005728DD">
      <w:pPr>
        <w:pStyle w:val="TextoNormal"/>
      </w:pPr>
    </w:p>
    <w:p w:rsidR="005728DD" w:rsidRDefault="005728DD" w:rsidP="005728DD">
      <w:pPr>
        <w:pStyle w:val="TextoNormal"/>
      </w:pPr>
      <w:r>
        <w:t>Por todo ello, considera que procede desestimar el presente motivo de amparo al no existir vulneración del derecho al juez ordinario predeterminado por la ley (art. 24.2 CE).</w:t>
      </w:r>
    </w:p>
    <w:p w:rsidR="005728DD" w:rsidRDefault="005728DD" w:rsidP="005728DD">
      <w:pPr>
        <w:pStyle w:val="TextoNormal"/>
      </w:pPr>
    </w:p>
    <w:p w:rsidR="005728DD" w:rsidRDefault="005728DD" w:rsidP="005728DD">
      <w:pPr>
        <w:pStyle w:val="TextoNormal"/>
      </w:pPr>
      <w:r>
        <w:t>11.2. Vulneración del derecho a un juez imparcial (arts. 24.2 CE y 6 CEDH), por no haberse estimado las diversas recusaciones formuladas a lo largo del procedimiento y por el rol inquisitivo asumido por el presidente del tribunal en el acto del juicio oral.</w:t>
      </w:r>
    </w:p>
    <w:p w:rsidR="005728DD" w:rsidRDefault="005728DD" w:rsidP="005728DD">
      <w:pPr>
        <w:pStyle w:val="TextoNormal"/>
      </w:pPr>
    </w:p>
    <w:p w:rsidR="005728DD" w:rsidRDefault="005728DD" w:rsidP="005728DD">
      <w:pPr>
        <w:pStyle w:val="TextoNormal"/>
      </w:pPr>
      <w:r>
        <w:t>El fiscal comienza su análisis con la cita y reseña parcial de la STC 5/2004, de 16 de enero (FJ 2), sobre el derecho al juez imparcial, para centrarse luego en las concretas vulneraciones alegadas.</w:t>
      </w:r>
    </w:p>
    <w:p w:rsidR="005728DD" w:rsidRDefault="005728DD" w:rsidP="005728DD">
      <w:pPr>
        <w:pStyle w:val="TextoNormal"/>
      </w:pPr>
    </w:p>
    <w:p w:rsidR="005728DD" w:rsidRDefault="005728DD" w:rsidP="005728DD">
      <w:pPr>
        <w:pStyle w:val="TextoNormal"/>
      </w:pPr>
      <w:r>
        <w:t>a) Sobre la actuación del magistrado instructor: se afirma que la alegación se centra en el hecho de la utilización de la expresión “la estrategia que sufrimos”, incluida en el auto de procesamiento dictado por el magistrado instructor. Esta alegación fue desestimada por la sala de recursos en su auto de 18 de junio de 2018, así como en la propia sentencia ahora impugnada.</w:t>
      </w:r>
    </w:p>
    <w:p w:rsidR="005728DD" w:rsidRDefault="005728DD" w:rsidP="005728DD">
      <w:pPr>
        <w:pStyle w:val="TextoNormal"/>
      </w:pPr>
    </w:p>
    <w:p w:rsidR="005728DD" w:rsidRDefault="005728DD" w:rsidP="005728DD">
      <w:pPr>
        <w:pStyle w:val="TextoNormal"/>
      </w:pPr>
      <w:r>
        <w:lastRenderedPageBreak/>
        <w:t>A juicio del fiscal, este motivo debe ser inadmitido, conforme a lo dispuesto en el art. 50.1 a) LOTC, en relación con el art. 44.1 c) LOTC. Alega, en este sentido, que el recurrente no puso de manifiesto esta causa de recusación en el momento procesal oportuno; es decir, cuando le fue notificado el auto, sino que la hizo valer en la fase de juicio oral, más en concreto, en la fase de cuestiones previas y en el escrito de calificación definitiva. Con ello se infringió lo dispuesto en el art. 223.1 LOPJ, que exige que la recusación se proponga “tan pronto como se tenga conocimiento de la causa”.</w:t>
      </w:r>
    </w:p>
    <w:p w:rsidR="005728DD" w:rsidRDefault="005728DD" w:rsidP="005728DD">
      <w:pPr>
        <w:pStyle w:val="TextoNormal"/>
      </w:pPr>
    </w:p>
    <w:p w:rsidR="005728DD" w:rsidRDefault="005728DD" w:rsidP="005728DD">
      <w:pPr>
        <w:pStyle w:val="TextoNormal"/>
      </w:pPr>
      <w:r>
        <w:t>No obstante, el propio fiscal entra en el fondo de la cuestión, tras admitir que la sala de recursos y el tribunal de enjuiciamiento ofrecieron una respuesta al motivo planteado, que se reseña parcialmente en su informe. Así, con cita de la STC 69/2001, de 17 de marzo, y del ATC 26/2007, de 5 de febrero (FJ 7), sobre la causa de recusación prevista en el art. 219.10 LOPJ, el fiscal considera que esta alegación debe ser desestimada.</w:t>
      </w:r>
    </w:p>
    <w:p w:rsidR="005728DD" w:rsidRDefault="005728DD" w:rsidP="005728DD">
      <w:pPr>
        <w:pStyle w:val="TextoNormal"/>
      </w:pPr>
    </w:p>
    <w:p w:rsidR="005728DD" w:rsidRDefault="005728DD" w:rsidP="005728DD">
      <w:pPr>
        <w:pStyle w:val="TextoNormal"/>
      </w:pPr>
      <w:r>
        <w:t>Así, razona el Ministerio Fiscal, el “derecho al juez imparcial no queda afectado porque el magistrado instructor haya incluido en el auto de procesamiento como una reflexión ‘la estrategia que sufrimos’, más cuando la reflexión se proyecta en plural, como un sentimiento colectivo de la sociedad, no como algo individual y exclusivo del mismo, como expresión de una situación real. No se trata, por tanto, de un interés singularizado en relación con la persona del recurrente y demás procesados, sino manifestación de un sentimiento que sentía un importante sector de la sociedad en relación con los acontecimientos derivados del denominado ‘procés’. […] No existe ‘prueba alguna que ponga de manifiesto que el instructor en su labor de indagación de los hechos no haya consignado y apreciado las circunstancias tanto adversas como favorables al presunto reo (art. 2 LECrim)’ […] Para finalizar señalando que ‘se trata de una expresión aislada que no se ha visto reiterada o reflejada en ninguna otra resolución del magistrado instructor o por manifestaciones realizadas por el mismo sobre los hechos objeto del proceso, por lo que por sí sola no sería suficiente para poner en duda la imparcialidad del mismo’”.</w:t>
      </w:r>
    </w:p>
    <w:p w:rsidR="005728DD" w:rsidRDefault="005728DD" w:rsidP="005728DD">
      <w:pPr>
        <w:pStyle w:val="TextoNormal"/>
      </w:pPr>
    </w:p>
    <w:p w:rsidR="005728DD" w:rsidRDefault="005728DD" w:rsidP="005728DD">
      <w:pPr>
        <w:pStyle w:val="TextoNormal"/>
      </w:pPr>
      <w:r>
        <w:t xml:space="preserve">b) Sobre la sala de recursos de la Sala Segunda del Tribunal Supremo, y más en concreto, sobre el magistrado don Francisco Monterde Ferrer: se trata de una alegación inicialmente promovida por otro de los procesados, a la que se adhirió el recurrente. El motivo de esta queja es que el citado magistrado es “miembro y vicepresidente del Comité Ejecutivo de la asociación de jueces ‘Asociación Profesional de la Magistratura’, que en meses anteriores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el Tribunal Supremo y mostraba una evidente animadversión hacia su ideología política’”. Dado el cargo que ocupaba ese magistrado en la estructura de la asociación, “parece razonable pensar que el señor magistrado conozca y comparta la línea editorial que desde hace meses esta asociación sostiene desde dichas cuentas oficiales”. La recusación del magistrado fue, sin embargo, rechazada </w:t>
      </w:r>
      <w:r w:rsidRPr="005728DD">
        <w:rPr>
          <w:i/>
        </w:rPr>
        <w:t>a limine</w:t>
      </w:r>
      <w:r>
        <w:t>, y posteriormente ratificada en otras decisiones, incluida la sentencia ahora impugnada.</w:t>
      </w:r>
    </w:p>
    <w:p w:rsidR="005728DD" w:rsidRDefault="005728DD" w:rsidP="005728DD">
      <w:pPr>
        <w:pStyle w:val="TextoNormal"/>
      </w:pPr>
    </w:p>
    <w:p w:rsidR="005728DD" w:rsidRDefault="005728DD" w:rsidP="005728DD">
      <w:pPr>
        <w:pStyle w:val="TextoNormal"/>
      </w:pPr>
      <w:r>
        <w:t xml:space="preserve">Tras reproducir la argumentación contenida en estas resoluciones, el fiscal señala, en primer lugar, que el motivo debe ser inadmitido a trámite [art. 50.1 a) LOTC, en relación con el art. 44.1 c) LOTC], dado que “el recurrente no da ninguna argumentación ni aporta </w:t>
      </w:r>
      <w:r>
        <w:lastRenderedPageBreak/>
        <w:t>prueba alguna sobre la causa de inadmisión de la recusación por extemporánea”. En consecuencia, considera que la extemporaneidad de la recusación no ofrece dudas, tal y como señalaron las resoluciones de inadmisión. Por lo tanto, siguiendo la doctrina de este tribunal (STC 140/2014, de 13 de septiembre, FJ 4), “no puede alegarse en amparo la vulneración del derecho al juez imparcial sin haber planteado en tiempo ante los órganos de la jurisdicción ordinaria la recusación del juez o magistrado cuya imparcialidad se cuestiona”.</w:t>
      </w:r>
    </w:p>
    <w:p w:rsidR="005728DD" w:rsidRDefault="005728DD" w:rsidP="005728DD">
      <w:pPr>
        <w:pStyle w:val="TextoNormal"/>
      </w:pPr>
    </w:p>
    <w:p w:rsidR="005728DD" w:rsidRDefault="005728DD" w:rsidP="005728DD">
      <w:pPr>
        <w:pStyle w:val="TextoNormal"/>
      </w:pPr>
      <w:r>
        <w:t>No obstante, dado que la sentencia impugnada se pronunció sobre el fondo de la cuestión, el fiscal examina la queja para solicitar también su desestimación. Argumenta, a tal efecto, que:</w:t>
      </w:r>
    </w:p>
    <w:p w:rsidR="005728DD" w:rsidRDefault="005728DD" w:rsidP="005728DD">
      <w:pPr>
        <w:pStyle w:val="TextoNormal"/>
      </w:pPr>
    </w:p>
    <w:p w:rsidR="005728DD" w:rsidRDefault="005728DD" w:rsidP="005728DD">
      <w:pPr>
        <w:pStyle w:val="TextoNormal"/>
      </w:pPr>
      <w:r>
        <w:t>“[N]o estamos ante un supuesto de manifestaciones públicas realizadas por el magistrado en cuestión sino ante mensajes procedentes de personas no identificadas, de modo que, al margen de cualquier valoración sobre su contenido, tales mensajes no pueden considerarse como elemento acreditativo del interés del referido magistrado en un resultado concreto del proceso.</w:t>
      </w:r>
    </w:p>
    <w:p w:rsidR="005728DD" w:rsidRDefault="005728DD" w:rsidP="005728DD">
      <w:pPr>
        <w:pStyle w:val="TextoNormal"/>
      </w:pPr>
    </w:p>
    <w:p w:rsidR="005728DD" w:rsidRDefault="005728DD" w:rsidP="005728DD">
      <w:pPr>
        <w:pStyle w:val="TextoNormal"/>
      </w:pPr>
      <w:r>
        <w:t>Por tanto, no existen elementos de mínima consistencia para afirmar que las sospechas o dudas de parcialidad se hallen objetiva y legítimamente justificadas, de manera que permanece indemne la presunción de imparcialidad del magistrado cuestionado y del órgano jurisdiccional en que se integra. Además, no se aporta un principio de prueba sobre el supuesto interés del magistrado recusado en la condena del recurrente”.</w:t>
      </w:r>
    </w:p>
    <w:p w:rsidR="005728DD" w:rsidRDefault="005728DD" w:rsidP="005728DD">
      <w:pPr>
        <w:pStyle w:val="TextoNormal"/>
      </w:pPr>
    </w:p>
    <w:p w:rsidR="005728DD" w:rsidRDefault="005728DD" w:rsidP="005728DD">
      <w:pPr>
        <w:pStyle w:val="TextoNormal"/>
      </w:pPr>
      <w:r>
        <w:t>c) Sobre los magistrados de la sala de enjuiciamiento. Este motivo se concreta, a su vez, en los siguientes hechos:</w:t>
      </w:r>
    </w:p>
    <w:p w:rsidR="005728DD" w:rsidRDefault="005728DD" w:rsidP="005728DD">
      <w:pPr>
        <w:pStyle w:val="TextoNormal"/>
      </w:pPr>
    </w:p>
    <w:p w:rsidR="005728DD" w:rsidRDefault="005728DD" w:rsidP="005728DD">
      <w:pPr>
        <w:pStyle w:val="TextoNormal"/>
      </w:pPr>
      <w:r>
        <w:t>(i) Los magistrados don Manuel Marchena Gómez, don Andrés Martínez Arrieta, don Juan Ramón Berdugo Gómez de la Torre y don Luciano Varela Castro, formaron parte de la sala de admisión.</w:t>
      </w:r>
    </w:p>
    <w:p w:rsidR="005728DD" w:rsidRDefault="005728DD" w:rsidP="005728DD">
      <w:pPr>
        <w:pStyle w:val="TextoNormal"/>
      </w:pPr>
    </w:p>
    <w:p w:rsidR="005728DD" w:rsidRDefault="005728DD" w:rsidP="005728DD">
      <w:pPr>
        <w:pStyle w:val="TextoNormal"/>
      </w:pPr>
      <w:r>
        <w:t>En este punto, el fiscal hace una reseña del pronunciamiento contenido en la sentencia impugnada que, a su vez, se remite parcialmente al auto de 13 de septiembre de 2018 dictado por la Sala del art. 61 LOPJ, por el que se desestima el incidente de recusación planteado, así como a la STC 39/2019, de 26 de marzo, por la que se desestima el recurso de amparo interpuesto contra el auto anterior por considerarlo prematuro. Tras extractar el auto de 31 de octubre de 2017, por el que se admite a trámite la querella interpuesta contra el recurrente, el fiscal expone la doctrina de este tribunal que se recoge, entre otras, en las SSTC 162/1999, de 27 de septiembre (FJ 6), y 45/2006, de 13 de febrero (FJ 4).</w:t>
      </w:r>
    </w:p>
    <w:p w:rsidR="005728DD" w:rsidRDefault="005728DD" w:rsidP="005728DD">
      <w:pPr>
        <w:pStyle w:val="TextoNormal"/>
      </w:pPr>
    </w:p>
    <w:p w:rsidR="005728DD" w:rsidRDefault="005728DD" w:rsidP="005728DD">
      <w:pPr>
        <w:pStyle w:val="TextoNormal"/>
      </w:pPr>
      <w:r>
        <w:t xml:space="preserve">Concluye el fiscal señalando que “no se advierte que la participación de los magistrados que admitieron la querella llevaran a cabo un razonamiento jurídico sobre la existencia de los hechos, de sus responsables y de la entidad jurídica de los hechos relatados en la querella, esto es, no formularon ninguna valoración jurídica sobre el contenido material de la querella”, sino que la “Sala de admisión de la querella se limitó a cumplir con su obligación de incoar el procedimiento una vez presentada la querella, comprobando que se cumplían los requisitos de admisión y sin que la reflexión que contiene sobre su competencia suponga tampoco un juicio de tipicidad y de culpabilidad sobre el recurrente pues de forma provisional valoró que los imputados eran personas aforadas y que los hechos se habían producido </w:t>
      </w:r>
      <w:r>
        <w:lastRenderedPageBreak/>
        <w:t>no solo en territorio de la Comunidad Autónoma de Cataluña, sin que esta apreciación haya supuesto una valoración jurídica sobre el autor de los hechos y su culpabilidad. No realiza ningún juicio sobre la existencia de los hechos y su atribuibilidad a persona concreta.</w:t>
      </w:r>
    </w:p>
    <w:p w:rsidR="005728DD" w:rsidRDefault="005728DD" w:rsidP="005728DD">
      <w:pPr>
        <w:pStyle w:val="TextoNormal"/>
      </w:pPr>
    </w:p>
    <w:p w:rsidR="005728DD" w:rsidRDefault="005728DD" w:rsidP="005728DD">
      <w:pPr>
        <w:pStyle w:val="TextoNormal"/>
      </w:pPr>
      <w:r>
        <w:t>En consecuencia, no puede afirmarse que los magistrados han quedado por ello contaminados de forma que han perdido la imparcialidad”.</w:t>
      </w:r>
    </w:p>
    <w:p w:rsidR="005728DD" w:rsidRDefault="005728DD" w:rsidP="005728DD">
      <w:pPr>
        <w:pStyle w:val="TextoNormal"/>
      </w:pPr>
    </w:p>
    <w:p w:rsidR="005728DD" w:rsidRDefault="005728DD" w:rsidP="005728DD">
      <w:pPr>
        <w:pStyle w:val="TextoNormal"/>
      </w:pPr>
      <w:r>
        <w:t>(ii) Sobre la recusación del presidente de la Sala Segunda, por haber sido mencionado en un mensaje telemático remitido por un senador del Partido Popular, en el que se jactaba de tener controlado el Consejo General del Poder Judicial y el Tribunal Supremo “por la puerta de atrás”, en el caso de que se llegara al pacto que convirtiera al magistrado en la primera autoridad judicial del Estado.</w:t>
      </w:r>
    </w:p>
    <w:p w:rsidR="005728DD" w:rsidRDefault="005728DD" w:rsidP="005728DD">
      <w:pPr>
        <w:pStyle w:val="TextoNormal"/>
      </w:pPr>
    </w:p>
    <w:p w:rsidR="005728DD" w:rsidRDefault="005728DD" w:rsidP="005728DD">
      <w:pPr>
        <w:pStyle w:val="TextoNormal"/>
      </w:pPr>
      <w:r>
        <w:t>Esta queja fue desestimada por el auto de 5 de diciembre de 2018, dictado por la Sala del art. 61 LOPJ, con una argumentación que fue reiterada en la sentencia impugnada.</w:t>
      </w:r>
    </w:p>
    <w:p w:rsidR="005728DD" w:rsidRDefault="005728DD" w:rsidP="005728DD">
      <w:pPr>
        <w:pStyle w:val="TextoNormal"/>
      </w:pPr>
    </w:p>
    <w:p w:rsidR="005728DD" w:rsidRDefault="005728DD" w:rsidP="005728DD">
      <w:pPr>
        <w:pStyle w:val="TextoNormal"/>
      </w:pPr>
      <w:r>
        <w:t>Sobre este punto, el fiscal considera que, aunque no se diga nada en la demanda, se entiende que se está alegando la concurrencia de la causa de recusación prevista en el art. 219.10 LOPJ. Centrada la cuestión, el ministerio público entiende que se trata de una recusación fundada “en el hecho de otro, no en una manifestación realizada por el recusado”. Para el fiscal, debe tenerse en cuenta “el contexto en que el tercero envía el mensaje”, que considera “responde a una negociación de partidos políticos para el nombramiento del candidato a presidir el Consejo General del Poder Judicial y, por ende, el Tribunal Supremo, en el que el transmitente expresa su particular opinión sobre lo que puede suponer para la formación política, en la que se integra, dicho nombramiento. Sin embargo, la opinión manifestada por el tercero, en su mensaje, se ha visto contradicha por el hecho de que el recusado se ha autodescartado para el cargo, lo que vacía de contenido el del mensaje. La recusación se tiene que basar en hechos propios del magistrado recusado no en los que le atribuye un tercero, lo que no sucede aquí. Pero, junto al contenido del mensaje, no existe una prueba que avale el mismo, en concreto, que el recusado haría lo que el partido político le indique. El recurrente no aporta prueba alguna que avale esa aseveración y en ningún momento por el recusado se ha hecho manifestación alguna que avale el contenido del mensaje”.</w:t>
      </w:r>
    </w:p>
    <w:p w:rsidR="005728DD" w:rsidRDefault="005728DD" w:rsidP="005728DD">
      <w:pPr>
        <w:pStyle w:val="TextoNormal"/>
      </w:pPr>
    </w:p>
    <w:p w:rsidR="005728DD" w:rsidRDefault="005728DD" w:rsidP="005728DD">
      <w:pPr>
        <w:pStyle w:val="TextoNormal"/>
      </w:pPr>
      <w:r>
        <w:t>El Ministerio Fiscal concluye su alegación sobre este motivo señalando que el “hecho en que se apoya la causa de recusación no destruye la apariencia de imparcialidad del recusado aludido pues bastaría que cualquier tercero enviara un mensaje similar respecto de cualquier magistrado para sembrar dudas sobre la imparcialidad judicial y apartarle del conocimiento de un asunto y más cuando el magistrado recusado, como se ha dicho, se autodescartó para el mencionado nombramiento.</w:t>
      </w:r>
    </w:p>
    <w:p w:rsidR="005728DD" w:rsidRDefault="005728DD" w:rsidP="005728DD">
      <w:pPr>
        <w:pStyle w:val="TextoNormal"/>
      </w:pPr>
    </w:p>
    <w:p w:rsidR="005728DD" w:rsidRDefault="005728DD" w:rsidP="005728DD">
      <w:pPr>
        <w:pStyle w:val="TextoNormal"/>
      </w:pPr>
      <w:r>
        <w:t>Resulta patente la inconsistencia que supone atribuir al presidente de la Sala Segunda del Tribunal Supremo un ‘interés directo o indirecto’ en el proceso exclusivamente por el hecho de que por un tercero en un mensaje telemático manifieste su opinión personal sobre el posible significado del nombramiento de la máxima autoridad del Tribunal Supremo sin aportar otros elementos que sustenten la elucubración que se desprende del contenido del mensaje”.</w:t>
      </w:r>
    </w:p>
    <w:p w:rsidR="005728DD" w:rsidRDefault="005728DD" w:rsidP="005728DD">
      <w:pPr>
        <w:pStyle w:val="TextoNormal"/>
      </w:pPr>
    </w:p>
    <w:p w:rsidR="005728DD" w:rsidRDefault="005728DD" w:rsidP="005728DD">
      <w:pPr>
        <w:pStyle w:val="TextoNormal"/>
      </w:pPr>
      <w:r>
        <w:lastRenderedPageBreak/>
        <w:t>Descartada así la causa de recusación del magistrado, no tendría objeto la recusación del resto de los magistrados de la sala.</w:t>
      </w:r>
    </w:p>
    <w:p w:rsidR="005728DD" w:rsidRDefault="005728DD" w:rsidP="005728DD">
      <w:pPr>
        <w:pStyle w:val="TextoNormal"/>
      </w:pPr>
    </w:p>
    <w:p w:rsidR="005728DD" w:rsidRDefault="005728DD" w:rsidP="005728DD">
      <w:pPr>
        <w:pStyle w:val="TextoNormal"/>
      </w:pPr>
      <w:r>
        <w:t>(iii) Sobre el hecho de que los magistrados de la sala de enjuiciamiento son los mismos que han revisado la sentencia a través del incidente de nulidad de actuaciones: según el fiscal, el motivo aparece huérfano de argumentación alguna, por lo que propone la desestimación, tras hacer reseña parcial de la STC 170/2002, de 30 de septiembre (FJ 11).</w:t>
      </w:r>
    </w:p>
    <w:p w:rsidR="005728DD" w:rsidRDefault="005728DD" w:rsidP="005728DD">
      <w:pPr>
        <w:pStyle w:val="TextoNormal"/>
      </w:pPr>
    </w:p>
    <w:p w:rsidR="005728DD" w:rsidRDefault="005728DD" w:rsidP="005728DD">
      <w:pPr>
        <w:pStyle w:val="TextoNormal"/>
      </w:pPr>
      <w:r>
        <w:t>(iv) Sobre el indebido rol inquisitivo asumido por el presidente del tribunal durante la celebración de la vista oral: considera que esta queja se circunscribe a la pregunta formulada a un testigo por el presidente de la sala, al amparo de lo dispuesto en el art. 708 LECrim. Más en concreto, se trataría de la pregunta formulada al testigo señor Trapero, sobre el motivo y la finalidad de la reunión de la junta de seguridad celebrada el 28 de septiembre de 2017. Una pregunta que, sin embargo, se habría impedido realizar al Ministerio Fiscal, por desbordar las razones que determinaron la pertinencia de la citación de ese testigo.</w:t>
      </w:r>
    </w:p>
    <w:p w:rsidR="005728DD" w:rsidRDefault="005728DD" w:rsidP="005728DD">
      <w:pPr>
        <w:pStyle w:val="TextoNormal"/>
      </w:pPr>
    </w:p>
    <w:p w:rsidR="005728DD" w:rsidRDefault="005728DD" w:rsidP="005728DD">
      <w:pPr>
        <w:pStyle w:val="TextoNormal"/>
      </w:pPr>
      <w:r>
        <w:t>Tras hacer una reseña de la respuesta ofrecida sobre esta cuestión en la sentencia impugnada, y con cita y reseña parcial de la STC 130/2002, de 3 de junio (FJ 3), el fiscal considera procedente la desestimación de esta alegación.</w:t>
      </w:r>
    </w:p>
    <w:p w:rsidR="005728DD" w:rsidRDefault="005728DD" w:rsidP="005728DD">
      <w:pPr>
        <w:pStyle w:val="TextoNormal"/>
      </w:pPr>
    </w:p>
    <w:p w:rsidR="005728DD" w:rsidRDefault="005728DD" w:rsidP="005728DD">
      <w:pPr>
        <w:pStyle w:val="TextoNormal"/>
      </w:pPr>
      <w:r>
        <w:t>Señala, en tal sentido, que la “pregunta del presidente, amparada por el art. 708 LECrim, solo buscó lo que el precepto autoriza, esto es, depurar los hechos sobre los que el testigo había declarado […] el contenido de la pregunta […] se referían a hechos ya introducidos en el debate con anterioridad y no se buscó con la pregunta acreditar hechos diferentes, sino depurar el concreto extremo sobre la motivación de la reunión de 28 de septiembre de 2017 entre el Govern de la Generalitat y los mandos responsables de los Mossos d’Esquadra. Es más, la razón que da la Sala y que motivó la pregunta es que el hecho había sido introducido por un testigo anterior en términos que, a priori, podía reputarse no favorables para algunos acusados […]. Ello, unido a que después se permitió a las defensas hacer preguntas al testigo, por lo que ninguna indefensión se le causó, no supone la asunción de un rol inquisitivo por el presidente del tribunal y por tanto una quiebra de imparcialidad del tribunal. Por último, esta actuación, llevada a cabo para alcanzar un grado preciso de convicción sobre la cuestión objeto de interrogatorio, no puede considerarse una actividad inquisitiva que sustituya a la acusación y afecte a la imparcialidad del juzgador, y más, cuando el propio tribunal descarta que haya tenido en cuenta la respuesta del testigo a la pregunta cuestionada al declarar que ‘la pregunta es totalmente prescindible a efectos de construir el relato de hechos probados en tanto que la reunión ha quedado acreditada por varias fuentes de prueba en términos iguales’ (FJ 16.3.5).</w:t>
      </w:r>
    </w:p>
    <w:p w:rsidR="005728DD" w:rsidRDefault="005728DD" w:rsidP="005728DD">
      <w:pPr>
        <w:pStyle w:val="TextoNormal"/>
      </w:pPr>
    </w:p>
    <w:p w:rsidR="005728DD" w:rsidRDefault="005728DD" w:rsidP="005728DD">
      <w:pPr>
        <w:pStyle w:val="TextoNormal"/>
      </w:pPr>
      <w:r>
        <w:t>Además, la pregunta formulada por el presidente del tribunal, es respetuosa con el principio acusatorio, que exige que sea el acusador por imperativo constitucional el que aporte las pruebas, y con el derecho de defensa pues se le permitió después de preguntar el presidente al testigo formular preguntas”.</w:t>
      </w:r>
    </w:p>
    <w:p w:rsidR="005728DD" w:rsidRDefault="005728DD" w:rsidP="005728DD">
      <w:pPr>
        <w:pStyle w:val="TextoNormal"/>
      </w:pPr>
    </w:p>
    <w:p w:rsidR="005728DD" w:rsidRDefault="005728DD" w:rsidP="005728DD">
      <w:pPr>
        <w:pStyle w:val="TextoNormal"/>
      </w:pPr>
      <w:r>
        <w:t>11.3. Vulneración del derecho a un proceso con todas las garantías (arts. 24.2 CE y 6 CEDH), como consecuencia de la filtración del contenido de la sentencia cuando su redacción no había sido culminada, vinculando esta denuncia a la imparcialidad del juzgador.</w:t>
      </w:r>
    </w:p>
    <w:p w:rsidR="005728DD" w:rsidRDefault="005728DD" w:rsidP="005728DD">
      <w:pPr>
        <w:pStyle w:val="TextoNormal"/>
      </w:pPr>
    </w:p>
    <w:p w:rsidR="005728DD" w:rsidRDefault="005728DD" w:rsidP="005728DD">
      <w:pPr>
        <w:pStyle w:val="TextoNormal"/>
      </w:pPr>
      <w:r>
        <w:lastRenderedPageBreak/>
        <w:t>Esta alegación fue planteada en el incidente de nulidad de actuaciones y resuelta por la Sala en el auto de 29 de enero de 2020, también impugnado, por remisión a lo resuelto en los incidentes planteados por este mismo motivo por el procesado señor Sánchez.</w:t>
      </w:r>
    </w:p>
    <w:p w:rsidR="005728DD" w:rsidRDefault="005728DD" w:rsidP="005728DD">
      <w:pPr>
        <w:pStyle w:val="TextoNormal"/>
      </w:pPr>
    </w:p>
    <w:p w:rsidR="005728DD" w:rsidRDefault="005728DD" w:rsidP="005728DD">
      <w:pPr>
        <w:pStyle w:val="TextoNormal"/>
      </w:pPr>
      <w:r>
        <w:t>A juicio del fiscal, lo primero que se debe señalar es que el recurrente “no identifica la causa de recusación”, de entre las contempladas en el art. 219 LOPJ. Al margen de lo anterior, y con cita de la STC 136/1999, de 20 de julio, el Ministerio Fiscal considera que “la parte […] no aporta elemento que acredite que las filtraciones y su efecto desencadenante […] han supuesto un menoscabo de la imparcialidad de los magistrados […] ha influido en [su] ánimo o se han visto condicionados […] o que la filtración persiguiese obtener una modificación de lo decidido en la deliberación […]”. A juicio del fiscal, “no basta el ‘clamor social’”, sino que es necesario algún “indicio que avale que el sentido final de la tipificación penal de los hechos fue modificado porque los magistrados de la Sala se vieron influidos y presionados por los estados de opinión de los medios de comunicación”.</w:t>
      </w:r>
    </w:p>
    <w:p w:rsidR="005728DD" w:rsidRDefault="005728DD" w:rsidP="005728DD">
      <w:pPr>
        <w:pStyle w:val="TextoNormal"/>
      </w:pPr>
    </w:p>
    <w:p w:rsidR="005728DD" w:rsidRDefault="005728DD" w:rsidP="005728DD">
      <w:pPr>
        <w:pStyle w:val="TextoNormal"/>
      </w:pPr>
      <w:r>
        <w:t>Finalmente, con cita y reseña parcial de la STC 66/2001, de 17 de marzo (FJ 2 b), concluye que “no cabe apreciar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5728DD" w:rsidRDefault="005728DD" w:rsidP="005728DD">
      <w:pPr>
        <w:pStyle w:val="TextoNormal"/>
      </w:pPr>
    </w:p>
    <w:p w:rsidR="005728DD" w:rsidRDefault="005728DD" w:rsidP="005728DD">
      <w:pPr>
        <w:pStyle w:val="TextoNormal"/>
      </w:pPr>
      <w:r>
        <w:t>11.4. Vulneración del derecho de defensa y a un proceso con todas las garantías (arts. 24.2 CE y 6 CEDH), por la indebida denegación de medios de prueba.</w:t>
      </w:r>
    </w:p>
    <w:p w:rsidR="005728DD" w:rsidRDefault="005728DD" w:rsidP="005728DD">
      <w:pPr>
        <w:pStyle w:val="TextoNormal"/>
      </w:pPr>
    </w:p>
    <w:p w:rsidR="005728DD" w:rsidRDefault="005728DD" w:rsidP="005728DD">
      <w:pPr>
        <w:pStyle w:val="TextoNormal"/>
      </w:pPr>
      <w:r>
        <w:t>En este apartado, el fiscal expone las diversas diligencias de prueba que, según la demanda, habrían sido indebidamente denegadas, resaltando que estas quejas fueron resueltas en el auto de 1 de febrero de 2019 sobre admisión de pruebas, así como en el incidente de las cuestiones previas y en la propia sentencia impugnada.</w:t>
      </w:r>
    </w:p>
    <w:p w:rsidR="005728DD" w:rsidRDefault="005728DD" w:rsidP="005728DD">
      <w:pPr>
        <w:pStyle w:val="TextoNormal"/>
      </w:pPr>
    </w:p>
    <w:p w:rsidR="005728DD" w:rsidRDefault="005728DD" w:rsidP="005728DD">
      <w:pPr>
        <w:pStyle w:val="TextoNormal"/>
      </w:pPr>
      <w:r>
        <w:t xml:space="preserve">Tras exponer parcialmente la STC 107/2019, de 30 de septiembre (FJ 5), sobre el derecho a la prueba, el fiscal descarta, de inicio, la queja </w:t>
      </w:r>
      <w:r w:rsidRPr="005728DD">
        <w:rPr>
          <w:i/>
        </w:rPr>
        <w:t>in genere</w:t>
      </w:r>
      <w:r>
        <w:t xml:space="preserve"> en la que se denuncia que “prácticamente todas las pruebas propuestas por las acusaciones” fueron admitidas, mientras que “en cambio, se han rechazado muchas de las pruebas propuestas por las defensas”. Para el fiscal, “esta denuncia no es más que una apreciación subjetiva del recurrente, que como indica la Sala parece apoyarse en un criterio numérico de cuantificación de las pruebas admitidas y denegadas”. Por el contrario, lo relevante es si las pruebas fueron propuestas en tiempo y forma, así como su pertinencia.</w:t>
      </w:r>
    </w:p>
    <w:p w:rsidR="005728DD" w:rsidRDefault="005728DD" w:rsidP="005728DD">
      <w:pPr>
        <w:pStyle w:val="TextoNormal"/>
      </w:pPr>
    </w:p>
    <w:p w:rsidR="005728DD" w:rsidRDefault="005728DD" w:rsidP="005728DD">
      <w:pPr>
        <w:pStyle w:val="TextoNormal"/>
      </w:pPr>
      <w:r>
        <w:t>Desglosando las diversas diligencias solicitadas, el fiscal analiza cada una de ellas, con el siguiente resultado:</w:t>
      </w:r>
    </w:p>
    <w:p w:rsidR="005728DD" w:rsidRDefault="005728DD" w:rsidP="005728DD">
      <w:pPr>
        <w:pStyle w:val="TextoNormal"/>
      </w:pPr>
    </w:p>
    <w:p w:rsidR="005728DD" w:rsidRDefault="005728DD" w:rsidP="005728DD">
      <w:pPr>
        <w:pStyle w:val="TextoNormal"/>
      </w:pPr>
      <w:r>
        <w:t xml:space="preserve">a) Sobre la aportación del testimonio íntegro de las diligencias practicadas en el Juzgado de Instrucción núm. 13 de Barcelona: tras hacer una reseña parcial de la respuesta ofrecida por la sala de enjuiciamiento en el auto de 1 de febrero de 2019, sobre admisión de pruebas, y en la propia sentencia impugnada, el fiscal señala que como “indica el Tribunal Supremo con apoyo en la Directiva 13/2012, no se reconoce un derecho preventivo frente a aquellos </w:t>
      </w:r>
      <w:r>
        <w:lastRenderedPageBreak/>
        <w:t>procesos que se gestionan ante otros órganos jurisdiccionales para permitir si en alguno de ellos existe algo que pueda afectar al derecho de defensa pues la causa no puede convertirse en ‘un contenedor formal’ que reciba todo lo investigado sobre los hechos acaecidos en Cataluña con ocasión del denominado ‘procés’. Debe reprocharse la afirmación de ‘instrucciones paralelas’, [pues] el procedimiento seguido ante el Juzgado de Instrucción núm. 13 de Barcelona tiene un objeto propio y distinto del proceso del que trae causa el recurso de amparo y si hubiere existido algún elemento indiciario de participación del recurrente por los hechos objeto del procedimiento habría sido citado a tal efecto (art. 486 LECrim), en todo caso, el recurrente ha tenido la posibilidad de desplegar sin cortapisa alguna su derechos de defensa en el procedimiento en que se le ha condenado como autor de un delito de sedición. Esta afirmación de existencia de una ‘instrucción paralela’ sobre hechos idénticos a los enjuiciados no es más que una presunción pues, como indica, no era parte en el proceso, lo que hace suponer que ignore cual es el objeto de dicho procedimiento, y, por lo tanto, la afirmación que hace carece de un soporte fáctico y probatorio, sin que se pueda aceptar la descalificación que realiza, frente a la razón dada por el Tribunal Supremo, de que solo valorará la prueba practicada en el juicio oral, lo que no puede ser de otro modo, art. 741 LECrim”.</w:t>
      </w:r>
    </w:p>
    <w:p w:rsidR="005728DD" w:rsidRDefault="005728DD" w:rsidP="005728DD">
      <w:pPr>
        <w:pStyle w:val="TextoNormal"/>
      </w:pPr>
    </w:p>
    <w:p w:rsidR="005728DD" w:rsidRDefault="005728DD" w:rsidP="005728DD">
      <w:pPr>
        <w:pStyle w:val="TextoNormal"/>
      </w:pPr>
      <w:r>
        <w:t>b) Respecto de la pretendida declaración en juicio del rey Felipe VI y, subsidiariamente, del jefe de la Casa de Su Majestad, don Jaime Alfonsín Alfonso: el fiscal considera que, tal y como se expone en el auto de 1 de febrero de 2019, como en la sentencia impugnada, la ponderación conjunta de los arts. 56.3 CE y 411 LECrim impide la citación del rey como testigo. Así, con cita y reseña parcial de la STC 98/2019, de 17 de julio, FJ 3 a) y c), sobre la inviolabilidad del rey, el fiscal expone que el recurrente pretendía interrogar al rey sobre cuestiones amparadas por su inviolabilidad, lo que “constituye en sí […] más un fraude procesal que un instrumento de defensa”, porque “se pretende un control político, utilizando la vía procesal”. Este criterio debe ser aplicado igualmente respecto del jefe de la Casa Real, “no solo porque, como indica la Sala, no existe la figura del testigo por sustitución, ya que esta prueba aparece como subsidiaria de la anterior, sino porque a través de este testigo se pretende burlar la exención que se reconoce de la obligación de declarar al monarca y se aspira a través del testimonio de un tercero a realizar lo que la ley veda y la posición constitucional de la figura del monarca impide, exigir al rey, a través de un tercero, explicaciones sobre su conducta en relación con los acontecimientos que se enjuiciaban en el proceso que, como se ha indicado, goza del privilegio de inviolabilidad por sus actos”.</w:t>
      </w:r>
    </w:p>
    <w:p w:rsidR="005728DD" w:rsidRDefault="005728DD" w:rsidP="005728DD">
      <w:pPr>
        <w:pStyle w:val="TextoNormal"/>
      </w:pPr>
    </w:p>
    <w:p w:rsidR="005728DD" w:rsidRDefault="005728DD" w:rsidP="005728DD">
      <w:pPr>
        <w:pStyle w:val="TextoNormal"/>
      </w:pPr>
      <w:r>
        <w:t>c) Sobre la declaración del señor Puigdemont: en este aspecto, el ministerio público extracta parcialmente el auto de 1 de febrero de 2019, la sentencia impugnada, así como el criterio expuesto por la sala en el trámite de cuestiones previas, para reiterar los argumentos expuestos en esas decisiones judiciales.</w:t>
      </w:r>
    </w:p>
    <w:p w:rsidR="005728DD" w:rsidRDefault="005728DD" w:rsidP="005728DD">
      <w:pPr>
        <w:pStyle w:val="TextoNormal"/>
      </w:pPr>
    </w:p>
    <w:p w:rsidR="005728DD" w:rsidRDefault="005728DD" w:rsidP="005728DD">
      <w:pPr>
        <w:pStyle w:val="TextoNormal"/>
      </w:pPr>
      <w:r>
        <w:t xml:space="preserve">Para el fiscal, el “señor Puigdemont ha sido procesado en el presente procedimiento, lo que le otorga, en relación con el objeto del proceso, de una serie de derechos que son incompatibles con la posición jurídica del testigo en el proceso que está obligado a comparecer y a decir verdad sobre lo que se le pregunte, al margen de prometer o jurar decir verdad (arts. 410 y 433 LECrim), mientras que en su posición jurídica de parte pasiva del proceso no le son exigibles estos deberes so pretexto de desconocerse sus derechos del art. 24.2 CE, a no declarar contra sí mismo, a no confesarse culpable que se ve completado por el derecho </w:t>
      </w:r>
      <w:r>
        <w:lastRenderedPageBreak/>
        <w:t>a guardar silencio no declarando si no quiere, a no contestar a alguna o algunas de las preguntas que se le formulen, como indica el art. 520.l c) LECrim y, como señala el Tribunal Supremo, ‘la condición de parte pasiva del proceso, declarada en rebeldía y todavía no enjuiciada, es manifiestamente incompatible con el deber de declarar y la obligación de decir verdad que asume todo testigo’”.</w:t>
      </w:r>
    </w:p>
    <w:p w:rsidR="005728DD" w:rsidRDefault="005728DD" w:rsidP="005728DD">
      <w:pPr>
        <w:pStyle w:val="TextoNormal"/>
      </w:pPr>
    </w:p>
    <w:p w:rsidR="005728DD" w:rsidRDefault="005728DD" w:rsidP="005728DD">
      <w:pPr>
        <w:pStyle w:val="TextoNormal"/>
      </w:pPr>
      <w:r>
        <w:t>Por lo tanto, “este estatus jurídico de alguien que está procesado sobre unos determinados hechos en los [que] indiciariamente ha participado le hace incompatible con las obligaciones de la figura del testigo.</w:t>
      </w:r>
    </w:p>
    <w:p w:rsidR="005728DD" w:rsidRDefault="005728DD" w:rsidP="005728DD">
      <w:pPr>
        <w:pStyle w:val="TextoNormal"/>
      </w:pPr>
    </w:p>
    <w:p w:rsidR="005728DD" w:rsidRDefault="005728DD" w:rsidP="005728DD">
      <w:pPr>
        <w:pStyle w:val="TextoNormal"/>
      </w:pPr>
      <w:r>
        <w:t>Cuestión distinta es que la declaración de quien está sometido a un proceso penal por unos determinados hechos pueda declarar en otro proceso con objeto distinto en que los derechos que se reconocen al investigado o encausado o acusado no están en cuestión, por ello esta comparación que hace el recurrente carece de soporte jurídico y así lo pone de manifiesto la sentencia y el auto de denegación de pruebas”.</w:t>
      </w:r>
    </w:p>
    <w:p w:rsidR="005728DD" w:rsidRDefault="005728DD" w:rsidP="005728DD">
      <w:pPr>
        <w:pStyle w:val="TextoNormal"/>
      </w:pPr>
    </w:p>
    <w:p w:rsidR="005728DD" w:rsidRDefault="005728DD" w:rsidP="005728DD">
      <w:pPr>
        <w:pStyle w:val="TextoNormal"/>
      </w:pPr>
      <w:r>
        <w:t>d) Sobre la denegación de prueba documental sobre los testigos señor Baena (Guardia Civil) y la señora letrada de la administración de justicia adscrita al Juzgado de Instrucción núm. 13 de Barcelona: una vez más, tras exponer la argumentación contenida en el auto de 1 de febrero de 2019 y en la sentencia impugnada, el fiscal razona que es “evidente que es una circunstancia ajena al objeto del proceso, pero que el recurrente fundamenta por razones de credibilidad del testigo ya que les atribuye, supuestamente, tener una ideología de extrema derecha, pero como dice la Sala, para denegar la pertinencia de la prueba, se trataría de una afectación al derecho a la intimidad y a la libertad ideológica de los testigos por lo que el rechazo de dicha prueba no afecta a los derechos que dice vulnerados y aparece justificada en la salvaguarda de derechos de terceros y sin que el recurrente alegue nada, dado que se le permitió interrogar a los mismos, sobre la posible respuesta a la pregunta sobre la ideología de ambos testigos o como puede haber influido, esa supuesta ideología que atribuye a los testigos, en sus respuestas y, en esencia, han influido en el desenlace final del proceso”.</w:t>
      </w:r>
    </w:p>
    <w:p w:rsidR="005728DD" w:rsidRDefault="005728DD" w:rsidP="005728DD">
      <w:pPr>
        <w:pStyle w:val="TextoNormal"/>
      </w:pPr>
    </w:p>
    <w:p w:rsidR="005728DD" w:rsidRDefault="005728DD" w:rsidP="005728DD">
      <w:pPr>
        <w:pStyle w:val="TextoNormal"/>
      </w:pPr>
      <w:r>
        <w:t>e) Sobre la denegación de la confrontación del testimonio de algunos testigos con el material documental videográfico obrante en la causa, con vulneración del principio de contradicción y la consiguiente indefensión: tras exponer los razonamientos contenidos en la sentencia sobre esta cuestión, el fiscal se apoya en las SSTC 95/2020, de 20 de julio, sobre la indefensión y el principio de contradicción; 80/2003, de 28 de abril, sobre el principio de contradicción, y 28/2017, de 16 de febrero, sobre el derecho a utilizar los medios de prueba pertinentes para la defensa. Conforme a la doctrina expuesta en estos pronunciamientos, el fiscal interesa la desestimación de este motivo señalando que el “recurrente tuvo la oportunidad de discutir el testimonio de los testigos, a los que supuestamente se debieron mostrar los vídeos, para contrastar su testimonio, testigos que no identifica, mediante el turno de preguntas a los mismos, a través de su interrogatorio o contrainterrogatorio.</w:t>
      </w:r>
    </w:p>
    <w:p w:rsidR="005728DD" w:rsidRDefault="005728DD" w:rsidP="005728DD">
      <w:pPr>
        <w:pStyle w:val="TextoNormal"/>
      </w:pPr>
    </w:p>
    <w:p w:rsidR="005728DD" w:rsidRDefault="005728DD" w:rsidP="005728DD">
      <w:pPr>
        <w:pStyle w:val="TextoNormal"/>
      </w:pPr>
      <w:r>
        <w:t xml:space="preserve">Pero, además, el recurrente no argumenta en qué medida el hecho de que no se mostraran a los testigos los vídeos, ha afectado a su derecho de defensa y cómo afecta al resultado final del proceso. Se observa, así, un déficit argumental sobre la necesidad y pertinencia de llevar a cabo el contraste que reivindicaba en la forma que propuso el mismo […]. [L]o cierto es que la ley procesal autoriza el contraste de la prueba testifical cuando se den las condiciones </w:t>
      </w:r>
      <w:r>
        <w:lastRenderedPageBreak/>
        <w:t>del art. 714 LECrim, lo que no es el caso”, por lo que “ninguna situación de indefensión se ha provocado al recurrente, ni desconocimiento del principio de contradicción, [ni] vulneración del derecho de defensa […] pues ninguna aplicación irrazonable o arbitraria de la legalidad procesal se ha producido con ocasión del desarrollo de la prueba durante los debates del juicio oral”.</w:t>
      </w:r>
    </w:p>
    <w:p w:rsidR="005728DD" w:rsidRDefault="005728DD" w:rsidP="005728DD">
      <w:pPr>
        <w:pStyle w:val="TextoNormal"/>
      </w:pPr>
    </w:p>
    <w:p w:rsidR="005728DD" w:rsidRDefault="005728DD" w:rsidP="005728DD">
      <w:pPr>
        <w:pStyle w:val="TextoNormal"/>
      </w:pPr>
      <w:r>
        <w:t>Para el fiscal, nada impidió al recurrente “en el momento de la fase de informes del art. 734 LECrim hacer las observaciones oportunas sobre los testimonios de los testigos en relación con la prueba videográfica practicada y poner de manifiesto ante el tribunal las posibles contradicciones en las que hubieran incurrido los testigos y cuestionar, así su credibilidad”.</w:t>
      </w:r>
    </w:p>
    <w:p w:rsidR="005728DD" w:rsidRDefault="005728DD" w:rsidP="005728DD">
      <w:pPr>
        <w:pStyle w:val="TextoNormal"/>
      </w:pPr>
    </w:p>
    <w:p w:rsidR="005728DD" w:rsidRDefault="005728DD" w:rsidP="005728DD">
      <w:pPr>
        <w:pStyle w:val="TextoNormal"/>
      </w:pPr>
      <w:r>
        <w:t>En definitiva, el fiscal considera que no corresponde a este tribunal sustituir la “valoración exteriorizada en la sentencia, al ser esta una cuestión de legalidad ordinaria que corresponde valorar al órgano judicial, el cual ha motivado suficientemente, y de conformidad con el derecho a la prueba y la normativa procesal sobre la misma, las causas por las que las pruebas han sido inadmitidas”.</w:t>
      </w:r>
    </w:p>
    <w:p w:rsidR="005728DD" w:rsidRDefault="005728DD" w:rsidP="005728DD">
      <w:pPr>
        <w:pStyle w:val="TextoNormal"/>
      </w:pPr>
    </w:p>
    <w:p w:rsidR="005728DD" w:rsidRDefault="005728DD" w:rsidP="005728DD">
      <w:pPr>
        <w:pStyle w:val="TextoNormal"/>
      </w:pPr>
      <w:r>
        <w:t>Y lo mismo cabe decir del desarrollo de la prueba, que considera ha sido respetuosa con el principio de contradicción y el derecho de defensa.</w:t>
      </w:r>
    </w:p>
    <w:p w:rsidR="005728DD" w:rsidRDefault="005728DD" w:rsidP="005728DD">
      <w:pPr>
        <w:pStyle w:val="TextoNormal"/>
      </w:pPr>
    </w:p>
    <w:p w:rsidR="005728DD" w:rsidRDefault="005728DD" w:rsidP="005728DD">
      <w:pPr>
        <w:pStyle w:val="TextoNormal"/>
      </w:pPr>
      <w:r>
        <w:t>11.5. Vulneración del derecho a la tutela judicial efectiva, a la defensa y a un proceso contra todas las garantías (art. 24, 1 y 2 CE), por impedir que los acusados y testigos se expresaran en su lengua vernácula; en este caso, el catalán.</w:t>
      </w:r>
    </w:p>
    <w:p w:rsidR="005728DD" w:rsidRDefault="005728DD" w:rsidP="005728DD">
      <w:pPr>
        <w:pStyle w:val="TextoNormal"/>
      </w:pPr>
    </w:p>
    <w:p w:rsidR="005728DD" w:rsidRDefault="005728DD" w:rsidP="005728DD">
      <w:pPr>
        <w:pStyle w:val="TextoNormal"/>
      </w:pPr>
      <w:r>
        <w:t>Esta alegación es analizada por el Ministerio Fiscal acudiendo, en primer lugar, a la respuesta ofrecida por la sentencia impugnada, que extracta en sus argumentos esenciales, para continuar con una nueva exposición de los razonamientos esgrimidos por el recurrente. Sentado lo anterior, el fiscal cita y reseña parcialmente la Directiva 2010/64/UE, del Parlamento Europeo y del Consejo, de 20 de octubre de 2010, relativa al derecho a la interpretación y a la traducción en los procesos penales; la Directiva 2012/13/UE, de 22 de mayo de 2012, relativa al derecho a la información en los procesos penales; el art. 6 CEDH; y las SSTC 56/2016, de 17 de marzo (FJ 2), y 31/2010, de 28 de junio (FJ 21). Conforme a todo ello, el fiscal considera que no se ha producido ninguna merma del derecho de defensa.</w:t>
      </w:r>
    </w:p>
    <w:p w:rsidR="005728DD" w:rsidRDefault="005728DD" w:rsidP="005728DD">
      <w:pPr>
        <w:pStyle w:val="TextoNormal"/>
      </w:pPr>
    </w:p>
    <w:p w:rsidR="005728DD" w:rsidRDefault="005728DD" w:rsidP="005728DD">
      <w:pPr>
        <w:pStyle w:val="TextoNormal"/>
      </w:pPr>
      <w:r>
        <w:t>Para el ministerio público, de la doctrina expuesta “resulta que el castellano es la lengua oficial del Estado y existe un deber de conocimiento individualizado por todos los españoles de este, y con él la presunción de que todos los españoles lo conocen. […] En aquellas comunidades autónomas, como la catalana, con lengua cooficial, le asiste al ciudadano el derecho al uso de cualquier lengua oficial en las relaciones que mantenga con cualquier poder público radicado en dichas comunidades. […] El uso de una lengua oficial que no sea el castellano, viene condicionado por un criterio de territorialidad de manera que, fuera del territorio donde la lengua es cooficial, no tiene cabida la cooficialidad lingüística, por lo que el derecho atribuido a los ciudadanos de Cataluña lo es estrictamente ‘de acuerdo con el procedimiento establecido por la legislación correspondiente’ que, como es indiscutible, tratándose de los órganos constitucionales o jurisdiccionales de naturaleza y significación exclusivamente estatales, como lo es el Tribunal Supremo, la legislación correspondiente es la del Estado.</w:t>
      </w:r>
    </w:p>
    <w:p w:rsidR="005728DD" w:rsidRDefault="005728DD" w:rsidP="005728DD">
      <w:pPr>
        <w:pStyle w:val="TextoNormal"/>
      </w:pPr>
    </w:p>
    <w:p w:rsidR="005728DD" w:rsidRDefault="005728DD" w:rsidP="005728DD">
      <w:pPr>
        <w:pStyle w:val="TextoNormal"/>
      </w:pPr>
      <w:r>
        <w:t>Nos encontramos ante un supuesto en que el órgano jurisdiccional actuante es el Tribunal Supremo, con sede en la villa de Madrid, órgano jurisdiccional superior en todos los órdenes, salvo lo dispuesto en materia de garantías constitucionales y cuya jurisdicción se extiende a toda España (art. 123 CE y art. 53 LOPJ) y el enjuiciamiento del recurrente y demás acusados se sigue en la sede de dicho tribunal, no ante un órgano judicial ubicado en el ámbito territorial de la comunidad autónoma de Cataluña.</w:t>
      </w:r>
    </w:p>
    <w:p w:rsidR="005728DD" w:rsidRDefault="005728DD" w:rsidP="005728DD">
      <w:pPr>
        <w:pStyle w:val="TextoNormal"/>
      </w:pPr>
    </w:p>
    <w:p w:rsidR="005728DD" w:rsidRDefault="005728DD" w:rsidP="005728DD">
      <w:pPr>
        <w:pStyle w:val="TextoNormal"/>
      </w:pPr>
      <w:r>
        <w:t>Conforme a la doctrina expuesta, el criterio de territorialidad relevante para determinar la vinculación de un poder público a las consecuencias de la cooficialidad de una lengua autonómica es la sede del órgano, no el alcance territorial de su competencia […]. Y sigue diciendo: así, al recurrente no le asistía un derecho a exigir el uso del idioma catalán en sus declaraciones en el acto del juicio oral […] [ya que] el derecho de los ciudadanos a usar cualquiera de las lenguas cooficiales […] no les corresponde fuera” del ámbito geográfico de la comunidad autónoma correspondiente, “salvo que desconozcan o no dominen suficientemente el castellano, en cuyo caso les asiste el derecho a un intérprete que realice las funciones de traducción del idioma catalán al idioma del tribunal, pero no el derecho a declarar en catalán si conocen el idioma castellano, lengua oficial de las actuaciones ante el Tribunal Supremo.</w:t>
      </w:r>
    </w:p>
    <w:p w:rsidR="005728DD" w:rsidRDefault="005728DD" w:rsidP="005728DD">
      <w:pPr>
        <w:pStyle w:val="TextoNormal"/>
      </w:pPr>
    </w:p>
    <w:p w:rsidR="005728DD" w:rsidRDefault="005728DD" w:rsidP="005728DD">
      <w:pPr>
        <w:pStyle w:val="TextoNormal"/>
      </w:pPr>
      <w:r>
        <w:t>Es más, ciertamente, el deber de los españoles de conocer el castellano, antes aludido, hace suponer que ese conocimiento existe en la realidad, pero tal presunción puede quedar desvirtuada cuando el acusado alega verosímilmente su ignorancia o conocimiento insuficiente o esta circunstancia se pone de manifiesto en el transcurso de las actuaciones judiciales, lo que no es el caso pues el recurrente puso de manifiesto en su interrogatorio el dominio del idioma castellano tanto de su comprensión como de su utilización en las preguntas y respuestas de su interrogatorio”.</w:t>
      </w:r>
    </w:p>
    <w:p w:rsidR="005728DD" w:rsidRDefault="005728DD" w:rsidP="005728DD">
      <w:pPr>
        <w:pStyle w:val="TextoNormal"/>
      </w:pPr>
    </w:p>
    <w:p w:rsidR="005728DD" w:rsidRDefault="005728DD" w:rsidP="005728DD">
      <w:pPr>
        <w:pStyle w:val="TextoNormal"/>
      </w:pPr>
      <w:r>
        <w:t>Durante el desarrollo de la vista, se refiere, “no se expresó por las partes dificultad alguna en el entendimiento de lo que se estaba preguntando” y “de la grabación del juicio resulta la fluidez, la precisión y el dominio de la lengua castellana que evidenciaron todos los procesados”.</w:t>
      </w:r>
    </w:p>
    <w:p w:rsidR="005728DD" w:rsidRDefault="005728DD" w:rsidP="005728DD">
      <w:pPr>
        <w:pStyle w:val="TextoNormal"/>
      </w:pPr>
    </w:p>
    <w:p w:rsidR="005728DD" w:rsidRDefault="005728DD" w:rsidP="005728DD">
      <w:pPr>
        <w:pStyle w:val="TextoNormal"/>
      </w:pPr>
      <w:r>
        <w:t>En cuanto a la alegación de que el recurrente se habría visto obligado a renunciar a su derecho a declarar en catalán, entiende el fiscal que “ninguna tacha se puede poner a la renuncia efectuada, pues el recurrente la efectuó con asistencia del letrado que dirigía su defensa en el acto del juicio oral, de modo que debe entenderse realizada de manera libre y con un asesoramiento suficiente del alcance de la renuncia, que además se materializó expresamente y se cumplieron, así, los requisitos procesales exigidos por el art. 126 LECrim para [su] validez”.</w:t>
      </w:r>
    </w:p>
    <w:p w:rsidR="005728DD" w:rsidRDefault="005728DD" w:rsidP="005728DD">
      <w:pPr>
        <w:pStyle w:val="TextoNormal"/>
      </w:pPr>
    </w:p>
    <w:p w:rsidR="005728DD" w:rsidRDefault="005728DD" w:rsidP="005728DD">
      <w:pPr>
        <w:pStyle w:val="TextoNormal"/>
      </w:pPr>
      <w:r>
        <w:t>En definitiva, para el fiscal “se ha pretendido instrumentalizar el derecho a usar la lengua catalana, como se reconoce en un procedimiento judicial seguido en Cataluña, según establece el artículo 231.3 LOPJ y 142.3 LEC, para cuestionar una vez más la competencia del Tribunal Supremo para la instrucción y enjuiciamiento del recurrente y demás acusados”.</w:t>
      </w:r>
    </w:p>
    <w:p w:rsidR="005728DD" w:rsidRDefault="005728DD" w:rsidP="005728DD">
      <w:pPr>
        <w:pStyle w:val="TextoNormal"/>
      </w:pPr>
    </w:p>
    <w:p w:rsidR="005728DD" w:rsidRDefault="005728DD" w:rsidP="005728DD">
      <w:pPr>
        <w:pStyle w:val="TextoNormal"/>
      </w:pPr>
      <w:r>
        <w:t xml:space="preserve">En lo relativo al juicio de ponderación realizado por la sala de enjuiciamiento entre el sistema de traducción simultánea y el principio de publicidad, el Ministerio Fiscal considera </w:t>
      </w:r>
      <w:r>
        <w:lastRenderedPageBreak/>
        <w:t xml:space="preserve">que “el Tribunal Supremo explica y razona por qué rechazó el sistema de traducción simultánea y optó por el sistema de traducción sucesiva, la traducción simultánea habría imposibilitado el carácter público que se otorgó al proceso desde el inicio, pues haría necesario el uso de auriculares por las partes, impidiendo que la retransmisión del procedimiento fuera cien por cien efectiva para los fines de transparencia perseguidos. En esencia, el Tribunal Supremo no ha rechazado el derecho de los acusados a utilizar el idioma catalán en sus declaraciones, simplemente ha condicionado su uso a que la traducción fuera sucesiva y no simultánea como interesaba el recurrente y otros acusados y, aunque el art. 123.2 LECrim, establece como sistema de traducción principal el de traducción simultánea y de manera subsidiaria el de traducción sucesiva, siempre que se garantice suficientemente la defensa del imputado o acusado, lo cierto es que el Tribunal Supremo establece las razones de optar por dicho método de traducción como eran la preservación del principio de publicidad de los debates del juicio oral, los que se retransmitían por </w:t>
      </w:r>
      <w:r w:rsidRPr="005728DD">
        <w:rPr>
          <w:i/>
        </w:rPr>
        <w:t>streaming</w:t>
      </w:r>
      <w:r>
        <w:t>, de manera que permitía a los espectadores su seguimiento, y así se daba cumplimiento a los mandatos constitucionales y legales de la publicidad de los debates del juicio oral, como exige el art. 120.1 CE, garantizándose el control público de la justicia y la confianza en los tribunales, más allá de los presentes en la Sala de sesiones de manera que la observancia y audiencia del contenido del juicio oral se veía perjudicada por el uso de dicho método de traducción simultánea. El derecho a un proceso público en materia penal (art. 24.2 CE), en consonancia con el art. 11 de la Declaración Universal de Derechos Humanos, art. 14 del Pacto Internacional de Derechos Civiles y Políticos, y art. 6 del Convenio Europeo de Derechos Humanos,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w:t>
      </w:r>
      <w:r w:rsidRPr="005728DD">
        <w:rPr>
          <w:i/>
        </w:rPr>
        <w:t>o Axen y otros c. Aleman</w:t>
      </w:r>
      <w:r>
        <w:t>ia, § 25)”.</w:t>
      </w:r>
    </w:p>
    <w:p w:rsidR="005728DD" w:rsidRDefault="005728DD" w:rsidP="005728DD">
      <w:pPr>
        <w:pStyle w:val="TextoNormal"/>
      </w:pPr>
    </w:p>
    <w:p w:rsidR="005728DD" w:rsidRDefault="005728DD" w:rsidP="005728DD">
      <w:pPr>
        <w:pStyle w:val="TextoNormal"/>
      </w:pPr>
      <w:r>
        <w:t>Por otro lado, se reseña, el “sistema de traducción no comporta ni se integra en ningún derecho fundamental por lo que no puede hablarse de un conflicto entre derechos fundamentales y el principio de publicidad de los debates del juicio oral”.</w:t>
      </w:r>
    </w:p>
    <w:p w:rsidR="005728DD" w:rsidRDefault="005728DD" w:rsidP="005728DD">
      <w:pPr>
        <w:pStyle w:val="TextoNormal"/>
      </w:pPr>
    </w:p>
    <w:p w:rsidR="005728DD" w:rsidRDefault="005728DD" w:rsidP="005728DD">
      <w:pPr>
        <w:pStyle w:val="TextoNormal"/>
      </w:pPr>
      <w:r>
        <w:t>Otro tanto puede decirse respecto de los testigos. A juicio del fiscal, la “queja debe igualmente ser desechada pues no solo es que el recurrente no argumente en qué medida […] afecta a la credibilidad del testigo por declarar en una lengua que habla con menor fluidez, esto es, en qué medida dicha circunstancia afectó a que el testimonio del testigo fuera creíble, sino también porque la propia Sala declara su irrelevancia probatoria por lo que ninguna repercusión tuvieron sus testimonios para formar la convicción del juzgador sobre la autoría y culpabilidad del recurrente por los hechos que la sentencia declaró probados, es más ni identificó el recurrente en su queja los testigos a los que se había denegado usar su lengua vernácula, efectuando así una denuncia genérica sin concretar”.</w:t>
      </w:r>
    </w:p>
    <w:p w:rsidR="005728DD" w:rsidRDefault="005728DD" w:rsidP="005728DD">
      <w:pPr>
        <w:pStyle w:val="TextoNormal"/>
      </w:pPr>
    </w:p>
    <w:p w:rsidR="005728DD" w:rsidRDefault="005728DD" w:rsidP="005728DD">
      <w:pPr>
        <w:pStyle w:val="TextoNormal"/>
      </w:pPr>
      <w:r>
        <w:t xml:space="preserve">Finalmente, en relación con la alegada discriminación respecto de los castellanohablantes, entiende el fiscal que “no cabe imputar un comportamiento discriminatorio a la Sala del Tribunal Supremo porque los testigos o acusados declararan en castellano y no en catalán, dado, por una parte, porque el castellano es el idioma de los órganos estatales de manera que el uso de las lenguas españolas ante los órganos estatales viene señalado por la legislación sobre el uso de las mismas y, en el caso, porque, dada la sede del Tribunal Supremo, el idioma oficial de los debates del juicio oral era el castellano, al margen que el recurrente no </w:t>
      </w:r>
      <w:r>
        <w:lastRenderedPageBreak/>
        <w:t>aporta ningún elemento de comparación que ponga de manifiesto un trato desigual o que aporte, en su caso, un principio de prueba de la discriminación por razón de la lengua que no sea su discrepancia con el método de traducción elegido por el tribunal”.</w:t>
      </w:r>
    </w:p>
    <w:p w:rsidR="005728DD" w:rsidRDefault="005728DD" w:rsidP="005728DD">
      <w:pPr>
        <w:pStyle w:val="TextoNormal"/>
      </w:pPr>
    </w:p>
    <w:p w:rsidR="005728DD" w:rsidRDefault="005728DD" w:rsidP="005728DD">
      <w:pPr>
        <w:pStyle w:val="TextoNormal"/>
      </w:pPr>
      <w:r>
        <w:t>11.6. Vulneración del principio de igualdad de armas (arts. 24.2 CE y 6 CEDH), por el trato desfavorable dispensado a las defensas por el tribunal en el acto del juicio oral.</w:t>
      </w:r>
    </w:p>
    <w:p w:rsidR="005728DD" w:rsidRDefault="005728DD" w:rsidP="005728DD">
      <w:pPr>
        <w:pStyle w:val="TextoNormal"/>
      </w:pPr>
    </w:p>
    <w:p w:rsidR="005728DD" w:rsidRDefault="005728DD" w:rsidP="005728DD">
      <w:pPr>
        <w:pStyle w:val="TextoNormal"/>
      </w:pPr>
      <w:r>
        <w:t>Comienza la exposición del fiscal en este apartado señalando que, a su juicio, las numerosas quejas que se engloban bajo este epígrafe “no son más que cuestiones puntuales teñidas de valoraciones subjetivas del recurrente y carentes de efectos sobre los derechos que se alegan como vulnerados”.</w:t>
      </w:r>
    </w:p>
    <w:p w:rsidR="005728DD" w:rsidRDefault="005728DD" w:rsidP="005728DD">
      <w:pPr>
        <w:pStyle w:val="TextoNormal"/>
      </w:pPr>
    </w:p>
    <w:p w:rsidR="005728DD" w:rsidRDefault="005728DD" w:rsidP="005728DD">
      <w:pPr>
        <w:pStyle w:val="TextoNormal"/>
      </w:pPr>
      <w:r>
        <w:t>A continuación, va desglosando las diversas alegaciones formuladas, así como las respuestas ofrecidas por la sentencia impugnada. En concreto, sobre la restricción injustificada del alcance de los interrogatorios a las defensas; que no se le permitiera hacer un interrogatorio más exhaustivo al señor Torrent; que no se hubiera permitido a las defensas hacer preguntas sobre la ideología a determinados testigos (señor Rufián o la letrada de la administración de justicia); que se hubiera permitido a las acusaciones preguntar por la condición de socio de las entidades ANC u Òmnium Cultural; que algunos testigos pudieron exponer sus vivencias personales (teniente coronel señor Baena) pero otros no (señora Garcés); que algunos testigos pudieron consultar notas (don David Pérez) mientras que otros no (señora Garcés); que se dispensó distinto trato a la desmemoria o renuencia de algunos testigos (señora Sáenz de Santamaría o los señores Rajoy y Zoido) a los que no se hizo apercibimiento alguno frente a otros a quienes sí se le hizo (señora Guix o señor Mestre); que se impidió al letrado interrogar a un agente policial sobre un determinado incidente; o que la presidencia del tribunal interrumpiera con mayor frecuencia y predisposición los interrogatorios de las defensas mediante una actitud más pro activa a la hora de censurar su manera de preguntar.</w:t>
      </w:r>
    </w:p>
    <w:p w:rsidR="005728DD" w:rsidRDefault="005728DD" w:rsidP="005728DD">
      <w:pPr>
        <w:pStyle w:val="TextoNormal"/>
      </w:pPr>
    </w:p>
    <w:p w:rsidR="005728DD" w:rsidRDefault="005728DD" w:rsidP="005728DD">
      <w:pPr>
        <w:pStyle w:val="TextoNormal"/>
      </w:pPr>
      <w:r>
        <w:t>Todas estas alegaciones reciben una respuesta unitaria del Ministerio Fiscal, que se apoya en las SSTC 140/1994, de 9 mayo (FJ 4), sobre el principio de igualdad de armas, la indefensión y la ejecución de la prueba; 61/2002, de 11 de marzo (FJ 5), sobre el principio de igualdad de armas en la ejecución o administración de la prueba; 5/2004, de 16 de enero (FJ 6), sobre indefensión, y 48/2008, de 11 de marzo (FJ 3), sobre el principio de contradicción.</w:t>
      </w:r>
    </w:p>
    <w:p w:rsidR="005728DD" w:rsidRDefault="005728DD" w:rsidP="005728DD">
      <w:pPr>
        <w:pStyle w:val="TextoNormal"/>
      </w:pPr>
    </w:p>
    <w:p w:rsidR="005728DD" w:rsidRDefault="005728DD" w:rsidP="005728DD">
      <w:pPr>
        <w:pStyle w:val="TextoNormal"/>
      </w:pPr>
      <w:r>
        <w:t xml:space="preserve">Conforme a toda esta doctrina, el fiscal considera que “las respuestas dadas por la Sala en su sentencia […] tienen de común la razonabilidad de la misma y responde a la aplicación de la normativa procesal sobre el desarrollo de la prueba testifical y se hace en cumplimiento de las facultades de dirección de los debates del juicio oral que corresponde al presidente del tribunal”, según el art. 683 LECrim. Para el fiscal, “el presidente del tribunal se ha limitado a la dirección de los debates, siendo respetuoso con las reglas que rigen el juicio oral, sin que la actitud que se denuncia […] tenga consistencia jurídica, pero, además, resulta que el recurrente no indica qué reglas procesales se han vulnerado o cómo su vulneración ha afectado a las garantías de defensa, más allá de valoraciones personales sobre lo que se entiende como un trato diferenciado entre las acusaciones y la defensa, para lo cual se trae a colación una serie de ejemplos, que adiciona el recurrente, para reprochar la actitud del presidente del tribunal y denunciar la vulneración del principio de igualdad de armas en relación con el derecho de defensa y el derecho a un proceso justo. A lo anterior debe añadirse, conforme a la doctrina señalada por la parte demandante, que no se ha argumentado </w:t>
      </w:r>
      <w:r>
        <w:lastRenderedPageBreak/>
        <w:t>en qué medida estas presuntas irregularidades y desigualdad de trato le ha causado indefensión y ha podido influir sobre el resultado final de la sentencia condenatoria, de modo que el fallo pudo haber sido otro”.</w:t>
      </w:r>
    </w:p>
    <w:p w:rsidR="005728DD" w:rsidRDefault="005728DD" w:rsidP="005728DD">
      <w:pPr>
        <w:pStyle w:val="TextoNormal"/>
      </w:pPr>
    </w:p>
    <w:p w:rsidR="005728DD" w:rsidRDefault="005728DD" w:rsidP="005728DD">
      <w:pPr>
        <w:pStyle w:val="TextoNormal"/>
      </w:pPr>
      <w:r>
        <w:t xml:space="preserve">En todo caso, según el fiscal, estos testimonios “se integran con el conjunto de otras pruebas que, apreciadas en su conjunto por el tribunal de enjuiciamiento (art. 741 LECrim), determina el </w:t>
      </w:r>
      <w:r w:rsidRPr="005728DD">
        <w:rPr>
          <w:i/>
        </w:rPr>
        <w:t>factum</w:t>
      </w:r>
      <w:r>
        <w:t xml:space="preserve"> de la sentencia y el juicio de culpabilidad del recurrente cuya valoración incumbe el tribunal de enjuiciamiento”, al tiempo que la parte demandante “ha tenido la oportunidad de interrogar y contrainterrogar a los testigos, respetándose por el tribunal el principio de contradicción”.</w:t>
      </w:r>
    </w:p>
    <w:p w:rsidR="005728DD" w:rsidRDefault="005728DD" w:rsidP="005728DD">
      <w:pPr>
        <w:pStyle w:val="TextoNormal"/>
      </w:pPr>
    </w:p>
    <w:p w:rsidR="005728DD" w:rsidRDefault="005728DD" w:rsidP="005728DD">
      <w:pPr>
        <w:pStyle w:val="TextoNormal"/>
      </w:pPr>
      <w:r>
        <w:t>11.7. Vulneración de los arts. 24 CE y 6 CEDH, por haberse impuesto una condena superior a la solicitada por aquella acusación cuyas peticiones han sido acogidas de modo expreso.</w:t>
      </w:r>
    </w:p>
    <w:p w:rsidR="005728DD" w:rsidRDefault="005728DD" w:rsidP="005728DD">
      <w:pPr>
        <w:pStyle w:val="TextoNormal"/>
      </w:pPr>
    </w:p>
    <w:p w:rsidR="005728DD" w:rsidRDefault="005728DD" w:rsidP="005728DD">
      <w:pPr>
        <w:pStyle w:val="TextoNormal"/>
      </w:pPr>
      <w:r>
        <w:t>En sus alegaciones, el fiscal reproduce inicialmente la parte de la sentencia referida a las penas que habían de ser impuestas al recurrente [apartado D), págs. 479 y siguientes], tras ser considerado autor de un delito de sedición (art. 545.1 CP, protagonizado por personas constituidas en autoridad) en concurso medial con un delito de malversación de caudales públicos (art. 432.3 CP), agravado por razón de su cuantía.</w:t>
      </w:r>
    </w:p>
    <w:p w:rsidR="005728DD" w:rsidRDefault="005728DD" w:rsidP="005728DD">
      <w:pPr>
        <w:pStyle w:val="TextoNormal"/>
      </w:pPr>
    </w:p>
    <w:p w:rsidR="005728DD" w:rsidRDefault="005728DD" w:rsidP="005728DD">
      <w:pPr>
        <w:pStyle w:val="TextoNormal"/>
      </w:pPr>
      <w:r>
        <w:t>En relación con las conclusiones acusatorias definitivas planteadas en el juicio oral, señala que la acusación popular calificó los hechos como constitutivos de dos delitos de sedición de los arts. 544 y 545.1 CP —alternativos al delito de rebelión por el que acusaba principalmente— y un delito de malversación de caudales públicos del art. 432.1 y 3 a) y b) CP en relación con el art. 252 CP, e interesaba para el demandante señor. Turull i Negre una pena de doce años de prisión y de veinte años de inhabilitación absoluta por este último delito; por los delitos de sedición, por cada uno de ellos, solicitó la pena de quince años de prisión y de inhabilitación absoluta.</w:t>
      </w:r>
    </w:p>
    <w:p w:rsidR="005728DD" w:rsidRDefault="005728DD" w:rsidP="005728DD">
      <w:pPr>
        <w:pStyle w:val="TextoNormal"/>
      </w:pPr>
    </w:p>
    <w:p w:rsidR="005728DD" w:rsidRDefault="005728DD" w:rsidP="005728DD">
      <w:pPr>
        <w:pStyle w:val="TextoNormal"/>
      </w:pPr>
      <w:r>
        <w:t>La acusación particular, representada por la abogacía del Estado, interesó una pena de once años y seis meses de prisión y de inhabilitación absoluta por ambos delitos al apreciar que concurría entre ambos un concurso ideal. Aunque la acusación popular no calificara los hechos como un concurso medial entre un delito de sedición y un delito de malversación, lo cierto es que concurrían en la conducta del acusado los elementos objetivos y subjetivos necesarios tanto del delito de sedición como de malversación de caudales públicos. La diferencia entre los escritos de conclusiones definitivas se hallaba en la modalidad de concurso: concurso real o medial entre ambos, tesis última que fue acogida por el Tribunal Supremo.</w:t>
      </w:r>
    </w:p>
    <w:p w:rsidR="005728DD" w:rsidRDefault="005728DD" w:rsidP="005728DD">
      <w:pPr>
        <w:pStyle w:val="TextoNormal"/>
      </w:pPr>
    </w:p>
    <w:p w:rsidR="005728DD" w:rsidRDefault="005728DD" w:rsidP="005728DD">
      <w:pPr>
        <w:pStyle w:val="TextoNormal"/>
      </w:pPr>
      <w:r>
        <w:t xml:space="preserve">Se refiere, a continuación, a la doctrina contenida en la STC 172/2016, de 1 7 de octubre, FJ 10, para afirmar que “debe descartarse una extralimitación de la sentencia ya que el recurrente venía acusado por los delitos de sedición y de malversación de caudales públicos, de manera que la calificación como concurso medial entre ambos delitos no afecta al principio acusatorio ni, por ende, al derecho defensa, pues el recurrente conocía el contenido de dichas acusaciones”. Para el Ministerio Fiscal, la queja debe ser desestimada pues el Tribunal Supremo se ha pronunciado dentro de los términos del debate, pues “no ha apreciado delitos diferentes de aquellos por los que se acusaba al recurrente y lo ha hecho tal como se </w:t>
      </w:r>
      <w:r>
        <w:lastRenderedPageBreak/>
        <w:t>habían formulado el debate por las acusaciones y la defensa”. Y termina su alegato señalando que “al haber quedado acreditado que el demandante de amparo tuvo un conocimiento efectivo de la posibilidad de que le fuera impuesta una condena por cada uno de los delitos considerados en concurso medial, y que la pena definitivamente impuesta no resulta superior a la pretendida por la acusación popular, debe concluirse que no se ha vulnerado el derecho a un proceso con todas las garantías del demandante de amparo desde la perspectiva del principio acusatorio, pues el recurrente ha podido articular todos los instrumentos probatorios y alegatorios para defenderse de la condena por ambos delitos y de la cuantificación de la pena que finalmente se les impuso en la sentencia”.</w:t>
      </w:r>
    </w:p>
    <w:p w:rsidR="005728DD" w:rsidRDefault="005728DD" w:rsidP="005728DD">
      <w:pPr>
        <w:pStyle w:val="TextoNormal"/>
      </w:pPr>
    </w:p>
    <w:p w:rsidR="005728DD" w:rsidRDefault="005728DD" w:rsidP="005728DD">
      <w:pPr>
        <w:pStyle w:val="TextoNormal"/>
      </w:pPr>
      <w:r>
        <w:t>11.8. Vulneración de la dimensión extraprocesal del derecho a la presunción de inocencia (art. 24.2 CE) como consecuencia de las manifestaciones realizadas por cargos públicos.</w:t>
      </w:r>
    </w:p>
    <w:p w:rsidR="005728DD" w:rsidRDefault="005728DD" w:rsidP="005728DD">
      <w:pPr>
        <w:pStyle w:val="TextoNormal"/>
      </w:pPr>
    </w:p>
    <w:p w:rsidR="005728DD" w:rsidRDefault="005728DD" w:rsidP="005728DD">
      <w:pPr>
        <w:pStyle w:val="TextoNormal"/>
      </w:pPr>
      <w:r>
        <w:t>En este apartado, la demanda hace referencia a una serie de declaraciones y documentos de la entonces secretaria de Estado de la España Global, señora Lozano, en las que, a juicio del recurrente, se trataba a los procesados como culpables de los delitos por los que estaban siendo enjuiciados; lo que supondría una vulneración del derecho a la presunción de inocencia (art. 24.2 CE), en relación con lo dispuesto en el art. 4.1 de la Directiva 2016/343/UE, del Parlamento Europeo y del Consejo.</w:t>
      </w:r>
    </w:p>
    <w:p w:rsidR="005728DD" w:rsidRDefault="005728DD" w:rsidP="005728DD">
      <w:pPr>
        <w:pStyle w:val="TextoNormal"/>
      </w:pPr>
    </w:p>
    <w:p w:rsidR="005728DD" w:rsidRDefault="005728DD" w:rsidP="005728DD">
      <w:pPr>
        <w:pStyle w:val="TextoNormal"/>
      </w:pPr>
      <w:r>
        <w:t>Tras señalar que esta invocación fue planteada en el escrito de cuestiones previas, en el de calificación definitiva y en el incidente de nulidad de actuaciones planteado contra la sentencia, el fiscal reseña parcialmente la respuesta dada por la resolución impugnada.</w:t>
      </w:r>
    </w:p>
    <w:p w:rsidR="005728DD" w:rsidRDefault="005728DD" w:rsidP="005728DD">
      <w:pPr>
        <w:pStyle w:val="TextoNormal"/>
      </w:pPr>
    </w:p>
    <w:p w:rsidR="005728DD" w:rsidRDefault="005728DD" w:rsidP="005728DD">
      <w:pPr>
        <w:pStyle w:val="TextoNormal"/>
      </w:pPr>
      <w:r>
        <w:t>Seguidamente, expone la doctrina de este tribunal sobre el derecho a la presunción de inocencia [STC 97/2020, de 21 de julio, FJ 5 A)] y sobre su dimensión extraprocesal (SSTC 133/2018, de 13 de diciembre, FJ 4, y 28/2020, de 24 de febrero, FJ 3). Conforme a estos pronunciamientos, el fiscal considera que la “campaña informativa y las declaraciones no proyectan duda alguna sobre la inocencia o culpabilidad de los afectados, el recurrente entre ellos, en lo que aquí interesa, limitándose las declaraciones y documentos de la secretaria de Estado de la España Global a realizar una valoración política de los sucesos que se habían producido en el denominado ‘procés’ y que responde a una finalidad legítima, la defensa del Estado frente a ataques tan graves como los que pudieran afectar a la integridad territorial en orden a informar a la opinión pública internacional sobre la verdadera significación y dimensión de los acontecimientos acaecidos en Cataluña en torno al referéndum ilegal de 1 de octubre de 2017”.</w:t>
      </w:r>
    </w:p>
    <w:p w:rsidR="005728DD" w:rsidRDefault="005728DD" w:rsidP="005728DD">
      <w:pPr>
        <w:pStyle w:val="TextoNormal"/>
      </w:pPr>
    </w:p>
    <w:p w:rsidR="005728DD" w:rsidRDefault="005728DD" w:rsidP="005728DD">
      <w:pPr>
        <w:pStyle w:val="TextoNormal"/>
      </w:pPr>
      <w:r>
        <w:t>Para el fiscal, no se trataba de “informar sobre el proceso judicial que se siguió al recurrente y otros y su objeto, aunque obviamente los hechos, en parte, son coincidentes con la información que la campaña daba, sino de informar sobre el ilegal proceso independentista que llevaban a cabo sectores políticos, económicos y sociales de Cataluña de modo que las apreciaciones que en la misma se realizaban tenían un sesgo eminentemente de carácter político, era la versión del Gobierno no solo sobre los hechos acaecidos, sino también sobre la situación política de la comunidad autónoma de Cataluña y su pretensión independentista y el referéndum de autodeterminación”. De manera que los “comentarios contenidos en la campaña no reflejan un juicio de culpabilidad del recurrente”, sino que “son una interpretación política de los hechos”.</w:t>
      </w:r>
    </w:p>
    <w:p w:rsidR="005728DD" w:rsidRDefault="005728DD" w:rsidP="005728DD">
      <w:pPr>
        <w:pStyle w:val="TextoNormal"/>
      </w:pPr>
    </w:p>
    <w:p w:rsidR="005728DD" w:rsidRDefault="005728DD" w:rsidP="005728DD">
      <w:pPr>
        <w:pStyle w:val="TextoNormal"/>
      </w:pPr>
      <w:r>
        <w:lastRenderedPageBreak/>
        <w:t>Además, —se continúa exponiendo— “la existencia del proceso no conlleva que el objeto del mismo no pueda dar lugar a debates destinados a la opinión pública, […] más cuando al público le asiste el derecho a recibir una información veraz sobre los mismos, en este caso, de las autoridades del Estado afectado y que, además, concierne a personas públicas como eran los investigados en el proceso judicial”.</w:t>
      </w:r>
    </w:p>
    <w:p w:rsidR="005728DD" w:rsidRDefault="005728DD" w:rsidP="005728DD">
      <w:pPr>
        <w:pStyle w:val="TextoNormal"/>
      </w:pPr>
    </w:p>
    <w:p w:rsidR="005728DD" w:rsidRDefault="005728DD" w:rsidP="005728DD">
      <w:pPr>
        <w:pStyle w:val="TextoNormal"/>
      </w:pPr>
      <w:r>
        <w:t>El fiscal destaca, finalmente, que “la queja, en su caso, se referiría a una presunta lesión del derecho al honor (art. 18.l CE) como ha indicado este Alto Tribunal, por todas en su STC 12/2019, que se hace eco de la STC 133/2018, FJ 4”; así como resalta el hecho de que “el recurrente no aporta elemento de prueba alguno que ponga de manifiesto que la campaña que denuncia hay[a] podido influir en el ánimo del juzgador de manera que haya condicionado el desenlace final del proceso a salvo la valoración que hace sobre la campaña del Gobierno español”. Por lo que concluye señalando, que “ninguna vulneración del principio de presunción de inocencia, como regla de tratamiento, se ha producido”.</w:t>
      </w:r>
    </w:p>
    <w:p w:rsidR="005728DD" w:rsidRDefault="005728DD" w:rsidP="005728DD">
      <w:pPr>
        <w:pStyle w:val="TextoNormal"/>
      </w:pPr>
    </w:p>
    <w:p w:rsidR="005728DD" w:rsidRDefault="005728DD" w:rsidP="005728DD">
      <w:pPr>
        <w:pStyle w:val="TextoNormal"/>
      </w:pPr>
      <w:r>
        <w:t>11.9. Vulneración del derecho a la legalidad penal (art. 25.1 CE) por abandon</w:t>
      </w:r>
      <w:r w:rsidRPr="005728DD">
        <w:rPr>
          <w:i/>
        </w:rPr>
        <w:t>o ad h</w:t>
      </w:r>
      <w:r>
        <w:t>oc del principio de accesoriedad limitada.</w:t>
      </w:r>
    </w:p>
    <w:p w:rsidR="005728DD" w:rsidRDefault="005728DD" w:rsidP="005728DD">
      <w:pPr>
        <w:pStyle w:val="TextoNormal"/>
      </w:pPr>
    </w:p>
    <w:p w:rsidR="005728DD" w:rsidRDefault="005728DD" w:rsidP="005728DD">
      <w:pPr>
        <w:pStyle w:val="TextoNormal"/>
      </w:pPr>
      <w:r>
        <w:t>Según la demanda, y por aplicación del principio de accesoriedad limitada, el recurrente solo habría podido ser condenado, en su caso, si el autor directo o ejecutor material hubiera cometido un hecho antijurídico. En este supuesto, como los manifestantes o votantes no han merecido reproche penal alguno, tampoco puede ser condenado el demandante.</w:t>
      </w:r>
    </w:p>
    <w:p w:rsidR="005728DD" w:rsidRDefault="005728DD" w:rsidP="005728DD">
      <w:pPr>
        <w:pStyle w:val="TextoNormal"/>
      </w:pPr>
    </w:p>
    <w:p w:rsidR="005728DD" w:rsidRDefault="005728DD" w:rsidP="005728DD">
      <w:pPr>
        <w:pStyle w:val="TextoNormal"/>
      </w:pPr>
      <w:r>
        <w:t>Esta alegación fue resuelta en el auto de 29 de enero de 2020, que se extracta, reiterando el fiscal los argumentos expuestos en la citada resolución, ahora también impugnada. El ministerio público señala que el recurrente “ha sido condenado como coautor de un delito de sedición y no como partícipe por lo que no sería de aplicación el principio de accesoriedad en la participación y la propia sentencia explica el juicio de autoría”. Insiste el fiscal en que el demandante “ha colmado el elemento objetivo y subjetivo del tipo penal de sedición pues con su comportamiento creó las condiciones de la movilización ciudadana, impidió el normal funcionamiento del Estado, participó en la convocatoria y realización de un referéndum ilegal y conocía la antijuridicidad de su conducta, puesto que el delito de sedición se comete también por conductas que propicien, posibiliten o determinen la realización de actos de alzamiento y, de los hechos probados, se sigue que precisamente ese comportamiento es el que se imputa al recurrente, crear las condiciones para impedir, fuera de las vías legales, la aplicación de las leyes o la correcta actuación de las autoridades, funcionarios públicos o corporaciones oficiales mediante decisiones ejecutivas que enmarcan el alzamiento”. En definitiva, la sala de enjuiciamiento no ha modificado su doctrina sobre el principio de accesoriedad, porque esta doctrina no era aplicable en el presente caso.</w:t>
      </w:r>
    </w:p>
    <w:p w:rsidR="005728DD" w:rsidRDefault="005728DD" w:rsidP="005728DD">
      <w:pPr>
        <w:pStyle w:val="TextoNormal"/>
      </w:pPr>
    </w:p>
    <w:p w:rsidR="005728DD" w:rsidRDefault="005728DD" w:rsidP="005728DD">
      <w:pPr>
        <w:pStyle w:val="TextoNormal"/>
      </w:pPr>
      <w:r>
        <w:t>11.10. Vulneración del derecho a la legalidad penal (art. 25.1 CE), por la inconcreción e indeterminación del tipo penal de sedición (art. 544 CP), con la consiguiente infracción de la garantía material de predeterminación legal de las conductas delictivas.</w:t>
      </w:r>
    </w:p>
    <w:p w:rsidR="005728DD" w:rsidRDefault="005728DD" w:rsidP="005728DD">
      <w:pPr>
        <w:pStyle w:val="TextoNormal"/>
      </w:pPr>
    </w:p>
    <w:p w:rsidR="005728DD" w:rsidRDefault="005728DD" w:rsidP="005728DD">
      <w:pPr>
        <w:pStyle w:val="TextoNormal"/>
      </w:pPr>
      <w:r>
        <w:t xml:space="preserve">Bajo este apartado se comienza el análisis de las vulneraciones relativas a cuestiones de carácter material. Para el recurrente, el tipo delictivo de sedición descrito en el art. 544 CP contiene expresiones indeterminadas, inconcretas o imprecisas como “alzarse”, “tumultos”, “fuerza” o “fuera de las vías legales”, que impiden conocer de antemano el ámbito de lo </w:t>
      </w:r>
      <w:r>
        <w:lastRenderedPageBreak/>
        <w:t>prohibido; es decir, la conducta típica susceptible de ser sancionada, con infracción de la garantía del principio de legalidad penal reconocida en el art. 25.1 CE.</w:t>
      </w:r>
    </w:p>
    <w:p w:rsidR="005728DD" w:rsidRDefault="005728DD" w:rsidP="005728DD">
      <w:pPr>
        <w:pStyle w:val="TextoNormal"/>
      </w:pPr>
    </w:p>
    <w:p w:rsidR="005728DD" w:rsidRDefault="005728DD" w:rsidP="005728DD">
      <w:pPr>
        <w:pStyle w:val="TextoNormal"/>
      </w:pPr>
      <w:r>
        <w:t>El fiscal señala que esta alegación fue desestimada en el auto de 29 de enero de 2020, por el que se resolvió el incidente de nulidad de actuaciones planteado contra la sentencia condenatoria, con expresa remisión a la respuesta ofrecida frente a las alegaciones formuladas por las defensas de los procesados señores Sánchez, Cuixart y Forn.</w:t>
      </w:r>
    </w:p>
    <w:p w:rsidR="005728DD" w:rsidRDefault="005728DD" w:rsidP="005728DD">
      <w:pPr>
        <w:pStyle w:val="TextoNormal"/>
      </w:pPr>
    </w:p>
    <w:p w:rsidR="005728DD" w:rsidRDefault="005728DD" w:rsidP="005728DD">
      <w:pPr>
        <w:pStyle w:val="TextoNormal"/>
      </w:pPr>
      <w:r>
        <w:t>Sobre el principio de legalidad, el fiscal hace una reseña parcial de la STC 24/2004, de 24 de febrero [FJ 2 b) y d)], para acudir seguidamente a la redacción vigente del art. 544 CP y a la argumentación contenida en la sentencia impugnada, en la que se hace el juicio de tipicidad de forma muy similar a la recogida en el único precedente existente, la STS de 10 de octubre de 1980, por lo que no se habría apartado de la doctrina jurisprudencial.</w:t>
      </w:r>
    </w:p>
    <w:p w:rsidR="005728DD" w:rsidRDefault="005728DD" w:rsidP="005728DD">
      <w:pPr>
        <w:pStyle w:val="TextoNormal"/>
      </w:pPr>
    </w:p>
    <w:p w:rsidR="005728DD" w:rsidRDefault="005728DD" w:rsidP="005728DD">
      <w:pPr>
        <w:pStyle w:val="TextoNormal"/>
      </w:pPr>
      <w:r>
        <w:t>Para el fiscal, el “texto legal no puede presentar una precisión absoluta sobre los términos y conceptos utilizados por el legislador para definir la conducta prohibida de manera que, como el propio recurrente reconoce, la interpretación de los tribunales ayuda a determinar los actos u omisiones prohibidos. […] No parece que las locuciones ‘alzarse’, ‘tumulto’, ‘impedir’, ‘fuerza’ o ‘fuera de las vías legales’ puedan tacharse de ser imprecisos y vagos, antes bien pueden ser comprendidos y entendidos razonablemente y sin dificultad por cualquier ciudadano”. A su juicio, “el Tribunal Supremo ha precisado el significado y alcance de los elementos del tipo penal, como qué debemos entender por alzamiento, por tumultuario, cómo debe entenderse el empleo de la fuerza, que no necesariamente ha de ser violenta, y cuáles son las finalidades perseguidas por el sujeto activo que configura como un delito plurisubjetivo y que se concretan en una insurrección o una actitud de abierta oposición al normal funcionamiento del sistema jurídico, constituido por la normal aplicación de las leyes y no obstrucción a la efectiva aplicación de las decisiones de las instituciones, así como su naturaleza, de resultado cortado, lo que supone que la finalidad perseguida no tiene por qué ser conseguida, pero exige al menos una funcionalidad objetiva, además de subjetivamente procurada”.</w:t>
      </w:r>
    </w:p>
    <w:p w:rsidR="005728DD" w:rsidRDefault="005728DD" w:rsidP="005728DD">
      <w:pPr>
        <w:pStyle w:val="TextoNormal"/>
      </w:pPr>
    </w:p>
    <w:p w:rsidR="005728DD" w:rsidRDefault="005728DD" w:rsidP="005728DD">
      <w:pPr>
        <w:pStyle w:val="TextoNormal"/>
      </w:pPr>
      <w:r>
        <w:t xml:space="preserve">Por ello, se dice, “no puede afirmarse que se vulnere el principio de legalidad por falta de taxatividad, pues el tipo penal permite predecir con suficiente grado de certeza las conductas que constituyen el delito de sedición requisito exigido por el art. 25.1 CE. En suma, se respeta la garantía material de </w:t>
      </w:r>
      <w:r w:rsidRPr="005728DD">
        <w:rPr>
          <w:i/>
        </w:rPr>
        <w:t>lex certa</w:t>
      </w:r>
      <w:r>
        <w:t>”, sin perjuicio de que “como admite el Tribunal Constitucional nada excluye que los términos utilizados por las normas penales, para definir los tipos delictivos, pueda ser concretado y precisado su alcance por los órganos judiciales al aplicar e interpretar las normas.</w:t>
      </w:r>
    </w:p>
    <w:p w:rsidR="005728DD" w:rsidRDefault="005728DD" w:rsidP="005728DD">
      <w:pPr>
        <w:pStyle w:val="TextoNormal"/>
      </w:pPr>
    </w:p>
    <w:p w:rsidR="005728DD" w:rsidRDefault="005728DD" w:rsidP="005728DD">
      <w:pPr>
        <w:pStyle w:val="TextoNormal"/>
      </w:pPr>
      <w:r>
        <w:t>En consecuencia, el déficit de taxatividad que imputa al tipo penal de sedición del art. 544 CP, queda conjurado por la propia interpretación que de los términos a los que atribuye la indeterminación han sido precisados por el propio Tribunal Supremo”.</w:t>
      </w:r>
    </w:p>
    <w:p w:rsidR="005728DD" w:rsidRDefault="005728DD" w:rsidP="005728DD">
      <w:pPr>
        <w:pStyle w:val="TextoNormal"/>
      </w:pPr>
    </w:p>
    <w:p w:rsidR="005728DD" w:rsidRDefault="005728DD" w:rsidP="005728DD">
      <w:pPr>
        <w:pStyle w:val="TextoNormal"/>
      </w:pPr>
      <w:r>
        <w:t xml:space="preserve">Finalmente, en cuanto a la solicitud del recurrente para que este tribunal eleve la cuestión al Pleno para analizar su constitucionalidad, el fiscal se remite a la doctrina expuesta en la STC 283/2006, de 9 de octubre (FJ 6), considerando que como estamos “ante un recurso de amparo y no un procedimiento de inconstitucionalidad no procede confrontar la norma penal con el principio de legalidad, pero ello no impide que se pueda analizar si el contenido de </w:t>
      </w:r>
      <w:r>
        <w:lastRenderedPageBreak/>
        <w:t>la sentencia vulnera el principio de legalidad del art. 25.1 CE”, lo que se analiza en el apartado correspondiente.</w:t>
      </w:r>
    </w:p>
    <w:p w:rsidR="005728DD" w:rsidRDefault="005728DD" w:rsidP="005728DD">
      <w:pPr>
        <w:pStyle w:val="TextoNormal"/>
      </w:pPr>
    </w:p>
    <w:p w:rsidR="005728DD" w:rsidRDefault="005728DD" w:rsidP="005728DD">
      <w:pPr>
        <w:pStyle w:val="TextoNormal"/>
      </w:pPr>
      <w:r>
        <w:t>11.11. Vulneración del principio de legalidad penal (art. 25.1 CE), por la incorrecta subsunción de los hechos en el tipo penal de sedición e incurrir la sentencia en aplicación analógica de la ley pena</w:t>
      </w:r>
      <w:r w:rsidRPr="005728DD">
        <w:rPr>
          <w:i/>
        </w:rPr>
        <w:t>l in malam part</w:t>
      </w:r>
      <w:r>
        <w:t>em.</w:t>
      </w:r>
    </w:p>
    <w:p w:rsidR="005728DD" w:rsidRDefault="005728DD" w:rsidP="005728DD">
      <w:pPr>
        <w:pStyle w:val="TextoNormal"/>
      </w:pPr>
    </w:p>
    <w:p w:rsidR="005728DD" w:rsidRDefault="005728DD" w:rsidP="005728DD">
      <w:pPr>
        <w:pStyle w:val="TextoNormal"/>
      </w:pPr>
      <w:r>
        <w:t>El demandante considera que los hechos declarados como probados son atípicos, o no son suficientes como para ser subsumidos en el delito de sedición sino, en su caso, en el de desobediencia o en el del derogado delito de referéndum ilegal (art. 50</w:t>
      </w:r>
      <w:r w:rsidRPr="005728DD">
        <w:rPr>
          <w:i/>
        </w:rPr>
        <w:t>6 b</w:t>
      </w:r>
      <w:r>
        <w:t>is CP); y en última instancia, se habría incurrido en una analogí</w:t>
      </w:r>
      <w:r w:rsidRPr="005728DD">
        <w:rPr>
          <w:i/>
        </w:rPr>
        <w:t>a in malam part</w:t>
      </w:r>
      <w:r>
        <w:t>em, que supone una irracional subsunción de los hechos en el tipo penal de sedición (art. 544 CP).</w:t>
      </w:r>
    </w:p>
    <w:p w:rsidR="005728DD" w:rsidRDefault="005728DD" w:rsidP="005728DD">
      <w:pPr>
        <w:pStyle w:val="TextoNormal"/>
      </w:pPr>
    </w:p>
    <w:p w:rsidR="005728DD" w:rsidRDefault="005728DD" w:rsidP="005728DD">
      <w:pPr>
        <w:pStyle w:val="TextoNormal"/>
      </w:pPr>
      <w:r>
        <w:t>Sobre el principio de legalidad sancionatoria, el fiscal extracta parcialmente la STC 34/2009, de 9 de febrero (FFJJ 6 y 7), para continuar exponiendo las alegaciones del recurrente y el juicio de tipicidad recogido en la sentencia impugnada, puesto en relación con el apartado de hechos probados, que también se reseña.</w:t>
      </w:r>
    </w:p>
    <w:p w:rsidR="005728DD" w:rsidRDefault="005728DD" w:rsidP="005728DD">
      <w:pPr>
        <w:pStyle w:val="TextoNormal"/>
      </w:pPr>
    </w:p>
    <w:p w:rsidR="005728DD" w:rsidRDefault="005728DD" w:rsidP="005728DD">
      <w:pPr>
        <w:pStyle w:val="TextoNormal"/>
      </w:pPr>
      <w:r>
        <w:t>El fiscal considera que los hechos declarados probados sí integran la tipicidad del delito de sedición. Acudiendo a la sentencia impugnada, se considera que concurren los elementos típicos, ya que se describen actos de colectivos indeterminados de personas, que de forma exteriorizada y abierta realizan conductas de enfrentamiento, hostilidad y resistencia a la actuación de las fuerzas policiales, con la finalidad de impedir u obstaculizar el cumplimiento de resoluciones judiciales como los registros ordenados por un juzgado o la propia celebración del referéndum prohibido por el Tribunal Constitucional y por el Tribunal Superior de Justicia de Cataluña.</w:t>
      </w:r>
    </w:p>
    <w:p w:rsidR="005728DD" w:rsidRDefault="005728DD" w:rsidP="005728DD">
      <w:pPr>
        <w:pStyle w:val="TextoNormal"/>
      </w:pPr>
    </w:p>
    <w:p w:rsidR="005728DD" w:rsidRDefault="005728DD" w:rsidP="005728DD">
      <w:pPr>
        <w:pStyle w:val="TextoNormal"/>
      </w:pPr>
      <w:r>
        <w:t>Del mismo modo, el Ministerio Fiscal acude al apartado del juicio de autoría recogido en la sentencia para afirmar que su responsabilidad “descansa sobre su concertado papel con otros responsables públicos para organizar un referéndum que fue declarado ilegal por el Tribunal Constitucional, con la finalidad de presionar al Gobierno de España a unas negociaciones sobre un referéndum de autodeterminación, para lo que crearon una legalidad paralela representada por las leyes de transitoriedad jurídica y fundacional de la república para lo cual movilizaron a la ciudadanía, siendo consciente de que dichas movilizaciones podían dar lugar a actos de hostigamiento y violencia frente a los cuerpos policiales, que actuaban en cumplimiento de órdenes judiciales con el objetivo de cumplir con el orden constitucional” y “aunque no participara en las concentraciones ciudadanas de los días 20 de septiembre y 1 de octubre de 2017, con su conducta propició actos que consistieron en un alzamiento público y tumultuario animado por la voluntad de impedir el ejercicio de la función jurisdiccional y la vigencia de las leyes, sin que su conducta pueda encontrar justificación en el ‘principio democrático’ pues como ha indicado este alto Tribunal, este principio ‘se expresa a través de los cauces constitucionales’ (STC 115/2019), a los que ha sido ajeno el recurrente con su antijurídica conducta, quien ha acudido a las vías de hecho para impedir la vigencia de la ley o el cumplimiento de las resoluciones judiciales, se situó en las vías de hecho para promover desde su propia responsabilidad el incumplimiento de las resoluciones administrativas y judiciales y propició el alzamiento tumultuario”.</w:t>
      </w:r>
    </w:p>
    <w:p w:rsidR="005728DD" w:rsidRDefault="005728DD" w:rsidP="005728DD">
      <w:pPr>
        <w:pStyle w:val="TextoNormal"/>
      </w:pPr>
    </w:p>
    <w:p w:rsidR="005728DD" w:rsidRDefault="005728DD" w:rsidP="005728DD">
      <w:pPr>
        <w:pStyle w:val="TextoNormal"/>
      </w:pPr>
      <w:r>
        <w:lastRenderedPageBreak/>
        <w:t>A lo anterior, añade el fiscal, que “el recurrente se concertó con otros condenados para procurar la financiación del referéndum con fondos públicos, facilitando y queriendo así, la realización del referéndum”. Considera que debe rechazarse el argumento del recurrente de que efectuó llamadas a la calma pues, pese a que encierran un “valor positivo”, según reconoce la propia sentencia (pág. 339), “no excluyen la conciencia por el recurrente de la posibilidad cierta de que la celebración del referéndum conllevara actos tumultuarios como los que se han descrito”.</w:t>
      </w:r>
    </w:p>
    <w:p w:rsidR="005728DD" w:rsidRDefault="005728DD" w:rsidP="005728DD">
      <w:pPr>
        <w:pStyle w:val="TextoNormal"/>
      </w:pPr>
    </w:p>
    <w:p w:rsidR="005728DD" w:rsidRDefault="005728DD" w:rsidP="005728DD">
      <w:pPr>
        <w:pStyle w:val="TextoNormal"/>
      </w:pPr>
      <w:r>
        <w:t>Tampoco acoge el fiscal la alegación del recurrente sobre el ejercicio del “derecho a votar”, ya que este solo puede ejercerse “en los términos que establece el ordenamiento jurídico”. Y agrega que el recurrente desconoce que “el reproche penal se circunscribe no solo a la alteración del orden público, sino que con el delito de sedición también se protege el cumplimiento de la leyes o de los acuerdos y resoluciones administrativas de las corporaciones y autoridades y funcionarios administrativos y el cumplimiento de las resoluciones judiciales, garantizando así el normal funcionamiento de las instituciones y servicios públicos lo que hace que la conducta de este delito contra el orden público merezca mayor reproche penal frente a otras figuras delictivas encuadradas bajo la rúbrica ‘delitos contra el orden público’”.</w:t>
      </w:r>
    </w:p>
    <w:p w:rsidR="005728DD" w:rsidRDefault="005728DD" w:rsidP="005728DD">
      <w:pPr>
        <w:pStyle w:val="TextoNormal"/>
      </w:pPr>
    </w:p>
    <w:p w:rsidR="005728DD" w:rsidRDefault="005728DD" w:rsidP="005728DD">
      <w:pPr>
        <w:pStyle w:val="TextoNormal"/>
      </w:pPr>
      <w:r>
        <w:t>La misma suerte desestimatoria propugna para la alegación relativa a la inconcreción de los hechos a los que se atribuye la calificación de delito de sedición. Para el fiscal, la sentencia “precisa y delimita el relato histórico”, del que “transcienden, por su importancia, los hechos acaecidos durante los meses de septiembre y octubre de 2017, que aparecen complementados por otros hechos que preceden a aquellos o son subsiguientes, como la efímera declaración de independencia, y permiten una mejor comprensión de los hechos acaecidos en dicho periodo de tiempo, por lo que no pueden etiquetarse como ‘un alzamiento sostenido en el tiempo’”.</w:t>
      </w:r>
    </w:p>
    <w:p w:rsidR="005728DD" w:rsidRDefault="005728DD" w:rsidP="005728DD">
      <w:pPr>
        <w:pStyle w:val="TextoNormal"/>
      </w:pPr>
    </w:p>
    <w:p w:rsidR="005728DD" w:rsidRDefault="005728DD" w:rsidP="005728DD">
      <w:pPr>
        <w:pStyle w:val="TextoNormal"/>
      </w:pPr>
      <w:r>
        <w:t>En lo relativo a la supuesta aplicación analógica del art. 544 CP, el fiscal considera que la “sentencia da una respuesta motivada sobre la subsunción jurídica de los hechos conforme al principio de legalidad”. De esta manera, “no puede hablarse de una subsunción de los hechos ajena al significado posible de los términos de la norma aplicada; sin que pueda hablarse de una aplicación de la norma que por su soporte metodológico —una argumentación ilógica o indiscutiblemente extravagante— o axiológico —una base valorativa ajena a los criterios que informan nuestro ordenamiento constitucional— conduzca a soluciones esencialmente opuestas a la orientación material de la norma, que no es otra que la protección del orden público entendido como el normal funcionamiento de las instituciones, los servicios públicos y el cumplimiento de las leyes y de las resoluciones judiciales y administrativas. Encuadra la conducta del recurrente en el supuesto de hecho previsto en la norma punitiva por lo que no cabe admitir que ha existido una aplicación extensiva o analógica de la norma sancionadora, sino respetuosa con su tenor literal y, por tanto, respetuosa con el principio de legalidad” del art. 25.l CE. Más en concreto, y aunque el recurrente “no haya realizado materialmente los hechos típicos del alzamiento tumultuario, le es atribuible promover, desde su propia responsabilidad, los actos en que consistió el alzamiento, el incumplimiento de resoluciones judiciales y administrativas a la vez que contribuyó a la pérdida de efectividad de facto de las leyes vigentes en el ámbito de la Comunidad Autónoma de Cataluña”.</w:t>
      </w:r>
    </w:p>
    <w:p w:rsidR="005728DD" w:rsidRDefault="005728DD" w:rsidP="005728DD">
      <w:pPr>
        <w:pStyle w:val="TextoNormal"/>
      </w:pPr>
    </w:p>
    <w:p w:rsidR="005728DD" w:rsidRDefault="005728DD" w:rsidP="005728DD">
      <w:pPr>
        <w:pStyle w:val="TextoNormal"/>
      </w:pPr>
      <w:r>
        <w:lastRenderedPageBreak/>
        <w:t xml:space="preserve">Finalmente, sobre el encaje de la conducta en el tipo penal derogado de la convocatoria ilegal de un referéndum del art. 506 </w:t>
      </w:r>
      <w:r w:rsidRPr="005728DD">
        <w:rPr>
          <w:i/>
        </w:rPr>
        <w:t>bis</w:t>
      </w:r>
      <w:r>
        <w:t xml:space="preserve"> CP, el ministerio público se remite tanto a lo razonado en la sentencia como en el auto de 29 de enero de 2020, con cita de la STC 114/2017, de 17 de octubre [FJ 2 b)]. Como ya se ha expuesto, no estamos “ante una mera desatención de los mandatos del Tribunal Constitucional”, ni “ante una mera cuestión competencial” sobre qué órgano estatal o autonómico es competente para la convocatoria de un referéndum, sino ante una conducta que va más allá, para integrarse en un delito de sedición. Por lo demás, el concreto referéndum convocado no podía quedar englobado en la conducta típica del derogado art. 50</w:t>
      </w:r>
      <w:r w:rsidRPr="005728DD">
        <w:rPr>
          <w:i/>
        </w:rPr>
        <w:t>6 b</w:t>
      </w:r>
      <w:r>
        <w:t>is CP, ya que este precepto solo se refería a las “modalidades previstas en la Constitución”, lo que no era el caso.</w:t>
      </w:r>
    </w:p>
    <w:p w:rsidR="005728DD" w:rsidRDefault="005728DD" w:rsidP="005728DD">
      <w:pPr>
        <w:pStyle w:val="TextoNormal"/>
      </w:pPr>
    </w:p>
    <w:p w:rsidR="005728DD" w:rsidRDefault="005728DD" w:rsidP="005728DD">
      <w:pPr>
        <w:pStyle w:val="TextoNormal"/>
      </w:pPr>
      <w:r>
        <w:t>11.12. Vulneración del principio de legalidad penal (art. 25.1 CE), en relación con los arts. 17.1 CE y 49.1 CDFUE, por lesión de los derechos fundamentales a la libertad de reunión pacífica, y a las libertades de expresión e ideológica, y de representación política (arts. 17, 18, 20, 21 y 23 CE), y por desproporción de la pena impuesta.</w:t>
      </w:r>
    </w:p>
    <w:p w:rsidR="005728DD" w:rsidRDefault="005728DD" w:rsidP="005728DD">
      <w:pPr>
        <w:pStyle w:val="TextoNormal"/>
      </w:pPr>
    </w:p>
    <w:p w:rsidR="005728DD" w:rsidRDefault="005728DD" w:rsidP="005728DD">
      <w:pPr>
        <w:pStyle w:val="TextoNormal"/>
      </w:pPr>
      <w:r>
        <w:t>En este apartado, el fiscal realiza un análisis individualizado de los derechos fundamentales que se dicen vulnerados, mediante un resumen de las alegaciones del recurrente y de la respuesta contenida en las resoluciones impugnadas.</w:t>
      </w:r>
    </w:p>
    <w:p w:rsidR="005728DD" w:rsidRDefault="005728DD" w:rsidP="005728DD">
      <w:pPr>
        <w:pStyle w:val="TextoNormal"/>
      </w:pPr>
    </w:p>
    <w:p w:rsidR="005728DD" w:rsidRDefault="005728DD" w:rsidP="005728DD">
      <w:pPr>
        <w:pStyle w:val="TextoNormal"/>
      </w:pPr>
      <w:r>
        <w:t>A continuación, se expone la doctrina de este tribunal sobre cada uno de ellos, con cita y reseña parcial de algunas resoluciones. Así, respecto del derecho a la libertad de expresión, las SSTC 35/2020, de 25 de febrero (FJ 4); 112/2016, de 20 de junio (FJ 2); que se remite a su vez a la 177/2015, de 22 de julio (FJ 2). En cuanto al derecho de reunión, las SSTC 193/2011, de 12 de diciembre (FJ 3), y 24/2015, de 16 de febrero (FJ 4). Sobre el derecho de representación política, las SSTC 136/1999, de 20 de julio (FJ 14), y 37/2020, de 25 de febrero (FJ 6). Finalmente, en cuanto a la libertad ideológica, se recogen las SSTC 76/2019, de 22 de mayo [FJ 5 c)]; 136/2018, de 13 de diciembre [(FJ 6 b)], y 42/2014, de 25 de marzo (FJ 4).</w:t>
      </w:r>
    </w:p>
    <w:p w:rsidR="005728DD" w:rsidRDefault="005728DD" w:rsidP="005728DD">
      <w:pPr>
        <w:pStyle w:val="TextoNormal"/>
      </w:pPr>
    </w:p>
    <w:p w:rsidR="005728DD" w:rsidRDefault="005728DD" w:rsidP="005728DD">
      <w:pPr>
        <w:pStyle w:val="TextoNormal"/>
      </w:pPr>
      <w:r>
        <w:t xml:space="preserve">Concluye el fiscal señalando que, a su juicio, no se han producido las vulneraciones alegadas. La sentencia recurrida “ha procedido a una valoración de los derechos que se invocan en relación con la posible conexión que el contenido de dichos derechos y libertades tienen con los comportamientos penalmente reprochables del recurrente pues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Para el fiscal, “es claro que, de los hechos declarados probados se sigue que se desbordó claramente el derecho de reunión y los actos imputados al recurrente no quedaban amparados por su libertad ideológica o pensamiento y de expresión o su derecho de representación política pues con su conducta, junto con la de los demás condenados, se puso en cuestión el Estado democrático de Derecho en la forma que se ha descrito de manera que la condena por sedición no ha supuesto un efecto desalentador o disuasorio del ejercicio de los derechos que se alegan”. El fiscal entiende que la conducta sancionada “no parece que se compadezca con el respeto a los principios democráticos, los derechos fundamentales o el resto de los mandatos constitucionales, que el intento de consecución efectiva de las finalidades procuradas por el recurrente no se realice en el marco de los procedimientos de reforma de la Constitución, pues el respeto a esos procedimientos es, siempre y en todo caso, inexcusable, </w:t>
      </w:r>
      <w:r>
        <w:lastRenderedPageBreak/>
        <w:t>pues el recurso a una actividad delictiva no es amparable por estos derechos y libertades”. De esta forma, finaliza, “estamos ante un aparente ejercicio de derechos fundamentales y que, por la finalidad hacia la que se orientan, desnaturalizan el ejercicio de esos derechos”.</w:t>
      </w:r>
    </w:p>
    <w:p w:rsidR="005728DD" w:rsidRDefault="005728DD" w:rsidP="005728DD">
      <w:pPr>
        <w:pStyle w:val="TextoNormal"/>
      </w:pPr>
    </w:p>
    <w:p w:rsidR="005728DD" w:rsidRDefault="005728DD" w:rsidP="005728DD">
      <w:pPr>
        <w:pStyle w:val="TextoNormal"/>
      </w:pPr>
      <w:r>
        <w:t>Este razonamiento justifica igualmente la solicitud de desestimación de la queja relativa a la falta de apreciación de la eximente incompleta del ejercicio legítimo de un derecho, invocada en la demanda. Además, se trataría de “una cuestión de legalidad ordinaria”, que corresponde determinar a los tribunales de justicia, “siendo que, como se indica, el rechazo a la misma está suficientemente razonada por el Tribunal Supremo”.</w:t>
      </w:r>
    </w:p>
    <w:p w:rsidR="005728DD" w:rsidRDefault="005728DD" w:rsidP="005728DD">
      <w:pPr>
        <w:pStyle w:val="TextoNormal"/>
      </w:pPr>
    </w:p>
    <w:p w:rsidR="005728DD" w:rsidRDefault="005728DD" w:rsidP="005728DD">
      <w:pPr>
        <w:pStyle w:val="TextoNormal"/>
      </w:pPr>
      <w:r>
        <w:t>El fiscal también se opone a la estimación de la alegación sobre la no apreciación de una forma imperfecta de ejecución del delito de sedición o de una modalidad menos grave como es la prevista en el art. 547 CP. Por un lado, porque el tipo penal de sedición no requiere la producción de un resultado concreto; y por otro, porque la conducta sancionada en el art. 547 CP “exige un entorpecimiento no grave del ejercicio de la autoridad pública”, que se habría desbordado en el presente caso, al condenarse por “unos hechos que trascienden el orden público pues se castiga también la finalidad a que se refiere el tipo del delito de sedición y el propio Tribunal Supremo señala, que los hechos suponía un desplazamiento formal del orden constitucional”.</w:t>
      </w:r>
    </w:p>
    <w:p w:rsidR="005728DD" w:rsidRDefault="005728DD" w:rsidP="005728DD">
      <w:pPr>
        <w:pStyle w:val="TextoNormal"/>
      </w:pPr>
    </w:p>
    <w:p w:rsidR="005728DD" w:rsidRDefault="005728DD" w:rsidP="005728DD">
      <w:pPr>
        <w:pStyle w:val="TextoNormal"/>
      </w:pPr>
      <w:r>
        <w:t>En cuanto a la queja que denuncia la desproporción de la pena concreta impuesta al recurrente, el fiscal reproduce el apartado 6.2.5 del auto de 29 de enero de 2020, así como lo dicho por el Tribunal Supremo al abordar la queja del señor. Cuixart (apartado 2.6 del mismo auto), para concluir que el “desvalor de la conducta que describe el juzgador avala la entidad de la pena impuesta al recurrente”. Destaca que se trata del más grave de los delitos tipificados por el Código penal respecto del bien jurídico “orden público”. Se refiere así a determinados elementos de las conductas realizadas, para finalizar afirmando que existe una proporción entre la pena impuesta y las conductas por las que se sanciona al señor Turull [en el apartado D), Penas, apartado 1)] por delitos de sedición y malversación de caudales públicos en concurso medial, en la medida que el señor Turull, en su ámbito decisorio y en función de la fecha de su nombramiento como miembro del Govern de la Generalitat, hizo posible dichas conductas de modo que contribuyó con sus decisiones a la realidad del referéndum desautorizado por el Tribunal Constitucional”.</w:t>
      </w:r>
    </w:p>
    <w:p w:rsidR="005728DD" w:rsidRDefault="005728DD" w:rsidP="005728DD">
      <w:pPr>
        <w:pStyle w:val="TextoNormal"/>
      </w:pPr>
    </w:p>
    <w:p w:rsidR="005728DD" w:rsidRDefault="005728DD" w:rsidP="005728DD">
      <w:pPr>
        <w:pStyle w:val="TextoNormal"/>
      </w:pPr>
      <w:r>
        <w:t xml:space="preserve">En definitiva, el </w:t>
      </w:r>
      <w:r w:rsidRPr="005728DD">
        <w:rPr>
          <w:i/>
        </w:rPr>
        <w:t>quantum</w:t>
      </w:r>
      <w:r>
        <w:t xml:space="preserve"> de la pena impuesta, que “no es sino aplicación de la penalidad asignada al concurso medial entre el delito de sedición y de malversación de caudales públicos, de conformidad con el art. 77.3 CP”, es respetuoso “con el principio de legalidad y el principio acusatorio”, habiendo el órgano judicial motivado las razones de su imposición.</w:t>
      </w:r>
    </w:p>
    <w:p w:rsidR="005728DD" w:rsidRDefault="005728DD" w:rsidP="005728DD">
      <w:pPr>
        <w:pStyle w:val="TextoNormal"/>
      </w:pPr>
    </w:p>
    <w:p w:rsidR="005728DD" w:rsidRDefault="005728DD" w:rsidP="005728DD">
      <w:pPr>
        <w:pStyle w:val="TextoNormal"/>
      </w:pPr>
      <w:r>
        <w:t>En consecuencia, y por todo lo anterior, el fiscal informa en el sentido de interesar la desestimación del recurso de amparo interpuesto frente a la sentencia de 14 de octubre de 2019 y el auto de 29 de enero de 2020 dictados en la causa especial núm. 20907-2017 de la Sala Segunda del Tribunal Supremo.</w:t>
      </w:r>
    </w:p>
    <w:p w:rsidR="005728DD" w:rsidRDefault="005728DD" w:rsidP="005728DD">
      <w:pPr>
        <w:pStyle w:val="TextoNormal"/>
      </w:pPr>
    </w:p>
    <w:p w:rsidR="005728DD" w:rsidRDefault="005728DD" w:rsidP="005728DD">
      <w:pPr>
        <w:pStyle w:val="TextoNormal"/>
      </w:pPr>
      <w:r w:rsidRPr="005728DD">
        <w:rPr>
          <w:rStyle w:val="NumeroAFNegritaCaracter"/>
        </w:rPr>
        <w:t>12</w:t>
      </w:r>
      <w:r>
        <w:t xml:space="preserve">. A fin de tramitar y resolver la petición de recusación del magistrado de este Tribunal Constitucional señor Narváez Rodríguez, planteada por los demandantes en este proceso de amparo mediante escrito de fecha 6 de octubre de 2020, el Pleno, en providencia de fecha </w:t>
      </w:r>
      <w:r>
        <w:lastRenderedPageBreak/>
        <w:t>20 de octubre de 2020, con suspensión de las actuaciones correspondientes al presente recurso, acordó formar pieza separada.</w:t>
      </w:r>
    </w:p>
    <w:p w:rsidR="005728DD" w:rsidRDefault="005728DD" w:rsidP="005728DD">
      <w:pPr>
        <w:pStyle w:val="TextoNormal"/>
      </w:pPr>
    </w:p>
    <w:p w:rsidR="005728DD" w:rsidRDefault="005728DD" w:rsidP="005728DD">
      <w:pPr>
        <w:pStyle w:val="TextoNormal"/>
      </w:pPr>
      <w:r>
        <w:t>Con fecha 16 de febrero de 2021, el magistrado señor Narváez Rodríguez formuló su abstención en relación con el presente proceso constitucional de amparo; abstención que, por unanimidad, fue considerada justificada por el Pleno en resolución de la misma fecha, lo que dio lugar a su aceptación y a acordar el archivo de la pieza separada de recusación formada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13</w:t>
      </w:r>
      <w:r>
        <w:t>. Por escrito registrado en este tribunal el 26 de marzo de 2021, don Aníbal Bordallo Huidobro, procurador de los tribunales, en representación de don Jordi Turull i Negre, promovió la recusación del magistrado don Cándido Conde-Pumpido Tourón.</w:t>
      </w:r>
    </w:p>
    <w:p w:rsidR="005728DD" w:rsidRDefault="005728DD" w:rsidP="005728DD">
      <w:pPr>
        <w:pStyle w:val="TextoNormal"/>
      </w:pPr>
    </w:p>
    <w:p w:rsidR="005728DD" w:rsidRDefault="005728DD" w:rsidP="005728DD">
      <w:pPr>
        <w:pStyle w:val="TextoNormal"/>
      </w:pPr>
      <w:r>
        <w:t>Con fecha 7 de abril de 2021, el magistrado don Cándido Conde-Pumpido Tourón formuló su abstención en relación con el presente proceso constitucional de amparo, abstención que, por unanimidad, fue considerada justificada por el Pleno en auto de 20 de abril de 2021, lo que dio lugar a apartarle definitivamente del presente recurso y de todas sus incidencias.</w:t>
      </w:r>
    </w:p>
    <w:p w:rsidR="005728DD" w:rsidRDefault="005728DD" w:rsidP="005728DD">
      <w:pPr>
        <w:pStyle w:val="TextoNormal"/>
      </w:pPr>
    </w:p>
    <w:p w:rsidR="005728DD" w:rsidRDefault="005728DD" w:rsidP="005728DD">
      <w:pPr>
        <w:pStyle w:val="TextoNormal"/>
      </w:pPr>
      <w:r w:rsidRPr="005728DD">
        <w:rPr>
          <w:rStyle w:val="NumeroAFNegritaCaracter"/>
        </w:rPr>
        <w:t>14</w:t>
      </w:r>
      <w:r>
        <w:t>. Por providencia de 21 de abril de 2021, se señaló para la deliberación y votación de la presente sentencia el día 22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posiciones de las partes</w:t>
      </w:r>
      <w:r>
        <w:t>.</w:t>
      </w:r>
    </w:p>
    <w:p w:rsidR="005728DD" w:rsidRDefault="005728DD" w:rsidP="005728DD">
      <w:pPr>
        <w:pStyle w:val="TextoNormal"/>
      </w:pPr>
    </w:p>
    <w:p w:rsidR="005728DD" w:rsidRDefault="005728DD" w:rsidP="005728DD">
      <w:pPr>
        <w:pStyle w:val="TextoNormal"/>
      </w:pPr>
      <w:r>
        <w:t>El presente recurso de amparo se interpone: i) contra la sentencia núm. 459/2019, de 14 de octubre, que condenó al demandante como autor de: a) un delito de sedición previsto en los arts. 544 y 545.1 CP y b) un delito de malversación de caudales públicos previsto en el art. 432.1 y 3 CP, a las penas de doce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y ii) contra el auto de fecha 29 de enero de 2020, que desestimó los incidentes de nulidad interpuestos contra la sentencia antes indicada, resoluciones que fueron dictadas en la causa especial núm. 20907-2017, por la Sala de lo Penal del Tribunal Supremo.</w:t>
      </w:r>
    </w:p>
    <w:p w:rsidR="005728DD" w:rsidRDefault="005728DD" w:rsidP="005728DD">
      <w:pPr>
        <w:pStyle w:val="TextoNormal"/>
      </w:pPr>
    </w:p>
    <w:p w:rsidR="005728DD" w:rsidRDefault="005728DD" w:rsidP="005728DD">
      <w:pPr>
        <w:pStyle w:val="TextoNormal"/>
      </w:pPr>
      <w:r>
        <w:t xml:space="preserve">En la demanda, el recurrente alega las siguientes vulneraciones de derechos fundamentales: i) del derecho al juez ordinario predeterminado por la ley (arts. 24.2 CE y 6 CEDH), por haber asumido el Tribunal Supremo la competencia para enjuiciar los hechos, privando adicionalmente al recurrente de su derecho a la doble instancia (art. 2 del Protocolo núm. 7 CEDH); ii) del derecho de defensa (arts. 24.2 CE y 6 CEDH) y del derecho a la no discriminación por razón de la lengua (arts. 14 CE y 14 CEDH), por no haberse permitido a los acusados declarar en su lengua vernácula empleando un sistema de traducción simultánea y por haber impedido el empleo del catalán a testigos propuestos por la defensa; iii) del derecho a un juez imparcial (arts. 24.2 y 6 CEDH), por no haberse estimado las diversas recusaciones formuladas a lo largo del procedimiento y por el rol inquisitivo asumido por el presidente del tribunal en el acto del juicio; iv) del principio de igualdad de armas (arts. 24.2 </w:t>
      </w:r>
      <w:r>
        <w:lastRenderedPageBreak/>
        <w:t xml:space="preserve">CE y 6 CEDH), por el trato desfavorable dispensado a las defensas en el acto del juicio oral; v) del derecho de defensa (arts. 24 CE y 6 CEDH), por no haber tenido acceso a las actuaciones seguidas en el Juzgado de Instrucción núm. 13 de Barcelona, por la imposibilidad de contrastar las declaraciones testificales con la prueba documental videográfica y por la denegación de pruebas pertinentes solicitadas en tiempo y forma; vi) del derecho a la presunción de inocencia y a la tutela judicial efectiva (art. 24.1 y 2 CE), por las manifestaciones públicas de miembros del Gobierno español sobre los hechos enjuiciados y la reiterada omisión del tribunal de amparar a los procesados ante dichas manifestaciones; vii) del derecho a un proceso con todas las garantías (arts. 24.2 CE y 6 CEDH), por la filtración del contenido de la sentencia cuando su redacción no había culminado; viii) del derecho a un proceso con todas las garantías (arts. 24.2 CE y 6 CEDH), por la imposición de penas superiores a las solicitadas por la acusación particular; ix) del derecho fundamental a la legalidad penal (arts. 25.1 CE y 7 CEDH), por abandono </w:t>
      </w:r>
      <w:r w:rsidRPr="005728DD">
        <w:rPr>
          <w:i/>
        </w:rPr>
        <w:t>ad hoc</w:t>
      </w:r>
      <w:r>
        <w:t xml:space="preserve"> del principio de accesoriedad limitada en la participación; x) del derecho fundamental a la legalidad penal (art. 25.1 CE), en relación con los derechos fundamentales a la libertad, de reunión pacífica y a las libertades de expresión e ideológica (arts. 17, 20, 21 y 16 CE), por la insuficiente taxatividad del tipo penal de la sedición; xi) del derecho fundamental a la legalidad penal (arts. 25.1 CE y 7 CEDH), por aplicación analógica del delito de sedición a los hechos enjuiciados; xii) del derecho fundamental a la legalidad penal (arts. 25.1 CE y 49 CDFUE), en relación con los derechos fundamentales a la libertad, de reunión y a las libertades de expresión e ideológica (arts. 17, 20, 21 y 16 CE), por la imposición de una pena desproporcionada.</w:t>
      </w:r>
    </w:p>
    <w:p w:rsidR="005728DD" w:rsidRDefault="005728DD" w:rsidP="005728DD">
      <w:pPr>
        <w:pStyle w:val="TextoNormal"/>
      </w:pPr>
    </w:p>
    <w:p w:rsidR="005728DD" w:rsidRDefault="005728DD" w:rsidP="005728DD">
      <w:pPr>
        <w:pStyle w:val="TextoNormal"/>
      </w:pPr>
      <w:r>
        <w:t>La abogacía del Estado interesó la desestimación del recurso de amparo. Por su parte, el partido político Vox alegó como óbice procesal la insuficiente justificación de la especial trascendencia constitucional del recurso; y en cuanto al fondo, interesó igualmente su desestimación. Finalmente, el Ministerio Fiscal solicitó también la desestimación del recurso de amparo.</w:t>
      </w:r>
    </w:p>
    <w:p w:rsidR="005728DD" w:rsidRDefault="005728DD" w:rsidP="005728DD">
      <w:pPr>
        <w:pStyle w:val="TextoNormal"/>
      </w:pPr>
    </w:p>
    <w:p w:rsidR="005728DD" w:rsidRDefault="005728DD" w:rsidP="005728DD">
      <w:pPr>
        <w:pStyle w:val="TextoNormal"/>
      </w:pPr>
      <w:r>
        <w:t>Las alegaciones de las partes intervinientes han sido ampliamente resumidas en los antecedentes de esta resolución. Sin perjuicio de ello, una síntesis de estas será expuesta de nuevo al analizar cada una de las quejas.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especial transcendencia constitucional del recurso</w:t>
      </w:r>
      <w:r>
        <w:t>.</w:t>
      </w:r>
    </w:p>
    <w:p w:rsidR="005728DD" w:rsidRDefault="005728DD" w:rsidP="005728DD">
      <w:pPr>
        <w:pStyle w:val="TextoNormal"/>
      </w:pPr>
    </w:p>
    <w:p w:rsidR="005728DD" w:rsidRDefault="005728DD" w:rsidP="005728DD">
      <w:pPr>
        <w:pStyle w:val="TextoNormal"/>
      </w:pPr>
      <w:r>
        <w:t>Antes de llevar a cabo el análisis de las lesiones que se invocan en el escrito de demanda, procede resolver el óbice alegado por el partido político Vox, referido a la insuficiente justificación de la especial trascendencia del recurso de amparo. No obstante, cabe adelantar que, de no ser estimado este primer motivo de inadmisión, los óbices procesales que se asocian a cada uno de los motivos de amparo serán resueltos al enjuiciar cada uno de dichos motivos.</w:t>
      </w:r>
    </w:p>
    <w:p w:rsidR="005728DD" w:rsidRDefault="005728DD" w:rsidP="005728DD">
      <w:pPr>
        <w:pStyle w:val="TextoNormal"/>
      </w:pPr>
    </w:p>
    <w:p w:rsidR="005728DD" w:rsidRDefault="005728DD" w:rsidP="005728DD">
      <w:pPr>
        <w:pStyle w:val="TextoNormal"/>
      </w:pPr>
      <w:r>
        <w:t>Dicho partido político señala que el demandante no hace en la demanda el más mínimo esfuerzo para cumplimentar aquel requisito, pues se limita a formular una argumentación genérica que “ni explica la supuesta falta de compatibilidad del delito de sedición y su aplicación al presente caso con los derechos fundamentales alegados, ni tampoco se cita, siquiera, la supuesta vulneración de la jurisprudencia constitucional previa [...] y de la doctrina del Tribunal Europeo de Derechos Humanos”. En suma, incurre en excesiva brevedad y demasiadas generalidades.</w:t>
      </w:r>
    </w:p>
    <w:p w:rsidR="005728DD" w:rsidRDefault="005728DD" w:rsidP="005728DD">
      <w:pPr>
        <w:pStyle w:val="TextoNormal"/>
      </w:pPr>
    </w:p>
    <w:p w:rsidR="005728DD" w:rsidRDefault="005728DD" w:rsidP="005728DD">
      <w:pPr>
        <w:pStyle w:val="TextoNormal"/>
      </w:pPr>
      <w:r>
        <w:t xml:space="preserve">A fin de dar respuesta a la objeción procesal opuesta, conviene recordar que la previsión del art. 49.1 </w:t>
      </w:r>
      <w:r w:rsidRPr="005728DD">
        <w:rPr>
          <w:i/>
        </w:rPr>
        <w:t>in fine</w:t>
      </w:r>
      <w:r>
        <w:t xml:space="preserve"> LOTC, según la cual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5728DD" w:rsidRDefault="005728DD" w:rsidP="005728DD">
      <w:pPr>
        <w:pStyle w:val="TextoNormal"/>
      </w:pPr>
    </w:p>
    <w:p w:rsidR="005728DD" w:rsidRDefault="005728DD" w:rsidP="005728DD">
      <w:pPr>
        <w:pStyle w:val="TextoNormal"/>
      </w:pPr>
      <w:r>
        <w:t>El planteamiento del referido óbice obliga a retomar las razones dadas en el escrito de demanda para justificar la especial trascendencia constitucional del presente recurso. En dicho escrito, tras enumerar los diferentes motivos de especial trascendencia constitucional recogidos en la STC 216/2013, de 19 de diciembre, se afirma que el “especial interés constitucional del presente recurso” radica en el hecho de que el Tribunal Constitucional podrá pronunciarse sobre cuestiones respecto de las cuales no existen precedentes, entre ellas, la compatibilidad del delito de sedición con el ejercicio de los derechos fundamentales a la libertad ideológica, de reunión y manifestación y con el derecho de legalidad penal. Por otro lado, señala que ciertas decisiones adoptadas por el Tribunal Supremo contravienen la jurisprudencia constitucional previa y la doctrina del Tribunal Europeo de Derechos Humanos.</w:t>
      </w:r>
    </w:p>
    <w:p w:rsidR="005728DD" w:rsidRDefault="005728DD" w:rsidP="005728DD">
      <w:pPr>
        <w:pStyle w:val="TextoNormal"/>
      </w:pPr>
    </w:p>
    <w:p w:rsidR="005728DD" w:rsidRDefault="005728DD" w:rsidP="005728DD">
      <w:pPr>
        <w:pStyle w:val="TextoNormal"/>
      </w:pPr>
      <w:r>
        <w:t>Comenzando por el final, la referencia que en la demanda se formula respecto del incumplimiento de la doctrina de los tribunales indicados no constituye un motivo de especial trascendencia constitucional, pues esa alegación, en los términos que ha sido formulada, solo resulta relevante para justificar las lesiones asociadas a esos incumplimientos, pero carece de entidad para entender cumplido el requisito impuesto por el art. 49.1 LOTC.</w:t>
      </w:r>
    </w:p>
    <w:p w:rsidR="005728DD" w:rsidRDefault="005728DD" w:rsidP="005728DD">
      <w:pPr>
        <w:pStyle w:val="TextoNormal"/>
      </w:pPr>
    </w:p>
    <w:p w:rsidR="005728DD" w:rsidRDefault="005728DD" w:rsidP="005728DD">
      <w:pPr>
        <w:pStyle w:val="TextoNormal"/>
      </w:pPr>
      <w:r>
        <w:t>Distinta consideración merece la referencia a la compatibilidad del delito de sedición con los derechos fundamentales indicados. Este argumento se vincula con las quejas dirigidas contra el tipo de sedición (art. 544 CP), tanto por el insuficiente grado de taxatividad y determinación que presenta, como porque su mera vigencia puede restringir los derechos fundamentales antes indicados. Y sobre este aspecto, remarca el recurrente, no existen pronunciamientos de este tribunal.</w:t>
      </w:r>
    </w:p>
    <w:p w:rsidR="005728DD" w:rsidRDefault="005728DD" w:rsidP="005728DD">
      <w:pPr>
        <w:pStyle w:val="TextoNormal"/>
      </w:pPr>
    </w:p>
    <w:p w:rsidR="005728DD" w:rsidRDefault="005728DD" w:rsidP="005728DD">
      <w:pPr>
        <w:pStyle w:val="TextoNormal"/>
      </w:pPr>
      <w:r>
        <w:lastRenderedPageBreak/>
        <w:t>Sin embargo, este razonamiento, cuya brevedad resulta incuestionable, se anuda a la inexistencia de doctrina constitucional sobre un aspecto novedoso, cual es la compatibilidad del delito de sedición con los derechos fundamentales objeto de cita. Así pues, debe considerarse cumplido el requisito que el partido político Vox objeta, pues, aunque sucintamente, el demandante ha ofrecido una argumentación que pone de relieve la singular relevancia del recurso de amparo, la cual, además, coincide con el motivo apreciado por este tribunal en la providencia de admisión: que el recurso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En consecuencia, el óbice debe ser desestimado.</w:t>
      </w:r>
    </w:p>
    <w:p w:rsidR="005728DD" w:rsidRDefault="005728DD" w:rsidP="005728DD">
      <w:pPr>
        <w:pStyle w:val="TextoNormal"/>
      </w:pPr>
    </w:p>
    <w:p w:rsidR="005728DD" w:rsidRPr="005728DD" w:rsidRDefault="005728DD" w:rsidP="005728DD">
      <w:pPr>
        <w:pStyle w:val="TextoNormal"/>
        <w:rPr>
          <w:i/>
        </w:rPr>
      </w:pPr>
      <w:r w:rsidRPr="005728DD">
        <w:rPr>
          <w:rStyle w:val="NumeroAFNegritaCaracter"/>
        </w:rPr>
        <w:t>3</w:t>
      </w:r>
      <w:r>
        <w:t xml:space="preserve">. </w:t>
      </w:r>
      <w:r w:rsidRPr="005728DD">
        <w:rPr>
          <w:i/>
        </w:rPr>
        <w:t>Los derechos al juez ordinario predeterminado por la ley y al doble grado de jurisdicción penal (art. 24.2 CE).</w:t>
      </w:r>
    </w:p>
    <w:p w:rsidR="005728DD" w:rsidRPr="005728DD" w:rsidRDefault="005728DD" w:rsidP="005728DD">
      <w:pPr>
        <w:pStyle w:val="TextoNormal"/>
        <w:rPr>
          <w:i/>
        </w:rPr>
      </w:pPr>
    </w:p>
    <w:p w:rsidR="005728DD" w:rsidRPr="005728DD" w:rsidRDefault="005728DD" w:rsidP="005728DD">
      <w:pPr>
        <w:pStyle w:val="TextoNormal"/>
        <w:rPr>
          <w:i/>
        </w:rPr>
      </w:pPr>
      <w:r w:rsidRPr="005728DD">
        <w:rPr>
          <w:i/>
        </w:rPr>
        <w:t>3.1. Posiciones de las partes.</w:t>
      </w:r>
    </w:p>
    <w:p w:rsidR="005728DD" w:rsidRDefault="005728DD" w:rsidP="005728DD">
      <w:pPr>
        <w:pStyle w:val="TextoNormal"/>
      </w:pPr>
    </w:p>
    <w:p w:rsidR="005728DD" w:rsidRDefault="005728DD" w:rsidP="005728DD">
      <w:pPr>
        <w:pStyle w:val="TextoNormal"/>
      </w:pPr>
      <w:r>
        <w:t>La primera queja formulada en la demanda de amparo nos obliga a determinar si han vulnerado el derecho al juez ordinario predeterminado por la ley las decisiones por las que la Sala de lo Penal del Tribunal Supremo asumió, extendió y mantuvo la competencia objetiva para la averiguación y enjuiciamiento de los hechos atribuidos como delictivos en las querellas presentadas por el Ministerio Fiscal ante la propia Sala y ante la Audiencia Nacional.</w:t>
      </w:r>
    </w:p>
    <w:p w:rsidR="005728DD" w:rsidRDefault="005728DD" w:rsidP="005728DD">
      <w:pPr>
        <w:pStyle w:val="TextoNormal"/>
      </w:pPr>
    </w:p>
    <w:p w:rsidR="005728DD" w:rsidRDefault="005728DD" w:rsidP="005728DD">
      <w:pPr>
        <w:pStyle w:val="TextoNormal"/>
      </w:pPr>
      <w:r>
        <w:t xml:space="preserve">El recurrente sostiene que, atendido el art. 57.2 del Estatuto de Autonomía de Cataluña (EAC), es la Sala de lo Civil y Penal del Tribunal Superior de Justicia de esta comunidad autónoma la competente para enjuiciar los hechos que le han sido atribuidos, pues ni uno solo de los elementos típicos de los delitos por los que ha sido acusado aconteció fuera del territorio de Cataluña. Afirma que la supuestas rebelión o sedición que le han sido imputadas se materializaron íntegramente en territorio catalán, sin que tampoco pueda razonadamente afirmarse que ninguno de los elementos del tipo penal de malversación de caudales públicos, del que también ha sido acusado, se desarrollara fuera de Cataluña pues, aunque el beneficiario de la malversación no resida en Cataluña, tanto el exceso en el ejercicio de facultades de disposición como el perjuicio patrimonial —que son los únicos elementos objetivos del tipo penal— se habrían producido de modo inequívoco en territorio catalán. De esta manera, alega que se han creado nuevas reglas competenciales </w:t>
      </w:r>
      <w:r w:rsidRPr="005728DD">
        <w:rPr>
          <w:i/>
        </w:rPr>
        <w:t>ad hoc</w:t>
      </w:r>
      <w:r>
        <w:t xml:space="preserve"> y se ha recurrido a nuevos criterios jurídicos acuñados para este caso por primera vez en la jurisprudencia. Cuestiona también los argumentos judiciales que han llevado a la Sala de lo Penal del Tribunal Supremo a afirmar su propia competencia objetiva, tanto los que se refieren a la relevancia de la realización fuera de Cataluña de actos ejecutivos no necesariamente violentos pero vinculados al elemento tendencial del delito de rebelión (proclamar la independencia), como a los relativos a la supuesta malversación. Considera que se apoyan en una interpretación forzada e irrazonable de las normas procesales que, además, es contradictoria con anteriores precedentes de la propia Sala, que cita, y con la interpretación de la competencia sostenida por el propio Tribunal Superior de Justicia en anteriores resoluciones dictadas en otras causas.</w:t>
      </w:r>
    </w:p>
    <w:p w:rsidR="005728DD" w:rsidRDefault="005728DD" w:rsidP="005728DD">
      <w:pPr>
        <w:pStyle w:val="TextoNormal"/>
      </w:pPr>
    </w:p>
    <w:p w:rsidR="005728DD" w:rsidRDefault="005728DD" w:rsidP="005728DD">
      <w:pPr>
        <w:pStyle w:val="TextoNormal"/>
      </w:pPr>
      <w:r>
        <w:lastRenderedPageBreak/>
        <w:t xml:space="preserve">El abogado del Estado propugna la desestimación de la queja. Aduce que los órganos judiciales no han llevado a cabo una interpretación que suponga una manipulación manifiesta de las reglas legales sobre atribución de competencias, ni han incurrido en error patente, irrazonabilidad manifiesta o arbitrariedad. Aduce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la competencia ha sido judicialmente determinada mediante un juicio </w:t>
      </w:r>
      <w:r w:rsidRPr="005728DD">
        <w:rPr>
          <w:i/>
        </w:rPr>
        <w:t>ex ante</w:t>
      </w:r>
      <w:r>
        <w:t xml:space="preserve"> que versa sobre el contenido de la pretensión acusatoria, que no puede verse revertido ni afectado por la decisión final de condena.</w:t>
      </w:r>
    </w:p>
    <w:p w:rsidR="005728DD" w:rsidRDefault="005728DD" w:rsidP="005728DD">
      <w:pPr>
        <w:pStyle w:val="TextoNormal"/>
      </w:pPr>
    </w:p>
    <w:p w:rsidR="005728DD" w:rsidRDefault="005728DD" w:rsidP="005728DD">
      <w:pPr>
        <w:pStyle w:val="TextoNormal"/>
      </w:pPr>
      <w:r>
        <w:t>En sus alegaciones, el Ministerio Fiscal propone también la desestimación de la queja. Con apoyo en la previsión establecida en el art. 57.2 EAC, el relato de hechos y los delitos atribuidos al demandante, considera que la competencia se determinó fundadamente atendiendo a dos criterios: la condición de diputados del Parlamento de Cataluña de buena parte de los investigados y el elemento geográfico basado en el lugar de comisión del hecho. El Tribunal Supremo asumió en ese momento su propia competencia para la investigación y enjuiciamiento de los hechos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una de las cuales habría contribuido a ese objetivo desde el espacio funcional propio, y en el que se destaca una pluralidad de acciones desarrolladas fuera del territorio estatal que contribuyeron al objetivo perseguido. Tras considerar fundada la aplicación, en este caso, de la denominada “doctrina de la ubicuidad”, según la cual el delito se comete en cualquiera de los territorios donde se realizan algunos de los elementos del tipo, 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habría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w:t>
      </w:r>
    </w:p>
    <w:p w:rsidR="005728DD" w:rsidRDefault="005728DD" w:rsidP="005728DD">
      <w:pPr>
        <w:pStyle w:val="TextoNormal"/>
      </w:pPr>
    </w:p>
    <w:p w:rsidR="005728DD" w:rsidRDefault="005728DD" w:rsidP="005728DD">
      <w:pPr>
        <w:pStyle w:val="TextoNormal"/>
      </w:pPr>
      <w:r>
        <w:t xml:space="preserve">Por su parte, la representación procesal del partido político Vox postula también la desestimación del motivo de amparo. Considera que no se desprende de la argumentación desarrollada por el demandante una interpretación “manifiestamente errónea, irrazonable o arbitraria’ en el modo así considerado por este tribunal respecto a la competencia del Tribunal Supremo para enjuiciar los hechos de la que trae causa el presente recurso de amparo (STC 183/1999, de 11 de octubre)”. Admite que, aunque en este caso pueda ser considerado discutible el ámbito geográfico, “cuando no se puede decidir la competencia exactamente porque no se conoce el lugar o porque se duda —como es el caso— debemos acudir a la teoría de la ubicuidad”, conforme a la cual, “[e]l delito se comete en todas las jurisdicciones en las que se haya realizado algún elemento del tipo. En consecuencia, el juez de cualquiera de ellas que primero haya iniciado las actuaciones procesales, será en principio competente </w:t>
      </w:r>
      <w:r>
        <w:lastRenderedPageBreak/>
        <w:t>para la instrucción de la causa” (acuerdo del Pleno no jurisdiccional de la Sala de lo Penal del Tribunal Supremo de 3 de febrero de 2005).</w:t>
      </w:r>
    </w:p>
    <w:p w:rsidR="005728DD" w:rsidRDefault="005728DD" w:rsidP="005728DD">
      <w:pPr>
        <w:pStyle w:val="TextoNormal"/>
      </w:pPr>
    </w:p>
    <w:p w:rsidR="005728DD" w:rsidRDefault="005728DD" w:rsidP="005728DD">
      <w:pPr>
        <w:pStyle w:val="TextoNormal"/>
      </w:pPr>
      <w:r>
        <w:t>Dado que lo que se cuestiona en la demanda es la interpretación que la Sala de lo Penal del Tribunal Supremo ha hecho de las normas que establecen la competencia para la averiguación y enjuiciamiento de los hechos y delitos atribuidos al recurrente, iniciaremos nuestro análisis exponiendo el razonamiento judicial que justificó la asunción, extensión y mantenimiento de su competencia objetiva.</w:t>
      </w:r>
    </w:p>
    <w:p w:rsidR="005728DD" w:rsidRDefault="005728DD" w:rsidP="005728DD">
      <w:pPr>
        <w:pStyle w:val="TextoNormal"/>
      </w:pPr>
    </w:p>
    <w:p w:rsidR="005728DD" w:rsidRDefault="005728DD" w:rsidP="005728DD">
      <w:pPr>
        <w:pStyle w:val="TextoNormal"/>
      </w:pPr>
      <w:r>
        <w:t xml:space="preserve">3.2. </w:t>
      </w:r>
      <w:r w:rsidRPr="005728DD">
        <w:rPr>
          <w:i/>
        </w:rPr>
        <w:t>Respuesta del órgano judicial</w:t>
      </w:r>
      <w:r>
        <w:t>.</w:t>
      </w:r>
    </w:p>
    <w:p w:rsidR="005728DD" w:rsidRDefault="005728DD" w:rsidP="005728DD">
      <w:pPr>
        <w:pStyle w:val="TextoNormal"/>
      </w:pPr>
    </w:p>
    <w:p w:rsidR="005728DD" w:rsidRDefault="005728DD" w:rsidP="005728DD">
      <w:pPr>
        <w:pStyle w:val="TextoNormal"/>
      </w:pPr>
      <w:r>
        <w:t>3.2.1. La Sala de lo Penal del Tribunal Supremo asumió y mantuvo su competencia objetiva para la averiguación y el enjuiciamiento de los hechos atribuidos al demandante, y al resto de personas acusadas en la causa, en aplicación de la siguiente base normativa:</w:t>
      </w:r>
    </w:p>
    <w:p w:rsidR="005728DD" w:rsidRDefault="005728DD" w:rsidP="005728DD">
      <w:pPr>
        <w:pStyle w:val="TextoNormal"/>
      </w:pPr>
    </w:p>
    <w:p w:rsidR="005728DD" w:rsidRDefault="005728DD" w:rsidP="005728DD">
      <w:pPr>
        <w:pStyle w:val="TextoNormal"/>
      </w:pPr>
      <w:r>
        <w:t>(i) El art. 57.1.2 de la Ley Orgánica del Poder Judicial (LOPJ), conforme al cual:</w:t>
      </w:r>
    </w:p>
    <w:p w:rsidR="005728DD" w:rsidRDefault="005728DD" w:rsidP="005728DD">
      <w:pPr>
        <w:pStyle w:val="TextoNormal"/>
      </w:pPr>
    </w:p>
    <w:p w:rsidR="005728DD" w:rsidRDefault="005728DD" w:rsidP="005728DD">
      <w:pPr>
        <w:pStyle w:val="TextoNormal"/>
      </w:pPr>
      <w:r>
        <w:t>“1. La Sala de lo Penal del Tribunal Supremo conocerá:</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2º De la instrucción y enjuiciamiento […] de las causas que, en su caso, determinen los Estatutos de Autonomía”.</w:t>
      </w:r>
    </w:p>
    <w:p w:rsidR="005728DD" w:rsidRDefault="005728DD" w:rsidP="005728DD">
      <w:pPr>
        <w:pStyle w:val="TextoNormal"/>
      </w:pPr>
    </w:p>
    <w:p w:rsidR="005728DD" w:rsidRDefault="005728DD" w:rsidP="005728DD">
      <w:pPr>
        <w:pStyle w:val="TextoNormal"/>
      </w:pPr>
      <w:r>
        <w:t>(ii) El art. 57.1 y 2 del Estatuto de Autonomía de Cataluña (EAC), que establece el aforamiento parlamentario de los diputados autonómicos:</w:t>
      </w:r>
    </w:p>
    <w:p w:rsidR="005728DD" w:rsidRDefault="005728DD" w:rsidP="005728DD">
      <w:pPr>
        <w:pStyle w:val="TextoNormal"/>
      </w:pPr>
    </w:p>
    <w:p w:rsidR="005728DD" w:rsidRDefault="005728DD" w:rsidP="005728DD">
      <w:pPr>
        <w:pStyle w:val="TextoNormal"/>
      </w:pPr>
      <w:r>
        <w:t>“1. Los miembros del Parlamento son inviolables por los votos y las opiniones que emitan en el ejercicio de su cargo. Durante su mandato tendrán inmunidad a los efectos concretos de no poder ser detenidos salvo en caso de flagrante delito.</w:t>
      </w:r>
    </w:p>
    <w:p w:rsidR="005728DD" w:rsidRDefault="005728DD" w:rsidP="005728DD">
      <w:pPr>
        <w:pStyle w:val="TextoNormal"/>
      </w:pPr>
    </w:p>
    <w:p w:rsidR="005728DD" w:rsidRDefault="005728DD" w:rsidP="005728DD">
      <w:pPr>
        <w:pStyle w:val="TextoNormal"/>
      </w:pPr>
      <w:r>
        <w:t>2. En las causas contra los diputados, es competente el Tribunal Superior de Justicia de Cataluña. Fuera del territorio de Cataluña la responsabilidad penal es exigible en los mismos términos ante la Sala de lo Penal del Tribunal Supremo”.</w:t>
      </w:r>
    </w:p>
    <w:p w:rsidR="005728DD" w:rsidRDefault="005728DD" w:rsidP="005728DD">
      <w:pPr>
        <w:pStyle w:val="TextoNormal"/>
      </w:pPr>
    </w:p>
    <w:p w:rsidR="005728DD" w:rsidRDefault="005728DD" w:rsidP="005728DD">
      <w:pPr>
        <w:pStyle w:val="TextoNormal"/>
      </w:pPr>
      <w:r>
        <w:t>(iii) El art. 17.1 y 2 LECrim que, al regular el enjuiciamiento de delitos conexos, señala:</w:t>
      </w:r>
    </w:p>
    <w:p w:rsidR="005728DD" w:rsidRDefault="005728DD" w:rsidP="005728DD">
      <w:pPr>
        <w:pStyle w:val="TextoNormal"/>
      </w:pPr>
    </w:p>
    <w:p w:rsidR="005728DD" w:rsidRDefault="005728DD" w:rsidP="005728DD">
      <w:pPr>
        <w:pStyle w:val="TextoNormal"/>
      </w:pPr>
      <w:r>
        <w:t>“1. Cada delito dará lugar a la formación de una única causa.</w:t>
      </w:r>
    </w:p>
    <w:p w:rsidR="005728DD" w:rsidRDefault="005728DD" w:rsidP="005728DD">
      <w:pPr>
        <w:pStyle w:val="TextoNormal"/>
      </w:pPr>
    </w:p>
    <w:p w:rsidR="005728DD" w:rsidRDefault="005728DD" w:rsidP="005728DD">
      <w:pPr>
        <w:pStyle w:val="TextoNormal"/>
      </w:pPr>
      <w:r>
        <w:t>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5728DD" w:rsidRDefault="005728DD" w:rsidP="005728DD">
      <w:pPr>
        <w:pStyle w:val="TextoNormal"/>
      </w:pPr>
    </w:p>
    <w:p w:rsidR="005728DD" w:rsidRDefault="005728DD" w:rsidP="005728DD">
      <w:pPr>
        <w:pStyle w:val="TextoNormal"/>
      </w:pPr>
      <w:r>
        <w:t>2. A los efectos de la atribución de jurisdicción y de la distribución de la competencia se consideran delitos conexos:</w:t>
      </w:r>
    </w:p>
    <w:p w:rsidR="005728DD" w:rsidRDefault="005728DD" w:rsidP="005728DD">
      <w:pPr>
        <w:pStyle w:val="TextoNormal"/>
      </w:pPr>
    </w:p>
    <w:p w:rsidR="005728DD" w:rsidRDefault="005728DD" w:rsidP="005728DD">
      <w:pPr>
        <w:pStyle w:val="TextoNormal"/>
      </w:pPr>
      <w:r>
        <w:t>1º Los cometidos por dos o más personas reunidas.</w:t>
      </w:r>
    </w:p>
    <w:p w:rsidR="005728DD" w:rsidRDefault="005728DD" w:rsidP="005728DD">
      <w:pPr>
        <w:pStyle w:val="TextoNormal"/>
      </w:pPr>
    </w:p>
    <w:p w:rsidR="005728DD" w:rsidRDefault="005728DD" w:rsidP="005728DD">
      <w:pPr>
        <w:pStyle w:val="TextoNormal"/>
      </w:pPr>
      <w:r>
        <w:t>2º Los cometidos por dos o más personas en distintos lugares o tiempos si hubiera precedido concierto para ello.</w:t>
      </w:r>
    </w:p>
    <w:p w:rsidR="005728DD" w:rsidRDefault="005728DD" w:rsidP="005728DD">
      <w:pPr>
        <w:pStyle w:val="TextoNormal"/>
      </w:pPr>
    </w:p>
    <w:p w:rsidR="005728DD" w:rsidRDefault="005728DD" w:rsidP="005728DD">
      <w:pPr>
        <w:pStyle w:val="TextoNormal"/>
      </w:pPr>
      <w:r>
        <w:t>3º Los cometidos como medio para perpetrar otros o facilitar su ejecución.</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(iv) El art. 272, párrafos segundo y tercero LECrim, según el cual:</w:t>
      </w:r>
    </w:p>
    <w:p w:rsidR="005728DD" w:rsidRDefault="005728DD" w:rsidP="005728DD">
      <w:pPr>
        <w:pStyle w:val="TextoNormal"/>
      </w:pPr>
    </w:p>
    <w:p w:rsidR="005728DD" w:rsidRDefault="005728DD" w:rsidP="005728DD">
      <w:pPr>
        <w:pStyle w:val="TextoNormal"/>
      </w:pPr>
      <w:r>
        <w:t>“Si el querellado estuviere sometido, por disposición especial de la ley a determinado tribunal, ante este se interpondrá la querella.</w:t>
      </w:r>
    </w:p>
    <w:p w:rsidR="005728DD" w:rsidRDefault="005728DD" w:rsidP="005728DD">
      <w:pPr>
        <w:pStyle w:val="TextoNormal"/>
      </w:pPr>
    </w:p>
    <w:p w:rsidR="005728DD" w:rsidRDefault="005728DD" w:rsidP="005728DD">
      <w:pPr>
        <w:pStyle w:val="TextoNormal"/>
      </w:pPr>
      <w:r>
        <w:t>Lo mismo se hará cuando fueren varios los querellados por un mismo delito o por dos o más conexos y alguno de aquellos estuviere sometido excepcionalmente a un tribunal que no fuere el llamado a conocer, por regla general, del delito”.</w:t>
      </w:r>
    </w:p>
    <w:p w:rsidR="005728DD" w:rsidRDefault="005728DD" w:rsidP="005728DD">
      <w:pPr>
        <w:pStyle w:val="TextoNormal"/>
      </w:pPr>
    </w:p>
    <w:p w:rsidR="005728DD" w:rsidRDefault="005728DD" w:rsidP="005728DD">
      <w:pPr>
        <w:pStyle w:val="TextoNormal"/>
      </w:pPr>
      <w:r>
        <w:t>3.2.2. De las decisiones adoptadas a lo largo de la causa se deriva que han sido tres los criterios concurrentes tomados en consideración por la Sala de lo Penal del Tribunal Supremo para afirmar su competencia objetiva:</w:t>
      </w:r>
    </w:p>
    <w:p w:rsidR="005728DD" w:rsidRDefault="005728DD" w:rsidP="005728DD">
      <w:pPr>
        <w:pStyle w:val="TextoNormal"/>
      </w:pPr>
    </w:p>
    <w:p w:rsidR="005728DD" w:rsidRDefault="005728DD" w:rsidP="005728DD">
      <w:pPr>
        <w:pStyle w:val="TextoNormal"/>
      </w:pPr>
      <w:r>
        <w:t>(i) la prerrogativa de aforamiento especial parlamentario: desde su inicio y durante todo el desarrollo de la causa, una o varias de las personas a las que se refería la querella, después sometidas a investigación, procesadas o finalmente acusadas, mantenían la condición de diputados del Parlamento de Cataluña.</w:t>
      </w:r>
    </w:p>
    <w:p w:rsidR="005728DD" w:rsidRDefault="005728DD" w:rsidP="005728DD">
      <w:pPr>
        <w:pStyle w:val="TextoNormal"/>
      </w:pPr>
    </w:p>
    <w:p w:rsidR="005728DD" w:rsidRDefault="005728DD" w:rsidP="005728DD">
      <w:pPr>
        <w:pStyle w:val="TextoNormal"/>
      </w:pPr>
      <w:r>
        <w:t>En el momento de ejercer la acción penal,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ya las causas por conexidad, otras personas coencausadas —entre ellas, el recurrente— fueron elegidas para integrar el parlamento constituido tras las elecciones autonómicas celebradas el 21 de diciembre de 2017. E iniciado ya el juicio oral ante la Sala de lo Penal del Tribunal Supremo en febrero de 2019, tras las elecciones generales celebradas el 28 de abril de 2019, el recurrente y otros acusados pasaron a integrarse en las Cortes Generales como diputados y, en el caso del señor Romeva, como senador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005728DD" w:rsidRDefault="005728DD" w:rsidP="005728DD">
      <w:pPr>
        <w:pStyle w:val="TextoNormal"/>
      </w:pPr>
    </w:p>
    <w:p w:rsidR="005728DD" w:rsidRDefault="005728DD" w:rsidP="005728DD">
      <w:pPr>
        <w:pStyle w:val="TextoNormal"/>
      </w:pPr>
      <w:r>
        <w:t>(ii) la ubicación geográfica de los hechos imputados: como veremos a continuación, el relato fáctico que dio sustento a la querella inicial y a los escritos de acusación formulados afirmaba, en cada caso, la realización de algunos hechos típicos fuera del territorio de la comunidad autónoma catalana (art. 57.2 EAC).</w:t>
      </w:r>
    </w:p>
    <w:p w:rsidR="005728DD" w:rsidRDefault="005728DD" w:rsidP="005728DD">
      <w:pPr>
        <w:pStyle w:val="TextoNormal"/>
      </w:pPr>
    </w:p>
    <w:p w:rsidR="005728DD" w:rsidRDefault="005728DD" w:rsidP="005728DD">
      <w:pPr>
        <w:pStyle w:val="TextoNormal"/>
      </w:pPr>
      <w:r>
        <w:lastRenderedPageBreak/>
        <w:t>(iii) la apreciación de conexidad procesal entre los delitos investigados en las diversas causas acumuladas: la Sala de lo Penal del Tribunal Supremo consideró que los hechos investigados en las actuaciones penales dirigidas contra varios acusados no aforados eran plenamente coincidentes con los de aquellas otras causas que se seguían contra los que sí tenían reconocida la prerrogativa parlamentaria de aforamiento ante la Sala Penal del Tribunal Supremo (arts. 17.1 y 2 y 272 LECrim), de manera que los delitos a que se referían eran procesalmente conexos.</w:t>
      </w:r>
    </w:p>
    <w:p w:rsidR="005728DD" w:rsidRDefault="005728DD" w:rsidP="005728DD">
      <w:pPr>
        <w:pStyle w:val="TextoNormal"/>
      </w:pPr>
    </w:p>
    <w:p w:rsidR="005728DD" w:rsidRDefault="005728DD" w:rsidP="005728DD">
      <w:pPr>
        <w:pStyle w:val="TextoNormal"/>
      </w:pPr>
      <w:r>
        <w:t>Así se describe en las diversas resoluciones que, sobre la propia competencia, han sido dictadas en el desarrollo de la causa. Son paradigmáticos en este sentido el auto de 31 de octubre de 2017 (ratificado en súplica) por el que la querella fue admitida a trámite, y el auto de 27 de diciembre de 2018 por el que la sala de enjuiciamiento desestimó las peticiones de declinatoria de jurisdicción planteadas como artículo de previo pronunciamiento por los acusados (art. 666.1 LECrim).</w:t>
      </w:r>
    </w:p>
    <w:p w:rsidR="005728DD" w:rsidRDefault="005728DD" w:rsidP="005728DD">
      <w:pPr>
        <w:pStyle w:val="TextoNormal"/>
      </w:pPr>
    </w:p>
    <w:p w:rsidR="005728DD" w:rsidRDefault="005728DD" w:rsidP="005728DD">
      <w:pPr>
        <w:pStyle w:val="TextoNormal"/>
      </w:pPr>
      <w:r>
        <w:t>3.2.2.1.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005728DD" w:rsidRDefault="005728DD" w:rsidP="005728DD">
      <w:pPr>
        <w:pStyle w:val="TextoNormal"/>
      </w:pPr>
    </w:p>
    <w:p w:rsidR="005728DD" w:rsidRDefault="005728DD" w:rsidP="005728DD">
      <w:pPr>
        <w:pStyle w:val="TextoNormal"/>
      </w:pPr>
      <w:r>
        <w:t>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005728DD" w:rsidRDefault="005728DD" w:rsidP="005728DD">
      <w:pPr>
        <w:pStyle w:val="TextoNormal"/>
      </w:pPr>
    </w:p>
    <w:p w:rsidR="005728DD" w:rsidRDefault="005728DD" w:rsidP="005728DD">
      <w:pPr>
        <w:pStyle w:val="TextoNormal"/>
      </w:pPr>
      <w:r>
        <w:t>Para determinar esta última circunstancia, sin afirmar su realidad o la existencia de indicios que la avalen, la Sala atiende al relato de hechos supuestamente delictivos que se afirman en la querella. Y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005728DD" w:rsidRDefault="005728DD" w:rsidP="005728DD">
      <w:pPr>
        <w:pStyle w:val="TextoNormal"/>
      </w:pPr>
    </w:p>
    <w:p w:rsidR="005728DD" w:rsidRDefault="005728DD" w:rsidP="005728DD">
      <w:pPr>
        <w:pStyle w:val="TextoNormal"/>
      </w:pPr>
      <w:r>
        <w:t>Así, en la querella afirma el fiscal que, en su fase preparatoria, el Gobierno de la Generalitat, decidido a promover y celebrar unilateralmente una consulta a modo de referéndum,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w:t>
      </w:r>
      <w:r>
        <w:lastRenderedPageBreak/>
        <w:t xml:space="preserve">plomacia Pública de Cataluña (Diplocat), a quien correspondía la labor de </w:t>
      </w:r>
      <w:r w:rsidRPr="005728DD">
        <w:rPr>
          <w:i/>
        </w:rPr>
        <w:t>lobby</w:t>
      </w:r>
      <w:r>
        <w:t xml:space="preserve"> internacional, realizando actividades de difusión de la pretensión de independencia (foros, visitas organizadas, información en Internet, formación de activistas como observadores en procesos electorales o diversos contratos con organizaciones de los países donde radican las sedes en el exterior para promover y favorecer la pretensión de independencia). Entre los hechos realizados en el exterior se incluyen en la querella las páginas web internacionales creadas desde el Gobierno de la Generalitat para informar y facilitar la participación en la consulta ilegal promovida y los sitios web que, tras ser clausurados judicialmente algunos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decidieron votar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005728DD" w:rsidRDefault="005728DD" w:rsidP="005728DD">
      <w:pPr>
        <w:pStyle w:val="TextoNormal"/>
      </w:pPr>
    </w:p>
    <w:p w:rsidR="005728DD" w:rsidRDefault="005728DD" w:rsidP="005728DD">
      <w:pPr>
        <w:pStyle w:val="TextoNormal"/>
      </w:pPr>
      <w:r>
        <w:t>Considera el fiscal que la celebración de una consulta, a modo de referéndum, constituía el elemento central del delito de rebelión imputado a las personas querelladas. A partir de esta constatación, la Sala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005728DD" w:rsidRDefault="005728DD" w:rsidP="005728DD">
      <w:pPr>
        <w:pStyle w:val="TextoNormal"/>
      </w:pPr>
    </w:p>
    <w:p w:rsidR="005728DD" w:rsidRDefault="005728DD" w:rsidP="005728DD">
      <w:pPr>
        <w:pStyle w:val="TextoNormal"/>
      </w:pPr>
      <w:r>
        <w:t>Concluye la resolución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005728DD" w:rsidRDefault="005728DD" w:rsidP="005728DD">
      <w:pPr>
        <w:pStyle w:val="TextoNormal"/>
      </w:pPr>
    </w:p>
    <w:p w:rsidR="005728DD" w:rsidRDefault="005728DD" w:rsidP="005728DD">
      <w:pPr>
        <w:pStyle w:val="TextoNormal"/>
      </w:pPr>
      <w:r>
        <w:lastRenderedPageBreak/>
        <w:t>Respecto de la decisión de asumir la competencia objetiva para la investigación de los hechos objeto de querella indica,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5728DD" w:rsidRDefault="005728DD" w:rsidP="005728DD">
      <w:pPr>
        <w:pStyle w:val="TextoNormal"/>
      </w:pPr>
    </w:p>
    <w:p w:rsidR="005728DD" w:rsidRDefault="005728DD" w:rsidP="005728DD">
      <w:pPr>
        <w:pStyle w:val="TextoNormal"/>
      </w:pPr>
      <w:r>
        <w:t>3.2.2.2. Siguiendo este último criterio de conexidad procesal entre los delitos investigados, el magistrado instructor acordó la extensión subjetiva del ámbito de investigación a otras personas, entonces no aforadas. Concretamente, a los presidentes de las asociaciones Òmnium Cultural y Asamblea Nacional Catalana. También lo hizo a quienes habían sido miembros del Gobierno de la Generalitat de Cataluña en la legislatura anterior, ya disuelta; entre ellos, al demandante que, el 14 de julio de 2017, fue designado consejero de Presidencia y portavoz del Gobierno de la Generalitat (auto de 24 de noviembre de 2017). Poco tiempo después, por medio de auto de 22 de diciembre de 2017, la investigación se amplió “a los presidentes y portavoces de los grupos parlamentarios independentistas del disuelto Parlamento de Cataluña”.</w:t>
      </w:r>
    </w:p>
    <w:p w:rsidR="005728DD" w:rsidRDefault="005728DD" w:rsidP="005728DD">
      <w:pPr>
        <w:pStyle w:val="TextoNormal"/>
      </w:pPr>
    </w:p>
    <w:p w:rsidR="005728DD" w:rsidRDefault="005728DD" w:rsidP="005728DD">
      <w:pPr>
        <w:pStyle w:val="TextoNormal"/>
      </w:pPr>
      <w:r>
        <w:t>La extensión de la competencia del Tribunal Supremo a los nuevos investigados no aforados se justificó valorando que existía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Valoró también que los hechos atribuidos a las personas no aforadas mantenían una conexión material inescindible con la conducta imputada a las personas cuyo estatus parlamentario les reconocía aforamiento (art. 57.2 EAC). Añadió asimismo,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5728DD" w:rsidRDefault="005728DD" w:rsidP="005728DD">
      <w:pPr>
        <w:pStyle w:val="TextoNormal"/>
      </w:pPr>
    </w:p>
    <w:p w:rsidR="005728DD" w:rsidRDefault="005728DD" w:rsidP="005728DD">
      <w:pPr>
        <w:pStyle w:val="TextoNormal"/>
      </w:pPr>
      <w:r>
        <w:t>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005728DD" w:rsidRDefault="005728DD" w:rsidP="005728DD">
      <w:pPr>
        <w:pStyle w:val="TextoNormal"/>
      </w:pPr>
    </w:p>
    <w:p w:rsidR="005728DD" w:rsidRDefault="005728DD" w:rsidP="005728DD">
      <w:pPr>
        <w:pStyle w:val="TextoNormal"/>
      </w:pPr>
      <w:r>
        <w:t>3.2.2.3. A su vez, mediante auto de 27 de diciembre de 2018, una vez ratificada la conclusión del sumario, declarada la apertura del juicio oral y formulados los escritos de acusación, al desestimar las diversas peticiones de declinatoria de jurisdicción planteadas por las defensas, la sala de enjuiciamiento se remitió a los criterios expuestos en los anteriores pronunciamientos dictados en la fase de instrucción, aplicándolos ahora a los hechos imputados en los escritos de calificación provisional.</w:t>
      </w:r>
    </w:p>
    <w:p w:rsidR="005728DD" w:rsidRDefault="005728DD" w:rsidP="005728DD">
      <w:pPr>
        <w:pStyle w:val="TextoNormal"/>
      </w:pPr>
    </w:p>
    <w:p w:rsidR="005728DD" w:rsidRDefault="005728DD" w:rsidP="005728DD">
      <w:pPr>
        <w:pStyle w:val="TextoNormal"/>
      </w:pPr>
      <w:r>
        <w:t>De nuevo, como presupuesto metodológico, destacó la Sala que aquellas decisiones se adoptaron a partir de los elementos fácticos que sirvieron de soporte al Ministerio Fiscal para justificar el ejercicio de la acción penal. Añadió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005728DD" w:rsidRDefault="005728DD" w:rsidP="005728DD">
      <w:pPr>
        <w:pStyle w:val="TextoNormal"/>
      </w:pPr>
    </w:p>
    <w:p w:rsidR="005728DD" w:rsidRDefault="005728DD" w:rsidP="005728DD">
      <w:pPr>
        <w:pStyle w:val="TextoNormal"/>
      </w:pPr>
      <w:r>
        <w:t>En tal medida, la Sala constata en su resolución que tanto la acusación del Ministerio Fiscal y de la acción popular por delito de rebelión, como el relato fáctico sobre el que se construye la acusación por el delito de malversación de caudales públicos (que también se imputó al demandante), incorpora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005728DD" w:rsidRDefault="005728DD" w:rsidP="005728DD">
      <w:pPr>
        <w:pStyle w:val="TextoNormal"/>
      </w:pPr>
    </w:p>
    <w:p w:rsidR="005728DD" w:rsidRDefault="005728DD" w:rsidP="005728DD">
      <w:pPr>
        <w:pStyle w:val="TextoNormal"/>
      </w:pPr>
      <w:r>
        <w:t>Sucintamente expuestos, tal y como se recogen en los escritos de calificación, los hechos objeto de acusación realizados fuera de Cataluña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añade asimismo la referencia a la creación y manteni</w:t>
      </w:r>
      <w:r>
        <w:lastRenderedPageBreak/>
        <w:t>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005728DD" w:rsidRDefault="005728DD" w:rsidP="005728DD">
      <w:pPr>
        <w:pStyle w:val="TextoNormal"/>
      </w:pPr>
    </w:p>
    <w:p w:rsidR="005728DD" w:rsidRDefault="005728DD" w:rsidP="005728DD">
      <w:pPr>
        <w:pStyle w:val="TextoNormal"/>
      </w:pPr>
      <w:r>
        <w:t>La Sala concluyó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la denominada “doctrina de la ubicuidad”, según la cual el delito se comete en cualquiera de los territorios donde se realizan algunos de los elementos del tipo objetivo y subjetivo del delito,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005728DD" w:rsidRDefault="005728DD" w:rsidP="005728DD">
      <w:pPr>
        <w:pStyle w:val="TextoNormal"/>
      </w:pPr>
    </w:p>
    <w:p w:rsidR="005728DD" w:rsidRDefault="005728DD" w:rsidP="005728DD">
      <w:pPr>
        <w:pStyle w:val="TextoNormal"/>
      </w:pPr>
      <w:r>
        <w:t>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 Y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su criterio razonado de decisión no queda vinculado por los que hayan utilizado otros órganos judiciales al abordar las causas que a ellos se les han planteado.</w:t>
      </w:r>
    </w:p>
    <w:p w:rsidR="005728DD" w:rsidRDefault="005728DD" w:rsidP="005728DD">
      <w:pPr>
        <w:pStyle w:val="TextoNormal"/>
      </w:pPr>
    </w:p>
    <w:p w:rsidR="005728DD" w:rsidRDefault="005728DD" w:rsidP="005728DD">
      <w:pPr>
        <w:pStyle w:val="TextoNormal"/>
      </w:pPr>
      <w:r>
        <w:t>Por último, atendiendo objetivamente a la naturaleza y estructura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005728DD" w:rsidRDefault="005728DD" w:rsidP="005728DD">
      <w:pPr>
        <w:pStyle w:val="TextoNormal"/>
      </w:pPr>
    </w:p>
    <w:p w:rsidR="005728DD" w:rsidRDefault="005728DD" w:rsidP="005728DD">
      <w:pPr>
        <w:pStyle w:val="TextoNormal"/>
      </w:pPr>
      <w:r>
        <w:t>3.2.2.4. Estos mismos criterios fueron expuestos en la sentencia condenatoria al justificar la desestimación de las cuestiones previas planteadas por los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w:t>
      </w:r>
    </w:p>
    <w:p w:rsidR="005728DD" w:rsidRDefault="005728DD" w:rsidP="005728DD">
      <w:pPr>
        <w:pStyle w:val="TextoNormal"/>
      </w:pPr>
    </w:p>
    <w:p w:rsidR="005728DD" w:rsidRDefault="005728DD" w:rsidP="005728DD">
      <w:pPr>
        <w:pStyle w:val="TextoNormal"/>
      </w:pPr>
      <w:r>
        <w:t>3.3</w:t>
      </w:r>
      <w:r w:rsidRPr="005728DD">
        <w:rPr>
          <w:i/>
        </w:rPr>
        <w:t>. Doctrina jurisprudenci</w:t>
      </w:r>
      <w:r>
        <w:t>al.</w:t>
      </w:r>
    </w:p>
    <w:p w:rsidR="005728DD" w:rsidRDefault="005728DD" w:rsidP="005728DD">
      <w:pPr>
        <w:pStyle w:val="TextoNormal"/>
      </w:pPr>
    </w:p>
    <w:p w:rsidR="005728DD" w:rsidRDefault="005728DD" w:rsidP="005728DD">
      <w:pPr>
        <w:pStyle w:val="TextoNormal"/>
      </w:pPr>
      <w:r>
        <w:t>La cuestión planteada es sustancialmente idéntica a la analizada por el Pleno en la reciente STC 34/2021, de 17 de febrero, relativa a otra acusada que ha sido condenada en la misma causa penal; en tal medida, la doctrina constitucional, que a continuación se resume, es en todo coincidente con la expuesta al fundamentar dicha resolución.</w:t>
      </w:r>
    </w:p>
    <w:p w:rsidR="005728DD" w:rsidRDefault="005728DD" w:rsidP="005728DD">
      <w:pPr>
        <w:pStyle w:val="TextoNormal"/>
      </w:pPr>
    </w:p>
    <w:p w:rsidR="005728DD" w:rsidRDefault="005728DD" w:rsidP="005728DD">
      <w:pPr>
        <w:pStyle w:val="TextoNormal"/>
      </w:pPr>
      <w:r>
        <w:t>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005728DD" w:rsidRDefault="005728DD" w:rsidP="005728DD">
      <w:pPr>
        <w:pStyle w:val="TextoNormal"/>
      </w:pPr>
    </w:p>
    <w:p w:rsidR="005728DD" w:rsidRDefault="005728DD" w:rsidP="005728DD">
      <w:pPr>
        <w:pStyle w:val="TextoNormal"/>
      </w:pPr>
      <w: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así la inexistencia de jueces </w:t>
      </w:r>
      <w:r w:rsidRPr="005728DD">
        <w:rPr>
          <w:i/>
        </w:rPr>
        <w:t>ad hoc</w:t>
      </w:r>
      <w:r>
        <w:t>;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5728DD" w:rsidRDefault="005728DD" w:rsidP="005728DD">
      <w:pPr>
        <w:pStyle w:val="TextoNormal"/>
      </w:pPr>
    </w:p>
    <w:p w:rsidR="005728DD" w:rsidRDefault="005728DD" w:rsidP="005728DD">
      <w:pPr>
        <w:pStyle w:val="TextoNormal"/>
      </w:pPr>
      <w:r>
        <w:t xml:space="preserve">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w:t>
      </w:r>
      <w:r>
        <w:lastRenderedPageBreak/>
        <w:t>con determinar legalmente el órgano judicial, pero pudieran designarse o alterarse arbitrariamente sus componentes, que son quienes, en definitiva, van a ejercitar sus facultades intelectuales y volitivas en las decisiones que hayan de adoptarse.</w:t>
      </w:r>
    </w:p>
    <w:p w:rsidR="005728DD" w:rsidRDefault="005728DD" w:rsidP="005728DD">
      <w:pPr>
        <w:pStyle w:val="TextoNormal"/>
      </w:pPr>
    </w:p>
    <w:p w:rsidR="005728DD" w:rsidRDefault="005728DD" w:rsidP="005728DD">
      <w:pPr>
        <w:pStyle w:val="TextoNormal"/>
      </w:pPr>
      <w:r>
        <w:t>A través de ambas exigencias, que son fuente objetiva de legitimación de la función judicial, se trata de garantizar la independencia e imparcialidad de los órganos judiciales, lo que, como analizaremos más adelante, constituye el interés directo protegido por el derecho al juez ordinario legalmente predeterminado, proclamado también expresamente, aunque con distinta dicción, en el art. 14.1 del Pacto internacional de derechos civiles y políticos y en el art. 6.1 del Convenio europeo para la protección de los derechos humanos y de las libertades fundamentales.</w:t>
      </w:r>
    </w:p>
    <w:p w:rsidR="005728DD" w:rsidRDefault="005728DD" w:rsidP="005728DD">
      <w:pPr>
        <w:pStyle w:val="TextoNormal"/>
      </w:pPr>
    </w:p>
    <w:p w:rsidR="005728DD" w:rsidRDefault="005728DD" w:rsidP="005728DD">
      <w:pPr>
        <w:pStyle w:val="TextoNormal"/>
      </w:pPr>
      <w:r>
        <w:t>Dados los términos del debate que se plantea en la demanda, en tanto se cuestiona únicamente la competencia de la Sala de lo Penal del Tribunal Supremo para la investigación y enjuiciamiento de los hechos atribuidos, entre otros, al demandante,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 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de 22 de marzo, FJ 2, y 93/1988, antes citada).</w:t>
      </w:r>
    </w:p>
    <w:p w:rsidR="005728DD" w:rsidRDefault="005728DD" w:rsidP="005728DD">
      <w:pPr>
        <w:pStyle w:val="TextoNormal"/>
      </w:pPr>
    </w:p>
    <w:p w:rsidR="005728DD" w:rsidRDefault="005728DD" w:rsidP="005728DD">
      <w:pPr>
        <w:pStyle w:val="TextoNormal"/>
      </w:pPr>
      <w:r>
        <w:t>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CE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005728DD" w:rsidRDefault="005728DD" w:rsidP="005728DD">
      <w:pPr>
        <w:pStyle w:val="TextoNormal"/>
      </w:pPr>
    </w:p>
    <w:p w:rsidR="005728DD" w:rsidRDefault="005728DD" w:rsidP="005728DD">
      <w:pPr>
        <w:pStyle w:val="TextoNormal"/>
      </w:pPr>
      <w:r>
        <w:t xml:space="preserve">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patente de hecho </w:t>
      </w:r>
      <w:r>
        <w:lastRenderedPageBreak/>
        <w:t>(ATC 262/1994, de 3 de octubre, FJ 1, y STC 70/2007, de 16 de abril, FJ 4), pues si así fuera, el efecto de tan improcedente aplicación de la norma desconocería el monopolio legislativo en la determinación previa del órgano judicial que ha de conocer del caso.</w:t>
      </w:r>
    </w:p>
    <w:p w:rsidR="005728DD" w:rsidRDefault="005728DD" w:rsidP="005728DD">
      <w:pPr>
        <w:pStyle w:val="TextoNormal"/>
      </w:pPr>
    </w:p>
    <w:p w:rsidR="005728DD" w:rsidRDefault="005728DD" w:rsidP="005728DD">
      <w:pPr>
        <w:pStyle w:val="TextoNormal"/>
      </w:pPr>
      <w:r>
        <w:t>b) Dado que forman parte de una cultura europea común, los criterios que definen la doctrina de este tribunal sobre la necesidad de predeterminación legal de los órganos judiciales, de quienes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005728DD" w:rsidRDefault="005728DD" w:rsidP="005728DD">
      <w:pPr>
        <w:pStyle w:val="TextoNormal"/>
      </w:pPr>
    </w:p>
    <w:p w:rsidR="005728DD" w:rsidRDefault="005728DD" w:rsidP="005728DD">
      <w:pPr>
        <w:pStyle w:val="TextoNormal"/>
      </w:pPr>
      <w:r>
        <w:t xml:space="preserve">De acuerdo con lo previsto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determinado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febrero 1996, asunto </w:t>
      </w:r>
      <w:r w:rsidRPr="005728DD">
        <w:rPr>
          <w:i/>
        </w:rPr>
        <w:t>Bulut c. Austria</w:t>
      </w:r>
      <w:r>
        <w:t>, § 29; de 22 de junio de 2000, asunt</w:t>
      </w:r>
      <w:r w:rsidRPr="005728DD">
        <w:rPr>
          <w:i/>
        </w:rPr>
        <w:t>o Coëme y otros c. Bélgi</w:t>
      </w:r>
      <w:r>
        <w:t>ca, y de 28 de noviembre de 2002, asunt</w:t>
      </w:r>
      <w:r w:rsidRPr="005728DD">
        <w:rPr>
          <w:i/>
        </w:rPr>
        <w:t>o Lavents c. Leton</w:t>
      </w:r>
      <w:r>
        <w:t>ia).</w:t>
      </w:r>
    </w:p>
    <w:p w:rsidR="005728DD" w:rsidRDefault="005728DD" w:rsidP="005728DD">
      <w:pPr>
        <w:pStyle w:val="TextoNormal"/>
      </w:pPr>
    </w:p>
    <w:p w:rsidR="005728DD" w:rsidRDefault="005728DD" w:rsidP="005728DD">
      <w:pPr>
        <w:pStyle w:val="TextoNormal"/>
      </w:pPr>
      <w:r>
        <w:t xml:space="preserve">En otros pronunciamientos (sentencia de 5 de octubre de 2010, asunto </w:t>
      </w:r>
      <w:r w:rsidRPr="005728DD">
        <w:rPr>
          <w:i/>
        </w:rPr>
        <w:t>DMD GROUP, A.S. c. Eslovaquia</w:t>
      </w:r>
      <w:r>
        <w:t xml:space="preserve">), el tribunal ha destacado que la expresión “establecido por la ley” tiene por objeto asegurar “que la organización judicial en una sociedad democrática no dependa de la discrecionalidad del Poder Ejecutivo, sino que esté regulada por la ley emanada del Parlamento” (informe de la Comisión de 12 de octubre de 1978, asunto </w:t>
      </w:r>
      <w:r w:rsidRPr="005728DD">
        <w:rPr>
          <w:i/>
        </w:rPr>
        <w:t>Zand c. Austria</w:t>
      </w:r>
      <w:r>
        <w:t xml:space="preserve">).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(SSTEDH de 22 de junio de 2000, asunto </w:t>
      </w:r>
      <w:r w:rsidRPr="005728DD">
        <w:rPr>
          <w:i/>
        </w:rPr>
        <w:t>Coëme y otros c. Bélgica</w:t>
      </w:r>
      <w:r>
        <w:t xml:space="preserve">, antes citada, § 98, y de 28 de abril de 2009, asunto </w:t>
      </w:r>
      <w:r w:rsidRPr="005728DD">
        <w:rPr>
          <w:i/>
        </w:rPr>
        <w:t>Savino y otros c. Italia</w:t>
      </w:r>
      <w:r>
        <w:t>).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w:t>
      </w:r>
      <w:r w:rsidRPr="005728DD">
        <w:rPr>
          <w:i/>
        </w:rPr>
        <w:t>o Lavents c. Leton</w:t>
      </w:r>
      <w:r>
        <w:t>ia).</w:t>
      </w:r>
    </w:p>
    <w:p w:rsidR="005728DD" w:rsidRDefault="005728DD" w:rsidP="005728DD">
      <w:pPr>
        <w:pStyle w:val="TextoNormal"/>
      </w:pPr>
    </w:p>
    <w:p w:rsidR="005728DD" w:rsidRDefault="005728DD" w:rsidP="005728DD">
      <w:pPr>
        <w:pStyle w:val="TextoNormal"/>
      </w:pPr>
      <w:r>
        <w:t>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w:t>
      </w:r>
      <w:r w:rsidRPr="005728DD">
        <w:rPr>
          <w:i/>
        </w:rPr>
        <w:t>o Jorgic c. Aleman</w:t>
      </w:r>
      <w:r>
        <w:t>ia, § 64 a 72, referida al enjuiciamiento por actos de genocidio cometidos fuera de Alemania).</w:t>
      </w:r>
    </w:p>
    <w:p w:rsidR="005728DD" w:rsidRDefault="005728DD" w:rsidP="005728DD">
      <w:pPr>
        <w:pStyle w:val="TextoNormal"/>
      </w:pPr>
    </w:p>
    <w:p w:rsidR="005728DD" w:rsidRDefault="005728DD" w:rsidP="005728DD">
      <w:pPr>
        <w:pStyle w:val="TextoNormal"/>
      </w:pPr>
      <w:r>
        <w:lastRenderedPageBreak/>
        <w:t>3.4</w:t>
      </w:r>
      <w:r w:rsidRPr="005728DD">
        <w:rPr>
          <w:i/>
        </w:rPr>
        <w:t>. Resolución de la que</w:t>
      </w:r>
      <w:r>
        <w:t>ja.</w:t>
      </w:r>
    </w:p>
    <w:p w:rsidR="005728DD" w:rsidRDefault="005728DD" w:rsidP="005728DD">
      <w:pPr>
        <w:pStyle w:val="TextoNormal"/>
      </w:pPr>
    </w:p>
    <w:p w:rsidR="005728DD" w:rsidRDefault="005728DD" w:rsidP="005728DD">
      <w:pPr>
        <w:pStyle w:val="TextoNormal"/>
      </w:pPr>
      <w:r>
        <w:t>3.4.1. El análisis de la queja planteada por el demandante, que fue acusado por delitos de rebelión, sedición, malversación de caudales públicos y organización criminal, pero condenado exclusivamente por un delito de sedición en concurso medial con otro de malversación de caudales públicos, exige poner de relieve dos momentos diferenciados en el desarrollo de la causa, ambos relacionados con la adquisición por el demandante de la condición de diputado autonómico catalán en las elecciones del 21 de diciembre de 2017:</w:t>
      </w:r>
    </w:p>
    <w:p w:rsidR="005728DD" w:rsidRDefault="005728DD" w:rsidP="005728DD">
      <w:pPr>
        <w:pStyle w:val="TextoNormal"/>
      </w:pPr>
    </w:p>
    <w:p w:rsidR="005728DD" w:rsidRDefault="005728DD" w:rsidP="005728DD">
      <w:pPr>
        <w:pStyle w:val="TextoNormal"/>
      </w:pPr>
      <w:r>
        <w:t>(i) En un primer momento procesal, el señor Turull i Negre no tenía la condición de aforado. No la tenía cuando, el 30 de octubre de 2017, fue incluido en la querella presentada por el fiscal general del Estado como supuesto autor de un delito de rebelión y, alternativamente, de sedición, ante la Audiencia Nacional (querella que fue acumulada a las diligencias previas núm. 82-2017, que ya se seguían contra otros denunciados ante el Juzgado Central de Instrucción núm. 3. Tampoco cuando, mediante auto de 24 de noviembre de 2017, el magistrado instructor de la Sala de lo Penal del Tribunal Supremo reclamó a dicho juzgado la remisión de aquellas actuaciones, para su acumulación procesal a la causa especial núm. 20907-2017, por apreciar identidad en los hechos denunciados.</w:t>
      </w:r>
    </w:p>
    <w:p w:rsidR="005728DD" w:rsidRDefault="005728DD" w:rsidP="005728DD">
      <w:pPr>
        <w:pStyle w:val="TextoNormal"/>
      </w:pPr>
    </w:p>
    <w:p w:rsidR="005728DD" w:rsidRDefault="005728DD" w:rsidP="005728DD">
      <w:pPr>
        <w:pStyle w:val="TextoNormal"/>
      </w:pPr>
      <w:r>
        <w:t xml:space="preserve">(ii) Sin embargo, pocas semanas después, desde que en el mes de enero de 2018 adquirió la condición de diputado autonómico del Parlamento de Cataluña como consecuencia de las elecciones celebradas el 21 de diciembre de 2017, el demandante mantuvo reconocido tal fuero especial (art. 57 EAC) hasta que, en mayo de 2019, iniciadas ya las sesiones del juicio oral desde febrero de 2019, adquirió la condición de diputado de las Cortes Generales, tras resultar elegido en las elecciones generales celebradas el 21 de abril de 2019. Esta última condición lleva también aparejada, </w:t>
      </w:r>
      <w:r w:rsidRPr="005728DD">
        <w:rPr>
          <w:i/>
        </w:rPr>
        <w:t>ex</w:t>
      </w:r>
      <w:r>
        <w:t xml:space="preserve"> art. 71.3 CE, la condición de aforado ante la Sala de lo Penal del Tribunal Supremo. Aunque en la sentencia condenatoria se alude adicionalmente a esta última circunstancia para rechazar la alegada vulneración del derecho al juez predeterminado por la ley, sin embargo, no fue tomada en consideración por la Sala al rechazar la declinatoria de jurisdicción, pues en aquella fecha, 27 de diciembre de 2018, el demandante mantenía la condición de diputado autonómico de Cataluña.</w:t>
      </w:r>
    </w:p>
    <w:p w:rsidR="005728DD" w:rsidRDefault="005728DD" w:rsidP="005728DD">
      <w:pPr>
        <w:pStyle w:val="TextoNormal"/>
      </w:pPr>
    </w:p>
    <w:p w:rsidR="005728DD" w:rsidRDefault="005728DD" w:rsidP="005728DD">
      <w:pPr>
        <w:pStyle w:val="TextoNormal"/>
      </w:pPr>
      <w:r>
        <w:t>La secuencia temporal expuesta permite distinguir dos motivos nucleares en la queja que denuncia la vulneración del derecho al juez ordinario predeterminado por la ley. De una parte, el demandante cuestiona como arbitraria, forzada e irrazonable la interpretación de las normas procesales que llevaron al magistrado instructor a acordar la acumulación de causas por considerar coincidentes los hechos investigados en ellas y conexos los delitos que se denunciaban como cometidos. En segundo término, califica también como arbitraria la apreciación de que parte de los hechos imputados como delictivos, también incluidos en el sustrato fáctico de los escritos de acusación, hubieran tenido lugar fuera de Cataluña. En tal medida, el demandante entiende que, conforme al art. 57.2 EAC, las actuaciones penales que han dado lugar a su condena debieron seguirse ante el Tribunal Superior de Justicia de Cataluña, y no ante la Sala de lo Penal del Tribunal Supremo.</w:t>
      </w:r>
    </w:p>
    <w:p w:rsidR="005728DD" w:rsidRDefault="005728DD" w:rsidP="005728DD">
      <w:pPr>
        <w:pStyle w:val="TextoNormal"/>
      </w:pPr>
    </w:p>
    <w:p w:rsidR="005728DD" w:rsidRDefault="005728DD" w:rsidP="005728DD">
      <w:pPr>
        <w:pStyle w:val="TextoNormal"/>
      </w:pPr>
      <w:r>
        <w:t xml:space="preserve">A partir de la concreta vertiente del derecho fundamental alegado por el demandante y la doctrina jurisprudencial que sobre su contenido ha sido expuesta en el anterior subepígrafe, la cuestión que hemos de resolver se concreta en determinar si las resoluciones judiciales por las que la Sala de lo Penal del Tribunal Supremo asumió la competencia para la </w:t>
      </w:r>
      <w:r>
        <w:lastRenderedPageBreak/>
        <w:t>investigación de los hechos atribuidos en la querella, la extendió a los no aforados por razones de conexidad procesal e inescindibilidad de la causa y, después, la mantuvo para el enjuiciamiento de los hechos que dieron sustento a la pretensión acusatoria, se apoyan en razonamientos arbitrarios, irrazonables o basados en un error fáctico patente que deriva de las actuaciones. Solo en este caso presentará relieve constitucional la discrepancia expresada por el demandante, más allá de exteriorizar una diferencia razonada de criterio con la interpretación judicial de la ley procesal aplicable.</w:t>
      </w:r>
    </w:p>
    <w:p w:rsidR="005728DD" w:rsidRDefault="005728DD" w:rsidP="005728DD">
      <w:pPr>
        <w:pStyle w:val="TextoNormal"/>
      </w:pPr>
    </w:p>
    <w:p w:rsidR="005728DD" w:rsidRDefault="005728DD" w:rsidP="005728DD">
      <w:pPr>
        <w:pStyle w:val="TextoNormal"/>
      </w:pPr>
      <w:r>
        <w:t>3.4.2. Dada la delimitación progresiva de su objeto, debemos hacer una consideración previa sobre las peculiaridades que, en torno a la determinación de la competencia, presenta el desarrollo del proceso penal. En nuestro ordenamiento,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la calificación jurídica es provisional durante la fase de investigación e intermedia (SSTC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le haya sido alegado.</w:t>
      </w:r>
    </w:p>
    <w:p w:rsidR="005728DD" w:rsidRDefault="005728DD" w:rsidP="005728DD">
      <w:pPr>
        <w:pStyle w:val="TextoNormal"/>
      </w:pPr>
    </w:p>
    <w:p w:rsidR="005728DD" w:rsidRDefault="005728DD" w:rsidP="005728DD">
      <w:pPr>
        <w:pStyle w:val="TextoNormal"/>
      </w:pPr>
      <w:r>
        <w:t>Expuesto de forma sintética el desarrollo del proceso penal, resulta indiscutible que la evaluación inicial de la competencia objetiva para la investigación de la causa solo puede tener como referencia los hechos atribuidos en la querella y su calificación jurídica provisional. En aquel momento procesal (auto de admisión a trámite de la querella de 31 de octubre de 2017), salvo que se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En este caso, para determinar el órgano judicial competente para su conocimiento, dada la condición parlamentaria de varias personas querelladas, resultaban determinantes su fuero especial y el lugar de comisión de los hechos imputados, a la vista de la dicción del art. 57.2 del Estatuto catalán.</w:t>
      </w:r>
    </w:p>
    <w:p w:rsidR="005728DD" w:rsidRDefault="005728DD" w:rsidP="005728DD">
      <w:pPr>
        <w:pStyle w:val="TextoNormal"/>
      </w:pPr>
    </w:p>
    <w:p w:rsidR="005728DD" w:rsidRDefault="005728DD" w:rsidP="005728DD">
      <w:pPr>
        <w:pStyle w:val="TextoNormal"/>
      </w:pPr>
      <w:r>
        <w:t>A partir de estas consideraciones, no podemos compartir con el demandante que la asunción inicial de la competencia de investigación, en aplicación de los parámetros expuestos, se haya apoyado en valoraciones o razonamientos que puedan ser calificados como arbitrarios, manifiestamente irrazonables o fruto de un error patente que derive de las actuaciones.</w:t>
      </w:r>
    </w:p>
    <w:p w:rsidR="005728DD" w:rsidRDefault="005728DD" w:rsidP="005728DD">
      <w:pPr>
        <w:pStyle w:val="TextoNormal"/>
      </w:pPr>
    </w:p>
    <w:p w:rsidR="005728DD" w:rsidRDefault="005728DD" w:rsidP="005728DD">
      <w:pPr>
        <w:pStyle w:val="TextoNormal"/>
      </w:pPr>
      <w:r>
        <w:t>Los criterios jurídicos utilizados por la Sala de lo Penal del Tribunal Supremo —extensamente descritos en anteriores epígrafes— dan cuenta de la toma en consideración de los elementos nucleares de la regla de atribución de competencia: aforamiento especial parlamentario, lugar atribuido de la comisión del delito y conexidad procesal.</w:t>
      </w:r>
    </w:p>
    <w:p w:rsidR="005728DD" w:rsidRDefault="005728DD" w:rsidP="005728DD">
      <w:pPr>
        <w:pStyle w:val="TextoNormal"/>
      </w:pPr>
    </w:p>
    <w:p w:rsidR="005728DD" w:rsidRDefault="005728DD" w:rsidP="005728DD">
      <w:pPr>
        <w:pStyle w:val="TextoNormal"/>
      </w:pPr>
      <w:r>
        <w:t xml:space="preserve">Por una parte, la Sala tuvo en cuenta los pasajes fácticos de la querella que describen los que denomina “aspectos internacionales de la declaración de independencia”, donde se relatan como típicos hechos acaecidos fuera del territorio de Cataluña. En segundo término, </w:t>
      </w:r>
      <w:r>
        <w:lastRenderedPageBreak/>
        <w:t>se destaca en la resolución el carácter complejo del hecho atribuido —plurisubjetivo y colectivo—, expuesto por el Ministerio Fiscal en la querella como fruto de una estrategia concertada que presenta un elemento tendencial notorio: declarar la independencia de una parte del territorio español.</w:t>
      </w:r>
    </w:p>
    <w:p w:rsidR="005728DD" w:rsidRDefault="005728DD" w:rsidP="005728DD">
      <w:pPr>
        <w:pStyle w:val="TextoNormal"/>
      </w:pPr>
    </w:p>
    <w:p w:rsidR="005728DD" w:rsidRDefault="005728DD" w:rsidP="005728DD">
      <w:pPr>
        <w:pStyle w:val="TextoNormal"/>
      </w:pPr>
      <w:r>
        <w:t>Es precisamente la afirmación de que una pluralidad de sujetos intervino concertadamente en el hecho atribuido, lo que justificó también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005728DD" w:rsidRDefault="005728DD" w:rsidP="005728DD">
      <w:pPr>
        <w:pStyle w:val="TextoNormal"/>
      </w:pPr>
    </w:p>
    <w:p w:rsidR="005728DD" w:rsidRDefault="005728DD" w:rsidP="005728DD">
      <w:pPr>
        <w:pStyle w:val="TextoNormal"/>
      </w:pPr>
      <w:r>
        <w:t>Se trata, por tanto, de razonamientos que tienen que ver con los hechos atribuidos, con el lugar donde supuestamente se produjeron, con la calificación jurídica provisional expresada en la querella y con la condición parlamentaria de varios querellados aforados. No parten de premisas inexistentes o patentemente erróneas. Y su desarrollo argumental no incurre en quiebras lógicas ni se aleja del tenor de la norma aplicada, sino que, descartando la identidad objetiva de los precedentes jurisprudenciales alegados por el demandante, se apoyan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 Que se utilizaran criterios jurisprudenciales nuevos para un caso complejo como el que era objeto de investigación, no permite afirmar, sin más, su arbitrariedad. El demandante difiere de los criterios utilizados para extender la autoría por colaboración a quienes realizaran tareas dirigidas al mismo fin que los denunciados, pero, dada la naturaleza y características de los delitos de rebelión y sedición imputados (que, como se verá, son delitos colectivos, plurisubjetivos y de resultado cortado), tal discrepancia en Derecho no constituye parámetro suficiente para justificar la vulneración que denuncia, ni permite apreciar la arbitrariedad que alega.</w:t>
      </w:r>
    </w:p>
    <w:p w:rsidR="005728DD" w:rsidRDefault="005728DD" w:rsidP="005728DD">
      <w:pPr>
        <w:pStyle w:val="TextoNormal"/>
      </w:pPr>
    </w:p>
    <w:p w:rsidR="005728DD" w:rsidRDefault="005728DD" w:rsidP="005728DD">
      <w:pPr>
        <w:pStyle w:val="TextoNormal"/>
      </w:pPr>
      <w:r>
        <w:t>Tampoco resulta fundada la queja que se expresa utilizando como término de comparación la solución dada a anteriores acciones penales ya enjuiciadas pues, como extensamente ha argumentado la Sala de lo Penal del Tribunal Supremo al rechazar la declinatoria de jurisdicción, se trata de casos distintos, referidos a hechos diferentes, que no pueden ser utilizados como término de comparación válido para cuestionar la decisión adoptada en la presente causa. En aquellos supuestos la acusación tuvo un presupuesto fáctico distinto, y tampoco se extendió a los tipos penales que han sido enjuiciados en la presente causa penal. En todo caso, más allá de expresar su disentimiento, el recurrente no hace el mínimo esfuerzo argumental en relación con la respuesta expresa que, sobre esta cuestión, ha recibido del Tribunal Supremo.</w:t>
      </w:r>
    </w:p>
    <w:p w:rsidR="005728DD" w:rsidRDefault="005728DD" w:rsidP="005728DD">
      <w:pPr>
        <w:pStyle w:val="TextoNormal"/>
      </w:pPr>
    </w:p>
    <w:p w:rsidR="005728DD" w:rsidRDefault="005728DD" w:rsidP="005728DD">
      <w:pPr>
        <w:pStyle w:val="TextoNormal"/>
      </w:pPr>
      <w:r>
        <w:t>En definitiva, en cuanto a la asunción de la competencia para la averiguación del delito denunciado, la conclusión alcanzada es consecuencia lógica de las razones jurídicas expuestas y no supone una manipulación arbitraria de la regla de distribución de competencias, por lo que la vulneración alegada ha de ser desestimada.</w:t>
      </w:r>
    </w:p>
    <w:p w:rsidR="005728DD" w:rsidRDefault="005728DD" w:rsidP="005728DD">
      <w:pPr>
        <w:pStyle w:val="TextoNormal"/>
      </w:pPr>
    </w:p>
    <w:p w:rsidR="005728DD" w:rsidRDefault="005728DD" w:rsidP="005728DD">
      <w:pPr>
        <w:pStyle w:val="TextoNormal"/>
      </w:pPr>
      <w:r>
        <w:lastRenderedPageBreak/>
        <w:t>3.4.3. Como ha quedado expuesto, la extensión subjetiva de la competencia al demandante y a otras personas no aforadas sometidas a investigación, fue acordada por auto del magistrado instructor de 24 de noviembre de 2017. Aunque el demandante carecía en aquel momento de la condición de aforado, la investigación y enjuiciamiento de los hechos que se le atribuían por la Sala de lo Penal del Tribunal Supremo estaban explícita y específicamente previstos por las normas de la Ley de enjuiciamiento criminal que establecen el enjuiciamiento conjunto en un solo proceso de los delitos conexos cuya inescindibilidad sea apreciada (art. 17.1 y 2 y art. 272 LECrim). No cabe compartir la afirmación que se hace en la demanda según la cual tales reglas de conexidad son “difícilmente comprensibles y contradictorias con pronunciamientos anteriores recientes del Tribunal Supremo”. Se trata de normas procesales aplicadas diaria y ordinariamente en nuestra realidad jurídica, cuando un solo hecho es cometido por dos o más personas reunidas, o un delito es medio para la comisión de otro o para facilitar su ejecución, o, en fin, cuando se aprecia la existencia de un concierto previo para la comisión de un delito plurisubjetivo en distintos lugares o tiempos (art. 17.1 a 3 LECrim).</w:t>
      </w:r>
    </w:p>
    <w:p w:rsidR="005728DD" w:rsidRDefault="005728DD" w:rsidP="005728DD">
      <w:pPr>
        <w:pStyle w:val="TextoNormal"/>
      </w:pPr>
    </w:p>
    <w:p w:rsidR="005728DD" w:rsidRDefault="005728DD" w:rsidP="005728DD">
      <w:pPr>
        <w:pStyle w:val="TextoNormal"/>
      </w:pPr>
      <w:r>
        <w:t>3.4.4. Igual suerte desestimatoria ha de correr la vulneración que se asocia al auto de 27 de diciembre de 2018, que desestimó las diversas declinatorias de jurisdicción planteadas por los acusados. Sus razonamientos son semejantes y abundan en los que ya han sido expuestos. El único elemento diferencial de su análisis radica ahora en que la competencia de enjuiciamiento se ratificó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(delito del que el demandante fue también acusado), incorporaban hechos que desbordan el límite territorial de la comunidad autónoma catalana.</w:t>
      </w:r>
    </w:p>
    <w:p w:rsidR="005728DD" w:rsidRDefault="005728DD" w:rsidP="005728DD">
      <w:pPr>
        <w:pStyle w:val="TextoNormal"/>
      </w:pPr>
    </w:p>
    <w:p w:rsidR="005728DD" w:rsidRDefault="005728DD" w:rsidP="005728DD">
      <w:pPr>
        <w:pStyle w:val="TextoNormal"/>
      </w:pPr>
      <w:r>
        <w:t>El mantenimiento de la competencia para enjuiciamiento vino apoyado en todo momento en los elementos que, en el Estatuto de Autonomía de Cataluña, definen la regla estatutaria de atribución competencial. Por tanto,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005728DD" w:rsidRDefault="005728DD" w:rsidP="005728DD">
      <w:pPr>
        <w:pStyle w:val="TextoNormal"/>
      </w:pPr>
    </w:p>
    <w:p w:rsidR="005728DD" w:rsidRDefault="005728DD" w:rsidP="005728DD">
      <w:pPr>
        <w:pStyle w:val="TextoNormal"/>
      </w:pPr>
      <w:r>
        <w:t>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determinada la competencia.</w:t>
      </w:r>
    </w:p>
    <w:p w:rsidR="005728DD" w:rsidRDefault="005728DD" w:rsidP="005728DD">
      <w:pPr>
        <w:pStyle w:val="TextoNormal"/>
      </w:pPr>
    </w:p>
    <w:p w:rsidR="005728DD" w:rsidRDefault="005728DD" w:rsidP="005728DD">
      <w:pPr>
        <w:pStyle w:val="TextoNormal"/>
      </w:pPr>
      <w: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(EAC), no es irrazonable que lo sea respecto a las acciones penales que contra ellos se dirijan en </w:t>
      </w:r>
      <w:r>
        <w:lastRenderedPageBreak/>
        <w:t>esos casos; lo que permite concluir que las resoluciones impugnadas en amparo no vulneraron el derecho del recurrente al juez ordinario predeterminado por la ley.</w:t>
      </w:r>
    </w:p>
    <w:p w:rsidR="005728DD" w:rsidRDefault="005728DD" w:rsidP="005728DD">
      <w:pPr>
        <w:pStyle w:val="TextoNormal"/>
      </w:pPr>
    </w:p>
    <w:p w:rsidR="005728DD" w:rsidRDefault="005728DD" w:rsidP="005728DD">
      <w:pPr>
        <w:pStyle w:val="TextoNormal"/>
      </w:pPr>
      <w:r>
        <w:t>3.5. La desestimación del precedente motivo de amparo lleva consigo la del que, por conexión, denuncia la indebida limitación del derecho al doble grado jurisdiccional en materia penal. El demandante ha visto cómo la investigación y el enjuiciamiento de las imputaciones que pesaban sobre él se trasladaron ante la Sala de lo Penal del Tribunal Supremo, debido a que algunas otras personas acusadas en la misma causa tenían la condición necesaria para el aforamiento parlamentario previsto en el art. 57.2 EAC, y a que se apreció identidad fáctica y conexidad procesal entre los hechos y delitos atribuidos inicialmente a los aforados y al demandante. Posteriormente fue mantenida tras adquirir la condición de diputado autonómico.</w:t>
      </w:r>
    </w:p>
    <w:p w:rsidR="005728DD" w:rsidRDefault="005728DD" w:rsidP="005728DD">
      <w:pPr>
        <w:pStyle w:val="TextoNormal"/>
      </w:pPr>
    </w:p>
    <w:p w:rsidR="005728DD" w:rsidRDefault="005728DD" w:rsidP="005728DD">
      <w:pPr>
        <w:pStyle w:val="TextoNormal"/>
      </w:pPr>
      <w:r>
        <w:t>Tal y como expresa la sentencia impugnada, este tribunal ya ha abordado en anteriores pronunciamientos dicha cuestión (por todas, SSTC 51/1985, de 10 de abril, FJ 3, y 64/2001, de 17 de marzo, FJ 5). En ellos hemos señalado que el derecho a someter el fallo condenatorio y la pena ante un tribunal superior integra el derecho al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suficiente.</w:t>
      </w:r>
    </w:p>
    <w:p w:rsidR="005728DD" w:rsidRDefault="005728DD" w:rsidP="005728DD">
      <w:pPr>
        <w:pStyle w:val="TextoNormal"/>
      </w:pPr>
    </w:p>
    <w:p w:rsidR="005728DD" w:rsidRDefault="005728DD" w:rsidP="005728DD">
      <w:pPr>
        <w:pStyle w:val="TextoNormal"/>
      </w:pPr>
      <w:r>
        <w:t>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w:t>
      </w:r>
    </w:p>
    <w:p w:rsidR="005728DD" w:rsidRDefault="005728DD" w:rsidP="005728DD">
      <w:pPr>
        <w:pStyle w:val="TextoNormal"/>
      </w:pPr>
    </w:p>
    <w:p w:rsidR="005728DD" w:rsidRDefault="005728DD" w:rsidP="005728DD">
      <w:pPr>
        <w:pStyle w:val="TextoNormal"/>
      </w:pPr>
      <w: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se estimó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(1966), cuyo influjo ha sido decisivo en esta materia (STC 42/1982). Pero, al mismo tiempo que lo reconoce, el Protocolo establece una excepción en </w:t>
      </w:r>
      <w:r>
        <w:lastRenderedPageBreak/>
        <w:t>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 la doble instancia penal.</w:t>
      </w:r>
    </w:p>
    <w:p w:rsidR="005728DD" w:rsidRDefault="005728DD" w:rsidP="005728DD">
      <w:pPr>
        <w:pStyle w:val="TextoNormal"/>
      </w:pPr>
    </w:p>
    <w:p w:rsidR="005728DD" w:rsidRDefault="005728DD" w:rsidP="005728DD">
      <w:pPr>
        <w:pStyle w:val="TextoNormal"/>
      </w:pPr>
      <w:r>
        <w:t>Procede, en consecuencia, desestimar este motivo del recurso de amparo.</w:t>
      </w:r>
    </w:p>
    <w:p w:rsidR="005728DD" w:rsidRDefault="005728DD" w:rsidP="005728DD">
      <w:pPr>
        <w:pStyle w:val="TextoNormal"/>
      </w:pPr>
    </w:p>
    <w:p w:rsidR="005728DD" w:rsidRPr="005728DD" w:rsidRDefault="005728DD" w:rsidP="005728DD">
      <w:pPr>
        <w:pStyle w:val="TextoNormal"/>
        <w:rPr>
          <w:i/>
        </w:rPr>
      </w:pPr>
      <w:r w:rsidRPr="005728DD">
        <w:rPr>
          <w:rStyle w:val="NumeroAFNegritaCaracter"/>
        </w:rPr>
        <w:t>4</w:t>
      </w:r>
      <w:r>
        <w:t xml:space="preserve">. </w:t>
      </w:r>
      <w:r w:rsidRPr="005728DD">
        <w:rPr>
          <w:i/>
        </w:rPr>
        <w:t>Los derechos de defensa y a no ser discriminado por razón de la lengua.</w:t>
      </w:r>
    </w:p>
    <w:p w:rsidR="005728DD" w:rsidRPr="005728DD" w:rsidRDefault="005728DD" w:rsidP="005728DD">
      <w:pPr>
        <w:pStyle w:val="TextoNormal"/>
        <w:rPr>
          <w:i/>
        </w:rPr>
      </w:pPr>
    </w:p>
    <w:p w:rsidR="005728DD" w:rsidRPr="005728DD" w:rsidRDefault="005728DD" w:rsidP="005728DD">
      <w:pPr>
        <w:pStyle w:val="TextoNormal"/>
        <w:rPr>
          <w:i/>
        </w:rPr>
      </w:pPr>
      <w:r w:rsidRPr="005728DD">
        <w:rPr>
          <w:i/>
        </w:rPr>
        <w:t>4.1. Posiciones de las partes.</w:t>
      </w:r>
    </w:p>
    <w:p w:rsidR="005728DD" w:rsidRDefault="005728DD" w:rsidP="005728DD">
      <w:pPr>
        <w:pStyle w:val="TextoNormal"/>
      </w:pPr>
    </w:p>
    <w:p w:rsidR="005728DD" w:rsidRDefault="005728DD" w:rsidP="005728DD">
      <w:pPr>
        <w:pStyle w:val="TextoNormal"/>
      </w:pPr>
      <w:r>
        <w:t>La parte recurrente denuncia la vulneración del derecho de defensa (arts. 24 CE y 6 CEDH) por no haber permitido el tribunal sentenciador a los acusados y a los testigos declarar en el juicio oral en su lengua materna, habilitando al efecto un sistema de traducción simultánea. Considera también que este hecho supuso la infracción del derecho a la no discriminación por razón de lengua (arts. 14 CE y 14 CEDH).</w:t>
      </w:r>
    </w:p>
    <w:p w:rsidR="005728DD" w:rsidRDefault="005728DD" w:rsidP="005728DD">
      <w:pPr>
        <w:pStyle w:val="TextoNormal"/>
      </w:pPr>
    </w:p>
    <w:p w:rsidR="005728DD" w:rsidRDefault="005728DD" w:rsidP="005728DD">
      <w:pPr>
        <w:pStyle w:val="TextoNormal"/>
      </w:pPr>
      <w:r>
        <w:t>En concreto, como se indica pormenorizadamente en los antecedentes de esta sentencia, la demanda recuerda que varias defensas solicitaron a la Sala poder utilizar en el interrogatorio de sus defendidos en la vista oral el catalán, a fin de poder declarar con mayor fluidez, así como la utilización del sistema de traducción simultánea, que el art. 123.2 LECrim considera preferente al sistema de traducción sucesiva. El tribunal, sin embargo, pese a reconocer expresamente que los procesados tenían derecho a declarar en catalán (página 69 de la sentencia), acordó que habría de utilizarse un sistema de traducción sucesiva, mucho menos ágil, lo que forzó a aquellos a desistir de expresarse en su lengua vernácula. Según la defensa, su uso permite al procesado entender mejor las preguntas que se le hacen y responderlas con mayor fluidez, pero la fórmula de traducción consecutiva, cuyo empleo se justificó por la Sala como garantía de la publicidad del proceso, y que según el art. 123.2 LECrim solo procede cuando no es posible habilitar un sistema de traducción simultánea, ralentiza y prolonga en exceso el acto, que deviene agotador para todos los intervinientes y para la propia Sala, en un juicio ya de por sí extenso. Se añade que, además del menoscabo al derecho de defensa (art. 24.1 CE), la negativa a permitir la traducción simultánea constituye una discriminación contraria al art. 14 CE, pues, en comparación con el trato dispensado a cualquier ciudadano español cuya lengua propia sea el castellano, los ciudadanos catalanohablantes tienen que “soportar la carga (absolutamente evitable) de una prolongación del juicio oral”, lo que se traduce en “un claro efecto desincentivador del ejercicio de los derechos lingüísticos”.</w:t>
      </w:r>
    </w:p>
    <w:p w:rsidR="005728DD" w:rsidRDefault="005728DD" w:rsidP="005728DD">
      <w:pPr>
        <w:pStyle w:val="TextoNormal"/>
      </w:pPr>
    </w:p>
    <w:p w:rsidR="005728DD" w:rsidRDefault="005728DD" w:rsidP="005728DD">
      <w:pPr>
        <w:pStyle w:val="TextoNormal"/>
      </w:pPr>
      <w:r>
        <w:t>En relación con los testigos, a quienes se impidió la posibilidad de expresarse en catalán, según la parte recurrente, la Sala basó su decisión en una interpretación del art. 231.3 LOPJ opuesta a los arts. 3.2 y 14 CE, lo que les condujo a expresarse en una lengua que hablan con menor fluidez, incidiendo en la credibilidad de su testimonio y vulnerando, por tanto, el derecho de defensa de los procesados.</w:t>
      </w:r>
    </w:p>
    <w:p w:rsidR="005728DD" w:rsidRDefault="005728DD" w:rsidP="005728DD">
      <w:pPr>
        <w:pStyle w:val="TextoNormal"/>
      </w:pPr>
    </w:p>
    <w:p w:rsidR="005728DD" w:rsidRDefault="005728DD" w:rsidP="005728DD">
      <w:pPr>
        <w:pStyle w:val="TextoNormal"/>
      </w:pPr>
      <w:r>
        <w:lastRenderedPageBreak/>
        <w:t>El abogado del Estado rechaza el fundamento de esta queja señalando que la configuración, en 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Y en relación con los tres testigos que pidieron declarar en catalán, señala que no solo tenían obligación de conocer el castellano, sino que por razón de sus cargos eran perfectamente conocedores de esa lengua, a lo que se suma que esos testimonios fueron inanes desde el punto de vista probatorio, por lo que no incidieron en el derecho de defensa.</w:t>
      </w:r>
    </w:p>
    <w:p w:rsidR="005728DD" w:rsidRDefault="005728DD" w:rsidP="005728DD">
      <w:pPr>
        <w:pStyle w:val="TextoNormal"/>
      </w:pPr>
    </w:p>
    <w:p w:rsidR="005728DD" w:rsidRDefault="005728DD" w:rsidP="005728DD">
      <w:pPr>
        <w:pStyle w:val="TextoNormal"/>
      </w:pPr>
      <w:r>
        <w:t>Por su parte, la representación procesal del partido político Vox postula también la desestimación de este motivo de amparo. A su juicio, de la STC 74/1987, de 25 de mayo, se desprende que el deber de conocer el castellano, conforme se establece en el art. 3.1 CE, genera una presunción de conocimiento que puede ser desvirtuada cuando de manera verosímil se alega ignorancia o conocimiento insuficiente, lo que no se ha producido en este caso, siendo esto predicable tanto respecto del demandante como en relación con los testigos.</w:t>
      </w:r>
    </w:p>
    <w:p w:rsidR="005728DD" w:rsidRDefault="005728DD" w:rsidP="005728DD">
      <w:pPr>
        <w:pStyle w:val="TextoNormal"/>
      </w:pPr>
    </w:p>
    <w:p w:rsidR="005728DD" w:rsidRDefault="005728DD" w:rsidP="005728DD">
      <w:pPr>
        <w:pStyle w:val="TextoNormal"/>
      </w:pPr>
      <w:r>
        <w:t>Por último, el Ministerio Fiscal, que lleva a cabo un importante esfuerzo de compilación de la normativa y de la doctrina constitucional, interesa también la desestimación de la queja. A su entender, el criterio de territorialidad relevante para determinar la vinculación de un poder público a las consecuencias de la cooficialidad de una lengua autonómica es la sede del órgano, no el alcance territorial de su competencia, por lo que al recurrente no le asistía un derecho a exigir el uso del idioma catalán en sus declaraciones en el acto del juicio oral en la sede del Tribunal Supremo. Y añade que las partes no mostraron dificultad alguna en el entendimiento de lo que se estaba preguntando, que la Sala sentenciadora expresó la razón de optar por el método de traducción sucesiva, como era la preservación del principio de publicidad de los debates del juicio oral, y que, en el caso de los testigos, la irrelevancia probatoria de sus declaraciones descarta la afectación del derecho de defensa.</w:t>
      </w:r>
    </w:p>
    <w:p w:rsidR="005728DD" w:rsidRDefault="005728DD" w:rsidP="005728DD">
      <w:pPr>
        <w:pStyle w:val="TextoNormal"/>
      </w:pPr>
    </w:p>
    <w:p w:rsidR="005728DD" w:rsidRDefault="005728DD" w:rsidP="005728DD">
      <w:pPr>
        <w:pStyle w:val="TextoNormal"/>
      </w:pPr>
      <w:r>
        <w:t xml:space="preserve">4.2. </w:t>
      </w:r>
      <w:r w:rsidRPr="005728DD">
        <w:rPr>
          <w:i/>
        </w:rPr>
        <w:t>Respuesta del órgano judicial</w:t>
      </w:r>
      <w:r>
        <w:t>.</w:t>
      </w:r>
    </w:p>
    <w:p w:rsidR="005728DD" w:rsidRDefault="005728DD" w:rsidP="005728DD">
      <w:pPr>
        <w:pStyle w:val="TextoNormal"/>
      </w:pPr>
    </w:p>
    <w:p w:rsidR="005728DD" w:rsidRDefault="005728DD" w:rsidP="005728DD">
      <w:pPr>
        <w:pStyle w:val="TextoNormal"/>
      </w:pPr>
      <w:r>
        <w:t>La sentencia recurrida en amparo se refiere a esta materia, que fue planteada por las defensas de varios procesados (concretamente los señores Junqueras, Romeva, Sànchez, Rull, Turull, Cuixart y la señora Forcadell) en el fundamento de Derecho A), apartado 3.</w:t>
      </w:r>
    </w:p>
    <w:p w:rsidR="005728DD" w:rsidRDefault="005728DD" w:rsidP="005728DD">
      <w:pPr>
        <w:pStyle w:val="TextoNormal"/>
      </w:pPr>
    </w:p>
    <w:p w:rsidR="005728DD" w:rsidRDefault="005728DD" w:rsidP="005728DD">
      <w:pPr>
        <w:pStyle w:val="TextoNormal"/>
      </w:pPr>
      <w:r>
        <w:t xml:space="preserve">Tras un capítulo introductorio, el tribunal sentenciador condensa su respuesta señalando que “como ya anticipó </w:t>
      </w:r>
      <w:r w:rsidRPr="005728DD">
        <w:rPr>
          <w:i/>
        </w:rPr>
        <w:t>in voce</w:t>
      </w:r>
      <w:r>
        <w:t xml:space="preserve"> al resolver la audiencia preliminar, reconoció el derecho de los acusados a valerse del idioma catalán, pero rechazó la posibilidad de que el interrogatorio se practicara mediante traducción simultánea, que habría exigido a los miembros del tribunal la utilización de auriculares”. La razón —señala— es doble: “la afectación que esa práctica podría conllevar respecto del principio de publicidad” y “el verdadero significado constitucional del plurilingüismo en nuestro sistema, construido normativamente a partir de una delimitación espacial o territorial de su respectiva vigencia”.</w:t>
      </w:r>
    </w:p>
    <w:p w:rsidR="005728DD" w:rsidRDefault="005728DD" w:rsidP="005728DD">
      <w:pPr>
        <w:pStyle w:val="TextoNormal"/>
      </w:pPr>
    </w:p>
    <w:p w:rsidR="005728DD" w:rsidRDefault="005728DD" w:rsidP="005728DD">
      <w:pPr>
        <w:pStyle w:val="TextoNormal"/>
      </w:pPr>
      <w:r>
        <w:t>A partir de este enunciado general, la sentencia aborda estos puntos en varios subapartados.</w:t>
      </w:r>
    </w:p>
    <w:p w:rsidR="005728DD" w:rsidRDefault="005728DD" w:rsidP="005728DD">
      <w:pPr>
        <w:pStyle w:val="TextoNormal"/>
      </w:pPr>
    </w:p>
    <w:p w:rsidR="005728DD" w:rsidRDefault="005728DD" w:rsidP="005728DD">
      <w:pPr>
        <w:pStyle w:val="TextoNormal"/>
      </w:pPr>
      <w:r>
        <w:lastRenderedPageBreak/>
        <w:t>a) El epígrafe 3.2.1 desarrolla la perspectiva del principio de publicidad procesal. Comienza declarando lo que sigue:</w:t>
      </w:r>
    </w:p>
    <w:p w:rsidR="005728DD" w:rsidRDefault="005728DD" w:rsidP="005728DD">
      <w:pPr>
        <w:pStyle w:val="TextoNormal"/>
      </w:pPr>
    </w:p>
    <w:p w:rsidR="005728DD" w:rsidRDefault="005728DD" w:rsidP="005728DD">
      <w:pPr>
        <w:pStyle w:val="TextoNormal"/>
      </w:pPr>
      <w:r>
        <w:t xml:space="preserve">“Admitir la exigencia de auriculares como única forma de garantizar el derecho a expresarse en la propia lengua, habría implicado el sacrificio del principio de publicidad. Si entender las preguntas de los letrados y las respuestas de los acusados hubiera exigido disponer de auriculares, habríamos excluido de forma injustificada a todas aquellas personas que, hallándose en la sala de juicios o siguiendo la retransmisión televisada del proceso, no tuvieran a su alcance esos dispositivos. Habríamos también excluido a quienes siguieran el juicio a través de una señal de transmisión cuyos responsables no consideraran oportuno o rentable incorporar una voz en </w:t>
      </w:r>
      <w:r w:rsidRPr="005728DD">
        <w:rPr>
          <w:i/>
        </w:rPr>
        <w:t>off</w:t>
      </w:r>
      <w:r>
        <w:t xml:space="preserve"> que efectuara la traducción”.</w:t>
      </w:r>
    </w:p>
    <w:p w:rsidR="005728DD" w:rsidRDefault="005728DD" w:rsidP="005728DD">
      <w:pPr>
        <w:pStyle w:val="TextoNormal"/>
      </w:pPr>
    </w:p>
    <w:p w:rsidR="005728DD" w:rsidRDefault="005728DD" w:rsidP="005728DD">
      <w:pPr>
        <w:pStyle w:val="TextoNormal"/>
      </w:pPr>
      <w:r>
        <w:t>A juicio de la Sala, “se trataría de un sacrificio innecesario e injustificado”. Argumenta asimismo que ofreció, “incluso a quienes no lo habían solicitado de forma expresa, la posibilidad de practicar en lengua catalana los actos procesales en los que debieran tener algún tipo de intervención”, a cuyo fin el tribunal dispuso de dos intérpretes jurados de catalán. “Sin embargo [se reseña], ninguno de los acusados quiso valerse de intérprete para sus respuestas, renunciando expresamente a lo que reivindicaba como su derecho y contestando el interrogatorio en castellano. El juicio, por tanto,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w:t>
      </w:r>
    </w:p>
    <w:p w:rsidR="005728DD" w:rsidRDefault="005728DD" w:rsidP="005728DD">
      <w:pPr>
        <w:pStyle w:val="TextoNormal"/>
      </w:pPr>
    </w:p>
    <w:p w:rsidR="005728DD" w:rsidRDefault="005728DD" w:rsidP="005728DD">
      <w:pPr>
        <w:pStyle w:val="TextoNormal"/>
      </w:pPr>
      <w:r>
        <w:t>“[M]uestra de la fluidez, la precisión y el dominio de la lengua castellana que evidenciaron todos los procesados”, sigue diciéndose, es el soporte digital en el que consta la grabación del juicio. “Su capacidad argumental, la solidez dialéctica y, en algunos casos, la brillantez de sus exposiciones, disipan cualquier duda acerca de la alegada indefensión”.</w:t>
      </w:r>
    </w:p>
    <w:p w:rsidR="005728DD" w:rsidRDefault="005728DD" w:rsidP="005728DD">
      <w:pPr>
        <w:pStyle w:val="TextoNormal"/>
      </w:pPr>
    </w:p>
    <w:p w:rsidR="005728DD" w:rsidRDefault="005728DD" w:rsidP="005728DD">
      <w:pPr>
        <w:pStyle w:val="TextoNormal"/>
      </w:pPr>
      <w:r>
        <w:t>Tras insistir en que “se puso al alcance de todos los acusados que quisieran hablar en el idioma catalán” la posibilidad de hacerlo, sin sacrificio de la publicidad, mediante la alternativa del empleo de traductores jurados en interpretación sucesiva, lo que fue rechazado por los acusados, se niega la indefensión.</w:t>
      </w:r>
    </w:p>
    <w:p w:rsidR="005728DD" w:rsidRDefault="005728DD" w:rsidP="005728DD">
      <w:pPr>
        <w:pStyle w:val="TextoNormal"/>
      </w:pPr>
    </w:p>
    <w:p w:rsidR="005728DD" w:rsidRDefault="005728DD" w:rsidP="005728DD">
      <w:pPr>
        <w:pStyle w:val="TextoNormal"/>
      </w:pPr>
      <w:r>
        <w:t xml:space="preserve">Se refiere después a la interpretación y aplicación del art. 123 LECrim [apartado 2: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Señala al respecto, que “[l]a primera conclusión que autoriza la lectura de este precepto es que el respeto al derecho fundamental de los imputados que no hablen o entiendan el castellano o la lengua oficial en la que se desarrolle el plenario, no se asocia a la utilización de un método de traducción simultánea. Su empleo no actúa como presupuesto de validez de la declaración de los procesados. Tan idónea, a efectos de su validez procesal, es la utilización de un mecanismo de traducción simultánea como el que se vale de la traducción sucesiva”. Y añade que, si bien es cierto que el precepto “condiciona la decisión por uno u otro sistema a que ‘[…] no pueda disponerse del servicio de interpretación simultánea’ […] no fue esta la razón que llevó a la Sala a optar por la segunda alternativa. No han sido razones económicas […]. Tampoco dificultades técnicas […]. La circunstancia que ha condicionado nuestra decisión está vinculada a la singularidad </w:t>
      </w:r>
      <w:r>
        <w:lastRenderedPageBreak/>
        <w:t xml:space="preserve">de este proceso, desarrollado en sesiones orales que se han prolongado durante cuatro meses y televisado mediante </w:t>
      </w:r>
      <w:r w:rsidRPr="005728DD">
        <w:rPr>
          <w:i/>
        </w:rPr>
        <w:t>streaming</w:t>
      </w:r>
      <w:r>
        <w:t xml:space="preserve"> en su integridad. Constatada, por tanto, la ausencia de cualquier indefensión derivada del sistema de traducción sucesiva, hemos considerado necesario preservar todas las ventajas y garantías propias del principio de publicidad. Todo ciudadano que haya querido seguir el desarrollo de las sesiones del juicio oral ha podido hacerlo sin que la ausencia de auriculares a su alcance haya mermado su capacidad para formarse opinión de lo que estaba aconteciendo en la Sala”.</w:t>
      </w:r>
    </w:p>
    <w:p w:rsidR="005728DD" w:rsidRDefault="005728DD" w:rsidP="005728DD">
      <w:pPr>
        <w:pStyle w:val="TextoNormal"/>
      </w:pPr>
    </w:p>
    <w:p w:rsidR="005728DD" w:rsidRDefault="005728DD" w:rsidP="005728DD">
      <w:pPr>
        <w:pStyle w:val="TextoNormal"/>
      </w:pPr>
      <w:r>
        <w:t>b) En los apartados 3.2.2 y 3.2.3 de la sentencia se trata del aspecto relativo al plurilingüismo en España y su dimensión procesal.</w:t>
      </w:r>
    </w:p>
    <w:p w:rsidR="005728DD" w:rsidRDefault="005728DD" w:rsidP="005728DD">
      <w:pPr>
        <w:pStyle w:val="TextoNormal"/>
      </w:pPr>
    </w:p>
    <w:p w:rsidR="005728DD" w:rsidRDefault="005728DD" w:rsidP="005728DD">
      <w:pPr>
        <w:pStyle w:val="TextoNormal"/>
      </w:pPr>
      <w:r>
        <w:t>Comienza por reproducir el artículo 3 CE (“1. El castellano es la lengua española oficial del Estado. Todos los españoles tienen el deber de conocerla y el derecho a usarla. 2. Las demás lenguas españolas serán también oficiales en las respectivas Comunidades Autónomas de acuerdo con sus Estatutos. 3. La riqueza de las distintas modalidades lingüísticas de España es un patrimonio cultural que será objeto de especial respeto y protección”) y señala que la Sala rechazó la petición de la defensa de los señores Junqueras y Romeva relativa a que los letrados pudieran formular sus preguntas en lengua catalana en aplicación del artículo 231.1 LOPJ, que “proclama que el castellano, en su condición de lengua oficial del Estado, será el idioma usado en todas las actuaciones judiciales”. Añade que “el apartado 3 de ese mismo precepto, en consonancia con la previsión del art. 3 de la CE, autoriza a las partes, a sus representantes, a los peritos, a los testigos y a los letrados, a valerse de una lengua cooficial cuando se trate de actos procesales practicados en el territorio de una comunidad autónoma. La sede del Tribunal Supremo, fuera de ese ámbito territorial explica y justifica la exclusión de esa posibilidad”.</w:t>
      </w:r>
    </w:p>
    <w:p w:rsidR="005728DD" w:rsidRDefault="005728DD" w:rsidP="005728DD">
      <w:pPr>
        <w:pStyle w:val="TextoNormal"/>
      </w:pPr>
    </w:p>
    <w:p w:rsidR="005728DD" w:rsidRDefault="005728DD" w:rsidP="005728DD">
      <w:pPr>
        <w:pStyle w:val="TextoNormal"/>
      </w:pPr>
      <w:r>
        <w:t>En relación con la Carta europea de las lenguas regionales o minoritarias, hecha en Estrasburgo el 5 de noviembre de 1992 (instrumento de ratificación publicado en el “BOE” núm. 222, de 15 de septiembre de 2001), invocada por las defensas, tras hacer una exhaustiva exposición en torno a su artículo 9 y al quinto informe sobre su cumplimiento en España, elaborado por el Ministerio de la Presidencia y para las Administraciones Territoriales, el tribunal sentenciador declara que “la limitación territorial al ámbito de las comunidades autónomas vuelve a hacer acto de presencia, en la misma línea que ya proclamara el precepto constitucional y su desarrollo orgánico (arts. 3 CE y 231.3 LOPJ)”. Esta misma restricción —añade— “está también definida, por ejemplo, en el informe sobre la aplicación de la Carta europea de lenguas regionales o minoritarias en Cataluña, correspondiente a los años 2006-2008”, así como en los apartados 2 y 5 del art. 33 EAC. Y concluye señalando:</w:t>
      </w:r>
    </w:p>
    <w:p w:rsidR="005728DD" w:rsidRDefault="005728DD" w:rsidP="005728DD">
      <w:pPr>
        <w:pStyle w:val="TextoNormal"/>
      </w:pPr>
    </w:p>
    <w:p w:rsidR="005728DD" w:rsidRDefault="005728DD" w:rsidP="005728DD">
      <w:pPr>
        <w:pStyle w:val="TextoNormal"/>
      </w:pPr>
      <w:r>
        <w:t>“Todo apunta, en consecuencia, 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El territorio, por tanto, opera como verdadero criterio delimitador de la oficialidad”.</w:t>
      </w:r>
    </w:p>
    <w:p w:rsidR="005728DD" w:rsidRDefault="005728DD" w:rsidP="005728DD">
      <w:pPr>
        <w:pStyle w:val="TextoNormal"/>
      </w:pPr>
    </w:p>
    <w:p w:rsidR="005728DD" w:rsidRDefault="005728DD" w:rsidP="005728DD">
      <w:pPr>
        <w:pStyle w:val="TextoNormal"/>
      </w:pPr>
      <w:r>
        <w:t xml:space="preserve">A continuación, se refiere a la jurisprudencia constitucional (con cita y reproducción de parte de las SSTC 82/1986, 26 de junio, y 31/2010, 28 de junio), de donde extrae que “[n]o existe […] el derecho a la utilización de un mecanismo de traducción simultánea que obligue al Tribunal Supremo a presenciar el desarrollo de la práctica de la prueba y las alegaciones </w:t>
      </w:r>
      <w:r>
        <w:lastRenderedPageBreak/>
        <w:t>de las partes en un idioma distinto del idioma oficial”. Agrega que “[e]se derecho tampoco lo reconocen los instrumentos jurídicos de ámbito internacional suscritos por España para la protección de las lenguas regionales”, con referencia al “informe explicativo del Consejo de Europa sobre su alcance (</w:t>
      </w:r>
      <w:r w:rsidRPr="005728DD">
        <w:rPr>
          <w:i/>
        </w:rPr>
        <w:t>Explanatory Report to the European Charter for Regional or Minority Languages</w:t>
      </w:r>
      <w:r>
        <w:t>)”, que, “en su apartado 11, bajo el título ‘consideraciones generales’, proclama que ‘la Carta no otorga derechos individuales ni colectivos a los hablantes de una lengua minoritaria’, solo concede el derecho a reclamar la aplicación de los principios de la Carta, lo que conllevará un saludable efecto en la situación de esas comunidades y de sus miembros”.</w:t>
      </w:r>
    </w:p>
    <w:p w:rsidR="005728DD" w:rsidRDefault="005728DD" w:rsidP="005728DD">
      <w:pPr>
        <w:pStyle w:val="TextoNormal"/>
      </w:pPr>
    </w:p>
    <w:p w:rsidR="005728DD" w:rsidRDefault="005728DD" w:rsidP="005728DD">
      <w:pPr>
        <w:pStyle w:val="TextoNormal"/>
      </w:pPr>
      <w:r>
        <w:t>Pese a la “claridad del cuadro normativo”, insiste, la Sala de lo Penal del Tribunal Supremo “puso a disposición de las defensas […] dos traductores oficiales de la lengua catalana y concedió a los procesados la posibilidad de hacer uso de la lengua vernácula en sus respuestas”. Se optó, señala, “por una interpretación extensiva del derecho de opción lingüística que otorga el art. 33.1 del Estatuto de Autonomía de Cataluña, más allá incluso de los límites territoriales que enmarcan su ejercicio”.</w:t>
      </w:r>
    </w:p>
    <w:p w:rsidR="005728DD" w:rsidRDefault="005728DD" w:rsidP="005728DD">
      <w:pPr>
        <w:pStyle w:val="TextoNormal"/>
      </w:pPr>
    </w:p>
    <w:p w:rsidR="005728DD" w:rsidRDefault="005728DD" w:rsidP="005728DD">
      <w:pPr>
        <w:pStyle w:val="TextoNormal"/>
      </w:pPr>
      <w:r>
        <w:t>Finalmente reitera que “[n]o ha habido indefensión”. No existió ni en la fase de investigación ni en el acto del juicio oral, en que “los acusados optaron por expresarse en castellano, renunciando de forma explícita al uso de la lengua vernácula” y a “valerse de los dos intérpretes de lengua catalana puestos a su disposición por el tribunal”.</w:t>
      </w:r>
    </w:p>
    <w:p w:rsidR="005728DD" w:rsidRDefault="005728DD" w:rsidP="005728DD">
      <w:pPr>
        <w:pStyle w:val="TextoNormal"/>
      </w:pPr>
    </w:p>
    <w:p w:rsidR="005728DD" w:rsidRDefault="005728DD" w:rsidP="005728DD">
      <w:pPr>
        <w:pStyle w:val="TextoNormal"/>
      </w:pPr>
      <w:r>
        <w:t>c) El apartado 3.2.4 se refiere al argumento, que ya fue respondido en el auto de 27 de diciembre de 2018 (que desestimó la declinatoria de jurisdicción), relativo a la conveniencia del desplazamiento de la sala de enjuiciamiento a Barcelona para el desarrollo de las sesiones del juicio oral en esa ciudad, como única forma garantizar los derechos lingüísticos de los acusados. Dice al respecto que “nuestro sistema constitucional no concede a los procesados el derecho a ser enjuiciados en las proximidades del domicilio familiar. Ningún sistema procesal contempla la cercanía domiciliaria como fuero determinante de la competencia en el proceso penal (cfr. arts. 14 y concordantes de la LECrim)”.</w:t>
      </w:r>
    </w:p>
    <w:p w:rsidR="005728DD" w:rsidRDefault="005728DD" w:rsidP="005728DD">
      <w:pPr>
        <w:pStyle w:val="TextoNormal"/>
      </w:pPr>
    </w:p>
    <w:p w:rsidR="005728DD" w:rsidRDefault="005728DD" w:rsidP="005728DD">
      <w:pPr>
        <w:pStyle w:val="TextoNormal"/>
      </w:pPr>
      <w:r>
        <w:t>d) Finalmente, en el subepígrafe 3.2.5 se da respuesta a la queja planteada respecto de los testigos. Señala literalmente la Sala lo que sigue:</w:t>
      </w:r>
    </w:p>
    <w:p w:rsidR="005728DD" w:rsidRDefault="005728DD" w:rsidP="005728DD">
      <w:pPr>
        <w:pStyle w:val="TextoNormal"/>
      </w:pPr>
    </w:p>
    <w:p w:rsidR="005728DD" w:rsidRDefault="005728DD" w:rsidP="005728DD">
      <w:pPr>
        <w:pStyle w:val="TextoNormal"/>
      </w:pPr>
      <w:r>
        <w:t>“A lo largo del juicio oral la utilización del idioma catalán por algunos de los testigos fue también objeto de alegación. Del ingente número de personas que prestaron su testimonio en las sesiones del plenario, solo tres anunciaron, en calidad de testigos, su deseo de expresarse en catalán. Dos de ellas lo hicieron mediante la presentación anticipada de un escrito en el registro general de la Sala, con el fin de hacer llegar al tribunal su determinación de responder a las preguntas de las acusaciones y defensas en catalán.</w:t>
      </w:r>
    </w:p>
    <w:p w:rsidR="005728DD" w:rsidRDefault="005728DD" w:rsidP="005728DD">
      <w:pPr>
        <w:pStyle w:val="TextoNormal"/>
      </w:pPr>
    </w:p>
    <w:p w:rsidR="005728DD" w:rsidRDefault="005728DD" w:rsidP="005728DD">
      <w:pPr>
        <w:pStyle w:val="TextoNormal"/>
      </w:pPr>
      <w:r>
        <w:t xml:space="preserve">Las razones legales y jurisprudenciales apuntadas supra, interpretadas a la luz de los tratados internacionales de los que España forma parte, fueron determinantes para rechazar esa posibilidad. Se daba la circunstancia añadida de que esos tres testigos —un diputado nacional, un agente de policía autonómica y un abogado en ejercicio— no solo estaban directamente afectados por el mandato constitucional impuesto por el art. 3 de la CE, sino que, precisamente por razón de sus respectivos cargos, eran perfectos conocedores de la lengua </w:t>
      </w:r>
      <w:r>
        <w:lastRenderedPageBreak/>
        <w:t>oficial en la que han de desarrollarse los actos procesales que se celebren en el Tribunal Supremo.</w:t>
      </w:r>
    </w:p>
    <w:p w:rsidR="005728DD" w:rsidRDefault="005728DD" w:rsidP="005728DD">
      <w:pPr>
        <w:pStyle w:val="TextoNormal"/>
      </w:pPr>
    </w:p>
    <w:p w:rsidR="005728DD" w:rsidRDefault="005728DD" w:rsidP="005728DD">
      <w:pPr>
        <w:pStyle w:val="TextoNormal"/>
      </w:pPr>
      <w:r>
        <w:t>La irrelevancia probatoria de esos tres testimonios, una vez valorada por la Sala la prueba testifical, añade razones para descartar cualquier efecto negativo en el círculo de derechos, no ya de los procesados, sino de los propios declarantes”.</w:t>
      </w:r>
    </w:p>
    <w:p w:rsidR="005728DD" w:rsidRDefault="005728DD" w:rsidP="005728DD">
      <w:pPr>
        <w:pStyle w:val="TextoNormal"/>
      </w:pPr>
    </w:p>
    <w:p w:rsidR="005728DD" w:rsidRDefault="005728DD" w:rsidP="005728DD">
      <w:pPr>
        <w:pStyle w:val="TextoNormal"/>
      </w:pPr>
      <w:r>
        <w:t>Dentro del apartado 16 del mismo fundamento de Derecho A), en concreto en el apartado 16.3.6.7, a propósito de la denunciada vulneración del principio de igualdad de armas por el trato desfavorable dispensado a las defensas en el acto del juicio oral, la sentencia se remite a lo trascrito con anterioridad para rechazar que la negativa a que los testigos declarasen en catalán menoscabara tal derecho.</w:t>
      </w:r>
    </w:p>
    <w:p w:rsidR="005728DD" w:rsidRDefault="005728DD" w:rsidP="005728DD">
      <w:pPr>
        <w:pStyle w:val="TextoNormal"/>
      </w:pPr>
    </w:p>
    <w:p w:rsidR="005728DD" w:rsidRDefault="005728DD" w:rsidP="005728DD">
      <w:pPr>
        <w:pStyle w:val="TextoNormal"/>
      </w:pPr>
      <w:r>
        <w:t>4.3</w:t>
      </w:r>
      <w:r w:rsidRPr="005728DD">
        <w:rPr>
          <w:i/>
        </w:rPr>
        <w:t>. Encuadramiento de la que</w:t>
      </w:r>
      <w:r>
        <w:t>ja.</w:t>
      </w:r>
    </w:p>
    <w:p w:rsidR="005728DD" w:rsidRDefault="005728DD" w:rsidP="005728DD">
      <w:pPr>
        <w:pStyle w:val="TextoNormal"/>
      </w:pPr>
    </w:p>
    <w:p w:rsidR="005728DD" w:rsidRDefault="005728DD" w:rsidP="005728DD">
      <w:pPr>
        <w:pStyle w:val="TextoNormal"/>
      </w:pPr>
      <w:r>
        <w:t>La demanda, de la que se ha dejado constancia más arriba, alude, como fundamento de esta queja, a varios derechos fundamentales. Su correcto encuadramiento, sin embargo, supone situar el motivo de amparo en el marco de los derechos reconocidos en el art. 24 CE y, específicamente, en el derecho de defensa.</w:t>
      </w:r>
    </w:p>
    <w:p w:rsidR="005728DD" w:rsidRDefault="005728DD" w:rsidP="005728DD">
      <w:pPr>
        <w:pStyle w:val="TextoNormal"/>
      </w:pPr>
    </w:p>
    <w:p w:rsidR="005728DD" w:rsidRDefault="005728DD" w:rsidP="005728DD">
      <w:pPr>
        <w:pStyle w:val="TextoNormal"/>
      </w:pPr>
      <w:r>
        <w:t>La invocación del derecho a no sufrir discriminación (art. 14 CE) por razón de la lengua y la mención de los “derechos lingüísticos” de los procesados exige, sin embargo, algunas aclaraciones, antes de examinar el fundamento de esta queja.</w:t>
      </w:r>
    </w:p>
    <w:p w:rsidR="005728DD" w:rsidRDefault="005728DD" w:rsidP="005728DD">
      <w:pPr>
        <w:pStyle w:val="TextoNormal"/>
      </w:pPr>
    </w:p>
    <w:p w:rsidR="005728DD" w:rsidRDefault="005728DD" w:rsidP="005728DD">
      <w:pPr>
        <w:pStyle w:val="TextoNormal"/>
      </w:pPr>
      <w:r>
        <w:t>a) En nuestro sistema procesal no existe un genuino derecho de los intervinientes en juicio a utilizar la lengua cooficial en actuaciones judiciales desarrolladas fuera del territorio de la comunidad autónoma correspondiente. A pesar de reconocer esa posibilidad a los procesados, justificada explícitamente en la propia sentencia recurrida por haber optado por una interpretación extensiva del derecho de opción lingüística que otorga el art. 33.1 EAC, el Tribunal Supremo subraya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w:t>
      </w:r>
    </w:p>
    <w:p w:rsidR="005728DD" w:rsidRDefault="005728DD" w:rsidP="005728DD">
      <w:pPr>
        <w:pStyle w:val="TextoNormal"/>
      </w:pPr>
    </w:p>
    <w:p w:rsidR="005728DD" w:rsidRDefault="005728DD" w:rsidP="005728DD">
      <w:pPr>
        <w:pStyle w:val="TextoNormal"/>
      </w:pPr>
      <w:r>
        <w:t>Así es. La delimitación de la cooficialidad lingüística sobre la base del territorio en que tiene su sede el órgano del poder público de que se trate ha sido constante en la doctrina constitucional.</w:t>
      </w:r>
    </w:p>
    <w:p w:rsidR="005728DD" w:rsidRDefault="005728DD" w:rsidP="005728DD">
      <w:pPr>
        <w:pStyle w:val="TextoNormal"/>
      </w:pPr>
    </w:p>
    <w:p w:rsidR="005728DD" w:rsidRDefault="005728DD" w:rsidP="005728DD">
      <w:pPr>
        <w:pStyle w:val="TextoNormal"/>
      </w:pPr>
      <w:r>
        <w:t xml:space="preserve">La STC 82/1986, de 26 de junio, FJ 2, declaró al respecto: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w:t>
      </w:r>
      <w:r>
        <w:lastRenderedPageBreak/>
        <w:t>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005728DD" w:rsidRDefault="005728DD" w:rsidP="005728DD">
      <w:pPr>
        <w:pStyle w:val="TextoNormal"/>
      </w:pPr>
    </w:p>
    <w:p w:rsidR="005728DD" w:rsidRDefault="005728DD" w:rsidP="005728DD">
      <w:pPr>
        <w:pStyle w:val="TextoNormal"/>
      </w:pPr>
      <w:r>
        <w:t>Esta misma sentencia, como nos recuerda la STC 253/2005, de 11 de octubre, FJ 10,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123/1988, de 23 de junio)”.</w:t>
      </w:r>
    </w:p>
    <w:p w:rsidR="005728DD" w:rsidRDefault="005728DD" w:rsidP="005728DD">
      <w:pPr>
        <w:pStyle w:val="TextoNormal"/>
      </w:pPr>
    </w:p>
    <w:p w:rsidR="005728DD" w:rsidRDefault="005728DD" w:rsidP="005728DD">
      <w:pPr>
        <w:pStyle w:val="TextoNormal"/>
      </w:pPr>
      <w:r>
        <w:t>El uso de las lenguas en el seno de la administración de justicia se reguló en el art. 231 LOPJ. Respecto de este precepto de la Ley Orgánica del Poder Judicial ya tuvimos ocasión de manifestar, que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005728DD" w:rsidRDefault="005728DD" w:rsidP="005728DD">
      <w:pPr>
        <w:pStyle w:val="TextoNormal"/>
      </w:pPr>
    </w:p>
    <w:p w:rsidR="005728DD" w:rsidRDefault="005728DD" w:rsidP="005728DD">
      <w:pPr>
        <w:pStyle w:val="TextoNormal"/>
      </w:pPr>
      <w:r>
        <w:t xml:space="preserve">En relación con los órganos jurisdiccionales de ámbito estatal, condición que reconoce al Tribunal Supremo el artículo 123.1 CE, y respecto de la lengua catalana, la STC 31/2010, de 28 de junio, FJ 21, tomando como punto de partida la doctrina constitucional antes reseñada, declaró que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 Subrayó también que la actividad de estos órganos “se ejerce con referencia no a una determinada comunidad autónoma, sino a todo el territorio nacional, por lo que no puede tener cabida en ellos la cooficialidad idiomática”; y reiteró el criterio de delimitación competencial, de modo que, en este ámbito, corresponde al legislador estatal con </w:t>
      </w:r>
      <w:r>
        <w:lastRenderedPageBreak/>
        <w:t>entera libertad, dentro de los límites constitucionales (art. 3.1 CE), el reconocimiento o no de eficacia jurídica a las actuaciones desarrolladas en la lengua cooficial.</w:t>
      </w:r>
    </w:p>
    <w:p w:rsidR="005728DD" w:rsidRDefault="005728DD" w:rsidP="005728DD">
      <w:pPr>
        <w:pStyle w:val="TextoNormal"/>
      </w:pPr>
    </w:p>
    <w:p w:rsidR="005728DD" w:rsidRDefault="005728DD" w:rsidP="005728DD">
      <w:pPr>
        <w:pStyle w:val="TextoNormal"/>
      </w:pPr>
      <w:r>
        <w:t>De ahí que, de acuerdo con el régimen legal vigente, contenido en el citado art. 231 LOPJ, la posición expresada en la sentencia impugnada, según la cual los procesados no disponían de un derecho autónomo a declarar en lengua catalana ante el Tribunal Supremo, con sede en la villa de Madrid (art. 53 LOPJ), debe ser avalada por este tribunal.</w:t>
      </w:r>
    </w:p>
    <w:p w:rsidR="005728DD" w:rsidRDefault="005728DD" w:rsidP="005728DD">
      <w:pPr>
        <w:pStyle w:val="TextoNormal"/>
      </w:pPr>
    </w:p>
    <w:p w:rsidR="005728DD" w:rsidRDefault="005728DD" w:rsidP="005728DD">
      <w:pPr>
        <w:pStyle w:val="TextoNormal"/>
      </w:pPr>
      <w:r>
        <w:t>b) A pesar de lo anterior y como se ha adelantado, hay que destacar que la Sala sentenciadora del Tribunal Supremo reconoció expresamente el derecho de los procesados a emplear la lengua catalana en sus declaraciones, si bien, como explica la propia sentencia impugnada, acordó que, para el caso de que se hiciera uso de esta posibilidad, habría de emplearse un sistema de traducción consecutiva —y no simultánea, como pretendían las defensas—, en aras de la garantía de publicidad del proceso. No fue siquiera controvertido, por tanto, el pretendido derecho a usar la lengua catalana, que fue reconocido, sino exclusivamente el sistema que habría de habilitarse para su traducción al castellano, lo que, pudiendo incidir en el ámbito protegido por el derecho de defensa (art. 24 CE), como examinaremos después, descarta el presupuesto de la denuncia de discriminación por razón de la lengua (art. 14 CE).</w:t>
      </w:r>
    </w:p>
    <w:p w:rsidR="005728DD" w:rsidRDefault="005728DD" w:rsidP="005728DD">
      <w:pPr>
        <w:pStyle w:val="TextoNormal"/>
      </w:pPr>
    </w:p>
    <w:p w:rsidR="005728DD" w:rsidRDefault="005728DD" w:rsidP="005728DD">
      <w:pPr>
        <w:pStyle w:val="TextoNormal"/>
      </w:pPr>
      <w:r>
        <w:t>La argumentación contenida en la demanda, que sustenta la diferencia de trato en la superior duración de las sesiones del juicio oral derivada del empleo del sistema de traducción consecutiva en los interrogatorios, para el caso de que se hubiera optado por la utilización de la lengua catalana, llevaría a calificar de discriminatoria no ya la decisión del tribunal sentenciador sobre la lengua sino sobre el método de traducción. La queja tiene como presupuesto una mera hipótesis que, aun aceptada a los efectos del discurso, resulta manifiestamente insuficiente para integrar un trato peyorativo jurídicamente relevante. En todo caso, esa eventual prolongación temporal del juicio representaría un gravamen leve, un perjuicio mínimo consustancial al empleo de cualquier mecanismo de traducción y que habría de soportar el justiciable en el ejercicio del derecho de defensa en las condiciones de diligencia que exige el art. 24 CE, como veremos a continuación.</w:t>
      </w:r>
    </w:p>
    <w:p w:rsidR="005728DD" w:rsidRDefault="005728DD" w:rsidP="005728DD">
      <w:pPr>
        <w:pStyle w:val="TextoNormal"/>
      </w:pPr>
    </w:p>
    <w:p w:rsidR="005728DD" w:rsidRDefault="005728DD" w:rsidP="005728DD">
      <w:pPr>
        <w:pStyle w:val="TextoNormal"/>
      </w:pPr>
      <w:r>
        <w:t>4.4</w:t>
      </w:r>
      <w:r w:rsidRPr="005728DD">
        <w:rPr>
          <w:i/>
        </w:rPr>
        <w:t>. Doctrina constitucion</w:t>
      </w:r>
      <w:r>
        <w:t>al.</w:t>
      </w:r>
    </w:p>
    <w:p w:rsidR="005728DD" w:rsidRDefault="005728DD" w:rsidP="005728DD">
      <w:pPr>
        <w:pStyle w:val="TextoNormal"/>
      </w:pPr>
    </w:p>
    <w:p w:rsidR="005728DD" w:rsidRDefault="005728DD" w:rsidP="005728DD">
      <w:pPr>
        <w:pStyle w:val="TextoNormal"/>
      </w:pPr>
      <w:r>
        <w:t>El derecho de defensa contradictoria de las partes contendientes en todo proceso judicial constituye una de las manifestaciones del derecho fundamental a obtener la tutela judicial efectiva sin indefensión consagrado en el artículo 24.1 CE, y comprende el deber de los órganos judiciales de asegurar a las partes contendientes la oportunidad de alegar y probar procesalmente sus derechos o intereses (SSTC 25/1997, de 11 de febrero, FJ 2; 102/1998, de 18 de mayo, FJ 2; 18/1999, de 22 de febrero, FJ 3, y 143/2001, de 18 de junio, FJ 3), así como de replicar dialécticamente las posiciones contrarias en el ejercicio del indispensable principio de contradicción en igualdad de condiciones con las demás partes procesales (SSTC 2/2002, de 14 de enero, FJ 2, y 25/2011, de 14 de marzo, FJ 7).</w:t>
      </w:r>
    </w:p>
    <w:p w:rsidR="005728DD" w:rsidRDefault="005728DD" w:rsidP="005728DD">
      <w:pPr>
        <w:pStyle w:val="TextoNormal"/>
      </w:pPr>
    </w:p>
    <w:p w:rsidR="005728DD" w:rsidRDefault="005728DD" w:rsidP="005728DD">
      <w:pPr>
        <w:pStyle w:val="TextoNormal"/>
      </w:pPr>
      <w:r>
        <w:t xml:space="preserve">a) En la STC 57/2012, de 29 de marzo, el Pleno de este tribunal ha sintetizado su doctrina en los siguientes términos: “‘[e]n el contexto del art. 24 de la Constitución la indefensión se caracteriza por suponer una privación o una limitación del derecho de defensa, que […] si se produce en virtud de concretos actos de los órganos jurisdiccionales entraña mengua del </w:t>
      </w:r>
      <w:r>
        <w:lastRenderedPageBreak/>
        <w:t>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5/2004, de 16 de enero, FJ 6; 141/2005, de 6 de junio, FJ 2; 160/2009, de 29 de junio, FJ 4, y 12/2011, de 28 de febrero, FJ 5)”.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 (SSTC 14/2008, de 31 de enero, FJ 3, y 62/2009, de 9 de marzo, FJ 4).</w:t>
      </w:r>
    </w:p>
    <w:p w:rsidR="005728DD" w:rsidRDefault="005728DD" w:rsidP="005728DD">
      <w:pPr>
        <w:pStyle w:val="TextoNormal"/>
      </w:pPr>
    </w:p>
    <w:p w:rsidR="005728DD" w:rsidRDefault="005728DD" w:rsidP="005728DD">
      <w:pPr>
        <w:pStyle w:val="TextoNormal"/>
      </w:pPr>
      <w:r>
        <w:t>La doctrina constitucional ha venido insistiendo de esta suerte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005728DD" w:rsidRDefault="005728DD" w:rsidP="005728DD">
      <w:pPr>
        <w:pStyle w:val="TextoNormal"/>
      </w:pPr>
    </w:p>
    <w:p w:rsidR="005728DD" w:rsidRDefault="005728DD" w:rsidP="005728DD">
      <w:pPr>
        <w:pStyle w:val="TextoNormal"/>
      </w:pPr>
      <w:r>
        <w:t xml:space="preserve">b) Este tribunal se ha pronunciado también sobre la proyección en el derecho de defensa del desconocimiento de la lengua utilizada en juicio. En esta materia, que es la aquí concernida, hemos reconocido que el derecho a ser asistido de intérprete, más allá de su reconocimiento legal expreso —en la LOPJ y en la LECrim—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w:t>
      </w:r>
      <w:r>
        <w:lastRenderedPageBreak/>
        <w:t>que se encuentren en ese caso (SSTC 74/1987, de 25 de mayo, FFJJ 3 y 4; 71/1988, de 19 de abril, FJ 2; 30/1989, de 7 de febrero, FJ 3, y 188/1991, de 3 de octubre, FJ 3).</w:t>
      </w:r>
    </w:p>
    <w:p w:rsidR="005728DD" w:rsidRDefault="005728DD" w:rsidP="005728DD">
      <w:pPr>
        <w:pStyle w:val="TextoNormal"/>
      </w:pPr>
    </w:p>
    <w:p w:rsidR="005728DD" w:rsidRDefault="005728DD" w:rsidP="005728DD">
      <w:pPr>
        <w:pStyle w:val="TextoNormal"/>
      </w:pPr>
      <w:r>
        <w:t>En la STC 74/1987, a propósito de la constitucionalidad del art. 520.2 e) LECrim redactado por la Ley Orgánica 14/1983, de 12 de diciembre, sobre el derecho a la asistencia de intérprete por detenidos y presos, este tribunal declaró que “la atribución de este derecho [a ser asistido de un intérprete que deriva del desconocimiento del idioma castellano que impide al detenido ser informado de sus derechos, hacerlos valer y formular las manifestaciones que considere pertinentes], a los españoles que no conozcan suficientemente el castellano y no solo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Añadió que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 (STC 74/1987, de 25 de mayo, FJ 3).</w:t>
      </w:r>
    </w:p>
    <w:p w:rsidR="005728DD" w:rsidRDefault="005728DD" w:rsidP="005728DD">
      <w:pPr>
        <w:pStyle w:val="TextoNormal"/>
      </w:pPr>
    </w:p>
    <w:p w:rsidR="005728DD" w:rsidRDefault="005728DD" w:rsidP="005728DD">
      <w:pPr>
        <w:pStyle w:val="TextoNormal"/>
      </w:pPr>
      <w:r>
        <w:t>De acuerdo con esta doctrina, íntegramente trasladable a la posición del procesado en juicio oral (la temprana STC 5/1984, de 24 de enero, FJ 2, ya reconoció que el derecho a la defensa incluye el derecho de toda persona acusada a ser asistida por un intérprete cuando no comprenda o no pueda expresarse fluidamente en el idioma utilizado en el tribunal), la procedencia, en cada caso, de la asistencia de intérprete, exige valorar no solo el derecho y deber de conocer el castellano (art. 3 CE), sino el hecho concreto de la ignorancia o conocimiento precario de nuestra lengua común, en cuanto afecte al ejercicio de un derecho fundamental, cual es el de defensa (STC 71/1988, de 19 de abril, FJ 2).</w:t>
      </w:r>
    </w:p>
    <w:p w:rsidR="005728DD" w:rsidRDefault="005728DD" w:rsidP="005728DD">
      <w:pPr>
        <w:pStyle w:val="TextoNormal"/>
      </w:pPr>
    </w:p>
    <w:p w:rsidR="005728DD" w:rsidRDefault="005728DD" w:rsidP="005728DD">
      <w:pPr>
        <w:pStyle w:val="TextoNormal"/>
      </w:pPr>
      <w:r>
        <w:t>4.5</w:t>
      </w:r>
      <w:r w:rsidRPr="005728DD">
        <w:rPr>
          <w:i/>
        </w:rPr>
        <w:t>. Resolución de la que</w:t>
      </w:r>
      <w:r>
        <w:t>ja.</w:t>
      </w:r>
    </w:p>
    <w:p w:rsidR="005728DD" w:rsidRDefault="005728DD" w:rsidP="005728DD">
      <w:pPr>
        <w:pStyle w:val="TextoNormal"/>
      </w:pPr>
    </w:p>
    <w:p w:rsidR="005728DD" w:rsidRDefault="005728DD" w:rsidP="005728DD">
      <w:pPr>
        <w:pStyle w:val="TextoNormal"/>
      </w:pPr>
      <w:r>
        <w:t>La aplicación de la doctrina que acabamos de sintetizar nos lleva a descartar el fundamento de la queja.</w:t>
      </w:r>
    </w:p>
    <w:p w:rsidR="005728DD" w:rsidRDefault="005728DD" w:rsidP="005728DD">
      <w:pPr>
        <w:pStyle w:val="TextoNormal"/>
      </w:pPr>
    </w:p>
    <w:p w:rsidR="005728DD" w:rsidRDefault="005728DD" w:rsidP="005728DD">
      <w:pPr>
        <w:pStyle w:val="TextoNormal"/>
      </w:pPr>
      <w:r>
        <w:t>a) El recurrente conoce y domina la lengua castellana, por lo que falta el presupuesto establecido por nuestra doctrina en que sustentar la alegada indefensión. Este es el dato determinante para rechazar la queja. La propia sentencia impugnada constata que “el juicio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 El tribunal sentenciador, que cuenta con la inestimable ventaja de la inmediación, apreció “la fluidez, la precisión y el dominio de la lengua castellana que evidenciaron todos los procesados” así como “su capacidad argumental, la solidez dialéctica y, en algunos casos, la brillantez de sus exposiciones”. Muestra de ello, dice, es el soporte digital en el que consta la grabación del juicio.</w:t>
      </w:r>
    </w:p>
    <w:p w:rsidR="005728DD" w:rsidRDefault="005728DD" w:rsidP="005728DD">
      <w:pPr>
        <w:pStyle w:val="TextoNormal"/>
      </w:pPr>
    </w:p>
    <w:p w:rsidR="005728DD" w:rsidRDefault="005728DD" w:rsidP="005728DD">
      <w:pPr>
        <w:pStyle w:val="TextoNormal"/>
      </w:pPr>
      <w:r>
        <w:lastRenderedPageBreak/>
        <w:t>El discurso argumental de la demanda cae enteramente en cuanto se constata que toma como punto de partida un presupuesto inexistente. Como ha quedado expuesto, el empleo en el interrogatorio de la lengua catalana, con la asistencia de intérprete, solo resultaría exigibl</w:t>
      </w:r>
      <w:r w:rsidRPr="005728DD">
        <w:rPr>
          <w:i/>
        </w:rPr>
        <w:t xml:space="preserve">e </w:t>
      </w:r>
      <w:r>
        <w:t>ex art. 24.1 CE en caso de ignorancia o conocimiento precario del castellano, lo que ha sido negado.</w:t>
      </w:r>
    </w:p>
    <w:p w:rsidR="005728DD" w:rsidRDefault="005728DD" w:rsidP="005728DD">
      <w:pPr>
        <w:pStyle w:val="TextoNormal"/>
      </w:pPr>
    </w:p>
    <w:p w:rsidR="005728DD" w:rsidRDefault="005728DD" w:rsidP="005728DD">
      <w:pPr>
        <w:pStyle w:val="TextoNormal"/>
      </w:pPr>
      <w:r>
        <w:t>b) Si bien lo anterior descarta la indefensión invocada, cabe agregar que todos los procesados, entre los que se encuentra el ahora recurrente, rehusaron la posibilidad conferida por el órgano de enjuiciamiento de declarar en catalán, siendo asistidos por un intérprete. La indefensión que se alega —que ya hemos descartado y que si seguimos tomando únicamente por razones argumentativas— solo habría de imputarse a la conducta de la propia parte, debidamente asistida de abogado, lo que, como también veíamos, la excluye del ámbito protector del art. 24 CE.</w:t>
      </w:r>
    </w:p>
    <w:p w:rsidR="005728DD" w:rsidRDefault="005728DD" w:rsidP="005728DD">
      <w:pPr>
        <w:pStyle w:val="TextoNormal"/>
      </w:pPr>
    </w:p>
    <w:p w:rsidR="005728DD" w:rsidRDefault="005728DD" w:rsidP="005728DD">
      <w:pPr>
        <w:pStyle w:val="TextoNormal"/>
      </w:pPr>
      <w:r>
        <w:t xml:space="preserve">El tribunal sentenciador expresa profusamente las razones por las que no acogió el sistema de traducción simultánea solicitado por las defensas, y que habría exigido a los miembros del órgano judicial la utilización de auriculares, y, en su lugar, puso a su disposición dos traductores jurados en interpretación sucesiva. Interesa ahora destacar que no fueron “razones económicas ligadas a los costes del proceso” ni “tampoco dificultades técnicas que hicieran inviable la traducción simultánea”, sino la garantía del principio de publicidad, que aquí cobra una especial significación por “la singularidad de este proceso, desarrollado en sesiones orales que se han prolongado durante cuatro meses y televisado mediante </w:t>
      </w:r>
      <w:r w:rsidRPr="005728DD">
        <w:rPr>
          <w:i/>
        </w:rPr>
        <w:t>streaming</w:t>
      </w:r>
      <w:r>
        <w:t xml:space="preserve"> en su integridad”. Debemos subrayar que el tribunal de enjuiciamiento trató así de tutelar un valor esencial, que tiene en nuestra Constitución la doble naturaleza de principio procesal (art. 120.1 CE) y derecho fundamental del justiciable en materia penal (art. 24.2 CE, art. 11 de la Declaración universal de derechos humanos, art. 14 del Pacto internacional de derechos civiles y políticos y art. 6 CEDH). Según la doctrina de este tribunal, es el juicio oral, en el que se producen o reproducen las pruebas de cargo y descargo y se formulan las alegaciones y peticiones definitivas de la acusación y la defensa, el acto procesal en que cobra todo su sentido la publicidad del proceso en su verdadero significado de participación y control de la Justicia por la comunidad (STC 176/1988, de 4 de octubre, FJ 2, con cita de la STC 62/1982, de 15 de octubre, haciendo suya la jurisprudencia del Tribunal Europeo de Derechos Humanos expresada en las SSTEDH de 22 de febrero de 1984, asunto </w:t>
      </w:r>
      <w:r w:rsidRPr="005728DD">
        <w:rPr>
          <w:i/>
        </w:rPr>
        <w:t>Sutter c. Suiza</w:t>
      </w:r>
      <w:r>
        <w:t xml:space="preserve">, y de 8 de diciembre de 1983, asuntos </w:t>
      </w:r>
      <w:r w:rsidRPr="005728DD">
        <w:rPr>
          <w:i/>
        </w:rPr>
        <w:t>Pretto y otros c. Italia</w:t>
      </w:r>
      <w:r>
        <w:t xml:space="preserve"> y </w:t>
      </w:r>
      <w:r w:rsidRPr="005728DD">
        <w:rPr>
          <w:i/>
        </w:rPr>
        <w:t>Axen c. Alemania</w:t>
      </w:r>
      <w:r>
        <w:t>, y STC 174/2001, de 26 de julio, FJ 3). Hemos de recordar que la publicidad es garantía del justiciable frente a una Justicia secreta que escape a la fiscalización del público, y constituye también un medio para preservar la confianza de los ciudadanos en los tribunales, de forma que, al dotar de transparencia a la administración de justicia, contribuye a realizar los fines del derecho al proceso justo (STEDH de 8 de diciembre de 1983, asunt</w:t>
      </w:r>
      <w:r w:rsidRPr="005728DD">
        <w:rPr>
          <w:i/>
        </w:rPr>
        <w:t>o Axen c. Aleman</w:t>
      </w:r>
      <w:r>
        <w:t>ia, § 25, y STC 83/2019, de 17 de junio, FJ 3).</w:t>
      </w:r>
    </w:p>
    <w:p w:rsidR="005728DD" w:rsidRDefault="005728DD" w:rsidP="005728DD">
      <w:pPr>
        <w:pStyle w:val="TextoNormal"/>
      </w:pPr>
    </w:p>
    <w:p w:rsidR="005728DD" w:rsidRDefault="005728DD" w:rsidP="005728DD">
      <w:pPr>
        <w:pStyle w:val="TextoNormal"/>
      </w:pPr>
      <w:r>
        <w:t xml:space="preserve">No procede dirigir reproche en este aspecto al Tribunal Supremo, pues, no hallándose siguiera compelido por el art. 24.1 CE a ofrecer ningún sistema de traducción a los procesados, como hemos dejado sentado más arriba, atendió a tan esencial bien jurídico al habilitar un sistema de traducción como el citado, ponderando las superiores ventajas que ofrecía el mismo para la publicidad del proceso frente al inconveniente de la eventual superior duración de los interrogatorios. Como hemos adelantado, la aplicación de la doctrina constitucional sobre la indefensión conduce a afirmar que esa hipotética prolongación temporal </w:t>
      </w:r>
      <w:r>
        <w:lastRenderedPageBreak/>
        <w:t>de los interrogatorios y del propio juicio constituiría un leve inconveniente que asumió la sala de enjuiciamiento del Tribunal Supremo, y que habría de soportar el recurrente en el ejercicio diligente del derecho de defensa, exigible conforme al art. 24 CE.</w:t>
      </w:r>
    </w:p>
    <w:p w:rsidR="005728DD" w:rsidRDefault="005728DD" w:rsidP="005728DD">
      <w:pPr>
        <w:pStyle w:val="TextoNormal"/>
      </w:pPr>
    </w:p>
    <w:p w:rsidR="005728DD" w:rsidRDefault="005728DD" w:rsidP="005728DD">
      <w:pPr>
        <w:pStyle w:val="TextoNormal"/>
      </w:pPr>
      <w:r>
        <w:t xml:space="preserve">c) Respecto de las declaraciones testificales, vale lo dicho </w:t>
      </w:r>
      <w:r w:rsidRPr="005728DD">
        <w:rPr>
          <w:i/>
        </w:rPr>
        <w:t>ut supra</w:t>
      </w:r>
      <w:r>
        <w:t xml:space="preserve"> en cuanto a la procedencia del empleo de la lengua castellana en el juicio desarrollado en la sede del Tribunal Supremo.</w:t>
      </w:r>
    </w:p>
    <w:p w:rsidR="005728DD" w:rsidRDefault="005728DD" w:rsidP="005728DD">
      <w:pPr>
        <w:pStyle w:val="TextoNormal"/>
      </w:pPr>
    </w:p>
    <w:p w:rsidR="005728DD" w:rsidRDefault="005728DD" w:rsidP="005728DD">
      <w:pPr>
        <w:pStyle w:val="TextoNormal"/>
      </w:pPr>
      <w:r>
        <w:t>Tampoco cabe poner en cuestión, respecto de los tres testigos que manifestaron su deseo de expresarse en catalán, que su grado de conocimiento de la lengua castellana les impidiera declarar, incidiera en el correcto entendimiento de las preguntas o en la emisión de las respuestas durante el interrogatorio, afectando así al ámbito protegido por el derecho de defensa (art. 24.1 CE), el derecho a la prueba y a la presunción de inocencia (art. 24.2 CE) de la parte recurrente en amparo, que es la única perspectiva que importa a este recurso.</w:t>
      </w:r>
    </w:p>
    <w:p w:rsidR="005728DD" w:rsidRDefault="005728DD" w:rsidP="005728DD">
      <w:pPr>
        <w:pStyle w:val="TextoNormal"/>
      </w:pPr>
    </w:p>
    <w:p w:rsidR="005728DD" w:rsidRDefault="005728DD" w:rsidP="005728DD">
      <w:pPr>
        <w:pStyle w:val="TextoNormal"/>
      </w:pPr>
      <w:r>
        <w:t>No comparte este tribunal la afirmación efectuada en la demanda, según la cual la menor fluidez en el uso de la lengua incide negativamente en la credibilidad del testimonio. Tan apodíctica declaración no se cohonesta con la experiencia y profesionalidad que atesoran los magistrados que integran el tribunal de justicia que tuvo encomendada la valoración de la prueba, órgano jurisdiccional superior en todos los órdenes, salvo lo dispuesto en materia de garantías constitucionales (art. 123.1 CE). En todo caso, como hemos visto, el tribunal de enjuiciamiento, con inmediación, valora que estos tres testigos eran perfectos conocedores de la lengua castellana, hecho que, además, estimó que venía avalado por los cargos que ostentaban o la profesión que ejercían (se trataba de un diputado nacional, un agente de policía autonómica y un abogado en ejercicio). Y en cualquier caso, los testigos no mostraron dificultad alguna para comprender las preguntas que las partes les dirigieron, hasta el punto de que ninguno de ellos hizo indicación alguna al respecto.</w:t>
      </w:r>
    </w:p>
    <w:p w:rsidR="005728DD" w:rsidRDefault="005728DD" w:rsidP="005728DD">
      <w:pPr>
        <w:pStyle w:val="TextoNormal"/>
      </w:pPr>
    </w:p>
    <w:p w:rsidR="005728DD" w:rsidRDefault="005728DD" w:rsidP="005728DD">
      <w:pPr>
        <w:pStyle w:val="TextoNormal"/>
      </w:pPr>
      <w:r>
        <w:t>Finalmente, no nos dice la parte recurrente en qué aspecto del relato fáctico, determinante de su condena, pudieron incidir estas tres declaraciones. El órgano judicial que valoró la prueba y, a partir de ella, confeccionó la relación de hechos probados, calificó esos testimonios de “irrelevantes”. Descartada la utilidad de la prueba en sí misma, decae también el argumento que liga la supuesta merma de credibilidad de los testigos con el derecho de defensa, pues, en todo caso, de tal supuesto no derivó ningún resultado relevante. Rechazamos, por tanto, que la denunciada defectuosidad en estas declaraciones testificales, que no es tal, haya podido causar a la parte recurrente indefensión material proscrita por el artículo 24 de la Constitución.</w:t>
      </w:r>
    </w:p>
    <w:p w:rsidR="005728DD" w:rsidRDefault="005728DD" w:rsidP="005728DD">
      <w:pPr>
        <w:pStyle w:val="TextoNormal"/>
      </w:pPr>
    </w:p>
    <w:p w:rsidR="005728DD" w:rsidRDefault="005728DD" w:rsidP="005728DD">
      <w:pPr>
        <w:pStyle w:val="TextoNormal"/>
      </w:pPr>
      <w:r>
        <w:t>Procede, en consecuencia, desestimar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El derecho a un juez imparcial</w:t>
      </w:r>
      <w:r>
        <w:t>.</w:t>
      </w:r>
    </w:p>
    <w:p w:rsidR="005728DD" w:rsidRDefault="005728DD" w:rsidP="005728DD">
      <w:pPr>
        <w:pStyle w:val="TextoNormal"/>
      </w:pPr>
    </w:p>
    <w:p w:rsidR="005728DD" w:rsidRDefault="005728DD" w:rsidP="005728DD">
      <w:pPr>
        <w:pStyle w:val="TextoNormal"/>
      </w:pPr>
      <w:r>
        <w:t>El demandante de amparo alega la vulneración del derecho a un juez imparcial, con invocación expresa del art. 24 CE y del art. 6 CEDH. El planteamiento de este motivo de amparo se desarrolla, a su vez, en varias quejas concretas que, sin perjuicio de su relación con el derecho fundamental alegado, presentan una distinta naturaleza y significación, por lo que deben ser resueltas de manera individualizada.</w:t>
      </w:r>
    </w:p>
    <w:p w:rsidR="005728DD" w:rsidRDefault="005728DD" w:rsidP="005728DD">
      <w:pPr>
        <w:pStyle w:val="TextoNormal"/>
      </w:pPr>
    </w:p>
    <w:p w:rsidR="005728DD" w:rsidRDefault="005728DD" w:rsidP="005728DD">
      <w:pPr>
        <w:pStyle w:val="TextoNormal"/>
      </w:pPr>
      <w:r>
        <w:lastRenderedPageBreak/>
        <w:t>En efecto, la vulneración alegada se basa, por un lado, en la desestimación de las diversas recusaciones formuladas a lo largo de todo el procedimiento; y, por otro, en el denominado como “rol inquisitivo” asumido por el presidente de la sala de enjuiciamiento, en uno de los interrogatorios llevados a cabo en el acto del juicio oral.</w:t>
      </w:r>
    </w:p>
    <w:p w:rsidR="005728DD" w:rsidRDefault="005728DD" w:rsidP="005728DD">
      <w:pPr>
        <w:pStyle w:val="TextoNormal"/>
      </w:pPr>
    </w:p>
    <w:p w:rsidR="005728DD" w:rsidRDefault="005728DD" w:rsidP="005728DD">
      <w:pPr>
        <w:pStyle w:val="TextoNormal"/>
      </w:pPr>
      <w:r>
        <w:t>La pluralidad y heterogeneidad de las vulneraciones alegadas aconsejan, en este caso, iniciar su análisis mediante la reseña de la doctrina jurisprudencial sobre el derecho invocado.</w:t>
      </w:r>
    </w:p>
    <w:p w:rsidR="005728DD" w:rsidRDefault="005728DD" w:rsidP="005728DD">
      <w:pPr>
        <w:pStyle w:val="TextoNormal"/>
      </w:pPr>
    </w:p>
    <w:p w:rsidR="005728DD" w:rsidRPr="005728DD" w:rsidRDefault="005728DD" w:rsidP="005728DD">
      <w:pPr>
        <w:pStyle w:val="TextoNormal"/>
        <w:rPr>
          <w:i/>
        </w:rPr>
      </w:pPr>
      <w:r>
        <w:t xml:space="preserve">5.1. </w:t>
      </w:r>
      <w:r w:rsidRPr="005728DD">
        <w:rPr>
          <w:i/>
        </w:rPr>
        <w:t>Doctrina jurisprudencial.</w:t>
      </w:r>
    </w:p>
    <w:p w:rsidR="005728DD" w:rsidRPr="005728DD" w:rsidRDefault="005728DD" w:rsidP="005728DD">
      <w:pPr>
        <w:pStyle w:val="TextoNormal"/>
        <w:rPr>
          <w:i/>
        </w:rPr>
      </w:pPr>
    </w:p>
    <w:p w:rsidR="005728DD" w:rsidRPr="005728DD" w:rsidRDefault="005728DD" w:rsidP="005728DD">
      <w:pPr>
        <w:pStyle w:val="TextoNormal"/>
        <w:rPr>
          <w:i/>
        </w:rPr>
      </w:pPr>
      <w:r w:rsidRPr="005728DD">
        <w:rPr>
          <w:i/>
        </w:rPr>
        <w:t>5.1.1. Doctrina del Tribunal Constitucional.</w:t>
      </w:r>
    </w:p>
    <w:p w:rsidR="005728DD" w:rsidRDefault="005728DD" w:rsidP="005728DD">
      <w:pPr>
        <w:pStyle w:val="TextoNormal"/>
      </w:pPr>
    </w:p>
    <w:p w:rsidR="005728DD" w:rsidRDefault="005728DD" w:rsidP="005728DD">
      <w:pPr>
        <w:pStyle w:val="TextoNormal"/>
      </w:pPr>
      <w:r>
        <w:t>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005728DD" w:rsidRDefault="005728DD" w:rsidP="005728DD">
      <w:pPr>
        <w:pStyle w:val="TextoNormal"/>
      </w:pPr>
    </w:p>
    <w:p w:rsidR="005728DD" w:rsidRDefault="005728DD" w:rsidP="005728DD">
      <w:pPr>
        <w:pStyle w:val="TextoNormal"/>
      </w:pPr>
      <w: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en la interpretación del art. 6.1 CEDH, representada en aquel momento por las SSTEDH de 1 de octubre de 1982, asunto </w:t>
      </w:r>
      <w:r w:rsidRPr="005728DD">
        <w:rPr>
          <w:i/>
        </w:rPr>
        <w:t>Piersack c. Bélgica</w:t>
      </w:r>
      <w:r>
        <w:t xml:space="preserve">, y de 26 de octubre de 1984, asunto </w:t>
      </w:r>
      <w:r w:rsidRPr="005728DD">
        <w:rPr>
          <w:i/>
        </w:rPr>
        <w:t>De Cubber c. Bélgica</w:t>
      </w:r>
      <w:r>
        <w:t xml:space="preserve">, y plasmada posteriormente —entre otras muchas— en las SSTEDH de 24 de mayo de 1989, asunto </w:t>
      </w:r>
      <w:r w:rsidRPr="005728DD">
        <w:rPr>
          <w:i/>
        </w:rPr>
        <w:t>Hauschildt c. Dinamarca</w:t>
      </w:r>
      <w:r>
        <w:t xml:space="preserve">, de 25 de noviembre de 1993, asunto </w:t>
      </w:r>
      <w:r w:rsidRPr="005728DD">
        <w:rPr>
          <w:i/>
        </w:rPr>
        <w:t>Holm c. Suecia</w:t>
      </w:r>
      <w:r>
        <w:t xml:space="preserve">, de 28 de octubre de 1998, asunto </w:t>
      </w:r>
      <w:r w:rsidRPr="005728DD">
        <w:rPr>
          <w:i/>
        </w:rPr>
        <w:t>Castillo Algar c. España</w:t>
      </w:r>
      <w:r>
        <w:t xml:space="preserve">, de 22 de junio de 1989, asunto </w:t>
      </w:r>
      <w:r w:rsidRPr="005728DD">
        <w:rPr>
          <w:i/>
        </w:rPr>
        <w:t>Langborger c. Suecia</w:t>
      </w:r>
      <w:r>
        <w:t xml:space="preserve">, o más recientemente, en las SSTEDH de 6 de enero de 2010, asunto </w:t>
      </w:r>
      <w:r w:rsidRPr="005728DD">
        <w:rPr>
          <w:i/>
        </w:rPr>
        <w:t>Vera Fernández-Huidobro c. España</w:t>
      </w:r>
      <w:r>
        <w:t xml:space="preserve">, o de 6 de noviembre de 2018, asunto </w:t>
      </w:r>
      <w:r w:rsidRPr="005728DD">
        <w:rPr>
          <w:i/>
        </w:rPr>
        <w:t>Otegi Mondragón y otros c. España</w:t>
      </w:r>
      <w:r>
        <w:t>.</w:t>
      </w:r>
    </w:p>
    <w:p w:rsidR="005728DD" w:rsidRDefault="005728DD" w:rsidP="005728DD">
      <w:pPr>
        <w:pStyle w:val="TextoNormal"/>
      </w:pPr>
    </w:p>
    <w:p w:rsidR="005728DD" w:rsidRDefault="005728DD" w:rsidP="005728DD">
      <w:pPr>
        <w:pStyle w:val="TextoNormal"/>
      </w:pPr>
      <w:r>
        <w:t>Este tribunal ha conformado un cuerpo doctrinal sobre el derecho al juez imparcial que, de forma sistematizada y en lo que ahora interesa para la resolución de este recurso, puede exponerse de la siguiente manera:</w:t>
      </w:r>
    </w:p>
    <w:p w:rsidR="005728DD" w:rsidRDefault="005728DD" w:rsidP="005728DD">
      <w:pPr>
        <w:pStyle w:val="TextoNormal"/>
      </w:pPr>
    </w:p>
    <w:p w:rsidR="005728DD" w:rsidRDefault="005728DD" w:rsidP="005728DD">
      <w:pPr>
        <w:pStyle w:val="TextoNormal"/>
      </w:pPr>
      <w:r>
        <w:t>a) El derecho al juez imparcial es una garantía fundamental del sistema de justicia.</w:t>
      </w:r>
    </w:p>
    <w:p w:rsidR="005728DD" w:rsidRDefault="005728DD" w:rsidP="005728DD">
      <w:pPr>
        <w:pStyle w:val="TextoNormal"/>
      </w:pPr>
    </w:p>
    <w:p w:rsidR="005728DD" w:rsidRDefault="005728DD" w:rsidP="005728DD">
      <w:pPr>
        <w:pStyle w:val="TextoNormal"/>
      </w:pPr>
      <w: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w:t>
      </w:r>
      <w:r>
        <w:lastRenderedPageBreak/>
        <w:t>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005728DD" w:rsidRDefault="005728DD" w:rsidP="005728DD">
      <w:pPr>
        <w:pStyle w:val="TextoNormal"/>
      </w:pPr>
    </w:p>
    <w:p w:rsidR="005728DD" w:rsidRDefault="005728DD" w:rsidP="005728DD">
      <w:pPr>
        <w:pStyle w:val="TextoNormal"/>
      </w:pPr>
      <w: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w:t>
      </w:r>
      <w:r w:rsidRPr="005728DD">
        <w:rPr>
          <w:i/>
        </w:rPr>
        <w:t>a priori</w:t>
      </w:r>
      <w:r>
        <w:t xml:space="preserve">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005728DD" w:rsidRDefault="005728DD" w:rsidP="005728DD">
      <w:pPr>
        <w:pStyle w:val="TextoNormal"/>
      </w:pPr>
    </w:p>
    <w:p w:rsidR="005728DD" w:rsidRDefault="005728DD" w:rsidP="005728DD">
      <w:pPr>
        <w:pStyle w:val="TextoNormal"/>
      </w:pPr>
      <w:r>
        <w:t>b) La imparcialidad judicial comprende dos vertientes: subjetiva y objetiva.</w:t>
      </w:r>
    </w:p>
    <w:p w:rsidR="005728DD" w:rsidRDefault="005728DD" w:rsidP="005728DD">
      <w:pPr>
        <w:pStyle w:val="TextoNormal"/>
      </w:pPr>
    </w:p>
    <w:p w:rsidR="005728DD" w:rsidRDefault="005728DD" w:rsidP="005728DD">
      <w:pPr>
        <w:pStyle w:val="TextoNormal"/>
      </w:pPr>
      <w: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5728DD">
        <w:rPr>
          <w:i/>
        </w:rPr>
        <w:t>thema decidendi</w:t>
      </w:r>
      <w:r>
        <w:t xml:space="preserve"> sin haber tomado postura en relación con él (así, SSTC 47/2011, de 12 de abril, FJ 9; 60/2008, de 26 de mayo, FJ 3, o 26/2007, de 12 de febrero, FJ 4)” (STC 133/2014, de 22 de julio, FJ 2).</w:t>
      </w:r>
    </w:p>
    <w:p w:rsidR="005728DD" w:rsidRDefault="005728DD" w:rsidP="005728DD">
      <w:pPr>
        <w:pStyle w:val="TextoNormal"/>
      </w:pPr>
    </w:p>
    <w:p w:rsidR="005728DD" w:rsidRDefault="005728DD" w:rsidP="005728DD">
      <w:pPr>
        <w:pStyle w:val="TextoNormal"/>
      </w:pPr>
      <w:r>
        <w:t>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005728DD" w:rsidRDefault="005728DD" w:rsidP="005728DD">
      <w:pPr>
        <w:pStyle w:val="TextoNormal"/>
      </w:pPr>
    </w:p>
    <w:p w:rsidR="005728DD" w:rsidRDefault="005728DD" w:rsidP="005728DD">
      <w:pPr>
        <w:pStyle w:val="TextoNormal"/>
      </w:pPr>
      <w:r>
        <w:t>c) La imparcialidad objetiva debe ser ponderada en cada caso concreto.</w:t>
      </w:r>
    </w:p>
    <w:p w:rsidR="005728DD" w:rsidRDefault="005728DD" w:rsidP="005728DD">
      <w:pPr>
        <w:pStyle w:val="TextoNormal"/>
      </w:pPr>
    </w:p>
    <w:p w:rsidR="005728DD" w:rsidRDefault="005728DD" w:rsidP="005728DD">
      <w:pPr>
        <w:pStyle w:val="TextoNormal"/>
      </w:pPr>
      <w: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w:t>
      </w:r>
      <w:r w:rsidRPr="005728DD">
        <w:rPr>
          <w:i/>
        </w:rPr>
        <w:t>Oberschlick</w:t>
      </w:r>
      <w:r>
        <w:t xml:space="preserve">, § 48 a 52) o, más en general, el pronunciamiento sobre los hechos debatidos en un pleito anterior (SSTC 138/1994, de 9 de mayo, FJ 7; 47/1998, de 2 de marzo, FJ 4; y SSTEDH de 7 de agosto de 1996, caso </w:t>
      </w:r>
      <w:r w:rsidRPr="005728DD">
        <w:rPr>
          <w:i/>
        </w:rPr>
        <w:t>Ferrantelli y Santangelo</w:t>
      </w:r>
      <w:r>
        <w:t xml:space="preserve">, y de 26 de agosto de 1997, caso </w:t>
      </w:r>
      <w:r w:rsidRPr="005728DD">
        <w:rPr>
          <w:i/>
        </w:rPr>
        <w:t>De Haan</w:t>
      </w:r>
      <w:r>
        <w:t xml:space="preserve">). Debemos subrayar en cualquier caso </w:t>
      </w:r>
      <w:r>
        <w:lastRenderedPageBreak/>
        <w:t>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005728DD" w:rsidRDefault="005728DD" w:rsidP="005728DD">
      <w:pPr>
        <w:pStyle w:val="TextoNormal"/>
      </w:pPr>
    </w:p>
    <w:p w:rsidR="005728DD" w:rsidRDefault="005728DD" w:rsidP="005728DD">
      <w:pPr>
        <w:pStyle w:val="TextoNormal"/>
      </w:pPr>
      <w:r>
        <w:t>“La concreción de esta doctrina constitucional [se continúa apuntando]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005728DD" w:rsidRDefault="005728DD" w:rsidP="005728DD">
      <w:pPr>
        <w:pStyle w:val="TextoNormal"/>
      </w:pPr>
    </w:p>
    <w:p w:rsidR="005728DD" w:rsidRDefault="005728DD" w:rsidP="005728DD">
      <w:pPr>
        <w:pStyle w:val="TextoNormal"/>
      </w:pPr>
      <w:r>
        <w:t>d) La imparcialidad judicial se presume.</w:t>
      </w:r>
    </w:p>
    <w:p w:rsidR="005728DD" w:rsidRDefault="005728DD" w:rsidP="005728DD">
      <w:pPr>
        <w:pStyle w:val="TextoNormal"/>
      </w:pPr>
    </w:p>
    <w:p w:rsidR="005728DD" w:rsidRDefault="005728DD" w:rsidP="005728DD">
      <w:pPr>
        <w:pStyle w:val="TextoNormal"/>
      </w:pPr>
      <w:r>
        <w:t>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005728DD" w:rsidRDefault="005728DD" w:rsidP="005728DD">
      <w:pPr>
        <w:pStyle w:val="TextoNormal"/>
      </w:pPr>
    </w:p>
    <w:p w:rsidR="005728DD" w:rsidRDefault="005728DD" w:rsidP="005728DD">
      <w:pPr>
        <w:pStyle w:val="TextoNormal"/>
      </w:pPr>
      <w:r>
        <w:t>e) El derecho al juez imparcial debe hacerse valer a través del incidente de recusación.</w:t>
      </w:r>
    </w:p>
    <w:p w:rsidR="005728DD" w:rsidRDefault="005728DD" w:rsidP="005728DD">
      <w:pPr>
        <w:pStyle w:val="TextoNormal"/>
      </w:pPr>
    </w:p>
    <w:p w:rsidR="005728DD" w:rsidRDefault="005728DD" w:rsidP="005728DD">
      <w:pPr>
        <w:pStyle w:val="TextoNormal"/>
      </w:pPr>
      <w: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w:t>
      </w:r>
      <w:r>
        <w:lastRenderedPageBreak/>
        <w:t>230/1992, de 14 de diciembre, FJ 4; 282/1993, de 27 de septiembre, FJ 2; 64/1997, de 7 de abril, FJ 3; y 229/2003, 18 de diciembre, FJ 10)” (STC 116/2008, de 13 de octubre, FJ 2).</w:t>
      </w:r>
    </w:p>
    <w:p w:rsidR="005728DD" w:rsidRDefault="005728DD" w:rsidP="005728DD">
      <w:pPr>
        <w:pStyle w:val="TextoNormal"/>
      </w:pPr>
    </w:p>
    <w:p w:rsidR="005728DD" w:rsidRDefault="005728DD" w:rsidP="005728DD">
      <w:pPr>
        <w:pStyle w:val="TextoNormal"/>
      </w:pPr>
      <w:r>
        <w:t>f) El incidente de recusación puede ser rechazad</w:t>
      </w:r>
      <w:r w:rsidRPr="005728DD">
        <w:rPr>
          <w:i/>
        </w:rPr>
        <w:t>o a limi</w:t>
      </w:r>
      <w:r>
        <w:t>ne, incluso por el órgano recusado.</w:t>
      </w:r>
    </w:p>
    <w:p w:rsidR="005728DD" w:rsidRDefault="005728DD" w:rsidP="005728DD">
      <w:pPr>
        <w:pStyle w:val="TextoNormal"/>
      </w:pPr>
    </w:p>
    <w:p w:rsidR="005728DD" w:rsidRDefault="005728DD" w:rsidP="005728DD">
      <w:pPr>
        <w:pStyle w:val="TextoNormal"/>
      </w:pPr>
      <w:r>
        <w:t xml:space="preserve">Aunque la “regla general es, […] que el órgano recusado ha de dar curso a la recusación para que sea examinada por un órgano distinto a aquel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w:t>
      </w:r>
      <w:r w:rsidRPr="005728DD">
        <w:rPr>
          <w:i/>
        </w:rPr>
        <w:t>a limine</w:t>
      </w:r>
      <w:r>
        <w:t xml:space="preserve"> de la recusación por los propios recusados, ya admitimos que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w:t>
      </w:r>
      <w:r w:rsidRPr="005728DD">
        <w:rPr>
          <w:i/>
        </w:rPr>
        <w:t>prima facie</w:t>
      </w:r>
      <w:r>
        <w:t xml:space="preserve"> de modo manifiesto, claro y terminante y, además, que la tramitación ordinaria del incidente pueda causar perjuicios relevantes al proceso principal” (STC 155/2002, de 22 de julio, FJ 6).</w:t>
      </w:r>
    </w:p>
    <w:p w:rsidR="005728DD" w:rsidRDefault="005728DD" w:rsidP="005728DD">
      <w:pPr>
        <w:pStyle w:val="TextoNormal"/>
      </w:pPr>
    </w:p>
    <w:p w:rsidR="005728DD" w:rsidRDefault="005728DD" w:rsidP="005728DD">
      <w:pPr>
        <w:pStyle w:val="TextoNormal"/>
      </w:pPr>
      <w:r>
        <w:t>Finalmente, 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005728DD" w:rsidRDefault="005728DD" w:rsidP="005728DD">
      <w:pPr>
        <w:pStyle w:val="TextoNormal"/>
      </w:pPr>
    </w:p>
    <w:p w:rsidR="005728DD" w:rsidRDefault="005728DD" w:rsidP="005728DD">
      <w:pPr>
        <w:pStyle w:val="TextoNormal"/>
      </w:pPr>
      <w:r>
        <w:t xml:space="preserve">5.1.2. </w:t>
      </w:r>
      <w:r w:rsidRPr="005728DD">
        <w:rPr>
          <w:i/>
        </w:rPr>
        <w:t>Doctrina del Tribunal Europeo de Derechos Humanos</w:t>
      </w:r>
      <w:r>
        <w:t>.</w:t>
      </w:r>
    </w:p>
    <w:p w:rsidR="005728DD" w:rsidRDefault="005728DD" w:rsidP="005728DD">
      <w:pPr>
        <w:pStyle w:val="TextoNormal"/>
      </w:pPr>
    </w:p>
    <w:p w:rsidR="005728DD" w:rsidRDefault="005728DD" w:rsidP="005728DD">
      <w:pPr>
        <w:pStyle w:val="TextoNormal"/>
      </w:pPr>
      <w:r>
        <w:t>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005728DD" w:rsidRDefault="005728DD" w:rsidP="005728DD">
      <w:pPr>
        <w:pStyle w:val="TextoNormal"/>
      </w:pPr>
    </w:p>
    <w:p w:rsidR="005728DD" w:rsidRDefault="005728DD" w:rsidP="005728DD">
      <w:pPr>
        <w:pStyle w:val="TextoNormal"/>
      </w:pPr>
      <w:r>
        <w:t xml:space="preserve">Así, en la STEDH de 6 de noviembre de 2018, asunto </w:t>
      </w:r>
      <w:r w:rsidRPr="005728DD">
        <w:rPr>
          <w:i/>
        </w:rPr>
        <w:t>Otegi Mondragón y otros c. España</w:t>
      </w:r>
      <w:r>
        <w:t>, § 52 a 57, con cita de otras anteriores, se realiza una exposición de los principios generales en esta materia que, en lo que ahora interesa, se pueden resumir de la siguiente manera.</w:t>
      </w:r>
    </w:p>
    <w:p w:rsidR="005728DD" w:rsidRDefault="005728DD" w:rsidP="005728DD">
      <w:pPr>
        <w:pStyle w:val="TextoNormal"/>
      </w:pPr>
    </w:p>
    <w:p w:rsidR="005728DD" w:rsidRDefault="005728DD" w:rsidP="005728DD">
      <w:pPr>
        <w:pStyle w:val="TextoNormal"/>
      </w:pPr>
      <w:r>
        <w:t xml:space="preserve">a) La imparcialidad judicial comprende dos perspectivas: subjetiva y objetiva. El tribunal europeo expone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STEDH de 15 de diciembre de 2005, asunto </w:t>
      </w:r>
      <w:r w:rsidRPr="005728DD">
        <w:rPr>
          <w:i/>
        </w:rPr>
        <w:t>Kyprianou v. Chipre</w:t>
      </w:r>
      <w:r>
        <w:t xml:space="preserve"> [GC] § 118, y STEDH, de 15 de octubre de 2009, asunt</w:t>
      </w:r>
      <w:r w:rsidRPr="005728DD">
        <w:rPr>
          <w:i/>
        </w:rPr>
        <w:t>o Micallef v. Mal</w:t>
      </w:r>
      <w:r>
        <w:t>ta [GC], § 93)”.</w:t>
      </w:r>
    </w:p>
    <w:p w:rsidR="005728DD" w:rsidRDefault="005728DD" w:rsidP="005728DD">
      <w:pPr>
        <w:pStyle w:val="TextoNormal"/>
      </w:pPr>
    </w:p>
    <w:p w:rsidR="005728DD" w:rsidRDefault="005728DD" w:rsidP="005728DD">
      <w:pPr>
        <w:pStyle w:val="TextoNormal"/>
      </w:pPr>
      <w: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w:t>
      </w:r>
      <w:r w:rsidRPr="005728DD">
        <w:rPr>
          <w:i/>
        </w:rPr>
        <w:t>Kyprianou</w:t>
      </w:r>
      <w:r>
        <w:t xml:space="preserve">, anteriormente citado, § 119). Por ello, en aquellos casos en los que pudiera ser difícil encontrar pruebas en base a las cuales rebatir la presunción de imparcialidad subjetiva de un juez, la exigencia de imparcialidad objetiva proporciona una importante garantía adicional (véase </w:t>
      </w:r>
      <w:r w:rsidRPr="005728DD">
        <w:rPr>
          <w:i/>
        </w:rPr>
        <w:t>Pullar v. Reino Unido</w:t>
      </w:r>
      <w:r>
        <w:t>, de 10 de junio de 1996, § 32</w:t>
      </w:r>
      <w:r w:rsidRPr="005728DD">
        <w:rPr>
          <w:i/>
        </w:rPr>
        <w:t>, Inform</w:t>
      </w:r>
      <w:r>
        <w:t>es 1996-III)”.</w:t>
      </w:r>
    </w:p>
    <w:p w:rsidR="005728DD" w:rsidRDefault="005728DD" w:rsidP="005728DD">
      <w:pPr>
        <w:pStyle w:val="TextoNormal"/>
      </w:pPr>
    </w:p>
    <w:p w:rsidR="005728DD" w:rsidRDefault="005728DD" w:rsidP="005728DD">
      <w:pPr>
        <w:pStyle w:val="TextoNormal"/>
      </w:pPr>
      <w: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w:t>
      </w:r>
      <w:r w:rsidRPr="005728DD">
        <w:rPr>
          <w:i/>
        </w:rPr>
        <w:t>Kyprianou</w:t>
      </w:r>
      <w:r>
        <w:t xml:space="preserve">, anteriormente citado, § 119, y </w:t>
      </w:r>
      <w:r w:rsidRPr="005728DD">
        <w:rPr>
          <w:i/>
        </w:rPr>
        <w:t>Micallef</w:t>
      </w:r>
      <w:r>
        <w:t xml:space="preserve">, anteriormente citado, § 94). La imparcialidad personal de un juez debe presumirse mientras no se pruebe lo contrario (véase </w:t>
      </w:r>
      <w:r w:rsidRPr="005728DD">
        <w:rPr>
          <w:i/>
        </w:rPr>
        <w:t>Hauschildt v. Dinamarca</w:t>
      </w:r>
      <w:r>
        <w:t xml:space="preserve">, de 24 de mayo de 1989, § 47, Serie A nº 154). Respecto del tipo de prueba que se requiere para ello, este tribunal, por ejemplo, requiere que se acredite si el juez ha mostrado hostilidad o animadversión por razones personales (véase </w:t>
      </w:r>
      <w:r w:rsidRPr="005728DD">
        <w:rPr>
          <w:i/>
        </w:rPr>
        <w:t>De Cubber v. Bélgica</w:t>
      </w:r>
      <w:r>
        <w:t>, de 26 de octubre de 1984, § 25, Serie A nº 86)”.</w:t>
      </w:r>
    </w:p>
    <w:p w:rsidR="005728DD" w:rsidRDefault="005728DD" w:rsidP="005728DD">
      <w:pPr>
        <w:pStyle w:val="TextoNormal"/>
      </w:pPr>
    </w:p>
    <w:p w:rsidR="005728DD" w:rsidRDefault="005728DD" w:rsidP="005728DD">
      <w:pPr>
        <w:pStyle w:val="TextoNormal"/>
      </w:pPr>
      <w:r>
        <w:t>d) La imparcialidad ha de analizarse en función de las circunstancias del caso concreto. En relación con el criterio objetivo, se deben “analizar los vínculos jerárquicos o de otra naturaleza que existen entre el juez y los otros protagonistas de un procedimiento (ibid. § 97). Por lo tanto, se debe examinar en cada caso concreto si es de tal naturaleza e intensidad como para implicar una falta de imparcialidad por parte del tribunal (véas</w:t>
      </w:r>
      <w:r w:rsidRPr="005728DD">
        <w:rPr>
          <w:i/>
        </w:rPr>
        <w:t>e Pull</w:t>
      </w:r>
      <w:r>
        <w:t>ar, anteriormente citado, § 38)”.</w:t>
      </w:r>
    </w:p>
    <w:p w:rsidR="005728DD" w:rsidRDefault="005728DD" w:rsidP="005728DD">
      <w:pPr>
        <w:pStyle w:val="TextoNormal"/>
      </w:pPr>
    </w:p>
    <w:p w:rsidR="005728DD" w:rsidRDefault="005728DD" w:rsidP="005728DD">
      <w:pPr>
        <w:pStyle w:val="TextoNormal"/>
      </w:pPr>
      <w: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w:t>
      </w:r>
      <w:r>
        <w:lastRenderedPageBreak/>
        <w:t xml:space="preserve">administra’ (véase </w:t>
      </w:r>
      <w:r w:rsidRPr="005728DD">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w:t>
      </w:r>
      <w:r w:rsidRPr="005728DD">
        <w:rPr>
          <w:i/>
        </w:rPr>
        <w:t>Castillo Algar v. España</w:t>
      </w:r>
      <w:r>
        <w:t>, de 28 de octubre de 1998, § 45</w:t>
      </w:r>
      <w:r w:rsidRPr="005728DD">
        <w:rPr>
          <w:i/>
        </w:rPr>
        <w:t>, Informes 1998-VI</w:t>
      </w:r>
      <w:r>
        <w:t xml:space="preserve">II; </w:t>
      </w:r>
      <w:r w:rsidRPr="005728DD">
        <w:rPr>
          <w:i/>
        </w:rPr>
        <w:t>y Micall</w:t>
      </w:r>
      <w:r>
        <w:t>ef, anteriormente citado, § 98)”.</w:t>
      </w:r>
    </w:p>
    <w:p w:rsidR="005728DD" w:rsidRDefault="005728DD" w:rsidP="005728DD">
      <w:pPr>
        <w:pStyle w:val="TextoNormal"/>
      </w:pPr>
    </w:p>
    <w:p w:rsidR="005728DD" w:rsidRDefault="005728DD" w:rsidP="005728DD">
      <w:pPr>
        <w:pStyle w:val="TextoNormal"/>
      </w:pPr>
      <w:r>
        <w:t>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o un tribunal carecen de imparcialidad, el punto de vista de la persona afectada es importante pero no decisivo. Lo que es decisivo es determinar si dicho temor puede considerarse objetivamente justificado (véas</w:t>
      </w:r>
      <w:r w:rsidRPr="005728DD">
        <w:rPr>
          <w:i/>
        </w:rPr>
        <w:t>e Micall</w:t>
      </w:r>
      <w:r>
        <w:t>ef, anteriormente citado, § 96)”.</w:t>
      </w:r>
    </w:p>
    <w:p w:rsidR="005728DD" w:rsidRDefault="005728DD" w:rsidP="005728DD">
      <w:pPr>
        <w:pStyle w:val="TextoNormal"/>
      </w:pPr>
    </w:p>
    <w:p w:rsidR="005728DD" w:rsidRDefault="005728DD" w:rsidP="005728DD">
      <w:pPr>
        <w:pStyle w:val="TextoNormal"/>
      </w:pPr>
      <w:r>
        <w:t>Una vez expuesta la doctrina de este tribunal y del Tribunal Europeo de Derecho Humanos procede abordar el análisis de las distintas quejas formuladas, siguiendo el orden propuesto en el escrito de demanda.</w:t>
      </w:r>
    </w:p>
    <w:p w:rsidR="005728DD" w:rsidRDefault="005728DD" w:rsidP="005728DD">
      <w:pPr>
        <w:pStyle w:val="TextoNormal"/>
      </w:pPr>
    </w:p>
    <w:p w:rsidR="005728DD" w:rsidRPr="005728DD" w:rsidRDefault="005728DD" w:rsidP="005728DD">
      <w:pPr>
        <w:pStyle w:val="TextoNormal"/>
        <w:rPr>
          <w:i/>
        </w:rPr>
      </w:pPr>
      <w:r>
        <w:t>5.2</w:t>
      </w:r>
      <w:r w:rsidRPr="005728DD">
        <w:rPr>
          <w:i/>
        </w:rPr>
        <w:t>. La recusación del magistrado instructor.</w:t>
      </w:r>
    </w:p>
    <w:p w:rsidR="005728DD" w:rsidRPr="005728DD" w:rsidRDefault="005728DD" w:rsidP="005728DD">
      <w:pPr>
        <w:pStyle w:val="TextoNormal"/>
        <w:rPr>
          <w:i/>
        </w:rPr>
      </w:pPr>
    </w:p>
    <w:p w:rsidR="005728DD" w:rsidRDefault="005728DD" w:rsidP="005728DD">
      <w:pPr>
        <w:pStyle w:val="TextoNormal"/>
      </w:pPr>
      <w:r w:rsidRPr="005728DD">
        <w:rPr>
          <w:i/>
        </w:rPr>
        <w:t>5.2.1. Posiciones de las partes</w:t>
      </w:r>
      <w:r>
        <w:t>.</w:t>
      </w:r>
    </w:p>
    <w:p w:rsidR="005728DD" w:rsidRDefault="005728DD" w:rsidP="005728DD">
      <w:pPr>
        <w:pStyle w:val="TextoNormal"/>
      </w:pPr>
    </w:p>
    <w:p w:rsidR="005728DD" w:rsidRDefault="005728DD" w:rsidP="005728DD">
      <w:pPr>
        <w:pStyle w:val="TextoNormal"/>
      </w:pPr>
      <w:r>
        <w:t>La demanda cuestiona la imparcialidad del magistrado instructor, que se concreta en la pérdida de la necesaria equidistancia con los hechos investigados. Se basa para ello, esencialmente, en la expresión “la estrategia que sufrimos”, que se contiene en la página 54 del auto de procesamiento de 21 de marzo de 2018. Con esa expresión, el magistrado se estaría colocando a sí mismo como víctima de la infracción delictiva investigada, lo que determinaría la concurrencia de la causa de abstención y/o de recusación prevista en el art. 219.10 LOPJ; es decir, “[t]ener interés directo o indirecto en el pleito o causa”. La misma expresión se contiene en el auto de 12 de abril de 2018, por el que se deniega la libertad interesada por uno de los procesados.</w:t>
      </w:r>
    </w:p>
    <w:p w:rsidR="005728DD" w:rsidRDefault="005728DD" w:rsidP="005728DD">
      <w:pPr>
        <w:pStyle w:val="TextoNormal"/>
      </w:pPr>
    </w:p>
    <w:p w:rsidR="005728DD" w:rsidRDefault="005728DD" w:rsidP="005728DD">
      <w:pPr>
        <w:pStyle w:val="TextoNormal"/>
      </w:pPr>
      <w:r>
        <w:t>El recurrente puso de manifiesto esta cuestión, por adhesión a los argumentos expuestos por otra de las partes, en el trámite del recurso de apelación interpuesto contra el auto de 9 de mayo de 2018 por el que se desestimaron los recursos de reforma planteados, a su vez, contra el auto de procesamiento. Esta pretensión fue reiterada en fecha 12 de febrero de 2019, en el trámite de cuestiones previas.</w:t>
      </w:r>
    </w:p>
    <w:p w:rsidR="005728DD" w:rsidRDefault="005728DD" w:rsidP="005728DD">
      <w:pPr>
        <w:pStyle w:val="TextoNormal"/>
      </w:pPr>
    </w:p>
    <w:p w:rsidR="005728DD" w:rsidRDefault="005728DD" w:rsidP="005728DD">
      <w:pPr>
        <w:pStyle w:val="TextoNormal"/>
      </w:pPr>
      <w:r>
        <w:t>Sobre este motivo de amparo, el Ministerio Fiscal plantea inicialmente un óbice procesal de inadmisión, conforme a lo dispuesto en el art. 50.1 a) LOTC, en relación con el art. 44.1 c) LOTC. No obstante, se pronuncia también sobre el fondo para descartar la vulneración denunciada. A juicio del fiscal, la expresión controvertida debe interpretarse como un sentimiento colectivo, no como un interés singularizado del magistrado, además de tratarse de una expresión aislada, sin relevancia para las actuaciones de instrucción. El abogado del Estado señala que la expresión guarda directa relación con la descripción que se hace en el auto de procesamiento sobre el contenido del Libro Blanco; mientras que el partido político Vox argumenta que las alegaciones del recurrente son “meras sospechas” que no resultan objetivamente justificadas.</w:t>
      </w:r>
    </w:p>
    <w:p w:rsidR="005728DD" w:rsidRDefault="005728DD" w:rsidP="005728DD">
      <w:pPr>
        <w:pStyle w:val="TextoNormal"/>
      </w:pPr>
    </w:p>
    <w:p w:rsidR="005728DD" w:rsidRDefault="005728DD" w:rsidP="005728DD">
      <w:pPr>
        <w:pStyle w:val="TextoNormal"/>
      </w:pPr>
      <w:r>
        <w:t>5.2.2</w:t>
      </w:r>
      <w:r w:rsidRPr="005728DD">
        <w:rPr>
          <w:i/>
        </w:rPr>
        <w:t>. Respuesta del órgano judici</w:t>
      </w:r>
      <w:r>
        <w:t>al.</w:t>
      </w:r>
    </w:p>
    <w:p w:rsidR="005728DD" w:rsidRDefault="005728DD" w:rsidP="005728DD">
      <w:pPr>
        <w:pStyle w:val="TextoNormal"/>
      </w:pPr>
    </w:p>
    <w:p w:rsidR="005728DD" w:rsidRDefault="005728DD" w:rsidP="005728DD">
      <w:pPr>
        <w:pStyle w:val="TextoNormal"/>
      </w:pPr>
      <w:r>
        <w:t>La causa de recusación alegada fue inicialmente rechazada por la sala de recursos en su auto de 18 de junio de 2018, por el que se desestimó el recurso de apelación interpuesto por otro procesado contra el auto de 12 de abril de 2018, por el que se le denegó la libertad interesada. Decisión que fue reiterada, por remisión, en el auto de 26 de junio de 2018, por el que se desestimaron los recursos de apelación interpuestos contra el auto de 9 de mayo de 2018. La decisión de la sala de recursos fue avalada y confirmada por la sala de enjuiciamiento en la sentencia ahora impugnada.</w:t>
      </w:r>
    </w:p>
    <w:p w:rsidR="005728DD" w:rsidRDefault="005728DD" w:rsidP="005728DD">
      <w:pPr>
        <w:pStyle w:val="TextoNormal"/>
      </w:pPr>
    </w:p>
    <w:p w:rsidR="005728DD" w:rsidRDefault="005728DD" w:rsidP="005728DD">
      <w:pPr>
        <w:pStyle w:val="TextoNormal"/>
      </w:pPr>
      <w:r>
        <w:t>En su fundamento de Derecho A), apartado 5.5.2, la Sala Segunda del Tribunal Supremo se remite a los argumentos ofrecidos por la sala de recursos.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La expresión controvertida “ha 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que pudiera afectar a su grado de imparcialidad a la hora de enjuiciar un caso”. Para el Tribunal Supremo, estos razonamientos permiten descartar la vulneración del derecho al juez imparcial por parte del magistrado instructor.</w:t>
      </w:r>
    </w:p>
    <w:p w:rsidR="005728DD" w:rsidRDefault="005728DD" w:rsidP="005728DD">
      <w:pPr>
        <w:pStyle w:val="TextoNormal"/>
      </w:pPr>
    </w:p>
    <w:p w:rsidR="005728DD" w:rsidRDefault="005728DD" w:rsidP="005728DD">
      <w:pPr>
        <w:pStyle w:val="TextoNormal"/>
      </w:pPr>
      <w:r>
        <w:t>5.2.3</w:t>
      </w:r>
      <w:r w:rsidRPr="005728DD">
        <w:rPr>
          <w:i/>
        </w:rPr>
        <w:t>. Resolución de la que</w:t>
      </w:r>
      <w:r>
        <w:t>ja.</w:t>
      </w:r>
    </w:p>
    <w:p w:rsidR="005728DD" w:rsidRDefault="005728DD" w:rsidP="005728DD">
      <w:pPr>
        <w:pStyle w:val="TextoNormal"/>
      </w:pPr>
    </w:p>
    <w:p w:rsidR="005728DD" w:rsidRDefault="005728DD" w:rsidP="005728DD">
      <w:pPr>
        <w:pStyle w:val="TextoNormal"/>
      </w:pPr>
      <w:r>
        <w:t>a) La expresión controvertida (“la estrategia que sufrimos”) se contiene en el auto de procesamiento de fecha 21 de marzo de 2018. Se inserta en el marco de una detallada exposición de los elementos fácticos que sustentaban la fundamentación jurídica del auto. Más en concreto, dentro del apartado 38 del antecedente de hecho único, bajo el epígrafe “una posible actividad delictiva en desarrollo, con un relevo en los partícipes”, en la página 54. Se trataba de una descripción de la estrategia contenida en el denominado Libro Blanco para la Transición Nacional de Cataluña, en el que se planteaban los distintos escenarios frente a la respuesta del Estado ante la actuación planificada por las distintas autoridades y organizaciones sociales de la Comunidad Autónoma de Cataluña que promovieron las actuaciones objeto de enjuiciamiento. Entre esos escenarios se abordaba una posible sucesión o re</w:t>
      </w:r>
      <w:r>
        <w:lastRenderedPageBreak/>
        <w:t>levo de los autores de esa actuación, lo que da título al apartado 38. En una frase introductoria de la parte final de esa estrategia se reseña la expresión controvertida: “Y termina el relato de la estrategia que sufrimos diciendo, inmediatamente después […]”, extractando a continuación un párrafo del Libro Blanco. Como ya se expuso, esta misma expresión se recoge igualmente en el auto dictado por el magistrado instructor en fecha 12 de abril de 2018, por el que se deniega la libertad interesada por uno de los procesados.</w:t>
      </w:r>
    </w:p>
    <w:p w:rsidR="005728DD" w:rsidRDefault="005728DD" w:rsidP="005728DD">
      <w:pPr>
        <w:pStyle w:val="TextoNormal"/>
      </w:pPr>
    </w:p>
    <w:p w:rsidR="005728DD" w:rsidRDefault="005728DD" w:rsidP="005728DD">
      <w:pPr>
        <w:pStyle w:val="TextoNormal"/>
      </w:pPr>
      <w:r>
        <w:t>b) Con carácter previo al análisis de este motivo de amparo, se hace necesario abordar el óbice procesal planteado por el Ministerio Fiscal en relación con esta alegación. Para el fiscal, esta causa de recusación no fue planteada en el momento procesal oportuno; es decir, cuando fue notificado el auto de procesamiento. Por el contrario, esta alegación fue invocada por el recurrente por adhesión a lo expuesto por otra parte, en el trámite del recurso de apelación interpuesto contra el auto de desestimación del recurso de reforma contra el auto de procesamiento. Ulteriormente, se volvió a plantear en el trámite de cuestiones previas, al inicio del juicio oral. En consecuencia, entiende el fiscal que concurre la causa de inadmisión prevista en el art. 50.1 a) LOTC, en relación con lo dispuesto en el art. 44.1 c) LOTC. Lo que ha de ponerse en relación, a su vez, con la infracción de lo dispuesto en el art. 223.1 LOPJ, cuando señala que la recusación “deberá proponerse tan pronto como se tenga conocimiento de la causa en que se funde, pues, en otro caso, no se admitirá a trámite”.</w:t>
      </w:r>
    </w:p>
    <w:p w:rsidR="005728DD" w:rsidRDefault="005728DD" w:rsidP="005728DD">
      <w:pPr>
        <w:pStyle w:val="TextoNormal"/>
      </w:pPr>
    </w:p>
    <w:p w:rsidR="005728DD" w:rsidRDefault="005728DD" w:rsidP="005728DD">
      <w:pPr>
        <w:pStyle w:val="TextoNormal"/>
      </w:pPr>
      <w:r>
        <w:t>Efectivamente,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 En tal sentido, “el tribunal ha rechazado una interpretación literal o excesivamente rigorista de este requisito, aunque [no hasta el punto de]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(STC 11/2020, de 28 de enero, FJ 5). Por ello, este tribunal ha exigido que, al menos, la invocación formal se haga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(STC 11/2020, FJ 5).</w:t>
      </w:r>
    </w:p>
    <w:p w:rsidR="005728DD" w:rsidRDefault="005728DD" w:rsidP="005728DD">
      <w:pPr>
        <w:pStyle w:val="TextoNormal"/>
      </w:pPr>
    </w:p>
    <w:p w:rsidR="005728DD" w:rsidRDefault="005728DD" w:rsidP="005728DD">
      <w:pPr>
        <w:pStyle w:val="TextoNormal"/>
      </w:pPr>
      <w:r>
        <w:t>En el presente caso, tiene razón el Ministerio Fiscal. Un análisis de las actuaciones pone de manifiesto que el motivo alegado no fue articulado en el momento procesal oportuno, ni a través del cauce procesal indicado por la ley.</w:t>
      </w:r>
    </w:p>
    <w:p w:rsidR="005728DD" w:rsidRDefault="005728DD" w:rsidP="005728DD">
      <w:pPr>
        <w:pStyle w:val="TextoNormal"/>
      </w:pPr>
    </w:p>
    <w:p w:rsidR="005728DD" w:rsidRDefault="005728DD" w:rsidP="005728DD">
      <w:pPr>
        <w:pStyle w:val="TextoNormal"/>
      </w:pPr>
      <w:r>
        <w:t xml:space="preserve">Como se ha señalado, las dudas sobre la imparcialidad judicial han de hacerse valer a través del incidente de recusación correspondiente, hasta el punto de que la posibilidad de recusar se integra en el derecho a un proceso con todas las garantías (STC 116/2008, de 13 </w:t>
      </w:r>
      <w:r>
        <w:lastRenderedPageBreak/>
        <w:t>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005728DD" w:rsidRDefault="005728DD" w:rsidP="005728DD">
      <w:pPr>
        <w:pStyle w:val="TextoNormal"/>
      </w:pPr>
    </w:p>
    <w:p w:rsidR="005728DD" w:rsidRDefault="005728DD" w:rsidP="005728DD">
      <w:pPr>
        <w:pStyle w:val="TextoNormal"/>
      </w:pPr>
      <w:r>
        <w:t>El recurrente tenía que haber planteado el incidente de recusación cuando le fue notificado el auto de 21 de marzo de 2018 en el que se contenía la expresión discutida. Sin embargo, además de no plantear el incidente, ni siquiera recurrió en reforma ese auto por el motivo que ahora alega. En realidad, no invocó formalmente la vulneración del derecho a un juez imparcial. En lugar de eso, lo que hizo fue adherirse genéricamente al recurso de apelación interpuesto por otra parte contra el auto de 9 de mayo de 2018 que resolvía el recurso de reforma frente al auto de 21 de marzo de 2018. En un escrito fechado el 24 de mayo de 2018, el recurrente simplemente formuló una adhesión genérica al recurso interpuesto por la representación de doña Carme Forcadell, en el que sí se alegaba la vulneración del derecho al juez imparcial. Es decir, se trataba de una invocación general, inconcreta e indirecta que, además, se planteaba contra una resolución distinta de la que motivaba la causa de recusación. En esos términos, el órgano judicial no podía entrar a valorar la concreta cuestión ahora invocada por el recurrente. De hecho, el auto de 26 de junio de 2018 se limitaba a señalar, en respuesta a la vulneración alegada por otra de las partes recurrentes, que “el mecanismo procesal para hacer valer las dudas sobre la imparcialidad o las afirmaciones sobre la ausencia de la misma es la recusación, que tiene su propia regulación legal” (FJ 3.2); mientras que en el fundamento de Derecho séptimo, apartado 5, destacaba que la “cuestión relativa a la imparcialidad del instructor ya ha sido examinada”.</w:t>
      </w:r>
    </w:p>
    <w:p w:rsidR="005728DD" w:rsidRDefault="005728DD" w:rsidP="005728DD">
      <w:pPr>
        <w:pStyle w:val="TextoNormal"/>
      </w:pPr>
    </w:p>
    <w:p w:rsidR="005728DD" w:rsidRDefault="005728DD" w:rsidP="005728DD">
      <w:pPr>
        <w:pStyle w:val="TextoNormal"/>
      </w:pPr>
      <w:r>
        <w:t>Como es conocido (STC 154/2016, de 22 de septiembre, FJ 2, y más recientemente en STC 130/2018, de 12 de diciembre, FFJJ 3 a 5), los defectos insubsanables de que pudiera estar afectado el recurso de amparo no resultan reparados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89/2011, de 6 de junio, FJ 2, y 174/2011, de 7 de noviembre, FJ 2).</w:t>
      </w:r>
    </w:p>
    <w:p w:rsidR="005728DD" w:rsidRDefault="005728DD" w:rsidP="005728DD">
      <w:pPr>
        <w:pStyle w:val="TextoNormal"/>
      </w:pPr>
    </w:p>
    <w:p w:rsidR="005728DD" w:rsidRDefault="005728DD" w:rsidP="005728DD">
      <w:pPr>
        <w:pStyle w:val="TextoNormal"/>
      </w:pPr>
      <w:r>
        <w:t>En este caso, la invocación fue extemporánea, ya que se formuló en el mes de mayo frente a una resolución del mes de marzo, y formalmente indebida, por no haberse planteado a través de un incidente de recusación, pudiendo hacerlo. En consecuencia, la pretensión incurre en causa de inadmisión del recurso de amparo en este punto, conforme a lo dispuesto en el art. 50.1 a) LOTC, en relación con su art. 44.1 c).</w:t>
      </w:r>
    </w:p>
    <w:p w:rsidR="005728DD" w:rsidRDefault="005728DD" w:rsidP="005728DD">
      <w:pPr>
        <w:pStyle w:val="TextoNormal"/>
      </w:pPr>
    </w:p>
    <w:p w:rsidR="005728DD" w:rsidRDefault="005728DD" w:rsidP="005728DD">
      <w:pPr>
        <w:pStyle w:val="TextoNormal"/>
      </w:pPr>
      <w:r>
        <w:t>c) No obstante lo anterior, de los antecedentes descritos se deduce que tanto la sala de recursos como el tribunal sentenciador entraron a valorar el fondo de la pretensión ahora formulada, a instancia de otras partes o en momentos procesales ulteriores. Esto permite a este tribunal señalar que, en cualquier caso, el motivo no podría haber prosperado en los términos en que ha sido planteado.</w:t>
      </w:r>
    </w:p>
    <w:p w:rsidR="005728DD" w:rsidRDefault="005728DD" w:rsidP="005728DD">
      <w:pPr>
        <w:pStyle w:val="TextoNormal"/>
      </w:pPr>
    </w:p>
    <w:p w:rsidR="005728DD" w:rsidRDefault="005728DD" w:rsidP="005728DD">
      <w:pPr>
        <w:pStyle w:val="TextoNormal"/>
      </w:pPr>
      <w:r>
        <w:t>(i) 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005728DD" w:rsidRDefault="005728DD" w:rsidP="005728DD">
      <w:pPr>
        <w:pStyle w:val="TextoNormal"/>
      </w:pPr>
    </w:p>
    <w:p w:rsidR="005728DD" w:rsidRDefault="005728DD" w:rsidP="005728DD">
      <w:pPr>
        <w:pStyle w:val="TextoNormal"/>
      </w:pPr>
      <w:r>
        <w:t>La causa de recusación invocada es la prevista en el art. 219.10 LOPJ: “Tener interés directo o indirecto en el pleito o causa”. Como se deduce de lo expuesto en el ATC 26/2007, de 5 de febrero, FJ 7, esta causa de abstención y/o recusación hace referencia a la relación del magistrado con el objeto del procedimiento, de manera que le pueda “afectar directa y especialmente”, o pueda derivarse del mismo algún “beneficio o perjuicio”. En esa resolución también se señalaba que, partiendo de la acepción de la palabra “interés” recogida en el diccionario de la Real Academia Española,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005728DD" w:rsidRDefault="005728DD" w:rsidP="005728DD">
      <w:pPr>
        <w:pStyle w:val="TextoNormal"/>
      </w:pPr>
    </w:p>
    <w:p w:rsidR="005728DD" w:rsidRDefault="005728DD" w:rsidP="005728DD">
      <w:pPr>
        <w:pStyle w:val="TextoNormal"/>
      </w:pPr>
      <w:r>
        <w:t>El análisis de la expresión impugnada permite descartar cualquier indicio de parcialidad, sin alterar su literalidad ni el sentido o contexto en que fue utilizada. Se podrá discutir la mayor o menor fortuna en la elección del verbo empleado, cuya pertinencia no ha podido ser explicada por el magistrado instructor, precisamente porque se ha omitido su informe al no haberse planteado un incidente de recusación. No obstante, ese verbo no puede ser necesariamente identificado con una pérdida de la imparcialidad del magistrado instructor. Es decir, la propia dimensión objetiva de la expresión no puede transmitir una imagen o una apariencia de parcialidad.</w:t>
      </w:r>
    </w:p>
    <w:p w:rsidR="005728DD" w:rsidRDefault="005728DD" w:rsidP="005728DD">
      <w:pPr>
        <w:pStyle w:val="TextoNormal"/>
      </w:pPr>
    </w:p>
    <w:p w:rsidR="005728DD" w:rsidRDefault="005728DD" w:rsidP="005728DD">
      <w:pPr>
        <w:pStyle w:val="TextoNormal"/>
      </w:pPr>
      <w:r>
        <w:t>(ii) El recurrente afirma que la palabra “sufrimos” implica la asunción de la posición de víctima del magistrado instructor. Lo cierto es que el recurso parte de una premisa errónea. Los hechos objeto de investigación estaban siendo calificados como constitutivos de unos delitos que, en el caso de la rebelión (arts. 472 y ss. CP) afecta al orden constitucional (título veintiuno del libro segundo), mientras que en el caso de la sedición (arts. 544 y ss. CP) atenta contra el orden público (título veintidós del libro segundo). En ambos supuestos, se estaba en presencia de infracciones delictivas que afectaban a bienes jurídicos colectivos: ya sea a todo el régimen de ejercicio de derechos y libertades ciudadanas, o al funcionamiento regular de las instituciones. Por eso, la expresión discutida no puede implicar la asunción de la condición de víctima del delito, porque las figuras delictivas investigadas carecen de sujeto pasivo concreto y determinado.</w:t>
      </w:r>
    </w:p>
    <w:p w:rsidR="005728DD" w:rsidRDefault="005728DD" w:rsidP="005728DD">
      <w:pPr>
        <w:pStyle w:val="TextoNormal"/>
      </w:pPr>
    </w:p>
    <w:p w:rsidR="005728DD" w:rsidRDefault="005728DD" w:rsidP="005728DD">
      <w:pPr>
        <w:pStyle w:val="TextoNormal"/>
      </w:pPr>
      <w:r>
        <w:lastRenderedPageBreak/>
        <w:t>Del mismo modo, la expresión impugnada no suponía una toma de partido por alguna de las partes con la consiguiente animadversión hacia las otras, ni la manifestación de un ánimo o interés personal sobre el sentido que debía tomar la resolución final del procedimiento. Lo cual es compatible con el hecho de que el magistrado instructor vaya asumiendo una progresiva convicción jurídica sobre la existencia de indicios delictivos y de su autoría, lo que es consustancial con su posición funcional en el proceso, que no puede determinar, por sí sola, una pérdida de imparcialidad.</w:t>
      </w:r>
    </w:p>
    <w:p w:rsidR="005728DD" w:rsidRDefault="005728DD" w:rsidP="005728DD">
      <w:pPr>
        <w:pStyle w:val="TextoNormal"/>
      </w:pPr>
    </w:p>
    <w:p w:rsidR="005728DD" w:rsidRDefault="005728DD" w:rsidP="005728DD">
      <w:pPr>
        <w:pStyle w:val="TextoNormal"/>
      </w:pPr>
      <w:r>
        <w:t>Precisamente en esta línea, también debe señalarse que se trata de una expresión cuya contextualización no puede analizarse al margen de la naturaleza de la extensa resolución judicial en que fue empleada.</w:t>
      </w:r>
    </w:p>
    <w:p w:rsidR="005728DD" w:rsidRDefault="005728DD" w:rsidP="005728DD">
      <w:pPr>
        <w:pStyle w:val="TextoNormal"/>
      </w:pPr>
    </w:p>
    <w:p w:rsidR="005728DD" w:rsidRDefault="005728DD" w:rsidP="005728DD">
      <w:pPr>
        <w:pStyle w:val="TextoNormal"/>
      </w:pPr>
      <w:r>
        <w:t>(iii) En efecto, «[e]n la STC 27/2019, de 26 de febrero, hemos recordado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 “[…] Añadíamos entonces que ‘el procesamiento no implica, evidentemente, la imposición de una pena. Constituye solo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 [STC 11/2020, de 28 de enero, FJ 9 A)].</w:t>
      </w:r>
    </w:p>
    <w:p w:rsidR="005728DD" w:rsidRDefault="005728DD" w:rsidP="005728DD">
      <w:pPr>
        <w:pStyle w:val="TextoNormal"/>
      </w:pPr>
    </w:p>
    <w:p w:rsidR="005728DD" w:rsidRDefault="005728DD" w:rsidP="005728DD">
      <w:pPr>
        <w:pStyle w:val="TextoNormal"/>
      </w:pPr>
      <w:r>
        <w:t>Lo anterior supone que no todas las expresiones fácticas recogidas en un auto de procesamiento tienen un grado de vinculación absoluta para la delimitación del objeto del proceso ni para su resolución final. Lo relevante, desde la perspectiva del principio acusatorio y del derecho de defensa, es que se respete el núcleo esencial de los hechos atribuidos a la persona investigada a los efectos de formular, en su caso, la acusación; y que exista una correlación o coherencia, a su vez, entre el núcleo esencial de los hechos objeto de acusación y la sentencia que ponga fin al procedimiento (ver, por todas, STC 155/2009, de 25 de junio, FJ 4).</w:t>
      </w:r>
    </w:p>
    <w:p w:rsidR="005728DD" w:rsidRDefault="005728DD" w:rsidP="005728DD">
      <w:pPr>
        <w:pStyle w:val="TextoNormal"/>
      </w:pPr>
    </w:p>
    <w:p w:rsidR="005728DD" w:rsidRDefault="005728DD" w:rsidP="005728DD">
      <w:pPr>
        <w:pStyle w:val="TextoNormal"/>
      </w:pPr>
      <w:r>
        <w:t xml:space="preserve">d) En el caso concreto, el recurrente pretende que la frase cuestionada lleve aparejada la nulidad de todo el procedimiento y, señaladamente, de una resolución completamente desconectada jurídicamente; es decir, distinta y autónoma como es la sentencia condenatoria. Ese hipotético grado de conexión entre la vulneración denunciada y el devenir final del proceso ha de ser objeto de una valoración de las circunstancias del caso concreto que, necesariamente, no puede ser apriorística. Como señalaba la STC 23/2016, de 15 de febrero, FJ 3, no es posible descartar que la reparación de una eventual lesión de un derecho fundamental mediante la nulidad con retroacción de actuaciones, “entre en conflicto con otros derechos, 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 la solución habrá de adoptarse previa ponderación de los derechos y valores constitucionales en conflicto, con respeto a su contenido, observancia del </w:t>
      </w:r>
      <w:r>
        <w:lastRenderedPageBreak/>
        <w:t>principio de proporcionalidad, y motivación del juicio de ponderación (SSTC 85/1992, de 8 de junio, FJ 4, y 219/1992, de 3 de diciembre, FJ 2)”.</w:t>
      </w:r>
    </w:p>
    <w:p w:rsidR="005728DD" w:rsidRDefault="005728DD" w:rsidP="005728DD">
      <w:pPr>
        <w:pStyle w:val="TextoNormal"/>
      </w:pPr>
    </w:p>
    <w:p w:rsidR="005728DD" w:rsidRDefault="005728DD" w:rsidP="005728DD">
      <w:pPr>
        <w:pStyle w:val="TextoNormal"/>
      </w:pPr>
      <w:r>
        <w:t>Para este tribunal, la expresión analizada puede considerarse inocua desde la perspectiva de la afectación material del derecho fundamental invocado y, por lo tanto, el ejercicio ponderativo no puede resolverse mediante la estimación de la pretensión del recurrente. El verbo empleado no fue determinante para la decisión adoptada en el auto de procesamiento, ni tuvo relevancia alguna para la formulación de los escritos de calificación provisional ni para la sentencia condenatoria. De esa expresión no se dedujo una desventaja para el procesado, ni una falta de equidad o una discriminación en el trato dispensado por el magistrado instructor, de las que pudiera deducirse un posicionamiento en su perjuicio, indicativo de una falta de imparcialidad. Esto no significa que el derecho fundamental al juez imparcial requiera un resultado material para apreciar la lesión alegada. Pero, tal y como ha sido formulado el recurso, no basta con una mera interpretación de una expresión, si no va acompañada de algún otro elemento fáctico del que, racionalmente, pueda deducirse una objetiva falta de imparcialidad.</w:t>
      </w:r>
    </w:p>
    <w:p w:rsidR="005728DD" w:rsidRDefault="005728DD" w:rsidP="005728DD">
      <w:pPr>
        <w:pStyle w:val="TextoNormal"/>
      </w:pPr>
    </w:p>
    <w:p w:rsidR="005728DD" w:rsidRDefault="005728DD" w:rsidP="005728DD">
      <w:pPr>
        <w:pStyle w:val="TextoNormal"/>
      </w:pPr>
      <w:r>
        <w:t>El planteamiento del recurso es asimismo manifiestamente desproporcionado. Una sola frase incluida en una amplia resolución judicial, en la que se exponen elementos indiciarios, no puede suponer una quiebra del principio de imparcialidad determinante de la nulidad de todo el procedimiento.</w:t>
      </w:r>
    </w:p>
    <w:p w:rsidR="005728DD" w:rsidRDefault="005728DD" w:rsidP="005728DD">
      <w:pPr>
        <w:pStyle w:val="TextoNormal"/>
      </w:pPr>
    </w:p>
    <w:p w:rsidR="005728DD" w:rsidRDefault="005728DD" w:rsidP="005728DD">
      <w:pPr>
        <w:pStyle w:val="TextoNormal"/>
      </w:pPr>
      <w:r>
        <w:t>Por otro lado, la demanda se refiere no solo a la actuación del magistrado instructor, sino que, por extensión, se dirige también contra la sala de recursos y contra el tribunal sentenciador, al desestimar las alegaciones sobre esta cuestión. En la sentencia impugnada [fundamento jurídico A), apartado 5.5.2] se deslizan expresiones que, de nuevo, son impugnadas por el recurrente. Se trata de palabras como “desazón”, “tedio” o “atosigamiento” que el demandante considera impropias de una resolución judicial, porque denotan una pérdida de la debida imparcialidad.</w:t>
      </w:r>
    </w:p>
    <w:p w:rsidR="005728DD" w:rsidRDefault="005728DD" w:rsidP="005728DD">
      <w:pPr>
        <w:pStyle w:val="TextoNormal"/>
      </w:pPr>
    </w:p>
    <w:p w:rsidR="005728DD" w:rsidRDefault="005728DD" w:rsidP="005728DD">
      <w:pPr>
        <w:pStyle w:val="TextoNormal"/>
      </w:pPr>
      <w:r>
        <w:t>Sin embargo, esas expresiones no suponen para este tribunal la evocación de un interés indebido en el objeto del proceso. La sala de enjuiciamiento se remite a las palabras contenidas en el auto de 18 de junio de 2018 dictado por la sala de recursos. El tribunal sentenciador tampoco hace suyas las palabras del magistrado instructor, sino que utiliza esas otras palabras con la pretensión de explicar o interpretar la locución impugnada. Unas expresiones que no son, en sí mismas, indicativas de una determinada posición procesal y que, en definitiva, no pueden suponer una pérdida de la debida imparcialidad.</w:t>
      </w:r>
    </w:p>
    <w:p w:rsidR="005728DD" w:rsidRDefault="005728DD" w:rsidP="005728DD">
      <w:pPr>
        <w:pStyle w:val="TextoNormal"/>
      </w:pPr>
    </w:p>
    <w:p w:rsidR="005728DD" w:rsidRDefault="005728DD" w:rsidP="005728DD">
      <w:pPr>
        <w:pStyle w:val="TextoNormal"/>
      </w:pPr>
      <w:r>
        <w:t>Procede, en consecuencia, la desestimación de este motivo de amparo.</w:t>
      </w:r>
    </w:p>
    <w:p w:rsidR="005728DD" w:rsidRDefault="005728DD" w:rsidP="005728DD">
      <w:pPr>
        <w:pStyle w:val="TextoNormal"/>
      </w:pPr>
    </w:p>
    <w:p w:rsidR="005728DD" w:rsidRPr="005728DD" w:rsidRDefault="005728DD" w:rsidP="005728DD">
      <w:pPr>
        <w:pStyle w:val="TextoNormal"/>
        <w:rPr>
          <w:i/>
        </w:rPr>
      </w:pPr>
      <w:r>
        <w:t>5</w:t>
      </w:r>
      <w:r w:rsidRPr="005728DD">
        <w:rPr>
          <w:i/>
        </w:rPr>
        <w:t>.3. La recusación del magistrado de la sala de recursos, señor Monterde Ferrer.</w:t>
      </w:r>
    </w:p>
    <w:p w:rsidR="005728DD" w:rsidRPr="005728DD" w:rsidRDefault="005728DD" w:rsidP="005728DD">
      <w:pPr>
        <w:pStyle w:val="TextoNormal"/>
        <w:rPr>
          <w:i/>
        </w:rPr>
      </w:pPr>
    </w:p>
    <w:p w:rsidR="005728DD" w:rsidRDefault="005728DD" w:rsidP="005728DD">
      <w:pPr>
        <w:pStyle w:val="TextoNormal"/>
      </w:pPr>
      <w:r w:rsidRPr="005728DD">
        <w:rPr>
          <w:i/>
        </w:rPr>
        <w:t>5.3.1. Posiciones de las part</w:t>
      </w:r>
      <w:r>
        <w:t>es.</w:t>
      </w:r>
    </w:p>
    <w:p w:rsidR="005728DD" w:rsidRDefault="005728DD" w:rsidP="005728DD">
      <w:pPr>
        <w:pStyle w:val="TextoNormal"/>
      </w:pPr>
    </w:p>
    <w:p w:rsidR="005728DD" w:rsidRDefault="005728DD" w:rsidP="005728DD">
      <w:pPr>
        <w:pStyle w:val="TextoNormal"/>
      </w:pPr>
      <w:r>
        <w:t xml:space="preserve">El recurrente impugna en su demanda la desestimación de las recusaciones formuladas contra el magistrado señor Monterde Ferrer, uno de los integrantes de la sala de recursos de la Sala de lo Penal del Tribunal Supremo. De forma sucinta, se considera que el magistrado no reunía las condiciones de imparcialidad, debido a que ocupaba el cargo de vicepresidente </w:t>
      </w:r>
      <w:r>
        <w:lastRenderedPageBreak/>
        <w:t>de la Asociación Profesional de la Magistratura (APM). Esta asociación judicial desarrolló una campaña a través de la red social Twitter, en la que tomó partido en contra de los procesados en esta causa. En concreto, los mensajes de los que se derivaría esa pérdida de imparcialidad serían los siguientes:</w:t>
      </w:r>
    </w:p>
    <w:p w:rsidR="005728DD" w:rsidRDefault="005728DD" w:rsidP="005728DD">
      <w:pPr>
        <w:pStyle w:val="TextoNormal"/>
      </w:pPr>
    </w:p>
    <w:p w:rsidR="005728DD" w:rsidRDefault="005728DD" w:rsidP="005728DD">
      <w:pPr>
        <w:pStyle w:val="TextoNormal"/>
      </w:pPr>
      <w:r>
        <w:t>a) Mensajes de la cuenta en Twitter de la delegación en Cataluña de la APM, con expresión de su fecha y contenido:</w:t>
      </w:r>
    </w:p>
    <w:p w:rsidR="005728DD" w:rsidRDefault="005728DD" w:rsidP="005728DD">
      <w:pPr>
        <w:pStyle w:val="TextoNormal"/>
      </w:pPr>
    </w:p>
    <w:p w:rsidR="005728DD" w:rsidRDefault="005728DD" w:rsidP="005728DD">
      <w:pPr>
        <w:pStyle w:val="TextoNormal"/>
      </w:pPr>
      <w:r>
        <w:t>- 29 de enero de 2018. Se muestra “preocupada” por los hechos sucedidos en Barcelona el día 20 de septiembre de 2017.</w:t>
      </w:r>
    </w:p>
    <w:p w:rsidR="005728DD" w:rsidRDefault="005728DD" w:rsidP="005728DD">
      <w:pPr>
        <w:pStyle w:val="TextoNormal"/>
      </w:pPr>
    </w:p>
    <w:p w:rsidR="005728DD" w:rsidRDefault="005728DD" w:rsidP="005728DD">
      <w:pPr>
        <w:pStyle w:val="TextoNormal"/>
      </w:pPr>
      <w:r>
        <w:t>- 27 de enero de 2018. Se critica a los ciudadanos, a los que se califica de “amarillistas”, que piden la libertad del procesado don Jordi Sánchez, y se reenvía la información remitida por un tercero en la que se hace referencia a un “piquete golpista”.</w:t>
      </w:r>
    </w:p>
    <w:p w:rsidR="005728DD" w:rsidRDefault="005728DD" w:rsidP="005728DD">
      <w:pPr>
        <w:pStyle w:val="TextoNormal"/>
      </w:pPr>
    </w:p>
    <w:p w:rsidR="005728DD" w:rsidRDefault="005728DD" w:rsidP="005728DD">
      <w:pPr>
        <w:pStyle w:val="TextoNormal"/>
      </w:pPr>
      <w:r>
        <w:t>- 24 de enero de 2018. Se califican como “dinámica anticonstitucional” determinadas expresiones contenidas en una carta elaborada por el procesado don Joaquín Forn, como integrante de Junts per Catalunya, del que formaba parte el procesado don Jordi Sànchez.</w:t>
      </w:r>
    </w:p>
    <w:p w:rsidR="005728DD" w:rsidRDefault="005728DD" w:rsidP="005728DD">
      <w:pPr>
        <w:pStyle w:val="TextoNormal"/>
      </w:pPr>
    </w:p>
    <w:p w:rsidR="005728DD" w:rsidRDefault="005728DD" w:rsidP="005728DD">
      <w:pPr>
        <w:pStyle w:val="TextoNormal"/>
      </w:pPr>
      <w:r>
        <w:t>- A finales de noviembre de 2017. Se difunde un texto en inglés, cuya autoría pertenece a un tercero, que incluye una fotografía del procesado don Jordi Sànchez, altavoz en mano, atribuyéndole haber incitado a miles de personas a rodear una comisión judicial y destruir coches policiales.</w:t>
      </w:r>
    </w:p>
    <w:p w:rsidR="005728DD" w:rsidRDefault="005728DD" w:rsidP="005728DD">
      <w:pPr>
        <w:pStyle w:val="TextoNormal"/>
      </w:pPr>
    </w:p>
    <w:p w:rsidR="005728DD" w:rsidRDefault="005728DD" w:rsidP="005728DD">
      <w:pPr>
        <w:pStyle w:val="TextoNormal"/>
      </w:pPr>
      <w:r>
        <w:t>- 24 de noviembre de 2017. Se critica a la alcaldesa de Barcelona por pedir la libertad de los procesados en la causa.</w:t>
      </w:r>
    </w:p>
    <w:p w:rsidR="005728DD" w:rsidRDefault="005728DD" w:rsidP="005728DD">
      <w:pPr>
        <w:pStyle w:val="TextoNormal"/>
      </w:pPr>
    </w:p>
    <w:p w:rsidR="005728DD" w:rsidRDefault="005728DD" w:rsidP="005728DD">
      <w:pPr>
        <w:pStyle w:val="TextoNormal"/>
      </w:pPr>
      <w:r>
        <w:t>- 22 de noviembre de 2017. Se califica a la ANC como “brazo civil de la trama secesionista”.</w:t>
      </w:r>
    </w:p>
    <w:p w:rsidR="005728DD" w:rsidRDefault="005728DD" w:rsidP="005728DD">
      <w:pPr>
        <w:pStyle w:val="TextoNormal"/>
      </w:pPr>
    </w:p>
    <w:p w:rsidR="005728DD" w:rsidRDefault="005728DD" w:rsidP="005728DD">
      <w:pPr>
        <w:pStyle w:val="TextoNormal"/>
      </w:pPr>
      <w:r>
        <w:t>- 22 de noviembre de 2017. Se hace una referencia directa a los procesados don Josep Rull y don Jordi Turull, sobre su acatamiento a la Constitución, mediante la expresión irónica: “cómo han cambiado las cosas”.</w:t>
      </w:r>
    </w:p>
    <w:p w:rsidR="005728DD" w:rsidRDefault="005728DD" w:rsidP="005728DD">
      <w:pPr>
        <w:pStyle w:val="TextoNormal"/>
      </w:pPr>
    </w:p>
    <w:p w:rsidR="005728DD" w:rsidRDefault="005728DD" w:rsidP="005728DD">
      <w:pPr>
        <w:pStyle w:val="TextoNormal"/>
      </w:pPr>
      <w:r>
        <w:t>- 5 de noviembre de 2017. Se califica a la ANC como “movilizador de masas contra el Estado de Derecho”.</w:t>
      </w:r>
    </w:p>
    <w:p w:rsidR="005728DD" w:rsidRDefault="005728DD" w:rsidP="005728DD">
      <w:pPr>
        <w:pStyle w:val="TextoNormal"/>
      </w:pPr>
    </w:p>
    <w:p w:rsidR="005728DD" w:rsidRDefault="005728DD" w:rsidP="005728DD">
      <w:pPr>
        <w:pStyle w:val="TextoNormal"/>
      </w:pPr>
      <w:r>
        <w:t>- 27 de septiembre de 2017. Se reenvía un artículo de un tercero, en el que se alude a actuar “sin medias tintas” ante el “desafío separatista”.</w:t>
      </w:r>
    </w:p>
    <w:p w:rsidR="005728DD" w:rsidRDefault="005728DD" w:rsidP="005728DD">
      <w:pPr>
        <w:pStyle w:val="TextoNormal"/>
      </w:pPr>
    </w:p>
    <w:p w:rsidR="005728DD" w:rsidRDefault="005728DD" w:rsidP="005728DD">
      <w:pPr>
        <w:pStyle w:val="TextoNormal"/>
      </w:pPr>
      <w:r>
        <w:t>b) Mensajes de la cuenta en Twitter de la Asociación Profesional de la Magistratura.</w:t>
      </w:r>
    </w:p>
    <w:p w:rsidR="005728DD" w:rsidRDefault="005728DD" w:rsidP="005728DD">
      <w:pPr>
        <w:pStyle w:val="TextoNormal"/>
      </w:pPr>
    </w:p>
    <w:p w:rsidR="005728DD" w:rsidRDefault="005728DD" w:rsidP="005728DD">
      <w:pPr>
        <w:pStyle w:val="TextoNormal"/>
      </w:pPr>
      <w:r>
        <w:t>- 3 de noviembre de 2017. Se hace una referencia a la entonces magistrada de la Audiencia Nacional, señora Lamela, de la que se dice irónicamente que se levantó “con el pie izquierdo” y decidió enviar a todos los encausados a prisión.</w:t>
      </w:r>
    </w:p>
    <w:p w:rsidR="005728DD" w:rsidRDefault="005728DD" w:rsidP="005728DD">
      <w:pPr>
        <w:pStyle w:val="TextoNormal"/>
      </w:pPr>
    </w:p>
    <w:p w:rsidR="005728DD" w:rsidRDefault="005728DD" w:rsidP="005728DD">
      <w:pPr>
        <w:pStyle w:val="TextoNormal"/>
      </w:pPr>
      <w:r>
        <w:lastRenderedPageBreak/>
        <w:t>- 27 de octubre de 2017. Se hace un comentario sobre unas declaraciones públicas del exmagistrado señor Martín-Pallín, en el que se pregunta si “¿dejamos impunes a los delincuentes?”.</w:t>
      </w:r>
    </w:p>
    <w:p w:rsidR="005728DD" w:rsidRDefault="005728DD" w:rsidP="005728DD">
      <w:pPr>
        <w:pStyle w:val="TextoNormal"/>
      </w:pPr>
    </w:p>
    <w:p w:rsidR="005728DD" w:rsidRDefault="005728DD" w:rsidP="005728DD">
      <w:pPr>
        <w:pStyle w:val="TextoNormal"/>
      </w:pPr>
      <w:r>
        <w:t>Según la demanda, estos mensajes ponen de manifiesto un claro prejuicio sobre la culpabilidad de los procesados en la causa, de la que el magistrado recusado no podía ser ajeno por la relevancia del cargo que ostentaba en la asociación profesional promotora de esta campaña mediática.</w:t>
      </w:r>
    </w:p>
    <w:p w:rsidR="005728DD" w:rsidRDefault="005728DD" w:rsidP="005728DD">
      <w:pPr>
        <w:pStyle w:val="TextoNormal"/>
      </w:pPr>
    </w:p>
    <w:p w:rsidR="005728DD" w:rsidRDefault="005728DD" w:rsidP="005728DD">
      <w:pPr>
        <w:pStyle w:val="TextoNormal"/>
      </w:pPr>
      <w:r>
        <w:t>Señala el recurrente que esta lesión se denunció de manera reiterada por la defensa del procesado don Jordi Sánchez en los recursos que iba dirigiendo a dicho órgano, y la defensa del aquí demandante se adhirió a ella en el escrito de cuestiones previas y en el de conclusiones definitivas.</w:t>
      </w:r>
    </w:p>
    <w:p w:rsidR="005728DD" w:rsidRDefault="005728DD" w:rsidP="005728DD">
      <w:pPr>
        <w:pStyle w:val="TextoNormal"/>
      </w:pPr>
    </w:p>
    <w:p w:rsidR="005728DD" w:rsidRDefault="005728DD" w:rsidP="005728DD">
      <w:pPr>
        <w:pStyle w:val="TextoNormal"/>
      </w:pPr>
      <w:r>
        <w:t xml:space="preserve">La queja del demandante se desarrolla en el sentido de denunciar el reiterado rechazo indebido de esta alegación. A tal efecto, expone que la pretensión fue rechazada </w:t>
      </w:r>
      <w:r w:rsidRPr="005728DD">
        <w:rPr>
          <w:i/>
        </w:rPr>
        <w:t>a limine</w:t>
      </w:r>
      <w:r>
        <w:t xml:space="preserve"> por la propia sala de recursos, de la que formaba parte el recusado, en su providencia de 12 de febrero de 2018, así como en la posterior de 14 de febrero, por la que se inadmitía el recurso de súplica interpuesto por la representación de don Jordi Sànchez contra la anterior resolución. También fue ulteriormente desestimada en el auto de 15 de febrero de 2018, por el que se resolvía el recurso de apelación en cuyo trámite se planteó la recusación, así como en el posterior auto de 19 de abril de 2018, resolutorio del incidente de nulidad de actuaciones interpuesto por la representación de don Jordi Sànchez contra la anterior resolución. Por parte del aquí recurrente de amparo, la queja fue invocada en sus escritos de cuestiones previas y en el de conclusiones definitivas, obteniendo respuesta en la sentencia.</w:t>
      </w:r>
    </w:p>
    <w:p w:rsidR="005728DD" w:rsidRDefault="005728DD" w:rsidP="005728DD">
      <w:pPr>
        <w:pStyle w:val="TextoNormal"/>
      </w:pPr>
    </w:p>
    <w:p w:rsidR="005728DD" w:rsidRDefault="005728DD" w:rsidP="005728DD">
      <w:pPr>
        <w:pStyle w:val="TextoNormal"/>
      </w:pPr>
      <w:r>
        <w:t>Sobre este motivo de amparo, el Ministerio Fiscal plantea de nuevo un óbice procesal de inadmisión, conforme a lo dispuesto en el art. 50.1 a) LOTC, en relación con el art. 44.1 c) LOTC. No obstante, se pronuncia también sobre el fondo para descartar la vulneración denunciada. A juicio del fiscal, ninguno de los mensajes fue emitido por el magistrado recusado, por lo que no pueden considerarse como elemento acreditado de interés alguno en un resultado concreto del proceso. El abogado del Estado asume también la extemporaneidad apreciada por el tribunal, además de resaltar que los mensajes fueron emitidos por personas no identificadas; mientras que el partido político Vox reitera que las alegaciones del recurrente son “meras sospechas”, que no resultan objetivamente justificadas.</w:t>
      </w:r>
    </w:p>
    <w:p w:rsidR="005728DD" w:rsidRDefault="005728DD" w:rsidP="005728DD">
      <w:pPr>
        <w:pStyle w:val="TextoNormal"/>
      </w:pPr>
    </w:p>
    <w:p w:rsidR="005728DD" w:rsidRDefault="005728DD" w:rsidP="005728DD">
      <w:pPr>
        <w:pStyle w:val="TextoNormal"/>
      </w:pPr>
      <w:r>
        <w:t>5.3.2</w:t>
      </w:r>
      <w:r w:rsidRPr="005728DD">
        <w:rPr>
          <w:i/>
        </w:rPr>
        <w:t>. Respuesta del órgano judici</w:t>
      </w:r>
      <w:r>
        <w:t>al.</w:t>
      </w:r>
    </w:p>
    <w:p w:rsidR="005728DD" w:rsidRDefault="005728DD" w:rsidP="005728DD">
      <w:pPr>
        <w:pStyle w:val="TextoNormal"/>
      </w:pPr>
    </w:p>
    <w:p w:rsidR="005728DD" w:rsidRDefault="005728DD" w:rsidP="005728DD">
      <w:pPr>
        <w:pStyle w:val="TextoNormal"/>
      </w:pPr>
      <w:r>
        <w:t xml:space="preserve">En el fundamento de Derecho A), apartado 5.5.7, la resolución ahora impugnada desestima este motivo de nulidad señalando que “las defensas pretendieron alterar la composición de un órgano jurisdiccional —en este caso, la sala de recursos— mediante la invocación de una causa de recusación que se basaba, no en los mensajes del magistrado afectado, no en sus opiniones, no en sus actos, sino en los mensajes anónimos que la defensa atribuía a magistrados no identificados, pero miembros de la Asociación Profesional de la Magistratura, de la que el recusado era vicepresidente. El rechazo </w:t>
      </w:r>
      <w:r w:rsidRPr="005728DD">
        <w:rPr>
          <w:i/>
        </w:rPr>
        <w:t>a limine</w:t>
      </w:r>
      <w:r>
        <w:t xml:space="preserve"> de ese incidente era obligado, no solo por su extemporaneidad —la composición de la sala de recursos se había publicado en el “Boletín Oficial del Estado” desde el mes de diciembre de 2016—, sino </w:t>
      </w:r>
      <w:r>
        <w:lastRenderedPageBreak/>
        <w:t>porque los mensajes habían sido emitidos por personas no identificadas cuya vinculación con el señor Monterde exigía, al menos, aportar un principio de prueba”.</w:t>
      </w:r>
    </w:p>
    <w:p w:rsidR="005728DD" w:rsidRDefault="005728DD" w:rsidP="005728DD">
      <w:pPr>
        <w:pStyle w:val="TextoNormal"/>
      </w:pPr>
    </w:p>
    <w:p w:rsidR="005728DD" w:rsidRDefault="005728DD" w:rsidP="005728DD">
      <w:pPr>
        <w:pStyle w:val="TextoNormal"/>
      </w:pPr>
      <w:r>
        <w:t>5.3.3</w:t>
      </w:r>
      <w:r w:rsidRPr="005728DD">
        <w:rPr>
          <w:i/>
        </w:rPr>
        <w:t>. Resolución de la que</w:t>
      </w:r>
      <w:r>
        <w:t>ja.</w:t>
      </w:r>
    </w:p>
    <w:p w:rsidR="005728DD" w:rsidRDefault="005728DD" w:rsidP="005728DD">
      <w:pPr>
        <w:pStyle w:val="TextoNormal"/>
      </w:pPr>
    </w:p>
    <w:p w:rsidR="005728DD" w:rsidRDefault="005728DD" w:rsidP="005728DD">
      <w:pPr>
        <w:pStyle w:val="TextoNormal"/>
      </w:pPr>
      <w:r>
        <w:t>La demanda plantea toda una serie de alegaciones que, desde el punto de vista metodológico, se pueden clasificar en dos grupos; procesales y materiales. Así, por un lado, se denuncia que el incidente de recusación nunca fue tramitado, sino que fue inadmitido por la misma sala de la que formaba parte el magistrado recusado, con una interpretación excesivamente rigorista de los requisitos para su admisión, ya que el incidente fue planteado tan pronto como se tuvo conocimiento de la campaña emprendida por la asociación de jueces, con independencia de la publicación en el “BOE” de la composición de la sala de recursos. Y, por otro, la cuestión de fondo invocada pone de manifiesto que la lesión denunciada por el recurrente presenta un fuerte componente fáctico. Se trata de dilucidar si la condición del magistrado recusado, como directivo de una asociación profesional de jueces, determina su falta de imparcialidad como consecuencia de los mensajes emitidos desde las cuentas de esa asociación en una concreta red social (Twitter).</w:t>
      </w:r>
    </w:p>
    <w:p w:rsidR="005728DD" w:rsidRDefault="005728DD" w:rsidP="005728DD">
      <w:pPr>
        <w:pStyle w:val="TextoNormal"/>
      </w:pPr>
    </w:p>
    <w:p w:rsidR="005728DD" w:rsidRDefault="005728DD" w:rsidP="005728DD">
      <w:pPr>
        <w:pStyle w:val="TextoNormal"/>
      </w:pPr>
      <w:r>
        <w:t>a) En relación con este motivo debemos señalar que, como en el caso anterior, procede la estimación del óbice procesal planteado por el Ministerio Fiscal, conforme a lo dispuesto en el art. 50.1 a) LOTC, en relación con el art. 44.1 c) LOTC.</w:t>
      </w:r>
    </w:p>
    <w:p w:rsidR="005728DD" w:rsidRDefault="005728DD" w:rsidP="005728DD">
      <w:pPr>
        <w:pStyle w:val="TextoNormal"/>
      </w:pPr>
    </w:p>
    <w:p w:rsidR="005728DD" w:rsidRDefault="005728DD" w:rsidP="005728DD">
      <w:pPr>
        <w:pStyle w:val="TextoNormal"/>
      </w:pPr>
      <w:r>
        <w:t>En efecto, el recurrente no planteó el incidente de recusación contra este magistrado integrante de la sala de recursos, sino que, como la propia demanda reconoce, esta lesión se denunció de manera reiterada por la defensa del procesado don Jordi Sànchez en los recursos que iba dirigiendo a dicho órgano, y la defensa del aquí demandante se adhirió a ella en el escrito de cuestiones previas y en el de conclusiones definitivas.</w:t>
      </w:r>
    </w:p>
    <w:p w:rsidR="005728DD" w:rsidRDefault="005728DD" w:rsidP="005728DD">
      <w:pPr>
        <w:pStyle w:val="TextoNormal"/>
      </w:pPr>
    </w:p>
    <w:p w:rsidR="005728DD" w:rsidRDefault="005728DD" w:rsidP="005728DD">
      <w:pPr>
        <w:pStyle w:val="TextoNormal"/>
      </w:pPr>
      <w:r>
        <w:t>Por lo tanto, la alegación ahora planteada no fue “denunciada formalmente en el proceso” por el recurrente, en tiempo y forma. No lo hizo a través del instrumento previsto para ello legalmente, como es el incidente de recusación, ni tampoco lo hizo tan pronto como tuvo conocimiento de una eventual causa (art. 223.1 LOPJ).</w:t>
      </w:r>
    </w:p>
    <w:p w:rsidR="005728DD" w:rsidRDefault="005728DD" w:rsidP="005728DD">
      <w:pPr>
        <w:pStyle w:val="TextoNormal"/>
      </w:pPr>
    </w:p>
    <w:p w:rsidR="005728DD" w:rsidRDefault="005728DD" w:rsidP="005728DD">
      <w:pPr>
        <w:pStyle w:val="TextoNormal"/>
      </w:pPr>
      <w:r>
        <w:t>En este punto, y con remisión a la argumentación ya expuesta en el caso anterior, la demanda incurre en motivo de inadmisión.</w:t>
      </w:r>
    </w:p>
    <w:p w:rsidR="005728DD" w:rsidRDefault="005728DD" w:rsidP="005728DD">
      <w:pPr>
        <w:pStyle w:val="TextoNormal"/>
      </w:pPr>
    </w:p>
    <w:p w:rsidR="005728DD" w:rsidRDefault="005728DD" w:rsidP="005728DD">
      <w:pPr>
        <w:pStyle w:val="TextoNormal"/>
      </w:pPr>
      <w:r>
        <w:t>b) No obstante lo anterior, de los antecedentes descritos se deduce que tanto la sala de recursos como la de enjuiciamiento ofrecieron una respuesta a la pretensión ahora formulada, a instancia de otras partes o en momentos procesales ulteriores. Esto permite a este tribunal señalar que, en cualquier caso, el motivo no hubiera prosperado en los términos en que ha sido planteado.</w:t>
      </w:r>
    </w:p>
    <w:p w:rsidR="005728DD" w:rsidRDefault="005728DD" w:rsidP="005728DD">
      <w:pPr>
        <w:pStyle w:val="TextoNormal"/>
      </w:pPr>
    </w:p>
    <w:p w:rsidR="005728DD" w:rsidRDefault="005728DD" w:rsidP="005728DD">
      <w:pPr>
        <w:pStyle w:val="TextoNormal"/>
      </w:pPr>
      <w:r>
        <w:t>Como se ha expuesto, la demanda alega dos tipos de vulneraciones, que hemos sistematizado en procesales y materiales.</w:t>
      </w:r>
    </w:p>
    <w:p w:rsidR="005728DD" w:rsidRDefault="005728DD" w:rsidP="005728DD">
      <w:pPr>
        <w:pStyle w:val="TextoNormal"/>
      </w:pPr>
    </w:p>
    <w:p w:rsidR="005728DD" w:rsidRDefault="005728DD" w:rsidP="005728DD">
      <w:pPr>
        <w:pStyle w:val="TextoNormal"/>
      </w:pPr>
      <w:r>
        <w:t xml:space="preserve">(i) Empezando con las cuestiones de carácter procesal, ya hemos señalado que el rechazo </w:t>
      </w:r>
      <w:r w:rsidRPr="005728DD">
        <w:rPr>
          <w:i/>
        </w:rPr>
        <w:t>a limine</w:t>
      </w:r>
      <w:r>
        <w:t xml:space="preserve"> de un incidente de recusación ha sido admitido por este tribunal en sus SSTC 155/2002, de 22 de julio, FJ 2, y 140/2004, de 13 de septiembre, FJ 5, entre otras. Los </w:t>
      </w:r>
      <w:r>
        <w:lastRenderedPageBreak/>
        <w:t>requisitos exigidos para adoptar una resolución de ese tipo se han visto colmados por las decisiones de la Sala Segunda del Tribunal Supremo.</w:t>
      </w:r>
    </w:p>
    <w:p w:rsidR="005728DD" w:rsidRDefault="005728DD" w:rsidP="005728DD">
      <w:pPr>
        <w:pStyle w:val="TextoNormal"/>
      </w:pPr>
    </w:p>
    <w:p w:rsidR="005728DD" w:rsidRDefault="005728DD" w:rsidP="005728DD">
      <w:pPr>
        <w:pStyle w:val="TextoNormal"/>
      </w:pPr>
      <w:r>
        <w:t>En efecto, las resoluciones del Tribunal Supremo entroncan con el canon de enjuiciamiento propio del derecho a una resolución motivada, tal y como ha sido descrito, entre otras muchas, en la STC 8/2014, de 27 de enero, FJ 3. Las decisiones exponen con claridad los motivos de la inadmisión del incidente de recusación que, insistimos, no fue interpuesto por el recurrente, sino por la representación de don Jordi Sànchez.</w:t>
      </w:r>
    </w:p>
    <w:p w:rsidR="005728DD" w:rsidRDefault="005728DD" w:rsidP="005728DD">
      <w:pPr>
        <w:pStyle w:val="TextoNormal"/>
      </w:pPr>
    </w:p>
    <w:p w:rsidR="005728DD" w:rsidRDefault="005728DD" w:rsidP="005728DD">
      <w:pPr>
        <w:pStyle w:val="TextoNormal"/>
      </w:pPr>
      <w:r>
        <w:t>En la providencia de 12 de febrero de 2018, la sala de recursos, de la que formaba parte el magistrado recusado, rechazó la recusación por extemporánea. Tras reseñar lo dispuesto en el art. 223 LOPJ, la sala expone que “la condición del magistrado recusado como vicepresidente de la referida asociación data de varios años antes de la presente fecha, y es de dominio público. Por otro lado, la composición de la sala competente para la resolución de los recursos de apelación contra los autos dictados por el juez instructor en la causa de referencia es conocida desde su publicación en el ‘Boletín Oficial del Estado’ con fecha 30 de diciembre de 2016. Por otro lado, esta sala de apelaciones ya ha resuelto otro recurso en esta misma causa mediante auto de 5 de enero de 2018, formando parte del tribunal el magistrado recusado, en rollo de apelación 1-2017, en virtud de recurso interpuesto por [otro procesado] contra el auto del instructor de 4 de diciembre de 2017, dato que es igualmente conocido por el recusante, que compareció en el mismo como parte adherida al recurso”. Este razonamiento es reiterado en el auto de 19 de abril de 2018, por el que se desestima el incidente de nulidad planteado contra el auto de 15 de febrero de 2018, por el que, a su vez, se desestimaba el recurso de apelación interpuesto contra el auto del magistrado instructor de 14 de diciembre de 2017. En el incidente de nulidad se alegaba la vulneración del derecho al juez imparcial, por negativa injustificada a tramitar el incidente de recusación planteado contra el magistrado.</w:t>
      </w:r>
    </w:p>
    <w:p w:rsidR="005728DD" w:rsidRDefault="005728DD" w:rsidP="005728DD">
      <w:pPr>
        <w:pStyle w:val="TextoNormal"/>
      </w:pPr>
    </w:p>
    <w:p w:rsidR="005728DD" w:rsidRDefault="005728DD" w:rsidP="005728DD">
      <w:pPr>
        <w:pStyle w:val="TextoNormal"/>
      </w:pPr>
      <w:r>
        <w:t>Por lo tanto, el incidente fue rechazad</w:t>
      </w:r>
      <w:r w:rsidRPr="005728DD">
        <w:rPr>
          <w:i/>
        </w:rPr>
        <w:t>o a limi</w:t>
      </w:r>
      <w:r>
        <w:t>ne por su manifiesta extemporaneidad, en aplicación de lo dispuesto en el art. 223.1 LOPJ, lo que es conforme a la doctrina de este tribunal.</w:t>
      </w:r>
    </w:p>
    <w:p w:rsidR="005728DD" w:rsidRDefault="005728DD" w:rsidP="005728DD">
      <w:pPr>
        <w:pStyle w:val="TextoNormal"/>
      </w:pPr>
    </w:p>
    <w:p w:rsidR="005728DD" w:rsidRDefault="005728DD" w:rsidP="005728DD">
      <w:pPr>
        <w:pStyle w:val="TextoNormal"/>
      </w:pPr>
      <w:r>
        <w:t>(ii) No obstante, la inclusión del régimen de abstenciones y recusaciones en el ámbito propio de la configuración legal del derecho al juez imparcial, obliga a examinar las resoluciones del Tribunal Supremo no solo desde la perspectiva del mero control externo propio del canon de enjuiciamiento de una cuestión de legalidad ordinaria, sino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005728DD" w:rsidRDefault="005728DD" w:rsidP="005728DD">
      <w:pPr>
        <w:pStyle w:val="TextoNormal"/>
      </w:pPr>
    </w:p>
    <w:p w:rsidR="005728DD" w:rsidRDefault="005728DD" w:rsidP="005728DD">
      <w:pPr>
        <w:pStyle w:val="TextoNormal"/>
      </w:pPr>
      <w:r>
        <w:t xml:space="preserve">En ese examen se constata que los mensajes aportados abarcan una notoria extensión temporal (desde el mes de septiembre de 2017 hasta el mes de enero de 2018); que la recusación fue planteada en fecha 8 de febrero de 2018 porque, según el recurrente, el día anterior le fue notificada la concreta composición de la sala; que ese mismo magistrado ya había intervenido en la resolución del recurso de apelación 1-2017, mediante auto dictado en fecha 5 de enero de 2018; y que la integración de ese magistrado en la sala de recursos había sido publicada en el “BOE” núm. 315, de 30 de diciembre de 2016 (vigente hasta el 31 de enero de 2018), y reiterada en el “BOE” núm. 300, de 11 de diciembre de 2017 (vigente a partir </w:t>
      </w:r>
      <w:r>
        <w:lastRenderedPageBreak/>
        <w:t>del 1 de febrero de 2018), fechas en las que se hicieron públicos los acuerdos del Consejo General del Poder Judicial de 21 de diciembre de 2016 y 23 de noviembre de 2017, respectivamente, por los que se publicaban los acuerdos de la Sala de Gobierno del Tribunal Supremo, sobre composición y funcionamiento de las salas y secciones y asignación de ponencias que deben turnar los magistrados para los periodos 2017 y 2018. En relación con este último aspecto, conviene recordar que, como se afirmó en nuestra STC 116/2008, de 13 de octubre, FJ 3, la predeterminación de la competencia y composición de un determinado órgano judicial no presupone el conocimiento de los magistrados que en cada momento vayan a intervenir en la resolución de cada asunto, porque pueden influir factores diversos como traslados, permisos, licencias o situaciones administrativas. No obstante, una valoración conjunta de los datos obrantes en la causa permite asumir sin dificultad alguna la conclusión sobre la extemporaneidad del incidente de recusación y, por lo tanto, la adecuación del rechaz</w:t>
      </w:r>
      <w:r w:rsidRPr="005728DD">
        <w:rPr>
          <w:i/>
        </w:rPr>
        <w:t>o a limi</w:t>
      </w:r>
      <w:r>
        <w:t>ne de esta pretensión con la consiguiente ausencia de vulneración del derecho al juez imparcial.</w:t>
      </w:r>
    </w:p>
    <w:p w:rsidR="005728DD" w:rsidRDefault="005728DD" w:rsidP="005728DD">
      <w:pPr>
        <w:pStyle w:val="TextoNormal"/>
      </w:pPr>
    </w:p>
    <w:p w:rsidR="005728DD" w:rsidRDefault="005728DD" w:rsidP="005728DD">
      <w:pPr>
        <w:pStyle w:val="TextoNormal"/>
      </w:pPr>
      <w:r>
        <w:t>Los datos fácticos reseñados ponen de manifiesto que el incidente de recusación no fue planteado “tan pronto como” se tuvo conocimiento de la eventual existencia de causa legal para ello, lo que justifica su inadmisión a trámite (art. 223.1 LOPJ). Existe una notoria distancia temporal, de al menos hasta cuatro meses, entre la fecha de emisión y/o reenvío de los primeros mensajes controvertidos y la fecha de interposición del incidente; los mensajes fueron difundidos en redes sociales y, por lo tanto, eran de acceso público desde el primer momento; y, finalmente, lo que es muy significativo, no se planteó tacha alguna de parcialidad cuando ese magistrado participó en la resolución de un recurso anterior en fecha 5 de enero de 2018, en el que había intervenido la misma representación del recurrente, como se expuso en la providencia de 12 de febrero de 2018, y concurriendo semejantes circunstancias a las que motivaron el ulterior planteamiento del incidente. Con estos elementos, la decisión del tribunal no puede considerarse como rigorista, sino como ajustada al necesario examen de los presupuestos fácticos en los que pretendía fundarse la causa de recusación invocada. En palabras de este tribunal, la improcedencia de la recusación podía “apreciars</w:t>
      </w:r>
      <w:r w:rsidRPr="005728DD">
        <w:rPr>
          <w:i/>
        </w:rPr>
        <w:t>e prima fac</w:t>
      </w:r>
      <w:r>
        <w:t>ie de modo manifiesto claro y terminante” (STC 155/2002, de 22 de julio, FJ 2).</w:t>
      </w:r>
    </w:p>
    <w:p w:rsidR="005728DD" w:rsidRDefault="005728DD" w:rsidP="005728DD">
      <w:pPr>
        <w:pStyle w:val="TextoNormal"/>
      </w:pPr>
    </w:p>
    <w:p w:rsidR="005728DD" w:rsidRDefault="005728DD" w:rsidP="005728DD">
      <w:pPr>
        <w:pStyle w:val="TextoNormal"/>
      </w:pPr>
      <w:r>
        <w:t>En cualquier caso, la extemporaneidad de la pretensión debe ponerse en relación, a su vez, con el otro motivo indicado en la sentencia ahora impugnada; es decir, la constatación de que el magistrado recusado no había sido el autor o el difusor de los mensajes denunciados. Este hecho enlaza con el examen de la cuestión de fondo, que ha de conducir al mismo destino desestimatorio, ya que la causa de recusación fue invocada de forma “arbitraria” (STC 155/2002, de 22 de julio, FJ 3), esto es, manifiestamente injustificada.</w:t>
      </w:r>
    </w:p>
    <w:p w:rsidR="005728DD" w:rsidRDefault="005728DD" w:rsidP="005728DD">
      <w:pPr>
        <w:pStyle w:val="TextoNormal"/>
      </w:pPr>
    </w:p>
    <w:p w:rsidR="005728DD" w:rsidRDefault="005728DD" w:rsidP="005728DD">
      <w:pPr>
        <w:pStyle w:val="TextoNormal"/>
      </w:pPr>
      <w:r>
        <w:t>(iii) La causa de recusación alegada es la prevista en el art. 219.10 LOPJ: “Tener interés directo o indirecto en el pleito o causa”. La demanda reconoce que no se puede determinar la autoría de los mensajes controvertidos, pero considera que el cargo asociativo del magistrado permite afirmar que conocía y compartía la “línea editorial” de la cuenta de la APM en la red social Twitter. La demanda también admite la libertad de expresión asociativa, pero dice que esos mensajes expresan “claros prejuicios respecto de la responsabilidad” del recurrente y una “evidente animadversión” hacia los procesados y “su ideología política”.</w:t>
      </w:r>
    </w:p>
    <w:p w:rsidR="005728DD" w:rsidRDefault="005728DD" w:rsidP="005728DD">
      <w:pPr>
        <w:pStyle w:val="TextoNormal"/>
      </w:pPr>
    </w:p>
    <w:p w:rsidR="005728DD" w:rsidRDefault="005728DD" w:rsidP="005728DD">
      <w:pPr>
        <w:pStyle w:val="TextoNormal"/>
      </w:pPr>
      <w:r>
        <w:t xml:space="preserve">En todo caso, la falta de imparcialidad solo puede derivarse de actos propios o expresiones proferidas por aquel a quien se imputa la causa de recusación. No cabe cuestionar la </w:t>
      </w:r>
      <w:r>
        <w:lastRenderedPageBreak/>
        <w:t>imparcialidad por manifestaciones ajenas, al margen de la conducta del propio recusado. Tampoco puede considerarse que cualquier mensaje enviado desde una cuenta de un colectivo asociativo pueda atribuirse automáticamente a cada uno de sus integrantes. Incluso, una posible o hipotética responsabilidad anudada a la asunción de un cargo asociativo no puede confundirse con la responsabilidad individual derivada del ejercicio profesional de la función jurisdiccional, que solo puede exigirse por las propias acciones.</w:t>
      </w:r>
    </w:p>
    <w:p w:rsidR="005728DD" w:rsidRDefault="005728DD" w:rsidP="005728DD">
      <w:pPr>
        <w:pStyle w:val="TextoNormal"/>
      </w:pPr>
    </w:p>
    <w:p w:rsidR="005728DD" w:rsidRDefault="005728DD" w:rsidP="005728DD">
      <w:pPr>
        <w:pStyle w:val="TextoNormal"/>
      </w:pPr>
      <w:r>
        <w:t>Aun desde la perspectiva de la mera apariencia de imparcialidad, lo verdaderamente relevante son las conductas o expresiones del magistrado recusado. Lo cierto es que, en este caso, no se ha aportado elemento probatorio que permita tener por acreditado o del que pudiera deducirse que alguno de los mensajes referidos hubiera sido elaborado, difundido o asumido por aquel, o del que pudiera derivarse su posicionamiento previo sobre las cuestiones sometidas a su consideración y, en consecuencia, un interés por una determinada resolución del asunto que ponga en duda su imparcialidad.</w:t>
      </w:r>
    </w:p>
    <w:p w:rsidR="005728DD" w:rsidRDefault="005728DD" w:rsidP="005728DD">
      <w:pPr>
        <w:pStyle w:val="TextoNormal"/>
      </w:pPr>
    </w:p>
    <w:p w:rsidR="005728DD" w:rsidRDefault="005728DD" w:rsidP="005728DD">
      <w:pPr>
        <w:pStyle w:val="TextoNormal"/>
      </w:pPr>
      <w:r>
        <w:t>c) Finalmente, como ocurriera en el caso anterior, la pretensión del recurrente se muestra manifiestamente desproporcionada. El magistrado recusado actuaba como integrante de una sala de recursos en la que se abordaban cuestiones procesales incidentales. El magistrado no tuvo intervención alguna en la sentencia ahora impugnada. En consecuencia, la actuación previa del magistrado no ofrece conexión alguna de antijuridicidad con la resolución cuya nulidad se pretende.</w:t>
      </w:r>
    </w:p>
    <w:p w:rsidR="005728DD" w:rsidRDefault="005728DD" w:rsidP="005728DD">
      <w:pPr>
        <w:pStyle w:val="TextoNormal"/>
      </w:pPr>
    </w:p>
    <w:p w:rsidR="005728DD" w:rsidRDefault="005728DD" w:rsidP="005728DD">
      <w:pPr>
        <w:pStyle w:val="TextoNormal"/>
      </w:pPr>
      <w:r>
        <w:t>Procede, en consecuencia, la desestimación de este motivo de amparo.</w:t>
      </w:r>
    </w:p>
    <w:p w:rsidR="005728DD" w:rsidRDefault="005728DD" w:rsidP="005728DD">
      <w:pPr>
        <w:pStyle w:val="TextoNormal"/>
      </w:pPr>
    </w:p>
    <w:p w:rsidR="005728DD" w:rsidRPr="005728DD" w:rsidRDefault="005728DD" w:rsidP="005728DD">
      <w:pPr>
        <w:pStyle w:val="TextoNormal"/>
        <w:rPr>
          <w:i/>
        </w:rPr>
      </w:pPr>
      <w:r>
        <w:t>5</w:t>
      </w:r>
      <w:r w:rsidRPr="005728DD">
        <w:rPr>
          <w:i/>
        </w:rPr>
        <w:t>.4. La recusación de los magistrados de la sala de enjuiciamiento que formaron parte de la sala de admisión.</w:t>
      </w:r>
    </w:p>
    <w:p w:rsidR="005728DD" w:rsidRPr="005728DD" w:rsidRDefault="005728DD" w:rsidP="005728DD">
      <w:pPr>
        <w:pStyle w:val="TextoNormal"/>
        <w:rPr>
          <w:i/>
        </w:rPr>
      </w:pPr>
    </w:p>
    <w:p w:rsidR="005728DD" w:rsidRDefault="005728DD" w:rsidP="005728DD">
      <w:pPr>
        <w:pStyle w:val="TextoNormal"/>
      </w:pPr>
      <w:r w:rsidRPr="005728DD">
        <w:rPr>
          <w:i/>
        </w:rPr>
        <w:t>5.4.1. Posiciones de las part</w:t>
      </w:r>
      <w:r>
        <w:t>es.</w:t>
      </w:r>
    </w:p>
    <w:p w:rsidR="005728DD" w:rsidRDefault="005728DD" w:rsidP="005728DD">
      <w:pPr>
        <w:pStyle w:val="TextoNormal"/>
      </w:pPr>
    </w:p>
    <w:p w:rsidR="005728DD" w:rsidRDefault="005728DD" w:rsidP="005728DD">
      <w:pPr>
        <w:pStyle w:val="TextoNormal"/>
      </w:pPr>
      <w:r>
        <w:t>El recurrente denuncia la indebida inadmisión de la recusación planteada contra los magistrados que formaron parte de la sala de admisión (señores Marchena Gómez, Martínez Arrieta, Berdugo y Gómez de la Torre y Varela Castro).</w:t>
      </w:r>
    </w:p>
    <w:p w:rsidR="005728DD" w:rsidRDefault="005728DD" w:rsidP="005728DD">
      <w:pPr>
        <w:pStyle w:val="TextoNormal"/>
      </w:pPr>
    </w:p>
    <w:p w:rsidR="005728DD" w:rsidRDefault="005728DD" w:rsidP="005728DD">
      <w:pPr>
        <w:pStyle w:val="TextoNormal"/>
      </w:pPr>
      <w:r>
        <w:t>En la demanda se queja de la pérdida de imparcialidad de aquellos magistrados de la sala de enjuiciamiento que habían acordado la admisión a trámite de la querella que dio origen al procedimiento. Para el recurrente, la parcialidad de estos magistrados no se deriva exclusivamente de su rol funcional en la iniciación del proceso, sino de la forma en que realizaron esta labor. Considera el demandante que el auto de admisión contiene un “amplio juicio de tipicidad” y fue “inusualmente extenso en sus razonamientos jurídico-sustantivos”. Se trataba, por tanto, de una resolución que fue más allá de un mero pronunciamiento sobre la procedencia de una investigación ante un</w:t>
      </w:r>
      <w:r w:rsidRPr="005728DD">
        <w:rPr>
          <w:i/>
        </w:rPr>
        <w:t>a notitia crimin</w:t>
      </w:r>
      <w:r>
        <w:t>is. Según la demanda, estos magistrados debían tener “necesariamente prejuicios sobre la cuestión de fondo”, cuando ejercieron su labor como integrantes de la sala de enjuiciamiento.</w:t>
      </w:r>
    </w:p>
    <w:p w:rsidR="005728DD" w:rsidRDefault="005728DD" w:rsidP="005728DD">
      <w:pPr>
        <w:pStyle w:val="TextoNormal"/>
      </w:pPr>
    </w:p>
    <w:p w:rsidR="005728DD" w:rsidRDefault="005728DD" w:rsidP="005728DD">
      <w:pPr>
        <w:pStyle w:val="TextoNormal"/>
      </w:pPr>
      <w:r>
        <w:t xml:space="preserve">En relación con este motivo de amparo, el Ministerio Fiscal propone su desestimación, en esencia, porque en el auto de admisión a trámite de la querella no se contiene ninguna valoración jurídica sobre su contenido material, ni juicio alguno sobre la existencia de los </w:t>
      </w:r>
      <w:r>
        <w:lastRenderedPageBreak/>
        <w:t>hechos y la posibilidad de ser atribuidos a persona concreta. El abogado del Estado se pronuncia en el mismo sentido. Por su parte, la representación del partido político Vox responde con el mismo argumento con el que rechaza todas las alegaciones sobre la vulneración del derecho al juez imparcial.</w:t>
      </w:r>
    </w:p>
    <w:p w:rsidR="005728DD" w:rsidRDefault="005728DD" w:rsidP="005728DD">
      <w:pPr>
        <w:pStyle w:val="TextoNormal"/>
      </w:pPr>
    </w:p>
    <w:p w:rsidR="005728DD" w:rsidRDefault="005728DD" w:rsidP="005728DD">
      <w:pPr>
        <w:pStyle w:val="TextoNormal"/>
      </w:pPr>
      <w:r>
        <w:t>5.4.2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Esta queja fue extensamente respondida en la sentencia impugnada [fundamento jurídico A), apartado 5.5.3], como antes lo había sido por el auto núm. 3/2018, de 13 de septiembre, dictado por la Sala del art. 61 LOPJ en su rollo núm. 5-2018, por el que se desestimó el incidente de recusación planteado, por este mismo motivo, mediante escrito de 23 de julio de 2018.</w:t>
      </w:r>
    </w:p>
    <w:p w:rsidR="005728DD" w:rsidRDefault="005728DD" w:rsidP="005728DD">
      <w:pPr>
        <w:pStyle w:val="TextoNormal"/>
      </w:pPr>
    </w:p>
    <w:p w:rsidR="005728DD" w:rsidRDefault="005728DD" w:rsidP="005728DD">
      <w:pPr>
        <w:pStyle w:val="TextoNormal"/>
      </w:pPr>
      <w:r>
        <w:t>Para la Sala, la lesión invocada está en abierta oposición con su propia jurisprudencia, y las del Tribunal Constitucional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143/2006, 8 de mayo, y la STS 36/2006, 19 de enero. También se citan las SSTEDH de 1 de octubre de 1982, cas</w:t>
      </w:r>
      <w:r w:rsidRPr="005728DD">
        <w:rPr>
          <w:i/>
        </w:rPr>
        <w:t>o Piersack c. Bélgi</w:t>
      </w:r>
      <w:r>
        <w:t>ca, § 30; de 26 de octubre de 1984, cas</w:t>
      </w:r>
      <w:r w:rsidRPr="005728DD">
        <w:rPr>
          <w:i/>
        </w:rPr>
        <w:t>o De Cubber c. Bélgi</w:t>
      </w:r>
      <w:r>
        <w:t>ca, § 24; de 25 de julio de 2002, cas</w:t>
      </w:r>
      <w:r w:rsidRPr="005728DD">
        <w:rPr>
          <w:i/>
        </w:rPr>
        <w:t>o Perote Pellón c. Espa</w:t>
      </w:r>
      <w:r>
        <w:t>ña, § 43, y de 17 de junio de 2003, cas</w:t>
      </w:r>
      <w:r w:rsidRPr="005728DD">
        <w:rPr>
          <w:i/>
        </w:rPr>
        <w:t>o Pescador Valero c. Espa</w:t>
      </w:r>
      <w:r>
        <w:t>ña, § 21.</w:t>
      </w:r>
    </w:p>
    <w:p w:rsidR="005728DD" w:rsidRDefault="005728DD" w:rsidP="005728DD">
      <w:pPr>
        <w:pStyle w:val="TextoNormal"/>
      </w:pPr>
    </w:p>
    <w:p w:rsidR="005728DD" w:rsidRDefault="005728DD" w:rsidP="005728DD">
      <w:pPr>
        <w:pStyle w:val="TextoNormal"/>
      </w:pPr>
      <w:r>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w:t>
      </w:r>
      <w:r w:rsidRPr="005728DD">
        <w:rPr>
          <w:i/>
        </w:rPr>
        <w:t>thema decidendi</w:t>
      </w:r>
      <w:r>
        <w:t>”.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fondo de la causa. Por lo tanto, es necesario comprobar la intensidad del juicio emitido sobre el objeto del proceso”.</w:t>
      </w:r>
    </w:p>
    <w:p w:rsidR="005728DD" w:rsidRDefault="005728DD" w:rsidP="005728DD">
      <w:pPr>
        <w:pStyle w:val="TextoNormal"/>
      </w:pPr>
    </w:p>
    <w:p w:rsidR="005728DD" w:rsidRDefault="005728DD" w:rsidP="005728DD">
      <w:pPr>
        <w:pStyle w:val="TextoNormal"/>
      </w:pPr>
      <w:r>
        <w:t xml:space="preserve">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w:t>
      </w:r>
      <w:r>
        <w:lastRenderedPageBreak/>
        <w:t>y pasar el asunto al instructor a quien por turno correspondía. No puede decirse, así, que hayan entrado en el examen de los hechos reprochados en esta causa, ni efectuado valoraciones jurídicas sobre los mismos, ni tomado decisiones que puedan afectar a la marcha del proceso”.</w:t>
      </w:r>
    </w:p>
    <w:p w:rsidR="005728DD" w:rsidRDefault="005728DD" w:rsidP="005728DD">
      <w:pPr>
        <w:pStyle w:val="TextoNormal"/>
      </w:pPr>
    </w:p>
    <w:p w:rsidR="005728DD" w:rsidRDefault="005728DD" w:rsidP="005728DD">
      <w:pPr>
        <w:pStyle w:val="TextoNormal"/>
      </w:pPr>
      <w:r>
        <w:t>5.4.3</w:t>
      </w:r>
      <w:r w:rsidRPr="005728DD">
        <w:rPr>
          <w:i/>
        </w:rPr>
        <w:t>. Resolución de la que</w:t>
      </w:r>
      <w:r>
        <w:t>ja.</w:t>
      </w:r>
    </w:p>
    <w:p w:rsidR="005728DD" w:rsidRDefault="005728DD" w:rsidP="005728DD">
      <w:pPr>
        <w:pStyle w:val="TextoNormal"/>
      </w:pPr>
    </w:p>
    <w:p w:rsidR="005728DD" w:rsidRDefault="005728DD" w:rsidP="005728DD">
      <w:pPr>
        <w:pStyle w:val="TextoNormal"/>
      </w:pPr>
      <w:r>
        <w:t>a) Un análisis de este motivo de amparo remite, necesariamente, al momento de la incoación de la causa especial núm. 20907-2017. Este procedimiento tuvo su origen en una querella presentada por el entonces fiscal general del Estado, don José Manual Maza Martín. Tras el análisis y estudio de la querella, la sala de admisión de la Sala Segunda del Tribunal Supremo dictó un auto en fecha 31 de octubre de 2017, por el que se declaraba la competencia de ese tribunal para la 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005728DD" w:rsidRDefault="005728DD" w:rsidP="005728DD">
      <w:pPr>
        <w:pStyle w:val="TextoNormal"/>
      </w:pPr>
    </w:p>
    <w:p w:rsidR="005728DD" w:rsidRDefault="005728DD" w:rsidP="005728DD">
      <w:pPr>
        <w:pStyle w:val="TextoNormal"/>
      </w:pPr>
      <w:r>
        <w:t>Lo primero que conviene señalar es que, como se ha razonado anteriormente, la falta de imparcialidad judicial ha de ponerse de manifiesto a través de las causas de abstención y/o 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situación personal o medidas cautelares de carácter real, sobre la búsqueda de fuentes de prueba, así como sobre la declaración de la existencia de indicios de la comisión de un hecho delictivo y de su autor suficientemente sólidos como para permitir la continuación del procedimiento en fases ulteriores, hasta llegar al juicio oral. Nada de esto se resuelve en el auto de admisión a trámite de la querella. Como tampoco se puede considerar que ese auto implica la resolución del pleito o causa en anterior instancia, porque no contiene un pronunciamiento sobre el fondo del asunto.</w:t>
      </w:r>
    </w:p>
    <w:p w:rsidR="005728DD" w:rsidRDefault="005728DD" w:rsidP="005728DD">
      <w:pPr>
        <w:pStyle w:val="TextoNormal"/>
      </w:pPr>
    </w:p>
    <w:p w:rsidR="005728DD" w:rsidRDefault="005728DD" w:rsidP="005728DD">
      <w:pPr>
        <w:pStyle w:val="TextoNormal"/>
      </w:pPr>
      <w:r>
        <w:t xml:space="preserve">No obstante, la doctrina de este tribunal sobre la vertiente objetiva de la imparcialidad judicial determina un análisis </w:t>
      </w:r>
      <w:r w:rsidRPr="005728DD">
        <w:rPr>
          <w:i/>
        </w:rPr>
        <w:t>ad casum</w:t>
      </w:r>
      <w:r>
        <w:t xml:space="preserve">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sobre la realidad del hecho delictivo o de su autoría. Eso obliga a una casuística labor ponderativa que pasa por el estudio detallado del auto controvertido. Una vez más, nos encontramos ante alegaciones </w:t>
      </w:r>
      <w:r>
        <w:lastRenderedPageBreak/>
        <w:t>ancladas en elementos fácticos que es preciso apreciar o descartar para determinar, eventualmente, su relevancia a fin de valorar la vulneración del derecho fundamental objeto de la impugnación.</w:t>
      </w:r>
    </w:p>
    <w:p w:rsidR="005728DD" w:rsidRDefault="005728DD" w:rsidP="005728DD">
      <w:pPr>
        <w:pStyle w:val="TextoNormal"/>
      </w:pPr>
    </w:p>
    <w:p w:rsidR="005728DD" w:rsidRDefault="005728DD" w:rsidP="005728DD">
      <w:pPr>
        <w:pStyle w:val="TextoNormal"/>
      </w:pPr>
      <w:r>
        <w:t>b) El demandante señala que el auto de admisión a trámite de la querella contiene un amplio juicio de tipicidad y es inusualmente extenso para su finalidad. Considera que ese pronunciamiento implica una valoración de la relevancia jurídico penal de unos hechos que, sustancialmente, fueron los mismos que se sometieron al enjuiciamiento por estos mismos magistrados que, en tal sentido, ya habían adquirido un prejuicio que afectaba a su apariencia de imparcialidad.</w:t>
      </w:r>
    </w:p>
    <w:p w:rsidR="005728DD" w:rsidRDefault="005728DD" w:rsidP="005728DD">
      <w:pPr>
        <w:pStyle w:val="TextoNormal"/>
      </w:pPr>
    </w:p>
    <w:p w:rsidR="005728DD" w:rsidRDefault="005728DD" w:rsidP="005728DD">
      <w:pPr>
        <w:pStyle w:val="TextoNormal"/>
      </w:pPr>
      <w:r>
        <w:t>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005728DD" w:rsidRDefault="005728DD" w:rsidP="005728DD">
      <w:pPr>
        <w:pStyle w:val="TextoNormal"/>
      </w:pPr>
    </w:p>
    <w:p w:rsidR="005728DD" w:rsidRDefault="005728DD" w:rsidP="005728DD">
      <w:pPr>
        <w:pStyle w:val="TextoNormal"/>
      </w:pPr>
      <w:r>
        <w:t>El auto de la sala de admisión se mueve en ese plano funcional, y es especialmente riguroso en su análisis prospectivo sobre los hechos. Varias expresiones abonan esta tesis.</w:t>
      </w:r>
    </w:p>
    <w:p w:rsidR="005728DD" w:rsidRDefault="005728DD" w:rsidP="005728DD">
      <w:pPr>
        <w:pStyle w:val="TextoNormal"/>
      </w:pPr>
    </w:p>
    <w:p w:rsidR="005728DD" w:rsidRDefault="005728DD" w:rsidP="005728DD">
      <w:pPr>
        <w:pStyle w:val="TextoNormal"/>
      </w:pPr>
      <w:r>
        <w:t>Así, en el fundamento jurídico 3 (páginas 4 y 5), se dice que:</w:t>
      </w:r>
    </w:p>
    <w:p w:rsidR="005728DD" w:rsidRDefault="005728DD" w:rsidP="005728DD">
      <w:pPr>
        <w:pStyle w:val="TextoNormal"/>
      </w:pPr>
    </w:p>
    <w:p w:rsidR="005728DD" w:rsidRDefault="005728DD" w:rsidP="005728DD">
      <w:pPr>
        <w:pStyle w:val="TextoNormal"/>
      </w:pPr>
      <w:r>
        <w:t>“Las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—cuya hipotética existencia solo se valora a los efectos de resolver sobre la competencia de esta sala— […]”.</w:t>
      </w:r>
    </w:p>
    <w:p w:rsidR="005728DD" w:rsidRDefault="005728DD" w:rsidP="005728DD">
      <w:pPr>
        <w:pStyle w:val="TextoNormal"/>
      </w:pPr>
    </w:p>
    <w:p w:rsidR="005728DD" w:rsidRDefault="005728DD" w:rsidP="005728DD">
      <w:pPr>
        <w:pStyle w:val="TextoNormal"/>
      </w:pPr>
      <w:r>
        <w:t>En el fundamento jurídico 4 (páginas 5 y 6), se recoge expresamente lo siguiente:</w:t>
      </w:r>
    </w:p>
    <w:p w:rsidR="005728DD" w:rsidRDefault="005728DD" w:rsidP="005728DD">
      <w:pPr>
        <w:pStyle w:val="TextoNormal"/>
      </w:pPr>
    </w:p>
    <w:p w:rsidR="005728DD" w:rsidRDefault="005728DD" w:rsidP="005728DD">
      <w:pPr>
        <w:pStyle w:val="TextoNormal"/>
      </w:pPr>
      <w:r>
        <w:t xml:space="preserve">“En la incipiente fase del proceso en el que se inserta la presente resolución, constatamos que el fiscal alude a la existencia de un delito […]. Hemos dicho en numerosas resoluciones que el proceso penal es de cristalización progresiva. Será a lo largo de la instrucción cuando </w:t>
      </w:r>
      <w:r>
        <w:lastRenderedPageBreak/>
        <w:t>los hechos imputados, a la vista de las diligencias de investigación acordadas por el instructor, confirmen o desmientan su realidad”.</w:t>
      </w:r>
    </w:p>
    <w:p w:rsidR="005728DD" w:rsidRDefault="005728DD" w:rsidP="005728DD">
      <w:pPr>
        <w:pStyle w:val="TextoNormal"/>
      </w:pPr>
    </w:p>
    <w:p w:rsidR="005728DD" w:rsidRDefault="005728DD" w:rsidP="005728DD">
      <w:pPr>
        <w:pStyle w:val="TextoNormal"/>
      </w:pPr>
      <w:r>
        <w:t>Finalmente, el fundamento jurídico 5 (página 6) insiste en estas ideas cuando señala: “La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5728DD" w:rsidRDefault="005728DD" w:rsidP="005728DD">
      <w:pPr>
        <w:pStyle w:val="TextoNormal"/>
      </w:pPr>
    </w:p>
    <w:p w:rsidR="005728DD" w:rsidRDefault="005728DD" w:rsidP="005728DD">
      <w:pPr>
        <w:pStyle w:val="TextoNormal"/>
      </w:pPr>
      <w:r>
        <w:t>Como se puede comprobar, el auto de admisión no contiene un pronunciamiento sobre el fondo del asunto,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Por lo tanto, de sus términos no se deduce una toma de posición de los magistrados sobre los hechos objeto de su enjuiciamiento, por lo que no puede imputárseles tacha de parcialidad alguna.</w:t>
      </w:r>
    </w:p>
    <w:p w:rsidR="005728DD" w:rsidRDefault="005728DD" w:rsidP="005728DD">
      <w:pPr>
        <w:pStyle w:val="TextoNormal"/>
      </w:pPr>
    </w:p>
    <w:p w:rsidR="005728DD" w:rsidRDefault="005728DD" w:rsidP="005728DD">
      <w:pPr>
        <w:pStyle w:val="TextoNormal"/>
      </w:pPr>
      <w:r>
        <w:t>Procede, en consecuencia, desestimar este motivo de amparo.</w:t>
      </w:r>
    </w:p>
    <w:p w:rsidR="005728DD" w:rsidRDefault="005728DD" w:rsidP="005728DD">
      <w:pPr>
        <w:pStyle w:val="TextoNormal"/>
      </w:pPr>
    </w:p>
    <w:p w:rsidR="005728DD" w:rsidRPr="005728DD" w:rsidRDefault="005728DD" w:rsidP="005728DD">
      <w:pPr>
        <w:pStyle w:val="TextoNormal"/>
        <w:rPr>
          <w:i/>
        </w:rPr>
      </w:pPr>
      <w:r>
        <w:t>5</w:t>
      </w:r>
      <w:r w:rsidRPr="005728DD">
        <w:rPr>
          <w:i/>
        </w:rPr>
        <w:t>.5. La recusación de los magistrados que integran la sala de enjuiciamiento.</w:t>
      </w:r>
    </w:p>
    <w:p w:rsidR="005728DD" w:rsidRPr="005728DD" w:rsidRDefault="005728DD" w:rsidP="005728DD">
      <w:pPr>
        <w:pStyle w:val="TextoNormal"/>
        <w:rPr>
          <w:i/>
        </w:rPr>
      </w:pPr>
    </w:p>
    <w:p w:rsidR="005728DD" w:rsidRDefault="005728DD" w:rsidP="005728DD">
      <w:pPr>
        <w:pStyle w:val="TextoNormal"/>
      </w:pPr>
      <w:r w:rsidRPr="005728DD">
        <w:rPr>
          <w:i/>
        </w:rPr>
        <w:t>5.5.1. Posiciones de las part</w:t>
      </w:r>
      <w:r>
        <w:t>es.</w:t>
      </w:r>
    </w:p>
    <w:p w:rsidR="005728DD" w:rsidRDefault="005728DD" w:rsidP="005728DD">
      <w:pPr>
        <w:pStyle w:val="TextoNormal"/>
      </w:pPr>
    </w:p>
    <w:p w:rsidR="005728DD" w:rsidRDefault="005728DD" w:rsidP="005728DD">
      <w:pPr>
        <w:pStyle w:val="TextoNormal"/>
      </w:pPr>
      <w:r>
        <w:t>Este motivo se concreta, a su vez, en dos alegaciones. Por un parte, se denuncia que el magistrado instructor y los integrantes de la sala de recursos forman parte de la propia Sala Segunda del Tribunal Supremo; es decir, del mismo órgano encargado del enjuiciamiento. Para el recurrente, el hecho de que las causas instruidas por un magistrado sean luego revisadas o juzgadas “por compañeros de la misma Sala”, no garantiza la necesaria “distancia” entre el instructor y el tribunal de apelación o de enjuiciamiento, que sí se garantiza “en cualquier otro procedimiento, no así a las personas aforadas”. Esta circunstancia deriva de lo dispuesto en el art. 57.2 LOPJ, por lo que se sugiere de este tribunal el planteamiento de una cuestión interna de inconstitucionalidad.</w:t>
      </w:r>
    </w:p>
    <w:p w:rsidR="005728DD" w:rsidRDefault="005728DD" w:rsidP="005728DD">
      <w:pPr>
        <w:pStyle w:val="TextoNormal"/>
      </w:pPr>
    </w:p>
    <w:p w:rsidR="005728DD" w:rsidRDefault="005728DD" w:rsidP="005728DD">
      <w:pPr>
        <w:pStyle w:val="TextoNormal"/>
      </w:pPr>
      <w:r>
        <w:t>Por otro lado, se impugna la composición de la sala encargada de resolver el incidente de nulidad de actuaciones, que fue la misma sala de enjuiciamiento que dictó la sentencia recurrida. Para el demandante, obviando esta petición expresa formulada por otrosí en su escrito promoviendo dicho incidente, no se garantizó la máxima imparcialidad del órgano revisor que, “como era de esperar, no advirti[ó] absolutamente ninguna vulneración de derechos fundamentales en la resolución que ellos mismos habían dictado unas semanas antes”.</w:t>
      </w:r>
    </w:p>
    <w:p w:rsidR="005728DD" w:rsidRDefault="005728DD" w:rsidP="005728DD">
      <w:pPr>
        <w:pStyle w:val="TextoNormal"/>
      </w:pPr>
    </w:p>
    <w:p w:rsidR="005728DD" w:rsidRDefault="005728DD" w:rsidP="005728DD">
      <w:pPr>
        <w:pStyle w:val="TextoNormal"/>
      </w:pPr>
      <w:r>
        <w:lastRenderedPageBreak/>
        <w:t>En relación con estas dos alegaciones, el Ministerio Fiscal no se pronuncia expresamente sobre la primera, mientras que propugna la desestimación de la segunda, al entender que aparece huérfana de argumentación alguna. El abogado del Estado considera que el primer motivo no aparece recogido en el listado de causas de abstención y recusación, mientras que si se estimara la alegación planteada en segundo lugar se estaría produciendo la conculcación del derecho al juez ordinario predeterminado por la ley. En cuanto a la posición del partido político Vox, no cabe sino reiterar lo expuesto en apartados anteriores.</w:t>
      </w:r>
    </w:p>
    <w:p w:rsidR="005728DD" w:rsidRDefault="005728DD" w:rsidP="005728DD">
      <w:pPr>
        <w:pStyle w:val="TextoNormal"/>
      </w:pPr>
    </w:p>
    <w:p w:rsidR="005728DD" w:rsidRDefault="005728DD" w:rsidP="005728DD">
      <w:pPr>
        <w:pStyle w:val="TextoNormal"/>
      </w:pPr>
      <w:r>
        <w:t>5.5.2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su respuesta a la primera alegación, invocada en el mismo trámite que la expuesta en el apartado anterior, la sentencia impugnada [fundamento jurídico A), apartado 5.5.4] señala que es difícil entender la exigencia de cierta “distancia” entre los magistrados. Una distancia que el recurrente no exige entre los miembros de la sala de enjuiciamiento, que en la lógica de su razonamiento obligaría a “no contrariar jamás al ponente”, rindiendo así “culto a la amistad en el proceso de deliberación”, de forma que “nunca quedaría erosionada la relación personal entre los magistrados de un órgano colegiado”.</w:t>
      </w:r>
    </w:p>
    <w:p w:rsidR="005728DD" w:rsidRDefault="005728DD" w:rsidP="005728DD">
      <w:pPr>
        <w:pStyle w:val="TextoNormal"/>
      </w:pPr>
    </w:p>
    <w:p w:rsidR="005728DD" w:rsidRDefault="005728DD" w:rsidP="005728DD">
      <w:pPr>
        <w:pStyle w:val="TextoNormal"/>
      </w:pPr>
      <w:r>
        <w:t>En este punto, la Sala vuelve a remitirse a lo expuesto en el auto de 13 de septiembre de 2018 por la Sala del art. 61 LOPJ: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w:t>
      </w:r>
    </w:p>
    <w:p w:rsidR="005728DD" w:rsidRDefault="005728DD" w:rsidP="005728DD">
      <w:pPr>
        <w:pStyle w:val="TextoNormal"/>
      </w:pPr>
    </w:p>
    <w:p w:rsidR="005728DD" w:rsidRDefault="005728DD" w:rsidP="005728DD">
      <w:pPr>
        <w:pStyle w:val="TextoNormal"/>
      </w:pPr>
      <w:r>
        <w:t>En el apartado anterior de la sentencia (5.5.3), ya se había hecho referencia a las normas de reparto que distribuyen el conocimiento de los asuntos en esa Sala, que “parten de una diferencia muy marcada entre la sala de admisión que, como su propio nombre sugiere, limita su papel a la admisión a trámite de la denuncia o querella, la sala de recursos, integrada por magistrados que no han participado en la decisión sobre admisión y que está llamada a resolver los recursos contra las resoluciones interlocutorias del magistrado instructor y la sala de enjuiciamiento, integrada por los magistrados que, hasta ese momento, se limitaron a dar trámite a la querella y se apartaron de todo contacto con el objeto del proceso”. Esta delimitación funcional es suficiente, según la Sala, para garantizar la debida imparcialidad de sus integrantes.</w:t>
      </w:r>
    </w:p>
    <w:p w:rsidR="005728DD" w:rsidRDefault="005728DD" w:rsidP="005728DD">
      <w:pPr>
        <w:pStyle w:val="TextoNormal"/>
      </w:pPr>
    </w:p>
    <w:p w:rsidR="005728DD" w:rsidRDefault="005728DD" w:rsidP="005728DD">
      <w:pPr>
        <w:pStyle w:val="TextoNormal"/>
      </w:pPr>
      <w:r>
        <w:t xml:space="preserve">En cuanto a la segunda alegación, la sala de enjuiciamiento da una respuesta —que puede considerarse implícita— en el auto de 29 de enero de 2020, por el que resolvió el incidente de nulidad de actuaciones. Así, en su fundamento jurídico 1 hace referencia a la doctrina expuesta en su auto de 1 de marzo de 2012, en el que se razonaba que “la filosofía del nuevo incidente de nulidad de actuaciones” permite que “la propia jurisdicción ordinaria pueda subsanar cualquier violación de los derechos fundamentales del art. 53.2 de la Constitución”, con lo que “se evita, en su caso, el acceso a la jurisdicción constitucional cuando la ordinaria, como primer garante de tales derechos fundamentales, puede evitar y subsanar cualquier denuncia al respecto”. Igualmente, se añade en el auto de 29 de enero de 2020 que, “de acuerdo con el apartado primero del artículo 241 de la Ley Orgánica del Poder Judicial, será competente para conocer de este incidente el mismo juzgado o tribunal que dictó la resolución que hubiere adquirido firmeza”. En definitiva, de lo expuesto se deduce </w:t>
      </w:r>
      <w:r>
        <w:lastRenderedPageBreak/>
        <w:t>que el Tribunal Supremo considera que la queja carece de virtualidad alguna, porque la propia naturaleza del incidente determina que sea, precisamente, el órgano que dictó la resolución el que haga una revisión de esta.</w:t>
      </w:r>
    </w:p>
    <w:p w:rsidR="005728DD" w:rsidRDefault="005728DD" w:rsidP="005728DD">
      <w:pPr>
        <w:pStyle w:val="TextoNormal"/>
      </w:pPr>
    </w:p>
    <w:p w:rsidR="005728DD" w:rsidRDefault="005728DD" w:rsidP="005728DD">
      <w:pPr>
        <w:pStyle w:val="TextoNormal"/>
      </w:pPr>
      <w:r>
        <w:t>5.5.3</w:t>
      </w:r>
      <w:r w:rsidRPr="005728DD">
        <w:rPr>
          <w:i/>
        </w:rPr>
        <w:t>. Resolución de la que</w:t>
      </w:r>
      <w:r>
        <w:t>ja.</w:t>
      </w:r>
    </w:p>
    <w:p w:rsidR="005728DD" w:rsidRDefault="005728DD" w:rsidP="005728DD">
      <w:pPr>
        <w:pStyle w:val="TextoNormal"/>
      </w:pPr>
    </w:p>
    <w:p w:rsidR="005728DD" w:rsidRDefault="005728DD" w:rsidP="005728DD">
      <w:pPr>
        <w:pStyle w:val="TextoNormal"/>
      </w:pPr>
      <w:r>
        <w:t>a) En relación con el primer motivo en el que se concreta esta impugnación, el planteamiento del recurrente supone, en realidad, una cierta confusión entre dos derechos fundamentales distintos: el derecho al juez ordinario predeterminado por la ley (reconocido expresamente en el art. 24.2 CE), y el derecho al juez imparcial (reconocido implícitamente como integrado en el derecho a un proceso con todas las garantías en el mismo art. 24.2 CE). La demanda hace depender un derecho del otro, de tal manera que la propia competencia objetiva y funcional del Tribunal Supremo (que afecta, en su caso, al derecho al juez ordinario predeterminado por la ley) es la que determina la falta de imparcialidad de los integrantes de ese órgano. Es decir, la vulneración del derecho al juez imparcial vendría motivada, de forma automática, por la competencia del Tribunal Supremo para el conocimiento del asunto. En este esquema argumental, el recurrente sugiere a este tribunal el planteamiento de una cuestión interna de inconstitucionalidad sobre el art. 57.2 LOPJ. Este precepto dispone lo siguiente: “En las causas a que se refieren los números segundo y tercero del párrafo anterior se designará de entre los miembros de la sala, conforme a un turno preestablecido, un instructor, que no formará parte de la misma para enjuiciarlas”.</w:t>
      </w:r>
    </w:p>
    <w:p w:rsidR="005728DD" w:rsidRDefault="005728DD" w:rsidP="005728DD">
      <w:pPr>
        <w:pStyle w:val="TextoNormal"/>
      </w:pPr>
    </w:p>
    <w:p w:rsidR="005728DD" w:rsidRDefault="005728DD" w:rsidP="005728DD">
      <w:pPr>
        <w:pStyle w:val="TextoNormal"/>
      </w:pPr>
      <w:r>
        <w:t>El motivo carece de fundamento. Empezando por la última alegación formulada, la doctrina jurisprudencial citada no impone un determinado diseño competencial para garantizar el derecho a un juez imparcial. En consecuencia, este derecho puede ser protegido con independencia de que los jueces y tribunales que intervienen en un asunto formen parte o no de un mismo órgano judicial. Lo relevante es el adecuado deslinde funcional entre ellos. De esta manera, el juez que instruye no puede fallar, mientras que los jueces que revisan las decisiones de la fase de instrucción no pueden intervenir en la fase de enjuiciamiento si en su labor de revisión han anticipado algún posicionamiento sobre la cuestión de fondo. Por su parte, los jueces que enjuician y dictan sentencia no han debido tener participación alguna en la fase de investigación previa. Si esos parámetros se cumplen, la imparcialidad judicial derivada estrictamente del rol funcional está garantizada. Al margen, claro está, de la posible concurrencia de otras causas de parcialidad de carácter subjetivo u objetivo.</w:t>
      </w:r>
    </w:p>
    <w:p w:rsidR="005728DD" w:rsidRDefault="005728DD" w:rsidP="005728DD">
      <w:pPr>
        <w:pStyle w:val="TextoNormal"/>
      </w:pPr>
    </w:p>
    <w:p w:rsidR="005728DD" w:rsidRDefault="005728DD" w:rsidP="005728DD">
      <w:pPr>
        <w:pStyle w:val="TextoNormal"/>
      </w:pPr>
      <w:r>
        <w:t>La actual organización de la Sala Segunda del Tribunal Supremo permite garantizar el derecho al juez imparcial, porque diferencia de forma adecuada las funciones del magistrado instructor, de la sala de recursos y de la sala de enjuiciamiento, estableciendo los turnos necesarios para evitar cualquier solapamiento entre magistrados del que pudiera deducirse una tacha de parcialidad derivada de su relación funcional con el proceso. En el caso que nos ocupa, estos criterios estaban fijados y eran públicos con suficiente antelación a la incoación del procedimiento (ver, en tal sentido, el ya citado “BOE” núm. 315, de 30 de diciembre de 2016).</w:t>
      </w:r>
    </w:p>
    <w:p w:rsidR="005728DD" w:rsidRDefault="005728DD" w:rsidP="005728DD">
      <w:pPr>
        <w:pStyle w:val="TextoNormal"/>
      </w:pPr>
    </w:p>
    <w:p w:rsidR="005728DD" w:rsidRDefault="005728DD" w:rsidP="005728DD">
      <w:pPr>
        <w:pStyle w:val="TextoNormal"/>
      </w:pPr>
      <w:r>
        <w:t>En realidad, lo que hace el art. 57.2 LOPJ es plasmar normativamente la regla básica de la imparcialidad funcional en el proceso penal, que consiste en que “el juez que instruye no puede fallar”, derivada de nuestra STC 145/1988, de 12 de julio, FJ 5, por aplicación de la doctrina expuesta en la STEDH de 26 de octubre de 1984, asunt</w:t>
      </w:r>
      <w:r w:rsidRPr="005728DD">
        <w:rPr>
          <w:i/>
        </w:rPr>
        <w:t>o De Cubber c. Bélgi</w:t>
      </w:r>
      <w:r>
        <w:t xml:space="preserve">ca. Por </w:t>
      </w:r>
      <w:r>
        <w:lastRenderedPageBreak/>
        <w:t>lo tanto, ninguna queja de inconstitucionalidad puede plantearse respecto de una norma que se ajusta a la doctrina sentada por este tribunal.</w:t>
      </w:r>
    </w:p>
    <w:p w:rsidR="005728DD" w:rsidRDefault="005728DD" w:rsidP="005728DD">
      <w:pPr>
        <w:pStyle w:val="TextoNormal"/>
      </w:pPr>
    </w:p>
    <w:p w:rsidR="005728DD" w:rsidRDefault="005728DD" w:rsidP="005728DD">
      <w:pPr>
        <w:pStyle w:val="TextoNormal"/>
      </w:pPr>
      <w:r>
        <w:t>Descartada la procedencia del planteamiento de una cuestión de inconstitucionalidad del art. 57.2 LOPJ, el resto del motivo tampoco puede prosperar.</w:t>
      </w:r>
    </w:p>
    <w:p w:rsidR="005728DD" w:rsidRDefault="005728DD" w:rsidP="005728DD">
      <w:pPr>
        <w:pStyle w:val="TextoNormal"/>
      </w:pPr>
    </w:p>
    <w:p w:rsidR="005728DD" w:rsidRDefault="005728DD" w:rsidP="005728DD">
      <w:pPr>
        <w:pStyle w:val="TextoNormal"/>
      </w:pPr>
      <w:r>
        <w:t>El respeto a las normas aplicables en materia de abstenciones y recusaciones (art. 219 LOPJ) constituye el presupuesto normativo básico para la debida observancia del derecho al juez imparcial. Cualquier objeción de parcialidad distinta del mero incumplimiento de esta norma requiere la aportación de un principio de prueba sobre la vulneración real y efectiva de este derecho fundamental. Las causas de abstención y/o recusación fijan normativamente aquellos supuestos en los que debe presumirse la parcialidad del juzgador, pero eso no significa que la imparcialidad no pueda ser desvirtuada por otros hechos o circunstancias, sobre todo cuando, como ocurre en este punto, se trata de analizar la vertiente objetiva de la imparcialidad judicial. No obstante, esos hechos o circunstancias deben ser de la misma entidad que las causas de abstención y/o recusación para que, sin caer en la interpretación extensiva o analógica, puedan justificar el principio de prueba sobre la parcialidad que, en cualquier caso, es exigible. Nada de esto se ha aportado por el recurrente, que no ha reconducido el motivo alegado a una concreta causa de las previstas en el art. 219 LOPJ, ni siquiera a un motivo de similar significación.</w:t>
      </w:r>
    </w:p>
    <w:p w:rsidR="005728DD" w:rsidRDefault="005728DD" w:rsidP="005728DD">
      <w:pPr>
        <w:pStyle w:val="TextoNormal"/>
      </w:pPr>
    </w:p>
    <w:p w:rsidR="005728DD" w:rsidRDefault="005728DD" w:rsidP="005728DD">
      <w:pPr>
        <w:pStyle w:val="TextoNormal"/>
      </w:pPr>
      <w:r>
        <w:t>En realidad, la demanda centra su impugnación en su disconformidad con las normas que regulan la competencia objetiva y funcional del Tribunal Supremo. Unas normas que, en este caso, se han aplicado conforme a parámetros de constitucionalidad, y cuya falta de compatibilidad con la Constitución ya ha sido descartada en otro apartado de esta resolución. Para que el recurso pudiera prosperar hubiera sido necesario establecer, al menos, una conexión lógica entre lo dispuesto en la norma y la ausencia de imparcialidad derivada de su estricto cumplimiento. Una vez más, el recurso omite la aportación de algún dato mínimamente objetivo. La única referencia en tal sentido consiste en la alegación de un concepto difuso como es el de la ausencia de “distancia” entre los magistrados. Un concepto que, llevado a sus últimas consecuencias, implicaría la tacha de parcialidad de cualquier magistrado integrante de un órgano colegiado. No es razonable pretender que la mera relación profesional, o incluso personal, entre los magistrados de una sala impide a cualquiera de estos ejercer su labor conforme a Derecho, asumiendo acríticamente las posturas del resto de sus colegas sobre la base de una distorsionada concepción de un compañerismo mal entendido. La tesis del recurrente supondría, en definitiva, una presunción de falta de profesionalidad basada en percepciones subjetivas o impresiones personales incompatibles con el rigor y objetividad exigibles en el planteamiento de una recusación.</w:t>
      </w:r>
    </w:p>
    <w:p w:rsidR="005728DD" w:rsidRDefault="005728DD" w:rsidP="005728DD">
      <w:pPr>
        <w:pStyle w:val="TextoNormal"/>
      </w:pPr>
    </w:p>
    <w:p w:rsidR="005728DD" w:rsidRDefault="005728DD" w:rsidP="005728DD">
      <w:pPr>
        <w:pStyle w:val="TextoNormal"/>
      </w:pPr>
      <w:r>
        <w:t>b) La segunda alegación postula que el incidente de nulidad de actuaciones no puede ser resuelto por el mismo órgano que dictó la sentencia que se revisa.</w:t>
      </w:r>
    </w:p>
    <w:p w:rsidR="005728DD" w:rsidRDefault="005728DD" w:rsidP="005728DD">
      <w:pPr>
        <w:pStyle w:val="TextoNormal"/>
      </w:pPr>
    </w:p>
    <w:p w:rsidR="005728DD" w:rsidRDefault="005728DD" w:rsidP="005728DD">
      <w:pPr>
        <w:pStyle w:val="TextoNormal"/>
      </w:pPr>
      <w:r>
        <w:t>Los argumentos expuestos en el apartado anterior pueden ser igualmente trasladables a este motivo. El recurrente hace depender una falta de imparcialidad del cumplimiento estricto de la normativa vigente, en este caso, sobre el incidente de nulidad de actuaciones. El art. 241 LOPJ no deja lugar a dudas: “Será competente para conocer de este incidente el mismo juzgado o tribunal que dictó la resolución que hubiere adquirido firmeza”. Este es</w:t>
      </w:r>
      <w:r>
        <w:lastRenderedPageBreak/>
        <w:t xml:space="preserve">quema funcional responde a la coherencia del sistema de protección de derechos fundamentales, atribuida en primer lugar a la jurisdicción ordinaria para que pueda reparar, en su caso, la vulneración denunciada y, solo de manera subsidiaria, a la jurisdicción constitucional. Precisamente, la finalidad de este incidente es que “el juez o tribunal que dictó la sentencia o resolución firme a la que se imputan [determinadas vulneraciones de derechos] pueda reconsiderar lo actuado y subsanar, en su caso, los vicios o defectos producidos, por lo que necesariamente ha de ser tal órgano el que actúe, sin que el hecho de haber pronunciado una resolución previa suponga en tal caso —como ya dijimos en la STC 157/1993, FJ 3— un impedimento frente a la imparcialidad constitucionalmente exigida al juzgador” (STC 170/2002, de 30 de diciembre, FJ 11). Esta doctrina es coherente con la mantenida por el Tribunal Europeo de Derechos Humanos para el caso de anulaciones de decisiones en vía de recurso y que, </w:t>
      </w:r>
      <w:r w:rsidRPr="005728DD">
        <w:rPr>
          <w:i/>
        </w:rPr>
        <w:t>mutatis mutandi</w:t>
      </w:r>
      <w:r>
        <w:t xml:space="preserve">, puede ser aplicada al supuesto que nos ocupa. En efecto, ya desde su sentencia de 16 de julio de 1971, caso </w:t>
      </w:r>
      <w:r w:rsidRPr="005728DD">
        <w:rPr>
          <w:i/>
        </w:rPr>
        <w:t>Ringeisen c. Austria</w:t>
      </w:r>
      <w:r>
        <w:t>, el tribunal declaró que “no podría elevarse a principio general, derivado del deber de imparcialidad, que una jurisdicción de recurso que anule una decisión administrativa o judicial tenga la obligación de remitir el asunto a otra autoridad jurisdiccional o a un órgano de esta autoridad compuesta de forma distinta”. De lo que se deduce que no atenta al principio de imparcialidad que el mismo órgano que cometió una eventual infracción pueda revisarla en un momento ulterior.</w:t>
      </w:r>
    </w:p>
    <w:p w:rsidR="005728DD" w:rsidRDefault="005728DD" w:rsidP="005728DD">
      <w:pPr>
        <w:pStyle w:val="TextoNormal"/>
      </w:pPr>
    </w:p>
    <w:p w:rsidR="005728DD" w:rsidRDefault="005728DD" w:rsidP="005728DD">
      <w:pPr>
        <w:pStyle w:val="TextoNormal"/>
      </w:pPr>
      <w:r>
        <w:t>Según la tesis de la demanda, ningún magistrado sería capaz de revisar sus propias decisiones para apreciar una posible vulneración de derechos fundamentales, con grave quebranto de su deber profesional de actuar en todo momento conforme a Derecho. La parcialidad generalizada que se deriva de los argumentos del recurrente es incompatible con nuestra doctrina. Lo que se presume es la imparcialidad, no la parcialidad. Por ello, el motivo solo podría prosperar si se hubiera aportado algún elemento fáctico del que pudiera deducirse, al menos, una apariencia de parcialidad. Pero el recurso aparece huérfano de toda propuesta argumental diferente a la mera afirmación de la vulneración alegada; en consecuencia, este motivo de amparo ha de ser desestimado.</w:t>
      </w:r>
    </w:p>
    <w:p w:rsidR="005728DD" w:rsidRDefault="005728DD" w:rsidP="005728DD">
      <w:pPr>
        <w:pStyle w:val="TextoNormal"/>
      </w:pPr>
    </w:p>
    <w:p w:rsidR="005728DD" w:rsidRPr="005728DD" w:rsidRDefault="005728DD" w:rsidP="005728DD">
      <w:pPr>
        <w:pStyle w:val="TextoNormal"/>
        <w:rPr>
          <w:i/>
        </w:rPr>
      </w:pPr>
      <w:r>
        <w:t>5</w:t>
      </w:r>
      <w:r w:rsidRPr="005728DD">
        <w:rPr>
          <w:i/>
        </w:rPr>
        <w:t>.6. La recusación del presidente de la sala de enjuiciamiento.</w:t>
      </w:r>
    </w:p>
    <w:p w:rsidR="005728DD" w:rsidRPr="005728DD" w:rsidRDefault="005728DD" w:rsidP="005728DD">
      <w:pPr>
        <w:pStyle w:val="TextoNormal"/>
        <w:rPr>
          <w:i/>
        </w:rPr>
      </w:pPr>
    </w:p>
    <w:p w:rsidR="005728DD" w:rsidRDefault="005728DD" w:rsidP="005728DD">
      <w:pPr>
        <w:pStyle w:val="TextoNormal"/>
      </w:pPr>
      <w:r w:rsidRPr="005728DD">
        <w:rPr>
          <w:i/>
        </w:rPr>
        <w:t>5.6.1. Posiciones de las part</w:t>
      </w:r>
      <w:r>
        <w:t>es.</w:t>
      </w:r>
    </w:p>
    <w:p w:rsidR="005728DD" w:rsidRDefault="005728DD" w:rsidP="005728DD">
      <w:pPr>
        <w:pStyle w:val="TextoNormal"/>
      </w:pPr>
    </w:p>
    <w:p w:rsidR="005728DD" w:rsidRDefault="005728DD" w:rsidP="005728DD">
      <w:pPr>
        <w:pStyle w:val="TextoNormal"/>
      </w:pPr>
      <w:r>
        <w:t>La demanda impugna la indebida desestimación de la recusación formulada contra el presidente de la sala de enjuiciamiento y, por extensión, del resto de sus integrantes, a raíz del mensaje enviado por el senador del Partido Popular, don Ignacio Cosidó, a numerosas personas, afirmando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w:t>
      </w:r>
    </w:p>
    <w:p w:rsidR="005728DD" w:rsidRDefault="005728DD" w:rsidP="005728DD">
      <w:pPr>
        <w:pStyle w:val="TextoNormal"/>
      </w:pPr>
    </w:p>
    <w:p w:rsidR="005728DD" w:rsidRDefault="005728DD" w:rsidP="005728DD">
      <w:pPr>
        <w:pStyle w:val="TextoNormal"/>
      </w:pPr>
      <w:r>
        <w:t>La queja se formula no solo en cuanto al fondo, sino también por haberse rechazado la prueba propuesta en el incidente de recusación, consistente en la toma de declaración como testigo del señor Cosidó, por lo que se impidió acreditar la efectiva concurrencia de la causa de recusación.</w:t>
      </w:r>
    </w:p>
    <w:p w:rsidR="005728DD" w:rsidRDefault="005728DD" w:rsidP="005728DD">
      <w:pPr>
        <w:pStyle w:val="TextoNormal"/>
      </w:pPr>
    </w:p>
    <w:p w:rsidR="005728DD" w:rsidRDefault="005728DD" w:rsidP="005728DD">
      <w:pPr>
        <w:pStyle w:val="TextoNormal"/>
      </w:pPr>
      <w:r>
        <w:lastRenderedPageBreak/>
        <w:t>En relación con esta pretensión, el Ministerio Fiscal interesa su desestimación, al entender que se trata de una recusación por un acto de un tercero, no del propio magistrado, cuya conducta permite descartar cualquier duda sobre su imparcialidad. El abogado del Estado se posiciona en el mismo sentido, señalando que la imparcialidad de un magistrado solo puede valorarse a partir de lo que este dice o hace o, incluso, de lo que aparente, pero no con base en la opinión de un tercero. En cuanto a la postura procesal del partido político Vox, no cabe sino reiterar lo expuesto en apartados anteriores.</w:t>
      </w:r>
    </w:p>
    <w:p w:rsidR="005728DD" w:rsidRDefault="005728DD" w:rsidP="005728DD">
      <w:pPr>
        <w:pStyle w:val="TextoNormal"/>
      </w:pPr>
    </w:p>
    <w:p w:rsidR="005728DD" w:rsidRDefault="005728DD" w:rsidP="005728DD">
      <w:pPr>
        <w:pStyle w:val="TextoNormal"/>
      </w:pPr>
      <w:r>
        <w:t>5.6.2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Este motivo de amparo fue rechazado en el fundamento jurídico A), apartado 5.5.6 de la sentencia ahora impugnada, con un extenso razonamiento en el que también se hacía una remisión expresa al auto núm. 7/2018, 5 de diciembre, de la sala del art. 61 LOPJ por la que se desestimó esta pretensión en el incidente de recusación en su día planteado.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005728DD" w:rsidRDefault="005728DD" w:rsidP="005728DD">
      <w:pPr>
        <w:pStyle w:val="TextoNormal"/>
      </w:pPr>
    </w:p>
    <w:p w:rsidR="005728DD" w:rsidRDefault="005728DD" w:rsidP="005728DD">
      <w:pPr>
        <w:pStyle w:val="TextoNormal"/>
      </w:pPr>
      <w:r>
        <w:t>5.6.3</w:t>
      </w:r>
      <w:r w:rsidRPr="005728DD">
        <w:rPr>
          <w:i/>
        </w:rPr>
        <w:t>. Resolución de la que</w:t>
      </w:r>
      <w:r>
        <w:t>ja.</w:t>
      </w:r>
    </w:p>
    <w:p w:rsidR="005728DD" w:rsidRDefault="005728DD" w:rsidP="005728DD">
      <w:pPr>
        <w:pStyle w:val="TextoNormal"/>
      </w:pPr>
    </w:p>
    <w:p w:rsidR="005728DD" w:rsidRDefault="005728DD" w:rsidP="005728DD">
      <w:pPr>
        <w:pStyle w:val="TextoNormal"/>
      </w:pPr>
      <w:r>
        <w:t>a) La demanda impugna la indebida desestimación de la recusación formulada contra el presidente de la sala de enjuiciamiento y, por extensión, contra el resto de sus integrantes, a raíz del mensaje enviado a través de una aplicación de mensajería instantánea (WhatsApp) por el entonces senador del Partido Popular, don Ignacio Cosidó, a numerosas personas.</w:t>
      </w:r>
    </w:p>
    <w:p w:rsidR="005728DD" w:rsidRDefault="005728DD" w:rsidP="005728DD">
      <w:pPr>
        <w:pStyle w:val="TextoNormal"/>
      </w:pPr>
    </w:p>
    <w:p w:rsidR="005728DD" w:rsidRDefault="005728DD" w:rsidP="005728DD">
      <w:pPr>
        <w:pStyle w:val="TextoNormal"/>
      </w:pPr>
      <w:r>
        <w:t>El texto del mensaje, recogido en el auto núm. 7/2018, de 5 de diciembre, por el que la sala especial del art. 61 LOPJ resolvió el incidente, presentaba el siguiente tenor literal:</w:t>
      </w:r>
    </w:p>
    <w:p w:rsidR="005728DD" w:rsidRDefault="005728DD" w:rsidP="005728DD">
      <w:pPr>
        <w:pStyle w:val="TextoNormal"/>
      </w:pPr>
    </w:p>
    <w:p w:rsidR="005728DD" w:rsidRDefault="005728DD" w:rsidP="005728DD">
      <w:pPr>
        <w:pStyle w:val="TextoNormal"/>
      </w:pPr>
      <w: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w:t>
      </w:r>
      <w:r>
        <w:lastRenderedPageBreak/>
        <w:t xml:space="preserve">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w:t>
      </w:r>
      <w:r w:rsidRPr="005728DD">
        <w:rPr>
          <w:i/>
        </w:rPr>
        <w:t>auctoritas</w:t>
      </w:r>
      <w:r>
        <w:t xml:space="preserve">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005728DD" w:rsidRDefault="005728DD" w:rsidP="005728DD">
      <w:pPr>
        <w:pStyle w:val="TextoNormal"/>
      </w:pPr>
    </w:p>
    <w:p w:rsidR="005728DD" w:rsidRDefault="005728DD" w:rsidP="005728DD">
      <w:pPr>
        <w:pStyle w:val="TextoNormal"/>
      </w:pPr>
      <w:r>
        <w:t>b) En cuanto al rechazo de la prueba propuesta en el incidente de recusación, la doctrina de este tribunal sobre el derecho a la prueba es suficientemente conocida, y se expone con detalle en otro apartado de esta resolución. Basta ahora recordar que el derecho a la prueba es un derecho de configuración legal, que no confiere una facultad ilimitada a que se practiquen cualesquiera pruebas propuestas, sino únicamente las que sean pertinentes y relevantes para la resolución de la concreta pretensión planteada. De esta forma, la negativa a practicar una prueba no implica necesariamente la vulneración del derecho, salvo que vaya acompañada de una concreta indefensión que el recurrente debe invocar y motivar (ver, por todas, STC 165/2001, de 16 de julio, FJ 2).</w:t>
      </w:r>
    </w:p>
    <w:p w:rsidR="005728DD" w:rsidRDefault="005728DD" w:rsidP="005728DD">
      <w:pPr>
        <w:pStyle w:val="TextoNormal"/>
      </w:pPr>
    </w:p>
    <w:p w:rsidR="005728DD" w:rsidRDefault="005728DD" w:rsidP="005728DD">
      <w:pPr>
        <w:pStyle w:val="TextoNormal"/>
      </w:pPr>
      <w:r>
        <w:t>En este caso, en el marco del incidente de recusación planteado contra el presidente de la sala de enjuiciamiento se solicitaron las siguientes pruebas: la declaración del remitente del mensaje, señor Cosidó; el cotejo de los enlaces periodísticos que acreditaran la veracidad de los hechos expuestos; y la unión de un escrito planteando un artículo de previo pronunciamiento, con su documentación adjunta. El magistrado instructor del expediente dictó un auto en fecha 3 de diciembre de 2018, por el que denegó la práctica de las pruebas solicitadas, razonando que “no [eran] necesarias para la resolución del incidente”.</w:t>
      </w:r>
    </w:p>
    <w:p w:rsidR="005728DD" w:rsidRDefault="005728DD" w:rsidP="005728DD">
      <w:pPr>
        <w:pStyle w:val="TextoNormal"/>
      </w:pPr>
    </w:p>
    <w:p w:rsidR="005728DD" w:rsidRDefault="005728DD" w:rsidP="005728DD">
      <w:pPr>
        <w:pStyle w:val="TextoNormal"/>
      </w:pPr>
      <w:r>
        <w:t>La función de este tribunal es realizar un control externo sobre la razonabilidad de la decisión adoptada por el órgano judicial. En tal sentido, a pesar de su escueto argumento, un análisis de la causa invocada y de los elementos de juicio necesarios para su valoración conduce a estimar como razonable, lógico o no arbitrario el criterio del magistrado instructor del incidente de recusación.</w:t>
      </w:r>
    </w:p>
    <w:p w:rsidR="005728DD" w:rsidRDefault="005728DD" w:rsidP="005728DD">
      <w:pPr>
        <w:pStyle w:val="TextoNormal"/>
      </w:pPr>
    </w:p>
    <w:p w:rsidR="005728DD" w:rsidRDefault="005728DD" w:rsidP="005728DD">
      <w:pPr>
        <w:pStyle w:val="TextoNormal"/>
      </w:pPr>
      <w:r>
        <w:t>En efecto, la remisión del mensaje y la autoría del remitente nunca fueron cuestionadas, de manera que la resolución del expediente solo requería una valoración del contenido del mensaje y su repercusión para la apariencia de imparcialidad del magistrado recusado. Para realizar ese análisis no era necesario citar a testigo alguno.</w:t>
      </w:r>
    </w:p>
    <w:p w:rsidR="005728DD" w:rsidRDefault="005728DD" w:rsidP="005728DD">
      <w:pPr>
        <w:pStyle w:val="TextoNormal"/>
      </w:pPr>
    </w:p>
    <w:p w:rsidR="005728DD" w:rsidRDefault="005728DD" w:rsidP="005728DD">
      <w:pPr>
        <w:pStyle w:val="TextoNormal"/>
      </w:pPr>
      <w:r>
        <w:lastRenderedPageBreak/>
        <w:t>El recurrente señala que la declaración del señor Cosidó hubiera permitido verificar la realidad o no del supuesto acuerdo. Sin embargo, la cuestión a resolver no era tanto la realidad o no del acuerdo como la afectación del mensaje para la apariencia de imparcialidad del magistrado. Y para eso, insistimos, la testifical no era necesaria. Bajo estas premisas, era razonable prescindir de las pruebas propuestas.</w:t>
      </w:r>
    </w:p>
    <w:p w:rsidR="005728DD" w:rsidRDefault="005728DD" w:rsidP="005728DD">
      <w:pPr>
        <w:pStyle w:val="TextoNormal"/>
      </w:pPr>
    </w:p>
    <w:p w:rsidR="005728DD" w:rsidRDefault="005728DD" w:rsidP="005728DD">
      <w:pPr>
        <w:pStyle w:val="TextoNormal"/>
      </w:pPr>
      <w:r>
        <w:t>Por otro lado, el recurrente no ha justificado la eventual indefensión material que le produjo esta decisión judicial. Es decir, no se ha motivado de forma suficiente la repercusión concreta que la denegación de la prueba tuvo para la adecuada resolución del incidente de recusación, o de qué forma esta resolución podría haber sido distinta en el caso de que se hubieran practicado las pruebas propuestas, por lo que el motivo debe ser desestimado.</w:t>
      </w:r>
    </w:p>
    <w:p w:rsidR="005728DD" w:rsidRDefault="005728DD" w:rsidP="005728DD">
      <w:pPr>
        <w:pStyle w:val="TextoNormal"/>
      </w:pPr>
    </w:p>
    <w:p w:rsidR="005728DD" w:rsidRDefault="005728DD" w:rsidP="005728DD">
      <w:pPr>
        <w:pStyle w:val="TextoNormal"/>
      </w:pPr>
      <w:r>
        <w:t>c) Entrando en el fondo de la queja alegada, se hace necesario insistir en algunos principios que conforman los contornos de nuestra doctrina sobre el derecho al juez imparcial, y que el recurso parece haber obviado.</w:t>
      </w:r>
    </w:p>
    <w:p w:rsidR="005728DD" w:rsidRDefault="005728DD" w:rsidP="005728DD">
      <w:pPr>
        <w:pStyle w:val="TextoNormal"/>
      </w:pPr>
    </w:p>
    <w:p w:rsidR="005728DD" w:rsidRDefault="005728DD" w:rsidP="005728DD">
      <w:pPr>
        <w:pStyle w:val="TextoNormal"/>
      </w:pPr>
      <w:r>
        <w:t>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005728DD" w:rsidRDefault="005728DD" w:rsidP="005728DD">
      <w:pPr>
        <w:pStyle w:val="TextoNormal"/>
      </w:pPr>
    </w:p>
    <w:p w:rsidR="005728DD" w:rsidRDefault="005728DD" w:rsidP="005728DD">
      <w:pPr>
        <w:pStyle w:val="TextoNormal"/>
      </w:pPr>
      <w:r>
        <w:t>La imparcialidad judicial se configura de este modo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005728DD" w:rsidRDefault="005728DD" w:rsidP="005728DD">
      <w:pPr>
        <w:pStyle w:val="TextoNormal"/>
      </w:pPr>
    </w:p>
    <w:p w:rsidR="005728DD" w:rsidRDefault="005728DD" w:rsidP="005728DD">
      <w:pPr>
        <w:pStyle w:val="TextoNormal"/>
      </w:pPr>
      <w: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(arts. 117 y ss. CE). No obstante, analizado en </w:t>
      </w:r>
      <w:r>
        <w:lastRenderedPageBreak/>
        <w:t>su 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CGPJ, y con “capacidad de liderazg</w:t>
      </w:r>
      <w:r w:rsidRPr="005728DD">
        <w:rPr>
          <w:i/>
        </w:rPr>
        <w:t>o y auctor</w:t>
      </w:r>
      <w:r>
        <w:t>itas”.</w:t>
      </w:r>
    </w:p>
    <w:p w:rsidR="005728DD" w:rsidRDefault="005728DD" w:rsidP="005728DD">
      <w:pPr>
        <w:pStyle w:val="TextoNormal"/>
      </w:pPr>
    </w:p>
    <w:p w:rsidR="005728DD" w:rsidRDefault="005728DD" w:rsidP="005728DD">
      <w:pPr>
        <w:pStyle w:val="TextoNormal"/>
      </w:pPr>
      <w:r>
        <w:t>En cualquier caso, no corresponde a este tribunal hacer una valoración política sobre ese mensaje. En este apartado de la demanda solo se trata de determinar si su contenido permite descartar, por sí mismo, la imparcialidad de un magistrado. Y la respuesta solo puede ser negativa.</w:t>
      </w:r>
    </w:p>
    <w:p w:rsidR="005728DD" w:rsidRDefault="005728DD" w:rsidP="005728DD">
      <w:pPr>
        <w:pStyle w:val="TextoNormal"/>
      </w:pPr>
    </w:p>
    <w:p w:rsidR="005728DD" w:rsidRDefault="005728DD" w:rsidP="005728DD">
      <w:pPr>
        <w:pStyle w:val="TextoNormal"/>
      </w:pPr>
      <w:r>
        <w:t>El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005728DD" w:rsidRDefault="005728DD" w:rsidP="005728DD">
      <w:pPr>
        <w:pStyle w:val="TextoNormal"/>
      </w:pPr>
    </w:p>
    <w:p w:rsidR="005728DD" w:rsidRDefault="005728DD" w:rsidP="005728DD">
      <w:pPr>
        <w:pStyle w:val="TextoNormal"/>
      </w:pPr>
      <w:r>
        <w:t>“Las noticias divulgadas en los últimos días acerca de mi hipotética designación como presidente del Tribunal Supremo y del Consejo General del Poder Judicial, me obligan a hacer las siguientes precisiones:</w:t>
      </w:r>
    </w:p>
    <w:p w:rsidR="005728DD" w:rsidRDefault="005728DD" w:rsidP="005728DD">
      <w:pPr>
        <w:pStyle w:val="TextoNormal"/>
      </w:pPr>
    </w:p>
    <w:p w:rsidR="005728DD" w:rsidRDefault="005728DD" w:rsidP="005728DD">
      <w:pPr>
        <w:pStyle w:val="TextoNormal"/>
      </w:pPr>
      <w:r>
        <w:t>1. Jamás he concebido el ejercicio de la función jurisdiccional como un instrumento al servicio de una u otra opción política para controlar el desenlace de un proceso penal.</w:t>
      </w:r>
    </w:p>
    <w:p w:rsidR="005728DD" w:rsidRDefault="005728DD" w:rsidP="005728DD">
      <w:pPr>
        <w:pStyle w:val="TextoNormal"/>
      </w:pPr>
    </w:p>
    <w:p w:rsidR="005728DD" w:rsidRDefault="005728DD" w:rsidP="005728DD">
      <w:pPr>
        <w:pStyle w:val="TextoNormal"/>
      </w:pPr>
      <w:r>
        <w:t>2. Mi trayectoria como magistrado ha estado siempre presidida por la independencia como presupuesto de legitimidad de cualquier decisión jurisdiccional.</w:t>
      </w:r>
    </w:p>
    <w:p w:rsidR="005728DD" w:rsidRDefault="005728DD" w:rsidP="005728DD">
      <w:pPr>
        <w:pStyle w:val="TextoNormal"/>
      </w:pPr>
    </w:p>
    <w:p w:rsidR="005728DD" w:rsidRDefault="005728DD" w:rsidP="005728DD">
      <w:pPr>
        <w:pStyle w:val="TextoNormal"/>
      </w:pPr>
      <w:r>
        <w:t>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005728DD" w:rsidRDefault="005728DD" w:rsidP="005728DD">
      <w:pPr>
        <w:pStyle w:val="TextoNormal"/>
      </w:pPr>
    </w:p>
    <w:p w:rsidR="005728DD" w:rsidRDefault="005728DD" w:rsidP="005728DD">
      <w:pPr>
        <w:pStyle w:val="TextoNormal"/>
      </w:pPr>
      <w:r>
        <w:t>4. Por todo ello, anticipo públicamente mi decidida voluntad de no ser incluido, para el caso en que así fuera considerado, entre los candidatos al puesto de presidente del Tribunal Supremo y del Consejo General del Poder Judicial”.</w:t>
      </w:r>
    </w:p>
    <w:p w:rsidR="005728DD" w:rsidRDefault="005728DD" w:rsidP="005728DD">
      <w:pPr>
        <w:pStyle w:val="TextoNormal"/>
      </w:pPr>
    </w:p>
    <w:p w:rsidR="005728DD" w:rsidRDefault="005728DD" w:rsidP="005728DD">
      <w:pPr>
        <w:pStyle w:val="TextoNormal"/>
      </w:pPr>
      <w:r>
        <w:t>Como se puede ver, en ese comunicado no solo se negaba toda participación en aquella supuesta estrategia de control de una sala de Justicia al servicio de un partido político, sino que se descartaba de manera firme y decidida de cualquier postulación para el cargo al que se aludía (presidente del Tribunal Supremo y del Consejo General del Poder Judicial).</w:t>
      </w:r>
    </w:p>
    <w:p w:rsidR="005728DD" w:rsidRDefault="005728DD" w:rsidP="005728DD">
      <w:pPr>
        <w:pStyle w:val="TextoNormal"/>
      </w:pPr>
    </w:p>
    <w:p w:rsidR="005728DD" w:rsidRDefault="005728DD" w:rsidP="005728DD">
      <w:pPr>
        <w:pStyle w:val="TextoNormal"/>
      </w:pPr>
      <w:r>
        <w:t xml:space="preserve">Sin embargo, el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w:t>
      </w:r>
      <w:r>
        <w:lastRenderedPageBreak/>
        <w:t>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005728DD" w:rsidRDefault="005728DD" w:rsidP="005728DD">
      <w:pPr>
        <w:pStyle w:val="TextoNormal"/>
      </w:pPr>
    </w:p>
    <w:p w:rsidR="005728DD" w:rsidRDefault="005728DD" w:rsidP="005728DD">
      <w:pPr>
        <w:pStyle w:val="TextoNormal"/>
      </w:pPr>
      <w:r>
        <w:t>Por lo expuesto, el motivo no puede prosperar.</w:t>
      </w:r>
    </w:p>
    <w:p w:rsidR="005728DD" w:rsidRDefault="005728DD" w:rsidP="005728DD">
      <w:pPr>
        <w:pStyle w:val="TextoNormal"/>
      </w:pPr>
    </w:p>
    <w:p w:rsidR="005728DD" w:rsidRPr="005728DD" w:rsidRDefault="005728DD" w:rsidP="005728DD">
      <w:pPr>
        <w:pStyle w:val="TextoNormal"/>
        <w:rPr>
          <w:i/>
        </w:rPr>
      </w:pPr>
      <w:r>
        <w:t>5</w:t>
      </w:r>
      <w:r w:rsidRPr="005728DD">
        <w:rPr>
          <w:i/>
        </w:rPr>
        <w:t>.7. Sobre el rol inquisitivo que se atribuye al presidente de la sala de enjuiciamiento.</w:t>
      </w:r>
    </w:p>
    <w:p w:rsidR="005728DD" w:rsidRPr="005728DD" w:rsidRDefault="005728DD" w:rsidP="005728DD">
      <w:pPr>
        <w:pStyle w:val="TextoNormal"/>
        <w:rPr>
          <w:i/>
        </w:rPr>
      </w:pPr>
    </w:p>
    <w:p w:rsidR="005728DD" w:rsidRDefault="005728DD" w:rsidP="005728DD">
      <w:pPr>
        <w:pStyle w:val="TextoNormal"/>
      </w:pPr>
      <w:r w:rsidRPr="005728DD">
        <w:rPr>
          <w:i/>
        </w:rPr>
        <w:t>5.7.1. Posiciones de las part</w:t>
      </w:r>
      <w:r>
        <w:t>es.</w:t>
      </w:r>
    </w:p>
    <w:p w:rsidR="005728DD" w:rsidRDefault="005728DD" w:rsidP="005728DD">
      <w:pPr>
        <w:pStyle w:val="TextoNormal"/>
      </w:pPr>
    </w:p>
    <w:p w:rsidR="005728DD" w:rsidRDefault="005728DD" w:rsidP="005728DD">
      <w:pPr>
        <w:pStyle w:val="TextoNormal"/>
      </w:pPr>
      <w:r>
        <w:t>La última alegación sobre la vulneración del derecho a un juez imparcial se refiere a lo sucedido en la sesión de la vista oral celebrada el día 14 de marzo de 2019, en el interrogatorio como testigo del mayor del cuerpo de los Mossos d’Esquadra, don Josep Lluis Trapero. Según se recoge en la demanda, este testigo había sido propuesto por la representación de la acusación popular ejercida por el partido político Vox. Esta acusación no había formulado pregunta alguna sobre una reunión de la junta de seguridad que tuvo lugar el 28 de septiembre de 2017. Cuando el Ministerio Fiscal, en su turno de interrogatorio, formuló una pregunta sobre el motivo y la finalidad de esa reunión, el presidente de la sala de enjuiciamiento, a instancias de las defensas, rechazó la pregunta siguiendo el criterio de que el testigo solo podía ser interrogado sobre los hechos establecidos por la parte que lo hubiera propuesto. Sin embargo, terminado el interrogatorio del testigo, la Sala formuló la pregunta que había sido denegada previamente, al amparo de lo dispuesto en el art. 708 LECrim.</w:t>
      </w:r>
    </w:p>
    <w:p w:rsidR="005728DD" w:rsidRDefault="005728DD" w:rsidP="005728DD">
      <w:pPr>
        <w:pStyle w:val="TextoNormal"/>
      </w:pPr>
    </w:p>
    <w:p w:rsidR="005728DD" w:rsidRDefault="005728DD" w:rsidP="005728DD">
      <w:pPr>
        <w:pStyle w:val="TextoNormal"/>
      </w:pPr>
      <w:r>
        <w:t>Según la demanda, el tribunal no solo incurrió en una incoherencia, sino que asumió una función acusatoria, mediante la introducción de un hecho nuevo en el juicio, con la consiguiente merma de su apariencia de imparcialidad. Prueba de ello es que la Sala dio traslado a las defensas para poder repreguntar al testigo, en un trámite no previsto en la LECrim para estos casos, “y que supone aceptar una insólita situación de contradicción entre el interrogatorio de la presidencia y las defensas”.</w:t>
      </w:r>
    </w:p>
    <w:p w:rsidR="005728DD" w:rsidRDefault="005728DD" w:rsidP="005728DD">
      <w:pPr>
        <w:pStyle w:val="TextoNormal"/>
      </w:pPr>
    </w:p>
    <w:p w:rsidR="005728DD" w:rsidRDefault="005728DD" w:rsidP="005728DD">
      <w:pPr>
        <w:pStyle w:val="TextoNormal"/>
      </w:pPr>
      <w:r>
        <w:t>Esta cuestión fue denunciada por la defensa del aquí recurrente en su escrito de conclusiones definitivas, desde la perspectiva invocada del principio de igualdad de armas, aunque con el consiguiente menoscabo de la imparcialidad del tribunal, obteniendo una amplia respuesta en la sentencia ahora impugnada.</w:t>
      </w:r>
    </w:p>
    <w:p w:rsidR="005728DD" w:rsidRDefault="005728DD" w:rsidP="005728DD">
      <w:pPr>
        <w:pStyle w:val="TextoNormal"/>
      </w:pPr>
    </w:p>
    <w:p w:rsidR="005728DD" w:rsidRDefault="005728DD" w:rsidP="005728DD">
      <w:pPr>
        <w:pStyle w:val="TextoNormal"/>
      </w:pPr>
      <w:r>
        <w:t xml:space="preserve">La posición del Ministerio Fiscal sobre este motivo de amparo es coincidente con las anteriores, interesando su desestimación, ya que la pregunta se ajustaba a la finalidad del precepto empleado (art. 708 LECrim), que no es otra que “depurar” los hechos ya introducidos en el debate, sin añadir ningún hecho nuevo. Además, se permitió a las defensas volver a preguntar al testigo, por lo que no se causó indefensión alguna, al margen de la nula influencia de la pregunta en orden a la acreditación de un hecho —como era la propia reunión— que ya había sido acreditada por otras fuentes de prueba. En el mismo sentido se </w:t>
      </w:r>
      <w:r>
        <w:lastRenderedPageBreak/>
        <w:t>pronuncia el abogado del Estado, que añade el dato de que ni la pregunta ni la respuesta pudo tener relevancia alguna para el recurrente, pues este no estaba presente en la citada reunión ni se trae a colación en su juicio de autoría. Por su parte, el partido político Vox argumenta en este punto en el mismo sentido que el Ministerio Fiscal.</w:t>
      </w:r>
    </w:p>
    <w:p w:rsidR="005728DD" w:rsidRDefault="005728DD" w:rsidP="005728DD">
      <w:pPr>
        <w:pStyle w:val="TextoNormal"/>
      </w:pPr>
    </w:p>
    <w:p w:rsidR="005728DD" w:rsidRDefault="005728DD" w:rsidP="005728DD">
      <w:pPr>
        <w:pStyle w:val="TextoNormal"/>
      </w:pPr>
      <w:r>
        <w:t>5.7.2</w:t>
      </w:r>
      <w:r w:rsidRPr="005728DD">
        <w:rPr>
          <w:i/>
        </w:rPr>
        <w:t>. Respuesta del órgano judici</w:t>
      </w:r>
      <w:r>
        <w:t>al.</w:t>
      </w:r>
    </w:p>
    <w:p w:rsidR="005728DD" w:rsidRDefault="005728DD" w:rsidP="005728DD">
      <w:pPr>
        <w:pStyle w:val="TextoNormal"/>
      </w:pPr>
    </w:p>
    <w:p w:rsidR="005728DD" w:rsidRDefault="005728DD" w:rsidP="005728DD">
      <w:pPr>
        <w:pStyle w:val="TextoNormal"/>
      </w:pPr>
      <w:r>
        <w:t xml:space="preserve">La sala de enjuiciamiento rechaza esta pretensión en el fundamento de Derecho A), apartado 16.3.5. Tras hacer una reseña del art. 708 LECrim, y de las circunstancias en que se desarrolló el interrogatorio,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27 de octubre, en la que se destacó la existencia de facultades similares en los sistemas procesales de nuestro entorno (Alemania, Italia, Francia y Portugal). Y en la más reciente STS 205/2015, de 10 de marzo, se distinguía entre imparcialidad y absoluta pasividad, y se contemplaba expresamente el supuesto de “juicios largos con algunas dosis de lógica tensión”, en los que las facultades de dirección del acto obligan a sostener una posición </w:t>
      </w:r>
      <w:r w:rsidRPr="005728DD">
        <w:rPr>
          <w:i/>
        </w:rPr>
        <w:t>pro activa</w:t>
      </w:r>
      <w:r>
        <w:t xml:space="preserve">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desbordamiento tal de la función de la presidencia que ha degenerado en parcialidad, no basta cualquier presunto exceso o desacierto”.</w:t>
      </w:r>
    </w:p>
    <w:p w:rsidR="005728DD" w:rsidRDefault="005728DD" w:rsidP="005728DD">
      <w:pPr>
        <w:pStyle w:val="TextoNormal"/>
      </w:pPr>
    </w:p>
    <w:p w:rsidR="005728DD" w:rsidRDefault="005728DD" w:rsidP="005728DD">
      <w:pPr>
        <w:pStyle w:val="TextoNormal"/>
      </w:pPr>
      <w:r>
        <w:t>Para la sala de enjuiciamiento, la doctrina del Tribunal Supremo está en línea con los pronunciamientos de este tribunal, entre los que se destacan y extractan parcialmente las SSTC 229/2003, de 18 de diciembre, y 334/2005, de 20 de diciembre. Lo relevante es que las preguntas del órgano enjuiciador versen sobre los hechos objeto de la acusación, a los efectos de alcanzar el grado preciso de convicción para la adopción de una decisión. No pueden ser manifestación de una actividad inquisitiva encubierta, sustituyendo a la acusación, ni una toma de partido a favor de las tesis de esta. Tampoco generan indefensión, si la parte pudo formular alegaciones al respecto en el acto de la vista.</w:t>
      </w:r>
    </w:p>
    <w:p w:rsidR="005728DD" w:rsidRDefault="005728DD" w:rsidP="005728DD">
      <w:pPr>
        <w:pStyle w:val="TextoNormal"/>
      </w:pPr>
    </w:p>
    <w:p w:rsidR="005728DD" w:rsidRDefault="005728DD" w:rsidP="005728DD">
      <w:pPr>
        <w:pStyle w:val="TextoNormal"/>
      </w:pPr>
      <w:r>
        <w:t xml:space="preserve">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w:t>
      </w:r>
      <w:r>
        <w:lastRenderedPageBreak/>
        <w:t>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005728DD" w:rsidRDefault="005728DD" w:rsidP="005728DD">
      <w:pPr>
        <w:pStyle w:val="TextoNormal"/>
      </w:pPr>
    </w:p>
    <w:p w:rsidR="005728DD" w:rsidRDefault="005728DD" w:rsidP="005728DD">
      <w:pPr>
        <w:pStyle w:val="TextoNormal"/>
      </w:pPr>
      <w:r>
        <w:t>5.7.3</w:t>
      </w:r>
      <w:r w:rsidRPr="005728DD">
        <w:rPr>
          <w:i/>
        </w:rPr>
        <w:t>. Resolución de la que</w:t>
      </w:r>
      <w:r>
        <w:t>ja.</w:t>
      </w:r>
    </w:p>
    <w:p w:rsidR="005728DD" w:rsidRDefault="005728DD" w:rsidP="005728DD">
      <w:pPr>
        <w:pStyle w:val="TextoNormal"/>
      </w:pPr>
    </w:p>
    <w:p w:rsidR="005728DD" w:rsidRDefault="005728DD" w:rsidP="005728DD">
      <w:pPr>
        <w:pStyle w:val="TextoNormal"/>
      </w:pPr>
      <w:r>
        <w:t>a) La última invocación de la vulneración del derecho al juez imparcial no se refiere a una circunstancia personal u orgánica, sino a una lesión de carácter funcional; es decir, causada en el ejercicio estrictamente jurisdiccional. El recurrente considera que el presidente de la sala de enjuiciamiento asumió un “rol inquisitivo” durante el interrogatorio del señor Trapero, prestado en la sesión del juicio oral celebrada el 14 de marzo de 2019, al formularle una pregunta que versaba sobre el motivo, la finalidad y el contenido de una reunión celebrada el 28 de septiembre de 2017.</w:t>
      </w:r>
    </w:p>
    <w:p w:rsidR="005728DD" w:rsidRDefault="005728DD" w:rsidP="005728DD">
      <w:pPr>
        <w:pStyle w:val="TextoNormal"/>
      </w:pPr>
    </w:p>
    <w:p w:rsidR="005728DD" w:rsidRDefault="005728DD" w:rsidP="005728DD">
      <w:pPr>
        <w:pStyle w:val="TextoNormal"/>
      </w:pPr>
      <w:r>
        <w:t>La sentencia describe brevemente las circunstancias en que se desarrolló ese interrogatorio. El “testigo señor Trapero había sido propuesto por la acusación popular y por las defensas de los señores Sànchez, Cuixart y Forn. Tras finalizar el interrogatorio de la acusación popular y después de preguntar aquello que estimó conveniente, el Ministerio Fiscal formuló al testigo una pregunta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005728DD" w:rsidRDefault="005728DD" w:rsidP="005728DD">
      <w:pPr>
        <w:pStyle w:val="TextoNormal"/>
      </w:pPr>
    </w:p>
    <w:p w:rsidR="005728DD" w:rsidRDefault="005728DD" w:rsidP="005728DD">
      <w:pPr>
        <w:pStyle w:val="TextoNormal"/>
      </w:pPr>
      <w:r>
        <w:t>Expuesto lo anterior, la sentencia ahora impugnada desarrolla su argumentación para denegar esta pretensión. Y señala, a tal efecto, lo siguiente:</w:t>
      </w:r>
    </w:p>
    <w:p w:rsidR="005728DD" w:rsidRDefault="005728DD" w:rsidP="005728DD">
      <w:pPr>
        <w:pStyle w:val="TextoNormal"/>
      </w:pPr>
    </w:p>
    <w:p w:rsidR="005728DD" w:rsidRDefault="005728DD" w:rsidP="005728DD">
      <w:pPr>
        <w:pStyle w:val="TextoNormal"/>
      </w:pPr>
      <w:r>
        <w:t>“[L]a pregunta formulada por el presidente al testigo —señor Trapero— no introdujo elemento alguno que no hubiera sido objeto de debate cruzado entre las partes. El testigo había sido ampliamente interrogado sobre la reunión de la junta de seguridad celebrada el día 28 de septiembre de 2017. Al término del interrogatorio de las partes, conforme consta en el soporte digital en el que fue grabada la declaración del señor Trapero, el presidente procedió a dar lectura al párrafo segundo del art. 708 de la LECrim y formuló —previa deliberación del tribunal que así lo había acordado— la siguiente pregunta:</w:t>
      </w:r>
    </w:p>
    <w:p w:rsidR="005728DD" w:rsidRDefault="005728DD" w:rsidP="005728DD">
      <w:pPr>
        <w:pStyle w:val="TextoNormal"/>
      </w:pPr>
    </w:p>
    <w:p w:rsidR="005728DD" w:rsidRDefault="005728DD" w:rsidP="005728DD">
      <w:pPr>
        <w:pStyle w:val="TextoNormal"/>
      </w:pPr>
      <w:r>
        <w:t>‘[…] usted ha declarado sobre una reunión que promueve, en la que están responsables políticos […] y de la fuerza que usted dirigía. Se habló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005728DD" w:rsidRDefault="005728DD" w:rsidP="005728DD">
      <w:pPr>
        <w:pStyle w:val="TextoNormal"/>
      </w:pPr>
    </w:p>
    <w:p w:rsidR="005728DD" w:rsidRDefault="005728DD" w:rsidP="005728DD">
      <w:pPr>
        <w:pStyle w:val="TextoNormal"/>
      </w:pPr>
      <w:r>
        <w:t xml:space="preserve">Una vez obtenida la respuesta del señor Trapero, la presidencia del tribunal ofreció a los letrados de las defensas la oportunidad de repreguntar lo que a su derecho conviniera. La </w:t>
      </w:r>
      <w:r>
        <w:lastRenderedPageBreak/>
        <w:t>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pregunta. Y el letrado del señor Forn —que tampoco hizo constar ninguna protesta— dijo textualmente: ‘[…] creo que ya se lo había preguntado, pero sin todo este antecedente. Una vez que ha explicado todo esto, la pregunta sería […]’.</w:t>
      </w:r>
    </w:p>
    <w:p w:rsidR="005728DD" w:rsidRDefault="005728DD" w:rsidP="005728DD">
      <w:pPr>
        <w:pStyle w:val="TextoNormal"/>
      </w:pPr>
    </w:p>
    <w:p w:rsidR="005728DD" w:rsidRDefault="005728DD" w:rsidP="005728DD">
      <w:pPr>
        <w:pStyle w:val="TextoNormal"/>
      </w:pPr>
      <w:r>
        <w:t>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005728DD" w:rsidRDefault="005728DD" w:rsidP="005728DD">
      <w:pPr>
        <w:pStyle w:val="TextoNormal"/>
      </w:pPr>
    </w:p>
    <w:p w:rsidR="005728DD" w:rsidRDefault="005728DD" w:rsidP="005728DD">
      <w:pPr>
        <w:pStyle w:val="TextoNormal"/>
      </w:pPr>
      <w: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w:t>
      </w:r>
      <w:r w:rsidRPr="005728DD">
        <w:rPr>
          <w:i/>
        </w:rPr>
        <w:t>a priori</w:t>
      </w:r>
      <w:r>
        <w:t xml:space="preserve">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w:t>
      </w:r>
      <w:r w:rsidRPr="005728DD">
        <w:rPr>
          <w:i/>
        </w:rPr>
        <w:t>ex ante</w:t>
      </w:r>
      <w:r>
        <w:t xml:space="preserv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005728DD" w:rsidRDefault="005728DD" w:rsidP="005728DD">
      <w:pPr>
        <w:pStyle w:val="TextoNormal"/>
      </w:pPr>
    </w:p>
    <w:p w:rsidR="005728DD" w:rsidRDefault="005728DD" w:rsidP="005728DD">
      <w:pPr>
        <w:pStyle w:val="TextoNormal"/>
      </w:pPr>
      <w:r>
        <w:t>b) El análisis y resolución de este motivo de amparo requiere algunas consideraciones previas:</w:t>
      </w:r>
    </w:p>
    <w:p w:rsidR="005728DD" w:rsidRDefault="005728DD" w:rsidP="005728DD">
      <w:pPr>
        <w:pStyle w:val="TextoNormal"/>
      </w:pPr>
    </w:p>
    <w:p w:rsidR="005728DD" w:rsidRDefault="005728DD" w:rsidP="005728DD">
      <w:pPr>
        <w:pStyle w:val="TextoNormal"/>
      </w:pPr>
      <w:r>
        <w:t>(i) La primera se refiere al objeto de la pregunta controvertida formulada por el presidente de la sala de enjuiciamiento.</w:t>
      </w:r>
    </w:p>
    <w:p w:rsidR="005728DD" w:rsidRDefault="005728DD" w:rsidP="005728DD">
      <w:pPr>
        <w:pStyle w:val="TextoNormal"/>
      </w:pPr>
    </w:p>
    <w:p w:rsidR="005728DD" w:rsidRDefault="005728DD" w:rsidP="005728DD">
      <w:pPr>
        <w:pStyle w:val="TextoNormal"/>
      </w:pPr>
      <w:r>
        <w:t>Los términos de la demanda, e incluso de la propia sentencia, parecen dar a entender que la pregunta venía referida a una reunión de la junta de seguridad de la Comunidad Autónoma de Cataluña. Sin embargo, esa reunión tuvo lugar el día 27 de septiembre de 2017, mientras que el visionado completo de la declaración del señor Trapero pone de manifiesto que la pregunta estaba referida a otra reunión que se mantuvo el día 28 de septiembre de 2017 entre los mandos del cuerpo de Mossos d’Esquadra y los procesados señores Puigdemont, Junqueras y Forn.</w:t>
      </w:r>
    </w:p>
    <w:p w:rsidR="005728DD" w:rsidRDefault="005728DD" w:rsidP="005728DD">
      <w:pPr>
        <w:pStyle w:val="TextoNormal"/>
      </w:pPr>
    </w:p>
    <w:p w:rsidR="005728DD" w:rsidRDefault="005728DD" w:rsidP="005728DD">
      <w:pPr>
        <w:pStyle w:val="TextoNormal"/>
      </w:pPr>
      <w:r>
        <w:t>(ii) Sobre la interpretación que la sala de enjuiciamiento mantuvo en relación con uno de los preceptos que regulan el interrogatorio de los testigos.</w:t>
      </w:r>
    </w:p>
    <w:p w:rsidR="005728DD" w:rsidRDefault="005728DD" w:rsidP="005728DD">
      <w:pPr>
        <w:pStyle w:val="TextoNormal"/>
      </w:pPr>
    </w:p>
    <w:p w:rsidR="005728DD" w:rsidRDefault="005728DD" w:rsidP="005728DD">
      <w:pPr>
        <w:pStyle w:val="TextoNormal"/>
      </w:pPr>
      <w:r>
        <w:lastRenderedPageBreak/>
        <w:t>En el fundamento jurídico A), apartado 16.2.2, el Tribunal Supremo expone su criterio sobre el alcance del interrogatorio de las partes, desde su entendimiento del tenor literal del párrafo primero del art. 708 LECrim. Este precepto dispone lo siguiente: “El presidente [del tribunal]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La sala de enjuiciamiento describe su criterio interpretativo de la siguiente forma:</w:t>
      </w:r>
    </w:p>
    <w:p w:rsidR="005728DD" w:rsidRDefault="005728DD" w:rsidP="005728DD">
      <w:pPr>
        <w:pStyle w:val="TextoNormal"/>
      </w:pPr>
    </w:p>
    <w:p w:rsidR="005728DD" w:rsidRDefault="005728DD" w:rsidP="005728DD">
      <w:pPr>
        <w:pStyle w:val="TextoNormal"/>
      </w:pPr>
      <w:r>
        <w:t>“La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005728DD" w:rsidRDefault="005728DD" w:rsidP="005728DD">
      <w:pPr>
        <w:pStyle w:val="TextoNormal"/>
      </w:pPr>
    </w:p>
    <w:p w:rsidR="005728DD" w:rsidRDefault="005728DD" w:rsidP="005728DD">
      <w:pPr>
        <w:pStyle w:val="TextoNormal"/>
      </w:pPr>
      <w:r>
        <w:t>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cómo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calentando así un encadenamiento dialéctico de la prueba testifical que implicaría, además de una permanente confrontación ajena al principio contradictorio, una vulneración del derecho de defensa”.</w:t>
      </w:r>
    </w:p>
    <w:p w:rsidR="005728DD" w:rsidRDefault="005728DD" w:rsidP="005728DD">
      <w:pPr>
        <w:pStyle w:val="TextoNormal"/>
      </w:pPr>
    </w:p>
    <w:p w:rsidR="005728DD" w:rsidRDefault="005728DD" w:rsidP="005728DD">
      <w:pPr>
        <w:pStyle w:val="TextoNormal"/>
      </w:pPr>
      <w:r>
        <w:t>Como se puede observar, la Sala realiza una interpretación del primer párrafo del art. 708 LECrim y, más en concreto, del juicio de pertinencia sobre las preguntas formuladas a un 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005728DD" w:rsidRDefault="005728DD" w:rsidP="005728DD">
      <w:pPr>
        <w:pStyle w:val="TextoNormal"/>
      </w:pPr>
    </w:p>
    <w:p w:rsidR="005728DD" w:rsidRDefault="005728DD" w:rsidP="005728DD">
      <w:pPr>
        <w:pStyle w:val="TextoNormal"/>
      </w:pPr>
      <w:r>
        <w:t xml:space="preserve">La interpretación ofrecida por el tribunal sentenciador no ha sido objeto de impugnación en este recurso, por lo que no procede hacer pronunciamiento alguno sobre la misma. En todo caso, se trataría de una cuestión de aplicación de la legalidad ordinaria, sobre la que </w:t>
      </w:r>
      <w:r>
        <w:lastRenderedPageBreak/>
        <w:t>este tribunal solo podría hacer un control meramente externo o de razonabilidad (STC 8/2014, de 27 de enero, FJ 3), sin ignorar que caben también otras interpretaciones alternativas, que son usuales en la práctica judicial.</w:t>
      </w:r>
    </w:p>
    <w:p w:rsidR="005728DD" w:rsidRDefault="005728DD" w:rsidP="005728DD">
      <w:pPr>
        <w:pStyle w:val="TextoNormal"/>
      </w:pPr>
    </w:p>
    <w:p w:rsidR="005728DD" w:rsidRDefault="005728DD" w:rsidP="005728DD">
      <w:pPr>
        <w:pStyle w:val="TextoNormal"/>
      </w:pPr>
      <w:r>
        <w:t>No obstante, se ha considerado necesario exponer el criterio mantenido por la sala en este punto, porque permite contextualizar debidamente las alegaciones del recurrente.</w:t>
      </w:r>
    </w:p>
    <w:p w:rsidR="005728DD" w:rsidRDefault="005728DD" w:rsidP="005728DD">
      <w:pPr>
        <w:pStyle w:val="TextoNormal"/>
      </w:pPr>
    </w:p>
    <w:p w:rsidR="005728DD" w:rsidRDefault="005728DD" w:rsidP="005728DD">
      <w:pPr>
        <w:pStyle w:val="TextoNormal"/>
      </w:pPr>
      <w:r>
        <w:t>(iii) La demanda invoca la vulneración del derecho al juez imparcial. Debe señalarse que la respuesta contenida en la sentencia impugnada es tributaria de la alegación formulada por el recurrente en su escrito de conclusiones definitivas, en el que se invocaba la vulneración del derecho a un proceso con todas las garantías, en su vertiente del principio de igualdad de armas (art. 24.2 CE).</w:t>
      </w:r>
    </w:p>
    <w:p w:rsidR="005728DD" w:rsidRDefault="005728DD" w:rsidP="005728DD">
      <w:pPr>
        <w:pStyle w:val="TextoNormal"/>
      </w:pPr>
    </w:p>
    <w:p w:rsidR="005728DD" w:rsidRDefault="005728DD" w:rsidP="005728DD">
      <w:pPr>
        <w:pStyle w:val="TextoNormal"/>
      </w:pPr>
      <w:r>
        <w:t>En este recurso, por tanto, se ha introducido una modificación del derecho fundamental alegado (derecho al juez imparcial) en comparación con la invocación formal realizada previamente en la instancia (igualdad de armas). No obstante, la identidad de los “términos en que se ha planteado el debate en vía procesal”, o de la “descripción fáctica de los datos o circunstancias de hecho”, permiten un pronunciamiento de este tribunal (STC 67/2020, de 29 de junio, FJ 2).</w:t>
      </w:r>
    </w:p>
    <w:p w:rsidR="005728DD" w:rsidRDefault="005728DD" w:rsidP="005728DD">
      <w:pPr>
        <w:pStyle w:val="TextoNormal"/>
      </w:pPr>
    </w:p>
    <w:p w:rsidR="005728DD" w:rsidRDefault="005728DD" w:rsidP="005728DD">
      <w:pPr>
        <w:pStyle w:val="TextoNormal"/>
      </w:pPr>
      <w:r>
        <w:t>(iv) Otro tanto puede decirse respecto de la ausencia de protesta alguna frente a la pregunta formulada por el tribunal.</w:t>
      </w:r>
    </w:p>
    <w:p w:rsidR="005728DD" w:rsidRDefault="005728DD" w:rsidP="005728DD">
      <w:pPr>
        <w:pStyle w:val="TextoNormal"/>
      </w:pPr>
    </w:p>
    <w:p w:rsidR="005728DD" w:rsidRDefault="005728DD" w:rsidP="005728DD">
      <w:pPr>
        <w:pStyle w:val="TextoNormal"/>
      </w:pPr>
      <w:r>
        <w:t>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alegando que podía hacerlo porque el testigo también había sido propuesto por esa parte (17:38 horas). La sala así lo admitió y el resto de los intervinientes en el proceso no formuló protesta alguna. Al término del interrogatorio de las partes (18:53 horas), la Sala hizo uso de lo dispuesto en el párrafo segundo del art. 708 LECrim, y formuló la pregunta ahora impugnada. Nadie elevó protesta alguna.</w:t>
      </w:r>
    </w:p>
    <w:p w:rsidR="005728DD" w:rsidRDefault="005728DD" w:rsidP="005728DD">
      <w:pPr>
        <w:pStyle w:val="TextoNormal"/>
      </w:pPr>
    </w:p>
    <w:p w:rsidR="005728DD" w:rsidRDefault="005728DD" w:rsidP="005728DD">
      <w:pPr>
        <w:pStyle w:val="TextoNormal"/>
      </w:pPr>
      <w:r>
        <w:t>Un entendimiento garantista de los presupuestos procesales del recurso de amparo conducirá a un pronunciamiento sobre el fondo de la vulneración alegada, prescindiendo de objeciones formalistas sobre la falta de invocación previa de la queja [art. 44.1 c) LOTC], derivada de la ausencia de protesta en el acto de la vista, toda vez que la lesión fue planteada en el escrito de conclusiones definitivas; es decir, al final del acto del juicio oral y, como hemos visto, obtuvo una respuesta en la sentencia impugnada.</w:t>
      </w:r>
    </w:p>
    <w:p w:rsidR="005728DD" w:rsidRDefault="005728DD" w:rsidP="005728DD">
      <w:pPr>
        <w:pStyle w:val="TextoNormal"/>
      </w:pPr>
    </w:p>
    <w:p w:rsidR="005728DD" w:rsidRDefault="005728DD" w:rsidP="005728DD">
      <w:pPr>
        <w:pStyle w:val="TextoNormal"/>
      </w:pPr>
      <w:r>
        <w:lastRenderedPageBreak/>
        <w:t>(v) La demanda se plantea en términos que permiten advertir cierto solapamiento entre los derechos fundamentales invocados.</w:t>
      </w:r>
    </w:p>
    <w:p w:rsidR="005728DD" w:rsidRDefault="005728DD" w:rsidP="005728DD">
      <w:pPr>
        <w:pStyle w:val="TextoNormal"/>
      </w:pPr>
    </w:p>
    <w:p w:rsidR="005728DD" w:rsidRDefault="005728DD" w:rsidP="005728DD">
      <w:pPr>
        <w:pStyle w:val="TextoNormal"/>
      </w:pPr>
      <w:r>
        <w:t>La expresión “rol inquisitivo” no puede entenderse referida al principio inquisitivo que evoca el “viejo proceso penal […] regido por el sistema de prueba tasada en el que el imputado era considerado como objeto del proceso penal, [no como] sujeto” (STC 142/2009, de 15 de junio, FJ 3). En realidad, la expresión empleada en la demanda pretende invocar una posible vulneración del principio acusatorio. Este principio se encuentra integrado en el derecho a un proceso con todas las garantías y se conecta con el derecho de defensa, el derecho a ser informado de la acusación y el derecho al juez imparcial, todos ellos amparados en el art. 24.2 CE.</w:t>
      </w:r>
    </w:p>
    <w:p w:rsidR="005728DD" w:rsidRDefault="005728DD" w:rsidP="005728DD">
      <w:pPr>
        <w:pStyle w:val="TextoNormal"/>
      </w:pPr>
    </w:p>
    <w:p w:rsidR="005728DD" w:rsidRDefault="005728DD" w:rsidP="005728DD">
      <w:pPr>
        <w:pStyle w:val="TextoNormal"/>
      </w:pPr>
      <w:r>
        <w:t>En efecto, el principio acusatorio se manifiesta, entre otros aspectos, en la necesaria correlación entre la acusación y la resolución del procedimiento. De esta forma, por un lado, la persona a la que se imputa un delito debe tener conocimiento de los hechos objeto de la acusación, a fin de poder ejercer su derecho de defensa; y por otro, el órgano de enjuiciamiento no puede introducir hechos nuevos que no hayan sido aportados por la acusación; es decir, no puede adoptar la doble función de juez y parte o llevar a cabo una “actividad inquisitiva encubierta” (en palabras de la STC 130/2002, de 3 de junio, FJ 3), porque entonces se estaría vulnerando también el derecho al juez imparcial (por todas, STC 1/2020, de 14 de enero, FJ 7). Sin embargo, para la resolución de este motivo de amparo debe tenerse igualmente muy presente el principio de inmediación judicial.</w:t>
      </w:r>
    </w:p>
    <w:p w:rsidR="005728DD" w:rsidRDefault="005728DD" w:rsidP="005728DD">
      <w:pPr>
        <w:pStyle w:val="TextoNormal"/>
      </w:pPr>
    </w:p>
    <w:p w:rsidR="005728DD" w:rsidRDefault="005728DD" w:rsidP="005728DD">
      <w:pPr>
        <w:pStyle w:val="TextoNormal"/>
      </w:pPr>
      <w:r>
        <w:t>Como es conocido, la inmediación judicial deriva del derecho a un proceso justo o equitativo (art. 6.1 CEDH) que implica la “facultad del acusado de estar presente y ser oído personalmente” (STC 167/2002, de 18 de septiembre, FJ 10, con cita de las SSTEDH de 26 de mayo de 1988, asunt</w:t>
      </w:r>
      <w:r w:rsidRPr="005728DD">
        <w:rPr>
          <w:i/>
        </w:rPr>
        <w:t>o Ekbatani c. Suec</w:t>
      </w:r>
      <w:r>
        <w:t>ia, § 24 y 27; de 29 de octubre de 1991, asunt</w:t>
      </w:r>
      <w:r w:rsidRPr="005728DD">
        <w:rPr>
          <w:i/>
        </w:rPr>
        <w:t>o Helmers c. Suec</w:t>
      </w:r>
      <w:r>
        <w:t>ia, § 31 y 32, y de 27 de junio de 2000, asunt</w:t>
      </w:r>
      <w:r w:rsidRPr="005728DD">
        <w:rPr>
          <w:i/>
        </w:rPr>
        <w:t>o Constantinescu c. Ruman</w:t>
      </w:r>
      <w:r>
        <w:t>ía, § 53, doctrina que se consolida, con matices, en la STC 170/2002, de 30 de septiembre, FJ 15).</w:t>
      </w:r>
    </w:p>
    <w:p w:rsidR="005728DD" w:rsidRDefault="005728DD" w:rsidP="005728DD">
      <w:pPr>
        <w:pStyle w:val="TextoNormal"/>
      </w:pPr>
    </w:p>
    <w:p w:rsidR="005728DD" w:rsidRDefault="005728DD" w:rsidP="005728DD">
      <w:pPr>
        <w:pStyle w:val="TextoNormal"/>
      </w:pPr>
      <w:r>
        <w:t>A su vez, la inmediación judicial también aparece conectada, de forma indisoluble, con el principio de libre valoración de la prueba que, en el ámbito del proceso penal, figura descrito en el art. 741 LECrim, cuando establece que el tribunal, “apreciando según su conciencia las pruebas practicadas en el juicio, las razones expuestas por la acusación y la defensa y lo manifestado por los mismos procesados, dictará sentencia”. Para la plena vigencia de este principio es necesario que la prueba se desarrolle en el acto del juicio bajo las garantías procesales de “publicidad, oralidad, inmediación y contradicción” que, junto con el principio de igualdad de armas, se configuran como elementos estructurales del derecho a un juicio justo (STC 94/2004, de 24 de mayo, FJ 2, y la jurisprudencia allí citada).</w:t>
      </w:r>
    </w:p>
    <w:p w:rsidR="005728DD" w:rsidRDefault="005728DD" w:rsidP="005728DD">
      <w:pPr>
        <w:pStyle w:val="TextoNormal"/>
      </w:pPr>
    </w:p>
    <w:p w:rsidR="005728DD" w:rsidRDefault="005728DD" w:rsidP="005728DD">
      <w:pPr>
        <w:pStyle w:val="TextoNormal"/>
      </w:pPr>
      <w:r>
        <w:t>La publicidad del proceso —con sus inescindibles principios de oralidad, inmediación y contradicción—, es una garantía de profundas raíces democráticas, porque no solo permite que la persona sometida a juicio pueda tener acceso a todo aquello que va a ser utilizado por el tribunal para la resolución de su caso, sino que contribuye a la transparencia del sistema de Justicia generando con ello la máxima confianza de los ciudadanos en el funcionamiento del Poder Judicial, que es fuente de su legitimidad constitucional (art. 117.1 CE).</w:t>
      </w:r>
    </w:p>
    <w:p w:rsidR="005728DD" w:rsidRDefault="005728DD" w:rsidP="005728DD">
      <w:pPr>
        <w:pStyle w:val="TextoNormal"/>
      </w:pPr>
    </w:p>
    <w:p w:rsidR="005728DD" w:rsidRDefault="005728DD" w:rsidP="005728DD">
      <w:pPr>
        <w:pStyle w:val="TextoNormal"/>
      </w:pPr>
      <w:r>
        <w:lastRenderedPageBreak/>
        <w:t>De todo lo anterior se deduce la relevancia que tiene el cumplimiento de las normas procesales sobre la práctica de la prueba, como instrumento de garantía del derecho a un proceso justo. Así, este tribunal ha afirmado que la “estricta sujeción del juez a la ley penal sustantiva y procesal que rige sus actos y decisiones constituye la primera y más importante garantía del juicio justo”, que “otorga […]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(STC 130/2002, de 3 de junio, FJ 3).</w:t>
      </w:r>
    </w:p>
    <w:p w:rsidR="005728DD" w:rsidRDefault="005728DD" w:rsidP="005728DD">
      <w:pPr>
        <w:pStyle w:val="TextoNormal"/>
      </w:pPr>
    </w:p>
    <w:p w:rsidR="005728DD" w:rsidRDefault="005728DD" w:rsidP="005728DD">
      <w:pPr>
        <w:pStyle w:val="TextoNormal"/>
      </w:pPr>
      <w:r>
        <w:t>Sin embargo, “según doctrina reiterada de este tribunal,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(art. 24.2 CE; STC 188/2000, FJ 2)” [STC 130/2002, de 3 de junio, FJ 4].</w:t>
      </w:r>
    </w:p>
    <w:p w:rsidR="005728DD" w:rsidRDefault="005728DD" w:rsidP="005728DD">
      <w:pPr>
        <w:pStyle w:val="TextoNormal"/>
      </w:pPr>
    </w:p>
    <w:p w:rsidR="005728DD" w:rsidRDefault="005728DD" w:rsidP="005728DD">
      <w:pPr>
        <w:pStyle w:val="TextoNormal"/>
      </w:pPr>
      <w:r>
        <w:t>c) La contextualización de los elementos fácticos y jurídicos concurrentes permiten abordar, ahora sí, la cuestión de fondo planteada.</w:t>
      </w:r>
    </w:p>
    <w:p w:rsidR="005728DD" w:rsidRDefault="005728DD" w:rsidP="005728DD">
      <w:pPr>
        <w:pStyle w:val="TextoNormal"/>
      </w:pPr>
    </w:p>
    <w:p w:rsidR="005728DD" w:rsidRDefault="005728DD" w:rsidP="005728DD">
      <w:pPr>
        <w:pStyle w:val="TextoNormal"/>
      </w:pPr>
      <w:r>
        <w:t>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005728DD" w:rsidRDefault="005728DD" w:rsidP="005728DD">
      <w:pPr>
        <w:pStyle w:val="TextoNormal"/>
      </w:pPr>
    </w:p>
    <w:p w:rsidR="005728DD" w:rsidRDefault="005728DD" w:rsidP="005728DD">
      <w:pPr>
        <w:pStyle w:val="TextoNormal"/>
      </w:pPr>
      <w:r>
        <w:t>Esta facultad debe ser considerada como una herramienta necesaria para el ejercicio de la inmediación judicial que, como se ha expuesto, se configura como un presupuesto del principio de libre valoración de la prueba, integrándose en el derecho a un proceso público con todas las garantías, reconocido en el art. 24.2 CE.</w:t>
      </w:r>
    </w:p>
    <w:p w:rsidR="005728DD" w:rsidRDefault="005728DD" w:rsidP="005728DD">
      <w:pPr>
        <w:pStyle w:val="TextoNormal"/>
      </w:pPr>
    </w:p>
    <w:p w:rsidR="005728DD" w:rsidRDefault="005728DD" w:rsidP="005728DD">
      <w:pPr>
        <w:pStyle w:val="TextoNormal"/>
      </w:pPr>
      <w:r>
        <w:t xml:space="preserve">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w:t>
      </w:r>
      <w:r>
        <w:lastRenderedPageBreak/>
        <w:t>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005728DD" w:rsidRDefault="005728DD" w:rsidP="005728DD">
      <w:pPr>
        <w:pStyle w:val="TextoNormal"/>
      </w:pPr>
    </w:p>
    <w:p w:rsidR="005728DD" w:rsidRDefault="005728DD" w:rsidP="005728DD">
      <w:pPr>
        <w:pStyle w:val="TextoNormal"/>
      </w:pPr>
      <w:r>
        <w:t>Esta facultad no puede confundirse con la función estricta de valoración de la prueba. La valoración es una actividad jurisdiccional posterior, que presupone necesariamente que el tribunal haya percibido con claridad lo ocurrido en el juicio oral. Nótese que el art. 708 LECrim, en su párrafo segundo, permite depurar “los hechos”, no el “testimonio”. El testimonio será luego objeto de valoración (o depuración, en cuanto a su validez, credibilidad y suficiencia para acreditar o no los hechos enjuiciados) conforme a lo dispuesto en el art. 741 LECrim.</w:t>
      </w:r>
    </w:p>
    <w:p w:rsidR="005728DD" w:rsidRDefault="005728DD" w:rsidP="005728DD">
      <w:pPr>
        <w:pStyle w:val="TextoNormal"/>
      </w:pPr>
    </w:p>
    <w:p w:rsidR="005728DD" w:rsidRDefault="005728DD" w:rsidP="005728DD">
      <w:pPr>
        <w:pStyle w:val="TextoNormal"/>
      </w:pPr>
      <w:r>
        <w:t>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005728DD" w:rsidRDefault="005728DD" w:rsidP="005728DD">
      <w:pPr>
        <w:pStyle w:val="TextoNormal"/>
      </w:pPr>
    </w:p>
    <w:p w:rsidR="005728DD" w:rsidRDefault="005728DD" w:rsidP="005728DD">
      <w:pPr>
        <w:pStyle w:val="TextoNormal"/>
      </w:pPr>
      <w:r>
        <w:t>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abogado del Estado y en la página 20 del escrito de la acusación popular ejercida por el partido político Vox.</w:t>
      </w:r>
    </w:p>
    <w:p w:rsidR="005728DD" w:rsidRDefault="005728DD" w:rsidP="005728DD">
      <w:pPr>
        <w:pStyle w:val="TextoNormal"/>
      </w:pPr>
    </w:p>
    <w:p w:rsidR="005728DD" w:rsidRDefault="005728DD" w:rsidP="005728DD">
      <w:pPr>
        <w:pStyle w:val="TextoNormal"/>
      </w:pPr>
      <w:r>
        <w:t>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005728DD" w:rsidRDefault="005728DD" w:rsidP="005728DD">
      <w:pPr>
        <w:pStyle w:val="TextoNormal"/>
      </w:pPr>
    </w:p>
    <w:p w:rsidR="005728DD" w:rsidRDefault="005728DD" w:rsidP="005728DD">
      <w:pPr>
        <w:pStyle w:val="TextoNormal"/>
      </w:pPr>
      <w:r>
        <w:t xml:space="preserve">Una vez que la reunión estaba incluida en los escritos de acusación, y que su celebración y contenido habían sido introducidos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w:t>
      </w:r>
      <w:r>
        <w:lastRenderedPageBreak/>
        <w:t>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005728DD" w:rsidRDefault="005728DD" w:rsidP="005728DD">
      <w:pPr>
        <w:pStyle w:val="TextoNormal"/>
      </w:pPr>
    </w:p>
    <w:p w:rsidR="005728DD" w:rsidRDefault="005728DD" w:rsidP="005728DD">
      <w:pPr>
        <w:pStyle w:val="TextoNormal"/>
      </w:pPr>
      <w:r>
        <w:t>Ni siquiera puede achacarse a la sala una mera incoherencia en su actuación. Según el recurrente, es incongruente denegar la pregunta al Ministerio Fiscal y, sin embargo, formular la misma pregunta unos minutos después.</w:t>
      </w:r>
    </w:p>
    <w:p w:rsidR="005728DD" w:rsidRDefault="005728DD" w:rsidP="005728DD">
      <w:pPr>
        <w:pStyle w:val="TextoNormal"/>
      </w:pPr>
    </w:p>
    <w:p w:rsidR="005728DD" w:rsidRDefault="005728DD" w:rsidP="005728DD">
      <w:pPr>
        <w:pStyle w:val="TextoNormal"/>
      </w:pPr>
      <w:r>
        <w:t>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 según hemos expuesto. La diferencia de presupuestos normativos para adoptar ambas decisiones impide apreciar la incongruencia o incoherencia alegada y, por lo tanto, la vulneración invocada.</w:t>
      </w:r>
    </w:p>
    <w:p w:rsidR="005728DD" w:rsidRDefault="005728DD" w:rsidP="005728DD">
      <w:pPr>
        <w:pStyle w:val="TextoNormal"/>
      </w:pPr>
    </w:p>
    <w:p w:rsidR="005728DD" w:rsidRDefault="005728DD" w:rsidP="005728DD">
      <w:pPr>
        <w:pStyle w:val="TextoNormal"/>
      </w:pPr>
      <w:r>
        <w:t>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contestación del señor Trapero a la pregunta formulada por la sala; es decir, que fue inocua desde la perspectiva de la afectación material de los derechos del recurrente.</w:t>
      </w:r>
    </w:p>
    <w:p w:rsidR="005728DD" w:rsidRDefault="005728DD" w:rsidP="005728DD">
      <w:pPr>
        <w:pStyle w:val="TextoNormal"/>
      </w:pPr>
    </w:p>
    <w:p w:rsidR="005728DD" w:rsidRDefault="005728DD" w:rsidP="005728DD">
      <w:pPr>
        <w:pStyle w:val="TextoNormal"/>
      </w:pPr>
      <w:r>
        <w:t>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005728DD" w:rsidRDefault="005728DD" w:rsidP="005728DD">
      <w:pPr>
        <w:pStyle w:val="TextoNormal"/>
      </w:pPr>
    </w:p>
    <w:p w:rsidR="005728DD" w:rsidRDefault="005728DD" w:rsidP="005728DD">
      <w:pPr>
        <w:pStyle w:val="TextoNormal"/>
      </w:pPr>
      <w:r>
        <w:t>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como se alega en el recurso. Lo que puso de manifiesto fue un escrupuloso respeto al derecho de defensa, a la vigencia de los principios de contradicción e igualdad de armas y, en definitiva, al derecho a la imparcialidad judicial integrado en el derecho a un proceso con todas las garantías (art. 24.2 CE). Lo que conduce a la desestimación del motivo analizado.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Derecho a la igualdad de armas en el proceso</w:t>
      </w:r>
      <w:r>
        <w:t>.</w:t>
      </w:r>
    </w:p>
    <w:p w:rsidR="005728DD" w:rsidRDefault="005728DD" w:rsidP="005728DD">
      <w:pPr>
        <w:pStyle w:val="TextoNormal"/>
      </w:pPr>
    </w:p>
    <w:p w:rsidR="005728DD" w:rsidRDefault="005728DD" w:rsidP="005728DD">
      <w:pPr>
        <w:pStyle w:val="TextoNormal"/>
      </w:pPr>
      <w:r>
        <w:t>La sentencia recurrida en amparo se refiere a esta materia en el apartado 16 del fundamento jurídico A).</w:t>
      </w:r>
    </w:p>
    <w:p w:rsidR="005728DD" w:rsidRDefault="005728DD" w:rsidP="005728DD">
      <w:pPr>
        <w:pStyle w:val="TextoNormal"/>
      </w:pPr>
    </w:p>
    <w:p w:rsidR="005728DD" w:rsidRDefault="005728DD" w:rsidP="005728DD">
      <w:pPr>
        <w:pStyle w:val="TextoNormal"/>
      </w:pPr>
      <w:r>
        <w:t>Para la mejor comprensión del examen de esta queja, teniendo en cuenta la extensión de este apartado, así como que abarca aspectos ajenos a los planteados en esta sede por la parte recurrente, hemos optado por no reproducir íntegramente este fragmento de la sentencia recurrida. Tomaremos así las consideraciones efectuadas en él por el Tribunal Supremo a medida que vayamos descendiendo a los detalles que incluye el análisis del motivo de amparo.</w:t>
      </w:r>
    </w:p>
    <w:p w:rsidR="005728DD" w:rsidRDefault="005728DD" w:rsidP="005728DD">
      <w:pPr>
        <w:pStyle w:val="TextoNormal"/>
      </w:pPr>
    </w:p>
    <w:p w:rsidR="005728DD" w:rsidRDefault="005728DD" w:rsidP="005728DD">
      <w:pPr>
        <w:pStyle w:val="TextoNormal"/>
      </w:pPr>
      <w:r>
        <w:t xml:space="preserve">6.1. </w:t>
      </w:r>
      <w:r w:rsidRPr="005728DD">
        <w:rPr>
          <w:i/>
        </w:rPr>
        <w:t>Posiciones de las partes</w:t>
      </w:r>
      <w:r>
        <w:t>.</w:t>
      </w:r>
    </w:p>
    <w:p w:rsidR="005728DD" w:rsidRDefault="005728DD" w:rsidP="005728DD">
      <w:pPr>
        <w:pStyle w:val="TextoNormal"/>
      </w:pPr>
    </w:p>
    <w:p w:rsidR="005728DD" w:rsidRDefault="005728DD" w:rsidP="005728DD">
      <w:pPr>
        <w:pStyle w:val="TextoNormal"/>
      </w:pPr>
      <w:r>
        <w:t>La parte recurrente denuncia la vulneración del principio de igualdad de armas por el trato desfavorable dispensado a las defensas en el acto del juicio oral (arts. 24 CE y 6 CEDH), con base en que se limitó su actividad procesal en el momento de interrogar de manera mucho más estricta de lo que se hizo con las acusaciones. La demanda, de la que se ha dejado detallada constancia en los antecedentes de esta sentencia, se refiere a varios episodios acaecidos durante el desarrollo del juicio oral que serían reveladores de la denunciada desigualdad: (i) en el interrogatorio del testigo señor Torrent, se permitió a las acusaciones formular preguntas que desbordaron las razones por las que había sido propuesto, lo que se impidió a las defensas; ii)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(iii) a los testigos de las acusaciones, como fueron los policías, se les autorizó a exponer valoraciones al aludir a aspectos tales como “caras de odio” —en referencia a los votantes— “clima hostil” o “clima insurreccional” (señor Baena), lo que se impidió a otros como a la señora Garcés; (iv) a algunos testigos propuestos por la acusación se les autorizó a consultar notas escritas, lo que fue impedido a la señora Garcés y al señor Matamala; (v) la reacción del tribunal frente a las manifestaciones de “desmemoria” o “renuencia” de algunos testigos, como la señora Sáenz de Santamaría, el señor Rajoy y el señor Zoido, frente a la dispensada a la señora Guix y al señor Mestre; (vi) el impedimento para preguntar a un inspector de policía respecto del “aparente infarto” sufrido por un ciudadano cuando se disponía a votar, pese a que esa circunstancia se mencionaba en el escrito de acusación y, previamente, se había permitido al fiscal interrogar al respecto; (vii) el reproche que dirigió el presidente del tribunal al letrado del aquí recurrente, en la sesión de 27 de abril de 2019, cuando este utilizó la expresión “ley de ritos” para referirse a la LECrim, porque esa expresión constituía un “insulto a los procesalistas”.</w:t>
      </w:r>
    </w:p>
    <w:p w:rsidR="005728DD" w:rsidRDefault="005728DD" w:rsidP="005728DD">
      <w:pPr>
        <w:pStyle w:val="TextoNormal"/>
      </w:pPr>
    </w:p>
    <w:p w:rsidR="005728DD" w:rsidRDefault="005728DD" w:rsidP="005728DD">
      <w:pPr>
        <w:pStyle w:val="TextoNormal"/>
      </w:pPr>
      <w:r>
        <w:t>El abogado del Estado considera que el denunciado trato peyorativo dado a las defensas frente a las acusaciones no se ha producido, remitiéndose de modo pormenorizado a las respuestas contenidas en la sentencia recurrida.</w:t>
      </w:r>
    </w:p>
    <w:p w:rsidR="005728DD" w:rsidRDefault="005728DD" w:rsidP="005728DD">
      <w:pPr>
        <w:pStyle w:val="TextoNormal"/>
      </w:pPr>
    </w:p>
    <w:p w:rsidR="005728DD" w:rsidRDefault="005728DD" w:rsidP="005728DD">
      <w:pPr>
        <w:pStyle w:val="TextoNormal"/>
      </w:pPr>
      <w:r>
        <w:t>Por su parte, la representación procesal del partido político Vox sostiene que los extremos manifestados por el recurrente no son más que “minucias procesales, cuando no inter</w:t>
      </w:r>
      <w:r>
        <w:lastRenderedPageBreak/>
        <w:t>pretaciones interesadas respecto al alegado trato desfavorable, pero que al final no han supuesto anular al condenado la posibilidad de proponer y practicar los elementos de prueba propuestos por el mismo ni tampoco afectan al sentido del fallo”, amén de que el demandante no ha argumentado nada sobre esta relevante cuestión.</w:t>
      </w:r>
    </w:p>
    <w:p w:rsidR="005728DD" w:rsidRDefault="005728DD" w:rsidP="005728DD">
      <w:pPr>
        <w:pStyle w:val="TextoNormal"/>
      </w:pPr>
    </w:p>
    <w:p w:rsidR="005728DD" w:rsidRDefault="005728DD" w:rsidP="005728DD">
      <w:pPr>
        <w:pStyle w:val="TextoNormal"/>
      </w:pPr>
      <w:r>
        <w:t>Por último, el Ministerio Fiscal aduce que las respuestas dadas por la Sala en la sentencia tienen de común su razonabilidad, pues responden a la aplicación de la normativa procesal sobre el desarrollo de la prueba testifical en cumplimiento de las facultades de dirección de los debates del juicio oral que corresponde al presidente del tribunal (art. 683 LECrim). A su juicio, más allá de valoraciones personales, el recurrente no indica qué reglas procesales se han desconocido o cómo su vulneración ha afectado a las garantías de defensa. No se ha argumentado en qué medida estas presuntas irregularidades y desigualdad de trato le han causado indefensión y han podido influir sobre el resultado final de la sentencia condenatoria, de modo que el fallo pudiera haber sido otro.</w:t>
      </w:r>
    </w:p>
    <w:p w:rsidR="005728DD" w:rsidRDefault="005728DD" w:rsidP="005728DD">
      <w:pPr>
        <w:pStyle w:val="TextoNormal"/>
      </w:pPr>
    </w:p>
    <w:p w:rsidR="005728DD" w:rsidRDefault="005728DD" w:rsidP="005728DD">
      <w:pPr>
        <w:pStyle w:val="TextoNormal"/>
      </w:pPr>
      <w:r>
        <w:t xml:space="preserve">6.2. </w:t>
      </w:r>
      <w:r w:rsidRPr="005728DD">
        <w:rPr>
          <w:i/>
        </w:rPr>
        <w:t>Doctrina constitucional</w:t>
      </w:r>
      <w:r>
        <w:t>.</w:t>
      </w:r>
    </w:p>
    <w:p w:rsidR="005728DD" w:rsidRDefault="005728DD" w:rsidP="005728DD">
      <w:pPr>
        <w:pStyle w:val="TextoNormal"/>
      </w:pPr>
    </w:p>
    <w:p w:rsidR="005728DD" w:rsidRDefault="005728DD" w:rsidP="005728DD">
      <w:pPr>
        <w:pStyle w:val="TextoNormal"/>
      </w:pPr>
      <w:r>
        <w:t>Podemos sistematizar la doctrina constitucional sobre el derecho a la igualdad de armas en el proceso penal, siguiendo la ya citada STC 130/2002, de 3 de junio, y a riesgo de incurrir en reiteraciones, en los siguientes términos:</w:t>
      </w:r>
    </w:p>
    <w:p w:rsidR="005728DD" w:rsidRDefault="005728DD" w:rsidP="005728DD">
      <w:pPr>
        <w:pStyle w:val="TextoNormal"/>
      </w:pPr>
    </w:p>
    <w:p w:rsidR="005728DD" w:rsidRDefault="005728DD" w:rsidP="005728DD">
      <w:pPr>
        <w:pStyle w:val="TextoNormal"/>
      </w:pPr>
      <w:r>
        <w:t>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005728DD" w:rsidRDefault="005728DD" w:rsidP="005728DD">
      <w:pPr>
        <w:pStyle w:val="TextoNormal"/>
      </w:pPr>
    </w:p>
    <w:p w:rsidR="005728DD" w:rsidRDefault="005728DD" w:rsidP="005728DD">
      <w:pPr>
        <w:pStyle w:val="TextoNormal"/>
      </w:pPr>
      <w:r>
        <w:t>Esto es, “la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FJ 14, y 12/2011, de 28 de febrero, FJ 3).</w:t>
      </w:r>
    </w:p>
    <w:p w:rsidR="005728DD" w:rsidRDefault="005728DD" w:rsidP="005728DD">
      <w:pPr>
        <w:pStyle w:val="TextoNormal"/>
      </w:pPr>
    </w:p>
    <w:p w:rsidR="005728DD" w:rsidRDefault="005728DD" w:rsidP="005728DD">
      <w:pPr>
        <w:pStyle w:val="TextoNormal"/>
      </w:pPr>
      <w: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w:t>
      </w:r>
      <w:r>
        <w:lastRenderedPageBreak/>
        <w:t xml:space="preserve">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w:t>
      </w:r>
      <w:r w:rsidRPr="005728DD">
        <w:rPr>
          <w:i/>
        </w:rPr>
        <w:t>De Cubber c. Bélgica</w:t>
      </w:r>
      <w:r>
        <w:t xml:space="preserve">, § 26, “según un adagio inglés citado en la sentencia </w:t>
      </w:r>
      <w:r w:rsidRPr="005728DD">
        <w:rPr>
          <w:i/>
        </w:rPr>
        <w:t>Delcourt</w:t>
      </w:r>
      <w:r>
        <w:t xml:space="preserve"> de 17 enero 1970, […] ‘</w:t>
      </w:r>
      <w:r w:rsidRPr="005728DD">
        <w:rPr>
          <w:i/>
        </w:rPr>
        <w:t>justice must not only be done: it must also be seen to be done</w:t>
      </w:r>
      <w:r>
        <w:t xml:space="preserve">’”; expresión reiterada por el Tribunal Europeo de Derechos Humanos, (entre otras, en las SSTEDH de 15 de octubre de 2009, caso </w:t>
      </w:r>
      <w:r w:rsidRPr="005728DD">
        <w:rPr>
          <w:i/>
        </w:rPr>
        <w:t>Micallef c. Malta</w:t>
      </w:r>
      <w:r>
        <w:t xml:space="preserve">, § 98, y de 22 de octubre de 2019, caso </w:t>
      </w:r>
      <w:r w:rsidRPr="005728DD">
        <w:rPr>
          <w:i/>
        </w:rPr>
        <w:t>Deli c. Moldavia</w:t>
      </w:r>
      <w:r>
        <w:t>, § 36)].</w:t>
      </w:r>
    </w:p>
    <w:p w:rsidR="005728DD" w:rsidRDefault="005728DD" w:rsidP="005728DD">
      <w:pPr>
        <w:pStyle w:val="TextoNormal"/>
      </w:pPr>
    </w:p>
    <w:p w:rsidR="005728DD" w:rsidRDefault="005728DD" w:rsidP="005728DD">
      <w:pPr>
        <w:pStyle w:val="TextoNormal"/>
      </w:pPr>
      <w:r>
        <w:t>“También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005728DD" w:rsidRDefault="005728DD" w:rsidP="005728DD">
      <w:pPr>
        <w:pStyle w:val="TextoNormal"/>
      </w:pPr>
    </w:p>
    <w:p w:rsidR="005728DD" w:rsidRDefault="005728DD" w:rsidP="005728DD">
      <w:pPr>
        <w:pStyle w:val="TextoNormal"/>
      </w:pPr>
      <w:r>
        <w:t>De este modo, “el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005728DD" w:rsidRDefault="005728DD" w:rsidP="005728DD">
      <w:pPr>
        <w:pStyle w:val="TextoNormal"/>
      </w:pPr>
    </w:p>
    <w:p w:rsidR="005728DD" w:rsidRDefault="005728DD" w:rsidP="005728DD">
      <w:pPr>
        <w:pStyle w:val="TextoNormal"/>
      </w:pPr>
      <w:r>
        <w:t xml:space="preserve">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w:t>
      </w:r>
      <w:r>
        <w:lastRenderedPageBreak/>
        <w:t>partes en litigio, que el juez debe preservar aplicando con corrección las normas procesales que sirven justamente a ese propósito (STC 101/1989, de 5 de junio, FJ 4). De no hacerlo así, el juez habrá vulnerado el derecho a un proceso judicial con todas las garantías (STC 188/2000, de 10 de julio, FJ 2)” (STC 130/2002, FJ 4).</w:t>
      </w:r>
    </w:p>
    <w:p w:rsidR="005728DD" w:rsidRDefault="005728DD" w:rsidP="005728DD">
      <w:pPr>
        <w:pStyle w:val="TextoNormal"/>
      </w:pPr>
    </w:p>
    <w:p w:rsidR="005728DD" w:rsidRDefault="005728DD" w:rsidP="005728DD">
      <w:pPr>
        <w:pStyle w:val="TextoNormal"/>
      </w:pPr>
      <w:r>
        <w:t>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con anterioridad” (STC 130/2002, FJ 5).</w:t>
      </w:r>
    </w:p>
    <w:p w:rsidR="005728DD" w:rsidRDefault="005728DD" w:rsidP="005728DD">
      <w:pPr>
        <w:pStyle w:val="TextoNormal"/>
      </w:pPr>
    </w:p>
    <w:p w:rsidR="005728DD" w:rsidRDefault="005728DD" w:rsidP="005728DD">
      <w:pPr>
        <w:pStyle w:val="TextoNormal"/>
      </w:pPr>
      <w: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las SSTEDH de 24 de noviembre de 1986, caso </w:t>
      </w:r>
      <w:r w:rsidRPr="005728DD">
        <w:rPr>
          <w:i/>
        </w:rPr>
        <w:t>Unterpertinger c. Austria</w:t>
      </w:r>
      <w:r>
        <w:t xml:space="preserve">, § 31; de 20 de noviembre de 1989, caso </w:t>
      </w:r>
      <w:r w:rsidRPr="005728DD">
        <w:rPr>
          <w:i/>
        </w:rPr>
        <w:t>Kostovski c. Holanda</w:t>
      </w:r>
      <w:r>
        <w:t xml:space="preserve">, § 41; de 27 de septiembre de 1990, caso </w:t>
      </w:r>
      <w:r w:rsidRPr="005728DD">
        <w:rPr>
          <w:i/>
        </w:rPr>
        <w:t>Windisch c. Austria</w:t>
      </w:r>
      <w:r>
        <w:t xml:space="preserve">, § 26; de 19 de febrero de 1991, caso </w:t>
      </w:r>
      <w:r w:rsidRPr="005728DD">
        <w:rPr>
          <w:i/>
        </w:rPr>
        <w:t>Isgrò c. Italia</w:t>
      </w:r>
      <w:r>
        <w:t xml:space="preserve">, § 34; de 20 de septiembre de 1993, caso </w:t>
      </w:r>
      <w:r w:rsidRPr="005728DD">
        <w:rPr>
          <w:i/>
        </w:rPr>
        <w:t>Saïdi c. Francia</w:t>
      </w:r>
      <w:r>
        <w:t>, § 43, y de 27 de febrero de 2001, cas</w:t>
      </w:r>
      <w:r w:rsidRPr="005728DD">
        <w:rPr>
          <w:i/>
        </w:rPr>
        <w:t>o Lucà c. Ital</w:t>
      </w:r>
      <w:r>
        <w:t>ia, § 40).</w:t>
      </w:r>
    </w:p>
    <w:p w:rsidR="005728DD" w:rsidRDefault="005728DD" w:rsidP="005728DD">
      <w:pPr>
        <w:pStyle w:val="TextoNormal"/>
      </w:pPr>
    </w:p>
    <w:p w:rsidR="005728DD" w:rsidRDefault="005728DD" w:rsidP="005728DD">
      <w:pPr>
        <w:pStyle w:val="TextoNormal"/>
      </w:pPr>
      <w:r>
        <w:t>d) Si bien no todas las irregularidades e infracciones del régimen legal de prueba poseen relevancia constitucional a los efectos de las garantías del art. 24.1 y 2 CE, “no es menos cierto que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5 de noviembre, FJ 5). Por ello debe indagarse —a la vista de los datos objetivos que quepa extraer del modo de proceder que en cada caso haya observado el órgano judicial— si tras 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otras, en la STC 229/2003, de 18 de diciembre, FJ 14. En todo caso, para determinar si se ha producido la quiebra de esta esencial igualdad de armas, es preciso analizar las circunstancias particulares de cada caso.</w:t>
      </w:r>
    </w:p>
    <w:p w:rsidR="005728DD" w:rsidRDefault="005728DD" w:rsidP="005728DD">
      <w:pPr>
        <w:pStyle w:val="TextoNormal"/>
      </w:pPr>
    </w:p>
    <w:p w:rsidR="005728DD" w:rsidRDefault="005728DD" w:rsidP="005728DD">
      <w:pPr>
        <w:pStyle w:val="TextoNormal"/>
      </w:pPr>
      <w:r>
        <w:t>6.3</w:t>
      </w:r>
      <w:r w:rsidRPr="005728DD">
        <w:rPr>
          <w:i/>
        </w:rPr>
        <w:t>. Resolución de la que</w:t>
      </w:r>
      <w:r>
        <w:t>ja.</w:t>
      </w:r>
    </w:p>
    <w:p w:rsidR="005728DD" w:rsidRDefault="005728DD" w:rsidP="005728DD">
      <w:pPr>
        <w:pStyle w:val="TextoNormal"/>
      </w:pPr>
    </w:p>
    <w:p w:rsidR="005728DD" w:rsidRDefault="005728DD" w:rsidP="005728DD">
      <w:pPr>
        <w:pStyle w:val="TextoNormal"/>
      </w:pPr>
      <w:r>
        <w:t>La respuesta de este tribunal al motivo de amparo es consecuencia de las siguientes consideraciones:</w:t>
      </w:r>
    </w:p>
    <w:p w:rsidR="005728DD" w:rsidRDefault="005728DD" w:rsidP="005728DD">
      <w:pPr>
        <w:pStyle w:val="TextoNormal"/>
      </w:pPr>
    </w:p>
    <w:p w:rsidR="005728DD" w:rsidRDefault="005728DD" w:rsidP="005728DD">
      <w:pPr>
        <w:pStyle w:val="TextoNormal"/>
      </w:pPr>
      <w:r>
        <w:lastRenderedPageBreak/>
        <w:t>A) Para dar una contestación a esta queja, es preciso efectuar una valoración global sobre el desarrollo del juicio oral y, dentro del mismo, sobre el interrogatorio de los testigos de cargo y de descargo.</w:t>
      </w:r>
    </w:p>
    <w:p w:rsidR="005728DD" w:rsidRDefault="005728DD" w:rsidP="005728DD">
      <w:pPr>
        <w:pStyle w:val="TextoNormal"/>
      </w:pPr>
    </w:p>
    <w:p w:rsidR="005728DD" w:rsidRDefault="005728DD" w:rsidP="005728DD">
      <w:pPr>
        <w:pStyle w:val="TextoNormal"/>
      </w:pPr>
      <w:r>
        <w:t>Es fácil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más de quinientos testigos, hace aún más asequible la comprensión de lo anterior. El desacierto, por tanto, en el ejercicio de las funciones procesales propias de la dirección del examen de los testigos a que se refieren los artículos arts.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decisivo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005728DD" w:rsidRDefault="005728DD" w:rsidP="005728DD">
      <w:pPr>
        <w:pStyle w:val="TextoNormal"/>
      </w:pPr>
    </w:p>
    <w:p w:rsidR="005728DD" w:rsidRDefault="005728DD" w:rsidP="005728DD">
      <w:pPr>
        <w:pStyle w:val="TextoNormal"/>
      </w:pPr>
      <w:r>
        <w:t>La argumentación de la queja en la demanda, como hemos visto, está basada sobre determinados episodios del juicio (siete, en concreto) en los que, según la parte recurrente, el tribunal de enjuiciamiento se desvió de la correcta aplicación de la ley procesal en contra de las defensas.</w:t>
      </w:r>
    </w:p>
    <w:p w:rsidR="005728DD" w:rsidRDefault="005728DD" w:rsidP="005728DD">
      <w:pPr>
        <w:pStyle w:val="TextoNormal"/>
      </w:pPr>
    </w:p>
    <w:p w:rsidR="005728DD" w:rsidRDefault="005728DD" w:rsidP="005728DD">
      <w:pPr>
        <w:pStyle w:val="TextoNormal"/>
      </w:pPr>
      <w:r>
        <w:t>Este tribunal, sin embargo, constata que no existió ese trato peyorativo hacia la defensa. Más allá de que todas y cada una de las valoraciones efectuadas sobre tales eventualidades han recibido una respuesta explícita en la sentencia recurrida, como veremos a continuación, del acierto de tales respuestas (en términos de ajuste a la norma procesal), y de que, como también constatamos, esas incidencias carecen de relevancia para la formación del relato fáctico del que dimana la condena, podemos ya adelantar que estimamos que tales acontecimientos, valorados en su conjunto y en el contexto de todo el juicio oral, resultan manifiestamente insuficientes para fundar la existencia del trato desfavorable del que se queja el recurrente.</w:t>
      </w:r>
    </w:p>
    <w:p w:rsidR="005728DD" w:rsidRDefault="005728DD" w:rsidP="005728DD">
      <w:pPr>
        <w:pStyle w:val="TextoNormal"/>
      </w:pPr>
    </w:p>
    <w:p w:rsidR="005728DD" w:rsidRDefault="005728DD" w:rsidP="005728DD">
      <w:pPr>
        <w:pStyle w:val="TextoNormal"/>
      </w:pPr>
      <w:r>
        <w:t xml:space="preserve">Para alcanzar esa conclusión tomamos en consideración el desarrollo del juicio en su integridad, el relato de hechos probados y las razones de la condena del recurrente, de todo lo cual se ha dado cuenta en los antecedentes de esta resolución, así como los acontecimientos en que la parte demandante funda su queja y las respuestas ofrecidas por el Tribunal </w:t>
      </w:r>
      <w:r>
        <w:lastRenderedPageBreak/>
        <w:t>Supremo, que examinamos seguidamente. De esto se desprende que se trata de acontecimientos menores, incidencias o irregularidades procesales leves, a lo sumo, que no permiten afirmar ni quiebra de la igualdad de armas, ni merma del derecho de defensa.</w:t>
      </w:r>
    </w:p>
    <w:p w:rsidR="005728DD" w:rsidRDefault="005728DD" w:rsidP="005728DD">
      <w:pPr>
        <w:pStyle w:val="TextoNormal"/>
      </w:pPr>
    </w:p>
    <w:p w:rsidR="005728DD" w:rsidRDefault="005728DD" w:rsidP="005728DD">
      <w:pPr>
        <w:pStyle w:val="TextoNormal"/>
      </w:pPr>
      <w:r>
        <w:t>B) El Tribunal Supremo ofrece en la sentencia recurrida una respuesta explícita frente a cada una de las protestas realizadas.</w:t>
      </w:r>
    </w:p>
    <w:p w:rsidR="005728DD" w:rsidRDefault="005728DD" w:rsidP="005728DD">
      <w:pPr>
        <w:pStyle w:val="TextoNormal"/>
      </w:pPr>
    </w:p>
    <w:p w:rsidR="005728DD" w:rsidRDefault="005728DD" w:rsidP="005728DD">
      <w:pPr>
        <w:pStyle w:val="TextoNormal"/>
      </w:pPr>
      <w:r>
        <w:t>a) La queja relativa al interrogatorio del testigo señor Torrent, según la cual se permitió a las acusaciones formular preguntas desvinculadas de las razones por las que había sido propuesto, lo que se impidió a las defensas, recibe en la sentencia una contestación expresa, razonada y razonable.</w:t>
      </w:r>
    </w:p>
    <w:p w:rsidR="005728DD" w:rsidRDefault="005728DD" w:rsidP="005728DD">
      <w:pPr>
        <w:pStyle w:val="TextoNormal"/>
      </w:pPr>
    </w:p>
    <w:p w:rsidR="005728DD" w:rsidRDefault="005728DD" w:rsidP="005728DD">
      <w:pPr>
        <w:pStyle w:val="TextoNormal"/>
      </w:pPr>
      <w:r>
        <w:t>La respuesta parte de la interpretación que la sala efectúa del art. 708 LECrim, primer párrafo, según el cual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De ella se ha dejado literal constancia en el fundamento precedente de esta misma sentencia, al que ahora nos remitimos. Cabe reiterar que con el criterio interpretativo que se maneja —conforme al cual si la parte proponente no pregunta sobre una cuestión concreta, el resto de las partes no podrá formular preguntas sobre esa cuestión, porque no habría existido una previa “contestación” del testigo— se pretendió preservar la vigencia estricta del principio de contradicción y, por conexión, del derecho de defensa.</w:t>
      </w:r>
    </w:p>
    <w:p w:rsidR="005728DD" w:rsidRDefault="005728DD" w:rsidP="005728DD">
      <w:pPr>
        <w:pStyle w:val="TextoNormal"/>
      </w:pPr>
    </w:p>
    <w:p w:rsidR="005728DD" w:rsidRDefault="005728DD" w:rsidP="005728DD">
      <w:pPr>
        <w:pStyle w:val="TextoNormal"/>
      </w:pPr>
      <w:r>
        <w:t>Se refiere después a la valoración concreta de la relevancia del interrogatorio del testigo: “si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de la imposibilidad del señor Torrent de explicar su particular experiencia sobre hechos que fueron descritos detalladamente por otros muchos testigos presenciales”.</w:t>
      </w:r>
    </w:p>
    <w:p w:rsidR="005728DD" w:rsidRDefault="005728DD" w:rsidP="005728DD">
      <w:pPr>
        <w:pStyle w:val="TextoNormal"/>
      </w:pPr>
    </w:p>
    <w:p w:rsidR="005728DD" w:rsidRDefault="005728DD" w:rsidP="005728DD">
      <w:pPr>
        <w:pStyle w:val="TextoNormal"/>
      </w:pPr>
      <w:r>
        <w:t>b) El segundo defecto en la conducción de las pruebas testificales denuncia que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Esta cuestión recibió también contestación en la sentencia.</w:t>
      </w:r>
    </w:p>
    <w:p w:rsidR="005728DD" w:rsidRDefault="005728DD" w:rsidP="005728DD">
      <w:pPr>
        <w:pStyle w:val="TextoNormal"/>
      </w:pPr>
    </w:p>
    <w:p w:rsidR="005728DD" w:rsidRDefault="005728DD" w:rsidP="005728DD">
      <w:pPr>
        <w:pStyle w:val="TextoNormal"/>
      </w:pPr>
      <w:r>
        <w:t xml:space="preserve">Comienza valorando el Tribunal Supremo la declaración del señor Rufián. Dice así que “la militancia política del señor Rufián es un hecho notorio”; que “durante su declaración como testigo hubo de ser interrumpido por el presidente de la sala al tratar de adentrarse en valoraciones políticas prescindibles para el tratamiento jurídico de los hechos” y que “quiso formular un discurso político en el momento de su declaración como testigo”, razones por las que constituye “un despropósito” estimar que se vulneró el derecho del diputado a no </w:t>
      </w:r>
      <w:r>
        <w:lastRenderedPageBreak/>
        <w:t>declarar sobre sus propias convicciones ideológicas. En cambio, se justifica el impedimento a las defensas de los señores Junqueras y Romeva y de los señores Rull, Turull y Sànchez, de preguntar a la letrada de la administración de justicia del Juzgado de Instrucción núm. 13 de Barcelona acerca de si era “seguidora de páginas web de extrema derecha” en los siguientes términos:</w:t>
      </w:r>
    </w:p>
    <w:p w:rsidR="005728DD" w:rsidRDefault="005728DD" w:rsidP="005728DD">
      <w:pPr>
        <w:pStyle w:val="TextoNormal"/>
      </w:pPr>
    </w:p>
    <w:p w:rsidR="005728DD" w:rsidRDefault="005728DD" w:rsidP="005728DD">
      <w:pPr>
        <w:pStyle w:val="TextoNormal"/>
      </w:pPr>
      <w:r>
        <w:t>“De lo que se trata es de preservar el derecho de todo testigo a no declarar públicamente acerca de su ideología, religión o creencias (art. 16.2 de la CE). Doña Monserrat es una funcionaria de la administración de justicia que fue llamada a juicio para que narrara las circunstancias que presidieron su huida de madrugada, por los tejados de la Consejería de Economía de la Generalitat, con ocasión de la entrada y registro judicialmente acordada el día 20 de septiembre de 2017. Fuera de esos extremos vividos en primera persona, interrogarla, no ya acerca de la autoría de un mensaje o de un tuit, sino sobre su condición de ‘seguidora de páginas web de la extrema derecha’, resulta manifiestamente impertinente”.</w:t>
      </w:r>
    </w:p>
    <w:p w:rsidR="005728DD" w:rsidRDefault="005728DD" w:rsidP="005728DD">
      <w:pPr>
        <w:pStyle w:val="TextoNormal"/>
      </w:pPr>
    </w:p>
    <w:p w:rsidR="005728DD" w:rsidRDefault="005728DD" w:rsidP="005728DD">
      <w:pPr>
        <w:pStyle w:val="TextoNormal"/>
      </w:pPr>
      <w:r>
        <w:t>Según el Tribunal Supremo, “[s]ometer a los más de quinientos testigos inicialmente propuestos por las partes a un test ideológico del que dependería su compromiso con la verdad, además de su anticipada inutilidad, habría supuesto una flagrante vulneración de la prohibición constitucional que proclama el art. 16.2 de la CE”.</w:t>
      </w:r>
    </w:p>
    <w:p w:rsidR="005728DD" w:rsidRDefault="005728DD" w:rsidP="005728DD">
      <w:pPr>
        <w:pStyle w:val="TextoNormal"/>
      </w:pPr>
    </w:p>
    <w:p w:rsidR="005728DD" w:rsidRDefault="005728DD" w:rsidP="005728DD">
      <w:pPr>
        <w:pStyle w:val="TextoNormal"/>
      </w:pPr>
      <w:r>
        <w:t>Se dan las razones por las que, sin embargo, se permitió al fiscal o al resto de las acusaciones preguntar a determinadas personas por su condición de miembro de la Asamblea Nacional Catalana u Òmnium Cultural:</w:t>
      </w:r>
    </w:p>
    <w:p w:rsidR="005728DD" w:rsidRDefault="005728DD" w:rsidP="005728DD">
      <w:pPr>
        <w:pStyle w:val="TextoNormal"/>
      </w:pPr>
    </w:p>
    <w:p w:rsidR="005728DD" w:rsidRDefault="005728DD" w:rsidP="005728DD">
      <w:pPr>
        <w:pStyle w:val="TextoNormal"/>
      </w:pPr>
      <w:r>
        <w:t>“[L]a condición de militante de alguna de esas asociaciones era presentada por las propias defensas como elemento de identificación en las respectivas listas de testigos ofrecidas para su citación por la Sala. Es el caso, por ejemplo, de la defensa del señor Cuixart. Los testigos enumerados en los apartados 3 a 7 de la lista propuesta, son precisamente señalados por su adscripción ideológico-asociativa a esos movimientos sociales. Don Joan Vallvé i Ribera es presentado como vicepresidente de la entidad Òmnium Cultural; don Joan Ignasi Elena García es identificado como ‘portavoz del Pacte Nacional pel Referéndum del que forma parte la entidad Òmnium Cultural’; doña ltziar González Virós, es también presentada como ‘miembro del Pacte Nacional pel Referéndum del que forma parte la entidad Òmnium Cultural’”.</w:t>
      </w:r>
    </w:p>
    <w:p w:rsidR="005728DD" w:rsidRDefault="005728DD" w:rsidP="005728DD">
      <w:pPr>
        <w:pStyle w:val="TextoNormal"/>
      </w:pPr>
    </w:p>
    <w:p w:rsidR="005728DD" w:rsidRDefault="005728DD" w:rsidP="005728DD">
      <w:pPr>
        <w:pStyle w:val="TextoNormal"/>
      </w:pPr>
      <w:r>
        <w:t>Asimismo, los testigos núms. 23 y 24 —doña Silvia Prats Cortés y doña María Luisa Martínez Olivera— fueron descritos en la lista presentada como “voluntarias que ayudaron a mantener el cordón de voluntarios de la ANC el 20 de septiembre de 2017 en la Consejería de Economía”.</w:t>
      </w:r>
    </w:p>
    <w:p w:rsidR="005728DD" w:rsidRDefault="005728DD" w:rsidP="005728DD">
      <w:pPr>
        <w:pStyle w:val="TextoNormal"/>
      </w:pPr>
    </w:p>
    <w:p w:rsidR="005728DD" w:rsidRDefault="005728DD" w:rsidP="005728DD">
      <w:pPr>
        <w:pStyle w:val="TextoNormal"/>
      </w:pPr>
      <w:r>
        <w:t>Tras referir las explicaciones dadas en su declaración por el señor Cuixart sobre la fundación y los fines la entidad Òmnium Cultural, que preside, agrega el órgano de enjuiciamiento, que “es difícil entender que la pregunta de las acusaciones a algunos testigos acerca de si eran socios de Òmnium pueda interpretarse como una injerencia en el perfil político del interrogado”.</w:t>
      </w:r>
    </w:p>
    <w:p w:rsidR="005728DD" w:rsidRDefault="005728DD" w:rsidP="005728DD">
      <w:pPr>
        <w:pStyle w:val="TextoNormal"/>
      </w:pPr>
    </w:p>
    <w:p w:rsidR="005728DD" w:rsidRDefault="005728DD" w:rsidP="005728DD">
      <w:pPr>
        <w:pStyle w:val="TextoNormal"/>
      </w:pPr>
      <w:r>
        <w:t xml:space="preserve">c) Sobre la denunciada mayor permisividad de la presidencia respecto a las valoraciones efectuadas por los testigos de las acusaciones cuando se trataba de policías, la sentencia </w:t>
      </w:r>
      <w:r>
        <w:lastRenderedPageBreak/>
        <w:t>recurrida explica que “un testigo que durante su examen no ofrece hechos, sino valoraciones personales, está dando la espalda a la razón de su llamada al proceso. El testigo no opina, no valora. El testigo narra. Ha de limitar su relato a aquello que vio y percibió por los sentidos. El razonamiento sobre el que la defensa construye el menoscabo del principio de igualdad de armas gira, paradójicamente, sobre aquello que no interesa al órgano de enjuiciamiento. Las valoraciones personales de los testigos no tienen cabida en la descripción de los hechos probados”. No cabe invocar indefensión, cuando “lo que se pretende explicar es absolutamente irrelevante en términos jurídicos”.</w:t>
      </w:r>
    </w:p>
    <w:p w:rsidR="005728DD" w:rsidRDefault="005728DD" w:rsidP="005728DD">
      <w:pPr>
        <w:pStyle w:val="TextoNormal"/>
      </w:pPr>
    </w:p>
    <w:p w:rsidR="005728DD" w:rsidRDefault="005728DD" w:rsidP="005728DD">
      <w:pPr>
        <w:pStyle w:val="TextoNormal"/>
      </w:pPr>
      <w:r>
        <w:t>Lo anterior excusa, según continúa diciendo el Tribunal Supremo, de la necesidad de argumentar acerca de si los ejemplos que ofrece la defensa son o no equiparables, o “si algunas de las frases que selecciona como expresivas de un juicio de valor lo son realmente, o si tienen un contenido fáctico íntimamente ligado a lo que percibieron los testigos por sus sentidos cuando accedieron a los centros de votación o cuando uno de ellos coordinaba algunas de las investigaciones policiales”.</w:t>
      </w:r>
    </w:p>
    <w:p w:rsidR="005728DD" w:rsidRDefault="005728DD" w:rsidP="005728DD">
      <w:pPr>
        <w:pStyle w:val="TextoNormal"/>
      </w:pPr>
    </w:p>
    <w:p w:rsidR="005728DD" w:rsidRDefault="005728DD" w:rsidP="005728DD">
      <w:pPr>
        <w:pStyle w:val="TextoNormal"/>
      </w:pPr>
      <w:r>
        <w:t>Se refiere después a la declaración de la señora Garcés. Reproduce reiteradas alusiones a sus percepciones personales o sentimientos (“teníamos la sensación de una curiosidad compartida […] que entrábamos en una nueva situación política”; “en ningún momento tuve la sensación de inquietud […] o de alarma”; “estupefacción y sorpresa generalizada”; “deshacer la inquietud y el miedo”; y “prohibición incomprensible y triste”, en relación con las resoluciones del Tribunal Constitucional) en respuesta a preguntas que “en ningún caso, fueron declaradas impertinentes, pese a su manifiesta irrelevancia”. Acto seguido explica la interrupción del presidente “en el momento en el que el testimonio llega a un punto en el que la declarante pretende explicar su grado de alucinación sobre lo que aconteció el 1 de octubre (‘yo aluciné’)”, por entender que la declaración no versaba sobre hechos sino sobre valoraciones personales, que no interesan al enjuiciamiento.</w:t>
      </w:r>
    </w:p>
    <w:p w:rsidR="005728DD" w:rsidRDefault="005728DD" w:rsidP="005728DD">
      <w:pPr>
        <w:pStyle w:val="TextoNormal"/>
      </w:pPr>
    </w:p>
    <w:p w:rsidR="005728DD" w:rsidRDefault="005728DD" w:rsidP="005728DD">
      <w:pPr>
        <w:pStyle w:val="TextoNormal"/>
      </w:pPr>
      <w:r>
        <w:t>Concluye este apartado el Tribunal Supremo con la justificación de la expresión “correcto. Mucho mejor”, empleada por la presidencia cuando el letrado puso fin al interrogatorio de la señora Garcés. Y señala que su testimonio fue “manifiestamente prescindible. Nada de lo que dijo, nada de lo que valoró, nada de lo que respondió […] ha tenido influencia en la proclamación de los hechos probados”.</w:t>
      </w:r>
    </w:p>
    <w:p w:rsidR="005728DD" w:rsidRDefault="005728DD" w:rsidP="005728DD">
      <w:pPr>
        <w:pStyle w:val="TextoNormal"/>
      </w:pPr>
    </w:p>
    <w:p w:rsidR="005728DD" w:rsidRDefault="005728DD" w:rsidP="005728DD">
      <w:pPr>
        <w:pStyle w:val="TextoNormal"/>
      </w:pPr>
      <w:r>
        <w:t>d) En relación con el reproche relativo a que a algunos testigos propuestos por la acusación se les permitió consultar notas escritas, lo que le fue impedido a la señora Garcés y al señor Matamala, la sentencia recurrida en amparo, una vez trascrito el art. 437 LECrim (“los testigos declararán de viva voz, sin que les sea permitido leer la declaración ni respuesta alguna que lleven escrita. […] Podrán, sin embargo, consultar algún apunte o memoria que contenga datos difíciles de recordar”), expone la diferencia entre estos casos:</w:t>
      </w:r>
    </w:p>
    <w:p w:rsidR="005728DD" w:rsidRDefault="005728DD" w:rsidP="005728DD">
      <w:pPr>
        <w:pStyle w:val="TextoNormal"/>
      </w:pPr>
    </w:p>
    <w:p w:rsidR="005728DD" w:rsidRDefault="005728DD" w:rsidP="005728DD">
      <w:pPr>
        <w:pStyle w:val="TextoNormal"/>
      </w:pPr>
      <w:r>
        <w:t xml:space="preserve">Don David Pérez, diputado del PSOE en la mesa del Parlament, fue preguntado inicialmente por el fiscal, quien, junto con la abogacía del Estado, había propuesto su declaración, sobre cuestiones referidas al contenido de los apartados d) y e) de los arts. 37 y 11 del Reglamento del Parlament. El fiscal “indagaba acerca del alcance de las facultades jurídicas de la mesa para examinar el contenido de cualquier iniciativa legislativa”. En estas circunstancias, según el Tribunal Supremo, “apoyar las respuestas del testigo con el texto legal sobre el que se está preguntando, no puede ser, en ningún caso, censurable”. Añade que, </w:t>
      </w:r>
      <w:r>
        <w:lastRenderedPageBreak/>
        <w:t>además, el presidente de la sala intervino para recordar “al testigo que puede consultar notas, pero no ofrecer ‘respuestas que estén predefinidas’. Se le invita a que mantenga esas notas, pero se le impone que ‘[…] no haga una lectura microliteral de lo que quiere contestar’”.</w:t>
      </w:r>
    </w:p>
    <w:p w:rsidR="005728DD" w:rsidRDefault="005728DD" w:rsidP="005728DD">
      <w:pPr>
        <w:pStyle w:val="TextoNormal"/>
      </w:pPr>
    </w:p>
    <w:p w:rsidR="005728DD" w:rsidRDefault="005728DD" w:rsidP="005728DD">
      <w:pPr>
        <w:pStyle w:val="TextoNormal"/>
      </w:pPr>
      <w:r>
        <w:t>En el caso de la señora Garcés, según la sentencia, no se trata del empleo de “unas notas que le sirvan para refrescar la memoria respecto de datos de difícil evocación”, sino de que se valió de “un guion en el que se transcribe hasta el tiempo que hacía que ‘[…] no se tomaba un café’ con el señor Cuixart, su estado febril o el grado de alucinación que le produjo la prohibición jurisdiccional del referéndum del 1 de octubre”.</w:t>
      </w:r>
    </w:p>
    <w:p w:rsidR="005728DD" w:rsidRDefault="005728DD" w:rsidP="005728DD">
      <w:pPr>
        <w:pStyle w:val="TextoNormal"/>
      </w:pPr>
    </w:p>
    <w:p w:rsidR="005728DD" w:rsidRDefault="005728DD" w:rsidP="005728DD">
      <w:pPr>
        <w:pStyle w:val="TextoNormal"/>
      </w:pPr>
      <w:r>
        <w:t>e) La censura que la parte recurrente dirige a la reacción del tribunal de enjuiciamiento frente a las manifestaciones de “desmemoria” o “renuencia” de algunos testigos frente a la dispensada a otros, también mereció una respuesta pormenorizada.</w:t>
      </w:r>
    </w:p>
    <w:p w:rsidR="005728DD" w:rsidRDefault="005728DD" w:rsidP="005728DD">
      <w:pPr>
        <w:pStyle w:val="TextoNormal"/>
      </w:pPr>
    </w:p>
    <w:p w:rsidR="005728DD" w:rsidRDefault="005728DD" w:rsidP="005728DD">
      <w:pPr>
        <w:pStyle w:val="TextoNormal"/>
      </w:pPr>
      <w:r>
        <w:t>Una vez sentado que no se indica, por quien protesta, “qué influencia ha podido tener ese hecho en la valoración probatoria”, el Tribunal Supremo señala que la defensa de los señores Rull, Turull y Sànchez no formuló ninguna pregunta a la señora Sáenz de Santamaría, a la que atribuye la desmemoria. Tras ello, se remite al visionado del vídeo “para observar la actitud de la presidencia encaminada a reforzar la claridad de las respuestas a las preguntas formuladas por la defensa del señor Forn (cfr. minuto 13:24)”.</w:t>
      </w:r>
    </w:p>
    <w:p w:rsidR="005728DD" w:rsidRDefault="005728DD" w:rsidP="005728DD">
      <w:pPr>
        <w:pStyle w:val="TextoNormal"/>
      </w:pPr>
    </w:p>
    <w:p w:rsidR="005728DD" w:rsidRDefault="005728DD" w:rsidP="005728DD">
      <w:pPr>
        <w:pStyle w:val="TextoNormal"/>
      </w:pPr>
      <w:r>
        <w:t>En relación con el testimonio de don Ignacio Zoido, se señala que el interrogatorio —en el que intervino la defensa del señor Forn, el Ministerio Fiscal, la abogacía del Estado, el letrado de la acusación popular y las defensas del señor Cuixart, de la señora Borràs y de los señores Turull, Rull y Sànchez— se prolongó durante más de dos horas, la defensa del recurrente no formuló protesta y, “como puede observarse a partir del minuto 2:06:36, la presidencia de la Sala intervino para exigir del señor Zoido mayor concreción, recordando al testigo que la pregunta era muy concreta y se ‘[…] podía contestar con un monosílabo’”.</w:t>
      </w:r>
    </w:p>
    <w:p w:rsidR="005728DD" w:rsidRDefault="005728DD" w:rsidP="005728DD">
      <w:pPr>
        <w:pStyle w:val="TextoNormal"/>
      </w:pPr>
    </w:p>
    <w:p w:rsidR="005728DD" w:rsidRDefault="005728DD" w:rsidP="005728DD">
      <w:pPr>
        <w:pStyle w:val="TextoNormal"/>
      </w:pPr>
      <w:r>
        <w:t xml:space="preserve">Respecto del interrogatorio del señor Rajoy, se explica que este testigo admitió que tuvo contactos políticos con el señor Urkullu, pero no pudo precisar si fueron contactos personales o mediante comunicación telefónica o telemática, lo que justificó el declarante por “la existencia de una pluralidad de personas con las que llegó a contactar con el mismo objetivo, entre ellas, el señor Ortuzar”. En otros puntos de esta declaración, la presidencia exigió al testigo “una respuesta más precisa y detallada”, como por ejemplo, ante “la pregunta acerca de si el declarante se había comunicado con los testigos o había visto el desarrollo del juicio en </w:t>
      </w:r>
      <w:r w:rsidRPr="005728DD">
        <w:rPr>
          <w:i/>
        </w:rPr>
        <w:t>streaming</w:t>
      </w:r>
      <w:r>
        <w:t>”, tras lo que el señor Rajoy “admitió que había seguido el desarrollo de la sesión anterior ‘por la lectura de los periódicos digitales’”.</w:t>
      </w:r>
    </w:p>
    <w:p w:rsidR="005728DD" w:rsidRDefault="005728DD" w:rsidP="005728DD">
      <w:pPr>
        <w:pStyle w:val="TextoNormal"/>
      </w:pPr>
    </w:p>
    <w:p w:rsidR="005728DD" w:rsidRDefault="005728DD" w:rsidP="005728DD">
      <w:pPr>
        <w:pStyle w:val="TextoNormal"/>
      </w:pPr>
      <w:r>
        <w:t xml:space="preserve">Examina a continuación en detalle la testifical de la señora Guix, propuesta por las acusaciones en su calidad de diseñadora de la página web “Pacte pel Referendum”; persona que, según el Tribunal Supremo, por su cualificación profesional, hizo posible técnicamente los contenidos de la web ideada por el Gobierno de la Generalitat. Y así, se dice de ella: “desde el primer momento rechazó dar respuesta a lo que le preguntaba el Ministerio Fiscal con un reiterativo ‘[…] no me acuerdo […] porque ha pasado mucho tiempo’. La siguiente secuencia pregunta-respuesta, es especialmente ilustrativa: fiscal: ‘¿permitía inscribirse como voluntario? señora Guix: ‘pues no lo recuerdo’; fiscal: ‘¿permitía publicidad?’ señora Guix: ‘no lo recuerdo’; fiscal: ‘¿permitía firmar a favor del referéndum?’ señora Guix: ‘no </w:t>
      </w:r>
      <w:r>
        <w:lastRenderedPageBreak/>
        <w:t>lo recuerdo’; fiscal: ‘¿había alguna forma de recopilar información?’ señora Guix: ‘ahora mismo no lo recuerdo’; fiscal: ‘¿la web la diseñó usted?’ señora Guix: ‘la diseñé yo, sí, sí […]’; fiscal: ‘¿permitía hacer donativos para el referéndum?’ señora Guix: ‘no lo recuerdo’; fiscal: ‘¿permitía un registro o una pestaña que contuviera registro de votos?’ señora Guix: ‘no lo recuerdo […] a veces el diseño gráfico es como un pre-proyecto de una casa. Luego, si tiene veinte ventanas o tiene diez… hasta que se realiza no se sabe’; fiscal: ‘¿tampoco recuerda su diseño?’ señora Guix: ‘yo no lo recuerdo’”. En ese momento, el presidente del órgano de enjuiciamiento pidió a la testigo “que tratara de recordar, al menos, los contenidos webs que ella diseñó, al margen de que no coincidieran con lo que luego pudo ser el resultado final la web en la que se publicitó el Pacte pel Referendum”.</w:t>
      </w:r>
    </w:p>
    <w:p w:rsidR="005728DD" w:rsidRDefault="005728DD" w:rsidP="005728DD">
      <w:pPr>
        <w:pStyle w:val="TextoNormal"/>
      </w:pPr>
    </w:p>
    <w:p w:rsidR="005728DD" w:rsidRDefault="005728DD" w:rsidP="005728DD">
      <w:pPr>
        <w:pStyle w:val="TextoNormal"/>
      </w:pPr>
      <w:r>
        <w:t>Los supuestos, según la sentencia impugnada en amparo, no son, pues, comparables.</w:t>
      </w:r>
    </w:p>
    <w:p w:rsidR="005728DD" w:rsidRDefault="005728DD" w:rsidP="005728DD">
      <w:pPr>
        <w:pStyle w:val="TextoNormal"/>
      </w:pPr>
    </w:p>
    <w:p w:rsidR="005728DD" w:rsidRDefault="005728DD" w:rsidP="005728DD">
      <w:pPr>
        <w:pStyle w:val="TextoNormal"/>
      </w:pPr>
      <w:r>
        <w:t>La declaración de don Jaume Mestre —prosigue el Tribunal Supremo—, “responsable de difusión institucional de la Generalitat en la fecha de los hechos, es un continuo ‘no sé nada, no me acuerdo’. Una vez advertido por la presidencia de que el delito de falso testimonio se comete, según precisa el art. 461 del CP, no solo faltando a la verdad, sino también alterándola con inexactitudes y reticencias o silenciando hechos relevantes que fueren conocidos por el testigo, volvió a aferrarse a su desmemoria. Hasta tal punto fue visible su deseo de eludir las preguntas que le eran formuladas, que la defensa del señor Junqueras sugirió la necesidad de que se tuviera en cuenta que algunas de las respuestas podían perjudicarle en un hipotético estatus de imputado por los hechos sobre los que estaba declarando”.</w:t>
      </w:r>
    </w:p>
    <w:p w:rsidR="005728DD" w:rsidRDefault="005728DD" w:rsidP="005728DD">
      <w:pPr>
        <w:pStyle w:val="TextoNormal"/>
      </w:pPr>
    </w:p>
    <w:p w:rsidR="005728DD" w:rsidRDefault="005728DD" w:rsidP="005728DD">
      <w:pPr>
        <w:pStyle w:val="TextoNormal"/>
      </w:pPr>
      <w:r>
        <w:t>Al tiempo del dictado de la sentencia impugnada en amparo, tal y como la misma indica, la Sala tenía pendiente decidir sobre la deducción de testimonio reclamada en relación con este testigo por la posible comisión de un delito contra la administración de justicia, lo que se haría en resolución aparte. Por providencia de 25 de junio de 2020 se acordó deducir el mencionado testimonio.</w:t>
      </w:r>
    </w:p>
    <w:p w:rsidR="005728DD" w:rsidRDefault="005728DD" w:rsidP="005728DD">
      <w:pPr>
        <w:pStyle w:val="TextoNormal"/>
      </w:pPr>
    </w:p>
    <w:p w:rsidR="005728DD" w:rsidRDefault="005728DD" w:rsidP="005728DD">
      <w:pPr>
        <w:pStyle w:val="TextoNormal"/>
      </w:pPr>
      <w:r>
        <w:t>f) El siguiente episodio que se tacha consiste en el impedimento de preguntar a un inspector de policía respecto del “aparente infarto” sufrido por un ciudadano cuando se disponía a votar, pese a que esa circunstancia se mencionaba en el escrito de acusación y, previamente, se había permitido al fiscal interrogar al respecto.</w:t>
      </w:r>
    </w:p>
    <w:p w:rsidR="005728DD" w:rsidRDefault="005728DD" w:rsidP="005728DD">
      <w:pPr>
        <w:pStyle w:val="TextoNormal"/>
      </w:pPr>
    </w:p>
    <w:p w:rsidR="005728DD" w:rsidRDefault="005728DD" w:rsidP="005728DD">
      <w:pPr>
        <w:pStyle w:val="TextoNormal"/>
      </w:pPr>
      <w:r>
        <w:t>Según dice la sentencia, la intervención de la presidencia obedeció a la formulación por el letrado de la defensa, después de la intervención del fiscal, de “preguntas encaminadas a indagar posibles responsabilidades penales del declarante”. Y agrega que la cita de este acontecimiento en el escrito de acusación del ministerio público “está relacionada con la descripción del número de heridos que se produjo el día 1 de octubre”, como se desprende de su atenta lectura, y “no para indagar las responsabilidades individuales que fueran exigibles por uno u otro incidente”, lo que estaba dirimiéndose en diligencias judiciales seguidas en Barcelona.</w:t>
      </w:r>
    </w:p>
    <w:p w:rsidR="005728DD" w:rsidRDefault="005728DD" w:rsidP="005728DD">
      <w:pPr>
        <w:pStyle w:val="TextoNormal"/>
      </w:pPr>
    </w:p>
    <w:p w:rsidR="005728DD" w:rsidRDefault="005728DD" w:rsidP="005728DD">
      <w:pPr>
        <w:pStyle w:val="TextoNormal"/>
      </w:pPr>
      <w:r>
        <w:t>Concluye la Sala el razonamiento atinente a esta protesta señalando que “el principio de igualdad de armas […] no se ve resentido cuando las armas que han de hacerse valer en un determinado proceso se trasladan a otro, cuyo objeto no es dilucidar las circunstancias de un incidente sobre las que, de forma insistente, se pretende interrogar”.</w:t>
      </w:r>
    </w:p>
    <w:p w:rsidR="005728DD" w:rsidRDefault="005728DD" w:rsidP="005728DD">
      <w:pPr>
        <w:pStyle w:val="TextoNormal"/>
      </w:pPr>
    </w:p>
    <w:p w:rsidR="005728DD" w:rsidRDefault="005728DD" w:rsidP="005728DD">
      <w:pPr>
        <w:pStyle w:val="TextoNormal"/>
      </w:pPr>
      <w:r>
        <w:lastRenderedPageBreak/>
        <w:t>g) Finalmente, el reparo que dirigió el presidente de la sala al letrado del recurrente, en la sesión de 27 de abril de 2019, cuando este utilizó la expresión “ley de ritos” para referirse a la Ley de enjuiciamiento criminal, también cuenta con una explicación en la sentencia de la Sala de lo Penal del Tribunal Supremo.</w:t>
      </w:r>
    </w:p>
    <w:p w:rsidR="005728DD" w:rsidRDefault="005728DD" w:rsidP="005728DD">
      <w:pPr>
        <w:pStyle w:val="TextoNormal"/>
      </w:pPr>
    </w:p>
    <w:p w:rsidR="005728DD" w:rsidRDefault="005728DD" w:rsidP="005728DD">
      <w:pPr>
        <w:pStyle w:val="TextoNormal"/>
      </w:pPr>
      <w:r>
        <w:t xml:space="preserve">Tras restar importancia al “reproche terminológico” de que se trata a fin de fundar la infracción del principio de igualdad de armas, subraya que la razón de este “no fue otra que el deseo de hacer compatible [la] permanente reivindicación de derechos fundamentales [por la defensa] con una visión del proceso que no estuviera anclada en la rancia concepción del proceso penal como una sucesión ordenada de ritos. El proceso penal es algo más que una mera ordenación formal de trámites. El proceso penal no se entiende si no se contempla como el conjunto de derechos y garantías que limitan el poder del Estado en el ejercicio del </w:t>
      </w:r>
      <w:r w:rsidRPr="005728DD">
        <w:rPr>
          <w:i/>
        </w:rPr>
        <w:t>ius puniendi</w:t>
      </w:r>
      <w:r>
        <w:t>. El distanciamiento tan marcado entre la legítima reivindicación de derechos y la identificación de la Ley de enjuiciamiento criminal como ‘ley rituaria’, es lo que llevó al presidente a sugerir un cambio terminológico”. Al tiempo, pone al otro lado de la balanza el hecho de que “la ‘presidencia calificó como […] un abogado serio’ a quien hoy se queja y llegó a referirse a un letrado como ‘extraordinario procesalista’”, como pudieron comprobar los miles de personas que siguieron el desarrollo del juicio.</w:t>
      </w:r>
    </w:p>
    <w:p w:rsidR="005728DD" w:rsidRDefault="005728DD" w:rsidP="005728DD">
      <w:pPr>
        <w:pStyle w:val="TextoNormal"/>
      </w:pPr>
    </w:p>
    <w:p w:rsidR="005728DD" w:rsidRDefault="005728DD" w:rsidP="005728DD">
      <w:pPr>
        <w:pStyle w:val="TextoNormal"/>
      </w:pPr>
      <w:r>
        <w:t>A juicio de este tribunal, ninguno de estos acontecimientos, considerados aisladamente, tiene por tanto la entidad suficiente como para deducir una quiebra de la neutralidad judicial. Tomados conjuntamente y en el contexto del juicio, la tacha se desvanece por completo.</w:t>
      </w:r>
    </w:p>
    <w:p w:rsidR="005728DD" w:rsidRDefault="005728DD" w:rsidP="005728DD">
      <w:pPr>
        <w:pStyle w:val="TextoNormal"/>
      </w:pPr>
    </w:p>
    <w:p w:rsidR="005728DD" w:rsidRDefault="005728DD" w:rsidP="005728DD">
      <w:pPr>
        <w:pStyle w:val="TextoNormal"/>
      </w:pPr>
      <w:r>
        <w:t>No corresponde valorar a esta jurisdicción constitucional el acierto o no de las anteriores consideraciones, como venimos repitiendo. Nuestro enjuiciamiento, mucho más limitado, se circunscribe a constatar que las quejas de la parte recurrente han recibido por parte del tribunal encargado del enjuiciamiento —insistimos en que, conforme a nuestra Constitución, se trata del órgano jurisdiccional superior en todos los órdenes, salvo lo dispuesto en materia de garantías constitucionales (art. 123.1 CE)—, una respuesta explícita, completa, razonada y razonable. La motivación expuesta, que cubre la totalidad de las protestas relativas a incidencias producidas en el debate y la dirección de este por el presidente, cumple así con el canon constitucional de razonabilidad que resulta aplicable, y elimina la sospecha de arbitrariedad y de trato desfavorable que suscita la parte recurrente. Todas y cada una de las decisiones adoptadas por el presidente en la dirección del juicio, que han merecido reproche por parte de las defensas, tienen una explicación razonada, siquiera no sea del agrado del demandante de amparo.</w:t>
      </w:r>
    </w:p>
    <w:p w:rsidR="005728DD" w:rsidRDefault="005728DD" w:rsidP="005728DD">
      <w:pPr>
        <w:pStyle w:val="TextoNormal"/>
      </w:pPr>
    </w:p>
    <w:p w:rsidR="005728DD" w:rsidRDefault="005728DD" w:rsidP="005728DD">
      <w:pPr>
        <w:pStyle w:val="TextoNormal"/>
      </w:pPr>
      <w:r>
        <w:t>C) Finalmente, las irregularidades denunciadas en la demanda de amparo no han causado a la parte indefensión material.</w:t>
      </w:r>
    </w:p>
    <w:p w:rsidR="005728DD" w:rsidRDefault="005728DD" w:rsidP="005728DD">
      <w:pPr>
        <w:pStyle w:val="TextoNormal"/>
      </w:pPr>
    </w:p>
    <w:p w:rsidR="005728DD" w:rsidRDefault="005728DD" w:rsidP="005728DD">
      <w:pPr>
        <w:pStyle w:val="TextoNormal"/>
      </w:pPr>
      <w:r>
        <w:t xml:space="preserve">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en los términos en que ha sido planteada la queja en la demanda, de lo que también se ha dado cuenta anteriormente. La parte recurrente no liga ninguna de las concretas vicisitudes en las que funda este motivo con algún hecho que se estimó probado o con la preterición por la sentencia de algún otro que, a su juicio, debiera haber integrado el relato histórico. Esto es lo que hubiera sido constitucionalmente relevante, y </w:t>
      </w:r>
      <w:r>
        <w:lastRenderedPageBreak/>
        <w:t>justamente es lo que no consta: la mínima incidencia de las supuestas infracciones procesales en el resultado probatorio y, en definitiva, en las razones que llevaron a la condena de quien ahora recaba el amparo de esta jurisdicción constitucional.</w:t>
      </w:r>
    </w:p>
    <w:p w:rsidR="005728DD" w:rsidRDefault="005728DD" w:rsidP="005728DD">
      <w:pPr>
        <w:pStyle w:val="TextoNormal"/>
      </w:pPr>
    </w:p>
    <w:p w:rsidR="005728DD" w:rsidRDefault="005728DD" w:rsidP="005728DD">
      <w:pPr>
        <w:pStyle w:val="TextoNormal"/>
      </w:pPr>
      <w:r>
        <w:t>En definitiva, este tribunal entiende que la igualdad de las partes en el proceso ha sido respetada y no se han menoscabado sus facultades de participación en la práctica de la prueba testifical.</w:t>
      </w:r>
    </w:p>
    <w:p w:rsidR="005728DD" w:rsidRDefault="005728DD" w:rsidP="005728DD">
      <w:pPr>
        <w:pStyle w:val="TextoNormal"/>
      </w:pPr>
    </w:p>
    <w:p w:rsidR="005728DD" w:rsidRDefault="005728DD" w:rsidP="005728DD">
      <w:pPr>
        <w:pStyle w:val="TextoNormal"/>
      </w:pPr>
      <w:r>
        <w:t>Procede, en consecuencia, desestimar también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Derecho a la prueba</w:t>
      </w:r>
      <w:r>
        <w:t>.</w:t>
      </w:r>
    </w:p>
    <w:p w:rsidR="005728DD" w:rsidRDefault="005728DD" w:rsidP="005728DD">
      <w:pPr>
        <w:pStyle w:val="TextoNormal"/>
      </w:pPr>
    </w:p>
    <w:p w:rsidR="005728DD" w:rsidRDefault="005728DD" w:rsidP="005728DD">
      <w:pPr>
        <w:pStyle w:val="TextoNormal"/>
      </w:pPr>
      <w:r>
        <w:t>La demanda de amparo comprende, bajo la rúbrica de derecho de defensa, varias quejas que abarcan aspectos relativos a la admisión y práctica de la prueba. Se trata del acceso a las actuaciones de la instrucción llevada a cabo por el Juzgado de Instrucción núm. 13 de Barcelona, de la imposibilidad de contrastar las declaraciones testificales con la prueba documental videográfica y de la denegación de determinadas pruebas que, propuestas en tiempo y forma, la parte considera pertinentes. De todo ello se ha dejado detallado resumen en los antecedentes de esta resolución.</w:t>
      </w:r>
    </w:p>
    <w:p w:rsidR="005728DD" w:rsidRDefault="005728DD" w:rsidP="005728DD">
      <w:pPr>
        <w:pStyle w:val="TextoNormal"/>
      </w:pPr>
    </w:p>
    <w:p w:rsidR="005728DD" w:rsidRDefault="005728DD" w:rsidP="005728DD">
      <w:pPr>
        <w:pStyle w:val="TextoNormal"/>
      </w:pPr>
      <w:r>
        <w:t>La sentencia recurrida en amparo se refiere a estas materias en los apartados 8 y 16.1 y 10 del fundamento de Derecho A), respectivamente.</w:t>
      </w:r>
    </w:p>
    <w:p w:rsidR="005728DD" w:rsidRDefault="005728DD" w:rsidP="005728DD">
      <w:pPr>
        <w:pStyle w:val="TextoNormal"/>
      </w:pPr>
    </w:p>
    <w:p w:rsidR="005728DD" w:rsidRDefault="005728DD" w:rsidP="005728DD">
      <w:pPr>
        <w:pStyle w:val="TextoNormal"/>
      </w:pPr>
      <w:r>
        <w:t>En el examen de este motivo del recurso de amparo comenzaremos por la exposición de la doctrina constitucional aplicable, para después considerar separadamente cada uno de los tres puntos cuestionados; análisis en el que valoraremos las posiciones de las partes y la respuesta dada por Tribunal Supremo.</w:t>
      </w:r>
    </w:p>
    <w:p w:rsidR="005728DD" w:rsidRDefault="005728DD" w:rsidP="005728DD">
      <w:pPr>
        <w:pStyle w:val="TextoNormal"/>
      </w:pPr>
    </w:p>
    <w:p w:rsidR="005728DD" w:rsidRDefault="005728DD" w:rsidP="005728DD">
      <w:pPr>
        <w:pStyle w:val="TextoNormal"/>
      </w:pPr>
      <w:r>
        <w:t xml:space="preserve">7.1. </w:t>
      </w:r>
      <w:r w:rsidRPr="005728DD">
        <w:rPr>
          <w:i/>
        </w:rPr>
        <w:t>Doctrina constitucional</w:t>
      </w:r>
      <w:r>
        <w:t>.</w:t>
      </w:r>
    </w:p>
    <w:p w:rsidR="005728DD" w:rsidRDefault="005728DD" w:rsidP="005728DD">
      <w:pPr>
        <w:pStyle w:val="TextoNormal"/>
      </w:pPr>
    </w:p>
    <w:p w:rsidR="005728DD" w:rsidRDefault="005728DD" w:rsidP="005728DD">
      <w:pPr>
        <w:pStyle w:val="TextoNormal"/>
      </w:pPr>
      <w:r>
        <w:t>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SSTC 19/2001, de 29 de enero, FJ 4; 133/2003, de 30 de junio, FJ 3, y 212/2013, de 16 de diciembre, FJ 4).</w:t>
      </w:r>
    </w:p>
    <w:p w:rsidR="005728DD" w:rsidRDefault="005728DD" w:rsidP="005728DD">
      <w:pPr>
        <w:pStyle w:val="TextoNormal"/>
      </w:pPr>
    </w:p>
    <w:p w:rsidR="005728DD" w:rsidRDefault="005728DD" w:rsidP="005728DD">
      <w:pPr>
        <w:pStyle w:val="TextoNormal"/>
      </w:pPr>
      <w:r>
        <w:t>La doctrina de este tribunal sobre el derecho a la utilización de los medios de prueba pertinentes (art. 24.2 CE), puede sintetizarse, de acuerdo con la STC 165/2001, de 16 de julio, en los siguientes puntos:</w:t>
      </w:r>
    </w:p>
    <w:p w:rsidR="005728DD" w:rsidRDefault="005728DD" w:rsidP="005728DD">
      <w:pPr>
        <w:pStyle w:val="TextoNormal"/>
      </w:pPr>
    </w:p>
    <w:p w:rsidR="005728DD" w:rsidRDefault="005728DD" w:rsidP="005728DD">
      <w:pPr>
        <w:pStyle w:val="TextoNormal"/>
      </w:pPr>
      <w: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w:t>
      </w:r>
      <w:r>
        <w:lastRenderedPageBreak/>
        <w:t xml:space="preserve">septiembre; 1/1996, de 15 de enero; 116/1997, de 23 de junio; 190/1997, de 10 de noviembre; 198/1997, de 24 de noviembre; 205/1998, de 26 de octubre; 232/1998, de 1 de diciembre; 96/2000, de 10 de abril, FJ 2), entendida la pertinencia como la relación entre los hechos probados y el </w:t>
      </w:r>
      <w:r w:rsidRPr="005728DD">
        <w:rPr>
          <w:i/>
        </w:rPr>
        <w:t>thema decidendi</w:t>
      </w:r>
      <w:r>
        <w:t xml:space="preserve"> (STC 26/2000, de 31 de enero, FJ 2).</w:t>
      </w:r>
    </w:p>
    <w:p w:rsidR="005728DD" w:rsidRDefault="005728DD" w:rsidP="005728DD">
      <w:pPr>
        <w:pStyle w:val="TextoNormal"/>
      </w:pPr>
    </w:p>
    <w:p w:rsidR="005728DD" w:rsidRDefault="005728DD" w:rsidP="005728DD">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005728DD" w:rsidRDefault="005728DD" w:rsidP="005728DD">
      <w:pPr>
        <w:pStyle w:val="TextoNormal"/>
      </w:pPr>
    </w:p>
    <w:p w:rsidR="005728DD" w:rsidRDefault="005728DD" w:rsidP="005728DD">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5728DD" w:rsidRDefault="005728DD" w:rsidP="005728DD">
      <w:pPr>
        <w:pStyle w:val="TextoNormal"/>
      </w:pPr>
    </w:p>
    <w:p w:rsidR="005728DD" w:rsidRDefault="005728DD" w:rsidP="005728DD">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005728DD" w:rsidRDefault="005728DD" w:rsidP="005728DD">
      <w:pPr>
        <w:pStyle w:val="TextoNormal"/>
      </w:pPr>
    </w:p>
    <w:p w:rsidR="005728DD" w:rsidRDefault="005728DD" w:rsidP="005728DD">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w:t>
      </w:r>
      <w:r w:rsidRPr="005728DD">
        <w:rPr>
          <w:i/>
        </w:rPr>
        <w:t>a quo</w:t>
      </w:r>
      <w:r>
        <w:t xml:space="preserve"> podría haberle sido favorable, de haberse aceptado y practicado la prueba objeto de controversia (SSTC 116/1983, de 7 de diciembre, FJ 3; 147/1987, de 25 de septiembre, FJ 2; 50/1988, de 2 de marzo, FJ 3; 357/1993, de 29 </w:t>
      </w:r>
      <w:r>
        <w:lastRenderedPageBreak/>
        <w:t>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005728DD" w:rsidRDefault="005728DD" w:rsidP="005728DD">
      <w:pPr>
        <w:pStyle w:val="TextoNormal"/>
      </w:pPr>
    </w:p>
    <w:p w:rsidR="005728DD" w:rsidRDefault="005728DD" w:rsidP="005728DD">
      <w:pPr>
        <w:pStyle w:val="TextoNormal"/>
      </w:pPr>
      <w:r>
        <w:t>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005728DD" w:rsidRDefault="005728DD" w:rsidP="005728DD">
      <w:pPr>
        <w:pStyle w:val="TextoNormal"/>
      </w:pPr>
    </w:p>
    <w:p w:rsidR="005728DD" w:rsidRDefault="005728DD" w:rsidP="005728DD">
      <w:pPr>
        <w:pStyle w:val="TextoNormal"/>
      </w:pPr>
      <w:r>
        <w:t>7.2</w:t>
      </w:r>
      <w:r w:rsidRPr="005728DD">
        <w:rPr>
          <w:i/>
        </w:rPr>
        <w:t>. Resolución de la que</w:t>
      </w:r>
      <w:r>
        <w:t>ja.</w:t>
      </w:r>
    </w:p>
    <w:p w:rsidR="005728DD" w:rsidRDefault="005728DD" w:rsidP="005728DD">
      <w:pPr>
        <w:pStyle w:val="TextoNormal"/>
      </w:pPr>
    </w:p>
    <w:p w:rsidR="005728DD" w:rsidRDefault="005728DD" w:rsidP="005728DD">
      <w:pPr>
        <w:pStyle w:val="TextoNormal"/>
      </w:pPr>
      <w:r>
        <w:t>A fin de aplicar al caso la doctrina constitucional expuesta, procedemos a efectuar un examen por separado de los puntos controvertidos. Son los siguientes:</w:t>
      </w:r>
    </w:p>
    <w:p w:rsidR="005728DD" w:rsidRDefault="005728DD" w:rsidP="005728DD">
      <w:pPr>
        <w:pStyle w:val="TextoNormal"/>
      </w:pPr>
    </w:p>
    <w:p w:rsidR="005728DD" w:rsidRDefault="005728DD" w:rsidP="005728DD">
      <w:pPr>
        <w:pStyle w:val="TextoNormal"/>
      </w:pPr>
      <w:r>
        <w:t>7.2.1. Acceso a las actuaciones e incorporación de testimonio íntegro de las diligencias previas núm. 118-2017 seguidas en el Juzgado de Instrucción núm. 13 de Barcelona.</w:t>
      </w:r>
    </w:p>
    <w:p w:rsidR="005728DD" w:rsidRDefault="005728DD" w:rsidP="005728DD">
      <w:pPr>
        <w:pStyle w:val="TextoNormal"/>
      </w:pPr>
    </w:p>
    <w:p w:rsidR="005728DD" w:rsidRDefault="005728DD" w:rsidP="005728DD">
      <w:pPr>
        <w:pStyle w:val="TextoNormal"/>
      </w:pPr>
      <w:r>
        <w:t>Según la parte recurrente, la inmensa mayoría de las actuaciones policiales de las que dimanó buena parte del material probatorio que, posteriormente, fue aportado al presente procedimiento por el fiscal, se llevaron a cabo con ocasión de las citadas diligencias previas, en las que el demandante no fue parte. Si bien reiteró su solicitud de incorporación íntegra de las actuaciones de lo que considera una “instrucción paralela”, recibió una respuesta negativa de la Sala. A su juicio, la procedencia de esta prueba radica en que habría permitido a las partes y al tribunal analizar todas estas actuaciones, integradas por informes técnicos, documentos y atestados, en cuya elaboración no habría intervenido el recurrente al no ser parte en dicho proceso, a fin de interrogar a procesados y testigos sobre todo ello, en su mayoría desconocido por el demandante de amparo. Agrega que se ha producido una anómala situación al impedirle intervenir en esta “instrucción paralela”, pues al no haber podido conocer y participar en actuaciones instructoras que pudieran beneficiarle, difícilmente pudo “proponer la práctica de medios de prueba, favorables a sus tesis, dimanantes de diligencias practicadas en instrucción”.</w:t>
      </w:r>
    </w:p>
    <w:p w:rsidR="005728DD" w:rsidRDefault="005728DD" w:rsidP="005728DD">
      <w:pPr>
        <w:pStyle w:val="TextoNormal"/>
      </w:pPr>
    </w:p>
    <w:p w:rsidR="005728DD" w:rsidRDefault="005728DD" w:rsidP="005728DD">
      <w:pPr>
        <w:pStyle w:val="TextoNormal"/>
      </w:pPr>
      <w:r>
        <w:t xml:space="preserve">El abogado del Estado considera que esta queja debe desestimarse dado que el bloque probatorio sobre el que se ha construido la apreciación del tribunal se ha generado, de forma única y exclusiva, en el plenario. Sobre la llamada “instrucción paralela”, trae a colación el criterio seguido por el instructor, en el auto de 15 de febrero de 2018, y por la Sala, en el auto de 27 de diciembre de 2018, para rechazar por exorbitante el criterio de incluir, dentro de la causa especial, a todos aquellos que prestaron su colaboración a la hora de ejecutar el plan estratégico ideado e impulsado por los representantes políticos y sociales, y niega que se haya impedido a las defensas conocer con tiempo suficiente los elementos incorporados </w:t>
      </w:r>
      <w:r>
        <w:lastRenderedPageBreak/>
        <w:t>de otras causas durante la instrucción. Finalmente afirma que existe un derecho de acceso a todos los documentos que van a ser valorados, pero no un derecho de acceso en calidad de “imputado preventivo” a otras causas, a fin de esclarecer si alguna actuación obrante en las mismas incide en el derecho de defensa.</w:t>
      </w:r>
    </w:p>
    <w:p w:rsidR="005728DD" w:rsidRDefault="005728DD" w:rsidP="005728DD">
      <w:pPr>
        <w:pStyle w:val="TextoNormal"/>
      </w:pPr>
    </w:p>
    <w:p w:rsidR="005728DD" w:rsidRDefault="005728DD" w:rsidP="005728DD">
      <w:pPr>
        <w:pStyle w:val="TextoNormal"/>
      </w:pPr>
      <w:r>
        <w:t>El partido político Vox se opone al motivo de amparo negando que la instrucción realmente se llevara a cabo en las citadas diligencias previas núm. 118-2017 del Juzgado de Instrucción núm. 13 de Barcelona, y asumiendo, de acuerdo con la sala sentenciadora, que en la causa solo se tuvieron en cuenta las pruebas practicadas en el juicio oral.</w:t>
      </w:r>
    </w:p>
    <w:p w:rsidR="005728DD" w:rsidRDefault="005728DD" w:rsidP="005728DD">
      <w:pPr>
        <w:pStyle w:val="TextoNormal"/>
      </w:pPr>
    </w:p>
    <w:p w:rsidR="005728DD" w:rsidRDefault="005728DD" w:rsidP="005728DD">
      <w:pPr>
        <w:pStyle w:val="TextoNormal"/>
      </w:pPr>
      <w:r>
        <w:t>El ministerio público entiende que debe rechazarse la existencia de una “instrucción paralela”, pues ese procedimiento tiene un objeto propio y distinto del proceso del que trae causa el recurso de amparo; y, en todo caso, que tal afirmación carece de soporte fáctico y probatorio. A su juicio, no se puede “aceptar la descalificación que realiza, frente a la razón dada por el Tribunal Supremo, de que solo valorará la prueba practicada en el juicio oral, lo que no puede ser de otro modo, art. 741 LECrim”.</w:t>
      </w:r>
    </w:p>
    <w:p w:rsidR="005728DD" w:rsidRDefault="005728DD" w:rsidP="005728DD">
      <w:pPr>
        <w:pStyle w:val="TextoNormal"/>
      </w:pPr>
    </w:p>
    <w:p w:rsidR="005728DD" w:rsidRDefault="005728DD" w:rsidP="005728DD">
      <w:pPr>
        <w:pStyle w:val="TextoNormal"/>
      </w:pPr>
      <w:r>
        <w:t>La respuesta de la sentencia impugnada a la protesta de que se trata está contenida en el apartado 8 del fundamento de Derecho A). Tras un texto introductorio cuya reproducción omitimos, por ser sustancialmente coincidente con el contenido de la queja que figura en la argumentación esgrimida en este recurso de amparo, el Tribunal Supremo comienza por refutar el punto de partida del planteamiento de la parte recurrente. Razona lo que sigue:</w:t>
      </w:r>
    </w:p>
    <w:p w:rsidR="005728DD" w:rsidRDefault="005728DD" w:rsidP="005728DD">
      <w:pPr>
        <w:pStyle w:val="TextoNormal"/>
      </w:pPr>
    </w:p>
    <w:p w:rsidR="005728DD" w:rsidRDefault="005728DD" w:rsidP="005728DD">
      <w:pPr>
        <w:pStyle w:val="TextoNormal"/>
      </w:pPr>
      <w:r>
        <w:t xml:space="preserve">«Parte de un equívoco. 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w:t>
      </w:r>
      <w:r w:rsidRPr="005728DD">
        <w:rPr>
          <w:i/>
        </w:rPr>
        <w:t>ad cautelam</w:t>
      </w:r>
      <w:r>
        <w:t xml:space="preserve"> por si algo de lo que pueda haber allí, pudiera servir aquí.</w:t>
      </w:r>
    </w:p>
    <w:p w:rsidR="005728DD" w:rsidRDefault="005728DD" w:rsidP="005728DD">
      <w:pPr>
        <w:pStyle w:val="TextoNormal"/>
      </w:pPr>
    </w:p>
    <w:p w:rsidR="005728DD" w:rsidRDefault="005728DD" w:rsidP="005728DD">
      <w:pPr>
        <w:pStyle w:val="TextoNormal"/>
      </w:pPr>
      <w:r>
        <w:t>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005728DD" w:rsidRDefault="005728DD" w:rsidP="005728DD">
      <w:pPr>
        <w:pStyle w:val="TextoNormal"/>
      </w:pPr>
    </w:p>
    <w:p w:rsidR="005728DD" w:rsidRDefault="005728DD" w:rsidP="005728DD">
      <w:pPr>
        <w:pStyle w:val="TextoNormal"/>
      </w:pPr>
      <w:r>
        <w:t>[…],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005728DD" w:rsidRDefault="005728DD" w:rsidP="005728DD">
      <w:pPr>
        <w:pStyle w:val="TextoNormal"/>
      </w:pPr>
    </w:p>
    <w:p w:rsidR="005728DD" w:rsidRDefault="005728DD" w:rsidP="005728DD">
      <w:pPr>
        <w:pStyle w:val="TextoNormal"/>
      </w:pPr>
      <w:r>
        <w:t xml:space="preserve">[…] Se olvida, además, que ninguno de los documentos o informes que el fiscal o las demás acusaciones han podido señalar para su aportación probatoria, ha irrumpido en la presente causa sin posibilidad de contradicción para las defensas. El bloque probatorio sobre </w:t>
      </w:r>
      <w:r>
        <w:lastRenderedPageBreak/>
        <w:t>el que se ha construido la apreciación de esta Sala se ha generado, de forma única y exclusiva, en el plenario. Nada de lo que aquí se razona para respaldar el juicio de autoría ha sido ajeno a la contradicción de las partes […].</w:t>
      </w:r>
    </w:p>
    <w:p w:rsidR="005728DD" w:rsidRDefault="005728DD" w:rsidP="005728DD">
      <w:pPr>
        <w:pStyle w:val="TextoNormal"/>
      </w:pPr>
    </w:p>
    <w:p w:rsidR="005728DD" w:rsidRDefault="005728DD" w:rsidP="005728DD">
      <w:pPr>
        <w:pStyle w:val="TextoNormal"/>
      </w:pPr>
      <w:r>
        <w:t>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 […] La declaración de impertinencia también alcanza, por las mismas razones, a la prueba documental propuesta en el apartado 3, consistente en que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005728DD" w:rsidRDefault="005728DD" w:rsidP="005728DD">
      <w:pPr>
        <w:pStyle w:val="TextoNormal"/>
      </w:pPr>
    </w:p>
    <w:p w:rsidR="005728DD" w:rsidRDefault="005728DD" w:rsidP="005728DD">
      <w:pPr>
        <w:pStyle w:val="TextoNormal"/>
      </w:pPr>
      <w:r>
        <w:t>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005728DD" w:rsidRDefault="005728DD" w:rsidP="005728DD">
      <w:pPr>
        <w:pStyle w:val="TextoNormal"/>
      </w:pPr>
    </w:p>
    <w:p w:rsidR="005728DD" w:rsidRDefault="005728DD" w:rsidP="005728DD">
      <w:pPr>
        <w:pStyle w:val="TextoNormal"/>
      </w:pPr>
      <w:r>
        <w:t>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005728DD" w:rsidRDefault="005728DD" w:rsidP="005728DD">
      <w:pPr>
        <w:pStyle w:val="TextoNormal"/>
      </w:pPr>
    </w:p>
    <w:p w:rsidR="005728DD" w:rsidRDefault="005728DD" w:rsidP="005728DD">
      <w:pPr>
        <w:pStyle w:val="TextoNormal"/>
      </w:pPr>
      <w:r>
        <w:t xml:space="preserve">En el fundamento de Derecho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w:t>
      </w:r>
      <w:r>
        <w:lastRenderedPageBreak/>
        <w:t>admite la reclamación preventiva e indiscriminada de testimonio de todas las actuaciones seguidas ante otros órganos jurisdiccionales.</w:t>
      </w:r>
    </w:p>
    <w:p w:rsidR="005728DD" w:rsidRDefault="005728DD" w:rsidP="005728DD">
      <w:pPr>
        <w:pStyle w:val="TextoNormal"/>
      </w:pPr>
    </w:p>
    <w:p w:rsidR="005728DD" w:rsidRDefault="005728DD" w:rsidP="005728DD">
      <w:pPr>
        <w:pStyle w:val="TextoNormal"/>
      </w:pPr>
      <w:r>
        <w:t>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005728DD" w:rsidRDefault="005728DD" w:rsidP="005728DD">
      <w:pPr>
        <w:pStyle w:val="TextoNormal"/>
      </w:pPr>
    </w:p>
    <w:p w:rsidR="005728DD" w:rsidRDefault="005728DD" w:rsidP="005728DD">
      <w:pPr>
        <w:pStyle w:val="TextoNormal"/>
      </w:pPr>
      <w:r>
        <w:t>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005728DD" w:rsidRDefault="005728DD" w:rsidP="005728DD">
      <w:pPr>
        <w:pStyle w:val="TextoNormal"/>
      </w:pPr>
    </w:p>
    <w:p w:rsidR="005728DD" w:rsidRDefault="005728DD" w:rsidP="005728DD">
      <w:pPr>
        <w:pStyle w:val="TextoNormal"/>
      </w:pPr>
      <w:r>
        <w:t xml:space="preserve">Frente a estas respuestas dadas por la Sala de lo Penal del Tribunal Supremo, la argumentación contenida en la demanda, que ha quedado reseñada más arriba, no contiene crítica alguna, hasta el punto de que ni siquiera toma en consideración la contestación judicial trascrita ni, por consiguiente, desarrolla discurso alguno tendente a refutarla. Su posición, según hemos dicho, consiste, básicamente, en: (i) mantener la premisa de que en las diligencias previas seguidas por el Juzgado de Instrucción núm. 13 de Barcelona figuran gran parte de las actuaciones policiales que posteriormente fueron aportadas como prueba al plenario; (ii) lamentar que, puesto que no fue parte en ese procedimiento, no tuvo conocimiento de ellas; (iii) y afirmar que la incorporación del testimonio íntegro de tales diligencias habría permitido a las partes y al tribunal analizar la totalidad de las actuaciones e interrogar a procesados y testigos sobre todo ello. A lo largo de su argumentación no se justifica la realidad de la “instrucción paralela”, cuya existencia afirma de modo apodíctico y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 Tampoco se razona, más allá de referencias genéricas, sobre el concreto objeto de las actuaciones preprocesales y procesales documentadas que no se incorporaron como consecuencia de la denegación de lo pretendido, y su pertinencia por su relación con el </w:t>
      </w:r>
      <w:r w:rsidRPr="005728DD">
        <w:rPr>
          <w:i/>
        </w:rPr>
        <w:t>thema decidendi</w:t>
      </w:r>
      <w:r>
        <w:t>. No nos dice el recurrente siquiera, qué hecho pretendió probar con la prueba que propuso, y que fue inadmitida.</w:t>
      </w:r>
    </w:p>
    <w:p w:rsidR="005728DD" w:rsidRDefault="005728DD" w:rsidP="005728DD">
      <w:pPr>
        <w:pStyle w:val="TextoNormal"/>
      </w:pPr>
    </w:p>
    <w:p w:rsidR="005728DD" w:rsidRDefault="005728DD" w:rsidP="005728DD">
      <w:pPr>
        <w:pStyle w:val="TextoNormal"/>
      </w:pPr>
      <w:r>
        <w:lastRenderedPageBreak/>
        <w:t>En definitiva, no se da en la demanda razón alguna que nos conduzca a calificar la respuesta dada por el Tribunal Supremo como arbitraria o irrazonable, ni que determine que la ausencia de la incorporación del testimonio íntegro que se solicitó hubiera sido decisiva en términos de defensa. Esto nos lleva, en aplicación de la doctrina constitucional expuesta, a desestimar el alegato de vulneración del derecho a la prueba.</w:t>
      </w:r>
    </w:p>
    <w:p w:rsidR="005728DD" w:rsidRDefault="005728DD" w:rsidP="005728DD">
      <w:pPr>
        <w:pStyle w:val="TextoNormal"/>
      </w:pPr>
    </w:p>
    <w:p w:rsidR="005728DD" w:rsidRDefault="005728DD" w:rsidP="005728DD">
      <w:pPr>
        <w:pStyle w:val="TextoNormal"/>
      </w:pPr>
      <w:r>
        <w:t>7.2.2. Imposibilidad de contrastar las declaraciones testificales con la prueba documental videográfica.</w:t>
      </w:r>
    </w:p>
    <w:p w:rsidR="005728DD" w:rsidRDefault="005728DD" w:rsidP="005728DD">
      <w:pPr>
        <w:pStyle w:val="TextoNormal"/>
      </w:pPr>
    </w:p>
    <w:p w:rsidR="005728DD" w:rsidRDefault="005728DD" w:rsidP="005728DD">
      <w:pPr>
        <w:pStyle w:val="TextoNormal"/>
      </w:pPr>
      <w:r>
        <w:t>La parte recurrente considera que, tras haber permitido ese contraste con algunos testigos iniciales (señores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Tacha esta decisión de contradictoria, y añade que la confrontación entre lo declarado por un testigo y la prueba videográfica está prevista en el art. 729.3 LECrim, y constituye una práctica absolutamente habitual en los tribunales españoles. A su juicio, de haberse permitido su práctica, se habría evitado que “algunos testigos mintieran a la sala o exageraran ostensiblemente en su declaración” y se habría posibilitado que “los testigos pudieran rectificar el sentido de sus declaraciones mendaces o exageradas”.</w:t>
      </w:r>
    </w:p>
    <w:p w:rsidR="005728DD" w:rsidRDefault="005728DD" w:rsidP="005728DD">
      <w:pPr>
        <w:pStyle w:val="TextoNormal"/>
      </w:pPr>
    </w:p>
    <w:p w:rsidR="005728DD" w:rsidRDefault="005728DD" w:rsidP="005728DD">
      <w:pPr>
        <w:pStyle w:val="TextoNormal"/>
      </w:pPr>
      <w:r>
        <w:t>Para el abogado del Estado el órgano judicial ha guardado un estricto respeto a la garantía de contradicción para que el acusado tenga la posibilidad de interrogar a quien declara en su contra y, de este modo, controvertir su credibilidad conforme a lo establecido en los arts. 6.3 d) y 6.1 CEDH. Por su parte, el partido político Vox señala que no se alcanza a comprender en qué aspecto podría haber mejorado la valoración de la prueba por parte de la sala, si se hubieran practicado la prueba videográfica y las testificales al unísono.</w:t>
      </w:r>
    </w:p>
    <w:p w:rsidR="005728DD" w:rsidRDefault="005728DD" w:rsidP="005728DD">
      <w:pPr>
        <w:pStyle w:val="TextoNormal"/>
      </w:pPr>
    </w:p>
    <w:p w:rsidR="005728DD" w:rsidRDefault="005728DD" w:rsidP="005728DD">
      <w:pPr>
        <w:pStyle w:val="TextoNormal"/>
      </w:pPr>
      <w:r>
        <w:t>El ministerio público considera que el recurrente tuvo la oportunidad de discutir el testimonio de los testigos a través de su interrogatorio o contrainterrogatorio, y no argumenta en qué medida el hecho de que no se mostraran a tales testigos los vídeos ha afectado a su derecho de defensa y al resultado final del proceso. Para el fiscal, nada impidió al recurrente, en el momento de la fase de informes (art. 734 LECrim), hacer las observaciones oportunas sobre las declaraciones de los testigos en relación con la prueba videográfica practicada, poniendo de manifiesto las contradicciones en las que hubieran incurrido y cuestionando de este modo su credibilidad.</w:t>
      </w:r>
    </w:p>
    <w:p w:rsidR="005728DD" w:rsidRDefault="005728DD" w:rsidP="005728DD">
      <w:pPr>
        <w:pStyle w:val="TextoNormal"/>
      </w:pPr>
    </w:p>
    <w:p w:rsidR="005728DD" w:rsidRDefault="005728DD" w:rsidP="005728DD">
      <w:pPr>
        <w:pStyle w:val="TextoNormal"/>
      </w:pPr>
      <w:r>
        <w:t>La sentencia impugnada se refiere a este punto en el apartado 16.1 del fundamento de Derecho A). Tras una amplia referencia al significado del principio de contradicción con cita de jurisprudencia constitucional y del Tribunal Europeo de Derechos Humanos, el Tribunal Supremo argumenta lo que sigue:</w:t>
      </w:r>
    </w:p>
    <w:p w:rsidR="005728DD" w:rsidRDefault="005728DD" w:rsidP="005728DD">
      <w:pPr>
        <w:pStyle w:val="TextoNormal"/>
      </w:pPr>
    </w:p>
    <w:p w:rsidR="005728DD" w:rsidRDefault="005728DD" w:rsidP="005728DD">
      <w:pPr>
        <w:pStyle w:val="TextoNormal"/>
      </w:pPr>
      <w:r>
        <w:t>“El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005728DD" w:rsidRDefault="005728DD" w:rsidP="005728DD">
      <w:pPr>
        <w:pStyle w:val="TextoNormal"/>
      </w:pPr>
    </w:p>
    <w:p w:rsidR="005728DD" w:rsidRDefault="005728DD" w:rsidP="005728DD">
      <w:pPr>
        <w:pStyle w:val="TextoNormal"/>
      </w:pPr>
      <w:r>
        <w:t>Y no es ese el contenido material del principio de contradicción.</w:t>
      </w:r>
    </w:p>
    <w:p w:rsidR="005728DD" w:rsidRDefault="005728DD" w:rsidP="005728DD">
      <w:pPr>
        <w:pStyle w:val="TextoNormal"/>
      </w:pPr>
    </w:p>
    <w:p w:rsidR="005728DD" w:rsidRDefault="005728DD" w:rsidP="005728DD">
      <w:pPr>
        <w:pStyle w:val="TextoNormal"/>
      </w:pPr>
      <w:r>
        <w:t>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005728DD" w:rsidRDefault="005728DD" w:rsidP="005728DD">
      <w:pPr>
        <w:pStyle w:val="TextoNormal"/>
      </w:pPr>
    </w:p>
    <w:p w:rsidR="005728DD" w:rsidRDefault="005728DD" w:rsidP="005728DD">
      <w:pPr>
        <w:pStyle w:val="TextoNormal"/>
      </w:pPr>
      <w:r>
        <w:t>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005728DD" w:rsidRDefault="005728DD" w:rsidP="005728DD">
      <w:pPr>
        <w:pStyle w:val="TextoNormal"/>
      </w:pPr>
    </w:p>
    <w:p w:rsidR="005728DD" w:rsidRDefault="005728DD" w:rsidP="005728DD">
      <w:pPr>
        <w:pStyle w:val="TextoNormal"/>
      </w:pPr>
      <w:r>
        <w:t>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005728DD" w:rsidRDefault="005728DD" w:rsidP="005728DD">
      <w:pPr>
        <w:pStyle w:val="TextoNormal"/>
      </w:pPr>
    </w:p>
    <w:p w:rsidR="005728DD" w:rsidRDefault="005728DD" w:rsidP="005728DD">
      <w:pPr>
        <w:pStyle w:val="TextoNormal"/>
      </w:pPr>
      <w:r>
        <w:t>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 ‘[…] es que lo estoy viendo yo’, llegó a afirmar, convirtiendo lo que tenía que haber sido el examen de un testigo en un insólito careo entre el ciudadano que declara y el letrado que lo interroga.</w:t>
      </w:r>
    </w:p>
    <w:p w:rsidR="005728DD" w:rsidRDefault="005728DD" w:rsidP="005728DD">
      <w:pPr>
        <w:pStyle w:val="TextoNormal"/>
      </w:pPr>
    </w:p>
    <w:p w:rsidR="005728DD" w:rsidRDefault="005728DD" w:rsidP="005728DD">
      <w:pPr>
        <w:pStyle w:val="TextoNormal"/>
      </w:pPr>
      <w:r>
        <w:t>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005728DD" w:rsidRDefault="005728DD" w:rsidP="005728DD">
      <w:pPr>
        <w:pStyle w:val="TextoNormal"/>
      </w:pPr>
    </w:p>
    <w:p w:rsidR="005728DD" w:rsidRDefault="005728DD" w:rsidP="005728DD">
      <w:pPr>
        <w:pStyle w:val="TextoNormal"/>
      </w:pPr>
      <w:r>
        <w:t>Todas las fuentes de prueba han sido objeto del examen cruzado de acusaciones y defensas.</w:t>
      </w:r>
    </w:p>
    <w:p w:rsidR="005728DD" w:rsidRDefault="005728DD" w:rsidP="005728DD">
      <w:pPr>
        <w:pStyle w:val="TextoNormal"/>
      </w:pPr>
    </w:p>
    <w:p w:rsidR="005728DD" w:rsidRDefault="005728DD" w:rsidP="005728DD">
      <w:pPr>
        <w:pStyle w:val="TextoNormal"/>
      </w:pPr>
      <w:r>
        <w:t>[…]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005728DD" w:rsidRDefault="005728DD" w:rsidP="005728DD">
      <w:pPr>
        <w:pStyle w:val="TextoNormal"/>
      </w:pPr>
    </w:p>
    <w:p w:rsidR="005728DD" w:rsidRDefault="005728DD" w:rsidP="005728DD">
      <w:pPr>
        <w:pStyle w:val="TextoNormal"/>
      </w:pPr>
      <w:r>
        <w:t>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005728DD" w:rsidRDefault="005728DD" w:rsidP="005728DD">
      <w:pPr>
        <w:pStyle w:val="TextoNormal"/>
      </w:pPr>
    </w:p>
    <w:p w:rsidR="005728DD" w:rsidRDefault="005728DD" w:rsidP="005728DD">
      <w:pPr>
        <w:pStyle w:val="TextoNormal"/>
      </w:pPr>
      <w:r>
        <w:t>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005728DD" w:rsidRDefault="005728DD" w:rsidP="005728DD">
      <w:pPr>
        <w:pStyle w:val="TextoNormal"/>
      </w:pPr>
    </w:p>
    <w:p w:rsidR="005728DD" w:rsidRDefault="005728DD" w:rsidP="005728DD">
      <w:pPr>
        <w:pStyle w:val="TextoNormal"/>
      </w:pPr>
      <w: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w:t>
      </w:r>
      <w:r>
        <w:lastRenderedPageBreak/>
        <w:t>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005728DD" w:rsidRDefault="005728DD" w:rsidP="005728DD">
      <w:pPr>
        <w:pStyle w:val="TextoNormal"/>
      </w:pPr>
    </w:p>
    <w:p w:rsidR="005728DD" w:rsidRDefault="005728DD" w:rsidP="005728DD">
      <w:pPr>
        <w:pStyle w:val="TextoNormal"/>
      </w:pPr>
      <w:r>
        <w:t>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005728DD" w:rsidRDefault="005728DD" w:rsidP="005728DD">
      <w:pPr>
        <w:pStyle w:val="TextoNormal"/>
      </w:pPr>
    </w:p>
    <w:p w:rsidR="005728DD" w:rsidRDefault="005728DD" w:rsidP="005728DD">
      <w:pPr>
        <w:pStyle w:val="TextoNormal"/>
      </w:pPr>
      <w:r>
        <w:t>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005728DD" w:rsidRDefault="005728DD" w:rsidP="005728DD">
      <w:pPr>
        <w:pStyle w:val="TextoNormal"/>
      </w:pPr>
    </w:p>
    <w:p w:rsidR="005728DD" w:rsidRDefault="005728DD" w:rsidP="005728DD">
      <w:pPr>
        <w:pStyle w:val="TextoNormal"/>
      </w:pPr>
      <w:r>
        <w:t>Como puede observarse, la queja, que tiene que ver con el modo de practicar el interrogatorio de testigos y no con la denegación de una determinada prueba, toma también un punto de partida desviado de la realidad.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005728DD" w:rsidRDefault="005728DD" w:rsidP="005728DD">
      <w:pPr>
        <w:pStyle w:val="TextoNormal"/>
      </w:pPr>
    </w:p>
    <w:p w:rsidR="005728DD" w:rsidRDefault="005728DD" w:rsidP="005728DD">
      <w:pPr>
        <w:pStyle w:val="TextoNormal"/>
      </w:pPr>
      <w:r>
        <w:t>Al igual que en el caso anterior, tampoco en este se desarrolla una argumentación crítica frente a las respuestas dadas en la sentencia. Se insiste en que la decisión de impedir la exhibición de vídeos a los testigos se adoptó de modo sobrevenido, a consecuencia de un cambio de criterio de la sala, porque a los primeros testigos sí se mostraron vídeos para contrastar la veracidad de sus manifestaciones con las imágenes, y también se les permitió mostrar documentos “en soporte papel”. Y se reitera la razón de la utilidad de la práctica solicitada, que, a juicio de la parte recurrente, reside en la posibilidad de conminar al testigo, “a la vista de las imágenes, a rectificar el sentido de su declaración mendaz o exagerada”. Tales extremos cuentan, como hemos visto, con una contestación razonada del Tribunal Supremo que considera, principalmente, las siguientes razones:</w:t>
      </w:r>
    </w:p>
    <w:p w:rsidR="005728DD" w:rsidRDefault="005728DD" w:rsidP="005728DD">
      <w:pPr>
        <w:pStyle w:val="TextoNormal"/>
      </w:pPr>
    </w:p>
    <w:p w:rsidR="005728DD" w:rsidRDefault="005728DD" w:rsidP="005728DD">
      <w:pPr>
        <w:pStyle w:val="TextoNormal"/>
      </w:pPr>
      <w:r>
        <w:t>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práctica de los interrogatorios y de la totalidad de la prueba en el juicio oral (art. 741 LE</w:t>
      </w:r>
      <w:r>
        <w:lastRenderedPageBreak/>
        <w:t>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005728DD" w:rsidRDefault="005728DD" w:rsidP="005728DD">
      <w:pPr>
        <w:pStyle w:val="TextoNormal"/>
      </w:pPr>
    </w:p>
    <w:p w:rsidR="005728DD" w:rsidRDefault="005728DD" w:rsidP="005728DD">
      <w:pPr>
        <w:pStyle w:val="TextoNormal"/>
      </w:pPr>
      <w:r>
        <w:t>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005728DD" w:rsidRDefault="005728DD" w:rsidP="005728DD">
      <w:pPr>
        <w:pStyle w:val="TextoNormal"/>
      </w:pPr>
    </w:p>
    <w:p w:rsidR="005728DD" w:rsidRDefault="005728DD" w:rsidP="005728DD">
      <w:pPr>
        <w:pStyle w:val="TextoNormal"/>
      </w:pPr>
      <w:r>
        <w:t>c) Ninguna declaración testifical fue determinante. El Tribunal Supremo, que adorna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sino, como se expresa en la sentencia recurrida, el relato fáctico deriva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005728DD" w:rsidRDefault="005728DD" w:rsidP="005728DD">
      <w:pPr>
        <w:pStyle w:val="TextoNormal"/>
      </w:pPr>
    </w:p>
    <w:p w:rsidR="005728DD" w:rsidRDefault="005728DD" w:rsidP="005728DD">
      <w:pPr>
        <w:pStyle w:val="TextoNormal"/>
      </w:pPr>
      <w:r>
        <w:t>Este tribunal entiende, a la vista de cuanto se ha expresado, que la motivación empleada por el Tribunal Supremo para denegar lo pretendido es suficiente y no puede calificarse de arbitraria o irrazonable. En todo caso, no se aprecia que el modo en que finalmente se practicó la prueba testifical en el juicio causara indefensión alguna a la parte recurrente.</w:t>
      </w:r>
    </w:p>
    <w:p w:rsidR="005728DD" w:rsidRDefault="005728DD" w:rsidP="005728DD">
      <w:pPr>
        <w:pStyle w:val="TextoNormal"/>
      </w:pPr>
    </w:p>
    <w:p w:rsidR="005728DD" w:rsidRDefault="005728DD" w:rsidP="005728DD">
      <w:pPr>
        <w:pStyle w:val="TextoNormal"/>
      </w:pPr>
      <w:r>
        <w:t>7.2.3. La denegación de algunas pruebas propuestas por la defensa.</w:t>
      </w:r>
    </w:p>
    <w:p w:rsidR="005728DD" w:rsidRDefault="005728DD" w:rsidP="005728DD">
      <w:pPr>
        <w:pStyle w:val="TextoNormal"/>
      </w:pPr>
    </w:p>
    <w:p w:rsidR="005728DD" w:rsidRDefault="005728DD" w:rsidP="005728DD">
      <w:pPr>
        <w:pStyle w:val="TextoNormal"/>
      </w:pPr>
      <w:r>
        <w:t xml:space="preserve">De acuerdo con la demanda de amparo, la queja se concreta en la negativa a librar oficio con el fin identificar a los titulares de dos cuentas de la red social Twitter, y la denegación de las testificales del rey de España don Felipe VI o, en su defecto, del jefe de la Casa de Su </w:t>
      </w:r>
      <w:r>
        <w:lastRenderedPageBreak/>
        <w:t>Majestad el Rey, don Jaime Alfonsín Alfonso, y del expresidente de la Generalitat de Cataluña don Carles Puigdemont.</w:t>
      </w:r>
    </w:p>
    <w:p w:rsidR="005728DD" w:rsidRDefault="005728DD" w:rsidP="005728DD">
      <w:pPr>
        <w:pStyle w:val="TextoNormal"/>
      </w:pPr>
    </w:p>
    <w:p w:rsidR="005728DD" w:rsidRDefault="005728DD" w:rsidP="005728DD">
      <w:pPr>
        <w:pStyle w:val="TextoNormal"/>
      </w:pPr>
      <w:r>
        <w:t>De todo ello, y de las razones por las que la parte recurrente considera pertinentes y útiles dichas pruebas, así como de las posiciones de las demás partes, se ha dejado constancia detallada en el apartado de antecedentes de esta sentencia, al que nos remitimos.</w:t>
      </w:r>
    </w:p>
    <w:p w:rsidR="005728DD" w:rsidRDefault="005728DD" w:rsidP="005728DD">
      <w:pPr>
        <w:pStyle w:val="TextoNormal"/>
      </w:pPr>
    </w:p>
    <w:p w:rsidR="005728DD" w:rsidRDefault="005728DD" w:rsidP="005728DD">
      <w:pPr>
        <w:pStyle w:val="TextoNormal"/>
      </w:pPr>
      <w:r>
        <w:t>También aquí el Tribunal Supremo ha expresado a lo largo de la causa las razones por las que acordó no admitir dichas pruebas.</w:t>
      </w:r>
    </w:p>
    <w:p w:rsidR="005728DD" w:rsidRDefault="005728DD" w:rsidP="005728DD">
      <w:pPr>
        <w:pStyle w:val="TextoNormal"/>
      </w:pPr>
    </w:p>
    <w:p w:rsidR="005728DD" w:rsidRDefault="005728DD" w:rsidP="005728DD">
      <w:pPr>
        <w:pStyle w:val="TextoNormal"/>
      </w:pPr>
      <w:r>
        <w:t>a) El apartado 10.2 d) del fundamento de Derecho A) de la sentencia recurrida se refiere a la solitud de las defensas para que “se requiriera a la Unidad Central de Delitos Informáticos de los Mossos a fin de que facilitara […] los datos del titular de la cuenta de la red social Facebook ‘Montse del Toro’ y de la red social Twitter ‘@maquiavelo1984’ y ‘@JDanielBaena’”. Dice al respecto lo siguiente:</w:t>
      </w:r>
    </w:p>
    <w:p w:rsidR="005728DD" w:rsidRDefault="005728DD" w:rsidP="005728DD">
      <w:pPr>
        <w:pStyle w:val="TextoNormal"/>
      </w:pPr>
    </w:p>
    <w:p w:rsidR="005728DD" w:rsidRDefault="005728DD" w:rsidP="005728DD">
      <w:pPr>
        <w:pStyle w:val="TextoNormal"/>
      </w:pPr>
      <w:r>
        <w:t>“Se pretendía así demostrar la falta de imparcialidad de algunos de los funcionarios que intervinieron en la fase de investigación de la presente causa. El perfil ideológico que se deriva de sus tuits y de los comentarios expresados en Facebook sería suficiente para concluir la animadversión de sus titulares respecto de los procesados.</w:t>
      </w:r>
    </w:p>
    <w:p w:rsidR="005728DD" w:rsidRDefault="005728DD" w:rsidP="005728DD">
      <w:pPr>
        <w:pStyle w:val="TextoNormal"/>
      </w:pPr>
    </w:p>
    <w:p w:rsidR="005728DD" w:rsidRDefault="005728DD" w:rsidP="005728DD">
      <w:pPr>
        <w:pStyle w:val="TextoNormal"/>
      </w:pPr>
      <w:r>
        <w:t>En el auto de 1 de febrero de 2019 ya justificábamos la exclusión de esa propuesta probatoria al entender que la investigación de comentarios vertidos en redes sociales para definir el perfil ideológico de un mando de las fuerzas y cuerpos de seguridad del Estado o de una letrada de la administración de justicia, desborda los límites objetivos y subjetivos del proceso, tal y como estos han sido delimitados. También es ajeno al objeto de esta causa indagar mediante qué procedimiento han obtenido las defensas la información que permite asociar que unos datos y u</w:t>
      </w:r>
      <w:r w:rsidRPr="005728DD">
        <w:rPr>
          <w:i/>
        </w:rPr>
        <w:t>n nickna</w:t>
      </w:r>
      <w:r>
        <w:t>me están vinculados a una determinada persona.</w:t>
      </w:r>
    </w:p>
    <w:p w:rsidR="005728DD" w:rsidRDefault="005728DD" w:rsidP="005728DD">
      <w:pPr>
        <w:pStyle w:val="TextoNormal"/>
      </w:pPr>
    </w:p>
    <w:p w:rsidR="005728DD" w:rsidRDefault="005728DD" w:rsidP="005728DD">
      <w:pPr>
        <w:pStyle w:val="TextoNormal"/>
      </w:pPr>
      <w:r>
        <w:t>Sea como fuere, dos razones descartan cualquier clase de indefensión. De un lado, conviene recordar que don Daniel Baena y doña Monserrat del Toro acudieron a declarar como testigos y fueron interrogados sobre esos extremos. De otra parte, nada de lo que se vertió en esas redes sociales ha servido para integrar la apreciación probatoria de esta Sala”.</w:t>
      </w:r>
    </w:p>
    <w:p w:rsidR="005728DD" w:rsidRDefault="005728DD" w:rsidP="005728DD">
      <w:pPr>
        <w:pStyle w:val="TextoNormal"/>
      </w:pPr>
    </w:p>
    <w:p w:rsidR="005728DD" w:rsidRDefault="005728DD" w:rsidP="005728DD">
      <w:pPr>
        <w:pStyle w:val="TextoNormal"/>
      </w:pPr>
      <w:r>
        <w:t>Previamente, en el auto de 1 de febrero de 2019 que resolvió sobre la proposición de prueba, la sala de enjuiciamiento, en respuesta a solicitud similar efectuada por otra de las defensas, declaró lo siguiente:</w:t>
      </w:r>
    </w:p>
    <w:p w:rsidR="005728DD" w:rsidRDefault="005728DD" w:rsidP="005728DD">
      <w:pPr>
        <w:pStyle w:val="TextoNormal"/>
      </w:pPr>
    </w:p>
    <w:p w:rsidR="005728DD" w:rsidRDefault="005728DD" w:rsidP="005728DD">
      <w:pPr>
        <w:pStyle w:val="TextoNormal"/>
      </w:pPr>
      <w:r>
        <w:t>“No es objeto de la presente causa enjuiciar lo que la defensa denomina ‘indebida actuación’ de un teniente coronel de la Guardia Civil. Además, un previo filtro telemático acerca de los planteamientos ideológicos de los responsables y miembros de las fuerzas y cuerpos de seguridad —estatales y autonómicos— no puede operar como presupuesto de validez de los actos de investigación que, por propia iniciativa o por orden judicial, lleven a cabo. Todo ello, claro es, sin perjuicio de la facultad que asiste a todo ofendido por esos comentarios a ejercer las acciones legales que procedan ante el órgano jurisdiccional competente”.</w:t>
      </w:r>
    </w:p>
    <w:p w:rsidR="005728DD" w:rsidRDefault="005728DD" w:rsidP="005728DD">
      <w:pPr>
        <w:pStyle w:val="TextoNormal"/>
      </w:pPr>
    </w:p>
    <w:p w:rsidR="005728DD" w:rsidRDefault="005728DD" w:rsidP="005728DD">
      <w:pPr>
        <w:pStyle w:val="TextoNormal"/>
      </w:pPr>
      <w:r>
        <w:t>b) A las testificales indicadas se refieren los apartados 10.3 a) y b) del fundamento de Derecho A) de la sentencia de 14 de octubre de 2019.</w:t>
      </w:r>
    </w:p>
    <w:p w:rsidR="005728DD" w:rsidRDefault="005728DD" w:rsidP="005728DD">
      <w:pPr>
        <w:pStyle w:val="TextoNormal"/>
      </w:pPr>
    </w:p>
    <w:p w:rsidR="005728DD" w:rsidRDefault="005728DD" w:rsidP="005728DD">
      <w:pPr>
        <w:pStyle w:val="TextoNormal"/>
      </w:pPr>
      <w:r>
        <w:t>(i) En relación con la testifical de “Su Majestad el Rey y, con carácter alternativo, para el caso en que el monarca no aceptara declarar y se acogiera a la exención legal, el jefe de la Casa Real don Jaime Alfonsín”, argumenta el Tribunal Supremo:</w:t>
      </w:r>
    </w:p>
    <w:p w:rsidR="005728DD" w:rsidRDefault="005728DD" w:rsidP="005728DD">
      <w:pPr>
        <w:pStyle w:val="TextoNormal"/>
      </w:pPr>
    </w:p>
    <w:p w:rsidR="005728DD" w:rsidRDefault="005728DD" w:rsidP="005728DD">
      <w:pPr>
        <w:pStyle w:val="TextoNormal"/>
      </w:pPr>
      <w:r>
        <w:t>“El art. 411 de la LECrim excluye al rey del deber de declarar. Y la propuesta de un testigo por sustitución, formulada solo para el caso en que opere la exención prevista legalmente para el testigo principal, no conoce cobertura legal en nuestro sistema. Todo ello, con independencia de que la pretendida justificación de esa propuesta, basada en la necesidad de ‘[…] conocer el papel de la Casa Real en los hechos enjuiciados’</w:t>
      </w:r>
      <w:r w:rsidRPr="005728DD">
        <w:rPr>
          <w:i/>
        </w:rPr>
        <w:t xml:space="preserve"> (s</w:t>
      </w:r>
      <w:r>
        <w:t>ic), es manifiestamente impertinente”.</w:t>
      </w:r>
    </w:p>
    <w:p w:rsidR="005728DD" w:rsidRDefault="005728DD" w:rsidP="005728DD">
      <w:pPr>
        <w:pStyle w:val="TextoNormal"/>
      </w:pPr>
    </w:p>
    <w:p w:rsidR="005728DD" w:rsidRDefault="005728DD" w:rsidP="005728DD">
      <w:pPr>
        <w:pStyle w:val="TextoNormal"/>
      </w:pPr>
      <w:r>
        <w:t>Este tribunal debe aclarar, en relación con esta prueba testifical propuesta por la defensa, que la razón para su rechazo por la Sala de lo Penal del Tribunal Supremo no fue una errónea interpretación del art. 411 LECrim, en lo que insiste la parte recurrente cuando afirma que dicho precepto no prohíbe la declaración del rey. La causa de su inadmisión fue su impertinencia; calificación que no puede reputarse irrazonable o arbitraria. El recurrente se refiere genéricamente al “relevante papel […] [atribuido] al jefe del Estado en los hechos que nos ocupan” y, en particular, al “discurso emitido por Su Majestad el Rey” en fecha 3 de octubre de 2017. Entendemos, sin embargo, que a la vista del relato de hechos probados, no resulta evidente la pertinencia y utilidad de la testifical propuesta para abundar en unos hechos que carecen de relevancia para el enjuiciamiento penal —así lo estimó el tribunal sentenciador que no incluyó ninguna referencia en el relato histórico— y que, además, por su notoriedad, no precisan de prueba alguna.</w:t>
      </w:r>
    </w:p>
    <w:p w:rsidR="005728DD" w:rsidRDefault="005728DD" w:rsidP="005728DD">
      <w:pPr>
        <w:pStyle w:val="TextoNormal"/>
      </w:pPr>
    </w:p>
    <w:p w:rsidR="005728DD" w:rsidRDefault="005728DD" w:rsidP="005728DD">
      <w:pPr>
        <w:pStyle w:val="TextoNormal"/>
      </w:pPr>
      <w:r>
        <w:t>ii) Respecto del señor Puigdemont, la Sala de lo Penal del Tribunal Supremo razona:</w:t>
      </w:r>
    </w:p>
    <w:p w:rsidR="005728DD" w:rsidRDefault="005728DD" w:rsidP="005728DD">
      <w:pPr>
        <w:pStyle w:val="TextoNormal"/>
      </w:pPr>
    </w:p>
    <w:p w:rsidR="005728DD" w:rsidRDefault="005728DD" w:rsidP="005728DD">
      <w:pPr>
        <w:pStyle w:val="TextoNormal"/>
      </w:pPr>
      <w:r>
        <w:t>“La propuesta como testigo de quien, en la misma causa, ha sido procesado como autor de un delito de rebelión y otro de malversación, resulta extravagante. La LECrim no avala 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005728DD" w:rsidRDefault="005728DD" w:rsidP="005728DD">
      <w:pPr>
        <w:pStyle w:val="TextoNormal"/>
      </w:pPr>
    </w:p>
    <w:p w:rsidR="005728DD" w:rsidRDefault="005728DD" w:rsidP="005728DD">
      <w:pPr>
        <w:pStyle w:val="TextoNormal"/>
      </w:pPr>
      <w:r>
        <w:t>En el auto previo, de 1 de febrero de 2019, se rechazó ya esta prueba testifical por cuanto “la condición de parte pasiva del proceso, declarada en rebeldía y todavía no enjuiciada, es manifiestamente incompatible con el deber de declarar y la obligación de decir verdad que asume todo testigo” (razonamiento jurídico 3.3).</w:t>
      </w:r>
    </w:p>
    <w:p w:rsidR="005728DD" w:rsidRDefault="005728DD" w:rsidP="005728DD">
      <w:pPr>
        <w:pStyle w:val="TextoNormal"/>
      </w:pPr>
    </w:p>
    <w:p w:rsidR="005728DD" w:rsidRDefault="005728DD" w:rsidP="005728DD">
      <w:pPr>
        <w:pStyle w:val="TextoNormal"/>
      </w:pPr>
      <w:r>
        <w:lastRenderedPageBreak/>
        <w:t>Sobre este punto, ratificamos la posición expresada por la sala juzgadora. El interrogatorio del señor Puigdemont en calidad de testigo resulta incompatible con su posición procesal, hasta el punto de que la práctica de esta prueba pugnaría con las garantías del art. 24.2 CE.</w:t>
      </w:r>
    </w:p>
    <w:p w:rsidR="005728DD" w:rsidRDefault="005728DD" w:rsidP="005728DD">
      <w:pPr>
        <w:pStyle w:val="TextoNormal"/>
      </w:pPr>
    </w:p>
    <w:p w:rsidR="005728DD" w:rsidRDefault="005728DD" w:rsidP="005728DD">
      <w:pPr>
        <w:pStyle w:val="TextoNormal"/>
      </w:pPr>
      <w:r>
        <w:t>A la vista de todo ello, concluimos que el órgano de enjuiciamiento ha dado una respuesta expresa, razonable y suficiente para fundar su decisión de inadmitir las mencionadas pruebas propuestas por la defensa del ahora recurrente, cumpliendo así con el canon constitucionalmente exigible.</w:t>
      </w:r>
    </w:p>
    <w:p w:rsidR="005728DD" w:rsidRDefault="005728DD" w:rsidP="005728DD">
      <w:pPr>
        <w:pStyle w:val="TextoNormal"/>
      </w:pPr>
    </w:p>
    <w:p w:rsidR="005728DD" w:rsidRDefault="005728DD" w:rsidP="005728DD">
      <w:pPr>
        <w:pStyle w:val="TextoNormal"/>
      </w:pPr>
      <w:r>
        <w:t>7.2.4. Inexistencia de indefensión.</w:t>
      </w:r>
    </w:p>
    <w:p w:rsidR="005728DD" w:rsidRDefault="005728DD" w:rsidP="005728DD">
      <w:pPr>
        <w:pStyle w:val="TextoNormal"/>
      </w:pPr>
    </w:p>
    <w:p w:rsidR="005728DD" w:rsidRDefault="005728DD" w:rsidP="005728DD">
      <w:pPr>
        <w:pStyle w:val="TextoNormal"/>
      </w:pPr>
      <w:r>
        <w:t>A lo largo de este mismo fundamento jurídico se ha venido apuntando la misma idea. Este tribunal considera necesario insistir en que el recurrente no ha justificado que las decisiones judiciales frente a las que dirige su recurso de amparo le hayan causado efectiva indefensión. Esta razón sería suficiente para rechazar la queja.</w:t>
      </w:r>
    </w:p>
    <w:p w:rsidR="005728DD" w:rsidRDefault="005728DD" w:rsidP="005728DD">
      <w:pPr>
        <w:pStyle w:val="TextoNormal"/>
      </w:pPr>
    </w:p>
    <w:p w:rsidR="005728DD" w:rsidRDefault="005728DD" w:rsidP="005728DD">
      <w:pPr>
        <w:pStyle w:val="TextoNormal"/>
      </w:pPr>
      <w:r>
        <w:t>La parte recurrente no razona en su demanda la relación entre los hechos que se quisieron y no se pudieron probar y las pruebas inadmitidas, ni refiere episodio alguno del relato fáctico contenido en la sentencia condenatoria que tales pruebas, de haber sido adecuadamente practicadas, hubieran conducido a refutar. No expresa tampoco ningún argumento que nos lleve a considerar que la resolución final del proceso judicial podría haberle sido favorable de haberse admitido y practicado las pruebas interesadas, de modo que el fallo pudo haber sido otro, lo que también requiere este tribunal para otorgar el amparo a quien invoca la vulneración del derecho a utilizar los medios pertinentes para la defensa (art. 24.2 CE).</w:t>
      </w:r>
    </w:p>
    <w:p w:rsidR="005728DD" w:rsidRDefault="005728DD" w:rsidP="005728DD">
      <w:pPr>
        <w:pStyle w:val="TextoNormal"/>
      </w:pPr>
    </w:p>
    <w:p w:rsidR="005728DD" w:rsidRDefault="005728DD" w:rsidP="005728DD">
      <w:pPr>
        <w:pStyle w:val="TextoNormal"/>
      </w:pPr>
      <w:r>
        <w:t>En definitiva, no ha acreditado que alguna de las pruebas de que se trata (lo que incluye el modo que propuso para la práctica de la prueba testifical con exhibición simultánea del material videográfico) fuera relevante o decisiva en términos de defensa, de forma tal que su inadmisión o su irregular práctica haya generado una real y efectiva indefensión. Reiteramos que la demanda no vincula ninguna de las concretas pruebas que fueron inadmitidas o irregularmente practicadas (caso de la prueba testifical, según hemos visto) con algún hecho que se estimó probado o con la omisión por la sentencia de algún otro que le resultara favorable y que, a juicio de la parte recurrente en amparo, debiera haber integrado el relato histórico.</w:t>
      </w:r>
    </w:p>
    <w:p w:rsidR="005728DD" w:rsidRDefault="005728DD" w:rsidP="005728DD">
      <w:pPr>
        <w:pStyle w:val="TextoNormal"/>
      </w:pPr>
    </w:p>
    <w:p w:rsidR="005728DD" w:rsidRDefault="005728DD" w:rsidP="005728DD">
      <w:pPr>
        <w:pStyle w:val="TextoNormal"/>
      </w:pPr>
      <w:r>
        <w:t>El tribunal concluye, pues, que no se ha lesionado el derecho del recurrente a utilizar los medios de prueba pertinentes para la defensa (art. 24.2 CE).</w:t>
      </w:r>
    </w:p>
    <w:p w:rsidR="005728DD" w:rsidRDefault="005728DD" w:rsidP="005728DD">
      <w:pPr>
        <w:pStyle w:val="TextoNormal"/>
      </w:pPr>
    </w:p>
    <w:p w:rsidR="005728DD" w:rsidRPr="005728DD" w:rsidRDefault="005728DD" w:rsidP="005728DD">
      <w:pPr>
        <w:pStyle w:val="TextoNormal"/>
        <w:rPr>
          <w:i/>
        </w:rPr>
      </w:pPr>
      <w:r w:rsidRPr="005728DD">
        <w:rPr>
          <w:rStyle w:val="NumeroAFNegritaCaracter"/>
        </w:rPr>
        <w:t>8</w:t>
      </w:r>
      <w:r>
        <w:t xml:space="preserve">. </w:t>
      </w:r>
      <w:r w:rsidRPr="005728DD">
        <w:rPr>
          <w:i/>
        </w:rPr>
        <w:t>Derecho a la presunción de inocencia (dimensión extraprocesal).</w:t>
      </w:r>
    </w:p>
    <w:p w:rsidR="005728DD" w:rsidRPr="005728DD" w:rsidRDefault="005728DD" w:rsidP="005728DD">
      <w:pPr>
        <w:pStyle w:val="TextoNormal"/>
        <w:rPr>
          <w:i/>
        </w:rPr>
      </w:pPr>
    </w:p>
    <w:p w:rsidR="005728DD" w:rsidRPr="005728DD" w:rsidRDefault="005728DD" w:rsidP="005728DD">
      <w:pPr>
        <w:pStyle w:val="TextoNormal"/>
        <w:rPr>
          <w:i/>
        </w:rPr>
      </w:pPr>
      <w:r w:rsidRPr="005728DD">
        <w:rPr>
          <w:i/>
        </w:rPr>
        <w:t>8.1. Posiciones de las partes.</w:t>
      </w:r>
    </w:p>
    <w:p w:rsidR="005728DD" w:rsidRDefault="005728DD" w:rsidP="005728DD">
      <w:pPr>
        <w:pStyle w:val="TextoNormal"/>
      </w:pPr>
    </w:p>
    <w:p w:rsidR="005728DD" w:rsidRDefault="005728DD" w:rsidP="005728DD">
      <w:pPr>
        <w:pStyle w:val="TextoNormal"/>
      </w:pPr>
      <w:r>
        <w:t xml:space="preserve">Esta queja, que invoca nominalmente los derechos a la presunción de inocencia (art. 24.2 CE) y a la tutela judicial efectiva (art. 24.1 CE), trae causa de ciertas manifestaciones públicas de miembros del ejecutivo español y líderes políticos sobre los hechos enjuiciados. Concretamente, el demandante refiere que, mientras se desarrollaba el procedimiento penal ante el Tribunal Supremo, la Secretaría de Estado de la España Global, órgano dependiente </w:t>
      </w:r>
      <w:r>
        <w:lastRenderedPageBreak/>
        <w:t>del Ministerio de Asuntos Exteriores, emprendió una campaña propagandística para informar en el extranjero sobre los hechos que se estaban enjuiciando, en cuyo contexto se efectuaron declaraciones y se elaboraron documentos en los que abiertamente se consideraba a los procesados culpables de los hechos enjuiciados. Se refiere también a otros episodios similares acaecidos con posterioridad, incluso después de la publicación de la sentencia, como cuando se caricaturizó a los acusados como si fueran ladrones. Lo que reprocha al Tribunal Supremo es la negativa a amparar a los procesados frente a dicha campaña gubernamental vulneradora de su derecho a la presunción de inocencia. De todo ello se ha dejado detallada constancia de los antecedentes de esta sentencia.</w:t>
      </w:r>
    </w:p>
    <w:p w:rsidR="005728DD" w:rsidRDefault="005728DD" w:rsidP="005728DD">
      <w:pPr>
        <w:pStyle w:val="TextoNormal"/>
      </w:pPr>
    </w:p>
    <w:p w:rsidR="005728DD" w:rsidRDefault="005728DD" w:rsidP="005728DD">
      <w:pPr>
        <w:pStyle w:val="TextoNormal"/>
      </w:pPr>
      <w:r>
        <w:t>Según el abogado del Estado, que se remite a lo razonado al respecto en la sentencia, la queja debe desestimarse.</w:t>
      </w:r>
    </w:p>
    <w:p w:rsidR="005728DD" w:rsidRDefault="005728DD" w:rsidP="005728DD">
      <w:pPr>
        <w:pStyle w:val="TextoNormal"/>
      </w:pPr>
    </w:p>
    <w:p w:rsidR="005728DD" w:rsidRDefault="005728DD" w:rsidP="005728DD">
      <w:pPr>
        <w:pStyle w:val="TextoNormal"/>
      </w:pPr>
      <w:r>
        <w:t>El partido político Vox manifiesta no entender con claridad el motivo del recurso, puesto que la actividad llevada a cabo por el Gobierno de España nada tiene que ver con las lesiones de derechos fundamentales en que la sentencia pudiera haber incurrido.</w:t>
      </w:r>
    </w:p>
    <w:p w:rsidR="005728DD" w:rsidRDefault="005728DD" w:rsidP="005728DD">
      <w:pPr>
        <w:pStyle w:val="TextoNormal"/>
      </w:pPr>
    </w:p>
    <w:p w:rsidR="005728DD" w:rsidRDefault="005728DD" w:rsidP="005728DD">
      <w:pPr>
        <w:pStyle w:val="TextoNormal"/>
      </w:pPr>
      <w:r>
        <w:t>Finalmente, el Ministerio Fiscal considera que este motivo también debe rechazarse. A su juicio, la queja, en su caso, se referiría a una presunta lesión del derecho al honor (art. 18.l CE), tal y como ha indicado este tribunal. En todo caso, a su juicio, el recurrente no aporta elemento de prueba alguno que ponga de manifiesto que la campaña que denuncia haya podido influir en el ánimo del juzgador de manera que haya condicionado el desenlace del proceso.</w:t>
      </w:r>
    </w:p>
    <w:p w:rsidR="005728DD" w:rsidRDefault="005728DD" w:rsidP="005728DD">
      <w:pPr>
        <w:pStyle w:val="TextoNormal"/>
      </w:pPr>
    </w:p>
    <w:p w:rsidR="005728DD" w:rsidRDefault="005728DD" w:rsidP="005728DD">
      <w:pPr>
        <w:pStyle w:val="TextoNormal"/>
      </w:pPr>
      <w:r>
        <w:t xml:space="preserve">8.2. </w:t>
      </w:r>
      <w:r w:rsidRPr="005728DD">
        <w:rPr>
          <w:i/>
        </w:rPr>
        <w:t>Respuesta del órgano judicial</w:t>
      </w:r>
      <w:r>
        <w:t>.</w:t>
      </w:r>
    </w:p>
    <w:p w:rsidR="005728DD" w:rsidRDefault="005728DD" w:rsidP="005728DD">
      <w:pPr>
        <w:pStyle w:val="TextoNormal"/>
      </w:pPr>
    </w:p>
    <w:p w:rsidR="005728DD" w:rsidRDefault="005728DD" w:rsidP="005728DD">
      <w:pPr>
        <w:pStyle w:val="TextoNormal"/>
      </w:pPr>
      <w:r>
        <w:t>Con anterioridad al inicio del juicio, mediante auto de 7 de febrero de 2019, la sala de enjuiciamiento, en respuesta al escrito en que formuló por primera vez esa queja, señaló que podría ser objeto de alegación en las sesiones del plenario. Culminado el mismo, la sentencia recurrida en amparo dedica a esta materia el apartado 9 del fundamento de Derecho A).</w:t>
      </w:r>
    </w:p>
    <w:p w:rsidR="005728DD" w:rsidRDefault="005728DD" w:rsidP="005728DD">
      <w:pPr>
        <w:pStyle w:val="TextoNormal"/>
      </w:pPr>
    </w:p>
    <w:p w:rsidR="005728DD" w:rsidRDefault="005728DD" w:rsidP="005728DD">
      <w:pPr>
        <w:pStyle w:val="TextoNormal"/>
      </w:pPr>
      <w:r>
        <w:t>Después de repasar la doctrina del Tribunal Europeo de Derechos Humanos sobre la denominada dimensión extraprocesal del derecho a la presunción de inocencia, y la propia jurisprudencia sobre esta misma materia, declara que es preciso “estar al alcance y al contenido concreto de esas declaraciones que se consideran vulneradoras del derecho a la presunción de inocencia”. Y prosigue el discurso con las siguientes palabras, que trascribimos literalmente:</w:t>
      </w:r>
    </w:p>
    <w:p w:rsidR="005728DD" w:rsidRDefault="005728DD" w:rsidP="005728DD">
      <w:pPr>
        <w:pStyle w:val="TextoNormal"/>
      </w:pPr>
    </w:p>
    <w:p w:rsidR="005728DD" w:rsidRDefault="005728DD" w:rsidP="005728DD">
      <w:pPr>
        <w:pStyle w:val="TextoNormal"/>
      </w:pPr>
      <w:r>
        <w:t>“En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005728DD" w:rsidRDefault="005728DD" w:rsidP="005728DD">
      <w:pPr>
        <w:pStyle w:val="TextoNormal"/>
      </w:pPr>
    </w:p>
    <w:p w:rsidR="005728DD" w:rsidRDefault="005728DD" w:rsidP="005728DD">
      <w:pPr>
        <w:pStyle w:val="TextoNormal"/>
      </w:pPr>
      <w:r>
        <w:lastRenderedPageBreak/>
        <w:t>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005728DD" w:rsidRDefault="005728DD" w:rsidP="005728DD">
      <w:pPr>
        <w:pStyle w:val="TextoNormal"/>
      </w:pPr>
    </w:p>
    <w:p w:rsidR="005728DD" w:rsidRDefault="005728DD" w:rsidP="005728DD">
      <w:pPr>
        <w:pStyle w:val="TextoNormal"/>
      </w:pPr>
      <w: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w:t>
      </w:r>
      <w:r w:rsidRPr="005728DD">
        <w:rPr>
          <w:i/>
        </w:rPr>
        <w:t>ius puniendi</w:t>
      </w:r>
      <w:r>
        <w:t>.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005728DD" w:rsidRDefault="005728DD" w:rsidP="005728DD">
      <w:pPr>
        <w:pStyle w:val="TextoNormal"/>
      </w:pPr>
    </w:p>
    <w:p w:rsidR="005728DD" w:rsidRDefault="005728DD" w:rsidP="005728DD">
      <w:pPr>
        <w:pStyle w:val="TextoNormal"/>
      </w:pPr>
      <w:r>
        <w:t xml:space="preserve">8.3. </w:t>
      </w:r>
      <w:r w:rsidRPr="005728DD">
        <w:rPr>
          <w:i/>
        </w:rPr>
        <w:t>Encuadramiento de la queja: la dimensión extraprocesal del derecho a la presunción de inocencia</w:t>
      </w:r>
      <w:r>
        <w:t>.</w:t>
      </w:r>
    </w:p>
    <w:p w:rsidR="005728DD" w:rsidRDefault="005728DD" w:rsidP="005728DD">
      <w:pPr>
        <w:pStyle w:val="TextoNormal"/>
      </w:pPr>
    </w:p>
    <w:p w:rsidR="005728DD" w:rsidRDefault="005728DD" w:rsidP="005728DD">
      <w:pPr>
        <w:pStyle w:val="TextoNormal"/>
      </w:pPr>
      <w:r>
        <w:t>Como hemos visto, el recurrente sitúa la actividad lesiva de su derecho fundamental en la conducta de terceras personas (en concreto, la titular de la Secretaría de Estado de la España Global) ajenas al tribunal sentenciador. Reprocha a la Sala no haberle dado amparo frente a tales conductas, una vez que fueron denunciadas por su parte. La queja cae, por tanto, en el ámbito de la denominada dimensión extraprocesal de la presunción de inocencia.</w:t>
      </w:r>
    </w:p>
    <w:p w:rsidR="005728DD" w:rsidRDefault="005728DD" w:rsidP="005728DD">
      <w:pPr>
        <w:pStyle w:val="TextoNormal"/>
      </w:pPr>
    </w:p>
    <w:p w:rsidR="005728DD" w:rsidRDefault="005728DD" w:rsidP="005728DD">
      <w:pPr>
        <w:pStyle w:val="TextoNormal"/>
      </w:pPr>
      <w:r>
        <w:t>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133/2018, de 13 de diciembre, FJ 4 a)].</w:t>
      </w:r>
    </w:p>
    <w:p w:rsidR="005728DD" w:rsidRDefault="005728DD" w:rsidP="005728DD">
      <w:pPr>
        <w:pStyle w:val="TextoNormal"/>
      </w:pPr>
    </w:p>
    <w:p w:rsidR="005728DD" w:rsidRDefault="005728DD" w:rsidP="005728DD">
      <w:pPr>
        <w:pStyle w:val="TextoNormal"/>
      </w:pPr>
      <w: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w:t>
      </w:r>
      <w:r w:rsidRPr="005728DD">
        <w:rPr>
          <w:i/>
        </w:rPr>
        <w:t>Allenet de Ribemont c. Francia</w:t>
      </w:r>
      <w:r>
        <w:t xml:space="preserve">; de 26 de marzo de 2002, asunto </w:t>
      </w:r>
      <w:r w:rsidRPr="005728DD">
        <w:rPr>
          <w:i/>
        </w:rPr>
        <w:t>Butkevicius c. Lituania</w:t>
      </w:r>
      <w:r>
        <w:t xml:space="preserve">; de 28 de junio de 2011, asunto </w:t>
      </w:r>
      <w:r w:rsidRPr="005728DD">
        <w:rPr>
          <w:i/>
        </w:rPr>
        <w:t>Lizaso Azconobieta c. España</w:t>
      </w:r>
      <w:r>
        <w:t xml:space="preserve">), </w:t>
      </w:r>
      <w:r>
        <w:lastRenderedPageBreak/>
        <w:t>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005728DD" w:rsidRDefault="005728DD" w:rsidP="005728DD">
      <w:pPr>
        <w:pStyle w:val="TextoNormal"/>
      </w:pPr>
    </w:p>
    <w:p w:rsidR="005728DD" w:rsidRDefault="005728DD" w:rsidP="005728DD">
      <w:pPr>
        <w:pStyle w:val="TextoNormal"/>
      </w:pPr>
      <w:r>
        <w:t>8.4</w:t>
      </w:r>
      <w:r w:rsidRPr="005728DD">
        <w:rPr>
          <w:i/>
        </w:rPr>
        <w:t>. Resolución de la que</w:t>
      </w:r>
      <w:r>
        <w:t>ja.</w:t>
      </w:r>
    </w:p>
    <w:p w:rsidR="005728DD" w:rsidRDefault="005728DD" w:rsidP="005728DD">
      <w:pPr>
        <w:pStyle w:val="TextoNormal"/>
      </w:pPr>
    </w:p>
    <w:p w:rsidR="005728DD" w:rsidRDefault="005728DD" w:rsidP="005728DD">
      <w:pPr>
        <w:pStyle w:val="TextoNormal"/>
      </w:pPr>
      <w:r>
        <w:t>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005728DD" w:rsidRDefault="005728DD" w:rsidP="005728DD">
      <w:pPr>
        <w:pStyle w:val="TextoNormal"/>
      </w:pPr>
    </w:p>
    <w:p w:rsidR="005728DD" w:rsidRDefault="005728DD" w:rsidP="005728DD">
      <w:pPr>
        <w:pStyle w:val="TextoNormal"/>
      </w:pPr>
      <w:r>
        <w:t>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005728DD" w:rsidRDefault="005728DD" w:rsidP="005728DD">
      <w:pPr>
        <w:pStyle w:val="TextoNormal"/>
      </w:pPr>
    </w:p>
    <w:p w:rsidR="005728DD" w:rsidRDefault="005728DD" w:rsidP="005728DD">
      <w:pPr>
        <w:pStyle w:val="TextoNormal"/>
      </w:pPr>
      <w:r>
        <w:t>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005728DD" w:rsidRDefault="005728DD" w:rsidP="005728DD">
      <w:pPr>
        <w:pStyle w:val="TextoNormal"/>
      </w:pPr>
    </w:p>
    <w:p w:rsidR="005728DD" w:rsidRDefault="005728DD" w:rsidP="005728DD">
      <w:pPr>
        <w:pStyle w:val="TextoNormal"/>
      </w:pPr>
      <w:r>
        <w:t>Procede, en consecuencia, desestimar este motivo de amparo.</w:t>
      </w:r>
    </w:p>
    <w:p w:rsidR="005728DD" w:rsidRDefault="005728DD" w:rsidP="005728DD">
      <w:pPr>
        <w:pStyle w:val="TextoNormal"/>
      </w:pPr>
    </w:p>
    <w:p w:rsidR="005728DD" w:rsidRPr="005728DD" w:rsidRDefault="005728DD" w:rsidP="005728DD">
      <w:pPr>
        <w:pStyle w:val="TextoNormal"/>
        <w:rPr>
          <w:i/>
        </w:rPr>
      </w:pPr>
      <w:r w:rsidRPr="005728DD">
        <w:rPr>
          <w:rStyle w:val="NumeroAFNegritaCaracter"/>
        </w:rPr>
        <w:t>9</w:t>
      </w:r>
      <w:r>
        <w:t xml:space="preserve">. </w:t>
      </w:r>
      <w:r w:rsidRPr="005728DD">
        <w:rPr>
          <w:i/>
        </w:rPr>
        <w:t>Derecho a un proceso con todas las garantías por la supuesta filtración del contenido de la sentencia.</w:t>
      </w:r>
    </w:p>
    <w:p w:rsidR="005728DD" w:rsidRPr="005728DD" w:rsidRDefault="005728DD" w:rsidP="005728DD">
      <w:pPr>
        <w:pStyle w:val="TextoNormal"/>
        <w:rPr>
          <w:i/>
        </w:rPr>
      </w:pPr>
    </w:p>
    <w:p w:rsidR="005728DD" w:rsidRPr="005728DD" w:rsidRDefault="005728DD" w:rsidP="005728DD">
      <w:pPr>
        <w:pStyle w:val="TextoNormal"/>
        <w:rPr>
          <w:i/>
        </w:rPr>
      </w:pPr>
      <w:r w:rsidRPr="005728DD">
        <w:rPr>
          <w:i/>
        </w:rPr>
        <w:t>9.1. Posiciones de las partes.</w:t>
      </w:r>
    </w:p>
    <w:p w:rsidR="005728DD" w:rsidRDefault="005728DD" w:rsidP="005728DD">
      <w:pPr>
        <w:pStyle w:val="TextoNormal"/>
      </w:pPr>
    </w:p>
    <w:p w:rsidR="005728DD" w:rsidRDefault="005728DD" w:rsidP="005728DD">
      <w:pPr>
        <w:pStyle w:val="TextoNormal"/>
      </w:pPr>
      <w:r>
        <w:t xml:space="preserve">En la demanda de amparo, de la que se ha dejado un extenso resumen en los antecedentes de esta resolución, la parte recurrente se queja de que días antes de que se firmara y notificara la sentencia, diversos medios de comunicación anticiparon cuál iba a ser el sentido del fallo. La demanda se remite a las informaciones dadas por ciertos medios de comunicación (revista Contexto, diario Ara, La Vanguardia, El Mundo y El Español) fechadas en los días 22 de septiembre, la primera, y en los días 10 y 12 de octubre de 2019, en los restantes casos. Básicamente, el contenido de tales noticias se ciñe a publicar que previsiblemente se produciría la condena por un delito de sedición y a referir ciertos rasgos típicos de esta figura delictiva y del delito de rebelión, de mayor gravedad, por el que se había, también, formulado acusación. En relación con ellas, trae a colación la doctrina contenida en la STC 69/2001, de 17 de marzo, para poner de manifiesto que, en su opinión, tales filtraciones provocaron un clamor popular a favor de la condena, lo que, a su juicio, debe conducir a la invalidez del fallo, sin que sea exigible al denunciante una cumplida demostración de que tal hecho hubiera condicionado el sentido de la decisión, lo que supondría una auténtica </w:t>
      </w:r>
      <w:r w:rsidRPr="005728DD">
        <w:rPr>
          <w:i/>
        </w:rPr>
        <w:t>probatio diabolica</w:t>
      </w:r>
      <w:r>
        <w:t>.</w:t>
      </w:r>
    </w:p>
    <w:p w:rsidR="005728DD" w:rsidRDefault="005728DD" w:rsidP="005728DD">
      <w:pPr>
        <w:pStyle w:val="TextoNormal"/>
      </w:pPr>
    </w:p>
    <w:p w:rsidR="005728DD" w:rsidRDefault="005728DD" w:rsidP="005728DD">
      <w:pPr>
        <w:pStyle w:val="TextoNormal"/>
      </w:pPr>
      <w:r>
        <w:t>El abogado del Estado entiende que procede desestimar el motivo de amparo. Considera que, ni la opinión de los miembros del tribunal pudo haberse visto condicionada por la filtración, ni esta iba encaminada a obtener una modificación interesada de lo ya decidido, pues cuando tal filtración se produjo ya había concluido el juicio oral, se había desarrollado la práctica de la prueba e, incluso, había finalizado la deliberación.</w:t>
      </w:r>
    </w:p>
    <w:p w:rsidR="005728DD" w:rsidRDefault="005728DD" w:rsidP="005728DD">
      <w:pPr>
        <w:pStyle w:val="TextoNormal"/>
      </w:pPr>
    </w:p>
    <w:p w:rsidR="005728DD" w:rsidRDefault="005728DD" w:rsidP="005728DD">
      <w:pPr>
        <w:pStyle w:val="TextoNormal"/>
      </w:pPr>
      <w:r>
        <w:t>A juicio del partido político Vox, las coincidencias entre lo publicado previamente y el sentido de la sentencia no evidencian que fueran consecuencia de filtraciones procedentes de miembros del Tribunal Supremo. Y en todo caso, de haberse producido la filtración, tampoco habría condicionado la deliberación que llevó a la sentencia, sin que elucubraciones o juicios de valor, sin base fáctica alguna, puedan desvirtuar estas conclusiones.</w:t>
      </w:r>
    </w:p>
    <w:p w:rsidR="005728DD" w:rsidRDefault="005728DD" w:rsidP="005728DD">
      <w:pPr>
        <w:pStyle w:val="TextoNormal"/>
      </w:pPr>
    </w:p>
    <w:p w:rsidR="005728DD" w:rsidRDefault="005728DD" w:rsidP="005728DD">
      <w:pPr>
        <w:pStyle w:val="TextoNormal"/>
      </w:pPr>
      <w:r>
        <w:t>El Ministerio Fiscal, siguiendo la doctrina de este tribunal, aduce que no cabe apreciar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5728DD" w:rsidRDefault="005728DD" w:rsidP="005728DD">
      <w:pPr>
        <w:pStyle w:val="TextoNormal"/>
      </w:pPr>
    </w:p>
    <w:p w:rsidR="005728DD" w:rsidRDefault="005728DD" w:rsidP="005728DD">
      <w:pPr>
        <w:pStyle w:val="TextoNormal"/>
      </w:pPr>
      <w:r>
        <w:t xml:space="preserve">9.2. </w:t>
      </w:r>
      <w:r w:rsidRPr="005728DD">
        <w:rPr>
          <w:i/>
        </w:rPr>
        <w:t>Respuesta del órgano judicial</w:t>
      </w:r>
      <w:r>
        <w:t>.</w:t>
      </w:r>
    </w:p>
    <w:p w:rsidR="005728DD" w:rsidRDefault="005728DD" w:rsidP="005728DD">
      <w:pPr>
        <w:pStyle w:val="TextoNormal"/>
      </w:pPr>
    </w:p>
    <w:p w:rsidR="005728DD" w:rsidRDefault="005728DD" w:rsidP="005728DD">
      <w:pPr>
        <w:pStyle w:val="TextoNormal"/>
      </w:pPr>
      <w:r>
        <w:t>El auto de 29 de enero de 2020, que resolvió el incidente de nulidad de actuaciones promovido contra la sentencia, contesta a esta queja en el apartado 4.2.1., al dar respuesta a lo alegado en dicho incidente por otro de los condenados, don Jordi Sànchez. Dice así:</w:t>
      </w:r>
    </w:p>
    <w:p w:rsidR="005728DD" w:rsidRDefault="005728DD" w:rsidP="005728DD">
      <w:pPr>
        <w:pStyle w:val="TextoNormal"/>
      </w:pPr>
    </w:p>
    <w:p w:rsidR="005728DD" w:rsidRDefault="005728DD" w:rsidP="005728DD">
      <w:pPr>
        <w:pStyle w:val="TextoNormal"/>
      </w:pPr>
      <w:r>
        <w:t xml:space="preserve">“En cuanto a la vulneración derivada de la filtración del contenido de parte de la sentencia, su estimación exigiría, según la doctrina del Tribunal Constitucional que el propio escrito cita (cfr. STC 69/2001, de 17 de marzo), que se acreditase que la opinión de alguno o de algunos de los integrantes de esta Sala ha podido verse condicionada por hechos o circunstancias externas a la propia deliberación, o que la citada ‘filtración’ fue encaminada a </w:t>
      </w:r>
      <w:r>
        <w:lastRenderedPageBreak/>
        <w:t>obtener una modificación interesada de lo previamente decidido; lo que no consta en modo alguno”.</w:t>
      </w:r>
    </w:p>
    <w:p w:rsidR="005728DD" w:rsidRDefault="005728DD" w:rsidP="005728DD">
      <w:pPr>
        <w:pStyle w:val="TextoNormal"/>
      </w:pPr>
    </w:p>
    <w:p w:rsidR="005728DD" w:rsidRDefault="005728DD" w:rsidP="005728DD">
      <w:pPr>
        <w:pStyle w:val="TextoNormal"/>
      </w:pPr>
      <w:r>
        <w:t>Al resolver los incidentes de nulidad promovidos por el recurrente y por don Josep Rull, la sala sentenciadora se limita a remitirse a lo anterior en los apartados 6.2.1 y 7.2.1 respectivamente.</w:t>
      </w:r>
    </w:p>
    <w:p w:rsidR="005728DD" w:rsidRDefault="005728DD" w:rsidP="005728DD">
      <w:pPr>
        <w:pStyle w:val="TextoNormal"/>
      </w:pPr>
    </w:p>
    <w:p w:rsidR="005728DD" w:rsidRDefault="005728DD" w:rsidP="005728DD">
      <w:pPr>
        <w:pStyle w:val="TextoNormal"/>
      </w:pPr>
      <w:r>
        <w:t xml:space="preserve">9.3. </w:t>
      </w:r>
      <w:r w:rsidRPr="005728DD">
        <w:rPr>
          <w:i/>
        </w:rPr>
        <w:t>Doctrina constitucional</w:t>
      </w:r>
      <w:r>
        <w:t>.</w:t>
      </w:r>
    </w:p>
    <w:p w:rsidR="005728DD" w:rsidRDefault="005728DD" w:rsidP="005728DD">
      <w:pPr>
        <w:pStyle w:val="TextoNormal"/>
      </w:pPr>
    </w:p>
    <w:p w:rsidR="005728DD" w:rsidRDefault="005728DD" w:rsidP="005728DD">
      <w:pPr>
        <w:pStyle w:val="TextoNormal"/>
      </w:pPr>
      <w:r>
        <w:t>En las SSTC 64/2001, 65/2001 y 66/2001, todas de 17 de marzo, FFJJ 2, así como en la STC 69/2001, de la misma fecha, FJ 14, con remisión a lo expuesto en la STC 136/1999, de 20 de julio, FJ 8, el Pleno de este tribunal abordó específicamente la cuestión relativa a si el derecho a un proceso con todas las garantías, desde la vertiente de derecho a la imparcialidad judicial (art. 24.2 CE), podría verse menoscabado como consecuencia de la “filtración” y publicación en los medios de comunicación del contenido de la deliberación y del fallo de una sentencia antes de su notificación a las partes. Podemos sistematizar la doctrina sentada entonces del siguiente modo:</w:t>
      </w:r>
    </w:p>
    <w:p w:rsidR="005728DD" w:rsidRDefault="005728DD" w:rsidP="005728DD">
      <w:pPr>
        <w:pStyle w:val="TextoNormal"/>
      </w:pPr>
    </w:p>
    <w:p w:rsidR="005728DD" w:rsidRDefault="005728DD" w:rsidP="005728DD">
      <w:pPr>
        <w:pStyle w:val="TextoNormal"/>
      </w:pPr>
      <w:r>
        <w:t xml:space="preserve">a) La Constitución brinda un cierto grado de protección frente a los denominados “juicios paralelos” en los medios de comunicación, dado que tanto las declaraciones en los citados medios acerca de procesos en curso como las opiniones sobre el sentido que haya de tener la decisión que los resuelva pueden influir no solo en el prestigio de los tribunales, sino, muy especialmente, “según sea su tenor, finalidad y contexto”, “pueden llegar a menoscabar la imparcialidad o apariencia de imparcialidad de aquellos, ya que la publicación de supuestos o reales estados de opinión pública sobre el proceso y el fallo pueden influir en la decisión que deben adoptar los jueces”. “Es más, a nadie puede ocultársele que la capacidad de presión e influencia es mucho mayor cuando las declaraciones vertidas en los medios de comunicación sobre procesos en curso corresponden a miembros destacados de los otros poderes públicos del Estado. Por ello, cuando efectivamente se dan esas circunstancias, se conculca el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(STEDH, de 29 de agosto de 1997, caso </w:t>
      </w:r>
      <w:r w:rsidRPr="005728DD">
        <w:rPr>
          <w:i/>
        </w:rPr>
        <w:t>Worm</w:t>
      </w:r>
      <w:r>
        <w:t>, § 54)” [STC 136/1999, de 20 de julio, FJ 8].</w:t>
      </w:r>
    </w:p>
    <w:p w:rsidR="005728DD" w:rsidRDefault="005728DD" w:rsidP="005728DD">
      <w:pPr>
        <w:pStyle w:val="TextoNormal"/>
      </w:pPr>
    </w:p>
    <w:p w:rsidR="005728DD" w:rsidRDefault="005728DD" w:rsidP="005728DD">
      <w:pPr>
        <w:pStyle w:val="TextoNormal"/>
      </w:pPr>
      <w:r>
        <w:t xml:space="preserve">Paralelamente, hemos destacado también en numerosas sentencias que “el postulado que subraya la extraordinaria importancia de la opinión pública libre, dado el carácter esencial de la libertad de expresión en una sociedad democrática, se aplica también en el ámbito de la administración de justicia, que sirve a los intereses de toda la colectividad y exige la cooperación de un público instruido”. Dado que los tribunales no actúan en el vacío, su competencia para pronunciarse sobre las causas penales que deban enjuiciar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(arts. 24.2 CE y art. 6.1 CEDH). A esta función de los medios se añade el derecho, para el público, de recibirlas, y muy especialmente cuando el </w:t>
      </w:r>
      <w:r>
        <w:lastRenderedPageBreak/>
        <w:t xml:space="preserve">proceso concierne a personas públicas [por todas, STC 46/1998 y sentencias del Tribunal Europeo de Derechos Humanos de 26 de abril de 1979 (caso </w:t>
      </w:r>
      <w:r w:rsidRPr="005728DD">
        <w:rPr>
          <w:i/>
        </w:rPr>
        <w:t>Sunday Times</w:t>
      </w:r>
      <w:r>
        <w:t xml:space="preserve">, § 65), de 24 de febrero de 1997 (caso </w:t>
      </w:r>
      <w:r w:rsidRPr="005728DD">
        <w:rPr>
          <w:i/>
        </w:rPr>
        <w:t>De Haes y Gijsels</w:t>
      </w:r>
      <w:r>
        <w:t>, § 37) y de 29 de agosto de 1997 (cas</w:t>
      </w:r>
      <w:r w:rsidRPr="005728DD">
        <w:rPr>
          <w:i/>
        </w:rPr>
        <w:t>o Wo</w:t>
      </w:r>
      <w:r>
        <w:t>rm, § 50)]”.</w:t>
      </w:r>
    </w:p>
    <w:p w:rsidR="005728DD" w:rsidRDefault="005728DD" w:rsidP="005728DD">
      <w:pPr>
        <w:pStyle w:val="TextoNormal"/>
      </w:pPr>
    </w:p>
    <w:p w:rsidR="005728DD" w:rsidRDefault="005728DD" w:rsidP="005728DD">
      <w:pPr>
        <w:pStyle w:val="TextoNormal"/>
      </w:pPr>
      <w:r>
        <w:t>b) Hemos señalado también que, desde la expresada garantía de imparcialidad judicial, el solo dato de que desde el entorno de la sala sentenciadora se hubiera filtrado hipotéticamente a los medios de comunicación el sentido general del fallo de la sentencia antes de que la resolución fuese notificada a las partes, no repercute negativamente por sí sola, menoscabándola, en la imparcialidad del tribunal.</w:t>
      </w:r>
    </w:p>
    <w:p w:rsidR="005728DD" w:rsidRDefault="005728DD" w:rsidP="005728DD">
      <w:pPr>
        <w:pStyle w:val="TextoNormal"/>
      </w:pPr>
    </w:p>
    <w:p w:rsidR="005728DD" w:rsidRDefault="005728DD" w:rsidP="005728DD">
      <w:pPr>
        <w:pStyle w:val="TextoNormal"/>
      </w:pPr>
      <w:r>
        <w:t xml:space="preserve">Como venimos reiterando,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w:t>
      </w:r>
      <w:r w:rsidRPr="005728DD">
        <w:rPr>
          <w:i/>
        </w:rPr>
        <w:t>Piersack</w:t>
      </w:r>
      <w:r>
        <w:t xml:space="preserve">, de 26 de octubre de 1984, caso </w:t>
      </w:r>
      <w:r w:rsidRPr="005728DD">
        <w:rPr>
          <w:i/>
        </w:rPr>
        <w:t>De Cubber</w:t>
      </w:r>
      <w:r>
        <w:t xml:space="preserve">; de 24 de mayo de 1989, caso </w:t>
      </w:r>
      <w:r w:rsidRPr="005728DD">
        <w:rPr>
          <w:i/>
        </w:rPr>
        <w:t>Hauschildt</w:t>
      </w:r>
      <w:r>
        <w:t xml:space="preserve">; 16 de diciembre de 1992, caso </w:t>
      </w:r>
      <w:r w:rsidRPr="005728DD">
        <w:rPr>
          <w:i/>
        </w:rPr>
        <w:t>Sainte-Marie</w:t>
      </w:r>
      <w:r>
        <w:t xml:space="preserve">; de 24 de febrero de 1993, caso </w:t>
      </w:r>
      <w:r w:rsidRPr="005728DD">
        <w:rPr>
          <w:i/>
        </w:rPr>
        <w:t>Fey</w:t>
      </w:r>
      <w:r>
        <w:t xml:space="preserve">; de 26 de febrero de 1993, caso </w:t>
      </w:r>
      <w:r w:rsidRPr="005728DD">
        <w:rPr>
          <w:i/>
        </w:rPr>
        <w:t>Padovani</w:t>
      </w:r>
      <w:r>
        <w:t xml:space="preserve">; de 22 de abril de 1994, caso </w:t>
      </w:r>
      <w:r w:rsidRPr="005728DD">
        <w:rPr>
          <w:i/>
        </w:rPr>
        <w:t>Saraiva de Carvalho</w:t>
      </w:r>
      <w:r>
        <w:t xml:space="preserve">; de 22 de febrero de 1996, caso </w:t>
      </w:r>
      <w:r w:rsidRPr="005728DD">
        <w:rPr>
          <w:i/>
        </w:rPr>
        <w:t>Bulut</w:t>
      </w:r>
      <w:r>
        <w:t xml:space="preserve">; de 20 de mayo de 1998, caso </w:t>
      </w:r>
      <w:r w:rsidRPr="005728DD">
        <w:rPr>
          <w:i/>
        </w:rPr>
        <w:t>Gautrin</w:t>
      </w:r>
      <w:r>
        <w:t xml:space="preserve"> y otros; y de 28 de octubre de 1998, caso </w:t>
      </w:r>
      <w:r w:rsidRPr="005728DD">
        <w:rPr>
          <w:i/>
        </w:rPr>
        <w:t>Castillo Algar</w:t>
      </w:r>
      <w:r>
        <w:t>)” [SSTC 64/2001, 65/2001, 66/2001, FFJJ 2 a), y 69/2001, FJ 14 a)].</w:t>
      </w:r>
    </w:p>
    <w:p w:rsidR="005728DD" w:rsidRDefault="005728DD" w:rsidP="005728DD">
      <w:pPr>
        <w:pStyle w:val="TextoNormal"/>
      </w:pPr>
    </w:p>
    <w:p w:rsidR="005728DD" w:rsidRDefault="005728DD" w:rsidP="005728DD">
      <w:pPr>
        <w:pStyle w:val="TextoNormal"/>
      </w:pPr>
      <w:r>
        <w:t xml:space="preserve">c) La imparcialidad subjetiva y objetiva del tribunal deben ser presumidas mientras no medie prueba en contrario. La dificultad que pueda comportar esta demostración no hace quebrar tal regla. “En palabras muy ilustrativas de la sentencia del TEDH de 10 de junio de 1996, dictada en el caso </w:t>
      </w:r>
      <w:r w:rsidRPr="005728DD">
        <w:rPr>
          <w:i/>
        </w:rPr>
        <w:t>Pullar</w:t>
      </w:r>
      <w:r>
        <w:t xml:space="preserve">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 citada en SSTC 64/2001, 65/2001, 66/2001, FFJJ 2 c), y 69/2001, FJ 14 c)].</w:t>
      </w:r>
    </w:p>
    <w:p w:rsidR="005728DD" w:rsidRDefault="005728DD" w:rsidP="005728DD">
      <w:pPr>
        <w:pStyle w:val="TextoNormal"/>
      </w:pPr>
    </w:p>
    <w:p w:rsidR="005728DD" w:rsidRDefault="005728DD" w:rsidP="005728DD">
      <w:pPr>
        <w:pStyle w:val="TextoNormal"/>
      </w:pPr>
      <w:r>
        <w:t xml:space="preserve">Por tanto, “[s]olo en la medida en que se acreditase que la opinión de alguno o de algunos de los integrantes del tribunal haya podido verse condicionada por hechos o circunstancias </w:t>
      </w:r>
      <w:r>
        <w:lastRenderedPageBreak/>
        <w:t>externas a la propia deliberación, o que la citada ‘filtración’ iba encaminada a obtener una modificación interesada de lo previamente decidido, la garantía de imparcialidad, reconocida por el art. 24.2 CE, podría haberse visto afectada en su vertiente subjetiva”.</w:t>
      </w:r>
    </w:p>
    <w:p w:rsidR="005728DD" w:rsidRDefault="005728DD" w:rsidP="005728DD">
      <w:pPr>
        <w:pStyle w:val="TextoNormal"/>
      </w:pPr>
    </w:p>
    <w:p w:rsidR="005728DD" w:rsidRDefault="005728DD" w:rsidP="005728DD">
      <w:pPr>
        <w:pStyle w:val="TextoNormal"/>
      </w:pPr>
      <w:r>
        <w:t>A fin de efectuar esta valoración han de tenerse en cuenta, entre otros, los siguientes factores: (i) que no puede cuestionarse el desinterés objetivo en el asunto de los miembros del tribunal sentenciador, cuando “nada avala una relación previa de estos con las partes del proceso o con sus intereses”; (ii)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(iii) el contenido de la información y el tiempo en que se produjo su aparición en los medios de comunicación; y, en concreto, si “ya había concluido el juicio oral, se había desarrollado toda la prueba e, incluso, había finalizado la deliberación” [SSTC 64/2001, 65/2001, 66/2001, FFJJ 2 b), y 69/2001, FJ 14 b)].</w:t>
      </w:r>
    </w:p>
    <w:p w:rsidR="005728DD" w:rsidRDefault="005728DD" w:rsidP="005728DD">
      <w:pPr>
        <w:pStyle w:val="TextoNormal"/>
      </w:pPr>
    </w:p>
    <w:p w:rsidR="005728DD" w:rsidRDefault="005728DD" w:rsidP="005728DD">
      <w:pPr>
        <w:pStyle w:val="TextoNormal"/>
      </w:pPr>
      <w:r>
        <w:t>9.4</w:t>
      </w:r>
      <w:r w:rsidRPr="005728DD">
        <w:rPr>
          <w:i/>
        </w:rPr>
        <w:t>. Resolución de la que</w:t>
      </w:r>
      <w:r>
        <w:t>ja.</w:t>
      </w:r>
    </w:p>
    <w:p w:rsidR="005728DD" w:rsidRDefault="005728DD" w:rsidP="005728DD">
      <w:pPr>
        <w:pStyle w:val="TextoNormal"/>
      </w:pPr>
    </w:p>
    <w:p w:rsidR="005728DD" w:rsidRDefault="005728DD" w:rsidP="005728DD">
      <w:pPr>
        <w:pStyle w:val="TextoNormal"/>
      </w:pPr>
      <w:r>
        <w:t>No podemos tener por justificada la premisa de la que parte el motivo del recurso de amparo. Si por “filtración” entendemos, conforme a nuestra doctrina antes reseñada, la transmisión de información a terceros acerca del contenido o sentido de la deliberación y resolución de un caso, procedente de alguno de los magistrados integrantes del tribunal, seguida de la publicación en los medios de comunicación, con anterioridad a la definitiva conformación del fallo y de su notificación a las partes, no consta acreditado en las actuaciones que tales circunstancias hubieran tenido lugar.</w:t>
      </w:r>
    </w:p>
    <w:p w:rsidR="005728DD" w:rsidRDefault="005728DD" w:rsidP="005728DD">
      <w:pPr>
        <w:pStyle w:val="TextoNormal"/>
      </w:pPr>
    </w:p>
    <w:p w:rsidR="005728DD" w:rsidRDefault="005728DD" w:rsidP="005728DD">
      <w:pPr>
        <w:pStyle w:val="TextoNormal"/>
      </w:pPr>
      <w:r>
        <w:t>Atendida la relevancia pública de la causa penal que había sido enjuiciada, afirmar en el presente caso la existencia de una “filtración”, en el sentido jurídicamente relevante antes definido, es una inferencia no debidamente justificada, pues es notorio que en semanas anteriores a la publicación del fallo de la sentencia, el debate social y mediático giraba alrededor de una alternativa muy sencilla: si, en caso de producirse, la condena acogería la calificación del Ministerio Fiscal y la acusación popular (delito de rebelión) o la de la abogacía del Estado (delito de sedición). En tales circunstancias, resulta lógicamente presumible que una parte de quienes hubiesen seguido atentamente el juicio oral, fuesen juristas, periodistas o simples observadores, anticipasen su criterio de que la sentencia asumiría finalmente la acusación por sedición, llegando así a la misma conclusión que unánimemente alcanzaron los magistrados miembros del tribunal sentenciador. Este contexto permite explicar, como alternativa probable, que en los medios de comunicación se publicasen opiniones, previsiones o simples pronósticos inevitables, acertados o no, que no tenían en absoluto su origen en filtración alguna.</w:t>
      </w:r>
    </w:p>
    <w:p w:rsidR="005728DD" w:rsidRDefault="005728DD" w:rsidP="005728DD">
      <w:pPr>
        <w:pStyle w:val="TextoNormal"/>
      </w:pPr>
    </w:p>
    <w:p w:rsidR="005728DD" w:rsidRDefault="005728DD" w:rsidP="005728DD">
      <w:pPr>
        <w:pStyle w:val="TextoNormal"/>
      </w:pPr>
      <w:r>
        <w:t xml:space="preserve">A lo expuesto ha de añadirse, a fin de descartar cualquiera afectación de la imparcialidad judicial, la constatación de los siguientes elementos de juicio: (i) según hemos visto, el contenido de las noticias reseñadas en la demanda de amparo, datadas escasos días antes de la publicación de la sentencia, se ciñe a que previsiblemente se produciría la condena por un delito de sedición y a referir ciertos rasgos típicos de esta figura delictiva y del delito de </w:t>
      </w:r>
      <w:r>
        <w:lastRenderedPageBreak/>
        <w:t>rebelión, de mayor gravedad, por el que se había, también, formulado acusación; (ii) las deliberaciones se iniciaron al término del juicio oral, el 12 de junio de 2019, y se prolongaron hasta el 11 de octubre de ese mismo año, según dice la sentencia recurrida, siendo firmada la misma en fecha 14 de octubre de 2019, momento a partir del cual se llevó a cabo su notificación a las partes; (iii) el contenido de la sentencia, que cuenta con 493 folios, ha quedado reseñado en el apartado de antecedentes de esta resolución. A él nos remitimos para destacar aquí su complejidad, con una pluralidad de sujetos condenados por diversos delitos, de hechos y de cuestiones jurídicas; (iv) las incontables noticias y artículos de opinión (jurídica o no) aparecidas en los medios de comunicación, en foros y en revistas especializadas, antes, durante y después del juicio, retrasmitido en directo, y de la publicación de la sentencia, dan cuenta del contexto social y jurídico en que se enmarca este proceso.</w:t>
      </w:r>
    </w:p>
    <w:p w:rsidR="005728DD" w:rsidRDefault="005728DD" w:rsidP="005728DD">
      <w:pPr>
        <w:pStyle w:val="TextoNormal"/>
      </w:pPr>
    </w:p>
    <w:p w:rsidR="005728DD" w:rsidRDefault="005728DD" w:rsidP="005728DD">
      <w:pPr>
        <w:pStyle w:val="TextoNormal"/>
      </w:pPr>
      <w:r>
        <w:t>En tales circunstancias, no podemos tener por probado que las noticias aparecidas en los medios de comunicación procedieran de miembros de la sala enjuiciadora, ni mucho menos consideramos justificado que, atendiendo al contenido de tales informaciones, al contexto y al tiempo en que se produjeron (terminado el juicio oral y a escasos días de la finalización de una deliberación que se había prolongado durante meses), hayan menoscabado la imparcialidad o apariencia de imparcialidad del tribunal sentenciador. Tampoco deducimos que dichas noticias, en el escenario en que irrumpieron, fueran detonante de un clamor popular a favor de un determinado contenido del fallo, “poniendo en entredicho la necesaria serenidad del tribunal o la confianza de la ciudadanía en el comportamiento neutral de los juzgadores” (STC 136/1999, FJ 9), cuya experiencia y profesionalidad, en cuanto miembros del órgano jurisdiccional superior en todos los órdenes, salvo lo dispuesto en materia de garantías constitucionales (art. 123.1 CE), ha sido ya subrayada.</w:t>
      </w:r>
    </w:p>
    <w:p w:rsidR="005728DD" w:rsidRDefault="005728DD" w:rsidP="005728DD">
      <w:pPr>
        <w:pStyle w:val="TextoNormal"/>
      </w:pPr>
    </w:p>
    <w:p w:rsidR="005728DD" w:rsidRDefault="005728DD" w:rsidP="005728DD">
      <w:pPr>
        <w:pStyle w:val="TextoNormal"/>
      </w:pPr>
      <w:r>
        <w:t>En conclusión, los argumentos empleados por la parte demandante resultan insuficientes para cuestionar eficazmente la imparcialidad de la Sala de lo Penal del Tribunal Supremo que tuvo encomendado el enjuiciamiento del caso, manteniéndose incólume la presunción que rige en esta materia en la medida en que no existe prueba alguna que permita ponerla en duda.</w:t>
      </w:r>
    </w:p>
    <w:p w:rsidR="005728DD" w:rsidRDefault="005728DD" w:rsidP="005728DD">
      <w:pPr>
        <w:pStyle w:val="TextoNormal"/>
      </w:pPr>
    </w:p>
    <w:p w:rsidR="005728DD" w:rsidRDefault="005728DD" w:rsidP="005728DD">
      <w:pPr>
        <w:pStyle w:val="TextoNormal"/>
      </w:pPr>
      <w:r>
        <w:t>Por lo que procede, en consecuencia, la desestimación de este motivo de amparo.</w:t>
      </w:r>
    </w:p>
    <w:p w:rsidR="005728DD" w:rsidRDefault="005728DD" w:rsidP="005728DD">
      <w:pPr>
        <w:pStyle w:val="TextoNormal"/>
      </w:pPr>
    </w:p>
    <w:p w:rsidR="005728DD" w:rsidRPr="005728DD" w:rsidRDefault="005728DD" w:rsidP="005728DD">
      <w:pPr>
        <w:pStyle w:val="TextoNormal"/>
        <w:rPr>
          <w:i/>
        </w:rPr>
      </w:pPr>
      <w:r w:rsidRPr="005728DD">
        <w:rPr>
          <w:rStyle w:val="NumeroAFNegritaCaracter"/>
        </w:rPr>
        <w:t>10</w:t>
      </w:r>
      <w:r>
        <w:t xml:space="preserve">. </w:t>
      </w:r>
      <w:r w:rsidRPr="005728DD">
        <w:rPr>
          <w:i/>
        </w:rPr>
        <w:t>Derecho a un proceso con todas las garantías: imposición de penas superiores a las solicitadas por la acusación particular.</w:t>
      </w:r>
    </w:p>
    <w:p w:rsidR="005728DD" w:rsidRPr="005728DD" w:rsidRDefault="005728DD" w:rsidP="005728DD">
      <w:pPr>
        <w:pStyle w:val="TextoNormal"/>
        <w:rPr>
          <w:i/>
        </w:rPr>
      </w:pPr>
    </w:p>
    <w:p w:rsidR="005728DD" w:rsidRPr="005728DD" w:rsidRDefault="005728DD" w:rsidP="005728DD">
      <w:pPr>
        <w:pStyle w:val="TextoNormal"/>
        <w:rPr>
          <w:i/>
        </w:rPr>
      </w:pPr>
      <w:r w:rsidRPr="005728DD">
        <w:rPr>
          <w:i/>
        </w:rPr>
        <w:t>10.1. Posiciones de las partes.</w:t>
      </w:r>
    </w:p>
    <w:p w:rsidR="005728DD" w:rsidRDefault="005728DD" w:rsidP="005728DD">
      <w:pPr>
        <w:pStyle w:val="TextoNormal"/>
      </w:pPr>
    </w:p>
    <w:p w:rsidR="005728DD" w:rsidRDefault="005728DD" w:rsidP="005728DD">
      <w:pPr>
        <w:pStyle w:val="TextoNormal"/>
      </w:pPr>
      <w:r>
        <w:t>A través de este motivo, la demanda impugna la pena impuesta al recurrente, por considerar que excede de la concretamente solicitada por la acusación particular, en este caso, la abogacía del Estado, con la consiguiente vulneración del derecho a un proceso con todas las garantías, en su vertiente de respeto al principio acusatorio (art. 24.2 CE).</w:t>
      </w:r>
    </w:p>
    <w:p w:rsidR="005728DD" w:rsidRDefault="005728DD" w:rsidP="005728DD">
      <w:pPr>
        <w:pStyle w:val="TextoNormal"/>
      </w:pPr>
    </w:p>
    <w:p w:rsidR="005728DD" w:rsidRDefault="005728DD" w:rsidP="005728DD">
      <w:pPr>
        <w:pStyle w:val="TextoNormal"/>
      </w:pPr>
      <w:r>
        <w:t xml:space="preserve">El recurrente cita, a tal efecto, el acuerdo de 20 de diciembre de 2006 del Pleno no jurisdiccional de la Sala Segunda del Tribunal Supremo, cuyo tenor literal es el siguiente: “el tribunal sentenciador no puede imponer pena superior a la más grave de las pedidas en concreto por las acusaciones, cualquiera que sea el tipo de procedimiento por el que se sustancie la causa”. Con apoyo en ese acuerdo, y con expresa invocación y reseña parcial de la STS </w:t>
      </w:r>
      <w:r>
        <w:lastRenderedPageBreak/>
        <w:t>675/2013, de 21 de junio, el demandante entiende que, si la resolución impugnada descartó las acusaciones del Ministerio Fiscal y de la acusación popular, la pena máxima imponible venía determinada por la solicitud formulada por la abogacía del Estado. En este caso, esa acusación solicitó para el recurrente una pena de once años y seis meses de prisión y otros tantos de inhabilitación, pero la pena finalmente impuesta asciende a los doce años.</w:t>
      </w:r>
    </w:p>
    <w:p w:rsidR="005728DD" w:rsidRDefault="005728DD" w:rsidP="005728DD">
      <w:pPr>
        <w:pStyle w:val="TextoNormal"/>
      </w:pPr>
    </w:p>
    <w:p w:rsidR="005728DD" w:rsidRDefault="005728DD" w:rsidP="005728DD">
      <w:pPr>
        <w:pStyle w:val="TextoNormal"/>
      </w:pPr>
      <w:r>
        <w:t>Afirma también, que el hecho de que la acusación popular solicitara aisladamente para el delito de sedición penas más graves no justifica el proceder de la Sala, pues la concreta calificación efectuada por esta última fue expresamente descartada por el tribunal, al no pronunciarse acertadamente sobre la naturaleza de la relación concursal —que se presentaba como un concurso real de delitos—. Por último, señala que resulta contradictorio que la Sala se haya servido de las peticiones punitivas del partido político Vox para imponer las penas, cuando ha considerado que el ejercicio de la acusación popular por un partido político resulta ser un elemento “perturbador”, como se recoge expresamente en la sentencia (pág. 150), que sería muy conveniente suprimir del texto de la ley procesal.</w:t>
      </w:r>
    </w:p>
    <w:p w:rsidR="005728DD" w:rsidRDefault="005728DD" w:rsidP="005728DD">
      <w:pPr>
        <w:pStyle w:val="TextoNormal"/>
      </w:pPr>
    </w:p>
    <w:p w:rsidR="005728DD" w:rsidRDefault="005728DD" w:rsidP="005728DD">
      <w:pPr>
        <w:pStyle w:val="TextoNormal"/>
      </w:pPr>
      <w:r>
        <w:t>En relación con este motivo, el Ministerio Fiscal propugna su desestimación. Tras hacer una reseña de los antecedentes de la sentencia y del auto de nulidad de actuaciones que entendió de interés, cita y extracta parcialmente la STC 172/2016, de 17 de octubre, FJ 10, sobre el principio acusatorio. Sobre la base de lo anterior, el ministerio público considera que la sentencia no incurrió en extralimitación alguna. A su juicio, existe congruencia entre la acusación y el fallo. El objeto del procedimiento versa sobre hechos y sobre calificaciones jurídicas. La sentencia no introdujo hechos nuevos ni calificaciones jurídicas distintas de las formalizadas por las acusaciones. Se condenó por los delitos de sedición y malversación que habían sido objeto de acusación. La declaración sobre la existencia de un concurso real o medial no supone la introducción de un elemento o dato nuevo. Además, si se atiende a las penas interesadas por separado para cada uno de esos delitos, se observa que la pena impuesta no supera la suma de las solicitadas, mientras que si se tiene en cuenta la pena tipo mínima para cada delito también se respeta ese límite punitivo.</w:t>
      </w:r>
    </w:p>
    <w:p w:rsidR="005728DD" w:rsidRDefault="005728DD" w:rsidP="005728DD">
      <w:pPr>
        <w:pStyle w:val="TextoNormal"/>
      </w:pPr>
    </w:p>
    <w:p w:rsidR="005728DD" w:rsidRDefault="005728DD" w:rsidP="005728DD">
      <w:pPr>
        <w:pStyle w:val="TextoNormal"/>
      </w:pPr>
      <w:r>
        <w:t>En definitiva, para el fiscal, resulta acreditado que el recurrente “tuvo conocimiento efectivo de la posibilidad de que le fuera impuesta una condena por cada uno de los delitos considerados en concurso medial y que la pena definitivamente impuesta no resulta superior a la pretendida por la acusación popular […] el recurrente ha podido articular todos los instrumentos probatorios y alegatorios para defenderse de la condena por ambos delitos y de la cuantificación de la pena que finalmente se le impuso en la sentencia”.</w:t>
      </w:r>
    </w:p>
    <w:p w:rsidR="005728DD" w:rsidRDefault="005728DD" w:rsidP="005728DD">
      <w:pPr>
        <w:pStyle w:val="TextoNormal"/>
      </w:pPr>
    </w:p>
    <w:p w:rsidR="005728DD" w:rsidRDefault="005728DD" w:rsidP="005728DD">
      <w:pPr>
        <w:pStyle w:val="TextoNormal"/>
      </w:pPr>
      <w:r>
        <w:t>Por su parte, la abogacía del Estado se pronuncia en el mismo sentido, con expresa invocación de la STC 1/2020, de 14 de enero, FJ 7; de otro lado, la representación del partido político Vox achaca al recurrente que sea “este quien determin[e] si el tribunal debe aplicar la pena solicitada por una acusación u otra, convirtiéndose en juez y parte”, cuando además “ya reconoce […] en su escrito” que “no se ha condenado a los acusados a penas superiores a las solicitadas” en los “escritos de las acusaciones, también de la popular”.</w:t>
      </w:r>
    </w:p>
    <w:p w:rsidR="005728DD" w:rsidRDefault="005728DD" w:rsidP="005728DD">
      <w:pPr>
        <w:pStyle w:val="TextoNormal"/>
      </w:pPr>
    </w:p>
    <w:p w:rsidR="005728DD" w:rsidRDefault="005728DD" w:rsidP="005728DD">
      <w:pPr>
        <w:pStyle w:val="TextoNormal"/>
      </w:pPr>
      <w:r>
        <w:t xml:space="preserve">10.2. </w:t>
      </w:r>
      <w:r w:rsidRPr="005728DD">
        <w:rPr>
          <w:i/>
        </w:rPr>
        <w:t>Respuesta del órgano judicial</w:t>
      </w:r>
      <w:r>
        <w:t>.</w:t>
      </w:r>
    </w:p>
    <w:p w:rsidR="005728DD" w:rsidRDefault="005728DD" w:rsidP="005728DD">
      <w:pPr>
        <w:pStyle w:val="TextoNormal"/>
      </w:pPr>
    </w:p>
    <w:p w:rsidR="005728DD" w:rsidRDefault="005728DD" w:rsidP="005728DD">
      <w:pPr>
        <w:pStyle w:val="TextoNormal"/>
      </w:pPr>
      <w:r>
        <w:lastRenderedPageBreak/>
        <w:t>La alegación del recurrente fue rechazada por la sala de enjuiciamiento en el auto de 29 de enero de 2020, por el que se desestimaron los incidentes de nulidad de actuaciones planteados contra la sentencia condenatoria.</w:t>
      </w:r>
    </w:p>
    <w:p w:rsidR="005728DD" w:rsidRDefault="005728DD" w:rsidP="005728DD">
      <w:pPr>
        <w:pStyle w:val="TextoNormal"/>
      </w:pPr>
    </w:p>
    <w:p w:rsidR="005728DD" w:rsidRDefault="005728DD" w:rsidP="005728DD">
      <w:pPr>
        <w:pStyle w:val="TextoNormal"/>
      </w:pPr>
      <w:r>
        <w:t>En efecto, en el apartado 6.2.2 de ese auto se dice expresamente que la “pena de doce años […] no vulnera el principio acusatorio y, como en el caso de los demás acusados, respeta los márgenes fijados por los escritos de acusación”. Además, en el apartado 6.2.5, al descartar la falta de proporcionalidad de la pena impuesta, la Sala señala que el ahora recurrente “ha sido condenado también por un delito de malversación, en concurso medial, de manera que, como dijimos con respecto a [otro procesado], la pena, en aplicación del art. 77.3 CP habría podido ser mucho más elevada, hasta un total de veinte años de cumplimiento efectivo”.</w:t>
      </w:r>
    </w:p>
    <w:p w:rsidR="005728DD" w:rsidRDefault="005728DD" w:rsidP="005728DD">
      <w:pPr>
        <w:pStyle w:val="TextoNormal"/>
      </w:pPr>
    </w:p>
    <w:p w:rsidR="005728DD" w:rsidRDefault="005728DD" w:rsidP="005728DD">
      <w:pPr>
        <w:pStyle w:val="TextoNormal"/>
      </w:pPr>
      <w:r>
        <w:t xml:space="preserve">10.3. </w:t>
      </w:r>
      <w:r w:rsidRPr="005728DD">
        <w:rPr>
          <w:i/>
        </w:rPr>
        <w:t>Doctrina constitucional</w:t>
      </w:r>
      <w:r>
        <w:t>.</w:t>
      </w:r>
    </w:p>
    <w:p w:rsidR="005728DD" w:rsidRDefault="005728DD" w:rsidP="005728DD">
      <w:pPr>
        <w:pStyle w:val="TextoNormal"/>
      </w:pPr>
    </w:p>
    <w:p w:rsidR="005728DD" w:rsidRDefault="005728DD" w:rsidP="005728DD">
      <w:pPr>
        <w:pStyle w:val="TextoNormal"/>
      </w:pPr>
      <w:r>
        <w:t xml:space="preserve">Este tribunal ha tenido la oportunidad de fijar una consolidada doctrina sobre el principio acusatorio. Así, en la reciente STC 1/2020, de 14 de enero, FJ 7, hemos dicho que “si bien este principio no aparece expresamente mencionado entre los derechos constitucionales que disciplinan el proceso penal, hay que reconocer como protegidos en el art. 24.2 CE ciertas garantías que configuran los elementos estructurales de dicho principio, que trasciende el derecho a ser informado de la acusación, ya que quedan vinculados, además, con los derechos constitucionales de defensa y a la imparcialidad judicial (así, STC 113/2018, de 29 de octubre, FJ 3). A ello se ha añadido que entre el haz de garantías protegidas por el art. 24.2 CE conformadoras del principio acusatorio (i) se encuentra la de que nadie puede ser condenado por cosa distinta de la que se le ha acusado y de la que, por lo tanto, haya podido defenderse, habiendo precisado a este respecto que por ‘cosa’ no puede entenderse únicamente un concreto devenir de acontecimientos, un </w:t>
      </w:r>
      <w:r w:rsidRPr="005728DD">
        <w:rPr>
          <w:i/>
        </w:rPr>
        <w:t>factum</w:t>
      </w:r>
      <w:r>
        <w:t>, sino también la perspectiva jurídica que delimita de un cierto modo ese devenir y selecciona algunos de sus rasgos, pues el debate contradictorio recae no solo sobre los hechos, sino también sobre su calificación jurídica; (ii) la íntima relación existente entre el principio acusatorio y el derecho a la defensa implica la exigencia de que el imputado tenga posibilidad de rechazar la acusación que contra él ha sido formulada tras la celebración del necesario debate contradictorio en el que haya tenido oportunidad de conocer y rebatir los argumentos de la otra parte y presentar ante el órgano judicial los propios, tanto los de carácter fáctico como los de naturaleza jurídica; (iii) este derecho de defensa contradictoria determina la obligación del órgano judicial de pronunciarse dentro de los términos del debate, tal y como han sido formulados por la acusación y la defensa, lo cual, a su vez, significa que en última instancia ha de existir siempre correlación entre la acusación y el fallo de la sentencia, y (iv) esa sujeción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(así, por ejemplo, STC 172/2016, de 17 de octubre, FJ 10)”. Ver, en el mismo sentido, la STC 113/2018, de 29 de octubre, FJ 3, con cita de otras anteriores como las SSTC 123/2005, de 12 de mayo, FJ 4; 75/2013, de 8 de abril, FJ 2, y 155/2009, de 25 de junio, FJ 4.</w:t>
      </w:r>
    </w:p>
    <w:p w:rsidR="005728DD" w:rsidRDefault="005728DD" w:rsidP="005728DD">
      <w:pPr>
        <w:pStyle w:val="TextoNormal"/>
      </w:pPr>
    </w:p>
    <w:p w:rsidR="005728DD" w:rsidRDefault="005728DD" w:rsidP="005728DD">
      <w:pPr>
        <w:pStyle w:val="TextoNormal"/>
      </w:pPr>
      <w:r>
        <w:lastRenderedPageBreak/>
        <w:t>Precisamente, en nuestra STC 155/2009, de 25 de junio, afirmábamos, con cita de la STC 123/2005, de 12 de mayo, que el “fundamento del deber de congruencia entre la acusación y fallo, que constituye una de las manifestaciones del principio acusatorio contenidas en el derecho a un proceso con todas las garantías” debía ser puesto en “relación directa, principalmente, con los derechos a la defensa y a estar informado de la acusación, pues si se extralimitara el juzgador en el fallo, apreciando unos hechos o una calificación jurídica diferente a las pretendidas por las acusaciones, se privaría a la defensa de la necesaria contradicción. Pero también subrayábamos que este deber de congruencia encuentra su fundamento en el derecho a un proceso con todas las garantías, en el sentido de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(STC 123/2005, de 12 de mayo, FJ 4; doctrina reiterada, entre otras, en las SSTC 247/2005, de 10 de octubre, FJ 2; 170/2006, de 5 de junio, FJ 2)”.</w:t>
      </w:r>
    </w:p>
    <w:p w:rsidR="005728DD" w:rsidRDefault="005728DD" w:rsidP="005728DD">
      <w:pPr>
        <w:pStyle w:val="TextoNormal"/>
      </w:pPr>
    </w:p>
    <w:p w:rsidR="005728DD" w:rsidRDefault="005728DD" w:rsidP="005728DD">
      <w:pPr>
        <w:pStyle w:val="TextoNormal"/>
      </w:pPr>
      <w:r>
        <w:t>Pues bien, en dicha resolución, seguimos diciendo, se dio “un paso más en la protección de los derechos de defensa del imputado y en la preservación de la garantía de la imparcialidad judicial en el seno del proceso penal, en el sentido de estimar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(STC 155/2009, FJ 6).</w:t>
      </w:r>
    </w:p>
    <w:p w:rsidR="005728DD" w:rsidRDefault="005728DD" w:rsidP="005728DD">
      <w:pPr>
        <w:pStyle w:val="TextoNormal"/>
      </w:pPr>
    </w:p>
    <w:p w:rsidR="005728DD" w:rsidRDefault="005728DD" w:rsidP="005728DD">
      <w:pPr>
        <w:pStyle w:val="TextoNormal"/>
      </w:pPr>
      <w:r>
        <w:t>Con ello se superaba la tesis mantenida hasta ese momento (entre otras muchas, en SSTC 163/2004, de 4 de octubre, FJ 4; 71/2005, de 4 de abril, FJ 7, y 347/2006, de 11 de diciembre, FJ 3), que permitía al tribunal imponer “penas superiores a las solicitadas por las acusaciones dentro de los límites de la señalada por la ley al tipo penal incriminado, siempre que la calificación como tal de unos hechos, y los hechos mismos, hayan sido objeto del correspondiente debate”.</w:t>
      </w:r>
    </w:p>
    <w:p w:rsidR="005728DD" w:rsidRDefault="005728DD" w:rsidP="005728DD">
      <w:pPr>
        <w:pStyle w:val="TextoNormal"/>
      </w:pPr>
    </w:p>
    <w:p w:rsidR="005728DD" w:rsidRDefault="005728DD" w:rsidP="005728DD">
      <w:pPr>
        <w:pStyle w:val="TextoNormal"/>
      </w:pPr>
      <w:r>
        <w:t xml:space="preserve">Para este tribunal, la doctrina iniciada en la STC 155/2009 permite el reforzamiento y garantía de la “debida dimensión constitucional [de] los derechos de defensa del acusado. En efecto, la pena concreta solicitada por la acusación para el delito formalmente imputado constituye, al igual, por lo menos, que el relato fáctico y la calificación jurídica en la que aquella se sustenta, un elemento sin duda esencial y nuclear de la pretensión punitiva, determinante, en cuanto tal, de la actitud procesal y de la posible línea de defensa del imputado. Obviamente a este ha de informársele, </w:t>
      </w:r>
      <w:r w:rsidRPr="005728DD">
        <w:rPr>
          <w:i/>
        </w:rPr>
        <w:t>ex</w:t>
      </w:r>
      <w:r>
        <w:t xml:space="preserve"> art. 24.2 CE, no solo de los hechos imputados por la acusación y de su calificación jurídica, sino también de las reales y concretas consecuencias penológicas que aquella pretende por la comisión de dichos hechos; esto es, la pena </w:t>
      </w:r>
      <w:r>
        <w:lastRenderedPageBreak/>
        <w:t>cuya imposición se solicita. El acusado ejerce el derecho constitucional de defensa sobre la concreta pena solicitada por la acusación por los hechos imputados y la calificación jurídica que estos le merecen, y no sobre otra pretensión punitiva distinta, sin que en modo alguno le sea exigible vaticinar y defenderse de hipotéticas y futuribles penas que pudiera decidir el órgano judicial, y que excedan por su gravedad, naturaleza o cuantía de las solicitadas por la acusación. En otras palabras, la confrontación dialéctica entre las partes en el proceso y la consiguiente posibilidad de contradicción frente a los argumentos del adversario giran exclusivamente, en lo que ahora interesa, en torno a la acusación expresamente formulada contra el imputado, tanto por lo que se refiere a los elementos fácticos de la pretensión punitiva y a su calificación jurídica, como a las concretas consecuencias penológicas, frente a las que aquel ejerce su derecho constitucional de defensa. Así pues, ha de proscribirse la situación constitucional de indefensión que, por quiebra del principio acusatorio, padecería el condenado a quien se le impusiera una pena que excediese en su gravedad, naturaleza o cuantía de la solicitada por la acusación”.</w:t>
      </w:r>
    </w:p>
    <w:p w:rsidR="005728DD" w:rsidRDefault="005728DD" w:rsidP="005728DD">
      <w:pPr>
        <w:pStyle w:val="TextoNormal"/>
      </w:pPr>
    </w:p>
    <w:p w:rsidR="005728DD" w:rsidRDefault="005728DD" w:rsidP="005728DD">
      <w:pPr>
        <w:pStyle w:val="TextoNormal"/>
      </w:pPr>
      <w:r>
        <w:t xml:space="preserve">Y continuamos afirmando que “el alcance del deber de congruencia entre la acusación y el fallo, por lo que respecta a la pena a imponer por el órgano judicial en los términos definidos en este fundamento jurídico se cohonesta mejor, a la vez que también la refuerza en su debida dimensión constitucional, con la garantía de la imparcialidad judicial en el seno del proceso penal, que, como ya hemos señalado, constituye uno de los fundamentos de la exigencia de aquel deber de congruencia como manifestación del principio acusatorio. Ciertamente aquella garantía resulta mejor protegida si el órgano judicial no asume la iniciativa de imponer </w:t>
      </w:r>
      <w:r w:rsidRPr="005728DD">
        <w:rPr>
          <w:i/>
        </w:rPr>
        <w:t>ex officio</w:t>
      </w:r>
      <w:r>
        <w:t xml:space="preserve"> una pena que exceda en su gravedad, naturaleza o cuantía de la solicitada por la acusación, asumiendo un protagonismo no muy propio de un sistema configurado de acuerdo con el principio acusatorio, como el que informa la fase de plenario en el proceso penal” (STC 155/2009, FJ 6). Esta doctrina ha sido reiterada, entre otras, en la STC 47/2020, de 15 de julio, FJ 3.</w:t>
      </w:r>
    </w:p>
    <w:p w:rsidR="005728DD" w:rsidRDefault="005728DD" w:rsidP="005728DD">
      <w:pPr>
        <w:pStyle w:val="TextoNormal"/>
      </w:pPr>
    </w:p>
    <w:p w:rsidR="005728DD" w:rsidRDefault="005728DD" w:rsidP="005728DD">
      <w:pPr>
        <w:pStyle w:val="TextoNormal"/>
      </w:pPr>
      <w:r>
        <w:t>10.4</w:t>
      </w:r>
      <w:r w:rsidRPr="005728DD">
        <w:rPr>
          <w:i/>
        </w:rPr>
        <w:t>. Resolución de la que</w:t>
      </w:r>
      <w:r>
        <w:t>ja.</w:t>
      </w:r>
    </w:p>
    <w:p w:rsidR="005728DD" w:rsidRDefault="005728DD" w:rsidP="005728DD">
      <w:pPr>
        <w:pStyle w:val="TextoNormal"/>
      </w:pPr>
    </w:p>
    <w:p w:rsidR="005728DD" w:rsidRDefault="005728DD" w:rsidP="005728DD">
      <w:pPr>
        <w:pStyle w:val="TextoNormal"/>
      </w:pPr>
      <w:r>
        <w:t>La exposición de las pretensiones de las partes y de la doctrina de este tribunal permite abordar el enjuiciamiento constitucional de la queja planteada por el recurrente en su demanda.</w:t>
      </w:r>
    </w:p>
    <w:p w:rsidR="005728DD" w:rsidRDefault="005728DD" w:rsidP="005728DD">
      <w:pPr>
        <w:pStyle w:val="TextoNormal"/>
      </w:pPr>
    </w:p>
    <w:p w:rsidR="005728DD" w:rsidRDefault="005728DD" w:rsidP="005728DD">
      <w:pPr>
        <w:pStyle w:val="TextoNormal"/>
      </w:pPr>
      <w:r>
        <w:t>La sentencia impugnada condenó al demandante como autor responsable de un delito de sedición (art. 545.1 CP, con la consideración de autoridad), en concurso medial (art. 77.3 CP) con un delito de malversación de caudales públicos (art. 432.3 CP, en su modalidad agravada del último párrafo), y le impuso una pena de doce años de prisión y doce años de inhabilitación absoluta.</w:t>
      </w:r>
    </w:p>
    <w:p w:rsidR="005728DD" w:rsidRDefault="005728DD" w:rsidP="005728DD">
      <w:pPr>
        <w:pStyle w:val="TextoNormal"/>
      </w:pPr>
    </w:p>
    <w:p w:rsidR="005728DD" w:rsidRDefault="005728DD" w:rsidP="005728DD">
      <w:pPr>
        <w:pStyle w:val="TextoNormal"/>
      </w:pPr>
      <w:r>
        <w:t>En el fundamento jurídico D) 1 de la sentencia, la sala de enjuiciamiento explica los criterios tenidos en cuenta para imponer la pena concreta al ahora recurrente. Así, en lo que ahora interesa, considera que lo procedente es apreciar la calificación jurídica sostenida por la acusación particular ejercida por la abogacía del Estado, entendiendo los hechos como un concurso medial entre un delito de sedición y otro de malversación. De esta forma, “conforme a su punición con las reglas del concurso medial descrito en el art. 77.3 CP”, fija la pena de doce años de prisión y doce años de inhabilitación absoluta.</w:t>
      </w:r>
    </w:p>
    <w:p w:rsidR="005728DD" w:rsidRDefault="005728DD" w:rsidP="005728DD">
      <w:pPr>
        <w:pStyle w:val="TextoNormal"/>
      </w:pPr>
    </w:p>
    <w:p w:rsidR="005728DD" w:rsidRDefault="005728DD" w:rsidP="005728DD">
      <w:pPr>
        <w:pStyle w:val="TextoNormal"/>
      </w:pPr>
      <w:r>
        <w:lastRenderedPageBreak/>
        <w:t>Lo que este tribunal debe valorar, pues, es si la sentencia impugnada, y el auto que la ratifica en este punto, han incumplido la regla de que no procede imponer una pena superior a la interesada por las acusaciones.</w:t>
      </w:r>
    </w:p>
    <w:p w:rsidR="005728DD" w:rsidRDefault="005728DD" w:rsidP="005728DD">
      <w:pPr>
        <w:pStyle w:val="TextoNormal"/>
      </w:pPr>
    </w:p>
    <w:p w:rsidR="005728DD" w:rsidRDefault="005728DD" w:rsidP="005728DD">
      <w:pPr>
        <w:pStyle w:val="TextoNormal"/>
      </w:pPr>
      <w:r>
        <w:t>En el presente caso, el Ministerio Fiscal había solicitado una condena por un delito de rebelión, con el subtipo agravado de distracción de caudales públicos (art. 473.2 CP), solicitando una pena de dieciséis años de prisión y dieciséis años de inhabilitación absoluta. Por su parte, la acusación popular había solicitado una condena por delito de rebelión (en los mismos términos que el Ministerio Fiscal), interesando una pena de veinticinco años de prisión y veinte años de inhabilitación absoluta; subsidiariamente, por un delito de sedición (art. 545.1 CP) interesó la imposición de una pena de quince años de prisión y quince años de inhabilitación absoluta; y además solicitó igualmente la condena por un delito de malversación de caudales públicos (art. 432.3 CP), interesando una pena de doce años de prisión y de veinte años de inhabilitación absoluta.</w:t>
      </w:r>
    </w:p>
    <w:p w:rsidR="005728DD" w:rsidRDefault="005728DD" w:rsidP="005728DD">
      <w:pPr>
        <w:pStyle w:val="TextoNormal"/>
      </w:pPr>
    </w:p>
    <w:p w:rsidR="005728DD" w:rsidRDefault="005728DD" w:rsidP="005728DD">
      <w:pPr>
        <w:pStyle w:val="TextoNormal"/>
      </w:pPr>
      <w:r>
        <w:t>Conforme a estas peticiones, la pena impuesta de doce años de prisión y doce años de inhabilitación absoluta no supera la más grave de las interesadas por las acusaciones. La acusación popular había solicitado una pena de quince años de prisión y quince años de inhabilitación absoluta por el delito de sedición, así como una pena de doce años de prisión y de veinte años de inhabilitación absoluta por el delito de malversación. Por lo tanto, una de las acusaciones había solicitado una pena superior a la fijada en la sentencia por los delitos que fueron objeto de condena.</w:t>
      </w:r>
    </w:p>
    <w:p w:rsidR="005728DD" w:rsidRDefault="005728DD" w:rsidP="005728DD">
      <w:pPr>
        <w:pStyle w:val="TextoNormal"/>
      </w:pPr>
    </w:p>
    <w:p w:rsidR="005728DD" w:rsidRDefault="005728DD" w:rsidP="005728DD">
      <w:pPr>
        <w:pStyle w:val="TextoNormal"/>
      </w:pPr>
      <w:r>
        <w:t>El recurrente impugna la sentencia en este punto por dos motivos: i) considera que las penas interesadas por la acusación popular no pueden tenerse en cuenta para fijar el límite penológico máximo, porque su calificación jurídica no fue acogida por la sentencia, que entendió aplicable el concurso medial (art. 77.3 CP) propuesto por la abogacía del Estado frente al concurso real (art. 73 CP) planteado por la acusación popular; y ii) considera que la sentencia no debió tener en cuenta la pena interesada por la acusación popular porque, según los propios términos empleados por la Sala [fundamento jurídico A) 11], la presencia de un partido político en el proceso penal es “perturbador[a]”.</w:t>
      </w:r>
    </w:p>
    <w:p w:rsidR="005728DD" w:rsidRDefault="005728DD" w:rsidP="005728DD">
      <w:pPr>
        <w:pStyle w:val="TextoNormal"/>
      </w:pPr>
    </w:p>
    <w:p w:rsidR="005728DD" w:rsidRDefault="005728DD" w:rsidP="005728DD">
      <w:pPr>
        <w:pStyle w:val="TextoNormal"/>
      </w:pPr>
      <w:r>
        <w:t xml:space="preserve">Empezando por este segundo argumento, nos encontramos ante una lectura parcial de la resolución impugnada. La propia Sala realiza esa consideración en el marco de una impugnación planteada por uno de los procesados, en la que se alegaba la vulneración del derecho a un proceso con todas las garantías “por la presencia de un partido machista y xenófobo como Vox ejerciendo la acusación popular”. En ese contexto, el Tribunal Supremo considera que, en general, la presencia de un partido político, de cualquier partido político, “no es, desde luego, positiva”, para continuar recordando que “ya ha tenido la oportunidad de llamar la atención acerca de la necesidad de abordar una regulación de esta materia que excluya el riesgo de trasladar al proceso penal la contienda política”. No obstante, el propio tribunal señala que “el actual estado de cosas no permite a esta Sala otra opción que admitir en el ejercicio de la acción popular a quien se personó en tiempo y forma, colmando todos los requisitos exigidos legal y jurisprudencialmente para actuar como acusador popular”. De lo expuesto se deduce que la mención destacada por el recurrente fue empleada por la Sala como un argumento de </w:t>
      </w:r>
      <w:r w:rsidRPr="005728DD">
        <w:rPr>
          <w:i/>
        </w:rPr>
        <w:t>lege ferenda</w:t>
      </w:r>
      <w:r>
        <w:t xml:space="preserve">, como un desiderátum. Pero, una vez personada en legal forma una acusación, no puede desecharse su posición procesal, con independencia del juicio que merezca la legislación que permite esa personación. En consecuencia, la pena </w:t>
      </w:r>
      <w:r>
        <w:lastRenderedPageBreak/>
        <w:t>interesada por una acusación popular válidamente constituida en el proceso puede ser tenida en cuenta a los efectos de fijar el límite máximo penológico imponible.</w:t>
      </w:r>
    </w:p>
    <w:p w:rsidR="005728DD" w:rsidRDefault="005728DD" w:rsidP="005728DD">
      <w:pPr>
        <w:pStyle w:val="TextoNormal"/>
      </w:pPr>
    </w:p>
    <w:p w:rsidR="005728DD" w:rsidRDefault="005728DD" w:rsidP="005728DD">
      <w:pPr>
        <w:pStyle w:val="TextoNormal"/>
      </w:pPr>
      <w:r>
        <w:t>Sentado lo anterior, el criterio seguido por la sentencia impugnada no vulnera el principio acusatorio. La doctrina de este tribunal, como la del Tribunal Supremo, no requiere que el límite penológico venga impuesto por la acusación “más correcta” o con la acusación que finalmente “sea acogida” o con la acusación que nos parezca “menos perturbadora”. El límite viene fijado por la acusación “más grave”, siempre que, obviamente, se trate de una pena imponible legalmente —cosa que en este caso no se discute— y que se respeten los hechos y la calificación jurídica objeto de enjuiciamiento.</w:t>
      </w:r>
    </w:p>
    <w:p w:rsidR="005728DD" w:rsidRDefault="005728DD" w:rsidP="005728DD">
      <w:pPr>
        <w:pStyle w:val="TextoNormal"/>
      </w:pPr>
    </w:p>
    <w:p w:rsidR="005728DD" w:rsidRDefault="005728DD" w:rsidP="005728DD">
      <w:pPr>
        <w:pStyle w:val="TextoNormal"/>
      </w:pPr>
      <w:r>
        <w:t>En este supuesto, los hechos y las calificaciones jurídicas de las acusaciones particular y popular coincidían en la posible comisión de sendos delitos de sedición y malversación, discrepando únicamente de la relación concursal existente entre ambos. Como es conocido, la teoría concursal puede entenderse que hace referencia tanto a la calificación jurídica de los hechos —porque pone de manifiesto una determinada relación entre los distintos delitos—, como a las reglas de aplicación de las penas, donde se ubica sistemáticamente en el Código penal (arts. 73 y ss.). Lo que hizo la sentencia fue acoger la concreta calificación jurídica propuesta por la acusación particular, y fijar la pena respetando el límite máximo fijado por las acusaciones, en este caso, por la acusación popular, ya que el Ministerio Fiscal formulaba una acusación de naturaleza jurídica sustancialmente diferente, por lo que no podía ser tenida en cuenta a estos efectos.</w:t>
      </w:r>
    </w:p>
    <w:p w:rsidR="005728DD" w:rsidRDefault="005728DD" w:rsidP="005728DD">
      <w:pPr>
        <w:pStyle w:val="TextoNormal"/>
      </w:pPr>
    </w:p>
    <w:p w:rsidR="005728DD" w:rsidRDefault="005728DD" w:rsidP="005728DD">
      <w:pPr>
        <w:pStyle w:val="TextoNormal"/>
      </w:pPr>
      <w:r>
        <w:t>En cualquier caso, como se indicaba en la STC 1/2020 —en la que también se planteaba una diferencia de criterio entre las partes sobre el tipo de concurso aplicable—, lo relevante es que “los demandantes de amparo tuvieron […] un conocimiento efectivo de la posibilidad de que le fuera impuesta una condena por el delito de [desórdenes públicos] en concurso ideal con el de [impedir el derecho de reunión] y que la pena definitivamente impuesta no resulta superior a la pretendida por alguna de las acusaciones”, por lo que debía “concluirse que no se ha vulnerado el derecho a un proceso con todas las garantías de los demandantes de amparo, desde la perspectiva del principio acusatorio, pues estos pudieron articular todos los instrumentos probatorios y alegatorios para defenderse de la condena por ambos delitos y de la cuantificación de la pena que finalmente se les impuso en la sentencia de casación”. No estamos en presencia, por tanto, del supuesto de hecho abordado en la STC 155/2009, en el que el tribunal sentenciador había condenado por una “pena de mayor gravedad y distinta naturaleza a la solicitada [por la acusación], resultando limitadas las facultades de defensa […], al desconocer que los hechos que se le imputaban podían ser sancionados con la pena a la que finalmente fue condenada, y resultando comprometida también la imparcialidad de los órganos judiciales, ya que han encauzado la acusación en el extremo concerniente a la pena impuesta”.</w:t>
      </w:r>
    </w:p>
    <w:p w:rsidR="005728DD" w:rsidRDefault="005728DD" w:rsidP="005728DD">
      <w:pPr>
        <w:pStyle w:val="TextoNormal"/>
      </w:pPr>
    </w:p>
    <w:p w:rsidR="005728DD" w:rsidRDefault="005728DD" w:rsidP="005728DD">
      <w:pPr>
        <w:pStyle w:val="TextoNormal"/>
      </w:pPr>
      <w:r>
        <w:t>En el presente caso, las defensas tuvieron conocimiento en todo momento de los delitos por los que se les acusaba, de las distintas calificaciones jurídicas propuestas y de las diversas opciones y límites penológicos a las que se enfrentaban. La sentencia no introdujo un hecho nuevo, una calificación jurídica distinta ni un rango penológico más grave o de diferente naturaleza que el planteado por las acusaciones. En consecuencia, se ha respetado esta regla derivada de la relevancia constitucional del principio acusatorio como expresión del derecho a un juicio con todas las garantías reconocido en el art. 24.2 CE.</w:t>
      </w:r>
    </w:p>
    <w:p w:rsidR="005728DD" w:rsidRDefault="005728DD" w:rsidP="005728DD">
      <w:pPr>
        <w:pStyle w:val="TextoNormal"/>
      </w:pPr>
    </w:p>
    <w:p w:rsidR="005728DD" w:rsidRDefault="005728DD" w:rsidP="005728DD">
      <w:pPr>
        <w:pStyle w:val="TextoNormal"/>
      </w:pPr>
      <w:r>
        <w:t>El motivo ha de ser desestimado.</w:t>
      </w:r>
    </w:p>
    <w:p w:rsidR="005728DD" w:rsidRDefault="005728DD" w:rsidP="005728DD">
      <w:pPr>
        <w:pStyle w:val="TextoNormal"/>
      </w:pPr>
    </w:p>
    <w:p w:rsidR="005728DD" w:rsidRDefault="005728DD" w:rsidP="005728DD">
      <w:pPr>
        <w:pStyle w:val="TextoNormal"/>
      </w:pPr>
      <w:r w:rsidRPr="005728DD">
        <w:rPr>
          <w:rStyle w:val="NumeroAFNegritaCaracter"/>
        </w:rPr>
        <w:t>11</w:t>
      </w:r>
      <w:r>
        <w:t xml:space="preserve">. </w:t>
      </w:r>
      <w:r w:rsidRPr="005728DD">
        <w:rPr>
          <w:i/>
        </w:rPr>
        <w:t>Derecho a la legalidad sancionatoria, en relación con otros derechos fundamentales sustantivos</w:t>
      </w:r>
      <w:r>
        <w:t>.</w:t>
      </w:r>
    </w:p>
    <w:p w:rsidR="005728DD" w:rsidRDefault="005728DD" w:rsidP="005728DD">
      <w:pPr>
        <w:pStyle w:val="TextoNormal"/>
      </w:pPr>
    </w:p>
    <w:p w:rsidR="005728DD" w:rsidRDefault="005728DD" w:rsidP="005728DD">
      <w:pPr>
        <w:pStyle w:val="TextoNormal"/>
      </w:pPr>
      <w:r>
        <w:t>A continuación, se procederá a dar respuesta al bloque de quejas que se agrupan bajo el común denominador de aducir la vulneración del derecho a la legalidad penal reconocido en el art. 25.1 CE. No obstante, antes de pronunciarnos sobre las diferentes denuncias formuladas en relación con el derecho indicado, hemos de advertir que su orden de análisis no coincide exactamente con el seguido en el recurso.</w:t>
      </w:r>
    </w:p>
    <w:p w:rsidR="005728DD" w:rsidRDefault="005728DD" w:rsidP="005728DD">
      <w:pPr>
        <w:pStyle w:val="TextoNormal"/>
      </w:pPr>
    </w:p>
    <w:p w:rsidR="005728DD" w:rsidRDefault="005728DD" w:rsidP="005728DD">
      <w:pPr>
        <w:pStyle w:val="TextoNormal"/>
      </w:pPr>
      <w:r>
        <w:t>En el apartado décimo de la demanda de amparo se censura la falta de taxatividad del delito de sedición, deficiencia esta que se atribuye específicamente al tipo penal descrito en el art. 544 CP. Siendo así, entendemos procedente abordar la resolución de esta denuncia en primer lugar pues, de ser estimada, excusaría del ulterior análisis de los restantes reproches que se dirigen sobre la decisión judicial en lo atinente a la interpretación y aplicación de la norma penal referida. Para el caso de no ser estimada esa vulneración, continuaríamos nuestro análisis conforme al esquema propuesto en el escrito de demanda.</w:t>
      </w:r>
    </w:p>
    <w:p w:rsidR="005728DD" w:rsidRDefault="005728DD" w:rsidP="005728DD">
      <w:pPr>
        <w:pStyle w:val="TextoNormal"/>
      </w:pPr>
    </w:p>
    <w:p w:rsidR="005728DD" w:rsidRDefault="005728DD" w:rsidP="005728DD">
      <w:pPr>
        <w:pStyle w:val="TextoNormal"/>
      </w:pPr>
      <w:r>
        <w:t xml:space="preserve">11.1. </w:t>
      </w:r>
      <w:r w:rsidRPr="005728DD">
        <w:rPr>
          <w:i/>
        </w:rPr>
        <w:t>Doctrina constitucional</w:t>
      </w:r>
      <w:r>
        <w:t>.</w:t>
      </w:r>
    </w:p>
    <w:p w:rsidR="005728DD" w:rsidRDefault="005728DD" w:rsidP="005728DD">
      <w:pPr>
        <w:pStyle w:val="TextoNormal"/>
      </w:pPr>
    </w:p>
    <w:p w:rsidR="005728DD" w:rsidRDefault="005728DD" w:rsidP="005728DD">
      <w:pPr>
        <w:pStyle w:val="TextoNormal"/>
      </w:pPr>
      <w:r>
        <w:t>Hecha la anterior precisión, procede compendiar a continuación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del producirse no constituyan delito, falta o infracción administrativa, según la legislación vigente en aquel momento”.</w:t>
      </w:r>
    </w:p>
    <w:p w:rsidR="005728DD" w:rsidRDefault="005728DD" w:rsidP="005728DD">
      <w:pPr>
        <w:pStyle w:val="TextoNormal"/>
      </w:pPr>
    </w:p>
    <w:p w:rsidR="005728DD" w:rsidRDefault="005728DD" w:rsidP="005728DD">
      <w:pPr>
        <w:pStyle w:val="TextoNormal"/>
      </w:pPr>
      <w:r>
        <w:t>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005728DD" w:rsidRDefault="005728DD" w:rsidP="005728DD">
      <w:pPr>
        <w:pStyle w:val="TextoNormal"/>
      </w:pPr>
    </w:p>
    <w:p w:rsidR="005728DD" w:rsidRDefault="005728DD" w:rsidP="005728DD">
      <w:pPr>
        <w:pStyle w:val="TextoNormal"/>
      </w:pPr>
      <w:r>
        <w:t>“a)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005728DD" w:rsidRDefault="005728DD" w:rsidP="005728DD">
      <w:pPr>
        <w:pStyle w:val="TextoNormal"/>
      </w:pPr>
    </w:p>
    <w:p w:rsidR="005728DD" w:rsidRDefault="005728DD" w:rsidP="005728DD">
      <w:pPr>
        <w:pStyle w:val="TextoNormal"/>
      </w:pPr>
      <w:r>
        <w:t xml:space="preserve">También hemos señalado desde nuestras primeras resoluciones —STC 15/1981, de 7 de mayo, FJ 7— que del art. 25.1 CE se deriva una ‘reserva absoluta’ de ley en el ámbito penal. </w:t>
      </w:r>
      <w:r>
        <w:lastRenderedPageBreak/>
        <w:t>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005728DD" w:rsidRDefault="005728DD" w:rsidP="005728DD">
      <w:pPr>
        <w:pStyle w:val="TextoNormal"/>
      </w:pPr>
    </w:p>
    <w:p w:rsidR="005728DD" w:rsidRDefault="005728DD" w:rsidP="005728DD">
      <w:pPr>
        <w:pStyle w:val="TextoNormal"/>
      </w:pPr>
      <w: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5728DD">
        <w:rPr>
          <w:i/>
        </w:rPr>
        <w:t>ex ante</w:t>
      </w:r>
      <w:r>
        <w:t xml:space="preserv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005728DD" w:rsidRDefault="005728DD" w:rsidP="005728DD">
      <w:pPr>
        <w:pStyle w:val="TextoNormal"/>
      </w:pPr>
    </w:p>
    <w:p w:rsidR="005728DD" w:rsidRDefault="005728DD" w:rsidP="005728DD">
      <w:pPr>
        <w:pStyle w:val="TextoNormal"/>
      </w:pPr>
      <w:r>
        <w:t>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005728DD" w:rsidRDefault="005728DD" w:rsidP="005728DD">
      <w:pPr>
        <w:pStyle w:val="TextoNormal"/>
      </w:pPr>
    </w:p>
    <w:p w:rsidR="005728DD" w:rsidRDefault="005728DD" w:rsidP="005728DD">
      <w:pPr>
        <w:pStyle w:val="TextoNormal"/>
      </w:pPr>
      <w:r>
        <w:t>B) Este tribunal ha resaltado la importancia del mandato de taxatividad que el precepto constitucional objeto de cita contiene. Ejemplo de ello son los argumentos que figuran en la STC 146/2015, de 25 de junio, FJ 2, que a continuación se transcriben:</w:t>
      </w:r>
    </w:p>
    <w:p w:rsidR="005728DD" w:rsidRDefault="005728DD" w:rsidP="005728DD">
      <w:pPr>
        <w:pStyle w:val="TextoNormal"/>
      </w:pPr>
    </w:p>
    <w:p w:rsidR="005728DD" w:rsidRDefault="005728DD" w:rsidP="005728DD">
      <w:pPr>
        <w:pStyle w:val="TextoNormal"/>
      </w:pPr>
      <w:r>
        <w:t>“El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w:t>
      </w:r>
      <w:r w:rsidRPr="005728DD">
        <w:rPr>
          <w:i/>
        </w:rPr>
        <w:t>lex certa</w:t>
      </w:r>
      <w:r>
        <w:t xml:space="preserve">), en virtud del cual el legislador debe promulgar </w:t>
      </w:r>
      <w:r>
        <w:lastRenderedPageBreak/>
        <w:t>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005728DD" w:rsidRDefault="005728DD" w:rsidP="005728DD">
      <w:pPr>
        <w:pStyle w:val="TextoNormal"/>
      </w:pPr>
    </w:p>
    <w:p w:rsidR="005728DD" w:rsidRDefault="005728DD" w:rsidP="005728DD">
      <w:pPr>
        <w:pStyle w:val="TextoNormal"/>
      </w:pPr>
      <w:r>
        <w:t>Tal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005728DD" w:rsidRDefault="005728DD" w:rsidP="005728DD">
      <w:pPr>
        <w:pStyle w:val="TextoNormal"/>
      </w:pPr>
    </w:p>
    <w:p w:rsidR="005728DD" w:rsidRDefault="005728DD" w:rsidP="005728DD">
      <w:pPr>
        <w:pStyle w:val="TextoNormal"/>
      </w:pPr>
      <w:r>
        <w:t xml:space="preserve">“La garantía constitucional de </w:t>
      </w:r>
      <w:r w:rsidRPr="005728DD">
        <w:rPr>
          <w:i/>
        </w:rPr>
        <w:t>lex certa</w:t>
      </w:r>
      <w:r>
        <w:t>, como faceta específica del derecho a la legalidad sancionadora, se desenvuelve, en nuestra doctrina (</w:t>
      </w:r>
      <w:r w:rsidRPr="005728DD">
        <w:rPr>
          <w:i/>
        </w:rPr>
        <w:t>vid</w:t>
      </w:r>
      <w:r>
        <w:t>, por todas, las SSTC 146/2015, de 25 de junio, FJ 2; 219/2016, de 19 de diciembre, FJ 5, y 220/2016, de 19 de diciembre, FJ 5), en dos ámbitos distintos:</w:t>
      </w:r>
    </w:p>
    <w:p w:rsidR="005728DD" w:rsidRDefault="005728DD" w:rsidP="005728DD">
      <w:pPr>
        <w:pStyle w:val="TextoNormal"/>
      </w:pPr>
    </w:p>
    <w:p w:rsidR="005728DD" w:rsidRDefault="005728DD" w:rsidP="005728DD">
      <w:pPr>
        <w:pStyle w:val="TextoNormal"/>
      </w:pPr>
      <w:r>
        <w:t xml:space="preserve">a) Ámbito normativo. De un lado, la garantía de certeza puede resultar vulnerada por la insuficiente determinación </w:t>
      </w:r>
      <w:r w:rsidRPr="005728DD">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5728DD" w:rsidRDefault="005728DD" w:rsidP="005728DD">
      <w:pPr>
        <w:pStyle w:val="TextoNormal"/>
      </w:pPr>
    </w:p>
    <w:p w:rsidR="005728DD" w:rsidRDefault="005728DD" w:rsidP="005728DD">
      <w:pPr>
        <w:pStyle w:val="TextoNormal"/>
      </w:pPr>
      <w:r>
        <w:t xml:space="preserve">b) Ámbito aplicativo. En cambio, aun cuando la redacción de la norma sancionadora resulta suficientemente precisa, la garantía de </w:t>
      </w:r>
      <w:r w:rsidRPr="005728DD">
        <w:rPr>
          <w:i/>
        </w:rPr>
        <w:t>lex certa</w:t>
      </w:r>
      <w:r>
        <w:t xml:space="preserve"> puede verse afectada por la aplicación irrazonable de dicha norma, vertiente que se desdobla, a su vez, en dos planos, (i) el de la indebida interpretación </w:t>
      </w:r>
      <w:r w:rsidRPr="005728DD">
        <w:rPr>
          <w:i/>
        </w:rPr>
        <w:t>ad casum</w:t>
      </w:r>
      <w:r>
        <w:t xml:space="preserve"> del alcance semántico del precepto, más allá de su sentido literal posible (analogía </w:t>
      </w:r>
      <w:r w:rsidRPr="005728DD">
        <w:rPr>
          <w:i/>
        </w:rPr>
        <w:t>in malam partem</w:t>
      </w:r>
      <w:r>
        <w:t xml:space="preserve">),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w:t>
      </w:r>
      <w:r>
        <w:lastRenderedPageBreak/>
        <w:t>de un modo irrazonable en el tipo penal’ (SSTC 91/2009, de 20 de abril, FJ 6; 153/2011, de 17 de octubre, FJ 8, y 196/2013, de 2 de diciembre, FJ 5)”.</w:t>
      </w:r>
    </w:p>
    <w:p w:rsidR="005728DD" w:rsidRDefault="005728DD" w:rsidP="005728DD">
      <w:pPr>
        <w:pStyle w:val="TextoNormal"/>
      </w:pPr>
    </w:p>
    <w:p w:rsidR="005728DD" w:rsidRDefault="005728DD" w:rsidP="005728DD">
      <w:pPr>
        <w:pStyle w:val="TextoNormal"/>
      </w:pPr>
      <w:r>
        <w:t>No obstante, el principio de taxatividad no es incompatible, como hemos apuntado, con el empleo de conceptos jurídicos indeterminados o la utilización de una terminología con cierto grado de ambigüedad por parte del legislador, como así queda expuesto, entre otras, en la STC 37/2018, de 23 de abril, FJ 3 a):</w:t>
      </w:r>
    </w:p>
    <w:p w:rsidR="005728DD" w:rsidRDefault="005728DD" w:rsidP="005728DD">
      <w:pPr>
        <w:pStyle w:val="TextoNormal"/>
      </w:pPr>
    </w:p>
    <w:p w:rsidR="005728DD" w:rsidRDefault="005728DD" w:rsidP="005728DD">
      <w:pPr>
        <w:pStyle w:val="TextoNormal"/>
      </w:pPr>
      <w:r>
        <w:t xml:space="preserve">“A esa exigencia de </w:t>
      </w:r>
      <w:r w:rsidRPr="005728DD">
        <w:rPr>
          <w:i/>
        </w:rPr>
        <w:t>lex certa</w:t>
      </w:r>
      <w:r>
        <w:t>,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005728DD" w:rsidRDefault="005728DD" w:rsidP="005728DD">
      <w:pPr>
        <w:pStyle w:val="TextoNormal"/>
      </w:pPr>
    </w:p>
    <w:p w:rsidR="005728DD" w:rsidRDefault="005728DD" w:rsidP="005728DD">
      <w:pPr>
        <w:pStyle w:val="TextoNormal"/>
      </w:pPr>
      <w:r>
        <w:t xml:space="preserve">C) La aplicación de la analogía </w:t>
      </w:r>
      <w:r w:rsidRPr="005728DD">
        <w:rPr>
          <w:i/>
        </w:rPr>
        <w:t>in malam partem</w:t>
      </w:r>
      <w:r>
        <w:t xml:space="preserve"> y también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5728DD" w:rsidRDefault="005728DD" w:rsidP="005728DD">
      <w:pPr>
        <w:pStyle w:val="TextoNormal"/>
      </w:pPr>
    </w:p>
    <w:p w:rsidR="005728DD" w:rsidRDefault="005728DD" w:rsidP="005728DD">
      <w:pPr>
        <w:pStyle w:val="TextoNormal"/>
      </w:pPr>
      <w:r>
        <w:t>“A este respecto, hemos destacado que ‘la garantía material del principio de legalidad comporta el mandato de taxatividad o certeza, que se traduce en la exigencia de predeterminación normativa de las conductas punibles y de sus correspondientes sanciones (</w:t>
      </w:r>
      <w:r w:rsidRPr="005728DD">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5728DD">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005728DD" w:rsidRDefault="005728DD" w:rsidP="005728DD">
      <w:pPr>
        <w:pStyle w:val="TextoNormal"/>
      </w:pPr>
    </w:p>
    <w:p w:rsidR="005728DD" w:rsidRDefault="005728DD" w:rsidP="005728DD">
      <w:pPr>
        <w:pStyle w:val="TextoNormal"/>
      </w:pPr>
      <w:r>
        <w:lastRenderedPageBreak/>
        <w:t>D) A su vez, este tribunal ha precisado las exigencias a que se deben sujetar los órganos judiciales, al verificar la labor de subsunción de los hechos en la norma penal. Nuestra doctrina sobre ese particular queda recogida con detalle en la STC 129/2008, de 27 de octubre, FJ 3, en los siguientes términos:</w:t>
      </w:r>
    </w:p>
    <w:p w:rsidR="005728DD" w:rsidRDefault="005728DD" w:rsidP="005728DD">
      <w:pPr>
        <w:pStyle w:val="TextoNormal"/>
      </w:pPr>
    </w:p>
    <w:p w:rsidR="005728DD" w:rsidRDefault="005728DD" w:rsidP="005728DD">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5728DD" w:rsidRDefault="005728DD" w:rsidP="005728DD">
      <w:pPr>
        <w:pStyle w:val="TextoNormal"/>
      </w:pPr>
    </w:p>
    <w:p w:rsidR="005728DD" w:rsidRDefault="005728DD" w:rsidP="005728DD">
      <w:pPr>
        <w:pStyle w:val="TextoNormal"/>
      </w:pPr>
      <w:r>
        <w:t>En el examen de razonabilidad de la subsunción de los hechos probados en la norma penal, el primero de los criterios está constituido así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5728DD" w:rsidRDefault="005728DD" w:rsidP="005728DD">
      <w:pPr>
        <w:pStyle w:val="TextoNormal"/>
      </w:pPr>
    </w:p>
    <w:p w:rsidR="005728DD" w:rsidRDefault="005728DD" w:rsidP="005728DD">
      <w:pPr>
        <w:pStyle w:val="TextoNormal"/>
      </w:pPr>
      <w:r>
        <w:lastRenderedPageBreak/>
        <w:t>E) La proporcionalidad de las penas también ha sido objeto de análisis desde el prisma del derecho reconocido en el art. 25.1 CE. Concretamente, en la STC 136/1999, de 20 de julio, FJ 23, este tribunal delimitó, en los términos que a continuación se exponen, cuál es alcance de la referida cualidad en relación con los derechos fundamentales tutelados en amparo:</w:t>
      </w:r>
    </w:p>
    <w:p w:rsidR="005728DD" w:rsidRDefault="005728DD" w:rsidP="005728DD">
      <w:pPr>
        <w:pStyle w:val="TextoNormal"/>
      </w:pPr>
    </w:p>
    <w:p w:rsidR="005728DD" w:rsidRDefault="005728DD" w:rsidP="005728DD">
      <w:pPr>
        <w:pStyle w:val="TextoNormal"/>
      </w:pPr>
      <w:r>
        <w:t>“El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005728DD" w:rsidRDefault="005728DD" w:rsidP="005728DD">
      <w:pPr>
        <w:pStyle w:val="TextoNormal"/>
      </w:pPr>
    </w:p>
    <w:p w:rsidR="005728DD" w:rsidRDefault="005728DD" w:rsidP="005728DD">
      <w:pPr>
        <w:pStyle w:val="TextoNormal"/>
      </w:pPr>
      <w:r>
        <w:t>En este contexto, “[e]l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005728DD" w:rsidRDefault="005728DD" w:rsidP="005728DD">
      <w:pPr>
        <w:pStyle w:val="TextoNormal"/>
      </w:pPr>
    </w:p>
    <w:p w:rsidR="005728DD" w:rsidRDefault="005728DD" w:rsidP="005728DD">
      <w:pPr>
        <w:pStyle w:val="TextoNormal"/>
      </w:pPr>
      <w:r>
        <w:lastRenderedPageBreak/>
        <w:t>De esta manera,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5728DD" w:rsidRDefault="005728DD" w:rsidP="005728DD">
      <w:pPr>
        <w:pStyle w:val="TextoNormal"/>
      </w:pPr>
    </w:p>
    <w:p w:rsidR="005728DD" w:rsidRDefault="005728DD" w:rsidP="005728DD">
      <w:pPr>
        <w:pStyle w:val="TextoNormal"/>
      </w:pPr>
      <w:r>
        <w:t>Así, pues,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005728DD" w:rsidRDefault="005728DD" w:rsidP="005728DD">
      <w:pPr>
        <w:pStyle w:val="TextoNormal"/>
      </w:pPr>
    </w:p>
    <w:p w:rsidR="005728DD" w:rsidRDefault="005728DD" w:rsidP="005728DD">
      <w:pPr>
        <w:pStyle w:val="TextoNormal"/>
      </w:pPr>
      <w:r>
        <w:t>F) Finalmente, procede reflejar el parámetro al que se debe sujetar este tribunal para fiscalizar la interpretación y aplicación de la norma penal por parte de los juzgados y tribunales, que aparece recogido, entre otras resoluciones, en la STC 38/2003, de 27 de febrero, FJ 8:</w:t>
      </w:r>
    </w:p>
    <w:p w:rsidR="005728DD" w:rsidRDefault="005728DD" w:rsidP="005728DD">
      <w:pPr>
        <w:pStyle w:val="TextoNormal"/>
      </w:pPr>
    </w:p>
    <w:p w:rsidR="005728DD" w:rsidRDefault="005728DD" w:rsidP="005728DD">
      <w:pPr>
        <w:pStyle w:val="TextoNormal"/>
      </w:pPr>
      <w:r>
        <w:t xml:space="preserve">“[S]egún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w:t>
      </w:r>
      <w:r>
        <w:lastRenderedPageBreak/>
        <w:t>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005728DD" w:rsidRDefault="005728DD" w:rsidP="005728DD">
      <w:pPr>
        <w:pStyle w:val="TextoNormal"/>
      </w:pPr>
    </w:p>
    <w:p w:rsidR="005728DD" w:rsidRDefault="005728DD" w:rsidP="005728DD">
      <w:pPr>
        <w:pStyle w:val="TextoNormal"/>
      </w:pPr>
      <w:r>
        <w:t xml:space="preserve">De este modo, “[p]recisando nuestro canon de control de constitucionalidad, cabe hablar de aplicación analógica o extensiva </w:t>
      </w:r>
      <w:r w:rsidRPr="005728DD">
        <w:rPr>
          <w:i/>
        </w:rPr>
        <w:t>in malam partem</w:t>
      </w:r>
      <w:r>
        <w:t>,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005728DD" w:rsidRDefault="005728DD" w:rsidP="005728DD">
      <w:pPr>
        <w:pStyle w:val="TextoNormal"/>
      </w:pPr>
    </w:p>
    <w:p w:rsidR="005728DD" w:rsidRDefault="005728DD" w:rsidP="005728DD">
      <w:pPr>
        <w:pStyle w:val="TextoNormal"/>
      </w:pPr>
      <w:r>
        <w:t>Y, a tal efecto, en la ya citada STC 129/2008, FJ 3, se acota la fiscalización que corresponde llevar a cabo a este tribunal, en los siguientes términos:</w:t>
      </w:r>
    </w:p>
    <w:p w:rsidR="005728DD" w:rsidRDefault="005728DD" w:rsidP="005728DD">
      <w:pPr>
        <w:pStyle w:val="TextoNormal"/>
      </w:pPr>
    </w:p>
    <w:p w:rsidR="005728DD" w:rsidRDefault="005728DD" w:rsidP="005728DD">
      <w:pPr>
        <w:pStyle w:val="TextoNormal"/>
      </w:pPr>
      <w: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w:t>
      </w:r>
      <w:r w:rsidRPr="005728DD">
        <w:rPr>
          <w:i/>
        </w:rPr>
        <w:t>per se</w:t>
      </w:r>
      <w:r>
        <w:t xml:space="preserve"> nos es ajena y solo podrá ser tomada en cuenta en la medida en que incida en la irrazonabilidad de la interpretación judicial impugnada”.</w:t>
      </w:r>
    </w:p>
    <w:p w:rsidR="005728DD" w:rsidRDefault="005728DD" w:rsidP="005728DD">
      <w:pPr>
        <w:pStyle w:val="TextoNormal"/>
      </w:pPr>
    </w:p>
    <w:p w:rsidR="005728DD" w:rsidRPr="005728DD" w:rsidRDefault="005728DD" w:rsidP="005728DD">
      <w:pPr>
        <w:pStyle w:val="TextoNormal"/>
        <w:rPr>
          <w:i/>
        </w:rPr>
      </w:pPr>
      <w:r>
        <w:t>11.2</w:t>
      </w:r>
      <w:r w:rsidRPr="005728DD">
        <w:rPr>
          <w:i/>
        </w:rPr>
        <w:t>. Sobre la insuficiente taxatividad del tipo penal de sedición.</w:t>
      </w:r>
    </w:p>
    <w:p w:rsidR="005728DD" w:rsidRPr="005728DD" w:rsidRDefault="005728DD" w:rsidP="005728DD">
      <w:pPr>
        <w:pStyle w:val="TextoNormal"/>
        <w:rPr>
          <w:i/>
        </w:rPr>
      </w:pPr>
    </w:p>
    <w:p w:rsidR="005728DD" w:rsidRDefault="005728DD" w:rsidP="005728DD">
      <w:pPr>
        <w:pStyle w:val="TextoNormal"/>
      </w:pPr>
      <w:r w:rsidRPr="005728DD">
        <w:rPr>
          <w:i/>
        </w:rPr>
        <w:t>11.2.1. Posiciones de las partes</w:t>
      </w:r>
      <w:r>
        <w:t>.</w:t>
      </w:r>
    </w:p>
    <w:p w:rsidR="005728DD" w:rsidRDefault="005728DD" w:rsidP="005728DD">
      <w:pPr>
        <w:pStyle w:val="TextoNormal"/>
      </w:pPr>
    </w:p>
    <w:p w:rsidR="005728DD" w:rsidRDefault="005728DD" w:rsidP="005728DD">
      <w:pPr>
        <w:pStyle w:val="TextoNormal"/>
      </w:pPr>
      <w:r>
        <w:lastRenderedPageBreak/>
        <w:t>El motivo de la demanda referido a la vulneración del derecho reconocido en el art. 25.1 CE, concierne principalmente al contenido del art. 544 CP que tipifica el delito de sedición; norma a la que se achaca tal grado de indeterminación, que resulta incompatible con el principio de taxatividad. Señala el demandante, que el empleo de términos tales como “alzarse”, “tumultos”, “fuerza” o “fuera de las vías legales” resultan extraordinariamente vagos, hasta el punto de que es muy difícil conocer con exactitud qué conductas prohíbe realmente el legislador. También afirma que esa inconcreción no ha podido ser remediada por la labor jurisprudencial, puesto que, en relación con el vigente tipo de sedición, el Tribunal Supremo solo se ha pronunciado en una ocasión (STS de 12 de julio de 2005), al conocer de un suceso violento protagonizado por unas sesenta personas, que acaeció en la Asamblea de Ceuta, y que acabó condenando por un delito de atentado. Por último, destaca que esa inconcreción restringe gravemente el ejercicio del derecho de reunión y las libertades de expresión e ideológica, por el efecto desincentivador que provoca.</w:t>
      </w:r>
    </w:p>
    <w:p w:rsidR="005728DD" w:rsidRDefault="005728DD" w:rsidP="005728DD">
      <w:pPr>
        <w:pStyle w:val="TextoNormal"/>
      </w:pPr>
    </w:p>
    <w:p w:rsidR="005728DD" w:rsidRDefault="005728DD" w:rsidP="005728DD">
      <w:pPr>
        <w:pStyle w:val="TextoNormal"/>
      </w:pPr>
      <w:r>
        <w:t>El partido político Vox rechaza que el tipo penal carezca del grado de taxatividad exigido y que la condena impuesta pueda resultar imprevisible para el demandante.</w:t>
      </w:r>
    </w:p>
    <w:p w:rsidR="005728DD" w:rsidRDefault="005728DD" w:rsidP="005728DD">
      <w:pPr>
        <w:pStyle w:val="TextoNormal"/>
      </w:pPr>
    </w:p>
    <w:p w:rsidR="005728DD" w:rsidRDefault="005728DD" w:rsidP="005728DD">
      <w:pPr>
        <w:pStyle w:val="TextoNormal"/>
      </w:pPr>
      <w:r>
        <w:t xml:space="preserve">Por su parte, el fiscal sostiene que no se vulnera el principio de legalidad por esta causa, pues el tipo penal permite predecir con suficiente grado de certeza las conductas que constituyen el delito de sedición. Por tanto, el tipo penal respeta la garantía material de </w:t>
      </w:r>
      <w:r w:rsidRPr="005728DD">
        <w:rPr>
          <w:i/>
        </w:rPr>
        <w:t>lex certa</w:t>
      </w:r>
      <w:r>
        <w:t>, sin perjuicio de que los términos utilizados por las normas penales para definir los tipos delictivos puedan ser concretados y precisados por los órganos judiciales al aplicar e interpretar las normas. En todo caso, añade, que el déficit de taxatividad que el demandante imputa al tipo penal de sedición, queda conjurado por la propia interpretación que de los términos a los que se atribuye la indeterminación ha sido precisada por el Tribunal Supremo.</w:t>
      </w:r>
    </w:p>
    <w:p w:rsidR="005728DD" w:rsidRDefault="005728DD" w:rsidP="005728DD">
      <w:pPr>
        <w:pStyle w:val="TextoNormal"/>
      </w:pPr>
    </w:p>
    <w:p w:rsidR="005728DD" w:rsidRDefault="005728DD" w:rsidP="005728DD">
      <w:pPr>
        <w:pStyle w:val="TextoNormal"/>
      </w:pPr>
      <w:r>
        <w:t>11.2.2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El tribunal sentenciador rechazó expresamente esta queja al resolver el incidente de nulidad de actuaciones planteado por el demandante, en el fundamento de Derecho 6.2.3 del auto que resuelve el referido incidente, señalando: “Las alegaciones sobre la vulneración del derecho a la legalidad penal en relación con los derechos fundamentales a la libertad, reunión pacífica y libertad de expresión e ideológica, por la insuficiente taxatividad del tipo penal de la sedición, se desestiman con apoyo en los mismos argumentos expuestos respecto al señor Sànchez y los demás condenados que han planteado idéntica pretensión”.</w:t>
      </w:r>
    </w:p>
    <w:p w:rsidR="005728DD" w:rsidRDefault="005728DD" w:rsidP="005728DD">
      <w:pPr>
        <w:pStyle w:val="TextoNormal"/>
      </w:pPr>
    </w:p>
    <w:p w:rsidR="005728DD" w:rsidRDefault="005728DD" w:rsidP="005728DD">
      <w:pPr>
        <w:pStyle w:val="TextoNormal"/>
      </w:pPr>
      <w:r>
        <w:t>No obstante, en el apartado 2.4 del referido auto se ofrece una respuesta más exhaustiva:</w:t>
      </w:r>
    </w:p>
    <w:p w:rsidR="005728DD" w:rsidRDefault="005728DD" w:rsidP="005728DD">
      <w:pPr>
        <w:pStyle w:val="TextoNormal"/>
      </w:pPr>
    </w:p>
    <w:p w:rsidR="005728DD" w:rsidRDefault="005728DD" w:rsidP="005728DD">
      <w:pPr>
        <w:pStyle w:val="TextoNormal"/>
      </w:pPr>
      <w:r>
        <w:t xml:space="preserve">“El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w:t>
      </w:r>
      <w:r>
        <w:lastRenderedPageBreak/>
        <w:t>administrativas o judiciales. La conducta típica está, pues, definida y el precepto cumple así las exigencias materiales de taxatividad derivadas del artículo 25.1 CE.</w:t>
      </w:r>
    </w:p>
    <w:p w:rsidR="005728DD" w:rsidRDefault="005728DD" w:rsidP="005728DD">
      <w:pPr>
        <w:pStyle w:val="TextoNormal"/>
      </w:pPr>
    </w:p>
    <w:p w:rsidR="005728DD" w:rsidRDefault="005728DD" w:rsidP="005728DD">
      <w:pPr>
        <w:pStyle w:val="TextoNormal"/>
      </w:pPr>
      <w:r>
        <w:t>Esta conclusión es, por otro lado, perfectamente compatible con la necesidad de su interpretación jurisprudencial, como la que hace la sentencia que ahora se cuestiona. El TEDH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2008, cas</w:t>
      </w:r>
      <w:r w:rsidRPr="005728DD">
        <w:rPr>
          <w:i/>
        </w:rPr>
        <w:t>o Kafkaris c. Cypr</w:t>
      </w:r>
      <w:r>
        <w:t>us, § 141)”.</w:t>
      </w:r>
    </w:p>
    <w:p w:rsidR="005728DD" w:rsidRDefault="005728DD" w:rsidP="005728DD">
      <w:pPr>
        <w:pStyle w:val="TextoNormal"/>
      </w:pPr>
    </w:p>
    <w:p w:rsidR="005728DD" w:rsidRDefault="005728DD" w:rsidP="005728DD">
      <w:pPr>
        <w:pStyle w:val="TextoNormal"/>
      </w:pPr>
      <w:r>
        <w:t>A su vez, en el apartado 4 del fundamento jurídico B) de la sentencia, el órgano enjuiciador llevó a cabo una detallada exégesis del art. 544 CP, de cuyo contenido se infiere que el indicado órgano no asume el criterio del recurrente respecto de la ambigüedad e imprecisión del tipo penal.</w:t>
      </w:r>
    </w:p>
    <w:p w:rsidR="005728DD" w:rsidRDefault="005728DD" w:rsidP="005728DD">
      <w:pPr>
        <w:pStyle w:val="TextoNormal"/>
      </w:pPr>
    </w:p>
    <w:p w:rsidR="005728DD" w:rsidRDefault="005728DD" w:rsidP="005728DD">
      <w:pPr>
        <w:pStyle w:val="TextoNormal"/>
      </w:pPr>
      <w:r>
        <w:t>11.2.3</w:t>
      </w:r>
      <w:r w:rsidRPr="005728DD">
        <w:rPr>
          <w:i/>
        </w:rPr>
        <w:t>. Resolución de la que</w:t>
      </w:r>
      <w:r>
        <w:t>ja.</w:t>
      </w:r>
    </w:p>
    <w:p w:rsidR="005728DD" w:rsidRDefault="005728DD" w:rsidP="005728DD">
      <w:pPr>
        <w:pStyle w:val="TextoNormal"/>
      </w:pPr>
    </w:p>
    <w:p w:rsidR="005728DD" w:rsidRDefault="005728DD" w:rsidP="005728DD">
      <w:pPr>
        <w:pStyle w:val="TextoNormal"/>
      </w:pPr>
      <w:r>
        <w:t>Llegados a este punto, resulta oportuno recordar que, si bien con carácter general el recurso de amparo no ha sido concebido para el enjuiciamiento de las disposiciones de carácter general, sin embargo, nuestra doctrina autoriza en ocasiones tal eventualidad; entre otras, cuando se reprocha al propio precepto la lesión de un derecho fundamental:</w:t>
      </w:r>
    </w:p>
    <w:p w:rsidR="005728DD" w:rsidRDefault="005728DD" w:rsidP="005728DD">
      <w:pPr>
        <w:pStyle w:val="TextoNormal"/>
      </w:pPr>
    </w:p>
    <w:p w:rsidR="005728DD" w:rsidRDefault="005728DD" w:rsidP="005728DD">
      <w:pPr>
        <w:pStyle w:val="TextoNormal"/>
      </w:pPr>
      <w:r>
        <w:t>“Como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 (STC 34/2011, de 28 de marzo, FJ 1)” (STC 167/2013, de 7 de octubre, FJ 2).</w:t>
      </w:r>
    </w:p>
    <w:p w:rsidR="005728DD" w:rsidRDefault="005728DD" w:rsidP="005728DD">
      <w:pPr>
        <w:pStyle w:val="TextoNormal"/>
      </w:pPr>
    </w:p>
    <w:p w:rsidR="005728DD" w:rsidRDefault="005728DD" w:rsidP="005728DD">
      <w:pPr>
        <w:pStyle w:val="TextoNormal"/>
      </w:pPr>
      <w:r>
        <w:t>Vistos los términos de la queja formulada, procede dilucidar si, en efecto, el art. 544 CP se acomoda o no a las exigencias de taxatividad y certeza que la doctrina constitucional exige, no sin antes reiterar que la función de interpretar y aplicar los tipos penales corresponde a los órganos de la jurisdicción ordinaria. Ahora bien, sin perder de vista el parámetro en que se sitúa este tribunal, para dar adecuada respuesta a la pretensión del recurrente procede efectuar una delimitación de la conducta típica que el art. 544 CP describe del siguiente modo:“[s]on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005728DD" w:rsidRDefault="005728DD" w:rsidP="005728DD">
      <w:pPr>
        <w:pStyle w:val="TextoNormal"/>
      </w:pPr>
    </w:p>
    <w:p w:rsidR="005728DD" w:rsidRDefault="005728DD" w:rsidP="005728DD">
      <w:pPr>
        <w:pStyle w:val="TextoNormal"/>
      </w:pPr>
      <w:r>
        <w:t>Este precepto asume de esta suerte una posición subsidiaria, pues solo prevé su aplicación cuando los hechos no sean constitutivos de rebelión. Su contenido positivo requiere que los sujetos activos “se alcen”; término este que, teniendo en cuenta el contexto en que se inserta, de entre las diferentes acepciones gramaticales posibles, debe ser considerado sinónimo del vocablo “se subleven”. La acción descrita en el tipo debe trascender al exterior (públicamente), materializarse mediante la actuación alborotada de una muchedumbre (tumultuariamente), que emplea fuerza o se sirve de vías extralegales, siendo necesario, además, que concurra la finalidad neutralizadora que describe el tipo transcrito.</w:t>
      </w:r>
    </w:p>
    <w:p w:rsidR="005728DD" w:rsidRDefault="005728DD" w:rsidP="005728DD">
      <w:pPr>
        <w:pStyle w:val="TextoNormal"/>
      </w:pPr>
    </w:p>
    <w:p w:rsidR="005728DD" w:rsidRDefault="005728DD" w:rsidP="005728DD">
      <w:pPr>
        <w:pStyle w:val="TextoNormal"/>
      </w:pPr>
      <w:r>
        <w:t>A vista de lo expuesto, este tribunal coincide con el criterio del órgano enjuiciador, al no apreciar que la norma penal adolezca de un grado de vaguedad tal que infrinja el mandato de taxatividad que impone el art. 25.1 CE. La infracción que el art. 544 CP describe resulta reconocible con un razonable grado de claridad y, por tanto, debemos descartar que su redacción impida conocer de antemano qué conductas son susceptibles de ser castigadas bajo su ámbito, quedando debidamente preservado el principio de seguridad jurídica. El hecho de que el mencionado artículo se sirva de conceptos jurídicos indeterminados o emplee vocablos que admiten varios significados no empece la conclusión alcanzada, pues como ha quedado reflejado en un apartado anterior, nuestra doctrina admite la utilización de esos recursos, sin que por ello se resienta la garantía de taxatividad que forma parte del derecho reconocido en el art. 25.1 CE. Estas consideraciones, por sí solas, descartan la pertinencia de plantear la cuestión interna de inconstitucionalidad que suscita el recurrente.</w:t>
      </w:r>
    </w:p>
    <w:p w:rsidR="005728DD" w:rsidRDefault="005728DD" w:rsidP="005728DD">
      <w:pPr>
        <w:pStyle w:val="TextoNormal"/>
      </w:pPr>
    </w:p>
    <w:p w:rsidR="005728DD" w:rsidRDefault="005728DD" w:rsidP="005728DD">
      <w:pPr>
        <w:pStyle w:val="TextoNormal"/>
      </w:pPr>
      <w:r>
        <w:t>Queda un último punto que abordar, relativo al alegato de que la mera vigencia del art. 544 CP restringe el ejercicio de las libertades de expresión e ideológica, así como el derecho de reunión pacífica. La respuesta dada anteriormente sobre la inconcreción del precepto determina de por sí que esta queja decaiga, al estar vinculada a la vulneración del principio de taxatividad. No obstante, resulta pertinente exponer varias consideraciones adicionales.</w:t>
      </w:r>
    </w:p>
    <w:p w:rsidR="005728DD" w:rsidRDefault="005728DD" w:rsidP="005728DD">
      <w:pPr>
        <w:pStyle w:val="TextoNormal"/>
      </w:pPr>
    </w:p>
    <w:p w:rsidR="005728DD" w:rsidRDefault="005728DD" w:rsidP="005728DD">
      <w:pPr>
        <w:pStyle w:val="TextoNormal"/>
      </w:pPr>
      <w:r>
        <w:t>Así, en relación con el art. 544 CP, se afirma en la demanda, que “su mera vigencia puede restringir de modo patente el ejercicio de los derechos fundamentales”. En los términos en que se ha formulado la denuncia, únicamente se advierte de la eventual causación de un perjuicio hipotético, lo cual determina que la misma deba ser rechazada. Para ello, basta recordar nuestra doctrina compendiada, entre otras resoluciones, en la STC 177/2005, de 4 de julio, FJ único, en cuya virtud no cabe considerar el recurso de amparo como un mecanism</w:t>
      </w:r>
      <w:r w:rsidRPr="005728DD">
        <w:rPr>
          <w:i/>
        </w:rPr>
        <w:t>o ad cautel</w:t>
      </w:r>
      <w:r>
        <w:t>am para la tutela de los derechos fundamentales:</w:t>
      </w:r>
    </w:p>
    <w:p w:rsidR="005728DD" w:rsidRDefault="005728DD" w:rsidP="005728DD">
      <w:pPr>
        <w:pStyle w:val="TextoNormal"/>
      </w:pPr>
    </w:p>
    <w:p w:rsidR="005728DD" w:rsidRDefault="005728DD" w:rsidP="005728DD">
      <w:pPr>
        <w:pStyle w:val="TextoNormal"/>
      </w:pPr>
      <w:r>
        <w:t>“[C]onstituye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Este tribunal, desde su más temprana jurisprudencia (ATC 98/1981, de 30 de septiembre, FJ 4; y STC 77/1982, de 20 de diciembre, FJ 1), ha requerido como presupuesto inexcusable de la petición de amparo que esta se formule en razón de la existencia de una lesión efectiva, real y concreta a un derecho fundamental, lo que no sucede cuando lo que se contiene en la demanda es la mera invocación de un hipotético daño potencial”.</w:t>
      </w:r>
    </w:p>
    <w:p w:rsidR="005728DD" w:rsidRDefault="005728DD" w:rsidP="005728DD">
      <w:pPr>
        <w:pStyle w:val="TextoNormal"/>
      </w:pPr>
    </w:p>
    <w:p w:rsidR="005728DD" w:rsidRDefault="005728DD" w:rsidP="005728DD">
      <w:pPr>
        <w:pStyle w:val="TextoNormal"/>
      </w:pPr>
      <w:r>
        <w:lastRenderedPageBreak/>
        <w:t>Al margen de lo expuesto, también se constata que el precepto penal no castiga la movilización masiva de personas, cuyo propósito consista en exteriorizar de manera pacífica una protesta. El tipo penal exige que la actuación multitudinaria se conduzca, al menos, por vías extralegales y que, con ello, se persigan algunas de las finalidades netamente contrarias al funcionamiento medular del Estado de Derecho que el precepto detalla; medios y fines estos que no encuentran amparo o justificación en el ejercicio legítimo de ningún derecho fundamental reconocido por la Carta Magna. Por tanto, si la conducta descrita en el precepto no cercena ninguno de los derechos que la demanda cita, tampoco cabe deducir, del tenor del precepto, un “efecto desincentivador” para el ejercicio de estos; aspecto este sobre el que se abundará con mayor detalle en otro aparado posterior.</w:t>
      </w:r>
    </w:p>
    <w:p w:rsidR="005728DD" w:rsidRDefault="005728DD" w:rsidP="005728DD">
      <w:pPr>
        <w:pStyle w:val="TextoNormal"/>
      </w:pPr>
    </w:p>
    <w:p w:rsidR="005728DD" w:rsidRPr="005728DD" w:rsidRDefault="005728DD" w:rsidP="005728DD">
      <w:pPr>
        <w:pStyle w:val="TextoNormal"/>
        <w:rPr>
          <w:i/>
        </w:rPr>
      </w:pPr>
      <w:r>
        <w:t>11.3</w:t>
      </w:r>
      <w:r w:rsidRPr="005728DD">
        <w:rPr>
          <w:i/>
        </w:rPr>
        <w:t>. Abando</w:t>
      </w:r>
      <w:r>
        <w:t xml:space="preserve">no ad </w:t>
      </w:r>
      <w:r w:rsidRPr="005728DD">
        <w:rPr>
          <w:i/>
        </w:rPr>
        <w:t>hoc del principio de accesoriedad limitada en la participación.</w:t>
      </w:r>
    </w:p>
    <w:p w:rsidR="005728DD" w:rsidRPr="005728DD" w:rsidRDefault="005728DD" w:rsidP="005728DD">
      <w:pPr>
        <w:pStyle w:val="TextoNormal"/>
        <w:rPr>
          <w:i/>
        </w:rPr>
      </w:pPr>
    </w:p>
    <w:p w:rsidR="005728DD" w:rsidRDefault="005728DD" w:rsidP="005728DD">
      <w:pPr>
        <w:pStyle w:val="TextoNormal"/>
      </w:pPr>
      <w:r w:rsidRPr="005728DD">
        <w:rPr>
          <w:i/>
        </w:rPr>
        <w:t>11.3.1. Posiciones de las part</w:t>
      </w:r>
      <w:r>
        <w:t>es.</w:t>
      </w:r>
    </w:p>
    <w:p w:rsidR="005728DD" w:rsidRDefault="005728DD" w:rsidP="005728DD">
      <w:pPr>
        <w:pStyle w:val="TextoNormal"/>
      </w:pPr>
    </w:p>
    <w:p w:rsidR="005728DD" w:rsidRDefault="005728DD" w:rsidP="005728DD">
      <w:pPr>
        <w:pStyle w:val="TextoNormal"/>
      </w:pPr>
      <w:r>
        <w:t xml:space="preserve">La primera de las denuncias de este apartado se identifica como el abandono </w:t>
      </w:r>
      <w:r w:rsidRPr="005728DD">
        <w:rPr>
          <w:i/>
        </w:rPr>
        <w:t>ad hoc</w:t>
      </w:r>
      <w:r>
        <w:t xml:space="preserve"> del principio de accesoriedad limitada en la participación. En síntesis, la queja se articula del siguiente modo: (i) según el relato de hechos probados, la intervención del demandante sería la propia de un inductor o promotor, por alentar a los ciudadanos a movilizarse, y la de un cooperador, por haber contribuido con medios materiales para que se celebrara el referéndum del 1 de octubre de 2017; (ii) la práctica totalidad de las personas que intervinieron como manifestantes y como votantes en los actos de 20 de septiembre y 1 de octubre de 2017, respectivamente, no han merecido reproche penal alguno y, en los casos aislados en que se ha exigido responsabilidad penal “por ejercer activamente resistencia contra las fuerzas del orden, la propia fiscalía y la abogacía del Estado han admitido y aceptado condenas por un delito de atentado y lesiones leves”; (iii) se ha producido una quiebra manifiesta de las reglas generales sobre la participación, al considerar que en el delito de sedición todos los acusados fueron coautores; (iv) en el presente caso, el abandono del principio de “accesoriedad limitada” en la participación determina que el demandante haya sido condenado por dirigir el primer alzamiento sin alzados de la historia; y ello porque el tribunal sentenciador ha pretendido “escarmentar a los máximos líderes políticos y sociales del movimiento independentista”.</w:t>
      </w:r>
    </w:p>
    <w:p w:rsidR="005728DD" w:rsidRDefault="005728DD" w:rsidP="005728DD">
      <w:pPr>
        <w:pStyle w:val="TextoNormal"/>
      </w:pPr>
    </w:p>
    <w:p w:rsidR="005728DD" w:rsidRDefault="005728DD" w:rsidP="005728DD">
      <w:pPr>
        <w:pStyle w:val="TextoNormal"/>
      </w:pPr>
      <w:r>
        <w:t>Para la abogacía del Estado, el motivo no puede prosperar porque ello supondría ignorar la especialidad del art. 545 CP. Refiere que el demandante no ha sido considerado partícipe sino autor, al evidenciarse una estrategia de conductas que cada uno de los acusados asumió, con dominio funcional del hecho. El partido político Vox sostiene en sus alegaciones que la participación del demandante en el alzamiento sedicioso está perfectamente acreditada, no como partícipe accesorio sino como autor de los hechos. Para el fiscal, el demandante ha sido condenado como coautor de un delito de sedición en concurso ideal con un delito de malversación de caudales públicos y no como partícipe, por lo que no sería de aplicación el principio de accesoriedad en la participación. Su conducta ha colmado el elemento objetivo y subjetivo del tipo penal de sedición, por lo que, en definitiva, la sala de enjuiciamiento no ha modificado su doctrina sobre el principio de accesoriedad, ya que consideró que esta doctrina no era aplicable en el presente caso.</w:t>
      </w:r>
    </w:p>
    <w:p w:rsidR="005728DD" w:rsidRDefault="005728DD" w:rsidP="005728DD">
      <w:pPr>
        <w:pStyle w:val="TextoNormal"/>
      </w:pPr>
    </w:p>
    <w:p w:rsidR="005728DD" w:rsidRDefault="005728DD" w:rsidP="005728DD">
      <w:pPr>
        <w:pStyle w:val="TextoNormal"/>
      </w:pPr>
      <w:r>
        <w:t>11.3.2</w:t>
      </w:r>
      <w:r w:rsidRPr="005728DD">
        <w:rPr>
          <w:i/>
        </w:rPr>
        <w:t>. Respuesta del órgano judici</w:t>
      </w:r>
      <w:r>
        <w:t>al.</w:t>
      </w:r>
    </w:p>
    <w:p w:rsidR="005728DD" w:rsidRDefault="005728DD" w:rsidP="005728DD">
      <w:pPr>
        <w:pStyle w:val="TextoNormal"/>
      </w:pPr>
    </w:p>
    <w:p w:rsidR="005728DD" w:rsidRDefault="005728DD" w:rsidP="005728DD">
      <w:pPr>
        <w:pStyle w:val="TextoNormal"/>
      </w:pPr>
      <w:r>
        <w:lastRenderedPageBreak/>
        <w:t>En sede judicial se dio contestación a esta queja, que fue planteada en términos sustancialmente coincidentes por varios condenados. Se expresa en los fundamentos de Derecho 3.2.2.3 B) (respecto del señor Forn), 4.2.3 (respecto del señor Sànchez), 6.2.3 (respecto del señor Turull), 7.2.3 (respecto del señor Rull) y 9.4 (respecto de la señora Forcadell), del auto resolutorio del incidente de nulidad de actuaciones. En relación con el demandante, la argumentación dada fue la siguiente:</w:t>
      </w:r>
    </w:p>
    <w:p w:rsidR="005728DD" w:rsidRDefault="005728DD" w:rsidP="005728DD">
      <w:pPr>
        <w:pStyle w:val="TextoNormal"/>
      </w:pPr>
    </w:p>
    <w:p w:rsidR="005728DD" w:rsidRDefault="005728DD" w:rsidP="005728DD">
      <w:pPr>
        <w:pStyle w:val="TextoNormal"/>
      </w:pPr>
      <w:r>
        <w:t>“De conformidad con lo resuelto respecto al señor Sànchez, esta Sala en modo alguno se ha apartado de su propia jurisprudencia sobre el principio de accesoriedad limitada, sencillamente porque —como ya hemos expuesto supra— el señor Turull y otros condenados lo han sido como autores de un delito de sedición y no como partícipes.</w:t>
      </w:r>
    </w:p>
    <w:p w:rsidR="005728DD" w:rsidRDefault="005728DD" w:rsidP="005728DD">
      <w:pPr>
        <w:pStyle w:val="TextoNormal"/>
      </w:pPr>
    </w:p>
    <w:p w:rsidR="005728DD" w:rsidRDefault="005728DD" w:rsidP="005728DD">
      <w:pPr>
        <w:pStyle w:val="TextoNormal"/>
      </w:pPr>
      <w:r>
        <w:t>Su autoría, por otro lado, declara la sentencia,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de las leyes, para hacer posible la vigencia de las resoluciones administrativas o judiciales’. Y continúa: ‘la incorporación tardía del acusado señor Turull al Govern de la Generalitat —julio de 2017— no es obstáculo para concluir su autoría. No lo es a partir de las categorías dogmáticas asumidas por la jurisprudencia de esta Sala sobre la autoría por adhesión o autoría sucesiva’”.</w:t>
      </w:r>
    </w:p>
    <w:p w:rsidR="005728DD" w:rsidRDefault="005728DD" w:rsidP="005728DD">
      <w:pPr>
        <w:pStyle w:val="TextoNormal"/>
      </w:pPr>
    </w:p>
    <w:p w:rsidR="005728DD" w:rsidRDefault="005728DD" w:rsidP="005728DD">
      <w:pPr>
        <w:pStyle w:val="TextoNormal"/>
      </w:pPr>
      <w:r>
        <w:t>No obstante, el grueso de la argumentación judicial figura en la letra B) del apartado 3.2.2.3 del indicado auto, cuyo tenor es el siguiente:</w:t>
      </w:r>
    </w:p>
    <w:p w:rsidR="005728DD" w:rsidRDefault="005728DD" w:rsidP="005728DD">
      <w:pPr>
        <w:pStyle w:val="TextoNormal"/>
      </w:pPr>
    </w:p>
    <w:p w:rsidR="005728DD" w:rsidRDefault="005728DD" w:rsidP="005728DD">
      <w:pPr>
        <w:pStyle w:val="TextoNormal"/>
      </w:pPr>
      <w:r>
        <w:t>“Niega el incidente que pueda hablarse de dirigentes o autores principales, si antes no se declara que existen sediciosos alzados tumultuariamente. Y, mucho menos, inductores a la sedición, sin hecho principal, por razón de la vigencia del principio de accesoriedad de la participación. Y, estimando que el comportamiento observado por los miles de ciudadanos catalanes involucrados en los hechos no cumple, cuanto menos, el tipo de un delito tan grave como el de sedición, no existiría base para aplicar a continuación el art. 545 del CP a quienes induzcan o lideren tal situación. Lo contrario acarrearía —según el incidente— la vulneración del principio de legalidad en los términos indicados.</w:t>
      </w:r>
    </w:p>
    <w:p w:rsidR="005728DD" w:rsidRDefault="005728DD" w:rsidP="005728DD">
      <w:pPr>
        <w:pStyle w:val="TextoNormal"/>
      </w:pPr>
    </w:p>
    <w:p w:rsidR="005728DD" w:rsidRDefault="005728DD" w:rsidP="005728DD">
      <w:pPr>
        <w:pStyle w:val="TextoNormal"/>
      </w:pPr>
      <w:r>
        <w:t>Conviene recordar, no obstante ser lugar común en la doctrina, que la sedición se construye en el tipo como de naturaleza plurisubjetiva y, dentro de tal categoría, como unilateral o de convergencia. Los plurales autores materiales no son ‘partícipes’ en delito ajeno. Todos convergen con su aportación, incluso con diversidad de funciones, a la consecución de la finalidad típica. Si bien eso no es incompatible con la figura del partícipe por inducción, los especificados en el artículo 545 como los que han ‘inducido, sostenido o dirigido’ no puede equiparase a la figura del partícipe por inducción de la sedición que otros llevan a cabo. ‘Inductores’ significa ahí lo que el antiguo artículo 219 de anteriores Códigos penales tildaba de ‘promotores’. Se refiere solamente a los que, concurriendo en ellos aquellas notas, también ejecutan la sedición desempeñando su particular papel.</w:t>
      </w:r>
    </w:p>
    <w:p w:rsidR="005728DD" w:rsidRDefault="005728DD" w:rsidP="005728DD">
      <w:pPr>
        <w:pStyle w:val="TextoNormal"/>
      </w:pPr>
    </w:p>
    <w:p w:rsidR="005728DD" w:rsidRDefault="005728DD" w:rsidP="005728DD">
      <w:pPr>
        <w:pStyle w:val="TextoNormal"/>
      </w:pPr>
      <w:r>
        <w:t xml:space="preserve">En tales específicos casos de colectividad delincuente no rigen principios solamente predicables en caso de participación de unos en delitos de otros, como lo exigiría el principio de accesoriedad. Muy al contrario, en aquellos supuestos el principio rector de imputación </w:t>
      </w:r>
      <w:r>
        <w:lastRenderedPageBreak/>
        <w:t>es el de imputación recíproca. A todos se imputa lo que haga cualquiera de los coautores que actúa bajo acuerdo común.</w:t>
      </w:r>
    </w:p>
    <w:p w:rsidR="005728DD" w:rsidRDefault="005728DD" w:rsidP="005728DD">
      <w:pPr>
        <w:pStyle w:val="TextoNormal"/>
      </w:pPr>
    </w:p>
    <w:p w:rsidR="005728DD" w:rsidRDefault="005728DD" w:rsidP="005728DD">
      <w:pPr>
        <w:pStyle w:val="TextoNormal"/>
      </w:pPr>
      <w:r>
        <w:t xml:space="preserve">Y ello aunque esa contribución, por parte de los que en tumulto ejecutan el elemento objetivo del tipo, no origine la misma responsabilidad penal o incluso no dé lugar a ninguna. Ya porque estos no actuaran compartiendo voluntariamente en su totalidad el sedicente programa de los otros autores, ya porque no concurra el elemento subjetivo exigible. Y en todo caso, no es algo que nos corresponde dilucidar. En la sentencia cuya nulidad se pretende ya se explica que nuestra función se ciñe a decidir sobre las pretensiones tal como han sido formuladas por las acusaciones, sin interferir en otros procedimientos que puedan estar siguiéndose contra otros acusados en distintos juzgados o tribunales. No tenemos que valorar esas actuaciones, tampoco para bendecirlas o declararlas atípicas. No es superfluo recordar que la sentencia declara probado que los acusados concertaron como estrategia ‘crear una aparente cobertura jurídica que permitiera hacer creer a la ciudadanía que cuando depositara su voto estaría contribuyendo al acto fundacional de la República Independiente de Cataluña’. Si eso se hace aprovechando la ventaja y la </w:t>
      </w:r>
      <w:r w:rsidRPr="005728DD">
        <w:rPr>
          <w:i/>
        </w:rPr>
        <w:t>auctoritas</w:t>
      </w:r>
      <w:r>
        <w:t xml:space="preserve"> de quien desempeña responsabilidades institucionales, tampoco podría excluirse la concurrencia de un error exonerante en buena parte de la ciudadanía que acudió a sendas convocatorias de los días 20 de septiembre y 1 de octubre, en la creencia de una pretendida cobertura jurídica del acto al que se les invitaba con insistencia desde sedes institucionales de Cataluña.</w:t>
      </w:r>
    </w:p>
    <w:p w:rsidR="005728DD" w:rsidRDefault="005728DD" w:rsidP="005728DD">
      <w:pPr>
        <w:pStyle w:val="TextoNormal"/>
      </w:pPr>
    </w:p>
    <w:p w:rsidR="005728DD" w:rsidRDefault="005728DD" w:rsidP="005728DD">
      <w:pPr>
        <w:pStyle w:val="TextoNormal"/>
      </w:pPr>
      <w:r>
        <w:t>Por ello el similar alegato de la defensa recibió la respuesta recogida en la sentencia al glosar el juicio de autoría [cfr. juicio de autoría; 1.- delito de sedición; c) página 301]. Considerando a los ciudadanos concurrentes el 20 de septiembre y el 1 de octubre ajenos a todo error e imputables, se nos alegaba por la defensa que ello implicaría un punto desde el que operaría la ‘prohibición de regreso’ en la sucesión causal, en la que ya no incidiría el señor Forn con posterioridad. Como allí dijimos esa actuación ciudadana está lejos de ser ‘extraña’ a los actos del señor Forn, que la preordenó y promovió con el acuerdo de los otros acusados. De ahí que le hayamos imputado tanto el riesgo y lesión del bien jurídico como la realización de los funcionales hechos-medio que lo causaron”.</w:t>
      </w:r>
    </w:p>
    <w:p w:rsidR="005728DD" w:rsidRDefault="005728DD" w:rsidP="005728DD">
      <w:pPr>
        <w:pStyle w:val="TextoNormal"/>
      </w:pPr>
    </w:p>
    <w:p w:rsidR="005728DD" w:rsidRDefault="005728DD" w:rsidP="005728DD">
      <w:pPr>
        <w:pStyle w:val="TextoNormal"/>
      </w:pPr>
      <w:r>
        <w:t>Frente al esquema argumental del recurrente, que en base al contenido del relato fáctico considera que, todo lo más, podría ser reputado partícipe en unos hechos realizados por terceros innominados, el tribunal enjuiciador refuta ese alegato bajo una doble consideración: (i) que el demandante no ha sido condenado como partícipe sino como coautor principal de un delito de sedición; (ii) que los ciudadanos que se manifestaron el día 20 de septiembre y los que participaron en la votación el día 1 de octubre de 2017 son ajenos al presente enjuiciamiento, por lo que de su eventual responsabilidad penal nada cabe decir.</w:t>
      </w:r>
    </w:p>
    <w:p w:rsidR="005728DD" w:rsidRDefault="005728DD" w:rsidP="005728DD">
      <w:pPr>
        <w:pStyle w:val="TextoNormal"/>
      </w:pPr>
    </w:p>
    <w:p w:rsidR="005728DD" w:rsidRDefault="005728DD" w:rsidP="005728DD">
      <w:pPr>
        <w:pStyle w:val="TextoNormal"/>
      </w:pPr>
      <w:r>
        <w:t>11.3.3</w:t>
      </w:r>
      <w:r w:rsidRPr="005728DD">
        <w:rPr>
          <w:i/>
        </w:rPr>
        <w:t>. Resolución de la que</w:t>
      </w:r>
      <w:r>
        <w:t>ja.</w:t>
      </w:r>
    </w:p>
    <w:p w:rsidR="005728DD" w:rsidRDefault="005728DD" w:rsidP="005728DD">
      <w:pPr>
        <w:pStyle w:val="TextoNormal"/>
      </w:pPr>
    </w:p>
    <w:p w:rsidR="005728DD" w:rsidRDefault="005728DD" w:rsidP="005728DD">
      <w:pPr>
        <w:pStyle w:val="TextoNormal"/>
      </w:pPr>
      <w:r>
        <w:t xml:space="preserve">Antes de proceder a resolver el motivo resulta pertinente dejar constancia nuevamente sobre cuál debe ser el alcance de nuestra respuesta. A este respecto, debemos indicar que no procede que nos pronunciemos de manera global sobre la constitucionalidad del grado de participación atribuido al demandante, pues únicamente nos compete resolver, en congruencia con el motivo alegado, si el tribunal sentenciador ha omitido la aplicación del principio de accesoriedad limitada al valorar ese aspecto y, con ello, ha generado una lesión susceptible de tutela en esta sede; pero no por contravenir el principio de igualdad en la aplicación </w:t>
      </w:r>
      <w:r>
        <w:lastRenderedPageBreak/>
        <w:t>de la ley (art. 14 CE), puesto que ni expresamente se invoca esta lesión en la demanda, ni tampoco se ofrece un elemento de contraste (</w:t>
      </w:r>
      <w:r w:rsidRPr="005728DD">
        <w:rPr>
          <w:i/>
        </w:rPr>
        <w:t>tertium comparationis</w:t>
      </w:r>
      <w:r>
        <w:t>), que permita cotejar el abandono selectivo de esa doctrina jurisprudencial consolidada, sino desde la perspectiva propia de la eventual vulneración del derecho reconocido en el art. 25.1 CE.</w:t>
      </w:r>
    </w:p>
    <w:p w:rsidR="005728DD" w:rsidRDefault="005728DD" w:rsidP="005728DD">
      <w:pPr>
        <w:pStyle w:val="TextoNormal"/>
      </w:pPr>
    </w:p>
    <w:p w:rsidR="005728DD" w:rsidRDefault="005728DD" w:rsidP="005728DD">
      <w:pPr>
        <w:pStyle w:val="TextoNormal"/>
      </w:pPr>
      <w:r>
        <w:t>Seguidamente, a fin de abordar la denuncia en toda su dimensión procede reflejar, siquiera sucintamente, el contenido de la denominada teoría de la accesoriedad limitada en materia de participación que ha sido reconocido por la jurisprudencia. Aun cuando es de fecha posterior a las resoluciones judiciales impugnadas en el presente recurso, la STS 623/2020, de la Sala de lo Penal, de 19 de noviembre, FJ 3, sistematiza detalladamente el contenido y alcance del consolidado principio de accesoriedad limitada en la participación:</w:t>
      </w:r>
    </w:p>
    <w:p w:rsidR="005728DD" w:rsidRDefault="005728DD" w:rsidP="005728DD">
      <w:pPr>
        <w:pStyle w:val="TextoNormal"/>
      </w:pPr>
    </w:p>
    <w:p w:rsidR="005728DD" w:rsidRDefault="005728DD" w:rsidP="005728DD">
      <w:pPr>
        <w:pStyle w:val="TextoNormal"/>
      </w:pPr>
      <w:r>
        <w:t>“[l]a importancia que el principio de accesoriedad tiene en la dogmática mayoritaria y en la jurisprudencia de esta Sala, no necesita ser argumentada. De hecho, aquel principio ha llegado a ser considerado como una necesidad conceptual. Ello no debe ser obstáculo, sin embargo, para reconocer que no faltan propuestas dogmáticas minoritarias que explican la coparticipación sin necesidad de recurrir al principio de accesoriedad, argumentando que el partícipe realiza su propio injusto. Pese a todo, es cierto que esta Sala —en sintonía con la doctrina dominante—, ha convertido el principio de accesoriedad en uno de los fundamentos del castigo del partícipe y de este dato incuestionable hemos de partir para concluir la ausencia de la infracción legal que denuncia el recurrente. El principio de accesoriedad, pese a la sutil propuesta de la defensa del recurrente, no se explica por la relación entre el partícipe y el autor material, sino por la acción que uno y otro protagonizan. Para que pueda haber accesoriedad es indispensable que exista un hecho principal típicamente antijurídico. El que ese hecho de relevancia jurídico-penal pueda ser atribuido a una persona concreta o que aquella a la que inicialmente se imputaba resulte absuelta, en nada afecta a la afirmación de accesoriedad. Llevado el razonamiento de la defensa a sus últimas consecuencias, habríamos de aceptar que, en un supuesto, por ejemplo, de asesinato en el que hubieran resultado procesados el autor material y varios cooperadores necesarios, el fallecimiento del primero obligaría al sobreseimiento de la causa respecto de los restantes [...].</w:t>
      </w:r>
    </w:p>
    <w:p w:rsidR="005728DD" w:rsidRDefault="005728DD" w:rsidP="005728DD">
      <w:pPr>
        <w:pStyle w:val="TextoNormal"/>
      </w:pPr>
    </w:p>
    <w:p w:rsidR="005728DD" w:rsidRDefault="005728DD" w:rsidP="005728DD">
      <w:pPr>
        <w:pStyle w:val="TextoNormal"/>
      </w:pPr>
      <w:r>
        <w:t>El artículo 28 del Código penal lo que exige, es que los intervinientes, ya sean los ‘considerados’ autores, como inductores o cooperadores necesarios, ya sean los cómplices, participen en la ejecución de un hecho. El que realiza el autor principal. Tal precepto concibe la participación conforme a la denominada accesoriedad limitada. Basta la comisión de un hecho antijurídico, aunque su autor no sea culpable. Pero, doctrina y jurisprudencia convienen en que se excluye si el hecho del autor está justificado. Es decir, no se admite que la participación esté condicionada, solo por una accesoriedad mínima [...]”.</w:t>
      </w:r>
    </w:p>
    <w:p w:rsidR="005728DD" w:rsidRDefault="005728DD" w:rsidP="005728DD">
      <w:pPr>
        <w:pStyle w:val="TextoNormal"/>
      </w:pPr>
    </w:p>
    <w:p w:rsidR="005728DD" w:rsidRDefault="005728DD" w:rsidP="005728DD">
      <w:pPr>
        <w:pStyle w:val="TextoNormal"/>
      </w:pPr>
      <w:r>
        <w:t xml:space="preserve">El órgano sentenciador concluyó, en lo que aquí importa, que el recurrente no se limitó a participar en un delito de sedición ejecutado por un tropel de ciudadanos, pues estimó que su actuación encaja plenamente en la figura del coautor principal. En el juicio de autoría, que figura en el apartado C) 1 de la sentencia (ya sintetizado en los antecedentes de esta resolución), dicho órgano explicita las razones que le llevaron a colegir que el demandante es autor del delito de sedición, junto a otros condenados, amén del juicio singularizado que figura en el apartado C) 1.4. En esos apartados, se puso de relieve la creación o el incremento del riesgo que su conducta supuso para el bien jurídico protegido y la incidencia que tuvo en relación con los comportamientos tumultuarios, con episodios ocasionalmente violentos, </w:t>
      </w:r>
      <w:r>
        <w:lastRenderedPageBreak/>
        <w:t>que se produjeron. Esa actuación dio lugar a que fuera condenado al amparo de lo dispuesto en el art. 545.1 CP, precepto este que castiga a quienes “hubieren inducido, sostenido o dirigido la sedición o aparecieren en ella como sus principales autores”; siéndole apreciado, además, el subtipo agravado que en la norma citada se recoge, por tratarse de una “persona constituida en autoridad”.</w:t>
      </w:r>
    </w:p>
    <w:p w:rsidR="005728DD" w:rsidRDefault="005728DD" w:rsidP="005728DD">
      <w:pPr>
        <w:pStyle w:val="TextoNormal"/>
      </w:pPr>
    </w:p>
    <w:p w:rsidR="005728DD" w:rsidRDefault="005728DD" w:rsidP="005728DD">
      <w:pPr>
        <w:pStyle w:val="TextoNormal"/>
      </w:pPr>
      <w:r>
        <w:t>Por su parte, en el auto resolutorio del incidente de nulidad se detallan los motivos por los que el demandante no fue considerado un mero partícipe por inducción de un delito cometido por otros autores; principalmente, porque su comportamiento se valora como el de un verdadero “promotor” del delito de sedición, al que se refería el art. 219 del anterior CP, lo que determinó que su obrar fuera catalogado como propio de un coautor principal que, conforme a ese rol, desempeñó su particular papel y, por ello, fue acreedor de la imputación recíproca de todo lo que hubieran realizado cualquiera de los coautores que actuaron bajo acuerdo común.</w:t>
      </w:r>
    </w:p>
    <w:p w:rsidR="005728DD" w:rsidRDefault="005728DD" w:rsidP="005728DD">
      <w:pPr>
        <w:pStyle w:val="TextoNormal"/>
      </w:pPr>
    </w:p>
    <w:p w:rsidR="005728DD" w:rsidRDefault="005728DD" w:rsidP="005728DD">
      <w:pPr>
        <w:pStyle w:val="TextoNormal"/>
      </w:pPr>
      <w:r>
        <w:t>Por otro lado, la Sala defendió la inaplicación del referido principio de accesoriedad limitada en base a las consideraciones que le mereció la conducta de los ciudadanos que participaron en la votación, el día 1 de octubre de 2017, y concurrieron a la manifestación acaecida el 20 de septiembre anterior, en los términos que han sido reflejados. Ciertamente, no todos los intervinientes tuvieron un mismo comportamiento; pero, como así se indica en la sentencia, las conductas de los individuos que participaron en esos eventos son ajenas al juzgamiento del tribunal sentenciador, habida cuenta de que el objeto del presente proceso quedó circunscrito a los extremos acotados por las partes acusadoras. Por ello, la actuación multitudinaria de esos terceros no fue individualmente valorada en sede judicial, pues ni fueron acusados en el proceso del que dimana el presente recurso de amparo, ni consta tampoco que lo hayan sido, por delito de sedición, en otros procedimientos.</w:t>
      </w:r>
    </w:p>
    <w:p w:rsidR="005728DD" w:rsidRDefault="005728DD" w:rsidP="005728DD">
      <w:pPr>
        <w:pStyle w:val="TextoNormal"/>
      </w:pPr>
    </w:p>
    <w:p w:rsidR="005728DD" w:rsidRDefault="005728DD" w:rsidP="005728DD">
      <w:pPr>
        <w:pStyle w:val="TextoNormal"/>
      </w:pPr>
      <w:r>
        <w:t>A la vista de lo expuesto, debemos convenir que el órgano de enjuiciamiento no ha vulnerado el derecho reconocido en el art. 25.1 CE por el motivo que le imputa el recurrente. El hecho de que la participación del demandante se considere como la propia de un autor en sentido estricto, con base en argumentos tales como que el delito de sedición es de naturaleza “plurisubjetiva” y de “consumación anticipada”; que el comportamiento de los condenados supuso un incremento del riesgo para el bien jurídico protegido; y que el demandante realizó, conforme a lo ideado de consuno, la aportación individual para la consecución de la finalidad delictiva, de manera que a todos los autores les es imputable lo realizado por los otros, no son razones que quepa tildar de aberrantes, irrazonables o arbitrarias, sin que tampoco se aprecie contrariedad al parámetro de razonabilidad metodológica y axiológica asentado por nuestra doctrina.</w:t>
      </w:r>
    </w:p>
    <w:p w:rsidR="005728DD" w:rsidRDefault="005728DD" w:rsidP="005728DD">
      <w:pPr>
        <w:pStyle w:val="TextoNormal"/>
      </w:pPr>
    </w:p>
    <w:p w:rsidR="005728DD" w:rsidRDefault="005728DD" w:rsidP="005728DD">
      <w:pPr>
        <w:pStyle w:val="TextoNormal"/>
      </w:pPr>
      <w:r>
        <w:t>Por otro lado, que los terceros que participaron en los actos multitudinarios no hayan sido enjuiciados por los hechos que han dado lugar a la condena del demandante, no autoriza a colegir que actuaran amparados por una causa de justificación, en su acepción jurídico-penal; circunstancia esta que, de haberse apreciado respecto de los autores, permitiría excluir la responsabilidad criminal de los partícipes, con fundamento en la teoría de la accesoriedad limitada. Sin embargo, como aquellos terceros no han estado sujetos a un procedimiento penal, cualquier valoración sobre la relevancia de su conducta en ese ámbito resulta improcedente, más aún en esta sede constitucional.</w:t>
      </w:r>
    </w:p>
    <w:p w:rsidR="005728DD" w:rsidRDefault="005728DD" w:rsidP="005728DD">
      <w:pPr>
        <w:pStyle w:val="TextoNormal"/>
      </w:pPr>
    </w:p>
    <w:p w:rsidR="005728DD" w:rsidRDefault="005728DD" w:rsidP="005728DD">
      <w:pPr>
        <w:pStyle w:val="TextoNormal"/>
      </w:pPr>
      <w:r>
        <w:lastRenderedPageBreak/>
        <w:t xml:space="preserve">El hecho de que la actuación de la multitud de personas que, según se describe en el relato fáctico de la sentencia, intervino en los hechos acaecidos los días 20 de septiembre y 1 de octubre de 2017 sí se haya valorado en su dimensión colectiva para apreciar del delito de sedición, no obsta la anterior conclusión. Como ya hemos advertido, el objeto de nuestro pronunciamiento respecto de este motivo no se proyecta sobre la problemática que, en toda su extensión, pueda suscitar el concreto grado de participación que se atribuye al demandante. El alcance de nuestra respuesta es más limitado, pues se circunscribe a dirimir si el órgano enjuiciador ha efectuado una exclusión </w:t>
      </w:r>
      <w:r w:rsidRPr="005728DD">
        <w:rPr>
          <w:i/>
        </w:rPr>
        <w:t>ad casum</w:t>
      </w:r>
      <w:r>
        <w:t xml:space="preserve"> del principio de accesoriedad que resulte contraria al mandato del art. 25 CE. Y como ya se ha indicado, sobre ese concreto aspecto no se vislumbra que se haya producido la vulneración denunciada.</w:t>
      </w:r>
    </w:p>
    <w:p w:rsidR="005728DD" w:rsidRDefault="005728DD" w:rsidP="005728DD">
      <w:pPr>
        <w:pStyle w:val="TextoNormal"/>
      </w:pPr>
    </w:p>
    <w:p w:rsidR="005728DD" w:rsidRDefault="005728DD" w:rsidP="005728DD">
      <w:pPr>
        <w:pStyle w:val="TextoNormal"/>
      </w:pPr>
      <w:r>
        <w:t>Finalmente, hemos de añadir que no le corresponde a este tribunal pronunciarse sobre si las respuestas dadas por el órgano judicial son las únicas que se ajustan a Derecho, pues ello supondría adentrarse en una labor que queda extramuros de nuestro cometido. Ahora bien, de acuerdo con la función de control que nos compete, reiteramos que el tribunal sentenciador ofrece una argumentación que, de manera razonable, descarta que haya existido un abandono selectivo e interesado del principio de accesoriedad limitada en la participación, en el entendimiento de que no concurrieron los presupuestos para la aplicación de ese principio, al entender que el demandante, junto a otros encausados, fue coautor de los hechos.</w:t>
      </w:r>
    </w:p>
    <w:p w:rsidR="005728DD" w:rsidRDefault="005728DD" w:rsidP="005728DD">
      <w:pPr>
        <w:pStyle w:val="TextoNormal"/>
      </w:pPr>
    </w:p>
    <w:p w:rsidR="005728DD" w:rsidRPr="005728DD" w:rsidRDefault="005728DD" w:rsidP="005728DD">
      <w:pPr>
        <w:pStyle w:val="TextoNormal"/>
        <w:rPr>
          <w:i/>
        </w:rPr>
      </w:pPr>
      <w:r>
        <w:t>11</w:t>
      </w:r>
      <w:r w:rsidRPr="005728DD">
        <w:rPr>
          <w:i/>
        </w:rPr>
        <w:t>.4. Aplicación analógica del delito de sedición a los hechos enjuiciados.</w:t>
      </w:r>
    </w:p>
    <w:p w:rsidR="005728DD" w:rsidRPr="005728DD" w:rsidRDefault="005728DD" w:rsidP="005728DD">
      <w:pPr>
        <w:pStyle w:val="TextoNormal"/>
        <w:rPr>
          <w:i/>
        </w:rPr>
      </w:pPr>
    </w:p>
    <w:p w:rsidR="005728DD" w:rsidRDefault="005728DD" w:rsidP="005728DD">
      <w:pPr>
        <w:pStyle w:val="TextoNormal"/>
      </w:pPr>
      <w:r w:rsidRPr="005728DD">
        <w:rPr>
          <w:i/>
        </w:rPr>
        <w:t>11.4.1. Posiciones de las part</w:t>
      </w:r>
      <w:r>
        <w:t>es.</w:t>
      </w:r>
    </w:p>
    <w:p w:rsidR="005728DD" w:rsidRDefault="005728DD" w:rsidP="005728DD">
      <w:pPr>
        <w:pStyle w:val="TextoNormal"/>
      </w:pPr>
    </w:p>
    <w:p w:rsidR="005728DD" w:rsidRDefault="005728DD" w:rsidP="005728DD">
      <w:pPr>
        <w:pStyle w:val="TextoNormal"/>
      </w:pPr>
      <w:r>
        <w:t xml:space="preserve">La tercera de las quejas asociadas al principio de legalidad en materia penal (art. 25.1 CE) concierne expresamente a la interpretación y aplicación judicial del tipo de sedición (art. 544 CP), en el entendimiento de que el órgano judicial ha sobrepasado los límites del referido artículo y ha hecho uso del instituto de la analogía </w:t>
      </w:r>
      <w:r w:rsidRPr="005728DD">
        <w:rPr>
          <w:i/>
        </w:rPr>
        <w:t>in malam partem</w:t>
      </w:r>
      <w:r>
        <w:t>. El reproche que se dirige a la labor de subsunción se refiere tanto a los acontecimientos que tuvieron lugar el día 20 de septiembre del 2017 como a los que se produjeron el día 1 de octubre del indicado año. Respecto de los hechos acaecidos el día 20 de septiembre se aduce: (i)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(ii) conforme al relato histórico de la sentencia, lo que realmente se desarrolló fue una manifestación ciudadana de unas 40 000 personas, en la que unos pocos participantes incurrieron en excesos, cuyo resultado se circunscribió a la causación de daños materiales; (iii) la resolución judicial que debía ejecutarse en la sede del Departamento de Economía solo se vio dificultada por la actuación de los terceros, pero no se impidió que llegara a materializarse, que es lo que exige el tipo penal; (iv) no se expresa en la sentencia qué concreta intervención tuvo el demandante en el supuesto “alzamiento tumultuario” acaecido el 20 de septiembre del 2017.</w:t>
      </w:r>
    </w:p>
    <w:p w:rsidR="005728DD" w:rsidRDefault="005728DD" w:rsidP="005728DD">
      <w:pPr>
        <w:pStyle w:val="TextoNormal"/>
      </w:pPr>
    </w:p>
    <w:p w:rsidR="005728DD" w:rsidRDefault="005728DD" w:rsidP="005728DD">
      <w:pPr>
        <w:pStyle w:val="TextoNormal"/>
      </w:pPr>
      <w:r>
        <w:t xml:space="preserve">En relación con los hechos acaecidos el día 1 de octubre de 2017, la censura se contrae a los siguientes extremos: (i) el relato histórico no recoge los elementos necesarios para la apreciación del delito de sedición, toda vez que omite aspectos relativos a las características de los enfrentamientos y sus concretas consecuencias y, sobre todo, no indica quién llevó la iniciativa insurreccional, pues para colmar las exigencias del delito de sedición no basta la </w:t>
      </w:r>
      <w:r>
        <w:lastRenderedPageBreak/>
        <w:t>mera obstaculización, interposición física o los enfrentamientos con la policía; (ii) no cabe subsanar esas deficiencias apelando a los móviles perseguidos mediante la atribución de conductas ajenas al tipo penal; (iii) el demandante no auspició enfrentamientos por parte de los votantes con la policía, como así se recoge en la propia sentencia; (iv) la voluntad de promover la inobservancia de los mandatos jurisdiccionales tampoco satisface los requisitos del tipo subjetivo de sedición, que exige que el sujeto activo actúe por medio de una insurrección violenta o cuando menos tumultuaria; (v) a la vista del relato de hechos probados, cabe afirmar que se ha aplicado analógicamente el antiguo tipo penal de convocatoria de referéndum regulado en el art. 50</w:t>
      </w:r>
      <w:r w:rsidRPr="005728DD">
        <w:rPr>
          <w:i/>
        </w:rPr>
        <w:t>6 b</w:t>
      </w:r>
      <w:r>
        <w:t>is CP, que fue derogado en el año 2005.</w:t>
      </w:r>
    </w:p>
    <w:p w:rsidR="005728DD" w:rsidRDefault="005728DD" w:rsidP="005728DD">
      <w:pPr>
        <w:pStyle w:val="TextoNormal"/>
      </w:pPr>
    </w:p>
    <w:p w:rsidR="005728DD" w:rsidRDefault="005728DD" w:rsidP="005728DD">
      <w:pPr>
        <w:pStyle w:val="TextoNormal"/>
      </w:pPr>
      <w:r>
        <w:t>Para la abogacía del Estado no ha tenido lugar la aplicación analógica que se denuncia, toda vez que la subsunción de los hechos realizada por el órgano judicial se ha verificado de manera lógica y acorde con principios interpretativos válidos y previsibles, sin contrariar el sentido literal del precepto aplicado. Afirma que existió un levantamiento multitudinario y generalizado, que fue proyectado de forma estratégica; que la autoridad del Poder Judicial fue sustituida por la voluntad de los convocantes y de quienes los secundaron; y que esa voluntad fue impuesta por la fuerza. Y en todos esos hechos, se destaca la participación relevante del promotor del amparo como responsable de la movilización de resistencia activa.</w:t>
      </w:r>
    </w:p>
    <w:p w:rsidR="005728DD" w:rsidRDefault="005728DD" w:rsidP="005728DD">
      <w:pPr>
        <w:pStyle w:val="TextoNormal"/>
      </w:pPr>
    </w:p>
    <w:p w:rsidR="005728DD" w:rsidRDefault="005728DD" w:rsidP="005728DD">
      <w:pPr>
        <w:pStyle w:val="TextoNormal"/>
      </w:pPr>
      <w:r>
        <w:t>Para el partido político Vox, el órgano judicial no llevó a cabo tampoco una interpretación analógic</w:t>
      </w:r>
      <w:r w:rsidRPr="005728DD">
        <w:rPr>
          <w:i/>
        </w:rPr>
        <w:t>a in malam part</w:t>
      </w:r>
      <w:r>
        <w:t>em del delito de sedición, pues la subsunción realizada no fue ilógica ni irrazonable ni, por ende, pudo resultar imprevisible.</w:t>
      </w:r>
    </w:p>
    <w:p w:rsidR="005728DD" w:rsidRDefault="005728DD" w:rsidP="005728DD">
      <w:pPr>
        <w:pStyle w:val="TextoNormal"/>
      </w:pPr>
    </w:p>
    <w:p w:rsidR="005728DD" w:rsidRDefault="005728DD" w:rsidP="005728DD">
      <w:pPr>
        <w:pStyle w:val="TextoNormal"/>
      </w:pPr>
      <w:r>
        <w:t>El fiscal considera, por su parte, que los hechos declarados probados sí integran la tipicidad del delito de sedición, ya que describen actos de colectivos indeterminados de personas que, de forma exteriorizada y abierta, realizan conductas de enfrentamiento, hostilidad y resistencia a la actuación de las fuerzas policiales, con la finalidad de impedir u obstaculizar el cumplimiento de resoluciones judiciales como los registros ordenados por un juzgado o la propia celebración del referéndum prohibido por el Tribunal Constitucional y por el Tribunal Superior de Justicia de Cataluña.</w:t>
      </w:r>
    </w:p>
    <w:p w:rsidR="005728DD" w:rsidRDefault="005728DD" w:rsidP="005728DD">
      <w:pPr>
        <w:pStyle w:val="TextoNormal"/>
      </w:pPr>
    </w:p>
    <w:p w:rsidR="005728DD" w:rsidRDefault="005728DD" w:rsidP="005728DD">
      <w:pPr>
        <w:pStyle w:val="TextoNormal"/>
      </w:pPr>
      <w:r>
        <w:t>También se detalla el concertado papel que desempeñaron los acusados y la finalidad perseguida, así como el concierto existente entre el demandante y otros acusados para procurar la financiación del referéndum. Reitera que la conducta del recurrente se encuadra en el supuesto de hecho previsto en la norma punitiva; por ello no ha existido una aplicación extensiva o analógica de la norma sancionadora, pues esta ha sido respetuosa con su tenor literal y, además, no cabe apreciar que, por su soporte metodológico o axiológico, la interpretación conduzca a soluciones esencialmente opuestas a la orientación material de la norma.</w:t>
      </w:r>
    </w:p>
    <w:p w:rsidR="005728DD" w:rsidRDefault="005728DD" w:rsidP="005728DD">
      <w:pPr>
        <w:pStyle w:val="TextoNormal"/>
      </w:pPr>
    </w:p>
    <w:p w:rsidR="005728DD" w:rsidRDefault="005728DD" w:rsidP="005728DD">
      <w:pPr>
        <w:pStyle w:val="TextoNormal"/>
      </w:pPr>
      <w:r>
        <w:t xml:space="preserve">No obsta a lo dicho, que el recurrente no hubiera realizado materialmente los hechos típicos del alzamiento tumultuario, pues su responsabilidad deriva de promover el incumplimiento de resoluciones judiciales y administrativas, a la vez que contribuyó a la pérdida de efectividad </w:t>
      </w:r>
      <w:r w:rsidRPr="005728DD">
        <w:rPr>
          <w:i/>
        </w:rPr>
        <w:t>de facto</w:t>
      </w:r>
      <w:r>
        <w:t xml:space="preserve"> de las leyes vigentes en el ámbito de la Comunidad Autónoma de Cataluña. También rechaza el valor que el recurrente pretende dar a las “llamadas a la calma” que efectuó, al igual que las consideraciones que formula respecto del “derecho a votar”.</w:t>
      </w:r>
    </w:p>
    <w:p w:rsidR="005728DD" w:rsidRDefault="005728DD" w:rsidP="005728DD">
      <w:pPr>
        <w:pStyle w:val="TextoNormal"/>
      </w:pPr>
    </w:p>
    <w:p w:rsidR="005728DD" w:rsidRDefault="005728DD" w:rsidP="005728DD">
      <w:pPr>
        <w:pStyle w:val="TextoNormal"/>
      </w:pPr>
      <w:r>
        <w:t xml:space="preserve">Finalmente, el fiscal refuta que la conducta que se atribuye al demandante tenga exclusivo encaje en el derogado delito de referéndum ilegal del art. 506 </w:t>
      </w:r>
      <w:r w:rsidRPr="005728DD">
        <w:rPr>
          <w:i/>
        </w:rPr>
        <w:t>bis</w:t>
      </w:r>
      <w:r>
        <w:t xml:space="preserve"> CP, pues no estamos ante una mera desatención de los mandatos del Tribunal Constitucional, ni ante una mera cuestión competencial sobre qué órgano estatal o comunitario es competente. Los hechos probados reflejan unos acontecimientos que constituyeron un verdadero alzamiento público y tumultuario, dándose así todos los elementos del tipo del delito de sedición.</w:t>
      </w:r>
    </w:p>
    <w:p w:rsidR="005728DD" w:rsidRDefault="005728DD" w:rsidP="005728DD">
      <w:pPr>
        <w:pStyle w:val="TextoNormal"/>
      </w:pPr>
    </w:p>
    <w:p w:rsidR="005728DD" w:rsidRDefault="005728DD" w:rsidP="005728DD">
      <w:pPr>
        <w:pStyle w:val="TextoNormal"/>
      </w:pPr>
      <w:r>
        <w:t>11.4.2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el apartado 6.2.4 del auto resolutorio del incidente de nulidad, el tribunal ofrece la siguiente respuesta a la queja de la recurrente, relativa a la aplicación analógica del delito de sedición:</w:t>
      </w:r>
    </w:p>
    <w:p w:rsidR="005728DD" w:rsidRDefault="005728DD" w:rsidP="005728DD">
      <w:pPr>
        <w:pStyle w:val="TextoNormal"/>
      </w:pPr>
    </w:p>
    <w:p w:rsidR="005728DD" w:rsidRDefault="005728DD" w:rsidP="005728DD">
      <w:pPr>
        <w:pStyle w:val="TextoNormal"/>
      </w:pPr>
      <w:r>
        <w:t>“Tampoco se ha producido una aplicación analógica del delito de sedición.</w:t>
      </w:r>
    </w:p>
    <w:p w:rsidR="005728DD" w:rsidRDefault="005728DD" w:rsidP="005728DD">
      <w:pPr>
        <w:pStyle w:val="TextoNormal"/>
      </w:pPr>
    </w:p>
    <w:p w:rsidR="005728DD" w:rsidRDefault="005728DD" w:rsidP="005728DD">
      <w:pPr>
        <w:pStyle w:val="TextoNormal"/>
      </w:pPr>
      <w:r>
        <w:t>Como hemos destacado con anterioridad, la autoría del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las leyes, para hacer posible la vigencia de las resoluciones administrativas o judiciales”.</w:t>
      </w:r>
    </w:p>
    <w:p w:rsidR="005728DD" w:rsidRDefault="005728DD" w:rsidP="005728DD">
      <w:pPr>
        <w:pStyle w:val="TextoNormal"/>
      </w:pPr>
    </w:p>
    <w:p w:rsidR="005728DD" w:rsidRDefault="005728DD" w:rsidP="005728DD">
      <w:pPr>
        <w:pStyle w:val="TextoNormal"/>
      </w:pPr>
      <w:r>
        <w:t>No obstante, y dadas las particularidades de esta queja, en diferentes pasajes posteriores se reflejará la contestación que el órgano judicial dio a las distintas censuras dirigidas contra su proceder.</w:t>
      </w:r>
    </w:p>
    <w:p w:rsidR="005728DD" w:rsidRDefault="005728DD" w:rsidP="005728DD">
      <w:pPr>
        <w:pStyle w:val="TextoNormal"/>
      </w:pPr>
    </w:p>
    <w:p w:rsidR="005728DD" w:rsidRDefault="005728DD" w:rsidP="005728DD">
      <w:pPr>
        <w:pStyle w:val="TextoNormal"/>
      </w:pPr>
      <w:r>
        <w:t>11.4.3</w:t>
      </w:r>
      <w:r w:rsidRPr="005728DD">
        <w:rPr>
          <w:i/>
        </w:rPr>
        <w:t>. Resolución de la que</w:t>
      </w:r>
      <w:r>
        <w:t>ja.</w:t>
      </w:r>
    </w:p>
    <w:p w:rsidR="005728DD" w:rsidRDefault="005728DD" w:rsidP="005728DD">
      <w:pPr>
        <w:pStyle w:val="TextoNormal"/>
      </w:pPr>
    </w:p>
    <w:p w:rsidR="005728DD" w:rsidRDefault="005728DD" w:rsidP="005728DD">
      <w:pPr>
        <w:pStyle w:val="TextoNormal"/>
      </w:pPr>
      <w:r>
        <w:t>Al exponer resumidamente los términos del motivo que ahora nos corresponde elucidar, siguiendo el propio esquema de la demanda, hemos disociado en la medida de lo posible las consideraciones que se relacionan con los hechos que tuvieron lugar el 20 de septiembre de 2017, de aquellas otras atinentes a las circunstancias acontecidas el día 1 de octubre.</w:t>
      </w:r>
    </w:p>
    <w:p w:rsidR="005728DD" w:rsidRDefault="005728DD" w:rsidP="005728DD">
      <w:pPr>
        <w:pStyle w:val="TextoNormal"/>
      </w:pPr>
    </w:p>
    <w:p w:rsidR="005728DD" w:rsidRDefault="005728DD" w:rsidP="005728DD">
      <w:pPr>
        <w:pStyle w:val="TextoNormal"/>
      </w:pPr>
      <w:r>
        <w:t>11.4.3.1. Todas las descalificaciones que el demandante dirige contra la sentencia, por la consideración de los hechos acaecidos el día 20 de septiembre como configuradores de un delito de sedición, quedan condicionadas por la respuesta que quepa dar a la alegación relativa a que del contenido de la citada resolución no se desprende qué intervención tuvo el recurrente en el “supuesto alzamiento tumultuario acontecido el día 20 de septiembre”. Hemos de convenir con el demandante en que, en el juicio singularizado de autoría que figura en el apartado C) 1.4 de la sentencia, no se formula ningún razonamiento que expresamente le vincule con los incidentes habidos el día 20 de septiembre de 2017. Ahora bien, como a continuación se explica, esa circunstancia no determina que la queja deba ser estimada.</w:t>
      </w:r>
    </w:p>
    <w:p w:rsidR="005728DD" w:rsidRDefault="005728DD" w:rsidP="005728DD">
      <w:pPr>
        <w:pStyle w:val="TextoNormal"/>
      </w:pPr>
    </w:p>
    <w:p w:rsidR="005728DD" w:rsidRDefault="005728DD" w:rsidP="005728DD">
      <w:pPr>
        <w:pStyle w:val="TextoNormal"/>
      </w:pPr>
      <w:r>
        <w:t xml:space="preserve">El alegato del recurrente se asienta en la siguiente premisa: que la responsabilidad que pudiera serle exigida por esos acontecimientos se debe anudar, necesariamente, a su intervención personal y directa en los mismos. Sin embargo, el tribunal sentenciador no ha fundado su decisión en este postulado, pues como a continuación se expone tuvo en cuenta </w:t>
      </w:r>
      <w:r>
        <w:lastRenderedPageBreak/>
        <w:t>otros factores que se desarrollaron previamente. Concretamente, en el apartado C) 1 de la sentencia se formula el juicio de autoría general sobre el delito de sedición y se razona sobre la imputación colectiva que recae sobre algunos acusados, entre ellos el demandante:</w:t>
      </w:r>
    </w:p>
    <w:p w:rsidR="005728DD" w:rsidRDefault="005728DD" w:rsidP="005728DD">
      <w:pPr>
        <w:pStyle w:val="TextoNormal"/>
      </w:pPr>
    </w:p>
    <w:p w:rsidR="005728DD" w:rsidRDefault="005728DD" w:rsidP="005728DD">
      <w:pPr>
        <w:pStyle w:val="TextoNormal"/>
      </w:pPr>
      <w:r>
        <w:t>“[E]l comportamiento atribuido a [algunos de los acusados] permite atribuirle los riesgos de lesión de tales bienes jurídicos e incluso de su material concreción, tanto del recurso a comportamientos tumultuarios, como episodios en ocasiones violentos y en todo caso fuera de las vía legales, cuanto de las consecuencias de efectivas derogaciones de la legalidad y obstrucciones al cumplimiento de órdenes jurisdiccionales. [...]</w:t>
      </w:r>
    </w:p>
    <w:p w:rsidR="005728DD" w:rsidRDefault="005728DD" w:rsidP="005728DD">
      <w:pPr>
        <w:pStyle w:val="TextoNormal"/>
      </w:pPr>
    </w:p>
    <w:p w:rsidR="005728DD" w:rsidRDefault="005728DD" w:rsidP="005728DD">
      <w:pPr>
        <w:pStyle w:val="TextoNormal"/>
      </w:pPr>
      <w:r>
        <w:t>En cuanto a los acusados miembros del Govern la actividad penalmente típica —derogación de hecho de leyes vigentes y válidas a sustituir por no válidas y la movilización de ciudadanos para comportamientos tumultuarios obstativos de la ejecución de órdenes jurisdiccionales— les es objetivamente imputable como colectivo, en cuanto garantes de la indemnidad del bien jurídico protegido por el delito de sedición: a) tal como concreta la Ley de la Presidencia de la Generalitat y del Govern de Cataluña, el Govern es el órgano superior colegiado que dirige la acción política y la administración de la Generalidad; b) el Govern ejerce la iniciativa legislativa, la función ejecutiva, la potestad reglamentaria y las demás funciones que le asignan la Constitución, el Estatuto y las leyes; c) de manera específica, además, la Ley catalana de la policía autonómica (Ley 10/1994, de 11 de julio) establece en su artículo 2 que corresponde al Govern de la Generalitat, por medio del presidente, el mando supremo del cuerpo de Mossos d´Esquadra. Este mando lo ejerce la persona titular del Departamento de Gobernación, en los términos que establece el artículo 16. Y este atribuye al departamento correspondiente de la administración (artículo 16.2) el mando y la dirección superior del cuerpo de Mossos d’Esquadra. Pese al carácter genérico de tales competencias, estas confieren normativamente, y no solo como poder sino también como deber, un efectivo control del real cumplimiento de lo ordenado en su ejercicio. De otra suerte devendrían ineficaces. Aquella responsabilidad directiva, impone una obligación de vigilancia dirigida a garantizar que las fuerzas de seguridad dependientes garanticen el cumplimiento de la función de policía judicial y, en general, de orden público o mera seguridad ciudadana. Es decir, el debido cumplimiento de los requerimientos judiciales. Mucho más, si cabe, a conjurar todo riesgo de obstrucción a tal cumplimiento”.</w:t>
      </w:r>
    </w:p>
    <w:p w:rsidR="005728DD" w:rsidRDefault="005728DD" w:rsidP="005728DD">
      <w:pPr>
        <w:pStyle w:val="TextoNormal"/>
      </w:pPr>
    </w:p>
    <w:p w:rsidR="005728DD" w:rsidRDefault="005728DD" w:rsidP="005728DD">
      <w:pPr>
        <w:pStyle w:val="TextoNormal"/>
      </w:pPr>
      <w:r>
        <w:t>Por otro lado, al responder a una alegación de la defensa del señor Forn, relativa a la “prohibición de regreso” por la actuación voluntaria y libre de los terceros no acusados, en el referido apartado, se pone de manifiesto la importancia de la actuación concertada entre los acusados:</w:t>
      </w:r>
    </w:p>
    <w:p w:rsidR="005728DD" w:rsidRDefault="005728DD" w:rsidP="005728DD">
      <w:pPr>
        <w:pStyle w:val="TextoNormal"/>
      </w:pPr>
    </w:p>
    <w:p w:rsidR="005728DD" w:rsidRDefault="005728DD" w:rsidP="005728DD">
      <w:pPr>
        <w:pStyle w:val="TextoNormal"/>
      </w:pPr>
      <w:r>
        <w:t xml:space="preserve">“Lejos de ser extraña la actuación de los ciudadanos descrita en los hechos probados, fue preordenada y promovida </w:t>
      </w:r>
      <w:r w:rsidRPr="005728DD">
        <w:rPr>
          <w:i/>
        </w:rPr>
        <w:t>ex ante</w:t>
      </w:r>
      <w:r>
        <w:t xml:space="preserve"> por los acusados como imprescindiblemente funcional para crear el riesgo en la inaplicación de leyes e incumplimiento de decisiones legítimas de órganos jurisdiccionales, riesgo luego realizado materialmente con tal comportamiento de los ciudadanos movilizados.</w:t>
      </w:r>
    </w:p>
    <w:p w:rsidR="005728DD" w:rsidRDefault="005728DD" w:rsidP="005728DD">
      <w:pPr>
        <w:pStyle w:val="TextoNormal"/>
      </w:pPr>
    </w:p>
    <w:p w:rsidR="005728DD" w:rsidRDefault="005728DD" w:rsidP="005728DD">
      <w:pPr>
        <w:pStyle w:val="TextoNormal"/>
      </w:pPr>
      <w:r>
        <w:t>Por ello la imputación objetiva a todos los citados acusados lo es tanto del resultado típico de riesgo e incluso lesión del bien jurídico protegido cuanto del medio en que tal riego se generó, es decir del tumulto en el que se enmarcaron los actos hostiles, y, en caso, violentos”.</w:t>
      </w:r>
    </w:p>
    <w:p w:rsidR="005728DD" w:rsidRDefault="005728DD" w:rsidP="005728DD">
      <w:pPr>
        <w:pStyle w:val="TextoNormal"/>
      </w:pPr>
    </w:p>
    <w:p w:rsidR="005728DD" w:rsidRDefault="005728DD" w:rsidP="005728DD">
      <w:pPr>
        <w:pStyle w:val="TextoNormal"/>
      </w:pPr>
      <w:r>
        <w:t>Por último, procede destacar la argumentación que el apartado D) 1 de la sentencia, al dilucidar sobre las penas que procedía imponer a los señores Junqueras, Romeva y Turull y a la señora Bassa:</w:t>
      </w:r>
    </w:p>
    <w:p w:rsidR="005728DD" w:rsidRDefault="005728DD" w:rsidP="005728DD">
      <w:pPr>
        <w:pStyle w:val="TextoNormal"/>
      </w:pPr>
    </w:p>
    <w:p w:rsidR="005728DD" w:rsidRDefault="005728DD" w:rsidP="005728DD">
      <w:pPr>
        <w:pStyle w:val="TextoNormal"/>
      </w:pPr>
      <w:r>
        <w:t xml:space="preserve">“Los acusados señores Junqueras, Romeva, Turull, y la señora Bassa eran miembros del Govern. En sus respectivos ámbitos decisorios y en función de su fecha de nombramiento como consejeros, hicieron posible y suscribieron los acuerdos gubernativos que han quedado reflejados en el </w:t>
      </w:r>
      <w:r w:rsidRPr="005728DD">
        <w:rPr>
          <w:i/>
        </w:rPr>
        <w:t>factum</w:t>
      </w:r>
      <w:r>
        <w:t>, que dibujaron una pretendida legalidad administrativa contraria a todos los requerimientos del Tribunal Constitucional. Alentaron las movilizaciones tumultuarias convocadas para hacer visible la pérdida de poder de los órganos judiciales en Cataluña y contribuyeron con las decisiones individuales que han sido descritas en el relato de hechos probados a la realidad del referéndum reiteradamente desautorizado y prohibido por el Tribunal Constitucional”.</w:t>
      </w:r>
    </w:p>
    <w:p w:rsidR="005728DD" w:rsidRDefault="005728DD" w:rsidP="005728DD">
      <w:pPr>
        <w:pStyle w:val="TextoNormal"/>
      </w:pPr>
    </w:p>
    <w:p w:rsidR="005728DD" w:rsidRDefault="005728DD" w:rsidP="005728DD">
      <w:pPr>
        <w:pStyle w:val="TextoNormal"/>
      </w:pPr>
      <w:r>
        <w:t>Los fragmentos transcritos ponen de relieve que la citada resolución sí expresa las razones por las que considera al recurrente responsable del “alzamiento tumultuario” acaecido el 20 de septiembre de 2017. Esa vinculación no se establece de manera individualizada ni tampoco se sustenta en que hubiera tenido una intervención personal en los incidentes. Como así se refleja en los párrafos reproducidos de la sentencia, su responsabilidad se anuda a una actuación realizada de consuno por varios acusados que, con su proceder respectivo, generaron o incrementaron el riesgo de inaplicación de las leyes y el incumplimiento de las decisiones de los órganos jurisdiccionales, de suerte que a todos los acusados mencionados les son imputables los actos hostiles y episódicamente violentos que se desencadenaron, dada la relación existente entre estos incidentes y la actuación precedente de aquellos. En suma, la vinculación del demandante con esos eventos se funda en la existencia de una acción concertada en la que este último participó, conforme a una estrategia de favorecimiento de la movilización de los ciudadanos, que fue diseñada a modo de instrumento efectivo de oposición a la vigencia de las leyes y al cumplimiento de los mandatos judiciales, con la finalidad de organizar un referéndum que fue declarado contrario a la Constitución por este tribunal.</w:t>
      </w:r>
    </w:p>
    <w:p w:rsidR="005728DD" w:rsidRDefault="005728DD" w:rsidP="005728DD">
      <w:pPr>
        <w:pStyle w:val="TextoNormal"/>
      </w:pPr>
    </w:p>
    <w:p w:rsidR="005728DD" w:rsidRDefault="005728DD" w:rsidP="005728DD">
      <w:pPr>
        <w:pStyle w:val="TextoNormal"/>
      </w:pPr>
      <w:r>
        <w:t>A lo dicho debemos añadir los argumentos dados en la sentencia para justificar la coautoría del recurrente —y no la mera condición de partícipe en el delito ejecutado por otros—, que ya se han tenido en consideración al analizar un motivo anterior. Y en cualquier caso, debe advertirse que en el individualizado “juicio de autoría” relativo al demandante [apartado C) 1.4], se detallan las circunstancias por las que al recurrente se le considera autor del delito de sedición [que aparecen compendiadas en el punto (ii) del antecedente 2 p) de esta sentencia], que reflejan la activa promoción que llevó a cabo del “referéndum” y su contumaz oposición, como miembro del Govern, a que la normativa vigente fuera efectivamente aplicada.</w:t>
      </w:r>
    </w:p>
    <w:p w:rsidR="005728DD" w:rsidRDefault="005728DD" w:rsidP="005728DD">
      <w:pPr>
        <w:pStyle w:val="TextoNormal"/>
      </w:pPr>
    </w:p>
    <w:p w:rsidR="005728DD" w:rsidRDefault="005728DD" w:rsidP="005728DD">
      <w:pPr>
        <w:pStyle w:val="TextoNormal"/>
      </w:pPr>
      <w:r>
        <w:t>11.4.3.1.1. Aduce el demandante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Al resolver sobre la alegada insuficiencia del relato histórico, en el apartado 3.2.2.3 A) del auto resolutorio del incidente de nulidad, el tribunal sentenciador razonó del siguiente modo:</w:t>
      </w:r>
    </w:p>
    <w:p w:rsidR="005728DD" w:rsidRDefault="005728DD" w:rsidP="005728DD">
      <w:pPr>
        <w:pStyle w:val="TextoNormal"/>
      </w:pPr>
    </w:p>
    <w:p w:rsidR="005728DD" w:rsidRDefault="005728DD" w:rsidP="005728DD">
      <w:pPr>
        <w:pStyle w:val="TextoNormal"/>
      </w:pPr>
      <w:r>
        <w:t>“A) La defensa del señor Forn minimiza lo que reconoce que ocurrió, considerándolo un mero enfrentamiento aislado y no significativo, dadas las dimensiones de la movilización, pero sin que se constaten agresiones o acometimientos masivos activos.</w:t>
      </w:r>
    </w:p>
    <w:p w:rsidR="005728DD" w:rsidRDefault="005728DD" w:rsidP="005728DD">
      <w:pPr>
        <w:pStyle w:val="TextoNormal"/>
      </w:pPr>
    </w:p>
    <w:p w:rsidR="005728DD" w:rsidRDefault="005728DD" w:rsidP="005728DD">
      <w:pPr>
        <w:pStyle w:val="TextoNormal"/>
      </w:pPr>
      <w:r>
        <w:t>No habría habido así ‘alzamiento’ en la simple interposición física de grupos de personas, que disuadían por su número a los miembros de las fuerzas y cuerpos de seguridad del Estado y que, a lo sumo, obstaculizaban y retrasaban la actuación de dichos agentes, sin impedirla definitivamente, cuando estos empleaban la fuerza. El 20 de septiembre —se arguye— el objetivo de ‘impedir’ la actuación judicial no sería lo perseguido por los concentrados, si por impedir se entiende realmente ‘imposibilitar’ y no meramente ‘interferir o entorpecer’ la cumplimentación de aquella resolución. Se valora que el tumulto imputado a los autores no pone efectivamente en cuestión el funcionamiento del estado democrático de Derecho. Califica de ‘sedición postmoderna’, pero no típica, la movilización multitudinaria dirigida a demostrar la neutralización de la función constitucional atribuida a los jueces, la cual, llega a decir el penado en su incidente, haría del Estado una ‘víctima comunicativa’ de su propia violencia.</w:t>
      </w:r>
    </w:p>
    <w:p w:rsidR="005728DD" w:rsidRDefault="005728DD" w:rsidP="005728DD">
      <w:pPr>
        <w:pStyle w:val="TextoNormal"/>
      </w:pPr>
    </w:p>
    <w:p w:rsidR="005728DD" w:rsidRDefault="005728DD" w:rsidP="005728DD">
      <w:pPr>
        <w:pStyle w:val="TextoNormal"/>
      </w:pPr>
      <w:r>
        <w:t>No reiteraremos ahora el relato íntegro de hechos probados de la sentencia, sino solamente las líneas que resumen los presupuestos objetivos del tipo penal y delatan la artificiosa valoración que de lo ocurrido hace el incidente.</w:t>
      </w:r>
    </w:p>
    <w:p w:rsidR="005728DD" w:rsidRDefault="005728DD" w:rsidP="005728DD">
      <w:pPr>
        <w:pStyle w:val="TextoNormal"/>
      </w:pPr>
    </w:p>
    <w:p w:rsidR="005728DD" w:rsidRDefault="005728DD" w:rsidP="005728DD">
      <w:pPr>
        <w:pStyle w:val="TextoNormal"/>
      </w:pPr>
      <w:r>
        <w:t>En efecto, el hecho probado, de contenido no cuestionado en ningún apartado de este incidente, proclama que el 20 de septiembre, las asociaciones dirigidas por los coacusados y penados señores Sánchez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005728DD" w:rsidRDefault="005728DD" w:rsidP="005728DD">
      <w:pPr>
        <w:pStyle w:val="TextoNormal"/>
      </w:pPr>
    </w:p>
    <w:p w:rsidR="005728DD" w:rsidRDefault="005728DD" w:rsidP="005728DD">
      <w:pPr>
        <w:pStyle w:val="TextoNormal"/>
      </w:pPr>
      <w:r>
        <w:t>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005728DD" w:rsidRDefault="005728DD" w:rsidP="005728DD">
      <w:pPr>
        <w:pStyle w:val="TextoNormal"/>
      </w:pPr>
    </w:p>
    <w:p w:rsidR="005728DD" w:rsidRDefault="005728DD" w:rsidP="005728DD">
      <w:pPr>
        <w:pStyle w:val="TextoNormal"/>
      </w:pPr>
      <w:r>
        <w:t>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005728DD" w:rsidRDefault="005728DD" w:rsidP="005728DD">
      <w:pPr>
        <w:pStyle w:val="TextoNormal"/>
      </w:pPr>
    </w:p>
    <w:p w:rsidR="005728DD" w:rsidRDefault="005728DD" w:rsidP="005728DD">
      <w:pPr>
        <w:pStyle w:val="TextoNormal"/>
      </w:pPr>
      <w:r>
        <w:lastRenderedPageBreak/>
        <w:t>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005728DD" w:rsidRDefault="005728DD" w:rsidP="005728DD">
      <w:pPr>
        <w:pStyle w:val="TextoNormal"/>
      </w:pPr>
    </w:p>
    <w:p w:rsidR="005728DD" w:rsidRDefault="005728DD" w:rsidP="005728DD">
      <w:pPr>
        <w:pStyle w:val="TextoNormal"/>
      </w:pPr>
      <w:r>
        <w:t>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005728DD" w:rsidRDefault="005728DD" w:rsidP="005728DD">
      <w:pPr>
        <w:pStyle w:val="TextoNormal"/>
      </w:pPr>
    </w:p>
    <w:p w:rsidR="005728DD" w:rsidRDefault="005728DD" w:rsidP="005728DD">
      <w:pPr>
        <w:pStyle w:val="TextoNormal"/>
      </w:pPr>
      <w:r>
        <w:t>El programa delictivo de los penados preveía —como se proclama en el hecho probado 3— la estrategia de utilizar a multitudes de ciudadanos para ‘neutralizar cualquier manifestación de poder emanada de las autoridades judiciales y gubernativas del Estado’. En definitiva, a la ilicitud de la finalidad perseguida por los autores se une el extravío del procedimiento diseñado como medio. Se decidió actuar con desafío del ordenamiento jurídico que fue declarado derogado, sustituido y suplantado por las Leyes de referéndum y desconexión 6 y 7 de septiembre de 2017. Y en la medida que para esto era un óbice lo que habían ordenado el Tribunal Constitucional y derivadamente los juzgados núm. 13 de Barcelona y el Tribunal Superior de Justicia de Cataluña, llamaron a los ciudadanos a hacer imposible su cumplimiento.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w:t>
      </w:r>
    </w:p>
    <w:p w:rsidR="005728DD" w:rsidRDefault="005728DD" w:rsidP="005728DD">
      <w:pPr>
        <w:pStyle w:val="TextoNormal"/>
      </w:pPr>
    </w:p>
    <w:p w:rsidR="005728DD" w:rsidRDefault="005728DD" w:rsidP="005728DD">
      <w:pPr>
        <w:pStyle w:val="TextoNormal"/>
      </w:pPr>
      <w:r>
        <w:t xml:space="preserve">Ello no diluiría la tipicidad de los comportamientos. Y no solamente por la diferencia entre los supuestos de abierta tiranía o injusto colonialismo que han estado presentes en los contextos históricos que legitimaron aquellos movimientos. Basta para esa conclusión reparar en el contenido de las leyes antidemocráticas y sedicentes aprobadas los días 6 y 7 de septiembre de 2017, conforme al plan de los acusados como punto de partida. Puede ser suficiente considerar el estatuto político, social o económico que ha definido el entorno en que se han ejecutado los hechos o pensar, en fin, en la posición y los medios que a los autores </w:t>
      </w:r>
      <w:r>
        <w:lastRenderedPageBreak/>
        <w:t>del hecho concedía su integración en la estructura del Estado, cuyas leyes fueron derogadas y sus jueces abiertamente desobedecidos.</w:t>
      </w:r>
    </w:p>
    <w:p w:rsidR="005728DD" w:rsidRDefault="005728DD" w:rsidP="005728DD">
      <w:pPr>
        <w:pStyle w:val="TextoNormal"/>
      </w:pPr>
    </w:p>
    <w:p w:rsidR="005728DD" w:rsidRDefault="005728DD" w:rsidP="005728DD">
      <w:pPr>
        <w:pStyle w:val="TextoNormal"/>
      </w:pPr>
      <w:r>
        <w:t>En cualquier caso, para satisfacer las exigencias del tipo penal de sedición, acomodándonos al principio de legalidad, es suficiente el extravío —actuar fuera de las vías legales—, del procedimiento ordenado a los ilícitos e inconstitucionales objetivos.</w:t>
      </w:r>
    </w:p>
    <w:p w:rsidR="005728DD" w:rsidRDefault="005728DD" w:rsidP="005728DD">
      <w:pPr>
        <w:pStyle w:val="TextoNormal"/>
      </w:pPr>
    </w:p>
    <w:p w:rsidR="005728DD" w:rsidRDefault="005728DD" w:rsidP="005728DD">
      <w:pPr>
        <w:pStyle w:val="TextoNormal"/>
      </w:pPr>
      <w:r>
        <w:t>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005728DD" w:rsidRDefault="005728DD" w:rsidP="005728DD">
      <w:pPr>
        <w:pStyle w:val="TextoNormal"/>
      </w:pPr>
    </w:p>
    <w:p w:rsidR="005728DD" w:rsidRDefault="005728DD" w:rsidP="005728DD">
      <w:pPr>
        <w:pStyle w:val="TextoNormal"/>
      </w:pPr>
      <w:r>
        <w:t>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5728DD" w:rsidRDefault="005728DD" w:rsidP="005728DD">
      <w:pPr>
        <w:pStyle w:val="TextoNormal"/>
      </w:pPr>
    </w:p>
    <w:p w:rsidR="005728DD" w:rsidRDefault="005728DD" w:rsidP="005728DD">
      <w:pPr>
        <w:pStyle w:val="TextoNormal"/>
      </w:pPr>
      <w:r>
        <w:t>A la vista de lo relatado en los párrafos transcritos, constatamos que la respuesta judicial destaca de modo elocuente los aspectos en que se sustenta la apreciación del delito de sedición. En los apartados 9 y 12 del relato de hechos probados de la sentencia, se pone de manifiesto lo que el tribunal sentenciador considera actos configuradores del “alzamiento tumultuario” que exige el tipo penal, mientras que en apartados anteriores se detalla el desarrollo de la estrategia ideada por los acusados. Por tanto, la censura ahora analizada debe decaer pues, con un razonable grado de concreción, el órgano sentenciador ha fijado el soporte fáctico sobre el que fundamentar la existencia de la infracción penal y, ante la denuncia planteada en sede judicial, ha dispensado una respuesta acorde con las exigencias de motivación que nuestra doctrina requiere.</w:t>
      </w:r>
    </w:p>
    <w:p w:rsidR="005728DD" w:rsidRDefault="005728DD" w:rsidP="005728DD">
      <w:pPr>
        <w:pStyle w:val="TextoNormal"/>
      </w:pPr>
    </w:p>
    <w:p w:rsidR="005728DD" w:rsidRDefault="005728DD" w:rsidP="005728DD">
      <w:pPr>
        <w:pStyle w:val="TextoNormal"/>
      </w:pPr>
      <w:r>
        <w:t>11.4.3.1.2. Se alega también que los hechos que tuvieron lugar el día 20 de septiembre de 2017 no conforman el delito de sedición tipificado en el art. 544 CP. Básicamente dos son las razones en las que se sustenta este aserto: i) por un lado, que fueron muy pocos los congregados que incurrieron en excesos que, a lo sumo, derivaron en daños materiales ocasionados; ii) y, por otra parte, que la actuación de estos últimos dificultó la práctica de la diligencia judicial, pero no impidió su cumplimiento, que es lo que exige el tipo para su consumación.</w:t>
      </w:r>
    </w:p>
    <w:p w:rsidR="005728DD" w:rsidRDefault="005728DD" w:rsidP="005728DD">
      <w:pPr>
        <w:pStyle w:val="TextoNormal"/>
      </w:pPr>
    </w:p>
    <w:p w:rsidR="005728DD" w:rsidRDefault="005728DD" w:rsidP="005728DD">
      <w:pPr>
        <w:pStyle w:val="TextoNormal"/>
      </w:pPr>
      <w:r>
        <w:t xml:space="preserve">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w:t>
      </w:r>
      <w:r>
        <w:lastRenderedPageBreak/>
        <w:t>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005728DD" w:rsidRDefault="005728DD" w:rsidP="005728DD">
      <w:pPr>
        <w:pStyle w:val="TextoNormal"/>
      </w:pPr>
    </w:p>
    <w:p w:rsidR="005728DD" w:rsidRDefault="005728DD" w:rsidP="005728DD">
      <w:pPr>
        <w:pStyle w:val="TextoNormal"/>
      </w:pPr>
      <w:r>
        <w:t>También queda reflejado en la sentencia cuál era el propósito perseguido con la convocatoria, así como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005728DD" w:rsidRDefault="005728DD" w:rsidP="005728DD">
      <w:pPr>
        <w:pStyle w:val="TextoNormal"/>
      </w:pPr>
    </w:p>
    <w:p w:rsidR="005728DD" w:rsidRDefault="005728DD" w:rsidP="005728DD">
      <w:pPr>
        <w:pStyle w:val="TextoNormal"/>
      </w:pPr>
      <w:r>
        <w:t>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5728DD" w:rsidRDefault="005728DD" w:rsidP="005728DD">
      <w:pPr>
        <w:pStyle w:val="TextoNormal"/>
      </w:pPr>
    </w:p>
    <w:p w:rsidR="005728DD" w:rsidRDefault="005728DD" w:rsidP="005728DD">
      <w:pPr>
        <w:pStyle w:val="TextoNormal"/>
      </w:pPr>
      <w:r>
        <w:t>El demandante también opone, respecto de la apreciación del delito de sedición, que aun cuando los excesos dificultaron la ejecución de la resolución judicial, sin embargo, no impidieron su cumplimiento, que es lo que requiere el art. 544 CP. Y ello, porque si bien no se pudo trasladar a los detenidos al lugar del registro, estos renunciaron voluntariamente a estar presentes y, además, este requisito no es esencial para la validez de la diligencia (STS 463/2019). En el apartado 4.5 del fundamento jurídico B) de la sentencia el órgano judicial concluye, no obstante, que la sedición ha sido concebida como un delito de “resultado cortado”:</w:t>
      </w:r>
    </w:p>
    <w:p w:rsidR="005728DD" w:rsidRDefault="005728DD" w:rsidP="005728DD">
      <w:pPr>
        <w:pStyle w:val="TextoNormal"/>
      </w:pPr>
    </w:p>
    <w:p w:rsidR="005728DD" w:rsidRDefault="005728DD" w:rsidP="005728DD">
      <w:pPr>
        <w:pStyle w:val="TextoNormal"/>
      </w:pPr>
      <w:r>
        <w:t xml:space="preserve">“La consumación debe establecerse atendiendo a la naturaleza del tipo penal como de resultado cortado, en similares términos a los expuestos en relación con la rebelión. Lo que </w:t>
      </w:r>
      <w:r>
        <w:lastRenderedPageBreak/>
        <w:t>exige una funcionalidad objetiva, además de subjetivamente procurada, respecto de la obstaculización del cumplimiento de las leyes o de la efectividad de las resoluciones adoptadas por la administración o el Poder Judicial.</w:t>
      </w:r>
    </w:p>
    <w:p w:rsidR="005728DD" w:rsidRDefault="005728DD" w:rsidP="005728DD">
      <w:pPr>
        <w:pStyle w:val="TextoNormal"/>
      </w:pPr>
    </w:p>
    <w:p w:rsidR="005728DD" w:rsidRDefault="005728DD" w:rsidP="005728DD">
      <w:pPr>
        <w:pStyle w:val="TextoNormal"/>
      </w:pPr>
      <w:r>
        <w:t>El impedimento tipificado no tiene pues que ser logrado efectivamente por los autores. Eso entraría ya en la fase de agotamiento, más allá de la consumación. Pero ni siquiera en cuanto a finalidad de los autores tiene que ser pretendido por todos ellos de manera absoluta. Basta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Porque esa pretensión disuasoria implica en sí misma una voluntad de impedir definitivamente, siquiera aplazada en el tiempo”.</w:t>
      </w:r>
    </w:p>
    <w:p w:rsidR="005728DD" w:rsidRDefault="005728DD" w:rsidP="005728DD">
      <w:pPr>
        <w:pStyle w:val="TextoNormal"/>
      </w:pPr>
    </w:p>
    <w:p w:rsidR="005728DD" w:rsidRDefault="005728DD" w:rsidP="005728DD">
      <w:pPr>
        <w:pStyle w:val="TextoNormal"/>
      </w:pPr>
      <w:r>
        <w:t>Por su parte, en el apartado A) 3.2.2.3 del auto resolutorio del incidente de nulidad, que ha sido transcrito en un apartado anterior, se pone de relieve que los detenidos no pudieron presenciar los registros, por hacerse inviable su acceso al edificio en el que esa diligencia iba a realizarse. Asimismo, en el párrafo final del citado apartado se argumenta que: “Finalmente,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5728DD" w:rsidRDefault="005728DD" w:rsidP="005728DD">
      <w:pPr>
        <w:pStyle w:val="TextoNormal"/>
      </w:pPr>
    </w:p>
    <w:p w:rsidR="005728DD" w:rsidRDefault="005728DD" w:rsidP="005728DD">
      <w:pPr>
        <w:pStyle w:val="TextoNormal"/>
      </w:pPr>
      <w:r>
        <w:t>Aun cuando el demandante alegue que los hechos acreditados no expresan que a la comisión judicial se le impidió desempeñar su cometido, ello no impide apreciar la consumación del delito de sedición, pues como refiere el órgano sentenciador, la naturaleza jurídica de esta infracción penal —de resultado cortado— no impone que efectivamente se logren las finalidades que refiere el art. 544 CP. Ciertamente, el tenor del precepto aplicado exige la concurrencia de ciertos elementos, tales como que se produzca un alzamiento público y tumultuario y que se proceda mediante fuerza o fuera de las vías legales; sin embargo, no se requiere la culminación de las finalidades que en el mismo se indican; entre ellas, la de impedir el cumplimiento de las resoluciones judiciales. Nótese, que el tipo penal no emplea el vocablo “impidan” o “se impida” sino que utiliza el término “para impedir”, al referirse a los fines que se deben perseguir. Por ello, la intelección del precepto que lleva a cabo el tribunal sentenciador no debe considerarse contraria al derecho que garantiza el art. 25.1 CE.</w:t>
      </w:r>
    </w:p>
    <w:p w:rsidR="005728DD" w:rsidRDefault="005728DD" w:rsidP="005728DD">
      <w:pPr>
        <w:pStyle w:val="TextoNormal"/>
      </w:pPr>
    </w:p>
    <w:p w:rsidR="005728DD" w:rsidRDefault="005728DD" w:rsidP="005728DD">
      <w:pPr>
        <w:pStyle w:val="TextoNormal"/>
      </w:pPr>
      <w:r>
        <w:t>11.4.3.2. El segundo bloque argumental concierne a los hechos ocurridos el día 1 de octubre de 2017. En primer lugar, se reprocha la excesiva concisión del relato fáctico, por no explicar en qué consistieron los enfrentamientos y cuáles fueron sus consecuencias, más allá de aludir a que algunos individuos precisaron asistencia facultativa.</w:t>
      </w:r>
    </w:p>
    <w:p w:rsidR="005728DD" w:rsidRDefault="005728DD" w:rsidP="005728DD">
      <w:pPr>
        <w:pStyle w:val="TextoNormal"/>
      </w:pPr>
    </w:p>
    <w:p w:rsidR="005728DD" w:rsidRDefault="005728DD" w:rsidP="005728DD">
      <w:pPr>
        <w:pStyle w:val="TextoNormal"/>
      </w:pPr>
      <w:r>
        <w:t xml:space="preserve">Los extremos a que se refiere el recurrente figuran en el apartado 12 de los hechos declarados probados y, respecto del relato que allí se consigna cabe decir que, en efecto, los acontecimientos habidos se describen sucintamente y sin descender al detalle de ciertos aspectos, tales como la identificación de las personas y de los concretos lugares en que se produjeron los incidentes, así como las características particulares de cada uno de los enfrentamientos que tuvieron lugar y las consecuencias que de ellos derivaron. Sin embargo, </w:t>
      </w:r>
      <w:r>
        <w:lastRenderedPageBreak/>
        <w:t>esa parquedad descriptiva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del consiguiente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por parte del señor Forn y de la señora Bassa, en relación con lo ordenado por la referida resolución judicial.</w:t>
      </w:r>
    </w:p>
    <w:p w:rsidR="005728DD" w:rsidRDefault="005728DD" w:rsidP="005728DD">
      <w:pPr>
        <w:pStyle w:val="TextoNormal"/>
      </w:pPr>
    </w:p>
    <w:p w:rsidR="005728DD" w:rsidRDefault="005728DD" w:rsidP="005728DD">
      <w:pPr>
        <w:pStyle w:val="TextoNormal"/>
      </w:pPr>
      <w:r>
        <w:t>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sin embargo,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005728DD" w:rsidRDefault="005728DD" w:rsidP="005728DD">
      <w:pPr>
        <w:pStyle w:val="TextoNormal"/>
      </w:pPr>
    </w:p>
    <w:p w:rsidR="005728DD" w:rsidRDefault="005728DD" w:rsidP="005728DD">
      <w:pPr>
        <w:pStyle w:val="TextoNormal"/>
      </w:pPr>
      <w:r>
        <w:t>Los acontecimientos que se narran en el indicado apartado de los hechos probados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el relato ofrece 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005728DD" w:rsidRDefault="005728DD" w:rsidP="005728DD">
      <w:pPr>
        <w:pStyle w:val="TextoNormal"/>
      </w:pPr>
    </w:p>
    <w:p w:rsidR="005728DD" w:rsidRDefault="005728DD" w:rsidP="005728DD">
      <w:pPr>
        <w:pStyle w:val="TextoNormal"/>
      </w:pPr>
      <w:r>
        <w:t xml:space="preserve">Además de la parquedad a que se refiere el demandante, este también reprocha que la sentencia no tome en consideración un factor de capital importancia; a saber, que quien “se alza debe llevar claramente la iniciativa insurreccional”. Conforme a este postulado, lo que el recurrente califica como un mero enfrentamiento con la policía no puede configurar un “alzamiento”. Este alegato debe no obstante decaer, pues ignora que el escenario descrito en los hechos probados, dista de ser un simple enfrentamiento.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w:t>
      </w:r>
      <w:r>
        <w:lastRenderedPageBreak/>
        <w:t>fuerza para cumplimentar la orden judicial, ante el decidido empeño de persistir en el designio de no acatar lo ordenado; o bien mediante el enfrentamiento directo con los policías nacionales y guardias civiles.</w:t>
      </w:r>
    </w:p>
    <w:p w:rsidR="005728DD" w:rsidRDefault="005728DD" w:rsidP="005728DD">
      <w:pPr>
        <w:pStyle w:val="TextoNormal"/>
      </w:pPr>
    </w:p>
    <w:p w:rsidR="005728DD" w:rsidRDefault="005728DD" w:rsidP="005728DD">
      <w:pPr>
        <w:pStyle w:val="TextoNormal"/>
      </w:pPr>
      <w:r>
        <w:t>Se indica asimismo en la demanda que la movilización ciudadana no tuvo el propósito de impedir la acción policial sino el de votar, cuyo llamamiento, a tal fin, data de la activación del mecanismo jurídico previsto en el art. 4.4 de la Ley catalana 19/2017. Por ello, el recurrente refiere que hay una evidente falta de conexión teleológica entre la conducta objetiva y la finalidad perseguida, porque ir a votar no encaja en el sentido literal del término “alzarse”. En suma, el Tribunal Supremo contempla un alzamiento que “impide” cuando el tipo penal castiga alzarse para “impedir”.</w:t>
      </w:r>
    </w:p>
    <w:p w:rsidR="005728DD" w:rsidRDefault="005728DD" w:rsidP="005728DD">
      <w:pPr>
        <w:pStyle w:val="TextoNormal"/>
      </w:pPr>
    </w:p>
    <w:p w:rsidR="005728DD" w:rsidRDefault="005728DD" w:rsidP="005728DD">
      <w:pPr>
        <w:pStyle w:val="TextoNormal"/>
      </w:pPr>
      <w:r>
        <w:t>No se pone en cuestión lo afirmado por el demandante, cuando refiere que el propósito de los que participaron en la movilización ciudadana fue el de ejercer el sufragio,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el demandante, constituyen un cúmulo de factores que convergen con la efectiva movilización ciudadana para votar. De este modo, los enfrentamientos y actos de oposición a que se refiere la sentencia no resultan ajenos al “alzamiento público y tumultuario” y al empleo de fuerza o utilización de vías extralegales para, precisamente, impedir la eficacia de lo acordado por el Tribunal Constitucional y lo resuelto por la Sala Civil y Penal del Tribunal Superior de Justicia de Cataluña.</w:t>
      </w:r>
    </w:p>
    <w:p w:rsidR="005728DD" w:rsidRDefault="005728DD" w:rsidP="005728DD">
      <w:pPr>
        <w:pStyle w:val="TextoNormal"/>
      </w:pPr>
    </w:p>
    <w:p w:rsidR="005728DD" w:rsidRDefault="005728DD" w:rsidP="005728DD">
      <w:pPr>
        <w:pStyle w:val="TextoNormal"/>
      </w:pPr>
      <w:r>
        <w:t>Lo expuesto en este punto conduce a rechazar la queja del recurrente, referida a que la atipicidad de los hechos no puede remediarse con apelaciones a la ideología de los procesados o al intento de alumbrar una legalidad paralela. Esta alegación se sustenta en una premisa rechazada por el órgano sentenciador, puesto que este estimó que los incidentes surgidos con motivo de la votación son relevantes penalmente; y este tribunal entiende que esa consideración es acorde con el mandato del art. 25.1 CE.</w:t>
      </w:r>
    </w:p>
    <w:p w:rsidR="005728DD" w:rsidRDefault="005728DD" w:rsidP="005728DD">
      <w:pPr>
        <w:pStyle w:val="TextoNormal"/>
      </w:pPr>
    </w:p>
    <w:p w:rsidR="005728DD" w:rsidRDefault="005728DD" w:rsidP="005728DD">
      <w:pPr>
        <w:pStyle w:val="TextoNormal"/>
      </w:pPr>
      <w:r>
        <w:t>11.4.3.2.1. Cuestiona también el demandante que el órgano judicial no tuviera en cuenta, como circunstancia que impide apreciar el delito de sedición, el hecho de que no promoviera los enfrentamientos entre votantes y policías, pues la propia sentencia reconoce que aquel hizo llamamientos para que los primeros se comportaran de manera sosegada y pacífica, presentando el sistema de censo universal como un recurso para que los ciudadanos “pudieran votar evitando los lugares a que había asistido la policía”. Sobre este particular, advertimos que es cierto que en la sentencia se reconoce el valor positivo de las llamadas a la calma, a la serenidad y al civismo por parte del demandante. Pero en dicha resolución se descarta que ese extremo tenga “un significado excluyente de la antijuridicidad o de la culpabilidad”, como se expresa en el ya mencionado C) 1.4 de la fundamentación jurídica:</w:t>
      </w:r>
    </w:p>
    <w:p w:rsidR="005728DD" w:rsidRDefault="005728DD" w:rsidP="005728DD">
      <w:pPr>
        <w:pStyle w:val="TextoNormal"/>
      </w:pPr>
    </w:p>
    <w:p w:rsidR="005728DD" w:rsidRDefault="005728DD" w:rsidP="005728DD">
      <w:pPr>
        <w:pStyle w:val="TextoNormal"/>
      </w:pPr>
      <w:r>
        <w:lastRenderedPageBreak/>
        <w:t>“Es evidente que la llamada al mantenimiento de la calma, la serenidad y el civismo, de tanta importancia en situaciones de tensión como la vivida el día 1 de octubre, con la existencia de anuncios de previsibles altercados violentos por los máximos responsables del orden público, encierra un valor positivo. Pero no puede tener un significado excluyente de la antijuridicidad —o de la culpabilidad— respecto de una conducta que estuvo siempre tendencialmente ordenada a hacer realidad un referéndum judicialmente prohibido. El acusado era consciente de que esos llamamientos a la celebración del referéndum suspendido por la autoridad judicial implicaban una clara voluntad de promover la inobservancia de los mandatos jurisdiccionales.</w:t>
      </w:r>
    </w:p>
    <w:p w:rsidR="005728DD" w:rsidRDefault="005728DD" w:rsidP="005728DD">
      <w:pPr>
        <w:pStyle w:val="TextoNormal"/>
      </w:pPr>
    </w:p>
    <w:p w:rsidR="005728DD" w:rsidRDefault="005728DD" w:rsidP="005728DD">
      <w:pPr>
        <w:pStyle w:val="TextoNormal"/>
      </w:pPr>
      <w:r>
        <w:t>La autoría en el delito de sedición por el que ha sido acusado 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las leyes, para hacer posible la vigencia de las resoluciones administrativas o judiciales.</w:t>
      </w:r>
    </w:p>
    <w:p w:rsidR="005728DD" w:rsidRDefault="005728DD" w:rsidP="005728DD">
      <w:pPr>
        <w:pStyle w:val="TextoNormal"/>
      </w:pPr>
    </w:p>
    <w:p w:rsidR="005728DD" w:rsidRDefault="005728DD" w:rsidP="005728DD">
      <w:pPr>
        <w:pStyle w:val="TextoNormal"/>
      </w:pPr>
      <w:r>
        <w:t>La incorporación tardía del acusado señor Turull al Govern de la Generalitat —julio de 2017— no es obstáculo para concluir su autoría. No lo es a partir de las categorías dogmáticas asumidas por la jurisprudencia de esta Sala sobre la autoría por adhesión o autoría sucesiva”.</w:t>
      </w:r>
    </w:p>
    <w:p w:rsidR="005728DD" w:rsidRDefault="005728DD" w:rsidP="005728DD">
      <w:pPr>
        <w:pStyle w:val="TextoNormal"/>
      </w:pPr>
    </w:p>
    <w:p w:rsidR="005728DD" w:rsidRDefault="005728DD" w:rsidP="005728DD">
      <w:pPr>
        <w:pStyle w:val="TextoNormal"/>
      </w:pPr>
      <w:r>
        <w:t>Vistos los párrafos transcritos, este tribunal constata que esas llamadas a la calma no tuvieron por objeto evitar el motivo principal de los enfrentamientos con las fuerzas policiales, habida cuenta de que el demandante exhortó a la ciudadanía para que continuara votando en los lugares donde pudiera hacerlo, asumiendo el riesgo de que los encuentros violentos con las fuerzas policiales pudieran seguir produciéndose. Por ello, debemos aquí ratificar, desde la perspectiva que nos es propia, la argumentación judicial dada para descartar el pretendido efecto de exoneración delictiva de las exhortaciones a la calma y la serenidad.</w:t>
      </w:r>
    </w:p>
    <w:p w:rsidR="005728DD" w:rsidRDefault="005728DD" w:rsidP="005728DD">
      <w:pPr>
        <w:pStyle w:val="TextoNormal"/>
      </w:pPr>
    </w:p>
    <w:p w:rsidR="005728DD" w:rsidRDefault="005728DD" w:rsidP="005728DD">
      <w:pPr>
        <w:pStyle w:val="TextoNormal"/>
      </w:pPr>
      <w:r>
        <w:t xml:space="preserve">11.4.3.2.2. Resta por abordar un último aspecto dentro de este apartado, concretamente, referido a que los hechos considerados como constitutivos del delito de sedición, en realidad, tendrían encaje en el derogado art. 506 </w:t>
      </w:r>
      <w:r w:rsidRPr="005728DD">
        <w:rPr>
          <w:i/>
        </w:rPr>
        <w:t>bis</w:t>
      </w:r>
      <w:r>
        <w:t xml:space="preserve"> del Código penal que sancionaba la convocatoria ilegal de referéndum. Según se sostiene en la demanda, este precepto fue configurado, como avala su génesis histórica, para sancionar casos como el presente; y su derogación, como se desprende de la exposición de motivos de la norma derogatoria, se produjo para evitar que tales hechos fueran criminalizados.</w:t>
      </w:r>
    </w:p>
    <w:p w:rsidR="005728DD" w:rsidRDefault="005728DD" w:rsidP="005728DD">
      <w:pPr>
        <w:pStyle w:val="TextoNormal"/>
      </w:pPr>
    </w:p>
    <w:p w:rsidR="005728DD" w:rsidRDefault="005728DD" w:rsidP="005728DD">
      <w:pPr>
        <w:pStyle w:val="TextoNormal"/>
      </w:pPr>
      <w:r>
        <w:t>En el apartado 17.2 A) de la sentencia se aborda la temática relativa al “supuesto efecto exoneratorio de la derogación del delito de convocatoria de referéndum ilegal”, que el tribunal sentenciador desechó:</w:t>
      </w:r>
    </w:p>
    <w:p w:rsidR="005728DD" w:rsidRDefault="005728DD" w:rsidP="005728DD">
      <w:pPr>
        <w:pStyle w:val="TextoNormal"/>
      </w:pPr>
    </w:p>
    <w:p w:rsidR="005728DD" w:rsidRDefault="005728DD" w:rsidP="005728DD">
      <w:pPr>
        <w:pStyle w:val="TextoNormal"/>
      </w:pPr>
      <w:r>
        <w:t xml:space="preserve">“[L]o cierto es que el art. 506 </w:t>
      </w:r>
      <w:r w:rsidRPr="005728DD">
        <w:rPr>
          <w:i/>
        </w:rPr>
        <w:t>bis</w:t>
      </w:r>
      <w:r>
        <w:t xml:space="preserve"> del CP no preservaba otra cosa que el principio de competencia en el reparto de la potestad político/administrativa de convocatoria de un referéndum o consulta popular. Desde esa perspectiva, castigar la invasión competencial con una pena privativa de libertad de entre tres y seis años de prisión, puede resultar contrario al significado mismo de un derecho penal respetuoso con los límites constitucionales.</w:t>
      </w:r>
    </w:p>
    <w:p w:rsidR="005728DD" w:rsidRDefault="005728DD" w:rsidP="005728DD">
      <w:pPr>
        <w:pStyle w:val="TextoNormal"/>
      </w:pPr>
    </w:p>
    <w:p w:rsidR="005728DD" w:rsidRDefault="005728DD" w:rsidP="005728DD">
      <w:pPr>
        <w:pStyle w:val="TextoNormal"/>
      </w:pPr>
      <w:r>
        <w:t xml:space="preserve">Refuerza esta idea la referencia que el art. 506 </w:t>
      </w:r>
      <w:r w:rsidRPr="005728DD">
        <w:rPr>
          <w:i/>
        </w:rPr>
        <w:t>bis</w:t>
      </w:r>
      <w:r>
        <w:t xml:space="preserve"> hacía a ‘[…] consultas populares por vía de referéndum en cualquiera de las modalidades previstas en la Constitución’. El precepto derogado, por tanto, no alteraba las reglas de solución del más que previsible concurso normativo cuando la vulneración de las modalidades de referéndum tuviera por objeto la derogación de la Constitución de 1978 y consiguiente abolición de la monarquía parlamentaria como forma de Estado.</w:t>
      </w:r>
    </w:p>
    <w:p w:rsidR="005728DD" w:rsidRDefault="005728DD" w:rsidP="005728DD">
      <w:pPr>
        <w:pStyle w:val="TextoNormal"/>
      </w:pPr>
    </w:p>
    <w:p w:rsidR="005728DD" w:rsidRDefault="005728DD" w:rsidP="005728DD">
      <w:pPr>
        <w:pStyle w:val="TextoNormal"/>
      </w:pPr>
      <w:r>
        <w:t>En definitiva, los hechos enjuiciados son algo más que un conflicto competencial entre autoridades estatales —centrales y autonómicas— que pugnan por la competencia para organizar o prohibir una consulta popular. En el presente caso, de lo que se trataba era de hacer posible un referéndum que condujera, con la ayuda de la movilización ciudadana, a destruir las bases fijadas por el poder constituyente.</w:t>
      </w:r>
    </w:p>
    <w:p w:rsidR="005728DD" w:rsidRDefault="005728DD" w:rsidP="005728DD">
      <w:pPr>
        <w:pStyle w:val="TextoNormal"/>
      </w:pPr>
    </w:p>
    <w:p w:rsidR="005728DD" w:rsidRDefault="005728DD" w:rsidP="005728DD">
      <w:pPr>
        <w:pStyle w:val="TextoNormal"/>
      </w:pPr>
      <w:r>
        <w:t>Encierra un auténtico sofisma la afirmación repetida por los procesados acerca de que la derogación del delito de referéndum ilegal, operada por la reforma penal de 2005, creaba un vacío incriminatorio que convertía en lícita la destrucción del pacto constitucional, la derogación de la forma de Estado, la proclamación de una república y, entre otros efectos, la eliminación de la garantía de inamovilidad de jueces y magistrados. Y eso lo sabían quienes ahora alegan la licitud de su conducta, pues no hacía mucho esta Sala había condenado a un relevante político por no atender los mandatos del Tribunal Constitucional, jurista que luego asumió con rigor técnico la dirección letrada de varios acusados. La convocatoria de un referéndum, sin atender los requerimientos formulados por el Tribunal Constitucional advirtiendo de la ilegalidad de esa iniciativa, trascenderá siempre al derecho penal. Ya sea por la vía del castigo del delito de desobediencia (cfr. SSTS 722/2018, 23 de enero de 2019 y 177/2017, 22 de marzo), ya sea por títulos jurídicos más graves, en función del medio ejecutivo empleado, rebelión (art. 472 CP) o sedición (art. 544 CP)”.</w:t>
      </w:r>
    </w:p>
    <w:p w:rsidR="005728DD" w:rsidRDefault="005728DD" w:rsidP="005728DD">
      <w:pPr>
        <w:pStyle w:val="TextoNormal"/>
      </w:pPr>
    </w:p>
    <w:p w:rsidR="005728DD" w:rsidRDefault="005728DD" w:rsidP="005728DD">
      <w:pPr>
        <w:pStyle w:val="TextoNormal"/>
      </w:pPr>
      <w:r>
        <w:t>Al analizar las consecuencias de la despenalización del delito de convocatoria ilegal de referéndum, el órgano judicial respondió lo que a continuación se transcribe, tanto en el juicio singularizado de autoría que se formula respecto del señor Rull como en el apartado 6.2.4 del auto resolutorio del incidente de nulidad de actuaciones (que transcribe lo expuesto en el indicado juicio de autoría), en respuesta a la queja del recurrente sobre la aplicación analógica del delito de sedición:</w:t>
      </w:r>
    </w:p>
    <w:p w:rsidR="005728DD" w:rsidRDefault="005728DD" w:rsidP="005728DD">
      <w:pPr>
        <w:pStyle w:val="TextoNormal"/>
      </w:pPr>
    </w:p>
    <w:p w:rsidR="005728DD" w:rsidRDefault="005728DD" w:rsidP="005728DD">
      <w:pPr>
        <w:pStyle w:val="TextoNormal"/>
      </w:pPr>
      <w:r>
        <w:t xml:space="preserve">“La derogación de un delito no implica —no puede implicar— la voluntarista despenalización de conductas con claro encaje en otros tipos penales, siempre que concurran los elementos objetivos y subjetivos que dan vida al juicio de subsunción. La relación entre normas penales, de modo especial, el principio de subsidiariedad, impide lo que las defensas presentan como el efecto asociado a una despenalización muy concreta y de ámbito bien restringido, ceñida a los arts. 506 </w:t>
      </w:r>
      <w:r w:rsidRPr="005728DD">
        <w:rPr>
          <w:i/>
        </w:rPr>
        <w:t>bis, 521 bis</w:t>
      </w:r>
      <w:r>
        <w:t xml:space="preserve"> y 576 </w:t>
      </w:r>
      <w:r w:rsidRPr="005728DD">
        <w:rPr>
          <w:i/>
        </w:rPr>
        <w:t>bis</w:t>
      </w:r>
      <w:r>
        <w:t xml:space="preserve"> del Código penal (cfr. LO 2/2005, de 22 de junio). Su eficacia derogatoria solo conlleva la no aplicación de un tipo penal previgente que imponía una pena de tres a cinco años de prisión a la autoridad o funcionario público que convocara un referéndum ilegal. Los hechos que esta Sala da por probados encierran algo más que el reproche por la convocatoria de un referéndum ilegal. Se trata, como venimos reiterando, de una concertada voluntad de los miembros del Govern de la </w:t>
      </w:r>
      <w:r>
        <w:lastRenderedPageBreak/>
        <w:t>Generalitat para alumbrar una legalidad paralela que sirviera como excusa para una movilización ciudadana que exteriorizara la voluntad de promover la inobservancia de las leyes y obstaculizar el cumplimiento de los mandatos judiciales”.</w:t>
      </w:r>
    </w:p>
    <w:p w:rsidR="005728DD" w:rsidRDefault="005728DD" w:rsidP="005728DD">
      <w:pPr>
        <w:pStyle w:val="TextoNormal"/>
      </w:pPr>
    </w:p>
    <w:p w:rsidR="005728DD" w:rsidRDefault="005728DD" w:rsidP="005728DD">
      <w:pPr>
        <w:pStyle w:val="TextoNormal"/>
      </w:pPr>
      <w:r>
        <w:t>Como se desprende de esta argumentación, la Sala descarta que, tras la derogación del referido precepto penal, los comportamientos enjuiciados no sean susceptibles de ser incardinados en norma alguna del texto punitivo. El argumento del demandante reitera una vez más una idea ya expuesta a lo largo del recurso de amparo: que los hechos acaecidos no son constitutivos de delito de sedición. Ahora bien, a mayor abundamiento sostiene que, de haber estado vigente el precepto anteriormente transcrito, sí habrían tenido encaje en la conducta allí descrita.</w:t>
      </w:r>
    </w:p>
    <w:p w:rsidR="005728DD" w:rsidRDefault="005728DD" w:rsidP="005728DD">
      <w:pPr>
        <w:pStyle w:val="TextoNormal"/>
      </w:pPr>
    </w:p>
    <w:p w:rsidR="005728DD" w:rsidRDefault="005728DD" w:rsidP="005728DD">
      <w:pPr>
        <w:pStyle w:val="TextoNormal"/>
      </w:pPr>
      <w:r>
        <w:t>La alegación dada por el recurrente debe rechazarse, pues ignora importantes aspectos que se consignan en el relato histórico, a cuyo través el órgano enjuiciador ha apuntalado el delito de sedición. Pero, en cualquier caso, debemos proclamar que las explicaciones dadas por el referido órgano para descartar la queja del demandante se ajustan plenamente al canon de razonabilidad asentado por la doctrina constitucional. Debe advertirse que el otrora vigente precepto se limitaba a sancionar “a la autoridad o funcionario público que, careciendo manifiestamente de competencias o atribuciones para ello, convocare o autorizare la convocatoria [...] de consultas populares por vía de referéndum en cualquiera de las modalidades previstas en la Constitución”. Si bien parece razonable colegir que la actuación llevada a cabo desde el poder público autonómico para convocar la consulta del día 1 de octubre de 2017 tendría acomodo en el referido precepto, lo cierto es que el órgano de enjuiciamiento consideró acreditada la concurrencia de factores adicionales que exceden del ámbito del derogado art. 50</w:t>
      </w:r>
      <w:r w:rsidRPr="005728DD">
        <w:rPr>
          <w:i/>
        </w:rPr>
        <w:t>6 b</w:t>
      </w:r>
      <w:r>
        <w:t>is CP y que, sin embargo, se acomodan a la descripción típica que ofrece el art. 544 CP: el alumbramiento de una legalidad paralela y la promoción de una movilización ciudadana para provocar la inobservancia de las leyes y obstaculizar el cumplimiento de los mandatos judiciales.</w:t>
      </w:r>
    </w:p>
    <w:p w:rsidR="005728DD" w:rsidRDefault="005728DD" w:rsidP="005728DD">
      <w:pPr>
        <w:pStyle w:val="TextoNormal"/>
      </w:pPr>
    </w:p>
    <w:p w:rsidR="005728DD" w:rsidRDefault="005728DD" w:rsidP="005728DD">
      <w:pPr>
        <w:pStyle w:val="TextoNormal"/>
      </w:pPr>
      <w:r>
        <w:t>11.5</w:t>
      </w:r>
      <w:r w:rsidRPr="005728DD">
        <w:rPr>
          <w:i/>
        </w:rPr>
        <w:t>. Sobre la proporcionalidad de la pena y la afectación a los derechos a las libertades de expresión e ideológica y al derecho de reuni</w:t>
      </w:r>
      <w:r>
        <w:t>ón.</w:t>
      </w:r>
    </w:p>
    <w:p w:rsidR="005728DD" w:rsidRDefault="005728DD" w:rsidP="005728DD">
      <w:pPr>
        <w:pStyle w:val="TextoNormal"/>
      </w:pPr>
    </w:p>
    <w:p w:rsidR="005728DD" w:rsidRDefault="005728DD" w:rsidP="005728DD">
      <w:pPr>
        <w:pStyle w:val="TextoNormal"/>
      </w:pPr>
      <w:r>
        <w:t>Resta por resolver un último motivo que, en relación con el derecho reconocido en el art. 25.1 CE, se formula en la demanda de amparo. Aunque la queja se articula bajo el enunciado de una única vulneración, lo cierto es que presenta dos aspectos diferenciados que, pese a estar relacionados entre sí, justifican un tratamiento separado.</w:t>
      </w:r>
    </w:p>
    <w:p w:rsidR="005728DD" w:rsidRDefault="005728DD" w:rsidP="005728DD">
      <w:pPr>
        <w:pStyle w:val="TextoNormal"/>
      </w:pPr>
    </w:p>
    <w:p w:rsidR="005728DD" w:rsidRDefault="005728DD" w:rsidP="005728DD">
      <w:pPr>
        <w:pStyle w:val="TextoNormal"/>
      </w:pPr>
      <w:r>
        <w:t>11.5.1</w:t>
      </w:r>
      <w:r w:rsidRPr="005728DD">
        <w:rPr>
          <w:i/>
        </w:rPr>
        <w:t>. Proporcionalidad de la pena privativa de libert</w:t>
      </w:r>
      <w:r>
        <w:t>ad.</w:t>
      </w:r>
    </w:p>
    <w:p w:rsidR="005728DD" w:rsidRDefault="005728DD" w:rsidP="005728DD">
      <w:pPr>
        <w:pStyle w:val="TextoNormal"/>
      </w:pPr>
    </w:p>
    <w:p w:rsidR="005728DD" w:rsidRDefault="005728DD" w:rsidP="005728DD">
      <w:pPr>
        <w:pStyle w:val="TextoNormal"/>
      </w:pPr>
      <w:r>
        <w:t xml:space="preserve">La primera vertiente se asocia a la afectación del principio de legalidad en materia penal, dado lo desproporcionado de la pena privativa de libertad. Según se señala en la demanda, la pena impuesta al recurrente contraviene la doctrina de este tribunal sobre la exigencia de proporcionalidad (STC 136/1999) y también resulta contraria al mandato del art. 49 CDFUE. No cuestiona el recurrente la necesidad de tutelar el orden público a través del Derecho penal, pero siempre que dicho orden se vea gravemente perturbado. Según indica, en el presente caso “cabe observar cómo por una perturbación del orden público que no ha supuesto daños personales relevantes y en la que no se esgrimieron armas se ha impuesto [...] una pena gravísima de doce años de privación de libertad”; pena esta que se prevé para </w:t>
      </w:r>
      <w:r>
        <w:lastRenderedPageBreak/>
        <w:t xml:space="preserve">infracciones sumamente graves como el homicidio, delitos agravados de agresión sexual o las formas más graves de privación de libertad ajena. Y añade que la pena impuesta excede con creces de la prevista para el delito de desórdenes públicos, incluso para el supuesto en que se esgriman armas (art. 557 </w:t>
      </w:r>
      <w:r w:rsidRPr="005728DD">
        <w:rPr>
          <w:i/>
        </w:rPr>
        <w:t>bis</w:t>
      </w:r>
      <w:r>
        <w:t>). También aduce que el órgano enjuiciador no tuvo en cuenta que la diligencia judicial pudo culminarse, finalmente, sin que nadie resultara lesionado (en referencia a los hechos acaecidos el día 20 de septiembre de 2017); y a su vez, pone de relieve que el día 1 de octubre de 2017, los efectivos policiales lograron impedir que se realizaran las votaciones en numerosos centros. Estas circunstancias, según afirma, al menos deberían haber dado lugar a la aplicación de la forma imperfecta o de menor gravedad prevista en el art. 547 CP.</w:t>
      </w:r>
    </w:p>
    <w:p w:rsidR="005728DD" w:rsidRDefault="005728DD" w:rsidP="005728DD">
      <w:pPr>
        <w:pStyle w:val="TextoNormal"/>
      </w:pPr>
    </w:p>
    <w:p w:rsidR="005728DD" w:rsidRDefault="005728DD" w:rsidP="005728DD">
      <w:pPr>
        <w:pStyle w:val="TextoNormal"/>
      </w:pPr>
      <w:r>
        <w:t>11.5.1.1</w:t>
      </w:r>
      <w:r w:rsidRPr="005728DD">
        <w:rPr>
          <w:i/>
        </w:rPr>
        <w:t>. Posiciones de las part</w:t>
      </w:r>
      <w:r>
        <w:t>es.</w:t>
      </w:r>
    </w:p>
    <w:p w:rsidR="005728DD" w:rsidRDefault="005728DD" w:rsidP="005728DD">
      <w:pPr>
        <w:pStyle w:val="TextoNormal"/>
      </w:pPr>
    </w:p>
    <w:p w:rsidR="005728DD" w:rsidRDefault="005728DD" w:rsidP="005728DD">
      <w:pPr>
        <w:pStyle w:val="TextoNormal"/>
      </w:pPr>
      <w:r>
        <w:t>Para el partido político Vox, no cabe apreciar la desproporción que se invoca, pues el orden público alterado se pretendió preservar con la sentencia condenatoria; y la alteración de ese orden afecta a la unidad política y territorial de la Nación española, por lo que una pena inferior a la impuesta no hubiera sido lo suficientemente desmotivadora para evitar que se reiteren las mismas conductas.</w:t>
      </w:r>
    </w:p>
    <w:p w:rsidR="005728DD" w:rsidRDefault="005728DD" w:rsidP="005728DD">
      <w:pPr>
        <w:pStyle w:val="TextoNormal"/>
      </w:pPr>
    </w:p>
    <w:p w:rsidR="005728DD" w:rsidRDefault="005728DD" w:rsidP="005728DD">
      <w:pPr>
        <w:pStyle w:val="TextoNormal"/>
      </w:pPr>
      <w:r>
        <w:t>Para el fiscal, no puede afirmarse que la concreta determinación de la pena haya sido desproporcionada, en relación con la propia dinámica comisiva y la calificación de los hechos. Es evidente que el desvalor de la conducta que describe el juzgador avala la entidad de la pena impuesta al recurrente, máxime cuando se ha limitado, dentro del respeto al principio de legalidad y al principio acusatorio, a fijar la pena una vez realizado el juicio de tipicidad de los hechos probados, teniendo en cuenta que la sedición es la infracción más grave dentro del apartado de los “delitos contra el orden público”. Añade que, en todo caso, la extensión de la pena impuesta es el resultado de la penalidad resultante del concurso medial entre el delito de sedición y de malversación de caudales públicos, de conformidad con el art. 77.3 CP, que resulta respetuosa con el principio de legalidad y el principio acusatorio.</w:t>
      </w:r>
    </w:p>
    <w:p w:rsidR="005728DD" w:rsidRDefault="005728DD" w:rsidP="005728DD">
      <w:pPr>
        <w:pStyle w:val="TextoNormal"/>
      </w:pPr>
    </w:p>
    <w:p w:rsidR="005728DD" w:rsidRDefault="005728DD" w:rsidP="005728DD">
      <w:pPr>
        <w:pStyle w:val="TextoNormal"/>
      </w:pPr>
      <w:r>
        <w:t>En cuanto a la inaplicación al caso de una forma imperfecta de ejecución o de la modalidad prevista en el art. 547 CP, el fiscal descarta que, por esa razón, se haya vulnerado el derecho reconocido en el art. 25.1 CE. El delito de sedición no requiere la producción de un resultado concreto; y el tipo previsto en el art. 547 CP exige que el entorpecimiento del ejercicio de la autoridad pública no sea grave, lo que en el presente caso se habría desbordado, pues la finalidad perseguida, aspecto que es relevante para el tipo delictivo, suponía un desplazamiento formal del orden constitucional.</w:t>
      </w:r>
    </w:p>
    <w:p w:rsidR="005728DD" w:rsidRDefault="005728DD" w:rsidP="005728DD">
      <w:pPr>
        <w:pStyle w:val="TextoNormal"/>
      </w:pPr>
    </w:p>
    <w:p w:rsidR="005728DD" w:rsidRDefault="005728DD" w:rsidP="005728DD">
      <w:pPr>
        <w:pStyle w:val="TextoNormal"/>
      </w:pPr>
      <w:r>
        <w:t>11.5.1.2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el segundo párrafo del apartado 6.2.5 del auto resolutorio del incidente de nulidad, la Sala respondió de este modo a la queja de desproporcionalidad de las penas impuestas: “El señor Turull, por otro lado, ha sido condenado también por un delito de malversación, en concurso medial, de manera que, como dijimos con respecto a la señora Bassa, la pena, en aplicación del art. 77.3 CP habría podido ser mucho más elevada, hasta un total de veinte años de cumplimiento efectivo”.</w:t>
      </w:r>
    </w:p>
    <w:p w:rsidR="005728DD" w:rsidRDefault="005728DD" w:rsidP="005728DD">
      <w:pPr>
        <w:pStyle w:val="TextoNormal"/>
      </w:pPr>
    </w:p>
    <w:p w:rsidR="005728DD" w:rsidRDefault="005728DD" w:rsidP="005728DD">
      <w:pPr>
        <w:pStyle w:val="TextoNormal"/>
      </w:pPr>
      <w:r>
        <w:lastRenderedPageBreak/>
        <w:t>En el apartado 2.6 de la referida resolución se argumenta más extensamente sobre este aspecto, al resolver el incidente de nulidad planteado por el señor Cuixart:</w:t>
      </w:r>
    </w:p>
    <w:p w:rsidR="005728DD" w:rsidRDefault="005728DD" w:rsidP="005728DD">
      <w:pPr>
        <w:pStyle w:val="TextoNormal"/>
      </w:pPr>
    </w:p>
    <w:p w:rsidR="005728DD" w:rsidRDefault="005728DD" w:rsidP="005728DD">
      <w:pPr>
        <w:pStyle w:val="TextoNormal"/>
      </w:pPr>
      <w:r>
        <w:t>“La resolución dictada por esta Sala no vulnera el principio de proporcionalidad de las penas.</w:t>
      </w:r>
    </w:p>
    <w:p w:rsidR="005728DD" w:rsidRDefault="005728DD" w:rsidP="005728DD">
      <w:pPr>
        <w:pStyle w:val="TextoNormal"/>
      </w:pPr>
    </w:p>
    <w:p w:rsidR="005728DD" w:rsidRDefault="005728DD" w:rsidP="005728DD">
      <w:pPr>
        <w:pStyle w:val="TextoNormal"/>
      </w:pPr>
      <w:r>
        <w:t>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005728DD" w:rsidRDefault="005728DD" w:rsidP="005728DD">
      <w:pPr>
        <w:pStyle w:val="TextoNormal"/>
      </w:pPr>
    </w:p>
    <w:p w:rsidR="005728DD" w:rsidRDefault="005728DD" w:rsidP="005728DD">
      <w:pPr>
        <w:pStyle w:val="TextoNormal"/>
      </w:pPr>
      <w:r>
        <w:t>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5728DD" w:rsidRDefault="005728DD" w:rsidP="005728DD">
      <w:pPr>
        <w:pStyle w:val="TextoNormal"/>
      </w:pPr>
    </w:p>
    <w:p w:rsidR="005728DD" w:rsidRDefault="005728DD" w:rsidP="005728DD">
      <w:pPr>
        <w:pStyle w:val="TextoNormal"/>
      </w:pPr>
      <w:r>
        <w:t>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005728DD" w:rsidRDefault="005728DD" w:rsidP="005728DD">
      <w:pPr>
        <w:pStyle w:val="TextoNormal"/>
      </w:pPr>
    </w:p>
    <w:p w:rsidR="005728DD" w:rsidRDefault="005728DD" w:rsidP="005728DD">
      <w:pPr>
        <w:pStyle w:val="TextoNormal"/>
      </w:pPr>
      <w:r>
        <w:t>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005728DD" w:rsidRDefault="005728DD" w:rsidP="005728DD">
      <w:pPr>
        <w:pStyle w:val="TextoNormal"/>
      </w:pPr>
    </w:p>
    <w:p w:rsidR="005728DD" w:rsidRDefault="005728DD" w:rsidP="005728DD">
      <w:pPr>
        <w:pStyle w:val="TextoNormal"/>
      </w:pPr>
      <w:r>
        <w:t>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005728DD" w:rsidRDefault="005728DD" w:rsidP="005728DD">
      <w:pPr>
        <w:pStyle w:val="TextoNormal"/>
      </w:pPr>
    </w:p>
    <w:p w:rsidR="005728DD" w:rsidRDefault="005728DD" w:rsidP="005728DD">
      <w:pPr>
        <w:pStyle w:val="TextoNormal"/>
      </w:pPr>
      <w:r>
        <w:lastRenderedPageBreak/>
        <w:t>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005728DD" w:rsidRDefault="005728DD" w:rsidP="005728DD">
      <w:pPr>
        <w:pStyle w:val="TextoNormal"/>
      </w:pPr>
    </w:p>
    <w:p w:rsidR="005728DD" w:rsidRDefault="005728DD" w:rsidP="005728DD">
      <w:pPr>
        <w:pStyle w:val="TextoNormal"/>
      </w:pPr>
      <w:r>
        <w:t>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 La efectividad de la convocatoria de la población, y correlativo incremento de la gravedad del plan de los acusados, se garantizaba por parte de las asociaciones civiles Òmnium Cultural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 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005728DD" w:rsidRDefault="005728DD" w:rsidP="005728DD">
      <w:pPr>
        <w:pStyle w:val="TextoNormal"/>
      </w:pPr>
    </w:p>
    <w:p w:rsidR="005728DD" w:rsidRDefault="005728DD" w:rsidP="005728DD">
      <w:pPr>
        <w:pStyle w:val="TextoNormal"/>
      </w:pPr>
      <w:r>
        <w:t>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005728DD" w:rsidRDefault="005728DD" w:rsidP="005728DD">
      <w:pPr>
        <w:pStyle w:val="TextoNormal"/>
      </w:pPr>
    </w:p>
    <w:p w:rsidR="005728DD" w:rsidRDefault="005728DD" w:rsidP="005728DD">
      <w:pPr>
        <w:pStyle w:val="TextoNormal"/>
      </w:pPr>
      <w:r>
        <w:t xml:space="preserve">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w:t>
      </w:r>
      <w:r>
        <w:lastRenderedPageBreak/>
        <w:t>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la ‘legalidad’ que derivaba de sus instituciones autonómicas”.</w:t>
      </w:r>
    </w:p>
    <w:p w:rsidR="005728DD" w:rsidRDefault="005728DD" w:rsidP="005728DD">
      <w:pPr>
        <w:pStyle w:val="TextoNormal"/>
      </w:pPr>
    </w:p>
    <w:p w:rsidR="005728DD" w:rsidRDefault="005728DD" w:rsidP="005728DD">
      <w:pPr>
        <w:pStyle w:val="TextoNormal"/>
      </w:pPr>
      <w:r>
        <w:t>11.5.1.3</w:t>
      </w:r>
      <w:r w:rsidRPr="005728DD">
        <w:rPr>
          <w:i/>
        </w:rPr>
        <w:t>. Resolución de la que</w:t>
      </w:r>
      <w:r>
        <w:t>ja.</w:t>
      </w:r>
    </w:p>
    <w:p w:rsidR="005728DD" w:rsidRDefault="005728DD" w:rsidP="005728DD">
      <w:pPr>
        <w:pStyle w:val="TextoNormal"/>
      </w:pPr>
    </w:p>
    <w:p w:rsidR="005728DD" w:rsidRDefault="005728DD" w:rsidP="005728DD">
      <w:pPr>
        <w:pStyle w:val="TextoNormal"/>
      </w:pPr>
      <w:r>
        <w:t>Al exponer los aspectos más relevantes de nuestra doctrina en relación con el derecho reconocido en el art. 25.1 CE, reprodujimos en su literalidad los fragmentos del fundamento jurídico 23 de la STC 136/1999, de 20 de julio, en el que se refleja el canon para valorar la proporcionalidad de las penas. De suerte que, para calificar una pena como desproporcionada desde el prisma constitucional debe apreciarse un desequilibrio manifiesto y no justificable entre la sanción impuesta y la finalidad de la norma punitiva, desequilibrio que deberá ponderarse a partir de “pautas axiológicas constitucionalmente indiscutibles y de su concreción en la propia actividad legislativa”. Ahora bien, tal y como se reconoce en la sentencia objeto de cita, el juicio que en esta sede de amparo cabe formular ha de ser necesariamente prudente, sin adentrarse en apartados ajenos a nuestra jurisdicción, tales como la oportunidad, conveniencia o las posibles alternativas de mayor calidad, pues no cabe perder de vista “el amplio margen de libertad de configuración de delitos y penas que corresponde al legislador democrático a la hora de la plasmación normativa de la política criminal” (STC 60/2010, de 7 de octubre, FJ 3).</w:t>
      </w:r>
    </w:p>
    <w:p w:rsidR="005728DD" w:rsidRDefault="005728DD" w:rsidP="005728DD">
      <w:pPr>
        <w:pStyle w:val="TextoNormal"/>
      </w:pPr>
    </w:p>
    <w:p w:rsidR="005728DD" w:rsidRDefault="005728DD" w:rsidP="005728DD">
      <w:pPr>
        <w:pStyle w:val="TextoNormal"/>
      </w:pPr>
      <w:r>
        <w:t>Para responder adecuadamente a la queja suscitada por el demandante, debemos tener en consideración que fue condenado como autor de un delito de sedición de los arts. 544 y 545.1, segundo inciso, (persona constituida en autoridad), en relación de concurso medial con un delito de malversación de caudales públicos del art. 432.1 y 3 (cuantía superior a 250 000 €), regulado en el art. 77.3 CP, dado que, según se razona en la sentencia, existió una indudable relación instrumental entre ambas infracciones. Por tanto, para ponderar sobre la eventual falta de proporcionalidad que se indica en la demanda, habrá de tenerse en cuenta que, junto a la pena que autoriza imponer el art. 545 CP para quienes resulten ser “personas constituidas en autoridad” (de diez a quince años de prisión e inhabilitación absoluta), se une la pena prevista para malversaciones de caudales públicos por cuantía superior a 250 000 € (las penas de cuatro a ocho años de prisión y diez a veinte años de inhabilitación absoluta en su mitad superior, pudiéndose llegar hasta la superior en grado). A lo que se añade la regla que contempla el art. 77.3 CP para los casos de concurso medial, según la cual “se impondrá una pena superior a la que habría correspondido, en el caso concreto, por la infracción más grave, y que no podrá exceder de la suma de las penas concretas que hubieran sido impuestas separadamente por cada uno de los delitos”.</w:t>
      </w:r>
    </w:p>
    <w:p w:rsidR="005728DD" w:rsidRDefault="005728DD" w:rsidP="005728DD">
      <w:pPr>
        <w:pStyle w:val="TextoNormal"/>
      </w:pPr>
    </w:p>
    <w:p w:rsidR="005728DD" w:rsidRDefault="005728DD" w:rsidP="005728DD">
      <w:pPr>
        <w:pStyle w:val="TextoNormal"/>
      </w:pPr>
      <w:r>
        <w:t xml:space="preserve">A la vista del panorama normativo reflejado, y teniendo en cuenta que el demandante no ha formulado ningún reparo a su condena como autor de un delito de malversación de caudales públicos, no cabe apreciar, desde la perspectiva constitucional que nos concierne, que la respuesta punitiva dada por el tribunal sentenciador incurra en sí misma en falta de proporcionalidad. Se advierte que, de por sí, la condena por el delito de malversación de caudales públicos reporta una acusada severidad punitiva, pues parte de un mínimo de seis años y un día de prisión, pudiendo llegar a superar, en su máxima expresión, los ocho años de </w:t>
      </w:r>
      <w:r>
        <w:lastRenderedPageBreak/>
        <w:t>privación de libertad. A ella debe sumarse la penalidad asociada al delito de sedición, cuya dimensión ha quedado reflejada, y la concurrencia de un concurso medial entre ambas infracciones, con las consecuencias que ello comporta. Por tanto, la argumentación que el demandante ofrece para justificar su pretensión debe decaer, pues la dureza punitiva ínsita a los doce años de prisión impuestos no denota la falta de proporcionalidad que se denuncia.</w:t>
      </w:r>
    </w:p>
    <w:p w:rsidR="005728DD" w:rsidRDefault="005728DD" w:rsidP="005728DD">
      <w:pPr>
        <w:pStyle w:val="TextoNormal"/>
      </w:pPr>
    </w:p>
    <w:p w:rsidR="005728DD" w:rsidRDefault="005728DD" w:rsidP="005728DD">
      <w:pPr>
        <w:pStyle w:val="TextoNormal"/>
      </w:pPr>
      <w:r>
        <w:t>Tampoco cabe estimar la lesión que el demandante aduce con base en el principal parámetro que este emplea para calibrar la proporcionalidad: que no se produjo una grave afectación del orden público, porque el día 20 de septiembre de 2017 nadie resultó lesionado, tampoco se esgrimieron armas y, finalmente, la diligencia judicial se llevó a cabo; mientras que el día 1 de octubre de 2017, en numerosos colegios electorales los efectivos policiales impidieron que se efectuaran las votaciones, dando efectivo cumplimiento a lo ordenado judicialmente.</w:t>
      </w:r>
    </w:p>
    <w:p w:rsidR="005728DD" w:rsidRDefault="005728DD" w:rsidP="005728DD">
      <w:pPr>
        <w:pStyle w:val="TextoNormal"/>
      </w:pPr>
    </w:p>
    <w:p w:rsidR="005728DD" w:rsidRDefault="005728DD" w:rsidP="005728DD">
      <w:pPr>
        <w:pStyle w:val="TextoNormal"/>
      </w:pPr>
      <w:r>
        <w:t>Ninguna de las circunstancias referidas justifica la desproporción punitiva que se denuncia, pues no se aprecia el desequilibrio manifiesto y no justificable entre la sanción impuesta y la finalidad de la norma punitiva a que anteriormente se ha hecho referencia. El delito de sedición no prevé, en el tipo básico o en su modalidad agravada, la causación de lesiones o el empleo de armas; de manera que la ausencia de estas circunstancias no impide apreciar la comisión del referido delito. Por otro lado, no cabe desconocer que esa infracción penal ha sido catalogada por el órgano enjuiciador como un delito de “resultado cortado” o “de consumación anticipada”, por lo que el alegato referido a que la diligencia judicial finalmente se llevó a cabo o que se llegó a impedir la votación en muchos centros, carece de relevancia a los efectos que ahora interesan.</w:t>
      </w:r>
    </w:p>
    <w:p w:rsidR="005728DD" w:rsidRDefault="005728DD" w:rsidP="005728DD">
      <w:pPr>
        <w:pStyle w:val="TextoNormal"/>
      </w:pPr>
    </w:p>
    <w:p w:rsidR="005728DD" w:rsidRDefault="005728DD" w:rsidP="005728DD">
      <w:pPr>
        <w:pStyle w:val="TextoNormal"/>
      </w:pPr>
      <w:r>
        <w:t>También refutamos que la entidad de la perturbación del orden público deba de ser el único factor a tener en cuenta. Sin perjuicio de la gravedad contra el orden público apreciada por el tribunal sentenciador, la alegación del demandante ignora que, aun cuando el tipo se incardina dentro del apartado “de los delitos contra el orden público”, de hecho, es la infracción más gravemente penada dentro de esa categoría, y que el empleo de términos tales como se “alcen”, “tumultuariamente” y “para impedir, por la fuerza” revelan la alteración de ese orden en su concepción tradicional. El propósito perseguido por los autores resulta de capital importancia para la apreciación de la sedición, de suerte que una grave alteración del orden público que no persiga ninguna de las finalidades descritas en el art. 544 CP no podría engendrar esa modalidad delictiva. Así pues, siendo un aspecto determinante del delito de sedición el designio perseguido por los autores, identificar el grado de afectación del orden público como único factor a tener en cuenta para calibrar la proporcionalidad de la respuesta penal, supone desconocer la estructura típica de esa infracción penal.</w:t>
      </w:r>
    </w:p>
    <w:p w:rsidR="005728DD" w:rsidRDefault="005728DD" w:rsidP="005728DD">
      <w:pPr>
        <w:pStyle w:val="TextoNormal"/>
      </w:pPr>
    </w:p>
    <w:p w:rsidR="005728DD" w:rsidRDefault="005728DD" w:rsidP="005728DD">
      <w:pPr>
        <w:pStyle w:val="TextoNormal"/>
      </w:pPr>
      <w:r>
        <w:t xml:space="preserve">En lo referente a la inaplicación de una forma imperfecta de ejecución o de lo dispuesto en el art. 547 CP al caso, debemos afirmar que esa cuestión trasciende del ámbito de debate en el que nos hallamos, pues lo que en realidad se reitera es la indebida subsunción de los hechos en la norma penal. Sin embargo, como ya pusimos de relieve al compendiar nuestra doctrina sobre esta cuestión, no compete a este tribunal sustituir a los órganos judiciales en el ejercicio de la función de subsumir los hechos en las normas, pues ese cometido corresponde en exclusiva a los jueces y tribunales ordinarios, conforme a lo establecido en el art. 117.3 CE. Ello implica que, en esta sede, no procede auspiciar alternativas interpretativas a la sustentada por el tribunal sentenciador, incluso si se considerasen más adecuadas o de </w:t>
      </w:r>
      <w:r>
        <w:lastRenderedPageBreak/>
        <w:t>mayor fuste. Hemos de limitarnos, pues, a verificar un juicio externo sobre la compatibilidad de la interpretación realizada con el tenor literal de la norma y sobre su razonabilidad metodológica y axiológica. Y este tribunal considera que la labor de subsunción de los hechos en la norma penal aplicada se ajusta al canon expuesto.</w:t>
      </w:r>
    </w:p>
    <w:p w:rsidR="005728DD" w:rsidRDefault="005728DD" w:rsidP="005728DD">
      <w:pPr>
        <w:pStyle w:val="TextoNormal"/>
      </w:pPr>
    </w:p>
    <w:p w:rsidR="005728DD" w:rsidRPr="005728DD" w:rsidRDefault="005728DD" w:rsidP="005728DD">
      <w:pPr>
        <w:pStyle w:val="TextoNormal"/>
        <w:rPr>
          <w:i/>
        </w:rPr>
      </w:pPr>
      <w:r>
        <w:t>11.5</w:t>
      </w:r>
      <w:r w:rsidRPr="005728DD">
        <w:rPr>
          <w:i/>
        </w:rPr>
        <w:t>.2. La afectación de otros derechos fundamentales por falta de proporcionalidad de las penas.</w:t>
      </w:r>
    </w:p>
    <w:p w:rsidR="005728DD" w:rsidRPr="005728DD" w:rsidRDefault="005728DD" w:rsidP="005728DD">
      <w:pPr>
        <w:pStyle w:val="TextoNormal"/>
        <w:rPr>
          <w:i/>
        </w:rPr>
      </w:pPr>
    </w:p>
    <w:p w:rsidR="005728DD" w:rsidRDefault="005728DD" w:rsidP="005728DD">
      <w:pPr>
        <w:pStyle w:val="TextoNormal"/>
      </w:pPr>
      <w:r w:rsidRPr="005728DD">
        <w:rPr>
          <w:i/>
        </w:rPr>
        <w:t>11.5.2.1. Posiciones de las part</w:t>
      </w:r>
      <w:r>
        <w:t>es.</w:t>
      </w:r>
    </w:p>
    <w:p w:rsidR="005728DD" w:rsidRDefault="005728DD" w:rsidP="005728DD">
      <w:pPr>
        <w:pStyle w:val="TextoNormal"/>
      </w:pPr>
    </w:p>
    <w:p w:rsidR="005728DD" w:rsidRDefault="005728DD" w:rsidP="005728DD">
      <w:pPr>
        <w:pStyle w:val="TextoNormal"/>
      </w:pPr>
      <w:r>
        <w:t>La segunda vertiente de la denuncia se centra en la individualización de las penas, al afirmar el demandante que no se tuvo en cuenta “que el delito por el que el recurrente ha sido condenado se produjo en un contexto de ejercicio de derechos fundamentales”, ya que incluso el tribunal sentenciador ha reconocido, implícitamente, que los ciudadanos que se alzaron se encontraban ejerciendo tales derechos, en la medida en que ninguno de ellos ha sido acusado por movilizarse, como reitera varias veces la sentencia. Esta circunstancia debió dar lugar, cuando menos, a una “muy importante atenuación punitiva que pudo vehicularse perfectamente a través del art. 20.7 CP, alegado por la defensa como eximente en el acto del juicio y cuya apreciación como eximente incompleta habría permitido imponer penas muy alejadas de los castigos absolutamente desproporcionados que se han acabado imponiendo”. Sin embargo, al optar por penas tan severas, la desproporción punitiva ha originado un efecto desalentador del ejercicio de derechos fundamentales, sin que los posibles móviles políticos del demandante deban ser tenidos en cuenta, por ser completamente ajenos a la sedición, que es un delito contra el orden público.</w:t>
      </w:r>
    </w:p>
    <w:p w:rsidR="005728DD" w:rsidRDefault="005728DD" w:rsidP="005728DD">
      <w:pPr>
        <w:pStyle w:val="TextoNormal"/>
      </w:pPr>
    </w:p>
    <w:p w:rsidR="005728DD" w:rsidRDefault="005728DD" w:rsidP="005728DD">
      <w:pPr>
        <w:pStyle w:val="TextoNormal"/>
      </w:pPr>
      <w:r>
        <w:t>Añade que el auto resolutorio del incidente agrava con su fundamentación la vulneración denunciada, por sus constantes valoraciones sobre la ideología política de los procesados, dato este completamente ajeno al delito de sedición, y porque el ejercicio de derechos como la libertad ideológica, de reunión y manifestación “pasa a convertirse en una circunstancia agravante de la responsabilidad penal”. Finalmente, insiste en que las penas impuestas son manifiestamente desproporcionadas, pues como sostiene algún autor, imponen a “los organizadores de reuniones pacíficas —aun cuando ilegales— para la expresión de votos, opiniones o sentimientos políticos, sanciones de una severidad equivalente a las que el Código penal prevé para graves delitos contra la vida y la integridad física”.</w:t>
      </w:r>
    </w:p>
    <w:p w:rsidR="005728DD" w:rsidRDefault="005728DD" w:rsidP="005728DD">
      <w:pPr>
        <w:pStyle w:val="TextoNormal"/>
      </w:pPr>
    </w:p>
    <w:p w:rsidR="005728DD" w:rsidRDefault="005728DD" w:rsidP="005728DD">
      <w:pPr>
        <w:pStyle w:val="TextoNormal"/>
      </w:pPr>
      <w:r>
        <w:t xml:space="preserve">Niega la abogacía del Estado, por su parte, que se hayan conculcado los derechos fundamentales que alude el demandante. Su responsabilidad penal no trae causa de difundir opiniones y doctrinas contrarias a la Constitución ni por propugnar la superación del marco político actual. Lo que es objeto de reproche penal es haber participado en la elaboración de leyes en abierta y contumaz desatención de los requerimientos del Tribunal Constitucional,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Y esta conducta no se ve amparada por ninguno de los derechos que se citan en la demanda. Añade que la movilización alentada, a fin de que se produjera la votación prohibida, desborda los lindes del ejercicio legítimo del derecho de reunión, por lo que esa conducta no puede quedar amparada por el art. 20.7 CP. Finalmente, concluye que </w:t>
      </w:r>
      <w:r>
        <w:lastRenderedPageBreak/>
        <w:t>lo que se produjo fue un levantamiento multitudinario, generalizado y proyectado de forma estratégica, por lo que no es posible eludir la tipicidad de la sedición.</w:t>
      </w:r>
    </w:p>
    <w:p w:rsidR="005728DD" w:rsidRDefault="005728DD" w:rsidP="005728DD">
      <w:pPr>
        <w:pStyle w:val="TextoNormal"/>
      </w:pPr>
    </w:p>
    <w:p w:rsidR="005728DD" w:rsidRDefault="005728DD" w:rsidP="005728DD">
      <w:pPr>
        <w:pStyle w:val="TextoNormal"/>
      </w:pPr>
      <w:r>
        <w:t>El partido político Vox sostiene que la injerencia en los supuestos derechos fundamentales que se alega se debe a la comisión de unos hechos por el demandante cuando ocupaba un cargo público representando al Gobierno de España en el territorio de Cataluña, por lo que el desvalor de su acción es mayor.</w:t>
      </w:r>
    </w:p>
    <w:p w:rsidR="005728DD" w:rsidRDefault="005728DD" w:rsidP="005728DD">
      <w:pPr>
        <w:pStyle w:val="TextoNormal"/>
      </w:pPr>
    </w:p>
    <w:p w:rsidR="005728DD" w:rsidRDefault="005728DD" w:rsidP="005728DD">
      <w:pPr>
        <w:pStyle w:val="TextoNormal"/>
      </w:pPr>
      <w:r>
        <w:t>Para el fiscal, de los hechos probados se desprende que se desbordó claramente el derecho de reunión; y los actos imputados al recurrente no quedan amparados por su libertad ideológica o de pensamiento o por su libertad de expresión, puesto que estos derechos no justifican las conductas por las que ha sido condenado el recurrente. El comportamiento del demandante y otros condenados puso en cuestión el Estado democrático de Derecho, en la forma que se ha descrito. Añade que la condena por sedición no ha supuesto un efecto desalentador o disuasorio del ejercicio de los derechos que se alegan, pues al demandante no se le sanciona por defender la independencia de Cataluña o propugnar un referéndum de autodeterminación. Ha sido condenado por haber definido una legislación paralela al orden constitucional a través de las denominadas leyes de desconexión, ley del referéndum de autodeterminación y ley de transitoriedad jurídica y fundacional de la república, con desconocimiento de las resoluciones del Tribunal Constitucional; y por haber movilizado a parte de la ciudadanía de Cataluña y propiciar un levantamiento público para obstaculizar, cuando no impedir, el cumplimiento de la legalidad vigente y de las resoluciones judiciales, mediante actos de hostigamiento, amedrentamiento y violencia frente a los cuerpos policiales.</w:t>
      </w:r>
    </w:p>
    <w:p w:rsidR="005728DD" w:rsidRDefault="005728DD" w:rsidP="005728DD">
      <w:pPr>
        <w:pStyle w:val="TextoNormal"/>
      </w:pPr>
    </w:p>
    <w:p w:rsidR="005728DD" w:rsidRDefault="005728DD" w:rsidP="005728DD">
      <w:pPr>
        <w:pStyle w:val="TextoNormal"/>
      </w:pPr>
      <w:r>
        <w:t>Niega además que el demandante estuviera amparado por el derecho de reunión, pues las concentraciones de ciudadanos han estado dirigidas y ordenadas a impedir el cumplimiento de la ley y de las resoluciones judiciales, así como a facilitar la realización de un referéndum de autodeterminación no contemplado en la legislación española y suspendido por el Tribunal Constitucional, recurriéndose así a unas vías de hecho incompatibles con el legítimo ejercicio del derecho de reunión. Por todo lo expuesto, concluye que estamos ante un aparente ejercicio de los derechos fundamentales que, por la finalidad a la que se orientan, “desnaturalizan el ejercicio de esos derechos”, razón por la cual también descarta la aplicación de la eximente incompleta.</w:t>
      </w:r>
    </w:p>
    <w:p w:rsidR="005728DD" w:rsidRDefault="005728DD" w:rsidP="005728DD">
      <w:pPr>
        <w:pStyle w:val="TextoNormal"/>
      </w:pPr>
    </w:p>
    <w:p w:rsidR="005728DD" w:rsidRDefault="005728DD" w:rsidP="005728DD">
      <w:pPr>
        <w:pStyle w:val="TextoNormal"/>
      </w:pPr>
      <w:r>
        <w:t>11.5.2</w:t>
      </w:r>
      <w:r w:rsidRPr="005728DD">
        <w:rPr>
          <w:i/>
        </w:rPr>
        <w:t>.2. Respuesta del órgano judi</w:t>
      </w:r>
      <w:r>
        <w:t>cial.</w:t>
      </w:r>
    </w:p>
    <w:p w:rsidR="005728DD" w:rsidRDefault="005728DD" w:rsidP="005728DD">
      <w:pPr>
        <w:pStyle w:val="TextoNormal"/>
      </w:pPr>
    </w:p>
    <w:p w:rsidR="005728DD" w:rsidRDefault="005728DD" w:rsidP="005728DD">
      <w:pPr>
        <w:pStyle w:val="TextoNormal"/>
      </w:pPr>
      <w:r>
        <w:t>En el apartado 4.6 del fundamento jurídico B) de la sentencia impugnada, el órgano judicial descarta que los hechos ocurridos los días 20 de septiembre y 1 de octubre constituyeran una pacífica manifestación de protesta:</w:t>
      </w:r>
    </w:p>
    <w:p w:rsidR="005728DD" w:rsidRDefault="005728DD" w:rsidP="005728DD">
      <w:pPr>
        <w:pStyle w:val="TextoNormal"/>
      </w:pPr>
    </w:p>
    <w:p w:rsidR="005728DD" w:rsidRDefault="005728DD" w:rsidP="005728DD">
      <w:pPr>
        <w:pStyle w:val="TextoNormal"/>
      </w:pPr>
      <w:r>
        <w:t>“En los hechos probados de esta nuestra resolución se pone de manifiesto que las actuaciones de los días 20 de septiembre y 1 de octubre de 2017 estuvieron lejos de una pacífica y legítima manifestación de protesta.</w:t>
      </w:r>
    </w:p>
    <w:p w:rsidR="005728DD" w:rsidRDefault="005728DD" w:rsidP="005728DD">
      <w:pPr>
        <w:pStyle w:val="TextoNormal"/>
      </w:pPr>
    </w:p>
    <w:p w:rsidR="005728DD" w:rsidRDefault="005728DD" w:rsidP="005728DD">
      <w:pPr>
        <w:pStyle w:val="TextoNormal"/>
      </w:pPr>
      <w:r>
        <w:t xml:space="preserve">La hostilidad desplegada hizo inviable el día 20 de septiembre que los funcionarios dieran cumplimiento con normalidad a las órdenes del Juzgado núm. 13 de Instrucción de Barcelona, ocasionando miedo real, no solamente en los funcionarios que ejecutaban legítimas órdenes jurisdiccionales —es el caso de la letrada de la administración de justicia actuante </w:t>
      </w:r>
      <w:r>
        <w:lastRenderedPageBreak/>
        <w:t>en la sede de la vicepresidencia—, sino en los funcionarios autonómicos bajo investigación,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5728DD" w:rsidRDefault="005728DD" w:rsidP="005728DD">
      <w:pPr>
        <w:pStyle w:val="TextoNormal"/>
      </w:pPr>
    </w:p>
    <w:p w:rsidR="005728DD" w:rsidRDefault="005728DD" w:rsidP="005728DD">
      <w:pPr>
        <w:pStyle w:val="TextoNormal"/>
      </w:pPr>
      <w:r>
        <w:t>Y los comportamientos del día 1 de octubre implicaron el uso de fuerza suficiente para neutralizar a los agentes de policía que legítimamente trataban de impedir la votación,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público,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suponían un intento de derogación de la legislación válida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t>Y tales resultados se procuraban totalmente fuera de las vías legales. En el hecho probado se ha expuesto la forzada interpretación del reglamento de la cámara autonómica para proclamar esas disposiciones legales. La efectividad —que no validez— de las nuevas disposiciones se reflejó en la acomodación de los acusados a sus preceptos pese a los reiterados requerimientos del Tribunal Constitucional para no ponerlas en práctica”.</w:t>
      </w:r>
    </w:p>
    <w:p w:rsidR="005728DD" w:rsidRDefault="005728DD" w:rsidP="005728DD">
      <w:pPr>
        <w:pStyle w:val="TextoNormal"/>
      </w:pPr>
    </w:p>
    <w:p w:rsidR="005728DD" w:rsidRDefault="005728DD" w:rsidP="005728DD">
      <w:pPr>
        <w:pStyle w:val="TextoNormal"/>
      </w:pPr>
      <w:r>
        <w:t>El apartado 17.5 del fundamento A) de la sentencia da respuesta al alegato de actuar en ejercicio legítimo de derechos constitucionales, como causa excluyente de la antijuridicidad. Así, señala:</w:t>
      </w:r>
    </w:p>
    <w:p w:rsidR="005728DD" w:rsidRDefault="005728DD" w:rsidP="005728DD">
      <w:pPr>
        <w:pStyle w:val="TextoNormal"/>
      </w:pPr>
    </w:p>
    <w:p w:rsidR="005728DD" w:rsidRDefault="005728DD" w:rsidP="005728DD">
      <w:pPr>
        <w:pStyle w:val="TextoNormal"/>
      </w:pPr>
      <w:r>
        <w:t>“17.5.1. Derecho a la libertad de expresión.</w:t>
      </w:r>
    </w:p>
    <w:p w:rsidR="005728DD" w:rsidRDefault="005728DD" w:rsidP="005728DD">
      <w:pPr>
        <w:pStyle w:val="TextoNormal"/>
      </w:pPr>
    </w:p>
    <w:p w:rsidR="005728DD" w:rsidRDefault="005728DD" w:rsidP="005728DD">
      <w:pPr>
        <w:pStyle w:val="TextoNormal"/>
      </w:pPr>
      <w:r>
        <w:t>La infracción del derecho a la libertad de expresión —a juicio de las defensas— se habría generado desde la perspectiva asumida por las acusaciones de criminalización del discurso político para fundamentar una condena penal. Esa restricción no puede incardinarse —se aduce— en ninguna de las habilitaciones previstas por el Convenio y por lo tanto supone una vulneración y un grave atentado al derecho fundamental a la libertad de expresión del art. 10 CEDH y concordantes.</w:t>
      </w:r>
    </w:p>
    <w:p w:rsidR="005728DD" w:rsidRDefault="005728DD" w:rsidP="005728DD">
      <w:pPr>
        <w:pStyle w:val="TextoNormal"/>
      </w:pPr>
    </w:p>
    <w:p w:rsidR="005728DD" w:rsidRDefault="005728DD" w:rsidP="005728DD">
      <w:pPr>
        <w:pStyle w:val="TextoNormal"/>
      </w:pPr>
      <w:r>
        <w:t>La Sala discrepa de esta afirmación.</w:t>
      </w:r>
    </w:p>
    <w:p w:rsidR="005728DD" w:rsidRDefault="005728DD" w:rsidP="005728DD">
      <w:pPr>
        <w:pStyle w:val="TextoNormal"/>
      </w:pPr>
    </w:p>
    <w:p w:rsidR="005728DD" w:rsidRDefault="005728DD" w:rsidP="005728DD">
      <w:pPr>
        <w:pStyle w:val="TextoNormal"/>
      </w:pPr>
      <w:r>
        <w:t>No se ha producido en este caso un ejercicio legítimo del derecho a la libertad de expresión ni existe, desde luego, vulneración de ese derecho. Ninguno de los actos imputados y que ahora han sido declarados probados queda comprendido —y, por tanto, justificado— en el contenido material del derecho a la libertad de expresión.</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lastRenderedPageBreak/>
        <w:t>A la vista de este desarrollo jurisprudencial del derecho a la libertad de expresión, recogido en los arts. 20.1 de la CE y 10 del CEDH, está fuera de dudas que los hechos que se declaran probados no implican la negación de la capacidad de los acusados para expresar libremente sus ideas. No se castiga por difundir opiniones o doctrinas contrarias al actual estatus constitucional. Tampoco por propugnar una superación del marco político vigente. La libertad de los acusados, en este punto, permanece incólume. Nuestro sistema no se identifica con aquellos otros que hacen de la democracia militante una de sus señas de identidad (cfr. SSTC 48/2003, 136/1999, 159/1986). Las mismas ideas que han defendido los acusados les han permitido concurrir a elecciones legislativas. Esas ideas secesionistas son las que siguen dando vida al Gobierno autonómico de Cataluña. Su legitimidad no se cuestiona. Lo que es objeto de reproche penal —y así lo hemos declarado probado— es haber pulverizado el pacto constitucional, y hacerlo mediante la aprobación de leyes en abierta y contumaz desatención a los requerimientos del Tribunal Constitucional. Lo que se sanciona, en fin,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con la estructura del Estado.</w:t>
      </w:r>
    </w:p>
    <w:p w:rsidR="005728DD" w:rsidRDefault="005728DD" w:rsidP="005728DD">
      <w:pPr>
        <w:pStyle w:val="TextoNormal"/>
      </w:pPr>
    </w:p>
    <w:p w:rsidR="005728DD" w:rsidRDefault="005728DD" w:rsidP="005728DD">
      <w:pPr>
        <w:pStyle w:val="TextoNormal"/>
      </w:pPr>
      <w:r>
        <w:t>El apartado 2 del art. 10 del CEDH considera restricciones legítimas a la libertad de expresión aquellas que sean ‘[…] medidas necesarias, en una sociedad democrática […] para la integridad territorial o la seguridad pública, la defensa del orden y la prevención del delito’. La simple lectura de este precepto ya pone de relieve la validez democrática de restricciones encaminadas a preservar otros fines constitucionalmente legítimos. Y si bien insistimos en la no afectación del contenido material del derecho a la libertad de expresión de los acusados, conviene recordar que la defensa de la integridad territorial y la prevención del delito son, según el precepto invocado, legítimas limitaciones a la libertad de expresión que, en el presente caso, tampoco han existido.</w:t>
      </w:r>
    </w:p>
    <w:p w:rsidR="005728DD" w:rsidRDefault="005728DD" w:rsidP="005728DD">
      <w:pPr>
        <w:pStyle w:val="TextoNormal"/>
      </w:pPr>
    </w:p>
    <w:p w:rsidR="005728DD" w:rsidRDefault="005728DD" w:rsidP="005728DD">
      <w:pPr>
        <w:pStyle w:val="TextoNormal"/>
      </w:pPr>
      <w:r>
        <w:t>17.5.2. Derecho de reunión.</w:t>
      </w:r>
    </w:p>
    <w:p w:rsidR="005728DD" w:rsidRDefault="005728DD" w:rsidP="005728DD">
      <w:pPr>
        <w:pStyle w:val="TextoNormal"/>
      </w:pPr>
    </w:p>
    <w:p w:rsidR="005728DD" w:rsidRDefault="005728DD" w:rsidP="005728DD">
      <w:pPr>
        <w:pStyle w:val="TextoNormal"/>
      </w:pPr>
      <w:r>
        <w:t>El derecho de reunión pacífica habría sido también infringido. Los escritos de acusación contienen, a juicio de las defensas, la conversión en actos delictivos de meros actos de protesta que se hallan plenamente incluidos en el ejercicio del derecho fundamental de reunión (arts. 21 CE, 21 PIDCP y 11 CEDH).</w:t>
      </w:r>
    </w:p>
    <w:p w:rsidR="005728DD" w:rsidRDefault="005728DD" w:rsidP="005728DD">
      <w:pPr>
        <w:pStyle w:val="TextoNormal"/>
      </w:pPr>
    </w:p>
    <w:p w:rsidR="005728DD" w:rsidRDefault="005728DD" w:rsidP="005728DD">
      <w:pPr>
        <w:pStyle w:val="TextoNormal"/>
      </w:pPr>
      <w:r>
        <w:t>Tampoco ahora la Sala puede identificarse con esta línea de razonamiento. La legitimidad del derecho de reunión está fuera de controversia. Pero también lo está la existencia de límites al ejercicio de este derecho. Basta una lectura de los arts. 513 y 514 del CP para constatar que el legislador español considera delictivas algunas de las acciones que desbordan el ejercicio legítimo de los derechos de reunión o manifestación. La jurisprudencia del Tribunal Europeo de Derechos Humanos ha admitido esta idea de limitación, si bien conecta su legitimidad a la vigencia del principio de proporcionalidad (cfr. STED</w:t>
      </w:r>
      <w:r w:rsidRPr="005728DD">
        <w:rPr>
          <w:i/>
        </w:rPr>
        <w:t>H Ezelin v. Franc</w:t>
      </w:r>
      <w:r>
        <w:t>ia, 26 abril 1991) y a la necesidad de que no suponga un control ideológico sobre la finalidad de las manifestaciones (cfr. STED</w:t>
      </w:r>
      <w:r w:rsidRPr="005728DD">
        <w:rPr>
          <w:i/>
        </w:rPr>
        <w:t>H Ivanov v. Bulgar</w:t>
      </w:r>
      <w:r>
        <w:t xml:space="preserve">ia, 20 octubre 2005, </w:t>
      </w:r>
      <w:r w:rsidRPr="005728DD">
        <w:rPr>
          <w:i/>
        </w:rPr>
        <w:t>y Partido Demócrata Cristiano Popular v. Moldav</w:t>
      </w:r>
      <w:r>
        <w:t>ia, 14 febrero 2006).</w:t>
      </w:r>
    </w:p>
    <w:p w:rsidR="005728DD" w:rsidRDefault="005728DD" w:rsidP="005728DD">
      <w:pPr>
        <w:pStyle w:val="TextoNormal"/>
      </w:pPr>
    </w:p>
    <w:p w:rsidR="005728DD" w:rsidRDefault="005728DD" w:rsidP="005728DD">
      <w:pPr>
        <w:pStyle w:val="TextoNormal"/>
      </w:pPr>
      <w:r>
        <w:lastRenderedPageBreak/>
        <w:t>En el caso presente, no se trata de calibrar si esas limitaciones se acomodaron al canon constitucional que les confiere legitimidad. Ninguno de los ciudadanos que asistieron a las manifestaciones que se describen en el juicio histórico ha resultado acusado por ese hecho. Tampoco los acusados señor Junqueras y señora Forcadell —que reforzaron con su presencia la reivindicación que animaba la protestas ante la sede de la Vicepresidencia y Consejería de Economía y el Tribunal Superior de Justicia—, ni los señores Cuixart y Sánchez —que desarrollaron un especial protagonismo en esos encuentros—, han sido acusados de un delito de reunión o manifestación ilícita.</w:t>
      </w:r>
    </w:p>
    <w:p w:rsidR="005728DD" w:rsidRDefault="005728DD" w:rsidP="005728DD">
      <w:pPr>
        <w:pStyle w:val="TextoNormal"/>
      </w:pPr>
    </w:p>
    <w:p w:rsidR="005728DD" w:rsidRDefault="005728DD" w:rsidP="005728DD">
      <w:pPr>
        <w:pStyle w:val="TextoNormal"/>
      </w:pPr>
      <w:r>
        <w:t>No se han criminalizado, por tanto, actos de protesta.</w:t>
      </w:r>
    </w:p>
    <w:p w:rsidR="005728DD" w:rsidRDefault="005728DD" w:rsidP="005728DD">
      <w:pPr>
        <w:pStyle w:val="TextoNormal"/>
      </w:pPr>
    </w:p>
    <w:p w:rsidR="005728DD" w:rsidRDefault="005728DD" w:rsidP="005728DD">
      <w:pPr>
        <w:pStyle w:val="TextoNormal"/>
      </w:pPr>
      <w:r>
        <w:t>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w:t>
      </w:r>
    </w:p>
    <w:p w:rsidR="005728DD" w:rsidRDefault="005728DD" w:rsidP="005728DD">
      <w:pPr>
        <w:pStyle w:val="TextoNormal"/>
      </w:pPr>
    </w:p>
    <w:p w:rsidR="005728DD" w:rsidRDefault="005728DD" w:rsidP="005728DD">
      <w:pPr>
        <w:pStyle w:val="TextoNormal"/>
      </w:pPr>
      <w:r>
        <w:t>Pero la misma obviedad puede proclamarse de la idea de que nadie puede arrogarse el monopolio de interpretar qué es lo legítimo, arrojando al ámbito de lo ilegítimo al que no comparta sus ideas sobre la autodeterminación. Y ello, pese a los muchos argumentos que se hagan valer y que están, no para vencer al que no piensa igual, ni para superponerlos a la legalidad basándose en la voluntarista superioridad de una legitimidad frente a otra, sino para hacerlos valer en la sociedad democrática y convencer traspasándolos, en su caso, a la legalidad. También aquellos ciudadanos que profesan otras concepciones sobre el llamado problema territorial gozan de iguales derechos. Y con iguales métodos —tanto en el plano del tejido social como en el ámbito de la política institucional— ha de respetarse su capacidad y derecho de oponer a esas ideas otras que, para ellos, son las que encarnan la legitimidad.</w:t>
      </w:r>
    </w:p>
    <w:p w:rsidR="005728DD" w:rsidRDefault="005728DD" w:rsidP="005728DD">
      <w:pPr>
        <w:pStyle w:val="TextoNormal"/>
      </w:pPr>
    </w:p>
    <w:p w:rsidR="005728DD" w:rsidRDefault="005728DD" w:rsidP="005728DD">
      <w:pPr>
        <w:pStyle w:val="TextoNormal"/>
      </w:pPr>
      <w:r>
        <w:t xml:space="preserve">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w:t>
      </w:r>
      <w:r>
        <w:lastRenderedPageBreak/>
        <w:t>poder convictivo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005728DD" w:rsidRDefault="005728DD" w:rsidP="005728DD">
      <w:pPr>
        <w:pStyle w:val="TextoNormal"/>
      </w:pPr>
    </w:p>
    <w:p w:rsidR="005728DD" w:rsidRDefault="005728DD" w:rsidP="005728DD">
      <w:pPr>
        <w:pStyle w:val="TextoNormal"/>
      </w:pPr>
      <w:r>
        <w:t>En definitiva,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5728DD" w:rsidRDefault="005728DD" w:rsidP="005728DD">
      <w:pPr>
        <w:pStyle w:val="TextoNormal"/>
      </w:pPr>
    </w:p>
    <w:p w:rsidR="005728DD" w:rsidRDefault="005728DD" w:rsidP="005728DD">
      <w:pPr>
        <w:pStyle w:val="TextoNormal"/>
      </w:pPr>
      <w:r>
        <w:t>17.5.3. Libertad ideológica.</w:t>
      </w:r>
    </w:p>
    <w:p w:rsidR="005728DD" w:rsidRDefault="005728DD" w:rsidP="005728DD">
      <w:pPr>
        <w:pStyle w:val="TextoNormal"/>
      </w:pPr>
    </w:p>
    <w:p w:rsidR="005728DD" w:rsidRDefault="005728DD" w:rsidP="005728DD">
      <w:pPr>
        <w:pStyle w:val="TextoNormal"/>
      </w:pPr>
      <w:r>
        <w:t>El mismo rechazo hemos de suscribir al pretendido efecto exoneratorio derivado del ejercicio legítimo del derecho a la libertad ideológica. Su contenido, tal y como ha sido configurado por la jurisprudencia constitucional (cfr. SSTC 120/1990, 137/1990, 214/1991, 177/2015) y del Tribunal Europeo de Derechos Humanos (cfr. sentenci</w:t>
      </w:r>
      <w:r w:rsidRPr="005728DD">
        <w:rPr>
          <w:i/>
        </w:rPr>
        <w:t>a Stern Taulats y Roura Capellera v. Espa</w:t>
      </w:r>
      <w:r>
        <w:t>ña, 13 marzo 2018), no puede abarcar los hechos que sustentan las imputaciones que se formulan para cada uno de los acusados.</w:t>
      </w:r>
    </w:p>
    <w:p w:rsidR="005728DD" w:rsidRDefault="005728DD" w:rsidP="005728DD">
      <w:pPr>
        <w:pStyle w:val="TextoNormal"/>
      </w:pPr>
    </w:p>
    <w:p w:rsidR="005728DD" w:rsidRDefault="005728DD" w:rsidP="005728DD">
      <w:pPr>
        <w:pStyle w:val="TextoNormal"/>
      </w:pPr>
      <w:r>
        <w:t>También ahora hemos de insistir en que la libertad ideológica de los acusados ha permanecido incólume a lo largo del proceso. Su condición de parte pasiva nada tiene que ver con los postulados políticos que cada uno de ellos suscribe. De hecho, han podido participar incluso en campaña electoral durante el tiempo de prisión preventiva. Han podido difundir sus ideas y son estas ideas las que, hoy por hoy, sostienen la acción de gobierno de la Generalitat”.</w:t>
      </w:r>
    </w:p>
    <w:p w:rsidR="005728DD" w:rsidRDefault="005728DD" w:rsidP="005728DD">
      <w:pPr>
        <w:pStyle w:val="TextoNormal"/>
      </w:pPr>
    </w:p>
    <w:p w:rsidR="005728DD" w:rsidRDefault="005728DD" w:rsidP="005728DD">
      <w:pPr>
        <w:pStyle w:val="TextoNormal"/>
      </w:pPr>
      <w:r>
        <w:t>El párrafo primero del apartado 6.2.5 del reiterado auto resolutorio del incidente de nulidad se remite a lo ya manifestado al resolver otros incidentes, para descartar la aplicación al demandante de la atenuante analógica pretendida y, menos aún, la apreciación de la eximente incompleta.</w:t>
      </w:r>
    </w:p>
    <w:p w:rsidR="005728DD" w:rsidRDefault="005728DD" w:rsidP="005728DD">
      <w:pPr>
        <w:pStyle w:val="TextoNormal"/>
      </w:pPr>
    </w:p>
    <w:p w:rsidR="005728DD" w:rsidRDefault="005728DD" w:rsidP="005728DD">
      <w:pPr>
        <w:pStyle w:val="TextoNormal"/>
      </w:pPr>
      <w:r>
        <w:t>Sin embargo, es en el apartado 2.5.2.2 del auto reseñado donde se ofrece una detallada y exhaustiva respuesta sobre esta cuestión, al resolver el incidente interpuesto por el señor Cuixart:</w:t>
      </w:r>
    </w:p>
    <w:p w:rsidR="005728DD" w:rsidRDefault="005728DD" w:rsidP="005728DD">
      <w:pPr>
        <w:pStyle w:val="TextoNormal"/>
      </w:pPr>
    </w:p>
    <w:p w:rsidR="005728DD" w:rsidRDefault="005728DD" w:rsidP="005728DD">
      <w:pPr>
        <w:pStyle w:val="TextoNormal"/>
      </w:pPr>
      <w:r>
        <w:t>“Las manifestaciones convocadas por las asociaciones civiles el día 1 de octubre de 2017, no se circunscribían a la mera reivindicación de un legítimo mensaje político. Tampoco eran la expresión de protestas que, pese a su hostilidad, tienen indudable encaje constitucional. Antes al contrario, eran acciones ejecutadas en un indisimulado lenguaje performativo. Simultáneamente a su desarrollo se implementaban apartados del Decreto dictado por el Govern en desarrollo de la inconstitucional normativa de secesión aprobada por el Parlament. Se trataba así de conferir una efectividad a esa ilegal norma de cobertura, con desprecio de su invalidez, posibilitando la celebración de un referéndum que eludía la eficacia de cual</w:t>
      </w:r>
      <w:r>
        <w:lastRenderedPageBreak/>
        <w:t>quier resolución judicial tendente a impedirlo. Se lograba de esta forma la realización simultánea por los convocantes de la acción evocada, celebración del ilegal referéndum, en cuanto contrario a la normativa electoral y estatuaria.</w:t>
      </w:r>
    </w:p>
    <w:p w:rsidR="005728DD" w:rsidRDefault="005728DD" w:rsidP="005728DD">
      <w:pPr>
        <w:pStyle w:val="TextoNormal"/>
      </w:pPr>
    </w:p>
    <w:p w:rsidR="005728DD" w:rsidRDefault="005728DD" w:rsidP="005728DD">
      <w:pPr>
        <w:pStyle w:val="TextoNormal"/>
      </w:pPr>
      <w:r>
        <w:t xml:space="preserve">No se trataba, pues, de la promoción de meras manifestaciones cuya ilicitud se asociara al incumplimiento de un requisito administrativo —como se contempla en las SSTEDH </w:t>
      </w:r>
      <w:r w:rsidRPr="005728DD">
        <w:rPr>
          <w:i/>
        </w:rPr>
        <w:t>Primov y otros c. Rusia</w:t>
      </w:r>
      <w:r>
        <w:t xml:space="preserve">, de 12 de junio de 2014 </w:t>
      </w:r>
      <w:r w:rsidRPr="005728DD">
        <w:rPr>
          <w:i/>
        </w:rPr>
        <w:t>o Karabulut c. Turqu</w:t>
      </w:r>
      <w:r>
        <w:t>ia de 27 de enero de 2009—. Lo que sucedió y como tal fue objeto de enjuiciamiento eran graves comisiones delictivas en las que, a través de una conducta coactiva, se facilitaba e imponía una normativa antidemocrática, adoptada con menosprecio y conculcación de los derechos de un relevante número de parlamentarios autonómicos y de los ciudadanos a los que representaban, que superaban a la mitad de los votantes.</w:t>
      </w:r>
    </w:p>
    <w:p w:rsidR="005728DD" w:rsidRDefault="005728DD" w:rsidP="005728DD">
      <w:pPr>
        <w:pStyle w:val="TextoNormal"/>
      </w:pPr>
    </w:p>
    <w:p w:rsidR="005728DD" w:rsidRDefault="005728DD" w:rsidP="005728DD">
      <w:pPr>
        <w:pStyle w:val="TextoNormal"/>
      </w:pPr>
      <w:r>
        <w:t>No es posible, por tanto, afirmar que la sentencia cuya nulidad se insta condena por convocar manifestaciones pacíficas. Menos aún, que esa condena se limita a los hechos acaecidos el día 20 de septiembre. Quien así argumenta trocea de forma inadmisible lo verdaderamente acaecido. El día 20 de septiembre el registro judicial se desarrolló en una atmósfera de coacción, hasta el punto que impidió el desplazamiento de los investigados al registro de sus despachos, dadas las concertadas intervenciones intimidatorias de los convocados, ese mismo día, en diversos lugares. La propia brigada móvil de los Mossos (BRIMO) encontró fundados obstáculos para el desarrollo de su función. Ningún responsable de seguridad se comprometía a que los objetos incautados y la documentación intervenida durante el registro pudieran mantenerse en poder de los funcionarios que los custodiaban, si estos llegaran a abandonar la sede de la vicepresidencia con la multitud en la puerta utilizaran o no para ello el pasillo habilitado por los voluntarios de una de las asociaciones civiles convocantes. La letrada de la administración de justicia tuvo que salir del edificio de forma subrepticia, bajo indicaciones policiales, ante el riesgo serio que corría su integridad física y la de los funcionarios que practicaban el registro. Los ‘matan’, llegó a decir un responsable de seguridad. Tal era el ambiente coactivo en el que se desarrolló la diligencia judicial que cuando algunos agentes de los Mossos d’Esquadra fueron confundidos con practicantes del registro tuvieron que huir corriendo para refugiarse en un edificio próximo.</w:t>
      </w:r>
    </w:p>
    <w:p w:rsidR="005728DD" w:rsidRDefault="005728DD" w:rsidP="005728DD">
      <w:pPr>
        <w:pStyle w:val="TextoNormal"/>
      </w:pPr>
    </w:p>
    <w:p w:rsidR="005728DD" w:rsidRDefault="005728DD" w:rsidP="005728DD">
      <w:pPr>
        <w:pStyle w:val="TextoNormal"/>
      </w:pPr>
      <w:r>
        <w:t>La actuación de los convocados iba más allá del simple y legítimo ejercicio del derecho de reunión. La multitud, no solo se manifestaba, sino que cumplimentaba la expresiva llamada por parte del recurrente ‘en defensa de les nostres institucions’. Unas instituciones sobre las que, dicho sea de paso, ningún peligro se cernía, más allá del demoledor efecto que para su vigencia y desarrollo habría tenido, en su caso, la efectiva vigencia de las ilícitas leyes de transitoriedad y referéndum. Las manifestaciones objeto de la concurrencia pública, en modo alguno resultaban amparadas por el derecho a la libertad de expresión, en cuanto conllevaban un levantamiento con el objetivo de implementar una normativa antidemocrática y afectaban potencialmente y de forma mediata a la integridad territorial. (vid. Decisión TED</w:t>
      </w:r>
      <w:r w:rsidRPr="005728DD">
        <w:rPr>
          <w:i/>
        </w:rPr>
        <w:t>H María Carmen Forcadell i Lluis y otros c. Espa</w:t>
      </w:r>
      <w:r>
        <w:t>ña, de 7 de mayo de 2019, demanda núm. 75147-17)</w:t>
      </w:r>
    </w:p>
    <w:p w:rsidR="005728DD" w:rsidRDefault="005728DD" w:rsidP="005728DD">
      <w:pPr>
        <w:pStyle w:val="TextoNormal"/>
      </w:pPr>
    </w:p>
    <w:p w:rsidR="005728DD" w:rsidRDefault="005728DD" w:rsidP="005728DD">
      <w:pPr>
        <w:pStyle w:val="TextoNormal"/>
      </w:pPr>
      <w:r>
        <w:t xml:space="preserve">También por la vía coactiva se procuró la realización del referéndum como desautorizado instrumento jurídico que obligaba, de forma automática, a la consecutiva proclamación de la república catalana. Y por más formal y simbólica que fuese, esa declaración asentaba un </w:t>
      </w:r>
      <w:r>
        <w:lastRenderedPageBreak/>
        <w:t>hito más en las vías de hecho hacia una independencia cuyo itinerario había sido diseñado por los autores o, al menos, asumido por estos.</w:t>
      </w:r>
    </w:p>
    <w:p w:rsidR="005728DD" w:rsidRDefault="005728DD" w:rsidP="005728DD">
      <w:pPr>
        <w:pStyle w:val="TextoNormal"/>
      </w:pPr>
    </w:p>
    <w:p w:rsidR="005728DD" w:rsidRDefault="005728DD" w:rsidP="005728DD">
      <w:pPr>
        <w:pStyle w:val="TextoNormal"/>
      </w:pPr>
      <w:r>
        <w:t>Cuando se afirma en defensa de la nulidad de nuestra sentencia el hecho de que se han condenado ideas, se prescinde de una realidad incontrovertida, a saber, que la independencia como aspiración política nunca ha sido objeto de procedimiento penal. No lo fue cuando, como cada anualidad, el 11 de septiembre se celebró la diada, con asistencia —según las fuentes que se consulten— de entre trescientas cincuenta mil y un millón de personas. Una reunión pacífica que incluía, entre otros lemas, la afirmación de que ‘votaremos, quieran o no quieran’, en directa alusión al deseo colectivo de ignorar la prohibición de la celebración del referéndum que tuvo lugar unos días después. Tampoco hubo persecución penal cuando, una y otra vez, se proclamaba la insumisión a los tribunales y gobiernos ‘[…] que solo quieren preservar la indivisible unidad de la patria’.</w:t>
      </w:r>
    </w:p>
    <w:p w:rsidR="005728DD" w:rsidRDefault="005728DD" w:rsidP="005728DD">
      <w:pPr>
        <w:pStyle w:val="TextoNormal"/>
      </w:pPr>
    </w:p>
    <w:p w:rsidR="005728DD" w:rsidRDefault="005728DD" w:rsidP="005728DD">
      <w:pPr>
        <w:pStyle w:val="TextoNormal"/>
      </w:pPr>
      <w:r>
        <w:t xml:space="preserve">En definitiva, la respuesta jurisdiccional a los hechos enjuiciados ha estado inspirada en la lógica observancia de nuestros principios constitucionales y de la propia doctrina del TEDH, manifestada en </w:t>
      </w:r>
      <w:r w:rsidRPr="005728DD">
        <w:rPr>
          <w:i/>
        </w:rPr>
        <w:t>Stankov y Organización Macedonia Unida Ilinden c. Bulgaria</w:t>
      </w:r>
      <w:r>
        <w:t>, de 2 de octubre de 2001, § 97, asuntos 29221/95 y 29225/95. Tampoco es posible proclamar que este proceso tuviera como fin un efecto disuasorio de la libertad de expresión. Conviene insistir en que los hechos por los que se ha dictado condena fueron, desde luego, algo más que una reunión de ciudadanos que con libertad expresan sus reivindicaciones ideológicas. No hemos criminalizado opiniones y protestas. Los hechos acaecidos los días 20 de septiembre y 1 de octubre buscaban implementar, en connivencia las autoridades autonómicas y los líderes asociativos que han resultado condenados, una normativa antidemocrática e inconstitucional. Un bloque jurídico —hay que insistir en ello— aprobado con desprecio de la mitad de las fuerzas políticas con representación en la Cámara, de los mandatos y advertencias del Tribunal Constitucional y de la Constitución y el Estatuto, norma rectora de la convivencia en el ámbito de la comunidad autónoma de Cataluña.</w:t>
      </w:r>
    </w:p>
    <w:p w:rsidR="005728DD" w:rsidRDefault="005728DD" w:rsidP="005728DD">
      <w:pPr>
        <w:pStyle w:val="TextoNormal"/>
      </w:pPr>
    </w:p>
    <w:p w:rsidR="005728DD" w:rsidRDefault="005728DD" w:rsidP="005728DD">
      <w:pPr>
        <w:pStyle w:val="TextoNormal"/>
      </w:pPr>
      <w:r>
        <w:t>De la ilicitud del referéndum es bien elocuente el hecho de que la presidencia de la Comisión de Venecia había comunicado, tras haberle sido notificada su celebración, que no puede presentarse como un referéndum democrático aquel que no se ajusta a la ley. Menos aún, si su finalidad es coactiva frente al Estado o su resultado se esgrime como una decisión suscrita por una sola parte de la población, relevante, pero solo de una parte que, por si fuera poco, está muy lejana a la mayoría. Una decisión, en fin, que incide sobre cuestiones como la integridad territorial, que es expresión del concepto mismo de soberanía nacional. En definitiva, la mera idea de votar, si el ejercicio de ese derecho se construye al margen de las previsiones legales, no resulta democráticamente amparable.</w:t>
      </w:r>
    </w:p>
    <w:p w:rsidR="005728DD" w:rsidRDefault="005728DD" w:rsidP="005728DD">
      <w:pPr>
        <w:pStyle w:val="TextoNormal"/>
      </w:pPr>
    </w:p>
    <w:p w:rsidR="005728DD" w:rsidRDefault="005728DD" w:rsidP="005728DD">
      <w:pPr>
        <w:pStyle w:val="TextoNormal"/>
      </w:pPr>
      <w:r>
        <w:t>El propio preámbulo del Convenio Europeo de Derecho Humanos, destaca la preeminencia del Derecho. Y la Unión Parlamentaria —organización mundial de parlamentos nacionales, integrada por 179 miembros—, en su Declaración Universal sobre la Democracia, realizada en El Cairo, precisó que la democracia está fundada en la primacía del Derecho y el ejercicio de los derechos fundamentales del hombre (cfr. punto 7). En un Estado democrático, todos los ciudadanos son iguales ante la ley y nadie está por encima de la ley.</w:t>
      </w:r>
    </w:p>
    <w:p w:rsidR="005728DD" w:rsidRDefault="005728DD" w:rsidP="005728DD">
      <w:pPr>
        <w:pStyle w:val="TextoNormal"/>
      </w:pPr>
    </w:p>
    <w:p w:rsidR="005728DD" w:rsidRDefault="005728DD" w:rsidP="005728DD">
      <w:pPr>
        <w:pStyle w:val="TextoNormal"/>
      </w:pPr>
      <w:r>
        <w:t xml:space="preserve">En conclusión, aunque se redujera la imputación a los levantamientos tumultuarios acaecidos los días 20 de septiembre y 1 de octubre, la aplicación coactiva de las leyes 19 y 20 </w:t>
      </w:r>
      <w:r>
        <w:lastRenderedPageBreak/>
        <w:t>de 2017, legítimamente suspendidas, en modo alguno podía estar amparada por el derecho de manifestación, sobre todo, tratándose de normas jurídicas aprobadas —insistimos— con desprecio de la legalidad democráticamente establecida y de una minoría parlamentaria que representaba a la mitad de los electores catalanes”.</w:t>
      </w:r>
    </w:p>
    <w:p w:rsidR="005728DD" w:rsidRDefault="005728DD" w:rsidP="005728DD">
      <w:pPr>
        <w:pStyle w:val="TextoNormal"/>
      </w:pPr>
    </w:p>
    <w:p w:rsidR="005728DD" w:rsidRDefault="005728DD" w:rsidP="005728DD">
      <w:pPr>
        <w:pStyle w:val="TextoNormal"/>
      </w:pPr>
      <w:r>
        <w:t>11.5.2.3</w:t>
      </w:r>
      <w:r w:rsidRPr="005728DD">
        <w:rPr>
          <w:i/>
        </w:rPr>
        <w:t>. Resolución de la que</w:t>
      </w:r>
      <w:r>
        <w:t>ja.</w:t>
      </w:r>
    </w:p>
    <w:p w:rsidR="005728DD" w:rsidRDefault="005728DD" w:rsidP="005728DD">
      <w:pPr>
        <w:pStyle w:val="TextoNormal"/>
      </w:pPr>
    </w:p>
    <w:p w:rsidR="005728DD" w:rsidRDefault="005728DD" w:rsidP="005728DD">
      <w:pPr>
        <w:pStyle w:val="TextoNormal"/>
      </w:pPr>
      <w:r>
        <w:t>El demandante persiste en la idea de que, al no haber sido acusados los ciudadanos que se alzaron, el órgano sentenciador ha estimado, implícitamente, que aquellos ejercieron legítimamente los derechos fundamentales antes mencionados. Este argumento ya se sustentó, en términos similares, en el planteamiento de la queja relativa al abandono selectivo del principio de la “accesoriedad limitada” en la participación. Y al resolver la referida queja, este tribunal consideró que esa circunstancia en absoluto autoriza a entender que aquellos ciudadanos hubieran actuado amparados por una causa de justificación pues, al no haber sido sometidos a un proceso penal, no cabe formular ninguna consideración de esta índole y, menos aún, en esta sede. Replanteada en lo sustancial esa pretensión, la respuesta que ahora ofrecemos coincide en lo esencial con la ya dada. Respecto de esos terceros no resulta procedente que este tribunal lleve a cabo valoración jurídico-penal alguna acerca del comportamiento de estos últimos, a fin de asumir o rechazar que se hallaban bajo la cobertura de la eximente que contempla el art. 20.7 CP, por obrar en ejercicio de los derechos fundamentales que se citan en la demanda. La sentencia recurrida no resuelve sobre este particular, ni siquiera implícitamente, por lo que este tribunal tampoco debe pronunciarse al respecto, no solo por imperativo del principio de subsidiariedad al que nos vemos sujetos, sino porque al no haber sido enjuiciados esos terceros, cualquier valoración que se formule sobre esa temática sería manifiestamente inapropiada.</w:t>
      </w:r>
    </w:p>
    <w:p w:rsidR="005728DD" w:rsidRDefault="005728DD" w:rsidP="005728DD">
      <w:pPr>
        <w:pStyle w:val="TextoNormal"/>
      </w:pPr>
    </w:p>
    <w:p w:rsidR="005728DD" w:rsidRDefault="005728DD" w:rsidP="005728DD">
      <w:pPr>
        <w:pStyle w:val="TextoNormal"/>
      </w:pPr>
      <w:r>
        <w:t>Sentado lo anterior, procede abordar otro aspecto de la queja, concretamente el denominado “efecto desalentador” que se atribuye a la desproporción en que, por su severidad, incurren las penas impuestas al demandante. En la STC 62/2019, de 7 de mayo, FJ 7, aparece recogida la doctrina sobre la incidencia en el ámbito penal del ejercicio de los derechos fundamentales, incluido el análisis del denominado “efecto desaliento”.</w:t>
      </w:r>
    </w:p>
    <w:p w:rsidR="005728DD" w:rsidRDefault="005728DD" w:rsidP="005728DD">
      <w:pPr>
        <w:pStyle w:val="TextoNormal"/>
      </w:pPr>
    </w:p>
    <w:p w:rsidR="005728DD" w:rsidRDefault="005728DD" w:rsidP="005728DD">
      <w:pPr>
        <w:pStyle w:val="TextoNormal"/>
      </w:pPr>
      <w:r>
        <w:t xml:space="preserve">Hemos señalado, en este sentido que «[e]ste tribunal ha tenido ocasión de pronunciarse sobre la vinculación de las conductas con relevancia penal en el contexto del ejercicio de los derechos fundamentales. Concretamente, en la STC 104/2011, de 20 de junio, FJ 6, distinguimos los supuestos en que la conducta penal constituye un ejercicio regular del derecho fundamental, de aquellos otros en que se produce una extralimitación en su ejercicio. En relación con el primero de los supuestos, sostuvimos que: “Reiteradamente hemos afirmado que ‘los tipos penales no pueden interpretarse y aplicarse de forma contraria a los derechos fundamentales’ (SSTC 137/1997, de 21 de julio, FJ 2; 110/2000, de 5 de mayo, FJ 4; 297/2000, de 11 de diciembre, FJ 4; 299/2006, de 23 de octubre, FJ 6, o 108/2008, de 22 de septiembre, FJ 3). O desde el enfoque acogido, por ejemplo, en la STC 2/2001, de 15 de enero, FJ 2, o más recientemente en la STC 29/2009, de 26 de enero, FJ 3, que ‘los hechos probados no pueden ser a un mismo tiempo valorados como actos de ejercicio de un derecho fundamental y como conductas constitutivas de un delito’. Desde la perspectiva constitucional, entonces, la legitimidad de la intervención penal en los casos en que la aplicación de un tipo entra en colisión con el ejercicio de derechos fundamentales no viene determinada por los límites del ejercicio del derecho, sino por la delimitación de su contenido (según </w:t>
      </w:r>
      <w:r>
        <w:lastRenderedPageBreak/>
        <w:t>hemos señalado, por ejemplo, en las SSTC 137/1997, de 21 de julio, FJ 2; 110/2000, de 5 de mayo, FJ 4; o 185/2003, de 27 de octubre, FJ 5). De forma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w:t>
      </w:r>
    </w:p>
    <w:p w:rsidR="005728DD" w:rsidRDefault="005728DD" w:rsidP="005728DD">
      <w:pPr>
        <w:pStyle w:val="TextoNormal"/>
      </w:pPr>
    </w:p>
    <w:p w:rsidR="005728DD" w:rsidRDefault="005728DD" w:rsidP="005728DD">
      <w:pPr>
        <w:pStyle w:val="TextoNormal"/>
      </w:pPr>
      <w:r>
        <w:t xml:space="preserve">Respecto de la segunda situación enunciada, en el referido fundamento jurídico figura el siguiente argumento: </w:t>
      </w:r>
    </w:p>
    <w:p w:rsidR="005728DD" w:rsidRDefault="005728DD" w:rsidP="005728DD">
      <w:pPr>
        <w:pStyle w:val="TextoNormal"/>
      </w:pPr>
    </w:p>
    <w:p w:rsidR="005728DD" w:rsidRDefault="005728DD" w:rsidP="005728DD">
      <w:pPr>
        <w:pStyle w:val="TextoNormal"/>
      </w:pPr>
      <w:r>
        <w:t>“Nuestra doctrina no se detiene en esta primera conclusión básica y previsible, aunque imprescindible, sino que cuestiona asimismo la aplicación de los tipos penales en aquellos supuestos en los que, pese a que puedan apreciarse excesos en el ejercicio del derecho fundamental, estos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solo dos terrenos, el de lo constitucionalmente protegido y el de lo punible, lo que no puede admitirse’. Así lo hemos declarado en la STC 110/2000, de 5 de mayo, respecto del ejercicio de las libertades de expresión e información [arts. 20.1 a) y d) CE], resolución en la que señalamos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(fundamento jurídico 5). O, en el mismo sentido, en un asunto relativo a la libertad sindical (art. 28.1 CE):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disuasorio o desalentador del ejercicio de los derechos fundamentales implicados en la conducta sancionada’ (STC 88/2003, de 19 de mayo, FJ 8 y las en ella citadas sobre el ‘efecto desaliento’)”.</w:t>
      </w:r>
    </w:p>
    <w:p w:rsidR="005728DD" w:rsidRDefault="005728DD" w:rsidP="005728DD">
      <w:pPr>
        <w:pStyle w:val="TextoNormal"/>
      </w:pPr>
    </w:p>
    <w:p w:rsidR="005728DD" w:rsidRDefault="005728DD" w:rsidP="005728DD">
      <w:pPr>
        <w:pStyle w:val="TextoNormal"/>
      </w:pPr>
      <w:r>
        <w:t xml:space="preserve">De la doctrina transcrita cabe extraer [seguimos diciendo] las siguientes consideraciones: i) cuando una conducta queda plenamente amparada por el ejercicio legítimo de un derecho fundamental no puede ser reputada antijurídica, aunque tal conducta sea subsumible en determinado tipo penal y ii) en supuestos de exceso o extralimitación en el ejercicio de un </w:t>
      </w:r>
      <w:r>
        <w:lastRenderedPageBreak/>
        <w:t>derecho fundamental puede llegar a plantearse la necesidad de ponderar si la sanción penal supone un sacrificio innecesario o desproporcionado del derecho o libertad del que se trate y, por ello, provoca un efecto desalentador».</w:t>
      </w:r>
    </w:p>
    <w:p w:rsidR="005728DD" w:rsidRDefault="005728DD" w:rsidP="005728DD">
      <w:pPr>
        <w:pStyle w:val="TextoNormal"/>
      </w:pPr>
    </w:p>
    <w:p w:rsidR="005728DD" w:rsidRDefault="005728DD" w:rsidP="005728DD">
      <w:pPr>
        <w:pStyle w:val="TextoNormal"/>
      </w:pPr>
      <w:r>
        <w:t>Con independencia de lo ya manifestado respecto de los derechos fundamentales de los ciudadanos que se movilizaron los días 20 de septiembre y 1 de octubre de 2017, debemos añadir que, en el contexto propio de un recurso de amparo que trae causa de un procedimiento penal seguido contra el demandante y otros acusados,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p>
    <w:p w:rsidR="005728DD" w:rsidRDefault="005728DD" w:rsidP="005728DD">
      <w:pPr>
        <w:pStyle w:val="TextoNormal"/>
      </w:pPr>
    </w:p>
    <w:p w:rsidR="005728DD" w:rsidRDefault="005728DD" w:rsidP="005728DD">
      <w:pPr>
        <w:pStyle w:val="TextoNormal"/>
      </w:pPr>
      <w:r>
        <w:t>Tampoco la queja resultaría de recibo, en el entendimiento de que son los derechos fundamentales del demandante los afectados por la sentencia, con motivo de su participación personal y directa en esos acontecimientos. Debe advertirse que del examen de las resoluciones impugnadas no se desprende que su condena derive de su participación en los actos multitudinarios a los que repetidamente se ha hecho referencia, pues no consta dato alguno que refleje esa intervención. Y en cuanto el ejercicio del derecho a la libertad ideológica, es cierto que la sentencia detalla que el demandante, al igual que otros acusados, actuó con una finalidad cuya naturaleza política es notoria; pero como se indica en diferentes apartados de la citada resolución, la ideología del recurrente no fue un factor determinante de su condena, pues fue su intervención como miembro del Govern lo que propició que participara en la aprobación de las normas ulteriormente declaradas inconstitucionales por este tribunal y, pese a la nitidez de los requerimientos que en su día formulamos para el restablecimiento del orden constitucional, finalmente el “referéndum” del día 1 de octubre de 2017 llegó a celebrarse, con los incidentes y enfrentamientos ya relatados, siendo destacable la activa promoción de ese evento por parte del recurrente, como así lo recoge la sentencia combatida en este recurso.</w:t>
      </w:r>
    </w:p>
    <w:p w:rsidR="005728DD" w:rsidRDefault="005728DD" w:rsidP="005728DD">
      <w:pPr>
        <w:pStyle w:val="TextoNormal"/>
      </w:pPr>
    </w:p>
    <w:p w:rsidR="005728DD" w:rsidRDefault="005728DD" w:rsidP="005728DD">
      <w:pPr>
        <w:pStyle w:val="TextoNormal"/>
      </w:pPr>
      <w:r>
        <w:t>En suma, según se detalla en la sentencia, el comportamiento del recurrente no consistió en el ejercicio de los derechos de reunión, expresión, o manifestación. Como promotor de la sedición, junto con otros acusados convocó masivamente a los ciudadanos para que el día señalado para el referéndum acudieran a votar en cualquier colegio, con la finalidad de activar la cláusula de automaticidad prevista en la ley de transitoriedad jurídica y fundacional de la república catalana para determinar la secesión; es decir, la sustitución del legítimo marco jurídico establecido por la Constitución y el Estatuto de Autonomía, por el diseñado en la citada ley de transitoriedad .</w:t>
      </w:r>
    </w:p>
    <w:p w:rsidR="005728DD" w:rsidRDefault="005728DD" w:rsidP="005728DD">
      <w:pPr>
        <w:pStyle w:val="TextoNormal"/>
      </w:pPr>
    </w:p>
    <w:p w:rsidR="005728DD" w:rsidRDefault="005728DD" w:rsidP="005728DD">
      <w:pPr>
        <w:pStyle w:val="TextoNormal"/>
      </w:pPr>
      <w:r>
        <w:t xml:space="preserve">En apoyo de la falta de proporcionalidad de las penas impuestas, también se esgrime que los organizadores de la convocatoria del día 1 de octubre propiciaron concentraciones masivas de personas para que votaran, pero no incitaron a ejercer la violencia; y no obstante ello, las penas que les han sido impuestas alcanzan una extraordinaria severidad, equiparables a las que se prevén para delitos graves contra la vida o la integridad física. En esencia, lo que el recurrente asevera es que el abierto reclamo de los ciudadanos para que participaran en la votación orquestada no fue más que una promoción del derecho de reunión, con la finalidad de llevar a cabo un acto de participación política que, en algunos casos, dio lugar </w:t>
      </w:r>
      <w:r>
        <w:lastRenderedPageBreak/>
        <w:t>a enfrentamientos con las fuerzas policiales, que no empecen el legítimo favorecimiento de ese derecho.</w:t>
      </w:r>
    </w:p>
    <w:p w:rsidR="005728DD" w:rsidRDefault="005728DD" w:rsidP="005728DD">
      <w:pPr>
        <w:pStyle w:val="TextoNormal"/>
      </w:pPr>
    </w:p>
    <w:p w:rsidR="005728DD" w:rsidRDefault="005728DD" w:rsidP="005728DD">
      <w:pPr>
        <w:pStyle w:val="TextoNormal"/>
      </w:pPr>
      <w:r>
        <w:t>Esta argumentación parte de una premisa que, sin embargo, no se compadece con los fundamentos de su condena. Ciertamente, en la sentencia impugnada no se afirma que el recurrente exhortara a los ciudadanos a comportarse de manera violenta, de modo que la responsabilidad penal que se le atribuye, como autor de un delito de sedición, tampoco dimana del hecho de haber inducido a los convocados a comportarse de modo agresivo.</w:t>
      </w:r>
    </w:p>
    <w:p w:rsidR="005728DD" w:rsidRDefault="005728DD" w:rsidP="005728DD">
      <w:pPr>
        <w:pStyle w:val="TextoNormal"/>
      </w:pPr>
    </w:p>
    <w:p w:rsidR="005728DD" w:rsidRDefault="005728DD" w:rsidP="005728DD">
      <w:pPr>
        <w:pStyle w:val="TextoNormal"/>
      </w:pPr>
      <w:r>
        <w:t>Para refutar esta queja, procede retomar la respuesta dada por el órgano judicial al pronunciarse sobre el ejercicio del derecho de reunión [apartado 17.5.2 del fundamento A) de la sentencia], lo que permite comprobar que la apreciada antijuridicidad del comportamiento del demandante y otros acusados no se basó en que fomentaran la exteriorización de una disidencia política o que promovieran protestas de carácter multitudinario. Por el contrario, para el órgano judicial la movilización de los ciudadanos tuvo por objeto implementar la estrategia previamente diseñada por los acusados, a fin de que aquellos llevaran a cabo una actividad que trasciende netamente del contorno del derecho de reunión; concretamente, participar en la votación declarada ilegal por el Tribunal Constitucional y el Tribunal Superior de Justicia de Cataluña. Por tanto, aun cuando los acusados no alentaran el acometimiento violento de los movilizados contra las fuerzas policiales, sin embargo, los enfrentamientos que se describen en el relato histórico de la sentencia recurrida han servido para configurar el delito de sedición que la referida resolución aprecia, al ser una consecuencia derivada del desarrollo de la estrategia a que se ha hecho mención.</w:t>
      </w:r>
    </w:p>
    <w:p w:rsidR="005728DD" w:rsidRDefault="005728DD" w:rsidP="005728DD">
      <w:pPr>
        <w:pStyle w:val="TextoNormal"/>
      </w:pPr>
    </w:p>
    <w:p w:rsidR="005728DD" w:rsidRDefault="005728DD" w:rsidP="005728DD">
      <w:pPr>
        <w:pStyle w:val="TextoNormal"/>
      </w:pPr>
      <w:r>
        <w:t>Con independencia de lo expuesto, no debe quedar inadvertido un dato especialmente relevante. A la sazón, el demandante de amparo ostentaba el cargo de conseller de Presidencia y portavoz del Govern desde el día 14 de julio de 2017. Y según establece el art. 2.4 EAC: “[l]os poderes de la Generalitat emanan del pueblo de Cataluña y se ejercen de acuerdo con lo establecido en el presente Estatuto y la Constitución”.</w:t>
      </w:r>
    </w:p>
    <w:p w:rsidR="005728DD" w:rsidRDefault="005728DD" w:rsidP="005728DD">
      <w:pPr>
        <w:pStyle w:val="TextoNormal"/>
      </w:pPr>
    </w:p>
    <w:p w:rsidR="005728DD" w:rsidRDefault="005728DD" w:rsidP="005728DD">
      <w:pPr>
        <w:pStyle w:val="TextoNormal"/>
      </w:pPr>
      <w:r>
        <w:t>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w:t>
      </w:r>
    </w:p>
    <w:p w:rsidR="005728DD" w:rsidRDefault="005728DD" w:rsidP="005728DD">
      <w:pPr>
        <w:pStyle w:val="TextoNormal"/>
      </w:pPr>
    </w:p>
    <w:p w:rsidR="005728DD" w:rsidRDefault="005728DD" w:rsidP="005728DD">
      <w:pPr>
        <w:pStyle w:val="TextoNormal"/>
      </w:pPr>
      <w:r>
        <w:t>Conforme a la normativa expuesta, se colige sin dificultad que el demandante venía obligado a ejercer el cargo de conseller conforme al marco normativo enunciado. Ello implica que debía cumplir las obligaciones inherentes, de manera principal, el acatamiento de la Constitución y de las decisiones de su supremo intérprete. Ese deber especial de acatamiento ha sido reconocido por este tribunal, como así lo refleja el ATC 24/2017, FJ 8:</w:t>
      </w:r>
    </w:p>
    <w:p w:rsidR="005728DD" w:rsidRDefault="005728DD" w:rsidP="005728DD">
      <w:pPr>
        <w:pStyle w:val="TextoNormal"/>
      </w:pPr>
    </w:p>
    <w:p w:rsidR="005728DD" w:rsidRDefault="005728DD" w:rsidP="005728DD">
      <w:pPr>
        <w:pStyle w:val="TextoNormal"/>
      </w:pPr>
      <w:r>
        <w:t>“El deber de fidelidad a la Constitución por parte de los poderes públicos ‘constituye un soporte esencial del funcionamiento del Estado autonómico y cuya observancia resulta obligada’ (STC 247/2007, de 12 diciembre, FJ 4)”.</w:t>
      </w:r>
    </w:p>
    <w:p w:rsidR="005728DD" w:rsidRDefault="005728DD" w:rsidP="005728DD">
      <w:pPr>
        <w:pStyle w:val="TextoNormal"/>
      </w:pPr>
    </w:p>
    <w:p w:rsidR="005728DD" w:rsidRDefault="005728DD" w:rsidP="005728DD">
      <w:pPr>
        <w:pStyle w:val="TextoNormal"/>
      </w:pPr>
      <w:r>
        <w:lastRenderedPageBreak/>
        <w:t>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w:t>
      </w:r>
    </w:p>
    <w:p w:rsidR="005728DD" w:rsidRDefault="005728DD" w:rsidP="005728DD">
      <w:pPr>
        <w:pStyle w:val="TextoNormal"/>
      </w:pPr>
    </w:p>
    <w:p w:rsidR="005728DD" w:rsidRDefault="005728DD" w:rsidP="005728DD">
      <w:pPr>
        <w:pStyle w:val="TextoNormal"/>
      </w:pPr>
      <w:r>
        <w:t>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005728DD" w:rsidRDefault="005728DD" w:rsidP="005728DD">
      <w:pPr>
        <w:pStyle w:val="TextoNormal"/>
      </w:pPr>
    </w:p>
    <w:p w:rsidR="005728DD" w:rsidRDefault="005728DD" w:rsidP="005728DD">
      <w:pPr>
        <w:pStyle w:val="TextoNormal"/>
      </w:pPr>
      <w:r>
        <w:t>Así pues, conforme a la doctrina transcrita no cabe pretextar el ejercicio de los derechos fundamentales para objetar la antijuridicidad de la conducta del demandante, puesto que ningún derecho de esa naturaleza legitima que el titular de un poder público autonómico incumpla las obligaciones que la propia Constitución le impone: entre ellas, el cumplimiento de las resoluciones de este tribunal (art. 87.1 LOTC), al igual que las dictadas por los jueces y tribunales (art. 118 CE).</w:t>
      </w:r>
    </w:p>
    <w:p w:rsidR="005728DD" w:rsidRDefault="005728DD" w:rsidP="005728DD">
      <w:pPr>
        <w:pStyle w:val="TextoNormal"/>
      </w:pPr>
    </w:p>
    <w:p w:rsidR="005728DD" w:rsidRDefault="005728DD" w:rsidP="005728DD">
      <w:pPr>
        <w:pStyle w:val="TextoNormal"/>
      </w:pPr>
      <w:r>
        <w:t>El argumento expuesto también resultaría aplicable en relación con el supuesto favorecimiento del ejercicio de derechos fundamentales por parte de los ciudadanos que acudieron a votar el día 1 de octubre de 2017, algunos de los cuales participaron en los enfrentamientos con las fuerzas policiales que se detallan. El demandante era titular de un poder público 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legitimado para incumplir las obligaciones inherentes al cargo que desempeñaba.</w:t>
      </w:r>
    </w:p>
    <w:p w:rsidR="005728DD" w:rsidRDefault="005728DD" w:rsidP="005728DD">
      <w:pPr>
        <w:pStyle w:val="TextoNormal"/>
      </w:pPr>
    </w:p>
    <w:p w:rsidR="005728DD" w:rsidRDefault="005728DD" w:rsidP="005728DD">
      <w:pPr>
        <w:pStyle w:val="TextoNormal"/>
      </w:pPr>
      <w:r>
        <w:t>Si lo ya expuesto sirve para rechazar que la actuación del recurrente pudiera acogerse a la exención de responsabilidad penal que proclama el art. 20.7 CP, tampoco cabe apreciar el denominado “efecto desaliento”, bajo el alegato de que las penas impuestas desincentivan el ejercicio de esos derechos. La conducta del recurrente no constituye un mero exceso o extralimitación en el ejercicio de derechos fundamentales pues, como así se recoge en la sentencia, lo que aquel pretendía era neutralizar las decisiones adoptadas por este tribunal y los órganos judiciales sirviéndose de la movilización ciudadana para ese propósito. Por ello, tal conducta queda al margen del ejercicio de los mencionados derechos, de manera que no puede ampararse en un eventual “efecto desaliento” para tildar de desproporcionadas las penas impuestas.</w:t>
      </w:r>
    </w:p>
    <w:p w:rsidR="005728DD" w:rsidRDefault="005728DD" w:rsidP="005728DD">
      <w:pPr>
        <w:pStyle w:val="TextoNormal"/>
      </w:pPr>
    </w:p>
    <w:p w:rsidR="005728DD" w:rsidRDefault="005728DD" w:rsidP="005728DD">
      <w:pPr>
        <w:pStyle w:val="TextoNormal"/>
      </w:pPr>
      <w:r>
        <w:t>Por todo lo razonado, se desestiman las quejas de vulneración del derecho reconocido en el art. 25.1 CE.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Jordi Turull i Negre.</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veintidós de abril de dos mil veintiuno.</w:t>
      </w:r>
    </w:p>
    <w:p w:rsidR="005728DD" w:rsidRDefault="005728DD" w:rsidP="005728DD">
      <w:pPr>
        <w:pStyle w:val="ParrafoNormal"/>
      </w:pPr>
    </w:p>
    <w:p w:rsidR="005728DD" w:rsidRDefault="005728DD" w:rsidP="005728DD">
      <w:pPr>
        <w:pStyle w:val="TextoNormalNegritaCentrado"/>
        <w:keepNext/>
      </w:pPr>
      <w:r>
        <w:t>Voto particular que formulan el magistrado don Juan Antonio Xiol Ríos y la magistrada doña María Luisa Balaguer Callejón respecto de la sentencia pronunciada en el recurso de amparo avocado núm. 1403-2020</w:t>
      </w:r>
    </w:p>
    <w:p w:rsidR="005728DD" w:rsidRDefault="005728DD" w:rsidP="005728DD">
      <w:pPr>
        <w:pStyle w:val="TextoNormalNegritaCentrado"/>
        <w:keepNext/>
      </w:pPr>
    </w:p>
    <w:p w:rsidR="005728DD" w:rsidRDefault="005728DD" w:rsidP="005728DD">
      <w:pPr>
        <w:pStyle w:val="TextoNormal"/>
      </w:pPr>
      <w:r>
        <w:t>Con el máximo respeto a nuestros compañeros de Pleno, manifestamos nuestra discrepancia con parte de la fundamentación jurídica y con el fallo de la sentencia, que consideramos que debería haber sido estimatorio por vulneración del derecho a la legalidad sancionadora (art. 25.1 CE), en relación con los derechos a la libertad personal (art. 17.1 CE), a la libertad ideológica (art. 16 CE) y de reunión (art. 21 CE), por haberse impuesto una pena desproporcionada. Ello no obstante,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pero sí se expresa con la intención de poner de manifiesto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Una visión del principio de legalidad que encuentra su articulación óptima en la preservación del Estado de Derecho.</w:t>
      </w:r>
    </w:p>
    <w:p w:rsidR="005728DD" w:rsidRDefault="005728DD" w:rsidP="005728DD">
      <w:pPr>
        <w:pStyle w:val="TextoNormal"/>
      </w:pPr>
    </w:p>
    <w:p w:rsidR="005728DD" w:rsidRDefault="005728DD" w:rsidP="005728DD">
      <w:pPr>
        <w:pStyle w:val="TextoNormal"/>
      </w:pPr>
      <w:r>
        <w:t>1. Han sido muy diversos los derechos fundamentales invocados por el recurrente respecto del procedimiento penal desarrollado ante la Sala de lo Penal del Tribunal Supremo que ha culminado con su condena a doce años de prisión y otros tantos de inhabilitación absoluta por la comisión de un delito de sedición de los arts. 544 y 545.1 CP en concurso medial del art. 73.2 CP con un delito de malversación de caudales públicos del art. 432.1 y 3 CP. Nuestro principal desacuerdo con la posición mayoritaria en la que se sustenta la sentencia radica en lo que consideramos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consideramos una visión más flexible del principio de legalidad penal. Flexibilidad que, a su vez, asociamos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005728DD" w:rsidRDefault="005728DD" w:rsidP="005728DD">
      <w:pPr>
        <w:pStyle w:val="TextoNormal"/>
      </w:pPr>
    </w:p>
    <w:p w:rsidR="005728DD" w:rsidRDefault="005728DD" w:rsidP="005728DD">
      <w:pPr>
        <w:pStyle w:val="TextoNormal"/>
      </w:pPr>
      <w:r>
        <w:lastRenderedPageBreak/>
        <w:t>Un análisis alternativo, que nosotros consideramos de mayor corrección constitucional y más respetuoso con el actual estándar en el derecho nacional y europeo de los derechos humanos, hubiera debido desembocar, tal como sostuvimos en la deliberación, en una sentencia estimatoria. Esta sentencia, sin negar la eventual relevancia penal de la conducta enjuiciada, hubiera debido acordar la necesidad de una cuantificación de la pena acorde con el principio de proporcionalidad penal en atención a la gravedad de la conducta enjuiciada y a su vinculación con el contexto del ejercicio de derechos fundamentales sustantivos.</w:t>
      </w:r>
    </w:p>
    <w:p w:rsidR="005728DD" w:rsidRDefault="005728DD" w:rsidP="005728DD">
      <w:pPr>
        <w:pStyle w:val="TextoNormal"/>
      </w:pPr>
    </w:p>
    <w:p w:rsidR="005728DD" w:rsidRDefault="005728DD" w:rsidP="005728DD">
      <w:pPr>
        <w:pStyle w:val="TextoNormal"/>
      </w:pPr>
      <w:r>
        <w:t>2. El proceso argumental que nos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con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005728DD" w:rsidRDefault="005728DD" w:rsidP="005728DD">
      <w:pPr>
        <w:pStyle w:val="TextoNormal"/>
      </w:pPr>
    </w:p>
    <w:p w:rsidR="005728DD" w:rsidRDefault="005728DD" w:rsidP="005728DD">
      <w:pPr>
        <w:pStyle w:val="TextoNormal"/>
      </w:pPr>
      <w:r w:rsidRPr="005728DD">
        <w:rPr>
          <w:i/>
        </w:rPr>
        <w:t>I. Sobre el cumplimiento del principio de taxatividad en la configuración legal del delito de sedición</w:t>
      </w:r>
    </w:p>
    <w:p w:rsidR="005728DD" w:rsidRDefault="005728DD" w:rsidP="005728DD">
      <w:pPr>
        <w:pStyle w:val="TextoNormal"/>
      </w:pPr>
    </w:p>
    <w:p w:rsidR="005728DD" w:rsidRDefault="005728DD" w:rsidP="005728DD">
      <w:pPr>
        <w:pStyle w:val="TextoNormal"/>
      </w:pPr>
      <w:r>
        <w:t>3. El recurrente fundamentó una de las invocaciones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el ciudadano, quien no podría, en consecuencia, ordenar su comportamiento con la previsibilidad necesaria para no incurrir en una conducta delictiva. Esta invocación ha sido rechazada por la posición mayoritaria en la que se sustenta la sentencia argumentando que la conducta sancionada resulta reconocible con un razonable grado de claridad.</w:t>
      </w:r>
    </w:p>
    <w:p w:rsidR="005728DD" w:rsidRDefault="005728DD" w:rsidP="005728DD">
      <w:pPr>
        <w:pStyle w:val="TextoNormal"/>
      </w:pPr>
    </w:p>
    <w:p w:rsidR="005728DD" w:rsidRDefault="005728DD" w:rsidP="005728DD">
      <w:pPr>
        <w:pStyle w:val="TextoNormal"/>
      </w:pPr>
      <w:r>
        <w:t xml:space="preserve">4. En términos generales estamos de acuerdo con esta conclusión. Pero, tal y como pone de manifiesto parte de la doctrina penalista, la solución no era clara ni inequívoca desde el principio. Esta falta de certeza, sobre la que reflexiona y resuelve en extenso la sentencia de la mayoría, con una argumentación sumamente lógica, es un punto determinante para la posterior aplicación del principio de proporcionalidad. Es decir, sin discrepar de la subsunción ni los argumentos de la mayoría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w:t>
      </w:r>
      <w:r>
        <w:lastRenderedPageBreak/>
        <w:t>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005728DD" w:rsidRDefault="005728DD" w:rsidP="005728DD">
      <w:pPr>
        <w:pStyle w:val="TextoNormal"/>
      </w:pPr>
    </w:p>
    <w:p w:rsidR="005728DD" w:rsidRDefault="005728DD" w:rsidP="005728DD">
      <w:pPr>
        <w:pStyle w:val="TextoNormal"/>
      </w:pPr>
      <w:r>
        <w:t>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o, como lo describe la posición mayoritaria en la que se sustenta la sentencia, una posición subsidiaria.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005728DD" w:rsidRDefault="005728DD" w:rsidP="005728DD">
      <w:pPr>
        <w:pStyle w:val="TextoNormal"/>
      </w:pPr>
    </w:p>
    <w:p w:rsidR="005728DD" w:rsidRDefault="005728DD" w:rsidP="005728DD">
      <w:pPr>
        <w:pStyle w:val="TextoNormal"/>
      </w:pPr>
      <w:r>
        <w:t>Esta relativa indeterminación del delito de sedición parece que resulta difícilmente rebatible. A esos efectos, cabe destacar que el Ministerio Fiscal ante el Tribunal Constitucional, al afirmar que “el déficit de taxatividad que imputa al tipo penal de sedición del art. 544 CP, queda conjurado por la propia interpretación que de los términos a los que atribuye la indeterminación han sido precisados por el propio Tribunal Supremo ”, viene a reconocer implícitamente que la selección legislativa de los elementos configuradores a través de los cuales se ha descrito la conducta sancionada en el delito de sedición implica una situación deficitaria en términos de certeza o previsibilidad de la reacción penal necesitada del complemento de la jurisprudencia. Lo mismo cabe decir respecto de la posición mayoritaria en la que se sustenta la sentencia y las propias resoluciones judiciales impugnadas en que también se afirma que las objeciones de taxatividad, en línea con la jurisprudencia del Tribunal Europeo de Derechos Humanos  en la materia, quedan enervadas a partir de la labor de interpretación jurisprudencial.</w:t>
      </w:r>
    </w:p>
    <w:p w:rsidR="005728DD" w:rsidRDefault="005728DD" w:rsidP="005728DD">
      <w:pPr>
        <w:pStyle w:val="TextoNormal"/>
      </w:pPr>
    </w:p>
    <w:p w:rsidR="005728DD" w:rsidRDefault="005728DD" w:rsidP="005728DD">
      <w:pPr>
        <w:pStyle w:val="TextoNormal"/>
      </w:pPr>
      <w:r>
        <w:t>La labor interpretativa complementaria de la jurisprudencia para dar el debido cumplimiento de la garantía de certeza se ve limitada en este caso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B).4.4]. La misma consideración podría hacerse de las SSTS de 3 de julio de 1991 y 11 de marzo de 1994, que también en aplicación de dicho precepto ya derogado confirmaron la absolución por el delito de sedición.</w:t>
      </w:r>
    </w:p>
    <w:p w:rsidR="005728DD" w:rsidRDefault="005728DD" w:rsidP="005728DD">
      <w:pPr>
        <w:pStyle w:val="TextoNormal"/>
      </w:pPr>
    </w:p>
    <w:p w:rsidR="005728DD" w:rsidRDefault="005728DD" w:rsidP="005728DD">
      <w:pPr>
        <w:pStyle w:val="TextoNormal"/>
      </w:pPr>
      <w:r>
        <w:t xml:space="preserve">5. En conclusión, si bien la configuración legal del delito de sedición supera a nuestro juicio el estándar constitucional establecido por el principio de taxatividad, interesa resaltar, </w:t>
      </w:r>
      <w:r>
        <w:lastRenderedPageBreak/>
        <w:t>por su trascendencia respecto de la aplicación de otras garantías del derecho a la legalidad penal, la presencia de rasgos de relativa incertidumbre para el ciudadano potencial autor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005728DD" w:rsidRDefault="005728DD" w:rsidP="005728DD">
      <w:pPr>
        <w:pStyle w:val="TextoNormal"/>
      </w:pPr>
    </w:p>
    <w:p w:rsidR="005728DD" w:rsidRDefault="005728DD" w:rsidP="005728DD">
      <w:pPr>
        <w:pStyle w:val="TextoNormal"/>
      </w:pPr>
      <w:r w:rsidRPr="005728DD">
        <w:rPr>
          <w:i/>
        </w:rPr>
        <w:t>II. Sobre el cumplimiento del principio de prohibición de interpretación extensiva o analógica en la aplicación judicial del delito de sedición</w:t>
      </w:r>
    </w:p>
    <w:p w:rsidR="005728DD" w:rsidRDefault="005728DD" w:rsidP="005728DD">
      <w:pPr>
        <w:pStyle w:val="TextoNormal"/>
      </w:pPr>
    </w:p>
    <w:p w:rsidR="005728DD" w:rsidRDefault="005728DD" w:rsidP="005728DD">
      <w:pPr>
        <w:pStyle w:val="TextoNormal"/>
      </w:pPr>
      <w:r>
        <w:t>6. El recurrente fundamentó otra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(ii) la propia consideración como sediciosos de los hechos que tuvieron lugar ambos días; y (iii) la ausencia de un propósito de que existiera una actuación de enfrentamiento violento en la jornada del 1 de octubre de 2017.</w:t>
      </w:r>
    </w:p>
    <w:p w:rsidR="005728DD" w:rsidRDefault="005728DD" w:rsidP="005728DD">
      <w:pPr>
        <w:pStyle w:val="TextoNormal"/>
      </w:pPr>
    </w:p>
    <w:p w:rsidR="005728DD" w:rsidRDefault="005728DD" w:rsidP="005728DD">
      <w:pPr>
        <w:pStyle w:val="TextoNormal"/>
      </w:pPr>
      <w:r>
        <w:t>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005728DD" w:rsidRDefault="005728DD" w:rsidP="005728DD">
      <w:pPr>
        <w:pStyle w:val="TextoNormal"/>
      </w:pPr>
    </w:p>
    <w:p w:rsidR="005728DD" w:rsidRDefault="005728DD" w:rsidP="005728DD">
      <w:pPr>
        <w:pStyle w:val="TextoNormal"/>
      </w:pPr>
      <w:r>
        <w:t>En concreto, respecto de la consideración del recurrente como autor de un delito de sedición, se afirma que, si bien no existe un juicio singularizado de autoría que le vincule con los incidentes del 20 de septiembre de 2017, en la resolución judicial impugnada se establece que su responsabilidad se deriva de que, en su condición de miembro del Govern, su conducta de propiciar la derogación de hecho de leyes vigentes y válidas para sustituirlas por otras no válidas y la movilización de ciudadanos para comportamientos tumultuarios obstativos de la ejecución de órdenes jurisdiccionales, le resulta objetivamente imputable como miembro del colectivo, en cuanto garante de la indemnidad del bien jurídico protegido por el delito de sedición.</w:t>
      </w:r>
    </w:p>
    <w:p w:rsidR="005728DD" w:rsidRDefault="005728DD" w:rsidP="005728DD">
      <w:pPr>
        <w:pStyle w:val="TextoNormal"/>
      </w:pPr>
    </w:p>
    <w:p w:rsidR="005728DD" w:rsidRDefault="005728DD" w:rsidP="005728DD">
      <w:pPr>
        <w:pStyle w:val="TextoNormal"/>
      </w:pPr>
      <w:r>
        <w:t xml:space="preserve">Por su parte, respecto de la consideración como sediciosos de los hechos acontecidos, se reproducen los argumentos utilizados en el auto impugnado del Tribunal Supremo desestimatorio del incidente de nulidad de actuaciones, entre los que se puede destacar que (i) para satisfacer las exigencias del tipo penal de sedición es suficiente el “extravío —actuar fuera de las vías legales—, del procedimiento ordenado a los ilícitos e inconstitucionales objetivos”; y (ii) la interpretación del tipo no criminaliza como sedición supuestos de actos colectivos de ciudadanos intentando el incumplimiento de órdenes judiciales, cuya acotada dimensión en modo alguno pone en cuestión el Estado democrático, sino que lo juzgado era </w:t>
      </w:r>
      <w:r>
        <w:lastRenderedPageBreak/>
        <w:t>“que al extravío del procedimiento seguido se une el ataque y consiguiente efectivo riesgo para el modo democrático de convivencia que se quisieron dar todos los ciudadanos españoles, incluidos los de la comunidad en que se integran los movilizados”.</w:t>
      </w:r>
    </w:p>
    <w:p w:rsidR="005728DD" w:rsidRDefault="005728DD" w:rsidP="005728DD">
      <w:pPr>
        <w:pStyle w:val="TextoNormal"/>
      </w:pPr>
    </w:p>
    <w:p w:rsidR="005728DD" w:rsidRDefault="005728DD" w:rsidP="005728DD">
      <w:pPr>
        <w:pStyle w:val="TextoNormal"/>
      </w:pPr>
      <w:r>
        <w:t>Por último, en relación con la relevancia de las llamadas a actitudes pacíficas del recurrente, la posición mayoritaria en la que se sustenta la sentencia también incide en que, si bien en la sentencia impugnada se reconoce el valor positivo de las llamadas a la calma, a la serenidad y al civismo por parte del demandante, dicha resolución también descarta que puedan tener un significado excluyente de la antijuridicidad o de la culpabilidad respecto de una conducta que estuvo siempre tendencialmente ordenada a hacer realidad un referéndum judicialmente prohibido.</w:t>
      </w:r>
    </w:p>
    <w:p w:rsidR="005728DD" w:rsidRDefault="005728DD" w:rsidP="005728DD">
      <w:pPr>
        <w:pStyle w:val="TextoNormal"/>
      </w:pPr>
    </w:p>
    <w:p w:rsidR="005728DD" w:rsidRDefault="005728DD" w:rsidP="005728DD">
      <w:pPr>
        <w:pStyle w:val="TextoNormal"/>
      </w:pPr>
      <w:r>
        <w:t>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w:t>
      </w:r>
    </w:p>
    <w:p w:rsidR="005728DD" w:rsidRDefault="005728DD" w:rsidP="005728DD">
      <w:pPr>
        <w:pStyle w:val="TextoNormal"/>
      </w:pPr>
    </w:p>
    <w:p w:rsidR="005728DD" w:rsidRDefault="005728DD" w:rsidP="005728DD">
      <w:pPr>
        <w:pStyle w:val="TextoNormal"/>
      </w:pPr>
      <w:r>
        <w:t>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 Estas dudas son más relevantes si cabe en lo que respecta al recurrente en tanto que las propias resoluciones impugnadas reconocen, por un lado, su incorporación tardía al Govern —julio de 2017— y, por otro, afirman que esto no era un obstáculo en atención a la categoría dogmática de la autoría por adhesión o autoría sucesiva. Esto es, en el caso del recurrente la relación de autoría se constituye judicialmente a partir de la superposición de una supuesta posición de garantía solidaria de todos los miembros del Govern con la idea de una autoría sucesiva al propio diseño de la concertación de voluntades, lo que determina una seria debilitación de la previsibilidad de la relación de autoría por este delito.</w:t>
      </w:r>
    </w:p>
    <w:p w:rsidR="005728DD" w:rsidRDefault="005728DD" w:rsidP="005728DD">
      <w:pPr>
        <w:pStyle w:val="TextoNormal"/>
      </w:pPr>
    </w:p>
    <w:p w:rsidR="005728DD" w:rsidRDefault="005728DD" w:rsidP="005728DD">
      <w:pPr>
        <w:pStyle w:val="TextoNormal"/>
      </w:pPr>
      <w:r>
        <w:t>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005728DD" w:rsidRDefault="005728DD" w:rsidP="005728DD">
      <w:pPr>
        <w:pStyle w:val="TextoNormal"/>
      </w:pPr>
    </w:p>
    <w:p w:rsidR="005728DD" w:rsidRDefault="005728DD" w:rsidP="005728DD">
      <w:pPr>
        <w:pStyle w:val="TextoNormal"/>
      </w:pPr>
      <w:r>
        <w:t xml:space="preserve">Por otra parte, si en los términos exigidos por el órgano judicial, el delito de sedición no criminaliza meros actos colectivos de ciudadanos intentando el incumplimiento de órdenes </w:t>
      </w:r>
      <w:r>
        <w:lastRenderedPageBreak/>
        <w:t>judiciales, sino “el ataque y consiguiente efectivo riesgo para el modo democrático de convivencia que se quisieron dar todos los ciudadanos españoles”,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reconocen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005728DD" w:rsidRDefault="005728DD" w:rsidP="005728DD">
      <w:pPr>
        <w:pStyle w:val="TextoNormal"/>
      </w:pPr>
    </w:p>
    <w:p w:rsidR="005728DD" w:rsidRDefault="005728DD" w:rsidP="005728DD">
      <w:pPr>
        <w:pStyle w:val="TextoNormal"/>
      </w:pPr>
      <w:r>
        <w:t>Por último, también genera dudas consistentes el hecho de que la reconocida existencia de los llamamientos de, entre otros, el recurrente a que cualquier acto público se desarrollara sin elementos de violencia o enfrentamiento se considere absolutamente irrelevante en el contexto de enjuiciamiento del delito de sedición. De hecho, la resolución judicial impugnada lo que afirma es que esa actitud proactiva en favor de un desarrollo pacífico de cualquier manifestación pública no puede tener un significado “excluyente” de la antijuridicidad o de la culpabilidad, pero eso no prejuzga que pudiera tener una significación “atenuadora” o que fuera irrelevante en términos de cuantificación de la pena.</w:t>
      </w:r>
    </w:p>
    <w:p w:rsidR="005728DD" w:rsidRDefault="005728DD" w:rsidP="005728DD">
      <w:pPr>
        <w:pStyle w:val="TextoNormal"/>
      </w:pPr>
    </w:p>
    <w:p w:rsidR="005728DD" w:rsidRDefault="005728DD" w:rsidP="005728DD">
      <w:pPr>
        <w:pStyle w:val="TextoNormal"/>
      </w:pPr>
      <w:r>
        <w:t xml:space="preserve">8. Estas valoraciones no permiten descartar </w:t>
      </w:r>
      <w:r w:rsidRPr="005728DD">
        <w:rPr>
          <w:i/>
        </w:rPr>
        <w:t>a priori</w:t>
      </w:r>
      <w:r>
        <w:t xml:space="preserve">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005728DD" w:rsidRDefault="005728DD" w:rsidP="005728DD">
      <w:pPr>
        <w:pStyle w:val="TextoNormal"/>
      </w:pPr>
    </w:p>
    <w:p w:rsidR="005728DD" w:rsidRDefault="005728DD" w:rsidP="005728DD">
      <w:pPr>
        <w:pStyle w:val="TextoNormal"/>
      </w:pPr>
      <w:r>
        <w:t xml:space="preserve">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(iv) desde la perspectiva de la autoría, se haya interpretado y considerado concurrente la responsabilidad penal del recurrente a partir no de su participación directa y singular en los hechos declarados sediciosos, sino a partir de una </w:t>
      </w:r>
      <w:r>
        <w:lastRenderedPageBreak/>
        <w:t>genérica posición de garante por formar parte del Consejo de Gobierno de la Generalidad que además era adhesiva por su tardía incorporación a dicho consejo; y (v) desde la perspectiva subjetiva, no se haya ponderado suficientemente la insistencia del recurrente en reiterados llamamientos a que los actos cívicos multitudinarios se desarrollaran de manera pacífica.</w:t>
      </w:r>
    </w:p>
    <w:p w:rsidR="005728DD" w:rsidRDefault="005728DD" w:rsidP="005728DD">
      <w:pPr>
        <w:pStyle w:val="TextoNormal"/>
      </w:pPr>
    </w:p>
    <w:p w:rsidR="005728DD" w:rsidRDefault="005728DD" w:rsidP="005728DD">
      <w:pPr>
        <w:pStyle w:val="TextoNormal"/>
      </w:pPr>
      <w:r>
        <w:t>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al recurrente en virtud de unos hechos y participación en ellos que se sitúan en lo que se podría considerar el umbral mínimo de tipicidad del delito de sedición en atención a los medios comisivos utilizados, las conductas desarrolladas, la afectación al orden público, el grado de participación y la actitud proactiva en favor de que toda la movilización fuera pacífica.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005728DD" w:rsidRDefault="005728DD" w:rsidP="005728DD">
      <w:pPr>
        <w:pStyle w:val="TextoNormal"/>
      </w:pPr>
    </w:p>
    <w:p w:rsidR="005728DD" w:rsidRDefault="005728DD" w:rsidP="005728DD">
      <w:pPr>
        <w:pStyle w:val="TextoNormal"/>
      </w:pPr>
      <w:r w:rsidRPr="005728DD">
        <w:rPr>
          <w:i/>
        </w:rPr>
        <w:t>III. Sobre el cumplimiento del principio de proporcionalidad penal en la configuración penal del delito de sedición</w:t>
      </w:r>
    </w:p>
    <w:p w:rsidR="005728DD" w:rsidRDefault="005728DD" w:rsidP="005728DD">
      <w:pPr>
        <w:pStyle w:val="TextoNormal"/>
      </w:pPr>
    </w:p>
    <w:p w:rsidR="005728DD" w:rsidRDefault="005728DD" w:rsidP="005728DD">
      <w:pPr>
        <w:pStyle w:val="TextoNormal"/>
      </w:pPr>
      <w:r>
        <w:t>9. El recurrente, de manera conjunta con la invocación del principio de taxatividad por la falta de certeza de los elementos del delito de sedición, incluyó una directa referencia a la eventual vulneración del principio de proporcionalidad penal en la configuración legal de este delito, al alegar que el delito de sedición (i) se sanciona con unas penas privativas de libertad elevadas y (ii) la conducta tipificada puede implicar una restricción de los derechos de reunión pacífica, libertad de expresión y libertad ideológica, provocando con ello un efecto desincentivador de tales derechos.</w:t>
      </w:r>
    </w:p>
    <w:p w:rsidR="005728DD" w:rsidRDefault="005728DD" w:rsidP="005728DD">
      <w:pPr>
        <w:pStyle w:val="TextoNormal"/>
      </w:pPr>
    </w:p>
    <w:p w:rsidR="005728DD" w:rsidRDefault="005728DD" w:rsidP="005728DD">
      <w:pPr>
        <w:pStyle w:val="TextoNormal"/>
      </w:pPr>
      <w:r>
        <w:t>La posición mayoritaria en la que se sustenta la sentencia, en respuesta a esta invocación, incluye una transcripción del fundamento jurídico 23 de la STC 136/1999, de 20 de julio (asunto mesa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manifiestamente suficientes medios alternativos; y (c) si el precepto es desproporcionado desde la perspectiva de la comparación entre la entidad del delito y la entidad de la pena.</w:t>
      </w:r>
    </w:p>
    <w:p w:rsidR="005728DD" w:rsidRDefault="005728DD" w:rsidP="005728DD">
      <w:pPr>
        <w:pStyle w:val="TextoNormal"/>
      </w:pPr>
    </w:p>
    <w:p w:rsidR="005728DD" w:rsidRDefault="005728DD" w:rsidP="005728DD">
      <w:pPr>
        <w:pStyle w:val="TextoNormal"/>
      </w:pPr>
      <w:r>
        <w:t xml:space="preserve">A partir de ello se aborda la resolución de esta invocación concentrando toda la argumentación en destacar que el delito de sedición no supone una restricción de los derechos fundamentales de reunión y libertades de expresión e ideológica, puesto que no castiga la </w:t>
      </w:r>
      <w:r>
        <w:lastRenderedPageBreak/>
        <w:t>movilización masiva de personas, cuyo propósito consista en exteriorizar de manera pacífica una protesta, ya que exige que se conduzca, al menos, por vías extralegales y que, con ello, se persiga algunas de las finalidades netamente contrarias al funcionamiento medular del Estado de Derecho que el precepto detalla, por lo que se delimitan medios y fines cuya sanción no afecta al ejercicio legítimo de ningún derecho fundamental reconocido por la Carta Magna, lo que excluye su lesión o un eventual efecto desaliento en su ejercicio.</w:t>
      </w:r>
    </w:p>
    <w:p w:rsidR="005728DD" w:rsidRDefault="005728DD" w:rsidP="005728DD">
      <w:pPr>
        <w:pStyle w:val="TextoNormal"/>
      </w:pPr>
    </w:p>
    <w:p w:rsidR="005728DD" w:rsidRDefault="005728DD" w:rsidP="005728DD">
      <w:pPr>
        <w:pStyle w:val="TextoNormal"/>
      </w:pPr>
      <w:r>
        <w:t>Al margen de la ausencia de una respuesta expresa a la concreta invocación de la ausencia de proporcionalidad de la pena prevista en el delito de sedición —que solo podría entenderse implícita en el resumen jurisprudencial que se hace de la citada STC 136/1999—, existen tres aspectos que a nuestro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136/1997 como precedente más relevante para la resolución de la invocación; y (iii) el tratamiento del principio de proporcionalidad penal en la jurisprudencia del Tribunal Europeo de Derechos Humanos  y Tribunal de Justicia de la Unión Europea.</w:t>
      </w:r>
    </w:p>
    <w:p w:rsidR="005728DD" w:rsidRDefault="005728DD" w:rsidP="005728DD">
      <w:pPr>
        <w:pStyle w:val="TextoNormal"/>
      </w:pPr>
    </w:p>
    <w:p w:rsidR="005728DD" w:rsidRDefault="005728DD" w:rsidP="005728DD">
      <w:pPr>
        <w:pStyle w:val="TextoNormal"/>
      </w:pPr>
      <w:r>
        <w:t>10.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005728DD" w:rsidRDefault="005728DD" w:rsidP="005728DD">
      <w:pPr>
        <w:pStyle w:val="TextoNormal"/>
      </w:pPr>
    </w:p>
    <w:p w:rsidR="005728DD" w:rsidRDefault="005728DD" w:rsidP="005728DD">
      <w:pPr>
        <w:pStyle w:val="TextoNormal"/>
      </w:pPr>
      <w:r>
        <w:t>(i)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005728DD" w:rsidRDefault="005728DD" w:rsidP="005728DD">
      <w:pPr>
        <w:pStyle w:val="TextoNormal"/>
      </w:pPr>
    </w:p>
    <w:p w:rsidR="005728DD" w:rsidRDefault="005728DD" w:rsidP="005728DD">
      <w:pPr>
        <w:pStyle w:val="TextoNormal"/>
      </w:pPr>
      <w:r>
        <w:t>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005728DD" w:rsidRDefault="005728DD" w:rsidP="005728DD">
      <w:pPr>
        <w:pStyle w:val="TextoNormal"/>
      </w:pPr>
    </w:p>
    <w:p w:rsidR="005728DD" w:rsidRDefault="005728DD" w:rsidP="005728DD">
      <w:pPr>
        <w:pStyle w:val="TextoNormal"/>
      </w:pPr>
      <w:r>
        <w:t>Esta corriente es la que se ha asentado en relación con las invocaciones del principio de proporcionalidad sancionadora en el ámbito del derecho administrativo sancionador [así, por ejemplo, ATC 145/2015, de 10 de septiembre, FJ 4, o STC 13/2021, de 28 de enero, FJ 5 b)], sin duda por la imposibilidad de que en estos casos exista una vinculación de la proporcionalidad penal con una eventual limitación del derecho a la privación de libertad.</w:t>
      </w:r>
    </w:p>
    <w:p w:rsidR="005728DD" w:rsidRDefault="005728DD" w:rsidP="005728DD">
      <w:pPr>
        <w:pStyle w:val="TextoNormal"/>
      </w:pPr>
    </w:p>
    <w:p w:rsidR="005728DD" w:rsidRDefault="005728DD" w:rsidP="005728DD">
      <w:pPr>
        <w:pStyle w:val="TextoNormal"/>
      </w:pPr>
      <w:r>
        <w:t>(ii)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005728DD" w:rsidRDefault="005728DD" w:rsidP="005728DD">
      <w:pPr>
        <w:pStyle w:val="TextoNormal"/>
      </w:pPr>
    </w:p>
    <w:p w:rsidR="005728DD" w:rsidRDefault="005728DD" w:rsidP="005728DD">
      <w:pPr>
        <w:pStyle w:val="TextoNormal"/>
      </w:pPr>
      <w:r>
        <w:t>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005728DD" w:rsidRDefault="005728DD" w:rsidP="005728DD">
      <w:pPr>
        <w:pStyle w:val="TextoNormal"/>
      </w:pPr>
    </w:p>
    <w:p w:rsidR="005728DD" w:rsidRDefault="005728DD" w:rsidP="005728DD">
      <w:pPr>
        <w:pStyle w:val="TextoNormal"/>
      </w:pPr>
      <w:r>
        <w:t>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005728DD" w:rsidRDefault="005728DD" w:rsidP="005728DD">
      <w:pPr>
        <w:pStyle w:val="TextoNormal"/>
      </w:pPr>
    </w:p>
    <w:p w:rsidR="005728DD" w:rsidRDefault="005728DD" w:rsidP="005728DD">
      <w:pPr>
        <w:pStyle w:val="TextoNormal"/>
      </w:pPr>
      <w:r>
        <w:t xml:space="preserve">Esta posición jurisprudencial tuvo una inmediata proyección en la STC 136/1999, de 20 de julio, que es el único supuesto en que hasta ahora se ha estimado un recurso de amparo por vulneración del principio de proporcionalidad penal en la configuración legislativa de </w:t>
      </w:r>
      <w:r>
        <w:lastRenderedPageBreak/>
        <w:t>un tipo penal, y fue seguida posteriormente en el análisis de constitucionalidad de las invocaciones de falta de proporcionalidad penal en relación con los diversos delitos de violencia de género (así, por ejemplo, AATC 233/2004, de 7 de junio, y 332/2005, de 13 de septiembre; o SSTC 99/2008, de 24 de julio; 45/2009, de 19 de febrero; 127/2009, de 26 de mayo, o 60/2010, de 7 de octubre).</w:t>
      </w:r>
    </w:p>
    <w:p w:rsidR="005728DD" w:rsidRDefault="005728DD" w:rsidP="005728DD">
      <w:pPr>
        <w:pStyle w:val="TextoNormal"/>
      </w:pPr>
    </w:p>
    <w:p w:rsidR="005728DD" w:rsidRDefault="005728DD" w:rsidP="005728DD">
      <w:pPr>
        <w:pStyle w:val="TextoNormal"/>
      </w:pPr>
      <w:r>
        <w:t>11. En los términos ya mencionados, el análisis que se hace por parte de la posición mayoritaria de la STC 136/1999 a nuestro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005728DD" w:rsidRDefault="005728DD" w:rsidP="005728DD">
      <w:pPr>
        <w:pStyle w:val="TextoNormal"/>
      </w:pPr>
    </w:p>
    <w:p w:rsidR="005728DD" w:rsidRDefault="005728DD" w:rsidP="005728DD">
      <w:pPr>
        <w:pStyle w:val="TextoNormal"/>
      </w:pPr>
      <w:r>
        <w:t>(i)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005728DD" w:rsidRDefault="005728DD" w:rsidP="005728DD">
      <w:pPr>
        <w:pStyle w:val="TextoNormal"/>
      </w:pPr>
    </w:p>
    <w:p w:rsidR="005728DD" w:rsidRDefault="005728DD" w:rsidP="005728DD">
      <w:pPr>
        <w:pStyle w:val="TextoNormal"/>
      </w:pPr>
      <w:r>
        <w:t>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005728DD" w:rsidRDefault="005728DD" w:rsidP="005728DD">
      <w:pPr>
        <w:pStyle w:val="TextoNormal"/>
      </w:pPr>
    </w:p>
    <w:p w:rsidR="005728DD" w:rsidRDefault="005728DD" w:rsidP="005728DD">
      <w:pPr>
        <w:pStyle w:val="TextoNormal"/>
      </w:pPr>
      <w:r>
        <w:t xml:space="preserve">(ii)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w:t>
      </w:r>
      <w:r>
        <w:lastRenderedPageBreak/>
        <w:t>taxatividad, sí use conceptos indeterminados que generen más incertidumbre; y (c) es precisa algún tipo de previsión legal que permita atemperar la sanción penal para adecuar su cuantificación a este tipo de supuestos.</w:t>
      </w:r>
    </w:p>
    <w:p w:rsidR="005728DD" w:rsidRDefault="005728DD" w:rsidP="005728DD">
      <w:pPr>
        <w:pStyle w:val="TextoNormal"/>
      </w:pPr>
    </w:p>
    <w:p w:rsidR="005728DD" w:rsidRDefault="005728DD" w:rsidP="005728DD">
      <w:pPr>
        <w:pStyle w:val="TextoNormal"/>
      </w:pPr>
      <w:r>
        <w:t>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005728DD" w:rsidRDefault="005728DD" w:rsidP="005728DD">
      <w:pPr>
        <w:pStyle w:val="TextoNormal"/>
      </w:pPr>
    </w:p>
    <w:p w:rsidR="005728DD" w:rsidRDefault="005728DD" w:rsidP="005728DD">
      <w:pPr>
        <w:pStyle w:val="TextoNormal"/>
      </w:pPr>
      <w:r>
        <w:t>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005728DD" w:rsidRDefault="005728DD" w:rsidP="005728DD">
      <w:pPr>
        <w:pStyle w:val="TextoNormal"/>
      </w:pPr>
    </w:p>
    <w:p w:rsidR="005728DD" w:rsidRDefault="005728DD" w:rsidP="005728DD">
      <w:pPr>
        <w:pStyle w:val="TextoNormal"/>
      </w:pPr>
      <w:r>
        <w:t>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005728DD" w:rsidRDefault="005728DD" w:rsidP="005728DD">
      <w:pPr>
        <w:pStyle w:val="TextoNormal"/>
      </w:pPr>
    </w:p>
    <w:p w:rsidR="005728DD" w:rsidRDefault="005728DD" w:rsidP="005728DD">
      <w:pPr>
        <w:pStyle w:val="TextoNormal"/>
      </w:pPr>
      <w:r>
        <w:t>12. Un último aspecto de la mayor utilidad en la resolución de la invocación del principio de proporcionalidad penal en la configuración legislativa del delito de sedición hubiera sido profundizar en la jurisprudencia del Tribunal Europeo de Derechos Humanos y del Tribunal de Justicia de la Unión Europea sobre esta materia.</w:t>
      </w:r>
    </w:p>
    <w:p w:rsidR="005728DD" w:rsidRDefault="005728DD" w:rsidP="005728DD">
      <w:pPr>
        <w:pStyle w:val="TextoNormal"/>
      </w:pPr>
    </w:p>
    <w:p w:rsidR="005728DD" w:rsidRDefault="005728DD" w:rsidP="005728DD">
      <w:pPr>
        <w:pStyle w:val="TextoNormal"/>
      </w:pPr>
      <w:r>
        <w:lastRenderedPageBreak/>
        <w:t xml:space="preserve">La jurisprudencia del Tribunal Europeo de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w:t>
      </w:r>
      <w:r w:rsidRPr="005728DD">
        <w:rPr>
          <w:i/>
        </w:rPr>
        <w:t>as. Vinter y otros c. Reino Unido</w:t>
      </w:r>
      <w:r>
        <w:t xml:space="preserve">, ap. 105). (ii) Solo cuando la sanción fuera extremadamente desproporcionada, podría entrar en juego, en su caso, la prohibición de penas inhumanas del art. 3 CEDH (así, STEDH de 9 de julio de 2013, asunto </w:t>
      </w:r>
      <w:r w:rsidRPr="005728DD">
        <w:rPr>
          <w:i/>
        </w:rPr>
        <w:t>Vinter y otros c. Reino Unido</w:t>
      </w:r>
      <w:r>
        <w:t>, §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CEDH.</w:t>
      </w:r>
    </w:p>
    <w:p w:rsidR="005728DD" w:rsidRDefault="005728DD" w:rsidP="005728DD">
      <w:pPr>
        <w:pStyle w:val="TextoNormal"/>
      </w:pPr>
    </w:p>
    <w:p w:rsidR="005728DD" w:rsidRDefault="005728DD" w:rsidP="005728DD">
      <w:pPr>
        <w:pStyle w:val="TextoNormal"/>
      </w:pPr>
      <w:r>
        <w:t xml:space="preserve">Respecto de esto último, lo más significativo de la jurisprudencia del Tribunal Europeo de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w:t>
      </w:r>
      <w:r w:rsidRPr="005728DD">
        <w:rPr>
          <w:i/>
        </w:rPr>
        <w:t>Dudgeon c. Reino Unido</w:t>
      </w:r>
      <w:r>
        <w:t xml:space="preserve">; o 26 de octubre de 1988, asunto </w:t>
      </w:r>
      <w:r w:rsidRPr="005728DD">
        <w:rPr>
          <w:i/>
        </w:rPr>
        <w:t>Norris c. Irlanda</w:t>
      </w:r>
      <w:r>
        <w:t xml:space="preserve">); o de carácter incestuoso (así, STEDH 12 de abril de 2012, asunto </w:t>
      </w:r>
      <w:r w:rsidRPr="005728DD">
        <w:rPr>
          <w:i/>
        </w:rPr>
        <w:t>Stübing c. Alemania</w:t>
      </w:r>
      <w:r>
        <w:t xml:space="preserve">); o, respecto del derecho a la libertad de expresión (art. 10 CEDH) en relación con la sanción de injurias a determinadas instituciones (así, STEDH de 25 de junio de 2002, asunto </w:t>
      </w:r>
      <w:r w:rsidRPr="005728DD">
        <w:rPr>
          <w:i/>
        </w:rPr>
        <w:t>Colombani y otros c. Francia</w:t>
      </w:r>
      <w:r>
        <w:t xml:space="preserve">). Más allá de ello, si la conclusión es que dicha tipificación no vulnera en sí misma el derecho sustantivo concernido, la cuantificación abstracta de la pena no es controlable desde el Tribunal Europeo de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w:t>
      </w:r>
      <w:r w:rsidRPr="005728DD">
        <w:rPr>
          <w:i/>
        </w:rPr>
        <w:t>Otegi Mondragón c. España</w:t>
      </w:r>
      <w:r>
        <w:t>; o de 13 de marzo de 2018, asunt</w:t>
      </w:r>
      <w:r w:rsidRPr="005728DD">
        <w:rPr>
          <w:i/>
        </w:rPr>
        <w:t>o Stern Taulats y Roura Capellera c. Espa</w:t>
      </w:r>
      <w:r>
        <w:t>ña).</w:t>
      </w:r>
    </w:p>
    <w:p w:rsidR="005728DD" w:rsidRDefault="005728DD" w:rsidP="005728DD">
      <w:pPr>
        <w:pStyle w:val="TextoNormal"/>
      </w:pPr>
    </w:p>
    <w:p w:rsidR="005728DD" w:rsidRDefault="005728DD" w:rsidP="005728DD">
      <w:pPr>
        <w:pStyle w:val="TextoNormal"/>
      </w:pPr>
      <w:r>
        <w:t>13.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el recurrente en su demanda. A esos efectos, los aspectos centrales de la jurisprudencia del Tribunal de Justicia de la Unión Europea sobre el particular son las siguientes:</w:t>
      </w:r>
    </w:p>
    <w:p w:rsidR="005728DD" w:rsidRDefault="005728DD" w:rsidP="005728DD">
      <w:pPr>
        <w:pStyle w:val="TextoNormal"/>
      </w:pPr>
    </w:p>
    <w:p w:rsidR="005728DD" w:rsidRDefault="005728DD" w:rsidP="005728DD">
      <w:pPr>
        <w:pStyle w:val="TextoNormal"/>
      </w:pPr>
      <w:r>
        <w:t xml:space="preserve">(i) Se trata de un principio penal autónomo e independiente con sustantividad propia (STJUE de 4 de octubre de 2018, asunto C-384/17, § 40-45), conforme al cual las sanciones previstas en una normativa no deben exceder de lo que resulta necesario para lograr los </w:t>
      </w:r>
      <w:r>
        <w:lastRenderedPageBreak/>
        <w:t>objetivos legítimamente perseguidos por esa normativa y la gravedad de las sanciones deberá adecuarse a la gravedad de las infracciones que castigan, garantizando un efecto realmente disuasorio (SSTJUE de 16 de julio de 2015, asunto C-255/14, § 22-23; y de 11 de febrero de 2021, asunto C-77/20, § 37-38).</w:t>
      </w:r>
    </w:p>
    <w:p w:rsidR="005728DD" w:rsidRDefault="005728DD" w:rsidP="005728DD">
      <w:pPr>
        <w:pStyle w:val="TextoNormal"/>
      </w:pPr>
    </w:p>
    <w:p w:rsidR="005728DD" w:rsidRDefault="005728DD" w:rsidP="005728DD">
      <w:pPr>
        <w:pStyle w:val="TextoNormal"/>
      </w:pPr>
      <w:r>
        <w:t>(ii) La proporcionalidad de una sanción debe valorarse tanto desde la perspectiva del sacrificio que supone la conducta tipificada para los derechos del potencial autor (STJUE de 12 de septiembre de 2019, asunto C-64/18 y acumulados, § 42) como desde la perspectiva de la repercusión de la sanción en el ejercicio de derechos (STJUE de 11 de febrero de 2021, asunto C-77/20, § 54).</w:t>
      </w:r>
    </w:p>
    <w:p w:rsidR="005728DD" w:rsidRDefault="005728DD" w:rsidP="005728DD">
      <w:pPr>
        <w:pStyle w:val="TextoNormal"/>
      </w:pPr>
    </w:p>
    <w:p w:rsidR="005728DD" w:rsidRDefault="005728DD" w:rsidP="005728DD">
      <w:pPr>
        <w:pStyle w:val="TextoNormal"/>
      </w:pPr>
      <w:r>
        <w:t>(iii) La determinación de que una sanción es desproporcionada se vincula también con la posibilidad otorgada por la normativa de aminoraciones de responsabilidad o sustituibilidad de las sanciones (STJUE 12 de septiembre de 2019, asunto C-64/18 y acumulados, § 42-47).</w:t>
      </w:r>
    </w:p>
    <w:p w:rsidR="005728DD" w:rsidRDefault="005728DD" w:rsidP="005728DD">
      <w:pPr>
        <w:pStyle w:val="TextoNormal"/>
      </w:pPr>
    </w:p>
    <w:p w:rsidR="005728DD" w:rsidRDefault="005728DD" w:rsidP="005728DD">
      <w:pPr>
        <w:pStyle w:val="TextoNormal"/>
      </w:pPr>
      <w:r>
        <w:t>(iv) La proporcionalidad penal exige que se individualice el grado de responsabilidad del sujeto cuando actúa en conjunción con otros responsables en atención a su contribución al hecho (STGUE de 15 de julio de 2015, asunto T-418/10, § 411-413).</w:t>
      </w:r>
    </w:p>
    <w:p w:rsidR="005728DD" w:rsidRDefault="005728DD" w:rsidP="005728DD">
      <w:pPr>
        <w:pStyle w:val="TextoNormal"/>
      </w:pPr>
    </w:p>
    <w:p w:rsidR="005728DD" w:rsidRDefault="005728DD" w:rsidP="005728DD">
      <w:pPr>
        <w:pStyle w:val="TextoNormal"/>
      </w:pPr>
      <w:r>
        <w:t>14. Los criterios operativos establecidos en la STC 136/1999 y la jurisprudencia del Tribunal Europeo de Derechos Humanos y Tribunal de Justicia de la Unión Europea determinan que no consideremos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005728DD" w:rsidRDefault="005728DD" w:rsidP="005728DD">
      <w:pPr>
        <w:pStyle w:val="TextoNormal"/>
      </w:pPr>
    </w:p>
    <w:p w:rsidR="005728DD" w:rsidRDefault="005728DD" w:rsidP="005728DD">
      <w:pPr>
        <w:pStyle w:val="TextoNormal"/>
      </w:pPr>
      <w:r>
        <w:t>(i)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el recurrente. Esto no determina, sin embargo, que este tipo penal sea inconstitucional en su actual configuración legislativa, opinión que compartimos con la posición mayoritaria en la que se sustenta la sentencia. No cabe apreciar que, en sí misma considerada, la acción tipificada en el delito de sedición sea siempre y en todo caso una restricción ilegítima de derechos sustantivos sin espacio para la sanción de conducta por completo ajenas ya no solo al núcleo esencial de estos derechos sustantivos sino también a un ejercicio extralimitado que se mueva en su contexto.</w:t>
      </w:r>
    </w:p>
    <w:p w:rsidR="005728DD" w:rsidRDefault="005728DD" w:rsidP="005728DD">
      <w:pPr>
        <w:pStyle w:val="TextoNormal"/>
      </w:pPr>
    </w:p>
    <w:p w:rsidR="005728DD" w:rsidRDefault="005728DD" w:rsidP="005728DD">
      <w:pPr>
        <w:pStyle w:val="TextoNormal"/>
      </w:pPr>
      <w:r>
        <w:t xml:space="preserve">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w:t>
      </w:r>
      <w:r>
        <w:lastRenderedPageBreak/>
        <w:t>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en relación con el derecho a la libertad personal (art. 17.1 CE) y al derecho fundamental sustantivo concernido.</w:t>
      </w:r>
    </w:p>
    <w:p w:rsidR="005728DD" w:rsidRDefault="005728DD" w:rsidP="005728DD">
      <w:pPr>
        <w:pStyle w:val="TextoNormal"/>
      </w:pPr>
    </w:p>
    <w:p w:rsidR="005728DD" w:rsidRDefault="005728DD" w:rsidP="005728DD">
      <w:pPr>
        <w:pStyle w:val="TextoNormal"/>
      </w:pPr>
      <w:r>
        <w:t>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005728DD" w:rsidRDefault="005728DD" w:rsidP="005728DD">
      <w:pPr>
        <w:pStyle w:val="TextoNormal"/>
      </w:pPr>
    </w:p>
    <w:p w:rsidR="005728DD" w:rsidRDefault="005728DD" w:rsidP="005728DD">
      <w:pPr>
        <w:pStyle w:val="TextoNormal"/>
      </w:pPr>
      <w:r>
        <w:t>(ii)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005728DD" w:rsidRDefault="005728DD" w:rsidP="005728DD">
      <w:pPr>
        <w:pStyle w:val="TextoNormal"/>
      </w:pPr>
    </w:p>
    <w:p w:rsidR="005728DD" w:rsidRDefault="005728DD" w:rsidP="005728DD">
      <w:pPr>
        <w:pStyle w:val="TextoNormal"/>
      </w:pPr>
      <w:r>
        <w:t>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005728DD" w:rsidRDefault="005728DD" w:rsidP="005728DD">
      <w:pPr>
        <w:pStyle w:val="TextoNormal"/>
      </w:pPr>
    </w:p>
    <w:p w:rsidR="005728DD" w:rsidRDefault="005728DD" w:rsidP="005728DD">
      <w:pPr>
        <w:pStyle w:val="TextoNormal"/>
      </w:pPr>
      <w:r>
        <w:t>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005728DD" w:rsidRDefault="005728DD" w:rsidP="005728DD">
      <w:pPr>
        <w:pStyle w:val="TextoNormal"/>
      </w:pPr>
    </w:p>
    <w:p w:rsidR="005728DD" w:rsidRDefault="005728DD" w:rsidP="005728DD">
      <w:pPr>
        <w:pStyle w:val="TextoNormal"/>
      </w:pPr>
      <w:r>
        <w:t xml:space="preserve">Llegado el caso, el propio Código penal admite otras formas, atípicas y diferidas, de posible atemperación que se ponen a disposición del órgano judicial como son las previstas </w:t>
      </w:r>
      <w:r>
        <w:lastRenderedPageBreak/>
        <w:t>en el art. 4.3 CP relativas a la posibilidad de que, cuando considere que una pena sea notablemente excesiva, acuda al Gobierno exponiendo lo conveniente sobre la modificación del precepto o la concesión de indulto.</w:t>
      </w:r>
    </w:p>
    <w:p w:rsidR="005728DD" w:rsidRDefault="005728DD" w:rsidP="005728DD">
      <w:pPr>
        <w:pStyle w:val="TextoNormal"/>
      </w:pPr>
    </w:p>
    <w:p w:rsidR="005728DD" w:rsidRPr="005728DD" w:rsidRDefault="005728DD" w:rsidP="005728DD">
      <w:pPr>
        <w:pStyle w:val="TextoNormal"/>
        <w:rPr>
          <w:i/>
        </w:rPr>
      </w:pPr>
      <w:r>
        <w:t>15.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005728DD" w:rsidRPr="005728DD" w:rsidRDefault="005728DD" w:rsidP="005728DD">
      <w:pPr>
        <w:pStyle w:val="TextoNormal"/>
        <w:rPr>
          <w:i/>
        </w:rPr>
      </w:pPr>
    </w:p>
    <w:p w:rsidR="005728DD" w:rsidRDefault="005728DD" w:rsidP="005728DD">
      <w:pPr>
        <w:pStyle w:val="TextoNormal"/>
      </w:pPr>
      <w:r w:rsidRPr="005728DD">
        <w:rPr>
          <w:i/>
        </w:rPr>
        <w:t>IV. Sobre el cumplimiento del principio de proporcionalidad penal en la cuantificación judicial de la pe</w:t>
      </w:r>
      <w:r>
        <w:t>na</w:t>
      </w:r>
    </w:p>
    <w:p w:rsidR="005728DD" w:rsidRDefault="005728DD" w:rsidP="005728DD">
      <w:pPr>
        <w:pStyle w:val="TextoNormal"/>
      </w:pPr>
    </w:p>
    <w:p w:rsidR="005728DD" w:rsidRDefault="005728DD" w:rsidP="005728DD">
      <w:pPr>
        <w:pStyle w:val="TextoNormal"/>
      </w:pPr>
      <w:r>
        <w:t>16. El recurrente hace una última invocación del derecho a la legalidad penal, alegando que el órgano judicial le ha impuesto una pena desproporcionada a la gravedad de la conducta (arts. 25.1 CE en relación con el art. 17 CE y el art. 49 CDFUE) y que se lesionan además los derechos fundamentales a la libertad de reunión pacífica y a las libertades de expresión e ideológica (arts. 16, 20 y 21 CE) por el efecto desincentivador que genera esa severa pena en el ejercicio de esos derechos fundamentales. A estos efectos, destaca aspectos como que la pena de doce años impuesta es similar a la aplicada por los delitos de homicidio o los más graves contra la libertad sexual o la libertad ambulatoria y que el órgano judicial no ha utilizado ninguna de las previsiones legales para adecuar la pena a la gravedad del hecho como eran las relativas a las formas imperfecta de ejecución, el tipo atenuado de sedición del art. 547 CP, o las circunstancias genéricas atenuadoras de la responsabilidad penal por la vinculación de los hechos al contexto del ejercicio de derechos fundamentales.</w:t>
      </w:r>
    </w:p>
    <w:p w:rsidR="005728DD" w:rsidRDefault="005728DD" w:rsidP="005728DD">
      <w:pPr>
        <w:pStyle w:val="TextoNormal"/>
      </w:pPr>
    </w:p>
    <w:p w:rsidR="005728DD" w:rsidRDefault="005728DD" w:rsidP="005728DD">
      <w:pPr>
        <w:pStyle w:val="TextoNormal"/>
      </w:pPr>
      <w:r>
        <w:t>La posición mayoritaria en la que se sustenta la sentencia rechaza esta invocación dividiendo su análisis de manera diferenciada entre los aspectos relativos a la cuantificación de la pena privativa de libertad y los relativos a una eventual afectación a otros derechos fundamentales sustantivos. Respecto de lo primero, se afirma que (a) la cuantificación de la pena no parte únicamente de la condena por un delito de sedición, sino de su conjunción en concurso medial con un delito de malversación, castigado con un marco penal de seis a ocho años, por cuya condena el recurrente no ha hecho objeción constitucional alguna; (b) la gravedad de la conducta se acredita a partir de la concurrencia de los elementos del tipo de sedición; y (c) las posibilidades de atemperación de la respuesta penal vinculadas a las formas imperfectas de ejecución o menos grave de este delito son cuestiones de legalidad penal. Respecto de la posible afectación a derechos fundamentales sustantivos, se insiste en que la conducta del 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005728DD" w:rsidRDefault="005728DD" w:rsidP="005728DD">
      <w:pPr>
        <w:pStyle w:val="TextoNormal"/>
      </w:pPr>
    </w:p>
    <w:p w:rsidR="005728DD" w:rsidRDefault="005728DD" w:rsidP="005728DD">
      <w:pPr>
        <w:pStyle w:val="TextoNormal"/>
      </w:pPr>
      <w:r>
        <w:t>17. Discrepamos del análisis que realiza la posición mayoritaria en la que se sustenta la sentencia de esta invocación y de su conclusión de que no concurre una vulneración del principio de proporcionalidad penal en la cuantificación de la pena.</w:t>
      </w:r>
    </w:p>
    <w:p w:rsidR="005728DD" w:rsidRDefault="005728DD" w:rsidP="005728DD">
      <w:pPr>
        <w:pStyle w:val="TextoNormal"/>
      </w:pPr>
    </w:p>
    <w:p w:rsidR="005728DD" w:rsidRDefault="005728DD" w:rsidP="005728DD">
      <w:pPr>
        <w:pStyle w:val="TextoNormal"/>
      </w:pPr>
      <w:r>
        <w:lastRenderedPageBreak/>
        <w:t>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005728DD" w:rsidRDefault="005728DD" w:rsidP="005728DD">
      <w:pPr>
        <w:pStyle w:val="TextoNormal"/>
      </w:pPr>
    </w:p>
    <w:p w:rsidR="005728DD" w:rsidRDefault="005728DD" w:rsidP="005728DD">
      <w:pPr>
        <w:pStyle w:val="TextoNormal"/>
      </w:pPr>
      <w:r>
        <w:t>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005728DD" w:rsidRDefault="005728DD" w:rsidP="005728DD">
      <w:pPr>
        <w:pStyle w:val="TextoNormal"/>
      </w:pPr>
    </w:p>
    <w:p w:rsidR="005728DD" w:rsidRDefault="005728DD" w:rsidP="005728DD">
      <w:pPr>
        <w:pStyle w:val="TextoNormal"/>
      </w:pPr>
      <w:r>
        <w:t>18. En el presente caso, a lo largo del voto particular hemos ido exponiendo, al hilo del análisis de las diversas invocaciones del derecho a la legalidad penal, toda una serie de circunstancias que consideramos relevantes en el juicio de proporcionalidad penal en cuanto a la cuantificación judicial de la pena. Antes de volver sobre ellas, deseamos destacar dos aspectos singulares vinculados a la individualización de la pena.</w:t>
      </w:r>
    </w:p>
    <w:p w:rsidR="005728DD" w:rsidRDefault="005728DD" w:rsidP="005728DD">
      <w:pPr>
        <w:pStyle w:val="TextoNormal"/>
      </w:pPr>
    </w:p>
    <w:p w:rsidR="005728DD" w:rsidRDefault="005728DD" w:rsidP="005728DD">
      <w:pPr>
        <w:pStyle w:val="TextoNormal"/>
      </w:pPr>
      <w:r>
        <w:t>(i) La posición mayoritaria en la que se sustenta la sentencia ha hecho una especial incidencia en la desestimación de la invocación del principio de proporcionalidad penal argumentando que la alta pena impuesta —doce años de prisión y de inhabilitación— es consecuencia no solo de la ponderación de la gravedad del delito de sedición, sino también de su concurrencia en concurso medial con un delito de malversación, no impugnado en este amparo, que por sus concretas circunstancias implicaría un marco penal de, al menos, entre seis y ocho años de prisión (art. 432.3, segundo párrafo, CP).</w:t>
      </w:r>
    </w:p>
    <w:p w:rsidR="005728DD" w:rsidRDefault="005728DD" w:rsidP="005728DD">
      <w:pPr>
        <w:pStyle w:val="TextoNormal"/>
      </w:pPr>
    </w:p>
    <w:p w:rsidR="005728DD" w:rsidRDefault="005728DD" w:rsidP="005728DD">
      <w:pPr>
        <w:pStyle w:val="TextoNormal"/>
      </w:pPr>
      <w:r>
        <w:lastRenderedPageBreak/>
        <w:t>No consideramos este aspecto del concurso determinante. Se constata que la propia jurisprudencia del Tribunal Supremo en relación con la interpretación del art. 77.3 CP establece que en los supuestos de concurso medial la concreción de los umbrales mínimo y máximo debe atender: (a) para fijar el mínimo, a la individualización punitiva de la infracción más grave y (b) para fijar el máximo, a la suma a la anterior cifra la resultante de la individualización punitiva de la infracción más leve; tomando siempre en consideración las circunstancias concurrentes relativas a aspectos como el grado de ejecución o la circunstancias modificativas de la responsabilidad en ambas individualizaciones (así, por ejemplo, STS de 16 de octubre de 2020). De ese modo, incluso prescindiendo de la aplicación de cualquier previsión atemperadora de la pena, el marco penal abstracto más beneficioso con el que se contaba en el caso del recurrente era de una pena mínima de diez años y máxima de dieciséis. Por tanto, la pena de doce años impuesta supera la pena mínima imponible.</w:t>
      </w:r>
    </w:p>
    <w:p w:rsidR="005728DD" w:rsidRDefault="005728DD" w:rsidP="005728DD">
      <w:pPr>
        <w:pStyle w:val="TextoNormal"/>
      </w:pPr>
    </w:p>
    <w:p w:rsidR="005728DD" w:rsidRDefault="005728DD" w:rsidP="005728DD">
      <w:pPr>
        <w:pStyle w:val="TextoNormal"/>
      </w:pPr>
      <w:r>
        <w:t>(ii) La única parte procesal que calificó esta conducta como concurso medial entre los delitos de sedición y malversación fue la abogacía del Estado, quien solicitó la imposición de una pena de once años y seis meses para el recurrente. La posición mayoritaria en la que se sustenta la sentencia, al resolver la invocación de principio acusatorio por haberse impuesto una pena superior a la concretamente pedida por esta acusación, sostiene la posibilidad de la imposición de una pena superior recurriendo a la circunstancia de que el partido político Vox, que ejercía la acusación popular, aunque no había establecido una petición concreta para una posible calificación como delito de sedición en concurso medial con el de malversación, había solicitado la imposición de forma aislada de sendas penas de quince años por dos delitos de sedición.</w:t>
      </w:r>
    </w:p>
    <w:p w:rsidR="005728DD" w:rsidRDefault="005728DD" w:rsidP="005728DD">
      <w:pPr>
        <w:pStyle w:val="TextoNormal"/>
      </w:pPr>
    </w:p>
    <w:p w:rsidR="005728DD" w:rsidRDefault="005728DD" w:rsidP="005728DD">
      <w:pPr>
        <w:pStyle w:val="TextoNormal"/>
      </w:pPr>
      <w:r>
        <w:t>Sin perjuicio de las eventuales consecuencias que pudiera tener esta circunstancia en el principio acusatorio, no dejar de llamar la atención, en el juicio de proporcionalidad que ahora nos incumbe, el hecho de que se haya acudido también como justificación de la individualización de la pena —no solo para no imponer el mínimo posible legal abstracto de diez años, sino tampoco el de once años y seis meses concretamente solicitado por la única acusación que acertó a definir esta situación concursal— a una petición realizada por una acusación popular que, por ser ejercida por un partido político, la propia sentencia impugnada califica como perturbadora y respecto de la que insta al Gobierno la conveniencia de su supresión en la legislación procesal penal.</w:t>
      </w:r>
    </w:p>
    <w:p w:rsidR="005728DD" w:rsidRDefault="005728DD" w:rsidP="005728DD">
      <w:pPr>
        <w:pStyle w:val="TextoNormal"/>
      </w:pPr>
    </w:p>
    <w:p w:rsidR="005728DD" w:rsidRDefault="005728DD" w:rsidP="005728DD">
      <w:pPr>
        <w:pStyle w:val="TextoNormal"/>
      </w:pPr>
      <w:r>
        <w:t>En definitiva, incluso en el marco legal de la individualización concreta de la pena el órgano judicial contaba con los suficientes instrumentos normativos como para haber adecuado la cuantificación de la pena, al menos, al mínimo legal posible de diez años.</w:t>
      </w:r>
    </w:p>
    <w:p w:rsidR="005728DD" w:rsidRDefault="005728DD" w:rsidP="005728DD">
      <w:pPr>
        <w:pStyle w:val="TextoNormal"/>
      </w:pPr>
    </w:p>
    <w:p w:rsidR="005728DD" w:rsidRDefault="005728DD" w:rsidP="005728DD">
      <w:pPr>
        <w:pStyle w:val="TextoNormal"/>
      </w:pPr>
      <w:r>
        <w:t>19. Nuestra discrepancia, sin embargo, va más allá de la posibilidad de que se hubiera impuesto la pena mínima del marco penal abstracto. Consideramos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005728DD" w:rsidRDefault="005728DD" w:rsidP="005728DD">
      <w:pPr>
        <w:pStyle w:val="TextoNormal"/>
      </w:pPr>
    </w:p>
    <w:p w:rsidR="005728DD" w:rsidRDefault="005728DD" w:rsidP="005728DD">
      <w:pPr>
        <w:pStyle w:val="TextoNormal"/>
      </w:pPr>
      <w:r>
        <w:lastRenderedPageBreak/>
        <w:t>(i)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inexistencia hasta el momento presente, y (c) la íntima conexión que mantiene en su umbral superior de gravedad con el delito de rebelión y en su umbral inferior con otros delitos contra el orden público.</w:t>
      </w:r>
    </w:p>
    <w:p w:rsidR="005728DD" w:rsidRDefault="005728DD" w:rsidP="005728DD">
      <w:pPr>
        <w:pStyle w:val="TextoNormal"/>
      </w:pPr>
    </w:p>
    <w:p w:rsidR="005728DD" w:rsidRDefault="005728DD" w:rsidP="005728DD">
      <w:pPr>
        <w:pStyle w:val="TextoNormal"/>
      </w:pPr>
      <w:r>
        <w:t>(ii)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005728DD" w:rsidRDefault="005728DD" w:rsidP="005728DD">
      <w:pPr>
        <w:pStyle w:val="TextoNormal"/>
      </w:pPr>
    </w:p>
    <w:p w:rsidR="005728DD" w:rsidRDefault="005728DD" w:rsidP="005728DD">
      <w:pPr>
        <w:pStyle w:val="TextoNormal"/>
      </w:pPr>
      <w:r>
        <w:t>(iii) En ese contexto de incertidumbre estructural del delito de sedición, las resoluciones judiciales impugnadas han optado en la labor de interpretación y subsunción para entender responsable penal al recurrente de ese delito por sancionar unos hechos que se sitúan en el umbral mínimo de tipicidad de este delito: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005728DD" w:rsidRDefault="005728DD" w:rsidP="005728DD">
      <w:pPr>
        <w:pStyle w:val="TextoNormal"/>
      </w:pPr>
    </w:p>
    <w:p w:rsidR="005728DD" w:rsidRDefault="005728DD" w:rsidP="005728DD">
      <w:pPr>
        <w:pStyle w:val="TextoNormal"/>
      </w:pPr>
      <w:r>
        <w:t>(iv)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005728DD" w:rsidRDefault="005728DD" w:rsidP="005728DD">
      <w:pPr>
        <w:pStyle w:val="TextoNormal"/>
      </w:pPr>
    </w:p>
    <w:p w:rsidR="005728DD" w:rsidRDefault="005728DD" w:rsidP="005728DD">
      <w:pPr>
        <w:pStyle w:val="TextoNormal"/>
      </w:pPr>
      <w:r>
        <w:t>(v) La autoría del recurrente se ha construido sobre consideraciones normativas ajenas a su participación directa y singular en los hechos declarados sediciosos como es una genérica posición de garante por formar parte del Consejo de Gobierno de la Generalidad, que, además, era adhesiva por su tardía incorporación a dicho consejo. Tampoco existe una concreta individualización de su contribución al hecho más allá de esa pertenencia a este órgano y la consecutiva imputación recíproca y solidaria de responsabilidad.</w:t>
      </w:r>
    </w:p>
    <w:p w:rsidR="005728DD" w:rsidRDefault="005728DD" w:rsidP="005728DD">
      <w:pPr>
        <w:pStyle w:val="TextoNormal"/>
      </w:pPr>
    </w:p>
    <w:p w:rsidR="005728DD" w:rsidRDefault="005728DD" w:rsidP="005728DD">
      <w:pPr>
        <w:pStyle w:val="TextoNormal"/>
      </w:pPr>
      <w:r>
        <w:t xml:space="preserve">(vi)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w:t>
      </w:r>
      <w:r>
        <w:lastRenderedPageBreak/>
        <w:t>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acudió, ante la eventual consideración de que fueran razones dogmáticas o de recta aplicación de la normativa penal las que impedían la atemperación del rigor de la pena que debía imponerse, a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005728DD" w:rsidRDefault="005728DD" w:rsidP="005728DD">
      <w:pPr>
        <w:pStyle w:val="TextoNormal"/>
      </w:pPr>
    </w:p>
    <w:p w:rsidR="005728DD" w:rsidRDefault="005728DD" w:rsidP="005728DD">
      <w:pPr>
        <w:pStyle w:val="TextoNormal"/>
      </w:pPr>
      <w:r>
        <w:t>20. En definitiva, todas estas son las razones por las que defendimos en la deliberación que, sin controvertir la relevancia penal de la conducta del recurrente, nos parecía que el rigor de la respuesta penal, pudiendo haber sido ajustado cuantitativamente acudiendo a previsiones de la normativa penal, resultaba contrario a las exigencias del principio de proporcionalidad penal.</w:t>
      </w:r>
    </w:p>
    <w:p w:rsidR="005728DD" w:rsidRDefault="005728DD" w:rsidP="005728DD">
      <w:pPr>
        <w:pStyle w:val="TextoNormal"/>
      </w:pPr>
    </w:p>
    <w:p w:rsidR="005728DD" w:rsidRDefault="005728DD" w:rsidP="005728DD">
      <w:pPr>
        <w:pStyle w:val="TextoNormal"/>
      </w:pPr>
      <w:r>
        <w:t>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ponemos de manifiesto en este voto.</w:t>
      </w:r>
    </w:p>
    <w:p w:rsidR="005728DD" w:rsidRDefault="005728DD" w:rsidP="005728DD">
      <w:pPr>
        <w:pStyle w:val="TextoNormal"/>
      </w:pPr>
    </w:p>
    <w:p w:rsidR="005728DD" w:rsidRDefault="005728DD" w:rsidP="005728DD">
      <w:pPr>
        <w:pStyle w:val="TextoNormal"/>
      </w:pPr>
      <w:r>
        <w:t>Debemos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Y ello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005728DD" w:rsidRDefault="005728DD" w:rsidP="005728DD">
      <w:pPr>
        <w:pStyle w:val="TextoNormal"/>
      </w:pPr>
    </w:p>
    <w:p w:rsidR="005728DD" w:rsidRDefault="005728DD" w:rsidP="005728DD">
      <w:pPr>
        <w:pStyle w:val="TextoNormal"/>
      </w:pPr>
      <w:r>
        <w:t>Madrid, a veintidós de abril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5" w:name="SENTENCIA_2021_92"/>
      <w:r>
        <w:lastRenderedPageBreak/>
        <w:t>SENTENCIA 92/2021, de 10 de mayo de 2021</w:t>
      </w:r>
    </w:p>
    <w:bookmarkEnd w:id="95"/>
    <w:p w:rsidR="005728DD" w:rsidRDefault="005728DD" w:rsidP="005728DD">
      <w:pPr>
        <w:pStyle w:val="TtuloResolucin"/>
      </w:pPr>
      <w:r>
        <w:t>Sala Primera</w:t>
      </w:r>
    </w:p>
    <w:p w:rsidR="005728DD" w:rsidRDefault="005728DD" w:rsidP="005728DD">
      <w:pPr>
        <w:pStyle w:val="TtuloBOE"/>
      </w:pPr>
      <w:r>
        <w:t>(BOE núm. 142, de 15 de junio de 2021)</w:t>
      </w:r>
    </w:p>
    <w:p w:rsidR="005728DD" w:rsidRDefault="005728DD" w:rsidP="005728DD">
      <w:pPr>
        <w:pStyle w:val="TextoNormalCentrado"/>
      </w:pPr>
      <w:r>
        <w:t>ECLI:ES:TC:2021:92</w:t>
      </w:r>
    </w:p>
    <w:p w:rsidR="005728DD" w:rsidRDefault="005728DD" w:rsidP="005728DD">
      <w:pPr>
        <w:pStyle w:val="TextoNormalCentrado"/>
      </w:pPr>
    </w:p>
    <w:p w:rsidR="005728DD" w:rsidRDefault="005728DD" w:rsidP="005728DD">
      <w:pPr>
        <w:pStyle w:val="SntesisDescriptiva"/>
      </w:pPr>
      <w:r>
        <w:t>Recurso de amparo 1944-2019. Promovido por don José Edwin Lara Anticona, doña Eusebia Teófila Burgos Ramírez y don José Wilfredo Lara Burgos respecto de las resoluciones dictadas por la Audiencia Provincial y un juzgado de primera instancia de Madrid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2, 3].</w:t>
      </w:r>
    </w:p>
    <w:p w:rsidR="005728DD" w:rsidRDefault="005728DD" w:rsidP="005728DD">
      <w:pPr>
        <w:pStyle w:val="Extracto"/>
      </w:pPr>
    </w:p>
    <w:p w:rsidR="005728DD" w:rsidRDefault="005728DD" w:rsidP="005728DD">
      <w:pPr>
        <w:pStyle w:val="Extracto"/>
      </w:pPr>
      <w:r>
        <w:t>2.</w:t>
      </w:r>
      <w:r>
        <w:tab/>
        <w:t xml:space="preserve">Aplicación de la Directiva 93/13/CEE, del Consejo, de 5 de abril, sobre cláusulas abusivas en los contratos celebrados con consumidores, y de la STJUE de 26 de enero de 2017, Asunto </w:t>
      </w:r>
      <w:r w:rsidRPr="005728DD">
        <w:rPr>
          <w:i/>
        </w:rPr>
        <w:t>Banco Primus, S.A. v. Jesús Gutiérrez García</w:t>
      </w:r>
      <w:r>
        <w:t xml:space="preserve"> (asunto C-421/14), que instan a los órganos judiciales al control del carácter abusivo del clausulado de un contrato de préstamo con garantía hipotecaria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1944-2019, interpuesto por la procuradora de los tribunales doña María del Carmen Olmos Gilsanz, en nombre y representación de don José Edwin Lara Anticona, doña Eusebia Teófila Burgos Ramírez y don José Wilfredo Lara Burgos, con la asistencia de la abogada doña María Estela Gallardo López, contra el auto de 9 de </w:t>
      </w:r>
      <w:r>
        <w:lastRenderedPageBreak/>
        <w:t>octubre de 2018 del Juzgado de Primera Instancia núm. 100 de Madrid, dictado en el procedimiento de ejecución hipotecaria núm. 140-2014, y el auto de la Sección Decimoctava de la Audiencia Provincial de Madrid de 8 de marzo de 2019, dictado en el recurso de apelación núm. 19-2019. Ha comparecido la entidad Caixabank, S.A., representada por el procurador de los tribunales don Manuel Infante Sánchez y asistida por el abogado don Guillermo López Morón. Ha intervenido el Ministerio Fiscal. Ha sido ponente el magistrado don Andrés Ollero Tassara.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25 de marzo de 2019, la procuradora de los tribunales doña María del Carmen Olmos Gilsanz, en nombre y representación de don José Edwin Lara Anticona, doña Eusebia Teófila Burgos Ramírez y don José Wilfredo Lara Burgos, solicitó la designación de abogado del turno de oficio para interponer recurso de amparo contra las resoluciones judiciales a las que se ha hecho mención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Tras diversas incidencias procesales, por diligencia de ordenación de la secretaría de justicia de la Sala Primera de este Tribunal de 24 de abril de 2019 se tuvo por efectuada la designación de abogado del turno de oficio por el Colegio de Abogados de Madrid, concediendo a la procuradora doña María del Carmen Olmos Gilsanz un plazo de treinta días para que, bajo la dirección de la abogada designada, doña María Estela Gallardo López, formulase la demanda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Mediante escrito registrado en este tribunal el 24 de mayo de 2019 la referida procuradora presentó demanda de amparo contra el auto de 9 de octubre de 2018 del Juzgado de Primera Instancia núm. 100 de Madrid (procedimiento de ejecución hipotecaria núm. 140-2014) y el auto de la Sección Decimoctava de la Audiencia Provincial de Madrid de 8 de marzo de 2019, que desestima el recurso de apelación interpuesto contra aquel.</w:t>
      </w:r>
    </w:p>
    <w:p w:rsidR="005728DD" w:rsidRDefault="005728DD" w:rsidP="005728DD">
      <w:pPr>
        <w:pStyle w:val="TextoNormal"/>
      </w:pPr>
    </w:p>
    <w:p w:rsidR="005728DD" w:rsidRDefault="005728DD" w:rsidP="005728DD">
      <w:pPr>
        <w:pStyle w:val="TextoNormal"/>
      </w:pPr>
      <w:r>
        <w:t>Los hechos en que se fundamenta la demanda de amparo son, en síntesis, los que seguidamente se relacionan.</w:t>
      </w:r>
    </w:p>
    <w:p w:rsidR="005728DD" w:rsidRDefault="005728DD" w:rsidP="005728DD">
      <w:pPr>
        <w:pStyle w:val="TextoNormal"/>
      </w:pPr>
    </w:p>
    <w:p w:rsidR="005728DD" w:rsidRDefault="005728DD" w:rsidP="005728DD">
      <w:pPr>
        <w:pStyle w:val="TextoNormal"/>
      </w:pPr>
      <w:r>
        <w:t>a) En el Juzgado de Primera Instancia núm. 100 de Madrid se sigue frente a los demandantes de amparo el procedimiento de ejecución hipotecaria núm. 140-2014, promovido por la entidad Bankia, S.A., en relación con una vivienda en Madrid, por el impago por aquellos de sus obligaciones derivadas del contrato de préstamo hipotecario suscrito entre ambas partes el 4 de marzo de 2005. En dicho procedimiento se dictó auto el 16 de marzo de 2015 despachando la ejecución y requiriendo de pago a los ejecutados.</w:t>
      </w:r>
    </w:p>
    <w:p w:rsidR="005728DD" w:rsidRDefault="005728DD" w:rsidP="005728DD">
      <w:pPr>
        <w:pStyle w:val="TextoNormal"/>
      </w:pPr>
    </w:p>
    <w:p w:rsidR="005728DD" w:rsidRDefault="005728DD" w:rsidP="005728DD">
      <w:pPr>
        <w:pStyle w:val="TextoNormal"/>
      </w:pPr>
      <w:r>
        <w:t>La entidad Bankia, S.A., ha sido absorbida el 25 de marzo de 2021 por la entidad Caixabank, S.A.</w:t>
      </w:r>
    </w:p>
    <w:p w:rsidR="005728DD" w:rsidRDefault="005728DD" w:rsidP="005728DD">
      <w:pPr>
        <w:pStyle w:val="TextoNormal"/>
      </w:pPr>
    </w:p>
    <w:p w:rsidR="005728DD" w:rsidRDefault="005728DD" w:rsidP="005728DD">
      <w:pPr>
        <w:pStyle w:val="TextoNormal"/>
      </w:pPr>
      <w:r>
        <w:t>b) Con fecha 3 de abril de 2018 se dictó en el referido procedimiento decreto de adjudicación de la finca hipotecada en favor de Madrid RMBS III, Fondo de Titulación de Activos. Contra este decreto los demandantes de amparo interpusieron recurso de revisión, intere</w:t>
      </w:r>
      <w:r>
        <w:lastRenderedPageBreak/>
        <w:t>sando que se declarase nula, por abusiva, la cláusula de “vencimiento anticipado”; y subsidiariamente que se acordase la suspensión del procedimiento por la pendencia de la cuestión prejudicial ante el Tribunal de Justicia de la Unión Europea, planteada por el Tribunal Supremo, dada su condición de ejecutados en situación de vulnerabilidad.</w:t>
      </w:r>
    </w:p>
    <w:p w:rsidR="005728DD" w:rsidRDefault="005728DD" w:rsidP="005728DD">
      <w:pPr>
        <w:pStyle w:val="TextoNormal"/>
      </w:pPr>
    </w:p>
    <w:p w:rsidR="005728DD" w:rsidRDefault="005728DD" w:rsidP="005728DD">
      <w:pPr>
        <w:pStyle w:val="TextoNormal"/>
      </w:pPr>
      <w:r>
        <w:t>c) El recurso fue desestimado por auto de 9 de octubre de 2018, por entender el juzgado que había precluido el trámite para alegar el carácter abusivo de las cláusulas, dado que el procedimiento se inició con posterioridad a la reforma del art. 695 de la Ley de enjuiciamiento civil por la Ley 1/2013, de 14 de mayo. Además, se razona que el examen de oficio ya lo efectuó el juzgador antes de dictar la orden de ejecución, sin que se detectase entonces ninguna cláusula abusiva con arreglo a la legislación y jurisprudencia vigentes; la posterior jurisprudencia del Tribunal de Justicia de la Unión Europea y del Tribunal Supremo no tiene efecto retroactivo ni obliga a revisar el auto que acordó despachar ejecución. Se afirma, por último, que no concurre prejudicialidad sobre el carácter abusivo de cualquiera de las cláusulas del contrato.</w:t>
      </w:r>
    </w:p>
    <w:p w:rsidR="005728DD" w:rsidRDefault="005728DD" w:rsidP="005728DD">
      <w:pPr>
        <w:pStyle w:val="TextoNormal"/>
      </w:pPr>
    </w:p>
    <w:p w:rsidR="005728DD" w:rsidRDefault="005728DD" w:rsidP="005728DD">
      <w:pPr>
        <w:pStyle w:val="TextoNormal"/>
      </w:pPr>
      <w:r>
        <w:t>d) Contra este auto interpusieron recurso de apelación los demandantes de amparo, que fue desestimado por auto de la Sección Decimoctava de la Audiencia Provincial de Madrid de 8 de marzo de 2019, que viene a reiterar los razonamientos del Juzgado de Primera Instancia núm. 100 de Madrid.</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En la demanda de amparo se aduce que los autos impugnados vulneran los derechos a la tutela judicial efectiva (art. 24.1 CE), a la defensa y a un proceso con todas las garantías (art. 24.2 CE). La vulneración alegada se concreta en la ausencia de control judicial sobre la cláusula de “vencimiento anticipado”, cuyo carácter abusivo habría dejado claro e indubitado la sentencia del Tribunal de Justicia de la Unión Europea de 26 de enero de 2017 (asunto </w:t>
      </w:r>
      <w:r w:rsidRPr="005728DD">
        <w:rPr>
          <w:i/>
        </w:rPr>
        <w:t>Banco Primus, S.A., y Jesús Gutiérrez García</w:t>
      </w:r>
      <w:r>
        <w:t>, C-421/14), a la que se refiere la STC 31/2019, de 28 de febrero. De acuerdo con el Derecho de la Unión, la jurisprudencia del Tribunal de Justicia de la Unión Europea y la doctrina constitucional, el juez nacional debe realizar un control de oficio del carácter abusivo de las clausulas existentes en el contrato de préstamo hipotecario, sin sujeción a plazo alguno. En consecuencia, en este caso el juzgador debió haberse pronunciado sobre el carácter abusivo de la cláusula de “vencimiento anticipado”. Al no hacerlo, vulneró los derechos fundamentales invocados. Solicitan por ello los demandantes de amparo que se declaren nulas las resoluciones judiciales impugnadas. Mediante otrosí solicitó la suspensión cautelar del procedimiento de ejecución hipotecaria.</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Por providencia de 19 de octubre de 2020, la Sala Primera de este tribunal acordó admitir a trámite el recurso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Por ello, en aplicación de lo dispuesto en el art. 51 LOTC, se ordena dirigir atenta comunicación a la Sección Decimoctava de la Audiencia Provincial de Madrid y al Juzgado de Primera Instancia núm. 100 de Madrid, para que, en plazo que no exceda de diez días, remitan, respectivamente, certificación o fotocopia adverada de las actuaciones correspondientes al recurso de apelación núm. 19-2019 y al procedimiento de ejecución hipotecaria núm. 140-2014; debiendo asimismo emplazar el juzgado a quienes hubieran sido parte en dicho procedimiento, excepto a los </w:t>
      </w:r>
      <w:r>
        <w:lastRenderedPageBreak/>
        <w:t>recurrentes en amparo, a fin de que puedan comparecer, si lo desean,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6</w:t>
      </w:r>
      <w:r>
        <w:t>. La secretaría de justicia de la Sala Primera de este tribunal, por diligencia de ordenación de 22 de febrero de 2021, acordó tener por personado y parte en el presente proceso constitucional al procurador don Manuel Infante Sánchez, en nombre y representación de Bankia, S.A. Acordó asimismo dar vista de las actuaciones recibidas del Juzgado de Primera Instancia núm. 100 de Madrid y de la Sección Decimoctava de la Audiencia Provincial de Madrid a las partes personadas y al Ministerio Fiscal, por plazo común de veinte días, para presentar las alegaciones que estimasen pertinentes, de conformidad con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El Ministerio Fiscal, mediante escrito presentado en este tribunal el 16 de marzo de 2021, formuló sus alegaciones, que a continuación se resumen.</w:t>
      </w:r>
    </w:p>
    <w:p w:rsidR="005728DD" w:rsidRDefault="005728DD" w:rsidP="005728DD">
      <w:pPr>
        <w:pStyle w:val="TextoNormal"/>
      </w:pPr>
    </w:p>
    <w:p w:rsidR="005728DD" w:rsidRDefault="005728DD" w:rsidP="005728DD">
      <w:pPr>
        <w:pStyle w:val="TextoNormal"/>
      </w:pPr>
      <w:r>
        <w:t xml:space="preserve">Tras aludir los antecedentes procesales relevantes para el caso y acotar la pretensión de los demandantes de amparo, señala que el objeto del presente recurso consiste en dilucidar si los órganos judiciales han desconocido la doctrina del Tribunal de Justicia de la Unión Europea en materia de revisión de las cláusulas abusivas de los contratos hipotecarios (STJUE de 26 de enero de 2017, asunto </w:t>
      </w:r>
      <w:r w:rsidRPr="005728DD">
        <w:rPr>
          <w:i/>
        </w:rPr>
        <w:t>Banco Primus, S.A., y Jesús Gutiérrez García</w:t>
      </w:r>
      <w:r>
        <w:t>, C-421/14) y la doctrina constitucional al respecto (STC 31/2019, de 28 de febrero, reiterada en otras posteriores). No se trata, pues, de un caso original que se plantee ante el Tribunal Constitucional, sino de un asunto más de una serie en la que ya existe una consolidada doctrina constitucional de aplicación al caso.</w:t>
      </w:r>
    </w:p>
    <w:p w:rsidR="005728DD" w:rsidRDefault="005728DD" w:rsidP="005728DD">
      <w:pPr>
        <w:pStyle w:val="TextoNormal"/>
      </w:pPr>
    </w:p>
    <w:p w:rsidR="005728DD" w:rsidRDefault="005728DD" w:rsidP="005728DD">
      <w:pPr>
        <w:pStyle w:val="TextoNormal"/>
      </w:pPr>
      <w:r>
        <w:t>Partiendo de esta premisa, el fiscal recuerda los pronunciamientos más relevantes de la citada STC 31/2019 y concluye que la aplicación de esta doctrina al presente caso conduce derechamente al otorgamiento del amparo solicitado. Como señala este tribunal en la STC 31/2019, FJ 7, el juzgado debió examinar si la doctrina de la STJUE de 26 de enero de 2017 era aplicable al supuesto sometido a su consideración. Esto implicaba llegar a la conclusión de que debió proceder al control del carácter abusivo de las cláusulas del contrato de préstamo hipotecario que solicitaban los recurrentes, porque ese control judicial es susceptible de efectuarse mientras el proceso esté en curso, que es lo que ocurría en el presente caso. No podía el juzgado, por tanto, dejar de pronunciarse sobre el pretendido carácter abusivo de la cláusula de “vencimiento anticipado”.</w:t>
      </w:r>
    </w:p>
    <w:p w:rsidR="005728DD" w:rsidRDefault="005728DD" w:rsidP="005728DD">
      <w:pPr>
        <w:pStyle w:val="TextoNormal"/>
      </w:pPr>
    </w:p>
    <w:p w:rsidR="005728DD" w:rsidRDefault="005728DD" w:rsidP="005728DD">
      <w:pPr>
        <w:pStyle w:val="TextoNormal"/>
      </w:pPr>
      <w:r>
        <w:t>Por todo ello, el fiscal considera que se ha vulnerado el derecho de los recurrentes en amparo a la tutela judicial efectiva sin indefensión (art. 24.1 CE), debiendo acordarse la nulidad de todo lo actuado a partir del auto de 9 de octubre de 2018 y retrotraer las actuaciones al momento inmediatamente anterior dicho auto, a fin de que el juzgado resuelva sobre el carácter abusivo de las cláusula mencionada.</w:t>
      </w:r>
    </w:p>
    <w:p w:rsidR="005728DD" w:rsidRDefault="005728DD" w:rsidP="005728DD">
      <w:pPr>
        <w:pStyle w:val="TextoNormal"/>
      </w:pPr>
    </w:p>
    <w:p w:rsidR="005728DD" w:rsidRDefault="005728DD" w:rsidP="005728DD">
      <w:pPr>
        <w:pStyle w:val="TextoNormal"/>
      </w:pPr>
      <w:r w:rsidRPr="005728DD">
        <w:rPr>
          <w:rStyle w:val="NumeroAFNegritaCaracter"/>
        </w:rPr>
        <w:t>8</w:t>
      </w:r>
      <w:r>
        <w:t>. Con fecha 14 de abril de 2021 tuvo entrada en el registro del tribunal un escrito del procurador don Manuel Infante Sánchez en el que comunica que la entidad Bankia, S.A., ha sido absorbida el 25 de marzo de 2021 por la entidad Caixabank, S.A., mediante fusión por absorción con extinción. Por lo que interesa que se le tenga por personado en el presente proceso constitucional en nombre y representación de la entidad Caixabank, S.A., que ha quedado subrogada en la situación procesal que ostentaba la extinguida Bankia, S.A.</w:t>
      </w:r>
    </w:p>
    <w:p w:rsidR="005728DD" w:rsidRDefault="005728DD" w:rsidP="005728DD">
      <w:pPr>
        <w:pStyle w:val="TextoNormal"/>
      </w:pPr>
    </w:p>
    <w:p w:rsidR="005728DD" w:rsidRDefault="005728DD" w:rsidP="005728DD">
      <w:pPr>
        <w:pStyle w:val="TextoNormal"/>
      </w:pPr>
      <w:r w:rsidRPr="005728DD">
        <w:rPr>
          <w:rStyle w:val="NumeroAFNegritaCaracter"/>
        </w:rPr>
        <w:t>9</w:t>
      </w:r>
      <w:r>
        <w:t>. La secretaría de justicia de la Sala Primera de este tribunal, por diligencia de ordenación de 15 de abril de 2021, acordó tener por personado y parte en el presente proceso constitucional al procurador don Manuel Infante Sánchez, en nombre y representación de Caixabank, S.A.</w:t>
      </w:r>
    </w:p>
    <w:p w:rsidR="005728DD" w:rsidRDefault="005728DD" w:rsidP="005728DD">
      <w:pPr>
        <w:pStyle w:val="TextoNormal"/>
      </w:pPr>
    </w:p>
    <w:p w:rsidR="005728DD" w:rsidRDefault="005728DD" w:rsidP="005728DD">
      <w:pPr>
        <w:pStyle w:val="TextoNormal"/>
      </w:pPr>
      <w:r w:rsidRPr="005728DD">
        <w:rPr>
          <w:rStyle w:val="NumeroAFNegritaCaracter"/>
        </w:rPr>
        <w:t>10</w:t>
      </w:r>
      <w:r>
        <w:t>. La representación procesal de los demandantes de amparo no formuló alegaciones en el trámite del art. 52.1 LOTC. Tampoco lo hizo la representación procesal de la entidad Caixabank, S.A.</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Los recurrentes en amparo sostienen que las resoluciones judiciales impugnadas han vulnerado su derecho a la tutela judicial efectiva (art. 24.1 CE), en relación con los derechos a la defensa y a un proceso con todas las garantías (art. 24.2 CE), por negarse el Juzgado de Primera Instancia núm. 100 de Madrid a controlar si las cláusulas del contrato de préstamo con garantía hipotecaria suscrito con una entidad de crédito tienen carácter abusivo; rechazo al control judicial que ha sido corroborado por la Sección Decimoctava de la Audiencia Provincial de Madrid.</w:t>
      </w:r>
    </w:p>
    <w:p w:rsidR="005728DD" w:rsidRDefault="005728DD" w:rsidP="005728DD">
      <w:pPr>
        <w:pStyle w:val="TextoNormal"/>
      </w:pPr>
    </w:p>
    <w:p w:rsidR="005728DD" w:rsidRDefault="005728DD" w:rsidP="005728DD">
      <w:pPr>
        <w:pStyle w:val="TextoNormal"/>
      </w:pPr>
      <w:r>
        <w:t>El Ministerio Fiscal solicita la 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2</w:t>
      </w:r>
      <w:r>
        <w:t>. Este tribunal en ningún caso puede dirimir si la cláusula contractual denunciada por los recurrentes (de “vencimiento anticipado”) tiene o no carácter abusivo, pues esa cuestión se incardina dentro de los límites de la legalidad ordinaria y, en consecuencia, su conocimiento corresponde a la jurisdicción civil (por todas, STC 140/2020, de 6 de octubre, FJ 2). Nuestro cometido consiste en determinar si la negativa de los órganos judiciales a pronunciarse sobre el carácter abusivo de la cláusula aludida vulnera o no el derecho fundamental de los recurrentes a la tutela judicial efectiva sin indefensión (art. 24.1 CE), lo que implica analizar las razones ofrecidas en las resoluciones impugnadas para rechazar el control acerca del posible carácter abusivo de la cláusula de “vencimiento anticipado”.</w:t>
      </w:r>
    </w:p>
    <w:p w:rsidR="005728DD" w:rsidRDefault="005728DD" w:rsidP="005728DD">
      <w:pPr>
        <w:pStyle w:val="TextoNormal"/>
      </w:pPr>
    </w:p>
    <w:p w:rsidR="005728DD" w:rsidRDefault="005728DD" w:rsidP="005728DD">
      <w:pPr>
        <w:pStyle w:val="TextoNormal"/>
      </w:pPr>
      <w:r>
        <w:t xml:space="preserve">Para dar respuesta a esta cuestión habremos de tener en cuenta la doctrina constitucional sentada por la STC 31/2019, de 28 de febrero, reiterada en ulteriores pronunciamientos de este tribunal. La citada STC 31/2019 resolvió un asunto coincidente en lo sustancial con el suscitado en el presente recurso de amparo. Con fundamento en el Derecho de la Unión Europea (Directiva 93/13/CEE, del Consejo, de 5 de abril, sobre cláusulas abusivas en los contratos celebrados con consumidores y sentencia del Tribunal de Justicia de la Unión Europea de 26 de enero de 2017, asunto </w:t>
      </w:r>
      <w:r w:rsidRPr="005728DD">
        <w:rPr>
          <w:i/>
        </w:rPr>
        <w:t>Banco Primus, S.A., c. Jesús Gutiérrez García</w:t>
      </w:r>
      <w:r>
        <w:t>, C-421/14), se instaba el control del carácter abusivo de un contrato de préstamo con garantía hipotecaria; en concreto, de la cláusula de “vencimiento anticipado”.</w:t>
      </w:r>
    </w:p>
    <w:p w:rsidR="005728DD" w:rsidRDefault="005728DD" w:rsidP="005728DD">
      <w:pPr>
        <w:pStyle w:val="TextoNormal"/>
      </w:pPr>
    </w:p>
    <w:p w:rsidR="005728DD" w:rsidRDefault="005728DD" w:rsidP="005728DD">
      <w:pPr>
        <w:pStyle w:val="TextoNormal"/>
      </w:pPr>
      <w:r>
        <w:lastRenderedPageBreak/>
        <w:t>La sentencia recuerda que una selección irrazonable y arbitraria de la norma aplicable al proceso vulnera el derecho fundamental del demandante de amparo a la tutela judicial efectiva (art. 24.1 CE). Con cita de doctrina precedente, advierte que el desconocimiento y preterición de una norma de Derecho de la Unión, tal y como ha sido interpretada por el Tribunal de Justicia de la Unión Europea, puede suponer una selección irrazonable y arbitraria de una norma aplicable al proceso, lo cual puede dar lugar a una vulneración del derecho a la tutela judicial efectiva (STC 31/2019, FJ 4).</w:t>
      </w:r>
    </w:p>
    <w:p w:rsidR="005728DD" w:rsidRDefault="005728DD" w:rsidP="005728DD">
      <w:pPr>
        <w:pStyle w:val="TextoNormal"/>
      </w:pPr>
    </w:p>
    <w:p w:rsidR="005728DD" w:rsidRDefault="005728DD" w:rsidP="005728DD">
      <w:pPr>
        <w:pStyle w:val="TextoNormal"/>
      </w:pPr>
      <w:r>
        <w:t xml:space="preserve">En lo que interesa específicamente al presente recurso, la STC 31/2019, FJ 6, subraya que, de la Directiva 93/13/CEE, conforme a la interpretación realizada por parte del Tribunal de Justicia de la Unión Europea (sentencia de 26 de enero de 2017, asunto </w:t>
      </w:r>
      <w:r w:rsidRPr="005728DD">
        <w:rPr>
          <w:i/>
        </w:rPr>
        <w:t>Banco Primus, S.A</w:t>
      </w:r>
      <w:r>
        <w:t xml:space="preserve">.), se desprende que el juez nacional viene obligado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w:t>
      </w:r>
      <w:r w:rsidRPr="005728DD">
        <w:rPr>
          <w:i/>
        </w:rPr>
        <w:t>Banco Primus</w:t>
      </w:r>
      <w:r>
        <w:t xml:space="preserve"> aportaba los elementos de hecho y de Derecho que permitían, en el caso de que así procediera, declarar abusiva la cláusula de vencimiento anticipado […]”.</w:t>
      </w:r>
    </w:p>
    <w:p w:rsidR="005728DD" w:rsidRDefault="005728DD" w:rsidP="005728DD">
      <w:pPr>
        <w:pStyle w:val="TextoNormal"/>
      </w:pPr>
    </w:p>
    <w:p w:rsidR="005728DD" w:rsidRDefault="005728DD" w:rsidP="005728DD">
      <w:pPr>
        <w:pStyle w:val="TextoNormal"/>
      </w:pPr>
      <w:r>
        <w:t>Así pues, sobre el órgano judicial recae la obligación de llevar a cabo un efectivo control del posible abuso de las cláusulas contractuales de los contratos celebrados con los consumidores, en los términos establecidos en la doctrina constitucional referida.</w:t>
      </w:r>
    </w:p>
    <w:p w:rsidR="005728DD" w:rsidRDefault="005728DD" w:rsidP="005728DD">
      <w:pPr>
        <w:pStyle w:val="TextoNormal"/>
      </w:pPr>
    </w:p>
    <w:p w:rsidR="005728DD" w:rsidRDefault="005728DD" w:rsidP="005728DD">
      <w:pPr>
        <w:pStyle w:val="TextoNormal"/>
      </w:pPr>
      <w:r w:rsidRPr="005728DD">
        <w:rPr>
          <w:rStyle w:val="NumeroAFNegritaCaracter"/>
        </w:rPr>
        <w:t>3</w:t>
      </w:r>
      <w:r>
        <w:t>. La aplicación de esta doctrina constitucional al presente caso conduce al otorgamiento del amparo solicitado.</w:t>
      </w:r>
    </w:p>
    <w:p w:rsidR="005728DD" w:rsidRDefault="005728DD" w:rsidP="005728DD">
      <w:pPr>
        <w:pStyle w:val="TextoNormal"/>
      </w:pPr>
    </w:p>
    <w:p w:rsidR="005728DD" w:rsidRDefault="005728DD" w:rsidP="005728DD">
      <w:pPr>
        <w:pStyle w:val="TextoNormal"/>
      </w:pPr>
      <w:r>
        <w:t>Como ha quedado expuesto, para rechazar la revisión sobre el alegado carácter abusivo de la cláusula de “vencimiento anticipado” el juzgado de primera instancia (cuyos razonamientos reitera la Audiencia Provincial de Madrid) se limita a proclamar el carácter extemporáneo de la solicitud de revisión, señalando que los ejecutados no hicieron uso oportunamente de las posibilidades procesales para denunciar esa cláusula. Esta respuesta del órgano judicial no satisface las mínimas exigencias de motivación que dimanan de la doctrina constitucional referida, pues desconoce las exigencias del principio de primacía del Derecho de la Unión Europea y la obligación de control de oficio por los órganos judiciales del eventual carácter abusivo de las cláusulas de los contratos de préstamo hipotecario. Esta únicamente se exceptúa en el caso de que el posible carácter abusivo de la cláusula hubiera sido examinado en un anterior control judicial, lo que no consta que sucediera en el presente caso respecto de la cláusula de resolución por “vencimiento anticipado” del título de ejecución. En suma, el juzgado rehusó revisar esta cláusula como le solicitaron los recurrentes, sin que tal decisión se fundara en el hecho de que, en un estadio procesal anterior, hubiera ya examinado, de oficio o a instancia de parte, el posible carácter abusivo de la concreta cláusula. La Audiencia Provincial de Madrid confirmó en apelación esa decisión.</w:t>
      </w:r>
    </w:p>
    <w:p w:rsidR="005728DD" w:rsidRDefault="005728DD" w:rsidP="005728DD">
      <w:pPr>
        <w:pStyle w:val="TextoNormal"/>
      </w:pPr>
    </w:p>
    <w:p w:rsidR="005728DD" w:rsidRDefault="005728DD" w:rsidP="005728DD">
      <w:pPr>
        <w:pStyle w:val="TextoNormal"/>
      </w:pPr>
      <w:r>
        <w:t xml:space="preserve">Por consiguiente, las resoluciones judiciales impugnadas en amparo han vulnerado el derecho de los recurrentes a la tutela judicial efectiva sin indefensión (art. 24.1 CE), pues la </w:t>
      </w:r>
      <w:r>
        <w:lastRenderedPageBreak/>
        <w:t>decisión de no pronunciarse sobre el eventual carácter abusivo de la cláusula de “vencimiento anticipado”, aparte de infringir el principio de primacía del Derecho de la Unión Europea “al prescindir el juzgado de la interpretación impuesta y señalada por el órgano competente para hacerlo con carácter vinculante”, incurre “en una interpretación irrazonable y arbitraria de una norma aplicada al proceso” (STC 31/2019, FJ 9). Procede por tanto el otorgamiento del amparo, con declaración de la nulidad de las resoluciones impugnadas y retroacción de las actuaciones al momento procesal oportuno a fin de que el Juzgado de Primera Instancia, con plenitud de jurisdicción, dicte una nueva resolución respetuosa con el derecho fundamental reconocido.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José Edwin Lara Anticona, doña Eusebia Teófila Burgos Ramírez y don José Wilfredo Lara Burgos y, en su virtud:</w:t>
      </w:r>
    </w:p>
    <w:p w:rsidR="005728DD" w:rsidRDefault="005728DD" w:rsidP="005728DD">
      <w:pPr>
        <w:pStyle w:val="TextoNormal"/>
      </w:pPr>
    </w:p>
    <w:p w:rsidR="005728DD" w:rsidRDefault="005728DD" w:rsidP="005728DD">
      <w:pPr>
        <w:pStyle w:val="TextoNormal"/>
      </w:pPr>
      <w:r>
        <w:t>1º Declarar que ha sido vulnerado su derecho a la tutela judicial efectiva sin indefensión (art. 24.1 CE).</w:t>
      </w:r>
    </w:p>
    <w:p w:rsidR="005728DD" w:rsidRDefault="005728DD" w:rsidP="005728DD">
      <w:pPr>
        <w:pStyle w:val="TextoNormal"/>
      </w:pPr>
    </w:p>
    <w:p w:rsidR="005728DD" w:rsidRDefault="005728DD" w:rsidP="005728DD">
      <w:pPr>
        <w:pStyle w:val="TextoNormal"/>
      </w:pPr>
      <w:r>
        <w:t>2º Restablecer en su derecho a los recurrentes y, a tal fin, declarar la nulidad del auto de 9 de octubre de 2018 dictado por el Juzgado de Primera Instancia núm. 100 de Madrid en el procedimiento de ejecución hipotecaria núm. 140-2014 y del auto de la Sección Decimoctava de la Audiencia Provincial de Madrid de 8 de marzo de 2019, dictado en el recurso de apelación núm. 19-2019.</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del auto de 9 de octubre de 2018 por el Juzgado de Primera Instancia núm. 100 de Madrid, para que el órgano judicial dicte una nueva resolución que sea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6" w:name="SENTENCIA_2021_93"/>
      <w:r>
        <w:lastRenderedPageBreak/>
        <w:t>SENTENCIA 93/2021, de 10 de mayo de 2021</w:t>
      </w:r>
    </w:p>
    <w:bookmarkEnd w:id="96"/>
    <w:p w:rsidR="005728DD" w:rsidRDefault="005728DD" w:rsidP="005728DD">
      <w:pPr>
        <w:pStyle w:val="TtuloResolucin"/>
      </w:pPr>
      <w:r>
        <w:t>Sala Primera</w:t>
      </w:r>
    </w:p>
    <w:p w:rsidR="005728DD" w:rsidRDefault="005728DD" w:rsidP="005728DD">
      <w:pPr>
        <w:pStyle w:val="TtuloBOE"/>
      </w:pPr>
      <w:r>
        <w:t>(BOE núm. 142, de 15 de junio de 2021)</w:t>
      </w:r>
    </w:p>
    <w:p w:rsidR="005728DD" w:rsidRDefault="005728DD" w:rsidP="005728DD">
      <w:pPr>
        <w:pStyle w:val="TextoNormalCentrado"/>
      </w:pPr>
      <w:r>
        <w:t>ECLI:ES:TC:2021:93</w:t>
      </w:r>
    </w:p>
    <w:p w:rsidR="005728DD" w:rsidRDefault="005728DD" w:rsidP="005728DD">
      <w:pPr>
        <w:pStyle w:val="TextoNormalCentrado"/>
      </w:pPr>
    </w:p>
    <w:p w:rsidR="005728DD" w:rsidRDefault="005728DD" w:rsidP="005728DD">
      <w:pPr>
        <w:pStyle w:val="SntesisDescriptiva"/>
      </w:pPr>
      <w:r>
        <w:t>Recurso de amparo 3223-2019. Promovido por doña Piedad Ángeles Peris García en relación con las sentencias dictadas por la Sala de lo Civil del Tribunal Supremo, la Audiencia Provincial de Segovia y el Juzgado de Primera Instancia e Instrucción de Sepúlveda en proceso de protección del derecho al honor, intimidad y propia imagen.</w:t>
      </w:r>
    </w:p>
    <w:p w:rsidR="005728DD" w:rsidRDefault="005728DD" w:rsidP="005728DD">
      <w:pPr>
        <w:pStyle w:val="SntesisDescriptiva"/>
      </w:pPr>
    </w:p>
    <w:p w:rsidR="005728DD" w:rsidRDefault="005728DD" w:rsidP="005728DD">
      <w:pPr>
        <w:pStyle w:val="SntesisAnaltica"/>
      </w:pPr>
      <w:r>
        <w:t>Supuesta vulneración del derecho a la libertad de expresión: mensajes difundidos a través de una red social en los que tilda de asesino y se expresa alivio por la muerte de un torero en el curso de la lidia. Voto particular.</w:t>
      </w:r>
    </w:p>
    <w:p w:rsidR="005728DD" w:rsidRDefault="005728DD" w:rsidP="005728DD">
      <w:pPr>
        <w:pStyle w:val="SntesisAnaltica"/>
      </w:pPr>
    </w:p>
    <w:p w:rsidR="005728DD" w:rsidRDefault="005728DD" w:rsidP="005728DD">
      <w:pPr>
        <w:pStyle w:val="Extracto"/>
      </w:pPr>
      <w:r>
        <w:t>1.</w:t>
      </w:r>
      <w:r>
        <w:tab/>
        <w:t>Cuando se impugna en amparo constitucional una resolución judicial confirmatoria de otras, que han sido lógica y cronológicamente presupuesto de aquella, han de considerarse también recurridas, aunque no lo hayan sido expresamente, las precedentes decisiones confirmadas (STC 21/2021) [FJ 1].</w:t>
      </w:r>
    </w:p>
    <w:p w:rsidR="005728DD" w:rsidRDefault="005728DD" w:rsidP="005728DD">
      <w:pPr>
        <w:pStyle w:val="Extracto"/>
      </w:pPr>
    </w:p>
    <w:p w:rsidR="005728DD" w:rsidRDefault="005728DD" w:rsidP="005728DD">
      <w:pPr>
        <w:pStyle w:val="Extracto"/>
      </w:pPr>
      <w:r>
        <w:t>2.</w:t>
      </w:r>
      <w:r>
        <w:tab/>
        <w:t>La transformación derivada de las nuevas formas de comunicación y la generalización de su uso, no produce un vaciamiento de la protección constitucional de los derechos fundamentales y tampoco altera, desde un punto de vista sustantivo o material, los criterios asentados por nuestra reiterada doctrina sobre la función de este tribunal para apreciar si ha existido una vulneración del derecho al honor; ni modifica el contenido y alcance de los derechos fundamentales que deben ser ponderados cuando se invoca una vulneración [FJ 2].</w:t>
      </w:r>
    </w:p>
    <w:p w:rsidR="005728DD" w:rsidRDefault="005728DD" w:rsidP="005728DD">
      <w:pPr>
        <w:pStyle w:val="Extracto"/>
      </w:pPr>
    </w:p>
    <w:p w:rsidR="005728DD" w:rsidRDefault="005728DD" w:rsidP="005728DD">
      <w:pPr>
        <w:pStyle w:val="Extracto"/>
      </w:pPr>
      <w:r>
        <w:t>3.</w:t>
      </w:r>
      <w:r>
        <w:tab/>
        <w:t>Doctrina sobre el control que desarrolla el Tribunal Constitucional en supuestos en que se invoca la vulneración del derecho a la libertad de expresión [FJ 3].</w:t>
      </w:r>
    </w:p>
    <w:p w:rsidR="005728DD" w:rsidRDefault="005728DD" w:rsidP="005728DD">
      <w:pPr>
        <w:pStyle w:val="Extracto"/>
      </w:pPr>
    </w:p>
    <w:p w:rsidR="005728DD" w:rsidRDefault="005728DD" w:rsidP="005728DD">
      <w:pPr>
        <w:pStyle w:val="Extracto"/>
      </w:pPr>
      <w:r>
        <w:t>4.</w:t>
      </w:r>
      <w:r>
        <w:tab/>
        <w:t>En el marco amplio que se otorga a la libertad de expresión quedan amparadas, según nuestra doctrina, aquellas manifestaciones que, aunque afecten al honor ajeno, se revelen como necesarias para la exposición de ideas u opiniones de interés público (SSTC 107/1988, 171/1990, 204/2001, 181/2006 o 23/2010) [FJ 4].</w:t>
      </w:r>
    </w:p>
    <w:p w:rsidR="005728DD" w:rsidRDefault="005728DD" w:rsidP="005728DD">
      <w:pPr>
        <w:pStyle w:val="Extracto"/>
      </w:pPr>
    </w:p>
    <w:p w:rsidR="005728DD" w:rsidRDefault="005728DD" w:rsidP="005728DD">
      <w:pPr>
        <w:pStyle w:val="Extracto"/>
      </w:pPr>
      <w:r>
        <w:t>5.</w:t>
      </w:r>
      <w:r>
        <w:tab/>
        <w:t>La Constitución no reconoce un pretendido derecho al insulto, de modo que no cabe utilizar, en ejercicio del derecho a la libertad de expresión constitucionalmente protegida, expresiones formalmente injuriosas (SSTC 107/1988, 105/1990, 200/1998 y 192/1999) [FJ 4].</w:t>
      </w:r>
    </w:p>
    <w:p w:rsidR="005728DD" w:rsidRDefault="005728DD" w:rsidP="005728DD">
      <w:pPr>
        <w:pStyle w:val="Extracto"/>
      </w:pPr>
    </w:p>
    <w:p w:rsidR="005728DD" w:rsidRDefault="005728DD" w:rsidP="005728DD">
      <w:pPr>
        <w:pStyle w:val="Extracto"/>
      </w:pPr>
      <w:r>
        <w:t>6.</w:t>
      </w:r>
      <w:r>
        <w:tab/>
        <w:t xml:space="preserve">No se pueden justificar las expresiones vejatorias (SSTC 204/2001, 174/2006 y 9/2007); es decir, quedan proscritas aquellas que, dadas las concretas circunstancias del caso, y al margen de su veracidad o inveracidad, sean ofensivas u oprobiosas y resulten impertinentes para expresar las opiniones o informaciones de que se trate (STC 41/2011), pues estas difícilmente podrían quedar amparadas por el derecho a la libertad de expresión al ser la dignidad de la persona fundamento mismo del orden político y la paz social (art. 10.1 CE) y piedra angular sobre la </w:t>
      </w:r>
      <w:r>
        <w:lastRenderedPageBreak/>
        <w:t xml:space="preserve">que se vertebra el sistema de los derechos y deberes fundamentales, y también, por tanto, de la libertad de expresión  [FJ 4]. </w:t>
      </w:r>
    </w:p>
    <w:p w:rsidR="005728DD" w:rsidRDefault="005728DD" w:rsidP="005728DD">
      <w:pPr>
        <w:pStyle w:val="Extracto"/>
      </w:pPr>
    </w:p>
    <w:p w:rsidR="005728DD" w:rsidRDefault="005728DD" w:rsidP="005728DD">
      <w:pPr>
        <w:pStyle w:val="Extracto"/>
      </w:pPr>
      <w:r>
        <w:t>7.</w:t>
      </w:r>
      <w:r>
        <w:tab/>
        <w:t>El ejercicio de la libertad de expresión no puede servir de excusa para el insulto, ni tampoco ser un instrumento para menoscabar la dignidad del ser humano y su propio valor como persona. Es en la dignidad, entendida como “valor espiritual y moral inherente a la persona”, que lleva consigo la pretensión al respeto por parte de los demás, donde se encuentra el germen o núcleo de unos derechos que le son inherentes (STC 53/1985), entre los que se encuentra el derecho al honor (art. 18.1 CE) y también la libertad de expresión al posibilitarse con su ejercicio el libre desarrollo de la personalidad del ser humano [FJ 4].</w:t>
      </w:r>
    </w:p>
    <w:p w:rsidR="005728DD" w:rsidRDefault="005728DD" w:rsidP="005728DD">
      <w:pPr>
        <w:pStyle w:val="Extracto"/>
      </w:pPr>
    </w:p>
    <w:p w:rsidR="005728DD" w:rsidRDefault="005728DD" w:rsidP="005728DD">
      <w:pPr>
        <w:pStyle w:val="Extracto"/>
      </w:pPr>
      <w:r>
        <w:t>8.</w:t>
      </w:r>
      <w:r>
        <w:tab/>
        <w:t>El derecho al honor es un derecho autónomo con contenido propio y específico al de los derechos a la intimidad personal y a la propia imagen, reconocidos en el art. 18.1 CE, a pesar de su estrecha relación con ellos en tanto que derechos de la personalidad, derivados de la dignidad humana y dirigidos a la protección del patrimonio moral de las personas (SSTC 81/2001, 156/2001, 46/2002, 14/2003 y 127/2003) [FJ 5].</w:t>
      </w:r>
    </w:p>
    <w:p w:rsidR="005728DD" w:rsidRDefault="005728DD" w:rsidP="005728DD">
      <w:pPr>
        <w:pStyle w:val="Extracto"/>
      </w:pPr>
    </w:p>
    <w:p w:rsidR="005728DD" w:rsidRDefault="005728DD" w:rsidP="005728DD">
      <w:pPr>
        <w:pStyle w:val="Extracto"/>
      </w:pPr>
      <w:r>
        <w:t>9.</w:t>
      </w:r>
      <w:r>
        <w:tab/>
        <w:t>El contenido del derecho al honor es lábil y fluido, cambiante (STC 170/1994); de tal suerte que una de sus características principales consiste en ser un concepto jurídico normativo cuya precisión depende de las normas, valores e ideas sociales vigentes en cada momento (SSTC 180/1999, 112/2000, 297/2000, 49/2001 y  46/2002) [FJ 5].</w:t>
      </w:r>
    </w:p>
    <w:p w:rsidR="005728DD" w:rsidRDefault="005728DD" w:rsidP="005728DD">
      <w:pPr>
        <w:pStyle w:val="Extracto"/>
      </w:pPr>
    </w:p>
    <w:p w:rsidR="005728DD" w:rsidRDefault="005728DD" w:rsidP="005728DD">
      <w:pPr>
        <w:pStyle w:val="Extracto"/>
      </w:pPr>
      <w:r>
        <w:t>10.</w:t>
      </w:r>
      <w:r>
        <w:tab/>
        <w:t>El grado de indeterminación del objeto del derecho al honor no llega a tal extremo que impida identificar como su contenido constitucional abstracto la preservación de la buena reputación de una persona, protegiéndola frente a expresiones o mensajes que le hagan desmerecer en la consideración ajena al ir en su descrédito o menosprecio o que sean tenidas en el concepto público por afrentosas (STC 180/1999) [FJ 5].</w:t>
      </w:r>
    </w:p>
    <w:p w:rsidR="005728DD" w:rsidRDefault="005728DD" w:rsidP="005728DD">
      <w:pPr>
        <w:pStyle w:val="Extracto"/>
      </w:pPr>
    </w:p>
    <w:p w:rsidR="005728DD" w:rsidRDefault="005728DD" w:rsidP="005728DD">
      <w:pPr>
        <w:pStyle w:val="Extracto"/>
      </w:pPr>
      <w:r>
        <w:t>11.</w:t>
      </w:r>
      <w:r>
        <w:tab/>
        <w:t>El honor no solo es un límite a las libertades del art. 20.1 a) y d) de la Constitución, expresamente citado como tal en el núm. 4 del mismo artículo, sino que también es, en sí mismo considerado, un derecho fundamental protegido por el art. 18.1 de la Constitución, que, derivado de la dignidad de la persona, confiere a su titular el derecho a no ser escarnecido o humillado ante uno mismo o ante los demás (SSTC 85/1992, 297/2000 y 204/2001). En consecuencia, el mencionado derecho fundamental protege frente al desmerecimiento en la consideración ajena (STC 52/2002), pues lo perseguido por el art. 18.1 CE es la indemnidad de la imagen que de una persona puedan tener los demás (STC 180/1999) [FJ 5].</w:t>
      </w:r>
    </w:p>
    <w:p w:rsidR="005728DD" w:rsidRDefault="005728DD" w:rsidP="005728DD">
      <w:pPr>
        <w:pStyle w:val="Extracto"/>
      </w:pPr>
    </w:p>
    <w:p w:rsidR="005728DD" w:rsidRDefault="005728DD" w:rsidP="005728DD">
      <w:pPr>
        <w:pStyle w:val="Extracto"/>
      </w:pPr>
      <w:r>
        <w:t>12.</w:t>
      </w:r>
      <w:r>
        <w:tab/>
        <w:t>El honor que la Constitución protege es también el que se expone y acredita en la vida profesional del sujeto, vertiente esta de la actividad individual que no podrá ser, sin daño para el derecho fundamental, menospreciada sin razón legítima, con temeridad o por capricho [respecto al “prestigio profesional” a estos efectos, SSTC 223/1992,  9/2007, 41/2011 y 216/2013] [FJ 5].</w:t>
      </w:r>
    </w:p>
    <w:p w:rsidR="005728DD" w:rsidRDefault="005728DD" w:rsidP="005728DD">
      <w:pPr>
        <w:pStyle w:val="Extracto"/>
      </w:pPr>
    </w:p>
    <w:p w:rsidR="005728DD" w:rsidRDefault="005728DD" w:rsidP="005728DD">
      <w:pPr>
        <w:pStyle w:val="Extracto"/>
      </w:pPr>
      <w:r>
        <w:lastRenderedPageBreak/>
        <w:t>13.</w:t>
      </w:r>
      <w:r>
        <w:tab/>
        <w:t>La simple crítica a la pericia profesional en el desempeño de una actividad no debe confundirse, sin más, con un atentado al honor, cierto es, pero la protección del art. 18.1 CE sí defiende de aquellas críticas que, pese a estar formalmente dirigidas a la actividad profesional de un individuo, constituyen en el fondo una descalificación personal, al repercutir directamente en su consideración y dignidad individuales (STC 65/2015) [FJ 5].</w:t>
      </w:r>
    </w:p>
    <w:p w:rsidR="005728DD" w:rsidRDefault="005728DD" w:rsidP="005728DD">
      <w:pPr>
        <w:pStyle w:val="Extracto"/>
      </w:pPr>
    </w:p>
    <w:p w:rsidR="005728DD" w:rsidRDefault="005728DD" w:rsidP="005728DD">
      <w:pPr>
        <w:pStyle w:val="Extracto"/>
      </w:pPr>
      <w:r>
        <w:t>14.</w:t>
      </w:r>
      <w:r>
        <w:tab/>
        <w:t>Para valorar si se ha producido una injerencia en el derecho al honor, atendido que su contenido es inestable y lábil, debemos fijarnos en las normas, valores e ideas sociales vigentes en cada momento (SSTC 170/1994 y 28/2020) [FJ 7].</w:t>
      </w:r>
    </w:p>
    <w:p w:rsidR="005728DD" w:rsidRDefault="005728DD" w:rsidP="005728DD">
      <w:pPr>
        <w:pStyle w:val="Extracto"/>
      </w:pPr>
    </w:p>
    <w:p w:rsidR="005728DD" w:rsidRDefault="005728DD" w:rsidP="005728DD">
      <w:pPr>
        <w:pStyle w:val="Extracto"/>
      </w:pPr>
      <w:r>
        <w:t>15.</w:t>
      </w:r>
      <w:r>
        <w:tab/>
        <w:t>La Constitución no tutela ni alienta, a quienes invocando la libertad de expresión socavan la dignidad humana que es a la vez sustento y límite de dicha libertad y del resto del orden jurídico (art. 10.1 CE), ni tampoco a quienes con su ejercicio menoscaban el derecho al honor de los demás mediante una injerencia innecesaria o desproporcionada (arts. 18.1 y 20.4 CE) [FJ 7].</w:t>
      </w:r>
    </w:p>
    <w:p w:rsidR="005728DD" w:rsidRDefault="005728DD" w:rsidP="005728DD">
      <w:pPr>
        <w:pStyle w:val="Extracto"/>
      </w:pPr>
    </w:p>
    <w:p w:rsidR="005728DD" w:rsidRDefault="005728DD" w:rsidP="005728DD">
      <w:pPr>
        <w:pStyle w:val="Extracto"/>
      </w:pPr>
      <w:r>
        <w:t>16.</w:t>
      </w:r>
      <w:r>
        <w:tab/>
        <w:t>No se vulnera el derecho a la libertad de expresión cuando el contenido de los contenidos publicados sea innecesario y desproporcionado para defender ideas públicamente (STC 81/2020)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3223-2019, interpuesto por doña Piedad Ángeles Peris García, representada por el procurador de los tribunales don Jesús Lorenzo Salcedo Rico, y asistida del letrado don Hugo Manuel Sánchez de Moutas, contra la sentencia dictada el 3 de abril de 2019 por el Pleno de la Sala de lo Civil del Tribunal Supremo. Ha comparecido y formulado alegaciones además del Ministerio Fiscal, doña Raquel Sanz Lobo, doña Esther Hernanz Romero y don Joaquín Barrio Águeda representados por el procurador de los tribunales don Carlos Piñeira de Campos y asistidos por el letrado don Antonio Valverde Estepa.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el día 22 de mayo de 2019, doña Piedad Ángeles Peris García, representada por el procurador de los tribunales don Jesús Lorenzo Salcedo Rico, y asistida del letrado don Hugo Manuel Sánchez de Moutas, interpuso recurso de amparo contra la sentencia dictada el 3 de abril de 2019 por el Pleno de la Sala de lo Civil del Tribunal Supremo, que desestimó el recurso de casación interpuesto por la demandante contra la sentencia dictada por la Sección Primera de la Audiencia Provincial de Segovia el 8 de marzo de 2018, que, a su vez, desestimó el recurso interpuesto contra la sentencia dictada por el Juzgado de Primera Instancia e Instrucción Único de Sepúlveda el 6 de noviembre de 2017.</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enjuiciar la demanda de amparo son los siguientes:</w:t>
      </w:r>
    </w:p>
    <w:p w:rsidR="005728DD" w:rsidRDefault="005728DD" w:rsidP="005728DD">
      <w:pPr>
        <w:pStyle w:val="TextoNormal"/>
      </w:pPr>
    </w:p>
    <w:p w:rsidR="005728DD" w:rsidRDefault="005728DD" w:rsidP="005728DD">
      <w:pPr>
        <w:pStyle w:val="TextoNormal"/>
      </w:pPr>
      <w:r>
        <w:t>a) El 9 de julio de 2016 el torero don Víctor Barrio Hernanz falleció a consecuencia de una cornada en la plaza de toros de Teruel. Al día siguiente, la recurrente, concejal del Ayuntamiento de Catarroja (Valencia), publicó en su cuenta de la red social Facebook, un texto en el que reproducía el titular de un medio de comunicación: “fallece el torero Víctor Barrio al sufrir una cogida en la feria de Teruel”, junto con una fotografía del torero en el momento en que fue corneado. El texto de la publicación, cuya traducción al castellano no ha sido cuestionada por las partes, es el siguiente:</w:t>
      </w:r>
    </w:p>
    <w:p w:rsidR="005728DD" w:rsidRDefault="005728DD" w:rsidP="005728DD">
      <w:pPr>
        <w:pStyle w:val="TextoNormal"/>
      </w:pPr>
    </w:p>
    <w:p w:rsidR="005728DD" w:rsidRDefault="005728DD" w:rsidP="005728DD">
      <w:pPr>
        <w:pStyle w:val="TextoNormal"/>
      </w:pPr>
      <w:r>
        <w:t>“Podemos tratar de ver el aspecto positivo de las noticias para no sufrir tanto [...] Ya ha dejado de matar.</w:t>
      </w:r>
    </w:p>
    <w:p w:rsidR="005728DD" w:rsidRDefault="005728DD" w:rsidP="005728DD">
      <w:pPr>
        <w:pStyle w:val="TextoNormal"/>
      </w:pPr>
    </w:p>
    <w:p w:rsidR="005728DD" w:rsidRDefault="005728DD" w:rsidP="005728DD">
      <w:pPr>
        <w:pStyle w:val="TextoNormal"/>
      </w:pPr>
      <w:r>
        <w:t>El negativo, entre otros, claramente es que a lo largo de su carrera ha matado mucho. Muchos de los de mi equipo, que como digo siempre, es el de los oprimidos, los que siempre pierden porque tienen a todos los opresores en contra, porque tienen el partido amañado. Ahora los opresores han tenido una baja, una víctima más, un peón en su sistema, y me pregunto, como muchos, cuantas bajas más de este equipo harán falta para que los gobiernos centrales, generalitats, diputaciones y ayuntamientos dejen de subvencionar estas prácticas con olor a sadismo.</w:t>
      </w:r>
    </w:p>
    <w:p w:rsidR="005728DD" w:rsidRDefault="005728DD" w:rsidP="005728DD">
      <w:pPr>
        <w:pStyle w:val="TextoNormal"/>
      </w:pPr>
    </w:p>
    <w:p w:rsidR="005728DD" w:rsidRDefault="005728DD" w:rsidP="005728DD">
      <w:pPr>
        <w:pStyle w:val="TextoNormal"/>
      </w:pPr>
      <w:r>
        <w:t>No puedo sentirlo por el asesino que ha muerto más que por todos los cadáveres que ha dejado a su paso mientras vivió. No solo de toros adultos a lo largo de su carrera (según las estadísticas de su página oficial, ha acabado con 258 vidas desde 2008), sino que también novillos a lo largo de su aprendizaje en escuelas taurinas, en las cuales podemos encontrar niños que acaban normalizando situaciones como esta: ‘un alumno asestó hasta 14 estocadas al animal antes de que este cayera al suelo, donde fue apuntillado, y aún vivo y boqueando, tratando de tomar los últimos alientos de vida, fue arrastrado al matadero’”.</w:t>
      </w:r>
    </w:p>
    <w:p w:rsidR="005728DD" w:rsidRDefault="005728DD" w:rsidP="005728DD">
      <w:pPr>
        <w:pStyle w:val="TextoNormal"/>
      </w:pPr>
    </w:p>
    <w:p w:rsidR="005728DD" w:rsidRDefault="005728DD" w:rsidP="005728DD">
      <w:pPr>
        <w:pStyle w:val="TextoNormal"/>
      </w:pPr>
      <w:r>
        <w:t xml:space="preserve">b) Doña Raquel Sanz Lobo, doña Esther Hernanz Romero y don Joaquín Barrio Águeda interpusieron demanda de protección del derecho al honor, intimidad y propia imagen contra la recurrente en amparo, que tramitada como procedimiento ordinario, terminó por sentencia de 6 de noviembre de 2017 dictada por el Juzgado de Primera Instancia e Instrucción Único de Sepúlveda. Dicha sentencia declaró que el contenido del mensaje publicado constituye una intromisión ilegítima del derecho al honor de don Víctor Barrio Hernanz y entre otros </w:t>
      </w:r>
      <w:r>
        <w:lastRenderedPageBreak/>
        <w:t>pronunciamientos condenaba a la demandada a abonar a los actores la cantidad de siete mil euros en concepto de daños morales.</w:t>
      </w:r>
    </w:p>
    <w:p w:rsidR="005728DD" w:rsidRDefault="005728DD" w:rsidP="005728DD">
      <w:pPr>
        <w:pStyle w:val="TextoNormal"/>
      </w:pPr>
    </w:p>
    <w:p w:rsidR="005728DD" w:rsidRDefault="005728DD" w:rsidP="005728DD">
      <w:pPr>
        <w:pStyle w:val="TextoNormal"/>
      </w:pPr>
      <w:r>
        <w:t>En la resolución se argumenta que la profesión a la que se dedicaba el torero fallecido es lícita y que el comentario efectuado tuvo una importante repercusión al contar la usuaria de la red social, que actuaba como particular, con más de 300 seguidores. Razona que las redes sociales no son “un subterfugio donde todo cabe y todo vale”, sin que la libertad de expresión pueda amparar el insulto. Indica que la demandada utilizó la expresión de asesino en referencia al torero lo que supone la utilización del término de modo erróneo y peyorativo, provocando una intromisión en el honor de este. Sostiene que dicha publicación fue de conocimiento generalizado mediante su difusión en la red social y perturbó el dolor de los familiares y la memoria del difunto.</w:t>
      </w:r>
    </w:p>
    <w:p w:rsidR="005728DD" w:rsidRDefault="005728DD" w:rsidP="005728DD">
      <w:pPr>
        <w:pStyle w:val="TextoNormal"/>
      </w:pPr>
    </w:p>
    <w:p w:rsidR="005728DD" w:rsidRDefault="005728DD" w:rsidP="005728DD">
      <w:pPr>
        <w:pStyle w:val="TextoNormal"/>
      </w:pPr>
      <w:r>
        <w:t>Termina su razonamiento indicando que “sería conveniente un ejercicio de reflexión y un esfuerzo para humanizar las nuevas formas de comunicación muchas de las cuales se amparan en un recurso tecnológico mal aprovechado y una inexistente relación personal. Intentemos humanizar esas relaciones mediante la empatía. Pensemos si unos comentarios como los que se han juzgado se harían de la misma forma si tuviésemos delante de nosotros, a la vista y a un paso de tocarla a la persona a la que hemos dirigido o ha sufrido semejantes opiniones”.</w:t>
      </w:r>
    </w:p>
    <w:p w:rsidR="005728DD" w:rsidRDefault="005728DD" w:rsidP="005728DD">
      <w:pPr>
        <w:pStyle w:val="TextoNormal"/>
      </w:pPr>
    </w:p>
    <w:p w:rsidR="005728DD" w:rsidRDefault="005728DD" w:rsidP="005728DD">
      <w:pPr>
        <w:pStyle w:val="TextoNormal"/>
      </w:pPr>
      <w:r>
        <w:t>c) La recurrente en amparo interpuso recurso de apelación contra la resolución anterior que fue desestimado por la sentencia de 8 de marzo de 2018, dictada por la Sección Primera de la Audiencia Provincial de Segovia. La sentencia, en lo que a los efectos del recurso de amparo interesa, concreta la cuestión litigiosa en determinar si el mensaje publicado en la red social, calificando al fallecido como asesino, supone o no un ataque al derecho al honor de don Víctor Barrio y, en su caso, si estaría amparado por el derecho a la libertad de expresión de la recurrente. Expone que por más que pueda aumentar el número de personas contrarias a la tauromaquia, “la profesión a la que se dedicaba el Sr. Barrio es, hoy por hoy, lícita y, por tanto, no resulta posible dirigir expresiones injuriosas a quienes la ejercen por ese solo hecho, siendo claramente vejatoria la expresión ‘asesino’ para dirigirse a un torero, por el mero hecho de serlo, aunque no se comparta su actividad e incluso se rechace de modo explícito. Además, no puede obviarse que dicha expresión la dirigió la recurrente por escrito y en su perfil de la red social de Facebook, con la notoria repercusión, que ha determinado el mensaje tuviera difusión a nivel nacional”.</w:t>
      </w:r>
    </w:p>
    <w:p w:rsidR="005728DD" w:rsidRDefault="005728DD" w:rsidP="005728DD">
      <w:pPr>
        <w:pStyle w:val="TextoNormal"/>
      </w:pPr>
    </w:p>
    <w:p w:rsidR="005728DD" w:rsidRDefault="005728DD" w:rsidP="005728DD">
      <w:pPr>
        <w:pStyle w:val="TextoNormal"/>
      </w:pPr>
      <w:r>
        <w:t>Añade que no puede considerarse superfluo el término asesino, pues existe una clara diferencia entre el desvalor de la conducta recogida en el art. 139 del Código penal, que castiga como autor de un delito de asesinato a quien mata a una persona, con la conducta de un torero que lidia un toro, en un país donde la profesión es lícita. Afirma el carácter absolutamente innecesario de la utilización de dicha expresión para exponer sus ideas y opiniones acerca de la tauromaquia y refiere que dicha expresión fue dirigida directamente hacia don Víctor Barrio y a las pocas horas de su fallecimiento, de donde se infiere la intencionalidad de menosprecio. Considera que la crítica pudo realizarse sin calificar al torero de “asesino”, por lo que no estaba amparada por la libertad de expresión.</w:t>
      </w:r>
    </w:p>
    <w:p w:rsidR="005728DD" w:rsidRDefault="005728DD" w:rsidP="005728DD">
      <w:pPr>
        <w:pStyle w:val="TextoNormal"/>
      </w:pPr>
    </w:p>
    <w:p w:rsidR="005728DD" w:rsidRDefault="005728DD" w:rsidP="005728DD">
      <w:pPr>
        <w:pStyle w:val="TextoNormal"/>
      </w:pPr>
      <w:r>
        <w:lastRenderedPageBreak/>
        <w:t>d) La recurrente en amparo interpuso contra la sentencia anterior recurso de casación que fue impugnado tanto por los actores civiles, como por el Ministerio Fiscal, quiénes solicitaron la desestimación del mismo. El Pleno de la Sala Civil del Tribunal Supremo, por sentencia de 3 de abril de 2019, desestimó el recurso de casación. La sentencia inicia su razonamiento identificando los derechos fundamentales en conflicto —el derecho al honor y la libertad de expresión— y exponiendo la doctrina relativa a la técnica de la ponderación y los criterios aplicables a la misma. A continuación aplica tales criterios al objeto del recurso razonando que: (i) las manifestaciones enjuiciadas están referidas a un personaje de cierta relevancia pública, como es un torero, y tienen relación con la polémica social que existe sobre la tauromaquia. Pero exceden del ámbito protegido por la libertad de expresión tanto por su contenido gravemente vejatorio como, especialmente, por el contexto en el que se producen, justo tras la muerte traumática de la persona vejada; (ii) las manifestaciones no consistieron en una crítica de la tauromaquia o de los toreros en general, sino que se referían concretamente a una persona que acababa de morir de un modo traumático. Y en las mismas no solo no mostraba una mínima compasión hacia este luctuoso suceso, sino que manifestaba un sentimiento de alegría o alivio por la muerte de quien tachaba, sin ambages, de “asesino”. Esta muerte, según manifestaba la demandada en su cuenta de Facebook, tenía “aspectos positivos”; (iii) las manifestaciones de la demandada violentan y perturban el dolor de los familiares y la memoria del difunto, especialmente por el momento en que se profirieron y por el tono vejatorio empleado; (iv) la carga ofensiva del término “asesino” es evidente. No es aceptable la pretensión de la recurrente de trivializar el uso de una expresión de tal calado con la excusa de que no tenía nada personal contra el torero fallecido. Esa expresión tan ofensiva se dirige precisamente contra el fallecido y no contra personas indeterminadas; (v) un elemento fundamental que hace que la ponderación entre los derechos en conflicto deba decantarse en favor de la protección del derecho al honor es el relativo a las circunstancias en que se produjeron las manifestaciones de la demandada, justo tras la muerte del torero. Los usos sociales delimitan la protección del derecho al honor, y entre los usos sociales de una sociedad civilizada se encuentra, como exigencia mínima de humanidad, el respeto al dolor de los familiares ante la muerte de un ser querido, que se ve agravado cuando públicamente se veja al fallecido; (vi) se trata de la estimación de una demanda civil, de consecuencias mucho menos severas que la condena penal (que era el caso contemplado en la sentencia del Tribunal Europeo de Derechos Humanos a la que se refiere la recurrente), y que está encaminada fundamentalmente a reparar el honor del ofendido (en este caso, su memoria) y aliviar el dolor de sus familiares mediante la reparación de la reputación del fallecido, por lo que se respeta la exigencia de proporcionalidad en la restricción de la libertad de expresión.</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La demanda de amparo atribuye a la sentencia del Pleno de la Sala de lo Civil del Tribunal Supremo la vulneración del derecho a la libertad de expresión [art. 20.1 a) CE, si bien por error se refiere a la letra d)]. En el razonamiento jurídico único considera que el Tribunal Supremo interpreta de forma desviada la jurisprudencia del Tribunal Constitucional que analiza la colisión entre el derecho fundamental que protege el honor de las personas (en este caso la memoria del difunto) y la libertad de expresión. Afirma que la sentencia no valora una circunstancia esencial de las declaraciones efectuadas por la recurrente, que es que son realizadas en el ejercicio de su condición de activista política anti taurina. Refiere que las manifestaciones han sido efectuadas en el ámbito de la legítima crítica a los toreros y no atentan a la reputación personal o profesional de un torero, pues es precisamente la profesión y no la persona que la ejerce lo que motiva las declaraciones de la Sra. Peris. </w:t>
      </w:r>
      <w:r>
        <w:lastRenderedPageBreak/>
        <w:t>Añade que resulta notorio por una parte que existe un importante y creciente debate social sobre el futuro de la tauromaquia lo que dota a la cuestión de “interés general” y por otra que el torero Víctor Barrio, es un personaje público de indudable notoriedad dentro del mundo del toreo y por supuesto en su tierra, Sepúlveda, lo que le dota de “relevancia pública”.</w:t>
      </w:r>
    </w:p>
    <w:p w:rsidR="005728DD" w:rsidRDefault="005728DD" w:rsidP="005728DD">
      <w:pPr>
        <w:pStyle w:val="TextoNormal"/>
      </w:pPr>
    </w:p>
    <w:p w:rsidR="005728DD" w:rsidRDefault="005728DD" w:rsidP="005728DD">
      <w:pPr>
        <w:pStyle w:val="TextoNormal"/>
      </w:pPr>
      <w:r>
        <w:t>Considera que las declaraciones efectuadas guardan relación directa con la idea crítica que se pretende difundir, aprovechando el contexto, para buscar un mayor alcance de la misma. Entiende que la circunstancia de que la ley no equipare el valor de la vida humana y de los animales, no significa que proscriba que este pueda ser un planteamiento moral, vital o filosófico perfectamente defendible, que justifique la crítica o la generación de opinión en ese sentido. Los toreros como profesionales de una actividad lícita aunque controvertida y combatida por aquellos que defienden los derechos de los animales, no son ajenos a la crítica que la tauromaquia genera. Por último hace una referencia a la distinta intensidad que en materia de derechos fundamentales ostentan las personas vivas frente a las fallecidas y termina solicitando que se declare la nulidad de la sentencia del Pleno de la Sala de lo Civil del Tribunal Supremo de fecha de 3 de abril de 2019, al haberse vulnerado el art. 20.1 a) de la Constitución Española que proclama el derecho a la libertad de expresión.</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21 de septiembre de 2020, la Sección Segunda de este tribunal acordó admitir a trámite el recurso al plantear un problema o afectar a una faceta de un derecho fundamental sobre el que no hay doctrina de este tribunal [STC 155/2009, FJ 2 a)], y dirigir comunicación a la Sala de lo Civil del Tribunal Supremo, a la Sección Primera de la Audiencia Provincial de Segovia y al Juzgado de Primera Instancia e Instrucción Único de Sepúlveda a fin de que, en el plazo de diez días, remitan certificación o fotocopia adveradas de las actuaciones correspondientes al recurso de casación núm. 2013-2018, del rollo de apelación núm. 18-20 y del procedimiento de protección del derecho al honor, intimidad familiar y propia imagen núm. 330-2016, respectivamente, debiendo emplazar a quienes hubieran sido parte en el proceso del que trae causa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fecha 16 de noviembre de 2020, de la secretaría de la Sala Primera de este tribunal, se acordó, de conformidad con lo establecido en el art. 52.1 LOTC dar vista de las actuaciones recibidas a las partes personadas y al Ministerio Fiscal, por plazo común de veinte días, para que pudieran presentar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En fecha 21 de diciembre de 2020, el procurador de los tribunales don Carlos Piñeira de Campos en la representación que tiene acreditada presentó escrito de alegaciones solicitando la desestimación de la demanda de amparo.</w:t>
      </w:r>
    </w:p>
    <w:p w:rsidR="005728DD" w:rsidRDefault="005728DD" w:rsidP="005728DD">
      <w:pPr>
        <w:pStyle w:val="TextoNormal"/>
      </w:pPr>
    </w:p>
    <w:p w:rsidR="005728DD" w:rsidRDefault="005728DD" w:rsidP="005728DD">
      <w:pPr>
        <w:pStyle w:val="TextoNormal"/>
      </w:pPr>
      <w:r>
        <w:t>Inicia su razonamiento afirmando que las reflexiones de la recurrente exceden del ámbito del derecho fundamental a la libertad de expresión y lesionan el derecho al honor. Entiende que justificar las manifestaciones de la demandante de amparo en que el asunto tiene carácter cultural, o por su condición de activista o concejal, vaciaría de contenido la limitación que a la libertad de expresión impone el art. 20.4 de la Constitución. Escoger el momento de la muerte del matador de toros para lanzar “su proclama” revela la intención de lesionar el honor del señor Barrio.</w:t>
      </w:r>
    </w:p>
    <w:p w:rsidR="005728DD" w:rsidRDefault="005728DD" w:rsidP="005728DD">
      <w:pPr>
        <w:pStyle w:val="TextoNormal"/>
      </w:pPr>
    </w:p>
    <w:p w:rsidR="005728DD" w:rsidRDefault="005728DD" w:rsidP="005728DD">
      <w:pPr>
        <w:pStyle w:val="TextoNormal"/>
      </w:pPr>
      <w:r>
        <w:t>Haciéndose eco de la argumentación que en apoyo de su pretensión expuso el Ministerio Fiscal ante el Pleno del Tribunal Supremo, indica que no se trata de un debate sobre cuestiones políticas o de apoyo o no a la tauromaquia, sino una cuestión estrictamente jurídica, “el quid de la cuestión” es determinar si estas manifestaciones se pueden enmarcar dentro de los límites de la libertad de expresión.</w:t>
      </w:r>
    </w:p>
    <w:p w:rsidR="005728DD" w:rsidRDefault="005728DD" w:rsidP="005728DD">
      <w:pPr>
        <w:pStyle w:val="TextoNormal"/>
      </w:pPr>
    </w:p>
    <w:p w:rsidR="005728DD" w:rsidRDefault="005728DD" w:rsidP="005728DD">
      <w:pPr>
        <w:pStyle w:val="TextoNormal"/>
      </w:pPr>
      <w:r>
        <w:t>Entiende que las referencias que la demandante efectúa a su condición de concejal en conexión con el carácter notorio de don Víctor Barrio a los efectos de elaborar su construcción argumental pretenden desviar la atención de la intromisión ilegítima perpetrada. La demandante no solo quiso posicionarse contra la tauromaquia —lo que hubiera estado dentro de su libre expresión— sino que utilizó expresiones y palabras del todo vejatorias, innecesarias y ofensivas, viendo aspectos positivos en el fallecimiento de don Víctor, atentando gravemente contra su honor y el de sus familiares. Se pueden emitir opiniones, a favor o en contra de algo, y todo ello sin necesidad de destacar el aspecto positivo por la muerte de una persona y llamarle asesino, ya que esto excede, no solo de los límites de la moral y el buen gusto, sino de los límites legales y jurisprudenciales.</w:t>
      </w:r>
    </w:p>
    <w:p w:rsidR="005728DD" w:rsidRDefault="005728DD" w:rsidP="005728DD">
      <w:pPr>
        <w:pStyle w:val="TextoNormal"/>
      </w:pPr>
    </w:p>
    <w:p w:rsidR="005728DD" w:rsidRDefault="005728DD" w:rsidP="005728DD">
      <w:pPr>
        <w:pStyle w:val="TextoNormal"/>
      </w:pPr>
      <w:r>
        <w:t>Comparte la argumentación de la sentencia del Tribunal Supremo que resolvió la controversia ponderando ambos derechos constitucionales, teniendo en cuenta la utilización de expresiones ofensivas, impertinentes o innecesarias para expresar una opinión, y las circunstancias concretas del caso. Entiende que ninguna duda cabe al respecto de que la recurrente ha utilizado expresiones ofensivas, ultrajantes y vejatorias, tales como, asesino, sadismo u opresor.</w:t>
      </w:r>
    </w:p>
    <w:p w:rsidR="005728DD" w:rsidRDefault="005728DD" w:rsidP="005728DD">
      <w:pPr>
        <w:pStyle w:val="TextoNormal"/>
      </w:pPr>
    </w:p>
    <w:p w:rsidR="005728DD" w:rsidRDefault="005728DD" w:rsidP="005728DD">
      <w:pPr>
        <w:pStyle w:val="TextoNormal"/>
      </w:pPr>
      <w:r>
        <w:t>Con referencia a las sentencias recaídas en las sucesivas instancias y a la doctrina del Tribunal Constitucional, concluye que dichas expresiones se sitúan fuera del ámbito constitucionalmente protegido de la libre expresión, y suponen, en consecuencia, la vulneración a una persona de su honor y reputación. Añade que dicho mensaje en modo alguno fue publicado en el ámbito de su labor política, ni lo hizo en sede del ayuntamiento ni mediante la cuenta oficial de su partido. Además refiere que don Víctor Barrio no era un torero especialmente conocido a nivel nacional, sino que desgraciadamente adquirió mayor notoriedad a raíz del fatídico accidente, y de los numerosos mensajes que convirtieron la muerte del torero en noticia.</w:t>
      </w:r>
    </w:p>
    <w:p w:rsidR="005728DD" w:rsidRDefault="005728DD" w:rsidP="005728DD">
      <w:pPr>
        <w:pStyle w:val="TextoNormal"/>
      </w:pPr>
    </w:p>
    <w:p w:rsidR="005728DD" w:rsidRDefault="005728DD" w:rsidP="005728DD">
      <w:pPr>
        <w:pStyle w:val="TextoNormal"/>
      </w:pPr>
      <w:r>
        <w:t>Indica que la muerte de una persona no conlleva una limitación de la esfera de protección del derecho al honor, como así resulta de la exposición de motivos y de los arts. 4 a 6 de la Ley Orgánica 1/1982, de 5 de mayo, sobre protección civil del derecho al honor, a la intimidad personal y familiar y a la propia imagen.</w:t>
      </w:r>
    </w:p>
    <w:p w:rsidR="005728DD" w:rsidRDefault="005728DD" w:rsidP="005728DD">
      <w:pPr>
        <w:pStyle w:val="TextoNormal"/>
      </w:pPr>
    </w:p>
    <w:p w:rsidR="005728DD" w:rsidRDefault="005728DD" w:rsidP="005728DD">
      <w:pPr>
        <w:pStyle w:val="TextoNormal"/>
      </w:pPr>
      <w:r>
        <w:t>Finalmente solicita que se impongan las costas del recurso de amparo a la recurrente por haber mantenido posiciones no fundadas o con temeridad o mala fe.</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En fecha 22 de diciembre de 2020 presentó las alegaciones el Ministerio Fiscal. Tras reflejar los aspectos procesales que consideró de interés al caso, concreta los más relevantes de la pretensión de los demandantes y señala que pese a que solo se impugna la sentencia del Tribunal Supremo, conforme a la STC 211/2005, de 18 de julio, FJ 1, la impugnación debe comprender también las sentencias de la Sección Primera de la Audiencia Provincial </w:t>
      </w:r>
      <w:r>
        <w:lastRenderedPageBreak/>
        <w:t>de Segovia y del Juzgado de Primera Instancia e Instrucción Único de Sepúlveda. Considera que el objeto del presente recurso es dilucidar si el mensaje publicado en Facebook por la demandante está amparado por la libertad de expresión [art. 20.1 a) CE] o si por el contrario supuso una injerencia en el honor del fallecido don Víctor Barrio.</w:t>
      </w:r>
    </w:p>
    <w:p w:rsidR="005728DD" w:rsidRDefault="005728DD" w:rsidP="005728DD">
      <w:pPr>
        <w:pStyle w:val="TextoNormal"/>
      </w:pPr>
    </w:p>
    <w:p w:rsidR="005728DD" w:rsidRDefault="005728DD" w:rsidP="005728DD">
      <w:pPr>
        <w:pStyle w:val="TextoNormal"/>
      </w:pPr>
      <w:r>
        <w:t>Con la finalidad de examinar el objeto de la demanda de amparo se hace eco de la doctrina del Tribunal Constitucional plasmada en las SSTC 223/1992, de 14 de diciembre; 9/2007, de 15 de enero, y 226/2016 de 22 de diciembre, cuyo contenido reproduce ampliamente.</w:t>
      </w:r>
    </w:p>
    <w:p w:rsidR="005728DD" w:rsidRDefault="005728DD" w:rsidP="005728DD">
      <w:pPr>
        <w:pStyle w:val="TextoNormal"/>
      </w:pPr>
    </w:p>
    <w:p w:rsidR="005728DD" w:rsidRDefault="005728DD" w:rsidP="005728DD">
      <w:pPr>
        <w:pStyle w:val="TextoNormal"/>
      </w:pPr>
      <w:r>
        <w:t xml:space="preserve">Tras exponer los argumentos de los distintos órganos judiciales que han resuelto la colisión entre los dos derechos fundamentales en la jurisdicción ordinaria, analiza las circunstancias concretas en que se produce el mensaje: (i) el momento y modo en que se emite, indicando que se publicó en el perfil de Facebook el día 10 de julio de 2016, refiriéndose al fallecimiento en la plaza de toros de Teruel del “conocido matador Víctor Barrios”, e indica que no fue casual que se escribiera ese día, sino intencionado “pues, la demandante, concejala de Catarroja por el partido Guanyar Catarroja, es una activa opositora a la utilización de toros en espectáculos o festejos y en la defensa de los animales”. Añade que fue colocado en el muro de Facebook de la demandante y lo acompañó de una fotografía del torero en el momento de la “cogida”, con la finalidad de compartir esas opiniones “con sus amigos (300)” y después apareció publicado en diversos medios de comunicación; (ii) la indudable relevancia pública del debate sobre la tauromaquia; (iii) la calidad de concejala y activista de los animales de la demandada, que sus manifestaciones sean parte del debate público y que se hayan efectuado en un contexto de defensa de los animales, de acuerdo con la doctrina que el Tribunal Europeo de Derechos Humanos hace del art. 10 del Convenio europeo de derechos humanos (CEDH) exige doblemente un alto nivel de protección del derecho a la libertad de expresión (STEDH asunto </w:t>
      </w:r>
      <w:r w:rsidRPr="005728DD">
        <w:rPr>
          <w:i/>
        </w:rPr>
        <w:t>Otegui Mondragón y otros c. España</w:t>
      </w:r>
      <w:r>
        <w:t>); (iv) el carácter público del torero fallecido, conocido por su actividad profesional; (v) en relación con el contenido del mensaje señala que el mismo contiene valoraciones y opiniones que no se refieren a la vida privada y familiar del torero, ni siquiera se hace critica a su calidad profesional. El mensaje tiene un claro contenido ideológico y un solo objetivo: la crítica a la tauromaquia y la defensa de animales que genera un continuo debate público, con partidarios y detractores. Considera que en ese contexto hay que valorar la alusión que se contiene a la trayectoria del torero y a que desde 2008 ha acabado con la vida de 258 animales.</w:t>
      </w:r>
    </w:p>
    <w:p w:rsidR="005728DD" w:rsidRDefault="005728DD" w:rsidP="005728DD">
      <w:pPr>
        <w:pStyle w:val="TextoNormal"/>
      </w:pPr>
    </w:p>
    <w:p w:rsidR="005728DD" w:rsidRDefault="005728DD" w:rsidP="005728DD">
      <w:pPr>
        <w:pStyle w:val="TextoNormal"/>
      </w:pPr>
      <w:r>
        <w:t xml:space="preserve">Discrepa de la valoración que realizan las sentencias, al considerar que carece de trascendencia el valor que la demandante da a la vida de los seres humanos y animales, esto es, sobre su equiparación, pues como indica la STC 81/2020, FJ 12, “la ideología animalista, que equipara el bienestar de los animales con el de los seres humanos, es una convicción filosófica que legítimamente puede defenderse”. Entiende que la supuesta falta de compasión, alegría o alivio a que se refiere la sentencia del Tribunal Supremo, “no deja de ser una valoración subjetiva que se aleja de la apreciación objetiva de las palabras utilizadas en el mensaje”; (vi) por ultimo alude a la finalidad del mensaje, indicando que se debe hacer una valoración objetiva de las palabras pronunciadas, y en concreto, de la utilización del término “asesino” teniendo en cuenta las circunstancias y el contexto referido. La idea que trasmite es la de disentir, por parte de quien es firme defensora de los animales, de una actividad que cuesta muchas vidas, también la de los toreros, hasta el punto que la demandante se pregunta </w:t>
      </w:r>
      <w:r>
        <w:lastRenderedPageBreak/>
        <w:t>cuantas muertes más de toreros se han de producir para que esta actividad no sea subvencionada.</w:t>
      </w:r>
    </w:p>
    <w:p w:rsidR="005728DD" w:rsidRDefault="005728DD" w:rsidP="005728DD">
      <w:pPr>
        <w:pStyle w:val="TextoNormal"/>
      </w:pPr>
    </w:p>
    <w:p w:rsidR="005728DD" w:rsidRDefault="005728DD" w:rsidP="005728DD">
      <w:pPr>
        <w:pStyle w:val="TextoNormal"/>
      </w:pPr>
      <w:r>
        <w:t>Usa la palabra asesino para resaltar la cantidad de animales que mueren, como sinónimo de matador de toros, tal y como se deduce del mensaje que la demandante compartió y de la entrevista que le efectuó un periodista, en la que manifestó que “en vez de haber seis muertes esta vez ha habido siete muertes y que no hay un aspecto positivo que celebrar”.</w:t>
      </w:r>
    </w:p>
    <w:p w:rsidR="005728DD" w:rsidRDefault="005728DD" w:rsidP="005728DD">
      <w:pPr>
        <w:pStyle w:val="TextoNormal"/>
      </w:pPr>
    </w:p>
    <w:p w:rsidR="005728DD" w:rsidRDefault="005728DD" w:rsidP="005728DD">
      <w:pPr>
        <w:pStyle w:val="TextoNormal"/>
      </w:pPr>
      <w:r>
        <w:t>Tras ello considera que las expresiones de la demandante se han de enmarcar en el contexto de esa reivindicación ideológica y su derecho a compartir sus opiniones críticas en las redes sociales a través de la difusión de sus posicionamientos ideológicos, provocando un debate sobre la tauromaquia, pudiendo provocar la condena a la indemnización civil un “efecto paralizante” en el ejercicio de la libertad de expresión de la demandante.</w:t>
      </w:r>
    </w:p>
    <w:p w:rsidR="005728DD" w:rsidRDefault="005728DD" w:rsidP="005728DD">
      <w:pPr>
        <w:pStyle w:val="TextoNormal"/>
      </w:pPr>
    </w:p>
    <w:p w:rsidR="005728DD" w:rsidRDefault="005728DD" w:rsidP="005728DD">
      <w:pPr>
        <w:pStyle w:val="TextoNormal"/>
      </w:pPr>
      <w:r>
        <w:t>Por todo ello concluye que la recurrente no trasgredió los límites del derecho a la libertad de expresión, por lo que procede el otorgamiento del amparo al haber sido vulnerado su derecho a la libertad de expresión.</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w:t>
      </w:r>
      <w:r>
        <w:t>.</w:t>
      </w:r>
    </w:p>
    <w:p w:rsidR="005728DD" w:rsidRDefault="005728DD" w:rsidP="005728DD">
      <w:pPr>
        <w:pStyle w:val="TextoNormal"/>
      </w:pPr>
    </w:p>
    <w:p w:rsidR="005728DD" w:rsidRDefault="005728DD" w:rsidP="005728DD">
      <w:pPr>
        <w:pStyle w:val="TextoNormal"/>
      </w:pPr>
      <w:r>
        <w:t>Conviene precisar en primer lugar que si bien el presente recurso de amparo solamente se dirige contra la sentencia dictada el 3 de abril de 2019 por el Pleno de la Sala de lo Civil del Tribunal Supremo, debe entenderse que la impugnación también comprende la sentencia dictada el 8 de marzo de 2018 por la Sección Primera de la Audiencia Provincial de Segovia y la sentencia de 6 de noviembre de 2017 del Juzgado de Primera Instancia e Instrucción Único de Sepúlveda, pues como indica el Ministerio Fiscal, es doctrina reiterada por este tribunal que “cuando se impugna en amparo constitucional una resolución judicial confirmatoria de otras, que han sido lógica y cronológicamente presupuesto de aquella, han de considerarse también recurridas, aunque no lo hayan sido expresamente, las precedentes decisiones confirmadas” (por todas, STC 21/2021, de 15 de febrero, FJ 3).</w:t>
      </w:r>
    </w:p>
    <w:p w:rsidR="005728DD" w:rsidRDefault="005728DD" w:rsidP="005728DD">
      <w:pPr>
        <w:pStyle w:val="TextoNormal"/>
      </w:pPr>
    </w:p>
    <w:p w:rsidR="005728DD" w:rsidRDefault="005728DD" w:rsidP="005728DD">
      <w:pPr>
        <w:pStyle w:val="TextoNormal"/>
      </w:pPr>
      <w:r>
        <w:t>Efectuada dicha precisión, conviene centrar el objeto del presente recurso de amparo, que no es otro, que decidir si el contenido del mensaje que la demandante de amparo publicó en su cuenta de la red social Facebook y que se ha reproducido en los antecedentes de esta sentencia, está amparado por el ejercicio de su derecho fundamental a la libertad de expresión [art. 20.1 a) CE], como sostiene la recurrente y la representante del Ministerio Fiscal, o si, ausente de dicha protección supuso una intromisión ilegítima en el derecho al honor de don Víctor Barrio Hernanz.</w:t>
      </w:r>
    </w:p>
    <w:p w:rsidR="005728DD" w:rsidRDefault="005728DD" w:rsidP="005728DD">
      <w:pPr>
        <w:pStyle w:val="TextoNormal"/>
      </w:pPr>
    </w:p>
    <w:p w:rsidR="005728DD" w:rsidRDefault="005728DD" w:rsidP="005728DD">
      <w:pPr>
        <w:pStyle w:val="TextoNormal"/>
      </w:pPr>
      <w:r>
        <w:t xml:space="preserve">Este tribunal ha tenido ocasión de pronunciarse sobre los límites del ejercicio del derecho fundamental a la libertad de expresión en relación con el derecho al honor en múltiples </w:t>
      </w:r>
      <w:r>
        <w:lastRenderedPageBreak/>
        <w:t xml:space="preserve">sentencias —algunas de las cuales se citan por las partes en apoyo de sus respectivas posiciones—, sin embargo, no ha abordado la incidencia que tiene en la ponderación de tales derechos fundamentales la utilización de la redes sociales como medio de transmisión de las opiniones, aspecto este, que, como se indicó en la providencia de admisión del recurso de amparo en aras a garantizar una buena administración de justicia (STEDH asunto </w:t>
      </w:r>
      <w:r w:rsidRPr="005728DD">
        <w:rPr>
          <w:i/>
        </w:rPr>
        <w:t>Arribas Antón c. España</w:t>
      </w:r>
      <w:r>
        <w:t>, de 20 de enero de 2015, § 46), y ahora se recalca, dota de especial trascendencia constitucional a la demanda por afectar a una faceta de un derecho fundamental sobre el que no hay doctrina de este tribunal y que será objeto de análisis en el fundamento siguiente.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Las redes sociales y su incidencia en el ejercicio de los derechos fundamentales debatidos</w:t>
      </w:r>
      <w:r>
        <w:t>.</w:t>
      </w:r>
    </w:p>
    <w:p w:rsidR="005728DD" w:rsidRDefault="005728DD" w:rsidP="005728DD">
      <w:pPr>
        <w:pStyle w:val="TextoNormal"/>
      </w:pPr>
    </w:p>
    <w:p w:rsidR="005728DD" w:rsidRDefault="005728DD" w:rsidP="005728DD">
      <w:pPr>
        <w:pStyle w:val="TextoNormal"/>
      </w:pPr>
      <w:r>
        <w:t>La magistrada titular del Juzgado de Instrucción Único de Sepúlveda, ya adelantó en su sentencia, la conveniencia de un ejercicio de reflexión sobre las nuevas formas de comunicación. Dicha apreciación debe compartirse y por ello afirmar la necesidad de tal análisis. Conviene destacar que internet y las nuevas tecnologías de la información y comunicación han propiciado un marco nuevo en las relaciones interpersonales. La generalización del uso de las redes sociales, la accesibilidad de los aparatos de difusión y su facilidad de empleo, la amplia e inmediata difusión de sus contenidos sin limitaciones temporales ni espaciales, el carácter accesible del mensaje por la colectividad, esto es, la naturaleza esencialmente expansiva de la comunicación digital en red y su carácter interactivo, han supuesto una trasformación sin parangón del modelo tradicional de comunicación, dando lugar a un modelo comunicativo que, entre otras notas, se caracteriza por la fragilidad de los factores moderadores del contenido de las opiniones. Dicha transformación ha supuesto un drástico cambio en el perfil del emisor y también de los receptores, cuya facilidad para interactuar entre sí y con el emisor les distancia del carácter pasivo del modelo tradicional. Además estos, en muchas ocasiones, actúan con precaria conciencia de la proyección de las opiniones emitidas, que antaño quedaban reservadas a un ámbito más reducido.</w:t>
      </w:r>
    </w:p>
    <w:p w:rsidR="005728DD" w:rsidRDefault="005728DD" w:rsidP="005728DD">
      <w:pPr>
        <w:pStyle w:val="TextoNormal"/>
      </w:pPr>
    </w:p>
    <w:p w:rsidR="005728DD" w:rsidRDefault="005728DD" w:rsidP="005728DD">
      <w:pPr>
        <w:pStyle w:val="TextoNormal"/>
      </w:pPr>
      <w:r>
        <w:t>De este modo, a las indudables ventajas que resultan de la comunicación a través de las redes sociales, les acompañan, dadas las características descritas y el anonimato en que se amparan muchos usuarios, una mayor potencialidad lesiva de los derechos fundamentales, entre otros, al honor, a la intimidad personal y familiar y a la propia imagen. Ahora bien, debe afirmarse que la transformación derivada de las nuevas formas de comunicación y la generalización de su uso, no produce un vaciamiento de la protección constitucional de los derechos fundamentales y tampoco altera, desde un punto de vista sustantivo o material, los criterios asentados por nuestra reiterada doctrina sobre la función de este tribunal para apreciar si ha existido una vulneración del derecho al honor, ni modifica el contenido y alcance de los derechos fundamentales que deben ser ponderados cuando se invoca una vulneración, que, como en este caso, resulta de la colisión entre la libertad de expresión y el derecho al honor. En efecto, si la conducta es lesiva del derecho al honor fuera de la red, también lo es en ella.</w:t>
      </w:r>
    </w:p>
    <w:p w:rsidR="005728DD" w:rsidRDefault="005728DD" w:rsidP="005728DD">
      <w:pPr>
        <w:pStyle w:val="TextoNormal"/>
      </w:pPr>
    </w:p>
    <w:p w:rsidR="005728DD" w:rsidRDefault="005728DD" w:rsidP="005728DD">
      <w:pPr>
        <w:pStyle w:val="TextoNormal"/>
      </w:pPr>
      <w:r>
        <w:t xml:space="preserve">Es por ello, que para resolver el conflicto planteado es preciso definir (i) el control que le corresponde a este tribunal sobre la vulneración invocada, (ii) el alcance genérico de la libertad de expresión y sus límites, (iii) el contenido del derecho al honor, para poder, (iv) </w:t>
      </w:r>
      <w:r>
        <w:lastRenderedPageBreak/>
        <w:t>tras examinar cuáles son los hechos que han dado lugar al conflicto (v) resolver finalmente la cuestión planteada.</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sobre el control que ha de desarrollarse en supuestos en que se invoca la vulneración del derecho a la libertad de expresión</w:t>
      </w:r>
      <w:r>
        <w:t>.</w:t>
      </w:r>
    </w:p>
    <w:p w:rsidR="005728DD" w:rsidRDefault="005728DD" w:rsidP="005728DD">
      <w:pPr>
        <w:pStyle w:val="TextoNormal"/>
      </w:pPr>
    </w:p>
    <w:p w:rsidR="005728DD" w:rsidRDefault="005728DD" w:rsidP="005728DD">
      <w:pPr>
        <w:pStyle w:val="TextoNormal"/>
      </w:pPr>
      <w:r>
        <w:t>En supuestos como el presente, dada la naturaleza sustantiva de los derechos fundamentales alegados y el contenido de la jurisdicción de amparo, no resulta ocioso recordar que la naturaleza de nuestro juicio o ponderación no versa sobre la razonabilidad o la suficiente motivación de las valoraciones efectuadas por jueces y tribunales. En estos casos, la función que corresponde a este tribunal no se circunscribe a realizar un simple juicio externo de las resoluciones dictadas por los jueces y tribunales ordinarios, sino que vinculados a los hechos declarados probados en la vía judicial [art. 44.1 b) de la Ley Orgánica del Tribunal Constitucional (LOTC) y STC 25/2019, de 25 de febrero, FJ 2 g)], hemos de aplicar a los hechos de los que parten esas resoluciones las exigencias dimanantes de la Constitución para determinar si, al enjuiciarlos, han sido o no respetadas, aunque para este fin sea preciso utilizar criterios distintos de los aplicados en la instancia (SSTC 200/1998, de 14 de octubre, FJ 4; 136/1999, de 20 de julio, FJ 13; 110/2000, de 5 de mayo, FJ 3; 148/2001, de 27 de junio, FJ 3; 20/2002, de 28 de enero, FJ 3; 148/2002, de 15 de julio, FJ 3; 174/2006, de 5 de junio, FJ 2; 299/2006, de 23 de octubre, FJ 3, y, recientemente 192/2020, de 17 de diciembre, FJ 2).</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Contenido y alcance de la libertad de expresión</w:t>
      </w:r>
      <w:r>
        <w:t>.</w:t>
      </w:r>
    </w:p>
    <w:p w:rsidR="005728DD" w:rsidRDefault="005728DD" w:rsidP="005728DD">
      <w:pPr>
        <w:pStyle w:val="TextoNormal"/>
      </w:pPr>
    </w:p>
    <w:p w:rsidR="005728DD" w:rsidRDefault="005728DD" w:rsidP="005728DD">
      <w:pPr>
        <w:pStyle w:val="TextoNormal"/>
      </w:pPr>
      <w:r>
        <w:t>Como se ha adelantado, no afecta a las bases de nuestro enjuiciamiento que las opiniones se hayan emitido a través de las redes sociales, es por ello oportuno exponer la consolidada doctrina constitucional sobre el contenido de la libertad de expresión [art. 20.1 a) CE], no solo por ser el derecho que la recurrente reivindica –cuya proyección también alcanza a las relaciones entre particulares-, sino porque la vulneración del derecho al honor que a la misma se le atribuye por la jurisdicción ordinaria, resulta de “la emisión de pensamientos, ideas u opiniones, sin pretensión de sentar hechos o afirmar datos objetivos” [SSTC 139/2007, de 4 de junio, FJ 6, y 226/2016, de 22 de diciembre, FJ 4 b)].</w:t>
      </w:r>
    </w:p>
    <w:p w:rsidR="005728DD" w:rsidRDefault="005728DD" w:rsidP="005728DD">
      <w:pPr>
        <w:pStyle w:val="TextoNormal"/>
      </w:pPr>
    </w:p>
    <w:p w:rsidR="005728DD" w:rsidRDefault="005728DD" w:rsidP="005728DD">
      <w:pPr>
        <w:pStyle w:val="TextoNormal"/>
      </w:pPr>
      <w:r>
        <w:t>En la STC 23/2010, de 27 de abril, FJ 3, recordamos que la libertad de expresión comprende, junto con la mera expresión de juicios de valor, la crítica de la conducta de otros, aun cuando la misma sea desabrida y pueda molestar, inquietar o disgustar a quien se dirige, pues así lo requieren el pluralismo, la tolerancia y el espíritu de apertura, sin los cuales no existe sociedad democrática. En el marco amplio que se otorga a la libertad de expresión quedan amparadas, según nuestra doctrina, “aquellas manifestaciones que, aunque afecten al honor ajeno, se revelen como necesarias para la exposición de ideas u opiniones de interés público” (por todas, SSTC 107/1988, de 8 de junio, FJ 4; 171/1990, de 12 de noviembre, FJ 10; 204/2001, de 15 de octubre, FJ 4, y 181/2006, de 19 de junio, FJ 5).</w:t>
      </w:r>
    </w:p>
    <w:p w:rsidR="005728DD" w:rsidRDefault="005728DD" w:rsidP="005728DD">
      <w:pPr>
        <w:pStyle w:val="TextoNormal"/>
      </w:pPr>
    </w:p>
    <w:p w:rsidR="005728DD" w:rsidRDefault="005728DD" w:rsidP="005728DD">
      <w:pPr>
        <w:pStyle w:val="TextoNormal"/>
      </w:pPr>
      <w:r>
        <w:t xml:space="preserve">Esa exigencia de necesidad de la expresión utilizada para la transmisión de la opinión, a la que se han referido también las sentencias impugnadas, ha sido enfatizada de modo constante por nuestra doctrina. Así, hemos indicado que “el derecho a la libertad de expresión, al referirse a la formulación de ‘pensamientos, ideas y opiniones’, sin pretensión de sentar hechos o afirmar datos objetivos, dispone de un campo de acción que viene solo delimitado por la ausencia de expresiones sin relación con las ideas u opiniones que se expongan y que </w:t>
      </w:r>
      <w:r>
        <w:lastRenderedPageBreak/>
        <w:t>resulten innecesarias para la exposición de las mismas” (STC 79/2014, de 28 de mayo, FJ 6 y jurisprudencia allí citada).</w:t>
      </w:r>
    </w:p>
    <w:p w:rsidR="005728DD" w:rsidRDefault="005728DD" w:rsidP="005728DD">
      <w:pPr>
        <w:pStyle w:val="TextoNormal"/>
      </w:pPr>
    </w:p>
    <w:p w:rsidR="005728DD" w:rsidRDefault="005728DD" w:rsidP="005728DD">
      <w:pPr>
        <w:pStyle w:val="TextoNormal"/>
      </w:pPr>
      <w:r>
        <w:t>Y es por ello que la Constitución no reconoce un pretendido derecho al insulto, de modo que no cabe utilizar, en ejercicio del derecho a la libertad de expresión constitucionalmente protegida, expresiones formalmente injuriosas (SSTC 107/1988, de 8 de junio, FJ 4; 105/1990, de 6 de junio, FJ 8; 200/1998, de 14 de octubre, FJ 5, y 192/1999, de 25 de octubre, FJ 3). Esta exigencia de necesidad de la expresión o manifestación utilizada, determina que no se puedan justificar las expresiones de carácter absolutamente vejatorias (SSTC 204/2001, de 15 de octubre, FJ 4; 174/2006, de 5 de junio, FJ 4, y 9/2007, de 15 de enero, FJ 4); es decir, quedan proscritas “aquellas que, dadas las concretas circunstancias del caso, y al margen de su veracidad o inveracidad, sean ofensivas u oprobiosas y resulten impertinentes para expresar las opiniones o informaciones de que se trate” (STC 41/2011, de 11 de abril, FJ 5, y jurisprudencia allí citada), pues estas difícilmente podrían quedar amparadas por el derecho a la libertad de expresión al ser la dignidad de la persona fundamento mismo del orden político y la paz social (art. 10.1 CE) y piedra angular sobre la que se vertebra el sistema de los derechos y deberes fundamentales, y también, por tanto, de la libertad de expresión que la recurrente vindica.</w:t>
      </w:r>
    </w:p>
    <w:p w:rsidR="005728DD" w:rsidRDefault="005728DD" w:rsidP="005728DD">
      <w:pPr>
        <w:pStyle w:val="TextoNormal"/>
      </w:pPr>
    </w:p>
    <w:p w:rsidR="005728DD" w:rsidRDefault="005728DD" w:rsidP="005728DD">
      <w:pPr>
        <w:pStyle w:val="TextoNormal"/>
      </w:pPr>
      <w:r>
        <w:t xml:space="preserve">Es decir, pese a la importancia de la libertad de expresión, en tanto que además “garantiza un interés constitucional: la formación y existencia de una opinión pública libre” (STC 235/2007, de 7 de noviembre, FJ 4, reiterada por la STC 79/2014, de 28 de mayo, FJ 6), constituye uno de los fundamentos esenciales de una sociedad democrática y una de las condiciones primordiales de su progreso (en el mismo sentido SSTEDH asunto </w:t>
      </w:r>
      <w:r w:rsidRPr="005728DD">
        <w:rPr>
          <w:i/>
        </w:rPr>
        <w:t>Castells c. España</w:t>
      </w:r>
      <w:r>
        <w:t xml:space="preserve">, de 23 de abril de 1992, § 42; asunto </w:t>
      </w:r>
      <w:r w:rsidRPr="005728DD">
        <w:rPr>
          <w:i/>
        </w:rPr>
        <w:t>Fuentes Bobo c. España</w:t>
      </w:r>
      <w:r>
        <w:t xml:space="preserve">, de 29 de febrero de 2000, § 43; asunto </w:t>
      </w:r>
      <w:r w:rsidRPr="005728DD">
        <w:rPr>
          <w:i/>
        </w:rPr>
        <w:t>Stoll c. Suiza</w:t>
      </w:r>
      <w:r>
        <w:t xml:space="preserve">, de 10 de diciembre de 2007, § 101; asunto </w:t>
      </w:r>
      <w:r w:rsidRPr="005728DD">
        <w:rPr>
          <w:i/>
        </w:rPr>
        <w:t>Movimiento raeliano c. Suiza</w:t>
      </w:r>
      <w:r>
        <w:t xml:space="preserve">, de 13 de julio de 2012, § 48, y asunto </w:t>
      </w:r>
      <w:r w:rsidRPr="005728DD">
        <w:rPr>
          <w:i/>
        </w:rPr>
        <w:t>Morice c. Francia</w:t>
      </w:r>
      <w:r>
        <w:t>, de 23 de abril de 2015, § 124), y por ello su ejercicio, como el del resto de derechos fundamentales está sometido a límites constitucionales (STC 65/2015, de 13 de abril, FJ 3), no solo derivados del necesario respeto de los derechos fundamentales de los demás, sino inherentes a su propia naturaleza y sentido. De la propia Constitución se deriva que la libertad de expresión tiene su límite en el respeto a los derechos reconocidos en este Título Primero y especialmente —se recalca— “en el derecho al honor, a la intimidad, [y] a la propia imagen” (art. 20.4 CE).</w:t>
      </w:r>
    </w:p>
    <w:p w:rsidR="005728DD" w:rsidRDefault="005728DD" w:rsidP="005728DD">
      <w:pPr>
        <w:pStyle w:val="TextoNormal"/>
      </w:pPr>
    </w:p>
    <w:p w:rsidR="005728DD" w:rsidRDefault="005728DD" w:rsidP="005728DD">
      <w:pPr>
        <w:pStyle w:val="TextoNormal"/>
      </w:pPr>
      <w:r>
        <w:t>El derecho al honor, en tanto que derecho de la personalidad, derivado de la dignidad humana, opera como un límite especifico de la libertad de expresión (art. 20.4 CE). Dicha limitación aparece reconocida en tratados e instrumentos internacionales que son parámetro interpretativo de los derechos y libertades (art. 10.2 CE). El Pacto internacional de derechos civiles y políticos en el párrafo tercero de su artículo 19 prevé que la libertad de expresión entraña deberes y responsabilidades especiales, de ahí que pueda estar sujeta a restricciones expresamente fijadas por la ley, siempre que sean necesarias para asegurar el respeto a los derechos o a la reputación de los demás.</w:t>
      </w:r>
    </w:p>
    <w:p w:rsidR="005728DD" w:rsidRDefault="005728DD" w:rsidP="005728DD">
      <w:pPr>
        <w:pStyle w:val="TextoNormal"/>
      </w:pPr>
    </w:p>
    <w:p w:rsidR="005728DD" w:rsidRDefault="005728DD" w:rsidP="005728DD">
      <w:pPr>
        <w:pStyle w:val="TextoNormal"/>
      </w:pPr>
      <w:r>
        <w:t xml:space="preserve">Ciertamente es posible que, a pesar de producirse una intromisión en el derecho al honor, la misma no se considere ilegítima si se revela como necesaria para lograr un fin constitucionalmente legítimo, es proporcionada para alcanzarlo y se lleva a cabo de un modo necesario para procurar una mínima afectación del ámbito garantizado por este derecho. Es por </w:t>
      </w:r>
      <w:r>
        <w:lastRenderedPageBreak/>
        <w:t>ello que nuestra doctrina ha amparado la crítica de la conducta de otros, aun cuando la misma sea desabrida y pueda molestar, inquietar o disgustar a quien se dirige, siempre que sea necesaria para transmitir la opinión y proporcionada para exteriorizarla. El ejercicio de la libertad de expresión no puede servir de excusa para el insulto, ni tampoco ser un instrumento para menoscabar la dignidad del ser humano y su propio valor como persona. Es en la dignidad, entendida como “valor espiritual y moral inherente a la persona”, que “lleva consigo la pretensión al respeto por parte de los demás” (STC 53/1985, de 11 de abril, FJ 8) donde se encuentra el “germen o núcleo de unos derechos que le son inherentes”(STC 53/1985 FJ 3), entre los que se encuentra el derecho al honor (art. 18.1 CE) y también la libertad de expresión al posibilitarse con su ejercicio el libre desarrollo de la personalidad del ser humano.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Contenido y alcance del derecho fundamental al honor (art. 18.1 CE</w:t>
      </w:r>
      <w:r>
        <w:t>).</w:t>
      </w:r>
    </w:p>
    <w:p w:rsidR="005728DD" w:rsidRDefault="005728DD" w:rsidP="005728DD">
      <w:pPr>
        <w:pStyle w:val="TextoNormal"/>
      </w:pPr>
    </w:p>
    <w:p w:rsidR="005728DD" w:rsidRDefault="005728DD" w:rsidP="005728DD">
      <w:pPr>
        <w:pStyle w:val="TextoNormal"/>
      </w:pPr>
      <w:r>
        <w:t>Sentado que el derecho al honor es un límite al ejercicio de la libertad de expresión, el lógico discurrir argumental lleva a que expongamos la doctrina elaborada por este tribunal relativa a su contenido y alcance. Hemos reiterado que el derecho al honor es un derecho autónomo con contenido propio y específico al de los derechos a la intimidad personal y a la propia imagen, reconocidos en el art. 18.1 CE, a pesar de su estrecha relación con ellos en tanto que derechos de la personalidad, derivados de la dignidad humana y dirigidos a la protección del patrimonio moral de las personas [SSTC 81/2001, de 26 de marzo, FJ 2; 156/2001, de 2 de julio, FJ 3; 46/2002, de 25 de febrero, FJ 4; 14/2003, de 30 de enero, FJ 4, y 127/2003, de 30 de junio, FJ 6 b)].</w:t>
      </w:r>
    </w:p>
    <w:p w:rsidR="005728DD" w:rsidRDefault="005728DD" w:rsidP="005728DD">
      <w:pPr>
        <w:pStyle w:val="TextoNormal"/>
      </w:pPr>
    </w:p>
    <w:p w:rsidR="005728DD" w:rsidRDefault="005728DD" w:rsidP="005728DD">
      <w:pPr>
        <w:pStyle w:val="TextoNormal"/>
      </w:pPr>
      <w:r>
        <w:t>Este tribunal ha reiterado que el contenido del derecho al honor “es lábil y fluido, cambiante” (STC 170/1994, de 7 de junio, FJ 4), de tal suerte que una de sus características principales consiste en ser “un concepto jurídico normativo cuya precisión depende de las normas, valores e ideas sociales vigentes en cada momento” (STC 180/1999, de 11 de octubre, FJ 4; en similares términos, SSTC 112/2000, de 5 de mayo, FJ 6; 297/2000, de 11 de diciembre, FJ 7; 49/2001, de 26 de febrero, FJ 5, y 46/2002, de 25 de febrero, FJ 6). Ahora bien, el grado de indeterminación del objeto de este derecho no llega a tal extremo que impida identificar como “su contenido constitucional abstracto” la preservación de “la buena reputación de una persona, protegiéndola frente a expresiones o mensajes que le hagan desmerecer en la consideración ajena al ir en su descrédito o menosprecio o que sean tenidas en el concepto público por afrentosas” (STC 180/1999, de 11 de octubre, FJ 4).</w:t>
      </w:r>
    </w:p>
    <w:p w:rsidR="005728DD" w:rsidRDefault="005728DD" w:rsidP="005728DD">
      <w:pPr>
        <w:pStyle w:val="TextoNormal"/>
      </w:pPr>
    </w:p>
    <w:p w:rsidR="005728DD" w:rsidRDefault="005728DD" w:rsidP="005728DD">
      <w:pPr>
        <w:pStyle w:val="TextoNormal"/>
      </w:pPr>
      <w:r>
        <w:t>Dicho de otro modo, el honor “no solo es un límite a las libertades del art. 20.1 a) y d) de la Constitución, expresamente citado como tal en el núm. 4 del mismo artículo, sino que también es, en sí mismo considerado, un derecho fundamental protegido por el art. 18.1 de la Constitución, que, derivado de la dignidad de la persona, confiere a su titular el derecho a no ser escarnecido o humillado ante uno mismo o ante los demás” (SSTC 85/1992, de 8 de junio, FJ 4; 297/2000, de 11 de diciembre, FJ 7, y 204/2001, de 15 de octubre, FJ 7). En consecuencia, el mencionado derecho fundamental protege frente al “desmerecimiento en la consideración ajena” (STC 52/2002, de 25 de febrero, FJ 4), pues lo perseguido por el art. 18.1 CE “es la indemnidad de la imagen que de una persona puedan tener los demás” (STC 180/1999, FJ 5).</w:t>
      </w:r>
    </w:p>
    <w:p w:rsidR="005728DD" w:rsidRDefault="005728DD" w:rsidP="005728DD">
      <w:pPr>
        <w:pStyle w:val="TextoNormal"/>
      </w:pPr>
    </w:p>
    <w:p w:rsidR="005728DD" w:rsidRDefault="005728DD" w:rsidP="005728DD">
      <w:pPr>
        <w:pStyle w:val="TextoNormal"/>
      </w:pPr>
      <w:r>
        <w:lastRenderedPageBreak/>
        <w:t>Es preciso también referir, “que el honor que la Constitución protege es también el que se expone y acredita en la vida profesional del sujeto, vertiente esta de la actividad individual que no podrá ser, sin daño para el derecho fundamental, menospreciada sin razón legítima, con temeridad o por capricho [respecto al “prestigio profesional” a estos efectos, STC 223/1992, de 14 de diciembre, FJ 3; en términos no diferentes, SSTC 9/2007, de 15 de enero, FJ 3; 41/2011, FJ 5 c), y 216/2013, FJ 5]. La simple crítica a la pericia profesional en el desempeño de una actividad no debe confundirse, sin más, con un atentado al honor, cierto es, pero la protección del art. 18.1 CE sí defiende de “aquellas críticas que, pese a estar formalmente dirigidas a la actividad profesional de un individuo, constituyen en el fondo una descalificación personal, al repercutir directamente en su consideración y dignidad individuales” (STC 65/2015, de 13 de abril, FJ 3).</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Hechos que han suscitado la controversia constitucional y criterio seguido por la jurisdicción ordinaria</w:t>
      </w:r>
      <w:r>
        <w:t>.</w:t>
      </w:r>
    </w:p>
    <w:p w:rsidR="005728DD" w:rsidRDefault="005728DD" w:rsidP="005728DD">
      <w:pPr>
        <w:pStyle w:val="TextoNormal"/>
      </w:pPr>
    </w:p>
    <w:p w:rsidR="005728DD" w:rsidRDefault="005728DD" w:rsidP="005728DD">
      <w:pPr>
        <w:pStyle w:val="TextoNormal"/>
      </w:pPr>
      <w:r>
        <w:t>La recurrente de amparo, concejal del Ayuntamiento de Catarroja (Valencia), como se ha relatado en los antecedentes, a las pocas horas de que muriera el torero don Víctor Barrio Hernanz a consecuencia de una cornada en la plaza de toros de Teruel, publicó en su cuenta de la red social Facebook, un texto en el que reproducía el titular de un medio de comunicación digital: “Fallece el torero Víctor Barrio al sufrir una cogida en la feria de Teruel”, junto con una fotografía del torero en el momento en que fue corneado. El texto, traducido al castellano, ha sido íntegramente glosado en el antecedente 2 a). En síntesis la recurrente a través del texto refería que: (i) “se podía tratar de ver el aspecto positivo de las noticias para no sufrir tanto […] Ya ha dejado de matar”; (ii) “el negativo” “que a lo largo de su carrera ha matado mucho”. Muchos del equipo de la recurrente, “el de los oprimidos”, que siempre pierde, “porque tienen a todos los opresores en contra” y el partido amañado; (iii) “los opresores han tenido una baja, una víctima más, un peón en su sistema”; (iv) e indicaba que no podía “sentirlo por el asesino que ha muerto más que por todos los cadáveres que ha dejado a su paso mientras vivió”, refiriéndose a cadáveres de toros adultos y de novillos.</w:t>
      </w:r>
    </w:p>
    <w:p w:rsidR="005728DD" w:rsidRDefault="005728DD" w:rsidP="005728DD">
      <w:pPr>
        <w:pStyle w:val="TextoNormal"/>
      </w:pPr>
    </w:p>
    <w:p w:rsidR="005728DD" w:rsidRDefault="005728DD" w:rsidP="005728DD">
      <w:pPr>
        <w:pStyle w:val="TextoNormal"/>
      </w:pPr>
      <w:r>
        <w:t>Los órganos judiciales, de forma unánime, han considerado que el contenido del mensaje publicado constituye una intromisión ilegítima en el derecho al honor de don Víctor Barrio Hernanz. El Juzgado de Primera Instancia Único de Sepúlveda y la Sección Primera de la Audiencia Provincial de Segovia argumentaron que la recurrente, actuando como particular, utilizó la expresión de asesino —errónea y peyorativa—, dirigiéndose directamente hacia don Víctor Barrio, de modo absolutamente innecesario para exponer sus ideas y opiniones acerca de la tauromaquia, a las pocas horas de su fallecimiento, alcanzando una gran repercusión social a nivel nacional, y perturbando el dolor de los familiares y la memoria del difunto. Ambas resoluciones destacan en su argumentación el carácter lícito de la profesión a la que se dedicaba el torero.</w:t>
      </w:r>
    </w:p>
    <w:p w:rsidR="005728DD" w:rsidRDefault="005728DD" w:rsidP="005728DD">
      <w:pPr>
        <w:pStyle w:val="TextoNormal"/>
      </w:pPr>
    </w:p>
    <w:p w:rsidR="005728DD" w:rsidRDefault="005728DD" w:rsidP="005728DD">
      <w:pPr>
        <w:pStyle w:val="TextoNormal"/>
      </w:pPr>
      <w:r>
        <w:t xml:space="preserve">Por su parte la sentencia del Pleno de la Sala Civil del Tribunal Supremo, confirma que las manifestaciones exceden del ámbito protegido por la libertad de expresión. Fundamenta dicha conclusión en que si bien las mismas van referidas a un personaje de cierta relevancia pública y tienen relación con la polémica social que existe sobre la tauromaquia, por su contenido gravemente vejatorio, por el contexto en que se producen, por referirse concretamente a una persona que acaba de morir traumáticamente, mostrando un sentimiento de alegría o alivio, por tachar directamente al torero fallecido de asesino —término de carga </w:t>
      </w:r>
      <w:r>
        <w:lastRenderedPageBreak/>
        <w:t>ofensiva evidente, dirigido contra el fallecido y no contra personas indeterminadas—, violentando y perturbando el dolor de los familiares y la persona del difunto, y por incumplir la exigencia mínima de humanidad y respeto al dolor de los familiares ante la muerte traumática de un ser querido, como uso social de una sociedad civilizada. Finalmente señala la proporcionalidad de la respuesta derivada de la injerencia en el derecho al honor, al no imponerse una condena penal, sino una indemnización encaminada a reparar el honor del ofendido y aliviar el dolor de sus familiares.</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Planteamiento del conflicto constitucional. Afectación del derecho al honor. Ausencia de necesidad y proporcionalidad de la injerencia</w:t>
      </w:r>
      <w:r>
        <w:t>.</w:t>
      </w:r>
    </w:p>
    <w:p w:rsidR="005728DD" w:rsidRDefault="005728DD" w:rsidP="005728DD">
      <w:pPr>
        <w:pStyle w:val="TextoNormal"/>
      </w:pPr>
    </w:p>
    <w:p w:rsidR="005728DD" w:rsidRDefault="005728DD" w:rsidP="005728DD">
      <w:pPr>
        <w:pStyle w:val="TextoNormal"/>
      </w:pPr>
      <w:r>
        <w:t>Expuesto el razonamiento de las resoluciones impugnadas, procede efectuar la ponderación entre el derecho a la libertad de expresión y el derecho fundamental al honor conforme a los criterios expuestos. Es conveniente a tal fin recordar las razones en las que la demandante sustenta la vulneración producida y el parámetro que debe servir de enjuiciamiento, verificar si efectivamente el derecho al honor se ha visto afectado y finalmente, valorar, en su caso, si debe soportar dicha injerencia habida cuenta de su eventual necesidad y proporcionalidad.</w:t>
      </w:r>
    </w:p>
    <w:p w:rsidR="005728DD" w:rsidRDefault="005728DD" w:rsidP="005728DD">
      <w:pPr>
        <w:pStyle w:val="TextoNormal"/>
      </w:pPr>
    </w:p>
    <w:p w:rsidR="005728DD" w:rsidRDefault="005728DD" w:rsidP="005728DD">
      <w:pPr>
        <w:pStyle w:val="TextoNormal"/>
      </w:pPr>
      <w:r>
        <w:t>La recurrente, y con parecidos argumentos el Ministerio Fiscal, sostienen que las manifestaciones que se han considerado lesivas del derecho al honor de don Víctor Barrio Hernanz se encuentran amparadas por el legítimo ejercicio del derecho a la libertad de expresión. Sustentan dicha valoración en que la recurrente es una activista política antitaurina —“convicción filosófica que legítimamente puede defenderse” (STC 81/2020, FJ 12)—, que se pronunció en el ámbito lícito de la crítica antitaurina, en pleno debate social sobre el futuro de la tauromaquia. Niegan que las manifestaciones sean atentatorias contra la reputación profesional o personal de “un torero”, apuntando la “indudable notoriedad” que don Víctor Barrio tenía dentro del mundo del toreo, y la necesidad de valorar la utilización del término “asesino” teniendo en cuenta las circunstancias y el contexto referido. Finalmente, el Ministerio Fiscal añade que la condena a la indemnización civil puede provocar un “efecto paralizante” en el ejercicio de la libertad de expresión.</w:t>
      </w:r>
    </w:p>
    <w:p w:rsidR="005728DD" w:rsidRDefault="005728DD" w:rsidP="005728DD">
      <w:pPr>
        <w:pStyle w:val="TextoNormal"/>
      </w:pPr>
    </w:p>
    <w:p w:rsidR="005728DD" w:rsidRDefault="005728DD" w:rsidP="005728DD">
      <w:pPr>
        <w:pStyle w:val="TextoNormal"/>
      </w:pPr>
      <w:r>
        <w:t>Todas las partes que han intervenido en este proceso coinciden, con las resoluciones judiciales, al admitir de modo más o menos explícito, el derecho de la recurrente a tener sus propias creencias y pensamientos y a defenderlas públicamente. También aceptan que la Constitución establece como límite del ejercicio de la libertad de expresión el respeto a los derechos reconocidos en su título primero y, “especialmente, en el derecho al honor, a la intimidad, a la propia imagen” (art. 20.4 CE). En lo que disienten es si el texto publicado por la recurrente, atendidas las circunstancias concurrentes, supone una intromisión en el derecho al honor de don Víctor Barrio y si dicha injerencia en el caso de que se hubiera producido —aspecto negado por la recurrente y el Ministerio Fiscal— era necesaria y proporcionada para la consecución del objetivo que la recurrente pretendía o por el contrario supuso un ilegítimo ejercicio de la libertad de expresión.</w:t>
      </w:r>
    </w:p>
    <w:p w:rsidR="005728DD" w:rsidRDefault="005728DD" w:rsidP="005728DD">
      <w:pPr>
        <w:pStyle w:val="TextoNormal"/>
      </w:pPr>
    </w:p>
    <w:p w:rsidR="005728DD" w:rsidRDefault="005728DD" w:rsidP="005728DD">
      <w:pPr>
        <w:pStyle w:val="TextoNormal"/>
      </w:pPr>
      <w:r>
        <w:t xml:space="preserve">Debe compartirse, por evidente, que la Constitución ampara la libertad ideológica, que comprende como dimensión interna la de adoptar una determinada posición intelectual ante la vida y cuanto le concierne y a representar o enjuiciar la realidad según personales convicciones, y como dimensión externa un </w:t>
      </w:r>
      <w:r w:rsidRPr="005728DD">
        <w:rPr>
          <w:i/>
        </w:rPr>
        <w:t>agere licere</w:t>
      </w:r>
      <w:r>
        <w:t xml:space="preserve">, con arreglo a las propias ideas, sin </w:t>
      </w:r>
      <w:r>
        <w:lastRenderedPageBreak/>
        <w:t>sufrir por ello sanción o demérito ni padecer la compulsión o la injerencia de los poderes públicos (STC 81/2020, FJ 12). En este caso, debe reconocerse como legítima la posición de defensa de los animales frente a los espectáculos taurinos, incluso la proyección de dicha sensibilidad mediante opiniones y manifestaciones hirientes, que pueda molestar, inquietar o disgustar, a quienes mantienen posiciones contrarias. Pero también está fuera de toda duda, que la Constitución no tutela ni alienta, a quienes invocando la libertad de expresión socavan la dignidad humana que es a la vez sustento y límite de dicha libertad y del resto del orden jurídico (art. 10.1 CE), ni tampoco a quienes con su ejercicio menoscaban el derecho al honor de los demás mediante una injerencia innecesaria o desproporcionada (arts. 18.1 y 20.4 CE). Precisamente el núcleo de la problemática constitucional planteada es si el texto publicado afectó al honor y si lo hizo de modo innecesario y desproporcionado.</w:t>
      </w:r>
    </w:p>
    <w:p w:rsidR="005728DD" w:rsidRDefault="005728DD" w:rsidP="005728DD">
      <w:pPr>
        <w:pStyle w:val="TextoNormal"/>
      </w:pPr>
    </w:p>
    <w:p w:rsidR="005728DD" w:rsidRDefault="005728DD" w:rsidP="005728DD">
      <w:pPr>
        <w:pStyle w:val="TextoNormal"/>
      </w:pPr>
      <w:r>
        <w:t>Para valorar si se ha producido una injerencia en el derecho al honor, atendido que su contenido es inestable y lábil, debemos fijarnos en las normas, valores e ideas sociales vigentes en cada momento (SSTC 170/1994, FJ 4, y 28/2020, FJ 4).</w:t>
      </w:r>
    </w:p>
    <w:p w:rsidR="005728DD" w:rsidRDefault="005728DD" w:rsidP="005728DD">
      <w:pPr>
        <w:pStyle w:val="TextoNormal"/>
      </w:pPr>
    </w:p>
    <w:p w:rsidR="005728DD" w:rsidRDefault="005728DD" w:rsidP="005728DD">
      <w:pPr>
        <w:pStyle w:val="TextoNormal"/>
      </w:pPr>
      <w:r>
        <w:t>En primer lugar, es importante destacar que “la tauromaquia tiene una indudable presencia en la realidad social de nuestro país”. De modo que “las corridas de toros y espectáculos similares son una expresión más de carácter cultural, de manera que pueden formar parte del patrimonio cultural común” (STC 177/2016, FJ 4). La Ley 18/2013, de 12 de noviembre, para la regulación de la tauromaquia como patrimonio cultural, indica que es “digno de protección en todo el territorio nacional” y que “requiere de protección y fomento” como “actividad cultural y artística”, comprendiendo “el conjunto de conocimientos y actividades artísticas, creativas y productivas, incluyendo la crianza y selección del toro de lidia, que confluyen en la corrida de toros moderna y el arte de lidiar, expresión relevante de la cultura tradicional del pueblo español” y, por extensión, “toda manifestación artística y cultural vinculada a la misma” (artículo 1).</w:t>
      </w:r>
    </w:p>
    <w:p w:rsidR="005728DD" w:rsidRDefault="005728DD" w:rsidP="005728DD">
      <w:pPr>
        <w:pStyle w:val="TextoNormal"/>
      </w:pPr>
    </w:p>
    <w:p w:rsidR="005728DD" w:rsidRDefault="005728DD" w:rsidP="005728DD">
      <w:pPr>
        <w:pStyle w:val="TextoNormal"/>
      </w:pPr>
      <w:r>
        <w:t>En este contexto social, en el que la tauromaquia forma parte del patrimonio cultural inmaterial español, calificar directamente a don Víctor Barrio Hernanz, por su dedicación profesional como “asesino” o miembro del equipo de los “opresores”, debe ser considerado, sin el menor atisbo de duda como una injerencia en su derecho al honor, al suponer un menoscabo de reputación personal, así como una denigración de su prestigio y actividad profesional, con directa afectación a su propia consideración y dignidad individual.</w:t>
      </w:r>
    </w:p>
    <w:p w:rsidR="005728DD" w:rsidRDefault="005728DD" w:rsidP="005728DD">
      <w:pPr>
        <w:pStyle w:val="TextoNormal"/>
      </w:pPr>
    </w:p>
    <w:p w:rsidR="005728DD" w:rsidRDefault="005728DD" w:rsidP="005728DD">
      <w:pPr>
        <w:pStyle w:val="TextoNormal"/>
      </w:pPr>
      <w:r>
        <w:t>Además, atendidas las circunstancias del caso, dicha injerencia se evidencia como innecesaria, desproporcionada, así como carente de anclaje alguno en el ejercicio del derecho a la libertad de expresión de la recurrente. En efecto, para defender públicamente sus posiciones antitaurinas no era necesario calificar en la red social de asesino o de opresor a don Víctor Barrio y mostrar alivio por su muerte. Menos aún hacerlo acompañando al texto una fotografía en que se mostraba al torero malherido, en el momento en que fue corneado, con evidentes muestras de dolor, y realizar esa publicación a las pocas horas de fallecer a consecuencia de esa cornada en la plaza de toros de Teruel, ocasionando con ello un dolor añadido al que tenían sus familiares.</w:t>
      </w:r>
    </w:p>
    <w:p w:rsidR="005728DD" w:rsidRDefault="005728DD" w:rsidP="005728DD">
      <w:pPr>
        <w:pStyle w:val="TextoNormal"/>
      </w:pPr>
    </w:p>
    <w:p w:rsidR="005728DD" w:rsidRDefault="005728DD" w:rsidP="005728DD">
      <w:pPr>
        <w:pStyle w:val="TextoNormal"/>
      </w:pPr>
      <w:r>
        <w:t xml:space="preserve">Tampoco la utilización de tales expresiones venía exigida o reclamada por un ejercicio de “pluralismo”, “tolerancia” o “espíritu de apertura”, sustento de cualquier sociedad democrática y de la libertad de expresión. Al contrario, precisamente tales principios reclamaban </w:t>
      </w:r>
      <w:r>
        <w:lastRenderedPageBreak/>
        <w:t>de la recurrente una mayor mesura y contención a fin de no menoscabar injustificadamente el respeto debido a la dignidad humana, al dolor de los familiares y al honor del fallecido. A ello aluden, con razón, las resoluciones judiciales impugnadas al referirse a exigencias mínimas de humanidad como integrantes de los usos sociales en una sociedad civilizada.</w:t>
      </w:r>
    </w:p>
    <w:p w:rsidR="005728DD" w:rsidRDefault="005728DD" w:rsidP="005728DD">
      <w:pPr>
        <w:pStyle w:val="TextoNormal"/>
      </w:pPr>
    </w:p>
    <w:p w:rsidR="005728DD" w:rsidRDefault="005728DD" w:rsidP="005728DD">
      <w:pPr>
        <w:pStyle w:val="TextoNormal"/>
      </w:pPr>
      <w:r>
        <w:t>Mostrar, al amparo de la defensa de posiciones antitaurinas, alivio por la muerte de un ser humano producida mientras ejercía su profesión, y calificarle de asesino a las pocas horas de producirse su deceso, junto con la fotografía del momento agónico, supone un desconocimiento inexcusable de la situación central que ocupa la persona en nuestra sociedad democrática y del necesario respeto de los derechos de los demás. La libertad de expresión no puede ser un instrumento para menoscabar la dignidad del ser humano, pues esta se erige como fundamento del orden político y de la paz social (art. 10.1 CE), a la vez que en sustento y límite de su ejercicio.</w:t>
      </w:r>
    </w:p>
    <w:p w:rsidR="005728DD" w:rsidRDefault="005728DD" w:rsidP="005728DD">
      <w:pPr>
        <w:pStyle w:val="TextoNormal"/>
      </w:pPr>
    </w:p>
    <w:p w:rsidR="005728DD" w:rsidRDefault="005728DD" w:rsidP="005728DD">
      <w:pPr>
        <w:pStyle w:val="TextoNormal"/>
      </w:pPr>
      <w:r>
        <w:t>Por lo expuesto, puede concluirse que no se ha vulnerado el derecho a la libertad de expresión de la recurrente, pues el contexto y el contenido con el que se publicó el texto eran innecesarios y desproporcionados para defender públicamente sus ideas antitaurinas, de modo que la decisión de los órganos judiciales fue necesaria para tutelar el derecho fundamental al honor de don Víctor Barrio, sin que la indemnización fijada pueda considerarse desproporcionada atendida la lesión causada y la exigencia de su reparación. Debe por ello descartarse que las sentencias impugnadas hayan ocasionado un indeseable efecto “paralizante” en el ejercicio de la libertad de expresión al que alude el Ministerio Fiscal.</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doña Piedad Ángeles Peris García, contra las sentencias dictadas el 3 de abril de 2019, el 8 de marzo de 2018 y el 6 de noviembre de 2017, respectivamente por el Pleno de la Sala de lo Civil del Tribunal Supremo, la Sección Primera de la Audiencia Provincial de Segovia y el Juzgado de Primera Instancia e Instrucción Único de Sepúlveda.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rsidP="005728DD">
      <w:pPr>
        <w:pStyle w:val="ParrafoNormal"/>
      </w:pPr>
    </w:p>
    <w:p w:rsidR="005728DD" w:rsidRDefault="005728DD" w:rsidP="005728DD">
      <w:pPr>
        <w:pStyle w:val="TextoNormalNegritaCentrado"/>
        <w:keepNext/>
      </w:pPr>
      <w:r>
        <w:t>Voto particular que formula la magistrada doña María Luisa Balaguer Callejón, respecto de la sentencia dictada en el recurso de amparo núm. 3223-2019</w:t>
      </w:r>
    </w:p>
    <w:p w:rsidR="005728DD" w:rsidRDefault="005728DD" w:rsidP="005728DD">
      <w:pPr>
        <w:pStyle w:val="TextoNormalNegritaCentrado"/>
        <w:keepNext/>
      </w:pPr>
    </w:p>
    <w:p w:rsidR="005728DD" w:rsidRDefault="005728DD" w:rsidP="005728DD">
      <w:pPr>
        <w:pStyle w:val="TextoNormal"/>
      </w:pPr>
      <w:r>
        <w:t>En ejercicio de la facultad que me confiere el art. 90.2 de la Ley Orgánica del Tribunal Constitucional, y con pleno respeto a la opinión de la mayoría de la Sala Primera, reflejada en la sentencia, formulo el presente voto, dejando constancia de los fundamentos de mi posición discrepante con el fallo y con los razonamientos que lo sustentan.</w:t>
      </w:r>
    </w:p>
    <w:p w:rsidR="005728DD" w:rsidRDefault="005728DD" w:rsidP="005728DD">
      <w:pPr>
        <w:pStyle w:val="TextoNormal"/>
      </w:pPr>
    </w:p>
    <w:p w:rsidR="005728DD" w:rsidRDefault="005728DD" w:rsidP="005728DD">
      <w:pPr>
        <w:pStyle w:val="TextoNormal"/>
      </w:pPr>
      <w:r>
        <w:t>Considero que la sentencia hubiera debido ser estimatoria de las pretensiones de la recurrente en amparo, apreciándose la vulneración de su derecho a la libertad de expresión [art. 20.1 a) CE].</w:t>
      </w:r>
    </w:p>
    <w:p w:rsidR="005728DD" w:rsidRDefault="005728DD" w:rsidP="005728DD">
      <w:pPr>
        <w:pStyle w:val="TextoNormal"/>
      </w:pPr>
    </w:p>
    <w:p w:rsidR="005728DD" w:rsidRDefault="005728DD" w:rsidP="005728DD">
      <w:pPr>
        <w:pStyle w:val="TextoNormal"/>
      </w:pPr>
      <w:r>
        <w:t xml:space="preserve">1. </w:t>
      </w:r>
      <w:r w:rsidRPr="005728DD">
        <w:rPr>
          <w:i/>
        </w:rPr>
        <w:t>El ejercicio de la libertad de expresión en las redes sociales exige el desarrollo de un canon de enjuiciamiento específico basado en la jurisprudencia del Tribunal Europeo de Derechos Humanos</w:t>
      </w:r>
      <w:r>
        <w:t>.</w:t>
      </w:r>
    </w:p>
    <w:p w:rsidR="005728DD" w:rsidRDefault="005728DD" w:rsidP="005728DD">
      <w:pPr>
        <w:pStyle w:val="TextoNormal"/>
      </w:pPr>
    </w:p>
    <w:p w:rsidR="005728DD" w:rsidRDefault="005728DD" w:rsidP="005728DD">
      <w:pPr>
        <w:pStyle w:val="TextoNormal"/>
      </w:pPr>
      <w:r>
        <w:t>No es posible discrepar de la consideración de la sentencia cuando se refiere a la “conveniencia de un ejercicio de reflexión sobre las nuevas formas de comunicación”. Sin embargo, cabe lamentar que tal reflexión no condujera a la identificación de un canon de control específico, relativo a los límites que cabe imponer al ejercicio de la libertad de expresión cuando se canaliza a través de internet y, más en particular, de las redes sociales.</w:t>
      </w:r>
    </w:p>
    <w:p w:rsidR="005728DD" w:rsidRDefault="005728DD" w:rsidP="005728DD">
      <w:pPr>
        <w:pStyle w:val="TextoNormal"/>
      </w:pPr>
    </w:p>
    <w:p w:rsidR="005728DD" w:rsidRDefault="005728DD" w:rsidP="005728DD">
      <w:pPr>
        <w:pStyle w:val="TextoNormal"/>
      </w:pPr>
      <w:r>
        <w:t>A pesar de reconocer que las características de la comunicación a través de internet, el anonimato potencial de los emisores o reproductores de mensajes, y la fragilidad de los factores moderadores del contenido de las opiniones, suponen una “mayor potencialidad lesiva de los derechos fundamentales, entre otros, al honor, a la intimidad personal y familiar y a la propia imagen”, la sentencia termina por afirmar que nada de todo ello “altera, desde un punto de vista sustantivo o material, los criterios asentados por nuestra reiterada doctrina sobre la función de este tribunal para apreciar si ha existido una vulneración del derecho al honor, ni modifica el contenido y alcance de los derechos fundamentales que deben ser ponderados cuando se invoca una vulneración, que, como en este caso, resulta de la colisión entre la libertad de expresión y el derecho al honor”. Es decir, la Sala niega que afecte a las bases del enjuiciamiento el hecho de que las opiniones sometidas a examen hayan sido emitidas a través de una red social, limitándose a apelar a la jurisprudencia clásica sobre el ejercicio de la libertad de expresión y los límites que impone a esta el respeto al derecho al honor.</w:t>
      </w:r>
    </w:p>
    <w:p w:rsidR="005728DD" w:rsidRDefault="005728DD" w:rsidP="005728DD">
      <w:pPr>
        <w:pStyle w:val="TextoNormal"/>
      </w:pPr>
    </w:p>
    <w:p w:rsidR="005728DD" w:rsidRDefault="005728DD" w:rsidP="005728DD">
      <w:pPr>
        <w:pStyle w:val="TextoNormal"/>
      </w:pPr>
      <w:r>
        <w:t>Y, si bien puede ser cierto, como afirma la sentencia, que “si la conducta es lesiva del derecho al honor fuera de la red, también lo es en ella”, ello no significa que sea posible trasladar sin matiz alguno la jurisprudencia preexistente sobre derecho al honor y libertad de expresión a una situación con las particularidades que presenta la difusión de un determinado mensaje en las redes sociales. Por lo demás, la formulación de un canon específico no revestía más dificultad que acudir a la que ya empieza a ser una consolidada doctrina del Tribunal Europeo de Derechos Humanos, que vincula al Tribunal Constitucional como intérprete de los derechos fundamentales, tal y como se deriva del art. 10.2 CE.</w:t>
      </w:r>
    </w:p>
    <w:p w:rsidR="005728DD" w:rsidRDefault="005728DD" w:rsidP="005728DD">
      <w:pPr>
        <w:pStyle w:val="TextoNormal"/>
      </w:pPr>
    </w:p>
    <w:p w:rsidR="005728DD" w:rsidRDefault="005728DD" w:rsidP="005728DD">
      <w:pPr>
        <w:pStyle w:val="TextoNormal"/>
      </w:pPr>
      <w:r>
        <w:t>Los siguientes elementos de reflexión, ausentes en la argumentación de la sentencia aprobada por la mayoría, hubieran sido imprescindibles para formular un adecuado juicio de proporcionalidad respecto de los límites al ejercicio de la libertad de expresión de la recurrente en amparo:</w:t>
      </w:r>
    </w:p>
    <w:p w:rsidR="005728DD" w:rsidRDefault="005728DD" w:rsidP="005728DD">
      <w:pPr>
        <w:pStyle w:val="TextoNormal"/>
      </w:pPr>
    </w:p>
    <w:p w:rsidR="005728DD" w:rsidRDefault="005728DD" w:rsidP="005728DD">
      <w:pPr>
        <w:pStyle w:val="TextoNormal"/>
      </w:pPr>
      <w:r>
        <w:t>a) Los derechos de la personalidad, es decir, el derecho al honor, la intimidad personal o familiar, la propia imagen y la protección de datos personales, recogidos en el art. 18 CE y que encuentran su equivalente en el art. 8 CEDH, se ven afectados de forma particularmente intensa “por el uso masivo de las tecnologías de la información y de la comunicación y de los servicios de redes sociales en internet”, tal y como reconoció la STC 27/2020, de 24 de febrero, de la Sala Segunda. Como también se decía en este pronunciamiento “en este contexto es innegable que algunos contornos de los derechos fundamentales al honor, a la inti</w:t>
      </w:r>
      <w:r>
        <w:lastRenderedPageBreak/>
        <w:t>midad y a la propia imagen (art. 18 CE), garantes todos ellos de la vida privada de los ciudadanos, pueden quedar desdibujados y que la utilización masificada de estas tecnologías de la información y de la comunicación, unida a los cambios en los usos sociales que ellas mismas han suscitado, añaden nuevos problemas jurídicos a los ya tradicionales”.</w:t>
      </w:r>
    </w:p>
    <w:p w:rsidR="005728DD" w:rsidRDefault="005728DD" w:rsidP="005728DD">
      <w:pPr>
        <w:pStyle w:val="TextoNormal"/>
      </w:pPr>
    </w:p>
    <w:p w:rsidR="005728DD" w:rsidRDefault="005728DD" w:rsidP="005728DD">
      <w:pPr>
        <w:pStyle w:val="TextoNormal"/>
      </w:pPr>
      <w:r>
        <w:t xml:space="preserve">b) Al mismo tiempo y sin negar lo anterior, a través de la red se ejercen tanto la libertad de expresión como la de información, en un contexto en que los usuarios son a la vez creadores de contenidos, emisores, difusores y reproductores de esos contenidos. En la STEDH de 16 de junio de 2015, asunto </w:t>
      </w:r>
      <w:r w:rsidRPr="005728DD">
        <w:rPr>
          <w:i/>
        </w:rPr>
        <w:t>Delfi AS c. Estonia</w:t>
      </w:r>
      <w:r>
        <w:t xml:space="preserve">, la Gran Sala lo expresa de forma clara: “la posibilidad de que los individuos se expresen en Internet constituye una herramienta sin precedentes para el ejercicio de la libertad de expresión. Se trata de un hecho indiscutible, como ha reconocido en varias ocasiones [asunto </w:t>
      </w:r>
      <w:r w:rsidRPr="005728DD">
        <w:rPr>
          <w:i/>
        </w:rPr>
        <w:t>Ahmet Yildirim c. Turquía</w:t>
      </w:r>
      <w:r>
        <w:t xml:space="preserve">, núm. 3111/10, § 48, Tribunal Europeo de Derechos Humanos 2012, y asunto </w:t>
      </w:r>
      <w:r w:rsidRPr="005728DD">
        <w:rPr>
          <w:i/>
        </w:rPr>
        <w:t>Times Newspapers Ltd c. Reino Unido</w:t>
      </w:r>
      <w:r>
        <w:t xml:space="preserve"> (núm. 1 y 2), núm. 3002/03 y 23676/03, § 27, Tribunal Europeo de Derechos Humanos 2009]. Sin embargo, las ventajas de este medio van acompañadas de una serie de riesgos. Contenidos claramente ilícitos, incluido el difamatorio, odioso o violento, pueden difundirse como nunca antes en todo el mundo, en cuestión de segundos, y a veces permanecer en línea durante mucho tiempo”. También se explica en la fundamentación de la STC 27/2020.</w:t>
      </w:r>
    </w:p>
    <w:p w:rsidR="005728DD" w:rsidRDefault="005728DD" w:rsidP="005728DD">
      <w:pPr>
        <w:pStyle w:val="TextoNormal"/>
      </w:pPr>
    </w:p>
    <w:p w:rsidR="005728DD" w:rsidRDefault="005728DD" w:rsidP="005728DD">
      <w:pPr>
        <w:pStyle w:val="TextoNormal"/>
      </w:pPr>
      <w:r>
        <w:t xml:space="preserve">Tanto la sentencia de la Sala Segunda, como la jurisprudencia constante de Estrasburgo asumen que el alcance del ejercicio de esos derechos, en el contexto de las redes sociales, tiene particularidades que no pueden obviarse cuando se formula un adecuado juicio sobre la proporcionalidad de los límites que se les imponen. Aunque esos límites deriven de la clásica protección al derecho al honor. No se trata solo de que los derechos de la personalidad puedan ser más vulnerables, o sensibles, al menoscabo procedente de la actuación a través de internet, tal y como reconoce el Tribunal de Estrasburgo en pronunciamientos como la STEDH de 16 de julio de 2013, asunto </w:t>
      </w:r>
      <w:r w:rsidRPr="005728DD">
        <w:rPr>
          <w:i/>
        </w:rPr>
        <w:t>Węgrzynowski y Smolczewski c. Polonia</w:t>
      </w:r>
      <w:r>
        <w:t>. Es que las libertades informativas, en sentido amplio, también tienen una dimensión distinta y un alcance transformador de la opinión pública diverso. Las redes sociales hacen de los usuarios potenciales creadores de contenidos, en ocasiones con una función muy próxima a la que desarrollan los periodistas, lo que conduce a replantearse la diferenciación jurisprudencial preexistente entre el ejercicio de las libertades informativas por los particulares y por los profesionales, por poner solo un ejemplo de los muchos que podrían evocarse.</w:t>
      </w:r>
    </w:p>
    <w:p w:rsidR="005728DD" w:rsidRDefault="005728DD" w:rsidP="005728DD">
      <w:pPr>
        <w:pStyle w:val="TextoNormal"/>
      </w:pPr>
    </w:p>
    <w:p w:rsidR="005728DD" w:rsidRDefault="005728DD" w:rsidP="005728DD">
      <w:pPr>
        <w:pStyle w:val="TextoNormal"/>
      </w:pPr>
      <w:r>
        <w:t xml:space="preserve">c) Las redes sociales actúan sobre los ejes de la inmediatez y rapidez en la difusión de contenidos, la dificultad de establecer filtros </w:t>
      </w:r>
      <w:r w:rsidRPr="005728DD">
        <w:rPr>
          <w:i/>
        </w:rPr>
        <w:t>a priori</w:t>
      </w:r>
      <w:r>
        <w:t xml:space="preserve"> en esa difusión, y la potencialmente amplia —y difícilmente controlable— transmisión de sus contenidos. Ello supone una capacidad para influir en la opinión pública exponencialmente superior a la de los medios de comunicación tradicionales que, por lo demás, también se sirven de las redes sociales para difundir sus contenidos, e incluso para manejar los tiempos y la capacidad de impacto de una determinada información.</w:t>
      </w:r>
    </w:p>
    <w:p w:rsidR="005728DD" w:rsidRDefault="005728DD" w:rsidP="005728DD">
      <w:pPr>
        <w:pStyle w:val="TextoNormal"/>
      </w:pPr>
    </w:p>
    <w:p w:rsidR="005728DD" w:rsidRDefault="005728DD" w:rsidP="005728DD">
      <w:pPr>
        <w:pStyle w:val="TextoNormal"/>
      </w:pPr>
      <w:r>
        <w:t xml:space="preserve">Las características apuntadas, como contrapunto, suponen un mayor riesgo de vulneración de los derechos de la personalidad de terceros. Este se mitiga o se acrecienta en función de elementos tales como la cantidad de seguidores de un determinado perfil, el que este corresponda a un personaje público o privado, el hecho de que medios de comunicación clásicos o perfiles sumamente influyentes puedan llegar a generar un efecto multiplicador </w:t>
      </w:r>
      <w:r>
        <w:lastRenderedPageBreak/>
        <w:t>del mensaje y la rapidez efectiva con que se propaga el mensaje. Estos elementos han de ser tenidos en cuenta a la hora de evaluar el impacto que las expresiones o informaciones volcadas en redes sociales han podido tener en el derecho al honor, intimidad, propia imagen o protección de datos de un tercero.</w:t>
      </w:r>
    </w:p>
    <w:p w:rsidR="005728DD" w:rsidRDefault="005728DD" w:rsidP="005728DD">
      <w:pPr>
        <w:pStyle w:val="TextoNormal"/>
      </w:pPr>
    </w:p>
    <w:p w:rsidR="005728DD" w:rsidRDefault="005728DD" w:rsidP="005728DD">
      <w:pPr>
        <w:pStyle w:val="TextoNormal"/>
      </w:pPr>
      <w:r>
        <w:t>d) La autoría de las opiniones o informaciones de quienes se manifiestan a través de las redes también es un elemento a tener en cuenta a la hora de formular el juicio de proporcionalidad de las limitaciones al ejercicio de las libertades comunicativas. En las redes sociales son distintas las posiciones de quien crea el contenido, de quien lo reproduce haciéndolo suyo o de quien lo traslada sin más y, por supuesto, ninguna de ellas puede confundirse con la posición de la propia empresa que da el soporte a la red social y que puede, eventualmente, establecer algún tipo de filtro preventivo o de supresión de contenidos o suspensión de perfiles, llegado el caso. A su vez, y en lo que hace al estatuto del usuario, no solamente difieren entre sí al adoptar roles o protagonismo diverso en redes, sino que difieren con carácter previo en función del anonimato del perfil, del carácter de personaje público de ese usuario, de que el perfil sea institucional o personal, por ejemplo y de que actúe en redes a cambio de una contraprestación económica o no lo haga.</w:t>
      </w:r>
    </w:p>
    <w:p w:rsidR="005728DD" w:rsidRDefault="005728DD" w:rsidP="005728DD">
      <w:pPr>
        <w:pStyle w:val="TextoNormal"/>
      </w:pPr>
    </w:p>
    <w:p w:rsidR="005728DD" w:rsidRDefault="005728DD" w:rsidP="005728DD">
      <w:pPr>
        <w:pStyle w:val="TextoNormal"/>
      </w:pPr>
      <w:r>
        <w:t xml:space="preserve">e) Los destinatarios del mensaje, tanto los potenciales como los que finalmente han resultado receptores del mismo, también conforman un elemento para tener en cuenta en el juicio relativo al ejercicio de las libertades comunicativas o, al menos, en el examen relativo a la proporcionalidad de las medidas concretas restrictivas de este tipo de libertades. Del mismo modo que se asume que la amplitud de la difusión de un reportaje en un medio de comunicación clásico, incide a la hora de formular un juicio sobre la adecuación de las restricciones, (en este sentido STEDH de 7 de febrero de 2012, de Gran Sala, asunto </w:t>
      </w:r>
      <w:r w:rsidRPr="005728DD">
        <w:rPr>
          <w:i/>
        </w:rPr>
        <w:t>Axel Springer AG c. Alemania</w:t>
      </w:r>
      <w:r>
        <w:t>), ese elemento no puede ignorarse a la hora de evaluar el impacto de una determinada opinión o información difundida en redes. Si bien la afectación del derecho al honor, por ejemplo, del destinatario de una expresión injuriosa contenida en un tweet existe desde que el mensaje ha sido compartido, o es lo mismo que tal mensaje haya sido leído por una persona o por un millón, porque la imagen pública del titular del derecho al honor, y la percepción de esa imagen por terceras personas, no ha quedado afectada con la misma intensidad en uno y otro caso.</w:t>
      </w:r>
    </w:p>
    <w:p w:rsidR="005728DD" w:rsidRDefault="005728DD" w:rsidP="005728DD">
      <w:pPr>
        <w:pStyle w:val="TextoNormal"/>
      </w:pPr>
    </w:p>
    <w:p w:rsidR="005728DD" w:rsidRDefault="005728DD" w:rsidP="005728DD">
      <w:pPr>
        <w:pStyle w:val="TextoNormal"/>
      </w:pPr>
      <w:r>
        <w:t xml:space="preserve">f) Por lo que hace al contenido de los mensajes, el margen de apreciación del Estado a la hora de restringir el derecho a la libertad de expresión varía en función de una serie de factores que la jurisprudencia del Tribunal de Estrasburgo identifica claramente. La STEDH, de 13 de julio de 2012, en resolución de la Gran Sala, asunto </w:t>
      </w:r>
      <w:r w:rsidRPr="005728DD">
        <w:rPr>
          <w:i/>
        </w:rPr>
        <w:t>Mouvement Raëlien Suisse c. Suiza</w:t>
      </w:r>
      <w:r>
        <w:t>, es ilustrativa a este respecto:</w:t>
      </w:r>
    </w:p>
    <w:p w:rsidR="005728DD" w:rsidRDefault="005728DD" w:rsidP="005728DD">
      <w:pPr>
        <w:pStyle w:val="TextoNormal"/>
      </w:pPr>
    </w:p>
    <w:p w:rsidR="005728DD" w:rsidRDefault="005728DD" w:rsidP="005728DD">
      <w:pPr>
        <w:pStyle w:val="TextoNormal"/>
      </w:pPr>
      <w:r>
        <w:t xml:space="preserve">“Si bien el artículo 10§2 del Convenio deja poco margen para las restricciones a la libertad de expresión en asuntos políticos (véase asunto </w:t>
      </w:r>
      <w:r w:rsidRPr="005728DD">
        <w:rPr>
          <w:i/>
        </w:rPr>
        <w:t>Ceylan c. Turquía [GC</w:t>
      </w:r>
      <w:r>
        <w:t xml:space="preserve">], núm. 23556/94, § 34, Tribunal Europeo de Derechos Humanos 1999-IV), los Estados firmantes tienen generalmente un margen de apreciación más amplio a la hora de regular la libertad de expresión en ámbitos susceptibles de ofender convicciones personales íntimas de carácter moral o, más particularmente, religioso (véase asunto </w:t>
      </w:r>
      <w:r w:rsidRPr="005728DD">
        <w:rPr>
          <w:i/>
        </w:rPr>
        <w:t>Murphy</w:t>
      </w:r>
      <w:r>
        <w:t>, citada anteriormente, § 67). Del mismo modo, los Estados disponen de un amplio margen de apreciación a la hora de regular la expresión comercial y publicitaria”.</w:t>
      </w:r>
    </w:p>
    <w:p w:rsidR="005728DD" w:rsidRDefault="005728DD" w:rsidP="005728DD">
      <w:pPr>
        <w:pStyle w:val="TextoNormal"/>
      </w:pPr>
    </w:p>
    <w:p w:rsidR="005728DD" w:rsidRDefault="005728DD" w:rsidP="005728DD">
      <w:pPr>
        <w:pStyle w:val="TextoNormal"/>
      </w:pPr>
      <w:r>
        <w:lastRenderedPageBreak/>
        <w:t xml:space="preserve">La jurisprudencia del Tribunal Europeo de Derechos Humanos es categórica cuando afirma que los mensajes difundidos por internet se benefician de una protección equivalente a la que merecen los otros medios de comunicación, en lo que hace al respeto del debate político, en particular si quien emite el mensaje es un representante elegido por la ciudadanía. Es decir, el art. 10 CEDH, exige un alto nivel de protección del derecho a la libertad de expresión cuando se trata de la difusión de un mensaje político o activista y ese margen permite a los representantes del ciudadano en cualquier ámbito, en particular cuando actúan como opositores políticos, utilizar un lenguaje virulento y crítico sobre cualquier tema de interés general, tolerándose los excesos verbales y escritos inherentes al tema objeto de debate (en este sentido SSTEDH de 25 de febrero de 2010, asunto </w:t>
      </w:r>
      <w:r w:rsidRPr="005728DD">
        <w:rPr>
          <w:i/>
        </w:rPr>
        <w:t>Renaud c. Francia</w:t>
      </w:r>
      <w:r>
        <w:t xml:space="preserve">, § 38; de 13 de julio de 2012, en resolución de la Gran Sala, asunto </w:t>
      </w:r>
      <w:r w:rsidRPr="005728DD">
        <w:rPr>
          <w:i/>
        </w:rPr>
        <w:t>Mouvement Raëlien Suisse c. Suiza</w:t>
      </w:r>
      <w:r>
        <w:t>).</w:t>
      </w:r>
    </w:p>
    <w:p w:rsidR="005728DD" w:rsidRDefault="005728DD" w:rsidP="005728DD">
      <w:pPr>
        <w:pStyle w:val="TextoNormal"/>
      </w:pPr>
    </w:p>
    <w:p w:rsidR="005728DD" w:rsidRDefault="005728DD" w:rsidP="005728DD">
      <w:pPr>
        <w:pStyle w:val="TextoNormal"/>
      </w:pPr>
      <w:r>
        <w:t xml:space="preserve">Por lo que hace, más concretamente, al discurso en defensa de los animales, se reconoce la naturaleza de asunto de interés público de dicho discurso. La sentencia de 8 de noviembre de 2012, en el asunto </w:t>
      </w:r>
      <w:r w:rsidRPr="005728DD">
        <w:rPr>
          <w:i/>
        </w:rPr>
        <w:t>PETA Deutschland c. Alemania</w:t>
      </w:r>
      <w:r>
        <w:t>, refiriéndose a una campaña contra la cría de animales en batería, reconoce que la campaña sancionada, “al estar relacionada con la protección de los animales y del medio ambiente, era innegable que tenía un interés público […]. De ello se deduce que solo razones de peso pueden justificar la injerencia en el derecho a la libertad de expresión del demandante en este contexto”.</w:t>
      </w:r>
    </w:p>
    <w:p w:rsidR="005728DD" w:rsidRDefault="005728DD" w:rsidP="005728DD">
      <w:pPr>
        <w:pStyle w:val="TextoNormal"/>
      </w:pPr>
    </w:p>
    <w:p w:rsidR="005728DD" w:rsidRDefault="005728DD" w:rsidP="005728DD">
      <w:pPr>
        <w:pStyle w:val="TextoNormal"/>
      </w:pPr>
      <w:r>
        <w:t>En todo caso, la difusión en línea de ataques personales que sobrepasan el marco de un debate sobre las ideas no está protegido por el art. 10 CEDH (en este sentido STEDH de 16 de enero de 2014, asunt</w:t>
      </w:r>
      <w:r w:rsidRPr="005728DD">
        <w:rPr>
          <w:i/>
        </w:rPr>
        <w:t>o Tierbefreier E.V. c. Aleman</w:t>
      </w:r>
      <w:r>
        <w:t>ia).</w:t>
      </w:r>
    </w:p>
    <w:p w:rsidR="005728DD" w:rsidRDefault="005728DD" w:rsidP="005728DD">
      <w:pPr>
        <w:pStyle w:val="TextoNormal"/>
      </w:pPr>
    </w:p>
    <w:p w:rsidR="005728DD" w:rsidRDefault="005728DD" w:rsidP="005728DD">
      <w:pPr>
        <w:pStyle w:val="TextoNormal"/>
      </w:pPr>
      <w:r>
        <w:t xml:space="preserve">g) Por último, y en relación con el efecto desaliento, o efecto disuasivo sobre del ejercicio del derecho a la libertad de expresión en redes sociales, la valoración relativa a su concurrencia no puede ignorar la intensidad de la sanción, sea esta penal o, como es aquí el caso, civil. Esta cuestión debe ser analizada a la hora de examinar la proporcionalidad de una medida restrictiva (STEDH de 13 de julio de 2012, en resolución de la Gran Sala, asunto </w:t>
      </w:r>
      <w:r w:rsidRPr="005728DD">
        <w:rPr>
          <w:i/>
        </w:rPr>
        <w:t>Mouvement Raëlien Suisse c. Suiza</w:t>
      </w:r>
      <w:r>
        <w:t xml:space="preserve">, § 75). En este sentido, el hecho de que la limitación del ejercicio del derecho tenga como consecuencia la imposición de la obligación de pagar una indemnización, y el alcance más o menos moderado de la cuantía no es argumento bastante para hacer desaparecer el riesgo del efecto desaliento tal y como se deriva de la STEDH de 10 de julio de 2014, asunto </w:t>
      </w:r>
      <w:r w:rsidRPr="005728DD">
        <w:rPr>
          <w:i/>
        </w:rPr>
        <w:t>Axel Springer AG c. Alemania núm</w:t>
      </w:r>
      <w:r>
        <w:t>. 2, que recoge a este respecto la cita de otros pronunciamientos previos.</w:t>
      </w:r>
    </w:p>
    <w:p w:rsidR="005728DD" w:rsidRDefault="005728DD" w:rsidP="005728DD">
      <w:pPr>
        <w:pStyle w:val="TextoNormal"/>
      </w:pPr>
    </w:p>
    <w:p w:rsidR="005728DD" w:rsidRDefault="005728DD" w:rsidP="005728DD">
      <w:pPr>
        <w:pStyle w:val="TextoNormal"/>
      </w:pPr>
      <w:r>
        <w:t xml:space="preserve">2. </w:t>
      </w:r>
      <w:r w:rsidRPr="005728DD">
        <w:rPr>
          <w:i/>
        </w:rPr>
        <w:t>Los límites a la libertad de expresión de la recurrente en amparo en el supuesto concreto</w:t>
      </w:r>
      <w:r>
        <w:t>.</w:t>
      </w:r>
    </w:p>
    <w:p w:rsidR="005728DD" w:rsidRDefault="005728DD" w:rsidP="005728DD">
      <w:pPr>
        <w:pStyle w:val="TextoNormal"/>
      </w:pPr>
    </w:p>
    <w:p w:rsidR="005728DD" w:rsidRDefault="005728DD" w:rsidP="005728DD">
      <w:pPr>
        <w:pStyle w:val="TextoNormal"/>
      </w:pPr>
      <w:r>
        <w:t>La sentencia de cuya argumentación y fallo discrepo, debería haber desarrollado un canon de enjuiciamiento considerando, al menos, todos los elementos anteriores expuestos, para proyectarlos sucesivamente a la solución del caso concreto.</w:t>
      </w:r>
    </w:p>
    <w:p w:rsidR="005728DD" w:rsidRDefault="005728DD" w:rsidP="005728DD">
      <w:pPr>
        <w:pStyle w:val="TextoNormal"/>
      </w:pPr>
    </w:p>
    <w:p w:rsidR="005728DD" w:rsidRDefault="005728DD" w:rsidP="005728DD">
      <w:pPr>
        <w:pStyle w:val="TextoNormal"/>
      </w:pPr>
      <w:r>
        <w:t xml:space="preserve">a) No puede ponerse en duda que la recurrente en amparo ejerció su derecho a la libertad de expresión a través de una red social, en este caso Facebook, y que ese ejercicio queda amparado por el art. 20 CE. Tampoco cabe negar que el ejercicio de ese derecho pudo llegar a suponer una intromisión ilegítima en el derecho al honor (art. 18 CE) de la persona a la </w:t>
      </w:r>
      <w:r>
        <w:lastRenderedPageBreak/>
        <w:t>que se refería su comentario, es decir, el torero Víctor Barrio. Ahora bien, ya en este primer punto de reflexión hubiera sido necesario valorar el hecho de que los actuantes en la instancia no son los titulares del derecho, sino los familiares del titular fallecido. Esta circunstancia no impide la defensa del derecho al honor por parte de los familiares de Víctor Barrio, en la línea de la jurisprudencia constitucional que sostiene la posibilidad de velar por la memoria de los difuntos, desde la tesis del cuidado de la “personalidad pretérita”. Pero sí permitiría modular los efectos que sobre el honor del fallecido tendría el ejercicio extralimitado de la libertad de expresión, y esto es así porque ya no se trata de que el titular del derecho valore su grado ofensivo, sino de preservar la percepción, muy legítima, de sus allegados.</w:t>
      </w:r>
    </w:p>
    <w:p w:rsidR="005728DD" w:rsidRDefault="005728DD" w:rsidP="005728DD">
      <w:pPr>
        <w:pStyle w:val="TextoNormal"/>
      </w:pPr>
    </w:p>
    <w:p w:rsidR="005728DD" w:rsidRDefault="005728DD" w:rsidP="005728DD">
      <w:pPr>
        <w:pStyle w:val="TextoNormal"/>
      </w:pPr>
      <w:r>
        <w:t>b) El potencial lesivo de las redes sociales, por su efecto inmediato y multiplicador del mensaje, en este caso ha sido escaso. El perfil de la recurrente en redes tenía, al momento de producirse los hechos, poco más de tres centenares de seguidores, lo que es sumamente poco en términos cuantitativos en el ámbito de las redes sociales. En la actualidad la cantidad de seguidores se ha duplicado, y podría haber sido efecto de las campañas de apoyo a la recurrente en amparo tras la denuncia por los hechos de los que estamos conociendo. Pero en cualquier caso, la mayor difusión del mensaje se produjo después de la denuncia, y no antes.</w:t>
      </w:r>
    </w:p>
    <w:p w:rsidR="005728DD" w:rsidRDefault="005728DD" w:rsidP="005728DD">
      <w:pPr>
        <w:pStyle w:val="TextoNormal"/>
      </w:pPr>
    </w:p>
    <w:p w:rsidR="005728DD" w:rsidRDefault="005728DD" w:rsidP="005728DD">
      <w:pPr>
        <w:pStyle w:val="TextoNormal"/>
      </w:pPr>
      <w:r>
        <w:t>c) La recurrente en amparo posee un perfil público en Facebook. Eso significa, de un lado que no es anónimo y permite identificarla adecuadamente, y de otro que permite interactuar con cualquier usuario de la red. En el mismo, la propietaria del perfil comparte sistemáticamente posiciones vinculadas a su activismo animalista y feminista. Lo hacía ya antes de publicar el post controvertido y ha continuado haciéndolo después. Este análisis permite comprender que la posición antitaurina sostenida en el post es una constante en el activismo y participación pública e incluso política de la recurrente en amparo. Es cierto, como se afirmó en la instancia por los actuantes, que este perfil no la identifica como integrante de un determinado partido político, ni como militante, ni siquiera como concejala en su momento, no es el perfil de un partido político, sino un perfil personal, lo que no significa que no se trate del perfil de una persona con un cargo representativo en un determinado momento, ni que no exista un mensaje político en dicho perfil.</w:t>
      </w:r>
    </w:p>
    <w:p w:rsidR="005728DD" w:rsidRDefault="005728DD" w:rsidP="005728DD">
      <w:pPr>
        <w:pStyle w:val="TextoNormal"/>
      </w:pPr>
    </w:p>
    <w:p w:rsidR="005728DD" w:rsidRDefault="005728DD" w:rsidP="005728DD">
      <w:pPr>
        <w:pStyle w:val="TextoNormal"/>
      </w:pPr>
      <w:r>
        <w:t>d) El mensaje difundido en Facebook era, claramente, un mensaje de contenido político y así lo reconoce incluso el Ministerio Fiscal que defendió, en el proceso de amparo, la estimación del recurso.</w:t>
      </w:r>
    </w:p>
    <w:p w:rsidR="005728DD" w:rsidRDefault="005728DD" w:rsidP="005728DD">
      <w:pPr>
        <w:pStyle w:val="TextoNormal"/>
      </w:pPr>
    </w:p>
    <w:p w:rsidR="005728DD" w:rsidRDefault="005728DD" w:rsidP="005728DD">
      <w:pPr>
        <w:pStyle w:val="TextoNormal"/>
      </w:pPr>
      <w:r>
        <w:t xml:space="preserve">La sentencia aparta del razonamiento las consecuencias que deberían derivarse de esta consideración del contenido del mensaje argumentando que, habida cuenta del contenido lábil del derecho al honor, es preciso analizar las normas, valores e ideas sociales vigentes en cada momento, para concluir que la tauromaquia forma parte del patrimonio cultural inmaterial español, y que, en ese contexto, no se justifican las expresiones hirientes dirigidas a un torero. Pero el enfoque de la sentencia es erróneo. El análisis debe partir del ejercicio del derecho a la libertad de expresión para verificar, en caso de que esa libertad se haya utilizado para difundir un mensaje político, si a pesar de ello se ha incurrido en una limitación ilegítima del derecho al honor. Que la tauromaquia venga protegida en determinadas previsiones legales no resta en absoluto validez a la crítica política que la misma suscita y que se traduce en propuestas políticas de supresión o modificación de los festejos taurinos </w:t>
      </w:r>
      <w:r>
        <w:lastRenderedPageBreak/>
        <w:t>que, por lo demás, también han encontrado reflejo en disposiciones normativas cuya cita obvia la sentencia.</w:t>
      </w:r>
    </w:p>
    <w:p w:rsidR="005728DD" w:rsidRDefault="005728DD" w:rsidP="005728DD">
      <w:pPr>
        <w:pStyle w:val="TextoNormal"/>
      </w:pPr>
    </w:p>
    <w:p w:rsidR="005728DD" w:rsidRDefault="005728DD" w:rsidP="005728DD">
      <w:pPr>
        <w:pStyle w:val="TextoNormal"/>
      </w:pPr>
      <w:r>
        <w:t xml:space="preserve">Quien, sin conocer el estado de la cuestión en España lea la sentencia, bien podría pensar que en la sociedad existe una defensa y apoyo mayoritario a la tauromaquia, pero esto dista de ser así. Si analizamos la “estadística de asuntos taurinos”, que publica el Ministerio de Cultura y Deporte anualmente, se verifica un descenso progresivo del número de personas que acuden a los diversos tipos de festejos taurinos permitidos en la mayor parte de las comunidades autónomas de España. Sin tener en cuenta el año 2020 (por las singularidades vinculadas a la crisis del Covid), se verifica un descenso lento pero mantenido del número de festejos taurinos celebrados (que pasan de 1598 en el año 2016 a 1425 en el año 2019), correlativo al declive en el número de personas que asisten a este tipo de actividades. En el año 2019 se trataba de un 8 por 100 estimado de la población, habiendo descendido desde el año 2006 en que el porcentaje era del 9,8 por 100. También se constata que existen territorios en las que no se están desarrollando en absoluto este tipo de festejos (es el caso de Asturias, Baleares —sobre cuya ley se pronunció la STC 134/2018 de 13 de diciembre—, Canarias, Ceuta y Melilla en datos de 2019). Sin contar con encuestas oficiales al respecto, las propuestas por distintas organizaciones no gubernamentales (como </w:t>
      </w:r>
      <w:r w:rsidRPr="005728DD">
        <w:rPr>
          <w:i/>
        </w:rPr>
        <w:t>World Animal Protection</w:t>
      </w:r>
      <w:r>
        <w:t xml:space="preserve"> en 2016) o por encargo de distintos medios de comunicación (encuesta de SocioMétrica para El Español en enero de 2019; encuesta de YouGov para El HuffPost en julio de 2018) ponen de manifiesto que existe un elevado porcentaje de la ciudadanía que opta por prohibir o limitar las corridas de toros, siendo estos datos ilustrativos de la falta de unanimidad en relación con este tema.</w:t>
      </w:r>
    </w:p>
    <w:p w:rsidR="005728DD" w:rsidRDefault="005728DD" w:rsidP="005728DD">
      <w:pPr>
        <w:pStyle w:val="TextoNormal"/>
      </w:pPr>
    </w:p>
    <w:p w:rsidR="005728DD" w:rsidRDefault="005728DD" w:rsidP="005728DD">
      <w:pPr>
        <w:pStyle w:val="TextoNormal"/>
      </w:pPr>
      <w:r>
        <w:t>En suma, no se puede perder de vista, como se ha expuesto previamente, que los temas que plantean interés general, si se encuadran además en el marco de un discurso político, se benefician de un elevado nivel de protección de la libertad de expresión, lo que lleva asociado un margen de apreciación de las autoridades jurisdiccionales particularmente restringido: el espacio para restringir la libertad de expresión en el dominio del discurso político es muy pequeño, lo que permite recurrir a la exageración, a la provocación, y la falta de moderación en las formas (recuerdo aquí en particular la STEDH de 16 de julio de 2009, en el asunt</w:t>
      </w:r>
      <w:r w:rsidRPr="005728DD">
        <w:rPr>
          <w:i/>
        </w:rPr>
        <w:t>o Willem c. Fran</w:t>
      </w:r>
      <w:r>
        <w:t>ce, § 33).</w:t>
      </w:r>
    </w:p>
    <w:p w:rsidR="005728DD" w:rsidRDefault="005728DD" w:rsidP="005728DD">
      <w:pPr>
        <w:pStyle w:val="TextoNormal"/>
      </w:pPr>
    </w:p>
    <w:p w:rsidR="005728DD" w:rsidRDefault="005728DD" w:rsidP="005728DD">
      <w:pPr>
        <w:pStyle w:val="TextoNormal"/>
      </w:pPr>
      <w:r>
        <w:t>En este contexto, las expresiones utilizadas por la recurrente en amparo fueron, efectivamente provocadoras, hirientes, y pudieron causar dolor a la familia del fallecido. Nada de eso puede negarse. Como no puede negarse que manifestaron una opinión política que no es patrimonio exclusivo de la recurrente en amparo. El fallecimiento del torero, en este caso, fue la excusa para reiterar el mensaje político de la recurrente, y la forma pudo ser excesiva e inmoderada, pero el contenido principal del mensaje iba más allá de la muerte de una persona, por más que se elaborase al hilo de la misma.</w:t>
      </w:r>
    </w:p>
    <w:p w:rsidR="005728DD" w:rsidRDefault="005728DD" w:rsidP="005728DD">
      <w:pPr>
        <w:pStyle w:val="TextoNormal"/>
      </w:pPr>
    </w:p>
    <w:p w:rsidR="005728DD" w:rsidRDefault="005728DD" w:rsidP="005728DD">
      <w:pPr>
        <w:pStyle w:val="TextoNormal"/>
      </w:pPr>
      <w:r>
        <w:t>Por tanto, no se justificaba, en este caso, la limitación de la libertad de expresión de la recurrente en amparo, pudiendo calificarse como desproporcionada la sanción civil impuesta, habida cuenta de las circunstancias que han venido considerándose.</w:t>
      </w:r>
    </w:p>
    <w:p w:rsidR="005728DD" w:rsidRDefault="005728DD" w:rsidP="005728DD">
      <w:pPr>
        <w:pStyle w:val="TextoNormal"/>
      </w:pPr>
    </w:p>
    <w:p w:rsidR="005728DD" w:rsidRDefault="005728DD" w:rsidP="005728DD">
      <w:pPr>
        <w:pStyle w:val="TextoNormal"/>
      </w:pPr>
      <w:r>
        <w:t xml:space="preserve">El pluralismo, la tolerancia y el espíritu de apertura que entrecomilla la sentencia, no pueden ser entrecomillados, porque las sociedades democráticas solo son verdaderamente resistentes cuando son capaces de integrar discursos que disgustan, siempre que no llamen </w:t>
      </w:r>
      <w:r>
        <w:lastRenderedPageBreak/>
        <w:t>a la violencia, o a la vulneración de derechos de terceros, o a la persecución de colectivos en particular situación de vulnerabilidad.</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7" w:name="SENTENCIA_2021_94"/>
      <w:r>
        <w:lastRenderedPageBreak/>
        <w:t>SENTENCIA 94/2021, de 10 de mayo de 2021</w:t>
      </w:r>
    </w:p>
    <w:bookmarkEnd w:id="97"/>
    <w:p w:rsidR="005728DD" w:rsidRDefault="005728DD" w:rsidP="005728DD">
      <w:pPr>
        <w:pStyle w:val="TtuloResolucin"/>
      </w:pPr>
      <w:r>
        <w:t>Sala Segunda</w:t>
      </w:r>
    </w:p>
    <w:p w:rsidR="005728DD" w:rsidRDefault="005728DD" w:rsidP="005728DD">
      <w:pPr>
        <w:pStyle w:val="TtuloBOE"/>
      </w:pPr>
      <w:r>
        <w:t>(BOE núm. 142, de 15 de junio de 2021)</w:t>
      </w:r>
    </w:p>
    <w:p w:rsidR="005728DD" w:rsidRDefault="005728DD" w:rsidP="005728DD">
      <w:pPr>
        <w:pStyle w:val="TextoNormalCentrado"/>
      </w:pPr>
      <w:r>
        <w:t>ECLI:ES:TC:2021:94</w:t>
      </w:r>
    </w:p>
    <w:p w:rsidR="005728DD" w:rsidRDefault="005728DD" w:rsidP="005728DD">
      <w:pPr>
        <w:pStyle w:val="TextoNormalCentrado"/>
      </w:pPr>
    </w:p>
    <w:p w:rsidR="005728DD" w:rsidRDefault="005728DD" w:rsidP="005728DD">
      <w:pPr>
        <w:pStyle w:val="SntesisDescriptiva"/>
      </w:pPr>
      <w:r>
        <w:t>Recurso de amparo 3987-2019. Promovido por don Fernando Ruiz Fernández en relación con las resoluciones dictadas por un juzgado de primera instancia e instrucción de Santoña (Cantabria) en juicio verbal por desahucio.</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sin agotar las posibilidades de comunicación personal (STC 62/2020).</w:t>
      </w:r>
    </w:p>
    <w:p w:rsidR="005728DD" w:rsidRDefault="005728DD" w:rsidP="005728DD">
      <w:pPr>
        <w:pStyle w:val="SntesisAnaltica"/>
      </w:pPr>
    </w:p>
    <w:p w:rsidR="005728DD" w:rsidRDefault="005728DD" w:rsidP="005728DD">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123/2019)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3987-2019, promovido por don Fernando Ruiz Fernández, representado por la procuradora de los tribunales doña Carolina Beatriz Yustos Capilla y asistido por el letrado don Juan Pablo Huerta Sánchez, contra el auto de 27 de mayo de 2019, dictado por el Juzgado de Primera Instancia e Instrucción núm. 2 de Santoña, en el juicio verbal por desahucio núm. 638-2018. Han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día 26 de junio de 2019, don Fernando Ruiz Fernández, representado por la procuradora de los tribunales doña Carolina Beatriz Yustos Capilla y bajo la asistencia del letrado don Juan Pablo Huerta Sánchez, interpuso recurso de amparo contra la resolución a la que se hace referencia en el encabezamiento, dictada por el Juzgado de Primera Instancia e Instrucción núm. 2 de Santoña, en el juicio verbal por desahucio núm. 638-2018, alegando la vulneración de su derecho a la tutela judicial efectiva, sin indefensión (art. 24.1 CE).</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que se desprenden de la demanda de amparo y de las actuaciones que la acompañan, son los siguientes:</w:t>
      </w:r>
    </w:p>
    <w:p w:rsidR="005728DD" w:rsidRDefault="005728DD" w:rsidP="005728DD">
      <w:pPr>
        <w:pStyle w:val="TextoNormal"/>
      </w:pPr>
    </w:p>
    <w:p w:rsidR="005728DD" w:rsidRDefault="005728DD" w:rsidP="005728DD">
      <w:pPr>
        <w:pStyle w:val="TextoNormal"/>
      </w:pPr>
      <w:r>
        <w:t>a) El recurrente en amparo y doña Ida Palacio González concertaron, en fecha 18 de marzo de 2014, contrato de arrendamiento mediante el cual se cedía al primero el uso del local sito en el Barrio Maeda, núm. 16 (bar-restaurante Maeda), en San Mames de Meruelo (Cantabria).</w:t>
      </w:r>
    </w:p>
    <w:p w:rsidR="005728DD" w:rsidRDefault="005728DD" w:rsidP="005728DD">
      <w:pPr>
        <w:pStyle w:val="TextoNormal"/>
      </w:pPr>
    </w:p>
    <w:p w:rsidR="005728DD" w:rsidRDefault="005728DD" w:rsidP="005728DD">
      <w:pPr>
        <w:pStyle w:val="TextoNormal"/>
      </w:pPr>
      <w:r>
        <w:t>b) El día 23 de noviembre de 2018, la arrendadora presentó contra el demandante de amparo demanda de juicio verbal de desahucio por impago de rentas, que fue turnada al Juzgado de Primera Instancia e Instrucción núm. 2 de Santoña, señalándose en la demanda, como primer domicilio del arrendatario, la dirección del local comercial arrendado, en Barrio Maeda, núm. 16 (bar-restaurante Maeda), en San Mames de Meruelo (Cantabria); y, subsidiariamente, la que constaba en el contrato de arrendamiento de la calle Maestro Mediavilla, núm. 5, de Torrelavega (Cantabria).</w:t>
      </w:r>
    </w:p>
    <w:p w:rsidR="005728DD" w:rsidRDefault="005728DD" w:rsidP="005728DD">
      <w:pPr>
        <w:pStyle w:val="TextoNormal"/>
      </w:pPr>
    </w:p>
    <w:p w:rsidR="005728DD" w:rsidRDefault="005728DD" w:rsidP="005728DD">
      <w:pPr>
        <w:pStyle w:val="TextoNormal"/>
      </w:pPr>
      <w:r>
        <w:t>La demanda fue admitida a trámite por decreto de 12 de diciembre de 2018, dirigiéndose exhorto al Juzgado de Paz de Bárcena de Cicero a efectos de su notificación al recurrente en el local arrendado. El juzgado requerido, mediante diligencia de ordenación de 26 de diciembre de 2018, rehusó dar cumplimiento al mismo, indicando que “recibido el presente exhorto del Juzgado de Primera Instancia núm. 2 de Santoña, en el que se interesaba practicar diligencias don Fernando Ruiz Fernández, se informa que en virtud de otros exhortos el mismo hace tiempo que no reside en Meruelo y el bar se encuentra cerrado, por lo que se devuelve el presente exhorto sin cumplimentar”.</w:t>
      </w:r>
    </w:p>
    <w:p w:rsidR="005728DD" w:rsidRDefault="005728DD" w:rsidP="005728DD">
      <w:pPr>
        <w:pStyle w:val="TextoNormal"/>
      </w:pPr>
    </w:p>
    <w:p w:rsidR="005728DD" w:rsidRDefault="005728DD" w:rsidP="005728DD">
      <w:pPr>
        <w:pStyle w:val="TextoNormal"/>
      </w:pPr>
      <w:r>
        <w:t>c) El Juzgado de Primera Instancia e Instrucción núm. 2 de Santoña, sin más trámites, acordó, mediante diligencia de ordenación de 7 de enero de 2019, la notificación de la demanda por edictos. Así se expresa: “Por recibida en este juzgado, procedente del sistema centralizado de notificaciones electrónicas, la anterior diligencia de requerimiento a la demanda, en desahucio por falta de pago, únase a los autos de su razón, y, visto su resultado negativo, de conformidad con lo dispuesto en el art. 164 párrafo 4 de la LEC, procédase a requerir y citar a la parte demandada, fijándose sin más trámites la cedula de requerimiento en el tablón de anuncios de la oficina judicial”.</w:t>
      </w:r>
    </w:p>
    <w:p w:rsidR="005728DD" w:rsidRDefault="005728DD" w:rsidP="005728DD">
      <w:pPr>
        <w:pStyle w:val="TextoNormal"/>
      </w:pPr>
    </w:p>
    <w:p w:rsidR="005728DD" w:rsidRDefault="005728DD" w:rsidP="005728DD">
      <w:pPr>
        <w:pStyle w:val="TextoNormal"/>
      </w:pPr>
      <w:r>
        <w:t>d) Por decreto de 24 de enero de 2019, se dio por resuelto el contrato de arrendamiento, consumándose el lanzamiento el día 13 de marzo de 2019. En la diligencia de entrega de posesión al actor se hizo constar que “el bar-restaurante se encuentra en buenas condiciones. Todos los muebles cocina, nevera y demás electrodomésticos, así como productos de comida, según la Ley de enjuiciamiento civil, se dan por abandonados”.</w:t>
      </w:r>
    </w:p>
    <w:p w:rsidR="005728DD" w:rsidRDefault="005728DD" w:rsidP="005728DD">
      <w:pPr>
        <w:pStyle w:val="TextoNormal"/>
      </w:pPr>
    </w:p>
    <w:p w:rsidR="005728DD" w:rsidRDefault="005728DD" w:rsidP="005728DD">
      <w:pPr>
        <w:pStyle w:val="TextoNormal"/>
      </w:pPr>
      <w:r>
        <w:t>e) Según expone el recurrente, el día 15 de marzo de 2019, al encontrarse con la cerradura del bar cambiada y tras contactar con el arrendador, se personó en las actuaciones, solicitando copia íntegra del procedimiento.</w:t>
      </w:r>
    </w:p>
    <w:p w:rsidR="005728DD" w:rsidRDefault="005728DD" w:rsidP="005728DD">
      <w:pPr>
        <w:pStyle w:val="TextoNormal"/>
      </w:pPr>
    </w:p>
    <w:p w:rsidR="005728DD" w:rsidRDefault="005728DD" w:rsidP="005728DD">
      <w:pPr>
        <w:pStyle w:val="TextoNormal"/>
      </w:pPr>
      <w:r>
        <w:t xml:space="preserve">f) Con fecha 12 de abril de 2019, el recurrente promovió incidente de nulidad de actuaciones por vulneración del derecho a la tutela judicial efectiva sin indefensión (art. 24.1 CE), así como a un proceso con todas las garantías (art. 24.2 CE), con indicación de la </w:t>
      </w:r>
      <w:r>
        <w:lastRenderedPageBreak/>
        <w:t>doctrina constitucional relativa a la notificación por edictos, solicitando la nulidad de la diligencia de ordenación de 7 de enero de 2019.</w:t>
      </w:r>
    </w:p>
    <w:p w:rsidR="005728DD" w:rsidRDefault="005728DD" w:rsidP="005728DD">
      <w:pPr>
        <w:pStyle w:val="TextoNormal"/>
      </w:pPr>
    </w:p>
    <w:p w:rsidR="005728DD" w:rsidRDefault="005728DD" w:rsidP="005728DD">
      <w:pPr>
        <w:pStyle w:val="TextoNormal"/>
      </w:pPr>
      <w:r>
        <w:t>g) Por auto de 27 de mayo de 2019, el Juzgado de Primera Instancia e Instrucción núm. 2 de Santoña desestimó el incidente excepcional de nulidad de actuaciones. Para alcanzar este fallo razonó que “el procedimiento seguido es el correcto y no puede ser causa de nulidad. El art. 164 en su párrafo 4 permite la posibilidad de emplazar por edictos cuando la citación no haya sido posible en los domicilios designados conforme al art. 155.3 LEC. Efectivamente en el contrato figuran dos domicilios el del arrendatario y el del local objeto del contrato conforme a la estipulación 14 del mismo pero no existe regulación específica en la que se disponga que el emplazamiento deba realizarse obligatoriamente en las dos o en una y si esta es fallida, en la otra. La reforma de la Ley de enjuiciamiento civil (LEC) llevada a cabo por la Ley 4/2013 modificó el artículo 164 ‘Comunicación edictal’, estableciendo que en los procesos de desahucio por falta de pago de rentas o cantidades debidas, en el desahucio por finalización del término convenido o en los procedimientos de reclamación de rentas, cuando no pudiera hallarse o efectuarle la citación al inquilino en el domicilio que hubiese designado en el contrato o en su defecto (si no lo hubiese hecho) en la finca arrendada, ‘se procederá a fijar la cédula de citación o requerimiento en el tablón de anuncios del juzgado’. Si no se le encuentra en el domicilio fijado en el contrato o en su defecto en el de la finca arrendada, se publicará directamente la citación por edictos en el tablón de anuncios del tribunal” (FJ 2).</w:t>
      </w:r>
    </w:p>
    <w:p w:rsidR="005728DD" w:rsidRDefault="005728DD" w:rsidP="005728DD">
      <w:pPr>
        <w:pStyle w:val="TextoNormal"/>
      </w:pPr>
    </w:p>
    <w:p w:rsidR="005728DD" w:rsidRDefault="005728DD" w:rsidP="005728DD">
      <w:pPr>
        <w:pStyle w:val="TextoNormal"/>
      </w:pPr>
      <w:r>
        <w:t xml:space="preserve">A ello se añade: “Por si lo anterior no fuese suficiente hay que tener en cuenta que el recurso de nulidad previsto en el art. 228 LEC es un recurso extraordinario que se utiliza cuando ya (no) hay posibilidad de interponer otro recurso ordinario o extraordinario pero no puede utilizarse en cualquier momento sino en los veinte días siguientes a la notificación de la resolución o desde que se tuvo conocimiento del defecto causante de la indefensión. Tomando como fecha de conocimiento la del lanzamiento el </w:t>
      </w:r>
      <w:r w:rsidRPr="005728DD">
        <w:rPr>
          <w:i/>
        </w:rPr>
        <w:t>dies a quo</w:t>
      </w:r>
      <w:r>
        <w:t xml:space="preserve"> sería el 13 de marzo y el escrito alegando la nulidad es de fecha 12 de abril 2019 por tanto habrían transcurrido veintidós días hábiles y el recurso estaría fuera de plazo” (FJ 3).</w:t>
      </w:r>
    </w:p>
    <w:p w:rsidR="005728DD" w:rsidRDefault="005728DD" w:rsidP="005728DD">
      <w:pPr>
        <w:pStyle w:val="TextoNormal"/>
      </w:pPr>
    </w:p>
    <w:p w:rsidR="005728DD" w:rsidRDefault="005728DD" w:rsidP="005728DD">
      <w:pPr>
        <w:pStyle w:val="TextoNormal"/>
      </w:pPr>
      <w:r w:rsidRPr="005728DD">
        <w:rPr>
          <w:rStyle w:val="NumeroAFNegritaCaracter"/>
        </w:rPr>
        <w:t>3</w:t>
      </w:r>
      <w:r>
        <w:t>. El recurrente invoca la vulneración del derecho a la tutela judicial efectiva (art. 24.1 CE), “en su esfera de garantía de contradicción y defensa”, por la falta de diligencia del juzgado en su emplazamiento personal. Reprocha al órgano jurisdiccional haber acudido a la notificación edictal, sin intentar previamente la notificación en el segundo domicilio consignado en la demanda y sin desplegar las medidas para intentar su localización, previstas en la ley, tal como exige la jurisprudencia constitucional.</w:t>
      </w:r>
    </w:p>
    <w:p w:rsidR="005728DD" w:rsidRDefault="005728DD" w:rsidP="005728DD">
      <w:pPr>
        <w:pStyle w:val="TextoNormal"/>
      </w:pPr>
    </w:p>
    <w:p w:rsidR="005728DD" w:rsidRDefault="005728DD" w:rsidP="005728DD">
      <w:pPr>
        <w:pStyle w:val="TextoNormal"/>
      </w:pPr>
      <w:r>
        <w:t xml:space="preserve">Asimismo, se opone a la consideración del planteamiento extemporáneo del incidente de nulidad de actuaciones, pues, a su juicio, no cabe fijar como </w:t>
      </w:r>
      <w:r w:rsidRPr="005728DD">
        <w:rPr>
          <w:i/>
        </w:rPr>
        <w:t>dies a quo</w:t>
      </w:r>
      <w:r>
        <w:t xml:space="preserve"> para su cómputo la fecha del lanzamiento, en la que no se encontraba presente y no tenía conocimiento de la infracción cometida, sino que debe tomarse la de la fecha en que se personó en las actuaciones, es decir, el día 15 de marzo de 2019. En consecuencia, habiéndose promovido el incidente el 12 de abril de 2019, estaba dentro del plazo de veinte días estipulado en el art. 228 LEC.</w:t>
      </w:r>
    </w:p>
    <w:p w:rsidR="005728DD" w:rsidRDefault="005728DD" w:rsidP="005728DD">
      <w:pPr>
        <w:pStyle w:val="TextoNormal"/>
      </w:pPr>
    </w:p>
    <w:p w:rsidR="005728DD" w:rsidRDefault="005728DD" w:rsidP="005728DD">
      <w:pPr>
        <w:pStyle w:val="TextoNormal"/>
      </w:pPr>
      <w:r>
        <w:t xml:space="preserve">Por todo ello, solicita que se declare la nulidad del auto impugnado y de todas las actuaciones practicadas desde la diligencia de ordenación de 7 de enero de 2019, retrotrayéndose </w:t>
      </w:r>
      <w:r>
        <w:lastRenderedPageBreak/>
        <w:t>las actuaciones al momento inmediatamente anterior a esta resolución al objeto de tener la oportunidad de comparecer en el procedimiento en defensa de sus intereses.</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17 de septiembre de 2020, la Sala Segunda de este tribunal acordó admitir a trámite el recurso de amparo, apreciando que concurría en el mismo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005728DD" w:rsidRDefault="005728DD" w:rsidP="005728DD">
      <w:pPr>
        <w:pStyle w:val="TextoNormal"/>
      </w:pPr>
    </w:p>
    <w:p w:rsidR="005728DD" w:rsidRDefault="005728DD" w:rsidP="005728DD">
      <w:pPr>
        <w:pStyle w:val="TextoNormal"/>
      </w:pPr>
      <w:r>
        <w:t>Constando ya testimonio de las actuaciones correspondientes al procedimiento verbal núm. 638-2018, en la misma resolución se acordó dirigir atenta comunicación al Juzgado de Primera Instancia e Instrucción núm. 2 de Santoña, al objeto de que procediera a emplazar a quienes hubieran sido parte en el proceso del que trae causa el presente recurso, para que pudieran comparecer en estas actuaciones, si así lo desean, excepto a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la secretaría de la Sala Segunda de este tribunal, de 4 de diciembre de 2020, se acordó dar vista de las actuaciones recibidas a la parte recurrente y al Ministerio Fiscal, para que presentaran las alegaciones que estimaran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presentó alegaciones por escrito, en fecha de 19 de enero de 2021, en sentido favorable a la estimación de la demanda de amparo.</w:t>
      </w:r>
    </w:p>
    <w:p w:rsidR="005728DD" w:rsidRDefault="005728DD" w:rsidP="005728DD">
      <w:pPr>
        <w:pStyle w:val="TextoNormal"/>
      </w:pPr>
    </w:p>
    <w:p w:rsidR="005728DD" w:rsidRDefault="005728DD" w:rsidP="005728DD">
      <w:pPr>
        <w:pStyle w:val="TextoNormal"/>
      </w:pPr>
      <w:r>
        <w:t>Tras compendiar los acontecimientos procesales que consideró de interés al caso y concretar los aspectos más relevantes de la pretensión del demandante, señala que el objeto del presente recurso consiste en dilucidar si el juez ha vulnerado el derecho a la tutela judicial efectiva de los recurrentes (art. 24.1 CE), “por haberse seguido el proceso sin haberse emplazado personalmente a la ejecutada, ya que el órgano judicial acudió al emplazamiento por edictos sin haber agotado, previamente, los mecanismos previstos en el art. 156 LEC para intentar su localización personal, tal y como así exige la jurisprudencia constitucional”.</w:t>
      </w:r>
    </w:p>
    <w:p w:rsidR="005728DD" w:rsidRDefault="005728DD" w:rsidP="005728DD">
      <w:pPr>
        <w:pStyle w:val="TextoNormal"/>
      </w:pPr>
    </w:p>
    <w:p w:rsidR="005728DD" w:rsidRDefault="005728DD" w:rsidP="005728DD">
      <w:pPr>
        <w:pStyle w:val="TextoNormal"/>
      </w:pPr>
      <w:r>
        <w:t>Tras repasar la doctrina constitucional aplicable al caso, la fiscal estima que una vez que el resultado obtenido en la citación mediante exhortos fue negativo, el Juzgado de Primera Instancia e Instrucción núm. 2 de Santoña “no desplegó la actividad que le era exigible desde la perspectiva del derecho a la tutela judicial efectiva (art. 24.1 CE), al objeto de notificar debidamente al demandante de amparo la existencia del procedimiento”, pues, a pesar de estar consignada otra dirección en la demanda a efectos de notificación, no se intentó la comunicación en ese domicilio, ni se practicó averiguación domiciliaria alguna a tales efectos. A ello añade que la aplicación literal del art. 164 LEC en que el juzgado fundamenta su rechazo del incidente excepcional de nulidad de actuaciones contradice abiertamente la doctrina de este tribunal.</w:t>
      </w:r>
    </w:p>
    <w:p w:rsidR="005728DD" w:rsidRDefault="005728DD" w:rsidP="005728DD">
      <w:pPr>
        <w:pStyle w:val="TextoNormal"/>
      </w:pPr>
    </w:p>
    <w:p w:rsidR="005728DD" w:rsidRDefault="005728DD" w:rsidP="005728DD">
      <w:pPr>
        <w:pStyle w:val="TextoNormal"/>
      </w:pPr>
      <w:r>
        <w:t xml:space="preserve">Finalmente, la fiscal coincide con el recurrente en los motivos para rebatir el segundo de los argumentos expuestos en el auto impugnado, relativo a que el incidente excepcional de nulidad se había promovido fuera de plazo. A su juicio, al situar en la fecha en que se realizó el lanzamiento el </w:t>
      </w:r>
      <w:r w:rsidRPr="005728DD">
        <w:rPr>
          <w:i/>
        </w:rPr>
        <w:t>dies a quo</w:t>
      </w:r>
      <w:r>
        <w:t xml:space="preserve"> para el cómputo del plazo para la interposición del incidente </w:t>
      </w:r>
      <w:r>
        <w:lastRenderedPageBreak/>
        <w:t>excepcional de nulidad de actuaciones, el juzgado cometió un claro error, pues el demandante de amparo no estuvo presente en aquella diligencia, no personándose en las actuaciones hasta el 15 de marzo de 2019, fecha de la que se ha de partir para el referido cómputo. Y concluye: “[s]iendo así, el plazo finalizó el día 12 de abril que fue el día en el que efectivamente fue presentado el incidente”.</w:t>
      </w:r>
    </w:p>
    <w:p w:rsidR="005728DD" w:rsidRDefault="005728DD" w:rsidP="005728DD">
      <w:pPr>
        <w:pStyle w:val="TextoNormal"/>
      </w:pPr>
    </w:p>
    <w:p w:rsidR="005728DD" w:rsidRDefault="005728DD" w:rsidP="005728DD">
      <w:pPr>
        <w:pStyle w:val="TextoNormal"/>
      </w:pPr>
      <w:r w:rsidRPr="005728DD">
        <w:rPr>
          <w:rStyle w:val="NumeroAFNegritaCaracter"/>
        </w:rPr>
        <w:t>7</w:t>
      </w:r>
      <w:r>
        <w:t>. Por providencia de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demanda de amparo impugna el auto de 27 de mayo de 2019, dictado por el Juzgado de Primera Instancia e Instrucción núm. 2 de Santoña, que desestima el incidente excepcional de nulidad de actuaciones planteado por el recurrente, en el procedimiento de juicio verbal de desahucio núm. 638-2018, por entender vulnerado su derecho a la tutela judicial efectiva (art. 24.1 CE), por la falta de emplazamiento personal. Sobre el particular, sostiene que el juzgado vulneró tal derecho fundamental al haber acudido a la notificación edictal sin haber intentado la notificación en el segundo domicilio consignado en la demanda y sin desplegar las medidas para su localización previstas en la ley, tal y como exige nuestra jurisprudencia.</w:t>
      </w:r>
    </w:p>
    <w:p w:rsidR="005728DD" w:rsidRDefault="005728DD" w:rsidP="005728DD">
      <w:pPr>
        <w:pStyle w:val="TextoNormal"/>
      </w:pPr>
    </w:p>
    <w:p w:rsidR="005728DD" w:rsidRDefault="005728DD" w:rsidP="005728DD">
      <w:pPr>
        <w:pStyle w:val="TextoNormal"/>
      </w:pPr>
      <w:r>
        <w:t>Por su parte, el Ministerio Fiscal considera que procede estimar el recurso y declarar que el citado derecho fundamental ha sido vulnerado, por las mismas razones expuestas por el recurrente y dado que el art. 164 LEC debe ser interpretado de conformidad con la doctrina constitucional que exige expresamente al órgano judicial llevar a cabo una previa averiguación domiciliaria en los procedimientos de desahucio, antes de acudir a la vía edictal, so pena de vulnerar su derecho de acceso a la jurisdicción y causarle indefensión (art. 24.1 CE).</w:t>
      </w:r>
    </w:p>
    <w:p w:rsidR="005728DD" w:rsidRDefault="005728DD" w:rsidP="005728DD">
      <w:pPr>
        <w:pStyle w:val="TextoNormal"/>
      </w:pPr>
    </w:p>
    <w:p w:rsidR="005728DD" w:rsidRDefault="005728DD" w:rsidP="005728DD">
      <w:pPr>
        <w:pStyle w:val="TextoNormal"/>
      </w:pPr>
      <w:r>
        <w:t>Antes de entrar en el fondo de la cuestión debatida, procede dar somera respuesta al óbice de extemporaneidad, alegado por el órgano judicial en la resolución impugnada. En efecto el auto de 27 de mayo de 2019 que desestimó el incidente excepcional de actuaciones promovido por el recurrente toma como inicio del cómputo del plazo de los veinte días que otorga el art. 228 LEC, el de la fecha en que el demandante tuvo conocimiento del lanzamiento, esto es el 13 de marzo de 2019. Dado que el escrito de nulidad es de fecha 12 de abril de 2019, habían transcurrido veintidós días hábiles y el recurso sería extemporáneo.</w:t>
      </w:r>
    </w:p>
    <w:p w:rsidR="005728DD" w:rsidRDefault="005728DD" w:rsidP="005728DD">
      <w:pPr>
        <w:pStyle w:val="TextoNormal"/>
      </w:pPr>
    </w:p>
    <w:p w:rsidR="005728DD" w:rsidRDefault="005728DD" w:rsidP="005728DD">
      <w:pPr>
        <w:pStyle w:val="TextoNormal"/>
      </w:pPr>
      <w:r>
        <w:t>Pues bien, asiste la razón al recurrente y al Ministerio Fiscal cuando ponen de manifiesto el error padecido por el órgano judicial, dado que aquel no estuvo presente en la diligencia de lanzamiento, sino que se personó en las actuaciones con fecha 19 de marzo de 2019, por lo que el escrito de nulidad fue presentado en plazo.</w:t>
      </w:r>
    </w:p>
    <w:p w:rsidR="005728DD" w:rsidRDefault="005728DD" w:rsidP="005728DD">
      <w:pPr>
        <w:pStyle w:val="TextoNormal"/>
      </w:pPr>
    </w:p>
    <w:p w:rsidR="005728DD" w:rsidRDefault="005728DD" w:rsidP="005728DD">
      <w:pPr>
        <w:pStyle w:val="TextoNormal"/>
      </w:pPr>
      <w:r>
        <w:t>En consecuencia, ha de rechazarse la concurrencia de este óbice procesal impeditivo del acceso a la jurisdicción constitucional.</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xml:space="preserve">. </w:t>
      </w:r>
      <w:r w:rsidRPr="005728DD">
        <w:rPr>
          <w:i/>
        </w:rPr>
        <w:t>Doctrina del Tribunal Constitucional sobre los actos de comunicación procesal en los procesos arrendaticios</w:t>
      </w:r>
      <w:r>
        <w:t>.</w:t>
      </w:r>
    </w:p>
    <w:p w:rsidR="005728DD" w:rsidRDefault="005728DD" w:rsidP="005728DD">
      <w:pPr>
        <w:pStyle w:val="TextoNormal"/>
      </w:pPr>
    </w:p>
    <w:p w:rsidR="005728DD" w:rsidRDefault="005728DD" w:rsidP="005728DD">
      <w:pPr>
        <w:pStyle w:val="TextoNormal"/>
      </w:pPr>
      <w:r>
        <w:t>Como acertadamente exponen tanto el demandante de amparo, como el Ministerio Fiscal, este tribunal ya ha tenido ocasión de pronunciarse sobre la cuestión planteada en numerosas resoluciones.</w:t>
      </w:r>
    </w:p>
    <w:p w:rsidR="005728DD" w:rsidRDefault="005728DD" w:rsidP="005728DD">
      <w:pPr>
        <w:pStyle w:val="TextoNormal"/>
      </w:pPr>
    </w:p>
    <w:p w:rsidR="005728DD" w:rsidRDefault="005728DD" w:rsidP="005728DD">
      <w:pPr>
        <w:pStyle w:val="TextoNormal"/>
      </w:pPr>
      <w:r>
        <w:t>Parafraseando la STC 20/2021, de 15 de febrero: “[a]si, en la reciente STC 62/2020, de 15 de junio, FJ 2, pero también en muchas anteriores relativas a los procedimientos arrendaticios (SSTC 30/2014, de 24 de febrero; 181/2015, de 7 de septiembre; 39/2018, de 25 de abril, y 123/2019, de 28 de octubre), hemos subrayado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 (FJ 2).</w:t>
      </w:r>
    </w:p>
    <w:p w:rsidR="005728DD" w:rsidRDefault="005728DD" w:rsidP="005728DD">
      <w:pPr>
        <w:pStyle w:val="TextoNormal"/>
      </w:pPr>
    </w:p>
    <w:p w:rsidR="005728DD" w:rsidRDefault="005728DD" w:rsidP="005728DD">
      <w:pPr>
        <w:pStyle w:val="TextoNormal"/>
      </w:pPr>
      <w:r>
        <w:t>Y sigue: “[e]n todas estas resoluciones, hemos insistido en que sobre los órganos judiciales no solo recae el deber de velar por la correcta ejecución de los actos de comunicación procesal, sino también el de asegurarse de que dichos actos sirven al propósito de garantizar que la parte sea oída en el proceso. ‘Ello comporta, en lo posible, la exigencia del emplazamiento personal de los afectados y, desde otra perspectiva, la limitación del empleo de la notificación edictal a aquellos supuestos en los que, tras intentar su averiguación,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 (FJ 2).</w:t>
      </w:r>
    </w:p>
    <w:p w:rsidR="005728DD" w:rsidRDefault="005728DD" w:rsidP="005728DD">
      <w:pPr>
        <w:pStyle w:val="TextoNormal"/>
      </w:pPr>
    </w:p>
    <w:p w:rsidR="005728DD" w:rsidRDefault="005728DD" w:rsidP="005728DD">
      <w:pPr>
        <w:pStyle w:val="TextoNormal"/>
      </w:pPr>
      <w:r>
        <w:t xml:space="preserve">Concluyendo que: “[a]hora una vez más, como hemos hecho cada vez que se nos ha planteado este supuesto, hemos de recordar que frente a esta doctrina, no cabe que la Ley de enjuiciamiento civil no exija realizar mayores averiguaciones tras la reforma del art. 164 </w:t>
      </w:r>
      <w:r>
        <w:lastRenderedPageBreak/>
        <w:t>LEC llevada a cabo mediante la Ley 19/2009, de 23 de noviembre, de medidas de fomento y agilización procesal del alquiler y de la eficiencia energética de los edificios. ‘Semejante argumentación es la que pone de relieve, precisamente, la especial trascendencia constitucional del presente recurso, pues hemos reiterado en la jurisprudencia reseñada que dicho cambio normativo no permite obviar la doctrina constitucional precedente, que le fue expresamente alegada por el recurrente’ (STC 62/2020, de 15 de junio, FJ 2)” (FJ 2).</w:t>
      </w:r>
    </w:p>
    <w:p w:rsidR="005728DD" w:rsidRDefault="005728DD" w:rsidP="005728DD">
      <w:pPr>
        <w:pStyle w:val="TextoNormal"/>
      </w:pPr>
    </w:p>
    <w:p w:rsidR="005728DD" w:rsidRDefault="005728DD" w:rsidP="005728DD">
      <w:pPr>
        <w:pStyle w:val="TextoNormal"/>
      </w:pPr>
      <w:r>
        <w:t>En síntesis, que es tarea fundamental del órgano jurisdiccional asegurar que la demandada tome conocimiento de la causa y tengan la oportunidad de ser oídas en defensa de sus intereses, para lo cual debe procurar que las notificaciones sean efectivas. A tal fin debe acomodarse la interpretación de las disposiciones legales, limitándose el empleo de la notificación edictal a aquellos supuestos en que no haya sido posible la notificación personal tras haberse agotado todas la posibilidades razonables de comunicación en el domicilio indicado, eventualmente, por la parte contraria o en otros que fueran descubiertos por constar en las actuaciones o por haberse accedido a ellos tras haberse desplegado las oportunas diligencias de averiguación domiciliaria.</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doctrina al caso</w:t>
      </w:r>
      <w:r>
        <w:t>.</w:t>
      </w:r>
    </w:p>
    <w:p w:rsidR="005728DD" w:rsidRDefault="005728DD" w:rsidP="005728DD">
      <w:pPr>
        <w:pStyle w:val="TextoNormal"/>
      </w:pPr>
    </w:p>
    <w:p w:rsidR="005728DD" w:rsidRDefault="005728DD" w:rsidP="005728DD">
      <w:pPr>
        <w:pStyle w:val="TextoNormal"/>
      </w:pPr>
      <w:r>
        <w:t>Es indiscutible que la doctrina constitucional expuesta resulta aplicable al supuesto que ahora se enjuicia, de manera que el Juzgado de Primera Instancia e Instrucción núm. 2 de Santoña, una vez fracasado el primer intento de notificación personal en el inmueble arrendado, debió acudir al segundo domicilio consignado en la demanda, agotando, en su caso, los medios de averiguación domiciliaria que indica la legislación procesal, antes de proceder a realizar la comunicación por medio de edictos.</w:t>
      </w:r>
    </w:p>
    <w:p w:rsidR="005728DD" w:rsidRDefault="005728DD" w:rsidP="005728DD">
      <w:pPr>
        <w:pStyle w:val="TextoNormal"/>
      </w:pPr>
    </w:p>
    <w:p w:rsidR="005728DD" w:rsidRDefault="005728DD" w:rsidP="005728DD">
      <w:pPr>
        <w:pStyle w:val="TextoNormal"/>
      </w:pPr>
      <w:r>
        <w:t xml:space="preserve">Asimismo, resulta patente que el auto impugnado, de 27 de mayo de 2019, desestimatorio del incidente de nulidad, hizo caso omiso de nuestra doctrina, pues no efectúa esa interpretación </w:t>
      </w:r>
      <w:r w:rsidRPr="005728DD">
        <w:rPr>
          <w:i/>
        </w:rPr>
        <w:t>secundum constitutionem</w:t>
      </w:r>
      <w:r>
        <w:t xml:space="preserve"> a la que acabamos de referirnos, sino antes al contrario, mantiene la especificidad introducida para el juicio de desahucio por la Ley 19/2009, de 23 de noviembre, de medidas de fomento y agilización procesal del alquiler y de la eficiencia energética de los edificios, que dio nueva redacción al art. 155.3 LEC y añadió un párrafo concordado con este al art. 164 LEC, optando por una interpretación literal de estos preceptos.</w:t>
      </w:r>
    </w:p>
    <w:p w:rsidR="005728DD" w:rsidRDefault="005728DD" w:rsidP="005728DD">
      <w:pPr>
        <w:pStyle w:val="TextoNormal"/>
      </w:pPr>
    </w:p>
    <w:p w:rsidR="005728DD" w:rsidRDefault="005728DD" w:rsidP="005728DD">
      <w:pPr>
        <w:pStyle w:val="TextoNormal"/>
      </w:pPr>
      <w:r>
        <w:t xml:space="preserve">En efecto, este tribunal no puede más que declarar que se ha producido la vulneración constitucional alegada por el demandante de amparo. En primer término, por el automatismo del órgano judicial al acudir al requerimiento y notificación edictal, sin realizar otros intentos en el segundo domicilio que figuraba en la demanda y sin averiguación domiciliaria alguna. Y, en segundo término, porque la respuesta ofrecida en el auto resolutorio del incidente de nulidad prescinde de las alegaciones del demandante, no repara en la doctrina constitucional invocada y mantiene una interpretación rigorista de los arts. 155.3 y 164 LEC, incompatible con esta, sin dedicar argumento alguno a su aplicación o procedencia en el caso sometido a su consideración. Con ello, además, se pone de manifiesto la concurrencia del motivo de la especial trascendencia constitucional apreciado en el trámite de admisión [STC 155/2009, FJ 2 f)], y no solo porque se aparta de la doctrina establecida por este tribunal en materia de emplazamientos y notificaciones, sino porque, como así se refleja en </w:t>
      </w:r>
      <w:r>
        <w:lastRenderedPageBreak/>
        <w:t>los antecedentes de esta resolución, el recurrente la invocó expresamente en el incidente de nulidad de actuaciones, sin que la juzgadora la tuviera en cuenta al resolver.</w:t>
      </w:r>
    </w:p>
    <w:p w:rsidR="005728DD" w:rsidRDefault="005728DD" w:rsidP="005728DD">
      <w:pPr>
        <w:pStyle w:val="TextoNormal"/>
      </w:pPr>
    </w:p>
    <w:p w:rsidR="005728DD" w:rsidRDefault="005728DD" w:rsidP="005728DD">
      <w:pPr>
        <w:pStyle w:val="TextoNormal"/>
      </w:pPr>
      <w:r>
        <w:t>La aplicación de nuestra reiterada doctrina al presente supuesto conlleva que declaremos vulnerado el derecho del demandante a la tutela judicial efectiva sin indefensión (art. 24.1 CE) y, consiguientemente, estimemos el presente recurso de amparo. Por ello, de conformidad con lo establecido en el art. 55 LOTC, procede declarar la nulidad del auto de 27 de mayo de 2019, dictado por el Juzgado de Primera Instancia e Instrucción núm. 2 de Santoña, por el que se desestimó el incidente excepcional de nulidad planteado, acordando la retroacción de las actuaciones al momento en que deba de efectuarse el emplazamiento del demandado por los medios previstos en la Ley de enjuiciamiento civil.</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Fernando Ruiz Fernández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Restablecerlo en su derecho y, a tal fin, declarar la nulidad del auto de fecha de 27 de mayo de 2019, dictado por el Juzgado de Primera Instancia e Instrucción núm. 2 de Santoña, en el proceso de juicio verbal de desahucio núm. 638-2018.</w:t>
      </w:r>
    </w:p>
    <w:p w:rsidR="005728DD" w:rsidRDefault="005728DD" w:rsidP="005728DD">
      <w:pPr>
        <w:pStyle w:val="TextoNormal"/>
      </w:pPr>
    </w:p>
    <w:p w:rsidR="005728DD" w:rsidRDefault="005728DD" w:rsidP="005728DD">
      <w:pPr>
        <w:pStyle w:val="TextoNormal"/>
      </w:pPr>
      <w:r>
        <w:t>3º Retrotraer el procedimiento al momento inmediatamente anterior a la diligencia de ordenación de 7 de enero de 2019, debiendo llevarse a cabo el emplazamiento de la parte demandada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8" w:name="SENTENCIA_2021_95"/>
      <w:r>
        <w:lastRenderedPageBreak/>
        <w:t>SENTENCIA 95/2021, de 10 de mayo de 2021</w:t>
      </w:r>
    </w:p>
    <w:bookmarkEnd w:id="98"/>
    <w:p w:rsidR="005728DD" w:rsidRDefault="005728DD" w:rsidP="005728DD">
      <w:pPr>
        <w:pStyle w:val="TtuloResolucin"/>
      </w:pPr>
      <w:r>
        <w:t>Sala Segunda</w:t>
      </w:r>
    </w:p>
    <w:p w:rsidR="005728DD" w:rsidRDefault="005728DD" w:rsidP="005728DD">
      <w:pPr>
        <w:pStyle w:val="TtuloBOE"/>
      </w:pPr>
      <w:r>
        <w:t>(BOE núm. 142, de 15 de junio de 2021)</w:t>
      </w:r>
    </w:p>
    <w:p w:rsidR="005728DD" w:rsidRDefault="005728DD" w:rsidP="005728DD">
      <w:pPr>
        <w:pStyle w:val="TextoNormalCentrado"/>
      </w:pPr>
      <w:r>
        <w:t>ECLI:ES:TC:2021:95</w:t>
      </w:r>
    </w:p>
    <w:p w:rsidR="005728DD" w:rsidRDefault="005728DD" w:rsidP="005728DD">
      <w:pPr>
        <w:pStyle w:val="TextoNormalCentrado"/>
      </w:pPr>
    </w:p>
    <w:p w:rsidR="005728DD" w:rsidRDefault="005728DD" w:rsidP="005728DD">
      <w:pPr>
        <w:pStyle w:val="SntesisDescriptiva"/>
      </w:pPr>
      <w:r>
        <w:t>Recurso de amparo 5050-2019. Promovido por las entidades Grupo Luzelma, S.L., y Santa Victoria, S.L., respecto de las resoluciones dictadas por un juzgado de primera instancia de Algeciras en incidente de tasación de costas.</w:t>
      </w:r>
    </w:p>
    <w:p w:rsidR="005728DD" w:rsidRDefault="005728DD" w:rsidP="005728DD">
      <w:pPr>
        <w:pStyle w:val="SntesisDescriptiva"/>
      </w:pPr>
    </w:p>
    <w:p w:rsidR="005728DD" w:rsidRDefault="005728DD" w:rsidP="005728DD">
      <w:pPr>
        <w:pStyle w:val="SntesisAnaltica"/>
      </w:pPr>
      <w:r>
        <w:t>Vulneración del derecho a la tutela judicial efectiva (motivación): tasación de las costas que ignora la declaración del proceso como de cuantía indeterminada.</w:t>
      </w:r>
    </w:p>
    <w:p w:rsidR="005728DD" w:rsidRDefault="005728DD" w:rsidP="005728DD">
      <w:pPr>
        <w:pStyle w:val="SntesisAnaltica"/>
      </w:pPr>
    </w:p>
    <w:p w:rsidR="005728DD" w:rsidRDefault="005728DD" w:rsidP="005728DD">
      <w:pPr>
        <w:pStyle w:val="Extracto"/>
      </w:pPr>
      <w:r>
        <w:t>1.</w:t>
      </w:r>
      <w:r>
        <w:tab/>
        <w:t>El criterio de la mayor retroacción implica conceder prioridad al examen de aquellas causas que, de prosperar, determinarían la retroacción a un momento procesal anterior, haciendo innecesario un pronunciamiento sobre las restantes (SSTC 41/2020 y 25/2012) [FJ 2].</w:t>
      </w:r>
    </w:p>
    <w:p w:rsidR="005728DD" w:rsidRDefault="005728DD" w:rsidP="005728DD">
      <w:pPr>
        <w:pStyle w:val="Extracto"/>
      </w:pPr>
    </w:p>
    <w:p w:rsidR="005728DD" w:rsidRDefault="005728DD" w:rsidP="005728DD">
      <w:pPr>
        <w:pStyle w:val="Extracto"/>
      </w:pPr>
      <w:r>
        <w:t>2.</w:t>
      </w:r>
      <w:r>
        <w:tab/>
        <w:t>El derecho a la igualdad en la aplicación judicial de la ley (art. 14 CE) exige un elemento de alteridad, que se traduce en una denuncia de un trato desigual en relación con otra u otras personas (SSTC 13/2011 y 80/2020) [FJ 2].</w:t>
      </w:r>
    </w:p>
    <w:p w:rsidR="005728DD" w:rsidRDefault="005728DD" w:rsidP="005728DD">
      <w:pPr>
        <w:pStyle w:val="Extracto"/>
      </w:pPr>
    </w:p>
    <w:p w:rsidR="005728DD" w:rsidRDefault="005728DD" w:rsidP="005728DD">
      <w:pPr>
        <w:pStyle w:val="Extracto"/>
      </w:pPr>
      <w:r>
        <w:t>3.</w:t>
      </w:r>
      <w:r>
        <w:tab/>
        <w:t>Una de las proyecciones del derecho fundamental a la tutela judicial efectiva reconocido en el art. 24.1 CE es la que se concreta en el derecho a que las resoluciones judiciales alcancen la eficacia querida por el ordenamiento, lo que incluye tanto el derecho a que se ejecuten en sus propios términos, como a que se respete su firmeza y la intangibilidad de las situaciones jurídicas en ellas declaradas; sin perjuicio, naturalmente, de su modificación o revisión a través de los cauces extraordinarios legalmente previstos para ello (STC 318/2006) [FJ 2].</w:t>
      </w:r>
    </w:p>
    <w:p w:rsidR="005728DD" w:rsidRDefault="005728DD" w:rsidP="005728DD">
      <w:pPr>
        <w:pStyle w:val="Extracto"/>
      </w:pPr>
    </w:p>
    <w:p w:rsidR="005728DD" w:rsidRDefault="005728DD" w:rsidP="005728DD">
      <w:pPr>
        <w:pStyle w:val="Extracto"/>
      </w:pPr>
      <w:r>
        <w:t>4.</w:t>
      </w:r>
      <w:r>
        <w:tab/>
        <w:t>El error patente que determina la vulneración del art. 24.1 CE es exclusivamente el error de hecho (SSTC 217/2000 O 32/2005); no una cuestión jurídica [FJ 2].</w:t>
      </w:r>
    </w:p>
    <w:p w:rsidR="005728DD" w:rsidRDefault="005728DD" w:rsidP="005728DD">
      <w:pPr>
        <w:pStyle w:val="Extracto"/>
      </w:pPr>
    </w:p>
    <w:p w:rsidR="005728DD" w:rsidRDefault="005728DD" w:rsidP="005728DD">
      <w:pPr>
        <w:pStyle w:val="Extracto"/>
      </w:pPr>
      <w:r>
        <w:t>5.</w:t>
      </w:r>
      <w:r>
        <w:tab/>
        <w:t>Doctrina sobre el derecho a obtener una resolución motivada, fundada en Derecho, congruente con las pretensiones oportunamente deducidas por las partes, y que no incurra en tal grado de arbitrariedad o irrazonabilidad que, por su evidencia y contenido, sea patente su carencia de toda motivación y razonamiento (SSTC 214/1999 y 142/2012 y 46/2020) [FJ 3].</w:t>
      </w:r>
    </w:p>
    <w:p w:rsidR="005728DD" w:rsidRDefault="005728DD" w:rsidP="005728DD">
      <w:pPr>
        <w:pStyle w:val="Extracto"/>
      </w:pPr>
    </w:p>
    <w:p w:rsidR="005728DD" w:rsidRDefault="005728DD" w:rsidP="005728DD">
      <w:pPr>
        <w:pStyle w:val="Extracto"/>
      </w:pPr>
      <w:r>
        <w:t>6.</w:t>
      </w:r>
      <w:r>
        <w:tab/>
        <w:t>En la tasación de costas, por parte del órgano judicial, no resulta admisible prescindir de la cuantía del proceso. Si no se atiende dicha realidad jurídica, que es imprescindible para la tasación de las costas, el juzgado infringe el derecho a una resolución motivada no incursa en irracionalidad [FJ 3].</w:t>
      </w:r>
    </w:p>
    <w:p w:rsidR="005728DD" w:rsidRDefault="005728DD" w:rsidP="005728DD">
      <w:pPr>
        <w:pStyle w:val="Extracto"/>
      </w:pPr>
    </w:p>
    <w:p w:rsidR="005728DD" w:rsidRDefault="005728DD" w:rsidP="005728DD">
      <w:pPr>
        <w:pStyle w:val="Extracto"/>
      </w:pPr>
      <w:r>
        <w:t>7.</w:t>
      </w:r>
      <w:r>
        <w:tab/>
        <w:t xml:space="preserve">Se vulnera el derecho fundamental a una resolución judicial no arbitraria cuando el órgano judicial dicta una resolución contrapuesta en lo esencial a la que ha dictado para un supuesto idéntico en lo relevante, siempre que no exprese o se infieran las razones para tal cambio. El resultado en virtud del cual cuando, sobre idénticos asuntos litigiosos, se obtiene inmotivadamente respuestas distintas del </w:t>
      </w:r>
      <w:r>
        <w:lastRenderedPageBreak/>
        <w:t>mismo órgano judicial, ha de tenerse por arbitrario y por ello lesivo del derecho a la tutela judicial efectiva  (STC 24/2005)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5050-2019, promovido por las entidades Grupo Luzelma, S.L., y Santa Victoria, S.L., contra la providencia de 17 de junio de 2019 del Juzgado de Primera Instancia núm. 2 de Algeciras, que inadmitió a trámite el incidente de nulidad de actuaciones promovido contra al auto de 28 de mayo de 2018, desestimatorio del recurso de revisión previamente formalizado contra el decreto de 19 de abril de 2018 de la letrada de la administración de justicia de dicho juzgado, que había denegado la impugnación de la tasación de costas realizada por esta en el procedimiento ordinario núm. 1329-2011. Han comparecido y formulado alegaciones don Fernando Ignacio Larios de Soto, don Pablo José Larios de Soto, doña Ana Maravillas Larios de Soto, doña Mónica de Soto Beltrán de Lis, doña Mónica Larios de Soto, doña María Luisa Larios de Soto y don Luis Jerónimo Larios de Soto.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de este tribunal el día 3 de septiembre de 2019, el procurador de los tribunales don Carlos Villanueva Nieto, en nombre y representación de las mercantiles Grupo Luzelma, S.L., y Santa Victoria, S.L., con la asistencia de la letrada doña María Isabel Nevado del Campo, interpuso un recurso de amparo contra las resoluciones indicadas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el examen de la presente demanda de amparo son los siguientes:</w:t>
      </w:r>
    </w:p>
    <w:p w:rsidR="005728DD" w:rsidRDefault="005728DD" w:rsidP="005728DD">
      <w:pPr>
        <w:pStyle w:val="TextoNormal"/>
      </w:pPr>
    </w:p>
    <w:p w:rsidR="005728DD" w:rsidRDefault="005728DD" w:rsidP="005728DD">
      <w:pPr>
        <w:pStyle w:val="TextoNormal"/>
      </w:pPr>
      <w:r>
        <w:t>a) El día 7 de julio de 2011 las entidades Santa Victoria, S.L., y Metalcover, S.L. (hoy Grupo Luzelma, S.L.) interpusieron una demanda de constitución de servidumbre de paso contra los titulares de varias fincas a fin de poder acceder a unos terrenos enclavados que pertenecían a las actoras, correspondiendo su conocimiento al Juzgado de Primera Instancia núm. 2 de Algeciras (procedimiento ordinario núm. 1329-2011).</w:t>
      </w:r>
    </w:p>
    <w:p w:rsidR="005728DD" w:rsidRDefault="005728DD" w:rsidP="005728DD">
      <w:pPr>
        <w:pStyle w:val="TextoNormal"/>
      </w:pPr>
    </w:p>
    <w:p w:rsidR="005728DD" w:rsidRDefault="005728DD" w:rsidP="005728DD">
      <w:pPr>
        <w:pStyle w:val="TextoNormal"/>
      </w:pPr>
      <w:r>
        <w:lastRenderedPageBreak/>
        <w:t xml:space="preserve">La demanda fue desestimada mediante sentencia de 26 de junio de 2015, en cuyo antecedente segundo se afirma que “al tiempo de presentarse la demanda no se conoce el predio sirviente por el que se constituirá la servidumbre de paso, ya que ni existe precio satisfecho para su constitución, pues no se ha constituido todavía, ni existe precio de adquisición, al tratarse de una constitución </w:t>
      </w:r>
      <w:r w:rsidRPr="005728DD">
        <w:rPr>
          <w:i/>
        </w:rPr>
        <w:t>ex novo</w:t>
      </w:r>
      <w:r>
        <w:t>, ni se conoce el predio sirviente para, sumado el valor del predio dominante, calcular la vigésima parte de la suma de los valores del predio sirviente y dominante, regla que sirve para el cálculo de la cuantía en supuestos de acciones reales de servidumbres (art. 251.5 de la Ley de Enjuiciamiento Civil: LEC), por lo que ha de entenderse que el asunto es de cuantía indeterminable, pronunciándose en este sentido la sentencia de la Audiencia Provincial de Zamora de 21 de abril de 2008”. En aplicación del art. 394.1 LEC, las costas causadas se impusieron a la parte vencida.</w:t>
      </w:r>
    </w:p>
    <w:p w:rsidR="005728DD" w:rsidRDefault="005728DD" w:rsidP="005728DD">
      <w:pPr>
        <w:pStyle w:val="TextoNormal"/>
      </w:pPr>
    </w:p>
    <w:p w:rsidR="005728DD" w:rsidRDefault="005728DD" w:rsidP="005728DD">
      <w:pPr>
        <w:pStyle w:val="TextoNormal"/>
      </w:pPr>
      <w:r>
        <w:t>La anterior resolución fue confirmada por la Audiencia Provincial de Cádiz, Sección de Algeciras, en virtud de sentencia de 5 de diciembre de 2016, que desestimó el recurso de apelación interpuesto contra la misma por las mercantiles ahora demandantes de amparo. Esta sentencia impuso las costas, también, a las demandantes.</w:t>
      </w:r>
    </w:p>
    <w:p w:rsidR="005728DD" w:rsidRDefault="005728DD" w:rsidP="005728DD">
      <w:pPr>
        <w:pStyle w:val="TextoNormal"/>
      </w:pPr>
    </w:p>
    <w:p w:rsidR="005728DD" w:rsidRDefault="005728DD" w:rsidP="005728DD">
      <w:pPr>
        <w:pStyle w:val="TextoNormal"/>
      </w:pPr>
      <w:r>
        <w:t>b) La representación procesal de don Fernando Ignacio Larios de Soto, don Pablo José Larios de Soto, doña Ana Maravillas Larios de Soto, doña Mónica Larios de Soto, doña María Luisa Larios de Soto y don Luis Jerónimo Larios de Soto (en lo sucesivo, hermanos Larios de Soto) y doña Mónica de Soto Beltrán de Lis, demandados en su condición de propietarios de una de las fincas a través de las que se reclamaba la servidumbre de paso, unidos bajo la representación procesal de la procuradora doña Rosa Vizcaíno Gámez y asistidos por el letrado don Juan García-Beamud Pérez, solicitaron la tasación de las costas que se les habían causado en la primera instancia.</w:t>
      </w:r>
    </w:p>
    <w:p w:rsidR="005728DD" w:rsidRDefault="005728DD" w:rsidP="005728DD">
      <w:pPr>
        <w:pStyle w:val="TextoNormal"/>
      </w:pPr>
    </w:p>
    <w:p w:rsidR="005728DD" w:rsidRDefault="005728DD" w:rsidP="005728DD">
      <w:pPr>
        <w:pStyle w:val="TextoNormal"/>
      </w:pPr>
      <w:r>
        <w:t>La precitada procuradora presentó nota por importe de 378,84 € (derechos) y 1905,00 € (suplidos), al considerar que se trataba de un procedimiento ordinario de cuantía indeterminada, tal y como se había fijado en la sentencia del juzgado.</w:t>
      </w:r>
    </w:p>
    <w:p w:rsidR="005728DD" w:rsidRDefault="005728DD" w:rsidP="005728DD">
      <w:pPr>
        <w:pStyle w:val="TextoNormal"/>
      </w:pPr>
    </w:p>
    <w:p w:rsidR="005728DD" w:rsidRDefault="005728DD" w:rsidP="005728DD">
      <w:pPr>
        <w:pStyle w:val="TextoNormal"/>
      </w:pPr>
      <w:r>
        <w:t>En cambio, el letrado don Juan García-Beamud Pérez presentó minuta de honorarios profesionales por importe de 61 170,88 €, aplicando la regla prevista en el art. 251.5 LEC, que, para las acciones de constitución de servidumbres, toma como referencia, entre otros criterios, el valor de los predios sirviente y dominante, lo que, a su juicio, arrojaba una cuantía del pleito de 364 245,49 €.</w:t>
      </w:r>
    </w:p>
    <w:p w:rsidR="005728DD" w:rsidRDefault="005728DD" w:rsidP="005728DD">
      <w:pPr>
        <w:pStyle w:val="TextoNormal"/>
      </w:pPr>
    </w:p>
    <w:p w:rsidR="005728DD" w:rsidRDefault="005728DD" w:rsidP="005728DD">
      <w:pPr>
        <w:pStyle w:val="TextoNormal"/>
      </w:pPr>
      <w:r>
        <w:t>El día 2 de mayo de 2017 la letrada de la administración de justicia del Juzgado de Primera Instancia núm. 2 de Algeciras practicó la tasación de costas solicitada en los siguientes términos: honorarios de abogado: 61 170,88 €; derechos de procuradora: 378,84 €; gastos y suplidos de procuradora: 1905,00 €. Así, la tasación de costas a cargo de las sociedades Grupo Luzelma, S.L., y Santa Victoria, S.L., ascendió a un total de 63 454,72 €.</w:t>
      </w:r>
    </w:p>
    <w:p w:rsidR="005728DD" w:rsidRDefault="005728DD" w:rsidP="005728DD">
      <w:pPr>
        <w:pStyle w:val="TextoNormal"/>
      </w:pPr>
    </w:p>
    <w:p w:rsidR="005728DD" w:rsidRDefault="005728DD" w:rsidP="005728DD">
      <w:pPr>
        <w:pStyle w:val="TextoNormal"/>
      </w:pPr>
      <w:r>
        <w:t xml:space="preserve">c) Las entidades condenadas al pago impugnaron la tasación de costas por excesivas en cuanto a los honorarios del abogado. Este se opuso a la impugnación, dándose traslado al Colegio de Abogados de Cádiz (art. 246.1 LEC), que emitió informe el día 10 de marzo de 2018, considerando que la minuta era correcta, “en cuanto aplica adecuadamente los criterios colegiales, debiéndose rechazar, por tanto, la impugnación”, si bien advertía que “[n]o </w:t>
      </w:r>
      <w:r>
        <w:lastRenderedPageBreak/>
        <w:t>se pueden concretar más detalles del procedimiento en sí, ya que el juzgado solo ha remitido la parte que se refiere a la impugnación de esta minuta, obviando el resto”.</w:t>
      </w:r>
    </w:p>
    <w:p w:rsidR="005728DD" w:rsidRDefault="005728DD" w:rsidP="005728DD">
      <w:pPr>
        <w:pStyle w:val="TextoNormal"/>
      </w:pPr>
    </w:p>
    <w:p w:rsidR="005728DD" w:rsidRDefault="005728DD" w:rsidP="005728DD">
      <w:pPr>
        <w:pStyle w:val="TextoNormal"/>
      </w:pPr>
      <w:r>
        <w:t>Por decreto de 19 de abril de 2018, la letrada de la administración de justicia desestimó íntegramente la impugnación, con fundamento en el informe del Colegio que “no estima excesivos los honorarios del abogado, considerando por el contrario que se han aplicado adecuadamente los criterios colegiales”.</w:t>
      </w:r>
    </w:p>
    <w:p w:rsidR="005728DD" w:rsidRDefault="005728DD" w:rsidP="005728DD">
      <w:pPr>
        <w:pStyle w:val="TextoNormal"/>
      </w:pPr>
    </w:p>
    <w:p w:rsidR="005728DD" w:rsidRDefault="005728DD" w:rsidP="005728DD">
      <w:pPr>
        <w:pStyle w:val="TextoNormal"/>
      </w:pPr>
      <w:r>
        <w:t>d) Contra el anterior decreto la representación de las dos entidades interpuso recurso de revisión, alegando la vulneración del derecho a la tutela judicial efectiva sin indefensión y a la igualdad de partes en el proceso. En concreto, señalaba el recurso que la letrada de la administración de justicia había asumido “de modo automático”, sin razonamiento añadido alguno, el informe del Colegio de Abogados aceptando el importe de la minuta facilitada por el letrado señor García-Beamud, por lo que entendía que le habían sido vulnerados los derechos fundamentales anteriormente enunciados. El recurso fue desestimado por auto de 28 de mayo de 2018 en el que el juzgado afirma que “[m]antiene la parte que concurren resoluciones contradictorias de la letrada de la administración de justicia. Y si bien hay que admitir la contradicción incurrida, la misma no determina una modificación de lo resuelto” concluyendo que la tasación ha de mantenerse pues es conforme a lo informado por el Colegio y “ha de primar el informe del órgano técnico conocedor y regulador de la normativa aplicable” (FJ 2).</w:t>
      </w:r>
    </w:p>
    <w:p w:rsidR="005728DD" w:rsidRDefault="005728DD" w:rsidP="005728DD">
      <w:pPr>
        <w:pStyle w:val="TextoNormal"/>
      </w:pPr>
    </w:p>
    <w:p w:rsidR="005728DD" w:rsidRDefault="005728DD" w:rsidP="005728DD">
      <w:pPr>
        <w:pStyle w:val="TextoNormal"/>
      </w:pPr>
      <w:r>
        <w:t>e) Las entidades recurrentes en amparo promovieron contra el citado auto incidente excepcional de nulidad de actuaciones, alegando “la vulneración de la tutela judicial efectiva por falta de motivación y del derecho a la igualdad en la aplicación de la ley, en especial la motivación que requiere todo cambio de criterio judicial” (arts. 24 y 14 CE). Por providencia de 17 de junio de 2019, se inadmitió a trámite argumentando que contra el auto “la parte no ha formulado recurso alguno ni ordinario ni extraordinario. Resultando, a mayor abundamiento, que la resolución que se pretende viciada de nulidad no incurre en infracción alguna, dada cuenta la fundamentación jurídica de la misma”.</w:t>
      </w:r>
    </w:p>
    <w:p w:rsidR="005728DD" w:rsidRDefault="005728DD" w:rsidP="005728DD">
      <w:pPr>
        <w:pStyle w:val="TextoNormal"/>
      </w:pPr>
    </w:p>
    <w:p w:rsidR="005728DD" w:rsidRDefault="005728DD" w:rsidP="005728DD">
      <w:pPr>
        <w:pStyle w:val="TextoNormal"/>
      </w:pPr>
      <w:r>
        <w:t>f) Con las actuaciones se aportan otras tasaciones de costas referidas al mismo procedimiento, practicadas a instancia de otras partes demandadas, en concreto las correspondientes a:</w:t>
      </w:r>
    </w:p>
    <w:p w:rsidR="005728DD" w:rsidRDefault="005728DD" w:rsidP="005728DD">
      <w:pPr>
        <w:pStyle w:val="TextoNormal"/>
      </w:pPr>
    </w:p>
    <w:p w:rsidR="005728DD" w:rsidRDefault="005728DD" w:rsidP="005728DD">
      <w:pPr>
        <w:pStyle w:val="TextoNormal"/>
      </w:pPr>
      <w:r>
        <w:t>- Urbanizaciones Industriales Malagueñas, S.L., honorarios de abogado: 1258,40 €; derechos de procurador: 378,84 €; gastos y suplidos de procurador: 0 €.</w:t>
      </w:r>
    </w:p>
    <w:p w:rsidR="005728DD" w:rsidRDefault="005728DD" w:rsidP="005728DD">
      <w:pPr>
        <w:pStyle w:val="TextoNormal"/>
      </w:pPr>
    </w:p>
    <w:p w:rsidR="005728DD" w:rsidRDefault="005728DD" w:rsidP="005728DD">
      <w:pPr>
        <w:pStyle w:val="TextoNormal"/>
      </w:pPr>
      <w:r>
        <w:t>- Agrícola El Casar, S.L.U., honorarios de abogado: 1258,40 €; derechos de procurador: 395,10 €; gastos y suplidos de procurador: 0 €.</w:t>
      </w:r>
    </w:p>
    <w:p w:rsidR="005728DD" w:rsidRDefault="005728DD" w:rsidP="005728DD">
      <w:pPr>
        <w:pStyle w:val="TextoNormal"/>
      </w:pPr>
    </w:p>
    <w:p w:rsidR="005728DD" w:rsidRDefault="005728DD" w:rsidP="005728DD">
      <w:pPr>
        <w:pStyle w:val="TextoNormal"/>
      </w:pPr>
      <w:r>
        <w:t>- Domingo Trujillo Cabanes. Honorarios de abogado: 1738,95 €; derechos de procurador: 397,23 €; gastos y suplidos de procurador: 0 €.</w:t>
      </w:r>
    </w:p>
    <w:p w:rsidR="005728DD" w:rsidRDefault="005728DD" w:rsidP="005728DD">
      <w:pPr>
        <w:pStyle w:val="TextoNormal"/>
      </w:pPr>
    </w:p>
    <w:p w:rsidR="005728DD" w:rsidRDefault="005728DD" w:rsidP="005728DD">
      <w:pPr>
        <w:pStyle w:val="TextoNormal"/>
      </w:pPr>
      <w:r>
        <w:t xml:space="preserve">Asimismo, figura en las actuaciones el auto de la Audiencia Provincial de Cádiz, Sección de Algeciras, de 14 de septiembre de 2017, por el que se desestimó, en el mismo procedimiento, el recurso de revisión interpuesto por los hermanos Larios de Soto y Mónica de Soto Beltrán de Lis contra el decreto de 29 de junio de 2017 del letrado de la administración de </w:t>
      </w:r>
      <w:r>
        <w:lastRenderedPageBreak/>
        <w:t>justicia del citado órgano. Dicho decreto había confirmado la tasación de costas causadas en la segunda instancia por importes de 442,24 € a favor del procurador y de 629,20 € a favor del abogado (don Juan García-Beamud Pérez, el cual había presentado una minuta atribuyendo una determinada cuantía al procedimiento, al igual que había hecho en la primera instancia).</w:t>
      </w:r>
    </w:p>
    <w:p w:rsidR="005728DD" w:rsidRDefault="005728DD" w:rsidP="005728DD">
      <w:pPr>
        <w:pStyle w:val="TextoNormal"/>
      </w:pPr>
    </w:p>
    <w:p w:rsidR="005728DD" w:rsidRDefault="005728DD" w:rsidP="005728DD">
      <w:pPr>
        <w:pStyle w:val="TextoNormal"/>
      </w:pPr>
      <w:r>
        <w:t>El citado auto de la audiencia argumenta que “[e]n el presente caso quedó expresamente razonado en la sentencia de instancia […], que el asunto es de cuantía indeterminable, sin que este pronunciamiento fuera recurrido por ninguna de las partes, siendo firme. Así el art. 394.3 LEC y el criterio general y común quinto. 6 de los criterios orientadores de honorarios del Colegio de Abogados de Cádiz, como admite la propia recurrente, fija en 18 000 € la cuantía de un pleito de cuantía inestimable” (FJ 2).</w:t>
      </w:r>
    </w:p>
    <w:p w:rsidR="005728DD" w:rsidRDefault="005728DD" w:rsidP="005728DD">
      <w:pPr>
        <w:pStyle w:val="TextoNormal"/>
      </w:pPr>
    </w:p>
    <w:p w:rsidR="005728DD" w:rsidRDefault="005728DD" w:rsidP="005728DD">
      <w:pPr>
        <w:pStyle w:val="TextoNormal"/>
      </w:pPr>
      <w:r w:rsidRPr="005728DD">
        <w:rPr>
          <w:rStyle w:val="NumeroAFNegritaCaracter"/>
        </w:rPr>
        <w:t>3</w:t>
      </w:r>
      <w:r>
        <w:t>. El recurso de amparo presentado por Grupo Luzelma, S.L., y Santa Victoria, S.L. (antes Metalcover, S.L.), se dirige contra la providencia de 17 de junio de 2019 y el auto de 28 de mayo de 2018, dictados por el Juzgado de Primera Instancia e Instrucción núm. 2 de Algeciras en el procedimiento ordinario 1329-2011. Respecto de la primera, denuncian la vulneración del derecho a la tutela judicial efectiva sin indefensión en su vertiente de impedir el acceso a los recursos legalmente establecidos (en este caso, al incidente de nulidad de actuaciones), así como en la vertiente de falta de motivación y error judicial. En cuanto al auto (y al decreto del letrado de la administración de justicia confirmado por aquel) alegan la vulneración del derecho a la tutela judicial efectiva sin indefensión, en su vertiente de intangibilidad de las resoluciones judiciales firmes, falta de motivación, error judicial, y vulneración de los principios de igualdad, de seguridad jurídica y de proscripción de arbitrariedad (arts. 24.1, 14 y 9.3 CE).</w:t>
      </w:r>
    </w:p>
    <w:p w:rsidR="005728DD" w:rsidRDefault="005728DD" w:rsidP="005728DD">
      <w:pPr>
        <w:pStyle w:val="TextoNormal"/>
      </w:pPr>
    </w:p>
    <w:p w:rsidR="005728DD" w:rsidRDefault="005728DD" w:rsidP="005728DD">
      <w:pPr>
        <w:pStyle w:val="TextoNormal"/>
      </w:pPr>
      <w:r>
        <w:t xml:space="preserve">a) Respecto de la providencia de inadmisión del incidente de nulidad, las demandantes de amparo subrayan que “no es exigible a la parte la interposición de un recurso frente a una resolución judicial firme </w:t>
      </w:r>
      <w:r w:rsidRPr="005728DD">
        <w:rPr>
          <w:i/>
        </w:rPr>
        <w:t>per se</w:t>
      </w:r>
      <w:r>
        <w:t>, que no tiene previsto legalmente recurso alguno frente a la misma o, dicho de otro modo, frente a una resolución en la que la ley establece expresamente que contra la misma no cabe recurso” y estiman insuficiente la explicación que, pese a la decisión de inadmisión, añade la providencia, pues no da respuesta a ninguno de los motivos denunciados en el escrito promotor del incidente.</w:t>
      </w:r>
    </w:p>
    <w:p w:rsidR="005728DD" w:rsidRDefault="005728DD" w:rsidP="005728DD">
      <w:pPr>
        <w:pStyle w:val="TextoNormal"/>
      </w:pPr>
    </w:p>
    <w:p w:rsidR="005728DD" w:rsidRDefault="005728DD" w:rsidP="005728DD">
      <w:pPr>
        <w:pStyle w:val="TextoNormal"/>
      </w:pPr>
      <w:r>
        <w:t>b) Por lo que se refiere al auto desestimatorio del recurso de revisión, denuncian, en primer término, la vulneración del derecho a la tutela judicial efectiva, en su vertiente de intangibilidad de las resoluciones judiciales firmes. Alegan que la cuantía indeterminada del procedimiento quedó fijada en la sentencia de primera instancia, sin que fuera controvertida por ninguna de las partes, por lo que la opinión sobre la cuantía que expone el letrado don Juan García-Beamud Pérez en su minuta no es válida a ningún efecto. Tampoco lo es el informe del Colegio de Abogados, que refrenda “a ciegas” el parecer de su colegiado, ni las resoluciones impugnadas, al no ser acordes con un proceso de cuantía indeterminada, lo que constituía cosa juzgada. Por tanto, se ha vulnerado el art. 24.1 CE en la vertiente del derecho a que se cumplan las resoluciones judiciales. Y, al producirse un resultado arbitrario, se ha vulnerado también el art. 9.3 CE.</w:t>
      </w:r>
    </w:p>
    <w:p w:rsidR="005728DD" w:rsidRDefault="005728DD" w:rsidP="005728DD">
      <w:pPr>
        <w:pStyle w:val="TextoNormal"/>
      </w:pPr>
    </w:p>
    <w:p w:rsidR="005728DD" w:rsidRDefault="005728DD" w:rsidP="005728DD">
      <w:pPr>
        <w:pStyle w:val="TextoNormal"/>
      </w:pPr>
      <w:r>
        <w:lastRenderedPageBreak/>
        <w:t>c) Dada la desigualdad de tasaciones de costas practicadas en el mismo proceso respecto las partes contendientes en idéntica posición procesal, se ha incurrido también en una vulneración del principio de igualdad del art. 14 CE. Fueron varios los letrados intervinientes en el procedimiento ordinario núm. 1329-2011, pues varias eran las partes demandadas favorecidas por las costas; y todos ellos (así como los procuradores) calcularon sus honorarios, tanto en la instancia como en la apelación, en atención a que era un proceso de cuantía indeterminada, salvo el letrado don Juan García-Beamud Pérez que, unilateralmente, aplicó la regla del art. 251.5 LEC. Las entidades demandantes de amparo sólo impugnaron la tasación practicada a favor de la parte defendida por dicho letrado, aquietándose al resto de tasaciones.</w:t>
      </w:r>
    </w:p>
    <w:p w:rsidR="005728DD" w:rsidRDefault="005728DD" w:rsidP="005728DD">
      <w:pPr>
        <w:pStyle w:val="TextoNormal"/>
      </w:pPr>
    </w:p>
    <w:p w:rsidR="005728DD" w:rsidRDefault="005728DD" w:rsidP="005728DD">
      <w:pPr>
        <w:pStyle w:val="TextoNormal"/>
      </w:pPr>
      <w:r>
        <w:t>En consecuencia, en el mismo proceso y por el mismo trabajo profesional, se dictó un decreto de aprobación de costas para el letrado don Juan García-Beamud Pérez con un criterio distinto que para el resto, sin motivación alguna. De acuerdo con la doctrina constitucional sobre el principio de igualdad (cita la STC 13/2011, de 28 de febrero), existe un término de comparación válido, el órgano judicial es el mismo y no se ha motivado el cambio de criterio. Por tanto, se ha infringido el art. 14 CE.</w:t>
      </w:r>
    </w:p>
    <w:p w:rsidR="005728DD" w:rsidRDefault="005728DD" w:rsidP="005728DD">
      <w:pPr>
        <w:pStyle w:val="TextoNormal"/>
      </w:pPr>
    </w:p>
    <w:p w:rsidR="005728DD" w:rsidRDefault="005728DD" w:rsidP="005728DD">
      <w:pPr>
        <w:pStyle w:val="TextoNormal"/>
      </w:pPr>
      <w:r>
        <w:t>d) Asimismo, se ha incurrido en un error judicial en la aplicación de la ley que vulnera la tutela judicial efectiva, pues se ha acogido el informe del colegio de abogados, pese a que el mismo advierte expresamente que no recibió el expediente judicial en su integridad y, por tanto, no comprobó la cuantía del proceso, ni los valores utilizados por el letrado minutante. El tema de debate, es decir, si corresponde al letrado una minuta de honorarios por cuantía determinada o indeterminada, nunca tuvo respuesta del colegio de abogados; el cual tampoco expuso las razones por las que consideraba correcta la minuta impugnada, porque si no tuvo a la vista los autos judiciales, no pudo constatar, no ya solo la cuantía, sino tampoco las cifras valorativas contempladas en la misma.</w:t>
      </w:r>
    </w:p>
    <w:p w:rsidR="005728DD" w:rsidRDefault="005728DD" w:rsidP="005728DD">
      <w:pPr>
        <w:pStyle w:val="TextoNormal"/>
      </w:pPr>
    </w:p>
    <w:p w:rsidR="005728DD" w:rsidRDefault="005728DD" w:rsidP="005728DD">
      <w:pPr>
        <w:pStyle w:val="TextoNormal"/>
      </w:pPr>
      <w:r>
        <w:t>Por tanto, el órgano judicial ha sufrido un error en la aplicación de la Ley de enjuiciamiento civil, concurriendo todos los elementos que la doctrina constitucional (cita la STC 167/2008, de 15 de diciembre) exige para atribuir relevancia constitucional a dicho error (i) es determinante de la decisión adoptada; (ii) es atribuible al órgano judicial y no a la negligencia de la parte; y (iii) produce efectos negativos en la esfera del ciudadano.</w:t>
      </w:r>
    </w:p>
    <w:p w:rsidR="005728DD" w:rsidRDefault="005728DD" w:rsidP="005728DD">
      <w:pPr>
        <w:pStyle w:val="TextoNormal"/>
      </w:pPr>
    </w:p>
    <w:p w:rsidR="005728DD" w:rsidRDefault="005728DD" w:rsidP="005728DD">
      <w:pPr>
        <w:pStyle w:val="TextoNormal"/>
      </w:pPr>
      <w:r>
        <w:t>e) Se alega, asimismo, la vulneración del derecho a la tutela judicial efectiva por falta de motivación suficiente en las resoluciones judiciales dictadas en el incidente de tasación. La representación procesal de las entidades a las que se impusieron las costas (ahora demandantes de amparo) razonaron cuál es la cuantía que prevén los criterios orientadores del Colegio de Abogados de Cádiz para los procesos de cuantía litigiosa indeterminada, citando además lo resuelto por el mismo juzgado para las otras partes favorecidas por la condena en costas. Asimismo, se informó al juzgado de que la tasación de costas en la apelación también se había realizado considerando el asunto de cuantía indeterminada.</w:t>
      </w:r>
    </w:p>
    <w:p w:rsidR="005728DD" w:rsidRDefault="005728DD" w:rsidP="005728DD">
      <w:pPr>
        <w:pStyle w:val="TextoNormal"/>
      </w:pPr>
    </w:p>
    <w:p w:rsidR="005728DD" w:rsidRDefault="005728DD" w:rsidP="005728DD">
      <w:pPr>
        <w:pStyle w:val="TextoNormal"/>
      </w:pPr>
      <w:r>
        <w:t xml:space="preserve">Pues bien, el decreto del letrado de la administración de justicia que rechaza la impugnación por excesivos de los honorarios del abogado don Juan García-Beamud Pérez no da respuesta alguna a la cuestión suscitada ni motiva su decisión. Solo se fundamenta en el informe del colegio profesional, afirmando que debe mantenerse la tasación de costas porque es conforme con él, tratándose de un procedimiento con multitud de trámites, incidentes, </w:t>
      </w:r>
      <w:r>
        <w:lastRenderedPageBreak/>
        <w:t>pero sin concretar a cuáles se refiere. No razona por qué ha de seguirse el criterio de un informe en el que no se entra a conocer sobre la cuantía del proceso, al no haberse elaborado a la vista de los autos. Tampoco explicita las razones por las que cambia su propio criterio en este estadio procesal sobre la cuantía indeterminada fijada judicialmente.</w:t>
      </w:r>
    </w:p>
    <w:p w:rsidR="005728DD" w:rsidRDefault="005728DD" w:rsidP="005728DD">
      <w:pPr>
        <w:pStyle w:val="TextoNormal"/>
      </w:pPr>
    </w:p>
    <w:p w:rsidR="005728DD" w:rsidRDefault="005728DD" w:rsidP="005728DD">
      <w:pPr>
        <w:pStyle w:val="TextoNormal"/>
      </w:pPr>
      <w:r>
        <w:t>f) La demanda plantea, por último, la posible inconstitucionalidad del último párrafo del número 3 del art. 246 LEC, en cuanto establece que contra el auto resolviendo el recurso de revisión, en materia de tasación de costas, no cabe recurso alguno. La demanda considera deseable que el incidente de tasación de costas, cuyo núcleo es la cuantía del proceso, participe del mismo régimen de recursos que la resolución judicial en la que se imponen. Así se garantizaría la intangibilidad de las resoluciones judiciales dictadas en ambas instancias sobre la misma sentencia.</w:t>
      </w:r>
    </w:p>
    <w:p w:rsidR="005728DD" w:rsidRDefault="005728DD" w:rsidP="005728DD">
      <w:pPr>
        <w:pStyle w:val="TextoNormal"/>
      </w:pPr>
    </w:p>
    <w:p w:rsidR="005728DD" w:rsidRDefault="005728DD" w:rsidP="005728DD">
      <w:pPr>
        <w:pStyle w:val="TextoNormal"/>
      </w:pPr>
      <w:r>
        <w:t>Prosigue afirmando que es habitual en la práctica que en la instancia y en la apelación recaigan resoluciones contradictorias sobre la cuantía de costas, cuando un principio de justicia aconseja que deberían seguir idéntico criterio y, en caso contrario, que prevalezca el de los tribunales superiores frente a los inferiores. Por tanto, vedar el acceso a la apelación de la impugnación de la tasación de costas podría vulnerar el art. 24.1 CE.</w:t>
      </w:r>
    </w:p>
    <w:p w:rsidR="005728DD" w:rsidRDefault="005728DD" w:rsidP="005728DD">
      <w:pPr>
        <w:pStyle w:val="TextoNormal"/>
      </w:pPr>
    </w:p>
    <w:p w:rsidR="005728DD" w:rsidRDefault="005728DD" w:rsidP="005728DD">
      <w:pPr>
        <w:pStyle w:val="TextoNormal"/>
      </w:pPr>
      <w:r>
        <w:t xml:space="preserve">La demanda finaliza solicitando el amparo y el restablecimiento de los derechos fundamentales de las entidades recurrentes, con declaración de nulidad de las resoluciones impugnadas. Mediante otrosí sugiere al tribunal la posibilidad de examinar, de acuerdo con el art. 55.2 de la Ley Orgánica del Tribunal Constitucional (LOTC), si el art. 246.3 </w:t>
      </w:r>
      <w:r w:rsidRPr="005728DD">
        <w:rPr>
          <w:i/>
        </w:rPr>
        <w:t>in fine</w:t>
      </w:r>
      <w:r>
        <w:t xml:space="preserve"> LEC pudiera ser inconstitucional, desde la perspectiva del derecho al acceso al recurso de apelación. También por otrosí solicita que, conforme al art. 56 LOTC, se acuerde la suspensión de la ejecución de títulos judiciales núm. 433-2019 referidos a la condena en costas objeto del recurso de amparo, dado que dicha ejecución produce un perjuicio a las recurrentes que podría hacer perder al amparo su finalidad.</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19 de octubre de 2020, la Sección Cuarta de este tribunal acordó admitir a trámite el recurso de amparo, apreciando que en el mismo concurre una especial trascendencia constitucional (art. 50.1 LOTC), como consecuencia de que el órgano judicial podría haber incurrido en una negativa manifiesta del deber de acatamiento de la doctrina del Tribunal [STC 155/2009, FJ 2 f)].</w:t>
      </w:r>
    </w:p>
    <w:p w:rsidR="005728DD" w:rsidRDefault="005728DD" w:rsidP="005728DD">
      <w:pPr>
        <w:pStyle w:val="TextoNormal"/>
      </w:pPr>
    </w:p>
    <w:p w:rsidR="005728DD" w:rsidRDefault="005728DD" w:rsidP="005728DD">
      <w:pPr>
        <w:pStyle w:val="TextoNormal"/>
      </w:pPr>
      <w:r>
        <w:t>En la misma providencia se ordenaba que, obrando ya en la Sala Segunda de este tribunal testimonio de las correspondientes actuaciones jurisdiccionales, se enviara atenta comunicación al Juzgado de Primera Instancia núm. 2 de Algeciras, a fin de que emplazara a quienes hubieran sido parte en el procedimiento ordinario núm. 1329-2011, excepto a la parte recurrente en amparo, para que, en el plazo de diez días, pudieran comparecer.</w:t>
      </w:r>
    </w:p>
    <w:p w:rsidR="005728DD" w:rsidRDefault="005728DD" w:rsidP="005728DD">
      <w:pPr>
        <w:pStyle w:val="TextoNormal"/>
      </w:pPr>
    </w:p>
    <w:p w:rsidR="005728DD" w:rsidRDefault="005728DD" w:rsidP="005728DD">
      <w:pPr>
        <w:pStyle w:val="TextoNormal"/>
      </w:pPr>
      <w:r>
        <w:t>Asimismo, se dispuso formar la oportuna pieza separada para tramitar la suspensión solicitada.</w:t>
      </w:r>
    </w:p>
    <w:p w:rsidR="005728DD" w:rsidRDefault="005728DD" w:rsidP="005728DD">
      <w:pPr>
        <w:pStyle w:val="TextoNormal"/>
      </w:pPr>
    </w:p>
    <w:p w:rsidR="005728DD" w:rsidRDefault="005728DD" w:rsidP="005728DD">
      <w:pPr>
        <w:pStyle w:val="TextoNormal"/>
      </w:pPr>
      <w:r w:rsidRPr="005728DD">
        <w:rPr>
          <w:rStyle w:val="NumeroAFNegritaCaracter"/>
        </w:rPr>
        <w:t>5</w:t>
      </w:r>
      <w:r>
        <w:t>. Una vez tramitada la pieza de suspensión y evacuado el trámite de alegaciones, por ATC 151/2020, de 30 de noviembre fue denegada la suspensión solicitada por las demandantes.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En virtud de escrito registrado el día 19 de noviembre de 2020, la procuradora de los tribunales doña María Rosa Vizcaíno Gámez, en representación de los hermanos Larios de Soto y de doña Mónica de Soto Beltrán de Lis, solicitó que se la tuviera por comparecida y parte en las actuaciones, lo que se acordó por diligencia de ordenación de la secretaría de justicia de la Sala Segunda del día 1 de febrero de 2021, condicionado a que en el plazo de diez días se presentara escritura de poder que acreditara la representación.</w:t>
      </w:r>
    </w:p>
    <w:p w:rsidR="005728DD" w:rsidRDefault="005728DD" w:rsidP="005728DD">
      <w:pPr>
        <w:pStyle w:val="TextoNormal"/>
      </w:pPr>
    </w:p>
    <w:p w:rsidR="005728DD" w:rsidRDefault="005728DD" w:rsidP="005728DD">
      <w:pPr>
        <w:pStyle w:val="TextoNormal"/>
      </w:pPr>
      <w:r>
        <w:t>En dicha diligencia, se dispuso, asimismo, dar vista de las actuaciones a las partes personadas y al Ministerio Fiscal, por plazo común de veinte días, para que pudieran presentar las alegaciones que estimaran pertinentes, de conformidad con lo dispuesto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escrito registrado en el tribunal el 1 de marzo de 2021, las entidades recurrentes se ratificaron en la demanda presentada y alegaron lo siguiente: (i) entre la documentación remitida por el juzgado figura el auto de la Audiencia Provincial de Cádiz de 14 de septiembre de 2017 que, al analizar la tasación de costas en la fase de apelación, mantuvo que el proceso era de cuantía indeterminada, según criterio de la sentencia de primera instancia, que no había sido controvertido. En consecuencia, rechazó el aumento de la tasación solicitada por el letrado Juan García-Beamud Pérez, dato que el juzgado ya conocía cuando dictó la providencia por la que inadmitió el incidente de nulidad; (ii) todas las tasaciones practicadas a instancia de las partes favorecidas por la condena en costas se basaron en la calificación del procedimiento como de cuantía indeterminada, con la sola excepción de la solicitada por el mencionado letrado Juan García-Beamud Pérez, quien presentó una minuta de 61 170,88 €, apoyada en atribuir al procedimiento una cuantía de 364 245,49 €; (iii) no cabe practicar una tasación de costas sin atender a que el procedimiento era de cuantía indeterminada, ni tasaciones distintas para las partes que ocupaban la misma posición y cuyos letrados desplegaron el mismo trabajo; y (iv) si la Sala considera que los arts. 246.3 y 4 LEC infringen la tutela judicial efectiva por impedir el acceso a la segunda instancia de la tasación de costas, solicita que eleve la cuestión de inconstitucionalidad al Pleno.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El día 2 de marzo de 2021 se registró en el tribunal el escrito de alegaciones presentado por los hermanos Larios de Soto y doña Mónica de Soto Beltrán de Lis, en el que solicitan que se desestime el recurso de amparo por las razones siguientes: (i) la minuta de honorarios de la instancia y la apelación no tienen necesariamente que guardar relación, pues son procedimientos diferentes; (ii) la Audiencia Provincial incurrió en un error cuando intentó aplicar los criterios del colegio de abogados, sin pedir informe a dicho organismo; (iii) no corresponde al Tribunal Constitucional revisar las resoluciones de los órganos de la jurisdicción ordinaria, si no existe una infracción constitucional; (iv) la providencia de inadmisión del incidente de nulidad contiene una motivación por remisión que es suficiente, pues bajo la supuesta vulneración del derecho a la tutela judicial efectiva y a la igualdad, lo que realmente se pretendía era volver a plantear lo ya resuelto; (v) no es cierto que se haya modificado la cuantía del procedimiento fijada en la sentencia del juzgado, pues la parte dispositiva de la misma, que es la relevante, no prevé nada sobre la cuantía y solo en el antecedente segundo se indica que se fijaría al menos de forma relativa para garantizar la contradicción; (vi) entre la documentación aportada junto con la demanda civil se incluía el dato de la extensión de las fincas a través de las cuales se solicita la constitución de la servidumbre de paso, así como el valor por hectárea de cada tipo de terreno, lo que permitía aplicar la regla </w:t>
      </w:r>
      <w:r>
        <w:lastRenderedPageBreak/>
        <w:t>de cuantificación del art. 251.5 LEC; (vii) para recabar el informe del colegio de abogados a que se refiere el art. 246.1 LEC no se exige remitir las actuaciones completas; y (viii) aunque el letrado de la administración de justicia no está obligado a seguir el dictamen del colegio de abogados, nada le prohíbe hacerlo, habiendo recibido los recurrentes en amparo una respuesta en derecho a través del auto resolutorio del recurso de revisión.</w:t>
      </w:r>
    </w:p>
    <w:p w:rsidR="005728DD" w:rsidRDefault="005728DD" w:rsidP="005728DD">
      <w:pPr>
        <w:pStyle w:val="TextoNormal"/>
      </w:pPr>
    </w:p>
    <w:p w:rsidR="005728DD" w:rsidRDefault="005728DD" w:rsidP="005728DD">
      <w:pPr>
        <w:pStyle w:val="TextoNormal"/>
      </w:pPr>
      <w:r w:rsidRPr="005728DD">
        <w:rPr>
          <w:rStyle w:val="NumeroAFNegritaCaracter"/>
        </w:rPr>
        <w:t>9</w:t>
      </w:r>
      <w:r>
        <w:t>. El día 10 de marzo de 2021 tuvo entrada en el registro del tribunal el escrito de alegaciones del Ministerio Fiscal en el que solicita la estimación del recurso de amparo, con base en las razones siguientes:</w:t>
      </w:r>
    </w:p>
    <w:p w:rsidR="005728DD" w:rsidRDefault="005728DD" w:rsidP="005728DD">
      <w:pPr>
        <w:pStyle w:val="TextoNormal"/>
      </w:pPr>
    </w:p>
    <w:p w:rsidR="005728DD" w:rsidRDefault="005728DD" w:rsidP="005728DD">
      <w:pPr>
        <w:pStyle w:val="TextoNormal"/>
      </w:pPr>
      <w:r>
        <w:t>a) Tras precisar que debe comenzarse analizando las denuncias formuladas contra la tasación de costas practicada el 2 de mayo de 2017, coincide con la demanda, en cuanto a la queja de vulneración del art. 24.1 CE, en la vertiente del derecho a la intangibilidad de las resoluciones judiciales firmes, en que, al desconocerse en la tasación que el procedimiento se había fijado en sentencia como de cuantía indeterminada, se ha producido una alteración de la misma contraria a la seguridad jurídica (art. 9.3 CE) y vulneradora de la tutela judicial efectiva (art. 24. l CE).</w:t>
      </w:r>
    </w:p>
    <w:p w:rsidR="005728DD" w:rsidRDefault="005728DD" w:rsidP="005728DD">
      <w:pPr>
        <w:pStyle w:val="TextoNormal"/>
      </w:pPr>
    </w:p>
    <w:p w:rsidR="005728DD" w:rsidRDefault="005728DD" w:rsidP="005728DD">
      <w:pPr>
        <w:pStyle w:val="TextoNormal"/>
      </w:pPr>
      <w:r>
        <w:t>b) También debe acogerse la vulneración del principio de igualdad, pues existen diversas resoluciones comparables, dictadas por el mismo órgano judicial, que afectan a tasaciones de costas relativas a otros demandados, aunque repercutan en el mismo demandante, sin que se haya justificado de ninguna manera el cambio de criterio.</w:t>
      </w:r>
    </w:p>
    <w:p w:rsidR="005728DD" w:rsidRDefault="005728DD" w:rsidP="005728DD">
      <w:pPr>
        <w:pStyle w:val="TextoNormal"/>
      </w:pPr>
    </w:p>
    <w:p w:rsidR="005728DD" w:rsidRDefault="005728DD" w:rsidP="005728DD">
      <w:pPr>
        <w:pStyle w:val="TextoNormal"/>
      </w:pPr>
      <w:r>
        <w:t>El hecho de que se hayan tasado de modo totalmente diferente las costas para los letrados de otros demandados pone en desventaja, no solo a Grupo Luzelma, S.L., y a Santa Victoria, S.L., sino también a los letrados del resto de demandados, que acataron el pronunciamiento de sentencia del juzgado sobre la cuantía indeterminada del procedimiento. El Ministerio Fiscal considera, en suma, que concurren todos los requisitos exigidos por la STC 13/2011, de 28 de febrero, FJ 3, entre otras, para apreciar la vulneración del principio de igualdad en la aplicación judicial de la ley.</w:t>
      </w:r>
    </w:p>
    <w:p w:rsidR="005728DD" w:rsidRDefault="005728DD" w:rsidP="005728DD">
      <w:pPr>
        <w:pStyle w:val="TextoNormal"/>
      </w:pPr>
    </w:p>
    <w:p w:rsidR="005728DD" w:rsidRDefault="005728DD" w:rsidP="005728DD">
      <w:pPr>
        <w:pStyle w:val="TextoNormal"/>
      </w:pPr>
      <w:r>
        <w:t>c) La desestimación de la impugnación de la tasación de costas por decreto de 19 de abril de 2018, carece, asimismo, de una motivación razonable, ya que se basa exclusivamente en el informe emitido por el Colegio de Abogados, informe que, además de no ser vinculante, no contiene ninguna alusión a que el procedimiento era de cuantía indeterminada, por lo que no explicita las razones por las cuales no son atendibles las razones expuestas en la impugnación.</w:t>
      </w:r>
    </w:p>
    <w:p w:rsidR="005728DD" w:rsidRDefault="005728DD" w:rsidP="005728DD">
      <w:pPr>
        <w:pStyle w:val="TextoNormal"/>
      </w:pPr>
    </w:p>
    <w:p w:rsidR="005728DD" w:rsidRDefault="005728DD" w:rsidP="005728DD">
      <w:pPr>
        <w:pStyle w:val="TextoNormal"/>
      </w:pPr>
      <w:r>
        <w:t>Idéntica tacha aprecia respecto del auto desestimatorio del recurso de revisión, que se basó de nuevo en el informe del Colegio de Abogados, sin explicar por qué no se atiende a que el procedimiento era de cuantía indeterminada ni por qué se aplican criterios distintos a las restantes tasaciones del mismo procedimiento.</w:t>
      </w:r>
    </w:p>
    <w:p w:rsidR="005728DD" w:rsidRDefault="005728DD" w:rsidP="005728DD">
      <w:pPr>
        <w:pStyle w:val="TextoNormal"/>
      </w:pPr>
    </w:p>
    <w:p w:rsidR="005728DD" w:rsidRDefault="005728DD" w:rsidP="005728DD">
      <w:pPr>
        <w:pStyle w:val="TextoNormal"/>
      </w:pPr>
      <w:r>
        <w:t xml:space="preserve">d) Por último, respecto de la providencia de inadmisión del incidente de nulidad de actuaciones, el fiscal aduce que el órgano judicial tendría que haber ofrecido una argumentación suficiente sobre los motivos que le llevaron a no admitir a trámite el incidente, lo que no ha hecho. Por tanto, el incidente de nulidad no cumplió en este caso su función de tutela y defensa de los derechos fundamentales, debido a una decisión de inadmisión del órgano </w:t>
      </w:r>
      <w:r>
        <w:lastRenderedPageBreak/>
        <w:t>jurisdiccional manifiestamente carente de motivación, de lo que resulta que se ha vulnerado el art. 24.l CE en la vertiente de acceso a los recursos.</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La demanda de amparo impugna, por la vía del art. 44 LOTC, las resoluciones judiciales referidas al incidente de tasación de costas promovido por una de las partes demandadas en el procedimiento ordinario núm. 1329-2011, sobre constitución de servidumbre de paso, seguido ante el Juzgado de Primera Instancia núm. 2 de Algeciras. En concreto, las siguientes: (i) tasación de costas, practicada por la letrada de la administración de justicia el 2 de mayo de 2017 a favor de los hermanos Larios de Soto y Mónica de Soto Beltrán de Lis; (ii) decreto de dicha letrada de 19 de abril de 2018, que denegó la impugnación de tales costas por excesivas; (iii) auto de 28 de mayo de 2018, que desestimó el recurso de revisión interpuesto contra el decreto; y (iv) providencia de 17 de junio de 2019, por la que se inadmitió el incidente de nulidad de actuaciones promovido frente al auto.</w:t>
      </w:r>
    </w:p>
    <w:p w:rsidR="005728DD" w:rsidRDefault="005728DD" w:rsidP="005728DD">
      <w:pPr>
        <w:pStyle w:val="TextoNormal"/>
      </w:pPr>
    </w:p>
    <w:p w:rsidR="005728DD" w:rsidRDefault="005728DD" w:rsidP="005728DD">
      <w:pPr>
        <w:pStyle w:val="TextoNormal"/>
      </w:pPr>
      <w:r>
        <w:t xml:space="preserve">Con los argumentos que se han detallado en los antecedentes, las demandantes denuncian que, en el incidente de tasación de costas, se ha vulnerado su derecho a la tutela judicial efectiva en las vertientes de intangibilidad de las resoluciones judiciales firmes, error judicial y falta de motivación, así como su derecho a la igualdad del art. 14 CE. Asimismo, consideran vulnerado su derecho a los recursos legalmente previstos por la inadmisión </w:t>
      </w:r>
      <w:r w:rsidRPr="005728DD">
        <w:rPr>
          <w:i/>
        </w:rPr>
        <w:t>a limine</w:t>
      </w:r>
      <w:r>
        <w:t xml:space="preserve"> del incidente de nulidad de actuaciones, promovido contra el auto desestimatorio del recurso de revisión deducido contra la tasación, planteando además la posible inconstitucionalidad del art. 246.3 LEC, por no prever el recurso de apelación contra el citado auto.</w:t>
      </w:r>
    </w:p>
    <w:p w:rsidR="005728DD" w:rsidRDefault="005728DD" w:rsidP="005728DD">
      <w:pPr>
        <w:pStyle w:val="TextoNormal"/>
      </w:pPr>
    </w:p>
    <w:p w:rsidR="005728DD" w:rsidRDefault="005728DD" w:rsidP="005728DD">
      <w:pPr>
        <w:pStyle w:val="TextoNormal"/>
      </w:pPr>
      <w:r>
        <w:t>El Ministerio Fiscal interesa la estimación del recurso de amparo al apreciar que se ha vulnerado el derecho a la tutela judicial efectiva sin indefensión en relación con los arts. 9.3 y 14 CE. Por su parte, los demandados que instaron la tasación de costas impugnada (hermanos Larios de Soto y Mónica de Soto Beltrán de Lis, bajo una misma representación) solicitan la desestimación íntegra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Examen de la alegada vulneración del derecho a la igualdad, a la intangibilidad de las resoluciones judiciales y a una resolución judicial que no incurra en error patente: desestimación</w:t>
      </w:r>
      <w:r>
        <w:t>.</w:t>
      </w:r>
    </w:p>
    <w:p w:rsidR="005728DD" w:rsidRDefault="005728DD" w:rsidP="005728DD">
      <w:pPr>
        <w:pStyle w:val="TextoNormal"/>
      </w:pPr>
    </w:p>
    <w:p w:rsidR="005728DD" w:rsidRDefault="005728DD" w:rsidP="005728DD">
      <w:pPr>
        <w:pStyle w:val="TextoNormal"/>
      </w:pPr>
      <w:r>
        <w:t xml:space="preserve">a) Para abordar las quejas que formula la demanda de amparo, de conformidad con el criterio de la “mayor retroacción” establecido por la doctrina de este tribunal (por todas, las SSTC 41/2020, de 9 de marzo, FJ 2, y 102/2020, de 21 de septiembre, FJ 2), que implica conceder prioridad al examen de aquellas causas que, de prosperar, determinarían la retroacción a un momento procesal anterior, haciendo innecesario un pronunciamiento sobre las restantes (SSTC 25/2012, de 27 de febrero, FJ 2, y 90/2010, de 15 de noviembre, FJ 2, y las </w:t>
      </w:r>
      <w:r>
        <w:lastRenderedPageBreak/>
        <w:t>que en ellas se citan), procede examinar en primer lugar las imputadas a la tasación de costas practicada el 2 de mayo de 2017, confirmada por el decreto de 19 de abril de 2018.</w:t>
      </w:r>
    </w:p>
    <w:p w:rsidR="005728DD" w:rsidRDefault="005728DD" w:rsidP="005728DD">
      <w:pPr>
        <w:pStyle w:val="TextoNormal"/>
      </w:pPr>
    </w:p>
    <w:p w:rsidR="005728DD" w:rsidRDefault="005728DD" w:rsidP="005728DD">
      <w:pPr>
        <w:pStyle w:val="TextoNormal"/>
      </w:pPr>
      <w:r>
        <w:t>La demanda considera infringido el art. 24.1 CE en las vertientes del derecho a la intangibilidad de las resoluciones judiciales y a una resolución motivada no incursa en irrazonabilidad, arbitrariedad o error patente, por no tener en cuenta que el procedimiento judicial del que dimanaba la tasación era de cuantía indeterminada; y del art. 14 CE, por separarse inmotivadamente de la tasación practicada respecto de otros demandados en el mismo procedimiento.</w:t>
      </w:r>
    </w:p>
    <w:p w:rsidR="005728DD" w:rsidRDefault="005728DD" w:rsidP="005728DD">
      <w:pPr>
        <w:pStyle w:val="TextoNormal"/>
      </w:pPr>
    </w:p>
    <w:p w:rsidR="005728DD" w:rsidRDefault="005728DD" w:rsidP="005728DD">
      <w:pPr>
        <w:pStyle w:val="TextoNormal"/>
      </w:pPr>
      <w:r>
        <w:t>b) Debemos, en primer lugar, descartar la denunciada vulneración del derecho a la igualdad en la aplicación judicial de la ley (art. 14 CE), ya que este exige un elemento de alteridad [por todas, SSTC 13/2011, de 28 de febrero, FJ 3, y 80/2020, de 15 de julio, FJ 4 a)], que no concurre en este caso.</w:t>
      </w:r>
    </w:p>
    <w:p w:rsidR="005728DD" w:rsidRDefault="005728DD" w:rsidP="005728DD">
      <w:pPr>
        <w:pStyle w:val="TextoNormal"/>
      </w:pPr>
    </w:p>
    <w:p w:rsidR="005728DD" w:rsidRDefault="005728DD" w:rsidP="005728DD">
      <w:pPr>
        <w:pStyle w:val="TextoNormal"/>
      </w:pPr>
      <w:r>
        <w:t>En efecto, las sociedades Grupo Luzelma, S.L., y Santa Victoria, S.L., alegan que, al tasar los honorarios del letrado don Juan García-Beamud Pérez, el órgano judicial se apartó del criterio mantenido al cuantificar, en el mismo procedimiento, los correspondientes a los abogados del resto de partes favorecidas por la condena en costas.</w:t>
      </w:r>
    </w:p>
    <w:p w:rsidR="005728DD" w:rsidRDefault="005728DD" w:rsidP="005728DD">
      <w:pPr>
        <w:pStyle w:val="TextoNormal"/>
      </w:pPr>
    </w:p>
    <w:p w:rsidR="005728DD" w:rsidRDefault="005728DD" w:rsidP="005728DD">
      <w:pPr>
        <w:pStyle w:val="TextoNormal"/>
      </w:pPr>
      <w:r>
        <w:t>Es evidente, por tanto, que las recurrentes en amparo no denuncian un trato desigual en el incidente de tasación de costas en relación con otra u otras personas, sino respecto de sí mismas, por lo que su queja incumple el requisito de “alteridad” exigible a todo alegato relativo al derecho a la igualdad. Los que, en su caso, habrían recibido un eventual tratamiento desigual en relación con sus honorarios habrían sido los abogados de otras partes demandadas en el procedimiento, respecto del letrado señor García-Beamud Pérez, pero quienes han de abonar las costas son las dos entidades mercantiles ahora demandantes de amparo, por lo que no es posible apreciar el requisito, antes mencionado, de la “alteridad”.</w:t>
      </w:r>
    </w:p>
    <w:p w:rsidR="005728DD" w:rsidRDefault="005728DD" w:rsidP="005728DD">
      <w:pPr>
        <w:pStyle w:val="TextoNormal"/>
      </w:pPr>
    </w:p>
    <w:p w:rsidR="005728DD" w:rsidRDefault="005728DD" w:rsidP="005728DD">
      <w:pPr>
        <w:pStyle w:val="TextoNormal"/>
      </w:pPr>
      <w:r>
        <w:t>Ha de rechazarse, en consecuencia, la existencia de una lesión del art. 14 CE, tal y como concluyó la STC 61/2006, de 27 de febrero, FJ 3, referida también a unas tasaciones de costas respecto del mismo condenado al pago, en las que el órgano judicial siguió criterios distintos sobre la cuantía del procedimiento que debía servir para la cuantificación.</w:t>
      </w:r>
    </w:p>
    <w:p w:rsidR="005728DD" w:rsidRDefault="005728DD" w:rsidP="005728DD">
      <w:pPr>
        <w:pStyle w:val="TextoNormal"/>
      </w:pPr>
    </w:p>
    <w:p w:rsidR="005728DD" w:rsidRDefault="005728DD" w:rsidP="005728DD">
      <w:pPr>
        <w:pStyle w:val="TextoNormal"/>
      </w:pPr>
      <w:r>
        <w:t>c) En cuanto a las quejas por vulneración del derecho a la tutela judicial efectiva sin indefensión del art. 24.1 CE, la demanda plantea, en primer término, la concerniente a la intangibilidad de las sentencias firmes.</w:t>
      </w:r>
    </w:p>
    <w:p w:rsidR="005728DD" w:rsidRDefault="005728DD" w:rsidP="005728DD">
      <w:pPr>
        <w:pStyle w:val="TextoNormal"/>
      </w:pPr>
    </w:p>
    <w:p w:rsidR="005728DD" w:rsidRDefault="005728DD" w:rsidP="005728DD">
      <w:pPr>
        <w:pStyle w:val="TextoNormal"/>
      </w:pPr>
      <w:r>
        <w:t>Es doctrina constitucional consolidada (por todas, STC 318/2006, de 15 de noviembre, FJ 2) que una de las proyecciones del derecho fundamental a la tutela judicial efectiva reconocido en el art. 24.1 CE es la que se concreta en el derecho a que las resoluciones judiciales alcancen la eficacia querida por el ordenamiento, lo que incluye tanto el derecho a que se ejecuten en sus propios términos, como a que se respete su firmeza y la intangibilidad de las situaciones jurídicas en ellas declaradas, sin perjuicio, naturalmente, de su modificación o revisión a través de los cauces extraordinarios legalmente previstos para ello.</w:t>
      </w:r>
    </w:p>
    <w:p w:rsidR="005728DD" w:rsidRDefault="005728DD" w:rsidP="005728DD">
      <w:pPr>
        <w:pStyle w:val="TextoNormal"/>
      </w:pPr>
    </w:p>
    <w:p w:rsidR="005728DD" w:rsidRDefault="005728DD" w:rsidP="005728DD">
      <w:pPr>
        <w:pStyle w:val="TextoNormal"/>
      </w:pPr>
      <w:r>
        <w:lastRenderedPageBreak/>
        <w:t xml:space="preserve">Las sociedades recurrentes en amparo argumentan que, al no tenerse en cuenta que el procedimiento era de cuantía indeterminada, se habría vulnerado la intangibilidad de la Sentencia que así lo fijó. Sin embargo, esta queja no puede prosperar. Cuando la tasación omite toda referencia a la cuantía del procedimiento que conecta el importe máximo de las costas con dicha cuantía, no es propiamente esta vertiente del art. 24.1 CE la que cabe entender vulnerada, pues con ello no se menoscaba la eficacia atribuida por el ordenamiento a la sentencia que desestimó la constitución de una servidumbre de paso solicitada por las entidades Grupo Luzelma, S.L., y Santa Victoria, S.L. (en el mismo sentido, </w:t>
      </w:r>
      <w:r w:rsidRPr="005728DD">
        <w:rPr>
          <w:i/>
        </w:rPr>
        <w:t>vid</w:t>
      </w:r>
      <w:r>
        <w:t>. la STC 318/2006, de 15 de noviembre, FJ 3, sobre un caso similar).</w:t>
      </w:r>
    </w:p>
    <w:p w:rsidR="005728DD" w:rsidRDefault="005728DD" w:rsidP="005728DD">
      <w:pPr>
        <w:pStyle w:val="TextoNormal"/>
      </w:pPr>
    </w:p>
    <w:p w:rsidR="005728DD" w:rsidRDefault="005728DD" w:rsidP="005728DD">
      <w:pPr>
        <w:pStyle w:val="TextoNormal"/>
      </w:pPr>
      <w:r>
        <w:t>d) Tampoco cabe apreciar que se haya incurrido en un error patente con relevancia constitucional, en los términos de nuestra reiterada doctrina, según la cual el error patente que determina la vulneración del art. 24.1 CE es exclusivamente un error de hecho (SSTC 217/2000, de 18 de septiembre, FJ 3, y 32/2005, de 15 de febrero, FJ 5, entre otras), lo que no es el caso, toda vez que el objeto de la queja radica en una cuestión jurídica, no fáctica, como era la dispar apreciación del presupuesto de hecho que determinó la cuantía de las costas en un supuesto y en otros; en el primero de los casos se partió, para la tasación, de una determinada cuantía del pleito principal y en los otros de que la cuantía era inestimable, tratándose del mismo proceso.</w:t>
      </w:r>
    </w:p>
    <w:p w:rsidR="005728DD" w:rsidRDefault="005728DD" w:rsidP="005728DD">
      <w:pPr>
        <w:pStyle w:val="TextoNormal"/>
      </w:pPr>
    </w:p>
    <w:p w:rsidR="005728DD" w:rsidRDefault="005728DD" w:rsidP="005728DD">
      <w:pPr>
        <w:pStyle w:val="TextoNormal"/>
      </w:pPr>
      <w:r>
        <w:t>Descartadas las lesiones anteriores, resta por analizar la referida al derecho a obtener una resolución judicial motivada, no incursa en irracionalidad ni arbitrariedad, también incluida en el art. 24.1 CE.</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Examen de la alegada vulneración del derecho a una resolución judicial motivada, no incursa en irracionalidad ni arbitrariedad: estimación</w:t>
      </w:r>
      <w:r>
        <w:t>.</w:t>
      </w:r>
    </w:p>
    <w:p w:rsidR="005728DD" w:rsidRDefault="005728DD" w:rsidP="005728DD">
      <w:pPr>
        <w:pStyle w:val="TextoNormal"/>
      </w:pPr>
    </w:p>
    <w:p w:rsidR="005728DD" w:rsidRDefault="005728DD" w:rsidP="005728DD">
      <w:pPr>
        <w:pStyle w:val="TextoNormal"/>
      </w:pPr>
      <w:r>
        <w:t>a) Las entidades recurrentes se quejan de que la tasación de las costas ha desatendido un presupuesto esencial como es la cuantía del procedimiento, toda vez que el art. 394.3 LEC establece taxativamente que el importe de la minuta de los abogados y demás profesionales que no estén sujetos a tarifa o arancel no excederá de “la tercera parte de la cuantía del proceso por cada uno de los litigantes que hubieren obtenido tal pronunciamiento”, añadiendo que “a estos solos efectos, las pretensiones inestimables se valorarán en 18 000 €, salvo que, en razón de la complejidad del asunto, el tribunal disponga otra cosa” (salvedad que aquí no concurre); razón por la cual el art. 243.2 LEC dispone que el letrado de la administración de justicia reducirá el importe de los honorarios de los abogados y demás profesionales que no estén sujetos a tarifa o arancel, cuando los reclamados excedan del límite indicado.</w:t>
      </w:r>
    </w:p>
    <w:p w:rsidR="005728DD" w:rsidRDefault="005728DD" w:rsidP="005728DD">
      <w:pPr>
        <w:pStyle w:val="TextoNormal"/>
      </w:pPr>
    </w:p>
    <w:p w:rsidR="005728DD" w:rsidRDefault="005728DD" w:rsidP="005728DD">
      <w:pPr>
        <w:pStyle w:val="TextoNormal"/>
      </w:pPr>
      <w:r>
        <w:t>La demanda subraya que, al no tener en cuenta el citado art. 394.3 LEC, el juzgado se ha apartado del criterio seguido para cuantificar las minutas de los letrados que asistieron al resto de partes beneficiadas por la condena en costas, cuyas tasaciones sí se atuvieron a dicha norma, habiendo sido aceptadas sin controversia por las entidades Grupo Luzelma, S.L., y Santa Victoria, S.L.</w:t>
      </w:r>
    </w:p>
    <w:p w:rsidR="005728DD" w:rsidRDefault="005728DD" w:rsidP="005728DD">
      <w:pPr>
        <w:pStyle w:val="TextoNormal"/>
      </w:pPr>
    </w:p>
    <w:p w:rsidR="005728DD" w:rsidRDefault="005728DD" w:rsidP="005728DD">
      <w:pPr>
        <w:pStyle w:val="TextoNormal"/>
      </w:pPr>
      <w:r>
        <w:t>b) Este tribunal, de modo reiterado, ha declarado que “el derecho a la tutela judicial efectiva comprende el derecho de los litigantes a obtener de los jueces y tribunales una resolu</w:t>
      </w:r>
      <w:r>
        <w:lastRenderedPageBreak/>
        <w:t>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ha afirmado que la motivación de las resoluciones judiciales, aparte de venir impuesta en el art. 120.3 CE, es una exigencia derivada del art. 24.1 CE con el fin de que se puedan conocer las razones de la decisión que aquellas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 (por todas, las SSTC 8/2021, de 25 de enero, FJ 3, y 12/2021, de 25 de enero, FJ 3, entre las más recientes).</w:t>
      </w:r>
    </w:p>
    <w:p w:rsidR="005728DD" w:rsidRDefault="005728DD" w:rsidP="005728DD">
      <w:pPr>
        <w:pStyle w:val="TextoNormal"/>
      </w:pPr>
    </w:p>
    <w:p w:rsidR="005728DD" w:rsidRDefault="005728DD" w:rsidP="005728DD">
      <w:pPr>
        <w:pStyle w:val="TextoNormal"/>
      </w:pPr>
      <w:r>
        <w:t>Asimismo, este tribunal ha argumentado que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Ahora bien, lo que, en todo caso, sí garantiza el art. 24.1 CE es el derecho a obtener de los órganos judiciales una resolución motivada, es decir,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 Pero, también, hemos declarado en multitud de ocasiones que una resolución judicial vulnera el derecho a la tutela judicial efectiva cuando el razonamiento que la funda incurre en tal grado de arbitrariedad o irrazonabilidad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y 133/2013, de 5 de junio, FJ 5, entre otras muchas)” (STC 46/2020, de 15 de junio, FJ 3).</w:t>
      </w:r>
    </w:p>
    <w:p w:rsidR="005728DD" w:rsidRDefault="005728DD" w:rsidP="005728DD">
      <w:pPr>
        <w:pStyle w:val="TextoNormal"/>
      </w:pPr>
    </w:p>
    <w:p w:rsidR="005728DD" w:rsidRDefault="005728DD" w:rsidP="005728DD">
      <w:pPr>
        <w:pStyle w:val="TextoNormal"/>
      </w:pPr>
      <w:r>
        <w:t xml:space="preserve">c) A la vista de la doctrina que acabamos de sintetizar, podemos ya anticipar que la tasación de costas controvertida incurrió en el vicio de motivación denunciado. Para ello, basta recapitular brevemente los antecedentes decisivos para nuestro enjuiciamiento que no han sido controvertidos: (i) la tasación de costas objeto de debate dimana de una demanda civil de constitución de servidumbre de paso que fue calificada de cuantía indeterminable por la sentencia que la resolvió en primera instancia; (ii) para la tasación de las costas de todas las partes favorecidas, con la sola excepción de la minuta presentada por el letrado don Juan García-Beamud Pérez, el Juzgado se atuvo a la cuantía indeterminada del proceso; (iii) la única motivación ofrecida para una solución dispar en dicho caso es que el Colegio de Abogados de Cádiz emitió un informe según el cual no la consideraba excesiva, si bien advertía </w:t>
      </w:r>
      <w:r>
        <w:lastRenderedPageBreak/>
        <w:t>que “[n]o se pueden concretar más detalles del procedimiento en sí, ya que el juzgado solo ha remitido la parte que se refiere a la impugnación de esta minuta, obviando el resto”.</w:t>
      </w:r>
    </w:p>
    <w:p w:rsidR="005728DD" w:rsidRDefault="005728DD" w:rsidP="005728DD">
      <w:pPr>
        <w:pStyle w:val="TextoNormal"/>
      </w:pPr>
    </w:p>
    <w:p w:rsidR="005728DD" w:rsidRDefault="005728DD" w:rsidP="005728DD">
      <w:pPr>
        <w:pStyle w:val="TextoNormal"/>
      </w:pPr>
      <w:r>
        <w:t>Pues bien, habiéndose fijado el procedimiento civil del que deriva la tasación como de cuantía indeterminada, no podía resolverse el incidente sin atender a dicha declaración judicial, toda vez que el art. 394.3 LEC establece, de forma taxativa y clara, que los honorarios del letrado no pueden exceder el límite de un tercio de la cuantía del proceso, tomando un importe de 18 000 € para los de cuantía indeterminable.</w:t>
      </w:r>
    </w:p>
    <w:p w:rsidR="005728DD" w:rsidRDefault="005728DD" w:rsidP="005728DD">
      <w:pPr>
        <w:pStyle w:val="TextoNormal"/>
      </w:pPr>
    </w:p>
    <w:p w:rsidR="005728DD" w:rsidRDefault="005728DD" w:rsidP="005728DD">
      <w:pPr>
        <w:pStyle w:val="TextoNormal"/>
      </w:pPr>
      <w:r>
        <w:t>Por consiguiente, a la hora de tasar las costas el órgano judicial no era admisible prescindir, como se hizo, de la cuantía del proceso. Al no atender a dicha realidad jurídica, que es imprescindible para la tasación de las costas, el juzgado infringió el derecho a una resolución motivada no incursa en irracionalidad.</w:t>
      </w:r>
    </w:p>
    <w:p w:rsidR="005728DD" w:rsidRDefault="005728DD" w:rsidP="005728DD">
      <w:pPr>
        <w:pStyle w:val="TextoNormal"/>
      </w:pPr>
    </w:p>
    <w:p w:rsidR="005728DD" w:rsidRDefault="005728DD" w:rsidP="005728DD">
      <w:pPr>
        <w:pStyle w:val="TextoNormal"/>
      </w:pPr>
      <w:r>
        <w:t>Corrobora lo anterior el que, para cuantificar las costas debidas a las demás partes vencedoras, sí se atendiera a la cuantía indeterminada del proceso. De hecho, como se ha expuesto en los antecedentes, el propio juzgado reconoció en su auto de 28 de mayo de 2018 que, “si bien hay que admitir la contradicción incurrida, la misma no determina una modificación de lo resuelto” y concluye apodícticamente que la tasación ha de mantenerse.</w:t>
      </w:r>
    </w:p>
    <w:p w:rsidR="005728DD" w:rsidRDefault="005728DD" w:rsidP="005728DD">
      <w:pPr>
        <w:pStyle w:val="TextoNormal"/>
      </w:pPr>
    </w:p>
    <w:p w:rsidR="005728DD" w:rsidRDefault="005728DD" w:rsidP="005728DD">
      <w:pPr>
        <w:pStyle w:val="TextoNormal"/>
      </w:pPr>
      <w:r>
        <w:t>Según la doctrina constitucional (por todas, STC 24/2005, de 14 de febrero, FJ 6), se desconoce el derecho fundamental a una resolución judicial no arbitraria cuando el órgano judicial dicta una resolución contrapuesta en lo esencial a la que ha dictado para un supuesto idéntico en lo relevante, siempre que no exprese o se infieran las razones para tal cambio. En esta conducta, que se subsume bajo la perspectiva prioritaria del derecho a la igualdad en aplicación de la ley cuando son distintos los sujetos implicados, pasa a un primer plano el defecto de tutela judicial cuando no se da tal alteridad, como sucede en el caso aquí analizado, según hemos indicado en el fundamento jurídico segundo. Así pues, el resultado en virtud del cual cuando una persona, sobre idénticos asuntos litigiosos, obtiene inmotivadamente respuestas distintas del mismo órgano judicial, ha de tenerse por arbitrario y por ello lesivo del derecho a la tutela judicial efectiva.</w:t>
      </w:r>
    </w:p>
    <w:p w:rsidR="005728DD" w:rsidRDefault="005728DD" w:rsidP="005728DD">
      <w:pPr>
        <w:pStyle w:val="TextoNormal"/>
      </w:pPr>
    </w:p>
    <w:p w:rsidR="005728DD" w:rsidRDefault="005728DD" w:rsidP="005728DD">
      <w:pPr>
        <w:pStyle w:val="TextoNormal"/>
      </w:pPr>
      <w:r>
        <w:t>Por lo expuesto, debemos concluir que la tasación de costas practicada a cargo de las sociedades recurrentes en amparo el 2 de mayo de 2017, confirmada por el decreto de 19 de abril de 2018 y por el auto de 28 de mayo de 2018, vulneró su derecho a la tutela judicial efectiva sin indefensión, en la vertiente del derecho a una resolución motivada no incursa en irracionalidad ni arbitrariedad.</w:t>
      </w:r>
    </w:p>
    <w:p w:rsidR="005728DD" w:rsidRDefault="005728DD" w:rsidP="005728DD">
      <w:pPr>
        <w:pStyle w:val="TextoNormal"/>
      </w:pPr>
    </w:p>
    <w:p w:rsidR="005728DD" w:rsidRDefault="005728DD" w:rsidP="005728DD">
      <w:pPr>
        <w:pStyle w:val="TextoNormal"/>
      </w:pPr>
      <w:r>
        <w:t>Lo anterior conduce a estimar el recurso de amparo interpuesto y a anular la tasación controvertida, junto con las resoluciones posteriores a ella, con retroacción de las actuaciones al momento inmediatamente anterior a su dictado, para que se practique una nueva tasación que sea respetuosa con el derecho fundamental vulnerado.</w:t>
      </w:r>
    </w:p>
    <w:p w:rsidR="005728DD" w:rsidRDefault="005728DD" w:rsidP="005728DD">
      <w:pPr>
        <w:pStyle w:val="TextoNormal"/>
      </w:pPr>
    </w:p>
    <w:p w:rsidR="005728DD" w:rsidRDefault="005728DD" w:rsidP="005728DD">
      <w:pPr>
        <w:pStyle w:val="TextoNormal"/>
      </w:pPr>
      <w:r>
        <w:t>Habiéndose estimado dicha vulneración, no es necesario analizar la providencia de inadmisión del incidente de nulidad de actuaciones; ni tampoco entrar en el examen de la alegada inconstitucionalidad del art. 246.3 LEC, por no prever la posibilidad de interponer recurso de apelación contra el auto resolutorio del recurso de revisión.</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las entidades Grupo Luzelma, S.L., y Santa Victoria, S.L.,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(art. 24.1 CE).</w:t>
      </w:r>
    </w:p>
    <w:p w:rsidR="005728DD" w:rsidRDefault="005728DD" w:rsidP="005728DD">
      <w:pPr>
        <w:pStyle w:val="TextoNormal"/>
      </w:pPr>
    </w:p>
    <w:p w:rsidR="005728DD" w:rsidRDefault="005728DD" w:rsidP="005728DD">
      <w:pPr>
        <w:pStyle w:val="TextoNormal"/>
      </w:pPr>
      <w:r>
        <w:t>2º Restablecerlas en su derecho y, a tal fin, declarar la nulidad de la tasación de costas practicada por el Juzgado de Primera Instancia núm. 2 de Algeciras el 2 de mayo de 2017, confirmada por decreto de 19 de abril de 2018, así como del auto de 28 de mayo de 2018 que desestimó el recurso de revisión y de la providencia de 17 de junio de 2019 que inadmitió el incidente de nulidad de actuaciones.</w:t>
      </w:r>
    </w:p>
    <w:p w:rsidR="005728DD" w:rsidRDefault="005728DD" w:rsidP="005728DD">
      <w:pPr>
        <w:pStyle w:val="TextoNormal"/>
      </w:pPr>
    </w:p>
    <w:p w:rsidR="005728DD" w:rsidRDefault="005728DD" w:rsidP="005728DD">
      <w:pPr>
        <w:pStyle w:val="TextoNormal"/>
      </w:pPr>
      <w:r>
        <w:t>3º Retrotraer el procedimiento al momento inmediatamente anterior al de la primera resolución citada, para que, en su lugar, el órgano judicial practique otra que resulte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99" w:name="SENTENCIA_2021_96"/>
      <w:r>
        <w:lastRenderedPageBreak/>
        <w:t>SENTENCIA 96/2021, de 10 de mayo de 2021</w:t>
      </w:r>
    </w:p>
    <w:bookmarkEnd w:id="99"/>
    <w:p w:rsidR="005728DD" w:rsidRDefault="005728DD" w:rsidP="005728DD">
      <w:pPr>
        <w:pStyle w:val="TtuloResolucin"/>
      </w:pPr>
      <w:r>
        <w:t>Sala Segunda</w:t>
      </w:r>
    </w:p>
    <w:p w:rsidR="005728DD" w:rsidRDefault="005728DD" w:rsidP="005728DD">
      <w:pPr>
        <w:pStyle w:val="TtuloBOE"/>
      </w:pPr>
      <w:r>
        <w:t>(BOE núm. 142, de 15 de junio de 2021)</w:t>
      </w:r>
    </w:p>
    <w:p w:rsidR="005728DD" w:rsidRDefault="005728DD" w:rsidP="005728DD">
      <w:pPr>
        <w:pStyle w:val="TextoNormalCentrado"/>
      </w:pPr>
      <w:r>
        <w:t>ECLI:ES:TC:2021:96</w:t>
      </w:r>
    </w:p>
    <w:p w:rsidR="005728DD" w:rsidRDefault="005728DD" w:rsidP="005728DD">
      <w:pPr>
        <w:pStyle w:val="TextoNormalCentrado"/>
      </w:pPr>
    </w:p>
    <w:p w:rsidR="005728DD" w:rsidRDefault="005728DD" w:rsidP="005728DD">
      <w:pPr>
        <w:pStyle w:val="SntesisDescriptiva"/>
      </w:pPr>
      <w:r>
        <w:t>Recurso de amparo 5527-2019. Promovido por el Ayuntamiento de Sant Feliu de Buixalleu respecto de los autos del Tribunal Superior de Justicia de Cataluña y un juzgado de lo contencioso-administrativo de Girona que inadmitieron recuso de apelación.</w:t>
      </w:r>
    </w:p>
    <w:p w:rsidR="005728DD" w:rsidRDefault="005728DD" w:rsidP="005728DD">
      <w:pPr>
        <w:pStyle w:val="SntesisDescriptiva"/>
      </w:pPr>
    </w:p>
    <w:p w:rsidR="005728DD" w:rsidRDefault="005728DD" w:rsidP="005728DD">
      <w:pPr>
        <w:pStyle w:val="SntesisAnaltica"/>
      </w:pPr>
      <w:r>
        <w:t>Vulneración del derecho a la tutela judicial efectiva (acceso al recurso legal): inadmisión de recurso de apelación por extemporáneo sin tener en cuenta la aclaración del fallo (STC 105/2006).</w:t>
      </w:r>
    </w:p>
    <w:p w:rsidR="005728DD" w:rsidRDefault="005728DD" w:rsidP="005728DD">
      <w:pPr>
        <w:pStyle w:val="SntesisAnaltica"/>
      </w:pPr>
    </w:p>
    <w:p w:rsidR="005728DD" w:rsidRDefault="005728DD" w:rsidP="005728DD">
      <w:pPr>
        <w:pStyle w:val="Extracto"/>
      </w:pPr>
      <w:r>
        <w:t>1.</w:t>
      </w:r>
      <w:r>
        <w:tab/>
        <w:t>Se aplica la doctrina constitucional relativa a la vulneración de la tutela judicial efectiva, en su vertiente de acceso al recurso legal, toda vez que la interpretación judicial, consistente en que la tramitación de un recurso de aclaración no permite interrumpir el cómputo del plazo para interponer un recurso, constituye una interpretación arbitraria de la normativa reguladora de los plazos procesales (SSTC 105/2006 y 90/2010)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5527-2019, promovido por el Ayuntamiento de Sant Feliu de Buixalleu, contra el auto de la Sección Primera de la Sala de lo Contencioso-Administrativo del Tribunal Superior de Justicia de Cataluña núm. 47/2019, de 1 de julio de 2019, por el que se desestima el recurso de queja núm. 1-2019 interpuesto contra el auto del Juzgado de lo Contencioso-Administrativo núm. 3 de Girona de 16 de abril de 2019, por el que se inadmite el recurso de apelación interpuesto contra la sentencia núm. 2747/2018, de 27 de noviembre de 2018, pronunciada en el procedimiento ordinario núm. 51-2016. Han comparecido don Manuel Cuyas Andreu, doña Mercé Cuyas Andreu, doña María Montserrat Cuyás Sánchez y la entidad El Clos de Can Roquet, S.L.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Ayuntamiento de Sant Feliu de Buixalleu, representado por el procurador de los tribunales don Alberto Hidalgo Martínez y bajo la dirección de la letrada doña Pilar Berney Pujol, interpuso recurso de amparo contra las resoluciones judiciales citadas en el encabezamiento, mediante escrito registrado en este tribunal el 30 de septiembre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El 10 de febrero de 2016 se interpuso recurso contencioso-administrativo contra el decreto del Ayuntamiento de Sant Feliu de Buixalleu de 10 de diciembre de 2015 y diversas liquidaciones impositivas, dando lugar al procedimiento ordinario número 51-2016, tramitado por el Juzgado de lo Contencioso-Administrativo núm. 3 de Girona.</w:t>
      </w:r>
    </w:p>
    <w:p w:rsidR="005728DD" w:rsidRDefault="005728DD" w:rsidP="005728DD">
      <w:pPr>
        <w:pStyle w:val="TextoNormal"/>
      </w:pPr>
    </w:p>
    <w:p w:rsidR="005728DD" w:rsidRDefault="005728DD" w:rsidP="005728DD">
      <w:pPr>
        <w:pStyle w:val="TextoNormal"/>
      </w:pPr>
      <w:r>
        <w:t>El recurso fue estimado por sentencia de 27 de noviembre de 2018, anulándose el decreto impugnado. La sentencia fue notificada al ayuntamiento demandante de amparo el 5 de diciembre de 2018, haciendo constar que contra la misma cabía interponer recurso de apelación en el plazo de quince días.</w:t>
      </w:r>
    </w:p>
    <w:p w:rsidR="005728DD" w:rsidRDefault="005728DD" w:rsidP="005728DD">
      <w:pPr>
        <w:pStyle w:val="TextoNormal"/>
      </w:pPr>
    </w:p>
    <w:p w:rsidR="005728DD" w:rsidRDefault="005728DD" w:rsidP="005728DD">
      <w:pPr>
        <w:pStyle w:val="TextoNormal"/>
      </w:pPr>
      <w:r>
        <w:t>El ayuntamiento, habiendo transcurrido un plazo de dos días desde la notificación de la sentencia y el plazo de recurso de apelación, solicitó el 11 de diciembre de 2018 la aclaración de la sentencia. La aclaración fue denegada por auto de 12 de enero de 2019. Este auto se notificó al ayuntamiento el 22 de febrero de 2019.</w:t>
      </w:r>
    </w:p>
    <w:p w:rsidR="005728DD" w:rsidRDefault="005728DD" w:rsidP="005728DD">
      <w:pPr>
        <w:pStyle w:val="TextoNormal"/>
      </w:pPr>
    </w:p>
    <w:p w:rsidR="005728DD" w:rsidRDefault="005728DD" w:rsidP="005728DD">
      <w:pPr>
        <w:pStyle w:val="TextoNormal"/>
      </w:pPr>
      <w:r>
        <w:t>b) El ayuntamiento demandante de amparo interpuso, mediante escrito registrado antes de las 15:00 horas del 18 de marzo de 2019, recurso de apelación contra la citada sentencia.</w:t>
      </w:r>
    </w:p>
    <w:p w:rsidR="005728DD" w:rsidRDefault="005728DD" w:rsidP="005728DD">
      <w:pPr>
        <w:pStyle w:val="TextoNormal"/>
      </w:pPr>
    </w:p>
    <w:p w:rsidR="005728DD" w:rsidRDefault="005728DD" w:rsidP="005728DD">
      <w:pPr>
        <w:pStyle w:val="TextoNormal"/>
      </w:pPr>
      <w:r>
        <w:t>El recurso fue inadmitido por auto de 16 de abril de 2019, argumentando que (i) la sentencia fue notificada el 5 de diciembre de 2018; (ii) el ayuntamiento solicitó su aclaración el 11 de diciembre de 2018, “interrumpiendo el plazo para interponer el recurso (art. 267.9 LOPJ), cuando se habían consumido dos días de los quince para apelar la sentencia”, (iii) el 22 de febrero de 2019 se notificó el auto desestimando la aclaración “reanudándose el cómputo del plazo de los trece días restantes para interponer la apelación, venciendo dicho plazo el día 14 de marzo a las 15:00 horas (art. 135.5 LEC)”; y (iv) el escrito formulando recurso de apelación, al haber sido registrado el 18 de marzo de 2019, ha sido presentado fuera de plazo.</w:t>
      </w:r>
    </w:p>
    <w:p w:rsidR="005728DD" w:rsidRDefault="005728DD" w:rsidP="005728DD">
      <w:pPr>
        <w:pStyle w:val="TextoNormal"/>
      </w:pPr>
    </w:p>
    <w:p w:rsidR="005728DD" w:rsidRDefault="005728DD" w:rsidP="005728DD">
      <w:pPr>
        <w:pStyle w:val="TextoNormal"/>
      </w:pPr>
      <w:r>
        <w:t>c) El ayuntamiento demandante de amparo interpuso recurso de queja, que fue tramitado con el núm. 1-2019 por la Sección Primera de la Sala de lo Contencioso-Administrativo del Tribunal Superior de Justicia de Cataluña, invocando el derecho a la tutela judicial efectiva (art. 24.1 CE), en su dimensión de derecho de acceso al recurso, con fundamento en que la fórmula de cómputo aplicada en relación con los efectos de la solicitud de aclaración es contraria a la jurisprudencia constitucional establecida en la STC 90/2010, FJ 3.</w:t>
      </w:r>
    </w:p>
    <w:p w:rsidR="005728DD" w:rsidRDefault="005728DD" w:rsidP="005728DD">
      <w:pPr>
        <w:pStyle w:val="TextoNormal"/>
      </w:pPr>
    </w:p>
    <w:p w:rsidR="005728DD" w:rsidRDefault="005728DD" w:rsidP="005728DD">
      <w:pPr>
        <w:pStyle w:val="TextoNormal"/>
      </w:pPr>
      <w:r>
        <w:t xml:space="preserve">La queja fue desestimada por auto núm. 47/2019, de 1 de julio de 2019, insistiendo en que en el cómputo del plazo para interponer el recurso de apelación hay que computar los dos días “que se corresponden con los que trascurrieron desde aquel en que ha de tenerse </w:t>
      </w:r>
      <w:r>
        <w:lastRenderedPageBreak/>
        <w:t>por notificada la sentencia (el día 5), hasta el día en que se solicitó la aclaración de la misma”.</w:t>
      </w:r>
    </w:p>
    <w:p w:rsidR="005728DD" w:rsidRDefault="005728DD" w:rsidP="005728DD">
      <w:pPr>
        <w:pStyle w:val="TextoNormal"/>
      </w:pPr>
    </w:p>
    <w:p w:rsidR="005728DD" w:rsidRDefault="005728DD" w:rsidP="005728DD">
      <w:pPr>
        <w:pStyle w:val="TextoNormal"/>
      </w:pPr>
      <w:r w:rsidRPr="005728DD">
        <w:rPr>
          <w:rStyle w:val="NumeroAFNegritaCaracter"/>
        </w:rPr>
        <w:t>3</w:t>
      </w:r>
      <w:r>
        <w:t>. El ayuntamiento demandante de amparo solicita la nulidad de las resoluciones judiciales impugnadas por vulneración de sus derechos a la tutela judicial efectiva (art. 24.1 CE), en su dimensión de acceso al recurso, a la igualdad en la aplicación de la ley (art. 14 CE) y a un proceso con todas las garantías y a la defensa (art. 24.2 CE); con retroacción de actuaciones para que se dicte otra respetuosa con estos derechos fundamentales.</w:t>
      </w:r>
    </w:p>
    <w:p w:rsidR="005728DD" w:rsidRDefault="005728DD" w:rsidP="005728DD">
      <w:pPr>
        <w:pStyle w:val="TextoNormal"/>
      </w:pPr>
    </w:p>
    <w:p w:rsidR="005728DD" w:rsidRDefault="005728DD" w:rsidP="005728DD">
      <w:pPr>
        <w:pStyle w:val="TextoNormal"/>
      </w:pPr>
      <w:r>
        <w:t>El ayuntamiento demandante fundamenta la vulneración del art. 24.1 CE en que se ha hecho una interpretación y aplicación de la forma de cómputo que es contraria (i) a las previsiones legales establecidas en los arts. 267.9 de la Ley Orgánica del Poder Judicial (LOPJ) y 448.2 de la Ley de enjuiciamiento civil (LEC) —que disponen que los plazos para recurrir se contarán desde el día siguiente al de la notificación de la resolución que se recurra, o, en su caso, a la notificación de su aclaración o de la denegación de esta— y (ii) a la interpretación que respecto de dicho cómputo se hizo en la STC 90/2010, de 15 de noviembre, en que se consideró una interpretación arbitraria lesiva del art. 24.1 CE la aplicada en las resoluciones impugnadas.</w:t>
      </w:r>
    </w:p>
    <w:p w:rsidR="005728DD" w:rsidRDefault="005728DD" w:rsidP="005728DD">
      <w:pPr>
        <w:pStyle w:val="TextoNormal"/>
      </w:pPr>
    </w:p>
    <w:p w:rsidR="005728DD" w:rsidRDefault="005728DD" w:rsidP="005728DD">
      <w:pPr>
        <w:pStyle w:val="TextoNormal"/>
      </w:pPr>
      <w:r>
        <w:t>El ayuntamiento demandante fundamenta la vulneración del arts. 14 y 24.2 CE en que existen diversas resoluciones no solo del Tribunal Constitucional y Tribunal Supremo, sino también de las diferentes secciones de la Sala de lo Contencioso-Administrativo del Tribunal Superior de Justicia de Cataluña en el sentido de considerar que tras la notificación de la decisión resolutoria de una aclaración comienza el cómputo completo del plazo para recurrir; por lo que las resoluciones impugnadas implican un cambio de criterio jurisprudencial injustificado lesivo del derecho a la igualdad en la aplicación de la ley y a un proceso con todas las garantías.</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29 de junio de 2020, acordó la admisión a trámite del presente recurso, apreciando que concurre en el mismo una especial trascendencia constitucional (art. 50.1 LOTC) como consecuencia de que el órgano judicial pudiera haber incurrido en una negativa manifiesta del deber de acatamiento de la doctrina de este tribunal [STC 155/2009, FJ 2 f)]; y dirigir atenta comunicación a los órganos judiciales para la remisión de copia testimoniada de las actuaciones y el emplazamiento de quienes hubieran sido parte en el procedimiento para que pudiesen comparecen en el plazo de diez días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29 de septiembre de 2020, acordó tener por personada y parte en el procedimiento al procurador de los tribunales don Manuel Sánchez-Puelles González Carvajal, en nombre y representación de don Manuel Cuyas Andreu, doña Mercé Cuyas Andreu, doña María Montserrat Cuyás Sánchez y la entidad El Clos de Can Roquet, S.L., quienes lo hacen bajo la dirección de la letrada doña Dolors Clavell Nadal; y dar vista de las actuaciones al Ministerio Fiscal y a las partes personadas por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El Ministerio Fiscal, por escrito registrado el 17 de noviembre de 2020, formuló alegaciones interesando que se otorgue el amparo solicitado por vulneración del derecho a la tutela judicial efectiva (art. 24.1 CE), en su dimensión de derecho de acceso al recurso, y se declare la nulidad de las resoluciones impugnadas con retroacción de actuaciones al momento en que se inadmitió el recurso de apelación para que se pronuncie una nueva resolución respetuosa con este derecho fundamental.</w:t>
      </w:r>
    </w:p>
    <w:p w:rsidR="005728DD" w:rsidRDefault="005728DD" w:rsidP="005728DD">
      <w:pPr>
        <w:pStyle w:val="TextoNormal"/>
      </w:pPr>
    </w:p>
    <w:p w:rsidR="005728DD" w:rsidRDefault="005728DD" w:rsidP="005728DD">
      <w:pPr>
        <w:pStyle w:val="TextoNormal"/>
      </w:pPr>
      <w:r>
        <w:t>El Ministerio Fiscal, tras la cita de la jurisprudencia constitucional sobre el derecho de acceso al recurso y su proyección al cómputo de los plazos de recurso una vez formulada y resuelta una solicitud de aclaración (SSTC 105/2006, 188/2006 y 34/2020), expone que se ha vulnerado el art. 24.1 CE, ya que los órganos judiciales han concluido la inadmisión del recurso de apelación a partir de una interpretación que no puede considerarse fundada en derecho pues los arts. 267.9 LOPJ y 215.5 y 448.2 LEC establecen de manera expresa que en caso de solicitud de aclaración el plazo del cómputo para formular recurso comienza desde la notificación de la resolución que la acordase o denegase.</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personada, por escrito registrado el 30 de octubre de 2020, formuló alegaciones solicitando que se inadmita o, subsidiariamente, se desestime el presente recurso de amparo. Ninguna argumentación se desarrolla en relación con la solicitud principal de inadmisión. Respecto de la solicitud de desestimación se expone que, si bien no cabe controvertir que la jurisprudencia en relación con el cómputo de plazos de recurso en caso de que se solicite la aclaración de la resolución a impugnar es que comienza la integridad del plazo cuando se resuelve dicha petición, también es de destacar que la jurisprudencia ordinaria establece que esa eficacia interruptora desaparece cuando se hace un uso fraudulento o manifiestamente improcedente de la solicitud de aclaración, que es lo que habría sucedido en este caso en que dicha solicitud contenía una mera discrepancia con la argumentación de la sentencia sin hacer referencia a ninguna cuestión tratada de forma confusa ni a ningún error material, motivo por el que fue denegada la aclaración.</w:t>
      </w:r>
    </w:p>
    <w:p w:rsidR="005728DD" w:rsidRDefault="005728DD" w:rsidP="005728DD">
      <w:pPr>
        <w:pStyle w:val="TextoNormal"/>
      </w:pPr>
    </w:p>
    <w:p w:rsidR="005728DD" w:rsidRDefault="005728DD" w:rsidP="005728DD">
      <w:pPr>
        <w:pStyle w:val="TextoNormal"/>
      </w:pPr>
      <w:r w:rsidRPr="005728DD">
        <w:rPr>
          <w:rStyle w:val="NumeroAFNegritaCaracter"/>
        </w:rPr>
        <w:t>8</w:t>
      </w:r>
      <w:r>
        <w:t>. El ayuntamiento demandante de amparo, por escrito registrado el 4 de noviembre de 2020, formuló alegaciones reiterando las expuestas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TextoNormalNegritaCaracter"/>
        </w:rPr>
        <w:t xml:space="preserve">Único. </w:t>
      </w:r>
      <w:r w:rsidRPr="005728DD">
        <w:rPr>
          <w:i/>
        </w:rPr>
        <w:t>Aplicación de la jurisprudencia constitucional establecida en las SSTC 105/2006, de 3 de abril, y 90/2010, de 15 de noviembre</w:t>
      </w:r>
      <w:r>
        <w:t>.</w:t>
      </w:r>
    </w:p>
    <w:p w:rsidR="005728DD" w:rsidRDefault="005728DD" w:rsidP="005728DD">
      <w:pPr>
        <w:pStyle w:val="TextoNormal"/>
      </w:pPr>
    </w:p>
    <w:p w:rsidR="005728DD" w:rsidRDefault="005728DD" w:rsidP="005728DD">
      <w:pPr>
        <w:pStyle w:val="TextoNormal"/>
      </w:pPr>
      <w:r>
        <w:t xml:space="preserve">El objeto de este recurso es determinar si la decisión judicial de inadmitir el recurso de apelación formulado por el ayuntamiento demandante de amparo vulnera el derecho a la tutela judicial efectiva (art. 24.1 CE), desde la perspectiva del derecho de acceso al recurso, al haberse fundamentado la inadmisión en que, si el recurso de apelación se presenta tras haberse instado una solicitud de aclaración, deben descontarse los días transcurridos hasta la presentación de dicha solicitud en el cómputo del plazo de quince días establecido para </w:t>
      </w:r>
      <w:r>
        <w:lastRenderedPageBreak/>
        <w:t>la interposición en el art. 85.1 de la Ley reguladora de la jurisdicción contencioso-administrativa.</w:t>
      </w:r>
    </w:p>
    <w:p w:rsidR="005728DD" w:rsidRDefault="005728DD" w:rsidP="005728DD">
      <w:pPr>
        <w:pStyle w:val="TextoNormal"/>
      </w:pPr>
    </w:p>
    <w:p w:rsidR="005728DD" w:rsidRDefault="005728DD" w:rsidP="005728DD">
      <w:pPr>
        <w:pStyle w:val="TextoNormal"/>
      </w:pPr>
      <w:r>
        <w:t>La cuestión controvertida en este recurso ya ha sido resuelta por este tribunal en la STC 90/2010, de 15 de noviembre, FJ 3, en que, con remisión a lo establecido en la STC 105/2006, de 3 de abril, FJ 5, se afirmó que la interpretación judicial de que la tramitación de un recurso de aclaración no permite interrumpir el cómputo del plazo para interponer un recurso constituye una interpretación arbitraria de la normativa reguladora de los plazos procesales. Se señaló en dicha resolución que debe tenerse en cuenta que las resoluciones aclarada y aclaratoria se integran formando una unidad lógico-jurídica que no puede ser impugnada sino en su conjunto a través de los recursos que, en su caso, pudieran interponerse contra la resolución aclarada. De ahí que, en consonancia con esta forma de entender la técnica de la aclaración de las resoluciones judiciales, el Derecho positivo ha entendido tradicionalmente que en la determinación del comienzo del cómputo del plazo de un recurso contra una resolución que ha sido objeto de una resolución estimatoria o denegatoria de una solicitud de aclaración debe tomarse necesariamente en consideración la fecha de notificación de la resolución sobre la aclaración, que es lo que se establece expresamente en la actualidad en los arts. 267.9 LOPJ y 448.2 LEC.</w:t>
      </w:r>
    </w:p>
    <w:p w:rsidR="005728DD" w:rsidRDefault="005728DD" w:rsidP="005728DD">
      <w:pPr>
        <w:pStyle w:val="TextoNormal"/>
      </w:pPr>
    </w:p>
    <w:p w:rsidR="005728DD" w:rsidRDefault="005728DD" w:rsidP="005728DD">
      <w:pPr>
        <w:pStyle w:val="TextoNormal"/>
      </w:pPr>
      <w:r>
        <w:t>En aplicación de esta doctrina, el tribunal constata que el único argumento judicial en que se fundamenta la inadmisión del recurso de apelación es que resultaba necesario descontar de los quince días previstos legalmente para la interposición de este recurso los dos días transcurridos hasta que se solicitó la aclaración de la resolución impugnada. Por tanto, hay que concluir, de acuerdo con el parecer del Ministerio Fiscal, que se ha vulnerado el art. 24.1 CE.</w:t>
      </w:r>
    </w:p>
    <w:p w:rsidR="005728DD" w:rsidRDefault="005728DD" w:rsidP="005728DD">
      <w:pPr>
        <w:pStyle w:val="TextoNormal"/>
      </w:pPr>
    </w:p>
    <w:p w:rsidR="005728DD" w:rsidRDefault="005728DD" w:rsidP="005728DD">
      <w:pPr>
        <w:pStyle w:val="TextoNormal"/>
      </w:pPr>
      <w:r>
        <w:t>A estos efectos, no puede tomarse en consideración la alegación de la parte personada sobre la eventual utilización fraudulenta de la solicitud de aclaración y la incidencia que esto hubiera podido tener en el derecho invocado. Como de modo semejante se concluyó en el asunto resuelto en la citada STC 90/2010, FJ 3, el tribunal constata que no fue ni ese supuesto uso fraudulento ni una manifiesta improcedencia de dicha solicitud el argumento relevante en la decisión judicial impugnada en este recurso de amparo.</w:t>
      </w:r>
    </w:p>
    <w:p w:rsidR="005728DD" w:rsidRDefault="005728DD" w:rsidP="005728DD">
      <w:pPr>
        <w:pStyle w:val="TextoNormal"/>
      </w:pPr>
    </w:p>
    <w:p w:rsidR="005728DD" w:rsidRDefault="005728DD" w:rsidP="005728DD">
      <w:pPr>
        <w:pStyle w:val="TextoNormal"/>
      </w:pPr>
      <w:r>
        <w:t>La estimación de este motivo de amparo determina, sin necesidad de entrar a analizar el resto de las invocaciones, la nulidad de las resoluciones judiciales impugnadas y la retroacción de actuaciones para que se pronuncie una nueva resolución respetuosa con el derecho fundamental que se declara vulnerado.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el Ayuntamiento de Sant Feliu de Buixalleu y, en su virtud:</w:t>
      </w:r>
    </w:p>
    <w:p w:rsidR="005728DD" w:rsidRDefault="005728DD" w:rsidP="005728DD">
      <w:pPr>
        <w:pStyle w:val="TextoNormal"/>
      </w:pPr>
    </w:p>
    <w:p w:rsidR="005728DD" w:rsidRDefault="005728DD" w:rsidP="005728DD">
      <w:pPr>
        <w:pStyle w:val="TextoNormal"/>
      </w:pPr>
      <w:r>
        <w:t>1º Declarar que ha sido vulnerado el derecho del demandante de amparo a la tutela judicial efectiva sin indefensión (art. 24.1 CE), en su dimensión de acceso al recurso.</w:t>
      </w:r>
    </w:p>
    <w:p w:rsidR="005728DD" w:rsidRDefault="005728DD" w:rsidP="005728DD">
      <w:pPr>
        <w:pStyle w:val="TextoNormal"/>
      </w:pPr>
    </w:p>
    <w:p w:rsidR="005728DD" w:rsidRDefault="005728DD" w:rsidP="005728DD">
      <w:pPr>
        <w:pStyle w:val="TextoNormal"/>
      </w:pPr>
      <w:r>
        <w:lastRenderedPageBreak/>
        <w:t>2º Restablecerle en su derecho y, a tal fin, declarar la nulidad del auto del Juzgado de lo Contencioso-Administrativo núm. 3 de Girona de 16 de abril de 2019, pronunciado en el procedimiento ordinario núm. 51-2016; y el auto de la Sección primera de la Sala de lo Contencioso-administrativo del Tribunal Superior de Justicia de Cataluña núm. 47/2019, de 1 de julio de 2019, pronunciado en el recurso de queja núm. 1-2019.</w:t>
      </w:r>
    </w:p>
    <w:p w:rsidR="005728DD" w:rsidRDefault="005728DD" w:rsidP="005728DD">
      <w:pPr>
        <w:pStyle w:val="TextoNormal"/>
      </w:pPr>
    </w:p>
    <w:p w:rsidR="005728DD" w:rsidRDefault="005728DD" w:rsidP="005728DD">
      <w:pPr>
        <w:pStyle w:val="TextoNormal"/>
      </w:pPr>
      <w:r>
        <w:t>3º Retrotraer las actuaciones al momento inmediatamente anterior a la primera de las resoluciones citadas para que se pronuncie una nueva resolución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0" w:name="SENTENCIA_2021_97"/>
      <w:r>
        <w:lastRenderedPageBreak/>
        <w:t>SENTENCIA 97/2021, de 10 de mayo de 2021</w:t>
      </w:r>
    </w:p>
    <w:bookmarkEnd w:id="100"/>
    <w:p w:rsidR="005728DD" w:rsidRDefault="005728DD" w:rsidP="005728DD">
      <w:pPr>
        <w:pStyle w:val="TtuloResolucin"/>
      </w:pPr>
      <w:r>
        <w:t>Sala Segunda</w:t>
      </w:r>
    </w:p>
    <w:p w:rsidR="005728DD" w:rsidRDefault="005728DD" w:rsidP="005728DD">
      <w:pPr>
        <w:pStyle w:val="TtuloBOE"/>
      </w:pPr>
      <w:r>
        <w:t>(BOE núm. 142, de 15 de junio de 2021)</w:t>
      </w:r>
    </w:p>
    <w:p w:rsidR="005728DD" w:rsidRDefault="005728DD" w:rsidP="005728DD">
      <w:pPr>
        <w:pStyle w:val="TextoNormalCentrado"/>
      </w:pPr>
      <w:r>
        <w:t>ECLI:ES:TC:2021:97</w:t>
      </w:r>
    </w:p>
    <w:p w:rsidR="005728DD" w:rsidRDefault="005728DD" w:rsidP="005728DD">
      <w:pPr>
        <w:pStyle w:val="TextoNormalCentrado"/>
      </w:pPr>
    </w:p>
    <w:p w:rsidR="005728DD" w:rsidRDefault="005728DD" w:rsidP="005728DD">
      <w:pPr>
        <w:pStyle w:val="SntesisDescriptiva"/>
      </w:pPr>
      <w:r>
        <w:t>Recurso de amparo 6802-2019. Promovido por doña Esther Rodríguez Manzanares respecto de las actuaciones llevadas a cabo por un juzgado de primera instancia de Albacete en juicio verbal de desahucio arrendaticio.</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de la demandada, sin agotar las posibilidades de notificación personal (STC 30/2014).</w:t>
      </w:r>
    </w:p>
    <w:p w:rsidR="005728DD" w:rsidRDefault="005728DD" w:rsidP="005728DD">
      <w:pPr>
        <w:pStyle w:val="SntesisAnaltica"/>
      </w:pPr>
    </w:p>
    <w:p w:rsidR="005728DD" w:rsidRDefault="005728DD" w:rsidP="005728DD">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30/2014)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6802-2019, promovido por doña Esther Rodríguez Manzanares, contra el auto del Juzgado de Primera Instancia núm. 2 de Albacete, de 8 de octubre de 2019, que acordó no haber lugar a la nulidad de actuaciones instada por la recurrente en juicio verbal de desahucio arrendaticio. Ha intervenido el Ministerio Fiscal.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25 de noviembre de 2019, la procuradora de los tribunales doña Olga Romojaro Casado, actuando en nombre y representación de doña Esther Rodríguez Manzanares, bajo la defensa de la letrada doña María Ángeles Seglar Ocaña, interpuso demanda de amparo contra la resolución arriba mencionada.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representación procesal de doña Esperanza Gómez Peña formalizó “Demanda de juicio verbal de desahucio por falta de pago y reclamación de la cantidad de seis mil ochocientos noventa y tres euros con sesenta y cuatro céntimos (6893,74 €)”, contra la aquí recurrente en amparo, de la que se consigna su número de teléfono móvil, y contra don Antonio Díaz Díaz, si bien la demanda indica que con “carácter subsidiario, y solo para el caso de que no se considere probada la existencia de un contrato de arrendamiento, se formula acción de desahucio por precario”.</w:t>
      </w:r>
    </w:p>
    <w:p w:rsidR="005728DD" w:rsidRDefault="005728DD" w:rsidP="005728DD">
      <w:pPr>
        <w:pStyle w:val="TextoNormal"/>
      </w:pPr>
    </w:p>
    <w:p w:rsidR="005728DD" w:rsidRDefault="005728DD" w:rsidP="005728DD">
      <w:pPr>
        <w:pStyle w:val="TextoNormal"/>
      </w:pPr>
      <w:r>
        <w:t>Se aportó con la demanda una copia del contrato de arrendamiento de la vivienda objeto de la controversia, sita en la calle Hermanos Jiménez, núm. 24, 4º B, de la ciudad de Albacete, suscrito entre doña Esperanza como arrendadora, y don Antonio y doña Esther como arrendatarios. El “Pacto” decimonoveno del contrato indica que a efecto de notificaciones a la parte arrendataria, se fija como domicilio el de la propia finca alquilada. En la copia aportada del contrato no aparecen las firmas de las partes.</w:t>
      </w:r>
    </w:p>
    <w:p w:rsidR="005728DD" w:rsidRDefault="005728DD" w:rsidP="005728DD">
      <w:pPr>
        <w:pStyle w:val="TextoNormal"/>
      </w:pPr>
    </w:p>
    <w:p w:rsidR="005728DD" w:rsidRDefault="005728DD" w:rsidP="005728DD">
      <w:pPr>
        <w:pStyle w:val="TextoNormal"/>
      </w:pPr>
      <w:r>
        <w:t>El conocimiento de la causa recayó en el Juzgado de Primera Instancia núm. 2 de Albacete, juicio verbal de desahucio 79-2019, procediendo a dictar el letrado de administración de justicia un decreto el 30 de enero de 2019 por el que admitió a trámite la demanda y acordó requerir a la parte demandada por plazo de diez días para que desalojaran el inmueble, pagaran a la parte actora o ejercitaran la enervación de la acción en los términos previstos en la ley. En la misma resolución señaló la vista para una eventual oposición el día 14 de marzo de 2019, y la práctica del lanzamiento de la demandada del inmueble el día 24 de abril de 2019, a las 9:30 horas.</w:t>
      </w:r>
    </w:p>
    <w:p w:rsidR="005728DD" w:rsidRDefault="005728DD" w:rsidP="005728DD">
      <w:pPr>
        <w:pStyle w:val="TextoNormal"/>
      </w:pPr>
    </w:p>
    <w:p w:rsidR="005728DD" w:rsidRDefault="005728DD" w:rsidP="005728DD">
      <w:pPr>
        <w:pStyle w:val="TextoNormal"/>
      </w:pPr>
      <w:r>
        <w:t>b) Consta en las actuaciones que la comisión judicial intentó el emplazamiento personal de la aquí recurrente y de don Antonio Díaz Díaz, los días 5 y 7 de febrero de 2019 en la vivienda objeto del desahucio, ambos con resultado infructuoso al no hallarse nadie en su interior.</w:t>
      </w:r>
    </w:p>
    <w:p w:rsidR="005728DD" w:rsidRDefault="005728DD" w:rsidP="005728DD">
      <w:pPr>
        <w:pStyle w:val="TextoNormal"/>
      </w:pPr>
    </w:p>
    <w:p w:rsidR="005728DD" w:rsidRDefault="005728DD" w:rsidP="005728DD">
      <w:pPr>
        <w:pStyle w:val="TextoNormal"/>
      </w:pPr>
      <w:r>
        <w:t xml:space="preserve">Sin acordarse ninguna gestión más para localizar a la parte demandada, el letrado de la administración de justicia del juzgado </w:t>
      </w:r>
      <w:r w:rsidRPr="005728DD">
        <w:rPr>
          <w:i/>
        </w:rPr>
        <w:t>a quo</w:t>
      </w:r>
      <w:r>
        <w:t xml:space="preserve"> dictó una diligencia de ordenación el 13 de febrero de 2019 por la que dispuso lo que sigue: “de conformidad con lo previsto en el párrafo cuarto del artículo 440.3 LEC, procédase a fijar la cédula de requerimiento y citación en el tablón de anuncios de la oficina judicial”, con cumplimiento de lo acordado.</w:t>
      </w:r>
    </w:p>
    <w:p w:rsidR="005728DD" w:rsidRDefault="005728DD" w:rsidP="005728DD">
      <w:pPr>
        <w:pStyle w:val="TextoNormal"/>
      </w:pPr>
    </w:p>
    <w:p w:rsidR="005728DD" w:rsidRDefault="005728DD" w:rsidP="005728DD">
      <w:pPr>
        <w:pStyle w:val="TextoNormal"/>
      </w:pPr>
      <w:r>
        <w:t>c) Al haberse vencido el plazo para la oposición de la demanda, sin verificarse esta al no haberse personado la parte demandada, el propio letrado de la administración de justicia dictó un decreto el 11 de marzo de 2019, cuya parte dispositiva dice:</w:t>
      </w:r>
    </w:p>
    <w:p w:rsidR="005728DD" w:rsidRDefault="005728DD" w:rsidP="005728DD">
      <w:pPr>
        <w:pStyle w:val="TextoNormal"/>
      </w:pPr>
    </w:p>
    <w:p w:rsidR="005728DD" w:rsidRDefault="005728DD" w:rsidP="005728DD">
      <w:pPr>
        <w:pStyle w:val="TextoNormal"/>
      </w:pPr>
      <w:r>
        <w:t>“Acuerdo: Dar por terminado el presente procedimiento de juicio verbal de desahucio instado por Esperanza Gómez Peña, frente a Esther Rodríguez Manzanares y Antonio Díaz Díaz, acordando el archivo del mismo.</w:t>
      </w:r>
    </w:p>
    <w:p w:rsidR="005728DD" w:rsidRDefault="005728DD" w:rsidP="005728DD">
      <w:pPr>
        <w:pStyle w:val="TextoNormal"/>
      </w:pPr>
    </w:p>
    <w:p w:rsidR="005728DD" w:rsidRDefault="005728DD" w:rsidP="005728DD">
      <w:pPr>
        <w:pStyle w:val="TextoNormal"/>
      </w:pPr>
      <w:r>
        <w:t>Proceder a la ejecución directa sin necesidad de ningún otro trámite, practicándose la diligencia de lanzamiento del demandado (sic) de la finca sita Hermanos Jiménez, núm. 24, 40 B (sic), de Albacete.</w:t>
      </w:r>
    </w:p>
    <w:p w:rsidR="005728DD" w:rsidRDefault="005728DD" w:rsidP="005728DD">
      <w:pPr>
        <w:pStyle w:val="TextoNormal"/>
      </w:pPr>
    </w:p>
    <w:p w:rsidR="005728DD" w:rsidRDefault="005728DD" w:rsidP="005728DD">
      <w:pPr>
        <w:pStyle w:val="TextoNormal"/>
      </w:pPr>
      <w:r>
        <w:lastRenderedPageBreak/>
        <w:t>A tales efectos, se ratifica la fecha ya señalada para el día veinticuatro de abril de dos mil diecinueve a las 9:30 horas.</w:t>
      </w:r>
    </w:p>
    <w:p w:rsidR="005728DD" w:rsidRDefault="005728DD" w:rsidP="005728DD">
      <w:pPr>
        <w:pStyle w:val="TextoNormal"/>
      </w:pPr>
    </w:p>
    <w:p w:rsidR="005728DD" w:rsidRDefault="005728DD" w:rsidP="005728DD">
      <w:pPr>
        <w:pStyle w:val="TextoNormal"/>
      </w:pPr>
      <w:r>
        <w:t>Dar traslado a la parte demandante a fin de que presente demanda de ejecución, en el caso de que desee proceder al despacho de la misma en cuanto a las rentas debidas y que no han sido abonadas, cantidad que asciende a día de hoy a 6893,74 € debiendo incrementarse la misma con las rentas que se devenguen hasta la entrega efectiva del inmueble, ateniendo a la última mensualidad reclamada en la demanda que es de 380 €”.</w:t>
      </w:r>
    </w:p>
    <w:p w:rsidR="005728DD" w:rsidRDefault="005728DD" w:rsidP="005728DD">
      <w:pPr>
        <w:pStyle w:val="TextoNormal"/>
      </w:pPr>
    </w:p>
    <w:p w:rsidR="005728DD" w:rsidRDefault="005728DD" w:rsidP="005728DD">
      <w:pPr>
        <w:pStyle w:val="TextoNormal"/>
      </w:pPr>
      <w:r>
        <w:t xml:space="preserve">d) Con fecha 25 de julio de 2019 la representación procesal de doña Esther Rodríguez Manzanares, actuando en su exclusivo nombre, presentó escrito ante el juzgado </w:t>
      </w:r>
      <w:r w:rsidRPr="005728DD">
        <w:rPr>
          <w:i/>
        </w:rPr>
        <w:t>a quo</w:t>
      </w:r>
      <w:r>
        <w:t xml:space="preserve"> solicitando se la tuviera por personada, dándole copia de las actuaciones practicadas en el procedimiento (juicio verbal de desahucio 79-2019). El letrado de la administración de justicia proveyó a lo solicitado mediante diligencia de ordenación de 14 de agosto de 2019, poniendo las actuaciones a su disposición en la sede del juzgado.</w:t>
      </w:r>
    </w:p>
    <w:p w:rsidR="005728DD" w:rsidRDefault="005728DD" w:rsidP="005728DD">
      <w:pPr>
        <w:pStyle w:val="TextoNormal"/>
      </w:pPr>
    </w:p>
    <w:p w:rsidR="005728DD" w:rsidRDefault="005728DD" w:rsidP="005728DD">
      <w:pPr>
        <w:pStyle w:val="TextoNormal"/>
      </w:pPr>
      <w:r>
        <w:t>e) Con fecha 5 de septiembre de 2019, la representación procesal de la aquí recurrente presentó escrito planteando incidente excepcional de nulidad de actuaciones, “a fin de que se declare la nulidad de las actuaciones desde que se adopta la diligencia de ordenación de fecha 13 de febrero de 2019 procediendo al requerimiento de conformidad con lo previsto en el artículo 440.3 de la Ley de Enjuiciamiento Civil”. Se alega la vulneración del derecho a la tutela judicial efectiva (art. 24.1 CE), toda vez que su patrocinada no fue emplazada personalmente en el proceso verbal de desahucio seguido en su contra y en el que resultó condenada, optándose por los edictos tras resultar fallidos los intentos de notificación en la dirección de la vivienda arrendada, sin intentar otra gestión para su localización. Gestiones que sin embargo sí se realizaron por el juzgado mediante la consulta al punto neutro judicial al despacharse ejecución en el proceso de ejecución núm. 1020-2019, siéndole notificada la demanda ejecutiva en su domicilio de la localidad de Tous el 19 de julio de 2019, momento en el que tuvo conocimiento de la existencia de aquel proceso declarativo previo. Se cita en el escrito, doctrina constitucional sobre el carácter subsidiario del emplazamiento por edictos, incluyendo la STC 122/2013.</w:t>
      </w:r>
    </w:p>
    <w:p w:rsidR="005728DD" w:rsidRDefault="005728DD" w:rsidP="005728DD">
      <w:pPr>
        <w:pStyle w:val="TextoNormal"/>
      </w:pPr>
    </w:p>
    <w:p w:rsidR="005728DD" w:rsidRDefault="005728DD" w:rsidP="005728DD">
      <w:pPr>
        <w:pStyle w:val="TextoNormal"/>
      </w:pPr>
      <w:r>
        <w:t xml:space="preserve">f) El juzgado </w:t>
      </w:r>
      <w:r w:rsidRPr="005728DD">
        <w:rPr>
          <w:i/>
        </w:rPr>
        <w:t>a quo</w:t>
      </w:r>
      <w:r>
        <w:t xml:space="preserve"> dictó auto el 8 de octubre de 2019, juicio verbal de desahucio 79-2019, desestimando el incidente de nulidad —con condena en costas— conforme a lo expuesto en su razonamiento jurídico segundo:</w:t>
      </w:r>
    </w:p>
    <w:p w:rsidR="005728DD" w:rsidRDefault="005728DD" w:rsidP="005728DD">
      <w:pPr>
        <w:pStyle w:val="TextoNormal"/>
      </w:pPr>
    </w:p>
    <w:p w:rsidR="005728DD" w:rsidRDefault="005728DD" w:rsidP="005728DD">
      <w:pPr>
        <w:pStyle w:val="TextoNormal"/>
      </w:pPr>
      <w:r>
        <w:t>“En este caso, la petición de nulidad debe rechazarse conforme a los artículos 164 y 155.3 LEC.</w:t>
      </w:r>
    </w:p>
    <w:p w:rsidR="005728DD" w:rsidRDefault="005728DD" w:rsidP="005728DD">
      <w:pPr>
        <w:pStyle w:val="TextoNormal"/>
      </w:pPr>
    </w:p>
    <w:p w:rsidR="005728DD" w:rsidRDefault="005728DD" w:rsidP="005728DD">
      <w:pPr>
        <w:pStyle w:val="TextoNormal"/>
      </w:pPr>
      <w:r>
        <w:t>La parte demandada, ahora promovente del incidente de nulidad, designó como domicilio a efectos de notificaciones la vivienda arrendada (estipulación 19 del contrato de 1 de mayo de 2017, aportado como documento 3 de la demanda rectora del juicio verbal 79-2019).</w:t>
      </w:r>
    </w:p>
    <w:p w:rsidR="005728DD" w:rsidRDefault="005728DD" w:rsidP="005728DD">
      <w:pPr>
        <w:pStyle w:val="TextoNormal"/>
      </w:pPr>
    </w:p>
    <w:p w:rsidR="005728DD" w:rsidRDefault="005728DD" w:rsidP="005728DD">
      <w:pPr>
        <w:pStyle w:val="TextoNormal"/>
      </w:pPr>
      <w:r>
        <w:t>Los dos intentos de emplazamiento de los días 5 y 7 de febrero de 2019 resultaron infructuosos.</w:t>
      </w:r>
    </w:p>
    <w:p w:rsidR="005728DD" w:rsidRDefault="005728DD" w:rsidP="005728DD">
      <w:pPr>
        <w:pStyle w:val="TextoNormal"/>
      </w:pPr>
    </w:p>
    <w:p w:rsidR="005728DD" w:rsidRDefault="005728DD" w:rsidP="005728DD">
      <w:pPr>
        <w:pStyle w:val="TextoNormal"/>
      </w:pPr>
      <w:r>
        <w:t xml:space="preserve">El emplazamiento se ajustó a las exigencias legales (no era preciso efectuar otras averiguaciones domiciliarias adicionales para el emplazamiento de la demanda de desahucio) y </w:t>
      </w:r>
      <w:r>
        <w:lastRenderedPageBreak/>
        <w:t>fue la otrora (sic) demandada la que voluntariamente se colocó en situación de indefensión al desaparecer del domicilio arrendado, desatendiendo la más elemental diligencia.</w:t>
      </w:r>
    </w:p>
    <w:p w:rsidR="005728DD" w:rsidRDefault="005728DD" w:rsidP="005728DD">
      <w:pPr>
        <w:pStyle w:val="TextoNormal"/>
      </w:pPr>
    </w:p>
    <w:p w:rsidR="005728DD" w:rsidRDefault="005728DD" w:rsidP="005728DD">
      <w:pPr>
        <w:pStyle w:val="TextoNormal"/>
      </w:pPr>
      <w:r>
        <w:t>Procede, por todo lo expuesto, la desestimación de la petición de nulidad; con condena en costas a la parte promovente (artículo 228 LEC y 241 LOPJ)”.</w:t>
      </w:r>
    </w:p>
    <w:p w:rsidR="005728DD" w:rsidRDefault="005728DD" w:rsidP="005728DD">
      <w:pPr>
        <w:pStyle w:val="TextoNormal"/>
      </w:pPr>
    </w:p>
    <w:p w:rsidR="005728DD" w:rsidRDefault="005728DD" w:rsidP="005728DD">
      <w:pPr>
        <w:pStyle w:val="TextoNormal"/>
      </w:pPr>
      <w:r>
        <w:t>Notificado el auto, se interpuso la presente demanda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la vulneración del derecho “a un procedimiento con las debidas garantías y sin indefensión”, reiterando los argumentos vertidos en el escrito de nulidad de actuaciones, reprochando al juzgado que no realizara ninguna gestión para averiguar su domicilio real de acuerdo con el art. 156 de la Ley de enjuiciamiento civil (LEC) antes de acudir a la notificación por edictos, tal como exige la doctrina constitucional “incluso en los procedimientos arrendaticios (SSTC 30/2014, de 24 de febrero; 181/2015, de 7 de septiembre, y 137/2017, de 27 de noviembre)”.</w:t>
      </w:r>
    </w:p>
    <w:p w:rsidR="005728DD" w:rsidRDefault="005728DD" w:rsidP="005728DD">
      <w:pPr>
        <w:pStyle w:val="TextoNormal"/>
      </w:pPr>
    </w:p>
    <w:p w:rsidR="005728DD" w:rsidRDefault="005728DD" w:rsidP="005728DD">
      <w:pPr>
        <w:pStyle w:val="TextoNormal"/>
      </w:pPr>
      <w:r>
        <w:t>Alega que el juzgado disponía del número de identificación fiscal de la recurrente, pero solo al llegar la “fase ejecutiva” fue cuando acudió al punto neutro judicial, obteniendo su domicilio en la ciudad de Tous (calle Padre Miguel Ángel, núm. 11 y/o Iglesia, 10), procediendo entonces “sin la menor dificultad a notificarle el proceso de ejecución de título judicial con fecha 19 de julio de 2019”; estando empadronada en Tous que es el lugar donde “vive toda su familia”, y que en la demanda del juicio verbal se aportaba el número de teléfono móvil de la recurrente. Respecto de la pretensión de fondo, destaca que la parte actora aportó un contrato de arrendamiento sin firmas, por lo que no existía ningún documento que le vinculara con dicho domicilio, e incluso aquella formuló pretensión subsidiaria de desahucio por precario por si no se daba por acreditada la existencia del contrato. Se cita en la demanda la doctrina constitucional ya alegada en el escrito de nulidad, y también la STC 39/2018, de 25 de abril, sobre emplazamiento por edictos en los procesos arrendaticios, que reproduce.</w:t>
      </w:r>
    </w:p>
    <w:p w:rsidR="005728DD" w:rsidRDefault="005728DD" w:rsidP="005728DD">
      <w:pPr>
        <w:pStyle w:val="TextoNormal"/>
      </w:pPr>
    </w:p>
    <w:p w:rsidR="005728DD" w:rsidRDefault="005728DD" w:rsidP="005728DD">
      <w:pPr>
        <w:pStyle w:val="TextoNormal"/>
      </w:pPr>
      <w:r>
        <w:t xml:space="preserve">El suplico de la demanda solicita la estimación del amparo y que este tribunal: </w:t>
      </w:r>
    </w:p>
    <w:p w:rsidR="005728DD" w:rsidRDefault="005728DD" w:rsidP="005728DD">
      <w:pPr>
        <w:pStyle w:val="TextoNormal"/>
      </w:pPr>
    </w:p>
    <w:p w:rsidR="005728DD" w:rsidRDefault="005728DD" w:rsidP="005728DD">
      <w:pPr>
        <w:pStyle w:val="TextoNormal"/>
      </w:pPr>
      <w:r>
        <w:t>“1º Declare que ha sido vulnerado el derecho fundamental de la recurrente a la tutela judicial efectiva sin indefensión ( artículo 24.1 CE ).- 2º Declare la nulidad del auto 612/2019, dictado con fecha 8 de octubre de 2019 del Juzgado de Primera Instancia núm. 2 de Albacete, dictado en el juicio de desahucio número 79-2019 así como de todo lo actuado a partir de la diligencia de ordenación de fecha 13 de febrero de 2019, inclusive, que procede al requerimiento mediante citación en el tablón de anuncio del juzgado.- 3º Retrotraer las actuaciones al momento inmediatamente anterior al de dictarse la diligencia de ordenación de fecha 13 de febrero de dos mil diecinueve, que acordó citar a las partes demandadas por edictos, para que se dicte nueva resolución respetuosa con el derecho fundamental reconocido, mediante emplazamiento personal.- 4º Por vía de consecuencia declare la nulidad de las actuaciones judiciales que obran en el procedimiento de ejecución de títulos judiciales número 1020-2019, como consecuencia de la nulidad absoluta del título que sustenta la ejecución.- 5º Por vía de consecuencia declare la nulidad de las actuaciones judiciales que obran en la pieza de tasación de costas 79-2019, como consecuencia de la nulidad del procedimiento y título judicial que lo sustenta”.</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xml:space="preserve">. La Secretaría de Justicia de la Sección Cuarta, Sala Segunda, de este Tribunal Constitucional, dictó diligencia de ordenación el 3 de diciembre de 2019 requiriendo a la representante procesal de la recurrente para que aportara el poder acreditativo de su representación o bien otorgara esta por comparecencia </w:t>
      </w:r>
      <w:r w:rsidRPr="005728DD">
        <w:rPr>
          <w:i/>
        </w:rPr>
        <w:t>apud acta</w:t>
      </w:r>
      <w:r>
        <w:t>, con advertencia de inadmitirse la demanda si no lo efectuaba en el plazo de diez días. Asimismo se dirigió atenta comunicación al Juzgado de Primera Instancia núm. 2 de Albacete, a fin de que remitiera certificación o fotocopia adverada de las actuaciones correspondientes “al juicio verbal de desahucio 79-2019”.</w:t>
      </w:r>
    </w:p>
    <w:p w:rsidR="005728DD" w:rsidRDefault="005728DD" w:rsidP="005728DD">
      <w:pPr>
        <w:pStyle w:val="TextoNormal"/>
      </w:pPr>
    </w:p>
    <w:p w:rsidR="005728DD" w:rsidRDefault="005728DD" w:rsidP="005728DD">
      <w:pPr>
        <w:pStyle w:val="TextoNormal"/>
      </w:pPr>
      <w:r>
        <w:t xml:space="preserve">Por escrito presentado en el registro de este tribunal el 15 de diciembre de 2019, la procuradora actuante adjuntó testimonio de otorgamiento de poder mediante comparecencia </w:t>
      </w:r>
      <w:r w:rsidRPr="005728DD">
        <w:rPr>
          <w:i/>
        </w:rPr>
        <w:t>apud acta</w:t>
      </w:r>
      <w:r>
        <w:t>.</w:t>
      </w:r>
    </w:p>
    <w:p w:rsidR="005728DD" w:rsidRDefault="005728DD" w:rsidP="005728DD">
      <w:pPr>
        <w:pStyle w:val="TextoNormal"/>
      </w:pPr>
    </w:p>
    <w:p w:rsidR="005728DD" w:rsidRDefault="005728DD" w:rsidP="005728DD">
      <w:pPr>
        <w:pStyle w:val="TextoNormal"/>
      </w:pPr>
      <w:r w:rsidRPr="005728DD">
        <w:rPr>
          <w:rStyle w:val="NumeroAFNegritaCaracter"/>
        </w:rPr>
        <w:t>5</w:t>
      </w:r>
      <w:r>
        <w:t>. La Sección Cuarta de este tribunal dictó providencia el 20 de julio de 2020 del siguiente tenor:</w:t>
      </w:r>
    </w:p>
    <w:p w:rsidR="005728DD" w:rsidRDefault="005728DD" w:rsidP="005728DD">
      <w:pPr>
        <w:pStyle w:val="TextoNormal"/>
      </w:pPr>
    </w:p>
    <w:p w:rsidR="005728DD" w:rsidRDefault="005728DD" w:rsidP="005728DD">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5728DD" w:rsidRDefault="005728DD" w:rsidP="005728DD">
      <w:pPr>
        <w:pStyle w:val="TextoNormal"/>
      </w:pPr>
    </w:p>
    <w:p w:rsidR="005728DD" w:rsidRDefault="005728DD" w:rsidP="005728DD">
      <w:pPr>
        <w:pStyle w:val="TextoNormal"/>
      </w:pPr>
      <w:r>
        <w:t>Por ello, habiéndose interesado ya la remisión de certificación de las actuaciones correspondientes al juicio de desahucio 79-2019, en aplicación de lo dispuesto en el artículo 51 de la Ley Orgánica de este tribunal, diríjase atenta comunicación al Juzgado de Primera Instancia núm. 2 de Albacete a fin de que, en plazo que no exceda de diez días, proceda a emplazar a quienes hubieran sido parte en el procedimiento, excepto la parte recurrente en amparo, para que, si lo desean, puedan comparecer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31 de julio de 2020, el procurador de los tribunales don Domingo Rodríguez-Romera Botija, expresando que actuaba en nombre y representación de don Arturo Díaz López, solicitó se le tuviera como parte “recurrida” y se entendieran con dicho profesional las sucesivas actuaciones.</w:t>
      </w:r>
    </w:p>
    <w:p w:rsidR="005728DD" w:rsidRDefault="005728DD" w:rsidP="005728DD">
      <w:pPr>
        <w:pStyle w:val="TextoNormal"/>
      </w:pPr>
    </w:p>
    <w:p w:rsidR="005728DD" w:rsidRDefault="005728DD" w:rsidP="005728DD">
      <w:pPr>
        <w:pStyle w:val="TextoNormal"/>
      </w:pPr>
      <w:r>
        <w:t>La Secretaría de Justicia de la Sección Cuarta de este tribunal dictó diligencia de ordenación el 18 de septiembre de 2020 del siguiente tenor:</w:t>
      </w:r>
    </w:p>
    <w:p w:rsidR="005728DD" w:rsidRDefault="005728DD" w:rsidP="005728DD">
      <w:pPr>
        <w:pStyle w:val="TextoNormal"/>
      </w:pPr>
    </w:p>
    <w:p w:rsidR="005728DD" w:rsidRDefault="005728DD" w:rsidP="005728DD">
      <w:pPr>
        <w:pStyle w:val="TextoNormal"/>
      </w:pPr>
      <w:r>
        <w:t>“En el asunto reseñado se tiene por recibido el precedente escrito del procurador don Domingo Rodríguez-Romera Botija y, con carácter previo a acordar lo procedente sobre la personación interesada y el correspondiente traslado para las alegaciones previstas en el art. 52 LOTC, se concede al mencionado procurador un plazo de diez días para que aclare por quién se persona, toda vez que, en el escrito lo hace en nombre de don Arturo Díaz López y, en el formulario de registro por doña Esperanza Gómez Peña, debiendo acreditar en dicho plazo la representación que dice ostentar”.</w:t>
      </w:r>
    </w:p>
    <w:p w:rsidR="005728DD" w:rsidRDefault="005728DD" w:rsidP="005728DD">
      <w:pPr>
        <w:pStyle w:val="TextoNormal"/>
      </w:pPr>
    </w:p>
    <w:p w:rsidR="005728DD" w:rsidRDefault="005728DD" w:rsidP="005728DD">
      <w:pPr>
        <w:pStyle w:val="TextoNormal"/>
      </w:pPr>
      <w:r>
        <w:t xml:space="preserve">Mediante escrito presentado el 2 de noviembre de 2020, el procurador indicado señaló: “Que nos ha sido notificada diligencia de ordenación en fecha 28/10/2020, dentro de tiempo </w:t>
      </w:r>
      <w:r>
        <w:lastRenderedPageBreak/>
        <w:t>y forma tal y como se nos requiere en la misma, aclarar en tal sentido que efectivamente nos personamos en nombre de doña Esperanza Gómez Peña”, solicitando se tuvieran por hechas dichas manifestaciones, accediendo a lo interesado.</w:t>
      </w:r>
    </w:p>
    <w:p w:rsidR="005728DD" w:rsidRDefault="005728DD" w:rsidP="005728DD">
      <w:pPr>
        <w:pStyle w:val="TextoNormal"/>
      </w:pPr>
    </w:p>
    <w:p w:rsidR="005728DD" w:rsidRDefault="005728DD" w:rsidP="005728DD">
      <w:pPr>
        <w:pStyle w:val="TextoNormal"/>
      </w:pPr>
      <w:r>
        <w:t>Por diligencia de ordenación de 4 de noviembre de 2020 se unió este último escrito a las actuaciones, acordándose que “no habiendo acreditado la representación que dice ostentar de doña Esperanza Gómez Peña, conforme ya se le requería en la diligencia de fecha 18 de septiembre de 2020, se le concede un nuevo plazo de diez días, para que acredite la misma. Con apercibimiento que de no verificarlo se le tendrá por decaído en su derecho”.</w:t>
      </w:r>
    </w:p>
    <w:p w:rsidR="005728DD" w:rsidRDefault="005728DD" w:rsidP="005728DD">
      <w:pPr>
        <w:pStyle w:val="TextoNormal"/>
      </w:pPr>
    </w:p>
    <w:p w:rsidR="005728DD" w:rsidRDefault="005728DD" w:rsidP="005728DD">
      <w:pPr>
        <w:pStyle w:val="TextoNormal"/>
      </w:pPr>
      <w:r>
        <w:t>Finalmente, con fecha 18 de enero de 2021 el procurador aportó escritura notarial de 15 de enero de 2021, acreditativa de su representación.</w:t>
      </w:r>
    </w:p>
    <w:p w:rsidR="005728DD" w:rsidRDefault="005728DD" w:rsidP="005728DD">
      <w:pPr>
        <w:pStyle w:val="TextoNormal"/>
      </w:pPr>
    </w:p>
    <w:p w:rsidR="005728DD" w:rsidRDefault="005728DD" w:rsidP="005728DD">
      <w:pPr>
        <w:pStyle w:val="TextoNormal"/>
      </w:pPr>
      <w:r w:rsidRPr="005728DD">
        <w:rPr>
          <w:rStyle w:val="NumeroAFNegritaCaracter"/>
        </w:rPr>
        <w:t>7</w:t>
      </w:r>
      <w:r>
        <w:t>. La secretaría de justicia de la Sección Cuarta de este tribunal dictó diligencia de ordenación el 20 de enero de 2021, teniendo por personado y parte en el procedimiento al procurador don Domingo Rodríguez-Romera Botija en nombre y representación de doña Esperanza Gómez Peña, y concedió a las partes personadas y al Ministerio Fiscal un plazo común de veinte días, a fin de que pudieran formular alegaciones conforme determina el art. 52.1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8</w:t>
      </w:r>
      <w:r>
        <w:t>. La fiscal ante este Tribunal Constitucional presentó su escrito de alegaciones el 5 de febrero de 2021, por el que interesó de este tribunal que dictase sentencia “con los siguientes pronunciamientos: 1º Otorgar el amparo solicitado y, en consecuencia. 2º Reconocer que se ha vulnerado el derecho a la tutela judicial efectiva sin indefensión (art. 24.1 CE), del recurrente en amparo. 3º Restablecer en su derecho al recurrente, acordándose la nulidad de todo lo actuado desde la notificación edictal por la cual se emplazó a la demandada en el procedimiento de juicio verbal de desahucio 79/2019 del Juzgado de Primera Instancia núm. 2 de Albacete. 4º Retrotraer las actuaciones al momento inmediatamente anterior a dicha notificación para que se le dé al recurrente posibilidad de comparecer en el proceso y actuar en defensa de sus intereses”.</w:t>
      </w:r>
    </w:p>
    <w:p w:rsidR="005728DD" w:rsidRDefault="005728DD" w:rsidP="005728DD">
      <w:pPr>
        <w:pStyle w:val="TextoNormal"/>
      </w:pPr>
    </w:p>
    <w:p w:rsidR="005728DD" w:rsidRDefault="005728DD" w:rsidP="005728DD">
      <w:pPr>
        <w:pStyle w:val="TextoNormal"/>
      </w:pPr>
      <w:r>
        <w:t>Luego de resumir los hechos relevantes del caso y precisar cuál es la resolución judicial impugnada por la demanda y el derecho fundamental que se alega como lesionado, el escrito de alegaciones de la fiscal afirma que este Tribunal Constitucional “ha tenido ocasión de pronunciarse en diversas ocasiones sobre recursos de contenido similar, en la STC 30/2014”, de la que reproduce parte de su FJ 3, y también en la STC 181/2015, de 7 de septiembre, FJ 3, que reproduce en parte.</w:t>
      </w:r>
    </w:p>
    <w:p w:rsidR="005728DD" w:rsidRDefault="005728DD" w:rsidP="005728DD">
      <w:pPr>
        <w:pStyle w:val="TextoNormal"/>
      </w:pPr>
    </w:p>
    <w:p w:rsidR="005728DD" w:rsidRDefault="005728DD" w:rsidP="005728DD">
      <w:pPr>
        <w:pStyle w:val="TextoNormal"/>
      </w:pPr>
      <w:r>
        <w:t xml:space="preserve">La aplicación de esta doctrina al presente caso comporta, según la fiscal, de acuerdo con lo sucedido, que el órgano judicial tras los dos intentos fallidos de notificación a la demandada en la vivienda objeto del contrato no llevó a cabo ninguna comprobación encaminada a conocer su verdadero domicilio, pese a constar su número de teléfono además de las posibilidades de acudir a los organismos públicos a los que se remite el art. 155.3 LEC, o a través de los medios del art. 156 LEC, acudiendo en cambio directamente a la vía de los edictos en la diligencia de ordenación del 13 de febrero de 2019. Pese a que la parte puso de relieve estos datos al juzgado en el escrito de nulidad, continúa explicando la fiscal, aquel se limitó a hacer una interpretación y aplicación literal del art. 164 LEC, la cual, añade, “es absolutamente contraria a la doctrina del Tribunal Constitucional […] lo que comporta la </w:t>
      </w:r>
      <w:r>
        <w:lastRenderedPageBreak/>
        <w:t>exigencia del emplazamiento personal de los afectados y que, la comunicación edictal en todo procedimiento de desahucio solo se utilice una vez agotados los medios de averiguación del domicilio del demandado”. Por tanto, concluye, “se ha producido la vulneración del derecho a la tutela judicial efectiva sin indefensión (art. 24.1 CE) que se denuncia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Con fecha 22 de febrero de 2021 la representación procesal de la recurrente en amparo presentó su escrito de alegaciones, por el que se ratificó en lo expuesto en el escrito de demanda, añadiendo que en su condición de empleada pública de la Generalitat Valenciana y maestra en la localidad de Tous, “tras los embargos realizados en el procedimiento de ejecución de títulos judiciales dimanante del proceso de desahucio, ha tenido desde entonces embargada su nómina”. Se refiere además a la providencia de admisión a trámite del recurso, que fija la especial trascendencia constitucional de este en la negativa manifiesta del órgano judicial al acatamiento de doctrina constitucional, diciendo el escrito que es “patente, que el órgano judicial, se aparta de la doctrina del Tribunal Constitucional que se ha trasladado en el ámbito del proceso de desahucio respecto del artículo 164 LEC (STC 30/2014, de 24 de febrero)”. Reitera luego los argumentos de la demanda para fundamentar la obligación del órgano judicial de haber intentado localizarla en un domicilio alternativo, y finaliza solicitando que “al igual que en supuestos similares (STC 62/2020, de 15 de junio)” el Tribunal Constitucional declare que se ha vulnerado el derecho de la recurrente a una tutela judicial efectiva sin indefensión, por la falta de diligencia del órgano judicial al no agotar los medios de averiguación de su domicilio real.</w:t>
      </w:r>
    </w:p>
    <w:p w:rsidR="005728DD" w:rsidRDefault="005728DD" w:rsidP="005728DD">
      <w:pPr>
        <w:pStyle w:val="TextoNormal"/>
      </w:pPr>
    </w:p>
    <w:p w:rsidR="005728DD" w:rsidRDefault="005728DD" w:rsidP="005728DD">
      <w:pPr>
        <w:pStyle w:val="TextoNormal"/>
      </w:pPr>
      <w:r w:rsidRPr="005728DD">
        <w:rPr>
          <w:rStyle w:val="NumeroAFNegritaCaracter"/>
        </w:rPr>
        <w:t>10</w:t>
      </w:r>
      <w:r>
        <w:t>. La Secretaría de Justicia de la Sección Cuarta de este tribunal dictó diligencia el 26 de marzo de 2021, haciendo constar la presentación en plazo de escritos de alegaciones por la representación de la recurrente y por el Ministerio Fiscal, “habiendo precluido el plazo sin que conste presentado escrito” por la representación de la parte comparecida; quedando concluso el trámite.</w:t>
      </w:r>
    </w:p>
    <w:p w:rsidR="005728DD" w:rsidRDefault="005728DD" w:rsidP="005728DD">
      <w:pPr>
        <w:pStyle w:val="TextoNormal"/>
      </w:pPr>
    </w:p>
    <w:p w:rsidR="005728DD" w:rsidRDefault="005728DD" w:rsidP="005728DD">
      <w:pPr>
        <w:pStyle w:val="TextoNormal"/>
      </w:pPr>
      <w:r w:rsidRPr="005728DD">
        <w:rPr>
          <w:rStyle w:val="NumeroAFNegritaCaracter"/>
        </w:rPr>
        <w:t>11</w:t>
      </w:r>
      <w:r>
        <w:t>. Mediante providencia de fecha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w:t>
      </w:r>
      <w:r>
        <w:t>.</w:t>
      </w:r>
    </w:p>
    <w:p w:rsidR="005728DD" w:rsidRDefault="005728DD" w:rsidP="005728DD">
      <w:pPr>
        <w:pStyle w:val="TextoNormal"/>
      </w:pPr>
    </w:p>
    <w:p w:rsidR="005728DD" w:rsidRDefault="005728DD" w:rsidP="005728DD">
      <w:pPr>
        <w:pStyle w:val="TextoNormal"/>
      </w:pPr>
      <w:r>
        <w:t xml:space="preserve">Se interpone demanda de amparo contra el auto del Juzgado de Primera Instancia núm. 2 de Albacete que desestimó el incidente de nulidad de actuaciones promovido por la aquí recurrente, al haber sido emplazada por edictos en juicio verbal de desahucio arrendaticio seguido contra ella y contra otro codemandado que no ha formalizado amparo. Alega, así, que la notificación por edictos impidió su defensa dentro de ese proceso declarativo, del cual tuvo conocimiento al habérsele notificado una posterior demanda ejecutiva dimanante de aquel, vulnerándose con ello su derecho a la tutela judicial efectiva sin padecer indefensión (art. 24.1 CE), pues el órgano judicial no agotó las posibilidades de emplazamiento </w:t>
      </w:r>
      <w:r>
        <w:lastRenderedPageBreak/>
        <w:t>personal en el juicio verbal referido, contrariando así la doctrina constitucional en la materia, siendo que su localización en su domicilio real en la localidad de Tous desde luego era posible. El fiscal ante este Tribunal Constitucional apoya la estimación del amparo.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Aplicación de la doctrina de la STC 30/2014, de 24 de febrero</w:t>
      </w:r>
      <w:r>
        <w:t>.</w:t>
      </w:r>
    </w:p>
    <w:p w:rsidR="005728DD" w:rsidRDefault="005728DD" w:rsidP="005728DD">
      <w:pPr>
        <w:pStyle w:val="TextoNormal"/>
      </w:pPr>
    </w:p>
    <w:p w:rsidR="005728DD" w:rsidRDefault="005728DD" w:rsidP="005728DD">
      <w:pPr>
        <w:pStyle w:val="TextoNormal"/>
      </w:pPr>
      <w:r>
        <w:t>Recientemente, a propósito del mismo problema jurídico constitucional que aquí se suscita, este tribunal ha recordado en la STC 82/2021, de 19 de abril, FJ 2, cuál es la doctrina dictada en relación con el deber de los órganos judiciales en cuanto a agotar las gestiones para procurar el emplazamiento personal de la parte demandada en los procesos de desahucio arrendaticio:</w:t>
      </w:r>
    </w:p>
    <w:p w:rsidR="005728DD" w:rsidRDefault="005728DD" w:rsidP="005728DD">
      <w:pPr>
        <w:pStyle w:val="TextoNormal"/>
      </w:pPr>
    </w:p>
    <w:p w:rsidR="005728DD" w:rsidRDefault="005728DD" w:rsidP="005728DD">
      <w:pPr>
        <w:pStyle w:val="TextoNormal"/>
      </w:pPr>
      <w:r>
        <w:t>«a) Tanto la Ley 13/2009, de 3 de noviembre, de reforma de la legislación procesal para la implantación de la nueva oficina judicial, que modificó el art. 686 LEC introduciendo un párrafo tercero, como la Ley 19/2009, de 23 de noviembre, de medidas de fomento y agilización procesal del alquiler y de la eficiencia energética de los edificios, que modificó el art. 164 LEC introduciendo un párrafo cuarto, previeron como medidas para la agilización de los procesos ejecutivos hipotecarios y declarativos de desahucio de arrendamiento, respectivamente, que bastaría el intento fallido de emplazamiento del ejecutado o demandado en el domicilio fijado a tales efectos en el contrato correspondiente o en su caso el informado de manera fehaciente con posterioridad por aquel, para dar por agotado este trámite y pasar a la vía de los edictos, sin tener que realizar las gestiones que para su efectiva localización ordena el art. 155.3 LEC en diversos registros públicos.</w:t>
      </w:r>
    </w:p>
    <w:p w:rsidR="005728DD" w:rsidRDefault="005728DD" w:rsidP="005728DD">
      <w:pPr>
        <w:pStyle w:val="TextoNormal"/>
      </w:pPr>
    </w:p>
    <w:p w:rsidR="005728DD" w:rsidRDefault="005728DD" w:rsidP="005728DD">
      <w:pPr>
        <w:pStyle w:val="TextoNormal"/>
      </w:pPr>
      <w:r>
        <w:t xml:space="preserve">Contra la aplicación literal de estos preceptos y sus consecuencias en orden a causar indefensión, sin embargo, se pronunció este Tribunal Constitucional tanto en la STC 122/2013, de 20 de mayo, respecto del art. 686.3 LEC, como poco tiempo después en la STC 30/2014, de 24 de febrero, respecto del art. 164 LEC; proclamando en ambos casos el deber judicial de realizar una interpretación </w:t>
      </w:r>
      <w:r w:rsidRPr="005728DD">
        <w:rPr>
          <w:i/>
        </w:rPr>
        <w:t>secundum constitutionem</w:t>
      </w:r>
      <w:r>
        <w:t xml:space="preserve"> de tales normas, lo que comporta que ante el resultado infructuoso del intento de emplazamiento en el domicilio señalado en el contrato, el órgano judicial ha de agotar las gestiones previstas en el art. 155.3 LEC para localizar al ejecutado o demandado, antes de acudir a los edictos, instrumento este que tiene siempre un carácter subsidiario. Cabe añadir que el art. 686.3 LEC fue modificado por la Ley 19/2015, de 13 de julio, de medidas de reforma administrativa en el ámbito de la administración de justicia y del registro civil, disponiendo expresamente desde entonces que ante el intento fallido de emplazamiento personal, la oficina judicial ha de realizar “las averiguaciones pertinentes para determinar el domicilio del deudor” antes de ordenar la publicación de edictos. Por el contrario, y sin que se alcancen a entender las razones de ello, el legislador ha mantenido la misma dicción del art. 164 párrafo cuarto LEC hasta hoy, […].</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b) En lo que aquí importa destacar, y tal como acaba de decirse, la STC 30/2014 explica en su fundamento jurídico 3 lo siguiente:</w:t>
      </w:r>
    </w:p>
    <w:p w:rsidR="005728DD" w:rsidRDefault="005728DD" w:rsidP="005728DD">
      <w:pPr>
        <w:pStyle w:val="TextoNormal"/>
      </w:pPr>
    </w:p>
    <w:p w:rsidR="005728DD" w:rsidRDefault="005728DD" w:rsidP="005728DD">
      <w:pPr>
        <w:pStyle w:val="TextoNormal"/>
      </w:pPr>
      <w:r>
        <w:t xml:space="preserve">“[E]ste tribunal se ha pronunciado en reiteradas ocasiones, señalando la gran relevancia que posee la correcta constitución de la relación jurídica procesal para garantizar el derecho de defensa reconocido en el art. 24 CE, que implica la posibilidad de un juicio contradictorio </w:t>
      </w:r>
      <w:r>
        <w:lastRenderedPageBreak/>
        <w:t xml:space="preserve">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w:t>
      </w:r>
      <w:r w:rsidRPr="005728DD">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5728DD" w:rsidRDefault="005728DD" w:rsidP="005728DD">
      <w:pPr>
        <w:pStyle w:val="TextoNormal"/>
      </w:pPr>
    </w:p>
    <w:p w:rsidR="005728DD" w:rsidRDefault="005728DD" w:rsidP="005728DD">
      <w:pPr>
        <w:pStyle w:val="TextoNormal"/>
      </w:pPr>
      <w:r>
        <w:t>Por las razones expuestas, y como también hemos razonado,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5728DD" w:rsidRDefault="005728DD" w:rsidP="005728DD">
      <w:pPr>
        <w:pStyle w:val="TextoNormal"/>
      </w:pPr>
    </w:p>
    <w:p w:rsidR="005728DD" w:rsidRDefault="005728DD" w:rsidP="005728DD">
      <w:pPr>
        <w:pStyle w:val="TextoNormal"/>
      </w:pPr>
      <w:r>
        <w:t>Y más adelante en el fundamento jurídico 5:</w:t>
      </w:r>
    </w:p>
    <w:p w:rsidR="005728DD" w:rsidRDefault="005728DD" w:rsidP="005728DD">
      <w:pPr>
        <w:pStyle w:val="TextoNormal"/>
      </w:pPr>
    </w:p>
    <w:p w:rsidR="005728DD" w:rsidRDefault="005728DD" w:rsidP="005728DD">
      <w:pPr>
        <w:pStyle w:val="TextoNormal"/>
      </w:pPr>
      <w:r>
        <w:t xml:space="preserve">“A la conclusión alcanzada no cabe oponer, como sostiene el órgano judicial en el auto de 18 de octubre de 2011, que desestima la solicitud de nulidad interpuesto por el recurrente, que la Ley de enjuiciamiento civil no exige realizar mayores averiguaciones tras la reforma llevada a cabo mediante por la Ley 19/2009, de 23 de noviembre. Como ya advertimos en la STC 122/2013, de 20 de mayo, en relación con los juicios hipotecarios y la reforma llevada a cabo por la Ley 13/2009, de 3 de noviembre —reforma muy semejante en sus términos a la que ahora analizamos—, la doctrina constitucional en materia de emplazamientos es una doctrina muy consolidada que no puede verse interferida por la reforma operada por la Ley 19/2009, de 23 de noviembre, de medidas de fomento y agilización procesal del alquiler y de la eficiencia energética de los edificios. Cierto es que la Ley 19/2009 reforma el art. 164 LEC relativo a la comunicación edictal como forma de comunicación procesal y añade a dicho precepto un segundo párrafo relativo a los desahucios en un arrendamiento por falta de pago de las rentas, que dispone: ‘En los procesos de desahucio de finca urbana o rústica por falta de pago de rentas o cantidades debidas o por expiración legal o contractual del plazo y en los procesos de reclamación de estas rentas o cantidades debidas, cuando no </w:t>
      </w:r>
      <w:r>
        <w:lastRenderedPageBreak/>
        <w:t xml:space="preserve">pudiere hallársele ni efectuarle la comunicación al arrendatario en los domicilios designados en el segundo párrafo del número 3 del artículo 155, ni hubiese comunicado de forma fehaciente con posterioridad al contrato un nuevo domicilio al arrendador al que este no se hubiese opuesto, se procederá, sin más trámites, a fijar la cédula de citación en el tablón de anuncios de la oficina judicial.’ Pero, como pusimos de manifiesto en la STC 122/2013, de dicho precepto ha de realizarse una interpretación </w:t>
      </w:r>
      <w:r w:rsidRPr="005728DD">
        <w:rPr>
          <w:i/>
        </w:rPr>
        <w:t>secundum constitutionem</w:t>
      </w:r>
      <w:r>
        <w:t xml:space="preserve">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solo puede utilizarse cuando se hayan agotado los medios de averiguación del domicilio del deudor o ejecutado.</w:t>
      </w:r>
    </w:p>
    <w:p w:rsidR="005728DD" w:rsidRDefault="005728DD" w:rsidP="005728DD">
      <w:pPr>
        <w:pStyle w:val="TextoNormal"/>
      </w:pPr>
    </w:p>
    <w:p w:rsidR="005728DD" w:rsidRDefault="005728DD" w:rsidP="005728DD">
      <w:pPr>
        <w:pStyle w:val="TextoNormal"/>
      </w:pPr>
      <w:r>
        <w:t>Por lo demás, se trata, en todo caso, de una operación sencilla que no requiere mayor esfuerzo intelectual, pues el nuevo párrafo del art. 164 LEC tiene una remisión legislativa al art. 155.3 LEC y este precepto no limita el domicilio a uno, sino a varios. Así se deduce de la lectura de su contenido, a tenor del cual: ‘A efectos de actos de comunicación, podrá designarse como domicilio el que aparezca en el padrón municipal o el que conste oficialmente a otros efectos, así como el que aparezca en registro oficial o en publicaciones de colegios profesionales, cuando se tratare, respectivamente, de empresas y otras entidades o de personas que ejerzan profesión para la que deban colegiarse obligatoriamente. También podrá designarse como domicilio, a los referidos efectos, el lugar en que se desarrolle actividad profesional o laboral no ocasional […]’.</w:t>
      </w:r>
    </w:p>
    <w:p w:rsidR="005728DD" w:rsidRDefault="005728DD" w:rsidP="005728DD">
      <w:pPr>
        <w:pStyle w:val="TextoNormal"/>
      </w:pPr>
    </w:p>
    <w:p w:rsidR="005728DD" w:rsidRDefault="005728DD" w:rsidP="005728DD">
      <w:pPr>
        <w:pStyle w:val="TextoNormal"/>
      </w:pPr>
      <w:r>
        <w:t>En consecuencia, ha de concluirse que en el presente caso se ha vulnerado el derecho a la tutela judicial efectiva sin indefensión del demandante, por la falta de diligencia del órgano judicial en su obligación de agotar los medios de averiguación del domicilio real para obtener una notificación personal y efectiva, cuando además constaba identificado otro domicilio del recurrente a los efectos de notificaciones en los documentos aportados con la demanda”.</w:t>
      </w:r>
    </w:p>
    <w:p w:rsidR="005728DD" w:rsidRDefault="005728DD" w:rsidP="005728DD">
      <w:pPr>
        <w:pStyle w:val="TextoNormal"/>
      </w:pPr>
    </w:p>
    <w:p w:rsidR="005728DD" w:rsidRDefault="005728DD" w:rsidP="005728DD">
      <w:pPr>
        <w:pStyle w:val="TextoNormal"/>
      </w:pPr>
      <w:r>
        <w:t>Esta doctrina sobre el art. 164 LEC y el correcto modo de efectuar el emplazamiento en los procesos de desahucio arrendaticio, se ha reiterado en las posteriores SSTC 181/2015, cit., FJ 4; 137/2017, cit., FJ 4; 39/2018, de 25 de abril, FJ 3; 123/2019, de 28 de octubre, FJ 3; 62/2020, de 15 de junio, FJ 2; y 20/2021, de 15 de febrero, FJ 2».</w:t>
      </w:r>
    </w:p>
    <w:p w:rsidR="005728DD" w:rsidRDefault="005728DD" w:rsidP="005728DD">
      <w:pPr>
        <w:pStyle w:val="TextoNormal"/>
      </w:pPr>
    </w:p>
    <w:p w:rsidR="005728DD" w:rsidRDefault="005728DD" w:rsidP="005728DD">
      <w:pPr>
        <w:pStyle w:val="TextoNormal"/>
      </w:pPr>
      <w:r>
        <w:t>A ellas debe agregarse, precisamente, la STC 82/2021, de 19 de abril, que acaba de reproducirse en parte.</w:t>
      </w:r>
    </w:p>
    <w:p w:rsidR="005728DD" w:rsidRDefault="005728DD" w:rsidP="005728DD">
      <w:pPr>
        <w:pStyle w:val="TextoNormal"/>
      </w:pPr>
    </w:p>
    <w:p w:rsidR="005728DD" w:rsidRDefault="005728DD" w:rsidP="005728DD">
      <w:pPr>
        <w:pStyle w:val="TextoNormal"/>
      </w:pPr>
      <w:r>
        <w:t xml:space="preserve">Pues bien, la aplicación de la doctrina de referencia conduce a la estimación de la presente demanda de amparo. De un lado, se constata que el juzgado </w:t>
      </w:r>
      <w:r w:rsidRPr="005728DD">
        <w:rPr>
          <w:i/>
        </w:rPr>
        <w:t>a quo</w:t>
      </w:r>
      <w:r>
        <w:t xml:space="preserve"> se limitó a intentar el emplazamiento de los demandados —entre ellos la aquí recurrente— en el domicilio de la finca objeto de la acción de desahucio, que corresponde también con el designado a efecto de notificaciones en la copia del contrato aportado por la parte actora en la instancia. En el auto que aquí se impugna, el juzgado sostiene que actuó conforme a las exigencias legales —art. 164 LEC—, pese a que la recurrente, en su escrito de nulidad, hizo cumplida cita de la reiterada doctrina constitucional que, como se ha expuesto, no releva en estos procesos verbales del intento de averiguación del domicilio real del demandado por alguno de los </w:t>
      </w:r>
      <w:r>
        <w:lastRenderedPageBreak/>
        <w:t>medios que brindan los arts. 155.3 y 156 LEC. Doctrina que, al margen de tal invocación, obviamente el juez tenía el deber de conocer.</w:t>
      </w:r>
    </w:p>
    <w:p w:rsidR="005728DD" w:rsidRDefault="005728DD" w:rsidP="005728DD">
      <w:pPr>
        <w:pStyle w:val="TextoNormal"/>
      </w:pPr>
    </w:p>
    <w:p w:rsidR="005728DD" w:rsidRDefault="005728DD" w:rsidP="005728DD">
      <w:pPr>
        <w:pStyle w:val="TextoNormal"/>
      </w:pPr>
      <w:r>
        <w:t>De otro lado, resulta que la localización de la recurrente resultaba sin duda factible, tanto porque en la demanda de instancia se facilitaba su número de teléfono móvil, sin que conste sin embargo intento alguno de contactarla, como porque una consulta al punto neutro judicial habría deparado un resultado positivo, como efectivamente sucedió cuando el juzgado utilizó esta vía para notificarle personalmente en su domicilio de Tous, y lo logró, la demanda ejecutiva despachada a trámite tras el decreto del letrado de la administración de justicia que puso fin al proceso declarativo de desahucio seguido a sus espaldas.</w:t>
      </w:r>
    </w:p>
    <w:p w:rsidR="005728DD" w:rsidRDefault="005728DD" w:rsidP="005728DD">
      <w:pPr>
        <w:pStyle w:val="TextoNormal"/>
      </w:pPr>
    </w:p>
    <w:p w:rsidR="005728DD" w:rsidRDefault="005728DD" w:rsidP="005728DD">
      <w:pPr>
        <w:pStyle w:val="TextoNormal"/>
      </w:pPr>
      <w:r>
        <w:t>Procede por tanto que se acuerde el amparo que se solicita, con nulidad tanto del auto de 8 de octubre de 2019 como de la diligencia de ordenación de 13 de febrero de 2019, así como la nulidad de todo lo actuado con posterioridad a recaer esa misma diligencia en el juicio verbal de desahucio 79-2019, incluyendo la pieza de tasación de costas y el proceso de ejecución judicial 1020-2019, con retroacción del procedimiento al momento inmediatamente anterior a su dictado, a fin de que en su lugar se pronuncie otra resolución que resulte respetuosa del derecho fundamental vulnerado.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doña Esther Rodríguez Manzanares, por vulneración de su derecho fundamental a la tutela judicial efectiva sin padecer indefensión; con reconocimiento de tal derecho.</w:t>
      </w:r>
    </w:p>
    <w:p w:rsidR="005728DD" w:rsidRDefault="005728DD" w:rsidP="005728DD">
      <w:pPr>
        <w:pStyle w:val="TextoNormal"/>
      </w:pPr>
    </w:p>
    <w:p w:rsidR="005728DD" w:rsidRDefault="005728DD" w:rsidP="005728DD">
      <w:pPr>
        <w:pStyle w:val="TextoNormal"/>
      </w:pPr>
      <w:r>
        <w:t>2º Declarar la nulidad: (i) del auto del Juzgado de Primera Instancia núm. 2 de Albacete, de 8 de octubre de 2019, dictado en el juicio verbal de desahucio y reclamación de rentas núm. 79-2019, (ii) de la diligencia de ordenación de 13 de febrero de 2019 dictada en el mismo procedimiento, y (iii) de todas las actuaciones realizadas desde el dictado de dicha diligencia de ordenación, incluyendo la pieza de tasación de costas y el proceso de ejecución judicial 1020-2019.</w:t>
      </w:r>
    </w:p>
    <w:p w:rsidR="005728DD" w:rsidRDefault="005728DD" w:rsidP="005728DD">
      <w:pPr>
        <w:pStyle w:val="TextoNormal"/>
      </w:pPr>
    </w:p>
    <w:p w:rsidR="005728DD" w:rsidRDefault="005728DD" w:rsidP="005728DD">
      <w:pPr>
        <w:pStyle w:val="TextoNormal"/>
      </w:pPr>
      <w:r>
        <w:t>3º Retrotraer el procedimiento a la fecha inmediatamente anterior a la de dictarse la diligencia de ordenación de 13 de febrero de 2019 que acordó la notificación por edictos, a fin de que en su lugar se dicte otra resolución que resulte respetuosa del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1" w:name="SENTENCIA_2021_98"/>
      <w:r>
        <w:lastRenderedPageBreak/>
        <w:t>SENTENCIA 98/2021, de 10 de mayo de 2021</w:t>
      </w:r>
    </w:p>
    <w:bookmarkEnd w:id="101"/>
    <w:p w:rsidR="005728DD" w:rsidRDefault="005728DD" w:rsidP="005728DD">
      <w:pPr>
        <w:pStyle w:val="TtuloResolucin"/>
      </w:pPr>
      <w:r>
        <w:t>Sala Segunda</w:t>
      </w:r>
    </w:p>
    <w:p w:rsidR="005728DD" w:rsidRDefault="005728DD" w:rsidP="005728DD">
      <w:pPr>
        <w:pStyle w:val="TtuloBOE"/>
      </w:pPr>
      <w:r>
        <w:t>(BOE núm. 142, de 15 de junio de 2021)</w:t>
      </w:r>
    </w:p>
    <w:p w:rsidR="005728DD" w:rsidRDefault="005728DD" w:rsidP="005728DD">
      <w:pPr>
        <w:pStyle w:val="TextoNormalCentrado"/>
      </w:pPr>
      <w:r>
        <w:t>ECLI:ES:TC:2021:98</w:t>
      </w:r>
    </w:p>
    <w:p w:rsidR="005728DD" w:rsidRDefault="005728DD" w:rsidP="005728DD">
      <w:pPr>
        <w:pStyle w:val="TextoNormalCentrado"/>
      </w:pPr>
    </w:p>
    <w:p w:rsidR="005728DD" w:rsidRDefault="005728DD" w:rsidP="005728DD">
      <w:pPr>
        <w:pStyle w:val="SntesisDescriptiva"/>
      </w:pPr>
      <w:r>
        <w:t>Recurso de amparo 7028-2019. Promovido por don Gabriel Gavriluta en relación con las resoluciones dictadas por las salas de lo contencioso-administrativo del Tribunal Supremo y de la Audiencia Nacional en procedimiento por responsabilidad patrimonial de la administración de Justicia.</w:t>
      </w:r>
    </w:p>
    <w:p w:rsidR="005728DD" w:rsidRDefault="005728DD" w:rsidP="005728DD">
      <w:pPr>
        <w:pStyle w:val="SntesisDescriptiva"/>
      </w:pPr>
    </w:p>
    <w:p w:rsidR="005728DD" w:rsidRDefault="005728DD" w:rsidP="005728DD">
      <w:pPr>
        <w:pStyle w:val="SntesisAnaltica"/>
      </w:pPr>
      <w:r>
        <w:t>Vulneración de los derechos a la igualdad y a la presunción de inocencia: STC 125/2019 (denegación de indemnización resultante de la aplicación del precepto legal anulado por la STC 85/2019, de junio).</w:t>
      </w:r>
    </w:p>
    <w:p w:rsidR="005728DD" w:rsidRDefault="005728DD" w:rsidP="005728DD">
      <w:pPr>
        <w:pStyle w:val="SntesisAnaltica"/>
      </w:pPr>
    </w:p>
    <w:p w:rsidR="005728DD" w:rsidRDefault="005728DD" w:rsidP="005728DD">
      <w:pPr>
        <w:pStyle w:val="Extracto"/>
      </w:pPr>
      <w:r>
        <w:t>1.</w:t>
      </w:r>
      <w:r>
        <w:tab/>
        <w:t>Aplicación de doctrina sobre indemnización por responsabilidad patrimonial de la Administración de Justicia en casos de prisión provisional seguida de absolución (SSTC 85/2019 y 125/2019)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7028-2019, promovido por don Gabriel Gavriluta, representado por el procurador de los tribunales don Francisco Codosero Rodríguez y asistido por la letrada doña Liliana Cureraru Dobrescu, frente las siguientes resoluciones: la resolución del secretario de Estado de Justicia, de fecha 2 de junio de 2017 (expediente 373-2016), que denegó la reclamación de responsabilidad patrimonial del Estado formulada por el recurrente, por el tiempo que estuvo en prisión provisional; la sentencia de 5 de marzo de 2019, de la Sección Tercera de Sala de lo Contencioso-Administrativo de la Audiencia Nacional, que desestimó el recurso contencioso-administrativo núm. 568-2017, que fue interpuesto frente a la resolución de la secretaría administrativa antes indicada; y la providencia de 17 de octubre de 2019, dictada por la Sección Primera de la Sala de lo Contencioso-Administrativo del Tribunal Supremo, que inadmitió a trámite el recurso de casación núm. 3028-2019, interpuesto contra la sentencia identificada en primer lugar. Han intervenido la abogacía del Estado y el Ministerio Fiscal.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3 de diciembre de 2019, el procurador de tribunales don Ángel Francisco Codosero Rodríguez, en nombre y representación de don Gabriel Gavriluta, interpuso recurso de amparo contra las resoluciones que se mencionan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y antecedentes procesales de los que trae causa la demanda de amparo son, en síntesis, los siguientes:</w:t>
      </w:r>
    </w:p>
    <w:p w:rsidR="005728DD" w:rsidRDefault="005728DD" w:rsidP="005728DD">
      <w:pPr>
        <w:pStyle w:val="TextoNormal"/>
      </w:pPr>
    </w:p>
    <w:p w:rsidR="005728DD" w:rsidRDefault="005728DD" w:rsidP="005728DD">
      <w:pPr>
        <w:pStyle w:val="TextoNormal"/>
      </w:pPr>
      <w:r>
        <w:t>a) El demandante de amparo estuvo en situación de prisión provisional entre los días 25 de marzo de 2014 y 15 de julio de 2015, que fue acordada en el procedimiento ordinario núm. 1-2014, del Juzgado de Instrucción núm. 42 de Madrid, por su presunta participación en un delito de asesinato en grado de tentativa e incendio. Por sentencia de la Sección Segunda de la Audiencia Provincial de Madrid (procedimiento sumario ordinario 1213-2014), de fecha 15 de julio de 2015, el demandante de amparo, junto con otro acusado, fue absuelto de los delitos de los que venía siendo acusado.</w:t>
      </w:r>
    </w:p>
    <w:p w:rsidR="005728DD" w:rsidRDefault="005728DD" w:rsidP="005728DD">
      <w:pPr>
        <w:pStyle w:val="TextoNormal"/>
      </w:pPr>
    </w:p>
    <w:p w:rsidR="005728DD" w:rsidRDefault="005728DD" w:rsidP="005728DD">
      <w:pPr>
        <w:pStyle w:val="TextoNormal"/>
      </w:pPr>
      <w:r>
        <w:t>En el fundamento jurídico segundo de la sentencia indicada se concluye del siguiente modo: “Como puede apreciarse de lo expuesto, todas las pruebas practicadas confluyen y tienen su fundamento en lo manifestado por el cuñado de las víctimas más de seis horas después de que se produjera el incendio y tras rectificar sus primeras manifestaciones, declaración que, como se ha explicado, es de todo punto insuficiente para enervar el principio de presunción de inocencia, por lo que procede la absolución de los acusados”.</w:t>
      </w:r>
    </w:p>
    <w:p w:rsidR="005728DD" w:rsidRDefault="005728DD" w:rsidP="005728DD">
      <w:pPr>
        <w:pStyle w:val="TextoNormal"/>
      </w:pPr>
    </w:p>
    <w:p w:rsidR="005728DD" w:rsidRDefault="005728DD" w:rsidP="005728DD">
      <w:pPr>
        <w:pStyle w:val="TextoNormal"/>
      </w:pPr>
      <w:r>
        <w:t>b) Por el tiempo que estuvo en situación de prisión provisional, el demandante de amparo presentó ante el Ministerio de Justicia reclamación indemnizatoria por responsabilidad patrimonial del Estado, al amparo del art. 294.1 de la Ley Orgánica del Poder Judicial (en adelante, LOPJ), por importe de 824 260 €. Por resolución del secretario de Estado de Justicia (por delegación del ministro de Justicia), de fecha 2 de junio de 2017, la reclamación fue desestimada, de conformidad con el dictamen del Consejo de Estado. El motivo de la denegación fue que la absolución no se fundó en la inexistencia de los hechos imputados, requisito fijado por el art. 294 LOPJ, sino en la aplicación del principio de presunción de inocencia.</w:t>
      </w:r>
    </w:p>
    <w:p w:rsidR="005728DD" w:rsidRDefault="005728DD" w:rsidP="005728DD">
      <w:pPr>
        <w:pStyle w:val="TextoNormal"/>
      </w:pPr>
    </w:p>
    <w:p w:rsidR="005728DD" w:rsidRDefault="005728DD" w:rsidP="005728DD">
      <w:pPr>
        <w:pStyle w:val="TextoNormal"/>
      </w:pPr>
      <w:r>
        <w:t>c) En fecha 17 de agosto de 2017, el demandante interpuso recurso contencioso-administrativo contra la resolución anteriormente indicada, que fue registrado con el núm. 568-2017 de la Sección Tercera de la Sala de lo Contencioso-Administrativo de la Audiencia Nacional. Por sentencia de fecha 5 de marzo de 2019, el referido recurso fue desestimado. En el fundamento jurídico tercero de la indicada resolución figura el siguiente razonamiento:</w:t>
      </w:r>
    </w:p>
    <w:p w:rsidR="005728DD" w:rsidRDefault="005728DD" w:rsidP="005728DD">
      <w:pPr>
        <w:pStyle w:val="TextoNormal"/>
      </w:pPr>
    </w:p>
    <w:p w:rsidR="005728DD" w:rsidRDefault="005728DD" w:rsidP="005728DD">
      <w:pPr>
        <w:pStyle w:val="TextoNormal"/>
      </w:pPr>
      <w:r>
        <w:t xml:space="preserve">“Partiendo de lo expresado en el fundamento jurídico anterior, en este caso no concurren los presupuestos establecidos por la jurisprudencia de la Sala tercera del Tribunal Supremo para conceder una indemnización al amparo del artículo 294 LOPJ, ya que de la lectura de la sentencia absolutoria extractada en los antecedentes de hecho de esta sentencia no resulta afirmada la no existencia objetiva del delito de tentativa de asesinato e incendio. Por lo </w:t>
      </w:r>
      <w:r>
        <w:lastRenderedPageBreak/>
        <w:t>tanto, sin cuestionar que el recurrente ha sido absuelto en el proceso penal y sin hacer referencia a argumentos que directa o indirectamente afecten a la presunción de inocencia, nos limitamos a indicar que no concurre el presupuesto para que se declare la responsabilidad patrimonial del Estado ya que artículo 294 LOPJ lo limita a los casos de existencia de sentencia absolutoria o auto de sobreseimiento libre por ‘inexistencia del hecho imputado’, lo que no sucede en el supuesto examinado”.</w:t>
      </w:r>
    </w:p>
    <w:p w:rsidR="005728DD" w:rsidRDefault="005728DD" w:rsidP="005728DD">
      <w:pPr>
        <w:pStyle w:val="TextoNormal"/>
      </w:pPr>
    </w:p>
    <w:p w:rsidR="005728DD" w:rsidRDefault="005728DD" w:rsidP="005728DD">
      <w:pPr>
        <w:pStyle w:val="TextoNormal"/>
      </w:pPr>
      <w:r>
        <w:t>d) Frente a la resolución antes referida, el demandante interpuso recurso de casación, que fue inadmitido a trámite por providencia de fecha 17 de octubre de 2019, de la Sección Primera de la sala de lo Contencioso-Administrativo del Tribunal Supremo.</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el recurrente impugna las resoluciones judiciales a que se hecho mención, al amparo de lo dispuesto en el art. 44 LOTC. Concretamente, denuncia la vulneración de su derecho a la presunción de inocencia (art. 24.2 CE), del derecho a la igualdad (art. 14 CE), del derecho a la libertad (art. 17.1 CE) y del derecho a la tutela judicial efectiva (art. 24.1 CE), en su vertiente del derecho a obtener una resolución motivada. También invoca la vulneración del derecho a la legalidad penal (art. 25.1 CE), “al aplicarse a los hechos probados la figura agravada del párrafo 1 del art. 302 CP, siendo así que en tales hechos no se dice que el imputado y condenado pertenezca a una organización destinada a los fines que allí se especifican” (</w:t>
      </w:r>
      <w:r w:rsidRPr="005728DD">
        <w:rPr>
          <w:i/>
        </w:rPr>
        <w:t>sic</w:t>
      </w:r>
      <w:r>
        <w:t>).</w:t>
      </w:r>
    </w:p>
    <w:p w:rsidR="005728DD" w:rsidRDefault="005728DD" w:rsidP="005728DD">
      <w:pPr>
        <w:pStyle w:val="TextoNormal"/>
      </w:pPr>
    </w:p>
    <w:p w:rsidR="005728DD" w:rsidRDefault="005728DD" w:rsidP="005728DD">
      <w:pPr>
        <w:pStyle w:val="TextoNormal"/>
      </w:pPr>
      <w:r>
        <w:t xml:space="preserve">En síntesis, el recurrente argumenta que pese a ser absuelto por sentencia, no obstante se pone en duda su inocencia, al considerar que existen indicios de culpabilidad para denegar la indemnización reclamada, tal y como razonan las SSTEDH de 25 de abril de 2006, asunto </w:t>
      </w:r>
      <w:r w:rsidRPr="005728DD">
        <w:rPr>
          <w:i/>
        </w:rPr>
        <w:t>Puig Panella c. España</w:t>
      </w:r>
      <w:r>
        <w:t xml:space="preserve">, y 13 de julio de 2010, asunto </w:t>
      </w:r>
      <w:r w:rsidRPr="005728DD">
        <w:rPr>
          <w:i/>
        </w:rPr>
        <w:t>Tendam c. España</w:t>
      </w:r>
      <w:r>
        <w:t>. También considera que la desestimación de su pretensión comporta una diferenciación sin causa justificada, respecto de aquellas personas a las que se les reconoce indemnización por dilaciones indebidas; así como señala que su privación de libertad ha supuesto un sacrificio en aras del interés general, que debe ser indemnizado por el Estado cuando se archive el procedimiento o se absuelva.</w:t>
      </w:r>
    </w:p>
    <w:p w:rsidR="005728DD" w:rsidRDefault="005728DD" w:rsidP="005728DD">
      <w:pPr>
        <w:pStyle w:val="TextoNormal"/>
      </w:pPr>
    </w:p>
    <w:p w:rsidR="005728DD" w:rsidRDefault="005728DD" w:rsidP="005728DD">
      <w:pPr>
        <w:pStyle w:val="TextoNormal"/>
      </w:pPr>
      <w:r>
        <w:t>Finalmente, interesa que se declare haber lugar al recurso, se anulen las resoluciones judiciales impugnadas y se reconozca la violación de los derechos fundamentales a la presunción de inocencia, a la libertad, a la igualdad y a la tutela judicial efectiva</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25 de enero de 2021, la Sección Tercera de este tribunal acordó admitir el presente recurso a trámite, al apreciar que concurre especial transcendencia constitucional [art. 50.1 de la Ley Orgánica del Tribunal Constitucional (LOTC)], ya que la posible vulneración denunciada pudiera provenir de la ley o de otra disposición de carácter general [STC 155/2009, FJ 2 c)].</w:t>
      </w:r>
    </w:p>
    <w:p w:rsidR="005728DD" w:rsidRDefault="005728DD" w:rsidP="005728DD">
      <w:pPr>
        <w:pStyle w:val="TextoNormal"/>
      </w:pPr>
    </w:p>
    <w:p w:rsidR="005728DD" w:rsidRDefault="005728DD" w:rsidP="005728DD">
      <w:pPr>
        <w:pStyle w:val="TextoNormal"/>
      </w:pPr>
      <w:r>
        <w:t>En aplicación de lo dispuesto en el art. 51 LOTC, se acordó dirigir atenta comunicación a la Sección Tercera de la Sala de lo Contencioso-Administrativo de la Audiencia Nacional para que, en plazo que no exceda de diez días, remita certificación o fotocopia adverada de las actuaciones correspondientes al procedimiento ordinario núm. 568-2017; debiendo previamente emplazar, para que en el plazo de diez días puedan comparecer, si lo desean,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t>También dispuso dirigir atenta comunicación a la Sección Primera de la Sala de lo Contencioso-Administrativo del Tribunal Supremo a fin de que, en plazo que no exceda de diez días, remita certificación o fotocopia adverada de las actuaciones correspondientes al recurso de casación núm. 3028-2019.</w:t>
      </w:r>
    </w:p>
    <w:p w:rsidR="005728DD" w:rsidRDefault="005728DD" w:rsidP="005728DD">
      <w:pPr>
        <w:pStyle w:val="TextoNormal"/>
      </w:pPr>
    </w:p>
    <w:p w:rsidR="005728DD" w:rsidRDefault="005728DD" w:rsidP="005728DD">
      <w:pPr>
        <w:pStyle w:val="TextoNormal"/>
      </w:pPr>
      <w:r w:rsidRPr="005728DD">
        <w:rPr>
          <w:rStyle w:val="NumeroAFNegritaCaracter"/>
        </w:rPr>
        <w:t>5</w:t>
      </w:r>
      <w:r>
        <w:t>. En virtud de escrito presentado el día 5 de febrero de 2021 en el registro de este tribunal, el abogado del Estado solicitó que se le tuviera por parte personada en el procedimiento, lo que así se acordó por diligencia de ordenación de 17 de febrero de 2021. En la misma diligencia se resolvió también dar vista de las actuaciones a las partes personadas y al Ministerio Fiscal para que, en un plazo común de veinte días, formularan las alegaciones que estimaran pertinentes a su derecho, de conformidad con lo dispuesto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registrado en este tribunal el día 10 de marzo de 2021, el Ministerio Fiscal presentó sus alegaciones. Tras compendiar los antecedentes de hecho relevantes y reflejar los derechos fundamentales que el recurrente invoca, trae a colación la doctrina establecida por el Pleno de este tribunal en los fundamentos jurídicos 4 y 5 de la STC 125/2019, de 31 de octubre, en los que se determinaron los efectos que sobre el recurso de amparo debía producir la STC 85/2019, que declaró la inconstitucionalidad de los incisos “inexistencia del hecho imputado” y “por esta misma causa” del art. 294.1 LOPJ y se concretó el alcance que la estimación del amparo debía producir. En consecuencia, el fiscal estima que procede otorgar el amparo y reconocer el derecho del recurrente a que la decisión sobre su solicitud de indemnización se adopte, en cuanto a sus criterios rectores, de acuerdo con las exigencias constitucionales de los arts.14 y 24.2 CE señaladas en las SSTC 85/2019 y 125/2019.</w:t>
      </w:r>
    </w:p>
    <w:p w:rsidR="005728DD" w:rsidRDefault="005728DD" w:rsidP="005728DD">
      <w:pPr>
        <w:pStyle w:val="TextoNormal"/>
      </w:pPr>
    </w:p>
    <w:p w:rsidR="005728DD" w:rsidRDefault="005728DD" w:rsidP="005728DD">
      <w:pPr>
        <w:pStyle w:val="TextoNormal"/>
      </w:pPr>
      <w:r>
        <w:t xml:space="preserve">Por último sostiene que, si bien de la literalidad del precepto depurado de su tacha de inconstitucionalidad, cabría entender que cuando el proceso penal concluya con un pronunciamiento de absolución o de sobreseimiento libre procederá la indemnización, no obstante, señala que de lo establecido en la STC 85/2019 no se desprende, por sí solo, que el derecho a la indemnización sea automático, en tanto se acredite por el solicitante el tiempo pasado en prisión. Sobre ese aspecto, refiere que deberán aplicarse los criterios propios del derecho general de daños (como puede ser la </w:t>
      </w:r>
      <w:r w:rsidRPr="005728DD">
        <w:rPr>
          <w:i/>
        </w:rPr>
        <w:t>compensatio lucri cum damno</w:t>
      </w:r>
      <w:r>
        <w:t xml:space="preserve"> o la relevancia causal de la conducta de la propia víctima). Por ello, afirma que “también en el caso subyacente, cabría el juego de estos criterios de atemperación o incluso rechazo total o parcial tomando en cuenta las particulares circunstancias concurrentes que podrán valorar las autoridades administrativas y, en su caso, judiciales”.</w:t>
      </w:r>
    </w:p>
    <w:p w:rsidR="005728DD" w:rsidRDefault="005728DD" w:rsidP="005728DD">
      <w:pPr>
        <w:pStyle w:val="TextoNormal"/>
      </w:pPr>
    </w:p>
    <w:p w:rsidR="005728DD" w:rsidRDefault="005728DD" w:rsidP="005728DD">
      <w:pPr>
        <w:pStyle w:val="TextoNormal"/>
      </w:pPr>
      <w:r>
        <w:t>Por todo lo expuesto, el fiscal interesa que se declaren vulnerados el derecho fundamental a la presunción de inocencia del recurrente (art. 24.2 CE) y el derecho a la igualdad (art. 14 CE); que se anulen las resoluciones judiciales y administrativas que denegaron la pretensión del demandante; y que se retrotraigan las actuaciones al momento anterior al dictado de la resolución administrativa de 2 de junio de 2017, para que la administración resuelva la reclamación de responsabilidad patrimonial en términos respetuosos con los derechos fundamentales vulnerados.</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Por escrito presentado el 10 de septiembre de 2020, formuló sus alegaciones el abogado del Estado. Tras resumir los antecedentes que consideró relevantes, interesa, en primer </w:t>
      </w:r>
      <w:r>
        <w:lastRenderedPageBreak/>
        <w:t>lugar, la inadmisión del recurso por haber sido interpuesto fuera del plazo de veinte días establecido en el art. 43 LOTC. Rechaza que nos hallemos ante un recurso de amparo dirigido frente a resoluciones judiciales, como pretende el demandante, pues la resolución que debe considerarse impugnada es la dictada por la administración, que denegó la indemnización a que se ha hecho referencia y que luego fue confirmada por las resoluciones judiciales. Es irrelevante a estos efectos, añade, que la STC 85/2019 sea posterior a la desestimación de la pretensión del recurrente en vía administrativa, pues ello en nada altera la extemporaneidad del recurso de amparo.</w:t>
      </w:r>
    </w:p>
    <w:p w:rsidR="005728DD" w:rsidRDefault="005728DD" w:rsidP="005728DD">
      <w:pPr>
        <w:pStyle w:val="TextoNormal"/>
      </w:pPr>
    </w:p>
    <w:p w:rsidR="005728DD" w:rsidRDefault="005728DD" w:rsidP="005728DD">
      <w:pPr>
        <w:pStyle w:val="TextoNormal"/>
      </w:pPr>
      <w:r>
        <w:t>En cuanto al fondo, trae a colación la STC 85/2019, de 19 de junio, que declaró la inconstitucionalidad de los incisos “por inexistencia del hecho imputado” y “por esta misma causa” del art. 294.1 LOPJ. No obstante, señala que dicha sentencia deja incólume el inciso “siempre que se le hayan irrogado perjuicios” contenido en el mismo precepto. De esta constatación, deduce que la sola acreditación del tiempo pasado en prisión preventiva —seguida de absolución— no genera un derecho automático al resarcimiento, pues el interesado ha de probar los supuestos daños acaecidos, más allá solo del hecho de haber padecido prisión por un tiempo determinado, “de acuerdo con la aplicación de criterios propios del Derecho general de daños”, conforme a los criterios asentados en el fundamento jurídico 13 de la indicada sentencia.</w:t>
      </w:r>
    </w:p>
    <w:p w:rsidR="005728DD" w:rsidRDefault="005728DD" w:rsidP="005728DD">
      <w:pPr>
        <w:pStyle w:val="TextoNormal"/>
      </w:pPr>
    </w:p>
    <w:p w:rsidR="005728DD" w:rsidRDefault="005728DD" w:rsidP="005728DD">
      <w:pPr>
        <w:pStyle w:val="TextoNormal"/>
      </w:pPr>
      <w:r>
        <w:t>En aplicación de este criterio, entiende el abogado del Estado que, en el presente caso, a este tribunal no le corresponde “la determinación y valoración de la suficiencia de la prueba y de liquidación de los eventuales daños […], máxime en tanto que en el caso concreto no se han acreditado debidamente”. Sostiene también que la eventual fijación de esos daños debe hacerse en un procedimiento autónomo, estrictamente sujeto a las reglas sustantivas y procesales del Derecho de daños; razones estas por las que interesa que, para el caso de estimarse el recurso, no se conceda al recurrente el montante de indemnización que haya podido solicitar en alguna instancia.</w:t>
      </w:r>
    </w:p>
    <w:p w:rsidR="005728DD" w:rsidRDefault="005728DD" w:rsidP="005728DD">
      <w:pPr>
        <w:pStyle w:val="TextoNormal"/>
      </w:pPr>
    </w:p>
    <w:p w:rsidR="005728DD" w:rsidRDefault="005728DD" w:rsidP="005728DD">
      <w:pPr>
        <w:pStyle w:val="TextoNormal"/>
      </w:pPr>
      <w:r>
        <w:t>Rechaza, asimismo, que se haya producido la vulneración del derecho reconocido en el art. 14 CE por las razones invocadas en la demanda, pues los eventuales títulos por los que se generaría el derecho a la indemnización son distintos, al igual que los parámetros de comparación. También refuta que se haya producido vulneración del derecho reconocido en el art. 25.1 CE.</w:t>
      </w:r>
    </w:p>
    <w:p w:rsidR="005728DD" w:rsidRDefault="005728DD" w:rsidP="005728DD">
      <w:pPr>
        <w:pStyle w:val="TextoNormal"/>
      </w:pPr>
    </w:p>
    <w:p w:rsidR="005728DD" w:rsidRDefault="005728DD" w:rsidP="005728DD">
      <w:pPr>
        <w:pStyle w:val="TextoNormal"/>
      </w:pPr>
      <w:r>
        <w:t>Por todo lo expuesto interesa que, para el caso de no acordarse la inadmisión del recurso de amparo, se desestimen las pretendidas vulneraciones del derecho a la igualdad (art.14 CE) y del derecho a la legalidad penal (art. 25.1 CE); y “en lo demás, esto es, en lo que al derecho al resarcimiento por prisión preventiva luego seguida de absolución, y por ello la posible vulneración del art. 24 CE, se refiere, dicte ese Tribunal Constitucional sentencia conforme a Derecho. Y caso de resultar la eventual sentencia a dictar, de carácter estimatorio del amparo formulado, ordene en ese caso la retroacción del expediente a la instancia oportuna: la vía administrativa, habida cuenta del carácter revisor de la jurisdicción contencioso-administrativa, a fin de que de acuerdo con lo que dispone el art. 294 LOPJ, y siguiendo siempre el cauce procedimental adecuado, se aprecie la extemporaneidad o no de la acción ejercitada, y sobre todo se acrediten los daños y perjuicios que en su caso se hubieran podido llegar a producir al recurrente”.</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El día 24 de marzo de 2021 presentó sus alegaciones el recurrente en amparo. Tras poner de manifiesto los aspectos que consideró relevantes de la sentencia recaída en el proceso penal y de la dictada por la Sección Tercera de la Sala de lo Contencioso-Administrativo de la Audiencia Nacional, lleva a cabo un repaso de la evolución jurisprudencial y de la doctrina del Tribunal Europeo de Derechos Humanos y del tribunal constitucional, mención de las STC 8/2017 y 10/2017 y, especialmente de la STC 85/2019, pues a raíz de su contenido no existe obstáculo alguno para acoger lo interesado en la demanda, cuyas pretensiones reitera, no sin antes formular unas consideraciones sobre la determinación de la cuantía indemnizatoria.</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w:t>
      </w:r>
      <w:r>
        <w:t>.</w:t>
      </w:r>
    </w:p>
    <w:p w:rsidR="005728DD" w:rsidRDefault="005728DD" w:rsidP="005728DD">
      <w:pPr>
        <w:pStyle w:val="TextoNormal"/>
      </w:pPr>
    </w:p>
    <w:p w:rsidR="005728DD" w:rsidRDefault="005728DD" w:rsidP="005728DD">
      <w:pPr>
        <w:pStyle w:val="TextoNormal"/>
      </w:pPr>
      <w:r>
        <w:t>El presente recurso tiene por objeto: la resolución de la secretaria de Estado de Justicia, de fecha 2 de junio de 2017 (expediente 373-2016) , que denegó la reclamación de responsabilidad patrimonial del Estado formulada por el recurrente, por el tiempo que estuvo en prisión provisional; la sentencia de 5 de marzo de 2019, de la Sección Tercera de Sala de lo Contencioso-Administrativo de la Audiencia Nacional, que desestimó el recurso contencioso-administrativo núm. 568-2017, que fue interpuesto frente a la resolución de la secretaría administrativa antes indicada; y la providencia de 17 de octubre de 2019, dictada por la Sección Primera de la Sala de lo Contencioso-Administrativo del Tribunal Supremo, que inadmitió a trámite el recurso de casación núm. 3028-2019, interpuesto contra la sentencia identificada en primer lugar. Resumidamente, el demandante, alega la vulneración del derecho a la presunción de inocencia (art. 24.2 CE), del derecho a la igualdad (art. 14 CE), a la libertad (art. 17 CE) y a la tutela judicial efectiva (art. 24.1 CE), al haberle sido denegada la indemnización por el tiempo que permaneció en prisión provisional, pese a resultar ulteriormente absuelto por sentencia.</w:t>
      </w:r>
    </w:p>
    <w:p w:rsidR="005728DD" w:rsidRDefault="005728DD" w:rsidP="005728DD">
      <w:pPr>
        <w:pStyle w:val="TextoNormal"/>
      </w:pPr>
    </w:p>
    <w:p w:rsidR="005728DD" w:rsidRDefault="005728DD" w:rsidP="005728DD">
      <w:pPr>
        <w:pStyle w:val="TextoNormal"/>
      </w:pPr>
      <w:r>
        <w:t>La abogacía del Estado interesa la inadmisión del presente recurso, al haberse interpuesto extemporáneamente, más allá de los veinte días que establece el art. 43.2 LOTC. Subsidiariamente, interesa que se desestimen las vulneraciones del derecho a la igualdad (art. 14 CE) y del derecho a la legalidad penal (art. 25.1 CE); y en relación con la posible vulneración del art. 24 CE, que se dicte sentencia conforme a Derecho y, si fuera estimatoria, se ordene la retroacción del expediente a la instancia oportuna.</w:t>
      </w:r>
    </w:p>
    <w:p w:rsidR="005728DD" w:rsidRDefault="005728DD" w:rsidP="005728DD">
      <w:pPr>
        <w:pStyle w:val="TextoNormal"/>
      </w:pPr>
    </w:p>
    <w:p w:rsidR="005728DD" w:rsidRDefault="005728DD" w:rsidP="005728DD">
      <w:pPr>
        <w:pStyle w:val="TextoNormal"/>
      </w:pPr>
      <w:r>
        <w:t>El Ministerio Fiscal, con sustento en los argumentos que detalladamente se han expuesto en los antecedentes, solicita la estimación del recurso de amparo, al considerar que se ha vulnerado el derecho del demandante a la presunción de inocencia (art. 24.2 CE) y a la igualdad (art. 14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Óbice de admisibilidad por extemporaneidad de la demanda</w:t>
      </w:r>
      <w:r>
        <w:t>.</w:t>
      </w:r>
    </w:p>
    <w:p w:rsidR="005728DD" w:rsidRDefault="005728DD" w:rsidP="005728DD">
      <w:pPr>
        <w:pStyle w:val="TextoNormal"/>
      </w:pPr>
    </w:p>
    <w:p w:rsidR="005728DD" w:rsidRDefault="005728DD" w:rsidP="005728DD">
      <w:pPr>
        <w:pStyle w:val="TextoNormal"/>
      </w:pPr>
      <w:r>
        <w:lastRenderedPageBreak/>
        <w:t>La abogacía del Estado ha alegado un óbice procesal que, de estimarse, daría lugar a la inadmisión del recurso sin entrar en el fondo de la demanda. Así pues, procede dar respuesta a este motivo, pues de concurrir el déficit referido procedería, sin necesidad de ulterior análisis y sin que a ello se oponga que el procedimiento haya alcanzado el trámite de sentencia, la inadmisión de la demanda de amparo (entre muchas, SSTC 44/2013, de 25 de febrero, FJ 2; 126/2013, de 3 de junio, FJ 2, y 2/2015, de 19 de enero, FJ 2).</w:t>
      </w:r>
    </w:p>
    <w:p w:rsidR="005728DD" w:rsidRDefault="005728DD" w:rsidP="005728DD">
      <w:pPr>
        <w:pStyle w:val="TextoNormal"/>
      </w:pPr>
    </w:p>
    <w:p w:rsidR="005728DD" w:rsidRDefault="005728DD" w:rsidP="005728DD">
      <w:pPr>
        <w:pStyle w:val="TextoNormal"/>
      </w:pPr>
      <w:r>
        <w:t>Hemos de convenir con la abogacía del Estado en que si solamente se hubiera invocado la vulneración del derecho a la presunción de inocencia (art. 24.2 CE), a la igualdad (art. 14 CE) y a la libertad (art. 17 CE), pese a los términos de la demanda, el presente recurso amparo debería entenderse dirigido contra la resolución administrativa que deniega la pretensión indemnizatoria formulada por el demandante, ya que las resoluciones judiciales se habrían limitado a no reparar las lesiones aducidas. Este criterio, ampliamente refrendado por nuestra doctrina, se acoge expresamente en la STC 125/2019, FJ 3: “las lesiones alegadas no proceden de la sentencia de la Audiencia Nacional, sino de la resolución administrativa denegatoria. El recurso de amparo planteado es un recurso frente a una decisión lesiva del poder ejecutivo, la de no indemnizar, que no se ha reparado por el órgano judicial ante el que se denunció su carácter vulnerador de derechos fundamentales, de modo que debe entenderse formulado por el cauce dispuesto en el art. 43 LOTC, y no por el previsto en el art. 44 LOTC (en sentido análogo, STC 10/2017, FJ 3). Y a esa categorización no obsta, como ya ha reiterado este tribunal en otras ocasiones, el hecho de que el recurrente haya articulado defectuosamente la presente demanda por el cauce del art. 44 LOTC, al imputar exclusivamente las vulneraciones a la resolución judicial, y no por el cauce del art. 43 LOTC, dirigiéndola contra la resolución administrativa, que es el acto del que habrían derivado, en su caso, las vulneraciones aducidas, toda vez que en la demanda ha quedado suficientemente identificado y fundamentado su objeto (SSTC 98/2003, de 2 de junio, FJ 1; 124/2005, de 23 de mayo, FJ 1; 184/2006, de 19 de junio, FJ 2, o 324/2006, de 20 de noviembre, FJ 3)”. Si fuera así, necesariamente deberíamos apreciar la extemporaneidad que preconiza la abogacía del Estado y, en consecuencia, inadmitir el recurso de amparo.</w:t>
      </w:r>
    </w:p>
    <w:p w:rsidR="005728DD" w:rsidRDefault="005728DD" w:rsidP="005728DD">
      <w:pPr>
        <w:pStyle w:val="TextoNormal"/>
      </w:pPr>
    </w:p>
    <w:p w:rsidR="005728DD" w:rsidRDefault="005728DD" w:rsidP="005728DD">
      <w:pPr>
        <w:pStyle w:val="TextoNormal"/>
      </w:pPr>
      <w:r>
        <w:t>No obstante, concurre un factor que auspicia una solución contraria. En la demanda de amparo también se alega la vulneración del derecho a la tutela judicial efectiva (art. 24.1 CE), en su vertiente del derecho a obtener una resolución motivada que, en el presente supuesto, solo podría entenderse dirigida respecto de las resoluciones judiciales combatidas. Por tanto, pese a que la denuncia por vulneración del derecho a la tutela judicial efectiva está abocada al fracaso, dada la falta de desarrollo argumental en la demanda, su planteamiento determina que en el presente recurso rija el plazo de treinta días establecido en el art. 44.2 LOTC; lapso temporal que, teniendo en cuenta la fecha de presentación de la demanda (3 de diciembre de 2020) y la fecha de notificación de la última resolución judicial (21 de octubre de 2020), ha sido respetado en el presente caso. Por todo lo expuesto, se desestima el óbice planteado por la abogacía del Estado.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Remisión a las SSTC 85/2019 y</w:t>
      </w:r>
      <w:r>
        <w:t xml:space="preserve"> 125/2019.</w:t>
      </w:r>
    </w:p>
    <w:p w:rsidR="005728DD" w:rsidRDefault="005728DD" w:rsidP="005728DD">
      <w:pPr>
        <w:pStyle w:val="TextoNormal"/>
      </w:pPr>
    </w:p>
    <w:p w:rsidR="005728DD" w:rsidRDefault="005728DD" w:rsidP="005728DD">
      <w:pPr>
        <w:pStyle w:val="TextoNormal"/>
      </w:pPr>
      <w:r>
        <w:t xml:space="preserve">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w:t>
      </w:r>
      <w:r>
        <w:lastRenderedPageBreak/>
        <w:t>el fundamento jurídico 4 se determinaron los efectos sobre el recurso de amparo de la declaración de inconstitucionalidad de los incisos “por inexistencia del hecho imputado” y “por esta misma causa” del art. 294.1 LOPJ por la STC 85/2019, de 19 de junio,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5728DD" w:rsidRDefault="005728DD" w:rsidP="005728DD">
      <w:pPr>
        <w:pStyle w:val="TextoNormal"/>
      </w:pPr>
    </w:p>
    <w:p w:rsidR="005728DD" w:rsidRDefault="005728DD" w:rsidP="005728DD">
      <w:pPr>
        <w:pStyle w:val="TextoNormal"/>
      </w:pPr>
      <w:r>
        <w:t>En consecuencia, se estima el presente recurso de amparo por la vulneración de los derechos a la igualdad (art. 14 CE) y a la presunción de inocencia (art. 24.2 CE), reconociendo el derecho del recurrente a que la decisión sobre su solicitud de indemnización se adopte, en cuanto a sus criterios rectores, de acuerdo con las exigencias constitucionales de los arts. 14 y 24.2 CE señaladas en las SSTC 85/2019 y 125/2019. A su vez, procede acordar nulidad de las dos resoluciones judiciales impugnadas y de la resolución del secretario de Estado de Justicia que denegó la indemnización, de dos de junio de 2017, para que la administración resuelva de nuevo la cuestión planteada conforme a las SSTC 85/2019, FJ 13, y 125/2019, FJ 5.</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el recurso de amparo interpuesto por don Gabriel Gavriluta, por vulneración de sus derechos fundamentales a la igualdad (art. 14 CE) y a la presunción de inocencia (art. 24.2 CE).</w:t>
      </w:r>
    </w:p>
    <w:p w:rsidR="005728DD" w:rsidRDefault="005728DD" w:rsidP="005728DD">
      <w:pPr>
        <w:pStyle w:val="TextoNormal"/>
      </w:pPr>
    </w:p>
    <w:p w:rsidR="005728DD" w:rsidRDefault="005728DD" w:rsidP="005728DD">
      <w:pPr>
        <w:pStyle w:val="TextoNormal"/>
      </w:pPr>
      <w:r>
        <w:t>2º Declarar la nulidad de la resolución del secretario de Estado de Justicia, de 2 de junio de 2017, por las que se deniega la indemnización solicitada por el demandante, en concepto de responsabilidad patrimonial del Estado por prisión provisional seguida de absolución; de la sentencia de 5 de marzo de 2019, de la Sección Tercera de la Sala de lo Contencioso-Administrativo de la Audiencia Nacional, desestimatoria del recurso contencioso-administrativo núm. 568-2017, y de la providencia de 17 de octubre de 2019, de la Sección Primera de la Sala de lo Contencioso-Administrativo del Tribunal Supremo, que inadmitió a trámite el recurso de casación núm. 3028-2019.</w:t>
      </w:r>
    </w:p>
    <w:p w:rsidR="005728DD" w:rsidRDefault="005728DD" w:rsidP="005728DD">
      <w:pPr>
        <w:pStyle w:val="TextoNormal"/>
      </w:pPr>
    </w:p>
    <w:p w:rsidR="005728DD" w:rsidRDefault="005728DD" w:rsidP="005728DD">
      <w:pPr>
        <w:pStyle w:val="TextoNormal"/>
      </w:pPr>
      <w:r>
        <w:t>3º Retrotraer las actuaciones al momento anterior al dictado de la resolución administrativa de 2 de junio de 2017, para que se resuelva la reclamación de responsabilidad patrimonial de forma respetuosa con los derechos fundamentales vulnerados, en los términos establecidos en el fundamento jurídico tercero de esta resolución.</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2" w:name="SENTENCIA_2021_99"/>
      <w:r>
        <w:lastRenderedPageBreak/>
        <w:t>SENTENCIA 99/2021, de 10 de mayo de 2021</w:t>
      </w:r>
    </w:p>
    <w:bookmarkEnd w:id="102"/>
    <w:p w:rsidR="005728DD" w:rsidRDefault="005728DD" w:rsidP="005728DD">
      <w:pPr>
        <w:pStyle w:val="TtuloResolucin"/>
      </w:pPr>
      <w:r>
        <w:t>Sala Primera</w:t>
      </w:r>
    </w:p>
    <w:p w:rsidR="005728DD" w:rsidRDefault="005728DD" w:rsidP="005728DD">
      <w:pPr>
        <w:pStyle w:val="TtuloBOE"/>
      </w:pPr>
      <w:r>
        <w:t>(BOE núm. 142, de 15 de junio de 2021)</w:t>
      </w:r>
    </w:p>
    <w:p w:rsidR="005728DD" w:rsidRDefault="005728DD" w:rsidP="005728DD">
      <w:pPr>
        <w:pStyle w:val="TextoNormalCentrado"/>
      </w:pPr>
      <w:r>
        <w:t>ECLI:ES:TC:2021:99</w:t>
      </w:r>
    </w:p>
    <w:p w:rsidR="005728DD" w:rsidRDefault="005728DD" w:rsidP="005728DD">
      <w:pPr>
        <w:pStyle w:val="TextoNormalCentrado"/>
      </w:pPr>
    </w:p>
    <w:p w:rsidR="005728DD" w:rsidRDefault="005728DD" w:rsidP="005728DD">
      <w:pPr>
        <w:pStyle w:val="SntesisDescriptiva"/>
      </w:pPr>
      <w:r>
        <w:t>Recurso de amparo 7436-2019. Promovido por don Jenri Ramírez Rosario en relación con las sentencias de la Audiencia Provincial y un juzgado de lo penal de Huesca que le condenaron por varios delitos.</w:t>
      </w:r>
    </w:p>
    <w:p w:rsidR="005728DD" w:rsidRDefault="005728DD" w:rsidP="005728DD">
      <w:pPr>
        <w:pStyle w:val="SntesisDescriptiva"/>
      </w:pPr>
    </w:p>
    <w:p w:rsidR="005728DD" w:rsidRDefault="005728DD" w:rsidP="005728DD">
      <w:pPr>
        <w:pStyle w:val="SntesisAnaltica"/>
      </w:pPr>
      <w:r>
        <w:t>Supuesta vulneración de los derechos a la intimidad, secreto de las comunicaciones y a la presunción de inocencia: captación y grabación de comunicaciones orales mantenidas en el interior de sendos vehículos que se prolongó por espacio de tres meses.</w:t>
      </w:r>
    </w:p>
    <w:p w:rsidR="005728DD" w:rsidRDefault="005728DD" w:rsidP="005728DD">
      <w:pPr>
        <w:pStyle w:val="SntesisAnaltica"/>
      </w:pPr>
    </w:p>
    <w:p w:rsidR="005728DD" w:rsidRDefault="005728DD" w:rsidP="005728DD">
      <w:pPr>
        <w:pStyle w:val="Extracto"/>
      </w:pPr>
      <w:r>
        <w:t>1.</w:t>
      </w:r>
      <w:r>
        <w:tab/>
        <w:t xml:space="preserve">Doctrina jurisprudencial sobre el secreto de comunicaciones </w:t>
      </w:r>
      <w:r w:rsidRPr="005728DD">
        <w:rPr>
          <w:i/>
        </w:rPr>
        <w:t>ex</w:t>
      </w:r>
      <w:r>
        <w:t xml:space="preserve"> art. 18.3 CE y sobre el derecho a la intimidad consagrado en el art. 18.1 CE (STC 25/1981) [FJ 3].</w:t>
      </w:r>
    </w:p>
    <w:p w:rsidR="005728DD" w:rsidRDefault="005728DD" w:rsidP="005728DD">
      <w:pPr>
        <w:pStyle w:val="Extracto"/>
      </w:pPr>
    </w:p>
    <w:p w:rsidR="005728DD" w:rsidRDefault="005728DD" w:rsidP="005728DD">
      <w:pPr>
        <w:pStyle w:val="Extracto"/>
      </w:pPr>
      <w:r>
        <w:t>2.</w:t>
      </w:r>
      <w:r>
        <w:tab/>
        <w:t xml:space="preserve">Sea cual sea el ámbito objetivo del concepto de ‘comunicación’, la norma constitucional se dirige inequívocamente a garantizar su impenetrabilidad por terceros (públicos o privados: el derecho posee eficacia </w:t>
      </w:r>
      <w:r w:rsidRPr="005728DD">
        <w:rPr>
          <w:i/>
        </w:rPr>
        <w:t>erga omnes</w:t>
      </w:r>
      <w:r>
        <w:t>) ajenos a la comunicación misma; la presencia de un elemento ajeno a aquellos entre los que media el proceso de comunicación, es indispensable para configurar el ilícito constitucional (STC 114/1984 y STEDH asunto</w:t>
      </w:r>
      <w:r w:rsidRPr="005728DD">
        <w:rPr>
          <w:i/>
        </w:rPr>
        <w:t xml:space="preserve"> Malone c. Reino Unido</w:t>
      </w:r>
      <w:r>
        <w:t>) [FJ 3].</w:t>
      </w:r>
    </w:p>
    <w:p w:rsidR="005728DD" w:rsidRDefault="005728DD" w:rsidP="005728DD">
      <w:pPr>
        <w:pStyle w:val="Extracto"/>
      </w:pPr>
    </w:p>
    <w:p w:rsidR="005728DD" w:rsidRDefault="005728DD" w:rsidP="005728DD">
      <w:pPr>
        <w:pStyle w:val="Extracto"/>
      </w:pPr>
      <w:r>
        <w:t>3.</w:t>
      </w:r>
      <w:r>
        <w:tab/>
        <w:t xml:space="preserve">El concepto de ‘secreto’ en el art. 18.3 CE tiene un carácter formal, en el sentido de que se predica de lo comunicado, sea cual sea su contenido y pertenezca o no el objeto de la comunicación misma al ámbito de lo personal, lo íntimo o lo reservado (STC 114/1984 y STEDH asunto </w:t>
      </w:r>
      <w:r w:rsidRPr="005728DD">
        <w:rPr>
          <w:i/>
        </w:rPr>
        <w:t>Malone c. Reino Unido</w:t>
      </w:r>
      <w:r>
        <w:t>) [FJ 3].</w:t>
      </w:r>
    </w:p>
    <w:p w:rsidR="005728DD" w:rsidRDefault="005728DD" w:rsidP="005728DD">
      <w:pPr>
        <w:pStyle w:val="Extracto"/>
      </w:pPr>
    </w:p>
    <w:p w:rsidR="005728DD" w:rsidRDefault="005728DD" w:rsidP="005728DD">
      <w:pPr>
        <w:pStyle w:val="Extracto"/>
      </w:pPr>
      <w:r>
        <w:t>4.</w:t>
      </w:r>
      <w:r>
        <w:tab/>
        <w:t>El art. 18.3 CE contiene una especial protección de las comunicaciones, cualquiera que sea el sistema empleado para realizarlas, que se declara indemne frente a cualquier interferencia no autorizada judicialmente (STC 70/2002) [FJ 3].</w:t>
      </w:r>
    </w:p>
    <w:p w:rsidR="005728DD" w:rsidRDefault="005728DD" w:rsidP="005728DD">
      <w:pPr>
        <w:pStyle w:val="Extracto"/>
      </w:pPr>
    </w:p>
    <w:p w:rsidR="005728DD" w:rsidRDefault="005728DD" w:rsidP="005728DD">
      <w:pPr>
        <w:pStyle w:val="Extracto"/>
      </w:pPr>
      <w:r>
        <w:t>5.</w:t>
      </w:r>
      <w:r>
        <w:tab/>
        <w:t>Evolución de la doctrina sobre la protección constitucional a las comunicaciones orales y a las realizadas a través de medios telemáticos (STC 145/2014) [FJ 3].</w:t>
      </w:r>
    </w:p>
    <w:p w:rsidR="005728DD" w:rsidRDefault="005728DD" w:rsidP="005728DD">
      <w:pPr>
        <w:pStyle w:val="Extracto"/>
      </w:pPr>
    </w:p>
    <w:p w:rsidR="005728DD" w:rsidRDefault="005728DD" w:rsidP="005728DD">
      <w:pPr>
        <w:pStyle w:val="Extracto"/>
      </w:pPr>
      <w:r>
        <w:t>6.</w:t>
      </w:r>
      <w:r>
        <w:tab/>
        <w:t>Desde la exigencia de seguridad jurídica y certeza del Derecho, la existencia de una previsión legal es inexcusable y la resolución judicial que autorice la injerencia en la intimidad ha de hallarse fundamentada en la ley, de lo cual se infiere que la ley ha de expresar todos y cada uno de los presupuestos y condiciones de la intervención (STC 37/1989) [FJ 3].</w:t>
      </w:r>
    </w:p>
    <w:p w:rsidR="005728DD" w:rsidRDefault="005728DD" w:rsidP="005728DD">
      <w:pPr>
        <w:pStyle w:val="Extracto"/>
      </w:pPr>
    </w:p>
    <w:p w:rsidR="005728DD" w:rsidRDefault="005728DD" w:rsidP="005728DD">
      <w:pPr>
        <w:pStyle w:val="Extracto"/>
      </w:pPr>
      <w:r>
        <w:t>7.</w:t>
      </w:r>
      <w:r>
        <w:tab/>
        <w:t>Para el ámbito específico del derecho al secreto de las comunicaciones, la injerencia estatal en dicho secreto ha de estar presidida por el principio de legalidad; y el respeto a este principio requiere una ley de singular precisión (ATC 344/1990 y SSTC 150/1989, 37/1989, 85/1994, 34/1996, 49/1996, 54/1996 y 123/1997) [FJ 3].</w:t>
      </w:r>
    </w:p>
    <w:p w:rsidR="005728DD" w:rsidRDefault="005728DD" w:rsidP="005728DD">
      <w:pPr>
        <w:pStyle w:val="Extracto"/>
      </w:pPr>
    </w:p>
    <w:p w:rsidR="005728DD" w:rsidRDefault="005728DD" w:rsidP="005728DD">
      <w:pPr>
        <w:pStyle w:val="Extracto"/>
      </w:pPr>
      <w:r>
        <w:t>8.</w:t>
      </w:r>
      <w:r>
        <w:tab/>
        <w:t>Doctrina sobre la doble función de la reserva de ley en relación con el derecho al secreto de las comunicaciones [FJ 3].</w:t>
      </w:r>
    </w:p>
    <w:p w:rsidR="005728DD" w:rsidRDefault="005728DD" w:rsidP="005728DD">
      <w:pPr>
        <w:pStyle w:val="Extracto"/>
      </w:pPr>
    </w:p>
    <w:p w:rsidR="005728DD" w:rsidRDefault="005728DD" w:rsidP="005728DD">
      <w:pPr>
        <w:pStyle w:val="Extracto"/>
      </w:pPr>
      <w:r>
        <w:t>9.</w:t>
      </w:r>
      <w:r>
        <w:tab/>
        <w:t>Doctrina del Tribunal Europeo de Derechos Humanos sobre la captación de conversaciones o imágenes por medio de aparatos de grabación de audio y vídeo en relación con el derecho al respeto de la vida privada y familiar (art. 8 CEDH) [FJ 4].</w:t>
      </w:r>
    </w:p>
    <w:p w:rsidR="005728DD" w:rsidRDefault="005728DD" w:rsidP="005728DD">
      <w:pPr>
        <w:pStyle w:val="Extracto"/>
      </w:pPr>
    </w:p>
    <w:p w:rsidR="005728DD" w:rsidRDefault="005728DD" w:rsidP="005728DD">
      <w:pPr>
        <w:pStyle w:val="Extracto"/>
      </w:pPr>
      <w:r>
        <w:t>10.</w:t>
      </w:r>
      <w:r>
        <w:tab/>
        <w:t>La determinación del alcance y de la duración concreta de la medida de investigación del precepto de la LECrim, relativo a la colocación y utilización de dispositivos electrónicos que permitan la captación y grabación de comunicaciones orales, compete en exclusiva a los órganos destinatarios de la norma que tienen encomendada su aplicación, limitándose la función del Tribunal Constitucional a examinar la razonabilidad de la interpretación sostenida por el órgano judicial así como el respeto al tenor literal de la norma [FJ 5].</w:t>
      </w:r>
    </w:p>
    <w:p w:rsidR="005728DD" w:rsidRDefault="005728DD" w:rsidP="005728DD">
      <w:pPr>
        <w:pStyle w:val="Extracto"/>
      </w:pPr>
    </w:p>
    <w:p w:rsidR="005728DD" w:rsidRDefault="005728DD" w:rsidP="005728DD">
      <w:pPr>
        <w:pStyle w:val="Extracto"/>
      </w:pPr>
      <w:r>
        <w:t>11.</w:t>
      </w:r>
      <w:r>
        <w:tab/>
        <w:t>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(SSTC 137/1997, 189/1998, 13/2003, 138/2004, 242/2005 y 9/2006) [FJ 5].</w:t>
      </w:r>
    </w:p>
    <w:p w:rsidR="005728DD" w:rsidRDefault="005728DD" w:rsidP="005728DD">
      <w:pPr>
        <w:pStyle w:val="Extracto"/>
      </w:pPr>
    </w:p>
    <w:p w:rsidR="005728DD" w:rsidRDefault="005728DD" w:rsidP="005728DD">
      <w:pPr>
        <w:pStyle w:val="Extracto"/>
      </w:pPr>
      <w:r>
        <w:t>12.</w:t>
      </w:r>
      <w:r>
        <w:tab/>
        <w:t>Las resoluciones judiciales que autorizan la intervención de las comunicaciones o su prórroga deben explicitar, en el momento de la adopción de la medida, todos los elementos indispensables para realizar el juicio de proporcionalidad y para hacer posible su control posterior, en aras del respeto del derecho de defensa del sujeto pasivo de la medida. La resolución judicial debe exteriorizar los datos o hechos objetivos que pueden considerarse indicios de la existencia del delito y de la conexión de la persona o personas investigadas con el mismo, indicios que han de ser algo más que simples sospechas, pues han de estar fundados en alguna clase de datos objetivos (SSTC 167/2002 y 184/2003) [FJ 5].</w:t>
      </w:r>
    </w:p>
    <w:p w:rsidR="005728DD" w:rsidRDefault="005728DD" w:rsidP="005728DD">
      <w:pPr>
        <w:pStyle w:val="Extracto"/>
      </w:pPr>
    </w:p>
    <w:p w:rsidR="005728DD" w:rsidRDefault="005728DD" w:rsidP="005728DD">
      <w:pPr>
        <w:pStyle w:val="Extracto"/>
      </w:pPr>
      <w:r>
        <w:t>13.</w:t>
      </w:r>
      <w:r>
        <w:tab/>
        <w:t>Una interpretación sistemática y la utilización del legislador procesal de una forma gramatical plural –varios encuentros–, permite que los órganos judiciales puedan fijar la duración de la intervención de las comunicaciones durante un plazo determinado solo cuando indiciariamente no sea posible prever con exactitud el momento en que tendrán lugar los encuentros de los investigados, que en ningún caso podrá superar el plazo máximo de duración legalmente establecido para la intervención de las comunicaciones telefónicas [FJ 6].</w:t>
      </w:r>
    </w:p>
    <w:p w:rsidR="005728DD" w:rsidRDefault="005728DD" w:rsidP="005728DD">
      <w:pPr>
        <w:pStyle w:val="Extracto"/>
      </w:pPr>
    </w:p>
    <w:p w:rsidR="005728DD" w:rsidRDefault="005728DD" w:rsidP="005728DD">
      <w:pPr>
        <w:pStyle w:val="Extracto"/>
      </w:pPr>
      <w:r>
        <w:t>14.</w:t>
      </w:r>
      <w:r>
        <w:tab/>
        <w:t>Una interpretación finalista de la norma permite entender que la obligación de desactivar los dispositivos de escucha no será exigible al terminar cada conversación, sino al finalizar la serie de encuentros a los que se dirija la medida de investigación [FJ 6].</w:t>
      </w:r>
    </w:p>
    <w:p w:rsidR="005728DD" w:rsidRDefault="005728DD" w:rsidP="005728DD">
      <w:pPr>
        <w:pStyle w:val="Extracto"/>
      </w:pPr>
    </w:p>
    <w:p w:rsidR="005728DD" w:rsidRDefault="005728DD" w:rsidP="005728DD">
      <w:pPr>
        <w:pStyle w:val="Extracto"/>
      </w:pPr>
      <w:r>
        <w:lastRenderedPageBreak/>
        <w:t>15.</w:t>
      </w:r>
      <w:r>
        <w:tab/>
        <w:t>En función de las circunstancias del caso concreto, las garantías establecidas por ley para interceptar las comunicaciones vendrán plenamente satisfechas por la determinación en la resolución judicial del lugar (concreción locativa), de los sujetos (concreción subjetiva) y de los encuentros concretos entre dichos sujetos que previsiblemente tendrán lugar en un lapso de tiempo (concreción temporal) [FJ 7].</w:t>
      </w:r>
    </w:p>
    <w:p w:rsidR="005728DD" w:rsidRDefault="005728DD" w:rsidP="005728DD">
      <w:pPr>
        <w:pStyle w:val="Extracto"/>
      </w:pPr>
    </w:p>
    <w:p w:rsidR="005728DD" w:rsidRDefault="005728DD" w:rsidP="005728DD">
      <w:pPr>
        <w:pStyle w:val="Extracto"/>
      </w:pPr>
      <w:r>
        <w:t>16.</w:t>
      </w:r>
      <w:r>
        <w:tab/>
        <w:t>No todas las medidas de investigación judicial implican el mismo grado de injerencia del Estado en la privacidad del investigado. Así, no son asimilables la colocación de aparatos de escucha en el interior de un domicilio, en el que se desarrolla la vida de una familia y que conlleva la intervención en todas las conversaciones de los convivientes, la instalación de dispositivos de grabación en un lugar público en el que va a producirse un encuentro entre investigados, la fijación de micrófonos en el interior de un vehículo que es habitual lugar de encuentro con otros sospechosos o que se viene empleando en la ejecución de actos delictivos, o la grabación en una oficina en la que se prevé que va a concertarse la estrategia delictiva [FJ 7].</w:t>
      </w:r>
    </w:p>
    <w:p w:rsidR="005728DD" w:rsidRDefault="005728DD" w:rsidP="005728DD">
      <w:pPr>
        <w:pStyle w:val="Extracto"/>
      </w:pPr>
    </w:p>
    <w:p w:rsidR="005728DD" w:rsidRDefault="005728DD" w:rsidP="005728DD">
      <w:pPr>
        <w:pStyle w:val="Extracto"/>
      </w:pPr>
      <w:r>
        <w:t>17.</w:t>
      </w:r>
      <w:r>
        <w:tab/>
        <w:t>La expectativa de privacidad que pueden llegar a tener los intervinientes en el proceso comunicativo no solamente es mayor por razón del lugar, o del contexto, donde el proceso de comunicación es mantenido, sino que también existe el riesgo apriorístico de que la intervención pueda afectar a cuestiones relativas al núcleo más profundo de su intimidad. Es en estos casos cuando el mayor grado intrusivo justifica que el tratamiento de los principios de proporcionalidad, necesidad, excepcionalidad, idoneidad, y especialidad, así como la probable duración de la medida, deban ser objeto de una interpretación más estricta [FJ 7].</w:t>
      </w:r>
    </w:p>
    <w:p w:rsidR="005728DD" w:rsidRDefault="005728DD" w:rsidP="005728DD">
      <w:pPr>
        <w:pStyle w:val="Extracto"/>
      </w:pPr>
    </w:p>
    <w:p w:rsidR="005728DD" w:rsidRDefault="005728DD" w:rsidP="005728DD">
      <w:pPr>
        <w:pStyle w:val="Extracto"/>
      </w:pPr>
      <w:r>
        <w:t>18.</w:t>
      </w:r>
      <w:r>
        <w:tab/>
        <w:t xml:space="preserve">Solo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5728DD">
        <w:rPr>
          <w:i/>
        </w:rPr>
        <w:t>iter</w:t>
      </w:r>
      <w:r>
        <w:t xml:space="preserve"> discursivo que conduce de la prueba al hecho probado (SSTC 189/1998, 135/2003, 137/2005 y  26/2010) [FJ 9].</w:t>
      </w:r>
    </w:p>
    <w:p w:rsidR="005728DD" w:rsidRDefault="005728DD" w:rsidP="005728DD">
      <w:pPr>
        <w:pStyle w:val="Extracto"/>
      </w:pPr>
    </w:p>
    <w:p w:rsidR="005728DD" w:rsidRDefault="005728DD" w:rsidP="005728DD">
      <w:pPr>
        <w:pStyle w:val="Extracto"/>
      </w:pPr>
      <w:r>
        <w:t>19.</w:t>
      </w:r>
      <w:r>
        <w:tab/>
        <w:t>La radical falta de competencia de esta jurisdicción de amparo para la valoración de la actividad probatoria practicada en el proceso penal y para la evaluación de dicha valoración conforme a criterios de calidad o de oportunidad, limita la misión del Tribunal Constitucional a supervisar externamente la razonabilidad del discurso que une la actividad probatoria y el relato fáctico resultante (STC 52/2010) [FJ 9].</w:t>
      </w:r>
    </w:p>
    <w:p w:rsidR="005728DD" w:rsidRDefault="005728DD" w:rsidP="005728DD">
      <w:pPr>
        <w:pStyle w:val="Extracto"/>
      </w:pPr>
    </w:p>
    <w:p w:rsidR="005728DD" w:rsidRDefault="005728DD" w:rsidP="005728DD">
      <w:pPr>
        <w:pStyle w:val="Extracto"/>
      </w:pPr>
      <w:r>
        <w:t>20.</w:t>
      </w:r>
      <w:r>
        <w:tab/>
        <w:t>Doctrina sobre el derecho a la presunción de inocencia en relación con supuestos de prueba declarada ilícita (SSTC 81/1998 y 207/2007) [FJ 9].</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 xml:space="preserve">La Sala Primera del Tribunal Constitucional compuesta por el magistrado por don Juan José González Rivas, presidente; los magistrados, don Andrés Ollero Tassara, don Santiago </w:t>
      </w:r>
      <w:r>
        <w:lastRenderedPageBreak/>
        <w:t>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7436-2019, promovido por don Jenri Ramírez Rosario, representado por la procuradora de los tribunales doña Gema Fernández Blanco San Miguel, bajo la dirección del letrado don Emilio Rodríguez Marqueta, contra la providencia de la Sala de lo Penal del Tribunal Supremo de 31 de octubre de 2019, por el que se inadmite el recurso de casación interpuesto contra la sentencia de la Audiencia Provincial de Huesca núm. 91/2019, de 10 de julio, que, a su vez, confirma la sentencia dictada por el Juzgado de lo Penal núm. 1 de Huesca de 10 de abril de 2019. Ha intervenido el Ministerio Fiscal. Ha sido ponente el presidente Juan José González Rivas.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procuradora de los tribunales doña Gema Fernández Blanco San Miguel, en nombre y representación de don Jenri Ramírez Rosario, y bajo la dirección del letrado don Emilio Rodríguez Marqueta, interpuso recurso de amparo contra las resoluciones judiciales que se mencionan en el encabezamiento de esta sentencia, mediante escrito registrado en este tribunal el 20 de diciembre de 2019.</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 xml:space="preserve">a) El grupo de delincuencia organizada de la Unidad Central Operativa de la Guardia Civil remitió el 19 de enero de 2017 al Juzgado de Instrucción núm. 4 de Huesca unas diligencias de investigación iniciadas a raíz de un robo cometido en la sucursal bancaria de Gurrea del Gállego (Huesca). Dichas diligencias concluían reconociendo la existencia de indicios de que estos hechos hubieran sido cometidos por diferentes personas que viajaban a bordo de los vehículos BMW X5, matrícula 9886HND, y Opel Zafira, matrícula 6108DVT, siendo este último propiedad de la esposa de don Carlos Sánchez Olmeda, persona con diversos antecedentes penales por delitos contra el patrimonio. De las indagaciones policiales se concluía asimismo que don Carlos Sánchez Olmeda utilizaría también habitualmente el vehículo Seat León, matrícula 6070HCW, para reunirse con otras personas presuntamente implicadas en la trama, don Santiago Fernández Durán y don José Muñoz Barbosa. En base a esta información, y ante la existencia de indicios de un delito de organización criminal destinada a perpetrar robos en sucursales bancarias, se solicitó al juez que autorizase la instalación de los medios técnicos adecuados para la observación, grabación, y escucha de las conversaciones mantenidas por el investigado don Carlos Sánchez Olmeda con el resto de miembros de la presunta organización criminal, en el interior del vehículo </w:t>
      </w:r>
      <w:r>
        <w:lastRenderedPageBreak/>
        <w:t>de la marca Seat León, matrícula 6070HCW, y mandamiento judicial para que la representación legal de Seat Motor España, S.A., aportara, a la mayor brevedad posible, a los agentes actuantes copia de la llave de apertura del vehículo.</w:t>
      </w:r>
    </w:p>
    <w:p w:rsidR="005728DD" w:rsidRDefault="005728DD" w:rsidP="005728DD">
      <w:pPr>
        <w:pStyle w:val="TextoNormal"/>
      </w:pPr>
    </w:p>
    <w:p w:rsidR="005728DD" w:rsidRDefault="005728DD" w:rsidP="005728DD">
      <w:pPr>
        <w:pStyle w:val="TextoNormal"/>
      </w:pPr>
      <w:r>
        <w:t xml:space="preserve">En fecha 20 de enero de 2017 fue dictado, por el Juzgado de Instrucción núm. 4 de Huesca, auto acordando la observación, grabación, y escucha de las conversaciones mantenidas por el investigado don Carlos Sánchez Olmeda con el resto de miembros de la presunta organización criminal, en el interior del vehículo Seat León, matrícula 6070HCW, y por periodo de tres meses a computar desde el dictado de la resolución judicial. El auto se fundaba en la existencia de indicios de delito, la idoneidad y necesidad, de la medida de investigación solicitada, y la habilitación legal prevista en los artículos 588 </w:t>
      </w:r>
      <w:r w:rsidRPr="005728DD">
        <w:rPr>
          <w:i/>
        </w:rPr>
        <w:t>bis</w:t>
      </w:r>
      <w:r>
        <w:t xml:space="preserve"> c), 588 </w:t>
      </w:r>
      <w:r w:rsidRPr="005728DD">
        <w:rPr>
          <w:i/>
        </w:rPr>
        <w:t>quater</w:t>
      </w:r>
      <w:r>
        <w:t xml:space="preserve"> y siguientes de la Ley de enjuiciamiento criminal (LECrim).</w:t>
      </w:r>
    </w:p>
    <w:p w:rsidR="005728DD" w:rsidRDefault="005728DD" w:rsidP="005728DD">
      <w:pPr>
        <w:pStyle w:val="TextoNormal"/>
      </w:pPr>
    </w:p>
    <w:p w:rsidR="005728DD" w:rsidRDefault="005728DD" w:rsidP="005728DD">
      <w:pPr>
        <w:pStyle w:val="TextoNormal"/>
      </w:pPr>
      <w:r>
        <w:t>b) En fecha 1 de febrero de 2017 fue presentado, por el grupo de delincuencia organizada de la Unidad Central Operativa de la Guardia Civil, diligencias ampliatorias solicitando al juez que autorizase la instalación de los medios técnicos adecuados para la observación, grabación y escucha de las conversaciones mantenidas por el investigado don Carlos Sánchez Olmeda con el resto de miembros de la presunta organización criminal, en el interior del vehículo de la marca Fiat Stylo, matrícula 4271CSF. Dicha petición se fundaba en que, de las vigilancias practicadas por la Unidad Central Operativa de la Guardia Civil, se habían obtenido indicios de que el señor Sánchez Olmeda habría utilizado también el vehículo Fiat Stylo, matrícula 4271CSF, para celebrar reuniones con los también investigados don Juan Miguel Perales Baldan y don José Muñoz Barbosa.</w:t>
      </w:r>
    </w:p>
    <w:p w:rsidR="005728DD" w:rsidRDefault="005728DD" w:rsidP="005728DD">
      <w:pPr>
        <w:pStyle w:val="TextoNormal"/>
      </w:pPr>
    </w:p>
    <w:p w:rsidR="005728DD" w:rsidRDefault="005728DD" w:rsidP="005728DD">
      <w:pPr>
        <w:pStyle w:val="TextoNormal"/>
      </w:pPr>
      <w:r>
        <w:t xml:space="preserve">En fecha 1 de febrero de 2017 fue dictado, por el Juzgado de Instrucción núm. 4 de Huesca, auto acordando la observación, grabación y escucha de las conversaciones mantenidas por el investigado don Carlos Sánchez Olmeda con el resto de miembros de la presunta organización criminal, en el interior del vehículo Fiat Stylo, matrícula 4271CSF, y por periodo de tres meses a computar desde el dictado de la resolución judicial. El auto se fundaba en la existencia de indicios de delito, la idoneidad y necesidad de la medida de investigación solicitada, y la habilitación legal prevista en los artículos 588 </w:t>
      </w:r>
      <w:r w:rsidRPr="005728DD">
        <w:rPr>
          <w:i/>
        </w:rPr>
        <w:t>bis</w:t>
      </w:r>
      <w:r>
        <w:t xml:space="preserve"> c), 588 </w:t>
      </w:r>
      <w:r w:rsidRPr="005728DD">
        <w:rPr>
          <w:i/>
        </w:rPr>
        <w:t>quater</w:t>
      </w:r>
      <w:r>
        <w:t xml:space="preserve"> y siguientes LECrim.</w:t>
      </w:r>
    </w:p>
    <w:p w:rsidR="005728DD" w:rsidRDefault="005728DD" w:rsidP="005728DD">
      <w:pPr>
        <w:pStyle w:val="TextoNormal"/>
      </w:pPr>
    </w:p>
    <w:p w:rsidR="005728DD" w:rsidRDefault="005728DD" w:rsidP="005728DD">
      <w:pPr>
        <w:pStyle w:val="TextoNormal"/>
      </w:pPr>
      <w:r>
        <w:t>c) El 10 de marzo de 2017, y como consecuencia de la detención de los investigados, fueron finalmente alzadas las medidas de captación y grabación de las comunicaciones orales en el interior de los vehículos Seat León y Fiat Stylo.</w:t>
      </w:r>
    </w:p>
    <w:p w:rsidR="005728DD" w:rsidRDefault="005728DD" w:rsidP="005728DD">
      <w:pPr>
        <w:pStyle w:val="TextoNormal"/>
      </w:pPr>
    </w:p>
    <w:p w:rsidR="005728DD" w:rsidRDefault="005728DD" w:rsidP="005728DD">
      <w:pPr>
        <w:pStyle w:val="TextoNormal"/>
      </w:pPr>
      <w:r>
        <w:t xml:space="preserve">d) Por sentencia de fecha 10 de abril de 2019, el Juzgado de lo Penal núm. 1 de Huesca condenó al demandante de amparo: (i) como autor de un delito de integración en grupo criminal del art. 570 </w:t>
      </w:r>
      <w:r w:rsidRPr="005728DD">
        <w:rPr>
          <w:i/>
        </w:rPr>
        <w:t>ter</w:t>
      </w:r>
      <w:r>
        <w:t xml:space="preserve"> 1 b) del Código penal (CP), a la pena de un año de prisión y accesoria de inhabilitación especial para el sufragio pasivo durante el tiempo de la condena; (ii) como autor de un delito continuado de robo con fuerza en edificio abierto al público de los arts. 237; 238.2, 3 y 4; 241.1 y 74.2 CP, en concurso medial con un delito continuado de falsificación en documento oficial de los arts. 392.1, 390.1.2, y 74.1CP, a la pena de cinco años de prisión y accesoria de inhabilitación especial para el sufragio pasivo durante el tiempo de la condena; (iii) como autor de un delito de tenencia ilícita de armas de los arts. 564.1.2, 564.2.1 y 570.1 CP, a la pena de prisión de dos años, accesoria de inhabilitación especial para el sufragio pasivo durante el tiempo de la condena, y privación del derecho a </w:t>
      </w:r>
      <w:r>
        <w:lastRenderedPageBreak/>
        <w:t>la tenencia y porte de armas durante cinco años, y (iv) como autor de un delito de conducción sin permiso del art. 384 CP, a la pena de seis meses de prisión e inhabilitación especial para el sufragio pasivo durante el tiempo de la condena.</w:t>
      </w:r>
    </w:p>
    <w:p w:rsidR="005728DD" w:rsidRDefault="005728DD" w:rsidP="005728DD">
      <w:pPr>
        <w:pStyle w:val="TextoNormal"/>
      </w:pPr>
    </w:p>
    <w:p w:rsidR="005728DD" w:rsidRDefault="005728DD" w:rsidP="005728DD">
      <w:pPr>
        <w:pStyle w:val="TextoNormal"/>
      </w:pPr>
      <w:r>
        <w:t>Dicha sentencia declara probado que el recurrente, junto a otros acusados, se concertó para desarrollar una actividad de entradas y forzamientos de las cajas fuertes de diferentes entidades bancarias pertenecientes a municipios de escasa población en los que no existía cuartel de la Guardia Civil. Esta actividad criminal, que se desarrolló desde junio de 2016 hasta marzo de 2017, se caracterizaba por la realización de diferentes actividades dedicadas a atentar contra el patrimonio ajeno, con permanencia en el tiempo, y funciones claramente divididas, ejecutadas por cada uno de sus miembros de manera autónoma, pero con sometimiento a don Juan Miguel Perales Baldan, al que informaban y consultaban sobre todas las vicisitudes que surgían durante el desarrollo de las tareas encomendadas. La separación de las funciones de cada miembro del grupo se mantuvo durante todo el tiempo en los que se desarrollaron las actividades atentatorias contra la propiedad ajena, alcanzando cada uno de los condenados niveles de especialización en su materia, de responsabilidad y destreza en el uso de medios técnicos tanto para la consecución de su fin delictivo, como para la elusión de la acción de los agentes de la autoridad.</w:t>
      </w:r>
    </w:p>
    <w:p w:rsidR="005728DD" w:rsidRDefault="005728DD" w:rsidP="005728DD">
      <w:pPr>
        <w:pStyle w:val="TextoNormal"/>
      </w:pPr>
    </w:p>
    <w:p w:rsidR="005728DD" w:rsidRDefault="005728DD" w:rsidP="005728DD">
      <w:pPr>
        <w:pStyle w:val="TextoNormal"/>
      </w:pPr>
      <w:r>
        <w:t>La sentencia declara que el recurrente, don Jenri Ramírez Rosario, formaba parte estable de esta estructura criminal. Sus funciones, que se centraban en la participación en la ejecución material de los robos, consistía en entrar, junto a otros de los encausados, en las sucursales bancarias, forzar las cajas fuertes, y anular, mediante diferente metodología, las medidas de seguridad de las que aquellas dispusiesen. Estas actividades eran ejecutadas al mismo tiempo que otros miembros del grupo efectuaban tareas de vigilancia en el exterior de las sucursales.</w:t>
      </w:r>
    </w:p>
    <w:p w:rsidR="005728DD" w:rsidRDefault="005728DD" w:rsidP="005728DD">
      <w:pPr>
        <w:pStyle w:val="TextoNormal"/>
      </w:pPr>
    </w:p>
    <w:p w:rsidR="005728DD" w:rsidRDefault="005728DD" w:rsidP="005728DD">
      <w:pPr>
        <w:pStyle w:val="TextoNormal"/>
      </w:pPr>
      <w:r>
        <w:t>Una vez producida la apropiación de dinero, y conseguida la huida del lugar, la sentencia consigna como el señor Ramírez Rosario era el encargado de guardar el vehículo utilizado en la perpetración del ilícito, así como dejar a los demás integrantes del grupo criminal en sus respectivos automóviles. El botín era repartido posteriormente.</w:t>
      </w:r>
    </w:p>
    <w:p w:rsidR="005728DD" w:rsidRDefault="005728DD" w:rsidP="005728DD">
      <w:pPr>
        <w:pStyle w:val="TextoNormal"/>
      </w:pPr>
    </w:p>
    <w:p w:rsidR="005728DD" w:rsidRDefault="005728DD" w:rsidP="005728DD">
      <w:pPr>
        <w:pStyle w:val="TextoNormal"/>
      </w:pPr>
      <w:r>
        <w:t>La sentencia refiere que para la ejecución material de los robos se sustraía previamente un vehículo de alta gama y se le cambiaban las matriculas con el fin de evitar que fuera identificado.</w:t>
      </w:r>
    </w:p>
    <w:p w:rsidR="005728DD" w:rsidRDefault="005728DD" w:rsidP="005728DD">
      <w:pPr>
        <w:pStyle w:val="TextoNormal"/>
      </w:pPr>
    </w:p>
    <w:p w:rsidR="005728DD" w:rsidRDefault="005728DD" w:rsidP="005728DD">
      <w:pPr>
        <w:pStyle w:val="TextoNormal"/>
      </w:pPr>
      <w:r>
        <w:t xml:space="preserve">En el marco de este relato fáctico, la resolución declara probado la participación del recurrente en los siguientes hechos: (i) intento de sustracción en la sucursal bancaria de Bantierra, en la localidad de Gurrea de Gállego (Huesca), el día 12 de octubre de 2016. Con ocasión de estos hechos se utilizó el vehículo BMW X5, matrícula 5738HJF, que había sido sustraído el 5 de junio de 2016, y cuyas matrículas habrían sido previamente alteradas; (ii) sustracción del vehículo Honda Accord, matrícula 8399GXL, en la localidad de Getafe (Madrid), los días 10-11 de enero de 2017; (iii) elaboración y colocación de matrículas falsas en el vehículo Honda Accord, matrícula 8399GXL; (iv) intento de sustracción del vehículo BMW X6, matrícula 3528GPR, en la localidad de Villaviciosa de Odón (Madrid), el día 1 de febrero de 2017; (v) sustracción del vehículo BMW X6, matrícula 8389HGN, en la localidad de Alcalá de Henares (Madrid), el día 3 de febrero de 2017; (vi) falsificación de las matrículas del vehículo BMW X6, matrícula 8389HGN, (vii) intento de sustracción en la </w:t>
      </w:r>
      <w:r>
        <w:lastRenderedPageBreak/>
        <w:t>sucursal bancaria de Liberbank, en la localidad de Ontígola (Toledo), el día 8 de febrero de 2017. En relación a estos hechos no se consiguió sustraer cantidad monetaria alguna; (viii) sustracción del vehículo BMW X5, matrícula 9311GZN, en Madrid los días 10-11 de febrero de 2017; (ix) elaboración de matrícula falsa en el vehículo BMW X5, matrícula 9311GZN; (x) intento de sustracción en la sucursal bancaria de Caja Rural, en la localidad de Cabezamesada (Toledo), el día 17 de febrero de 2017. Con ocasión de estos hechos no se consiguió sustraer cantidad monetaria alguna; (xi) sustracción en la sucursal bancaria de Caja España de Inversiones, en la localidad de Cabeza de Valdunciel (Salamanca), el día 21 de febrero de 2017. Con ocasión de estos hechos fueron sustraídos 52 374,46 €; (xii) sustracción en la sucursal bancaria de Ibercaja, en la localidad de Ontinar del Salz (Zaragoza), el día 24 de febrero de 2017. Con ocasión de estos hechos fueron sustraídos 19 019,11 €; (xiii) intento de sustracción en la sucursal bancaria de Caja Rural de Aragón, en la localidad de Grisén (Zaragoza), el día 24 de febrero de 2017. Con ocasión de estos hechos no se consiguió sustraer cantidad monetaria alguna; (xiv) intento de sustracción en la sucursal bancaria de Caja Rural de Extremadura, en la localidad de Mirandilla (Badajoz), el día 28 de febrero de 2017. Con ocasión de estos hechos no se consiguió sustraer cantidad monetaria alguna; (xv) sustracción en la sucursal bancaria de BBVA, en la localidad de Mataporquera (Cantabria), el día 7 de marzo de 2017. Con ocasión de estos hechos no se consiguió sustraer cantidad monetaria alguna; (xvi) tenencia de armas sin disponer del correspondiente permiso.</w:t>
      </w:r>
    </w:p>
    <w:p w:rsidR="005728DD" w:rsidRDefault="005728DD" w:rsidP="005728DD">
      <w:pPr>
        <w:pStyle w:val="TextoNormal"/>
      </w:pPr>
    </w:p>
    <w:p w:rsidR="005728DD" w:rsidRDefault="005728DD" w:rsidP="005728DD">
      <w:pPr>
        <w:pStyle w:val="TextoNormal"/>
      </w:pPr>
      <w:r>
        <w:t>La sentencia también declaraba probado que el recurrente, desde junio de 2016 hasta febrero de 2017, conducía habitualmente los vehículos con los que fueron perpetrados los robos a pesar de que había sido privado del derecho a conducir vehículos a motor y ciclomotores, por sentencia de 23 de abril de 2015, dictada por el Juzgado de lo Penal núm. 3 de Madrid, durante un periodo de dos años, y por sentencia de 21 de octubre de 2016, dictada por la Audiencia Provincial de Madrid, durante un periodo de un año y un día, con previsión de fin de cumplimiento el 30 de marzo de 2017.</w:t>
      </w:r>
    </w:p>
    <w:p w:rsidR="005728DD" w:rsidRDefault="005728DD" w:rsidP="005728DD">
      <w:pPr>
        <w:pStyle w:val="TextoNormal"/>
      </w:pPr>
    </w:p>
    <w:p w:rsidR="005728DD" w:rsidRDefault="005728DD" w:rsidP="005728DD">
      <w:pPr>
        <w:pStyle w:val="TextoNormal"/>
      </w:pPr>
      <w:r>
        <w:t>En el fundamento jurídico primero (apartado E) se analiza, y rechaza, la denunciada vulneración del derecho a la tutela judicial efectiva (art. 24.1 CE), derecho a la intimidad (art. 18.1 CE), y derecho al secreto de las comunicaciones (art. 18.3 CE), como consecuencia de la instalación de dispositivos de escuchas ambientales en el interior de los vehículos Seat León y Fiat Stylo. En dicho fundamento jurídico se considera que no solamente concurrían indicios suficientes para acordar estas medidas de investigación, sino que, además, la instalación de los mismos durante un periodo de tres meses era plenamente acorde a la regulación legal establecida en la Ley de enjuiciamiento criminal. En relación con ello, la sentencia sostiene:</w:t>
      </w:r>
    </w:p>
    <w:p w:rsidR="005728DD" w:rsidRDefault="005728DD" w:rsidP="005728DD">
      <w:pPr>
        <w:pStyle w:val="TextoNormal"/>
      </w:pPr>
    </w:p>
    <w:p w:rsidR="005728DD" w:rsidRDefault="005728DD" w:rsidP="005728DD">
      <w:pPr>
        <w:pStyle w:val="TextoNormal"/>
      </w:pPr>
      <w:r>
        <w:t xml:space="preserve">“Pues bien, a la hora de valorar la autorización de la medida de captación y grabación de comunicaciones orales mediante la utilización de dispositivos electrónicos debe tenerse en cuenta que no es lo mismo la grabación de tales comunicaciones según el lugar en que se desarrollen. Pues si la captación de las conversaciones en el domicilio del investigado supone una injerencia de especial intensidad en el derecho a la intimidad, al secreto de las comunicaciones y a la inviolabilidad del domicilio, la captación de aquellas en otros lugares, cuando se ha constatado que es allí donde se llevan a cabo las conversaciones relacionadas con el delito que se está investigando, supone una injerencia de menor entidad. Porque si en el domicilio es donde la persona desarrolla las funciones más elementales de la vida y la </w:t>
      </w:r>
      <w:r>
        <w:lastRenderedPageBreak/>
        <w:t xml:space="preserve">medida puede afectar no solo al investigado sino a toda la unidad familiar, no puede decirse lo mismo cuando esos dispositivos electrónicos se instalan, como es el caso, en un vehículo, donde se ha comprobado previamente por los investigadores que se llevan a cabo reuniones del sujeto inicialmente investigado con los demás integrantes del grupo criminal. Se sostiene por la defensa que no existían indicios de que el Sr. Sánchez fuera el usuario habitual de ese vehículo, ni de su participación en los hechos delictivos, pero la relación de indicios que se acaban de narrar permite desmentir esa afirmación. Existían indicios suficientes y sospechas fehacientes de la participación del Sr. Sánchez tanto en el robo de Gurrea como en el de Cadreita, localidades a las que se había desplazado utilizando el Opel Zafira y se había detectado un nuevo vehículo utilizado por el mismo, Seat León, en cuyo interior se había reunido con personas que podían estar también implicadas en esos hechos, de modo que la medida aparecía como idónea y necesaria o, con los términos utilizados en el art. 588 </w:t>
      </w:r>
      <w:r w:rsidRPr="005728DD">
        <w:rPr>
          <w:i/>
        </w:rPr>
        <w:t>quater</w:t>
      </w:r>
      <w:r>
        <w:t xml:space="preserve"> b), podía racionalmente preverse que la utilización de los dispositivos aportaría datos esenciales y de relevancia probatoria para el esclarecimiento de los hechos y la identificación de sus autores.</w:t>
      </w:r>
    </w:p>
    <w:p w:rsidR="005728DD" w:rsidRDefault="005728DD" w:rsidP="005728DD">
      <w:pPr>
        <w:pStyle w:val="TextoNormal"/>
      </w:pPr>
    </w:p>
    <w:p w:rsidR="005728DD" w:rsidRDefault="005728DD" w:rsidP="005728DD">
      <w:pPr>
        <w:pStyle w:val="TextoNormal"/>
      </w:pPr>
      <w:r>
        <w:t xml:space="preserve">La alegación de nulidad se basa fundamentalmente en el lapso temporal por el que el auto de 20 de enero concede la medida, pues la defensa sostiene que la ley solo autoriza la utilización de esos medios de escucha y grabación para encuentros perfectamente individualizados y que deben concretarse en la resolución, mientras que el auto concede esa medida por un plazo de tres meses de forma indiscriminada. Pero ello no es exacto y exige algunas matizaciones: es cierto que el capítulo VI no contiene entre sus previsiones un límite de duración de la medida, como sucede en otros capítulos, puesto que vincula la medida a las comunicaciones que puedan tener lugar en uno o varios encuentros concretos del investigado con otras personas. Pero tal mención no puede significar que la concreción de los encuentros deba conocerse anticipadamente con exactitud de fecha y hora, pues ello haría que la medida fuera imposible de adoptar en la mayoría de los casos. Por eso el art. 588 </w:t>
      </w:r>
      <w:r w:rsidRPr="005728DD">
        <w:rPr>
          <w:i/>
        </w:rPr>
        <w:t>quater</w:t>
      </w:r>
      <w:r>
        <w:t xml:space="preserve"> b) se refiere a uno o varios encuentros concretos del investigado sobre cuya previsibilidad haya indicios puestos de manifiesto por la investigación. De modo que, si bien no se trata de permitir la colocación indiscriminada de micrófonos para captar cualesquiera conversaciones y seleccionar posteriormente las relevantes, como sucede con las intervenciones telefónicas, la concreción de los encuentros no exige que tengan el detalle que pretende la defensa, sino solamente que sean previsibles de acuerdo con los resultados de la investigación.</w:t>
      </w:r>
    </w:p>
    <w:p w:rsidR="005728DD" w:rsidRDefault="005728DD" w:rsidP="005728DD">
      <w:pPr>
        <w:pStyle w:val="TextoNormal"/>
      </w:pPr>
    </w:p>
    <w:p w:rsidR="005728DD" w:rsidRDefault="005728DD" w:rsidP="005728DD">
      <w:pPr>
        <w:pStyle w:val="TextoNormal"/>
      </w:pPr>
      <w:r>
        <w:t xml:space="preserve">En este sentido, al analizar el grado de concreción que debe darse para que la adopción de la medida resulte ajustada a la regulación legal, la circular de la Fiscalía General del Estado 3/2019 concluye que son tres los criterios que van a precisar o concretar el encuentro, haciendo que el mismo no sea genérico y que, por lo tanto, la captación o grabación de sus conversaciones o imágenes no pueda ser considerada indiscriminada: la precisión o concreción locativa, la precisión o concreción subjetiva y la precisión o concreción temporal. Y respecto de esta última aclara que ‘la concreción que exige el legislador en relación con este elemento temporal va a venir determinada por la existencia de indicios que precisen la previsibilidad de los encuentros, independientemente del lapso temporal a lo largo del cual vayan a tener lugar. Aunque se desconozca el momento exacto del encuentro, será concreto si indiciariamente puede preverse su existencia’, de modo que tan concreta resultaría la previsión de un encuentro en un día y hora determinado, como la previsión de los encuentros que el investigado vaya a tener con otra persona en un lugar determinado en los treinta días </w:t>
      </w:r>
      <w:r>
        <w:lastRenderedPageBreak/>
        <w:t>siguientes a la adopción de la medida. Y tiene especial relevancia la mención que se hace a las organizaciones o grupos criminales, en las que es frecuente que sus integrantes mantengan reuniones periódicas en lugares concertados previamente con la finalidad de preparar y desarrollar su actividad delictiva, evitando de esta forma una eventual interceptación de sus comunicaciones, refiriéndose como ejemplo a reuniones una vez a la semana en el interior de un vehículo o en un determinado establecimiento público. En estos casos, afirma la circular, si conforme a lo anteriormente expuesto puede concretarse el lugar y las personas asistentes a la reunión, bastaría con la aportación de indicios fundados acerca de la previsibilidad de esos encuentros para considerarlos concretos en el lapso temporal al que alcance esa previsibilidad (una o varias semanas, por ejemplo).</w:t>
      </w:r>
    </w:p>
    <w:p w:rsidR="005728DD" w:rsidRDefault="005728DD" w:rsidP="005728DD">
      <w:pPr>
        <w:pStyle w:val="TextoNormal"/>
      </w:pPr>
    </w:p>
    <w:p w:rsidR="005728DD" w:rsidRDefault="005728DD" w:rsidP="005728DD">
      <w:pPr>
        <w:pStyle w:val="TextoNormal"/>
      </w:pPr>
      <w:r>
        <w:t xml:space="preserve">Se alega también por la defensa que la exposición de motivos de la Ley Orgánica 13/2015, al referirse a esta medida en concreto, señala que ‘el dispositivo de escucha y, en su caso, las cámaras a él asociadas, deberán desactivarse tan pronto finalice la conversación cuya captación fue permitida, como se desprende del artículo 588 </w:t>
      </w:r>
      <w:r w:rsidRPr="005728DD">
        <w:rPr>
          <w:i/>
        </w:rPr>
        <w:t>quater</w:t>
      </w:r>
      <w:r>
        <w:t xml:space="preserve"> c)’, por lo que sostiene que el dispositivo debía activarse y desactivarse para cada conversación. Pero sabido es que la exposición de motivos o preámbulo de una ley, con ser importante para la interpretación de la norma, carece en sí misma de valor normativo, y lo cierto es que el art. 588 </w:t>
      </w:r>
      <w:r w:rsidRPr="005728DD">
        <w:rPr>
          <w:i/>
        </w:rPr>
        <w:t>quater</w:t>
      </w:r>
      <w:r>
        <w:t xml:space="preserve"> c) no establece expresamente esa activación y desactivación del dispositivo en cada conversación cuya captación haya sido permitida, ni tampoco lo dice en realidad la exposición de motivos, que solo establece la desconexión una vez concluida la conversación objeto de seguimiento, por lo que si se trata, no de una conversación única, sino de las que vayan a realizar los investigados en un lapso de tiempo en ese concreto lugar, el dispositivo puede mantenerse. Lo que el precepto establece es que la resolución judicial deberá contener una mención concreta al lugar o dependencias, así como a los encuentros del investigado que van a ser sometidos a vigilancia. Y en cuanto a esta previsión, hay que convenir que las situaciones que pueden plantearse son muy diversas y la norma debe interpretarse adaptándola a cada una de esas situaciones. Porque no es lo mismo la captación de conversaciones en un lugar fijo concreto (un domicilio, una cafetería, etc.), que pueden ser sometidas a una vigilancia estática y comprobar cuándo se llevan a cabo, que las conversaciones que se van a producir en un objeto móvil como un coche, ya que la vigilancia y el seguimiento de este ofrece mayores dificultades y si, como se ha descrito por los testigos en este caso, el conductor realiza maniobras evasivas o de contra vigilancia, es posible que haya de suspenderse el seguimiento, sin saber cuál es el momento concreto en que se reúnen todas las personas y se inicia una conversación, aunque se tengan indicios suficientes y sospechas razonables de que esa conversación se va a producir.</w:t>
      </w:r>
    </w:p>
    <w:p w:rsidR="005728DD" w:rsidRDefault="005728DD" w:rsidP="005728DD">
      <w:pPr>
        <w:pStyle w:val="TextoNormal"/>
      </w:pPr>
    </w:p>
    <w:p w:rsidR="005728DD" w:rsidRDefault="005728DD" w:rsidP="005728DD">
      <w:pPr>
        <w:pStyle w:val="TextoNormal"/>
      </w:pPr>
      <w:r>
        <w:t xml:space="preserve">Por último, debe destacarse que el art. 588 </w:t>
      </w:r>
      <w:r w:rsidRPr="005728DD">
        <w:rPr>
          <w:i/>
        </w:rPr>
        <w:t>quater</w:t>
      </w:r>
      <w:r>
        <w:t xml:space="preserve"> e), al regular el cese de la medida, se remite a las causas previstas en el artículo 588 </w:t>
      </w:r>
      <w:r w:rsidRPr="005728DD">
        <w:rPr>
          <w:i/>
        </w:rPr>
        <w:t>bis</w:t>
      </w:r>
      <w:r>
        <w:t xml:space="preserve"> j), esto es, ‘cuando desaparezcan las circunstancias que justificaron su adopción o resulte evidente que a través de la misma no se están obteniendo los resultados pretendidos, y, en todo caso, cuando haya transcurrido el plazo para el que hubiera sido autorizada’. Debe concluirse, por tanto, que cuando al juez de instrucción se le presentan indicios relevantes y solventes sobre determinados encuentros previsibles y de interés para la investigación que se van a prolongar en el tiempo, puede fijar un plazo de duración de la misma.</w:t>
      </w:r>
    </w:p>
    <w:p w:rsidR="005728DD" w:rsidRDefault="005728DD" w:rsidP="005728DD">
      <w:pPr>
        <w:pStyle w:val="TextoNormal"/>
      </w:pPr>
    </w:p>
    <w:p w:rsidR="005728DD" w:rsidRDefault="005728DD" w:rsidP="005728DD">
      <w:pPr>
        <w:pStyle w:val="TextoNormal"/>
      </w:pPr>
      <w:r>
        <w:t xml:space="preserve">Tal es lo que sucede en el presente caso y en esos términos está autorizada la medida por el auto de 20 de enero de 2017, por más que se pueda considerar que el lapso temporal es </w:t>
      </w:r>
      <w:r>
        <w:lastRenderedPageBreak/>
        <w:t>excesivamente amplio. Y es que la citada resolución dice literalmente lo siguiente en su parte dispositiva: ‘Se autoriza la instalación de los medios técnicos adecuados para la observación, grabación y escucha de las conversaciones mantenidas por el investigado Carlos Sánchez Olmeda con el resto de los miembros de la organización criminal investigada en este procedimiento en el interior del vehículo de la marca Seat, modelo León, matrícula 6070-HCW, el cual será instalado por personal especializado afecto a la Unidad Central Operativa de la Guardia Civil. […] La autorización se concede por el plazo inicial de tres meses, que se computará desde la fecha de la presente autorización judicial.’ Existe por tanto una concreción locativa (vehículo Seat León), una concreción subjetiva (conversaciones de Sánchez Olmeda con el resto de miembros del grupo criminal investigado, pues en ese momento ya están identificados José Muñoz Barbosa, Juan Miguel Perales Baldán y Santiago Fernández Durán, habiéndose constatado además que en el robo perpetrado en Cadreita intervienen al menos seis personas) y también una concreción temporal (pues habiéndose detectado la existencia de reuniones previas en el interior del vehículo, era previsible su continuidad durante el lapso de tiempo en que se concede la autorización).</w:t>
      </w:r>
    </w:p>
    <w:p w:rsidR="005728DD" w:rsidRDefault="005728DD" w:rsidP="005728DD">
      <w:pPr>
        <w:pStyle w:val="TextoNormal"/>
      </w:pPr>
    </w:p>
    <w:p w:rsidR="005728DD" w:rsidRDefault="005728DD" w:rsidP="005728DD">
      <w:pPr>
        <w:pStyle w:val="TextoNormal"/>
      </w:pPr>
      <w:r>
        <w:t xml:space="preserve">Por lo demás, sucede que no se han aportado a las actuaciones grabaciones procedentes del vehículo Seat León ni se hace referencia alguna a ellas en los posteriores oficios policiales, pese a que Sánchez Olmeda fue visto en numerosas vigilancias conduciendo el vehículo, y ello hasta el punto de que cuando se procede a la detención de los investigados y se solicita el cese de las distintas medidas de seguimiento o intervención acordadas no se menciona este dispositivo de escucha, lo que lleva a pensar que no llegó a instalarse, o que no llegó a funcionar. En este sentido fue preguntado en la vista el teniente de la Guardia civil F64494B, quien manifestó que creía que sí se activó pero que quizá hubo problemas. Resulta así que la colocación de un dispositivo de escucha en el Seat León no ha tenido incidencia alguna en el desarrollo de la investigación ni las conversaciones mantenidas en su interior —si es que existieron— sirven para conformar el juicio probatorio, por lo que tampoco procedería analizar la conexión de antijuridicidad de esas supuestas conversaciones que pudiera conducir a declarar la nulidad de los autos dictados posteriormente autorizando otras intervenciones o diligencias. No ha existido, en definitiva, vulneración de lo dispuesto en el art. 588 </w:t>
      </w:r>
      <w:r w:rsidRPr="005728DD">
        <w:rPr>
          <w:i/>
        </w:rPr>
        <w:t>quater</w:t>
      </w:r>
      <w:r>
        <w:t xml:space="preserve"> a), b) y c), por lo que no procede declarar la nulidad del auto de 20 de enero de 2017, ni existe por tanto la alegada conexión de antijuridicidad con el restante material probatorio.</w:t>
      </w:r>
    </w:p>
    <w:p w:rsidR="005728DD" w:rsidRDefault="005728DD" w:rsidP="005728DD">
      <w:pPr>
        <w:pStyle w:val="TextoNormal"/>
      </w:pPr>
    </w:p>
    <w:p w:rsidR="005728DD" w:rsidRDefault="005728DD" w:rsidP="005728DD">
      <w:pPr>
        <w:pStyle w:val="TextoNormal"/>
      </w:pPr>
      <w:r>
        <w:t xml:space="preserve">Aunque no haya sido expresamente impugnado, sino por la ya mencionada conexión de antijuridicidad con el auto de 20 de enero, otro tanto cabe decir de la instalación del mismo tipo de dispositivo en el vehículo Fiat Stilo matrícula 4271CSF, que fue solicitada por oficio policial de 1 de febrero de 2017 y autorizada por auto de la misma fecha, junto con la autorización para el dispositivo de seguimiento que se había instalado con carácter previo. Y es que la parte dispositiva del auto concede la autorización en idénticos términos, por lo que igualmente se cumple con las concreciones locativa, subjetiva y temporal ya mencionadas. Y la previsibilidad de la existencia de tales reuniones respecto de este segundo vehículo viene explicitada en el oficio policial donde se da cuenta de que el día 25 de enero de 2017 a las 09:00 horas se estableció un operativo de vigilancia sobre el vehículo Seat León ya mencionado, comprobando cómo Sánchez Olmeda recogía a las 12:25 horas a José Muñoz Barbosa y aparcaba posteriormente el vehículo junto al Opel Corsa 7837DJY, relacionado con Juan Miguel Perales Baldán. Posteriormente se localizó a Carlos Sánchez Olmeda conduciendo el vehículo Fiat Stilo, en compañía de las otras dos personas donde, tras estacionar, </w:t>
      </w:r>
      <w:r>
        <w:lastRenderedPageBreak/>
        <w:t>permanecieron conversando unos minutos, hasta abandonarlo, dirigiéndose a los otros dos vehículos ya mencionados. De nuevo el día 27 de enero de 2017, en otro operativo de vigilancia, se localiza a Carlos Sánchez Olmeda, quien se dirige andando hasta encontrarse con José Muñoz Barbosa, y ambos se trasladan hasta donde está aparcado el Fiat Stilo, con el cual se dirigen hasta el tanatorio de la M-30, donde recogen a Juan Miguel Perales Baldán y con este vehículo se desplazan hasta la localidad de Lorca (Murcia), donde cesa el seguimiento al detectar que están realizando maniobras de contra vigilancia, de modo que habiéndose constatado la existencia de encuentros y reuniones previas, era previsible que estas continuasen en dicho vehículo, por lo que sirve lo anteriormente dicho respecto del otro vehículo. Pero sobre todo ello, hay un aspecto de especial relevancia que merece ser destacado y es que, así como en cuanto al Seat León se da cuenta en una de las vigilancias (25 de enero de 2017) que Sánchez Olmeda lo utiliza para recoger a su pareja, el Fiat Stilo es utilizado por los integrantes del grupo investigado única y exclusivamente para sus reuniones y actividades delictivas, hasta el punto de que en la mayoría de ocasiones Sánchez Olmeda se dirige con el Seat León al lugar donde está aparcado el Fiat Stilo y es con este segundo vehículo con el cual se desplaza en compañía de las demás personas investigadas, lo que se va confirmando durante el desarrollo de la medida y así se da cuenta en los oficios de 27 de febrero y 6 de marzo de 2017, de modo que el fundamento para la instalación de los dispositivos de geolocalización y escucha en el mismo aparece especialmente reforzado”.</w:t>
      </w:r>
    </w:p>
    <w:p w:rsidR="005728DD" w:rsidRDefault="005728DD" w:rsidP="005728DD">
      <w:pPr>
        <w:pStyle w:val="TextoNormal"/>
      </w:pPr>
    </w:p>
    <w:p w:rsidR="005728DD" w:rsidRDefault="005728DD" w:rsidP="005728DD">
      <w:pPr>
        <w:pStyle w:val="TextoNormal"/>
      </w:pPr>
      <w:r>
        <w:t>La prueba de cargo en la que se sustenta la condena del recurrente (fundamento jurídico 2) quedaba constituida por el resultado de las vigilancias efectuadas por el grupo de delincuencia organizada de la Unidad Central Operativa de la Guardia Civil donde se pudo observar varios encuentros del señor Ramírez Rosario con los demás miembros de la trama criminal. En particular la sentencia resalta la presencia del demandante de amparo, junto a los demás encausados, en el parque comercial Cuadernillos de Alcalá de Henares, el día 3 de febrero de 2017, cuando fue sustraído el vehículo BMW, matrícula 8389HGN. También relata la presencia del recurrente el día 8 de febrero de 2017 a bordo del vehículo BMW X6, matrícula 4772GLB. Este vehículo había sido observado circulando junto al Fiat Stylo, matrícula 4271CSF, el día en que fue perpetrado el intento de robo cometido en la localidad Ontígola (Toledo). Con ocasión de dicho ilícito fue identificado el vehículo Fiat Stylo, matrícula 4271CSF, como el utilizado por las personas presuntamente implicadas en los hechos. Se refiere también la presencia del señor Ramírez Rosario a bordo del vehículo BMW X5, matrícula 1312GYB, el día 16 de febrero de 2017. Dicho vehículo fue observado por varios testigos con ocasión del robo cometido el día 17 de febrero en la localidad de Cabezamesada (Toledo). Y también se refiere la presencia del recurrente a bordo de un vehículo BMW X5, matrícula 1312GYB, el día 20 de febrero de 2017 en la localidad de Móstoles. En dicho encuentro fue observada la presencia de los demás encausados a bordo del vehículo Fiat Stylo, vehículo que posteriormente sería geolocalizado en la localidad de Cazada de Valdunciel, el día 21 de febrero de 2017, con ocasión del robo cometido en la sucursal bancaria de dicha localidad. La sentencia también explicita, en los hechos declarados probados, el resultado de la entrada y registro en el domicilio y vehículo del señor Jenri Ramírez Rosario donde fueron encontradas armas, dinero, herramientas de diversa naturaleza, detector de frecuencias GSM y 3G, así como diferentes llaves de vehículo BMW. La sentencia también hace referencia a los resultados derivados de las intervenciones telefónicas y de la geolocalización de los vehículos.</w:t>
      </w:r>
    </w:p>
    <w:p w:rsidR="005728DD" w:rsidRDefault="005728DD" w:rsidP="005728DD">
      <w:pPr>
        <w:pStyle w:val="TextoNormal"/>
      </w:pPr>
    </w:p>
    <w:p w:rsidR="005728DD" w:rsidRDefault="005728DD" w:rsidP="005728DD">
      <w:pPr>
        <w:pStyle w:val="TextoNormal"/>
      </w:pPr>
      <w:r>
        <w:lastRenderedPageBreak/>
        <w:t>El resto de los encausados en dicho procedimiento mostró su conformidad con las penas solicitadas por el Ministerio Fiscal.</w:t>
      </w:r>
    </w:p>
    <w:p w:rsidR="005728DD" w:rsidRDefault="005728DD" w:rsidP="005728DD">
      <w:pPr>
        <w:pStyle w:val="TextoNormal"/>
      </w:pPr>
    </w:p>
    <w:p w:rsidR="005728DD" w:rsidRDefault="005728DD" w:rsidP="005728DD">
      <w:pPr>
        <w:pStyle w:val="TextoNormal"/>
      </w:pPr>
      <w:r>
        <w:t>d) El demandante de amparo interpuso, frente a dicha sentencia, recurso de apelación alegando, entre otros motivos, vulneración del derecho a la intimidad (art. 18.1 CE) y del derecho al secreto de comunicaciones (art. 18.3 CE) por la ilicitud de la prueba obtenida por la colocación de micrófonos en los vehículos anteriormente mencionados. Dicho motivo estaba, además, vinculado con la alegación relativa a la vulneración del derecho a la presunción de inocencia (art. 24.2 CE) toda vez que la ilicitud de dichas pruebas debía extenderse al resto del acervo probatorio, siendo este último, en todo caso, insuficiente para el dictado de una sentencia condenatoria.</w:t>
      </w:r>
    </w:p>
    <w:p w:rsidR="005728DD" w:rsidRDefault="005728DD" w:rsidP="005728DD">
      <w:pPr>
        <w:pStyle w:val="TextoNormal"/>
      </w:pPr>
    </w:p>
    <w:p w:rsidR="005728DD" w:rsidRDefault="005728DD" w:rsidP="005728DD">
      <w:pPr>
        <w:pStyle w:val="TextoNormal"/>
      </w:pPr>
      <w:r>
        <w:t>Estas quejas no fueron aceptadas por la Audiencia Provincial de Huesca (Sección Única) que, por sentencia de 10 de julio de 2019, desestimó el recurso de apelación interpuesto por el demandante de amparo. El análisis de las quejas relativas a la vulneración del derecho a la intimidad (art. 18.1 CE) y secreto de comunicaciones (art. 18.3 CE), se realiza en el fundamento jurídico primero donde se explicita que la interpretación del art. 58</w:t>
      </w:r>
      <w:r w:rsidRPr="005728DD">
        <w:rPr>
          <w:i/>
        </w:rPr>
        <w:t>8 quat</w:t>
      </w:r>
      <w:r>
        <w:t>er LECrim:</w:t>
      </w:r>
    </w:p>
    <w:p w:rsidR="005728DD" w:rsidRDefault="005728DD" w:rsidP="005728DD">
      <w:pPr>
        <w:pStyle w:val="TextoNormal"/>
      </w:pPr>
    </w:p>
    <w:p w:rsidR="005728DD" w:rsidRDefault="005728DD" w:rsidP="005728DD">
      <w:pPr>
        <w:pStyle w:val="TextoNormal"/>
      </w:pPr>
      <w:r>
        <w:t xml:space="preserve">“2. No puede hacerse de forma aislada del resto de los preceptos en los que se articula, puesto que se pierde la vista de conjunto. Así el art. 588 </w:t>
      </w:r>
      <w:r w:rsidRPr="005728DD">
        <w:rPr>
          <w:i/>
        </w:rPr>
        <w:t>quater</w:t>
      </w:r>
      <w:r>
        <w:t xml:space="preserve"> a), da una perspectiva general de la medida, y dice que se podrá autorizar ‘la colocación y utilización de dispositivos electrónicos que permitan la captación y grabación de las comunicaciones orales directas que se mantengan por el investigado’. Aquí se refiere a conversaciones en general y con personas que no es preciso identificar a priori, y tampoco lo refiere a un contacto en concreto. De ahí que utilice la expresión ‘las conversaciones que se mantengan’.</w:t>
      </w:r>
    </w:p>
    <w:p w:rsidR="005728DD" w:rsidRDefault="005728DD" w:rsidP="005728DD">
      <w:pPr>
        <w:pStyle w:val="TextoNormal"/>
      </w:pPr>
    </w:p>
    <w:p w:rsidR="005728DD" w:rsidRDefault="005728DD" w:rsidP="005728DD">
      <w:pPr>
        <w:pStyle w:val="TextoNormal"/>
      </w:pPr>
      <w:r>
        <w:t>3. Sobre esta medida novedosa en nuestro ordenamiento, la captación y grabación de comunicaciones orales abiertas mediante el empleo de dispositivos electrónicos, dice el preámbulo, en apartado IV, ‘solo podrá acordarse para encuentros concretos que vaya a mantener el investigado, debiéndose identificar con precisión el lugar o dependencias sometidos a vigilancia’. Como vemos utiliza el plural, ‘encuentros concretos’ no el singular, aunque ciertamente acaba la explicación reduciendo aparentemente la idea con el uso del singular, ‘deberán desactivarse tan pronto finalice la conversación’ y que ‘no caben autorizaciones de captación y grabación de conversaciones orales de carácter general o indiscriminadas’.</w:t>
      </w:r>
    </w:p>
    <w:p w:rsidR="005728DD" w:rsidRDefault="005728DD" w:rsidP="005728DD">
      <w:pPr>
        <w:pStyle w:val="TextoNormal"/>
      </w:pPr>
    </w:p>
    <w:p w:rsidR="005728DD" w:rsidRDefault="005728DD" w:rsidP="005728DD">
      <w:pPr>
        <w:pStyle w:val="TextoNormal"/>
      </w:pPr>
      <w:r>
        <w:t xml:space="preserve">4. No obstante, la regulación contenida en los artículos 588 </w:t>
      </w:r>
      <w:r w:rsidRPr="005728DD">
        <w:rPr>
          <w:i/>
        </w:rPr>
        <w:t>quater</w:t>
      </w:r>
      <w:r>
        <w:t xml:space="preserve"> no la configura como un único encuentro o una única conversación, sino referida a la injerencia respecto de un único investigado por las conversaciones orales directas que mantenga en uno o varios encuentros concretos con otras personas, en un lugar o dependencias concretas.</w:t>
      </w:r>
    </w:p>
    <w:p w:rsidR="005728DD" w:rsidRDefault="005728DD" w:rsidP="005728DD">
      <w:pPr>
        <w:pStyle w:val="TextoNormal"/>
      </w:pPr>
    </w:p>
    <w:p w:rsidR="005728DD" w:rsidRDefault="005728DD" w:rsidP="005728DD">
      <w:pPr>
        <w:pStyle w:val="TextoNormal"/>
      </w:pPr>
      <w:r>
        <w:t xml:space="preserve">5. La solicitud y la resolución judicial habilitante —autos de 20 de enero de 2017 y 1 de febrero de 2017— no adolecen precisamente de laconismo argumental que sea susceptible de vulnerar el deber constitucional de motivación, sino todo lo contrario, como puede comprobarse con el atento examen de las diligencias. En concreto, en la pieza separada abierta a tal efecto consta la solicitud —folios 1 a 12— donde se justifica la petición, incorporando, incluso, fotografías de tres de los encausados y del vehículo. El auto de 20 de enero de 2017 </w:t>
      </w:r>
      <w:r>
        <w:lastRenderedPageBreak/>
        <w:t>examina extensamente —folios 15 a 21— los requisitos de la medida interesada y de los indicios aportados. Otro tanto cabe decir sobre la segunda petición, en la que se justifica la ampliación de la medida al segundo vehículo —folios 24 a 28—, y la autorización extensamente razonada —folios 30 a 36—.</w:t>
      </w:r>
    </w:p>
    <w:p w:rsidR="005728DD" w:rsidRDefault="005728DD" w:rsidP="005728DD">
      <w:pPr>
        <w:pStyle w:val="TextoNormal"/>
      </w:pPr>
    </w:p>
    <w:p w:rsidR="005728DD" w:rsidRDefault="005728DD" w:rsidP="005728DD">
      <w:pPr>
        <w:pStyle w:val="TextoNormal"/>
      </w:pPr>
      <w:r>
        <w:t>6. En cuanto a la motivación, la doctrina admite la motivación por remisión a los correspondientes antecedentes obrantes en las actuaciones y concretamente a los elementos fácticos que consten en la correspondiente solicitud policial, o en su caso del Ministerio Fiscal, si ‘contiene todos los elementos necesarios para llevar a cabo el juicio de proporcionalidad’, sentencia de 22 de octubre de 2013 que se apoya en las sentencias del Tribunal Constitucional 167/2002, de 18 de septiembre; 184/2003, de 23 de octubre; 259/2005, de 24 de octubre; 136/2006, de 8 de mayo, y del Tribunal Supremo de 6 de mayo de 1997, 14 de abril y 27 de noviembre de 1998, 19 de mayo del 2000 y 11 de mayo de 2001, núm. 807/2001, que cita. Y añade, ‘los autos de autorización de intervenciones telefónicas [doctrina aplicable a los de captación de comunicaciones orales y de seguimiento] pueden ser integrados con el contenido de los respectivos oficios policiales en los que se solicitan las intervenciones en cada caso, de forma que es lícita la motivación por referencia a los mismos, ya que el órgano jurisdiccional carece por sí mismo de la información pertinente y no sería lógico que abriese una investigación paralela al objeto de comprobar los datos suministrados por la Policía Judicial’, como señalan las sentencias de 26 de junio de 2000, 3 de abril y 11 de mayo de 2001, 17 de junio y 25 de octubre de 2002, entre otras muchas. Así pues —concluye—, ‘la motivación en cuanto a los hechos que justifican la adopción de la medida, debe contemplar la individualidad de cada supuesto en particular’.</w:t>
      </w:r>
    </w:p>
    <w:p w:rsidR="005728DD" w:rsidRDefault="005728DD" w:rsidP="005728DD">
      <w:pPr>
        <w:pStyle w:val="TextoNormal"/>
      </w:pPr>
    </w:p>
    <w:p w:rsidR="005728DD" w:rsidRDefault="005728DD" w:rsidP="005728DD">
      <w:pPr>
        <w:pStyle w:val="TextoNormal"/>
      </w:pPr>
      <w:r>
        <w:t>Sobre la aportación o suficiencia de indicios recordaremos la expresión reproducida en numerosas sentencias, por todas la STS 12 de enero de 2017 (ROJ: STS 81/2017 - ECLI:ES:TS:2017:81) como se recuerda en las SSTC 171/1999; 299/2000 y 14/2001 ‘Los indicios son algo más que la simple sospecha, pero también algo menos que los indicios racionales que se exigen para procesar’. El hecho de que la primera de las escuchas no haya proporcionado indicios relevantes, por los motivos que sea, defectos técnicos o irrelevancia de las conversaciones, excusa una mención concreta, cuando de hecho se acuerda el cese de las dos intervenciones en el auto de 10 de marzo de 2017”.</w:t>
      </w:r>
    </w:p>
    <w:p w:rsidR="005728DD" w:rsidRDefault="005728DD" w:rsidP="005728DD">
      <w:pPr>
        <w:pStyle w:val="TextoNormal"/>
      </w:pPr>
    </w:p>
    <w:p w:rsidR="005728DD" w:rsidRDefault="005728DD" w:rsidP="005728DD">
      <w:pPr>
        <w:pStyle w:val="TextoNormal"/>
      </w:pPr>
      <w:r>
        <w:t xml:space="preserve">e) Interpuesto recurso de casación por infracción de ley (por incorrecta aplicación de los art. 235, 241.4, 8.1, 77.3, y 565 CP, y art. 588 </w:t>
      </w:r>
      <w:r w:rsidRPr="005728DD">
        <w:rPr>
          <w:i/>
        </w:rPr>
        <w:t>quater</w:t>
      </w:r>
      <w:r>
        <w:t xml:space="preserve"> Lecrim), este fue inadmitido por providencia del Tribunal Supremo de fecha 31 de octubre de 2019.</w:t>
      </w:r>
    </w:p>
    <w:p w:rsidR="005728DD" w:rsidRDefault="005728DD" w:rsidP="005728DD">
      <w:pPr>
        <w:pStyle w:val="TextoNormal"/>
      </w:pPr>
    </w:p>
    <w:p w:rsidR="005728DD" w:rsidRDefault="005728DD" w:rsidP="005728DD">
      <w:pPr>
        <w:pStyle w:val="TextoNormal"/>
      </w:pPr>
      <w:r w:rsidRPr="005728DD">
        <w:rPr>
          <w:rStyle w:val="NumeroAFNegritaCaracter"/>
        </w:rPr>
        <w:t>3</w:t>
      </w:r>
      <w:r>
        <w:t>. El demandante de amparo solicita en su recurso la nulidad de las resoluciones anteriormente señaladas por haberse vulnerado el derecho a la intimidad (art. 18.1 CE) y el derecho al secreto de comunicaciones (art. 18.3 CE).</w:t>
      </w:r>
    </w:p>
    <w:p w:rsidR="005728DD" w:rsidRDefault="005728DD" w:rsidP="005728DD">
      <w:pPr>
        <w:pStyle w:val="TextoNormal"/>
      </w:pPr>
    </w:p>
    <w:p w:rsidR="005728DD" w:rsidRDefault="005728DD" w:rsidP="005728DD">
      <w:pPr>
        <w:pStyle w:val="TextoNormal"/>
      </w:pPr>
      <w:r>
        <w:t xml:space="preserve">Estas quejas se fundamentan en el argumento de que la medida consistente en la instalación de aparatos de escucha en el interior de dos vehículos, a fin de interceptar las conversaciones mantenidas por otro de los encausados, debe ser considerada nula pues se habría autorizado por un plazo de tres meses, lo que supone una contravención con el tenor literal del artículo 588 </w:t>
      </w:r>
      <w:r w:rsidRPr="005728DD">
        <w:rPr>
          <w:i/>
        </w:rPr>
        <w:t>quater</w:t>
      </w:r>
      <w:r>
        <w:t xml:space="preserve"> b) LECrim, que establece expresamente que esta medida de investigación ha de estar vinculada a comunicaciones que puedan tener lugar en uno o varios encuentros concretos del investigado. Sostiene el recurrente que la intención del legislador era </w:t>
      </w:r>
      <w:r>
        <w:lastRenderedPageBreak/>
        <w:t xml:space="preserve">diferenciar con claridad lo que es una escucha telefónica convencional, de la escucha de una conversación sin utilización de artificios técnicos. En el caso de la segunda, la expectativa de privacidad es mucho mayor, lo que se corresponde con que la exposición de motivos de la Ley Orgánica 13/2015 haya señalado que “no caben autorizaciones de captación y grabación de conversaciones orales de carácter general o indiscriminadas, y, en consecuencia, el dispositivo de escucha y, en su caso, las cámaras a él asociadas, deberán desactivarse tan pronto finalice la conversación cuya captación fue permitida, como se desprende del artículo 588 </w:t>
      </w:r>
      <w:r w:rsidRPr="005728DD">
        <w:rPr>
          <w:i/>
        </w:rPr>
        <w:t>quater</w:t>
      </w:r>
      <w:r>
        <w:t xml:space="preserve"> c)”.</w:t>
      </w:r>
    </w:p>
    <w:p w:rsidR="005728DD" w:rsidRDefault="005728DD" w:rsidP="005728DD">
      <w:pPr>
        <w:pStyle w:val="TextoNormal"/>
      </w:pPr>
    </w:p>
    <w:p w:rsidR="005728DD" w:rsidRDefault="005728DD" w:rsidP="005728DD">
      <w:pPr>
        <w:pStyle w:val="TextoNormal"/>
      </w:pPr>
      <w:r>
        <w:t>Además, la autorización indiscriminada por el órgano judicial permitió que fueran interceptadas todas las conversaciones que fueron mantenidas en el interior de los vehículos, algunas protagonizadas por personas ajenas a la investigación. Por lo tanto, aquel órgano no adoptó ninguna cautela para que el dispositivo de escucha fuera desactivado una vez se hubieran interceptado las conversaciones.</w:t>
      </w:r>
    </w:p>
    <w:p w:rsidR="005728DD" w:rsidRDefault="005728DD" w:rsidP="005728DD">
      <w:pPr>
        <w:pStyle w:val="TextoNormal"/>
      </w:pPr>
    </w:p>
    <w:p w:rsidR="005728DD" w:rsidRDefault="005728DD" w:rsidP="005728DD">
      <w:pPr>
        <w:pStyle w:val="TextoNormal"/>
      </w:pPr>
      <w:r>
        <w:t>Consecuentemente, en el presente caso, la interceptación de las comunicaciones orales se había desarrollado de una manera idéntica a como se hubiera desarrollado una intervención telefónica, por lo que se ha vulnerado el contenido expreso de la ley. No puede considerarse “concreto” todo encuentro que se produzca en un plazo de tres meses. La intervención ha sido genérica e indiferenciada. En sus propias palabras, “la interpretación dada al precepto por los tribunales ordinarios vacía de contenido completamente las garantías establecidas, y consiente una interceptación de las comunicaciones orales sin más límite que la voluntad del juez, lo que es incompatible con el respeto a los derechos relacionados en el art. 18.1 y 18.3 CE”. Adicionalmente el demandante de amparo considera que, con la intervención acordada, no se habrían cumplido las garantías señaladas en la ley dada cuenta la insuficiencia de motivos para acordar la práctica del citado medio de investigación.</w:t>
      </w:r>
    </w:p>
    <w:p w:rsidR="005728DD" w:rsidRDefault="005728DD" w:rsidP="005728DD">
      <w:pPr>
        <w:pStyle w:val="TextoNormal"/>
      </w:pPr>
    </w:p>
    <w:p w:rsidR="005728DD" w:rsidRDefault="005728DD" w:rsidP="005728DD">
      <w:pPr>
        <w:pStyle w:val="TextoNormal"/>
      </w:pPr>
      <w:r>
        <w:t>El recurrente solicita que la nulidad sea extendida, además, a todo el material probatorio derivado del ilícitamente obtenido y el dictado, como corolario de lo anteriormente expuesto, de una sentencia absolutoria por la vulneración del derecho a la presunción de inocencia (art. 24.2 CE). Para el demandante de amparo, la intervención de las comunicaciones orales han sido determinantes para la investigación, pues a través de ellas fue como se adquirió la información que permitió las diferentes vigilancias de los investigados y el balizamiento de vehículos. Por otro lado, el efecto de la nulidad de la instalación de dispositivos de escucha debe extender también sus efectos a la intervención de las comunicaciones telefónicas acordadas por auto de 15 de febrero de 2017, así como a los autos que acuerdan el registro domiciliario.</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Primera de este tribunal, por providencia de 14 de diciembre del 2020,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consecuencia, dirigir atenta comunicación a la Sala de lo Penal del Tribunal Supremo, así como a la Audiencia Provincial de Huesca, y al Juzgado de lo Penal núm. 1 de Huesca, a fin de que remitiesen certificación o fotocopia adverada de las actuaciones correspondientes.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La Secretaría de Justicia de la Sala Primera de este Tribunal, por diligencia de 27 de enero de 2021, acordó dar vista de las actuaciones recibidas a las partes personadas, y al Ministerio Fiscal, para que pudiesen presentar las alegaciones que a su derecho convenga, por un plazo de veinte días, de conformidad con el art. 52 LOTC.</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en escrito registrado el 5 de marzo de 2021, interesó que se desestimara el recurso por inexistencia de lesión.</w:t>
      </w:r>
    </w:p>
    <w:p w:rsidR="005728DD" w:rsidRDefault="005728DD" w:rsidP="005728DD">
      <w:pPr>
        <w:pStyle w:val="TextoNormal"/>
      </w:pPr>
    </w:p>
    <w:p w:rsidR="005728DD" w:rsidRDefault="005728DD" w:rsidP="005728DD">
      <w:pPr>
        <w:pStyle w:val="TextoNormal"/>
      </w:pPr>
      <w:r>
        <w:t>a) Respecto a la posible vulneración del derecho al secreto de comunicaciones, el fiscal ante el Tribunal Constitucional señala que los autos que acordaron la captación y grabación de las conversaciones mantenidas en los referidos vehículos ya reseñaban que los investigados utilizaban los mismos para reunirse y planificar las actividades delictivas. Desde esta perspectiva, considera que el derecho concernido por la medida de captación de las comunicaciones orales es el derecho al secreto de las comunicaciones del art. 18.3 CE, sin perjuicio de que, indirectamente, pueda verse afectado también el derecho a la intimidad (art. 18.1 CE).</w:t>
      </w:r>
    </w:p>
    <w:p w:rsidR="005728DD" w:rsidRDefault="005728DD" w:rsidP="005728DD">
      <w:pPr>
        <w:pStyle w:val="TextoNormal"/>
      </w:pPr>
    </w:p>
    <w:p w:rsidR="005728DD" w:rsidRDefault="005728DD" w:rsidP="005728DD">
      <w:pPr>
        <w:pStyle w:val="TextoNormal"/>
      </w:pPr>
      <w:r>
        <w:t>Al respecto, comienza el Ministerio Fiscal puntualizando que, según lo contenido en la sentencia de instancia, las grabaciones procedentes del Seat León no son referenciadas en los oficios policiales por lo que se supone que dicho dispositivo o no llegó a utilizarse, o no llegó a funcionar. En consecuencia, dado que la captación y grabación de las comunicaciones orales, en el citado vehículo, no fue utilizado por los órganos judiciales como elemento de prueba para formar la convicción sobre el fondo de los hechos, el análisis de las quejas sobre la nulidad de las observaciones, captaciones y grabaciones de las comunicaciones orales debe centrarse en el auto de 1 de febrero de 2017 que acordó esta medida respecto al vehículo Fiat Stylo.</w:t>
      </w:r>
    </w:p>
    <w:p w:rsidR="005728DD" w:rsidRDefault="005728DD" w:rsidP="005728DD">
      <w:pPr>
        <w:pStyle w:val="TextoNormal"/>
      </w:pPr>
    </w:p>
    <w:p w:rsidR="005728DD" w:rsidRDefault="005728DD" w:rsidP="005728DD">
      <w:pPr>
        <w:pStyle w:val="TextoNormal"/>
      </w:pPr>
      <w:r>
        <w:t xml:space="preserve">El fiscal subraya que el auto de 1 de febrero de 2017 explicitaba los hechos delictivos que presuntamente eran atribuidos al investigado, por lo que dicha resolución debía ser considerada suficientemente motivada con arreglo a los cánones establecidos por este tribunal en la STC 49/1999, de 5 de abril, FJ 8. Asimismo, la citada resolución concretaba también la unidad investigadora de la policía judicial que se iba a hacer cargo de la investigación, la duración de la medida (tres meses), la forma y la periodicidad con la que se debía informar al juez sobre el resultado de la medida, y la finalidad de la misma, que no era otra que “el esclarecimiento de los hechos, centrar la investigación en torno a los investigados, y avanzar en la localización y, en su caso, detención de los supuestos integrantes del grupo criminal, conocer los inmuebles de seguridad que pudieran utilizar para su ocultación o esconder los útiles usados para los robos u otros efectos sustraídos”. Por lo tanto, y habida cuenta de lo anteriormente reseñado, se cumplían los requisitos legales establecidos en el art. 588 </w:t>
      </w:r>
      <w:r w:rsidRPr="005728DD">
        <w:rPr>
          <w:i/>
        </w:rPr>
        <w:t>quater</w:t>
      </w:r>
      <w:r>
        <w:t xml:space="preserve"> b) LECrim.</w:t>
      </w:r>
    </w:p>
    <w:p w:rsidR="005728DD" w:rsidRDefault="005728DD" w:rsidP="005728DD">
      <w:pPr>
        <w:pStyle w:val="TextoNormal"/>
      </w:pPr>
    </w:p>
    <w:p w:rsidR="005728DD" w:rsidRDefault="005728DD" w:rsidP="005728DD">
      <w:pPr>
        <w:pStyle w:val="TextoNormal"/>
      </w:pPr>
      <w:r>
        <w:t xml:space="preserve">En referencia a la necesidad de que la medida fuera solo acordada para encuentros “concretos y determinados”, el fiscal ante el Tribunal Constitucional mantiene que la propia redacción del precepto [art. 588 </w:t>
      </w:r>
      <w:r w:rsidRPr="005728DD">
        <w:rPr>
          <w:i/>
        </w:rPr>
        <w:t>quater</w:t>
      </w:r>
      <w:r>
        <w:t xml:space="preserve"> b) LECrim] excluye cualquier tipo de captación indiscriminada y general de las conversaciones orales. En su opinión, la concreción de los encuentros vendría determinada tanto por los indicios que permitan prever con anticipación la celebración de los mismos, como por la identificación locativa (lugar en el que se va a captar </w:t>
      </w:r>
      <w:r>
        <w:lastRenderedPageBreak/>
        <w:t xml:space="preserve">las grabaciones), subjetiva (identidad del investigado) y temporal. En relación con este último elemento, sostiene que el tenor literal del art. 588 </w:t>
      </w:r>
      <w:r w:rsidRPr="005728DD">
        <w:rPr>
          <w:i/>
        </w:rPr>
        <w:t>quater</w:t>
      </w:r>
      <w:r>
        <w:t xml:space="preserve"> b) LECrim no debe suponer que sea exigible la determinación de un momento concreto, sino que “aquella concreción existirá también cuando se trate no ya de un único, sino también de una pluralidad de encuentros que tendrán lugar en un lapso de tiempo determinado, lapso de tiempo que vendrá determinado por la existencia de indicios que precisen la previsibilidad de los encuentros, de modo que aunque se desconozca el momento concreto del encuentro o si se producirá un único, o varios encuentros, será concreto si indiciariamente puede preverse su existencia, y esta previsibilidad esté acreditada por los indicios puestos de manifiesto en la investigación [art. 588 </w:t>
      </w:r>
      <w:r w:rsidRPr="005728DD">
        <w:rPr>
          <w:i/>
        </w:rPr>
        <w:t>quater</w:t>
      </w:r>
      <w:r>
        <w:t xml:space="preserve"> b) 1], por lo que la concreción de los encuentros no se determinan por su número y el momento exacto en que se producirán, sino por la previsibilidad de que los mismo se produzcan en un lapso temporal en atención a los indicios que de ellos existan”. Por todo ello, y dada cuenta de que el instructor había explicitado suficientemente los indicios de la celebración de dichos encuentros, y había especificado el lugar, personas, y ámbito temporal en el que los mismos serían celebrados, no estamos, como sostiene el demandante de amparo, ante una captación y grabación indiscriminada de las conversaciones orales.</w:t>
      </w:r>
    </w:p>
    <w:p w:rsidR="005728DD" w:rsidRDefault="005728DD" w:rsidP="005728DD">
      <w:pPr>
        <w:pStyle w:val="TextoNormal"/>
      </w:pPr>
    </w:p>
    <w:p w:rsidR="005728DD" w:rsidRDefault="005728DD" w:rsidP="005728DD">
      <w:pPr>
        <w:pStyle w:val="TextoNormal"/>
      </w:pPr>
      <w:r>
        <w:t xml:space="preserve">Tras explicitar que la medida cumpliría, además, con los principios de especialidad, idoneidad, excepcionalidad, necesidad, y proporcionalidad (art. 588 </w:t>
      </w:r>
      <w:r w:rsidRPr="005728DD">
        <w:rPr>
          <w:i/>
        </w:rPr>
        <w:t>bis</w:t>
      </w:r>
      <w:r>
        <w:t xml:space="preserve"> LECrim), el Ministerio Fiscal acaba concluyendo que la misma no habría vulnerado el derecho a la intimidad, y al secreto de las comunicaciones de los investigados.</w:t>
      </w:r>
    </w:p>
    <w:p w:rsidR="005728DD" w:rsidRDefault="005728DD" w:rsidP="005728DD">
      <w:pPr>
        <w:pStyle w:val="TextoNormal"/>
      </w:pPr>
    </w:p>
    <w:p w:rsidR="005728DD" w:rsidRDefault="005728DD" w:rsidP="005728DD">
      <w:pPr>
        <w:pStyle w:val="TextoNormal"/>
      </w:pPr>
      <w:r>
        <w:t>b) Por lo que atañe a la alegada lesión del derecho a la presunción de inocencia (art. 24.2 CE), el fiscal se opone a los argumentos dados por el demandante de amparo en base a las siguientes consideraciones: (i) descartada la vulneración del derecho al secreto de comunicaciones de las medidas de captación y grabación de las comunicaciones orales, no estamos ante una prueba nula y, en consecuencia, no es posible aplicar la conexión de antijuridicidad propuesta por el demandante de amparo; (ii) la prueba en que se fundamenta la condena del demandante de amparo no reside exclusivamente en el resultado de las grabaciones anteriormente señaladas. Al contrario, existen numerosos elementos de prueba referenciados en la sentencia de instancia (testigos, seguimientos policiales, geolocalización etc…) que apoyarían la tesis incriminatoria; (iii) Lo anterior se vería refrendado por el reconocimiento de los hechos realizados por los demás acusados y condenados.</w:t>
      </w:r>
    </w:p>
    <w:p w:rsidR="005728DD" w:rsidRDefault="005728DD" w:rsidP="005728DD">
      <w:pPr>
        <w:pStyle w:val="TextoNormal"/>
      </w:pPr>
    </w:p>
    <w:p w:rsidR="005728DD" w:rsidRDefault="005728DD" w:rsidP="005728DD">
      <w:pPr>
        <w:pStyle w:val="TextoNormal"/>
      </w:pPr>
      <w:r w:rsidRPr="005728DD">
        <w:rPr>
          <w:rStyle w:val="NumeroAFNegritaCaracter"/>
        </w:rPr>
        <w:t>7</w:t>
      </w:r>
      <w:r>
        <w:t>. El recurrente, mediante escrito registrado el 1 de marzo de 2021, se ratificó en todas las alegaciones contenidas en su demanda. En dicho escrito el demandante sostiene que la medida consistente en la captación y grabación de las comunicaciones orales presenta notables diferencias con la medida de intervención telefónica. Dichas diferencias estarían constituidas por: (i) los presupuestos para la intervención de las comunicaciones orales son más rigurosos que los establecidos para las intervenciones telefónicas; (ii) la medida de intervención de comunicaciones orales no tiene un plazo de duración determinada, por cuanto la medida se agota con el propio encuentro, y su renovación exigiría una nueva resolución judicial; (iii) la intervención de las comunicaciones orales, siempre, y en todo caso, debe ser autorizada por el juez. No existe previsión de que puedan ser acordadas por el Ministerio del Interior, o la Secretaría de Estado de Seguridad, en casos de urgencia o de bandas terroristas, circunstancia que si se da en relación con las intervenciones telefónicas.</w:t>
      </w:r>
    </w:p>
    <w:p w:rsidR="005728DD" w:rsidRDefault="005728DD" w:rsidP="005728DD">
      <w:pPr>
        <w:pStyle w:val="TextoNormal"/>
      </w:pPr>
    </w:p>
    <w:p w:rsidR="005728DD" w:rsidRDefault="005728DD" w:rsidP="005728DD">
      <w:pPr>
        <w:pStyle w:val="TextoNormal"/>
      </w:pPr>
      <w:r>
        <w:lastRenderedPageBreak/>
        <w:t>Sostiene también el recurrente que existe una afectación superior de los derechos fundamentales cuando, precisamente, se hace uso de dispositivo de captación y grabación de las comunicaciones orales. Esta afirmación se fundamentaría en que, en supuestos de conversaciones mantenidas en persona, existiría una mayor perspectiva de intimidad que en las conversaciones mantenidas a través de medios telemáticos. Por lo tanto, en estos casos, la expectativa mayor de privacidad se fundamentaría en el modo en que se mantiene la conversación y no en el lugar.</w:t>
      </w:r>
    </w:p>
    <w:p w:rsidR="005728DD" w:rsidRDefault="005728DD" w:rsidP="005728DD">
      <w:pPr>
        <w:pStyle w:val="TextoNormal"/>
      </w:pPr>
    </w:p>
    <w:p w:rsidR="005728DD" w:rsidRDefault="005728DD" w:rsidP="005728DD">
      <w:pPr>
        <w:pStyle w:val="TextoNormal"/>
      </w:pPr>
      <w:r>
        <w:t>Para el demandante de amparo, los distintos espacios donde pueden ser instalados los dispositivos de captación y grabación de las comunicaciones orales tampoco pueden constituir, además, un elemento de diferenciación. No existe, aparentemente, diferencia alguna entre las conversaciones que pueden ser mantenidas en el interior de un domicilio de las mantenidas a bordo de un vehículo o en un restaurante. El legislador no ha querido establecer diferencias.</w:t>
      </w:r>
    </w:p>
    <w:p w:rsidR="005728DD" w:rsidRDefault="005728DD" w:rsidP="005728DD">
      <w:pPr>
        <w:pStyle w:val="TextoNormal"/>
      </w:pPr>
    </w:p>
    <w:p w:rsidR="005728DD" w:rsidRDefault="005728DD" w:rsidP="005728DD">
      <w:pPr>
        <w:pStyle w:val="TextoNormal"/>
      </w:pPr>
      <w:r>
        <w:t>Finaliza el recurrente señalando que la interpretación del concepto “encuentros concretos” ha de realizarse de una manera literal. Dicha interpretación, que además se corresponde con lo manifestado en la propia exposición de motivos, ha de traducirse en que el término no se refiere a periodos temporales sino a encuentros precisos y delimitados en el tiempo. En este sentido, sostiene que “en el espíritu de la ley está la idea de que esta medida supone una severa intrusión en la intimidad del ciudadano investigado, que además puede afectar muy fácilmente a terceros, y que, por tanto, su utilización debe reducirse a los momentos que se prevén cenitales para la investigación. Un exceso temporal rebasa los márgenes de la ley y, en consecuencia, la injerencia no resulta proporcionada”. Esta habría sido, además, la interpretación dada por las recientes SSTS 665/2020 y 718/2020.</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6 de mayo de 2021 se señaló para la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 xml:space="preserve">El objeto del presente recurso de amparo consiste en determinar si las resoluciones impugnadas, que han condenado al demandante de amparo como autor responsable de un delito de integración en grupo criminal [art. 570 </w:t>
      </w:r>
      <w:r w:rsidRPr="005728DD">
        <w:rPr>
          <w:i/>
        </w:rPr>
        <w:t>ter</w:t>
      </w:r>
      <w:r>
        <w:t xml:space="preserve"> 1 b) CP], un delito continuado de robo con fuerza en edificio abierto al público (arts. 237; 238.2, 3 y 4; 241.1 y 74.2 CP) en concurso medial con un delito continuado de falsificación en documento oficial (arts. 392.1, 390.1.2 y 74.1 CP), un delito de tenencia ilícita de armas (arts. 564.1.2, 564.2.1 y 570.1 CP), y un delito de conducción sin permiso (art. 384 CP), han vulnerado su derecho a la intimidad (art. 18.1 CE), al secreto de comunicaciones (art. 18.3 CE), y a la presunción de inocencia (art. 24.2 CE). El recurrente fundamenta estas quejas en el argumento de que la medida consistente en la instalación de aparatos de escucha en el interior de dos vehículos, a fin de interceptar las conversaciones mantenidas por otro de los encausados, debe ser considerada nula pues se habría autorizado por un plazo de tres meses, lo que supone una contravención con el tenor literal del artículo 588 </w:t>
      </w:r>
      <w:r w:rsidRPr="005728DD">
        <w:rPr>
          <w:i/>
        </w:rPr>
        <w:t>quater</w:t>
      </w:r>
      <w:r>
        <w:t xml:space="preserve"> b) LECrim, que establece expresamente que esta medida de investigación ha de estar vinculada a comunicaciones que puedan tener lugar en </w:t>
      </w:r>
      <w:r>
        <w:lastRenderedPageBreak/>
        <w:t>uno o varios encuentros concretos del investigado. El recurrente solicita que la nulidad sea extendida, además, a todo el material probatorio derivado del ilícitamente obtenido y el dictado, como corolario de lo anteriormente expuesto, de una sentencia absolutoria por la vulneración del derecho a la presunción de inocencia (art. 24.2 CE).</w:t>
      </w:r>
    </w:p>
    <w:p w:rsidR="005728DD" w:rsidRDefault="005728DD" w:rsidP="005728DD">
      <w:pPr>
        <w:pStyle w:val="TextoNormal"/>
      </w:pPr>
    </w:p>
    <w:p w:rsidR="005728DD" w:rsidRDefault="005728DD" w:rsidP="005728DD">
      <w:pPr>
        <w:pStyle w:val="TextoNormal"/>
      </w:pPr>
      <w:r>
        <w:t>El Ministerio Fiscal solicita la desestimación del recurso por inexistencia de lesión respecto a los dos motivos alegados.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Especial trascendencia constitucional del recurso</w:t>
      </w:r>
      <w:r>
        <w:t>.</w:t>
      </w:r>
    </w:p>
    <w:p w:rsidR="005728DD" w:rsidRDefault="005728DD" w:rsidP="005728DD">
      <w:pPr>
        <w:pStyle w:val="TextoNormal"/>
      </w:pPr>
    </w:p>
    <w:p w:rsidR="005728DD" w:rsidRDefault="005728DD" w:rsidP="005728DD">
      <w:pPr>
        <w:pStyle w:val="TextoNormal"/>
      </w:pPr>
      <w:r>
        <w:t>La cuestión planteada en este recurso de amparo tiene especial trascendencia constitucional (art. 50.1 LOTC) porque da ocasión al tribunal para dictar doctrina sobre un problema o faceta de derecho fundamental [STC 155/2009, FJ 2 a)] relacionado con la posible vulneración del derecho a la intimidad (art. 18.1 CE) y el derecho al secreto de comunicaciones (art. 18.3 CE) como consecuencia de la utilización de dispositivos de captación, escucha y grabación de las comunicaciones orales mantenidas entre diferentes personas en el curso de una investigación penal. Así, aunque esta faceta del derecho fundamental ya fue tangencialmente tratada con ocasión de la STC 145/2014, de 22 de septiembre, lo cierto es que el tiempo transcurrido desde la misma, unido a la regulación de esta medida de investigación mediante la reforma operada en la Ley de enjuiciamiento criminal por Ley Orgánica 13/2015, 5 de octubre, hacen necesario el dictado de esta sentencia.</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jurisprudencial de este tribunal sobre el secreto de comunicaciones (art. 18.3 CE) y derecho a la intimidad (art. 18.1 CE</w:t>
      </w:r>
      <w:r>
        <w:t>).</w:t>
      </w:r>
    </w:p>
    <w:p w:rsidR="005728DD" w:rsidRDefault="005728DD" w:rsidP="005728DD">
      <w:pPr>
        <w:pStyle w:val="TextoNormal"/>
      </w:pPr>
    </w:p>
    <w:p w:rsidR="005728DD" w:rsidRDefault="005728DD" w:rsidP="005728DD">
      <w:pPr>
        <w:pStyle w:val="TextoNormal"/>
      </w:pPr>
      <w:r>
        <w:t>Hemos tenido la oportunidad de afirmar (STC 25/1981, de 14 de julio, FJ 5), que los derechos fundamentales de los que gozan todos los ciudadanos ostentan un doble carácter. “En primer lugar, los derechos fundamentales son derechos subjetivos, derechos de los individuos no solo en cuanto derechos de los ciudadanos en sentido estricto, sino en cuanto garantizan un status jurídico o la libertad en un ámbito de la existencia. Pero al propio tiempo, son elementos esenciales de un ordenamiento objetivo de la comunidad nacional, en cuanto esta se configura como marco de una convivencia humana justa y pacífica, plasmada históricamente en el Estado de Derecho y, más tarde, en el Estado social de Derecho o el Estado social y democrático de Derecho, según la fórmula de nuestra Constitución (art. 1.1)”.</w:t>
      </w:r>
    </w:p>
    <w:p w:rsidR="005728DD" w:rsidRDefault="005728DD" w:rsidP="005728DD">
      <w:pPr>
        <w:pStyle w:val="TextoNormal"/>
      </w:pPr>
    </w:p>
    <w:p w:rsidR="005728DD" w:rsidRDefault="005728DD" w:rsidP="005728DD">
      <w:pPr>
        <w:pStyle w:val="TextoNormal"/>
      </w:pPr>
      <w:r>
        <w:t xml:space="preserve">Entre los derechos fundamentales que la norma constitucional reconoce se encuentra la intimidad personal y familiar (art. 18.1 CE), y el derecho al secreto de las comunicaciones y, en especial, de las postales, telegráficas y telefónicas, salvo resolución judicial (arts. 18.3 CE). Este último derecho, en su vertiente positiva pero implícita —señalaba la STC 34/1996, de 11 de marzo, FJ 4— consagra la libertad de las comunicaciones y explícitamente su reserva. Por lo tanto, el concepto jurídico de lo secreto, visto desde tal perspectiva, tiene un carácter formal y abstracto en consecuencia, ya que “se predica de lo comunicado, sea cual sea su contenido y pertenezca o no la comunicación misma al ámbito de lo personal, lo íntimo o lo reservado”. En definitiva, se pretende garantizar la “impenetrabilidad de la comunicación” por terceros con eficacia </w:t>
      </w:r>
      <w:r w:rsidRPr="005728DD">
        <w:rPr>
          <w:i/>
        </w:rPr>
        <w:t>erga omnes</w:t>
      </w:r>
      <w:r>
        <w:t xml:space="preserve">, tanto para los ciudadanos de a pie (lo que la doctrina alemana denomina </w:t>
      </w:r>
      <w:r w:rsidRPr="005728DD">
        <w:rPr>
          <w:i/>
        </w:rPr>
        <w:t>Drittwirkung</w:t>
      </w:r>
      <w:r>
        <w:t>) como para los agentes de los poderes públicos.</w:t>
      </w:r>
    </w:p>
    <w:p w:rsidR="005728DD" w:rsidRDefault="005728DD" w:rsidP="005728DD">
      <w:pPr>
        <w:pStyle w:val="TextoNormal"/>
      </w:pPr>
    </w:p>
    <w:p w:rsidR="005728DD" w:rsidRDefault="005728DD" w:rsidP="005728DD">
      <w:pPr>
        <w:pStyle w:val="TextoNormal"/>
      </w:pPr>
      <w:r>
        <w:t xml:space="preserve">Este tribunal, en la STC 114/1984, de 29 de noviembre, haciéndose eco de la jurisprudencia del Tribunal Europeo de Derechos Humanos (STEDH de 2 de agosto de 1984, </w:t>
      </w:r>
      <w:r w:rsidRPr="005728DD">
        <w:rPr>
          <w:i/>
        </w:rPr>
        <w:t>Malone c. Reino Unido</w:t>
      </w:r>
      <w:r>
        <w:t xml:space="preserve">), afirmó que el concepto de secreto de la comunicación cubría no solo el contenido de la comunicación, sino también la identidad subjetiva de los interlocutores. Así, declaramos en aquella ocasión que “rectamente entendido”, el derecho fundamental al secreto de las comunicaciones del art. 18.3 CE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siendo cierto que el derecho puede conculcarse tanto por la interceptación en sentido estricto (que suponga aprehensión física del soporte del mensaje —con conocimiento o no del mismo— o captación, de otra forma, del proceso de comunicación) como por el simple conocimiento antijurídico de lo comunicado (apertura de la correspondencia ajena guardada por su destinatario, por ejemplo) [...] Y puede también decirse que el concepto de ‘secreto’, que aparece en el artículo 18.3, no cubre solo el contenido de la comunicación, sino también, en su caso, otros aspectos de la misma, como, por ejemplo, la identidad subjetiva de los interlocutores o de los corresponsales. La sentencia del Tribunal de Estrasburgo de 2 de agosto de 1984 —caso Malone— reconoce expresamente la posibilidad de que el art. 8 de la Convención pueda resultar violado por el empleo de un artificio técnico que, como el llamado </w:t>
      </w:r>
      <w:r w:rsidRPr="005728DD">
        <w:rPr>
          <w:i/>
        </w:rPr>
        <w:t>comptage</w:t>
      </w:r>
      <w:r>
        <w:t>, permite registrar cuáles hayan sido los números telefónicos marcados sobre un determinado aparato, aunque no el contenido de la comunicación misma”. “Sea cual sea el ámbito objetivo del concepto de ‘comunicación’”, añadimos, “la norma constitucional se dirige inequívocamente a garantizar su impenetrabilidad por terceros (públicos o privados: el derecho posee eficacia erga omnes) ajenos a la comunicación misma. La presencia de un elemento ajeno a aquellos entre los que media el proceso de comunicación, es indispensable para configurar el ilícito constitucional aquí perfilado”. Y concluimos: “el concepto de ‘secreto’ en el art. 18.3 tiene un carácter ‘formal’, en el sentido de que se predica de lo comunicado, sea cual sea su contenido y pertenezca o no el objeto de la comunicación misma al ámbito de lo personal, lo íntimo o lo reservado” (FJ 11).</w:t>
      </w:r>
    </w:p>
    <w:p w:rsidR="005728DD" w:rsidRDefault="005728DD" w:rsidP="005728DD">
      <w:pPr>
        <w:pStyle w:val="TextoNormal"/>
      </w:pPr>
    </w:p>
    <w:p w:rsidR="005728DD" w:rsidRDefault="005728DD" w:rsidP="005728DD">
      <w:pPr>
        <w:pStyle w:val="TextoNormal"/>
      </w:pPr>
      <w:r>
        <w:t>Esta doctrina fue reiterada también en la STC 70/2002, de 3 de abril, en la que precisamos que “el art. 18.3 CE contiene una especial protección de las comunicaciones, cualquiera que sea el sistema empleado para realizarlas, que se declara indemne frente a cualquier interferencia no autorizada judicialmente”.</w:t>
      </w:r>
    </w:p>
    <w:p w:rsidR="005728DD" w:rsidRDefault="005728DD" w:rsidP="005728DD">
      <w:pPr>
        <w:pStyle w:val="TextoNormal"/>
      </w:pPr>
    </w:p>
    <w:p w:rsidR="005728DD" w:rsidRDefault="005728DD" w:rsidP="005728DD">
      <w:pPr>
        <w:pStyle w:val="TextoNormal"/>
      </w:pPr>
      <w:r>
        <w:t xml:space="preserve">La separación del ámbito de protección de los derechos fundamentales a la intimidad personal (art. 18.1 CE) y al secreto de las comunicaciones (art. 18.3 CE) efectuada en dicha sentencia se proyecta sobre el régimen de protección constitucional de ambos derechos. Pues si en el art. 18.3 CE la intervención de las comunicaciones requiere siempre resolución judicial, “no existe en la Constitución reserva absoluta de previa resolución judicial” respecto del derecho a la intimidad personal. Ahora bien, también respecto del derecho a la intimidad personal hemos dicho que rige como regla general la exigencia constitucional de monopolio jurisdiccional en la limitación de derechos fundamentales, si bien hemos admitido de forma excepcional que en determinados casos y con la suficiente y precisa habilitación legal sea posible que la policía judicial realice determinadas prácticas que constituyan una injerencia leve en la intimidad de las personas (SSTC 37/1989, de 15 de febrero, FJ 7; </w:t>
      </w:r>
      <w:r>
        <w:lastRenderedPageBreak/>
        <w:t>207/1996, de 16 de diciembre, FJ 3, y 70/2002, de 3 de abril, FJ 10). La legitimidad constitucional de dichas prácticas, aceptada excepcionalmente, requiere también el respeto de las exigencias dimanantes del principio de proporcionalidad, de modo que mediante la medida adoptada sea posible alcanzar el objetivo pretendido —idoneidad—; que no exista una medida menos gravosa o lesiva para la consecución del objeto propuesto —necesidad—; y que el sacrificio del derecho reporte más beneficios al interés general que desventajas o perjuicios a otros bienes o derechos atendidos la gravedad de la injerencia y las circunstancias personales de quien la sufre —proporcionalidad estricta— (SSTC 207/1996, de 16 de diciembre, FJ 3, y 70/2002, de 3 de abril, FJ 10).</w:t>
      </w:r>
    </w:p>
    <w:p w:rsidR="005728DD" w:rsidRDefault="005728DD" w:rsidP="005728DD">
      <w:pPr>
        <w:pStyle w:val="TextoNormal"/>
      </w:pPr>
    </w:p>
    <w:p w:rsidR="005728DD" w:rsidRDefault="005728DD" w:rsidP="005728DD">
      <w:pPr>
        <w:pStyle w:val="TextoNormal"/>
      </w:pPr>
      <w:r>
        <w:t>En relación con las comunicaciones interpersonales mantenidas sin la intervención de medios o artificios técnicos destinados a hacer posible el proceso comunicativo (comunicaciones orales), nuestra jurisprudencia ha ido evolucionando desde una posición en la que inicialmente se afirmaba que el derecho del art. 18.3 CE solo operaba respecto a comunicaciones realizadas a través de canales o bandas cerradas —quedando fuera del mismo, consecuentemente, las que no precisaban de la intervención de ningún tercero ajeno como prestador del servicio de telecomunicación (SSTC 98/2000, de 10 de abril, FJ 9; 123/2002, de 20 de mayo, FJ 5, y 170/2012, de 7 de octubre, FJ 4)— hasta una postura tendente a equiparar las comunicaciones orales con las realizadas a través de medios telemáticos.</w:t>
      </w:r>
    </w:p>
    <w:p w:rsidR="005728DD" w:rsidRDefault="005728DD" w:rsidP="005728DD">
      <w:pPr>
        <w:pStyle w:val="TextoNormal"/>
      </w:pPr>
    </w:p>
    <w:p w:rsidR="005728DD" w:rsidRDefault="005728DD" w:rsidP="005728DD">
      <w:pPr>
        <w:pStyle w:val="TextoNormal"/>
      </w:pPr>
      <w:r>
        <w:t>Es el caso de la STC 145/2014, de 22 de septiembre, donde se planteó la posible vulneración del derecho al secreto de comunicaciones respecto a la grabación de las conversaciones orales mantenidas por un detenido en dependencias policiales. En este supuesto acabamos afirmando (FJ 7) que “es verdad que el art. 18.3 CE no dispone una distinta protección de las conversaciones telefónicas —una tutela inferior por eventualmente incidida por un órgano judicial— que de otras comunicaciones como las verbales, sino solo una garantía común y genérica frente a la impenetrabilidad por terceros ajenos a la comunicación misma. Mas tal conclusión no obsta la respuesta constitucional elaborada, sustentada en la necesaria concurrencia de ley que evite el abuso y la arbitrariedad en cualquiera de las hipótesis. Un régimen legal que —pese a la insuficiencia que ha declarado este tribunal en sentencias previas ya citadas en esta resolución— el art. 579.2 LECrim únicamente contempla para las conversaciones telefónicas, y que las normas penitenciarias aludidas contienen para otros fines y ámbitos. Queda en manos del legislador una precisión normativa que evite, en su caso, ese resultado (quizá paradójico) del contraste entre los supuestos regulados y los de anomia. De todo lo expuesto se deduce que las grabaciones en dependencias policiales resultaron contrarias al art. 18.3 CE, deviniendo nula la prueba obtenida por ese cauce para todos aquellos que resultaron perjudicados penalmente por ella”.</w:t>
      </w:r>
    </w:p>
    <w:p w:rsidR="005728DD" w:rsidRDefault="005728DD" w:rsidP="005728DD">
      <w:pPr>
        <w:pStyle w:val="TextoNormal"/>
      </w:pPr>
    </w:p>
    <w:p w:rsidR="005728DD" w:rsidRDefault="005728DD" w:rsidP="005728DD">
      <w:pPr>
        <w:pStyle w:val="TextoNormal"/>
      </w:pPr>
      <w:r>
        <w:t>En la STC 145/2014 otorgamos el amparo al considerar que la medida de instalación de micrófonos en el interior de un calabozo carecía de cobertura legal. Así, en dicho supuesto, ya señalamos que la medida de investigación acordada era completamente extraña al ámbito de aplicación de la regulación legal vigente en dicho momento, regulación que en el art. 579.2 LECrim se refería, exclusivamente, a las intervención de conversaciones telefónicas, y en los art. 46 y 47 del Reglamento penitenciario (RP) a la intervención de las comunicaciones orales en el ámbito penitenciario.</w:t>
      </w:r>
    </w:p>
    <w:p w:rsidR="005728DD" w:rsidRDefault="005728DD" w:rsidP="005728DD">
      <w:pPr>
        <w:pStyle w:val="TextoNormal"/>
      </w:pPr>
    </w:p>
    <w:p w:rsidR="005728DD" w:rsidRDefault="005728DD" w:rsidP="005728DD">
      <w:pPr>
        <w:pStyle w:val="TextoNormal"/>
      </w:pPr>
      <w:r>
        <w:t xml:space="preserve">En aquel caso, acabamos afirmando —fundamento jurídico 7— que “bajo esas circunstancias, concluimos que las personas afectadas no podían prever la situación que ahora se </w:t>
      </w:r>
      <w:r>
        <w:lastRenderedPageBreak/>
        <w:t xml:space="preserve">denuncia, lo que excluye otros debates (suficiencia de la norma legal o proporcionalidad de la medida judicial) que solo proceden una vez cumplida esa primera garantía o premisa de la secuencia (existencia de disposición jurídica que cumpla el cometido de precisar la vaguedad e indeterminación del art. 18.3 CE en este punto, conforme declaró la jurisprudencia constitucional anteriormente reseñada). Y es que los avales mínimos que se han venido reclamando cuando de calidad de la ley hablamos (en concreto de su previsibilidad), quiebran en mayor medida si ni siquiera se ha procedido a la intervención del legislador. No olvidemos que el propio Tribunal Supremo en la sentencia recurrida recuerda como el Tribunal Europeo de Derechos Humanos declaró, en los casos </w:t>
      </w:r>
      <w:r w:rsidRPr="005728DD">
        <w:rPr>
          <w:i/>
        </w:rPr>
        <w:t>Kruslin c. Francia</w:t>
      </w:r>
      <w:r>
        <w:t xml:space="preserve">, y </w:t>
      </w:r>
      <w:r w:rsidRPr="005728DD">
        <w:rPr>
          <w:i/>
        </w:rPr>
        <w:t>Huvig c. Francia</w:t>
      </w:r>
      <w:r>
        <w:t>, sentencias de 24 de abril de 1990, que la puesta en práctica de medidas de vigilancia secreta de las comunicaciones no está abierta al control de las personas afectadas o del público en general, de modo que, por esa razón, sería contrario a la norma de Derecho que la discrecionalidad legal concedida al ejecutivo o a un juez se expresara en términos de poder sin límites. La ley debe indicar el alcance de la discrecionalidad conferida a las autoridades competentes y la manera de su ejercicio, con la suficiente claridad como para proporcionar a las personas la protección adecuada contra una injerencia arbitraria. De esas sentencias se desprende, en suma, que la medida controvertida de intervención por las autoridades debe estar basada en la legislación aplicable del Estado en cuestión, que ha de poseer las cualidades de disponibilidad y previsibilidad para las personas destinatarias, y también que no son de recibo interpretaciones analógicas. En consecuencia de todo ello, añadimos nosotros ahora, si la ley existente queda condicionada en su validez a la satisfacción de dichos términos, en ausencia plena de regulación normativa es de todo punto inviable el más lejano aseguramiento de esas garantías básicas”.</w:t>
      </w:r>
    </w:p>
    <w:p w:rsidR="005728DD" w:rsidRDefault="005728DD" w:rsidP="005728DD">
      <w:pPr>
        <w:pStyle w:val="TextoNormal"/>
      </w:pPr>
    </w:p>
    <w:p w:rsidR="005728DD" w:rsidRDefault="005728DD" w:rsidP="005728DD">
      <w:pPr>
        <w:pStyle w:val="TextoNormal"/>
      </w:pPr>
      <w:r>
        <w:t xml:space="preserve">Esta postura era, además, acorde con la jurisprudencia de este tribunal que ya inicialmente había afirmado que “sea cual sea el ámbito objetivo del concepto de ‘comunicación’, la norma constitucional se dirige inequívocamente a garantizar su impenetrabilidad por terceros (públicos o privados: el derecho posee eficacia </w:t>
      </w:r>
      <w:r w:rsidRPr="005728DD">
        <w:rPr>
          <w:i/>
        </w:rPr>
        <w:t>erga omnes</w:t>
      </w:r>
      <w:r>
        <w:t>) ajenos a la comunicación misma. La presencia de un elemento ajeno a aquellos entre los que media el proceso de comunicación, es indispensable para configurar el ilícito constitucional aquí perfilado” (STC 114/1984, de 29 de noviembre, FJ 7), o que “el art. 18.3 CE contiene una especial protección de las comunicaciones, cualquiera que sea el sistema empleado para realizarlas, que se declara indemne frente a cualquier interferencia no autorizada judicialmente” (STC 70/2002, de 3 de abril, FJ 9).</w:t>
      </w:r>
    </w:p>
    <w:p w:rsidR="005728DD" w:rsidRDefault="005728DD" w:rsidP="005728DD">
      <w:pPr>
        <w:pStyle w:val="TextoNormal"/>
      </w:pPr>
    </w:p>
    <w:p w:rsidR="005728DD" w:rsidRDefault="005728DD" w:rsidP="005728DD">
      <w:pPr>
        <w:pStyle w:val="TextoNormal"/>
      </w:pPr>
      <w:r>
        <w:t>También hemos declarado reiteradamente que el ejercicio de un derecho fundamental no puede considerarse ilimitado.</w:t>
      </w:r>
    </w:p>
    <w:p w:rsidR="005728DD" w:rsidRDefault="005728DD" w:rsidP="005728DD">
      <w:pPr>
        <w:pStyle w:val="TextoNormal"/>
      </w:pPr>
    </w:p>
    <w:p w:rsidR="005728DD" w:rsidRDefault="005728DD" w:rsidP="005728DD">
      <w:pPr>
        <w:pStyle w:val="TextoNormal"/>
      </w:pPr>
      <w:r>
        <w:t xml:space="preserve">Ha de destacarse en primer término que, por mandato expreso de la Constitución, toda injerencia estatal en el ámbito de los derechos fundamentales y las libertades públicas, ora incida directamente sobre su desarrollo (art. 81.1 CE), o limite o condicione su ejercicio (art. 53.1 CE), precisa una habilitación legal. 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w:t>
      </w:r>
      <w:r>
        <w:lastRenderedPageBreak/>
        <w:t>(SSTC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FJ 10).</w:t>
      </w:r>
    </w:p>
    <w:p w:rsidR="005728DD" w:rsidRDefault="005728DD" w:rsidP="005728DD">
      <w:pPr>
        <w:pStyle w:val="TextoNormal"/>
      </w:pPr>
    </w:p>
    <w:p w:rsidR="005728DD" w:rsidRDefault="005728DD" w:rsidP="005728DD">
      <w:pPr>
        <w:pStyle w:val="TextoNormal"/>
      </w:pPr>
      <w:r>
        <w:t>Esa doble función de la reserva de ley constituye, en el caso del derecho al secreto de las comunicaciones, una doble perspectiva de análisis. Desde el primer punto de vista, es decir, desde la exigencia de que una norma legal habilite la injerencia, parece difícil negar que la propia Constitución contiene tal habilitación: desde esta perspectiva, los jueces y tribunales pueden, pues, acordarla, cuando concurran los presupuestos materiales pertinentes (STC 22/1984, FJ 3).</w:t>
      </w:r>
    </w:p>
    <w:p w:rsidR="005728DD" w:rsidRDefault="005728DD" w:rsidP="005728DD">
      <w:pPr>
        <w:pStyle w:val="TextoNormal"/>
      </w:pPr>
    </w:p>
    <w:p w:rsidR="005728DD" w:rsidRDefault="005728DD" w:rsidP="005728DD">
      <w:pPr>
        <w:pStyle w:val="TextoNormal"/>
      </w:pPr>
      <w:r>
        <w:t>Sin embargo, desde las exigencias de certeza que han de presidir cualquier injerencia en un derecho fundamental, en diversas ocasiones, y ya desde nuestras primeras sentencias (</w:t>
      </w:r>
      <w:r w:rsidRPr="005728DD">
        <w:rPr>
          <w:i/>
        </w:rPr>
        <w:t>vid., v.g</w:t>
      </w:r>
      <w:r>
        <w:t xml:space="preserve">., SSTC 61/1981, 86/1982, 183/1984, entre otras), hemos afirmado que la reserva de ley no es una mera forma; sino que implica exigencias respecto al contenido de la ley que, naturalmente, son distintas según el ámbito material de que se trate. Y, así, si bien es cierto que las exigencias de certeza no son las mismas cuando se trata de imponer limitaciones a la licitud de la conducta individual que cuando se establecen las condiciones bajo las cuales pueden interceptarse legítimamente las comunicaciones telefónicas (STEDH de 2 de agosto de 1984, </w:t>
      </w:r>
      <w:r w:rsidRPr="005728DD">
        <w:rPr>
          <w:i/>
        </w:rPr>
        <w:t>Malone c. Reino Unido</w:t>
      </w:r>
      <w:r>
        <w:t>) también lo es que en todo caso el legislador ha de hacer el “máximo esfuerzo posible” para garantizar la seguridad jurídica [STC 62/1982, fundamento jurídico 7 c)] o, dicho de otro modo, “la expectativa razonablemente fundada del ciudadano en cuál ha de ser la actuación del poder en aplicación del Derecho" (STC 36/1991, FJ 5)”.</w:t>
      </w:r>
    </w:p>
    <w:p w:rsidR="005728DD" w:rsidRDefault="005728DD" w:rsidP="005728DD">
      <w:pPr>
        <w:pStyle w:val="TextoNormal"/>
      </w:pPr>
    </w:p>
    <w:p w:rsidR="005728DD" w:rsidRDefault="005728DD" w:rsidP="005728DD">
      <w:pPr>
        <w:pStyle w:val="TextoNormal"/>
      </w:pPr>
      <w:r>
        <w:t>Desde este mismo punto de vista, es decir, desde las exigencias de seguridad jurídica y certeza del Derecho, hemos proclamado el principio de legalidad en el marco de la injerencia en el derecho a la intimidad. Así, en la STC 37/1989, afirmamos que lo que la protección de la intimidad reclama es una decisión judicial motivada en una inexcusable previsión legislativa (fundamento jurídico 7). Con ello, afirmábamos, no solo que la existencia de una previsión legal es inexcusable; sino que la resolución judicial que autorice la injerencia en la intimidad ha de hallarse fundamentada en la ley, de lo cual se infiere que la ley ha de expresar todos y cada uno de los presupuestos y condiciones de la intervención. Y en términos semejantes nos expresamos en el ámbito específico del derecho al secreto de las comunicaciones, afirmando que la injerencia estatal en dicho secreto ha de estar presidida por el principio de legalidad (ATC 344/1990 —que invoca la doctrina sentada en la STC 150/1989—, y SSTC 85/1994, FJ 3; 34/1996, FJ 5; 49/1996, FJ 3; 54/1996, FJ 7,y 123/1997, FJ 4), especificando que el respeto a dicho principio requiere, en este caso, “una ley de singular precisión” (STC 49/1996, FJ 3).</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Doctrina jurisprudencial del Tribunal Europeo de Derechos Humanos</w:t>
      </w:r>
      <w:r>
        <w:t>.</w:t>
      </w:r>
    </w:p>
    <w:p w:rsidR="005728DD" w:rsidRDefault="005728DD" w:rsidP="005728DD">
      <w:pPr>
        <w:pStyle w:val="TextoNormal"/>
      </w:pPr>
    </w:p>
    <w:p w:rsidR="005728DD" w:rsidRDefault="005728DD" w:rsidP="005728DD">
      <w:pPr>
        <w:pStyle w:val="TextoNormal"/>
      </w:pPr>
      <w:r>
        <w:t xml:space="preserve">En favor de la equiparación de las comunicaciones orales a las telefónicas se ha pronunciado también la jurisprudencia del Tribunal Europeo de Derechos Humanos. Así, el Tribunal de Estrasburgo ha venido constatando que la captación de conversaciones o imágenes por medios de aparatos de grabación de audio y vídeo entra en la aplicación del art. 8 del </w:t>
      </w:r>
      <w:r>
        <w:lastRenderedPageBreak/>
        <w:t xml:space="preserve">Convenio Europeo de Derechos Humanos (CEDH), tanto en lo referente al respeto a la vida privada como desde la perspectiva del derecho al secreto de la correspondencia. Es el caso, por ejemplo, de la STEDH de 10 de marzo de 2009, </w:t>
      </w:r>
      <w:r w:rsidRPr="005728DD">
        <w:rPr>
          <w:i/>
        </w:rPr>
        <w:t>Bykov c. Rusia</w:t>
      </w:r>
      <w:r>
        <w:t xml:space="preserve">, §78, que, en relación con una captación subrepticia de las conversaciones orales mantenidas por el investigado con un agente infiltrado, afirmó que “según constante jurisprudencia del tribunal, cuando se trata de interceptación de comunicaciones con fines de una investigación policial, la ley debe utilizar términos lo suficientemente claros para que cualquiera comprenda en qué circunstancias y bajo qué condiciones habilita a los poderes públicos a realizar dicho atentado secreto y virtualmente peligroso para el derecho al respeto de la vida privada y la correspondencia […] En opinión de este tribunal, estos principios se aplican igualmente al empleo de un aparato de radiotransmisión que, desde el punto de vista de la naturaleza y el grado de intrusión, se asemeja a las escuchas telefónicas”, o la STEDH de 27 de octubre de 2015, </w:t>
      </w:r>
      <w:r w:rsidRPr="005728DD">
        <w:rPr>
          <w:i/>
        </w:rPr>
        <w:t>R.E c. Reino Unido</w:t>
      </w:r>
      <w:r>
        <w:t xml:space="preserve">, que, refiriéndose a un caso de interceptación de las comunicaciones orales entre abogado y cliente, realizó una asimilación de dichas conversaciones con las mantenidas telefónicamente (§131) bajo las siguientes premisas: “el presente caso se refiere a la vigilancia de consultas jurídicas que tienen lugar en sede policial, y que el tribunal considera análogas a la intervención de una llamada entre abogado y cliente. El tribunal ha reconocido que, mientras el art. 8 CEDH protege la confidencialidad de la correspondencia entre individuos, debe procurarse una protección reforzada a los intercambios entre abogados y sus clientes, ya que los abogados no podrían defender a sus clientes si no pudieran garantizar que sus entrevistas son confidenciales (STEDH de 6 de febrero de 2012, </w:t>
      </w:r>
      <w:r w:rsidRPr="005728DD">
        <w:rPr>
          <w:i/>
        </w:rPr>
        <w:t>Michaud c. Francia</w:t>
      </w:r>
      <w:r>
        <w:t xml:space="preserve">). Por lo tanto, el tribunal considera que la vigilancia de una entrevista constituye un grado extremadamente alto de intrusión en el derecho de la persona a respetar su vida privada y correspondencia; mayor que el grado de intrusión en </w:t>
      </w:r>
      <w:r w:rsidRPr="005728DD">
        <w:rPr>
          <w:i/>
        </w:rPr>
        <w:t>Uzun c. Alemania</w:t>
      </w:r>
      <w:r>
        <w:t xml:space="preserve"> e, incluso, </w:t>
      </w:r>
      <w:r w:rsidRPr="005728DD">
        <w:rPr>
          <w:i/>
        </w:rPr>
        <w:t>Bykov c. Rusia</w:t>
      </w:r>
      <w:r>
        <w:t>. En consecuencia, en tales casos esperará que se establezcan las mismas salvaguardas para proteger a las personas de la interferencia arbitraria con sus derechos del art. 8 CEDH como lo ha requerido en casos relacionados con la interceptación de las comunicaciones, en, al menos, la medida en que estos principios pueden aplicarse a la forma de vigilancia en cuestión”.</w:t>
      </w:r>
    </w:p>
    <w:p w:rsidR="005728DD" w:rsidRDefault="005728DD" w:rsidP="005728DD">
      <w:pPr>
        <w:pStyle w:val="TextoNormal"/>
      </w:pPr>
    </w:p>
    <w:p w:rsidR="005728DD" w:rsidRDefault="005728DD" w:rsidP="005728DD">
      <w:pPr>
        <w:pStyle w:val="TextoNormal"/>
      </w:pPr>
      <w:r>
        <w:t xml:space="preserve">También conviene resaltar la STEDH de 20 de diciembre de 2005, </w:t>
      </w:r>
      <w:r w:rsidRPr="005728DD">
        <w:rPr>
          <w:i/>
        </w:rPr>
        <w:t>Wisse c. Francia</w:t>
      </w:r>
      <w:r>
        <w:t xml:space="preserve">, § 26 a 27) donde se afirmó que “en la jurisprudencia del Tribunal Europeo de Derechos Humanos  se ha constatado a menudo que la captación secreta de conversaciones o imágenes por medio de aparatos de grabación de audio y vídeo entraba en el campo de aplicación del artículo 8 del Convenio, tanto en lo referente al derecho al respeto de la vida privada como de la correspondencia. Lo ha hecho, por ejemplo, en la grabación secreta de conversaciones mediante apartados de escucha por la policía en el apartamento de una persona sospechosa de tráfico de drogas (STEDH </w:t>
      </w:r>
      <w:r w:rsidRPr="005728DD">
        <w:rPr>
          <w:i/>
        </w:rPr>
        <w:t>Khan c. Reino Unido</w:t>
      </w:r>
      <w:r>
        <w:t xml:space="preserve">, núm. 35394/97, § 25, ECHR 2000-V), sobre el sistema de sonido en el apartamento de un individuo donde la policía sabía que otro tenía que ir como parte de una investigación judicial por homicidio (STEDH de 31 de mayo de 2005, </w:t>
      </w:r>
      <w:r w:rsidRPr="005728DD">
        <w:rPr>
          <w:i/>
        </w:rPr>
        <w:t>Vetter c. Francia</w:t>
      </w:r>
      <w:r>
        <w:t xml:space="preserve">, § 26). Aplicó también esta jurisprudencia en la colocación, y utilización, de aparatos de escucha en una celda de un detenido en prisión (STEDH de 25 de septiembre de 2001, </w:t>
      </w:r>
      <w:r w:rsidRPr="005728DD">
        <w:rPr>
          <w:i/>
        </w:rPr>
        <w:t>P.G y J.H. c. Reino Unido</w:t>
      </w:r>
      <w:r>
        <w:t>); en el establecimiento de un dispositivo de vigilancia de audio y vídeo colocado en la celda de un detenido en prisión y en la zona de visita de esta (</w:t>
      </w:r>
      <w:r w:rsidRPr="005728DD">
        <w:rPr>
          <w:i/>
        </w:rPr>
        <w:t>Allan c. Reino Unido</w:t>
      </w:r>
      <w:r>
        <w:t xml:space="preserve">, anteriormente citada); a la grabación de conversaciones telefónicas de un preso por las autoridades penitenciarias, utilizadas posteriormente como elemento de prueba para condenarle por otro delito (STEDH de 27 de abril de 2004, </w:t>
      </w:r>
      <w:r w:rsidRPr="005728DD">
        <w:rPr>
          <w:i/>
        </w:rPr>
        <w:t>Doerga c. Holanda</w:t>
      </w:r>
      <w:r>
        <w:t xml:space="preserve">) y la colocación de un detenido bajo vigilancia permanente durante un </w:t>
      </w:r>
      <w:r>
        <w:lastRenderedPageBreak/>
        <w:t xml:space="preserve">periodo de dos semanas (STEDH de 1 de junio de 2004, </w:t>
      </w:r>
      <w:r w:rsidRPr="005728DD">
        <w:rPr>
          <w:i/>
        </w:rPr>
        <w:t>Van der Graaf c. Países Bajos</w:t>
      </w:r>
      <w:r>
        <w:t>) […] Por tanto, las conversaciones mantenidas en la sala de visitas de una prisión pueden incluirse en los conceptos de vida privada y correspondencia”.</w:t>
      </w:r>
    </w:p>
    <w:p w:rsidR="005728DD" w:rsidRDefault="005728DD" w:rsidP="005728DD">
      <w:pPr>
        <w:pStyle w:val="TextoNormal"/>
      </w:pPr>
    </w:p>
    <w:p w:rsidR="005728DD" w:rsidRDefault="005728DD" w:rsidP="005728DD">
      <w:pPr>
        <w:pStyle w:val="TextoNormal"/>
      </w:pPr>
      <w:r>
        <w:t>Dejando sentado que es necesaria la intervención de la ley y que la norma legal de que se trate ha de reunir todas aquellas características indispensables como garantía de la seguridad jurídica, para precisarlas con mayor exactitud, siquiera sea con carácter mínimo, de conformidad con lo establecido en el art. 10.2 CE, en relación con el art. 8 del Convenio europeo para la protección de los derechos humanos y las libertades fundamentales, habremos de tener en cuenta en este momento la doctrina del Tribunal Europeo de Derechos Humanos  como hicimos en resoluciones anteriores (por todas, STC 85/1994, FJ 3).</w:t>
      </w:r>
    </w:p>
    <w:p w:rsidR="005728DD" w:rsidRDefault="005728DD" w:rsidP="005728DD">
      <w:pPr>
        <w:pStyle w:val="TextoNormal"/>
      </w:pPr>
    </w:p>
    <w:p w:rsidR="005728DD" w:rsidRDefault="005728DD" w:rsidP="005728DD">
      <w:pPr>
        <w:pStyle w:val="TextoNormal"/>
      </w:pPr>
      <w:r>
        <w:t xml:space="preserve">En lo que respecta a la “accesibilidad” o “previsibilidad”, cuando se trata de la intervención de las comunicaciones por las autoridades públicas, el Tribunal Europeo de Derechos Humanos  ha declarado que "implica que el Derecho interno debe usar términos suficientemente claros para indicar a todos de manera suficiente en qué circunstancias y bajo qué condiciones se habilita a los poderes públicos a tomar tales medidas" (STEDH de 30 de julio de 1998, </w:t>
      </w:r>
      <w:r w:rsidRPr="005728DD">
        <w:rPr>
          <w:i/>
        </w:rPr>
        <w:t>Caso Valenzuela</w:t>
      </w:r>
      <w:r>
        <w:t xml:space="preserve">, con cita de las resoluciones dictadas en los casos </w:t>
      </w:r>
      <w:r w:rsidRPr="005728DD">
        <w:rPr>
          <w:i/>
        </w:rPr>
        <w:t>Malone, Kruslin y Huvig</w:t>
      </w:r>
      <w:r>
        <w:t xml:space="preserve"> (STEDH de 24 de abril de 1990), </w:t>
      </w:r>
      <w:r w:rsidRPr="005728DD">
        <w:rPr>
          <w:i/>
        </w:rPr>
        <w:t>Halford</w:t>
      </w:r>
      <w:r>
        <w:t xml:space="preserve"> (STEDH de 25 de junio 1997) y </w:t>
      </w:r>
      <w:r w:rsidRPr="005728DD">
        <w:rPr>
          <w:i/>
        </w:rPr>
        <w:t>Kopp</w:t>
      </w:r>
      <w:r>
        <w:t xml:space="preserve"> (STEDH de 25 de marzo de 1998). Esto era afirmado, también, en la anteriormente mencionada STEDH de 10 de marzo de 2009, </w:t>
      </w:r>
      <w:r w:rsidRPr="005728DD">
        <w:rPr>
          <w:i/>
        </w:rPr>
        <w:t>Bykov c. Rusia</w:t>
      </w:r>
      <w:r>
        <w:t>, §78, donde se consignaba que “la ley debe utilizar términos lo suficientemente claros para que cualquiera comprenda en qué circunstancias, y bajo qué condiciones habilita a los poderes públicos a realizar dicho atentado secreto y virtualmente peligroso para el respeto de la vida privada y la correspondencia”.</w:t>
      </w:r>
    </w:p>
    <w:p w:rsidR="005728DD" w:rsidRDefault="005728DD" w:rsidP="005728DD">
      <w:pPr>
        <w:pStyle w:val="TextoNormal"/>
      </w:pPr>
    </w:p>
    <w:p w:rsidR="005728DD" w:rsidRDefault="005728DD" w:rsidP="005728DD">
      <w:pPr>
        <w:pStyle w:val="TextoNormal"/>
      </w:pPr>
      <w:r>
        <w:t xml:space="preserve">La expresión “prevista por la ley” —que aparece expresamente contemplada en el art. 8.2 CEDH— exige tanto que la medida impugnada tenga alguna base en la legislación interna, como que dicha base sea accesible para el ciudadano. Esta accesibilidad ha de traducirse, precisamente, en que la norma que habilita la medida impugnada tenga la suficiente precisión como para permitir a la persona afectada, si es necesario con el consejo adecuado, regular su conducta, sin que ello pueda llevar, en modo alguno, a que “el investigado sea capaz de prever cuando las autoridades podrán interceptar sus comunicaciones para que puedan adaptar su conducta a ello” (SSTEDH de 24 de abril de 1990, </w:t>
      </w:r>
      <w:r w:rsidRPr="005728DD">
        <w:rPr>
          <w:i/>
        </w:rPr>
        <w:t>Kruslin c. Francia y Huving c. Francia</w:t>
      </w:r>
      <w:r>
        <w:t>). Sin embargo, la legislación debe ser tan clara como para dar a los ciudadanos una información adecuada sobre los requisitos, y en qué circunstancias, se puede ejecutar una medida de investigación que pueda ser potencialmente peligrosa para el derecho a la vida privada y la correspondencia.</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Delimitación del ámbito aplicativo del art. 588 quater b) LECrim</w:t>
      </w:r>
      <w:r>
        <w:t>.</w:t>
      </w:r>
    </w:p>
    <w:p w:rsidR="005728DD" w:rsidRDefault="005728DD" w:rsidP="005728DD">
      <w:pPr>
        <w:pStyle w:val="TextoNormal"/>
      </w:pPr>
    </w:p>
    <w:p w:rsidR="005728DD" w:rsidRDefault="005728DD" w:rsidP="005728DD">
      <w:pPr>
        <w:pStyle w:val="TextoNormal"/>
      </w:pPr>
      <w:r>
        <w:t>La determinación del alcance y de la duración concreta de la citada medida de investigación, compete en exclusiva a los órganos destinatarios de la norma y que tienen encomendada su aplicación, lo que es ajeno, en principio, a los cometidos de este tribunal.</w:t>
      </w:r>
    </w:p>
    <w:p w:rsidR="005728DD" w:rsidRDefault="005728DD" w:rsidP="005728DD">
      <w:pPr>
        <w:pStyle w:val="TextoNormal"/>
      </w:pPr>
    </w:p>
    <w:p w:rsidR="005728DD" w:rsidRDefault="005728DD" w:rsidP="005728DD">
      <w:pPr>
        <w:pStyle w:val="TextoNormal"/>
      </w:pPr>
      <w:r>
        <w:t xml:space="preserve">Desde esta perspectiva, la función de este tribunal queda limitada a examinar la razonabilidad de interpretación sostenida por el órgano judicial así como el respeto al tenor literal </w:t>
      </w:r>
      <w:r>
        <w:lastRenderedPageBreak/>
        <w:t>de la norma. Este respeto, no obstante, no garantiza siempre que la decisión sometida revisión se acomode estrictamente al tenor literal pues, en ocasiones, el lenguaje es relativamente vago y versátil, las normas son necesariamente abstractas y, a su vez, se remiten implícitamente a una realidad normativa subyacente.</w:t>
      </w:r>
    </w:p>
    <w:p w:rsidR="005728DD" w:rsidRDefault="005728DD" w:rsidP="005728DD">
      <w:pPr>
        <w:pStyle w:val="TextoNormal"/>
      </w:pPr>
    </w:p>
    <w:p w:rsidR="005728DD" w:rsidRDefault="005728DD" w:rsidP="005728DD">
      <w:pPr>
        <w:pStyle w:val="TextoNormal"/>
      </w:pPr>
      <w:r>
        <w:t>Por ello debe utilizarse algún criterio añadido que, a la vista de los valores en juego —seguridad jurídica y legitimidad de actuación del poder judicial, de una parte, pero también libertad y competencia exclusiva del juez en la aplicación de la legalidad—, distinga entre las resoluciones que forman parte del campo de decisión legítima de este y las que suponen una ruptura de su sujeción a la ley. Dichos criterios han sido conformados en nuestra jurisprudencia haciendo referencia al respeto de “las pautas axiológicas que informan nuestro texto constitucional (SSTC 159/1986, 59/1990 y 111/1993)” y la utilización de los “modelos de argumentación aceptados por la propia comunidad jurídica”. Así —hemos dicho—,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y 9/2006, de 16 de enero, FJ 4).</w:t>
      </w:r>
    </w:p>
    <w:p w:rsidR="005728DD" w:rsidRDefault="005728DD" w:rsidP="005728DD">
      <w:pPr>
        <w:pStyle w:val="TextoNormal"/>
      </w:pPr>
    </w:p>
    <w:p w:rsidR="005728DD" w:rsidRDefault="005728DD" w:rsidP="005728DD">
      <w:pPr>
        <w:pStyle w:val="TextoNormal"/>
      </w:pPr>
      <w:r>
        <w:t>Además, con carácter general, debe tenerse en cuenta que este tribunal también ha venido señalando que la aplicación de medidas legales que implican la restricción de un derecho fundamental sustantivo exige un deber reforzado de motivación que incluya, además de una fundamentación razonable, no arbitraria ni incursa en error patente, un juicio de adecuación al fin (por todas SSTC 62/1996, de 15 de abril, FJ 2; 34/1997, de 25 de febrero, FJ 2; 175/1997, de 27 de octubre, FJ 4; 200/1997, de 24 de noviembre, FJ 4; 83/1998, de 20 de abril, FJ 3; 116/1998, de 2 de junio, FJ 4, y 2/1999, de 25 de enero, FJ 2, entre otras). De ahí que se haya venido exigiendo que las resoluciones judiciales que autorizan la intervención de las comunicaciones o su prórroga deban explicitar, en el momento de la adopción de la medida, todos los elementos indispensables para realizar el juicio de proporcionalidad y para hacer posible su control posterior, en aras del respeto del derecho de defensa del sujeto pasivo de la medida, pues, por la propia finalidad de esta, la defensa no puede tener lugar en el momento de su adopción (SSTC 299/2000, de 11 de diciembre, FJ 4, y 167/2002, de 18 de septiembre, FJ 2). De forma que la resolución judicial debe exteriorizar los datos o hechos objetivos que pueden considerarse indicios de la existencia del delito y de la conexión de la persona o personas investigadas con el mismo, indicios que han de ser algo más que simples sospechas, pues han de estar fundados en alguna clase de datos objetivos (SSTC 167/2002, de 18 de septiembre, FJ 2, y 184/2003, de 23 de octubre, FJ 9).</w:t>
      </w:r>
    </w:p>
    <w:p w:rsidR="005728DD" w:rsidRDefault="005728DD" w:rsidP="005728DD">
      <w:pPr>
        <w:pStyle w:val="TextoNormal"/>
      </w:pPr>
    </w:p>
    <w:p w:rsidR="005728DD" w:rsidRDefault="005728DD" w:rsidP="005728DD">
      <w:pPr>
        <w:pStyle w:val="TextoNormal"/>
      </w:pPr>
      <w:r>
        <w:t xml:space="preserve">A este respecto no se trata de satisfacer los intereses de una investigación meramente prospectiva, pues el secreto de las comunicaciones no puede ser desvelado para satisfacer la necesidad genérica de prevenir o descubrir delitos o para despejar sospechas sin base objetiva de los encargados de la investigación, por más legítima que sea esta aspiración, pues de otro modo se desvanecería la garantía constitucional (SSTC 184/2003, de 23 de </w:t>
      </w:r>
      <w:r>
        <w:lastRenderedPageBreak/>
        <w:t>octubre, FJ 11, y 261/2005, de 24 de octubre, FJ 2). No obstante, aunque lo deseable es que la expresión de los indicios objetivos que justifiquen la intervención se exteriorice directamente en la resolución judicial, esta, según una consolidada doctrina de este tribunal, puede considerarse suficientemente motivada si, integrada incluso con la solicitud policial a la que puede remitirse, contiene los elementos necesarios para considerar satisfechas las exigencias de llevar a cabo, con posterioridad, la ponderación de la restricción de los derechos fundamentales que la proporcionalidad de la medida conlleva (SSTC 167/2002, de 18 de septiembre, FJ 2; 184/2003, de 23 de octubre, FFJJ 9 y 11, y 261/2005, de 24 de octubre, FJ 2).</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Aplicación de la citada doctrina al presente caso</w:t>
      </w:r>
      <w:r>
        <w:t>.</w:t>
      </w:r>
    </w:p>
    <w:p w:rsidR="005728DD" w:rsidRDefault="005728DD" w:rsidP="005728DD">
      <w:pPr>
        <w:pStyle w:val="TextoNormal"/>
      </w:pPr>
    </w:p>
    <w:p w:rsidR="005728DD" w:rsidRDefault="005728DD" w:rsidP="005728DD">
      <w:pPr>
        <w:pStyle w:val="TextoNormal"/>
      </w:pPr>
      <w:r>
        <w:t>Expuestas las características de la presente demanda de amparo, adelantamos que no nos encontramos ante un supuesto idéntico al analizado en la anteriormente mencionada STC 145/2014, de 22 de septiembre. En ese caso ya señalamos que la medida de interceptación de las comunicaciones orales era completamente extraña al ámbito de aplicación de la regulación vigente (art. 579 LECrim y arts. 46 y 47 RP) por lo que la inexistencia de previsión legal permitía considerar no tener por cumplidos los estándares constitucionales de “calidad y previsibilidad de la ley” establecidos en la jurisprudencia del Tribunal Europeo de Derechos Humanos. En base a ello, acabamos estimando el amparo bajo la afirmación de que “en ausencia plena de regulación normativa es de todo punto inviable el más lejano aseguramiento de esas garantías básicas” (FJ 7).</w:t>
      </w:r>
    </w:p>
    <w:p w:rsidR="005728DD" w:rsidRDefault="005728DD" w:rsidP="005728DD">
      <w:pPr>
        <w:pStyle w:val="TextoNormal"/>
      </w:pPr>
    </w:p>
    <w:p w:rsidR="005728DD" w:rsidRDefault="005728DD" w:rsidP="005728DD">
      <w:pPr>
        <w:pStyle w:val="TextoNormal"/>
      </w:pPr>
      <w:r>
        <w:t>Esta lógica, sin embargo, no puede proyectarse al presente recurso de amparo. Así, en este supuesto nos encontramos ante una situación distinta, en la que el objeto de debate no estriba sobre la inexistencia de regulación legal, sino, al contrario, sobre su interpretación y aplicación. Esta circunstancia, sin duda, otorga a este tribunal una perspectiva jurídica diferente a la hora de analizar el fondo de las cuestiones planteadas.</w:t>
      </w:r>
    </w:p>
    <w:p w:rsidR="005728DD" w:rsidRDefault="005728DD" w:rsidP="005728DD">
      <w:pPr>
        <w:pStyle w:val="TextoNormal"/>
      </w:pPr>
    </w:p>
    <w:p w:rsidR="005728DD" w:rsidRDefault="005728DD" w:rsidP="005728DD">
      <w:pPr>
        <w:pStyle w:val="TextoNormal"/>
      </w:pPr>
      <w:r>
        <w:t>Como ya se ha expuesto, es doctrina reiterada de este tribunal que, aun respetando el tenor literal posible, “son constitucionalmente rechazables aquellas aplicaciones de la ley que por su soporte metodológico —una argumentación ilógica o indiscutiblemente extravagante— o axiológico —una base valorativa ajena a los criterios que informan nuestro ordenamiento constitucional— conduzcan a soluciones esencialmente opuestas de la orientación material de la norma y, por ello, imprevisibles para sus destinatarios” (SSTC 328/2006, de 20 de noviembre, FJ 6, y 199/2013, de 5 de diciembre, FJ 13). Por lo tanto, y a los efectos de tener por cumplidos los estándares de previsibilidad y calidad de la ley, la función de este tribunal se limita directamente a controlar la interpretación desarrollada por el órgano judicial, asegurando que la misma no es ilógica, o indiscutiblemente extravagante, de tal manera que se garantice su cognoscibilidad y previsibilidad. Esta función de control, como ya se ha señalado, ha de abordarse desde dos perspectivas: la primera, atender a si la interpretación acogida por los órganos jurisdiccionales es congruente con el tenor literal de la disposición discutida, y, la segunda, determinar si esta interpretación es respetuosa con los valores constitucionales en juego y con las pautas axiológicas que informan nuestro texto constitucional (SSTC 159/1986, 59/1990 y 111/1993).</w:t>
      </w:r>
    </w:p>
    <w:p w:rsidR="005728DD" w:rsidRDefault="005728DD" w:rsidP="005728DD">
      <w:pPr>
        <w:pStyle w:val="TextoNormal"/>
      </w:pPr>
    </w:p>
    <w:p w:rsidR="005728DD" w:rsidRDefault="005728DD" w:rsidP="005728DD">
      <w:pPr>
        <w:pStyle w:val="TextoNormal"/>
      </w:pPr>
      <w:r>
        <w:t xml:space="preserve">Para aplicar este canon debe partirse, en principio, de la motivación contenida en las resoluciones recurridas. Esta constatación, como veremos, cobra especial relieve en el caso </w:t>
      </w:r>
      <w:r>
        <w:lastRenderedPageBreak/>
        <w:t xml:space="preserve">aquí enjuiciado por lo que antes de proceder a su aplicación conviene recordar en este extremo </w:t>
      </w:r>
      <w:r w:rsidRPr="005728DD">
        <w:rPr>
          <w:i/>
        </w:rPr>
        <w:t>la ratio decidendi</w:t>
      </w:r>
      <w:r>
        <w:t xml:space="preserve"> aquí expuesta.</w:t>
      </w:r>
    </w:p>
    <w:p w:rsidR="005728DD" w:rsidRDefault="005728DD" w:rsidP="005728DD">
      <w:pPr>
        <w:pStyle w:val="TextoNormal"/>
      </w:pPr>
    </w:p>
    <w:p w:rsidR="005728DD" w:rsidRDefault="005728DD" w:rsidP="005728DD">
      <w:pPr>
        <w:pStyle w:val="TextoNormal"/>
      </w:pPr>
      <w:r>
        <w:t>El núcleo esencial de la queja del recurrente —como ya se anticipó— radica en la impugnación de la legitimidad y regularidad de la intervención de las comunicaciones orales practicada en la fase de investigación del delito, al entender carente de cobertura legal la interpretación efectuada por la resolución judicial que la autorizó inicialmente. Se cuestiona, además, la forma en que se llevó a cabo la intervención y el hecho de que no se desconectaran los dispositivos de escucha en los intervalos concurrentes entre cada uno de los encuentros objeto de monitorización. A juicio del demandante de amparo ello habría producido una vulneración no solo del derecho al secreto de comunicaciones (art. 18.3 CE) sino también del derecho a la intimidad en sus aspectos más profundos (art. 18.1 CE).</w:t>
      </w:r>
    </w:p>
    <w:p w:rsidR="005728DD" w:rsidRDefault="005728DD" w:rsidP="005728DD">
      <w:pPr>
        <w:pStyle w:val="TextoNormal"/>
      </w:pPr>
    </w:p>
    <w:p w:rsidR="005728DD" w:rsidRDefault="005728DD" w:rsidP="005728DD">
      <w:pPr>
        <w:pStyle w:val="TextoNormal"/>
      </w:pPr>
      <w:r>
        <w:t xml:space="preserve">Las resoluciones judiciales impugnadas encontraron, para la adopción de la controvertida medida, cobertura legal en el propio tenor literal del art. 588 </w:t>
      </w:r>
      <w:r w:rsidRPr="005728DD">
        <w:rPr>
          <w:i/>
        </w:rPr>
        <w:t>quater</w:t>
      </w:r>
      <w:r>
        <w:t xml:space="preserve"> b) LECrim. Así, la sentencia de instancia mantenía que la utilización, por parte del legislador, del término “previsibilidad” implicaba una imposibilidad fáctica de determinar el momento, o momentos, en que los diferentes encuentros tendrían lugar, por lo que las garantías procesales quedaban suficientemente satisfechas con la determinación del lugar, sujetos, y lapso de tiempo en que los mismos serán celebrados. En definitiva, señalaba el órgano judicial que la propia circunstancia de que el objeto de la intervención pudiera quedar constituido por un conjunto de encuentros supone que la extensión de la medida puede dilatarse hasta que finalicen los mismos, no existiendo, por lo tanto, una obligación de conectar y desconectar los micrófonos entre estos, ni de dictar resoluciones judiciales adicionales para prorrogar la citada intervención.</w:t>
      </w:r>
    </w:p>
    <w:p w:rsidR="005728DD" w:rsidRDefault="005728DD" w:rsidP="005728DD">
      <w:pPr>
        <w:pStyle w:val="TextoNormal"/>
      </w:pPr>
    </w:p>
    <w:p w:rsidR="005728DD" w:rsidRDefault="005728DD" w:rsidP="005728DD">
      <w:pPr>
        <w:pStyle w:val="TextoNormal"/>
      </w:pPr>
      <w:r>
        <w:t xml:space="preserve">Ciertamente, la interpretación alcanzada por el órgano judicial no puede ser considerada contraria al tenor literal de la norma. La utilización por el legislador —para referirse al objeto de intervención— de una forma gramatical plural (el art. 588 </w:t>
      </w:r>
      <w:r w:rsidRPr="005728DD">
        <w:rPr>
          <w:i/>
        </w:rPr>
        <w:t>quater</w:t>
      </w:r>
      <w:r>
        <w:t xml:space="preserve"> b) señala que “La utilización de los dispositivos a que se refiere el artículo anterior ha de estar vinculada a comunicaciones que puedan tener lugar en uno o varios encuentros concretos del investigado con otras personas y sobre cuya previsibilidad haya indicios puestos de manifiesto por la investigación” implica que la citada medida de investigación no tiene por qué limitarse inexorablemente a un solo encuentro. Por el contrario, la inclusión en la norma de la posibilidad que la intervención abarque varios encuentros, permite una interpretación según la cual la medida, excepcionalmente, puede quedar definida con un alcance temporal determinado; esto es, mediante un plazo durante el cual es previsible que tales encuentros se produzcan. En tal caso, el cese definitivo de la medida de investigación no vendrá determinado por la clausura de cada uno de los encuentros objeto de la intervención sino por la terminación de los que tengan lugar en ese periodo. En definitiva, la duración del o de los encuentros concretos así como los lapsos temporales que se produzcan entre ellos, condicionarán el límite temporal de la medida de investigación contemplada en el art. 588 </w:t>
      </w:r>
      <w:r w:rsidRPr="005728DD">
        <w:rPr>
          <w:i/>
        </w:rPr>
        <w:t>quater</w:t>
      </w:r>
      <w:r>
        <w:t xml:space="preserve"> b) LECrim.</w:t>
      </w:r>
    </w:p>
    <w:p w:rsidR="005728DD" w:rsidRDefault="005728DD" w:rsidP="005728DD">
      <w:pPr>
        <w:pStyle w:val="TextoNormal"/>
      </w:pPr>
    </w:p>
    <w:p w:rsidR="005728DD" w:rsidRDefault="005728DD" w:rsidP="005728DD">
      <w:pPr>
        <w:pStyle w:val="TextoNormal"/>
      </w:pPr>
      <w:r>
        <w:t>Apoyan, además, la tesis sostenida por los órganos judiciales tres elementos que deben ser destacados:</w:t>
      </w:r>
    </w:p>
    <w:p w:rsidR="005728DD" w:rsidRDefault="005728DD" w:rsidP="005728DD">
      <w:pPr>
        <w:pStyle w:val="TextoNormal"/>
      </w:pPr>
    </w:p>
    <w:p w:rsidR="005728DD" w:rsidRDefault="005728DD" w:rsidP="005728DD">
      <w:pPr>
        <w:pStyle w:val="TextoNormal"/>
      </w:pPr>
      <w:r>
        <w:lastRenderedPageBreak/>
        <w:t xml:space="preserve">a) En primer lugar, el art. 588 </w:t>
      </w:r>
      <w:r w:rsidRPr="005728DD">
        <w:rPr>
          <w:i/>
        </w:rPr>
        <w:t>quater</w:t>
      </w:r>
      <w:r>
        <w:t xml:space="preserve"> c) LECrim, al regular el contenido de la resolución judicial habilitante, vuelve a utilizar una formula gramatical plural para referirse a los encuentros objetos de investigación, siendo que, por el contrario, emplea una formula gramatical singular, junto al adjetivo “concreto”, para referirse al “lugar” donde los dispositivos serán colocados. De esta redacción se infiere que las exigencias derivadas de la utilización del adjetivo “concreto” han de referirse exclusivamente al lugar —o dependencias— donde los dispositivos serán colocados, y no, por el contrario, a los encuentros objeto de monitorización toda vez que, respecto a estos, la utilización —en el art. 588 </w:t>
      </w:r>
      <w:r w:rsidRPr="005728DD">
        <w:rPr>
          <w:i/>
        </w:rPr>
        <w:t>quater</w:t>
      </w:r>
      <w:r>
        <w:t xml:space="preserve"> b)— del término “previsibilidad” implica la aceptación de la dificultad fáctica de determinarlos con la misma precisión. Tal exigencia resulta inexcusable en la identificación del lugar en que se aplicará la intervención.</w:t>
      </w:r>
    </w:p>
    <w:p w:rsidR="005728DD" w:rsidRDefault="005728DD" w:rsidP="005728DD">
      <w:pPr>
        <w:pStyle w:val="TextoNormal"/>
      </w:pPr>
    </w:p>
    <w:p w:rsidR="005728DD" w:rsidRDefault="005728DD" w:rsidP="005728DD">
      <w:pPr>
        <w:pStyle w:val="TextoNormal"/>
      </w:pPr>
      <w:r>
        <w:t xml:space="preserve">b) En segundo lugar, el mismo art. 588 </w:t>
      </w:r>
      <w:r w:rsidRPr="005728DD">
        <w:rPr>
          <w:i/>
        </w:rPr>
        <w:t>quater</w:t>
      </w:r>
      <w:r>
        <w:t xml:space="preserve"> c) LECrim realiza una remisión al art. 588 </w:t>
      </w:r>
      <w:r w:rsidRPr="005728DD">
        <w:rPr>
          <w:i/>
        </w:rPr>
        <w:t>bis</w:t>
      </w:r>
      <w:r>
        <w:t xml:space="preserve"> c) LECrim prescribiendo que, entre los extremos que deberá contener la resolución judicial que autorice la medida, se encuentra el hecho punible objeto de investigación, la identidad de los investigados, la extensión de la medida de injerencia especificando su alcance, la unidad investigadora de la policía judicial que se hará cargo de la intervención, así como “e) la duración de la medida”. La remisión a este apartado reafirma la tesis de que la voluntad del legislador era otorgar al juez la posibilidad de fijar un lapso temporal de duración de la medida.</w:t>
      </w:r>
    </w:p>
    <w:p w:rsidR="005728DD" w:rsidRDefault="005728DD" w:rsidP="005728DD">
      <w:pPr>
        <w:pStyle w:val="TextoNormal"/>
      </w:pPr>
    </w:p>
    <w:p w:rsidR="005728DD" w:rsidRDefault="005728DD" w:rsidP="005728DD">
      <w:pPr>
        <w:pStyle w:val="TextoNormal"/>
      </w:pPr>
      <w:r>
        <w:t xml:space="preserve">c) En tercer lugar, no hay que olvidar, tampoco, que el art. 588 </w:t>
      </w:r>
      <w:r w:rsidRPr="005728DD">
        <w:rPr>
          <w:i/>
        </w:rPr>
        <w:t>quater</w:t>
      </w:r>
      <w:r>
        <w:t xml:space="preserve"> e) LECrim —que regula el cese de la medida—, se remite al art. 588 </w:t>
      </w:r>
      <w:r w:rsidRPr="005728DD">
        <w:rPr>
          <w:i/>
        </w:rPr>
        <w:t>bis</w:t>
      </w:r>
      <w:r>
        <w:t xml:space="preserve"> j) LECrim que, a su vez, prescribe “el juez acordará el cese de la medida cuando desaparezcan las circunstancias que justificaron su adopción o resulte evidente que a través de la misma no se están obteniendo los resultados pretendidos y, en todo caso, cuando haya transcurrido el plazo para el que hubiera sido autorizada”.</w:t>
      </w:r>
    </w:p>
    <w:p w:rsidR="005728DD" w:rsidRDefault="005728DD" w:rsidP="005728DD">
      <w:pPr>
        <w:pStyle w:val="TextoNormal"/>
      </w:pPr>
    </w:p>
    <w:p w:rsidR="005728DD" w:rsidRDefault="005728DD" w:rsidP="005728DD">
      <w:pPr>
        <w:pStyle w:val="TextoNormal"/>
      </w:pPr>
      <w:r>
        <w:t>La confluencia de todos estos elementos no lleva a otra conclusión que estimar razonable la interpretación sostenida por el juzgado de instrucción. Efectivamente, al fijar un plazo —tres meses en este caso— durante el cual debían surtir sus efectos los dispositivos de escucha y grabación, el instructor ponderó no solamente —y como se explicitará más adelante— los derechos y valores constitucionales en juego, sino que también tuvo en cuenta la interpretación sistemática de la norma objeto de debate, así como las garantías mínimas establecidas por la ley para la protección de otras comunicaciones análogas.</w:t>
      </w:r>
    </w:p>
    <w:p w:rsidR="005728DD" w:rsidRDefault="005728DD" w:rsidP="005728DD">
      <w:pPr>
        <w:pStyle w:val="TextoNormal"/>
      </w:pPr>
    </w:p>
    <w:p w:rsidR="005728DD" w:rsidRDefault="005728DD" w:rsidP="005728DD">
      <w:pPr>
        <w:pStyle w:val="TextoNormal"/>
      </w:pPr>
      <w:r>
        <w:t xml:space="preserve">Por lo tanto, resulta razonable afirmar que, en las circunstancias del caso sometido a examen, las garantías establecidas por la ley vendrán plenamente satisfechas por la determinación en la resolución judicial del lugar (concreción locativa), de los sujetos (concreción subjetiva), y de varios encuentros concretos entre dichos sujetos que previsiblemente tendrán lugar en un lapso de tiempo (concreción temporal). La posibilidad de delimitar la medida mediante la fijación de un plazo, que debe considerarse excepcional y no general, estará condicionada por los indicios sobre la previsibilidad del encuentro o encuentros concretos, a los que está vinculado. Solo cuando indiciariamente no sea posible prever con exactitud el momento en que tendrán lugar tales encuentros podrá delimitarse el alcance de la intervención mediante la fijación de un plazo. En todo caso, como consecuencia del estándar mínimo de garantía señalado en el art. 588 </w:t>
      </w:r>
      <w:r w:rsidRPr="005728DD">
        <w:rPr>
          <w:i/>
        </w:rPr>
        <w:t>ter</w:t>
      </w:r>
      <w:r>
        <w:t xml:space="preserve"> g) LECrim, el máximo de duración de la </w:t>
      </w:r>
      <w:r>
        <w:lastRenderedPageBreak/>
        <w:t>intervención será el establecido en dicho precepto para la intervención de las comunicaciones telefónicas. El cumplimiento de estas exigencias determina que la intervención de las comunicaciones orales no pueda ser calificada de “general o indiscriminada”.</w:t>
      </w:r>
    </w:p>
    <w:p w:rsidR="005728DD" w:rsidRDefault="005728DD" w:rsidP="005728DD">
      <w:pPr>
        <w:pStyle w:val="TextoNormal"/>
      </w:pPr>
    </w:p>
    <w:p w:rsidR="005728DD" w:rsidRDefault="005728DD" w:rsidP="005728DD">
      <w:pPr>
        <w:pStyle w:val="TextoNormal"/>
      </w:pPr>
      <w:r>
        <w:t>Sostiene también el demandante de amparo que, con independencia del plazo que se pueda fijar para la medida de intervención, la exposición de motivos de la Ley Orgánica 13/2015 establece la obligación de desconectar los micrófonos cuando materialmente cesa cada uno de los encuentros cuya intervención se pretende. En este caso, el hecho de que los mismos no hubieran sido desconectados abocaría a la nulidad la intervención acordada.</w:t>
      </w:r>
    </w:p>
    <w:p w:rsidR="005728DD" w:rsidRDefault="005728DD" w:rsidP="005728DD">
      <w:pPr>
        <w:pStyle w:val="TextoNormal"/>
      </w:pPr>
    </w:p>
    <w:p w:rsidR="005728DD" w:rsidRDefault="005728DD" w:rsidP="005728DD">
      <w:pPr>
        <w:pStyle w:val="TextoNormal"/>
      </w:pPr>
      <w:r>
        <w:t xml:space="preserve">Pues bien, en relación con ello resulta necesario afirmar que aunque la exposición de motivos de la Ley Orgánica 13/2015 señala que “no caben autorizaciones de captación y grabación de conversaciones orales de carácter general o indiscriminadas, y, en consecuencia, el dispositivo de escucha y, en su caso, las cámaras a él asociadas, deberán desactivarse tan pronto finalice la conversación cuya captación fue permitida, como se desprende del artículo 588 </w:t>
      </w:r>
      <w:r w:rsidRPr="005728DD">
        <w:rPr>
          <w:i/>
        </w:rPr>
        <w:t>quater</w:t>
      </w:r>
      <w:r>
        <w:t xml:space="preserve"> c)”, lo cierto es que el concepto “conversación” al que se refiere el último inciso no debe necesariamente interpretarse —como pretende el recurrente— de una manera estrictamente literal sino que ha de ser entendido en el marco de lo finalmente regulado.</w:t>
      </w:r>
    </w:p>
    <w:p w:rsidR="005728DD" w:rsidRDefault="005728DD" w:rsidP="005728DD">
      <w:pPr>
        <w:pStyle w:val="TextoNormal"/>
      </w:pPr>
    </w:p>
    <w:p w:rsidR="005728DD" w:rsidRDefault="005728DD" w:rsidP="005728DD">
      <w:pPr>
        <w:pStyle w:val="TextoNormal"/>
      </w:pPr>
      <w:r>
        <w:t xml:space="preserve">Por lo tanto, y teniendo en cuenta la permanente referencia en el articulado a los “encuentros” objeto de intervención, resulta razonable la interpretación según la cual el deber de desconexión contenido en el preámbulo no se refiere a cada uno de los encuentros objeto de la medida sino al conjunto de ellos, cuya previsibilidad ha sido apuntada indiciariamente. En otras palabras, la obligación de desactivar los dispositivos de escucha no será exigible al terminar cada conversación sino al finalizar la serie de encuentros a los que se dirigía la medida de investigación. Esta es, en definitiva, la tesis acogida por la sentencia de instancia cuando señalaba: “sabido es que la exposición de motivos o preámbulo de una ley, con ser importante para la interpretación de la norma, carece en sí misma de valor normativo, y lo cierto es que el art. 588 </w:t>
      </w:r>
      <w:r w:rsidRPr="005728DD">
        <w:rPr>
          <w:i/>
        </w:rPr>
        <w:t>quater</w:t>
      </w:r>
      <w:r>
        <w:t xml:space="preserve"> c) no establece expresamente esa activación y desactivación del dispositivo en cada conversación cuya captación haya sido permitida, ni tampoco lo dice en realidad la exposición de motivos, que solo establece la desconexión una vez concluida la conversación objeto de seguimiento, por lo que si se trata, no de una conversación única, sino de las que vayan a realizar los investigados en un lapso de tiempo en ese concreto lugar, el dispositivo puede mantenerse”.</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Análisis de la proporcionalidad</w:t>
      </w:r>
      <w:r>
        <w:t>.</w:t>
      </w:r>
    </w:p>
    <w:p w:rsidR="005728DD" w:rsidRDefault="005728DD" w:rsidP="005728DD">
      <w:pPr>
        <w:pStyle w:val="TextoNormal"/>
      </w:pPr>
    </w:p>
    <w:p w:rsidR="005728DD" w:rsidRDefault="005728DD" w:rsidP="005728DD">
      <w:pPr>
        <w:pStyle w:val="TextoNormal"/>
      </w:pPr>
      <w:r>
        <w:t>La interpretación sostenida por el órgano judicial es, además, plenamente respetuosa con los valores constitucionales en juego y las pautas axiológicas que informan nuestro ordenamiento jurídico, superando el juicio de proporcionalidad.</w:t>
      </w:r>
    </w:p>
    <w:p w:rsidR="005728DD" w:rsidRDefault="005728DD" w:rsidP="005728DD">
      <w:pPr>
        <w:pStyle w:val="TextoNormal"/>
      </w:pPr>
    </w:p>
    <w:p w:rsidR="005728DD" w:rsidRDefault="005728DD" w:rsidP="005728DD">
      <w:pPr>
        <w:pStyle w:val="TextoNormal"/>
      </w:pPr>
      <w:r>
        <w:t xml:space="preserve">a) En primer término, constatamos que las resoluciones judiciales que acordaron la medida de investigación combatida cumplían con los estándares de motivación establecidos por este tribunal. Las exigencias de motivación impuestas por nuestra jurisprudencia (SSTC; 299/2000, de 11 de diciembre, FJ 4; 167/2002, de 18 de septiembre, FJ 2; 184/2003, de 23 de octubre, FJ 11; 261/2005, de 24 de octubre, FJ 2, y 197/2009, de 28 de septiembre, FJ 4) conllevan la necesidad de esclarecer si en el momento de solicitar y autorizar la medida de </w:t>
      </w:r>
      <w:r>
        <w:lastRenderedPageBreak/>
        <w:t>colocación de dispositivos de escucha y grabación de las comunicaciones orales se pusieron de manifiesto ante el juez, y se tomaron en consideración por este, elementos de convicción que constituyan algo más que meras suposiciones o conjeturas de la existencia del delito o de su posible comisión, así como datos objetivos que permitieran precisar que los vehículos que se trataban de intervenir eran utilizados habitualmente por personas sospechosas de haber cometido los delitos objeto de investigación (SSTC 14/2001, de 29 de enero, FJ 5, y 202/2001, de 15 de octubre, FJ 4).</w:t>
      </w:r>
    </w:p>
    <w:p w:rsidR="005728DD" w:rsidRDefault="005728DD" w:rsidP="005728DD">
      <w:pPr>
        <w:pStyle w:val="TextoNormal"/>
      </w:pPr>
    </w:p>
    <w:p w:rsidR="005728DD" w:rsidRDefault="005728DD" w:rsidP="005728DD">
      <w:pPr>
        <w:pStyle w:val="TextoNormal"/>
      </w:pPr>
      <w:r>
        <w:t>Resulta procedente exponer las particulares circunstancias fácticas del caso, tal y como se desprenden de las actuaciones judiciales:</w:t>
      </w:r>
    </w:p>
    <w:p w:rsidR="005728DD" w:rsidRDefault="005728DD" w:rsidP="005728DD">
      <w:pPr>
        <w:pStyle w:val="TextoNormal"/>
      </w:pPr>
    </w:p>
    <w:p w:rsidR="005728DD" w:rsidRDefault="005728DD" w:rsidP="005728DD">
      <w:pPr>
        <w:pStyle w:val="TextoNormal"/>
      </w:pPr>
      <w:r>
        <w:t>En la pieza separada de intervención de comunicaciones orales consta, a los folios 1 a 12, solicitud policial de observación, y grabación de comunicaciones orales, de fecha 19 de enero de 2017. Dicho informe policial señalaba que existían indicios de que en el intento de sustracción en la sucursal bancaria de Gurrea del Gallego (12 de octubre de 2016) pudiera estar implicado don Carlos Sánchez Olmeda, el cual tenía diversos antecedentes penales por delitos contra el patrimonio. Ulteriores diligencias policiales habrían demostrado, además, que el señor Sánchez Olmeda utilizaría habitualmente el vehículo Seat León, matrícula 6070HCW, para reunirse con otras personas que pudieran estar implicadas en la trama, como don Jose Miguel Perales Baldán. En base a esta información, y ante la existencia de indicios de un delito de organización criminal destinada a perpetrar robos en sucursales bancarias, se solicitó al juez que autorizase la instalación de los medios técnicos adecuados para la observación, grabación, y escucha de las conversaciones mantenidas por el investigado señor Sánchez Olmeda con el resto de miembros de la presunta organización criminal, en el interior del vehículo de la marca Seat León, matrícula 6070HCW.</w:t>
      </w:r>
    </w:p>
    <w:p w:rsidR="005728DD" w:rsidRDefault="005728DD" w:rsidP="005728DD">
      <w:pPr>
        <w:pStyle w:val="TextoNormal"/>
      </w:pPr>
    </w:p>
    <w:p w:rsidR="005728DD" w:rsidRDefault="005728DD" w:rsidP="005728DD">
      <w:pPr>
        <w:pStyle w:val="TextoNormal"/>
      </w:pPr>
      <w:r>
        <w:t>Dicha solicitud policial dio lugar a que al día siguiente (20 de enero de 2017) se autorizara, por el Juzgado de Instrucción núm. 4 de Huesca, la medida interesada por el grupo de delincuencia organizada de la Unidad Central Operativa de la Guardia Civil. Esta resolución, que explicitaba no solo los motivos, y fundamentos fácticos y jurídicos de la medida de intervención, sino también la adecuación de la misma a los principios de idoneidad y necesidad, decretaba que la intervención se produciría exclusivamente en el interior del vehículo Seat León (concreción locativa), para captar las conversaciones mantenidas por el investigado señor Sánchez Olmeda con otros miembros de la organización criminal (concreción subjetiva), y durante un periodo de tiempo de tres meses (concreción temporal).</w:t>
      </w:r>
    </w:p>
    <w:p w:rsidR="005728DD" w:rsidRDefault="005728DD" w:rsidP="005728DD">
      <w:pPr>
        <w:pStyle w:val="TextoNormal"/>
      </w:pPr>
    </w:p>
    <w:p w:rsidR="005728DD" w:rsidRDefault="005728DD" w:rsidP="005728DD">
      <w:pPr>
        <w:pStyle w:val="TextoNormal"/>
      </w:pPr>
      <w:r>
        <w:t xml:space="preserve">A los folios 24 a 28, de la pieza separada de intervención de comunicaciones orales, consta una nueva solicitud policial de intervención de comunicaciones orales de fecha 1 de febrero de 2017. En dicho oficio se explicitaba que el señor Sánchez Olmeda no solo utilizaba el vehículo Seat León para celebrar las reuniones de planificación de los hechos delictivos, sino que también era usado con este fin el vehículo Fiat Stylo, matrícula 4271CSF por lo que se solicitaba la ampliación de la medida acordada el 20 de enero de 2017 a este último vehículo. El citado oficio ahondaba en un aspecto de especial relevancia que merece ser destacado y es que, así como en cuanto al Seat León consta en una de las vigilancias (25 de enero de 2017) que Sánchez Olmeda lo utilizó para realizar un trayecto con su pareja, el Fiat Stylo era utilizado por los integrantes del grupo investigado única y exclusivamente para sus reuniones y, en algunos casos, para la ejecución de sus actividades delictivas. Las observaciones policiales habían llegado hasta el punto de que, en la mayoría de ocasiones, </w:t>
      </w:r>
      <w:r>
        <w:lastRenderedPageBreak/>
        <w:t>el vehículo Seat León era utilizado para desplazarse al lugar donde se encontraba estacionado el Fiat Stylo, utilizándose posteriormente este para la ejecución de los hechos delictivos (labores de contravigilancia).</w:t>
      </w:r>
    </w:p>
    <w:p w:rsidR="005728DD" w:rsidRDefault="005728DD" w:rsidP="005728DD">
      <w:pPr>
        <w:pStyle w:val="TextoNormal"/>
      </w:pPr>
    </w:p>
    <w:p w:rsidR="005728DD" w:rsidRDefault="005728DD" w:rsidP="005728DD">
      <w:pPr>
        <w:pStyle w:val="TextoNormal"/>
      </w:pPr>
      <w:r>
        <w:t>Ese mismo día, el juzgado dictó auto autorizando la intervención solicitada, en una decisión idéntica a la del auto de 20 de enero de 2017, modificando tan solo la fundamentación fáctica y la especificación del vehículo objeto de intervención.</w:t>
      </w:r>
    </w:p>
    <w:p w:rsidR="005728DD" w:rsidRDefault="005728DD" w:rsidP="005728DD">
      <w:pPr>
        <w:pStyle w:val="TextoNormal"/>
      </w:pPr>
    </w:p>
    <w:p w:rsidR="005728DD" w:rsidRDefault="005728DD" w:rsidP="005728DD">
      <w:pPr>
        <w:pStyle w:val="TextoNormal"/>
      </w:pPr>
      <w:r>
        <w:t>Finalmente, el día 10 de marzo de 2017, y como consecuencia de la detención de los investigados, fueron alzadas las medidas de captación, y grabación, de las comunicaciones orales mantenidas a bordo de los vehículos Seat León y Fiat Stylo.</w:t>
      </w:r>
    </w:p>
    <w:p w:rsidR="005728DD" w:rsidRDefault="005728DD" w:rsidP="005728DD">
      <w:pPr>
        <w:pStyle w:val="TextoNormal"/>
      </w:pPr>
    </w:p>
    <w:p w:rsidR="005728DD" w:rsidRDefault="005728DD" w:rsidP="005728DD">
      <w:pPr>
        <w:pStyle w:val="TextoNormal"/>
      </w:pPr>
      <w:r>
        <w:t>En relación con los derechos fundamentales puestos en juego con estas medidas, la sentencia dictada por el juzgado de lo penal afirmaba “si la captación de las conversaciones en el domicilio del investigado supone una injerencia de especial intensidad en el derecho a la intimidad, al secreto de las comunicaciones y a la inviolabilidad del domicilio, la captación de aquellas en otros lugares, cuando se ha constatado que es allí donde se llevan a cabo las conversaciones relacionadas con el delito que se está investigando, supone una injerencia de menor entidad. Porque si en el domicilio es donde la persona desarrolla las funciones más elementales de la vida y la medida puede afectar no solo al investigado sino a toda la unidad familiar, no puede decirse lo mismo cuando esos dispositivos electrónicos se instalan, como es el caso, en un vehículo, donde se ha comprobado previamente por los investigadores que se llevan a cabo reuniones del sujeto inicialmente investigado con los demás integrantes del grupo criminal”.</w:t>
      </w:r>
    </w:p>
    <w:p w:rsidR="005728DD" w:rsidRDefault="005728DD" w:rsidP="005728DD">
      <w:pPr>
        <w:pStyle w:val="TextoNormal"/>
      </w:pPr>
    </w:p>
    <w:p w:rsidR="005728DD" w:rsidRDefault="005728DD" w:rsidP="005728DD">
      <w:pPr>
        <w:pStyle w:val="TextoNormal"/>
      </w:pPr>
      <w:r>
        <w:t>b) Las circunstancias puestas de manifiesto en la causa penal determinan que el juicio de proporcionalidad constitucional deba considerarse superado.</w:t>
      </w:r>
    </w:p>
    <w:p w:rsidR="005728DD" w:rsidRDefault="005728DD" w:rsidP="005728DD">
      <w:pPr>
        <w:pStyle w:val="TextoNormal"/>
      </w:pPr>
    </w:p>
    <w:p w:rsidR="005728DD" w:rsidRDefault="005728DD" w:rsidP="005728DD">
      <w:pPr>
        <w:pStyle w:val="TextoNormal"/>
      </w:pPr>
      <w:r>
        <w:t>Es necesario aclarar, en primer término, que los sólidos indicios de los delitos investigados, la gravedad de los mismos, la idoneidad y la necesidad de la medida no son extremos cuestionados en la demanda de amparo. Sobre estos presupuestos, el juicio de proporcionalidad ofrece un resultado positivo a partir de la gravedad de los delitos perseguidos —muestra de la que son las penas que han merecido y que han sido reseñadas en los antecedentes de esta sentencia— y la ponderación de los siguientes elementos: (i) el lugar de la intervención, consistente en el interior un vehículo destinado exclusivamente, según apuntaban los indicios considerados por el órgano judicial, a la comisión de los delitos de que se trata por parte de una organización criminal, y sin que conste su utilización para otros fines relacionados con el desarrollo de la vida privada, profesional y familiar; (ii) la identificación de las personas concretas que habrían de mantener, precisamente en el interior de dicho vehículo, las conversaciones de interés para la causa, personas respecto de las que existían fundados indicios de su participación en aquellos delitos; (iii) el alcance temporal de la medida, fijado, excepcionalmente, en un plazo de tres meses, ante la imposibilidad de efectuar, a partir de tales indicios, un pronóstico sobre el momento concreto en que las conversaciones habrían de tener lugar.</w:t>
      </w:r>
    </w:p>
    <w:p w:rsidR="005728DD" w:rsidRDefault="005728DD" w:rsidP="005728DD">
      <w:pPr>
        <w:pStyle w:val="TextoNormal"/>
      </w:pPr>
    </w:p>
    <w:p w:rsidR="005728DD" w:rsidRDefault="005728DD" w:rsidP="005728DD">
      <w:pPr>
        <w:pStyle w:val="TextoNormal"/>
      </w:pPr>
      <w:r>
        <w:t xml:space="preserve">Bajo este soporte fáctico no puede afirmarse —como acertadamente se señala en las resoluciones impugnadas— que se haya producido una injerencia especialmente intensa en </w:t>
      </w:r>
      <w:r>
        <w:lastRenderedPageBreak/>
        <w:t>aspectos profundos de la privacidad de los investigados. Lo que marca el contenido constitucional protegido del derecho reconocido en el art. 18.3 CE no es, como pretende el demandante de amparo, el método a través del cual se remite un mensaje, o se efectúa una comunicación, sino la existencia misma del proceso comunicativo entre dos o más personas, y la voluntad de excluir del mismo a terceros no intervinientes. Así era, en definitiva, sostenido por la STC 70/2002, de 3 de abril, FJ 9, que señalaba que “el art. 18.3 CE contiene una especial protección de las comunicaciones, cualquiera que sea el sistema empleado para realizarlas”.</w:t>
      </w:r>
    </w:p>
    <w:p w:rsidR="005728DD" w:rsidRDefault="005728DD" w:rsidP="005728DD">
      <w:pPr>
        <w:pStyle w:val="TextoNormal"/>
      </w:pPr>
    </w:p>
    <w:p w:rsidR="005728DD" w:rsidRDefault="005728DD" w:rsidP="005728DD">
      <w:pPr>
        <w:pStyle w:val="TextoNormal"/>
      </w:pPr>
      <w:r>
        <w:t>Hemos de precisar que, como ha sido destacado por el Tribunal Supremo, en el ámbito del art. 588 LECrim, no todas las medidas implican el mismo grado de injerencia del Estado en la privacidad del investigado. Así, no son asimilables la colocación de aparatos de escucha en el interior de un domicilio, en el que se desarrolla la vida de una familia y que conlleva la intervención en todas las conversaciones de los convivientes, la instalación de dispositivos de grabación en un lugar público en el que va a producirse un encuentro entre investigados, la fijación de micrófonos en el interior de un vehículo que es habitual lugar de encuentro con otros sospechosos o que se viene empleando en la ejecución de actos delictivos, o la grabación en una oficina en la que se prevé que va a concertarse la estrategia delictiva.</w:t>
      </w:r>
    </w:p>
    <w:p w:rsidR="005728DD" w:rsidRDefault="005728DD" w:rsidP="005728DD">
      <w:pPr>
        <w:pStyle w:val="TextoNormal"/>
      </w:pPr>
    </w:p>
    <w:p w:rsidR="005728DD" w:rsidRDefault="005728DD" w:rsidP="005728DD">
      <w:pPr>
        <w:pStyle w:val="TextoNormal"/>
      </w:pPr>
      <w:r>
        <w:t>No ignoramos que para el caso de instalación de dispositivos de grabación del sonido en el interior de un domicilio, la Sala de lo Penal del Tribunal Supremo ha considerado que, solo en los casos en que la previsibilidad del encuentro no pueda fijarse con exactitud, será posible la fijación de un breve período de tiempo en el que el encuentro pueda llegar a tener lugar, habiendo reprobado, aún en estos supuestos, el establecimiento del plazo de un mes, así como la posibilidad de prórrogas de la medida por periodos iguales con carácter general.</w:t>
      </w:r>
    </w:p>
    <w:p w:rsidR="005728DD" w:rsidRDefault="005728DD" w:rsidP="005728DD">
      <w:pPr>
        <w:pStyle w:val="TextoNormal"/>
      </w:pPr>
    </w:p>
    <w:p w:rsidR="005728DD" w:rsidRDefault="005728DD" w:rsidP="005728DD">
      <w:pPr>
        <w:pStyle w:val="TextoNormal"/>
      </w:pPr>
      <w:r>
        <w:t>Sin embargo, frente al supuesto anterior, aquellas otras medidas de investigación referenciadas, aun excepcionales, como medidas que son limitativas de un derecho fundamental, admiten un mayor margen de apreciación judicial en su delimitación a fin de superar el test constitucional de proporcionalidad. Por lo que al caso se refiere, la menor intensidad de la injerencia justifica, excepcionalmente, el alcance temporal de la intervención que fue fijado por el órgano judicial.</w:t>
      </w:r>
    </w:p>
    <w:p w:rsidR="005728DD" w:rsidRDefault="005728DD" w:rsidP="005728DD">
      <w:pPr>
        <w:pStyle w:val="TextoNormal"/>
      </w:pPr>
    </w:p>
    <w:p w:rsidR="005728DD" w:rsidRDefault="005728DD" w:rsidP="005728DD">
      <w:pPr>
        <w:pStyle w:val="TextoNormal"/>
      </w:pPr>
      <w:r>
        <w:t xml:space="preserve">Tal y como se consigna en las resoluciones impugnadas, el método a través del cual se efectúa una comunicación no otorga una protección constitucional diferenciada. La exigencia de esta protección constitucional reforzada —que se traduzca </w:t>
      </w:r>
      <w:r w:rsidRPr="005728DD">
        <w:rPr>
          <w:i/>
        </w:rPr>
        <w:t>ex ante</w:t>
      </w:r>
      <w:r>
        <w:t xml:space="preserve"> en un examen más estricto de los requisitos necesarios para su intervención, y </w:t>
      </w:r>
      <w:r w:rsidRPr="005728DD">
        <w:rPr>
          <w:i/>
        </w:rPr>
        <w:t>ex post</w:t>
      </w:r>
      <w:r>
        <w:t xml:space="preserve"> en un mayor rigor en su ejecución— solo se producirá cuando, por razón de las especiales circunstancias concurrentes en el desarrollo del proceso comunicativo, exista el riesgo de rebasar el contenido propio del derecho al secreto de comunicaciones (art. 18.3 CE) y entrar en aspectos pertenecientes al núcleo esencial de la privacidad (art. 18.1 CE). Sera en estos casos cuando la probable afectación de aspectos profundos de la intimidad harán necesario que el juez deba ser especialmente estricto, debiendo valorar, no solamente la gravedad de la conducta a los efectos de estimar cumplido el principio de proporcionalidad, sino también la necesidad de sujetar la medida a un régimen más limitado en su ejecución, circunscribiéndola a una concreta conversación, imponiendo la obligación de conectar y desconectar los dispositivos de escucha en los intervalos existentes entre los encuentros investigados o, a lo sumo, fijando un </w:t>
      </w:r>
      <w:r>
        <w:lastRenderedPageBreak/>
        <w:t>brevísimo plazo acompañado del deber de dación de cuenta inmediata en cuanto se produzcan hallazgos relevantes para la investigación.</w:t>
      </w:r>
    </w:p>
    <w:p w:rsidR="005728DD" w:rsidRDefault="005728DD" w:rsidP="005728DD">
      <w:pPr>
        <w:pStyle w:val="TextoNormal"/>
      </w:pPr>
    </w:p>
    <w:p w:rsidR="005728DD" w:rsidRDefault="005728DD" w:rsidP="005728DD">
      <w:pPr>
        <w:pStyle w:val="TextoNormal"/>
      </w:pPr>
      <w:r>
        <w:t xml:space="preserve">Así, por ejemplo, no pueden ser considerados igualmente invasivos —y, por lo tanto, recibir el mismo tratamiento— supuestos de intervención de comunicaciones telefónicas, o colocación de micrófonos en un vehículo destinado a cometer actividades delictivas, que medidas consistentes en la instalación de dispositivos de escucha en el interior de un domicilio, o en el habitáculo destinado a celebrar una consulta médica entre un facultativo y su paciente. La expectativa de privacidad que en estos últimos casos pueden llegar a tener los intervinientes en el proceso comunicativo no solamente es mayor por razón del lugar, o del contexto, donde el proceso de comunicación es mantenido, sino que también existe el riesgo apriorístico de que la intervención pueda afectar a cuestiones relativas al núcleo más profundo de su intimidad. Es en estos casos cuando el mayor grado intrusivo justifica que el tratamiento de los principios de proporcionalidad, necesidad, excepcionalidad, idoneidad, y especialidad [art. 588 </w:t>
      </w:r>
      <w:r w:rsidRPr="005728DD">
        <w:rPr>
          <w:i/>
        </w:rPr>
        <w:t>bis</w:t>
      </w:r>
      <w:r>
        <w:t xml:space="preserve"> a) LECrim], así como la probable duración de la medida, deban ser objeto de una interpretación más estricta.</w:t>
      </w:r>
    </w:p>
    <w:p w:rsidR="005728DD" w:rsidRDefault="005728DD" w:rsidP="005728DD">
      <w:pPr>
        <w:pStyle w:val="TextoNormal"/>
      </w:pPr>
    </w:p>
    <w:p w:rsidR="005728DD" w:rsidRDefault="005728DD" w:rsidP="005728DD">
      <w:pPr>
        <w:pStyle w:val="TextoNormal"/>
      </w:pPr>
      <w:r>
        <w:t>De todos los factores que delimitan la medida enjuiciada, la fijación de un plazo de tres meses por las resoluciones judiciales, constituye, sin duda, el elemento más perturbador a fin de valorar su proporcionalidad. Sin embargo, no puede perderse de vista que la intervención estuvo operativa poco más de un mes, al alzarse la misma una vez fueron detenidas las personas investigadas con anterioridad al vencimiento del plazo inicial señalado. Ese dato, junto con las circunstancias antes referidas determinantes de la menor intensidad de la injerencia, señaladamente las relativas al lugar y personas investigadas, nos lleva a avalar, excepcionalmente, la proporcionalidad de la misma.</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Conclusión de los razonamientos precedentes</w:t>
      </w:r>
      <w:r>
        <w:t>.</w:t>
      </w:r>
    </w:p>
    <w:p w:rsidR="005728DD" w:rsidRDefault="005728DD" w:rsidP="005728DD">
      <w:pPr>
        <w:pStyle w:val="TextoNormal"/>
      </w:pPr>
    </w:p>
    <w:p w:rsidR="005728DD" w:rsidRDefault="005728DD" w:rsidP="005728DD">
      <w:pPr>
        <w:pStyle w:val="TextoNormal"/>
      </w:pPr>
      <w:r>
        <w:t>a) Consecuentemente, en atención a lo anteriormente expuesto, cabe afirmar que las personas afectadas podían prever razonablemente la situación que ahora se denuncia. En definitiva, existía una disposición jurídica que cumplía con el cometido de clarificar en qué casos, y bajo qué presupuestos, la intervención de comunicaciones orales que afectaba al derecho del art. 18.3 CE podría ser acordada, siendo que la interpretación sostenida por el órgano judicial era congruente con el tenor literal la misma, así como respetuosa con los valores constitucionales en juego y con las pautas axiológicas que informan nuestro texto constitucional (SSTC 159/1986, 59/1990 y 111/1993).</w:t>
      </w:r>
    </w:p>
    <w:p w:rsidR="005728DD" w:rsidRDefault="005728DD" w:rsidP="005728DD">
      <w:pPr>
        <w:pStyle w:val="TextoNormal"/>
      </w:pPr>
    </w:p>
    <w:p w:rsidR="005728DD" w:rsidRDefault="005728DD" w:rsidP="005728DD">
      <w:pPr>
        <w:pStyle w:val="TextoNormal"/>
      </w:pPr>
      <w:r>
        <w:t xml:space="preserve">b) Además, la mera lectura de las resoluciones judiciales del 20 de enero y 1 de febrero de 2017, permite afirmar que no solamente se explicitaron las razones por las cuales se acordaba un plazo de duración de tres meses, sino que también se cumplieron con las garantías legalmente establecidas para la adecuada protección del derecho fundamental al secreto de comunicaciones (art. 18.3 CE). Los citados autos dictados por el Juzgado de Instrucción núm. 4 de Huesca explicitan de manera detallada los datos objetivos que justifican la adopción de la medida de investigación, así como la circunstancia —puesta de manifiesto en los oficios policiales de fecha 19 de enero y 1 de febrero de 2017— de las dificultades que los propios agentes pertenecientes al grupo de delincuencia organizada de la Unidad Central Operativa de la Guardia Civil tenían para la investigación de los hechos delictivos. Por otro lado, se cumplen también las exigencias de motivación impuestas por los estándares </w:t>
      </w:r>
      <w:r>
        <w:lastRenderedPageBreak/>
        <w:t>constitucionales, así como el respeto a los principios de especialidad (investigación de hechos delictivos especificados en las resoluciones autorizantes), idoneidad (utilidad de la medida acordada para proseguir la investigación), proporcionalidad (los hechos que se trataban de investigar consistían en varios delitos de robo con fuerza en sucursales bancarias así como existencia de un grupo criminal previamente constituido para estos fines), excepcionalidad y necesidad (derivada de las dificultades de investigación puestas de manifiesto por los agentes investigadores).</w:t>
      </w:r>
    </w:p>
    <w:p w:rsidR="005728DD" w:rsidRDefault="005728DD" w:rsidP="005728DD">
      <w:pPr>
        <w:pStyle w:val="TextoNormal"/>
      </w:pPr>
    </w:p>
    <w:p w:rsidR="005728DD" w:rsidRDefault="005728DD" w:rsidP="005728DD">
      <w:pPr>
        <w:pStyle w:val="TextoNormal"/>
      </w:pPr>
      <w:r>
        <w:t>Bajo estas circunstancias, la intervención no puede ser calificada, en modo alguno, como “general”, “indiscriminada”, o “prospectiva”. Por el contrario, se trató de una medida proporcionada.</w:t>
      </w:r>
    </w:p>
    <w:p w:rsidR="005728DD" w:rsidRDefault="005728DD" w:rsidP="005728DD">
      <w:pPr>
        <w:pStyle w:val="TextoNormal"/>
      </w:pPr>
    </w:p>
    <w:p w:rsidR="005728DD" w:rsidRDefault="005728DD" w:rsidP="005728DD">
      <w:pPr>
        <w:pStyle w:val="TextoNormal"/>
      </w:pPr>
      <w:r>
        <w:t>Se rechaza, por lo tanto, el primer motivo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w:t>
      </w:r>
      <w:r w:rsidRPr="005728DD">
        <w:rPr>
          <w:i/>
        </w:rPr>
        <w:t>Examen de la invocación del derecho a la presunción de inocencia</w:t>
      </w:r>
      <w:r>
        <w:t>.</w:t>
      </w:r>
    </w:p>
    <w:p w:rsidR="005728DD" w:rsidRDefault="005728DD" w:rsidP="005728DD">
      <w:pPr>
        <w:pStyle w:val="TextoNormal"/>
      </w:pPr>
    </w:p>
    <w:p w:rsidR="005728DD" w:rsidRDefault="005728DD" w:rsidP="005728DD">
      <w:pPr>
        <w:pStyle w:val="TextoNormal"/>
      </w:pPr>
      <w:r>
        <w:t>Íntimamente ligado con el anterior motivo se encuentra la lesión relativa a la vulneración del derecho a la presunción de inocencia. En el desarrollo de esta queja, sostiene el demandante de amparo que la declaración de nulidad de las comunicaciones orales ilícitamente intervenidas tendría que extender sus efectos al resto del material incriminatorio existente en la causa (conexión de antijuridicidad) provocando, como corolario de todo lo anteriormente expuesto, el dictado de una sentencia absolutoria por vulneración del derecho a la presunción de inocencia (art. 24.2 CE).</w:t>
      </w:r>
    </w:p>
    <w:p w:rsidR="005728DD" w:rsidRDefault="005728DD" w:rsidP="005728DD">
      <w:pPr>
        <w:pStyle w:val="TextoNormal"/>
      </w:pPr>
    </w:p>
    <w:p w:rsidR="005728DD" w:rsidRDefault="005728DD" w:rsidP="005728DD">
      <w:pPr>
        <w:pStyle w:val="TextoNormal"/>
      </w:pPr>
      <w:r>
        <w:t xml:space="preserve">Conforme a la doctrina de este tribunal, el derecho a la presunción de inocencia se configura como el derecho a no ser condenado sin prueba de cargo válida. Por tanto, “solo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5728DD">
        <w:rPr>
          <w:i/>
        </w:rPr>
        <w:t>iter</w:t>
      </w:r>
      <w:r>
        <w:t xml:space="preserve"> discursivo que conduce de la prueba al hecho probado” (STC 189/1998, de 28 de septiembre, FJ 2 y, citándola, entre otras muchas, SSTC 135/2003, de 30 de junio, FJ 2; 137/2005, de 23 de mayo, FJ 2, y 26/2010, de 27 de abril, FJ 6). Hemos afirmado también reiteradamente “la radical falta de competencia de esta jurisdicción de amparo para la valoración de la actividad probatoria practicada en el proceso penal y para la evaluación de dicha valoración conforme a criterios de calidad o de oportunidad, limitándose nuestra misión a supervisar externamente la razonabilidad del discurso que une la actividad probatoria y el relato fáctico resultante” (STC 52/2010, de 4 de octubre, FJ 5), ya que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(por todas, SSTC 137/2005, de 23 de mayo, FJ 2; 117/2007, de 21 de mayo, FJ 3; 111/2008, de 22 de septiembre, FJ 3; 109/2009, de 11 de mayo, FJ 3, y 26/2010, de 27 de abril, FJ 6)” (STC 52/2010, de 4 de octubre, FJ 5).</w:t>
      </w:r>
    </w:p>
    <w:p w:rsidR="005728DD" w:rsidRDefault="005728DD" w:rsidP="005728DD">
      <w:pPr>
        <w:pStyle w:val="TextoNormal"/>
      </w:pPr>
    </w:p>
    <w:p w:rsidR="005728DD" w:rsidRDefault="005728DD" w:rsidP="005728DD">
      <w:pPr>
        <w:pStyle w:val="TextoNormal"/>
      </w:pPr>
      <w:r>
        <w:t xml:space="preserve">En relación con supuestos de prueba declarada ilícita, la doctrina de este tribunal ha señalado también (STC 53/2013, de 28 de febrero, FJ 5), que se produce la vulneración del </w:t>
      </w:r>
      <w:r>
        <w:lastRenderedPageBreak/>
        <w:t>derecho a la presunción de inocencia siempre que la eliminación de la prueba irregularmente valorada deje sin sustento el relato de hechos probados que soporta la declaración de culpabilidad del acusado. Esto sucederá, por supuesto, cuando la prueba eliminada sea la única tomada en cuenta por la resolución impugnada, pero asimismo cuando, a partir de su propia motivación, se constate que dicha prueba era esencial para llegar a la conclusión fáctica incriminatoria, de modo que con su exclusión, la inferencia de dicha conclusión devenga ilógica o no concluyente (SSTC 207/2007, de 24 de septiembre, FJ 2, y 144/2012, de 2 de julio, FJ 6). Por el contrario, de existir otras pruebas de cargo válidas e independientes, la presunción de inocencia no resultara infringida (SSTC 81/1998, de 2 de abril, FJ3, o 167/2002, de 18 de septiembre, FJ 6).</w:t>
      </w:r>
    </w:p>
    <w:p w:rsidR="005728DD" w:rsidRDefault="005728DD" w:rsidP="005728DD">
      <w:pPr>
        <w:pStyle w:val="TextoNormal"/>
      </w:pPr>
    </w:p>
    <w:p w:rsidR="005728DD" w:rsidRDefault="005728DD" w:rsidP="005728DD">
      <w:pPr>
        <w:pStyle w:val="TextoNormal"/>
      </w:pPr>
      <w:r>
        <w:t>En el presente supuesto, y conforme a lo expuesto anteriormente observamos que los órganos judiciales han contado con otros elementos de prueba que fundamentan autónomamente la condena impuesta.</w:t>
      </w:r>
    </w:p>
    <w:p w:rsidR="005728DD" w:rsidRDefault="005728DD" w:rsidP="005728DD">
      <w:pPr>
        <w:pStyle w:val="TextoNormal"/>
      </w:pPr>
    </w:p>
    <w:p w:rsidR="005728DD" w:rsidRDefault="005728DD" w:rsidP="005728DD">
      <w:pPr>
        <w:pStyle w:val="TextoNormal"/>
      </w:pPr>
      <w:r>
        <w:t>Así, la sentencia de instancia desgrana detalladamente los fundamentos fácticos del pronunciamiento condenatorio, narrando no solo el resultado de las intervenciones de las comunicaciones orales, sino también los hechos plasmados por los diferentes seguimientos, y vigilancias, policiales, los datos arrojados por los dispositivos de geolocalización instalados, y lo encontrado como consecuencia de las entradas y registros domiciliarios.</w:t>
      </w:r>
    </w:p>
    <w:p w:rsidR="005728DD" w:rsidRDefault="005728DD" w:rsidP="005728DD">
      <w:pPr>
        <w:pStyle w:val="TextoNormal"/>
      </w:pPr>
    </w:p>
    <w:p w:rsidR="005728DD" w:rsidRDefault="005728DD" w:rsidP="005728DD">
      <w:pPr>
        <w:pStyle w:val="TextoNormal"/>
      </w:pPr>
      <w:r>
        <w:t>En definitiva, los hechos han quedado acreditados, como revela la inferencia judicial que dio lugar a una conclusión motivada y racional, a tenor de aquellos elementos de prueba. Por ello, se concluye que la presunción de inocencia no ha resultado infringida.</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 </w:t>
      </w:r>
      <w:r w:rsidRPr="005728DD">
        <w:rPr>
          <w:i/>
        </w:rPr>
        <w:t>Conclusión final</w:t>
      </w:r>
      <w:r>
        <w:t>.</w:t>
      </w:r>
    </w:p>
    <w:p w:rsidR="005728DD" w:rsidRDefault="005728DD" w:rsidP="005728DD">
      <w:pPr>
        <w:pStyle w:val="TextoNormal"/>
      </w:pPr>
    </w:p>
    <w:p w:rsidR="005728DD" w:rsidRDefault="005728DD" w:rsidP="005728DD">
      <w:pPr>
        <w:pStyle w:val="TextoNormal"/>
      </w:pPr>
      <w:r>
        <w:t>Los razonamientos expuestos conducen a la desestimación del recurso de amparo en su integridad.</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denegar el amparo solicitado.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3" w:name="SENTENCIA_2021_100"/>
      <w:r>
        <w:lastRenderedPageBreak/>
        <w:t>SENTENCIA 100/2021, de 10 de mayo de 2021</w:t>
      </w:r>
    </w:p>
    <w:bookmarkEnd w:id="103"/>
    <w:p w:rsidR="005728DD" w:rsidRDefault="005728DD" w:rsidP="005728DD">
      <w:pPr>
        <w:pStyle w:val="TtuloResolucin"/>
      </w:pPr>
      <w:r>
        <w:t>Sala Segunda</w:t>
      </w:r>
    </w:p>
    <w:p w:rsidR="005728DD" w:rsidRDefault="005728DD" w:rsidP="005728DD">
      <w:pPr>
        <w:pStyle w:val="TtuloBOE"/>
      </w:pPr>
      <w:r>
        <w:t>(BOE núm. 142, de 15 de junio de 2021)</w:t>
      </w:r>
    </w:p>
    <w:p w:rsidR="005728DD" w:rsidRDefault="005728DD" w:rsidP="005728DD">
      <w:pPr>
        <w:pStyle w:val="TextoNormalCentrado"/>
      </w:pPr>
      <w:r>
        <w:t>ECLI:ES:TC:2021:100</w:t>
      </w:r>
    </w:p>
    <w:p w:rsidR="005728DD" w:rsidRDefault="005728DD" w:rsidP="005728DD">
      <w:pPr>
        <w:pStyle w:val="TextoNormalCentrado"/>
      </w:pPr>
    </w:p>
    <w:p w:rsidR="005728DD" w:rsidRDefault="005728DD" w:rsidP="005728DD">
      <w:pPr>
        <w:pStyle w:val="SntesisDescriptiva"/>
      </w:pPr>
      <w:r>
        <w:t>Recurso de amparo 7528-2019.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7528-2019, promovido por Euroinversiones Inmobiliarias Costa Sur, S.L., contra el auto del Juzgado de Primera Instancia e Instrucción núm. 4 de Lorca, de 14 de noviembre de 2018, que inadmitió la demanda de oposición a la ejecución formulada por dicha mercantil, en el procedimiento de ejecución hipotecaria núm. 349-2018 instado por la entidad Banco de Sabadell, S.A., y contra el auto del mismo juzgado, de 30 de octubre de 2019, que desestimó el recurso de reposición interpuesto contra la anterior resolución. Ha intervenido el Ministerio Fiscal. Se ha personado la entidad Pera Assets Designated Activity Company, actuando como sucesora procesal del banco ejecutante.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26 de diciembre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y Penrei Inversiones, S.L., en relación con la finca registral núm. 43.427, inscrita en el Registro de la Propiedad núm. 3 de Lorca, resultando la primera de las demandadas la deudora hipotecaria y, la segunda, titular de un derecho de uso y disfrute sobre dicho inmueble.</w:t>
      </w:r>
    </w:p>
    <w:p w:rsidR="005728DD" w:rsidRDefault="005728DD" w:rsidP="005728DD">
      <w:pPr>
        <w:pStyle w:val="TextoNormal"/>
      </w:pPr>
    </w:p>
    <w:p w:rsidR="005728DD" w:rsidRDefault="005728DD" w:rsidP="005728DD">
      <w:pPr>
        <w:pStyle w:val="TextoNormal"/>
      </w:pPr>
      <w:r>
        <w:t>El Juzgado de Primera Instancia e Instrucción núm. 4 de Lorca, al que correspondió el conocimiento del proceso, dictó auto el 18 de junio de 2018 por el que acordó el despacho de ejecución (procedimiento de ejecución hipotecaria núm. 349-2018), requiriendo de pago a las ejecutadas y alternativo derecho a oponerse a la ejecución en el plazo de diez días.</w:t>
      </w:r>
    </w:p>
    <w:p w:rsidR="005728DD" w:rsidRDefault="005728DD" w:rsidP="005728DD">
      <w:pPr>
        <w:pStyle w:val="TextoNormal"/>
      </w:pPr>
    </w:p>
    <w:p w:rsidR="005728DD" w:rsidRDefault="005728DD" w:rsidP="005728DD">
      <w:pPr>
        <w:pStyle w:val="TextoNormal"/>
      </w:pPr>
      <w:r>
        <w:t>b) El 20 de junio de 2018, el servicio de notificaciones electrónicas de la Fábrica Nacional de Moneda y Timbre remitió un correo al buzón de la dirección electrónica habilitada de la entidad aquí recurrente en amparo, avisándole de una notificación del Juzgado de Primera Instancia e Instrucción núm. 4 de Lorca relativa al proceso “EJH/0000349/2018”, notificación a la que podía acceder entre los días 20 de junio a 5 de agosto de 2018.</w:t>
      </w:r>
    </w:p>
    <w:p w:rsidR="005728DD" w:rsidRDefault="005728DD" w:rsidP="005728DD">
      <w:pPr>
        <w:pStyle w:val="TextoNormal"/>
      </w:pPr>
    </w:p>
    <w:p w:rsidR="005728DD" w:rsidRDefault="005728DD" w:rsidP="005728DD">
      <w:pPr>
        <w:pStyle w:val="TextoNormal"/>
      </w:pPr>
      <w:r>
        <w:t>c) El 27 de julio de 2018, dentro del plazo concedido para acceder a la notificación, la recurrente accedió a la página web indicada en el aviso de puesta a disposición de la notificación, y procedió a la descarga de la misma, emitiéndose por el servicio de notificaciones electrónicas y dirección electrónica habilitada de la Fábrica Nacional de Moneda y Timbre el pertinente certificado electrónico, que acredita el conocimiento por la destinataria del auto de despacho de ejecución, del decreto de igual fecha, del requerimiento de pago, así como de la demanda y demás documentos acompañados a la misma.</w:t>
      </w:r>
    </w:p>
    <w:p w:rsidR="005728DD" w:rsidRDefault="005728DD" w:rsidP="005728DD">
      <w:pPr>
        <w:pStyle w:val="TextoNormal"/>
      </w:pPr>
    </w:p>
    <w:p w:rsidR="005728DD" w:rsidRDefault="005728DD" w:rsidP="005728DD">
      <w:pPr>
        <w:pStyle w:val="TextoNormal"/>
      </w:pPr>
      <w:r>
        <w:t xml:space="preserve">d) El 28 de agosto de 2018, el representante procesal de la demandante de amparo presentó ante el juzgado </w:t>
      </w:r>
      <w:r w:rsidRPr="005728DD">
        <w:rPr>
          <w:i/>
        </w:rPr>
        <w:t>a quo</w:t>
      </w:r>
      <w:r>
        <w:t xml:space="preserve"> el escrito de oposición al despacho de ejecución, acompañando una serie de documentos. Respecto del cómputo del plazo, entiende que al haber sido notificada en fecha de 27 de julio de 2018, y siendo agosto mes inhábil, el plazo para la presentación de la oposición a la ejecución hipotecaria vencía el día 12 de septiembre de 2018, por lo que la oposición estaba presentada dentro del plazo concedido.</w:t>
      </w:r>
    </w:p>
    <w:p w:rsidR="005728DD" w:rsidRDefault="005728DD" w:rsidP="005728DD">
      <w:pPr>
        <w:pStyle w:val="TextoNormal"/>
      </w:pPr>
    </w:p>
    <w:p w:rsidR="005728DD" w:rsidRDefault="005728DD" w:rsidP="005728DD">
      <w:pPr>
        <w:pStyle w:val="TextoNormal"/>
      </w:pPr>
      <w:r>
        <w:t xml:space="preserve">e) El Juzgado de Primera Instancia e Instrucción núm. 4 de Lorca dictó auto, el 14 de noviembre de 2018, inadmitiendo el escrito de oposición a la ejecución, al considerar precluido el trámite (arts. 134 y 136 LEC, en relación con el art. 695 LEC). Así, sostiene que debió haberse planteado la oposición dentro de los diez días siguientes a la notificación del </w:t>
      </w:r>
      <w:r>
        <w:lastRenderedPageBreak/>
        <w:t>auto y decreto por el que se despachó la ejecución (de fecha de 20 de junio de 2018) y la ejecutada lo hizo con fecha de 28 de agosto de 2018, es decir, pasado el término concedido para ello. Como pie de recurso, se ofrecía recurso de reposición en el plazo de cinco días ante el mismo órgano judicial.</w:t>
      </w:r>
    </w:p>
    <w:p w:rsidR="005728DD" w:rsidRDefault="005728DD" w:rsidP="005728DD">
      <w:pPr>
        <w:pStyle w:val="TextoNormal"/>
      </w:pPr>
    </w:p>
    <w:p w:rsidR="005728DD" w:rsidRDefault="005728DD" w:rsidP="005728DD">
      <w:pPr>
        <w:pStyle w:val="TextoNormal"/>
      </w:pPr>
      <w:r>
        <w:t>f) El representante procesal de la demandante de amparo interpuso recurso de reposición contra el anterior auto, denunciando la vulneración del art. 24 CE y sosteniendo que la notificación y requerimiento de pago tuvo lugar cuando accedió al contenido de la notificación electrónica remitida y no antes, siendo desde entonces que cabía computar el plazo de diez días del art. 556 de la Ley de enjuiciamiento civil (en adelante,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5728DD" w:rsidRDefault="005728DD" w:rsidP="005728DD">
      <w:pPr>
        <w:pStyle w:val="TextoNormal"/>
      </w:pPr>
    </w:p>
    <w:p w:rsidR="005728DD" w:rsidRDefault="005728DD" w:rsidP="005728DD">
      <w:pPr>
        <w:pStyle w:val="TextoNormal"/>
      </w:pPr>
      <w:r>
        <w:t>g) Con fecha de 30 de octubre de 2019, el juzgado dictó auto desestimatorio del recurso de reposición, al constatar la condición de persona jurídica de la ejecutada y, como tal, su obligación de relacionarse con la administración de justicia por medios electrónicos, de conformidad con lo previsto en la disposición transitoria cuarta de la Ley 42/2015, de 5 de octubre, de reforma de la Ley 1/2000, de 7 de enero, de enjuiciamiento civil así como en el artículo 14.2 de la Ley 39/2015 y el Real Decreto 1065/2015, de 27 de enero, sobre comunicaciones electrónicas en la administración de justicia en el ámbito territorial del Ministerio de Justicia y por el que se regula el sistema Lexnet. En su fundamento jurídico único confirma la corrección de los actos de comunicación remitidos de forma telemática y considera que la propia recurrente admite que de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20 de junio de 2018, fecha en la que se materializó la `puesta a disposición´ de la notificación correctamente y del propio documento resulta que pasaron más de tres días desde la misma sin que se hubiera accedido al contenido hasta el día 27 de julio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recurso que fue presentado fuera de plazo cuando ya había precluído la posibilidad de hacerlo”.</w:t>
      </w:r>
    </w:p>
    <w:p w:rsidR="005728DD" w:rsidRDefault="005728DD" w:rsidP="005728DD">
      <w:pPr>
        <w:pStyle w:val="TextoNormal"/>
      </w:pPr>
    </w:p>
    <w:p w:rsidR="005728DD" w:rsidRDefault="005728DD" w:rsidP="005728DD">
      <w:pPr>
        <w:pStyle w:val="TextoNormal"/>
      </w:pPr>
      <w:r>
        <w:t>Como pie de recurso, el auto indicaba que dicha resolución “es firme, y contra la misma no cabe recurso alguno”. Tanto este auto como el anterior de 14 de noviembre de 2018, fueron notificados por el juzgado al procurador de la demandante de amparo a través del sistema Lexnet, tal como obra en las actuaciones.</w:t>
      </w:r>
    </w:p>
    <w:p w:rsidR="005728DD" w:rsidRDefault="005728DD" w:rsidP="005728DD">
      <w:pPr>
        <w:pStyle w:val="TextoNormal"/>
      </w:pPr>
    </w:p>
    <w:p w:rsidR="005728DD" w:rsidRDefault="005728DD" w:rsidP="005728DD">
      <w:pPr>
        <w:pStyle w:val="TextoNormal"/>
      </w:pPr>
      <w:r>
        <w:t>Notificado así el auto de 30 de octubre de 2019, por la indicada mercantil se interpuso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La demanda de amparo alega que las resoluciones judiciales impugnadas causaron, en primer lugar, la vulneración de los derechos a la tutela judicial efectiva (art. 24.1 CE) y a un proceso con todas las garantías y sin indefensión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 Para la recurrente, el órgano judicial habría incumplido su obligación de asegurar, no ya la legalidad formal de los actos de comunicación, sino el cumplimiento efectivo de su finalidad constitucional. La demanda solicita por otrosí la suspensión de la ejecución.</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La Secretaría de Justicia de la Sección Tercera de este tribunal dictó diligencia de ordenación el 31 de enero de 2020, solicitando al juzgado </w:t>
      </w:r>
      <w:r w:rsidRPr="005728DD">
        <w:rPr>
          <w:i/>
        </w:rPr>
        <w:t>a quo</w:t>
      </w:r>
      <w:r>
        <w:t xml:space="preserve"> la remisión, a la mayor brevedad posible, de certificación o copia adverada de las actuaciones correspondientes al procedimiento de ejecución hipotecaria seguido en ese juzgado con el número 349-2018.</w:t>
      </w:r>
    </w:p>
    <w:p w:rsidR="005728DD" w:rsidRDefault="005728DD" w:rsidP="005728DD">
      <w:pPr>
        <w:pStyle w:val="TextoNormal"/>
      </w:pPr>
    </w:p>
    <w:p w:rsidR="005728DD" w:rsidRDefault="005728DD" w:rsidP="005728DD">
      <w:pPr>
        <w:pStyle w:val="TextoNormal"/>
      </w:pPr>
      <w:r w:rsidRPr="005728DD">
        <w:rPr>
          <w:rStyle w:val="NumeroAFNegritaCaracter"/>
        </w:rPr>
        <w:t>5</w:t>
      </w:r>
      <w:r>
        <w:t>. Una vez recibidas las actuaciones, la Sección Tercera de este tribunal dictó providencia el 15 de octubre de 2020 por la que acordó: (i) admitir a trámite el recurso, “apreciando que concurre en el mismo una especial trascendencia constitucional (art. 50.1 LOTC) el recurso puede dar ocasión al tribunal para aclarar o cambiar su doctrina como consecuencia de cambios normativos relevantes para la configuración del contenido del derecho fundamental [STC 155/2009, FJ 2 b)]”; (ii) constatar que el testimonio de las actuaciones ya había sido remitido a requerimiento de la Secretaría de Justicia de la Sección y emplazar a través del juzgado ejecutor a quienes hubieren sido parte en el procedimiento excepto a la parte recurrente en amparo, y (iii) formar la correspondiente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presentado en el registro de este tribunal el 27 de enero de 2021,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diligencia de ordenación de la Secretaría de Justicia de la Sección Tercera de este tribunal, de 5 de febrero de 2021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8</w:t>
      </w:r>
      <w:r>
        <w:t>. El fiscal ante este Tribunal Constitucional, como ha hecho con el resto de recursos que conforman esta serie, presentó escrito de alegaciones el 4 de marzo de 2021,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4 de Lorca, en el juicio de ejecución hipotecaria 349-2018”, y retroacción de las actuaciones al momento inmediato anterior a aquella notificación, “para que se le dé al recurrente posibilidad de formular oposición a la ejecución”.</w:t>
      </w:r>
    </w:p>
    <w:p w:rsidR="005728DD" w:rsidRDefault="005728DD" w:rsidP="005728DD">
      <w:pPr>
        <w:pStyle w:val="TextoNormal"/>
      </w:pPr>
    </w:p>
    <w:p w:rsidR="005728DD" w:rsidRDefault="005728DD" w:rsidP="005728DD">
      <w:pPr>
        <w:pStyle w:val="TextoNormal"/>
      </w:pPr>
      <w:r>
        <w:t>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005728DD" w:rsidRDefault="005728DD" w:rsidP="005728DD">
      <w:pPr>
        <w:pStyle w:val="TextoNormal"/>
      </w:pPr>
    </w:p>
    <w:p w:rsidR="005728DD" w:rsidRDefault="005728DD" w:rsidP="005728DD">
      <w:pPr>
        <w:pStyle w:val="TextoNormal"/>
      </w:pPr>
      <w:r w:rsidRPr="005728DD">
        <w:rPr>
          <w:rStyle w:val="NumeroAFNegritaCaracter"/>
        </w:rPr>
        <w:t>9</w:t>
      </w:r>
      <w:r>
        <w:t>. La representante procesal de la entidad recurrente presentó su escrito de alegaciones el 10 de marzo de 2021, por el que interesó se dictara resolución estimatoria del recurso de amparo, haciendo mención a la STC 40/2020, del Pleno del Tribunal Constitucional que resuelve el recurso de amparo 5377-2018 promovido por la misma parte Euroinversiones Inmobiliarias Costa Sur, S.L., “en un asunto prácticamente igual al del presente recurso de amparo” que refuerza las exigencias para llevar a efecto el primer emplazamiento.</w:t>
      </w:r>
    </w:p>
    <w:p w:rsidR="005728DD" w:rsidRDefault="005728DD" w:rsidP="005728DD">
      <w:pPr>
        <w:pStyle w:val="TextoNormal"/>
      </w:pPr>
    </w:p>
    <w:p w:rsidR="005728DD" w:rsidRDefault="005728DD" w:rsidP="005728DD">
      <w:pPr>
        <w:pStyle w:val="TextoNormal"/>
      </w:pPr>
      <w:r w:rsidRPr="005728DD">
        <w:rPr>
          <w:rStyle w:val="NumeroAFNegritaCaracter"/>
        </w:rPr>
        <w:t>10</w:t>
      </w:r>
      <w:r>
        <w:t>. No consta presentado dentro del plazo del art. 52 LOTC, o con posterioridad, ningún escrito de alegaciones de la entidad Pera Assets Designated Activity Company.</w:t>
      </w:r>
    </w:p>
    <w:p w:rsidR="005728DD" w:rsidRDefault="005728DD" w:rsidP="005728DD">
      <w:pPr>
        <w:pStyle w:val="TextoNormal"/>
      </w:pPr>
    </w:p>
    <w:p w:rsidR="005728DD" w:rsidRDefault="005728DD" w:rsidP="005728DD">
      <w:pPr>
        <w:pStyle w:val="TextoNormal"/>
      </w:pPr>
      <w:r w:rsidRPr="005728DD">
        <w:rPr>
          <w:rStyle w:val="NumeroAFNegritaCaracter"/>
        </w:rPr>
        <w:t>11</w:t>
      </w:r>
      <w:r>
        <w:t>. Respecto de la solicitud de suspensión formulada por la recurrente en amparo mediante otrosí de su escrito de demanda, por auto de la Sala Segunda de este tribunal núm. 3/2021, de 25 de enero de 2021,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728DD" w:rsidRDefault="005728DD" w:rsidP="005728DD">
      <w:pPr>
        <w:pStyle w:val="TextoNormal"/>
      </w:pPr>
    </w:p>
    <w:p w:rsidR="005728DD" w:rsidRDefault="005728DD" w:rsidP="005728DD">
      <w:pPr>
        <w:pStyle w:val="TextoNormal"/>
      </w:pPr>
      <w:r w:rsidRPr="005728DD">
        <w:rPr>
          <w:rStyle w:val="NumeroAFNegritaCaracter"/>
        </w:rPr>
        <w:t>12</w:t>
      </w:r>
      <w:r>
        <w:t>. Por la Secretaría de Justicia se ha dictado diligencia el 14 de enero de 2021, dejando constancia de la presentación de los escritos de alegaciones del Ministerio Fiscal y del representante procesal de la recurrente en amparo, quedando el asunto concluso y pendiente para deliberación cuando por turno correspondiera.</w:t>
      </w:r>
    </w:p>
    <w:p w:rsidR="005728DD" w:rsidRDefault="005728DD" w:rsidP="005728DD">
      <w:pPr>
        <w:pStyle w:val="TextoNormal"/>
      </w:pPr>
    </w:p>
    <w:p w:rsidR="005728DD" w:rsidRDefault="005728DD" w:rsidP="005728DD">
      <w:pPr>
        <w:pStyle w:val="TextoNormal"/>
      </w:pPr>
      <w:r w:rsidRPr="005728DD">
        <w:rPr>
          <w:rStyle w:val="NumeroAFNegritaCaracter"/>
        </w:rPr>
        <w:t>13</w:t>
      </w:r>
      <w:r>
        <w:t>. Mediante providencia de fecha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5728DD" w:rsidRDefault="005728DD" w:rsidP="005728DD">
      <w:pPr>
        <w:pStyle w:val="TextoNormal"/>
      </w:pPr>
    </w:p>
    <w:p w:rsidR="005728DD" w:rsidRDefault="005728DD" w:rsidP="005728DD">
      <w:pPr>
        <w:pStyle w:val="TextoNormal"/>
      </w:pPr>
      <w:r>
        <w:t>En concreto, en el presente recurso, la entidad Euroinversiones Inmobiliarias Costa Sur, S.L., impugna los autos del Juzgado de Primera Instancia e Instrucción núm. 4 de Lorca, de 30 de octubre de 2019 y de 14 de noviembre de 2018, recaídos en el proceso hipotecario núm. 349-2018.</w:t>
      </w:r>
    </w:p>
    <w:p w:rsidR="005728DD" w:rsidRDefault="005728DD" w:rsidP="005728DD">
      <w:pPr>
        <w:pStyle w:val="TextoNormal"/>
      </w:pPr>
    </w:p>
    <w:p w:rsidR="005728DD" w:rsidRDefault="005728DD" w:rsidP="005728DD">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5728DD" w:rsidRDefault="005728DD" w:rsidP="005728DD">
      <w:pPr>
        <w:pStyle w:val="TextoNormal"/>
      </w:pPr>
    </w:p>
    <w:p w:rsidR="005728DD" w:rsidRDefault="005728DD" w:rsidP="005728DD">
      <w:pPr>
        <w:pStyle w:val="TextoNormal"/>
      </w:pPr>
      <w:r>
        <w:t>Planteado en estos términos el debate, debe indicarse que el Pleno de este tribunal dictó, como afirma en trámite de alegaciones la recurrente en amparo y subraya el Ministerio Fiscal,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5728DD">
        <w:rPr>
          <w:i/>
        </w:rPr>
        <w:t>a quo</w:t>
      </w:r>
      <w:r>
        <w:t xml:space="preserve">, se aborda en el fundamento jurídico tercero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w:t>
      </w:r>
      <w:r>
        <w:lastRenderedPageBreak/>
        <w:t>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tercero, precisamente en aplicación de la doctrina de referencia.</w:t>
      </w:r>
    </w:p>
    <w:p w:rsidR="005728DD" w:rsidRDefault="005728DD" w:rsidP="005728DD">
      <w:pPr>
        <w:pStyle w:val="TextoNormal"/>
      </w:pPr>
    </w:p>
    <w:p w:rsidR="005728DD" w:rsidRDefault="005728DD" w:rsidP="005728DD">
      <w:pPr>
        <w:pStyle w:val="TextoNormal"/>
      </w:pPr>
      <w:r>
        <w:t xml:space="preserve">Constata entonces la STC 40/2020, en su fundamento jurídico cuarto, como ha de hacerse también ahora, que las dos resoluciones judiciales impugnadas vulneraron el derecho a la tutela judicial efectiva de la recurrente, al no proceder a su emplazamiento personal en el proceso </w:t>
      </w:r>
      <w:r w:rsidRPr="005728DD">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alegada conjunción con el plazo del art. 556 LEC. Todo lo cual determina la estimación del amparo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30 de octubre de 2019 y de 14 de noviembre de 2018, dictados por el Juzgado de Primera Instancia e Instrucción núm. 4 de Lorca en el proceso de ejecución hipotecaria núm. 349-2018,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lastRenderedPageBreak/>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4" w:name="SENTENCIA_2021_101"/>
      <w:r>
        <w:lastRenderedPageBreak/>
        <w:t>SENTENCIA 101/2021, de 10 de mayo de 2021</w:t>
      </w:r>
    </w:p>
    <w:bookmarkEnd w:id="104"/>
    <w:p w:rsidR="005728DD" w:rsidRDefault="005728DD" w:rsidP="005728DD">
      <w:pPr>
        <w:pStyle w:val="TtuloResolucin"/>
      </w:pPr>
      <w:r>
        <w:t>Sala Segunda</w:t>
      </w:r>
    </w:p>
    <w:p w:rsidR="005728DD" w:rsidRDefault="005728DD" w:rsidP="005728DD">
      <w:pPr>
        <w:pStyle w:val="TtuloBOE"/>
      </w:pPr>
      <w:r>
        <w:t>(BOE núm. 142, de 15 de junio de 2021)</w:t>
      </w:r>
    </w:p>
    <w:p w:rsidR="005728DD" w:rsidRDefault="005728DD" w:rsidP="005728DD">
      <w:pPr>
        <w:pStyle w:val="TextoNormalCentrado"/>
      </w:pPr>
      <w:r>
        <w:t>ECLI:ES:TC:2021:101</w:t>
      </w:r>
    </w:p>
    <w:p w:rsidR="005728DD" w:rsidRDefault="005728DD" w:rsidP="005728DD">
      <w:pPr>
        <w:pStyle w:val="TextoNormalCentrado"/>
      </w:pPr>
    </w:p>
    <w:p w:rsidR="005728DD" w:rsidRDefault="005728DD" w:rsidP="005728DD">
      <w:pPr>
        <w:pStyle w:val="SntesisDescriptiva"/>
      </w:pPr>
      <w:r>
        <w:t>Recurso de amparo 63-2020. Promovido por don Juan Carlos Molinos Molinos respecto del auto dictado por un juzgado de primera instancia de Jaén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3, 4].</w:t>
      </w:r>
    </w:p>
    <w:p w:rsidR="005728DD" w:rsidRDefault="005728DD" w:rsidP="005728DD">
      <w:pPr>
        <w:pStyle w:val="Extracto"/>
      </w:pPr>
    </w:p>
    <w:p w:rsidR="005728DD" w:rsidRDefault="005728DD" w:rsidP="005728DD">
      <w:pPr>
        <w:pStyle w:val="Extracto"/>
      </w:pPr>
      <w:r>
        <w:t>2.</w:t>
      </w:r>
      <w:r>
        <w:tab/>
        <w:t xml:space="preserve">Aplicación de la Directiva 93/13/CEE, del Consejo, de 5 de abril, sobre cláusulas abusivas en los contratos celebrados con consumidores, y de la STJUE de 26 de enero de 2017, Asunto </w:t>
      </w:r>
      <w:r w:rsidRPr="005728DD">
        <w:rPr>
          <w:i/>
        </w:rPr>
        <w:t xml:space="preserve">Banco Primus, S.A. v. Jesús Gutiérrez García </w:t>
      </w:r>
      <w:r>
        <w:t>(asunto C-421/14), que instan a los órganos judiciales al control del carácter abusivo del clausulado de un contrato de préstamo con garantía hipotecaria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63-2020, promovido por don Juan Carlos Molinos Molinos, representado por el procurador de los tribunales don Miguel Bueno Malo de Molina, bajo la asistencia del letrado don Ramón Porras González, contra el auto de 7 de noviembre de 2019, dictado por el Juzgado de Primera Instancia núm. 5 de Jaén, en el procedimiento de ejecución hipotecaria núm. 1210-2014. Han intervenido el Ministerio Fiscal y el ejecutante.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día 3 de enero de 2020, don Juan Carlos Molinos Molinos, representado por el procurador de los tribunales don Miguel Bueno Malo de Molina y con la asistencia del letrado don Ramón Porras González, interpuso recurso de amparo contra la resolución .a la que se hace referencia en el encabezamiento, dictada por el Juzgado de Primera Instancia núm. 5 de Jaén, en el procedimiento de ejecución hipotecaria núm. 1210-2014, alegando la vulneración de su derecho a la tutela judicial efectiva (art. 24.1 CE), en su vertiente de derecho a una resolución motivada y fundada en derecho.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que se desprenden de la demanda de amparo y de las actuaciones que la acompañan, son los siguientes:</w:t>
      </w:r>
    </w:p>
    <w:p w:rsidR="005728DD" w:rsidRDefault="005728DD" w:rsidP="005728DD">
      <w:pPr>
        <w:pStyle w:val="TextoNormal"/>
      </w:pPr>
    </w:p>
    <w:p w:rsidR="005728DD" w:rsidRDefault="005728DD" w:rsidP="005728DD">
      <w:pPr>
        <w:pStyle w:val="TextoNormal"/>
      </w:pPr>
      <w:r>
        <w:t>a) La entidad financiera Banco Santander, S.A., presentó, el día 20 de noviembre de 2014, demanda de ejecución hipotecaria contra don Juan Carlos Molinos Molinos, como deudor, por el impago de sus obligaciones derivadas del contrato de crédito con garantía hipotecaria y otorgado con fecha 26 de septiembre de 2003, en virtud del cual se gravaba la vivienda sita en la calle Geráneos, núm. 50, del municipio de La Guardia (Jaén).</w:t>
      </w:r>
    </w:p>
    <w:p w:rsidR="005728DD" w:rsidRDefault="005728DD" w:rsidP="005728DD">
      <w:pPr>
        <w:pStyle w:val="TextoNormal"/>
      </w:pPr>
    </w:p>
    <w:p w:rsidR="005728DD" w:rsidRDefault="005728DD" w:rsidP="005728DD">
      <w:pPr>
        <w:pStyle w:val="TextoNormal"/>
      </w:pPr>
      <w:r>
        <w:t>b) Con fecha de 27 de noviembre de 2014, el Juzgado de Primera Instancia núm. 5 de Jaén dictó auto despachando ejecución, siguiendo su curso el procedimiento hasta la celebración de la subasta el día 13 de mayo de 2015, sin que compareciera ningún postor. Por decreto de 4 de noviembre de 2015, la vivienda fue adjudicada al ejecutante.</w:t>
      </w:r>
    </w:p>
    <w:p w:rsidR="005728DD" w:rsidRDefault="005728DD" w:rsidP="005728DD">
      <w:pPr>
        <w:pStyle w:val="TextoNormal"/>
      </w:pPr>
    </w:p>
    <w:p w:rsidR="005728DD" w:rsidRDefault="005728DD" w:rsidP="005728DD">
      <w:pPr>
        <w:pStyle w:val="TextoNormal"/>
      </w:pPr>
      <w:r>
        <w:t>Por auto de 8 de febrero de 2016 se desestimó la solicitud formulada por la ejecutante de cancelación de la inscripción del arrendamiento en el registro de la propiedad a favor de don Abel Miranda Aranda.</w:t>
      </w:r>
    </w:p>
    <w:p w:rsidR="005728DD" w:rsidRDefault="005728DD" w:rsidP="005728DD">
      <w:pPr>
        <w:pStyle w:val="TextoNormal"/>
      </w:pPr>
    </w:p>
    <w:p w:rsidR="005728DD" w:rsidRDefault="005728DD" w:rsidP="005728DD">
      <w:pPr>
        <w:pStyle w:val="TextoNormal"/>
      </w:pPr>
      <w:r>
        <w:t>c) Interesado por la ejecutante el lanzamiento de los ocupantes de la finca, el citado don Abel Miranda Aranda y doña Mercedes Soriano Martínez, exesposa del ejecutado, por diligencia de ordenación, de 8 de marzo de 2016, el ejecutante, el ejecutado y los arrendatarios fueron convocados a la celebración de la vista regulada en el art. 661.2 Ley de enjuiciamiento civil (LEC). El juzgado desestimó la oposición formulada por los arrendatarios por auto dictado el 6 de junio de 2016 (aclarado el 13 de junio de 2016).</w:t>
      </w:r>
    </w:p>
    <w:p w:rsidR="005728DD" w:rsidRDefault="005728DD" w:rsidP="005728DD">
      <w:pPr>
        <w:pStyle w:val="TextoNormal"/>
      </w:pPr>
    </w:p>
    <w:p w:rsidR="005728DD" w:rsidRDefault="005728DD" w:rsidP="005728DD">
      <w:pPr>
        <w:pStyle w:val="TextoNormal"/>
      </w:pPr>
      <w:r>
        <w:t>d) Formulada demanda en juicio ordinario por el ocupante don Abel Miranda Aranda, el Juzgado de Primera Instancia núm. 3 de Jaén, por sentencia de 28 de junio de 2017, declaró subsistente el contrato de arrendamiento suscrito en su momento entre el ejecutado y don Abel Miranda, contrato en que se considera subrogada como arrendadora la entidad Banco de Santander, S.A., debiéndose practicar su inscripción registral.</w:t>
      </w:r>
    </w:p>
    <w:p w:rsidR="005728DD" w:rsidRDefault="005728DD" w:rsidP="005728DD">
      <w:pPr>
        <w:pStyle w:val="TextoNormal"/>
      </w:pPr>
    </w:p>
    <w:p w:rsidR="005728DD" w:rsidRDefault="005728DD" w:rsidP="005728DD">
      <w:pPr>
        <w:pStyle w:val="TextoNormal"/>
      </w:pPr>
      <w:r>
        <w:t xml:space="preserve">e) Por escrito de 11 de octubre de 2019, el deudor hipotecario solicitó la revisión de la cláusula sexta </w:t>
      </w:r>
      <w:r w:rsidRPr="005728DD">
        <w:rPr>
          <w:i/>
        </w:rPr>
        <w:t>bis</w:t>
      </w:r>
      <w:r>
        <w:t>, relativa al vencimiento anticipado del crédito, alegando su posible carácter abusivo, con fundamento en la Directiva 93/13/CEE y la doctrina jurisprudencial emanada del Tribunal de Justicia de la Unión Europea.</w:t>
      </w:r>
    </w:p>
    <w:p w:rsidR="005728DD" w:rsidRDefault="005728DD" w:rsidP="005728DD">
      <w:pPr>
        <w:pStyle w:val="TextoNormal"/>
      </w:pPr>
    </w:p>
    <w:p w:rsidR="005728DD" w:rsidRDefault="005728DD" w:rsidP="005728DD">
      <w:pPr>
        <w:pStyle w:val="TextoNormal"/>
      </w:pPr>
      <w:r>
        <w:lastRenderedPageBreak/>
        <w:t>El Juzgado de Primera Instancia núm. 5 de Jaén declaró que no había lugar a tramitar la solicitud por extemporaneidad, por providencia de 16 de octubre de 2019.</w:t>
      </w:r>
    </w:p>
    <w:p w:rsidR="005728DD" w:rsidRDefault="005728DD" w:rsidP="005728DD">
      <w:pPr>
        <w:pStyle w:val="TextoNormal"/>
      </w:pPr>
    </w:p>
    <w:p w:rsidR="005728DD" w:rsidRDefault="005728DD" w:rsidP="005728DD">
      <w:pPr>
        <w:pStyle w:val="TextoNormal"/>
      </w:pPr>
      <w:r>
        <w:t>f) Mediante escrito registrado el 24 de octubre de 2019, el recurrente interpuso recurso de reposición denunciando la vulneración del derecho a la tutela judicial efectiva (art. 24.1 CE), en su vertiente de derecho de acceso a la justicia y a la motivación de las resoluciones judiciales, en relación con el principio de interdicción de la arbitrariedad (art. 9.1 y 3 CE), el derecho a una vivienda digna (art. 47 CE), el principio de primacía del derecho comunitario (arts. 10.2 y 96.l CE) y la especial protección de los consumidores y usuarios (art. 51.1 CE, en relación con la Directiva Europea 93/13/CE); toda vez que, a su entender, “[n]o cabe hablar de extemporaneidad de la solicitud de que se declare abusiva la cláusula de vencimiento anticipado, y por consiguiente nula”.</w:t>
      </w:r>
    </w:p>
    <w:p w:rsidR="005728DD" w:rsidRDefault="005728DD" w:rsidP="005728DD">
      <w:pPr>
        <w:pStyle w:val="TextoNormal"/>
      </w:pPr>
    </w:p>
    <w:p w:rsidR="005728DD" w:rsidRDefault="005728DD" w:rsidP="005728DD">
      <w:pPr>
        <w:pStyle w:val="TextoNormal"/>
      </w:pPr>
      <w:r>
        <w:t>Tras haber manifestado la entidad bancaria su oposición, el recurso fue desestimado por auto de 7 de noviembre de 2019, por cuanto “siendo cierto que la providencia es parca en argumentos no menos cierto resulta, que ofrece de forma indubitada el motivo por el que no cabe una revisión de oficio de cláusulas nulas, en la medida que ya se ha realizado el control y filtro del tribunal en su admisión a trámite, y por otro lado ha precluido el plazo de oposición en forma, una solución distinta implicaría, una revisión de actuaciones procesales al albur de cambios jurisprudenciales posteriores que choca con el principio de seguridad jurídica”.</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El recurrente invoca la vulneración del derecho a la tutela judicial efectiva (art. 24.1 CE), en relación con el deber de motivación de las resoluciones judiciales, en que habría incurrido el juez al desestimar el recurso de reposición interpuesto, apartándose de la doctrina jurisprudencial emanada del Tribunal de Justicia de la Unión Europea (STJUE de 26 de enero de 2017, asunto </w:t>
      </w:r>
      <w:r w:rsidRPr="005728DD">
        <w:rPr>
          <w:i/>
        </w:rPr>
        <w:t>Banco Primus, S.A., c. Jesús Gutiérrez García</w:t>
      </w:r>
      <w:r>
        <w:t>) y, especialmente, la de este tribunal (STC 31/2019, de 28 de febrero), según la cual resulta preceptiva la revisión, de oficio o a instancia de parte, de las cláusulas cuestionadas por su carácter abusivo, en cualquier momento del procedimiento, en tanto no finalice, es lo que ocurría en las presentes actuaciones.</w:t>
      </w:r>
    </w:p>
    <w:p w:rsidR="005728DD" w:rsidRDefault="005728DD" w:rsidP="005728DD">
      <w:pPr>
        <w:pStyle w:val="TextoNormal"/>
      </w:pPr>
    </w:p>
    <w:p w:rsidR="005728DD" w:rsidRDefault="005728DD" w:rsidP="005728DD">
      <w:pPr>
        <w:pStyle w:val="TextoNormal"/>
      </w:pPr>
      <w:r>
        <w:t>Termina solicitando que se declare la nulidad del auto impugnado, retrotrayendo las actuaciones al momento inmediatamente anterior al dictado de esa resolución, para que el órgano judicial resuelva con pleno respeto de los derechos fundamentales vulnerados, y declare la nulidad de la cláusula discutida.</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17 de septiembre de 2020, la Sección Tercera de este tribunal acordó admitir a trámite el recurso de amparo, apreciando que concurre en el mismo especial trascendencia constitucional [art. 50.1 de la Ley Orgánica del Tribunal Constitucional (LOTC)] como consecuencia de que el órgano judicial pudiera haber incurrido en una negativa manifiesta del deber de acatamiento de la doctrina de este tribunal [STC 155/2009, FJ 2, f)]; así como, constando ya testimonio de las actuaciones correspondientes al procedimiento de ejecución hipotecaria núm. 1210-2014, dirigir atenta comunicación al órgano judicial interviniente al objeto de que procediera a emplazar a quienes hubieran sido parte en el proceso del que trae causa el presente recurso, para que pudieran comparecer en estas actuaciones, si así lo desean, excepto a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Mediante escrito registrado el 3 de noviembre de 2020 se personó en las actuaciones la entidad Banco Santander, S.A., representada por la procuradora doña María del Valle Herrera Torrero y asistida por el letrado don Ramón García Valdecasas.</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la secretaría de la Sala Segunda de este tribunal, de 9 de diciembre de 2020, se acordó tener por personado y parte en el procedimiento a Banco de Santander, S.A., así como dar vista de las actuaciones recibidas a las partes personadas y al Ministerio Fiscal, para que pudieran presentar las alegaciones que estimaran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Por escrito de 18 de enero de 2021, la mercantil ejecutante formuló oposición al recurso de amparo, negando la aplicación de la doctrina europea y constitucional a las presentes actuaciones con base en dos argumentos: en primer lugar, que el procedimiento de ejecución ya había finalizado con la adjudicación de la finca al ejecutante, no siendo posible la entrega de la posesión, ni el lanzamiento de los ocupantes, por estar vigente un contrato de arrendamiento preexistente, tal y como confirma la sentencia del Juzgado de Primera Instancia núm. 3 de Jaén, de 28 de junio de 2017, siendo pues la petición extemporánea; y, en segundo término, al no ostentar el ejecutado la condición de consumidor, habiéndose hecho constar en la escritura de constitución de la hipoteca que el préstamo no se suscribe para la compra de la finca hipotecada, sino para “refinanciar diversas deudas del prestatario resultado de su actividad empresarial”, no constituyendo, por lo demás, el domicilio habitual de la familia, con lo que no debe serle aplicada la jurisprudencia relativa a la protección de consumidores y usuarios.</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presentó alegaciones por escrito, de 4 de febrero de 2021, en sentido favorable a la estimación de la demanda de amparo.</w:t>
      </w:r>
    </w:p>
    <w:p w:rsidR="005728DD" w:rsidRDefault="005728DD" w:rsidP="005728DD">
      <w:pPr>
        <w:pStyle w:val="TextoNormal"/>
      </w:pPr>
    </w:p>
    <w:p w:rsidR="005728DD" w:rsidRDefault="005728DD" w:rsidP="005728DD">
      <w:pPr>
        <w:pStyle w:val="TextoNormal"/>
      </w:pPr>
      <w:r>
        <w:t>Tras compendiar los acontecimientos procesales que consideró de interés al caso y concretar los aspectos más relevantes de la pretensión de la demandante, señala que el objeto del presente recurso consiste en dilucidar si el juez ha vulnerado el derecho a la tutela judicial efectiva de los recurrentes (art. 24.1 CE), incurriendo en una errónea motivación, al desconocer lo dispuesto en la Directiva 93/13/CEE y la doctrina del Tribunal de Justicia de la Unión Europea en materia de revisión de las cláusulas abusivas de los contratos de préstamo con garantía hipotecaria, contenida en la STJUE de 26 de enero de 2017, así como la doctrina constitucional aplicable, expuesta en la STC 31/2019, de 28 de febrero.</w:t>
      </w:r>
    </w:p>
    <w:p w:rsidR="005728DD" w:rsidRDefault="005728DD" w:rsidP="005728DD">
      <w:pPr>
        <w:pStyle w:val="TextoNormal"/>
      </w:pPr>
    </w:p>
    <w:p w:rsidR="005728DD" w:rsidRDefault="005728DD" w:rsidP="005728DD">
      <w:pPr>
        <w:pStyle w:val="TextoNormal"/>
      </w:pPr>
      <w:r>
        <w:t xml:space="preserve">En concreto, destaca el fiscal que lo que se viene a cuestionar en este recurso de amparo es si “desde la premisa de la existencia en el contrato de préstamo de una cláusula abusiva, la que recoge el vencimiento anticipado de la deuda, esta cláusula debió ser anulada de oficio conforme a la doctrina dimanante de la jurisprudencia del Tribunal de Justicia de la Unión Europea, consagrada en nuestro país por el Tribunal Supremo y el propio Tribunal Constitucional. No es por tanto determinante si los recurrentes solicitaron o no esa nulidad ya que el órgano judicial viene obligado a un examen </w:t>
      </w:r>
      <w:r w:rsidRPr="005728DD">
        <w:rPr>
          <w:i/>
        </w:rPr>
        <w:t>ex oficio</w:t>
      </w:r>
      <w:r>
        <w:t xml:space="preserve"> del contenido del contrato para expulsar aquellas condiciones que incurran en abusividad, según los parámetros jurisprudencialmente fijados, no obstante en este caso es obvio que se produjo tal petición”; como tampoco es concluyente el momento en que se planteó la revisión “ya que la doctrina legal del tribunal europeo y de los altos tribunales españoles, ha señalado la posibilidad de </w:t>
      </w:r>
      <w:r>
        <w:lastRenderedPageBreak/>
        <w:t>revisión mientras el procedimiento siga vivo, hasta su definitivo archivo, lo que no ha ocurrido en este caso por el hecho de que no se ha llevado a cabo el lanzamiento de los ocupantes de la vivienda, en cuya posesión siguen”.</w:t>
      </w:r>
    </w:p>
    <w:p w:rsidR="005728DD" w:rsidRDefault="005728DD" w:rsidP="005728DD">
      <w:pPr>
        <w:pStyle w:val="TextoNormal"/>
      </w:pPr>
    </w:p>
    <w:p w:rsidR="005728DD" w:rsidRDefault="005728DD" w:rsidP="005728DD">
      <w:pPr>
        <w:pStyle w:val="TextoNormal"/>
      </w:pPr>
      <w:r>
        <w:t>Partiendo de lo anterior, el fiscal niega que la revisión de oficio se realizara en la admisión a trámite de la demanda ejecutiva, pues nada se dice en el auto correspondiente, y si “nada dice sobre ese examen y control, y si no lo específica, debe asimilarse a que no se haya producido, no podemos presumir que se ha realizado”. Igualmente, entiende que tampoco se acomoda a la doctrina aplicable el que se mantenga que ha precluido el plazo para oponerse a la ejecución, pues la posibilidad de denunciar el carácter abusivo de las cláusulas contractuales no se agota en ese trámite procesal.</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6 de mayo de 2021 se señaló para votación y fallo del presente recurso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El presente recurso tiene por objeto el auto de 7 de noviembre de 2019, dictado por el Juzgado de Primera Instancia núm. 5 de Jaén en el procedimiento de ejecución hipotecaria núm. 1210-2014.</w:t>
      </w:r>
    </w:p>
    <w:p w:rsidR="005728DD" w:rsidRDefault="005728DD" w:rsidP="005728DD">
      <w:pPr>
        <w:pStyle w:val="TextoNormal"/>
      </w:pPr>
    </w:p>
    <w:p w:rsidR="005728DD" w:rsidRDefault="005728DD" w:rsidP="005728DD">
      <w:pPr>
        <w:pStyle w:val="TextoNormal"/>
      </w:pPr>
      <w:r>
        <w:t>El demandante de amparo atribuye a la resolución impugnada la vulneración del derecho a la tutela judicial efectiva (art. 24.1 CE), en su vertiente de derecho a la motivación de las resoluciones judiciales, por falta del preceptivo control de abusividad de la cláusula de vencimiento anticipado del contrato de préstamo suscrito entre la ejecutante y el ejecutado, al que venía obligado el órgano jurisdiccional y que le fue solicitado por ese último, apartándose de la doctrina europea y constitucional aplicable.</w:t>
      </w:r>
    </w:p>
    <w:p w:rsidR="005728DD" w:rsidRDefault="005728DD" w:rsidP="005728DD">
      <w:pPr>
        <w:pStyle w:val="TextoNormal"/>
      </w:pPr>
    </w:p>
    <w:p w:rsidR="005728DD" w:rsidRDefault="005728DD" w:rsidP="005728DD">
      <w:pPr>
        <w:pStyle w:val="TextoNormal"/>
      </w:pPr>
      <w:r>
        <w:t>La entidad ejecutante niega la obligatoriedad de llevar a cabo tal control, dado que la solicitud por el ejecutado fue extemporánea, además de carecer de la condición de consumidor.</w:t>
      </w:r>
    </w:p>
    <w:p w:rsidR="005728DD" w:rsidRDefault="005728DD" w:rsidP="005728DD">
      <w:pPr>
        <w:pStyle w:val="TextoNormal"/>
      </w:pPr>
    </w:p>
    <w:p w:rsidR="005728DD" w:rsidRDefault="005728DD" w:rsidP="005728DD">
      <w:pPr>
        <w:pStyle w:val="TextoNormal"/>
      </w:pPr>
      <w:r>
        <w:t>El fiscal confirma la infracción del derecho a la tutela judicial efectiva y solicita la estimación del recurso de amparo, remitiéndose a la doctrina mencionada, al haberse omitido la revisión de oficio de la cláusula de vencimiento anticipado y al no poder acotarse las posibilidades de alegación de la abusividad de una cláusula contractual, meramente, al trámite de oposición a la ejecución.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contenido y alcance de nuestro enjuiciamiento</w:t>
      </w:r>
      <w:r>
        <w:t>.</w:t>
      </w:r>
    </w:p>
    <w:p w:rsidR="005728DD" w:rsidRDefault="005728DD" w:rsidP="005728DD">
      <w:pPr>
        <w:pStyle w:val="TextoNormal"/>
      </w:pPr>
    </w:p>
    <w:p w:rsidR="005728DD" w:rsidRDefault="005728DD" w:rsidP="005728DD">
      <w:pPr>
        <w:pStyle w:val="TextoNormal"/>
      </w:pPr>
      <w:r>
        <w:t xml:space="preserve">Una vez expuestas las posiciones de los intervinientes en el presente recurso, procede fijar, a continuación, el alcance y contenido de nuestra respuesta, que, en ningún caso, pretende dirimir si la cláusula contractual identificada por los recurrentes, relativa al vencimiento anticipado del préstamo, tiene o no carácter abusivo, pues esa cuestión se incardina con claridad dentro de los límites de la legalidad infra constitucional y, en consecuencia, su </w:t>
      </w:r>
      <w:r>
        <w:lastRenderedPageBreak/>
        <w:t>conocimiento corresponde a la jurisdicción ordinaria (STC 140/2020, de 6 de octubre, FJ 2). Nuestro cometido será determinar si la negativa del órgano judicial a pronunciarse sobre el carácter abusivo de la cláusula aludida, so pretexto de la extemporaneidad de la petición y de que el control de abusividad de las cláusulas del contrato de préstamo se había efectuado de oficio, vulnera o no el derecho a la tutela judicial efectiva sin indefensión (art. 24.1 CE), por su eventual contradicción con la doctrina de este tribunal.</w:t>
      </w:r>
    </w:p>
    <w:p w:rsidR="005728DD" w:rsidRDefault="005728DD" w:rsidP="005728DD">
      <w:pPr>
        <w:pStyle w:val="TextoNormal"/>
      </w:pPr>
    </w:p>
    <w:p w:rsidR="005728DD" w:rsidRDefault="005728DD" w:rsidP="005728DD">
      <w:pPr>
        <w:pStyle w:val="TextoNormal"/>
      </w:pPr>
      <w:r>
        <w:t>Al ser este el planteamiento, el primer paso obligado debe ser recordar nuestra doctrina en relación con la cuestión debatida; para, a continuación, proceder a enjuiciar la adecuación de la respuesta judicial a los postulados fijados en esta sede constitucional.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sobre el derecho a la tutela judicial efectiva y el principio de primacía del Derecho de la Unión Europea</w:t>
      </w:r>
      <w:r>
        <w:t>.</w:t>
      </w:r>
    </w:p>
    <w:p w:rsidR="005728DD" w:rsidRDefault="005728DD" w:rsidP="005728DD">
      <w:pPr>
        <w:pStyle w:val="TextoNormal"/>
      </w:pPr>
    </w:p>
    <w:p w:rsidR="005728DD" w:rsidRDefault="005728DD" w:rsidP="005728DD">
      <w:pPr>
        <w:pStyle w:val="TextoNormal"/>
      </w:pPr>
      <w:r>
        <w:t>Este tribunal ya se ha pronunciado sobre una cuestión sustancialmente similar en el supuesto enjuiciado por el Pleno en la STC 31/2019, de 28 de febrero, en el que, al igual que ahora, el órgano judicial decidió, en un procedimiento de ejecución hipotecaria, inadmitir el incidente de nulidad formulado por la demandante de amparo, en el que se alegaba la existencia de una cláusula abusiva en su contrato de préstamo, precisamente la de vencimiento anticipado del crédito, con fundamento en una supuesta preclusión de su obligación de control.</w:t>
      </w:r>
    </w:p>
    <w:p w:rsidR="005728DD" w:rsidRDefault="005728DD" w:rsidP="005728DD">
      <w:pPr>
        <w:pStyle w:val="TextoNormal"/>
      </w:pPr>
    </w:p>
    <w:p w:rsidR="005728DD" w:rsidRDefault="005728DD" w:rsidP="005728DD">
      <w:pPr>
        <w:pStyle w:val="TextoNormal"/>
      </w:pPr>
      <w:r>
        <w:t>En el citada resolución, recordamos la STC 232/2015, de 5 de noviembre, cuando sobre la función a desempeñar por nuestro tribunal declaraba que: “(i) a este tribunal le corresponde […] velar por el respeto del principio de primacía del Derecho de la Unión cuando ‘exista una interpretación auténtica efectuada por el propio Tribunal de Justicia de la Unión Europea’ [fundamento jurídico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[fundamento jurídico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[fundamento jurídico 6 b)]” (STC 31/2019, FJ 4).</w:t>
      </w:r>
    </w:p>
    <w:p w:rsidR="005728DD" w:rsidRDefault="005728DD" w:rsidP="005728DD">
      <w:pPr>
        <w:pStyle w:val="TextoNormal"/>
      </w:pPr>
    </w:p>
    <w:p w:rsidR="005728DD" w:rsidRDefault="005728DD" w:rsidP="005728DD">
      <w:pPr>
        <w:pStyle w:val="TextoNormal"/>
      </w:pPr>
      <w:r>
        <w:t xml:space="preserve">A continuación, se exponía la doctrina contenida en la STJUE, de 26 de enero de 2017, asunto </w:t>
      </w:r>
      <w:r w:rsidRPr="005728DD">
        <w:rPr>
          <w:i/>
        </w:rPr>
        <w:t>Banco Primus, S.A., c. Jesús Gutiérrez García</w:t>
      </w:r>
      <w:r>
        <w:t xml:space="preserve">, sentencia en la que el Tribunal de Justicia de la Unión Europea confirmó la compatibilidad de la Directiva 93/13/CEE con normas nacionales, tales como el art. 207 LEC, que impide un nuevo examen del carácter abusivo de las cláusulas de un contrato cuando ya existiera sobre esta cuestión un pronunciamiento con fuerza de cosa juzgada, al declarar que: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w:t>
      </w:r>
      <w:r>
        <w:lastRenderedPageBreak/>
        <w:t>oficio, cuando disponga de los elementos de hecho y de derecho necesarios para ello, el eventual carácter abusivo de esas cláusulas” (FJ 5).</w:t>
      </w:r>
    </w:p>
    <w:p w:rsidR="005728DD" w:rsidRDefault="005728DD" w:rsidP="005728DD">
      <w:pPr>
        <w:pStyle w:val="TextoNormal"/>
      </w:pPr>
    </w:p>
    <w:p w:rsidR="005728DD" w:rsidRDefault="005728DD" w:rsidP="005728DD">
      <w:pPr>
        <w:pStyle w:val="TextoNormal"/>
      </w:pPr>
      <w:r>
        <w:t xml:space="preserve">Y es que, como también destacamos en la STC 31/2019, rememorando el apartado 42 de la STEDH de 26 de enero de 2017, no se nos puede escapar que la falta de vinculación del consumidor a las cláusulas abusivas </w:t>
      </w:r>
      <w:r w:rsidRPr="005728DD">
        <w:rPr>
          <w:i/>
        </w:rPr>
        <w:t>ex</w:t>
      </w:r>
      <w:r>
        <w:t xml:space="preserve"> art. 6, apartado 1, de la Directiva 93/13/CEE, constituye “una disposición imperativa que pretende reemplazar el equilibrio formal que el contrato establece entre los derechos y las obligaciones de las partes por un equilibrio real que pueda restablecer la igualdad entre estas”, y que “debe considerarse una norma equivalente a las disposiciones nacionales que, en el ordenamiento jurídico interno, tienen rango de normas de orden público” (FJ 6).</w:t>
      </w:r>
    </w:p>
    <w:p w:rsidR="005728DD" w:rsidRDefault="005728DD" w:rsidP="005728DD">
      <w:pPr>
        <w:pStyle w:val="TextoNormal"/>
      </w:pPr>
    </w:p>
    <w:p w:rsidR="005728DD" w:rsidRDefault="005728DD" w:rsidP="005728DD">
      <w:pPr>
        <w:pStyle w:val="TextoNormal"/>
      </w:pPr>
      <w:r>
        <w:t>En síntesis, el juez nacional estará obligado a apreciar el eventual carácter abusivo de una cláusula en cuanto disponga de los elementos de hecho y de derecho necesarios para ello, con la condición de que la cláusula denunciada no hubiera sido examinada con anterioridad. El Tribunal de Justicia de la Unión Europea, “por supuesto, permite que el consumidor pueda formular un incidente de oposición cumpliendo con lo que disponga la norma, lo que no exime de la obligación de control de oficio por el órgano judicial” (FJ 6).</w:t>
      </w:r>
    </w:p>
    <w:p w:rsidR="005728DD" w:rsidRDefault="005728DD" w:rsidP="005728DD">
      <w:pPr>
        <w:pStyle w:val="TextoNormal"/>
      </w:pPr>
    </w:p>
    <w:p w:rsidR="005728DD" w:rsidRDefault="005728DD" w:rsidP="005728DD">
      <w:pPr>
        <w:pStyle w:val="TextoNormal"/>
      </w:pPr>
      <w:r>
        <w:t>Claro está, tal obligación de control de las cláusulas abusivas se encontrará condicionada por la pendencia del proceso, aspecto en relación con el cual nuestra sentencia se remite a la propia STJUE de 26 de enero de 2017, cuando sostiene que el procedimiento de ejecución hipotecaria no concluye y continúa hasta que el inmueble se ponga en posesión del adquirente (FJ 7).</w:t>
      </w:r>
    </w:p>
    <w:p w:rsidR="005728DD" w:rsidRDefault="005728DD" w:rsidP="005728DD">
      <w:pPr>
        <w:pStyle w:val="TextoNormal"/>
      </w:pPr>
    </w:p>
    <w:p w:rsidR="005728DD" w:rsidRDefault="005728DD" w:rsidP="005728DD">
      <w:pPr>
        <w:pStyle w:val="TextoNormal"/>
      </w:pPr>
      <w:r>
        <w:t>Más allá de las cuestiones eminentemente procesales, en la STC 31/2019 abordamos el cumplimiento del requisito sustantivo previsto en la STJUE de 26 de enero de 2017 para que resulte admisible un control posterior de una cláusula abusiva, pese a haberse dictado una resolución firme, o, en otras palabras, “si se efectuó un control judicial previo al requerimiento instado por la parte, como excepción a su control posterior, sobre la cláusula de vencimiento anticipado” (FJ 8).</w:t>
      </w:r>
    </w:p>
    <w:p w:rsidR="005728DD" w:rsidRDefault="005728DD" w:rsidP="005728DD">
      <w:pPr>
        <w:pStyle w:val="TextoNormal"/>
      </w:pPr>
    </w:p>
    <w:p w:rsidR="005728DD" w:rsidRDefault="005728DD" w:rsidP="005728DD">
      <w:pPr>
        <w:pStyle w:val="TextoNormal"/>
      </w:pPr>
      <w:r>
        <w:t>Acerca de este punto, con carácter ejemplificativo para la presente causa, declaramos también que no basta para acreditar la existencia de ese control judicial previo con que la resolución por la que se despacha la ejecución afirme, en sentido genérico y literalmente que “[l]a demanda ejecutiva cumple los requisitos establecidos en el artículo 685 LEC, y el título que se acompaña es susceptible de ejecución, conforme al artículo 517.1.4 de la misma ley, por lo que procede, en virtud de lo dispuesto en los artículos 681 y siguientes en concordancia con el artículo 551 LEC, dictar la presente orden general de ejecución y despacho de la misma a favor de la ejecutante frente al deudor, al haber acreditado aquel su condición de acreedor en el título ejecutivo presentado” (FJ 8).</w:t>
      </w:r>
    </w:p>
    <w:p w:rsidR="005728DD" w:rsidRDefault="005728DD" w:rsidP="005728DD">
      <w:pPr>
        <w:pStyle w:val="TextoNormal"/>
      </w:pPr>
    </w:p>
    <w:p w:rsidR="005728DD" w:rsidRDefault="005728DD" w:rsidP="005728DD">
      <w:pPr>
        <w:pStyle w:val="TextoNormal"/>
      </w:pPr>
      <w:r>
        <w:t xml:space="preserve">Aunque, como en aquel asunto, siguiendo las indicaciones del fiscal, “podría entenderse que el silencio sobre cada una de las cláusulas se producía precisamente como consecuencia del carácter adecuado de las mismas, […] no lo es menos que la motivación esgrimida por el órgano judicial en el auto despachando ejecución es insuficiente a los efectos de considerar que, sin género de dudas, se realizó dicho control, máxime cuando de dicha argumentación se va hacer depender el acceso a un pronunciamiento de fondo al que el órgano judicial, </w:t>
      </w:r>
      <w:r>
        <w:lastRenderedPageBreak/>
        <w:t>de acuerdo con el Derecho de la Unión, debe proceder de oficio de haber razones para ello” (FJ 8).</w:t>
      </w:r>
    </w:p>
    <w:p w:rsidR="005728DD" w:rsidRDefault="005728DD" w:rsidP="005728DD">
      <w:pPr>
        <w:pStyle w:val="TextoNormal"/>
      </w:pPr>
    </w:p>
    <w:p w:rsidR="005728DD" w:rsidRDefault="005728DD" w:rsidP="005728DD">
      <w:pPr>
        <w:pStyle w:val="TextoNormal"/>
      </w:pPr>
      <w:r>
        <w:t>Presente la relevancia constitucional de una adecuada y suficiente motivación de las resoluciones judiciales para el control de la actividad jurisdiccional y para mejorar las posibilidades de defensa de los ciudadanos (SSTC 209/1993, de 28 de junio, FJ 1, o 35/2002, de 11 de febrero, FJ 3), y su vinculación con los principios nucleares de un Estado de Derecho (STC 329/2006, de 20 de noviembre, FJ 7), la STC 31/2019 trajo a colación también la doctrina, según la cual “hemos declarado que ‘el canon constitucional de la motivación suficiente no se ve satisfecho mediante la simple exposición de una conclusión, fáctica o jurídica, sino que requiere un razonamiento o inferencia’ (STC 8/2014, de 27 de enero, FJ 4). Aún más, en este caso, cuando el artículo 51 CE impone a los poderes públicos en general la obligación de garantizar la defensa de los consumidores y usuarios” (FJ 8).</w:t>
      </w:r>
    </w:p>
    <w:p w:rsidR="005728DD" w:rsidRDefault="005728DD" w:rsidP="005728DD">
      <w:pPr>
        <w:pStyle w:val="TextoNormal"/>
      </w:pPr>
    </w:p>
    <w:p w:rsidR="005728DD" w:rsidRDefault="005728DD" w:rsidP="005728DD">
      <w:pPr>
        <w:pStyle w:val="TextoNormal"/>
      </w:pPr>
      <w:r>
        <w:t>Todo lo anterior nos llevó a concluir que el juzgado había vulnerado, “con su inmotivada contestación acerca de la existencia de un control de la cláusula previo a la denuncia” (FJ 8), el derecho fundamental a la tutela judicial efectiva (art. 24.1 CE) de la demandante de amparo, “pues ‘[m]al se puede realizar un control —ni siquiera externo— de lo que carece de un razonamiento expreso’ (STC 135/2017, de 27 de noviembre, FJ 4)” (FJ 8). La recurrente, pues, “se vio privada de un pronunciamiento de fondo sobre la eventual abusividad de la cláusula de vencimiento anticipado contenida en su contrato de préstamo hipotecario, al que el órgano judicial se encontraba obligado de acuerdo con la STJUE de 26 de enero de 2017” (FJ 8).</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constitucional al caso concreto</w:t>
      </w:r>
      <w:r>
        <w:t>.</w:t>
      </w:r>
    </w:p>
    <w:p w:rsidR="005728DD" w:rsidRDefault="005728DD" w:rsidP="005728DD">
      <w:pPr>
        <w:pStyle w:val="TextoNormal"/>
      </w:pPr>
    </w:p>
    <w:p w:rsidR="005728DD" w:rsidRDefault="005728DD" w:rsidP="005728DD">
      <w:pPr>
        <w:pStyle w:val="TextoNormal"/>
      </w:pPr>
      <w:r>
        <w:t xml:space="preserve">Una vez reflejado el parámetro al que debemos sujetarnos para dirimir la presente </w:t>
      </w:r>
      <w:r w:rsidRPr="005728DD">
        <w:rPr>
          <w:i/>
        </w:rPr>
        <w:t>litis</w:t>
      </w:r>
      <w:r>
        <w:t>, procede analizar la respuesta dada por el órgano judicial.</w:t>
      </w:r>
    </w:p>
    <w:p w:rsidR="005728DD" w:rsidRDefault="005728DD" w:rsidP="005728DD">
      <w:pPr>
        <w:pStyle w:val="TextoNormal"/>
      </w:pPr>
    </w:p>
    <w:p w:rsidR="005728DD" w:rsidRDefault="005728DD" w:rsidP="005728DD">
      <w:pPr>
        <w:pStyle w:val="TextoNormal"/>
      </w:pPr>
      <w:r>
        <w:t>Como queda expuesto en los antecedentes de esta resolución, el auto impugnado amplía el razonamiento, extremadamente breve, seguido en la providencia precedente para denegar la revisión de la cláusula de vencimiento anticipado del contrato de préstamo, donde el juzgado se limitaba a indicar que no había lugar a tramitar la solicitud por “extemporánea”. En esta segunda resolución se brindan dos clases de razones, que resumidamente son: la primera, “que ya se ha realizado el control y filtro del tribunal en su admisión a trámite”; y, la segunda, que “ha precluido el plazo de oposición en forma”.</w:t>
      </w:r>
    </w:p>
    <w:p w:rsidR="005728DD" w:rsidRDefault="005728DD" w:rsidP="005728DD">
      <w:pPr>
        <w:pStyle w:val="TextoNormal"/>
      </w:pPr>
    </w:p>
    <w:p w:rsidR="005728DD" w:rsidRDefault="005728DD" w:rsidP="005728DD">
      <w:pPr>
        <w:pStyle w:val="TextoNormal"/>
      </w:pPr>
      <w:r>
        <w:t>Ambas justificaciones encuentran respuesta en la STC 31/2019, cuyos fundamentos se han reproducido en el apartado precedente.</w:t>
      </w:r>
    </w:p>
    <w:p w:rsidR="005728DD" w:rsidRDefault="005728DD" w:rsidP="005728DD">
      <w:pPr>
        <w:pStyle w:val="TextoNormal"/>
      </w:pPr>
    </w:p>
    <w:p w:rsidR="005728DD" w:rsidRDefault="005728DD" w:rsidP="005728DD">
      <w:pPr>
        <w:pStyle w:val="TextoNormal"/>
      </w:pPr>
      <w:r>
        <w:t xml:space="preserve">Así, en lo que se refiere al primero de los motivos esgrimidos para rechazar el control de abusividad solicitado, proclamando que ya se había realizado “en su admisión a trámite”, hemos de situar esa actuación en las comprobaciones previas a la admisión de la demanda y al despacho de ejecución. Sin embargo, examinado el concreto auto de despacho, de 27 de noviembre de 2014, se constata que ninguna declaración se recoge en el mismo acerca de este extremo. Esto es, en esa resolución, el juzgado reconoce expresamente haber comprobado la concurrencia de los requisitos de capacidad, representación y postulación procesal, así como su jurisdicción y competencia, verificando, finalmente, que, “como requiere </w:t>
      </w:r>
      <w:r>
        <w:lastRenderedPageBreak/>
        <w:t>el artículo 685.2 LEC, el título que se presenta, se encuentra revestido de los requisitos que en dicha ley se exige para el despacho de la ejecución, por hallarse comprendido en el artículo 517.1.4 de la misma, cumpliendo la demanda las exigencias del artículo 549, acompañándose de los documentos a que se refiere el artículo 550, cumpliéndose los demás requisitos y presupuestos procesales previstos en el art. 551”. Sin embargo, no se contiene pronunciamiento alguno, tan siquiera genérico, relativo a las cláusulas del contrato de préstamo suscrito entre las partes.</w:t>
      </w:r>
    </w:p>
    <w:p w:rsidR="005728DD" w:rsidRDefault="005728DD" w:rsidP="005728DD">
      <w:pPr>
        <w:pStyle w:val="TextoNormal"/>
      </w:pPr>
    </w:p>
    <w:p w:rsidR="005728DD" w:rsidRDefault="005728DD" w:rsidP="005728DD">
      <w:pPr>
        <w:pStyle w:val="TextoNormal"/>
      </w:pPr>
      <w:r>
        <w:t>Pues bien, sostiene la STC 31/2019, semejante tipo de declaración no es suficiente para considerar “sin género de dudas” que se haya realizado tal revisión, por lo que no se puede entender cumplido dicho examen, “máxime cuando de dicha argumentación se va a hacer depender el acceso a un pronunciamiento de fondo al que el órgano judicial, de acuerdo con el Derecho de la Unión, debe proceder de oficio de haber razones para ello” (FJ 8). En tal sentido, la decisión judicial de excluir la necesidad de un examen de las cláusulas contractuales al que venía obligado el juzgado carece de suficiente motivación, vulnerando, de este modo, el derecho a la tutela judicial efectiva de los recurrentes.</w:t>
      </w:r>
    </w:p>
    <w:p w:rsidR="005728DD" w:rsidRDefault="005728DD" w:rsidP="005728DD">
      <w:pPr>
        <w:pStyle w:val="TextoNormal"/>
      </w:pPr>
    </w:p>
    <w:p w:rsidR="005728DD" w:rsidRDefault="005728DD" w:rsidP="005728DD">
      <w:pPr>
        <w:pStyle w:val="TextoNormal"/>
      </w:pPr>
      <w:r>
        <w:t>En cuanto a la segunda de las justificaciones, basada en la preclusión del plazo de oposición, resulta evidente su contravención del principio asentado por la doctrina de este tribunal (STC 31/2019) y de la jurisprudencia del Tribunal de Justicia de la Unión Europea, según la cual carece de relevancia el momento o el cauce procesal que se utilice para solicitar el control de las cláusulas contractuales que potencialmente pudieran resultar abusivas, siempre que el procedimiento aún se encuentre pendiente, incluso si la petición se produce tras haberse dictado una resolución con fuerza de cosa juzgada, con la única salvedad de que la cláusula denunciada hubiera sido ya examinada.</w:t>
      </w:r>
    </w:p>
    <w:p w:rsidR="005728DD" w:rsidRDefault="005728DD" w:rsidP="005728DD">
      <w:pPr>
        <w:pStyle w:val="TextoNormal"/>
      </w:pPr>
    </w:p>
    <w:p w:rsidR="005728DD" w:rsidRDefault="005728DD" w:rsidP="005728DD">
      <w:pPr>
        <w:pStyle w:val="TextoNormal"/>
      </w:pPr>
      <w:r>
        <w:t xml:space="preserve">En el caso sometido a la valoración de este tribunal, la cláusula de vencimiento anticipado no había sido controlada judicialmente y puesto que el procedimiento aún estaba en tramitación, dado que no se había consumado el lanzamiento de los ocupantes del inmueble, ni efectuado su definitivo archivo </w:t>
      </w:r>
      <w:r w:rsidRPr="005728DD">
        <w:rPr>
          <w:i/>
        </w:rPr>
        <w:t>ex</w:t>
      </w:r>
      <w:r>
        <w:t xml:space="preserve"> art. 570 LEC, no podemos aceptar que el plazo para denunciar la existencia de cláusulas abusivas estuviera precluido, solo porque la parte ejecutada no formulase oposición a la ejecución. Por ello, hemos de entender que la resolución impugnada vulneró el derecho a la tutela judicial efectiva (art. 24.1 CE).</w:t>
      </w:r>
    </w:p>
    <w:p w:rsidR="005728DD" w:rsidRDefault="005728DD" w:rsidP="005728DD">
      <w:pPr>
        <w:pStyle w:val="TextoNormal"/>
      </w:pPr>
    </w:p>
    <w:p w:rsidR="005728DD" w:rsidRDefault="005728DD" w:rsidP="005728DD">
      <w:pPr>
        <w:pStyle w:val="TextoNormal"/>
      </w:pPr>
      <w:r>
        <w:t>La ejecutante, además de la extemporaneidad de la solicitud de revisión formulada por el ejecutado, a la que ya hemos dado respuesta, expone un segundo motivo de la inaplicabilidad de esta doctrina al caso, al no ostentar ese último la condición de consumidor. Sin embargo, tal circunstancia ni sirve de fundamento a la decisión del órgano jurisdiccional, ni resulta acreditada debidamente por esta parte, con lo que procede su desestimación.</w:t>
      </w:r>
    </w:p>
    <w:p w:rsidR="005728DD" w:rsidRDefault="005728DD" w:rsidP="005728DD">
      <w:pPr>
        <w:pStyle w:val="TextoNormal"/>
      </w:pPr>
    </w:p>
    <w:p w:rsidR="005728DD" w:rsidRDefault="005728DD" w:rsidP="005728DD">
      <w:pPr>
        <w:pStyle w:val="TextoNormal"/>
      </w:pPr>
      <w:r>
        <w:t xml:space="preserve">En conclusión, hemos de declarar que la resolución impugnada ha lesionado el derecho a la tutela judicial efectiva sin indefensión del recurrente (art. 24.1 CE), tanto por la falta de motivación material de la misma, en cuanto a la justificación de que se había efectuado una revisión de oficio de todas las cláusulas del contrato de préstamo, como la decisión de no atender la revisión interesada por la recurrente por extemporaneidad infringieron el principio de primacía del Derecho de la Unión. Dicho de otro modo, parafraseando, una vez más, la STC 31/2019: “al prescindir por su propia, autónoma y exclusiva decisión, de la interpretación impuesta y señalada por el órgano competente para hacerlo con carácter vinculante”, </w:t>
      </w:r>
      <w:r>
        <w:lastRenderedPageBreak/>
        <w:t>incurrió “en una interpretación irrazonable y arbitraria de una norma aplicada al proceso” y “consiguientemente, vulneró, de este modo, el derecho la tutela judicial efectiva de la recurrente” (FJ 9).</w:t>
      </w:r>
    </w:p>
    <w:p w:rsidR="005728DD" w:rsidRDefault="005728DD" w:rsidP="005728DD">
      <w:pPr>
        <w:pStyle w:val="TextoNormal"/>
      </w:pPr>
    </w:p>
    <w:p w:rsidR="005728DD" w:rsidRDefault="005728DD" w:rsidP="005728DD">
      <w:pPr>
        <w:pStyle w:val="TextoNormal"/>
      </w:pPr>
      <w:r>
        <w:t>Por lo expuesto, procede estimar el presente recurso de amparo, con la consecuente declaración de nulidad del auto de 7 de noviembre de 2019, dictado por el Juzgado de Primera Instancia núm. 5 de Jaén, y acordar la retroacción de las actuaciones al momento previo al dictado de esa decisión, a fin de que, en congruencia con lo interesado en el recurso de reposición, el órgano judicial resuelva de manera respetuosa con el derecho fundamental vulnerado.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Juan Carlos Molinos Molinos y, en su virtud:</w:t>
      </w:r>
    </w:p>
    <w:p w:rsidR="005728DD" w:rsidRDefault="005728DD" w:rsidP="005728DD">
      <w:pPr>
        <w:pStyle w:val="TextoNormal"/>
      </w:pPr>
    </w:p>
    <w:p w:rsidR="005728DD" w:rsidRDefault="005728DD" w:rsidP="005728DD">
      <w:pPr>
        <w:pStyle w:val="TextoNormal"/>
      </w:pPr>
      <w:r>
        <w:t>1º Declarar que ha sido vulnerado el derecho fundamental del demandante de amparo a la tutela judicial efectiva sin indefensión.</w:t>
      </w:r>
    </w:p>
    <w:p w:rsidR="005728DD" w:rsidRDefault="005728DD" w:rsidP="005728DD">
      <w:pPr>
        <w:pStyle w:val="TextoNormal"/>
      </w:pPr>
    </w:p>
    <w:p w:rsidR="005728DD" w:rsidRDefault="005728DD" w:rsidP="005728DD">
      <w:pPr>
        <w:pStyle w:val="TextoNormal"/>
      </w:pPr>
      <w:r>
        <w:t>2º Restablecerlo en su derecho y, en consecuencia, declarar la nulidad del auto de 7 de noviembre de 2019, dictado por el Juzgado de Primera Instancia núm. 5 de Jaén en el procedimiento de ejecución de títulos judiciales núm. 1210-2014.</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 dicho auto, para que el órgano judicial dicte una nueva resolución que sea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Ricardo Enríquez Sancho a la sentencia dictada en el recurso de amparo núm. 63-2020</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63-2020, el cual a mi juicio debió ser desestimado.</w:t>
      </w:r>
    </w:p>
    <w:p w:rsidR="005728DD" w:rsidRDefault="005728DD" w:rsidP="005728DD">
      <w:pPr>
        <w:pStyle w:val="TextoNormal"/>
      </w:pPr>
    </w:p>
    <w:p w:rsidR="005728DD" w:rsidRDefault="005728DD" w:rsidP="005728DD">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5728DD" w:rsidRDefault="005728DD" w:rsidP="005728DD">
      <w:pPr>
        <w:pStyle w:val="TextoNormal"/>
      </w:pPr>
    </w:p>
    <w:p w:rsidR="005728DD" w:rsidRDefault="005728DD" w:rsidP="005728DD">
      <w:pPr>
        <w:pStyle w:val="TextoNormal"/>
      </w:pPr>
      <w:r>
        <w:t>Y en tal sentido emito mi voto particular.</w:t>
      </w:r>
    </w:p>
    <w:p w:rsidR="005728DD" w:rsidRDefault="005728DD" w:rsidP="005728DD">
      <w:pPr>
        <w:pStyle w:val="TextoNormal"/>
      </w:pPr>
    </w:p>
    <w:p w:rsidR="005728DD" w:rsidRDefault="005728DD" w:rsidP="005728DD">
      <w:pPr>
        <w:pStyle w:val="TextoNormal"/>
      </w:pPr>
      <w:r>
        <w:t>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5" w:name="SENTENCIA_2021_102"/>
      <w:r>
        <w:lastRenderedPageBreak/>
        <w:t>SENTENCIA 102/2021, de 10 de mayo de 2021</w:t>
      </w:r>
    </w:p>
    <w:bookmarkEnd w:id="105"/>
    <w:p w:rsidR="005728DD" w:rsidRDefault="005728DD" w:rsidP="005728DD">
      <w:pPr>
        <w:pStyle w:val="TtuloResolucin"/>
      </w:pPr>
      <w:r>
        <w:t>Sala Primera</w:t>
      </w:r>
    </w:p>
    <w:p w:rsidR="005728DD" w:rsidRDefault="005728DD" w:rsidP="005728DD">
      <w:pPr>
        <w:pStyle w:val="TtuloBOE"/>
      </w:pPr>
      <w:r>
        <w:t>(BOE núm. 142, de 15 de junio de 2021)</w:t>
      </w:r>
    </w:p>
    <w:p w:rsidR="005728DD" w:rsidRDefault="005728DD" w:rsidP="005728DD">
      <w:pPr>
        <w:pStyle w:val="TextoNormalCentrado"/>
      </w:pPr>
      <w:r>
        <w:t>ECLI:ES:TC:2021:102</w:t>
      </w:r>
    </w:p>
    <w:p w:rsidR="005728DD" w:rsidRDefault="005728DD" w:rsidP="005728DD">
      <w:pPr>
        <w:pStyle w:val="TextoNormalCentrado"/>
      </w:pPr>
    </w:p>
    <w:p w:rsidR="005728DD" w:rsidRDefault="005728DD" w:rsidP="005728DD">
      <w:pPr>
        <w:pStyle w:val="SntesisDescriptiva"/>
      </w:pPr>
      <w:r>
        <w:t>Recurso de amparo 501-2020. Promovido por don Jesús Manuel Escalonilla Díaz y doña Ana Teresa Torres Liñán respecto de las resoluciones dictadas por un juzgado de primera instancia de Madrid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w:t>
      </w:r>
    </w:p>
    <w:p w:rsidR="005728DD" w:rsidRDefault="005728DD" w:rsidP="005728DD">
      <w:pPr>
        <w:pStyle w:val="SntesisAnaltica"/>
      </w:pPr>
    </w:p>
    <w:p w:rsidR="005728DD" w:rsidRDefault="005728DD" w:rsidP="005728DD">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3, 4].</w:t>
      </w:r>
    </w:p>
    <w:p w:rsidR="005728DD" w:rsidRDefault="005728DD" w:rsidP="005728DD">
      <w:pPr>
        <w:pStyle w:val="Extracto"/>
      </w:pPr>
    </w:p>
    <w:p w:rsidR="005728DD" w:rsidRDefault="005728DD" w:rsidP="005728DD">
      <w:pPr>
        <w:pStyle w:val="Extracto"/>
      </w:pPr>
      <w:r>
        <w:t>2.</w:t>
      </w:r>
      <w:r>
        <w:tab/>
        <w:t xml:space="preserve">Aplicación de la Directiva 93/13/CEE, del Consejo, de 5 de abril, sobre cláusulas abusivas en los contratos celebrados con consumidores, y de la STJUE de 26 de enero de 2017, Asunto </w:t>
      </w:r>
      <w:r w:rsidRPr="005728DD">
        <w:rPr>
          <w:i/>
        </w:rPr>
        <w:t>Banco Primus, S.A. v. Jesús Gutiérrez García</w:t>
      </w:r>
      <w:r>
        <w:t xml:space="preserve"> (asunto C-421/14), que instan a los órganos judiciales al control del carácter abusivo del clausulado de un contrato de préstamo con garantía hipotecaria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501-2020, promovido por don Jesús Manuel Escalonilla Díaz y doña Ana Teresa Torres Liñán, representados por la procuradora de los tribunales doña Olga Muñoz González y asistidos por el letrado don Óscar Bueno Martínez, contra el auto de 26 de septiembre de 2019, que desestimó la solicitud de revisión de cláusulas abusivas, y contra la providencia de 12 de diciembre de 2019, que inadmitió el incidente de nulidad de actuaciones, ambas resoluciones dictadas por el Juzgado de Primera Instancia </w:t>
      </w:r>
      <w:r>
        <w:lastRenderedPageBreak/>
        <w:t>núm. 31 de Madrid, en el procedimiento de ejecución hipotecaria núm. 24-2016. Ha sido parte la entidad Banco Santander, S.A., representada por el procurador de los tribunales don Javier Hernández Berrocal, y asistida por el letrado don Borja Fraguas Cánovas.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24 de enero de 2020, la procuradora de los tribunales doña Olga Muñoz González, en nombre y representación de don Jesús Manuel Escalonilla Díaz y de doña Ana Teresa Torres Liñán, interpuso recurso de amparo contra las resoluciones mencionadas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que se desprenden de la demanda de amparo y de las actuaciones que la acompañan, son los siguientes:</w:t>
      </w:r>
    </w:p>
    <w:p w:rsidR="005728DD" w:rsidRDefault="005728DD" w:rsidP="005728DD">
      <w:pPr>
        <w:pStyle w:val="TextoNormal"/>
      </w:pPr>
    </w:p>
    <w:p w:rsidR="005728DD" w:rsidRDefault="005728DD" w:rsidP="005728DD">
      <w:pPr>
        <w:pStyle w:val="TextoNormal"/>
      </w:pPr>
      <w:r>
        <w:t xml:space="preserve">a) La entidad financiera Banco Santander, S.A., presentó, el día 9 de diciembre de 2015, demanda de ejecución hipotecaria contra don Jesús Manuel Escalonilla Díaz y doña Ana Teresa Torres Liñán, como deudores, por el impago de sus obligaciones derivadas de un crédito hipotecario concedido en contrato ante notario, de fecha 22 de marzo de 2005, que después fue objeto de novación y ampliación, con base en la cláusula sexta </w:t>
      </w:r>
      <w:r w:rsidRPr="005728DD">
        <w:rPr>
          <w:i/>
        </w:rPr>
        <w:t>bis</w:t>
      </w:r>
      <w:r>
        <w:t xml:space="preserve"> del contrato de préstamo relativa a su vencimiento anticipado, donde se contempla la posibilidad de resolver el contrato por falta de pago de alguno de los plazos convenidos. La demanda fue turnada al Juzgado de Primera Instancia núm. 31 de Madrid.</w:t>
      </w:r>
    </w:p>
    <w:p w:rsidR="005728DD" w:rsidRDefault="005728DD" w:rsidP="005728DD">
      <w:pPr>
        <w:pStyle w:val="TextoNormal"/>
      </w:pPr>
    </w:p>
    <w:p w:rsidR="005728DD" w:rsidRDefault="005728DD" w:rsidP="005728DD">
      <w:pPr>
        <w:pStyle w:val="TextoNormal"/>
      </w:pPr>
      <w:r>
        <w:t>Tras dar audiencia a la parte ejecutante, el juzgado, mediante auto de 7 de junio de 2016, declaró nula la cláusula sexta de la escritura de préstamo, relativa a los intereses de demora.</w:t>
      </w:r>
    </w:p>
    <w:p w:rsidR="005728DD" w:rsidRDefault="005728DD" w:rsidP="005728DD">
      <w:pPr>
        <w:pStyle w:val="TextoNormal"/>
      </w:pPr>
    </w:p>
    <w:p w:rsidR="005728DD" w:rsidRDefault="005728DD" w:rsidP="005728DD">
      <w:pPr>
        <w:pStyle w:val="TextoNormal"/>
      </w:pPr>
      <w:r>
        <w:t>b) Con fecha de 1 de septiembre de 2016 se dictó auto despachando ejecución, siguiendo su curso el procedimiento hasta que se declaró concluida la subasta el día 5 de octubre de 2018.</w:t>
      </w:r>
    </w:p>
    <w:p w:rsidR="005728DD" w:rsidRDefault="005728DD" w:rsidP="005728DD">
      <w:pPr>
        <w:pStyle w:val="TextoNormal"/>
      </w:pPr>
    </w:p>
    <w:p w:rsidR="005728DD" w:rsidRDefault="005728DD" w:rsidP="005728DD">
      <w:pPr>
        <w:pStyle w:val="TextoNormal"/>
      </w:pPr>
      <w:r>
        <w:t xml:space="preserve">c) Los ahora recurrentes formularon por escrito de 15 de abril de 2019 petición de revisión de las cláusulas del contrato de préstamo 6 a), relativa al valor de tasación de la finca hipotecada, y 6 </w:t>
      </w:r>
      <w:r w:rsidRPr="005728DD">
        <w:rPr>
          <w:i/>
        </w:rPr>
        <w:t>bis</w:t>
      </w:r>
      <w:r>
        <w:t>, concerniente al vencimiento anticipado por incumplimiento, por su posible carácter abusivo, con fundamento en la doctrina jurisprudencial emanada del Tribunal de Justicia de la Unión Europea, en concreto, la contenida en la sentencia de 26 de enero de 2017, así como de este tribunal, la STC 31/2019, de 28 de febrero.</w:t>
      </w:r>
    </w:p>
    <w:p w:rsidR="005728DD" w:rsidRDefault="005728DD" w:rsidP="005728DD">
      <w:pPr>
        <w:pStyle w:val="TextoNormal"/>
      </w:pPr>
    </w:p>
    <w:p w:rsidR="005728DD" w:rsidRDefault="005728DD" w:rsidP="005728DD">
      <w:pPr>
        <w:pStyle w:val="TextoNormal"/>
      </w:pPr>
      <w:r>
        <w:t>Por providencia de 10 de septiembre de 2019 se declaró que no había lugar a la revisión del valor de tasación de la finca hipotecada al no haberse formulado oposición a la ejecución y haberse celebrado la subasta del bien, conforme a las condiciones fijadas en el correspondiente decreto y diligencia de ordenación, resoluciones firmes, al no haber sido recurridas.</w:t>
      </w:r>
    </w:p>
    <w:p w:rsidR="005728DD" w:rsidRDefault="005728DD" w:rsidP="005728DD">
      <w:pPr>
        <w:pStyle w:val="TextoNormal"/>
      </w:pPr>
    </w:p>
    <w:p w:rsidR="005728DD" w:rsidRDefault="005728DD" w:rsidP="005728DD">
      <w:pPr>
        <w:pStyle w:val="TextoNormal"/>
      </w:pPr>
      <w:r>
        <w:t xml:space="preserve">Previo traslado de la solicitud de nulidad ligada a la cláusula de vencimiento anticipado a la parte ejecutante, quien se opuso, el juzgado desestimó dicha petición por auto de 26 de septiembre de 2019. El órgano jurisdiccional razonó al respecto que, antes del despacho de </w:t>
      </w:r>
      <w:r>
        <w:lastRenderedPageBreak/>
        <w:t>ejecución, se procedió expresamente a la revisión de oficio de las cláusulas del título ejecutivo, no habiéndose planteado oposición a la ejecución por la existencia de cláusulas abusivas en el plazo conferido para ello.</w:t>
      </w:r>
    </w:p>
    <w:p w:rsidR="005728DD" w:rsidRDefault="005728DD" w:rsidP="005728DD">
      <w:pPr>
        <w:pStyle w:val="TextoNormal"/>
      </w:pPr>
    </w:p>
    <w:p w:rsidR="005728DD" w:rsidRDefault="005728DD" w:rsidP="005728DD">
      <w:pPr>
        <w:pStyle w:val="TextoNormal"/>
      </w:pPr>
      <w:r>
        <w:t xml:space="preserve">d) A través de un nuevo escrito, presentado el 10 de octubre de 2019, los ejecutados reiteraron su petición de revisión de la cláusula 6 </w:t>
      </w:r>
      <w:r w:rsidRPr="005728DD">
        <w:rPr>
          <w:i/>
        </w:rPr>
        <w:t>bis</w:t>
      </w:r>
      <w:r>
        <w:t xml:space="preserve"> de vencimiento anticipado y, subsidiariamente, formularon incidente excepcional de nulidad de actuaciones en relación con el auto de 7 de junio de 2016. El incidente fue inadmitido por providencia de 12 de diciembre de 2019. En cuanto a la primera solicitud, el juzgado contestó que la petición de revisión ya había sido resuelta en la providencia de 10 de septiembre de 2019 y en el auto de 29 de septiembre de 2019. Respecto a la nulidad del auto de 7 de junio de 2016, el órgano jurisdiccional consideró que la solicitud se había formulado manifiestamente fuera de plazo.</w:t>
      </w:r>
    </w:p>
    <w:p w:rsidR="005728DD" w:rsidRDefault="005728DD" w:rsidP="005728DD">
      <w:pPr>
        <w:pStyle w:val="TextoNormal"/>
      </w:pPr>
    </w:p>
    <w:p w:rsidR="005728DD" w:rsidRDefault="005728DD" w:rsidP="005728DD">
      <w:pPr>
        <w:pStyle w:val="TextoNormal"/>
      </w:pPr>
      <w:r w:rsidRPr="005728DD">
        <w:rPr>
          <w:rStyle w:val="NumeroAFNegritaCaracter"/>
        </w:rPr>
        <w:t>3</w:t>
      </w:r>
      <w:r>
        <w:t>. Los recurrentes invocan la vulneración del derecho a la tutela judicial efectiva (art. 24.1 CE), en su vertiente del derecho de acceso a la justicia y a la motivación de las resoluciones judiciales, en relación con el principio de interdicción de la arbitrariedad (art. 9.1 y 3 CE), el derecho a una vivienda digna (art. 47 CE), el principio de primacía del Derecho de la Unión (arts. 10.2 y 96.1 CE) y la especial protección de consumidores y usuarios (art. 51.1 CE).</w:t>
      </w:r>
    </w:p>
    <w:p w:rsidR="005728DD" w:rsidRDefault="005728DD" w:rsidP="005728DD">
      <w:pPr>
        <w:pStyle w:val="TextoNormal"/>
      </w:pPr>
    </w:p>
    <w:p w:rsidR="005728DD" w:rsidRDefault="005728DD" w:rsidP="005728DD">
      <w:pPr>
        <w:pStyle w:val="TextoNormal"/>
      </w:pPr>
      <w:r>
        <w:t>Consideran que el origen de la violación del derecho a la tutela judicial efectiva se encuentra en que el juzgador en ningún momento llevó a cabo el control de abusividad de la cláusula de vencimiento anticipado denunciada, al que venía obligado, no constando en el auto de 7 de junio de 2016 pronunciamiento alguno acerca de esa cuestión o sobre otras cláusulas que no fuera la cláusula sexta de la escritura de préstamo, relativa a los intereses de demora. Niegan, a la postre, que esa resolución determine la aplicación del efecto de cosa juzgada sobre la cuestión relativa al susodicho vencimiento anticipado, pues en la resolución mencionada nada se dice sobre esa cláusula ni a favor de su validez ni en contra de la misma.</w:t>
      </w:r>
    </w:p>
    <w:p w:rsidR="005728DD" w:rsidRDefault="005728DD" w:rsidP="005728DD">
      <w:pPr>
        <w:pStyle w:val="TextoNormal"/>
      </w:pPr>
    </w:p>
    <w:p w:rsidR="005728DD" w:rsidRDefault="005728DD" w:rsidP="005728DD">
      <w:pPr>
        <w:pStyle w:val="TextoNormal"/>
      </w:pPr>
      <w:r>
        <w:t xml:space="preserve">En la demanda se indica que la vulneración conlleva asimismo la inobservancia de lo dispuesto en los artículos 10.2 y 96.1 CE, al no respetar la primacía del Derecho de la Unión, pues resuelve omitiendo su aplicación. En concreto, el comportamiento del juzgado, a juicio de los recurrentes, es contrario a la interpretación de la Directiva 93/13 efectuada por el Tribunal de Justicia de la Unión Europea en la sentencia de 26 de enero de 2017, asunto </w:t>
      </w:r>
      <w:r w:rsidRPr="005728DD">
        <w:rPr>
          <w:i/>
        </w:rPr>
        <w:t>Banco Primus, S.A. c. Jesús Gutiérrez García</w:t>
      </w:r>
      <w:r>
        <w:t xml:space="preserve">, cuestión sobre la que se manifestó el Tribunal Constitucional en la STC 31/2019, de 28 de febrero. Asimismo, se entiende vulnerada la especial protección de consumidores y usuarios </w:t>
      </w:r>
      <w:r w:rsidRPr="005728DD">
        <w:rPr>
          <w:i/>
        </w:rPr>
        <w:t>ex</w:t>
      </w:r>
      <w:r>
        <w:t xml:space="preserve"> art. 51.1 CE, que deben prestar los órganos jurisdiccionales, y el derecho a una vivienda digna, del art. 47 CE, toda vez que la eventual declaración de nulidad de la cláusula cuestionada “podría suponer el archivo de las actuaciones y la posibilidad de buscar una solución que suponga mantener la propiedad y la posesión de la vivienda”.</w:t>
      </w:r>
    </w:p>
    <w:p w:rsidR="005728DD" w:rsidRDefault="005728DD" w:rsidP="005728DD">
      <w:pPr>
        <w:pStyle w:val="TextoNormal"/>
      </w:pPr>
    </w:p>
    <w:p w:rsidR="005728DD" w:rsidRDefault="005728DD" w:rsidP="005728DD">
      <w:pPr>
        <w:pStyle w:val="TextoNormal"/>
      </w:pPr>
      <w:r>
        <w:t>La demanda termina solicitando que se declare la nulidad de la providencia de 12 de diciembre de 2019, así como del auto de 26 de septiembre de 2019, retrotrayendo las actuaciones al momento inmediatamente anterior al dictado de esas resoluciones, para que el órgano judicial resuelva con pleno respeto de los derechos fundamentales vulnerados.</w:t>
      </w:r>
    </w:p>
    <w:p w:rsidR="005728DD" w:rsidRDefault="005728DD" w:rsidP="005728DD">
      <w:pPr>
        <w:pStyle w:val="TextoNormal"/>
      </w:pPr>
    </w:p>
    <w:p w:rsidR="005728DD" w:rsidRDefault="005728DD" w:rsidP="005728DD">
      <w:pPr>
        <w:pStyle w:val="TextoNormal"/>
      </w:pPr>
      <w:r>
        <w:lastRenderedPageBreak/>
        <w:t>Mediante segundo otrosí, se interesa la suspensión de las actuaciones en el procedimiento de ejecución, al objeto de evitar la posibilidad de que se produzca la adjudicación del inmueble afectado con carácter irreivindicable.</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19 de octubre de 2020, la Sala Primera de este tribunal acordó admitir a trámite el recurso de amparo apreciando que concurría en el mismo especial trascendencia constitucional [art. 50.1 de la Ley Orgánica del Tribunal Constitucional (LOTC)] porque el asunto suscitado trasciende el caso concreto al plantear una cuestión jurídica de relevante y general repercusión social o económica [STC 155/2009, FJ 2 g)]; así como dirigir atenta comunicación al órgano judicial interviniente, a fin de que, en el plazo de diez días, remitiera certificación o fotocopia adverada de las actuaciones correspondientes al procedimiento de ejecución hipotecaria núm. 24-2016, previo emplazamiento de quienes hubieran sido parte en el proceso del que trae causa el presente recurso, excepto la parte recurrente en amparo, para que pudieran comparecer en estas actuaciones, si así lo desearan.</w:t>
      </w:r>
    </w:p>
    <w:p w:rsidR="005728DD" w:rsidRDefault="005728DD" w:rsidP="005728DD">
      <w:pPr>
        <w:pStyle w:val="TextoNormal"/>
      </w:pPr>
    </w:p>
    <w:p w:rsidR="005728DD" w:rsidRDefault="005728DD" w:rsidP="005728DD">
      <w:pPr>
        <w:pStyle w:val="TextoNormal"/>
      </w:pPr>
      <w:r w:rsidRPr="005728DD">
        <w:rPr>
          <w:rStyle w:val="NumeroAFNegritaCaracter"/>
        </w:rPr>
        <w:t>5</w:t>
      </w:r>
      <w:r>
        <w:t>. Por providencia de la misma fecha, la Sala acordó formar con el testimonio del recurso de amparo la pieza separada de suspensión y, conforme a lo dispuesto en el art. 56 LOTC, concedió un plazo común de tres días a la parte solicitante de amparo y al Ministerio Fiscal para que alegaran lo que estimasen pertinente sobre la petición de suspensión interesada. En virtud del ATC 164/2020, de 14 de diciembre, la Sala denegó la suspensión cautelar solicitada del procedimiento de ejecución hipotecaria núm. 24-2016, acordando, no obstante,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presentado el 25 de noviembre de 2020, se personó en las actuaciones el procurador de los tribunales don Javier Hernández Berrocal, en nombre y representación de la entidad ejecutante, Banco Santander, S.A.</w:t>
      </w:r>
    </w:p>
    <w:p w:rsidR="005728DD" w:rsidRDefault="005728DD" w:rsidP="005728DD">
      <w:pPr>
        <w:pStyle w:val="TextoNormal"/>
      </w:pPr>
    </w:p>
    <w:p w:rsidR="005728DD" w:rsidRDefault="005728DD" w:rsidP="005728DD">
      <w:pPr>
        <w:pStyle w:val="TextoNormal"/>
      </w:pPr>
      <w:r w:rsidRPr="005728DD">
        <w:rPr>
          <w:rStyle w:val="NumeroAFNegritaCaracter"/>
        </w:rPr>
        <w:t>7</w:t>
      </w:r>
      <w:r>
        <w:t>. Por diligencia de ordenación de 17 de diciembre de 2020, de la secretaría de justicia de la Sala Primera de este tribunal, se tuvieron por recibidos los testimonios de las actuaciones remitidos por el Juzgado de Primera Instancia núm. 31 de Madrid, y por personado y parte al Banco Santander, S.A. Asimismo, de conformidad con lo establecido en el art. 52.1 LOTC, se acordó dar vista de las actuaciones a las partes personadas y al Ministerio Fiscal, por plazo común de veinte días, para que pudieran presentar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8</w:t>
      </w:r>
      <w:r>
        <w:t>. Por escrito registrado el 26 de enero de 2021, la representación del Banco Santander, S.A., formuló oposición al recurso de amparo, alegando que estaba acreditada la existencia de una revisión de oficio de todas las posibles cláusulas abusivas antes de que se hubiera despachado la ejecución, que fue resuelta en el auto de 7 de junio de 2016, sin que se planteara entonces oposición a la ejecución por ese motivo, con lo que se distingue del supuesto de hecho contemplado en la STC 31/2019, de 28 de febrero; negándose a apreciar, a la postre, la vulneración denunciada.</w:t>
      </w:r>
    </w:p>
    <w:p w:rsidR="005728DD" w:rsidRDefault="005728DD" w:rsidP="005728DD">
      <w:pPr>
        <w:pStyle w:val="TextoNormal"/>
      </w:pPr>
    </w:p>
    <w:p w:rsidR="005728DD" w:rsidRDefault="005728DD" w:rsidP="005728DD">
      <w:pPr>
        <w:pStyle w:val="TextoNormal"/>
      </w:pPr>
      <w:r w:rsidRPr="005728DD">
        <w:rPr>
          <w:rStyle w:val="NumeroAFNegritaCaracter"/>
        </w:rPr>
        <w:t>9</w:t>
      </w:r>
      <w:r>
        <w:t>. El Ministerio Fiscal presentó su escrito de alegaciones en fecha 10 de febrero de 2021, en el que solicitó el otorgamiento del amparo a los demandantes. Tras compendiar los acon</w:t>
      </w:r>
      <w:r>
        <w:lastRenderedPageBreak/>
        <w:t>tecimientos procesales que consideró de interés al caso y concretar los aspectos más relevantes de la pretensión de la parte demandante, señaló que el objeto del presente recurso consiste en dilucidar si el juez ha vulnerado el derecho a la tutela judicial efectiva de los recurrentes (art. 24.1 CE), incurriendo en una errónea motivación al desconocer lo dispuesto en la Directiva 93/13, así como la doctrina del Tribunal de Justicia de la Unión Europea en materia de revisión de las cláusulas abusivas de los contratos hipotecarios contenida en la STJUE de 26 de enero de 2017, y la doctrina constitucional aplicable, tal y como se desprende de la STC 31/2019, de 28 de febrero. A renglón seguido sostuvo que la mención del derecho a una vivienda digna (art. 47 CE) y la defensa de los consumidores y usuarios (art. 51.1 CE), no supone una infracción autónoma “ya que no son portadores de un derecho fundamental, pero además es que el recurso sólo los trae a colación para reforzar sus argumentos sobre la vulneración principal del art. 24.1 CE”.</w:t>
      </w:r>
    </w:p>
    <w:p w:rsidR="005728DD" w:rsidRDefault="005728DD" w:rsidP="005728DD">
      <w:pPr>
        <w:pStyle w:val="TextoNormal"/>
      </w:pPr>
    </w:p>
    <w:p w:rsidR="005728DD" w:rsidRDefault="005728DD" w:rsidP="005728DD">
      <w:pPr>
        <w:pStyle w:val="TextoNormal"/>
      </w:pPr>
      <w:r>
        <w:t>Tras esa acotación, el fiscal pone de manifiesto su voluntad de limitarse a exponer el contenido de la STC 31/2019, “que a su vez supone la consagración de la doctrina emanada de la STJUE de 26 de enero de 2017”, verificando su aplicabilidad a las circunstancias del presente caso, para determinar si procede apoyar el amparo solicitado u oponerse a él.</w:t>
      </w:r>
    </w:p>
    <w:p w:rsidR="005728DD" w:rsidRDefault="005728DD" w:rsidP="005728DD">
      <w:pPr>
        <w:pStyle w:val="TextoNormal"/>
      </w:pPr>
    </w:p>
    <w:p w:rsidR="005728DD" w:rsidRDefault="005728DD" w:rsidP="005728DD">
      <w:pPr>
        <w:pStyle w:val="TextoNormal"/>
      </w:pPr>
      <w:r>
        <w:t xml:space="preserve">Entre los diversas cuestiones abordadas en la sentencia de este tribunal, en primer lugar, el fiscal destaca la obligación del órgano jurisdiccional de revisar </w:t>
      </w:r>
      <w:r w:rsidRPr="005728DD">
        <w:rPr>
          <w:i/>
        </w:rPr>
        <w:t>ex oficio</w:t>
      </w:r>
      <w:r>
        <w:t xml:space="preserve"> o a instancia de parte la posible abusividad de las cláusulas contractuales en el marco de la conocida como contratación en masa entre los consumidores y usuarios, de un lado, y los empresarios y profesionales, de otro; una obligación que se desprende de la STJUE de 26 de enero de 2017, objeto de debate en estas actuaciones. A continuación, se hace eco de la doctrina también expuesta en la STC 31/2019, según la cual, a efectos de hacer valer esa obligación, “no es determinante el momento en que se plantea la posible cuestión, como tampoco lo es el cauce procesal que se elija, o el </w:t>
      </w:r>
      <w:r w:rsidRPr="005728DD">
        <w:rPr>
          <w:i/>
        </w:rPr>
        <w:t>nomen iuris</w:t>
      </w:r>
      <w:r>
        <w:t xml:space="preserve"> del instrumento procesal, ya sea un incidente de nulidad u otra forma de recurso, porque el Tribunal de Justicia de la Unión Europea equipara esta doctrina a las normas de orden público de los sistemas jurídicos nacionales”, con lo que al rechazar la posible revisión por no haberse solicitado en la oposición a la ejecución, como se hace en el auto de 16 de septiembre de 2019, y se reitera en la providencia de 12 de diciembre de 2019, se estaría vulnerando esa doctrina. Y, finalmente, en lo que se refiere al hecho de que el control de las cláusulas abusivas se hubiera llevado a cabo de oficio, en el auto de 7 de junio de 2016, antes de despachar ejecución, como se afirma en la resolución impugnada, lo que satisfaría la doctrina constitucional, también es rechazado por el fiscal, pues la resolución de 2016 tan sólo hace mención de la cláusula sexta, relativa a los intereses moratorios, y a ninguna otra, sin que se contenga pronunciamiento en relación con el resto, “[n]i siquiera el juzgador concluyó, con una fórmula genérica, que el resto de las cláusulas no serían abusivas, tal como supone el auto recurrido al decir que ya se realizó un control porque dicho control se ciñó a un solo pacto, y no al resto”.</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El presente recurso tiene por objeto el auto de 26 de septiembre de 2019, que desestimó la solicitud de revisión de cláusulas abusivas formulada por los actores, y la providencia de 12 de diciembre de 2019, que inadmitió una nueva petición de revisión de cláusulas abusivas, así como el incidente de nulidad de actuaciones formulado subsidiariamente, resoluciones ambas dictadas por el Juzgado de Primera Instancia núm. 31 de Madrid en el procedimiento de ejecución hipotecaria núm. 24-2016.</w:t>
      </w:r>
    </w:p>
    <w:p w:rsidR="005728DD" w:rsidRDefault="005728DD" w:rsidP="005728DD">
      <w:pPr>
        <w:pStyle w:val="TextoNormal"/>
      </w:pPr>
    </w:p>
    <w:p w:rsidR="005728DD" w:rsidRDefault="005728DD" w:rsidP="005728DD">
      <w:pPr>
        <w:pStyle w:val="TextoNormal"/>
      </w:pPr>
      <w:r>
        <w:t>Los demandantes de amparo atribuyen a esas resoluciones la vulneración del derecho a la tutela judicial efectiva (art. 24.1 CE), en su vertiente del derecho de acceso a la justicia y a la motivación de las resoluciones judiciales, en relación con el principio de interdicción de la arbitrariedad (art. 9.1 y 3 CE), el derecho a una vivienda digna (art. 47 CE), el principio de primacía del Derecho comunitario (arts. 10.2 y 96.1 CE) y la especial protección de consumidores y usuarios (art. 51.1 CE), cuyo fundamento se encontraría en la omisión del control de abusividad de la cláusula de vencimiento anticipado del contrato de préstamo suscrito entre el ejecutante y los ejecutados, al que venía obligado el órgano jurisdiccional y que le fue solicitado por esos últimos.</w:t>
      </w:r>
    </w:p>
    <w:p w:rsidR="005728DD" w:rsidRDefault="005728DD" w:rsidP="005728DD">
      <w:pPr>
        <w:pStyle w:val="TextoNormal"/>
      </w:pPr>
    </w:p>
    <w:p w:rsidR="005728DD" w:rsidRDefault="005728DD" w:rsidP="005728DD">
      <w:pPr>
        <w:pStyle w:val="TextoNormal"/>
      </w:pPr>
      <w:r>
        <w:t xml:space="preserve">La entidad ejecutante se opone a la pretensión de los demandantes, sosteniendo que ha tenido lugar en el procedimiento </w:t>
      </w:r>
      <w:r w:rsidRPr="005728DD">
        <w:rPr>
          <w:i/>
        </w:rPr>
        <w:t>a quo</w:t>
      </w:r>
      <w:r>
        <w:t xml:space="preserve"> la realización de ese control de abusividad, que habría sido efectuado de oficio por el juzgado. Por su parte, el fiscal, con fundamento en la argumentación recogida en los antecedentes de esta sentencia, solicita la 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contenido y alcance de nuestro enjuiciamiento</w:t>
      </w:r>
      <w:r>
        <w:t>.</w:t>
      </w:r>
    </w:p>
    <w:p w:rsidR="005728DD" w:rsidRDefault="005728DD" w:rsidP="005728DD">
      <w:pPr>
        <w:pStyle w:val="TextoNormal"/>
      </w:pPr>
    </w:p>
    <w:p w:rsidR="005728DD" w:rsidRDefault="005728DD" w:rsidP="005728DD">
      <w:pPr>
        <w:pStyle w:val="TextoNormal"/>
      </w:pPr>
      <w:r>
        <w:t xml:space="preserve">Con carácter previo, se ha de precisar que la alegada infracción del principio de interdicción de la arbitrariedad (art. 9.1 y 3 CE), del derecho a una vivienda digna (art. 47 CE), del principio de primacía del Derecho comunitario (arts. 10.2 y 96.1 CE) y de la especial protección de consumidores y usuarios (art. 51.1 CE), no pueden ser objeto del presente proceso, pues no se encuentran entre los derechos que pueden ser protegidos por la vía excepcional y subsidiaria del recurso de amparo, como claramente se desprende del art. 53.2, en relación con el art. 161.1 b) y del art. 41.1 de la Ley Orgánica del Tribunal Constitucional (LOTC), que queda restringida a los derechos y libertades contenidos en los arts. 14 a 29 CE, a los que se ha de unir el derecho a la objeción de conciencia consagrado en el art. 30 CE (SSTC 59/1994, de 28 de febrero, FJ 1, y 140/1995, de 28 de septiembre, FJ 2, entre otras), de manera que “la única medida de enjuiciamiento aplicable, tanto en este proceso constitucional de amparo como en el proceso preferente y sumario seguido ante los tribunales ordinarios </w:t>
      </w:r>
      <w:r w:rsidRPr="005728DD">
        <w:rPr>
          <w:i/>
        </w:rPr>
        <w:t>ex</w:t>
      </w:r>
      <w:r>
        <w:t xml:space="preserve"> art. 53.2 CE, es la integrada por los preceptos de la Constitución Española que reconocen aquellos derechos fundamentales y libertades públicas” [STC 64/1991, de 22 de marzo, FJ 4 a)]. En todo caso, a la vista del desarrollo argumental contenido en la demanda, cabe entender que la invocación de tales preceptos no constituye una vulneración autónoma de la relativa al derecho a la tutela judicial efectiva, sino que su invocación sirven tan solo para reforzar los argumentos expuestos como fundamento de esa última contravención.</w:t>
      </w:r>
    </w:p>
    <w:p w:rsidR="005728DD" w:rsidRDefault="005728DD" w:rsidP="005728DD">
      <w:pPr>
        <w:pStyle w:val="TextoNormal"/>
      </w:pPr>
    </w:p>
    <w:p w:rsidR="005728DD" w:rsidRDefault="005728DD" w:rsidP="005728DD">
      <w:pPr>
        <w:pStyle w:val="TextoNormal"/>
      </w:pPr>
      <w:r>
        <w:lastRenderedPageBreak/>
        <w:t>Una vez expuestas las posiciones de los intervinientes en el presente recurso, procede fijar, a continuación, el alcance y contenido de nuestra respuesta, que en ningún caso pretende dirimir si la cláusula contractual identificada por los recurrentes, relativa al vencimiento anticipado del préstamo, tiene o no carácter abusivo, pues esa cuestión se incardina con claridad dentro de los límites de la legalidad infra constitucional y, en consecuencia, su conocimiento corresponde a la jurisdicción ordinaria (STC 140/2020, de 6 de octubre, FJ 2). Nuestro cometido será determinar si la negativa del órgano judicial a pronunciarse sobre el carácter abusivo de la cláusula aludida, so pretexto de la extemporaneidad de esa petición y de que el control de abusividad de las cláusulas del contrato de préstamo se había efectuado de oficio, vulnera o no el derecho a la tutela judicial efectiva sin indefensión (art. 24.1 CE), por su eventual contradicción con la doctrina de este tribunal.</w:t>
      </w:r>
    </w:p>
    <w:p w:rsidR="005728DD" w:rsidRDefault="005728DD" w:rsidP="005728DD">
      <w:pPr>
        <w:pStyle w:val="TextoNormal"/>
      </w:pPr>
    </w:p>
    <w:p w:rsidR="005728DD" w:rsidRDefault="005728DD" w:rsidP="005728DD">
      <w:pPr>
        <w:pStyle w:val="TextoNormal"/>
      </w:pPr>
      <w:r>
        <w:t>Al ser este el planteamiento, el primer paso obligado será el de recordar la doctrina asentada por este tribunal en relación con la cuestión suscitada; para, a continuación, proceder a enjuiciar la adecuación de la respuesta judicial a los postulados fijados en esta sede constitucional.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sobre el control de abusividad de las cláusulas de los contratos en los procedimientos ejecutivos y su vinculación con el derecho a la tutela judicial efectiva (art. 24.1 CE</w:t>
      </w:r>
      <w:r>
        <w:t>).</w:t>
      </w:r>
    </w:p>
    <w:p w:rsidR="005728DD" w:rsidRDefault="005728DD" w:rsidP="005728DD">
      <w:pPr>
        <w:pStyle w:val="TextoNormal"/>
      </w:pPr>
    </w:p>
    <w:p w:rsidR="005728DD" w:rsidRDefault="005728DD" w:rsidP="005728DD">
      <w:pPr>
        <w:pStyle w:val="TextoNormal"/>
      </w:pPr>
      <w:r>
        <w:t>El Tribunal Constitucional ya se ha pronunciado sobre una cuestión sustancialmente similar a la que ahora se nos plantea. En efecto, en el supuesto enjuiciado por el Pleno en la STC 31/2019, de 28 de febrero, se resolvió sobre la vulneración del derecho a la tutela judicial efectiva,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(FJ 1).</w:t>
      </w:r>
    </w:p>
    <w:p w:rsidR="005728DD" w:rsidRDefault="005728DD" w:rsidP="005728DD">
      <w:pPr>
        <w:pStyle w:val="TextoNormal"/>
      </w:pPr>
    </w:p>
    <w:p w:rsidR="005728DD" w:rsidRDefault="005728DD" w:rsidP="005728DD">
      <w:pPr>
        <w:pStyle w:val="TextoNormal"/>
      </w:pPr>
      <w:r>
        <w:t>Desde ese pronunciamiento hasta las más recientes SSTC 24/2021, de 15 de febrero, y 50/2021, de 3 de marzo, el tribunal ha sido consecuente con una línea doctrinal dirigida a restaurar el equilibrio real entre los derechos y obligaciones de profesionales y consumidores en el marco de los contratos de préstamo hipotecario, defendiendo el obligado cumplimiento de la jurisprudencia del Tribunal de Justicia de la Unión Europea en la materia, manifestándose sobre el obligado control por parte de los órganos jurisdiccionales del carácter abusivo de las cláusulas incorporadas a los contratos de préstamo con garantía hipotecaria, cuando, como ocurre en este caso, fueran requeridos para efectuarlo por la parte ejecutada a través de un incidente excepcional de nulidad de actuaciones.</w:t>
      </w:r>
    </w:p>
    <w:p w:rsidR="005728DD" w:rsidRDefault="005728DD" w:rsidP="005728DD">
      <w:pPr>
        <w:pStyle w:val="TextoNormal"/>
      </w:pPr>
    </w:p>
    <w:p w:rsidR="005728DD" w:rsidRDefault="005728DD" w:rsidP="005728DD">
      <w:pPr>
        <w:pStyle w:val="TextoNormal"/>
      </w:pPr>
      <w:r>
        <w:t xml:space="preserve">En la STC 31/2019 declaramos que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 permitiendo que el consumidor pueda formular un incidente de oposición cumpliendo con lo que disponga la norma, lo que no exime de la obligación de control de oficio por el órgano judicial” (FJ 6). Asimismo, desde la perspectiva del deber </w:t>
      </w:r>
      <w:r>
        <w:lastRenderedPageBreak/>
        <w:t>de motivación, sostuvimos en el fundamento jurídico 8 que la simple mención genérica de que la demanda cumple con los requisitos previstos en el art. 685 de la Ley de enjuiciamiento civil (LEC) y que el título es susceptible de ejecución en los términos del art. 517.1.4 LEC «es insuficiente a los efectos de considerar que, sin género de dudas, se realizó dicho control, máxime cuando de dicha argumentación se va hacer depender el acceso a un pronunciamiento de fondo al que el órgano judicial, de acuerdo con el Derecho de la Unión, debe proceder de oficio de haber razones para ello […], pues “[m]al se puede realizar un control —ni siquiera externo— de lo que carece de un razonamiento expreso” (STC 135/2017, de 27 de noviembre, FJ 4). […] De lo dicho, únicamente se desprende que se efectúo el control de los requisitos de la demanda ejecutiva y de los documentos que han de acompañarla (art. 685 LEC), y de la escritura pública (art. 517.1.4 LEC). Y ha de recordarse que, como este tribunal ha venido apreciando, “la existencia de una motivación adecuada y suficiente en función de las cuestiones que se susciten en cada caso concreto resulta una garantía esencial para el justiciable, ya que la exteriorización de los rasgos más esenciales del razonamiento que ha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o 35/2002, de 11 de febrero, FJ 3), siendo de añadir, trascendiendo desde la esfera individual a la colectiva,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 (STC 329/2006, de 20 de noviembre, FJ 7). Por ello, hemos declarado que “el canon constitucional de la ‘motivación suficiente’ no se ve satisfecho mediante la simple exposición de una conclusión, fáctica o jurídica, sino que requiere un razonamiento o inferencia” (STC 8/2014, de 27 de enero, FJ 4). Aún más, en este caso, cuando el artículo 51 CE impone a los poderes públicos en general la obligación de garantizar la defensa de los consumidores y usuarios».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constitucional al caso concreto: Vulneración del derecho a la tutela judicial efectiva (art. 24.1 CE) de los demandantes de amparo</w:t>
      </w:r>
      <w:r>
        <w:t>.</w:t>
      </w:r>
    </w:p>
    <w:p w:rsidR="005728DD" w:rsidRDefault="005728DD" w:rsidP="005728DD">
      <w:pPr>
        <w:pStyle w:val="TextoNormal"/>
      </w:pPr>
    </w:p>
    <w:p w:rsidR="005728DD" w:rsidRDefault="005728DD" w:rsidP="005728DD">
      <w:pPr>
        <w:pStyle w:val="TextoNormal"/>
      </w:pPr>
      <w:r>
        <w:t xml:space="preserve">Una vez reflejado el parámetro al que debemos sujetarnos para dirimir la presente </w:t>
      </w:r>
      <w:r w:rsidRPr="005728DD">
        <w:rPr>
          <w:i/>
        </w:rPr>
        <w:t>litis</w:t>
      </w:r>
      <w:r>
        <w:t>, procede analizar la respuesta dada por el órgano judicial.</w:t>
      </w:r>
    </w:p>
    <w:p w:rsidR="005728DD" w:rsidRDefault="005728DD" w:rsidP="005728DD">
      <w:pPr>
        <w:pStyle w:val="TextoNormal"/>
      </w:pPr>
    </w:p>
    <w:p w:rsidR="005728DD" w:rsidRDefault="005728DD" w:rsidP="005728DD">
      <w:pPr>
        <w:pStyle w:val="TextoNormal"/>
      </w:pPr>
      <w:r>
        <w:t>Como queda expuesto en los antecedentes de esta resolución, el auto que rechaza la revisión del carácter abusivo de las cláusulas incorporadas al contrato de préstamo, al que se remite la providencia ulterior, se limita a destacar que, antes del despacho de ejecución, se había procedido a revisar de oficio todas las cláusulas contractuales comprometidas, entre ellas la relativa al vencimiento anticipado del préstamo, cuya revisión se interesó por los recurrentes, y que además esa última petición resultaba extemporánea, al no haberse denunciado esa circunstancia en el trámite de oposición a la ejecución.</w:t>
      </w:r>
    </w:p>
    <w:p w:rsidR="005728DD" w:rsidRDefault="005728DD" w:rsidP="005728DD">
      <w:pPr>
        <w:pStyle w:val="TextoNormal"/>
      </w:pPr>
    </w:p>
    <w:p w:rsidR="005728DD" w:rsidRDefault="005728DD" w:rsidP="005728DD">
      <w:pPr>
        <w:pStyle w:val="TextoNormal"/>
      </w:pPr>
      <w:r>
        <w:t xml:space="preserve">Ambas justificaciones han de ser rechazadas, en aplicación de la doctrina establecida en la STC 31/2019. Así, en lo que se refiere al primero de los motivos esgrimidos para rechazar el control de abusividad solicitado, según la cual el reclamado control ya se habría efectuado </w:t>
      </w:r>
      <w:r>
        <w:lastRenderedPageBreak/>
        <w:t>de oficio antes del despacho de ejecución, en concreto, en el auto de 7 de junio de 2016, donde se declaró la nulidad de la cláusula relativa a los intereses de demora, la cuestión radica en determinar si la motivación contenida en esa resolución es suficiente para considerar “sin género de dudas” que, en verdad, se realizó tal revisión. Pero lo cierto es que el auto citado tan sólo se refiere a la cláusula declarada nula, y no contiene pronunciamiento alguno, ni tan siquiera genérico, relativo al resto de las cláusulas del contrato de préstamo. En esa tesitura, no se puede entender cumplido dicho examen, incurriéndose en las resoluciones impugnadas en una falta de motivación en su decisión de excluir la necesidad de un examen posterior de las cláusulas contractuales, vulnerando, de este modo, el derecho a la tutela judicial efectiva de los recurrentes. Como se afirmó en la STC 24/2021, de 15 de febrero, FJ 3, “resulta necesaria una motivación expresa por parte del órgano judicial sobre si las cláusulas del préstamo hipotecario pueden considerarse abusivas o no, o, al menos, que pueda inferirse de la resolución judicial, de manera clara y evidente, que se ha realizado efectivamente dicho análisis, sin complejas deducciones sobre la ratio de la decisión”. En suma, no constando, ni expresa ni tácitamente, que la revisión de la cláusula de vencimiento anticipado interesada por los ejecutados se hubiera producido efectivamente en el auto de 7 de junio de 2016, el Juzgado debería haber procedido a realizar la revisión de la cláusula, de acuerdo con lo solicitado por los demandantes de amparo, con arreglo a la doctrina constitucional antes expuesta, en lugar de rechazar la pretensión de los recurrentes so pretexto de un presunto examen previo de todo el clausulado del contrato, no plasmado de manera efectiva en resolución alguna.</w:t>
      </w:r>
    </w:p>
    <w:p w:rsidR="005728DD" w:rsidRDefault="005728DD" w:rsidP="005728DD">
      <w:pPr>
        <w:pStyle w:val="TextoNormal"/>
      </w:pPr>
    </w:p>
    <w:p w:rsidR="005728DD" w:rsidRDefault="005728DD" w:rsidP="005728DD">
      <w:pPr>
        <w:pStyle w:val="TextoNormal"/>
      </w:pPr>
      <w:r>
        <w:t>En cuanto a la segunda de las justificaciones, basada en la falta de planteamiento de la abusividad de las cláusulas en el trámite de oposición a la ejecución, resulta evidente su contravención del principio que se desprende de la doctrina del tribunal contenida en la STC 31/2019, con remisión a la jurisprudencia del Tribunal de Justicia de la Unión Europea, según el cual carece de relevancia el momento o el cauce procesal que se utilice para suscitar ante el órgano jurisdiccional esa cuestión, siempre que el procedimiento aún subsista, incluso si ello se produce tras haberse dictado una resolución con fuerza de cosa juzgada, con la salvedad de que la cláusula denunciada no hubiera sido examinada anteriormente. Partiendo de que esa última circunstancia no se produjo y el procedimiento aún estaba en tramitación, no podemos aceptar que el plazo para denunciar la existencia de cláusulas abusivas pueda considerarse precluido solo porque la parte ejecutada no formulase oposición a la ejecución, resultando las resoluciones impugnadas vulneradoras del derecho a la tutela judicial efectiva por esta razón.</w:t>
      </w:r>
    </w:p>
    <w:p w:rsidR="005728DD" w:rsidRDefault="005728DD" w:rsidP="005728DD">
      <w:pPr>
        <w:pStyle w:val="TextoNormal"/>
      </w:pPr>
    </w:p>
    <w:p w:rsidR="005728DD" w:rsidRDefault="005728DD" w:rsidP="005728DD">
      <w:pPr>
        <w:pStyle w:val="TextoNormal"/>
      </w:pPr>
      <w:r>
        <w:t>En conclusión, las resoluciones impugnadas en esta sede constitucional han lesionado el derecho a la tutela judicial efectiva sin indefensión de los recurrentes (art. 24.1 CE), tanto por la falta de motivación material a que se ha hecho mención, en cuanto a la justificación de que se había efectuado una revisión de oficio de todas las cláusulas del contrato de préstamo; como porque la decisión de no atender la revisión interesada por la parte recurrente por extemporaneidad ha de reputarse manifiestamente irrazonable, dando lugar a que los actores se vieran privados de un pronunciamiento de fondo sobre la eventual abusividad de la cláusula de vencimiento anticipado contenida en su contrato de préstamo hipotecario, al que el órgano judicial se encontraba obligado de acuerdo con nuestra doctrina y con la establecida por el Tribunal de Justicia de la Unión Europea.</w:t>
      </w:r>
    </w:p>
    <w:p w:rsidR="005728DD" w:rsidRDefault="005728DD" w:rsidP="005728DD">
      <w:pPr>
        <w:pStyle w:val="TextoNormal"/>
      </w:pPr>
    </w:p>
    <w:p w:rsidR="005728DD" w:rsidRDefault="005728DD" w:rsidP="005728DD">
      <w:pPr>
        <w:pStyle w:val="TextoNormal"/>
      </w:pPr>
      <w:r>
        <w:lastRenderedPageBreak/>
        <w:t>Por lo expuesto procede estimar el presente recurso de amparo, con la consiguiente declaración de nulidad del auto de 16 de septiembre de 2019 y de la providencia de 12 de diciembre de 2019, ambas resoluciones dictadas por el Juzgado de Primera Instancia núm. 31 de Madrid, en las que se rechazó la revisión de las cláusulas abusivas, y acordar la retroacción de las actuaciones al momento previo al dictado de la primera de esas resoluciones, a fin de que el órgano judicial resuelva sobre lo interesado en el incidente de nulidad de actuaciones de manera respetuosa con el derecho fundamental vulnerado.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Jesús Manuel Escalonilla Díaz y por doña Ana Teresa Torres Liñán y, en su virtud:</w:t>
      </w:r>
    </w:p>
    <w:p w:rsidR="005728DD" w:rsidRDefault="005728DD" w:rsidP="005728DD">
      <w:pPr>
        <w:pStyle w:val="TextoNormal"/>
      </w:pPr>
    </w:p>
    <w:p w:rsidR="005728DD" w:rsidRDefault="005728DD" w:rsidP="005728DD">
      <w:pPr>
        <w:pStyle w:val="TextoNormal"/>
      </w:pPr>
      <w:r>
        <w:t>1º Declarar que ha sido vulnerado el derecho fundamental de los demandantes de amparo a la tutela judicial efectiva sin indefensión (art. 24.1 CE).</w:t>
      </w:r>
    </w:p>
    <w:p w:rsidR="005728DD" w:rsidRDefault="005728DD" w:rsidP="005728DD">
      <w:pPr>
        <w:pStyle w:val="TextoNormal"/>
      </w:pPr>
    </w:p>
    <w:p w:rsidR="005728DD" w:rsidRDefault="005728DD" w:rsidP="005728DD">
      <w:pPr>
        <w:pStyle w:val="TextoNormal"/>
      </w:pPr>
      <w:r>
        <w:t>2º Restablecerlos en su derecho y, a tal fin, declarar la nulidad del auto de 16 de septiembre de 2019 y de la providencia de 12 de diciembre de 2019, resoluciones dictadas por el Juzgado de Primera Instancia núm. 31 de Madrid en el procedimiento de ejecución hipotecaria núm. 24-2016.</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 la primera de dichas resoluciones, para que el órgano judicial dicte una nueva que sea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6" w:name="SENTENCIA_2021_103"/>
      <w:r>
        <w:lastRenderedPageBreak/>
        <w:t>SENTENCIA 103/2021, de 10 de mayo de 2021</w:t>
      </w:r>
    </w:p>
    <w:bookmarkEnd w:id="106"/>
    <w:p w:rsidR="005728DD" w:rsidRDefault="005728DD" w:rsidP="005728DD">
      <w:pPr>
        <w:pStyle w:val="TtuloResolucin"/>
      </w:pPr>
      <w:r>
        <w:t>Sala Primera</w:t>
      </w:r>
    </w:p>
    <w:p w:rsidR="005728DD" w:rsidRDefault="005728DD" w:rsidP="005728DD">
      <w:pPr>
        <w:pStyle w:val="TtuloBOE"/>
      </w:pPr>
      <w:r>
        <w:t>(BOE núm. 142, de 15 de junio de 2021)</w:t>
      </w:r>
    </w:p>
    <w:p w:rsidR="005728DD" w:rsidRDefault="005728DD" w:rsidP="005728DD">
      <w:pPr>
        <w:pStyle w:val="TextoNormalCentrado"/>
      </w:pPr>
      <w:r>
        <w:t>ECLI:ES:TC:2021:103</w:t>
      </w:r>
    </w:p>
    <w:p w:rsidR="005728DD" w:rsidRDefault="005728DD" w:rsidP="005728DD">
      <w:pPr>
        <w:pStyle w:val="TextoNormalCentrado"/>
      </w:pPr>
    </w:p>
    <w:p w:rsidR="005728DD" w:rsidRDefault="005728DD" w:rsidP="005728DD">
      <w:pPr>
        <w:pStyle w:val="SntesisDescriptiva"/>
      </w:pPr>
      <w:r>
        <w:t>Recursos de amparo 691-2020, 693-2020 (acumulados). Promovido por Euroinversiones Inmobiliarias Costa Sur, S.L., y Penrei Inversiones, S.L., respectivamente, en relación con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por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los recursos de amparo núms. 691-2020 y 693-2020 (acumulados), promovidos por Euroinversiones Inmobiliarias Costa Sur, S.L., y Penrei Inversiones, S.L., respectivamente, representados por la procuradora de los tribunales doña Blanca Berriatua Horta y bajo la dirección del letrado don Marcelino Gilabert García, la primera, y de la letrada doña Anju Nirmala Benavent Rodríguez, la segunda, contra el auto de 14 de noviembre de 2018 del Juzgado de Primera Instancia e Instrucción núm. 4 de Lorca, dictado en el procedimiento de ejecución hipotecaria 359-2018 instado por la entidad Banco de Sabadell, S.A., y contra el auto de 12 de diciembre de 2019, del mismo órgano judicial, por el que se desestimó el recurso de reposición interpuesto contra el anterior. Ha intervenido el Ministerio Fiscal. Ha comparecido la entidad Pera Assets Designed Activity Company, actuando como sucesora procesal del banco ejecutante, representada por la procuradora de los tribunales doña Maria </w:t>
      </w:r>
      <w:r>
        <w:lastRenderedPageBreak/>
        <w:t>Claudia Munteanu y bajo la dirección letrada de don Alejandro Ingram Solís. Ha sido ponente el magistrado don Alfredo Montoya Melgar.</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procuradora de los tribunales doña Blanca Berriatua Horta, en nombre y representación de Euroinversiones Inmobiliarias Costa Sur, S.L., y bajo la dirección del letrado don Marcelino Gilabert García, interpuso demanda de amparo contra las resoluciones que se mencionan en el encabezamiento de esta sentencia, mediante escrito registrado en este tribunal el 3 de febrero de 2020, dando lugar al recurso de amparo 691-2020.</w:t>
      </w:r>
    </w:p>
    <w:p w:rsidR="005728DD" w:rsidRDefault="005728DD" w:rsidP="005728DD">
      <w:pPr>
        <w:pStyle w:val="TextoNormal"/>
      </w:pPr>
    </w:p>
    <w:p w:rsidR="005728DD" w:rsidRDefault="005728DD" w:rsidP="005728DD">
      <w:pPr>
        <w:pStyle w:val="TextoNormal"/>
      </w:pPr>
      <w:r w:rsidRPr="005728DD">
        <w:rPr>
          <w:rStyle w:val="NumeroAFNegritaCaracter"/>
        </w:rPr>
        <w:t>2</w:t>
      </w:r>
      <w:r>
        <w:t>. La procuradora de los tribunales doña Blanca Berriatua Horta, en nombre y representación de Penrei Inversiones, S.L., y bajo la dirección de la letrada doña Anju Nirmala Benavent Rodríguez, interpuso demanda de amparo contra las resoluciones que se mencionan en el encabezamiento de esta sentencia, mediante escrito registrado en este tribunal el 3 de febrero de 2020, dando lugar al recurso de amparo 693-2020.</w:t>
      </w:r>
    </w:p>
    <w:p w:rsidR="005728DD" w:rsidRDefault="005728DD" w:rsidP="005728DD">
      <w:pPr>
        <w:pStyle w:val="TextoNormal"/>
      </w:pPr>
    </w:p>
    <w:p w:rsidR="005728DD" w:rsidRDefault="005728DD" w:rsidP="005728DD">
      <w:pPr>
        <w:pStyle w:val="TextoNormal"/>
      </w:pPr>
      <w:r w:rsidRPr="005728DD">
        <w:rPr>
          <w:rStyle w:val="NumeroAFNegritaCaracter"/>
        </w:rPr>
        <w:t>3</w:t>
      </w:r>
      <w:r>
        <w:t>. Los hechos relevantes para el examen de ambos recursos de amparo son, sucintamente expuestos,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y Penrei Inversiones, S.L., resultando la primera de las demandadas la deudora hipotecaria, y la segunda titular de un derecho de uso y disfrute sobre dicho inmueble.</w:t>
      </w:r>
    </w:p>
    <w:p w:rsidR="005728DD" w:rsidRDefault="005728DD" w:rsidP="005728DD">
      <w:pPr>
        <w:pStyle w:val="TextoNormal"/>
      </w:pPr>
    </w:p>
    <w:p w:rsidR="005728DD" w:rsidRDefault="005728DD" w:rsidP="005728DD">
      <w:pPr>
        <w:pStyle w:val="TextoNormal"/>
      </w:pPr>
      <w:r>
        <w:t>El Juzgado de Primera Instancia e Instrucción núm. 4 de Lorca, al que correspondió el conocimiento de la causa, dictó auto el 21 de junio de 2018, por el que acordó el despacho de ejecución (procedimiento de ejecución hipotecaria núm. 359-2018), requiriendo de pago a las ejecutadas y alternativo derecho a oponerse a la ejecución en el plazo de diez días.</w:t>
      </w:r>
    </w:p>
    <w:p w:rsidR="005728DD" w:rsidRDefault="005728DD" w:rsidP="005728DD">
      <w:pPr>
        <w:pStyle w:val="TextoNormal"/>
      </w:pPr>
    </w:p>
    <w:p w:rsidR="005728DD" w:rsidRDefault="005728DD" w:rsidP="005728DD">
      <w:pPr>
        <w:pStyle w:val="TextoNormal"/>
      </w:pPr>
      <w:r>
        <w:t>b) Con fecha 26 de junio de 2018, el servicio de notificaciones electrónicas de la Fábrica Nacional de Moneda y Timbre remitió al buzón de la dirección electrónica habilitada de Penrei Inversiones, S.L., y de Euroinversiones Inmobiliarias Costa Sur, S.L., un correo avisándoles que tenían una notificación del Juzgado de Primera Instancia núm. 4 de Lorca relativa al proceso “EJH/00000359/2018”; notificación a la que podían acceder entre los días 26 de junio a 11 de agosto de 2018, a través de un enlace electrónico que también indicaba.</w:t>
      </w:r>
    </w:p>
    <w:p w:rsidR="005728DD" w:rsidRDefault="005728DD" w:rsidP="005728DD">
      <w:pPr>
        <w:pStyle w:val="TextoNormal"/>
      </w:pPr>
    </w:p>
    <w:p w:rsidR="005728DD" w:rsidRDefault="005728DD" w:rsidP="005728DD">
      <w:pPr>
        <w:pStyle w:val="TextoNormal"/>
      </w:pPr>
      <w:r>
        <w:t>c) El 1 de agosto de 2018, Penrei Inversiones, S.L., y Euroinversiones Inmobiliarias Costa Sur, S.L., accedieron a la página web indicada, teniendo conocimiento de la notificación y los documentos que la acompañaban, en concreto el auto por el que se despacha ejecución, el decreto dictado por la administración de justicia y la copia de la propia demanda.</w:t>
      </w:r>
    </w:p>
    <w:p w:rsidR="005728DD" w:rsidRDefault="005728DD" w:rsidP="005728DD">
      <w:pPr>
        <w:pStyle w:val="TextoNormal"/>
      </w:pPr>
    </w:p>
    <w:p w:rsidR="005728DD" w:rsidRDefault="005728DD" w:rsidP="005728DD">
      <w:pPr>
        <w:pStyle w:val="TextoNormal"/>
      </w:pPr>
      <w:r>
        <w:t xml:space="preserve">d) El 30 de agosto de 2018, las sociedades recurrentes en amparo formalizaron ante el juzgado </w:t>
      </w:r>
      <w:r w:rsidRPr="005728DD">
        <w:rPr>
          <w:i/>
        </w:rPr>
        <w:t>a quo</w:t>
      </w:r>
      <w:r>
        <w:t xml:space="preserve"> el escrito de oposición al despacho de ejecución.</w:t>
      </w:r>
    </w:p>
    <w:p w:rsidR="005728DD" w:rsidRDefault="005728DD" w:rsidP="005728DD">
      <w:pPr>
        <w:pStyle w:val="TextoNormal"/>
      </w:pPr>
    </w:p>
    <w:p w:rsidR="005728DD" w:rsidRDefault="005728DD" w:rsidP="005728DD">
      <w:pPr>
        <w:pStyle w:val="TextoNormal"/>
      </w:pPr>
      <w:r>
        <w:lastRenderedPageBreak/>
        <w:t>e) Por auto de 14 de noviembre de 2018, el Juzgado de Primera Instancia e Instrucción núm. 4 de Lorca acordó inadmitir la oposición por haberse presentado fuera de plazo.</w:t>
      </w:r>
    </w:p>
    <w:p w:rsidR="005728DD" w:rsidRDefault="005728DD" w:rsidP="005728DD">
      <w:pPr>
        <w:pStyle w:val="TextoNormal"/>
      </w:pPr>
    </w:p>
    <w:p w:rsidR="005728DD" w:rsidRDefault="005728DD" w:rsidP="005728DD">
      <w:pPr>
        <w:pStyle w:val="TextoNormal"/>
      </w:pPr>
      <w:r>
        <w:t>f) Las representaciones procesales de Penrei Inversiones, S.L. y de Euroinversiones Inmobiliarias Costa Sur, S.L., interpusieron recursos de reposición contra el anterior auto, basándose en la infracción de los arts. 135, 152, 160 y 162 de la Ley de enjuiciamiento civil (LEC) y del art. 24 CE.</w:t>
      </w:r>
    </w:p>
    <w:p w:rsidR="005728DD" w:rsidRDefault="005728DD" w:rsidP="005728DD">
      <w:pPr>
        <w:pStyle w:val="TextoNormal"/>
      </w:pPr>
    </w:p>
    <w:p w:rsidR="005728DD" w:rsidRDefault="005728DD" w:rsidP="005728DD">
      <w:pPr>
        <w:pStyle w:val="TextoNormal"/>
      </w:pPr>
      <w:r>
        <w:t>g) Dichos recursos fueron desestimados por auto de 12 de diciembre de 2019. Señala el auto que, debe “ser desestimado el recurso de reposición interpuesto por ser el auto recurrido conforme a la normativa procesal vigente en materia de oposición a la ejecución (art.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1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5728DD" w:rsidRDefault="005728DD" w:rsidP="005728DD">
      <w:pPr>
        <w:pStyle w:val="TextoNormal"/>
      </w:pPr>
    </w:p>
    <w:p w:rsidR="005728DD" w:rsidRDefault="005728DD" w:rsidP="005728DD">
      <w:pPr>
        <w:pStyle w:val="TextoNormal"/>
      </w:pPr>
      <w:r w:rsidRPr="005728DD">
        <w:rPr>
          <w:rStyle w:val="NumeroAFNegritaCaracter"/>
        </w:rPr>
        <w:t>4</w:t>
      </w:r>
      <w:r>
        <w:t>. La demanda presentada en el recurso de amparo 693-2020 coincide literalmente con la presentada en el recurso de amparo 691-2020. Alegan las entidades recurrentes que las resoluciones judiciales impugnadas causaron, en primer lugar, la vulneración de los derechos a la tutela judicial efectiva (art. 24.1 CE) y a un proceso con todas las garantías (art. 24.2 CE), al haberse efectuado su emplazamiento como ejecutadas en el procedimiento hipotecario de referencia a través de un correo electrónico remitido por un servicio de notificaciones electrónicas, y no mediante entrega de la correspondiente documentación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desde la fecha de acceso a la notificación, inadmitiendo así su escrito.</w:t>
      </w:r>
    </w:p>
    <w:p w:rsidR="005728DD" w:rsidRDefault="005728DD" w:rsidP="005728DD">
      <w:pPr>
        <w:pStyle w:val="TextoNormal"/>
      </w:pPr>
    </w:p>
    <w:p w:rsidR="005728DD" w:rsidRDefault="005728DD" w:rsidP="005728DD">
      <w:pPr>
        <w:pStyle w:val="TextoNormal"/>
      </w:pPr>
      <w:r>
        <w:t>Por medio de un “segundo otrosí digo”, los escritos de demanda argumentaron “que la continuación de la ejecución derivadas (</w:t>
      </w:r>
      <w:r w:rsidRPr="005728DD">
        <w:rPr>
          <w:i/>
        </w:rPr>
        <w:t>sic</w:t>
      </w:r>
      <w:r>
        <w:t>) de los pronunciamientos judiciales que han sido objeto de impugnación, con la celebración de subasta y la eventual adjudicación a terceros, pueden hacer perder al recurso de amparo su finalidad”. Por ello solicitaron la suspensión de la continuación del procedimiento de ejecución hipotecaria 359-2018 seguido ante el Juzgado de Primera Instancia e Instrucción núm. 4 de Lorca, hasta tanto sea resuelto el presente recurso de amparo, poniéndolo en conocimiento del órgano judicial.</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La Sección Primera de este tribunal, por providencia de 20 de julio de 2020, acordó: (i) la admisión a trámite del recurso de amparo núm. 691-2020, apreciando que concurre en el mismo una especial trascendencia constitucional [art. 50.1 de la Ley Orgánica del Tribunal Constitucional (LOTC)] porque el recurso puede dar ocasión al tribunal para aclarar o cambiar su doctrina, como consecuencia de cambios normativos relevantes para la configuración del contenido del derecho fundamental [STC 155/2009, FJ 2 b)]; (ii) requerir al juzgado </w:t>
      </w:r>
      <w:r w:rsidRPr="005728DD">
        <w:rPr>
          <w:i/>
        </w:rPr>
        <w:t>a quo</w:t>
      </w:r>
      <w:r>
        <w:t xml:space="preserve"> para que en plazo no superior a diez días remitiera certificación o fotocopia </w:t>
      </w:r>
      <w:r>
        <w:lastRenderedPageBreak/>
        <w:t>adverada de las actuaciones del procedimiento de ejecución hipotecaria núm. 359-2018; (iii) previamente, emplazar a quienes hubieran sido parte en este, excepto a la parte recurrente en amparo, para poder comparecer en el presente proceso constitucional en el plazo de diez días, a efecto de formular alegaciones; y (iv) formar la correspondiente pieza separada de suspensión.</w:t>
      </w:r>
    </w:p>
    <w:p w:rsidR="005728DD" w:rsidRDefault="005728DD" w:rsidP="005728DD">
      <w:pPr>
        <w:pStyle w:val="TextoNormal"/>
      </w:pPr>
    </w:p>
    <w:p w:rsidR="005728DD" w:rsidRDefault="005728DD" w:rsidP="005728DD">
      <w:pPr>
        <w:pStyle w:val="TextoNormal"/>
      </w:pPr>
      <w:r>
        <w:t>La Sección Primera de este tribunal, por providencia de 19 de octubre de 2020, acordó la admisión a trámite del recurso de amparo núm. 693-2020,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 Por ello, en aplicación de lo dispuesto en el art. 51 LOTC, obrando ya las actuaciones correspondientes a la ejecución hipotecaria 359-2018 del Juzgado de Primera Instancia e Instrucción núm. 4 de Lorca, acuerda dirigir atenta comunicación a dicho órgano jurisdiccional, a fin de que, en plazo que no exceda de diez días proceda a emplazar a quienes hubieran sido parte en el procedimiento, excepto la parte recurrente en amparo, para que en igual plazo puedan comparecer, si lo desean, en el presente recurso de amparo. Asimismo, se acuerda formar la correspondiente pieza de suspensión.</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escritos presentados en el registro de este tribunal el 11 de septiembre de 2019 en referencia al recurso de amparo 691-2020 y el 5 de noviembre de 2020, en referencia al 693-2020,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005728DD" w:rsidRDefault="005728DD" w:rsidP="005728DD">
      <w:pPr>
        <w:pStyle w:val="TextoNormal"/>
      </w:pPr>
    </w:p>
    <w:p w:rsidR="005728DD" w:rsidRDefault="005728DD" w:rsidP="005728DD">
      <w:pPr>
        <w:pStyle w:val="TextoNormal"/>
      </w:pPr>
      <w:r>
        <w:t>A través de diligencias de ordenación de 14 de septiembre de 2020 y 12 de noviembre de 2020, dictadas respectivamente en los recursos 691 y 693 del año 2020, el secretario de justicia de la Sala Primera de este tribunal tuvo por personada y parte a la procuradora doña María Claudia Munteanu en la representación acreditada.</w:t>
      </w:r>
    </w:p>
    <w:p w:rsidR="005728DD" w:rsidRDefault="005728DD" w:rsidP="005728DD">
      <w:pPr>
        <w:pStyle w:val="TextoNormal"/>
      </w:pPr>
    </w:p>
    <w:p w:rsidR="005728DD" w:rsidRDefault="005728DD" w:rsidP="005728DD">
      <w:pPr>
        <w:pStyle w:val="TextoNormal"/>
      </w:pPr>
      <w:r w:rsidRPr="005728DD">
        <w:rPr>
          <w:rStyle w:val="NumeroAFNegritaCaracter"/>
        </w:rPr>
        <w:t>7</w:t>
      </w:r>
      <w:r>
        <w:t>. En el recurso de amparo 691-2020, por diligencia de ordenación del secretario de justicia de la Sala Primera de 16 de octubre de 2020, “se tienen por recibidos los testimonios de las actuaciones remitidas por el Juzgado de Primera Instancia e Instrucción núm. 4 de Lorca. A tenor de lo dispuesto en el art. 52 LOTC, se da vista de todas las actuaciones de los presentes recursos de amparo, en la secretaría de esta Sala, por un plazo común de 20 días, al Ministerio Fiscal y a las partes personadas, para que dentro de dicho término puedan presentar las alegaciones que a su derecho convenga”.</w:t>
      </w:r>
    </w:p>
    <w:p w:rsidR="005728DD" w:rsidRDefault="005728DD" w:rsidP="005728DD">
      <w:pPr>
        <w:pStyle w:val="TextoNormal"/>
      </w:pPr>
    </w:p>
    <w:p w:rsidR="005728DD" w:rsidRDefault="005728DD" w:rsidP="005728DD">
      <w:pPr>
        <w:pStyle w:val="TextoNormal"/>
      </w:pPr>
      <w:r w:rsidRPr="005728DD">
        <w:rPr>
          <w:rStyle w:val="NumeroAFNegritaCaracter"/>
        </w:rPr>
        <w:t>8</w:t>
      </w:r>
      <w:r>
        <w:t>. En el recurso de amparo 693-2020, por diligencia de ordenación de 16 de noviembre de 2020 se acordó dar vista de todas las actuaciones a las partes personadas y al Ministerio Fiscal, por plazo común de veinte días, a fin de que, conforme con lo previsto en el art. 52 LOTC, pudieran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9</w:t>
      </w:r>
      <w:r>
        <w:t>. En el recurso de amparo 691-2020, la representante procesal de Euroinversiones Inmobiliarias Costa Sur, S.L., presentó su escrito de alegaciones el 17 de noviembre de 2020, por el que interesó se dictara resolución estimatoria del recurso de amparo, haciendo mención a la STC 40/2020, de 27 de febrero, que, a su parecer, respalda los argumentos que presenta en este recurso, en torno a la necesidad de que el primer emplazamiento o citación al demandado se efectúe en su domicilio, como impone el artículo 155.1 LEC.</w:t>
      </w:r>
    </w:p>
    <w:p w:rsidR="005728DD" w:rsidRDefault="005728DD" w:rsidP="005728DD">
      <w:pPr>
        <w:pStyle w:val="TextoNormal"/>
      </w:pPr>
    </w:p>
    <w:p w:rsidR="005728DD" w:rsidRDefault="005728DD" w:rsidP="005728DD">
      <w:pPr>
        <w:pStyle w:val="TextoNormal"/>
      </w:pPr>
      <w:r>
        <w:t>En el recurso de amparo 693-2020, la representación procesal de Penrei Inversiones, S.L., presentó su escrito de alegaciones el 15 de diciembre de 2020, en el que tras reproducir el contenido de la STC 40/2020, de 27 de febrero, solicitó la 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En el recurso de amparo 691-2020, el fiscal ante este Tribunal Constitucional presentó escrito de alegaciones el 27 de noviembre de 2020, por el que interesó de este tribunal que dictara sentencia otorgando el amparo a la entidad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4 de Lorca, en el juicio de ejecución hipotecaria 359-2018”, y retroacción de las actuaciones al momento inmediato anterior a aquella notificación, “para que se le dé al recurrente posibilidad de formular oposición a la ejecución”. Basó esta petición en los siguientes argumentos:</w:t>
      </w:r>
    </w:p>
    <w:p w:rsidR="005728DD" w:rsidRDefault="005728DD" w:rsidP="005728DD">
      <w:pPr>
        <w:pStyle w:val="TextoNormal"/>
      </w:pPr>
    </w:p>
    <w:p w:rsidR="005728DD" w:rsidRDefault="005728DD" w:rsidP="005728DD">
      <w:pPr>
        <w:pStyle w:val="TextoNormal"/>
      </w:pPr>
      <w:r>
        <w:t>Considera el fiscal que nos encontramos ante uno de los recursos que componen la serie de los interpuestos por Euroinversiones Costa Sur, S.L., y Penrei Inversiones, S.L., frente a diversos autos dictados en procedimientos hipotecarios tramitados por diferentes juzgados de primera instancia de Lorca, por idénticas vulneraciones. Algunos de ellos ya han sido resueltos por este tribunal, en concreto en la sentencia del Pleno 40/2020, de 27 de febrero y la sentencia de la Sala Segunda 43/2020, de 9 de marzo, por lo que al concurrir identidad fáctica y jurídica procede aplicar la doctrina sentada en dichas resoluciones.</w:t>
      </w:r>
    </w:p>
    <w:p w:rsidR="005728DD" w:rsidRDefault="005728DD" w:rsidP="005728DD">
      <w:pPr>
        <w:pStyle w:val="TextoNormal"/>
      </w:pPr>
    </w:p>
    <w:p w:rsidR="005728DD" w:rsidRDefault="005728DD" w:rsidP="005728DD">
      <w:pPr>
        <w:pStyle w:val="TextoNormal"/>
      </w:pPr>
      <w:r>
        <w:t>En el recurso de amparo 693-2020, el fiscal ante el Tribunal Constitucional presentó escrito de alegaciones el 30 de noviembre de 2020, con el mismo contenido que en el recurso de amparo 691-2020.</w:t>
      </w:r>
    </w:p>
    <w:p w:rsidR="005728DD" w:rsidRDefault="005728DD" w:rsidP="005728DD">
      <w:pPr>
        <w:pStyle w:val="TextoNormal"/>
      </w:pPr>
    </w:p>
    <w:p w:rsidR="005728DD" w:rsidRDefault="005728DD" w:rsidP="005728DD">
      <w:pPr>
        <w:pStyle w:val="TextoNormal"/>
      </w:pPr>
      <w:r w:rsidRPr="005728DD">
        <w:rPr>
          <w:rStyle w:val="NumeroAFNegritaCaracter"/>
        </w:rPr>
        <w:t>11</w:t>
      </w:r>
      <w:r>
        <w:t>. Respecto de la solicitud de suspensión formulada por las recurrentes en amparo mediante otrosí de su escritos de demanda, por autos 123/2020, de 19 de octubre, y 165/2020, de 14 de diciembre, de la Sala Primera de este tribunal, se acordó denegar la suspensión cautelar solicitada y ordenar la anotación preventiva de las demandas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12</w:t>
      </w:r>
      <w:r>
        <w:t>. La Sala Primera de este tribunal, por auto 13/2021, de 15 de febrero, acordó la acumulación del recurso de amparo 693-2020 al recurso de amparo 691-2020, para que siguieran una misma tramitación hasta su resolución, también única, desde el común estado procesal en que se hallan.</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13</w:t>
      </w:r>
      <w:r>
        <w:t>. Por providencia de 6 de mayo de 2021, se señaló para la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t xml:space="preserve">Único. </w:t>
      </w:r>
      <w:r w:rsidRPr="005728DD">
        <w:rPr>
          <w:i/>
        </w:rPr>
        <w:t>Aplicación de la doctrina sentada por las SSTC 6/2019, 47/2019 y</w:t>
      </w:r>
      <w:r>
        <w:t xml:space="preserve"> 40/2020.</w:t>
      </w:r>
    </w:p>
    <w:p w:rsidR="005728DD" w:rsidRDefault="005728DD" w:rsidP="005728DD">
      <w:pPr>
        <w:pStyle w:val="TextoNormal"/>
      </w:pPr>
    </w:p>
    <w:p w:rsidR="005728DD" w:rsidRDefault="005728DD" w:rsidP="005728DD">
      <w:pPr>
        <w:pStyle w:val="TextoNormal"/>
      </w:pPr>
      <w:r>
        <w:t>El objeto de los presentes recursos de amparo acumulados es determinar si las resoluciones impugnadas han vulnerado el derecho a la tutela judicial efectiva (art. 24.1 CE) de las entidades recurrentes,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recientemente la STC 40/2020, de 25 de febrero, en la que ha resuelto el recurso de amparo cabecera de esta serie, promovido contra dos autos de coincidente contenido con los que ahora se impugnan, dando respuesta a los mismos argumentos que defienden aquí las partes, con fallo estimatorio de la demanda. Descartada aquí la concurrencia de algún elemento distintivo que obligue a una fundamentación o resultado diversos de lo declarado entonces, procede aplicar la citada sentencia 40/2020.</w:t>
      </w:r>
    </w:p>
    <w:p w:rsidR="005728DD" w:rsidRDefault="005728DD" w:rsidP="005728DD">
      <w:pPr>
        <w:pStyle w:val="TextoNormal"/>
      </w:pPr>
    </w:p>
    <w:p w:rsidR="005728DD" w:rsidRDefault="005728DD" w:rsidP="005728DD">
      <w:pPr>
        <w:pStyle w:val="TextoNormal"/>
      </w:pPr>
      <w:r>
        <w:t>En el FJ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Constata la STC 40/2020, en su fundamento jurídico 4, como ha de hacerse también ahora, que las dos resoluciones judiciales impugnadas vulneraron el derecho a la tutela judicial efectiva de las recurrentes, al no proceder a su emplazamiento personal en el proceso </w:t>
      </w:r>
      <w:r w:rsidRPr="005728DD">
        <w:rPr>
          <w:i/>
        </w:rPr>
        <w:t>a quo</w:t>
      </w:r>
      <w:r>
        <w:t xml:space="preserve"> a efectos de requerirlas de pago o, alternativamente, permitirles presentar su oposición a la ejecución, optando en cambio el juzgado por un emplazamiento electrónico a través del 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se computó el plazo para presentar el escrito de oposición invocando normas del procedimiento administrativo común, que son ajenas al ámbito jurisdiccional en el que </w:t>
      </w:r>
      <w:r>
        <w:lastRenderedPageBreak/>
        <w:t>nos encontramos, en alegal conjunción con el plazo del art. 556 LEC. Todo lo cual determina la estimación del amparo por lesión del art. 24.1 CE, en sus vertientes de acceso al proceso, a no padecer indefensión, y a una resolución fundada en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las demandantes.</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los recursos de amparo presentados por Euroinversiones Inmobiliarias Costa Sur, S.L., y Penrei Inversiones,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los autos de 14 de noviembre de 2018 y 12 de diciembre de 2019, dictados por el Juzgado de Primera Instancia e Instrucción núm. 4 de Lorca en el proceso de ejecución hipotecaria núm. 359-2018,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las entidades recurrentes, debiendo llevarse a cabo de nuevo este por el juzgado ejecutor, de forma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7" w:name="SENTENCIA_2021_104"/>
      <w:r>
        <w:lastRenderedPageBreak/>
        <w:t>SENTENCIA 104/2021, de 10 de mayo de 2021</w:t>
      </w:r>
    </w:p>
    <w:bookmarkEnd w:id="107"/>
    <w:p w:rsidR="005728DD" w:rsidRDefault="005728DD" w:rsidP="005728DD">
      <w:pPr>
        <w:pStyle w:val="TtuloResolucin"/>
      </w:pPr>
      <w:r>
        <w:t>Sala Segunda</w:t>
      </w:r>
    </w:p>
    <w:p w:rsidR="005728DD" w:rsidRDefault="005728DD" w:rsidP="005728DD">
      <w:pPr>
        <w:pStyle w:val="TtuloBOE"/>
      </w:pPr>
      <w:r>
        <w:t>(BOE núm. 142, de 15 de junio de 2021)</w:t>
      </w:r>
    </w:p>
    <w:p w:rsidR="005728DD" w:rsidRDefault="005728DD" w:rsidP="005728DD">
      <w:pPr>
        <w:pStyle w:val="TextoNormalCentrado"/>
      </w:pPr>
      <w:r>
        <w:t>ECLI:ES:TC:2021:104</w:t>
      </w:r>
    </w:p>
    <w:p w:rsidR="005728DD" w:rsidRDefault="005728DD" w:rsidP="005728DD">
      <w:pPr>
        <w:pStyle w:val="TextoNormalCentrado"/>
      </w:pPr>
    </w:p>
    <w:p w:rsidR="005728DD" w:rsidRDefault="005728DD" w:rsidP="005728DD">
      <w:pPr>
        <w:pStyle w:val="SntesisDescriptiva"/>
      </w:pPr>
      <w:r>
        <w:t>Recurso de amparo 764-2020. Promovido por la entidad Naguspea, S.L., respecto de la providencia de la Sala de lo Social del Tribunal Superior de Justicia de la Comunidad Autónoma del País Vasco que inadmitió el incidente de nulidad de actuaciones promovido respecto de una sentencia estimatoria del recurso de suplicación formulado por la contraparte en proceso de conflicto colectivo por modificación sustancial de las condiciones de trabajo.</w:t>
      </w:r>
    </w:p>
    <w:p w:rsidR="005728DD" w:rsidRDefault="005728DD" w:rsidP="005728DD">
      <w:pPr>
        <w:pStyle w:val="SntesisDescriptiva"/>
      </w:pPr>
    </w:p>
    <w:p w:rsidR="005728DD" w:rsidRDefault="005728DD" w:rsidP="005728DD">
      <w:pPr>
        <w:pStyle w:val="SntesisAnaltica"/>
      </w:pPr>
      <w:r>
        <w:t>Vulneración del derecho a la tutela judicial efectiva (acceso al recurso legal): inadmisión del incidente de nulidad de actuaciones fundada en la procedencia del recurso de casación para la unificación de doctrina sin estar acreditada la concurrencia de identidad de situaciones fácticas entre la sentencia que se pretendía controvertir y otra dictada por este Tribunal Constitucional en cuya doctrina se fundamenta la impugnación.</w:t>
      </w:r>
    </w:p>
    <w:p w:rsidR="005728DD" w:rsidRDefault="005728DD" w:rsidP="005728DD">
      <w:pPr>
        <w:pStyle w:val="SntesisAnaltica"/>
      </w:pPr>
    </w:p>
    <w:p w:rsidR="005728DD" w:rsidRDefault="005728DD" w:rsidP="005728DD">
      <w:pPr>
        <w:pStyle w:val="Extracto"/>
      </w:pPr>
      <w:r>
        <w:t>1.</w:t>
      </w:r>
      <w:r>
        <w:tab/>
        <w:t xml:space="preserve">Este Tribunal, al ejercer el control por la posible vulneración del derecho al recurso en todos los casos, excepto en el proceso penal (derecho a la doble instancia regido por el principio </w:t>
      </w:r>
      <w:r w:rsidRPr="005728DD">
        <w:rPr>
          <w:i/>
        </w:rPr>
        <w:t xml:space="preserve">pro actione </w:t>
      </w:r>
      <w:r>
        <w:t>(SSTC 3/2021 y 4/2021)],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42/2009, 7/2015 y 143/2020) [FJ 3].</w:t>
      </w:r>
    </w:p>
    <w:p w:rsidR="005728DD" w:rsidRDefault="005728DD" w:rsidP="005728DD">
      <w:pPr>
        <w:pStyle w:val="Extracto"/>
      </w:pPr>
    </w:p>
    <w:p w:rsidR="005728DD" w:rsidRDefault="005728DD" w:rsidP="005728DD">
      <w:pPr>
        <w:pStyle w:val="Extracto"/>
      </w:pPr>
      <w:r>
        <w:t>2.</w:t>
      </w:r>
      <w:r>
        <w:tab/>
        <w:t>Respecto de la inadmisión judicial de un incidente de nulidad de actuaciones por no haber interpuesto la parte en su lugar un recurso devolutivo de carácter extraordinario contra la resolución previa, la motivación que necesariamente ha de ofrecer el órgano judicial competente para inadmitir el incidente de nulidad, aunque sea sucinta, debe precisar el recurso extraordinario que a su parecer cabría interponer, teniendo para ello en cuenta las posibilidades reales de procedencia de tal recurso en el caso concreto, habida cuenta su regulación legal. El no hacerlo así conlleva la vulneración del derecho al recurso de la parte demandante de amparo (SSTC 91/2015, 142/2015 y 143/2020) [FJ 3].</w:t>
      </w:r>
    </w:p>
    <w:p w:rsidR="005728DD" w:rsidRDefault="005728DD" w:rsidP="005728DD">
      <w:pPr>
        <w:pStyle w:val="Extracto"/>
      </w:pPr>
    </w:p>
    <w:p w:rsidR="005728DD" w:rsidRDefault="005728DD" w:rsidP="005728DD">
      <w:pPr>
        <w:pStyle w:val="Extracto"/>
      </w:pPr>
      <w:r>
        <w:t>3.</w:t>
      </w:r>
      <w:r>
        <w:tab/>
        <w:t>El recurso casación para la unificación de doctrina ante el Tribunal Supremo debe considerarse no solo extraordinario sino excepcional, y esa especial naturaleza determina que no sea preceptiva siempre su interposición para dar por agotada la vía judicial ordinaria, sino solo en aquellos supuestos en los que, por existir doctrina jurisprudencial contradictoria, al Tribunal Supremo deba darse la posibilidad [determinante en general de esta exigencia del art. 44.1 a) LOTC] de reparar la lesión del derecho fundamental que se entiende vulnerado, salvando así la subsidiariedad del amparo  (SSTC 332/1994, 94/1998, 183/1998, 5/1999 y 63/2021) [FJ 3].</w:t>
      </w:r>
    </w:p>
    <w:p w:rsidR="005728DD" w:rsidRDefault="005728DD" w:rsidP="005728DD">
      <w:pPr>
        <w:pStyle w:val="Extracto"/>
      </w:pPr>
    </w:p>
    <w:p w:rsidR="005728DD" w:rsidRDefault="005728DD" w:rsidP="005728DD">
      <w:pPr>
        <w:pStyle w:val="Extracto"/>
      </w:pPr>
      <w:r>
        <w:t>4.</w:t>
      </w:r>
      <w:r>
        <w:tab/>
        <w:t xml:space="preserve">No basta con alegar la abstracta procedencia del recurso de casación para la unificación de doctrina, sino que corresponde a la parte que pretende hacer valer su no interposición, como motivo de la inadmisiblidad de la demanda, acreditar la </w:t>
      </w:r>
      <w:r>
        <w:lastRenderedPageBreak/>
        <w:t>posibilidad de recurrir en esta extraordinaria vía, absteniéndose de efectuar vagas invocaciones sobre la procedencia del recurso, pues la diligencia de la parte para la tutela de su derecho ante los tribunales ordinarios no alcanza a exigirle, a priori, la interposición de recursos de dudosa viabilidad (SSTC 210/1994, 183/1998, 107/2000, 63/2021 y ATC 3/2019) [FJ 3].</w:t>
      </w:r>
    </w:p>
    <w:p w:rsidR="005728DD" w:rsidRDefault="005728DD" w:rsidP="005728DD">
      <w:pPr>
        <w:pStyle w:val="Extracto"/>
      </w:pPr>
    </w:p>
    <w:p w:rsidR="005728DD" w:rsidRDefault="005728DD" w:rsidP="005728DD">
      <w:pPr>
        <w:pStyle w:val="Extracto"/>
      </w:pPr>
      <w:r>
        <w:t>5.</w:t>
      </w:r>
      <w:r>
        <w:tab/>
        <w:t>Se vulnera el derecho a la tutela judicial efectiva en su vertiente de acceso al recurso cuando el órgano judicial siega, con irrazonable argumento, el derecho de la recurrente a impugnar una sentencia por un instrumento que resulta legalmente procedente como lo es el incidente de nulidad de actuaciones (art. 241 LOPJ), inadmitiéndolo a trámite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764-2020, promovido por la entidad Naguspea, S.L., contra la providencia de la Sala de lo Social del Tribunal Superior de Justicia de la Comunidad Autónoma del País Vasco, de 17 de diciembre de 2019, que inadmitió el incidente de nulidad de actuaciones promovido contra la sentencia de la misma sala de 9 de octubre de 2019, dictada en suplicación. Ha actuado la confederación sindical ELA e intervenido el Ministerio Fiscal.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5 de febrero de 2020, el procurador de los tribunales don Luis Fernando Pozas Osset, actuando en nombre y representación de la entidad Naguspea, S.L., bajo la defensa del letrado don Xabier Solís López, interpuso demanda de amparo contra la resolución arriba mencionada.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 xml:space="preserve">a) Con fecha 24 de abril de 2019, la representación procesal de la confederación sindical ELA interpuso demanda de conflicto colectivo por modificación sustancial de condiciones de trabajo contra la entidad aquí recurrente y contra el comité de empresa, solicitando al </w:t>
      </w:r>
      <w:r>
        <w:lastRenderedPageBreak/>
        <w:t>juzgado competente que “declare que la modificación sustancial de las condiciones de trabajo consistente en modificación de horario de las limpiadoras es nula o subsidiariamente injustificada, y se condene a la empresa demandada residencia Naguspea,S.L., a estar y pasar por esta declaración y a reponer al colectivo de gerocultoras en sus anteriores condiciones de trabajo”.</w:t>
      </w:r>
    </w:p>
    <w:p w:rsidR="005728DD" w:rsidRDefault="005728DD" w:rsidP="005728DD">
      <w:pPr>
        <w:pStyle w:val="TextoNormal"/>
      </w:pPr>
    </w:p>
    <w:p w:rsidR="005728DD" w:rsidRDefault="005728DD" w:rsidP="005728DD">
      <w:pPr>
        <w:pStyle w:val="TextoNormal"/>
      </w:pPr>
      <w:r>
        <w:t>Atribuido el conocimiento de la causa al Juzgado de lo Social núm. 6 de Bilbao, una vez tramitado el procedimiento, autos núm. 347-2019, este dictó sentencia el 3 de junio de 2019 con la siguiente dispositiva y pie de recurso:</w:t>
      </w:r>
    </w:p>
    <w:p w:rsidR="005728DD" w:rsidRDefault="005728DD" w:rsidP="005728DD">
      <w:pPr>
        <w:pStyle w:val="TextoNormal"/>
      </w:pPr>
    </w:p>
    <w:p w:rsidR="005728DD" w:rsidRDefault="005728DD" w:rsidP="005728DD">
      <w:pPr>
        <w:pStyle w:val="TextoNormal"/>
      </w:pPr>
      <w:r>
        <w:t>“Que, desestimando la demanda interpuesta por ELA frente a Naguspea, S.L., en el que fue parte el comité de empresa, autos 347-2019, absuelvo a la demandada de cuanto se pedía.</w:t>
      </w:r>
    </w:p>
    <w:p w:rsidR="005728DD" w:rsidRDefault="005728DD" w:rsidP="005728DD">
      <w:pPr>
        <w:pStyle w:val="TextoNormal"/>
      </w:pPr>
    </w:p>
    <w:p w:rsidR="005728DD" w:rsidRDefault="005728DD" w:rsidP="005728DD">
      <w:pPr>
        <w:pStyle w:val="TextoNormal"/>
      </w:pPr>
      <w:r>
        <w:t>Contra esta sentencia cabe recurso de suplicación ante la Sala de lo Social del Tribunal Superior de Justicia del País Vasco, debiendo ser anunciado tal propósito mediante comparecencia o por escrito ante este juzgado en el plazo de cinco días a contar desde su notificación, debiendo designar letrado/a o graduado/a social para su formalización”.</w:t>
      </w:r>
    </w:p>
    <w:p w:rsidR="005728DD" w:rsidRDefault="005728DD" w:rsidP="005728DD">
      <w:pPr>
        <w:pStyle w:val="TextoNormal"/>
      </w:pPr>
    </w:p>
    <w:p w:rsidR="005728DD" w:rsidRDefault="005728DD" w:rsidP="005728DD">
      <w:pPr>
        <w:pStyle w:val="TextoNormal"/>
      </w:pPr>
      <w:r>
        <w:t>b) La confederación sindical ELA interpuso recurso de suplicación contra la sentencia de instancia. Tras la tramitación del procedimiento, recurso 1584-2019, la Sala de lo Social del Tribunal Superior de Justicia de la Comunidad Autónoma del País Vasco dictó sentencia el 9 de octubre de 2019 con la siguiente dispositiva y pie de recurso:</w:t>
      </w:r>
    </w:p>
    <w:p w:rsidR="005728DD" w:rsidRDefault="005728DD" w:rsidP="005728DD">
      <w:pPr>
        <w:pStyle w:val="TextoNormal"/>
      </w:pPr>
    </w:p>
    <w:p w:rsidR="005728DD" w:rsidRDefault="005728DD" w:rsidP="005728DD">
      <w:pPr>
        <w:pStyle w:val="TextoNormal"/>
      </w:pPr>
      <w:r>
        <w:t>“Que debemos estimar y estimamos el recurso de suplicación interpuesto por la representación letrada de ELA frente a la sentencia dictada por el Juzgado de lo Social núm. 6 de Bilbao en el procedimiento núm. 347-2019, seguido a instancia de la recurrente contra Naguspea, S.L., y comité de empresa, en procedimiento de conflicto colectivo, y revocando la sentencia recurrida declaramos que la fórmula empresarial utilizada para ajustar los calendarios de los limpiadores de la residencia (adelanto de media hora la salida durante algunos meses) es improcedente y contraria al artículo 17 del convenio colectivo, condenando a la empresa demandada a estar y pasar por dicha declaración con los efectos legales que procedan. Sin condena en costas.</w:t>
      </w:r>
    </w:p>
    <w:p w:rsidR="005728DD" w:rsidRDefault="005728DD" w:rsidP="005728DD">
      <w:pPr>
        <w:pStyle w:val="TextoNormal"/>
      </w:pPr>
    </w:p>
    <w:p w:rsidR="005728DD" w:rsidRDefault="005728DD" w:rsidP="005728DD">
      <w:pPr>
        <w:pStyle w:val="TextoNormal"/>
      </w:pPr>
      <w:r>
        <w:t>Notifíquese a las partes litigantes y al Ministerio Fiscal la sentencia dictada, con la advertencia de que contra la misma puede interponerse recurso de casación para la unificación de doctrina ante la Sala de lo Social del Tribunal Supremo, anunciándolo a través de esta Sala por escrito, dentro de los diez días hábiles siguientes a su notificación, durante el cual tendrán a su disposición en la oficina judicial de esta Sala los autos para su examen”.</w:t>
      </w:r>
    </w:p>
    <w:p w:rsidR="005728DD" w:rsidRDefault="005728DD" w:rsidP="005728DD">
      <w:pPr>
        <w:pStyle w:val="TextoNormal"/>
      </w:pPr>
    </w:p>
    <w:p w:rsidR="005728DD" w:rsidRDefault="005728DD" w:rsidP="005728DD">
      <w:pPr>
        <w:pStyle w:val="TextoNormal"/>
      </w:pPr>
      <w:r>
        <w:t>c) Notificada esta última sentencia, la entidad demandada en la instancia formalizó contra aquella un escrito de incidente de nulidad de actuaciones ante la propia Sala de lo Social del tribunal superior de justicia, alegando la vulneración del derecho a la tutela judicial efectiva y a no padecer indefensión (art. 24.1 CE), la cual desglosa en tres infracciones distintas que desarrolla a lo largo del escrito y resume previamente así:</w:t>
      </w:r>
    </w:p>
    <w:p w:rsidR="005728DD" w:rsidRDefault="005728DD" w:rsidP="005728DD">
      <w:pPr>
        <w:pStyle w:val="TextoNormal"/>
      </w:pPr>
    </w:p>
    <w:p w:rsidR="005728DD" w:rsidRDefault="005728DD" w:rsidP="005728DD">
      <w:pPr>
        <w:pStyle w:val="TextoNormal"/>
      </w:pPr>
      <w:r>
        <w:lastRenderedPageBreak/>
        <w:t>“(1) La sentencia estima un motivo de censura jurídica que en la propia fundamentación jurídica se reconoce que no existe —y, es más, se dice que ello debería motivar la desestimación del motivo de recurso—. Ello supone, entre otras cuestiones, un manifiesto quebranto de la debida congruencia interna de la sentencia; por un lado se reconoce expresamente que el recurso debiera ser inadmitido o desestimado por una absoluta falta de los requisitos mínimos necesarios pero, a continuación, se entra al fondo de dicho recurso para apreciar la vulneración de un precepto del convenio que no fue denunciada como tal en el cuerpo del recurso.</w:t>
      </w:r>
    </w:p>
    <w:p w:rsidR="005728DD" w:rsidRDefault="005728DD" w:rsidP="005728DD">
      <w:pPr>
        <w:pStyle w:val="TextoNormal"/>
      </w:pPr>
    </w:p>
    <w:p w:rsidR="005728DD" w:rsidRDefault="005728DD" w:rsidP="005728DD">
      <w:pPr>
        <w:pStyle w:val="TextoNormal"/>
      </w:pPr>
      <w:r>
        <w:t xml:space="preserve">(2) La sentencia estima un motivo de censura jurídica que no existía en el texto del recurso de suplicación y, por tanto, que mi representada no pudo impugnar. Es decir, se ha estimado un motivo de recurso </w:t>
      </w:r>
      <w:r w:rsidRPr="005728DD">
        <w:rPr>
          <w:i/>
        </w:rPr>
        <w:t>inaudita parte</w:t>
      </w:r>
      <w:r>
        <w:t>; sin siquiera escuchar las alegaciones que mi representada hubiera podido aportar para [que] esta Ilma. Sala de lo Social hubiera podido alcanzar la convicción contraria a la expresada en la demanda y, por tanto, ratificar la sentencia dictada en la instancia.</w:t>
      </w:r>
    </w:p>
    <w:p w:rsidR="005728DD" w:rsidRDefault="005728DD" w:rsidP="005728DD">
      <w:pPr>
        <w:pStyle w:val="TextoNormal"/>
      </w:pPr>
    </w:p>
    <w:p w:rsidR="005728DD" w:rsidRDefault="005728DD" w:rsidP="005728DD">
      <w:pPr>
        <w:pStyle w:val="TextoNormal"/>
      </w:pPr>
      <w:r>
        <w:t>(3) La sentencia condena a mi representada a cosa distinta de aquello que se solicita en el suplico del recurso”.</w:t>
      </w:r>
    </w:p>
    <w:p w:rsidR="005728DD" w:rsidRDefault="005728DD" w:rsidP="005728DD">
      <w:pPr>
        <w:pStyle w:val="TextoNormal"/>
      </w:pPr>
    </w:p>
    <w:p w:rsidR="005728DD" w:rsidRDefault="005728DD" w:rsidP="005728DD">
      <w:pPr>
        <w:pStyle w:val="TextoNormal"/>
      </w:pPr>
      <w:r>
        <w:t>En dicho escrito se cita doctrina de este Tribunal Constitucional sobre el derecho fundamental a la tutela judicial efectiva (art. 24.1 CE) y en concreto a una sentencia congruente (STC 86/2000, de 27 de marzo, y se reproduce la STS de 26 de abril de 2018 en la que se citan las SSTC 42/2005, de 28 de febrero; 140/2006, de 8 de mayo, y 127/2008, de 27 de octubre).</w:t>
      </w:r>
    </w:p>
    <w:p w:rsidR="005728DD" w:rsidRDefault="005728DD" w:rsidP="005728DD">
      <w:pPr>
        <w:pStyle w:val="TextoNormal"/>
      </w:pPr>
    </w:p>
    <w:p w:rsidR="005728DD" w:rsidRDefault="005728DD" w:rsidP="005728DD">
      <w:pPr>
        <w:pStyle w:val="TextoNormal"/>
      </w:pPr>
      <w:r>
        <w:t>En un apartado sobre cumplimiento de los requisitos de admisión del incidente de nulidad, el escrito expone lo que sigue:</w:t>
      </w:r>
    </w:p>
    <w:p w:rsidR="005728DD" w:rsidRDefault="005728DD" w:rsidP="005728DD">
      <w:pPr>
        <w:pStyle w:val="TextoNormal"/>
      </w:pPr>
    </w:p>
    <w:p w:rsidR="005728DD" w:rsidRDefault="005728DD" w:rsidP="005728DD">
      <w:pPr>
        <w:pStyle w:val="TextoNormal"/>
      </w:pPr>
      <w:r>
        <w:t>“- La resolución sobre la que se insta el presente incidente es firme, de conformidad con la diligencia de ordenación dictada por esta Iltre. Sala de lo Social en fecha 8 de noviembre de 2019.</w:t>
      </w:r>
    </w:p>
    <w:p w:rsidR="005728DD" w:rsidRDefault="005728DD" w:rsidP="005728DD">
      <w:pPr>
        <w:pStyle w:val="TextoNormal"/>
      </w:pPr>
    </w:p>
    <w:p w:rsidR="005728DD" w:rsidRDefault="005728DD" w:rsidP="005728DD">
      <w:pPr>
        <w:pStyle w:val="TextoNormal"/>
      </w:pPr>
      <w:r>
        <w:t>- No se ha podido denunciar la vulneración que desarrollaremos antes de recaer la sentencia combatida.</w:t>
      </w:r>
    </w:p>
    <w:p w:rsidR="005728DD" w:rsidRDefault="005728DD" w:rsidP="005728DD">
      <w:pPr>
        <w:pStyle w:val="TextoNormal"/>
      </w:pPr>
    </w:p>
    <w:p w:rsidR="005728DD" w:rsidRDefault="005728DD" w:rsidP="005728DD">
      <w:pPr>
        <w:pStyle w:val="TextoNormal"/>
      </w:pPr>
      <w:r>
        <w:t>- La no interposición del recurso de casación para la unificación de doctrina […] obedece a que la finalidad del mismo es la de evitar disparidad de criterios susceptibles de producir un quebranto en la unificación de la interpretación del derecho y en la formación de la jurisprudencia.</w:t>
      </w:r>
    </w:p>
    <w:p w:rsidR="005728DD" w:rsidRDefault="005728DD" w:rsidP="005728DD">
      <w:pPr>
        <w:pStyle w:val="TextoNormal"/>
      </w:pPr>
    </w:p>
    <w:p w:rsidR="005728DD" w:rsidRDefault="005728DD" w:rsidP="005728DD">
      <w:pPr>
        <w:pStyle w:val="TextoNormal"/>
      </w:pPr>
      <w:r>
        <w:t>Siendo ello así, y procediéndose a articular una infracción de los artículos constitucionales precitados orientados principalmente a cuestiones de índole procesal, el medio hábil para dicha denuncia debe ser un incidente de nulidad”.</w:t>
      </w:r>
    </w:p>
    <w:p w:rsidR="005728DD" w:rsidRDefault="005728DD" w:rsidP="005728DD">
      <w:pPr>
        <w:pStyle w:val="TextoNormal"/>
      </w:pPr>
    </w:p>
    <w:p w:rsidR="005728DD" w:rsidRDefault="005728DD" w:rsidP="005728DD">
      <w:pPr>
        <w:pStyle w:val="TextoNormal"/>
      </w:pPr>
      <w:r>
        <w:t>d) La petición de nulidad resultó inadmitida de plano por la Sala de lo Social del tribunal superior de justicia, mediante providencia de 17 de diciembre de 2019, con el siguiente tenor:</w:t>
      </w:r>
    </w:p>
    <w:p w:rsidR="005728DD" w:rsidRDefault="005728DD" w:rsidP="005728DD">
      <w:pPr>
        <w:pStyle w:val="TextoNormal"/>
      </w:pPr>
    </w:p>
    <w:p w:rsidR="005728DD" w:rsidRDefault="005728DD" w:rsidP="005728DD">
      <w:pPr>
        <w:pStyle w:val="TextoNormal"/>
      </w:pPr>
      <w:r>
        <w:lastRenderedPageBreak/>
        <w:t>“El anterior escrito presentado por Naguspea, S.L., en solicitud de incidente de nulidad de actuaciones, únase a la pieza de recurso de su razón.</w:t>
      </w:r>
    </w:p>
    <w:p w:rsidR="005728DD" w:rsidRDefault="005728DD" w:rsidP="005728DD">
      <w:pPr>
        <w:pStyle w:val="TextoNormal"/>
      </w:pPr>
    </w:p>
    <w:p w:rsidR="005728DD" w:rsidRDefault="005728DD" w:rsidP="005728DD">
      <w:pPr>
        <w:pStyle w:val="TextoNormal"/>
      </w:pPr>
      <w:r>
        <w:t>El art. 241.1 párrafo 1 de la Ley Orgánica del Poder Judicial dispone que el incidente de nulidad de actuaciones podrá instarse siempre que no quepa, frente a la resolución a la que se imputa el motivo de nulidad, interponer recurso ordinario o extraordinario.</w:t>
      </w:r>
    </w:p>
    <w:p w:rsidR="005728DD" w:rsidRDefault="005728DD" w:rsidP="005728DD">
      <w:pPr>
        <w:pStyle w:val="TextoNormal"/>
      </w:pPr>
    </w:p>
    <w:p w:rsidR="005728DD" w:rsidRDefault="005728DD" w:rsidP="005728DD">
      <w:pPr>
        <w:pStyle w:val="TextoNormal"/>
      </w:pPr>
      <w:r>
        <w:t>Teniendo presente que la sentencia dictada por este tribunal era susceptible de ser recurrida en casación para unificación de doctrina ante el Tribunal Supremo, no concurriría el requisito legal citado, no pudiendo este tribunal aceptar los argumentos que sobre este punto esgrime la parte interesada, puesto que en el citado recurso extraordinario puede hacerse valer cualquier motivo de nulidad.</w:t>
      </w:r>
    </w:p>
    <w:p w:rsidR="005728DD" w:rsidRDefault="005728DD" w:rsidP="005728DD">
      <w:pPr>
        <w:pStyle w:val="TextoNormal"/>
      </w:pPr>
    </w:p>
    <w:p w:rsidR="005728DD" w:rsidRDefault="005728DD" w:rsidP="005728DD">
      <w:pPr>
        <w:pStyle w:val="TextoNormal"/>
      </w:pPr>
      <w:r>
        <w:t>Esta resolución es firme y contra la misma no cabe recurso alguno (artículo 241.1 LOPJ).</w:t>
      </w:r>
    </w:p>
    <w:p w:rsidR="005728DD" w:rsidRDefault="005728DD" w:rsidP="005728DD">
      <w:pPr>
        <w:pStyle w:val="TextoNormal"/>
      </w:pPr>
    </w:p>
    <w:p w:rsidR="005728DD" w:rsidRDefault="005728DD" w:rsidP="005728DD">
      <w:pPr>
        <w:pStyle w:val="TextoNormal"/>
      </w:pPr>
      <w:r>
        <w:t>Lo acuerda y rubrica la señora magistrada ponente. Doy fe”.</w:t>
      </w:r>
    </w:p>
    <w:p w:rsidR="005728DD" w:rsidRDefault="005728DD" w:rsidP="005728DD">
      <w:pPr>
        <w:pStyle w:val="TextoNormal"/>
      </w:pPr>
    </w:p>
    <w:p w:rsidR="005728DD" w:rsidRDefault="005728DD" w:rsidP="005728DD">
      <w:pPr>
        <w:pStyle w:val="TextoNormal"/>
      </w:pPr>
      <w:r>
        <w:t>e) Notificada la citada providencia, se promueve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 providencia del Tribunal Superior de Justicia del País Vasco “vulnera el derecho a la tutela judicial efectiva (art. 24 CE) al señalar que no cabe la formulación de un incidente de nulidad frente a la sentencia del Tribunal Superior de Justicia del País Vasco por no haberse formulado con carácter previo recurso de casación para la unificación de doctrina, cuando la interposición de este resulta manifiestamente improcedente”. Señala que con su decisión, la providencia impugnada ha privado a dicha parte “de la posibilidad de denunciar los flagrantes atentados a su derecho fundamental a la tutela judicial efectiva” cometidos por la sentencia, por cuanto: (i) estima un recurso de suplicación que únicamente articula dos motivos de revisión de hechos, lo cual resulta procesalmente inadmisible según reiterada jurisprudencia, la cual señala cómo “[s]in un motivo de infracción de normas sustantivas [art. 193 c) LJS], la revisión fáctica quedaría huérfana”, lo que ha hecho la sentencia es que “[…]‘construye’ un motivo de censura jurídica que no figuraba en el recurso de suplicación y sobre el cual mi representada no pudo verter réplica”, tal como se explicó en el escrito de nulidad; (ii) la sentencia además, “condena a mi representada a cosa distinta de aquello que se solicitaba en el recurso de suplicación”, toda vez que en el recurso de suplicación formulado por ELA se pedía que se declarara la nulidad o, subsidiariamente, el carácter injustificado de una —supuesta— modificación sustancial y, sin embargo, el fallo de la sentencia del Tribunal Superior de Justicia del País Vasco no hace alusión a dicha —pretendida— modificación, sino que contiene una condena declarativa —que la conducta empresarial es contraria al artículo 17 del convenio colectivo de aplicación—”.</w:t>
      </w:r>
    </w:p>
    <w:p w:rsidR="005728DD" w:rsidRDefault="005728DD" w:rsidP="005728DD">
      <w:pPr>
        <w:pStyle w:val="TextoNormal"/>
      </w:pPr>
    </w:p>
    <w:p w:rsidR="005728DD" w:rsidRDefault="005728DD" w:rsidP="005728DD">
      <w:pPr>
        <w:pStyle w:val="TextoNormal"/>
      </w:pPr>
      <w:r>
        <w:t xml:space="preserve">Sobre la idoneidad del incidente de nulidad promovido, argumenta la demanda que la “producción de las distintas infracciones que denunciábamos en nuestro incidente de nulidad las vinculábamos al artículo 218 de la LEC, con motivo de la producción de varias incongruencias. Sobre la vinculación de las garantías que consagra el artículo 218 de la LEC al artículo 24 CE —y, por ende, susceptible de articularse un incidente de nulidad—, se pronuncia también la sentencia del Tribunal Constitucional núm. 86/2000, de fecha 27 de marzo del año 2000”; el incidente tenía así por fin “denunciar severas vulneraciones del </w:t>
      </w:r>
      <w:r>
        <w:lastRenderedPageBreak/>
        <w:t>derecho fundamental a la tutela judicial efectiva, en los términos indicados y en sus distintas vertientes”.</w:t>
      </w:r>
    </w:p>
    <w:p w:rsidR="005728DD" w:rsidRDefault="005728DD" w:rsidP="005728DD">
      <w:pPr>
        <w:pStyle w:val="TextoNormal"/>
      </w:pPr>
    </w:p>
    <w:p w:rsidR="005728DD" w:rsidRDefault="005728DD" w:rsidP="005728DD">
      <w:pPr>
        <w:pStyle w:val="TextoNormal"/>
      </w:pPr>
      <w:r>
        <w:t>Dicho incidente de nulidad resultaba obligado, a su entender, por el carácter manifiestamente improcedente del recurso de casación para la unificación de doctrina, pues en su configuración legal por el art. 219 de la Ley reguladora de la jurisdicción social (LJS), se “determina la exigencia de que en su escrito de formalización se razone y relacione de manera precisa y circunstanciada las identidades que determinan la contradicción alegada y la infracción legal que se imputa a la sentencia. Esos elementos de coincidencia que resultan necesarios encarnan lo que una reiteradísima jurisprudencia viene denominando el requisito de la triple identidad, esto es, de la identidad subjetiva, objetiva y causal”; requisitos que no concurrían en este caso, por lo que el “único medio hábil” para combatir las vulneraciones producidas era el incidente de nulidad.</w:t>
      </w:r>
    </w:p>
    <w:p w:rsidR="005728DD" w:rsidRDefault="005728DD" w:rsidP="005728DD">
      <w:pPr>
        <w:pStyle w:val="TextoNormal"/>
      </w:pPr>
    </w:p>
    <w:p w:rsidR="005728DD" w:rsidRDefault="005728DD" w:rsidP="005728DD">
      <w:pPr>
        <w:pStyle w:val="TextoNormal"/>
      </w:pPr>
      <w:r>
        <w:t>La demanda explica a continuación por qué no concurrían tales requisitos de la casación unificadora:</w:t>
      </w:r>
    </w:p>
    <w:p w:rsidR="005728DD" w:rsidRDefault="005728DD" w:rsidP="005728DD">
      <w:pPr>
        <w:pStyle w:val="TextoNormal"/>
      </w:pPr>
    </w:p>
    <w:p w:rsidR="005728DD" w:rsidRDefault="005728DD" w:rsidP="005728DD">
      <w:pPr>
        <w:pStyle w:val="TextoNormal"/>
      </w:pPr>
      <w:r>
        <w:t>“(i) Porque la misma [sentencia de contradicción] tendría que analizar un supuesto en el que se discuta si un control de excesos de jornada a través de (i) la concesión de días libres y (ii) reducciones de jornada es ajustado a Derecho de conformidad con un convenio colectivo que, año a año, reduce su jornada anual.</w:t>
      </w:r>
    </w:p>
    <w:p w:rsidR="005728DD" w:rsidRDefault="005728DD" w:rsidP="005728DD">
      <w:pPr>
        <w:pStyle w:val="TextoNormal"/>
      </w:pPr>
    </w:p>
    <w:p w:rsidR="005728DD" w:rsidRDefault="005728DD" w:rsidP="005728DD">
      <w:pPr>
        <w:pStyle w:val="TextoNormal"/>
      </w:pPr>
      <w:r>
        <w:t>(ii) Porque dicho exceso de jornada tendría que producirse como consecuencia de integrar el calendario vacacional en la cartelera provisional.</w:t>
      </w:r>
    </w:p>
    <w:p w:rsidR="005728DD" w:rsidRDefault="005728DD" w:rsidP="005728DD">
      <w:pPr>
        <w:pStyle w:val="TextoNormal"/>
      </w:pPr>
    </w:p>
    <w:p w:rsidR="005728DD" w:rsidRDefault="005728DD" w:rsidP="005728DD">
      <w:pPr>
        <w:pStyle w:val="TextoNormal"/>
      </w:pPr>
      <w:r>
        <w:t>(iii) Porque, además, el supuesto contradictorio tendría que serlo atendiendo a la aplicación de un convenio colectivo con la misma —o similar— fórmula de reducción de jornada” (se reproduce a continuación el art. 17 del Convenio colectivo de centros de la tercera edad de Bizkaia, sobe jornadas anuales de trabajo).</w:t>
      </w:r>
    </w:p>
    <w:p w:rsidR="005728DD" w:rsidRDefault="005728DD" w:rsidP="005728DD">
      <w:pPr>
        <w:pStyle w:val="TextoNormal"/>
      </w:pPr>
    </w:p>
    <w:p w:rsidR="005728DD" w:rsidRDefault="005728DD" w:rsidP="005728DD">
      <w:pPr>
        <w:pStyle w:val="TextoNormal"/>
      </w:pPr>
      <w:r>
        <w:t>De este modo, prosigue diciendo, la doctrina de la Sala de lo Social del Tribunal Supremo “determina cómo la posibilidad de interponer un recurso de casación para la unificación de doctrina dirigido a la discusión de cuestiones estrictamente procesales —que, principalmente, son el motivo de la interposición de nuestro inadmitido incidente de nulidad— no está exento del requisito de contradicción: con independencia de que la cuestión procesal sea muy concreta, para que la misma pueda ser objeto de estudio a través de un recurso de casación para la unificación de doctrina también se exigirá esa ‘triple identidad’, lo cual se antoja inviable en el supuesto que nos ocupa”, y cita la sentencia de dicha Sala de 21 de noviembre de 2000. Defiende la demanda que la recurrente se encontraba en una “encrucijada” pues si interponía aquel recurso de casación y el mismo “finalmente concluye con un auto de inadmisión a trámite —como estaba destinado a ocurrir—, corría el riesgo de perder el plazo para interponer un incidente de nulidad frente a la sentencia”. Y añade que estas “encrucijadas” son conocidas por este Tribunal Constitucional a propósito de la relación entre el incidente de nulidad y el recurso de amparo, con cita de la STC 255/2007, de 17 de diciembre, sobre el riesgo de incurrir en falta de agotamiento de la vía judicial previa o, en cambio, si interpone todos los recursos posibles o imaginables, en extemporaneidad por no ser procedente.</w:t>
      </w:r>
    </w:p>
    <w:p w:rsidR="005728DD" w:rsidRDefault="005728DD" w:rsidP="005728DD">
      <w:pPr>
        <w:pStyle w:val="TextoNormal"/>
      </w:pPr>
    </w:p>
    <w:p w:rsidR="005728DD" w:rsidRDefault="005728DD" w:rsidP="005728DD">
      <w:pPr>
        <w:pStyle w:val="TextoNormal"/>
      </w:pPr>
      <w:r>
        <w:lastRenderedPageBreak/>
        <w:t xml:space="preserve">Expuesto lo que antecede, se afirma en la demanda que la providencia recurrida ha obviado la flexibilidad de las normas sobre recursos “rescisorios” como el incidente de nulidad de actuaciones —con cita de las SSTC 185/1990, de 15 de noviembre, y 65/2016, de 11 de abril— y ha obviado también el derecho de acceso a la jurisdicción “que predica el principio </w:t>
      </w:r>
      <w:r w:rsidRPr="005728DD">
        <w:rPr>
          <w:i/>
        </w:rPr>
        <w:t>pro actione</w:t>
      </w:r>
      <w:r>
        <w:t xml:space="preserve"> […]”, con cita en respaldo de este segundo aspecto, de las SSTC 237/2005, de 26 de septiembre; 35/1995, de 6 de febrero (se indica por error 7 de febrero), y 133/2005, de 23 de mayo (se indica por error 23 de abril).</w:t>
      </w:r>
    </w:p>
    <w:p w:rsidR="005728DD" w:rsidRDefault="005728DD" w:rsidP="005728DD">
      <w:pPr>
        <w:pStyle w:val="TextoNormal"/>
      </w:pPr>
    </w:p>
    <w:p w:rsidR="005728DD" w:rsidRDefault="005728DD" w:rsidP="005728DD">
      <w:pPr>
        <w:pStyle w:val="TextoNormal"/>
      </w:pPr>
      <w:r>
        <w:t>Finaliza sus alegaciones la entidad recurrente diciendo que por la infracción cometida por la providencia impugnada de su derecho fundamental a la tutela judicial efectiva (art. 24.1 CE), debe declararse la nulidad de esta, con retroacción del procedimiento “hasta el momento en que se inadmitió a trámite el incidente de nulidad planteado”. Petición que traslada al suplico de la demanda, junto con la del reconocimiento del derecho fundamental invocado.</w:t>
      </w:r>
    </w:p>
    <w:p w:rsidR="005728DD" w:rsidRDefault="005728DD" w:rsidP="005728DD">
      <w:pPr>
        <w:pStyle w:val="TextoNormal"/>
      </w:pPr>
    </w:p>
    <w:p w:rsidR="005728DD" w:rsidRDefault="005728DD" w:rsidP="005728DD">
      <w:pPr>
        <w:pStyle w:val="TextoNormal"/>
      </w:pPr>
      <w:r>
        <w:t>Con relación al requisito de la especial trascendencia constitucional del recurso [arts. 49.1 y 50.1 b) de la Ley Orgánica del Tribunal Constitucional (LOTC)], la demanda, luego de reproducir el listado de causas que trae la STC 155/2009, de 25 de junio, FJ 2, sostiene que el mismo “radica en determinar si, en consonancia con el artículo 24 CE, resulta imperativo el agotamiento de cualesquiera recursos que la ley habilite frente a una resolución para poder formularse un incidente de nulidad, al amparo del artículo 241 y ss. de la LOPJ, con independencia de que el recurso necesario para el agotamiento de la vía previa sea manifiestamente improcedente por cuestiones de fondo y forma”.</w:t>
      </w:r>
    </w:p>
    <w:p w:rsidR="005728DD" w:rsidRDefault="005728DD" w:rsidP="005728DD">
      <w:pPr>
        <w:pStyle w:val="TextoNormal"/>
      </w:pPr>
    </w:p>
    <w:p w:rsidR="005728DD" w:rsidRDefault="005728DD" w:rsidP="005728DD">
      <w:pPr>
        <w:pStyle w:val="TextoNormal"/>
      </w:pPr>
      <w:r>
        <w:t xml:space="preserve">Añade, con cita de la STC 112/2019, de 3 de octubre, que este tribunal ha apreciado en el supuesto en ella enjuiciado que no resulta exigible antes de venir en amparo </w:t>
      </w:r>
      <w:r w:rsidRPr="005728DD">
        <w:rPr>
          <w:i/>
        </w:rPr>
        <w:t>ex</w:t>
      </w:r>
      <w:r>
        <w:t xml:space="preserve"> art. 44.1 a) LOTC, deducir un incidente de nulidad de actuaciones contra una sentencia de instancia que se dice lesiva de un derecho fundamental, y ello tras la inadmisión por falta de interés casacional objetivo de un recurso de casación contencioso-administrativo promovido contra aquella sentencia, aunque si el incidente se interpone ha de considerarse un cauce idóneo. Así, el “interés y trascendencia constitucional, por tanto, reside en determinar si el anterior criterio es extrapolable a un supuesto en el que no se interpone un recurso de casación para la unificación de doctrina por ser manifiestamente improcedente e inservible […] para formalizar un incidente de nulidad frente a una sentencia suplicatoria y, por ende, si debía de haberse interpuesto aquel para tener por cumplido el requisito de agotamiento de la vía previa que se exige de cala [</w:t>
      </w:r>
      <w:r w:rsidRPr="005728DD">
        <w:rPr>
          <w:i/>
        </w:rPr>
        <w:t>sic</w:t>
      </w:r>
      <w:r>
        <w:t>] a la instrumentalización de un incidente de nulidad”. Tomando en cuenta, dice asimismo, la jurisprudencia de la Sala de lo Social del Tribunal Supremo y la encrucijada en que se encuentra la parte si se interpone el recurso de casación unificadora y este se inadmite, perdiendo el plazo para promover el incidente de nulidad.</w:t>
      </w:r>
    </w:p>
    <w:p w:rsidR="005728DD" w:rsidRDefault="005728DD" w:rsidP="005728DD">
      <w:pPr>
        <w:pStyle w:val="TextoNormal"/>
      </w:pPr>
    </w:p>
    <w:p w:rsidR="005728DD" w:rsidRDefault="005728DD" w:rsidP="005728DD">
      <w:pPr>
        <w:pStyle w:val="TextoNormal"/>
      </w:pPr>
      <w:r w:rsidRPr="005728DD">
        <w:rPr>
          <w:rStyle w:val="NumeroAFNegritaCaracter"/>
        </w:rPr>
        <w:t>4</w:t>
      </w:r>
      <w:r>
        <w:t>. Antes de resolver sobre la admisibilidad del recurso, la secretaría de justicia de la Sección Cuarta, Sala Segunda, de este Tribunal Constitucional, dictó diligencia de ordenación el 15 de septiembre de 2020 requiriendo al Juzgado de lo Social núm. 6 de Bilbao para que remitiera “certificación o fotocopia adverada de las actuaciones correspondientes al procedimiento de conflictos colectivos 347-2019”.</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Una vez recibidas las actuaciones, la Sección Cuarta de este tribunal dictó providencia el 30 de noviembre de 2020 por la que acordó admitir a trámite el recurso, “apreciando que </w:t>
      </w:r>
      <w:r>
        <w:lastRenderedPageBreak/>
        <w:t>concurre en el mismo una especial trascendencia constitucional (art. 50.1 LOTC) porque el recurso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En la misma resolución se acordó dirigir atenta comunicación a la Sala de lo Social del Tribunal Superior de Justicia del País Vasco, para que remitiera certificación o fotocopia adverada “de las actuaciones correspondientes al recurso de suplicación 1584-2019”. Asimismo, acordó dirigir atenta comunicación al Juzgado de lo Social núm. 6 de Bilbao para que procediera a emplazar en el plazo de diez días a quienes hubieran sido parte en el procedimiento de ejecución referenciado, excepto a la parte recurrente en amparo, por si querían comparecer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6</w:t>
      </w:r>
      <w:r>
        <w:t>. Con fecha 17 de diciembre de 2020, doña Irati Díaz Ugarte, letrada del Ilustre Colegio de Abogados de Bizkaia, presentó escrito en el registro de este tribunal manifestando que “dentro del plazo establecido al efecto vengo a comparecer ante esta Sala, en la representación que ostento en nombre del sindicato ELA, se adjunta poder notarial, y a personarme ante la Sala Segunda del Tribunal Constitucional a sostener los derechos de mi representado con motivo del recurso de amparo, solicitando se atiendan con la compareciente las sucesivas diligencias”.</w:t>
      </w:r>
    </w:p>
    <w:p w:rsidR="005728DD" w:rsidRDefault="005728DD" w:rsidP="005728DD">
      <w:pPr>
        <w:pStyle w:val="TextoNormal"/>
      </w:pPr>
    </w:p>
    <w:p w:rsidR="005728DD" w:rsidRDefault="005728DD" w:rsidP="005728DD">
      <w:pPr>
        <w:pStyle w:val="TextoNormal"/>
      </w:pPr>
      <w:r>
        <w:t>La secretaría de justicia de la Sección Cuarta de este tribunal dictó diligencia de ordenación el 20 de enero de 2021, acordando conceder a la citada letrada un plazo de diez días “para que se persone en el presente recurso por medio de procurador, conforme preceptúa el artículo 81.1 de la LOTC, con apercibimiento que de no verificarlo, se la tendrá por decaída en su derecho”.</w:t>
      </w:r>
    </w:p>
    <w:p w:rsidR="005728DD" w:rsidRDefault="005728DD" w:rsidP="005728DD">
      <w:pPr>
        <w:pStyle w:val="TextoNormal"/>
      </w:pPr>
    </w:p>
    <w:p w:rsidR="005728DD" w:rsidRDefault="005728DD" w:rsidP="005728DD">
      <w:pPr>
        <w:pStyle w:val="TextoNormal"/>
      </w:pPr>
      <w:r>
        <w:t>El requerimiento fue cumplimentado por la procuradora de los tribunales doña Esperanza Azpeitia Calvín, mediante escrito registrado ante este tribunal el 19 de febrero de 2021 en el que afirmó actuar en nombre y representación de la confederación sindical ELA según “acredita la escritura de poderes que acompaño”, solicitando se la tuviera por comparecida y parte en el presente recurso, entendiéndose con ella las sucesivas actuaciones.</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23 de febrero de 2021, la secretaría de justicia de la Sección Cuarta de este tribunal dictó diligencia de ordenación por la que, de un lado, decidió tener por personada a la procuradora doña Esperanza Azpeitia Calvín en nombre y representación de la confederación sindical ELA, y de otro lado acordó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8</w:t>
      </w:r>
      <w:r>
        <w:t>. Con fecha 24 de marzo de 2021, la representación procesal de la entidad sindical personada en este recurso presentó su escrito de alegaciones interesando de este tribunal, se “dicte resolución por la que se inadmita el recurso presentado”.</w:t>
      </w:r>
    </w:p>
    <w:p w:rsidR="005728DD" w:rsidRDefault="005728DD" w:rsidP="005728DD">
      <w:pPr>
        <w:pStyle w:val="TextoNormal"/>
      </w:pPr>
    </w:p>
    <w:p w:rsidR="005728DD" w:rsidRDefault="005728DD" w:rsidP="005728DD">
      <w:pPr>
        <w:pStyle w:val="TextoNormal"/>
      </w:pPr>
      <w:r>
        <w:t xml:space="preserve">Ante todo, en el escrito se alega la conformidad a Derecho de la resolución impugnada, pues “la inadmisión lo ha sido en base a la norma procesal, que no se ha interpretado ni de forma formalista ni desproporcionada. La inadmisión deriva de manera terminante, clara e </w:t>
      </w:r>
      <w:r>
        <w:lastRenderedPageBreak/>
        <w:t>inequívoca del propio texto legal; sin dudas que hayan de resolverse con criterios interpretativos de alguna dificultad. Asimismo entiende [dicha parte] que no ha existido vulneración del derecho a la tutela judicial efectiva de la demandante de amparo. Y por último entiende esta parte que la misma no ha cumplido los requisitos de admisibilidad del recurso de amparo constitucional”.</w:t>
      </w:r>
    </w:p>
    <w:p w:rsidR="005728DD" w:rsidRDefault="005728DD" w:rsidP="005728DD">
      <w:pPr>
        <w:pStyle w:val="TextoNormal"/>
      </w:pPr>
    </w:p>
    <w:p w:rsidR="005728DD" w:rsidRDefault="005728DD" w:rsidP="005728DD">
      <w:pPr>
        <w:pStyle w:val="TextoNormal"/>
      </w:pPr>
      <w:r>
        <w:t>Sostiene el escrito que la entidad recurrente parte de un error de base, como es entender que la jurisprudencia del Tribunal Supremo exige para el control de las infracciones procesales en el recurso de casación para la unificación de doctrina laboral, que concurra una identidad en las situaciones sustantivas de las sentencias contrastadas, lo que no es cierto pues la identidad solo ha de acreditarse en cuanto a las infracciones procesales. Cita en este punto las resoluciones del Alto Tribunal: “TS 23-1-12, Rec. 1559/11; 1-7-20 […], 18-2-20 […], 11-3-15 […], 4-10-17”. Y con relación a las sentencias de este Tribunal Constitucional, aduce que: “es más, no es exigible la identidad cuando la sentencia alegada de contraste fue dictada por el Tco, pues la comparación debe hacerse desde la perspectiva del derecho fundamental cuya vulneración se alega (TS 16-9-14, Rec. 2431/13; 23-3-17)”. Añade como ejemplos de la exigencia de la homogeneidad entre las infracciones procesales comparadas, las sentencias del Tribunal Supremo 761/2017, de 4 de octubre; 150/2018, de 14 de febrero, y 464/2016, de 1 de junio. Así, la recurrente “simplemente optó por no realizar ese previo trámite obligatorio”.</w:t>
      </w:r>
    </w:p>
    <w:p w:rsidR="005728DD" w:rsidRDefault="005728DD" w:rsidP="005728DD">
      <w:pPr>
        <w:pStyle w:val="TextoNormal"/>
      </w:pPr>
    </w:p>
    <w:p w:rsidR="005728DD" w:rsidRDefault="005728DD" w:rsidP="005728DD">
      <w:pPr>
        <w:pStyle w:val="TextoNormal"/>
      </w:pPr>
      <w:r>
        <w:t>Desde esta perspectiva, advierte el escrito de alegaciones, la demanda de amparo adolecería de la “inexistencia de interés y trascendencia constitucional”, pues la sentencia que se dictase “solo podría consistir en determinar si se pude [</w:t>
      </w:r>
      <w:r w:rsidRPr="005728DD">
        <w:rPr>
          <w:i/>
        </w:rPr>
        <w:t>sic</w:t>
      </w:r>
      <w:r>
        <w:t>] realizar un incidente de nulidad de actuaciones no habiendo cumplido los requisitos legales de previa interposición de un recurso de casación para la unificación de doctrina alegando infracciones procesales para tener por cumplido el requisito de agotamiento de la vía previa que exige de cara a la instrumentalización de un incidente de nulidad, solo porque la parte legítima subjetivamente entiende —pues ni lo ha intentado—, que va a ser ‘manifiestamente improcedente e inservible’”, por lo que no cabe deducir que la lesión denunciada —que considera no se ha producido— “cualifique el recurso ahora planteado de especial trascendencia”, como exige el art. 50.1 b) LOTC.</w:t>
      </w:r>
    </w:p>
    <w:p w:rsidR="005728DD" w:rsidRDefault="005728DD" w:rsidP="005728DD">
      <w:pPr>
        <w:pStyle w:val="TextoNormal"/>
      </w:pPr>
    </w:p>
    <w:p w:rsidR="005728DD" w:rsidRDefault="005728DD" w:rsidP="005728DD">
      <w:pPr>
        <w:pStyle w:val="TextoNormal"/>
      </w:pPr>
      <w:r>
        <w:t>Remacha este óbice la parte personada diciendo que “se debería inadmitir a trámite la demanda de amparo, de conformidad con el art. 50.1 a) en relación con el art. 44.1, ambos de la Ley Orgánica del Tribunal Constitucional (LOTC), ‘toda vez que no se han agotado debidamente todos los medios de impugnación dentro de la vía judicial’ […]”.</w:t>
      </w:r>
    </w:p>
    <w:p w:rsidR="005728DD" w:rsidRDefault="005728DD" w:rsidP="005728DD">
      <w:pPr>
        <w:pStyle w:val="TextoNormal"/>
      </w:pPr>
    </w:p>
    <w:p w:rsidR="005728DD" w:rsidRDefault="005728DD" w:rsidP="005728DD">
      <w:pPr>
        <w:pStyle w:val="TextoNormal"/>
      </w:pPr>
      <w:r w:rsidRPr="005728DD">
        <w:rPr>
          <w:rStyle w:val="NumeroAFNegritaCaracter"/>
        </w:rPr>
        <w:t>9</w:t>
      </w:r>
      <w:r>
        <w:t>. Con fecha 26 de marzo de 2021, la representación procesal de la entidad aquí recurrente formuló sus alegaciones interesando se estime la demanda de amparo presentada, con reconocimiento de su derecho fundamental a la tutela judicial efectiva, y nulidad de la providencia recurrida, “debiendo retrotraerse el procedimiento hasta el momento en el que se inadmitió a trámite el incidente de nulidad planteado por Naguspea”.</w:t>
      </w:r>
    </w:p>
    <w:p w:rsidR="005728DD" w:rsidRDefault="005728DD" w:rsidP="005728DD">
      <w:pPr>
        <w:pStyle w:val="TextoNormal"/>
      </w:pPr>
    </w:p>
    <w:p w:rsidR="005728DD" w:rsidRDefault="005728DD" w:rsidP="005728DD">
      <w:pPr>
        <w:pStyle w:val="TextoNormal"/>
      </w:pPr>
      <w:r>
        <w:t>En el escrito se manifiesta la “adhesión y ratificación de los hechos y fundamentos de Derecho consignados en la demanda de amparo tramitada bajo el procedimiento núm. 764-2020”, antecedentes de hecho y fundamentos de Derecho que pasa a resumir extensamente.</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10</w:t>
      </w:r>
      <w:r>
        <w:t>. El fiscal ante este Tribunal Constitucional, presentó escrito de alegaciones el 7 de abril de 2020 por el que interesó de este tribunal que dictara sentencia “con el siguiente pronunciamiento: 1.- Estimar el presente recurso, otorgando el amparo a Naguspea, S.L.- 2.- Declarar que ha sido vulnerado el derecho fundamental de la demandante a la tutela judicial efectiva (art. 24.1 CE).- 3.- Restablecerla en su derecho y, en consecuencia, declarar la nulidad de la providencia de la Sala de lo Social del Tribunal Superior de Justicia del País Vasco, de fecha el [</w:t>
      </w:r>
      <w:r w:rsidRPr="005728DD">
        <w:rPr>
          <w:i/>
        </w:rPr>
        <w:t>sic</w:t>
      </w:r>
      <w:r>
        <w:t>] 17 de diciembre de 2019, en el recurso de suplicación núm. 1584-2019, por la que se inadmite el incidente de nulidad.- 4.- Retrotraer las actuaciones del mencionado procedimiento hasta el momento previo a dictar la providencia mencionada, para que se tramite el incidente de nulidad”.</w:t>
      </w:r>
    </w:p>
    <w:p w:rsidR="005728DD" w:rsidRDefault="005728DD" w:rsidP="005728DD">
      <w:pPr>
        <w:pStyle w:val="TextoNormal"/>
      </w:pPr>
    </w:p>
    <w:p w:rsidR="005728DD" w:rsidRDefault="005728DD" w:rsidP="005728DD">
      <w:pPr>
        <w:pStyle w:val="TextoNormal"/>
      </w:pPr>
      <w:r>
        <w:t xml:space="preserve">Luego de resumir los antecedentes del proceso </w:t>
      </w:r>
      <w:r w:rsidRPr="005728DD">
        <w:rPr>
          <w:i/>
        </w:rPr>
        <w:t>a quo</w:t>
      </w:r>
      <w:r>
        <w:t xml:space="preserve"> y de la tramitación del presente recurso de amparo, el escrito de alegaciones del fiscal cita doctrina sobre el derecho a la tutela judicial efectiva, en su faceta de derecho a obtener una resolución fundada en Derecho, y el canon de su control ante este tribunal (cuando la resolución resulta arbitraria, manifiestamente irrazonada o irrazonable o incurra en un error patente), en concreto la STC 46/2020, de 15 de junio. Cita también doctrina sobre el significado del principio </w:t>
      </w:r>
      <w:r w:rsidRPr="005728DD">
        <w:rPr>
          <w:i/>
        </w:rPr>
        <w:t>pro actione</w:t>
      </w:r>
      <w:r>
        <w:t>, que no exige la interpretación más favorable a la admisión de las normas pero sí la prohibición de interpretaciones excesivamente formalistas o rigoristas, como declara la STC 80/2020, de 15 de junio, FJ 3. Y procede el fiscal a recordar la distinción entre el canon de control del derecho de acceso al proceso, respecto del derecho de acceso a los recursos salvo en el proceso penal (derecho a la doble instancia), y la libertad del legislador para configurar los recursos, con cita de la STC 166/2016, de 6 de octubre, FJ 3.</w:t>
      </w:r>
    </w:p>
    <w:p w:rsidR="005728DD" w:rsidRDefault="005728DD" w:rsidP="005728DD">
      <w:pPr>
        <w:pStyle w:val="TextoNormal"/>
      </w:pPr>
    </w:p>
    <w:p w:rsidR="005728DD" w:rsidRDefault="005728DD" w:rsidP="005728DD">
      <w:pPr>
        <w:pStyle w:val="TextoNormal"/>
      </w:pPr>
      <w:r>
        <w:t xml:space="preserve">Sentado esto, el fiscal considera también de relieve traer a colación la doctrina constitucional sobre la interpretación del requisito del previo agotamiento de la vía judicial para la interposición de la demanda de amparo, </w:t>
      </w:r>
      <w:r w:rsidRPr="005728DD">
        <w:rPr>
          <w:i/>
        </w:rPr>
        <w:t>ex</w:t>
      </w:r>
      <w:r>
        <w:t xml:space="preserve"> art. 44.1 a) LOTC, doctrina que “ha mantenido que este requisito ha de ser interpretado de manera flexible y finalista, sosteniendo que no es necesario, para estimar agotada la vía judicial previa, que se hayan presentado todos los recursos posibles, sino tan solo aquellos que no quepa duda respecto de la procedencia y la posibilidad real y efectiva de interponer el recurso, estimándose cumplido el requisito cuando no se ha interpuesto un recurso que, aun siendo posible plantear, estaba abocado al fracaso”. Como ejemplo, cita las SSTC 60/2017, de 22 de mayo, FJ 2, y 112/2019, de 3 de octubre, FJ 3 d), así como el ATC 3/2019, de 28 de enero, FJ 3 a), precisando este último que el recurso de casación para la unificación de doctrina no resulta siempre preceptivo, y es quien alegue la inadmisión del recurso de amparo por no haberse promovido aquel recurso previamente, el que tiene la carga de acreditar la posibilidad que existía de acudir a dicha extraordinaria vía. En el mismo sentido cita la STC 63/2021, de 15 de marzo, FJ 2.</w:t>
      </w:r>
    </w:p>
    <w:p w:rsidR="005728DD" w:rsidRDefault="005728DD" w:rsidP="005728DD">
      <w:pPr>
        <w:pStyle w:val="TextoNormal"/>
      </w:pPr>
    </w:p>
    <w:p w:rsidR="005728DD" w:rsidRDefault="005728DD" w:rsidP="005728DD">
      <w:pPr>
        <w:pStyle w:val="TextoNormal"/>
      </w:pPr>
      <w:r>
        <w:t xml:space="preserve">Expuesta la doctrina aplicable, el fiscal precisa que en este caso no resulta aplicable el principio </w:t>
      </w:r>
      <w:r w:rsidRPr="005728DD">
        <w:rPr>
          <w:i/>
        </w:rPr>
        <w:t>pro actione</w:t>
      </w:r>
      <w:r>
        <w:t xml:space="preserve">, pues no se trata de un supuesto de inadmisión de acceso al proceso, la causa ha pasado ya por dos grados jurisdiccionales, sino el de acceso a los recursos, con el consiguiente canon predicable de este, “sin que sea constitucionalmente exigible la interpretación legal más favorable para hacer efectivo el acceso al recurso”. En este caso, comparte el fiscal la apreciación de la demanda de amparo, de que el recurso de casación para la unificación de doctrina no resultaba viable, no solo por la imposibilidad “detalladamente justificada en la demanda de amparo de encontrar una sentencia contradictoria respecto del fondo del asunto, que se da por reproducida por no extender innecesariamente este informe”, </w:t>
      </w:r>
      <w:r>
        <w:lastRenderedPageBreak/>
        <w:t>sino porque “existe asimismo una extrema dificultad para encontrar una sentencia que pueda considerarse contradictoria, a los efectos de presentar un recurso de casación para la unificación de doctrina, con la del Tribunal Superior de Justicia del País Vasco que se pretende impugnar, porque esta no cuestiona el criterio consolidado: que si no hay motivo jurídico procede desestimar el recurso, sino que acepta esta doctrina, pero por una circunstancia particular (el recurso dice que de la modificación de los hechos probados pretendida, resulta que la actuación de la empresa vulnera el artículo 17 del convenio colectivo), considera que puede entrar a enjuiciar el fondo del asunto. Y al hacerlo estima el recurso. Es prácticamente imposible encontrar una sentencia que diga justo lo contrario, porque lo que hacen las sentencias que resuelven de modo adverso es aplicar la doctrina aceptada por esta de que si no hay motivo jurídico no se puede estimar el recurso; y sería necesario encontrar una que afirmase que, a pesar de que el recurrente menciona que se vulnera un artículo de un convenio colectivo (o de otra norma), dentro del motivo de modificación de los hechos probados, como no se ha articulado un motivo jurídico, no procede entrar a valorar el fondo del asunto, por lo que desestima el recurso. No parece posible encontrar una sentencia que haga referencia a una mención de la infracción de una norma, en el seno de un motivo de suplicación para modificación de hechos del art. 193.3 b) LJS; para decir que, a pesar de esa referencia a la infracción normativa, como no existe un motivo de suplicación al amparo del art. 193.3 c) LJS procede desestimar el recurso porque no hay motivo jurídico. Vistos los antecedentes de inadmisión de recursos de casación para unificación de doctrina por falta de contradicción, en casos con diferencias menores que la existente entre una sentencia que simplemente diga que aplica el criterio de que si no hay motivo jurídico no se puede estimar el recurso y la que aquí se recurre, se considera que el recurso de casación para unificación de doctrina no tendría posibilidad de prosperar”.</w:t>
      </w:r>
    </w:p>
    <w:p w:rsidR="005728DD" w:rsidRDefault="005728DD" w:rsidP="005728DD">
      <w:pPr>
        <w:pStyle w:val="TextoNormal"/>
      </w:pPr>
    </w:p>
    <w:p w:rsidR="005728DD" w:rsidRDefault="005728DD" w:rsidP="005728DD">
      <w:pPr>
        <w:pStyle w:val="TextoNormal"/>
      </w:pPr>
      <w:r>
        <w:t>Bajo tal consideración, finaliza el fiscal diciendo que “no era exigible al recurrente que presentase dicho recurso antes del incidente de nulidad y que por tanto la decisión tomada en la providencia que se recurre es contraria al art. 24.1 CE, supone una interpretación del art. 241.1 LOPJ excesivamente formalista, por haber aplicado el requisito de que no quepa ningún recurso ordinario ni extraordinario para poder interponer el incidente de nulidad, de un modo que convierte este requisito en un obstáculo procesal impeditivo de la tutela judicial efectiva”.</w:t>
      </w:r>
    </w:p>
    <w:p w:rsidR="005728DD" w:rsidRDefault="005728DD" w:rsidP="005728DD">
      <w:pPr>
        <w:pStyle w:val="TextoNormal"/>
      </w:pPr>
    </w:p>
    <w:p w:rsidR="005728DD" w:rsidRDefault="005728DD" w:rsidP="005728DD">
      <w:pPr>
        <w:pStyle w:val="TextoNormal"/>
      </w:pPr>
      <w:r w:rsidRPr="005728DD">
        <w:rPr>
          <w:rStyle w:val="NumeroAFNegritaCaracter"/>
        </w:rPr>
        <w:t>11</w:t>
      </w:r>
      <w:r>
        <w:t>. La secretaría de justicia dictó diligencia el 9 de abril de 2021 haciendo constar que se habían presentado escritos de alegaciones por la representación procesal de la entidad recurrente, por la representación procesal del sindicato ELA y por el Ministerio Fiscal, quedando conclusas las actuaciones.</w:t>
      </w:r>
    </w:p>
    <w:p w:rsidR="005728DD" w:rsidRDefault="005728DD" w:rsidP="005728DD">
      <w:pPr>
        <w:pStyle w:val="TextoNormal"/>
      </w:pPr>
    </w:p>
    <w:p w:rsidR="005728DD" w:rsidRDefault="005728DD" w:rsidP="005728DD">
      <w:pPr>
        <w:pStyle w:val="TextoNormal"/>
      </w:pPr>
      <w:r w:rsidRPr="005728DD">
        <w:rPr>
          <w:rStyle w:val="NumeroAFNegritaCaracter"/>
        </w:rPr>
        <w:t>12</w:t>
      </w:r>
      <w:r>
        <w:t>. Mediante providencia de 6 de mayo de 2021, se señaló para deliberación y votación de la presente sentencia el día 10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w:t>
      </w:r>
      <w:r>
        <w:t>.</w:t>
      </w:r>
    </w:p>
    <w:p w:rsidR="005728DD" w:rsidRDefault="005728DD" w:rsidP="005728DD">
      <w:pPr>
        <w:pStyle w:val="TextoNormal"/>
      </w:pPr>
    </w:p>
    <w:p w:rsidR="005728DD" w:rsidRDefault="005728DD" w:rsidP="005728DD">
      <w:pPr>
        <w:pStyle w:val="TextoNormal"/>
      </w:pPr>
      <w:r>
        <w:lastRenderedPageBreak/>
        <w:t>Nos corresponde resolver la demanda de amparo interpuesta por la mercantil recurrente contra la providencia de la Sala de lo Social del Tribunal Superior de Justicia de la Comunidad Autónoma del País Vasco que inadmitió a trámite el incidente de nulidad de actuaciones promovido por aquella contra la sentencia de la misma Sala que, previamente, había estimado el recurso de suplicación deducido por la organización sindical actora en la instancia, trayendo consigo la estimación de la demanda formulada por esta ante el juzgado de lo social, al calificar de improcedente la modificación de las condiciones de trabajo objeto del conflicto colectivo.</w:t>
      </w:r>
    </w:p>
    <w:p w:rsidR="005728DD" w:rsidRDefault="005728DD" w:rsidP="005728DD">
      <w:pPr>
        <w:pStyle w:val="TextoNormal"/>
      </w:pPr>
    </w:p>
    <w:p w:rsidR="005728DD" w:rsidRDefault="005728DD" w:rsidP="005728DD">
      <w:pPr>
        <w:pStyle w:val="TextoNormal"/>
      </w:pPr>
      <w:r>
        <w:t>Sostiene la recurrente en amparo que la providencia que impugna vulnera su derecho a la tutela judicial efectiva (art. 24.1 CE), al inadmitir el incidente planteado por ella con el razonamiento de que falta el requisito del art. 241.1 de la Ley Orgánica del Poder Judicial (LOPJ) de que contra la resolución no quepa recurso ordinario o extraordinario, que aquí contra la sentencia de suplicación cabía interponer recurso de casación para la unificación de doctrina ante la Sala Cuarta del Tribunal Supremo pues “en el citado recurso extraordinario puede hacerse valer cualquier motivo de nulidad”. La demanda de amparo niega este extremo argumentando, como ya se expuso en los antecedentes, que dicho recurso de casación resultaba improcedente en este caso al no reunirse los requisitos exigidos por la jurisprudencia de la Sala de lo Social del Alto Tribunal para su admisión.</w:t>
      </w:r>
    </w:p>
    <w:p w:rsidR="005728DD" w:rsidRDefault="005728DD" w:rsidP="005728DD">
      <w:pPr>
        <w:pStyle w:val="TextoNormal"/>
      </w:pPr>
    </w:p>
    <w:p w:rsidR="005728DD" w:rsidRDefault="005728DD" w:rsidP="005728DD">
      <w:pPr>
        <w:pStyle w:val="TextoNormal"/>
      </w:pPr>
      <w:r>
        <w:t>La pretensión constitucional de la recurrente es apoyada en su escrito de alegaciones por el fiscal ante este tribunal, mientras que la organización sindical personada solicita que declaremos la inadmisión del recurso de amparo por óbices procesales, negando además que sea de estimar en cuanto al fondo. Así trabado el debate, ha de darse respuesta en primer lugar al óbice procesal planteado por ELA, en cuanto su estimación impediría el examen de la queja de la demanda.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Óbice a la admisibilidad del recurso</w:t>
      </w:r>
      <w:r>
        <w:t>.</w:t>
      </w:r>
    </w:p>
    <w:p w:rsidR="005728DD" w:rsidRDefault="005728DD" w:rsidP="005728DD">
      <w:pPr>
        <w:pStyle w:val="TextoNormal"/>
      </w:pPr>
    </w:p>
    <w:p w:rsidR="005728DD" w:rsidRDefault="005728DD" w:rsidP="005728DD">
      <w:pPr>
        <w:pStyle w:val="TextoNormal"/>
      </w:pPr>
      <w:r>
        <w:t xml:space="preserve">a) Como se dejó constancia en los antecedentes, ya en el tramo final de su escrito de alegaciones la organización sindical personada afirmó que la demanda de amparo denota la inexistencia de “interés y trascendencia constitucional”, refiriéndose al requisito de la especial trascendencia constitucional del recurso previsto en los arts. 49.1 y 50.1 b) LOTC. A su parecer, no la tiene al haberse planteado para determinar si la parte recurrente podía promover incidente de nulidad de actuaciones sin la previa interposición de un recurso de casación para la unificación de doctrina, solo porque esta entienda subjetivamente que dicha casación es improcedente o inservible. Como segundo argumento que ofrece la parte personada como óbice, dice que el presente recurso de amparo debe inadmitirse </w:t>
      </w:r>
      <w:r w:rsidRPr="005728DD">
        <w:rPr>
          <w:i/>
        </w:rPr>
        <w:t>ex</w:t>
      </w:r>
      <w:r>
        <w:t xml:space="preserve"> arts. 44.1 a) y 50.1 a) LOTC porque “no se han agotado debidamente todos los medios de impugnación dentro de la vía judicial”.</w:t>
      </w:r>
    </w:p>
    <w:p w:rsidR="005728DD" w:rsidRDefault="005728DD" w:rsidP="005728DD">
      <w:pPr>
        <w:pStyle w:val="TextoNormal"/>
      </w:pPr>
    </w:p>
    <w:p w:rsidR="005728DD" w:rsidRDefault="005728DD" w:rsidP="005728DD">
      <w:pPr>
        <w:pStyle w:val="TextoNormal"/>
      </w:pPr>
      <w:r>
        <w:t xml:space="preserve">Para su respuesta se impone una primera precisión, y es que lo alegado como segundo óbice procesal, la falta de agotamiento de los medios de impugnación antes de venir ante nosotros, más bien revela una crítica a la queja de fondo de la demanda que llevaría a desestimarla, y no a su inadmisión. En efecto, el escrito de alegaciones de ELA no defiende que tras serle notificada la providencia del incidente de nulidad, la mercantil recurrente tuviera que agotar algún medio de impugnación contra dicha providencia antes de formalizar la demanda de amparo, siendo evidente a su vez, que de haber dado la Sala de lo Social una </w:t>
      </w:r>
      <w:r>
        <w:lastRenderedPageBreak/>
        <w:t>respuesta de fondo a la solicitud de nulidad, la recurrente ya no habría deducido demanda de amparo por su inadmisión tal y como aquí ha hecho (la habría articulado en su caso por otros motivos, o se habría aquietado con la decisión), todo lo cual descarta su consideración como tal óbice por falta de agotamiento de la vía judicial previa al amparo.</w:t>
      </w:r>
    </w:p>
    <w:p w:rsidR="005728DD" w:rsidRDefault="005728DD" w:rsidP="005728DD">
      <w:pPr>
        <w:pStyle w:val="TextoNormal"/>
      </w:pPr>
    </w:p>
    <w:p w:rsidR="005728DD" w:rsidRDefault="005728DD" w:rsidP="005728DD">
      <w:pPr>
        <w:pStyle w:val="TextoNormal"/>
      </w:pPr>
      <w:r>
        <w:t>Lo que en realidad indica el sindicato personado es que el recurso de casación para la unificación de doctrina sí cabía contra la sentencia de suplicación, en vez del alternativo incidente de nulidad utilizado por la recurrente, pero ese es justamente el objeto de la queja de fondo deducida por esta última.</w:t>
      </w:r>
    </w:p>
    <w:p w:rsidR="005728DD" w:rsidRDefault="005728DD" w:rsidP="005728DD">
      <w:pPr>
        <w:pStyle w:val="TextoNormal"/>
      </w:pPr>
    </w:p>
    <w:p w:rsidR="005728DD" w:rsidRDefault="005728DD" w:rsidP="005728DD">
      <w:pPr>
        <w:pStyle w:val="TextoNormal"/>
      </w:pPr>
      <w:r>
        <w:t xml:space="preserve">A mayor abundamiento, resulta reiterada la doctrina constitucional que permite venir en amparo contra la decisión denegatoria de un incidente de nulidad interpuesto contra una resolución anterior del proceso </w:t>
      </w:r>
      <w:r w:rsidRPr="005728DD">
        <w:rPr>
          <w:i/>
        </w:rPr>
        <w:t>a quo</w:t>
      </w:r>
      <w:r>
        <w:t>, sin tener que agotar más recursos o promover antes otro incidente de nulidad (SSTC 153/2012, de 16 de julio; 9/2014, de 27 de enero; 204/2014, de 15 de diciembre; 91/2015, de 11 de mayo; 96/2015, de 25 de mayo; 98/2015, de 25 de mayo; 142/2015, de 22 de junio; 65/2016, de 11 de abril, y 102/2020, de 21 de septiembre).</w:t>
      </w:r>
    </w:p>
    <w:p w:rsidR="005728DD" w:rsidRDefault="005728DD" w:rsidP="005728DD">
      <w:pPr>
        <w:pStyle w:val="TextoNormal"/>
      </w:pPr>
    </w:p>
    <w:p w:rsidR="005728DD" w:rsidRDefault="005728DD" w:rsidP="005728DD">
      <w:pPr>
        <w:pStyle w:val="TextoNormal"/>
      </w:pPr>
      <w:r>
        <w:t>b) Ha de analizarse solamente, por tanto, la objeción de la falta material del requisito de la especial de trascendencia constitucional del recurso. En los términos con que la misma es defendida en el escrito de alegaciones, se adelanta que dicho óbice ha de ser desestimado. En primer lugar, porque el contenido entre otras de las SSTC 91/2015, 142/2015, y 143/2020, además del ATC 65/2018, de 18 de junio, evidencia que este tribunal sí considera de especial trascendencia constitucional el problema derivado del desconocimiento por algunos órganos judiciales del papel asignado por nuestro ordenamiento jurídico al incidente de nulidad de actuaciones como cauce de reparación de la lesión de los derechos fundamentales y salvaguarda de la subsidiariedad de esta jurisdicción constitucional de amparo, tras su reforma por la Ley Orgánica 6/2007, de 24 de mayo, al inadmitir a trámite dicho incidente afirmándose que la parte debió interponer contra la respectiva resolución un recurso de naturaleza extraordinaria —y no dicho incidente— el cual, sin embargo, no cabe en todo caso ni se ofrecen datos que permitan colegir que lo fuere necesariamente en el asunto planteado.</w:t>
      </w:r>
    </w:p>
    <w:p w:rsidR="005728DD" w:rsidRDefault="005728DD" w:rsidP="005728DD">
      <w:pPr>
        <w:pStyle w:val="TextoNormal"/>
      </w:pPr>
    </w:p>
    <w:p w:rsidR="005728DD" w:rsidRDefault="005728DD" w:rsidP="005728DD">
      <w:pPr>
        <w:pStyle w:val="TextoNormal"/>
      </w:pPr>
      <w:r>
        <w:t>Como se hizo constar en la providencia de admisión a trámite de este recurso, se reconoció su especial trascendencia constitucional por tratarse de un problema o una faceta de un derecho fundamental sobre el que no hay doctrina, en concreto, añadimos ahora, en relación con la protección del incidente de nulidad cuando este se inadmite por considerarse preceptiva la interposición de un recurso de casación para la unificación de doctrina laboral, como cauce para denunciar la infracción de una doctrina de este Tribunal Constitucional. Cabe añadir, en fin, que conforme tenemos reiterado, “es a este tribunal a quien corresponde apreciar si el contenido del recurso justifica una decisión sobre el fondo en razón de su especial trascendencia constitucional, que encuentra su momento procesal idóneo en el trámite de admisión contemplado en el art. 50.1 LOTC [últimamente, SSTC 46/2019, de 8 de abril, FJ 3 c); 54/2019, FJ 3 c); 58/2019, FJ 3 c); 59/2019, FJ 3 b), las tres últimas de 6 de mayo, y 3/2020, de 15 de enero, FJ 4, así como las anteriores que ahí se citan]” (STC 143/2020, FJ 2).</w:t>
      </w:r>
    </w:p>
    <w:p w:rsidR="005728DD" w:rsidRDefault="005728DD" w:rsidP="005728DD">
      <w:pPr>
        <w:pStyle w:val="TextoNormal"/>
      </w:pPr>
    </w:p>
    <w:p w:rsidR="005728DD" w:rsidRDefault="005728DD" w:rsidP="005728DD">
      <w:pPr>
        <w:pStyle w:val="TextoNormal"/>
      </w:pPr>
      <w:r>
        <w:t>Se desestima en consecuencia el óbice procesal invocado.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aplicable al examen de la queja de fondo</w:t>
      </w:r>
      <w:r>
        <w:t>.</w:t>
      </w:r>
    </w:p>
    <w:p w:rsidR="005728DD" w:rsidRDefault="005728DD" w:rsidP="005728DD">
      <w:pPr>
        <w:pStyle w:val="TextoNormal"/>
      </w:pPr>
    </w:p>
    <w:p w:rsidR="005728DD" w:rsidRDefault="005728DD" w:rsidP="005728DD">
      <w:pPr>
        <w:pStyle w:val="TextoNormal"/>
      </w:pPr>
      <w:r>
        <w:t>Como punto previo, debe aclararse que la faceta del derecho fundamental a la tutela judicial efectiva (art. 24.1 CE) que resulta concernida en este caso, tal como hemos declarado recientemente a propósito de otra demanda de amparo en la que se planteaba el mismo problema constitucional de fondo que aquí, aunque respecto de un recurso extraordinario y orden jurisdiccional distinto, es la del derecho de acceso a los recursos, pues “si bien no se trata técnicamente de un recurso porque este se articula frente a resoluciones judiciales no firmes y el incidente de nulidad de actuaciones procede frente a resoluciones que ya han alcanzado firmeza, la faceta del derecho al recurso (art. 24.1 CE) es la concernida cuando se trata de decisiones de inadmisión de tales incidentes, también cuando este asunto se erige en queja autónoma de la demanda de amparo (al efecto, SSTC 153/2012, de 16 de julio, FJ 2; 204/2014, de 15 de diciembre, FJ 3; 91/2015, de 11 de mayo, FJ 3, y 142/2015, de 22 de junio, FJ 2). Dos de las posibles formas de vulneración del derecho son el carácter arbitrario o irrazonable de la decisión de inadmisión, que es lo alegado” [STC 143/2020, FJ 3 b)], también en la presente demanda.</w:t>
      </w:r>
    </w:p>
    <w:p w:rsidR="005728DD" w:rsidRDefault="005728DD" w:rsidP="005728DD">
      <w:pPr>
        <w:pStyle w:val="TextoNormal"/>
      </w:pPr>
    </w:p>
    <w:p w:rsidR="005728DD" w:rsidRDefault="005728DD" w:rsidP="005728DD">
      <w:pPr>
        <w:pStyle w:val="TextoNormal"/>
      </w:pPr>
      <w:r>
        <w:t>Con este punto de partida, procede poner de relieve la siguiente doctrina:</w:t>
      </w:r>
    </w:p>
    <w:p w:rsidR="005728DD" w:rsidRDefault="005728DD" w:rsidP="005728DD">
      <w:pPr>
        <w:pStyle w:val="TextoNormal"/>
      </w:pPr>
    </w:p>
    <w:p w:rsidR="005728DD" w:rsidRDefault="005728DD" w:rsidP="005728DD">
      <w:pPr>
        <w:pStyle w:val="TextoNormal"/>
      </w:pPr>
      <w:r>
        <w:t xml:space="preserve">a) Ante todo, al ejercitar este tribunal el control por la posible vulneración del derecho al recurso en todos los casos, excepto en el proceso penal (derecho a la doble instancia regido por el principio </w:t>
      </w:r>
      <w:r w:rsidRPr="005728DD">
        <w:rPr>
          <w:i/>
        </w:rPr>
        <w:t>pro actione</w:t>
      </w:r>
      <w:r>
        <w:t>: últimamente, SSTC 3/2021, de 25 de enero, FJ 3, y 4/2021, de 25 de enero, FJ 3, y las que en ambas se citan), venimos advirtiendo que «[…]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 [STC 7/2015, de 22 de enero, FJ 2 A) c)]» [STC 143/2020, FJ 4 a)].</w:t>
      </w:r>
    </w:p>
    <w:p w:rsidR="005728DD" w:rsidRDefault="005728DD" w:rsidP="005728DD">
      <w:pPr>
        <w:pStyle w:val="TextoNormal"/>
      </w:pPr>
    </w:p>
    <w:p w:rsidR="005728DD" w:rsidRDefault="005728DD" w:rsidP="005728DD">
      <w:pPr>
        <w:pStyle w:val="TextoNormal"/>
      </w:pPr>
      <w:r>
        <w:t>De manera más concreta, respecto de la inadmisión judicial de un incidente de nulidad de actuaciones por no haber interpuesto la parte en su lugar un recurso devolutivo de carácter extraordinario contra la resolución previa, hemos dicho que “la motivación que necesariamente ha de ofrecer el órgano judicial competente para inadmitir el incidente de nulidad, aunque sea sucinta, debe precisar el recurso extraordinario que a su parecer cabría interponer, teniendo para ello en cuenta las posibilidades reales de procedencia de tal recurso en el caso concreto, habida cuenta su regulación legal. El no hacerlo así conlleva la vulneración del derecho al recurso de la parte demandante de amparo (SSTC 91/2015, de 11 de mayo, FJ 3, y 142/2015, de 22 de junio, FJ 4)” [STC 143/2020, FJ 4 b) (ii)].</w:t>
      </w:r>
    </w:p>
    <w:p w:rsidR="005728DD" w:rsidRDefault="005728DD" w:rsidP="005728DD">
      <w:pPr>
        <w:pStyle w:val="TextoNormal"/>
      </w:pPr>
    </w:p>
    <w:p w:rsidR="005728DD" w:rsidRDefault="005728DD" w:rsidP="005728DD">
      <w:pPr>
        <w:pStyle w:val="TextoNormal"/>
      </w:pPr>
      <w:r>
        <w:t xml:space="preserve">Lógicamente, la aplicación de esta doctrina ha de cohonestarse con la configuración legal de los recursos dentro de cada orden jurisdiccional. Siendo un recurso extraordinario que por tanto no cabe frente a todo tipo de resoluciones ni por cualquier infracción jurídica, ha de verificarse si está garantizado el acceso por un criterio predeterminado y directo por la ley, como puede ser el de la cuantía o el de la tramitación de la causa en la instancia por un determinado tipo de procedimiento con especialidades, por ejemplo en la casación civil [STC 143/2020, FJ 5 b)], o si la norma reconoce un margen de interpretación al tribunal </w:t>
      </w:r>
      <w:r w:rsidRPr="005728DD">
        <w:rPr>
          <w:i/>
        </w:rPr>
        <w:t>ad quem</w:t>
      </w:r>
      <w:r>
        <w:t xml:space="preserve"> para apreciar si concurre en cada caso o no el motivo legal de acceso, como sucede en la casación por interés casacional tanto en el orden civil [STC 143/2020, FJ 5 b)], como </w:t>
      </w:r>
      <w:r>
        <w:lastRenderedPageBreak/>
        <w:t>en el orden contencioso-administrativo [SSTC 112/2019, de 3 de octubre, FJ 3 e); 98/2020, de 22 de julio, FJ 2 B), y ATC 65/2018, de 7 de junio, FJ 5].</w:t>
      </w:r>
    </w:p>
    <w:p w:rsidR="005728DD" w:rsidRDefault="005728DD" w:rsidP="005728DD">
      <w:pPr>
        <w:pStyle w:val="TextoNormal"/>
      </w:pPr>
    </w:p>
    <w:p w:rsidR="005728DD" w:rsidRDefault="005728DD" w:rsidP="005728DD">
      <w:pPr>
        <w:pStyle w:val="TextoNormal"/>
      </w:pPr>
      <w:r>
        <w:t>En todo caso, las distintas Salas del Alto Tribunal han ido elaborando un catálogo de motivos de inadmisión para cada recurso que los operadores jurídicos deben responsablemente tener en cuenta, a fin de no preparar o interponer un recurso destinado a fracasar por defectos formales o por su falta ostensible de contenido [STC 143/2020, FJ 5 b)]. Lo que no es de recibo es que el órgano judicial sustituya a la parte interesada, dando por hecho que la resolución dictada por él mismo incurre en el tipo de infracción jurídica susceptible de tutela a través del referido recurso extraordinario [STC 143/2020, FJ 5 c)].</w:t>
      </w:r>
    </w:p>
    <w:p w:rsidR="005728DD" w:rsidRDefault="005728DD" w:rsidP="005728DD">
      <w:pPr>
        <w:pStyle w:val="TextoNormal"/>
      </w:pPr>
    </w:p>
    <w:p w:rsidR="005728DD" w:rsidRDefault="005728DD" w:rsidP="005728DD">
      <w:pPr>
        <w:pStyle w:val="TextoNormal"/>
      </w:pPr>
      <w:r>
        <w:t>b) Por lo que atañe al orden jurisdiccional social, el cual no conoce del recurso de apelación sino de recursos de acceso tasado contra las decisiones de la instancia (juzgados de lo social), como son el de suplicación ante los tribunales superiores de justicia de las comunidades autónomas, y las dos modalidades del recurso de casación ante la Sala Cuarta del Tribunal Supremo, el general y el de unificación de doctrina, importa aquí detenernos en este último, que es precisamente el señalado por la providencia impugnada en el presente amparo como aquel recurso devolutivo extraordinario que la parte debió necesariamente interponer y no el incidente de nulidad de actuaciones.</w:t>
      </w:r>
    </w:p>
    <w:p w:rsidR="005728DD" w:rsidRDefault="005728DD" w:rsidP="005728DD">
      <w:pPr>
        <w:pStyle w:val="TextoNormal"/>
      </w:pPr>
    </w:p>
    <w:p w:rsidR="005728DD" w:rsidRDefault="005728DD" w:rsidP="005728DD">
      <w:pPr>
        <w:pStyle w:val="TextoNormal"/>
      </w:pPr>
      <w:r>
        <w:t>Así, recientemente hemos recordado en nuestra STC 63/2021, de 15 de marzo, FJ 2, que si bien «formalmente las sentencias dictadas en suplicación por las Sala de lo Social de los Tribunales Superiores de Justicia son recurribles en casación para la unificación de doctrina ante la Sala de lo Social del Tribunal Supremo. Cuestión diferente es si esa vía impugnativa resultaba viable en las circunstancias particulares del caso […], tal medio de impugnación “debe considerarse no solo extraordinario sino excepcional, ‘y esa especial naturaleza determina que no sea preceptiva siempre su interposición para dar por agotada la vía judicial ordinaria, sino solo en aquellos supuestos en los que, por existir doctrina jurisprudencial contradictoria, a la Sala de lo Social del Tribunal Supremo deba darse la posibilidad [determinante en general de esta exigencia del art. 44.1 a) LOTC] de reparar la lesión del derecho fundamental que se entiende vulnerado, salvando así la subsidiariedad del amparo. Pero no será exigible de modo general, dado el concreto alcance de aquel recurso de casación, que consiste en la unificación jurisprudencial a través de la armonización de contradicciones preexistentes en sentencias dictadas en suplicación’ (STC 332/1994, fundamento jurídico 2; en el mismo sentido, entre otras, SSTC 94/1998, fundamento jurídico 2 y 183/1998, fundamento jurídico 2)” (STC 5/1999, de 8 de febrero, FJ 1). Además de que “[c]omo se ha reiteradamente afirmado, ‘no basta con alegar la abstracta procedencia del recurso de casación para la unificación de doctrina’, sino que ‘corresponde a la parte que pretende hacer valer su no interposición, como motivo de la inadmisiblidad de la demanda, acreditar la posibilidad de recurrir en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(STC 210/1994, fundamento jurídico 2; en el mismo sentido STC 183/1998, fundamento jurídico 2)” (</w:t>
      </w:r>
      <w:r w:rsidRPr="005728DD">
        <w:rPr>
          <w:i/>
        </w:rPr>
        <w:t>ibidem</w:t>
      </w:r>
      <w:r>
        <w:t>, también la STC 107/2000, de 5 de mayo, FJ 2)». En el mismo sentido, ATC 3/2019, de 28 de enero, FJ 3.</w:t>
      </w:r>
    </w:p>
    <w:p w:rsidR="005728DD" w:rsidRDefault="005728DD" w:rsidP="005728DD">
      <w:pPr>
        <w:pStyle w:val="TextoNormal"/>
      </w:pPr>
    </w:p>
    <w:p w:rsidR="005728DD" w:rsidRDefault="005728DD" w:rsidP="005728DD">
      <w:pPr>
        <w:pStyle w:val="TextoNormal"/>
      </w:pPr>
      <w:r>
        <w:t xml:space="preserve">c) La doctrina que acaba de reproducirse, predicable en general del recurso de casación para la unificación de doctrina social, no encuentra alteración ni reserva en la causa prevista </w:t>
      </w:r>
      <w:r>
        <w:lastRenderedPageBreak/>
        <w:t>en el art. 219.2 LJS, conforme al cual, y en lo que aquí importa considerar: “Podrá alegarse como doctrina de contradicción la establecida en las sentencias dictadas por el Tribunal Constitucional […] en materia de derechos humanos y libertades fundamentales ratificados por España, siempre que se cumplan los presupuestos del número anterior referidos a la pretensión de tutela de tales derechos y libertades. La sentencia que resuelva el recurso se limitará, en dicho punto de contradicción, a conceder o denegar la tutela del derecho o libertad invocados, en función de la aplicabilidad de dicha doctrina al supuesto planteado”.</w:t>
      </w:r>
    </w:p>
    <w:p w:rsidR="005728DD" w:rsidRDefault="005728DD" w:rsidP="005728DD">
      <w:pPr>
        <w:pStyle w:val="TextoNormal"/>
      </w:pPr>
    </w:p>
    <w:p w:rsidR="005728DD" w:rsidRDefault="005728DD" w:rsidP="005728DD">
      <w:pPr>
        <w:pStyle w:val="TextoNormal"/>
      </w:pPr>
      <w:r>
        <w:t>El número anterior (art. 219.1 LJS) es aquel que delimita la finalidad de dicho recurso extraordinario, diciendo que “el recurso tendrá por objeto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hubiere llegado a pronunciamientos distintos”.</w:t>
      </w:r>
    </w:p>
    <w:p w:rsidR="005728DD" w:rsidRDefault="005728DD" w:rsidP="005728DD">
      <w:pPr>
        <w:pStyle w:val="TextoNormal"/>
      </w:pPr>
    </w:p>
    <w:p w:rsidR="005728DD" w:rsidRDefault="005728DD" w:rsidP="005728DD">
      <w:pPr>
        <w:pStyle w:val="TextoNormal"/>
      </w:pPr>
      <w:r>
        <w:t>Pues bien; la jurisprudencia reiterada de la Sala Cuarta del Tribunal Supremo venía considerando ya al tiempo en el que fue notificada a la entidad recurrente la sentencia de suplicación que le resultó desfavorable —momento en el que su defensa debía ponderar la viabilidad de interponer contra ella un recurso de casación para la unificación de doctrina—, y también actualmente, que al condicionar el art. 219.2 LJS la procedencia del recurso de casación unificadora por infracción de doctrina de este Tribunal Constitucional en materia de derechos fundamentales, a que “se cumplan los presupuestos del número anterior”, eso significa que siguen concurriendo tanto la contradicción de soluciones jurídicas, como la identidad de situaciones entre ambos asuntos, el resuelto en nuestra sentencia que sirve de contraste y el juzgado en la resolución impugnada.</w:t>
      </w:r>
    </w:p>
    <w:p w:rsidR="005728DD" w:rsidRDefault="005728DD" w:rsidP="005728DD">
      <w:pPr>
        <w:pStyle w:val="TextoNormal"/>
      </w:pPr>
    </w:p>
    <w:p w:rsidR="005728DD" w:rsidRDefault="005728DD" w:rsidP="005728DD">
      <w:pPr>
        <w:pStyle w:val="TextoNormal"/>
      </w:pPr>
      <w:r>
        <w:t>Como muestra, el ATS de 9 de marzo de 2019 (recurso de casación para la unificación de doctrina 1338-2019) enjuicia un caso que guarda algunas similitudes con las infracciones denunciadas en el escrito de nulidad de actuaciones por la entidad demandante del presente amparo, afectantes al art. 24.1 CE. La parte en el caso examinado por el alto tribunal optó entonces por interponer la casación unificadora que, sin embargo, resultó inadmitida por la Sala Cuarta del Tribunal Supremo por medio de este auto. Aunque en él se afirma que el supuesto del art. 219.2 LJS no precisa acreditar estrictamente la identidad de hechos, fundamentos y pretensiones, sí que se exige una “homogeneidad de situaciones”, entendida como “coincidencia en el sustrato fáctico” o de las cuestiones debatidas en ambas resoluciones, la impugnada y la de contraste, acerca del modo concreto en que aquella —la impugnada— ha vulnerado el derecho fundamental, conforme así lo ha declarado esta —la del Tribunal Constitucional— en otro asunto. En su fundamento de Derecho sexto, reseña el auto:</w:t>
      </w:r>
    </w:p>
    <w:p w:rsidR="005728DD" w:rsidRDefault="005728DD" w:rsidP="005728DD">
      <w:pPr>
        <w:pStyle w:val="TextoNormal"/>
      </w:pPr>
    </w:p>
    <w:p w:rsidR="005728DD" w:rsidRDefault="005728DD" w:rsidP="005728DD">
      <w:pPr>
        <w:pStyle w:val="TextoNormal"/>
      </w:pPr>
      <w:r>
        <w:t xml:space="preserve">“En el cuarto motivo se alega que la sentencia recurrida se ha excedido en sus funciones revisoras, al haber alterado el relato fáctico sin que las partes hubieran planteado motivo de suplicación a tal efecto. Se invoca de contraste la sentencia núm. 53 del Tribunal Constitucional de 14 de marzo de 2005 (recurso de amparo 4217-2000). Dicha resolución otorga el amparo solicitado, reconoce el derecho del demandante a la tutela judicial efectiva y declara la nulidad de la sentencia que desestimó el recurso de suplicación formulado, retrotrayendo </w:t>
      </w:r>
      <w:r>
        <w:lastRenderedPageBreak/>
        <w:t>las actuaciones para que, tras dar audiencia a las partes, se dicte una nueva resolución respetuosa con el derecho fundamental vulnerado. […] Antes de continuar no resulta ocioso recordar que a tenor del art. 219.2 de la Ley reguladora de la jurisdicción social podrá alegarse como doctrina de contradicción la contenida en las sentencias del Tribunal Constitucional y de los órganos jurisdiccionales instituidos en los Tratados y Acuerdos internacionales en materia de derechos humanos y libertades fundamentales ratificados por España, siempre que se cumplan los presupuestos del número 1 del citado precepto referidos a la pretensión de tutela de tales derechos y libertades, por lo que estas sentencias pueden servir para fundamentar la contradicción a los efectos del recurso de casación unificadora.</w:t>
      </w:r>
    </w:p>
    <w:p w:rsidR="005728DD" w:rsidRDefault="005728DD" w:rsidP="005728DD">
      <w:pPr>
        <w:pStyle w:val="TextoNormal"/>
      </w:pPr>
    </w:p>
    <w:p w:rsidR="005728DD" w:rsidRDefault="005728DD" w:rsidP="005728DD">
      <w:pPr>
        <w:pStyle w:val="TextoNormal"/>
      </w:pPr>
      <w:r>
        <w:t>Ello supone que, salvando las peculiaridades de los procedimientos en que las sentencias comparadas se dicten, el análisis de las identidades debe mantenerse también en estos casos, por más que adecuado a las características del recurso de amparo en el que se produce la sentencia de contraste. En este sentido, no es suficiente con que el derecho fundamental —y, por ende, el precepto constitucional— invocado sea el mismo, sino que se hace precisa una más minuciosa coincidencia en el sustrato fáctico del que parte para lograr su protección, de acuerdo con la STS 14/11/2014 (R. 1839-2013).</w:t>
      </w:r>
    </w:p>
    <w:p w:rsidR="005728DD" w:rsidRDefault="005728DD" w:rsidP="005728DD">
      <w:pPr>
        <w:pStyle w:val="TextoNormal"/>
      </w:pPr>
    </w:p>
    <w:p w:rsidR="005728DD" w:rsidRDefault="005728DD" w:rsidP="005728DD">
      <w:pPr>
        <w:pStyle w:val="TextoNormal"/>
      </w:pPr>
      <w:r>
        <w:t>Que el legislador haya relajado la contradicción no significa que la misma haya desaparecido, pues el contraste de doctrinas se permite ‘siempre que se cumplan los presupuestos del número anterior’. Por eso en las SSTS 14 noviembre 2014 (rec. 1236, 1839 y 2431/2013) se explica que no es necesario que las pretensiones sean idénticas, aunque sí los debates sobre vulneración del derecho; desde la perspectiva del derecho constitucional invocado, las situaciones sí han de ser homogéneas pues de lo contrario no podía hablarse de contradicción entre doctrinas. En suma, no se exige la identidad integral habitual (‘hechos, fundamentos y pretensiones’) pero sí la homogeneidad en los debates (problema suscitado).</w:t>
      </w:r>
    </w:p>
    <w:p w:rsidR="005728DD" w:rsidRDefault="005728DD" w:rsidP="005728DD">
      <w:pPr>
        <w:pStyle w:val="TextoNormal"/>
      </w:pPr>
    </w:p>
    <w:p w:rsidR="005728DD" w:rsidRDefault="005728DD" w:rsidP="005728DD">
      <w:pPr>
        <w:pStyle w:val="TextoNormal"/>
      </w:pPr>
      <w:r>
        <w:t>Debe apreciarse falta de contradicción en las doctrinas contenidas en las sentencias comparadas conforme exige el art. 219.2 LJS, ya que nada tienen que ver las cuestiones debatidas. Así, en el caso de autos no se debate en relación a la posible incongruencia de la sentencia de suplicación, sino que se plantea por la recurrente que la Sala se excedió en sus funciones al haber tenido en cuenta unos hechos que para la recurrente no constan en la sentencia de instancia. Y la Sala desestima el recurso de la demandada por defectuosa articulación del mismo.</w:t>
      </w:r>
    </w:p>
    <w:p w:rsidR="005728DD" w:rsidRDefault="005728DD" w:rsidP="005728DD">
      <w:pPr>
        <w:pStyle w:val="TextoNormal"/>
      </w:pPr>
    </w:p>
    <w:p w:rsidR="005728DD" w:rsidRDefault="005728DD" w:rsidP="005728DD">
      <w:pPr>
        <w:pStyle w:val="TextoNormal"/>
      </w:pPr>
      <w:r>
        <w:t>Por el contrario, en la sentencia de contraste se declara la incongruencia de la sentencia resolutoria del recurso de suplicación. En este supuesto lo que se solicitaba por la parte era una revisión de la incapacidad permanente total reconocida, fallando la Sala en el sentido de que no procedía el reconocimiento del grado incapacitante solicitado, teniendo en cuenta que el trabajador estaba jubilado, de ahí que el Tribunal Constitucional, en este caso, entienda que se vulnera el art. 24.1 CE puesto que se transformó la petición de revisión por agravación del grado invalidante, en un litigio sobre si procede el reconocimiento de un grado de incapacidad permanente cuando se tiene la condición de jubilado; cuestión sobre la que no se dio audiencia a las partes. Añadiendo en la Sala que en el recurso de suplicación la Sala debe ceñirse estrictamente a los motivos de recurso planteados por las partes. Por ello, la doctrina contenida en la sentencia de comparación, no es extensible al supuesto contemplado en la sentencia recurrida”.</w:t>
      </w:r>
    </w:p>
    <w:p w:rsidR="005728DD" w:rsidRDefault="005728DD" w:rsidP="005728DD">
      <w:pPr>
        <w:pStyle w:val="TextoNormal"/>
      </w:pPr>
    </w:p>
    <w:p w:rsidR="005728DD" w:rsidRDefault="005728DD" w:rsidP="005728DD">
      <w:pPr>
        <w:pStyle w:val="TextoNormal"/>
      </w:pPr>
      <w:r>
        <w:lastRenderedPageBreak/>
        <w:t>En el ATS de 13 de marzo de 2019 (recurso de casación para la unificación de doctrina 1156-2018), por su parte, se sostiene que “el análisis de las identidades debe mantenerse también en estos casos”:</w:t>
      </w:r>
    </w:p>
    <w:p w:rsidR="005728DD" w:rsidRDefault="005728DD" w:rsidP="005728DD">
      <w:pPr>
        <w:pStyle w:val="TextoNormal"/>
      </w:pPr>
    </w:p>
    <w:p w:rsidR="005728DD" w:rsidRDefault="005728DD" w:rsidP="005728DD">
      <w:pPr>
        <w:pStyle w:val="TextoNormal"/>
      </w:pPr>
      <w:r>
        <w:t>“A tenor del art. 219.2 de la Ley reguladora de la jurisdicción social podrán alegarse como doctrina de contradicción las sentencias del Tribunal Constitucional y de los órganos jurisdiccionales instituidos en los Tratados y Acuerdos internacionales en materia de derechos humanos y libertades fundamentales ratificados por España, siempre que se cumplan los presupuestos del art 219.1 LJS referidos a la pretensión de tutela de tales derechos y libertades, por lo que estas sentencias pueden servir para fundamentar la contradicción a los efectos del recurso de casación unificadora. Ello supone que, salvando las peculiaridades de los procedimientos en que las sentencias comparadas se dicten, el análisis de las identidades debe mantenerse también en estos casos, por más que adecuado a las características del recurso de amparo en el que se produce la sentencia de contraste. En este sentido, no es suficiente con que el derecho fundamental —y, por ende, el precepto constitucional— invocado sea el mismo, sino que se hace precisa una más minuciosa coincidencia en el sustrato fáctico del que parte para lograr su protección. (STS 16/09/2014 (R. 2431/2013) y Autos 09/04/2013 (R. 2221/2012), 17/09/2013 (R. 1163/203) 28/01/2014 (R. 1234/2013), 12/03/2014 (R.1309/2013) 08/04/2014 (R. 2316/2013)”.</w:t>
      </w:r>
    </w:p>
    <w:p w:rsidR="005728DD" w:rsidRDefault="005728DD" w:rsidP="005728DD">
      <w:pPr>
        <w:pStyle w:val="TextoNormal"/>
      </w:pPr>
    </w:p>
    <w:p w:rsidR="005728DD" w:rsidRDefault="005728DD" w:rsidP="005728DD">
      <w:pPr>
        <w:pStyle w:val="TextoNormal"/>
      </w:pPr>
      <w:r>
        <w:t>En el mismo sentido que este último, se pueden citar entre otros los AATS de 22 de septiembre de 2019, 15 de octubre de 2019, y 1 de diciembre de 2020 (recursos de casación para la unificación de doctrina 746-2019, 893-2019) y 922-2020, respectivamente).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al caso planteado</w:t>
      </w:r>
      <w:r>
        <w:t>.</w:t>
      </w:r>
    </w:p>
    <w:p w:rsidR="005728DD" w:rsidRDefault="005728DD" w:rsidP="005728DD">
      <w:pPr>
        <w:pStyle w:val="TextoNormal"/>
      </w:pPr>
    </w:p>
    <w:p w:rsidR="005728DD" w:rsidRDefault="005728DD" w:rsidP="005728DD">
      <w:pPr>
        <w:pStyle w:val="TextoNormal"/>
      </w:pPr>
      <w:r>
        <w:t>La aplicación de la doctrina de referencia ha de conducir a la estimación de la demanda interpuesta. Precisamente porque el medio impugnatorio efectivamente utilizado por la recurrente contra la sentencia de suplicación fue el incidente de nulidad de actuaciones, en el que aparte de infracciones de legalidad ordinaria (art. 218 de la Ley de enjuiciamiento civil), se alegó la vulneración del derecho fundamental a la tutela judicial efectiva (art. 24.1 CE), bien por incongruencia con cita de doctrina de este Tribunal Constitucional, bien por exceso de jurisdicción de la Sala competente del Tribunal Superior de Justicia al resolver aquel recurso de suplicación, el cauce de acceso al recurso de casación para la unificación de doctrina era el del art. 219.2 LJS; esto es, la conculcación de doctrina del Tribunal Constitucional en materia de derechos fundamentales. Sin embargo, como hemos visto la jurisprudencia de la Sala Cuarta del Tribunal Supremo exige también aquí para su procedencia, el que exista una identidad de situaciones fácticas entre la resolución impugnada y la de este Tribunal Constitucional que sirviera de contraste, identidad que la aquí recurrente entendió que no concurría en su caso y que, por tanto, de haber interpuesto dicho recurso de casación este habría sido inadmitido a trámite, perdiendo así la oportunidad de impetrar la reparación del derecho fundamental vulnerado ante la propia Sala autora de la resolución lesiva. Por esta razón optó por deducir el incidente de nulidad, para cuya viabilidad no es necesario que concurra una identidad de situaciones, bastando con que resulten aplicables al caso concreto los postulados generales de nuestra doctrina sobre el derecho fundamental de que se trate.</w:t>
      </w:r>
    </w:p>
    <w:p w:rsidR="005728DD" w:rsidRDefault="005728DD" w:rsidP="005728DD">
      <w:pPr>
        <w:pStyle w:val="TextoNormal"/>
      </w:pPr>
    </w:p>
    <w:p w:rsidR="005728DD" w:rsidRDefault="005728DD" w:rsidP="005728DD">
      <w:pPr>
        <w:pStyle w:val="TextoNormal"/>
      </w:pPr>
      <w:r>
        <w:lastRenderedPageBreak/>
        <w:t>Incluso, a mayor abundamiento, si a efectos hipotéticos se deja por un momento al margen la utilización del incidente de nulidad de actuaciones que hizo la recurrente y se considera la queja contra la sentencia de suplicación como una infracción procesal de legalidad ordinaria, el cauce del recurso de casación para la unificación de doctrina sería entonces el del art. 219.1 LJS, donde de todas formas seguiría siendo exigible la homogeneidad e identidad de situaciones a la que se ha hecho mención —como reconoce la entidad personada en su escrito de alegaciones—, o más estrictamente en su caso la identidad de “hechos, fundamentos y pretensiones sustancialmente iguales”, como reza la norma.</w:t>
      </w:r>
    </w:p>
    <w:p w:rsidR="005728DD" w:rsidRDefault="005728DD" w:rsidP="005728DD">
      <w:pPr>
        <w:pStyle w:val="TextoNormal"/>
      </w:pPr>
    </w:p>
    <w:p w:rsidR="005728DD" w:rsidRDefault="005728DD" w:rsidP="005728DD">
      <w:pPr>
        <w:pStyle w:val="TextoNormal"/>
      </w:pPr>
      <w:r>
        <w:t>La conducta procesal de la recurrente, en definitiva, no puede ser tildada de negligente o desconocedora del recurso de casación para la unificación de doctrina, sin que corresponda a la Sala de lo Social del Tribunal Superior de Justicia el sustituir a aquella en la tarea de determinar si dicho recurso de casación cabía en ese caso por existir la debida identidad con otra de este Tribunal Constitucional. De todos modos, la providencia impugnada ningún dato aporta para entender que tal cosa era en efecto posible, limitándose a decir que su sentencia era “susceptible” de ser recurrida en casación para unificación de doctrina ante el Tribunal Supremo, y que no estaba de acuerdo con los argumentos ofrecidos en el escrito de nulidad para justificar haber acudido a este, porque en aquel “puede hacerse valer cualquier motivo de nulidad”, aserto claramente incorrecto, puesto que el art. 219 LJS somete en todo caso su procedencia a unos requisitos peculiares que pueden o no darse, más allá de que en su trasfondo se trate del control de la infracción de normas y derechos, sustantivos o procesales.</w:t>
      </w:r>
    </w:p>
    <w:p w:rsidR="005728DD" w:rsidRDefault="005728DD" w:rsidP="005728DD">
      <w:pPr>
        <w:pStyle w:val="TextoNormal"/>
      </w:pPr>
    </w:p>
    <w:p w:rsidR="005728DD" w:rsidRDefault="005728DD" w:rsidP="005728DD">
      <w:pPr>
        <w:pStyle w:val="TextoNormal"/>
      </w:pPr>
      <w:r>
        <w:t>Al haber segado con este escueto e irrazonable argumento el derecho de la recurrente a impugnar la sentencia de suplicación por un instrumento que resultaba legalmente procedente como era el incidente de nulidad de actuaciones (art. 241 LOPJ), inadmitiéndolo a trámite, la Sala vulneró su derecho a la tutela judicial efectiva en su vertiente de acceso al recurso.</w:t>
      </w:r>
    </w:p>
    <w:p w:rsidR="005728DD" w:rsidRDefault="005728DD" w:rsidP="005728DD">
      <w:pPr>
        <w:pStyle w:val="TextoNormal"/>
      </w:pPr>
    </w:p>
    <w:p w:rsidR="005728DD" w:rsidRDefault="005728DD" w:rsidP="005728DD">
      <w:pPr>
        <w:pStyle w:val="TextoNormal"/>
      </w:pPr>
      <w:r>
        <w:t>Debe por tanto estimarse la presente demanda de amparo, con nulidad de la providencia impugnada y retroacción de las actuaciones al momento inmediatamente anterior a dictarse esta, para que en su lugar se provea por la Sala mediante una resolución que resulte respetuosa del derecho fundamental.</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Estimar la demanda presentada por la entidad Naguspea, S.L., por vulneración de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Declarar la nulidad de la providencia de 17 de diciembre de 2019 de la Sala de lo Social del Tribunal Superior de Justicia del País Vasco (recurso 1584-2019).</w:t>
      </w:r>
    </w:p>
    <w:p w:rsidR="005728DD" w:rsidRDefault="005728DD" w:rsidP="005728DD">
      <w:pPr>
        <w:pStyle w:val="TextoNormal"/>
      </w:pPr>
    </w:p>
    <w:p w:rsidR="005728DD" w:rsidRDefault="005728DD" w:rsidP="005728DD">
      <w:pPr>
        <w:pStyle w:val="TextoNormal"/>
      </w:pPr>
      <w:r>
        <w:lastRenderedPageBreak/>
        <w:t>3º Retrotraer el procedimiento al momento inmediatamente anterior al dictado de dicha providencia, para que por la Sala competente se provea a otra resolución que resulte respetuosa con el derecho fundamental declarado.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diez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8" w:name="SENTENCIA_2021_105"/>
      <w:r>
        <w:lastRenderedPageBreak/>
        <w:t>SENTENCIA 105/2021, de 11 de mayo de 2021</w:t>
      </w:r>
    </w:p>
    <w:bookmarkEnd w:id="108"/>
    <w:p w:rsidR="005728DD" w:rsidRDefault="005728DD" w:rsidP="005728DD">
      <w:pPr>
        <w:pStyle w:val="TtuloResolucin"/>
      </w:pPr>
      <w:r>
        <w:t>Pleno</w:t>
      </w:r>
    </w:p>
    <w:p w:rsidR="005728DD" w:rsidRDefault="005728DD" w:rsidP="005728DD">
      <w:pPr>
        <w:pStyle w:val="TtuloBOE"/>
      </w:pPr>
      <w:r>
        <w:t>(BOE núm. 142, de 15 de junio de 2021)</w:t>
      </w:r>
    </w:p>
    <w:p w:rsidR="005728DD" w:rsidRDefault="005728DD" w:rsidP="005728DD">
      <w:pPr>
        <w:pStyle w:val="TextoNormalCentrado"/>
      </w:pPr>
      <w:r>
        <w:t>ECLI:ES:TC:2021:105</w:t>
      </w:r>
    </w:p>
    <w:p w:rsidR="005728DD" w:rsidRDefault="005728DD" w:rsidP="005728DD">
      <w:pPr>
        <w:pStyle w:val="TextoNormalCentrado"/>
      </w:pPr>
    </w:p>
    <w:p w:rsidR="005728DD" w:rsidRDefault="005728DD" w:rsidP="005728DD">
      <w:pPr>
        <w:pStyle w:val="SntesisDescriptiva"/>
      </w:pPr>
      <w:r>
        <w:t>Recurso de amparo 6239-2019. Promovido por don Jordi Turull i Negre respecto de los acuerdos de la mesa del Congreso de los Diputados declarando su suspensión como diputado.</w:t>
      </w:r>
    </w:p>
    <w:p w:rsidR="005728DD" w:rsidRDefault="005728DD" w:rsidP="005728DD">
      <w:pPr>
        <w:pStyle w:val="SntesisDescriptiva"/>
      </w:pPr>
    </w:p>
    <w:p w:rsidR="005728DD" w:rsidRDefault="005728DD" w:rsidP="005728DD">
      <w:pPr>
        <w:pStyle w:val="SntesisAnaltica"/>
      </w:pPr>
      <w:r>
        <w:t>Supuesta vulneración de los derechos al ejercicio del cargo público representativo y a la tutela judicial: STC 69/2021 (resoluciones parlamentarias que aplican, motivadamente y sin afectar al grupo parlamentario, la previsión legal de suspensión automática del cargo parlamentario).</w:t>
      </w:r>
    </w:p>
    <w:p w:rsidR="005728DD" w:rsidRDefault="005728DD" w:rsidP="005728DD">
      <w:pPr>
        <w:pStyle w:val="SntesisAnaltica"/>
      </w:pPr>
    </w:p>
    <w:p w:rsidR="005728DD" w:rsidRDefault="005728DD" w:rsidP="005728DD">
      <w:pPr>
        <w:pStyle w:val="Extracto"/>
      </w:pPr>
      <w:r>
        <w:t>1.</w:t>
      </w:r>
      <w:r>
        <w:tab/>
        <w:t>Se aplica la doctrina constitucional sentada en las SSTC 97/2020 y 69/2021, relativa a la ausencia de vulneración del derecho a acceder a cargos representativos (art. 23.2 CE) por parte de las resoluciones de la mesa del Congreso de los Diputados que determinan, de forma motivada y respetuosa con el núcleo del</w:t>
      </w:r>
      <w:r w:rsidRPr="005728DD">
        <w:rPr>
          <w:i/>
        </w:rPr>
        <w:t xml:space="preserve"> ius in officium</w:t>
      </w:r>
      <w:r>
        <w:t>, el alcance y los efectos de la suspensión automática en el ejercicio del cargo parlamentario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6239-2019, promovido por don Jordi Turull i Negre representado por el procurador de los tribunales don Carlos Estévez Sanz y defendido por el letrado don Jaume Alonso-Cuevillas i Sayrol, contra el acuerdo de la mesa del Congreso de los Diputados de 25 (sic) de julio de 2019, por el que se desestima la solicitud de reconsideración presentada contra el acuerdo del mismo órgano de gobierno de la cámara de 5 de junio de 2019, complementario del acuerdo de 24 de mayo de 2019, en relación con la declaración de suspensión como diputado del recurrente. Ha comparecido y presentado alegaciones el Congreso de los Diputados, representado por la letrada de las Cortes Generales. Ha intervenido el Ministerio Fiscal. Ha sido ponente el magistrado don Cándido Conde-Pumpido Tourón.</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general del Tribunal Constitucional el 31 de octubre de 2019, el procurador de los tribunales don Carlos Estévez Sanz presentó recurso de amparo en representación de don Jordi Turull i Negre contra las resoluciones de la mesa del Congreso de los Diputados reseñadas en el encabezamiento de la presente sentencia.</w:t>
      </w:r>
    </w:p>
    <w:p w:rsidR="005728DD" w:rsidRDefault="005728DD" w:rsidP="005728DD">
      <w:pPr>
        <w:pStyle w:val="TextoNormal"/>
      </w:pPr>
    </w:p>
    <w:p w:rsidR="005728DD" w:rsidRDefault="005728DD" w:rsidP="005728DD">
      <w:pPr>
        <w:pStyle w:val="TextoNormal"/>
      </w:pPr>
      <w:r>
        <w:t>A) Los hechos expuestos en la demanda son, en síntesis, los siguientes:</w:t>
      </w:r>
    </w:p>
    <w:p w:rsidR="005728DD" w:rsidRDefault="005728DD" w:rsidP="005728DD">
      <w:pPr>
        <w:pStyle w:val="TextoNormal"/>
      </w:pPr>
    </w:p>
    <w:p w:rsidR="005728DD" w:rsidRDefault="005728DD" w:rsidP="005728DD">
      <w:pPr>
        <w:pStyle w:val="TextoNormal"/>
      </w:pPr>
      <w:r>
        <w:t>a) El 21 de marzo de 2018, el magistrado de la Sala de lo Penal del Tribunal Supremo que instruía la causa especial 20907-2017 dictó auto de procesamiento contra, entre otras personas, el demandante, entonces diputado del Parlamento de Cataluña. El procesamiento lo fue por un posible delito de rebelión.</w:t>
      </w:r>
    </w:p>
    <w:p w:rsidR="005728DD" w:rsidRDefault="005728DD" w:rsidP="005728DD">
      <w:pPr>
        <w:pStyle w:val="TextoNormal"/>
      </w:pPr>
    </w:p>
    <w:p w:rsidR="005728DD" w:rsidRDefault="005728DD" w:rsidP="005728DD">
      <w:pPr>
        <w:pStyle w:val="TextoNormal"/>
      </w:pPr>
      <w:r>
        <w:t>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005728DD" w:rsidRDefault="005728DD" w:rsidP="005728DD">
      <w:pPr>
        <w:pStyle w:val="TextoNormal"/>
      </w:pPr>
    </w:p>
    <w:p w:rsidR="005728DD" w:rsidRDefault="005728DD" w:rsidP="005728DD">
      <w:pPr>
        <w:pStyle w:val="TextoNormal"/>
      </w:pPr>
      <w:r>
        <w:t>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005728DD" w:rsidRDefault="005728DD" w:rsidP="005728DD">
      <w:pPr>
        <w:pStyle w:val="TextoNormal"/>
      </w:pPr>
    </w:p>
    <w:p w:rsidR="005728DD" w:rsidRDefault="005728DD" w:rsidP="005728DD">
      <w:pPr>
        <w:pStyle w:val="TextoNormal"/>
      </w:pPr>
      <w:r>
        <w:t>d) El 28 de abril de 2019 se celebraron elecciones a Cortes Generales. La Junta Electoral Provincial de Barcelona proclamó diputado al Congreso al señor Jordi Turull i Negre que concurrió a los comicios en la candidatura electoral de Junts per Catalunya. El 21 de mayo, el recurrente concurrió a la sesión constitutiva del Congreso de los Diputados y participó en la votación para elegir a los miembros de la mesa de la Cámara.</w:t>
      </w:r>
    </w:p>
    <w:p w:rsidR="005728DD" w:rsidRDefault="005728DD" w:rsidP="005728DD">
      <w:pPr>
        <w:pStyle w:val="TextoNormal"/>
      </w:pPr>
    </w:p>
    <w:p w:rsidR="005728DD" w:rsidRDefault="005728DD" w:rsidP="005728DD">
      <w:pPr>
        <w:pStyle w:val="TextoNormal"/>
      </w:pPr>
      <w:r>
        <w:t xml:space="preserve">e) El 24 de mayo, la mesa del Congreso de los Diputados acordó declarar automáticamente suspendidos en el cargo y, por tanto, en los derechos y deberes establecidos en el Reglamento de la Cámara, con efectos desde el 21 de mayo de 2019, al demandante de amparo, además de a los señores don Oriol Junqueras i Vies, Jordi Sànchez i Picanyol y don Josep Rull i Andreu, por concurrir las circunstancias necesarias para la aplicación del artículo 384 </w:t>
      </w:r>
      <w:r w:rsidRPr="005728DD">
        <w:rPr>
          <w:i/>
        </w:rPr>
        <w:t>bis</w:t>
      </w:r>
      <w:r>
        <w:t xml:space="preserve"> de la Ley de enjuiciamiento criminal (LECrim). Se acordó comunicarlo así a los afectados y al Tribunal Supremo y encomendar a la secretaría general de la cámara la adopción de las medidas cautelares oportunas.</w:t>
      </w:r>
    </w:p>
    <w:p w:rsidR="005728DD" w:rsidRDefault="005728DD" w:rsidP="005728DD">
      <w:pPr>
        <w:pStyle w:val="TextoNormal"/>
      </w:pPr>
    </w:p>
    <w:p w:rsidR="005728DD" w:rsidRDefault="005728DD" w:rsidP="005728DD">
      <w:pPr>
        <w:pStyle w:val="TextoNormal"/>
      </w:pPr>
      <w:r>
        <w:lastRenderedPageBreak/>
        <w:t>f) Contra el acuerdo anterior se presentó una solicitud de reconsideración, ampliada posteriormente, ante la mesa del Congreso de los Diputados, que la desestimó el 11 de junio de 2019. Contra los citados acuerdos de 24 de mayo y de 11 de junio de 2019 se interpuso recurso de amparo por el ahora recurrente (recurso de amparo 5198-2019), que fue desestimado por STC 193/2020, de 17 de diciembre.</w:t>
      </w:r>
    </w:p>
    <w:p w:rsidR="005728DD" w:rsidRDefault="005728DD" w:rsidP="005728DD">
      <w:pPr>
        <w:pStyle w:val="TextoNormal"/>
      </w:pPr>
    </w:p>
    <w:p w:rsidR="005728DD" w:rsidRDefault="005728DD" w:rsidP="005728DD">
      <w:pPr>
        <w:pStyle w:val="TextoNormal"/>
      </w:pPr>
      <w:r>
        <w:t>g) Con fecha de 5 de junio de 2019, la mesa del Congreso de los Diputados adopta el siguiente acuerdo, complementario al anterior de 24 de mayo:</w:t>
      </w:r>
    </w:p>
    <w:p w:rsidR="005728DD" w:rsidRDefault="005728DD" w:rsidP="005728DD">
      <w:pPr>
        <w:pStyle w:val="TextoNormal"/>
      </w:pPr>
    </w:p>
    <w:p w:rsidR="005728DD" w:rsidRDefault="005728DD" w:rsidP="005728DD">
      <w:pPr>
        <w:pStyle w:val="TextoNormal"/>
      </w:pPr>
      <w:r>
        <w:t>“1. Que la suspensión en el ejercicio del cargo y, por tanto, en los derechos y deberes establecidos en el Reglamento de la Cámara, a los Excmos. Sres. D. Oriol Junqueras i Vies, D. Josep Rull i Andreu, D. Jordi Sànchez i Picanyol y D. Jordi Turull i Negre, acordada por la mesa de la cámara en su reunión del día 24 de mayo de 2019, no puede afectar al cómputo legal del número de miembros de la cámara, ya que se les priva del ejercicio pero no de la titularidad del cargo.</w:t>
      </w:r>
    </w:p>
    <w:p w:rsidR="005728DD" w:rsidRDefault="005728DD" w:rsidP="005728DD">
      <w:pPr>
        <w:pStyle w:val="TextoNormal"/>
      </w:pPr>
    </w:p>
    <w:p w:rsidR="005728DD" w:rsidRDefault="005728DD" w:rsidP="005728DD">
      <w:pPr>
        <w:pStyle w:val="TextoNormal"/>
      </w:pPr>
      <w:r>
        <w:t>Por ello, debe entenderse que los diputados suspendidos mantienen la condición de miembros de la Cámara y, en consecuencia, deben computar a efectos de su composición fijada en 350 desde el día de su constitución, no afectando así al número de votos requerido para alcanzar la mayoría absoluta (176) ni al resto de las mayorías especiales que establezca la Constitución, las leyes orgánicas o el Reglamento del Congreso.</w:t>
      </w:r>
    </w:p>
    <w:p w:rsidR="005728DD" w:rsidRDefault="005728DD" w:rsidP="005728DD">
      <w:pPr>
        <w:pStyle w:val="TextoNormal"/>
      </w:pPr>
    </w:p>
    <w:p w:rsidR="005728DD" w:rsidRDefault="005728DD" w:rsidP="005728DD">
      <w:pPr>
        <w:pStyle w:val="TextoNormal"/>
      </w:pPr>
      <w:r>
        <w:t>2. Que, del mismo modo, cuando el Reglamento de la Cámara señala que la composición de un determinado órgano se haga de manera proporcional a la importancia numérica de los grupos parlamentarios, la referencia base de esa proporcionalidad debe ser la total señalada de 350, si bien, en la medida en que los citados diputados no pueden pertenecer a ninguna comisión, ni formar parte de otros órganos como las ponencias o subcomisiones, esta circunstancia habrá de ser tenida en cuenta en el momento de determinar el número de miembros que en los distintos órganos corresponderá designar al Grupo Parlamentario Mixto.</w:t>
      </w:r>
    </w:p>
    <w:p w:rsidR="005728DD" w:rsidRDefault="005728DD" w:rsidP="005728DD">
      <w:pPr>
        <w:pStyle w:val="TextoNormal"/>
      </w:pPr>
    </w:p>
    <w:p w:rsidR="005728DD" w:rsidRDefault="005728DD" w:rsidP="005728DD">
      <w:pPr>
        <w:pStyle w:val="TextoNormal"/>
      </w:pPr>
      <w:r>
        <w:t xml:space="preserve">3. Que, considerando que la suspensión afecta a todos los derechos del diputado, incluyendo también el de incorporarse a un grupo parlamentario concreto, puesto que según la jurisprudencia constitucional (STC 76/2017) la formación de grupo parlamentario es un derecho del diputado que pertenece al núcleo esencial de su </w:t>
      </w:r>
      <w:r w:rsidRPr="005728DD">
        <w:rPr>
          <w:i/>
        </w:rPr>
        <w:t>ius in officium</w:t>
      </w:r>
      <w:r>
        <w:t>, procede la incorporación de los diputados suspendidos al Grupo Parlamentario Mixto.</w:t>
      </w:r>
    </w:p>
    <w:p w:rsidR="005728DD" w:rsidRDefault="005728DD" w:rsidP="005728DD">
      <w:pPr>
        <w:pStyle w:val="TextoNormal"/>
      </w:pPr>
    </w:p>
    <w:p w:rsidR="005728DD" w:rsidRDefault="005728DD" w:rsidP="005728DD">
      <w:pPr>
        <w:pStyle w:val="TextoNormal"/>
      </w:pPr>
      <w:r>
        <w:t>4. Que, no obstante lo anterior, la incorporación al Grupo Mixto lo debe ser tan solo a efectos de cumplir con el artículo 25.1 del Reglamento, pero no puede servir ni a efectos de ponderar el voto en los casos en que sea precisa tal ponderación, como por ejemplo en la junta de portavoces, ni para la asignación del número de iniciativas correspondientes a dicho grupo cuya inclusión se establezca con referencia a un sistema de cupo, como las preguntas con respuesta oral en Pleno, las interpelaciones, proposiciones de ley y proposiciones no de ley en Pleno. A estos efectos, se descontarán los cuatro diputados suspendidos del número total de miembros del Grupo Parlamentario Mixto, una vez se formalice su incorporación al mismo.</w:t>
      </w:r>
    </w:p>
    <w:p w:rsidR="005728DD" w:rsidRDefault="005728DD" w:rsidP="005728DD">
      <w:pPr>
        <w:pStyle w:val="TextoNormal"/>
      </w:pPr>
    </w:p>
    <w:p w:rsidR="005728DD" w:rsidRDefault="005728DD" w:rsidP="005728DD">
      <w:pPr>
        <w:pStyle w:val="TextoNormal"/>
      </w:pPr>
      <w:r>
        <w:t xml:space="preserve">5. No autorizar el abono de las percepciones económicas propias de la condición de diputado, incluidas las que habrían correspondido a los citados diputados entre el 28 de abril y </w:t>
      </w:r>
      <w:r>
        <w:lastRenderedPageBreak/>
        <w:t>el 21 de mayo de 2019 conforme el acuerdo adoptado por la mesa de la cámara el día 23 de mayo de 2019, en relación con el devengo de las retribuciones de los diputados de la XIII legislatura.</w:t>
      </w:r>
    </w:p>
    <w:p w:rsidR="005728DD" w:rsidRDefault="005728DD" w:rsidP="005728DD">
      <w:pPr>
        <w:pStyle w:val="TextoNormal"/>
      </w:pPr>
    </w:p>
    <w:p w:rsidR="005728DD" w:rsidRDefault="005728DD" w:rsidP="005728DD">
      <w:pPr>
        <w:pStyle w:val="TextoNormal"/>
      </w:pPr>
      <w:r>
        <w:t>Todo ello, teniendo en cuenta que, al haberse declarado automáticamente suspendidos sus derechos tan pronto como perfeccionaron su condición, y mientras esta suspensión se mantenga, aquellos no han llegado a desplegar sus efectos, así como el hecho de que los diputados tenían, asimismo, la condición de diputados del Parlament de Cataluña durante el periodo anterior a la constitución de la Cámara.</w:t>
      </w:r>
    </w:p>
    <w:p w:rsidR="005728DD" w:rsidRDefault="005728DD" w:rsidP="005728DD">
      <w:pPr>
        <w:pStyle w:val="TextoNormal"/>
      </w:pPr>
    </w:p>
    <w:p w:rsidR="005728DD" w:rsidRDefault="005728DD" w:rsidP="005728DD">
      <w:pPr>
        <w:pStyle w:val="TextoNormal"/>
      </w:pPr>
      <w:r>
        <w:t>6. Detraer la parte proporcional de la subvención correspondiente al Grupo Parlamentario Mixto, en lo relativo a la pertenencia al mismo de dichos diputados, una vez se formalice su incorporación a aquel.</w:t>
      </w:r>
    </w:p>
    <w:p w:rsidR="005728DD" w:rsidRDefault="005728DD" w:rsidP="005728DD">
      <w:pPr>
        <w:pStyle w:val="TextoNormal"/>
      </w:pPr>
    </w:p>
    <w:p w:rsidR="005728DD" w:rsidRDefault="005728DD" w:rsidP="005728DD">
      <w:pPr>
        <w:pStyle w:val="TextoNormal"/>
      </w:pPr>
      <w:r>
        <w:t>7. Proceder a dar de baja a los mencionados diputados en la cobertura de protección social prevista en el artículo 9 del Reglamento de la Cámara, así como en la póliza de accidentes contratada por las Cortes Generales, mientras se mantenga la suspensión de sus derechos”.</w:t>
      </w:r>
    </w:p>
    <w:p w:rsidR="005728DD" w:rsidRDefault="005728DD" w:rsidP="005728DD">
      <w:pPr>
        <w:pStyle w:val="TextoNormal"/>
      </w:pPr>
    </w:p>
    <w:p w:rsidR="005728DD" w:rsidRDefault="005728DD" w:rsidP="005728DD">
      <w:pPr>
        <w:pStyle w:val="TextoNormal"/>
      </w:pPr>
      <w:r>
        <w:t>h) Contra el acuerdo anterior se presentó una solicitud de reconsideración ante la mesa del Congreso de los Diputados, que la desestimó el 25 (</w:t>
      </w:r>
      <w:r w:rsidRPr="005728DD">
        <w:rPr>
          <w:i/>
        </w:rPr>
        <w:t>sic</w:t>
      </w:r>
      <w:r>
        <w:t>) de julio de 2019. Contra los citados acuerdos de 5 de junio y 25 (</w:t>
      </w:r>
      <w:r w:rsidRPr="005728DD">
        <w:rPr>
          <w:i/>
        </w:rPr>
        <w:t>sic</w:t>
      </w:r>
      <w:r>
        <w:t>) de julio de 2019 se interpuso el presente recurso de amparo.</w:t>
      </w:r>
    </w:p>
    <w:p w:rsidR="005728DD" w:rsidRDefault="005728DD" w:rsidP="005728DD">
      <w:pPr>
        <w:pStyle w:val="TextoNormal"/>
      </w:pPr>
    </w:p>
    <w:p w:rsidR="005728DD" w:rsidRDefault="005728DD" w:rsidP="005728DD">
      <w:pPr>
        <w:pStyle w:val="TextoNormal"/>
      </w:pPr>
      <w:r>
        <w:t>B) La fundamentación en Derecho de la demanda de amparo puede ser resumida como sigue:</w:t>
      </w:r>
    </w:p>
    <w:p w:rsidR="005728DD" w:rsidRDefault="005728DD" w:rsidP="005728DD">
      <w:pPr>
        <w:pStyle w:val="TextoNormal"/>
      </w:pPr>
    </w:p>
    <w:p w:rsidR="005728DD" w:rsidRDefault="005728DD" w:rsidP="005728DD">
      <w:pPr>
        <w:pStyle w:val="TextoNormal"/>
      </w:pPr>
      <w:r>
        <w:t>a) Se estiman infringidos los derechos reconocidos en los artículos 23.2 y 24.2 CE, en conexión con los artículos 9.3, 16.1, 20.1 d) (</w:t>
      </w:r>
      <w:r w:rsidRPr="005728DD">
        <w:rPr>
          <w:i/>
        </w:rPr>
        <w:t>sic</w:t>
      </w:r>
      <w:r>
        <w:t>), 23.1, 24.1, 25, 33.3,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de derechos humanos (CEDH), que, conforme al artículo 6.3 TUE, forma parte, como principio general, del Derecho de la Unión Europea. Se invocan, asimismo, los artículos 17 y 48.1 de la Carta de los derechos fundamentales de la Unión Europea (CDFUE), el artículo 14.2 del Pacto internacional de derechos civiles y políticos (PIDCP), los artículos 6 y 7 del antes citado CEDH y el artículo 1 del Protocolo núm. 1 a dicho Convenio.</w:t>
      </w:r>
    </w:p>
    <w:p w:rsidR="005728DD" w:rsidRDefault="005728DD" w:rsidP="005728DD">
      <w:pPr>
        <w:pStyle w:val="TextoNormal"/>
      </w:pPr>
    </w:p>
    <w:p w:rsidR="005728DD" w:rsidRDefault="005728DD" w:rsidP="005728DD">
      <w:pPr>
        <w:pStyle w:val="TextoNormal"/>
      </w:pPr>
      <w:r>
        <w:t>b) Tras justificar la especial trascendencia constitucional del recurso, la demanda comienza por referirse a los argumentos expuestos por la mesa del Congreso de los Diputados para rechazar, en el acuerdo de 25 (</w:t>
      </w:r>
      <w:r w:rsidRPr="005728DD">
        <w:rPr>
          <w:i/>
        </w:rPr>
        <w:t>sic</w:t>
      </w:r>
      <w:r>
        <w:t>) de julio de 2019, la reconsideración de su resolución inicial, acuerdo de 5 de junio del mismo año, porque se considera que dichos acuerdos no tienen ninguna justificación jurídica que los avale.</w:t>
      </w:r>
    </w:p>
    <w:p w:rsidR="005728DD" w:rsidRDefault="005728DD" w:rsidP="005728DD">
      <w:pPr>
        <w:pStyle w:val="TextoNormal"/>
      </w:pPr>
    </w:p>
    <w:p w:rsidR="005728DD" w:rsidRDefault="005728DD" w:rsidP="005728DD">
      <w:pPr>
        <w:pStyle w:val="TextoNormal"/>
      </w:pPr>
      <w:r>
        <w:t xml:space="preserve">c) Los acuerdos impugnados en el presente recurso de amparo traen causa, según la demanda, de los acuerdos de la mesa del Congreso de 24 de mayo y 11 de junio de 2019, relativos a la suspensión del recurrente en el ejercicio del cargo de diputado. Por ello, la demanda da por reproducidos los argumentos esgrimidos en el recurso de amparo (núm. </w:t>
      </w:r>
      <w:r>
        <w:lastRenderedPageBreak/>
        <w:t xml:space="preserve">5198-2019) planteado frente a los mismos, afirmando que la nulidad de dichos acuerdos traería como consecuencia la nulidad de los que ahora se recurren. A ello añade una serie de consideraciones adicionales. Por una parte, se refiere la demanda a que, con posterioridad a la interposición del recurso de amparo núm. 5198-2019, la Sala de lo Penal del Tribunal Supremo dictó sentencia en la causa especial 20907-2017, absolviendo al recurrente del delito de rebelión por el que había sido procesado por auto del magistrado instructor de la Sala de lo Penal del Tribunal Supremo de 21 de marzo de 2018. Entiende la parte recurrente que “la absolución por este delito confirma los argumentos de esta parte en relación con el uso torticero del procesamiento por rebelión para privar al recurrente, como al resto de los cargos electos procesados en aquella causa, de sus derechos políticos, con base en una interpretación radicalmente antidemocrática, así como contraria a los derechos fundamentales, del artículo 384 </w:t>
      </w:r>
      <w:r w:rsidRPr="005728DD">
        <w:rPr>
          <w:i/>
        </w:rPr>
        <w:t>bis</w:t>
      </w:r>
      <w:r>
        <w:t xml:space="preserve"> de la Ley de Enjuiciamiento Criminal”. Asimismo considera que “el procesamiento del recurrente por el delito de rebelión obedeció, como señaló el grupo de trabajo de las Naciones Unidas sobre la detención arbitraria en su opinión 6/2019, de 25 de abril de 2019, al ejercicio, por el recurrente, de sus derechos fundamentales, reconocidos en la Constitución, en el Convenio para la protección de los derechos humanos y de las libertades fundamentales y en el Pacto internacional de derechos civiles y políticos, incluido su derecho de participación política”.</w:t>
      </w:r>
    </w:p>
    <w:p w:rsidR="005728DD" w:rsidRDefault="005728DD" w:rsidP="005728DD">
      <w:pPr>
        <w:pStyle w:val="TextoNormal"/>
      </w:pPr>
    </w:p>
    <w:p w:rsidR="005728DD" w:rsidRDefault="005728DD" w:rsidP="005728DD">
      <w:pPr>
        <w:pStyle w:val="TextoNormal"/>
      </w:pPr>
      <w:r>
        <w:t xml:space="preserve">Por otra parte, se afirma que “más relevante si cabe resulta, a los efectos de lo que aquí se discute, el auto del magistrado instructor de la Sala de lo Penal del Tribunal Supremo de 14 de octubre de 2019, en que, sin modificar el procesamiento por rebelión de los Sres. Carles Puigdemont y Antoni Comín, acuerda que no procede, respecto de ellos, la suspensión a la que se refiere el artículo 384 </w:t>
      </w:r>
      <w:r w:rsidRPr="005728DD">
        <w:rPr>
          <w:i/>
        </w:rPr>
        <w:t>bis</w:t>
      </w:r>
      <w:r>
        <w:t xml:space="preserve"> de la Ley de Enjuiciamiento Criminal”. Considera el recurrente que este auto desmiente lo afirmado en el ATC 13/2019, de 26 de septiembre, mediante el que denegó la suspensión cautelar solicitada. Además, añade, “viene a poner de manifiesto la absoluta arbitrariedad de la actuación del Pleno del Tribunal Constitucional, que, con grosera vulneración del derecho a la tutela judicial efectiva, en su manifestación de derecho a la tutela judicial cautelar, así como a los derechos de participación y representación políticas del recurrente, y con pretextos que ahora han quedado desmentidos, denegó la suspensión cautelar (en relación con el recurrente, el ATC 13/2019, pero también en los AATC 128/2018, 12/2019 y 16/2019 respecto de otros procesados en la misma causa), solicitada al amparo del artículo 56 de la Ley Orgánica del Tribunal Constitucional (LOTC), del auto del magistrado instructor de la Sala de lo Penal del Tribunal Supremo de 9 de julio de 2018, así como el auto de la Sala de lo Penal de 30 de julio de 2018, que pretendieron suspender al recurrente como diputado al Parlamento de Cataluña”. A juicio del recurrente, el citado auto de 14 de octubre de 2019 ha venido a confirmar su interpretación y ha quedado acreditado que, contrariamente a lo que afirmó la mesa del Congreso de los Diputados en sus acuerdos de 24 de mayo y 11 de junio de 2019 [en los que se pretenden fundamentar los acuerdos de 5 de junio y 30 de julio de 2019 (</w:t>
      </w:r>
      <w:r w:rsidRPr="005728DD">
        <w:rPr>
          <w:i/>
        </w:rPr>
        <w:t>sic</w:t>
      </w:r>
      <w:r>
        <w:t xml:space="preserve">) impugnados en este recurso de amparo], el artículo 384 </w:t>
      </w:r>
      <w:r w:rsidRPr="005728DD">
        <w:rPr>
          <w:i/>
        </w:rPr>
        <w:t>bis</w:t>
      </w:r>
      <w:r>
        <w:t xml:space="preserve"> LECrim no supone la automática suspensión de un procesado por delito de rebelión que se encuentre en prisión provisional, sino que tal suspensión requiere en todo caso una actividad de ponderación de los intereses en conflicto que en todo caso debe dar lugar a una resolución judicial expresa. Considera que así lo pone claramente de manifiesto el hecho de que el auto del magistrado instructor de 14 de octubre de 2019, sin revisar el auto de procesamiento por delito de rebelión que afecta a los Excmos. Sres. Carles Puigdemont y Antoni Comín, haya acordado que tal precepto no resulta de aplicación a su situación personal.</w:t>
      </w:r>
    </w:p>
    <w:p w:rsidR="005728DD" w:rsidRDefault="005728DD" w:rsidP="005728DD">
      <w:pPr>
        <w:pStyle w:val="TextoNormal"/>
      </w:pPr>
    </w:p>
    <w:p w:rsidR="005728DD" w:rsidRDefault="005728DD" w:rsidP="005728DD">
      <w:pPr>
        <w:pStyle w:val="TextoNormal"/>
      </w:pPr>
      <w:r>
        <w:t xml:space="preserve">El recurrente señala que “este Tribunal Constitucional, lejos de amparar el ejercicio de los derechos de participación y representación políticas por parte de unos diputados democráticamente elegidos por las ciudadanas y los ciudadanos de Cataluña, con su actuación [...] ha amparado y coadyuvado a una actuación ilegal e ilegítima que ha vulnerado, no solo los derechos del recurrente, sino también los de las ciudadanas y los ciudadanos que lo eligieron, primero, como diputado al Parlamento de Cataluña, y posteriormente, como diputado del Congreso de los Diputados”. Sigue el recurrente afirmando que “el Tribunal Constitucional, al obrar de este modo, se ha situado por completo al margen del Derecho y ha dejado de actuar en el ejercicio de sus funciones constitucionales propias y ha puesto en riesgo máximo, para todos los ciudadanos y las ciudadanas de Cataluña, la efectividad de cuantas garantías y derechos preservan para ellos el Convenio europeo para la protección de los derechos humanos y de las libertades fundamentales (en particular el artículo 3 de su Protocolo núm. 1), así como el Pacto internacional de derechos civiles y políticos (en particular su artículo 25). Pero no solo estos, sino también el derecho a un proceso equitativo, el derecho a la legalidad penal (dado el carácter claramente sancionador del artículo 384 </w:t>
      </w:r>
      <w:r w:rsidRPr="005728DD">
        <w:rPr>
          <w:i/>
        </w:rPr>
        <w:t>bis</w:t>
      </w:r>
      <w:r>
        <w:t xml:space="preserve"> de la Ley de enjuiciamiento criminal), los derechos a las libertades de expresión, ideológica y de reunión, el derecho a un recurso efectivo, así como la prohibición de discriminación. Y en lo que respecta al recurrente, claramente, el derecho a la presunción de inocencia”. A su juicio, “de esta actuación ilegal e ilegítima de las instituciones del Estado no son sino un elemento más los acuerdos de la mesa del Congreso de los Diputados de 5 de junio y 30 de julio de 2019, impugnados en el presente recurso de amparo. Las decisiones previstas en dichos acuerdos, como la suspensión acordada por la mesa de la Cámara, ni estaba prevista en la ley, ni respondía a un objetivo legítimo, ni mucho menos era necesaria en una sociedad democrática, sino, antes bien, diametralmente contraria a las necesidades de una sociedad democrática”.</w:t>
      </w:r>
    </w:p>
    <w:p w:rsidR="005728DD" w:rsidRDefault="005728DD" w:rsidP="005728DD">
      <w:pPr>
        <w:pStyle w:val="TextoNormal"/>
      </w:pPr>
    </w:p>
    <w:p w:rsidR="005728DD" w:rsidRDefault="005728DD" w:rsidP="005728DD">
      <w:pPr>
        <w:pStyle w:val="TextoNormal"/>
      </w:pPr>
      <w:r>
        <w:t>Recuerda, a este respecto, la opinión de la Comisión de Venecia del Consejo de Europa sobre la Ley Orgánica 15/2015, de 16 de octubre, de reforma de la Ley Orgánica 2/1979, de 3 de octubre, del Tribunal Constitucional, en relación con el actual artículo 92.4 b) LOTC, en la que señala que la suspensión de parlamentarios con un mandato democrático resulta problemática, especialmente desde la perspectiva de su inmunidad. Entendiendo, además, que dicha conclusión “es perfectamente trasladable a la suspensión de diputados acordada por la mesa del Congreso de los Diputados en sus acuerdos de 5 de junio y 25</w:t>
      </w:r>
      <w:r w:rsidRPr="005728DD">
        <w:rPr>
          <w:i/>
        </w:rPr>
        <w:t xml:space="preserve"> (s</w:t>
      </w:r>
      <w:r>
        <w:t>ic) de julio de 2019”.</w:t>
      </w:r>
    </w:p>
    <w:p w:rsidR="005728DD" w:rsidRDefault="005728DD" w:rsidP="005728DD">
      <w:pPr>
        <w:pStyle w:val="TextoNormal"/>
      </w:pPr>
    </w:p>
    <w:p w:rsidR="005728DD" w:rsidRDefault="005728DD" w:rsidP="005728DD">
      <w:pPr>
        <w:pStyle w:val="TextoNormal"/>
      </w:pPr>
      <w:r>
        <w:t>d) Los acuerdos son nulos de pleno derecho por vulnerar autónomamente los derechos reconocidos en los artículos 14 y 23 CE, así como el artículo 3 del Protocolo núm. 1 CEDH.</w:t>
      </w:r>
    </w:p>
    <w:p w:rsidR="005728DD" w:rsidRDefault="005728DD" w:rsidP="005728DD">
      <w:pPr>
        <w:pStyle w:val="TextoNormal"/>
      </w:pPr>
    </w:p>
    <w:p w:rsidR="005728DD" w:rsidRDefault="005728DD" w:rsidP="005728DD">
      <w:pPr>
        <w:pStyle w:val="TextoNormal"/>
      </w:pPr>
      <w:r>
        <w:t xml:space="preserve">(i) La demanda alega, en primer lugar, que el acuerdo de 5 de junio de 2019 fue dictado por un órgano manifiestamente incompetente, y que se ha producido la vulneración del derecho del diputado recurrente por su adopción sin audiencia de la junta de portavoces. El acuerdo de 5 de junio de 2019, en su apartado segundo, dispone expresamente que la suspensión de determinados diputados supone que los mismos “no pueden pertenecer a ninguna comisión, ni formar parte de otros órganos como las ponencias o subcomisiones”. Señala, además, que “esta circunstancia habrá de ser tenida en cuenta en el momento de determinar el número de miembros que en los distintos órganos corresponderá designar al Grupo Parlamentario Mixto”. Este último inciso se trata, a juicio de la demanda, de una disposición </w:t>
      </w:r>
      <w:r>
        <w:lastRenderedPageBreak/>
        <w:t>de carácter general, en los términos de la STC 118/1998, de 20 de junio. Se trata de “un instrumento ordenador que, como tal, completa el reglamento erigiéndose en pauta rectora de ulteriores relaciones y situaciones jurídicas, cuya eficacia no se agota en una aplicación, sino que permanece”.</w:t>
      </w:r>
    </w:p>
    <w:p w:rsidR="005728DD" w:rsidRDefault="005728DD" w:rsidP="005728DD">
      <w:pPr>
        <w:pStyle w:val="TextoNormal"/>
      </w:pPr>
    </w:p>
    <w:p w:rsidR="005728DD" w:rsidRDefault="005728DD" w:rsidP="005728DD">
      <w:pPr>
        <w:pStyle w:val="TextoNormal"/>
      </w:pPr>
      <w:r>
        <w:t xml:space="preserve">La competencia para la adopción de las disposiciones de carácter general corresponde, según el artículo 32.2 del Reglamento del Congreso de los Diputados (RCD) a la presidencia de la cámara, oída la junta de portavoces. Al adoptarse, pues, dicho inciso del acuerdo por un órgano al que no correspondía (la mesa, en lugar de la Presidencia de la cámara), sin la preceptiva audiencia de la junta de portavoces (art. 32.2 RCD) se ha producido, a juicio de la demanda, idéntica vulneración a la apreciada por el Tribunal Constitucional en las SSTC 107/2016, 108/2016 y 109/2016, todas ellas de 7 junio, en las que se destacó el carácter esencial del trámite de audiencia a la junta de portavoces. En consecuencia, la adopción por la mesa del segundo apartado del acuerdo de 5 de junio, incurrió en vicio de incompetencia y vulneró el </w:t>
      </w:r>
      <w:r w:rsidRPr="005728DD">
        <w:rPr>
          <w:i/>
        </w:rPr>
        <w:t>ius in officium</w:t>
      </w:r>
      <w:r>
        <w:t xml:space="preserve"> de las diputadas y de los diputados del Grupo Parlamentario Mixto, incluido el recurrente.</w:t>
      </w:r>
    </w:p>
    <w:p w:rsidR="005728DD" w:rsidRDefault="005728DD" w:rsidP="005728DD">
      <w:pPr>
        <w:pStyle w:val="TextoNormal"/>
      </w:pPr>
    </w:p>
    <w:p w:rsidR="005728DD" w:rsidRDefault="005728DD" w:rsidP="005728DD">
      <w:pPr>
        <w:pStyle w:val="TextoNormal"/>
      </w:pPr>
      <w:r>
        <w:t>(ii) Aduce asimismo la demanda que los acuerdos son nulos de pleno derecho por cuanto alteran las mayorías del Congreso de los Diputados, vulneran los derechos de los diputados del Grupo Mixto, con expresa vulneración del Reglamento del Congreso de los Diputados y de los derechos del recurrente. Tras reproducir parcialmente los apartados 2, 4 y 6 del acuerdo de 5 de junio de 2019, se alega que la mesa ha decidido atribuir determinadas consecuencias a la suspensión de la condición de diputado, vulnerando con ello la interdicción de la arbitrariedad de los poderes públicos, así como el derecho a una resolución motivada.</w:t>
      </w:r>
    </w:p>
    <w:p w:rsidR="005728DD" w:rsidRDefault="005728DD" w:rsidP="005728DD">
      <w:pPr>
        <w:pStyle w:val="TextoNormal"/>
      </w:pPr>
    </w:p>
    <w:p w:rsidR="005728DD" w:rsidRDefault="005728DD" w:rsidP="005728DD">
      <w:pPr>
        <w:pStyle w:val="TextoNormal"/>
      </w:pPr>
      <w:r>
        <w:t>A juicio de la demanda, los apartados segundo y cuarto del acuerdo de 5 de junio alteran las mayorías en las comisiones parlamentarias y otros órganos parlamentarios (excepto la mayoría absoluta en el Pleno del Congreso de los Diputados), y reducen la debida representación de los ciudadanos que optaron por la candidatura del diputado recurrente, que se quedan sin su parte proporcional de voto e iniciativas parlamentarias de conformidad con el reglamento. Parte proporcional que debería haberse calculado no respecto del número de diputados plenamente en ejercicio, sino proporcional a los diputados y escaños con los que cuentan, consecuencia lógica del reconocimiento de la propia mesa al asignarlos a un grupo parlamentario y considerar que sigue habiendo 350 diputados en el Pleno. Si hay 350 diputados, el Grupo Mixto no puede tener diputados para unas cosas y no para otras. Considera la demanda arbitrario tanto determinar que la mayoría absoluta se debe calcular computando en ella a los diputados ilegalmente suspendidos, pero sostener lo contrario en relación con los derechos de los diputados del Grupo Mixto, entre los que se cuenta el recurrente; así como sostener que el diputado recurrente no puede pertenecer al grupo parlamentario de su elección, porque se encontraría privado de su derecho a pertenecer a un grupo parlamentario, y obligarle a pertenecer al Grupo Mixto.</w:t>
      </w:r>
    </w:p>
    <w:p w:rsidR="005728DD" w:rsidRDefault="005728DD" w:rsidP="005728DD">
      <w:pPr>
        <w:pStyle w:val="TextoNormal"/>
      </w:pPr>
    </w:p>
    <w:p w:rsidR="005728DD" w:rsidRDefault="005728DD" w:rsidP="005728DD">
      <w:pPr>
        <w:pStyle w:val="TextoNormal"/>
      </w:pPr>
      <w:r>
        <w:t xml:space="preserve">Dichas consideraciones se extienden a lo dispuesto en el apartado sexto del acuerdo de 5 de junio, en lo relativo a la detracción de la parte proporcional de la subvención correspondiente Grupo Parlamentario Mixto, lo que, conforme a la STC 15/1992, de 10 de febrero, FJ 5, vulneraría el artículo 23.2 CE. En definitiva, con dicho acuerdo se habrían vulnerado los derechos del recurrente reconocidos en el artículo 23.2 CE y el principio de igualdad (art. 14 CE), en comparación con el resto de diputados del Congreso y del resto de grupos, </w:t>
      </w:r>
      <w:r>
        <w:lastRenderedPageBreak/>
        <w:t>que han visto incrementada su proporción en las comisiones, las subvenciones y las iniciativas parlamentarias, así como se habría vulnerado el artículo 23.1 CE.</w:t>
      </w:r>
    </w:p>
    <w:p w:rsidR="005728DD" w:rsidRDefault="005728DD" w:rsidP="005728DD">
      <w:pPr>
        <w:pStyle w:val="TextoNormal"/>
      </w:pPr>
    </w:p>
    <w:p w:rsidR="005728DD" w:rsidRDefault="005728DD" w:rsidP="005728DD">
      <w:pPr>
        <w:pStyle w:val="TextoNormal"/>
      </w:pPr>
      <w:r>
        <w:t>(iii) Los apartados quinto y séptimo del acuerdo de 5 de junio de 2019 son nulos de pleno derecho por privar al recurrente de la asignación económica y de otros derechos de carácter económico. El acuerdo de 25 (</w:t>
      </w:r>
      <w:r w:rsidRPr="005728DD">
        <w:rPr>
          <w:i/>
        </w:rPr>
        <w:t>sic</w:t>
      </w:r>
      <w:r>
        <w:t>) de julio de 2019 desestima la solicitud de reconsideración en relación con este acuerdo sin fundamentación jurídica que pueda ser calificada de tal, vulnerando con ello, también, el derecho a una resolución motivada, en relación con el derecho a la defensa, así como el derecho a un proceso equitativo. Además, la demanda reitera que dicha nulidad deriva de la suspensión de la condición de diputado del recurrente a la que se refieren los acuerdos de 24 de mayo y 11 de junio de 2019, e incurre en las mismas vulneraciones que dichos acuerdos y así como del principio de igualdad (art. 14 CE). Además, dicha vulneración se produce, también, por razones autónomas. Se recuerda lo dispuesto en el artículo 71.4 CE y en la STC 36/2014, de 27 de febrero, FJ 6 b).</w:t>
      </w:r>
    </w:p>
    <w:p w:rsidR="005728DD" w:rsidRDefault="005728DD" w:rsidP="005728DD">
      <w:pPr>
        <w:pStyle w:val="TextoNormal"/>
      </w:pPr>
    </w:p>
    <w:p w:rsidR="005728DD" w:rsidRDefault="005728DD" w:rsidP="005728DD">
      <w:pPr>
        <w:pStyle w:val="TextoNormal"/>
      </w:pPr>
      <w:r>
        <w:t>Al respecto señala, por una parte, que, si bien le corresponde a la mesa de la cámara determinar la cuantía de las subvenciones (art. 8 RCD), no así el momento de su devengo, conforme al artículo 68.4 CE, que establece el mandato de los diputados, y al artículo 20.2 RCD que dispone que “los derechos y prerrogativas serán efectivos desde el momento mismo en que el diputado sea proclamado electo”. Ahora bien, la mesa del Congreso, en su reunión de 23 de mayo de 2019, acordó fijar en el 28 de abril de 2019, fecha de las elecciones, el día inicial del devengo de retribuciones por parte de las diputadas y los diputados de la Cámara.</w:t>
      </w:r>
    </w:p>
    <w:p w:rsidR="005728DD" w:rsidRDefault="005728DD" w:rsidP="005728DD">
      <w:pPr>
        <w:pStyle w:val="TextoNormal"/>
      </w:pPr>
    </w:p>
    <w:p w:rsidR="005728DD" w:rsidRDefault="005728DD" w:rsidP="005728DD">
      <w:pPr>
        <w:pStyle w:val="TextoNormal"/>
      </w:pPr>
      <w:r>
        <w:t>Además, aduce que no está en manos de la autonomía de las cámaras ni de la legislación el hecho de establecer o no una percepción económica, puesto que el artículo 71.4 CE prevé que todos los diputados tienen derecho a una asignación económica y, de conformidad con el artículo 8 RCD, la mesa tiene derecho a determinar la cuantía, pero no puede privar absolutamente de esa asignación a un diputado, aun en el caso de que se hallase legalmente suspendido de sus funciones.</w:t>
      </w:r>
    </w:p>
    <w:p w:rsidR="005728DD" w:rsidRDefault="005728DD" w:rsidP="005728DD">
      <w:pPr>
        <w:pStyle w:val="TextoNormal"/>
      </w:pPr>
    </w:p>
    <w:p w:rsidR="005728DD" w:rsidRDefault="005728DD" w:rsidP="005728DD">
      <w:pPr>
        <w:pStyle w:val="TextoNormal"/>
      </w:pPr>
      <w:r>
        <w:t xml:space="preserve">Por lo tanto, la mesa del Congreso, al negar el abono de la asignación económica constitucionalmente prevista al recurrente, ha vulnerado sus derechos, entre los que se cuenta la asignación. A ello añade que dichos acuerdos han situado al recurrente en peor condición que el diputado kurdo señor Selahattin Demirtas, el cual, como recuerda el Tribunal Europeo de Derechos Humanos en sentencia de 20 de noviembre de 2018, asunto </w:t>
      </w:r>
      <w:r w:rsidRPr="005728DD">
        <w:rPr>
          <w:i/>
        </w:rPr>
        <w:t>Demirtas</w:t>
      </w:r>
      <w:r>
        <w:t xml:space="preserve"> (apartado 240), por haber mantenido la condición de diputado de la Asamblea Nacional de Turquía, mantuvo la asignación económica correspondiente.</w:t>
      </w:r>
    </w:p>
    <w:p w:rsidR="005728DD" w:rsidRDefault="005728DD" w:rsidP="005728DD">
      <w:pPr>
        <w:pStyle w:val="TextoNormal"/>
      </w:pPr>
    </w:p>
    <w:p w:rsidR="005728DD" w:rsidRDefault="005728DD" w:rsidP="005728DD">
      <w:pPr>
        <w:pStyle w:val="TextoNormal"/>
      </w:pPr>
      <w:r>
        <w:t xml:space="preserve">La demanda específicamente se refiere a la privación de la asignación económica correspondiente entre los días 28 de abril y 21 de mayo de 2019, en los términos que había acordado, para todos los miembros de la Cámara, la mesa del Congreso de los Diputados el 23 de mayo de 2019, y de la correspondiente cobertura de protección social y de la póliza de accidentes. Se pone de relieve que el recurrente participó en varias votaciones del Congreso en la sesión constitutiva de la XIII legislatura, pero lo hizo sin asignación económica, sin cotización a la Seguridad Social, así como sin póliza de accidentes durante ese día. Es evidente, a su juicio, que, solo por ello, los apartados quinto y séptimo del acuerdo de 5 de junio de 2019, confirmados por el acuerdo de la mesa del Congreso de los Diputados de 25 </w:t>
      </w:r>
      <w:r>
        <w:lastRenderedPageBreak/>
        <w:t>(</w:t>
      </w:r>
      <w:r w:rsidRPr="005728DD">
        <w:rPr>
          <w:i/>
        </w:rPr>
        <w:t>sic</w:t>
      </w:r>
      <w:r>
        <w:t>) de julio de 2019, vulneraron sus derechos. La privación de la cotización a la Seguridad Social y la privación de la póliza de accidentes respecto de una sesión de la Cámara en que el diputado recurrente efectivamente participó, pone de manifiesto la absoluta arbitrariedad de los acuerdos adoptados.</w:t>
      </w:r>
    </w:p>
    <w:p w:rsidR="005728DD" w:rsidRDefault="005728DD" w:rsidP="005728DD">
      <w:pPr>
        <w:pStyle w:val="TextoNormal"/>
      </w:pPr>
    </w:p>
    <w:p w:rsidR="005728DD" w:rsidRDefault="005728DD" w:rsidP="005728DD">
      <w:pPr>
        <w:pStyle w:val="TextoNormal"/>
      </w:pPr>
      <w:r>
        <w:t>Lo anterior resulta también aplicable al apartado séptimo del acuerdo de la mesa del Congreso de los Diputados de 5 de junio de 2019, por el cual se “procede a dar de baja a los mencionados diputados en la cobertura de protección social prevista en el artículo 9 del Reglamento de la Cámara”, sin que exista previsión normativa alguna que ampare la baja en la cobertura de protección social. Dicha baja es contraria a las disposiciones normativas aplicables en materia de Seguridad Social (en particular, el artículo 11 de la orden TAS/2865/2003, de 13 de octubre, por la que se regula el convenio especial en el Sistema de la Seguridad Social). Idénticas consideraciones, se añade, son de aplicación a la póliza de accidentes suscrita por las Cortes Generales. La privación de todos estos derechos vulnera el artículo 23 CE, en relación con su artículo 33.3, así como los derechos reconocidos en el artículo 17 CDFUE y el artículo 1 del Protocolo núm. 1 CEDH.</w:t>
      </w:r>
    </w:p>
    <w:p w:rsidR="005728DD" w:rsidRDefault="005728DD" w:rsidP="005728DD">
      <w:pPr>
        <w:pStyle w:val="TextoNormal"/>
      </w:pPr>
    </w:p>
    <w:p w:rsidR="005728DD" w:rsidRDefault="005728DD" w:rsidP="005728DD">
      <w:pPr>
        <w:pStyle w:val="TextoNormal"/>
      </w:pPr>
      <w:r>
        <w:t>Destaca la demanda que, además, la privación de tales derechos se ha llevado a cabo sin dar audiencia al recurrente, incluso respecto de derechos (como el de la percepción de la asignación entre el 28 de abril y el 21 de mayo de 2019) que ya le habían sido reconocidos por la mesa de la Cámara en la reunión de 23 de mayo de 2019. Por ello, se vulneran también así los derechos reconocidos en el artículo 6 CEDH.</w:t>
      </w:r>
    </w:p>
    <w:p w:rsidR="005728DD" w:rsidRDefault="005728DD" w:rsidP="005728DD">
      <w:pPr>
        <w:pStyle w:val="TextoNormal"/>
      </w:pPr>
    </w:p>
    <w:p w:rsidR="005728DD" w:rsidRDefault="005728DD" w:rsidP="005728DD">
      <w:pPr>
        <w:pStyle w:val="TextoNormal"/>
      </w:pPr>
      <w:r>
        <w:t>Finalmente, se pone de manifiesto que el Tribunal Constitucional, a la hora de resolver sobre estas cuestiones, ha de respetar el derecho a un recurso efectivo reconocido en el artículo 13 CEDH.</w:t>
      </w:r>
    </w:p>
    <w:p w:rsidR="005728DD" w:rsidRDefault="005728DD" w:rsidP="005728DD">
      <w:pPr>
        <w:pStyle w:val="TextoNormal"/>
      </w:pPr>
    </w:p>
    <w:p w:rsidR="005728DD" w:rsidRDefault="005728DD" w:rsidP="005728DD">
      <w:pPr>
        <w:pStyle w:val="TextoNormal"/>
      </w:pPr>
      <w:r>
        <w:t xml:space="preserve">Con cita del artículo 89.1 LOTC, se solicitó práctica de prueba documental, consistente en libramiento de oficio al registro central de medidas cautelares, requisitorias y sentencias no firmes para que se certificara si algún juez o tribunal ha decretado la medida prevista en el artículo 384 </w:t>
      </w:r>
      <w:r w:rsidRPr="005728DD">
        <w:rPr>
          <w:i/>
        </w:rPr>
        <w:t>bis</w:t>
      </w:r>
      <w:r>
        <w:t xml:space="preserve"> LECrim en relación con la condición de diputado del señor Turull i Negre, así como de la documentación que se acompañaba a la demanda; también se solicita libramiento de atento oficio al Congreso de los Diputados, por medio de la presidenta de su diputación permanente, para que aporte copia del convenio especial vigente con la Seguridad Social aplicable a los diputados del Congreso, así como de la póliza de accidentes contratada por las Cortes Generales.</w:t>
      </w:r>
    </w:p>
    <w:p w:rsidR="005728DD" w:rsidRDefault="005728DD" w:rsidP="005728DD">
      <w:pPr>
        <w:pStyle w:val="TextoNormal"/>
      </w:pPr>
    </w:p>
    <w:p w:rsidR="005728DD" w:rsidRDefault="005728DD" w:rsidP="005728DD">
      <w:pPr>
        <w:pStyle w:val="TextoNormal"/>
      </w:pPr>
      <w:r>
        <w:t>De conformidad con lo previsto en el artículo 83 LOTC, se solicitó, además, la acumulación del presente recurso de amparo al recurso núm. 5198-2019, por ser los acuerdos de 5 de junio y de 25 (</w:t>
      </w:r>
      <w:r w:rsidRPr="005728DD">
        <w:rPr>
          <w:i/>
        </w:rPr>
        <w:t>sic</w:t>
      </w:r>
      <w:r>
        <w:t>) de julio de 2019 complementarios, según asegura la propia mesa del Congreso de los Diputados, de los acuerdos de 24 de mayo y 11 de junio impugnados en aquel.</w:t>
      </w:r>
    </w:p>
    <w:p w:rsidR="005728DD" w:rsidRDefault="005728DD" w:rsidP="005728DD">
      <w:pPr>
        <w:pStyle w:val="TextoNormal"/>
      </w:pPr>
    </w:p>
    <w:p w:rsidR="005728DD" w:rsidRDefault="005728DD" w:rsidP="005728DD">
      <w:pPr>
        <w:pStyle w:val="TextoNormal"/>
      </w:pPr>
      <w:r>
        <w:t xml:space="preserve">Con cita de los artículos 53 y 55 LOTC, se pretendió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en condiciones de igualdad (art. 23.2 CE); (ii) del derecho de los ciudadanos a </w:t>
      </w:r>
      <w:r>
        <w:lastRenderedPageBreak/>
        <w:t>participar en los asuntos públicos por medio de representantes (art. 23.1 CE); (iii) del derecho del recurrente a participar en la vida democrática de la Unión (art. 10.3 TUE), todo ello en relación con el artículo 3 del Protocolo adicional núm. 1 al CEDH y con el artículo 25 PIDCP, así como de los derechos conexos invocados; y (iv) del derecho del recurrente a la presunción de inocencia (arts. 24.2 CE y 48.1 CDFUE), así como derechos conexos invocados.</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6 de mayo de 2020, el Pleno acordó, conforme al artículo 10.1 n) LOTC, a propuesta de la Sala, recabar para sí el conocimiento del recurso de amparo que se tramita en la Sala Primera bajo el número 6239-2019, interpuesto por don Jordi Turull i Negre,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aplicación de lo dispuesto en el artículo 51 LOTC, que se dirigiera atenta comunicación al Congreso de los Diputados, a fin de que, en plazo que no excediera de diez días, remitiera certificación o fotocopia adverada de las actuaciones correspondientes al acuerdo de la mesa del Congreso de los Diputados de 25 (</w:t>
      </w:r>
      <w:r w:rsidRPr="005728DD">
        <w:rPr>
          <w:i/>
        </w:rPr>
        <w:t>sic</w:t>
      </w:r>
      <w:r>
        <w:t>) de julio de 2019; debiendo previamente emplazarse a quienes hubieran sido parte en el procedimiento, excepto al recurrente en amparo, para que en el plazo de diez días pudieran comparecer, si lo desearan,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Por diligencia de ordenación de 15 de junio de 2020 se tuvo por recibido el testimonio de las actuaciones solicitadas, se tuvo por personado y parte en el procedimiento al Congreso de los Diputados, y tenor de lo dispuesto en el artículo 52 de la Ley Orgánica de este tribunal, se dio vista de todas las actuaciones del presente recurso de amparo, en la secretaría del Pleno, al Ministerio Fiscal y las partes personadas, por un plazo común de veinte días, para que dentro de dicho término pudieran presentar las alegaciones que a su derecho convengan.</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escrito que tuvo entrada en el registro general del tribunal el 3 de julio de 2020 presentó sus alegaciones el Ministerio Fiscal, en las que solicita se inadmita el recurso por falta de legitimación del recurrente en cuanto a los pronunciamientos de los acuerdos impugnados contenidos en los puntos 2, 4 y 6 que afectan a los derechos atribuidos al Grupo Parlamentario Mixto, cuya representación legal no ostenta el demandante, y se desestime el recurso en todo lo demás. Pueden resumirse en los términos siguientes:</w:t>
      </w:r>
    </w:p>
    <w:p w:rsidR="005728DD" w:rsidRDefault="005728DD" w:rsidP="005728DD">
      <w:pPr>
        <w:pStyle w:val="TextoNormal"/>
      </w:pPr>
    </w:p>
    <w:p w:rsidR="005728DD" w:rsidRDefault="005728DD" w:rsidP="005728DD">
      <w:pPr>
        <w:pStyle w:val="TextoNormal"/>
      </w:pPr>
      <w:r>
        <w:t>A) Se comienza exponiendo los antecedentes de hecho del presente recurso de amparo, en los que pone de manifiesto que, aunque el recurrente identifica el acuerdo por el que se desestima la solicitud de reconsideración con fecha de 25 de julio de 2019, la fecha de adopción de dicho acuerdo es de 16 de julio, siendo el 25 de julio la fecha de notificación del mismo. Aborda, a continuación, las siguientes cuestiones de carácter preliminar:</w:t>
      </w:r>
    </w:p>
    <w:p w:rsidR="005728DD" w:rsidRDefault="005728DD" w:rsidP="005728DD">
      <w:pPr>
        <w:pStyle w:val="TextoNormal"/>
      </w:pPr>
    </w:p>
    <w:p w:rsidR="005728DD" w:rsidRDefault="005728DD" w:rsidP="005728DD">
      <w:pPr>
        <w:pStyle w:val="TextoNormal"/>
      </w:pPr>
      <w:r>
        <w:t xml:space="preserve">a) En relación con la acumulación del presente recurso de amparo con el recurso de amparo núm. 5189-2019, entiende que se dan las condiciones de conexidad para la acumulación dichos recursos teniendo en cuenta que su objeto lo constituye la impugnación de acuerdos de la mesa del Congreso directamente conectados, teniendo los impugnados en el </w:t>
      </w:r>
      <w:r>
        <w:lastRenderedPageBreak/>
        <w:t>presente recurso carácter complementario respecto de los anteriores, así como que en ambos recursos el demandante es el mismo y que la pretensión de amparo deducida en ambos presenta una relevante identidad. Procede por ello, aduce el Ministerio Fiscal, que el tribunal, apreciando esta conexidad, acuerde la acumulación del presente recurso al 5198-2019, para su tramitación y decisión de manera unitaria.</w:t>
      </w:r>
    </w:p>
    <w:p w:rsidR="005728DD" w:rsidRDefault="005728DD" w:rsidP="005728DD">
      <w:pPr>
        <w:pStyle w:val="TextoNormal"/>
      </w:pPr>
    </w:p>
    <w:p w:rsidR="005728DD" w:rsidRDefault="005728DD" w:rsidP="005728DD">
      <w:pPr>
        <w:pStyle w:val="TextoNormal"/>
      </w:pPr>
      <w:r>
        <w:t>b) Aunque el demandante ha perdido la condición de diputado por la disolución de las Cortes Generales (Real Decreto 551/2019, de 24 de septiembre) y, posteriormente, por la sentencia 459/2019, de 14 de octubre, de la Sala de lo Penal del Tribunal Supremo, estima que subsiste el objeto del recurso de amparo y la necesidad de pronunciamiento sobre la pretensión deducida, puesto que el recurso se interpone contra los acuerdos de la mesa del Congreso que, con carácter complementario a los acuerdos que declararon la suspensión en el ejercicio del cargo que en aquel momento ostentaba, establecen los efectos y el alcance de esa suspensión, ello con independencia del alcance que, en su caso, pudiera tener un pronunciamiento estimatorio. Estos acuerdos desplegaron su eficacia, en algún caso, desde el día 21 de mayo de 2019 —fecha de constitución de la Cámara—, hasta su disolución el 24 de septiembre, momento en el que los acuerdos de la mesa dejaron de tener virtualidad.</w:t>
      </w:r>
    </w:p>
    <w:p w:rsidR="005728DD" w:rsidRDefault="005728DD" w:rsidP="005728DD">
      <w:pPr>
        <w:pStyle w:val="TextoNormal"/>
      </w:pPr>
    </w:p>
    <w:p w:rsidR="005728DD" w:rsidRDefault="005728DD" w:rsidP="005728DD">
      <w:pPr>
        <w:pStyle w:val="TextoNormal"/>
      </w:pPr>
      <w:r>
        <w:t>c) El Ministerio Fiscal cuestiona la legitimación del recurrente para impugnar la totalidad de los pronunciamientos que se recogen en los acuerdos de la mesa del Congreso de 5 de junio y 16 de julio de 2019, por la diversa naturaleza de los mismos. Diferencia de esta manera en sus alegaciones dos tipos de pronunciamientos:</w:t>
      </w:r>
    </w:p>
    <w:p w:rsidR="005728DD" w:rsidRDefault="005728DD" w:rsidP="005728DD">
      <w:pPr>
        <w:pStyle w:val="TextoNormal"/>
      </w:pPr>
    </w:p>
    <w:p w:rsidR="005728DD" w:rsidRDefault="005728DD" w:rsidP="005728DD">
      <w:pPr>
        <w:pStyle w:val="TextoNormal"/>
      </w:pPr>
      <w:r>
        <w:t>(i) Pronunciamientos del acuerdo de la mesa del Congreso de los Diputados de 5 de junio de 2019 que inciden directamente en los derechos que integran el estatus parlamentario del recurrente: “los diputados suspendidos no pueden pertenecer a ninguna comisión, ni formar parte de otros órganos como ponencias o subcomisiones” (punto 2); “incorporación de los diputados suspendidos al Grupo Parlamentario Mixto” (punto 3 del acuerdo); “no autorizar el abono de las percepciones económicas propias de la condición de diputado, incluidas las que habrían correspondido a los citados diputados entre el 28 de abril y el 21 de mayo de 2019, conforme al acuerdo adoptado por la mesa de la Cámara el 23 de mayo de 2019, en relación con el devengo de las retribuciones de los diputados de la XIII legislatura” (punto 5); y “proceder a dar de baja a los mencionados diputados en la cobertura de protección social prevista en el art. 9 del Reglamento de la Cámara, así como en la póliza de accidentes contratada por la Cortes Generales, mientras se mantenga la suspensión de sus derechos” (punto 7).</w:t>
      </w:r>
    </w:p>
    <w:p w:rsidR="005728DD" w:rsidRDefault="005728DD" w:rsidP="005728DD">
      <w:pPr>
        <w:pStyle w:val="TextoNormal"/>
      </w:pPr>
    </w:p>
    <w:p w:rsidR="005728DD" w:rsidRDefault="005728DD" w:rsidP="005728DD">
      <w:pPr>
        <w:pStyle w:val="TextoNormal"/>
      </w:pPr>
      <w:r>
        <w:t>(ii) Pronunciamientos del acuerdo 5 de junio de 2019 que se refieren a las consecuencias que tiene la suspensión de los cuatro diputados electos en la composición y funcionamiento de los órganos de la Cámara y pronunciamientos que afectan a los derechos del Grupo Parlamentario Mixto: número de miembros que integran la cámara y el cómputo de los votos para alcanzar los acuerdos por mayoría absoluta o por otras mayorías especiales requeridas (punto 1); número de miembros que en los distintos órganos corresponde designar al Grupo Parlamentario Mixto (punto 2); modo de adopción de los acuerdos en los distintos órganos de la cámara en los casos en los que se contempla por el reglamento la ponderación del voto o la asignación por cupo de las iniciativas al Grupo Parlamentario Mixto (punto 4); regulación de la subvención del Grupo Parlamentario Mixto (punto 6).</w:t>
      </w:r>
    </w:p>
    <w:p w:rsidR="005728DD" w:rsidRDefault="005728DD" w:rsidP="005728DD">
      <w:pPr>
        <w:pStyle w:val="TextoNormal"/>
      </w:pPr>
    </w:p>
    <w:p w:rsidR="005728DD" w:rsidRDefault="005728DD" w:rsidP="005728DD">
      <w:pPr>
        <w:pStyle w:val="TextoNormal"/>
      </w:pPr>
      <w:r>
        <w:lastRenderedPageBreak/>
        <w:t xml:space="preserve">El Ministerio Fiscal parte de la doctrina del Tribunal Constitucional sobre la legitimación en materia de recursos de amparo parlamentarios, reproduciendo lo afirmado en la STC 24/2020, de 13 de febrero, FFJJ 3 y 4, y considera que el recurrente tiene legitimación para recurrir los pronunciamientos que se refieren a la composición y funcionamiento de los distintos órganos de la cámara y a la adopción de acuerdos y, en concreto, los que establecen el cómputo legal de miembros de la cámara y el número de votos requeridos para la mayoría absoluta y las diferentes mayorías especiales (punto 1) y la adopción de acuerdos en los que se contempla la ponderación de votos (punto 4). Con relación a estos pronunciamientos señala que, si bien no suponen directamente una restricción de los derechos y facultades que el Reglamento del Congreso de los Diputados atribuye a cada diputado, considera que forma parte de su </w:t>
      </w:r>
      <w:r w:rsidRPr="005728DD">
        <w:rPr>
          <w:i/>
        </w:rPr>
        <w:t>ius in officium</w:t>
      </w:r>
      <w:r>
        <w:t xml:space="preserve"> el que el funcionamiento de la Cámara y de sus órganos se produzca conforme al procedimiento establecido en el Reglamento y que los acuerdos que se adopten por dichos órganos lo sean de conformidad con lo establecido en el mismo. La infracción del procedimiento establecido reglamentariamente para la adopción de los acuerdos incide en la correcta formación de la voluntad de la Cámara o de sus órganos, pudiendo dar lugar a que se establezcan mayorías parlamentarias fraudulentas contrarias al derecho de representación política que ostenta cada diputado.</w:t>
      </w:r>
    </w:p>
    <w:p w:rsidR="005728DD" w:rsidRDefault="005728DD" w:rsidP="005728DD">
      <w:pPr>
        <w:pStyle w:val="TextoNormal"/>
      </w:pPr>
    </w:p>
    <w:p w:rsidR="005728DD" w:rsidRDefault="005728DD" w:rsidP="005728DD">
      <w:pPr>
        <w:pStyle w:val="TextoNormal"/>
      </w:pPr>
      <w:r>
        <w:t>Sin embargo, entiende que el ahora recurrente en amparo carece de legitimación para impugnar el acuerdo de la mesa de 5 de junio respecto de los pronunciamientos que inciden en los derechos que el reglamento atribuye a los grupos parlamentarios y, en concreto, al grupo mixto, en cuanto que ha comparecido a título individual y sin ostentar representación legal del grupo parlamentario en el que resulta integrado. En dichos pronunciamientos incluye el Ministerio Fiscal el número de miembros que en los distintos órganos corresponde designar al Grupo Parlamentario Mixto (punto 2); el número de iniciativas que corresponden al Grupo Parlamentario Mixto con referencia a un sistema de cupo, en el que se descontará los cuatro diputados suspendidos del número total de diputados de dicho grupo (punto 4); y la subvención correspondiente al Grupo Parlamentario Mixto (punto 6).</w:t>
      </w:r>
    </w:p>
    <w:p w:rsidR="005728DD" w:rsidRDefault="005728DD" w:rsidP="005728DD">
      <w:pPr>
        <w:pStyle w:val="TextoNormal"/>
      </w:pPr>
    </w:p>
    <w:p w:rsidR="005728DD" w:rsidRDefault="005728DD" w:rsidP="005728DD">
      <w:pPr>
        <w:pStyle w:val="TextoNormal"/>
      </w:pPr>
      <w:r>
        <w:t>El Ministerio Fiscal estima, en definitiva, que debe apreciarse que el recurrente está legitimado para impugnar aquellos pronunciamientos del acuerdo de la mesa del Congreso de 5 de junio que bien inciden directamente en los derechos individuales que integran su estatus parlamentario, o bien se refieren a los mecanismos o criterios para la adopción de acuerdos en los órganos parlamentarios, afectando al proceso para la formación de la voluntad parlamentaria, por lo que ha de considerarse que inciden en el derecho al ejercicio del cargo de representación política del demandante y, correlativamente en el derecho de los ciudadanos a participar en los asuntos públicos a través de sus legítimos representantes. No concurre, sin embargo, legitimación del demandante para impugnar en el presente recurso de amparo los pronunciamientos del acuerdo de la mesa de 5 de junio de 2019 que inciden en los derechos que el RCD atribuye al Grupo Parlamentario Mixto, al no haber comparecido ostentado su representación legal (STC 24/2020).</w:t>
      </w:r>
    </w:p>
    <w:p w:rsidR="005728DD" w:rsidRDefault="005728DD" w:rsidP="005728DD">
      <w:pPr>
        <w:pStyle w:val="TextoNormal"/>
      </w:pPr>
    </w:p>
    <w:p w:rsidR="005728DD" w:rsidRDefault="005728DD" w:rsidP="005728DD">
      <w:pPr>
        <w:pStyle w:val="TextoNormal"/>
      </w:pPr>
      <w:r>
        <w:t>B) Se analiza, a continuación, la alegación de la demanda relativa a la nulidad de los acuerdos de la mesa de 5 de junio y de 16 de julio, de acuerdo con la nulidad de los impugnados en el recurso de amparo núm. 5198-2019, en la medida en que los primeros traen causa y son complementarios de los segundos. Respecto de esta alegación, el Ministerio Fiscal, a su vez, da por reproducidas sus alegaciones en el recurso de amparo 5198-2019.</w:t>
      </w:r>
    </w:p>
    <w:p w:rsidR="005728DD" w:rsidRDefault="005728DD" w:rsidP="005728DD">
      <w:pPr>
        <w:pStyle w:val="TextoNormal"/>
      </w:pPr>
    </w:p>
    <w:p w:rsidR="005728DD" w:rsidRDefault="005728DD" w:rsidP="005728DD">
      <w:pPr>
        <w:pStyle w:val="TextoNormal"/>
      </w:pPr>
      <w:r>
        <w:lastRenderedPageBreak/>
        <w:t>Además, rechaza las alegaciones adicionales del recurrente en las que, como refuerzo de lo argumentado en el recurso 5198-2019, aduce que debe tenerse en cuenta, y dado que se dictaron con posterioridad a interponer el mismo, tanto la sentencia dictada el 14 de octubre de 2019, por la Sala Penal del Tribunal Supremo, como el auto de 14 de octubre de 2019, del magistrado instructor de la causa especial 20907-2017. Entiende el Ministerio Fiscal que las alegaciones del recurrente son una apreciación subjetiva y las realizadas sobre la sentencia no pueden ser acogidas con respecto a un recurso de amparo parlamentario, en cuanto que su objeto debe quedar limitado al enjuiciamiento sobre la constitucionalidad de los actos y decisiones de los órganos de los parlamentos que no tienen fuerza de ley, sin que sea posible reclamar por la vía de un recurso de amparo parlamentario que en sus decisiones o acuerdos estos órganos no entraron a revisar o a cuestionar las resoluciones de los de la jurisdicción penal que fueron dictadas en los procesos de su competencia. Por lo que se refiere al auto de 14 de octubre de 2019, por el magistrado instructor de la causa especial 20907-2017, que invoca el recurrente, señala que dicho auto no puede ser acogido para hacer valer que la suspensión del ejercicio del cargo de los diputados procesados por rebelión, no es automática ni se produce directament</w:t>
      </w:r>
      <w:r w:rsidRPr="005728DD">
        <w:rPr>
          <w:i/>
        </w:rPr>
        <w:t>e ex le</w:t>
      </w:r>
      <w:r>
        <w:t>ge.</w:t>
      </w:r>
    </w:p>
    <w:p w:rsidR="005728DD" w:rsidRDefault="005728DD" w:rsidP="005728DD">
      <w:pPr>
        <w:pStyle w:val="TextoNormal"/>
      </w:pPr>
    </w:p>
    <w:p w:rsidR="005728DD" w:rsidRDefault="005728DD" w:rsidP="005728DD">
      <w:pPr>
        <w:pStyle w:val="TextoNormal"/>
      </w:pPr>
      <w:r>
        <w:t xml:space="preserve">Dicho auto se pronuncia sobre la situación personal de los procesados don Carles Puigdemont i Casamajó y don Antonio Comín i Oliveres, tras la sentencia dictada el 14 de octubre de 2019, por la Sala Penal del Tribunal Supremo. La situación procesal difiere, notoriamente, de la que tuvieron el resto de los procesados en la causa especial 20907-2017 que fueron posteriormente enjuiciados y condenados en la sentencia dictada por la Sala Penal del Tribunal Supremo. El ahora recurrente en amparo ha estado procesado en firme por delito de rebelión y en situación de prisión provisional durante la tramitación de la causa y hasta la sentencia de 14 de octubre de 2019 por lo que, cuando se dictan los acuerdos de la mesa del Congreso que se impugnan en el presente recurso de amparo y en el recurso de amparo 5198-2019, concurrían plenamente en él las circunstancias que contempla el art. 384 </w:t>
      </w:r>
      <w:r w:rsidRPr="005728DD">
        <w:rPr>
          <w:i/>
        </w:rPr>
        <w:t>bis</w:t>
      </w:r>
      <w:r>
        <w:t xml:space="preserve"> LECrim, para declarar la suspensión automática en el ejercicio de los cargos públicos que se ostentasen. El auto de 14 de octubre de 2019 del magistrado instructor, cuando dispone comunicar a la mesa del Parlament del Cataluña que a los procesados y miembros de ese Parlamento, señores Carles Puigdemont y Antoní Comin, no les es aplicable la suspensión del art. 384 </w:t>
      </w:r>
      <w:r w:rsidRPr="005728DD">
        <w:rPr>
          <w:i/>
        </w:rPr>
        <w:t>bis</w:t>
      </w:r>
      <w:r>
        <w:t xml:space="preserve"> LECrim, lo hace teniendo en cuenta la sentencia del Tribunal Supremo que condenó por delito de sedición, a quienes estaban acusados por hechos similares a aquellos por los que está procesado don Carles Puigdemont.</w:t>
      </w:r>
    </w:p>
    <w:p w:rsidR="005728DD" w:rsidRDefault="005728DD" w:rsidP="005728DD">
      <w:pPr>
        <w:pStyle w:val="TextoNormal"/>
      </w:pPr>
    </w:p>
    <w:p w:rsidR="005728DD" w:rsidRDefault="005728DD" w:rsidP="005728DD">
      <w:pPr>
        <w:pStyle w:val="TextoNormal"/>
      </w:pPr>
      <w:r>
        <w:t>Del fundamento jurídico undécimo de dicho auto de 14 de octubre se desprende que el instructor está tomando en consideración la calificación jurídica de los hechos que resulta de la sentencia de la Sala Penal del Tribunal Supremo, y su proyección en un eventual revisión del procesamiento, cuando se reabra la causa ahora suspendida para los procesados en rebeldía.</w:t>
      </w:r>
    </w:p>
    <w:p w:rsidR="005728DD" w:rsidRDefault="005728DD" w:rsidP="005728DD">
      <w:pPr>
        <w:pStyle w:val="TextoNormal"/>
      </w:pPr>
    </w:p>
    <w:p w:rsidR="005728DD" w:rsidRDefault="005728DD" w:rsidP="005728DD">
      <w:pPr>
        <w:pStyle w:val="TextoNormal"/>
      </w:pPr>
      <w:r>
        <w:t xml:space="preserve">Por lo anterior, el Ministerio Fiscal entiende que debe rechazarse que el auto dictado el 14 de octubre de 2019 por el magistrado instructor de la causa especial permita considerar que la suspensión en el ejercicio del cargo público electivo que establece el art. 384 </w:t>
      </w:r>
      <w:r w:rsidRPr="005728DD">
        <w:rPr>
          <w:i/>
        </w:rPr>
        <w:t>bis</w:t>
      </w:r>
      <w:r>
        <w:t xml:space="preserve"> LECrim, no se produce automáticamente y </w:t>
      </w:r>
      <w:r w:rsidRPr="005728DD">
        <w:rPr>
          <w:i/>
        </w:rPr>
        <w:t>ex lege</w:t>
      </w:r>
      <w:r>
        <w:t>, como declaran los acuerdos de la mesa del Congreso impugnados al concurrir en el demandante de amparo los presupuestos que contempla ese precepto (procesamiento firme por los delitos enunciados y situación de prisión preventiva).</w:t>
      </w:r>
    </w:p>
    <w:p w:rsidR="005728DD" w:rsidRDefault="005728DD" w:rsidP="005728DD">
      <w:pPr>
        <w:pStyle w:val="TextoNormal"/>
      </w:pPr>
    </w:p>
    <w:p w:rsidR="005728DD" w:rsidRDefault="005728DD" w:rsidP="005728DD">
      <w:pPr>
        <w:pStyle w:val="TextoNormal"/>
      </w:pPr>
      <w:r>
        <w:t>C) El Ministerio Fiscal rechaza, asimismo, que los acuerdos sean nulos por falta de competencia del órgano rector de la cámara para adoptarlos, y que vulneren el derecho fundamental al ejercicio del derecho parlamentario. Al respecto, pone de manifiesto que el razonamiento del acuerdo de la mesa de 16 de julio conforme al cual, siendo el acuerdo de 5 de junio de 2019 complementario de la declaración de suspensión en el ejercicio del cargo de cuatro diputados, la competencia para precisar los efectos y alcance de la suspensión debe entenderse también competencia del órgano rector colegiado que la declaró, no puede considerarse que infrinja la previsión del artículo 32.2 RCD. Tampoco que la decisión adoptada colegiadamente por la mesa del Congreso y no a título individual por el presidente que es miembro de ella, tenga relevancia constitucional en relación con una posible vulneración del derecho al ejercicio del cargo parlamentario. Es precisamente la garantía de la intervención del órgano colegiado, además de la junta de portavoces, la que se contempla por el artículo 32.2 RCD, cuando el presidente vaya a adoptar alguna decisión que tenga alcance general. Por otra parte, debe rechazarse que se haya privado al recurrente del derecho a la intervención de la junta de portavoces, puesto que se contempla preceptivamente esa intervención a través de la solicitud de reconsideración que puede ser ejercitada contra el acuerdo adoptado y, en este caso, la junta de portavoces fue oída en la sesión de fecha 16 de julio, previamente a resolver la mesa del Congreso sobre la solicitud de reconsideración presentada contra el acuerdo de 5 de junio de 2019.</w:t>
      </w:r>
    </w:p>
    <w:p w:rsidR="005728DD" w:rsidRDefault="005728DD" w:rsidP="005728DD">
      <w:pPr>
        <w:pStyle w:val="TextoNormal"/>
      </w:pPr>
    </w:p>
    <w:p w:rsidR="005728DD" w:rsidRDefault="005728DD" w:rsidP="005728DD">
      <w:pPr>
        <w:pStyle w:val="TextoNormal"/>
      </w:pPr>
      <w:r>
        <w:t xml:space="preserve">D) El Ministerio Fiscal analiza las vulneraciones aducidas por el recurrente por los pronunciamientos que, a su juicio, inciden en el </w:t>
      </w:r>
      <w:r w:rsidRPr="005728DD">
        <w:rPr>
          <w:i/>
        </w:rPr>
        <w:t>ius in officium</w:t>
      </w:r>
      <w:r>
        <w:t xml:space="preserve"> del recurrente y, en concreto, por lo dispuesto en los puntos 2, 3, 5 y 7 del acuerdo de 5 de junio, partiendo de la consideración de que la suspensión en los derechos del cargo parlamentario de los diputados suspendidos fue ya declarada por el acuerdo de la mesa del Congreso de 24 de mayo de 2019, ratificado por el de fecha 11 de junio, pues en él, la mesa del Congreso declaró: “automáticamente suspendidos en el ejercicio del cargo parlamentario y, consiguientemente, en los derechos y deberes establecidos en el Reglamento de la Cámara” al demandante y a otros tres diputados.</w:t>
      </w:r>
    </w:p>
    <w:p w:rsidR="005728DD" w:rsidRDefault="005728DD" w:rsidP="005728DD">
      <w:pPr>
        <w:pStyle w:val="TextoNormal"/>
      </w:pPr>
    </w:p>
    <w:p w:rsidR="005728DD" w:rsidRDefault="005728DD" w:rsidP="005728DD">
      <w:pPr>
        <w:pStyle w:val="TextoNormal"/>
      </w:pPr>
      <w:r>
        <w:t>Señala el Ministerio Fiscal que el acuerdo de 5 de junio de 2019 tiene, como en el mismo se expresa, un carácter complementario respecto de la suspensión del ejercicio del cargo y, consiguientemente, de los derechos y deberes que le son inherentes establecidos en el Reglamento del Congreso de los Diputados, declarada en el acuerdo de la mesa de 24 de mayo. En este acuerdo de carácter complementario se trata de precisar, por un lado, los efectos y, el alcance que esa suspensión de derechos tiene con respecto a la composición y funcionamiento de la Cámara y de sus órganos y, por otro, precisar el alcance de la suspensión en relación con los derechos económicos y de prestaciones sociales de los diputados suspensos.</w:t>
      </w:r>
    </w:p>
    <w:p w:rsidR="005728DD" w:rsidRDefault="005728DD" w:rsidP="005728DD">
      <w:pPr>
        <w:pStyle w:val="TextoNormal"/>
      </w:pPr>
    </w:p>
    <w:p w:rsidR="005728DD" w:rsidRDefault="005728DD" w:rsidP="005728DD">
      <w:pPr>
        <w:pStyle w:val="TextoNormal"/>
      </w:pPr>
      <w:r>
        <w:t>Afirma, además, que en el presente recurso de amparo no se impugna con carácter general la privación de cada uno de los derechos que integran su estatuto parlamentario, puesto que los mismos ya fueron suspendidos por el acuerdo de la mesa de 24 de mayo, y constituye el objeto de impugnación del recurso de amparo 5198-2019. Ahora, el demandante cuestiona algunos de los específicos pronunciamientos del acuerdo de 5 de junio, que precisan el alcance o consecuencias que esa suspensión de derechos tiene en el funcionamiento de la cámara y de sus órganos, así como en los derechos de naturaleza económica y social de los diputados suspensos.</w:t>
      </w:r>
    </w:p>
    <w:p w:rsidR="005728DD" w:rsidRDefault="005728DD" w:rsidP="005728DD">
      <w:pPr>
        <w:pStyle w:val="TextoNormal"/>
      </w:pPr>
    </w:p>
    <w:p w:rsidR="005728DD" w:rsidRDefault="005728DD" w:rsidP="005728DD">
      <w:pPr>
        <w:pStyle w:val="TextoNormal"/>
      </w:pPr>
      <w:r>
        <w:t>En este sentido, el Ministerio Fiscal señala que no se hace en el presente recurso de amparo ninguna alegación sobre algunas cuestiones que se recogen en el acuerdo de la mesa de fecha 5 de junio, en relación con los derechos del diputado, como punto de partida para poder precisar su incidencia en la composición y funcionamiento de los órganos de la cámara. El recurrente no impugna el punto 2 del acuerdo de la mesa, en la parte que establece que los diputados suspendidos no pueden pertenecer a ninguna comisión, ni formar parte de otros órganos como ponencias o subcomisiones (derecho recogido en el artículo 6.2 RCD), sino que se centra en impugnar lo establecido en este punto 2 del acuerdo sobre el alcance que esto tiene en relación con el número de miembros que corresponde designar al Grupo Parlamentario Mixto. Tampoco impugna que se declare su incorporación al Grupo Parlamentario Mixto, de conformidad con el art. 25.1 RCD (punto 3 del acuerdo), sino las consecuencias de carácter formal de esa incorporación, al señalar que los diputados suspensos no serán computados para la adopción de acuerdos en caso de voto ponderado o de asignación de iniciativas a los grupos parlamentarios por cupo (punto 4 del acuerdo).</w:t>
      </w:r>
    </w:p>
    <w:p w:rsidR="005728DD" w:rsidRDefault="005728DD" w:rsidP="005728DD">
      <w:pPr>
        <w:pStyle w:val="TextoNormal"/>
      </w:pPr>
    </w:p>
    <w:p w:rsidR="005728DD" w:rsidRDefault="005728DD" w:rsidP="005728DD">
      <w:pPr>
        <w:pStyle w:val="TextoNormal"/>
      </w:pPr>
      <w:r>
        <w:t>En relación con las alegaciones en las que el recurrente trata de sustentar la impugnación de la privación de las percepciones económicas que establece el acuerdo de 5 de junio (punto 5), señala que el reconocimiento del derecho a una asignación económica de los diputados y senadores que establece el artículo 71.4 CE, integra el estatus parlamentario, que aparece directamente vinculado con el efectivo ejercicio de la función del cargo parlamentario, por lo que ese derecho puede ser objeto de restricción cuando el diputado está suspendido en dicho ejercicio del cargo, al igual que ocurre con los otros derechos y deberes que le son inherentes. El artículo 8.1 RCD prevé dentro de los derechos económicos que integran este estatus, que los diputados percibirán una asignación económica que les permita cumplir eficaz y dignamente su función. La suspensión en el ejercicio del cargo parlamentario supone, junto a la suspensión de todos los derechos y deberes de naturaleza política que son inherentes al mismo, la de las asignaciones económicas que garantizan el desempeño eficaz y digno de la función, en cuanto que esta no es materialmente desempeñada durante el periodo de la suspensión por quien mantiene la titularidad del cargo; tales derechos de naturaleza política y económica serán restituidos al levantarse la suspensión del ejercicio del cargo y reanudarse el ejercicio de la función parlamentaria.</w:t>
      </w:r>
    </w:p>
    <w:p w:rsidR="005728DD" w:rsidRDefault="005728DD" w:rsidP="005728DD">
      <w:pPr>
        <w:pStyle w:val="TextoNormal"/>
      </w:pPr>
    </w:p>
    <w:p w:rsidR="005728DD" w:rsidRDefault="005728DD" w:rsidP="005728DD">
      <w:pPr>
        <w:pStyle w:val="TextoNormal"/>
      </w:pPr>
      <w:r>
        <w:t xml:space="preserve">Por lo que se refiere a la privación de las percepciones económicas que corresponderían al periodo comprendido entre el 28 de abril y 21 de mayo de 2019 el Ministerio Fiscal pone de relieve que la mesa del Congreso, por acuerdo de 23 de mayo de 2019 y, de conformidad con lo dispuesto en el artículo 8 RCD, estableció el 28 de abril de 2019, como la fecha inicial de devengo de las retribuciones económicas de los diputados en la XIII legislatura, siempre que hubieran perfeccionado su condición de diputados, conforme a lo dispuesto en el artículo 20 RCD. En el presente caso, el recurrente adquirió la condición plena de diputado el 21 de mayo, pero la suspensión en el ejercicio del cargo parlamentario que declaró la mesa en el acuerdo de 24 de mayo, lo es con efectos del propio día 21 de mayo, pues como se señala en el informe de la Secretaría General del Congreso de 4 de junio, en el momento de adquirir la condición plena de diputado, es cuando la mesa podía hacer la declaración de la suspensión en el cargo adquirido. Dicha suspensión se producía </w:t>
      </w:r>
      <w:r w:rsidRPr="005728DD">
        <w:rPr>
          <w:i/>
        </w:rPr>
        <w:t>ex lege</w:t>
      </w:r>
      <w:r>
        <w:t xml:space="preserve"> en virtud del artículo 384 </w:t>
      </w:r>
      <w:r w:rsidRPr="005728DD">
        <w:rPr>
          <w:i/>
        </w:rPr>
        <w:t>bis</w:t>
      </w:r>
      <w:r>
        <w:t xml:space="preserve"> LECrim, el cual estaba vigente respecto del recurrente con anterioridad a las elec</w:t>
      </w:r>
      <w:r>
        <w:lastRenderedPageBreak/>
        <w:t>ciones de 28 abril de 2019, desplegando sus efectos respecto del cargo de diputado del Congreso en el instante en que se produjo la adquisición plena de dicho cargo público representativo.</w:t>
      </w:r>
    </w:p>
    <w:p w:rsidR="005728DD" w:rsidRDefault="005728DD" w:rsidP="005728DD">
      <w:pPr>
        <w:pStyle w:val="TextoNormal"/>
      </w:pPr>
    </w:p>
    <w:p w:rsidR="005728DD" w:rsidRDefault="005728DD" w:rsidP="005728DD">
      <w:pPr>
        <w:pStyle w:val="TextoNormal"/>
      </w:pPr>
      <w:r>
        <w:t xml:space="preserve">Por lo tanto, se considera que la decisión de la mesa sobre las retribuciones no es una decisión contraria a lo dispuesto en el Reglamento del Congreso de los Diputados. Se debe tener en cuenta a este respecto que, con efectos del mismo día 21 de mayo en el que se constituyó la cámara, el recurrente fue declarado automáticamente suspendido en el ejercicio del cargo parlamentario, en virtud de lo establecido en el artículo 384 </w:t>
      </w:r>
      <w:r w:rsidRPr="005728DD">
        <w:rPr>
          <w:i/>
        </w:rPr>
        <w:t>bis</w:t>
      </w:r>
      <w:r>
        <w:t xml:space="preserve"> LECrim, que era de aplicación al recurrente con anterioridad a su elección el 28 de abril de 2019, si bien desplegaba sus efectos respecto del cargo de diputado del Congreso, tras adquirir el recurrente la condición plena de diputado en la misma sesión de constitución de la cámara, con el acatamiento de la Constitución. No cabe, por tanto, estimar que el recurrente pudo devengar el derecho de asignación económica que la mesa fijó para el periodo comprendido entre las elecciones del 28 de abril y el día de constitución de la Cámara.</w:t>
      </w:r>
    </w:p>
    <w:p w:rsidR="005728DD" w:rsidRDefault="005728DD" w:rsidP="005728DD">
      <w:pPr>
        <w:pStyle w:val="TextoNormal"/>
      </w:pPr>
    </w:p>
    <w:p w:rsidR="005728DD" w:rsidRDefault="005728DD" w:rsidP="005728DD">
      <w:pPr>
        <w:pStyle w:val="TextoNormal"/>
      </w:pPr>
      <w:r>
        <w:t>El Ministerio Fiscal tampoco comparte la alegación de que la decisión carece de toda motivación y es arbitraria, toda vez que la única argumentación de la impugnación es la discriminación con relación al caso del diputado Selahattin Demirtas, al que se refiere la STEDH de 20 de noviembre de 2018. El acuerdo de la mesa recoge una motivación que se corresponde con la justificación que se da en el informe de Secretaría General del Congreso de 4 de junio, y el acuerdo desestimatorio de la reconsideración pone de relieve que la suspensión en el ejercicio del cargo parlamentario conlleva la de todos los derechos que son inherentes a su desempeño y, por tanto, también los de naturaleza económica. En su acuerdo de 16 de julio, la mesa recoge expresamente que se ha seguido el precedente parlamentario del diputado señor Alcalde Linares en la IV legislatura, por ser el único supuesto parlamentario que se corresponde con el de la suspensión del ejercicio del cargo que ahora se plantea, precedente en el que también se apoya en el citado informe de la secretaria general. Por lo tanto, no cabe estimar que el acuerdo de la mesa es arbitrario, porque no se ha dado respuesta motivada a la solicitud de reconsideración.</w:t>
      </w:r>
    </w:p>
    <w:p w:rsidR="005728DD" w:rsidRDefault="005728DD" w:rsidP="005728DD">
      <w:pPr>
        <w:pStyle w:val="TextoNormal"/>
      </w:pPr>
    </w:p>
    <w:p w:rsidR="005728DD" w:rsidRDefault="005728DD" w:rsidP="005728DD">
      <w:pPr>
        <w:pStyle w:val="TextoNormal"/>
      </w:pPr>
      <w:r>
        <w:t>Entiende, además, que no puede acogerse el argumento de que la STEDH de 20 de noviembre de 2018 refleja que Selahattim Demirtas percibía su asignación económica, porque esta sentencia no puede ser invocada para sustentar que la suspensión del derecho de retribuciones económicas del recurrente vulnera el artículo 23.2 CE, ya que en la misma no se enjuicia una suspensión en el ejercicio del cargo parlamentario y la consiguiente suspensión de derechos políticos y económicos que le son inherentes, prevista en el ordenamiento jurídico nacional para determinados supuestos; y porque no es una sentencia firme.</w:t>
      </w:r>
    </w:p>
    <w:p w:rsidR="005728DD" w:rsidRDefault="005728DD" w:rsidP="005728DD">
      <w:pPr>
        <w:pStyle w:val="TextoNormal"/>
      </w:pPr>
    </w:p>
    <w:p w:rsidR="005728DD" w:rsidRDefault="005728DD" w:rsidP="005728DD">
      <w:pPr>
        <w:pStyle w:val="TextoNormal"/>
      </w:pPr>
      <w:r>
        <w:t xml:space="preserve">Respecto a la impugnación de la decisión de la mesa sobre las prestaciones de la seguridad social y la póliza de accidentes (punto 7 del acuerdo) que el recurrente entiende que vulnera su derecho fundamental al ejercicio del cargo del artículo 23.2 en relación con el artículo 33.3 CE, al privarle de un derecho que forma parte de su estatus parlamentario, el Ministerio Fiscal pone de relieve que si bien si bien el Reglamento del Congreso de los Diputados contempla entre los derechos que integran el estatuto de los diputados, los concernientes a las prestaciones sociales, cuya cobertura es asumida por el Congreso con cargo a sus presupuestos, de acuerdo con la propia doctrina del Tribunal Constitucional, no cabe </w:t>
      </w:r>
      <w:r>
        <w:lastRenderedPageBreak/>
        <w:t xml:space="preserve">estimar que cualquier infracción de las disposiciones reglamentarias sobre el estatus parlamentario o de las disposiciones legales que resultan de aplicación, pueda constituir una vulneración del núcleo esencial del </w:t>
      </w:r>
      <w:r w:rsidRPr="005728DD">
        <w:rPr>
          <w:i/>
        </w:rPr>
        <w:t>ius in officium</w:t>
      </w:r>
      <w:r>
        <w:t xml:space="preserve"> del cargo parlamentario representativo (con cita de la STC 110/2019, de 2 de octubre, FJ 2). La supuesta infracción de la normativa en materia de cobertura de las prestaciones sociales de los diputados que se denuncia por el demandante, no puede considerarse como constitutiva de una vulneración del núcleo esencial del </w:t>
      </w:r>
      <w:r w:rsidRPr="005728DD">
        <w:rPr>
          <w:i/>
        </w:rPr>
        <w:t>ius in officium</w:t>
      </w:r>
      <w:r>
        <w:t xml:space="preserve"> (art. 23.2 CE) y del correlativo derecho de los ciudadanos a participar en los asuntos públicos a través de sus representantes (art. 23.1 CE). La supuesta infracción de la normativa aplicable a los diputados en materia de prestaciones sociales por estimar el recurrente que, de acuerdo con la misma, no podía producirse la baja en la cobertura de las prestaciones sociales de los diputados suspendidos en el ejercicio del cargo al mantener estos su titularidad, es una cuestión de infracción de la legalidad ordinaria, cuyo examen es ajeno a la jurisdicción constitucional en un recurso de amparo parlamentario. En el mismo sentido, el pronunciamiento del punto 7 del acuerdo sobre la baja en la póliza de accidentes que las Cortes Generales tienen contratada en tanto dure la suspensión en el ejercicio del cargo, no puede estimarse tampoco constitutiva de una posible vulneración del derecho fundamental al ejercicio del cargo público del artículo 23.2 CE. Estos derechos, además, eran expectativas de derechos que podían ser adquiridas, si efectivamente hubieran llegado a desempeñar la función y el cargo parlamentario, lo que no tuvo lugar al declararse suspendidos automáticamente en su ejercicio mismo en el instante mismo en que adquirieron la condición plena de diputado y desplegó sus efectos el art. 384 </w:t>
      </w:r>
      <w:r w:rsidRPr="005728DD">
        <w:rPr>
          <w:i/>
        </w:rPr>
        <w:t>bis</w:t>
      </w:r>
      <w:r>
        <w:t xml:space="preserve"> LECrim que era ya aplicable con anterioridad, por lo que no se vulnera el artículo 33.3 CE.</w:t>
      </w:r>
    </w:p>
    <w:p w:rsidR="005728DD" w:rsidRDefault="005728DD" w:rsidP="005728DD">
      <w:pPr>
        <w:pStyle w:val="TextoNormal"/>
      </w:pPr>
    </w:p>
    <w:p w:rsidR="005728DD" w:rsidRDefault="005728DD" w:rsidP="005728DD">
      <w:pPr>
        <w:pStyle w:val="TextoNormal"/>
      </w:pPr>
      <w:r>
        <w:t xml:space="preserve">Finalmente, en relación con la impugnación de los pronunciamientos sobre el funcionamiento de la Cámara y la adopción de acuerdos por sus órganos, el Ministerio Fiscal considera que lo que el recurrente alega al respecto es que resulta arbitrario que la mesa, en su acuerdo, determine que la mayoría absoluta se calcule computando el número total de miembros que tiene la Cámara, incluyendo a los diputados suspendidos que mantienen la titularidad del cargo, pero no se compute a los mismos para establecer la proporcionalidad de los diputados que corresponden al Grupo Mixto en las comisiones, o para los supuestos de ponderación de voto. Al respecto, parte de la doctrina constitucional que de acuerdo con la autonomía parlamentaria (art. 72 CE) y la naturaleza del derecho del artículo 23.2 CE como derecho de configuración legal, pone de manifiesto la necesidad de que se otorgue a los órganos rectores de los parlamentos un margen de apreciación en el ejercicio de su función técnico-jurídica, al calificar y decidir sobre los escritos y documentos parlamentarios. Esta doctrina también pone de relieve que la posible limitación que las decisiones de los órganos rectores de los parlamentos pueden suponer para el ejercicio de la función parlamentaria (art. 23.2 CE) y para el derecho de participación política de los ciudadanos a través de sus representantes políticos (art. 23. l CE), exige que tales decisiones apliquen la normativa parlamentaria y estén motivadas formal y materialmente. Pues bien, el acuerdo de la mesa del Congreso de 16 de julio de 2019 expresa los motivos por los que no deben ser computados los diputados declarados suspendidos en el ejercicio del cargo, en relación con la composición de los órganos de la cámara o para la adopción de acuerdos en determinados casos, por lo que, a su juicio, está debidamente motivado, sin que su razonamiento infrinja algún precepto del Reglamento del Congreso de los Diputados o pueda ser considerado irracional o arbitrario. Pone de manifiesto que, si bien estos diputados siguen ostentando la titularidad del cargo y, en cuanto que mantienen su condición de diputados, computan como miembros </w:t>
      </w:r>
      <w:r>
        <w:lastRenderedPageBreak/>
        <w:t xml:space="preserve">de la Cámara (350), la suspensión en el ejercicio del cargo supone que ninguna de las funciones que son inherentes al cargo pueden ser desempeñadas mientras dure la suspensión, lo que impacta en la importancia numérica que materialmente debe asignarse al grupo parlamentario en el que son incluidos, en los casos en los que reglamentariamente se dispone que dicha importancia numérica debe ser tenida en cuenta. En definitiva, dicho acuerdo debe ser como un acuerdo motivado y no arbitrario, que se sustenta en la exigencia de que la suspensión en el ejercicio del cargo, declarada en aplicación del art. 384 </w:t>
      </w:r>
      <w:r w:rsidRPr="005728DD">
        <w:rPr>
          <w:i/>
        </w:rPr>
        <w:t>bis</w:t>
      </w:r>
      <w:r>
        <w:t xml:space="preserve"> LECrim, sea efectiva. La declaración de suspensión </w:t>
      </w:r>
      <w:r w:rsidRPr="005728DD">
        <w:rPr>
          <w:i/>
        </w:rPr>
        <w:t>ex lege</w:t>
      </w:r>
      <w:r>
        <w:t xml:space="preserve"> carecería de efectividad si los diputados suspendidos son computados como si realmente, pudieran desempeñar las funciones inherentes al cargo suspendido. Considera el Ministerio Fiscal que se plantea en el presente caso y, en lo que concierne al sistema de ponderación de voto en caso de empate en las comisiones (art. 88.2 RCD) o en la junta de portavoces (art. 39.4 RCD), una cuestión similar a la que se planteó en el recurso de amparo 5887-2018, que se encuentra en tramitación.</w:t>
      </w:r>
    </w:p>
    <w:p w:rsidR="005728DD" w:rsidRDefault="005728DD" w:rsidP="005728DD">
      <w:pPr>
        <w:pStyle w:val="TextoNormal"/>
      </w:pPr>
    </w:p>
    <w:p w:rsidR="005728DD" w:rsidRDefault="005728DD" w:rsidP="005728DD">
      <w:pPr>
        <w:pStyle w:val="TextoNormal"/>
      </w:pPr>
      <w:r>
        <w:t xml:space="preserve">Afirma el Ministerio Fiscal que los acuerdos impugnados no hacen una interpretación arbitraria o desproporcionada, cuando establecen que no se tendrá en cuenta a los diputados suspendidos </w:t>
      </w:r>
      <w:r w:rsidRPr="005728DD">
        <w:rPr>
          <w:i/>
        </w:rPr>
        <w:t>ex lege</w:t>
      </w:r>
      <w:r>
        <w:t xml:space="preserve"> en el ejercicio del cargo, en aquellos casos en que el Reglamento del Congreso de los Diputados establece que hay que atender de manera proporcional a la importancia numérica del grupo parlamentario al que están asignados, puesto que ello es consecuencia de que no puede computarse a quienes carecen de las funciones inherentes al desempeño del cargo, sin hacer con ello ineficaz la propia suspensión declarada. Existiría además una contradicción en los casos en los que el Reglamento del Congreso de los Diputados contempla la ponderación de voto, en cuanto que en el Pleno no se computaría el voto de los diputados suspensos, al no poder ejercitar el derecho, mientras que cobraría virtualidad, al incluirlo en el cómputo del voto ponderado en caso de empate en las comisiones o en la votación en la junta de portavoces.</w:t>
      </w:r>
    </w:p>
    <w:p w:rsidR="005728DD" w:rsidRDefault="005728DD" w:rsidP="005728DD">
      <w:pPr>
        <w:pStyle w:val="TextoNormal"/>
      </w:pPr>
    </w:p>
    <w:p w:rsidR="005728DD" w:rsidRDefault="005728DD" w:rsidP="005728DD">
      <w:pPr>
        <w:pStyle w:val="TextoNormal"/>
      </w:pPr>
      <w:r>
        <w:t xml:space="preserve">Finalmente, se refiere a que determinados pronunciamientos de los acuerdos de la mesa impugnados supondrían una restricción de los derechos que en el Reglamento del Congreso de los Diputados son atribuidos al Grupo Parlamentario Mixto y, por ello, habiéndose personado el recurrente a título individual, carece de legitimación para su impugnación. Se trata de derechos titularidad de los grupos parlamentarios de la Cámara que se atribuyen a aquellos proporcionalmente a su importancia numérica, en consideración al eficaz desempeño de las funciones parlamentarias por los diputados que se integran en ellos. De acuerdo con la doctrina del Tribunal Constitucional, el derecho a la constitución de un grupo parlamentario es una manifestación relevante del </w:t>
      </w:r>
      <w:r w:rsidRPr="005728DD">
        <w:rPr>
          <w:i/>
        </w:rPr>
        <w:t>ius in officium</w:t>
      </w:r>
      <w:r>
        <w:t xml:space="preserve"> y constituyen un instrumento imprescindible y principal para la organización y funcionamiento de la cámara y para el desempeño de las funciones parlamentarias propias del estatus parlamentario (STC 76/2017, de 19 de junio, FJ 4).</w:t>
      </w:r>
    </w:p>
    <w:p w:rsidR="005728DD" w:rsidRDefault="005728DD" w:rsidP="005728DD">
      <w:pPr>
        <w:pStyle w:val="TextoNormal"/>
      </w:pPr>
    </w:p>
    <w:p w:rsidR="005728DD" w:rsidRDefault="005728DD" w:rsidP="005728DD">
      <w:pPr>
        <w:pStyle w:val="TextoNormal"/>
      </w:pPr>
      <w:r>
        <w:t xml:space="preserve">El recurrente y el resto de los diputados suspendidos han sido incorporados al Grupo Mixto en cuanto ostentan la condición de diputados y en cumplimiento de lo dispuesto en el artículo 25.1 RCD, pero al no poder ejercer durante su suspensión las funciones parlamentarias, ni las facultades que integran el </w:t>
      </w:r>
      <w:r w:rsidRPr="005728DD">
        <w:rPr>
          <w:i/>
        </w:rPr>
        <w:t>ius in officium</w:t>
      </w:r>
      <w:r>
        <w:t xml:space="preserve">, esa asignación no puede dar lugar a que materialmente, aquellos sean computados para atribuir al grupo parlamentario los derechos previstos en función de las facultades que son inherentes al ejercicio del cargo. En cualquier caso y, con independencia de la falta de legitimación para impugnar la vulneración de los derechos que resultan de los grupos parlamentarios, la precisión del punto 2 del </w:t>
      </w:r>
      <w:r>
        <w:lastRenderedPageBreak/>
        <w:t>acuerdo de la mesa de 5 de junio, que dispone que la imposibilidad de formar parte de las comisiones y otros órganos de la Cámara, deberá ser tenida en cuenta en el momento de determinar el número de miembros que en los distintos órganos corresponderá designar al Grupo Parlamentario Mixto, que el acuerdo de la mesa de 16 de julio, pone de manifiesto que no ha sido adoptada, debe considerarse prematura.</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que tuvo entrada en el registro general del tribunal el 13 de julio de 2020, la letrada de las Cortes Generales presentó alegaciones en nombre y representación del Congreso de los Diputados, solicitando la inadmisión de la demanda por falta de agotamiento de la vía previa, mutación subjetiva del ejercicio de la acción y consiguiente falta de legitimación, considerando infringidos los artículos 31.2 RCD y 42 y 46.1 a) LOTC y, subsidiariamente, la desestimación del recurso de amparo en su integridad. Sus alegaciones pueden resumirse como sigue:</w:t>
      </w:r>
    </w:p>
    <w:p w:rsidR="005728DD" w:rsidRDefault="005728DD" w:rsidP="005728DD">
      <w:pPr>
        <w:pStyle w:val="TextoNormal"/>
      </w:pPr>
    </w:p>
    <w:p w:rsidR="005728DD" w:rsidRDefault="005728DD" w:rsidP="005728DD">
      <w:pPr>
        <w:pStyle w:val="TextoNormal"/>
      </w:pPr>
      <w:r>
        <w:t>A) Expone los antecedentes de hecho del presente recurso de amparo, poniendo de manifiesto que no existe ningún acuerdo de la mesa del Congreso de los Diputados de 25 de julio de 2019 sino que esta es la fecha de notificación del acuerdo de 16 de julio del mismo año. A continuación, aborda las siguientes cuestiones de carácter jurídico procesal:</w:t>
      </w:r>
    </w:p>
    <w:p w:rsidR="005728DD" w:rsidRDefault="005728DD" w:rsidP="005728DD">
      <w:pPr>
        <w:pStyle w:val="TextoNormal"/>
      </w:pPr>
    </w:p>
    <w:p w:rsidR="005728DD" w:rsidRDefault="005728DD" w:rsidP="005728DD">
      <w:pPr>
        <w:pStyle w:val="TextoNormal"/>
      </w:pPr>
      <w:r>
        <w:t>a) Se aduce falta de agotamiento de la vía previa, mutación subjetiva del ejercicio de la acción y consiguiente falta de legitimación en la interposición de la demanda de amparo.</w:t>
      </w:r>
    </w:p>
    <w:p w:rsidR="005728DD" w:rsidRDefault="005728DD" w:rsidP="005728DD">
      <w:pPr>
        <w:pStyle w:val="TextoNormal"/>
      </w:pPr>
    </w:p>
    <w:p w:rsidR="005728DD" w:rsidRDefault="005728DD" w:rsidP="005728DD">
      <w:pPr>
        <w:pStyle w:val="TextoNormal"/>
      </w:pPr>
      <w:r>
        <w:t>Se considera que el recurrente carece de legitimación para recurrir los acuerdos de la mesa de 5 de junio y 16 de julio de 2019 ya que no fue él quien interpuso la solicitud de reconsideración (art. 31.2 RCD), preceptiva para considerar agotada la vía previa exigida por el artículo 42 LOTC, sino que lo hizo la portavoz del Grupo Mixto. Por tanto, no se puede considerar que se haya cumplido el requisito del artículo 42 LOTC puesto que el “directamente afectado” [como exige el artículo 46.l a) LOTC] no es el que ha solicitado la reconsideración.</w:t>
      </w:r>
    </w:p>
    <w:p w:rsidR="005728DD" w:rsidRDefault="005728DD" w:rsidP="005728DD">
      <w:pPr>
        <w:pStyle w:val="TextoNormal"/>
      </w:pPr>
    </w:p>
    <w:p w:rsidR="005728DD" w:rsidRDefault="005728DD" w:rsidP="005728DD">
      <w:pPr>
        <w:pStyle w:val="TextoNormal"/>
      </w:pPr>
      <w:r>
        <w:t xml:space="preserve">La discrepancia en la titularidad de la acción imposibilita encontrar la imprescindible continuidad procesal entre el escrito de reconsideración y la demanda de amparo, en un supuesto que puede tener algún parecido estructural con la llamada desviación procesal en el recurso contencioso-administrativo. El Congreso se sitúa en un plano de clara indefensión, en cuanto que quien solicita la reconsideración es una persona y es otro sujeto diferente quien interpone la demanda de amparo. Se trata de una mutación subjetiva que se plantea al Congreso de los Diputados de forma sorpresiva, pues las alegaciones que pueda realizar la portavoz del Grupo Parlamentario Mixto no tienen nada que ver con las que pueda formular el recurrente en amparo quien ni siquiera pertenece “como activo” al Grupo Mixto, al estar suspendido. Discute también la legitimación de la portavoz del Grupo Mixto en lo que se refiere a la parte de los acuerdos que tratan sobre los efectos de la suspensión en el diputado afectado, en cuanto que ella no se puede considerar directa ni indirectamente afectada por dicha parte de los acuerdos, dado su carácter personalísimo. Tampoco puede actuar la referida portavoz en representación del recurrente en amparo al interponer la reconsideración porque en escrito de 20 de junio de 2019, complementario de su escrito de reconsideración, manifiesta que dicho escrito “fue registrado a iniciativa exclusiva de JxCAT-Junts”. Ello plantea que, para ser congruentes, el recurso de amparo se tendría que haber presentado por todos los miembros de JxCAT-Junts del Grupo Mixto, o incluso por todos los miembros </w:t>
      </w:r>
      <w:r>
        <w:lastRenderedPageBreak/>
        <w:t>dicho grupo, en cuanto se estaban invocando los derechos de todos. Del mismo modo, desde la perspectiva del demandante de amparo, solo son sus derechos personales lo que resultan afectados, ya que su condición de miembro del Grupo Mixto lo es en calidad de suspenso, por lo que ningún tipo de vinculación puede encontrarse entre el acuerdo de suspensión de su condición y la personalidad y actividad del propio Grupo Parlamentario Mixto. Por tanto, las alegaciones que lleva a cabo sobre la posible afectación de los derechos del Grupo Mixto no pueden ser invocadas en una demanda de amparo planteada por un diputado suspendido aunque esté en el propio Grupo Mixto. Esta incongruencia procesal, incluso en el caso de suponer que la legitimación en la reconsideración sea correcta, acredita un defecto de orden público procesal que determina la inadmisión de la acción.</w:t>
      </w:r>
    </w:p>
    <w:p w:rsidR="005728DD" w:rsidRDefault="005728DD" w:rsidP="005728DD">
      <w:pPr>
        <w:pStyle w:val="TextoNormal"/>
      </w:pPr>
    </w:p>
    <w:p w:rsidR="005728DD" w:rsidRDefault="005728DD" w:rsidP="005728DD">
      <w:pPr>
        <w:pStyle w:val="TextoNormal"/>
      </w:pPr>
      <w:r>
        <w:t>b) En segundo lugar, la letrada de las Cortes Generales se opone a la acumulación de este recurso de amparo con el recurso de amparo 5198-2019, en el entendimiento que no se cumplen los requisitos del artículo 83 LOTC. Cada uno de los acuerdos debe tener plena autonomía a los efectos de su impugnación, pues las cuestiones a analizar en cada uno son diferentes, y no se da la unidad de tramitación ni de decisión.</w:t>
      </w:r>
    </w:p>
    <w:p w:rsidR="005728DD" w:rsidRDefault="005728DD" w:rsidP="005728DD">
      <w:pPr>
        <w:pStyle w:val="TextoNormal"/>
      </w:pPr>
    </w:p>
    <w:p w:rsidR="005728DD" w:rsidRDefault="005728DD" w:rsidP="005728DD">
      <w:pPr>
        <w:pStyle w:val="TextoNormal"/>
      </w:pPr>
      <w:r>
        <w:t>B) En cuanto a los fundamentos jurídico-materiales, se expone lo que sigue:</w:t>
      </w:r>
    </w:p>
    <w:p w:rsidR="005728DD" w:rsidRDefault="005728DD" w:rsidP="005728DD">
      <w:pPr>
        <w:pStyle w:val="TextoNormal"/>
      </w:pPr>
    </w:p>
    <w:p w:rsidR="005728DD" w:rsidRDefault="005728DD" w:rsidP="005728DD">
      <w:pPr>
        <w:pStyle w:val="TextoNormal"/>
      </w:pPr>
      <w:r>
        <w:t xml:space="preserve">a) En relación con la remisión que realiza el recurrente a los argumentos del recurso de amparo 5198-2019, se considera que es irrelevante pues el objeto del presente recurso no versa sobre la aplicación del artículo 384 </w:t>
      </w:r>
      <w:r w:rsidRPr="005728DD">
        <w:rPr>
          <w:i/>
        </w:rPr>
        <w:t>bis</w:t>
      </w:r>
      <w:r>
        <w:t xml:space="preserve"> LECrim y la supuesta inconstitucionalidad del acuerdo de declaración de suspensión en sí mismo considerado, sino sobre otra cuestión distinta, por mucho que derive de la anterior, que es la conformidad constitucional de los efectos derivados de esa suspensión, esto es, la privación al diputado suspendido de determinados derechos asociados a su condición, así como de otros efectos en relación al Grupo Mixto, ponderación del voto, atribución de iniciativas y composición de los órganos de la cámara. En este recurso, lo que se trata de dilucidar no es si es procedente o no la suspensión del diputado, lo que se decide en el anterior recurso, sino si, partiendo de la suspensión, son conforme a Derecho las medidas adoptadas por la mesa. Por ello, en su opinión, resultan ajenas al objeto de este recurso todas las alegaciones contenidas en la demanda de amparo que reiteran, se remiten o pretenden ampliar de algún modo los argumentos ya expuestos en el anterior recurso, en relación con la aplicación por la mesa de la cámara del artículo 384 </w:t>
      </w:r>
      <w:r w:rsidRPr="005728DD">
        <w:rPr>
          <w:i/>
        </w:rPr>
        <w:t>bis</w:t>
      </w:r>
      <w:r>
        <w:t xml:space="preserve"> LECrim y la inconstitucionalidad de la suspensión declarada.</w:t>
      </w:r>
    </w:p>
    <w:p w:rsidR="005728DD" w:rsidRDefault="005728DD" w:rsidP="005728DD">
      <w:pPr>
        <w:pStyle w:val="TextoNormal"/>
      </w:pPr>
    </w:p>
    <w:p w:rsidR="005728DD" w:rsidRDefault="005728DD" w:rsidP="005728DD">
      <w:pPr>
        <w:pStyle w:val="TextoNormal"/>
      </w:pPr>
      <w:r>
        <w:t xml:space="preserve">En este sentido, a la vista de las “consideraciones adicionales”, se podría decir que el recurrente no está planteando un recurso para acumular al otro, sino una ampliación de su anterior demanda de amparo, completamente extemporánea y al margen de cauce procesal previsto, razón por la cual todas las alegaciones que pretenden reabrir el debate sobre la aplicación del artículo 384 </w:t>
      </w:r>
      <w:r w:rsidRPr="005728DD">
        <w:rPr>
          <w:i/>
        </w:rPr>
        <w:t>bis</w:t>
      </w:r>
      <w:r>
        <w:t xml:space="preserve"> LECrim, no pueden ser tenidas en cuenta a los efectos del presente recurso de amparo. No obstante lo anterior, la letrada de las Cortes reproduce sus alegaciones en el recurso de amparo 5198-2019 sobre la sentencia de 14 de octubre de 2019 de la Sala de lo Penal del Tribunal Supremo. Se aduce que lo que se considera relevante, no es dicha sentencia, sino la STC 11/2020, de 28 de enero, que avala la constitucionalidad de la suspensión automática y </w:t>
      </w:r>
      <w:r w:rsidRPr="005728DD">
        <w:rPr>
          <w:i/>
        </w:rPr>
        <w:t>ex lege</w:t>
      </w:r>
      <w:r>
        <w:t xml:space="preserve"> de la condición de diputados del Parlament de Catalunya de los recurrentes por imperio del artículo 384 </w:t>
      </w:r>
      <w:r w:rsidRPr="005728DD">
        <w:rPr>
          <w:i/>
        </w:rPr>
        <w:t>bis</w:t>
      </w:r>
      <w:r>
        <w:t xml:space="preserve"> LECrim que acordó el magistrado instructor de la causa especial número 20907-2017, en la que se afirma que dicho precepto no deja margen alguno en su aplicación, más allá de la verificación de la concurrencia de los </w:t>
      </w:r>
      <w:r>
        <w:lastRenderedPageBreak/>
        <w:t>presupuestos a los que la norma liga tal medida: procesamiento firme y prisión provisional por razón de los delitos a los que se refiere el precepto (en el mismo sentido, cita las SSTC 37/2020 y 38/2020, de 25 de febrero).</w:t>
      </w:r>
    </w:p>
    <w:p w:rsidR="005728DD" w:rsidRDefault="005728DD" w:rsidP="005728DD">
      <w:pPr>
        <w:pStyle w:val="TextoNormal"/>
      </w:pPr>
    </w:p>
    <w:p w:rsidR="005728DD" w:rsidRDefault="005728DD" w:rsidP="005728DD">
      <w:pPr>
        <w:pStyle w:val="TextoNormal"/>
      </w:pPr>
      <w:r>
        <w:t xml:space="preserve">Los criterios reseñados por la doctrina del Tribunal Constitucional son semejantes a los que se desprenden de la jurisprudencia del Tribunal Europeo de Derechos Humanos sobre el art. 3 del Protocolo núm. 1 CEDH, cuyos principios generales aparecen expuestos en la STEDH de 8 de abril de 2010, asunto </w:t>
      </w:r>
      <w:r w:rsidRPr="005728DD">
        <w:rPr>
          <w:i/>
        </w:rPr>
        <w:t>Namat Aliyev c. Azerbaiyan</w:t>
      </w:r>
      <w:r>
        <w:t xml:space="preserve">, § 70 a 73. Con cita de diferentes SSTEDH, destaca que el art. 3 del Protocolo núm. 1 consagra un principio fundamental en un régimen político verdaderamente democrático y, por tanto, reviste en el sistema del Convenio una importancia capital, sin embargo, los derechos reconocidos en el art. 3 del Protocolo núm. 1 no son absolutos sino que pueden estar sometidos a “limitaciones implícitas”, disponiendo los Estados de un amplio margen de apreciación al respecto, correspondiendo al Tribunal Europeo de Derechos Humanos determinar en última instancia si los requisitos de este artículo se han cumplido. Para ello, “tiene que convencerse de que las condiciones no restringen los derechos en cuestión hasta el punto de menoscabar su propia esencia y privarlos de su eficacia; que se impongan en pos de un fin legítimo; y que los medios empleados no son desproporcionados o arbitrarios (SSTEDH asunto </w:t>
      </w:r>
      <w:r w:rsidRPr="005728DD">
        <w:rPr>
          <w:i/>
        </w:rPr>
        <w:t>Mathieu-Mohin y Clerfayt c. Bélgica</w:t>
      </w:r>
      <w:r>
        <w:t xml:space="preserve">, § 52, y asunto </w:t>
      </w:r>
      <w:r w:rsidRPr="005728DD">
        <w:rPr>
          <w:i/>
        </w:rPr>
        <w:t>Gitonas y otros c. Grecia</w:t>
      </w:r>
      <w:r>
        <w:t xml:space="preserve">, § 39)” (SSTEDH de 6 de abril de 2000, asunto </w:t>
      </w:r>
      <w:r w:rsidRPr="005728DD">
        <w:rPr>
          <w:i/>
        </w:rPr>
        <w:t>Labita c. Italia</w:t>
      </w:r>
      <w:r>
        <w:t xml:space="preserve">, § 201, y 21 de febrero de 2012, asunto </w:t>
      </w:r>
      <w:r w:rsidRPr="005728DD">
        <w:rPr>
          <w:i/>
        </w:rPr>
        <w:t>Abil c. Azerbayan</w:t>
      </w:r>
      <w:r>
        <w:t xml:space="preserve">, § 43). La noción de “limitación implícita” significa también que, al enjuiciar su alegada vulneración, el Tribunal Europeo de Derechos Humanos no aplica los criterios tradicionales de “necesidad” o de “necesidad social imperiosa”. Cuando tiene que conocer de cuestiones referidas a la conformidad de una restricción al art. 3 del Protocolo núm. 1, el Tribunal Europeo de Derechos Humanos se atiene esencialmente a dos criterios: por una parte, investiga si hubo arbitrariedad o falta de proporcionalidad y, por otra, si la restricción atentó contra la libre expresión de la opinión pública (asunto </w:t>
      </w:r>
      <w:r w:rsidRPr="005728DD">
        <w:rPr>
          <w:i/>
        </w:rPr>
        <w:t>Zdanoka c. Letonia</w:t>
      </w:r>
      <w:r>
        <w:t>, de 16 de marzo de 2006, citada, § 115). Teniendo en cuenta esta doctrina, no parece fundamentado, en su opinión, que el recurrente invoque como vulnerado el artículo 3 del Protocolo núm. 1 CEDH, puesto que la misma jurisprudencia europea admite sus límites. Afirmado este carácter limitado del derecho fundamental, el siguiente paso ha de venir constituido, como exige la jurisprudencia, por el juicio de proporcionalidad que se debe hacer de la medida limitadora del derecho fundamental.</w:t>
      </w:r>
    </w:p>
    <w:p w:rsidR="005728DD" w:rsidRDefault="005728DD" w:rsidP="005728DD">
      <w:pPr>
        <w:pStyle w:val="TextoNormal"/>
      </w:pPr>
    </w:p>
    <w:p w:rsidR="005728DD" w:rsidRDefault="005728DD" w:rsidP="005728DD">
      <w:pPr>
        <w:pStyle w:val="TextoNormal"/>
      </w:pPr>
      <w:r>
        <w:t>De acuerdo con lo anterior, la letrada de las Cortes Generales analiza, siguiendo el orden de los motivos de la demanda de amparo, si las medidas adoptadas en el acuerdo de la Mesa de 5 de junio de 2019 pueden considerarse una “injerencia proporcionada” desde la perspectiva del derecho fundamental reconocido en el artículo 23.2 CE.</w:t>
      </w:r>
    </w:p>
    <w:p w:rsidR="005728DD" w:rsidRDefault="005728DD" w:rsidP="005728DD">
      <w:pPr>
        <w:pStyle w:val="TextoNormal"/>
      </w:pPr>
    </w:p>
    <w:p w:rsidR="005728DD" w:rsidRDefault="005728DD" w:rsidP="005728DD">
      <w:pPr>
        <w:pStyle w:val="TextoNormal"/>
      </w:pPr>
      <w:r>
        <w:t>b) En relación con la alegación de la demanda de que el acuerdo de 5 de junio de 2019 fue dictado por un órgano manifiestamente incompetente, lo que comporta la vulneración del derecho del diputado recurrente por su adopción sin audiencia de la junta de portavoces, considera que el recurrente incurre en este punto en cierta confusión respecto a la naturaleza de los acuerdos de la mesa y a las fuentes del Derecho parlamentario.</w:t>
      </w:r>
    </w:p>
    <w:p w:rsidR="005728DD" w:rsidRDefault="005728DD" w:rsidP="005728DD">
      <w:pPr>
        <w:pStyle w:val="TextoNormal"/>
      </w:pPr>
    </w:p>
    <w:p w:rsidR="005728DD" w:rsidRDefault="005728DD" w:rsidP="005728DD">
      <w:pPr>
        <w:pStyle w:val="TextoNormal"/>
      </w:pPr>
      <w:r>
        <w:t xml:space="preserve">Afirma que los acuerdos de la mesa del Congreso de los Diputados han sido adoptados tanto al amparo de su competencia residual (art. 31.1.7 RCD), como de la competencia en </w:t>
      </w:r>
      <w:r>
        <w:lastRenderedPageBreak/>
        <w:t>su condición de órgano rector y de gobierno de la cámara (art. 30.1 RCD). Y también implícitamente de acuerdo con el artículo 31.1.1 RCD, en las que encaja un acuerdo que tiene un contenido tanto relativo al régimen de los diputados como a diversas cuestiones de funcionamiento y organización de la Cámara.</w:t>
      </w:r>
    </w:p>
    <w:p w:rsidR="005728DD" w:rsidRDefault="005728DD" w:rsidP="005728DD">
      <w:pPr>
        <w:pStyle w:val="TextoNormal"/>
      </w:pPr>
    </w:p>
    <w:p w:rsidR="005728DD" w:rsidRDefault="005728DD" w:rsidP="005728DD">
      <w:pPr>
        <w:pStyle w:val="TextoNormal"/>
      </w:pPr>
      <w:r>
        <w:t xml:space="preserve">Finalmente, funda la competencia de la mesa en el artículo 31.1. 4 y 5 RCD que le atribuye la función de calificar y decidir la tramitación de todos los escritos y documentos de índole parlamentaria, entendiendo por tramitación dar el curso conforme a ley de los citados documentos. En efecto, la mesa, cuando en su día recibió testimonio de la resolución de 14 de mayo de 2019, dictada por la Sala Segunda del Tribunal Supremo, en la causa especial 3720907-2017, tomó conocimiento de la situación procesal en la que se encontraba el recurrente y procedió a la calificación de este escrito y a la adopción de la declaración de suspensión. El posterior acuerdo de 5 de junio, que ahora se recurre, complemento del anterior, es al igual que aquél, producto del ejercicio por la mesa de su competencia de calificación de escritos y de determinar la tramitación y los efectos de cada uno de ellos. A todo lo dicho, se puede añadir que la citada competencia de la mesa es la consecuencia de un efecto que se produce por ministerio de la ley, en concreto, la suspensión operada </w:t>
      </w:r>
      <w:r w:rsidRPr="005728DD">
        <w:rPr>
          <w:i/>
        </w:rPr>
        <w:t>ex</w:t>
      </w:r>
      <w:r>
        <w:t xml:space="preserve"> artículo 384 </w:t>
      </w:r>
      <w:r w:rsidRPr="005728DD">
        <w:rPr>
          <w:i/>
        </w:rPr>
        <w:t>bis</w:t>
      </w:r>
      <w:r>
        <w:t xml:space="preserve"> LECrim, pudiéndose sostener que dicho acuerdo de 5 de junio constituye un “acto debido”, ya que la previsión legal del artículo 384 </w:t>
      </w:r>
      <w:r w:rsidRPr="005728DD">
        <w:rPr>
          <w:i/>
        </w:rPr>
        <w:t>bis</w:t>
      </w:r>
      <w:r>
        <w:t xml:space="preserve"> y la declaración judicial sobre su aplicación, no pueden producir sus efectos directamente sobre el ordenamiento de las cámaras, sino que es necesario que la cámara los aplique sus efectos.</w:t>
      </w:r>
    </w:p>
    <w:p w:rsidR="005728DD" w:rsidRDefault="005728DD" w:rsidP="005728DD">
      <w:pPr>
        <w:pStyle w:val="TextoNormal"/>
      </w:pPr>
    </w:p>
    <w:p w:rsidR="005728DD" w:rsidRDefault="005728DD" w:rsidP="005728DD">
      <w:pPr>
        <w:pStyle w:val="TextoNormal"/>
      </w:pPr>
      <w:r>
        <w:t>En relación con la división que realiza el recurrente entre acuerdos generales, que deben ser adoptados por la presidencia, y acuerdos concretos, que deben ser adoptados por la mesa, considera que la misma no es correcta ya que el Reglamento del Congreso de los Diputados no excluye que dichos acuerdos de la mesa tengan un alcance general, sino que es lo normal, teniendo en cuenta la competencia genérica de la mesa para adoptar medidas organizativas y de régimen interior que están pensadas precisamente para una aplicación general. Relaciona una amplia lista de ejemplos de acuerdos de carácter general. Por tanto, concluye que el Reglamento del Congreso de los Diputados ampara, y la práctica lo confirma, que la mesa puede adoptar disposiciones o acuerdos de este tipo. En todo caso, a su juicio, el acuerdo recurrido no tiene carácter general, ya que su objeto es determinar las consecuencias de una concreta suspensión, la de los cuatro diputados afectados, no la de otros posibles casos que se puedan dar en el futuro respecto a esos mismos diputados u otros, que plantearse, requerirían la adopción por la mesa del correspondiente acuerdo específico.</w:t>
      </w:r>
    </w:p>
    <w:p w:rsidR="005728DD" w:rsidRDefault="005728DD" w:rsidP="005728DD">
      <w:pPr>
        <w:pStyle w:val="TextoNormal"/>
      </w:pPr>
    </w:p>
    <w:p w:rsidR="005728DD" w:rsidRDefault="005728DD" w:rsidP="005728DD">
      <w:pPr>
        <w:pStyle w:val="TextoNormal"/>
      </w:pPr>
      <w:r>
        <w:t>Considera que resulta descartable que el acuerdo de 5 de junio se hubiera tenido que adoptar por la Presidencia de la Cámara (art. 32.2 RCD), como defiende el recurrente. El presidente puede dictar normas que interpreten el reglamento, las denominadas resoluciones interpretativas, o que suplan sus lagunas, las denominadas resoluciones supletorias, necesitando para la aprobación de estas últimas el parecer favorable de la mesa y junta de portavoces, si bien este caso no se incluye en ninguno de estos dos supuestos, pues en ningún momento se planteó un problema de interpretación del reglamento o una laguna del mismo.</w:t>
      </w:r>
    </w:p>
    <w:p w:rsidR="005728DD" w:rsidRDefault="005728DD" w:rsidP="005728DD">
      <w:pPr>
        <w:pStyle w:val="TextoNormal"/>
      </w:pPr>
    </w:p>
    <w:p w:rsidR="005728DD" w:rsidRDefault="005728DD" w:rsidP="005728DD">
      <w:pPr>
        <w:pStyle w:val="TextoNormal"/>
      </w:pPr>
      <w:r>
        <w:t xml:space="preserve">En cuanto a la falta de audiencia de la junta de portavoces, insiste en que el objeto del recurso de amparo no es una resolución supletoria de la presidencia (art. 32.2 RCD), que se debe adoptar mediando el parecer favorable de la mesa y la junta de portavoces. Aun así, en este caso se produjo la audiencia de la junta de portavoces, no por aplicación del artículo </w:t>
      </w:r>
      <w:r>
        <w:lastRenderedPageBreak/>
        <w:t>32.2 RCD, sino del artículo 31.2 RCD a efectos de la decisión sobre la reconsideración de su acuerdo de 5 de junio de 2019, tal y como consta en el acta de la junta de portavoces de 16 de julio de 2019. Finalmente, aduce en relación con esta cuestión, que la materia referida a la suspensión de los diputados no es competencia de la junta de portavoces, tal y como se infiere del artículo 21 RCD y, del artículo 39 RCD, que no es una norma atributiva de competencia, que pueda servir de fundamento para justificar una exigencia de audiencia previa en este o en otros casos.</w:t>
      </w:r>
    </w:p>
    <w:p w:rsidR="005728DD" w:rsidRDefault="005728DD" w:rsidP="005728DD">
      <w:pPr>
        <w:pStyle w:val="TextoNormal"/>
      </w:pPr>
    </w:p>
    <w:p w:rsidR="005728DD" w:rsidRDefault="005728DD" w:rsidP="005728DD">
      <w:pPr>
        <w:pStyle w:val="TextoNormal"/>
      </w:pPr>
      <w:r>
        <w:t>c) Respecto a la alegación de que los acuerdos son nulos de pleno derecho porque alteran las mayorías del Congreso de los Diputados, vulneran los derechos de los diputados del Grupo Mixto, con expresa infracción del Reglamento del Congreso de los Diputados y de los derechos del recurrente, considera que el reproche que realiza el recurrente va dirigido exclusivamente a la arbitrariedad y falta de motivación o de razonamiento en el acuerdo de la mesa. Sin embargo, a su juicio, no se puede afirmar que se haya adoptado sin razonamiento jurídico alguno o de forma arbitraria, para lo que menciona el “Informe [de la Secretaría General del Congreso de los Diputados] sobre el alcance y efectos de la suspensión de los señores diputados que se encuentran en situación de prisión preventiva”, de 4 de junio de 2019, sobre cuya base la mesa adoptó el acuerdo de 5 de junio, como se desprende del acta de la reunión de ese día. Por tanto, no puede afirmarse que el acuerdo esté desprovisto de motivación, pues fue precedido de un informe jurídico en el cual la mesa se basa, y adoptado previo intercambio de pareceres por los miembros de la mesa, que han quedado reflejados documentalmente. Es decir no se trata de un acuerdo despojado de razonamiento, o como incluso llega a decir el recurrente sin “ninguna justificación jurídica que los avale”. Se podrá estar de acuerdo o no con la justificación, pero existe un claro razonamiento jurídico que sirve de apoyo al acuerdo adoptado.</w:t>
      </w:r>
    </w:p>
    <w:p w:rsidR="005728DD" w:rsidRDefault="005728DD" w:rsidP="005728DD">
      <w:pPr>
        <w:pStyle w:val="TextoNormal"/>
      </w:pPr>
    </w:p>
    <w:p w:rsidR="005728DD" w:rsidRDefault="005728DD" w:rsidP="005728DD">
      <w:pPr>
        <w:pStyle w:val="TextoNormal"/>
      </w:pPr>
      <w:r>
        <w:t>La letrada de las Cortes Generales entra a analizar la justificación del acuerdo de la mesa respecto de cada una de las medidas adoptadas a las que se refiere el recurrente, comenzando con las recogidas en los apartados 1, 2, 3, 4 y 6.</w:t>
      </w:r>
    </w:p>
    <w:p w:rsidR="005728DD" w:rsidRDefault="005728DD" w:rsidP="005728DD">
      <w:pPr>
        <w:pStyle w:val="TextoNormal"/>
      </w:pPr>
    </w:p>
    <w:p w:rsidR="005728DD" w:rsidRDefault="005728DD" w:rsidP="005728DD">
      <w:pPr>
        <w:pStyle w:val="TextoNormal"/>
      </w:pPr>
      <w:r>
        <w:t>En relación con lo dispuesto en el apartado 1 del acuerdo de 5 de junio, pone de manifiesto que, como se justifica en el informe de la Secretaría General, el diputado suspendido no pierde su condición. Se le suspende en sus derechos y deberes parlamentarios, pero le queda la condición misma de diputado, que solo se pierde por las causas previstas en el artículo 22 RCD. Consecuencia de ello, es que la mayoría absoluta y las demás mayorías especiales se siguen computando sobre 350, puesto que los diputados suspendidos siguen siendo miembros de la cámara. Este tipo de mayorías se computan sobre los “miembros de la Cámara” (arts. 131, 146.2 y 147.2 RCD) o sobre los “miembros del Congreso” (arts. 164.2 y 204 RCD). La citada composición se establece con carácter general y siempre se remite al número de diputados de derecho, al margen de las situaciones diversas en que se puedan encontrar, entre ellas una suspensión de funciones y tan solo se altera con la pérdida del mandato por disolución de la Cámara o por renuncia o pérdida de la condición. Al no ser un supuesto de pérdida de la condición, la suspensión no determina que deba reducirse el número de diputados de derecho a los efectos de calcular la válida constitución, o a los efectos que determinadas normas establecen teniendo en cuenta el número de diputados de derecho. La suspensión mantiene la condición de diputado y por tanto no altera el número de integrantes de la misma.</w:t>
      </w:r>
    </w:p>
    <w:p w:rsidR="005728DD" w:rsidRDefault="005728DD" w:rsidP="005728DD">
      <w:pPr>
        <w:pStyle w:val="TextoNormal"/>
      </w:pPr>
    </w:p>
    <w:p w:rsidR="005728DD" w:rsidRDefault="005728DD" w:rsidP="005728DD">
      <w:pPr>
        <w:pStyle w:val="TextoNormal"/>
      </w:pPr>
      <w:r>
        <w:lastRenderedPageBreak/>
        <w:t>Respecto al apartado 2, en el que se contienen diferentes afirmaciones, la letrada de las Cortes Generales afirma que es consecuencia de la declaración de suspensión. El diputado suspendido, aunque mantiene tal condición, queda privado “de sus derechos y deberes parlamentarios”, entendiéndose por estos todos los reconocidos en el reglamento, entre los que se encuentra formar parte de las comisiones (art. 6.2 RCD) y demás órganos parlamentarios. Dado que el diputado suspendido no puede formar parte de la comisión, ponencia o subcomisión, resulta lógico que, a la hora de atribuir miembros en esos órganos al Grupo Mixto, a este se le descuenten de su composición numérica total los diputados suspendidos.</w:t>
      </w:r>
    </w:p>
    <w:p w:rsidR="005728DD" w:rsidRDefault="005728DD" w:rsidP="005728DD">
      <w:pPr>
        <w:pStyle w:val="TextoNormal"/>
      </w:pPr>
    </w:p>
    <w:p w:rsidR="005728DD" w:rsidRDefault="005728DD" w:rsidP="005728DD">
      <w:pPr>
        <w:pStyle w:val="TextoNormal"/>
      </w:pPr>
      <w:r>
        <w:t>El apartado 3, que determina que el diputado suspendido se incorpore al Grupo Parlamentario Mixto, según la letrada de las Cortes Generales, no es discutido por el recurrente. Ello no obstante aduce que dicha incorporación es consecuencia de la suspensión.</w:t>
      </w:r>
    </w:p>
    <w:p w:rsidR="005728DD" w:rsidRDefault="005728DD" w:rsidP="005728DD">
      <w:pPr>
        <w:pStyle w:val="TextoNormal"/>
      </w:pPr>
    </w:p>
    <w:p w:rsidR="005728DD" w:rsidRDefault="005728DD" w:rsidP="005728DD">
      <w:pPr>
        <w:pStyle w:val="TextoNormal"/>
      </w:pPr>
      <w:r>
        <w:t>En relación con el apartado 4, la representación del Congreso de los Diputados pone de manifiesto que el diputado suspendido por efecto del artículo 25.2 RCD queda incorporado directamente al Grupo Mixto. Ahora bien, dado que en ese grupo no puede ejercer ningún derecho, al grupo se le debe descontar del total de sus miembros el número de diputados suspendidos en todas aquellas ocasiones en que se haya de tener en cuenta el número de miembros del grupo para atribuirle un cupo de iniciativas.</w:t>
      </w:r>
    </w:p>
    <w:p w:rsidR="005728DD" w:rsidRDefault="005728DD" w:rsidP="005728DD">
      <w:pPr>
        <w:pStyle w:val="TextoNormal"/>
      </w:pPr>
    </w:p>
    <w:p w:rsidR="005728DD" w:rsidRDefault="005728DD" w:rsidP="005728DD">
      <w:pPr>
        <w:pStyle w:val="TextoNormal"/>
      </w:pPr>
      <w:r>
        <w:t>Finalmente, en cuanto al apartado 6, que detrae la parte proporcional de la subvención del Grupo Parlamentario Mixto, en lo relativo a la pertenencia al mismo de los diputados suspendidos, la letrada de las Cortes Generales justifica la misma en que, si la finalidad de la subvención es el apoyo al grupo en el ejercicio de sus funciones parlamentarias, es lógico que solo se tenga en cuenta el número de sus diputados que efectivamente pueden realizar tales funciones porque no se encuentren suspendidos. Computar también a los diputados suspendidos a efectos de la subvención, supondría desvirtuar la finalidad de tales ayudas económicas, de acuerdo con el artículo 8 RCD. No considera aplicable la STC 15/1992, que invoca el recurrente, a este caso, ya que no se ha privado al Grupo Parlamentario Mixto de la subvención.</w:t>
      </w:r>
    </w:p>
    <w:p w:rsidR="005728DD" w:rsidRDefault="005728DD" w:rsidP="005728DD">
      <w:pPr>
        <w:pStyle w:val="TextoNormal"/>
      </w:pPr>
    </w:p>
    <w:p w:rsidR="005728DD" w:rsidRDefault="005728DD" w:rsidP="005728DD">
      <w:pPr>
        <w:pStyle w:val="TextoNormal"/>
      </w:pPr>
      <w:r>
        <w:t xml:space="preserve">En resumen, a juicio la letrada de las Cortes Generales, no se puede decir que los referidos apartados del acuerdo de la mesa carezcan de una lógica de razonamiento y sean fruto de la arbitrariedad, pues todos ellos responden a un principio del funcionamiento parlamentario que es el de proporcionalidad en la composición de los órganos, conforme a la importancia numérica de cada grupo parlamentario en el total de la cámara. Si bien en este caso la mesa ha tenido que ajustar o modular la aplicación de dicha proporcionalidad, debido a la situación de suspensión de determinados diputados que, aun siendo miembros de un grupo, y contando en el cómputo total, no ejercen su función parlamentaria, y de acuerdo con el principio de ejercicio de la función parlamentaria, no han de ser tenidos en cuenta a efectos del reparto de miembros en los órganos, la atribución de cupos de iniciativas o la determinación de la cuantía de la subvención a los grupos, o de cualesquiera otros efectos que pudieran derivarse. Considera que con ello no se ha vulnerado el principio de igualdad, como se alega por el recurrente. La justificación del acuerdo de la mesa es el “ejercicio de la función parlamentaria”, que es el fundamento de la atribución de derechos. De forma que cualquier acuerdo que tenga que ver con el reparto o atribución de derechos entre los grupos que se decida en virtud del número de miembros de cada grupo conforme al principio de proporcionalidad, habrá de atender solo al número de miembros del grupo que, de forma </w:t>
      </w:r>
      <w:r>
        <w:lastRenderedPageBreak/>
        <w:t>efectiva, estén ejerciendo sus funciones, quedando por tanto, excluidos, los diputados suspendidos.</w:t>
      </w:r>
    </w:p>
    <w:p w:rsidR="005728DD" w:rsidRDefault="005728DD" w:rsidP="005728DD">
      <w:pPr>
        <w:pStyle w:val="TextoNormal"/>
      </w:pPr>
    </w:p>
    <w:p w:rsidR="005728DD" w:rsidRDefault="005728DD" w:rsidP="005728DD">
      <w:pPr>
        <w:pStyle w:val="TextoNormal"/>
      </w:pPr>
      <w:r>
        <w:t>El ejercicio de la función parlamentaria es, por tanto, el parámetro que marca la separación entre el diputado activo que la ejerce plenamente y el suspendido, y viene a justificar el diferente tratamiento que ambos deben tener. Entiende que la propia STC 15/1992, que se cita en la demanda de amparo, sirve para justificar esta conclusión. La finalidad de cualquier reconocimiento de derechos a los diputados o a los grupos en que se integran, es para facilitar el ejercicio de sus funciones parlamentarias. De forma que es consecuente con este principio no reconocer tales derechos cuando no se da como presupuesto de hecho el ejercicio de tales funciones. Este caso pone de manifiesto que el estatuto de derechos del diputado suspendido es diferente al diputado activo. Tal distinción no infringe el principio de igualdad, puesto que se justifica en la imposibilidad del ejercicio de la función parlamentaria por el diputado ausente. Tampoco vulnera el artículo 23.2 CE, puesto se trata de un derecho limitado, de configuración legal. El artículo 21 RCD determina que los diputados suspendidos quedan privados de sus derechos y deberes parlamentarios. Por tanto, y conforme exige la jurisprudencia, la injerencia en el derecho fundamental del artículo 23.2 CE en el caso que nos ocupa, a juicio de la letrada de las Cortes Generales, ha resultado proporcionada, deriva de la aplicación de normas legales, responde a un fin legítimo y se han justificado de una forma razonable y suficiente.</w:t>
      </w:r>
    </w:p>
    <w:p w:rsidR="005728DD" w:rsidRDefault="005728DD" w:rsidP="005728DD">
      <w:pPr>
        <w:pStyle w:val="TextoNormal"/>
      </w:pPr>
    </w:p>
    <w:p w:rsidR="005728DD" w:rsidRDefault="005728DD" w:rsidP="005728DD">
      <w:pPr>
        <w:pStyle w:val="TextoNormal"/>
      </w:pPr>
      <w:r>
        <w:t>d) Finalmente, la letrada analiza las alegaciones en relación con los apartados 5 y 7 del acuerdo de la mesa de 5 de junio de 2019, a las cuales les resultan trasladables las conclusiones que antes se han realizado respecto a la no vulneración del artículo 23.2 CE. Respecto al apartado 5, afirma que el no ejercicio de la función parlamentaria que supone la condición de suspendido, justifica que los diputados suspendidos no perciban las retribuciones económicas propias de los diputados (art. 8.1 RCD). Reitera que todos los acuerdos de la mesa responden al no ejercicio de la función parlamentaria de los diputados suspendidos, de acuerdo con el informe de la Secretaría General de 4 de junio de 2019, que sirvió de apoyo al citado acuerdo de la mesa. Además, la letrada aduce que el recurrente no aporta ninguna razón autónoma a la nulidad del acuerdo de 24 de mayo.</w:t>
      </w:r>
    </w:p>
    <w:p w:rsidR="005728DD" w:rsidRDefault="005728DD" w:rsidP="005728DD">
      <w:pPr>
        <w:pStyle w:val="TextoNormal"/>
      </w:pPr>
    </w:p>
    <w:p w:rsidR="005728DD" w:rsidRDefault="005728DD" w:rsidP="005728DD">
      <w:pPr>
        <w:pStyle w:val="TextoNormal"/>
      </w:pPr>
      <w:r>
        <w:t xml:space="preserve">Respecto a la afirmación de que se vulnera el derecho a un proceso equitativo, el derecho a la legalidad penal (dado el carácter claramente sancionador del artículo 384 </w:t>
      </w:r>
      <w:r w:rsidRPr="005728DD">
        <w:rPr>
          <w:i/>
        </w:rPr>
        <w:t>bis</w:t>
      </w:r>
      <w:r>
        <w:t xml:space="preserve"> LECrim), los derechos a las libertades de expresión, ideológica y de reunión, el derecho a un recurso efectivo, así como la prohibición de discriminación, aduce que se trata de una afirmación ajena a este recurso que, tiene como objeto de impugnación los efectos de la suspensión, no la medida de prisión provisional ni tampoco la suspensión aparejada a la misma.</w:t>
      </w:r>
    </w:p>
    <w:p w:rsidR="005728DD" w:rsidRDefault="005728DD" w:rsidP="005728DD">
      <w:pPr>
        <w:pStyle w:val="TextoNormal"/>
      </w:pPr>
    </w:p>
    <w:p w:rsidR="005728DD" w:rsidRDefault="005728DD" w:rsidP="005728DD">
      <w:pPr>
        <w:pStyle w:val="TextoNormal"/>
      </w:pPr>
      <w:r>
        <w:t xml:space="preserve">En todo caso, alega, la mesa es competente para determinar el inicio del devengo de las percepciones económicas, de acuerdo con sus competencias genéricas sobre régimen interior y sus competencias subsidiarias. A su vez, en cuanto a la autonomía de la cámara para la regulación de las percepciones de los diputados, afirma que la autonomía normativa que se reconoce a las cámaras (art. 72 RCD) y la autonomía presupuestaria, fundamentan que el artículo 8 RCD concrete el artículo 71.4 CE. El momento del devengo es correcto (art. 68.4 CE); sin embargo, aunque la suspensión se declara por la mesa con fecha 21 de mayo, ya que antes no era posible porque el diputado no había adquirido plenamente su condición, los efectos de la suspensión, al estar vinculados a la aplicación automática del artículo 384 </w:t>
      </w:r>
      <w:r w:rsidRPr="005728DD">
        <w:rPr>
          <w:i/>
        </w:rPr>
        <w:lastRenderedPageBreak/>
        <w:t>bis</w:t>
      </w:r>
      <w:r>
        <w:t xml:space="preserve"> LECrim, se producen desde antes de esa fecha, desde el acuerdo judicial de adopción de la medida de prisión provisional, la cual seguía manteniéndose a fecha de 28 de abril de 2019, día de las elecciones generales. Al encontrarse los diputados afectados en situación provisional ya desde el momento de las elecciones y con posterioridad, los efectos de la suspensión han de retrotraerse a esa fecha de las elecciones. Por esta razón, la mesa acuerda que no procede el abono de la retribución que les correspondería en ese periodo entre el 28 de abril de 2019 y el 21 de mayo de 2019. La sentencia del Tribunal Europeo de Derechos Humanos de 20 de noviembre de 2018 no es aplicable al caso que nos ocupa y no actúa de forma directa sobre nuestro sistema de protección de los derechos fundamentales exigiendo una proyección automática como ejecución de esta (cita los AATC 131/2018, de 18 de diciembre, y 21/2019, de 26 de marzo).</w:t>
      </w:r>
    </w:p>
    <w:p w:rsidR="005728DD" w:rsidRDefault="005728DD" w:rsidP="005728DD">
      <w:pPr>
        <w:pStyle w:val="TextoNormal"/>
      </w:pPr>
    </w:p>
    <w:p w:rsidR="005728DD" w:rsidRDefault="005728DD" w:rsidP="005728DD">
      <w:pPr>
        <w:pStyle w:val="TextoNormal"/>
      </w:pPr>
      <w:r>
        <w:t xml:space="preserve">Finalmente, respecto al apartado 7, aduce que las ayudas a las que se refiere tienen como justificación el ejercicio de las funciones parlamentarias, tal y como se establece en el artículo 9 RCD, como consecuencia de su dedicación parlamentaria. Y si bien el recurrente alega que ha acudido a la sesión constitutiva del Congreso el día 21 de mayo de 2019, pero que, por el acuerdo de la mesa, lo hizo sin asignación económica, sin cotización a la Seguridad Social y sin póliza de accidentes durante ese día, considerando que, aunque solo fuera por ese día, se han violado sus derechos, entiende que por aplicación del artículo 384 </w:t>
      </w:r>
      <w:r w:rsidRPr="005728DD">
        <w:rPr>
          <w:i/>
        </w:rPr>
        <w:t>bis</w:t>
      </w:r>
      <w:r>
        <w:t xml:space="preserve"> LECrim, este debe ser el efecto correcto. En el mismo momento en que perfeccionó su condición de diputado en la sesión constitutiva, quedó automáticamente suspendido en el ejercicio de sus funciones, estando entonces justificado que no figure como beneficiario de las prestaciones que se relacionan en el apartado 9 del acuerdo de la mesa, al haber desaparecido la causa que las justifica, que es el efectivo ejercicio de la función parlamentaria. Asimismo aduce que la previsión normativa que ampara la baja en la cobertura de protección social es el artículo 9.1 RCD, que vincula la cobertura a “la dedicación parlamentaria”.</w:t>
      </w:r>
    </w:p>
    <w:p w:rsidR="005728DD" w:rsidRDefault="005728DD" w:rsidP="005728DD">
      <w:pPr>
        <w:pStyle w:val="TextoNormal"/>
      </w:pPr>
    </w:p>
    <w:p w:rsidR="005728DD" w:rsidRDefault="005728DD" w:rsidP="005728DD">
      <w:pPr>
        <w:pStyle w:val="TextoNormal"/>
      </w:pPr>
      <w:r>
        <w:t>Por otra parte, la cita de la normativa sobre Seguridad Social que contiene la demanda no contradice en nada las consideraciones realizadas, pues es obvio que para cotizar a la Seguridad Social, es necesario ser trabajador por cuenta ajena o asimilado que realice alguna actividad, lo que no se da en el caso de los diputados suspendidos porque no están ejerciendo dicha actividad. De esta manera, no se puede considerar que la privación de estos derechos vulnere el artículo 33.3 CE, puesto que no es una privación ilegítima, ni tampoco los derechos reconocidos en el artículo 17 CDFUE y el artículo 1 del Protocolo núm. 1 al CEDH.</w:t>
      </w:r>
    </w:p>
    <w:p w:rsidR="005728DD" w:rsidRDefault="005728DD" w:rsidP="005728DD">
      <w:pPr>
        <w:pStyle w:val="TextoNormal"/>
      </w:pPr>
    </w:p>
    <w:p w:rsidR="005728DD" w:rsidRDefault="005728DD" w:rsidP="005728DD">
      <w:pPr>
        <w:pStyle w:val="TextoNormal"/>
      </w:pPr>
      <w:r>
        <w:t>Asimismo, ha de rechazarse la alegación respecto a la falta de un proceso debido, por el hecho de no haberse dado audiencia al diputado cuando la mesa adoptó sus acuerdos. El Reglamento del Congreso, que es la norma que regula los procedimientos internos en el ámbito de la Cámara, no contempla una fase de audiencia previa a la adopción de los acuerdos de la mesa. La cita que se realiza del artículo 6 CEDH, por considerarlo vulnerado por esta razón, es inadecuada, puesto que este artículo solo se aplica respecto a las garantías de los procesos judiciales.</w:t>
      </w:r>
    </w:p>
    <w:p w:rsidR="005728DD" w:rsidRDefault="005728DD" w:rsidP="005728DD">
      <w:pPr>
        <w:pStyle w:val="TextoNormal"/>
      </w:pPr>
    </w:p>
    <w:p w:rsidR="005728DD" w:rsidRDefault="005728DD" w:rsidP="005728DD">
      <w:pPr>
        <w:pStyle w:val="TextoNormal"/>
      </w:pPr>
      <w:r>
        <w:t xml:space="preserve">En conclusión, los acuerdos adoptados por la mesa el 5 de junio de 2019, son proporcionados y necesarios, y derivan directamente del primer acuerdo de declaración de la suspensión y de sus consecuencias en la relación jurídica representativa, ordenadas básicamente por el Reglamento del Congreso de los Diputados. No cabe por tanto una discrecionalidad en su contenido, que deje al albur de lo que disponga un órgano de la Cámara la efectividad </w:t>
      </w:r>
      <w:r>
        <w:lastRenderedPageBreak/>
        <w:t xml:space="preserve">de los derechos y obligaciones que deriva del Reglamento del Congreso de los Diputados. En cuanto a sus presupuestos de hecho y consecuencias, estos son completamente reglados. Están contemplados en la propia norma de forma completa y cerrada, sin que quepa modificarlos. La mesa de la cámara se encuentra no solo obligada a adoptar el acuerdo sino también a ceñirse al supuesto fundamental, la suspensión </w:t>
      </w:r>
      <w:r w:rsidRPr="005728DD">
        <w:rPr>
          <w:i/>
        </w:rPr>
        <w:t>ex</w:t>
      </w:r>
      <w:r>
        <w:t xml:space="preserve"> artículo 384 </w:t>
      </w:r>
      <w:r w:rsidRPr="005728DD">
        <w:rPr>
          <w:i/>
        </w:rPr>
        <w:t>bis</w:t>
      </w:r>
      <w:r>
        <w:t xml:space="preserve"> LECrim, y a deducir los efectos que permiten hablar de tal suspensión, conforme a las propias normas del reglamento de la Cámara.</w:t>
      </w:r>
    </w:p>
    <w:p w:rsidR="005728DD" w:rsidRDefault="005728DD" w:rsidP="005728DD">
      <w:pPr>
        <w:pStyle w:val="TextoNormal"/>
      </w:pPr>
    </w:p>
    <w:p w:rsidR="005728DD" w:rsidRDefault="005728DD" w:rsidP="005728DD">
      <w:pPr>
        <w:pStyle w:val="TextoNormal"/>
      </w:pPr>
      <w:r w:rsidRPr="005728DD">
        <w:rPr>
          <w:rStyle w:val="NumeroAFNegritaCaracter"/>
        </w:rPr>
        <w:t>6</w:t>
      </w:r>
      <w:r>
        <w:t>. Por providencia de 11 de mayo de 2021, se señaló para deliberación y votación de la presente sentencia el mismo día,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El presente recurso de amparo se interpone contra los acuerdos de la mesa del Congreso de los Diputados, de 5 de junio y 16 de julio de 2019. En la primera de estas resoluciones, la mesa adoptó un acuerdo complementario de su acuerdo de 24 de mayo del mismo año por el que había declarado “automáticamente suspendidos en el ejercicio del cargo y, por tanto, en los derechos y deberes establecidos en el Reglamento de la Cámara” a cuatro diputados, entre ellos, al ahora recurrente en amparo. Instada por la portavoz del Grupo Parlamentario Mixto la reconsideración de esta decisión con arreglo al artículo 31.2 del Reglamento del Congreso de los Diputados (RCD), la mesa adoptó la segunda de las resoluciones impugnadas y confirmó en ella su acuerdo inicial.</w:t>
      </w:r>
    </w:p>
    <w:p w:rsidR="005728DD" w:rsidRDefault="005728DD" w:rsidP="005728DD">
      <w:pPr>
        <w:pStyle w:val="TextoNormal"/>
      </w:pPr>
    </w:p>
    <w:p w:rsidR="005728DD" w:rsidRDefault="005728DD" w:rsidP="005728DD">
      <w:pPr>
        <w:pStyle w:val="TextoNormal"/>
      </w:pPr>
      <w:r>
        <w:t>El recurrente alega, en los términos que se han expuesto con detalle en los antecedentes de esta sentencia, que dichos acuerdos habrían infringido los artículos 23.2 y 24.2 CE, en conexión con los artículos 9.3, 16.1, 20.1 a), 23.1, 24.1, 25, 33.3, 70 y 71 de la misma norma fundamental; determinadas reglas del Derecho de la Unión Europea y otras enunciadas en tratados internacionales de aquellos a los que remite el artículo 10.2 CE.</w:t>
      </w:r>
    </w:p>
    <w:p w:rsidR="005728DD" w:rsidRDefault="005728DD" w:rsidP="005728DD">
      <w:pPr>
        <w:pStyle w:val="TextoNormal"/>
      </w:pPr>
    </w:p>
    <w:p w:rsidR="005728DD" w:rsidRDefault="005728DD" w:rsidP="005728DD">
      <w:pPr>
        <w:pStyle w:val="TextoNormal"/>
      </w:pPr>
      <w:r>
        <w:t>El Ministerio Fiscal por su parte, tal y como se ha dado cumplida cuenta en los antecedentes de esta sentencia, solicita que se inadmita parcialmente el recurso de amparo, y se desestime en todo lo demás. La representación del Congreso de los Diputados, a su vez, solicita la inadmisión del recurso de amparo y, subsidiariamente, la desestimación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Aplicación de la doctrina sentada por la STC 69/2021, de 18 de marzo</w:t>
      </w:r>
      <w:r>
        <w:t>.</w:t>
      </w:r>
    </w:p>
    <w:p w:rsidR="005728DD" w:rsidRDefault="005728DD" w:rsidP="005728DD">
      <w:pPr>
        <w:pStyle w:val="TextoNormal"/>
      </w:pPr>
    </w:p>
    <w:p w:rsidR="005728DD" w:rsidRDefault="005728DD" w:rsidP="005728DD">
      <w:pPr>
        <w:pStyle w:val="TextoNormal"/>
      </w:pPr>
      <w:r>
        <w:t>El acuerdo de la mesa del Congreso de los Diputados de 5 de junio de 2019, confirmado por el acuerdo de 16 de julio de 2019, es complementario del acuerdo de 24 de mayo de 2019, confirmado por el acuerdo de 11 de junio del mismo año. Contra estos dos últimos acuerdos el recurrente interpuso recurso de amparo (núm. 5098-2019) que fue desestimado por STC 193/2020, de 17 de diciembre, por remisión a la STC 97/2020, de 21 de julio.</w:t>
      </w:r>
    </w:p>
    <w:p w:rsidR="005728DD" w:rsidRDefault="005728DD" w:rsidP="005728DD">
      <w:pPr>
        <w:pStyle w:val="TextoNormal"/>
      </w:pPr>
    </w:p>
    <w:p w:rsidR="005728DD" w:rsidRDefault="005728DD" w:rsidP="005728DD">
      <w:pPr>
        <w:pStyle w:val="TextoNormal"/>
      </w:pPr>
      <w:r>
        <w:t xml:space="preserve">A su vez, el presente recurso de amparo presenta identidad en el objeto, en la pretensión de amparo deducida y en los argumentos que la sustentan tanto con el recurso de amparo </w:t>
      </w:r>
      <w:r>
        <w:lastRenderedPageBreak/>
        <w:t>núm. 6238-2019, desestimado mediante STC 69/2021, de 18 de marzo como con el recurso de amparo 6240-2019, desestimado mediante STC 90/2021, de 22 de abril, por remisión a la anterior. La STC 69/2021, de 18 de marzo, a la que reiteramos que se remite la STC 90/2021, de 22 de abril, cobra asimismo relevancia en el presente recurso de amparo tanto para el análisis de las cuestiones procesales, como para la resolución de la controversia suscitada en el mismo.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Cuestiones previas</w:t>
      </w:r>
      <w:r>
        <w:t>.</w:t>
      </w:r>
    </w:p>
    <w:p w:rsidR="005728DD" w:rsidRDefault="005728DD" w:rsidP="005728DD">
      <w:pPr>
        <w:pStyle w:val="TextoNormal"/>
      </w:pPr>
    </w:p>
    <w:p w:rsidR="005728DD" w:rsidRDefault="005728DD" w:rsidP="005728DD">
      <w:pPr>
        <w:pStyle w:val="TextoNormal"/>
      </w:pPr>
      <w:r>
        <w:t>Como se ha expuesto en los antecedentes de esta sentencia, la letrada de las Cortes Generales solicita la inadmisión del presente recurso de amparo. El Ministerio Fiscal, por su parte, además de solicitar la inadmisión parcial del recurso, plantea una serie de cuestiones que han de resolverse antes de entrar a analizar el fondo del asunto. Todas estas cuestiones se solventaron, asimismo, en la ya citada STC 69/2021, a la que ahora hemos de remitirnos.</w:t>
      </w:r>
    </w:p>
    <w:p w:rsidR="005728DD" w:rsidRDefault="005728DD" w:rsidP="005728DD">
      <w:pPr>
        <w:pStyle w:val="TextoNormal"/>
      </w:pPr>
    </w:p>
    <w:p w:rsidR="005728DD" w:rsidRDefault="005728DD" w:rsidP="005728DD">
      <w:pPr>
        <w:pStyle w:val="TextoNormal"/>
      </w:pPr>
      <w:r>
        <w:t>a) En la demanda se impugna el acuerdo de la mesa del Congreso de los Diputados de 25 de julio de 2019; sin embargo, como ponen de relieve tanto el Ministerio Fiscal como la letrada de las Cortes Generales, el acuerdo de la mesa por el que se desestima la solicitud de reconsideración fue adoptado con fecha de 16 de julio de 2019, siendo el 25 de julio la fecha de la comunicación de dicho acuerdo por la presidenta del Congreso de los Diputados a la portavoz del Grupo Parlamentario Mixto. Por tanto, el presente recurso debe entenderse dirigido contra el acuerdo de la mesa del Congreso de 16 de julio de 2019, resolución esta que desestimó la solicitud de reconsideración formulada por el grupo parlamentario contra el acuerdo inicial de 5 de junio de 2019.</w:t>
      </w:r>
    </w:p>
    <w:p w:rsidR="005728DD" w:rsidRDefault="005728DD" w:rsidP="005728DD">
      <w:pPr>
        <w:pStyle w:val="TextoNormal"/>
      </w:pPr>
    </w:p>
    <w:p w:rsidR="005728DD" w:rsidRDefault="005728DD" w:rsidP="005728DD">
      <w:pPr>
        <w:pStyle w:val="TextoNormal"/>
      </w:pPr>
      <w:r>
        <w:t>b) La letrada de las Cortes Generales, como se ha expuesto en los antecedentes de esta sentencia, solicita la inadmisión del presente recurso de amparo, por lo que ha de abordarse ahora la comprobación de los requisitos procesales (por todas, STC 36/2020, de 25 de febrero, FJ 2). La razón que alega es que el recurrente no interpuso la solicitud de reconsideración (art. 31.2 RCD), requisito necesario para considerar agotada la vía previa para la interposición del recurso de amparo (art. 42 LOTC), sino que dicha solicitud fue planteada por la portavoz del Grupo Parlamentario Mixto.</w:t>
      </w:r>
    </w:p>
    <w:p w:rsidR="005728DD" w:rsidRDefault="005728DD" w:rsidP="005728DD">
      <w:pPr>
        <w:pStyle w:val="TextoNormal"/>
      </w:pPr>
    </w:p>
    <w:p w:rsidR="005728DD" w:rsidRDefault="005728DD" w:rsidP="005728DD">
      <w:pPr>
        <w:pStyle w:val="TextoNormal"/>
      </w:pPr>
      <w:r>
        <w:t>No pueden acogerse, en este punto, las diferentes apreciaciones realizadas al respecto por la letrada de las Cortes Generales que, a su juicio, conducirían a la inadmisión de este recurso de amparo por las mismas razones que expusimos en la STC 69/2021, FJ 2 b), ante la misma alegación y con el mismo fundamento que ahora se ha expresado.</w:t>
      </w:r>
    </w:p>
    <w:p w:rsidR="005728DD" w:rsidRDefault="005728DD" w:rsidP="005728DD">
      <w:pPr>
        <w:pStyle w:val="TextoNormal"/>
      </w:pPr>
    </w:p>
    <w:p w:rsidR="005728DD" w:rsidRDefault="005728DD" w:rsidP="005728DD">
      <w:pPr>
        <w:pStyle w:val="TextoNormal"/>
      </w:pPr>
      <w:r>
        <w:t xml:space="preserve">c) El Ministerio Fiscal ha solicitado la inadmisión del recurso de amparo en relación con los pronunciamientos del acuerdo de 5 de junio de 2019, contenidos en los puntos 2, 4 y 6, confirmados por el acuerdo de 16 de julio, por falta de legitimación del recurrente en cuanto dichos pronunciamientos afectan a los derechos atribuidos al Grupo Parlamentario Mixto, cuya representación legal no ostenta el demandante. En concreto, aduce, de acuerdo con lo afirmado en la STC 24/2020, de 13 de febrero, FFJJ 3 y 4, que los mismos inciden en los derechos que el reglamento atribuye a los grupos parlamentarios y, en concreto, al Grupo Parlamentario Mixto, y el recurrente carece de legitimación para impugnar los mismos, en cuanto ha comparecido a título individual y sin ostentar la representación legal del grupo parlamentario en el que resulta integrado. Por su parte, la letrada de las Cortes Generales </w:t>
      </w:r>
      <w:r>
        <w:lastRenderedPageBreak/>
        <w:t>afirma que la afectación de los derechos del Grupo Mixto no puede ser invocada en una demanda de amparo planteada por un diputado suspendido de dicho grupo.</w:t>
      </w:r>
    </w:p>
    <w:p w:rsidR="005728DD" w:rsidRDefault="005728DD" w:rsidP="005728DD">
      <w:pPr>
        <w:pStyle w:val="TextoNormal"/>
      </w:pPr>
    </w:p>
    <w:p w:rsidR="005728DD" w:rsidRDefault="005728DD" w:rsidP="005728DD">
      <w:pPr>
        <w:pStyle w:val="TextoNormal"/>
      </w:pPr>
      <w:r>
        <w:t>En efecto, la sola condición de miembro de un grupo parlamentario no es suficiente para arrogarse la defensa de los derechos del grupo al que pertenece, por lo que debemos convenir con el Ministerio Fiscal que el diputado recurrente en amparo no estaba legitimado para impugnar los puntos 2, 4 y 6 del acuerdo de la mesa del Congreso de los Diputados de 5 de junio de 2019, confirmado por el acuerdo de 16 de julio del mismo año, en lo que hace referencia a los derechos del Grupo Mixto [STC 69/2021, FJ 2 c)].</w:t>
      </w:r>
    </w:p>
    <w:p w:rsidR="005728DD" w:rsidRDefault="005728DD" w:rsidP="005728DD">
      <w:pPr>
        <w:pStyle w:val="TextoNormal"/>
      </w:pPr>
    </w:p>
    <w:p w:rsidR="005728DD" w:rsidRDefault="005728DD" w:rsidP="005728DD">
      <w:pPr>
        <w:pStyle w:val="TextoNormal"/>
      </w:pPr>
      <w:r>
        <w:t>d) La impugnación por el recurrente no ha perdido objeto por el hecho de que cesara definitivamente en la condición de diputado tras la disolución de la Cámara y convocatoria de elecciones por Real Decreto 551/2019, de 24 de septiembre (art. 68.4 CE), antes de que recayera, el 14 de octubre del mismo año, la sentencia 459/2019, de 14 de octubre, de la Sala de lo Penal del Tribunal Supremo [STC 69/2021, FJ 2 d)].</w:t>
      </w:r>
    </w:p>
    <w:p w:rsidR="005728DD" w:rsidRDefault="005728DD" w:rsidP="005728DD">
      <w:pPr>
        <w:pStyle w:val="TextoNormal"/>
      </w:pPr>
    </w:p>
    <w:p w:rsidR="005728DD" w:rsidRDefault="005728DD" w:rsidP="005728DD">
      <w:pPr>
        <w:pStyle w:val="TextoNormal"/>
      </w:pPr>
      <w:r>
        <w:t>e) No procede la práctica de la prueba solicitada, por las mismas razones expuestas en la STC 69/2021, FJ 2 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Delimitación del objeto y fundamento del recurso de amparo. Sobre las vulneraciones alegadas del artículo 23 CE</w:t>
      </w:r>
      <w:r>
        <w:t>.</w:t>
      </w:r>
    </w:p>
    <w:p w:rsidR="005728DD" w:rsidRDefault="005728DD" w:rsidP="005728DD">
      <w:pPr>
        <w:pStyle w:val="TextoNormal"/>
      </w:pPr>
    </w:p>
    <w:p w:rsidR="005728DD" w:rsidRDefault="005728DD" w:rsidP="005728DD">
      <w:pPr>
        <w:pStyle w:val="TextoNormal"/>
      </w:pPr>
      <w:r>
        <w:t>En cuanto al fondo del asunto suscitado en el presente recurso de amparo, dado que, como se ha señalado, tanto el objeto como la fundamentación del mismo coinciden en su integridad con los del recurso que fue resuelto por la citada STC 69/2021, de 18 de marzo, procede remitirse a esta y, en consecuencia, desestimar el presente recurso de amparo.</w:t>
      </w:r>
    </w:p>
    <w:p w:rsidR="005728DD" w:rsidRDefault="005728DD" w:rsidP="005728DD">
      <w:pPr>
        <w:pStyle w:val="TextoNormal"/>
      </w:pPr>
    </w:p>
    <w:p w:rsidR="005728DD" w:rsidRDefault="005728DD" w:rsidP="005728DD">
      <w:pPr>
        <w:pStyle w:val="TextoNormal"/>
      </w:pPr>
      <w:r>
        <w:t xml:space="preserve">A) Como se ha señalado con anterioridad, la mesa del Congreso de los Diputados, en sus resoluciones de 24 de mayo y 11 de junio de 2019, declaró “automáticamente suspendidos en el ejercicio del cargo y, por tanto, y en los derechos y deberes establecidos en el Reglamento de la Cámara” a cuatro diputados, entre ellos a quien hoy demanda amparo, con efectos desde el 21 de mayo del mismo año, fecha en la que unos y otros adquirieron tal condición, por concurrir las “circunstancias necesarias para la aplicación” del artículo 384 </w:t>
      </w:r>
      <w:r w:rsidRPr="005728DD">
        <w:rPr>
          <w:i/>
        </w:rPr>
        <w:t>bis</w:t>
      </w:r>
      <w:r>
        <w:t xml:space="preserve"> LECrim. Contra dichas resoluciones se interpuso recurso de amparo núm. 5098-2019, por quien ahora también recurre, que fue desestimado por STC 193/2020, por remisión a la STC 97/2020.</w:t>
      </w:r>
    </w:p>
    <w:p w:rsidR="005728DD" w:rsidRDefault="005728DD" w:rsidP="005728DD">
      <w:pPr>
        <w:pStyle w:val="TextoNormal"/>
      </w:pPr>
    </w:p>
    <w:p w:rsidR="005728DD" w:rsidRDefault="005728DD" w:rsidP="005728DD">
      <w:pPr>
        <w:pStyle w:val="TextoNormal"/>
      </w:pPr>
      <w:r>
        <w:t>Las citadas sentencias, y los acuerdos sobre los que se pronuncian las mismas, tienen relevancia en el presente proceso bajo los siguientes puntos de vista:</w:t>
      </w:r>
    </w:p>
    <w:p w:rsidR="005728DD" w:rsidRDefault="005728DD" w:rsidP="005728DD">
      <w:pPr>
        <w:pStyle w:val="TextoNormal"/>
      </w:pPr>
    </w:p>
    <w:p w:rsidR="005728DD" w:rsidRDefault="005728DD" w:rsidP="005728DD">
      <w:pPr>
        <w:pStyle w:val="TextoNormal"/>
      </w:pPr>
      <w:r>
        <w:t>a) Debe descartarse la nulidad de los acuerdos ahora recurridos por derivar de la nulidad de los acuerdos de 24 de mayo y 11 de junio de 2019 por remisión a lo alegado en el citado recurso de amparo núm. 5098-2019. Baste para ello, la remisión a lo afirmado en la STC 193/2020.</w:t>
      </w:r>
    </w:p>
    <w:p w:rsidR="005728DD" w:rsidRDefault="005728DD" w:rsidP="005728DD">
      <w:pPr>
        <w:pStyle w:val="TextoNormal"/>
      </w:pPr>
    </w:p>
    <w:p w:rsidR="005728DD" w:rsidRDefault="005728DD" w:rsidP="005728DD">
      <w:pPr>
        <w:pStyle w:val="TextoNormal"/>
      </w:pPr>
      <w:r>
        <w:t xml:space="preserve">b) El recurrente, además, formula alegaciones adicionales sobre la nulidad de los acuerdos de 24 de mayo y 11 de junio. Dichas alegaciones no serían imputables a los acuerdos de la mesa del Congreso de los Diputados de 5 de junio y 16 de julio de 2019, que ahora se </w:t>
      </w:r>
      <w:r>
        <w:lastRenderedPageBreak/>
        <w:t>impugnan, únicas resoluciones aquí enjuiciables (en este sentido, STC 97/2020, FJ 3) sino, en su caso, a los de 24 de mayo y 11 de junio de 2019, como se afirmó en la STC 69/2021, FJ 3 b), y en los términos allí expresados.</w:t>
      </w:r>
    </w:p>
    <w:p w:rsidR="005728DD" w:rsidRDefault="005728DD" w:rsidP="005728DD">
      <w:pPr>
        <w:pStyle w:val="TextoNormal"/>
      </w:pPr>
    </w:p>
    <w:p w:rsidR="005728DD" w:rsidRDefault="005728DD" w:rsidP="005728DD">
      <w:pPr>
        <w:pStyle w:val="TextoNormal"/>
      </w:pPr>
      <w:r>
        <w:t>c) Debemos limitarnos por tanto ahora a las vulneraciones autónomas de este recurso de amparo, por las razones afirmadas en la STC 69/2021, FJ 3 c), y, en concreto, a las vulneraciones aducidas del artículo 23 CE, en los términos en los que delimitamos las quejas del recurso de amparo en la STC 69/2021, FJ 3 d).</w:t>
      </w:r>
    </w:p>
    <w:p w:rsidR="005728DD" w:rsidRDefault="005728DD" w:rsidP="005728DD">
      <w:pPr>
        <w:pStyle w:val="TextoNormal"/>
      </w:pPr>
    </w:p>
    <w:p w:rsidR="005728DD" w:rsidRDefault="005728DD" w:rsidP="005728DD">
      <w:pPr>
        <w:pStyle w:val="TextoNormal"/>
      </w:pPr>
      <w:r>
        <w:t xml:space="preserve">B) En el análisis de las vulneraciones del artículo 23 CE aducidas en la demanda hay que partir de que este tribunal ya consideró que la aplicación por los acuerdos de 24 de mayo y de 11 de junio de 2019 del artículo 384 </w:t>
      </w:r>
      <w:r w:rsidRPr="005728DD">
        <w:rPr>
          <w:i/>
        </w:rPr>
        <w:t>bis</w:t>
      </w:r>
      <w:r>
        <w:t xml:space="preserve"> LECrim no fue lesiva del derecho fundamental enunciado en el artículo 23.2 CE [STC 97/2020, FJ 6 B) e), a la que se remite la STC 193/2020, FJ 3]. En el acuerdo de 24 de mayo, confirmado por el acuerdo de 11 de junio, se declaró automáticamente suspendido al ahora recurrente en amparo, en el ejercicio del cargo y en los derechos y deberes establecidos en el Reglamento del Congreso. Entre esos derechos se encuentran los derechos y las facultades a las que se refieren los acuerdos ahora recurridos, que, por ser complementarios de los anteriores, se limitan, como los propios acuerdos expresan, a establecer el alcance y los efectos de la suspensión. Partiendo de dicha premisa, deben ahora analizarse las diferentes quejas que aduce la demanda.</w:t>
      </w:r>
    </w:p>
    <w:p w:rsidR="005728DD" w:rsidRDefault="005728DD" w:rsidP="005728DD">
      <w:pPr>
        <w:pStyle w:val="TextoNormal"/>
      </w:pPr>
    </w:p>
    <w:p w:rsidR="005728DD" w:rsidRDefault="005728DD" w:rsidP="005728DD">
      <w:pPr>
        <w:pStyle w:val="TextoNormal"/>
      </w:pPr>
      <w:r>
        <w:t>a) La demanda alega, en primer lugar, que el acuerdo de 5 de junio de 2019, fue dictado por un órgano manifiestamente incompetente, la mesa, y que se ha producido la vulneración del derecho del diputado recurrente por su adopción, sin audiencia de la junta de portavoces.</w:t>
      </w:r>
    </w:p>
    <w:p w:rsidR="005728DD" w:rsidRDefault="005728DD" w:rsidP="005728DD">
      <w:pPr>
        <w:pStyle w:val="TextoNormal"/>
      </w:pPr>
    </w:p>
    <w:p w:rsidR="005728DD" w:rsidRDefault="005728DD" w:rsidP="005728DD">
      <w:pPr>
        <w:pStyle w:val="TextoNormal"/>
      </w:pPr>
      <w:r>
        <w:t>No cabe acoger esta queja por las razones expuestas en la STC 69/2021, FJ 5 A), a la que nos remitimos. Si entendimos que la mesa era competente para la adopción de la declaración de suspensión, no hay razón alguna para entender que no lo es para definir los efectos de la misma. Además, y en todo caso, la junta de portavoces fue efectivamente oída por el órgano de gobierno de la cámara antes de resolver sobre la solicitud de reconsideración, de acuerdo con el artículo 31.2 RCD.</w:t>
      </w:r>
    </w:p>
    <w:p w:rsidR="005728DD" w:rsidRDefault="005728DD" w:rsidP="005728DD">
      <w:pPr>
        <w:pStyle w:val="TextoNormal"/>
      </w:pPr>
    </w:p>
    <w:p w:rsidR="005728DD" w:rsidRDefault="005728DD" w:rsidP="005728DD">
      <w:pPr>
        <w:pStyle w:val="TextoNormal"/>
      </w:pPr>
      <w:r>
        <w:t>b) El recurrente alega que los apartados 2, 4 y 6 del acuerdo de 5 de junio vulneran los derechos del Grupo Parlamentario Mixto y del recurrente. Dichos apartados, como ha quedado constancia en los antecedentes, precisan las consecuencias de la suspensión de los diputados a los que se refiere el acuerdo de 24 de mayo de 2019, en las mayorías del Congreso y de sus órganos, y en los derechos del Grupo Parlamentario Mixto.</w:t>
      </w:r>
    </w:p>
    <w:p w:rsidR="005728DD" w:rsidRDefault="005728DD" w:rsidP="005728DD">
      <w:pPr>
        <w:pStyle w:val="TextoNormal"/>
      </w:pPr>
    </w:p>
    <w:p w:rsidR="005728DD" w:rsidRDefault="005728DD" w:rsidP="005728DD">
      <w:pPr>
        <w:pStyle w:val="TextoNormal"/>
      </w:pPr>
      <w:r>
        <w:t>La queja, tal y como afirmamos en la STC 69/2021, FJ 5 B), ha de entenderse limitada a la denuncia de falta de motivación y arbitrariedad de tales acuerdos vulneradora, a decir de la demanda, de los derechos del recurrente. Y, por las razones expuestas en la citada STC 69/2021, FJ 5 B), al que nos remitimos, han de entenderse satisfechas las exigencias de motivación y por lo tanto no cabría tildar de arbitraria la interpretación aun en la hipótesis de que no sea la única posible, que la mesa del Congreso de los Diputados realizó en dichos acuerdos.</w:t>
      </w:r>
    </w:p>
    <w:p w:rsidR="005728DD" w:rsidRDefault="005728DD" w:rsidP="005728DD">
      <w:pPr>
        <w:pStyle w:val="TextoNormal"/>
      </w:pPr>
    </w:p>
    <w:p w:rsidR="005728DD" w:rsidRDefault="005728DD" w:rsidP="005728DD">
      <w:pPr>
        <w:pStyle w:val="TextoNormal"/>
      </w:pPr>
      <w:r>
        <w:lastRenderedPageBreak/>
        <w:t>c) Finalmente, la demanda aduce que los apartados quinto y séptimo del acuerdo de 5 de junio de 2019 son nulos de pleno derecho por privar al recurrente de la asignación económica y de otros derechos de carácter económico. Sin embargo, no podemos compartir ninguna de las razones por las que, a juicio del demandante, dichos apartados serían nulos, por los mismos motivos que expusimos en la STC 69/2021, FJ 5 C), al que nos remitimos.</w:t>
      </w:r>
    </w:p>
    <w:p w:rsidR="005728DD" w:rsidRDefault="005728DD" w:rsidP="005728DD">
      <w:pPr>
        <w:pStyle w:val="TextoNormal"/>
      </w:pPr>
    </w:p>
    <w:p w:rsidR="005728DD" w:rsidRDefault="005728DD" w:rsidP="005728DD">
      <w:pPr>
        <w:pStyle w:val="TextoNormal"/>
      </w:pPr>
      <w:r>
        <w:t>En primer lugar, porque, tal y como se ha afirmado en el FJ 4 A) a) de esta sentencia, ha de descartarse que estos acuerdos sean nulos por serlo los acuerdos de 24 de mayo y 11 de junio de 2019 [STC 69/2021, FJ 5 C) a)].</w:t>
      </w:r>
    </w:p>
    <w:p w:rsidR="005728DD" w:rsidRDefault="005728DD" w:rsidP="005728DD">
      <w:pPr>
        <w:pStyle w:val="TextoNormal"/>
      </w:pPr>
    </w:p>
    <w:p w:rsidR="005728DD" w:rsidRDefault="005728DD" w:rsidP="005728DD">
      <w:pPr>
        <w:pStyle w:val="TextoNormal"/>
      </w:pPr>
      <w:r>
        <w:t>En segundo lugar, no resulta atendible la queja de falta de motivación de los acuerdos impugnados en este punto, por las mismas razones expuestas en el fundamento jurídico 4 B) b) de esta sentencia, habiendo razonado, además, la mesa, en su acuerdo de 16 de julio de 2019, en el que desestima la solicitud de reconsideración, que la suspensión de dichos derechos ya se resolvió en el acuerdo de 24 de mayo, encontrándose entre dichos derechos los previstos en los artículos 8 y 9 RCD, por lo que no se puede entender que carezcan de fundamentación jurídica como aduce la demanda [STC 69/2021, FJ 5 C) b)].</w:t>
      </w:r>
    </w:p>
    <w:p w:rsidR="005728DD" w:rsidRDefault="005728DD" w:rsidP="005728DD">
      <w:pPr>
        <w:pStyle w:val="TextoNormal"/>
      </w:pPr>
    </w:p>
    <w:p w:rsidR="005728DD" w:rsidRDefault="005728DD" w:rsidP="005728DD">
      <w:pPr>
        <w:pStyle w:val="TextoNormal"/>
      </w:pPr>
      <w:r>
        <w:t xml:space="preserve">En tercer lugar, el tribunal no puede compartir los argumentos expuestos en la demanda sobre los apartados 5 y 7 del acuerdo de 5 de junio de 2019, confirmado por el acuerdo de 16 de julio, por los motivos expuestos en el FJ 5 C) c) de la STC 69/2021, al que nos remitimos. En primer lugar, porque como ya hemos recordado reiteradamente el tribunal consideró que la aplicación del artículo 384 </w:t>
      </w:r>
      <w:r w:rsidRPr="005728DD">
        <w:rPr>
          <w:i/>
        </w:rPr>
        <w:t>bis</w:t>
      </w:r>
      <w:r>
        <w:t xml:space="preserve"> LECrim por los acuerdos de 24 de mayo y de 11 de junio de 2019 no lesionó el derecho fundamental enunciado en el artículo 23.2 CE [STC 97/2020, FJ 6 B) e) al que se remite la STC 194/2020, FJ 3], y en el acuerdo de 24 de mayo, confirmado por el acuerdo de 11 de junio, se declaró automáticamente suspendido al ahora recurrente en amparo, en el ejercicio del cargo y en los derechos y deberes establecidos en el Reglamento del Congreso, con efectos desde el 21 de mayo del mismo año, fecha en la que unos y otros adquirieron tal condición, por concurrir, se puntualizó las “circunstancias necesarias para la aplicación” del artículo 384 </w:t>
      </w:r>
      <w:r w:rsidRPr="005728DD">
        <w:rPr>
          <w:i/>
        </w:rPr>
        <w:t>bis</w:t>
      </w:r>
      <w:r>
        <w:t xml:space="preserve"> LECrim. Entre esos derechos se encuentran los derechos, y otras previsiones, a los que se refieren los apartados 5 y 7 del acuerdo de 5 de junio de 2019. Así, han sido suspendidos los previstos en el artículo 8 RCD, derechos de contenido económico que se establecen para el ejercicio de la función parlamentaria que quedó suspendida desde el momento de la adquisición de la condición de diputado, esto es desde el 21 de mayo de 2019. A ello hemos de añadir que el Tribunal Constitucional consideró que la suspensión de los derechos de contenido económico (ATC 334/1993, de 10 de noviembre, FJ 2) no vulnera el artículo 23.2 CE precisamente porque se impone por la falta de ejercicio de las funciones parlamentarias.</w:t>
      </w:r>
    </w:p>
    <w:p w:rsidR="005728DD" w:rsidRDefault="005728DD" w:rsidP="005728DD">
      <w:pPr>
        <w:pStyle w:val="TextoNormal"/>
      </w:pPr>
    </w:p>
    <w:p w:rsidR="005728DD" w:rsidRDefault="005728DD" w:rsidP="005728DD">
      <w:pPr>
        <w:pStyle w:val="TextoNormal"/>
      </w:pPr>
      <w:r>
        <w:t xml:space="preserve">Dichas consideraciones resultan también aplicables al apartado 7 del acuerdo, a lo que se ha de añadir que, si bien está prevista la posibilidad de la cotización a la seguridad social en el artículo 9 RCD, no puede entenderse que forme parte del núcleo del </w:t>
      </w:r>
      <w:r w:rsidRPr="005728DD">
        <w:rPr>
          <w:i/>
        </w:rPr>
        <w:t>ius in officium</w:t>
      </w:r>
      <w:r>
        <w:t>, cuya afectación pueda provocar una vulneración del artículo 23.2 CE. Tampoco la contratación de una póliza de accidentes, que no se encuentra prevista en el reglamento de la cámara. Ambas prestaciones son accesorias del ejercicio de la función parlamentaria y su privación, en su caso, sería una cuestión de legalidad ordinaria, como aduce el Ministerio Fiscal.</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Jordi Turull i Negre.</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once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09" w:name="SENTENCIA_2021_106"/>
      <w:r>
        <w:lastRenderedPageBreak/>
        <w:t>SENTENCIA 106/2021, de 11 de mayo de 2021</w:t>
      </w:r>
    </w:p>
    <w:bookmarkEnd w:id="109"/>
    <w:p w:rsidR="005728DD" w:rsidRDefault="005728DD" w:rsidP="005728DD">
      <w:pPr>
        <w:pStyle w:val="TtuloResolucin"/>
      </w:pPr>
      <w:r>
        <w:t>Pleno</w:t>
      </w:r>
    </w:p>
    <w:p w:rsidR="005728DD" w:rsidRDefault="005728DD" w:rsidP="005728DD">
      <w:pPr>
        <w:pStyle w:val="TtuloBOE"/>
      </w:pPr>
      <w:r>
        <w:t>(BOE núm. 142, de 15 de junio de 2021)</w:t>
      </w:r>
    </w:p>
    <w:p w:rsidR="005728DD" w:rsidRDefault="005728DD" w:rsidP="005728DD">
      <w:pPr>
        <w:pStyle w:val="TextoNormalCentrado"/>
      </w:pPr>
      <w:r>
        <w:t>ECLI:ES:TC:2021:106</w:t>
      </w:r>
    </w:p>
    <w:p w:rsidR="005728DD" w:rsidRDefault="005728DD" w:rsidP="005728DD">
      <w:pPr>
        <w:pStyle w:val="TextoNormalCentrado"/>
      </w:pPr>
    </w:p>
    <w:p w:rsidR="005728DD" w:rsidRDefault="005728DD" w:rsidP="005728DD">
      <w:pPr>
        <w:pStyle w:val="SntesisDescriptiva"/>
      </w:pPr>
      <w:r>
        <w:t>Recurso de amparo 1407-2020. Promovido por don Josep Rull i Andreu respecto de la sentencia de la Sala de lo Penal del Tribunal Supremo que le condenó por un delito de sedición.</w:t>
      </w:r>
    </w:p>
    <w:p w:rsidR="005728DD" w:rsidRDefault="005728DD" w:rsidP="005728DD">
      <w:pPr>
        <w:pStyle w:val="SntesisDescriptiva"/>
      </w:pPr>
    </w:p>
    <w:p w:rsidR="005728DD" w:rsidRDefault="005728DD" w:rsidP="005728DD">
      <w:pPr>
        <w:pStyle w:val="SntesisAnaltica"/>
      </w:pPr>
      <w:r>
        <w:t>Supuesta vulneración de los derechos al juez ordinario predeterminado por la ley y de defensa, a no padecer discriminación por razón de la lengua, a un proceso con todas las garantías y a la presunción de inocencia, a la tutela judicial efectiva y a la legalidad penal: resolución judicial dictada en causa especial en cuya tramitación se preservaron las garantías procesales y en la que se impuso una pena que no puede considerarse desproporcionada o que desaliente el ejercicio de otros derechos fundamentales. Voto particular.</w:t>
      </w:r>
    </w:p>
    <w:p w:rsidR="005728DD" w:rsidRDefault="005728DD" w:rsidP="005728DD">
      <w:pPr>
        <w:pStyle w:val="SntesisAnaltica"/>
      </w:pPr>
    </w:p>
    <w:p w:rsidR="005728DD" w:rsidRDefault="005728DD" w:rsidP="005728DD">
      <w:pPr>
        <w:pStyle w:val="Extracto"/>
      </w:pPr>
      <w:r>
        <w:t>1.</w:t>
      </w:r>
      <w:r>
        <w:tab/>
      </w:r>
      <w:r w:rsidRPr="005728DD">
        <w:rPr>
          <w:i/>
        </w:rPr>
        <w:t xml:space="preserve">Derechos al juez ordinario predeterminado por la ley y al doble grado de jurisdicción penal </w:t>
      </w:r>
      <w:r>
        <w:t>[FJ 3].</w:t>
      </w:r>
    </w:p>
    <w:p w:rsidR="005728DD" w:rsidRDefault="005728DD" w:rsidP="005728DD">
      <w:pPr>
        <w:pStyle w:val="Extracto"/>
      </w:pPr>
    </w:p>
    <w:p w:rsidR="005728DD" w:rsidRDefault="005728DD" w:rsidP="005728DD">
      <w:pPr>
        <w:pStyle w:val="Extracto"/>
      </w:pPr>
      <w:r>
        <w:t>2.</w:t>
      </w:r>
      <w:r>
        <w:tab/>
        <w:t>Para garantizar la independencia e imparcialidad de los órganos judiciales se tienen que cumplir dos exigencias: que el órgano judicial al que se atribuye un asunto litigioso haya sido creado previamente por la norma jurídica; y que la composición del órgano judicial sea determinada por la ley siguiendo el procedimiento legalmente establecido para la designación de los miembros que han de constituir el órgano [FJ 3].</w:t>
      </w:r>
    </w:p>
    <w:p w:rsidR="005728DD" w:rsidRDefault="005728DD" w:rsidP="005728DD">
      <w:pPr>
        <w:pStyle w:val="Extracto"/>
      </w:pPr>
    </w:p>
    <w:p w:rsidR="005728DD" w:rsidRDefault="005728DD" w:rsidP="005728DD">
      <w:pPr>
        <w:pStyle w:val="Extracto"/>
      </w:pPr>
      <w:r>
        <w:t>3.</w:t>
      </w:r>
      <w:r>
        <w:tab/>
        <w:t>La limitación del derecho al doble grado de jurisdicción penal en casos de aforamiento, está justificada por tres razones: la protección de la prerrogativa parlamentaria del aforamiento; la mejor prestación de justicia en materia penal resultante de la inescindibilidad de una causa seguida frente a varios investigados y, finalmente, porque el Protocolo número 7 del Convenio Europeo de Derechos Humanos admite la exclusión del doble grado de jurisdicción penal [FJ 3].</w:t>
      </w:r>
    </w:p>
    <w:p w:rsidR="005728DD" w:rsidRDefault="005728DD" w:rsidP="005728DD">
      <w:pPr>
        <w:pStyle w:val="Extracto"/>
      </w:pPr>
    </w:p>
    <w:p w:rsidR="005728DD" w:rsidRDefault="005728DD" w:rsidP="005728DD">
      <w:pPr>
        <w:pStyle w:val="Extracto"/>
      </w:pPr>
      <w:r>
        <w:t>4.</w:t>
      </w:r>
      <w:r>
        <w:tab/>
      </w:r>
      <w:r w:rsidRPr="005728DD">
        <w:rPr>
          <w:i/>
        </w:rPr>
        <w:t xml:space="preserve">Derecho a la defensa y a no ser discriminado en el uso de la lengua </w:t>
      </w:r>
      <w:r>
        <w:t>[FJ 4].</w:t>
      </w:r>
    </w:p>
    <w:p w:rsidR="005728DD" w:rsidRDefault="005728DD" w:rsidP="005728DD">
      <w:pPr>
        <w:pStyle w:val="Extracto"/>
      </w:pPr>
    </w:p>
    <w:p w:rsidR="005728DD" w:rsidRDefault="005728DD" w:rsidP="005728DD">
      <w:pPr>
        <w:pStyle w:val="Extracto"/>
      </w:pPr>
      <w:r>
        <w:t>5.</w:t>
      </w:r>
      <w:r>
        <w:tab/>
        <w:t>La indefensión ha de ser algo real, efectivo y actual, nunca potencial o abstracto, por colocar a su víctima en una situación concreta que le produzca un perjuicio, sin que le sea equiparable cualquier expectativa de peligro o riesgo [FJ 4].</w:t>
      </w:r>
    </w:p>
    <w:p w:rsidR="005728DD" w:rsidRDefault="005728DD" w:rsidP="005728DD">
      <w:pPr>
        <w:pStyle w:val="Extracto"/>
      </w:pPr>
    </w:p>
    <w:p w:rsidR="005728DD" w:rsidRDefault="005728DD" w:rsidP="005728DD">
      <w:pPr>
        <w:pStyle w:val="Extracto"/>
      </w:pPr>
      <w:r>
        <w:t>6.</w:t>
      </w:r>
      <w:r>
        <w:tab/>
        <w:t>El derecho a la defensa incluye el derecho de toda persona acusada a ser asistida por un intérprete cuando no comprenda o no pueda expresarse fluidamente en el idioma utilizado por el tribunal. No obstante, se exige valorar en cada caso, no solo el derecho y el deber de conocer el castellano (art. 3 CE), sino el hecho concreto de la ignorancia o conocimiento precario de nuestra lengua común, en cuanto afecte al ejercicio de un derecho fundamental como el de defensa (STC 71/1988) [FJ 4].</w:t>
      </w:r>
    </w:p>
    <w:p w:rsidR="005728DD" w:rsidRDefault="005728DD" w:rsidP="005728DD">
      <w:pPr>
        <w:pStyle w:val="Extracto"/>
      </w:pPr>
    </w:p>
    <w:p w:rsidR="005728DD" w:rsidRDefault="005728DD" w:rsidP="005728DD">
      <w:pPr>
        <w:pStyle w:val="Extracto"/>
      </w:pPr>
      <w:r>
        <w:t>7.</w:t>
      </w:r>
      <w:r>
        <w:tab/>
      </w:r>
      <w:r w:rsidRPr="005728DD">
        <w:rPr>
          <w:i/>
        </w:rPr>
        <w:t xml:space="preserve">Derecho a un juez imparcial </w:t>
      </w:r>
      <w:r>
        <w:t>[FJ 5].</w:t>
      </w:r>
    </w:p>
    <w:p w:rsidR="005728DD" w:rsidRDefault="005728DD" w:rsidP="005728DD">
      <w:pPr>
        <w:pStyle w:val="Extracto"/>
      </w:pPr>
    </w:p>
    <w:p w:rsidR="005728DD" w:rsidRDefault="005728DD" w:rsidP="005728DD">
      <w:pPr>
        <w:pStyle w:val="Extracto"/>
      </w:pPr>
      <w:r>
        <w:lastRenderedPageBreak/>
        <w:t>8.</w:t>
      </w:r>
      <w:r>
        <w:tab/>
        <w:t>El derecho a un juez imparcial constituye una garantía fundamental de la administración de justicia de un Estado de Derecho que condiciona su existencia misma, ya que sin juez imparcial no hay proceso jurisdiccional [FJ 5].</w:t>
      </w:r>
    </w:p>
    <w:p w:rsidR="005728DD" w:rsidRDefault="005728DD" w:rsidP="005728DD">
      <w:pPr>
        <w:pStyle w:val="Extracto"/>
      </w:pPr>
    </w:p>
    <w:p w:rsidR="005728DD" w:rsidRDefault="005728DD" w:rsidP="005728DD">
      <w:pPr>
        <w:pStyle w:val="Extracto"/>
      </w:pPr>
      <w:r>
        <w:t>9.</w:t>
      </w:r>
      <w:r>
        <w:tab/>
        <w:t xml:space="preserve">La imparcialidad judicial comprende dos vertientes: una subjetiva, por cuanto el juez no ha mantenido relaciones indebidas con las partes, y una objetiva, por la que se asegura que el juez se acerca al </w:t>
      </w:r>
      <w:r w:rsidRPr="005728DD">
        <w:rPr>
          <w:i/>
        </w:rPr>
        <w:t xml:space="preserve">thema decidendi </w:t>
      </w:r>
      <w:r>
        <w:t>sin haber tomado postura en relación con él [FJ 5].</w:t>
      </w:r>
    </w:p>
    <w:p w:rsidR="005728DD" w:rsidRDefault="005728DD" w:rsidP="005728DD">
      <w:pPr>
        <w:pStyle w:val="Extracto"/>
      </w:pPr>
    </w:p>
    <w:p w:rsidR="005728DD" w:rsidRDefault="005728DD" w:rsidP="005728DD">
      <w:pPr>
        <w:pStyle w:val="Extracto"/>
      </w:pPr>
      <w:r>
        <w:t>10.</w:t>
      </w:r>
      <w:r>
        <w:tab/>
        <w:t>La imparcialidad del juez ha de presumirse y las sospechas sobre su idoneidad han de ser probadas y han de fundarse en causas tasadas e interpretadas restrictivamente sin posibilidad de aplicaciones extensivas o analógicas (STC 60/2008) [FJ 5].</w:t>
      </w:r>
    </w:p>
    <w:p w:rsidR="005728DD" w:rsidRDefault="005728DD" w:rsidP="005728DD">
      <w:pPr>
        <w:pStyle w:val="Extracto"/>
      </w:pPr>
    </w:p>
    <w:p w:rsidR="005728DD" w:rsidRDefault="005728DD" w:rsidP="005728DD">
      <w:pPr>
        <w:pStyle w:val="Extracto"/>
      </w:pPr>
      <w:r>
        <w:t>11.</w:t>
      </w:r>
      <w:r>
        <w:tab/>
        <w:t>Es lícito que el legislador imponga la carga de impugnar la idoneidad subjetiva con premura y que, en consecuencia, limite o excluya la posibilidad de invocación tardía de la causa de recusación [FJ 5].</w:t>
      </w:r>
    </w:p>
    <w:p w:rsidR="005728DD" w:rsidRDefault="005728DD" w:rsidP="005728DD">
      <w:pPr>
        <w:pStyle w:val="Extracto"/>
      </w:pPr>
    </w:p>
    <w:p w:rsidR="005728DD" w:rsidRDefault="005728DD" w:rsidP="005728DD">
      <w:pPr>
        <w:pStyle w:val="Extracto"/>
      </w:pPr>
      <w:r>
        <w:t>12.</w:t>
      </w:r>
      <w:r>
        <w:tab/>
        <w:t xml:space="preserve">El Tribunal Europeo de Derechos Humanos ha establecido que, a la hora de decidir sobre si en un caso concreto hay una razón justificada para temer que un juez o tribunal carecen de imparcialidad, el punto de vista de la persona afectada es importante pero no decisivo, lo decisivo es determinar si dicho temor puede considerarse objetivamente justificado (STEDH, de 15 de octubre de 2009, asunto </w:t>
      </w:r>
      <w:r w:rsidRPr="005728DD">
        <w:rPr>
          <w:i/>
        </w:rPr>
        <w:t>Micallef v. Malta</w:t>
      </w:r>
      <w:r>
        <w:t>) [FJ 5].</w:t>
      </w:r>
    </w:p>
    <w:p w:rsidR="005728DD" w:rsidRDefault="005728DD" w:rsidP="005728DD">
      <w:pPr>
        <w:pStyle w:val="Extracto"/>
      </w:pPr>
    </w:p>
    <w:p w:rsidR="005728DD" w:rsidRDefault="005728DD" w:rsidP="005728DD">
      <w:pPr>
        <w:pStyle w:val="Extracto"/>
      </w:pPr>
      <w:r>
        <w:t>13.</w:t>
      </w:r>
      <w:r>
        <w:tab/>
        <w:t>No todas las expresiones fácticas recogidas en un auto de procesamiento tienen un grado de vinculación absoluta para la delimitación del objeto del proceso ni para su resolución final. Lo relevante es que se respete el núcleo esencial de los hechos atribuidos a la persona investigada a los efectos de formular la acusación y que exista una correlación o coherencia entre el núcleo esencial de los hechos y la sentencia que ponga fin al proceso (STC 155/2009) [FJ 5].</w:t>
      </w:r>
    </w:p>
    <w:p w:rsidR="005728DD" w:rsidRDefault="005728DD" w:rsidP="005728DD">
      <w:pPr>
        <w:pStyle w:val="Extracto"/>
      </w:pPr>
    </w:p>
    <w:p w:rsidR="005728DD" w:rsidRDefault="005728DD" w:rsidP="005728DD">
      <w:pPr>
        <w:pStyle w:val="Extracto"/>
      </w:pPr>
      <w:r>
        <w:t>14.</w:t>
      </w:r>
      <w:r>
        <w:tab/>
        <w:t>El juez que instruye no puede fallar, mientras que los jueces que revisan las decisiones de la fase de instrucción no pueden intervenir en la fase de enjuiciamiento si en su labor de revisión han anticipado algún posicionamiento sobre la cuestión de fondo [FJ 5].</w:t>
      </w:r>
    </w:p>
    <w:p w:rsidR="005728DD" w:rsidRDefault="005728DD" w:rsidP="005728DD">
      <w:pPr>
        <w:pStyle w:val="Extracto"/>
      </w:pPr>
    </w:p>
    <w:p w:rsidR="005728DD" w:rsidRDefault="005728DD" w:rsidP="005728DD">
      <w:pPr>
        <w:pStyle w:val="Extracto"/>
      </w:pPr>
      <w:r>
        <w:t>15.</w:t>
      </w:r>
      <w:r>
        <w:tab/>
        <w:t>La negativa a practicar una prueba no implica necesariamente la vulneración del derecho, salvo que vaya acompañada de una concreta indefensión que el recurrente debe invocar y motivar (STC 165/2001) [FJ 5].</w:t>
      </w:r>
    </w:p>
    <w:p w:rsidR="005728DD" w:rsidRDefault="005728DD" w:rsidP="005728DD">
      <w:pPr>
        <w:pStyle w:val="Extracto"/>
      </w:pPr>
    </w:p>
    <w:p w:rsidR="005728DD" w:rsidRDefault="005728DD" w:rsidP="005728DD">
      <w:pPr>
        <w:pStyle w:val="Extracto"/>
      </w:pPr>
      <w:r>
        <w:t>16.</w:t>
      </w:r>
      <w:r>
        <w:tab/>
        <w:t>Cualquier duda basada en condiciones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 [FJ 5].</w:t>
      </w:r>
    </w:p>
    <w:p w:rsidR="005728DD" w:rsidRDefault="005728DD" w:rsidP="005728DD">
      <w:pPr>
        <w:pStyle w:val="Extracto"/>
      </w:pPr>
    </w:p>
    <w:p w:rsidR="005728DD" w:rsidRDefault="005728DD" w:rsidP="005728DD">
      <w:pPr>
        <w:pStyle w:val="Extracto"/>
      </w:pPr>
      <w:r>
        <w:lastRenderedPageBreak/>
        <w:t>17.</w:t>
      </w:r>
      <w:r>
        <w:tab/>
        <w:t>La publicidad del proceso es una garantía de profundas raíces democráticas, porque no solo permite que la persona sometida a juicio pueda tener acceso a todo aquello que va a ser utilizado por el tribunal para la resolución de su caso, sino que contribuye a la transparencia del sistema de justicia generando con ello la máxima confianza de los ciudadanos en el funcionamiento del Poder Judicial, que es fuente de su legitimidad constitucional (art. 117.1 CE) [FJ 5].</w:t>
      </w:r>
    </w:p>
    <w:p w:rsidR="005728DD" w:rsidRDefault="005728DD" w:rsidP="005728DD">
      <w:pPr>
        <w:pStyle w:val="Extracto"/>
      </w:pPr>
    </w:p>
    <w:p w:rsidR="005728DD" w:rsidRDefault="005728DD" w:rsidP="005728DD">
      <w:pPr>
        <w:pStyle w:val="Extracto"/>
      </w:pPr>
      <w:r>
        <w:t>18.</w:t>
      </w:r>
      <w:r>
        <w:tab/>
        <w:t>No toda vulneración de una norma procesal genera necesariamente una vulneración de la prohibición de indefensión y del derecho a un proceso con todas las garantías; para que esa irregularidad procesal o infracción de las normas de procedimiento alcance relevancia constitucional debe producir un perjuicio real y efectivo en las posibilidades de defensa de quien las denuncie [FJ 5].</w:t>
      </w:r>
    </w:p>
    <w:p w:rsidR="005728DD" w:rsidRDefault="005728DD" w:rsidP="005728DD">
      <w:pPr>
        <w:pStyle w:val="Extracto"/>
      </w:pPr>
    </w:p>
    <w:p w:rsidR="005728DD" w:rsidRDefault="005728DD" w:rsidP="005728DD">
      <w:pPr>
        <w:pStyle w:val="Extracto"/>
      </w:pPr>
      <w:r>
        <w:t>19.</w:t>
      </w:r>
      <w:r>
        <w:tab/>
      </w:r>
      <w:r w:rsidRPr="005728DD">
        <w:rPr>
          <w:i/>
        </w:rPr>
        <w:t xml:space="preserve">Derecho a la igualdad de armas en el proceso </w:t>
      </w:r>
      <w:r>
        <w:t>[FJ 6].</w:t>
      </w:r>
    </w:p>
    <w:p w:rsidR="005728DD" w:rsidRDefault="005728DD" w:rsidP="005728DD">
      <w:pPr>
        <w:pStyle w:val="Extracto"/>
      </w:pPr>
    </w:p>
    <w:p w:rsidR="005728DD" w:rsidRDefault="005728DD" w:rsidP="005728DD">
      <w:pPr>
        <w:pStyle w:val="Extracto"/>
      </w:pPr>
      <w:r>
        <w:t>20.</w:t>
      </w:r>
      <w:r>
        <w:tab/>
        <w:t>El derecho a un proceso judicial con todas las garantías otorga al acusado y procesado el derecho a exigir del juez penal la observancia inexcusable de una actitud neutra respecto de las posiciones de las partes en el proceso, lo que tiene lugar si actúa en el proceso penal con estricta sujeción a lo que las normas procesales establecen [FJ 6].</w:t>
      </w:r>
    </w:p>
    <w:p w:rsidR="005728DD" w:rsidRDefault="005728DD" w:rsidP="005728DD">
      <w:pPr>
        <w:pStyle w:val="Extracto"/>
      </w:pPr>
    </w:p>
    <w:p w:rsidR="005728DD" w:rsidRDefault="005728DD" w:rsidP="005728DD">
      <w:pPr>
        <w:pStyle w:val="Extracto"/>
      </w:pPr>
      <w:r>
        <w:t>21.</w:t>
      </w:r>
      <w:r>
        <w:tab/>
        <w:t>No resulta exigible infalibilidad ni al presidente ni a los restantes miembros de un tribunal de enjuiciamiento [FJ 6].</w:t>
      </w:r>
    </w:p>
    <w:p w:rsidR="005728DD" w:rsidRDefault="005728DD" w:rsidP="005728DD">
      <w:pPr>
        <w:pStyle w:val="Extracto"/>
      </w:pPr>
    </w:p>
    <w:p w:rsidR="005728DD" w:rsidRDefault="005728DD" w:rsidP="005728DD">
      <w:pPr>
        <w:pStyle w:val="Extracto"/>
      </w:pPr>
      <w:r>
        <w:t>22.</w:t>
      </w:r>
      <w:r>
        <w:tab/>
      </w:r>
      <w:r w:rsidRPr="005728DD">
        <w:rPr>
          <w:i/>
        </w:rPr>
        <w:t xml:space="preserve">Doctrina sobre el principio acusatorio </w:t>
      </w:r>
      <w:r>
        <w:t>[FFJJ 6, 5, 10].</w:t>
      </w:r>
    </w:p>
    <w:p w:rsidR="005728DD" w:rsidRDefault="005728DD" w:rsidP="005728DD">
      <w:pPr>
        <w:pStyle w:val="Extracto"/>
      </w:pPr>
    </w:p>
    <w:p w:rsidR="005728DD" w:rsidRDefault="005728DD" w:rsidP="005728DD">
      <w:pPr>
        <w:pStyle w:val="Extracto"/>
      </w:pPr>
      <w:r>
        <w:t>23.</w:t>
      </w:r>
      <w:r>
        <w:tab/>
        <w:t>El alcance del deber de congruencia entre la acusación y el fallo, por lo que respecta a la pena a imponer por el órgano judicial, se cohonesta mejor con la garantía de la imparcialidad judicial en el seno del proceso penal [FFJJ 5, 6, 10].</w:t>
      </w:r>
    </w:p>
    <w:p w:rsidR="005728DD" w:rsidRDefault="005728DD" w:rsidP="005728DD">
      <w:pPr>
        <w:pStyle w:val="Extracto"/>
      </w:pPr>
    </w:p>
    <w:p w:rsidR="005728DD" w:rsidRDefault="005728DD" w:rsidP="005728DD">
      <w:pPr>
        <w:pStyle w:val="Extracto"/>
      </w:pPr>
      <w:r>
        <w:t>24.</w:t>
      </w:r>
      <w:r>
        <w:tab/>
      </w:r>
      <w:r w:rsidRPr="005728DD">
        <w:rPr>
          <w:i/>
        </w:rPr>
        <w:t>Derecho a la prueba</w:t>
      </w:r>
      <w:r>
        <w:t xml:space="preserve"> [FJ 7].</w:t>
      </w:r>
    </w:p>
    <w:p w:rsidR="005728DD" w:rsidRDefault="005728DD" w:rsidP="005728DD">
      <w:pPr>
        <w:pStyle w:val="Extracto"/>
      </w:pPr>
    </w:p>
    <w:p w:rsidR="005728DD" w:rsidRDefault="005728DD" w:rsidP="005728DD">
      <w:pPr>
        <w:pStyle w:val="Extracto"/>
      </w:pPr>
      <w:r>
        <w:t>25.</w:t>
      </w:r>
      <w:r>
        <w:tab/>
        <w:t>El derecho a la prueba no comprende un hipotético derecho a llevar a cabo una actividad probatoria ilimitada, sino que atribuye solo el derecho a la recepción y práctica de las que sean pertinentes [FJ 7].</w:t>
      </w:r>
    </w:p>
    <w:p w:rsidR="005728DD" w:rsidRDefault="005728DD" w:rsidP="005728DD">
      <w:pPr>
        <w:pStyle w:val="Extracto"/>
      </w:pPr>
    </w:p>
    <w:p w:rsidR="005728DD" w:rsidRDefault="005728DD" w:rsidP="005728DD">
      <w:pPr>
        <w:pStyle w:val="Extracto"/>
      </w:pPr>
      <w:r>
        <w:t>26.</w:t>
      </w:r>
      <w:r>
        <w:tab/>
        <w:t>Puesto que se trata de un derecho de configuración legal, es preciso que la prueba se haya solicitado en la forma y momento legalmente establecidos y solo serán admisibles los medios de prueba autorizados por el ordenamiento [FJ 7].</w:t>
      </w:r>
    </w:p>
    <w:p w:rsidR="005728DD" w:rsidRDefault="005728DD" w:rsidP="005728DD">
      <w:pPr>
        <w:pStyle w:val="Extracto"/>
      </w:pPr>
    </w:p>
    <w:p w:rsidR="005728DD" w:rsidRDefault="005728DD" w:rsidP="005728DD">
      <w:pPr>
        <w:pStyle w:val="Extracto"/>
      </w:pPr>
      <w:r>
        <w:t>27.</w:t>
      </w:r>
      <w:r>
        <w:tab/>
        <w:t>El Tribunal Constitucional solo es competente, en el ámbito probatorio, para controlar las decisiones judiciales dictadas en ejercicio de la función jurisdiccional cuando se hubiera inadmitido pruebas relevantes para la decisión final sin motivación alguna o mediante interpretación y aplicación de la legalidad arbitraria o irrazonable o cuando la falta de práctica de prueba sea imputable al órgano judicial [FJ 7].</w:t>
      </w:r>
    </w:p>
    <w:p w:rsidR="005728DD" w:rsidRDefault="005728DD" w:rsidP="005728DD">
      <w:pPr>
        <w:pStyle w:val="Extracto"/>
      </w:pPr>
    </w:p>
    <w:p w:rsidR="005728DD" w:rsidRDefault="005728DD" w:rsidP="005728DD">
      <w:pPr>
        <w:pStyle w:val="Extracto"/>
      </w:pPr>
      <w:r>
        <w:lastRenderedPageBreak/>
        <w:t>28.</w:t>
      </w:r>
      <w:r>
        <w:tab/>
        <w:t>La tarea de verificar si la prueba es decisiva en términos de defensa, y por lo tanto, constitucionalmente relevante, exige que el recurrente haya alegado y fundamentado adecuadamente dicha indefensión material en la demanda de amparo [FJ 7].</w:t>
      </w:r>
    </w:p>
    <w:p w:rsidR="005728DD" w:rsidRDefault="005728DD" w:rsidP="005728DD">
      <w:pPr>
        <w:pStyle w:val="Extracto"/>
      </w:pPr>
    </w:p>
    <w:p w:rsidR="005728DD" w:rsidRDefault="005728DD" w:rsidP="005728DD">
      <w:pPr>
        <w:pStyle w:val="Extracto"/>
      </w:pPr>
      <w:r>
        <w:t>29.</w:t>
      </w:r>
      <w:r>
        <w:tab/>
      </w:r>
      <w:r w:rsidRPr="005728DD">
        <w:rPr>
          <w:i/>
        </w:rPr>
        <w:t xml:space="preserve">Derecho a la presunción de inocencia en su dimensión extraprocesal </w:t>
      </w:r>
      <w:r>
        <w:t>[FJ 8].</w:t>
      </w:r>
    </w:p>
    <w:p w:rsidR="005728DD" w:rsidRDefault="005728DD" w:rsidP="005728DD">
      <w:pPr>
        <w:pStyle w:val="Extracto"/>
      </w:pPr>
    </w:p>
    <w:p w:rsidR="005728DD" w:rsidRDefault="005728DD" w:rsidP="005728DD">
      <w:pPr>
        <w:pStyle w:val="Extracto"/>
      </w:pPr>
      <w:r>
        <w:t>30.</w:t>
      </w:r>
      <w:r>
        <w:tab/>
        <w:t>La dimensión extraprocesal de la presunción de inocencia encuentra específica protección en nuestro sistema de derechos fundamentales a través de la tutela del derecho al honor, operando dicha presunción como elemento instrumental del enjuiciamiento de una posible lesión del derecho al honor (STC 244/2007) [FJ 8].</w:t>
      </w:r>
    </w:p>
    <w:p w:rsidR="005728DD" w:rsidRDefault="005728DD" w:rsidP="005728DD">
      <w:pPr>
        <w:pStyle w:val="Extracto"/>
      </w:pPr>
    </w:p>
    <w:p w:rsidR="005728DD" w:rsidRDefault="005728DD" w:rsidP="005728DD">
      <w:pPr>
        <w:pStyle w:val="Extracto"/>
      </w:pPr>
      <w:r>
        <w:t>31.</w:t>
      </w:r>
      <w:r>
        <w:tab/>
      </w:r>
      <w:r w:rsidRPr="005728DD">
        <w:rPr>
          <w:i/>
        </w:rPr>
        <w:t xml:space="preserve">Derecho a un proceso con todas las garantías </w:t>
      </w:r>
      <w:r>
        <w:t>[FJ 9].</w:t>
      </w:r>
    </w:p>
    <w:p w:rsidR="005728DD" w:rsidRDefault="005728DD" w:rsidP="005728DD">
      <w:pPr>
        <w:pStyle w:val="Extracto"/>
      </w:pPr>
    </w:p>
    <w:p w:rsidR="005728DD" w:rsidRDefault="005728DD" w:rsidP="005728DD">
      <w:pPr>
        <w:pStyle w:val="Extracto"/>
      </w:pPr>
      <w:r>
        <w:t>32.</w:t>
      </w:r>
      <w:r>
        <w:tab/>
        <w:t>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[FJ 9].</w:t>
      </w:r>
    </w:p>
    <w:p w:rsidR="005728DD" w:rsidRDefault="005728DD" w:rsidP="005728DD">
      <w:pPr>
        <w:pStyle w:val="Extracto"/>
      </w:pPr>
    </w:p>
    <w:p w:rsidR="005728DD" w:rsidRDefault="005728DD" w:rsidP="005728DD">
      <w:pPr>
        <w:pStyle w:val="Extracto"/>
      </w:pPr>
      <w:r>
        <w:t>33.</w:t>
      </w:r>
      <w:r>
        <w:tab/>
        <w:t>No repercute negativamente a la imparcialidad del tribunal el solo dato de que, desde el entorno de la sala sentenciadora, se hubiera filtrado hipotéticamente a los medios el sentido general del fallo de la sentencia antes de que la resolución fuese notificada a las partes [FJ 9].</w:t>
      </w:r>
    </w:p>
    <w:p w:rsidR="005728DD" w:rsidRDefault="005728DD" w:rsidP="005728DD">
      <w:pPr>
        <w:pStyle w:val="Extracto"/>
      </w:pPr>
    </w:p>
    <w:p w:rsidR="005728DD" w:rsidRDefault="005728DD" w:rsidP="005728DD">
      <w:pPr>
        <w:pStyle w:val="Extracto"/>
      </w:pPr>
      <w:r>
        <w:t>34.</w:t>
      </w:r>
      <w:r>
        <w:tab/>
        <w:t>La imparcialidad subjetiva y objetiva del tribunal debe ser presumida mientras no medie prueba en contrario. En todo caso, podrá tenerse en cuenta a la hora de valorar la situación que no pueda cuestionarse el desinterés objetivo en el asunto de los miembros del tribunal, el secreto en las deliberaciones y en el voto de los magistrados así como el contenido de la información y el tiempo en que se produjo su aparición en los medios de comunicación [FJ 9].</w:t>
      </w:r>
    </w:p>
    <w:p w:rsidR="005728DD" w:rsidRDefault="005728DD" w:rsidP="005728DD">
      <w:pPr>
        <w:pStyle w:val="Extracto"/>
      </w:pPr>
    </w:p>
    <w:p w:rsidR="005728DD" w:rsidRDefault="005728DD" w:rsidP="005728DD">
      <w:pPr>
        <w:pStyle w:val="Extracto"/>
      </w:pPr>
      <w:r>
        <w:t>35.</w:t>
      </w:r>
      <w:r>
        <w:tab/>
        <w:t>Puede entenderse por filtración la transmisión de información a terceros acerca del contenido o sentido de la deliberación y resolución de un caso, procedente de algunos magistrados integrantes del tribunal, seguida de la publicación en los medios de comunicación, con anterioridad a la definitiva conformación del fallo y de su notificación a las partes [FJ 9].</w:t>
      </w:r>
    </w:p>
    <w:p w:rsidR="005728DD" w:rsidRDefault="005728DD" w:rsidP="005728DD">
      <w:pPr>
        <w:pStyle w:val="Extracto"/>
      </w:pPr>
    </w:p>
    <w:p w:rsidR="005728DD" w:rsidRDefault="005728DD" w:rsidP="005728DD">
      <w:pPr>
        <w:pStyle w:val="Extracto"/>
      </w:pPr>
      <w:r>
        <w:t>36.</w:t>
      </w:r>
      <w:r>
        <w:tab/>
      </w:r>
      <w:r w:rsidRPr="005728DD">
        <w:rPr>
          <w:i/>
        </w:rPr>
        <w:t>El derecho a la tutela judicial efectiva en relación con el principio de legalidad</w:t>
      </w:r>
      <w:r>
        <w:t xml:space="preserve"> [FJ 10].</w:t>
      </w:r>
    </w:p>
    <w:p w:rsidR="005728DD" w:rsidRDefault="005728DD" w:rsidP="005728DD">
      <w:pPr>
        <w:pStyle w:val="Extracto"/>
      </w:pPr>
    </w:p>
    <w:p w:rsidR="005728DD" w:rsidRDefault="005728DD" w:rsidP="005728DD">
      <w:pPr>
        <w:pStyle w:val="Extracto"/>
      </w:pPr>
      <w:r>
        <w:t>37.</w:t>
      </w:r>
      <w:r>
        <w:tab/>
        <w:t>Un canon más riguroso en la motivación es necesario cuando el derecho a la tutela judicial efectiva se encuentra conectado con otro derecho fundamental en especial con el derecho la libertad personal en el caso de las sentencias penales condenatorias [FJ 10].</w:t>
      </w:r>
    </w:p>
    <w:p w:rsidR="005728DD" w:rsidRDefault="005728DD" w:rsidP="005728DD">
      <w:pPr>
        <w:pStyle w:val="Extracto"/>
      </w:pPr>
    </w:p>
    <w:p w:rsidR="005728DD" w:rsidRDefault="005728DD" w:rsidP="005728DD">
      <w:pPr>
        <w:pStyle w:val="Extracto"/>
      </w:pPr>
      <w:r>
        <w:t>38.</w:t>
      </w:r>
      <w:r>
        <w:tab/>
        <w:t>La pena debe ser impuesta en una resolución en la que la existencia del delito, su gravedad, y la participación en él de quien resulte condenado han debido describirse, probarse y motivarse adecuadamente [FJ 10].</w:t>
      </w:r>
    </w:p>
    <w:p w:rsidR="005728DD" w:rsidRDefault="005728DD" w:rsidP="005728DD">
      <w:pPr>
        <w:pStyle w:val="Extracto"/>
      </w:pPr>
    </w:p>
    <w:p w:rsidR="005728DD" w:rsidRDefault="005728DD" w:rsidP="005728DD">
      <w:pPr>
        <w:pStyle w:val="Extracto"/>
      </w:pPr>
      <w:r>
        <w:lastRenderedPageBreak/>
        <w:t>39.</w:t>
      </w:r>
      <w:r>
        <w:tab/>
      </w:r>
      <w:r w:rsidRPr="005728DD">
        <w:rPr>
          <w:i/>
        </w:rPr>
        <w:t xml:space="preserve">Derecho a la legalidad penal </w:t>
      </w:r>
      <w:r>
        <w:t>[FJ 11].</w:t>
      </w:r>
    </w:p>
    <w:p w:rsidR="005728DD" w:rsidRDefault="005728DD" w:rsidP="005728DD">
      <w:pPr>
        <w:pStyle w:val="Extracto"/>
      </w:pPr>
    </w:p>
    <w:p w:rsidR="005728DD" w:rsidRDefault="005728DD" w:rsidP="005728DD">
      <w:pPr>
        <w:pStyle w:val="Extracto"/>
      </w:pPr>
      <w:r>
        <w:t>40.</w:t>
      </w:r>
      <w:r>
        <w:tab/>
        <w:t>El derecho a la legalidad penal, en su vertiente formal, consiste en la necesaria exigencia de una norma con rango de ley como presupuesto de la actuación punitiva del Estado, que defina las conductas punibles y las sanciones que les corresponden [FJ 11].</w:t>
      </w:r>
    </w:p>
    <w:p w:rsidR="005728DD" w:rsidRDefault="005728DD" w:rsidP="005728DD">
      <w:pPr>
        <w:pStyle w:val="Extracto"/>
      </w:pPr>
    </w:p>
    <w:p w:rsidR="005728DD" w:rsidRDefault="005728DD" w:rsidP="005728DD">
      <w:pPr>
        <w:pStyle w:val="Extracto"/>
      </w:pPr>
      <w:r>
        <w:t>41.</w:t>
      </w:r>
      <w:r>
        <w:tab/>
        <w:t>Las garantías materiales del derecho a la legalidad penal comportan la exigencia de predeterminación normativa de las conductas y sus correspondientes sanciones, a través de una tipificación precisa dotada de la adecuada concreción en la descripción que incorpora [FJ 11].</w:t>
      </w:r>
    </w:p>
    <w:p w:rsidR="005728DD" w:rsidRDefault="005728DD" w:rsidP="005728DD">
      <w:pPr>
        <w:pStyle w:val="Extracto"/>
      </w:pPr>
    </w:p>
    <w:p w:rsidR="005728DD" w:rsidRDefault="005728DD" w:rsidP="005728DD">
      <w:pPr>
        <w:pStyle w:val="Extracto"/>
      </w:pPr>
      <w:r>
        <w:t>42.</w:t>
      </w:r>
      <w:r>
        <w:tab/>
        <w:t>El principio de taxatividad no es incompatible con el empleo de conceptos jurídicos indeterminados o la utilización de una terminología con cierto grado de ambigüedad por parte del legislador [FJ 11].</w:t>
      </w:r>
    </w:p>
    <w:p w:rsidR="005728DD" w:rsidRDefault="005728DD" w:rsidP="005728DD">
      <w:pPr>
        <w:pStyle w:val="Extracto"/>
      </w:pPr>
    </w:p>
    <w:p w:rsidR="005728DD" w:rsidRDefault="005728DD" w:rsidP="005728DD">
      <w:pPr>
        <w:pStyle w:val="Extracto"/>
      </w:pPr>
      <w:r>
        <w:t>43.</w:t>
      </w:r>
      <w:r>
        <w:tab/>
        <w:t>Vulneran el principio de legalidad las resoluciones sancionadoras que se sustenten en una subsunción de los hechos ajena al significado posible de los términos de la norma aplicada y aquellas aplicaciones que por su soporte metodológico y axiológico conduzcan a soluciones esencialmente opuestas a la orientación material de la norma y por ello imprevisibles para sus destinatarios [FJ 11].</w:t>
      </w:r>
    </w:p>
    <w:p w:rsidR="005728DD" w:rsidRDefault="005728DD" w:rsidP="005728DD">
      <w:pPr>
        <w:pStyle w:val="Extracto"/>
      </w:pPr>
    </w:p>
    <w:p w:rsidR="005728DD" w:rsidRDefault="005728DD" w:rsidP="005728DD">
      <w:pPr>
        <w:pStyle w:val="Extracto"/>
      </w:pPr>
      <w:r>
        <w:t>44.</w:t>
      </w:r>
      <w:r>
        <w:tab/>
      </w:r>
      <w:r w:rsidRPr="005728DD">
        <w:rPr>
          <w:i/>
        </w:rPr>
        <w:t xml:space="preserve">Doctrina sobre la proporcionalidad de las penas </w:t>
      </w:r>
      <w:r>
        <w:t>[FJ 11].</w:t>
      </w:r>
    </w:p>
    <w:p w:rsidR="005728DD" w:rsidRDefault="005728DD" w:rsidP="005728DD">
      <w:pPr>
        <w:pStyle w:val="Extracto"/>
      </w:pPr>
    </w:p>
    <w:p w:rsidR="005728DD" w:rsidRDefault="005728DD" w:rsidP="005728DD">
      <w:pPr>
        <w:pStyle w:val="Extracto"/>
      </w:pPr>
      <w:r>
        <w:t>45.</w:t>
      </w:r>
      <w:r>
        <w:tab/>
        <w:t>Para calificar una pena como desproporcionada desde el prisma constitucional debe apreciarse un desequilibrio manifiesto y no justificable entre la sanción impuesta y la finalidad de la norma punitiva [FJ 11].</w:t>
      </w:r>
    </w:p>
    <w:p w:rsidR="005728DD" w:rsidRDefault="005728DD" w:rsidP="005728DD">
      <w:pPr>
        <w:pStyle w:val="Extracto"/>
      </w:pPr>
    </w:p>
    <w:p w:rsidR="005728DD" w:rsidRDefault="005728DD" w:rsidP="005728DD">
      <w:pPr>
        <w:pStyle w:val="Extracto"/>
      </w:pPr>
      <w:r>
        <w:t>46.</w:t>
      </w:r>
      <w:r>
        <w:tab/>
        <w:t xml:space="preserve">El TEDH ha señalado de forma reiterada que, en cualquier sistema jurídico, por muy clara que sea la redacción de una disposición legal, incluso en materia penal, existe inevitablemente un elemento de interpretación y el papel de los tribunales es disipar las dudas que la norma pueda plantear (STEDH de 12 de febrero de 2008, asunto </w:t>
      </w:r>
      <w:r w:rsidRPr="005728DD">
        <w:rPr>
          <w:i/>
        </w:rPr>
        <w:t>Kafkaris c. Chipre</w:t>
      </w:r>
      <w:r>
        <w:t>) [FJ 11].</w:t>
      </w:r>
    </w:p>
    <w:p w:rsidR="005728DD" w:rsidRDefault="005728DD" w:rsidP="005728DD">
      <w:pPr>
        <w:pStyle w:val="Extracto"/>
      </w:pPr>
    </w:p>
    <w:p w:rsidR="005728DD" w:rsidRDefault="005728DD" w:rsidP="005728DD">
      <w:pPr>
        <w:pStyle w:val="Extracto"/>
      </w:pPr>
      <w:r>
        <w:t>47.</w:t>
      </w:r>
      <w:r>
        <w:tab/>
      </w:r>
      <w:r w:rsidRPr="005728DD">
        <w:rPr>
          <w:i/>
        </w:rPr>
        <w:t xml:space="preserve">Doctrina sobre el tipo penal del delito de sedición </w:t>
      </w:r>
      <w:r>
        <w:t>[FJ 11].</w:t>
      </w:r>
    </w:p>
    <w:p w:rsidR="005728DD" w:rsidRDefault="005728DD" w:rsidP="005728DD">
      <w:pPr>
        <w:pStyle w:val="Extracto"/>
      </w:pPr>
    </w:p>
    <w:p w:rsidR="005728DD" w:rsidRDefault="005728DD" w:rsidP="005728DD">
      <w:pPr>
        <w:pStyle w:val="Extracto"/>
      </w:pPr>
      <w:r>
        <w:t>48.</w:t>
      </w:r>
      <w:r>
        <w:tab/>
        <w:t>La acción descrita en el tipo penal del delito de sedición debe trascender al exterior (públicamente), materializarse mediante la actuación alborotada de una muchedumbre (tumultuariamente), que emplea la fuerza o se sirve de vías extralegales, siendo necesario que concurra la finalidad neutralizadora que describe el tipo penal [FJ 11].</w:t>
      </w:r>
    </w:p>
    <w:p w:rsidR="005728DD" w:rsidRDefault="005728DD" w:rsidP="005728DD">
      <w:pPr>
        <w:pStyle w:val="Extracto"/>
      </w:pPr>
    </w:p>
    <w:p w:rsidR="005728DD" w:rsidRDefault="005728DD" w:rsidP="005728DD">
      <w:pPr>
        <w:pStyle w:val="Extracto"/>
      </w:pPr>
      <w:r>
        <w:t>49.</w:t>
      </w:r>
      <w:r>
        <w:tab/>
        <w:t>El tipo penal del delito de sedición no requiere la implicación de un elevado número de alzados ni que estos últimos actúen en un contexto absolutamente desvinculado de manifestaciones o reuniones cuyo propósito sea reivindicativo o de protesta [FJ 11].</w:t>
      </w:r>
    </w:p>
    <w:p w:rsidR="005728DD" w:rsidRDefault="005728DD" w:rsidP="005728DD">
      <w:pPr>
        <w:pStyle w:val="Extracto"/>
      </w:pPr>
    </w:p>
    <w:p w:rsidR="005728DD" w:rsidRDefault="005728DD" w:rsidP="005728DD">
      <w:pPr>
        <w:pStyle w:val="Extracto"/>
      </w:pPr>
      <w:r>
        <w:t>50.</w:t>
      </w:r>
      <w:r>
        <w:tab/>
      </w:r>
      <w:r w:rsidRPr="005728DD">
        <w:rPr>
          <w:i/>
        </w:rPr>
        <w:t xml:space="preserve">Doctrina sobre el principio de accesoriedad limitada </w:t>
      </w:r>
      <w:r>
        <w:t>[FJ 11].</w:t>
      </w:r>
    </w:p>
    <w:p w:rsidR="005728DD" w:rsidRDefault="005728DD" w:rsidP="005728DD">
      <w:pPr>
        <w:pStyle w:val="Extracto"/>
      </w:pPr>
    </w:p>
    <w:p w:rsidR="005728DD" w:rsidRDefault="005728DD" w:rsidP="005728DD">
      <w:pPr>
        <w:pStyle w:val="Extracto"/>
      </w:pPr>
      <w:r>
        <w:t>51.</w:t>
      </w:r>
      <w:r>
        <w:tab/>
        <w:t>No le corresponde a este tribunal pronunciarse sobre si las respuestas dadas por el órgano judicial son las únicas que se ajustan a Derecho, pues ello supondría adelantarse en una labor que queda extramuros de nuestro cometido [FJ 11].</w:t>
      </w:r>
    </w:p>
    <w:p w:rsidR="005728DD" w:rsidRDefault="005728DD" w:rsidP="005728DD">
      <w:pPr>
        <w:pStyle w:val="Extracto"/>
      </w:pPr>
    </w:p>
    <w:p w:rsidR="005728DD" w:rsidRDefault="005728DD" w:rsidP="005728DD">
      <w:pPr>
        <w:pStyle w:val="Extracto"/>
      </w:pPr>
      <w:r>
        <w:t>52.</w:t>
      </w:r>
      <w:r>
        <w:tab/>
        <w:t>Mostrar la discrepancia frente a las leyes o decisiones judiciales, propugnar su modificación, denunciar sus puntos débiles, incluso, con críticas descarnadas o subidas de tono, agrias y descalificadoras, está al abrigo del derecho a la protesta o a la disidencia. Cosa bien distinta es la oposición activa y concertada frente a actuaciones de agentes de la autoridad con respaldo legal y constitucional encaminadas a dar cumplimiento a un mandato judicial [FJ 11].</w:t>
      </w:r>
    </w:p>
    <w:p w:rsidR="005728DD" w:rsidRDefault="005728DD" w:rsidP="005728DD">
      <w:pPr>
        <w:pStyle w:val="Extracto"/>
      </w:pPr>
    </w:p>
    <w:p w:rsidR="005728DD" w:rsidRDefault="005728DD" w:rsidP="005728DD">
      <w:pPr>
        <w:pStyle w:val="Extracto"/>
      </w:pPr>
      <w:r>
        <w:t>53.</w:t>
      </w:r>
      <w:r>
        <w:tab/>
        <w:t>Recae sobre los titulares de cargos públicos un cualificado deber de acatamiento a la norma fundamental, que no se cifra en una necesaria adhesión ideológica a su total contenido, pero sí en el compromiso a realizar sus funciones de acuerdo con ella y en el respeto al resto del ordenamiento jurídico (STC 259/2015) [FJ 11].</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avocado núm. 1407-2020, promovido por don Josep Rull i Andreu, representado por el procurador de los tribunales don Aníbal Bordallo Huidobro y asistido por el letrado don Jordi Pina Massachs, contra la sentencia núm. 459/2019, de 14 de octubre, dictada por la Sala de lo Penal del Tribunal Supremo en la causa especial núm. 20907-2017, y contra el auto de 29 de enero de 2020, que desestimó los incidentes de nulidad de actuaciones interpuestos frente a aquella. Han comparecido el abogado del Estado, en la representación que legalmente ostenta;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recibido en el registro general de este tribunal el día 4 de marzo de 2020, el procurador de los tribunales don Aníbal Bordallo Huidobro, actuando en nombre y representación de don Josep Rull i Massachs, interpuso recurso de amparo contra las resoluciones judiciales a las que se ha hecho mención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Son antecedentes procesales relevantes para resolver el presente recurso, los siguientes:</w:t>
      </w:r>
    </w:p>
    <w:p w:rsidR="005728DD" w:rsidRDefault="005728DD" w:rsidP="005728DD">
      <w:pPr>
        <w:pStyle w:val="TextoNormal"/>
      </w:pPr>
    </w:p>
    <w:p w:rsidR="005728DD" w:rsidRDefault="005728DD" w:rsidP="005728DD">
      <w:pPr>
        <w:pStyle w:val="TextoNormal"/>
      </w:pPr>
      <w:r>
        <w:t>a) El 22 de septiembre de 2017, el teniente fiscal de la Audiencia Nacional formuló denuncia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En la denuncia se describían conductas desarrolladas por voluntarios de la entidad Asamblea Nacional Catalana (ANC), entre otros, que se valoraban como obstruccionistas de la actividad policial. Las únicas personas que fueron nominalmente citadas en dicha denuncia eran don Jordi Sànchez i Picanyol, en su condición de presidente de la ANC, y don Jordi Cuixart Navarro, presidente de la entidad Òmnium Cultural (OC). Los hechos denunciados se calificaron como constitutivos de un delito de sedición, previsto en los arts. 544 y ss. del Código penal (en adelante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005728DD" w:rsidRDefault="005728DD" w:rsidP="005728DD">
      <w:pPr>
        <w:pStyle w:val="TextoNormal"/>
      </w:pPr>
    </w:p>
    <w:p w:rsidR="005728DD" w:rsidRDefault="005728DD" w:rsidP="005728DD">
      <w:pPr>
        <w:pStyle w:val="TextoNormal"/>
      </w:pPr>
      <w:r>
        <w:t>b) El 30 de octubre de 2017, el fiscal general del Estado presentó dos querellas por unos mismos hechos que consideraba podían ser constitutivos de delitos de rebelión (art. 472 CP), sedición (art. 544 CP) y malversación de caudales públicos (art. 432 CP).</w:t>
      </w:r>
    </w:p>
    <w:p w:rsidR="005728DD" w:rsidRDefault="005728DD" w:rsidP="005728DD">
      <w:pPr>
        <w:pStyle w:val="TextoNormal"/>
      </w:pPr>
    </w:p>
    <w:p w:rsidR="005728DD" w:rsidRDefault="005728DD" w:rsidP="005728DD">
      <w:pPr>
        <w:pStyle w:val="TextoNormal"/>
      </w:pPr>
      <w:r>
        <w:t>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005728DD" w:rsidRDefault="005728DD" w:rsidP="005728DD">
      <w:pPr>
        <w:pStyle w:val="TextoNormal"/>
      </w:pPr>
    </w:p>
    <w:p w:rsidR="005728DD" w:rsidRDefault="005728DD" w:rsidP="005728DD">
      <w:pPr>
        <w:pStyle w:val="TextoNormal"/>
      </w:pPr>
      <w: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w:t>
      </w:r>
      <w:r>
        <w:lastRenderedPageBreak/>
        <w:t>por el Gobierno al amparo del art. 155 de la Constitución” (“BOE” de 27 de octubre de 2017).</w:t>
      </w:r>
    </w:p>
    <w:p w:rsidR="005728DD" w:rsidRDefault="005728DD" w:rsidP="005728DD">
      <w:pPr>
        <w:pStyle w:val="TextoNormal"/>
      </w:pPr>
    </w:p>
    <w:p w:rsidR="005728DD" w:rsidRDefault="005728DD" w:rsidP="005728DD">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005728DD" w:rsidRDefault="005728DD" w:rsidP="005728DD">
      <w:pPr>
        <w:pStyle w:val="TextoNormal"/>
      </w:pPr>
    </w:p>
    <w:p w:rsidR="005728DD" w:rsidRDefault="005728DD" w:rsidP="005728DD">
      <w:pPr>
        <w:pStyle w:val="TextoNormal"/>
      </w:pPr>
      <w:r>
        <w:t>(i)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005728DD" w:rsidRDefault="005728DD" w:rsidP="005728DD">
      <w:pPr>
        <w:pStyle w:val="TextoNormal"/>
      </w:pPr>
    </w:p>
    <w:p w:rsidR="005728DD" w:rsidRDefault="005728DD" w:rsidP="005728DD">
      <w:pPr>
        <w:pStyle w:val="TextoNormal"/>
      </w:pPr>
      <w:r>
        <w:t>(ii)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5728DD" w:rsidRDefault="005728DD" w:rsidP="005728DD">
      <w:pPr>
        <w:pStyle w:val="TextoNormal"/>
      </w:pPr>
    </w:p>
    <w:p w:rsidR="005728DD" w:rsidRDefault="005728DD" w:rsidP="005728DD">
      <w:pPr>
        <w:pStyle w:val="TextoNormal"/>
      </w:pPr>
      <w:r>
        <w:t>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005728DD" w:rsidRDefault="005728DD" w:rsidP="005728DD">
      <w:pPr>
        <w:pStyle w:val="TextoNormal"/>
      </w:pPr>
    </w:p>
    <w:p w:rsidR="005728DD" w:rsidRDefault="005728DD" w:rsidP="005728DD">
      <w:pPr>
        <w:pStyle w:val="TextoNormal"/>
      </w:pPr>
      <w:r>
        <w:t>Recibida la información solicitada, el magistrado instructor dictó auto de fecha 24 de noviembre de 2017 en el que, apreciando conexidad entre las tres causas, extendió la investigación a los presidentes de las asociaciones Òmniun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005728DD" w:rsidRDefault="005728DD" w:rsidP="005728DD">
      <w:pPr>
        <w:pStyle w:val="TextoNormal"/>
      </w:pPr>
    </w:p>
    <w:p w:rsidR="005728DD" w:rsidRDefault="005728DD" w:rsidP="005728DD">
      <w:pPr>
        <w:pStyle w:val="TextoNormal"/>
      </w:pPr>
      <w: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w:t>
      </w:r>
      <w:r>
        <w:lastRenderedPageBreak/>
        <w:t>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005728DD" w:rsidRDefault="005728DD" w:rsidP="005728DD">
      <w:pPr>
        <w:pStyle w:val="TextoNormal"/>
      </w:pPr>
    </w:p>
    <w:p w:rsidR="005728DD" w:rsidRDefault="005728DD" w:rsidP="005728DD">
      <w:pPr>
        <w:pStyle w:val="TextoNormal"/>
      </w:pPr>
      <w:r>
        <w:t>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005728DD" w:rsidRDefault="005728DD" w:rsidP="005728DD">
      <w:pPr>
        <w:pStyle w:val="TextoNormal"/>
      </w:pPr>
    </w:p>
    <w:p w:rsidR="005728DD" w:rsidRDefault="005728DD" w:rsidP="005728DD">
      <w:pPr>
        <w:pStyle w:val="TextoNormal"/>
      </w:pPr>
      <w:r>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5728DD" w:rsidRDefault="005728DD" w:rsidP="005728DD">
      <w:pPr>
        <w:pStyle w:val="TextoNormal"/>
      </w:pPr>
    </w:p>
    <w:p w:rsidR="005728DD" w:rsidRDefault="005728DD" w:rsidP="005728DD">
      <w:pPr>
        <w:pStyle w:val="TextoNormal"/>
      </w:pPr>
      <w:r>
        <w:t>e) Por auto de 21 de marzo de 2018 se acordó el procesamiento del demandante de amparo, junto con otros encausados, por los presuntos delitos de rebelión y malversación de caudales públicos. Por auto de 9 de mayo de 2018 se desestimaron los recursos de reforma interpuestos contra la anterior resolución; y por auto de 26 de junio de 2018, se desestimaron los recursos de apelación entablados contra el auto de 9 de mayo de 2018.</w:t>
      </w:r>
    </w:p>
    <w:p w:rsidR="005728DD" w:rsidRDefault="005728DD" w:rsidP="005728DD">
      <w:pPr>
        <w:pStyle w:val="TextoNormal"/>
      </w:pPr>
    </w:p>
    <w:p w:rsidR="005728DD" w:rsidRDefault="005728DD" w:rsidP="005728DD">
      <w:pPr>
        <w:pStyle w:val="TextoNormal"/>
      </w:pPr>
      <w:r>
        <w:t>f) Una vez ratificado el procesamiento, el magistrado instructor declaró concluso el sumario mediante auto de 9 de julio de 2018, y remitió los autos y las piezas de convicción al tribunal competente para conocer del mismo. El Ministerio Fiscal, el abogado del Estado y la acusación popular instaron la confirmación del auto de conclusión y la apertura del juicio oral contra el demandante y otros procesados. Mediante escrito de 8 de octubre de 2018, el ahora recurrente interesó el sobreseimiento de la causa y, subsidiariamente, la revocación de la conclusión del sumario para la práctica de nuevas diligencias. Por auto de 25 de octubre de 2018, la sala de enjuiciamiento confirmó la conclusión del sumario y declaró abierto el juicio oral contra el recurrente en amparo por los mismos delitos por los que había sido procesado.</w:t>
      </w:r>
    </w:p>
    <w:p w:rsidR="005728DD" w:rsidRDefault="005728DD" w:rsidP="005728DD">
      <w:pPr>
        <w:pStyle w:val="TextoNormal"/>
      </w:pPr>
    </w:p>
    <w:p w:rsidR="005728DD" w:rsidRDefault="005728DD" w:rsidP="005728DD">
      <w:pPr>
        <w:pStyle w:val="TextoNormal"/>
      </w:pPr>
      <w:r>
        <w:t>g) En sus conclusiones provisionales, el Ministerio Fiscal calificó los hechos atribuidos al demandante como constitutivos de un delito de rebelión de los arts. 472.1, 5 y 7, 473, inciso segundo, y 2 (distracción ilegal de caudales públicos) y 478 CP, por el que interesó la imposición de las penas de  dieciséis años de prisión y de dieciséis años de inhabilitación absoluta y la condena en costas. En cuanto a la responsabilidad civil, se solicitó la remisión de particulares y de la sentencia al Tribunal de Cuentas, de conformidad con lo previsto en los arts. 18.2 de la Ley Orgánica 1/1982, de 12 de mayo, del Tribunal de Cuentas (LOTCu), y en los arts. 16, 17 y 49.3 de la Ley de funcionamiento del Tribunal de Cuentas (LFTCu), para el establecimiento y reclamación definitiva de las cantidades totales desviadas.</w:t>
      </w:r>
    </w:p>
    <w:p w:rsidR="005728DD" w:rsidRDefault="005728DD" w:rsidP="005728DD">
      <w:pPr>
        <w:pStyle w:val="TextoNormal"/>
      </w:pPr>
    </w:p>
    <w:p w:rsidR="005728DD" w:rsidRDefault="005728DD" w:rsidP="005728DD">
      <w:pPr>
        <w:pStyle w:val="TextoNormal"/>
      </w:pPr>
      <w:r>
        <w:t xml:space="preserve">El abogado del Estado calificó los hechos cometidos por el recurrente como constitutivos de: i) un delito de sedición de los arts. 544 y 545.1 CP; y ii) de un delito de malversación de </w:t>
      </w:r>
      <w:r>
        <w:lastRenderedPageBreak/>
        <w:t>caudales públicos del art. 432.1 y 3 CP. Los referidos delitos se hallarían en relación de concurso medial y solicitó la imposición de las penas de once años y seis meses de prisión y de once años y seis meses de inhabilitación absoluta, condena en costas y la responsabilidad civil en los términos solicitados por el Ministerio Fiscal.</w:t>
      </w:r>
    </w:p>
    <w:p w:rsidR="005728DD" w:rsidRDefault="005728DD" w:rsidP="005728DD">
      <w:pPr>
        <w:pStyle w:val="TextoNormal"/>
      </w:pPr>
    </w:p>
    <w:p w:rsidR="005728DD" w:rsidRDefault="005728DD" w:rsidP="005728DD">
      <w:pPr>
        <w:pStyle w:val="TextoNormal"/>
      </w:pPr>
      <w:r>
        <w:t xml:space="preserve">La acusación popular consideró que la conducta del recurrente era constitutiva de los siguientes delitos: (i) dos delitos de rebelión de los arts. 472.5 y 7, 473.1 y 2 y 478 CP; (ii) alternativamente, de dos delitos de sedición de los arts. 544 y 545.1 CP; (iii) un delito de organización criminal de los arts. 570 </w:t>
      </w:r>
      <w:r w:rsidRPr="005728DD">
        <w:rPr>
          <w:i/>
        </w:rPr>
        <w:t>bis</w:t>
      </w:r>
      <w:r>
        <w:t xml:space="preserve"> 1 y 2 a) y c) y 570 </w:t>
      </w:r>
      <w:r w:rsidRPr="005728DD">
        <w:rPr>
          <w:i/>
        </w:rPr>
        <w:t>quater</w:t>
      </w:r>
      <w:r>
        <w:t xml:space="preserve"> 2 CP; y (iv) un delito de malversación de caudales públicos del art. 432.1 y 3 a) y b) CP, en relación con el art. 252 CP. Por cada delito de rebelión interesó la imposición de las penas de veinticinco años de prisión y de veinte años de inhabilitación absoluta; alternativamente, por cada delito de sedición solicitó las penas de quince años de prisión y de quince años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de veinte años de inhabilitación absoluta. También pidió la condena en costas y, en concepto de responsabilidad civil, solicitó que el demandante de amparo abonara solidariamente con otros acusados 4279985,03 €, importe a que asciende la cuantía malversada.</w:t>
      </w:r>
    </w:p>
    <w:p w:rsidR="005728DD" w:rsidRDefault="005728DD" w:rsidP="005728DD">
      <w:pPr>
        <w:pStyle w:val="TextoNormal"/>
      </w:pPr>
    </w:p>
    <w:p w:rsidR="005728DD" w:rsidRDefault="005728DD" w:rsidP="005728DD">
      <w:pPr>
        <w:pStyle w:val="TextoNormal"/>
      </w:pPr>
      <w:r>
        <w:t>h) Al amparo de lo previsto en el art. 666.1 y ss. LECrim, tanto el demandante como otras personas acusadas presentaron, como artículo de previo pronunciamiento, una solicitud de declinatoria de jurisdicción en favor del Tribunal Superior de Justicia de Cataluña. Para justificar su pretensión, invocó expresamente la vulneración del derecho al juez predeterminado por la ley.</w:t>
      </w:r>
    </w:p>
    <w:p w:rsidR="005728DD" w:rsidRDefault="005728DD" w:rsidP="005728DD">
      <w:pPr>
        <w:pStyle w:val="TextoNormal"/>
      </w:pPr>
    </w:p>
    <w:p w:rsidR="005728DD" w:rsidRDefault="005728DD" w:rsidP="005728DD">
      <w:pPr>
        <w:pStyle w:val="TextoNormal"/>
      </w:pPr>
      <w:r>
        <w:t>i) Tomando en consideración dicha perspectiva, la pretensión fue desestimada mediante auto de 27 de diciembre de 2018, por el que la sala mantuvo su competencia objetiva para conocer y juzgar los delitos por los que los procesados habían sido provisionalmente acusados.</w:t>
      </w:r>
    </w:p>
    <w:p w:rsidR="005728DD" w:rsidRDefault="005728DD" w:rsidP="005728DD">
      <w:pPr>
        <w:pStyle w:val="TextoNormal"/>
      </w:pPr>
    </w:p>
    <w:p w:rsidR="005728DD" w:rsidRDefault="005728DD" w:rsidP="005728DD">
      <w:pPr>
        <w:pStyle w:val="TextoNormal"/>
      </w:pPr>
      <w:r>
        <w:t>j) En fecha 16 de enero de 2019, el demandante presentó el escrito de conclusiones provisionales, conforme a lo dispuesto en el art. 652 LECrim, en el que interesó la libre absolución. Asimismo, propuso la prueba que consideró pertinente y se reservó la posibilidad de solicitar más prueba con anterioridad a la celebración del juicio oral, pues afirmó no haber podido acceder de forma completa al procedimiento.</w:t>
      </w:r>
    </w:p>
    <w:p w:rsidR="005728DD" w:rsidRDefault="005728DD" w:rsidP="005728DD">
      <w:pPr>
        <w:pStyle w:val="TextoNormal"/>
      </w:pPr>
    </w:p>
    <w:p w:rsidR="005728DD" w:rsidRDefault="005728DD" w:rsidP="005728DD">
      <w:pPr>
        <w:pStyle w:val="TextoNormal"/>
      </w:pPr>
      <w:r>
        <w:t>k) Mediante auto de 1 de febrero de 2019 se señalaron las fechas de celebración del juicio oral, cuyo inicio se fijó para el día 12 de febrero y su finalización para el 1 de junio del 2019, posteriormente ampliado hasta el 12 de junio de 2019. En la misma resolución, el órgano de enjuiciamiento resolvió sobre la admisión de las pruebas propuestas por las partes. En concreto, en el fundamento jurídico séptimo (págs. 105 a 108) figuran las pruebas interesadas por el recurrente que fueron inadmitidas.</w:t>
      </w:r>
    </w:p>
    <w:p w:rsidR="005728DD" w:rsidRDefault="005728DD" w:rsidP="005728DD">
      <w:pPr>
        <w:pStyle w:val="TextoNormal"/>
      </w:pPr>
    </w:p>
    <w:p w:rsidR="005728DD" w:rsidRDefault="005728DD" w:rsidP="005728DD">
      <w:pPr>
        <w:pStyle w:val="TextoNormal"/>
      </w:pPr>
      <w:r>
        <w:t xml:space="preserve">l) Con fecha 12 de febrero de 2019 y antes del comienzo de la práctica de la prueba en el juicio oral, el recurrente y otros dos procesados alegaron diversas cuestiones previas basadas </w:t>
      </w:r>
      <w:r>
        <w:lastRenderedPageBreak/>
        <w:t>en la denuncia de las siguientes vulneraciones de derechos fundamentales: (i) “Privación del derecho a la tutela judicial efectiva (art. 24.1 CE) y, en concreto, del derecho a la doble instancia [art. 2.2 del Protocolo núm. 7 al Convenio europeo para la protección de los derechos humanos y de las libertades fundamentales (CEDH)]”, derivado del hecho de que la Sala Segunda del Tribunal Supremo asumiera el conocimiento de la presente causa sin tener competencia para ello; (ii) “Vulneración del derecho a un juez imparcial” (arts. 6 CEDH y 24 CE) en la fase de instrucción, tanto por la intervención del magistrado instructor designado, como por la de la sala de recursos, especialmente, el miembro de la misma don Francisco Monterde Ferrer, vicepresidente y miembro del comité ejecutivo de la Asociación Profesional de la Magistratura (APM); y en la fase de enjuiciamiento, con mención de las recusaciones resueltas por la Sala del art. 61 de la Ley Orgánica del Poder Judicial (LOPJ) y las manifestaciones de don Carlos Lesmes, presidente del Tribunal Supremo, que no atañe a los magistrados que integran la Sala, pero es “ilustrativa del contexto que rodea a la presente causa en términos de imparcialidad institucional”; (iii) “Vulneración de los derechos a la defensa, a un proceso con todas las garantías (arts. 24 CE y 6 CEDH) y a la no discriminación (arts. 14 CE y 14 CEDH)” por haberse denegado el sistema de traducción simultánea solicitado por la defensa; (iv) “Vulneración del derecho a la defensa y a un proceso con todas las garantías por haberse tenido que preparar el juicio en una situación de privación de libertad (art. 17 en relación con 24 CE)”; (v) “Vulneración del derecho de defensa y a un proceso con todas las garantías por no garantizarse un acceso completo a las actuaciones (arts. 24 CE y 6 CEDH)”, queja que se desglosa a su vez en estas: “Acceso incompleto a la nube virtual” para consultar las actuaciones de la instrucción; “denegación de traslado de los denominados sobres cerrados”; “falta de traslado del resultado de las pruebas documentales requeridas por la Sala en su auto de admisión de pruebas de fecha 1 de febrero de 2019”; (vi) “Vulneración del derecho de defensa y a un proceso con todas las garantías”, por haberse denegado la aportación de testimonio íntegro de las diligencias practicadas en el Juzgado de Instrucción núm. 13 de Barcelona (arts. 24 CE y 6 CEDH); (vii) “Vulneración del derecho a la presunción de inocencia” por las declaraciones a la BBC de la secretaria de Estado doña Irene Lozano Domingo, responsable de la campaña gubernamental “España Global” (arts. 6.3 CEDH y 24 CE); (viii) “Vulneración del derecho de defensa y a un proceso con todas las garantías por denegación de medios de prueba pertinentes propuestos en tiempo y forma por esta defensa (arts. 24 CE y 6 CEDH)”.</w:t>
      </w:r>
    </w:p>
    <w:p w:rsidR="005728DD" w:rsidRDefault="005728DD" w:rsidP="005728DD">
      <w:pPr>
        <w:pStyle w:val="TextoNormal"/>
      </w:pPr>
    </w:p>
    <w:p w:rsidR="005728DD" w:rsidRDefault="005728DD" w:rsidP="005728DD">
      <w:pPr>
        <w:pStyle w:val="TextoNormal"/>
      </w:pPr>
      <w:r>
        <w:t>m) En sus conclusiones definitivas, las partes acusadoras mantuvieron sus calificaciones jurídicas y peticiones de penas respecto del demandante. Por su parte, este último modificó sus conclusiones provisionales, en el sentido de interesar, en la conclusión cuarta, la apreciación de la circunstancia eximente del art. 20.7 CP de obrar en el legítimo ejercicio del derecho a la libertad ideológica (arts. 16.1 CE y 9 CEDH), de expresión (arts. 20 CE y 10 CEDH), de reunión pacífica (arts. 21 CE y 11 CEDH) o de asociación (arts. 22 CE y 11 CEDH).</w:t>
      </w:r>
    </w:p>
    <w:p w:rsidR="005728DD" w:rsidRDefault="005728DD" w:rsidP="005728DD">
      <w:pPr>
        <w:pStyle w:val="TextoNormal"/>
      </w:pPr>
    </w:p>
    <w:p w:rsidR="005728DD" w:rsidRDefault="005728DD" w:rsidP="005728DD">
      <w:pPr>
        <w:pStyle w:val="TextoNormal"/>
      </w:pPr>
      <w:r>
        <w:t xml:space="preserve">Por otro lado, en el momento de elevar a definitivas sus conclusiones, además de reiterar las vulneraciones ya alegadas al inicio del juicio oral, la defensa del recurrente denunció las siguientes lesiones de derechos fundamentales causadas durante la celebración del mismo: i) del derecho a un proceso con todas las garantías por la imposibilidad de confrontar las declaraciones testificales con la prueba documental videográfica (art. 24.2 CE); ii) del derecho de defensa (arts. 24 CE y 6 CEDH), por la restricción injustificada del alcance de los interrogatorios a las defensas; iii) del derecho a un proceso con todas las garantías (arts. 24 </w:t>
      </w:r>
      <w:r>
        <w:lastRenderedPageBreak/>
        <w:t>CE y 6 CEDH), por la conculcación del principio de igualdad de armas entre acusaciones y defensas y por la asunción de un rol acusatorio ejercido por el presidente del tribunal.</w:t>
      </w:r>
    </w:p>
    <w:p w:rsidR="005728DD" w:rsidRDefault="005728DD" w:rsidP="005728DD">
      <w:pPr>
        <w:pStyle w:val="TextoNormal"/>
      </w:pPr>
    </w:p>
    <w:p w:rsidR="005728DD" w:rsidRDefault="005728DD" w:rsidP="005728DD">
      <w:pPr>
        <w:pStyle w:val="TextoNormal"/>
      </w:pPr>
      <w:r>
        <w:t>n) En fecha 14 de octubre de 2019 recayó sentencia en la referida causa especial. El demandante fue considerado autor de un delito de sedición previsto en los arts. 544 y 545.1 CP, y se le impusieron las siguientes penas: diez años y seis meses de prisión y diez años y seis meses de inhabilitación absoluta, con la consiguiente privación definitiva de todos los honores, empleos y cargos públicos que tuviera el penado, aunque fueran electivos, e incapacidad para obtener los mismos o cualesquiera otros honores, cargos, o empleos públicos y la de ser elegido para cargo público durante el tiempo de la condena. A su vez, fue condenado al pago de una veinticuatroava parte del total de las costas procesales (que equivale a tres setentaidosavos,), sin inclusión de las costas de la acusación popular. El demandante fue absuelto de los delitos de rebelión, malversación de caudales públicos y organización criminal.</w:t>
      </w:r>
    </w:p>
    <w:p w:rsidR="005728DD" w:rsidRDefault="005728DD" w:rsidP="005728DD">
      <w:pPr>
        <w:pStyle w:val="TextoNormal"/>
      </w:pPr>
    </w:p>
    <w:p w:rsidR="005728DD" w:rsidRDefault="005728DD" w:rsidP="005728DD">
      <w:pPr>
        <w:pStyle w:val="TextoNormal"/>
      </w:pPr>
      <w:r>
        <w:t>ñ) En las páginas 24 a 60 de la sentencia condenatoria se consignan los hechos que el Tribunal Supremo consideró probados, cuyo tenor literal, es el siguiente:</w:t>
      </w:r>
    </w:p>
    <w:p w:rsidR="005728DD" w:rsidRDefault="005728DD" w:rsidP="005728DD">
      <w:pPr>
        <w:pStyle w:val="TextoNormal"/>
      </w:pPr>
    </w:p>
    <w:p w:rsidR="005728DD" w:rsidRDefault="005728DD" w:rsidP="005728DD">
      <w:pPr>
        <w:pStyle w:val="TextoNormal"/>
      </w:pPr>
      <w:r>
        <w:t>“1. Con fecha 8 de septiembre de 2017, el Diario Oficial de la Generalitat’ núm. 7451-A publicó la Ley del Parlament de Cataluña 20/2017, 8 de septiembre, de transitoriedad jurídica y fundacional de la República.</w:t>
      </w:r>
    </w:p>
    <w:p w:rsidR="005728DD" w:rsidRDefault="005728DD" w:rsidP="005728DD">
      <w:pPr>
        <w:pStyle w:val="TextoNormal"/>
      </w:pPr>
    </w:p>
    <w:p w:rsidR="005728DD" w:rsidRDefault="005728DD" w:rsidP="005728DD">
      <w:pPr>
        <w:pStyle w:val="TextoNormal"/>
      </w:pPr>
      <w:r>
        <w:t>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005728DD" w:rsidRDefault="005728DD" w:rsidP="005728DD">
      <w:pPr>
        <w:pStyle w:val="TextoNormal"/>
      </w:pPr>
    </w:p>
    <w:p w:rsidR="005728DD" w:rsidRDefault="005728DD" w:rsidP="005728DD">
      <w:pPr>
        <w:pStyle w:val="TextoNormal"/>
      </w:pPr>
      <w:r>
        <w:t>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005728DD" w:rsidRDefault="005728DD" w:rsidP="005728DD">
      <w:pPr>
        <w:pStyle w:val="TextoNormal"/>
      </w:pPr>
    </w:p>
    <w:p w:rsidR="005728DD" w:rsidRDefault="005728DD" w:rsidP="005728DD">
      <w:pPr>
        <w:pStyle w:val="TextoNormal"/>
      </w:pPr>
      <w:r>
        <w:t>Se atribuía al Parlament, a propuesta del Gobierno de la Generalidad, una vez oída la sala de gobierno del Tribunal Supremo, el nombramiento del fiscal general de Cataluña.</w:t>
      </w:r>
    </w:p>
    <w:p w:rsidR="005728DD" w:rsidRDefault="005728DD" w:rsidP="005728DD">
      <w:pPr>
        <w:pStyle w:val="TextoNormal"/>
      </w:pPr>
    </w:p>
    <w:p w:rsidR="005728DD" w:rsidRDefault="005728DD" w:rsidP="005728DD">
      <w:pPr>
        <w:pStyle w:val="TextoNormal"/>
      </w:pPr>
      <w:r>
        <w:lastRenderedPageBreak/>
        <w:t>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005728DD" w:rsidRDefault="005728DD" w:rsidP="005728DD">
      <w:pPr>
        <w:pStyle w:val="TextoNormal"/>
      </w:pPr>
    </w:p>
    <w:p w:rsidR="005728DD" w:rsidRDefault="005728DD" w:rsidP="005728DD">
      <w:pPr>
        <w:pStyle w:val="TextoNormal"/>
      </w:pPr>
      <w:r>
        <w:t>2. La Ley 19/2017, 6 de septiembre, reguladora del llamado referéndum de autodeterminación, fue publicada en el ‘Diario Oficial de la Generalitat’ núm. 7449A, de 6 de septiembre de 2017.</w:t>
      </w:r>
    </w:p>
    <w:p w:rsidR="005728DD" w:rsidRDefault="005728DD" w:rsidP="005728DD">
      <w:pPr>
        <w:pStyle w:val="TextoNormal"/>
      </w:pPr>
    </w:p>
    <w:p w:rsidR="005728DD" w:rsidRDefault="005728DD" w:rsidP="005728DD">
      <w:pPr>
        <w:pStyle w:val="TextoNormal"/>
      </w:pPr>
      <w:r>
        <w:t>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005728DD" w:rsidRDefault="005728DD" w:rsidP="005728DD">
      <w:pPr>
        <w:pStyle w:val="TextoNormal"/>
      </w:pPr>
    </w:p>
    <w:p w:rsidR="005728DD" w:rsidRDefault="005728DD" w:rsidP="005728DD">
      <w:pPr>
        <w:pStyle w:val="TextoNormal"/>
      </w:pPr>
      <w:r>
        <w:t>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005728DD" w:rsidRDefault="005728DD" w:rsidP="005728DD">
      <w:pPr>
        <w:pStyle w:val="TextoNormal"/>
      </w:pPr>
    </w:p>
    <w:p w:rsidR="005728DD" w:rsidRDefault="005728DD" w:rsidP="005728DD">
      <w:pPr>
        <w:pStyle w:val="TextoNormal"/>
      </w:pPr>
      <w:r>
        <w:t>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Dña. Carme Forcadell Lluís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i Solé, Consejera de Gobernación, Administraciones Públicas y Vivienda; y D. Carles Mundó i Blanch, Consejero de Justicia.</w:t>
      </w:r>
    </w:p>
    <w:p w:rsidR="005728DD" w:rsidRDefault="005728DD" w:rsidP="005728DD">
      <w:pPr>
        <w:pStyle w:val="TextoNormal"/>
      </w:pPr>
    </w:p>
    <w:p w:rsidR="005728DD" w:rsidRDefault="005728DD" w:rsidP="005728DD">
      <w:pPr>
        <w:pStyle w:val="TextoNormal"/>
      </w:pPr>
      <w:r>
        <w:t>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005728DD" w:rsidRDefault="005728DD" w:rsidP="005728DD">
      <w:pPr>
        <w:pStyle w:val="TextoNormal"/>
      </w:pPr>
    </w:p>
    <w:p w:rsidR="005728DD" w:rsidRDefault="005728DD" w:rsidP="005728DD">
      <w:pPr>
        <w:pStyle w:val="TextoNormal"/>
      </w:pPr>
      <w:r>
        <w:t xml:space="preserve">Además del papel asumido por la presidenta del órgano parlamentario y por los miembros del ejecutivo autonómico, era indispensable conseguir la movilización de miles y miles </w:t>
      </w:r>
      <w:r>
        <w:lastRenderedPageBreak/>
        <w:t>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Sànchez Picanyol y D.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005728DD" w:rsidRDefault="005728DD" w:rsidP="005728DD">
      <w:pPr>
        <w:pStyle w:val="TextoNormal"/>
      </w:pPr>
    </w:p>
    <w:p w:rsidR="005728DD" w:rsidRDefault="005728DD" w:rsidP="005728DD">
      <w:pPr>
        <w:pStyle w:val="TextoNormal"/>
      </w:pPr>
      <w: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w:t>
      </w:r>
      <w:r w:rsidRPr="005728DD">
        <w:rPr>
          <w:i/>
        </w:rPr>
        <w:t>ope legis</w:t>
      </w:r>
      <w:r>
        <w:t xml:space="preserve"> la independencia de Cataluña, a la que debería seguir una declaración formal del Parlament, concretando sus efectos e iniciando el proceso constituyente.</w:t>
      </w:r>
    </w:p>
    <w:p w:rsidR="005728DD" w:rsidRDefault="005728DD" w:rsidP="005728DD">
      <w:pPr>
        <w:pStyle w:val="TextoNormal"/>
      </w:pPr>
    </w:p>
    <w:p w:rsidR="005728DD" w:rsidRDefault="005728DD" w:rsidP="005728DD">
      <w:pPr>
        <w:pStyle w:val="TextoNormal"/>
      </w:pPr>
      <w:r>
        <w:t>Según los datos hechos públicos por el gobierno de la Generalitat, el referéndum arrojó el siguiente resultado: de un total de 5500000 personas con derecho a voto, la cifra total de votantes ascendió a 2286217 personas. Se contabilizaron 2044058 votos favorables al ‘Sí’, cifra esta que representaba el 37 por 100 del censo electoral y poco más de una cuarta parte (el 27 por 100) de la población total de Cataluña en esas fechas.</w:t>
      </w:r>
    </w:p>
    <w:p w:rsidR="005728DD" w:rsidRDefault="005728DD" w:rsidP="005728DD">
      <w:pPr>
        <w:pStyle w:val="TextoNormal"/>
      </w:pPr>
    </w:p>
    <w:p w:rsidR="005728DD" w:rsidRDefault="005728DD" w:rsidP="005728DD">
      <w:pPr>
        <w:pStyle w:val="TextoNormal"/>
      </w:pPr>
      <w:r>
        <w:t>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005728DD" w:rsidRDefault="005728DD" w:rsidP="005728DD">
      <w:pPr>
        <w:pStyle w:val="TextoNormal"/>
      </w:pPr>
    </w:p>
    <w:p w:rsidR="005728DD" w:rsidRDefault="005728DD" w:rsidP="005728DD">
      <w:pPr>
        <w:pStyle w:val="TextoNormal"/>
      </w:pPr>
      <w:r>
        <w:t>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005728DD" w:rsidRDefault="005728DD" w:rsidP="005728DD">
      <w:pPr>
        <w:pStyle w:val="TextoNormal"/>
      </w:pPr>
    </w:p>
    <w:p w:rsidR="005728DD" w:rsidRDefault="005728DD" w:rsidP="005728DD">
      <w:pPr>
        <w:pStyle w:val="TextoNormal"/>
      </w:pPr>
      <w:r>
        <w:t>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005728DD" w:rsidRDefault="005728DD" w:rsidP="005728DD">
      <w:pPr>
        <w:pStyle w:val="TextoNormal"/>
      </w:pPr>
    </w:p>
    <w:p w:rsidR="005728DD" w:rsidRDefault="005728DD" w:rsidP="005728DD">
      <w:pPr>
        <w:pStyle w:val="TextoNormal"/>
      </w:pPr>
      <w:r>
        <w:t xml:space="preserve">Tres días después de la celebración del referéndum del 1 de octubre, la Junta Electoral Central adoptó el acuerdo núm. 90-2017 (exp. 109-165): ‘la Junta Electoral Central, órgano </w:t>
      </w:r>
      <w:r>
        <w:lastRenderedPageBreak/>
        <w:t>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005728DD" w:rsidRDefault="005728DD" w:rsidP="005728DD">
      <w:pPr>
        <w:pStyle w:val="TextoNormal"/>
      </w:pPr>
    </w:p>
    <w:p w:rsidR="005728DD" w:rsidRDefault="005728DD" w:rsidP="005728DD">
      <w:pPr>
        <w:pStyle w:val="TextoNormal"/>
      </w:pPr>
      <w:r>
        <w:t>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005728DD" w:rsidRDefault="005728DD" w:rsidP="005728DD">
      <w:pPr>
        <w:pStyle w:val="TextoNormal"/>
      </w:pPr>
    </w:p>
    <w:p w:rsidR="005728DD" w:rsidRDefault="005728DD" w:rsidP="005728DD">
      <w:pPr>
        <w:pStyle w:val="TextoNormal"/>
      </w:pPr>
      <w:r>
        <w:t>2º) Que, por tanto, carecen de todo valor los que se vienen presentando como resultados del llamado referéndum de autodeterminación.</w:t>
      </w:r>
    </w:p>
    <w:p w:rsidR="005728DD" w:rsidRDefault="005728DD" w:rsidP="005728DD">
      <w:pPr>
        <w:pStyle w:val="TextoNormal"/>
      </w:pPr>
    </w:p>
    <w:p w:rsidR="005728DD" w:rsidRDefault="005728DD" w:rsidP="005728DD">
      <w:pPr>
        <w:pStyle w:val="TextoNormal"/>
      </w:pPr>
      <w:r>
        <w:t>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5728DD" w:rsidRDefault="005728DD" w:rsidP="005728DD">
      <w:pPr>
        <w:pStyle w:val="TextoNormal"/>
      </w:pPr>
    </w:p>
    <w:p w:rsidR="005728DD" w:rsidRDefault="005728DD" w:rsidP="005728DD">
      <w:pPr>
        <w:pStyle w:val="TextoNormal"/>
      </w:pPr>
      <w:r>
        <w:t>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005728DD" w:rsidRDefault="005728DD" w:rsidP="005728DD">
      <w:pPr>
        <w:pStyle w:val="TextoNormal"/>
      </w:pPr>
    </w:p>
    <w:p w:rsidR="005728DD" w:rsidRDefault="005728DD" w:rsidP="005728DD">
      <w:pPr>
        <w:pStyle w:val="TextoNormal"/>
      </w:pPr>
      <w:r>
        <w:t>La suscripción de este documento se realizó fuera del Salón de Plenos de la Cámara.</w:t>
      </w:r>
    </w:p>
    <w:p w:rsidR="005728DD" w:rsidRDefault="005728DD" w:rsidP="005728DD">
      <w:pPr>
        <w:pStyle w:val="TextoNormal"/>
      </w:pPr>
    </w:p>
    <w:p w:rsidR="005728DD" w:rsidRDefault="005728DD" w:rsidP="005728DD">
      <w:pPr>
        <w:pStyle w:val="TextoNormal"/>
      </w:pPr>
      <w:r>
        <w:t xml:space="preserve">6. El 27 de octubre de 2017 cuatro parlamentarios que no son ahora objeto de juicio, pertenecientes a los grupos Junts pel Sí y la CUP presentaron a la Mesa del Parlament dos </w:t>
      </w:r>
      <w:r>
        <w:lastRenderedPageBreak/>
        <w:t>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005728DD" w:rsidRDefault="005728DD" w:rsidP="005728DD">
      <w:pPr>
        <w:pStyle w:val="TextoNormal"/>
      </w:pPr>
    </w:p>
    <w:p w:rsidR="005728DD" w:rsidRDefault="005728DD" w:rsidP="005728DD">
      <w:pPr>
        <w:pStyle w:val="TextoNormal"/>
      </w:pPr>
      <w:r>
        <w:t>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005728DD" w:rsidRDefault="005728DD" w:rsidP="005728DD">
      <w:pPr>
        <w:pStyle w:val="TextoNormal"/>
      </w:pPr>
    </w:p>
    <w:p w:rsidR="005728DD" w:rsidRDefault="005728DD" w:rsidP="005728DD">
      <w:pPr>
        <w:pStyle w:val="TextoNormal"/>
      </w:pPr>
      <w:r>
        <w:t>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005728DD" w:rsidRDefault="005728DD" w:rsidP="005728DD">
      <w:pPr>
        <w:pStyle w:val="TextoNormal"/>
      </w:pPr>
    </w:p>
    <w:p w:rsidR="005728DD" w:rsidRDefault="005728DD" w:rsidP="005728DD">
      <w:pPr>
        <w:pStyle w:val="TextoNormal"/>
      </w:pPr>
      <w:r>
        <w:t>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5728DD" w:rsidRDefault="005728DD" w:rsidP="005728DD">
      <w:pPr>
        <w:pStyle w:val="TextoNormal"/>
      </w:pPr>
    </w:p>
    <w:p w:rsidR="005728DD" w:rsidRDefault="005728DD" w:rsidP="005728DD">
      <w:pPr>
        <w:pStyle w:val="TextoNormal"/>
      </w:pPr>
      <w:r>
        <w:t>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5728DD" w:rsidRDefault="005728DD" w:rsidP="005728DD">
      <w:pPr>
        <w:pStyle w:val="TextoNormal"/>
      </w:pPr>
    </w:p>
    <w:p w:rsidR="005728DD" w:rsidRDefault="005728DD" w:rsidP="005728DD">
      <w:pPr>
        <w:pStyle w:val="TextoNormal"/>
      </w:pPr>
      <w:r>
        <w:t xml:space="preserve">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w:t>
      </w:r>
      <w:r>
        <w:lastRenderedPageBreak/>
        <w:t>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005728DD" w:rsidRDefault="005728DD" w:rsidP="005728DD">
      <w:pPr>
        <w:pStyle w:val="TextoNormal"/>
      </w:pPr>
    </w:p>
    <w:p w:rsidR="005728DD" w:rsidRDefault="005728DD" w:rsidP="005728DD">
      <w:pPr>
        <w:pStyle w:val="TextoNormal"/>
      </w:pPr>
      <w:r>
        <w:t>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Cataluña’—en adelante, ‘DOGC’— 6 de septiembre de 2017), y 20/2017, de 8 de septiembre, de transitoriedad jurídica y fundacional de la república (‘DOGC’ de 8 de septiembre de 2017).</w:t>
      </w:r>
    </w:p>
    <w:p w:rsidR="005728DD" w:rsidRDefault="005728DD" w:rsidP="005728DD">
      <w:pPr>
        <w:pStyle w:val="TextoNormal"/>
      </w:pPr>
    </w:p>
    <w:p w:rsidR="005728DD" w:rsidRDefault="005728DD" w:rsidP="005728DD">
      <w:pPr>
        <w:pStyle w:val="TextoNormal"/>
      </w:pPr>
      <w:r>
        <w:t>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005728DD" w:rsidRDefault="005728DD" w:rsidP="005728DD">
      <w:pPr>
        <w:pStyle w:val="TextoNormal"/>
      </w:pPr>
    </w:p>
    <w:p w:rsidR="005728DD" w:rsidRDefault="005728DD" w:rsidP="005728DD">
      <w:pPr>
        <w:pStyle w:val="TextoNormal"/>
      </w:pPr>
      <w:r>
        <w:t>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005728DD" w:rsidRDefault="005728DD" w:rsidP="005728DD">
      <w:pPr>
        <w:pStyle w:val="TextoNormal"/>
      </w:pPr>
    </w:p>
    <w:p w:rsidR="005728DD" w:rsidRDefault="005728DD" w:rsidP="005728DD">
      <w:pPr>
        <w:pStyle w:val="TextoNormal"/>
      </w:pPr>
      <w:r>
        <w:t>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005728DD" w:rsidRDefault="005728DD" w:rsidP="005728DD">
      <w:pPr>
        <w:pStyle w:val="TextoNormal"/>
      </w:pPr>
    </w:p>
    <w:p w:rsidR="005728DD" w:rsidRDefault="005728DD" w:rsidP="005728DD">
      <w:pPr>
        <w:pStyle w:val="TextoNormal"/>
      </w:pPr>
      <w:r>
        <w:t xml:space="preserve">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w:t>
      </w:r>
      <w:r>
        <w:lastRenderedPageBreak/>
        <w:t>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5728DD" w:rsidRDefault="005728DD" w:rsidP="005728DD">
      <w:pPr>
        <w:pStyle w:val="TextoNormal"/>
      </w:pPr>
    </w:p>
    <w:p w:rsidR="005728DD" w:rsidRDefault="005728DD" w:rsidP="005728DD">
      <w:pPr>
        <w:pStyle w:val="TextoNormal"/>
      </w:pPr>
      <w:r>
        <w:t>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005728DD" w:rsidRDefault="005728DD" w:rsidP="005728DD">
      <w:pPr>
        <w:pStyle w:val="TextoNormal"/>
      </w:pPr>
    </w:p>
    <w:p w:rsidR="005728DD" w:rsidRDefault="005728DD" w:rsidP="005728DD">
      <w:pPr>
        <w:pStyle w:val="TextoNormal"/>
      </w:pPr>
      <w:r>
        <w:t>Fue admitida a trámite por la mesa e impugnada ante el Tribunal Constitucional que, mediante su sentencia 259/2015, de 2 diciembre, la declaró inconstitucional.</w:t>
      </w:r>
    </w:p>
    <w:p w:rsidR="005728DD" w:rsidRDefault="005728DD" w:rsidP="005728DD">
      <w:pPr>
        <w:pStyle w:val="TextoNormal"/>
      </w:pPr>
    </w:p>
    <w:p w:rsidR="005728DD" w:rsidRDefault="005728DD" w:rsidP="005728DD">
      <w:pPr>
        <w:pStyle w:val="TextoNormal"/>
      </w:pPr>
      <w:r>
        <w:t>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005728DD" w:rsidRDefault="005728DD" w:rsidP="005728DD">
      <w:pPr>
        <w:pStyle w:val="TextoNormal"/>
      </w:pPr>
    </w:p>
    <w:p w:rsidR="005728DD" w:rsidRDefault="005728DD" w:rsidP="005728DD">
      <w:pPr>
        <w:pStyle w:val="TextoNormal"/>
      </w:pPr>
      <w:r>
        <w:t>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005728DD" w:rsidRDefault="005728DD" w:rsidP="005728DD">
      <w:pPr>
        <w:pStyle w:val="TextoNormal"/>
      </w:pPr>
    </w:p>
    <w:p w:rsidR="005728DD" w:rsidRDefault="005728DD" w:rsidP="005728DD">
      <w:pPr>
        <w:pStyle w:val="TextoNormal"/>
      </w:pPr>
      <w:r>
        <w:t>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005728DD" w:rsidRDefault="005728DD" w:rsidP="005728DD">
      <w:pPr>
        <w:pStyle w:val="TextoNormal"/>
      </w:pPr>
    </w:p>
    <w:p w:rsidR="005728DD" w:rsidRDefault="005728DD" w:rsidP="005728DD">
      <w:pPr>
        <w:pStyle w:val="TextoNormal"/>
      </w:pPr>
      <w:r>
        <w:t>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005728DD" w:rsidRDefault="005728DD" w:rsidP="005728DD">
      <w:pPr>
        <w:pStyle w:val="TextoNormal"/>
      </w:pPr>
    </w:p>
    <w:p w:rsidR="005728DD" w:rsidRDefault="005728DD" w:rsidP="005728DD">
      <w:pPr>
        <w:pStyle w:val="TextoNormal"/>
      </w:pPr>
      <w:r>
        <w:t xml:space="preserve">Por auto del Tribunal Constitucional núm. 24/2017, de 14 de febrero, se declaró la nulidad de la resolución. También se acordaba notificar personalmente el auto a la presidenta </w:t>
      </w:r>
      <w:r>
        <w:lastRenderedPageBreak/>
        <w:t>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005728DD" w:rsidRDefault="005728DD" w:rsidP="005728DD">
      <w:pPr>
        <w:pStyle w:val="TextoNormal"/>
      </w:pPr>
    </w:p>
    <w:p w:rsidR="005728DD" w:rsidRDefault="005728DD" w:rsidP="005728DD">
      <w:pPr>
        <w:pStyle w:val="TextoNormal"/>
      </w:pPr>
      <w:r>
        <w:t>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005728DD" w:rsidRDefault="005728DD" w:rsidP="005728DD">
      <w:pPr>
        <w:pStyle w:val="TextoNormal"/>
      </w:pPr>
    </w:p>
    <w:p w:rsidR="005728DD" w:rsidRDefault="005728DD" w:rsidP="005728DD">
      <w:pPr>
        <w:pStyle w:val="TextoNormal"/>
      </w:pPr>
      <w:r>
        <w:t>El Tribunal Europeo de Derechos Humanos de Estrasburgo ha inadmitido la demanda núm. 70219-17 promovida por una de las personas a la que se impusieron las multas coercitivas por formar parte de esa administración electoral, en decisió</w:t>
      </w:r>
      <w:r w:rsidRPr="005728DD">
        <w:rPr>
          <w:i/>
        </w:rPr>
        <w:t>n Aumatell i Arnau c. Espa</w:t>
      </w:r>
      <w:r>
        <w:t>ña de 11 de septiembre de 2018.</w:t>
      </w:r>
    </w:p>
    <w:p w:rsidR="005728DD" w:rsidRDefault="005728DD" w:rsidP="005728DD">
      <w:pPr>
        <w:pStyle w:val="TextoNormal"/>
      </w:pPr>
    </w:p>
    <w:p w:rsidR="005728DD" w:rsidRDefault="005728DD" w:rsidP="005728DD">
      <w:pPr>
        <w:pStyle w:val="TextoNormal"/>
      </w:pPr>
      <w:r>
        <w:t>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005728DD" w:rsidRDefault="005728DD" w:rsidP="005728DD">
      <w:pPr>
        <w:pStyle w:val="TextoNormal"/>
      </w:pPr>
    </w:p>
    <w:p w:rsidR="005728DD" w:rsidRDefault="005728DD" w:rsidP="005728DD">
      <w:pPr>
        <w:pStyle w:val="TextoNormal"/>
      </w:pPr>
      <w:r>
        <w:t>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005728DD" w:rsidRDefault="005728DD" w:rsidP="005728DD">
      <w:pPr>
        <w:pStyle w:val="TextoNormal"/>
      </w:pPr>
    </w:p>
    <w:p w:rsidR="005728DD" w:rsidRDefault="005728DD" w:rsidP="005728DD">
      <w:pPr>
        <w:pStyle w:val="TextoNormal"/>
      </w:pPr>
      <w:r>
        <w:t>El 6 de octubre de 2017, el Gobierno de la Generalitat, mediante una carta firmada por el Vicepresidente del Gobierno de la Generalitat D. Oriol Junqueras, su portavoz D. Jordi Turull y el consejero de Asuntos Exteriores D. Raül Romeva comunicó al Parlament el resultado del referéndum, afirmando que había ganado el ‘Sí’ con un 90,18 por 100 de los votos emitidos.</w:t>
      </w:r>
    </w:p>
    <w:p w:rsidR="005728DD" w:rsidRDefault="005728DD" w:rsidP="005728DD">
      <w:pPr>
        <w:pStyle w:val="TextoNormal"/>
      </w:pPr>
    </w:p>
    <w:p w:rsidR="005728DD" w:rsidRDefault="005728DD" w:rsidP="005728DD">
      <w:pPr>
        <w:pStyle w:val="TextoNormal"/>
      </w:pPr>
      <w:r>
        <w:t>7.6. Con anterioridad, el impulso a lo que se presentaba como el camino hacia la independencia, con palmario incumplimiento de las bases de nuestro sistema normativo, había conocido otros hitos fundamentales.</w:t>
      </w:r>
    </w:p>
    <w:p w:rsidR="005728DD" w:rsidRDefault="005728DD" w:rsidP="005728DD">
      <w:pPr>
        <w:pStyle w:val="TextoNormal"/>
      </w:pPr>
    </w:p>
    <w:p w:rsidR="005728DD" w:rsidRDefault="005728DD" w:rsidP="005728DD">
      <w:pPr>
        <w:pStyle w:val="TextoNormal"/>
      </w:pPr>
      <w:r>
        <w:t xml:space="preserve">Así, el día 30 de marzo de 2015 se formalizó el concierto de actuación ilegal mediante el acuerdo de una ‘hoja de ruta’ respecto del proceso de independencia entre los partidos políticos Convergencia Democrática de Cataluña (representada por D. Josep Rull Andreu) y </w:t>
      </w:r>
      <w:r>
        <w:lastRenderedPageBreak/>
        <w:t>Esquerra Republicana de Cataluña, con las entidades soberanistas Ómnium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005728DD" w:rsidRDefault="005728DD" w:rsidP="005728DD">
      <w:pPr>
        <w:pStyle w:val="TextoNormal"/>
      </w:pPr>
    </w:p>
    <w:p w:rsidR="005728DD" w:rsidRDefault="005728DD" w:rsidP="005728DD">
      <w:pPr>
        <w:pStyle w:val="TextoNormal"/>
      </w:pPr>
      <w:r>
        <w:t>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005728DD" w:rsidRDefault="005728DD" w:rsidP="005728DD">
      <w:pPr>
        <w:pStyle w:val="TextoNormal"/>
      </w:pPr>
    </w:p>
    <w:p w:rsidR="005728DD" w:rsidRDefault="005728DD" w:rsidP="005728DD">
      <w:pPr>
        <w:pStyle w:val="TextoNormal"/>
      </w:pPr>
      <w:r>
        <w:t>El 12 de abril de 2015 la ANC —un mes antes de que el acusado D. Jordi Sànchez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005728DD" w:rsidRDefault="005728DD" w:rsidP="005728DD">
      <w:pPr>
        <w:pStyle w:val="TextoNormal"/>
      </w:pPr>
    </w:p>
    <w:p w:rsidR="005728DD" w:rsidRDefault="005728DD" w:rsidP="005728DD">
      <w:pPr>
        <w:pStyle w:val="TextoNormal"/>
      </w:pPr>
      <w:r>
        <w:t>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005728DD" w:rsidRDefault="005728DD" w:rsidP="005728DD">
      <w:pPr>
        <w:pStyle w:val="TextoNormal"/>
      </w:pPr>
    </w:p>
    <w:p w:rsidR="005728DD" w:rsidRDefault="005728DD" w:rsidP="005728DD">
      <w:pPr>
        <w:pStyle w:val="TextoNormal"/>
      </w:pPr>
      <w:r>
        <w:t>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005728DD" w:rsidRDefault="005728DD" w:rsidP="005728DD">
      <w:pPr>
        <w:pStyle w:val="TextoNormal"/>
      </w:pPr>
    </w:p>
    <w:p w:rsidR="005728DD" w:rsidRDefault="005728DD" w:rsidP="005728DD">
      <w:pPr>
        <w:pStyle w:val="TextoNormal"/>
      </w:pPr>
      <w:r>
        <w:t xml:space="preserve">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 Jordi Jané por el acusado D. </w:t>
      </w:r>
      <w:r>
        <w:lastRenderedPageBreak/>
        <w:t>Joaquín Forn, para que respaldara sin reservas la celebración del referéndum. Unos días más tarde, ante el rumbo que tomaban los acontecimientos, también dimitió́ el hasta entonces Director General de Policía de la Generalitat, D. Albert Batlle.</w:t>
      </w:r>
    </w:p>
    <w:p w:rsidR="005728DD" w:rsidRDefault="005728DD" w:rsidP="005728DD">
      <w:pPr>
        <w:pStyle w:val="TextoNormal"/>
      </w:pPr>
    </w:p>
    <w:p w:rsidR="005728DD" w:rsidRDefault="005728DD" w:rsidP="005728DD">
      <w:pPr>
        <w:pStyle w:val="TextoNormal"/>
      </w:pPr>
      <w:r>
        <w:t>Por el mismo motivo y en la misma época, fueron cesadas las consejeras de Enseñanza, Dña. Meritxell Ruiz Isem, y de la presidencia, Dña. Neus Munté Fernández, pasando a ocupar sus cargos Dña. Clara Ponsatí y el acusado D. Jordi Turull. También en ese momento fue cesado el consejero de Industria D. Jordi Baiget, a raíz de haber manifestado en una entrevista que consideraba una irresponsabilidad la celebración de un referéndum unilateral.</w:t>
      </w:r>
    </w:p>
    <w:p w:rsidR="005728DD" w:rsidRDefault="005728DD" w:rsidP="005728DD">
      <w:pPr>
        <w:pStyle w:val="TextoNormal"/>
      </w:pPr>
    </w:p>
    <w:p w:rsidR="005728DD" w:rsidRDefault="005728DD" w:rsidP="005728DD">
      <w:pPr>
        <w:pStyle w:val="TextoNormal"/>
      </w:pPr>
      <w:r>
        <w:t>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 Oriol Junqueras.</w:t>
      </w:r>
    </w:p>
    <w:p w:rsidR="005728DD" w:rsidRDefault="005728DD" w:rsidP="005728DD">
      <w:pPr>
        <w:pStyle w:val="TextoNormal"/>
      </w:pPr>
    </w:p>
    <w:p w:rsidR="005728DD" w:rsidRDefault="005728DD" w:rsidP="005728DD">
      <w:pPr>
        <w:pStyle w:val="TextoNormal"/>
      </w:pPr>
      <w:r>
        <w:t>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005728DD" w:rsidRDefault="005728DD" w:rsidP="005728DD">
      <w:pPr>
        <w:pStyle w:val="TextoNormal"/>
      </w:pPr>
    </w:p>
    <w:p w:rsidR="005728DD" w:rsidRDefault="005728DD" w:rsidP="005728DD">
      <w:pPr>
        <w:pStyle w:val="TextoNormal"/>
      </w:pPr>
      <w:r>
        <w:t>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5728DD" w:rsidRDefault="005728DD" w:rsidP="005728DD">
      <w:pPr>
        <w:pStyle w:val="TextoNormal"/>
      </w:pPr>
    </w:p>
    <w:p w:rsidR="005728DD" w:rsidRDefault="005728DD" w:rsidP="005728DD">
      <w:pPr>
        <w:pStyle w:val="TextoNormal"/>
      </w:pPr>
      <w:r>
        <w:t xml:space="preserve">8.4. En septiembre de 2017, la interventora general de la Generalidad dejó de remitir información al Ministerio de Hacienda comunicando que el vicepresidente y consejero de Economía y Hacienda, D.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w:t>
      </w:r>
      <w:r>
        <w:lastRenderedPageBreak/>
        <w:t>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005728DD" w:rsidRDefault="005728DD" w:rsidP="005728DD">
      <w:pPr>
        <w:pStyle w:val="TextoNormal"/>
      </w:pPr>
    </w:p>
    <w:p w:rsidR="005728DD" w:rsidRDefault="005728DD" w:rsidP="005728DD">
      <w:pPr>
        <w:pStyle w:val="TextoNormal"/>
      </w:pPr>
      <w:r>
        <w:t>Mediante acuerdo del Gobierno de la Generalitat de fecha 7 de septiembre de 2017 —a propuesta del vicepresidente, D. Oriol Junqueras, y de los consejeros de Presidencia, D. Jordi Turull, y de Asuntos Institucionales y Exteriores, D. Raül Romeva— se autorizó a los diferentes departamentos para que realizaran las acciones y contrataciones necesarias para la realización del referéndum.</w:t>
      </w:r>
    </w:p>
    <w:p w:rsidR="005728DD" w:rsidRDefault="005728DD" w:rsidP="005728DD">
      <w:pPr>
        <w:pStyle w:val="TextoNormal"/>
      </w:pPr>
    </w:p>
    <w:p w:rsidR="005728DD" w:rsidRDefault="005728DD" w:rsidP="005728DD">
      <w:pPr>
        <w:pStyle w:val="TextoNormal"/>
      </w:pPr>
      <w:r>
        <w:t>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005728DD" w:rsidRDefault="005728DD" w:rsidP="005728DD">
      <w:pPr>
        <w:pStyle w:val="TextoNormal"/>
      </w:pPr>
    </w:p>
    <w:p w:rsidR="005728DD" w:rsidRDefault="005728DD" w:rsidP="005728DD">
      <w:pPr>
        <w:pStyle w:val="TextoNormal"/>
      </w:pPr>
      <w: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w:t>
      </w:r>
      <w:r>
        <w:lastRenderedPageBreak/>
        <w:t>tecnológicos necesarios para garantizar la adecuada organización y desarrollo del referéndum de autodeterminación de Cataluña, así como aquellos de los que ya se dispone’.</w:t>
      </w:r>
    </w:p>
    <w:p w:rsidR="005728DD" w:rsidRDefault="005728DD" w:rsidP="005728DD">
      <w:pPr>
        <w:pStyle w:val="TextoNormal"/>
      </w:pPr>
    </w:p>
    <w:p w:rsidR="005728DD" w:rsidRDefault="005728DD" w:rsidP="005728DD">
      <w:pPr>
        <w:pStyle w:val="TextoNormal"/>
      </w:pPr>
      <w:r>
        <w:t>Añadía el último apartado que ‘las decisiones y actuaciones nombradas serán tomadas de forma colectiva y colegiada por parte de los miembros del Gobierno, y asumidas de manera solidaria’.</w:t>
      </w:r>
    </w:p>
    <w:p w:rsidR="005728DD" w:rsidRDefault="005728DD" w:rsidP="005728DD">
      <w:pPr>
        <w:pStyle w:val="TextoNormal"/>
      </w:pPr>
    </w:p>
    <w:p w:rsidR="005728DD" w:rsidRDefault="005728DD" w:rsidP="005728DD">
      <w:pPr>
        <w:pStyle w:val="TextoNormal"/>
      </w:pPr>
      <w:r>
        <w:t>9. Los acusados D. Jordi Sànchez Picanyol y D. Jordi Cuixart Navarro eran los líderes respectivos de la Asamblea Nacional Catalana (ANC) y Òmnium Cultural (OC). Su contribución resultaba decisiva para los fines ideados. Ambas asociaciones cuentan con una amplia e histórica trayectoria de movilización popular. Los Sres.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005728DD" w:rsidRDefault="005728DD" w:rsidP="005728DD">
      <w:pPr>
        <w:pStyle w:val="TextoNormal"/>
      </w:pPr>
    </w:p>
    <w:p w:rsidR="005728DD" w:rsidRDefault="005728DD" w:rsidP="005728DD">
      <w:pPr>
        <w:pStyle w:val="TextoNormal"/>
      </w:pPr>
      <w:r>
        <w:t>El día 20 de septiembre de 2017, los acusados D. Jordi Sànchez Picanyol y D.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005728DD" w:rsidRDefault="005728DD" w:rsidP="005728DD">
      <w:pPr>
        <w:pStyle w:val="TextoNormal"/>
      </w:pPr>
    </w:p>
    <w:p w:rsidR="005728DD" w:rsidRDefault="005728DD" w:rsidP="005728DD">
      <w:pPr>
        <w:pStyle w:val="TextoNormal"/>
      </w:pPr>
      <w:r>
        <w:t>Las entidades ANC y OC, a través de la página ‘web www.cridademocracia.cat’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005728DD" w:rsidRDefault="005728DD" w:rsidP="005728DD">
      <w:pPr>
        <w:pStyle w:val="TextoNormal"/>
      </w:pPr>
    </w:p>
    <w:p w:rsidR="005728DD" w:rsidRDefault="005728DD" w:rsidP="005728DD">
      <w:pPr>
        <w:pStyle w:val="TextoNormal"/>
      </w:pPr>
      <w:r>
        <w:t>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005728DD" w:rsidRDefault="005728DD" w:rsidP="005728DD">
      <w:pPr>
        <w:pStyle w:val="TextoNormal"/>
      </w:pPr>
    </w:p>
    <w:p w:rsidR="005728DD" w:rsidRDefault="005728DD" w:rsidP="005728DD">
      <w:pPr>
        <w:pStyle w:val="TextoNormal"/>
      </w:pPr>
      <w:r>
        <w:lastRenderedPageBreak/>
        <w:t>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005728DD" w:rsidRDefault="005728DD" w:rsidP="005728DD">
      <w:pPr>
        <w:pStyle w:val="TextoNormal"/>
      </w:pPr>
    </w:p>
    <w:p w:rsidR="005728DD" w:rsidRDefault="005728DD" w:rsidP="005728DD">
      <w:pPr>
        <w:pStyle w:val="TextoNormal"/>
      </w:pPr>
      <w:r>
        <w:t>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005728DD" w:rsidRDefault="005728DD" w:rsidP="005728DD">
      <w:pPr>
        <w:pStyle w:val="TextoNormal"/>
      </w:pPr>
    </w:p>
    <w:p w:rsidR="005728DD" w:rsidRDefault="005728DD" w:rsidP="005728DD">
      <w:pPr>
        <w:pStyle w:val="TextoNormal"/>
      </w:pPr>
      <w:r>
        <w:t>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5728DD" w:rsidRDefault="005728DD" w:rsidP="005728DD">
      <w:pPr>
        <w:pStyle w:val="TextoNormal"/>
      </w:pPr>
    </w:p>
    <w:p w:rsidR="005728DD" w:rsidRDefault="005728DD" w:rsidP="005728DD">
      <w:pPr>
        <w:pStyle w:val="TextoNormal"/>
      </w:pPr>
      <w:r>
        <w:t>Las entidades sociales que animaban la convocatoria montaron una tarima y repartieron agua y bocadillos entre los asistentes.</w:t>
      </w:r>
    </w:p>
    <w:p w:rsidR="005728DD" w:rsidRDefault="005728DD" w:rsidP="005728DD">
      <w:pPr>
        <w:pStyle w:val="TextoNormal"/>
      </w:pPr>
    </w:p>
    <w:p w:rsidR="005728DD" w:rsidRDefault="005728DD" w:rsidP="005728DD">
      <w:pPr>
        <w:pStyle w:val="TextoNormal"/>
      </w:pPr>
      <w:r>
        <w:t>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005728DD" w:rsidRDefault="005728DD" w:rsidP="005728DD">
      <w:pPr>
        <w:pStyle w:val="TextoNormal"/>
      </w:pPr>
    </w:p>
    <w:p w:rsidR="005728DD" w:rsidRDefault="005728DD" w:rsidP="005728DD">
      <w:pPr>
        <w:pStyle w:val="TextoNormal"/>
      </w:pPr>
      <w:r>
        <w:t>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horas de la madrugada del día 21 de septiembre, y el otro a las 07:00 horas de esa misma fecha.</w:t>
      </w:r>
    </w:p>
    <w:p w:rsidR="005728DD" w:rsidRDefault="005728DD" w:rsidP="005728DD">
      <w:pPr>
        <w:pStyle w:val="TextoNormal"/>
      </w:pPr>
    </w:p>
    <w:p w:rsidR="005728DD" w:rsidRDefault="005728DD" w:rsidP="005728DD">
      <w:pPr>
        <w:pStyle w:val="TextoNormal"/>
      </w:pPr>
      <w:r>
        <w:t>La efectiva dispersión de los últimos manifestantes tuvo lugar, ya entrada la madrugada, a raíz de unas cargas policiales ejecutadas por la brigada antidisturbios de los Mossos.</w:t>
      </w:r>
    </w:p>
    <w:p w:rsidR="005728DD" w:rsidRDefault="005728DD" w:rsidP="005728DD">
      <w:pPr>
        <w:pStyle w:val="TextoNormal"/>
      </w:pPr>
    </w:p>
    <w:p w:rsidR="005728DD" w:rsidRDefault="005728DD" w:rsidP="005728DD">
      <w:pPr>
        <w:pStyle w:val="TextoNormal"/>
      </w:pPr>
      <w:r>
        <w:lastRenderedPageBreak/>
        <w:t>Durante los disturbios, el acusado D.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005728DD" w:rsidRDefault="005728DD" w:rsidP="005728DD">
      <w:pPr>
        <w:pStyle w:val="TextoNormal"/>
      </w:pPr>
    </w:p>
    <w:p w:rsidR="005728DD" w:rsidRDefault="005728DD" w:rsidP="005728DD">
      <w:pPr>
        <w:pStyle w:val="TextoNormal"/>
      </w:pPr>
      <w:r>
        <w:t>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Sànchez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005728DD" w:rsidRDefault="005728DD" w:rsidP="005728DD">
      <w:pPr>
        <w:pStyle w:val="TextoNormal"/>
      </w:pPr>
    </w:p>
    <w:p w:rsidR="005728DD" w:rsidRDefault="005728DD" w:rsidP="005728DD">
      <w:pPr>
        <w:pStyle w:val="TextoNormal"/>
      </w:pPr>
      <w:r>
        <w:t>Desde la llegada al lugar del acusado D. Jordi Cuixart, este y D. Jordi Sànchez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005728DD" w:rsidRDefault="005728DD" w:rsidP="005728DD">
      <w:pPr>
        <w:pStyle w:val="TextoNormal"/>
      </w:pPr>
    </w:p>
    <w:p w:rsidR="005728DD" w:rsidRDefault="005728DD" w:rsidP="005728DD">
      <w:pPr>
        <w:pStyle w:val="TextoNormal"/>
      </w:pPr>
      <w:r>
        <w:t>Tras esta intervención, tomó la palabra el acusado D.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005728DD" w:rsidRDefault="005728DD" w:rsidP="005728DD">
      <w:pPr>
        <w:pStyle w:val="TextoNormal"/>
      </w:pPr>
    </w:p>
    <w:p w:rsidR="005728DD" w:rsidRDefault="005728DD" w:rsidP="005728DD">
      <w:pPr>
        <w:pStyle w:val="TextoNormal"/>
      </w:pPr>
      <w:r>
        <w:t>Sobre las 23:41 horas, ambos acusados D. Jordi Sànchez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‘desde ese altar’ —en clara referencia al vehículo policial— el Sr. Sànchez y él querían convocar a todos los asistentes a una movilización permanente en defensa de los detenidos, emplazándoles a una concentración que tendría lugar a las 12:00 horas del día siguiente, en el Tribunal Superior de Justicia de Cataluña. Por su parte, D.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005728DD" w:rsidRDefault="005728DD" w:rsidP="005728DD">
      <w:pPr>
        <w:pStyle w:val="TextoNormal"/>
      </w:pPr>
    </w:p>
    <w:p w:rsidR="005728DD" w:rsidRDefault="005728DD" w:rsidP="005728DD">
      <w:pPr>
        <w:pStyle w:val="TextoNormal"/>
      </w:pPr>
      <w:r>
        <w:t>Estos actos fueron promovidos, dirigidos y queridos por los acusados Sres.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005728DD" w:rsidRDefault="005728DD" w:rsidP="005728DD">
      <w:pPr>
        <w:pStyle w:val="TextoNormal"/>
      </w:pPr>
    </w:p>
    <w:p w:rsidR="005728DD" w:rsidRDefault="005728DD" w:rsidP="005728DD">
      <w:pPr>
        <w:pStyle w:val="TextoNormal"/>
      </w:pPr>
      <w:r>
        <w:t>9.1. Hechos similares orientados a impedir el funcionamiento normal de la administración de justicia tuvieron lugar con ocasión de otros registros y detenciones acordadas por el Juzgado de Instrucción núm. 13 citado.</w:t>
      </w:r>
    </w:p>
    <w:p w:rsidR="005728DD" w:rsidRDefault="005728DD" w:rsidP="005728DD">
      <w:pPr>
        <w:pStyle w:val="TextoNormal"/>
      </w:pPr>
    </w:p>
    <w:p w:rsidR="005728DD" w:rsidRDefault="005728DD" w:rsidP="005728DD">
      <w:pPr>
        <w:pStyle w:val="TextoNormal"/>
      </w:pPr>
      <w:r>
        <w:t>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005728DD" w:rsidRDefault="005728DD" w:rsidP="005728DD">
      <w:pPr>
        <w:pStyle w:val="TextoNormal"/>
      </w:pPr>
    </w:p>
    <w:p w:rsidR="005728DD" w:rsidRDefault="005728DD" w:rsidP="005728DD">
      <w:pPr>
        <w:pStyle w:val="TextoNormal"/>
      </w:pPr>
      <w:r>
        <w:t>Los acusados Sres. Junqueras, Turull, Rull, Romeva, Forn, Sànchez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5728DD" w:rsidRDefault="005728DD" w:rsidP="005728DD">
      <w:pPr>
        <w:pStyle w:val="TextoNormal"/>
      </w:pPr>
    </w:p>
    <w:p w:rsidR="005728DD" w:rsidRDefault="005728DD" w:rsidP="005728DD">
      <w:pPr>
        <w:pStyle w:val="TextoNormal"/>
      </w:pPr>
      <w:r>
        <w:t xml:space="preserve">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Sànchez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w:t>
      </w:r>
      <w:r>
        <w:lastRenderedPageBreak/>
        <w:t>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005728DD" w:rsidRDefault="005728DD" w:rsidP="005728DD">
      <w:pPr>
        <w:pStyle w:val="TextoNormal"/>
      </w:pPr>
    </w:p>
    <w:p w:rsidR="005728DD" w:rsidRDefault="005728DD" w:rsidP="005728DD">
      <w:pPr>
        <w:pStyle w:val="TextoNormal"/>
      </w:pPr>
      <w:r>
        <w:t>9.2. El día 21 de septiembre de 2017 se congregaron frente a la sede del Tribunal Superior de Justicia de Cataluña unas 20000 personas, convocadas por los Sres. Sànchez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005728DD" w:rsidRDefault="005728DD" w:rsidP="005728DD">
      <w:pPr>
        <w:pStyle w:val="TextoNormal"/>
      </w:pPr>
    </w:p>
    <w:p w:rsidR="005728DD" w:rsidRDefault="005728DD" w:rsidP="005728DD">
      <w:pPr>
        <w:pStyle w:val="TextoNormal"/>
      </w:pPr>
      <w:r>
        <w:t>En el cuartel de la Guardia Civil en Travesera de Gracia, lugar donde los detenidos estaban custodiados, se congregaron 300 personas que llegaron a cortar la circulación.</w:t>
      </w:r>
    </w:p>
    <w:p w:rsidR="005728DD" w:rsidRDefault="005728DD" w:rsidP="005728DD">
      <w:pPr>
        <w:pStyle w:val="TextoNormal"/>
      </w:pPr>
    </w:p>
    <w:p w:rsidR="005728DD" w:rsidRDefault="005728DD" w:rsidP="005728DD">
      <w:pPr>
        <w:pStyle w:val="TextoNormal"/>
      </w:pPr>
      <w:r>
        <w:t>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005728DD" w:rsidRDefault="005728DD" w:rsidP="005728DD">
      <w:pPr>
        <w:pStyle w:val="TextoNormal"/>
      </w:pPr>
    </w:p>
    <w:p w:rsidR="005728DD" w:rsidRDefault="005728DD" w:rsidP="005728DD">
      <w:pPr>
        <w:pStyle w:val="TextoNormal"/>
      </w:pPr>
      <w:r>
        <w:t>En la Ciudad de la Justicia, cuando los detenidos fueron puestos a disposición judicial, se concentraron unas 2000 personas, entre las que se hallaban los acusados Sra. Forcadell y los Sres. Romeva y Junqueras.</w:t>
      </w:r>
    </w:p>
    <w:p w:rsidR="005728DD" w:rsidRDefault="005728DD" w:rsidP="005728DD">
      <w:pPr>
        <w:pStyle w:val="TextoNormal"/>
      </w:pPr>
    </w:p>
    <w:p w:rsidR="005728DD" w:rsidRDefault="005728DD" w:rsidP="005728DD">
      <w:pPr>
        <w:pStyle w:val="TextoNormal"/>
      </w:pPr>
      <w:r>
        <w:t>El 22 de septiembre de 2017 se produjeron concentraciones, con similar inspiración, ante los cuarteles de la Guardia Civil de Canovelles, Vilanova y Ripoll y se empapelaron las oficinas del DNI de la Policía Nacional de Barcelona.</w:t>
      </w:r>
    </w:p>
    <w:p w:rsidR="005728DD" w:rsidRDefault="005728DD" w:rsidP="005728DD">
      <w:pPr>
        <w:pStyle w:val="TextoNormal"/>
      </w:pPr>
    </w:p>
    <w:p w:rsidR="005728DD" w:rsidRDefault="005728DD" w:rsidP="005728DD">
      <w:pPr>
        <w:pStyle w:val="TextoNormal"/>
      </w:pPr>
      <w:r>
        <w:t>En relación con la votación, el día 1 de octubre los acusados D. Jordi Sànchez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005728DD" w:rsidRDefault="005728DD" w:rsidP="005728DD">
      <w:pPr>
        <w:pStyle w:val="TextoNormal"/>
      </w:pPr>
    </w:p>
    <w:p w:rsidR="005728DD" w:rsidRDefault="005728DD" w:rsidP="005728DD">
      <w:pPr>
        <w:pStyle w:val="TextoNormal"/>
      </w:pPr>
      <w:r>
        <w:t xml:space="preserve">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w:t>
      </w:r>
      <w:r>
        <w:lastRenderedPageBreak/>
        <w:t>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005728DD" w:rsidRDefault="005728DD" w:rsidP="005728DD">
      <w:pPr>
        <w:pStyle w:val="TextoNormal"/>
      </w:pPr>
    </w:p>
    <w:p w:rsidR="005728DD" w:rsidRDefault="005728DD" w:rsidP="005728DD">
      <w:pPr>
        <w:pStyle w:val="TextoNormal"/>
      </w:pPr>
      <w:r>
        <w:t>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005728DD" w:rsidRDefault="005728DD" w:rsidP="005728DD">
      <w:pPr>
        <w:pStyle w:val="TextoNormal"/>
      </w:pPr>
    </w:p>
    <w:p w:rsidR="005728DD" w:rsidRDefault="005728DD" w:rsidP="005728DD">
      <w:pPr>
        <w:pStyle w:val="TextoNormal"/>
      </w:pPr>
      <w:r>
        <w:t>Líbrense los oficios oportunos a los respectivos mandos de Mossos d’Esquadra, Guardia Civil y Policía Nacional’.</w:t>
      </w:r>
    </w:p>
    <w:p w:rsidR="005728DD" w:rsidRDefault="005728DD" w:rsidP="005728DD">
      <w:pPr>
        <w:pStyle w:val="TextoNormal"/>
      </w:pPr>
    </w:p>
    <w:p w:rsidR="005728DD" w:rsidRDefault="005728DD" w:rsidP="005728DD">
      <w:pPr>
        <w:pStyle w:val="TextoNormal"/>
      </w:pPr>
      <w:r>
        <w:t>En el fundamento jurídico 2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005728DD" w:rsidRDefault="005728DD" w:rsidP="005728DD">
      <w:pPr>
        <w:pStyle w:val="TextoNormal"/>
      </w:pPr>
    </w:p>
    <w:p w:rsidR="005728DD" w:rsidRDefault="005728DD" w:rsidP="005728DD">
      <w:pPr>
        <w:pStyle w:val="TextoNormal"/>
      </w:pPr>
      <w:r>
        <w:t xml:space="preserve">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42 Comités de Defensa del Referéndum y posibles organizaciones contrarias al acto—. Propusieron expresamente la suspensión de la </w:t>
      </w:r>
      <w:r>
        <w:lastRenderedPageBreak/>
        <w:t>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Lluís Trapero —jefe policial de los Mossos— de la posible concurrencia a la votación de 2 millones de personas, con el riesgo subsiguiente de graves incidentes entre agentes policiales y ciudadanos.</w:t>
      </w:r>
    </w:p>
    <w:p w:rsidR="005728DD" w:rsidRDefault="005728DD" w:rsidP="005728DD">
      <w:pPr>
        <w:pStyle w:val="TextoNormal"/>
      </w:pPr>
    </w:p>
    <w:p w:rsidR="005728DD" w:rsidRDefault="005728DD" w:rsidP="005728DD">
      <w:pPr>
        <w:pStyle w:val="TextoNormal"/>
      </w:pPr>
      <w:r>
        <w:t>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005728DD" w:rsidRDefault="005728DD" w:rsidP="005728DD">
      <w:pPr>
        <w:pStyle w:val="TextoNormal"/>
      </w:pPr>
    </w:p>
    <w:p w:rsidR="005728DD" w:rsidRDefault="005728DD" w:rsidP="005728DD">
      <w:pPr>
        <w:pStyle w:val="TextoNormal"/>
      </w:pPr>
      <w:r>
        <w:t>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005728DD" w:rsidRDefault="005728DD" w:rsidP="005728DD">
      <w:pPr>
        <w:pStyle w:val="TextoNormal"/>
      </w:pPr>
    </w:p>
    <w:p w:rsidR="005728DD" w:rsidRDefault="005728DD" w:rsidP="005728DD">
      <w:pPr>
        <w:pStyle w:val="TextoNormal"/>
      </w:pPr>
      <w:r>
        <w:t>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005728DD" w:rsidRDefault="005728DD" w:rsidP="005728DD">
      <w:pPr>
        <w:pStyle w:val="TextoNormal"/>
      </w:pPr>
    </w:p>
    <w:p w:rsidR="005728DD" w:rsidRDefault="005728DD" w:rsidP="005728DD">
      <w:pPr>
        <w:pStyle w:val="TextoNormal"/>
      </w:pPr>
      <w:r>
        <w:t>Esa desleal actuación del acusado Sr. Forn tuvo como efecto que los centros no fueran sustraídos a la disponibilidad de los ciudadanos llamados a movilizarse para gestionar y hacer posible la jornada de votación. Con esa actitud se evidenció la firme decisión de la 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005728DD" w:rsidRDefault="005728DD" w:rsidP="005728DD">
      <w:pPr>
        <w:pStyle w:val="TextoNormal"/>
      </w:pPr>
    </w:p>
    <w:p w:rsidR="005728DD" w:rsidRDefault="005728DD" w:rsidP="005728DD">
      <w:pPr>
        <w:pStyle w:val="TextoNormal"/>
      </w:pPr>
      <w:r>
        <w:t xml:space="preserve">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w:t>
      </w:r>
      <w:r>
        <w:lastRenderedPageBreak/>
        <w:t>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005728DD" w:rsidRDefault="005728DD" w:rsidP="005728DD">
      <w:pPr>
        <w:pStyle w:val="TextoNormal"/>
      </w:pPr>
    </w:p>
    <w:p w:rsidR="005728DD" w:rsidRDefault="005728DD" w:rsidP="005728DD">
      <w:pPr>
        <w:pStyle w:val="TextoNormal"/>
      </w:pPr>
      <w:r>
        <w:t>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5728DD" w:rsidRDefault="005728DD" w:rsidP="005728DD">
      <w:pPr>
        <w:pStyle w:val="TextoNormal"/>
      </w:pPr>
    </w:p>
    <w:p w:rsidR="005728DD" w:rsidRDefault="005728DD" w:rsidP="005728DD">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5728DD" w:rsidRDefault="005728DD" w:rsidP="005728DD">
      <w:pPr>
        <w:pStyle w:val="TextoNormal"/>
      </w:pPr>
    </w:p>
    <w:p w:rsidR="005728DD" w:rsidRDefault="005728DD" w:rsidP="005728DD">
      <w:pPr>
        <w:pStyle w:val="TextoNormal"/>
      </w:pPr>
      <w:r>
        <w:t>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005728DD" w:rsidRDefault="005728DD" w:rsidP="005728DD">
      <w:pPr>
        <w:pStyle w:val="TextoNormal"/>
      </w:pPr>
    </w:p>
    <w:p w:rsidR="005728DD" w:rsidRDefault="005728DD" w:rsidP="005728DD">
      <w:pPr>
        <w:pStyle w:val="TextoNormal"/>
      </w:pPr>
      <w:r>
        <w:t>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005728DD" w:rsidRDefault="005728DD" w:rsidP="005728DD">
      <w:pPr>
        <w:pStyle w:val="TextoNormal"/>
      </w:pPr>
    </w:p>
    <w:p w:rsidR="005728DD" w:rsidRDefault="005728DD" w:rsidP="005728DD">
      <w:pPr>
        <w:pStyle w:val="TextoNormal"/>
      </w:pPr>
      <w:r>
        <w:t>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5728DD" w:rsidRDefault="005728DD" w:rsidP="005728DD">
      <w:pPr>
        <w:pStyle w:val="TextoNormal"/>
      </w:pPr>
    </w:p>
    <w:p w:rsidR="005728DD" w:rsidRDefault="005728DD" w:rsidP="005728DD">
      <w:pPr>
        <w:pStyle w:val="TextoNormal"/>
      </w:pPr>
      <w:r>
        <w:t>A primeras horas de la tarde, dado que el uso de la fuerza podría devenir desproporcionado, los agentes de Policía Nacional y Guardia Civil recibieron órdenes y se vieron irremediablemente forzadas a declinar el propósito inicial.</w:t>
      </w:r>
    </w:p>
    <w:p w:rsidR="005728DD" w:rsidRDefault="005728DD" w:rsidP="005728DD">
      <w:pPr>
        <w:pStyle w:val="TextoNormal"/>
      </w:pPr>
    </w:p>
    <w:p w:rsidR="005728DD" w:rsidRDefault="005728DD" w:rsidP="005728DD">
      <w:pPr>
        <w:pStyle w:val="TextoNormal"/>
      </w:pPr>
      <w:r>
        <w:lastRenderedPageBreak/>
        <w:t>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w:t>
      </w:r>
      <w:r w:rsidRPr="005728DD">
        <w:rPr>
          <w:i/>
        </w:rPr>
        <w:t>o sup</w:t>
      </w:r>
      <w:r>
        <w:t>ra— inicialmente suspendidas y luego anuladas por el Tribunal Constitucional.</w:t>
      </w:r>
    </w:p>
    <w:p w:rsidR="005728DD" w:rsidRDefault="005728DD" w:rsidP="005728DD">
      <w:pPr>
        <w:pStyle w:val="TextoNormal"/>
      </w:pPr>
    </w:p>
    <w:p w:rsidR="005728DD" w:rsidRDefault="005728DD" w:rsidP="005728DD">
      <w:pPr>
        <w:pStyle w:val="TextoNormal"/>
      </w:pPr>
      <w:r>
        <w:t>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005728DD" w:rsidRDefault="005728DD" w:rsidP="005728DD">
      <w:pPr>
        <w:pStyle w:val="TextoNormal"/>
      </w:pPr>
    </w:p>
    <w:p w:rsidR="005728DD" w:rsidRDefault="005728DD" w:rsidP="005728DD">
      <w:pPr>
        <w:pStyle w:val="TextoNormal"/>
      </w:pPr>
      <w:r>
        <w:t>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005728DD" w:rsidRDefault="005728DD" w:rsidP="005728DD">
      <w:pPr>
        <w:pStyle w:val="TextoNormal"/>
      </w:pPr>
    </w:p>
    <w:p w:rsidR="005728DD" w:rsidRDefault="005728DD" w:rsidP="005728DD">
      <w:pPr>
        <w:pStyle w:val="TextoNormal"/>
      </w:pPr>
      <w:r>
        <w:t>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w:t>
      </w:r>
      <w:r>
        <w:lastRenderedPageBreak/>
        <w:t>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5728DD" w:rsidRDefault="005728DD" w:rsidP="005728DD">
      <w:pPr>
        <w:pStyle w:val="TextoNormal"/>
      </w:pPr>
    </w:p>
    <w:p w:rsidR="005728DD" w:rsidRDefault="005728DD" w:rsidP="005728DD">
      <w:pPr>
        <w:pStyle w:val="TextoNormal"/>
      </w:pPr>
      <w:r>
        <w:t>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005728DD" w:rsidRDefault="005728DD" w:rsidP="005728DD">
      <w:pPr>
        <w:pStyle w:val="TextoNormal"/>
      </w:pPr>
    </w:p>
    <w:p w:rsidR="005728DD" w:rsidRDefault="005728DD" w:rsidP="005728DD">
      <w:pPr>
        <w:pStyle w:val="TextoNormal"/>
      </w:pPr>
      <w:r>
        <w:t>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005728DD" w:rsidRDefault="005728DD" w:rsidP="005728DD">
      <w:pPr>
        <w:pStyle w:val="TextoNormal"/>
      </w:pPr>
    </w:p>
    <w:p w:rsidR="005728DD" w:rsidRDefault="005728DD" w:rsidP="005728DD">
      <w:pPr>
        <w:pStyle w:val="TextoNormal"/>
      </w:pPr>
      <w:r>
        <w:t>Uno de los conductores del acto fue el propio Sr.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17690,20 € fue abonada por medio de transferencia bancaria tramitada por la oficina con el número 5000 de la sucursal de la entidad Caixabank, con data del día anterior a la celebración de esa presentación.</w:t>
      </w:r>
    </w:p>
    <w:p w:rsidR="005728DD" w:rsidRDefault="005728DD" w:rsidP="005728DD">
      <w:pPr>
        <w:pStyle w:val="TextoNormal"/>
      </w:pPr>
    </w:p>
    <w:p w:rsidR="005728DD" w:rsidRDefault="005728DD" w:rsidP="005728DD">
      <w:pPr>
        <w:pStyle w:val="TextoNormal"/>
      </w:pPr>
      <w:r>
        <w:t>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005728DD" w:rsidRDefault="005728DD" w:rsidP="005728DD">
      <w:pPr>
        <w:pStyle w:val="TextoNormal"/>
      </w:pPr>
    </w:p>
    <w:p w:rsidR="005728DD" w:rsidRDefault="005728DD" w:rsidP="005728DD">
      <w:pPr>
        <w:pStyle w:val="TextoNormal"/>
      </w:pPr>
      <w: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43341 €; ii) contratación de un equipo de investigación experto en elecciones internacionales, en inglés </w:t>
      </w:r>
      <w:r w:rsidRPr="005728DD">
        <w:rPr>
          <w:i/>
        </w:rPr>
        <w:t xml:space="preserve">International Election Expert </w:t>
      </w:r>
      <w:r w:rsidRPr="005728DD">
        <w:rPr>
          <w:i/>
        </w:rPr>
        <w:lastRenderedPageBreak/>
        <w:t>Research Team</w:t>
      </w:r>
      <w:r>
        <w:t xml:space="preserve"> (IEERT), dirigido por Dña. Helena Catt: 177 304,90€; iii) contratación con MN2</w:t>
      </w:r>
      <w:r w:rsidRPr="005728DD">
        <w:rPr>
          <w:i/>
        </w:rPr>
        <w:t>S Managemet Limit</w:t>
      </w:r>
      <w:r>
        <w:t>ed de un equipo en el estuviera el político holandés D. Willem —Wim— Kok, en los días del referéndum: 54 030 €; si bien este importe fue devuelto porque la prestación no se realizó.</w:t>
      </w:r>
    </w:p>
    <w:p w:rsidR="005728DD" w:rsidRDefault="005728DD" w:rsidP="005728DD">
      <w:pPr>
        <w:pStyle w:val="TextoNormal"/>
      </w:pPr>
    </w:p>
    <w:p w:rsidR="005728DD" w:rsidRDefault="005728DD" w:rsidP="005728DD">
      <w:pPr>
        <w:pStyle w:val="TextoNormal"/>
      </w:pPr>
      <w: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w:t>
      </w:r>
      <w:r w:rsidRPr="005728DD">
        <w:rPr>
          <w:i/>
        </w:rPr>
        <w:t>lobby</w:t>
      </w:r>
      <w:r>
        <w:t xml:space="preserve"> en defensa de la celebración del referéndum: 60 000 €; ii) contratación de los servicios de la institució</w:t>
      </w:r>
      <w:r w:rsidRPr="005728DD">
        <w:rPr>
          <w:i/>
        </w:rPr>
        <w:t>n The Hague Center for Strategic Studi</w:t>
      </w:r>
      <w:r>
        <w:t>es, como observadores internacionales para verificar el referéndum del 1 de octubre: 167 065 €, si bien restan 47 635 € por abonar.</w:t>
      </w:r>
    </w:p>
    <w:p w:rsidR="005728DD" w:rsidRDefault="005728DD" w:rsidP="005728DD">
      <w:pPr>
        <w:pStyle w:val="TextoNormal"/>
      </w:pPr>
    </w:p>
    <w:p w:rsidR="005728DD" w:rsidRDefault="005728DD" w:rsidP="005728DD">
      <w:pPr>
        <w:pStyle w:val="TextoNormal"/>
      </w:pPr>
      <w:r>
        <w:t>c) A través del Departamento de Vicepresidencia y Economía fueron acordados los siguientes gastos: i) encargo a la empresa Unipost para la distribución de las notificaciones del nombramiento de los integrantes de las mesas electorales: 193 899,98 €.</w:t>
      </w:r>
    </w:p>
    <w:p w:rsidR="005728DD" w:rsidRDefault="005728DD" w:rsidP="005728DD">
      <w:pPr>
        <w:pStyle w:val="TextoNormal"/>
      </w:pPr>
    </w:p>
    <w:p w:rsidR="005728DD" w:rsidRDefault="005728DD" w:rsidP="005728DD">
      <w:pPr>
        <w:pStyle w:val="TextoNormal"/>
      </w:pPr>
      <w:r>
        <w:t xml:space="preserve">d) Por medio del Departamento de Presidencia se lideró: (i) la puesta en marcha a través del Centro de Telecomunicaciones y Tecnologías de la Información (en adelante, CTTI), de la ‘web referendum.cat’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w:t>
      </w:r>
      <w:r w:rsidRPr="005728DD">
        <w:rPr>
          <w:i/>
        </w:rPr>
        <w:t>T-Systems</w:t>
      </w:r>
      <w:r>
        <w:t>,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005728DD" w:rsidRDefault="005728DD" w:rsidP="005728DD">
      <w:pPr>
        <w:pStyle w:val="TextoNormal"/>
      </w:pPr>
    </w:p>
    <w:p w:rsidR="005728DD" w:rsidRDefault="005728DD" w:rsidP="005728DD">
      <w:pPr>
        <w:pStyle w:val="TextoNormal"/>
      </w:pPr>
      <w:r>
        <w:t>e) El Departamento de Trabajo posibilitó los siguientes gastos: i) encargo a la empresa Unipost para la distribución de las notificaciones del nombramiento de los integrantes de las mesas electorales: 197 492,04 €.</w:t>
      </w:r>
    </w:p>
    <w:p w:rsidR="005728DD" w:rsidRDefault="005728DD" w:rsidP="005728DD">
      <w:pPr>
        <w:pStyle w:val="TextoNormal"/>
      </w:pPr>
    </w:p>
    <w:p w:rsidR="005728DD" w:rsidRDefault="005728DD" w:rsidP="005728DD">
      <w:pPr>
        <w:pStyle w:val="TextoNormal"/>
      </w:pPr>
      <w:r>
        <w:t>f) El Departamento de Salud también encomendó a Unipost para distribución de las notificaciones del nombramiento de los integrantes de las mesas electorales: 192 711,20 €.</w:t>
      </w:r>
    </w:p>
    <w:p w:rsidR="005728DD" w:rsidRDefault="005728DD" w:rsidP="005728DD">
      <w:pPr>
        <w:pStyle w:val="TextoNormal"/>
      </w:pPr>
    </w:p>
    <w:p w:rsidR="005728DD" w:rsidRDefault="005728DD" w:rsidP="005728DD">
      <w:pPr>
        <w:pStyle w:val="TextoNormal"/>
      </w:pPr>
      <w:r>
        <w:lastRenderedPageBreak/>
        <w:t>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005728DD" w:rsidRDefault="005728DD" w:rsidP="005728DD">
      <w:pPr>
        <w:pStyle w:val="TextoNormal"/>
      </w:pPr>
    </w:p>
    <w:p w:rsidR="005728DD" w:rsidRDefault="005728DD" w:rsidP="005728DD">
      <w:pPr>
        <w:pStyle w:val="TextoNormal"/>
      </w:pPr>
      <w:r>
        <w:t>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005728DD" w:rsidRDefault="005728DD" w:rsidP="005728DD">
      <w:pPr>
        <w:pStyle w:val="TextoNormal"/>
      </w:pPr>
    </w:p>
    <w:p w:rsidR="005728DD" w:rsidRDefault="005728DD" w:rsidP="005728DD">
      <w:pPr>
        <w:pStyle w:val="TextoNormal"/>
      </w:pPr>
      <w:r>
        <w:t>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 los arts. 432.1 y 3, párrafo último CP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referido órgano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finalidad perseguida por los partícipes, que en el caso de la sedición atañe “al impedimento u obstrucción de la legítima voluntad legislativa, gubernativa o jurisdiccional”.</w:t>
      </w:r>
    </w:p>
    <w:p w:rsidR="005728DD" w:rsidRDefault="005728DD" w:rsidP="005728DD">
      <w:pPr>
        <w:pStyle w:val="TextoNormal"/>
      </w:pPr>
    </w:p>
    <w:p w:rsidR="005728DD" w:rsidRDefault="005728DD" w:rsidP="005728DD">
      <w:pPr>
        <w:pStyle w:val="TextoNormal"/>
      </w:pPr>
      <w:r>
        <w:t>Posteriormente, tras poner de relieve que el delito de sedición constituye u</w:t>
      </w:r>
      <w:r w:rsidRPr="005728DD">
        <w:rPr>
          <w:i/>
        </w:rPr>
        <w:t>n ali</w:t>
      </w:r>
      <w:r>
        <w:t>ud respecto de otras infracciones reguladas en el título vigésimo segundo del Código penal, la sala expone los requisitos de esa figura penal, a saber:</w:t>
      </w:r>
    </w:p>
    <w:p w:rsidR="005728DD" w:rsidRDefault="005728DD" w:rsidP="005728DD">
      <w:pPr>
        <w:pStyle w:val="TextoNormal"/>
      </w:pPr>
    </w:p>
    <w:p w:rsidR="005728DD" w:rsidRDefault="005728DD" w:rsidP="005728DD">
      <w:pPr>
        <w:pStyle w:val="TextoNormal"/>
      </w:pPr>
      <w:r>
        <w:t>(i)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005728DD" w:rsidRDefault="005728DD" w:rsidP="005728DD">
      <w:pPr>
        <w:pStyle w:val="TextoNormal"/>
      </w:pPr>
    </w:p>
    <w:p w:rsidR="005728DD" w:rsidRDefault="005728DD" w:rsidP="005728DD">
      <w:pPr>
        <w:pStyle w:val="TextoNormal"/>
      </w:pPr>
      <w:r>
        <w:t>(ii)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vincula los términos “alzar”, “alzarse” “tumultuario”, de modo exclusivo con el empleo de violencia.</w:t>
      </w:r>
    </w:p>
    <w:p w:rsidR="005728DD" w:rsidRDefault="005728DD" w:rsidP="005728DD">
      <w:pPr>
        <w:pStyle w:val="TextoNormal"/>
      </w:pPr>
    </w:p>
    <w:p w:rsidR="005728DD" w:rsidRDefault="005728DD" w:rsidP="005728DD">
      <w:pPr>
        <w:pStyle w:val="TextoNormal"/>
      </w:pPr>
      <w:r>
        <w:t>(iii)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005728DD" w:rsidRDefault="005728DD" w:rsidP="005728DD">
      <w:pPr>
        <w:pStyle w:val="TextoNormal"/>
      </w:pPr>
    </w:p>
    <w:p w:rsidR="005728DD" w:rsidRDefault="005728DD" w:rsidP="005728DD">
      <w:pPr>
        <w:pStyle w:val="TextoNormal"/>
      </w:pPr>
      <w:r>
        <w:t>La Sala considera que los hechos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005728DD" w:rsidRDefault="005728DD" w:rsidP="005728DD">
      <w:pPr>
        <w:pStyle w:val="TextoNormal"/>
      </w:pPr>
    </w:p>
    <w:p w:rsidR="005728DD" w:rsidRDefault="005728DD" w:rsidP="005728DD">
      <w:pPr>
        <w:pStyle w:val="TextoNormal"/>
      </w:pPr>
      <w:r>
        <w:t>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Parlamento de Cataluña, se aprecia que las referidas conductas supusieron un intento de “derogación de la legislación válida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t xml:space="preserve">Dentro de este apartado cabe destacar que, para el órgano sentenciador, el derecho a la protesta “no puede mutar en un exótico derecho al impedimento físico a los agentes de la autoridad a dar cumplimiento a un mandato judicial, y hacerlo de una forma generalizada </w:t>
      </w:r>
      <w:r>
        <w:lastRenderedPageBreak/>
        <w:t>en toda la extensión de una comunidad autónoma, en la que por un día queda suspendida la ejecución de una orden judicial”. Por ello, ante un levantamiento proyectado, multitudinario y generalizado no es posible eludir la aplicación del delito de sedición, al quedar la autoridad del Poder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005728DD" w:rsidRDefault="005728DD" w:rsidP="005728DD">
      <w:pPr>
        <w:pStyle w:val="TextoNormal"/>
      </w:pPr>
    </w:p>
    <w:p w:rsidR="005728DD" w:rsidRDefault="005728DD" w:rsidP="005728DD">
      <w:pPr>
        <w:pStyle w:val="TextoNormal"/>
      </w:pPr>
      <w:r>
        <w:t>p) El “juicio de autoría” del demandante se expresa, de forma conjunta con otros acusados, en el apartado C) de la sentencia condenatoria.</w:t>
      </w:r>
    </w:p>
    <w:p w:rsidR="005728DD" w:rsidRDefault="005728DD" w:rsidP="005728DD">
      <w:pPr>
        <w:pStyle w:val="TextoNormal"/>
      </w:pPr>
    </w:p>
    <w:p w:rsidR="005728DD" w:rsidRDefault="005728DD" w:rsidP="005728DD">
      <w:pPr>
        <w:pStyle w:val="TextoNormal"/>
      </w:pPr>
      <w:r>
        <w:t>(i) En el punto 1 se vierten unas consideraciones respecto del delito de sedición que atañen al recurrente en amparo, a don Oriol Junqueras, don Raül Romeva, doña Carme Forcadell, don Jordi Turull, doña Dolors Bassa, don Joaquim Forn, don Jordi Cuixart y don Jordi Sànchez.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al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w:t>
      </w:r>
      <w:r w:rsidRPr="005728DD">
        <w:rPr>
          <w:i/>
        </w:rPr>
        <w:t>, ab init</w:t>
      </w:r>
      <w:r>
        <w:t>io o de manera sobrevenida”.</w:t>
      </w:r>
    </w:p>
    <w:p w:rsidR="005728DD" w:rsidRDefault="005728DD" w:rsidP="005728DD">
      <w:pPr>
        <w:pStyle w:val="TextoNormal"/>
      </w:pPr>
    </w:p>
    <w:p w:rsidR="005728DD" w:rsidRDefault="005728DD" w:rsidP="005728DD">
      <w:pPr>
        <w:pStyle w:val="TextoNormal"/>
      </w:pPr>
      <w:r>
        <w:t>Se considera que a los acusados miembros del Govern, la conducta típica consistente en “la derogación de hecho de leyes vigentes y válidas a sustituir por no válidas y la movilización de ciudadanos para comportamientos tumultuarios obstativos de la ejecución de órdenes jurisdiccionales” les es objetivamente imputable como colectivo, en tanto que eran garantes de la indemnidad del bien jurídico protegido por el delito de sedición, a la vista de las competencias y atribuciones que la normativa autonómica asigna al Govern (Ley de Presidencia de la Generalitat y del Govern de Cataluña y la Ley Catalana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aun, “conjurar todo riesgo de obstrucción a tal cumplimiento”.</w:t>
      </w:r>
    </w:p>
    <w:p w:rsidR="005728DD" w:rsidRDefault="005728DD" w:rsidP="005728DD">
      <w:pPr>
        <w:pStyle w:val="TextoNormal"/>
      </w:pPr>
    </w:p>
    <w:p w:rsidR="005728DD" w:rsidRDefault="005728DD" w:rsidP="005728DD">
      <w:pPr>
        <w:pStyle w:val="TextoNormal"/>
      </w:pPr>
      <w:r>
        <w:t>Finalmente, se pone de relieve que, con base en los informes técnicos elaborados por los responsables policiales, los comportamientos lesivos para el orden público eran “de previ</w:t>
      </w:r>
      <w:r>
        <w:lastRenderedPageBreak/>
        <w:t xml:space="preserve">sibilidad adecuada a la falta de una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extraña al comportamiento de los acusados, pues estuvo preordenada y fue promovida </w:t>
      </w:r>
      <w:r w:rsidRPr="005728DD">
        <w:rPr>
          <w:i/>
        </w:rPr>
        <w:t>ex ante</w:t>
      </w:r>
      <w:r>
        <w:t xml:space="preserve"> por estos últimos, “como imprescindiblemente funcional para crear el riesgo en la inaplicación de leyes e incumplimiento de decisiones legítimas de órganos jurisdiccionales,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005728DD" w:rsidRDefault="005728DD" w:rsidP="005728DD">
      <w:pPr>
        <w:pStyle w:val="TextoNormal"/>
      </w:pPr>
    </w:p>
    <w:p w:rsidR="005728DD" w:rsidRDefault="005728DD" w:rsidP="005728DD">
      <w:pPr>
        <w:pStyle w:val="TextoNormal"/>
      </w:pPr>
      <w:r>
        <w:t>(ii) Más en concreto, de forma individualizada para el ahora recurrente, en el punto 1.5 se recoge su juicio de autoría con el siguiente tenor literal:</w:t>
      </w:r>
    </w:p>
    <w:p w:rsidR="005728DD" w:rsidRDefault="005728DD" w:rsidP="005728DD">
      <w:pPr>
        <w:pStyle w:val="TextoNormal"/>
      </w:pPr>
    </w:p>
    <w:p w:rsidR="005728DD" w:rsidRDefault="005728DD" w:rsidP="005728DD">
      <w:pPr>
        <w:pStyle w:val="TextoNormal"/>
      </w:pPr>
      <w:r>
        <w:t>“D. Josep Rull es también autor del delito de sedición previsto en los arts. 544 y 545.1 CP.</w:t>
      </w:r>
    </w:p>
    <w:p w:rsidR="005728DD" w:rsidRDefault="005728DD" w:rsidP="005728DD">
      <w:pPr>
        <w:pStyle w:val="TextoNormal"/>
      </w:pPr>
    </w:p>
    <w:p w:rsidR="005728DD" w:rsidRDefault="005728DD" w:rsidP="005728DD">
      <w:pPr>
        <w:pStyle w:val="TextoNormal"/>
      </w:pPr>
      <w:r>
        <w:t>El acusado era en la fecha de celebración del referéndum del 1 de octubre consejero de Territorio y Sostenibilidad. […] Aparece en las reuniones recogidas en la agenda moleskine intervenida en el domicilio del Sr. Jové. […]</w:t>
      </w:r>
    </w:p>
    <w:p w:rsidR="005728DD" w:rsidRDefault="005728DD" w:rsidP="005728DD">
      <w:pPr>
        <w:pStyle w:val="TextoNormal"/>
      </w:pPr>
    </w:p>
    <w:p w:rsidR="005728DD" w:rsidRDefault="005728DD" w:rsidP="005728DD">
      <w:pPr>
        <w:pStyle w:val="TextoNormal"/>
      </w:pPr>
      <w:r>
        <w:t>Como Consejero del Govern, desde enero de 2017, participó en cuantos anuncios y actuaciones se realizaron en defensa de la celebración del referéndum judicialmente prohibido. El 9 de junio formó parte del equipo de Gobierno que presentó la fecha del referéndum y la pregunta que iba a ser sometida a los ciudadanos. El día 4 de julio de 2017 también participó en el acto celebrado en el Teatro Nacional de Cataluña, llamado a proclamar la voluntad de realizar el referéndum presentado como de autodeterminación.</w:t>
      </w:r>
    </w:p>
    <w:p w:rsidR="005728DD" w:rsidRDefault="005728DD" w:rsidP="005728DD">
      <w:pPr>
        <w:pStyle w:val="TextoNormal"/>
      </w:pPr>
    </w:p>
    <w:p w:rsidR="005728DD" w:rsidRDefault="005728DD" w:rsidP="005728DD">
      <w:pPr>
        <w:pStyle w:val="TextoNormal"/>
      </w:pPr>
      <w:r>
        <w:t>El Sr. Rull admitió la recepción de hasta seis notificaciones del Tribunal Constitucional en las que era requerido a no actuar en contra de la legalidad, en los términos que el tribunal había establecido respecto a las normas que habían sido suspendidas o anuladas por su colisión con la Constitución. Concretamente, es clara y precisa, en orden al contenido de lo reprochado, la notificación del 21 de febrero de 2017 en la que se le comunica personalmente el auto núm. 24/2017, dictado por el Pleno del Tribunal Constitucional con fecha 14 de febrero, en el incidente de ejecución de la sentencia del Tribunal Constitucional, contra la resolución 306/XI del Parlament de Cataluña, de 6 de octubre de 2016, en la que fue advertido ‘del deber de abstenerse de realizar cualesquiera actuaciones tendentes a dar cumplimiento a la resolución 306/XI en los apartados anulados y de su deber de impedir o paralizar cualquier iniciativa, jurídica o material, que directa o indirectamente suponga ignorar la nulidad de esos apartados de dicha resolución, apercibiéndole de las eventuales responsabilidades, incluida penal, en las que pudieran incurrir en caso de incumplimiento de lo ordenado por este tribunal’. Las demás notificaciones eran similares en su contenido.</w:t>
      </w:r>
    </w:p>
    <w:p w:rsidR="005728DD" w:rsidRDefault="005728DD" w:rsidP="005728DD">
      <w:pPr>
        <w:pStyle w:val="TextoNormal"/>
      </w:pPr>
    </w:p>
    <w:p w:rsidR="005728DD" w:rsidRDefault="005728DD" w:rsidP="005728DD">
      <w:pPr>
        <w:pStyle w:val="TextoNormal"/>
      </w:pPr>
      <w:r>
        <w:t xml:space="preserve">Obra en la causa testimonio de sus declaraciones a medios de comunicación social —p.ej. entrevista en el diario digital elnacional.cat el miércoles día 27 de septiembre de </w:t>
      </w:r>
      <w:r>
        <w:lastRenderedPageBreak/>
        <w:t>2017— en las que valora, en términos de ‘agresión’, la presencia de los barcos-hotel en los que se alojaron miembros de las fuerzas y cuerpos de seguridad del Estado desplazados a Barcelona para mantener la legalidad constitucional. Narra también cómo evitaron su atraque en el puerto de Palamós, al tiempo que alude a su presencia en el puerto de Barcelona como ‘presencia testosterónica’, añadiendo una crítica por la repercusión económica negativa de esa presencia. En esas declaraciones animaba a la votación masiva en el referéndum ilegalmente convocado.</w:t>
      </w:r>
    </w:p>
    <w:p w:rsidR="005728DD" w:rsidRDefault="005728DD" w:rsidP="005728DD">
      <w:pPr>
        <w:pStyle w:val="TextoNormal"/>
      </w:pPr>
    </w:p>
    <w:p w:rsidR="005728DD" w:rsidRDefault="005728DD" w:rsidP="005728DD">
      <w:pPr>
        <w:pStyle w:val="TextoNormal"/>
      </w:pPr>
      <w:r>
        <w:t>El día 6 de septiembre de 2017, después de los sucesos acaecidos en el Parlament para la aprobación de las leyes del referéndum para la autodeterminación de Cataluña y la Ley de transitoriedad jurídica y fundacional de la República —Leyes 19 y 20 de 2017—, el Sr. Rull firmó, en un acto conjunto de todo el Govern, el decreto de convocatoria del referéndum para el 1 de octubre, Decreto 139/2017. Esta firma se desarrolló en la madrugada siguiente a la aprobación de la ley, aprovechando la inmediata publicación de las leyes y su vigencia, temeroso el Govern de la inmediata suspensión que el Tribunal Constitucional realizaría a instancias del Gobierno del Estado. El Tribunal Constitucional suspendió el decreto y requirió al acusado a un comportamiento ajustado a la legalidad. También participó en el Decreto 140/2017, de la misma fecha que el anterior, por el que el Gobierno se constituía en administración electoral y asumía la realización de actos y en la contratación necesaria para la realización del referéndum.</w:t>
      </w:r>
    </w:p>
    <w:p w:rsidR="005728DD" w:rsidRDefault="005728DD" w:rsidP="005728DD">
      <w:pPr>
        <w:pStyle w:val="TextoNormal"/>
      </w:pPr>
    </w:p>
    <w:p w:rsidR="005728DD" w:rsidRDefault="005728DD" w:rsidP="005728DD">
      <w:pPr>
        <w:pStyle w:val="TextoNormal"/>
      </w:pPr>
      <w:r>
        <w:t>[…] El Sr. Rull, por tanto, era plenamente consciente de la inobservancia de la legalidad y de los mandatos del Tribunal Constitucional, cuyos requerimientos conocía y no observaba.</w:t>
      </w:r>
    </w:p>
    <w:p w:rsidR="005728DD" w:rsidRDefault="005728DD" w:rsidP="005728DD">
      <w:pPr>
        <w:pStyle w:val="TextoNormal"/>
      </w:pPr>
    </w:p>
    <w:p w:rsidR="005728DD" w:rsidRDefault="005728DD" w:rsidP="005728DD">
      <w:pPr>
        <w:pStyle w:val="TextoNormal"/>
      </w:pPr>
      <w:r>
        <w:t>[…] [N]uestra convicción probatoria la extraemos de sus propias declaraciones y del amplio fondo documental incorporado a la causa, del que destacamos las páginas que reflejan las peripecias que presidieron la aprobación de las leyes de referéndum y transitoriedad, las notificaciones personales al Sr. Rull de los requerimientos del Tribunal Constitucional y aquellos documentos —no cuestionados en su autenticidad— que reflejan las opiniones del entonces consejero de Territorio y Sostenibilidad, ya en medios de comunicación, ya en redes sociales. Junto a otros, participó activamente poniendo las bases que propiciaron las condiciones de la movilización ciudadana. Impidió así el normal funcionamiento del Estado que actúa en defensa de la legalidad, participó en la convocatoria de un referéndum ilegal y participó también en su realización. Su actividad no se limita a una idea, o a su expresión, sino a la ejecución de actos que supusieron la creación de unas condiciones que sitúan al proceso en la ilegalidad, poniendo las condiciones que estimó precisas para impedir el funcionamiento de los servicios públicos y la actuación de Estado de acuerdo a la legalidad.</w:t>
      </w:r>
    </w:p>
    <w:p w:rsidR="005728DD" w:rsidRDefault="005728DD" w:rsidP="005728DD">
      <w:pPr>
        <w:pStyle w:val="TextoNormal"/>
      </w:pPr>
    </w:p>
    <w:p w:rsidR="005728DD" w:rsidRDefault="005728DD" w:rsidP="005728DD">
      <w:pPr>
        <w:pStyle w:val="TextoNormal"/>
      </w:pPr>
      <w:r>
        <w:t>Además de lo anterior, dos hechos añaden especial valor probatorio a la convicción de la Sala. De una parte, su intervención para impedir el amarre de un barco en el puerto de Palamós, dependiente de la administración autonómica, que iba a servir de alojamiento temporal a los integrantes del despliegue policial destacado para asegurar el cumplimiento de la legalidad. De otra, la puesta a disposición del referéndum prohibido de locales gerenciados por el Departament de Territorio y Sostenibilidad del que era responsable.</w:t>
      </w:r>
    </w:p>
    <w:p w:rsidR="005728DD" w:rsidRDefault="005728DD" w:rsidP="005728DD">
      <w:pPr>
        <w:pStyle w:val="TextoNormal"/>
      </w:pPr>
    </w:p>
    <w:p w:rsidR="005728DD" w:rsidRDefault="005728DD" w:rsidP="005728DD">
      <w:pPr>
        <w:pStyle w:val="TextoNormal"/>
      </w:pPr>
      <w:r>
        <w:t xml:space="preserve">[…] Es preciso reiterar una última consideración sobre la autoría del delito por el que formulamos condena. La acción típica no requiere, para colmar la autoría, la realización </w:t>
      </w:r>
      <w:r>
        <w:lastRenderedPageBreak/>
        <w:t>personal de un acto material que suponga el alzamiento público y tumultuario con las finalidades previstas en el tipo penal. Se trata de un delito en el que lo relevante es situarse en las vías de hecho, promover desde la propia responsabilidad el incumplimiento de las resoluciones administrativas y judiciales. Se trata, en fin, de optar de forma decidida por una derogación fáctica del sistema normativo vigente y de la capacidad de ejercicio de la función jurisdiccional en un determinado ámbito territorial. Y esto es precisamente lo que hizo el acusado Sr. Rull. El delito de sedición se comete con actos de alzamiento, pero también con actos típicos que propicien el alzamiento de otros. Dicho con otras palabras, la autoría del delito no viene dada solo por la materialización efectiva del alzamiento,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 Desde esta perspectiva, es evidente que la acción de impedir el atraque de una embarcación destinada por el Estado a cubrir las necesidades de un destacamento dispuesto para asegurar el cumplimiento de la legalidad, la participación personal y directa en la convocatoria del referéndum, la presentación de las fechas y de la pregunta del referéndum ilegal, la constitución de la autoridad electoral, la prestación de locales para su ejecución y, en fin, las manifestaciones encaminadas a alentar la celebración de la consulta ilegal, suponen actos de indudable encaje típico en el delito de sedición por el que se ha formulado acusación”.</w:t>
      </w:r>
    </w:p>
    <w:p w:rsidR="005728DD" w:rsidRDefault="005728DD" w:rsidP="005728DD">
      <w:pPr>
        <w:pStyle w:val="TextoNormal"/>
      </w:pPr>
    </w:p>
    <w:p w:rsidR="005728DD" w:rsidRDefault="005728DD" w:rsidP="005728DD">
      <w:pPr>
        <w:pStyle w:val="TextoNormal"/>
      </w:pPr>
      <w:r>
        <w:t>q) En el apartado D) de la fundamentación jurídica de la sentencia se contiene la justificación de la individualización de las penas impuestas. En lo que se refiere al recurrente, se realiza en los siguientes términos:</w:t>
      </w:r>
    </w:p>
    <w:p w:rsidR="005728DD" w:rsidRDefault="005728DD" w:rsidP="005728DD">
      <w:pPr>
        <w:pStyle w:val="TextoNormal"/>
      </w:pPr>
    </w:p>
    <w:p w:rsidR="005728DD" w:rsidRDefault="005728DD" w:rsidP="005728DD">
      <w:pPr>
        <w:pStyle w:val="TextoNormal"/>
      </w:pPr>
      <w:r>
        <w:t>“2.- Delito de sedición</w:t>
      </w:r>
    </w:p>
    <w:p w:rsidR="005728DD" w:rsidRDefault="005728DD" w:rsidP="005728DD">
      <w:pPr>
        <w:pStyle w:val="TextoNormal"/>
      </w:pPr>
    </w:p>
    <w:p w:rsidR="005728DD" w:rsidRDefault="005728DD" w:rsidP="005728DD">
      <w:pPr>
        <w:pStyle w:val="TextoNormal"/>
      </w:pPr>
      <w:r>
        <w:t>[…] Los Sres. […] y Rull eran miembros del Govern.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 […] Participaba[n] […] del carácter de autoridad”.</w:t>
      </w:r>
    </w:p>
    <w:p w:rsidR="005728DD" w:rsidRDefault="005728DD" w:rsidP="005728DD">
      <w:pPr>
        <w:pStyle w:val="TextoNormal"/>
      </w:pPr>
    </w:p>
    <w:p w:rsidR="005728DD" w:rsidRDefault="005728DD" w:rsidP="005728DD">
      <w:pPr>
        <w:pStyle w:val="TextoNormal"/>
      </w:pPr>
      <w:r>
        <w:t>r) En fecha 21 de octubre de 2019 se solicitó el complemento de la sentencia, al considerar que se había omitido el pronunciamiento sobre determinadas pretensiones formuladas. La sala acordó no haber lugar a ese complemento en auto dictado el 18 de noviembre de 2019.</w:t>
      </w:r>
    </w:p>
    <w:p w:rsidR="005728DD" w:rsidRDefault="005728DD" w:rsidP="005728DD">
      <w:pPr>
        <w:pStyle w:val="TextoNormal"/>
      </w:pPr>
    </w:p>
    <w:p w:rsidR="005728DD" w:rsidRDefault="005728DD" w:rsidP="005728DD">
      <w:pPr>
        <w:pStyle w:val="TextoNormal"/>
      </w:pPr>
      <w:r>
        <w:t>s) Frente a la referida sentencia, en fecha 8 de noviembre de 2019, el representante procesal del ahora recurrente interpuso incidente de nulidad de actuaciones (art. 241 LOPJ) interesando en el suplico que se acordara su nulidad, dictando la sala otra en términos que permitiera reparar las vulneraciones de derechos cometidas.</w:t>
      </w:r>
    </w:p>
    <w:p w:rsidR="005728DD" w:rsidRDefault="005728DD" w:rsidP="005728DD">
      <w:pPr>
        <w:pStyle w:val="TextoNormal"/>
      </w:pPr>
    </w:p>
    <w:p w:rsidR="005728DD" w:rsidRDefault="005728DD" w:rsidP="005728DD">
      <w:pPr>
        <w:pStyle w:val="TextoNormal"/>
      </w:pPr>
      <w:r>
        <w:t xml:space="preserve">A efectos de su fundamentación, se recuerda ante todo que dicha parte procesal ha denunciado diversas vulneraciones de sus derechos fundamentales, tanto en el escrito de cuestiones previas como en el de conclusiones definitivas, y que esas alegaciones obtuvieron respuesta en la sentencia, si bien en términos de los que discrepa por no haber reparado los </w:t>
      </w:r>
      <w:r>
        <w:lastRenderedPageBreak/>
        <w:t>derechos lesionados. Por ello, “para que no quede duda sobre su voluntad impugnativa” se reiteran aquellas denuncias, “ofreciendo así a la Sala la posibilidad de repararlas sobre la base de los mismos argumentos ya expuestos por esta parte en fases procesales previa”.</w:t>
      </w:r>
    </w:p>
    <w:p w:rsidR="005728DD" w:rsidRDefault="005728DD" w:rsidP="005728DD">
      <w:pPr>
        <w:pStyle w:val="TextoNormal"/>
      </w:pPr>
    </w:p>
    <w:p w:rsidR="005728DD" w:rsidRDefault="005728DD" w:rsidP="005728DD">
      <w:pPr>
        <w:pStyle w:val="TextoNormal"/>
      </w:pPr>
      <w:r>
        <w:t>Prosigue después el escrito indicando que la sentencia de condena ha traído consigo otras seis vulneraciones constitucionales, “y que, por tanto, esta defensa no ha podido denunciar previamente. Así las cosas, salvo algunas alegaciones procesales por vulneración del art. 24 CE en ciertos extremos de la sentencia, el presente escrito se centrará sobre todo en la alegación de vulneraciones relacionadas con el principio de legalidad, que esta defensa no ha podido denunciar hasta el momento en que ha conocido los concretos tipos penales aplicados y la fundamentación de su subsunción”.</w:t>
      </w:r>
    </w:p>
    <w:p w:rsidR="005728DD" w:rsidRDefault="005728DD" w:rsidP="005728DD">
      <w:pPr>
        <w:pStyle w:val="TextoNormal"/>
      </w:pPr>
    </w:p>
    <w:p w:rsidR="005728DD" w:rsidRDefault="005728DD" w:rsidP="005728DD">
      <w:pPr>
        <w:pStyle w:val="TextoNormal"/>
      </w:pPr>
      <w:r>
        <w:t xml:space="preserve">Tales vulneraciones, cada una acompañada de la correspondiente argumentación, son las siguientes: (i) “Vulneración del derecho a un proceso con todas las garantías (arts. 24 CE y 6 CEDH) por la filtración del contenido de la sentencia cuando su redacción no había sido todavía culminada”; (ii) “Vulneración del art. 24 CE (art. 6 CEDH) en relación con el art. 25.1 (art. 7 CEDH) y 120.3 CE por no motivación de la individualización de la pena y vulneración del principio </w:t>
      </w:r>
      <w:r w:rsidRPr="005728DD">
        <w:rPr>
          <w:i/>
        </w:rPr>
        <w:t>non bis in idem</w:t>
      </w:r>
      <w:r>
        <w:t xml:space="preserve">”; (iii) “Vulneración del derecho fundamental a la legalidad (arts. 25 CE y 7 CEDH) por abandono </w:t>
      </w:r>
      <w:r w:rsidRPr="005728DD">
        <w:rPr>
          <w:i/>
        </w:rPr>
        <w:t>ad hoc</w:t>
      </w:r>
      <w:r>
        <w:t xml:space="preserve"> del principio de accesoriedad en la participación”; (iv) “Vulneración del derecho fundamental a la legalidad (art. 25 CE) en relación con los derechos fundamentales a la libertad, reunión pacífica y libertad de expresión e ideológica (arts. 17, 20 y 21 CE) por la insuficiente taxatividad del tipo penal de la sedición”; (v) “Vulneración del derecho fundamental a la legalidad penal (art. 25 CE y 7 CEDH) por aplicación analógica del delito de sedición a los hechos enjuiciados, que eran subsumibles en el derogado tipo de convocatoria ilegal de referéndum”; (vi) “Vulneración del derecho fundamental a la legalidad penal por imposición de una pena desproporcionada (art. 25 CE en relación con el art. 17 CE y el art. 49 CDFUE) lesionándose asimismo los derechos fundamentales a la libertad, reunión pacífica y libertad de expresión e ideológica (arts. 17, 20 y 21 CE)”.</w:t>
      </w:r>
    </w:p>
    <w:p w:rsidR="005728DD" w:rsidRDefault="005728DD" w:rsidP="005728DD">
      <w:pPr>
        <w:pStyle w:val="TextoNormal"/>
      </w:pPr>
    </w:p>
    <w:p w:rsidR="005728DD" w:rsidRDefault="005728DD" w:rsidP="005728DD">
      <w:pPr>
        <w:pStyle w:val="TextoNormal"/>
      </w:pPr>
      <w:r>
        <w:t>Tras el suplico, por medio de otrosí digo primero se dejó sentado “que a los efectos de eventual recurso de amparo y posterior demanda ante el Tribunal Europeo de Derechos Humanos se tenga por denunciada la vulneración de los arts. 17, 20, 21, 24 y 25 CE y los arts. 4, 5, 6, 7, 9, 10 y 11 CEDH, sin perjuicio de las denuncias contenidas en el escrito de conclusiones definitivas que han sido ya respondidas en la sentencia cuya nulidad se promueve”.</w:t>
      </w:r>
    </w:p>
    <w:p w:rsidR="005728DD" w:rsidRDefault="005728DD" w:rsidP="005728DD">
      <w:pPr>
        <w:pStyle w:val="TextoNormal"/>
      </w:pPr>
    </w:p>
    <w:p w:rsidR="005728DD" w:rsidRDefault="005728DD" w:rsidP="005728DD">
      <w:pPr>
        <w:pStyle w:val="TextoNormal"/>
      </w:pPr>
      <w:r>
        <w:t>Y por otrosí segundo digo, se solicitó: “que a fin de garantizar la imparcialidad de la Sala en la resolución del presente incidente se interesa que la composición personal del tribunal sea distinta de aquella que celebró el juicio oral”.</w:t>
      </w:r>
    </w:p>
    <w:p w:rsidR="005728DD" w:rsidRDefault="005728DD" w:rsidP="005728DD">
      <w:pPr>
        <w:pStyle w:val="TextoNormal"/>
      </w:pPr>
    </w:p>
    <w:p w:rsidR="005728DD" w:rsidRDefault="005728DD" w:rsidP="005728DD">
      <w:pPr>
        <w:pStyle w:val="TextoNormal"/>
      </w:pPr>
      <w:r>
        <w:t>t) Con fecha 29 de enero de 2020, la Sala Segunda del Tribunal Supremo dictó auto por el que se acordó la desestimación de los incidentes de nulidad promovidos por la representación de los procesados, ya condenados, así como por el partido político Vox. Del mismo modo se acordó rectificar el error material sobre el cargo público ostentado por doña Dolors Bassa, identificada en el apartado 9.</w:t>
      </w:r>
      <w:r w:rsidRPr="005728DD">
        <w:rPr>
          <w:i/>
        </w:rPr>
        <w:t>1 in fi</w:t>
      </w:r>
      <w:r>
        <w:t>ne de los hechos probados como titular del Departamento de Enseñanza, además del de Trabajo, manteniendo en su integridad las restantes referencias a la consejería de que era titular.</w:t>
      </w:r>
    </w:p>
    <w:p w:rsidR="005728DD" w:rsidRDefault="005728DD" w:rsidP="005728DD">
      <w:pPr>
        <w:pStyle w:val="TextoNormal"/>
      </w:pPr>
    </w:p>
    <w:p w:rsidR="005728DD" w:rsidRDefault="005728DD" w:rsidP="005728DD">
      <w:pPr>
        <w:pStyle w:val="TextoNormal"/>
      </w:pPr>
      <w:r>
        <w:t>Los motivos del incidente de nulidad del aquí recurrente en amparo se resuelven por la sala en su fundamento de derecho 7, limitándose al examen de las vulneraciones que se denunciaron como producidas por la sentencia o en virtud de actuaciones inmediatamente anteriores a su dictado y notificación (como la filtración a la prensa). Todas ellas con resultado desestimatorio, con remisión en algunas a lo razonado respecto de la misma causa de nulidad para otros acusados.</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se dirige contra la sentencia de la Sala Segunda del Tribunal Supremo de 14 de octubre de 2019, y contra el auto del mismo tribunal de 29 de enero de 2020, que desestimó el incidente de nulidad de actuaciones promovido contra aquella por las “vulneraciones de derechos que no pudieron ser alegadas con anterioridad” a ser dictada. Más en concreto, se alegan los siguientes motivos:</w:t>
      </w:r>
    </w:p>
    <w:p w:rsidR="005728DD" w:rsidRDefault="005728DD" w:rsidP="005728DD">
      <w:pPr>
        <w:pStyle w:val="TextoNormal"/>
      </w:pPr>
    </w:p>
    <w:p w:rsidR="005728DD" w:rsidRDefault="005728DD" w:rsidP="005728DD">
      <w:pPr>
        <w:pStyle w:val="TextoNormal"/>
      </w:pPr>
      <w:r>
        <w:t>3.1. Vulneración del derecho al juez ordinario predeterminado por la ley (arts. 24 CE y 6 CEDH), por haber asumido el Tribunal Supremo una competencia territorial que no le correspondía para enjuiciar los hechos, privando adicionalmente a mi mandante de su derecho a la doble instancia [art. 2 del Protocolo núm.7 del Convenio europeo de derechos humanos (CEDH)].</w:t>
      </w:r>
    </w:p>
    <w:p w:rsidR="005728DD" w:rsidRDefault="005728DD" w:rsidP="005728DD">
      <w:pPr>
        <w:pStyle w:val="TextoNormal"/>
      </w:pPr>
    </w:p>
    <w:p w:rsidR="005728DD" w:rsidRDefault="005728DD" w:rsidP="005728DD">
      <w:pPr>
        <w:pStyle w:val="TextoNormal"/>
      </w:pPr>
      <w:r>
        <w:t>Se alega que la asunción de esta causa por la Sala Segunda del Tribunal Supremo supone la privación para dicho recurrente de su derecho “al juez natural”, es decir, la Sala de lo Civil y Penal del Tribunal Superior de Justicia de Cataluña, decisión que responde a una interpretación “forzada e irrazonable” de las normas procesales, en concreto del art. 57.2 del Estatuto de Autonomía de Cataluña (EAC), y que resulta además contradictoria con previos pronunciamientos de dicha Sala en casos similares. Como resultado de esta lesión se ha producido también la de su derecho a un recurso efectivo contra su condena, reconocido en el art. 2 del Protocolo núm. 7 CEDH. El escrito discrepa de la desestimación de esta queja dada por la Sala tanto en su auto de 27 de diciembre de 2018, resolutorio de los artículos de previo pronunciamiento, como en la sentencia de condena. A tal efecto, cita el art. 57.2 EAC, que dispone la competencia del Tribunal Superior de Justicia de Cataluña “en las causas contra los diputados”, reservando la competencia del Tribunal Supremo cuando los hechos se cometan “fuera del territorio de Cataluña”. Del mismo modo, reseña el acuerdo del Pleno no jurisdiccional de la Sala Segunda del Tribunal Supremo de fecha 3 de febrero de 2005, por el que se considera que “el delito se comete en todas las jurisdicciones en las que se haya realizado algún elemento del tipo”. De esta forma, se niega por el recurrente que alguno de los elementos típicos de los delitos de los que se le acusó haya podido acaecer fuera del territorio de la Comunidad Autónoma de Cataluña: sea el delito de “rebelión/sedición”, como el de malversación de caudales públicos (art. 432 en relación con el art. 252 CP). En cuanto al primero de ellos, se reprocha a la sala que haya acuñado conceptos hasta entonces inaplicados, como decir que los actos de la rebelión/sedición están vinculados al “elemento tendencial del delito”.</w:t>
      </w:r>
    </w:p>
    <w:p w:rsidR="005728DD" w:rsidRDefault="005728DD" w:rsidP="005728DD">
      <w:pPr>
        <w:pStyle w:val="TextoNormal"/>
      </w:pPr>
    </w:p>
    <w:p w:rsidR="005728DD" w:rsidRDefault="005728DD" w:rsidP="005728DD">
      <w:pPr>
        <w:pStyle w:val="TextoNormal"/>
      </w:pPr>
      <w:r>
        <w:t xml:space="preserve">También se combate la apreciación de la sala de que la fijación de la competencia territorial incluye no solo los elementos objetivos sino los subjetivos del delito, siendo que estos segundos “son aquellos que acontecen en el fuero interno de los procesados, no constando en los hechos objeto de acusación que ninguno de dichos procesados hiciera o pensara nada penalmente relevante encontrándose fuera del territorio catalán”. Añade que los criterios </w:t>
      </w:r>
      <w:r>
        <w:lastRenderedPageBreak/>
        <w:t>expuestos por la Sala entran en contradicción con el que esta ha aplicado respecto del delito de desobediencia, “que sí consideró cometido íntegramente en Cataluña, pese a que ambos tipos penales guardaban relación con decisiones tomadas por miembros del Gobierno de la Generalitat y del Parlament”.</w:t>
      </w:r>
    </w:p>
    <w:p w:rsidR="005728DD" w:rsidRDefault="005728DD" w:rsidP="005728DD">
      <w:pPr>
        <w:pStyle w:val="TextoNormal"/>
      </w:pPr>
    </w:p>
    <w:p w:rsidR="005728DD" w:rsidRDefault="005728DD" w:rsidP="005728DD">
      <w:pPr>
        <w:pStyle w:val="TextoNormal"/>
      </w:pPr>
      <w:r>
        <w:t>Critica asimismo que el Tribunal Supremo “limitara su competencia al exclusivo enjuiciamiento de los máximos responsables políticos y a los líderes de las asociaciones civiles, estuvieran o no aforados”, dando lugar a una “fragmentación del procedimiento muy difícil de entender y justificar” con base no en la condición de aforado sino en “unas reglas de conexidad difícilmente comprensibles y contradictorias con pronunciamientos anteriores recientes del propio Tribunal Supremo que, por ejemplo, en la causa seguida contra el diputado Francesc Homs por la denominada ‘consulta del 9-N’ (STS 972/2017), se asumió exclusivamente la competencia para conocer de la responsabilidad del acusado que tenía la condición de aforado, reservando para el Tribunal Superior de Justicia de Cataluña el enjuiciamiento de los restantes miembros del Gobierno y de su propio presidente M.H. Artur Mas”.</w:t>
      </w:r>
    </w:p>
    <w:p w:rsidR="005728DD" w:rsidRDefault="005728DD" w:rsidP="005728DD">
      <w:pPr>
        <w:pStyle w:val="TextoNormal"/>
      </w:pPr>
    </w:p>
    <w:p w:rsidR="005728DD" w:rsidRDefault="005728DD" w:rsidP="005728DD">
      <w:pPr>
        <w:pStyle w:val="TextoNormal"/>
      </w:pPr>
      <w:r>
        <w:t>Niega validez también al criterio expuesto por la Sala Segunda en la sentencia, en el sentido de que, al alcanzar el recurrente la condición de diputado en el Congreso, la competencia en todo caso iba a ser de dicha sala, porque: (i) cuando este hecho sucedió “el juicio ya se había abierto y se estaba celebrando y porque, según la propia doctrina de la Sala Segunda, una vez abierto el juicio oral la jurisdicción es improrrogable (acuerdo del Pleno de la Sala Segunda de 2/12/2014)”; y (ii) el posible acceso al cargo de diputado no era más que una hipótesis, de hecho dejó de serlo ya antes (por Real Decreto 551/2019, de 24 de septiembre, de disolución de las Cortes) de la fecha en que se dictó la sentencia (el 14 de octubre de 2019) “y pese a ello, el Tribunal Supremo no dejó de dictar sentencia […] ni declinó de su jurisdicción en favor de los tribunales radicados en territorio catalán”.</w:t>
      </w:r>
    </w:p>
    <w:p w:rsidR="005728DD" w:rsidRDefault="005728DD" w:rsidP="005728DD">
      <w:pPr>
        <w:pStyle w:val="TextoNormal"/>
      </w:pPr>
    </w:p>
    <w:p w:rsidR="005728DD" w:rsidRDefault="005728DD" w:rsidP="005728DD">
      <w:pPr>
        <w:pStyle w:val="TextoNormal"/>
      </w:pPr>
      <w:r>
        <w:t xml:space="preserve">La demanda invoca la STC 183/1999, en cuanto al control de las reglas de competencia y el derecho al juez ordinario predeterminado por la ley (art. 24 CE); y dice que la aplicación de criterios </w:t>
      </w:r>
      <w:r w:rsidRPr="005728DD">
        <w:rPr>
          <w:i/>
        </w:rPr>
        <w:t>ad hoc</w:t>
      </w:r>
      <w:r>
        <w:t xml:space="preserve"> para asumir la competencia es también “síntoma claro de arbitrariedad”.</w:t>
      </w:r>
    </w:p>
    <w:p w:rsidR="005728DD" w:rsidRDefault="005728DD" w:rsidP="005728DD">
      <w:pPr>
        <w:pStyle w:val="TextoNormal"/>
      </w:pPr>
    </w:p>
    <w:p w:rsidR="005728DD" w:rsidRDefault="005728DD" w:rsidP="005728DD">
      <w:pPr>
        <w:pStyle w:val="TextoNormal"/>
      </w:pPr>
      <w:r>
        <w:t>Finalmente, culmina esta primera alegación aduciendo el padecimiento de una segunda lesión como consecuencia de la ya expuesta: la del derecho a la segunda instancia, derecho que obligaba a una interpretación restrictiva de los criterios para asumir esta causa por parte de la Sala Segunda del Tribunal Supremo. Ello ha supuesto sacrificar la posibilidad de que los acusados, aforados o no, pudieran recurrir su condena, como así habría sido si esta se dicta en instancia por el Tribunal Superior de Justicia de Cataluña, vulnerándose “el art. 24 CE y el art. 2 del Protocolo núm.7 adjunto al CEDH”.</w:t>
      </w:r>
    </w:p>
    <w:p w:rsidR="005728DD" w:rsidRDefault="005728DD" w:rsidP="005728DD">
      <w:pPr>
        <w:pStyle w:val="TextoNormal"/>
      </w:pPr>
    </w:p>
    <w:p w:rsidR="005728DD" w:rsidRDefault="005728DD" w:rsidP="005728DD">
      <w:pPr>
        <w:pStyle w:val="TextoNormal"/>
      </w:pPr>
      <w:r>
        <w:t>3.2. Vulneración del derecho de defensa (arts. 24 CE y 6 CEDH) por no haberse permitido a los acusados declarar en su lengua materna con un sistema de traducción simultánea y por haberse impedido el empleo del catalán a testigos propuestos por la defensa. Vulneración asimismo del derecho a la no discriminación por razón de lengua (arts. 14 CE y 14 CEDH).</w:t>
      </w:r>
    </w:p>
    <w:p w:rsidR="005728DD" w:rsidRDefault="005728DD" w:rsidP="005728DD">
      <w:pPr>
        <w:pStyle w:val="TextoNormal"/>
      </w:pPr>
    </w:p>
    <w:p w:rsidR="005728DD" w:rsidRDefault="005728DD" w:rsidP="005728DD">
      <w:pPr>
        <w:pStyle w:val="TextoNormal"/>
      </w:pPr>
      <w:r>
        <w:t>La queja se enuncia tanto respecto de los procesados, entre ellos el aquí recurrente, como respecto de los testigos:</w:t>
      </w:r>
    </w:p>
    <w:p w:rsidR="005728DD" w:rsidRDefault="005728DD" w:rsidP="005728DD">
      <w:pPr>
        <w:pStyle w:val="TextoNormal"/>
      </w:pPr>
    </w:p>
    <w:p w:rsidR="005728DD" w:rsidRDefault="005728DD" w:rsidP="005728DD">
      <w:pPr>
        <w:pStyle w:val="TextoNormal"/>
      </w:pPr>
      <w:r>
        <w:t>a) Sobre los primeros, se recuerda que varias defensas, entre ellas la del demandante, solicitaron a la Sala poder declarar en la vista oral en su lengua materna, el catalán, con un sistema de traducción simultánea, lo que fue denegado, permitiéndose en cambio que se expresaran en catalán, pero con un sistema de traducción sucesiva. Según se indica en la demanda, del art. 123.2 LECrim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 desprende la preferencia por la utilización del sistema de traducción simultánea, por lo que solo debe acudirse a la traducción sucesiva cuando no sea posible habilitar aquella. La traducción sucesiva es menos ágil, pues para que el acusado responda debe esperar a la correspondiente traducción, “duplicándose el tiempo de duración de los interrogatorios”. Esto llevó a que los procesados, “se vieran forzados, en contra de su voluntad inicial, a desistir de expresarse en su lengua materna”.</w:t>
      </w:r>
    </w:p>
    <w:p w:rsidR="005728DD" w:rsidRDefault="005728DD" w:rsidP="005728DD">
      <w:pPr>
        <w:pStyle w:val="TextoNormal"/>
      </w:pPr>
    </w:p>
    <w:p w:rsidR="005728DD" w:rsidRDefault="005728DD" w:rsidP="005728DD">
      <w:pPr>
        <w:pStyle w:val="TextoNormal"/>
      </w:pPr>
      <w:r>
        <w:t>El derecho fundamental a la defensa debe garantizar en estos casos el uso de la lengua materna, lo que permite al procesado entender mejor las preguntas que se le hacen y responderlas con mayor fluidez. El catalán es lengua oficial en el territorio de residencia de los procesados, “al que alcanza la jurisdicción del Tribunal Supremo”. El art. 6.2 EAC “reconoce el derecho de sus ciudadanos a expresarse en catalán y obliga a los poderes públicos a garantizar el ejercicio de tal derecho”.</w:t>
      </w:r>
    </w:p>
    <w:p w:rsidR="005728DD" w:rsidRDefault="005728DD" w:rsidP="005728DD">
      <w:pPr>
        <w:pStyle w:val="TextoNormal"/>
      </w:pPr>
    </w:p>
    <w:p w:rsidR="005728DD" w:rsidRDefault="005728DD" w:rsidP="005728DD">
      <w:pPr>
        <w:pStyle w:val="TextoNormal"/>
      </w:pPr>
      <w:r>
        <w:t>Para el recurrente, no es aceptable la desestimación de esta queja efectuada por la sentencia, mediante la invocación del principio de publicidad del proceso. Dicho principio, con ser importante, no puede considerarse superior al derecho de defensa “de quien es acusado por delitos que conllevan penas de más de una década de prisión”. Nada impedía, para salvaguardar la publicidad, que “la traducción simultánea pudiera ser oída también por quienes seguían el juicio a través de la televisión e incluso por los presentes en la Sala mediante auriculares”.</w:t>
      </w:r>
    </w:p>
    <w:p w:rsidR="005728DD" w:rsidRDefault="005728DD" w:rsidP="005728DD">
      <w:pPr>
        <w:pStyle w:val="TextoNormal"/>
      </w:pPr>
    </w:p>
    <w:p w:rsidR="005728DD" w:rsidRDefault="005728DD" w:rsidP="005728DD">
      <w:pPr>
        <w:pStyle w:val="TextoNormal"/>
      </w:pPr>
      <w:r>
        <w:t>Además del menoscabo al derecho de defensa (art. 24.1 CE), la negativa a permitir la traducción simultánea se considera por el recurrente una discriminación contraria al art. 14 CE, desde dos perspectivas: (i) “en comparación con el trato dispensado a cualquier ciudadano español cuya lengua materna sea el castellano”, ya que a diferencia de estos, los catalanohablantes tienen que “soportar la carga (absolutamente evitable) de una prolongación del juicio oral”, lo que se traduce en “un claro efecto desincentivador del ejercicio de los derechos lingüísticos”; y (ii) porque “es injustificable también que un catalanohablante pueda expresarse en catalán ante los órganos jurisdiccionales ubicados en Cataluña y, en cambio, no pueda hacerlo cuando es enjuiciado por el Tribunal Supremo por unos hechos cometidos en Cataluña”. Conecta así la demanda esta queja con la anterior, por haber asumido la competencia de la causa la Sala Segunda del Tribunal Supremo.</w:t>
      </w:r>
    </w:p>
    <w:p w:rsidR="005728DD" w:rsidRDefault="005728DD" w:rsidP="005728DD">
      <w:pPr>
        <w:pStyle w:val="TextoNormal"/>
      </w:pPr>
    </w:p>
    <w:p w:rsidR="005728DD" w:rsidRDefault="005728DD" w:rsidP="005728DD">
      <w:pPr>
        <w:pStyle w:val="TextoNormal"/>
      </w:pPr>
      <w:r>
        <w:t xml:space="preserve">b) En cuanto a los testigos, la decisión de la sala vulneró el derecho de defensa durante la práctica de la prueba testifical de quienes deseaban y no pudieron expresarse en catalán, ni siquiera con la ayuda de un intérprete, “siendo reprendidos y apercibidos con sanciones por parte del señor presidente” de la sala (se pone como ejemplo la declaración del testigo señor Lluís Matamala). Esto trajo consigo que tuvieran que expresarse en una lengua que </w:t>
      </w:r>
      <w:r>
        <w:lastRenderedPageBreak/>
        <w:t>hablan con menor fluidez (el castellano), afectando “a la credibilidad de su testimonio”. La Sala basó la prohibición de que declararan en catalán mediante una interpretación del art. 231.3 LOPJ (“[l]as partes, sus representantes y quienes les dirijan, así como los testigos y peritos, podrán utilizar la lengua que sea también oficial en la Comunidad Autónoma en cuyo territorio tengan lugar las actuaciones judiciales, tanto en manifestaciones orales como escritas”), que “resulta absolutamente opuesta al art. 3.2 y 14 CE”, sin que se desprenda “una prohibición de hablar en catalán cuando las actuaciones tengan lugar ante un órgano judicial cuya jurisdicción territorial se extiende a toda la geografía española y cuando lo aconseje un adecuado ejercicio del derecho de defensa”, así como una “mínima sensibilidad” que aquí debió desplegarse.</w:t>
      </w:r>
    </w:p>
    <w:p w:rsidR="005728DD" w:rsidRDefault="005728DD" w:rsidP="005728DD">
      <w:pPr>
        <w:pStyle w:val="TextoNormal"/>
      </w:pPr>
    </w:p>
    <w:p w:rsidR="005728DD" w:rsidRDefault="005728DD" w:rsidP="005728DD">
      <w:pPr>
        <w:pStyle w:val="TextoNormal"/>
      </w:pPr>
      <w:r>
        <w:t>Finaliza este motivo diciendo que “por todo ello se interesa que se declare la vulneración de los arts. 24 y 14 CE y la nulidad de la resolución en este punto”.</w:t>
      </w:r>
    </w:p>
    <w:p w:rsidR="005728DD" w:rsidRDefault="005728DD" w:rsidP="005728DD">
      <w:pPr>
        <w:pStyle w:val="TextoNormal"/>
      </w:pPr>
    </w:p>
    <w:p w:rsidR="005728DD" w:rsidRDefault="005728DD" w:rsidP="005728DD">
      <w:pPr>
        <w:pStyle w:val="TextoNormal"/>
      </w:pPr>
      <w:r>
        <w:t>3.3. Vulneración del derecho a un juez imparcial (arts. 24 CE y 6 CEDH) por no haberse estimado las diversas recusaciones formuladas a lo largo del procedimiento por la defensa y por el rol inquisitivo asumido por el presidente del tribunal en el acto del juicio.</w:t>
      </w:r>
    </w:p>
    <w:p w:rsidR="005728DD" w:rsidRDefault="005728DD" w:rsidP="005728DD">
      <w:pPr>
        <w:pStyle w:val="TextoNormal"/>
      </w:pPr>
    </w:p>
    <w:p w:rsidR="005728DD" w:rsidRDefault="005728DD" w:rsidP="005728DD">
      <w:pPr>
        <w:pStyle w:val="TextoNormal"/>
      </w:pPr>
      <w:r>
        <w:t>Como indica su enunciado, se formulan aquí varias quejas anudadas a la lesión del mismo derecho fundamental:</w:t>
      </w:r>
    </w:p>
    <w:p w:rsidR="005728DD" w:rsidRDefault="005728DD" w:rsidP="005728DD">
      <w:pPr>
        <w:pStyle w:val="TextoNormal"/>
      </w:pPr>
    </w:p>
    <w:p w:rsidR="005728DD" w:rsidRDefault="005728DD" w:rsidP="005728DD">
      <w:pPr>
        <w:pStyle w:val="TextoNormal"/>
      </w:pPr>
      <w:r>
        <w:t>a) Recusaciones por falta de imparcialidad en la fase de instrucción: se reprocha tal circunstancia tanto al magistrado instructor como a la sala de recursos, puesta de manifiesto por el procesado don Jordi Sànchez en escritos a los que —afirma— se adhirió la defensa del aquí recurrente:</w:t>
      </w:r>
    </w:p>
    <w:p w:rsidR="005728DD" w:rsidRDefault="005728DD" w:rsidP="005728DD">
      <w:pPr>
        <w:pStyle w:val="TextoNormal"/>
      </w:pPr>
    </w:p>
    <w:p w:rsidR="005728DD" w:rsidRDefault="005728DD" w:rsidP="005728DD">
      <w:pPr>
        <w:pStyle w:val="TextoNormal"/>
      </w:pPr>
      <w:r>
        <w:t>(i) Se cuestiona en tal sentido que el magistrado instructor se refiriera, en algunas de sus resoluciones, a los hechos investigados como “la estrategia que sufrimos” (en concreto, en el auto de procesamiento de 21 de marzo de 2018, pág. 54, y en el auto de 12 de abril de 2018, pág. 54), es decir, “presentándose a sí mismo como víctima de tales hechos”. Denunciado este hecho ante la sala de recursos por la defensa del recurrente, la sala lo desestimó en auto de 18 de junio de 2018. Considera la demanda que, como ser humano, es entendible que el juez en su fuero interno pueda compartir la “percepción generalizada de la forma en que se fueron desarrollando los acontecimientos en Cataluña”, pero no expresar en sus resoluciones “abiertamente incomodidad o desazón”, “sensación de molestia o de incomodidad”, “tedio o atosigamiento” derivados de esos hechos […], no puede ser juez imparcial en el procedimiento en el que se persigue penalmente quien supuestamente le ha victimizado”. La imparcialidad “es una cuestión de fondo, pero también de apariencia” y cita al respecto el ATC 226/2002, de 20 de noviembre. Añade que esta cuestión fue respondida en la sentencia por remisión íntegra al auto de la sala de recursos de 18 de junio de 2018, no reparando por ello la lesión.</w:t>
      </w:r>
    </w:p>
    <w:p w:rsidR="005728DD" w:rsidRDefault="005728DD" w:rsidP="005728DD">
      <w:pPr>
        <w:pStyle w:val="TextoNormal"/>
      </w:pPr>
    </w:p>
    <w:p w:rsidR="005728DD" w:rsidRDefault="005728DD" w:rsidP="005728DD">
      <w:pPr>
        <w:pStyle w:val="TextoNormal"/>
      </w:pPr>
      <w:r>
        <w:t xml:space="preserve">(ii) Falta de imparcialidad de la sala de recursos que conoció de los recursos contra el magistrado instructor: se refiere, en particular, a la presencia en ella del magistrado don Francisco Monterde Ferrer. Esta lesión se denunció —dice la demanda— de manera reiterada por la defensa del procesado don Jordi Sànchez en los recursos que iba dirigiendo a dicho órgano, y la defensa del aquí recurrente se adhirió a ella en el escrito de cuestiones </w:t>
      </w:r>
      <w:r>
        <w:lastRenderedPageBreak/>
        <w:t>previas y en el de conclusiones definitivas, recordando que el Tribunal Constitucional consideró prematuras las quejas en este sentido “formuladas antes del fin del procedimiento” (recursos de amparo 2633-2018 y 3807-2018). La razón para cuestionar la imparcialidad del magistrado señor Monterde Ferrer se basa en su condición de “vicepresidente y miembro del comité ejecutivo” de la Asociación Profesional de la Magistratura, la cual en los meses anteriores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(la demanda a continuación transcribe literalmente, o con sus propias palabras, el contenido de algunos de esos mensajes).</w:t>
      </w:r>
    </w:p>
    <w:p w:rsidR="005728DD" w:rsidRDefault="005728DD" w:rsidP="005728DD">
      <w:pPr>
        <w:pStyle w:val="TextoNormal"/>
      </w:pPr>
    </w:p>
    <w:p w:rsidR="005728DD" w:rsidRDefault="005728DD" w:rsidP="005728DD">
      <w:pPr>
        <w:pStyle w:val="TextoNormal"/>
      </w:pPr>
      <w:r>
        <w:t xml:space="preserve">Señala la demanda que la denuncia de esta circunstancia ante la sala de recursos tuvo como resultado su rechazo </w:t>
      </w:r>
      <w:r w:rsidRPr="005728DD">
        <w:rPr>
          <w:i/>
        </w:rPr>
        <w:t>a limine</w:t>
      </w:r>
      <w:r>
        <w:t xml:space="preserve"> por esta, mediante providencia de 12 de febrero de 2018, de la que formó parte el propio magistrado recusado. Resolución recurrida en súplica y desestimada por providencia de “14/12/2018” (</w:t>
      </w:r>
      <w:r w:rsidRPr="005728DD">
        <w:rPr>
          <w:i/>
        </w:rPr>
        <w:t>rectius</w:t>
      </w:r>
      <w:r>
        <w:t>: 14/02/2018) de la misma sala de recursos, a lo que siguió un incidente de nulidad de actuaciones contra esta última resolución, que se desestimó por auto de “15/02/2018” (</w:t>
      </w:r>
      <w:r w:rsidRPr="005728DD">
        <w:rPr>
          <w:i/>
        </w:rPr>
        <w:t>sic</w:t>
      </w:r>
      <w:r>
        <w:t>) de la misma sala de recursos, con ponencia del magistrado Monterde. Todavía la defensa de don Jordi Sànchez —prosigue diciendo la demanda— promovió incidente de nulidad de actuaciones contra este último auto, alegando vulneración del derecho a un proceso con todas las garantías, que se desestimó por auto de 19 de abril de 2018. Por parte del aquí recurrente de amparo, se denunció esto en sus escritos de cuestiones previas y en el de conclusiones definitivas, obteniendo respuesta en la sentencia en los mismos términos de las resoluciones anteriores, en el sentido de que los mensajes eran anónimos, de lo que discrepa la demanda ya que la autoría debe atribuirse a la Asociación Profesional de la Magistratura como persona jurídica.</w:t>
      </w:r>
    </w:p>
    <w:p w:rsidR="005728DD" w:rsidRDefault="005728DD" w:rsidP="005728DD">
      <w:pPr>
        <w:pStyle w:val="TextoNormal"/>
      </w:pPr>
    </w:p>
    <w:p w:rsidR="005728DD" w:rsidRDefault="005728DD" w:rsidP="005728DD">
      <w:pPr>
        <w:pStyle w:val="TextoNormal"/>
      </w:pPr>
      <w:r>
        <w:t>b) Falta de imparcialidad en la fase de enjuiciamiento, por los motivos siguientes:</w:t>
      </w:r>
    </w:p>
    <w:p w:rsidR="005728DD" w:rsidRDefault="005728DD" w:rsidP="005728DD">
      <w:pPr>
        <w:pStyle w:val="TextoNormal"/>
      </w:pPr>
    </w:p>
    <w:p w:rsidR="005728DD" w:rsidRDefault="005728DD" w:rsidP="005728DD">
      <w:pPr>
        <w:pStyle w:val="TextoNormal"/>
      </w:pPr>
      <w:r>
        <w:t xml:space="preserve">(i) Por la presencia en la sala de enjuiciamiento, de varios magistrados que habían acordado la admisión a trámite de la querella presentada, habiéndose realizado en el auto de admisión un “amplio juicio de tipicidad”, “inusualmente extenso en sus razonamientos jurídico-sustantivos”, que fue más allá de un pronunciamiento para investigar una </w:t>
      </w:r>
      <w:r w:rsidRPr="005728DD">
        <w:rPr>
          <w:i/>
        </w:rPr>
        <w:t>notitia criminis</w:t>
      </w:r>
      <w:r>
        <w:t>. “Por tanto, dadas las circunstancias particulares del caso, es evidente que los magistrados que admitieron la querella tenían necesariamente prejuicios sobre la cuestión de fondo”.</w:t>
      </w:r>
    </w:p>
    <w:p w:rsidR="005728DD" w:rsidRDefault="005728DD" w:rsidP="005728DD">
      <w:pPr>
        <w:pStyle w:val="TextoNormal"/>
      </w:pPr>
    </w:p>
    <w:p w:rsidR="005728DD" w:rsidRDefault="005728DD" w:rsidP="005728DD">
      <w:pPr>
        <w:pStyle w:val="TextoNormal"/>
      </w:pPr>
      <w:r>
        <w:t>(ii) Por la circunstancia de que: “El señor instructor, la sala de recursos y los magistrados de la sala de enjuiciamiento fueran miembros todos ellos de un mismo órgano judicial” conforme lo previsto en el art. 57.2 LOPJ, razón por la que se sugirió “el planteamiento de una cuestión de inconstitucionalidad sobre las normas legales vigentes” que permiten que causas instruidas por un magistrado sean luego juzgadas “por compañeros de la misma Sala”, dejando así de garantizarse una “distancia” entre instructor y tribunal de enjuiciamiento que sí se garantiza “en cualquier otro procedimiento, no así a las personas aforadas”. Esta queja se desestimó por auto de la Sala del art. 61 LOPJ de 13 de septiembre de 2018, por considerarla prematura. La demanda aprovecha para volver a suscitar, ahora como sugerencia al Tribunal Constitucional, el “[auto] planteamiento de la citada cuestión de inconstitucionalidad respecto del art. 57.2 LOPJ”.</w:t>
      </w:r>
    </w:p>
    <w:p w:rsidR="005728DD" w:rsidRDefault="005728DD" w:rsidP="005728DD">
      <w:pPr>
        <w:pStyle w:val="TextoNormal"/>
      </w:pPr>
    </w:p>
    <w:p w:rsidR="005728DD" w:rsidRDefault="005728DD" w:rsidP="005728DD">
      <w:pPr>
        <w:pStyle w:val="TextoNormal"/>
      </w:pPr>
      <w:r>
        <w:lastRenderedPageBreak/>
        <w:t>(iii) Se formuló asimismo la recusación del presidente de la Sala de lo Penal, don Manuel Marchena Gómez, a raíz del mensaje enviado por la aplicación Whatsapp a numerosas personas por el senador del Partido Popular don Ignacio Cosidó, afirmando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 Esta queja fue desestimada por la Sala del art. 61 LOPJ, así como el posterior incidente de nulidad de actuaciones (la demanda no precisa la fecha de estas resoluciones), rechazando incluso tomar declaración como testigo al señor Cosidó, por lo que la defensa no pudo demostrar la concurrencia de esta causa de recusación.</w:t>
      </w:r>
    </w:p>
    <w:p w:rsidR="005728DD" w:rsidRDefault="005728DD" w:rsidP="005728DD">
      <w:pPr>
        <w:pStyle w:val="TextoNormal"/>
      </w:pPr>
    </w:p>
    <w:p w:rsidR="005728DD" w:rsidRDefault="005728DD" w:rsidP="005728DD">
      <w:pPr>
        <w:pStyle w:val="TextoNormal"/>
      </w:pPr>
      <w:r>
        <w:t>(iv) Porque “exactamente los mismos magistrados que dictaron la sentencia condenatoria de 14/10/2019 resolvieron el incidente de nulidad promovido contra ella, obviando por completo la petición expresa de esta defensa, formulada por otrosí en su escrito promoviendo dicho incidente, de que, al menos, se variase la composición personal de la Sala para garantizar la máxima imparcialidad del órgano revisor”, lo que en este caso era posible pero no se hizo. Y “como era de esperar, no advirtieron absolutamente ninguna vulneración de derechos fundamentales en la resolución que ellos mismos habían dictado unas semanas antes”.</w:t>
      </w:r>
    </w:p>
    <w:p w:rsidR="005728DD" w:rsidRDefault="005728DD" w:rsidP="005728DD">
      <w:pPr>
        <w:pStyle w:val="TextoNormal"/>
      </w:pPr>
    </w:p>
    <w:p w:rsidR="005728DD" w:rsidRDefault="005728DD" w:rsidP="005728DD">
      <w:pPr>
        <w:pStyle w:val="TextoNormal"/>
      </w:pPr>
      <w:r>
        <w:t>c) “En cuanto al rol inquisitivo asumido por el magistrado presidente”.</w:t>
      </w:r>
    </w:p>
    <w:p w:rsidR="005728DD" w:rsidRDefault="005728DD" w:rsidP="005728DD">
      <w:pPr>
        <w:pStyle w:val="TextoNormal"/>
      </w:pPr>
    </w:p>
    <w:p w:rsidR="005728DD" w:rsidRDefault="005728DD" w:rsidP="005728DD">
      <w:pPr>
        <w:pStyle w:val="TextoNormal"/>
      </w:pPr>
      <w:r>
        <w:t>Menciona la demanda que esta cuestión fue denunciada por la defensa del aquí recurrente en su escrito de conclusiones definitivas, en concreto, lo sucedido en la sesión de la vista oral del día 14 de marzo de 2019, en el interrogatorio como testigo del mayor del cuerpo de Mossos d’Esquadra, don Josep Lluís Trapero. Dado que este testigo fue propuesto por la representación de la acusación popular ejercida por el partido político Vox, el presidente del tribunal rechazó que el fiscal actuante le dirigiera una pregunta en relación con la reunión de la junta de seguridad que tuvo lugar el 28 de septiembre de 2017, siguiendo el criterio adoptado por la sala de permitir el interrogatorio solo de los hechos establecidos por la parte que hubiera propuesto al respectivo testigo. Sin embargo, prosigue, “de modo sorprendente, al amparo del art. 708 LECrim (cuyo apartado segundo dice que: “El presidente, por sí o a excitación de cualquiera de los miembros del tribunal, podrá dirigir a los testigos las preguntas que estime conducentes para depurar los hechos sobre los que declaren”), el Excmo. Sr. presidente formuló personalmente al testigo la pregunta que anteriormente había impedido formular a la fiscalía”.</w:t>
      </w:r>
    </w:p>
    <w:p w:rsidR="005728DD" w:rsidRDefault="005728DD" w:rsidP="005728DD">
      <w:pPr>
        <w:pStyle w:val="TextoNormal"/>
      </w:pPr>
    </w:p>
    <w:p w:rsidR="005728DD" w:rsidRDefault="005728DD" w:rsidP="005728DD">
      <w:pPr>
        <w:pStyle w:val="TextoNormal"/>
      </w:pPr>
      <w:r>
        <w:t xml:space="preserve">A criterio de la demanda, ese precepto no ampara que el tribunal “supla la función del Ministerio Fiscal formulando preguntas sobre materias acerca de las cuales la acusación no ha preguntado”, siendo incoherente que rechace preguntas “por ser ajenas al objeto de la testifical y luego el tribunal pregunte sobre ellas”. Y la prueba de que con ello el tribunal asumía un rol inquisitivo es que, tras formular la pregunta, se dio traslado a las defensas para poder repreguntar, trámite que no prevé la Ley de enjuiciamiento criminal, “y que supone aceptar una insólita situación de contradicción entre el interrogatorio de la presidencia y las defensas”. La demanda discrepa de la respuesta dada a este punto en la sentencia de condena e insiste en que la imparcialidad es también una cuestión de fondo, pero también </w:t>
      </w:r>
      <w:r>
        <w:lastRenderedPageBreak/>
        <w:t xml:space="preserve">de apariencias, con cita de la STEDH de 6 de noviembre de 2018, asunto </w:t>
      </w:r>
      <w:r w:rsidRPr="005728DD">
        <w:rPr>
          <w:i/>
        </w:rPr>
        <w:t>Otegi Mondragón y otros c. España</w:t>
      </w:r>
      <w:r>
        <w:t>, apartado 57. Finalmente, se critica la respuesta de la sentencia a las quejas de falta de imparcialidad, al aludir que en numerosos procedimientos previos relacionados con casos acontecidos en Cataluña no se había recusado a ningún magistrado de dicha sala, argumento que la demanda considera “inasumible, pues lo que sucediera en otros casos anteriores que afectan a otros procesados asistidos por otros letrados en nada prejuzga ni remedia lo acontecido en el presente”. Termina expresando que: “Todo ello determina la vulneración de lo previsto en los arts. 24 CE y 6 CEDH y debe conllevar la declaración de dicha vulneración y la nulidad de la resolución cuestionada”.</w:t>
      </w:r>
    </w:p>
    <w:p w:rsidR="005728DD" w:rsidRDefault="005728DD" w:rsidP="005728DD">
      <w:pPr>
        <w:pStyle w:val="TextoNormal"/>
      </w:pPr>
    </w:p>
    <w:p w:rsidR="005728DD" w:rsidRDefault="005728DD" w:rsidP="005728DD">
      <w:pPr>
        <w:pStyle w:val="TextoNormal"/>
      </w:pPr>
      <w:r>
        <w:t>3.4. Vulneración del principio de igualdad de armas por el trato desfavorable dispensado a las defensas por el tribunal en el acto del juicio oral (arts. 24 CE y 6 CEDH).</w:t>
      </w:r>
    </w:p>
    <w:p w:rsidR="005728DD" w:rsidRDefault="005728DD" w:rsidP="005728DD">
      <w:pPr>
        <w:pStyle w:val="TextoNormal"/>
      </w:pPr>
    </w:p>
    <w:p w:rsidR="005728DD" w:rsidRDefault="005728DD" w:rsidP="005728DD">
      <w:pPr>
        <w:pStyle w:val="TextoNormal"/>
      </w:pPr>
      <w:r>
        <w:t>Invocando el principio de igualdad de armas con cita de la STC 122/2013, la demanda alega como reveladores de esta vulneración los siguientes episodios procesales:</w:t>
      </w:r>
    </w:p>
    <w:p w:rsidR="005728DD" w:rsidRDefault="005728DD" w:rsidP="005728DD">
      <w:pPr>
        <w:pStyle w:val="TextoNormal"/>
      </w:pPr>
    </w:p>
    <w:p w:rsidR="005728DD" w:rsidRDefault="005728DD" w:rsidP="005728DD">
      <w:pPr>
        <w:pStyle w:val="TextoNormal"/>
      </w:pPr>
      <w:r>
        <w:t>a) Se permitió a las acusaciones “desbordar el objeto de pertinencia” de la parte que había propuesto a un testigo, pudiendo interrogarle sobre otros extremos, lo que sin embargo no se admitió a las defensas. Se pone como ejemplo la declaración del presidente del Parlamento de Cataluña, a quien se propuso para que esclareciera hechos de octubre de 2017 cuando solo era diputado, extendiendo las preguntas de la acusación popular a su etapa como presidente de la cámara; negando en cambio a la defensa el poder preguntarle sobre el referéndum del 1 de octubre de 2017. Se discrepa de la explicación dada en ese momento por la Sala a una queja del letrado del aquí recurrente, diciendo que era el tribunal el que fijaba las razones de pertinencia y el objeto de las preguntas. En el caso del testigo ya mencionado, como no había declarado en la instrucción las defensas no podían saber su grado de conocimiento de los hechos objeto de la acusación, por lo que “difícilmente podían haberle propuesto”. La sentencia de condena tampoco repara esta lesión con su respuesta a esta queja, que el aquí recurrente había hecho constar en su escrito de conclusiones definitivas, porque se presenta como voluntad de proteger a los procesados lo que es una desigualdad de trato.</w:t>
      </w:r>
    </w:p>
    <w:p w:rsidR="005728DD" w:rsidRDefault="005728DD" w:rsidP="005728DD">
      <w:pPr>
        <w:pStyle w:val="TextoNormal"/>
      </w:pPr>
    </w:p>
    <w:p w:rsidR="005728DD" w:rsidRDefault="005728DD" w:rsidP="005728DD">
      <w:pPr>
        <w:pStyle w:val="TextoNormal"/>
      </w:pPr>
      <w:r>
        <w:t>También critica que la sentencia haya reprochado a la defensa no haberlo propuesto “si tan importante era”, impidiendo este cambiante criterio de la Sala saber antes “sobre qué concretas materias se permitiría a las acusaciones interrogar a los testigos citados con voluntad incriminadora. Esta arbitraria, injustificada y desigual limitación de los interrogatorios supone una violación del derecho de defensa (art. 24. CE), así como del art. 6 CEDH, que reconoce a las defensas el derecho a interrogar en igualdad de condiciones a los testigos que declaren en contra de sus mandantes”.</w:t>
      </w:r>
    </w:p>
    <w:p w:rsidR="005728DD" w:rsidRDefault="005728DD" w:rsidP="005728DD">
      <w:pPr>
        <w:pStyle w:val="TextoNormal"/>
      </w:pPr>
    </w:p>
    <w:p w:rsidR="005728DD" w:rsidRDefault="005728DD" w:rsidP="005728DD">
      <w:pPr>
        <w:pStyle w:val="TextoNormal"/>
      </w:pPr>
      <w:r>
        <w:t>b) El “permitir hacer a las acusaciones preguntas a los acusados o testigos sobre su afiliación política e ideológica y, por el contrario, no permitir a las defensas preguntar sobre dichos particulares a testigos que depusieron en el acto de plenario”.</w:t>
      </w:r>
    </w:p>
    <w:p w:rsidR="005728DD" w:rsidRDefault="005728DD" w:rsidP="005728DD">
      <w:pPr>
        <w:pStyle w:val="TextoNormal"/>
      </w:pPr>
    </w:p>
    <w:p w:rsidR="005728DD" w:rsidRDefault="005728DD" w:rsidP="005728DD">
      <w:pPr>
        <w:pStyle w:val="TextoNormal"/>
      </w:pPr>
      <w:r>
        <w:t xml:space="preserve">Ejemplo de lo primero, las preguntas de las acusaciones a testigos de las defensas, sobre su pertenencia a la ANC o a la entidad Òmnium Cultural. En cambio, “la presidencia impidió preguntar a la letrada de la administración de justicia del Juzgado de Instrucción núm. </w:t>
      </w:r>
      <w:r>
        <w:lastRenderedPageBreak/>
        <w:t>13 de Barcelona —una testigo crucial, como se desprende de la propia sentencia condenatoria— si era seguidora de páginas web de la extrema derecha, cuando ello podía ser igualmente trascendente al efecto de conocer posibles sesgos de su testimonio”.</w:t>
      </w:r>
    </w:p>
    <w:p w:rsidR="005728DD" w:rsidRDefault="005728DD" w:rsidP="005728DD">
      <w:pPr>
        <w:pStyle w:val="TextoNormal"/>
      </w:pPr>
    </w:p>
    <w:p w:rsidR="005728DD" w:rsidRDefault="005728DD" w:rsidP="005728DD">
      <w:pPr>
        <w:pStyle w:val="TextoNormal"/>
      </w:pPr>
      <w:r>
        <w:t>Se discrepa de la respuesta dada a esta queja en la sentencia de condena, aludiendo a la notoriedad pública de la militancia política del testigo señor Gabriel Rufián, confundiendo la Sala su militancia en el partido ERC con “algo estrictamente privado como era su condición de afiliado a la ANC”.</w:t>
      </w:r>
    </w:p>
    <w:p w:rsidR="005728DD" w:rsidRDefault="005728DD" w:rsidP="005728DD">
      <w:pPr>
        <w:pStyle w:val="TextoNormal"/>
      </w:pPr>
    </w:p>
    <w:p w:rsidR="005728DD" w:rsidRDefault="005728DD" w:rsidP="005728DD">
      <w:pPr>
        <w:pStyle w:val="TextoNormal"/>
      </w:pPr>
      <w:r>
        <w:t>c) A los testigos de las acusaciones se les permitió “con total libertad exponer abiertamente sus valoraciones personales”, en concreto, a los policías que declararon a propuesta de las acusaciones, sobre las “caras de odio” de los votantes, el “clima hostil” que tuvieron que vivir el primero de octubre o comparar incluso lo sucedido con la situación que vivieron hace unos años en el País Vasco”, o en la declaración del teniente coronel Baena, que habló de un “clima insurreccional”. En cambio, “todas las valoraciones similares fueron cortadas de raíz por la presidencia”, poniendo el caso de la declaración de doña Marina Garcés, que fue interrumpida por el presidente.</w:t>
      </w:r>
    </w:p>
    <w:p w:rsidR="005728DD" w:rsidRDefault="005728DD" w:rsidP="005728DD">
      <w:pPr>
        <w:pStyle w:val="TextoNormal"/>
      </w:pPr>
    </w:p>
    <w:p w:rsidR="005728DD" w:rsidRDefault="005728DD" w:rsidP="005728DD">
      <w:pPr>
        <w:pStyle w:val="TextoNormal"/>
      </w:pPr>
      <w:r>
        <w:t>Se añade que a los testigos de la acusación se les permitió consultar sus notas, lo que sin embargo se censuró a testigos de las defensas, “como la citada señora Garcés o el señor Lluís Matamala”.</w:t>
      </w:r>
    </w:p>
    <w:p w:rsidR="005728DD" w:rsidRDefault="005728DD" w:rsidP="005728DD">
      <w:pPr>
        <w:pStyle w:val="TextoNormal"/>
      </w:pPr>
    </w:p>
    <w:p w:rsidR="005728DD" w:rsidRDefault="005728DD" w:rsidP="005728DD">
      <w:pPr>
        <w:pStyle w:val="TextoNormal"/>
      </w:pPr>
      <w:r>
        <w:t>d) La diferencia de trato dispensada por la Sala, en casos de “desmemoria” o “renuencia” de los testigos, según que esto sucediera al responder a preguntas de las acusaciones o de las defensas. En el primer caso se ponen como ejemplos las declaraciones de doña Soraya Sáenz de Santamaría, don Mariano Rajoy y don Ignacio Zoido, sin que “en ningún momento procedió la Sala a apercibirles con las penas previstas para los testigos renuentes”. Sí lo hizo, sin embargo, con la testigo doña Teresa Guix en la sesión del 6 de marzo, o con el testigo don Jaume Mestre en la sesión de 13 de marzo. Se discrepa de la respuesta dada a esta cuestión en la sentencia, considerando normal y explicables los olvidos de testigos “como el señor Rajoy”.</w:t>
      </w:r>
    </w:p>
    <w:p w:rsidR="005728DD" w:rsidRDefault="005728DD" w:rsidP="005728DD">
      <w:pPr>
        <w:pStyle w:val="TextoNormal"/>
      </w:pPr>
    </w:p>
    <w:p w:rsidR="005728DD" w:rsidRDefault="005728DD" w:rsidP="005728DD">
      <w:pPr>
        <w:pStyle w:val="TextoNormal"/>
      </w:pPr>
      <w:r>
        <w:t>e) “La tarde del día 11/04/2019 se le impidió al letrado del señor Rull interrogar a un testigo (inspector de policía núm. 087576, minuto 2h 5’ del vídeo) sobre lo que percibió respecto de un incidente en un colegio electoral (un aparente infarto padecido por un votante) cuando tal circunstancia formaba parte del escrito de acusación y previamente se había permitido al fiscal interrogar al respecto”. Se discrepa de la respuesta de la sentencia, en el sentido de que lo dicho por ese testigo sobre ese concreto hecho era intrascendente, cuando la propia sentencia recoge los “enfrentamientos” entre ciudadanos y policías de los que se derivaron lesiones.</w:t>
      </w:r>
    </w:p>
    <w:p w:rsidR="005728DD" w:rsidRDefault="005728DD" w:rsidP="005728DD">
      <w:pPr>
        <w:pStyle w:val="TextoNormal"/>
      </w:pPr>
    </w:p>
    <w:p w:rsidR="005728DD" w:rsidRDefault="005728DD" w:rsidP="005728DD">
      <w:pPr>
        <w:pStyle w:val="TextoNormal"/>
      </w:pPr>
      <w:r>
        <w:t xml:space="preserve">f) El “hecho de que la presidencia interrumpiera con mucha mayor frecuencia y predisposición los interrogatorios de las defensas y que adoptara respecto de sus letrados una actitud mucho más proactiva a la hora de censurar su manera de preguntar o de expresarse ante la Sala”. Se pone como ejemplo el reproche que dirigió el presidente de la Sala al letrado del aquí recurrente en la sesión de 27 de abril de 2019, cuando este utilizó la expresión “ley de ritos” para referirse a la Ley de enjuiciamiento criminal, lo que aquel consideró un “insulto a los procesalistas”, censurando en público al letrado. Defiende la demanda que </w:t>
      </w:r>
      <w:r>
        <w:lastRenderedPageBreak/>
        <w:t>dicha expresión ha sido utilizada por el propio Tribunal Supremo “en no menos de 1292 resoluciones”, y la expresión “ley rituaria” en 2520. Y, específicamente, la Sala Segunda ha utilizado la primera (ley de ritos) en 789 ocasiones, y la segunda (ley rituaria) en otras 863. “Tal actitud de la presidencia tuvo un efecto evidentemente negativo en el derecho de defensa, actuando como cortapisa a la hora de interrogar o de protestar, pues a ningún letrado le complace que le reprochen en público y en un juicio visto por miles de personas y escrutado permanentemente por los medios de comunicación supuestas faltas de solvencia en su desempeño profesional”. Se remite al material aportado como vídeo-documento V17 con la demanda de amparo, para su examen por el Tribunal Constitucional.</w:t>
      </w:r>
    </w:p>
    <w:p w:rsidR="005728DD" w:rsidRDefault="005728DD" w:rsidP="005728DD">
      <w:pPr>
        <w:pStyle w:val="TextoNormal"/>
      </w:pPr>
    </w:p>
    <w:p w:rsidR="005728DD" w:rsidRDefault="005728DD" w:rsidP="005728DD">
      <w:pPr>
        <w:pStyle w:val="TextoNormal"/>
      </w:pPr>
      <w:r>
        <w:t>3.5. Vulneración del derecho de defensa (arts. 24 CE y 6 CEDH) por no haber tenido la defensa acceso a la instrucción del Juzgado de Instrucción núm. 13, por la imposibilidad de contrastar las declaraciones testificales con la prueba documental videográfica y por denegación de pruebas pertinentes solicitadas en tiempo y forma.</w:t>
      </w:r>
    </w:p>
    <w:p w:rsidR="005728DD" w:rsidRDefault="005728DD" w:rsidP="005728DD">
      <w:pPr>
        <w:pStyle w:val="TextoNormal"/>
      </w:pPr>
    </w:p>
    <w:p w:rsidR="005728DD" w:rsidRDefault="005728DD" w:rsidP="005728DD">
      <w:pPr>
        <w:pStyle w:val="TextoNormal"/>
      </w:pPr>
      <w:r>
        <w:t>Se impugna en este motivo la denegación de varios medios de prueba a practicar en la vista oral, puesta ya de manifiesto, recuerda la demanda, en el escrito de cuestiones previas y en el posterior de conclusiones definitivas, produciendo con esto una “cortapisa en el ejercicio del derecho de defensa”. Se mencionan al efecto tres situaciones:</w:t>
      </w:r>
    </w:p>
    <w:p w:rsidR="005728DD" w:rsidRDefault="005728DD" w:rsidP="005728DD">
      <w:pPr>
        <w:pStyle w:val="TextoNormal"/>
      </w:pPr>
    </w:p>
    <w:p w:rsidR="005728DD" w:rsidRDefault="005728DD" w:rsidP="005728DD">
      <w:pPr>
        <w:pStyle w:val="TextoNormal"/>
      </w:pPr>
      <w:r>
        <w:t>a) “Denegación de la aportación de testimonio íntegro de las diligencias practicadas en el Juzgado de Instrucción núm. 13 de Barcelona (arts. 24 CE y 6 CEDH)”.</w:t>
      </w:r>
    </w:p>
    <w:p w:rsidR="005728DD" w:rsidRDefault="005728DD" w:rsidP="005728DD">
      <w:pPr>
        <w:pStyle w:val="TextoNormal"/>
      </w:pPr>
    </w:p>
    <w:p w:rsidR="005728DD" w:rsidRDefault="005728DD" w:rsidP="005728DD">
      <w:pPr>
        <w:pStyle w:val="TextoNormal"/>
      </w:pPr>
      <w:r>
        <w:t>Dice la demanda que, en este proceso, “la mayor parte de la instrucción como fuente de obtención de material incriminatorio no tuvo realmente lugar ante el Tribunal Supremo, sino en las diligencias previas núm. 118-2017 seguidas ante el Juzgado de Instrucción núm. 13 de Barcelona, que es donde se practicaron la inmensa mayoría de las actuaciones policiales de las que dimanó buena parte del material probatorio posteriormente aportado al presente procedimiento por el ministerio público”. De esta forma, este aprovechó la circunstancia de ser parte personada en dichas diligencias del Juzgado núm. 13, lo que no concurría en el caso de la defensa del recurrente. Esto supuso una “instrucción paralela” en la que se generaron “gran parte de los informes policiales y numerosos documentos que las acusaciones hicieron valer como prueba en el acto del juicio oral ante el Tribunal Supremo”, destacando “en especial” en relación con el delito de malversación, y en tanto el Ministerio Fiscal pidió selectivamente el testimonio íntegro de algunas resoluciones dictadas en ese procedimiento, que sí se admitieron.</w:t>
      </w:r>
    </w:p>
    <w:p w:rsidR="005728DD" w:rsidRDefault="005728DD" w:rsidP="005728DD">
      <w:pPr>
        <w:pStyle w:val="TextoNormal"/>
      </w:pPr>
    </w:p>
    <w:p w:rsidR="005728DD" w:rsidRDefault="005728DD" w:rsidP="005728DD">
      <w:pPr>
        <w:pStyle w:val="TextoNormal"/>
      </w:pPr>
      <w:r>
        <w:t>Discrepa la demanda de la denegación de la prueba documental solicitada por el recurrente, primero en el trámite del art. 627 LECrim de conclusión del sumario, pidiendo que este se reabriera para obtener testimonio íntegro de aquellas actuaciones, lo que se rechazó por auto de 25 de octubre de 2018 que confirmó la conclusión del sumario si bien advirtiendo entonces que podía volver a solicitarse con posterioridad, como así se hizo, pero sin éxito, “en los escritos de conclusiones provisionales”. El derecho de defensa, añade, no debe materializarse solo en la fase de juicio oral sino también en la instructora. La vulneración no quedó remediada porque la Sala dijera que la única prueba a la que atribuyó valor incriminatorio fue la practicada en la vista oral, pues la fase previa de proposición de prueba es “igualmente crucial”, y esta no se puede ejercer si no ha estado presente en la instrucción desconociendo las diligencias ahí practicadas.</w:t>
      </w:r>
    </w:p>
    <w:p w:rsidR="005728DD" w:rsidRDefault="005728DD" w:rsidP="005728DD">
      <w:pPr>
        <w:pStyle w:val="TextoNormal"/>
      </w:pPr>
    </w:p>
    <w:p w:rsidR="005728DD" w:rsidRDefault="005728DD" w:rsidP="005728DD">
      <w:pPr>
        <w:pStyle w:val="TextoNormal"/>
      </w:pPr>
      <w:r>
        <w:t>b) “Imposibilidad de contrastar las declaraciones testificales con la prueba documental videográfica”: Alega la demanda que tras haber permitido ese contraste con algunos testigos iniciales (señores Rajoy y Artur Mas), la Sala de manera sobrevenida cambió de criterio impidiendo mostrar a los testigos las imágenes grabadas en los vídeos, imposibilitando así poder “contrastar la veracidad de sus manifestaciones con las imágenes”. En cambio, se les permitió mostrarles documentos en soporte papel, lo que se considera una “decisión contradictoria” pues, “tan ‘prueba documental’ es un papel como una grabación de vídeo”. Esta confrontación entre testigo y prueba videográfica está habilitada por el art. 729.3 LECrim, y es “práctica absolutamente habitual en los tribunales españoles”, “forma parte de la garantía básica de contradicción propia del juicio oral” y hubiera permitido evitar que “algunos testigos mintieran a la Sala o exageraran ostensiblemente en su declaración”. Se discrepa de la solución articulada por la Sala, de poder reproducir todos los vídeos en la fase de prueba documental, no permitiéndose a los letrados razonar las conclusiones que extraían “respecto de la credibilidad de los testigos que habían depuesto semanas o meses antes”. Se insiste en que, de haberse permitido esa confrontación directa, el testigo que hubiera declarado de manera mendaz o exagerada hubiera sido obligado, “a la vista de las imágenes, a rectificar”.</w:t>
      </w:r>
    </w:p>
    <w:p w:rsidR="005728DD" w:rsidRDefault="005728DD" w:rsidP="005728DD">
      <w:pPr>
        <w:pStyle w:val="TextoNormal"/>
      </w:pPr>
    </w:p>
    <w:p w:rsidR="005728DD" w:rsidRDefault="005728DD" w:rsidP="005728DD">
      <w:pPr>
        <w:pStyle w:val="TextoNormal"/>
      </w:pPr>
      <w:r>
        <w:t>c) “Denegación de pruebas pertinentes solicitadas en tiempo y forma”.</w:t>
      </w:r>
    </w:p>
    <w:p w:rsidR="005728DD" w:rsidRDefault="005728DD" w:rsidP="005728DD">
      <w:pPr>
        <w:pStyle w:val="TextoNormal"/>
      </w:pPr>
    </w:p>
    <w:p w:rsidR="005728DD" w:rsidRDefault="005728DD" w:rsidP="005728DD">
      <w:pPr>
        <w:pStyle w:val="TextoNormal"/>
      </w:pPr>
      <w:r>
        <w:t>Se considera también vulneración del derecho de defensa que el auto de la Sala Segunda del Tribunal Supremo de 1 de febrero de 2019 haya denegado medios de prueba pertinentes para la defensa del recurrente. En concreto:</w:t>
      </w:r>
    </w:p>
    <w:p w:rsidR="005728DD" w:rsidRDefault="005728DD" w:rsidP="005728DD">
      <w:pPr>
        <w:pStyle w:val="TextoNormal"/>
      </w:pPr>
    </w:p>
    <w:p w:rsidR="005728DD" w:rsidRDefault="005728DD" w:rsidP="005728DD">
      <w:pPr>
        <w:pStyle w:val="TextoNormal"/>
      </w:pPr>
      <w:r>
        <w:t>(i) Que se “requiriese a la Unidad Central de Delitos Informáticos de los Mossos d’Esquadra a fin de que facilitaran los datos del titular de la cuenta de la red social Twitter ‘@maquiavelo1984’ y ‘@JDanielBaena’”. Se discrepa de la respuesta del auto para denegarlo, en la que se afirmaba que la investigación de los comentarios vertidos por el testigo teniente coronel Daniel Baena desbordaba los límites objetivos y subjetivos del proceso, defendiendo la demanda que esto permitía probar su “abierta animadversión hacia los procesados y su ideología política”.</w:t>
      </w:r>
    </w:p>
    <w:p w:rsidR="005728DD" w:rsidRDefault="005728DD" w:rsidP="005728DD">
      <w:pPr>
        <w:pStyle w:val="TextoNormal"/>
      </w:pPr>
    </w:p>
    <w:p w:rsidR="005728DD" w:rsidRDefault="005728DD" w:rsidP="005728DD">
      <w:pPr>
        <w:pStyle w:val="TextoNormal"/>
      </w:pPr>
      <w:r>
        <w:t>(ii) La testifical de “Su Majestad el Rey de España don Felipe VI”. Se muestra el desacuerdo con la respuesta dada en el auto de 1 de febrero de 2019 sobre que el art. 411 LECrim exceptúa al Rey del deber de declarar como testigo. Dice la demanda que “dicho precepto garantiza la posibilidad de alegar dicha exención o dispensa de declarar en caso de que Su Majestad así lo estime oportuno, pero es absolutamente evidente que no estamos ante una prohibición de declarar, como interpretó erróneamente la Sala de lo Penal”, por lo que se vulneró el derecho de defensa del recurrente al negar su citación “antes de saber si el testigo propuesto decidía o no acogerse a la dispensa”. Considera la demanda que su declaración sí era pertinente, “a la vista del relevante papel que las acusaciones atribuían en sus escritos de conclusiones al jefe del Estado en los hechos que nos ocupan”, en especial el escrito del Ministerio Fiscal.</w:t>
      </w:r>
    </w:p>
    <w:p w:rsidR="005728DD" w:rsidRDefault="005728DD" w:rsidP="005728DD">
      <w:pPr>
        <w:pStyle w:val="TextoNormal"/>
      </w:pPr>
    </w:p>
    <w:p w:rsidR="005728DD" w:rsidRDefault="005728DD" w:rsidP="005728DD">
      <w:pPr>
        <w:pStyle w:val="TextoNormal"/>
      </w:pPr>
      <w:r>
        <w:t>(iii) La del “jefe de la Casa de Su Majestad, don. Jaime Alfonsín Alfonso”. Se discrepa de la respuesta de inadmisión dada por el auto de 1 de febrero de 2019, de que en el proceso penal no se admite el testigo por sustitución. Dicha prueba se “proponía con carácter alter</w:t>
      </w:r>
      <w:r>
        <w:lastRenderedPageBreak/>
        <w:t>nativo a la anterior”, por si Su Majestad el Rey se acogía a la dispensa. De nuevo esto produjo una vulneración del derecho de defensa del recurrente, siendo prueba pertinente “a la vista de los hechos que motivan la acusación y del relevante papel que en ellos desempeña la Casa Real”.</w:t>
      </w:r>
    </w:p>
    <w:p w:rsidR="005728DD" w:rsidRDefault="005728DD" w:rsidP="005728DD">
      <w:pPr>
        <w:pStyle w:val="TextoNormal"/>
      </w:pPr>
    </w:p>
    <w:p w:rsidR="005728DD" w:rsidRDefault="005728DD" w:rsidP="005728DD">
      <w:pPr>
        <w:pStyle w:val="TextoNormal"/>
      </w:pPr>
      <w:r>
        <w:t xml:space="preserve">(iv) La del “M.H. Sr. Carles Puigdemont”. Se discrepa de la razón de inadmisión, por encontrarse este en situación procesal de rebelde y todavía no enjuiciado. En primer lugar, porque su declaración era pertinente al ser “el máximo responsable del Gobierno catalán cuando sucedieron los hechos enjuiciados y conocer su versión de tales hechos era crucial”; y en segundo lugar, porque “si el señor Puigdemont no estaba presente en el acto del juicio, era sencillamente porque en aquellas fechas el señor instructor había decidido rechazar su extradición por razones puramente estratégicas, ya que Alemania estaba dispuesta a entregarlo para ser juzgado por malversación”. Se añade que la responsabilidad de dicho procesado obraba en una pieza separada del proceso, “lo que </w:t>
      </w:r>
      <w:r w:rsidRPr="005728DD">
        <w:rPr>
          <w:i/>
        </w:rPr>
        <w:t>mutatis mutandis</w:t>
      </w:r>
      <w:r>
        <w:t xml:space="preserve"> no impedía que pudiera declarar con las mismas garantías que aquellos otros testigos que, al mismo tiempo, estaban siendo investigados en otros procedimientos” (se cita a los “señores Trapero o Jové”), siendo además contradictorio que la Sala haya aceptado el testimonio de la doña Anna Simó, miembro de la mesa del Parlament, quien había estado procesada en la misma causa hasta el trámite de las cuestiones previas.</w:t>
      </w:r>
    </w:p>
    <w:p w:rsidR="005728DD" w:rsidRDefault="005728DD" w:rsidP="005728DD">
      <w:pPr>
        <w:pStyle w:val="TextoNormal"/>
      </w:pPr>
    </w:p>
    <w:p w:rsidR="005728DD" w:rsidRDefault="005728DD" w:rsidP="005728DD">
      <w:pPr>
        <w:pStyle w:val="TextoNormal"/>
      </w:pPr>
      <w:r>
        <w:t>3.6. Vulneración del derecho a la presunción de inocencia y a la tutela judicial efectiva (art. 24 CE) por las manifestaciones públicas de miembros del Gobierno español sobre los hechos enjuiciados y por la reiterada omisión del tribunal enjuiciador de amparar a los procesados ante dichas vulneraciones.</w:t>
      </w:r>
    </w:p>
    <w:p w:rsidR="005728DD" w:rsidRDefault="005728DD" w:rsidP="005728DD">
      <w:pPr>
        <w:pStyle w:val="TextoNormal"/>
      </w:pPr>
    </w:p>
    <w:p w:rsidR="005728DD" w:rsidRDefault="005728DD" w:rsidP="005728DD">
      <w:pPr>
        <w:pStyle w:val="TextoNormal"/>
      </w:pPr>
      <w:r>
        <w:t>Alega la demanda: “Mientras se desarrollaba el procedimiento penal contra mi mandante ante el Tribunal Supremo, el Gobierno español, a través de la Secretaría General para la España Global dependiente del Ministerio de Asuntos Exteriores, decidió emprender una campaña propagandística supuestamente pensada para informar en el extranjero de los hechos que se estaban enjuiciando. En el contexto de dicha campaña se emitieron diversas declaraciones y documentos en los que abiertamente ya se consideraba a los procesados culpables de los hechos enjuiciados antes de dictarse sentencia”. Prosigue diciendo que la defensa del recurrente y otros procesados pidieron amparo por estos hechos a la Sala Segunda del Tribunal Supremo, en primer lugar mediante escrito de 4 de febrero de 2019 antes de iniciarse el juicio oral, con denuncia de vulneración del derecho a la presunción de inocencia, lo que fue respondido mediante auto de 7 de febrero de 2019, remitiendo a su alegación en el plenario, “motivo por el que esta defensa planteó la presente cuestión previa al inicio de las sesiones del juicio y en su escrito de conclusiones definitivas”, así como en un escrito de 5 de septiembre de 2019. Se indican, como datos demostrativos de esta campaña, determinadas declaraciones vertidas a medios de comunicación por la secretaria de Estado doña Irene Lozano y la difusión en redes sociales de un documento titulado “La realidad sobre el proceso independentista”, que vulneraba “de modo flagrante el derecho del demandante a la presunción de inocencia”, citando al efecto varios pasajes del documento, así como vídeos posteriores a la sentencia donde “se caricaturizaba a los acusados como si fueran ladrones” (se aporta el vídeo como prueba documento V20).</w:t>
      </w:r>
    </w:p>
    <w:p w:rsidR="005728DD" w:rsidRDefault="005728DD" w:rsidP="005728DD">
      <w:pPr>
        <w:pStyle w:val="TextoNormal"/>
      </w:pPr>
    </w:p>
    <w:p w:rsidR="005728DD" w:rsidRDefault="005728DD" w:rsidP="005728DD">
      <w:pPr>
        <w:pStyle w:val="TextoNormal"/>
      </w:pPr>
      <w:r>
        <w:t xml:space="preserve">Añade el recurrente que ha habido una vulneración del derecho a la presunción de inocencia del art. 24 CE, “interpretado a la luz de los arts. 10 y 96 CE”, e invoca la Directiva </w:t>
      </w:r>
      <w:r>
        <w:lastRenderedPageBreak/>
        <w:t>2016/343 del Parlamento Europeo y del Consejo, de 9 de marzo de 2016, “por la que se refuerzan en el proceso penal determinados aspectos de la presunción de inocencia y el derecho a estar presente en el juicio”. Reconoce la demanda que el Gobierno ha manifestado que no precisa trasponer esta directiva porque España ya cuenta con los mecanismos suficientes para garantizar aquel derecho, pero recuerda que esa directiva en su art. 4.1 impone a los Estados miembros el que adopten las medidas necesarias para que, entre otras cosas, no se produzcan declaraciones públicas por las autoridades públicas o resoluciones judiciales que se refieren a una persona como culpable sin haber condena, y que el art. 4.2 impone a los Estados la adopción de medidas adecuadas en caso de incumplimiento.</w:t>
      </w:r>
    </w:p>
    <w:p w:rsidR="005728DD" w:rsidRDefault="005728DD" w:rsidP="005728DD">
      <w:pPr>
        <w:pStyle w:val="TextoNormal"/>
      </w:pPr>
    </w:p>
    <w:p w:rsidR="005728DD" w:rsidRDefault="005728DD" w:rsidP="005728DD">
      <w:pPr>
        <w:pStyle w:val="TextoNormal"/>
      </w:pPr>
      <w:r>
        <w:t>Finaliza esta queja diciendo que hay una clara muestra del “nulo respeto por los derechos de los procesados que, en general, mostró el Ejecutivo español en el desarrollo de esta campaña propagandística” y que: “Por todos estos motivos se solicita al tribunal que proceda a declarar la vulneración del art. 24 CE y la nulidad de la sentencia judicial en la que se materializa dicha vulneración por la negativa del Tribunal Supremo a amparar a los procesados frente a la campaña gubernamental descrita”.</w:t>
      </w:r>
    </w:p>
    <w:p w:rsidR="005728DD" w:rsidRDefault="005728DD" w:rsidP="005728DD">
      <w:pPr>
        <w:pStyle w:val="TextoNormal"/>
      </w:pPr>
    </w:p>
    <w:p w:rsidR="005728DD" w:rsidRDefault="005728DD" w:rsidP="005728DD">
      <w:pPr>
        <w:pStyle w:val="TextoNormal"/>
      </w:pPr>
      <w:r>
        <w:t>3.7. Vulneración del derecho a un proceso con todas las garantías (arts. 24 CE y 6 CEDH) por la filtración del contenido de la sentencia cuando su redacción no había sido todavía culminada.</w:t>
      </w:r>
    </w:p>
    <w:p w:rsidR="005728DD" w:rsidRDefault="005728DD" w:rsidP="005728DD">
      <w:pPr>
        <w:pStyle w:val="TextoNormal"/>
      </w:pPr>
    </w:p>
    <w:p w:rsidR="005728DD" w:rsidRDefault="005728DD" w:rsidP="005728DD">
      <w:pPr>
        <w:pStyle w:val="TextoNormal"/>
      </w:pPr>
      <w:r>
        <w:t>La demanda se refiere en este apartado a una cuestión ya planteada en el incidente de nulidad contra la sentencia, pues días antes de que se firmara y notificara, “diversos medios de comunicación publicaron noticias anticipando ya cuál iba a ser el sentido del veredicto de la Sala” (se citan algunos enlaces de internet de medios de prensa digitales), y en varios de ellos se habla de “fuentes judiciales”. Esa filtración se produjo “cuando su contenido era susceptible todavía de experimentar cambios” y generaron un “encendido debate ciudadano y mediático”, “amplificado por el contexto de precampaña electoral”. Se recuerda la importancia del secreto de las deliberaciones de un tribunal, que debe mantenerse hasta que la sentencia haya sido firmada por todos sus miembros. Reconoce que la Ley de enjuiciamiento criminal no contiene una regla expresa sobre la incomunicación de estos mientras duran las deliberaciones, como sí se contempla para los miembros de un jurado antes de comunicar su veredicto (art. 56 de la Ley Orgánica del tribunal del jurado), lo que demuestra la importancia de evitar posibles “influencias externas”. “No sería muy coherente que en el caso del jurado se adopten medidas tan estrictas y que, en cambio, en el caso de tribunales profesionales pueda filtrarse anticipadamente el fallo sin que suceda absolutamente nada en términos procesales ni de afectación a las garantías del procedimiento”.</w:t>
      </w:r>
    </w:p>
    <w:p w:rsidR="005728DD" w:rsidRDefault="005728DD" w:rsidP="005728DD">
      <w:pPr>
        <w:pStyle w:val="TextoNormal"/>
      </w:pPr>
    </w:p>
    <w:p w:rsidR="005728DD" w:rsidRDefault="005728DD" w:rsidP="005728DD">
      <w:pPr>
        <w:pStyle w:val="TextoNormal"/>
      </w:pPr>
      <w:r>
        <w:t xml:space="preserve">Y cita la STC 69/2001, de 17 de marzo, donde se declara que la filtración de una sentencia en principio es una circunstancia inocua para los derechos fundamentales, «salvo que el denunciante de tal vulneración pueda acreditar —cabría preguntarse de qué manera— “que la opinión de alguno o de algunos de los integrantes del tribunal haya podido verse condicionada por hechos o circunstancias externas a la propia deliberación o que la citada ‘filtración’ iba encaminada a obtener una modificación interesada de lo previamente decidido”(FJ 12)». O bien, que haya propiciado la filtración “un clamor popular a favor de la condena o de la absolución de los encausados poniendo en entredicho la necesaria serenidad del tribunal o la confianza de la ciudadanía en el comportamiento neutral de los juzgadores” (FJ 6). </w:t>
      </w:r>
      <w:r>
        <w:lastRenderedPageBreak/>
        <w:t xml:space="preserve">Según la demanda, “dicho clamor se produjo en el presente caso”, a través de diversas “informaciones, artículos y comentarios en medios de comunicación”, y en manifestaciones de los responsables políticos. Como sucede cuando se quiebran garantías vinculadas con la imparcialidad judicial —prosigue diciendo la demanda—, “[l]a mera vulneración de las garantías, aun no pudiéndose determinar cuáles han sido sus concretos efectos, supone la invalidez del acto procesal, sin someter a quien denuncia tales vulneraciones a lo que supone una auténtica </w:t>
      </w:r>
      <w:r w:rsidRPr="005728DD">
        <w:rPr>
          <w:i/>
        </w:rPr>
        <w:t>probatio diabolica</w:t>
      </w:r>
      <w:r>
        <w:t>”. Considera el recurrente que el compromiso adquirido por el presidente de la Sala de que haría todo lo posible para que no se repitieran las filtraciones, pasaba por haber anulado la sentencia como se pidió, por vulneración de los arts. 24 CE y 6 CEDH, limitándose sin embargo el auto resolutorio a despachar esta queja diciendo que no constaba que la filtración hubiera condicionado el sentido de la decisión, “es decir, sometiendo a la defensa a l</w:t>
      </w:r>
      <w:r w:rsidRPr="005728DD">
        <w:rPr>
          <w:i/>
        </w:rPr>
        <w:t>a probatio diaboli</w:t>
      </w:r>
      <w:r>
        <w:t>ca a la que antes se aludía”.</w:t>
      </w:r>
    </w:p>
    <w:p w:rsidR="005728DD" w:rsidRDefault="005728DD" w:rsidP="005728DD">
      <w:pPr>
        <w:pStyle w:val="TextoNormal"/>
      </w:pPr>
    </w:p>
    <w:p w:rsidR="005728DD" w:rsidRDefault="005728DD" w:rsidP="005728DD">
      <w:pPr>
        <w:pStyle w:val="TextoNormal"/>
      </w:pPr>
      <w:r>
        <w:t>3.8. Vulneración del art. 24 CE (art. 6 CEDH) en relación con los arts. 25.1 (art. 7 CEDH) y 120.3 CE por no motivación de la individualización de la pena y vulneración del principi</w:t>
      </w:r>
      <w:r w:rsidRPr="005728DD">
        <w:rPr>
          <w:i/>
        </w:rPr>
        <w:t>o non bis in id</w:t>
      </w:r>
      <w:r>
        <w:t>em.</w:t>
      </w:r>
    </w:p>
    <w:p w:rsidR="005728DD" w:rsidRDefault="005728DD" w:rsidP="005728DD">
      <w:pPr>
        <w:pStyle w:val="TextoNormal"/>
      </w:pPr>
    </w:p>
    <w:p w:rsidR="005728DD" w:rsidRDefault="005728DD" w:rsidP="005728DD">
      <w:pPr>
        <w:pStyle w:val="TextoNormal"/>
      </w:pPr>
      <w:r>
        <w:t xml:space="preserve">Con cita también del art. 66.6 CP, la demanda asevera que la sentencia condenatoria no dedica en las páginas relativas a individualizar las penas “una sola línea a explicar las concretas razones por las que, pudiéndose imponer una pena de solamente diez años a Josep Rull, se ha decantado finalmente el tribunal por imponer una pena seis meses superior”, es decir, que “permita justificar este apartamiento de la pena mínima legalmente imponible”. Discrepa del razonamiento que aparece en la sentencia, pues: “el único factor personal al que se alude en las páginas 480 y 481 es la condición de miembro del Govern del señor Rull y la circunstancia de que dicho cargo le facilitó la actuación que ha motivado su condena, si bien dicho elemento ya justifica el salto penológico al subtipo agravado aplicable a las autoridades, por lo que tal factor no debió volver a tenerse en cuenta en sentido agravatorio en la individualización final de la pena, por ser ello claramente incompatible con el principio </w:t>
      </w:r>
      <w:r w:rsidRPr="005728DD">
        <w:rPr>
          <w:i/>
        </w:rPr>
        <w:t>non bis in idem</w:t>
      </w:r>
      <w:r>
        <w:t>”. En caso de no prosperar ninguno de los motivos anteriores, la demanda pide que se declare vulnerado “el art. 24 CE en relación con los arts. 25.1 y 120.3, así como los arts. 6 y 7 CEDH. Y que, para reparar dicha vulneración […] se declare nulo el fallo en lo que respecta a la pena impuesta”.</w:t>
      </w:r>
    </w:p>
    <w:p w:rsidR="005728DD" w:rsidRDefault="005728DD" w:rsidP="005728DD">
      <w:pPr>
        <w:pStyle w:val="TextoNormal"/>
      </w:pPr>
    </w:p>
    <w:p w:rsidR="005728DD" w:rsidRDefault="005728DD" w:rsidP="005728DD">
      <w:pPr>
        <w:pStyle w:val="TextoNormal"/>
      </w:pPr>
      <w:r>
        <w:t>3.9. Vulneración del derecho fundamental a la legalidad (arts. 25 CE y 7 CEDH) por abandon</w:t>
      </w:r>
      <w:r w:rsidRPr="005728DD">
        <w:rPr>
          <w:i/>
        </w:rPr>
        <w:t>o ad h</w:t>
      </w:r>
      <w:r>
        <w:t>oc del principio de accesoriedad (limitada) en la participación.</w:t>
      </w:r>
    </w:p>
    <w:p w:rsidR="005728DD" w:rsidRDefault="005728DD" w:rsidP="005728DD">
      <w:pPr>
        <w:pStyle w:val="TextoNormal"/>
      </w:pPr>
    </w:p>
    <w:p w:rsidR="005728DD" w:rsidRDefault="005728DD" w:rsidP="005728DD">
      <w:pPr>
        <w:pStyle w:val="TextoNormal"/>
      </w:pPr>
      <w:r>
        <w:t>Afirma la demanda que la sentencia de condena ha dejado de aplicar un principio elemental de la teoría de la imputación penal, reconocido por la Sala Segunda del Tribunal Supremo —por ejemplo— en sentencias 214/2018, de 8 de mayo, y 704/2018, de 15 de enero, como es el principio de accesoriedad limitada en la participación, conforme al cual, precisa, “una persona solo puede responder como partícipe en un delito ajeno si el hecho cometido por el autor directo o ejecutor material tiene la consideración de antijurídico”.</w:t>
      </w:r>
    </w:p>
    <w:p w:rsidR="005728DD" w:rsidRDefault="005728DD" w:rsidP="005728DD">
      <w:pPr>
        <w:pStyle w:val="TextoNormal"/>
      </w:pPr>
    </w:p>
    <w:p w:rsidR="005728DD" w:rsidRDefault="005728DD" w:rsidP="005728DD">
      <w:pPr>
        <w:pStyle w:val="TextoNormal"/>
      </w:pPr>
      <w:r>
        <w:t xml:space="preserve">En el delito de sedición —explica la demanda— hay dos clases de sujetos intervinientes: los ejecutores materiales o autores directos, quienes se alzan pública o tumultuariamente (art. 544 CP), “y quienes hubieren inducido, sostenido o dirigido la sedición, o aparecieren en ella como sus principales autores (art. 545 CP). En el caso de Josep Rull la sentencia (págs. 341 y siguientes) le atribuye un claro papel de inductor, concretamente por propiciar, </w:t>
      </w:r>
      <w:r>
        <w:lastRenderedPageBreak/>
        <w:t>posibilitar o determinar ‘el alzamiento de otros’ (pág. 348)”. Por tanto, de acuerdo con el principio de accesoriedad limitada si no ha existido hecho antijurídico atribuible a uno o varios ejecutores directos, no puede existir tampoco una “conducta de participación penalmente relevante”.</w:t>
      </w:r>
    </w:p>
    <w:p w:rsidR="005728DD" w:rsidRDefault="005728DD" w:rsidP="005728DD">
      <w:pPr>
        <w:pStyle w:val="TextoNormal"/>
      </w:pPr>
    </w:p>
    <w:p w:rsidR="005728DD" w:rsidRDefault="005728DD" w:rsidP="005728DD">
      <w:pPr>
        <w:pStyle w:val="TextoNormal"/>
      </w:pPr>
      <w:r>
        <w:t>Y esto sucede porque “los ciudadanos que intervinieron como manifestantes o votantes en los actos del 20 de septiembre y 1 de octubre de 2017 no han merecido reproche penal alguno”, y así lo afirma la sentencia de condena, sea quienes acudieron a las puertas de la Vicepresidencia y Consejería de Economía en la primera de esas fechas, o se presentaron a los centros de votación el 1 de octubre. Ninguno ha sido procesado por sedición por esos hechos, la Audiencia Provincial de Barcelona archivó unas diligencias por “considerar que los votantes actuaban en el ejercicio de sus derechos fundamentales”, mientras que “en la localidad de El Vendrell la propia fiscalía desistió de acusar por delito alguno a los responsables de los locales de votación”, produciéndose solo imputaciones por “resistencia y/o desobediencia”, o lesiones leves. Añade que: “Algunos de los presuntos máximos responsables de la organización del referéndum, como los señores Lluís Salvadó y Josep María Jové, no han sido procesados tampoco por sedición”, sino por otro tipo de delitos (prevaricación, desobediencia o malversación, cita la demanda) ante el Tribunal Superior de Justicia de Cataluña.</w:t>
      </w:r>
    </w:p>
    <w:p w:rsidR="005728DD" w:rsidRDefault="005728DD" w:rsidP="005728DD">
      <w:pPr>
        <w:pStyle w:val="TextoNormal"/>
      </w:pPr>
    </w:p>
    <w:p w:rsidR="005728DD" w:rsidRDefault="005728DD" w:rsidP="005728DD">
      <w:pPr>
        <w:pStyle w:val="TextoNormal"/>
      </w:pPr>
      <w:r>
        <w:t>Teniendo esto en cuenta, la demanda se pregunta “cómo se puede condenar a alguien por promover un alzamiento sedicioso si incluso los comportamientos más graves de los manifestantes se califican solo como atentado y si los organizadores desde la administración (excepto los máximos dirigentes procesados por el Tribunal Supremo) tampoco han sido siquiera procesados por ningún alzamiento”. Para el recurrente eso se explica “desde la voluntad de escarmentar a los máximos líderes políticos y sociales del movimiento independentista con castigos que nada tienen que ver con la gravedad real de los hechos a cuya comisión indujeron a los ciudadanos. Se trataba […] de construir un ‘traje punitivo a medida’ para los líderes políticos del movimiento independentista”.</w:t>
      </w:r>
    </w:p>
    <w:p w:rsidR="005728DD" w:rsidRDefault="005728DD" w:rsidP="005728DD">
      <w:pPr>
        <w:pStyle w:val="TextoNormal"/>
      </w:pPr>
    </w:p>
    <w:p w:rsidR="005728DD" w:rsidRDefault="005728DD" w:rsidP="005728DD">
      <w:pPr>
        <w:pStyle w:val="TextoNormal"/>
      </w:pPr>
      <w:r>
        <w:t>Descarta igualmente la demanda que se haya aplicado un supuesto de autoría mediata, “posibilidad que, por lo demás, no se menciona siquiera en la sentencia”, no está prevista en los arts. 544 y 545 CP y supondría sostener “que los ciudadanos que se manifestaron o votaron los días de autos actuaron como meros instrumentos totalmente ‘abducidos’ por los acusados en una situación de error invencible que se mantuvo incluso frente a la actuación de agentes uniformados”.</w:t>
      </w:r>
    </w:p>
    <w:p w:rsidR="005728DD" w:rsidRDefault="005728DD" w:rsidP="005728DD">
      <w:pPr>
        <w:pStyle w:val="TextoNormal"/>
      </w:pPr>
    </w:p>
    <w:p w:rsidR="005728DD" w:rsidRDefault="005728DD" w:rsidP="005728DD">
      <w:pPr>
        <w:pStyle w:val="TextoNormal"/>
      </w:pPr>
      <w:r>
        <w:t xml:space="preserve">Considera, así, que el cambio </w:t>
      </w:r>
      <w:r w:rsidRPr="005728DD">
        <w:rPr>
          <w:i/>
        </w:rPr>
        <w:t>ad hoc</w:t>
      </w:r>
      <w:r>
        <w:t xml:space="preserve"> de la doctrina de la Sala sobre el principio de accesoriedad “no puede resultar conforme con el principio de legalidad tal como se define en el art. 7 CEDH”, con cita de la sentencia </w:t>
      </w:r>
      <w:r w:rsidRPr="005728DD">
        <w:rPr>
          <w:i/>
        </w:rPr>
        <w:t>Del Río Prada c. España</w:t>
      </w:r>
      <w:r>
        <w:t>, de 2013, ya que “no solo incluye el hecho de que no se apliquen a posteriori y en perjuicio del reo cambios en el texto de la ley, sino también aquellas modificaciones sobrevenidas de la jurisprudencia que perjudiquen al acusado”. Cita también la STEDH de 11 de abril de 2013, asunt</w:t>
      </w:r>
      <w:r w:rsidRPr="005728DD">
        <w:rPr>
          <w:i/>
        </w:rPr>
        <w:t>o Vyerentsov c. Ucran</w:t>
      </w:r>
      <w:r>
        <w:t>ia.</w:t>
      </w:r>
    </w:p>
    <w:p w:rsidR="005728DD" w:rsidRDefault="005728DD" w:rsidP="005728DD">
      <w:pPr>
        <w:pStyle w:val="TextoNormal"/>
      </w:pPr>
    </w:p>
    <w:p w:rsidR="005728DD" w:rsidRDefault="005728DD" w:rsidP="005728DD">
      <w:pPr>
        <w:pStyle w:val="TextoNormal"/>
      </w:pPr>
      <w:r>
        <w:t xml:space="preserve">Se recuerda que esta denuncia se formuló en el escrito de conclusiones definitivas, y a ella “no se dio absolutamente ninguna respuesta en la sentencia condenatoria”, mientras que el auto resolutorio de los incidentes de nulidad sí lo hace, en concreto al responder a una </w:t>
      </w:r>
      <w:r>
        <w:lastRenderedPageBreak/>
        <w:t>queja idéntica del procesado señor Forn, pero de manera “absolutamente sorprendente”, al decir la Sala que “las reglas generales de la participación quiebran en el caso del delito de sedición, donde todos los intervinientes son coautores […]. El auto confirma que estamos ante el primer alzamiento sin alzados de la historia”. Finaliza diciendo que esta quiebra del principio de legalidad “únicamente podrá repararse declarando la nulidad de la sentencia en este punto por vulneración del art. 25.1 CE”.</w:t>
      </w:r>
    </w:p>
    <w:p w:rsidR="005728DD" w:rsidRDefault="005728DD" w:rsidP="005728DD">
      <w:pPr>
        <w:pStyle w:val="TextoNormal"/>
      </w:pPr>
    </w:p>
    <w:p w:rsidR="005728DD" w:rsidRDefault="005728DD" w:rsidP="005728DD">
      <w:pPr>
        <w:pStyle w:val="TextoNormal"/>
      </w:pPr>
      <w:r>
        <w:t>3.10. Vulneración del derecho fundamental a la legalidad (art. 25.1 CE) en relación con los derechos fundamentales a la libertad, reunión pacífica y libertad de expresión e ideológica (arts. 17, 20 y 21 CE) por la insuficiente taxatividad del tipo penal de la sedición.</w:t>
      </w:r>
    </w:p>
    <w:p w:rsidR="005728DD" w:rsidRDefault="005728DD" w:rsidP="005728DD">
      <w:pPr>
        <w:pStyle w:val="TextoNormal"/>
      </w:pPr>
    </w:p>
    <w:p w:rsidR="005728DD" w:rsidRDefault="005728DD" w:rsidP="005728DD">
      <w:pPr>
        <w:pStyle w:val="TextoNormal"/>
      </w:pPr>
      <w:r>
        <w:t>Alega el recurrente que el art. 544 CP, que define el delito de sedición, adolece de la falta de taxatividad que resulta exigible atendiendo las penas “tan sumamente graves” que contempla, como así lo considera Amnistía Internacional en un informe sobre la causa especial 20907-2017. “Términos como ‘alzarse’, ‘tumultos’, ‘fuerza’ o ‘fuera de las vías legales’ resultan extraordinariamente vagos, hasta el punto de que, a partir de ellos, es muy difícil conocer exactamente qué conductas se están prohibiendo realmente por el legislador”.</w:t>
      </w:r>
    </w:p>
    <w:p w:rsidR="005728DD" w:rsidRDefault="005728DD" w:rsidP="005728DD">
      <w:pPr>
        <w:pStyle w:val="TextoNormal"/>
      </w:pPr>
    </w:p>
    <w:p w:rsidR="005728DD" w:rsidRDefault="005728DD" w:rsidP="005728DD">
      <w:pPr>
        <w:pStyle w:val="TextoNormal"/>
      </w:pPr>
      <w:r>
        <w:t xml:space="preserve">Se formulan a continuación una serie de interrogantes, incluyendo algunos que parecen aludir a la sentencia de condena, como si “quedan abarcados por el tipo los casos de simple ‘resistencia pasiva’ (pág. 390) o ‘interposición física’ en supuestos de ‘superioridad numérica’ (pág. 400)”. Se cita de nuevo la STEDH de 11 de abril de 2013, asunto </w:t>
      </w:r>
      <w:r w:rsidRPr="005728DD">
        <w:rPr>
          <w:i/>
        </w:rPr>
        <w:t>Vyerentsov c. Ucrania</w:t>
      </w:r>
      <w:r>
        <w:t xml:space="preserve">, y la STEDH de la Gran Sala, de 22 de marzo de 2001, asunto </w:t>
      </w:r>
      <w:r w:rsidRPr="005728DD">
        <w:rPr>
          <w:i/>
        </w:rPr>
        <w:t>Streletz, Kessler y Krenz c. Alemania</w:t>
      </w:r>
      <w:r>
        <w:t>, resoluciones que “admiten que la indeterminación de un enunciado legal pueda ser corregida por la jurisprudencia sobre dicho precepto. Sin embargo, esto no ha sucedido en el tipo penal de la sedición en España, al no existir prácticamente ningún precedente relevante y reciente sobre este delito por parte del Tribunal Supremo”. La demanda únicamente identifica como caso precedente, y lo considera insuficiente, el conocido por la STS de 12 de julio de 2005, donde “se absolvió por sedición y se condenó por un delito de atentado a una pena de un año de prisión” por la toma de la Asamblea de Ceuta durante nueve horas por unas sesenta personas.</w:t>
      </w:r>
    </w:p>
    <w:p w:rsidR="005728DD" w:rsidRDefault="005728DD" w:rsidP="005728DD">
      <w:pPr>
        <w:pStyle w:val="TextoNormal"/>
      </w:pPr>
    </w:p>
    <w:p w:rsidR="005728DD" w:rsidRDefault="005728DD" w:rsidP="005728DD">
      <w:pPr>
        <w:pStyle w:val="TextoNormal"/>
      </w:pPr>
      <w:r>
        <w:t>Ante tal falta de precedentes, “para los acusados resultaba sencillamente imprevisible que su actuación pudiera calificarse como constitutiva de un delito tan extraordinariamente grave como la sedición, máxime teniendo en cuenta que el delito de convocatoria ilegal de referéndum —que abarcaba de modo concreto los hechos que se proponían emprender el día 01/10/2017— había sido expresamente derogado por el legislador español el año 2005 y que la convocatoria previa de consulta sobre la autodeterminación el 09/11/2014 se saldó con una leve condena por desobediencia confirmada por el propio Tribunal Supremo a los señores Mas, Ortega, Rigau y Homs”. Añade que “la vaguedad del art. 544 CP resulta especialmente preocupante teniendo en cuenta que su mera vigencia puede restringir de modo patente el ejercicio de derechos fundamentales, en este caso de reunión pacífica, libertad de expresión o libertad ideológica”, teniendo “un efecto claramente restrictivo y desincentivador de tales derechos”.</w:t>
      </w:r>
    </w:p>
    <w:p w:rsidR="005728DD" w:rsidRDefault="005728DD" w:rsidP="005728DD">
      <w:pPr>
        <w:pStyle w:val="TextoNormal"/>
      </w:pPr>
    </w:p>
    <w:p w:rsidR="005728DD" w:rsidRDefault="005728DD" w:rsidP="005728DD">
      <w:pPr>
        <w:pStyle w:val="TextoNormal"/>
      </w:pPr>
      <w:r>
        <w:t xml:space="preserve">El auto de 29 de enero de 2020, que resuelve los incidentes de nulidad, niega este defecto (al responder a la misma queja del procesado don Jordi Cuixart) diciendo que el tipo no alcanza “una inconcreción o imprecisión que impida conocer de antemano el ámbito de lo </w:t>
      </w:r>
      <w:r>
        <w:lastRenderedPageBreak/>
        <w:t>proscrito. Pero de ningún modo se alude a algunos extremos que esta defensa también alegó, como la suma amplitud del precepto, que en modo alguno justifica la pena mínima prevista o el efecto restrictivo en el ejercicio de derechos que su aplicación puede llevar aparejada debido a los amplios términos de su redacción. Por todo ello, y para reparar esta vulneración de los arts. 25.1 y 7 CEDH [</w:t>
      </w:r>
      <w:r w:rsidRPr="005728DD">
        <w:rPr>
          <w:i/>
        </w:rPr>
        <w:t>sic</w:t>
      </w:r>
      <w:r>
        <w:t>] se solicita la nulidad de la sentencia en lo que respecta a la condena por sedición, sin perjuicio de que adicionalmente el Excmo. Tribunal se autocuestione de modo general la constitucionalidad de dicho tipo delictivo”.</w:t>
      </w:r>
    </w:p>
    <w:p w:rsidR="005728DD" w:rsidRDefault="005728DD" w:rsidP="005728DD">
      <w:pPr>
        <w:pStyle w:val="TextoNormal"/>
      </w:pPr>
    </w:p>
    <w:p w:rsidR="005728DD" w:rsidRDefault="005728DD" w:rsidP="005728DD">
      <w:pPr>
        <w:pStyle w:val="TextoNormal"/>
      </w:pPr>
      <w:r>
        <w:t>3.11. Vulneración del derecho fundamental a la legalidad penal (arts. 25.1 CE y 7 CEDH) por aplicación analógica del delito de sedición a los hechos enjuiciados.</w:t>
      </w:r>
    </w:p>
    <w:p w:rsidR="005728DD" w:rsidRDefault="005728DD" w:rsidP="005728DD">
      <w:pPr>
        <w:pStyle w:val="TextoNormal"/>
      </w:pPr>
    </w:p>
    <w:p w:rsidR="005728DD" w:rsidRDefault="005728DD" w:rsidP="005728DD">
      <w:pPr>
        <w:pStyle w:val="TextoNormal"/>
      </w:pPr>
      <w:r>
        <w:t>Empieza esta alegación de la demanda recordando la prohibición de la analogía en materia penal, con cita del art. 4.1 CP y su importancia para el principio de legalidad y para la seguridad jurídica. No solo el precepto que castiga la sedición adolece de falta de previsibilidad, como ya expuso, sino que, en su subsunción a los hechos del caso, se ha desbordado también su tenor literal en estos aspectos: (i) “De entrada es difícil entender qué hechos se subsumen en el tipo penal de sedición”, si los acaecidos estrictamente los días 20 de septiembre y 1 de octubre de 2017 o también otros; (ii) la sentencia narra lo sucedido el 20 de septiembre, y lo que se describe “es claramente una manifestación ciudadana de 40000 personas en la que solo unos muy pocos asistentes incurrieron en excesos que a lo sumo derivaron en daños materiales”, si ese número de personas hubieran querido impedir la diligencia judicial en la sede del Departamento de Economía, esta “hubiera sido sencillamente arrasada”. “El cumplimiento de la resolución judicial se dificultó pero en modo alguno se impidió, como exige el art. 544 CP, lo que hace que la aplicación analógica de este precepto a un caso no abarcado por su tenor literal sea aquí patente”; (iii) al describir la sentencia los hechos acontecidos el 1 de octubre de 2017, es “tan sumamente parco el relato en este punto que ni tan siquiera se explica en qué consistieron dichos enfrentamientos, quién llevó en cada lugar la iniciativa en ellos o cuáles fueron sus concretas consecuencias, más allá de la necesidad en algunos casos de ‘asistencia facultativa’ (pág. 54)”. “En todo caso parece claro que quien se alza debe llevar claramente la iniciativa insurreccional, por lo que dicho verbo no puede abarcar —sin incurrir en una extensión analógica— los meros actos de ‘interposición física’ (pág. 246), el ‘impedimento físico’ (pág. 283) o los consistentes en ‘obstaculizar’ el ejercicio de la función jurisdiccional (págs. 247 o 363) a los que se alude en varios pasajes de la fundamentación jurídica de la sentencia. En todo caso es evidente que un mero ‘enfrentamiento’ con la policía no es un ‘alzamiento’ pues de ser así carecerían de sentido los delitos de desórdenes públicos o el atentado aplicados, como ya se ha expuesto, en el caso de aquellos pocos manifestantes concretos que realizaron activamente conductas de fuerza”. Señala además la demanda que esta “irrelevancia típica de los hechos probados no puede subsanarse apelando a los móviles políticos que perseguían en última instancia los procesados o atribuyéndoles otras actuaciones ajenas por completo al tipo del art. 544 CP, como ‘haber pulverizado el pacto constitucional’ (pág. 243) o querer ‘alumbrar una legalidad paralela’ (pág. 347)”; (iv) en el caso concreto del recurrente, “no se desprende de la sentencia qué concreta intervención habría tenido este acusado en el supuesto ‘alzamiento tumultuario’ acontecido el día 20 de septiembre. En las páginas 341 a 349 en las que se individualiza su intervención se le atribuyen, en primer término, una serie de actuaciones en su condición de conseller y de diputado que en modo alguno están vinculadas con tales hechos y que consisten básicamente en desatenciones de resoluciones del Tribunal Consti</w:t>
      </w:r>
      <w:r>
        <w:lastRenderedPageBreak/>
        <w:t xml:space="preserve">tucional”. Además, “no se advierte tampoco qué vinculo existiría entre la atribución de Josep Rull de la negativa a dejar atracar un barco de la policía en el puerto de Palamós —del que jamás hubo una petición formal de atraque— y el favorecimiento de los hechos del 20 de septiembre o del 1 de octubre. […] En cuanto a la cesión de locales de su departamento, en la sentencia se reconoce la cesión de un único local (pág. 348), lo que difícilmente puede convertirle en uno de los máximos cabecillas de la supuesta insurrección sediciosa”. Y a su parecer “llama poderosamente la atención que no se le dispensara el mismo tratamiento que otros consellers como los señores Santiago Vila, Carles Mundó o Meritxell Borrás, que también formaban parte en las mismas fechas del ejecutivo catalán y que han sido castigados únicamente por desobediencia […], la única diferencia relevante entre los tres acusados citados y Josep Rull [es] que los tres primeros abandonaron la política tras los hechos que nos ocupan y mi mandante decidió volver a presentarse a las elecciones catalanas en diciembre de 2017 resultando elegido como diputado […], hasta mayo de 2019, fecha en la que obtuvo el acta de diputado a Cortes Generales del Estado. Pero esta no es, obviamente, una razón legítima alguna para someterle a un tratamiento punitivo tan severo y desproporcionado en relación con los citados compañeros de ejecutivo”; y (v) por último, “los hechos enjuiciados podrían haberse subsumido en el antiguo tipo penal de convocatoria de referéndum (506 </w:t>
      </w:r>
      <w:r w:rsidRPr="005728DD">
        <w:rPr>
          <w:i/>
        </w:rPr>
        <w:t>bis</w:t>
      </w:r>
      <w:r>
        <w:t xml:space="preserve"> CP), derogado en 2005. Según la Sala (pág. 225) este precepto no resultaría en todo caso aplicable a los hechos por cuanto en él se tipificaba solamente ‘un conflicto competencial entre autoridades estatales’”. Respuesta que no convence al recurrente porque si fuera solo tal conflicto competencial, “no puede nunca considerarse un delito merecedor —como era el caso del antiguo precepto— de hasta cinco años de prisión”. “Por todo ello se solicita al Tribunal que declare vulnerado el derecho fundamental a la legalidad y que, para subsanar dicha vulneración, se anule el fallo condenatorio por delito de sedición”.</w:t>
      </w:r>
    </w:p>
    <w:p w:rsidR="005728DD" w:rsidRDefault="005728DD" w:rsidP="005728DD">
      <w:pPr>
        <w:pStyle w:val="TextoNormal"/>
      </w:pPr>
    </w:p>
    <w:p w:rsidR="005728DD" w:rsidRDefault="005728DD" w:rsidP="005728DD">
      <w:pPr>
        <w:pStyle w:val="TextoNormal"/>
      </w:pPr>
      <w:r>
        <w:t>3.12. Vulneración del derecho fundamental a la legalidad penal por imposición de una pena desproporcionada [art. 25.1 CE en relación con el art. 17 CE y el art. 49 de la Carta de los derechos fundamentales de la Unión Europea (CDFUE)] lesionándose asimismo los derechos fundamentales a la libertad, reunión pacífica y libertad de expresión e ideológica (arts. 17, 20 y 21 CE).</w:t>
      </w:r>
    </w:p>
    <w:p w:rsidR="005728DD" w:rsidRDefault="005728DD" w:rsidP="005728DD">
      <w:pPr>
        <w:pStyle w:val="TextoNormal"/>
      </w:pPr>
    </w:p>
    <w:p w:rsidR="005728DD" w:rsidRDefault="005728DD" w:rsidP="005728DD">
      <w:pPr>
        <w:pStyle w:val="TextoNormal"/>
      </w:pPr>
      <w:r>
        <w:t>El último motivo de la demanda de amparo comienza por invocar la STC 136/1999, de 20 de julio, en la que el tribunal incluyó dentro del principio de legalidad penal “la proscripción constitucional de penas desproporcionadas”. Añade que así se recoge también en el art. 49.3 CDFUE, precepto que reviste un “criterio hermenéutico de primer orden” con base en el art. 10.2 CE. A partir de este principio, se afirma que la indeterminación del tipo penal aplicado —sedición— también “propicia la imposición de penas desproporcionadas respecto de la gravedad del hecho, como las que se han impuesto a mi mandante, generándose un evidente efecto restrictivo desalentador en el ejercicio de derechos fundamentales, en especial de reunión y de libertad de expresión e ideológica. En adelante, cualquier persona que convoque una manifestación multitudinaria de protesta en la que —de modo más o menos previsible— algunos presentes incurran en excesos será candidato a ser considerado inductor a una sedición y castigado con penas mínimas de ocho años de prisión”. Tras citas de doctrina científica, se vuelve a la STC 136/1999 donde el Tribunal Constitucional, ante “situaciones limítrofes con el ejercicio de derechos con penas de prisión sumamente elevadas fue considerado incompatible con el art. 25.1 en relación con el art. 17 CE” (se reproducen pasajes de sus fundamentos jurídicos 30 y 20, en ese orden).</w:t>
      </w:r>
    </w:p>
    <w:p w:rsidR="005728DD" w:rsidRDefault="005728DD" w:rsidP="005728DD">
      <w:pPr>
        <w:pStyle w:val="TextoNormal"/>
      </w:pPr>
    </w:p>
    <w:p w:rsidR="005728DD" w:rsidRDefault="005728DD" w:rsidP="005728DD">
      <w:pPr>
        <w:pStyle w:val="TextoNormal"/>
      </w:pPr>
      <w:r>
        <w:lastRenderedPageBreak/>
        <w:t>La demanda dice no cuestionar que se sancionen penalmente conductas que amenacen seriamente el orden público pero, en este caso, desde la perspectiva de la proporcionalidad, “una perturbación del orden público que no ha supuesto daños personales relevantes y en las que no se esgrimieron armas, se han impuesto a los acusados penas gravísimas de prisión que rayan o superan los diez años de privación de libertad”, similar a las previstas para “el homicidio, los delitos más graves de agresión sexual o las formas más graves de privación de libertad ajena”, y que “desbordan con mucho las máximas previstas para el tipo penal de los desórdenes públicos, un tipo delictivo que abarca casos de actuaciones en grupo violentas pero los castiga con una pena máxima de tres años de prisión (art. 558 CP) o de seis años solo cuando se esgrimen armas (art. 55</w:t>
      </w:r>
      <w:r w:rsidRPr="005728DD">
        <w:rPr>
          <w:i/>
        </w:rPr>
        <w:t>7 b</w:t>
      </w:r>
      <w:r>
        <w:t>is CP)”.</w:t>
      </w:r>
    </w:p>
    <w:p w:rsidR="005728DD" w:rsidRDefault="005728DD" w:rsidP="005728DD">
      <w:pPr>
        <w:pStyle w:val="TextoNormal"/>
      </w:pPr>
    </w:p>
    <w:p w:rsidR="005728DD" w:rsidRDefault="005728DD" w:rsidP="005728DD">
      <w:pPr>
        <w:pStyle w:val="TextoNormal"/>
      </w:pPr>
      <w:r>
        <w:t>Se reprocha asimismo a la sala de enjuiciamiento no haber tenido en cuenta, respecto de los hechos del 20 de septiembre de 2017, que “la diligencia judicial pudo culminarse sin que nadie resultara lesionado (en pág. 361 se reconoce que la ‘obstrucción’ fue solo ‘parcial’), por lo que, en puridad, en el caso de este episodio, debió apreciarse una forma de imperfecta realización o de menor gravedad (art. 547 CP). Y lo mismo puede afirmarse respecto de los numerosos colegios electorales donde los efectivos policiales lograron de modo efectivo impedir las votaciones, dando así cumplimiento al mandato judicial. El impedimento del cumplimiento de las resoluciones judiciales solo fue en este caso parcial”.</w:t>
      </w:r>
    </w:p>
    <w:p w:rsidR="005728DD" w:rsidRDefault="005728DD" w:rsidP="005728DD">
      <w:pPr>
        <w:pStyle w:val="TextoNormal"/>
      </w:pPr>
    </w:p>
    <w:p w:rsidR="005728DD" w:rsidRDefault="005728DD" w:rsidP="005728DD">
      <w:pPr>
        <w:pStyle w:val="TextoNormal"/>
      </w:pPr>
      <w:r>
        <w:t>Tampoco tuvo en cuenta la sentencia, prosigue diciendo la demanda, al individualizar la pena aplicada al recurrente, que el delito por el que fue condenado “se produjo en un contexto de ejercicio de derechos fundamentales, pese a que la Sala ha reconocido implícitamente que los ciudadanos que se ‘alzaron’ sí se encontraban ejerciendo tales derechos en la medida en que nadie ha sido acusado por su movilización, como reitera varias veces la sentencia. Tal constatación debió traducirse, cuando menos, en la aplicación de una muy importante atenuación punitiva, que pudo vehicularse perfectamente a través del art. 20.7 CP, alegado por la defensa como eximente en el acto del juicio y cuya apreciación como eximente incompleta habría permitido imponer penas muy alejadas de los castigos absolutamente desproporcionados que se han acabado imponiendo”.</w:t>
      </w:r>
    </w:p>
    <w:p w:rsidR="005728DD" w:rsidRDefault="005728DD" w:rsidP="005728DD">
      <w:pPr>
        <w:pStyle w:val="TextoNormal"/>
      </w:pPr>
    </w:p>
    <w:p w:rsidR="005728DD" w:rsidRDefault="005728DD" w:rsidP="005728DD">
      <w:pPr>
        <w:pStyle w:val="TextoNormal"/>
      </w:pPr>
      <w:r>
        <w:t>Luego de aludir de nuevo al informe de Amnistía Internacional y el efecto desalentador de una condena por sedición en cuanto a participar en manifestaciones y protestas pacíficas, se refiere la demanda al auto de 29 de enero de 2020 que rechazó este motivo en los incidentes de nulidad, para lo cual, critica que se haya valido de “valoraciones sobre la ideología política de los procesados que son completamente ajenas al tipo penal de la sedición”. Con ello, “el ejercicio de derechos como la libertad ideológica o de reunión y manifestación pasa a convertirse en una circunstancia agravante de la responsabilidad penal en lugar de actuar como causa de justificación (siquiera parcial) de la responsabilidad criminal”.</w:t>
      </w:r>
    </w:p>
    <w:p w:rsidR="005728DD" w:rsidRDefault="005728DD" w:rsidP="005728DD">
      <w:pPr>
        <w:pStyle w:val="TextoNormal"/>
      </w:pPr>
    </w:p>
    <w:p w:rsidR="005728DD" w:rsidRDefault="005728DD" w:rsidP="005728DD">
      <w:pPr>
        <w:pStyle w:val="TextoNormal"/>
      </w:pPr>
      <w:r>
        <w:t>Finaliza esta queja diciendo que “se solicita de nuevo que se anule la resolución cuestionada en lo que respecta a la condena por el delito de sedición y a la pena impuesta al ser tales extremos incompatibles con los arts. 25.1 CE y 7 CEDH, en relación con los restantes derechos fundamentales citados (reunión pacífica, libertad ideológica y de expresión y libertad)”.</w:t>
      </w:r>
    </w:p>
    <w:p w:rsidR="005728DD" w:rsidRDefault="005728DD" w:rsidP="005728DD">
      <w:pPr>
        <w:pStyle w:val="TextoNormal"/>
      </w:pPr>
    </w:p>
    <w:p w:rsidR="005728DD" w:rsidRDefault="005728DD" w:rsidP="005728DD">
      <w:pPr>
        <w:pStyle w:val="TextoNormal"/>
      </w:pPr>
      <w:r>
        <w:t xml:space="preserve">Concluye el recurrente interesando la admisión a trámite de la demanda y que se dicte sentencia otorgando el amparo solicitado, acordando este tribunal: “1) Otorgar el amparo y </w:t>
      </w:r>
      <w:r>
        <w:lastRenderedPageBreak/>
        <w:t>reconocer al demandante sus derechos fundamentales a la no discriminación por razones lingüísticas (art. 14 CE), a la libertad ideológica (art. 16 CE), a la libertad (art. 17 CE), a los derechos de reunión y manifestación (art. 21 CE), a la defensa, la tutela judicial efectiva y a un proceso con todas las garantías (art. 24 CE) y a la legalidad penal (art. 25.1 CE); 2) Reparar dicha vulneración declarando la nulidad de la sentencia de 14/10/2019 dictada por la Sala Segunda del Tribunal Supremo en la causa especial núm. 20907-2017 y del posterior auto de 29/01/2020 por el que se desestimó el incidente de nulidad de actuaciones promovido contra dicha resolución”.</w:t>
      </w:r>
    </w:p>
    <w:p w:rsidR="005728DD" w:rsidRDefault="005728DD" w:rsidP="005728DD">
      <w:pPr>
        <w:pStyle w:val="TextoNormal"/>
      </w:pPr>
    </w:p>
    <w:p w:rsidR="005728DD" w:rsidRDefault="005728DD" w:rsidP="005728DD">
      <w:pPr>
        <w:pStyle w:val="TextoNormal"/>
      </w:pPr>
      <w:r>
        <w:t>Finalmente, por otrosí primero interesó que, conforme a lo dispuesto en el art. 56 de la Ley Orgánica del Tribunal Constitucional (LOTC), se acordara la suspensión cautelar de los efectos de la sentencia condenatoria. A fin de reducir al máximo la afectación de su libertad y sus derechos políticos, dado que cada día de privación de libertad y de inhabilitación le ocasionan un daño irreversible e irreparable, solicitó que la petición de suspensión se tramitara y resolviera conforme a lo previsto en el art. 56.6 LOTC.</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6 de mayo de 2020, el Pleno de este tribunal, a propuesta de su presidente [art. 10.1 n) LOTC], acordó recabar para sí el conocimiento del recurso de amparo y admitirlo a trámite, por apreciar que concurre en el mismo una especial trascendencia constitucional (art. 50.1 LOTC), dado que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rsidR="005728DD" w:rsidRDefault="005728DD" w:rsidP="005728DD">
      <w:pPr>
        <w:pStyle w:val="TextoNormal"/>
      </w:pPr>
    </w:p>
    <w:p w:rsidR="005728DD" w:rsidRDefault="005728DD" w:rsidP="005728DD">
      <w:pPr>
        <w:pStyle w:val="TextoNormal"/>
      </w:pPr>
      <w:r>
        <w:t>A tenor de lo establecido en el art. 51 LOTC, acordó también dirigir atenta comunicación a la Sala de lo Penal del Tribunal Supremo para que, en plazo que no excediera de diez días, remitiera certificación o fotocopia adverada de las actuaciones correspondientes al auto de 29 de enero de 2020 y a la sentencia de 14 de octubre de 2019, dictados en la causa especial núm. 20907-2017; interesando al mismo tiempo que se emplazara a quienes fueron parte en el procedimiento, a excepción de la demandante de amparo, para que en el plazo de diez días pudiesen comparecer, si lo desean, en este proceso constitucional.</w:t>
      </w:r>
    </w:p>
    <w:p w:rsidR="005728DD" w:rsidRDefault="005728DD" w:rsidP="005728DD">
      <w:pPr>
        <w:pStyle w:val="TextoNormal"/>
      </w:pPr>
    </w:p>
    <w:p w:rsidR="005728DD" w:rsidRDefault="005728DD" w:rsidP="005728DD">
      <w:pPr>
        <w:pStyle w:val="TextoNormal"/>
      </w:pPr>
      <w:r>
        <w:t xml:space="preserve">En relación con la solicitud de suspensión formulada en la demanda de amparo mediante otrosí, el Pleno no apreció la urgencia excepcional a la que se refiere el art. 56.6 LOTC, que justificaría su adopción </w:t>
      </w:r>
      <w:r w:rsidRPr="005728DD">
        <w:rPr>
          <w:i/>
        </w:rPr>
        <w:t>inaudita parte</w:t>
      </w:r>
      <w:r>
        <w:t xml:space="preserve"> de forma inmotivada, por lo que, a fin de resolver sobre la misma, se acordó formar la oportuna pieza separada y, en ella, conceder un plazo de tres días al Ministerio Fiscal y al solicitante de amparo para que efectúen alegaciones respecto a dicha petición.</w:t>
      </w:r>
    </w:p>
    <w:p w:rsidR="005728DD" w:rsidRDefault="005728DD" w:rsidP="005728DD">
      <w:pPr>
        <w:pStyle w:val="TextoNormal"/>
      </w:pPr>
    </w:p>
    <w:p w:rsidR="005728DD" w:rsidRDefault="005728DD" w:rsidP="005728DD">
      <w:pPr>
        <w:pStyle w:val="TextoNormal"/>
      </w:pPr>
      <w:r>
        <w:t>Mediante providencia de igual fecha se formó la correspondiente pieza separada de suspensión y, de conformidad con lo previsto en el art. 56 LOTC, se concedió un plazo común de tres días al Ministerio Fiscal y al solicitante de amparo para que pudieran alegar lo que estimaran pertinente en relación con la petición de suspensión interesada. Por ATC 59/2020, de 17 de junio, se acordó denegar la medida cautelar solicitada.</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de fecha 28 de mayo del 2020, la procuradora de los tribunales doña Pilar Hidalgo López, en nombre y representación del partido político Vox y asistida de la letrada doña Marta Castro Fuertes, interesó que se la tuviera por personada y parte.</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de fecha 5 de junio del 2020, la abogacía del Estado, en la representación que le es propia, solicitó que se la tuviera por personada y parte.</w:t>
      </w:r>
    </w:p>
    <w:p w:rsidR="005728DD" w:rsidRDefault="005728DD" w:rsidP="005728DD">
      <w:pPr>
        <w:pStyle w:val="TextoNormal"/>
      </w:pPr>
    </w:p>
    <w:p w:rsidR="005728DD" w:rsidRDefault="005728DD" w:rsidP="005728DD">
      <w:pPr>
        <w:pStyle w:val="TextoNormal"/>
      </w:pPr>
      <w:r w:rsidRPr="005728DD">
        <w:rPr>
          <w:rStyle w:val="NumeroAFNegritaCaracter"/>
        </w:rPr>
        <w:t>7</w:t>
      </w:r>
      <w:r>
        <w:t>. El 18 de junio siguiente, el procurador de los tribunales don Carlos Ricardo Estévez Sanz interesó que se le tuviera por personado y parte, en nombre y representación de don Carles Puigdemont i Casamajó, con la asistencia del letrado don Gonzalo Boye Tuset.</w:t>
      </w:r>
    </w:p>
    <w:p w:rsidR="005728DD" w:rsidRDefault="005728DD" w:rsidP="005728DD">
      <w:pPr>
        <w:pStyle w:val="TextoNormal"/>
      </w:pPr>
    </w:p>
    <w:p w:rsidR="005728DD" w:rsidRDefault="005728DD" w:rsidP="005728DD">
      <w:pPr>
        <w:pStyle w:val="TextoNormal"/>
      </w:pPr>
      <w:r w:rsidRPr="005728DD">
        <w:rPr>
          <w:rStyle w:val="NumeroAFNegritaCaracter"/>
        </w:rPr>
        <w:t>8</w:t>
      </w:r>
      <w:r>
        <w:t>. Por diligencia de ordenación de 28 de septiembre de 2020, la secretaria del Pleno de este tribunal acordó tener por personados al partido político Vox, al abogado del Estado y a don Carles Puigdemont i Casamajó. A tenor de lo dispuesto en el art. 52 LOTC, se dio vista de todas las actuaciones del presente recurso de amparo, por un plazo común de veinte días, al Ministerio Fiscal y a las partes personadas, para que dentro de dicho término pudieran presentar las alegaciones que a su derecho convenga.</w:t>
      </w:r>
    </w:p>
    <w:p w:rsidR="005728DD" w:rsidRDefault="005728DD" w:rsidP="005728DD">
      <w:pPr>
        <w:pStyle w:val="TextoNormal"/>
      </w:pPr>
    </w:p>
    <w:p w:rsidR="005728DD" w:rsidRDefault="005728DD" w:rsidP="005728DD">
      <w:pPr>
        <w:pStyle w:val="TextoNormal"/>
      </w:pPr>
      <w:r w:rsidRPr="005728DD">
        <w:rPr>
          <w:rStyle w:val="NumeroAFNegritaCaracter"/>
        </w:rPr>
        <w:t>9</w:t>
      </w:r>
      <w:r>
        <w:t>. En fecha 27 de octubre de 2020, la abogacía del Estado presentó su escrito de alegaciones, cuya sistemática se adecúa al orden y esquema de las vulneraciones invocadas por el recurrente.</w:t>
      </w:r>
    </w:p>
    <w:p w:rsidR="005728DD" w:rsidRDefault="005728DD" w:rsidP="005728DD">
      <w:pPr>
        <w:pStyle w:val="TextoNormal"/>
      </w:pPr>
    </w:p>
    <w:p w:rsidR="005728DD" w:rsidRDefault="005728DD" w:rsidP="005728DD">
      <w:pPr>
        <w:pStyle w:val="TextoNormal"/>
      </w:pPr>
      <w:r>
        <w:t xml:space="preserve">9.1. En primer lugar analiza la denuncia de vulneración del derecho al juez ordinario predeterminado por la ley (art. 24.2 CE). Tras extractar la doctrina constitucional que consideró aplicable al caso, con transcripción parcial de la STC 159/2014, de 6 de octubre, FJ 3, así como de la STEDH de 5 de octubre de 2010, asunto </w:t>
      </w:r>
      <w:r w:rsidRPr="005728DD">
        <w:rPr>
          <w:i/>
        </w:rPr>
        <w:t>DMD Group A.S. c. Eslovaquia</w:t>
      </w:r>
      <w:r>
        <w:t xml:space="preserve">, apunta que los órganos judiciales no han llevado a cabo una interpretación que suponga una manipulación manifiesta de las reglas legales sobre atribución de competencias ni que hayan incurrido en error evidente,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determinado la competencia en los términos reflejados en la pág. 256 de la sentencia, esto es en función de un juicio </w:t>
      </w:r>
      <w:r w:rsidRPr="005728DD">
        <w:rPr>
          <w:i/>
        </w:rPr>
        <w:t>ex ante</w:t>
      </w:r>
      <w:r>
        <w:t xml:space="preserve"> que versa sobre la pretensión acusatoria, que no se puede ver revertida ni afectada por la decisión final. Trae a colación, como ejemplo de doctrina consolidada, el argumento que figura en la STS 484/2010, de 26 de mayo: en, síntesis, “que son los hechos y la calificación jurídica de la acusación los que deben de servir de base para la determinación de la competencia objetiva a los efectos del art. 14.3 y 14.4 LECrim”.</w:t>
      </w:r>
    </w:p>
    <w:p w:rsidR="005728DD" w:rsidRDefault="005728DD" w:rsidP="005728DD">
      <w:pPr>
        <w:pStyle w:val="TextoNormal"/>
      </w:pPr>
    </w:p>
    <w:p w:rsidR="005728DD" w:rsidRDefault="005728DD" w:rsidP="005728DD">
      <w:pPr>
        <w:pStyle w:val="TextoNormal"/>
      </w:pPr>
      <w:r>
        <w:t xml:space="preserve">Añade que la demanda se centra en formular una crítica aislada y descontextualizada de frases y párrafos concretos de las resoluciones que se pronuncian sobre la competencia y de los argumentos </w:t>
      </w:r>
      <w:r w:rsidRPr="005728DD">
        <w:rPr>
          <w:i/>
        </w:rPr>
        <w:t>obiter dicta</w:t>
      </w:r>
      <w:r>
        <w:t xml:space="preserve"> de la sentencia. En suma, afirma que no se ofrece un alegato que ponga de manifiesto la irrazonabilidad y arbitrariedad del criterio judicial. A fin de desvirtuar los argumentos dados por el recurrente , que minimizan los hechos acaecidos fuera de Cataluña, la abogacía del Estado también trae a colación el razonamiento expuesto en el ATS de 18 de enero de 2019, que pone en valor la particular naturaleza de los delitos de rebelión y sedición; esto es, como infracciones de ”resultado cortado”, cuyo aspecto di</w:t>
      </w:r>
      <w:r>
        <w:lastRenderedPageBreak/>
        <w:t>ferencial, respecto de los delitos de lesión, reside en que para su consumación solo se requiere que se materialice el riesgo o peligro que se trata de precaver. Y añade que, a partir de ese entendimiento, queda esclarecido cuál es el lugar de comisión del delito de rebelión cuando la finalidad es declarar la independencia de una parte del territorio nacional.</w:t>
      </w:r>
    </w:p>
    <w:p w:rsidR="005728DD" w:rsidRDefault="005728DD" w:rsidP="005728DD">
      <w:pPr>
        <w:pStyle w:val="TextoNormal"/>
      </w:pPr>
    </w:p>
    <w:p w:rsidR="005728DD" w:rsidRDefault="005728DD" w:rsidP="005728DD">
      <w:pPr>
        <w:pStyle w:val="TextoNormal"/>
      </w:pPr>
      <w:r>
        <w:t xml:space="preserve">En relación con el delito de malversación se refutan las objeciones planteadas en la demanda respecto del criterio de “unidad patrimonial de todas las administraciones públicas”, pauta a la que el Tribunal Supremo se acogió. Sostiene que en la demanda se obvia el razonamiento dado en el ATS de 27 de diciembre de 2018, alusivo a la desatención, por los principales procesados, de los requerimientos del Ministerio de Hacienda para ofrecer información acerca del gasto injustificado de fondos. También aduce que el alegato referido a que, durante la celebración del juicio, algunos procesados ya ostentaban la condición de diputados no es más que un argumento </w:t>
      </w:r>
      <w:r w:rsidRPr="005728DD">
        <w:rPr>
          <w:i/>
        </w:rPr>
        <w:t>obiter dictum</w:t>
      </w:r>
      <w:r>
        <w:t xml:space="preserve"> y que respecto de la denunciada contradicción con pronunciamientos anteriores del Tribunal Supremo, se remite a lo manifestado en los fundamentos jurídicos 4.1.2. 3 y 4 de la sentencia.</w:t>
      </w:r>
    </w:p>
    <w:p w:rsidR="005728DD" w:rsidRDefault="005728DD" w:rsidP="005728DD">
      <w:pPr>
        <w:pStyle w:val="TextoNormal"/>
      </w:pPr>
    </w:p>
    <w:p w:rsidR="005728DD" w:rsidRDefault="005728DD" w:rsidP="005728DD">
      <w:pPr>
        <w:pStyle w:val="TextoNormal"/>
      </w:pPr>
      <w:r>
        <w:t>9.2. Sobre la alegada privación del derecho a la doble instancia en materia penal, derivada de la anterior lesión, el abogado del Estado también rechaza esa vulneración, pues el propio art. 2 del Protocolo núm. 7 CEDH prevé, en su apartado 2, que el derecho a que la declaración de culpabilidad o de condena sea examinado por una jurisdicción superior “podrá ser objeto de excepciones para infracciones penales de menor gravedad, según los defina la ley, o cuando el interesado haya sido juzgado en primera instancia por el más alto órgano jurisdiccional”. Esta segunda excepción es la que ha concurrido en el presente caso por razón de aforamiento, cuya constitucionalidad ha sido reconocida por este tribunal, amén de que tampoco resulta contraria a lo establecido en el art. 14.5 del Pacto internacional de derechos civiles y políticos.</w:t>
      </w:r>
    </w:p>
    <w:p w:rsidR="005728DD" w:rsidRDefault="005728DD" w:rsidP="005728DD">
      <w:pPr>
        <w:pStyle w:val="TextoNormal"/>
      </w:pPr>
    </w:p>
    <w:p w:rsidR="005728DD" w:rsidRDefault="005728DD" w:rsidP="005728DD">
      <w:pPr>
        <w:pStyle w:val="TextoNormal"/>
      </w:pPr>
      <w:r>
        <w:t>9.3. También se rechaza la denuncia de vulneración asociada al art. 24.2 CE, por la negativa a utilizar el sistema de traducción simultánea respecto de aquellos procesados que solicitaron expresamente declarar en el idioma catalán. Tras transcribir lo alegado por el órgano de enjuiciamiento en el fundamento jurídico 3.2, la abogacía del Estado colige que la configuración del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No obstante, señala que, en el presente caso, se pusieron traductores oficiales a disposición de la defensa y se concedió a los procesados la posibilidad de utilizar este idioma en sus respuestas.</w:t>
      </w:r>
    </w:p>
    <w:p w:rsidR="005728DD" w:rsidRDefault="005728DD" w:rsidP="005728DD">
      <w:pPr>
        <w:pStyle w:val="TextoNormal"/>
      </w:pPr>
    </w:p>
    <w:p w:rsidR="005728DD" w:rsidRDefault="005728DD" w:rsidP="005728DD">
      <w:pPr>
        <w:pStyle w:val="TextoNormal"/>
      </w:pPr>
      <w:r>
        <w:t>Tampoco se acepta la lesión del derecho a defensa, fundada en que no se permitió a los testigos declarar en catalán, so pretexto de verse afectada la credibilidad de su testimonio por no poder expresarse “con toda naturalidad”. Sobre este particular, se remite al contundente argumento de la sentencia: los tres testigos no solo tenían obligación de conocer el castellano, sino que por razón de sus cargos eran perfectamente conocedores de esa lengua; a lo que se añade que esos testimonios fueron inanes desde el punto de vista probatorio, por lo que no incidieron en el derecho de defensa.</w:t>
      </w:r>
    </w:p>
    <w:p w:rsidR="005728DD" w:rsidRDefault="005728DD" w:rsidP="005728DD">
      <w:pPr>
        <w:pStyle w:val="TextoNormal"/>
      </w:pPr>
    </w:p>
    <w:p w:rsidR="005728DD" w:rsidRDefault="005728DD" w:rsidP="005728DD">
      <w:pPr>
        <w:pStyle w:val="TextoNormal"/>
      </w:pPr>
      <w:r>
        <w:t xml:space="preserve">9.4. La vulneración del derecho al juez imparcial debe ser analizada, según se indica en las alegaciones, como parte de una estrategia procesal tendente a construir una causa general </w:t>
      </w:r>
      <w:r>
        <w:lastRenderedPageBreak/>
        <w:t>contra la justicia española y, en particular, contra el Tribunal Supremo, al prefabricar de modo abusivo una apariencia de parcialidad. Ello determina que la posición del recurrente, en tanto que emisor de la queja, pierda su virtualidad y peso en la ponderación, pues si bien el punto de vista de quien emite la queja ha de tenerse en cuenta “el canon debe ser estricto cuando el sentimiento se invoca por quien ha seguido una conducta procesal abusiva que denuncia la STS de continua referencia”.</w:t>
      </w:r>
    </w:p>
    <w:p w:rsidR="005728DD" w:rsidRDefault="005728DD" w:rsidP="005728DD">
      <w:pPr>
        <w:pStyle w:val="TextoNormal"/>
      </w:pPr>
    </w:p>
    <w:p w:rsidR="005728DD" w:rsidRDefault="005728DD" w:rsidP="005728DD">
      <w:pPr>
        <w:pStyle w:val="TextoNormal"/>
      </w:pPr>
      <w:r>
        <w:t>a) Se niega que la frase que obra en el auto de procesamiento “la estrategia que sufrimos” tenga virtualidad alguna, pues lo que hace el magistrado instructor es reproducir la misma frase referida al Libro Blanco, de manera que la misma únicamente guarda relación con la exposición del desarrollo de la estrategia secesionista que se recogía en el referido Libro Blanco, referida en el auto de procesamiento y en el auto de 12 de abril. También trae a colación lo razonado en el auto de la sala de recursos, de 18 de junio de 2018, a fin de descartar el reproche de la pérdida de imparcialidad por este motivo.</w:t>
      </w:r>
    </w:p>
    <w:p w:rsidR="005728DD" w:rsidRDefault="005728DD" w:rsidP="005728DD">
      <w:pPr>
        <w:pStyle w:val="TextoNormal"/>
      </w:pPr>
    </w:p>
    <w:p w:rsidR="005728DD" w:rsidRDefault="005728DD" w:rsidP="005728DD">
      <w:pPr>
        <w:pStyle w:val="TextoNormal"/>
      </w:pPr>
      <w:r>
        <w:t>b) También se rechaza la queja asociada a la pérdida de imparcialidad del magistrado señor Monterde, miembro de la sala de recursos, sustentada en los mensajes difundidos por la asociación judicial de la que era vicepresidente. El abogado del Estado asume la apreciada extemporaneidad de la queja, dado que la composición de ese órgano se publicó en fecha de 21 de diciembre de 2016, por acuerdo de la comisión permanente del Consejo General del Poder Judicial (CGPJ), amén de que los mensajes fueron emitidos por personas “no identificadas” y no por el referido magistrado.</w:t>
      </w:r>
    </w:p>
    <w:p w:rsidR="005728DD" w:rsidRDefault="005728DD" w:rsidP="005728DD">
      <w:pPr>
        <w:pStyle w:val="TextoNormal"/>
      </w:pPr>
    </w:p>
    <w:p w:rsidR="005728DD" w:rsidRDefault="005728DD" w:rsidP="005728DD">
      <w:pPr>
        <w:pStyle w:val="TextoNormal"/>
      </w:pPr>
      <w:r>
        <w:t>c) El hecho de que el órgano de enjuiciamiento estuviera constituido por algunos magistrados que formaron parte de la sala que admitió la querella tampoco conculca el derecho al juez imparcial. En el auto de fecha 31 de octubre de 2017, por el que se admite a trámite la querella interpuesta por el fiscal, no figura ni una sola frase o razonamiento que conlleve una valoración de la tipicidad de los hechos relatados, pues la decisión de admitir se funda en los extremos que se relatan en el escrito de querella, cuya realidad sería confirmada o desmentida en función del resultado de las diligencias practicadas por el instructor. Por otro lado, tampoco el demandante cumple con la carga argumental de proyectar sobre el auto de admisión el efecto que le atribuye, por lo que en este punto el amparo es genérico.</w:t>
      </w:r>
    </w:p>
    <w:p w:rsidR="005728DD" w:rsidRDefault="005728DD" w:rsidP="005728DD">
      <w:pPr>
        <w:pStyle w:val="TextoNormal"/>
      </w:pPr>
    </w:p>
    <w:p w:rsidR="005728DD" w:rsidRDefault="005728DD" w:rsidP="005728DD">
      <w:pPr>
        <w:pStyle w:val="TextoNormal"/>
      </w:pPr>
      <w:r>
        <w:t>d) Tampoco comparte la queja relativa a que el magistrado instructor designado formara parte de la Sala Segunda del Tribunal Supremo; es decir, del órgano de enjuiciamiento. Esa circunstancia no figura recogida en el elenco de causas de abstención y recusación, sujetas a interpretación restrictiva, sin que tampoco el recurrente haya acreditado la existencia de los contactos y comunicaciones que en la demanda se indican.</w:t>
      </w:r>
    </w:p>
    <w:p w:rsidR="005728DD" w:rsidRDefault="005728DD" w:rsidP="005728DD">
      <w:pPr>
        <w:pStyle w:val="TextoNormal"/>
      </w:pPr>
    </w:p>
    <w:p w:rsidR="005728DD" w:rsidRDefault="005728DD" w:rsidP="005728DD">
      <w:pPr>
        <w:pStyle w:val="TextoNormal"/>
      </w:pPr>
      <w:r>
        <w:t>e) En relación con el contenido del mensaje telemático atribuido al señor Cosidó, el abogado del Estado se remite al contenido del fundamento jurídico 5.5 y 6 del auto 7/2018, de la Sala especial del art. 61 LOPJ, a fin de descartar la merma de la imparcialidad que se atribuye al presidente del tribunal enjuiciador, pues la imparcialidad de un magistrado solo puede valorarse a partir de lo que este dice o hace o, incluso, de lo que aparente, pero no con base en la opinión de un tercero.</w:t>
      </w:r>
    </w:p>
    <w:p w:rsidR="005728DD" w:rsidRDefault="005728DD" w:rsidP="005728DD">
      <w:pPr>
        <w:pStyle w:val="TextoNormal"/>
      </w:pPr>
    </w:p>
    <w:p w:rsidR="005728DD" w:rsidRDefault="005728DD" w:rsidP="005728DD">
      <w:pPr>
        <w:pStyle w:val="TextoNormal"/>
      </w:pPr>
      <w:r>
        <w:t xml:space="preserve">f) El hecho de que el incidente de nulidad de actuaciones fuera resuelto por los mismos magistrados que dictaron la sentencia tampoco vulnera el derecho al juez imparcial, toda </w:t>
      </w:r>
      <w:r>
        <w:lastRenderedPageBreak/>
        <w:t>vez que, conforme a la doctrina establecida en la STC 152/2015, FJ 9, si hubieran intervenido otros magistrados, como solicitó el recurrente, se habría conculcado el derecho al juez ordinario predeterminado por la ley.</w:t>
      </w:r>
    </w:p>
    <w:p w:rsidR="005728DD" w:rsidRDefault="005728DD" w:rsidP="005728DD">
      <w:pPr>
        <w:pStyle w:val="TextoNormal"/>
      </w:pPr>
    </w:p>
    <w:p w:rsidR="005728DD" w:rsidRDefault="005728DD" w:rsidP="005728DD">
      <w:pPr>
        <w:pStyle w:val="TextoNormal"/>
      </w:pPr>
      <w:r>
        <w:t>g) También se rechaza el motivo asociado a la pretendida asunción de un “papel inquisitivo” por parte del presidente del tribunal enjuiciador. La abogacía del Estado detalla el contexto de la pregunta formulada por el fiscal al señor Trapero, que fue objetada por la defensa del señor Forn; y al ser acogida la queja por la sala, tras finalizar las defensas el turno de interrogatorios, la presidencia formuló la pregunta al amparo de lo dispuesto en el art. 708 LECrim, cuya justificación se detalla en el fundamento jurídico 16.3.5.3 de la sentencia. En cualquier caso, tanto la pregunta como la respuesta resultó inane para la defensa del demandante de amparo, pues ni este estaba presente en la reunión de 28 de septiembre de 2017 ni en el juicio de autoría que respecto de aquel se formula sale a colación la referida reunión.</w:t>
      </w:r>
    </w:p>
    <w:p w:rsidR="005728DD" w:rsidRDefault="005728DD" w:rsidP="005728DD">
      <w:pPr>
        <w:pStyle w:val="TextoNormal"/>
      </w:pPr>
    </w:p>
    <w:p w:rsidR="005728DD" w:rsidRDefault="005728DD" w:rsidP="005728DD">
      <w:pPr>
        <w:pStyle w:val="TextoNormal"/>
      </w:pPr>
      <w:r>
        <w:t>9.5. En el apartado relativo a las quejas atinentes a la quiebra del principio de igualdad de armas, las consideraciones que se formulan son las siguientes:</w:t>
      </w:r>
    </w:p>
    <w:p w:rsidR="005728DD" w:rsidRDefault="005728DD" w:rsidP="005728DD">
      <w:pPr>
        <w:pStyle w:val="TextoNormal"/>
      </w:pPr>
    </w:p>
    <w:p w:rsidR="005728DD" w:rsidRDefault="005728DD" w:rsidP="005728DD">
      <w:pPr>
        <w:pStyle w:val="TextoNormal"/>
      </w:pPr>
      <w:r>
        <w:t>a) En relación con el trato peyorativo dado a las defensas al valorar la pertinencia de sus preguntas, el abogado del Estado también rechaza que ese trato hubiera tenido lugar, remitiéndose a las razones dadas en el fundamento jurídico 16.2.2 y 4 de la sentencia.</w:t>
      </w:r>
    </w:p>
    <w:p w:rsidR="005728DD" w:rsidRDefault="005728DD" w:rsidP="005728DD">
      <w:pPr>
        <w:pStyle w:val="TextoNormal"/>
      </w:pPr>
    </w:p>
    <w:p w:rsidR="005728DD" w:rsidRDefault="005728DD" w:rsidP="005728DD">
      <w:pPr>
        <w:pStyle w:val="TextoNormal"/>
      </w:pPr>
      <w:r>
        <w:t>b) También rechaza que se produjera una desigualdad de trato por el hecho de que a las acusaciones se les permitiera formular preguntas sobre la afiliación política e ideológica de los testigos, pero se impidiera hacerlo a las defensas. Sobre este punto se remite a lo razonado en el fundamento jurídico 16.3.1 y 2 de la sentencia.</w:t>
      </w:r>
    </w:p>
    <w:p w:rsidR="005728DD" w:rsidRDefault="005728DD" w:rsidP="005728DD">
      <w:pPr>
        <w:pStyle w:val="TextoNormal"/>
      </w:pPr>
    </w:p>
    <w:p w:rsidR="005728DD" w:rsidRDefault="005728DD" w:rsidP="005728DD">
      <w:pPr>
        <w:pStyle w:val="TextoNormal"/>
      </w:pPr>
      <w:r>
        <w:t>c) Respecto del alegato relativo a que los testigos propuestos por las partes acusadoras pudieron exponer abiertamente sus valoraciones personales, mientras que los de la defensa no, sin que tampoco se les permitiera a estos últimos consultar notas, se aduce que el recurrente reproduce íntegramente lo alegado en el juicio oral, sin añadir carga argumental que critique la respuesta dada en sentencia, que desestima esa alegación en el fundamento jurídico 16.3.3 y 4.</w:t>
      </w:r>
    </w:p>
    <w:p w:rsidR="005728DD" w:rsidRDefault="005728DD" w:rsidP="005728DD">
      <w:pPr>
        <w:pStyle w:val="TextoNormal"/>
      </w:pPr>
    </w:p>
    <w:p w:rsidR="005728DD" w:rsidRDefault="005728DD" w:rsidP="005728DD">
      <w:pPr>
        <w:pStyle w:val="TextoNormal"/>
      </w:pPr>
      <w:r>
        <w:t>d) Tampoco la censura que la presidencia dirigió al letrado de la demandante, por el empleo del término “ley de ritos”, pone de manifiesto el trato desfavorable que se denuncia. Añade que la sentencia ya explica las razones que hicieron oportuna la corrección, sin que, dado el contexto de la misma, de nada sirva invocar el repertorio de casos en que el Tribunal Supremo utilizó esa expresión en otros asuntos pretéritos.</w:t>
      </w:r>
    </w:p>
    <w:p w:rsidR="005728DD" w:rsidRDefault="005728DD" w:rsidP="005728DD">
      <w:pPr>
        <w:pStyle w:val="TextoNormal"/>
      </w:pPr>
    </w:p>
    <w:p w:rsidR="005728DD" w:rsidRDefault="005728DD" w:rsidP="005728DD">
      <w:pPr>
        <w:pStyle w:val="TextoNormal"/>
      </w:pPr>
      <w:r>
        <w:t>9.6. A continuación, el abogado del Estado analiza otro bloque de quejas que, según la demanda, guardan relación con vulneraciones del derecho de defensa.</w:t>
      </w:r>
    </w:p>
    <w:p w:rsidR="005728DD" w:rsidRDefault="005728DD" w:rsidP="005728DD">
      <w:pPr>
        <w:pStyle w:val="TextoNormal"/>
      </w:pPr>
    </w:p>
    <w:p w:rsidR="005728DD" w:rsidRDefault="005728DD" w:rsidP="005728DD">
      <w:pPr>
        <w:pStyle w:val="TextoNormal"/>
      </w:pPr>
      <w:r>
        <w:t xml:space="preserve">a) En primer lugar, se analiza la denuncia referida a la negativa a incorporar el testimonio íntegro del procedimiento seguido ante el Juzgado de Instrucción núm. 13 de Barcelona. Al respecto, se exponen las razones dadas en la sentencia sobre esa queja; en síntesis, que “[e]l bloque probatorio sobre el que se ha construido la apreciación del tribunal se ha generado, de forma única y exclusiva, en el plenario. Nada de lo que aquí se razona para respaldar el </w:t>
      </w:r>
      <w:r>
        <w:lastRenderedPageBreak/>
        <w:t>juicio de autoría ha sido ajeno a la contradicción de las partes y, por tanto, al ejercicio legítimo del derecho de defensa”.</w:t>
      </w:r>
    </w:p>
    <w:p w:rsidR="005728DD" w:rsidRDefault="005728DD" w:rsidP="005728DD">
      <w:pPr>
        <w:pStyle w:val="TextoNormal"/>
      </w:pPr>
    </w:p>
    <w:p w:rsidR="005728DD" w:rsidRDefault="005728DD" w:rsidP="005728DD">
      <w:pPr>
        <w:pStyle w:val="TextoNormal"/>
      </w:pPr>
      <w:r>
        <w:t>b) En cuanto a la “atomización procesal” y la ruptura de la continencia de la causa que se denuncia, se aduce que tal circunstancia es fruto de los aforamientos y del mandato legal restrictivo acerca del enjuiciamiento de delitos conexos, tras la reforma operada por la Ley 41/2015, de 5 de octubre. Se trae a colación el criterio seguido por el instructor, en el auto de 15 de febrero de 2018, y de la Sala, en el auto de 27 de diciembre de 2018, que rechazaron por exorbitante el criterio de incluir, dentro de la causa especial, a todos aquellos que prestaron su colaboración a la hora de ejecutar el plan estratégico ideado e impulsado por los representantes políticos y sociales; y sobre ese argumento, señala que en el recurso de amparo nada se opone, por lo que sus alegaciones en este punto vuelven a ser valoradas como genéricas.</w:t>
      </w:r>
    </w:p>
    <w:p w:rsidR="005728DD" w:rsidRDefault="005728DD" w:rsidP="005728DD">
      <w:pPr>
        <w:pStyle w:val="TextoNormal"/>
      </w:pPr>
    </w:p>
    <w:p w:rsidR="005728DD" w:rsidRDefault="005728DD" w:rsidP="005728DD">
      <w:pPr>
        <w:pStyle w:val="TextoNormal"/>
      </w:pPr>
      <w:r>
        <w:t>c) También niega que se haya impedido a las defensas conocer con tiempo suficiente, los elementos incorporados de otras causas durante la instrucción, amén de interesar la incorporación de lo que estimaran pertinente, sin perjuicio de la ulterior decisión del instructor y de la sala. Matiza la abogacía del Estado que existe un derecho de acceso a todos los documentos que van a ser valorados, pero no un derecho de acceso en calidad de “imputado preventivo” a otras causas, a fin de esclarecer si incide en el derecho de defensa, pues ello supondría convertir la causa especial en un continente formal para incorporar, por aluvión, todos los procedimientos seguidos por hechos diferentes.</w:t>
      </w:r>
    </w:p>
    <w:p w:rsidR="005728DD" w:rsidRDefault="005728DD" w:rsidP="005728DD">
      <w:pPr>
        <w:pStyle w:val="TextoNormal"/>
      </w:pPr>
    </w:p>
    <w:p w:rsidR="005728DD" w:rsidRDefault="005728DD" w:rsidP="005728DD">
      <w:pPr>
        <w:pStyle w:val="TextoNormal"/>
      </w:pPr>
      <w:r>
        <w:t xml:space="preserve">d) Señala también que las defensas reiteraron </w:t>
      </w:r>
      <w:r w:rsidRPr="005728DD">
        <w:rPr>
          <w:i/>
        </w:rPr>
        <w:t>ad nauseam</w:t>
      </w:r>
      <w:r>
        <w:t xml:space="preserve"> la petición de reproducción de la prueba documental videográfica mientras los testigos prestaban declaración, a fin de poder contrastar su veracidad y poder exponer y razonar sobre las posibles contradicciones en que incurriesen. Tras remitirse a la argumentación expuesta en el fundamento jurídico 16.1.2 de la sentencia, se colige que el órgano judicial ha guardado un estricto respeto a la garantía de contradicción para que el acusado tenga la posibilidad de interrogar a quien declara en su contra para, de este modo, controvertir su credibilidad conforme a lo establecido en los arts. 6.3 d) y 6.1 CEDH.</w:t>
      </w:r>
    </w:p>
    <w:p w:rsidR="005728DD" w:rsidRDefault="005728DD" w:rsidP="005728DD">
      <w:pPr>
        <w:pStyle w:val="TextoNormal"/>
      </w:pPr>
    </w:p>
    <w:p w:rsidR="005728DD" w:rsidRDefault="005728DD" w:rsidP="005728DD">
      <w:pPr>
        <w:pStyle w:val="TextoNormal"/>
      </w:pPr>
      <w:r>
        <w:t>e) En cuanto a la denegación de pruebas propuestas por el demandante, la abogacía del Estado se remite al contenido del fundamento jurídico 10.1 de la sentencia, en el que se descarta que la denegación de pruebas a que se alude en la demanda de amparo, tuviera incidencia material en el derecho de defensa.</w:t>
      </w:r>
    </w:p>
    <w:p w:rsidR="005728DD" w:rsidRDefault="005728DD" w:rsidP="005728DD">
      <w:pPr>
        <w:pStyle w:val="TextoNormal"/>
      </w:pPr>
    </w:p>
    <w:p w:rsidR="005728DD" w:rsidRDefault="005728DD" w:rsidP="005728DD">
      <w:pPr>
        <w:pStyle w:val="TextoNormal"/>
      </w:pPr>
      <w:r>
        <w:t>9.7. La queja relativa a la vulneración del derecho a la presunción de inocencia, derivada de las manifestaciones públicas efectuadas sobre los hechos enjuiciados, por parte de algunos miembros del gobierno español, no merece favorable acogida, a juicio de la abogacía del Estado, remitiéndose a lo razonado al respecto en la sentencia.</w:t>
      </w:r>
    </w:p>
    <w:p w:rsidR="005728DD" w:rsidRDefault="005728DD" w:rsidP="005728DD">
      <w:pPr>
        <w:pStyle w:val="TextoNormal"/>
      </w:pPr>
    </w:p>
    <w:p w:rsidR="005728DD" w:rsidRDefault="005728DD" w:rsidP="005728DD">
      <w:pPr>
        <w:pStyle w:val="TextoNormal"/>
      </w:pPr>
      <w:r>
        <w:t>9.8. En relación con la filtración de la sentencia, producida cuando su redacción no había sido aún culminada, el abogado del Estado razona que, de conformidad con la doctrina establecida en la STC 69/2001, solo si se acreditara que la opinión de alguno de los miembros del tribunal hubiera podido verse condicionada o afectada por hechos externos a la propia deliberación o, en su caso, la filtración fuera encaminada a obtener una modificación intere</w:t>
      </w:r>
      <w:r>
        <w:lastRenderedPageBreak/>
        <w:t>sada de lo ya decidido, podría verse afectada la vertiente subjetiva de la garantía de imparcialidad. Sin embargo, en el presente caso las circunstancias indicadas no concurrieron, toda vez que cuando se produjo la filtración ya había concluido el juicio oral, se había desarrollado la práctica de la prueba e, incluso, había finalizado la deliberación sobre el contenido del fallo condenatorio.</w:t>
      </w:r>
    </w:p>
    <w:p w:rsidR="005728DD" w:rsidRDefault="005728DD" w:rsidP="005728DD">
      <w:pPr>
        <w:pStyle w:val="TextoNormal"/>
      </w:pPr>
    </w:p>
    <w:p w:rsidR="005728DD" w:rsidRDefault="005728DD" w:rsidP="005728DD">
      <w:pPr>
        <w:pStyle w:val="TextoNormal"/>
      </w:pPr>
      <w:r>
        <w:t xml:space="preserve">9.9. También se rechaza la denuncia sobre la falta de motivación y proporcionalidad de la pena impuesta. Tras invocar la doctrina jurisprudencial reflejada en las SSTS 1007/2019, de 26 de marzo, FJ 4, y 172/2018, de 11 de abril, afirma que la justificación de la individualización de las penas se encuentra en el apartado correspondiente de la sentencia, que se da por reproducido, al igual que el fundamento jurídico 7.2.2 del auto de 29 de enero de 2020, en el que se rechaza la queja de falta de motivación e individualización de la pena impuesta y de vulneración del principio </w:t>
      </w:r>
      <w:r w:rsidRPr="005728DD">
        <w:rPr>
          <w:i/>
        </w:rPr>
        <w:t>non bis in idem</w:t>
      </w:r>
      <w:r>
        <w:t>. Por último, invoca la STS de 1 de julio de 2002 para negar la lesión de este último principio.</w:t>
      </w:r>
    </w:p>
    <w:p w:rsidR="005728DD" w:rsidRDefault="005728DD" w:rsidP="005728DD">
      <w:pPr>
        <w:pStyle w:val="TextoNormal"/>
      </w:pPr>
    </w:p>
    <w:p w:rsidR="005728DD" w:rsidRDefault="005728DD" w:rsidP="005728DD">
      <w:pPr>
        <w:pStyle w:val="TextoNormal"/>
      </w:pPr>
      <w:r>
        <w:t>9.10. Seguidamente, la abogacía del Estado se pronuncia sobre el bloque de quejas relativas a la vulneración del derecho a la legalidad penal (art. 25.1 CE).</w:t>
      </w:r>
    </w:p>
    <w:p w:rsidR="005728DD" w:rsidRDefault="005728DD" w:rsidP="005728DD">
      <w:pPr>
        <w:pStyle w:val="TextoNormal"/>
      </w:pPr>
    </w:p>
    <w:p w:rsidR="005728DD" w:rsidRDefault="005728DD" w:rsidP="005728DD">
      <w:pPr>
        <w:pStyle w:val="TextoNormal"/>
      </w:pPr>
      <w:r>
        <w:t xml:space="preserve">a) En primer lugar, aborda el motivo asociado al abandono </w:t>
      </w:r>
      <w:r w:rsidRPr="005728DD">
        <w:rPr>
          <w:i/>
        </w:rPr>
        <w:t>ad hoc</w:t>
      </w:r>
      <w:r>
        <w:t xml:space="preserve"> del principio de accesoriedad limitada en la participación, que el demandante atribuye a la sala sentenciadora. Tras resumir los argumentos expuestos en la demanda, colige que esa queja no puede prosperar porque supone ignorar la especialidad del art. 545 CP.</w:t>
      </w:r>
    </w:p>
    <w:p w:rsidR="005728DD" w:rsidRDefault="005728DD" w:rsidP="005728DD">
      <w:pPr>
        <w:pStyle w:val="TextoNormal"/>
      </w:pPr>
    </w:p>
    <w:p w:rsidR="005728DD" w:rsidRDefault="005728DD" w:rsidP="005728DD">
      <w:pPr>
        <w:pStyle w:val="TextoNormal"/>
      </w:pPr>
      <w:r>
        <w:t>Frente a la premisa de la que parte el recurrente, que en todo caso considera que su conducta se subsumiría en la figura del inductor del alzamiento tumultuario y, por tanto, está sujeta al régimen del principio de accesoriedad aplicable a los partícipes a que se refiere el art. 28.2 CP, la abogacía del Estado opone que el delito de sedición se caracteriza por la intervención de una pluralidad de sujetos para su comisión; y esta pluralidad subjetiva se diferencia de la participación porque los partícipes coadyuvan a la producción del resultado, pero no ostentan el dominio funcional del hecho, lo que sí es predicable del autor en sentido estricto. Como así se recoge en la sentencia, el demandante y otros condenados son considerados autores del delito de sedición, puesto que la “acción típica del delito de sedición que se imputa a los condenados no requiere, para colmar la autoría, la realización personal de un acto material que suponga el alzamiento público y tumultuario, con las finalidades previstas en el tipo penal”, pues también se consideran típicas las conductas de quien posibilita el alzamiento de otros, que “no ha de reputarse inductor o cooperador necesario sino que tiene la cualidad de autor en sentido estricto en los términos del art. 28.1 del Código penal”.</w:t>
      </w:r>
    </w:p>
    <w:p w:rsidR="005728DD" w:rsidRDefault="005728DD" w:rsidP="005728DD">
      <w:pPr>
        <w:pStyle w:val="TextoNormal"/>
      </w:pPr>
    </w:p>
    <w:p w:rsidR="005728DD" w:rsidRDefault="005728DD" w:rsidP="005728DD">
      <w:pPr>
        <w:pStyle w:val="TextoNormal"/>
      </w:pPr>
      <w:r>
        <w:t>Así pues, de lo anterior se deduce que concurre el supuesto de pluralidad subjetiva o coautoría y, por tanto, el demandante ha sido condenado en concepto de autor en sentido estricto, al evidenciarse una estrategia de conductas típicas que cada uno de los condenados asumió, con ostentación del dominio funcional del hecho. Siendo así, no resulta aplicable el principio de accesoriedad limitada que invoca el recurrente, dándose por reproducidos los argumentos recogidos al respecto en el auto que resuelve el incidente de nulidad de actuaciones, tanto al resolver las alegaciones de otros demandantes como las del propio recurrente, en el fundamento jurídico 6.2.3 de la referida resolución.</w:t>
      </w:r>
    </w:p>
    <w:p w:rsidR="005728DD" w:rsidRDefault="005728DD" w:rsidP="005728DD">
      <w:pPr>
        <w:pStyle w:val="TextoNormal"/>
      </w:pPr>
    </w:p>
    <w:p w:rsidR="005728DD" w:rsidRDefault="005728DD" w:rsidP="005728DD">
      <w:pPr>
        <w:pStyle w:val="TextoNormal"/>
      </w:pPr>
      <w:r>
        <w:lastRenderedPageBreak/>
        <w:t>b) Respecto de la pretendía aplicación analógica del delito de sedición a los hechos probados, el abogado del Estado trae a colación la doctrina constitucional que concierne a la subsunción de los hechos en la norma penal desde la perspectiva del derecho a la legalidad en materia penal (SSTC 13/2003, FJ 3; 137/1997, FJ 6, y 129/2008, FJ 3), para concluir que, en el presente supuesto, la sentencia lleva a cabo la aludida subsunción de manera lógica y acorde con principios interpretativos válidos y previsibles, sin contrariar el sentido literal del precepto aplicado.</w:t>
      </w:r>
    </w:p>
    <w:p w:rsidR="005728DD" w:rsidRDefault="005728DD" w:rsidP="005728DD">
      <w:pPr>
        <w:pStyle w:val="TextoNormal"/>
      </w:pPr>
    </w:p>
    <w:p w:rsidR="005728DD" w:rsidRDefault="005728DD" w:rsidP="005728DD">
      <w:pPr>
        <w:pStyle w:val="TextoNormal"/>
      </w:pPr>
      <w:r>
        <w:t>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Luego, tras transcribir los fundamentos jurídicos 6.2.3 y 6.2.4 del auto que resolvió el incidente de nulidad, concluye que el demandante no ha sido condenado por apoyar dos concentraciones multitudinarias de protesta y votación, ni tampoco cabe apreciar que la reacción penal haya sido imprevisible o desproporcionada. Es más, carece de fundamento cualquier intento de comparación de los hechos con la consulta “del 9-N”, pues entonces no se aprobaron leyes manifiestamente inconstitucionales, para dotar de una pretendida cobertura legal que confundiera a los ciudadanos; no hubo un despliegue policial a fin de impedir la votación; ni se alentó a la población para que “resistiera a toda esa actividad”.</w:t>
      </w:r>
    </w:p>
    <w:p w:rsidR="005728DD" w:rsidRDefault="005728DD" w:rsidP="005728DD">
      <w:pPr>
        <w:pStyle w:val="TextoNormal"/>
      </w:pPr>
    </w:p>
    <w:p w:rsidR="005728DD" w:rsidRDefault="005728DD" w:rsidP="005728DD">
      <w:pPr>
        <w:pStyle w:val="TextoNormal"/>
      </w:pPr>
      <w:r>
        <w:t>c) El abogado del Estado niega que se haya conculcado el derecho a la libertad de expresión de los condenados, pues ninguno de los actos que se les imputan en la sentencia queda abarcado por el contenido material de ese derecho. Tras resumir la doctrina de este tribunal y del Tribunal Europeo de Derechos Humanos acerca de ese derecho, alega que los recurrentes de amparo asocian la lesión “a la criminalización del discurso político, que ellos en su momento expresaron”, y ahora sostienen que el ejercicio de ese derecho fundamental constituye una causa de exclusión de la antijuridicidad, conforme a lo dispuesto en el art. 20.7 CP.</w:t>
      </w:r>
    </w:p>
    <w:p w:rsidR="005728DD" w:rsidRDefault="005728DD" w:rsidP="005728DD">
      <w:pPr>
        <w:pStyle w:val="TextoNormal"/>
      </w:pPr>
    </w:p>
    <w:p w:rsidR="005728DD" w:rsidRDefault="005728DD" w:rsidP="005728DD">
      <w:pPr>
        <w:pStyle w:val="TextoNormal"/>
      </w:pPr>
      <w:r>
        <w:t>Sin embargo, como así se recoge en la sentencia, la responsabilidad penal no trae causa de difundir opiniones y doctrinas contrarias al estatus constitucional ni por propugnar la superación del marco político actual. Lo que es objeto de reproche penal es haber pulverizado el pacto constitucional mediante la aprobación de leyes “en abierta y contumaz desatención de los requerimientos del Tribunal Constitucional […] y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También menciona el contenido del apartado 2 del art. 10 CEDH, que considera legítimas las restricciones a la libertad de expresión que sean “medidas necesarias, en una sociedad democrática […] para la integridad territorial o la seguridad pública, la defensa del orden y la prevención del delito”; y reitera que en ningún momento la sanción se ha fundado en la manifestación de opiniones políticas por parte del demandante.</w:t>
      </w:r>
    </w:p>
    <w:p w:rsidR="005728DD" w:rsidRDefault="005728DD" w:rsidP="005728DD">
      <w:pPr>
        <w:pStyle w:val="TextoNormal"/>
      </w:pPr>
    </w:p>
    <w:p w:rsidR="005728DD" w:rsidRDefault="005728DD" w:rsidP="005728DD">
      <w:pPr>
        <w:pStyle w:val="TextoNormal"/>
      </w:pPr>
      <w:r>
        <w:t>d) Respecto de la vulneración de los derechos de reunión y manifestación, pone de relieve que el art 21 CE establece, como requisitos necesarios y acumulativos, que las concentraciones sean pacíficas y sin armas. Descendiendo al caso, resulta evidente que ninguno de los ciudadanos que asistieron a las manifestaciones que se detallan en el relato histórico ha resultado condenado; y ninguno de los demandantes, que reforzaron con su presencia o desarrollaron un especial protagonismo en las protestas ante la sede de la Vicepresidencia y Consejería de Economía fueron acusados de un delito de reunión o manifestación ilícita.</w:t>
      </w:r>
    </w:p>
    <w:p w:rsidR="005728DD" w:rsidRDefault="005728DD" w:rsidP="005728DD">
      <w:pPr>
        <w:pStyle w:val="TextoNormal"/>
      </w:pPr>
    </w:p>
    <w:p w:rsidR="005728DD" w:rsidRDefault="005728DD" w:rsidP="005728DD">
      <w:pPr>
        <w:pStyle w:val="TextoNormal"/>
      </w:pPr>
      <w:r>
        <w:t>Así pues, conforme se detalla en la sentencia impugnada en esta sede, la reacción penal no estaría justificada por la exhibición de discrepancia frente a las leyes, las críticas agrias subidas de tono o descalificadoras, incluso cuando sus destinatarios sean el poder central o la máxima autoridad del Estado o la misma Constitución, pues las proclamas independentistas, la reivindicación del derecho de autodeterminación y las movilizaciones encaminadas a promocionar y difundir esas ideas son legítimas. Sin embargo, cosa bien distinta es la estrategia desplegada de oposición activa y concertada frente a las actuaciones de los agentes de la autoridad encaminados a cumplir un específico y concreto mandato judicial, que fue estimulada y alentada con entusiasmo y poder de movilización por los acusados, a fin de que la votación prohibida tuviera lugar. Y esa actuación desborda totalmente las lindes del legítimo ejercicio del derecho de reunión, por lo que no puede quedar amparada por el art. 20.7 CP.</w:t>
      </w:r>
    </w:p>
    <w:p w:rsidR="005728DD" w:rsidRDefault="005728DD" w:rsidP="005728DD">
      <w:pPr>
        <w:pStyle w:val="TextoNormal"/>
      </w:pPr>
    </w:p>
    <w:p w:rsidR="005728DD" w:rsidRDefault="005728DD" w:rsidP="005728DD">
      <w:pPr>
        <w:pStyle w:val="TextoNormal"/>
      </w:pPr>
      <w:r>
        <w:t>e) El mismo rechazo merece la invocación del derecho a la libertad ideológica, que la abogacía del Estado considera inoponible ante los hechos probados, pues “ningún principio de autodeterminación de la voluntad libre ante cada circunstancia puede justificar la comisión probada, en el seno del proceso, de conductas legalmente tipificadas”.</w:t>
      </w:r>
    </w:p>
    <w:p w:rsidR="005728DD" w:rsidRDefault="005728DD" w:rsidP="005728DD">
      <w:pPr>
        <w:pStyle w:val="TextoNormal"/>
      </w:pPr>
    </w:p>
    <w:p w:rsidR="005728DD" w:rsidRDefault="005728DD" w:rsidP="005728DD">
      <w:pPr>
        <w:pStyle w:val="TextoNormal"/>
      </w:pPr>
      <w:r>
        <w:t>Seguidamente, tras incluir la doctrina constitucional sobre las conductas con relevancia penal en el contexto del ejercicio de los derechos fundamentales (SSTC 88/2003, FJ 8; 104/2011, FJ 6, y 62/2019, FJ 7), se reitera que la condena penal nada tiene que ver con los postulados políticos de los condenados; de hecho, pudieron participar en la campaña electoral durante la prisión preventiva a que estuvieron sujetos y pudieron difundir las ideas que “hoy por hoy, sostienen la acción de Gobierno de la Generalitat”.</w:t>
      </w:r>
    </w:p>
    <w:p w:rsidR="005728DD" w:rsidRDefault="005728DD" w:rsidP="005728DD">
      <w:pPr>
        <w:pStyle w:val="TextoNormal"/>
      </w:pPr>
    </w:p>
    <w:p w:rsidR="005728DD" w:rsidRDefault="005728DD" w:rsidP="005728DD">
      <w:pPr>
        <w:pStyle w:val="TextoNormal"/>
      </w:pPr>
      <w:r>
        <w:t>En conclusión, no cabe afirmar un ejercicio de derechos al margen de la ley; y se añade que lo que se llevó a cabo fueron levantamientos hostiles contra las resoluciones judiciales. Y “con ese levantamiento multitudinario, generalizado y proyectado de forma estratégica, no es posible eludir la tipicidad de la sedición”, remitiéndose en lo demás a lo argumentado en el fundamento jurídico 2.5 y siguientes de la sentencia.</w:t>
      </w:r>
    </w:p>
    <w:p w:rsidR="005728DD" w:rsidRDefault="005728DD" w:rsidP="005728DD">
      <w:pPr>
        <w:pStyle w:val="TextoNormal"/>
      </w:pPr>
    </w:p>
    <w:p w:rsidR="005728DD" w:rsidRDefault="005728DD" w:rsidP="005728DD">
      <w:pPr>
        <w:pStyle w:val="TextoNormal"/>
      </w:pPr>
      <w:r w:rsidRPr="005728DD">
        <w:rPr>
          <w:rStyle w:val="NumeroAFNegritaCaracter"/>
        </w:rPr>
        <w:t>10</w:t>
      </w:r>
      <w:r>
        <w:t>. En fecha de 29 de octubre de 2020 presentó sus alegaciones el partido político Vox.</w:t>
      </w:r>
    </w:p>
    <w:p w:rsidR="005728DD" w:rsidRDefault="005728DD" w:rsidP="005728DD">
      <w:pPr>
        <w:pStyle w:val="TextoNormal"/>
      </w:pPr>
    </w:p>
    <w:p w:rsidR="005728DD" w:rsidRDefault="005728DD" w:rsidP="005728DD">
      <w:pPr>
        <w:pStyle w:val="TextoNormal"/>
      </w:pPr>
      <w:r>
        <w:t xml:space="preserve">En primer lugar, cuestiona que la especial trascendencia constitucional del recurso de amparo haya sido debidamente justificada. Tras resumir las razones dadas sobre este particular por el demandante, señala que este se ha limitado a plantear unas líneas genéricas para cumplimentar este trámite, pero “ni se explica la supuesta falta de compatibilidad del delito de sedición y su aplicación al presente caso con los derechos fundamentales alegados, ni </w:t>
      </w:r>
      <w:r>
        <w:lastRenderedPageBreak/>
        <w:t>tampoco se cita, siquiera, la supuesta vulneración de la jurisprudencia constitucional previa”.</w:t>
      </w:r>
    </w:p>
    <w:p w:rsidR="005728DD" w:rsidRDefault="005728DD" w:rsidP="005728DD">
      <w:pPr>
        <w:pStyle w:val="TextoNormal"/>
      </w:pPr>
    </w:p>
    <w:p w:rsidR="005728DD" w:rsidRDefault="005728DD" w:rsidP="005728DD">
      <w:pPr>
        <w:pStyle w:val="TextoNormal"/>
      </w:pPr>
      <w:r>
        <w:t>Seguidamente, lleva a cabo un análisis de las diferentes lesiones denunciadas en la demanda, que rechaza en su totalidad.</w:t>
      </w:r>
    </w:p>
    <w:p w:rsidR="005728DD" w:rsidRDefault="005728DD" w:rsidP="005728DD">
      <w:pPr>
        <w:pStyle w:val="TextoNormal"/>
      </w:pPr>
    </w:p>
    <w:p w:rsidR="005728DD" w:rsidRDefault="005728DD" w:rsidP="005728DD">
      <w:pPr>
        <w:pStyle w:val="TextoNormal"/>
      </w:pPr>
      <w:r>
        <w:t>10.1.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005728DD" w:rsidRDefault="005728DD" w:rsidP="005728DD">
      <w:pPr>
        <w:pStyle w:val="TextoNormal"/>
      </w:pPr>
    </w:p>
    <w:p w:rsidR="005728DD" w:rsidRDefault="005728DD" w:rsidP="005728DD">
      <w:pPr>
        <w:pStyle w:val="TextoNormal"/>
      </w:pPr>
      <w:r>
        <w:t>Añade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en el acuerdo del pleno no jurisdiccional de la Sala de lo Penal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005728DD" w:rsidRDefault="005728DD" w:rsidP="005728DD">
      <w:pPr>
        <w:pStyle w:val="TextoNormal"/>
      </w:pPr>
    </w:p>
    <w:p w:rsidR="005728DD" w:rsidRDefault="005728DD" w:rsidP="005728DD">
      <w:pPr>
        <w:pStyle w:val="TextoNormal"/>
      </w:pPr>
      <w:r>
        <w:t>A continuación, invoca el contenido del ATS de 31 de octubre de 2017,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w:t>
      </w:r>
    </w:p>
    <w:p w:rsidR="005728DD" w:rsidRDefault="005728DD" w:rsidP="005728DD">
      <w:pPr>
        <w:pStyle w:val="TextoNormal"/>
      </w:pPr>
    </w:p>
    <w:p w:rsidR="005728DD" w:rsidRDefault="005728DD" w:rsidP="005728DD">
      <w:pPr>
        <w:pStyle w:val="TextoNormal"/>
      </w:pPr>
      <w:r>
        <w:t>10.2. Descarta la vulneración del derecho a la doble instancia penal, con base en las excepciones señaladas en el art. 2 del Protocolo núm. 7 CEDH, para las infracciones de menor gravedad o cuando el interesado haya sido juzgado en primera instancia por el más alto tribunal del Estado.</w:t>
      </w:r>
    </w:p>
    <w:p w:rsidR="005728DD" w:rsidRDefault="005728DD" w:rsidP="005728DD">
      <w:pPr>
        <w:pStyle w:val="TextoNormal"/>
      </w:pPr>
    </w:p>
    <w:p w:rsidR="005728DD" w:rsidRDefault="005728DD" w:rsidP="005728DD">
      <w:pPr>
        <w:pStyle w:val="TextoNormal"/>
      </w:pPr>
      <w:r>
        <w:t>10.3. Respecto de las quejas relacionadas con la utilización del idioma catalán, trae a colación la STC 74/1987, en la que se recoge que, conforme se establece en el art. 3.1 CE, todos los españoles tienen el deber de conocer el castellano, que es la lengua española oficial del Estado; y ese deber genera una presunción de conocimiento, que puede ser desvirtuada cuando de manera verosímil se alega ignorancia o conocimiento insuficiente. Entiende que, en el presente caso, ha quedado acreditado en el proceso que el demandante, cargo público de la Generalitat de Cataluña, conocía perfectamente el castellano, por lo que el argumento que expone, por no habérsele permitido declarar en catalán con un sistema de traducción simultánea, no es más que una argucia para salvar sus responsabilidades penales.</w:t>
      </w:r>
    </w:p>
    <w:p w:rsidR="005728DD" w:rsidRDefault="005728DD" w:rsidP="005728DD">
      <w:pPr>
        <w:pStyle w:val="TextoNormal"/>
      </w:pPr>
    </w:p>
    <w:p w:rsidR="005728DD" w:rsidRDefault="005728DD" w:rsidP="005728DD">
      <w:pPr>
        <w:pStyle w:val="TextoNormal"/>
      </w:pPr>
      <w:r>
        <w:lastRenderedPageBreak/>
        <w:t>En relación con el alegato referido a los testigos a quienes se impidió declarar en catalán, afirma que estos no acreditaron desconocer el castellano, de manera que el hecho de tener que expresarse en esta lengua no les supuso impedimento o discriminación alguna.</w:t>
      </w:r>
    </w:p>
    <w:p w:rsidR="005728DD" w:rsidRDefault="005728DD" w:rsidP="005728DD">
      <w:pPr>
        <w:pStyle w:val="TextoNormal"/>
      </w:pPr>
    </w:p>
    <w:p w:rsidR="005728DD" w:rsidRDefault="005728DD" w:rsidP="005728DD">
      <w:pPr>
        <w:pStyle w:val="TextoNormal"/>
      </w:pPr>
      <w:r>
        <w:t>10.4. En referencia a la vulneración del derecho a un juez imparcial, por un lado señala que, de conformidad con la doctrina del Tribunal Europeo de Derechos Humanos, no bastan las meras sospechas de quien aduce la vulneración de la imparcialidad, si esos temores no resultan objetivamente justificados. A la vista de ello, apunta que si el recurrente no ha sido capaz “de hacer veraz sus temores de parcialidad como objetivamente justificados no puede pretender que el Tribunal Constitucional subsane esta insuficiencia relevante, que impide la estimación del motivo”.</w:t>
      </w:r>
    </w:p>
    <w:p w:rsidR="005728DD" w:rsidRDefault="005728DD" w:rsidP="005728DD">
      <w:pPr>
        <w:pStyle w:val="TextoNormal"/>
      </w:pPr>
    </w:p>
    <w:p w:rsidR="005728DD" w:rsidRDefault="005728DD" w:rsidP="005728DD">
      <w:pPr>
        <w:pStyle w:val="TextoNormal"/>
      </w:pPr>
      <w:r>
        <w:t>Tampoco el supuesto rol inquisitivo del presidente de la sala merece acogida, toda vez que la pregunta formulada por la presidencia al testigo señor Trapero está amparada legalmente por el art. 708 LECrim. Además, afirma que se dio traslado a las defensas para que pudieran repreguntar, de manera que quedó amparado el derecho de defensa. Por tanto, no se ha justificado que ese supuesto rol inquisitivo haya vulnerado el derecho al juez imparcial.</w:t>
      </w:r>
    </w:p>
    <w:p w:rsidR="005728DD" w:rsidRDefault="005728DD" w:rsidP="005728DD">
      <w:pPr>
        <w:pStyle w:val="TextoNormal"/>
      </w:pPr>
    </w:p>
    <w:p w:rsidR="005728DD" w:rsidRDefault="005728DD" w:rsidP="005728DD">
      <w:pPr>
        <w:pStyle w:val="TextoNormal"/>
      </w:pPr>
      <w:r>
        <w:t>10.5. Tras sintetizar la queja del demandante sobre la lesión del principio de igualdad de armas, Vox trae a colación la STC 33/2003, de 13 de febrero, para a continuación concluir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y añade que el demandante no ha argumentado nada sobre esta relevante cuestión.</w:t>
      </w:r>
    </w:p>
    <w:p w:rsidR="005728DD" w:rsidRDefault="005728DD" w:rsidP="005728DD">
      <w:pPr>
        <w:pStyle w:val="TextoNormal"/>
      </w:pPr>
    </w:p>
    <w:p w:rsidR="005728DD" w:rsidRDefault="005728DD" w:rsidP="005728DD">
      <w:pPr>
        <w:pStyle w:val="TextoNormal"/>
      </w:pPr>
      <w:r>
        <w:t>10.6. En cuanto a los diferentes motivos en los que el demandante sustenta la lesión del derecho de defensa, Vox argumenta del siguiente modo:</w:t>
      </w:r>
    </w:p>
    <w:p w:rsidR="005728DD" w:rsidRDefault="005728DD" w:rsidP="005728DD">
      <w:pPr>
        <w:pStyle w:val="TextoNormal"/>
      </w:pPr>
    </w:p>
    <w:p w:rsidR="005728DD" w:rsidRDefault="005728DD" w:rsidP="005728DD">
      <w:pPr>
        <w:pStyle w:val="TextoNormal"/>
      </w:pPr>
      <w:r>
        <w:t>a) Niega que la instrucción realmente se llevara a cabo en las diligencias previas núm. 118-2017 del Juzgado de Instrucción núm. 13 de Barcelona pues, como así se afirma por la sala, en la causa que ahora ocupa solo se tuvieron en cuenta las pruebas practicadas en el juicio oral; de manera que, incluso, la aportación de actuaciones procedentes del juzgado indicado no sería causa de indefensión, al no haberse tenido en cuenta en la sentencia.</w:t>
      </w:r>
    </w:p>
    <w:p w:rsidR="005728DD" w:rsidRDefault="005728DD" w:rsidP="005728DD">
      <w:pPr>
        <w:pStyle w:val="TextoNormal"/>
      </w:pPr>
    </w:p>
    <w:p w:rsidR="005728DD" w:rsidRDefault="005728DD" w:rsidP="005728DD">
      <w:pPr>
        <w:pStyle w:val="TextoNormal"/>
      </w:pPr>
      <w:r>
        <w:t>b) Respecto de la falta de confrontación simultánea entre la prueba videográfica y lo declarado por los testigos, estima que esa circunstancia no ha vulnerado el derecho de defensa, pues no se alcanza a comprender en qué aspecto podría haber mejorado la valoración de la prueba por parte de la sala, si se hubiera procedido del modo que indica el recurrente.</w:t>
      </w:r>
    </w:p>
    <w:p w:rsidR="005728DD" w:rsidRDefault="005728DD" w:rsidP="005728DD">
      <w:pPr>
        <w:pStyle w:val="TextoNormal"/>
      </w:pPr>
    </w:p>
    <w:p w:rsidR="005728DD" w:rsidRDefault="005728DD" w:rsidP="005728DD">
      <w:pPr>
        <w:pStyle w:val="TextoNormal"/>
      </w:pPr>
      <w:r>
        <w:t>c) Tampoco aprecia la vulneración de ese derecho, por la circunstancia de que algunas pruebas fueran denegadas. Y ello, porque el órgano judicial permitió “la razonable presentación de la causa y de sus pruebas por parte del condenado, con la admisión y práctica de buena práctica [</w:t>
      </w:r>
      <w:r w:rsidRPr="005728DD">
        <w:rPr>
          <w:i/>
        </w:rPr>
        <w:t>sic</w:t>
      </w:r>
      <w:r>
        <w:t>] de las pruebas propuestas por el mismo”.</w:t>
      </w:r>
    </w:p>
    <w:p w:rsidR="005728DD" w:rsidRDefault="005728DD" w:rsidP="005728DD">
      <w:pPr>
        <w:pStyle w:val="TextoNormal"/>
      </w:pPr>
    </w:p>
    <w:p w:rsidR="005728DD" w:rsidRDefault="005728DD" w:rsidP="005728DD">
      <w:pPr>
        <w:pStyle w:val="TextoNormal"/>
      </w:pPr>
      <w:r>
        <w:t xml:space="preserve">10.7. Sobre la vulneración del derecho a la presunción de inocencia que es objeto de denuncia, Vox manifiesta no entender con claridad el motivo del recurso, puesto que la </w:t>
      </w:r>
      <w:r>
        <w:lastRenderedPageBreak/>
        <w:t>actividad llevada a cabo por el Gobierno de España nada tiene que ver con las lesiones de derechos fundamentales en que la sentencia pudiera haber incurrido. En suma, considera que nada tiene que ver el Poder Ejecutivo con el Poder Judicial.</w:t>
      </w:r>
    </w:p>
    <w:p w:rsidR="005728DD" w:rsidRDefault="005728DD" w:rsidP="005728DD">
      <w:pPr>
        <w:pStyle w:val="TextoNormal"/>
      </w:pPr>
    </w:p>
    <w:p w:rsidR="005728DD" w:rsidRDefault="005728DD" w:rsidP="005728DD">
      <w:pPr>
        <w:pStyle w:val="TextoNormal"/>
      </w:pPr>
      <w:r>
        <w:t>10.8. Para Vox, tampoco merece acogida la lesión del derecho a un proceso con todas las garantías, sustentada en la filtración de la sentencia antes de su culminación. Tras evocar el contenido de la STC 64/2001, concluye que, en el caso que ahora ocupa, no se desprende que las coincidencias entre lo publicado previamente y el sentido de la propia sentencia dictada posteriormente en la causa penal fueran consecuencia de filtraciones procedentes de miembros del Tribunal Supremo. Y en todo caso indica que, de haberse producido la filtración tampoco habría condicionado, desde el punto de vista de la imparcialidad subjetiva u objetiva, la deliberación que llevó a la sentencia condenatoria dictada, sin que elucubraciones o juicios de valor sin base fáctica alguna puedan desvirtuar estas conclusiones.</w:t>
      </w:r>
    </w:p>
    <w:p w:rsidR="005728DD" w:rsidRDefault="005728DD" w:rsidP="005728DD">
      <w:pPr>
        <w:pStyle w:val="TextoNormal"/>
      </w:pPr>
    </w:p>
    <w:p w:rsidR="005728DD" w:rsidRDefault="005728DD" w:rsidP="005728DD">
      <w:pPr>
        <w:pStyle w:val="TextoNormal"/>
      </w:pPr>
      <w:r>
        <w:t xml:space="preserve">10.9. Niega la falta de motivación respecto de la individualización de la pena impuesta al demandante, al igual que rechaza que haya vulnerado el principio </w:t>
      </w:r>
      <w:r w:rsidRPr="005728DD">
        <w:rPr>
          <w:i/>
        </w:rPr>
        <w:t>ne bis in idem</w:t>
      </w:r>
      <w:r>
        <w:t>. Señala que el recurrente invoca la STS 310/2019, de 13 de junio, para fundar la lesión, pero finaliza justo en el momento que más le interesa para tergiversar el sentido de la misma. Por ello, el partido político Vox transcribe parte de la fundamentación jurídica de esa resolución y, al respecto, afirma que el órgano judicial ha obrado dentro “del poder de discrecionalidad que ostenta para la imposición de la pena”.</w:t>
      </w:r>
    </w:p>
    <w:p w:rsidR="005728DD" w:rsidRDefault="005728DD" w:rsidP="005728DD">
      <w:pPr>
        <w:pStyle w:val="TextoNormal"/>
      </w:pPr>
    </w:p>
    <w:p w:rsidR="005728DD" w:rsidRDefault="005728DD" w:rsidP="005728DD">
      <w:pPr>
        <w:pStyle w:val="TextoNormal"/>
      </w:pPr>
      <w:r>
        <w:t>10.10. En lo que concierne al derecho a la legalidad penal, (art. 25.1 CE), Vox alega lo siguiente:</w:t>
      </w:r>
    </w:p>
    <w:p w:rsidR="005728DD" w:rsidRDefault="005728DD" w:rsidP="005728DD">
      <w:pPr>
        <w:pStyle w:val="TextoNormal"/>
      </w:pPr>
    </w:p>
    <w:p w:rsidR="005728DD" w:rsidRDefault="005728DD" w:rsidP="005728DD">
      <w:pPr>
        <w:pStyle w:val="TextoNormal"/>
      </w:pPr>
      <w:r>
        <w:t xml:space="preserve">a) En cuanto a la inaplicación </w:t>
      </w:r>
      <w:r w:rsidRPr="005728DD">
        <w:rPr>
          <w:i/>
        </w:rPr>
        <w:t>ad hoc</w:t>
      </w:r>
      <w:r>
        <w:t xml:space="preserve"> del principio de accesoriedad limitada en la participación, reproduce los argumentos de la sentencia para justificar la condición de coautor del demandante. Por tanto, sostiene que su participación en el alzamiento sedicioso está perfectamente acreditada, no en calidad de partícipe accesorio sino como autor de los hechos.</w:t>
      </w:r>
    </w:p>
    <w:p w:rsidR="005728DD" w:rsidRDefault="005728DD" w:rsidP="005728DD">
      <w:pPr>
        <w:pStyle w:val="TextoNormal"/>
      </w:pPr>
    </w:p>
    <w:p w:rsidR="005728DD" w:rsidRDefault="005728DD" w:rsidP="005728DD">
      <w:pPr>
        <w:pStyle w:val="TextoNormal"/>
      </w:pPr>
      <w:r>
        <w:t>b) Según afirma, tampoco cabe apreciar la vulneración de los derechos fundamentales objeto de cita en la demanda, por la alegada falta de taxatividad del tipo penal de la sedición y por la deficiente subsunción de los hechos probados en la norma. A este respecto, aduce que no es dable apreciar imprevisibilidad en la resolución judicial porque la conducta del recurrente fuera valorada como un delito de sedición. Tampoco es viable afirmar, vistos los argumentos expuestos en la sentencia impugnada, que la subsunción realizada fuera ilógica o irrazonable; y añade que la conducta sancionada “estuvo trufada de comportamientos añadidos que elevaban la relevancia y efectos penales para el condenado, más allá de lo que supondría un mero ejercicio de los derechos de libertad de expresión y reunión que alega el condenado, siendo este consciente de ello en su condición de consejero de la Generalidad de Cataluña”.</w:t>
      </w:r>
    </w:p>
    <w:p w:rsidR="005728DD" w:rsidRDefault="005728DD" w:rsidP="005728DD">
      <w:pPr>
        <w:pStyle w:val="TextoNormal"/>
      </w:pPr>
    </w:p>
    <w:p w:rsidR="005728DD" w:rsidRDefault="005728DD" w:rsidP="005728DD">
      <w:pPr>
        <w:pStyle w:val="TextoNormal"/>
      </w:pPr>
      <w:r>
        <w:t xml:space="preserve">c) A juicio de Vox, el órgano judicial no llevó a cabo una interpretación analógica </w:t>
      </w:r>
      <w:r w:rsidRPr="005728DD">
        <w:rPr>
          <w:i/>
        </w:rPr>
        <w:t>in malam partem</w:t>
      </w:r>
      <w:r>
        <w:t xml:space="preserve"> del delito de sedición. Reitera que no se alcanzó un resultado imprevisible al valorar los hechos atribuidos al recurrente como un delito de sedición, de acuerdo a lo expresado en la sentencia.</w:t>
      </w:r>
    </w:p>
    <w:p w:rsidR="005728DD" w:rsidRDefault="005728DD" w:rsidP="005728DD">
      <w:pPr>
        <w:pStyle w:val="TextoNormal"/>
      </w:pPr>
    </w:p>
    <w:p w:rsidR="005728DD" w:rsidRDefault="005728DD" w:rsidP="005728DD">
      <w:pPr>
        <w:pStyle w:val="TextoNormal"/>
      </w:pPr>
      <w:r>
        <w:lastRenderedPageBreak/>
        <w:t>d) Finalmente, analiza el último de los motivos planteados en la demanda, relativo a la imposición de una pena desproporcionada que conculca los derechos fundamentales que se mencionan en la demanda. Califica este motivo como un “cajón de sastre en el que se incorpora un poco de todo”. Tras resumir la queja, trae a colación la STC 136/1999, en la que se recoge la doctrina sobre proporcionalidad de las penas. Seguidamente, afirma que no cabe ignorar el orden público alterado se pretendió preservar con la sentencia condenatoria; y la alteración de ese orden afectaba a la unidad política y territorial de la Nación española, por lo que una pena inferior a la impuesta no hubiera sido lo suficientemente desmotivadora para evitar que se reiteren las mismas conductas (señala que no puede obviarse que los condenados, aún hoy mantienen públicamente que volverían a repetir los hechos delictivos). Además, refiere que los hechos atribuidos al demandante fueron realizados cuando ocupaba cargo público “representando al Gobierno de España en el territorio de Cataluña”, por lo que el desvalor de su acción es mayor.</w:t>
      </w:r>
    </w:p>
    <w:p w:rsidR="005728DD" w:rsidRDefault="005728DD" w:rsidP="005728DD">
      <w:pPr>
        <w:pStyle w:val="TextoNormal"/>
      </w:pPr>
    </w:p>
    <w:p w:rsidR="005728DD" w:rsidRDefault="005728DD" w:rsidP="005728DD">
      <w:pPr>
        <w:pStyle w:val="TextoNormal"/>
      </w:pPr>
      <w:r>
        <w:t>La representación procesal del partido político Vox concluye su escrito de alegaciones interesando la inadmisión y, subsidiariamente, la desestimación,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11</w:t>
      </w:r>
      <w:r>
        <w:t>. El 12 de noviembre de 2020 tuvo entrada en este tribunal el escrito de alegaciones formulado por el Ministerio Fiscal.</w:t>
      </w:r>
    </w:p>
    <w:p w:rsidR="005728DD" w:rsidRDefault="005728DD" w:rsidP="005728DD">
      <w:pPr>
        <w:pStyle w:val="TextoNormal"/>
      </w:pPr>
    </w:p>
    <w:p w:rsidR="005728DD" w:rsidRDefault="005728DD" w:rsidP="005728DD">
      <w:pPr>
        <w:pStyle w:val="TextoNormal"/>
      </w:pPr>
      <w:r>
        <w:t>Tras una detallada exposición de los antecedentes de hecho que consideró más relevantes, el fiscal ante el Tribunal Constitucional analiza los motivos de amparo planteados en la demanda, comenzando por los de carácter estrictamente procesal, y siguiendo por los que presentan un contenido material.</w:t>
      </w:r>
    </w:p>
    <w:p w:rsidR="005728DD" w:rsidRDefault="005728DD" w:rsidP="005728DD">
      <w:pPr>
        <w:pStyle w:val="TextoNormal"/>
      </w:pPr>
    </w:p>
    <w:p w:rsidR="005728DD" w:rsidRDefault="005728DD" w:rsidP="005728DD">
      <w:pPr>
        <w:pStyle w:val="TextoNormal"/>
      </w:pPr>
      <w:r>
        <w:t>11.1. Vulneración del derecho al juez ordinario predeterminado por la ley y, como consecuencia, del derecho a la doble instancia penal (art. 24.2 CE).</w:t>
      </w:r>
    </w:p>
    <w:p w:rsidR="005728DD" w:rsidRDefault="005728DD" w:rsidP="005728DD">
      <w:pPr>
        <w:pStyle w:val="TextoNormal"/>
      </w:pPr>
    </w:p>
    <w:p w:rsidR="005728DD" w:rsidRDefault="005728DD" w:rsidP="005728DD">
      <w:pPr>
        <w:pStyle w:val="TextoNormal"/>
      </w:pPr>
      <w:r>
        <w:t xml:space="preserve">La demanda considera que la vulneración de estos derechos viene motivada por la decisión del Tribunal Supremo de asumir la competencia para el conocimiento de esta causa. Más en concreto, se achaca la creación de una doctrina </w:t>
      </w:r>
      <w:r w:rsidRPr="005728DD">
        <w:rPr>
          <w:i/>
        </w:rPr>
        <w:t>ad hoc</w:t>
      </w:r>
      <w:r>
        <w:t xml:space="preserve"> para este caso, apartándose de los precedentes, además de fragmentar el procedimiento y, al mismo tiempo, enjuiciar conjuntamente a personas aforadas y no aforadas. La competencia del Tribunal Supremo habría determinado, como consecuencia necesaria, la imposibilidad de acudir a un órgano superior para que revisara la condena.</w:t>
      </w:r>
    </w:p>
    <w:p w:rsidR="005728DD" w:rsidRDefault="005728DD" w:rsidP="005728DD">
      <w:pPr>
        <w:pStyle w:val="TextoNormal"/>
      </w:pPr>
    </w:p>
    <w:p w:rsidR="005728DD" w:rsidRDefault="005728DD" w:rsidP="005728DD">
      <w:pPr>
        <w:pStyle w:val="TextoNormal"/>
      </w:pPr>
      <w:r>
        <w:t xml:space="preserve">En relación con el supuesto apartamiento de la doctrina establecida en la causa seguida contra don Francesc Homs por la consulta del 9-N, el fiscal entiende que el Tribunal Supremo ha dado una respuesta razonable y en Derecho a esta cuestión, para negar que se haya apartado del precedente citado. A tal efecto, la sala explicita las diferencias que existen entre ambos supuestos. Así, al señor Homs se le imputaba un delito de desobediencia por incumplimiento reiterado a los mandatos del Tribunal Constitucional, lo que permitía escindir la causa para los otros acusados no aforados, porque su responsabilidad estaba individualizada y permitía un enjuiciamiento por separado. Sin embargo, en esta causa se imputan delitos de rebelión, sedición, malversación y desobediencia. Por tanto, estamos ante delitos plurisubjetivos de convergencia y de ejecución plural. Eso permite que, conforme a lo dispuesto en el art. 17.1 LECrim, se puedan enjuiciar conjuntamente aquellos hechos que no pueden ser escindidos, por su conexidad y complejidad, evitando dilaciones indebidas, mientras que </w:t>
      </w:r>
      <w:r>
        <w:lastRenderedPageBreak/>
        <w:t>se remitan al Tribunal Superior de Justicia las conductas de quienes han incurrido en responsabilidades ya individualizadas y con sustantividad propia, más en concreto, conductas constitutivas de delito de desobediencia, sin participación alguna en las otras figuras delictivas enjuiciadas en esta causa.</w:t>
      </w:r>
    </w:p>
    <w:p w:rsidR="005728DD" w:rsidRDefault="005728DD" w:rsidP="005728DD">
      <w:pPr>
        <w:pStyle w:val="TextoNormal"/>
      </w:pPr>
    </w:p>
    <w:p w:rsidR="005728DD" w:rsidRDefault="005728DD" w:rsidP="005728DD">
      <w:pPr>
        <w:pStyle w:val="TextoNormal"/>
      </w:pPr>
      <w:r>
        <w:t>En relación con los pronunciamientos anteriores del Tribunal Superior de Justicia de Cataluña para asumir su competencia, el fiscal considera que el Tribunal Supremo ha expuesto una interpretación que no puede tacharse de ilógica o irrazonable. Los precedentes invocados no guardan analogía con el presente caso, y las reglas de los arts. 18 y 21 LECrim no pueden ser de aplicación porque se refieren a cuestiones de competencia que no pueden ser planteadas ante el Tribunal Supremo, como órgano superior en todos los órdenes jurisdiccionales (art. 123 CE). En definitiva, el Alto Tribunal solo puede verse obligado por su propia doctrina, como máximo intérprete de la legalidad ordinaria.</w:t>
      </w:r>
    </w:p>
    <w:p w:rsidR="005728DD" w:rsidRDefault="005728DD" w:rsidP="005728DD">
      <w:pPr>
        <w:pStyle w:val="TextoNormal"/>
      </w:pPr>
    </w:p>
    <w:p w:rsidR="005728DD" w:rsidRDefault="005728DD" w:rsidP="005728DD">
      <w:pPr>
        <w:pStyle w:val="TextoNormal"/>
      </w:pPr>
      <w:r>
        <w:t>En lo referente a la adquisición de la condición de diputado del recurrente y de otros procesados una vez acordada la apertura del juicio oral, que el Tribunal Supremo utiliza como argumento para sostener su competencia —supuestamente en contra del acuerdo del Pleno no jurisdiccional de 2 de diciembre de 2014—, el fiscal entiende que se trata de una motivación que no puede considerarse como irrazonable o arbitraria y que, en consecuencia, como mera cuestión de legalidad ordinaria su interpretación corresponde, precisamente, al Tribunal Supremo.</w:t>
      </w:r>
    </w:p>
    <w:p w:rsidR="005728DD" w:rsidRDefault="005728DD" w:rsidP="005728DD">
      <w:pPr>
        <w:pStyle w:val="TextoNormal"/>
      </w:pPr>
    </w:p>
    <w:p w:rsidR="005728DD" w:rsidRDefault="005728DD" w:rsidP="005728DD">
      <w:pPr>
        <w:pStyle w:val="TextoNormal"/>
      </w:pPr>
      <w:r>
        <w:t xml:space="preserve">Otro tanto ocurre con la denuncia de la excepcionalidad del enjuiciamiento conjunto de personas aforadas y no aforadas, mediante la creación </w:t>
      </w:r>
      <w:r w:rsidRPr="005728DD">
        <w:rPr>
          <w:i/>
        </w:rPr>
        <w:t>ad hoc</w:t>
      </w:r>
      <w:r>
        <w:t xml:space="preserve"> de una nueva doctrina que se habría apartado de los precedentes vigentes hasta ese momento. Tras hacer una reseña parcial de los hechos imputados a los procesados en la causa, el fiscal recoge los principales argumentos expuestos por el Tribunal Supremo en las diversas resoluciones emitidas sobre esta cuestión, desde el auto de admisión a trámite de la querella de 31 de octubre de 2017, pasando por el auto de 18 de diciembre de 2017 que desestimó el recurso de súplica contra el anterior, así como el auto de la sala de recursos de 26 de junio de 2018, para detenerse especialmente en el auto de 27 de diciembre de 2018, por el que se resuelve la declinatoria de jurisdicción, con una argumentación que es reiterada en el auto por el que se da respuesta a las cuestiones previas y en la propia sentencia de 14 de octubre de 2019.</w:t>
      </w:r>
    </w:p>
    <w:p w:rsidR="005728DD" w:rsidRDefault="005728DD" w:rsidP="005728DD">
      <w:pPr>
        <w:pStyle w:val="TextoNormal"/>
      </w:pPr>
    </w:p>
    <w:p w:rsidR="005728DD" w:rsidRDefault="005728DD" w:rsidP="005728DD">
      <w:pPr>
        <w:pStyle w:val="TextoNormal"/>
      </w:pPr>
      <w:r>
        <w:t>A partir de este análisis, y con cita de la STC 220/2009, de 21 de diciembre, FJ 3, sobre la doctrina de este tribunal en relación con el derecho al juez ordinario predeterminado por la ley, el fiscal considera que, en realidad, la demanda no discute el contenido esencial de este derecho. Es decir, no se impugna que el “órgano judicial haya sido creado previamente por la norma jurídica, que esta le haya investido de jurisdicción y competencia con anterioridad al hecho motivador de la actuación o proceso judicial y que su régimen orgánico y procesal no permita calificarlo de órgano especial o excepcional”. Lo que se recurre es la interpretación del Tribunal Supremo sobre la norma procesal recogida en el art. 57.2 EAC, en relación con el art. 71.3 LOPJ.</w:t>
      </w:r>
    </w:p>
    <w:p w:rsidR="005728DD" w:rsidRDefault="005728DD" w:rsidP="005728DD">
      <w:pPr>
        <w:pStyle w:val="TextoNormal"/>
      </w:pPr>
    </w:p>
    <w:p w:rsidR="005728DD" w:rsidRDefault="005728DD" w:rsidP="005728DD">
      <w:pPr>
        <w:pStyle w:val="TextoNormal"/>
      </w:pPr>
      <w:r>
        <w:t>Se trata de una regla de competencia objetiva que atribuye al Tribunal Supremo el conocimiento de la causa sobre la base de un doble criterio: i) la condición personal del procesado, como diputado del Parlamento de Cataluña; y ii) el ámbito geográfico de los hechos imputados, si son realizados fuera del territorio de esta comunidad autónoma.</w:t>
      </w:r>
    </w:p>
    <w:p w:rsidR="005728DD" w:rsidRDefault="005728DD" w:rsidP="005728DD">
      <w:pPr>
        <w:pStyle w:val="TextoNormal"/>
      </w:pPr>
    </w:p>
    <w:p w:rsidR="005728DD" w:rsidRDefault="005728DD" w:rsidP="005728DD">
      <w:pPr>
        <w:pStyle w:val="TextoNormal"/>
      </w:pPr>
      <w:r>
        <w:t>En el presente caso, el Tribunal Supremo aplica la vigente teoría de la ubicuidad, consistente en que el delito se entiende cometido en cualquiera de los territorios donde se realizan algunos de los elementos del tipo. Bajo esa premisa, se analizan los elementos fácticos atribuidos sobre la acción exterior de la Generalitat tendentes a preparar, financiar y legitimar la celebración del referéndum, a reforzar la imagen de Cataluña en el exterior y procurar la participación de ciudadanos catalanes residentes en el extranjero. Por otro lado, la competencia sobre el delito de malversación se apoya en la concepción integral del patrimonio del Estado que se deduce de la Ley 33/2003, de 3 de noviembre. Se trataba, en todo caso, de una actuación coordinada entre responsables del Parlamento de Cataluña, miembros del Gobierno de la Generalitat y los máximos dirigentes de asociaciones ciudadanas. Por lo tanto, la participación se imputaba a personas aforadas y no aforadas, que intervenían en la comisión de unos hechos que no podían escindirse, sino que requerían una unidad de investigación y enjuiciamiento, para evitar pronunciamientos contradictorios y facilitar la tramitación de una causa tan compleja sin dilaciones indebidas.</w:t>
      </w:r>
    </w:p>
    <w:p w:rsidR="005728DD" w:rsidRDefault="005728DD" w:rsidP="005728DD">
      <w:pPr>
        <w:pStyle w:val="TextoNormal"/>
      </w:pPr>
    </w:p>
    <w:p w:rsidR="005728DD" w:rsidRDefault="005728DD" w:rsidP="005728DD">
      <w:pPr>
        <w:pStyle w:val="TextoNormal"/>
      </w:pPr>
      <w:r>
        <w:t xml:space="preserve">En consecuencia, finaliza el fiscal, “el Tribunal Supremo ha dado respuesta a cada una de las quejas que en este motivo de amparo se esgrime por el recurrente, y la interpretación que ha hecho del art. 57.2 del Estatuto de Autonomía de Cataluña no puede ser tachada de falta de razonabilidad y lógica ni considerada como arbitraria, no ha supuesto la creación </w:t>
      </w:r>
      <w:r w:rsidRPr="005728DD">
        <w:rPr>
          <w:i/>
        </w:rPr>
        <w:t>ad hoc</w:t>
      </w:r>
      <w:r>
        <w:t xml:space="preserve"> de nuevos criterios jurisdiccionales para determinar la competencia del Tribunal Supremo, no se aparta de ningún precedente alegado, dada su falta de identidad, ni altera las reglas de competencia de los no aforados, dada la inescindibilidad de los hechos en atención a los delitos por los que se acusó al recurrente y los demás condenados. El Tribunal Supremo, en aplicación de la teoría de la ubicuidad y por las razones que expone ha declarado su propia competencia conforme al art. 57.2 EAC, respetándose así el contenido de la regla procesal que contiene la norma estatutaria, que con anterioridad a los hechos enjuiciados había predeterminado el órgano competente para la instrucción y enjuiciamiento de los hechos, por lo que ninguna vulneración se habría producido del derecho al juez predeterminado por la ley del art. 24.2 CE”.</w:t>
      </w:r>
    </w:p>
    <w:p w:rsidR="005728DD" w:rsidRDefault="005728DD" w:rsidP="005728DD">
      <w:pPr>
        <w:pStyle w:val="TextoNormal"/>
      </w:pPr>
    </w:p>
    <w:p w:rsidR="005728DD" w:rsidRDefault="005728DD" w:rsidP="005728DD">
      <w:pPr>
        <w:pStyle w:val="TextoNormal"/>
      </w:pPr>
      <w:r>
        <w:t>En cuanto a la vulneración del derecho al recurso como consecuencia de la infracción de las normas determinantes de la competencia que habrían privado al procesado del derecho a la doble instancia, el fiscal se muestra contrario igualmente a la estimación de esta pretensión.</w:t>
      </w:r>
    </w:p>
    <w:p w:rsidR="005728DD" w:rsidRDefault="005728DD" w:rsidP="005728DD">
      <w:pPr>
        <w:pStyle w:val="TextoNormal"/>
      </w:pPr>
    </w:p>
    <w:p w:rsidR="005728DD" w:rsidRDefault="005728DD" w:rsidP="005728DD">
      <w:pPr>
        <w:pStyle w:val="TextoNormal"/>
      </w:pPr>
      <w:r>
        <w:t>Tras analizar la respuesta del Tribunal Supremo a esta alegación, y con cita de las SSTC 22/1997, de 11 de febrero, FFJJ 5 y 6; 133/2000, de 16 de mayo, FJ 3; 66/2001, de 17 de marzo, FJ 4 a), y 194/2015, de 21 de septiembre, FJ 2, que se reseñan parcialmente, el fiscal entiende que, una vez determinada la competencia del Tribunal Supremo, el propio art. 2 del Protocolo núm. 7 CEDH admite la excepción al derecho a la doble instancia cuando el “interesado haya sido juzgado en primera instancia por el más alto órgano jurisdiccional”, lo que ocurre en el presente caso (</w:t>
      </w:r>
      <w:r w:rsidRPr="005728DD">
        <w:rPr>
          <w:i/>
        </w:rPr>
        <w:t>ex</w:t>
      </w:r>
      <w:r>
        <w:t xml:space="preserve"> art. 123 CE). Es el propio legislador el que ha realizado previamente la ponderación entre la prerrogativa que supone el aforamiento y la restricción del derecho a la segunda instancia penal.</w:t>
      </w:r>
    </w:p>
    <w:p w:rsidR="005728DD" w:rsidRDefault="005728DD" w:rsidP="005728DD">
      <w:pPr>
        <w:pStyle w:val="TextoNormal"/>
      </w:pPr>
    </w:p>
    <w:p w:rsidR="005728DD" w:rsidRDefault="005728DD" w:rsidP="005728DD">
      <w:pPr>
        <w:pStyle w:val="TextoNormal"/>
      </w:pPr>
      <w:r>
        <w:lastRenderedPageBreak/>
        <w:t>Concluye el fiscal señalando que “en el presente caso, el Tribunal Supremo ha asumido la competencia para la instrucción y enjuiciamiento de los hechos por los que se ha condenado al recurrente por entender que los delitos que se imputaron se cometieron no solo en el territorio de Cataluña y, como se ha indicado precedentemente, no ha existido una vulneración del derecho al juez predeterminado por la ley. El recurrente goza en virtud de la disposición del estatuto de autonomía y por razón de su cargo de una especial protección que contrarresta la imposibilidad de acudir a una instancia superior, pudiendo afirmarse que esas particulares garantías que acompañan a los diputados del Parlamento de Cataluña, de manera similar a senadores y diputados del Congreso de Diputados, cuando los hechos se producen fuera del territorio de la comunidad autónoma, ‘disculpan la falta de un segundo grado jurisdiccional, por ellas mismas y porque el órgano encargado de conocer en las causas en que puedan hallarse implicados es el superior en la vía judicial ordinaria’ (STC 51/1985, FJ 3)”.</w:t>
      </w:r>
    </w:p>
    <w:p w:rsidR="005728DD" w:rsidRDefault="005728DD" w:rsidP="005728DD">
      <w:pPr>
        <w:pStyle w:val="TextoNormal"/>
      </w:pPr>
    </w:p>
    <w:p w:rsidR="005728DD" w:rsidRDefault="005728DD" w:rsidP="005728DD">
      <w:pPr>
        <w:pStyle w:val="TextoNormal"/>
      </w:pPr>
      <w:r>
        <w:t>Por todo ello, considera que procede desestimar el presente motivo de amparo al no existir vulneración del derecho al juez ordinario predeterminado por la ley (art. 24.2 CE).</w:t>
      </w:r>
    </w:p>
    <w:p w:rsidR="005728DD" w:rsidRDefault="005728DD" w:rsidP="005728DD">
      <w:pPr>
        <w:pStyle w:val="TextoNormal"/>
      </w:pPr>
    </w:p>
    <w:p w:rsidR="005728DD" w:rsidRDefault="005728DD" w:rsidP="005728DD">
      <w:pPr>
        <w:pStyle w:val="TextoNormal"/>
      </w:pPr>
      <w:r>
        <w:t>11.2. Vulneración del derecho a un juez imparcial (arts. 24.2 CE y 6 CEDH), por no haberse estimado las diversas recusaciones formuladas a lo largo del procedimiento y por el rol inquisitivo asumido por el presidente del tribunal en el acto del juicio oral.</w:t>
      </w:r>
    </w:p>
    <w:p w:rsidR="005728DD" w:rsidRDefault="005728DD" w:rsidP="005728DD">
      <w:pPr>
        <w:pStyle w:val="TextoNormal"/>
      </w:pPr>
    </w:p>
    <w:p w:rsidR="005728DD" w:rsidRDefault="005728DD" w:rsidP="005728DD">
      <w:pPr>
        <w:pStyle w:val="TextoNormal"/>
      </w:pPr>
      <w:r>
        <w:t>El fiscal comienza su análisis con la cita y reseña parcial de la STC 5/2004, de 16 de enero, FJ 2, sobre el derecho al juez imparcial, para centrarse luego en las concretas vulneraciones alegadas.</w:t>
      </w:r>
    </w:p>
    <w:p w:rsidR="005728DD" w:rsidRDefault="005728DD" w:rsidP="005728DD">
      <w:pPr>
        <w:pStyle w:val="TextoNormal"/>
      </w:pPr>
    </w:p>
    <w:p w:rsidR="005728DD" w:rsidRDefault="005728DD" w:rsidP="005728DD">
      <w:pPr>
        <w:pStyle w:val="TextoNormal"/>
      </w:pPr>
      <w:r>
        <w:t>a) Sobre la actuación del magistrado instructor: la alegación se centra en el hecho de la utilización de la expresión “la estrategia que sufrimos”, incluida en el auto de procesamiento dictado por el magistrado instructor.</w:t>
      </w:r>
    </w:p>
    <w:p w:rsidR="005728DD" w:rsidRDefault="005728DD" w:rsidP="005728DD">
      <w:pPr>
        <w:pStyle w:val="TextoNormal"/>
      </w:pPr>
    </w:p>
    <w:p w:rsidR="005728DD" w:rsidRDefault="005728DD" w:rsidP="005728DD">
      <w:pPr>
        <w:pStyle w:val="TextoNormal"/>
      </w:pPr>
      <w:r>
        <w:t>Esta alegación fue desestimada por la sala de recursos del Tribunal Supremo en su auto de 18 de junio de 2018, así como en la propia sentencia ahora impugnada.</w:t>
      </w:r>
    </w:p>
    <w:p w:rsidR="005728DD" w:rsidRDefault="005728DD" w:rsidP="005728DD">
      <w:pPr>
        <w:pStyle w:val="TextoNormal"/>
      </w:pPr>
    </w:p>
    <w:p w:rsidR="005728DD" w:rsidRDefault="005728DD" w:rsidP="005728DD">
      <w:pPr>
        <w:pStyle w:val="TextoNormal"/>
      </w:pPr>
      <w:r>
        <w:t>A pesar de lo anterior, a juicio del fiscal, este motivo debe ser inadmitido, conforme a lo dispuesto en el art. 50.1 a) LOTC, en relación con el art. 44.1 c) LOTC. Alega, en este sentido, que el recurrente no puso de manifiesto esta causa de recusación en el momento procesal oportuno, es decir, cuando le fue notificado el auto, sino que la hizo valer en la fase de juicio oral, más en concreto, en la fase de cuestiones previas y en el escrito de calificación definitiva. Con ello se infringió lo dispuesto en el art. 223.1 LOPJ, que exige que la recusación se proponga “tan pronto como se tenga conocimiento de la causa”.</w:t>
      </w:r>
    </w:p>
    <w:p w:rsidR="005728DD" w:rsidRDefault="005728DD" w:rsidP="005728DD">
      <w:pPr>
        <w:pStyle w:val="TextoNormal"/>
      </w:pPr>
    </w:p>
    <w:p w:rsidR="005728DD" w:rsidRDefault="005728DD" w:rsidP="005728DD">
      <w:pPr>
        <w:pStyle w:val="TextoNormal"/>
      </w:pPr>
      <w:r>
        <w:t>No obstante, el propio fiscal entra en el fondo de la cuestión, tras admitir que la sala de recursos y el tribunal de enjuiciamiento ofrecieron una respuesta al motivo planteado, que se reseña parcialmente en su informe. Así, con cita de la STC 69/2001, de 17 de marzo, y del ATC 26/2007, de 5 de febrero, FJ 7, sobre la causa de recusación prevista en el art. 219.10 LOPJ, el fiscal considera que esta alegación debe ser desestimada.</w:t>
      </w:r>
    </w:p>
    <w:p w:rsidR="005728DD" w:rsidRDefault="005728DD" w:rsidP="005728DD">
      <w:pPr>
        <w:pStyle w:val="TextoNormal"/>
      </w:pPr>
    </w:p>
    <w:p w:rsidR="005728DD" w:rsidRDefault="005728DD" w:rsidP="005728DD">
      <w:pPr>
        <w:pStyle w:val="TextoNormal"/>
      </w:pPr>
      <w:r>
        <w:t xml:space="preserve">Así, razona el Ministerio Fiscal, el “derecho al juez imparcial no queda afectado porque el magistrado instructor haya incluido en el auto de procesamiento como una reflexión ‘la </w:t>
      </w:r>
      <w:r>
        <w:lastRenderedPageBreak/>
        <w:t>estrategia que sufrimos’, más cuando la reflexión se proyecta en plural, como un sentimiento colectivo de la sociedad, no como algo individual y exclusivo del mismo, como expresión de una situación real. No se trata, por tanto, de un interés singularizado en relación con la persona del recurrente y demás procesados, sino manifestación de un sentimiento que sentía un importante sector de la sociedad en relación con los acontecimientos derivados del denominado ‘procés’. […] No existe ‘prueba alguna que ponga de manifiesto que el instructor en su labor de indagación de los hechos no haya consignado y apreciado las circunstancias tanto adversas como favorables al presunto reo (art. 2 LECrim)’”. Para finalizar señalando que “se trata de una expresión aislada que no se ha visto reiterada o reflejada en ninguna otra resolución del magistrado instructor o por manifestaciones realizadas por el mismo sobre los hechos objeto del proceso, por lo que por sí sola no sería suficiente para poner en duda la imparcialidad del mismo”.</w:t>
      </w:r>
    </w:p>
    <w:p w:rsidR="005728DD" w:rsidRDefault="005728DD" w:rsidP="005728DD">
      <w:pPr>
        <w:pStyle w:val="TextoNormal"/>
      </w:pPr>
    </w:p>
    <w:p w:rsidR="005728DD" w:rsidRDefault="005728DD" w:rsidP="005728DD">
      <w:pPr>
        <w:pStyle w:val="TextoNormal"/>
      </w:pPr>
      <w:r>
        <w:t xml:space="preserve">b) Sobre la sala de recursos de la Sala Segunda del Tribunal Supremo, y más en concreto, sobre el magistrado don Francisco Monterde Ferrer: se trata de una alegación inicialmente promovida por otro de los procesados, a la que se adhirió el recurrente. El motivo de esta queja es que el citado magistrado es “miembro y vicepresidente del Comité Ejecutivo de la asociación de jueces Asociación Profesional de la Magistratura, que en meses anteriores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el Tribunal Supremo y mostraba una evidente animadversión hacia su ideología política’”. Dado el cargo que ocupaba ese magistrado en la estructura de la asociación, “parece razonable pensar que el señor magistrado conozca y comparta la línea editorial que desde hace meses esta asociación sostiene desde dichas cuentas oficiales”. En la demanda se reproducen los mensajes controvertidos. La recusación del magistrado fue rechazada </w:t>
      </w:r>
      <w:r w:rsidRPr="005728DD">
        <w:rPr>
          <w:i/>
        </w:rPr>
        <w:t>a limine</w:t>
      </w:r>
      <w:r>
        <w:t>, y posteriormente ratificada en otras decisiones, incluida la sentencia ahora impugnada. Tras reproducir la argumentación contenida en estas resoluciones, el fiscal señala, en primer lugar, que el motivo debe ser inadmitido a trámite [art. 50.1 a) LOTC, en relación con el art. 44.1 c) LOTC], dado que “el recurrente no da ninguna argumentación ni aporta prueba alguna sobre la causa de inadmisión de la recusación por extemporánea”. En consecuencia, considera que la extemporaneidad de la recusación no ofrece dudas, tal y como señalaron las resoluciones de inadmisión. Por lo tanto, siguiendo la doctrina de este tribunal (STC 140/2014, de 13 de septiembre, FJ 4), “no puede alegarse en amparo la vulneración del derecho al juez imparcial sin haber planteado en tiempo ante los órganos de la jurisdicción ordinaria la recusación del juez o magistrado cuya imparcialidad se cuestiona”.</w:t>
      </w:r>
    </w:p>
    <w:p w:rsidR="005728DD" w:rsidRDefault="005728DD" w:rsidP="005728DD">
      <w:pPr>
        <w:pStyle w:val="TextoNormal"/>
      </w:pPr>
    </w:p>
    <w:p w:rsidR="005728DD" w:rsidRDefault="005728DD" w:rsidP="005728DD">
      <w:pPr>
        <w:pStyle w:val="TextoNormal"/>
      </w:pPr>
      <w:r>
        <w:t>No obstante, dado que la sentencia impugnada se pronunció sobre el fondo de la cuestión, el fiscal se adentra en la prosperabilidad del motivo para solicitar igualmente la desestimación de esta queja. Argumenta, a tal efecto, que “no estamos ante un supuesto de manifestaciones públicas realizadas por el magistrado en cuestión sino ante mensajes procedentes de personas no identificadas, de modo que, al margen de cualquier valoración sobre su contenido, tales mensajes no pueden considerarse como elemento acreditativo del interés del referido magistrado en un resultado concreto del proceso.</w:t>
      </w:r>
    </w:p>
    <w:p w:rsidR="005728DD" w:rsidRDefault="005728DD" w:rsidP="005728DD">
      <w:pPr>
        <w:pStyle w:val="TextoNormal"/>
      </w:pPr>
    </w:p>
    <w:p w:rsidR="005728DD" w:rsidRDefault="005728DD" w:rsidP="005728DD">
      <w:pPr>
        <w:pStyle w:val="TextoNormal"/>
      </w:pPr>
      <w:r>
        <w:lastRenderedPageBreak/>
        <w:t>Por tanto, no existen elementos de mínima consistencia para afirmar que las sospechas o dudas de parcialidad se hallen objetiva y legítimamente justificadas, de manera que permanece indemne la presunción de imparcialidad del magistrado cuestionado y del órgano jurisdiccional en que se integra. Además, no se aporta un principio de prueba sobre el supuesto interés del magistrado recusado en la condena del recurrente”.</w:t>
      </w:r>
    </w:p>
    <w:p w:rsidR="005728DD" w:rsidRDefault="005728DD" w:rsidP="005728DD">
      <w:pPr>
        <w:pStyle w:val="TextoNormal"/>
      </w:pPr>
    </w:p>
    <w:p w:rsidR="005728DD" w:rsidRDefault="005728DD" w:rsidP="005728DD">
      <w:pPr>
        <w:pStyle w:val="TextoNormal"/>
      </w:pPr>
      <w:r>
        <w:t>c) Sobre los magistrados de la sala de enjuiciamiento. Este motivo se concreta, a su vez, en los siguientes hechos:</w:t>
      </w:r>
    </w:p>
    <w:p w:rsidR="005728DD" w:rsidRDefault="005728DD" w:rsidP="005728DD">
      <w:pPr>
        <w:pStyle w:val="TextoNormal"/>
      </w:pPr>
    </w:p>
    <w:p w:rsidR="005728DD" w:rsidRDefault="005728DD" w:rsidP="005728DD">
      <w:pPr>
        <w:pStyle w:val="TextoNormal"/>
      </w:pPr>
      <w:r>
        <w:t>(i) Los magistrados don Manuel Marchena Gómez, don Andrés Martínez Arrieta, don Juan Ramón Berdugo Gómez de la Torre y don Luciano Varela Castro, formaron parte de la sala de admisión.</w:t>
      </w:r>
    </w:p>
    <w:p w:rsidR="005728DD" w:rsidRDefault="005728DD" w:rsidP="005728DD">
      <w:pPr>
        <w:pStyle w:val="TextoNormal"/>
      </w:pPr>
    </w:p>
    <w:p w:rsidR="005728DD" w:rsidRDefault="005728DD" w:rsidP="005728DD">
      <w:pPr>
        <w:pStyle w:val="TextoNormal"/>
      </w:pPr>
      <w:r>
        <w:t>En este punto, el fiscal hace una reseña del pronunciamiento contenido en la sentencia impugnada que, a su vez, se remite parcialmente al auto de 13 de septiembre de 2018 dictado por la sala del art. 61 LOPJ, por el que se desestima el incidente de recusación planteado, así como a la STC 39/2019, de 26 de marzo, por la que se desestima el recurso de amparo interpuesto contra el auto anterior por considerarlo prematuro. Tras extractar el auto de 31 de octubre de 2017, por el que se admite a trámite la querella interpuesta contra el recurrente, el fiscal expone la doctrina de este tribunal que se recoge, entre otras, en las SSTC 162/1999, de 27 de septiembre, FJ 6, y 45/2006, de 13 de febrero, FJ 4.</w:t>
      </w:r>
    </w:p>
    <w:p w:rsidR="005728DD" w:rsidRDefault="005728DD" w:rsidP="005728DD">
      <w:pPr>
        <w:pStyle w:val="TextoNormal"/>
      </w:pPr>
    </w:p>
    <w:p w:rsidR="005728DD" w:rsidRDefault="005728DD" w:rsidP="005728DD">
      <w:pPr>
        <w:pStyle w:val="TextoNormal"/>
      </w:pPr>
      <w:r>
        <w:t>Concluye el fiscal señalando que “no se advierte que la participación de los magistrados que admitieron la querella llevaran a cabo un razonamiento jurídico sobre la existencia de los hechos, de sus responsables y de la entidad jurídica de los hechos relatados en la querella, esto es, no formularon ninguna valoración jurídica sobre el contenido material de la querella”, sino que la “sala de admisión de la querella se limitó a cumplir con su obligación de incoar el procedimiento una vez presentada la querella, comprobando que se cumplían los requisitos de admisión y sin que la reflexión que contiene sobre su competencia suponga tampoco un juicio de tipicidad y de culpabilidad sobre el recurrente pues de forma provisional valoró que los imputados eran personas aforadas y que los hechos se habían producido no solo en territorio de la Comunidad Autónoma de Cataluña, sin que esta apreciación haya supuesto una valoración jurídica sobre el autor de los hechos y su culpabilidad. No realiza ningún juicio sobre la existencia de los hechos y su atribuibilidad a persona concreta.</w:t>
      </w:r>
    </w:p>
    <w:p w:rsidR="005728DD" w:rsidRDefault="005728DD" w:rsidP="005728DD">
      <w:pPr>
        <w:pStyle w:val="TextoNormal"/>
      </w:pPr>
    </w:p>
    <w:p w:rsidR="005728DD" w:rsidRDefault="005728DD" w:rsidP="005728DD">
      <w:pPr>
        <w:pStyle w:val="TextoNormal"/>
      </w:pPr>
      <w:r>
        <w:t>En consecuencia, no puede afirmarse que los magistrados han quedado por ello contaminados de forma que han perdido la imparcialidad”.</w:t>
      </w:r>
    </w:p>
    <w:p w:rsidR="005728DD" w:rsidRDefault="005728DD" w:rsidP="005728DD">
      <w:pPr>
        <w:pStyle w:val="TextoNormal"/>
      </w:pPr>
    </w:p>
    <w:p w:rsidR="005728DD" w:rsidRDefault="005728DD" w:rsidP="005728DD">
      <w:pPr>
        <w:pStyle w:val="TextoNormal"/>
      </w:pPr>
      <w:r>
        <w:t>(ii) Sobre la recusación del presidente de la Sala Segunda, por haber sido mencionado en un WhatsApp remitido por un senador del Partido Popular, en el que se jactaba de tener controlado el Consejo General del Poder Judicial y el Tribunal Supremo “por la puerta de atrás”, en el caso de que se llegara al pacto que convirtiera al magistrado en la primera autoridad judicial del Estado.</w:t>
      </w:r>
    </w:p>
    <w:p w:rsidR="005728DD" w:rsidRDefault="005728DD" w:rsidP="005728DD">
      <w:pPr>
        <w:pStyle w:val="TextoNormal"/>
      </w:pPr>
    </w:p>
    <w:p w:rsidR="005728DD" w:rsidRDefault="005728DD" w:rsidP="005728DD">
      <w:pPr>
        <w:pStyle w:val="TextoNormal"/>
      </w:pPr>
      <w:r>
        <w:t>Esta queja fue desestimada por el auto de 5 de diciembre de 2018 dictado por la Sala del art. 61 LOPJ, con una argumentación que fue reiterada en la sentencia impugnada.</w:t>
      </w:r>
    </w:p>
    <w:p w:rsidR="005728DD" w:rsidRDefault="005728DD" w:rsidP="005728DD">
      <w:pPr>
        <w:pStyle w:val="TextoNormal"/>
      </w:pPr>
    </w:p>
    <w:p w:rsidR="005728DD" w:rsidRDefault="005728DD" w:rsidP="005728DD">
      <w:pPr>
        <w:pStyle w:val="TextoNormal"/>
      </w:pPr>
      <w:r>
        <w:lastRenderedPageBreak/>
        <w:t>Sobre este punto, el fiscal considera que, aunque no se diga nada en la demanda, se entiende que se está alegando la concurrencia de la causa de recusación prevista en el art. 219.10 LOPJ. Centrada la cuestión, el ministerio público entiende que se trata de una recusación fundada “en el hecho de otro, no en una manifestación realizada por el recusado”. Para el fiscal, debe tenerse en cuenta “el contexto en que el tercero envía el mensaje”, que “responde a una negociación de partidos políticos para el nombramiento del candidato a presidir el Consejo General del Poder Judicial y, por ende, el Tribunal Supremo, en el que el transmitente expresa su particular opinión sobre lo que puede suponer para la formación política, en la que se integra, dicho nombramiento. Sin embargo, la opinión manifestada por el tercero, en su mensaje, se ha visto contradicha por el hecho de que el recusado se ha autodescartado para el cargo, lo que vacía de contenido el del mensaje. La recusación se tiene que basar en hechos propios del magistrado recusado no en los que le atribuye un tercero, lo que no sucede aquí. Pero, junto al contenido del mensaje, no existe una prueba que avale el mismo, en concreto, que el recusado haría lo que el partido político le indique. El recurrente no aporta prueba alguna que avale esa aseveración y en ningún momento por el recusado se ha hecho manifestación alguna que avale el contenido del mensaje”.</w:t>
      </w:r>
    </w:p>
    <w:p w:rsidR="005728DD" w:rsidRDefault="005728DD" w:rsidP="005728DD">
      <w:pPr>
        <w:pStyle w:val="TextoNormal"/>
      </w:pPr>
    </w:p>
    <w:p w:rsidR="005728DD" w:rsidRDefault="005728DD" w:rsidP="005728DD">
      <w:pPr>
        <w:pStyle w:val="TextoNormal"/>
      </w:pPr>
      <w:r>
        <w:t>El Ministerio Fiscal concluye su alegación sobre este motivo señalando que el “hecho en que se apoya la causa de recusación no destruye la apariencia de imparcialidad del recusado aludido pues bastaría que cualquier tercero enviara un mensaje similar respecto de cualquier magistrado para sembrar dudas sobre la imparcialidad judicial y apartarle del conocimiento de un asunto y más cuando el magistrado recusado, como se ha dicho, se autodescartó para el mencionado nombramiento.</w:t>
      </w:r>
    </w:p>
    <w:p w:rsidR="005728DD" w:rsidRDefault="005728DD" w:rsidP="005728DD">
      <w:pPr>
        <w:pStyle w:val="TextoNormal"/>
      </w:pPr>
    </w:p>
    <w:p w:rsidR="005728DD" w:rsidRDefault="005728DD" w:rsidP="005728DD">
      <w:pPr>
        <w:pStyle w:val="TextoNormal"/>
      </w:pPr>
      <w:r>
        <w:t>Resulta patente la inconsistencia que supone atribuir al presidente de la Sala Segunda del Tribunal Supremo un ‘interés directo o indirecto’ en el proceso exclusivamente por el hecho de que por un tercero en un mensaje de WhatsApp manifieste su opinión personal sobre el posible significado del nombramiento de la máxima autoridad del Tribunal Supremo sin aportar otros elementos que sustenten la elucubración que se desprende del contenido del mensaje”.</w:t>
      </w:r>
    </w:p>
    <w:p w:rsidR="005728DD" w:rsidRDefault="005728DD" w:rsidP="005728DD">
      <w:pPr>
        <w:pStyle w:val="TextoNormal"/>
      </w:pPr>
    </w:p>
    <w:p w:rsidR="005728DD" w:rsidRDefault="005728DD" w:rsidP="005728DD">
      <w:pPr>
        <w:pStyle w:val="TextoNormal"/>
      </w:pPr>
      <w:r>
        <w:t>Descartada así la causa de recusación del magistrado, no tendría objeto la recusación del resto de los magistrados de la Sala.</w:t>
      </w:r>
    </w:p>
    <w:p w:rsidR="005728DD" w:rsidRDefault="005728DD" w:rsidP="005728DD">
      <w:pPr>
        <w:pStyle w:val="TextoNormal"/>
      </w:pPr>
    </w:p>
    <w:p w:rsidR="005728DD" w:rsidRDefault="005728DD" w:rsidP="005728DD">
      <w:pPr>
        <w:pStyle w:val="TextoNormal"/>
      </w:pPr>
      <w:r>
        <w:t>(iii) Sobre el hecho de que los magistrados de la sala de enjuiciamiento son los mismos que han revisado la sentencia a través del incidente de nulidad de actuaciones: según el fiscal, este motivo aparece huérfano de argumentación alguna, se propone la desestimación con la expresa reseña parcial de la STC 170/2002, de 30 de septiembre, FJ 11.</w:t>
      </w:r>
    </w:p>
    <w:p w:rsidR="005728DD" w:rsidRDefault="005728DD" w:rsidP="005728DD">
      <w:pPr>
        <w:pStyle w:val="TextoNormal"/>
      </w:pPr>
    </w:p>
    <w:p w:rsidR="005728DD" w:rsidRDefault="005728DD" w:rsidP="005728DD">
      <w:pPr>
        <w:pStyle w:val="TextoNormal"/>
      </w:pPr>
      <w:r>
        <w:t>(iv) Sobre el indebido rol inquisitivo asumido por el presidente del tribunal durante la celebración de la vista oral: considera que esta queja se circunscribe a la pregunta formulada a un testigo por el presidente de la Sala, al amparo de lo dispuesto en el art. 708 LECrim. Más en concreto, se trataría de la pregunta formulada al testigo señor Trapero, sobre el motivo y la finalidad de la reunión de la junta de seguridad celebrada el 28 de septiembre de 2017. Una pregunta que, sin embargo, se habría impedido realizar al Ministerio Fiscal, por desbordar las razones que determinaron la pertinencia de la citación de ese testigo.</w:t>
      </w:r>
    </w:p>
    <w:p w:rsidR="005728DD" w:rsidRDefault="005728DD" w:rsidP="005728DD">
      <w:pPr>
        <w:pStyle w:val="TextoNormal"/>
      </w:pPr>
    </w:p>
    <w:p w:rsidR="005728DD" w:rsidRDefault="005728DD" w:rsidP="005728DD">
      <w:pPr>
        <w:pStyle w:val="TextoNormal"/>
      </w:pPr>
      <w:r>
        <w:lastRenderedPageBreak/>
        <w:t>Tras hacer una reseña de la respuesta ofrecida sobre esta cuestión en la sentencia impugnada, y con cita y reseña parcial de la STC 130/2002, de 3 de junio, FJ 3, el fiscal considera procedente la desestimación de esta alegación.</w:t>
      </w:r>
    </w:p>
    <w:p w:rsidR="005728DD" w:rsidRDefault="005728DD" w:rsidP="005728DD">
      <w:pPr>
        <w:pStyle w:val="TextoNormal"/>
      </w:pPr>
    </w:p>
    <w:p w:rsidR="005728DD" w:rsidRDefault="005728DD" w:rsidP="005728DD">
      <w:pPr>
        <w:pStyle w:val="TextoNormal"/>
      </w:pPr>
      <w:r>
        <w:t>Señala, en tal sentido, que la “pregunta del presidente, amparada por el art. 708 LECrim, solo buscó lo que el precepto autoriza, esto es, depurar los hechos sobre los que el testigo había declarado […] el contenido de la pregunta […] se referían a hechos ya introducidos en el debate con anterioridad y no se buscó con la pregunta acreditar hechos diferentes, sino depurar el concreto extremo sobre la motivación de la reunión de 28 de septiembre de 2017 entre el Govern de la Generalitat y los mandos responsables de los Mossos d’Esquadra. Es más, la razón que da la Sala y que motivó la pregunta es que el hecho había sido introducido por un testigo anterior en términos que, a priori, podía reputarse no favorables para algunos acusados […]. Ello, unido a que después se permitió a las defensas hacer preguntas al testigo, por lo que ninguna indefensión se le causó, no supone la asunción de un rol inquisitivo por el presidente del tribunal y por tanto una quiebra de imparcialidad del tribunal. Por último, esta actuación, llevada a cabo para alcanzar un grado preciso de convicción sobre la cuestión objeto de interrogatorio, no puede considerarse una actividad inquisitiva que sustituya a la acusación y afecte a la imparcialidad del juzgador, y más, cuando el propio tribunal descarta que haya tenido en cuenta la respuesta del testigo a la pregunta cuestionada al declarar que ‘la pregunta es totalmente prescindible a efectos de construir el relato de hechos probados en tanto que la reunión ha quedado acreditada por varias fuentes de prueba en términos iguales’ (FJ 16.3.5).</w:t>
      </w:r>
    </w:p>
    <w:p w:rsidR="005728DD" w:rsidRDefault="005728DD" w:rsidP="005728DD">
      <w:pPr>
        <w:pStyle w:val="TextoNormal"/>
      </w:pPr>
    </w:p>
    <w:p w:rsidR="005728DD" w:rsidRDefault="005728DD" w:rsidP="005728DD">
      <w:pPr>
        <w:pStyle w:val="TextoNormal"/>
      </w:pPr>
      <w:r>
        <w:t>Además, la pregunta formulada por el presidente del tribunal, es respetuosa con el principio acusatorio, que exige que sea el acusador por imperativo constitucional el que aporte las pruebas, y con el derecho de defensa pues se le permitió después de preguntar el presidente al testigo formular preguntas”.</w:t>
      </w:r>
    </w:p>
    <w:p w:rsidR="005728DD" w:rsidRDefault="005728DD" w:rsidP="005728DD">
      <w:pPr>
        <w:pStyle w:val="TextoNormal"/>
      </w:pPr>
    </w:p>
    <w:p w:rsidR="005728DD" w:rsidRDefault="005728DD" w:rsidP="005728DD">
      <w:pPr>
        <w:pStyle w:val="TextoNormal"/>
      </w:pPr>
      <w:r>
        <w:t>11.3. Vulneración del derecho a un proceso con todas las garantías (art. 24.2 CE y art. 6 CEDH), por la filtración del contenido de la sentencia cuando su redacción no había sido culminada, vinculando esta denuncia a la imparcialidad del juzgador.</w:t>
      </w:r>
    </w:p>
    <w:p w:rsidR="005728DD" w:rsidRDefault="005728DD" w:rsidP="005728DD">
      <w:pPr>
        <w:pStyle w:val="TextoNormal"/>
      </w:pPr>
    </w:p>
    <w:p w:rsidR="005728DD" w:rsidRDefault="005728DD" w:rsidP="005728DD">
      <w:pPr>
        <w:pStyle w:val="TextoNormal"/>
      </w:pPr>
      <w:r>
        <w:t>Esta alegación fue planteada en el incidente de nulidad de actuaciones y resuelta por la Sala en el auto de 29 de enero de 2020, también impugnado, por remisión a lo resuelto en los incidentes planteados por este mismo motivo por los procesados señores Sànchez y Turull.</w:t>
      </w:r>
    </w:p>
    <w:p w:rsidR="005728DD" w:rsidRDefault="005728DD" w:rsidP="005728DD">
      <w:pPr>
        <w:pStyle w:val="TextoNormal"/>
      </w:pPr>
    </w:p>
    <w:p w:rsidR="005728DD" w:rsidRDefault="005728DD" w:rsidP="005728DD">
      <w:pPr>
        <w:pStyle w:val="TextoNormal"/>
      </w:pPr>
      <w:r>
        <w:t>A juicio del fiscal, lo primero que se debe señalar es que el recurrente “no identifica la causa de recusación”, de entre las contempladas en el art. 219 LOPJ. Al margen de lo anterior, y con cita de la STC 136/1999, de 20 de julio, el Ministerio Fiscal considera que “la parte […] no aporta elemento que acredite que las filtraciones y su efecto desencadenante […] han supuesto un menoscabo de la imparcialidad de los magistrados […] ha influido en [su] ánimo o se han visto condicionados […] o que la filtración persiguiese obtener una modificación de lo decidido en la deliberación […]”. A juicio del fiscal, “no basta el ‘clamor social’”, sino que es necesario algún “indicio que avale que el sentido final de la tipificación penal de los hechos fue modificado porque los magistrados de la Sala se vieron influidos y presionados por los estados de opinión de los medios de comunicación”.</w:t>
      </w:r>
    </w:p>
    <w:p w:rsidR="005728DD" w:rsidRDefault="005728DD" w:rsidP="005728DD">
      <w:pPr>
        <w:pStyle w:val="TextoNormal"/>
      </w:pPr>
    </w:p>
    <w:p w:rsidR="005728DD" w:rsidRDefault="005728DD" w:rsidP="005728DD">
      <w:pPr>
        <w:pStyle w:val="TextoNormal"/>
      </w:pPr>
      <w:r>
        <w:lastRenderedPageBreak/>
        <w:t>Finalmente, con cita y reseña parcial de la STC 66/2001, de 17 de marzo, FJ 2 b, concluye que “no cabe apreciar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5728DD" w:rsidRDefault="005728DD" w:rsidP="005728DD">
      <w:pPr>
        <w:pStyle w:val="TextoNormal"/>
      </w:pPr>
    </w:p>
    <w:p w:rsidR="005728DD" w:rsidRDefault="005728DD" w:rsidP="005728DD">
      <w:pPr>
        <w:pStyle w:val="TextoNormal"/>
      </w:pPr>
      <w:r>
        <w:t>11.4. Vulneración del derecho de defensa y a un proceso con todas las garantías (art. 24.2 CE y art. 6 CEDH), por la indebida denegación de medios de prueba.</w:t>
      </w:r>
    </w:p>
    <w:p w:rsidR="005728DD" w:rsidRDefault="005728DD" w:rsidP="005728DD">
      <w:pPr>
        <w:pStyle w:val="TextoNormal"/>
      </w:pPr>
    </w:p>
    <w:p w:rsidR="005728DD" w:rsidRDefault="005728DD" w:rsidP="005728DD">
      <w:pPr>
        <w:pStyle w:val="TextoNormal"/>
      </w:pPr>
      <w:r>
        <w:t>En este apartado, el fiscal expone las diversas diligencias de prueba que, según la demanda, habrían sido indebidamente denegadas, resaltando que estas quejas fueron resueltas en el auto de 1 de febrero de 2019 sobre admisión de pruebas, así como en el incidente de las cuestiones previas y en la propia sentencia impugnada.</w:t>
      </w:r>
    </w:p>
    <w:p w:rsidR="005728DD" w:rsidRDefault="005728DD" w:rsidP="005728DD">
      <w:pPr>
        <w:pStyle w:val="TextoNormal"/>
      </w:pPr>
    </w:p>
    <w:p w:rsidR="005728DD" w:rsidRDefault="005728DD" w:rsidP="005728DD">
      <w:pPr>
        <w:pStyle w:val="TextoNormal"/>
      </w:pPr>
      <w:r>
        <w:t xml:space="preserve">Tras exponer parcialmente la STC 107/2019, de 30 de septiembre, FJ 5, sobre el derecho a la prueba, el fiscal descarta, de inicio, la queja </w:t>
      </w:r>
      <w:r w:rsidRPr="005728DD">
        <w:rPr>
          <w:i/>
        </w:rPr>
        <w:t>in genere</w:t>
      </w:r>
      <w:r>
        <w:t xml:space="preserve"> en la que se denuncia que “prácticamente todas las pruebas propuestas por las acusaciones” fueron admitidas, mientras que “en cambio, se han rechazado muchas de las pruebas propuestas por las defensas”. Para el fiscal, “esta denuncia no es más que una apreciación subjetiva del recurrente, que como indica la Sala parece apoyarse en un criterio numérico de cuantificación de las pruebas admitidas y denegadas”. Por el contrario, lo relevante es si las pruebas fueron propuestas en tiempo y forma, así como su pertinencia.</w:t>
      </w:r>
    </w:p>
    <w:p w:rsidR="005728DD" w:rsidRDefault="005728DD" w:rsidP="005728DD">
      <w:pPr>
        <w:pStyle w:val="TextoNormal"/>
      </w:pPr>
    </w:p>
    <w:p w:rsidR="005728DD" w:rsidRDefault="005728DD" w:rsidP="005728DD">
      <w:pPr>
        <w:pStyle w:val="TextoNormal"/>
      </w:pPr>
      <w:r>
        <w:t>Desglosando las diversas diligencias solicitadas, el fiscal analiza cada una de ellas, con el siguiente resultado:</w:t>
      </w:r>
    </w:p>
    <w:p w:rsidR="005728DD" w:rsidRDefault="005728DD" w:rsidP="005728DD">
      <w:pPr>
        <w:pStyle w:val="TextoNormal"/>
      </w:pPr>
    </w:p>
    <w:p w:rsidR="005728DD" w:rsidRDefault="005728DD" w:rsidP="005728DD">
      <w:pPr>
        <w:pStyle w:val="TextoNormal"/>
      </w:pPr>
      <w:r>
        <w:t>a) Sobre la aportación del testimonio íntegro de las diligencias practicadas en el Juzgado de Instrucción núm. 13 de Barcelona: tras hacer una reseña parcial de la respuesta ofrecida por la sala de enjuiciamiento en el auto de 1 de febrero de 2019, sobre admisión de pruebas, y en la propia sentencia impugnada, el fiscal señala que como “indica el Tribunal Supremo con apoyo en la Directiva 13/2012, no se reconoce un derecho preventivo frente a aquellos procesos que se gestionan ante otros órganos jurisdiccionales para permitir si en alguno de ellos existe algo que pueda afectar al derecho de defensa pues la causa no puede convertirse en ‘un contenedor formal’ que reciba todo lo investigado sobre los hechos acaecidos en Cataluña con ocasión del denominado ‘procés’. Debe reprocharse la afirmación de ‘instrucciones paralelas’, el procedimiento seguido ante el Juzgado de Instrucción núm. 13 de Barcelona tiene un objeto propio y distinto del proceso del que trae causa el recurso de amparo y si hubiere existido algún elemento indiciario de participación del recurrente por los hechos objeto del procedimiento habría sido citado a tal efecto (art. 486 LECrim), en todo caso, el recurrente ha tenido la posibilidad de desplegar sin cortapisa alguna su derechos de defensa en el procedimiento en que se le ha condenado como autor de un delito de sedición. Esta afirmación de existencia de una ‘instrucción paralela’, sobre hechos idénticos a los enjuiciados no es más que una presunción pues, como indica, no era parte en el proceso, lo que hace suponer que ignore cual es el objeto de dicho procedimiento, y, por lo tanto, la afirma</w:t>
      </w:r>
      <w:r>
        <w:lastRenderedPageBreak/>
        <w:t>ción que hace carece de un soporte fáctico y probatorio, sin que se pueda aceptar la descalificación que realiza, frente a la razón dada por el Tribunal Supremo, de que solo valorará la prueba practicada en el juicio oral, lo que no puede ser de otro modo, art. 741 LECrim”.</w:t>
      </w:r>
    </w:p>
    <w:p w:rsidR="005728DD" w:rsidRDefault="005728DD" w:rsidP="005728DD">
      <w:pPr>
        <w:pStyle w:val="TextoNormal"/>
      </w:pPr>
    </w:p>
    <w:p w:rsidR="005728DD" w:rsidRDefault="005728DD" w:rsidP="005728DD">
      <w:pPr>
        <w:pStyle w:val="TextoNormal"/>
      </w:pPr>
      <w:r>
        <w:t>b) Respecto de la declaración de Su Majestad el rey Felipe VI y, subsidiariamente, del jefe de la Casa Real, don Jaime Alfonsín Alfonso: el fiscal considera que, tal y como se expone en el auto de 1 de febrero de 2019 como en la sentencia impugnada, la ponderación conjunta de los arts. 56.3 CE y 411 LECrim impide la citación del rey como testigo. Así, con cita y reseña parcial de la STC 98/2019, de 17 de julio, FJ 3 a) y c), sobre la inviolabilidad del rey, el fiscal expone que el recurrente pretendía interrogar al rey sobre cuestiones amparadas por su inviolabilidad, lo que “constituye en sí […] más un fraude procesal que un instrumento de defensa”, porque “se pretende un control político, utilizando la vía procesal”. Este criterio debe ser aplicado igualmente respecto del jefe de la Casa Real, “no solo porque, como indica la Sala, no existe la figura del testigo por sustitución, ya que esta prueba aparece como subsidiaria de la anterior, sino porque a través de este testigo se pretende burlar la exención que se reconoce de la obligación de declarar al monarca y se aspira a través del testimonio de un tercero a realizar lo que la ley veda y la posición constitucional de la figura del monarca impide, exigir al rey, a través de un tercero, explicaciones sobre su conducta en relación con los acontecimientos que se enjuiciaban en el proceso que, como se ha indicado, goza del privilegio de inviolabilidad por sus actos”.</w:t>
      </w:r>
    </w:p>
    <w:p w:rsidR="005728DD" w:rsidRDefault="005728DD" w:rsidP="005728DD">
      <w:pPr>
        <w:pStyle w:val="TextoNormal"/>
      </w:pPr>
    </w:p>
    <w:p w:rsidR="005728DD" w:rsidRDefault="005728DD" w:rsidP="005728DD">
      <w:pPr>
        <w:pStyle w:val="TextoNormal"/>
      </w:pPr>
      <w:r>
        <w:t>c) Sobre la declaración del señor Puigdemont: en este aspecto, el ministerio público extracta parcialmente el auto de 1 de febrero de 2019, la sentencia impugnada, así como el criterio expuesto por la sala en el trámite de cuestiones previas, para reiterar los argumentos expuestos en esas decisiones judiciales.</w:t>
      </w:r>
    </w:p>
    <w:p w:rsidR="005728DD" w:rsidRDefault="005728DD" w:rsidP="005728DD">
      <w:pPr>
        <w:pStyle w:val="TextoNormal"/>
      </w:pPr>
    </w:p>
    <w:p w:rsidR="005728DD" w:rsidRDefault="005728DD" w:rsidP="005728DD">
      <w:pPr>
        <w:pStyle w:val="TextoNormal"/>
      </w:pPr>
      <w:r>
        <w:t>Para el fiscal, el “señor Puigdemont ha sido procesado en el presente procedimiento, lo que le otorga, en relación con el objeto del proceso, de una serie de derechos que son incompatibles con la posición jurídica del testigo en el proceso que está obligado a comparecer y a decir verdad sobre lo que se le pregunte, al margen de prometer o jurar decir verdad (arts. 410 y 433 LECrim), mientras que en su posición jurídica de parte pasiva del proceso no le son exigibles estos deberes so pretexto de desconocerse sus derechos del art. 24.2 CE, a no declarar contra sí mismo, a no confesarse culpable que se ve completado por el derecho a guardar silencio no declarando si no quiere, a no contestar a alguna o algunas de las preguntas que se le formulen, como indica el art. 520.l c) LECrim y, como señala el Tribunal Supremo, ‘la condición de parte pasiva del proceso, declarada en rebeldía y todavía no enjuiciada, es manifiestamente incompatible con el deber de declarar y la obligación de decir verdad que asume todo testigo’”.</w:t>
      </w:r>
    </w:p>
    <w:p w:rsidR="005728DD" w:rsidRDefault="005728DD" w:rsidP="005728DD">
      <w:pPr>
        <w:pStyle w:val="TextoNormal"/>
      </w:pPr>
    </w:p>
    <w:p w:rsidR="005728DD" w:rsidRDefault="005728DD" w:rsidP="005728DD">
      <w:pPr>
        <w:pStyle w:val="TextoNormal"/>
      </w:pPr>
      <w:r>
        <w:t>Por lo tanto, “este estatus jurídico de alguien que está procesado sobre unos determinados hechos en los [que] indiciariamente ha participado le hace incompatible con las obligaciones de la figura del testigo.</w:t>
      </w:r>
    </w:p>
    <w:p w:rsidR="005728DD" w:rsidRDefault="005728DD" w:rsidP="005728DD">
      <w:pPr>
        <w:pStyle w:val="TextoNormal"/>
      </w:pPr>
    </w:p>
    <w:p w:rsidR="005728DD" w:rsidRDefault="005728DD" w:rsidP="005728DD">
      <w:pPr>
        <w:pStyle w:val="TextoNormal"/>
      </w:pPr>
      <w:r>
        <w:t>Cuestión distinta es que la declaración de quien está sometido a un proceso penal por unos determinados hechos pueda declarar en otro proceso con objeto distinto en que los derechos que se reconocen al investigado o encausado o acusado no están en cuestión, por ello esta comparación que hace el recurrente carece de soporte jurídico y así lo pone de manifiesto la sentencia y el auto de denegación de pruebas”.</w:t>
      </w:r>
    </w:p>
    <w:p w:rsidR="005728DD" w:rsidRDefault="005728DD" w:rsidP="005728DD">
      <w:pPr>
        <w:pStyle w:val="TextoNormal"/>
      </w:pPr>
    </w:p>
    <w:p w:rsidR="005728DD" w:rsidRDefault="005728DD" w:rsidP="005728DD">
      <w:pPr>
        <w:pStyle w:val="TextoNormal"/>
      </w:pPr>
      <w:r>
        <w:t>d) Sobre la denegación de prueba documental sobre los testigos señor Baena (Guardia Civil) y la señora letrada de la administración de justicia adscrita al Juzgado de Instrucción núm. 13 de Barcelona: una vez más, tras exponer la argumentación contenida en el auto de 1 de febrero de 2019 y en la sentencia impugnada, el fiscal razona que es “evidente que es una circunstancia ajena al objeto del proceso, pero que el recurrente fundamenta por razones de credibilidad del testigo ya que les atribuye, supuestamente, tener una ideología de extrema derecha, pero como dice la Sala, para denegar la pertinencia de la prueba, se trataría de una afectación al derecho a la intimidad y a la libertad ideológica de los testigos por lo que el rechazo de dicha prueba no afecta a los derechos que dice vulnerados y aparece justificada en la salvaguarda de derechos de terceros y sin que el recurrente alegue nada, dado que se le permitió interrogar a los mismos, sobre la posible respuesta a la pregunta sobre la ideología de ambos testigos o como puede haber influido, esa supuesta ideología que atribuye a los testigos, en sus respuestas y, en esencia, han influido en el desenlace final del proceso”.</w:t>
      </w:r>
    </w:p>
    <w:p w:rsidR="005728DD" w:rsidRDefault="005728DD" w:rsidP="005728DD">
      <w:pPr>
        <w:pStyle w:val="TextoNormal"/>
      </w:pPr>
    </w:p>
    <w:p w:rsidR="005728DD" w:rsidRDefault="005728DD" w:rsidP="005728DD">
      <w:pPr>
        <w:pStyle w:val="TextoNormal"/>
      </w:pPr>
      <w:r>
        <w:t>e) Sobre la denegación de la confrontación del testimonio de algunos testigos con el material documental videográfico obrante en la causa, con vulneración del principio de contradicción y la consiguiente indefensión: tras exponer los razonamientos contenidos en la sentencia sobre esta cuestión, el fiscal se apoya en las SSTC 95/2020, de 20 de julio, sobre la indefensión y el principio de contradicción; 80/2003, de 28 de abril, sobre el principio de contradicción, y 28/2017, de 16 de febrero, sobre el derecho a utilizar los medios de prueba pertinentes para la defensa. Conforme a la doctrina expuesta en estos pronunciamientos, el fiscal interesa la desestimación de este motivo señalando que el “recurrente tuvo la oportunidad de discutir el testimonio de los testigos, a los que supuestamente se debieron mostrar los vídeos, para contrastar su testimonio, testigos que no identifica, mediante el turno de preguntas a los mismos, a través de su interrogatorio o contrainterrogatorio.</w:t>
      </w:r>
    </w:p>
    <w:p w:rsidR="005728DD" w:rsidRDefault="005728DD" w:rsidP="005728DD">
      <w:pPr>
        <w:pStyle w:val="TextoNormal"/>
      </w:pPr>
    </w:p>
    <w:p w:rsidR="005728DD" w:rsidRDefault="005728DD" w:rsidP="005728DD">
      <w:pPr>
        <w:pStyle w:val="TextoNormal"/>
      </w:pPr>
      <w:r>
        <w:t>Pero, además, el recurrente no argumenta en qué medida el hecho de que no se mostraran a los testigos los vídeos, ha afectado a su derecho de defensa y cómo afecta al resultado final del proceso. Se observa, así, un déficit argumental sobre la necesidad y pertinencia de llevar a cabo el contraste que reivindicaba en la forma que propuso el mismo […]. [L]o cierto es que la ley procesal autoriza el contraste de la prueba testifical cuando se den las condiciones del art. 714 LECrim, lo que no es el caso”, por lo que “[n]inguna situación de indefensión se ha provocado al recurrente, ni desconocimiento del principio de contradicción, [ni] vulneración del derecho de defensa […] pues ninguna aplicación irrazonable o arbitraria de la legalidad procesal se ha producido con ocasión del desarrollo de la prueba durante los debates del juicio oral”.</w:t>
      </w:r>
    </w:p>
    <w:p w:rsidR="005728DD" w:rsidRDefault="005728DD" w:rsidP="005728DD">
      <w:pPr>
        <w:pStyle w:val="TextoNormal"/>
      </w:pPr>
    </w:p>
    <w:p w:rsidR="005728DD" w:rsidRDefault="005728DD" w:rsidP="005728DD">
      <w:pPr>
        <w:pStyle w:val="TextoNormal"/>
      </w:pPr>
      <w:r>
        <w:t>Para el fiscal, nada impidió al recurrente “en el momento de la fase de informes del art. 734 LECrim hacer las observaciones oportunas sobre los testimonios de los testigos en relación con la prueba videográfica practicada y poner de manifiesto ante el tribunal las posibles contradicciones en las que hubieran incurrido los testigos y cuestionar, así su credibilidad”.</w:t>
      </w:r>
    </w:p>
    <w:p w:rsidR="005728DD" w:rsidRDefault="005728DD" w:rsidP="005728DD">
      <w:pPr>
        <w:pStyle w:val="TextoNormal"/>
      </w:pPr>
    </w:p>
    <w:p w:rsidR="005728DD" w:rsidRDefault="005728DD" w:rsidP="005728DD">
      <w:pPr>
        <w:pStyle w:val="TextoNormal"/>
      </w:pPr>
      <w:r>
        <w:t xml:space="preserve">En definitiva, el fiscal considera que no corresponde a este tribunal sustituir la “valoración exteriorizada en la sentencia, al ser esta una cuestión de legalidad ordinaria que corresponde valorar al órgano judicial, el cual ha motivado suficientemente, y de conformidad con </w:t>
      </w:r>
      <w:r>
        <w:lastRenderedPageBreak/>
        <w:t>el derecho a la prueba y la normativa procesal sobre la misma, las causas por las que las pruebas han sido inadmitidas”.</w:t>
      </w:r>
    </w:p>
    <w:p w:rsidR="005728DD" w:rsidRDefault="005728DD" w:rsidP="005728DD">
      <w:pPr>
        <w:pStyle w:val="TextoNormal"/>
      </w:pPr>
    </w:p>
    <w:p w:rsidR="005728DD" w:rsidRDefault="005728DD" w:rsidP="005728DD">
      <w:pPr>
        <w:pStyle w:val="TextoNormal"/>
      </w:pPr>
      <w:r>
        <w:t>Y lo mismo cabe decir del desarrollo de la prueba que considera ha sido respetuosa con el principio de contradicción y el derecho de defensa.</w:t>
      </w:r>
    </w:p>
    <w:p w:rsidR="005728DD" w:rsidRDefault="005728DD" w:rsidP="005728DD">
      <w:pPr>
        <w:pStyle w:val="TextoNormal"/>
      </w:pPr>
    </w:p>
    <w:p w:rsidR="005728DD" w:rsidRDefault="005728DD" w:rsidP="005728DD">
      <w:pPr>
        <w:pStyle w:val="TextoNormal"/>
      </w:pPr>
      <w:r>
        <w:t>11.5. Vulneración del derecho a la tutela judicial efectiva, a la defensa y a un proceso contra todas las garantías (art. 24, 1 y 2 CE), por impedir que los acusados y testigos se expresaran en su lengua vernácula; en este caso, el catalán.</w:t>
      </w:r>
    </w:p>
    <w:p w:rsidR="005728DD" w:rsidRDefault="005728DD" w:rsidP="005728DD">
      <w:pPr>
        <w:pStyle w:val="TextoNormal"/>
      </w:pPr>
    </w:p>
    <w:p w:rsidR="005728DD" w:rsidRDefault="005728DD" w:rsidP="005728DD">
      <w:pPr>
        <w:pStyle w:val="TextoNormal"/>
      </w:pPr>
      <w:r>
        <w:t>Esta alegación es analizada por el Ministerio Fiscal acudiendo, en primer lugar, a la respuesta ofrecida por la sentencia impugnada, que extracta en sus argumentos esenciales, para continuar con una nueva exposición de los razonamientos esgrimidos por el recurrente. Sentado lo anterior, el fiscal cita y reseña parcialmente la Directiva 2010/64/UE, del Parlamento Europeo y del Consejo de 20 de octubre de 2010, relativa al derecho a la interpretación y a la traducción en los procesos penales; la Directiva 2012/13/UE, de 22 de mayo de 2012, relativa al derecho a la información en los procesos penales; el art. 6 CEDH; y las SSTC 31/2010, de 28 de junio, FJ 21, y 56/2016, de 17 de marzo, FJ 2. Conforme a todo ello, el fiscal considera que no se ha producido ninguna merma del derecho de defensa.</w:t>
      </w:r>
    </w:p>
    <w:p w:rsidR="005728DD" w:rsidRDefault="005728DD" w:rsidP="005728DD">
      <w:pPr>
        <w:pStyle w:val="TextoNormal"/>
      </w:pPr>
    </w:p>
    <w:p w:rsidR="005728DD" w:rsidRDefault="005728DD" w:rsidP="005728DD">
      <w:pPr>
        <w:pStyle w:val="TextoNormal"/>
      </w:pPr>
      <w:r>
        <w:t>Para el ministerio público, de la doctrina expuesta “resulta que el castellano es la lengua oficial del Estado y existe un deber de conocimiento individualizado por todos los españoles del mismo, y con él la presunción de que todos los españoles lo conocen. […] En aquellas comunidades autónomas, como la catalana, con lengua cooficial, le asiste al ciudadano el derecho al uso de cualquier lengua oficial en las relaciones que mantenga con cualquier poder público radicado en dichas comunidades. […] El uso de una lengua oficial que no sea el castellano, viene condicionado por un criterio de territorialidad de manera que, fuera del territorio donde la lengua es cooficial, no tiene cabida la cooficialidad lingüística, por lo que el derecho atribuido a los ciudadanos de Cataluña lo es estrictamente ‘de acuerdo con el procedimiento establecido por la legislación correspondiente’ que, como es indiscutible, tratándose de los órganos constitucionales o jurisdiccionales de naturaleza y significación exclusivamente estatales, como lo es el Tribunal Supremo, la legislación correspondiente es la del Estado.</w:t>
      </w:r>
    </w:p>
    <w:p w:rsidR="005728DD" w:rsidRDefault="005728DD" w:rsidP="005728DD">
      <w:pPr>
        <w:pStyle w:val="TextoNormal"/>
      </w:pPr>
    </w:p>
    <w:p w:rsidR="005728DD" w:rsidRDefault="005728DD" w:rsidP="005728DD">
      <w:pPr>
        <w:pStyle w:val="TextoNormal"/>
      </w:pPr>
      <w:r>
        <w:t>Nos encontramos ante un supuesto en que el órgano jurisdiccional actuante es el Tribunal Supremo, con sede en la villa de Madrid, órgano jurisdiccional superior en todos los órdenes, salvo lo dispuesto en materia de garantías constitucionales y cuya jurisdicción se extiende a toda España (arts. 123 CE y 53 LOPJ) y el enjuiciamiento del recurrente y demás acusados se sigue en la sede de dicho tribunal, no ante un tribunal ubicado en el ámbito territorial de la comunidad autónoma de Cataluña.</w:t>
      </w:r>
    </w:p>
    <w:p w:rsidR="005728DD" w:rsidRDefault="005728DD" w:rsidP="005728DD">
      <w:pPr>
        <w:pStyle w:val="TextoNormal"/>
      </w:pPr>
    </w:p>
    <w:p w:rsidR="005728DD" w:rsidRDefault="005728DD" w:rsidP="005728DD">
      <w:pPr>
        <w:pStyle w:val="TextoNormal"/>
      </w:pPr>
      <w:r>
        <w:t>Conforme a la doctrina expuesta, el criterio de territorialidad relevante para determinar la vinculación de un poder público a las consecuencias de la cooficialidad de una lengua autonómica es la sede del órgano, no el alcance territorial de su competencia […].</w:t>
      </w:r>
    </w:p>
    <w:p w:rsidR="005728DD" w:rsidRDefault="005728DD" w:rsidP="005728DD">
      <w:pPr>
        <w:pStyle w:val="TextoNormal"/>
      </w:pPr>
    </w:p>
    <w:p w:rsidR="005728DD" w:rsidRDefault="005728DD" w:rsidP="005728DD">
      <w:pPr>
        <w:pStyle w:val="TextoNormal"/>
      </w:pPr>
      <w:r>
        <w:t xml:space="preserve">Así, al recurrente no le asistía un derecho a exigir el uso del idioma catalán en sus declaraciones en el acto del juicio oral […] [ya que] el derecho de los ciudadanos a usar cualquiera de las lenguas cooficiales […] no les corresponde fuera” del ámbito geográfico de la </w:t>
      </w:r>
      <w:r>
        <w:lastRenderedPageBreak/>
        <w:t>comunidad autónoma correspondiente, “salvo que desconozcan o no dominen suficientemente el castellano, en cuyo caso les asiste el derecho a un intérprete que realice las funciones de traducción del idioma catalán al idioma del tribunal, pero no el derecho a declarar en catalán si conocen el idioma castellano, lengua oficial de las actuaciones ante el Tribunal Supremo.</w:t>
      </w:r>
    </w:p>
    <w:p w:rsidR="005728DD" w:rsidRDefault="005728DD" w:rsidP="005728DD">
      <w:pPr>
        <w:pStyle w:val="TextoNormal"/>
      </w:pPr>
    </w:p>
    <w:p w:rsidR="005728DD" w:rsidRDefault="005728DD" w:rsidP="005728DD">
      <w:pPr>
        <w:pStyle w:val="TextoNormal"/>
      </w:pPr>
      <w:r>
        <w:t>Es más, ciertamente, el deber de los españoles de conocer el castellano, antes aludido, hace suponer que ese conocimiento existe en la realidad, pero tal presunción puede quedar desvirtuada cuando el acusado alega verosímilmente su ignorancia o conocimiento insuficiente o esta circunstancia se pone de manifiesto en el transcurso de las actuaciones judiciales, lo que no es el caso pues el recurrente puso de manifiesto en su interrogatorio el dominio del idioma castellano tanto de su comprensión como de su utilización en las preguntas y respuestas de su interrogatorio”.</w:t>
      </w:r>
    </w:p>
    <w:p w:rsidR="005728DD" w:rsidRDefault="005728DD" w:rsidP="005728DD">
      <w:pPr>
        <w:pStyle w:val="TextoNormal"/>
      </w:pPr>
    </w:p>
    <w:p w:rsidR="005728DD" w:rsidRDefault="005728DD" w:rsidP="005728DD">
      <w:pPr>
        <w:pStyle w:val="TextoNormal"/>
      </w:pPr>
      <w:r>
        <w:t>Durante el desarrollo de la vista “no se expresó por las partes dificultad alguna en el entendimiento de lo que se estaba preguntando” y “de la grabación del juicio resulta la fluidez, la precisión y el dominio de la lengua castellana que evidenciaron todos los procesados”.</w:t>
      </w:r>
    </w:p>
    <w:p w:rsidR="005728DD" w:rsidRDefault="005728DD" w:rsidP="005728DD">
      <w:pPr>
        <w:pStyle w:val="TextoNormal"/>
      </w:pPr>
    </w:p>
    <w:p w:rsidR="005728DD" w:rsidRDefault="005728DD" w:rsidP="005728DD">
      <w:pPr>
        <w:pStyle w:val="TextoNormal"/>
      </w:pPr>
      <w:r>
        <w:t>En cuanto a la alegación de que el recurrente se habría visto obligado a renunciar a su derecho a declarar en catalán, entiende el fiscal que “ninguna tacha se puede poner a la renuncia efectuada, pues el recurrente la efectuó con asistencia del letrado que dirigía su defensa en el acto del juicio oral, de modo que debe entenderse realizada de manera libre y con un asesoramiento suficiente del alcance de la renuncia, que además se materializó expresamente y se cumplieron, así, los requisitos procesales exigidos por el art. 126 LECrim para [su] validez”.</w:t>
      </w:r>
    </w:p>
    <w:p w:rsidR="005728DD" w:rsidRDefault="005728DD" w:rsidP="005728DD">
      <w:pPr>
        <w:pStyle w:val="TextoNormal"/>
      </w:pPr>
    </w:p>
    <w:p w:rsidR="005728DD" w:rsidRDefault="005728DD" w:rsidP="005728DD">
      <w:pPr>
        <w:pStyle w:val="TextoNormal"/>
      </w:pPr>
      <w:r>
        <w:t>En definitiva, para el fiscal “se ha pretendido instrumentalizar el derecho a usar la lengua catalana, como se reconoce en un procedimiento judicial seguido en Cataluña, según establece el artículo 231.3 LOPJ y 142.3 LEC, para cuestionar una vez más la competencia del Tribunal Supremo para la instrucción y enjuiciamiento del recurrente y demás acusados”.</w:t>
      </w:r>
    </w:p>
    <w:p w:rsidR="005728DD" w:rsidRDefault="005728DD" w:rsidP="005728DD">
      <w:pPr>
        <w:pStyle w:val="TextoNormal"/>
      </w:pPr>
    </w:p>
    <w:p w:rsidR="005728DD" w:rsidRDefault="005728DD" w:rsidP="005728DD">
      <w:pPr>
        <w:pStyle w:val="TextoNormal"/>
      </w:pPr>
      <w:r>
        <w:t xml:space="preserve">En lo relativo al juicio de ponderación realizado por la sala de enjuiciamiento entre el sistema de traducción simultánea y el principio de publicidad, el Ministerio Fiscal considera que “el Tribunal Supremo explica y razona por qué rechazó el sistema de traducción simultánea y optó por el sistema de traducción sucesiva, la traducción simultánea habría imposibilitado el carácter público que se otorgó al proceso desde el inicio, pues haría necesario el uso de auriculares por las partes, impidiendo que la retransmisión del procedimiento fuera cien por cien efectiva para los fines de transparencia perseguidos. En esencia, el Tribunal Supremo no ha rechazado el derecho de los acusados a utilizar el idioma catalán en sus declaraciones, simplemente ha condicionado su uso a que la traducción fuera sucesiva y no simultánea como interesaba el recurrente y otros acusados y, aunque el art. 123.2 LECrim, establece como sistema de traducción principal el de traducción simultánea y de manera subsidiaria el de traducción sucesiva, siempre que se garantice suficientemente la defensa del imputado o acusado, lo cierto es que el Tribunal Supremo establece las razones de optar por dicho método de traducción como eran la preservación del principio de publicidad de los debates del juicio oral, los que se retransmitían por </w:t>
      </w:r>
      <w:r w:rsidRPr="005728DD">
        <w:rPr>
          <w:i/>
        </w:rPr>
        <w:t>streaming</w:t>
      </w:r>
      <w:r>
        <w:t xml:space="preserve">, de manera que permitía </w:t>
      </w:r>
      <w:r>
        <w:lastRenderedPageBreak/>
        <w:t>a los espectadores su seguimiento, y así se daba cumplimiento a los mandatos constitucionales y legales de la publicidad de los debates del juicio oral, como exige el art. 120.1 CE, garantizándose el control público de la justicia y la confianza en los tribunales, más allá de los presentes en la sala de sesiones de manera que la observancia y audiencia del contenido del juicio oral se veía perjudicada por el uso de dicho método de traducción simultánea. El derecho a un proceso público en materia penal (art. 24.2 CE), en consonancia con el art. 11 de la Declaración Universal de Derechos Humanos, art. 14 del Pacto Internacional de Derechos Civiles y Políticos, y art. 6 del Convenio Europeo de Derechos Humanos,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w:t>
      </w:r>
      <w:r w:rsidRPr="005728DD">
        <w:rPr>
          <w:i/>
        </w:rPr>
        <w:t>o Axen y otros c. Aleman</w:t>
      </w:r>
      <w:r>
        <w:t>ia, § 25)”.</w:t>
      </w:r>
    </w:p>
    <w:p w:rsidR="005728DD" w:rsidRDefault="005728DD" w:rsidP="005728DD">
      <w:pPr>
        <w:pStyle w:val="TextoNormal"/>
      </w:pPr>
    </w:p>
    <w:p w:rsidR="005728DD" w:rsidRDefault="005728DD" w:rsidP="005728DD">
      <w:pPr>
        <w:pStyle w:val="TextoNormal"/>
      </w:pPr>
      <w:r>
        <w:t>Por otro lado, el “sistema de traducción no comporta ni se integra en ningún derecho fundamental por lo que no puede hablarse de un conflicto entre derechos fundamentales y el principio de publicidad de los debates del juicio oral”.</w:t>
      </w:r>
    </w:p>
    <w:p w:rsidR="005728DD" w:rsidRDefault="005728DD" w:rsidP="005728DD">
      <w:pPr>
        <w:pStyle w:val="TextoNormal"/>
      </w:pPr>
    </w:p>
    <w:p w:rsidR="005728DD" w:rsidRDefault="005728DD" w:rsidP="005728DD">
      <w:pPr>
        <w:pStyle w:val="TextoNormal"/>
      </w:pPr>
      <w:r>
        <w:t>Otro tanto puede decirse respecto de los testigos. A juicio del fiscal, la “queja debe igualmente ser desechada pues no solo es que el recurrente no argumente en qué medida […] afecta a la credibilidad del testigo por declarar en una lengua que habla con menor fluidez, esto es, en qué medida dicha circunstancia afectó a que el testimonio del testigo fuera creíble, sino también porque la propia Sala declara su irrelevancia probatoria por lo que ninguna repercusión tuvieron sus testimonios para formar la convicción del juzgador sobre la autoría y culpabilidad del recurrente por los hechos que la sentencia declaró probados, es más ni identificó el recurrente en su queja los testigos a los que se había denegado usar su lengua vernácula, efectuando así una denuncia genérica sin concretar”.</w:t>
      </w:r>
    </w:p>
    <w:p w:rsidR="005728DD" w:rsidRDefault="005728DD" w:rsidP="005728DD">
      <w:pPr>
        <w:pStyle w:val="TextoNormal"/>
      </w:pPr>
    </w:p>
    <w:p w:rsidR="005728DD" w:rsidRDefault="005728DD" w:rsidP="005728DD">
      <w:pPr>
        <w:pStyle w:val="TextoNormal"/>
      </w:pPr>
      <w:r>
        <w:t>Finalmente, en relación con la alegada discriminación respecto de los castellanohablantes, entiende el fiscal que “no cabe imputar un comportamiento discriminatorio a la Sala del Tribunal Supremo porque los testigos o acusados declararan en castellano y no en catalán, dado, por una parte, porque el castellano es el idioma de los órganos estatales de manera que el uso de las lenguas españolas ante los órganos estatales viene señalado por la legislación sobre el uso de las mismas y, en el caso, porque, dada la sede del Tribunal Supremo, el idioma oficial de los debates del juicio oral era el castellano, al margen que el recurrente no aporta ningún elemento de comparación que ponga de manifiesto un trato desigual o que aporte, en su caso, un principio de prueba de la discriminación por razón de la lengua que no sea su discrepancia con el método de traducción elegido por el tribunal”.</w:t>
      </w:r>
    </w:p>
    <w:p w:rsidR="005728DD" w:rsidRDefault="005728DD" w:rsidP="005728DD">
      <w:pPr>
        <w:pStyle w:val="TextoNormal"/>
      </w:pPr>
    </w:p>
    <w:p w:rsidR="005728DD" w:rsidRDefault="005728DD" w:rsidP="005728DD">
      <w:pPr>
        <w:pStyle w:val="TextoNormal"/>
      </w:pPr>
      <w:r>
        <w:t>11.6. Vulneración del principio de igualdad de armas (art. 24.2 CE y art. 6 CEDH), por el trato desfavorable dispensado a las defensas por el tribunal en el acto del juicio oral.</w:t>
      </w:r>
    </w:p>
    <w:p w:rsidR="005728DD" w:rsidRDefault="005728DD" w:rsidP="005728DD">
      <w:pPr>
        <w:pStyle w:val="TextoNormal"/>
      </w:pPr>
    </w:p>
    <w:p w:rsidR="005728DD" w:rsidRDefault="005728DD" w:rsidP="005728DD">
      <w:pPr>
        <w:pStyle w:val="TextoNormal"/>
      </w:pPr>
      <w:r>
        <w:t>Comienza la exposición del fiscal en este apartado señalando que, a su juicio, las numerosas quejas que se engloban bajo este epígrafe “no son más que cuestiones puntuales teñidas de valoraciones subjetivas del recurrente y carentes de efectos sobre los derechos que se alegan como vulnerados”.</w:t>
      </w:r>
    </w:p>
    <w:p w:rsidR="005728DD" w:rsidRDefault="005728DD" w:rsidP="005728DD">
      <w:pPr>
        <w:pStyle w:val="TextoNormal"/>
      </w:pPr>
    </w:p>
    <w:p w:rsidR="005728DD" w:rsidRDefault="005728DD" w:rsidP="005728DD">
      <w:pPr>
        <w:pStyle w:val="TextoNormal"/>
      </w:pPr>
      <w:r>
        <w:lastRenderedPageBreak/>
        <w:t>A continuación, va desglosando las diversas alegaciones formuladas, así como las respuestas ofrecidas por la sentencia impugnada. En concreto, sobre la restricción injustificada del alcance de los interrogatorios a las defensas, que no se le permitiera hacer un interrogatorio más exhaustivo al señor Torrent, que no se hubiera permitido a las defensas hacer preguntas sobre la ideología a determinados testigos (señor Rufián o la letrada de la administración de justicia), que se hubiera permitido a las acusaciones preguntar por la condición de socio de las entidades ANC u Òmnium Cultural, que algunos testigos pudieron exponer sus vivencias personales (teniente coronel Baena) pero otros no (señora Garcés), que algunos testigos pudieron consultar notas (don David Pérez) mientras que otros no (señora Garcés), que se dispensó distinto trato a la desmemoria o renuencia de algunos testigos (señora Sáenz de Santamaría o los señores Rajoy y Zoido) a los que no se hizo apercibimiento alguno frente a otros a quienes sí se le hizo (señora Guix o señor Mestre), que se impidió al letrado interrogar a un agente policial sobre un determinado incidente, o que la presidencia del tribunal interrumpiera con mayor frecuencia y predisposición los interrogatorios de las defensas mediante una actitud más pro activa a la hora de censurar su manera de preguntar.</w:t>
      </w:r>
    </w:p>
    <w:p w:rsidR="005728DD" w:rsidRDefault="005728DD" w:rsidP="005728DD">
      <w:pPr>
        <w:pStyle w:val="TextoNormal"/>
      </w:pPr>
    </w:p>
    <w:p w:rsidR="005728DD" w:rsidRDefault="005728DD" w:rsidP="005728DD">
      <w:pPr>
        <w:pStyle w:val="TextoNormal"/>
      </w:pPr>
      <w:r>
        <w:t>Todas estas alegaciones reciben una respuesta unitaria del Ministerio Fiscal, que se apoya en las SSTC 140/1994, de 9 mayo, FJ 4, sobre el principio de igualdad de armas, la indefensión y la ejecución de la prueba; 61/2002, de 11 de marzo, FJ 5, sobre el principio de igualdad de armas en la ejecución o administración de la prueba; 5/2004, de 16 de enero, FJ 6, sobre indefensión, y 48/2008, de 11 de marzo, FJ 3, sobre el principio de contradicción.</w:t>
      </w:r>
    </w:p>
    <w:p w:rsidR="005728DD" w:rsidRDefault="005728DD" w:rsidP="005728DD">
      <w:pPr>
        <w:pStyle w:val="TextoNormal"/>
      </w:pPr>
    </w:p>
    <w:p w:rsidR="005728DD" w:rsidRDefault="005728DD" w:rsidP="005728DD">
      <w:pPr>
        <w:pStyle w:val="TextoNormal"/>
      </w:pPr>
      <w:r>
        <w:t>Conforme a toda esta doctrina, el fiscal considera que “las respuestas dadas por la Sala en su sentencia […] tienen de común la razonabilidad de la misma y responde a la aplicación de la normativa procesal sobre el desarrollo de la prueba testifical y se hace en cumplimiento de las facultades de dirección de los debates del juicio oral que corresponde al presidente del tribunal”, según el art. 683 LECrim. Para el fiscal, “el presidente del tribunal se ha limitado a la dirección de los debates, siendo respetuoso con las reglas que rigen el juicio oral, sin que la actitud que se denuncia […] tenga consistencia jurídica, pero, además, resulta que el recurrente no indica qué reglas procesales se han vulnerado o cómo su vulneración ha afectado a las garantías de defensa, más allá de valoraciones personales sobre lo que se entiende como un trato diferenciado entre las acusaciones y la defensa, para lo cual se trae a colación una serie de ejemplos, que adiciona el recurrente, para reprochar la actitud del presidente del tribunal y denunciar la vulneración del principio de igualdad de armas en relación con el derecho de defensa y el derecho a un proceso justo. A lo anterior debe añadirse, conforme a la doctrina señalada por la parte demandante, que no se ha argumentado en qué medida estas presuntas irregularidades y desigualdad de trato le ha causado indefensión y ha podido influir sobre el resultado final de la sentencia condenatoria, de modo que el fallo pudo haber sido otro”.</w:t>
      </w:r>
    </w:p>
    <w:p w:rsidR="005728DD" w:rsidRDefault="005728DD" w:rsidP="005728DD">
      <w:pPr>
        <w:pStyle w:val="TextoNormal"/>
      </w:pPr>
    </w:p>
    <w:p w:rsidR="005728DD" w:rsidRDefault="005728DD" w:rsidP="005728DD">
      <w:pPr>
        <w:pStyle w:val="TextoNormal"/>
      </w:pPr>
      <w:r>
        <w:t xml:space="preserve">En todo caso, según el fiscal, estos testimonios “se integran con el conjunto de otras pruebas que, apreciadas en su conjunto, por el tribunal de enjuiciamiento (art. 741 LECrim), determina el </w:t>
      </w:r>
      <w:r w:rsidRPr="005728DD">
        <w:rPr>
          <w:i/>
        </w:rPr>
        <w:t>factum</w:t>
      </w:r>
      <w:r>
        <w:t xml:space="preserve"> de la sentencia y el juicio de culpabilidad del recurrente cuya valoración incumbe el tribunal de enjuiciamiento”, y la parte demandante “ha tenido la oportunidad de interrogar y contrainterrogar a los testigos, respetándose por el tribunal el principio de contradicción”.</w:t>
      </w:r>
    </w:p>
    <w:p w:rsidR="005728DD" w:rsidRDefault="005728DD" w:rsidP="005728DD">
      <w:pPr>
        <w:pStyle w:val="TextoNormal"/>
      </w:pPr>
    </w:p>
    <w:p w:rsidR="005728DD" w:rsidRDefault="005728DD" w:rsidP="005728DD">
      <w:pPr>
        <w:pStyle w:val="TextoNormal"/>
      </w:pPr>
      <w:r>
        <w:lastRenderedPageBreak/>
        <w:t>11.7. Vulneración de la dimensión extraprocesal del derecho a la presunción de inocencia (art. 24.2 CE), como consecuencia de las manifestaciones realizadas por cargos públicos.</w:t>
      </w:r>
    </w:p>
    <w:p w:rsidR="005728DD" w:rsidRDefault="005728DD" w:rsidP="005728DD">
      <w:pPr>
        <w:pStyle w:val="TextoNormal"/>
      </w:pPr>
    </w:p>
    <w:p w:rsidR="005728DD" w:rsidRDefault="005728DD" w:rsidP="005728DD">
      <w:pPr>
        <w:pStyle w:val="TextoNormal"/>
      </w:pPr>
      <w:r>
        <w:t>En este apartado, la demanda hace referencia a una serie de declaraciones y documentos de la entonces secretaria de Estado de la España Global, señora Lozano, de las que, a juicio del recurrente, se consideraba a los procesados como culpables de los delitos por los que estaban siendo enjuiciados, lo que supondría una vulneración del derecho a la presunción de inocencia (art. 24.2 CE), en relación con lo dispuesto en el art. 4.1 de la Directiva 2016/343/UE, del Parlamento Europeo y del Consejo.</w:t>
      </w:r>
    </w:p>
    <w:p w:rsidR="005728DD" w:rsidRDefault="005728DD" w:rsidP="005728DD">
      <w:pPr>
        <w:pStyle w:val="TextoNormal"/>
      </w:pPr>
    </w:p>
    <w:p w:rsidR="005728DD" w:rsidRDefault="005728DD" w:rsidP="005728DD">
      <w:pPr>
        <w:pStyle w:val="TextoNormal"/>
      </w:pPr>
      <w:r>
        <w:t>Tras señalar que esta invocación fue planteada en el escrito de cuestiones previas, en el de calificación definitiva y en el incidente de nulidad de actuaciones planteado contra la sentencia, el fiscal reseña parcialmente la respuesta dada a esta cuestión por la resolución impugnada.</w:t>
      </w:r>
    </w:p>
    <w:p w:rsidR="005728DD" w:rsidRDefault="005728DD" w:rsidP="005728DD">
      <w:pPr>
        <w:pStyle w:val="TextoNormal"/>
      </w:pPr>
    </w:p>
    <w:p w:rsidR="005728DD" w:rsidRDefault="005728DD" w:rsidP="005728DD">
      <w:pPr>
        <w:pStyle w:val="TextoNormal"/>
      </w:pPr>
      <w:r>
        <w:t>Seguidamente, se expone la doctrina de este tribunal sobre el derecho a la presunción de inocencia [STC 97/2020, de 21 de julio, FJ 5 A)], y sobre su dimensión extraprocesal (SSTC 133/2018, de 13 de diciembre, FJ 4, y 28/2020, de 24 de febrero, FJ 3). Conforme a estos pronunciamientos, el fiscal considera que la “campaña informativa y las declaraciones no proyectan duda alguna sobre la inocencia o culpabilidad de los afectados, el recurrente entre ellos, en lo que aquí interesa, limitándose las declaraciones y documentos de la secretaria de Estado de la España Global a realizar una valoración política de los sucesos que se habían producido en el denominado ‘procés’ y que responde a una finalidad legítima, la defensa del Estado frente a ataques tan graves como los que pudieran afectar a la integridad territorial en orden a informar a la opinión pública internacional sobre la verdadera significación y dimensión de los acontecimientos acaecidos en Cataluña en torno al referéndum ilegal de 1 de octubre de 2017”.</w:t>
      </w:r>
    </w:p>
    <w:p w:rsidR="005728DD" w:rsidRDefault="005728DD" w:rsidP="005728DD">
      <w:pPr>
        <w:pStyle w:val="TextoNormal"/>
      </w:pPr>
    </w:p>
    <w:p w:rsidR="005728DD" w:rsidRDefault="005728DD" w:rsidP="005728DD">
      <w:pPr>
        <w:pStyle w:val="TextoNormal"/>
      </w:pPr>
      <w:r>
        <w:t>Para el fiscal, no se trataba de “informar sobre el proceso judicial que se siguió al recurrente y otros y su objeto, aunque obviamente los hechos, en parte, son coincidentes con la información que la campaña daba, sino de informar sobre el ilegal proceso independentista que llevaban a cabo sectores políticos, económicos y sociales de Cataluña de modo que las apreciaciones que en la misma se realizaban tenían un sesgo eminentemente de carácter político, era la versión del Gobierno no solo sobre los hechos acaecidos, sino también sobre la situación política de la comunidad autónoma de Cataluña y su pretensión independentista y el referéndum de autodeterminación”. De manera que los “comentarios contenidos en la campaña no reflejan un juicio de culpabilidad del recurrente”, sino que “son una interpretación política de los hechos”.</w:t>
      </w:r>
    </w:p>
    <w:p w:rsidR="005728DD" w:rsidRDefault="005728DD" w:rsidP="005728DD">
      <w:pPr>
        <w:pStyle w:val="TextoNormal"/>
      </w:pPr>
    </w:p>
    <w:p w:rsidR="005728DD" w:rsidRDefault="005728DD" w:rsidP="005728DD">
      <w:pPr>
        <w:pStyle w:val="TextoNormal"/>
      </w:pPr>
      <w:r>
        <w:t>“Además, la existencia del proceso no conlleva que el objeto del mismo no pueda dar lugar a debates destinados a la opinión pública, […] más cuando al público le asiste el derecho a recibir una información veraz sobre los mismos, en este caso, de las autoridades del Estado afectado y que, además, concierne a personas públicas como eran los investigados en el proceso judicial”.</w:t>
      </w:r>
    </w:p>
    <w:p w:rsidR="005728DD" w:rsidRDefault="005728DD" w:rsidP="005728DD">
      <w:pPr>
        <w:pStyle w:val="TextoNormal"/>
      </w:pPr>
    </w:p>
    <w:p w:rsidR="005728DD" w:rsidRDefault="005728DD" w:rsidP="005728DD">
      <w:pPr>
        <w:pStyle w:val="TextoNormal"/>
      </w:pPr>
      <w:r>
        <w:t xml:space="preserve">El fiscal destaca, finalmente, que “la queja, en su caso, se referiría a una presunta lesión del derecho al honor (art. 18.l CE) como ha indicado este Alto Tribunal, por todas en su STC 12/2019, que se hace eco de la STC 133/2018, FJ 4”; así como resalta el hecho de que </w:t>
      </w:r>
      <w:r>
        <w:lastRenderedPageBreak/>
        <w:t>“el recurrente no aporta elemento de prueba alguno que ponga de manifiesto que la campaña que denuncia hay[a] podido influir en el ánimo del juzgador de manera que haya condicionado el desenlace final del proceso a salvo la valoración que hace sobre la campaña del Gobierno español”, por lo que concluye señalando que “ninguna vulneración del principio de presunción de inocencia, como regla de tratamiento, se ha producido”.</w:t>
      </w:r>
    </w:p>
    <w:p w:rsidR="005728DD" w:rsidRDefault="005728DD" w:rsidP="005728DD">
      <w:pPr>
        <w:pStyle w:val="TextoNormal"/>
      </w:pPr>
    </w:p>
    <w:p w:rsidR="005728DD" w:rsidRDefault="005728DD" w:rsidP="005728DD">
      <w:pPr>
        <w:pStyle w:val="TextoNormal"/>
      </w:pPr>
      <w:r>
        <w:t>11.8. Vulneración del principio de legalidad penal (art. 25.1 CE), por la inconcreción e indeterminación del tipo penal de sedición (art. 544 CP), con la consiguiente infracción de la garantía material de predeterminación legal de las conductas delictivas.</w:t>
      </w:r>
    </w:p>
    <w:p w:rsidR="005728DD" w:rsidRDefault="005728DD" w:rsidP="005728DD">
      <w:pPr>
        <w:pStyle w:val="TextoNormal"/>
      </w:pPr>
    </w:p>
    <w:p w:rsidR="005728DD" w:rsidRDefault="005728DD" w:rsidP="005728DD">
      <w:pPr>
        <w:pStyle w:val="TextoNormal"/>
      </w:pPr>
      <w:r>
        <w:t>Bajo este apartado se comienza el análisis de las vulneraciones relativas a cuestiones de carácter material. Para el recurrente, el tipo delictivo de sedición descrito en el art. 544 CP contiene expresiones indeterminadas, inconcretas o imprecisas como “alzarse”, “tumultos”, “fuerza” o “fuera de las vías legales”, que impiden conocer de antemano el ámbito de lo prohibido; es decir, la conducta típica susceptible de ser sancionada, con infracción de la garantía del principio de legalidad penal reconocida en el art. 25.1 CE.</w:t>
      </w:r>
    </w:p>
    <w:p w:rsidR="005728DD" w:rsidRDefault="005728DD" w:rsidP="005728DD">
      <w:pPr>
        <w:pStyle w:val="TextoNormal"/>
      </w:pPr>
    </w:p>
    <w:p w:rsidR="005728DD" w:rsidRDefault="005728DD" w:rsidP="005728DD">
      <w:pPr>
        <w:pStyle w:val="TextoNormal"/>
      </w:pPr>
      <w:r>
        <w:t>El fiscal señala que esta alegación fue desestimada en el auto de 29 de enero de 2020, por el que se desestima el incidente de nulidad de actuaciones planteado contra la sentencia condenatoria. La desestimación se produjo por remisión a la respuesta ofrecida frente a las alegaciones formuladas por las defensas de los procesados señores Sànchez, Cuixart y Forn.</w:t>
      </w:r>
    </w:p>
    <w:p w:rsidR="005728DD" w:rsidRDefault="005728DD" w:rsidP="005728DD">
      <w:pPr>
        <w:pStyle w:val="TextoNormal"/>
      </w:pPr>
    </w:p>
    <w:p w:rsidR="005728DD" w:rsidRDefault="005728DD" w:rsidP="005728DD">
      <w:pPr>
        <w:pStyle w:val="TextoNormal"/>
      </w:pPr>
      <w:r>
        <w:t>Sobre el principio de legalidad, el fiscal hace una reseña parcial de la STC 24/2004, de 24 de febrero, FJ 2 b) y d), para acudir seguidamente a la redacción vigente del art. 544 CP y a la argumentación contenida en la sentencia impugnada, en la que se hace el juicio de tipicidad de forma muy similar a la recogida en el único precedente existente, la STS de 10 de octubre de 1980, por lo que no habría existido apartamiento de la doctrina jurisprudencial.</w:t>
      </w:r>
    </w:p>
    <w:p w:rsidR="005728DD" w:rsidRDefault="005728DD" w:rsidP="005728DD">
      <w:pPr>
        <w:pStyle w:val="TextoNormal"/>
      </w:pPr>
    </w:p>
    <w:p w:rsidR="005728DD" w:rsidRDefault="005728DD" w:rsidP="005728DD">
      <w:pPr>
        <w:pStyle w:val="TextoNormal"/>
      </w:pPr>
      <w:r>
        <w:t>Para el fiscal, el “texto legal no puede presentar una precisión absoluta sobre los términos y conceptos utilizados por el legislador para definir la conducta prohibida de manera que, como el propio recurrente reconoce, la interpretación de los tribunales ayuda a determinar los actos u omisiones prohibidos. […] No parece que las locuciones ‘alzarse’, ‘tumulto’, ‘impedir’, ‘fuerza’ o ‘fuera de las vías legales’ puedan tacharse de ser imprecisos y vagos, antes bien pueden ser comprendidos y entendidos razonablemente y sin dificultad por cualquier ciudadano”. A su juicio, “el Tribunal Supremo ha precisado el significado y alcance de los elementos del tipo penal, como qué debemos entender por alzamiento, por tumultuario, cómo debe entenderse el empleo de la fuerza, que no necesariamente ha de ser violenta, y cuáles son las finalidades perseguidas por el sujeto activo que configura como un delito plurisubjetivo y que se concretan en una insurrección o una actitud de abierta oposición al normal funcionamiento del sistema jurídico, constituido por la normal aplicación de las leyes y no obstrucción a la efectiva aplicación de las decisiones de las instituciones, así como su naturaleza, de resultado cortado, lo que supone que la finalidad perseguida no tiene por qué ser conseguida, pero exige al menos una funcionalidad objetiva, además de subjetivamente procurada”.</w:t>
      </w:r>
    </w:p>
    <w:p w:rsidR="005728DD" w:rsidRDefault="005728DD" w:rsidP="005728DD">
      <w:pPr>
        <w:pStyle w:val="TextoNormal"/>
      </w:pPr>
    </w:p>
    <w:p w:rsidR="005728DD" w:rsidRDefault="005728DD" w:rsidP="005728DD">
      <w:pPr>
        <w:pStyle w:val="TextoNormal"/>
      </w:pPr>
      <w:r>
        <w:t xml:space="preserve">Por ello, “no puede afirmarse que se vulnere el principio de legalidad por falta de taxatividad pues el tipo penal permite predecir con suficiente grado de certeza las conductas que </w:t>
      </w:r>
      <w:r>
        <w:lastRenderedPageBreak/>
        <w:t xml:space="preserve">constituyen el delito de sedición requisito exigido por el art. 25.1 CE. En suma, se respeta la garantía material de </w:t>
      </w:r>
      <w:r w:rsidRPr="005728DD">
        <w:rPr>
          <w:i/>
        </w:rPr>
        <w:t>lex certa</w:t>
      </w:r>
      <w:r>
        <w:t>”, sin perjuicio de que “como admite el Tribunal Constitucional nada excluye que los términos utilizados por las normas penales, para definir los tipos delictivos, pueda ser concretado y precisado su alcance por los órganos judiciales al aplicar e interpretar las normas.</w:t>
      </w:r>
    </w:p>
    <w:p w:rsidR="005728DD" w:rsidRDefault="005728DD" w:rsidP="005728DD">
      <w:pPr>
        <w:pStyle w:val="TextoNormal"/>
      </w:pPr>
    </w:p>
    <w:p w:rsidR="005728DD" w:rsidRDefault="005728DD" w:rsidP="005728DD">
      <w:pPr>
        <w:pStyle w:val="TextoNormal"/>
      </w:pPr>
      <w:r>
        <w:t>En consecuencia, el déficit de taxatividad que imputa al tipo penal de sedición del art. 544 CP, queda conjurado por la propia interpretación que de los términos a los que atribuye la indeterminación han sido precisados por el propio Tribunal Supremo”.</w:t>
      </w:r>
    </w:p>
    <w:p w:rsidR="005728DD" w:rsidRDefault="005728DD" w:rsidP="005728DD">
      <w:pPr>
        <w:pStyle w:val="TextoNormal"/>
      </w:pPr>
    </w:p>
    <w:p w:rsidR="005728DD" w:rsidRDefault="005728DD" w:rsidP="005728DD">
      <w:pPr>
        <w:pStyle w:val="TextoNormal"/>
      </w:pPr>
      <w:r>
        <w:t>Finalmente, en cuanto a la solicitud del recurrente para que este tribunal formule un “autoplanteamiento de cuestión de inconstitucionalidad”, el fiscal se remite a la doctrina expuesta en la STC 283/2006, de 9 de octubre, FJ 6, considerando que como estamos “ante un recurso de amparo y no un procedimiento de inconstitucionalidad no procede confrontar la norma penal con el principio de legalidad, pero ello no impide que se pueda analizar si el contenido de la sentencia vulnera el principio de legalidad del art. 25.1 CE”, lo que se analiza en el apartado correspondiente.</w:t>
      </w:r>
    </w:p>
    <w:p w:rsidR="005728DD" w:rsidRDefault="005728DD" w:rsidP="005728DD">
      <w:pPr>
        <w:pStyle w:val="TextoNormal"/>
      </w:pPr>
    </w:p>
    <w:p w:rsidR="005728DD" w:rsidRDefault="005728DD" w:rsidP="005728DD">
      <w:pPr>
        <w:pStyle w:val="TextoNormal"/>
      </w:pPr>
      <w:r>
        <w:t>11.9. Vulneración del principio de legalidad penal (art. 25.1 CE), por la incorrecta subsunción de los hechos en el tipo penal de sedición e incurrir la sentencia en aplicación analógica de la ley pena</w:t>
      </w:r>
      <w:r w:rsidRPr="005728DD">
        <w:rPr>
          <w:i/>
        </w:rPr>
        <w:t>l in malam part</w:t>
      </w:r>
      <w:r>
        <w:t>em.</w:t>
      </w:r>
    </w:p>
    <w:p w:rsidR="005728DD" w:rsidRDefault="005728DD" w:rsidP="005728DD">
      <w:pPr>
        <w:pStyle w:val="TextoNormal"/>
      </w:pPr>
    </w:p>
    <w:p w:rsidR="005728DD" w:rsidRDefault="005728DD" w:rsidP="005728DD">
      <w:pPr>
        <w:pStyle w:val="TextoNormal"/>
      </w:pPr>
      <w:r>
        <w:t>El demandante considera que los hechos declarados como probados son atípicos, o no son suficientes como para ser subsumidos en el delito de sedición sino, en su caso, en el de desobediencia o en el del derogado delito de referéndum ilegal (art. 50</w:t>
      </w:r>
      <w:r w:rsidRPr="005728DD">
        <w:rPr>
          <w:i/>
        </w:rPr>
        <w:t>6 b</w:t>
      </w:r>
      <w:r>
        <w:t>is CP); y en última instancia, se ha incurrido en una analogí</w:t>
      </w:r>
      <w:r w:rsidRPr="005728DD">
        <w:rPr>
          <w:i/>
        </w:rPr>
        <w:t>a in malam part</w:t>
      </w:r>
      <w:r>
        <w:t>em que supone una irracional subsunción de los hechos en el tipo penal de sedición (art. 544 CP).</w:t>
      </w:r>
    </w:p>
    <w:p w:rsidR="005728DD" w:rsidRDefault="005728DD" w:rsidP="005728DD">
      <w:pPr>
        <w:pStyle w:val="TextoNormal"/>
      </w:pPr>
    </w:p>
    <w:p w:rsidR="005728DD" w:rsidRDefault="005728DD" w:rsidP="005728DD">
      <w:pPr>
        <w:pStyle w:val="TextoNormal"/>
      </w:pPr>
      <w:r>
        <w:t>Sobre el principio de legalidad, el fiscal extracta parcialmente las SSTC 163/2004, de 4 de octubre, FJ 7; 34/2009, de 9 de febrero, FJ 6, y 37/2018, de 23 de abril, FJ 4, para continuar exponiendo las alegaciones del recurrente y el juicio de tipicidad recogido en la sentencia impugnada, puesto en relación con el apartado de hechos probados, que también se extracta.</w:t>
      </w:r>
    </w:p>
    <w:p w:rsidR="005728DD" w:rsidRDefault="005728DD" w:rsidP="005728DD">
      <w:pPr>
        <w:pStyle w:val="TextoNormal"/>
      </w:pPr>
    </w:p>
    <w:p w:rsidR="005728DD" w:rsidRDefault="005728DD" w:rsidP="005728DD">
      <w:pPr>
        <w:pStyle w:val="TextoNormal"/>
      </w:pPr>
      <w:r>
        <w:t>El fiscal considera que los hechos declarados probados sí integran la tipicidad del delito de sedición. Acudiendo a la sentencia impugnada, se considera que concurren los elementos típicos, ya que se describen actos de colectivos indeterminados de personas, que de forma exteriorizada y abierta realizan conductas de enfrentamiento, hostilidad y resistencia a la actuación de las fuerzas policiales, con la finalidad de impedir u obstaculizar el cumplimiento de resoluciones judiciales como los registros ordenados por un juzgado o la propia celebración del referéndum prohibido por el Tribunal Constitucional y por el Tribunal Superior de Justicia de Cataluña.</w:t>
      </w:r>
    </w:p>
    <w:p w:rsidR="005728DD" w:rsidRDefault="005728DD" w:rsidP="005728DD">
      <w:pPr>
        <w:pStyle w:val="TextoNormal"/>
      </w:pPr>
    </w:p>
    <w:p w:rsidR="005728DD" w:rsidRDefault="005728DD" w:rsidP="005728DD">
      <w:pPr>
        <w:pStyle w:val="TextoNormal"/>
      </w:pPr>
      <w:r>
        <w:t xml:space="preserve">Del mismo modo, el Ministerio Fiscal acude al apartado del juicio de autoría recogido en la sentencia para afirmar que su responsabilidad “descansa sobre su concertado papel con otros responsables públicos para organizar un referéndum, que fue suspendido por el Tribunal Constitucional, con la finalidad de presionar al Gobierno de España a unas negociaciones sobre un referéndum de autodeterminación para la independencia de Cataluña, para lo </w:t>
      </w:r>
      <w:r>
        <w:lastRenderedPageBreak/>
        <w:t>cual movilizaron a parte de los ciudadanos de Cataluña, siendo consciente de que dichas movilizaciones podían dar lugar a actos de resistencia, hostigamiento, hostilidad y violencia frente a los cuerpos policiales, que actuaban en cumplimiento de órdenes judiciales, movilizaciones destinadas a neutralizar por la fuerza la acción del Estado frente al plan secesionista, guiados por la finalidad de impedir el cumplimiento de la legalidad constitucional vigente, para lo que crearon, fuera de las vías legales, una legalidad paralela representada por las leyes de transitoriedad jurídica y fundacional de la república y del referéndum de autodeterminación, siendo consciente de que, con dichos actos, no era posible que el resultado referendario fuese reconocido y, aunque no participara en las concentraciones ciudadanas de los días 20 de septiembre y 1 de octubre de 2017, con su conducta propicio y promovió los actos en que consistió el alzamiento público y tumultuario, siéndole previsible dicha situación, animado por la voluntad de impedir el ejercicio .de la función jurisdiccional y la vigencia de las leyes, sin que su conducta pueda encontrar justificación en el ‘principio democrático’, que alega, pues como ha indicado este Alto Tribunal, este principio ‘se expresa a través de los cauces constitucionales’ (STC 115/2019), a los que ha sido ajeno el recurrente con su antijurídica conducta, quien ha acudido a las vías de hecho para impedir la vigencia de la ley o el cumplimiento de las resoluciones judiciales y propiciar un referéndum suspendido y que posteriormente fue anulado por la Junta Electoral Central, situándose en las vías de hecho para promover, desde su propia responsabilidad, el incumplimiento de las resoluciones administrativas y judiciales o propiciar el alzamiento tumultuario”.</w:t>
      </w:r>
    </w:p>
    <w:p w:rsidR="005728DD" w:rsidRDefault="005728DD" w:rsidP="005728DD">
      <w:pPr>
        <w:pStyle w:val="TextoNormal"/>
      </w:pPr>
    </w:p>
    <w:p w:rsidR="005728DD" w:rsidRDefault="005728DD" w:rsidP="005728DD">
      <w:pPr>
        <w:pStyle w:val="TextoNormal"/>
      </w:pPr>
      <w:r>
        <w:t>Tampoco acoge el fiscal la alegación del recurrente sobre el ejercicio del “derecho a votar”, ya que este solo puede ejercerse “en los términos que establece el ordenamiento jurídico”.</w:t>
      </w:r>
    </w:p>
    <w:p w:rsidR="005728DD" w:rsidRDefault="005728DD" w:rsidP="005728DD">
      <w:pPr>
        <w:pStyle w:val="TextoNormal"/>
      </w:pPr>
    </w:p>
    <w:p w:rsidR="005728DD" w:rsidRDefault="005728DD" w:rsidP="005728DD">
      <w:pPr>
        <w:pStyle w:val="TextoNormal"/>
      </w:pPr>
      <w:r>
        <w:t>En lo relativo a la supuesta aplicación analógica del art. 544 CP, el fiscal considera que la “sentencia da una respuesta motivada sobre la subsunción jurídica de los hechos conforme al principio de legalidad”. De esta manera, “no puede hablarse de una subsunción de los hechos ajena al significado posible de los términos de la norma aplicada; sin que pueda hablarse de una aplicación de la norma que por su soporte metodológico —una argumentación ilógica o indiscutiblemente extravagante— o axiológico —una base valorativa ajena a los criterios que informan nuestro ordenamiento constitucional— conduzca a soluciones esencialmente opuestas a la orientación material de la norma, que no es otra que la protección del orden público entendido como el normal funcionamiento de las instituciones, los servicios públicos y el cumplimiento de las leyes y de las resoluciones judiciales y administrativas. Encuadra la conducta del recurrente en el supuesto de hecho previsto en la norma punitiva por lo que no cabe admitir que ha existido una aplicación extensiva o analógica de la norma sancionadora, sino respetuosa con su tenor literal y, por tanto, respetuosa con el principio de legalidad del art. 25.l CE”. Más en concreto, y aunque el recurrente “no haya realizado materialmente los hechos típicos del alzamiento tumultuario, le es atribuible promover, desde su propia responsabilidad, los actos en que consistió el alzamiento, el incumplimiento de resoluciones judiciales y administrativas a la vez que contribuyó a la pérdida de efectividad de facto de las leyes vigentes en el ámbito de la Comunidad Autónoma de Cataluña”.</w:t>
      </w:r>
    </w:p>
    <w:p w:rsidR="005728DD" w:rsidRDefault="005728DD" w:rsidP="005728DD">
      <w:pPr>
        <w:pStyle w:val="TextoNormal"/>
      </w:pPr>
    </w:p>
    <w:p w:rsidR="005728DD" w:rsidRDefault="005728DD" w:rsidP="005728DD">
      <w:pPr>
        <w:pStyle w:val="TextoNormal"/>
      </w:pPr>
      <w:r>
        <w:t xml:space="preserve">La misma suerte corre la alegación relativa a la inconcreción de los hechos a los que se atribuye la calificación de delito de sedición. Para el fiscal, la sentencia “precisa y delimita el relato histórico”, del que “trascienden, por su importancia, los hechos acaecidos alrededor </w:t>
      </w:r>
      <w:r>
        <w:lastRenderedPageBreak/>
        <w:t>del 1 de octubre de 2017 […], con una concreción específica de los hechos acaecidos durante los meses de septiembre y octubre de 2017, que aparecen complementados por otros hechos que preceden a aquellos, como causa remota, o son subsiguientes […], y permiten una mejor comprensión de los hechos”.</w:t>
      </w:r>
    </w:p>
    <w:p w:rsidR="005728DD" w:rsidRDefault="005728DD" w:rsidP="005728DD">
      <w:pPr>
        <w:pStyle w:val="TextoNormal"/>
      </w:pPr>
    </w:p>
    <w:p w:rsidR="005728DD" w:rsidRDefault="005728DD" w:rsidP="005728DD">
      <w:pPr>
        <w:pStyle w:val="TextoNormal"/>
      </w:pPr>
      <w:r>
        <w:t>Y otro tanto sucede con la queja de la indebida inaplicación del delito de desobediencia. En este punto, el fiscal considera que, a la vista de lo expuesto anteriormente, el recurrente “no se limitó a ignorar los mandatos del Tribunal Constitucional y sus resoluciones”.</w:t>
      </w:r>
    </w:p>
    <w:p w:rsidR="005728DD" w:rsidRDefault="005728DD" w:rsidP="005728DD">
      <w:pPr>
        <w:pStyle w:val="TextoNormal"/>
      </w:pPr>
    </w:p>
    <w:p w:rsidR="005728DD" w:rsidRDefault="005728DD" w:rsidP="005728DD">
      <w:pPr>
        <w:pStyle w:val="TextoNormal"/>
      </w:pPr>
      <w:r>
        <w:t>Finalmente, sobre el encaje de la conducta en el tipo penal derogado de la convocatoria ilegal de un referéndum, el ministerio público se remite tanto a lo razonado en la sentencia como en el auto de 29 de enero de 2020, con cita de la STC 114/2017, de 17 de octubre, FJ 2 b). Como ya se ha expuesto, no estamos “ante una mera desatención de los mandatos del Tribunal Constitucional” ni “ante una mera cuestión competencial” sobre qué órgano estatal o autonómico es competente para la convocatoria de un referéndum, sino ante una conducta que va más allá, para integrarse en un delito de sedición. Por lo demás, el concreto referéndum convocado no podía quedar englobado en la conducta típica del derogado art. 50</w:t>
      </w:r>
      <w:r w:rsidRPr="005728DD">
        <w:rPr>
          <w:i/>
        </w:rPr>
        <w:t>6 b</w:t>
      </w:r>
      <w:r>
        <w:t>is CP, ya que este precepto solo se refería a las “modalidades previstas en la Constitución”, lo que no era el caso.</w:t>
      </w:r>
    </w:p>
    <w:p w:rsidR="005728DD" w:rsidRDefault="005728DD" w:rsidP="005728DD">
      <w:pPr>
        <w:pStyle w:val="TextoNormal"/>
      </w:pPr>
    </w:p>
    <w:p w:rsidR="005728DD" w:rsidRDefault="005728DD" w:rsidP="005728DD">
      <w:pPr>
        <w:pStyle w:val="TextoNormal"/>
      </w:pPr>
      <w:r>
        <w:t>11.10. Vulneración del principio de legalidad penal (art. 25.1 CE), en relación con el art. 17.1 CE y el art. 49.1 CDFUE, por lesión de los derechos fundamentales a la libertad, reunión pacífica, libertad de expresión e ideológica y derecho de representación política (arts. 17, 18, 20, 21 y 23 CE), y por desproporción de la pena impuesta.</w:t>
      </w:r>
    </w:p>
    <w:p w:rsidR="005728DD" w:rsidRDefault="005728DD" w:rsidP="005728DD">
      <w:pPr>
        <w:pStyle w:val="TextoNormal"/>
      </w:pPr>
    </w:p>
    <w:p w:rsidR="005728DD" w:rsidRDefault="005728DD" w:rsidP="005728DD">
      <w:pPr>
        <w:pStyle w:val="TextoNormal"/>
      </w:pPr>
      <w:r>
        <w:t>En este apartado, el fiscal realiza un análisis individualizado de los derechos fundamentales que se dicen vulnerados, mediante un resumen de las alegaciones del recurrente y de la respuesta contenida en las resoluciones impugnadas.</w:t>
      </w:r>
    </w:p>
    <w:p w:rsidR="005728DD" w:rsidRDefault="005728DD" w:rsidP="005728DD">
      <w:pPr>
        <w:pStyle w:val="TextoNormal"/>
      </w:pPr>
    </w:p>
    <w:p w:rsidR="005728DD" w:rsidRDefault="005728DD" w:rsidP="005728DD">
      <w:pPr>
        <w:pStyle w:val="TextoNormal"/>
      </w:pPr>
      <w:r>
        <w:t>A continuación, se expone la doctrina de este tribunal sobre cada uno de ellos, con cita y reseña parcial de algunas resoluciones. Así, respecto del derecho a la libertad de expresión, las SSTC 35/2020, de 25 de febrero, FJ 4; 112/2016, de 20 de junio, FJ 2, que se remite a su vez a la 177/2015, de 22 de julio, FJ 2. En cuanto al derecho de reunión, las SSTC 193/2011, de 12 de diciembre, FJ 3, y 24/2015, de 16 de febrero, FJ 4. Sobre el derecho de representación política, las SSTC 136/1999, de 20 de julio, FJ 14, y 37/2020, de 25 de febrero, FJ 6. Finalmente, en cuanto a la libertad ideológica, se recogen las SSTC 42/2014, de 25 de marzo, FJ 4 c); 136/2018, de 13 de diciembre, FJ 6 b), y 76/2019, de 22 de mayo, FJ 5 c).</w:t>
      </w:r>
    </w:p>
    <w:p w:rsidR="005728DD" w:rsidRDefault="005728DD" w:rsidP="005728DD">
      <w:pPr>
        <w:pStyle w:val="TextoNormal"/>
      </w:pPr>
    </w:p>
    <w:p w:rsidR="005728DD" w:rsidRDefault="005728DD" w:rsidP="005728DD">
      <w:pPr>
        <w:pStyle w:val="TextoNormal"/>
      </w:pPr>
      <w:r>
        <w:t xml:space="preserve">Concluye el fiscal señalando que, a su juicio, no se han producido las vulneraciones alegadas. La sentencia recurrida “ha procedido a una valoración de los derechos que se invocan en relación con la posible conexión que el contenido de dichos derechos y libertades tienen con los comportamientos penalmente reprochables del recurrente pues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Para el fiscal, “es claro que, de los hechos declarados probados, se sigue que se desbordó claramente el derecho de reunión y los actos imputados al recurrente no quedaban </w:t>
      </w:r>
      <w:r>
        <w:lastRenderedPageBreak/>
        <w:t>amparados por su libertad ideológica o pensamiento y de expresión o su derecho de representación política pues con su conducta, junto con la de los demás condenados, se puso en cuestión el Estado democrático de Derecho en la forma que se ha descrito de manera que la condena por sedición no ha supuesto un efecto desalentador o disuasorio del ejercicio de los derechos que se alegan”. El fiscal entiende que la conducta sancionada “no parece que se compadezca con el respeto a los principios democráticos, los derechos fundamentales o el resto de los mandatos constitucionales, que el intento de consecución efectiva de las finalidades procuradas por el recurrente no se realice en el marco de los procedimientos de reforma de la Constitución, pues el respeto a esos procedimientos es, siempre y en todo caso, inexcusable, pues el recurso a una actividad delictiva no es amparable por estos derechos y libertades”. De esta forma, finaliza, “estamos ante un aparente ejercicio de derechos fundamentales y que, por la finalidad hacia la que se orientan, desnaturalizan el ejercicio de esos derechos”.</w:t>
      </w:r>
    </w:p>
    <w:p w:rsidR="005728DD" w:rsidRDefault="005728DD" w:rsidP="005728DD">
      <w:pPr>
        <w:pStyle w:val="TextoNormal"/>
      </w:pPr>
    </w:p>
    <w:p w:rsidR="005728DD" w:rsidRDefault="005728DD" w:rsidP="005728DD">
      <w:pPr>
        <w:pStyle w:val="TextoNormal"/>
      </w:pPr>
      <w:r>
        <w:t>Este razonamiento justifica igualmente la solicitud de desestimación de la queja relativa a la falta de apreciación de la eximente incompleta del ejercicio legítimo de un derecho, invocada en la demanda. Además, se trataría de “una cuestión de legalidad ordinaria” que corresponde determinar a los tribunales de justicia, “siendo que, como se indica, el rechazo a la misma está suficientemente razonada por el Tribunal Supremo”.</w:t>
      </w:r>
    </w:p>
    <w:p w:rsidR="005728DD" w:rsidRDefault="005728DD" w:rsidP="005728DD">
      <w:pPr>
        <w:pStyle w:val="TextoNormal"/>
      </w:pPr>
    </w:p>
    <w:p w:rsidR="005728DD" w:rsidRDefault="005728DD" w:rsidP="005728DD">
      <w:pPr>
        <w:pStyle w:val="TextoNormal"/>
      </w:pPr>
      <w:r>
        <w:t>El fiscal también se opone a la estimación de la alegación sobre la no apreciación de una forma imperfecta de ejecución del delito de sedición o de una modalidad menos grave como es la prevista en el art. 547 CP. Por un lado, porque el tipo penal de sedición no requiere la producción de un resultado concreto; y por otro, porque la conducta sancionada en el art. 547 CP “exige un entorpecimiento no grave del ejercicio de la autoridad pública”, que se habría desbordado en el presente caso, al condenarse por “unos hechos que trascienden el orden público pues se castiga también la finalidad a que se refiere el tipo del delito de sedición y el propio Tribunal Supremo señala, que los hechos suponían un desplazamiento formal del orden constitucional”.</w:t>
      </w:r>
    </w:p>
    <w:p w:rsidR="005728DD" w:rsidRDefault="005728DD" w:rsidP="005728DD">
      <w:pPr>
        <w:pStyle w:val="TextoNormal"/>
      </w:pPr>
    </w:p>
    <w:p w:rsidR="005728DD" w:rsidRDefault="005728DD" w:rsidP="005728DD">
      <w:pPr>
        <w:pStyle w:val="TextoNormal"/>
      </w:pPr>
      <w:r>
        <w:t>En cuanto a la queja sobre la desproporción de la pena, el fiscal se remite al apartado relativo a la falta de motivación de la individualización de la condena impuesta.</w:t>
      </w:r>
    </w:p>
    <w:p w:rsidR="005728DD" w:rsidRDefault="005728DD" w:rsidP="005728DD">
      <w:pPr>
        <w:pStyle w:val="TextoNormal"/>
      </w:pPr>
    </w:p>
    <w:p w:rsidR="005728DD" w:rsidRDefault="005728DD" w:rsidP="005728DD">
      <w:pPr>
        <w:pStyle w:val="TextoNormal"/>
      </w:pPr>
      <w:r>
        <w:t>11.11. Vulneración del principio de legalidad penal (art. 25.1 CE), por la indebida aplicación de la participación delictiva al recurrente, por abandon</w:t>
      </w:r>
      <w:r w:rsidRPr="005728DD">
        <w:rPr>
          <w:i/>
        </w:rPr>
        <w:t>o ad h</w:t>
      </w:r>
      <w:r>
        <w:t>oc del principio de accesoriedad limitada.</w:t>
      </w:r>
    </w:p>
    <w:p w:rsidR="005728DD" w:rsidRDefault="005728DD" w:rsidP="005728DD">
      <w:pPr>
        <w:pStyle w:val="TextoNormal"/>
      </w:pPr>
    </w:p>
    <w:p w:rsidR="005728DD" w:rsidRDefault="005728DD" w:rsidP="005728DD">
      <w:pPr>
        <w:pStyle w:val="TextoNormal"/>
      </w:pPr>
      <w:r>
        <w:t>Según la demanda, y por aplicación del principio de accesoriedad limitada, el recurrente solo habría podido ser condenado, en su caso, si el autor directo o ejecutor material hubiera cometido un hecho antijurídico. En este supuesto, como los manifestantes o votantes no han merecido reproche penal alguno, tampoco puede ser condenado el demandante.</w:t>
      </w:r>
    </w:p>
    <w:p w:rsidR="005728DD" w:rsidRDefault="005728DD" w:rsidP="005728DD">
      <w:pPr>
        <w:pStyle w:val="TextoNormal"/>
      </w:pPr>
    </w:p>
    <w:p w:rsidR="005728DD" w:rsidRDefault="005728DD" w:rsidP="005728DD">
      <w:pPr>
        <w:pStyle w:val="TextoNormal"/>
      </w:pPr>
      <w:r>
        <w:t xml:space="preserve">Esta alegación fue resuelta en el auto de 29 de enero de 2020, que se extracta, reiterando el fiscal los argumentos expuestos en la citada resolución, ahora también impugnada. El ministerio público señala que el recurrente “ha sido condenado como coautor de un delito de sedición y no como partícipe por lo que no sería de aplicación el principio de accesoriedad en la participación y la propia sentencia explica el juicio de autoría”. Insiste el fiscal en que el demandante “ha colmado el elemento objetivo y subjetivo del tipo penal de sedición </w:t>
      </w:r>
      <w:r>
        <w:lastRenderedPageBreak/>
        <w:t>pues con su comportamiento creó las condiciones de la movilización ciudadana, impidió el normal funcionamiento del Estado, participó en la convocatoria y realización de un referéndum ilegal y conocía la antijuridicidad de su conducta, puesto que el delito de sedición se comete también por conductas que propicien, posibiliten o determinen la realización de actos de alzamiento y, de los hechos probados, se sigue que precisamente ese comportamiento es el que se imputa al recurrente, crear las condiciones para impedir, fuera de las vías legales, la aplicación de las leyes o la correcta actuación de las autoridades, funcionarios públicos o corporaciones oficiales mediante decisiones ejecutivas que enmarcan el alzamiento”. En definitiva, la sala de enjuiciamiento no ha modificado su doctrina sobre el principio de accesoriedad, porque esta doctrina no era aplicable en el presente caso.</w:t>
      </w:r>
    </w:p>
    <w:p w:rsidR="005728DD" w:rsidRDefault="005728DD" w:rsidP="005728DD">
      <w:pPr>
        <w:pStyle w:val="TextoNormal"/>
      </w:pPr>
    </w:p>
    <w:p w:rsidR="005728DD" w:rsidRDefault="005728DD" w:rsidP="005728DD">
      <w:pPr>
        <w:pStyle w:val="TextoNormal"/>
      </w:pPr>
      <w:r>
        <w:t>11.12. Vulneración del principio de legalidad penal (art. 25.1 CE), por infracción del principi</w:t>
      </w:r>
      <w:r w:rsidRPr="005728DD">
        <w:rPr>
          <w:i/>
        </w:rPr>
        <w:t>o non bis in id</w:t>
      </w:r>
      <w:r>
        <w:t>em; y vulneración del derecho a la tutela judicial efectiva (art. 24 CE y art. 6 CEDH), por falta de motivación de la individualización de la pena impuesta.</w:t>
      </w:r>
    </w:p>
    <w:p w:rsidR="005728DD" w:rsidRDefault="005728DD" w:rsidP="005728DD">
      <w:pPr>
        <w:pStyle w:val="TextoNormal"/>
      </w:pPr>
    </w:p>
    <w:p w:rsidR="005728DD" w:rsidRDefault="005728DD" w:rsidP="005728DD">
      <w:pPr>
        <w:pStyle w:val="TextoNormal"/>
      </w:pPr>
      <w:r>
        <w:t xml:space="preserve">En coherencia con el esquema seguido en anteriores apartados, el fiscal comienza sus alegaciones haciendo una reseña de la respuesta contenida en las resoluciones impugnadas, para luego exponer la doctrina de este tribunal. Así, respecto del principio </w:t>
      </w:r>
      <w:r w:rsidRPr="005728DD">
        <w:rPr>
          <w:i/>
        </w:rPr>
        <w:t>non bis in idem</w:t>
      </w:r>
      <w:r>
        <w:t>, se citan y extractan parcialmente las SSTC 126/2011, de 18 de julio, FJ 16, y 189/2013, de 7 de noviembre, FJ 2; mientras que, sobre el alcance del control de constitucionalidad sobre la individualización y motivación de las penas, se hace una remisión a la doctrina expuesta en las SSTC 28/2007, de 12 de febrero, y 196/2007, de 11 de septiembre, FJ 7.</w:t>
      </w:r>
    </w:p>
    <w:p w:rsidR="005728DD" w:rsidRDefault="005728DD" w:rsidP="005728DD">
      <w:pPr>
        <w:pStyle w:val="TextoNormal"/>
      </w:pPr>
    </w:p>
    <w:p w:rsidR="005728DD" w:rsidRDefault="005728DD" w:rsidP="005728DD">
      <w:pPr>
        <w:pStyle w:val="TextoNormal"/>
      </w:pPr>
      <w:r>
        <w:t>Para el fiscal, no ha existido “una doble punición por ser miembro del Gobierno de Cataluña a la que va aparejada la condición de autoridad”. Lo que señala la sentencia es que “esta condición de miembro de un gobierno fue usada por el recurrente para facilitar los actos que se le imputan y convertirse así en promotor de la sedición con vulneración del orden público, mientras que la punición impuesta por su condición de autoridad responde a un reproche penal diferente a la lesión del bien jurídico que se protege con el delito de sedición, y que […] responde a un reproche por el incumplimiento de especiales deberes de lealtad constitucional y de cumplir y hacer cumplir la legalidad”.</w:t>
      </w:r>
    </w:p>
    <w:p w:rsidR="005728DD" w:rsidRDefault="005728DD" w:rsidP="005728DD">
      <w:pPr>
        <w:pStyle w:val="TextoNormal"/>
      </w:pPr>
    </w:p>
    <w:p w:rsidR="005728DD" w:rsidRDefault="005728DD" w:rsidP="005728DD">
      <w:pPr>
        <w:pStyle w:val="TextoNormal"/>
      </w:pPr>
      <w:r>
        <w:t xml:space="preserve">Finalmente, en cuanto al reproche de falta de motivación de la individualización de la pena impuesta, el Ministerio Fiscal considera, en primer lugar, que “siendo el presente procedimiento un recurso de amparo no cabe hacer un juicio de constitucionalidad de la norma penal, sino confrontar la sentencia con el principio de legalidad con el que ha sido respetuosa al tipificar la conducta del recurrente e imponer la pena que asigna el precepto penal del delito de sedición y dentro de los límites legales y de conformidad con el principio acusatorio”. A tal efecto, el fiscal analiza los criterios tenidos en cuenta en la sentencia, y concluye que no cabe apreciar una “falta de motivación a la hora de fijar el </w:t>
      </w:r>
      <w:r w:rsidRPr="005728DD">
        <w:rPr>
          <w:i/>
        </w:rPr>
        <w:t>quantum</w:t>
      </w:r>
      <w:r>
        <w:t xml:space="preserve"> penológico dada la condición personal que concurría en el recurrente, ser miembro del Govern de la Generalitat y su condición de autoridad y atendiendo a la gravedad del ataque al bien jurídico del orden público que supone la sedición, que en el caso supuso un cuestionamiento, cuando no una interrupción del normal funcionamiento del Estado democrático de Derecho, al crear una legalidad paralela a la constitucional mediante las denominadas leyes de desconexión y su desarrollo reglamentario e impedir el ejercicio y efectividad de la función jurisdiccional del Estado al obstaculizar y hacer inefectivos los mandatos del Tribunal Constitucional y de los órganos judiciales y celebrar un referéndum de autodeterminación suspendido por el </w:t>
      </w:r>
      <w:r>
        <w:lastRenderedPageBreak/>
        <w:t>tribunal constitucional”. Conforme a estos parámetros, el “desvalor de la conducta que describe el juzgador avalan la entidad de las penas impuestas al recurrente”. A juicio del fiscal, la motivación “no resulta manifiestamente irrazonable o arbitraria”, siendo “respetuosa con las acusaciones formuladas contra el mismo”, sin que se imponga una pena superior a la “más grave de las pedidas en concreto” por las partes acusadoras.</w:t>
      </w:r>
    </w:p>
    <w:p w:rsidR="005728DD" w:rsidRDefault="005728DD" w:rsidP="005728DD">
      <w:pPr>
        <w:pStyle w:val="TextoNormal"/>
      </w:pPr>
    </w:p>
    <w:p w:rsidR="005728DD" w:rsidRDefault="005728DD" w:rsidP="005728DD">
      <w:pPr>
        <w:pStyle w:val="TextoNormal"/>
      </w:pPr>
      <w:r>
        <w:t>En consecuencia, y por todo lo anterior, el fiscal informa en el sentido de interesar la desestimación del recurso de amparo interpuesto frente a la sentencia de 14 de octubre de 2019 y el auto de 29 de enero de 2020 dictados en la causa especial núm. 20907-2017 de la Sala Segunda del Tribunal Supremo.</w:t>
      </w:r>
    </w:p>
    <w:p w:rsidR="005728DD" w:rsidRDefault="005728DD" w:rsidP="005728DD">
      <w:pPr>
        <w:pStyle w:val="TextoNormal"/>
      </w:pPr>
    </w:p>
    <w:p w:rsidR="005728DD" w:rsidRDefault="005728DD" w:rsidP="005728DD">
      <w:pPr>
        <w:pStyle w:val="TextoNormal"/>
      </w:pPr>
      <w:r w:rsidRPr="005728DD">
        <w:rPr>
          <w:rStyle w:val="NumeroAFNegritaCaracter"/>
        </w:rPr>
        <w:t>12</w:t>
      </w:r>
      <w:r>
        <w:t>. A fin de tramitar y resolver la petición de recusación del magistrado de este Tribunal Constitucional señor Narváez Rodríguez, planteada por los demandantes en este proceso de amparo mediante escrito de fecha 6 de octubre de 2020, el Pleno, mediante providencia de fecha 20 de octubre de 2020, con suspensión de las actuaciones correspondientes al presente recurso, acordó formar pieza separada.</w:t>
      </w:r>
    </w:p>
    <w:p w:rsidR="005728DD" w:rsidRDefault="005728DD" w:rsidP="005728DD">
      <w:pPr>
        <w:pStyle w:val="TextoNormal"/>
      </w:pPr>
    </w:p>
    <w:p w:rsidR="005728DD" w:rsidRDefault="005728DD" w:rsidP="005728DD">
      <w:pPr>
        <w:pStyle w:val="TextoNormal"/>
      </w:pPr>
      <w:r>
        <w:t>Con fecha 16 de febrero de 2021, el magistrado señor Narváez Rodríguez formuló su abstención en relación con el presente proceso constitucional de amparo; abstención que, por unanimidad, fue considerada justificada por el Pleno en resolución de la misma fecha, lo que dio lugar a su aceptación y a acordar el archivo de la pieza separada de recusación formada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13</w:t>
      </w:r>
      <w:r>
        <w:t>. Por escrito registrado en este tribunal el 26 de marzo de 2021, don Aníbal Bordallo Huidobro, procurador de los tribunales, en representación de don Josep Rull i Andreu, promovió la recusación del magistrado don Cándido Conde-Pumpido Tourón.</w:t>
      </w:r>
    </w:p>
    <w:p w:rsidR="005728DD" w:rsidRDefault="005728DD" w:rsidP="005728DD">
      <w:pPr>
        <w:pStyle w:val="TextoNormal"/>
      </w:pPr>
    </w:p>
    <w:p w:rsidR="005728DD" w:rsidRDefault="005728DD" w:rsidP="005728DD">
      <w:pPr>
        <w:pStyle w:val="TextoNormal"/>
      </w:pPr>
      <w:r>
        <w:t>Con fecha 7 de abril de 2021, el magistrado don Cándido Conde-Pumpido Tourón formuló su abstención en relación con el presente proceso constitucional de amparo, abstención que, por unanimidad, fue considerada justificada por el Pleno en auto de 20 de abril de 2021, lo que dio lugar a apartarle definitivamente del presente recurso y de todas sus incidencias.</w:t>
      </w:r>
    </w:p>
    <w:p w:rsidR="005728DD" w:rsidRDefault="005728DD" w:rsidP="005728DD">
      <w:pPr>
        <w:pStyle w:val="TextoNormal"/>
      </w:pPr>
    </w:p>
    <w:p w:rsidR="005728DD" w:rsidRDefault="005728DD" w:rsidP="005728DD">
      <w:pPr>
        <w:pStyle w:val="TextoNormal"/>
      </w:pPr>
      <w:r w:rsidRPr="005728DD">
        <w:rPr>
          <w:rStyle w:val="NumeroAFNegritaCaracter"/>
        </w:rPr>
        <w:t>14</w:t>
      </w:r>
      <w:r>
        <w:t>. Por providencia de 11 de mayo de 2021, se señaló para la deliberación y votación de la presente sentencia el día 11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posiciones de las partes</w:t>
      </w:r>
      <w:r>
        <w:t>.</w:t>
      </w:r>
    </w:p>
    <w:p w:rsidR="005728DD" w:rsidRDefault="005728DD" w:rsidP="005728DD">
      <w:pPr>
        <w:pStyle w:val="TextoNormal"/>
      </w:pPr>
    </w:p>
    <w:p w:rsidR="005728DD" w:rsidRDefault="005728DD" w:rsidP="005728DD">
      <w:pPr>
        <w:pStyle w:val="TextoNormal"/>
      </w:pPr>
      <w:r>
        <w:t xml:space="preserve">El presente recurso de amparo se interpone: i) contra la sentencia núm. 459-2019, de 14 de octubre, que condenó al demandante como autor de un delito de sedición previsto en los arts. 544 y 545.1 CP a las penas de diez años y seis meses de prisión y diez años y seis meses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y contra el auto de fecha 29 </w:t>
      </w:r>
      <w:r>
        <w:lastRenderedPageBreak/>
        <w:t>de enero de 2020, que desestimó los incidentes de nulidad interpuestos contra la sentencia antes indicada, resoluciones que fueron dictadas en la causa especial núm. 20907-2017, por la Sala de lo Penal del Tribunal Supremo.</w:t>
      </w:r>
    </w:p>
    <w:p w:rsidR="005728DD" w:rsidRDefault="005728DD" w:rsidP="005728DD">
      <w:pPr>
        <w:pStyle w:val="TextoNormal"/>
      </w:pPr>
    </w:p>
    <w:p w:rsidR="005728DD" w:rsidRDefault="005728DD" w:rsidP="005728DD">
      <w:pPr>
        <w:pStyle w:val="TextoNormal"/>
      </w:pPr>
      <w:r>
        <w:t xml:space="preserve">En la demanda, el recurrente alega las siguientes vulneraciones de derechos fundamentales: i) del derecho al juez ordinario predeterminado por la ley (arts. 24.2 CE y 6 CEDH), por haber asumido el Tribunal Supremo la competencia para enjuiciar los hechos, privando adicionalmente al recurrente de su derecho a la doble instancia (art. 2 del Protocolo núm. 7 CEDH); ii) del derecho de defensa (arts. 24.2 CE y 6 CEDH) y del derecho a la no discriminación por razón de la lengua (arts. 14 CE y 14 CEDH), por no haberse permitido a los acusados declarar en su lengua vernácula empleando un sistema de traducción simultánea; y por haber impedido el empleo del catalán a testigos propuestos por la defensa; iii) del derecho a un juez imparcial (arts. 24.2 y 6 CEDH), por no haberse estimado las diversas recusaciones formuladas a lo largo del procedimiento y por el rol inquisitivo asumido por el presidente del tribunal en el acto del juicio; iv) del principio de igualdad de armas (arts. 24.2 CE y 6 CEDH), por el trato desfavorable dispensado a las defensas en el acto del juicio oral; v) del derecho de defensa (arts. 24 CE y 6 CEDH), por no haber tenido acceso a las actuaciones seguidas en el Juzgado de Instrucción núm. 13 de Barcelona, por la imposibilidad de contrastar las declaraciones testificales con la prueba documental videográfica y por la denegación de pruebas pertinentes solicitadas en tiempo y forma; vi) del derecho a la presunción de inocencia y a la tutela judicial efectiva (art. 24.1 y 2 CE), por las manifestaciones públicas de miembros del Gobierno español sobre los hechos enjuiciados y la reiterada omisión del tribunal de amparar a los procesados ante dichas manifestaciones; vii) del derecho a un proceso con todas las garantías (arts. 24.2 CE y 6 CEDH), por la filtración del contenido de la sentencia cuando su redacción no había culminado; viii) del derecho fundamental a la legalidad penal (arts. 25.1 CE y 7 CEDH), por abandono </w:t>
      </w:r>
      <w:r w:rsidRPr="005728DD">
        <w:rPr>
          <w:i/>
        </w:rPr>
        <w:t>ad hoc</w:t>
      </w:r>
      <w:r>
        <w:t xml:space="preserve"> del principio de accesoriedad limitada en la participación; ix) del derecho fundamental a la legalidad penal (art. 25.1 CE) en relación con los derechos fundamentales a la libertad, de reunión pacífica y a las libertades de expresión e ideológica (arts. 17, 20, 21 y 16 CE), por la insuficiente taxatividad del tipo penal de la sedición; x) del derecho fundamental a la legalidad penal (arts. 25.1 CE y 7 CEDH), por aplicación analógica del delito de sedición a los hechos enjuiciados; xi) del derecho fundamental a la legalidad penal (arts. 25.1 CE y 49 CDFUE), en relación con los derechos fundamentales a la libertad, de reunión y a las libertades de expresión e ideológica (arts. 17, 20, 21 y 16 CE), por la imposición de una pena desproporcionada.</w:t>
      </w:r>
    </w:p>
    <w:p w:rsidR="005728DD" w:rsidRDefault="005728DD" w:rsidP="005728DD">
      <w:pPr>
        <w:pStyle w:val="TextoNormal"/>
      </w:pPr>
    </w:p>
    <w:p w:rsidR="005728DD" w:rsidRDefault="005728DD" w:rsidP="005728DD">
      <w:pPr>
        <w:pStyle w:val="TextoNormal"/>
      </w:pPr>
      <w:r>
        <w:t>La abogacía del Estado interesó la desestimación del recurso de amparo. Por su parte, el partido político Vox alegó como óbice procesal la insuficiente justificación de la especial trascendencia constitucional del recurso; y en cuanto al fondo, interesó igualmente su desestimación. Finalmente, el Ministerio Fiscal solicitó también la desestimación del recurso de amparo.</w:t>
      </w:r>
    </w:p>
    <w:p w:rsidR="005728DD" w:rsidRDefault="005728DD" w:rsidP="005728DD">
      <w:pPr>
        <w:pStyle w:val="TextoNormal"/>
      </w:pPr>
    </w:p>
    <w:p w:rsidR="005728DD" w:rsidRDefault="005728DD" w:rsidP="005728DD">
      <w:pPr>
        <w:pStyle w:val="TextoNormal"/>
      </w:pPr>
      <w:r>
        <w:t>Las alegaciones de las partes intervinientes han sido ampliamente resumidas en los antecedentes de esta resolución. Sin perjuicio de ello, una síntesis de estas será expuesta de nuevo al analizar cada una de las quejas.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especial transcendencia constitucional del recurso</w:t>
      </w:r>
      <w:r>
        <w:t>.</w:t>
      </w:r>
    </w:p>
    <w:p w:rsidR="005728DD" w:rsidRDefault="005728DD" w:rsidP="005728DD">
      <w:pPr>
        <w:pStyle w:val="TextoNormal"/>
      </w:pPr>
    </w:p>
    <w:p w:rsidR="005728DD" w:rsidRDefault="005728DD" w:rsidP="005728DD">
      <w:pPr>
        <w:pStyle w:val="TextoNormal"/>
      </w:pPr>
      <w:r>
        <w:lastRenderedPageBreak/>
        <w:t>Antes de llevar a cabo el análisis de las lesiones que se invocan en el escrito de demanda, procede resolver el óbice alegado por el partido político Vox, referido a la insuficiente justificación de la especial trascendencia constitucional del recurso de amparo. No obstante, cabe adelantar que, de no ser estimado este primer motivo de inadmisión, los óbices procesales que se asocian a cada uno de los motivos de amparo serán resueltos al enjuiciar cada uno de dichos motivos.</w:t>
      </w:r>
    </w:p>
    <w:p w:rsidR="005728DD" w:rsidRDefault="005728DD" w:rsidP="005728DD">
      <w:pPr>
        <w:pStyle w:val="TextoNormal"/>
      </w:pPr>
    </w:p>
    <w:p w:rsidR="005728DD" w:rsidRDefault="005728DD" w:rsidP="005728DD">
      <w:pPr>
        <w:pStyle w:val="TextoNormal"/>
      </w:pPr>
      <w:r>
        <w:t>Dicho partido político señala que el demandante no hace en la demanda el más mínimo esfuerzo para cumplimentar aquel requisito, pues se limita a formular una argumentación genérica que “ni explica la supuesta falta de compatibilidad del delito de sedición y su aplicación al presente caso con los derechos fundamentales alegados, ni tampoco se cita, siquiera, la supuesta vulneración de la jurisprudencia constitucional previa [...] y de la doctrina del Tribunal Europeo de Derechos Humanos”. En suma, incurre en excesiva brevedad y demasiadas generalidades.</w:t>
      </w:r>
    </w:p>
    <w:p w:rsidR="005728DD" w:rsidRDefault="005728DD" w:rsidP="005728DD">
      <w:pPr>
        <w:pStyle w:val="TextoNormal"/>
      </w:pPr>
    </w:p>
    <w:p w:rsidR="005728DD" w:rsidRDefault="005728DD" w:rsidP="005728DD">
      <w:pPr>
        <w:pStyle w:val="TextoNormal"/>
      </w:pPr>
      <w:r>
        <w:t xml:space="preserve">A fin de dar respuesta a la objeción procesal opuesta, conviene recordar que la previsión del art. 49.1 </w:t>
      </w:r>
      <w:r w:rsidRPr="005728DD">
        <w:rPr>
          <w:i/>
        </w:rPr>
        <w:t>in fine</w:t>
      </w:r>
      <w:r>
        <w:t xml:space="preserv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5728DD" w:rsidRDefault="005728DD" w:rsidP="005728DD">
      <w:pPr>
        <w:pStyle w:val="TextoNormal"/>
      </w:pPr>
    </w:p>
    <w:p w:rsidR="005728DD" w:rsidRDefault="005728DD" w:rsidP="005728DD">
      <w:pPr>
        <w:pStyle w:val="TextoNormal"/>
      </w:pPr>
      <w:r>
        <w:t>El planteamiento del referido óbice obliga a retomar las razones dadas en el escrito de demanda para justificar la especial trascendencia constitucional del presente recurso. En dicho escrito, tras enumerar los diferentes motivos de especial trascendencia constitucional recogidos en la STC 216/2013, de 19 de diciembre, se afirma que el “especial interés constitucional del presente recurso” radica en el hecho de que el Tribunal Constitucional podrá pronunciarse sobre cuestiones respecto de las cuales no existen precedentes, entre ellas la compatibilidad del delito de sedición con el ejercicio de los derechos fundamentales a la libertad ideológica, de reunión y manifestación y con el derecho de legalidad penal. Por otro lado, señala que ciertas decisiones adoptadas por el Tribunal Supremo contravienen la jurisprudencia constitucional previa y la doctrina del Tribunal Europeo de Derechos Humanos.</w:t>
      </w:r>
    </w:p>
    <w:p w:rsidR="005728DD" w:rsidRDefault="005728DD" w:rsidP="005728DD">
      <w:pPr>
        <w:pStyle w:val="TextoNormal"/>
      </w:pPr>
    </w:p>
    <w:p w:rsidR="005728DD" w:rsidRDefault="005728DD" w:rsidP="005728DD">
      <w:pPr>
        <w:pStyle w:val="TextoNormal"/>
      </w:pPr>
      <w:r>
        <w:t>Comenzando por el final, la referencia que en la demanda se formula respecto del incumplimiento de la doctrina de los tribunales indicados no constituye un motivo de especial trascendencia constitucional, pues esa alegación, en los términos que ha sido formulada, solo resulta relevante para justificar las lesiones asociadas a esos incumplimientos, pero carece de entidad para entender cumplido el requisito impuesto por el art. 49.1 LOTC.</w:t>
      </w:r>
    </w:p>
    <w:p w:rsidR="005728DD" w:rsidRDefault="005728DD" w:rsidP="005728DD">
      <w:pPr>
        <w:pStyle w:val="TextoNormal"/>
      </w:pPr>
    </w:p>
    <w:p w:rsidR="005728DD" w:rsidRDefault="005728DD" w:rsidP="005728DD">
      <w:pPr>
        <w:pStyle w:val="TextoNormal"/>
      </w:pPr>
      <w:r>
        <w:t>Distinta consideración merece la referencia a la compatibilidad del delito de sedición con los derechos fundamentales indicados. Este argumento se vincula con las quejas dirigidas contra el tipo de sedición (art. 544 CP), tanto por el insuficiente grado de taxatividad y determinación que presenta como porque su mera vigencia puede restringir los derechos fundamentales antes indicados. Y sobre este aspecto, remarca el recurrente, no existen pronunciamientos de este tribunal.</w:t>
      </w:r>
    </w:p>
    <w:p w:rsidR="005728DD" w:rsidRDefault="005728DD" w:rsidP="005728DD">
      <w:pPr>
        <w:pStyle w:val="TextoNormal"/>
      </w:pPr>
    </w:p>
    <w:p w:rsidR="005728DD" w:rsidRDefault="005728DD" w:rsidP="005728DD">
      <w:pPr>
        <w:pStyle w:val="TextoNormal"/>
      </w:pPr>
      <w:r>
        <w:t>Sin embargo, este razonamiento, cuya brevedad resulta incuestionable, se anuda a la inexistencia de doctrina constitucional sobre un aspecto novedoso, cual es la compatibilidad del delito de sedición con los derechos fundamentales objeto de cita. Así pues, debe considerarse cumplido el requisito que el partido político Vox objeta, pues, aunque sucintamente, el demandante ha ofrecido una argumentación que pone de relieve la singular relevancia del recurso de amparo, la cual, además, coincide con el motivo apreciado por este tribunal en la providencia de admisión: que el recurso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En consecuencia, el óbice debe ser desestimado.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Los derechos al juez ordinario predeterminado por la ley y al doble grado de jurisdicción penal (art. 24.2 CE)</w:t>
      </w:r>
      <w:r>
        <w:t>.</w:t>
      </w:r>
    </w:p>
    <w:p w:rsidR="005728DD" w:rsidRDefault="005728DD" w:rsidP="005728DD">
      <w:pPr>
        <w:pStyle w:val="TextoNormal"/>
      </w:pPr>
    </w:p>
    <w:p w:rsidR="005728DD" w:rsidRDefault="005728DD" w:rsidP="005728DD">
      <w:pPr>
        <w:pStyle w:val="TextoNormal"/>
      </w:pPr>
      <w:r>
        <w:t xml:space="preserve">3.1. </w:t>
      </w:r>
      <w:r w:rsidRPr="005728DD">
        <w:rPr>
          <w:i/>
        </w:rPr>
        <w:t>Posiciones de las partes</w:t>
      </w:r>
      <w:r>
        <w:t>.</w:t>
      </w:r>
    </w:p>
    <w:p w:rsidR="005728DD" w:rsidRDefault="005728DD" w:rsidP="005728DD">
      <w:pPr>
        <w:pStyle w:val="TextoNormal"/>
      </w:pPr>
    </w:p>
    <w:p w:rsidR="005728DD" w:rsidRDefault="005728DD" w:rsidP="005728DD">
      <w:pPr>
        <w:pStyle w:val="TextoNormal"/>
      </w:pPr>
      <w:r>
        <w:t>La primera queja formulada en la demanda de amparo nos obliga a determinar si han vulnerado el derecho al juez ordinario predeterminado por la ley las decisiones por las que la Sala de lo Penal del Tribunal Supremo asumió, extendió y mantuvo la competencia objetiva para la averiguación y enjuiciamiento de los hechos atribuidos como delictivos en las querellas presentadas por el Ministerio Fiscal ante la propia Sala, y ante la Audiencia Nacional.</w:t>
      </w:r>
    </w:p>
    <w:p w:rsidR="005728DD" w:rsidRDefault="005728DD" w:rsidP="005728DD">
      <w:pPr>
        <w:pStyle w:val="TextoNormal"/>
      </w:pPr>
    </w:p>
    <w:p w:rsidR="005728DD" w:rsidRDefault="005728DD" w:rsidP="005728DD">
      <w:pPr>
        <w:pStyle w:val="TextoNormal"/>
      </w:pPr>
      <w:r>
        <w:t xml:space="preserve">El recurrente sostiene que, atendido el art. 57.2 del Estatuto de Autonomía de Cataluña (EAC), es la Sala de lo Civil y Penal del Tribunal Superior de Justicia de esta comunidad autónoma la competente para enjuiciar los hechos que le han sido atribuidos, pues ni uno solo de los elementos típicos de los delitos por los que ha sido acusado aconteció fuera del territorio de Cataluña. Afirma que la supuesta rebelión o sedición que le han sido imputadas se materializaron íntegramente en territorio catalán, sin que tampoco pueda razonadamente afirmarse que ninguno de los elementos del tipo penal de malversación de caudales públicos, del que también ha sido acusado, se desarrollara fuera de Cataluña pues, aunque el beneficiario de la malversación no resida en Cataluña, tanto el exceso en el ejercicio de facultades de disposición como el perjuicio patrimonial —que son los únicos elementos objetivos del tipo penal— se habrían producido de modo inequívoco en territorio catalán. De esta manera, </w:t>
      </w:r>
      <w:r>
        <w:lastRenderedPageBreak/>
        <w:t xml:space="preserve">afirma que se han creado nuevas reglas competenciales </w:t>
      </w:r>
      <w:r w:rsidRPr="005728DD">
        <w:rPr>
          <w:i/>
        </w:rPr>
        <w:t>ad hoc</w:t>
      </w:r>
      <w:r>
        <w:t xml:space="preserve"> y se ha recurrido a nuevos criterios jurídicos acuñados para este caso por primera vez en la jurisprudencia. Cuestiona también los argumentos judiciales que han llevado a la Sala de lo Penal del Tribunal Supremo a afirmar su propia competencia objetiva, tanto los que se refieren a la relevancia de la realización fuera de Cataluña de actos ejecutivos no necesariamente violentos pero vinculados al elemento tendencial del delito de rebelión (proclamar la independencia), como a los relativos a la supuesta malversación. Considera que se apoyan en una interpretación forzada e irrazonable de las normas procesales que, además, es contradictoria con anteriores precedentes de la propia Sala, que cita, y con la interpretación de la competencia sostenida por el propio Tribunal Superior de Justicia en anteriores resoluciones dictadas en otras causas.</w:t>
      </w:r>
    </w:p>
    <w:p w:rsidR="005728DD" w:rsidRDefault="005728DD" w:rsidP="005728DD">
      <w:pPr>
        <w:pStyle w:val="TextoNormal"/>
      </w:pPr>
    </w:p>
    <w:p w:rsidR="005728DD" w:rsidRDefault="005728DD" w:rsidP="005728DD">
      <w:pPr>
        <w:pStyle w:val="TextoNormal"/>
      </w:pPr>
      <w:r>
        <w:t xml:space="preserve">El abogado del Estado propugna la desestimación de la queja. Aduce que los órganos judiciales no han llevado a cabo una interpretación que suponga una manipulación manifiesta de las reglas legales sobre atribución de competencias, ni han incurrido en error patente,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la competencia ha sido judicialmente determinada mediante un juicio </w:t>
      </w:r>
      <w:r w:rsidRPr="005728DD">
        <w:rPr>
          <w:i/>
        </w:rPr>
        <w:t>ex ante</w:t>
      </w:r>
      <w:r>
        <w:t xml:space="preserve"> que versa sobre el contenido de la pretensión acusatoria, que no puede verse revertido ni afectado por la decisión final de condena.</w:t>
      </w:r>
    </w:p>
    <w:p w:rsidR="005728DD" w:rsidRDefault="005728DD" w:rsidP="005728DD">
      <w:pPr>
        <w:pStyle w:val="TextoNormal"/>
      </w:pPr>
    </w:p>
    <w:p w:rsidR="005728DD" w:rsidRDefault="005728DD" w:rsidP="005728DD">
      <w:pPr>
        <w:pStyle w:val="TextoNormal"/>
      </w:pPr>
      <w:r>
        <w:t>En sus alegaciones, el Ministerio Fiscal propone también la desestimación de la queja. Con apoyo en la previsión establecida en el art. 57.2 EAC, el relato de hechos y los delitos atribuidos al demandante, considera que la competencia se determinó fundadamente atendiendo a dos criterios: la condición de diputados del Parlamento de Cataluña de buena parte de los investigados y el elemento geográfico basado en el lugar de comisión del hecho. El Tribunal Supremo afirma en ese momento su propia competencia para la investigación y enjuiciamiento de los hechos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una de las cuales habría contribuido a ese objetivo desde el espacio funcional propio, y en el que se destaca una pluralidad de acciones desarrolladas fuera del territorio estatal que contribuyeron al objetivo perseguido. Tras considerar fundada la aplicación, en este caso, de la denominada “doctrina de la ubicuidad”, según la cual, el delito se comete en cualquiera de los territorios donde se realizan algunos de los elementos del tipo, 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habría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w:t>
      </w:r>
    </w:p>
    <w:p w:rsidR="005728DD" w:rsidRDefault="005728DD" w:rsidP="005728DD">
      <w:pPr>
        <w:pStyle w:val="TextoNormal"/>
      </w:pPr>
    </w:p>
    <w:p w:rsidR="005728DD" w:rsidRDefault="005728DD" w:rsidP="005728DD">
      <w:pPr>
        <w:pStyle w:val="TextoNormal"/>
      </w:pPr>
      <w:r>
        <w:lastRenderedPageBreak/>
        <w:t>Por su parte, la representación procesal del partido político Vox postula también la desestimación del motivo de amparo. Considera que no se desprende de la argumentación desarrollada por el demandante una interpretación “manifiestamente errónea, irrazonable o arbitraria en el modo así considerado por este tribunal respecto a la competencia del Tribunal Supremo para enjuiciar los hechos de la que trae causa el presente recurso de amparo (STC 183/1999, de 11 de octubre)”. Admite que, aunque en este caso pueda ser considerado discutible el ámbito geográfico “cuando no se puede decidir la competencia exactamente porque no se conoce el lugar o porque se duda —como es el caso— debemos acudir a la teoría de la ubicuidad”, conforme a la cual, “[e]l delito se comete en todas las jurisdicciones en las que se haya realizado algún elemento del tipo. En consecuencia, el juez de cualquiera de ellas que primero haya iniciado las actuaciones procesales, será en principio competente para la instrucción de la causa” (acuerdo del pleno no jurisdiccional de la Sala de lo Penal del Tribunal Supremo de 3 de febrero de 2005).</w:t>
      </w:r>
    </w:p>
    <w:p w:rsidR="005728DD" w:rsidRDefault="005728DD" w:rsidP="005728DD">
      <w:pPr>
        <w:pStyle w:val="TextoNormal"/>
      </w:pPr>
    </w:p>
    <w:p w:rsidR="005728DD" w:rsidRDefault="005728DD" w:rsidP="005728DD">
      <w:pPr>
        <w:pStyle w:val="TextoNormal"/>
      </w:pPr>
      <w:r>
        <w:t>Dado que lo que se cuestiona en la demanda es la interpretación que la Sala de lo Penal del Tribunal Supremo ha hecho de las normas que establecen la competencia para la averiguación y enjuiciamiento de los hechos y delitos atribuidos al recurrente, iniciaremos nuestro análisis exponiendo el razonamiento judicial que justificó la asunción, extensión y mantenimiento de su competencia objetiva.</w:t>
      </w:r>
    </w:p>
    <w:p w:rsidR="005728DD" w:rsidRDefault="005728DD" w:rsidP="005728DD">
      <w:pPr>
        <w:pStyle w:val="TextoNormal"/>
      </w:pPr>
    </w:p>
    <w:p w:rsidR="005728DD" w:rsidRDefault="005728DD" w:rsidP="005728DD">
      <w:pPr>
        <w:pStyle w:val="TextoNormal"/>
      </w:pPr>
      <w:r>
        <w:t xml:space="preserve">3.2. </w:t>
      </w:r>
      <w:r w:rsidRPr="005728DD">
        <w:rPr>
          <w:i/>
        </w:rPr>
        <w:t>Respuesta del órgano judicial</w:t>
      </w:r>
      <w:r>
        <w:t>.</w:t>
      </w:r>
    </w:p>
    <w:p w:rsidR="005728DD" w:rsidRDefault="005728DD" w:rsidP="005728DD">
      <w:pPr>
        <w:pStyle w:val="TextoNormal"/>
      </w:pPr>
    </w:p>
    <w:p w:rsidR="005728DD" w:rsidRDefault="005728DD" w:rsidP="005728DD">
      <w:pPr>
        <w:pStyle w:val="TextoNormal"/>
      </w:pPr>
      <w:r>
        <w:t>3.2.1. La Sala de lo Penal del Tribunal Supremo asumió y mantuvo su competencia objetiva para la averiguación y el enjuiciamiento de los hechos atribuidos al demandante, y al resto de personas acusadas en la causa, en aplicación de la siguiente base normativa:</w:t>
      </w:r>
    </w:p>
    <w:p w:rsidR="005728DD" w:rsidRDefault="005728DD" w:rsidP="005728DD">
      <w:pPr>
        <w:pStyle w:val="TextoNormal"/>
      </w:pPr>
    </w:p>
    <w:p w:rsidR="005728DD" w:rsidRDefault="005728DD" w:rsidP="005728DD">
      <w:pPr>
        <w:pStyle w:val="TextoNormal"/>
      </w:pPr>
      <w:r>
        <w:t>(i) El art. 57.1.2 de la Ley Orgánica del Poder Judicial (LOPJ), conforme al cual:</w:t>
      </w:r>
    </w:p>
    <w:p w:rsidR="005728DD" w:rsidRDefault="005728DD" w:rsidP="005728DD">
      <w:pPr>
        <w:pStyle w:val="TextoNormal"/>
      </w:pPr>
    </w:p>
    <w:p w:rsidR="005728DD" w:rsidRDefault="005728DD" w:rsidP="005728DD">
      <w:pPr>
        <w:pStyle w:val="TextoNormal"/>
      </w:pPr>
      <w:r>
        <w:t>“1. La Sala de lo Penal del Tribunal Supremo conocerá:</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2º De la instrucción y enjuiciamiento […] de las causas que, en su caso, determinen los Estatutos de Autonomía”.</w:t>
      </w:r>
    </w:p>
    <w:p w:rsidR="005728DD" w:rsidRDefault="005728DD" w:rsidP="005728DD">
      <w:pPr>
        <w:pStyle w:val="TextoNormal"/>
      </w:pPr>
    </w:p>
    <w:p w:rsidR="005728DD" w:rsidRDefault="005728DD" w:rsidP="005728DD">
      <w:pPr>
        <w:pStyle w:val="TextoNormal"/>
      </w:pPr>
      <w:r>
        <w:t>(ii) El art. 57.1 y 2 EAC, que establece el aforamiento parlamentario de los diputados autonómicos:</w:t>
      </w:r>
    </w:p>
    <w:p w:rsidR="005728DD" w:rsidRDefault="005728DD" w:rsidP="005728DD">
      <w:pPr>
        <w:pStyle w:val="TextoNormal"/>
      </w:pPr>
    </w:p>
    <w:p w:rsidR="005728DD" w:rsidRDefault="005728DD" w:rsidP="005728DD">
      <w:pPr>
        <w:pStyle w:val="TextoNormal"/>
      </w:pPr>
      <w:r>
        <w:t>“1. Los miembros del Parlamento son inviolables por los votos y las opiniones que emitan en el ejercicio de su cargo. Durante su mandato tendrán inmunidad a los efectos concretos de no poder ser detenidos salvo en caso de flagrante delito</w:t>
      </w:r>
    </w:p>
    <w:p w:rsidR="005728DD" w:rsidRDefault="005728DD" w:rsidP="005728DD">
      <w:pPr>
        <w:pStyle w:val="TextoNormal"/>
      </w:pPr>
    </w:p>
    <w:p w:rsidR="005728DD" w:rsidRDefault="005728DD" w:rsidP="005728DD">
      <w:pPr>
        <w:pStyle w:val="TextoNormal"/>
      </w:pPr>
      <w:r>
        <w:t>2. En las causas contra los diputados, es competente el Tribunal Superior de Justicia de Cataluña. Fuera del territorio de Cataluña la responsabilidad penal es exigible en los mismos términos ante la Sala de lo Penal del Tribunal Supremo”.</w:t>
      </w:r>
    </w:p>
    <w:p w:rsidR="005728DD" w:rsidRDefault="005728DD" w:rsidP="005728DD">
      <w:pPr>
        <w:pStyle w:val="TextoNormal"/>
      </w:pPr>
    </w:p>
    <w:p w:rsidR="005728DD" w:rsidRDefault="005728DD" w:rsidP="005728DD">
      <w:pPr>
        <w:pStyle w:val="TextoNormal"/>
      </w:pPr>
      <w:r>
        <w:t>(iii) El artículo 17.1 y 2 LECrim, que, al regular el enjuiciamiento de delitos conexos, señala:</w:t>
      </w:r>
    </w:p>
    <w:p w:rsidR="005728DD" w:rsidRDefault="005728DD" w:rsidP="005728DD">
      <w:pPr>
        <w:pStyle w:val="TextoNormal"/>
      </w:pPr>
    </w:p>
    <w:p w:rsidR="005728DD" w:rsidRDefault="005728DD" w:rsidP="005728DD">
      <w:pPr>
        <w:pStyle w:val="TextoNormal"/>
      </w:pPr>
      <w:r>
        <w:t>“1. Cada delito dará lugar a la formación de una única causa.</w:t>
      </w:r>
    </w:p>
    <w:p w:rsidR="005728DD" w:rsidRDefault="005728DD" w:rsidP="005728DD">
      <w:pPr>
        <w:pStyle w:val="TextoNormal"/>
      </w:pPr>
    </w:p>
    <w:p w:rsidR="005728DD" w:rsidRDefault="005728DD" w:rsidP="005728DD">
      <w:pPr>
        <w:pStyle w:val="TextoNormal"/>
      </w:pPr>
      <w:r>
        <w:t>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5728DD" w:rsidRDefault="005728DD" w:rsidP="005728DD">
      <w:pPr>
        <w:pStyle w:val="TextoNormal"/>
      </w:pPr>
    </w:p>
    <w:p w:rsidR="005728DD" w:rsidRDefault="005728DD" w:rsidP="005728DD">
      <w:pPr>
        <w:pStyle w:val="TextoNormal"/>
      </w:pPr>
      <w:r>
        <w:t>2. A los efectos de la atribución de jurisdicción y de la distribución de la competencia se consideran delitos conexos:</w:t>
      </w:r>
    </w:p>
    <w:p w:rsidR="005728DD" w:rsidRDefault="005728DD" w:rsidP="005728DD">
      <w:pPr>
        <w:pStyle w:val="TextoNormal"/>
      </w:pPr>
    </w:p>
    <w:p w:rsidR="005728DD" w:rsidRDefault="005728DD" w:rsidP="005728DD">
      <w:pPr>
        <w:pStyle w:val="TextoNormal"/>
      </w:pPr>
      <w:r>
        <w:t>1º Los cometidos por dos o más personas reunidas.</w:t>
      </w:r>
    </w:p>
    <w:p w:rsidR="005728DD" w:rsidRDefault="005728DD" w:rsidP="005728DD">
      <w:pPr>
        <w:pStyle w:val="TextoNormal"/>
      </w:pPr>
    </w:p>
    <w:p w:rsidR="005728DD" w:rsidRDefault="005728DD" w:rsidP="005728DD">
      <w:pPr>
        <w:pStyle w:val="TextoNormal"/>
      </w:pPr>
      <w:r>
        <w:t>2º Los cometidos por dos o más personas en distintos lugares o tiempos si hubiera precedido concierto para ello.</w:t>
      </w:r>
    </w:p>
    <w:p w:rsidR="005728DD" w:rsidRDefault="005728DD" w:rsidP="005728DD">
      <w:pPr>
        <w:pStyle w:val="TextoNormal"/>
      </w:pPr>
    </w:p>
    <w:p w:rsidR="005728DD" w:rsidRDefault="005728DD" w:rsidP="005728DD">
      <w:pPr>
        <w:pStyle w:val="TextoNormal"/>
      </w:pPr>
      <w:r>
        <w:t>3º Los cometidos como medio para perpetrar otros o facilitar su ejecución.</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(iv) El artículo 272, párrafos segundo y tercero LECrim, según el cual:</w:t>
      </w:r>
    </w:p>
    <w:p w:rsidR="005728DD" w:rsidRDefault="005728DD" w:rsidP="005728DD">
      <w:pPr>
        <w:pStyle w:val="TextoNormal"/>
      </w:pPr>
    </w:p>
    <w:p w:rsidR="005728DD" w:rsidRDefault="005728DD" w:rsidP="005728DD">
      <w:pPr>
        <w:pStyle w:val="TextoNormal"/>
      </w:pPr>
      <w:r>
        <w:t>“Si el querellado estuviere sometido, por disposición especial de la ley a determinado tribunal, ante este se interpondrá la querella.</w:t>
      </w:r>
    </w:p>
    <w:p w:rsidR="005728DD" w:rsidRDefault="005728DD" w:rsidP="005728DD">
      <w:pPr>
        <w:pStyle w:val="TextoNormal"/>
      </w:pPr>
    </w:p>
    <w:p w:rsidR="005728DD" w:rsidRDefault="005728DD" w:rsidP="005728DD">
      <w:pPr>
        <w:pStyle w:val="TextoNormal"/>
      </w:pPr>
      <w:r>
        <w:t>Lo mismo se hará cuando fueren varios los querellados por un mismo delito o por dos o más conexos y alguno de aquellos estuviere sometido excepcionalmente a un tribunal que no fuere el llamado a conocer, por regla general, del delito”.</w:t>
      </w:r>
    </w:p>
    <w:p w:rsidR="005728DD" w:rsidRDefault="005728DD" w:rsidP="005728DD">
      <w:pPr>
        <w:pStyle w:val="TextoNormal"/>
      </w:pPr>
    </w:p>
    <w:p w:rsidR="005728DD" w:rsidRDefault="005728DD" w:rsidP="005728DD">
      <w:pPr>
        <w:pStyle w:val="TextoNormal"/>
      </w:pPr>
      <w:r>
        <w:t>3.2.2. De las decisiones adoptadas a lo largo de la causa se deriva que han sido tres los criterios concurrentes tomados en consideración por la Sala de lo Penal del Tribunal Supremo para afirmar su competencia objetiva:</w:t>
      </w:r>
    </w:p>
    <w:p w:rsidR="005728DD" w:rsidRDefault="005728DD" w:rsidP="005728DD">
      <w:pPr>
        <w:pStyle w:val="TextoNormal"/>
      </w:pPr>
    </w:p>
    <w:p w:rsidR="005728DD" w:rsidRDefault="005728DD" w:rsidP="005728DD">
      <w:pPr>
        <w:pStyle w:val="TextoNormal"/>
      </w:pPr>
      <w:r>
        <w:t>(i) La prerrogativa de aforamiento especial parlamentario: desde su inicio y durante todo el desarrollo de la causa, una o varias de las personas a las que se refería la querella, después sometidas a investigación, procesadas o finalmente acusadas, mantenían la condición de diputados del Parlamento de Cataluña.</w:t>
      </w:r>
    </w:p>
    <w:p w:rsidR="005728DD" w:rsidRDefault="005728DD" w:rsidP="005728DD">
      <w:pPr>
        <w:pStyle w:val="TextoNormal"/>
      </w:pPr>
    </w:p>
    <w:p w:rsidR="005728DD" w:rsidRDefault="005728DD" w:rsidP="005728DD">
      <w:pPr>
        <w:pStyle w:val="TextoNormal"/>
      </w:pPr>
      <w:r>
        <w:t xml:space="preserve">En el momento de ejercer la acción penal,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ya las causas por conexidad, otras personas coencausadas —entre ellas, el recurrente— fueron elegidas para integrar el parlamento constituido tras las elecciones autonómicas celebradas el 21 de diciembre de 2017. E iniciado ya el juicio oral ante la Sala de lo Penal del Tribunal Supremo en febrero de 2019, tras las elecciones generales celebradas el 28 de abril de 2019, el recurrente y otros acusados </w:t>
      </w:r>
      <w:r>
        <w:lastRenderedPageBreak/>
        <w:t>pasaron a integrarse en las Cortes Generales como diputados y, en el caso del señor Romeva, como senador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005728DD" w:rsidRDefault="005728DD" w:rsidP="005728DD">
      <w:pPr>
        <w:pStyle w:val="TextoNormal"/>
      </w:pPr>
    </w:p>
    <w:p w:rsidR="005728DD" w:rsidRDefault="005728DD" w:rsidP="005728DD">
      <w:pPr>
        <w:pStyle w:val="TextoNormal"/>
      </w:pPr>
      <w:r>
        <w:t>(ii) La ubicación geográfica de los hechos imputados: como veremos a continuación, el relato fáctico que dio sustento a la querella inicial y a los escritos de acusación formulados afirmaba, en cada caso, la realización de algunos hechos típicos fuera del territorio de la comunidad autónoma catalana (art. 57.2 EAC).</w:t>
      </w:r>
    </w:p>
    <w:p w:rsidR="005728DD" w:rsidRDefault="005728DD" w:rsidP="005728DD">
      <w:pPr>
        <w:pStyle w:val="TextoNormal"/>
      </w:pPr>
    </w:p>
    <w:p w:rsidR="005728DD" w:rsidRDefault="005728DD" w:rsidP="005728DD">
      <w:pPr>
        <w:pStyle w:val="TextoNormal"/>
      </w:pPr>
      <w:r>
        <w:t>(iii) La apreciación de conexidad procesal entre los delitos investigados en las diversas causas acumuladas: la Sala de lo Penal del Tribunal Supremo consideró que los hechos investigados en las actuaciones penales dirigidas contra varios acusados no aforados eran plenamente coincidentes con los de aquellas otras causas que se seguían contra los que sí tenían reconocida la prerrogativa parlamentaria de aforamiento ante la Sala Penal del Tribunal Supremo (arts. 17.1 y 2, y 272 LECrim), de manera que los delitos a que se referían eran procesalmente conexos.</w:t>
      </w:r>
    </w:p>
    <w:p w:rsidR="005728DD" w:rsidRDefault="005728DD" w:rsidP="005728DD">
      <w:pPr>
        <w:pStyle w:val="TextoNormal"/>
      </w:pPr>
    </w:p>
    <w:p w:rsidR="005728DD" w:rsidRDefault="005728DD" w:rsidP="005728DD">
      <w:pPr>
        <w:pStyle w:val="TextoNormal"/>
      </w:pPr>
      <w:r>
        <w:t>Así se describe en las diversas resoluciones que, sobre la propia competencia, han sido dictadas en el desarrollo de la causa. Son paradigmáticos en este sentido el auto de 31 de octubre de 2017 (ratificado en súplica) por el que la querella fue admitida a trámite, y el auto de 27 de diciembre de 2018 por el que la sala de enjuiciamiento desestimó las peticiones de declinatoria de jurisdicción planteadas como artículo de previo pronunciamiento por los acusados (art. 666.1 LECrim).</w:t>
      </w:r>
    </w:p>
    <w:p w:rsidR="005728DD" w:rsidRDefault="005728DD" w:rsidP="005728DD">
      <w:pPr>
        <w:pStyle w:val="TextoNormal"/>
      </w:pPr>
    </w:p>
    <w:p w:rsidR="005728DD" w:rsidRDefault="005728DD" w:rsidP="005728DD">
      <w:pPr>
        <w:pStyle w:val="TextoNormal"/>
      </w:pPr>
      <w:r>
        <w:t>3.2.2.1.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005728DD" w:rsidRDefault="005728DD" w:rsidP="005728DD">
      <w:pPr>
        <w:pStyle w:val="TextoNormal"/>
      </w:pPr>
    </w:p>
    <w:p w:rsidR="005728DD" w:rsidRDefault="005728DD" w:rsidP="005728DD">
      <w:pPr>
        <w:pStyle w:val="TextoNormal"/>
      </w:pPr>
      <w:r>
        <w:t>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005728DD" w:rsidRDefault="005728DD" w:rsidP="005728DD">
      <w:pPr>
        <w:pStyle w:val="TextoNormal"/>
      </w:pPr>
    </w:p>
    <w:p w:rsidR="005728DD" w:rsidRDefault="005728DD" w:rsidP="005728DD">
      <w:pPr>
        <w:pStyle w:val="TextoNormal"/>
      </w:pPr>
      <w:r>
        <w:t xml:space="preserve">Para determinar esta última circunstancia, sin afirmar su realidad o la existencia de indicios que la avalen, la Sala atiende al relato de hechos supuestamente delictivos que se afirman en la querella. Y en su examen constata que, en el apartado 29 de los hechos, descritos </w:t>
      </w:r>
      <w:r>
        <w:lastRenderedPageBreak/>
        <w:t>bajo el enunciado “Aspectos internacionales de la declaración de independencia de Cataluña”, el Ministerio Fiscal sitúa la ejecución de parte de los hechos imputados fuera del territorio de la comunidad autónoma catalana.</w:t>
      </w:r>
    </w:p>
    <w:p w:rsidR="005728DD" w:rsidRDefault="005728DD" w:rsidP="005728DD">
      <w:pPr>
        <w:pStyle w:val="TextoNormal"/>
      </w:pPr>
    </w:p>
    <w:p w:rsidR="005728DD" w:rsidRDefault="005728DD" w:rsidP="005728DD">
      <w:pPr>
        <w:pStyle w:val="TextoNormal"/>
      </w:pPr>
      <w:r>
        <w:t xml:space="preserve">Así, en la querella afirma el fiscal que, en su fase preparatoria, el Gobierno de la Generalitat, decidido a promover y celebrar unilateralmente una consulta a modo de referéndum,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w:t>
      </w:r>
      <w:r w:rsidRPr="005728DD">
        <w:rPr>
          <w:i/>
        </w:rPr>
        <w:t>lobby</w:t>
      </w:r>
      <w:r>
        <w:t xml:space="preserve"> internacional realizando actividades de difusión de la pretensión de independencia (foros, visitas organizadas, información en Internet, formación de activistas como observadores en procesos electorales o diversos contratos con organizaciones de los países donde radican las sedes en el exterior para promover y favorecer la pretensión de independencia). Entre los hechos realizados en el exterior, se incluyen en la querella las páginas web internacionales creadas desde el Gobierno de la Generalitat para informar y facilitar la participación en la consulta ilegal promovida y los sitios web que, tras ser clausurados judicialmente algunos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decidieron votar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005728DD" w:rsidRDefault="005728DD" w:rsidP="005728DD">
      <w:pPr>
        <w:pStyle w:val="TextoNormal"/>
      </w:pPr>
    </w:p>
    <w:p w:rsidR="005728DD" w:rsidRDefault="005728DD" w:rsidP="005728DD">
      <w:pPr>
        <w:pStyle w:val="TextoNormal"/>
      </w:pPr>
      <w:r>
        <w:t>Considera el fiscal que la celebración de una consulta, a modo de referéndum, constituía el elemento central del delito de rebelión imputado a las personas querelladas. A partir de esta constatación, la Sala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005728DD" w:rsidRDefault="005728DD" w:rsidP="005728DD">
      <w:pPr>
        <w:pStyle w:val="TextoNormal"/>
      </w:pPr>
    </w:p>
    <w:p w:rsidR="005728DD" w:rsidRDefault="005728DD" w:rsidP="005728DD">
      <w:pPr>
        <w:pStyle w:val="TextoNormal"/>
      </w:pPr>
      <w:r>
        <w:t xml:space="preserve">Concluye la resolución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w:t>
      </w:r>
      <w:r>
        <w:lastRenderedPageBreak/>
        <w:t>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005728DD" w:rsidRDefault="005728DD" w:rsidP="005728DD">
      <w:pPr>
        <w:pStyle w:val="TextoNormal"/>
      </w:pPr>
    </w:p>
    <w:p w:rsidR="005728DD" w:rsidRDefault="005728DD" w:rsidP="005728DD">
      <w:pPr>
        <w:pStyle w:val="TextoNormal"/>
      </w:pPr>
      <w:r>
        <w:t>Respecto de la decisión de asumir la competencia objetiva para la investigación de los hechos objeto de querella indica,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5728DD" w:rsidRDefault="005728DD" w:rsidP="005728DD">
      <w:pPr>
        <w:pStyle w:val="TextoNormal"/>
      </w:pPr>
    </w:p>
    <w:p w:rsidR="005728DD" w:rsidRDefault="005728DD" w:rsidP="005728DD">
      <w:pPr>
        <w:pStyle w:val="TextoNormal"/>
      </w:pPr>
      <w:r>
        <w:t>3.2.2.2. Siguiendo este último criterio de conexidad procesal entre los delitos investigados, el magistrado instructor acordó la extensión subjetiva del ámbito de investigación a otras personas, entonces no aforadas. Concretamente, a los presidentes de las asociaciones Òmnium Cultural y Asamblea Nacional Catalana. También lo hizo a quienes habían sido miembros del Gobierno de la Generalitat de Cataluña en la legislatura anterior, ya disuelta; entre ellos al demandante que, en enero de 2016, fue designado consejero de Territorio y Sostenibilidad del Gobierno de la Generalitat (auto de 24 de noviembre de 2017). Poco tiempo después, por medio de auto de 22 de diciembre de 2017, la investigación se amplió “a los presidentes y portavoces de los grupos parlamentarios independentistas del disuelto Parlamento de Cataluña”.</w:t>
      </w:r>
    </w:p>
    <w:p w:rsidR="005728DD" w:rsidRDefault="005728DD" w:rsidP="005728DD">
      <w:pPr>
        <w:pStyle w:val="TextoNormal"/>
      </w:pPr>
    </w:p>
    <w:p w:rsidR="005728DD" w:rsidRDefault="005728DD" w:rsidP="005728DD">
      <w:pPr>
        <w:pStyle w:val="TextoNormal"/>
      </w:pPr>
      <w:r>
        <w:t>La extensión de la competencia del Tribunal Supremo a los nuevos investigados no aforados se justificó valorando que existía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Valoró también que los hechos atribuidos a las personas no aforadas mantenían una conexión material inescindible con la conducta imputada a las personas cuyo estatus parlamentario les reconocía aforamiento (art. 57.2 EAC). Añadió asimismo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5728DD" w:rsidRDefault="005728DD" w:rsidP="005728DD">
      <w:pPr>
        <w:pStyle w:val="TextoNormal"/>
      </w:pPr>
    </w:p>
    <w:p w:rsidR="005728DD" w:rsidRDefault="005728DD" w:rsidP="005728DD">
      <w:pPr>
        <w:pStyle w:val="TextoNormal"/>
      </w:pPr>
      <w:r>
        <w:t xml:space="preserve">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w:t>
      </w:r>
      <w:r>
        <w:lastRenderedPageBreak/>
        <w:t>cuadro de intenciones que les inspiraba. Una agrupación procesal que afecta necesariamente a la competencia y que viene expresamente prevista en nuestro ordenamiento jurídico en el artículo 272 de la LECrim”.</w:t>
      </w:r>
    </w:p>
    <w:p w:rsidR="005728DD" w:rsidRDefault="005728DD" w:rsidP="005728DD">
      <w:pPr>
        <w:pStyle w:val="TextoNormal"/>
      </w:pPr>
    </w:p>
    <w:p w:rsidR="005728DD" w:rsidRDefault="005728DD" w:rsidP="005728DD">
      <w:pPr>
        <w:pStyle w:val="TextoNormal"/>
      </w:pPr>
      <w:r>
        <w:t>3.2.2.3. A su vez, mediante auto de 27 de diciembre de 2018, una vez ratificada la conclusión del sumario, declarada la apertura del juicio oral y formulados los escritos de acusación, al desestimar las diversas peticiones de declinatoria de jurisdicción planteadas por las defensas, la sala de enjuiciamiento se remitió a los criterios expuestos en los anteriores pronunciamientos dictados en la fase de instrucción, aplicándolos ahora a los hechos imputados en los escritos de calificación provisional.</w:t>
      </w:r>
    </w:p>
    <w:p w:rsidR="005728DD" w:rsidRDefault="005728DD" w:rsidP="005728DD">
      <w:pPr>
        <w:pStyle w:val="TextoNormal"/>
      </w:pPr>
    </w:p>
    <w:p w:rsidR="005728DD" w:rsidRDefault="005728DD" w:rsidP="005728DD">
      <w:pPr>
        <w:pStyle w:val="TextoNormal"/>
      </w:pPr>
      <w:r>
        <w:t>De nuevo, como presupuesto metodológico, destacó la Sala que aquellas decisiones se adoptaron a partir de los elementos fácticos que sirvieron de soporte al Ministerio Fiscal para justificar el ejercicio de la acción penal. Añadió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005728DD" w:rsidRDefault="005728DD" w:rsidP="005728DD">
      <w:pPr>
        <w:pStyle w:val="TextoNormal"/>
      </w:pPr>
    </w:p>
    <w:p w:rsidR="005728DD" w:rsidRDefault="005728DD" w:rsidP="005728DD">
      <w:pPr>
        <w:pStyle w:val="TextoNormal"/>
      </w:pPr>
      <w:r>
        <w:t>En tal medida, la Sala constata en su resolución que tanto la acusación del Ministerio Fiscal y de la acción popular por delito de rebelión, como el relato fáctico sobre el que se construye la acusación por el delito de malversación de caudales públicos (que también se imputó al demandante), incorpora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005728DD" w:rsidRDefault="005728DD" w:rsidP="005728DD">
      <w:pPr>
        <w:pStyle w:val="TextoNormal"/>
      </w:pPr>
    </w:p>
    <w:p w:rsidR="005728DD" w:rsidRDefault="005728DD" w:rsidP="005728DD">
      <w:pPr>
        <w:pStyle w:val="TextoNormal"/>
      </w:pPr>
      <w:r>
        <w:t xml:space="preserve">Sucintamente expuestos, tal y como se recogen en los escritos de calificación, los hechos objeto de acusación realizados fuera de Cataluña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w:t>
      </w:r>
      <w:r>
        <w:lastRenderedPageBreak/>
        <w:t>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añade asimismo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005728DD" w:rsidRDefault="005728DD" w:rsidP="005728DD">
      <w:pPr>
        <w:pStyle w:val="TextoNormal"/>
      </w:pPr>
    </w:p>
    <w:p w:rsidR="005728DD" w:rsidRDefault="005728DD" w:rsidP="005728DD">
      <w:pPr>
        <w:pStyle w:val="TextoNormal"/>
      </w:pPr>
      <w:r>
        <w:t>La Sala concluyó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la denominada “doctrina de la ubicuidad”, según la cual el delito se comete en cualquiera de los territorios donde se realizan algunos de los elementos del tipo objetivo y subjetivo del delito,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005728DD" w:rsidRDefault="005728DD" w:rsidP="005728DD">
      <w:pPr>
        <w:pStyle w:val="TextoNormal"/>
      </w:pPr>
    </w:p>
    <w:p w:rsidR="005728DD" w:rsidRDefault="005728DD" w:rsidP="005728DD">
      <w:pPr>
        <w:pStyle w:val="TextoNormal"/>
      </w:pPr>
      <w:r>
        <w:t>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 Y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su criterio razonado de decisión no queda vinculado por los que hayan utilizado otros órganos judiciales al abordar las causas que a ellos se les han planteado.</w:t>
      </w:r>
    </w:p>
    <w:p w:rsidR="005728DD" w:rsidRDefault="005728DD" w:rsidP="005728DD">
      <w:pPr>
        <w:pStyle w:val="TextoNormal"/>
      </w:pPr>
    </w:p>
    <w:p w:rsidR="005728DD" w:rsidRDefault="005728DD" w:rsidP="005728DD">
      <w:pPr>
        <w:pStyle w:val="TextoNormal"/>
      </w:pPr>
      <w:r>
        <w:lastRenderedPageBreak/>
        <w:t>Por último, atendiendo objetivamente a la naturaleza y estructura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005728DD" w:rsidRDefault="005728DD" w:rsidP="005728DD">
      <w:pPr>
        <w:pStyle w:val="TextoNormal"/>
      </w:pPr>
    </w:p>
    <w:p w:rsidR="005728DD" w:rsidRDefault="005728DD" w:rsidP="005728DD">
      <w:pPr>
        <w:pStyle w:val="TextoNormal"/>
      </w:pPr>
      <w:r>
        <w:t>3.2.2.4. Estos mismos criterios fueron expuestos en la sentencia condenatoria al justificar la desestimación de las cuestiones previas planteadas por los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w:t>
      </w:r>
    </w:p>
    <w:p w:rsidR="005728DD" w:rsidRDefault="005728DD" w:rsidP="005728DD">
      <w:pPr>
        <w:pStyle w:val="TextoNormal"/>
      </w:pPr>
    </w:p>
    <w:p w:rsidR="005728DD" w:rsidRDefault="005728DD" w:rsidP="005728DD">
      <w:pPr>
        <w:pStyle w:val="TextoNormal"/>
      </w:pPr>
      <w:r>
        <w:t>3.3</w:t>
      </w:r>
      <w:r w:rsidRPr="005728DD">
        <w:rPr>
          <w:i/>
        </w:rPr>
        <w:t>. Doctrina jurisprudenci</w:t>
      </w:r>
      <w:r>
        <w:t>al.</w:t>
      </w:r>
    </w:p>
    <w:p w:rsidR="005728DD" w:rsidRDefault="005728DD" w:rsidP="005728DD">
      <w:pPr>
        <w:pStyle w:val="TextoNormal"/>
      </w:pPr>
    </w:p>
    <w:p w:rsidR="005728DD" w:rsidRDefault="005728DD" w:rsidP="005728DD">
      <w:pPr>
        <w:pStyle w:val="TextoNormal"/>
      </w:pPr>
      <w:r>
        <w:t>La cuestión planteada es sustancialmente idéntica a la analizada por el Pleno en la reciente STC 34/2021, de 17 de febrero, relativa a otra acusada que ha sido condenada en la misma causa penal; en tal medida, la doctrina constitucional, que a continuación se resume es en todo coincidente con la expuesta al fundamentar dicha resolución.</w:t>
      </w:r>
    </w:p>
    <w:p w:rsidR="005728DD" w:rsidRDefault="005728DD" w:rsidP="005728DD">
      <w:pPr>
        <w:pStyle w:val="TextoNormal"/>
      </w:pPr>
    </w:p>
    <w:p w:rsidR="005728DD" w:rsidRDefault="005728DD" w:rsidP="005728DD">
      <w:pPr>
        <w:pStyle w:val="TextoNormal"/>
      </w:pPr>
      <w:r>
        <w:t>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005728DD" w:rsidRDefault="005728DD" w:rsidP="005728DD">
      <w:pPr>
        <w:pStyle w:val="TextoNormal"/>
      </w:pPr>
    </w:p>
    <w:p w:rsidR="005728DD" w:rsidRDefault="005728DD" w:rsidP="005728DD">
      <w:pPr>
        <w:pStyle w:val="TextoNormal"/>
      </w:pPr>
      <w: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así la inexistencia de jueces </w:t>
      </w:r>
      <w:r w:rsidRPr="005728DD">
        <w:rPr>
          <w:i/>
        </w:rPr>
        <w:t>ad hoc</w:t>
      </w:r>
      <w:r>
        <w:t>; la anterioridad de tales criterios al caso a enjuiciar garantiza que una vez determinado en concreto el juez de un caso en virtud de la aplicación de las reglas competenciales estable</w:t>
      </w:r>
      <w:r>
        <w:lastRenderedPageBreak/>
        <w:t>cidas en las leyes, no podrá ser desposeído de su conocimiento en virtud de decisiones tomadas por órganos gubernativos (SSTC 101/1984, de 8 de noviembre, FJ 4, y 199/1987, de 16 de diciembre, FJ 8).</w:t>
      </w:r>
    </w:p>
    <w:p w:rsidR="005728DD" w:rsidRDefault="005728DD" w:rsidP="005728DD">
      <w:pPr>
        <w:pStyle w:val="TextoNormal"/>
      </w:pPr>
    </w:p>
    <w:p w:rsidR="005728DD" w:rsidRDefault="005728DD" w:rsidP="005728DD">
      <w:pPr>
        <w:pStyle w:val="TextoNormal"/>
      </w:pPr>
      <w:r>
        <w:t>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005728DD" w:rsidRDefault="005728DD" w:rsidP="005728DD">
      <w:pPr>
        <w:pStyle w:val="TextoNormal"/>
      </w:pPr>
    </w:p>
    <w:p w:rsidR="005728DD" w:rsidRDefault="005728DD" w:rsidP="005728DD">
      <w:pPr>
        <w:pStyle w:val="TextoNormal"/>
      </w:pPr>
      <w:r>
        <w:t>A través de ambas exigencias, que son fuente objetiva de legitimación de la función judicial, se trata de garantizar la independencia e imparcialidad de los órganos judiciales, lo que, como analizaremos más adelante, constituye el interés directo protegido por el derecho al juez ordinario legalmente predeterminado, proclamado también expresamente, aunque con distinta dicción, en el art. 14.1 del Pacto internacional de derechos civiles y políticos y en el art. 6.1 del Convenio europeo para la protección de los derechos humanos y de las libertades fundamentales.</w:t>
      </w:r>
    </w:p>
    <w:p w:rsidR="005728DD" w:rsidRDefault="005728DD" w:rsidP="005728DD">
      <w:pPr>
        <w:pStyle w:val="TextoNormal"/>
      </w:pPr>
    </w:p>
    <w:p w:rsidR="005728DD" w:rsidRDefault="005728DD" w:rsidP="005728DD">
      <w:pPr>
        <w:pStyle w:val="TextoNormal"/>
      </w:pPr>
      <w:r>
        <w:t>Dados los términos del debate que se plantea en la demanda, en tanto se cuestiona únicamente la competencia de la Sala de lo Penal del Tribunal Supremo para la investigación y enjuiciamiento de los hechos atribuidos, entre otros, al demandante,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 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de 22 de marzo, FJ 2, y 93/1988, antes citada).</w:t>
      </w:r>
    </w:p>
    <w:p w:rsidR="005728DD" w:rsidRDefault="005728DD" w:rsidP="005728DD">
      <w:pPr>
        <w:pStyle w:val="TextoNormal"/>
      </w:pPr>
    </w:p>
    <w:p w:rsidR="005728DD" w:rsidRDefault="005728DD" w:rsidP="005728DD">
      <w:pPr>
        <w:pStyle w:val="TextoNormal"/>
      </w:pPr>
      <w:r>
        <w:t>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CE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005728DD" w:rsidRDefault="005728DD" w:rsidP="005728DD">
      <w:pPr>
        <w:pStyle w:val="TextoNormal"/>
      </w:pPr>
    </w:p>
    <w:p w:rsidR="005728DD" w:rsidRDefault="005728DD" w:rsidP="005728DD">
      <w:pPr>
        <w:pStyle w:val="TextoNormal"/>
      </w:pPr>
      <w:r>
        <w:lastRenderedPageBreak/>
        <w:t>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005728DD" w:rsidRDefault="005728DD" w:rsidP="005728DD">
      <w:pPr>
        <w:pStyle w:val="TextoNormal"/>
      </w:pPr>
    </w:p>
    <w:p w:rsidR="005728DD" w:rsidRDefault="005728DD" w:rsidP="005728DD">
      <w:pPr>
        <w:pStyle w:val="TextoNormal"/>
      </w:pPr>
      <w:r>
        <w:t>b) Dado que forman parte de una cultura europea común, los criterios que definen la doctrina de este tribunal sobre la necesidad de predeterminación legal de los órganos judiciales, de quienes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005728DD" w:rsidRDefault="005728DD" w:rsidP="005728DD">
      <w:pPr>
        <w:pStyle w:val="TextoNormal"/>
      </w:pPr>
    </w:p>
    <w:p w:rsidR="005728DD" w:rsidRDefault="005728DD" w:rsidP="005728DD">
      <w:pPr>
        <w:pStyle w:val="TextoNormal"/>
      </w:pPr>
      <w:r>
        <w:t xml:space="preserve">De acuerdo con lo previsto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determinado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w:t>
      </w:r>
      <w:r w:rsidRPr="005728DD">
        <w:rPr>
          <w:i/>
        </w:rPr>
        <w:t>Bulut c. Austria</w:t>
      </w:r>
      <w:r>
        <w:t>, § 29; de 22 de junio de 2000, asunt</w:t>
      </w:r>
      <w:r w:rsidRPr="005728DD">
        <w:rPr>
          <w:i/>
        </w:rPr>
        <w:t>o Coëme y otros c. Bélgi</w:t>
      </w:r>
      <w:r>
        <w:t>ca, y de 28 de noviembre de 2002, asunt</w:t>
      </w:r>
      <w:r w:rsidRPr="005728DD">
        <w:rPr>
          <w:i/>
        </w:rPr>
        <w:t>o Lavents c. Leton</w:t>
      </w:r>
      <w:r>
        <w:t>ia).</w:t>
      </w:r>
    </w:p>
    <w:p w:rsidR="005728DD" w:rsidRDefault="005728DD" w:rsidP="005728DD">
      <w:pPr>
        <w:pStyle w:val="TextoNormal"/>
      </w:pPr>
    </w:p>
    <w:p w:rsidR="005728DD" w:rsidRDefault="005728DD" w:rsidP="005728DD">
      <w:pPr>
        <w:pStyle w:val="TextoNormal"/>
      </w:pPr>
      <w:r>
        <w:t xml:space="preserve">En otros pronunciamientos (sentencia de 5 de octubre de 2010, asunto </w:t>
      </w:r>
      <w:r w:rsidRPr="005728DD">
        <w:rPr>
          <w:i/>
        </w:rPr>
        <w:t>DMD GROUP, A.S. c. Eslovaquia</w:t>
      </w:r>
      <w:r>
        <w:t xml:space="preserve">), el tribunal ha destacado que la expresión “establecido por la ley” tiene por objeto asegurar “que la organización judicial en una sociedad democrática no dependa de la discrecionalidad del Poder Ejecutivo, sino que esté regulada por la ley emanada del Parlamento” (informe de la Comisión de 12 de octubre de 1978, asunto </w:t>
      </w:r>
      <w:r w:rsidRPr="005728DD">
        <w:rPr>
          <w:i/>
        </w:rPr>
        <w:t>Zand c. Austria</w:t>
      </w:r>
      <w:r>
        <w:t xml:space="preserve">).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(SSTEDH de 22 de junio de 2000, asunto </w:t>
      </w:r>
      <w:r w:rsidRPr="005728DD">
        <w:rPr>
          <w:i/>
        </w:rPr>
        <w:t>Coëme y otros c. Bélgica</w:t>
      </w:r>
      <w:r>
        <w:t xml:space="preserve">, antes citada, § 98, y de 28 de abril de 2009, asunto </w:t>
      </w:r>
      <w:r w:rsidRPr="005728DD">
        <w:rPr>
          <w:i/>
        </w:rPr>
        <w:t>Savino y otros c. Italia</w:t>
      </w:r>
      <w:r>
        <w:t>).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w:t>
      </w:r>
      <w:r w:rsidRPr="005728DD">
        <w:rPr>
          <w:i/>
        </w:rPr>
        <w:t>o Lavents c. Leton</w:t>
      </w:r>
      <w:r>
        <w:t>ia).</w:t>
      </w:r>
    </w:p>
    <w:p w:rsidR="005728DD" w:rsidRDefault="005728DD" w:rsidP="005728DD">
      <w:pPr>
        <w:pStyle w:val="TextoNormal"/>
      </w:pPr>
    </w:p>
    <w:p w:rsidR="005728DD" w:rsidRDefault="005728DD" w:rsidP="005728DD">
      <w:pPr>
        <w:pStyle w:val="TextoNormal"/>
      </w:pPr>
      <w:r>
        <w:t>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w:t>
      </w:r>
      <w:r w:rsidRPr="005728DD">
        <w:rPr>
          <w:i/>
        </w:rPr>
        <w:t>o Jorgic c. Aleman</w:t>
      </w:r>
      <w:r>
        <w:t>ia, § 64 a 72; referida al enjuiciamiento por actos de genocidio cometidos fuera de Alemania).</w:t>
      </w:r>
    </w:p>
    <w:p w:rsidR="005728DD" w:rsidRDefault="005728DD" w:rsidP="005728DD">
      <w:pPr>
        <w:pStyle w:val="TextoNormal"/>
      </w:pPr>
    </w:p>
    <w:p w:rsidR="005728DD" w:rsidRDefault="005728DD" w:rsidP="005728DD">
      <w:pPr>
        <w:pStyle w:val="TextoNormal"/>
      </w:pPr>
      <w:r>
        <w:t>3.4</w:t>
      </w:r>
      <w:r w:rsidRPr="005728DD">
        <w:rPr>
          <w:i/>
        </w:rPr>
        <w:t>. Resolución de la que</w:t>
      </w:r>
      <w:r>
        <w:t>ja.</w:t>
      </w:r>
    </w:p>
    <w:p w:rsidR="005728DD" w:rsidRDefault="005728DD" w:rsidP="005728DD">
      <w:pPr>
        <w:pStyle w:val="TextoNormal"/>
      </w:pPr>
    </w:p>
    <w:p w:rsidR="005728DD" w:rsidRDefault="005728DD" w:rsidP="005728DD">
      <w:pPr>
        <w:pStyle w:val="TextoNormal"/>
      </w:pPr>
      <w:r>
        <w:t>3.4.1. El análisis de la queja planteada por el demandante, que fue acusado por delitos de rebelión, sedición, malversación de caudales públicos y organización criminal, pero condenado exclusivamente por un delito de sedición en concurso medial con otro de malversación de caudales públicos, exige poner de relieve dos momentos diferenciados en el desarrollo de la causa, ambos relacionados con la adquisición por el demandante de la condición de diputado autonómico catalán en las elecciones del 21 de diciembre de 2017:</w:t>
      </w:r>
    </w:p>
    <w:p w:rsidR="005728DD" w:rsidRDefault="005728DD" w:rsidP="005728DD">
      <w:pPr>
        <w:pStyle w:val="TextoNormal"/>
      </w:pPr>
    </w:p>
    <w:p w:rsidR="005728DD" w:rsidRDefault="005728DD" w:rsidP="005728DD">
      <w:pPr>
        <w:pStyle w:val="TextoNormal"/>
      </w:pPr>
      <w:r>
        <w:t>(i) En un primer momento procesal, el señor Rull i Andreu no tenía la condición de aforado. No la tenía cuando, el 30 de octubre de 2017, fue incluido en la querella presentada por el fiscal general del Estado como supuesto autor de un delito de rebelión y, alternativamente, de sedición, ante la Audiencia Nacional (querella que fue acumulada a las diligencias previas núm. 82-2017, que ya se seguían contra otros denunciados ante el Juzgado Central de Instrucción núm. 3). Tampoco cuando, mediante auto de 24 de noviembre de 2017, el magistrado instructor de la Sala de lo Penal del Tribunal Supremo reclamó a dicho juzgado la remisión de aquellas actuaciones, para su acumulación procesal a la causa especial núm. 20907-2017, por apreciar identidad en los hechos denunciados.</w:t>
      </w:r>
    </w:p>
    <w:p w:rsidR="005728DD" w:rsidRDefault="005728DD" w:rsidP="005728DD">
      <w:pPr>
        <w:pStyle w:val="TextoNormal"/>
      </w:pPr>
    </w:p>
    <w:p w:rsidR="005728DD" w:rsidRDefault="005728DD" w:rsidP="005728DD">
      <w:pPr>
        <w:pStyle w:val="TextoNormal"/>
      </w:pPr>
      <w:r>
        <w:t xml:space="preserve">(ii) Sin embargo, pocas semanas después, desde que en el mes de enero de 2018 adquirió la condición de diputado autonómico del Parlamento de Cataluña como consecuencia de las elecciones celebradas el 21 de diciembre de 2017, el demandante mantuvo reconocido tal fuero especial (art. 57 EAC) hasta que, en mayo de 2019, iniciadas ya las sesiones del juicio oral desde febrero de 2019, adquirió la condición de diputado de las Cortes Generales, tras resultar elegido en las elecciones generales celebradas el 21 de abril de 2019. Esta última condición lleva también aparejada, </w:t>
      </w:r>
      <w:r w:rsidRPr="005728DD">
        <w:rPr>
          <w:i/>
        </w:rPr>
        <w:t>ex</w:t>
      </w:r>
      <w:r>
        <w:t xml:space="preserve"> art. 71.3 CE, la condición de aforado ante la Sala de lo Penal del Tribunal Supremo. Aunque en la sentencia condenatoria se alude adicionalmente a esta última circunstancia para rechazar la alegada vulneración del derecho al juez predeterminado por la ley, sin embargo, no fue tomada en consideración por la Sala al rechazar la declinatoria de jurisdicción pues en aquella fecha, 27 de diciembre de 2018, el demandante mantenía la condición de diputado autonómico de Cataluña.</w:t>
      </w:r>
    </w:p>
    <w:p w:rsidR="005728DD" w:rsidRDefault="005728DD" w:rsidP="005728DD">
      <w:pPr>
        <w:pStyle w:val="TextoNormal"/>
      </w:pPr>
    </w:p>
    <w:p w:rsidR="005728DD" w:rsidRDefault="005728DD" w:rsidP="005728DD">
      <w:pPr>
        <w:pStyle w:val="TextoNormal"/>
      </w:pPr>
      <w:r>
        <w:t xml:space="preserve">La secuencia temporal expuesta permite distinguir dos motivos nucleares en la queja que denuncia la vulneración del derecho al juez ordinario predeterminado por la ley. De una parte, el demandante cuestiona como arbitraria, forzada e irrazonable la interpretación de las normas procesales que llevaron al magistrado instructor a acordar la acumulación de causas por considerar coincidentes los hechos investigados en ellas y conexos los delitos que se denunciaban como cometidos. En segundo término, califica también como arbitraria la apreciación de que parte de los hechos imputados como delictivos, también incluidos en </w:t>
      </w:r>
      <w:r>
        <w:lastRenderedPageBreak/>
        <w:t>el sustrato fáctico de los escritos de acusación, hubieran tenido lugar fuera de Cataluña. En tal medida, el demandante entiende que, conforme al art. 57.2 EAC, las actuaciones penales que han dado lugar a su condena debieron seguirse ante el Tribunal Superior de Justicia de Cataluña, y no ante la Sala de lo Penal del Tribunal Supremo.</w:t>
      </w:r>
    </w:p>
    <w:p w:rsidR="005728DD" w:rsidRDefault="005728DD" w:rsidP="005728DD">
      <w:pPr>
        <w:pStyle w:val="TextoNormal"/>
      </w:pPr>
    </w:p>
    <w:p w:rsidR="005728DD" w:rsidRDefault="005728DD" w:rsidP="005728DD">
      <w:pPr>
        <w:pStyle w:val="TextoNormal"/>
      </w:pPr>
      <w:r>
        <w:t>A partir de la concreta vertiente del derecho fundamental alegado por el demandante y la doctrina jurisprudencial que sobre su contenido ha sido expuesta en el anterior subepígrafe, la cuestión que hemos de resolver se concreta en determinar si las resoluciones judiciales por las que la Sala de lo Penal del Tribunal Supremo asumió la competencia para la investigación de los hechos atribuidos en la querella, la extendió a los no aforados por razones de conexidad procesal e inescindibilidad de la causa, y después, la mantuvo para el enjuiciamiento de los hechos que dieron sustento a la pretensión acusatoria, se apoyan en razonamientos arbitrarios, irrazonables o basados en un error fáctico patente que deriva de las actuaciones. Solo en este caso presentará relieve constitucional la discrepancia expresada por el demandante, más allá de exteriorizar una diferencia razonada de criterio con la interpretación judicial de la ley procesal aplicable.</w:t>
      </w:r>
    </w:p>
    <w:p w:rsidR="005728DD" w:rsidRDefault="005728DD" w:rsidP="005728DD">
      <w:pPr>
        <w:pStyle w:val="TextoNormal"/>
      </w:pPr>
    </w:p>
    <w:p w:rsidR="005728DD" w:rsidRDefault="005728DD" w:rsidP="005728DD">
      <w:pPr>
        <w:pStyle w:val="TextoNormal"/>
      </w:pPr>
      <w:r>
        <w:t>3.4.2. Dada la delimitación progresiva de su objeto, debemos hacer una consideración previa sobre las peculiaridades que, en torno a la determinación de la competencia, presenta el desarrollo del proceso penal. En nuestro ordenamiento,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la calificación jurídica es provisional durante la fase de investigación e intermedia (SSTC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le haya sido alegado.</w:t>
      </w:r>
    </w:p>
    <w:p w:rsidR="005728DD" w:rsidRDefault="005728DD" w:rsidP="005728DD">
      <w:pPr>
        <w:pStyle w:val="TextoNormal"/>
      </w:pPr>
    </w:p>
    <w:p w:rsidR="005728DD" w:rsidRDefault="005728DD" w:rsidP="005728DD">
      <w:pPr>
        <w:pStyle w:val="TextoNormal"/>
      </w:pPr>
      <w:r>
        <w:t>Expuesto de forma sintética el desarrollo del proceso penal, resulta indiscutible que la evaluación inicial de la competencia objetiva para la investigación de la causa solo puede tener como referencia los hechos atribuidos en la querella y su calificación jurídica provisional. En aquel momento procesal (auto de admisión a trámite de la querella de 31 de octubre de 2017), salvo que se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En este caso, para determinar el órgano judicial competente para su conocimiento, dada la condición parlamentaria de varias personas querelladas, resultaban determinantes su fuero especial y el lugar de comisión de los hechos imputados, a la vista de la dicción del art. 57.2 del Estatuto catalán.</w:t>
      </w:r>
    </w:p>
    <w:p w:rsidR="005728DD" w:rsidRDefault="005728DD" w:rsidP="005728DD">
      <w:pPr>
        <w:pStyle w:val="TextoNormal"/>
      </w:pPr>
    </w:p>
    <w:p w:rsidR="005728DD" w:rsidRDefault="005728DD" w:rsidP="005728DD">
      <w:pPr>
        <w:pStyle w:val="TextoNormal"/>
      </w:pPr>
      <w:r>
        <w:t>A partir de estas consideraciones, no podemos compartir con el demandante que la asunción inicial de la competencia de investigación, en aplicación de los parámetros expuestos, se haya apoyado en valoraciones o razonamientos que puedan ser calificados como arbitrarios, manifiestamente irrazonables o fruto de un error patente que derive de las actuaciones.</w:t>
      </w:r>
    </w:p>
    <w:p w:rsidR="005728DD" w:rsidRDefault="005728DD" w:rsidP="005728DD">
      <w:pPr>
        <w:pStyle w:val="TextoNormal"/>
      </w:pPr>
    </w:p>
    <w:p w:rsidR="005728DD" w:rsidRDefault="005728DD" w:rsidP="005728DD">
      <w:pPr>
        <w:pStyle w:val="TextoNormal"/>
      </w:pPr>
      <w:r>
        <w:lastRenderedPageBreak/>
        <w:t>Los criterios jurídicos utilizados por la Sala de lo Penal del Tribunal Supremo —extensamente descritos en anteriores epígrafes— dan cuenta de la toma en consideración de los elementos nucleares de la regla de atribución de competencia: aforamiento especial parlamentario, lugar atribuido de la comisión del delito y conexidad procesal.</w:t>
      </w:r>
    </w:p>
    <w:p w:rsidR="005728DD" w:rsidRDefault="005728DD" w:rsidP="005728DD">
      <w:pPr>
        <w:pStyle w:val="TextoNormal"/>
      </w:pPr>
    </w:p>
    <w:p w:rsidR="005728DD" w:rsidRDefault="005728DD" w:rsidP="005728DD">
      <w:pPr>
        <w:pStyle w:val="TextoNormal"/>
      </w:pPr>
      <w:r>
        <w:t>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—plurisubjetivo y colectivo—, expuesto por el Ministerio Fiscal en la querella como fruto de una estrategia concertada que presenta un elemento tendencial notorio: declarar la independencia de una parte del territorio español.</w:t>
      </w:r>
    </w:p>
    <w:p w:rsidR="005728DD" w:rsidRDefault="005728DD" w:rsidP="005728DD">
      <w:pPr>
        <w:pStyle w:val="TextoNormal"/>
      </w:pPr>
    </w:p>
    <w:p w:rsidR="005728DD" w:rsidRDefault="005728DD" w:rsidP="005728DD">
      <w:pPr>
        <w:pStyle w:val="TextoNormal"/>
      </w:pPr>
      <w:r>
        <w:t>Es precisamente la afirmación de que una pluralidad de sujetos intervino concertadamente en el hecho atribuido lo que justificó también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005728DD" w:rsidRDefault="005728DD" w:rsidP="005728DD">
      <w:pPr>
        <w:pStyle w:val="TextoNormal"/>
      </w:pPr>
    </w:p>
    <w:p w:rsidR="005728DD" w:rsidRDefault="005728DD" w:rsidP="005728DD">
      <w:pPr>
        <w:pStyle w:val="TextoNormal"/>
      </w:pPr>
      <w:r>
        <w:t>Se trata, por tanto, de razonamientos que tienen que ver con los hechos atribuidos, con el lugar donde supuestamente se produjeron, con la calificación jurídica provisional expresada en la querella y con la condición parlamentaria de varios querellados aforados. No parten de premisas inexistentes o patentemente erróneas. Y su desarrollo argumental no incurre en quiebras lógicas ni se aleja del tenor de la norma aplicada, sino que, descartando la identidad objetiva de los precedentes jurisprudenciales alegados por el demandante, se apoyan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 Que se utilizaran criterios jurisprudenciales nuevos para un caso complejo como el que era objeto de investigación, no permite afirmar, sin más, su arbitrariedad. El demandante difiere de los criterios utilizados para extender la autoría por colaboración a quienes realizaran tareas dirigidas al mismo fin que los denunciados, pero, dada la naturaleza y características de los delitos de rebelión y sedición imputados (que, como se verá, son delitos colectivos, plurisubjetivos y de resultado cortado), tal discrepancia en Derecho no constituye parámetro suficiente para justificar la vulneración que denuncia, ni permite apreciar la arbitrariedad que alega.</w:t>
      </w:r>
    </w:p>
    <w:p w:rsidR="005728DD" w:rsidRDefault="005728DD" w:rsidP="005728DD">
      <w:pPr>
        <w:pStyle w:val="TextoNormal"/>
      </w:pPr>
    </w:p>
    <w:p w:rsidR="005728DD" w:rsidRDefault="005728DD" w:rsidP="005728DD">
      <w:pPr>
        <w:pStyle w:val="TextoNormal"/>
      </w:pPr>
      <w:r>
        <w:t xml:space="preserve">Tampoco resulta fundada la queja que se expresa utilizando como término de comparación la solución dada a anteriores acciones penales ya enjuiciadas pues, como extensamente ha argumentado la Sala de lo Penal del Tribunal Supremo al rechazar la declinatoria de jurisdicción, se trata de casos distintos, referidos a hechos diferentes, que no pueden ser utilizados como término de comparación válido para cuestionar la decisión adoptada en la presente causa. En aquellos supuestos la acusación tuvo un presupuesto fáctico distinto, y tampoco se extendió a los tipos penales que han sido enjuiciados en la presente causa penal. </w:t>
      </w:r>
      <w:r>
        <w:lastRenderedPageBreak/>
        <w:t>En todo caso, más allá de expresar su disentimiento, el recurrente no hace el mínimo esfuerzo argumental en relación con la respuesta expresa que, sobre esta cuestión, ha recibido del Tribunal Supremo.</w:t>
      </w:r>
    </w:p>
    <w:p w:rsidR="005728DD" w:rsidRDefault="005728DD" w:rsidP="005728DD">
      <w:pPr>
        <w:pStyle w:val="TextoNormal"/>
      </w:pPr>
    </w:p>
    <w:p w:rsidR="005728DD" w:rsidRDefault="005728DD" w:rsidP="005728DD">
      <w:pPr>
        <w:pStyle w:val="TextoNormal"/>
      </w:pPr>
      <w:r>
        <w:t>En definitiva, en cuanto a la asunción de la competencia para la averiguación del delito denunciado, la conclusión alcanzada es consecuencia lógica de las razones jurídicas expuestas y no supone una manipulación arbitraria de la regla de distribución de competencias, por lo que la vulneración alegada ha de ser desestimada.</w:t>
      </w:r>
    </w:p>
    <w:p w:rsidR="005728DD" w:rsidRDefault="005728DD" w:rsidP="005728DD">
      <w:pPr>
        <w:pStyle w:val="TextoNormal"/>
      </w:pPr>
    </w:p>
    <w:p w:rsidR="005728DD" w:rsidRDefault="005728DD" w:rsidP="005728DD">
      <w:pPr>
        <w:pStyle w:val="TextoNormal"/>
      </w:pPr>
      <w:r>
        <w:t>3.4.3. Como ha quedado expuesto, la extensión subjetiva de la competencia al demandante y a otras personas no aforadas sometidas a investigación, fue acordada por auto del magistrado instructor de 24 de noviembre de 2017. Aunque el demandante carecía en aquel momento de la condición de aforado, la investigación y enjuiciamiento de los hechos que se le atribuían por la Sala de lo Penal del Tribunal Supremo estaban explícita y específicamente previstos por las normas de la Ley de enjuiciamiento criminal que establecen el enjuiciamiento conjunto en un solo proceso de los delitos conexos cuya inescindibilidad sea apreciada (art. 17.1 y 2 y art. 272 LECrim). No cabe compartir la afirmación que se hace en la demanda según la cual tales reglas de conexidad son “difícilmente comprensibles y contradictorias con pronunciamientos anteriores recientes del Tribunal Supremo”. Se trata de normas procesales aplicadas diaria y ordinariamente en nuestra realidad jurídica cuando un solo hecho es cometido por dos o más personas reunidas, o un delito es medio para la comisión de otro o para facilitar su ejecución, o, en fin, cuando se aprecia la existencia de un concierto previo para la comisión de un delito plurisubjetivo en distintos lugares o tiempos (art. 17.1 a 3 LECrim).</w:t>
      </w:r>
    </w:p>
    <w:p w:rsidR="005728DD" w:rsidRDefault="005728DD" w:rsidP="005728DD">
      <w:pPr>
        <w:pStyle w:val="TextoNormal"/>
      </w:pPr>
    </w:p>
    <w:p w:rsidR="005728DD" w:rsidRDefault="005728DD" w:rsidP="005728DD">
      <w:pPr>
        <w:pStyle w:val="TextoNormal"/>
      </w:pPr>
      <w:r>
        <w:t>3.4.4. Igual suerte desestimatoria ha de correr la vulneración que se asocia al auto de 27 de diciembre de 2018 que desestimó las diversas declinatorias de jurisdicción planteadas por los acusados. Sus razonamientos son semejantes y abundan en los que ya han sido expuestos. El único elemento diferencial de su análisis radica ahora en que la competencia de enjuiciamiento se ratificó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(delito del que el demandante fue también acusado), incorporaban hechos que desbordan el límite territorial de la comunidad autónoma catalana.</w:t>
      </w:r>
    </w:p>
    <w:p w:rsidR="005728DD" w:rsidRDefault="005728DD" w:rsidP="005728DD">
      <w:pPr>
        <w:pStyle w:val="TextoNormal"/>
      </w:pPr>
    </w:p>
    <w:p w:rsidR="005728DD" w:rsidRDefault="005728DD" w:rsidP="005728DD">
      <w:pPr>
        <w:pStyle w:val="TextoNormal"/>
      </w:pPr>
      <w:r>
        <w:t>El mantenimiento de la competencia para enjuiciamiento vino apoyado en todo momento en los elementos que, en el Estatuto de Autonomía de Cataluña, definen la regla estatutaria de atribución competencial. Por tanto,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005728DD" w:rsidRDefault="005728DD" w:rsidP="005728DD">
      <w:pPr>
        <w:pStyle w:val="TextoNormal"/>
      </w:pPr>
    </w:p>
    <w:p w:rsidR="005728DD" w:rsidRDefault="005728DD" w:rsidP="005728DD">
      <w:pPr>
        <w:pStyle w:val="TextoNormal"/>
      </w:pPr>
      <w:r>
        <w:lastRenderedPageBreak/>
        <w:t>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determinada la competencia.</w:t>
      </w:r>
    </w:p>
    <w:p w:rsidR="005728DD" w:rsidRDefault="005728DD" w:rsidP="005728DD">
      <w:pPr>
        <w:pStyle w:val="TextoNormal"/>
      </w:pPr>
    </w:p>
    <w:p w:rsidR="005728DD" w:rsidRDefault="005728DD" w:rsidP="005728DD">
      <w:pPr>
        <w:pStyle w:val="TextoNormal"/>
      </w:pPr>
      <w:r>
        <w:t>Lo expuesto permite apreciar que la Sala de lo Penal del Tribunal Supremo, en cuanto es el órgano judicial establecido por la ley para exigir responsabilidad por delito a los diputados autonómicos, cuando los hechos atribuidos tienen lugar fuera del territorio catalán, no es irrazonable que lo sea respecto a las acciones penales que contra ellos se dirijan en esos casos; lo que permite concluir que las resoluciones impugnadas en amparo no vulneraron el derecho del recurrente al juez ordinario predeterminado por la ley.</w:t>
      </w:r>
    </w:p>
    <w:p w:rsidR="005728DD" w:rsidRDefault="005728DD" w:rsidP="005728DD">
      <w:pPr>
        <w:pStyle w:val="TextoNormal"/>
      </w:pPr>
    </w:p>
    <w:p w:rsidR="005728DD" w:rsidRDefault="005728DD" w:rsidP="005728DD">
      <w:pPr>
        <w:pStyle w:val="TextoNormal"/>
      </w:pPr>
      <w:r>
        <w:t>3.5. La desestimación del precedente motivo de amparo lleva consigo la del que, por conexión, denuncia la indebida limitación del derecho al doble grado jurisdiccional en materia penal. El demandante ha visto cómo la investigación y el enjuiciamiento de las imputaciones que pesaban sobre él se trasladaron ante la Sala de lo Penal del Tribunal Supremo debido a que algunas otras personas acusadas en la misma causa tenían la condición necesaria para el aforamiento parlamentario previsto en el art. 57.2 EAC, y a que se apreció identidad fáctica y conexidad procesal entre los hechos y delitos atribuidos inicialmente a los aforados y al demandante. Posteriormente fue mantenida tras adquirir la condición de diputado autonómico.</w:t>
      </w:r>
    </w:p>
    <w:p w:rsidR="005728DD" w:rsidRDefault="005728DD" w:rsidP="005728DD">
      <w:pPr>
        <w:pStyle w:val="TextoNormal"/>
      </w:pPr>
    </w:p>
    <w:p w:rsidR="005728DD" w:rsidRDefault="005728DD" w:rsidP="005728DD">
      <w:pPr>
        <w:pStyle w:val="TextoNormal"/>
      </w:pPr>
      <w:r>
        <w:t>Tal y como expresa la sentencia impugnada, este tribunal ya ha abordado en anteriores pronunciamientos dicha cuestión (por todas, SSTC 51/1985, de 10 de abril, FJ 3; y 64/2001, de 17 de marzo, FJ 5). En ellos hemos señalado que el derecho a someter el fallo condenatorio y la pena ante un tribunal superior integra el derecho al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suficiente.</w:t>
      </w:r>
    </w:p>
    <w:p w:rsidR="005728DD" w:rsidRDefault="005728DD" w:rsidP="005728DD">
      <w:pPr>
        <w:pStyle w:val="TextoNormal"/>
      </w:pPr>
    </w:p>
    <w:p w:rsidR="005728DD" w:rsidRDefault="005728DD" w:rsidP="005728DD">
      <w:pPr>
        <w:pStyle w:val="TextoNormal"/>
      </w:pPr>
      <w:r>
        <w:t>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w:t>
      </w:r>
    </w:p>
    <w:p w:rsidR="005728DD" w:rsidRDefault="005728DD" w:rsidP="005728DD">
      <w:pPr>
        <w:pStyle w:val="TextoNormal"/>
      </w:pPr>
    </w:p>
    <w:p w:rsidR="005728DD" w:rsidRDefault="005728DD" w:rsidP="005728DD">
      <w:pPr>
        <w:pStyle w:val="TextoNormal"/>
      </w:pPr>
      <w:r>
        <w:t xml:space="preserve">Como este tribunal observó en su STC 51/1985, hay determinados supuestos en que la garantía que ofrece el sometimiento del fallo condenatorio a un tribunal superior puede ser </w:t>
      </w:r>
      <w:r>
        <w:lastRenderedPageBreak/>
        <w:t>debidamente satisfecha sin necesidad de que exista, como tal, un recurso autónomo. En la citada resolución se estimó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(1966),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 la doble instancia penal.</w:t>
      </w:r>
    </w:p>
    <w:p w:rsidR="005728DD" w:rsidRDefault="005728DD" w:rsidP="005728DD">
      <w:pPr>
        <w:pStyle w:val="TextoNormal"/>
      </w:pPr>
    </w:p>
    <w:p w:rsidR="005728DD" w:rsidRDefault="005728DD" w:rsidP="005728DD">
      <w:pPr>
        <w:pStyle w:val="TextoNormal"/>
      </w:pPr>
      <w:r>
        <w:t>Procede, en consecuencia, desestimar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Los derechos de defensa y a no ser discriminado por razón de la lengua</w:t>
      </w:r>
      <w:r>
        <w:t>.</w:t>
      </w:r>
    </w:p>
    <w:p w:rsidR="005728DD" w:rsidRDefault="005728DD" w:rsidP="005728DD">
      <w:pPr>
        <w:pStyle w:val="TextoNormal"/>
      </w:pPr>
    </w:p>
    <w:p w:rsidR="005728DD" w:rsidRDefault="005728DD" w:rsidP="005728DD">
      <w:pPr>
        <w:pStyle w:val="TextoNormal"/>
      </w:pPr>
      <w:r>
        <w:t xml:space="preserve">4.1. </w:t>
      </w:r>
      <w:r w:rsidRPr="005728DD">
        <w:rPr>
          <w:i/>
        </w:rPr>
        <w:t>Posiciones de las partes</w:t>
      </w:r>
      <w:r>
        <w:t>.</w:t>
      </w:r>
    </w:p>
    <w:p w:rsidR="005728DD" w:rsidRDefault="005728DD" w:rsidP="005728DD">
      <w:pPr>
        <w:pStyle w:val="TextoNormal"/>
      </w:pPr>
    </w:p>
    <w:p w:rsidR="005728DD" w:rsidRDefault="005728DD" w:rsidP="005728DD">
      <w:pPr>
        <w:pStyle w:val="TextoNormal"/>
      </w:pPr>
      <w:r>
        <w:t>La parte recurrente denuncia la vulneración del derecho de defensa (arts. 24 CE y 6 CEDH) por no haber permitido el tribunal sentenciador a los acusados y a los testigos declarar en el juicio oral en su lengua materna, habilitando al efecto un sistema de traducción simultánea. Considera también que este hecho supuso la infracción del derecho a la no discriminación por razón de lengua (arts. 14 CE y 14 CEDH).</w:t>
      </w:r>
    </w:p>
    <w:p w:rsidR="005728DD" w:rsidRDefault="005728DD" w:rsidP="005728DD">
      <w:pPr>
        <w:pStyle w:val="TextoNormal"/>
      </w:pPr>
    </w:p>
    <w:p w:rsidR="005728DD" w:rsidRDefault="005728DD" w:rsidP="005728DD">
      <w:pPr>
        <w:pStyle w:val="TextoNormal"/>
      </w:pPr>
      <w:r>
        <w:t xml:space="preserve">En concreto, como se indica pormenorizadamente en los antecedentes de esta sentencia, la demanda recuerda que varias defensas solicitaron a la Sala poder utilizar en el interrogatorio de sus defendidos en la vista oral el catalán, a fin de poder declarar con mayor fluidez, así como la utilización del sistema de traducción simultánea, que el art. 123.2 LECrim considera preferente al sistema de traducción sucesiva. El tribunal, sin embargo, pese a reconocer expresamente que los procesados tenían derecho a declarar en catalán (página 69 de la sentencia), acordó que habría de utilizarse un sistema de traducción sucesiva, mucho menos ágil, lo que forzó a aquellos a desistir de expresarse en su lengua vernácula. Según la defensa, su uso permite al procesado entender mejor las preguntas que se le hacen y responderlas con mayor fluidez, pero la fórmula de traducción consecutiva, cuyo empleo se justificó por la Sala como garantía de la publicidad del proceso, y que según el art. 123.2 LECrim solo procede cuando no es posible habilitar un sistema de traducción simultánea, ralentiza y prolonga en exceso el acto, que deviene agotador para todos los intervinientes y para la propia Sala, en un juicio ya de por sí extenso. Se añade que, además del menoscabo al derecho de defensa (art. 24.1 CE), la negativa a permitir la traducción simultánea constituye una discriminación contraria al art. 14 CE, pues, en comparación con el trato dispensado a cualquier ciudadano español cuya lengua propia sea el castellano, los ciudadanos catalanohablantes tienen que “soportar la carga (absolutamente evitable) de una prolongación del </w:t>
      </w:r>
      <w:r>
        <w:lastRenderedPageBreak/>
        <w:t>juicio oral”, lo que se traduce en “un claro efecto desincentivador del ejercicio de los derechos lingüísticos”.</w:t>
      </w:r>
    </w:p>
    <w:p w:rsidR="005728DD" w:rsidRDefault="005728DD" w:rsidP="005728DD">
      <w:pPr>
        <w:pStyle w:val="TextoNormal"/>
      </w:pPr>
    </w:p>
    <w:p w:rsidR="005728DD" w:rsidRDefault="005728DD" w:rsidP="005728DD">
      <w:pPr>
        <w:pStyle w:val="TextoNormal"/>
      </w:pPr>
      <w:r>
        <w:t>En relación con los testigos, a quienes se impidió la posibilidad de expresarse en catalán, según la parte recurrente, la Sala basó su decisión en una interpretación del art. 231.3 LOPJ opuesta a los arts. 3.2 y 14 CE, lo que les condujo a expresarse en una lengua que hablan con menor fluidez, incidiendo en la credibilidad de su testimonio y vulnerando, por tanto, el derecho de defensa de los procesados.</w:t>
      </w:r>
    </w:p>
    <w:p w:rsidR="005728DD" w:rsidRDefault="005728DD" w:rsidP="005728DD">
      <w:pPr>
        <w:pStyle w:val="TextoNormal"/>
      </w:pPr>
    </w:p>
    <w:p w:rsidR="005728DD" w:rsidRDefault="005728DD" w:rsidP="005728DD">
      <w:pPr>
        <w:pStyle w:val="TextoNormal"/>
      </w:pPr>
      <w:r>
        <w:t>El abogado del Estado rechaza el fundamento de esta queja señalando que la configuración, en 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Y en relación con los tres testigos que pidieron declarar en catalán, señala que no solo tenían obligación de conocer el castellano, sino que por razón de sus cargos eran perfectamente conocedores de esa lengua, a lo que se suma que esos testimonios fueron inanes desde el punto de vista probatorio, por lo que no incidieron en el derecho de defensa.</w:t>
      </w:r>
    </w:p>
    <w:p w:rsidR="005728DD" w:rsidRDefault="005728DD" w:rsidP="005728DD">
      <w:pPr>
        <w:pStyle w:val="TextoNormal"/>
      </w:pPr>
    </w:p>
    <w:p w:rsidR="005728DD" w:rsidRDefault="005728DD" w:rsidP="005728DD">
      <w:pPr>
        <w:pStyle w:val="TextoNormal"/>
      </w:pPr>
      <w:r>
        <w:t>Por su parte, la representación procesal del partido político Vox postula también la desestimación de este motivo de amparo. A su juicio, de la STC 74/1987, de 25 de mayo, se desprende que el deber de conocer el castellano, conforme se establece en el art. 3.1 CE, genera una presunción de conocimiento que puede ser desvirtuada cuando de manera verosímil se alega ignorancia o conocimiento insuficiente, lo que no se ha producido en este caso, siendo esto predicable tanto respecto del demandante como en relación con los testigos.</w:t>
      </w:r>
    </w:p>
    <w:p w:rsidR="005728DD" w:rsidRDefault="005728DD" w:rsidP="005728DD">
      <w:pPr>
        <w:pStyle w:val="TextoNormal"/>
      </w:pPr>
    </w:p>
    <w:p w:rsidR="005728DD" w:rsidRDefault="005728DD" w:rsidP="005728DD">
      <w:pPr>
        <w:pStyle w:val="TextoNormal"/>
      </w:pPr>
      <w:r>
        <w:t>Por último, el Ministerio Fiscal, que lleva a cabo un importante esfuerzo de compilación de la normativa y de la doctrina constitucional, interesa también la desestimación de la queja. A su entender, el criterio de territorialidad relevante para determinar la vinculación de un poder público a las consecuencias de la cooficialidad de una lengua autonómica es la sede del órgano, no el alcance territorial de su competencia, por lo que al recurrente no le asistía un derecho a exigir el uso del idioma catalán en sus declaraciones en el acto del juicio oral en la sede del Tribunal Supremo. Y añade que las partes no mostraron dificultad alguna en el entendimiento de lo que se estaba preguntando, que la Sala sentenciadora expresó la razón de optar por el método de traducción sucesiva, como era la preservación del principio de publicidad de los debates del juicio oral, y que, en el caso de los testigos, la irrelevancia probatoria de sus declaraciones descarta la afectación del derecho de defensa.</w:t>
      </w:r>
    </w:p>
    <w:p w:rsidR="005728DD" w:rsidRDefault="005728DD" w:rsidP="005728DD">
      <w:pPr>
        <w:pStyle w:val="TextoNormal"/>
      </w:pPr>
    </w:p>
    <w:p w:rsidR="005728DD" w:rsidRDefault="005728DD" w:rsidP="005728DD">
      <w:pPr>
        <w:pStyle w:val="TextoNormal"/>
      </w:pPr>
      <w:r>
        <w:t xml:space="preserve">4.2. </w:t>
      </w:r>
      <w:r w:rsidRPr="005728DD">
        <w:rPr>
          <w:i/>
        </w:rPr>
        <w:t>Respuesta del órgano judicial</w:t>
      </w:r>
      <w:r>
        <w:t>.</w:t>
      </w:r>
    </w:p>
    <w:p w:rsidR="005728DD" w:rsidRDefault="005728DD" w:rsidP="005728DD">
      <w:pPr>
        <w:pStyle w:val="TextoNormal"/>
      </w:pPr>
    </w:p>
    <w:p w:rsidR="005728DD" w:rsidRDefault="005728DD" w:rsidP="005728DD">
      <w:pPr>
        <w:pStyle w:val="TextoNormal"/>
      </w:pPr>
      <w:r>
        <w:t>La sentencia recurrida en amparo se refiere a esta materia, que fue planteada por las defensas de varios procesados (concretamente los señores Junqueras, Romeva, Sànchez, Rull, Turull, Cuixart y la señora Forcadell) en el Fundamento de Derecho A), apartado 3.</w:t>
      </w:r>
    </w:p>
    <w:p w:rsidR="005728DD" w:rsidRDefault="005728DD" w:rsidP="005728DD">
      <w:pPr>
        <w:pStyle w:val="TextoNormal"/>
      </w:pPr>
    </w:p>
    <w:p w:rsidR="005728DD" w:rsidRDefault="005728DD" w:rsidP="005728DD">
      <w:pPr>
        <w:pStyle w:val="TextoNormal"/>
      </w:pPr>
      <w:r>
        <w:t xml:space="preserve">Tras un capítulo introductorio, el tribunal sentenciador condensa su respuesta señalando que “como ya anticipó </w:t>
      </w:r>
      <w:r w:rsidRPr="005728DD">
        <w:rPr>
          <w:i/>
        </w:rPr>
        <w:t>in voce</w:t>
      </w:r>
      <w:r>
        <w:t xml:space="preserve"> al resolver la audiencia preliminar, reconoció el derecho de los acusados a valerse del idioma catalán, pero rechazó la posibilidad de que el interrogatorio se practicara mediante traducción simultánea, que habría exigido a los miembros del </w:t>
      </w:r>
      <w:r>
        <w:lastRenderedPageBreak/>
        <w:t>tribunal la utilización de auriculares”. La razón —señala— es doble: “la afectación que esa práctica podría conllevar respecto del principio de publicidad” y “el verdadero significado constitucional del plurilingüismo en nuestro sistema, construido normativamente a partir de una delimitación espacial o territorial de su respectiva vigencia”.</w:t>
      </w:r>
    </w:p>
    <w:p w:rsidR="005728DD" w:rsidRDefault="005728DD" w:rsidP="005728DD">
      <w:pPr>
        <w:pStyle w:val="TextoNormal"/>
      </w:pPr>
    </w:p>
    <w:p w:rsidR="005728DD" w:rsidRDefault="005728DD" w:rsidP="005728DD">
      <w:pPr>
        <w:pStyle w:val="TextoNormal"/>
      </w:pPr>
      <w:r>
        <w:t>A partir de este enunciado general, la sentencia aborda estos puntos en varios subapartados.</w:t>
      </w:r>
    </w:p>
    <w:p w:rsidR="005728DD" w:rsidRDefault="005728DD" w:rsidP="005728DD">
      <w:pPr>
        <w:pStyle w:val="TextoNormal"/>
      </w:pPr>
    </w:p>
    <w:p w:rsidR="005728DD" w:rsidRDefault="005728DD" w:rsidP="005728DD">
      <w:pPr>
        <w:pStyle w:val="TextoNormal"/>
      </w:pPr>
      <w:r>
        <w:t>a) El epígrafe 3.2.1 desarrolla la perspectiva del principio de publicidad procesal. Comienza declarando lo que sigue:</w:t>
      </w:r>
    </w:p>
    <w:p w:rsidR="005728DD" w:rsidRDefault="005728DD" w:rsidP="005728DD">
      <w:pPr>
        <w:pStyle w:val="TextoNormal"/>
      </w:pPr>
    </w:p>
    <w:p w:rsidR="005728DD" w:rsidRDefault="005728DD" w:rsidP="005728DD">
      <w:pPr>
        <w:pStyle w:val="TextoNormal"/>
      </w:pPr>
      <w:r>
        <w:t xml:space="preserve">“Admitir la exigencia de auriculares como única forma de garantizar el derecho a expresarse en la propia lengua, habría implicado el sacrificio del principio de publicidad. Si entender las preguntas de los letrados y las respuestas de los acusados hubiera exigido disponer de auriculares, habríamos excluido de forma injustificada a todas aquellas personas que, hallándose en la sala de juicios o siguiendo la retransmisión televisada del proceso, no tuvieran a su alcance esos dispositivos. Habríamos también excluido a quienes siguieran el juicio a través de una señal de transmisión cuyos responsables no consideraran oportuno o rentable incorporar una voz en </w:t>
      </w:r>
      <w:r w:rsidRPr="005728DD">
        <w:rPr>
          <w:i/>
        </w:rPr>
        <w:t>off</w:t>
      </w:r>
      <w:r>
        <w:t xml:space="preserve"> que efectuara la traducción”.</w:t>
      </w:r>
    </w:p>
    <w:p w:rsidR="005728DD" w:rsidRDefault="005728DD" w:rsidP="005728DD">
      <w:pPr>
        <w:pStyle w:val="TextoNormal"/>
      </w:pPr>
    </w:p>
    <w:p w:rsidR="005728DD" w:rsidRDefault="005728DD" w:rsidP="005728DD">
      <w:pPr>
        <w:pStyle w:val="TextoNormal"/>
      </w:pPr>
      <w:r>
        <w:t>A juicio de la Sala, “se trataría de un sacrificio innecesario e injustificado”. Argumenta asimismo que ofreció, “incluso a quienes no lo habían solicitado de forma expresa, la posibilidad de practicar en lengua catalana los actos procesales en los que debieran tener algún tipo de intervención”, a cuyo fin el tribunal dispuso de dos intérpretes jurados de catalán. “Sin embargo [se reseña], ninguno de los acusados quiso valerse de intérprete para sus respuestas, renunciando expresamente a lo que reivindicaba como su derecho y contestando el interrogatorio en castellano. El juicio, por tanto,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w:t>
      </w:r>
    </w:p>
    <w:p w:rsidR="005728DD" w:rsidRDefault="005728DD" w:rsidP="005728DD">
      <w:pPr>
        <w:pStyle w:val="TextoNormal"/>
      </w:pPr>
    </w:p>
    <w:p w:rsidR="005728DD" w:rsidRDefault="005728DD" w:rsidP="005728DD">
      <w:pPr>
        <w:pStyle w:val="TextoNormal"/>
      </w:pPr>
      <w:r>
        <w:t>“[M]uestra de la fluidez, la precisión y el dominio de la lengua castellana que evidenciaron todos los procesados”, sigue diciéndose, es el soporte digital en el que consta la grabación del juicio. “Su capacidad argumental, la solidez dialéctica y, en algunos casos, la brillantez de sus exposiciones, disipan cualquier duda acerca de la alegada indefensión”.</w:t>
      </w:r>
    </w:p>
    <w:p w:rsidR="005728DD" w:rsidRDefault="005728DD" w:rsidP="005728DD">
      <w:pPr>
        <w:pStyle w:val="TextoNormal"/>
      </w:pPr>
    </w:p>
    <w:p w:rsidR="005728DD" w:rsidRDefault="005728DD" w:rsidP="005728DD">
      <w:pPr>
        <w:pStyle w:val="TextoNormal"/>
      </w:pPr>
      <w:r>
        <w:t>Tras insistir en que “se puso al alcance de todos los acusados que quisieran hablar en el idioma catalán” la posibilidad de hacerlo, sin sacrificio de la publicidad, mediante la alternativa del empleo de traductores jurados en interpretación sucesiva, lo que fue rechazado por los acusados, se niega la indefensión.</w:t>
      </w:r>
    </w:p>
    <w:p w:rsidR="005728DD" w:rsidRDefault="005728DD" w:rsidP="005728DD">
      <w:pPr>
        <w:pStyle w:val="TextoNormal"/>
      </w:pPr>
    </w:p>
    <w:p w:rsidR="005728DD" w:rsidRDefault="005728DD" w:rsidP="005728DD">
      <w:pPr>
        <w:pStyle w:val="TextoNormal"/>
      </w:pPr>
      <w:r>
        <w:t xml:space="preserve">Se refiere después a la interpretación y aplicación del art. 123 LECrim [apartado 2: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Señala al respecto, que “[l]a primera conclusión que autoriza la lectura de este precepto es que el respeto al derecho fundamental de los imputados que no hablen o entiendan el castellano o la lengua oficial en la que se desarrolle el </w:t>
      </w:r>
      <w:r>
        <w:lastRenderedPageBreak/>
        <w:t xml:space="preserve">plenario, no se asocia a la utilización de un método de traducción simultánea. Su empleo no actúa como presupuesto de validez de la declaración de los procesados. Tan idónea, a efectos de su validez procesal, es la utilización de un mecanismo de traducción simultánea como el que se vale de la traducción sucesiva”. Y añade que, si bien es cierto que el precepto “condiciona la decisión por uno u otro sistema a que ‘[…] no pueda disponerse del servicio de interpretación simultánea’ […] no fue esta la razón que llevó a la Sala a optar por la segunda alternativa. No han sido razones económicas […]. Tampoco dificultades técnicas […]. La circunstancia que ha condicionado nuestra decisión está vinculada a la singularidad de este proceso, desarrollado en sesiones orales que se han prolongado durante cuatro meses y televisado mediante </w:t>
      </w:r>
      <w:r w:rsidRPr="005728DD">
        <w:rPr>
          <w:i/>
        </w:rPr>
        <w:t>streaming</w:t>
      </w:r>
      <w:r>
        <w:t xml:space="preserve"> en su integridad. Constatada, por tanto, la ausencia de cualquier indefensión derivada del sistema de traducción sucesiva, hemos considerado necesario preservar todas las ventajas y garantías propias del principio de publicidad. Todo ciudadano que haya querido seguir el desarrollo de las sesiones del juicio oral ha podido hacerlo sin que la ausencia de auriculares a su alcance haya mermado su capacidad para formarse opinión de lo que estaba aconteciendo en la Sala”.</w:t>
      </w:r>
    </w:p>
    <w:p w:rsidR="005728DD" w:rsidRDefault="005728DD" w:rsidP="005728DD">
      <w:pPr>
        <w:pStyle w:val="TextoNormal"/>
      </w:pPr>
    </w:p>
    <w:p w:rsidR="005728DD" w:rsidRDefault="005728DD" w:rsidP="005728DD">
      <w:pPr>
        <w:pStyle w:val="TextoNormal"/>
      </w:pPr>
      <w:r>
        <w:t>b) En los apartados 3.2.2 y 3.2.3 de la sentencia se trata del aspecto relativo al plurilingüismo en España y su dimensión procesal.</w:t>
      </w:r>
    </w:p>
    <w:p w:rsidR="005728DD" w:rsidRDefault="005728DD" w:rsidP="005728DD">
      <w:pPr>
        <w:pStyle w:val="TextoNormal"/>
      </w:pPr>
    </w:p>
    <w:p w:rsidR="005728DD" w:rsidRDefault="005728DD" w:rsidP="005728DD">
      <w:pPr>
        <w:pStyle w:val="TextoNormal"/>
      </w:pPr>
      <w:r>
        <w:t>Comienza por reproducir el artículo 3 CE “1. El castellano es la lengua española oficial del Estado. Todos los españoles tienen el deber de conocerla y el derecho a usarla. 2. Las demás lenguas españolas serán también oficiales en las respectivas Comunidades Autónomas de acuerdo con sus Estatutos. 3. La riqueza de las distintas modalidades lingüísticas de España es un patrimonio cultural que será objeto de especial respeto y protección” y señala que la Sala rechazó la petición de la defensa de los señores Junqueras y Romeva relativa a que los letrados pudieran formular sus preguntas en lengua catalana en aplicación del artículo 231.1 LOPJ que “proclama que el castellano, en su condición de lengua oficial del Estado, será el idioma usado en todas las actuaciones judiciales”. Añade que “el apartado 3 de ese mismo precepto, en consonancia con la previsión del art. 3 de la CE, autoriza a las partes, a sus representantes, a los peritos, a los testigos y a los letrados, a valerse de una lengua cooficial cuando se trate de actos procesales practicados en el territorio de una comunidad autónoma. La sede del Tribunal Supremo, fuera de ese ámbito territorial explica y justifica la exclusión de esa posibilidad”.</w:t>
      </w:r>
    </w:p>
    <w:p w:rsidR="005728DD" w:rsidRDefault="005728DD" w:rsidP="005728DD">
      <w:pPr>
        <w:pStyle w:val="TextoNormal"/>
      </w:pPr>
    </w:p>
    <w:p w:rsidR="005728DD" w:rsidRDefault="005728DD" w:rsidP="005728DD">
      <w:pPr>
        <w:pStyle w:val="TextoNormal"/>
      </w:pPr>
      <w:r>
        <w:t>En relación con la Carta europea de las lenguas regionales o minoritarias, hecha en Estrasburgo el 5 de noviembre de 1992 (instrumento de ratificación publicado en el “BOE” núm. 222, de 15 de septiembre de 2001), invocada por las defensas, tras hacer una exhaustiva exposición en torno a su artículo 9 y al quinto informe sobre su cumplimiento en España, elaborado por el Ministerio de la Presidencia y para las Administraciones Territoriales, el tribunal sentenciador declara que “la limitación territorial al ámbito de las comunidades autónomas vuelve a hacer acto de presencia, en la misma línea que ya proclamara el precepto constitucional y su desarrollo orgánico (arts. 3 CE y 231.3 LOPJ)”. Esta misma restricción —añade— “está también definida, por ejemplo, en el informe sobre la aplicación de la Carta europea de lenguas regionales o minoritarias en Cataluña, correspondiente a los años 2006-2008”, así como en los apartados 2 y 5 del art. 33 EAC. Y concluye señalando:</w:t>
      </w:r>
    </w:p>
    <w:p w:rsidR="005728DD" w:rsidRDefault="005728DD" w:rsidP="005728DD">
      <w:pPr>
        <w:pStyle w:val="TextoNormal"/>
      </w:pPr>
    </w:p>
    <w:p w:rsidR="005728DD" w:rsidRDefault="005728DD" w:rsidP="005728DD">
      <w:pPr>
        <w:pStyle w:val="TextoNormal"/>
      </w:pPr>
      <w:r>
        <w:lastRenderedPageBreak/>
        <w:t>“Todo apunta, en consecuencia, 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El territorio, por tanto, opera como verdadero criterio delimitador de la oficialidad”.</w:t>
      </w:r>
    </w:p>
    <w:p w:rsidR="005728DD" w:rsidRDefault="005728DD" w:rsidP="005728DD">
      <w:pPr>
        <w:pStyle w:val="TextoNormal"/>
      </w:pPr>
    </w:p>
    <w:p w:rsidR="005728DD" w:rsidRDefault="005728DD" w:rsidP="005728DD">
      <w:pPr>
        <w:pStyle w:val="TextoNormal"/>
      </w:pPr>
      <w:r>
        <w:t>A continuación, se refiere a la jurisprudencia constitucional (con cita y reproducción de parte de las SSTC 82/1986, 26 de junio, y 31/2010, 28 de junio), de donde extrae que “[n]o existe […] el derecho a la utilización de un mecanismo de traducción simultánea que obligue al Tribunal Supremo a presenciar el desarrollo de la práctica de la prueba y las alegaciones de las partes en un idioma distinto del idioma oficial”. Agrega que “[e]se derecho tampoco lo reconocen los instrumentos jurídicos de ámbito internacional suscritos por España para la protección de las lenguas regionales”, con referencia al “informe explicativo del Consejo de Europa sobre su alcance (</w:t>
      </w:r>
      <w:r w:rsidRPr="005728DD">
        <w:rPr>
          <w:i/>
        </w:rPr>
        <w:t>Explanatory Report to the European Charter for Regional or Minority Languages</w:t>
      </w:r>
      <w:r>
        <w:t>)”, que, “en su apartado 11, bajo el título ‘consideraciones generales’, proclama que ‘la Carta no otorga derechos individuales ni colectivos a los hablantes de una lengua minoritaria’, solo concede el derecho a reclamar la aplicación de los principios de la Carta, lo que conllevará un saludable efecto en la situación de esas comunidades y de sus miembros”.</w:t>
      </w:r>
    </w:p>
    <w:p w:rsidR="005728DD" w:rsidRDefault="005728DD" w:rsidP="005728DD">
      <w:pPr>
        <w:pStyle w:val="TextoNormal"/>
      </w:pPr>
    </w:p>
    <w:p w:rsidR="005728DD" w:rsidRDefault="005728DD" w:rsidP="005728DD">
      <w:pPr>
        <w:pStyle w:val="TextoNormal"/>
      </w:pPr>
      <w:r>
        <w:t>Pese a la “claridad del cuadro normativo”, insiste, la Sala de lo Penal del Tribunal Supremo “puso a disposición de las defensas […] dos traductores oficiales de la lengua catalana y concedió a los procesados la posibilidad de hacer uso de la lengua vernácula en sus respuestas”. Se optó, señala, “por una interpretación extensiva del derecho de opción lingüística que otorga el art. 33.1 del Estatuto de Autonomía de Cataluña, más allá incluso de los límites territoriales que enmarcan su ejercicio”.</w:t>
      </w:r>
    </w:p>
    <w:p w:rsidR="005728DD" w:rsidRDefault="005728DD" w:rsidP="005728DD">
      <w:pPr>
        <w:pStyle w:val="TextoNormal"/>
      </w:pPr>
    </w:p>
    <w:p w:rsidR="005728DD" w:rsidRDefault="005728DD" w:rsidP="005728DD">
      <w:pPr>
        <w:pStyle w:val="TextoNormal"/>
      </w:pPr>
      <w:r>
        <w:t>Finalmente reitera que “[n]o ha habido indefensión”. No existió ni en la fase de investigación ni en el acto del juicio oral, en que “los acusados optaron por expresarse en castellano, renunciando de forma explícita al uso de la lengua vernácula” y a “valerse de los dos intérpretes de lengua catalana puestos a su disposición por el tribunal”.</w:t>
      </w:r>
    </w:p>
    <w:p w:rsidR="005728DD" w:rsidRDefault="005728DD" w:rsidP="005728DD">
      <w:pPr>
        <w:pStyle w:val="TextoNormal"/>
      </w:pPr>
    </w:p>
    <w:p w:rsidR="005728DD" w:rsidRDefault="005728DD" w:rsidP="005728DD">
      <w:pPr>
        <w:pStyle w:val="TextoNormal"/>
      </w:pPr>
      <w:r>
        <w:t>c) El apartado 3.2.4 se refiere al argumento, que ya fue respondido en el auto de 27 de diciembre de 2018 (que desestimó la declinatoria de jurisdicción), relativo a la conveniencia del desplazamiento de la sala de enjuiciamiento a Barcelona para el desarrollo de las sesiones del juicio oral en esa ciudad, como única forma garantizar los derechos lingüísticos de los acusados. Dice al respecto que “nuestro sistema constitucional no concede a los procesados el derecho a ser enjuiciados en las proximidades del domicilio familiar. Ningún sistema procesal contempla la cercanía domiciliaria como fuero determinante de la competencia en el proceso penal (cfr. arts. 14 y concordantes de la LECrim)”.</w:t>
      </w:r>
    </w:p>
    <w:p w:rsidR="005728DD" w:rsidRDefault="005728DD" w:rsidP="005728DD">
      <w:pPr>
        <w:pStyle w:val="TextoNormal"/>
      </w:pPr>
    </w:p>
    <w:p w:rsidR="005728DD" w:rsidRDefault="005728DD" w:rsidP="005728DD">
      <w:pPr>
        <w:pStyle w:val="TextoNormal"/>
      </w:pPr>
      <w:r>
        <w:t>d) Finalmente, en el subepígrafe 3.2.5 se da respuesta a la queja planteada respecto de los testigos. Señala literalmente la Sala lo que sigue:</w:t>
      </w:r>
    </w:p>
    <w:p w:rsidR="005728DD" w:rsidRDefault="005728DD" w:rsidP="005728DD">
      <w:pPr>
        <w:pStyle w:val="TextoNormal"/>
      </w:pPr>
    </w:p>
    <w:p w:rsidR="005728DD" w:rsidRDefault="005728DD" w:rsidP="005728DD">
      <w:pPr>
        <w:pStyle w:val="TextoNormal"/>
      </w:pPr>
      <w:r>
        <w:t xml:space="preserve">“A lo largo del juicio oral la utilización del idioma catalán por algunos de los testigos fue también objeto de alegación. Del ingente número de personas que prestaron su testimonio en las sesiones del plenario, solo tres anunciaron, en calidad de testigos, su deseo de expresarse en catalán. Dos de ellas lo hicieron mediante la presentación anticipada de un escrito </w:t>
      </w:r>
      <w:r>
        <w:lastRenderedPageBreak/>
        <w:t>en el registro general de la Sala, con el fin de hacer llegar al tribunal su determinación de responder a las preguntas de las acusaciones y defensas en catalán.</w:t>
      </w:r>
    </w:p>
    <w:p w:rsidR="005728DD" w:rsidRDefault="005728DD" w:rsidP="005728DD">
      <w:pPr>
        <w:pStyle w:val="TextoNormal"/>
      </w:pPr>
    </w:p>
    <w:p w:rsidR="005728DD" w:rsidRDefault="005728DD" w:rsidP="005728DD">
      <w:pPr>
        <w:pStyle w:val="TextoNormal"/>
      </w:pPr>
      <w:r>
        <w:t>Las razones legales y jurisprudenciales apuntadas supra, interpretadas a la luz de los tratados internacionales de los que España forma parte, fueron determinantes para rechazar esa posibilidad. Se daba la circunstancia añadida de que esos tres testigos —un diputado nacional, un agente de policía autonómica y un abogado en ejercicio— no solo estaban directamente afectados por el mandato constitucional impuesto por el art. 3 de la CE, sino que, precisamente por razón de sus respectivos cargos, eran perfectos conocedores de la lengua oficial en la que han de desarrollarse los actos procesales que se celebren en el Tribunal Supremo.</w:t>
      </w:r>
    </w:p>
    <w:p w:rsidR="005728DD" w:rsidRDefault="005728DD" w:rsidP="005728DD">
      <w:pPr>
        <w:pStyle w:val="TextoNormal"/>
      </w:pPr>
    </w:p>
    <w:p w:rsidR="005728DD" w:rsidRDefault="005728DD" w:rsidP="005728DD">
      <w:pPr>
        <w:pStyle w:val="TextoNormal"/>
      </w:pPr>
      <w:r>
        <w:t>La irrelevancia probatoria de esos tres testimonios, una vez valorada por la Sala la prueba testifical, añade razones para descartar cualquier efecto negativo en el círculo de derechos, no ya de los procesados, sino de los propios declarantes”.</w:t>
      </w:r>
    </w:p>
    <w:p w:rsidR="005728DD" w:rsidRDefault="005728DD" w:rsidP="005728DD">
      <w:pPr>
        <w:pStyle w:val="TextoNormal"/>
      </w:pPr>
    </w:p>
    <w:p w:rsidR="005728DD" w:rsidRDefault="005728DD" w:rsidP="005728DD">
      <w:pPr>
        <w:pStyle w:val="TextoNormal"/>
      </w:pPr>
      <w:r>
        <w:t>Dentro del apartado 16 del mismo fundamento de Derecho A), en concreto en el apartado 16.3.6.7, a propósito de la denunciada vulneración del principio de igualdad de armas por el trato desfavorable dispensado a las defensas en el acto del juicio oral, la sentencia se remite a lo trascrito con anterioridad para rechazar que la negativa a que los testigos declarasen en catalán menoscabara tal derecho.</w:t>
      </w:r>
    </w:p>
    <w:p w:rsidR="005728DD" w:rsidRDefault="005728DD" w:rsidP="005728DD">
      <w:pPr>
        <w:pStyle w:val="TextoNormal"/>
      </w:pPr>
    </w:p>
    <w:p w:rsidR="005728DD" w:rsidRDefault="005728DD" w:rsidP="005728DD">
      <w:pPr>
        <w:pStyle w:val="TextoNormal"/>
      </w:pPr>
      <w:r>
        <w:t>4.3</w:t>
      </w:r>
      <w:r w:rsidRPr="005728DD">
        <w:rPr>
          <w:i/>
        </w:rPr>
        <w:t>. Encuadramiento de la que</w:t>
      </w:r>
      <w:r>
        <w:t>ja.</w:t>
      </w:r>
    </w:p>
    <w:p w:rsidR="005728DD" w:rsidRDefault="005728DD" w:rsidP="005728DD">
      <w:pPr>
        <w:pStyle w:val="TextoNormal"/>
      </w:pPr>
    </w:p>
    <w:p w:rsidR="005728DD" w:rsidRDefault="005728DD" w:rsidP="005728DD">
      <w:pPr>
        <w:pStyle w:val="TextoNormal"/>
      </w:pPr>
      <w:r>
        <w:t>La demanda, de la que se ha dejado constancia más arriba, alude, como fundamento de esta queja, a varios derechos fundamentales. Su correcto encuadramiento, sin embargo, supone situar el motivo de amparo en el marco de los derechos reconocidos en el art. 24 CE y, específicamente, en el derecho de defensa.</w:t>
      </w:r>
    </w:p>
    <w:p w:rsidR="005728DD" w:rsidRDefault="005728DD" w:rsidP="005728DD">
      <w:pPr>
        <w:pStyle w:val="TextoNormal"/>
      </w:pPr>
    </w:p>
    <w:p w:rsidR="005728DD" w:rsidRDefault="005728DD" w:rsidP="005728DD">
      <w:pPr>
        <w:pStyle w:val="TextoNormal"/>
      </w:pPr>
      <w:r>
        <w:t>La invocación del derecho a no sufrir discriminación (art. 14 CE) por razón de la lengua y la mención de los “derechos lingüísticos” de los procesados exige, sin embargo, algunas aclaraciones, antes de examinar el fundamento de esta queja.</w:t>
      </w:r>
    </w:p>
    <w:p w:rsidR="005728DD" w:rsidRDefault="005728DD" w:rsidP="005728DD">
      <w:pPr>
        <w:pStyle w:val="TextoNormal"/>
      </w:pPr>
    </w:p>
    <w:p w:rsidR="005728DD" w:rsidRDefault="005728DD" w:rsidP="005728DD">
      <w:pPr>
        <w:pStyle w:val="TextoNormal"/>
      </w:pPr>
      <w:r>
        <w:t>a) En nuestro sistema procesal no existe un genuino derecho de los intervinientes en juicio a utilizar la lengua cooficial en actuaciones judiciales desarrolladas fuera del territorio de la comunidad autónoma correspondiente. A pesar de reconocer esa posibilidad a los procesados, justificada explícitamente en la propia sentencia recurrida por haber optado por una interpretación extensiva del derecho de opción lingüística que otorga el art. 33.1 EAC, el Tribunal Supremo subraya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w:t>
      </w:r>
    </w:p>
    <w:p w:rsidR="005728DD" w:rsidRDefault="005728DD" w:rsidP="005728DD">
      <w:pPr>
        <w:pStyle w:val="TextoNormal"/>
      </w:pPr>
    </w:p>
    <w:p w:rsidR="005728DD" w:rsidRDefault="005728DD" w:rsidP="005728DD">
      <w:pPr>
        <w:pStyle w:val="TextoNormal"/>
      </w:pPr>
      <w:r>
        <w:t>Así es. La delimitación de la cooficialidad lingüística sobre la base del territorio en que tiene su sede el órgano del poder público de que se trate ha sido constante en la doctrina constitucional.</w:t>
      </w:r>
    </w:p>
    <w:p w:rsidR="005728DD" w:rsidRDefault="005728DD" w:rsidP="005728DD">
      <w:pPr>
        <w:pStyle w:val="TextoNormal"/>
      </w:pPr>
    </w:p>
    <w:p w:rsidR="005728DD" w:rsidRDefault="005728DD" w:rsidP="005728DD">
      <w:pPr>
        <w:pStyle w:val="TextoNormal"/>
      </w:pPr>
      <w:r>
        <w:lastRenderedPageBreak/>
        <w:t>La STC 82/1986, de 26 de junio, FJ 2, declaró al respecto: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005728DD" w:rsidRDefault="005728DD" w:rsidP="005728DD">
      <w:pPr>
        <w:pStyle w:val="TextoNormal"/>
      </w:pPr>
    </w:p>
    <w:p w:rsidR="005728DD" w:rsidRDefault="005728DD" w:rsidP="005728DD">
      <w:pPr>
        <w:pStyle w:val="TextoNormal"/>
      </w:pPr>
      <w:r>
        <w:t>Esta misma sentencia, como nos recuerda la STC 253/2005, de 11 de octubre, FJ 10,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123/1988, de 23 de junio)”.</w:t>
      </w:r>
    </w:p>
    <w:p w:rsidR="005728DD" w:rsidRDefault="005728DD" w:rsidP="005728DD">
      <w:pPr>
        <w:pStyle w:val="TextoNormal"/>
      </w:pPr>
    </w:p>
    <w:p w:rsidR="005728DD" w:rsidRDefault="005728DD" w:rsidP="005728DD">
      <w:pPr>
        <w:pStyle w:val="TextoNormal"/>
      </w:pPr>
      <w:r>
        <w:t>El uso de las lenguas en el seno de la administración de justicia se reguló en el art. 231 LOPJ. Respecto de este precepto de la Ley Orgánica del Poder Judicial ya tuvimos ocasión de manifestar que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005728DD" w:rsidRDefault="005728DD" w:rsidP="005728DD">
      <w:pPr>
        <w:pStyle w:val="TextoNormal"/>
      </w:pPr>
    </w:p>
    <w:p w:rsidR="005728DD" w:rsidRDefault="005728DD" w:rsidP="005728DD">
      <w:pPr>
        <w:pStyle w:val="TextoNormal"/>
      </w:pPr>
      <w:r>
        <w:t xml:space="preserve">En relación con los órganos jurisdiccionales de ámbito estatal, condición que reconoce al Tribunal Supremo el artículo 123.1 CE, y respecto de la lengua catalana, la STC 31/2010, de 28 de junio, FJ 21, tomando como punto de partida la doctrina constitucional antes reseñada, declaró que “el criterio territorial relevante a los efectos de la delimitación del poder </w:t>
      </w:r>
      <w:r>
        <w:lastRenderedPageBreak/>
        <w:t>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 Subrayó también que la actividad de estos órganos “se ejerce con referencia no a una determinada comunidad autónoma, sino a todo el territorio nacional, por lo que no puede tener cabida en ellos la cooficialidad idiomática”; y reiteró el criterio de delimitación competencial, de modo que, en este ámbito, corresponde al legislador estatal con entera libertad, dentro de los límites constitucionales (art. 3.1 CE), el reconocimiento o no de eficacia jurídica a las actuaciones desarrolladas en la lengua cooficial.</w:t>
      </w:r>
    </w:p>
    <w:p w:rsidR="005728DD" w:rsidRDefault="005728DD" w:rsidP="005728DD">
      <w:pPr>
        <w:pStyle w:val="TextoNormal"/>
      </w:pPr>
    </w:p>
    <w:p w:rsidR="005728DD" w:rsidRDefault="005728DD" w:rsidP="005728DD">
      <w:pPr>
        <w:pStyle w:val="TextoNormal"/>
      </w:pPr>
      <w:r>
        <w:t>De ahí que, de acuerdo con el régimen legal vigente, contenido en el citado art. 231 LOPJ, la posición expresada en la sentencia impugnada, según la cual los procesados no disponían de un derecho autónomo a declarar en lengua catalana ante el Tribunal Supremo, con sede en la villa de Madrid (art. 53 LOPJ), debe ser avalada por este tribunal.</w:t>
      </w:r>
    </w:p>
    <w:p w:rsidR="005728DD" w:rsidRDefault="005728DD" w:rsidP="005728DD">
      <w:pPr>
        <w:pStyle w:val="TextoNormal"/>
      </w:pPr>
    </w:p>
    <w:p w:rsidR="005728DD" w:rsidRDefault="005728DD" w:rsidP="005728DD">
      <w:pPr>
        <w:pStyle w:val="TextoNormal"/>
      </w:pPr>
      <w:r>
        <w:t>b) A pesar de lo anterior y como se ha adelantado, hay que destacar que la Sala sentenciadora del Tribunal Supremo reconoció expresamente el derecho de los procesados a emplear la lengua catalana en sus declaraciones, si bien, como explica la propia sentencia impugnada, acordó que, para el caso de que se hiciera uso de esta posibilidad, habría de emplearse un sistema de traducción consecutiva —y no simultánea, como pretendían las defensas—, en aras de la garantía de publicidad del proceso. No fue siquiera controvertido, por tanto, el pretendido derecho a usar la lengua catalana, que fue reconocido, sino exclusivamente el sistema que habría de habilitarse para su traducción al castellano, lo que, pudiendo incidir en el ámbito protegido por el derecho de defensa (art. 24 CE), como examinaremos después, descarta el presupuesto de la denuncia de discriminación por razón de la lengua (art. 14 CE).</w:t>
      </w:r>
    </w:p>
    <w:p w:rsidR="005728DD" w:rsidRDefault="005728DD" w:rsidP="005728DD">
      <w:pPr>
        <w:pStyle w:val="TextoNormal"/>
      </w:pPr>
    </w:p>
    <w:p w:rsidR="005728DD" w:rsidRDefault="005728DD" w:rsidP="005728DD">
      <w:pPr>
        <w:pStyle w:val="TextoNormal"/>
      </w:pPr>
      <w:r>
        <w:t>La argumentación contenida en la demanda, que sustenta la diferencia de trato en la superior duración de las sesiones del juicio oral derivada del empleo del sistema de traducción consecutiva en los interrogatorios, para el caso de que se hubiera optado por la utilización de la lengua catalana, llevaría a calificar de discriminatoria no ya la decisión del tribunal sentenciador sobre la lengua sino sobre el método de traducción. La queja tiene como presupuesto una mera hipótesis que, aun aceptada a los efectos del discurso, resulta manifiestamente insuficiente para integrar un trato peyorativo jurídicamente relevante. En todo caso, esa eventual prolongación temporal del juicio representaría un gravamen leve, un perjuicio mínimo consustancial al empleo de cualquier mecanismo de traducción y que habría de soportar el justiciable en el ejercicio del derecho de defensa en las condiciones de diligencia que exige el art. 24 CE, como veremos a continuación.</w:t>
      </w:r>
    </w:p>
    <w:p w:rsidR="005728DD" w:rsidRDefault="005728DD" w:rsidP="005728DD">
      <w:pPr>
        <w:pStyle w:val="TextoNormal"/>
      </w:pPr>
    </w:p>
    <w:p w:rsidR="005728DD" w:rsidRDefault="005728DD" w:rsidP="005728DD">
      <w:pPr>
        <w:pStyle w:val="TextoNormal"/>
      </w:pPr>
      <w:r>
        <w:t>4.4</w:t>
      </w:r>
      <w:r w:rsidRPr="005728DD">
        <w:rPr>
          <w:i/>
        </w:rPr>
        <w:t>. Doctrina constitucion</w:t>
      </w:r>
      <w:r>
        <w:t>al.</w:t>
      </w:r>
    </w:p>
    <w:p w:rsidR="005728DD" w:rsidRDefault="005728DD" w:rsidP="005728DD">
      <w:pPr>
        <w:pStyle w:val="TextoNormal"/>
      </w:pPr>
    </w:p>
    <w:p w:rsidR="005728DD" w:rsidRDefault="005728DD" w:rsidP="005728DD">
      <w:pPr>
        <w:pStyle w:val="TextoNormal"/>
      </w:pPr>
      <w:r>
        <w:t xml:space="preserve">El derecho de defensa contradictoria de las partes contendientes en todo proceso judicial constituye una de las manifestaciones del derecho fundamental a obtener la tutela judicial efectiva sin indefensión consagrado en el artículo 24.1 CE y comprende el deber de los órganos judiciales de asegurar a las partes contendientes la oportunidad de alegar y probar procesalmente sus derechos o intereses (SSTC 25/1997, de 11 de febrero, FJ 2; 102/1998, </w:t>
      </w:r>
      <w:r>
        <w:lastRenderedPageBreak/>
        <w:t>de 18 de mayo, FJ 2; 18/1999, de 22 de febrero, FJ 3, y 143/2001, de 18 de junio, FJ 3), así como de replicar dialécticamente las posiciones contrarias en el ejercicio del indispensable principio de contradicción en igualdad de condiciones con las demás partes procesales (SSTC 2/2002, de 14 de enero, FJ 2, y 25/2011, de 14 de marzo, FJ 7).</w:t>
      </w:r>
    </w:p>
    <w:p w:rsidR="005728DD" w:rsidRDefault="005728DD" w:rsidP="005728DD">
      <w:pPr>
        <w:pStyle w:val="TextoNormal"/>
      </w:pPr>
    </w:p>
    <w:p w:rsidR="005728DD" w:rsidRDefault="005728DD" w:rsidP="005728DD">
      <w:pPr>
        <w:pStyle w:val="TextoNormal"/>
      </w:pPr>
      <w:r>
        <w:t>a) En la STC 57/2012, de 29 de marzo, el Pleno de este tribunal ha sintetizado su doctrina en los siguientes términos: “‘[e]n el contexto del art. 24 de la Constitución la indefensión se caracteriza por suponer una privación o una limitación del derecho de 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5/2004, de 16 de enero, FJ 6; 141/2005, de 6 de junio, FJ 2;160/2009, de 29 de junio, FJ 4, y 12/2011, de 28 de febrero, FJ 5)”.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 (SSTC 14/2008, de 31 de enero, FJ 3, y 62/2009, de 9 de marzo, FJ 4).</w:t>
      </w:r>
    </w:p>
    <w:p w:rsidR="005728DD" w:rsidRDefault="005728DD" w:rsidP="005728DD">
      <w:pPr>
        <w:pStyle w:val="TextoNormal"/>
      </w:pPr>
    </w:p>
    <w:p w:rsidR="005728DD" w:rsidRDefault="005728DD" w:rsidP="005728DD">
      <w:pPr>
        <w:pStyle w:val="TextoNormal"/>
      </w:pPr>
      <w:r>
        <w:t xml:space="preserve">La doctrina constitucional ha venido insistiendo de esta suerte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w:t>
      </w:r>
      <w:r>
        <w:lastRenderedPageBreak/>
        <w:t>para los intereses del afectado” (SSTC 185/2003, de 27 de octubre, FJ 4; 164/2005, de 20 de junio, FJ 2, y 25/2011, de 14 de marzo, FJ 7).</w:t>
      </w:r>
    </w:p>
    <w:p w:rsidR="005728DD" w:rsidRDefault="005728DD" w:rsidP="005728DD">
      <w:pPr>
        <w:pStyle w:val="TextoNormal"/>
      </w:pPr>
    </w:p>
    <w:p w:rsidR="005728DD" w:rsidRDefault="005728DD" w:rsidP="005728DD">
      <w:pPr>
        <w:pStyle w:val="TextoNormal"/>
      </w:pPr>
      <w:r>
        <w:t>b) Este tribunal se ha pronunciado también sobre la proyección en el derecho de defensa del desconocimiento de la lengua utilizada en juicio. En esta materia, que es la aquí concernida, hemos reconocido que el derecho a ser asistido de intérprete, más allá de su reconocimiento legal expreso —en la Ley Orgánica del Poder Judicial y en la Ley de enjuiciamiento criminal—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de 25 de mayo, FFJJ 3 y 4; 71/1988, de 19 de abril, FJ 2; 30/1989, de 7 de febrero, FJ 3, y 188/1991, de 3 de octubre, FJ 3).</w:t>
      </w:r>
    </w:p>
    <w:p w:rsidR="005728DD" w:rsidRDefault="005728DD" w:rsidP="005728DD">
      <w:pPr>
        <w:pStyle w:val="TextoNormal"/>
      </w:pPr>
    </w:p>
    <w:p w:rsidR="005728DD" w:rsidRDefault="005728DD" w:rsidP="005728DD">
      <w:pPr>
        <w:pStyle w:val="TextoNormal"/>
      </w:pPr>
      <w:r>
        <w:t>En la STC 74/1987, a propósito de la constitucionalidad del art. 520.2 e) LECrim redactado por la Ley Orgánica 14/1983, de 12 de diciembre, sobre el derecho a la asistencia de intérprete por detenidos y presos, este tribunal declaró que “la atribución de este derecho [a ser asistido de un intérprete que deriva del desconocimiento del idioma castellano que impide al detenido ser informado de sus derechos, hacerlos valer y formular las manifestaciones que considere pertinentes], a los españoles que no conozcan suficientemente el castellano y no solo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Añadió que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 (STC 74/1987, de 25 de mayo, FJ 3).</w:t>
      </w:r>
    </w:p>
    <w:p w:rsidR="005728DD" w:rsidRDefault="005728DD" w:rsidP="005728DD">
      <w:pPr>
        <w:pStyle w:val="TextoNormal"/>
      </w:pPr>
    </w:p>
    <w:p w:rsidR="005728DD" w:rsidRDefault="005728DD" w:rsidP="005728DD">
      <w:pPr>
        <w:pStyle w:val="TextoNormal"/>
      </w:pPr>
      <w:r>
        <w:t>De acuerdo con esta doctrina, íntegramente trasladable a la posición del procesado en juicio oral (la temprana STC 5/1984, de 24 de enero, FJ 2, ya reconoció que el derecho a la defensa incluye el derecho de toda persona acusada a ser asistida por un intérprete cuando no comprenda o no pueda expresarse fluidamente en el idioma utilizado en el tribunal), la procedencia, en cada caso, de la asistencia de intérprete, exige valorar no solo el derecho y deber de conocer el castellano (art. 3 CE), sino el hecho concreto de la ignorancia o conocimiento precario de nuestra lengua común, en cuanto afecte al ejercicio de un derecho fundamental, cual es el de defensa (STC 71/1988, de 19 de abril, FJ 2).</w:t>
      </w:r>
    </w:p>
    <w:p w:rsidR="005728DD" w:rsidRDefault="005728DD" w:rsidP="005728DD">
      <w:pPr>
        <w:pStyle w:val="TextoNormal"/>
      </w:pPr>
    </w:p>
    <w:p w:rsidR="005728DD" w:rsidRDefault="005728DD" w:rsidP="005728DD">
      <w:pPr>
        <w:pStyle w:val="TextoNormal"/>
      </w:pPr>
      <w:r>
        <w:t>4.5</w:t>
      </w:r>
      <w:r w:rsidRPr="005728DD">
        <w:rPr>
          <w:i/>
        </w:rPr>
        <w:t>. Resolución de la que</w:t>
      </w:r>
      <w:r>
        <w:t>ja.</w:t>
      </w:r>
    </w:p>
    <w:p w:rsidR="005728DD" w:rsidRDefault="005728DD" w:rsidP="005728DD">
      <w:pPr>
        <w:pStyle w:val="TextoNormal"/>
      </w:pPr>
    </w:p>
    <w:p w:rsidR="005728DD" w:rsidRDefault="005728DD" w:rsidP="005728DD">
      <w:pPr>
        <w:pStyle w:val="TextoNormal"/>
      </w:pPr>
      <w:r>
        <w:t>La aplicación de la doctrina que acabamos de sintetizar nos lleva a descartar el fundamento de la queja.</w:t>
      </w:r>
    </w:p>
    <w:p w:rsidR="005728DD" w:rsidRDefault="005728DD" w:rsidP="005728DD">
      <w:pPr>
        <w:pStyle w:val="TextoNormal"/>
      </w:pPr>
    </w:p>
    <w:p w:rsidR="005728DD" w:rsidRDefault="005728DD" w:rsidP="005728DD">
      <w:pPr>
        <w:pStyle w:val="TextoNormal"/>
      </w:pPr>
      <w:r>
        <w:t xml:space="preserve">a) El recurrente conoce y domina la lengua castellana, por lo que falta el presupuesto establecido por nuestra doctrina en que sustentar la alegada indefensión. Este es el dato </w:t>
      </w:r>
      <w:r>
        <w:lastRenderedPageBreak/>
        <w:t>determinante para rechazar la queja. La propia sentencia impugnada constata que “el juicio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 El tribunal sentenciador, que cuenta con la inestimable ventaja de la inmediación, apreció “la fluidez, la precisión y el dominio de la lengua castellana que evidenciaron todos los procesados” así como “su capacidad argumental, la solidez dialéctica y, en algunos casos, la brillantez de sus exposiciones”. Muestra de ello, dice, es el soporte digital en el que consta la grabación del juicio.</w:t>
      </w:r>
    </w:p>
    <w:p w:rsidR="005728DD" w:rsidRDefault="005728DD" w:rsidP="005728DD">
      <w:pPr>
        <w:pStyle w:val="TextoNormal"/>
      </w:pPr>
    </w:p>
    <w:p w:rsidR="005728DD" w:rsidRDefault="005728DD" w:rsidP="005728DD">
      <w:pPr>
        <w:pStyle w:val="TextoNormal"/>
      </w:pPr>
      <w:r>
        <w:t>El discurso argumental de la demanda cae enteramente en cuanto se constata que toma como punto de partida un presupuesto inexistente. Como ha quedado expuesto, el empleo en el interrogatorio de la lengua catalana, con la asistencia de intérprete, solo resultaría exigibl</w:t>
      </w:r>
      <w:r w:rsidRPr="005728DD">
        <w:rPr>
          <w:i/>
        </w:rPr>
        <w:t xml:space="preserve">e </w:t>
      </w:r>
      <w:r>
        <w:t>ex art. 24.1 CE en caso de ignorancia o conocimiento precario del castellano, lo que ha sido negado.</w:t>
      </w:r>
    </w:p>
    <w:p w:rsidR="005728DD" w:rsidRDefault="005728DD" w:rsidP="005728DD">
      <w:pPr>
        <w:pStyle w:val="TextoNormal"/>
      </w:pPr>
    </w:p>
    <w:p w:rsidR="005728DD" w:rsidRDefault="005728DD" w:rsidP="005728DD">
      <w:pPr>
        <w:pStyle w:val="TextoNormal"/>
      </w:pPr>
      <w:r>
        <w:t>b) Si bien lo anterior descarta la indefensión invocada, cabe agregar que todos los procesados, entre los que se encuentra el ahora recurrente, rehusaron la posibilidad conferida por el órgano de enjuiciamiento de declarar en catalán, siendo asistidos por un intérprete. La indefensión que se alega —que ya hemos descartado y que si seguimos tomando es únicamente por razones argumentativas— solo habría de imputarse a la conducta de la propia parte, debidamente asistida de abogado, lo que, como también veíamos, la excluye del ámbito protector del art. 24 CE.</w:t>
      </w:r>
    </w:p>
    <w:p w:rsidR="005728DD" w:rsidRDefault="005728DD" w:rsidP="005728DD">
      <w:pPr>
        <w:pStyle w:val="TextoNormal"/>
      </w:pPr>
    </w:p>
    <w:p w:rsidR="005728DD" w:rsidRDefault="005728DD" w:rsidP="005728DD">
      <w:pPr>
        <w:pStyle w:val="TextoNormal"/>
      </w:pPr>
      <w:r>
        <w:t xml:space="preserve">El tribunal sentenciador expresa profusamente las razones por las que no acogió el sistema de traducción simultánea solicitado por las defensas y que habría exigido a los miembros del órgano judicial la utilización de auriculares, y, en su lugar, puso a su disposición dos traductores jurados en interpretación sucesiva. Interesa ahora destacar que no fueron “razones económicas ligadas a los costes del proceso” ni “tampoco dificultades técnicas que hicieran inviable la traducción simultánea”, sino la garantía del principio de publicidad, que aquí cobra una especial significación por “la singularidad de este proceso, desarrollado en sesiones orales que se han prolongado durante cuatro meses y televisado mediante </w:t>
      </w:r>
      <w:r w:rsidRPr="005728DD">
        <w:rPr>
          <w:i/>
        </w:rPr>
        <w:t>streaming</w:t>
      </w:r>
      <w:r>
        <w:t xml:space="preserve"> en su integridad”. Debemos subrayar que el tribunal de enjuiciamiento trató así de tutelar un valor esencial, que tiene en nuestra Constitución la doble naturaleza de principio procesal (art. 120.1 CE) y derecho fundamental del justiciable en materia penal (art. 24.2 CE, art. 11 de la Declaración universal de derechos humanos, art. 14 del Pacto internacional de derechos civiles y políticos y art. 6 CEDH). Según la doctrina de este tribunal, es el juicio oral, en el que se producen o reproducen las pruebas de cargo y descargo y se formulan las alegaciones y peticiones definitivas de la acusación y la defensa, el acto procesal en que cobra todo su sentido la publicidad del proceso en su verdadero significado de participación y control de la Justicia por la comunidad (STC 176/1988, de 4 de octubre, FJ 2, con cita de la STC 62/1982, de 15 de octubre, haciendo suya la jurisprudencia del Tribunal Europeo de Derechos Humanos expresada en las SSTEDH de 22 de febrero de 1984, asunto </w:t>
      </w:r>
      <w:r w:rsidRPr="005728DD">
        <w:rPr>
          <w:i/>
        </w:rPr>
        <w:t>Sutter c. Suiza</w:t>
      </w:r>
      <w:r>
        <w:t xml:space="preserve">, y de 8 de diciembre de 1983, asuntos </w:t>
      </w:r>
      <w:r w:rsidRPr="005728DD">
        <w:rPr>
          <w:i/>
        </w:rPr>
        <w:t>Pretto y otros c. Italia</w:t>
      </w:r>
      <w:r>
        <w:t xml:space="preserve">, y </w:t>
      </w:r>
      <w:r w:rsidRPr="005728DD">
        <w:rPr>
          <w:i/>
        </w:rPr>
        <w:t>Axen c. Alemania</w:t>
      </w:r>
      <w:r>
        <w:t xml:space="preserve">, y STC 174/2001, de 26 de julio, FJ 3). Hemos de recordar que la publicidad es garantía del justiciable frente a una Justicia secreta que escape a la fiscalización del público, y constituye también un medio para preservar la confianza de los ciudadanos en los tribunales, de forma que, al dotar de transparencia a la administración de justicia, contribuye a realizar los fines </w:t>
      </w:r>
      <w:r>
        <w:lastRenderedPageBreak/>
        <w:t>del derecho al proceso justo (STEDH de 8 de diciembre de 1983, asunt</w:t>
      </w:r>
      <w:r w:rsidRPr="005728DD">
        <w:rPr>
          <w:i/>
        </w:rPr>
        <w:t>o Axen c. Aleman</w:t>
      </w:r>
      <w:r>
        <w:t>ia, § 25; y STC 83/2019, de 17 de junio, FJ 3).</w:t>
      </w:r>
    </w:p>
    <w:p w:rsidR="005728DD" w:rsidRDefault="005728DD" w:rsidP="005728DD">
      <w:pPr>
        <w:pStyle w:val="TextoNormal"/>
      </w:pPr>
    </w:p>
    <w:p w:rsidR="005728DD" w:rsidRDefault="005728DD" w:rsidP="005728DD">
      <w:pPr>
        <w:pStyle w:val="TextoNormal"/>
      </w:pPr>
      <w:r>
        <w:t>No procede dirigir reproche en este aspecto al Tribunal Supremo, pues, no hallándose siguiera compelido por el art. 24.1 CE a ofrecer ningún sistema de traducción a los procesados, como hemos dejado sentado más arriba, atendió a tan esencial bien jurídico al habilitar un sistema de traducción como el citado, ponderando las superiores ventajas que ofrecía el mismo para la publicidad del proceso frente al inconveniente de la eventual superior duración de los interrogatorios. Como hemos adelantado, la aplicación de la doctrina constitucional sobre la indefensión conduce a afirmar que esa hipotética prolongación temporal de los interrogatorios y del propio juicio constituiría un leve inconveniente que asumió la sala de enjuiciamiento del Tribunal Supremo y que habría de soportar el recurrente en el ejercicio diligente del derecho de defensa, exigible conforme al art. 24 CE.</w:t>
      </w:r>
    </w:p>
    <w:p w:rsidR="005728DD" w:rsidRDefault="005728DD" w:rsidP="005728DD">
      <w:pPr>
        <w:pStyle w:val="TextoNormal"/>
      </w:pPr>
    </w:p>
    <w:p w:rsidR="005728DD" w:rsidRDefault="005728DD" w:rsidP="005728DD">
      <w:pPr>
        <w:pStyle w:val="TextoNormal"/>
      </w:pPr>
      <w:r>
        <w:t xml:space="preserve">c) Respecto de las declaraciones testificales, vale lo dicho </w:t>
      </w:r>
      <w:r w:rsidRPr="005728DD">
        <w:rPr>
          <w:i/>
        </w:rPr>
        <w:t>ut supra</w:t>
      </w:r>
      <w:r>
        <w:t xml:space="preserve"> en cuanto a la procedencia del empleo de la lengua castellana en el juicio desarrollado en la sede del Tribunal Supremo.</w:t>
      </w:r>
    </w:p>
    <w:p w:rsidR="005728DD" w:rsidRDefault="005728DD" w:rsidP="005728DD">
      <w:pPr>
        <w:pStyle w:val="TextoNormal"/>
      </w:pPr>
    </w:p>
    <w:p w:rsidR="005728DD" w:rsidRDefault="005728DD" w:rsidP="005728DD">
      <w:pPr>
        <w:pStyle w:val="TextoNormal"/>
      </w:pPr>
      <w:r>
        <w:t>Tampoco cabe poner en cuestión, respecto de los tres testigos que manifestaron su deseo de expresarse en catalán, que su grado de conocimiento de la lengua castellana les impidiera declarar, incidiera en el correcto entendimiento de las preguntas o en la emisión de las respuestas durante el interrogatorio, afectando así al ámbito protegido por el derecho de defensa (art. 24.1 CE), el derecho a la prueba y a la presunción de inocencia (art. 24.2 CE) de la parte recurrente en amparo, que es la única perspectiva que importa a este recurso.</w:t>
      </w:r>
    </w:p>
    <w:p w:rsidR="005728DD" w:rsidRDefault="005728DD" w:rsidP="005728DD">
      <w:pPr>
        <w:pStyle w:val="TextoNormal"/>
      </w:pPr>
    </w:p>
    <w:p w:rsidR="005728DD" w:rsidRDefault="005728DD" w:rsidP="005728DD">
      <w:pPr>
        <w:pStyle w:val="TextoNormal"/>
      </w:pPr>
      <w:r>
        <w:t>No comparte este tribunal la afirmación efectuada en la demanda según la cual la menor fluidez en el uso de la lengua incide negativamente en la credibilidad del testimonio. Tan apodíctica declaración no se cohonesta con la experiencia y profesionalidad que atesoran los magistrados que integran el tribunal de justicia que tuvo encomendada la valoración de la prueba, órgano jurisdiccional superior en todos los órdenes, salvo lo dispuesto en materia de garantías constitucionales (art. 123.1 CE). En todo caso, como hemos visto, el tribunal de enjuiciamiento, con inmediación, valora que estos tres testigos eran perfectos conocedores de la lengua castellana, hecho que, además, estimó que venía avalado por los cargos que ostentaban o la profesión que ejercían (se trataba de un diputado nacional, un agente de policía autonómica y un abogado en ejercicio). Y en cualquier caso, los testigos no mostraron dificultad alguna para comprender las preguntas que las partes les dirigieron, hasta el punto de que ninguno de ellos hizo indicación alguna al respecto.</w:t>
      </w:r>
    </w:p>
    <w:p w:rsidR="005728DD" w:rsidRDefault="005728DD" w:rsidP="005728DD">
      <w:pPr>
        <w:pStyle w:val="TextoNormal"/>
      </w:pPr>
    </w:p>
    <w:p w:rsidR="005728DD" w:rsidRDefault="005728DD" w:rsidP="005728DD">
      <w:pPr>
        <w:pStyle w:val="TextoNormal"/>
      </w:pPr>
      <w:r>
        <w:t>Finalmente, no nos dice la parte recurrente en qué aspecto del relato fáctico, determinante de su condena, pudieron incidir estas tres declaraciones. El órgano judicial que valoró la prueba y, a partir de ella, confeccionó la relación de hechos probados, calificó esos testimonios de “irrelevantes”. Descartada la utilidad de la prueba en sí misma, decae también el argumento que liga la supuesta merma de credibilidad de los testigos con el derecho de defensa, pues, en todo caso, de tal supuesto no derivó ningún resultado relevante. Rechazamos, por tanto, que la denunciada defectuosidad en estas declaraciones testificales, que no es tal, haya podido causar a la parte recurrente indefensión material proscrita por el artículo 24 de la Constitución.</w:t>
      </w:r>
    </w:p>
    <w:p w:rsidR="005728DD" w:rsidRDefault="005728DD" w:rsidP="005728DD">
      <w:pPr>
        <w:pStyle w:val="TextoNormal"/>
      </w:pPr>
    </w:p>
    <w:p w:rsidR="005728DD" w:rsidRDefault="005728DD" w:rsidP="005728DD">
      <w:pPr>
        <w:pStyle w:val="TextoNormal"/>
      </w:pPr>
      <w:r>
        <w:lastRenderedPageBreak/>
        <w:t>Procede, en consecuencia, desestimar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El derecho a un juez imparcial</w:t>
      </w:r>
      <w:r>
        <w:t>.</w:t>
      </w:r>
    </w:p>
    <w:p w:rsidR="005728DD" w:rsidRDefault="005728DD" w:rsidP="005728DD">
      <w:pPr>
        <w:pStyle w:val="TextoNormal"/>
      </w:pPr>
    </w:p>
    <w:p w:rsidR="005728DD" w:rsidRDefault="005728DD" w:rsidP="005728DD">
      <w:pPr>
        <w:pStyle w:val="TextoNormal"/>
      </w:pPr>
      <w:r>
        <w:t>El demandante de amparo alega la vulneración del derecho a un juez imparcial, con invocación expresa del art. 24 CE y del art. 6 CEDH. El planteamiento de este motivo de amparo se desarrolla, a su vez, en varias quejas concretas que, sin perjuicio de su relación con el derecho fundamental alegado, presentan una distinta naturaleza y significación, por lo que deben ser resueltas de manera individualizada.</w:t>
      </w:r>
    </w:p>
    <w:p w:rsidR="005728DD" w:rsidRDefault="005728DD" w:rsidP="005728DD">
      <w:pPr>
        <w:pStyle w:val="TextoNormal"/>
      </w:pPr>
    </w:p>
    <w:p w:rsidR="005728DD" w:rsidRDefault="005728DD" w:rsidP="005728DD">
      <w:pPr>
        <w:pStyle w:val="TextoNormal"/>
      </w:pPr>
      <w:r>
        <w:t>En efecto, la vulneración alegada se basa, por un lado, en la desestimación de las diversas recusaciones formuladas a lo largo de todo el procedimiento y, por otro, en el denominado como “rol inquisitivo” asumido por el presidente de la sala de enjuiciamiento, en uno de los interrogatorios llevados a cabo en el acto del juicio oral.</w:t>
      </w:r>
    </w:p>
    <w:p w:rsidR="005728DD" w:rsidRDefault="005728DD" w:rsidP="005728DD">
      <w:pPr>
        <w:pStyle w:val="TextoNormal"/>
      </w:pPr>
    </w:p>
    <w:p w:rsidR="005728DD" w:rsidRDefault="005728DD" w:rsidP="005728DD">
      <w:pPr>
        <w:pStyle w:val="TextoNormal"/>
      </w:pPr>
      <w:r>
        <w:t>La pluralidad y heterogeneidad de las vulneraciones alegadas aconsejan, en este caso, iniciar su análisis mediante la reseña de la doctrina jurisprudencial sobre el derecho invocado.</w:t>
      </w:r>
    </w:p>
    <w:p w:rsidR="005728DD" w:rsidRDefault="005728DD" w:rsidP="005728DD">
      <w:pPr>
        <w:pStyle w:val="TextoNormal"/>
      </w:pPr>
    </w:p>
    <w:p w:rsidR="005728DD" w:rsidRDefault="005728DD" w:rsidP="005728DD">
      <w:pPr>
        <w:pStyle w:val="TextoNormal"/>
      </w:pPr>
      <w:r>
        <w:t xml:space="preserve">5.1. </w:t>
      </w:r>
      <w:r w:rsidRPr="005728DD">
        <w:rPr>
          <w:i/>
        </w:rPr>
        <w:t>Doctrina jurisprudencial sobre el derecho al juez imparcial</w:t>
      </w:r>
      <w:r>
        <w:t>.</w:t>
      </w:r>
    </w:p>
    <w:p w:rsidR="005728DD" w:rsidRDefault="005728DD" w:rsidP="005728DD">
      <w:pPr>
        <w:pStyle w:val="TextoNormal"/>
      </w:pPr>
    </w:p>
    <w:p w:rsidR="005728DD" w:rsidRDefault="005728DD" w:rsidP="005728DD">
      <w:pPr>
        <w:pStyle w:val="TextoNormal"/>
      </w:pPr>
      <w:r>
        <w:t xml:space="preserve">5.1.1. </w:t>
      </w:r>
      <w:r w:rsidRPr="005728DD">
        <w:rPr>
          <w:i/>
        </w:rPr>
        <w:t>Doctrina del Tribunal Constitucional</w:t>
      </w:r>
      <w:r>
        <w:t>.</w:t>
      </w:r>
    </w:p>
    <w:p w:rsidR="005728DD" w:rsidRDefault="005728DD" w:rsidP="005728DD">
      <w:pPr>
        <w:pStyle w:val="TextoNormal"/>
      </w:pPr>
    </w:p>
    <w:p w:rsidR="005728DD" w:rsidRDefault="005728DD" w:rsidP="005728DD">
      <w:pPr>
        <w:pStyle w:val="TextoNormal"/>
      </w:pPr>
      <w:r>
        <w:t>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005728DD" w:rsidRDefault="005728DD" w:rsidP="005728DD">
      <w:pPr>
        <w:pStyle w:val="TextoNormal"/>
      </w:pPr>
    </w:p>
    <w:p w:rsidR="005728DD" w:rsidRDefault="005728DD" w:rsidP="005728DD">
      <w:pPr>
        <w:pStyle w:val="TextoNormal"/>
      </w:pPr>
      <w: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en la interpretación del art. 6.1 CEDH, representada en aquel momento por las SSTEDH de 1 de octubre de 1982, asunto </w:t>
      </w:r>
      <w:r w:rsidRPr="005728DD">
        <w:rPr>
          <w:i/>
        </w:rPr>
        <w:t>Piersack c. Bélgica</w:t>
      </w:r>
      <w:r>
        <w:t xml:space="preserve">, y de 26 de octubre de 1984, asunto </w:t>
      </w:r>
      <w:r w:rsidRPr="005728DD">
        <w:rPr>
          <w:i/>
        </w:rPr>
        <w:t>De Cubber c. Bélgica</w:t>
      </w:r>
      <w:r>
        <w:t xml:space="preserve">, y plasmada posteriormente —entre otras muchas— en las SSTEDH de 24 de mayo de 1989, asunto </w:t>
      </w:r>
      <w:r w:rsidRPr="005728DD">
        <w:rPr>
          <w:i/>
        </w:rPr>
        <w:t>Hauschildt c. Dinamarca</w:t>
      </w:r>
      <w:r>
        <w:t xml:space="preserve">, de 25 de noviembre de 1993, asunto </w:t>
      </w:r>
      <w:r w:rsidRPr="005728DD">
        <w:rPr>
          <w:i/>
        </w:rPr>
        <w:t>Holm c. Suecia</w:t>
      </w:r>
      <w:r>
        <w:t xml:space="preserve">, de 28 de octubre de 1998, asunto </w:t>
      </w:r>
      <w:r w:rsidRPr="005728DD">
        <w:rPr>
          <w:i/>
        </w:rPr>
        <w:t>Castillo Algar c. España</w:t>
      </w:r>
      <w:r>
        <w:t xml:space="preserve">, de 22 de junio de 1989, asunto </w:t>
      </w:r>
      <w:r w:rsidRPr="005728DD">
        <w:rPr>
          <w:i/>
        </w:rPr>
        <w:t>Langborger c. Suecia</w:t>
      </w:r>
      <w:r>
        <w:t xml:space="preserve">, o más recientemente, en las SSTEDH de 6 de enero de 2010, asunto </w:t>
      </w:r>
      <w:r w:rsidRPr="005728DD">
        <w:rPr>
          <w:i/>
        </w:rPr>
        <w:t>Vera Fernández-Huidobro c. España</w:t>
      </w:r>
      <w:r>
        <w:t xml:space="preserve">, o de 6 de noviembre de 2018, asunto </w:t>
      </w:r>
      <w:r w:rsidRPr="005728DD">
        <w:rPr>
          <w:i/>
        </w:rPr>
        <w:t>Otegi Mondragón y otros c. España</w:t>
      </w:r>
      <w:r>
        <w:t>.</w:t>
      </w:r>
    </w:p>
    <w:p w:rsidR="005728DD" w:rsidRDefault="005728DD" w:rsidP="005728DD">
      <w:pPr>
        <w:pStyle w:val="TextoNormal"/>
      </w:pPr>
    </w:p>
    <w:p w:rsidR="005728DD" w:rsidRDefault="005728DD" w:rsidP="005728DD">
      <w:pPr>
        <w:pStyle w:val="TextoNormal"/>
      </w:pPr>
      <w:r>
        <w:t>Este tribunal ha conformado un cuerpo doctrinal sobre el derecho al juez imparcial que, de forma sistematizada y en lo que ahora interesa para la resolución de este recurso, puede exponerse de la siguiente manera:</w:t>
      </w:r>
    </w:p>
    <w:p w:rsidR="005728DD" w:rsidRDefault="005728DD" w:rsidP="005728DD">
      <w:pPr>
        <w:pStyle w:val="TextoNormal"/>
      </w:pPr>
    </w:p>
    <w:p w:rsidR="005728DD" w:rsidRDefault="005728DD" w:rsidP="005728DD">
      <w:pPr>
        <w:pStyle w:val="TextoNormal"/>
      </w:pPr>
      <w:r>
        <w:lastRenderedPageBreak/>
        <w:t>a) El derecho al juez imparcial es una garantía fundamental del sistema de justicia.</w:t>
      </w:r>
    </w:p>
    <w:p w:rsidR="005728DD" w:rsidRDefault="005728DD" w:rsidP="005728DD">
      <w:pPr>
        <w:pStyle w:val="TextoNormal"/>
      </w:pPr>
    </w:p>
    <w:p w:rsidR="005728DD" w:rsidRDefault="005728DD" w:rsidP="005728DD">
      <w:pPr>
        <w:pStyle w:val="TextoNormal"/>
      </w:pPr>
      <w:r>
        <w:t>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005728DD" w:rsidRDefault="005728DD" w:rsidP="005728DD">
      <w:pPr>
        <w:pStyle w:val="TextoNormal"/>
      </w:pPr>
    </w:p>
    <w:p w:rsidR="005728DD" w:rsidRDefault="005728DD" w:rsidP="005728DD">
      <w:pPr>
        <w:pStyle w:val="TextoNormal"/>
      </w:pPr>
      <w: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w:t>
      </w:r>
      <w:r w:rsidRPr="005728DD">
        <w:rPr>
          <w:i/>
        </w:rPr>
        <w:t>a priori</w:t>
      </w:r>
      <w:r>
        <w:t xml:space="preserve">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005728DD" w:rsidRDefault="005728DD" w:rsidP="005728DD">
      <w:pPr>
        <w:pStyle w:val="TextoNormal"/>
      </w:pPr>
    </w:p>
    <w:p w:rsidR="005728DD" w:rsidRDefault="005728DD" w:rsidP="005728DD">
      <w:pPr>
        <w:pStyle w:val="TextoNormal"/>
      </w:pPr>
      <w:r>
        <w:t>b) La imparcialidad judicial comprende dos vertientes: subjetiva y objetiva.</w:t>
      </w:r>
    </w:p>
    <w:p w:rsidR="005728DD" w:rsidRDefault="005728DD" w:rsidP="005728DD">
      <w:pPr>
        <w:pStyle w:val="TextoNormal"/>
      </w:pPr>
    </w:p>
    <w:p w:rsidR="005728DD" w:rsidRDefault="005728DD" w:rsidP="005728DD">
      <w:pPr>
        <w:pStyle w:val="TextoNormal"/>
      </w:pPr>
      <w: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5728DD">
        <w:rPr>
          <w:i/>
        </w:rPr>
        <w:t>thema decidendi</w:t>
      </w:r>
      <w:r>
        <w:t xml:space="preserve"> sin haber tomado postura en relación con él (así, SSTC 47/2011, de 12 de abril, FJ 9; 60/2008, de 26 de mayo, FJ 3, o 26/2007, de 12 de febrero, FJ 4)” (STC 133/2014, de 22 de julio, FJ 2).</w:t>
      </w:r>
    </w:p>
    <w:p w:rsidR="005728DD" w:rsidRDefault="005728DD" w:rsidP="005728DD">
      <w:pPr>
        <w:pStyle w:val="TextoNormal"/>
      </w:pPr>
    </w:p>
    <w:p w:rsidR="005728DD" w:rsidRDefault="005728DD" w:rsidP="005728DD">
      <w:pPr>
        <w:pStyle w:val="TextoNormal"/>
      </w:pPr>
      <w:r>
        <w:t>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005728DD" w:rsidRDefault="005728DD" w:rsidP="005728DD">
      <w:pPr>
        <w:pStyle w:val="TextoNormal"/>
      </w:pPr>
    </w:p>
    <w:p w:rsidR="005728DD" w:rsidRDefault="005728DD" w:rsidP="005728DD">
      <w:pPr>
        <w:pStyle w:val="TextoNormal"/>
      </w:pPr>
      <w:r>
        <w:t>c) La imparcialidad objetiva debe ser ponderada en cada caso concreto.</w:t>
      </w:r>
    </w:p>
    <w:p w:rsidR="005728DD" w:rsidRDefault="005728DD" w:rsidP="005728DD">
      <w:pPr>
        <w:pStyle w:val="TextoNormal"/>
      </w:pPr>
    </w:p>
    <w:p w:rsidR="005728DD" w:rsidRDefault="005728DD" w:rsidP="005728DD">
      <w:pPr>
        <w:pStyle w:val="TextoNormal"/>
      </w:pPr>
      <w:r>
        <w:lastRenderedPageBreak/>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w:t>
      </w:r>
      <w:r w:rsidRPr="005728DD">
        <w:rPr>
          <w:i/>
        </w:rPr>
        <w:t>Oberschlick</w:t>
      </w:r>
      <w:r>
        <w:t xml:space="preserve">, § 48 a 52) o, más en general, el pronunciamiento sobre los hechos debatidos en un pleito anterior (SSTC 138/1994, de 9 de mayo, FJ 7; 47/1998, de 2 de marzo, FJ 4; y SSTEDH de 7 de agosto de 1996, caso </w:t>
      </w:r>
      <w:r w:rsidRPr="005728DD">
        <w:rPr>
          <w:i/>
        </w:rPr>
        <w:t>Ferrantelli y Santangelo</w:t>
      </w:r>
      <w:r>
        <w:t xml:space="preserve">, y de 26 de agosto de 1997, caso </w:t>
      </w:r>
      <w:r w:rsidRPr="005728DD">
        <w:rPr>
          <w:i/>
        </w:rPr>
        <w:t>De Haan</w:t>
      </w:r>
      <w:r>
        <w:t>).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005728DD" w:rsidRDefault="005728DD" w:rsidP="005728DD">
      <w:pPr>
        <w:pStyle w:val="TextoNormal"/>
      </w:pPr>
    </w:p>
    <w:p w:rsidR="005728DD" w:rsidRDefault="005728DD" w:rsidP="005728DD">
      <w:pPr>
        <w:pStyle w:val="TextoNormal"/>
      </w:pPr>
      <w:r>
        <w:t>“La concreción de esta doctrina constitucional [se continúa apuntando]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005728DD" w:rsidRDefault="005728DD" w:rsidP="005728DD">
      <w:pPr>
        <w:pStyle w:val="TextoNormal"/>
      </w:pPr>
    </w:p>
    <w:p w:rsidR="005728DD" w:rsidRDefault="005728DD" w:rsidP="005728DD">
      <w:pPr>
        <w:pStyle w:val="TextoNormal"/>
      </w:pPr>
      <w:r>
        <w:t>d) La imparcialidad judicial se presume.</w:t>
      </w:r>
    </w:p>
    <w:p w:rsidR="005728DD" w:rsidRDefault="005728DD" w:rsidP="005728DD">
      <w:pPr>
        <w:pStyle w:val="TextoNormal"/>
      </w:pPr>
    </w:p>
    <w:p w:rsidR="005728DD" w:rsidRDefault="005728DD" w:rsidP="005728DD">
      <w:pPr>
        <w:pStyle w:val="TextoNormal"/>
      </w:pPr>
      <w:r>
        <w:t>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005728DD" w:rsidRDefault="005728DD" w:rsidP="005728DD">
      <w:pPr>
        <w:pStyle w:val="TextoNormal"/>
      </w:pPr>
    </w:p>
    <w:p w:rsidR="005728DD" w:rsidRDefault="005728DD" w:rsidP="005728DD">
      <w:pPr>
        <w:pStyle w:val="TextoNormal"/>
      </w:pPr>
      <w:r>
        <w:lastRenderedPageBreak/>
        <w:t>e) El derecho al juez imparcial debe hacerse valer a través del incidente de recusación.</w:t>
      </w:r>
    </w:p>
    <w:p w:rsidR="005728DD" w:rsidRDefault="005728DD" w:rsidP="005728DD">
      <w:pPr>
        <w:pStyle w:val="TextoNormal"/>
      </w:pPr>
    </w:p>
    <w:p w:rsidR="005728DD" w:rsidRDefault="005728DD" w:rsidP="005728DD">
      <w:pPr>
        <w:pStyle w:val="TextoNormal"/>
      </w:pPr>
      <w:r>
        <w:t>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005728DD" w:rsidRDefault="005728DD" w:rsidP="005728DD">
      <w:pPr>
        <w:pStyle w:val="TextoNormal"/>
      </w:pPr>
    </w:p>
    <w:p w:rsidR="005728DD" w:rsidRDefault="005728DD" w:rsidP="005728DD">
      <w:pPr>
        <w:pStyle w:val="TextoNormal"/>
      </w:pPr>
      <w:r>
        <w:t>f) El incidente de recusación puede ser rechazad</w:t>
      </w:r>
      <w:r w:rsidRPr="005728DD">
        <w:rPr>
          <w:i/>
        </w:rPr>
        <w:t>o a limi</w:t>
      </w:r>
      <w:r>
        <w:t>ne, incluso por el órgano recusado.</w:t>
      </w:r>
    </w:p>
    <w:p w:rsidR="005728DD" w:rsidRDefault="005728DD" w:rsidP="005728DD">
      <w:pPr>
        <w:pStyle w:val="TextoNormal"/>
      </w:pPr>
    </w:p>
    <w:p w:rsidR="005728DD" w:rsidRDefault="005728DD" w:rsidP="005728DD">
      <w:pPr>
        <w:pStyle w:val="TextoNormal"/>
      </w:pPr>
      <w:r>
        <w:t xml:space="preserve">Aunque la “regla general es […] que el órgano recusado ha de dar curso a la recusación para que sea examinada por un órgano distinto a aquel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w:t>
      </w:r>
      <w:r w:rsidRPr="005728DD">
        <w:rPr>
          <w:i/>
        </w:rPr>
        <w:t>a limine</w:t>
      </w:r>
      <w:r>
        <w:t xml:space="preserve"> de la recusación por los propios recusados, ya admitimos que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w:t>
      </w:r>
      <w:r w:rsidRPr="005728DD">
        <w:rPr>
          <w:i/>
        </w:rPr>
        <w:t>prima facie</w:t>
      </w:r>
      <w:r>
        <w:t xml:space="preserve"> de modo manifiesto, claro y terminante y, además, que la tramitación ordinaria del incidente pueda causar perjuicios relevantes al proceso principal” (STC 155/2002, de 22 de julio, FJ 6).</w:t>
      </w:r>
    </w:p>
    <w:p w:rsidR="005728DD" w:rsidRDefault="005728DD" w:rsidP="005728DD">
      <w:pPr>
        <w:pStyle w:val="TextoNormal"/>
      </w:pPr>
    </w:p>
    <w:p w:rsidR="005728DD" w:rsidRDefault="005728DD" w:rsidP="005728DD">
      <w:pPr>
        <w:pStyle w:val="TextoNormal"/>
      </w:pPr>
      <w:r>
        <w:t xml:space="preserve">Finalmente, 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 Resulta, en consecuencia, constitucionalmente lícita la aplicación de un criterio riguroso a la hora de enjuiciar tanto si la parte obró con diligencia para hacer valer </w:t>
      </w:r>
      <w:r>
        <w:lastRenderedPageBreak/>
        <w:t>la recusación en un momento anterior a la sentencia, como la realidad de la concurrencia de la causa de recusación que eventualmente se invoque”.</w:t>
      </w:r>
    </w:p>
    <w:p w:rsidR="005728DD" w:rsidRDefault="005728DD" w:rsidP="005728DD">
      <w:pPr>
        <w:pStyle w:val="TextoNormal"/>
      </w:pPr>
    </w:p>
    <w:p w:rsidR="005728DD" w:rsidRDefault="005728DD" w:rsidP="005728DD">
      <w:pPr>
        <w:pStyle w:val="TextoNormal"/>
      </w:pPr>
      <w:r>
        <w:t xml:space="preserve">5.1.2. </w:t>
      </w:r>
      <w:r w:rsidRPr="005728DD">
        <w:rPr>
          <w:i/>
        </w:rPr>
        <w:t>Doctrina del Tribunal Europeo de Derechos Humanos</w:t>
      </w:r>
      <w:r>
        <w:t>.</w:t>
      </w:r>
    </w:p>
    <w:p w:rsidR="005728DD" w:rsidRDefault="005728DD" w:rsidP="005728DD">
      <w:pPr>
        <w:pStyle w:val="TextoNormal"/>
      </w:pPr>
    </w:p>
    <w:p w:rsidR="005728DD" w:rsidRDefault="005728DD" w:rsidP="005728DD">
      <w:pPr>
        <w:pStyle w:val="TextoNormal"/>
      </w:pPr>
      <w:r>
        <w:t>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005728DD" w:rsidRDefault="005728DD" w:rsidP="005728DD">
      <w:pPr>
        <w:pStyle w:val="TextoNormal"/>
      </w:pPr>
    </w:p>
    <w:p w:rsidR="005728DD" w:rsidRDefault="005728DD" w:rsidP="005728DD">
      <w:pPr>
        <w:pStyle w:val="TextoNormal"/>
      </w:pPr>
      <w:r>
        <w:t xml:space="preserve">Así, en la STEDH de 6 de noviembre de 2018, asunto </w:t>
      </w:r>
      <w:r w:rsidRPr="005728DD">
        <w:rPr>
          <w:i/>
        </w:rPr>
        <w:t>Otegi Mondragón y otros c. España</w:t>
      </w:r>
      <w:r>
        <w:t>, § 52 a 57, con cita de otras anteriores, se realiza una exposición de los principios generales en esta materia que, en lo que ahora interesa, se pueden resumir de la siguiente manera.</w:t>
      </w:r>
    </w:p>
    <w:p w:rsidR="005728DD" w:rsidRDefault="005728DD" w:rsidP="005728DD">
      <w:pPr>
        <w:pStyle w:val="TextoNormal"/>
      </w:pPr>
    </w:p>
    <w:p w:rsidR="005728DD" w:rsidRDefault="005728DD" w:rsidP="005728DD">
      <w:pPr>
        <w:pStyle w:val="TextoNormal"/>
      </w:pPr>
      <w:r>
        <w:t xml:space="preserve">a) La imparcialidad judicial comprende dos perspectivas: subjetiva y objetiva. El tribunal europeo expone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w:t>
      </w:r>
      <w:r w:rsidRPr="005728DD">
        <w:rPr>
          <w:i/>
        </w:rPr>
        <w:t>Kyprianou c. Chipre</w:t>
      </w:r>
      <w:r>
        <w:t xml:space="preserve"> [GC], § 118, y de 15 de octubre de 2009, asunt</w:t>
      </w:r>
      <w:r w:rsidRPr="005728DD">
        <w:rPr>
          <w:i/>
        </w:rPr>
        <w:t>o Micallef c. Mal</w:t>
      </w:r>
      <w:r>
        <w:t>ta [GC], § 93)”.</w:t>
      </w:r>
    </w:p>
    <w:p w:rsidR="005728DD" w:rsidRDefault="005728DD" w:rsidP="005728DD">
      <w:pPr>
        <w:pStyle w:val="TextoNormal"/>
      </w:pPr>
    </w:p>
    <w:p w:rsidR="005728DD" w:rsidRDefault="005728DD" w:rsidP="005728DD">
      <w:pPr>
        <w:pStyle w:val="TextoNormal"/>
      </w:pPr>
      <w: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w:t>
      </w:r>
      <w:r w:rsidRPr="005728DD">
        <w:rPr>
          <w:i/>
        </w:rPr>
        <w:t>Kyprianou</w:t>
      </w:r>
      <w:r>
        <w:t>, anteriormente citado, § 119). Por ello, en aquellos casos en los que pudiera ser difícil encontrar pruebas en base a las cuales rebatir la presunción de imparcialidad subjetiva de un juez, la exigencia de imparcialidad objetiva proporciona una importante garantía adicional (véase, de 10 de junio de 1996</w:t>
      </w:r>
      <w:r w:rsidRPr="005728DD">
        <w:rPr>
          <w:i/>
        </w:rPr>
        <w:t>, Pullar c. Reino Uni</w:t>
      </w:r>
      <w:r>
        <w:t>do, § 32, Informes 1996-III)”.</w:t>
      </w:r>
    </w:p>
    <w:p w:rsidR="005728DD" w:rsidRDefault="005728DD" w:rsidP="005728DD">
      <w:pPr>
        <w:pStyle w:val="TextoNormal"/>
      </w:pPr>
    </w:p>
    <w:p w:rsidR="005728DD" w:rsidRDefault="005728DD" w:rsidP="005728DD">
      <w:pPr>
        <w:pStyle w:val="TextoNormal"/>
      </w:pPr>
      <w: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w:t>
      </w:r>
      <w:r w:rsidRPr="005728DD">
        <w:rPr>
          <w:i/>
        </w:rPr>
        <w:t>Kyprianou</w:t>
      </w:r>
      <w:r>
        <w:t xml:space="preserve">, anteriormente citado, § 119, y </w:t>
      </w:r>
      <w:r w:rsidRPr="005728DD">
        <w:rPr>
          <w:i/>
        </w:rPr>
        <w:t>Micallef</w:t>
      </w:r>
      <w:r>
        <w:t xml:space="preserve">, anteriormente citado, § 94). La imparcialidad personal de un juez debe presumirse mientras no se pruebe lo contrario (véase, de 24 de mayo de 1989, </w:t>
      </w:r>
      <w:r w:rsidRPr="005728DD">
        <w:rPr>
          <w:i/>
        </w:rPr>
        <w:t>Hauschildt c. Dinamarca</w:t>
      </w:r>
      <w:r>
        <w:t xml:space="preserve">, § 47, Serie A núm. 154). Respecto del tipo de prueba que se requiere para ello, este tribunal, por ejemplo, requiere que se acredite si el juez ha mostrado hostilidad o animadversión por razones personales (véase </w:t>
      </w:r>
      <w:r w:rsidRPr="005728DD">
        <w:rPr>
          <w:i/>
        </w:rPr>
        <w:t>De Cubber v. Bélgica</w:t>
      </w:r>
      <w:r>
        <w:t>, de 26 de octubre de 1984, § 25, Serie A núm. 86)”.</w:t>
      </w:r>
    </w:p>
    <w:p w:rsidR="005728DD" w:rsidRDefault="005728DD" w:rsidP="005728DD">
      <w:pPr>
        <w:pStyle w:val="TextoNormal"/>
      </w:pPr>
    </w:p>
    <w:p w:rsidR="005728DD" w:rsidRDefault="005728DD" w:rsidP="005728DD">
      <w:pPr>
        <w:pStyle w:val="TextoNormal"/>
      </w:pPr>
      <w:r>
        <w:lastRenderedPageBreak/>
        <w:t>d) La imparcialidad ha de analizarse en función de las circunstancias del caso concreto. En relación con el criterio objetivo, se deben “analizar los vínculos jerárquicos o de otra naturaleza que existen entre el juez y los otros protagonistas de un procedimiento (</w:t>
      </w:r>
      <w:r w:rsidRPr="005728DD">
        <w:rPr>
          <w:i/>
        </w:rPr>
        <w:t>ibid</w:t>
      </w:r>
      <w:r>
        <w:t>. § 97). Por lo tanto, se debe examinar en cada caso concreto si es de tal naturaleza e intensidad como para implicar una falta de imparcialidad por parte del tribunal (véas</w:t>
      </w:r>
      <w:r w:rsidRPr="005728DD">
        <w:rPr>
          <w:i/>
        </w:rPr>
        <w:t>e Pull</w:t>
      </w:r>
      <w:r>
        <w:t>ar, anteriormente citado, § 38)”.</w:t>
      </w:r>
    </w:p>
    <w:p w:rsidR="005728DD" w:rsidRDefault="005728DD" w:rsidP="005728DD">
      <w:pPr>
        <w:pStyle w:val="TextoNormal"/>
      </w:pPr>
    </w:p>
    <w:p w:rsidR="005728DD" w:rsidRDefault="005728DD" w:rsidP="005728DD">
      <w:pPr>
        <w:pStyle w:val="TextoNormal"/>
      </w:pPr>
      <w: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w:t>
      </w:r>
      <w:r w:rsidRPr="005728DD">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w:t>
      </w:r>
      <w:r w:rsidRPr="005728DD">
        <w:rPr>
          <w:i/>
        </w:rPr>
        <w:t>Castillo Algar v. España</w:t>
      </w:r>
      <w:r>
        <w:t>, de 28 de octubre de 1998, § 45, Informes 199</w:t>
      </w:r>
      <w:r w:rsidRPr="005728DD">
        <w:rPr>
          <w:i/>
        </w:rPr>
        <w:t>8-VI</w:t>
      </w:r>
      <w:r>
        <w:t xml:space="preserve">II; </w:t>
      </w:r>
      <w:r w:rsidRPr="005728DD">
        <w:rPr>
          <w:i/>
        </w:rPr>
        <w:t>y Micall</w:t>
      </w:r>
      <w:r>
        <w:t>ef, anteriormente citado, § 98)”.</w:t>
      </w:r>
    </w:p>
    <w:p w:rsidR="005728DD" w:rsidRDefault="005728DD" w:rsidP="005728DD">
      <w:pPr>
        <w:pStyle w:val="TextoNormal"/>
      </w:pPr>
    </w:p>
    <w:p w:rsidR="005728DD" w:rsidRDefault="005728DD" w:rsidP="005728DD">
      <w:pPr>
        <w:pStyle w:val="TextoNormal"/>
      </w:pPr>
      <w:r>
        <w:t>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o un tribunal carecen de imparcialidad, el punto de vista de la persona afectada es importante pero no decisivo. Lo que es decisivo es determinar si dicho temor puede considerarse objetivamente justificado (véas</w:t>
      </w:r>
      <w:r w:rsidRPr="005728DD">
        <w:rPr>
          <w:i/>
        </w:rPr>
        <w:t>e Micall</w:t>
      </w:r>
      <w:r>
        <w:t>ef, anteriormente citado, § 96)”.</w:t>
      </w:r>
    </w:p>
    <w:p w:rsidR="005728DD" w:rsidRDefault="005728DD" w:rsidP="005728DD">
      <w:pPr>
        <w:pStyle w:val="TextoNormal"/>
      </w:pPr>
    </w:p>
    <w:p w:rsidR="005728DD" w:rsidRDefault="005728DD" w:rsidP="005728DD">
      <w:pPr>
        <w:pStyle w:val="TextoNormal"/>
      </w:pPr>
      <w:r>
        <w:t>Una vez expuesta la doctrina de este tribunal y del Tribunal Europeo de Derecho Humanos procede abordar el análisis de las distintas quejas formuladas, siguiendo el orden propuesto en el escrito de demanda.</w:t>
      </w:r>
    </w:p>
    <w:p w:rsidR="005728DD" w:rsidRDefault="005728DD" w:rsidP="005728DD">
      <w:pPr>
        <w:pStyle w:val="TextoNormal"/>
      </w:pPr>
    </w:p>
    <w:p w:rsidR="005728DD" w:rsidRDefault="005728DD" w:rsidP="005728DD">
      <w:pPr>
        <w:pStyle w:val="TextoNormal"/>
      </w:pPr>
      <w:r>
        <w:t>5.2</w:t>
      </w:r>
      <w:r w:rsidRPr="005728DD">
        <w:rPr>
          <w:i/>
        </w:rPr>
        <w:t>. La recusación del magistrado instruct</w:t>
      </w:r>
      <w:r>
        <w:t>or.</w:t>
      </w:r>
    </w:p>
    <w:p w:rsidR="005728DD" w:rsidRDefault="005728DD" w:rsidP="005728DD">
      <w:pPr>
        <w:pStyle w:val="TextoNormal"/>
      </w:pPr>
    </w:p>
    <w:p w:rsidR="005728DD" w:rsidRDefault="005728DD" w:rsidP="005728DD">
      <w:pPr>
        <w:pStyle w:val="TextoNormal"/>
      </w:pPr>
      <w:r>
        <w:t>5.2.1</w:t>
      </w:r>
      <w:r w:rsidRPr="005728DD">
        <w:rPr>
          <w:i/>
        </w:rPr>
        <w:t>. Posiciones de las part</w:t>
      </w:r>
      <w:r>
        <w:t>es.</w:t>
      </w:r>
    </w:p>
    <w:p w:rsidR="005728DD" w:rsidRDefault="005728DD" w:rsidP="005728DD">
      <w:pPr>
        <w:pStyle w:val="TextoNormal"/>
      </w:pPr>
    </w:p>
    <w:p w:rsidR="005728DD" w:rsidRDefault="005728DD" w:rsidP="005728DD">
      <w:pPr>
        <w:pStyle w:val="TextoNormal"/>
      </w:pPr>
      <w:r>
        <w:t>La demanda cuestiona la imparcialidad del magistrado instructor, que se concreta en la pérdida de la necesaria equidistancia con los hechos investigados. Se basa para ello, esencialmente, en la expresión “la estrategia que sufrimos”, que se contiene en la página 54 del auto de procesamiento de 21 de marzo de 2018. Con esa expresión, el magistrado se estaría colocando a sí mismo como víctima de la infracción delictiva investigada, lo que determinaría la concurrencia de la causa de abstención y/o de recusación prevista en el art. 219.10 LOPJ; es decir, “[t]ener interés directo o indirecto en el pleito o causa”. La misma expresión se contiene en el auto de 12 de abril de 2018, por el que se deniega la libertad interesada por uno de los procesados.</w:t>
      </w:r>
    </w:p>
    <w:p w:rsidR="005728DD" w:rsidRDefault="005728DD" w:rsidP="005728DD">
      <w:pPr>
        <w:pStyle w:val="TextoNormal"/>
      </w:pPr>
    </w:p>
    <w:p w:rsidR="005728DD" w:rsidRDefault="005728DD" w:rsidP="005728DD">
      <w:pPr>
        <w:pStyle w:val="TextoNormal"/>
      </w:pPr>
      <w:r>
        <w:t>El recurrente puso de manifiesto esta cuestión, por adhesión a los argumentos expuestos por otra de las partes, en el trámite del recurso de apelación interpuesto contra el auto de 9 de mayo de 2018 por el que se desestimaron los recursos de reforma planteados, a su vez, contra el auto de procesamiento. Esta pretensión fue reiterada en fecha 12 de febrero de 2019, en el trámite de cuestiones previas.</w:t>
      </w:r>
    </w:p>
    <w:p w:rsidR="005728DD" w:rsidRDefault="005728DD" w:rsidP="005728DD">
      <w:pPr>
        <w:pStyle w:val="TextoNormal"/>
      </w:pPr>
    </w:p>
    <w:p w:rsidR="005728DD" w:rsidRDefault="005728DD" w:rsidP="005728DD">
      <w:pPr>
        <w:pStyle w:val="TextoNormal"/>
      </w:pPr>
      <w:r>
        <w:lastRenderedPageBreak/>
        <w:t>Sobre este motivo de amparo, el Ministerio Fiscal plantea inicialmente un óbice procesal de inadmisión, conforme a lo dispuesto en el art. 50.1 a) LOTC, en relación con el art. 44.1 c) LOTC. No obstante, se pronuncia también sobre el fondo para descartar la vulneración denunciada. A juicio del fiscal, la expresión controvertida debe interpretarse como un sentimiento colectivo, no como un interés singularizado del magistrado, además de tratarse de una expresión aislada, sin relevancia para las actuaciones de instrucción. El abogado del Estado señala que la expresión guarda directa relación con la descripción que se hace en el auto de procesamiento sobre el contenido del Libro Blanco; mientras que el partido político Vox argumenta que las alegaciones del recurrente son “meras sospechas” que no resultan objetivamente justificadas.</w:t>
      </w:r>
    </w:p>
    <w:p w:rsidR="005728DD" w:rsidRDefault="005728DD" w:rsidP="005728DD">
      <w:pPr>
        <w:pStyle w:val="TextoNormal"/>
      </w:pPr>
    </w:p>
    <w:p w:rsidR="005728DD" w:rsidRDefault="005728DD" w:rsidP="005728DD">
      <w:pPr>
        <w:pStyle w:val="TextoNormal"/>
      </w:pPr>
      <w:r>
        <w:t>5.2.2</w:t>
      </w:r>
      <w:r w:rsidRPr="005728DD">
        <w:rPr>
          <w:i/>
        </w:rPr>
        <w:t>. Respuesta del órgano judici</w:t>
      </w:r>
      <w:r>
        <w:t>al.</w:t>
      </w:r>
    </w:p>
    <w:p w:rsidR="005728DD" w:rsidRDefault="005728DD" w:rsidP="005728DD">
      <w:pPr>
        <w:pStyle w:val="TextoNormal"/>
      </w:pPr>
    </w:p>
    <w:p w:rsidR="005728DD" w:rsidRDefault="005728DD" w:rsidP="005728DD">
      <w:pPr>
        <w:pStyle w:val="TextoNormal"/>
      </w:pPr>
      <w:r>
        <w:t>La causa de recusación alegada fue inicialmente rechazada por la sala de recursos en su auto de 18 de junio de 2018, por el que se desestimó el recurso de apelación interpuesto por otro procesado contra el auto de 12 de abril de 2018, por el que se denegó la libertad interesada. Decisión que fue reiterada, por remisión, en el auto de 26 de junio de 2018, por el que se desestimaron los recursos de apelación interpuestos contra el auto de 9 de mayo de 2018. La decisión de la sala de recursos fue avalada y confirmada por la sala de enjuiciamiento en la sentencia ahora impugnada.</w:t>
      </w:r>
    </w:p>
    <w:p w:rsidR="005728DD" w:rsidRDefault="005728DD" w:rsidP="005728DD">
      <w:pPr>
        <w:pStyle w:val="TextoNormal"/>
      </w:pPr>
    </w:p>
    <w:p w:rsidR="005728DD" w:rsidRDefault="005728DD" w:rsidP="005728DD">
      <w:pPr>
        <w:pStyle w:val="TextoNormal"/>
      </w:pPr>
      <w:r>
        <w:t>En su fundamento de Derecho A), apartado 5.5.2, la Sala Segunda del Tribunal Supremo se remite a los argumentos ofrecidos por la sala de recursos.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La expresión controvertida “ha 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que pudiera afectar a su grado de imparcialidad a la hora de enjuiciar un caso”. Para el Tribunal Supremo, estos razonamientos permiten descartar la vulneración del derecho al juez imparcial por parte del magistrado instructor.</w:t>
      </w:r>
    </w:p>
    <w:p w:rsidR="005728DD" w:rsidRDefault="005728DD" w:rsidP="005728DD">
      <w:pPr>
        <w:pStyle w:val="TextoNormal"/>
      </w:pPr>
    </w:p>
    <w:p w:rsidR="005728DD" w:rsidRDefault="005728DD" w:rsidP="005728DD">
      <w:pPr>
        <w:pStyle w:val="TextoNormal"/>
      </w:pPr>
      <w:r>
        <w:t>5.2.3</w:t>
      </w:r>
      <w:r w:rsidRPr="005728DD">
        <w:rPr>
          <w:i/>
        </w:rPr>
        <w:t>. Resolución de la que</w:t>
      </w:r>
      <w:r>
        <w:t>ja.</w:t>
      </w:r>
    </w:p>
    <w:p w:rsidR="005728DD" w:rsidRDefault="005728DD" w:rsidP="005728DD">
      <w:pPr>
        <w:pStyle w:val="TextoNormal"/>
      </w:pPr>
    </w:p>
    <w:p w:rsidR="005728DD" w:rsidRDefault="005728DD" w:rsidP="005728DD">
      <w:pPr>
        <w:pStyle w:val="TextoNormal"/>
      </w:pPr>
      <w:r>
        <w:lastRenderedPageBreak/>
        <w:t>a) La expresión controvertida (“la estrategia que sufrimos”) se contiene en el auto de procesamiento de fecha 21 de marzo de 2018. Se inserta en el marco de una detallada exposición de los elementos fácticos que sustentaban la fundamentación jurídica del auto. Más en concreto, dentro del apartado 38 del antecedente de hecho único, bajo el epígrafe “una posible actividad delictiva en desarrollo, con un relevo en los partícipes”, en la página 54. Se trataba de una descripción de la estrategia contenida en el denominado Libro Blanco para la Transición Nacional de Cataluña, en el que se planteaban los distintos escenarios frente a la respuesta del Estado ante la actuación planificada por las distintas autoridades y organizaciones sociales de la Comunidad Autónoma de Cataluña que promovieron las actuaciones objeto de enjuiciamiento. Entre esos escenarios se abordaba una posible sucesión o relevo de los autores de esa actuación, lo que da título al apartado 38. En una frase introductoria de la parte final de esa estrategia se reseña la expresión controvertida: “Y termina el relato de la estrategia que sufrimos diciendo, inmediatamente después […]”, extractando a continuación un párrafo del Libro Blanco. Como ya se expuso, esta misma expresión se recoge igualmente en el auto dictado por el magistrado instructor en fecha 12 de abril de 2018, por el que se deniega la libertad interesada por uno de los procesados.</w:t>
      </w:r>
    </w:p>
    <w:p w:rsidR="005728DD" w:rsidRDefault="005728DD" w:rsidP="005728DD">
      <w:pPr>
        <w:pStyle w:val="TextoNormal"/>
      </w:pPr>
    </w:p>
    <w:p w:rsidR="005728DD" w:rsidRDefault="005728DD" w:rsidP="005728DD">
      <w:pPr>
        <w:pStyle w:val="TextoNormal"/>
      </w:pPr>
      <w:r>
        <w:t>b) Con carácter previo al análisis de este motivo de amparo, se hace necesario abordar el óbice procesal planteado por el Ministerio Fiscal en relación con esta alegación. Para el fiscal, esta causa de recusación no fue planteada en el momento procesal oportuno; es decir, cuando fue notificado el auto de procesamiento. Por el contrario, esta alegación fue invocada por el recurrente por adhesión a lo expuesto por otra parte, en el trámite del recurso de apelación interpuesto contra el auto de desestimación del recurso de reforma contra el auto de procesamiento. Ulteriormente, se volvió a plantear en el trámite de cuestiones previas, al inicio del juicio oral. En consecuencia, entiende el fiscal que concurre la causa de inadmisión prevista en el art. 50.1 a) LOTC, en relación con lo dispuesto en el art. 44.1 c) LOTC. Lo que ha de ponerse en relación, a su vez, con la infracción de lo dispuesto en el art. 223.1 LOPJ, cuando señala que la recusación “deberá proponerse tan pronto como se tenga conocimiento de la causa en que se funde, pues, en otro caso, no se admitirá a trámite”.</w:t>
      </w:r>
    </w:p>
    <w:p w:rsidR="005728DD" w:rsidRDefault="005728DD" w:rsidP="005728DD">
      <w:pPr>
        <w:pStyle w:val="TextoNormal"/>
      </w:pPr>
    </w:p>
    <w:p w:rsidR="005728DD" w:rsidRDefault="005728DD" w:rsidP="005728DD">
      <w:pPr>
        <w:pStyle w:val="TextoNormal"/>
      </w:pPr>
      <w:r>
        <w:t xml:space="preserve">Efectivamente,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 En tal sentido, “el tribunal ha rechazado una interpretación literal o excesivamente rigorista de este requisito, aunque [no hasta el punto de]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(STC 11/2020, de 28 de enero, FJ 5). Por ello, este tribunal ha exigido que, al menos, la invocación formal se haga “de manera que se cumpla la finalidad perseguida con aquel requisito, lo que significa que se ha de ofrecer base suficiente para que, en la vía judicial, pueda entrarse a conocer de las concretas vulneraciones después aducidas en el recurso de amparo, lo que requiere, </w:t>
      </w:r>
      <w:r>
        <w:lastRenderedPageBreak/>
        <w:t>al menos, una delimitación del contenido del derecho que se dice vulnerado” (STC 11/2020, FJ 5).</w:t>
      </w:r>
    </w:p>
    <w:p w:rsidR="005728DD" w:rsidRDefault="005728DD" w:rsidP="005728DD">
      <w:pPr>
        <w:pStyle w:val="TextoNormal"/>
      </w:pPr>
    </w:p>
    <w:p w:rsidR="005728DD" w:rsidRDefault="005728DD" w:rsidP="005728DD">
      <w:pPr>
        <w:pStyle w:val="TextoNormal"/>
      </w:pPr>
      <w:r>
        <w:t>En el presente caso, tiene razón el Ministerio Fiscal. Un análisis de las actuaciones pone de manifiesto que el motivo alegado no fue articulado en el momento procesal oportuno, ni a través del cauce procesal indicado por la ley.</w:t>
      </w:r>
    </w:p>
    <w:p w:rsidR="005728DD" w:rsidRDefault="005728DD" w:rsidP="005728DD">
      <w:pPr>
        <w:pStyle w:val="TextoNormal"/>
      </w:pPr>
    </w:p>
    <w:p w:rsidR="005728DD" w:rsidRDefault="005728DD" w:rsidP="005728DD">
      <w:pPr>
        <w:pStyle w:val="TextoNormal"/>
      </w:pPr>
      <w:r>
        <w:t>Como se ha señalado,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005728DD" w:rsidRDefault="005728DD" w:rsidP="005728DD">
      <w:pPr>
        <w:pStyle w:val="TextoNormal"/>
      </w:pPr>
    </w:p>
    <w:p w:rsidR="005728DD" w:rsidRDefault="005728DD" w:rsidP="005728DD">
      <w:pPr>
        <w:pStyle w:val="TextoNormal"/>
      </w:pPr>
      <w:r>
        <w:t>El recurrente tenía que haber planteado el incidente de recusación cuando le fue notificado el auto de 21 de marzo de 2018 en el que se contenía la expresión discutida. Sin embargo, además de no plantear el incidente, ni siquiera recurrió en reforma ese auto por el motivo que ahora alega. En realidad, no invocó formalmente la vulneración del derecho a un juez imparcial. En lugar de eso, lo que hizo fue adherirse genéricamente al recurso de apelación interpuesto por otra parte contra el auto de 9 de mayo de 2018 que resolvía el recurso de reforma frente al auto de 21 de marzo de 2018. En un escrito fechado el 24 de mayo de 2018, el recurrente simplemente formuló una adhesión genérica al recurso interpuesto por la representación de doña Carme Forcadell en el que sí se alegaba la vulneración del derecho al juez imparcial. Es decir, se trataba de una invocación general, inconcreta e indirecta que, además, se planteaba contra una resolución distinta de la que motivaba la causa de recusación. En esos términos, el órgano judicial no podía entrar a valorar la concreta cuestión ahora invocada por el recurrente. De hecho, el auto de 26 de junio de 2018 se limitaba a señalar, en respuesta a la vulneración alegada por otra de las partes recurrentes, que “el mecanismo procesal para hacer valer las dudas sobre la imparcialidad o las afirmaciones sobre la ausencia de la misma es la recusación, que tiene su propia regulación legal” (FJ 3.2); mientras que en el fundamento de Derecho séptimo, apartado 5, destacaba que la “cuestión relativa a la imparcialidad del instructor ya ha sido examinada”. No parece que pudiera hacer otra cosa ante la manifiesta insuficiencia argumentativa de los recurrentes.</w:t>
      </w:r>
    </w:p>
    <w:p w:rsidR="005728DD" w:rsidRDefault="005728DD" w:rsidP="005728DD">
      <w:pPr>
        <w:pStyle w:val="TextoNormal"/>
      </w:pPr>
    </w:p>
    <w:p w:rsidR="005728DD" w:rsidRDefault="005728DD" w:rsidP="005728DD">
      <w:pPr>
        <w:pStyle w:val="TextoNormal"/>
      </w:pPr>
      <w:r>
        <w:t xml:space="preserve">Como es conocido (STC 154/2016, de 22 de septiembre, FJ 2, y más recientemente en STC 130/2018, de 12 de diciembre, FFJJ 3 a 5), los defectos insubsanables de que pudiera estar afectado el recurso de amparo no resultan reparados porque haya sido inicialmente admitido a trámite (por todas, SSTC 18/2002, de 28 de enero, FJ 3, y 158/2002, de 16 de septiembre, FJ 2), de forma que la comprobación de los presupuestos procesales para la </w:t>
      </w:r>
      <w:r>
        <w:lastRenderedPageBreak/>
        <w:t>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89/2011, de 6 de junio, FJ 2, y 174/2011, de 7 de noviembre, FJ 2).</w:t>
      </w:r>
    </w:p>
    <w:p w:rsidR="005728DD" w:rsidRDefault="005728DD" w:rsidP="005728DD">
      <w:pPr>
        <w:pStyle w:val="TextoNormal"/>
      </w:pPr>
    </w:p>
    <w:p w:rsidR="005728DD" w:rsidRDefault="005728DD" w:rsidP="005728DD">
      <w:pPr>
        <w:pStyle w:val="TextoNormal"/>
      </w:pPr>
      <w:r>
        <w:t>En este caso, la invocación fue extemporánea, ya que se formuló en el mes de mayo frente a una resolución del mes de marzo, y formalmente indebida, por no haberse planteado a través de un incidente de recusación, pudiendo hacerlo. En consecuencia, la pretensión incurre en causa de inadmisión del recurso de amparo en este punto, conforme a lo dispuesto en el art. 50.1 a), en relación con su art. 44.1 c).</w:t>
      </w:r>
    </w:p>
    <w:p w:rsidR="005728DD" w:rsidRDefault="005728DD" w:rsidP="005728DD">
      <w:pPr>
        <w:pStyle w:val="TextoNormal"/>
      </w:pPr>
    </w:p>
    <w:p w:rsidR="005728DD" w:rsidRDefault="005728DD" w:rsidP="005728DD">
      <w:pPr>
        <w:pStyle w:val="TextoNormal"/>
      </w:pPr>
      <w:r>
        <w:t>c) No obstante lo anterior, de los antecedentes descritos se deduce que tanto la sala de recursos como el tribunal sentenciador entraron a valorar el fondo de la pretensión ahora formulada, a instancia de otras partes o en momentos procesales ulteriores. Esto permite a este tribunal señalar que, en cualquier caso, el motivo no podría haber prosperado en los términos en que ha sido planteado.</w:t>
      </w:r>
    </w:p>
    <w:p w:rsidR="005728DD" w:rsidRDefault="005728DD" w:rsidP="005728DD">
      <w:pPr>
        <w:pStyle w:val="TextoNormal"/>
      </w:pPr>
    </w:p>
    <w:p w:rsidR="005728DD" w:rsidRDefault="005728DD" w:rsidP="005728DD">
      <w:pPr>
        <w:pStyle w:val="TextoNormal"/>
      </w:pPr>
      <w:r>
        <w:t>(i) 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005728DD" w:rsidRDefault="005728DD" w:rsidP="005728DD">
      <w:pPr>
        <w:pStyle w:val="TextoNormal"/>
      </w:pPr>
    </w:p>
    <w:p w:rsidR="005728DD" w:rsidRDefault="005728DD" w:rsidP="005728DD">
      <w:pPr>
        <w:pStyle w:val="TextoNormal"/>
      </w:pPr>
      <w:r>
        <w:t>La causa de recusación invocada es la prevista en el art. 219.10 LOPJ: “Tener interés directo o indirecto en el pleito o causa”. Como se deduce de lo expuesto en el ATC 26/2007, de 5 de febrero, FJ 7, esta causa de abstención y/o recusación hace referencia a la relación del magistrado con el objeto del procedimiento, de manera que le pueda “afectar directa y especialmente”, o pueda derivarse del mismo algún “beneficio o perjuicio”. En esa resolución también se señalaba que, partiendo de la acepción de la palabra “interés” recogida en el diccionario de la Real Academia Española,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005728DD" w:rsidRDefault="005728DD" w:rsidP="005728DD">
      <w:pPr>
        <w:pStyle w:val="TextoNormal"/>
      </w:pPr>
    </w:p>
    <w:p w:rsidR="005728DD" w:rsidRDefault="005728DD" w:rsidP="005728DD">
      <w:pPr>
        <w:pStyle w:val="TextoNormal"/>
      </w:pPr>
      <w:r>
        <w:t>El análisis de la expresión impugnada permite descartar cualquier indicio de parcialidad, sin alterar su literalidad ni el sentido o contexto en que fue utilizada. Se podrá discutir la mayor o menor fortuna en la elección del verbo empleado, cuya pertinencia no ha podido ser explicada por el magistrado instructor, precisamente porque se ha omitido su informe al no haberse planteado un incidente de recusación. No obstante, ese verbo no puede ser necesariamente identificado con una pérdida de la imparcialidad del magistrado instructor. Es decir, la propia dimensión objetiva de la expresión no puede transmitir una imagen o una apariencia de parcialidad.</w:t>
      </w:r>
    </w:p>
    <w:p w:rsidR="005728DD" w:rsidRDefault="005728DD" w:rsidP="005728DD">
      <w:pPr>
        <w:pStyle w:val="TextoNormal"/>
      </w:pPr>
    </w:p>
    <w:p w:rsidR="005728DD" w:rsidRDefault="005728DD" w:rsidP="005728DD">
      <w:pPr>
        <w:pStyle w:val="TextoNormal"/>
      </w:pPr>
      <w:r>
        <w:lastRenderedPageBreak/>
        <w:t>(ii) El recurrente afirma que la palabra “sufrimos” implica la asunción de la posición de víctima del magistrado instructor. Lo cierto es que el recurso parte de una premisa errónea. Los hechos objeto de investigación estaban siendo calificados como constitutivos de unos delitos que, en el caso de la rebelión (arts. 472 y ss. CP) afecta al orden constitucional (título vigesimoprimero del libro segundo), mientras que en el caso de la sedición (arts. 544 y ss. CP) atenta contra el orden público (título vigesimosegundo del libro segundo). En ambos supuestos, se estaba en presencia de infracciones delictivas que afectaban a bienes jurídicos colectivos: ya sea a todo el régimen de ejercicio de derechos y libertades ciudadanas, o al funcionamiento regular de las instituciones. Por eso, la expresión discutida no puede implicar la asunción de la condición de víctima del delito, porque las figuras delictivas investigadas carecen de sujeto pasivo concreto y determinado.</w:t>
      </w:r>
    </w:p>
    <w:p w:rsidR="005728DD" w:rsidRDefault="005728DD" w:rsidP="005728DD">
      <w:pPr>
        <w:pStyle w:val="TextoNormal"/>
      </w:pPr>
    </w:p>
    <w:p w:rsidR="005728DD" w:rsidRDefault="005728DD" w:rsidP="005728DD">
      <w:pPr>
        <w:pStyle w:val="TextoNormal"/>
      </w:pPr>
      <w:r>
        <w:t>Del mismo modo, la expresión impugnada no suponía una toma de partido por alguna de las partes con la consiguiente animadversión hacia las otras, ni la manifestación de un ánimo o interés personal sobre el sentido que debía tomar la resolución final del procedimiento. Lo cual es compatible con el hecho de que el magistrado instructor vaya asumiendo una progresiva convicción jurídica sobre la existencia de indicios delictivos y de su autoría, lo que es consustancial con su posición funcional en el proceso, que no puede determinar, por sí sola, una pérdida de imparcialidad.</w:t>
      </w:r>
    </w:p>
    <w:p w:rsidR="005728DD" w:rsidRDefault="005728DD" w:rsidP="005728DD">
      <w:pPr>
        <w:pStyle w:val="TextoNormal"/>
      </w:pPr>
    </w:p>
    <w:p w:rsidR="005728DD" w:rsidRDefault="005728DD" w:rsidP="005728DD">
      <w:pPr>
        <w:pStyle w:val="TextoNormal"/>
      </w:pPr>
      <w:r>
        <w:t>Precisamente en esta línea, también debe señalarse que se trata de una expresión cuya contextualización no puede analizarse al margen de la naturaleza de la extensa resolución judicial en que fue empleada.</w:t>
      </w:r>
    </w:p>
    <w:p w:rsidR="005728DD" w:rsidRDefault="005728DD" w:rsidP="005728DD">
      <w:pPr>
        <w:pStyle w:val="TextoNormal"/>
      </w:pPr>
    </w:p>
    <w:p w:rsidR="005728DD" w:rsidRDefault="005728DD" w:rsidP="005728DD">
      <w:pPr>
        <w:pStyle w:val="TextoNormal"/>
      </w:pPr>
      <w:r>
        <w:t>(iii) En efecto, «[e]n la STC 27/2019, de 26 de febrero, hemos recordado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 “[…] Añadíamos entonces que ‘el procesamiento no implica, evidentemente, la imposición de una pena. Constituye solo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 [STC 11/2020, de 28 de enero, FJ 9 A)].</w:t>
      </w:r>
    </w:p>
    <w:p w:rsidR="005728DD" w:rsidRDefault="005728DD" w:rsidP="005728DD">
      <w:pPr>
        <w:pStyle w:val="TextoNormal"/>
      </w:pPr>
    </w:p>
    <w:p w:rsidR="005728DD" w:rsidRDefault="005728DD" w:rsidP="005728DD">
      <w:pPr>
        <w:pStyle w:val="TextoNormal"/>
      </w:pPr>
      <w:r>
        <w:t>Lo anterior supone que no todas las expresiones fácticas recogidas en un auto de procesamiento tienen un grado de vinculación absoluta para la delimitación del objeto del proceso ni para su resolución final. Lo relevante, desde la perspectiva del principio acusatorio y del derecho de defensa, es que se respete el núcleo esencial de los hechos atribuidos a la persona investigada a los efectos de formular, en su caso, la acusación; y que exista una correlación o coherencia, a su vez, entre el núcleo esencial de los hechos objeto de acusación y la sentencia que ponga fin al procedimiento (ver, por todas, STC 155/2009, de 25 de junio, FJ 4).</w:t>
      </w:r>
    </w:p>
    <w:p w:rsidR="005728DD" w:rsidRDefault="005728DD" w:rsidP="005728DD">
      <w:pPr>
        <w:pStyle w:val="TextoNormal"/>
      </w:pPr>
    </w:p>
    <w:p w:rsidR="005728DD" w:rsidRDefault="005728DD" w:rsidP="005728DD">
      <w:pPr>
        <w:pStyle w:val="TextoNormal"/>
      </w:pPr>
      <w:r>
        <w:t xml:space="preserve">d) En el caso concreto, el recurrente pretende que la frase cuestionada lleve aparejada la nulidad de todo el procedimiento y, señaladamente, de una resolución completamente desconectada jurídicamente; es decir, distinta y autónoma como es la sentencia condenatoria. </w:t>
      </w:r>
      <w:r>
        <w:lastRenderedPageBreak/>
        <w:t>Ese hipotético grado de conexión entre la vulneración denunciada y el devenir final del proceso ha de ser objeto de una valoración de las circunstancias del caso concreto que, necesariamente, no puede ser apriorística. Como señalaba la STC 23/2016, de 15 de febrero, FJ 3, no es posible descartar que la reparación de una eventual lesión de un derecho fundamental mediante la nulidad con retroacción de actuaciones, “entre en conflicto con otros derechos, 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w:t>
      </w:r>
    </w:p>
    <w:p w:rsidR="005728DD" w:rsidRDefault="005728DD" w:rsidP="005728DD">
      <w:pPr>
        <w:pStyle w:val="TextoNormal"/>
      </w:pPr>
    </w:p>
    <w:p w:rsidR="005728DD" w:rsidRDefault="005728DD" w:rsidP="005728DD">
      <w:pPr>
        <w:pStyle w:val="TextoNormal"/>
      </w:pPr>
      <w:r>
        <w:t>Para este tribunal, la expresión analizada puede considerarse inocua desde la perspectiva de la afectación material del derecho fundamental invocado y, por lo tanto, el ejercicio ponderativo no puede resolverse mediante la estimación de la pretensión del recurrente. El verbo empleado no fue determinante para la decisión adoptada en el auto de procesamiento, ni tuvo relevancia alguna para la formulación de los escritos de calificación provisional ni para la sentencia condenatoria. De esa expresión no se dedujo una desventaja para el procesado, ni una falta de equidad o una discriminación en el trato dispensado por el magistrado instructor, de las que pudiera deducirse un posicionamiento en su perjuicio, indicativo de una falta de imparcialidad. Esto no significa que el derecho fundamental al juez imparcial requiera un resultado material para apreciar la lesión alegada. Pero, tal y como ha sido formulado el recurso, no basta con una mera interpretación de una expresión si no va acompañada de algún otro elemento fáctico del que, racionalmente, pueda deducirse una objetiva falta de imparcialidad.</w:t>
      </w:r>
    </w:p>
    <w:p w:rsidR="005728DD" w:rsidRDefault="005728DD" w:rsidP="005728DD">
      <w:pPr>
        <w:pStyle w:val="TextoNormal"/>
      </w:pPr>
    </w:p>
    <w:p w:rsidR="005728DD" w:rsidRDefault="005728DD" w:rsidP="005728DD">
      <w:pPr>
        <w:pStyle w:val="TextoNormal"/>
      </w:pPr>
      <w:r>
        <w:t>El planteamiento del recurso es asimismo manifiestamente desproporcionado. Una sola frase incluida en una amplia resolución judicial en la que se exponen elementos indiciarios no puede suponer una quiebra del principio de imparcialidad determinante de la nulidad de todo el procedimiento.</w:t>
      </w:r>
    </w:p>
    <w:p w:rsidR="005728DD" w:rsidRDefault="005728DD" w:rsidP="005728DD">
      <w:pPr>
        <w:pStyle w:val="TextoNormal"/>
      </w:pPr>
    </w:p>
    <w:p w:rsidR="005728DD" w:rsidRDefault="005728DD" w:rsidP="005728DD">
      <w:pPr>
        <w:pStyle w:val="TextoNormal"/>
      </w:pPr>
      <w:r>
        <w:t>Por otro lado, la demanda se refiere no solo a la actuación del magistrado instructor, sino que, por extensión, se dirige también contra la sala de recursos y contra el tribunal sentenciador, al desestimar las alegaciones sobre esta cuestión. En la sentencia impugnada [fundamento jurídico A), apartado 5.5.2] se deslizan expresiones que, de nuevo, son impugnadas por el recurrente. Se trata de palabras como “desazón”, “tedio” o “atosigamiento” que el demandante considera impropias de una resolución judicial, porque denotan una pérdida de la debida imparcialidad.</w:t>
      </w:r>
    </w:p>
    <w:p w:rsidR="005728DD" w:rsidRDefault="005728DD" w:rsidP="005728DD">
      <w:pPr>
        <w:pStyle w:val="TextoNormal"/>
      </w:pPr>
    </w:p>
    <w:p w:rsidR="005728DD" w:rsidRDefault="005728DD" w:rsidP="005728DD">
      <w:pPr>
        <w:pStyle w:val="TextoNormal"/>
      </w:pPr>
      <w:r>
        <w:t>Sin embargo, esas expresiones no suponen para este tribunal la evocación de un interés indebido en el objeto del proceso. La sala de enjuiciamiento se remite a las palabras contenidas en el auto de 18 de junio de 2018 dictado por la sala de recursos. El tribunal sentenciador tampoco hace suyas las palabras del magistrado instructor, sino que utiliza esas otras palabras con la pretensión de explicar o interpretar la locución impugnada. Unas expresiones que no son, en sí mismas, indicativas de una determinada posición procesal y que, en definitiva, no pueden suponer una pérdida de la debida imparcialidad.</w:t>
      </w:r>
    </w:p>
    <w:p w:rsidR="005728DD" w:rsidRDefault="005728DD" w:rsidP="005728DD">
      <w:pPr>
        <w:pStyle w:val="TextoNormal"/>
      </w:pPr>
    </w:p>
    <w:p w:rsidR="005728DD" w:rsidRDefault="005728DD" w:rsidP="005728DD">
      <w:pPr>
        <w:pStyle w:val="TextoNormal"/>
      </w:pPr>
      <w:r>
        <w:t>Procede, en consecuencia, la desestimación de este motivo de amparo.</w:t>
      </w:r>
    </w:p>
    <w:p w:rsidR="005728DD" w:rsidRDefault="005728DD" w:rsidP="005728DD">
      <w:pPr>
        <w:pStyle w:val="TextoNormal"/>
      </w:pPr>
    </w:p>
    <w:p w:rsidR="005728DD" w:rsidRDefault="005728DD" w:rsidP="005728DD">
      <w:pPr>
        <w:pStyle w:val="TextoNormal"/>
      </w:pPr>
      <w:r>
        <w:t>5</w:t>
      </w:r>
      <w:r w:rsidRPr="005728DD">
        <w:rPr>
          <w:i/>
        </w:rPr>
        <w:t>.3. La recusación del magistrado de la sala de recursos, señor Monterde Fe</w:t>
      </w:r>
      <w:r>
        <w:t>rrer.</w:t>
      </w:r>
    </w:p>
    <w:p w:rsidR="005728DD" w:rsidRDefault="005728DD" w:rsidP="005728DD">
      <w:pPr>
        <w:pStyle w:val="TextoNormal"/>
      </w:pPr>
    </w:p>
    <w:p w:rsidR="005728DD" w:rsidRDefault="005728DD" w:rsidP="005728DD">
      <w:pPr>
        <w:pStyle w:val="TextoNormal"/>
      </w:pPr>
      <w:r>
        <w:t>5.3.1</w:t>
      </w:r>
      <w:r w:rsidRPr="005728DD">
        <w:rPr>
          <w:i/>
        </w:rPr>
        <w:t>. Posiciones de las part</w:t>
      </w:r>
      <w:r>
        <w:t>es.</w:t>
      </w:r>
    </w:p>
    <w:p w:rsidR="005728DD" w:rsidRDefault="005728DD" w:rsidP="005728DD">
      <w:pPr>
        <w:pStyle w:val="TextoNormal"/>
      </w:pPr>
    </w:p>
    <w:p w:rsidR="005728DD" w:rsidRDefault="005728DD" w:rsidP="005728DD">
      <w:pPr>
        <w:pStyle w:val="TextoNormal"/>
      </w:pPr>
      <w:r>
        <w:t>El recurrente impugna en su demanda la desestimación de las recusaciones formuladas contra el magistrado señor Monterde Ferrer, uno de los integrantes de la sala de recursos de la Sala de lo Penal del Tribunal Supremo. De forma sucinta, se considera que el magistrado no reunía las condiciones de imparcialidad, debido a que ocupaba el cargo de vicepresidente de la Asociación Profesional de la Magistratura (APM). Esta asociación judicial desarrolló una campaña a través de la red social Twitter en la que tomó partido en contra de los procesados en esta causa. En concreto, los mensajes de los que se derivaría esa pérdida de imparcialidad serían los siguientes:</w:t>
      </w:r>
    </w:p>
    <w:p w:rsidR="005728DD" w:rsidRDefault="005728DD" w:rsidP="005728DD">
      <w:pPr>
        <w:pStyle w:val="TextoNormal"/>
      </w:pPr>
    </w:p>
    <w:p w:rsidR="005728DD" w:rsidRDefault="005728DD" w:rsidP="005728DD">
      <w:pPr>
        <w:pStyle w:val="TextoNormal"/>
      </w:pPr>
      <w:r>
        <w:t>a) Mensajes de la cuenta en Twitter de la delegación en Cataluña de la APM, con expresión de su fecha y contenido:</w:t>
      </w:r>
    </w:p>
    <w:p w:rsidR="005728DD" w:rsidRDefault="005728DD" w:rsidP="005728DD">
      <w:pPr>
        <w:pStyle w:val="TextoNormal"/>
      </w:pPr>
    </w:p>
    <w:p w:rsidR="005728DD" w:rsidRDefault="005728DD" w:rsidP="005728DD">
      <w:pPr>
        <w:pStyle w:val="TextoNormal"/>
      </w:pPr>
      <w:r>
        <w:t>- 29 de enero de 2018. Se muestra “preocupada” por los hechos sucedidos en Barcelona el día 20 de septiembre de 2017.</w:t>
      </w:r>
    </w:p>
    <w:p w:rsidR="005728DD" w:rsidRDefault="005728DD" w:rsidP="005728DD">
      <w:pPr>
        <w:pStyle w:val="TextoNormal"/>
      </w:pPr>
    </w:p>
    <w:p w:rsidR="005728DD" w:rsidRDefault="005728DD" w:rsidP="005728DD">
      <w:pPr>
        <w:pStyle w:val="TextoNormal"/>
      </w:pPr>
      <w:r>
        <w:t>- 27 de enero de 2018. Se critica a los ciudadanos, a los que se califica de “amarillistas”, que piden la libertad del procesado don Jordi Sánchez, y se reenvía la información remitida por un tercero en la que se hace referencia a un “piquete golpista”.</w:t>
      </w:r>
    </w:p>
    <w:p w:rsidR="005728DD" w:rsidRDefault="005728DD" w:rsidP="005728DD">
      <w:pPr>
        <w:pStyle w:val="TextoNormal"/>
      </w:pPr>
    </w:p>
    <w:p w:rsidR="005728DD" w:rsidRDefault="005728DD" w:rsidP="005728DD">
      <w:pPr>
        <w:pStyle w:val="TextoNormal"/>
      </w:pPr>
      <w:r>
        <w:t>- 24 de enero de 2018. Se califican como “dinámica anticonstitucional” determinadas expresiones contenidas en una carta elaborada por el procesado don Joaquín Forn, como integrante de Junts per Catalunya, del que formaba parte el procesado don Jordi Sànchez.</w:t>
      </w:r>
    </w:p>
    <w:p w:rsidR="005728DD" w:rsidRDefault="005728DD" w:rsidP="005728DD">
      <w:pPr>
        <w:pStyle w:val="TextoNormal"/>
      </w:pPr>
    </w:p>
    <w:p w:rsidR="005728DD" w:rsidRDefault="005728DD" w:rsidP="005728DD">
      <w:pPr>
        <w:pStyle w:val="TextoNormal"/>
      </w:pPr>
      <w:r>
        <w:t>- A finales de noviembre de 2017. Se difunde un texto en inglés, cuya autoría pertenece a un tercero, que incluye una fotografía del procesado don Jordi Sànchez, altavoz en mano, atribuyéndole haber incitado a miles de personas a rodear una comisión judicial y destruir coches policiales.</w:t>
      </w:r>
    </w:p>
    <w:p w:rsidR="005728DD" w:rsidRDefault="005728DD" w:rsidP="005728DD">
      <w:pPr>
        <w:pStyle w:val="TextoNormal"/>
      </w:pPr>
    </w:p>
    <w:p w:rsidR="005728DD" w:rsidRDefault="005728DD" w:rsidP="005728DD">
      <w:pPr>
        <w:pStyle w:val="TextoNormal"/>
      </w:pPr>
      <w:r>
        <w:t>- 24 de noviembre de 2017. Se critica a la alcaldesa de Barcelona por pedir la libertad de los procesados en la causa.</w:t>
      </w:r>
    </w:p>
    <w:p w:rsidR="005728DD" w:rsidRDefault="005728DD" w:rsidP="005728DD">
      <w:pPr>
        <w:pStyle w:val="TextoNormal"/>
      </w:pPr>
    </w:p>
    <w:p w:rsidR="005728DD" w:rsidRDefault="005728DD" w:rsidP="005728DD">
      <w:pPr>
        <w:pStyle w:val="TextoNormal"/>
      </w:pPr>
      <w:r>
        <w:t>- 22 de noviembre de 2017. Se califica a la ANC como “brazo civil de la trama secesionista”.</w:t>
      </w:r>
    </w:p>
    <w:p w:rsidR="005728DD" w:rsidRDefault="005728DD" w:rsidP="005728DD">
      <w:pPr>
        <w:pStyle w:val="TextoNormal"/>
      </w:pPr>
    </w:p>
    <w:p w:rsidR="005728DD" w:rsidRDefault="005728DD" w:rsidP="005728DD">
      <w:pPr>
        <w:pStyle w:val="TextoNormal"/>
      </w:pPr>
      <w:r>
        <w:t>- 22 de noviembre de 2017. Se hace una referencia directa a los procesados don Josep Rull y don Jordi Turull, sobre su acatamiento a la Constitución, mediante la expresión irónica: “cómo han cambiado las cosas”.</w:t>
      </w:r>
    </w:p>
    <w:p w:rsidR="005728DD" w:rsidRDefault="005728DD" w:rsidP="005728DD">
      <w:pPr>
        <w:pStyle w:val="TextoNormal"/>
      </w:pPr>
    </w:p>
    <w:p w:rsidR="005728DD" w:rsidRDefault="005728DD" w:rsidP="005728DD">
      <w:pPr>
        <w:pStyle w:val="TextoNormal"/>
      </w:pPr>
      <w:r>
        <w:t>- 5 de noviembre de 2017. Se califica a la ANC como “movilizador de masas contra el Estado de Derecho”.</w:t>
      </w:r>
    </w:p>
    <w:p w:rsidR="005728DD" w:rsidRDefault="005728DD" w:rsidP="005728DD">
      <w:pPr>
        <w:pStyle w:val="TextoNormal"/>
      </w:pPr>
    </w:p>
    <w:p w:rsidR="005728DD" w:rsidRDefault="005728DD" w:rsidP="005728DD">
      <w:pPr>
        <w:pStyle w:val="TextoNormal"/>
      </w:pPr>
      <w:r>
        <w:lastRenderedPageBreak/>
        <w:t>- 27 de septiembre de 2017. Se reenvía un artículo de un tercero, en el que se alude a actuar “sin medias tintas” ante el “desafío separatista”.</w:t>
      </w:r>
    </w:p>
    <w:p w:rsidR="005728DD" w:rsidRDefault="005728DD" w:rsidP="005728DD">
      <w:pPr>
        <w:pStyle w:val="TextoNormal"/>
      </w:pPr>
    </w:p>
    <w:p w:rsidR="005728DD" w:rsidRDefault="005728DD" w:rsidP="005728DD">
      <w:pPr>
        <w:pStyle w:val="TextoNormal"/>
      </w:pPr>
      <w:r>
        <w:t>b) Mensajes de la cuenta en Twitter de la Asociación Profesional de la Magistratura.</w:t>
      </w:r>
    </w:p>
    <w:p w:rsidR="005728DD" w:rsidRDefault="005728DD" w:rsidP="005728DD">
      <w:pPr>
        <w:pStyle w:val="TextoNormal"/>
      </w:pPr>
    </w:p>
    <w:p w:rsidR="005728DD" w:rsidRDefault="005728DD" w:rsidP="005728DD">
      <w:pPr>
        <w:pStyle w:val="TextoNormal"/>
      </w:pPr>
      <w:r>
        <w:t>- 3 de noviembre de 2017. Se hace una referencia a la entonces magistrada de la Audiencia Nacional, señora Lamela, de la que se dice irónicamente que se levantó “con el pie izquierdo” y decidió enviar a todos los encausados a prisión.</w:t>
      </w:r>
    </w:p>
    <w:p w:rsidR="005728DD" w:rsidRDefault="005728DD" w:rsidP="005728DD">
      <w:pPr>
        <w:pStyle w:val="TextoNormal"/>
      </w:pPr>
    </w:p>
    <w:p w:rsidR="005728DD" w:rsidRDefault="005728DD" w:rsidP="005728DD">
      <w:pPr>
        <w:pStyle w:val="TextoNormal"/>
      </w:pPr>
      <w:r>
        <w:t>- 27 de octubre de 2017. Se hace un comentario sobre unas declaraciones públicas del exmagistrado señor Martín-Pallín, en el que se pregunta si “¿dejamos impunes a los delincuentes?”.</w:t>
      </w:r>
    </w:p>
    <w:p w:rsidR="005728DD" w:rsidRDefault="005728DD" w:rsidP="005728DD">
      <w:pPr>
        <w:pStyle w:val="TextoNormal"/>
      </w:pPr>
    </w:p>
    <w:p w:rsidR="005728DD" w:rsidRDefault="005728DD" w:rsidP="005728DD">
      <w:pPr>
        <w:pStyle w:val="TextoNormal"/>
      </w:pPr>
      <w:r>
        <w:t>Según la demanda, estos mensajes ponen de manifiesto un claro prejuicio sobre la culpabilidad de los procesados en la causa, de la que el magistrado recusado no podía ser ajeno por la relevancia del cargo que ostentaba en la asociación profesional promotora de esta campaña mediática.</w:t>
      </w:r>
    </w:p>
    <w:p w:rsidR="005728DD" w:rsidRDefault="005728DD" w:rsidP="005728DD">
      <w:pPr>
        <w:pStyle w:val="TextoNormal"/>
      </w:pPr>
    </w:p>
    <w:p w:rsidR="005728DD" w:rsidRDefault="005728DD" w:rsidP="005728DD">
      <w:pPr>
        <w:pStyle w:val="TextoNormal"/>
      </w:pPr>
      <w:r>
        <w:t>Señala el recurrente que esta lesión se denunció de manera reiterada por la defensa del procesado don Jordi Sánchez en los recursos que iba dirigiendo a dicho órgano, y la defensa del aquí demandante se adhirió a ella en el escrito de cuestiones previas y en el de conclusiones definitivas.</w:t>
      </w:r>
    </w:p>
    <w:p w:rsidR="005728DD" w:rsidRDefault="005728DD" w:rsidP="005728DD">
      <w:pPr>
        <w:pStyle w:val="TextoNormal"/>
      </w:pPr>
    </w:p>
    <w:p w:rsidR="005728DD" w:rsidRDefault="005728DD" w:rsidP="005728DD">
      <w:pPr>
        <w:pStyle w:val="TextoNormal"/>
      </w:pPr>
      <w:r>
        <w:t xml:space="preserve">La queja del demandante se desarrolla en el sentido de denunciar el reiterado rechazo indebido de esta alegación. A tal efecto, expone que la pretensión fue rechazada </w:t>
      </w:r>
      <w:r w:rsidRPr="005728DD">
        <w:rPr>
          <w:i/>
        </w:rPr>
        <w:t>a limine</w:t>
      </w:r>
      <w:r>
        <w:t xml:space="preserve"> por la propia sala de recursos, de la que formaba parte el recusado, en su providencia de 12 de febrero de 2018, así como en la posterior de 14 de febrero por la que se inadmitía el recurso de súplica interpuesto por la representación de don Jordi Sànchez contra la anterior resolución. También fue ulteriormente desestimada en el auto de 15 de febrero de 2018, por el que se resolvía el recurso de apelación en cuyo trámite se planteó la recusación, así como en el posterior auto de 19 de abril de 2018, resolutorio del incidente de nulidad de actuaciones interpuesto por la representación de don Jordi Sánchez contra la anterior resolución. Por parte del aquí recurrente de amparo, la queja fue invocada en sus escritos de cuestiones previas y en el de conclusiones definitivas, obteniendo respuesta en la sentencia.</w:t>
      </w:r>
    </w:p>
    <w:p w:rsidR="005728DD" w:rsidRDefault="005728DD" w:rsidP="005728DD">
      <w:pPr>
        <w:pStyle w:val="TextoNormal"/>
      </w:pPr>
    </w:p>
    <w:p w:rsidR="005728DD" w:rsidRDefault="005728DD" w:rsidP="005728DD">
      <w:pPr>
        <w:pStyle w:val="TextoNormal"/>
      </w:pPr>
      <w:r>
        <w:t>Sobre este motivo de amparo, el Ministerio Fiscal plantea de nuevo un óbice procesal de inadmisión, conforme a lo dispuesto en el art. 50.1 a) LOTC, en relación con el art. 44.1 c) LOTC. No obstante, se pronuncia también sobre el fondo para descartar la vulneración denunciada. A juicio del fiscal, ninguno de los mensajes fue emitido por el magistrado recusado, por lo que no pueden considerarse como elemento acreditado de interés alguno en un resultado concreto del proceso. El abogado del Estado asume también la extemporaneidad apreciada por el tribunal, además de resaltar que los mensajes fueron emitidos por personas no identificadas; mientras que el partido político Vox reitera que las alegaciones del recurrente son “meras sospechas”, que no resultan objetivamente justificadas.</w:t>
      </w:r>
    </w:p>
    <w:p w:rsidR="005728DD" w:rsidRDefault="005728DD" w:rsidP="005728DD">
      <w:pPr>
        <w:pStyle w:val="TextoNormal"/>
      </w:pPr>
    </w:p>
    <w:p w:rsidR="005728DD" w:rsidRDefault="005728DD" w:rsidP="005728DD">
      <w:pPr>
        <w:pStyle w:val="TextoNormal"/>
      </w:pPr>
      <w:r>
        <w:t>5.3.2</w:t>
      </w:r>
      <w:r w:rsidRPr="005728DD">
        <w:rPr>
          <w:i/>
        </w:rPr>
        <w:t>. Respuesta del órgano judici</w:t>
      </w:r>
      <w:r>
        <w:t>al.</w:t>
      </w:r>
    </w:p>
    <w:p w:rsidR="005728DD" w:rsidRDefault="005728DD" w:rsidP="005728DD">
      <w:pPr>
        <w:pStyle w:val="TextoNormal"/>
      </w:pPr>
    </w:p>
    <w:p w:rsidR="005728DD" w:rsidRDefault="005728DD" w:rsidP="005728DD">
      <w:pPr>
        <w:pStyle w:val="TextoNormal"/>
      </w:pPr>
      <w:r>
        <w:lastRenderedPageBreak/>
        <w:t xml:space="preserve">En el fundamento de Derecho A), apartado 5.5.7, la resolución ahora impugnada desestima este motivo de nulidad señalando que “las defensas pretendieron alterar la composición de un órgano jurisdiccional —en este caso, la sala de recursos— mediante la invocación de una causa de recusación que se basaba, no en los mensajes del magistrado afectado, no en sus opiniones, no en sus actos, sino en los mensajes anónimos que la defensa atribuía a magistrados no identificados, pero miembros de la Asociación Profesional de la Magistratura, de la que el recusado era vicepresidente. El rechazo </w:t>
      </w:r>
      <w:r w:rsidRPr="005728DD">
        <w:rPr>
          <w:i/>
        </w:rPr>
        <w:t>a limine</w:t>
      </w:r>
      <w:r>
        <w:t xml:space="preserve"> de ese incidente era obligado, no solo por su extemporaneidad —la composición de la sala de recursos se había publicado en el ‘Boletín Oficial del Estado’ desde el mes de diciembre de 2016—, sino porque los mensajes habían sido emitidos por personas no identificadas cuya vinculación con el señor Monterde exigía, al menos, aportar un principio de prueba”.</w:t>
      </w:r>
    </w:p>
    <w:p w:rsidR="005728DD" w:rsidRDefault="005728DD" w:rsidP="005728DD">
      <w:pPr>
        <w:pStyle w:val="TextoNormal"/>
      </w:pPr>
    </w:p>
    <w:p w:rsidR="005728DD" w:rsidRDefault="005728DD" w:rsidP="005728DD">
      <w:pPr>
        <w:pStyle w:val="TextoNormal"/>
      </w:pPr>
      <w:r>
        <w:t>5.3.3</w:t>
      </w:r>
      <w:r w:rsidRPr="005728DD">
        <w:rPr>
          <w:i/>
        </w:rPr>
        <w:t>. Resolución de la que</w:t>
      </w:r>
      <w:r>
        <w:t>ja.</w:t>
      </w:r>
    </w:p>
    <w:p w:rsidR="005728DD" w:rsidRDefault="005728DD" w:rsidP="005728DD">
      <w:pPr>
        <w:pStyle w:val="TextoNormal"/>
      </w:pPr>
    </w:p>
    <w:p w:rsidR="005728DD" w:rsidRDefault="005728DD" w:rsidP="005728DD">
      <w:pPr>
        <w:pStyle w:val="TextoNormal"/>
      </w:pPr>
      <w:r>
        <w:t>La demanda plantea toda una serie de alegaciones que, desde el punto de vista metodológico, se pueden clasificar en dos grupos; procesales y materiales. Así, por un lado, se denuncia que el incidente de recusación nunca fue tramitado, sino que fue inadmitido por la misma sala de la que formaba parte el magistrado recusado, con una interpretación excesivamente rigorista de los requisitos para su admisión, ya que el incidente fue planteado tan pronto como se tuvo conocimiento de la campaña emprendida por la asociación de jueces, con independencia de la publicación en el “BOE” de la composición de la sala de recursos. Y, por otro, la cuestión de fondo invocada pone de manifiesto que la lesión denunciada por el recurrente presenta un fuerte componente fáctico. Se trata de dilucidar si la condición del magistrado recusado, como directivo de una asociación profesional de jueces, determina su falta de imparcialidad como consecuencia de los mensajes emitidos desde las cuentas de esa asociación en una concreta red social (Twitter).</w:t>
      </w:r>
    </w:p>
    <w:p w:rsidR="005728DD" w:rsidRDefault="005728DD" w:rsidP="005728DD">
      <w:pPr>
        <w:pStyle w:val="TextoNormal"/>
      </w:pPr>
    </w:p>
    <w:p w:rsidR="005728DD" w:rsidRDefault="005728DD" w:rsidP="005728DD">
      <w:pPr>
        <w:pStyle w:val="TextoNormal"/>
      </w:pPr>
      <w:r>
        <w:t>a) En relación con este motivo debemos señalar que, como en el caso anterior, procede la estimación del óbice procesal planteado por el Ministerio Fiscal, conforme a lo dispuesto en el art. 50.1 a) LOTC, en relación con el art. 44.1 c) LOTC.</w:t>
      </w:r>
    </w:p>
    <w:p w:rsidR="005728DD" w:rsidRDefault="005728DD" w:rsidP="005728DD">
      <w:pPr>
        <w:pStyle w:val="TextoNormal"/>
      </w:pPr>
    </w:p>
    <w:p w:rsidR="005728DD" w:rsidRDefault="005728DD" w:rsidP="005728DD">
      <w:pPr>
        <w:pStyle w:val="TextoNormal"/>
      </w:pPr>
      <w:r>
        <w:t>En efecto, el recurrente no planteó el incidente de recusación contra este magistrado integrante de la sala de recursos, sino que, como la propia demanda reconoce, esta lesión se denunció de manera reiterada por la defensa del procesado don Jordi Sànchez en los recursos que iba dirigiendo a dicho órgano, y la defensa del aquí demandante se adhirió a ella en el escrito de cuestiones previas y en el de conclusiones definitivas.</w:t>
      </w:r>
    </w:p>
    <w:p w:rsidR="005728DD" w:rsidRDefault="005728DD" w:rsidP="005728DD">
      <w:pPr>
        <w:pStyle w:val="TextoNormal"/>
      </w:pPr>
    </w:p>
    <w:p w:rsidR="005728DD" w:rsidRDefault="005728DD" w:rsidP="005728DD">
      <w:pPr>
        <w:pStyle w:val="TextoNormal"/>
      </w:pPr>
      <w:r>
        <w:t>Por lo tanto, la alegación ahora planteada no fue “denunciada formalmente en el proceso” por el recurrente, en tiempo y forma. No lo hizo a través del instrumento previsto para ello legalmente, como es el incidente de recusación, ni tampoco lo hizo tan pronto como tuvo conocimiento de una eventual causa (art. 223.1 LOPJ).</w:t>
      </w:r>
    </w:p>
    <w:p w:rsidR="005728DD" w:rsidRDefault="005728DD" w:rsidP="005728DD">
      <w:pPr>
        <w:pStyle w:val="TextoNormal"/>
      </w:pPr>
    </w:p>
    <w:p w:rsidR="005728DD" w:rsidRDefault="005728DD" w:rsidP="005728DD">
      <w:pPr>
        <w:pStyle w:val="TextoNormal"/>
      </w:pPr>
      <w:r>
        <w:t>En este punto, y con remisión a la argumentación ya expuesta en el caso anterior, la demanda incurre en motivo de inadmisión.</w:t>
      </w:r>
    </w:p>
    <w:p w:rsidR="005728DD" w:rsidRDefault="005728DD" w:rsidP="005728DD">
      <w:pPr>
        <w:pStyle w:val="TextoNormal"/>
      </w:pPr>
    </w:p>
    <w:p w:rsidR="005728DD" w:rsidRDefault="005728DD" w:rsidP="005728DD">
      <w:pPr>
        <w:pStyle w:val="TextoNormal"/>
      </w:pPr>
      <w:r>
        <w:t xml:space="preserve">b) No obstante lo anterior, de los antecedentes descritos se deduce que tanto la sala de recursos como la de enjuiciamiento ofrecieron una respuesta a la pretensión ahora formulada, a instancia de otras partes o en momentos procesales ulteriores. Esto permite a este </w:t>
      </w:r>
      <w:r>
        <w:lastRenderedPageBreak/>
        <w:t>tribunal señalar que, en cualquier caso, el motivo no hubiera prosperado en los términos en que ha sido planteado.</w:t>
      </w:r>
    </w:p>
    <w:p w:rsidR="005728DD" w:rsidRDefault="005728DD" w:rsidP="005728DD">
      <w:pPr>
        <w:pStyle w:val="TextoNormal"/>
      </w:pPr>
    </w:p>
    <w:p w:rsidR="005728DD" w:rsidRDefault="005728DD" w:rsidP="005728DD">
      <w:pPr>
        <w:pStyle w:val="TextoNormal"/>
      </w:pPr>
      <w:r>
        <w:t>Como se ha expuesto, la demanda alega dos tipos de vulneraciones, que hemos sistematizado en procesales y materiales.</w:t>
      </w:r>
    </w:p>
    <w:p w:rsidR="005728DD" w:rsidRDefault="005728DD" w:rsidP="005728DD">
      <w:pPr>
        <w:pStyle w:val="TextoNormal"/>
      </w:pPr>
    </w:p>
    <w:p w:rsidR="005728DD" w:rsidRDefault="005728DD" w:rsidP="005728DD">
      <w:pPr>
        <w:pStyle w:val="TextoNormal"/>
      </w:pPr>
      <w:r>
        <w:t xml:space="preserve">(i) Empezando con las cuestiones de carácter procesal, ya hemos señalado que el rechazo </w:t>
      </w:r>
      <w:r w:rsidRPr="005728DD">
        <w:rPr>
          <w:i/>
        </w:rPr>
        <w:t>a limine</w:t>
      </w:r>
      <w:r>
        <w:t xml:space="preserve"> de un incidente de recusación ha sido admitido por este tribunal en sus SSTC 155/2002, de 22 de julio, FJ 2, y 140/2004, de 13 de septiembre, FJ 5, entre otras. Los requisitos exigidos para adoptar una resolución de ese tipo se han visto colmados por las decisiones de la Sala Segunda del Tribunal Supremo.</w:t>
      </w:r>
    </w:p>
    <w:p w:rsidR="005728DD" w:rsidRDefault="005728DD" w:rsidP="005728DD">
      <w:pPr>
        <w:pStyle w:val="TextoNormal"/>
      </w:pPr>
    </w:p>
    <w:p w:rsidR="005728DD" w:rsidRDefault="005728DD" w:rsidP="005728DD">
      <w:pPr>
        <w:pStyle w:val="TextoNormal"/>
      </w:pPr>
      <w:r>
        <w:t>En efecto, las resoluciones del Tribunal Supremo entroncan con el canon de enjuiciamiento propio del derecho a una resolución motivada, tal y como ha sido descrito, entre otras muchas, en la STC 8/2014, de 27 de enero, FJ 3. Las decisiones exponen con claridad los motivos de la inadmisión del incidente de recusación que, insistimos, no fue interpuesto por el recurrente, sino por la representación de don Jordi Sànchez.</w:t>
      </w:r>
    </w:p>
    <w:p w:rsidR="005728DD" w:rsidRDefault="005728DD" w:rsidP="005728DD">
      <w:pPr>
        <w:pStyle w:val="TextoNormal"/>
      </w:pPr>
    </w:p>
    <w:p w:rsidR="005728DD" w:rsidRDefault="005728DD" w:rsidP="005728DD">
      <w:pPr>
        <w:pStyle w:val="TextoNormal"/>
      </w:pPr>
      <w:r>
        <w:t>En la providencia de 12 de febrero de 2018, la sala de recursos de la que formaba parte el magistrado recusado rechazó la recusación por extemporánea. Tras reseñar lo dispuesto en el art. 223 LOPJ, la sala expone que “la condición del magistrado recusado como vicepresidente de la referida asociación data de varios años antes de la presente fecha, y es de dominio público. Por otro lado, la composición de la sala competente para la resolución de los recursos de apelación contra los autos dictados por el juez instructor en la causa de referencia es conocida desde su publicación en el ‘Boletín Oficial del Estado’ con fecha 30 de diciembre de 2016. Por otro lado, esta sala de apelaciones ya ha resuelto otro recurso en esta misma causa mediante auto de 5 de enero de 2018, formando parte del tribunal el magistrado recusado, en rollo de apelación 1-2017, en virtud de recurso interpuesto por [otro procesado] contra el auto del instructor de 4 de diciembre de 2017, dato que es igualmente conocido por el recusante, que compareció en el mismo como parte adherida al recurso”. Este razonamiento es reiterado en el auto de 19 de abril de 2018, por el que se desestima el incidente de nulidad planteado contra el auto de 15 de febrero de 2018, por el que, a su vez, se desestimaba el recurso de apelación interpuesto contra el auto del magistrado instructor de 14 de diciembre de 2017. En el incidente de nulidad se alegaba la vulneración del derecho al juez imparcial, por negativa injustificada a tramitar el incidente de recusación planteado contra el magistrado.</w:t>
      </w:r>
    </w:p>
    <w:p w:rsidR="005728DD" w:rsidRDefault="005728DD" w:rsidP="005728DD">
      <w:pPr>
        <w:pStyle w:val="TextoNormal"/>
      </w:pPr>
    </w:p>
    <w:p w:rsidR="005728DD" w:rsidRDefault="005728DD" w:rsidP="005728DD">
      <w:pPr>
        <w:pStyle w:val="TextoNormal"/>
      </w:pPr>
      <w:r>
        <w:t>Por lo tanto, el incidente fue rechazad</w:t>
      </w:r>
      <w:r w:rsidRPr="005728DD">
        <w:rPr>
          <w:i/>
        </w:rPr>
        <w:t>o a limi</w:t>
      </w:r>
      <w:r>
        <w:t>ne por su manifiesta extemporaneidad, en aplicación de lo dispuesto en el art. 223.1 LOPJ, lo que es conforme a la doctrina de este tribunal.</w:t>
      </w:r>
    </w:p>
    <w:p w:rsidR="005728DD" w:rsidRDefault="005728DD" w:rsidP="005728DD">
      <w:pPr>
        <w:pStyle w:val="TextoNormal"/>
      </w:pPr>
    </w:p>
    <w:p w:rsidR="005728DD" w:rsidRDefault="005728DD" w:rsidP="005728DD">
      <w:pPr>
        <w:pStyle w:val="TextoNormal"/>
      </w:pPr>
      <w:r>
        <w:t>(ii) No obstante, la inclusión del régimen de abstenciones y recusaciones en el ámbito propio de la configuración legal del derecho al juez imparcial, obliga a examinar las resoluciones del Tribunal Supremo no solo desde la perspectiva del mero control externo propio del canon de enjuiciamiento de una cuestión de legalidad ordinaria, sino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005728DD" w:rsidRDefault="005728DD" w:rsidP="005728DD">
      <w:pPr>
        <w:pStyle w:val="TextoNormal"/>
      </w:pPr>
    </w:p>
    <w:p w:rsidR="005728DD" w:rsidRDefault="005728DD" w:rsidP="005728DD">
      <w:pPr>
        <w:pStyle w:val="TextoNormal"/>
      </w:pPr>
      <w:r>
        <w:t>En ese examen se constata que los mensajes aportados abarcan una notoria extensión temporal (desde el mes de septiembre de 2017 hasta el mes de enero de 2018); que la recusación fue planteada en fecha 8 de febrero de 2018 porque, según el recurrente, el día anterior le fue notificada la concreta composición de la sala; que ese mismo magistrado ya había intervenido en la resolución del recurso de apelación 1-2017, mediante auto dictado en fecha 5 de enero de 2018; y que la integración de ese magistrado en la sala de recursos había sido publicada en el “BOE” núm. 315, de 30 de diciembre de 2016 (vigente hasta el 31 de enero de 2018), y reiterada en el “BOE” núm. 300, de 11 de diciembre de 2017 (vigente a partir del 1 de febrero de 2018), fechas en las que se hicieron públicos los acuerdos del Consejo General del Poder Judicial de 21 de diciembre de 2016 y 23 de noviembre de 2017, respectivamente, por los que se publicaban los acuerdos de la Sala de Gobierno del Tribunal Supremo, sobre composición y funcionamiento de las salas y secciones y asignación de ponencias que deben turnar los magistrados para los periodos 2017 y 2018. En relación con este último aspecto, conviene recordar que, como se afirmó en nuestra STC 116/2008, de 13 de octubre, FJ 3, la predeterminación de la competencia y composición de un determinado órgano judicial no presupone el conocimiento de los magistrados que en cada momento vayan a intervenir en la resolución de cada asunto, porque pueden influir factores diversos como traslados, permisos, licencias o situaciones administrativas. No obstante, una valoración conjunta de los datos obrantes en la causa permite asumir sin dificultad alguna la conclusión sobre la extemporaneidad del incidente de recusación y, por lo tanto, la adecuación del rechaz</w:t>
      </w:r>
      <w:r w:rsidRPr="005728DD">
        <w:rPr>
          <w:i/>
        </w:rPr>
        <w:t>o a limi</w:t>
      </w:r>
      <w:r>
        <w:t>ne de esta pretensión con la consiguiente ausencia de vulneración del derecho al juez imparcial.</w:t>
      </w:r>
    </w:p>
    <w:p w:rsidR="005728DD" w:rsidRDefault="005728DD" w:rsidP="005728DD">
      <w:pPr>
        <w:pStyle w:val="TextoNormal"/>
      </w:pPr>
    </w:p>
    <w:p w:rsidR="005728DD" w:rsidRDefault="005728DD" w:rsidP="005728DD">
      <w:pPr>
        <w:pStyle w:val="TextoNormal"/>
      </w:pPr>
      <w:r>
        <w:t>Los datos fácticos reseñados ponen de manifiesto que el incidente de recusación no fue planteado “tan pronto como” se tuvo conocimiento de la eventual existencia de causa legal para ello, lo que justifica su inadmisión a trámite (art. 223.1 LOPJ). Existe una notoria distancia temporal, de al menos hasta cuatro meses, entre la fecha de emisión y/o reenvío de los primeros mensajes controvertidos y la fecha de interposición del incidente; los mensajes fueron difundidos en redes sociales y, por lo tanto, eran de acceso público desde el primer momento; y, finalmente, lo que es muy significativo, no se planteó tacha alguna de parcialidad cuando ese magistrado participó en la resolución de un recurso anterior en fecha 5 de enero de 2018, en el que había intervenido la misma representación del recurrente, como se expuso en la providencia de 12 de febrero de 2018, y concurriendo semejantes circunstancias a las que motivaron el ulterior planteamiento del incidente. Con estos elementos, la decisión del tribunal no puede considerarse como rigorista, sino como ajustada al necesario examen de los presupuestos fácticos en los que pretendía fundarse la causa de recusación invocada. En palabras de este tribunal, la improcedencia de la recusación podía “apreciars</w:t>
      </w:r>
      <w:r w:rsidRPr="005728DD">
        <w:rPr>
          <w:i/>
        </w:rPr>
        <w:t>e prima fac</w:t>
      </w:r>
      <w:r>
        <w:t>ie de modo manifiesto claro y terminante” (STC 155/2002, de 22 de julio, FJ 2).</w:t>
      </w:r>
    </w:p>
    <w:p w:rsidR="005728DD" w:rsidRDefault="005728DD" w:rsidP="005728DD">
      <w:pPr>
        <w:pStyle w:val="TextoNormal"/>
      </w:pPr>
    </w:p>
    <w:p w:rsidR="005728DD" w:rsidRDefault="005728DD" w:rsidP="005728DD">
      <w:pPr>
        <w:pStyle w:val="TextoNormal"/>
      </w:pPr>
      <w:r>
        <w:t>En cualquier caso, la extemporaneidad de la pretensión debe ponerse en relación, a su vez, con el otro motivo indicado en la sentencia ahora impugnada; es decir, la constatación de que el magistrado recusado no había sido el autor o el difusor de los mensajes denunciados. Este hecho enlaza con el examen de la cuestión de fondo, que ha de conducir al mismo destino desestimatorio, ya que la causa de recusación fue invocada de forma “arbitraria” (STC 155/2002, de 22 de julio, FJ 3), esto es, manifiestamente injustificada.</w:t>
      </w:r>
    </w:p>
    <w:p w:rsidR="005728DD" w:rsidRDefault="005728DD" w:rsidP="005728DD">
      <w:pPr>
        <w:pStyle w:val="TextoNormal"/>
      </w:pPr>
    </w:p>
    <w:p w:rsidR="005728DD" w:rsidRDefault="005728DD" w:rsidP="005728DD">
      <w:pPr>
        <w:pStyle w:val="TextoNormal"/>
      </w:pPr>
      <w:r>
        <w:lastRenderedPageBreak/>
        <w:t>(iii) La causa de recusación alegada es la prevista en el art. 219.10 LOPJ: “Tener interés directo o indirecto en el pleito o causa”. La demanda reconoce que no se puede determinar la autoría de los mensajes controvertidos, pero considera que el cargo asociativo del magistrado permite afirmar que conocía y compartía la “línea editorial” de la cuenta de la APM en la red social Twitter. La demanda también admite la libertad de expresión asociativa, pero dice que esos mensajes expresan “claros prejuicios respecto de la responsabilidad” del recurrente y una “evidente animadversión” hacia los procesados y “su ideología política”.</w:t>
      </w:r>
    </w:p>
    <w:p w:rsidR="005728DD" w:rsidRDefault="005728DD" w:rsidP="005728DD">
      <w:pPr>
        <w:pStyle w:val="TextoNormal"/>
      </w:pPr>
    </w:p>
    <w:p w:rsidR="005728DD" w:rsidRDefault="005728DD" w:rsidP="005728DD">
      <w:pPr>
        <w:pStyle w:val="TextoNormal"/>
      </w:pPr>
      <w:r>
        <w:t>En todo caso, la falta de imparcialidad solo puede derivarse de actos propios o expresiones proferidas por aquel a quien se imputa la causa de recusación. No cabe cuestionar la imparcialidad por manifestaciones ajenas, al margen de la conducta del propio recusado. Tampoco puede considerarse que cualquier mensaje enviado desde una cuenta de un colectivo asociativo pueda atribuirse automáticamente a cada uno de sus integrantes. Incluso, una posible o hipotética responsabilidad anudada a la asunción de un cargo asociativo no puede confundirse con la responsabilidad individual derivada del ejercicio profesional de la función jurisdiccional, que solo puede exigirse por las propias acciones.</w:t>
      </w:r>
    </w:p>
    <w:p w:rsidR="005728DD" w:rsidRDefault="005728DD" w:rsidP="005728DD">
      <w:pPr>
        <w:pStyle w:val="TextoNormal"/>
      </w:pPr>
    </w:p>
    <w:p w:rsidR="005728DD" w:rsidRDefault="005728DD" w:rsidP="005728DD">
      <w:pPr>
        <w:pStyle w:val="TextoNormal"/>
      </w:pPr>
      <w:r>
        <w:t>Aun desde la perspectiva de la mera apariencia de imparcialidad, lo verdaderamente relevante son las conductas o expresiones del magistrado recusado. Lo cierto es que, en este caso, no se ha aportado elemento probatorio que permita tener por acreditado o del que pudiera deducirse que alguno de los mensajes referidos hubiera sido elaborado, difundido o asumido por aquel, o del que pudiera derivarse su posicionamiento previo sobre las cuestiones sometidas a su consideración y, en consecuencia, un interés por una determinada resolución del asunto que ponga en duda su imparcialidad.</w:t>
      </w:r>
    </w:p>
    <w:p w:rsidR="005728DD" w:rsidRDefault="005728DD" w:rsidP="005728DD">
      <w:pPr>
        <w:pStyle w:val="TextoNormal"/>
      </w:pPr>
    </w:p>
    <w:p w:rsidR="005728DD" w:rsidRDefault="005728DD" w:rsidP="005728DD">
      <w:pPr>
        <w:pStyle w:val="TextoNormal"/>
      </w:pPr>
      <w:r>
        <w:t>c) Finalmente, como ocurriera en el caso anterior, la pretensión del recurrente se muestra manifiestamente desproporcionada. El magistrado recusado actuaba como integrante de una sala de recursos en la que se abordaban cuestiones procesales incidentales. El magistrado no tuvo intervención alguna en la sentencia ahora impugnada. En consecuencia, la actuación previa del magistrado no ofrece conexión alguna de antijuridicidad con la resolución cuya nulidad se pretende.</w:t>
      </w:r>
    </w:p>
    <w:p w:rsidR="005728DD" w:rsidRDefault="005728DD" w:rsidP="005728DD">
      <w:pPr>
        <w:pStyle w:val="TextoNormal"/>
      </w:pPr>
    </w:p>
    <w:p w:rsidR="005728DD" w:rsidRDefault="005728DD" w:rsidP="005728DD">
      <w:pPr>
        <w:pStyle w:val="TextoNormal"/>
      </w:pPr>
      <w:r>
        <w:t>Procede, en consecuencia, la desestimación de este motivo de amparo.</w:t>
      </w:r>
    </w:p>
    <w:p w:rsidR="005728DD" w:rsidRDefault="005728DD" w:rsidP="005728DD">
      <w:pPr>
        <w:pStyle w:val="TextoNormal"/>
      </w:pPr>
    </w:p>
    <w:p w:rsidR="005728DD" w:rsidRDefault="005728DD" w:rsidP="005728DD">
      <w:pPr>
        <w:pStyle w:val="TextoNormal"/>
      </w:pPr>
      <w:r>
        <w:t>5</w:t>
      </w:r>
      <w:r w:rsidRPr="005728DD">
        <w:rPr>
          <w:i/>
        </w:rPr>
        <w:t>.4. La recusación de los magistrados de la sala de enjuiciamiento que formaron parte de la sala de admi</w:t>
      </w:r>
      <w:r>
        <w:t>sión.</w:t>
      </w:r>
    </w:p>
    <w:p w:rsidR="005728DD" w:rsidRDefault="005728DD" w:rsidP="005728DD">
      <w:pPr>
        <w:pStyle w:val="TextoNormal"/>
      </w:pPr>
    </w:p>
    <w:p w:rsidR="005728DD" w:rsidRDefault="005728DD" w:rsidP="005728DD">
      <w:pPr>
        <w:pStyle w:val="TextoNormal"/>
      </w:pPr>
      <w:r>
        <w:t>5.4.1</w:t>
      </w:r>
      <w:r w:rsidRPr="005728DD">
        <w:rPr>
          <w:i/>
        </w:rPr>
        <w:t>. Posiciones de las part</w:t>
      </w:r>
      <w:r>
        <w:t>es.</w:t>
      </w:r>
    </w:p>
    <w:p w:rsidR="005728DD" w:rsidRDefault="005728DD" w:rsidP="005728DD">
      <w:pPr>
        <w:pStyle w:val="TextoNormal"/>
      </w:pPr>
    </w:p>
    <w:p w:rsidR="005728DD" w:rsidRDefault="005728DD" w:rsidP="005728DD">
      <w:pPr>
        <w:pStyle w:val="TextoNormal"/>
      </w:pPr>
      <w:r>
        <w:t>El recurrente denuncia la indebida inadmisión de la recusación planteada contra los magistrados que formaron parte de la sala de admisión (señores Marchena Gómez, Martínez Arrieta, Berdugo y Gómez de la Torre y Varela Castro).</w:t>
      </w:r>
    </w:p>
    <w:p w:rsidR="005728DD" w:rsidRDefault="005728DD" w:rsidP="005728DD">
      <w:pPr>
        <w:pStyle w:val="TextoNormal"/>
      </w:pPr>
    </w:p>
    <w:p w:rsidR="005728DD" w:rsidRDefault="005728DD" w:rsidP="005728DD">
      <w:pPr>
        <w:pStyle w:val="TextoNormal"/>
      </w:pPr>
      <w:r>
        <w:t xml:space="preserve">En la demanda se queja de la pérdida de imparcialidad de aquellos magistrados de la sala de enjuiciamiento que habían acordado la admisión a trámite de la querella que dio origen al procedimiento. Para el recurrente, la parcialidad de estos magistrados no se deriva exclusivamente de su rol funcional en la iniciación del proceso, sino de la forma en que realizaron esta labor. Considera el demandante que el auto de admisión contiene un “amplio juicio de </w:t>
      </w:r>
      <w:r>
        <w:lastRenderedPageBreak/>
        <w:t>tipicidad” y fue “inusualmente extenso en sus razonamientos jurídico-sustantivos”. Se trataba, por tanto, de una resolución que fue más allá de un mero pronunciamiento sobre la procedencia de una investigación ante un</w:t>
      </w:r>
      <w:r w:rsidRPr="005728DD">
        <w:rPr>
          <w:i/>
        </w:rPr>
        <w:t>a notitia crimin</w:t>
      </w:r>
      <w:r>
        <w:t>is. Según la demanda, estos magistrados debían tener “necesariamente prejuicios sobre la cuestión de fondo”, cuando ejercieron su labor como integrantes de la sala de enjuiciamiento.</w:t>
      </w:r>
    </w:p>
    <w:p w:rsidR="005728DD" w:rsidRDefault="005728DD" w:rsidP="005728DD">
      <w:pPr>
        <w:pStyle w:val="TextoNormal"/>
      </w:pPr>
    </w:p>
    <w:p w:rsidR="005728DD" w:rsidRDefault="005728DD" w:rsidP="005728DD">
      <w:pPr>
        <w:pStyle w:val="TextoNormal"/>
      </w:pPr>
      <w:r>
        <w:t>En relación con este motivo de amparo, el Ministerio Fiscal propone su desestimación, en esencia, porque en el auto de admisión a trámite de la querella no se contiene ninguna valoración jurídica sobre su contenido material, ni juicio alguno sobre la existencia de los hechos y la posibilidad de ser atribuidos a persona concreta. El abogado del Estado se pronuncia en el mismo sentido. Por su parte, la representación del partido político Vox responde con el mismo argumento con el que rechaza todas las alegaciones sobre la vulneración del derecho al juez imparcial.</w:t>
      </w:r>
    </w:p>
    <w:p w:rsidR="005728DD" w:rsidRDefault="005728DD" w:rsidP="005728DD">
      <w:pPr>
        <w:pStyle w:val="TextoNormal"/>
      </w:pPr>
    </w:p>
    <w:p w:rsidR="005728DD" w:rsidRDefault="005728DD" w:rsidP="005728DD">
      <w:pPr>
        <w:pStyle w:val="TextoNormal"/>
      </w:pPr>
      <w:r>
        <w:t>5.4.2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Esta queja fue extensamente respondida en la sentencia impugnada [fundamento jurídico A), apartado 5.5.3], como antes lo había sido por el auto núm. 3/2018, de 13 de septiembre, dictado por la Sala del art. 61 LOPJ en su rollo núm. 5-2018, por el que se desestimó el incidente de recusación planteado, por este mismo motivo, mediante escrito de 23 de julio de 2018.</w:t>
      </w:r>
    </w:p>
    <w:p w:rsidR="005728DD" w:rsidRDefault="005728DD" w:rsidP="005728DD">
      <w:pPr>
        <w:pStyle w:val="TextoNormal"/>
      </w:pPr>
    </w:p>
    <w:p w:rsidR="005728DD" w:rsidRDefault="005728DD" w:rsidP="005728DD">
      <w:pPr>
        <w:pStyle w:val="TextoNormal"/>
      </w:pPr>
      <w:r>
        <w:t>Para la Sala, la lesión invocada está en abierta oposición con su propia jurisprudencia, y las del Tribunal Constitucional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y 143/2006, de 8 de mayo, y la STS 36/2006, de 19 de enero. También se citan las SSTEDH de 1 de octubre de 1982, cas</w:t>
      </w:r>
      <w:r w:rsidRPr="005728DD">
        <w:rPr>
          <w:i/>
        </w:rPr>
        <w:t>o Piersack c. Bélgi</w:t>
      </w:r>
      <w:r>
        <w:t>ca, § 30; de 26 de octubre de 1984, cas</w:t>
      </w:r>
      <w:r w:rsidRPr="005728DD">
        <w:rPr>
          <w:i/>
        </w:rPr>
        <w:t>o De Cubber c. Bélgi</w:t>
      </w:r>
      <w:r>
        <w:t>ca, § 24; de 25 de julio de 2002, cas</w:t>
      </w:r>
      <w:r w:rsidRPr="005728DD">
        <w:rPr>
          <w:i/>
        </w:rPr>
        <w:t>o Perote Pellón c. Espa</w:t>
      </w:r>
      <w:r>
        <w:t>ña, § 43, y de 17 de junio de 2003, cas</w:t>
      </w:r>
      <w:r w:rsidRPr="005728DD">
        <w:rPr>
          <w:i/>
        </w:rPr>
        <w:t>o Pescador Valero c. Espa</w:t>
      </w:r>
      <w:r>
        <w:t>ña, § 21.</w:t>
      </w:r>
    </w:p>
    <w:p w:rsidR="005728DD" w:rsidRDefault="005728DD" w:rsidP="005728DD">
      <w:pPr>
        <w:pStyle w:val="TextoNormal"/>
      </w:pPr>
    </w:p>
    <w:p w:rsidR="005728DD" w:rsidRDefault="005728DD" w:rsidP="005728DD">
      <w:pPr>
        <w:pStyle w:val="TextoNormal"/>
      </w:pPr>
      <w:r>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w:t>
      </w:r>
      <w:r w:rsidRPr="005728DD">
        <w:rPr>
          <w:i/>
        </w:rPr>
        <w:t>thema decidendi</w:t>
      </w:r>
      <w:r>
        <w:t xml:space="preserve">”.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w:t>
      </w:r>
      <w:r>
        <w:lastRenderedPageBreak/>
        <w:t>fondo de la causa. Por lo tanto, es necesario comprobar la intensidad del juicio emitido sobre el objeto del proceso”.</w:t>
      </w:r>
    </w:p>
    <w:p w:rsidR="005728DD" w:rsidRDefault="005728DD" w:rsidP="005728DD">
      <w:pPr>
        <w:pStyle w:val="TextoNormal"/>
      </w:pPr>
    </w:p>
    <w:p w:rsidR="005728DD" w:rsidRDefault="005728DD" w:rsidP="005728DD">
      <w:pPr>
        <w:pStyle w:val="TextoNormal"/>
      </w:pPr>
      <w:r>
        <w:t>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y pasar el asunto al instructor a quien por turno correspondía. No puede decirse, así, que hayan entrado en el examen de los hechos reprochados en esta causa, ni efectuado valoraciones jurídicas sobre los mismos, ni tomado decisiones que puedan afectar a la marcha del proceso”.</w:t>
      </w:r>
    </w:p>
    <w:p w:rsidR="005728DD" w:rsidRDefault="005728DD" w:rsidP="005728DD">
      <w:pPr>
        <w:pStyle w:val="TextoNormal"/>
      </w:pPr>
    </w:p>
    <w:p w:rsidR="005728DD" w:rsidRDefault="005728DD" w:rsidP="005728DD">
      <w:pPr>
        <w:pStyle w:val="TextoNormal"/>
      </w:pPr>
      <w:r>
        <w:t>5.4.3</w:t>
      </w:r>
      <w:r w:rsidRPr="005728DD">
        <w:rPr>
          <w:i/>
        </w:rPr>
        <w:t>. Resolución de la que</w:t>
      </w:r>
      <w:r>
        <w:t>ja.</w:t>
      </w:r>
    </w:p>
    <w:p w:rsidR="005728DD" w:rsidRDefault="005728DD" w:rsidP="005728DD">
      <w:pPr>
        <w:pStyle w:val="TextoNormal"/>
      </w:pPr>
    </w:p>
    <w:p w:rsidR="005728DD" w:rsidRDefault="005728DD" w:rsidP="005728DD">
      <w:pPr>
        <w:pStyle w:val="TextoNormal"/>
      </w:pPr>
      <w:r>
        <w:t>a) Un análisis de este motivo de amparo remite, necesariamente, al momento de la incoación de la causa especial núm. 20907-2017. Este procedimiento tuvo su origen en una querella presentada por el entonces fiscal general del Estado, don José Manual Maza Martín. Tras el análisis y estudio de la querella, la sala de admisión de la Sala Segunda del Tribunal Supremo dictó un auto en fecha 31 de octubre de 2017, por el que se declaraba la competencia de ese tribunal para la 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005728DD" w:rsidRDefault="005728DD" w:rsidP="005728DD">
      <w:pPr>
        <w:pStyle w:val="TextoNormal"/>
      </w:pPr>
    </w:p>
    <w:p w:rsidR="005728DD" w:rsidRDefault="005728DD" w:rsidP="005728DD">
      <w:pPr>
        <w:pStyle w:val="TextoNormal"/>
      </w:pPr>
      <w:r>
        <w:t>Lo primero que conviene señalar es que, como se ha razonado anteriormente, la falta de imparcialidad judicial ha de ponerse de manifiesto a través de las causas de abstención y/o 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situación personal o medidas cautelares de carácter real, sobre la búsqueda de fuentes de prueba, así como sobre la declaración de la existencia de indicios de la comisión de un hecho delictivo y de su autor suficientemente sólidos como para permitir la continuación del procedimiento en fases ulteriores, hasta llegar al juicio oral. Nada de esto se resuelve en el auto de admisión a trámite de la querella. Como tampoco se puede considerar que ese auto implica la resolución del pleito o causa en anterior instancia, porque no contiene un pronunciamiento sobre el fondo del asunto.</w:t>
      </w:r>
    </w:p>
    <w:p w:rsidR="005728DD" w:rsidRDefault="005728DD" w:rsidP="005728DD">
      <w:pPr>
        <w:pStyle w:val="TextoNormal"/>
      </w:pPr>
    </w:p>
    <w:p w:rsidR="005728DD" w:rsidRDefault="005728DD" w:rsidP="005728DD">
      <w:pPr>
        <w:pStyle w:val="TextoNormal"/>
      </w:pPr>
      <w:r>
        <w:t xml:space="preserve">No obstante, la doctrina de este tribunal sobre la vertiente objetiva de la imparcialidad judicial determina un análisis </w:t>
      </w:r>
      <w:r w:rsidRPr="005728DD">
        <w:rPr>
          <w:i/>
        </w:rPr>
        <w:t>ad casum</w:t>
      </w:r>
      <w:r>
        <w:t xml:space="preserve"> de la concreta actuación jurisdiccional que es objeto de controversia. Por ello, aunque hemos declarado que la “admisión de la querella […] no vulnera el derecho al juez imparcial” (STC 45/2006, de 13 de febrero, FJ 5), en el necesario </w:t>
      </w:r>
      <w:r>
        <w:lastRenderedPageBreak/>
        <w:t>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005728DD" w:rsidRDefault="005728DD" w:rsidP="005728DD">
      <w:pPr>
        <w:pStyle w:val="TextoNormal"/>
      </w:pPr>
    </w:p>
    <w:p w:rsidR="005728DD" w:rsidRDefault="005728DD" w:rsidP="005728DD">
      <w:pPr>
        <w:pStyle w:val="TextoNormal"/>
      </w:pPr>
      <w:r>
        <w:t>b) El demandante señala que el auto de admisión a trámite de la querella contiene un amplio juicio de tipicidad y es inusualmente extenso para su finalidad. Considera que ese pronunciamiento implica una valoración de la relevancia jurídico penal de unos hechos que, sustancialmente, fueron los mismos que se sometieron al enjuiciamiento por estos mismos magistrados que, en tal sentido, ya habían adquirido un prejuicio que afectaba a su apariencia de imparcialidad.</w:t>
      </w:r>
    </w:p>
    <w:p w:rsidR="005728DD" w:rsidRDefault="005728DD" w:rsidP="005728DD">
      <w:pPr>
        <w:pStyle w:val="TextoNormal"/>
      </w:pPr>
    </w:p>
    <w:p w:rsidR="005728DD" w:rsidRDefault="005728DD" w:rsidP="005728DD">
      <w:pPr>
        <w:pStyle w:val="TextoNormal"/>
      </w:pPr>
      <w:r>
        <w:t>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005728DD" w:rsidRDefault="005728DD" w:rsidP="005728DD">
      <w:pPr>
        <w:pStyle w:val="TextoNormal"/>
      </w:pPr>
    </w:p>
    <w:p w:rsidR="005728DD" w:rsidRDefault="005728DD" w:rsidP="005728DD">
      <w:pPr>
        <w:pStyle w:val="TextoNormal"/>
      </w:pPr>
      <w:r>
        <w:t>El auto de la sala de admisión se mueve en ese plano funcional, y es especialmente riguroso en su análisis prospectivo sobre los hechos. Varias expresiones abonan esta tesis.</w:t>
      </w:r>
    </w:p>
    <w:p w:rsidR="005728DD" w:rsidRDefault="005728DD" w:rsidP="005728DD">
      <w:pPr>
        <w:pStyle w:val="TextoNormal"/>
      </w:pPr>
    </w:p>
    <w:p w:rsidR="005728DD" w:rsidRDefault="005728DD" w:rsidP="005728DD">
      <w:pPr>
        <w:pStyle w:val="TextoNormal"/>
      </w:pPr>
      <w:r>
        <w:t>Así, en el fundamento jurídico 3 (páginas 4 y 5), se dice que:</w:t>
      </w:r>
    </w:p>
    <w:p w:rsidR="005728DD" w:rsidRDefault="005728DD" w:rsidP="005728DD">
      <w:pPr>
        <w:pStyle w:val="TextoNormal"/>
      </w:pPr>
    </w:p>
    <w:p w:rsidR="005728DD" w:rsidRDefault="005728DD" w:rsidP="005728DD">
      <w:pPr>
        <w:pStyle w:val="TextoNormal"/>
      </w:pPr>
      <w:r>
        <w:t xml:space="preserve">“Las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w:t>
      </w:r>
      <w:r>
        <w:lastRenderedPageBreak/>
        <w:t>—cuya hipotética existencia solo se valora a los efectos de resolver sobre la competencia de esta sala— […]”.</w:t>
      </w:r>
    </w:p>
    <w:p w:rsidR="005728DD" w:rsidRDefault="005728DD" w:rsidP="005728DD">
      <w:pPr>
        <w:pStyle w:val="TextoNormal"/>
      </w:pPr>
    </w:p>
    <w:p w:rsidR="005728DD" w:rsidRDefault="005728DD" w:rsidP="005728DD">
      <w:pPr>
        <w:pStyle w:val="TextoNormal"/>
      </w:pPr>
      <w:r>
        <w:t>En el fundamento jurídico 4 (páginas 5 y 6), se recoge expresamente lo siguiente:</w:t>
      </w:r>
    </w:p>
    <w:p w:rsidR="005728DD" w:rsidRDefault="005728DD" w:rsidP="005728DD">
      <w:pPr>
        <w:pStyle w:val="TextoNormal"/>
      </w:pPr>
    </w:p>
    <w:p w:rsidR="005728DD" w:rsidRDefault="005728DD" w:rsidP="005728DD">
      <w:pPr>
        <w:pStyle w:val="TextoNormal"/>
      </w:pPr>
      <w:r>
        <w:t>“En la incipiente fase del proceso en el que se inserta la presente resolución, constatamos que el fiscal alude a la existencia de un delito […]. Hemos dicho en numerosas resoluciones que el proceso penal es de cristalización progresiva. Será a lo largo de la instrucción cuando los hechos imputados, a la vista de las diligencias de investigación acordadas por el instructor, confirmen o desmientan su realidad”.</w:t>
      </w:r>
    </w:p>
    <w:p w:rsidR="005728DD" w:rsidRDefault="005728DD" w:rsidP="005728DD">
      <w:pPr>
        <w:pStyle w:val="TextoNormal"/>
      </w:pPr>
    </w:p>
    <w:p w:rsidR="005728DD" w:rsidRDefault="005728DD" w:rsidP="005728DD">
      <w:pPr>
        <w:pStyle w:val="TextoNormal"/>
      </w:pPr>
      <w:r>
        <w:t>Finalmente, el fundamento jurídico 5 (página 6) insiste en estas ideas cuando señala:</w:t>
      </w:r>
    </w:p>
    <w:p w:rsidR="005728DD" w:rsidRDefault="005728DD" w:rsidP="005728DD">
      <w:pPr>
        <w:pStyle w:val="TextoNormal"/>
      </w:pPr>
    </w:p>
    <w:p w:rsidR="005728DD" w:rsidRDefault="005728DD" w:rsidP="005728DD">
      <w:pPr>
        <w:pStyle w:val="TextoNormal"/>
      </w:pPr>
      <w:r>
        <w:t>“La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5728DD" w:rsidRDefault="005728DD" w:rsidP="005728DD">
      <w:pPr>
        <w:pStyle w:val="TextoNormal"/>
      </w:pPr>
    </w:p>
    <w:p w:rsidR="005728DD" w:rsidRDefault="005728DD" w:rsidP="005728DD">
      <w:pPr>
        <w:pStyle w:val="TextoNormal"/>
      </w:pPr>
      <w:r>
        <w:t>Como se puede comprobar, el auto de admisión no contiene un pronunciamiento sobre el fondo del asunto,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Por lo tanto, de sus términos no se deduce una toma de posición de los magistrados sobre los hechos objeto de su enjuiciamiento, por lo que no puede imputárseles tacha de parcialidad alguna.</w:t>
      </w:r>
    </w:p>
    <w:p w:rsidR="005728DD" w:rsidRDefault="005728DD" w:rsidP="005728DD">
      <w:pPr>
        <w:pStyle w:val="TextoNormal"/>
      </w:pPr>
    </w:p>
    <w:p w:rsidR="005728DD" w:rsidRDefault="005728DD" w:rsidP="005728DD">
      <w:pPr>
        <w:pStyle w:val="TextoNormal"/>
      </w:pPr>
      <w:r>
        <w:t>Procede, en consecuencia, desestimar este motivo de amparo.</w:t>
      </w:r>
    </w:p>
    <w:p w:rsidR="005728DD" w:rsidRDefault="005728DD" w:rsidP="005728DD">
      <w:pPr>
        <w:pStyle w:val="TextoNormal"/>
      </w:pPr>
    </w:p>
    <w:p w:rsidR="005728DD" w:rsidRDefault="005728DD" w:rsidP="005728DD">
      <w:pPr>
        <w:pStyle w:val="TextoNormal"/>
      </w:pPr>
      <w:r>
        <w:t>5</w:t>
      </w:r>
      <w:r w:rsidRPr="005728DD">
        <w:rPr>
          <w:i/>
        </w:rPr>
        <w:t>.5. La recusación de todos los magistrados que integran la sala de enjuiciami</w:t>
      </w:r>
      <w:r>
        <w:t>ento.</w:t>
      </w:r>
    </w:p>
    <w:p w:rsidR="005728DD" w:rsidRDefault="005728DD" w:rsidP="005728DD">
      <w:pPr>
        <w:pStyle w:val="TextoNormal"/>
      </w:pPr>
    </w:p>
    <w:p w:rsidR="005728DD" w:rsidRDefault="005728DD" w:rsidP="005728DD">
      <w:pPr>
        <w:pStyle w:val="TextoNormal"/>
      </w:pPr>
      <w:r>
        <w:t>5.5.1</w:t>
      </w:r>
      <w:r w:rsidRPr="005728DD">
        <w:rPr>
          <w:i/>
        </w:rPr>
        <w:t>. Posiciones de las part</w:t>
      </w:r>
      <w:r>
        <w:t>es.</w:t>
      </w:r>
    </w:p>
    <w:p w:rsidR="005728DD" w:rsidRDefault="005728DD" w:rsidP="005728DD">
      <w:pPr>
        <w:pStyle w:val="TextoNormal"/>
      </w:pPr>
    </w:p>
    <w:p w:rsidR="005728DD" w:rsidRDefault="005728DD" w:rsidP="005728DD">
      <w:pPr>
        <w:pStyle w:val="TextoNormal"/>
      </w:pPr>
      <w:r>
        <w:t>Este motivo se concreta, a su vez, en dos alegaciones. Por un parte, se denuncia que el magistrado instructor y los integrantes de la sala de recursos forman parte de la propia Sala Segunda del Tribunal Supremo; es decir, del mismo órgano encargado del enjuiciamiento. Para el recurrente, el hecho de que las causas instruidas por un magistrado sean luego revisadas o juzgadas “por compañeros de la misma Sala”, no garantiza la necesaria “distancia” entre el instructor y el tribunal de apelación o de enjuiciamiento, que sí se garantiza “en cualquier otro procedimiento, no así a las personas aforadas”. Esta circunstancia deriva de lo dispuesto en el art. 57.2 LOPJ, por lo que se sugiere de este tribunal el planteamiento de una cuestión interna de inconstitucionalidad.</w:t>
      </w:r>
    </w:p>
    <w:p w:rsidR="005728DD" w:rsidRDefault="005728DD" w:rsidP="005728DD">
      <w:pPr>
        <w:pStyle w:val="TextoNormal"/>
      </w:pPr>
    </w:p>
    <w:p w:rsidR="005728DD" w:rsidRDefault="005728DD" w:rsidP="005728DD">
      <w:pPr>
        <w:pStyle w:val="TextoNormal"/>
      </w:pPr>
      <w:r>
        <w:lastRenderedPageBreak/>
        <w:t>Por otro lado, se impugna la composición de la sala encargada de resolver el incidente de nulidad de actuaciones, que fue la misma sala de enjuiciamiento que dictó la sentencia recurrida. Para el demandante, obviando esta petición expresa formulada por otrosí en su escrito promoviendo dicho incidente, no se garantizó la máxima imparcialidad del órgano revisor que, “como era de esperar, no advirti[ó] absolutamente ninguna vulneración de derechos fundamentales en la resolución que ellos mismos habían dictado unas semanas antes”.</w:t>
      </w:r>
    </w:p>
    <w:p w:rsidR="005728DD" w:rsidRDefault="005728DD" w:rsidP="005728DD">
      <w:pPr>
        <w:pStyle w:val="TextoNormal"/>
      </w:pPr>
    </w:p>
    <w:p w:rsidR="005728DD" w:rsidRDefault="005728DD" w:rsidP="005728DD">
      <w:pPr>
        <w:pStyle w:val="TextoNormal"/>
      </w:pPr>
      <w:r>
        <w:t>En relación con estas dos alegaciones, el Ministerio Fiscal no se pronuncia expresamente sobre la primera, mientras que propugna la desestimación de la segunda, al entender que aparece huérfana de argumentación alguna. El abogado del Estado considera que el primer motivo no aparece recogido en el listado de causas de abstención y recusación, mientras que si se estimara la alegación planteada en segundo lugar se estaría produciendo la conculcación del derecho al juez ordinario predeterminado por la ley. En cuanto a la posición del partido político Vox, no cabe sino reiterar lo expuesto en apartados anteriores.</w:t>
      </w:r>
    </w:p>
    <w:p w:rsidR="005728DD" w:rsidRDefault="005728DD" w:rsidP="005728DD">
      <w:pPr>
        <w:pStyle w:val="TextoNormal"/>
      </w:pPr>
    </w:p>
    <w:p w:rsidR="005728DD" w:rsidRDefault="005728DD" w:rsidP="005728DD">
      <w:pPr>
        <w:pStyle w:val="TextoNormal"/>
      </w:pPr>
      <w:r>
        <w:t>5.5.2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su respuesta a la primera alegación, invocada en el mismo trámite que la expuesta en el apartado anterior, la sentencia impugnada [fundamento jurídico A), apartado 5.5.4] señala que es difícil entender la exigencia de cierta “distancia” entre los magistrados. Una distancia que el recurrente no exige entre los miembros de la sala de enjuiciamiento, que en la lógica de su razonamiento obligaría a “no contrariar jamás al ponente”, rindiendo así “culto a la amistad en el proceso de deliberación”, de forma que “nunca quedaría erosionada la relación personal entre los magistrados de un órgano colegiado”.</w:t>
      </w:r>
    </w:p>
    <w:p w:rsidR="005728DD" w:rsidRDefault="005728DD" w:rsidP="005728DD">
      <w:pPr>
        <w:pStyle w:val="TextoNormal"/>
      </w:pPr>
    </w:p>
    <w:p w:rsidR="005728DD" w:rsidRDefault="005728DD" w:rsidP="005728DD">
      <w:pPr>
        <w:pStyle w:val="TextoNormal"/>
      </w:pPr>
      <w:r>
        <w:t>En este punto, la Sala vuelve a remitirse a lo expuesto en el auto de 13 de septiembre de 2018 por la Sala del art. 61 LOPJ: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w:t>
      </w:r>
    </w:p>
    <w:p w:rsidR="005728DD" w:rsidRDefault="005728DD" w:rsidP="005728DD">
      <w:pPr>
        <w:pStyle w:val="TextoNormal"/>
      </w:pPr>
    </w:p>
    <w:p w:rsidR="005728DD" w:rsidRDefault="005728DD" w:rsidP="005728DD">
      <w:pPr>
        <w:pStyle w:val="TextoNormal"/>
      </w:pPr>
      <w:r>
        <w:t>En el apartado anterior de la sentencia (5.5.3), ya se había hecho referencia a las normas de reparto que distribuyen el conocimiento de los asuntos en esa Sala, que “parten de una diferencia muy marcada entre la sala de admisión que, como su propio nombre sugiere, limita su papel a la admisión a trámite de la denuncia o querella, la sala de recursos, integrada por magistrados que no han participado en la decisión sobre admisión y que está llamada a resolver los recursos contra las resoluciones interlocutorias del magistrado instructor y la sala de enjuiciamiento, integrada por los magistrados que, hasta ese momento, se limitaron a dar trámite a la querella y se apartaron de todo contacto con el objeto del proceso”. Esta delimitación funcional es suficiente, según la Sala, para garantizar la debida imparcialidad de sus integrantes.</w:t>
      </w:r>
    </w:p>
    <w:p w:rsidR="005728DD" w:rsidRDefault="005728DD" w:rsidP="005728DD">
      <w:pPr>
        <w:pStyle w:val="TextoNormal"/>
      </w:pPr>
    </w:p>
    <w:p w:rsidR="005728DD" w:rsidRDefault="005728DD" w:rsidP="005728DD">
      <w:pPr>
        <w:pStyle w:val="TextoNormal"/>
      </w:pPr>
      <w:r>
        <w:t xml:space="preserve">En cuanto a la segunda alegación, la sala de enjuiciamiento da una respuesta —que puede considerarse implícita— en el auto de 29 de enero de 2020, por el que resolvió el incidente de nulidad de actuaciones. Así, en su fundamento jurídico 1 hace referencia a la doctrina expuesta en su auto de 1 de marzo de 2012, en el que se razonaba que “la filosofía del nuevo </w:t>
      </w:r>
      <w:r>
        <w:lastRenderedPageBreak/>
        <w:t>incidente de nulidad de actuaciones” permite que “la propia jurisdicción ordinaria pueda subsanar cualquier violación de los derechos fundamentales del art. 53.2 de la Constitución”, con lo que “se evita, en su caso, el acceso a la jurisdicción constitucional cuando la ordinaria, como primer garante de tales derechos fundamentales, puede evitar y subsanar cualquier denuncia al respecto”. Igualmente, se añade en el auto de 29 de enero de 2020 que, “de acuerdo con el apartado primero del artículo 241 de la Ley Orgánica del Poder Judicial, será competente para conocer de este incidente el mismo juzgado o tribunal que dictó la resolución que hubiere adquirido firmeza”. En definitiva, de lo expuesto se deduce que el Tribunal Supremo considera que la queja carece de virtualidad alguna, porque la propia naturaleza del incidente determina que sea, precisamente, el órgano que dictó la resolución el que haga una revisión de esta.</w:t>
      </w:r>
    </w:p>
    <w:p w:rsidR="005728DD" w:rsidRDefault="005728DD" w:rsidP="005728DD">
      <w:pPr>
        <w:pStyle w:val="TextoNormal"/>
      </w:pPr>
    </w:p>
    <w:p w:rsidR="005728DD" w:rsidRDefault="005728DD" w:rsidP="005728DD">
      <w:pPr>
        <w:pStyle w:val="TextoNormal"/>
      </w:pPr>
      <w:r>
        <w:t>5.5.3</w:t>
      </w:r>
      <w:r w:rsidRPr="005728DD">
        <w:rPr>
          <w:i/>
        </w:rPr>
        <w:t>. Resolución de la que</w:t>
      </w:r>
      <w:r>
        <w:t>ja.</w:t>
      </w:r>
    </w:p>
    <w:p w:rsidR="005728DD" w:rsidRDefault="005728DD" w:rsidP="005728DD">
      <w:pPr>
        <w:pStyle w:val="TextoNormal"/>
      </w:pPr>
    </w:p>
    <w:p w:rsidR="005728DD" w:rsidRDefault="005728DD" w:rsidP="005728DD">
      <w:pPr>
        <w:pStyle w:val="TextoNormal"/>
      </w:pPr>
      <w:r>
        <w:t>a) En relación con el primer motivo en el que se concreta esta impugnación, el planteamiento del recurrente supone, en realidad, una cierta confusión entre dos derechos fundamentales distintos: el derecho al juez ordinario predeterminado por la ley (reconocido expresamente en el art. 24.2 CE), y el derecho al juez imparcial (reconocido implícitamente como integrado en el derecho a un proceso con todas las garantías en el mismo art. 24.2 CE). La demanda hace depender un derecho del otro, de tal manera que la propia competencia objetiva y funcional del Tribunal Supremo (que afecta, en su caso, al derecho al juez ordinario predeterminado por la ley) es la que determina la falta de imparcialidad de los integrantes de ese órgano. Es decir, la vulneración del derecho al juez imparcial vendría motivada, de forma automática, por la competencia del Tribunal Supremo para el conocimiento del asunto. En este esquema argumental, el recurrente sugiere a este tribunal el planteamiento de una cuestión interna de inconstitucionalidad sobre el art. 57.2 LOPJ. Este precepto dispone lo siguiente: “En las causas a que se refieren los números segundo y tercero del párrafo anterior se designará de entre los miembros de la sala, conforme a un turno preestablecido, un instructor, que no formará parte de la misma para enjuiciarlas”.</w:t>
      </w:r>
    </w:p>
    <w:p w:rsidR="005728DD" w:rsidRDefault="005728DD" w:rsidP="005728DD">
      <w:pPr>
        <w:pStyle w:val="TextoNormal"/>
      </w:pPr>
    </w:p>
    <w:p w:rsidR="005728DD" w:rsidRDefault="005728DD" w:rsidP="005728DD">
      <w:pPr>
        <w:pStyle w:val="TextoNormal"/>
      </w:pPr>
      <w:r>
        <w:t>El motivo carece de fundamento. Empezando por la última alegación formulada, la doctrina jurisprudencial citada no impone un determinado diseño competencial para garantizar el derecho a un juez imparcial. En consecuencia, este derecho puede ser protegido con independencia de que los jueces y tribunales que intervienen en un asunto formen parte o no de un mismo órgano judicial. Lo relevante es el adecuado deslinde funcional entre ellos. De esta manera, el juez que instruye no puede fallar, mientras que los jueces que revisan las decisiones de la fase de instrucción no pueden intervenir en la fase de enjuiciamiento si en su labor de revisión han anticipado algún posicionamiento sobre la cuestión de fondo. Por su parte, los jueces que enjuician y dictan sentencia no han debido tener participación alguna en la fase de investigación previa. Si esos parámetros se cumplen, la imparcialidad judicial derivada estrictamente del rol funcional está garantizada. Al margen, claro está, de la posible concurrencia de otras causas de parcialidad de carácter subjetivo u objetivo.</w:t>
      </w:r>
    </w:p>
    <w:p w:rsidR="005728DD" w:rsidRDefault="005728DD" w:rsidP="005728DD">
      <w:pPr>
        <w:pStyle w:val="TextoNormal"/>
      </w:pPr>
    </w:p>
    <w:p w:rsidR="005728DD" w:rsidRDefault="005728DD" w:rsidP="005728DD">
      <w:pPr>
        <w:pStyle w:val="TextoNormal"/>
      </w:pPr>
      <w:r>
        <w:t xml:space="preserve">La actual organización de la Sala Segunda del Tribunal Supremo permite garantizar el derecho al juez imparcial, porque diferencia de forma adecuada las funciones del magistrado instructor, de la sala de recursos y de la sala de enjuiciamiento, estableciendo los turnos necesarios para evitar cualquier solapamiento entre magistrados del que pudiera deducirse una tacha de parcialidad derivada de su relación funcional con el proceso. En el caso que </w:t>
      </w:r>
      <w:r>
        <w:lastRenderedPageBreak/>
        <w:t>nos ocupa, estos criterios estaban fijados y eran públicos con suficiente antelación a la incoación del procedimiento (ver, en tal sentido, el ya citado “BOE” núm. 315, de 30 de diciembre de 2016).</w:t>
      </w:r>
    </w:p>
    <w:p w:rsidR="005728DD" w:rsidRDefault="005728DD" w:rsidP="005728DD">
      <w:pPr>
        <w:pStyle w:val="TextoNormal"/>
      </w:pPr>
    </w:p>
    <w:p w:rsidR="005728DD" w:rsidRDefault="005728DD" w:rsidP="005728DD">
      <w:pPr>
        <w:pStyle w:val="TextoNormal"/>
      </w:pPr>
      <w:r>
        <w:t>En realidad, lo que hace el art. 57.2 LOPJ es plasmar normativamente la regla básica de la imparcialidad funcional en el proceso penal, que consiste en que “el juez que instruye no puede fallar”, derivada de nuestra STC 145/1988, de 12 de julio, FJ 5, por aplicación de la doctrina expuesta en la STEDH de 26 de octubre de 1984, asunt</w:t>
      </w:r>
      <w:r w:rsidRPr="005728DD">
        <w:rPr>
          <w:i/>
        </w:rPr>
        <w:t>o De Cubber c. Bélgi</w:t>
      </w:r>
      <w:r>
        <w:t>ca. Por lo tanto, ninguna queja de inconstitucionalidad puede plantearse respecto de una norma que se ajusta a la doctrina sentada por este tribunal.</w:t>
      </w:r>
    </w:p>
    <w:p w:rsidR="005728DD" w:rsidRDefault="005728DD" w:rsidP="005728DD">
      <w:pPr>
        <w:pStyle w:val="TextoNormal"/>
      </w:pPr>
    </w:p>
    <w:p w:rsidR="005728DD" w:rsidRDefault="005728DD" w:rsidP="005728DD">
      <w:pPr>
        <w:pStyle w:val="TextoNormal"/>
      </w:pPr>
      <w:r>
        <w:t>Descartada la procedencia del planteamiento de una cuestión de inconstitucionalidad del art. 57.2 LOPJ, el resto del motivo tampoco puede prosperar.</w:t>
      </w:r>
    </w:p>
    <w:p w:rsidR="005728DD" w:rsidRDefault="005728DD" w:rsidP="005728DD">
      <w:pPr>
        <w:pStyle w:val="TextoNormal"/>
      </w:pPr>
    </w:p>
    <w:p w:rsidR="005728DD" w:rsidRDefault="005728DD" w:rsidP="005728DD">
      <w:pPr>
        <w:pStyle w:val="TextoNormal"/>
      </w:pPr>
      <w:r>
        <w:t>El respeto a las normas aplicables en materia de abstenciones y recusaciones (art. 219 LOPJ) constituye el presupuesto normativo básico para la debida observancia del derecho al juez imparcial. Cualquier objeción de parcialidad distinta del mero incumplimiento de esta norma requiere la aportación de un principio de prueba sobre la vulneración real y efectiva de este derecho fundamental. Las causas de abstención y/o recusación fijan normativamente aquellos supuestos en los que debe presumirse la parcialidad del juzgador, pero eso no significa que la imparcialidad no pueda ser desvirtuada por otros hechos o circunstancias, sobre todo cuando, como ocurre en este punto, se trata de analizar la vertiente objetiva de la imparcialidad judicial. No obstante, esos hechos o circunstancias deben ser de la misma entidad que las causas de abstención y/o recusación para que, sin caer en la interpretación extensiva o analógica, puedan justificar el principio de prueba sobre la parcialidad que, en cualquier caso, es exigible. Nada de esto se ha aportado por el recurrente, que no ha reconducido el motivo alegado a una concreta causa de las previstas en el art. 219 LOPJ, ni siquiera a un motivo de similar significación.</w:t>
      </w:r>
    </w:p>
    <w:p w:rsidR="005728DD" w:rsidRDefault="005728DD" w:rsidP="005728DD">
      <w:pPr>
        <w:pStyle w:val="TextoNormal"/>
      </w:pPr>
    </w:p>
    <w:p w:rsidR="005728DD" w:rsidRDefault="005728DD" w:rsidP="005728DD">
      <w:pPr>
        <w:pStyle w:val="TextoNormal"/>
      </w:pPr>
      <w:r>
        <w:t>En realidad, la demanda centra su impugnación en su disconformidad con las normas que regulan la competencia objetiva y funcional del Tribunal Supremo. Unas normas que, en este caso, se han aplicado conforme a parámetros de constitucionalidad, y cuya falta de compatibilidad con la Constitución ya ha sido descartada en otro apartado de esta resolución. Para que el recurso pudiera prosperar hubiera sido necesario establecer, al menos, una conexión lógica entre lo dispuesto en la norma y la ausencia de imparcialidad derivada de su estricto cumplimiento. Una vez más, el recurso omite la aportación de algún dato mínimamente objetivo. La única referencia en tal sentido consiste en la alegación de un concepto difuso como es el de la ausencia de “distancia” entre los magistrados. Un concepto que, llevado a sus últimas consecuencias, implicaría la tacha de parcialidad de cualquier magistrado integrante de un órgano colegiado. No es razonable pretender que la mera relación profesional, o incluso personal, entre los magistrados de una sala impide a cualquiera de estos ejercer su labor conforme a Derecho, asumiendo acríticamente las posturas del resto de sus colegas sobre la base de una distorsionada concepción de un compañerismo mal entendido. La tesis del recurrente supondría, en definitiva, una presunción de falta de profesionalidad basada en percepciones subjetivas o impresiones personales incompatibles con el rigor y objetividad exigibles en el planteamiento de una recusación.</w:t>
      </w:r>
    </w:p>
    <w:p w:rsidR="005728DD" w:rsidRDefault="005728DD" w:rsidP="005728DD">
      <w:pPr>
        <w:pStyle w:val="TextoNormal"/>
      </w:pPr>
    </w:p>
    <w:p w:rsidR="005728DD" w:rsidRDefault="005728DD" w:rsidP="005728DD">
      <w:pPr>
        <w:pStyle w:val="TextoNormal"/>
      </w:pPr>
      <w:r>
        <w:lastRenderedPageBreak/>
        <w:t>b) La segunda alegación postula que el incidente de nulidad de actuaciones no puede ser resuelto por el mismo órgano que dictó la sentencia que se revisa.</w:t>
      </w:r>
    </w:p>
    <w:p w:rsidR="005728DD" w:rsidRDefault="005728DD" w:rsidP="005728DD">
      <w:pPr>
        <w:pStyle w:val="TextoNormal"/>
      </w:pPr>
    </w:p>
    <w:p w:rsidR="005728DD" w:rsidRDefault="005728DD" w:rsidP="005728DD">
      <w:pPr>
        <w:pStyle w:val="TextoNormal"/>
      </w:pPr>
      <w:r>
        <w:t xml:space="preserve">Los argumentos expuestos en el apartado anterior pueden ser igualmente trasladables a este motivo. El recurrente hace depender una falta de imparcialidad del cumplimiento estricto de la normativa vigente, en este caso, sobre el incidente de nulidad de actuaciones. El art. 241 LOPJ no deja lugar a dudas: “Será competente para conocer de este incidente el mismo juzgado o tribunal que dictó la resolución que hubiere adquirido firmeza”. Este esquema funcional responde a la coherencia del sistema de protección de derechos fundamentales, atribuida en primer lugar a la jurisdicción ordinaria para que pueda reparar, en su caso, la vulneración denunciada y, solo de manera subsidiaria, a la jurisdicción constitucional. Precisamente, la finalidad de este incidente es que “el juez o tribunal que dictó la sentencia o resolución firme a la que se imputan [determinadas vulneraciones de derechos] pueda reconsiderar lo actuado y subsanar, en su caso, los vicios o defectos producidos, por lo que necesariamente ha de ser tal órgano el que actúe, sin que el hecho de haber pronunciado una resolución previa suponga en tal caso —como ya dijimos en la STC 157/1993, FJ 3— un impedimento frente a la imparcialidad constitucionalmente exigida al juzgador” (STC 170/2002, de 30 de diciembre, FJ 11). Esta doctrina es coherente con la mantenida por el Tribunal Europeo de Derechos Humanos para el caso de anulaciones de decisiones en vía de recurso y que, </w:t>
      </w:r>
      <w:r w:rsidRPr="005728DD">
        <w:rPr>
          <w:i/>
        </w:rPr>
        <w:t>mutatis mutandi</w:t>
      </w:r>
      <w:r>
        <w:t xml:space="preserve">, puede ser aplicada al supuesto que nos ocupa. En efecto, ya desde su sentencia de 16 de julio de 1971, caso </w:t>
      </w:r>
      <w:r w:rsidRPr="005728DD">
        <w:rPr>
          <w:i/>
        </w:rPr>
        <w:t>Ringeisen c. Austria</w:t>
      </w:r>
      <w:r>
        <w:t>, el tribunal declaró que “no podría elevarse a principio general, derivado del deber de imparcialidad, que una jurisdicción de recurso que anule una decisión administrativa o judicial tenga la obligación de remitir el asunto a otra autoridad jurisdiccional o a un órgano de esta autoridad compuesta de forma distinta”. De lo que se deduce que no atenta al principio de imparcialidad que el mismo órgano que cometió una eventual infracción pueda revisarla en un momento ulterior.</w:t>
      </w:r>
    </w:p>
    <w:p w:rsidR="005728DD" w:rsidRDefault="005728DD" w:rsidP="005728DD">
      <w:pPr>
        <w:pStyle w:val="TextoNormal"/>
      </w:pPr>
    </w:p>
    <w:p w:rsidR="005728DD" w:rsidRDefault="005728DD" w:rsidP="005728DD">
      <w:pPr>
        <w:pStyle w:val="TextoNormal"/>
      </w:pPr>
      <w:r>
        <w:t>Según la tesis de la demanda, ningún magistrado sería capaz de revisar sus propias decisiones para apreciar una posible vulneración de derechos fundamentales, con grave quebranto de su deber profesional de actuar en todo momento conforme a Derecho. La parcialidad generalizada que se deriva de los argumentos del recurrente es incompatible con nuestra doctrina. Lo que se presume es la imparcialidad, no la parcialidad. Por ello, el motivo solo podría prosperar si se hubiera aportado algún elemento fáctico del que pudiera deducirse, al menos, una apariencia de parcialidad. Pero el recurso aparece huérfano de toda propuesta argumental diferente a la mera afirmación de la vulneración alegada; en consecuencia, este motivo de amparo ha de ser desestimado.</w:t>
      </w:r>
    </w:p>
    <w:p w:rsidR="005728DD" w:rsidRDefault="005728DD" w:rsidP="005728DD">
      <w:pPr>
        <w:pStyle w:val="TextoNormal"/>
      </w:pPr>
    </w:p>
    <w:p w:rsidR="005728DD" w:rsidRDefault="005728DD" w:rsidP="005728DD">
      <w:pPr>
        <w:pStyle w:val="TextoNormal"/>
      </w:pPr>
      <w:r>
        <w:t>5</w:t>
      </w:r>
      <w:r w:rsidRPr="005728DD">
        <w:rPr>
          <w:i/>
        </w:rPr>
        <w:t>.6. La recusación del presidente de la sala de enjuiciami</w:t>
      </w:r>
      <w:r>
        <w:t>ento.</w:t>
      </w:r>
    </w:p>
    <w:p w:rsidR="005728DD" w:rsidRDefault="005728DD" w:rsidP="005728DD">
      <w:pPr>
        <w:pStyle w:val="TextoNormal"/>
      </w:pPr>
    </w:p>
    <w:p w:rsidR="005728DD" w:rsidRDefault="005728DD" w:rsidP="005728DD">
      <w:pPr>
        <w:pStyle w:val="TextoNormal"/>
      </w:pPr>
      <w:r>
        <w:t>5.6.1</w:t>
      </w:r>
      <w:r w:rsidRPr="005728DD">
        <w:rPr>
          <w:i/>
        </w:rPr>
        <w:t>. Posiciones de las part</w:t>
      </w:r>
      <w:r>
        <w:t>es.</w:t>
      </w:r>
    </w:p>
    <w:p w:rsidR="005728DD" w:rsidRDefault="005728DD" w:rsidP="005728DD">
      <w:pPr>
        <w:pStyle w:val="TextoNormal"/>
      </w:pPr>
    </w:p>
    <w:p w:rsidR="005728DD" w:rsidRDefault="005728DD" w:rsidP="005728DD">
      <w:pPr>
        <w:pStyle w:val="TextoNormal"/>
      </w:pPr>
      <w:r>
        <w:t xml:space="preserve">La demanda impugna la indebida desestimación de la recusación formulada contra el presidente de la sala de enjuiciamiento y, por extensión, del resto de sus integrantes, a raíz del mensaje enviado por el senador del Partido Popular, don Ignacio Cosidó, a numerosas personas, afirmando que aquel “había accedido a ser nombrado presidente del Tribunal Supremo a cambio de servir desde dicho puesto a los intereses de dicho partido político que, como era público y notorio, había reclamado reiterada y públicamente severísimas condenas </w:t>
      </w:r>
      <w:r>
        <w:lastRenderedPageBreak/>
        <w:t>para mi mandante”, lo que incluía controlar “desde detrás” el “funcionamiento de la Sala Segunda pese a no formar parte de ella si era nombrado presidente del Tribunal Supremo”.</w:t>
      </w:r>
    </w:p>
    <w:p w:rsidR="005728DD" w:rsidRDefault="005728DD" w:rsidP="005728DD">
      <w:pPr>
        <w:pStyle w:val="TextoNormal"/>
      </w:pPr>
    </w:p>
    <w:p w:rsidR="005728DD" w:rsidRDefault="005728DD" w:rsidP="005728DD">
      <w:pPr>
        <w:pStyle w:val="TextoNormal"/>
      </w:pPr>
      <w:r>
        <w:t>La queja se formula no solo en cuanto al fondo, sino también por haberse rechazado la prueba propuesta en el incidente de recusación, consistente en la toma de declaración como testigo del señor Cosidó, por lo que se impidió acreditar la efectiva concurrencia de la causa de recusación.</w:t>
      </w:r>
    </w:p>
    <w:p w:rsidR="005728DD" w:rsidRDefault="005728DD" w:rsidP="005728DD">
      <w:pPr>
        <w:pStyle w:val="TextoNormal"/>
      </w:pPr>
    </w:p>
    <w:p w:rsidR="005728DD" w:rsidRDefault="005728DD" w:rsidP="005728DD">
      <w:pPr>
        <w:pStyle w:val="TextoNormal"/>
      </w:pPr>
      <w:r>
        <w:t>En relación con esta pretensión, el Ministerio Fiscal interesa su desestimación, al entender que se trata de una recusación por un acto de un tercero, no del propio magistrado, cuya conducta permite descartar cualquier duda sobre su imparcialidad. El abogado del Estado se posiciona en el mismo sentido, señalando que la imparcialidad de un magistrado solo puede valorarse a partir de lo que este dice o hace o, incluso, de lo que aparente, pero no con base en la opinión de un tercero. En cuanto a la postura procesal del partido político Vox, no cabe sino reiterar lo expuesto en apartados anteriores.</w:t>
      </w:r>
    </w:p>
    <w:p w:rsidR="005728DD" w:rsidRDefault="005728DD" w:rsidP="005728DD">
      <w:pPr>
        <w:pStyle w:val="TextoNormal"/>
      </w:pPr>
    </w:p>
    <w:p w:rsidR="005728DD" w:rsidRDefault="005728DD" w:rsidP="005728DD">
      <w:pPr>
        <w:pStyle w:val="TextoNormal"/>
      </w:pPr>
      <w:r>
        <w:t>5.6.2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Este motivo de amparo fue rechazado en el fundamento jurídico A), apartado 5.5.6 de la sentencia ahora impugnada, con un extenso razonamiento en el que también se hacía una remisión expresa al auto núm. 7/2018, 5 de diciembre, de la Sala del art. 61 LOPJ por la que se desestimó esta pretensión en el incidente de recusación en su día planteado.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005728DD" w:rsidRDefault="005728DD" w:rsidP="005728DD">
      <w:pPr>
        <w:pStyle w:val="TextoNormal"/>
      </w:pPr>
    </w:p>
    <w:p w:rsidR="005728DD" w:rsidRDefault="005728DD" w:rsidP="005728DD">
      <w:pPr>
        <w:pStyle w:val="TextoNormal"/>
      </w:pPr>
      <w:r>
        <w:t>5.6.3</w:t>
      </w:r>
      <w:r w:rsidRPr="005728DD">
        <w:rPr>
          <w:i/>
        </w:rPr>
        <w:t>. Resolución de la que</w:t>
      </w:r>
      <w:r>
        <w:t>ja.</w:t>
      </w:r>
    </w:p>
    <w:p w:rsidR="005728DD" w:rsidRDefault="005728DD" w:rsidP="005728DD">
      <w:pPr>
        <w:pStyle w:val="TextoNormal"/>
      </w:pPr>
    </w:p>
    <w:p w:rsidR="005728DD" w:rsidRDefault="005728DD" w:rsidP="005728DD">
      <w:pPr>
        <w:pStyle w:val="TextoNormal"/>
      </w:pPr>
      <w:r>
        <w:t>a) La demanda impugna la indebida desestimación de la recusación formulada contra el presidente de la sala de enjuiciamiento y, por extensión, contra el resto de sus integrantes, a raíz del mensaje enviado a través de una aplicación de mensajería instantánea (Whatsapp) por el entonces senador del Partido Popular, don Ignacio Cosidó, a numerosas personas.</w:t>
      </w:r>
    </w:p>
    <w:p w:rsidR="005728DD" w:rsidRDefault="005728DD" w:rsidP="005728DD">
      <w:pPr>
        <w:pStyle w:val="TextoNormal"/>
      </w:pPr>
    </w:p>
    <w:p w:rsidR="005728DD" w:rsidRDefault="005728DD" w:rsidP="005728DD">
      <w:pPr>
        <w:pStyle w:val="TextoNormal"/>
      </w:pPr>
      <w:r>
        <w:t>El texto del mensaje, recogido en el auto núm. 7/2018, de 5 de diciembre, por el que la sala especial del art. 61 LOPJ resolvió el incidente, presentaba el siguiente tenor literal:</w:t>
      </w:r>
    </w:p>
    <w:p w:rsidR="005728DD" w:rsidRDefault="005728DD" w:rsidP="005728DD">
      <w:pPr>
        <w:pStyle w:val="TextoNormal"/>
      </w:pPr>
    </w:p>
    <w:p w:rsidR="005728DD" w:rsidRDefault="005728DD" w:rsidP="005728DD">
      <w:pPr>
        <w:pStyle w:val="TextoNormal"/>
      </w:pPr>
      <w: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w:t>
      </w:r>
      <w:r w:rsidRPr="005728DD">
        <w:rPr>
          <w:i/>
        </w:rPr>
        <w:t>auctoritas</w:t>
      </w:r>
      <w:r>
        <w:t xml:space="preserve">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005728DD" w:rsidRDefault="005728DD" w:rsidP="005728DD">
      <w:pPr>
        <w:pStyle w:val="TextoNormal"/>
      </w:pPr>
    </w:p>
    <w:p w:rsidR="005728DD" w:rsidRDefault="005728DD" w:rsidP="005728DD">
      <w:pPr>
        <w:pStyle w:val="TextoNormal"/>
      </w:pPr>
      <w:r>
        <w:t>b) En cuanto al rechazo de la prueba propuesta en el incidente de recusación, la doctrina de este tribunal sobre el derecho a la prueba es suficientemente conocida, y se expone con detalle en otro apartado de esta resolución. Basta ahora recordar que el derecho a la prueba es un derecho de configuración legal, que no confiere una facultad ilimitada a que se practiquen cualesquiera pruebas propuestas, sino únicamente las que sean pertinentes y relevantes para la resolución de la concreta pretensión planteada. De esta forma, la negativa a practicar una prueba no implica necesariamente la vulneración del derecho, salvo que vaya acompañada de una concreta indefensión que el recurrente debe invocar y motivar (ver, por todas, STC 165/2001, de 16 de julio, FJ 2).</w:t>
      </w:r>
    </w:p>
    <w:p w:rsidR="005728DD" w:rsidRDefault="005728DD" w:rsidP="005728DD">
      <w:pPr>
        <w:pStyle w:val="TextoNormal"/>
      </w:pPr>
    </w:p>
    <w:p w:rsidR="005728DD" w:rsidRDefault="005728DD" w:rsidP="005728DD">
      <w:pPr>
        <w:pStyle w:val="TextoNormal"/>
      </w:pPr>
      <w:r>
        <w:t>En este caso, en el marco del incidente de recusación planteado contra el presidente de la sala de enjuiciamiento se solicitaron las siguientes pruebas: la declaración del remitente del mensaje, señor Cosidó; el cotejo de los enlaces periodísticos que acreditaran la veracidad de los hechos expuestos; y la unión de un escrito planteando un artículo de previo pronunciamiento, con su documentación adjunta. El magistrado instructor del expediente dictó un auto en fecha 3 de diciembre de 2018, por el que denegó la práctica de las pruebas solicitadas, razonando que “no [eran] necesarias para la resolución del incidente”.</w:t>
      </w:r>
    </w:p>
    <w:p w:rsidR="005728DD" w:rsidRDefault="005728DD" w:rsidP="005728DD">
      <w:pPr>
        <w:pStyle w:val="TextoNormal"/>
      </w:pPr>
    </w:p>
    <w:p w:rsidR="005728DD" w:rsidRDefault="005728DD" w:rsidP="005728DD">
      <w:pPr>
        <w:pStyle w:val="TextoNormal"/>
      </w:pPr>
      <w:r>
        <w:t>La función de este tribunal es realizar un control externo sobre la razonabilidad de la decisión adoptada por el órgano judicial. En tal sentido, a pesar de su escueto argumento, un análisis de la causa invocada y de los elementos de juicio necesarios para su valoración conduce a estimar como razonable, lógico o no arbitrario el criterio del magistrado instructor del incidente de recusación.</w:t>
      </w:r>
    </w:p>
    <w:p w:rsidR="005728DD" w:rsidRDefault="005728DD" w:rsidP="005728DD">
      <w:pPr>
        <w:pStyle w:val="TextoNormal"/>
      </w:pPr>
    </w:p>
    <w:p w:rsidR="005728DD" w:rsidRDefault="005728DD" w:rsidP="005728DD">
      <w:pPr>
        <w:pStyle w:val="TextoNormal"/>
      </w:pPr>
      <w:r>
        <w:t>En efecto, la remisión del mensaje y la autoría del remitente nunca fueron cuestionadas, de manera que la resolución del expediente solo requería una valoración del contenido del mensaje y su repercusión para la apariencia de imparcialidad del magistrado recusado. Para realizar ese análisis no era necesario citar a testigo alguno.</w:t>
      </w:r>
    </w:p>
    <w:p w:rsidR="005728DD" w:rsidRDefault="005728DD" w:rsidP="005728DD">
      <w:pPr>
        <w:pStyle w:val="TextoNormal"/>
      </w:pPr>
    </w:p>
    <w:p w:rsidR="005728DD" w:rsidRDefault="005728DD" w:rsidP="005728DD">
      <w:pPr>
        <w:pStyle w:val="TextoNormal"/>
      </w:pPr>
      <w:r>
        <w:t>El recurrente señala que la declaración del señor Cosidó hubiera permitido verificar la realidad o no del supuesto acuerdo. Sin embargo, la cuestión a resolver no era tanto la realidad o no del acuerdo como la afectación del mensaje para la apariencia de imparcialidad del magistrado. Y para eso, insistimos, la testifical no era necesaria. Bajo estas premisas, era razonable prescindir de las pruebas propuestas.</w:t>
      </w:r>
    </w:p>
    <w:p w:rsidR="005728DD" w:rsidRDefault="005728DD" w:rsidP="005728DD">
      <w:pPr>
        <w:pStyle w:val="TextoNormal"/>
      </w:pPr>
    </w:p>
    <w:p w:rsidR="005728DD" w:rsidRDefault="005728DD" w:rsidP="005728DD">
      <w:pPr>
        <w:pStyle w:val="TextoNormal"/>
      </w:pPr>
      <w:r>
        <w:t>Por otro lado, el recurrente no ha justificado la eventual indefensión material que le produjo esta decisión judicial. Es decir, no se ha motivado de forma suficiente la repercusión concreta que la denegación de la prueba tuvo para la adecuada resolución del incidente de recusación, o de qué forma esta resolución podría haber sido distinta en el caso de que se hubieran practicado las pruebas propuestas, por lo que el motivo debe ser desestimado.</w:t>
      </w:r>
    </w:p>
    <w:p w:rsidR="005728DD" w:rsidRDefault="005728DD" w:rsidP="005728DD">
      <w:pPr>
        <w:pStyle w:val="TextoNormal"/>
      </w:pPr>
    </w:p>
    <w:p w:rsidR="005728DD" w:rsidRDefault="005728DD" w:rsidP="005728DD">
      <w:pPr>
        <w:pStyle w:val="TextoNormal"/>
      </w:pPr>
      <w:r>
        <w:t>c) Entrando en el fondo de la queja alegada, se hace necesario insistir en algunos principios que conforman los contornos de nuestra doctrina sobre el derecho al juez imparcial, y que el recurso parece haber obviado.</w:t>
      </w:r>
    </w:p>
    <w:p w:rsidR="005728DD" w:rsidRDefault="005728DD" w:rsidP="005728DD">
      <w:pPr>
        <w:pStyle w:val="TextoNormal"/>
      </w:pPr>
    </w:p>
    <w:p w:rsidR="005728DD" w:rsidRDefault="005728DD" w:rsidP="005728DD">
      <w:pPr>
        <w:pStyle w:val="TextoNormal"/>
      </w:pPr>
      <w:r>
        <w:t>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005728DD" w:rsidRDefault="005728DD" w:rsidP="005728DD">
      <w:pPr>
        <w:pStyle w:val="TextoNormal"/>
      </w:pPr>
    </w:p>
    <w:p w:rsidR="005728DD" w:rsidRDefault="005728DD" w:rsidP="005728DD">
      <w:pPr>
        <w:pStyle w:val="TextoNormal"/>
      </w:pPr>
      <w:r>
        <w:t>La imparcialidad judicial se configura de este modo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005728DD" w:rsidRDefault="005728DD" w:rsidP="005728DD">
      <w:pPr>
        <w:pStyle w:val="TextoNormal"/>
      </w:pPr>
    </w:p>
    <w:p w:rsidR="005728DD" w:rsidRDefault="005728DD" w:rsidP="005728DD">
      <w:pPr>
        <w:pStyle w:val="TextoNormal"/>
      </w:pPr>
      <w: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w:t>
      </w:r>
      <w:r>
        <w:lastRenderedPageBreak/>
        <w:t>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(arts. 117 y ss. CE). No obstante, analizado en su 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CGPJ, y con “capacidad de liderazg</w:t>
      </w:r>
      <w:r w:rsidRPr="005728DD">
        <w:rPr>
          <w:i/>
        </w:rPr>
        <w:t>o y auctor</w:t>
      </w:r>
      <w:r>
        <w:t>itas”.</w:t>
      </w:r>
    </w:p>
    <w:p w:rsidR="005728DD" w:rsidRDefault="005728DD" w:rsidP="005728DD">
      <w:pPr>
        <w:pStyle w:val="TextoNormal"/>
      </w:pPr>
    </w:p>
    <w:p w:rsidR="005728DD" w:rsidRDefault="005728DD" w:rsidP="005728DD">
      <w:pPr>
        <w:pStyle w:val="TextoNormal"/>
      </w:pPr>
      <w:r>
        <w:t>En cualquier caso, no corresponde a este tribunal hacer una valoración política sobre ese mensaje. En este apartado de la demanda solo se trata de determinar si su contenido permite descartar, por sí mismo, la imparcialidad de un magistrado. Y la respuesta solo puede ser negativa.</w:t>
      </w:r>
    </w:p>
    <w:p w:rsidR="005728DD" w:rsidRDefault="005728DD" w:rsidP="005728DD">
      <w:pPr>
        <w:pStyle w:val="TextoNormal"/>
      </w:pPr>
    </w:p>
    <w:p w:rsidR="005728DD" w:rsidRDefault="005728DD" w:rsidP="005728DD">
      <w:pPr>
        <w:pStyle w:val="TextoNormal"/>
      </w:pPr>
      <w:r>
        <w:t>El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005728DD" w:rsidRDefault="005728DD" w:rsidP="005728DD">
      <w:pPr>
        <w:pStyle w:val="TextoNormal"/>
      </w:pPr>
    </w:p>
    <w:p w:rsidR="005728DD" w:rsidRDefault="005728DD" w:rsidP="005728DD">
      <w:pPr>
        <w:pStyle w:val="TextoNormal"/>
      </w:pPr>
      <w:r>
        <w:t>“Las noticias divulgadas en los últimos días acerca de mi hipotética designación como presidente del Tribunal Supremo y del Consejo General del Poder Judicial, me obligan a hacer las siguientes precisiones:</w:t>
      </w:r>
    </w:p>
    <w:p w:rsidR="005728DD" w:rsidRDefault="005728DD" w:rsidP="005728DD">
      <w:pPr>
        <w:pStyle w:val="TextoNormal"/>
      </w:pPr>
    </w:p>
    <w:p w:rsidR="005728DD" w:rsidRDefault="005728DD" w:rsidP="005728DD">
      <w:pPr>
        <w:pStyle w:val="TextoNormal"/>
      </w:pPr>
      <w:r>
        <w:t>1. Jamás he concebido el ejercicio de la función jurisdiccional como un instrumento al servicio de una u otra opción política para controlar el desenlace de un proceso penal.</w:t>
      </w:r>
    </w:p>
    <w:p w:rsidR="005728DD" w:rsidRDefault="005728DD" w:rsidP="005728DD">
      <w:pPr>
        <w:pStyle w:val="TextoNormal"/>
      </w:pPr>
    </w:p>
    <w:p w:rsidR="005728DD" w:rsidRDefault="005728DD" w:rsidP="005728DD">
      <w:pPr>
        <w:pStyle w:val="TextoNormal"/>
      </w:pPr>
      <w:r>
        <w:t>2. Mi trayectoria como magistrado ha estado siempre presidida por la independencia como presupuesto de legitimidad de cualquier decisión jurisdiccional.</w:t>
      </w:r>
    </w:p>
    <w:p w:rsidR="005728DD" w:rsidRDefault="005728DD" w:rsidP="005728DD">
      <w:pPr>
        <w:pStyle w:val="TextoNormal"/>
      </w:pPr>
    </w:p>
    <w:p w:rsidR="005728DD" w:rsidRDefault="005728DD" w:rsidP="005728DD">
      <w:pPr>
        <w:pStyle w:val="TextoNormal"/>
      </w:pPr>
      <w:r>
        <w:t>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005728DD" w:rsidRDefault="005728DD" w:rsidP="005728DD">
      <w:pPr>
        <w:pStyle w:val="TextoNormal"/>
      </w:pPr>
    </w:p>
    <w:p w:rsidR="005728DD" w:rsidRDefault="005728DD" w:rsidP="005728DD">
      <w:pPr>
        <w:pStyle w:val="TextoNormal"/>
      </w:pPr>
      <w:r>
        <w:t>4. Por todo ello, anticipo públicamente mi decidida voluntad de no ser incluido, para el caso en que así fuera considerado, entre los candidatos al puesto de presidente del Tribunal Supremo y del Consejo General del Poder Judicial”.</w:t>
      </w:r>
    </w:p>
    <w:p w:rsidR="005728DD" w:rsidRDefault="005728DD" w:rsidP="005728DD">
      <w:pPr>
        <w:pStyle w:val="TextoNormal"/>
      </w:pPr>
    </w:p>
    <w:p w:rsidR="005728DD" w:rsidRDefault="005728DD" w:rsidP="005728DD">
      <w:pPr>
        <w:pStyle w:val="TextoNormal"/>
      </w:pPr>
      <w:r>
        <w:t xml:space="preserve">Como se puede ver, en ese comunicado no solo se negaba toda participación en aquella supuesta estrategia de control de una sala de Justicia al servicio de un partido político, sino </w:t>
      </w:r>
      <w:r>
        <w:lastRenderedPageBreak/>
        <w:t>que se descartaba de manera firme y decidida de cualquier postulación para el cargo al que se aludía (presidente del Tribunal Supremo y del Consejo General del Poder Judicial).</w:t>
      </w:r>
    </w:p>
    <w:p w:rsidR="005728DD" w:rsidRDefault="005728DD" w:rsidP="005728DD">
      <w:pPr>
        <w:pStyle w:val="TextoNormal"/>
      </w:pPr>
    </w:p>
    <w:p w:rsidR="005728DD" w:rsidRDefault="005728DD" w:rsidP="005728DD">
      <w:pPr>
        <w:pStyle w:val="TextoNormal"/>
      </w:pPr>
      <w:r>
        <w:t>Sin embargo, el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005728DD" w:rsidRDefault="005728DD" w:rsidP="005728DD">
      <w:pPr>
        <w:pStyle w:val="TextoNormal"/>
      </w:pPr>
    </w:p>
    <w:p w:rsidR="005728DD" w:rsidRDefault="005728DD" w:rsidP="005728DD">
      <w:pPr>
        <w:pStyle w:val="TextoNormal"/>
      </w:pPr>
      <w:r>
        <w:t>Por lo expuesto, el motivo no puede prosperar.</w:t>
      </w:r>
    </w:p>
    <w:p w:rsidR="005728DD" w:rsidRDefault="005728DD" w:rsidP="005728DD">
      <w:pPr>
        <w:pStyle w:val="TextoNormal"/>
      </w:pPr>
    </w:p>
    <w:p w:rsidR="005728DD" w:rsidRDefault="005728DD" w:rsidP="005728DD">
      <w:pPr>
        <w:pStyle w:val="TextoNormal"/>
      </w:pPr>
      <w:r>
        <w:t>5</w:t>
      </w:r>
      <w:r w:rsidRPr="005728DD">
        <w:rPr>
          <w:i/>
        </w:rPr>
        <w:t>.7. Sobre el rol inquisitivo que se atribuye al presidente de la sala de enjuiciamiento (señor Marchena Gó</w:t>
      </w:r>
      <w:r>
        <w:t>mez).</w:t>
      </w:r>
    </w:p>
    <w:p w:rsidR="005728DD" w:rsidRDefault="005728DD" w:rsidP="005728DD">
      <w:pPr>
        <w:pStyle w:val="TextoNormal"/>
      </w:pPr>
    </w:p>
    <w:p w:rsidR="005728DD" w:rsidRDefault="005728DD" w:rsidP="005728DD">
      <w:pPr>
        <w:pStyle w:val="TextoNormal"/>
      </w:pPr>
      <w:r>
        <w:t>5.7.1</w:t>
      </w:r>
      <w:r w:rsidRPr="005728DD">
        <w:rPr>
          <w:i/>
        </w:rPr>
        <w:t>. Posiciones de las part</w:t>
      </w:r>
      <w:r>
        <w:t>es.</w:t>
      </w:r>
    </w:p>
    <w:p w:rsidR="005728DD" w:rsidRDefault="005728DD" w:rsidP="005728DD">
      <w:pPr>
        <w:pStyle w:val="TextoNormal"/>
      </w:pPr>
    </w:p>
    <w:p w:rsidR="005728DD" w:rsidRDefault="005728DD" w:rsidP="005728DD">
      <w:pPr>
        <w:pStyle w:val="TextoNormal"/>
      </w:pPr>
      <w:r>
        <w:t>La última alegación sobre la vulneración del derecho a un juez imparcial se refiere a lo sucedido en la sesión de la vista oral celebrada el día 14 de marzo de 2019, en el interrogatorio como testigo del mayor del cuerpo de los Mossos d’Esquadra, don Josep Lluis Trapero. Según se recoge en la demanda, este testigo había sido propuesto por la representación de la acusación popular ejercida por el partido político Vox. Esta acusación no había formulado pregunta alguna sobre una reunión de la junta de seguridad que tuvo lugar el 28 de septiembre de 2017. Cuando el Ministerio Fiscal, en su turno de interrogatorio, formuló una pregunta sobre el motivo y la finalidad de esa reunión, el presidente de la sala de enjuiciamiento, a instancias de las defensas, rechazó la pregunta siguiendo el criterio de que el testigo solo podía ser interrogado sobre los hechos establecidos por la parte que lo hubiera propuesto. Sin embargo, terminado el interrogatorio del testigo, la Sala formuló la pregunta que había sido denegada previamente, al amparo de lo dispuesto en el art. 708 LECrim.</w:t>
      </w:r>
    </w:p>
    <w:p w:rsidR="005728DD" w:rsidRDefault="005728DD" w:rsidP="005728DD">
      <w:pPr>
        <w:pStyle w:val="TextoNormal"/>
      </w:pPr>
    </w:p>
    <w:p w:rsidR="005728DD" w:rsidRDefault="005728DD" w:rsidP="005728DD">
      <w:pPr>
        <w:pStyle w:val="TextoNormal"/>
      </w:pPr>
      <w:r>
        <w:t>Según la demanda, el tribunal no solo incurrió en una incoherencia, sino que asumió una función acusatoria, mediante la introducción de un hecho nuevo en el juicio, con la consiguiente merma de su apariencia de imparcialidad. Prueba de ello es que la Sala dio traslado a las defensas para poder repreguntar al testigo, en un trámite no previsto en la LECrim para estos casos, “y que supone aceptar una insólita situación de contradicción entre el interrogatorio de la presidencia y las defensas”.</w:t>
      </w:r>
    </w:p>
    <w:p w:rsidR="005728DD" w:rsidRDefault="005728DD" w:rsidP="005728DD">
      <w:pPr>
        <w:pStyle w:val="TextoNormal"/>
      </w:pPr>
    </w:p>
    <w:p w:rsidR="005728DD" w:rsidRDefault="005728DD" w:rsidP="005728DD">
      <w:pPr>
        <w:pStyle w:val="TextoNormal"/>
      </w:pPr>
      <w:r>
        <w:t>Esta cuestión fue denunciada por la defensa del aquí recurrente en su escrito de conclusiones definitivas, desde la perspectiva invocada del principio de igualdad de armas, aunque con el consiguiente menoscabo de la imparcialidad del tribunal, obteniendo una amplia respuesta en la sentencia ahora impugnada.</w:t>
      </w:r>
    </w:p>
    <w:p w:rsidR="005728DD" w:rsidRDefault="005728DD" w:rsidP="005728DD">
      <w:pPr>
        <w:pStyle w:val="TextoNormal"/>
      </w:pPr>
    </w:p>
    <w:p w:rsidR="005728DD" w:rsidRDefault="005728DD" w:rsidP="005728DD">
      <w:pPr>
        <w:pStyle w:val="TextoNormal"/>
      </w:pPr>
      <w:r>
        <w:t>La posición del Ministerio Fiscal sobre este motivo de amparo es coincidente con las anteriores, interesando su desestimación, ya que la pregunta se ajustaba a la finalidad del precepto empleado (art. 708 LECrim), que no es otra que “depurar” los hechos ya introducidos en el debate, sin añadir ningún hecho nuevo. Además, se permitió a las defensas volver a preguntar al testigo, por lo que no se causó indefensión alguna, al margen de la nula influencia de la pregunta en orden a la acreditación de un hecho —como era la propia reunión— que ya había sido acreditada por otras fuentes de prueba. En el mismo sentido se pronuncia el abogado del Estado, que añade el dato de que ni la pregunta ni la respuesta pudo tener relevancia alguna para el recurrente, pues este no estaba presente en la citada reunión ni se trae a colación en su juicio de autoría. Por su parte, el partido político Vox argumenta en este punto en el mismo sentido que el Ministerio Fiscal.</w:t>
      </w:r>
    </w:p>
    <w:p w:rsidR="005728DD" w:rsidRDefault="005728DD" w:rsidP="005728DD">
      <w:pPr>
        <w:pStyle w:val="TextoNormal"/>
      </w:pPr>
    </w:p>
    <w:p w:rsidR="005728DD" w:rsidRDefault="005728DD" w:rsidP="005728DD">
      <w:pPr>
        <w:pStyle w:val="TextoNormal"/>
      </w:pPr>
      <w:r>
        <w:t>5.7.2</w:t>
      </w:r>
      <w:r w:rsidRPr="005728DD">
        <w:rPr>
          <w:i/>
        </w:rPr>
        <w:t>. Respuesta del órgano judici</w:t>
      </w:r>
      <w:r>
        <w:t>al.</w:t>
      </w:r>
    </w:p>
    <w:p w:rsidR="005728DD" w:rsidRDefault="005728DD" w:rsidP="005728DD">
      <w:pPr>
        <w:pStyle w:val="TextoNormal"/>
      </w:pPr>
    </w:p>
    <w:p w:rsidR="005728DD" w:rsidRDefault="005728DD" w:rsidP="005728DD">
      <w:pPr>
        <w:pStyle w:val="TextoNormal"/>
      </w:pPr>
      <w:r>
        <w:t xml:space="preserve">La sala de enjuiciamiento rechaza esta pretensión en el fundamento de Derecho A), apartado 16.3.5. Tras hacer una reseña del art. 708 LECrim, y de las circunstancias en que se desarrolló el interrogatorio,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27 de octubre, en la que se destacó la existencia de facultades similares en los sistemas procesales de nuestro entorno (Alemania, Italia, Francia y Portugal). Y en la más reciente STS 205/2015, de 10 de marzo, se distinguía entre imparcialidad y absoluta pasividad, y se contemplaba expresamente el supuesto de “juicios largos con algunas dosis de lógica tensión”, en las que las facultades de dirección del acto obligan a sostener una posición </w:t>
      </w:r>
      <w:r w:rsidRPr="005728DD">
        <w:rPr>
          <w:i/>
        </w:rPr>
        <w:t>pro activa</w:t>
      </w:r>
      <w:r>
        <w:t xml:space="preserve">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desbordamiento tal de la función de la presidencia que ha degenerado en parcialidad, no basta cualquier presunto exceso o desacierto”.</w:t>
      </w:r>
    </w:p>
    <w:p w:rsidR="005728DD" w:rsidRDefault="005728DD" w:rsidP="005728DD">
      <w:pPr>
        <w:pStyle w:val="TextoNormal"/>
      </w:pPr>
    </w:p>
    <w:p w:rsidR="005728DD" w:rsidRDefault="005728DD" w:rsidP="005728DD">
      <w:pPr>
        <w:pStyle w:val="TextoNormal"/>
      </w:pPr>
      <w:r>
        <w:t xml:space="preserve">Para la sala de enjuiciamiento, la doctrina del Tribunal Supremo está en línea con los pronunciamientos de este tribunal, entre los que se destacan y extractan parcialmente las SSTC 229/2003, de 18 de diciembre y 334/2005, de 20 de diciembre. Lo relevante es que las preguntas del órgano enjuiciador versen sobre los hechos objeto de la acusación, a los efectos de alcanzar el grado preciso de convicción para la adopción de una decisión. No </w:t>
      </w:r>
      <w:r>
        <w:lastRenderedPageBreak/>
        <w:t>pueden ser manifestación de una actividad inquisitiva encubierta, sustituyendo a la acusación, ni una toma de partido a favor de las tesis de esta. Tampoco generan indefensión si la parte pudo formular alegaciones al respecto en el acto de la vista.</w:t>
      </w:r>
    </w:p>
    <w:p w:rsidR="005728DD" w:rsidRDefault="005728DD" w:rsidP="005728DD">
      <w:pPr>
        <w:pStyle w:val="TextoNormal"/>
      </w:pPr>
    </w:p>
    <w:p w:rsidR="005728DD" w:rsidRDefault="005728DD" w:rsidP="005728DD">
      <w:pPr>
        <w:pStyle w:val="TextoNormal"/>
      </w:pPr>
      <w:r>
        <w:t>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005728DD" w:rsidRDefault="005728DD" w:rsidP="005728DD">
      <w:pPr>
        <w:pStyle w:val="TextoNormal"/>
      </w:pPr>
    </w:p>
    <w:p w:rsidR="005728DD" w:rsidRDefault="005728DD" w:rsidP="005728DD">
      <w:pPr>
        <w:pStyle w:val="TextoNormal"/>
      </w:pPr>
      <w:r>
        <w:t>5.7.3</w:t>
      </w:r>
      <w:r w:rsidRPr="005728DD">
        <w:rPr>
          <w:i/>
        </w:rPr>
        <w:t>. Resolución de la que</w:t>
      </w:r>
      <w:r>
        <w:t>ja.</w:t>
      </w:r>
    </w:p>
    <w:p w:rsidR="005728DD" w:rsidRDefault="005728DD" w:rsidP="005728DD">
      <w:pPr>
        <w:pStyle w:val="TextoNormal"/>
      </w:pPr>
    </w:p>
    <w:p w:rsidR="005728DD" w:rsidRDefault="005728DD" w:rsidP="005728DD">
      <w:pPr>
        <w:pStyle w:val="TextoNormal"/>
      </w:pPr>
      <w:r>
        <w:t>a) La última invocación de la vulneración del derecho al juez imparcial no se refiere a una circunstancia personal u orgánica, sino a una lesión de carácter funcional, es decir, causada en el ejercicio estrictamente jurisdiccional. El recurrente considera que el presidente de la sala de enjuiciamiento asumió un “rol inquisitivo” durante el interrogatorio del señor Trapero, prestado en la sesión del juicio oral celebrada el 14 de marzo de 2019, al formularle una pregunta que versaba sobre el motivo, la finalidad y el contenido de una reunión celebrada el 28 de septiembre de 2017.</w:t>
      </w:r>
    </w:p>
    <w:p w:rsidR="005728DD" w:rsidRDefault="005728DD" w:rsidP="005728DD">
      <w:pPr>
        <w:pStyle w:val="TextoNormal"/>
      </w:pPr>
    </w:p>
    <w:p w:rsidR="005728DD" w:rsidRDefault="005728DD" w:rsidP="005728DD">
      <w:pPr>
        <w:pStyle w:val="TextoNormal"/>
      </w:pPr>
      <w:r>
        <w:t>La sentencia describe brevemente las circunstancias en que se desarrolló ese interrogatorio. El “testigo señor Trapero había sido propuesto por la acusación popular y por las defensas de los señores Sànchez, Cuixart y Forn. Tras finalizar el interrogatorio de la acusación popular y después de preguntar aquello que estimó conveniente, el Ministerio Fiscal formuló al testigo una pregunta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005728DD" w:rsidRDefault="005728DD" w:rsidP="005728DD">
      <w:pPr>
        <w:pStyle w:val="TextoNormal"/>
      </w:pPr>
    </w:p>
    <w:p w:rsidR="005728DD" w:rsidRDefault="005728DD" w:rsidP="005728DD">
      <w:pPr>
        <w:pStyle w:val="TextoNormal"/>
      </w:pPr>
      <w:r>
        <w:t>Expuesto lo anterior, la sentencia ahora impugnada desarrolla su argumentación para denegar esta pretensión. Y señala, a tal efecto, lo siguiente:</w:t>
      </w:r>
    </w:p>
    <w:p w:rsidR="005728DD" w:rsidRDefault="005728DD" w:rsidP="005728DD">
      <w:pPr>
        <w:pStyle w:val="TextoNormal"/>
      </w:pPr>
    </w:p>
    <w:p w:rsidR="005728DD" w:rsidRDefault="005728DD" w:rsidP="005728DD">
      <w:pPr>
        <w:pStyle w:val="TextoNormal"/>
      </w:pPr>
      <w:r>
        <w:t>“[L]a pregunta formulada por el presidente al testigo —señor Trapero— no introdujo elemento alguno que no hubiera sido objeto de debate cruzado entre las partes. El testigo había sido ampliamente interrogado sobre la reunión de la junta de seguridad celebrada el día 28 de septiembre de 2017. Al término del interrogatorio de las partes, conforme consta en el soporte digital en el que fue grabada la declaración del señor Trapero, el presidente procedió a dar lectura al párrafo segundo del art. 708 de la LECrim y formuló —previa deliberación del Tribunal que así lo había acordado— la siguiente pregunta:</w:t>
      </w:r>
    </w:p>
    <w:p w:rsidR="005728DD" w:rsidRDefault="005728DD" w:rsidP="005728DD">
      <w:pPr>
        <w:pStyle w:val="TextoNormal"/>
      </w:pPr>
    </w:p>
    <w:p w:rsidR="005728DD" w:rsidRDefault="005728DD" w:rsidP="005728DD">
      <w:pPr>
        <w:pStyle w:val="TextoNormal"/>
      </w:pPr>
      <w:r>
        <w:lastRenderedPageBreak/>
        <w:t>‘[…] usted ha declarado sobre una reunión que promueve, en la que están responsables políticos […] y de la fuerza que usted dirigía. Se habló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005728DD" w:rsidRDefault="005728DD" w:rsidP="005728DD">
      <w:pPr>
        <w:pStyle w:val="TextoNormal"/>
      </w:pPr>
    </w:p>
    <w:p w:rsidR="005728DD" w:rsidRDefault="005728DD" w:rsidP="005728DD">
      <w:pPr>
        <w:pStyle w:val="TextoNormal"/>
      </w:pPr>
      <w:r>
        <w:t>Una vez obtenida la respuesta del señor Trapero, la presidencia del tribunal ofreció a los letrados de las defensas la oportunidad de repreguntar lo que a su derecho conviniera. La 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pregunta. Y el letrado del señor Forn —que tampoco hizo constar ninguna protesta— dijo textualmente: ‘[…] creo que ya se lo había preguntado, pero sin todo este antecedente. Una vez que ha explicado todo esto, la pregunta sería […]’.</w:t>
      </w:r>
    </w:p>
    <w:p w:rsidR="005728DD" w:rsidRDefault="005728DD" w:rsidP="005728DD">
      <w:pPr>
        <w:pStyle w:val="TextoNormal"/>
      </w:pPr>
    </w:p>
    <w:p w:rsidR="005728DD" w:rsidRDefault="005728DD" w:rsidP="005728DD">
      <w:pPr>
        <w:pStyle w:val="TextoNormal"/>
      </w:pPr>
      <w:r>
        <w:t>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005728DD" w:rsidRDefault="005728DD" w:rsidP="005728DD">
      <w:pPr>
        <w:pStyle w:val="TextoNormal"/>
      </w:pPr>
    </w:p>
    <w:p w:rsidR="005728DD" w:rsidRDefault="005728DD" w:rsidP="005728DD">
      <w:pPr>
        <w:pStyle w:val="TextoNormal"/>
      </w:pPr>
      <w: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w:t>
      </w:r>
      <w:r w:rsidRPr="005728DD">
        <w:rPr>
          <w:i/>
        </w:rPr>
        <w:t>a priori</w:t>
      </w:r>
      <w:r>
        <w:t xml:space="preserve">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w:t>
      </w:r>
      <w:r w:rsidRPr="005728DD">
        <w:rPr>
          <w:i/>
        </w:rPr>
        <w:t>ex ante</w:t>
      </w:r>
      <w:r>
        <w:t xml:space="preserv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005728DD" w:rsidRDefault="005728DD" w:rsidP="005728DD">
      <w:pPr>
        <w:pStyle w:val="TextoNormal"/>
      </w:pPr>
    </w:p>
    <w:p w:rsidR="005728DD" w:rsidRDefault="005728DD" w:rsidP="005728DD">
      <w:pPr>
        <w:pStyle w:val="TextoNormal"/>
      </w:pPr>
      <w:r>
        <w:t>b) El análisis y resolución de este motivo de amparo requiere algunas consideraciones previas:</w:t>
      </w:r>
    </w:p>
    <w:p w:rsidR="005728DD" w:rsidRDefault="005728DD" w:rsidP="005728DD">
      <w:pPr>
        <w:pStyle w:val="TextoNormal"/>
      </w:pPr>
    </w:p>
    <w:p w:rsidR="005728DD" w:rsidRDefault="005728DD" w:rsidP="005728DD">
      <w:pPr>
        <w:pStyle w:val="TextoNormal"/>
      </w:pPr>
      <w:r>
        <w:t>(i) La primera se refiere al objeto de la pregunta controvertida formulada por el presidente de la sala de enjuiciamiento.</w:t>
      </w:r>
    </w:p>
    <w:p w:rsidR="005728DD" w:rsidRDefault="005728DD" w:rsidP="005728DD">
      <w:pPr>
        <w:pStyle w:val="TextoNormal"/>
      </w:pPr>
    </w:p>
    <w:p w:rsidR="005728DD" w:rsidRDefault="005728DD" w:rsidP="005728DD">
      <w:pPr>
        <w:pStyle w:val="TextoNormal"/>
      </w:pPr>
      <w:r>
        <w:lastRenderedPageBreak/>
        <w:t>Los términos de la demanda, e incluso de la propia sentencia, parecen dar a entender que la pregunta venía referida a una reunión de la junta de seguridad de la Comunidad Autónoma de Cataluña. Sin embargo, esa reunión tuvo lugar el día 27 de septiembre de 2017, mientras que el visionado completo de la declaración del señor Trapero pone de manifiesto que la pregunta estaba referida a otra reunión que se mantuvo el día 28 de septiembre de 2017 entre los mandos del cuerpo de Mossos d’Esquadra y los procesados señores Puigdemont, Junqueras y Forn.</w:t>
      </w:r>
    </w:p>
    <w:p w:rsidR="005728DD" w:rsidRDefault="005728DD" w:rsidP="005728DD">
      <w:pPr>
        <w:pStyle w:val="TextoNormal"/>
      </w:pPr>
    </w:p>
    <w:p w:rsidR="005728DD" w:rsidRDefault="005728DD" w:rsidP="005728DD">
      <w:pPr>
        <w:pStyle w:val="TextoNormal"/>
      </w:pPr>
      <w:r>
        <w:t>(ii) Sobre la interpretación que la sala de enjuiciamiento mantuvo en relación con uno de los preceptos que regulan el interrogatorio de los testigos.</w:t>
      </w:r>
    </w:p>
    <w:p w:rsidR="005728DD" w:rsidRDefault="005728DD" w:rsidP="005728DD">
      <w:pPr>
        <w:pStyle w:val="TextoNormal"/>
      </w:pPr>
    </w:p>
    <w:p w:rsidR="005728DD" w:rsidRDefault="005728DD" w:rsidP="005728DD">
      <w:pPr>
        <w:pStyle w:val="TextoNormal"/>
      </w:pPr>
      <w:r>
        <w:t>En el fundamento jurídico A), apartado 16.2.2, el Tribunal Supremo expone su criterio sobre el alcance del interrogatorio de las partes, desde su entendimiento del tenor literal del párrafo primero del art. 708 LECrim. Este precepto dispone lo siguiente: “El presidente [del tribunal]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La sala de enjuiciamiento describe su criterio interpretativo de la siguiente forma:</w:t>
      </w:r>
    </w:p>
    <w:p w:rsidR="005728DD" w:rsidRDefault="005728DD" w:rsidP="005728DD">
      <w:pPr>
        <w:pStyle w:val="TextoNormal"/>
      </w:pPr>
    </w:p>
    <w:p w:rsidR="005728DD" w:rsidRDefault="005728DD" w:rsidP="005728DD">
      <w:pPr>
        <w:pStyle w:val="TextoNormal"/>
      </w:pPr>
      <w:r>
        <w:t>“La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005728DD" w:rsidRDefault="005728DD" w:rsidP="005728DD">
      <w:pPr>
        <w:pStyle w:val="TextoNormal"/>
      </w:pPr>
    </w:p>
    <w:p w:rsidR="005728DD" w:rsidRDefault="005728DD" w:rsidP="005728DD">
      <w:pPr>
        <w:pStyle w:val="TextoNormal"/>
      </w:pPr>
      <w:r>
        <w:t>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cómo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alentando así un encadenamiento dialéctico de la prueba testifical que implicaría, además de una permanente confrontación ajena al principio contradictorio, una vulneración del derecho de defensa”.</w:t>
      </w:r>
    </w:p>
    <w:p w:rsidR="005728DD" w:rsidRDefault="005728DD" w:rsidP="005728DD">
      <w:pPr>
        <w:pStyle w:val="TextoNormal"/>
      </w:pPr>
    </w:p>
    <w:p w:rsidR="005728DD" w:rsidRDefault="005728DD" w:rsidP="005728DD">
      <w:pPr>
        <w:pStyle w:val="TextoNormal"/>
      </w:pPr>
      <w:r>
        <w:t xml:space="preserve">Como se puede observar, la Sala realiza una interpretación del primer párrafo del art. 708 LECrim y, más en concreto, del juicio de pertinencia sobre las preguntas formuladas a un </w:t>
      </w:r>
      <w:r>
        <w:lastRenderedPageBreak/>
        <w:t>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005728DD" w:rsidRDefault="005728DD" w:rsidP="005728DD">
      <w:pPr>
        <w:pStyle w:val="TextoNormal"/>
      </w:pPr>
    </w:p>
    <w:p w:rsidR="005728DD" w:rsidRDefault="005728DD" w:rsidP="005728DD">
      <w:pPr>
        <w:pStyle w:val="TextoNormal"/>
      </w:pPr>
      <w:r>
        <w:t>La interpretación ofrecida por el tribunal sentenciador no ha sido objeto de impugnación en este recurso, por lo que no procede hacer pronunciamiento alguno sobre la misma. En todo caso, se trataría de una cuestión de aplicación de la legalidad ordinaria, sobre la que este tribunal solo podría hacer un control meramente externo o de razonabilidad (STC 8/2014, de 27 de enero, FJ 3), sin ignorar que caben también otras interpretaciones alternativas, que son usuales en la práctica judicial.</w:t>
      </w:r>
    </w:p>
    <w:p w:rsidR="005728DD" w:rsidRDefault="005728DD" w:rsidP="005728DD">
      <w:pPr>
        <w:pStyle w:val="TextoNormal"/>
      </w:pPr>
    </w:p>
    <w:p w:rsidR="005728DD" w:rsidRDefault="005728DD" w:rsidP="005728DD">
      <w:pPr>
        <w:pStyle w:val="TextoNormal"/>
      </w:pPr>
      <w:r>
        <w:t>No obstante, se ha considerado necesario exponer el criterio mantenido por la sala en este punto, porque permite contextualizar debidamente las alegaciones del recurrente.</w:t>
      </w:r>
    </w:p>
    <w:p w:rsidR="005728DD" w:rsidRDefault="005728DD" w:rsidP="005728DD">
      <w:pPr>
        <w:pStyle w:val="TextoNormal"/>
      </w:pPr>
    </w:p>
    <w:p w:rsidR="005728DD" w:rsidRDefault="005728DD" w:rsidP="005728DD">
      <w:pPr>
        <w:pStyle w:val="TextoNormal"/>
      </w:pPr>
      <w:r>
        <w:t>(iii) La demanda invoca la vulneración del derecho al juez imparcial. Debe señalarse que la respuesta contenida en la sentencia impugnada es tributaria de la alegación formulada por el recurrente en su escrito de conclusiones definitivas, en el que se invocaba la vulneración del derecho a un proceso con todas las garantías, en su vertiente del principio de igualdad de armas (art. 24.2 CE).</w:t>
      </w:r>
    </w:p>
    <w:p w:rsidR="005728DD" w:rsidRDefault="005728DD" w:rsidP="005728DD">
      <w:pPr>
        <w:pStyle w:val="TextoNormal"/>
      </w:pPr>
    </w:p>
    <w:p w:rsidR="005728DD" w:rsidRDefault="005728DD" w:rsidP="005728DD">
      <w:pPr>
        <w:pStyle w:val="TextoNormal"/>
      </w:pPr>
      <w:r>
        <w:t>En este recurso, por tanto, se ha introducido una modificación del derecho fundamental alegado (derecho al juez imparcial) en comparación con la invocación formal realizada previamente en la instancia (igualdad de armas). No obstante, la identidad de los “términos en que se ha planteado el debate en vía procesal”, o de la “descripción fáctica de los datos o circunstancias de hecho”, permiten un pronunciamiento de este tribunal (STC 67/2020, de 29 de junio, FJ 2).</w:t>
      </w:r>
    </w:p>
    <w:p w:rsidR="005728DD" w:rsidRDefault="005728DD" w:rsidP="005728DD">
      <w:pPr>
        <w:pStyle w:val="TextoNormal"/>
      </w:pPr>
    </w:p>
    <w:p w:rsidR="005728DD" w:rsidRDefault="005728DD" w:rsidP="005728DD">
      <w:pPr>
        <w:pStyle w:val="TextoNormal"/>
      </w:pPr>
      <w:r>
        <w:t>(iv) Otro tanto puede decirse respecto de la ausencia de protesta alguna frente a la pregunta formulada por el tribunal.</w:t>
      </w:r>
    </w:p>
    <w:p w:rsidR="005728DD" w:rsidRDefault="005728DD" w:rsidP="005728DD">
      <w:pPr>
        <w:pStyle w:val="TextoNormal"/>
      </w:pPr>
    </w:p>
    <w:p w:rsidR="005728DD" w:rsidRDefault="005728DD" w:rsidP="005728DD">
      <w:pPr>
        <w:pStyle w:val="TextoNormal"/>
      </w:pPr>
      <w:r>
        <w:t xml:space="preserve">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alegando que podía hacerlo porque el testigo también había sido propuesto por esa parte (17:38 horas). La sala así lo admitió y el resto de los intervinientes en el proceso no formuló protesta alguna. Al término del interrogatorio de las partes (18:53 horas), la Sala hizo uso </w:t>
      </w:r>
      <w:r>
        <w:lastRenderedPageBreak/>
        <w:t>de lo dispuesto en el párrafo segundo del art. 708 LECrim, y formuló la pregunta ahora impugnada. Nadie elevó protesta alguna.</w:t>
      </w:r>
    </w:p>
    <w:p w:rsidR="005728DD" w:rsidRDefault="005728DD" w:rsidP="005728DD">
      <w:pPr>
        <w:pStyle w:val="TextoNormal"/>
      </w:pPr>
    </w:p>
    <w:p w:rsidR="005728DD" w:rsidRDefault="005728DD" w:rsidP="005728DD">
      <w:pPr>
        <w:pStyle w:val="TextoNormal"/>
      </w:pPr>
      <w:r>
        <w:t>Un entendimiento garantista de los presupuestos procesales del recurso de amparo conducirá a un pronunciamiento sobre el fondo de la vulneración alegada, prescindiendo de objeciones formalistas sobre la falta de invocación previa de la queja [art. 44.1 c) LOTC], derivada de la ausencia de protesta en el acto de la vista, toda vez que la lesión fue planteada en el escrito de conclusiones definitivas; es decir, al final del acto del juicio oral y, como hemos visto, obtuvo una respuesta en la sentencia impugnada.</w:t>
      </w:r>
    </w:p>
    <w:p w:rsidR="005728DD" w:rsidRDefault="005728DD" w:rsidP="005728DD">
      <w:pPr>
        <w:pStyle w:val="TextoNormal"/>
      </w:pPr>
    </w:p>
    <w:p w:rsidR="005728DD" w:rsidRDefault="005728DD" w:rsidP="005728DD">
      <w:pPr>
        <w:pStyle w:val="TextoNormal"/>
      </w:pPr>
      <w:r>
        <w:t>(v) La demanda se plantea en términos que permiten advertir cierto solapamiento entre los derechos fundamentales invocados.</w:t>
      </w:r>
    </w:p>
    <w:p w:rsidR="005728DD" w:rsidRDefault="005728DD" w:rsidP="005728DD">
      <w:pPr>
        <w:pStyle w:val="TextoNormal"/>
      </w:pPr>
    </w:p>
    <w:p w:rsidR="005728DD" w:rsidRDefault="005728DD" w:rsidP="005728DD">
      <w:pPr>
        <w:pStyle w:val="TextoNormal"/>
      </w:pPr>
      <w:r>
        <w:t>La expresión “rol inquisitivo” no puede entenderse referida al principio inquisitivo que evoca el “viejo proceso penal […] regido por el sistema de prueba tasada en el que el imputado era considerado como objeto del proceso penal, [no como] sujeto” (STC 142/2009, de 15 de junio, FJ 3). En realidad, la expresión empleada en la demanda pretende invocar una posible vulneración del principio acusatorio. Este principio se encuentra integrado en el derecho a un proceso con todas las garantías y se conecta con el derecho de defensa, el derecho a ser informado de la acusación y el derecho al juez imparcial, todos ellos amparados en el art. 24.2 CE.</w:t>
      </w:r>
    </w:p>
    <w:p w:rsidR="005728DD" w:rsidRDefault="005728DD" w:rsidP="005728DD">
      <w:pPr>
        <w:pStyle w:val="TextoNormal"/>
      </w:pPr>
    </w:p>
    <w:p w:rsidR="005728DD" w:rsidRDefault="005728DD" w:rsidP="005728DD">
      <w:pPr>
        <w:pStyle w:val="TextoNormal"/>
      </w:pPr>
      <w:r>
        <w:t>En efecto, el principio acusatorio se manifiesta, entre otros aspectos, en la necesaria correlación entre la acusación y la resolución del procedimiento. De esta forma, por un lado, la persona a la que se imputa un delito debe tener conocimiento de los hechos objeto de la acusación, a fin de poder ejercer su derecho de defensa; y por otro, el órgano de enjuiciamiento no puede introducir hechos nuevos que no hayan sido aportados por la acusación; es decir, no puede adoptar la doble función de juez y parte o llevar a cabo una “actividad inquisitiva encubierta” (en palabras de la STC 130/2002, de 3 de junio, FJ 3), porque entonces se estaría vulnerando también el derecho al juez imparcial (por todas, STC 1/2020, de 14 de enero, FJ 7). Sin embargo, para la resolución de este motivo de amparo debe tenerse igualmente muy presente el principio de inmediación judicial.</w:t>
      </w:r>
    </w:p>
    <w:p w:rsidR="005728DD" w:rsidRDefault="005728DD" w:rsidP="005728DD">
      <w:pPr>
        <w:pStyle w:val="TextoNormal"/>
      </w:pPr>
    </w:p>
    <w:p w:rsidR="005728DD" w:rsidRDefault="005728DD" w:rsidP="005728DD">
      <w:pPr>
        <w:pStyle w:val="TextoNormal"/>
      </w:pPr>
      <w:r>
        <w:t>Como es conocido, la inmediación judicial deriva del derecho a un proceso justo o equitativo (art. 6.1 CEDH) que implica la “facultad del acusado de estar presente y ser oído personalmente” (STC 167/2002, de 18 de septiembre, FJ 10, con cita de las SSTEDH de 26 de mayo de 1988, asunt</w:t>
      </w:r>
      <w:r w:rsidRPr="005728DD">
        <w:rPr>
          <w:i/>
        </w:rPr>
        <w:t>o Ekbatani c. Suec</w:t>
      </w:r>
      <w:r>
        <w:t>ia, § 24 y 27; de 29 de octubre de 1991, asunt</w:t>
      </w:r>
      <w:r w:rsidRPr="005728DD">
        <w:rPr>
          <w:i/>
        </w:rPr>
        <w:t>o Helmers c. Suec</w:t>
      </w:r>
      <w:r>
        <w:t>ia, § 31 y 32; de 27 de junio de 2000, asunt</w:t>
      </w:r>
      <w:r w:rsidRPr="005728DD">
        <w:rPr>
          <w:i/>
        </w:rPr>
        <w:t>o Constantinescu c. Ruman</w:t>
      </w:r>
      <w:r>
        <w:t>ía, § 53, doctrina que se consolida, con matices, en la STC 170/2002, de 30 de septiembre, FJ 15).</w:t>
      </w:r>
    </w:p>
    <w:p w:rsidR="005728DD" w:rsidRDefault="005728DD" w:rsidP="005728DD">
      <w:pPr>
        <w:pStyle w:val="TextoNormal"/>
      </w:pPr>
    </w:p>
    <w:p w:rsidR="005728DD" w:rsidRDefault="005728DD" w:rsidP="005728DD">
      <w:pPr>
        <w:pStyle w:val="TextoNormal"/>
      </w:pPr>
      <w:r>
        <w:t xml:space="preserve">A su vez, la inmediación judicial también aparece conectada, de forma indisoluble, con el principio de libre valoración de la prueba que, en el ámbito del proceso penal, figura descrito en el art. 741 LECrim, cuando establece que el tribunal, “apreciando según su conciencia las pruebas practicadas en el juicio, las razones expuestas por la acusación y la defensa y lo manifestado por los mismos procesados, dictará sentencia”. Para la plena vigencia de este principio es necesario que la prueba se desarrolle en el acto del juicio bajo las garantías procesales de “publicidad, oralidad, inmediación y contradicción” que, junto con el </w:t>
      </w:r>
      <w:r>
        <w:lastRenderedPageBreak/>
        <w:t>principio de igualdad de armas, se configuran como elementos estructurales del derecho a un juicio justo (STC 94/2004, de 24 de mayo, FJ 2, y la jurisprudencia allí citada).</w:t>
      </w:r>
    </w:p>
    <w:p w:rsidR="005728DD" w:rsidRDefault="005728DD" w:rsidP="005728DD">
      <w:pPr>
        <w:pStyle w:val="TextoNormal"/>
      </w:pPr>
    </w:p>
    <w:p w:rsidR="005728DD" w:rsidRDefault="005728DD" w:rsidP="005728DD">
      <w:pPr>
        <w:pStyle w:val="TextoNormal"/>
      </w:pPr>
      <w:r>
        <w:t>La publicidad del proceso —con sus inescindibles principios de oralidad, inmediación y contradicción—, es una garantía de profundas raíces democráticas, porque no solo permite que la persona sometida a juicio pueda tener acceso a todo aquello que va a ser utilizado por el tribunal para la resolución de su caso, sino que contribuye a la transparencia del sistema de Justicia generando con ello la máxima confianza de los ciudadanos en el funcionamiento del Poder Judicial, que es fuente de su legitimidad constitucional (art. 117.1 CE).</w:t>
      </w:r>
    </w:p>
    <w:p w:rsidR="005728DD" w:rsidRDefault="005728DD" w:rsidP="005728DD">
      <w:pPr>
        <w:pStyle w:val="TextoNormal"/>
      </w:pPr>
    </w:p>
    <w:p w:rsidR="005728DD" w:rsidRDefault="005728DD" w:rsidP="005728DD">
      <w:pPr>
        <w:pStyle w:val="TextoNormal"/>
      </w:pPr>
      <w:r>
        <w:t>De todo lo anterior se deduce la relevancia que tiene el cumplimiento de las normas procesales sobre la práctica de la prueba, como instrumento de garantía del derecho a un proceso justo. Así, este tribunal ha afirmado que la “estricta sujeción del juez a la ley penal sustantiva y procesal que rige sus actos y decisiones constituye la primera y más importante garantía del juicio justo”, que “otorga […]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(STC 130/2002, de 3 de junio, FJ 3).</w:t>
      </w:r>
    </w:p>
    <w:p w:rsidR="005728DD" w:rsidRDefault="005728DD" w:rsidP="005728DD">
      <w:pPr>
        <w:pStyle w:val="TextoNormal"/>
      </w:pPr>
    </w:p>
    <w:p w:rsidR="005728DD" w:rsidRDefault="005728DD" w:rsidP="005728DD">
      <w:pPr>
        <w:pStyle w:val="TextoNormal"/>
      </w:pPr>
      <w:r>
        <w:t>Sin embargo, “según doctrina reiterada de este tribunal,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(art. 24.2 CE; STC 188/2000, FJ 2)”. (STC 130/2002, de 3 de junio, FJ 4).</w:t>
      </w:r>
    </w:p>
    <w:p w:rsidR="005728DD" w:rsidRDefault="005728DD" w:rsidP="005728DD">
      <w:pPr>
        <w:pStyle w:val="TextoNormal"/>
      </w:pPr>
    </w:p>
    <w:p w:rsidR="005728DD" w:rsidRDefault="005728DD" w:rsidP="005728DD">
      <w:pPr>
        <w:pStyle w:val="TextoNormal"/>
      </w:pPr>
      <w:r>
        <w:t>c) La contextualización de los elementos fácticos y jurídicos concurrentes permiten abordar, ahora sí, la cuestión de fondo planteada.</w:t>
      </w:r>
    </w:p>
    <w:p w:rsidR="005728DD" w:rsidRDefault="005728DD" w:rsidP="005728DD">
      <w:pPr>
        <w:pStyle w:val="TextoNormal"/>
      </w:pPr>
    </w:p>
    <w:p w:rsidR="005728DD" w:rsidRDefault="005728DD" w:rsidP="005728DD">
      <w:pPr>
        <w:pStyle w:val="TextoNormal"/>
      </w:pPr>
      <w:r>
        <w:t>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005728DD" w:rsidRDefault="005728DD" w:rsidP="005728DD">
      <w:pPr>
        <w:pStyle w:val="TextoNormal"/>
      </w:pPr>
    </w:p>
    <w:p w:rsidR="005728DD" w:rsidRDefault="005728DD" w:rsidP="005728DD">
      <w:pPr>
        <w:pStyle w:val="TextoNormal"/>
      </w:pPr>
      <w:r>
        <w:lastRenderedPageBreak/>
        <w:t>Esta facultad del tribunal debe ser considerada como una herramienta necesaria para el ejercicio de la inmediación judicial que, como se ha expuesto, se configura como un presupuesto del principio de libre valoración de la prueba, integrándose en el derecho a un proceso público con todas las garantías, reconocido en el art. 24.2 CE.</w:t>
      </w:r>
    </w:p>
    <w:p w:rsidR="005728DD" w:rsidRDefault="005728DD" w:rsidP="005728DD">
      <w:pPr>
        <w:pStyle w:val="TextoNormal"/>
      </w:pPr>
    </w:p>
    <w:p w:rsidR="005728DD" w:rsidRDefault="005728DD" w:rsidP="005728DD">
      <w:pPr>
        <w:pStyle w:val="TextoNormal"/>
      </w:pPr>
      <w:r>
        <w:t>La inmediación judicial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005728DD" w:rsidRDefault="005728DD" w:rsidP="005728DD">
      <w:pPr>
        <w:pStyle w:val="TextoNormal"/>
      </w:pPr>
    </w:p>
    <w:p w:rsidR="005728DD" w:rsidRDefault="005728DD" w:rsidP="005728DD">
      <w:pPr>
        <w:pStyle w:val="TextoNormal"/>
      </w:pPr>
      <w:r>
        <w:t>Esta facultad no puede confundirse con la función estricta de valoración de la prueba. La valoración es una actividad jurisdiccional posterior, que presupone necesariamente que el tribunal haya percibido con claridad lo ocurrido en el juicio oral. Nótese que el art. 708 LECrim, en su párrafo segundo, permite depurar “los hechos”, no el “testimonio”. El testimonio será luego objeto de valoración (o depuración, en cuanto a su validez, credibilidad y suficiencia para acreditar o no los hechos enjuiciados) conforme a lo dispuesto en el art. 741 LECrim.</w:t>
      </w:r>
    </w:p>
    <w:p w:rsidR="005728DD" w:rsidRDefault="005728DD" w:rsidP="005728DD">
      <w:pPr>
        <w:pStyle w:val="TextoNormal"/>
      </w:pPr>
    </w:p>
    <w:p w:rsidR="005728DD" w:rsidRDefault="005728DD" w:rsidP="005728DD">
      <w:pPr>
        <w:pStyle w:val="TextoNormal"/>
      </w:pPr>
      <w:r>
        <w:t>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005728DD" w:rsidRDefault="005728DD" w:rsidP="005728DD">
      <w:pPr>
        <w:pStyle w:val="TextoNormal"/>
      </w:pPr>
    </w:p>
    <w:p w:rsidR="005728DD" w:rsidRDefault="005728DD" w:rsidP="005728DD">
      <w:pPr>
        <w:pStyle w:val="TextoNormal"/>
      </w:pPr>
      <w:r>
        <w:t>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abogado del Estado, y en la página 20 del escrito de la acusación popular ejercida por el partido político Vox.</w:t>
      </w:r>
    </w:p>
    <w:p w:rsidR="005728DD" w:rsidRDefault="005728DD" w:rsidP="005728DD">
      <w:pPr>
        <w:pStyle w:val="TextoNormal"/>
      </w:pPr>
    </w:p>
    <w:p w:rsidR="005728DD" w:rsidRDefault="005728DD" w:rsidP="005728DD">
      <w:pPr>
        <w:pStyle w:val="TextoNormal"/>
      </w:pPr>
      <w:r>
        <w:lastRenderedPageBreak/>
        <w:t>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005728DD" w:rsidRDefault="005728DD" w:rsidP="005728DD">
      <w:pPr>
        <w:pStyle w:val="TextoNormal"/>
      </w:pPr>
    </w:p>
    <w:p w:rsidR="005728DD" w:rsidRDefault="005728DD" w:rsidP="005728DD">
      <w:pPr>
        <w:pStyle w:val="TextoNormal"/>
      </w:pPr>
      <w:r>
        <w:t>Una vez que la reunión estaba incluida en los escritos de acusación, y que su celebración y contenido habían sido introducidos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005728DD" w:rsidRDefault="005728DD" w:rsidP="005728DD">
      <w:pPr>
        <w:pStyle w:val="TextoNormal"/>
      </w:pPr>
    </w:p>
    <w:p w:rsidR="005728DD" w:rsidRDefault="005728DD" w:rsidP="005728DD">
      <w:pPr>
        <w:pStyle w:val="TextoNormal"/>
      </w:pPr>
      <w:r>
        <w:t>Ni siquiera puede achacarse a la sala una mera incoherencia en su actuación. Según el recurrente, es incongruente denegar la pregunta al Ministerio Fiscal y, sin embargo, formular la misma pregunta unos minutos después.</w:t>
      </w:r>
    </w:p>
    <w:p w:rsidR="005728DD" w:rsidRDefault="005728DD" w:rsidP="005728DD">
      <w:pPr>
        <w:pStyle w:val="TextoNormal"/>
      </w:pPr>
    </w:p>
    <w:p w:rsidR="005728DD" w:rsidRDefault="005728DD" w:rsidP="005728DD">
      <w:pPr>
        <w:pStyle w:val="TextoNormal"/>
      </w:pPr>
      <w:r>
        <w:t>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 según hemos expuesto. La diferencia de presupuestos normativos para adoptar ambas decisiones impide apreciar la incongruencia o incoherencia alegada y, por lo tanto, la vulneración invocada.</w:t>
      </w:r>
    </w:p>
    <w:p w:rsidR="005728DD" w:rsidRDefault="005728DD" w:rsidP="005728DD">
      <w:pPr>
        <w:pStyle w:val="TextoNormal"/>
      </w:pPr>
    </w:p>
    <w:p w:rsidR="005728DD" w:rsidRDefault="005728DD" w:rsidP="005728DD">
      <w:pPr>
        <w:pStyle w:val="TextoNormal"/>
      </w:pPr>
      <w:r>
        <w:t>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contestación del señor Trapero a la pregunta formulada por la sala; es decir, que fue inocua desde la perspectiva de la afectación material de los derechos del recurrente.</w:t>
      </w:r>
    </w:p>
    <w:p w:rsidR="005728DD" w:rsidRDefault="005728DD" w:rsidP="005728DD">
      <w:pPr>
        <w:pStyle w:val="TextoNormal"/>
      </w:pPr>
    </w:p>
    <w:p w:rsidR="005728DD" w:rsidRDefault="005728DD" w:rsidP="005728DD">
      <w:pPr>
        <w:pStyle w:val="TextoNormal"/>
      </w:pPr>
      <w:r>
        <w:lastRenderedPageBreak/>
        <w:t>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005728DD" w:rsidRDefault="005728DD" w:rsidP="005728DD">
      <w:pPr>
        <w:pStyle w:val="TextoNormal"/>
      </w:pPr>
    </w:p>
    <w:p w:rsidR="005728DD" w:rsidRDefault="005728DD" w:rsidP="005728DD">
      <w:pPr>
        <w:pStyle w:val="TextoNormal"/>
      </w:pPr>
      <w:r>
        <w:t>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como se alega en el recurso. Lo que puso de manifiesto fue un escrupuloso respeto al derecho de defensa, a la vigencia de los principios de contradicción e igualdad de armas y, en definitiva, al derecho a la imparcialidad judicial integrado en el derecho a un proceso con todas las garantías (art. 24.2 CE). Lo que conduce a la desestimación del motivo analizado.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Derecho a la igualdad de armas en el proceso</w:t>
      </w:r>
      <w:r>
        <w:t>.</w:t>
      </w:r>
    </w:p>
    <w:p w:rsidR="005728DD" w:rsidRDefault="005728DD" w:rsidP="005728DD">
      <w:pPr>
        <w:pStyle w:val="TextoNormal"/>
      </w:pPr>
    </w:p>
    <w:p w:rsidR="005728DD" w:rsidRDefault="005728DD" w:rsidP="005728DD">
      <w:pPr>
        <w:pStyle w:val="TextoNormal"/>
      </w:pPr>
      <w:r>
        <w:t>La sentencia recurrida en amparo se refiere a esta materia en el apartado 16 del fundamento jurídico A).</w:t>
      </w:r>
    </w:p>
    <w:p w:rsidR="005728DD" w:rsidRDefault="005728DD" w:rsidP="005728DD">
      <w:pPr>
        <w:pStyle w:val="TextoNormal"/>
      </w:pPr>
    </w:p>
    <w:p w:rsidR="005728DD" w:rsidRDefault="005728DD" w:rsidP="005728DD">
      <w:pPr>
        <w:pStyle w:val="TextoNormal"/>
      </w:pPr>
      <w:r>
        <w:t>Para la mejor comprensión del examen de esta queja, teniendo en cuenta la extensión de este apartado, así como que abarca aspectos ajenos a los planteados en esta sede por la parte recurrente, hemos optado por no reproducir íntegramente este fragmento de la sentencia recurrida. Tomaremos así las consideraciones efectuadas en él por el Tribunal Supremo a medida que vayamos descendiendo a los detalles que incluye el análisis del motivo de amparo.</w:t>
      </w:r>
    </w:p>
    <w:p w:rsidR="005728DD" w:rsidRDefault="005728DD" w:rsidP="005728DD">
      <w:pPr>
        <w:pStyle w:val="TextoNormal"/>
      </w:pPr>
    </w:p>
    <w:p w:rsidR="005728DD" w:rsidRDefault="005728DD" w:rsidP="005728DD">
      <w:pPr>
        <w:pStyle w:val="TextoNormal"/>
      </w:pPr>
      <w:r>
        <w:t xml:space="preserve">6.1. </w:t>
      </w:r>
      <w:r w:rsidRPr="005728DD">
        <w:rPr>
          <w:i/>
        </w:rPr>
        <w:t>Posiciones de las partes</w:t>
      </w:r>
      <w:r>
        <w:t>.</w:t>
      </w:r>
    </w:p>
    <w:p w:rsidR="005728DD" w:rsidRDefault="005728DD" w:rsidP="005728DD">
      <w:pPr>
        <w:pStyle w:val="TextoNormal"/>
      </w:pPr>
    </w:p>
    <w:p w:rsidR="005728DD" w:rsidRDefault="005728DD" w:rsidP="005728DD">
      <w:pPr>
        <w:pStyle w:val="TextoNormal"/>
      </w:pPr>
      <w:r>
        <w:t xml:space="preserve">La parte recurrente denuncia la vulneración del principio de igualdad de armas por el trato desfavorable dispensado a las defensas en el acto del juicio oral (arts. 24 CE y 6 CEDH), con base en que se limitó su actividad procesal en el momento de interrogar de manera mucho más estricta de lo que se hizo con las acusaciones. La demanda, de la que se ha dejado detallada constancia en los antecedentes de esta sentencia, se refiere a varios episodios acaecidos durante el desarrollo del juicio oral que serían reveladores de la denunciada desigualdad: (i) en el interrogatorio del testigo señor Torrent, se permitió a las acusaciones formular preguntas que desbordaron las razones por las que había sido propuesto, lo que se impidió a las defensas; (ii)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(iii) a los testigos de las acusaciones, como fueron los policías, se les autorizó a exponer valoraciones al aludir a aspectos tales como “caras de odio” —en referencia a los votantes— “clima hostil” o “clima insurreccional” (señor Baena), lo que se impidió a otros como a la señora Garcés; (iv) a algunos testigos propuestos por la acusación se les autorizó a consultar notas escritas, lo que fue impedido a la señora Garcés y al señor Matamala; (v) la reacción del tribunal frente a las manifestaciones de “desmemoria” o “renuencia” de algunos testigos, como la señora Sáenz de Santamaría, el señor Rajoy y el señor Zoido, frente a la dispensada a la señora Guix y al señor Mestre; (vi) el impedimento para preguntar a un inspector de policía respecto del “aparente infarto” </w:t>
      </w:r>
      <w:r>
        <w:lastRenderedPageBreak/>
        <w:t>sufrido por un ciudadano cuando se disponía a votar, pese a que esa circunstancia se mencionaba en el escrito de acusación y, previamente, se había permitido al fiscal interrogar al respecto; (vii) el reproche que dirigió el presidente del tribunal al letrado del aquí recurrente, en la sesión de 27 de abril de 2019, cuando este utilizó la expresión “ley de ritos” para referirse a la LECrim, porque esa expresión constituía un “insulto a los procesalistas”.</w:t>
      </w:r>
    </w:p>
    <w:p w:rsidR="005728DD" w:rsidRDefault="005728DD" w:rsidP="005728DD">
      <w:pPr>
        <w:pStyle w:val="TextoNormal"/>
      </w:pPr>
    </w:p>
    <w:p w:rsidR="005728DD" w:rsidRDefault="005728DD" w:rsidP="005728DD">
      <w:pPr>
        <w:pStyle w:val="TextoNormal"/>
      </w:pPr>
      <w:r>
        <w:t>El abogado del Estado considera que el denunciado trato peyorativo dado a las defensas frente a las acusaciones no se ha producido, remitiéndose de modo pormenorizado a las respuestas contenidas en la sentencia recurrida.</w:t>
      </w:r>
    </w:p>
    <w:p w:rsidR="005728DD" w:rsidRDefault="005728DD" w:rsidP="005728DD">
      <w:pPr>
        <w:pStyle w:val="TextoNormal"/>
      </w:pPr>
    </w:p>
    <w:p w:rsidR="005728DD" w:rsidRDefault="005728DD" w:rsidP="005728DD">
      <w:pPr>
        <w:pStyle w:val="TextoNormal"/>
      </w:pPr>
      <w:r>
        <w:t>Por su parte, la representación procesal del partido político Vox sostiene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el demandante no ha argumentado nada sobre esta relevante cuestión.</w:t>
      </w:r>
    </w:p>
    <w:p w:rsidR="005728DD" w:rsidRDefault="005728DD" w:rsidP="005728DD">
      <w:pPr>
        <w:pStyle w:val="TextoNormal"/>
      </w:pPr>
    </w:p>
    <w:p w:rsidR="005728DD" w:rsidRDefault="005728DD" w:rsidP="005728DD">
      <w:pPr>
        <w:pStyle w:val="TextoNormal"/>
      </w:pPr>
      <w:r>
        <w:t>Por último, el Ministerio Fiscal aduce que las respuestas dadas por la Sala en la sentencia tienen de común su razonabilidad, pues responden a la aplicación de la normativa procesal sobre el desarrollo de la prueba testifical en cumplimiento de las facultades de dirección de los debates del juicio oral que corresponde al presidente del tribunal (art. 683 LECrim). A su juicio, más allá de valoraciones personales, el recurrente no indica qué reglas procesales se han desconocido o cómo su vulneración ha afectado a las garantías de defensa. No se ha argumentado en qué medida estas presuntas irregularidades y desigualdad de trato le han causado indefensión y han podido influir sobre el resultado final de la sentencia condenatoria, de modo que el fallo pudiera haber sido otro.</w:t>
      </w:r>
    </w:p>
    <w:p w:rsidR="005728DD" w:rsidRDefault="005728DD" w:rsidP="005728DD">
      <w:pPr>
        <w:pStyle w:val="TextoNormal"/>
      </w:pPr>
    </w:p>
    <w:p w:rsidR="005728DD" w:rsidRDefault="005728DD" w:rsidP="005728DD">
      <w:pPr>
        <w:pStyle w:val="TextoNormal"/>
      </w:pPr>
      <w:r>
        <w:t xml:space="preserve">6.2. </w:t>
      </w:r>
      <w:r w:rsidRPr="005728DD">
        <w:rPr>
          <w:i/>
        </w:rPr>
        <w:t>Doctrina constitucional</w:t>
      </w:r>
      <w:r>
        <w:t>.</w:t>
      </w:r>
    </w:p>
    <w:p w:rsidR="005728DD" w:rsidRDefault="005728DD" w:rsidP="005728DD">
      <w:pPr>
        <w:pStyle w:val="TextoNormal"/>
      </w:pPr>
    </w:p>
    <w:p w:rsidR="005728DD" w:rsidRDefault="005728DD" w:rsidP="005728DD">
      <w:pPr>
        <w:pStyle w:val="TextoNormal"/>
      </w:pPr>
      <w:r>
        <w:t>Podemos sistematizar la doctrina constitucional sobre el derecho a la igualdad de armas en el proceso penal, siguiendo la ya citada STC 130/2002, de 3 de junio, y a riesgo de incurrir en reiteraciones, en los siguientes términos:</w:t>
      </w:r>
    </w:p>
    <w:p w:rsidR="005728DD" w:rsidRDefault="005728DD" w:rsidP="005728DD">
      <w:pPr>
        <w:pStyle w:val="TextoNormal"/>
      </w:pPr>
    </w:p>
    <w:p w:rsidR="005728DD" w:rsidRDefault="005728DD" w:rsidP="005728DD">
      <w:pPr>
        <w:pStyle w:val="TextoNormal"/>
      </w:pPr>
      <w:r>
        <w:t>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005728DD" w:rsidRDefault="005728DD" w:rsidP="005728DD">
      <w:pPr>
        <w:pStyle w:val="TextoNormal"/>
      </w:pPr>
    </w:p>
    <w:p w:rsidR="005728DD" w:rsidRDefault="005728DD" w:rsidP="005728DD">
      <w:pPr>
        <w:pStyle w:val="TextoNormal"/>
      </w:pPr>
      <w:r>
        <w:t xml:space="preserve">Esto es, “la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Alejamiento que le permite decidir justamente la controversia, </w:t>
      </w:r>
      <w:r>
        <w:lastRenderedPageBreak/>
        <w:t>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FJ 14, y 12/2011, de 28 de febrero, FJ 3).</w:t>
      </w:r>
    </w:p>
    <w:p w:rsidR="005728DD" w:rsidRDefault="005728DD" w:rsidP="005728DD">
      <w:pPr>
        <w:pStyle w:val="TextoNormal"/>
      </w:pPr>
    </w:p>
    <w:p w:rsidR="005728DD" w:rsidRDefault="005728DD" w:rsidP="005728DD">
      <w:pPr>
        <w:pStyle w:val="TextoNormal"/>
      </w:pPr>
      <w: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w:t>
      </w:r>
      <w:r w:rsidRPr="005728DD">
        <w:rPr>
          <w:i/>
        </w:rPr>
        <w:t>De Cubber c. Bélgica</w:t>
      </w:r>
      <w:r>
        <w:t xml:space="preserve">, § 26, “según un adagio inglés citado en la sentencia </w:t>
      </w:r>
      <w:r w:rsidRPr="005728DD">
        <w:rPr>
          <w:i/>
        </w:rPr>
        <w:t>Delcourt</w:t>
      </w:r>
      <w:r>
        <w:t xml:space="preserve"> de 17 enero 1970, […] ‘</w:t>
      </w:r>
      <w:r w:rsidRPr="005728DD">
        <w:rPr>
          <w:i/>
        </w:rPr>
        <w:t>justice must not only be done: it must also be seen to be done</w:t>
      </w:r>
      <w:r>
        <w:t xml:space="preserve">’”; expresión reiterada por el Tribunal Europeo de Derechos Humanos, (entre otras, en las SSTEDH de 15 de octubre de 2009, caso </w:t>
      </w:r>
      <w:r w:rsidRPr="005728DD">
        <w:rPr>
          <w:i/>
        </w:rPr>
        <w:t>Micallef c. Malta</w:t>
      </w:r>
      <w:r>
        <w:t xml:space="preserve">, § 98, y de 22 octubre 2019, caso </w:t>
      </w:r>
      <w:r w:rsidRPr="005728DD">
        <w:rPr>
          <w:i/>
        </w:rPr>
        <w:t>Deli c. Moldavia</w:t>
      </w:r>
      <w:r>
        <w:t>, § 36)].</w:t>
      </w:r>
    </w:p>
    <w:p w:rsidR="005728DD" w:rsidRDefault="005728DD" w:rsidP="005728DD">
      <w:pPr>
        <w:pStyle w:val="TextoNormal"/>
      </w:pPr>
    </w:p>
    <w:p w:rsidR="005728DD" w:rsidRDefault="005728DD" w:rsidP="005728DD">
      <w:pPr>
        <w:pStyle w:val="TextoNormal"/>
      </w:pPr>
      <w:r>
        <w:t>“También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005728DD" w:rsidRDefault="005728DD" w:rsidP="005728DD">
      <w:pPr>
        <w:pStyle w:val="TextoNormal"/>
      </w:pPr>
    </w:p>
    <w:p w:rsidR="005728DD" w:rsidRDefault="005728DD" w:rsidP="005728DD">
      <w:pPr>
        <w:pStyle w:val="TextoNormal"/>
      </w:pPr>
      <w:r>
        <w:t>De este modo, “el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005728DD" w:rsidRDefault="005728DD" w:rsidP="005728DD">
      <w:pPr>
        <w:pStyle w:val="TextoNormal"/>
      </w:pPr>
    </w:p>
    <w:p w:rsidR="005728DD" w:rsidRDefault="005728DD" w:rsidP="005728DD">
      <w:pPr>
        <w:pStyle w:val="TextoNormal"/>
      </w:pPr>
      <w:r>
        <w:lastRenderedPageBreak/>
        <w:t>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(STC 188/2000, de 10 de julio, FJ 2)” (STC 130/2002, FJ 4).</w:t>
      </w:r>
    </w:p>
    <w:p w:rsidR="005728DD" w:rsidRDefault="005728DD" w:rsidP="005728DD">
      <w:pPr>
        <w:pStyle w:val="TextoNormal"/>
      </w:pPr>
    </w:p>
    <w:p w:rsidR="005728DD" w:rsidRDefault="005728DD" w:rsidP="005728DD">
      <w:pPr>
        <w:pStyle w:val="TextoNormal"/>
      </w:pPr>
      <w:r>
        <w:t>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con anterioridad” (STC 130/2002, FJ 5).</w:t>
      </w:r>
    </w:p>
    <w:p w:rsidR="005728DD" w:rsidRDefault="005728DD" w:rsidP="005728DD">
      <w:pPr>
        <w:pStyle w:val="TextoNormal"/>
      </w:pPr>
    </w:p>
    <w:p w:rsidR="005728DD" w:rsidRDefault="005728DD" w:rsidP="005728DD">
      <w:pPr>
        <w:pStyle w:val="TextoNormal"/>
      </w:pPr>
      <w: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las SSTEDH de 24 de noviembre de 1986, caso </w:t>
      </w:r>
      <w:r w:rsidRPr="005728DD">
        <w:rPr>
          <w:i/>
        </w:rPr>
        <w:t>Unterpertinger c. Austria</w:t>
      </w:r>
      <w:r>
        <w:t xml:space="preserve">, § 31; de 20 de noviembre de 1989, caso </w:t>
      </w:r>
      <w:r w:rsidRPr="005728DD">
        <w:rPr>
          <w:i/>
        </w:rPr>
        <w:t>Kostovski c. Holanda</w:t>
      </w:r>
      <w:r>
        <w:t xml:space="preserve">, § 41; de 27 de septiembre de 1990, caso </w:t>
      </w:r>
      <w:r w:rsidRPr="005728DD">
        <w:rPr>
          <w:i/>
        </w:rPr>
        <w:t>Windisch c. Austria</w:t>
      </w:r>
      <w:r>
        <w:t xml:space="preserve">, § 26; de 19 de febrero de 1991, caso </w:t>
      </w:r>
      <w:r w:rsidRPr="005728DD">
        <w:rPr>
          <w:i/>
        </w:rPr>
        <w:t>Isgrò c. Italia</w:t>
      </w:r>
      <w:r>
        <w:t xml:space="preserve">, § 34; de 20 de septiembre de 1993, caso </w:t>
      </w:r>
      <w:r w:rsidRPr="005728DD">
        <w:rPr>
          <w:i/>
        </w:rPr>
        <w:t>Saïdi c. Francia</w:t>
      </w:r>
      <w:r>
        <w:t>, § 43, y de 27 de febrero de 2001, cas</w:t>
      </w:r>
      <w:r w:rsidRPr="005728DD">
        <w:rPr>
          <w:i/>
        </w:rPr>
        <w:t>o Lucà c. Ital</w:t>
      </w:r>
      <w:r>
        <w:t>ia, § 40).</w:t>
      </w:r>
    </w:p>
    <w:p w:rsidR="005728DD" w:rsidRDefault="005728DD" w:rsidP="005728DD">
      <w:pPr>
        <w:pStyle w:val="TextoNormal"/>
      </w:pPr>
    </w:p>
    <w:p w:rsidR="005728DD" w:rsidRDefault="005728DD" w:rsidP="005728DD">
      <w:pPr>
        <w:pStyle w:val="TextoNormal"/>
      </w:pPr>
      <w:r>
        <w:t xml:space="preserve">d) Si bien no todas las irregularidades e infracciones del régimen legal de prueba poseen relevancia constitucional a los efectos de las garantías del art. 24.1 y 2 CE, “no es menos cierto que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5 de noviembre, FJ 5). Por ello debe indagarse —a la vista de los datos objetivos que quepa extraer del modo de proceder que en cada caso haya observado el órgano judicial— si tras </w:t>
      </w:r>
      <w:r>
        <w:lastRenderedPageBreak/>
        <w:t>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otras, en la STC 229/2003, de 18 de diciembre, FJ 14. En todo caso, para determinar si se ha producido la quiebra de esta esencial igualdad de armas es preciso analizar las circunstancias particulares de cada caso.</w:t>
      </w:r>
    </w:p>
    <w:p w:rsidR="005728DD" w:rsidRDefault="005728DD" w:rsidP="005728DD">
      <w:pPr>
        <w:pStyle w:val="TextoNormal"/>
      </w:pPr>
    </w:p>
    <w:p w:rsidR="005728DD" w:rsidRDefault="005728DD" w:rsidP="005728DD">
      <w:pPr>
        <w:pStyle w:val="TextoNormal"/>
      </w:pPr>
      <w:r>
        <w:t>6.3</w:t>
      </w:r>
      <w:r w:rsidRPr="005728DD">
        <w:rPr>
          <w:i/>
        </w:rPr>
        <w:t>. Resolución de la que</w:t>
      </w:r>
      <w:r>
        <w:t>ja.</w:t>
      </w:r>
    </w:p>
    <w:p w:rsidR="005728DD" w:rsidRDefault="005728DD" w:rsidP="005728DD">
      <w:pPr>
        <w:pStyle w:val="TextoNormal"/>
      </w:pPr>
    </w:p>
    <w:p w:rsidR="005728DD" w:rsidRDefault="005728DD" w:rsidP="005728DD">
      <w:pPr>
        <w:pStyle w:val="TextoNormal"/>
      </w:pPr>
      <w:r>
        <w:t>La respuesta de este tribunal al motivo de amparo es consecuencia de las siguientes consideraciones:</w:t>
      </w:r>
    </w:p>
    <w:p w:rsidR="005728DD" w:rsidRDefault="005728DD" w:rsidP="005728DD">
      <w:pPr>
        <w:pStyle w:val="TextoNormal"/>
      </w:pPr>
    </w:p>
    <w:p w:rsidR="005728DD" w:rsidRDefault="005728DD" w:rsidP="005728DD">
      <w:pPr>
        <w:pStyle w:val="TextoNormal"/>
      </w:pPr>
      <w:r>
        <w:t>A) Para dar una contestación a esta queja es preciso efectuar una valoración global sobre el desarrollo del juicio oral y, dentro del mismo, sobre el interrogatorio de los testigos de cargo y de descargo.</w:t>
      </w:r>
    </w:p>
    <w:p w:rsidR="005728DD" w:rsidRDefault="005728DD" w:rsidP="005728DD">
      <w:pPr>
        <w:pStyle w:val="TextoNormal"/>
      </w:pPr>
    </w:p>
    <w:p w:rsidR="005728DD" w:rsidRDefault="005728DD" w:rsidP="005728DD">
      <w:pPr>
        <w:pStyle w:val="TextoNormal"/>
      </w:pPr>
      <w:r>
        <w:t>Es fácil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más de quinientos testigos, hace aún más asequible la comprensión de lo anterior. El desacierto, por tanto, en el ejercicio de las funciones procesales propias de la dirección del examen de los testigos a que se refieren los artículos arts.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decisivo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005728DD" w:rsidRDefault="005728DD" w:rsidP="005728DD">
      <w:pPr>
        <w:pStyle w:val="TextoNormal"/>
      </w:pPr>
    </w:p>
    <w:p w:rsidR="005728DD" w:rsidRDefault="005728DD" w:rsidP="005728DD">
      <w:pPr>
        <w:pStyle w:val="TextoNormal"/>
      </w:pPr>
      <w:r>
        <w:t>La argumentación de la queja en la demanda, como hemos visto, está basada sobre determinados episodios del juicio (siete, en concreto) en los que, según la parte recurrente, el tribunal de enjuiciamiento se desvió de la correcta aplicación de la ley procesal en contra de las defensas.</w:t>
      </w:r>
    </w:p>
    <w:p w:rsidR="005728DD" w:rsidRDefault="005728DD" w:rsidP="005728DD">
      <w:pPr>
        <w:pStyle w:val="TextoNormal"/>
      </w:pPr>
    </w:p>
    <w:p w:rsidR="005728DD" w:rsidRDefault="005728DD" w:rsidP="005728DD">
      <w:pPr>
        <w:pStyle w:val="TextoNormal"/>
      </w:pPr>
      <w:r>
        <w:t xml:space="preserve">Este tribunal, sin embargo, constata que no existió ese trato peyorativo hacia la defensa. Más allá de que todas y cada una de las valoraciones efectuadas sobre tales eventualidades han recibido una respuesta explícita en la sentencia recurrida, como veremos a continuación, </w:t>
      </w:r>
      <w:r>
        <w:lastRenderedPageBreak/>
        <w:t>del acierto de tales respuestas (en términos de ajuste a la norma procesal), y de que, como también constatamos, esas incidencias carecen de relevancia para la formación del relato fáctico del que dimana la condena, podemos ya adelantar que estimamos que tales acontecimientos, valorados en su conjunto y en el contexto de todo el juicio oral, resultan manifiestamente insuficientes para fundar la existencia del trato desfavorable del que se queja el recurrente.</w:t>
      </w:r>
    </w:p>
    <w:p w:rsidR="005728DD" w:rsidRDefault="005728DD" w:rsidP="005728DD">
      <w:pPr>
        <w:pStyle w:val="TextoNormal"/>
      </w:pPr>
    </w:p>
    <w:p w:rsidR="005728DD" w:rsidRDefault="005728DD" w:rsidP="005728DD">
      <w:pPr>
        <w:pStyle w:val="TextoNormal"/>
      </w:pPr>
      <w:r>
        <w:t>Para alcanzar esa conclusión tomamos en consideración el desarrollo del juicio en su integridad, el relato de hechos probados y las razones de la condena del recurrente, de todo lo cual se ha dado cuenta en los antecedentes de esta resolución, así como los acontecimientos en que la parte demandante funda su queja y las respuestas ofrecidas por el Tribunal Supremo, que examinamos seguidamente. De esto se desprende que se trata de acontecimientos menores, incidencias o irregularidades procesales leves, a lo sumo, que no permiten afirmar ni quiebra de la igualdad de armas ni merma del derecho de defensa.</w:t>
      </w:r>
    </w:p>
    <w:p w:rsidR="005728DD" w:rsidRDefault="005728DD" w:rsidP="005728DD">
      <w:pPr>
        <w:pStyle w:val="TextoNormal"/>
      </w:pPr>
    </w:p>
    <w:p w:rsidR="005728DD" w:rsidRDefault="005728DD" w:rsidP="005728DD">
      <w:pPr>
        <w:pStyle w:val="TextoNormal"/>
      </w:pPr>
      <w:r>
        <w:t>B) El Tribunal Supremo ofrece en la sentencia recurrida una respuesta explícita frente a cada una de las protestas realizadas.</w:t>
      </w:r>
    </w:p>
    <w:p w:rsidR="005728DD" w:rsidRDefault="005728DD" w:rsidP="005728DD">
      <w:pPr>
        <w:pStyle w:val="TextoNormal"/>
      </w:pPr>
    </w:p>
    <w:p w:rsidR="005728DD" w:rsidRDefault="005728DD" w:rsidP="005728DD">
      <w:pPr>
        <w:pStyle w:val="TextoNormal"/>
      </w:pPr>
      <w:r>
        <w:t>a) La queja relativa al interrogatorio del testigo señor Torrent, según la cual se permitió a las acusaciones formular preguntas desvinculadas de las razones por las que había sido propuesto, lo que se impidió a las defensas, recibe en la sentencia una contestación expresa, razonada y razonable.</w:t>
      </w:r>
    </w:p>
    <w:p w:rsidR="005728DD" w:rsidRDefault="005728DD" w:rsidP="005728DD">
      <w:pPr>
        <w:pStyle w:val="TextoNormal"/>
      </w:pPr>
    </w:p>
    <w:p w:rsidR="005728DD" w:rsidRDefault="005728DD" w:rsidP="005728DD">
      <w:pPr>
        <w:pStyle w:val="TextoNormal"/>
      </w:pPr>
      <w:r>
        <w:t>La respuesta parte de la interpretación que la sala efectúa del art. 708 LECrim, primer párrafo, según el cual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De ella se ha dejado literal constancia en el fundamento precedente de esta misma sentencia, al que ahora nos remitimos. Cabe reiterar que con el criterio interpretativo que se maneja —conforme al cual si la parte proponente no pregunta sobre una cuestión concreta, el resto de las partes no podrá formular preguntas sobre esa cuestión, porque no habría existido una previa “contestación” del testigo— se pretendió preservar la vigencia estricta del principio de contradicción y, por conexión, del derecho de defensa.</w:t>
      </w:r>
    </w:p>
    <w:p w:rsidR="005728DD" w:rsidRDefault="005728DD" w:rsidP="005728DD">
      <w:pPr>
        <w:pStyle w:val="TextoNormal"/>
      </w:pPr>
    </w:p>
    <w:p w:rsidR="005728DD" w:rsidRDefault="005728DD" w:rsidP="005728DD">
      <w:pPr>
        <w:pStyle w:val="TextoNormal"/>
      </w:pPr>
      <w:r>
        <w:t>Se refiere después a la valoración concreta de la relevancia del interrogatorio del testigo: “si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de la imposibilidad del señor Torrent de explicar su particular experiencia sobre hechos que fueron descritos detalladamente por otros muchos testigos presenciales”.</w:t>
      </w:r>
    </w:p>
    <w:p w:rsidR="005728DD" w:rsidRDefault="005728DD" w:rsidP="005728DD">
      <w:pPr>
        <w:pStyle w:val="TextoNormal"/>
      </w:pPr>
    </w:p>
    <w:p w:rsidR="005728DD" w:rsidRDefault="005728DD" w:rsidP="005728DD">
      <w:pPr>
        <w:pStyle w:val="TextoNormal"/>
      </w:pPr>
      <w:r>
        <w:lastRenderedPageBreak/>
        <w:t>b) El segundo defecto en la conducción de las pruebas testificales denuncia que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Esta cuestión recibió también contestación en la sentencia.</w:t>
      </w:r>
    </w:p>
    <w:p w:rsidR="005728DD" w:rsidRDefault="005728DD" w:rsidP="005728DD">
      <w:pPr>
        <w:pStyle w:val="TextoNormal"/>
      </w:pPr>
    </w:p>
    <w:p w:rsidR="005728DD" w:rsidRDefault="005728DD" w:rsidP="005728DD">
      <w:pPr>
        <w:pStyle w:val="TextoNormal"/>
      </w:pPr>
      <w:r>
        <w:t>Comienza valorando el Tribunal Supremo la declaración del señor Rufián. Dice así que “la militancia política del señor Rufián es un hecho notorio”; que “durante su declaración como testigo hubo de ser interrumpido por el presidente de la sala al tratar de adentrarse en valoraciones políticas prescindibles para el tratamiento jurídico de los hechos” y que “quiso formular un discurso político en el momento de su declaración como testigo”, razones por las que constituye “un despropósito” estimar que se vulneró el derecho del diputado a no declarar sobre sus propias convicciones ideológicas. En cambio, se justifica el impedimento a las defensas de los señores Junqueras y Romeva y de los señores Rull, Turull y Sànchez, de preguntar a la letrada de la administración de justicia del Juzgado de Instrucción núm. 13 de Barcelona acerca de si era “seguidora de páginas web de extrema derecha” en los siguientes términos:</w:t>
      </w:r>
    </w:p>
    <w:p w:rsidR="005728DD" w:rsidRDefault="005728DD" w:rsidP="005728DD">
      <w:pPr>
        <w:pStyle w:val="TextoNormal"/>
      </w:pPr>
    </w:p>
    <w:p w:rsidR="005728DD" w:rsidRDefault="005728DD" w:rsidP="005728DD">
      <w:pPr>
        <w:pStyle w:val="TextoNormal"/>
      </w:pPr>
      <w:r>
        <w:t>“De lo que se trata es de preservar el derecho de todo testigo a no declarar públicamente acerca de su ideología, religión o creencias (art. 16.2 de la CE). Doña Monserrat es una funcionaria de la administración de justicia que fue llamada a juicio para que narrara las circunstancias que presidieron su huida de madrugada, por los tejados de la Consejería de Economía de la Generalitat, con ocasión de la entrada y registro judicialmente acordada el día 20 de septiembre de 2017. Fuera de esos extremos vividos en primera persona, interrogarla, no ya acerca de la autoría de un mensaje o de un tuit, sino sobre su condición de ‘seguidora de páginas web de la extrema derecha’, resulta manifiestamente impertinente”.</w:t>
      </w:r>
    </w:p>
    <w:p w:rsidR="005728DD" w:rsidRDefault="005728DD" w:rsidP="005728DD">
      <w:pPr>
        <w:pStyle w:val="TextoNormal"/>
      </w:pPr>
    </w:p>
    <w:p w:rsidR="005728DD" w:rsidRDefault="005728DD" w:rsidP="005728DD">
      <w:pPr>
        <w:pStyle w:val="TextoNormal"/>
      </w:pPr>
      <w:r>
        <w:t>Según el Tribunal Supremo “[s]ometer a los más de quinientos testigos inicialmente propuestos por las partes a un test ideológico del que dependería su compromiso con la verdad, además de su anticipada inutilidad, habría supuesto una flagrante vulneración de la prohibición constitucional que proclama el art. 16.2 de la CE”.</w:t>
      </w:r>
    </w:p>
    <w:p w:rsidR="005728DD" w:rsidRDefault="005728DD" w:rsidP="005728DD">
      <w:pPr>
        <w:pStyle w:val="TextoNormal"/>
      </w:pPr>
    </w:p>
    <w:p w:rsidR="005728DD" w:rsidRDefault="005728DD" w:rsidP="005728DD">
      <w:pPr>
        <w:pStyle w:val="TextoNormal"/>
      </w:pPr>
      <w:r>
        <w:t>Se dan las razones por las que, sin embargo, se permitió al fiscal o al resto de las acusaciones preguntar a determinadas personas por su condición de miembro de la Asamblea Nacional Catalana u Òmnium Cultural:</w:t>
      </w:r>
    </w:p>
    <w:p w:rsidR="005728DD" w:rsidRDefault="005728DD" w:rsidP="005728DD">
      <w:pPr>
        <w:pStyle w:val="TextoNormal"/>
      </w:pPr>
    </w:p>
    <w:p w:rsidR="005728DD" w:rsidRDefault="005728DD" w:rsidP="005728DD">
      <w:pPr>
        <w:pStyle w:val="TextoNormal"/>
      </w:pPr>
      <w:r>
        <w:t>“[L]a condición de militante de alguna de esas asociaciones era presentada por las propias defensas como elemento de identificación en las respectivas listas de testigos ofrecidas para su citación por la Sala. Es el caso, por ejemplo, de la defensa del señor Cuixart. Los testigos enumerados en los apartados 3 a 7 de la lista propuesta, son precisamente señalados por su adscripción ideológico-asociativa a esos movimientos sociales. Don Joan Vallvé i Ribera es presentado como vicepresidente de la entidad Òmnium Cultural; don Joan Ignasi Elena García es identificado como ‘portavoz del Pacte Nacional pel Referéndum del que forma parte la entidad Òmnium Cultural’; doña ltziar González Virós, es también presentada como ‘miembro del Pacte Nacional pel Referéndum del que forma parte la entidad Òmnium Cultural’”.</w:t>
      </w:r>
    </w:p>
    <w:p w:rsidR="005728DD" w:rsidRDefault="005728DD" w:rsidP="005728DD">
      <w:pPr>
        <w:pStyle w:val="TextoNormal"/>
      </w:pPr>
    </w:p>
    <w:p w:rsidR="005728DD" w:rsidRDefault="005728DD" w:rsidP="005728DD">
      <w:pPr>
        <w:pStyle w:val="TextoNormal"/>
      </w:pPr>
      <w:r>
        <w:lastRenderedPageBreak/>
        <w:t>Asimismo, los testigos núms. 23 y 24 —doña Silvia Prats Cortés y doña María Luisa Martínez Olivera— fueron descritos en la lista presentada como “voluntarias que ayudaron a mantener el cordón de voluntarios de la ANC el 20 de septiembre de 2017 en la Consejería de Economía”.</w:t>
      </w:r>
    </w:p>
    <w:p w:rsidR="005728DD" w:rsidRDefault="005728DD" w:rsidP="005728DD">
      <w:pPr>
        <w:pStyle w:val="TextoNormal"/>
      </w:pPr>
    </w:p>
    <w:p w:rsidR="005728DD" w:rsidRDefault="005728DD" w:rsidP="005728DD">
      <w:pPr>
        <w:pStyle w:val="TextoNormal"/>
      </w:pPr>
      <w:r>
        <w:t>Tras referir las explicaciones dadas en su declaración por el señor Cuixart sobre la fundación y los fines la entidad Òmnium Cultural, que preside, agrega el órgano de enjuiciamiento que “es difícil entender que la pregunta de las acusaciones a algunos testigos acerca de si eran socios de Òmnium pueda interpretarse como una injerencia en el perfil político del interrogado”.</w:t>
      </w:r>
    </w:p>
    <w:p w:rsidR="005728DD" w:rsidRDefault="005728DD" w:rsidP="005728DD">
      <w:pPr>
        <w:pStyle w:val="TextoNormal"/>
      </w:pPr>
    </w:p>
    <w:p w:rsidR="005728DD" w:rsidRDefault="005728DD" w:rsidP="005728DD">
      <w:pPr>
        <w:pStyle w:val="TextoNormal"/>
      </w:pPr>
      <w:r>
        <w:t>c) Sobre la denunciada mayor permisividad de la presidencia respecto a las valoraciones efectuadas por los testigos de las acusaciones cuando se trataba de policías, la sentencia recurrida explica que “un testigo que durante su examen no ofrece hechos, sino valoraciones personales, está dando la espalda a la razón de su llamada al proceso. El testigo no opina, no valora. El testigo narra. Ha de limitar su relato a aquello que vio y percibió por los sentidos. El razonamiento sobre el que la defensa construye el menoscabo del principio de igualdad de armas gira, paradójicamente, sobre aquello que no interesa al órgano de enjuiciamiento. Las valoraciones personales de los testigos no tienen cabida en la descripción de los hechos probados”. No cabe invocar indefensión cuando “lo que se pretende explicar es absolutamente irrelevante en términos jurídicos”.</w:t>
      </w:r>
    </w:p>
    <w:p w:rsidR="005728DD" w:rsidRDefault="005728DD" w:rsidP="005728DD">
      <w:pPr>
        <w:pStyle w:val="TextoNormal"/>
      </w:pPr>
    </w:p>
    <w:p w:rsidR="005728DD" w:rsidRDefault="005728DD" w:rsidP="005728DD">
      <w:pPr>
        <w:pStyle w:val="TextoNormal"/>
      </w:pPr>
      <w:r>
        <w:t>Lo anterior excusa, según continúa diciendo el Tribunal Supremo, de la necesidad de argumentar acerca de si los ejemplos que ofrece la defensa son o no equiparables o “si algunas de las frases que selecciona como expresivas de un juicio de valor lo son realmente, o si tienen un contenido fáctico íntimamente ligado a lo que percibieron los testigos por sus sentidos cuando accedieron a los centros de votación o cuando uno de ellos coordinaba algunas de las investigaciones policiales”.</w:t>
      </w:r>
    </w:p>
    <w:p w:rsidR="005728DD" w:rsidRDefault="005728DD" w:rsidP="005728DD">
      <w:pPr>
        <w:pStyle w:val="TextoNormal"/>
      </w:pPr>
    </w:p>
    <w:p w:rsidR="005728DD" w:rsidRDefault="005728DD" w:rsidP="005728DD">
      <w:pPr>
        <w:pStyle w:val="TextoNormal"/>
      </w:pPr>
      <w:r>
        <w:t>Se refiere después a la declaración de la señora Garcés. Reproduce reiteradas alusiones a sus percepciones personales o sentimientos (“teníamos la sensación de una curiosidad compartida […] que entrábamos en una nueva situación política”; “en ningún momento tuve la sensación de inquietud […] o de alarma”; “estupefacción y sorpresa generalizada”, “deshacer la inquietud y el miedo”; y “prohibición incomprensible y triste”, en relación con las resoluciones del Tribunal Constitucional) en respuesta a preguntas que “en ningún caso, fueron declaradas impertinentes, pese a su manifiesta irrelevancia”. Acto seguido explica la interrupción del presidente “en el momento en el que el testimonio llega a un punto en el que la declarante pretende explicar su grado de alucinación sobre lo que aconteció el 1 de octubre (‘yo aluciné’)”, por entender que la declaración no versaba sobre hechos sino sobre valoraciones personales, que no interesan al enjuiciamiento.</w:t>
      </w:r>
    </w:p>
    <w:p w:rsidR="005728DD" w:rsidRDefault="005728DD" w:rsidP="005728DD">
      <w:pPr>
        <w:pStyle w:val="TextoNormal"/>
      </w:pPr>
    </w:p>
    <w:p w:rsidR="005728DD" w:rsidRDefault="005728DD" w:rsidP="005728DD">
      <w:pPr>
        <w:pStyle w:val="TextoNormal"/>
      </w:pPr>
      <w:r>
        <w:t>Concluye este apartado el Tribunal Supremo con la justificación de la expresión “correcto. Mucho mejor”, empleada por la presidencia cuando el letrado puso fin al interrogatorio de la señora Garcés. Y señala que su testimonio fue “manifiestamente prescindible. Nada de lo que dijo, nada de lo que valoró, nada de lo que respondió […] ha tenido influencia en la proclamación de los hechos probados”.</w:t>
      </w:r>
    </w:p>
    <w:p w:rsidR="005728DD" w:rsidRDefault="005728DD" w:rsidP="005728DD">
      <w:pPr>
        <w:pStyle w:val="TextoNormal"/>
      </w:pPr>
    </w:p>
    <w:p w:rsidR="005728DD" w:rsidRDefault="005728DD" w:rsidP="005728DD">
      <w:pPr>
        <w:pStyle w:val="TextoNormal"/>
      </w:pPr>
      <w:r>
        <w:lastRenderedPageBreak/>
        <w:t>d) En relación con el reproche relativo a que a algunos testigos propuestos por la acusación se les permitió consultar notas escritas, lo que le fue impedido a la señora Garcés y al señor Matamala, la sentencia recurrida en amparo, una vez trascrito el art. 437 LECrim (“los testigos declararán de viva voz, sin que les sea permitido leer la declaración ni respuesta alguna que lleven escrita. […] Podrán, sin embargo, consultar algún apunte o memoria que contenga datos difíciles de recordar”) expone la diferencia entre estos casos:</w:t>
      </w:r>
    </w:p>
    <w:p w:rsidR="005728DD" w:rsidRDefault="005728DD" w:rsidP="005728DD">
      <w:pPr>
        <w:pStyle w:val="TextoNormal"/>
      </w:pPr>
    </w:p>
    <w:p w:rsidR="005728DD" w:rsidRDefault="005728DD" w:rsidP="005728DD">
      <w:pPr>
        <w:pStyle w:val="TextoNormal"/>
      </w:pPr>
      <w:r>
        <w:t>Don David Pérez, diputado del PSOE en la mesa del Parlament, fue preguntado inicialmente por el fiscal, quien, junto con la abogacía del Estado, había propuesto su declaración, sobre cuestiones referidas al contenido de los apartados d) y e) de los arts. 37 y 11 del Reglamento del Parlament. El fiscal “indagaba acerca del alcance de las facultades jurídicas de la mesa para examinar el contenido de cualquier iniciativa legislativa”. En estas circunstancias, según el Tribunal Supremo, “apoyar las respuestas del testigo con el texto legal sobre el que se está preguntando, no puede ser, en ningún caso, censurable”. Añade que, además, el presidente de la sala intervino para recordar “al testigo que puede consultar notas, pero no ofrecer ‘respuestas que estén predefinidas’. Se le invita a que mantenga esas notas, pero se le impone que ‘[…] no haga una lectura microliteral de lo que quiere contestar’”.</w:t>
      </w:r>
    </w:p>
    <w:p w:rsidR="005728DD" w:rsidRDefault="005728DD" w:rsidP="005728DD">
      <w:pPr>
        <w:pStyle w:val="TextoNormal"/>
      </w:pPr>
    </w:p>
    <w:p w:rsidR="005728DD" w:rsidRDefault="005728DD" w:rsidP="005728DD">
      <w:pPr>
        <w:pStyle w:val="TextoNormal"/>
      </w:pPr>
      <w:r>
        <w:t>En el caso de la señora Garcés, según la sentencia, no se trata del empleo de “unas notas que le sirvan para refrescar la memoria respecto de datos de difícil evocación”, sino de que se valió de “un guion en el que se transcribe hasta el tiempo que hacía que ‘[…] no se tomaba un café’ con el señor Cuixart, su estado febril o el grado de alucinación que le produjo la prohibición jurisdiccional del referéndum del 1 de octubre”.</w:t>
      </w:r>
    </w:p>
    <w:p w:rsidR="005728DD" w:rsidRDefault="005728DD" w:rsidP="005728DD">
      <w:pPr>
        <w:pStyle w:val="TextoNormal"/>
      </w:pPr>
    </w:p>
    <w:p w:rsidR="005728DD" w:rsidRDefault="005728DD" w:rsidP="005728DD">
      <w:pPr>
        <w:pStyle w:val="TextoNormal"/>
      </w:pPr>
      <w:r>
        <w:t>e) La censura que la parte recurrente dirige a la reacción del tribunal de enjuiciamiento frente a las manifestaciones de “desmemoria” o “renuencia” de algunos testigos frente a la dispensada a otros, también mereció una respuesta pormenorizada.</w:t>
      </w:r>
    </w:p>
    <w:p w:rsidR="005728DD" w:rsidRDefault="005728DD" w:rsidP="005728DD">
      <w:pPr>
        <w:pStyle w:val="TextoNormal"/>
      </w:pPr>
    </w:p>
    <w:p w:rsidR="005728DD" w:rsidRDefault="005728DD" w:rsidP="005728DD">
      <w:pPr>
        <w:pStyle w:val="TextoNormal"/>
      </w:pPr>
      <w:r>
        <w:t>Una vez sentado que no se indica por quien protesta “qué influencia ha podido tener ese hecho en la valoración probatoria”, el Tribunal Supremo señala que la defensa de los señores Rull, Turull y Sànchez no formuló ninguna pregunta a la señora Sáenz de Santamaría, a la que atribuye la desmemoria. Tras ello se remite al visionado del vídeo “para observar la actitud de la presidencia encaminada a reforzar la claridad de las respuestas a las preguntas formuladas por la defensa del señor Forn (cfr. minuto 13:24)”.</w:t>
      </w:r>
    </w:p>
    <w:p w:rsidR="005728DD" w:rsidRDefault="005728DD" w:rsidP="005728DD">
      <w:pPr>
        <w:pStyle w:val="TextoNormal"/>
      </w:pPr>
    </w:p>
    <w:p w:rsidR="005728DD" w:rsidRDefault="005728DD" w:rsidP="005728DD">
      <w:pPr>
        <w:pStyle w:val="TextoNormal"/>
      </w:pPr>
      <w:r>
        <w:t>En relación con el testimonio de don Ignacio Zoido, se señala que el interrogatorio —en el que intervino la defensa del señor Forn, el Ministerio Fiscal, la abogacía del Estado, el letrado de la acusación popular y las defensas del señor Cuixart, de la señora Borràs y los señores Turull, Rull y Sànchez— se prolongó durante más de dos horas, la defensa del recurrente no formuló protesta y, “como puede observarse a partir del minuto 2:06:36, la presidencia de la Sala intervino para exigir del señor Zoido mayor concreción, recordando al testigo que la pregunta era muy concreta y se ‘[…] podía contestar con un monosílabo’”.</w:t>
      </w:r>
    </w:p>
    <w:p w:rsidR="005728DD" w:rsidRDefault="005728DD" w:rsidP="005728DD">
      <w:pPr>
        <w:pStyle w:val="TextoNormal"/>
      </w:pPr>
    </w:p>
    <w:p w:rsidR="005728DD" w:rsidRDefault="005728DD" w:rsidP="005728DD">
      <w:pPr>
        <w:pStyle w:val="TextoNormal"/>
      </w:pPr>
      <w:r>
        <w:t xml:space="preserve">Respecto del interrogatorio del señor Rajoy, se explica que este testigo admitió que tuvo contactos políticos con el señor Urkullu, pero no pudo precisar si fueron contactos personales o mediante comunicación telefónica o telemática, lo que justificó el declarante por “la existencia de una pluralidad de personas con las que llegó a contactar con el mismo objetivo, entre ellas, el señor Ortuzar”. En otros puntos de esta declaración, la presidencia exigió al </w:t>
      </w:r>
      <w:r>
        <w:lastRenderedPageBreak/>
        <w:t xml:space="preserve">testigo “una respuesta más precisa y detallada”, como por ejemplo, ante “la pregunta acerca de si el declarante se había comunicado con los testigos o había visto el desarrollo del juicio en </w:t>
      </w:r>
      <w:r w:rsidRPr="005728DD">
        <w:rPr>
          <w:i/>
        </w:rPr>
        <w:t>streaming</w:t>
      </w:r>
      <w:r>
        <w:t>”, tras lo que el señor Rajoy “admitió que había seguido el desarrollo de la sesión anterior ‘por la lectura de los periódicos digitales’”.</w:t>
      </w:r>
    </w:p>
    <w:p w:rsidR="005728DD" w:rsidRDefault="005728DD" w:rsidP="005728DD">
      <w:pPr>
        <w:pStyle w:val="TextoNormal"/>
      </w:pPr>
    </w:p>
    <w:p w:rsidR="005728DD" w:rsidRDefault="005728DD" w:rsidP="005728DD">
      <w:pPr>
        <w:pStyle w:val="TextoNormal"/>
      </w:pPr>
      <w:r>
        <w:t>Examina a continuación en detalle la testifical de la señora Guix, propuesta por las acusaciones en su calidad de diseñadora de la página web “Pacte pel Referendum”; persona que, según el Tribunal Supremo, por su cualificación profesional, hizo posible técnicamente los contenidos de la web ideada por el Gobierno de la Generalitat. Y así, se dice de ella: “desde el primer momento rechazó dar respuesta a lo que le preguntaba el Ministerio Fiscal con un reiterativo ‘[…] no me acuerdo […] porque ha pasado mucho tiempo’. La siguiente secuencia pregunta-respuesta, es especialmente ilustrativa: fiscal: ‘¿permitía inscribirse como voluntario?’ señora Guix: ‘pues no lo recuerdo’; fiscal: ‘¿permitía publicidad?’ señora Guix: ‘no lo recuerdo’; fiscal: ‘¿permitía firmar a favor del referéndum?’ señora Guix: ‘no lo recuerdo’; fiscal: ‘¿había alguna forma de recopilar información?’ señora Guix: ‘ahora mismo no lo recuerdo’; fiscal: ‘¿la web la diseñó usted?’ señora Guix: ‘la diseñé yo, sí, sí […]’; fiscal: ‘¿permitía hacer donativos para el referéndum?’ señora Guix: ‘no lo recuerdo’; fiscal: ‘¿permitía un registro o una pestaña que contuviera registro de votos?’ señora Guix: ‘no lo recuerdo […] a veces el diseño gráfico es como un pre- proyecto de una casa. Luego, si tiene veinte ventanas o tiene diez… hasta que se realiza no se sabe’; fiscal: ‘¿tampoco recuerda su diseño?’ señora Guix: ‘yo no lo recuerdo’”. En ese momento, el presidente del órgano de enjuiciamiento pidió a la testigo “que tratara de recordar, al menos, los contenidos webs que ella diseñó, al margen de que no coincidieran con lo que luego pudo ser el resultado final la web en la que se publicitó el Pacte pel Referendum”.</w:t>
      </w:r>
    </w:p>
    <w:p w:rsidR="005728DD" w:rsidRDefault="005728DD" w:rsidP="005728DD">
      <w:pPr>
        <w:pStyle w:val="TextoNormal"/>
      </w:pPr>
    </w:p>
    <w:p w:rsidR="005728DD" w:rsidRDefault="005728DD" w:rsidP="005728DD">
      <w:pPr>
        <w:pStyle w:val="TextoNormal"/>
      </w:pPr>
      <w:r>
        <w:t>Los supuestos, según la sentencia impugnada en amparo, no son, pues, comparables.</w:t>
      </w:r>
    </w:p>
    <w:p w:rsidR="005728DD" w:rsidRDefault="005728DD" w:rsidP="005728DD">
      <w:pPr>
        <w:pStyle w:val="TextoNormal"/>
      </w:pPr>
    </w:p>
    <w:p w:rsidR="005728DD" w:rsidRDefault="005728DD" w:rsidP="005728DD">
      <w:pPr>
        <w:pStyle w:val="TextoNormal"/>
      </w:pPr>
      <w:r>
        <w:t>La declaración de don Jaume Mestre —prosigue el Tribunal Supremo—, “responsable de difusión institucional de la Generalitat en la fecha de los hechos, es un continuo ‘no sé nada, no me acuerdo’. Una vez advertido por la presidencia de que el delito de falso testimonio se comete, según precisa el art. 461 del CP, no solo faltando a la verdad, sino también alterándola con inexactitudes y reticencias o silenciando hechos relevantes que fueren conocidos por el testigo, volvió a aferrarse a su desmemoria. Hasta tal punto fue visible su deseo de eludir las preguntas que le eran formuladas, que la defensa del señor Junqueras sugirió la necesidad de que se tuviera en cuenta que algunas de las respuestas podían perjudicarle en un hipotético estatus de imputado por los hechos sobre los que estaba declarando”.</w:t>
      </w:r>
    </w:p>
    <w:p w:rsidR="005728DD" w:rsidRDefault="005728DD" w:rsidP="005728DD">
      <w:pPr>
        <w:pStyle w:val="TextoNormal"/>
      </w:pPr>
    </w:p>
    <w:p w:rsidR="005728DD" w:rsidRDefault="005728DD" w:rsidP="005728DD">
      <w:pPr>
        <w:pStyle w:val="TextoNormal"/>
      </w:pPr>
      <w:r>
        <w:t>Al tiempo del dictado de la sentencia impugnada en amparo, tal y como la misma indica, la Sala tenía pendiente decidir sobre la deducción de testimonio reclamada en relación con este testigo por la posible comisión de un delito contra la administración de justicia, lo que se haría en resolución aparte. Por providencia de 25 de junio de 2020 se acordó deducir el mencionado testimonio.</w:t>
      </w:r>
    </w:p>
    <w:p w:rsidR="005728DD" w:rsidRDefault="005728DD" w:rsidP="005728DD">
      <w:pPr>
        <w:pStyle w:val="TextoNormal"/>
      </w:pPr>
    </w:p>
    <w:p w:rsidR="005728DD" w:rsidRDefault="005728DD" w:rsidP="005728DD">
      <w:pPr>
        <w:pStyle w:val="TextoNormal"/>
      </w:pPr>
      <w:r>
        <w:t>f) El siguiente episodio que se tacha consiste en el impedimento de preguntar a un inspector de policía respecto del “aparente infarto” sufrido por un ciudadano cuando se disponía a votar, pese a que esa circunstancia se mencionaba en el escrito de acusación y, previamente, se había permitido al fiscal interrogar al respecto.</w:t>
      </w:r>
    </w:p>
    <w:p w:rsidR="005728DD" w:rsidRDefault="005728DD" w:rsidP="005728DD">
      <w:pPr>
        <w:pStyle w:val="TextoNormal"/>
      </w:pPr>
    </w:p>
    <w:p w:rsidR="005728DD" w:rsidRDefault="005728DD" w:rsidP="005728DD">
      <w:pPr>
        <w:pStyle w:val="TextoNormal"/>
      </w:pPr>
      <w:r>
        <w:lastRenderedPageBreak/>
        <w:t>Según dice la sentencia, la intervención de la presidencia obedeció a la formulación por el letrado de la defensa, después de la intervención del fiscal, de “preguntas encaminadas a indagar posibles responsabilidades penales del declarante”. Y agrega que la cita de este acontecimiento en el escrito de acusación del ministerio público “está relacionada con la descripción del número de heridos que se produjo el día 1 de octubre”, como se desprende de su atenta lectura y “no para indagar las responsabilidades individuales que fueran exigibles por uno u otro incidente”, lo que estaba dirimiéndose en diligencias judiciales seguidas en Barcelona.</w:t>
      </w:r>
    </w:p>
    <w:p w:rsidR="005728DD" w:rsidRDefault="005728DD" w:rsidP="005728DD">
      <w:pPr>
        <w:pStyle w:val="TextoNormal"/>
      </w:pPr>
    </w:p>
    <w:p w:rsidR="005728DD" w:rsidRDefault="005728DD" w:rsidP="005728DD">
      <w:pPr>
        <w:pStyle w:val="TextoNormal"/>
      </w:pPr>
      <w:r>
        <w:t>Concluye la Sala el razonamiento atinente a esta protesta señalando que “el principio de igualdad de armas […] no se ve resentido cuando las armas que han de hacerse valer en un determinado proceso se trasladan a otro, cuyo objeto no es dilucidar las circunstancias de un incidente sobre las que, de forma insistente, se pretende interrogar”.</w:t>
      </w:r>
    </w:p>
    <w:p w:rsidR="005728DD" w:rsidRDefault="005728DD" w:rsidP="005728DD">
      <w:pPr>
        <w:pStyle w:val="TextoNormal"/>
      </w:pPr>
    </w:p>
    <w:p w:rsidR="005728DD" w:rsidRDefault="005728DD" w:rsidP="005728DD">
      <w:pPr>
        <w:pStyle w:val="TextoNormal"/>
      </w:pPr>
      <w:r>
        <w:t>g) Finalmente, el reparo que dirigió el presidente de la sala al letrado del recurrente, en la sesión de 27 de abril de 2019, cuando este utilizó la expresión “ley de ritos” para referirse a la Ley de enjuiciamiento criminal, también cuenta con una explicación en la sentencia de la Sala de lo Penal del Tribunal Supremo.</w:t>
      </w:r>
    </w:p>
    <w:p w:rsidR="005728DD" w:rsidRDefault="005728DD" w:rsidP="005728DD">
      <w:pPr>
        <w:pStyle w:val="TextoNormal"/>
      </w:pPr>
    </w:p>
    <w:p w:rsidR="005728DD" w:rsidRDefault="005728DD" w:rsidP="005728DD">
      <w:pPr>
        <w:pStyle w:val="TextoNormal"/>
      </w:pPr>
      <w:r>
        <w:t xml:space="preserve">Tras restar importancia al “reproche terminológico” de que se trata a fin de fundar la infracción del principio de igualdad de armas, subraya que la razón de este “no fue otra que el deseo de hacer compatible [la] permanente reivindicación de derechos fundamentales [por la defensa] con una visión del proceso que no estuviera anclada en la rancia concepción del proceso penal como una sucesión ordenada de ritos. El proceso penal es algo más que una mera ordenación formal de trámites. El proceso penal no se entiende si no se contempla como el conjunto de derechos y garantías que limitan el poder del Estado en el ejercicio del </w:t>
      </w:r>
      <w:r w:rsidRPr="005728DD">
        <w:rPr>
          <w:i/>
        </w:rPr>
        <w:t>ius puniendi</w:t>
      </w:r>
      <w:r>
        <w:t>. El distanciamiento tan marcado entre la legítima reivindicación de derechos y la identificación de la Ley de enjuiciamiento criminal como ‘ley rituaria’, es lo que llevó al presidente a sugerir un cambio terminológico”. Al tiempo, pone al otro lado de la balanza el hecho de que “la ‘presidencia calificó como […] un abogado serio’ a quien hoy se queja y llegó a referirse a un letrado como ‘extraordinario procesalista’”, como pudieron comprobar los miles de personas que siguieron el desarrollo del juicio.</w:t>
      </w:r>
    </w:p>
    <w:p w:rsidR="005728DD" w:rsidRDefault="005728DD" w:rsidP="005728DD">
      <w:pPr>
        <w:pStyle w:val="TextoNormal"/>
      </w:pPr>
    </w:p>
    <w:p w:rsidR="005728DD" w:rsidRDefault="005728DD" w:rsidP="005728DD">
      <w:pPr>
        <w:pStyle w:val="TextoNormal"/>
      </w:pPr>
      <w:r>
        <w:t>A juicio de este tribunal, ninguno de estos acontecimientos, considerados aisladamente, tiene por tanto la entidad suficiente como para deducir una quiebra de la neutralidad judicial. Tomados conjuntamente y en el contexto del juicio, la tacha se desvanece por completo.</w:t>
      </w:r>
    </w:p>
    <w:p w:rsidR="005728DD" w:rsidRDefault="005728DD" w:rsidP="005728DD">
      <w:pPr>
        <w:pStyle w:val="TextoNormal"/>
      </w:pPr>
    </w:p>
    <w:p w:rsidR="005728DD" w:rsidRDefault="005728DD" w:rsidP="005728DD">
      <w:pPr>
        <w:pStyle w:val="TextoNormal"/>
      </w:pPr>
      <w:r>
        <w:t xml:space="preserve">No corresponde valorar a esta jurisdicción constitucional el acierto o no de las anteriores consideraciones, como venimos repitiendo. Nuestro enjuiciamiento, mucho más limitado, se circunscribe a constatar que las quejas de la parte recurrente han recibido por parte del tribunal encargado del enjuiciamiento —insistimos en que, conforme a nuestra Constitución, se trata del órgano jurisdiccional superior en todos los órdenes, salvo lo dispuesto en materia de garantías constitucionales (art. 123.1 CE)—, una respuesta explícita, completa, razonada y razonable. La motivación expuesta, que cubre la totalidad de las protestas relativas a incidencias producidas en el debate y la dirección de este por el presidente, cumple así con el canon constitucional de razonabilidad que resulta aplicable, y elimina la sospecha de arbitrariedad y de trato desfavorable que suscita la parte recurrente. Todas y cada una de </w:t>
      </w:r>
      <w:r>
        <w:lastRenderedPageBreak/>
        <w:t>las decisiones adoptadas por el presidente en la dirección del juicio que han merecido reproche por parte de las defensas tienen una explicación razonada, siquiera no sea del agrado del demandante de amparo.</w:t>
      </w:r>
    </w:p>
    <w:p w:rsidR="005728DD" w:rsidRDefault="005728DD" w:rsidP="005728DD">
      <w:pPr>
        <w:pStyle w:val="TextoNormal"/>
      </w:pPr>
    </w:p>
    <w:p w:rsidR="005728DD" w:rsidRDefault="005728DD" w:rsidP="005728DD">
      <w:pPr>
        <w:pStyle w:val="TextoNormal"/>
      </w:pPr>
      <w:r>
        <w:t>C) Finalmente, las irregularidades denunciadas en la demanda de amparo no han causado a la parte indefensión material.</w:t>
      </w:r>
    </w:p>
    <w:p w:rsidR="005728DD" w:rsidRDefault="005728DD" w:rsidP="005728DD">
      <w:pPr>
        <w:pStyle w:val="TextoNormal"/>
      </w:pPr>
    </w:p>
    <w:p w:rsidR="005728DD" w:rsidRDefault="005728DD" w:rsidP="005728DD">
      <w:pPr>
        <w:pStyle w:val="TextoNormal"/>
      </w:pPr>
      <w:r>
        <w:t>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en los términos en que ha sido planteada la queja en la demanda, de lo que también se ha dado cuenta anteriormente. La parte recurrente no liga ninguna de las concretas vicisitudes en las que funda este motivo con algún hecho que se estimó probado o con la preterición por la sentencia de algún otro que, a su juicio, debiera haber integrado el relato histórico. Esto es lo que hubiera sido constitucionalmente relevante y justamente es lo que no consta: la mínima incidencia de las supuestas infracciones procesales en el resultado probatorio y, en definitiva, en las razones que llevaron a la condena de quien ahora recaba el amparo de esta jurisdicción constitucional.</w:t>
      </w:r>
    </w:p>
    <w:p w:rsidR="005728DD" w:rsidRDefault="005728DD" w:rsidP="005728DD">
      <w:pPr>
        <w:pStyle w:val="TextoNormal"/>
      </w:pPr>
    </w:p>
    <w:p w:rsidR="005728DD" w:rsidRDefault="005728DD" w:rsidP="005728DD">
      <w:pPr>
        <w:pStyle w:val="TextoNormal"/>
      </w:pPr>
      <w:r>
        <w:t>En definitiva, este tribunal entiende que la igualdad de las partes en el proceso ha sido respetada y no se han menoscabado sus facultades de participación en la práctica de la prueba testifical.</w:t>
      </w:r>
    </w:p>
    <w:p w:rsidR="005728DD" w:rsidRDefault="005728DD" w:rsidP="005728DD">
      <w:pPr>
        <w:pStyle w:val="TextoNormal"/>
      </w:pPr>
    </w:p>
    <w:p w:rsidR="005728DD" w:rsidRDefault="005728DD" w:rsidP="005728DD">
      <w:pPr>
        <w:pStyle w:val="TextoNormal"/>
      </w:pPr>
      <w:r>
        <w:t>Procede, en consecuencia, desestimar también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Derecho a la prueba</w:t>
      </w:r>
      <w:r>
        <w:t>.</w:t>
      </w:r>
    </w:p>
    <w:p w:rsidR="005728DD" w:rsidRDefault="005728DD" w:rsidP="005728DD">
      <w:pPr>
        <w:pStyle w:val="TextoNormal"/>
      </w:pPr>
    </w:p>
    <w:p w:rsidR="005728DD" w:rsidRDefault="005728DD" w:rsidP="005728DD">
      <w:pPr>
        <w:pStyle w:val="TextoNormal"/>
      </w:pPr>
      <w:r>
        <w:t>La demanda de amparo comprende, bajo la rúbrica de derecho de defensa, varias quejas que abarcan aspectos relativos a la admisión y práctica de la prueba. Se trata del acceso a las actuaciones de la instrucción llevada a cabo por el Juzgado de Instrucción núm. 13 de Barcelona, de la imposibilidad de contrastar las declaraciones testificales con la prueba documental videográfica y de la denegación de determinadas pruebas que, propuestas en tiempo y forma, la parte considera pertinentes. De todo ello se ha dejado detallado resumen en los antecedentes de esta resolución.</w:t>
      </w:r>
    </w:p>
    <w:p w:rsidR="005728DD" w:rsidRDefault="005728DD" w:rsidP="005728DD">
      <w:pPr>
        <w:pStyle w:val="TextoNormal"/>
      </w:pPr>
    </w:p>
    <w:p w:rsidR="005728DD" w:rsidRDefault="005728DD" w:rsidP="005728DD">
      <w:pPr>
        <w:pStyle w:val="TextoNormal"/>
      </w:pPr>
      <w:r>
        <w:t>La sentencia recurrida en amparo se refiere a estas materias en los apartados 8 y 16.1 y 10 del fundamento de Derecho A), respectivamente.</w:t>
      </w:r>
    </w:p>
    <w:p w:rsidR="005728DD" w:rsidRDefault="005728DD" w:rsidP="005728DD">
      <w:pPr>
        <w:pStyle w:val="TextoNormal"/>
      </w:pPr>
    </w:p>
    <w:p w:rsidR="005728DD" w:rsidRDefault="005728DD" w:rsidP="005728DD">
      <w:pPr>
        <w:pStyle w:val="TextoNormal"/>
      </w:pPr>
      <w:r>
        <w:t>En el examen de este motivo del recurso de amparo comenzaremos por la exposición de la doctrina constitucional aplicable para después considerar separadamente cada uno de los tres puntos cuestionados; análisis en el que valoraremos las posiciones de las partes y la respuesta dada por el Tribunal Supremo.</w:t>
      </w:r>
    </w:p>
    <w:p w:rsidR="005728DD" w:rsidRDefault="005728DD" w:rsidP="005728DD">
      <w:pPr>
        <w:pStyle w:val="TextoNormal"/>
      </w:pPr>
    </w:p>
    <w:p w:rsidR="005728DD" w:rsidRDefault="005728DD" w:rsidP="005728DD">
      <w:pPr>
        <w:pStyle w:val="TextoNormal"/>
      </w:pPr>
      <w:r>
        <w:t xml:space="preserve">7.1. </w:t>
      </w:r>
      <w:r w:rsidRPr="005728DD">
        <w:rPr>
          <w:i/>
        </w:rPr>
        <w:t>Doctrina constitucional</w:t>
      </w:r>
      <w:r>
        <w:t>.</w:t>
      </w:r>
    </w:p>
    <w:p w:rsidR="005728DD" w:rsidRDefault="005728DD" w:rsidP="005728DD">
      <w:pPr>
        <w:pStyle w:val="TextoNormal"/>
      </w:pPr>
    </w:p>
    <w:p w:rsidR="005728DD" w:rsidRDefault="005728DD" w:rsidP="005728DD">
      <w:pPr>
        <w:pStyle w:val="TextoNormal"/>
      </w:pPr>
      <w:r>
        <w:t xml:space="preserve">En íntima conexión con el derecho a la tutela judicial efectiva (art. 24.1 CE) y el derecho de defensa (art. 24.2), del que es inseparable, el derecho a la prueba “se integra por el poder jurídico que se reconoce a quien interviene como litigante en un proceso de provocar la </w:t>
      </w:r>
      <w:r>
        <w:lastRenderedPageBreak/>
        <w:t>actividad procesal necesaria para lograr la convicción del órgano judicial sobre la existencia o inexistencia de los hechos relevantes para la decisión del conflicto objeto del proceso” (STC 37/2000, de 14 de febrero, FJ 3, reproducida, entre otras, en SSTC 19/2001, de 29 de enero, FJ 4; 133/2003, de 30 de junio, FJ 3, y 212/2013, de 16 de diciembre, FJ 4).</w:t>
      </w:r>
    </w:p>
    <w:p w:rsidR="005728DD" w:rsidRDefault="005728DD" w:rsidP="005728DD">
      <w:pPr>
        <w:pStyle w:val="TextoNormal"/>
      </w:pPr>
    </w:p>
    <w:p w:rsidR="005728DD" w:rsidRDefault="005728DD" w:rsidP="005728DD">
      <w:pPr>
        <w:pStyle w:val="TextoNormal"/>
      </w:pPr>
      <w:r>
        <w:t>La doctrina de este tribunal sobre el derecho a la utilización de los medios de prueba pertinentes (art. 24.2 CE), puede sintetizarse, de acuerdo con la STC 165/2001, de 16 de julio, en los siguientes puntos:</w:t>
      </w:r>
    </w:p>
    <w:p w:rsidR="005728DD" w:rsidRDefault="005728DD" w:rsidP="005728DD">
      <w:pPr>
        <w:pStyle w:val="TextoNormal"/>
      </w:pPr>
    </w:p>
    <w:p w:rsidR="005728DD" w:rsidRDefault="005728DD" w:rsidP="005728DD">
      <w:pPr>
        <w:pStyle w:val="TextoNormal"/>
      </w:pPr>
      <w: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w:t>
      </w:r>
      <w:r w:rsidRPr="005728DD">
        <w:rPr>
          <w:i/>
        </w:rPr>
        <w:t>thema decidendi</w:t>
      </w:r>
      <w:r>
        <w:t xml:space="preserve"> (STC 26/2000, de 31 de enero, FJ 2).</w:t>
      </w:r>
    </w:p>
    <w:p w:rsidR="005728DD" w:rsidRDefault="005728DD" w:rsidP="005728DD">
      <w:pPr>
        <w:pStyle w:val="TextoNormal"/>
      </w:pPr>
    </w:p>
    <w:p w:rsidR="005728DD" w:rsidRDefault="005728DD" w:rsidP="005728DD">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005728DD" w:rsidRDefault="005728DD" w:rsidP="005728DD">
      <w:pPr>
        <w:pStyle w:val="TextoNormal"/>
      </w:pPr>
    </w:p>
    <w:p w:rsidR="005728DD" w:rsidRDefault="005728DD" w:rsidP="005728DD">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5728DD" w:rsidRDefault="005728DD" w:rsidP="005728DD">
      <w:pPr>
        <w:pStyle w:val="TextoNormal"/>
      </w:pPr>
    </w:p>
    <w:p w:rsidR="005728DD" w:rsidRDefault="005728DD" w:rsidP="005728DD">
      <w:pPr>
        <w:pStyle w:val="TextoNormal"/>
      </w:pPr>
      <w: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w:t>
      </w:r>
      <w:r>
        <w:lastRenderedPageBreak/>
        <w:t>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005728DD" w:rsidRDefault="005728DD" w:rsidP="005728DD">
      <w:pPr>
        <w:pStyle w:val="TextoNormal"/>
      </w:pPr>
    </w:p>
    <w:p w:rsidR="005728DD" w:rsidRDefault="005728DD" w:rsidP="005728DD">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w:t>
      </w:r>
      <w:r w:rsidRPr="005728DD">
        <w:rPr>
          <w:i/>
        </w:rPr>
        <w:t>a quo</w:t>
      </w:r>
      <w:r>
        <w:t xml:space="preserve">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005728DD" w:rsidRDefault="005728DD" w:rsidP="005728DD">
      <w:pPr>
        <w:pStyle w:val="TextoNormal"/>
      </w:pPr>
    </w:p>
    <w:p w:rsidR="005728DD" w:rsidRDefault="005728DD" w:rsidP="005728DD">
      <w:pPr>
        <w:pStyle w:val="TextoNormal"/>
      </w:pPr>
      <w:r>
        <w:t>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005728DD" w:rsidRDefault="005728DD" w:rsidP="005728DD">
      <w:pPr>
        <w:pStyle w:val="TextoNormal"/>
      </w:pPr>
    </w:p>
    <w:p w:rsidR="005728DD" w:rsidRDefault="005728DD" w:rsidP="005728DD">
      <w:pPr>
        <w:pStyle w:val="TextoNormal"/>
      </w:pPr>
      <w:r>
        <w:t>7.2</w:t>
      </w:r>
      <w:r w:rsidRPr="005728DD">
        <w:rPr>
          <w:i/>
        </w:rPr>
        <w:t>. Resolución de la que</w:t>
      </w:r>
      <w:r>
        <w:t>ja.</w:t>
      </w:r>
    </w:p>
    <w:p w:rsidR="005728DD" w:rsidRDefault="005728DD" w:rsidP="005728DD">
      <w:pPr>
        <w:pStyle w:val="TextoNormal"/>
      </w:pPr>
    </w:p>
    <w:p w:rsidR="005728DD" w:rsidRDefault="005728DD" w:rsidP="005728DD">
      <w:pPr>
        <w:pStyle w:val="TextoNormal"/>
      </w:pPr>
      <w:r>
        <w:t>A fin de aplicar al caso la doctrina constitucional expuesta procedemos a efectuar un examen por separado de los puntos controvertidos. Son los siguientes:</w:t>
      </w:r>
    </w:p>
    <w:p w:rsidR="005728DD" w:rsidRDefault="005728DD" w:rsidP="005728DD">
      <w:pPr>
        <w:pStyle w:val="TextoNormal"/>
      </w:pPr>
    </w:p>
    <w:p w:rsidR="005728DD" w:rsidRDefault="005728DD" w:rsidP="005728DD">
      <w:pPr>
        <w:pStyle w:val="TextoNormal"/>
      </w:pPr>
      <w:r>
        <w:t>7.2.1. Acceso a las actuaciones e incorporación de testimonio íntegro de las diligencias previas núm. 118-2017 seguidas en el Juzgado de Instrucción núm. 13 de Barcelona.</w:t>
      </w:r>
    </w:p>
    <w:p w:rsidR="005728DD" w:rsidRDefault="005728DD" w:rsidP="005728DD">
      <w:pPr>
        <w:pStyle w:val="TextoNormal"/>
      </w:pPr>
    </w:p>
    <w:p w:rsidR="005728DD" w:rsidRDefault="005728DD" w:rsidP="005728DD">
      <w:pPr>
        <w:pStyle w:val="TextoNormal"/>
      </w:pPr>
      <w:r>
        <w:t xml:space="preserve">Según la parte recurrente, la inmensa mayoría de las actuaciones policiales de las que dimanó buena parte del material probatorio que, posteriormente, fue aportado al presente procedimiento por el fiscal, se llevaron a cabo con ocasión de las citadas diligencias previas, en las que el demandante no fue parte. Si bien reiteró su solicitud de incorporación íntegra de las actuaciones de lo que considera una “instrucción paralela”, recibió una respuesta negativa de la Sala. A su juicio, la procedencia de esta prueba radica en que habría permitido a las partes y al tribunal analizar todas estas actuaciones, integradas por informes técnicos, documentos y atestados, en cuya elaboración no habría intervenido el recurrente al no ser </w:t>
      </w:r>
      <w:r>
        <w:lastRenderedPageBreak/>
        <w:t>parte en dicho proceso, a fin de interrogar a procesados y testigos sobre todo ello, en su mayoría desconocido por demandante de amparo. Agrega que se ha producido una anómala situación al impedirle intervenir en esta “instrucción paralela”, pues al no haber podido conocer y participar en actuaciones instructoras que pudieran beneficiarle, difícilmente pudo “proponer la práctica de medios de prueba, favorables a sus tesis, dimanantes de diligencias practicadas en instrucción”.</w:t>
      </w:r>
    </w:p>
    <w:p w:rsidR="005728DD" w:rsidRDefault="005728DD" w:rsidP="005728DD">
      <w:pPr>
        <w:pStyle w:val="TextoNormal"/>
      </w:pPr>
    </w:p>
    <w:p w:rsidR="005728DD" w:rsidRDefault="005728DD" w:rsidP="005728DD">
      <w:pPr>
        <w:pStyle w:val="TextoNormal"/>
      </w:pPr>
      <w:r>
        <w:t>El abogado del Estado considera que esta queja debe desestimarse dado que el bloque probatorio sobre el que se ha construido la apreciación del tribunal se ha generado, de forma única y exclusiva, en el plenario. Sobre la llamada “instrucción paralela”, trae a colación el criterio seguido por el instructor, en el auto de 15 de febrero de 2018, y por la Sala, en el auto de 27 de diciembre de 2018, para rechazar por exorbitante el criterio de incluir, dentro de la causa especial, a todos aquellos que prestaron su colaboración a la hora de ejecutar el plan estratégico ideado e impulsado por los representantes políticos y sociales, y niega que se haya impedido a las defensas conocer con tiempo suficiente los elementos incorporados de otras causas durante la instrucción. Finalmente afirma que existe un derecho de acceso a todos los documentos que van a ser valorados, pero no un derecho de acceso en calidad de “imputado preventivo” a otras causas, a fin de esclarecer si alguna actuación obrante en las mismas incide en el derecho de defensa.</w:t>
      </w:r>
    </w:p>
    <w:p w:rsidR="005728DD" w:rsidRDefault="005728DD" w:rsidP="005728DD">
      <w:pPr>
        <w:pStyle w:val="TextoNormal"/>
      </w:pPr>
    </w:p>
    <w:p w:rsidR="005728DD" w:rsidRDefault="005728DD" w:rsidP="005728DD">
      <w:pPr>
        <w:pStyle w:val="TextoNormal"/>
      </w:pPr>
      <w:r>
        <w:t>El partido político Vox se opone al motivo de amparo negando que la instrucción realmente se llevara a cabo en las citadas diligencias previas núm. 118-2017 del Juzgado de Instrucción núm. 13 de Barcelona, y asumiendo, de acuerdo con la sala sentenciadora, que en la causa solo se tuvieron en cuenta las pruebas practicadas en el juicio oral.</w:t>
      </w:r>
    </w:p>
    <w:p w:rsidR="005728DD" w:rsidRDefault="005728DD" w:rsidP="005728DD">
      <w:pPr>
        <w:pStyle w:val="TextoNormal"/>
      </w:pPr>
    </w:p>
    <w:p w:rsidR="005728DD" w:rsidRDefault="005728DD" w:rsidP="005728DD">
      <w:pPr>
        <w:pStyle w:val="TextoNormal"/>
      </w:pPr>
      <w:r>
        <w:t>El ministerio público entiende que debe rechazarse la existencia de una “instrucción paralela”, pues ese procedimiento tiene un objeto propio y distinto del proceso del que trae causa el recurso de amparo y, en todo caso, que tal afirmación carece de soporte fáctico y probatorio. A su juicio, no se puede “aceptar la descalificación que realiza, frente a la razón dada por el Tribunal Supremo, de que solo valorará la prueba practicada en el juicio oral, lo que no puede ser de otro modo, art. 741 LECrim”.</w:t>
      </w:r>
    </w:p>
    <w:p w:rsidR="005728DD" w:rsidRDefault="005728DD" w:rsidP="005728DD">
      <w:pPr>
        <w:pStyle w:val="TextoNormal"/>
      </w:pPr>
    </w:p>
    <w:p w:rsidR="005728DD" w:rsidRDefault="005728DD" w:rsidP="005728DD">
      <w:pPr>
        <w:pStyle w:val="TextoNormal"/>
      </w:pPr>
      <w:r>
        <w:t>La respuesta de la sentencia impugnada a la protesta de que se trata está contenida en el apartado 8 del fundamento de Derecho A). Tras un texto introductorio cuya reproducción omitimos, por ser sustancialmente coincidente con el contenido de la queja que figura en la argumentación esgrimida en este recurso de amparo, el Tribunal Supremo comienza por refutar el punto de partida del planteamiento de la parte recurrente. Razona lo que sigue:</w:t>
      </w:r>
    </w:p>
    <w:p w:rsidR="005728DD" w:rsidRDefault="005728DD" w:rsidP="005728DD">
      <w:pPr>
        <w:pStyle w:val="TextoNormal"/>
      </w:pPr>
    </w:p>
    <w:p w:rsidR="005728DD" w:rsidRDefault="005728DD" w:rsidP="005728DD">
      <w:pPr>
        <w:pStyle w:val="TextoNormal"/>
      </w:pPr>
      <w:r>
        <w:t xml:space="preserve">«Parte de un equívoco. 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w:t>
      </w:r>
      <w:r w:rsidRPr="005728DD">
        <w:rPr>
          <w:i/>
        </w:rPr>
        <w:t>ad cautelam</w:t>
      </w:r>
      <w:r>
        <w:t xml:space="preserve"> por si algo de lo que pueda haber allí, pudiera servir aquí.</w:t>
      </w:r>
    </w:p>
    <w:p w:rsidR="005728DD" w:rsidRDefault="005728DD" w:rsidP="005728DD">
      <w:pPr>
        <w:pStyle w:val="TextoNormal"/>
      </w:pPr>
    </w:p>
    <w:p w:rsidR="005728DD" w:rsidRDefault="005728DD" w:rsidP="005728DD">
      <w:pPr>
        <w:pStyle w:val="TextoNormal"/>
      </w:pPr>
      <w:r>
        <w:lastRenderedPageBreak/>
        <w:t>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005728DD" w:rsidRDefault="005728DD" w:rsidP="005728DD">
      <w:pPr>
        <w:pStyle w:val="TextoNormal"/>
      </w:pPr>
    </w:p>
    <w:p w:rsidR="005728DD" w:rsidRDefault="005728DD" w:rsidP="005728DD">
      <w:pPr>
        <w:pStyle w:val="TextoNormal"/>
      </w:pPr>
      <w:r>
        <w:t>[…],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005728DD" w:rsidRDefault="005728DD" w:rsidP="005728DD">
      <w:pPr>
        <w:pStyle w:val="TextoNormal"/>
      </w:pPr>
    </w:p>
    <w:p w:rsidR="005728DD" w:rsidRDefault="005728DD" w:rsidP="005728DD">
      <w:pPr>
        <w:pStyle w:val="TextoNormal"/>
      </w:pPr>
      <w:r>
        <w:t>[…]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005728DD" w:rsidRDefault="005728DD" w:rsidP="005728DD">
      <w:pPr>
        <w:pStyle w:val="TextoNormal"/>
      </w:pPr>
    </w:p>
    <w:p w:rsidR="005728DD" w:rsidRDefault="005728DD" w:rsidP="005728DD">
      <w:pPr>
        <w:pStyle w:val="TextoNormal"/>
      </w:pPr>
      <w:r>
        <w:t>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005728DD" w:rsidRDefault="005728DD" w:rsidP="005728DD">
      <w:pPr>
        <w:pStyle w:val="TextoNormal"/>
      </w:pPr>
    </w:p>
    <w:p w:rsidR="005728DD" w:rsidRDefault="005728DD" w:rsidP="005728DD">
      <w:pPr>
        <w:pStyle w:val="TextoNormal"/>
      </w:pPr>
      <w:r>
        <w:t>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005728DD" w:rsidRDefault="005728DD" w:rsidP="005728DD">
      <w:pPr>
        <w:pStyle w:val="TextoNormal"/>
      </w:pPr>
    </w:p>
    <w:p w:rsidR="005728DD" w:rsidRDefault="005728DD" w:rsidP="005728DD">
      <w:pPr>
        <w:pStyle w:val="TextoNormal"/>
      </w:pPr>
      <w:r>
        <w:t>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005728DD" w:rsidRDefault="005728DD" w:rsidP="005728DD">
      <w:pPr>
        <w:pStyle w:val="TextoNormal"/>
      </w:pPr>
    </w:p>
    <w:p w:rsidR="005728DD" w:rsidRDefault="005728DD" w:rsidP="005728DD">
      <w:pPr>
        <w:pStyle w:val="TextoNormal"/>
      </w:pPr>
      <w:r>
        <w:t>En el fundamento de Derecho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005728DD" w:rsidRDefault="005728DD" w:rsidP="005728DD">
      <w:pPr>
        <w:pStyle w:val="TextoNormal"/>
      </w:pPr>
    </w:p>
    <w:p w:rsidR="005728DD" w:rsidRDefault="005728DD" w:rsidP="005728DD">
      <w:pPr>
        <w:pStyle w:val="TextoNormal"/>
      </w:pPr>
      <w:r>
        <w:t>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005728DD" w:rsidRDefault="005728DD" w:rsidP="005728DD">
      <w:pPr>
        <w:pStyle w:val="TextoNormal"/>
      </w:pPr>
    </w:p>
    <w:p w:rsidR="005728DD" w:rsidRDefault="005728DD" w:rsidP="005728DD">
      <w:pPr>
        <w:pStyle w:val="TextoNormal"/>
      </w:pPr>
      <w:r>
        <w:t>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005728DD" w:rsidRDefault="005728DD" w:rsidP="005728DD">
      <w:pPr>
        <w:pStyle w:val="TextoNormal"/>
      </w:pPr>
    </w:p>
    <w:p w:rsidR="005728DD" w:rsidRDefault="005728DD" w:rsidP="005728DD">
      <w:pPr>
        <w:pStyle w:val="TextoNormal"/>
      </w:pPr>
      <w:r>
        <w:t xml:space="preserve">Frente a estas respuestas dadas por la Sala de lo Penal del Tribunal Supremo, la argumentación contenida en la demanda, que ha quedado reseñada más arriba, no contiene crítica alguna, hasta el punto de que ni siquiera toma en consideración la contestación judicial trascrita ni, por consiguiente, desarrolla discurso alguno tendente a refutarla. Su posición, según hemos dicho, consiste, básicamente, en: (i) mantener la premisa de que en las diligencias previas seguidas por el Juzgado de Instrucción núm. 13 de Barcelona figuran gran parte de las actuaciones policiales que posteriormente fueron aportadas como prueba al plenario; (ii) lamentar que, puesto que no fue parte en ese procedimiento, no tuvo conocimiento de ellas; (iii) y afirmar que la incorporación del testimonio íntegro de tales diligencias habría </w:t>
      </w:r>
      <w:r>
        <w:lastRenderedPageBreak/>
        <w:t xml:space="preserve">permitido a las partes y al tribunal analizar la totalidad de las actuaciones e interrogar a procesados y testigos sobre todo ello. A lo largo de su argumentación no se justifica la realidad de la “instrucción paralela”, cuya existencia afirma de modo apodíctico y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 Tampoco se razona, más allá de referencias genéricas, sobre el concreto objeto de las actuaciones preprocesales y procesales documentadas que no se incorporaron como consecuencia de la denegación de lo pretendido, y su pertinencia por su relación con el </w:t>
      </w:r>
      <w:r w:rsidRPr="005728DD">
        <w:rPr>
          <w:i/>
        </w:rPr>
        <w:t>thema decidendi</w:t>
      </w:r>
      <w:r>
        <w:t>. No nos dice el recurrente siquiera qué hecho pretendió probar con la prueba que propuso y que fue inadmitida.</w:t>
      </w:r>
    </w:p>
    <w:p w:rsidR="005728DD" w:rsidRDefault="005728DD" w:rsidP="005728DD">
      <w:pPr>
        <w:pStyle w:val="TextoNormal"/>
      </w:pPr>
    </w:p>
    <w:p w:rsidR="005728DD" w:rsidRDefault="005728DD" w:rsidP="005728DD">
      <w:pPr>
        <w:pStyle w:val="TextoNormal"/>
      </w:pPr>
      <w:r>
        <w:t>Cabe añadir que, en el caso de don Josep Rull, no puede atenderse tampoco al argumento según el cual la práctica totalidad de los informes y documentos referentes al delito de malversación provenían de las diligencias previas seguidas por el Juzgado de Instrucción núm. 13 de Barcelona, pues no fue condenado por ese delito.</w:t>
      </w:r>
    </w:p>
    <w:p w:rsidR="005728DD" w:rsidRDefault="005728DD" w:rsidP="005728DD">
      <w:pPr>
        <w:pStyle w:val="TextoNormal"/>
      </w:pPr>
    </w:p>
    <w:p w:rsidR="005728DD" w:rsidRDefault="005728DD" w:rsidP="005728DD">
      <w:pPr>
        <w:pStyle w:val="TextoNormal"/>
      </w:pPr>
      <w:r>
        <w:t>En definitiva, no se da en la demanda razón alguna que nos conduzca a calificar la respuesta dada por el Tribunal Supremo como arbitraria o irrazonable, ni que determine que la ausencia de la incorporación del testimonio íntegro que se solicitó hubiera sido decisiva en términos de defensa. Esto nos lleva, en aplicación de la doctrina constitucional expuesta, a desestimar el alegato de vulneración del derecho a la prueba.</w:t>
      </w:r>
    </w:p>
    <w:p w:rsidR="005728DD" w:rsidRDefault="005728DD" w:rsidP="005728DD">
      <w:pPr>
        <w:pStyle w:val="TextoNormal"/>
      </w:pPr>
    </w:p>
    <w:p w:rsidR="005728DD" w:rsidRDefault="005728DD" w:rsidP="005728DD">
      <w:pPr>
        <w:pStyle w:val="TextoNormal"/>
      </w:pPr>
      <w:r>
        <w:t>7.2.2. Imposibilidad de contrastar las declaraciones testificales con la prueba documental videográfica.</w:t>
      </w:r>
    </w:p>
    <w:p w:rsidR="005728DD" w:rsidRDefault="005728DD" w:rsidP="005728DD">
      <w:pPr>
        <w:pStyle w:val="TextoNormal"/>
      </w:pPr>
    </w:p>
    <w:p w:rsidR="005728DD" w:rsidRDefault="005728DD" w:rsidP="005728DD">
      <w:pPr>
        <w:pStyle w:val="TextoNormal"/>
      </w:pPr>
      <w:r>
        <w:t>La parte recurrente considera que, tras haber permitido ese contraste con algunos testigos iniciales (señores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Tacha esta decisión de contradictoria y añade que la confrontación entre lo declarado por un testigo y la prueba videográfica está prevista en el art. 729.3 LECrim y constituye una práctica absolutamente habitual en los tribunales españoles. A su juicio, de haberse permitido su práctica, se habría evitado que “algunos testigos mintieran a la sala o exageraran ostensiblemente en su declaración” y se habría posibilitado que “los testigos pudieran rectificar el sentido de sus declaraciones mendaces o exageradas”.</w:t>
      </w:r>
    </w:p>
    <w:p w:rsidR="005728DD" w:rsidRDefault="005728DD" w:rsidP="005728DD">
      <w:pPr>
        <w:pStyle w:val="TextoNormal"/>
      </w:pPr>
    </w:p>
    <w:p w:rsidR="005728DD" w:rsidRDefault="005728DD" w:rsidP="005728DD">
      <w:pPr>
        <w:pStyle w:val="TextoNormal"/>
      </w:pPr>
      <w:r>
        <w:t>Para el abogado del Estado el órgano judicial ha guardado un estricto respeto a la garantía de contradicción para que el acusado tenga la posibilidad de interrogar a quien declara en su contra y, de este modo, controvertir su credibilidad conforme a lo establecido en los arts. 6.3 d) y 6.1 CEDH. Por su parte, el partido político Vox señala que no se alcanza a comprender en qué aspecto podría haber mejorado la valoración de la prueba por parte de la sala, si se hubieran practicado la prueba videográfica y las testificales al unísono.</w:t>
      </w:r>
    </w:p>
    <w:p w:rsidR="005728DD" w:rsidRDefault="005728DD" w:rsidP="005728DD">
      <w:pPr>
        <w:pStyle w:val="TextoNormal"/>
      </w:pPr>
    </w:p>
    <w:p w:rsidR="005728DD" w:rsidRDefault="005728DD" w:rsidP="005728DD">
      <w:pPr>
        <w:pStyle w:val="TextoNormal"/>
      </w:pPr>
      <w:r>
        <w:lastRenderedPageBreak/>
        <w:t>El ministerio público considera que el recurrente tuvo la oportunidad de discutir el testimonio de los testigos a través de su interrogatorio o contrainterrogatorio, y no argumenta en qué medida el hecho de que no se mostraran a tales testigos los vídeos ha afectado a su derecho de defensa y al resultado final del proceso. Para el fiscal, nada impidió al recurrente, en el momento de la fase de informes (art. 734 LECrim), hacer las observaciones oportunas sobre las declaraciones de los testigos en relación con la prueba videográfica practicada, poniendo de manifiesto las contradicciones en las que hubieran incurrido y cuestionando de este modo su credibilidad.</w:t>
      </w:r>
    </w:p>
    <w:p w:rsidR="005728DD" w:rsidRDefault="005728DD" w:rsidP="005728DD">
      <w:pPr>
        <w:pStyle w:val="TextoNormal"/>
      </w:pPr>
    </w:p>
    <w:p w:rsidR="005728DD" w:rsidRDefault="005728DD" w:rsidP="005728DD">
      <w:pPr>
        <w:pStyle w:val="TextoNormal"/>
      </w:pPr>
      <w:r>
        <w:t>La sentencia impugnada se refiere a este punto en el apartado 16.1 del fundamento de Derecho A). Tras una amplia referencia al significado del principio de contradicción con cita de jurisprudencia constitucional y del Tribunal Europeo de Derechos Humanos, el Tribunal Supremo argumenta lo que sigue:</w:t>
      </w:r>
    </w:p>
    <w:p w:rsidR="005728DD" w:rsidRDefault="005728DD" w:rsidP="005728DD">
      <w:pPr>
        <w:pStyle w:val="TextoNormal"/>
      </w:pPr>
    </w:p>
    <w:p w:rsidR="005728DD" w:rsidRDefault="005728DD" w:rsidP="005728DD">
      <w:pPr>
        <w:pStyle w:val="TextoNormal"/>
      </w:pPr>
      <w:r>
        <w:t>“El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005728DD" w:rsidRDefault="005728DD" w:rsidP="005728DD">
      <w:pPr>
        <w:pStyle w:val="TextoNormal"/>
      </w:pPr>
    </w:p>
    <w:p w:rsidR="005728DD" w:rsidRDefault="005728DD" w:rsidP="005728DD">
      <w:pPr>
        <w:pStyle w:val="TextoNormal"/>
      </w:pPr>
      <w:r>
        <w:t>Y no es ese el contenido material del principio de contradicción.</w:t>
      </w:r>
    </w:p>
    <w:p w:rsidR="005728DD" w:rsidRDefault="005728DD" w:rsidP="005728DD">
      <w:pPr>
        <w:pStyle w:val="TextoNormal"/>
      </w:pPr>
    </w:p>
    <w:p w:rsidR="005728DD" w:rsidRDefault="005728DD" w:rsidP="005728DD">
      <w:pPr>
        <w:pStyle w:val="TextoNormal"/>
      </w:pPr>
      <w:r>
        <w:t>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005728DD" w:rsidRDefault="005728DD" w:rsidP="005728DD">
      <w:pPr>
        <w:pStyle w:val="TextoNormal"/>
      </w:pPr>
    </w:p>
    <w:p w:rsidR="005728DD" w:rsidRDefault="005728DD" w:rsidP="005728DD">
      <w:pPr>
        <w:pStyle w:val="TextoNormal"/>
      </w:pPr>
      <w:r>
        <w:t>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005728DD" w:rsidRDefault="005728DD" w:rsidP="005728DD">
      <w:pPr>
        <w:pStyle w:val="TextoNormal"/>
      </w:pPr>
    </w:p>
    <w:p w:rsidR="005728DD" w:rsidRDefault="005728DD" w:rsidP="005728DD">
      <w:pPr>
        <w:pStyle w:val="TextoNormal"/>
      </w:pPr>
      <w:r>
        <w:t>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005728DD" w:rsidRDefault="005728DD" w:rsidP="005728DD">
      <w:pPr>
        <w:pStyle w:val="TextoNormal"/>
      </w:pPr>
    </w:p>
    <w:p w:rsidR="005728DD" w:rsidRDefault="005728DD" w:rsidP="005728DD">
      <w:pPr>
        <w:pStyle w:val="TextoNormal"/>
      </w:pPr>
      <w:r>
        <w:t xml:space="preserve">La mejor muestra del desenfocado entendimiento del principio de contradicción por alguna de las defensas, lo ofrece el hecho de que uno de los letrados llegó a contrastar el testimonio de un agente de policía, no con lo que reflejaba un vídeo, sino con su propia </w:t>
      </w:r>
      <w:r>
        <w:lastRenderedPageBreak/>
        <w:t>versión de lo que ese vídeo expresaba: ‘[…] es que lo estoy viendo yo’, llegó a afirmar, convirtiendo lo que tenía que haber sido el examen de un testigo en un insólito careo entre el ciudadano que declara y el letrado que lo interroga.</w:t>
      </w:r>
    </w:p>
    <w:p w:rsidR="005728DD" w:rsidRDefault="005728DD" w:rsidP="005728DD">
      <w:pPr>
        <w:pStyle w:val="TextoNormal"/>
      </w:pPr>
    </w:p>
    <w:p w:rsidR="005728DD" w:rsidRDefault="005728DD" w:rsidP="005728DD">
      <w:pPr>
        <w:pStyle w:val="TextoNormal"/>
      </w:pPr>
      <w:r>
        <w:t>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005728DD" w:rsidRDefault="005728DD" w:rsidP="005728DD">
      <w:pPr>
        <w:pStyle w:val="TextoNormal"/>
      </w:pPr>
    </w:p>
    <w:p w:rsidR="005728DD" w:rsidRDefault="005728DD" w:rsidP="005728DD">
      <w:pPr>
        <w:pStyle w:val="TextoNormal"/>
      </w:pPr>
      <w:r>
        <w:t>Todas las fuentes de prueba han sido objeto del examen cruzado de acusaciones y defensas.</w:t>
      </w:r>
    </w:p>
    <w:p w:rsidR="005728DD" w:rsidRDefault="005728DD" w:rsidP="005728DD">
      <w:pPr>
        <w:pStyle w:val="TextoNormal"/>
      </w:pPr>
    </w:p>
    <w:p w:rsidR="005728DD" w:rsidRDefault="005728DD" w:rsidP="005728DD">
      <w:pPr>
        <w:pStyle w:val="TextoNormal"/>
      </w:pPr>
      <w:r>
        <w:t>[…]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005728DD" w:rsidRDefault="005728DD" w:rsidP="005728DD">
      <w:pPr>
        <w:pStyle w:val="TextoNormal"/>
      </w:pPr>
    </w:p>
    <w:p w:rsidR="005728DD" w:rsidRDefault="005728DD" w:rsidP="005728DD">
      <w:pPr>
        <w:pStyle w:val="TextoNormal"/>
      </w:pPr>
      <w:r>
        <w:t>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005728DD" w:rsidRDefault="005728DD" w:rsidP="005728DD">
      <w:pPr>
        <w:pStyle w:val="TextoNormal"/>
      </w:pPr>
    </w:p>
    <w:p w:rsidR="005728DD" w:rsidRDefault="005728DD" w:rsidP="005728DD">
      <w:pPr>
        <w:pStyle w:val="TextoNormal"/>
      </w:pPr>
      <w:r>
        <w:t>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005728DD" w:rsidRDefault="005728DD" w:rsidP="005728DD">
      <w:pPr>
        <w:pStyle w:val="TextoNormal"/>
      </w:pPr>
    </w:p>
    <w:p w:rsidR="005728DD" w:rsidRDefault="005728DD" w:rsidP="005728DD">
      <w:pPr>
        <w:pStyle w:val="TextoNormal"/>
      </w:pPr>
      <w:r>
        <w:t>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005728DD" w:rsidRDefault="005728DD" w:rsidP="005728DD">
      <w:pPr>
        <w:pStyle w:val="TextoNormal"/>
      </w:pPr>
    </w:p>
    <w:p w:rsidR="005728DD" w:rsidRDefault="005728DD" w:rsidP="005728DD">
      <w:pPr>
        <w:pStyle w:val="TextoNormal"/>
      </w:pPr>
      <w:r>
        <w:t>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005728DD" w:rsidRDefault="005728DD" w:rsidP="005728DD">
      <w:pPr>
        <w:pStyle w:val="TextoNormal"/>
      </w:pPr>
    </w:p>
    <w:p w:rsidR="005728DD" w:rsidRDefault="005728DD" w:rsidP="005728DD">
      <w:pPr>
        <w:pStyle w:val="TextoNormal"/>
      </w:pPr>
      <w:r>
        <w:t>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005728DD" w:rsidRDefault="005728DD" w:rsidP="005728DD">
      <w:pPr>
        <w:pStyle w:val="TextoNormal"/>
      </w:pPr>
    </w:p>
    <w:p w:rsidR="005728DD" w:rsidRDefault="005728DD" w:rsidP="005728DD">
      <w:pPr>
        <w:pStyle w:val="TextoNormal"/>
      </w:pPr>
      <w:r>
        <w:t>Como puede observarse, la queja, que tiene que ver con el modo de practicar el interrogatorio de testigos y no con la denegación de una determinada prueba, toma también un punto de partida desviado de la realidad. No se impidió contrastar las declaraciones testificales con la prueba documental videográfica. El contraste existió, pues en las sesiones del juicio oral se practicó el interrogatorio de los testigos y se reprodujo el material videográ</w:t>
      </w:r>
      <w:r>
        <w:lastRenderedPageBreak/>
        <w:t>fico. Lo que se denegó, como se encarga de aclarar desde un principio el tribunal de enjuiciamiento, fue la exhibición de la prueba documental videográfica a los testigos en el momento de recibírseles declaración, lo que es muy distinto.</w:t>
      </w:r>
    </w:p>
    <w:p w:rsidR="005728DD" w:rsidRDefault="005728DD" w:rsidP="005728DD">
      <w:pPr>
        <w:pStyle w:val="TextoNormal"/>
      </w:pPr>
    </w:p>
    <w:p w:rsidR="005728DD" w:rsidRDefault="005728DD" w:rsidP="005728DD">
      <w:pPr>
        <w:pStyle w:val="TextoNormal"/>
      </w:pPr>
      <w:r>
        <w:t>Al igual que en el caso anterior, tampoco en este se desarrolla una argumentación crítica frente a las respuestas dadas en la sentencia. Se insiste en que la decisión de impedir la exhibición de vídeos a los testigos se adoptó de modo sobrevenido, a consecuencia de un cambio de criterio de la sala, porque a los primeros testigos sí se mostraron vídeos para contrastar la veracidad de sus manifestaciones con las imágenes, y también se les permitió mostrar documentos “en soporte papel”. Y se reitera la razón de la utilidad de la práctica solicitada, que, a juicio de la parte recurrente, reside en la posibilidad de conminar al testigo, “a la vista de las imágenes, a rectificar el sentido de su declaración mendaz o exagerada”. Tales extremos cuentan, como hemos visto, con una contestación razonada del Tribunal Supremo que considera, principalmente, las siguientes razones:</w:t>
      </w:r>
    </w:p>
    <w:p w:rsidR="005728DD" w:rsidRDefault="005728DD" w:rsidP="005728DD">
      <w:pPr>
        <w:pStyle w:val="TextoNormal"/>
      </w:pPr>
    </w:p>
    <w:p w:rsidR="005728DD" w:rsidRDefault="005728DD" w:rsidP="005728DD">
      <w:pPr>
        <w:pStyle w:val="TextoNormal"/>
      </w:pPr>
      <w:r>
        <w:t>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005728DD" w:rsidRDefault="005728DD" w:rsidP="005728DD">
      <w:pPr>
        <w:pStyle w:val="TextoNormal"/>
      </w:pPr>
    </w:p>
    <w:p w:rsidR="005728DD" w:rsidRDefault="005728DD" w:rsidP="005728DD">
      <w:pPr>
        <w:pStyle w:val="TextoNormal"/>
      </w:pPr>
      <w:r>
        <w:t>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005728DD" w:rsidRDefault="005728DD" w:rsidP="005728DD">
      <w:pPr>
        <w:pStyle w:val="TextoNormal"/>
      </w:pPr>
    </w:p>
    <w:p w:rsidR="005728DD" w:rsidRDefault="005728DD" w:rsidP="005728DD">
      <w:pPr>
        <w:pStyle w:val="TextoNormal"/>
      </w:pPr>
      <w:r>
        <w:t xml:space="preserve">c) Ninguna declaración testifical fue determinante. El Tribunal Supremo, que adorna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sino, como se expresa en la sentencia recurrida, el relato fáctico deriva de la valoración del </w:t>
      </w:r>
      <w:r>
        <w:lastRenderedPageBreak/>
        <w:t>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005728DD" w:rsidRDefault="005728DD" w:rsidP="005728DD">
      <w:pPr>
        <w:pStyle w:val="TextoNormal"/>
      </w:pPr>
    </w:p>
    <w:p w:rsidR="005728DD" w:rsidRDefault="005728DD" w:rsidP="005728DD">
      <w:pPr>
        <w:pStyle w:val="TextoNormal"/>
      </w:pPr>
      <w:r>
        <w:t>Este tribunal entiende, a la vista de cuanto se ha expresado, que la motivación empleada por el Tribunal Supremo para denegar lo pretendido es suficiente y no puede calificarse de arbitraria o irrazonable. En todo caso, no se aprecia que el modo en que finalmente se practicó la prueba testifical en el juicio causara indefensión alguna a la parte recurrente.</w:t>
      </w:r>
    </w:p>
    <w:p w:rsidR="005728DD" w:rsidRDefault="005728DD" w:rsidP="005728DD">
      <w:pPr>
        <w:pStyle w:val="TextoNormal"/>
      </w:pPr>
    </w:p>
    <w:p w:rsidR="005728DD" w:rsidRDefault="005728DD" w:rsidP="005728DD">
      <w:pPr>
        <w:pStyle w:val="TextoNormal"/>
      </w:pPr>
      <w:r>
        <w:t>7.2.3. La denegación de algunas pruebas propuestas por la defensa.</w:t>
      </w:r>
    </w:p>
    <w:p w:rsidR="005728DD" w:rsidRDefault="005728DD" w:rsidP="005728DD">
      <w:pPr>
        <w:pStyle w:val="TextoNormal"/>
      </w:pPr>
    </w:p>
    <w:p w:rsidR="005728DD" w:rsidRDefault="005728DD" w:rsidP="005728DD">
      <w:pPr>
        <w:pStyle w:val="TextoNormal"/>
      </w:pPr>
      <w:r>
        <w:t>De acuerdo con la demanda de amparo, la queja se concreta en la negativa a librar oficio con el fin identificar a los titulares de dos cuentas de la red social Twitter, y la denegación de las testificales del rey de España don Felipe VI o, en su defecto, del jefe de la Casa de Su Majestad el Rey, don Jaime Alfonsín Alfonso, y del expresidente de la Generalitat de Cataluña don Carles Puigdemont.</w:t>
      </w:r>
    </w:p>
    <w:p w:rsidR="005728DD" w:rsidRDefault="005728DD" w:rsidP="005728DD">
      <w:pPr>
        <w:pStyle w:val="TextoNormal"/>
      </w:pPr>
    </w:p>
    <w:p w:rsidR="005728DD" w:rsidRDefault="005728DD" w:rsidP="005728DD">
      <w:pPr>
        <w:pStyle w:val="TextoNormal"/>
      </w:pPr>
      <w:r>
        <w:t>De todo ello, y de las razones por las que la parte recurrente considera pertinentes y útiles dichas pruebas, así como de las posiciones de las demás partes, se ha dejado constancia detallada en el apartado de antecedentes de esta sentencia, al que nos remitimos.</w:t>
      </w:r>
    </w:p>
    <w:p w:rsidR="005728DD" w:rsidRDefault="005728DD" w:rsidP="005728DD">
      <w:pPr>
        <w:pStyle w:val="TextoNormal"/>
      </w:pPr>
    </w:p>
    <w:p w:rsidR="005728DD" w:rsidRDefault="005728DD" w:rsidP="005728DD">
      <w:pPr>
        <w:pStyle w:val="TextoNormal"/>
      </w:pPr>
      <w:r>
        <w:t>También aquí el Tribunal Supremo ha expresado a lo largo de la causa las razones por las que acordó no admitir dichas pruebas.</w:t>
      </w:r>
    </w:p>
    <w:p w:rsidR="005728DD" w:rsidRDefault="005728DD" w:rsidP="005728DD">
      <w:pPr>
        <w:pStyle w:val="TextoNormal"/>
      </w:pPr>
    </w:p>
    <w:p w:rsidR="005728DD" w:rsidRDefault="005728DD" w:rsidP="005728DD">
      <w:pPr>
        <w:pStyle w:val="TextoNormal"/>
      </w:pPr>
      <w:r>
        <w:t>a) El apartado 10.2 d) del fundamento de Derecho A) de la sentencia recurrida se refiere a la solitud de las defensas para que “se requiriera a la Unidad Central de Delitos Informáticos de los Mossos a fin de que facilitara […] los datos del titular de la cuenta de la red social Facebook ‘Montse del Toro’ y de la red social Twitter ‘@maquiavelo1984’ y ‘@JDanielBaena’”. Dice al respecto lo siguiente:</w:t>
      </w:r>
    </w:p>
    <w:p w:rsidR="005728DD" w:rsidRDefault="005728DD" w:rsidP="005728DD">
      <w:pPr>
        <w:pStyle w:val="TextoNormal"/>
      </w:pPr>
    </w:p>
    <w:p w:rsidR="005728DD" w:rsidRDefault="005728DD" w:rsidP="005728DD">
      <w:pPr>
        <w:pStyle w:val="TextoNormal"/>
      </w:pPr>
      <w:r>
        <w:t>“Se pretendía así demostrar la falta de imparcialidad de algunos de los funcionarios que intervinieron en la fase de investigación de la presente causa. El perfil ideológico que se deriva de sus tuits y de los comentarios expresados en Facebook sería suficiente para concluir la animadversión de sus titulares respecto de los procesados.</w:t>
      </w:r>
    </w:p>
    <w:p w:rsidR="005728DD" w:rsidRDefault="005728DD" w:rsidP="005728DD">
      <w:pPr>
        <w:pStyle w:val="TextoNormal"/>
      </w:pPr>
    </w:p>
    <w:p w:rsidR="005728DD" w:rsidRDefault="005728DD" w:rsidP="005728DD">
      <w:pPr>
        <w:pStyle w:val="TextoNormal"/>
      </w:pPr>
      <w:r>
        <w:t>En el auto de 1 de febrero de 2019 ya justificábamos la exclusión de esa propuesta probatoria al entender que la investigación de comentarios vertidos en redes sociales para definir el perfil ideológico de un mando de las fuerzas y cuerpos de seguridad del Estado o de una letrada de la administración de justicia, desborda los límites objetivos y subjetivos del proceso, tal y como estos han sido delimitados. También es ajeno al objeto de esta causa indagar mediante qué procedimiento han obtenido las defensas la información que permite asociar que unos datos y u</w:t>
      </w:r>
      <w:r w:rsidRPr="005728DD">
        <w:rPr>
          <w:i/>
        </w:rPr>
        <w:t>n nickna</w:t>
      </w:r>
      <w:r>
        <w:t>me están vinculados a una determinada persona.</w:t>
      </w:r>
    </w:p>
    <w:p w:rsidR="005728DD" w:rsidRDefault="005728DD" w:rsidP="005728DD">
      <w:pPr>
        <w:pStyle w:val="TextoNormal"/>
      </w:pPr>
    </w:p>
    <w:p w:rsidR="005728DD" w:rsidRDefault="005728DD" w:rsidP="005728DD">
      <w:pPr>
        <w:pStyle w:val="TextoNormal"/>
      </w:pPr>
      <w:r>
        <w:lastRenderedPageBreak/>
        <w:t>Sea como fuere, dos razones descartan cualquier clase de indefensión. De un lado, conviene recordar que don Daniel Baena y doña Monserrat del Toro acudieron a declarar como testigos y fueron interrogados sobre esos extremos. De otra parte, nada de lo que se vertió en esas redes sociales ha servido para integrar la apreciación probatoria de esta Sala”.</w:t>
      </w:r>
    </w:p>
    <w:p w:rsidR="005728DD" w:rsidRDefault="005728DD" w:rsidP="005728DD">
      <w:pPr>
        <w:pStyle w:val="TextoNormal"/>
      </w:pPr>
    </w:p>
    <w:p w:rsidR="005728DD" w:rsidRDefault="005728DD" w:rsidP="005728DD">
      <w:pPr>
        <w:pStyle w:val="TextoNormal"/>
      </w:pPr>
      <w:r>
        <w:t>Previamente, en el auto de 1 de febrero de 2019 que resolvió sobre la proposición de prueba, la sala de enjuiciamiento, en respuesta a solicitud similar efectuada por otra de las defensas, declaró lo siguiente:</w:t>
      </w:r>
    </w:p>
    <w:p w:rsidR="005728DD" w:rsidRDefault="005728DD" w:rsidP="005728DD">
      <w:pPr>
        <w:pStyle w:val="TextoNormal"/>
      </w:pPr>
    </w:p>
    <w:p w:rsidR="005728DD" w:rsidRDefault="005728DD" w:rsidP="005728DD">
      <w:pPr>
        <w:pStyle w:val="TextoNormal"/>
      </w:pPr>
      <w:r>
        <w:t>“No es objeto de la presente causa enjuiciar lo que la defensa denomina ‘indebida actuación’ de un teniente coronel de la Guardia Civil. Además, un previo filtro telemático acerca de los planteamientos ideológicos de los responsables y miembros de las fuerzas y cuerpos de seguridad —estatales y autonómicos— no puede operar como presupuesto de validez de los actos de investigación que, por propia iniciativa o por orden judicial, lleven a cabo. Todo ello, claro es, sin perjuicio de la facultad que asiste a todo ofendido por esos comentarios a ejercer las acciones legales que procedan ante el órgano jurisdiccional competente”.</w:t>
      </w:r>
    </w:p>
    <w:p w:rsidR="005728DD" w:rsidRDefault="005728DD" w:rsidP="005728DD">
      <w:pPr>
        <w:pStyle w:val="TextoNormal"/>
      </w:pPr>
    </w:p>
    <w:p w:rsidR="005728DD" w:rsidRDefault="005728DD" w:rsidP="005728DD">
      <w:pPr>
        <w:pStyle w:val="TextoNormal"/>
      </w:pPr>
      <w:r>
        <w:t>b) A las testificales indicadas se refieren los apartados 10.3 a) y b) del fundamento de Derecho A) de la sentencia de 14 de octubre de 2019.</w:t>
      </w:r>
    </w:p>
    <w:p w:rsidR="005728DD" w:rsidRDefault="005728DD" w:rsidP="005728DD">
      <w:pPr>
        <w:pStyle w:val="TextoNormal"/>
      </w:pPr>
    </w:p>
    <w:p w:rsidR="005728DD" w:rsidRDefault="005728DD" w:rsidP="005728DD">
      <w:pPr>
        <w:pStyle w:val="TextoNormal"/>
      </w:pPr>
      <w:r>
        <w:t>(i) En relación con la testifical de “Su Majestad el Rey y, con carácter alternativo, para el caso en que el monarca no aceptara declarar y se acogiera a la exención legal, el jefe de la Casa Real don Jaime Alfonsín”, argumenta el Tribunal Supremo:</w:t>
      </w:r>
    </w:p>
    <w:p w:rsidR="005728DD" w:rsidRDefault="005728DD" w:rsidP="005728DD">
      <w:pPr>
        <w:pStyle w:val="TextoNormal"/>
      </w:pPr>
    </w:p>
    <w:p w:rsidR="005728DD" w:rsidRDefault="005728DD" w:rsidP="005728DD">
      <w:pPr>
        <w:pStyle w:val="TextoNormal"/>
      </w:pPr>
      <w:r>
        <w:t>“El art. 411 de la LECrim excluye al rey del deber de declarar. Y la propuesta de un testigo por sustitución, formulada solo para el caso en que opere la exención prevista legalmente para el testigo principal, no conoce cobertura legal en nuestro sistema. Todo ello, con independencia de que la pretendida justificación de esa propuesta, basada en la necesidad de ‘[…] conocer el papel de la Casa Real en los hechos enjuiciados’</w:t>
      </w:r>
      <w:r w:rsidRPr="005728DD">
        <w:rPr>
          <w:i/>
        </w:rPr>
        <w:t xml:space="preserve"> (s</w:t>
      </w:r>
      <w:r>
        <w:t>ic), es manifiestamente impertinente”.</w:t>
      </w:r>
    </w:p>
    <w:p w:rsidR="005728DD" w:rsidRDefault="005728DD" w:rsidP="005728DD">
      <w:pPr>
        <w:pStyle w:val="TextoNormal"/>
      </w:pPr>
    </w:p>
    <w:p w:rsidR="005728DD" w:rsidRDefault="005728DD" w:rsidP="005728DD">
      <w:pPr>
        <w:pStyle w:val="TextoNormal"/>
      </w:pPr>
      <w:r>
        <w:t>Este tribunal debe aclarar, en relación con esta prueba testifical propuesta por la defensa, que la razón para su rechazo por la Sala de lo Penal del Tribunal Supremo no fue una errónea interpretación del art. 411 LECrim, en lo que insiste la parte recurrente cuando afirma que dicho precepto no prohíbe la declaración del rey. La causa de su inadmisión fue su impertinencia; calificación que no puede reputarse irrazonable o arbitraria. El recurrente se refiere genéricamente al “relevante papel […] [atribuido] al jefe del Estado en los hechos que nos ocupan” y, en particular, al “discurso emitido por Su Majestad el Rey” en fecha 3 de octubre de 2017. Entendemos, sin embargo, que a la vista del relato de hechos probados, no resulta evidente la pertinencia y utilidad de la testifical propuesta para abundar en unos hechos que carecen de relevancia para el enjuiciamiento penal —así lo estimó el tribunal sentenciador que no incluyó ninguna referencia en el relato histórico— y que, además, por su notoriedad, no precisan de prueba alguna.</w:t>
      </w:r>
    </w:p>
    <w:p w:rsidR="005728DD" w:rsidRDefault="005728DD" w:rsidP="005728DD">
      <w:pPr>
        <w:pStyle w:val="TextoNormal"/>
      </w:pPr>
    </w:p>
    <w:p w:rsidR="005728DD" w:rsidRDefault="005728DD" w:rsidP="005728DD">
      <w:pPr>
        <w:pStyle w:val="TextoNormal"/>
      </w:pPr>
      <w:r>
        <w:t>(ii) Respecto del señor Puigdemont, la Sala de lo Penal del Tribunal Supremo razona:</w:t>
      </w:r>
    </w:p>
    <w:p w:rsidR="005728DD" w:rsidRDefault="005728DD" w:rsidP="005728DD">
      <w:pPr>
        <w:pStyle w:val="TextoNormal"/>
      </w:pPr>
    </w:p>
    <w:p w:rsidR="005728DD" w:rsidRDefault="005728DD" w:rsidP="005728DD">
      <w:pPr>
        <w:pStyle w:val="TextoNormal"/>
      </w:pPr>
      <w:r>
        <w:t xml:space="preserve">“La propuesta como testigo de quien, en la misma causa, ha sido procesado como autor de un delito de rebelión y otro de malversación, resulta extravagante. La LECrim no avala </w:t>
      </w:r>
      <w:r>
        <w:lastRenderedPageBreak/>
        <w:t>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005728DD" w:rsidRDefault="005728DD" w:rsidP="005728DD">
      <w:pPr>
        <w:pStyle w:val="TextoNormal"/>
      </w:pPr>
    </w:p>
    <w:p w:rsidR="005728DD" w:rsidRDefault="005728DD" w:rsidP="005728DD">
      <w:pPr>
        <w:pStyle w:val="TextoNormal"/>
      </w:pPr>
      <w:r>
        <w:t>En el auto previo, de 1 de febrero de 2019, se rechazó esta prueba testifical por cuanto “la condición de parte pasiva del proceso, declarada en rebeldía y todavía no enjuiciada, es manifiestamente incompatible con el deber de declarar y la obligación de decir verdad que asume todo testigo” (razonamiento jurídico 3.3).</w:t>
      </w:r>
    </w:p>
    <w:p w:rsidR="005728DD" w:rsidRDefault="005728DD" w:rsidP="005728DD">
      <w:pPr>
        <w:pStyle w:val="TextoNormal"/>
      </w:pPr>
    </w:p>
    <w:p w:rsidR="005728DD" w:rsidRDefault="005728DD" w:rsidP="005728DD">
      <w:pPr>
        <w:pStyle w:val="TextoNormal"/>
      </w:pPr>
      <w:r>
        <w:t>Sobre este punto, ratificamos la posición expresada por la sala juzgadora. El interrogatorio del señor Puigdemont en calidad de testigo resulta incompatible con su posición procesal, hasta el punto de que la práctica de esta prueba pugnaría con las garantías del art. 24.2 CE.</w:t>
      </w:r>
    </w:p>
    <w:p w:rsidR="005728DD" w:rsidRDefault="005728DD" w:rsidP="005728DD">
      <w:pPr>
        <w:pStyle w:val="TextoNormal"/>
      </w:pPr>
    </w:p>
    <w:p w:rsidR="005728DD" w:rsidRDefault="005728DD" w:rsidP="005728DD">
      <w:pPr>
        <w:pStyle w:val="TextoNormal"/>
      </w:pPr>
      <w:r>
        <w:t>A la vista de todo ello, concluimos que el órgano de enjuiciamiento ha dado una respuesta expresa, razonable y suficiente para fundar su decisión de inadmitir las mencionadas pruebas propuestas por la defensa del ahora recurrente, cumpliendo así con el canon constitucionalmente exigible.</w:t>
      </w:r>
    </w:p>
    <w:p w:rsidR="005728DD" w:rsidRDefault="005728DD" w:rsidP="005728DD">
      <w:pPr>
        <w:pStyle w:val="TextoNormal"/>
      </w:pPr>
    </w:p>
    <w:p w:rsidR="005728DD" w:rsidRDefault="005728DD" w:rsidP="005728DD">
      <w:pPr>
        <w:pStyle w:val="TextoNormal"/>
      </w:pPr>
      <w:r>
        <w:t>7.2.4. Inexistencia de indefensión.</w:t>
      </w:r>
    </w:p>
    <w:p w:rsidR="005728DD" w:rsidRDefault="005728DD" w:rsidP="005728DD">
      <w:pPr>
        <w:pStyle w:val="TextoNormal"/>
      </w:pPr>
    </w:p>
    <w:p w:rsidR="005728DD" w:rsidRDefault="005728DD" w:rsidP="005728DD">
      <w:pPr>
        <w:pStyle w:val="TextoNormal"/>
      </w:pPr>
      <w:r>
        <w:t>A lo largo de este mismo fundamento jurídico se ha venido apuntando la misma idea. Este tribunal considera necesario insistir en que el recurrente no ha justificado que las decisiones judiciales frente a las que dirige su recurso de amparo le hayan causado efectiva indefensión. Esta razón sería suficiente para rechazar la queja.</w:t>
      </w:r>
    </w:p>
    <w:p w:rsidR="005728DD" w:rsidRDefault="005728DD" w:rsidP="005728DD">
      <w:pPr>
        <w:pStyle w:val="TextoNormal"/>
      </w:pPr>
    </w:p>
    <w:p w:rsidR="005728DD" w:rsidRDefault="005728DD" w:rsidP="005728DD">
      <w:pPr>
        <w:pStyle w:val="TextoNormal"/>
      </w:pPr>
      <w:r>
        <w:t>La parte recurrente no razona en su demanda la relación entre los hechos que se quisieron y no se pudieron probar y las pruebas inadmitidas, ni refiere episodio alguno del relato fáctico contenido en la sentencia condenatoria que tales pruebas, de haber sido adecuadamente practicadas, hubieran conducido a refutar. No expresa tampoco ningún argumento que nos lleve a considerar que la resolución final del proceso judicial podría haberle sido favorable de haberse admitido y practicado las pruebas interesadas, de modo que el fallo pudo haber sido otro, lo que también requiere este tribunal para otorgar el amparo a quien invoca la vulneración del derecho a utilizar los medios pertinentes para la defensa (art. 24.2 CE).</w:t>
      </w:r>
    </w:p>
    <w:p w:rsidR="005728DD" w:rsidRDefault="005728DD" w:rsidP="005728DD">
      <w:pPr>
        <w:pStyle w:val="TextoNormal"/>
      </w:pPr>
    </w:p>
    <w:p w:rsidR="005728DD" w:rsidRDefault="005728DD" w:rsidP="005728DD">
      <w:pPr>
        <w:pStyle w:val="TextoNormal"/>
      </w:pPr>
      <w:r>
        <w:t xml:space="preserve">En definitiva, no ha acreditado que alguna de las pruebas de que se trata (lo que incluye el modo que propuso para la práctica de la prueba testifical con exhibición simultánea del material videográfico) fuera relevante o decisiva en términos de defensa, de forma tal que su inadmisión o su irregular práctica haya generado una real y efectiva indefensión. Reiteramos que la demanda no vincula ninguna de las concretas pruebas que fueron inadmitidas o irregularmente practicadas (caso de la prueba testifical, según hemos visto) con algún </w:t>
      </w:r>
      <w:r>
        <w:lastRenderedPageBreak/>
        <w:t>hecho que se estimó probado o con la omisión por la sentencia de algún otro que le resultara favorable y que, a juicio de la parte recurrente en amparo, debiera haber integrado el relato histórico.</w:t>
      </w:r>
    </w:p>
    <w:p w:rsidR="005728DD" w:rsidRDefault="005728DD" w:rsidP="005728DD">
      <w:pPr>
        <w:pStyle w:val="TextoNormal"/>
      </w:pPr>
    </w:p>
    <w:p w:rsidR="005728DD" w:rsidRDefault="005728DD" w:rsidP="005728DD">
      <w:pPr>
        <w:pStyle w:val="TextoNormal"/>
      </w:pPr>
      <w:r>
        <w:t>El tribunal concluye, pues, que no se ha lesionado el derecho del recurrente a utilizar los medios de prueba pertinentes para la defensa (art. 24.2 CE).</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Derecho a la presunción de inocencia (dimensión extraprocesal)</w:t>
      </w:r>
      <w:r>
        <w:t>.</w:t>
      </w:r>
    </w:p>
    <w:p w:rsidR="005728DD" w:rsidRDefault="005728DD" w:rsidP="005728DD">
      <w:pPr>
        <w:pStyle w:val="TextoNormal"/>
      </w:pPr>
    </w:p>
    <w:p w:rsidR="005728DD" w:rsidRDefault="005728DD" w:rsidP="005728DD">
      <w:pPr>
        <w:pStyle w:val="TextoNormal"/>
      </w:pPr>
      <w:r>
        <w:t xml:space="preserve">8.1. </w:t>
      </w:r>
      <w:r w:rsidRPr="005728DD">
        <w:rPr>
          <w:i/>
        </w:rPr>
        <w:t>Posiciones de las partes</w:t>
      </w:r>
      <w:r>
        <w:t>.</w:t>
      </w:r>
    </w:p>
    <w:p w:rsidR="005728DD" w:rsidRDefault="005728DD" w:rsidP="005728DD">
      <w:pPr>
        <w:pStyle w:val="TextoNormal"/>
      </w:pPr>
    </w:p>
    <w:p w:rsidR="005728DD" w:rsidRDefault="005728DD" w:rsidP="005728DD">
      <w:pPr>
        <w:pStyle w:val="TextoNormal"/>
      </w:pPr>
      <w:r>
        <w:t>Esta queja, que invoca nominalmente los derechos a la presunción de inocencia (art. 24.2 CE) y a la tutela judicial efectiva (art. 24.1 CE), trae causa de ciertas manifestaciones públicas de miembros del ejecutivo español y líderes políticos sobre los hechos enjuiciados. Concretamente, el demandante refiere que, mientras se desarrollaba el procedimiento penal ante el Tribunal Supremo, la Secretaría de Estado de la España Global, órgano dependiente del Ministerio de Asuntos Exteriores, emprendió una campaña propagandística para informar en el extranjero sobre los hechos que se estaban enjuiciando, en cuyo contexto se efectuaron declaraciones y se elaboraron documentos en los que abiertamente se consideraba a los procesados culpables de los hechos enjuiciados. Se refiere también a otros episodios similares acaecidos con posterioridad, incluso después de la publicación de la sentencia, como cuando se caricaturizó a los acusados como si fueran ladrones. Lo que reprocha al Tribunal Supremo es la negativa a amparar a los procesados frente a dicha campaña gubernamental vulneradora de su derecho a la presunción de inocencia. De todo ello se ha dejado detallada constancia en los antecedentes de esta sentencia.</w:t>
      </w:r>
    </w:p>
    <w:p w:rsidR="005728DD" w:rsidRDefault="005728DD" w:rsidP="005728DD">
      <w:pPr>
        <w:pStyle w:val="TextoNormal"/>
      </w:pPr>
    </w:p>
    <w:p w:rsidR="005728DD" w:rsidRDefault="005728DD" w:rsidP="005728DD">
      <w:pPr>
        <w:pStyle w:val="TextoNormal"/>
      </w:pPr>
      <w:r>
        <w:t>Según el abogado del Estado, que se remite a lo razonado al respecto en la sentencia, la queja debe desestimarse.</w:t>
      </w:r>
    </w:p>
    <w:p w:rsidR="005728DD" w:rsidRDefault="005728DD" w:rsidP="005728DD">
      <w:pPr>
        <w:pStyle w:val="TextoNormal"/>
      </w:pPr>
    </w:p>
    <w:p w:rsidR="005728DD" w:rsidRDefault="005728DD" w:rsidP="005728DD">
      <w:pPr>
        <w:pStyle w:val="TextoNormal"/>
      </w:pPr>
      <w:r>
        <w:t>El partido político Vox manifiesta no entender con claridad el motivo del recurso, puesto que la actividad llevada a cabo por el Gobierno de España nada tiene que ver con las lesiones de derechos fundamentales en que la sentencia pudiera haber incurrido.</w:t>
      </w:r>
    </w:p>
    <w:p w:rsidR="005728DD" w:rsidRDefault="005728DD" w:rsidP="005728DD">
      <w:pPr>
        <w:pStyle w:val="TextoNormal"/>
      </w:pPr>
    </w:p>
    <w:p w:rsidR="005728DD" w:rsidRDefault="005728DD" w:rsidP="005728DD">
      <w:pPr>
        <w:pStyle w:val="TextoNormal"/>
      </w:pPr>
      <w:r>
        <w:t>Finalmente, el Ministerio Fiscal considera que este motivo también debe rechazarse. A su juicio, la queja, en su caso, se referiría a una presunta lesión del derecho al honor (art. 18.l CE), como ha indicado este tribunal. En todo caso, a su juicio, el recurrente no aporta elemento de prueba alguno que ponga de manifiesto que la campaña que denuncia haya podido influir en el ánimo del juzgador de manera que haya condicionado el desenlace del proceso.</w:t>
      </w:r>
    </w:p>
    <w:p w:rsidR="005728DD" w:rsidRDefault="005728DD" w:rsidP="005728DD">
      <w:pPr>
        <w:pStyle w:val="TextoNormal"/>
      </w:pPr>
    </w:p>
    <w:p w:rsidR="005728DD" w:rsidRDefault="005728DD" w:rsidP="005728DD">
      <w:pPr>
        <w:pStyle w:val="TextoNormal"/>
      </w:pPr>
      <w:r>
        <w:t xml:space="preserve">8.2. </w:t>
      </w:r>
      <w:r w:rsidRPr="005728DD">
        <w:rPr>
          <w:i/>
        </w:rPr>
        <w:t>Respuesta del órgano judicial</w:t>
      </w:r>
      <w:r>
        <w:t>.</w:t>
      </w:r>
    </w:p>
    <w:p w:rsidR="005728DD" w:rsidRDefault="005728DD" w:rsidP="005728DD">
      <w:pPr>
        <w:pStyle w:val="TextoNormal"/>
      </w:pPr>
    </w:p>
    <w:p w:rsidR="005728DD" w:rsidRDefault="005728DD" w:rsidP="005728DD">
      <w:pPr>
        <w:pStyle w:val="TextoNormal"/>
      </w:pPr>
      <w:r>
        <w:t>Con anterioridad al inicio del juicio, mediante auto de 7 de febrero de 2019, la sala de enjuiciamiento, en respuesta al escrito en que formuló por primera vez esa queja, señaló que podría ser objeto de alegación en las sesiones del plenario. Culminado el mismo, la sentencia recurrida en amparo dedica a esta materia el apartado 9 del fundamento de Derecho A).</w:t>
      </w:r>
    </w:p>
    <w:p w:rsidR="005728DD" w:rsidRDefault="005728DD" w:rsidP="005728DD">
      <w:pPr>
        <w:pStyle w:val="TextoNormal"/>
      </w:pPr>
    </w:p>
    <w:p w:rsidR="005728DD" w:rsidRDefault="005728DD" w:rsidP="005728DD">
      <w:pPr>
        <w:pStyle w:val="TextoNormal"/>
      </w:pPr>
      <w:r>
        <w:lastRenderedPageBreak/>
        <w:t>Después de repasar la doctrina del Tribunal Europeo de Derechos Humanos sobre la denominada dimensión extraprocesal del derecho a la presunción de inocencia y la propia jurisprudencia sobre esta misma materia, declara que es preciso “estar al alcance y al contenido concreto de esas declaraciones que se consideran vulneradoras del derecho a la presunción de inocencia”. Y prosigue el discurso con las siguientes palabras, que trascribimos literalmente:</w:t>
      </w:r>
    </w:p>
    <w:p w:rsidR="005728DD" w:rsidRDefault="005728DD" w:rsidP="005728DD">
      <w:pPr>
        <w:pStyle w:val="TextoNormal"/>
      </w:pPr>
    </w:p>
    <w:p w:rsidR="005728DD" w:rsidRDefault="005728DD" w:rsidP="005728DD">
      <w:pPr>
        <w:pStyle w:val="TextoNormal"/>
      </w:pPr>
      <w:r>
        <w:t>“En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005728DD" w:rsidRDefault="005728DD" w:rsidP="005728DD">
      <w:pPr>
        <w:pStyle w:val="TextoNormal"/>
      </w:pPr>
    </w:p>
    <w:p w:rsidR="005728DD" w:rsidRDefault="005728DD" w:rsidP="005728DD">
      <w:pPr>
        <w:pStyle w:val="TextoNormal"/>
      </w:pPr>
      <w:r>
        <w:t>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005728DD" w:rsidRDefault="005728DD" w:rsidP="005728DD">
      <w:pPr>
        <w:pStyle w:val="TextoNormal"/>
      </w:pPr>
    </w:p>
    <w:p w:rsidR="005728DD" w:rsidRDefault="005728DD" w:rsidP="005728DD">
      <w:pPr>
        <w:pStyle w:val="TextoNormal"/>
      </w:pPr>
      <w: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w:t>
      </w:r>
      <w:r w:rsidRPr="005728DD">
        <w:rPr>
          <w:i/>
        </w:rPr>
        <w:t>ius puniendi</w:t>
      </w:r>
      <w:r>
        <w:t>.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005728DD" w:rsidRDefault="005728DD" w:rsidP="005728DD">
      <w:pPr>
        <w:pStyle w:val="TextoNormal"/>
      </w:pPr>
    </w:p>
    <w:p w:rsidR="005728DD" w:rsidRDefault="005728DD" w:rsidP="005728DD">
      <w:pPr>
        <w:pStyle w:val="TextoNormal"/>
      </w:pPr>
      <w:r>
        <w:t xml:space="preserve">8.3. </w:t>
      </w:r>
      <w:r w:rsidRPr="005728DD">
        <w:rPr>
          <w:i/>
        </w:rPr>
        <w:t>Encuadramiento de la queja: la dimensión extraprocesal del derecho a la presunción de inocencia</w:t>
      </w:r>
      <w:r>
        <w:t>.</w:t>
      </w:r>
    </w:p>
    <w:p w:rsidR="005728DD" w:rsidRDefault="005728DD" w:rsidP="005728DD">
      <w:pPr>
        <w:pStyle w:val="TextoNormal"/>
      </w:pPr>
    </w:p>
    <w:p w:rsidR="005728DD" w:rsidRDefault="005728DD" w:rsidP="005728DD">
      <w:pPr>
        <w:pStyle w:val="TextoNormal"/>
      </w:pPr>
      <w:r>
        <w:t>Como hemos visto, el recurrente sitúa la actividad lesiva de su derecho fundamental en la conducta de terceras personas (en concreto, la titular de la Secretaría de Estado de la España Global) ajenas al tribunal sentenciador. Reprocha a la Sala no haberle dado amparo frente a tales conductas, una vez que fueron denunciadas por su parte. La queja cae, por tanto, en el ámbito de la denominada dimensión extraprocesal de la presunción de inocencia.</w:t>
      </w:r>
    </w:p>
    <w:p w:rsidR="005728DD" w:rsidRDefault="005728DD" w:rsidP="005728DD">
      <w:pPr>
        <w:pStyle w:val="TextoNormal"/>
      </w:pPr>
    </w:p>
    <w:p w:rsidR="005728DD" w:rsidRDefault="005728DD" w:rsidP="005728DD">
      <w:pPr>
        <w:pStyle w:val="TextoNormal"/>
      </w:pPr>
      <w:r>
        <w:lastRenderedPageBreak/>
        <w:t>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STC 133/2018, de 13 de diciembre, FJ 4 a)].</w:t>
      </w:r>
    </w:p>
    <w:p w:rsidR="005728DD" w:rsidRDefault="005728DD" w:rsidP="005728DD">
      <w:pPr>
        <w:pStyle w:val="TextoNormal"/>
      </w:pPr>
    </w:p>
    <w:p w:rsidR="005728DD" w:rsidRDefault="005728DD" w:rsidP="005728DD">
      <w:pPr>
        <w:pStyle w:val="TextoNormal"/>
      </w:pPr>
      <w: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w:t>
      </w:r>
      <w:r w:rsidRPr="005728DD">
        <w:rPr>
          <w:i/>
        </w:rPr>
        <w:t>Allenet de Ribemont c. Francia</w:t>
      </w:r>
      <w:r>
        <w:t xml:space="preserve">; de 26 de marzo de 2002, asunto </w:t>
      </w:r>
      <w:r w:rsidRPr="005728DD">
        <w:rPr>
          <w:i/>
        </w:rPr>
        <w:t>Butkevicius c. Lituania</w:t>
      </w:r>
      <w:r>
        <w:t xml:space="preserve">; de 28 de junio de 2011, asunto </w:t>
      </w:r>
      <w:r w:rsidRPr="005728DD">
        <w:rPr>
          <w:i/>
        </w:rPr>
        <w:t>Lizaso Azconobieta c. España</w:t>
      </w:r>
      <w:r>
        <w:t>),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005728DD" w:rsidRDefault="005728DD" w:rsidP="005728DD">
      <w:pPr>
        <w:pStyle w:val="TextoNormal"/>
      </w:pPr>
    </w:p>
    <w:p w:rsidR="005728DD" w:rsidRDefault="005728DD" w:rsidP="005728DD">
      <w:pPr>
        <w:pStyle w:val="TextoNormal"/>
      </w:pPr>
      <w:r>
        <w:t>8.4</w:t>
      </w:r>
      <w:r w:rsidRPr="005728DD">
        <w:rPr>
          <w:i/>
        </w:rPr>
        <w:t>. Resolución de la que</w:t>
      </w:r>
      <w:r>
        <w:t>ja.</w:t>
      </w:r>
    </w:p>
    <w:p w:rsidR="005728DD" w:rsidRDefault="005728DD" w:rsidP="005728DD">
      <w:pPr>
        <w:pStyle w:val="TextoNormal"/>
      </w:pPr>
    </w:p>
    <w:p w:rsidR="005728DD" w:rsidRDefault="005728DD" w:rsidP="005728DD">
      <w:pPr>
        <w:pStyle w:val="TextoNormal"/>
      </w:pPr>
      <w:r>
        <w:t>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005728DD" w:rsidRDefault="005728DD" w:rsidP="005728DD">
      <w:pPr>
        <w:pStyle w:val="TextoNormal"/>
      </w:pPr>
    </w:p>
    <w:p w:rsidR="005728DD" w:rsidRDefault="005728DD" w:rsidP="005728DD">
      <w:pPr>
        <w:pStyle w:val="TextoNormal"/>
      </w:pPr>
      <w:r>
        <w:t xml:space="preserve">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w:t>
      </w:r>
      <w:r>
        <w:lastRenderedPageBreak/>
        <w:t>no tenía su cauce en el proceso penal del que dimana la condena ni, por tanto, integra el objeto del presente recurso de amparo.</w:t>
      </w:r>
    </w:p>
    <w:p w:rsidR="005728DD" w:rsidRDefault="005728DD" w:rsidP="005728DD">
      <w:pPr>
        <w:pStyle w:val="TextoNormal"/>
      </w:pPr>
    </w:p>
    <w:p w:rsidR="005728DD" w:rsidRDefault="005728DD" w:rsidP="005728DD">
      <w:pPr>
        <w:pStyle w:val="TextoNormal"/>
      </w:pPr>
      <w:r>
        <w:t>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005728DD" w:rsidRDefault="005728DD" w:rsidP="005728DD">
      <w:pPr>
        <w:pStyle w:val="TextoNormal"/>
      </w:pPr>
    </w:p>
    <w:p w:rsidR="005728DD" w:rsidRDefault="005728DD" w:rsidP="005728DD">
      <w:pPr>
        <w:pStyle w:val="TextoNormal"/>
      </w:pPr>
      <w:r>
        <w:t>Procede, en consecuencia, desestimar este motivo de amparo.</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w:t>
      </w:r>
      <w:r w:rsidRPr="005728DD">
        <w:rPr>
          <w:i/>
        </w:rPr>
        <w:t>Derecho a un proceso con todas las garantías por la supuesta filtración del contenido de la sentencia</w:t>
      </w:r>
      <w:r>
        <w:t>.</w:t>
      </w:r>
    </w:p>
    <w:p w:rsidR="005728DD" w:rsidRDefault="005728DD" w:rsidP="005728DD">
      <w:pPr>
        <w:pStyle w:val="TextoNormal"/>
      </w:pPr>
    </w:p>
    <w:p w:rsidR="005728DD" w:rsidRDefault="005728DD" w:rsidP="005728DD">
      <w:pPr>
        <w:pStyle w:val="TextoNormal"/>
      </w:pPr>
      <w:r>
        <w:t xml:space="preserve">9.1. </w:t>
      </w:r>
      <w:r w:rsidRPr="005728DD">
        <w:rPr>
          <w:i/>
        </w:rPr>
        <w:t>Posiciones de las partes</w:t>
      </w:r>
      <w:r>
        <w:t>.</w:t>
      </w:r>
    </w:p>
    <w:p w:rsidR="005728DD" w:rsidRDefault="005728DD" w:rsidP="005728DD">
      <w:pPr>
        <w:pStyle w:val="TextoNormal"/>
      </w:pPr>
    </w:p>
    <w:p w:rsidR="005728DD" w:rsidRDefault="005728DD" w:rsidP="005728DD">
      <w:pPr>
        <w:pStyle w:val="TextoNormal"/>
      </w:pPr>
      <w:r>
        <w:t xml:space="preserve">En la demanda de amparo, de la que se ha dejado un extenso resumen en los antecedentes de esta resolución, la parte recurrente se queja de que días antes de que se firmara y notificara la sentencia, diversos medios de comunicación anticiparon cuál iba a ser el sentido del fallo. La demanda se remite a las informaciones dadas por ciertos medios de comunicación (revista “Contexto”, diario “Ara”, “La Vanguardia”, “El Mundo” y “El Español”) fechadas en los días 22 de septiembre, la primera, y en los días 10 y 12 de octubre de 2019, en los restantes casos. Básicamente, el contenido de tales noticias se ciñe a publicar que previsiblemente se produciría la condena por un delito de sedición y a referir ciertos rasgos típicos de esta figura delictiva y del delito de rebelión, de mayor gravedad, por el que se había, también, formulado acusación. En relación con ellas, trae a colación la doctrina contenida en la STC 69/2001, de 17 de marzo, para poner de manifiesto que, en su opinión, tales filtraciones provocaron un clamor popular a favor de la condena, lo que, a su juicio, debe conducir a la invalidez del fallo, sin que sea exigible al denunciante una cumplida demostración de que tal hecho hubiera condicionado el sentido de la decisión, lo que supondría una auténtica </w:t>
      </w:r>
      <w:r w:rsidRPr="005728DD">
        <w:rPr>
          <w:i/>
        </w:rPr>
        <w:t>probatio diabolica</w:t>
      </w:r>
      <w:r>
        <w:t>.</w:t>
      </w:r>
    </w:p>
    <w:p w:rsidR="005728DD" w:rsidRDefault="005728DD" w:rsidP="005728DD">
      <w:pPr>
        <w:pStyle w:val="TextoNormal"/>
      </w:pPr>
    </w:p>
    <w:p w:rsidR="005728DD" w:rsidRDefault="005728DD" w:rsidP="005728DD">
      <w:pPr>
        <w:pStyle w:val="TextoNormal"/>
      </w:pPr>
      <w:r>
        <w:t>El abogado del Estado entiende que procede desestimar el motivo de amparo. Considera que, ni la opinión de los miembros del tribunal pudo haberse visto condicionada por la filtración, ni esta iba encaminada a obtener una modificación interesada de lo ya decidido, pues cuando tal filtración se produjo ya había concluido el juicio oral, se había desarrollado la práctica de la prueba e, incluso, había finalizado la deliberación.</w:t>
      </w:r>
    </w:p>
    <w:p w:rsidR="005728DD" w:rsidRDefault="005728DD" w:rsidP="005728DD">
      <w:pPr>
        <w:pStyle w:val="TextoNormal"/>
      </w:pPr>
    </w:p>
    <w:p w:rsidR="005728DD" w:rsidRDefault="005728DD" w:rsidP="005728DD">
      <w:pPr>
        <w:pStyle w:val="TextoNormal"/>
      </w:pPr>
      <w:r>
        <w:t>A juicio del partido político Vox, las coincidencias entre lo publicado previamente y el sentido de la sentencia no evidencian que fueran consecuencia de filtraciones procedentes de miembros del Tribunal Supremo. Y en todo caso, de haberse producido la filtración, tampoco habría condicionado la deliberación que llevó a la sentencia, sin que elucubraciones o juicios de valor, sin base fáctica alguna, puedan desvirtuar estas conclusiones.</w:t>
      </w:r>
    </w:p>
    <w:p w:rsidR="005728DD" w:rsidRDefault="005728DD" w:rsidP="005728DD">
      <w:pPr>
        <w:pStyle w:val="TextoNormal"/>
      </w:pPr>
    </w:p>
    <w:p w:rsidR="005728DD" w:rsidRDefault="005728DD" w:rsidP="005728DD">
      <w:pPr>
        <w:pStyle w:val="TextoNormal"/>
      </w:pPr>
      <w:r>
        <w:t xml:space="preserve">El Ministerio Fiscal, siguiendo la doctrina de este tribunal, aduce que no cabe apreciar que se haya producido una acción capaz de menoscabar la imparcialidad o la apariencia de </w:t>
      </w:r>
      <w:r>
        <w:lastRenderedPageBreak/>
        <w:t>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5728DD" w:rsidRDefault="005728DD" w:rsidP="005728DD">
      <w:pPr>
        <w:pStyle w:val="TextoNormal"/>
      </w:pPr>
    </w:p>
    <w:p w:rsidR="005728DD" w:rsidRDefault="005728DD" w:rsidP="005728DD">
      <w:pPr>
        <w:pStyle w:val="TextoNormal"/>
      </w:pPr>
      <w:r>
        <w:t xml:space="preserve">9.2. </w:t>
      </w:r>
      <w:r w:rsidRPr="005728DD">
        <w:rPr>
          <w:i/>
        </w:rPr>
        <w:t>Respuesta del órgano judicial</w:t>
      </w:r>
      <w:r>
        <w:t>.</w:t>
      </w:r>
    </w:p>
    <w:p w:rsidR="005728DD" w:rsidRDefault="005728DD" w:rsidP="005728DD">
      <w:pPr>
        <w:pStyle w:val="TextoNormal"/>
      </w:pPr>
    </w:p>
    <w:p w:rsidR="005728DD" w:rsidRDefault="005728DD" w:rsidP="005728DD">
      <w:pPr>
        <w:pStyle w:val="TextoNormal"/>
      </w:pPr>
      <w:r>
        <w:t>El auto de 29 de enero de 2020, que resolvió el incidente de nulidad de actuaciones promovido contra la sentencia, contesta a esta queja en el apartado 4.2.1., al dar respuesta a lo alegado en dicho incidente por otro de los condenados, don Jordi Sànchez. Dice así:</w:t>
      </w:r>
    </w:p>
    <w:p w:rsidR="005728DD" w:rsidRDefault="005728DD" w:rsidP="005728DD">
      <w:pPr>
        <w:pStyle w:val="TextoNormal"/>
      </w:pPr>
    </w:p>
    <w:p w:rsidR="005728DD" w:rsidRDefault="005728DD" w:rsidP="005728DD">
      <w:pPr>
        <w:pStyle w:val="TextoNormal"/>
      </w:pPr>
      <w:r>
        <w:t>“En cuanto a la vulneración derivada de la filtración del contenido de parte de la sentencia, su estimación exigiría, según la doctrina del Tribunal Constitucional que el propio escrito cita (cfr. STC 69/2001, de 17 de marzo), que se acreditase que la opinión de alguno o de algunos de los integrantes de esta Sala ha podido verse condicionada por hechos o circunstancias externas a la propia deliberación, o que la citada ‘filtración’ fue encaminada a obtener una modificación interesada de lo previamente decidido; lo que no consta en modo alguno”.</w:t>
      </w:r>
    </w:p>
    <w:p w:rsidR="005728DD" w:rsidRDefault="005728DD" w:rsidP="005728DD">
      <w:pPr>
        <w:pStyle w:val="TextoNormal"/>
      </w:pPr>
    </w:p>
    <w:p w:rsidR="005728DD" w:rsidRDefault="005728DD" w:rsidP="005728DD">
      <w:pPr>
        <w:pStyle w:val="TextoNormal"/>
      </w:pPr>
      <w:r>
        <w:t>Al resolver los incidentes de nulidad promovidos por el recurrente y por don Jordi Turull, la sala sentenciadora se limita a remitirse a lo anterior en los apartados 6.2.1 y 7.2.1, respectivamente.</w:t>
      </w:r>
    </w:p>
    <w:p w:rsidR="005728DD" w:rsidRDefault="005728DD" w:rsidP="005728DD">
      <w:pPr>
        <w:pStyle w:val="TextoNormal"/>
      </w:pPr>
    </w:p>
    <w:p w:rsidR="005728DD" w:rsidRDefault="005728DD" w:rsidP="005728DD">
      <w:pPr>
        <w:pStyle w:val="TextoNormal"/>
      </w:pPr>
      <w:r>
        <w:t xml:space="preserve">9.3. </w:t>
      </w:r>
      <w:r w:rsidRPr="005728DD">
        <w:rPr>
          <w:i/>
        </w:rPr>
        <w:t>Doctrina constitucional</w:t>
      </w:r>
      <w:r>
        <w:t>.</w:t>
      </w:r>
    </w:p>
    <w:p w:rsidR="005728DD" w:rsidRDefault="005728DD" w:rsidP="005728DD">
      <w:pPr>
        <w:pStyle w:val="TextoNormal"/>
      </w:pPr>
    </w:p>
    <w:p w:rsidR="005728DD" w:rsidRDefault="005728DD" w:rsidP="005728DD">
      <w:pPr>
        <w:pStyle w:val="TextoNormal"/>
      </w:pPr>
      <w:r>
        <w:t>En las SSTC 64/2001, 65/2001 y 66/2001, todas de 17 de marzo, FFJJ 2, así como en la STC 69/2001, de la misma fecha, FJ 14, con remisión a lo expuesto en la STC 136/1999, de 20 de julio, FJ 8, el Pleno de este tribunal abordó específicamente la cuestión relativa a si el derecho a un proceso con todas las garantías, desde la vertiente de derecho a la imparcialidad judicial (art. 24.2 CE), podría verse menoscabado como consecuencia de la “filtración” y publicación en los medios de comunicación del contenido de la deliberación y del fallo de una sentencia antes de su notificación a las partes. Podemos sistematizar la doctrina sentada entonces del siguiente modo:</w:t>
      </w:r>
    </w:p>
    <w:p w:rsidR="005728DD" w:rsidRDefault="005728DD" w:rsidP="005728DD">
      <w:pPr>
        <w:pStyle w:val="TextoNormal"/>
      </w:pPr>
    </w:p>
    <w:p w:rsidR="005728DD" w:rsidRDefault="005728DD" w:rsidP="005728DD">
      <w:pPr>
        <w:pStyle w:val="TextoNormal"/>
      </w:pPr>
      <w:r>
        <w:t xml:space="preserve">a) La Constitución brinda un cierto grado de protección frente a los denominados “juicios paralelos” en los medios de comunicación, dado que tanto las declaraciones en los citados medios acerca de procesos en curso como las opiniones sobre el sentido que haya de tener la decisión que los resuelva pueden influir no solo en el prestigio de los tribunales, sino, muy especialmente, “según sea su tenor, finalidad y contexto”, “pueden llegar a menoscabar la imparcialidad o apariencia de imparcialidad de aquellos, ya que la publicación de supuestos o reales estados de opinión pública sobre el proceso y el fallo pueden influir en la decisión que deben adoptar los jueces”. “Es más, a nadie puede ocultársele que la capacidad de presión e influencia es mucho mayor cuando las declaraciones vertidas en los medios de comunicación sobre procesos en curso corresponden a miembros destacados de los otros poderes públicos del Estado. Por ello, cuando efectivamente se dan esas circunstancias, se conculca el derecho a un proceso con todas las garantías, incluso sin necesidad de probar que la influencia ejercida ha tenido un efecto concreto en la decisión de la causa, pues, por la naturaleza de los valores implicados, basta la probabilidad fundada de que tal influencia </w:t>
      </w:r>
      <w:r>
        <w:lastRenderedPageBreak/>
        <w:t xml:space="preserve">ha tenido lugar (STEDH, de 29 de agosto de 1997, caso </w:t>
      </w:r>
      <w:r w:rsidRPr="005728DD">
        <w:rPr>
          <w:i/>
        </w:rPr>
        <w:t>Worm</w:t>
      </w:r>
      <w:r>
        <w:t>, § 54)” (STC 136/1999, de 20 de julio, FJ 8).</w:t>
      </w:r>
    </w:p>
    <w:p w:rsidR="005728DD" w:rsidRDefault="005728DD" w:rsidP="005728DD">
      <w:pPr>
        <w:pStyle w:val="TextoNormal"/>
      </w:pPr>
    </w:p>
    <w:p w:rsidR="005728DD" w:rsidRDefault="005728DD" w:rsidP="005728DD">
      <w:pPr>
        <w:pStyle w:val="TextoNormal"/>
      </w:pPr>
      <w:r>
        <w:t xml:space="preserve">Paralelamente, hemos destacado también en numerosas sentencias que “el postulado que subraya la extraordinaria importancia de la opinión pública libre, dado el carácter esencial de la libertad de expresión en una sociedad democrática, se aplica también en el ámbito de la administración de justicia, que sirve a los intereses de toda la colectividad y exige la cooperación de un público instruido”. Dado que los tribunales no actúan en el vacío, su competencia para pronunciarse sobre las causas penales que deban enjuiciar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(arts. 24.2 CE y art. 6.1 CEDH). A esta función de los medios se añade el derecho, para el público, de recibirlas, y muy especialmente cuando el proceso concierne a personas públicas [por todas, STC 46/1998 y sentencias del Tribunal Europeo de Derechos Humanos de 26 de abril de 1979 (caso </w:t>
      </w:r>
      <w:r w:rsidRPr="005728DD">
        <w:rPr>
          <w:i/>
        </w:rPr>
        <w:t>Sunday Times</w:t>
      </w:r>
      <w:r>
        <w:t xml:space="preserve">, § 65), de 24 de febrero de 1997 (caso </w:t>
      </w:r>
      <w:r w:rsidRPr="005728DD">
        <w:rPr>
          <w:i/>
        </w:rPr>
        <w:t>De Haes y Gijsels</w:t>
      </w:r>
      <w:r>
        <w:t>, § 37) y de 29 de agosto de 1997 (cas</w:t>
      </w:r>
      <w:r w:rsidRPr="005728DD">
        <w:rPr>
          <w:i/>
        </w:rPr>
        <w:t>o Wo</w:t>
      </w:r>
      <w:r>
        <w:t>rm, § 50)]”.</w:t>
      </w:r>
    </w:p>
    <w:p w:rsidR="005728DD" w:rsidRDefault="005728DD" w:rsidP="005728DD">
      <w:pPr>
        <w:pStyle w:val="TextoNormal"/>
      </w:pPr>
    </w:p>
    <w:p w:rsidR="005728DD" w:rsidRDefault="005728DD" w:rsidP="005728DD">
      <w:pPr>
        <w:pStyle w:val="TextoNormal"/>
      </w:pPr>
      <w:r>
        <w:t>b) Hemos señalado también que, desde la expresada garantía de imparcialidad judicial, el solo dato de que desde el entorno de la sala sentenciadora se hubiera filtrado hipotéticamente a los medios de comunicación el sentido general del fallo de la sentencia antes de que la resolución fuese notificada a las partes, no repercute negativamente por sí sola, menoscabándola, en la imparcialidad del tribunal.</w:t>
      </w:r>
    </w:p>
    <w:p w:rsidR="005728DD" w:rsidRDefault="005728DD" w:rsidP="005728DD">
      <w:pPr>
        <w:pStyle w:val="TextoNormal"/>
      </w:pPr>
    </w:p>
    <w:p w:rsidR="005728DD" w:rsidRDefault="005728DD" w:rsidP="005728DD">
      <w:pPr>
        <w:pStyle w:val="TextoNormal"/>
      </w:pPr>
      <w:r>
        <w:t xml:space="preserve">Como venimos reiterando,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w:t>
      </w:r>
      <w:r w:rsidRPr="005728DD">
        <w:rPr>
          <w:i/>
        </w:rPr>
        <w:t>Piersack</w:t>
      </w:r>
      <w:r>
        <w:t xml:space="preserve">, de 26 de octubre de 1984, caso </w:t>
      </w:r>
      <w:r w:rsidRPr="005728DD">
        <w:rPr>
          <w:i/>
        </w:rPr>
        <w:t>De Cubber</w:t>
      </w:r>
      <w:r>
        <w:t xml:space="preserve">; de 24 de mayo de 1989, caso </w:t>
      </w:r>
      <w:r w:rsidRPr="005728DD">
        <w:rPr>
          <w:i/>
        </w:rPr>
        <w:t>Hauschildt</w:t>
      </w:r>
      <w:r>
        <w:t xml:space="preserve">; 16 de diciembre de 1992, caso </w:t>
      </w:r>
      <w:r w:rsidRPr="005728DD">
        <w:rPr>
          <w:i/>
        </w:rPr>
        <w:t>Sainte-Marie</w:t>
      </w:r>
      <w:r>
        <w:t xml:space="preserve">; de 24 de febrero de 1993, caso </w:t>
      </w:r>
      <w:r w:rsidRPr="005728DD">
        <w:rPr>
          <w:i/>
        </w:rPr>
        <w:t>Fey</w:t>
      </w:r>
      <w:r>
        <w:t xml:space="preserve">; de 26 de febrero de 1993, caso </w:t>
      </w:r>
      <w:r w:rsidRPr="005728DD">
        <w:rPr>
          <w:i/>
        </w:rPr>
        <w:t>Padovani</w:t>
      </w:r>
      <w:r>
        <w:t xml:space="preserve">; de 22 de abril de 1994, caso </w:t>
      </w:r>
      <w:r w:rsidRPr="005728DD">
        <w:rPr>
          <w:i/>
        </w:rPr>
        <w:t>Saraiva de Carvalho</w:t>
      </w:r>
      <w:r>
        <w:t xml:space="preserve">; de 22 de febrero de 1996, caso </w:t>
      </w:r>
      <w:r w:rsidRPr="005728DD">
        <w:rPr>
          <w:i/>
        </w:rPr>
        <w:t>Bulut</w:t>
      </w:r>
      <w:r>
        <w:t xml:space="preserve">; de 20 de mayo de 1998, caso </w:t>
      </w:r>
      <w:r w:rsidRPr="005728DD">
        <w:rPr>
          <w:i/>
        </w:rPr>
        <w:t>Gautrin</w:t>
      </w:r>
      <w:r>
        <w:t xml:space="preserve"> y otros, y de 28 de octubre de 1998, caso </w:t>
      </w:r>
      <w:r w:rsidRPr="005728DD">
        <w:rPr>
          <w:i/>
        </w:rPr>
        <w:t>Castillo Algar</w:t>
      </w:r>
      <w:r>
        <w:t>)” [SSTC 64/2001, 65/2001, 66/2001, FFJJ 2 a), y STC 69/2001, FJ 14 a)].</w:t>
      </w:r>
    </w:p>
    <w:p w:rsidR="005728DD" w:rsidRDefault="005728DD" w:rsidP="005728DD">
      <w:pPr>
        <w:pStyle w:val="TextoNormal"/>
      </w:pPr>
    </w:p>
    <w:p w:rsidR="005728DD" w:rsidRDefault="005728DD" w:rsidP="005728DD">
      <w:pPr>
        <w:pStyle w:val="TextoNormal"/>
      </w:pPr>
      <w:r>
        <w:t xml:space="preserve">c) La imparcialidad subjetiva y objetiva del tribunal deben ser presumidas mientras no medie prueba en contrario. La dificultad que pueda comportar esta demostración no hace quebrar tal regla. “En palabras muy ilustrativas de la sentencia del TEDH de 10 de junio de 1996, dictada en el caso </w:t>
      </w:r>
      <w:r w:rsidRPr="005728DD">
        <w:rPr>
          <w:i/>
        </w:rPr>
        <w:t>Pullar</w:t>
      </w:r>
      <w:r>
        <w:t xml:space="preserve">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 citada en SSTC 64/2001, 65/2001 y 66/2001, FFJJ 2 c), y 69/2001, FJ 14 c)].</w:t>
      </w:r>
    </w:p>
    <w:p w:rsidR="005728DD" w:rsidRDefault="005728DD" w:rsidP="005728DD">
      <w:pPr>
        <w:pStyle w:val="TextoNormal"/>
      </w:pPr>
    </w:p>
    <w:p w:rsidR="005728DD" w:rsidRDefault="005728DD" w:rsidP="005728DD">
      <w:pPr>
        <w:pStyle w:val="TextoNormal"/>
      </w:pPr>
      <w:r>
        <w:t>Por tanto, “[s]olo en la medida en que se acreditase que la opinión de alguno o de algunos de los integrantes del tribunal haya podido verse condicionada por hechos o circunstancias externas a la propia deliberación, o que la citada ‘filtración’ iba encaminada a obtener una modificación interesada de lo previamente decidido, la garantía de imparcialidad, reconocida por el art. 24.2 CE, podría haberse visto afectada en su vertiente subjetiva”.</w:t>
      </w:r>
    </w:p>
    <w:p w:rsidR="005728DD" w:rsidRDefault="005728DD" w:rsidP="005728DD">
      <w:pPr>
        <w:pStyle w:val="TextoNormal"/>
      </w:pPr>
    </w:p>
    <w:p w:rsidR="005728DD" w:rsidRDefault="005728DD" w:rsidP="005728DD">
      <w:pPr>
        <w:pStyle w:val="TextoNormal"/>
      </w:pPr>
      <w:r>
        <w:t>A fin de efectuar esta valoración han de tenerse en cuenta, entre otros, los siguientes factores: (i) que no puede cuestionarse el desinterés objetivo en el asunto de los miembros del tribunal sentenciador cuando “nada avala una relación previa de estos con las partes del proceso o con sus intereses”; (ii)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(iii) el contenido de la información y el tiempo en que se produjo su aparición en los medios de comunicación; y, en concreto, si “ya había concluido el juicio oral, se había desarrollado toda la prueba e, incluso, había finalizado la deliberación” [SSTC 64/2001, 65/2001, 66/2001, FFJJ 2 b), y STC 69/2001, FJ 14 b)].</w:t>
      </w:r>
    </w:p>
    <w:p w:rsidR="005728DD" w:rsidRDefault="005728DD" w:rsidP="005728DD">
      <w:pPr>
        <w:pStyle w:val="TextoNormal"/>
      </w:pPr>
    </w:p>
    <w:p w:rsidR="005728DD" w:rsidRDefault="005728DD" w:rsidP="005728DD">
      <w:pPr>
        <w:pStyle w:val="TextoNormal"/>
      </w:pPr>
      <w:r>
        <w:t>9.4</w:t>
      </w:r>
      <w:r w:rsidRPr="005728DD">
        <w:rPr>
          <w:i/>
        </w:rPr>
        <w:t>. Resolución de la que</w:t>
      </w:r>
      <w:r>
        <w:t>ja.</w:t>
      </w:r>
    </w:p>
    <w:p w:rsidR="005728DD" w:rsidRDefault="005728DD" w:rsidP="005728DD">
      <w:pPr>
        <w:pStyle w:val="TextoNormal"/>
      </w:pPr>
    </w:p>
    <w:p w:rsidR="005728DD" w:rsidRDefault="005728DD" w:rsidP="005728DD">
      <w:pPr>
        <w:pStyle w:val="TextoNormal"/>
      </w:pPr>
      <w:r>
        <w:t>No podemos tener por justificada la premisa de la que parte el motivo del recurso de amparo. Si por “filtración” entendemos, conforme a nuestra doctrina antes reseñada, la transmisión de información a terceros acerca del contenido o sentido de la deliberación y resolución de un caso, procedente de alguno de los magistrados integrantes del tribunal, seguida de la publicación en los medios de comunicación, con anterioridad a la definitiva conformación del fallo y de su notificación a las partes, no consta acreditado en las actuaciones que tales circunstancias hubieran tenido lugar.</w:t>
      </w:r>
    </w:p>
    <w:p w:rsidR="005728DD" w:rsidRDefault="005728DD" w:rsidP="005728DD">
      <w:pPr>
        <w:pStyle w:val="TextoNormal"/>
      </w:pPr>
    </w:p>
    <w:p w:rsidR="005728DD" w:rsidRDefault="005728DD" w:rsidP="005728DD">
      <w:pPr>
        <w:pStyle w:val="TextoNormal"/>
      </w:pPr>
      <w:r>
        <w:t>Atendida la relevancia pública de la causa penal que había sido enjuiciada, afirmar en el presente caso la existencia de una “filtración”, en el sentido jurídicamente relevante antes definido, es una inferencia no debidamente justificada, pues es notorio que en semanas an</w:t>
      </w:r>
      <w:r>
        <w:lastRenderedPageBreak/>
        <w:t>teriores a la publicación del fallo de la sentencia, el debate social y mediático giraba alrededor de una alternativa muy sencilla: si, en caso de producirse, la condena acogería la calificación del Ministerio Fiscal y la acusación popular (delito de rebelión) o la de la abogacía del Estado (delito de sedición). En tales circunstancias, resulta lógicamente presumible que una parte de quienes hubiesen seguido atentamente el juicio oral, fuesen juristas, periodistas o simples observadores, anticipasen su criterio de que la sentencia asumiría finalmente la acusación por sedición, llegando así a la misma conclusión que unánimemente alcanzaron los magistrados miembros del tribunal sentenciador. Este contexto permite explicar, como alternativa probable, que en los medios de comunicación se publicasen opiniones, previsiones o simples pronósticos inevitables, acertados o no, que no tenían en absoluto su origen en filtración alguna.</w:t>
      </w:r>
    </w:p>
    <w:p w:rsidR="005728DD" w:rsidRDefault="005728DD" w:rsidP="005728DD">
      <w:pPr>
        <w:pStyle w:val="TextoNormal"/>
      </w:pPr>
    </w:p>
    <w:p w:rsidR="005728DD" w:rsidRDefault="005728DD" w:rsidP="005728DD">
      <w:pPr>
        <w:pStyle w:val="TextoNormal"/>
      </w:pPr>
      <w:r>
        <w:t>A lo expuesto ha de añadirse, a fin de descartar cualquiera afectación de la imparcialidad judicial, la constatación de los siguientes elementos de juicio: (i) según hemos visto, el contenido de las noticias reseñadas en la demanda de amparo, datadas escasos días antes de la publicación de la sentencia, se ciñe a que previsiblemente se produciría la condena por un delito de sedición y a referir ciertos rasgos típicos de esta figura delictiva y del delito de rebelión, de mayor gravedad, por el que se había, también, formulado acusación; (ii) las deliberaciones se iniciaron al término del juicio oral, el 12 de junio de 2019, y se prolongaron hasta el 11 de octubre de ese mismo año, según dice la sentencia recurrida, siendo firmada la misma en fecha 14 de octubre de 2019, momento a partir del cual se llevó a cabo su notificación a las partes; (iii) el contenido de la sentencia, que cuenta con 493 folios, ha quedado reseñado en el apartado de antecedentes de esta resolución. A él nos remitimos para destacar aquí su complejidad, con una pluralidad de sujetos condenados por diversos delitos, de hechos y de cuestiones jurídicas; (iv) las incontables noticias y artículos de opinión (jurídica o no) aparecidas en los medios de comunicación, en foros y en revistas especializadas, antes, durante y después del juicio, retrasmitido en directo, y de la publicación de la sentencia, dan cuenta del contexto social y jurídico en que se enmarca este proceso.</w:t>
      </w:r>
    </w:p>
    <w:p w:rsidR="005728DD" w:rsidRDefault="005728DD" w:rsidP="005728DD">
      <w:pPr>
        <w:pStyle w:val="TextoNormal"/>
      </w:pPr>
    </w:p>
    <w:p w:rsidR="005728DD" w:rsidRDefault="005728DD" w:rsidP="005728DD">
      <w:pPr>
        <w:pStyle w:val="TextoNormal"/>
      </w:pPr>
      <w:r>
        <w:t>En tales circunstancias, no podemos tener por probado que las noticias aparecidas en los medios de comunicación procedieran de miembros de la sala enjuiciadora, ni mucho menos consideramos justificado que, atendiendo al contenido de tales informaciones, al contexto y al tiempo en que se produjeron (terminado el juicio oral y a escasos días de la finalización de una deliberación que se había prolongado durante meses), hayan menoscabado la imparcialidad o apariencia de imparcialidad del tribunal sentenciador. Tampoco deducimos que dichas noticias, en el escenario en que irrumpieron, fueran detonante de un clamor popular a favor de un determinado contenido del fallo, “poniendo en entredicho la necesaria serenidad del tribunal o la confianza de la ciudadanía en el comportamiento neutral de los juzgadores” (STC 136/1999, FJ 9), cuya experiencia y profesionalidad, en cuanto miembros del órgano jurisdiccional superior en todos los órdenes, salvo lo dispuesto en materia de garantías constitucionales (art. 123.1 CE), ha sido ya subrayada.</w:t>
      </w:r>
    </w:p>
    <w:p w:rsidR="005728DD" w:rsidRDefault="005728DD" w:rsidP="005728DD">
      <w:pPr>
        <w:pStyle w:val="TextoNormal"/>
      </w:pPr>
    </w:p>
    <w:p w:rsidR="005728DD" w:rsidRDefault="005728DD" w:rsidP="005728DD">
      <w:pPr>
        <w:pStyle w:val="TextoNormal"/>
      </w:pPr>
      <w:r>
        <w:t>En conclusión, los argumentos empleados por la parte demandante resultan insuficientes para cuestionar eficazmente la imparcialidad de la Sala de lo Penal del Tribunal Supremo que tuvo encomendado el enjuiciamiento del caso, manteniéndose incólume la presunción que rige en esta materia en la medida en que no existe prueba alguna que permita ponerla en duda.</w:t>
      </w:r>
    </w:p>
    <w:p w:rsidR="005728DD" w:rsidRDefault="005728DD" w:rsidP="005728DD">
      <w:pPr>
        <w:pStyle w:val="TextoNormal"/>
      </w:pPr>
    </w:p>
    <w:p w:rsidR="005728DD" w:rsidRDefault="005728DD" w:rsidP="005728DD">
      <w:pPr>
        <w:pStyle w:val="TextoNormal"/>
      </w:pPr>
      <w:r>
        <w:lastRenderedPageBreak/>
        <w:t>Por lo que procede, en consecuencia, la desestimación de este motivo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w:t>
      </w:r>
      <w:r w:rsidRPr="005728DD">
        <w:rPr>
          <w:i/>
        </w:rPr>
        <w:t>El derecho a la tutela judicial efectiva en relación con el principio de legalidad: individualización de la pena impuesta</w:t>
      </w:r>
      <w:r>
        <w:t>.</w:t>
      </w:r>
    </w:p>
    <w:p w:rsidR="005728DD" w:rsidRDefault="005728DD" w:rsidP="005728DD">
      <w:pPr>
        <w:pStyle w:val="TextoNormal"/>
      </w:pPr>
    </w:p>
    <w:p w:rsidR="005728DD" w:rsidRDefault="005728DD" w:rsidP="005728DD">
      <w:pPr>
        <w:pStyle w:val="TextoNormal"/>
      </w:pPr>
      <w:r>
        <w:t xml:space="preserve">10.1. </w:t>
      </w:r>
      <w:r w:rsidRPr="005728DD">
        <w:rPr>
          <w:i/>
        </w:rPr>
        <w:t>Posiciones de las partes</w:t>
      </w:r>
      <w:r>
        <w:t>.</w:t>
      </w:r>
    </w:p>
    <w:p w:rsidR="005728DD" w:rsidRDefault="005728DD" w:rsidP="005728DD">
      <w:pPr>
        <w:pStyle w:val="TextoNormal"/>
      </w:pPr>
    </w:p>
    <w:p w:rsidR="005728DD" w:rsidRDefault="005728DD" w:rsidP="005728DD">
      <w:pPr>
        <w:pStyle w:val="TextoNormal"/>
      </w:pPr>
      <w:r>
        <w:t xml:space="preserve">Aduce el recurrente que la sentencia condenatoria impugnada ha vulnerado su derecho a la tutela judicial efectiva (art. 24.1 CE, en cuanto garantiza una respuesta fundada en Derecho a la pretensión ejercitada); lesión que el demandante pone en relación con el principio de legalidad de las infracciones y sanciones (art. 25.1 CE, en cuanto establece la prohibición constitucional de incurrir en </w:t>
      </w:r>
      <w:r w:rsidRPr="005728DD">
        <w:rPr>
          <w:i/>
        </w:rPr>
        <w:t>bis in idem</w:t>
      </w:r>
      <w:r>
        <w:t xml:space="preserve">). Afirma que la determinación de la duración de las concretas penas que le han sido impuestas carece de toda motivación. Sostiene que la Sala de lo Penal del Tribunal Supremo ha desatendido su propia jurisprudencia, que exige un deber reforzado de motivación del concreto </w:t>
      </w:r>
      <w:r w:rsidRPr="005728DD">
        <w:rPr>
          <w:i/>
        </w:rPr>
        <w:t>quantum</w:t>
      </w:r>
      <w:r>
        <w:t xml:space="preserve"> de la pena, puesto que, al justificar su condena, no se ha dedicado una sola línea a explicar las concretas razones por las que, pudiéndose imponer una pena de diez años de duración (la mínima del marco legal abstracto previsto para la conducta por la que ha sido condenado, que se extiende de diez a quince años), el tribunal se ha decantado por imponerle una pena de diez años y seis meses de duración.</w:t>
      </w:r>
    </w:p>
    <w:p w:rsidR="005728DD" w:rsidRDefault="005728DD" w:rsidP="005728DD">
      <w:pPr>
        <w:pStyle w:val="TextoNormal"/>
      </w:pPr>
    </w:p>
    <w:p w:rsidR="005728DD" w:rsidRDefault="005728DD" w:rsidP="005728DD">
      <w:pPr>
        <w:pStyle w:val="TextoNormal"/>
      </w:pPr>
      <w:r>
        <w:t xml:space="preserve">Añade que la decisión de condena no respeta la previsión legal establecida en el art. 66.6 CP, conforme a la cual, cuando no concurran circunstancias atenuantes ni agravantes, la pena impuesta solo ha de atender “a las circunstancias personales del delincuente y a la mayor o menor gravedad del hecho” y, en segundo término, considera que los únicos factores personales a los que se alude en la motivación de la individualización de la pena son su condición de miembro del Gobierno de la Generalitat y la circunstancia de que dicho cargo le facilitó la conducta que ha motivado su condena. Por tanto, dado que su condición de autoridad como miembro del Gobierno “ya justifica el salto penológico al subtipo agravado aplicable a las autoridades […] tal factor no debió volver a tenerse en cuenta en sentido agravatorio en la individualización final de la pena”, lo que considera incompatible con el principio </w:t>
      </w:r>
      <w:r w:rsidRPr="005728DD">
        <w:rPr>
          <w:i/>
        </w:rPr>
        <w:t>non bis in idem</w:t>
      </w:r>
      <w:r>
        <w:t>. En tal sentido solicita que se declare nulo el fallo condenatorio en lo que respecta a la pena impuesta.</w:t>
      </w:r>
    </w:p>
    <w:p w:rsidR="005728DD" w:rsidRDefault="005728DD" w:rsidP="005728DD">
      <w:pPr>
        <w:pStyle w:val="TextoNormal"/>
      </w:pPr>
    </w:p>
    <w:p w:rsidR="005728DD" w:rsidRDefault="005728DD" w:rsidP="005728DD">
      <w:pPr>
        <w:pStyle w:val="TextoNormal"/>
      </w:pPr>
      <w:r>
        <w:t xml:space="preserve">Por su parte, el abogado del Estado solicita la desestimación de la queja al entender que la pena impuesta ha sido suficientemente motivada. Señala que, a partir del marco penal abstracto establecido por el legislador para la conducta imputada (de diez a quince años), el criterio de graduación relativo a “la mayor o menor gravedad del hecho”, recogido en el art. 66.6 CP para individualizar la pena en cada caso, depende de la intensidad del dolo, de las circunstancias concurrentes, de la mayor o menor culpabilidad del sujeto, del mal efectivamente causado y de la conducta del reo posterior a la realización del delito. Tras reproducir la fundamentación de la sentencia expuesta en el ámbito al que se refiere la queja, concluye señalando que no se ha vulnerado la prohibición de </w:t>
      </w:r>
      <w:r w:rsidRPr="005728DD">
        <w:rPr>
          <w:i/>
        </w:rPr>
        <w:t>bis in idem</w:t>
      </w:r>
      <w:r>
        <w:t xml:space="preserve"> dado que la pena aplicable ha sido determinada atendiendo a la condición de autoridad del señor Rull, sin desbordar la horquilla penológica legalmente prevista.</w:t>
      </w:r>
    </w:p>
    <w:p w:rsidR="005728DD" w:rsidRDefault="005728DD" w:rsidP="005728DD">
      <w:pPr>
        <w:pStyle w:val="TextoNormal"/>
      </w:pPr>
    </w:p>
    <w:p w:rsidR="005728DD" w:rsidRDefault="005728DD" w:rsidP="005728DD">
      <w:pPr>
        <w:pStyle w:val="TextoNormal"/>
      </w:pPr>
      <w:r>
        <w:t xml:space="preserve">La representación procesal del partido político Vox se opone a la estimación de la queja. Destaca la jurisprudencia del Tribunal Supremo que admite que la motivación exigida es </w:t>
      </w:r>
      <w:r>
        <w:lastRenderedPageBreak/>
        <w:t>suficiente “si dentro del marco de la fundamentación jurídica o concordancia fáctica de la sentencia existen elementos de donde se pueda deducir tal individualización, siquiera sea implícitamente”. Concluye señalando que la decisión cuestionada es simple ejercicio del poder discrecional que ostentan los tribunales para la individualización de la pena, por lo que rechaza la alegada vulneración del principio de legalidad por falta de individualización de la pena impuesta.</w:t>
      </w:r>
    </w:p>
    <w:p w:rsidR="005728DD" w:rsidRDefault="005728DD" w:rsidP="005728DD">
      <w:pPr>
        <w:pStyle w:val="TextoNormal"/>
      </w:pPr>
    </w:p>
    <w:p w:rsidR="005728DD" w:rsidRDefault="005728DD" w:rsidP="005728DD">
      <w:pPr>
        <w:pStyle w:val="TextoNormal"/>
      </w:pPr>
      <w:r>
        <w:t xml:space="preserve">También el Ministerio Fiscal apoya la desestimación de la queja. Comienza sus alegaciones haciendo una reseña de la respuesta contenida en las resoluciones impugnadas, para luego exponer la doctrina de este tribunal. Así, respecto del principio </w:t>
      </w:r>
      <w:r w:rsidRPr="005728DD">
        <w:rPr>
          <w:i/>
        </w:rPr>
        <w:t>non bis in idem</w:t>
      </w:r>
      <w:r>
        <w:t>, cita y extracta parcialmente las SSTC 126/2011, de 18 de julio, FJ 16, y 189/2013, de 7 de noviembre, FJ 2; mientras que, sobre el alcance del control de constitucionalidad sobre la individualización y motivación de las penas, hace una remisión a la doctrina expuesta en las SSTC 28/2007, de 12 de febrero, y 196/2007, de 11 de septiembre, FJ 7.</w:t>
      </w:r>
    </w:p>
    <w:p w:rsidR="005728DD" w:rsidRDefault="005728DD" w:rsidP="005728DD">
      <w:pPr>
        <w:pStyle w:val="TextoNormal"/>
      </w:pPr>
    </w:p>
    <w:p w:rsidR="005728DD" w:rsidRDefault="005728DD" w:rsidP="005728DD">
      <w:pPr>
        <w:pStyle w:val="TextoNormal"/>
      </w:pPr>
      <w:r>
        <w:t>Para el fiscal, no ha existido “una doble punición por ser miembro del Gobierno de Cataluña a la que va aparejada la condición de autoridad”. Lo que señala la sentencia es que “esta condición de miembro de un gobierno fue usada por el recurrente para facilitar los actos que se le imputan y convertirse así en promotor de la sedición con vulneración del orden público, mientras que la punición impuesta por su condición de autoridad responde a un reproche penal diferente a la lesión del bien jurídico que se protege con el delito de sedición, y que […] responde a un reproche por el incumplimiento de especiales deberes de lealtad constitucional y de cumplir y hacer cumplir la legalidad”.</w:t>
      </w:r>
    </w:p>
    <w:p w:rsidR="005728DD" w:rsidRDefault="005728DD" w:rsidP="005728DD">
      <w:pPr>
        <w:pStyle w:val="TextoNormal"/>
      </w:pPr>
    </w:p>
    <w:p w:rsidR="005728DD" w:rsidRDefault="005728DD" w:rsidP="005728DD">
      <w:pPr>
        <w:pStyle w:val="TextoNormal"/>
      </w:pPr>
      <w:r>
        <w:t xml:space="preserve">Finalmente, en cuanto al reproche de falta de motivación de la individualización de la pena impuesta, el fiscal considera, en primer lugar, que “siendo el presente procedimiento un recurso de amparo no cabe hacer un juicio de constitucionalidad de la norma penal, sino confrontar la sentencia con el principio de legalidad con el que ha sido respetuosa al tipificar la conducta del recurrente e imponer la pena que asigna el precepto penal del delito de sedición y dentro de los límites legales y de conformidad con el principio acusatorio”. A tal efecto, el fiscal analiza los criterios tenidos en cuenta en la sentencia, y concluye que no cabe apreciar una “falta de motivación a la hora de fijar el </w:t>
      </w:r>
      <w:r w:rsidRPr="005728DD">
        <w:rPr>
          <w:i/>
        </w:rPr>
        <w:t>quantum</w:t>
      </w:r>
      <w:r>
        <w:t xml:space="preserve"> penológico, dada la condición personal que concurría en el recurrente, ser miembro del Govern de la Generalitat y su condición de autoridad y atendiendo a la gravedad del ataque al bien jurídico del orden público que supone la sedición, que en el caso supuso un cuestionamiento, cuando no una interrupción del normal funcionamiento del Estado democrático de Derecho, al crear una legalidad paralela a la constitucional mediante las denominadas leyes de desconexión y su desarrollo reglamentario e impedir el ejercicio y efectividad de la función jurisdiccional del Estado al obstaculizar y hacer inefectivos los mandatos del Tribunal Constitucional y de los órganos judiciales y celebrar un referéndum de autodeterminación suspendido por el Tribunal Constitucional”.</w:t>
      </w:r>
    </w:p>
    <w:p w:rsidR="005728DD" w:rsidRDefault="005728DD" w:rsidP="005728DD">
      <w:pPr>
        <w:pStyle w:val="TextoNormal"/>
      </w:pPr>
    </w:p>
    <w:p w:rsidR="005728DD" w:rsidRDefault="005728DD" w:rsidP="005728DD">
      <w:pPr>
        <w:pStyle w:val="TextoNormal"/>
      </w:pPr>
      <w:r>
        <w:t>Conforme a estos parámetros, concluye señalando que el “desvalor de la conducta que describe el juzgador avala la entidad de las penas impuestas al recurrente”. A juicio del fiscal, la motivación “no resulta manifiestamente irrazonable o arbitraria”, siendo “respetuosa con las acusaciones formuladas contra el mismo”, sin que se imponga una pena superior a la “más grave de las pedidas en concreto” por las partes acusadoras.</w:t>
      </w:r>
    </w:p>
    <w:p w:rsidR="005728DD" w:rsidRDefault="005728DD" w:rsidP="005728DD">
      <w:pPr>
        <w:pStyle w:val="TextoNormal"/>
      </w:pPr>
    </w:p>
    <w:p w:rsidR="005728DD" w:rsidRDefault="005728DD" w:rsidP="005728DD">
      <w:pPr>
        <w:pStyle w:val="TextoNormal"/>
      </w:pPr>
      <w:r>
        <w:lastRenderedPageBreak/>
        <w:t xml:space="preserve">10.2. </w:t>
      </w:r>
      <w:r w:rsidRPr="005728DD">
        <w:rPr>
          <w:i/>
        </w:rPr>
        <w:t>Respuesta del órgano judicial</w:t>
      </w:r>
      <w:r>
        <w:t>.</w:t>
      </w:r>
    </w:p>
    <w:p w:rsidR="005728DD" w:rsidRDefault="005728DD" w:rsidP="005728DD">
      <w:pPr>
        <w:pStyle w:val="TextoNormal"/>
      </w:pPr>
    </w:p>
    <w:p w:rsidR="005728DD" w:rsidRDefault="005728DD" w:rsidP="005728DD">
      <w:pPr>
        <w:pStyle w:val="TextoNormal"/>
      </w:pPr>
      <w:r>
        <w:t>El recurrente ha sido condenado exclusivamente conforme a lo establecido en los arts. 544 y 545.1 CP. Se le imputa, como autor principal constituido en autoridad, haber inducido, sostenido o dirigido la sedición a que se refiere el relato fáctico de la sentencia impugnada. 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Su previsión punitiva abstracta establece un trato diferenciado en función de que sus protagonistas fueren, o no, personas constituidas en autoridad.</w:t>
      </w:r>
    </w:p>
    <w:p w:rsidR="005728DD" w:rsidRDefault="005728DD" w:rsidP="005728DD">
      <w:pPr>
        <w:pStyle w:val="TextoNormal"/>
      </w:pPr>
    </w:p>
    <w:p w:rsidR="005728DD" w:rsidRDefault="005728DD" w:rsidP="005728DD">
      <w:pPr>
        <w:pStyle w:val="TextoNormal"/>
      </w:pPr>
      <w:r>
        <w:t>Las penas imponibles a sus autores principales aparecen establecidas en el art. 545 CP, a cuyo tenor: “1. Los que hubieren inducido, sostenido o dirigido la sedición o aparecieren en ella como sus principales autores, serán castigados con la pena de prisión de ocho a diez años, y con la de diez a quince años, si fueran personas constituidas en autoridad. En ambos casos se impondrá, además, la inhabilitación absoluta por el mismo tiempo”.</w:t>
      </w:r>
    </w:p>
    <w:p w:rsidR="005728DD" w:rsidRDefault="005728DD" w:rsidP="005728DD">
      <w:pPr>
        <w:pStyle w:val="TextoNormal"/>
      </w:pPr>
    </w:p>
    <w:p w:rsidR="005728DD" w:rsidRDefault="005728DD" w:rsidP="005728DD">
      <w:pPr>
        <w:pStyle w:val="TextoNormal"/>
      </w:pPr>
      <w:r>
        <w:t>Al justificar la concreta condena del señor Rull i Andreu, tras diferenciarle de aquellos otros acusados que no ostentaban la condición de autoridad, señala: “[…]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 [fundamento de Derecho D) 2].</w:t>
      </w:r>
    </w:p>
    <w:p w:rsidR="005728DD" w:rsidRDefault="005728DD" w:rsidP="005728DD">
      <w:pPr>
        <w:pStyle w:val="TextoNormal"/>
      </w:pPr>
    </w:p>
    <w:p w:rsidR="005728DD" w:rsidRDefault="005728DD" w:rsidP="005728DD">
      <w:pPr>
        <w:pStyle w:val="TextoNormal"/>
      </w:pPr>
      <w:r>
        <w:t xml:space="preserve">Al rechazar la solicitud de nulidad, instada por el demandante con el mismo motivo que ahora se analiza, la sala de enjuiciamiento reiteró la fundamentación expuesta señalando: “La pena impuesta al señor Rull está suficientemente motivada y no vulnera el principio </w:t>
      </w:r>
      <w:r w:rsidRPr="005728DD">
        <w:rPr>
          <w:i/>
        </w:rPr>
        <w:t>non bis in idem</w:t>
      </w:r>
      <w:r>
        <w:t xml:space="preserve">. La sentencia expone las razones que conducen a la individualización de la pena impuesta […], que se mantiene dentro de su mitad inferior, muy próxima al mínimo legal: su protagonismo en las decisiones reglamentarias que determinaron la creación de una legalidad paralela y su responsabilidad en la movilización tumultuaria, dirigida a demostrar la pérdida de potestad jurisdiccional de los jueces de Cataluña, se vio facilitada por el cargo que desempeñaba. No se advierte en qué medida la valoración de estas circunstancias concurrentes en el condenado ha podido vulnerar el principio </w:t>
      </w:r>
      <w:r w:rsidRPr="005728DD">
        <w:rPr>
          <w:i/>
        </w:rPr>
        <w:t>non bis in idem</w:t>
      </w:r>
      <w:r>
        <w:t xml:space="preserve"> al que se alude en el escrito” (auto de 29 de enero de 2020).</w:t>
      </w:r>
    </w:p>
    <w:p w:rsidR="005728DD" w:rsidRDefault="005728DD" w:rsidP="005728DD">
      <w:pPr>
        <w:pStyle w:val="TextoNormal"/>
      </w:pPr>
    </w:p>
    <w:p w:rsidR="005728DD" w:rsidRDefault="005728DD" w:rsidP="005728DD">
      <w:pPr>
        <w:pStyle w:val="TextoNormal"/>
      </w:pPr>
      <w:r>
        <w:t>10.3</w:t>
      </w:r>
      <w:r w:rsidRPr="005728DD">
        <w:rPr>
          <w:i/>
        </w:rPr>
        <w:t>. Doctrina constitucion</w:t>
      </w:r>
      <w:r>
        <w:t>al.</w:t>
      </w:r>
    </w:p>
    <w:p w:rsidR="005728DD" w:rsidRDefault="005728DD" w:rsidP="005728DD">
      <w:pPr>
        <w:pStyle w:val="TextoNormal"/>
      </w:pPr>
    </w:p>
    <w:p w:rsidR="005728DD" w:rsidRDefault="005728DD" w:rsidP="005728DD">
      <w:pPr>
        <w:pStyle w:val="TextoNormal"/>
      </w:pPr>
      <w:r>
        <w:t xml:space="preserve">En una doctrina muy consolidada, a la que se refiere la STC 108/2001, de 23 de abril, este tribunal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del art. 24.1 CE. Esta exigencia constitucional entronca de forma directa con el </w:t>
      </w:r>
      <w:r>
        <w:lastRenderedPageBreak/>
        <w:t>principio del Estado democrático de Derecho (art. 1 CE) y con una concepción de la legitimidad de la función jurisdiccional sustentada esencialmente en el carácter vinculante que para todo órgano jurisdiccional tienen la ley y la Constitución.</w:t>
      </w:r>
    </w:p>
    <w:p w:rsidR="005728DD" w:rsidRDefault="005728DD" w:rsidP="005728DD">
      <w:pPr>
        <w:pStyle w:val="TextoNormal"/>
      </w:pPr>
    </w:p>
    <w:p w:rsidR="005728DD" w:rsidRDefault="005728DD" w:rsidP="005728DD">
      <w:pPr>
        <w:pStyle w:val="TextoNormal"/>
      </w:pPr>
      <w:r>
        <w:t>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w:t>
      </w:r>
    </w:p>
    <w:p w:rsidR="005728DD" w:rsidRDefault="005728DD" w:rsidP="005728DD">
      <w:pPr>
        <w:pStyle w:val="TextoNormal"/>
      </w:pPr>
    </w:p>
    <w:p w:rsidR="005728DD" w:rsidRDefault="005728DD" w:rsidP="005728DD">
      <w:pPr>
        <w:pStyle w:val="TextoNormal"/>
      </w:pPr>
      <w:r>
        <w:t>En este último concreto ámbito,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w:t>
      </w:r>
    </w:p>
    <w:p w:rsidR="005728DD" w:rsidRDefault="005728DD" w:rsidP="005728DD">
      <w:pPr>
        <w:pStyle w:val="TextoNormal"/>
      </w:pPr>
    </w:p>
    <w:p w:rsidR="005728DD" w:rsidRDefault="005728DD" w:rsidP="005728DD">
      <w:pPr>
        <w:pStyle w:val="TextoNormal"/>
      </w:pPr>
      <w:r>
        <w:t>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005728DD" w:rsidRDefault="005728DD" w:rsidP="005728DD">
      <w:pPr>
        <w:pStyle w:val="TextoNormal"/>
      </w:pPr>
    </w:p>
    <w:p w:rsidR="005728DD" w:rsidRDefault="005728DD" w:rsidP="005728DD">
      <w:pPr>
        <w:pStyle w:val="TextoNormal"/>
      </w:pPr>
      <w:r>
        <w:t xml:space="preserve">Al enjuiciar quejas anteriores relativas a la suficiencia de la motivación de la determinación concreta de la pena, 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atendidas la previsión legal y los datos que los hechos probados relatan, la motivación acerca del </w:t>
      </w:r>
      <w:r w:rsidRPr="005728DD">
        <w:rPr>
          <w:i/>
        </w:rPr>
        <w:t>quantum</w:t>
      </w:r>
      <w:r>
        <w:t xml:space="preserve"> de la pena impuesta resulta o no manifiestamente irrazonable o arbitraria (STC 47/1998, de 31 de marzo, FJ6, o, más recientemente, SSTC 196/2007, de 11 de septiembre, FJ 7; 40/2008, de 10 de marzo, FJ 4, y 205/2009, de 23 de noviembre, FJ 5). En definitiva, nuestro control en el proceso de amparo se ciñe a examinar si la concreta extensión de la </w:t>
      </w:r>
      <w:r>
        <w:lastRenderedPageBreak/>
        <w:t>pena impuesta es coherente con los elementos objetivos y subjetivos cuya valoración exigen los preceptos legales relativos a la individualización de la pena (arts. 61 a 72 CP).</w:t>
      </w:r>
    </w:p>
    <w:p w:rsidR="005728DD" w:rsidRDefault="005728DD" w:rsidP="005728DD">
      <w:pPr>
        <w:pStyle w:val="TextoNormal"/>
      </w:pPr>
    </w:p>
    <w:p w:rsidR="005728DD" w:rsidRDefault="005728DD" w:rsidP="005728DD">
      <w:pPr>
        <w:pStyle w:val="TextoNormal"/>
      </w:pPr>
      <w:r>
        <w:t>En nuestro ordenamiento jurídico, el sistema legal de determinación de la pena se caracteriza por la estrecha vinculación del juez a la ley; el margen de arbitrio judicial se encuentra estrechamente limitado y queda poco espacio para la motivación judicial, en la medida en que esta se erige en expresión de la racionalidad de la decisión y, por tanto, excluyente de la arbitrariedad judicial. Así pues, en principio, será el margen de arbitrio judicial del que, en cada caso, goce el juez para imponer la pena que corresponda al delito cometido, la medida de la motivación constitucionalmente exigible. Por otra parte, la decisión judicial sobre la pena concreta que haya de ser impuesta se adopta siempre en sentencia, tras la celebración de un juicio contradictorio con la consiguiente inmediación, y en la que ha debido argumentarse adecuadamente sobre la prueba del hecho delictivo, la participación que en él haya tenido el que resulte condenado y las diversas vicisitudes que hayan podido concurrir en el delito y en la persona a la que este se le imputa, características estas que son determinantes para el juicio de determinación de la pena, en virtud de las reglas establecidas en el art. 66 CP. Así pues, la pena se impone siempre en una resolución en la que la existencia del delito, su gravedad, y la participación en él de quien resulte condenado han debido describirse y motivarse adecuadamente.</w:t>
      </w:r>
    </w:p>
    <w:p w:rsidR="005728DD" w:rsidRDefault="005728DD" w:rsidP="005728DD">
      <w:pPr>
        <w:pStyle w:val="TextoNormal"/>
      </w:pPr>
    </w:p>
    <w:p w:rsidR="005728DD" w:rsidRDefault="005728DD" w:rsidP="005728DD">
      <w:pPr>
        <w:pStyle w:val="TextoNormal"/>
      </w:pPr>
      <w:r>
        <w:t>10.4</w:t>
      </w:r>
      <w:r w:rsidRPr="005728DD">
        <w:rPr>
          <w:i/>
        </w:rPr>
        <w:t>. Resolución de la que</w:t>
      </w:r>
      <w:r>
        <w:t>ja.</w:t>
      </w:r>
    </w:p>
    <w:p w:rsidR="005728DD" w:rsidRDefault="005728DD" w:rsidP="005728DD">
      <w:pPr>
        <w:pStyle w:val="TextoNormal"/>
      </w:pPr>
    </w:p>
    <w:p w:rsidR="005728DD" w:rsidRDefault="005728DD" w:rsidP="005728DD">
      <w:pPr>
        <w:pStyle w:val="TextoNormal"/>
      </w:pPr>
      <w:r>
        <w:t>En el caso presente, a partir de la previsión legal, nos corresponde determinar si la imposición al demandante de una pena privativa de libertad y de derechos cuya duración es superior en seis meses al mínimo legal, viene apoyada en una aplicación razonada de los criterios de graduación establecidos por las normas penales aplicables al caso.</w:t>
      </w:r>
    </w:p>
    <w:p w:rsidR="005728DD" w:rsidRDefault="005728DD" w:rsidP="005728DD">
      <w:pPr>
        <w:pStyle w:val="TextoNormal"/>
      </w:pPr>
    </w:p>
    <w:p w:rsidR="005728DD" w:rsidRDefault="005728DD" w:rsidP="005728DD">
      <w:pPr>
        <w:pStyle w:val="TextoNormal"/>
      </w:pPr>
      <w:r>
        <w:t>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del acusado y a la concurrencia de circunstancias modificativas de la responsabilidad penal, agravante o atenuante, genérica o específica.</w:t>
      </w:r>
    </w:p>
    <w:p w:rsidR="005728DD" w:rsidRDefault="005728DD" w:rsidP="005728DD">
      <w:pPr>
        <w:pStyle w:val="TextoNormal"/>
      </w:pPr>
    </w:p>
    <w:p w:rsidR="005728DD" w:rsidRDefault="005728DD" w:rsidP="005728DD">
      <w:pPr>
        <w:pStyle w:val="TextoNormal"/>
      </w:pPr>
      <w:r>
        <w:t>En la conducta del recurrente, calificada como delito doloso consumado en grado de autoría, el tribunal sentenciador no ha apreciado la concurrencia de ninguna circunstancia modificativa de la responsabilidad. Para estos supuestos, el art. 66.6 CP prevé específicamente dos criterios de graduación, pues establece que “cuando no concurran atenuantes ni agravantes [los jueces y tribunales] aplicarán la pena establecida por la ley para el delito cometido, en la extensión que estimen adecuada, en atención a las circunstancias personales del delincuente y a la mayor o menor gravedad del hecho”. Por tanto, a partir de la previsión legal, nos corresponde determinar si la imposición de una pena de duración superior en seis meses al mínimo legal viene apoyada en los criterios de graduación establecidos por el Código penal, y si así ha sido exteriorizado en la fundamentación.</w:t>
      </w:r>
    </w:p>
    <w:p w:rsidR="005728DD" w:rsidRDefault="005728DD" w:rsidP="005728DD">
      <w:pPr>
        <w:pStyle w:val="TextoNormal"/>
      </w:pPr>
    </w:p>
    <w:p w:rsidR="005728DD" w:rsidRDefault="005728DD" w:rsidP="005728DD">
      <w:pPr>
        <w:pStyle w:val="TextoNormal"/>
      </w:pPr>
      <w:r>
        <w:lastRenderedPageBreak/>
        <w:t>Cabe ya anticipar que la aplicación de los criterios jurisprudenciales expuestos justifica la desestimación de la presente queja.</w:t>
      </w:r>
    </w:p>
    <w:p w:rsidR="005728DD" w:rsidRDefault="005728DD" w:rsidP="005728DD">
      <w:pPr>
        <w:pStyle w:val="TextoNormal"/>
      </w:pPr>
    </w:p>
    <w:p w:rsidR="005728DD" w:rsidRDefault="005728DD" w:rsidP="005728DD">
      <w:pPr>
        <w:pStyle w:val="TextoNormal"/>
      </w:pPr>
      <w:r>
        <w:t>Hemos de destacar que, dentro del marco penal abstracto que establece el art. 545.1 CP para los autores principales del delito de sedición constituidos en autoridad (entre diez y quince años de duración), al justificar expresamente la decisión de imponer al demandante la pena de diez años y seis meses de prisión e inhabilitación absoluta, el tribunal sentenciador ha tomado en consideración y exteriorizado dos elementos básicos: (i) su protagonismo en las decisiones reglamentarias que determinaron la creación de una legalidad paralela; y (ii) su responsabilidad en la movilización tumultuaria dirigida a demostrar la pérdida de potestad jurisdiccional de los jueces en Cataluña; que se vio facilitada por el cargo que desempeñaba.</w:t>
      </w:r>
    </w:p>
    <w:p w:rsidR="005728DD" w:rsidRDefault="005728DD" w:rsidP="005728DD">
      <w:pPr>
        <w:pStyle w:val="TextoNormal"/>
      </w:pPr>
    </w:p>
    <w:p w:rsidR="005728DD" w:rsidRDefault="005728DD" w:rsidP="005728DD">
      <w:pPr>
        <w:pStyle w:val="TextoNormal"/>
      </w:pPr>
      <w:r>
        <w:t>Por tanto, no cabe hablar de ausencia de motivación, sino de discrepancia del demandante con la motivación expresada. La sentencia justifica la imposición de una pena superior en seis meses a la mínima legal haciendo referencia a las características de su intervención personal en el conjunto de actos realizados por los coacusados, que se dirigieron a crear una apariencia de legalidad paralela y a promover una movilización tumultuaria para hacer posible su efectividad, impidiendo así la de las resoluciones judiciales y de este tribunal que habían declarado la ilegitimidad de un referéndum unilateral de autodeterminación. Aunque la motivación reseñada es escueta, su contenido remite implícitamente tanto al relato de hechos probados como al concreto juicio de autoría del demandante, cuyo protagonismo y responsabilidad personal, se añade, “ya ha sido subrayado”. No parece necesario destacar que la sentencia condenatoria impugnada es extensa. A lo largo de centenares de páginas se refiere a conductas desarrolladas a durante varios meses, con múltiples protagonistas, a los que adjudica distintos cometidos y responsabilidades. De la misma forma que hemos realizado en anteriores resoluciones, nuestro análisis ha de tomar en consideración el conjunto de la decisión para identificar el reproche de antijuridicidad que justifica judicialmente la pena.</w:t>
      </w:r>
    </w:p>
    <w:p w:rsidR="005728DD" w:rsidRDefault="005728DD" w:rsidP="005728DD">
      <w:pPr>
        <w:pStyle w:val="TextoNormal"/>
      </w:pPr>
    </w:p>
    <w:p w:rsidR="005728DD" w:rsidRDefault="005728DD" w:rsidP="005728DD">
      <w:pPr>
        <w:pStyle w:val="TextoNormal"/>
      </w:pPr>
      <w:r>
        <w:t xml:space="preserve">La referencia explícita al protagonismo y responsabilidad del demandante obliga a destacar aquellos aspectos del juicio de autoría que identifican la concreta conducta imputada al recurrente. En la decisión de condena se imputa al demandante, consejero de Territorio y Sostenibilidad del Gobierno de la Generalitat desde enero de 2016 hasta octubre de 2017, haber participado en diversas reuniones políticas dirigidas a definir la estrategia que desembocaría en la convocatoria de un referéndum ilegal; se afirma que “participó en cuantos anuncios y actuaciones se realizaron en defensa de la celebración del referéndum judicialmente prohibido”; así, “presentó públicamente la fecha del referéndum y la pregunta que iba a ser sometida a los ciudadanos”, haciéndolo también “en el acto celebrado en el Teatro Nacional de Cataluña, llamado a proclamar la voluntad de realizar el referéndum presentado como de autodeterminación”. Todo ello después de haber sido previamente advertido de la ilegitimidad constitucional de tal iniciativa —en febrero de 2017—; además, calificó públicamente como agresión la presencia en Cataluña de los barcos-hotel en los que se alojaron los contingentes de policía que fueron desplazados a Cataluña para reforzar los ya presentes y mantener la legalidad constitucional; y dificultó su atraque en el Puerto de Palamós, dependiente de la administración autonómica, aduciendo razones técnicas, después no confirmadas; conducta de la que se vanaglorió públicamente como un logro político. Por lo demás, en un acto conjunto, firmó el decreto de convocatoria del referéndum del 1 de octubre y </w:t>
      </w:r>
      <w:r>
        <w:lastRenderedPageBreak/>
        <w:t>aprobó también las normas complementarias precisas para su desarrollo. En definitiva, su condena vino justificada en que, concertado con otros “participó activamente poniendo las bases que propiciaron las condiciones de la movilización ciudadana. Impidió así el normal funcionamiento del Estado que actúa en defensa de la legalidad, participó en la convocatoria de un referéndum ilegal y participó también en su realización”.</w:t>
      </w:r>
    </w:p>
    <w:p w:rsidR="005728DD" w:rsidRDefault="005728DD" w:rsidP="005728DD">
      <w:pPr>
        <w:pStyle w:val="TextoNormal"/>
      </w:pPr>
    </w:p>
    <w:p w:rsidR="005728DD" w:rsidRDefault="005728DD" w:rsidP="005728DD">
      <w:pPr>
        <w:pStyle w:val="TextoNormal"/>
      </w:pPr>
      <w:r>
        <w:t>A partir de dicha fundamentación, consideramos que el tribunal sentenciador no se ha apartado de los criterios legales que, en el Código penal, disciplinan la individualización judicial de la pena cuando no concurren atenuantes ni agravantes. Son criterios que tienen que ver con las circunstancias y el rol que ha protagonizado el demandante y ha sido declarado delictivo; con el papel que, según el relato factico, desempeñó en los hechos que han dado lugar a su condena; y, también, con la objetiva gravedad del delito por el que ha sido condenado, la cual aparece justificada a lo largo de la sentencia impugnada en cuanto, a través de esta “se puso efectivamente en cuestión el funcionamiento del Estado democrático de Derecho”.</w:t>
      </w:r>
    </w:p>
    <w:p w:rsidR="005728DD" w:rsidRDefault="005728DD" w:rsidP="005728DD">
      <w:pPr>
        <w:pStyle w:val="TextoNormal"/>
      </w:pPr>
    </w:p>
    <w:p w:rsidR="005728DD" w:rsidRDefault="005728DD" w:rsidP="005728DD">
      <w:pPr>
        <w:pStyle w:val="TextoNormal"/>
      </w:pPr>
      <w:r>
        <w:t>Se trata de criterios explícitos y ajustados a la previsión legal, que no pueden ser cuestionados desde la perspectiva de su insuficiencia, pero tampoco en relación con su contenido razonado y no arbitrario. Frente a lo afirmado en la demanda de amparo, tal como dispone el art. 66 CP, a la hora de individualizar la pena, el tribunal ha tenido en cuenta su concreta conducta individual, su protagonismo y la gravedad del delito imputado, de la que también es expresiva la apreciación de una actuación concertada y coordinada con diversas autoridades públicas autonómicas, también condenadas, que se dirigía a dificultar o hacer ineficaces resoluciones judiciales ya adoptadas, a aprobar y hacer efectiva una normativa autonómica que incluía el decreto de convocatoria de un referéndum, que no solo había sido constitucionalmente cuestionada, sino también cautelarmente suspendida.</w:t>
      </w:r>
    </w:p>
    <w:p w:rsidR="005728DD" w:rsidRDefault="005728DD" w:rsidP="005728DD">
      <w:pPr>
        <w:pStyle w:val="TextoNormal"/>
      </w:pPr>
    </w:p>
    <w:p w:rsidR="005728DD" w:rsidRDefault="005728DD" w:rsidP="005728DD">
      <w:pPr>
        <w:pStyle w:val="TextoNormal"/>
      </w:pPr>
      <w:r>
        <w:t>Afirmada la inexistencia de arbitrariedad o irrazonabilidad en la motivación de las decisiones cuestionadas, no es labor de este tribunal sustituir al juzgador en su cometido de determinar la pena a imponer en el caso concreto, ni reducir el margen de arbitrio que en dicho cometido le concede la ley. Así pues, en el presente supuesto la sala de enjuiciamiento ha motivado y explicitado las circunstancias legalmente previstas que ha tenido en cuenta para la individualización de la pena impuesta al demandante de amparo, habiendo tenido este la posibilidad de cuestionarlas al solicitar su nulidad y a través de este proceso de amparo, por lo que hemos de concluir que ninguna lesión cabe apreciar del derecho a la tutela judicial efectiva invocado en la demanda de amparo.</w:t>
      </w:r>
    </w:p>
    <w:p w:rsidR="005728DD" w:rsidRDefault="005728DD" w:rsidP="005728DD">
      <w:pPr>
        <w:pStyle w:val="TextoNormal"/>
      </w:pPr>
    </w:p>
    <w:p w:rsidR="005728DD" w:rsidRDefault="005728DD" w:rsidP="005728DD">
      <w:pPr>
        <w:pStyle w:val="TextoNormal"/>
      </w:pPr>
      <w:r>
        <w:t xml:space="preserve">La anterior conclusión desestimatoria se extiende a la alegada vulneración de la prohibición de </w:t>
      </w:r>
      <w:r w:rsidRPr="005728DD">
        <w:rPr>
          <w:i/>
        </w:rPr>
        <w:t>bis in idem</w:t>
      </w:r>
      <w:r>
        <w:t xml:space="preserve"> material. Como expusimos en la STC 154/1990, de 15 de octubre, FJ 3, dicha garantía es consecuencia del “principio de proporcionalidad entre la infracción y la sanción, que exige mantener una adecuación entre la gravedad de la infracción y la sanción”.</w:t>
      </w:r>
    </w:p>
    <w:p w:rsidR="005728DD" w:rsidRDefault="005728DD" w:rsidP="005728DD">
      <w:pPr>
        <w:pStyle w:val="TextoNormal"/>
      </w:pPr>
    </w:p>
    <w:p w:rsidR="005728DD" w:rsidRDefault="005728DD" w:rsidP="005728DD">
      <w:pPr>
        <w:pStyle w:val="TextoNormal"/>
      </w:pPr>
      <w:r>
        <w:t>La condición de autoridad del recurrente no ha sido tomada dos veces en consideración para sancionarle imponiéndole una pena desproporcionada o ajena a la prevista en la ley. Parece oportuno destacar ahora que, en tal sentido, la sala enjuiciadora desestimó la pretensión acusatoria de la acción popular que adujo la agravante genérica de “prevalerse del carácter público que tenga el culpable” (art. 22.7 CP), precisamente para evitar una doble punición con el mismo fundamento.</w:t>
      </w:r>
    </w:p>
    <w:p w:rsidR="005728DD" w:rsidRDefault="005728DD" w:rsidP="005728DD">
      <w:pPr>
        <w:pStyle w:val="TextoNormal"/>
      </w:pPr>
    </w:p>
    <w:p w:rsidR="005728DD" w:rsidRDefault="005728DD" w:rsidP="005728DD">
      <w:pPr>
        <w:pStyle w:val="TextoNormal"/>
      </w:pPr>
      <w:r>
        <w:t xml:space="preserve">La definición del tipo penal que sanciona la sedición admite variadas formas de comisión, con mayor o menor antijuridicidad. La condición de autoridad es objetiva: se adquiere al acceder u ocupar el cargo público que permite el ejercicio de funciones públicas. Tal condición, como hemos expuesto antes, determina una pena con un marco abstracto que abarca desde diez hasta quince años (art. 545.1 CP); pero no es esa condición sino la conducta personal del demandante y su protagonismo en los actos que facilitaron el desarrollo en el tiempo de la conducta sediciosa, así como en la paralela movilización de los ciudadanos en apoyo de tal iniciativa ilegal, lo que ha justificado la individualización de la pena impuesta asignándole una antijuridicidad, una gravedad relevante, que justifica razonadamente la imposición de la pena prevista en la ley con una duración superior en seis meses al límite legal mínimo establecido por el Código penal. No cabe apreciar, por tanto, que se haya desconocido la prohibición constitucional de </w:t>
      </w:r>
      <w:r w:rsidRPr="005728DD">
        <w:rPr>
          <w:i/>
        </w:rPr>
        <w:t>bis in idem</w:t>
      </w:r>
      <w:r>
        <w:t xml:space="preserve"> que, “en su vertiente material, impide sancionar en más de una ocasión el mismo hecho con el mismo fundamento (por todas, SSTC 159/1985, de 27 de noviembre, FJ 3; 94/1986, de 8 de julio, FJ 4; 154/1990, de 15 de octubre, FJ 3; 204/1996, de 16 de diciembre, FJ 2, o 2/2003, de 16 de enero, FJ 3)” (STC 189/2013, de 7 de noviembre, FJ 2); ni, con ella, el juicio de proporcionalidad establecido por el legislador al establecer la intensidad de la reacción penal asociada a la conducta descrita como delito.</w:t>
      </w:r>
    </w:p>
    <w:p w:rsidR="005728DD" w:rsidRDefault="005728DD" w:rsidP="005728DD">
      <w:pPr>
        <w:pStyle w:val="TextoNormal"/>
      </w:pPr>
    </w:p>
    <w:p w:rsidR="005728DD" w:rsidRDefault="005728DD" w:rsidP="005728DD">
      <w:pPr>
        <w:pStyle w:val="TextoNormal"/>
      </w:pPr>
      <w:r w:rsidRPr="005728DD">
        <w:rPr>
          <w:rStyle w:val="NumeroAFNegritaCaracter"/>
        </w:rPr>
        <w:t>11</w:t>
      </w:r>
      <w:r>
        <w:t xml:space="preserve">. </w:t>
      </w:r>
      <w:r w:rsidRPr="005728DD">
        <w:rPr>
          <w:i/>
        </w:rPr>
        <w:t>Derecho a la legalidad sancionatoria, en relación con otros derechos fundamentales sustantivos</w:t>
      </w:r>
      <w:r>
        <w:t>.</w:t>
      </w:r>
    </w:p>
    <w:p w:rsidR="005728DD" w:rsidRDefault="005728DD" w:rsidP="005728DD">
      <w:pPr>
        <w:pStyle w:val="TextoNormal"/>
      </w:pPr>
    </w:p>
    <w:p w:rsidR="005728DD" w:rsidRDefault="005728DD" w:rsidP="005728DD">
      <w:pPr>
        <w:pStyle w:val="TextoNormal"/>
      </w:pPr>
      <w:r>
        <w:t>A continuación, se procederá a dar respuesta al bloque de quejas que se agrupan bajo el común denominador de aducir la vulneración del derecho a la legalidad penal reconocido en el art. 25.1 CE. No obstante, antes de pronunciarnos sobre las diferentes denuncias formuladas en relación con el derecho indicado, hemos de advertir que su orden de análisis no coincide exactamente con el seguido en el recurso.</w:t>
      </w:r>
    </w:p>
    <w:p w:rsidR="005728DD" w:rsidRDefault="005728DD" w:rsidP="005728DD">
      <w:pPr>
        <w:pStyle w:val="TextoNormal"/>
      </w:pPr>
    </w:p>
    <w:p w:rsidR="005728DD" w:rsidRDefault="005728DD" w:rsidP="005728DD">
      <w:pPr>
        <w:pStyle w:val="TextoNormal"/>
      </w:pPr>
      <w:r>
        <w:t>En el apartado décimo de la demanda de amparo se censura la falta de taxatividad del delito de sedición, deficiencia esta que se atribuye específicamente al tipo penal descrito en el art. 544 CP. Siendo así, entendemos procedente abordar la resolución de esta denuncia en primer lugar pues, de ser estimada, excusaría del ulterior análisis de los restantes reproches que se dirigen sobre la decisión judicial en lo atinente a la interpretación y aplicación de la norma penal referida. Para el caso de no ser estimada esa vulneración, continuaríamos nuestro análisis conforme al esquema propuesto en el escrito de demanda.</w:t>
      </w:r>
    </w:p>
    <w:p w:rsidR="005728DD" w:rsidRDefault="005728DD" w:rsidP="005728DD">
      <w:pPr>
        <w:pStyle w:val="TextoNormal"/>
      </w:pPr>
    </w:p>
    <w:p w:rsidR="005728DD" w:rsidRDefault="005728DD" w:rsidP="005728DD">
      <w:pPr>
        <w:pStyle w:val="TextoNormal"/>
      </w:pPr>
      <w:r>
        <w:t xml:space="preserve">11.1. </w:t>
      </w:r>
      <w:r w:rsidRPr="005728DD">
        <w:rPr>
          <w:i/>
        </w:rPr>
        <w:t>Doctrina constitucional</w:t>
      </w:r>
      <w:r>
        <w:t>.</w:t>
      </w:r>
    </w:p>
    <w:p w:rsidR="005728DD" w:rsidRDefault="005728DD" w:rsidP="005728DD">
      <w:pPr>
        <w:pStyle w:val="TextoNormal"/>
      </w:pPr>
    </w:p>
    <w:p w:rsidR="005728DD" w:rsidRDefault="005728DD" w:rsidP="005728DD">
      <w:pPr>
        <w:pStyle w:val="TextoNormal"/>
      </w:pPr>
      <w:r>
        <w:t>Hecha la anterior precisión, procede compendiar a continuación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del producirse no constituyan delito, falta o infracción administrativa, según la legislación vigente en aquel momento”.</w:t>
      </w:r>
    </w:p>
    <w:p w:rsidR="005728DD" w:rsidRDefault="005728DD" w:rsidP="005728DD">
      <w:pPr>
        <w:pStyle w:val="TextoNormal"/>
      </w:pPr>
    </w:p>
    <w:p w:rsidR="005728DD" w:rsidRDefault="005728DD" w:rsidP="005728DD">
      <w:pPr>
        <w:pStyle w:val="TextoNormal"/>
      </w:pPr>
      <w:r>
        <w:t xml:space="preserve">A) Según doctrina de este tribunal, el mandato enunciado contiene un derecho fundamental subjetivo que comprende una garantía formal, anudada al rango exigible a la norma </w:t>
      </w:r>
      <w:r>
        <w:lastRenderedPageBreak/>
        <w:t>sancionadora, y otra de carácter material, vinculada a la exigencia de certeza y concreción del precepto penal. Esta doctrina aparece sistematizada en la STC 24/2004, de 24 de febrero, FJ 2:</w:t>
      </w:r>
    </w:p>
    <w:p w:rsidR="005728DD" w:rsidRDefault="005728DD" w:rsidP="005728DD">
      <w:pPr>
        <w:pStyle w:val="TextoNormal"/>
      </w:pPr>
    </w:p>
    <w:p w:rsidR="005728DD" w:rsidRDefault="005728DD" w:rsidP="005728DD">
      <w:pPr>
        <w:pStyle w:val="TextoNormal"/>
      </w:pPr>
      <w:r>
        <w:t>“a)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005728DD" w:rsidRDefault="005728DD" w:rsidP="005728DD">
      <w:pPr>
        <w:pStyle w:val="TextoNormal"/>
      </w:pPr>
    </w:p>
    <w:p w:rsidR="005728DD" w:rsidRDefault="005728DD" w:rsidP="005728DD">
      <w:pPr>
        <w:pStyle w:val="TextoNormal"/>
      </w:pPr>
      <w:r>
        <w:t>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005728DD" w:rsidRDefault="005728DD" w:rsidP="005728DD">
      <w:pPr>
        <w:pStyle w:val="TextoNormal"/>
      </w:pPr>
    </w:p>
    <w:p w:rsidR="005728DD" w:rsidRDefault="005728DD" w:rsidP="005728DD">
      <w:pPr>
        <w:pStyle w:val="TextoNormal"/>
      </w:pPr>
      <w: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5728DD">
        <w:rPr>
          <w:i/>
        </w:rPr>
        <w:t>ex ante</w:t>
      </w:r>
      <w:r>
        <w:t xml:space="preserv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005728DD" w:rsidRDefault="005728DD" w:rsidP="005728DD">
      <w:pPr>
        <w:pStyle w:val="TextoNormal"/>
      </w:pPr>
    </w:p>
    <w:p w:rsidR="005728DD" w:rsidRDefault="005728DD" w:rsidP="005728DD">
      <w:pPr>
        <w:pStyle w:val="TextoNormal"/>
      </w:pPr>
      <w:r>
        <w:t xml:space="preserve">c) Ambos aspectos, material y formal, son inescindibles y configuran conjuntamente el derecho fundamental consagrado en el art. 25.1 CE. Por tanto, aunque la garantía formal se </w:t>
      </w:r>
      <w:r>
        <w:lastRenderedPageBreak/>
        <w:t>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005728DD" w:rsidRDefault="005728DD" w:rsidP="005728DD">
      <w:pPr>
        <w:pStyle w:val="TextoNormal"/>
      </w:pPr>
    </w:p>
    <w:p w:rsidR="005728DD" w:rsidRDefault="005728DD" w:rsidP="005728DD">
      <w:pPr>
        <w:pStyle w:val="TextoNormal"/>
      </w:pPr>
      <w:r>
        <w:t>B) Este tribunal ha resaltado la importancia del mandato de taxatividad que el precepto constitucional objeto de cita contiene. Ejemplo de ello son los argumentos que figuran en la STC 146/2015, de 25 de junio, FJ 2, que a continuación se transcriben:</w:t>
      </w:r>
    </w:p>
    <w:p w:rsidR="005728DD" w:rsidRDefault="005728DD" w:rsidP="005728DD">
      <w:pPr>
        <w:pStyle w:val="TextoNormal"/>
      </w:pPr>
    </w:p>
    <w:p w:rsidR="005728DD" w:rsidRDefault="005728DD" w:rsidP="005728DD">
      <w:pPr>
        <w:pStyle w:val="TextoNormal"/>
      </w:pPr>
      <w:r>
        <w:t>“El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w:t>
      </w:r>
      <w:r w:rsidRPr="005728DD">
        <w:rPr>
          <w:i/>
        </w:rPr>
        <w:t>lex certa</w:t>
      </w:r>
      <w:r>
        <w:t>),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005728DD" w:rsidRDefault="005728DD" w:rsidP="005728DD">
      <w:pPr>
        <w:pStyle w:val="TextoNormal"/>
      </w:pPr>
    </w:p>
    <w:p w:rsidR="005728DD" w:rsidRDefault="005728DD" w:rsidP="005728DD">
      <w:pPr>
        <w:pStyle w:val="TextoNormal"/>
      </w:pPr>
      <w:r>
        <w:t>Tal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005728DD" w:rsidRDefault="005728DD" w:rsidP="005728DD">
      <w:pPr>
        <w:pStyle w:val="TextoNormal"/>
      </w:pPr>
    </w:p>
    <w:p w:rsidR="005728DD" w:rsidRDefault="005728DD" w:rsidP="005728DD">
      <w:pPr>
        <w:pStyle w:val="TextoNormal"/>
      </w:pPr>
      <w:r>
        <w:t xml:space="preserve">“La garantía constitucional de </w:t>
      </w:r>
      <w:r w:rsidRPr="005728DD">
        <w:rPr>
          <w:i/>
        </w:rPr>
        <w:t>lex certa</w:t>
      </w:r>
      <w:r>
        <w:t>, como faceta específica del derecho a la legalidad sancionadora, se desenvuelve, en nuestra doctrina (</w:t>
      </w:r>
      <w:r w:rsidRPr="005728DD">
        <w:rPr>
          <w:i/>
        </w:rPr>
        <w:t>vid</w:t>
      </w:r>
      <w:r>
        <w:t>, por todas, las SSTC 146/2015, de 25 de junio, FJ 2; 219/2016, de 19 de diciembre, FJ 5, y 220/2016, de 19 de diciembre, FJ 5), en dos ámbitos distintos:</w:t>
      </w:r>
    </w:p>
    <w:p w:rsidR="005728DD" w:rsidRDefault="005728DD" w:rsidP="005728DD">
      <w:pPr>
        <w:pStyle w:val="TextoNormal"/>
      </w:pPr>
    </w:p>
    <w:p w:rsidR="005728DD" w:rsidRDefault="005728DD" w:rsidP="005728DD">
      <w:pPr>
        <w:pStyle w:val="TextoNormal"/>
      </w:pPr>
      <w:r>
        <w:t xml:space="preserve">a) Ámbito normativo. De un lado, la garantía de certeza puede resultar vulnerada por la insuficiente determinación </w:t>
      </w:r>
      <w:r w:rsidRPr="005728DD">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5728DD" w:rsidRDefault="005728DD" w:rsidP="005728DD">
      <w:pPr>
        <w:pStyle w:val="TextoNormal"/>
      </w:pPr>
    </w:p>
    <w:p w:rsidR="005728DD" w:rsidRDefault="005728DD" w:rsidP="005728DD">
      <w:pPr>
        <w:pStyle w:val="TextoNormal"/>
      </w:pPr>
      <w:r>
        <w:lastRenderedPageBreak/>
        <w:t xml:space="preserve">b) Ámbito aplicativo. En cambio, aun cuando la redacción de la norma sancionadora resulta suficientemente precisa, la garantía de </w:t>
      </w:r>
      <w:r w:rsidRPr="005728DD">
        <w:rPr>
          <w:i/>
        </w:rPr>
        <w:t>lex certa</w:t>
      </w:r>
      <w:r>
        <w:t xml:space="preserve"> puede verse afectada por la aplicación irrazonable de dicha norma, vertiente que se desdobla, a su vez, en dos planos, (i) el de la indebida interpretación </w:t>
      </w:r>
      <w:r w:rsidRPr="005728DD">
        <w:rPr>
          <w:i/>
        </w:rPr>
        <w:t>ad casum</w:t>
      </w:r>
      <w:r>
        <w:t xml:space="preserve"> del alcance semántico del precepto, más allá de su sentido literal posible (analogía </w:t>
      </w:r>
      <w:r w:rsidRPr="005728DD">
        <w:rPr>
          <w:i/>
        </w:rPr>
        <w:t>in malam partem</w:t>
      </w:r>
      <w:r>
        <w:t>),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005728DD" w:rsidRDefault="005728DD" w:rsidP="005728DD">
      <w:pPr>
        <w:pStyle w:val="TextoNormal"/>
      </w:pPr>
    </w:p>
    <w:p w:rsidR="005728DD" w:rsidRDefault="005728DD" w:rsidP="005728DD">
      <w:pPr>
        <w:pStyle w:val="TextoNormal"/>
      </w:pPr>
      <w:r>
        <w:t>No obstante, el principio de taxatividad no es incompatible, como hemos apuntado, con el empleo de conceptos jurídicos indeterminados o la utilización de una terminología con cierto grado de ambigüedad por parte del legislador, como así queda expuesto, entre otras, en la STC 37/2018, de 23 de abril, FJ 3 a):</w:t>
      </w:r>
    </w:p>
    <w:p w:rsidR="005728DD" w:rsidRDefault="005728DD" w:rsidP="005728DD">
      <w:pPr>
        <w:pStyle w:val="TextoNormal"/>
      </w:pPr>
    </w:p>
    <w:p w:rsidR="005728DD" w:rsidRDefault="005728DD" w:rsidP="005728DD">
      <w:pPr>
        <w:pStyle w:val="TextoNormal"/>
      </w:pPr>
      <w:r>
        <w:t xml:space="preserve">“A esa exigencia de </w:t>
      </w:r>
      <w:r w:rsidRPr="005728DD">
        <w:rPr>
          <w:i/>
        </w:rPr>
        <w:t>lex certa</w:t>
      </w:r>
      <w:r>
        <w:t>,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005728DD" w:rsidRDefault="005728DD" w:rsidP="005728DD">
      <w:pPr>
        <w:pStyle w:val="TextoNormal"/>
      </w:pPr>
    </w:p>
    <w:p w:rsidR="005728DD" w:rsidRDefault="005728DD" w:rsidP="005728DD">
      <w:pPr>
        <w:pStyle w:val="TextoNormal"/>
      </w:pPr>
      <w:r>
        <w:t xml:space="preserve">C) La aplicación de la analogía </w:t>
      </w:r>
      <w:r w:rsidRPr="005728DD">
        <w:rPr>
          <w:i/>
        </w:rPr>
        <w:t>in malam partem</w:t>
      </w:r>
      <w:r>
        <w:t xml:space="preserve">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5728DD" w:rsidRDefault="005728DD" w:rsidP="005728DD">
      <w:pPr>
        <w:pStyle w:val="TextoNormal"/>
      </w:pPr>
    </w:p>
    <w:p w:rsidR="005728DD" w:rsidRDefault="005728DD" w:rsidP="005728DD">
      <w:pPr>
        <w:pStyle w:val="TextoNormal"/>
      </w:pPr>
      <w:r>
        <w:t>“A este respecto, hemos destacado que ‘la garantía material del principio de legalidad comporta el mandato de taxatividad o certeza, que se traduce en la exigencia de predeterminación normativa de las conductas punibles y de sus correspondientes sanciones (</w:t>
      </w:r>
      <w:r w:rsidRPr="005728DD">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w:t>
      </w:r>
      <w:r>
        <w:lastRenderedPageBreak/>
        <w:t xml:space="preserve">21 de julio, FJ 5; 182/1990, de 15 de noviembre, FJ 3; 156/1996, de 14 de octubre, FJ 1; 137/1997, de 21 de julio, FJ 6; 151/1997, de 29 de septiembre, FJ 4; 232/1997, de 16 de diciembre, FJ 2) y, por otro, les está vedada la interpretación extensiva y la analogía </w:t>
      </w:r>
      <w:r w:rsidRPr="005728DD">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005728DD" w:rsidRDefault="005728DD" w:rsidP="005728DD">
      <w:pPr>
        <w:pStyle w:val="TextoNormal"/>
      </w:pPr>
    </w:p>
    <w:p w:rsidR="005728DD" w:rsidRDefault="005728DD" w:rsidP="005728DD">
      <w:pPr>
        <w:pStyle w:val="TextoNormal"/>
      </w:pPr>
      <w:r>
        <w:t>D) A su vez, este tribunal ha precisado las exigencias a que se deben sujetar los órganos judiciales, al verificar la labor de subsunción de los hechos en la norma penal. Nuestra doctrina sobre ese particular queda recogida con detalle en la STC 129/2008, de 27 de octubre, FJ 3, en los siguientes términos:</w:t>
      </w:r>
    </w:p>
    <w:p w:rsidR="005728DD" w:rsidRDefault="005728DD" w:rsidP="005728DD">
      <w:pPr>
        <w:pStyle w:val="TextoNormal"/>
      </w:pPr>
    </w:p>
    <w:p w:rsidR="005728DD" w:rsidRDefault="005728DD" w:rsidP="005728DD">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5728DD" w:rsidRDefault="005728DD" w:rsidP="005728DD">
      <w:pPr>
        <w:pStyle w:val="TextoNormal"/>
      </w:pPr>
    </w:p>
    <w:p w:rsidR="005728DD" w:rsidRDefault="005728DD" w:rsidP="005728DD">
      <w:pPr>
        <w:pStyle w:val="TextoNormal"/>
      </w:pPr>
      <w:r>
        <w:t xml:space="preserve">En el examen de razonabilidad de la subsunción de los hechos probados en la norma penal el primero de los criterios está constituido así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w:t>
      </w:r>
      <w:r>
        <w:lastRenderedPageBreak/>
        <w:t>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5728DD" w:rsidRDefault="005728DD" w:rsidP="005728DD">
      <w:pPr>
        <w:pStyle w:val="TextoNormal"/>
      </w:pPr>
    </w:p>
    <w:p w:rsidR="005728DD" w:rsidRDefault="005728DD" w:rsidP="005728DD">
      <w:pPr>
        <w:pStyle w:val="TextoNormal"/>
      </w:pPr>
      <w:r>
        <w:t>E) La proporcionalidad de las penas también ha sido objeto de análisis desde el prisma del derecho reconocido en el art. 25.1 CE. Concretamente, en la STC 136/1999, de 20 de julio, FJ 23, este tribunal delimitó, en los términos que a continuación se exponen, cuál es alcance de la referida cualidad en relación con los derechos fundamentales tutelados en amparo:</w:t>
      </w:r>
    </w:p>
    <w:p w:rsidR="005728DD" w:rsidRDefault="005728DD" w:rsidP="005728DD">
      <w:pPr>
        <w:pStyle w:val="TextoNormal"/>
      </w:pPr>
    </w:p>
    <w:p w:rsidR="005728DD" w:rsidRDefault="005728DD" w:rsidP="005728DD">
      <w:pPr>
        <w:pStyle w:val="TextoNormal"/>
      </w:pPr>
      <w:r>
        <w:t>“El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005728DD" w:rsidRDefault="005728DD" w:rsidP="005728DD">
      <w:pPr>
        <w:pStyle w:val="TextoNormal"/>
      </w:pPr>
    </w:p>
    <w:p w:rsidR="005728DD" w:rsidRDefault="005728DD" w:rsidP="005728DD">
      <w:pPr>
        <w:pStyle w:val="TextoNormal"/>
      </w:pPr>
      <w:r>
        <w:t xml:space="preserve">En este contexto, “[e]l juicio que procede en esta sede de amparo, en protección de los derechos fundamentales, debe ser por ello muy cauteloso. Se limita a verificar que la norma </w:t>
      </w:r>
      <w:r>
        <w:lastRenderedPageBreak/>
        <w:t>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005728DD" w:rsidRDefault="005728DD" w:rsidP="005728DD">
      <w:pPr>
        <w:pStyle w:val="TextoNormal"/>
      </w:pPr>
    </w:p>
    <w:p w:rsidR="005728DD" w:rsidRDefault="005728DD" w:rsidP="005728DD">
      <w:pPr>
        <w:pStyle w:val="TextoNormal"/>
      </w:pPr>
      <w:r>
        <w:t>De esta manera,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5728DD" w:rsidRDefault="005728DD" w:rsidP="005728DD">
      <w:pPr>
        <w:pStyle w:val="TextoNormal"/>
      </w:pPr>
    </w:p>
    <w:p w:rsidR="005728DD" w:rsidRDefault="005728DD" w:rsidP="005728DD">
      <w:pPr>
        <w:pStyle w:val="TextoNormal"/>
      </w:pPr>
      <w:r>
        <w:t>Así, pues,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005728DD" w:rsidRDefault="005728DD" w:rsidP="005728DD">
      <w:pPr>
        <w:pStyle w:val="TextoNormal"/>
      </w:pPr>
    </w:p>
    <w:p w:rsidR="005728DD" w:rsidRDefault="005728DD" w:rsidP="005728DD">
      <w:pPr>
        <w:pStyle w:val="TextoNormal"/>
      </w:pPr>
      <w:r>
        <w:lastRenderedPageBreak/>
        <w:t>F) Finalmente, procede reflejar el parámetro al que se debe sujetar este tribunal para fiscalizar la interpretación y aplicación de la norma penal por parte de los juzgados y tribunales, que aparece recogido, entre otras resoluciones, en la STC 38/2003, de 27 de febrero, FJ 8:</w:t>
      </w:r>
    </w:p>
    <w:p w:rsidR="005728DD" w:rsidRDefault="005728DD" w:rsidP="005728DD">
      <w:pPr>
        <w:pStyle w:val="TextoNormal"/>
      </w:pPr>
    </w:p>
    <w:p w:rsidR="005728DD" w:rsidRDefault="005728DD" w:rsidP="005728DD">
      <w:pPr>
        <w:pStyle w:val="TextoNormal"/>
      </w:pPr>
      <w:r>
        <w:t>“[S]egún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005728DD" w:rsidRDefault="005728DD" w:rsidP="005728DD">
      <w:pPr>
        <w:pStyle w:val="TextoNormal"/>
      </w:pPr>
    </w:p>
    <w:p w:rsidR="005728DD" w:rsidRDefault="005728DD" w:rsidP="005728DD">
      <w:pPr>
        <w:pStyle w:val="TextoNormal"/>
      </w:pPr>
      <w:r>
        <w:t xml:space="preserve">De este modo, “[p]recisando nuestro canon de control de constitucionalidad, cabe hablar de aplicación analógica o extensiva </w:t>
      </w:r>
      <w:r w:rsidRPr="005728DD">
        <w:rPr>
          <w:i/>
        </w:rPr>
        <w:t>in malam partem</w:t>
      </w:r>
      <w:r>
        <w:t>,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005728DD" w:rsidRDefault="005728DD" w:rsidP="005728DD">
      <w:pPr>
        <w:pStyle w:val="TextoNormal"/>
      </w:pPr>
    </w:p>
    <w:p w:rsidR="005728DD" w:rsidRDefault="005728DD" w:rsidP="005728DD">
      <w:pPr>
        <w:pStyle w:val="TextoNormal"/>
      </w:pPr>
      <w:r>
        <w:t>Y, a tal efecto, en la ya citada STC 129/2008, FJ 3, se acota la fiscalización que corresponde llevar a cabo a este tribunal, en los siguientes términos:</w:t>
      </w:r>
    </w:p>
    <w:p w:rsidR="005728DD" w:rsidRDefault="005728DD" w:rsidP="005728DD">
      <w:pPr>
        <w:pStyle w:val="TextoNormal"/>
      </w:pPr>
    </w:p>
    <w:p w:rsidR="005728DD" w:rsidRDefault="005728DD" w:rsidP="005728DD">
      <w:pPr>
        <w:pStyle w:val="TextoNormal"/>
      </w:pPr>
      <w: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w:t>
      </w:r>
      <w:r>
        <w:lastRenderedPageBreak/>
        <w:t xml:space="preserve">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w:t>
      </w:r>
      <w:r w:rsidRPr="005728DD">
        <w:rPr>
          <w:i/>
        </w:rPr>
        <w:t>per se</w:t>
      </w:r>
      <w:r>
        <w:t xml:space="preserve"> nos es ajena y solo podrá ser tomada en cuenta en la medida en que incida en la irrazonabilidad de la interpretación judicial impugnada”.</w:t>
      </w:r>
    </w:p>
    <w:p w:rsidR="005728DD" w:rsidRDefault="005728DD" w:rsidP="005728DD">
      <w:pPr>
        <w:pStyle w:val="TextoNormal"/>
      </w:pPr>
    </w:p>
    <w:p w:rsidR="005728DD" w:rsidRDefault="005728DD" w:rsidP="005728DD">
      <w:pPr>
        <w:pStyle w:val="TextoNormal"/>
      </w:pPr>
      <w:r>
        <w:t>11.2</w:t>
      </w:r>
      <w:r w:rsidRPr="005728DD">
        <w:rPr>
          <w:i/>
        </w:rPr>
        <w:t>. Sobre la insuficiente taxatividad del tipo penal de sedici</w:t>
      </w:r>
      <w:r>
        <w:t>ón.</w:t>
      </w:r>
    </w:p>
    <w:p w:rsidR="005728DD" w:rsidRDefault="005728DD" w:rsidP="005728DD">
      <w:pPr>
        <w:pStyle w:val="TextoNormal"/>
      </w:pPr>
    </w:p>
    <w:p w:rsidR="005728DD" w:rsidRDefault="005728DD" w:rsidP="005728DD">
      <w:pPr>
        <w:pStyle w:val="TextoNormal"/>
      </w:pPr>
      <w:r>
        <w:t>11.2.1</w:t>
      </w:r>
      <w:r w:rsidRPr="005728DD">
        <w:rPr>
          <w:i/>
        </w:rPr>
        <w:t>. Posiciones de las part</w:t>
      </w:r>
      <w:r>
        <w:t>es.</w:t>
      </w:r>
    </w:p>
    <w:p w:rsidR="005728DD" w:rsidRDefault="005728DD" w:rsidP="005728DD">
      <w:pPr>
        <w:pStyle w:val="TextoNormal"/>
      </w:pPr>
    </w:p>
    <w:p w:rsidR="005728DD" w:rsidRDefault="005728DD" w:rsidP="005728DD">
      <w:pPr>
        <w:pStyle w:val="TextoNormal"/>
      </w:pPr>
      <w:r>
        <w:t>El motivo de la demanda referido a la vulneración del derecho reconocido en el art. 25.1 CE, concierne principalmente al contenido del art. 544 CP que tipifica el delito de sedición; norma a la que se achaca tal grado de indeterminación que resulta incompatible con el principio de taxatividad. Señala el demandante que el empleo de términos tales como “alzarse”, “tumultos”, “fuerza” o “fuera de las vías legales” resultan extraordinariamente vagos, hasta el punto de que es muy difícil conocer con exactitud qué conductas prohíbe realmente el legislador. También afirma que esa inconcreción no ha podido ser remediada por la labor jurisprudencial, puesto que, en relación con el vigente tipo de sedición, el Tribunal Supremo solo se ha pronunciado en una ocasión (STS de 12 de julio de 2005), al conocer de un suceso violento protagonizado por unas sesenta personas, que acaeció en la Asamblea de Ceuta, y que acabó condenando por un delito de atentado. Por último, destaca que esa inconcreción restringe gravemente el ejercicio del derecho de reunión y las libertades de expresión e ideológica, por el efecto desincentivador que provoca.</w:t>
      </w:r>
    </w:p>
    <w:p w:rsidR="005728DD" w:rsidRDefault="005728DD" w:rsidP="005728DD">
      <w:pPr>
        <w:pStyle w:val="TextoNormal"/>
      </w:pPr>
    </w:p>
    <w:p w:rsidR="005728DD" w:rsidRDefault="005728DD" w:rsidP="005728DD">
      <w:pPr>
        <w:pStyle w:val="TextoNormal"/>
      </w:pPr>
      <w:r>
        <w:t>El partido político Vox rechaza que el tipo penal carezca del grado de taxatividad exigido y que la condena impuesta pueda resultar imprevisible para el demandante.</w:t>
      </w:r>
    </w:p>
    <w:p w:rsidR="005728DD" w:rsidRDefault="005728DD" w:rsidP="005728DD">
      <w:pPr>
        <w:pStyle w:val="TextoNormal"/>
      </w:pPr>
    </w:p>
    <w:p w:rsidR="005728DD" w:rsidRDefault="005728DD" w:rsidP="005728DD">
      <w:pPr>
        <w:pStyle w:val="TextoNormal"/>
      </w:pPr>
      <w:r>
        <w:t xml:space="preserve">Por su parte, el fiscal sostiene que no se vulnera el principio de legalidad por esta causa, pues el tipo penal permite predecir con suficiente grado de certeza las conductas que constituyen el delito de sedición. Por tanto, el tipo penal respeta la garantía material de </w:t>
      </w:r>
      <w:r w:rsidRPr="005728DD">
        <w:rPr>
          <w:i/>
        </w:rPr>
        <w:t>lex certa</w:t>
      </w:r>
      <w:r>
        <w:t>, sin perjuicio de que los términos utilizados por las normas penales para definir los tipos delictivos puedan ser concretados y precisados por los órganos judiciales al aplicar e interpretar las normas. En todo caso, añade que el déficit de taxatividad que el demandante imputa al tipo penal de sedición queda conjurado por la propia interpretación que de los términos a los que se atribuye la indeterminación ha sido precisada por el Tribunal Supremo.</w:t>
      </w:r>
    </w:p>
    <w:p w:rsidR="005728DD" w:rsidRDefault="005728DD" w:rsidP="005728DD">
      <w:pPr>
        <w:pStyle w:val="TextoNormal"/>
      </w:pPr>
    </w:p>
    <w:p w:rsidR="005728DD" w:rsidRDefault="005728DD" w:rsidP="005728DD">
      <w:pPr>
        <w:pStyle w:val="TextoNormal"/>
      </w:pPr>
      <w:r>
        <w:t>11.2.2</w:t>
      </w:r>
      <w:r w:rsidRPr="005728DD">
        <w:rPr>
          <w:i/>
        </w:rPr>
        <w:t>. Respuesta del órgano judici</w:t>
      </w:r>
      <w:r>
        <w:t>al.</w:t>
      </w:r>
    </w:p>
    <w:p w:rsidR="005728DD" w:rsidRDefault="005728DD" w:rsidP="005728DD">
      <w:pPr>
        <w:pStyle w:val="TextoNormal"/>
      </w:pPr>
    </w:p>
    <w:p w:rsidR="005728DD" w:rsidRDefault="005728DD" w:rsidP="005728DD">
      <w:pPr>
        <w:pStyle w:val="TextoNormal"/>
      </w:pPr>
      <w:r>
        <w:t xml:space="preserve">El tribunal sentenciador, al referirse a la queja que planteó el demandante sobre esta cuestión, afirmó que “[l]as vulneraciones descritas en las letras a) y d) coinciden con las formuladas en otros incidentes y han sido ya resueltas en esta resolución” (apartado 7.2.1). Por ello, procede traer a colación la argumentación que fue dada en relación con la denuncia del señor Turull, concretamente en el apartado 6.2.3 del auto que resuelve el incidente de </w:t>
      </w:r>
      <w:r>
        <w:lastRenderedPageBreak/>
        <w:t>nulidad de actuaciones, señalando que “las alegaciones sobre la vulneración del derecho a la legalidad penal en relación con los derechos fundamentales a la libertad, reunión pacífica y libertad de expresión e ideológica, por la insuficiente taxatividad del tipo penal de la sedición, se desestiman con apoyo en los mismos argumentos expuestos respecto al señor Sànchez y los demás condenados que han planteado idéntica pretensión”.</w:t>
      </w:r>
    </w:p>
    <w:p w:rsidR="005728DD" w:rsidRDefault="005728DD" w:rsidP="005728DD">
      <w:pPr>
        <w:pStyle w:val="TextoNormal"/>
      </w:pPr>
    </w:p>
    <w:p w:rsidR="005728DD" w:rsidRDefault="005728DD" w:rsidP="005728DD">
      <w:pPr>
        <w:pStyle w:val="TextoNormal"/>
      </w:pPr>
      <w:r>
        <w:t>No obstante, en el apartado 2.4 del referido auto se ofrece una respuesta más exhaustiva:</w:t>
      </w:r>
    </w:p>
    <w:p w:rsidR="005728DD" w:rsidRDefault="005728DD" w:rsidP="005728DD">
      <w:pPr>
        <w:pStyle w:val="TextoNormal"/>
      </w:pPr>
    </w:p>
    <w:p w:rsidR="005728DD" w:rsidRDefault="005728DD" w:rsidP="005728DD">
      <w:pPr>
        <w:pStyle w:val="TextoNormal"/>
      </w:pPr>
      <w:r>
        <w:t>“El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005728DD" w:rsidRDefault="005728DD" w:rsidP="005728DD">
      <w:pPr>
        <w:pStyle w:val="TextoNormal"/>
      </w:pPr>
    </w:p>
    <w:p w:rsidR="005728DD" w:rsidRDefault="005728DD" w:rsidP="005728DD">
      <w:pPr>
        <w:pStyle w:val="TextoNormal"/>
      </w:pPr>
      <w:r>
        <w:t>Esta conclusión es, por otro lado, perfectamente compatible con la necesidad de su interpretación jurisprudencial, como la que hace la sentencia que ahora se cuestiona. El TEDH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2008, cas</w:t>
      </w:r>
      <w:r w:rsidRPr="005728DD">
        <w:rPr>
          <w:i/>
        </w:rPr>
        <w:t>o Kafkaris c. Cypr</w:t>
      </w:r>
      <w:r>
        <w:t>us, § 141)”.</w:t>
      </w:r>
    </w:p>
    <w:p w:rsidR="005728DD" w:rsidRDefault="005728DD" w:rsidP="005728DD">
      <w:pPr>
        <w:pStyle w:val="TextoNormal"/>
      </w:pPr>
    </w:p>
    <w:p w:rsidR="005728DD" w:rsidRDefault="005728DD" w:rsidP="005728DD">
      <w:pPr>
        <w:pStyle w:val="TextoNormal"/>
      </w:pPr>
      <w:r>
        <w:t>A su vez, en el apartado 4 del fundamento jurídico B) de la sentencia, el órgano enjuiciador llevó a cabo una detallada exégesis del art. 544 CP, de cuyo contenido se infiere que el indicado órgano no asume el criterio del recurrente respecto de la ambigüedad e imprecisión del tipo penal.</w:t>
      </w:r>
    </w:p>
    <w:p w:rsidR="005728DD" w:rsidRDefault="005728DD" w:rsidP="005728DD">
      <w:pPr>
        <w:pStyle w:val="TextoNormal"/>
      </w:pPr>
    </w:p>
    <w:p w:rsidR="005728DD" w:rsidRDefault="005728DD" w:rsidP="005728DD">
      <w:pPr>
        <w:pStyle w:val="TextoNormal"/>
      </w:pPr>
      <w:r>
        <w:t>11.2.3</w:t>
      </w:r>
      <w:r w:rsidRPr="005728DD">
        <w:rPr>
          <w:i/>
        </w:rPr>
        <w:t>. Resolución de la que</w:t>
      </w:r>
      <w:r>
        <w:t>ja.</w:t>
      </w:r>
    </w:p>
    <w:p w:rsidR="005728DD" w:rsidRDefault="005728DD" w:rsidP="005728DD">
      <w:pPr>
        <w:pStyle w:val="TextoNormal"/>
      </w:pPr>
    </w:p>
    <w:p w:rsidR="005728DD" w:rsidRDefault="005728DD" w:rsidP="005728DD">
      <w:pPr>
        <w:pStyle w:val="TextoNormal"/>
      </w:pPr>
      <w:r>
        <w:t>Llegados a este punto, resulta oportuno recordar que, si bien con carácter general el recurso de amparo no ha sido concebido para el enjuiciamiento de las disposiciones de carácter general, sin embargo, nuestra doctrina autoriza en ocasiones tal eventualidad; entre otras, cuando se reprocha al propio precepto la lesión de un derecho fundamental:</w:t>
      </w:r>
    </w:p>
    <w:p w:rsidR="005728DD" w:rsidRDefault="005728DD" w:rsidP="005728DD">
      <w:pPr>
        <w:pStyle w:val="TextoNormal"/>
      </w:pPr>
    </w:p>
    <w:p w:rsidR="005728DD" w:rsidRDefault="005728DD" w:rsidP="005728DD">
      <w:pPr>
        <w:pStyle w:val="TextoNormal"/>
      </w:pPr>
      <w:r>
        <w:t xml:space="preserve">“Como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w:t>
      </w:r>
      <w:r>
        <w:lastRenderedPageBreak/>
        <w:t>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 (STC 34/2011, de 28 de marzo, FJ 1)” (STC 167/2013, de 7 de octubre, FJ 2).</w:t>
      </w:r>
    </w:p>
    <w:p w:rsidR="005728DD" w:rsidRDefault="005728DD" w:rsidP="005728DD">
      <w:pPr>
        <w:pStyle w:val="TextoNormal"/>
      </w:pPr>
    </w:p>
    <w:p w:rsidR="005728DD" w:rsidRDefault="005728DD" w:rsidP="005728DD">
      <w:pPr>
        <w:pStyle w:val="TextoNormal"/>
      </w:pPr>
      <w:r>
        <w:t>Vistos los términos de la queja formulada, procede dilucidar si, en efecto, el art. 544 CP se acomoda o no a las exigencias de taxatividad y certeza que la doctrina constitucional exige, no sin antes reiterar que la función de interpretar y aplicar los tipos penales corresponde a los órganos de la jurisdicción ordinaria. Ahora bien, sin perder de vista el parámetro en que se sitúa este tribunal, para dar adecuada respuesta a la pretensión del recurrente procede efectuar una delimitación de la conducta típica que el art. 544 CP describe del siguiente modo:“[s]on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005728DD" w:rsidRDefault="005728DD" w:rsidP="005728DD">
      <w:pPr>
        <w:pStyle w:val="TextoNormal"/>
      </w:pPr>
    </w:p>
    <w:p w:rsidR="005728DD" w:rsidRDefault="005728DD" w:rsidP="005728DD">
      <w:pPr>
        <w:pStyle w:val="TextoNormal"/>
      </w:pPr>
      <w:r>
        <w:t>Este precepto asume de esta suerte una posición subsidiaria, pues solo prevé su aplicación cuando los hechos no sean constitutivos de rebelión. Su contenido positivo requiere que los sujetos activos “se alcen”; término este que, teniendo en cuenta el contexto en que se inserta, de entre las diferentes acepciones gramaticales posibles, debe ser considerado sinónimo del vocablo “se subleven”. La acción descrita en el tipo debe trascender al exterior (públicamente), materializarse mediante la actuación alborotada de una muchedumbre (tumultuariamente), que emplea fuerza o se sirve de vías extralegales, siendo necesario, además, que concurra la finalidad neutralizadora que describe el tipo transcrito.</w:t>
      </w:r>
    </w:p>
    <w:p w:rsidR="005728DD" w:rsidRDefault="005728DD" w:rsidP="005728DD">
      <w:pPr>
        <w:pStyle w:val="TextoNormal"/>
      </w:pPr>
    </w:p>
    <w:p w:rsidR="005728DD" w:rsidRDefault="005728DD" w:rsidP="005728DD">
      <w:pPr>
        <w:pStyle w:val="TextoNormal"/>
      </w:pPr>
      <w:r>
        <w:t>A vista de lo expuesto, este tribunal coincide con el criterio del órgano enjuiciador, al no apreciar que la norma penal adolezca de un grado de vaguedad tal que infrinja el mandato de taxatividad que impone el art. 25.1 CE. La infracción que el art. 544 CP describe resulta reconocible con un razonable grado de claridad y, por tanto, debemos descartar que su redacción impida conocer de antemano qué conductas son susceptibles de ser castigadas bajo su ámbito, quedando debidamente preservado el principio de seguridad jurídica. El hecho de que el mencionado artículo se sirva de conceptos jurídicos indeterminados o emplee vocablos que admiten varios significados no empece la conclusión alcanzada, pues como ha quedado reflejado en un apartado anterior, nuestra doctrina admite la utilización de esos recursos, sin que por ello se resienta la garantía de taxatividad que forma parte del derecho reconocido en el art. 25.1 CE. Estas consideraciones, por sí solas, descartan la pertinencia de plantear la cuestión interna de inconstitucionalidad que suscita el recurrente.</w:t>
      </w:r>
    </w:p>
    <w:p w:rsidR="005728DD" w:rsidRDefault="005728DD" w:rsidP="005728DD">
      <w:pPr>
        <w:pStyle w:val="TextoNormal"/>
      </w:pPr>
    </w:p>
    <w:p w:rsidR="005728DD" w:rsidRDefault="005728DD" w:rsidP="005728DD">
      <w:pPr>
        <w:pStyle w:val="TextoNormal"/>
      </w:pPr>
      <w:r>
        <w:t>Queda un último punto que abordar, relativo al alegato de que la mera vigencia del art. 544 CP restringe el ejercicio de las libertades de expresión e ideológica, así como el derecho de reunión pacífica. La respuesta dada anteriormente sobre la inconcreción del precepto determina de por sí que esta queja decaiga, al estar vinculada a la vulneración del principio de taxatividad. No obstante, resulta pertinente exponer varias consideraciones adicionales.</w:t>
      </w:r>
    </w:p>
    <w:p w:rsidR="005728DD" w:rsidRDefault="005728DD" w:rsidP="005728DD">
      <w:pPr>
        <w:pStyle w:val="TextoNormal"/>
      </w:pPr>
    </w:p>
    <w:p w:rsidR="005728DD" w:rsidRDefault="005728DD" w:rsidP="005728DD">
      <w:pPr>
        <w:pStyle w:val="TextoNormal"/>
      </w:pPr>
      <w:r>
        <w:t xml:space="preserve">Así, en relación con el art. 544 CP, se afirma en la demanda que “su mera vigencia puede restringir de modo patente el ejercicio de los derechos fundamentales”. En los términos en </w:t>
      </w:r>
      <w:r>
        <w:lastRenderedPageBreak/>
        <w:t>que se ha formulado la denuncia, únicamente se advierte de la eventual causación de un perjuicio hipotético, lo cual determina que la misma deba ser rechazada. Para ello, basta recordar nuestra doctrina compendiada, entre otras resoluciones, en la STC 177/2005, de 4 de julio, FJ único, en cuya virtud no cabe considerar el recurso de amparo como un mecanism</w:t>
      </w:r>
      <w:r w:rsidRPr="005728DD">
        <w:rPr>
          <w:i/>
        </w:rPr>
        <w:t>o ad cautel</w:t>
      </w:r>
      <w:r>
        <w:t>am para la tutela de los derechos fundamentales:</w:t>
      </w:r>
    </w:p>
    <w:p w:rsidR="005728DD" w:rsidRDefault="005728DD" w:rsidP="005728DD">
      <w:pPr>
        <w:pStyle w:val="TextoNormal"/>
      </w:pPr>
    </w:p>
    <w:p w:rsidR="005728DD" w:rsidRDefault="005728DD" w:rsidP="005728DD">
      <w:pPr>
        <w:pStyle w:val="TextoNormal"/>
      </w:pPr>
      <w:r>
        <w:t>“[C]onstituye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Este tribunal, desde su más temprana jurisprudencia (ATC 98/1981, de 30 de septiembre, FJ 4; y STC 77/1982, de 20 de diciembre, FJ 1), ha requerido como presupuesto inexcusable de la petición de amparo que esta se formule en razón de la existencia de una lesión efectiva, real y concreta a un derecho fundamental, lo que no sucede cuando lo que se contiene en la demanda es la mera invocación de un hipotético daño potencial”.</w:t>
      </w:r>
    </w:p>
    <w:p w:rsidR="005728DD" w:rsidRDefault="005728DD" w:rsidP="005728DD">
      <w:pPr>
        <w:pStyle w:val="TextoNormal"/>
      </w:pPr>
    </w:p>
    <w:p w:rsidR="005728DD" w:rsidRDefault="005728DD" w:rsidP="005728DD">
      <w:pPr>
        <w:pStyle w:val="TextoNormal"/>
      </w:pPr>
      <w:r>
        <w:t>Al margen de lo expuesto, también se constata que el precepto penal no castiga la movilización masiva de personas cuyo propósito consista en exteriorizar de manera pacífica una protesta. El tipo penal exige que la actuación multitudinaria se conduzca, al menos, por vías extralegales y que, con ello, se persigan algunas de las finalidades netamente contrarias al funcionamiento medular del Estado de Derecho que el precepto detalla; medios y fines estos que no encuentran amparo o justificación en el ejercicio legítimo de ningún derecho fundamental reconocido por la Carta Magna. Por tanto, si la conducta descrita en el precepto no cercena ninguno de los derechos que la demanda cita, tampoco cabe deducir, del tenor del precepto, un “efecto desincentivador” para el ejercicio de estos; aspecto este sobre el que se abundará con mayor detalle en otro aparado posterior.</w:t>
      </w:r>
    </w:p>
    <w:p w:rsidR="005728DD" w:rsidRDefault="005728DD" w:rsidP="005728DD">
      <w:pPr>
        <w:pStyle w:val="TextoNormal"/>
      </w:pPr>
    </w:p>
    <w:p w:rsidR="005728DD" w:rsidRDefault="005728DD" w:rsidP="005728DD">
      <w:pPr>
        <w:pStyle w:val="TextoNormal"/>
      </w:pPr>
      <w:r>
        <w:t>11.3</w:t>
      </w:r>
      <w:r w:rsidRPr="005728DD">
        <w:rPr>
          <w:i/>
        </w:rPr>
        <w:t>. Abandono ad hoc del principio de accesoriedad limitada en la participaci</w:t>
      </w:r>
      <w:r>
        <w:t>ón.</w:t>
      </w:r>
    </w:p>
    <w:p w:rsidR="005728DD" w:rsidRDefault="005728DD" w:rsidP="005728DD">
      <w:pPr>
        <w:pStyle w:val="TextoNormal"/>
      </w:pPr>
    </w:p>
    <w:p w:rsidR="005728DD" w:rsidRDefault="005728DD" w:rsidP="005728DD">
      <w:pPr>
        <w:pStyle w:val="TextoNormal"/>
      </w:pPr>
      <w:r>
        <w:t>11.3.1</w:t>
      </w:r>
      <w:r w:rsidRPr="005728DD">
        <w:rPr>
          <w:i/>
        </w:rPr>
        <w:t>. Posiciones de las part</w:t>
      </w:r>
      <w:r>
        <w:t>es.</w:t>
      </w:r>
    </w:p>
    <w:p w:rsidR="005728DD" w:rsidRDefault="005728DD" w:rsidP="005728DD">
      <w:pPr>
        <w:pStyle w:val="TextoNormal"/>
      </w:pPr>
    </w:p>
    <w:p w:rsidR="005728DD" w:rsidRDefault="005728DD" w:rsidP="005728DD">
      <w:pPr>
        <w:pStyle w:val="TextoNormal"/>
      </w:pPr>
      <w:r>
        <w:t xml:space="preserve">La primera de las denuncias de este apartado se identifica como el abandono </w:t>
      </w:r>
      <w:r w:rsidRPr="005728DD">
        <w:rPr>
          <w:i/>
        </w:rPr>
        <w:t>ad hoc</w:t>
      </w:r>
      <w:r>
        <w:t xml:space="preserve"> del principio de accesoriedad limitada en la participación. En síntesis, la queja se articula del siguiente modo: (i) según el relato de hechos probados, la intervención del demandante sería la propia de un inductor, por propiciar, posibilitar o determinar el alzamiento de otros; (ii) la práctica totalidad de las personas que intervinieron como manifestantes y como votantes en los actos de 20 de septiembre y 1 de octubre de 2017, respectivamente, no han merecido reproche penal alguno y, en los casos aislados en que se ha exigido responsabilidad penal “por ejercer activamente resistencia contra las fuerzas del orden, la propia fiscalía y la abogacía del Estado han admitido y aceptado condenas por un delito de atentado y lesiones leves”; (iii) se ha producido una quiebra manifiesta de las reglas generales sobre la participación, al considerar que en el delito de sedición todos los acusados fueron coautores; (iv) en el presente caso, el abandono del principio de “accesoriedad limitada” en la participación determina que el demandante haya sido condenado por dirigir el primer alzamiento sin alzados de la historia; y ello porque el tribunal sentenciador ha pretendido “escarmentar a los máximos líderes políticos y sociales del movimiento independentista”.</w:t>
      </w:r>
    </w:p>
    <w:p w:rsidR="005728DD" w:rsidRDefault="005728DD" w:rsidP="005728DD">
      <w:pPr>
        <w:pStyle w:val="TextoNormal"/>
      </w:pPr>
    </w:p>
    <w:p w:rsidR="005728DD" w:rsidRDefault="005728DD" w:rsidP="005728DD">
      <w:pPr>
        <w:pStyle w:val="TextoNormal"/>
      </w:pPr>
      <w:r>
        <w:lastRenderedPageBreak/>
        <w:t>Para la abogacía del Estado, el motivo no puede prosperar porque ello supondría ignorar la especialidad del art. 545 CP. Refiere que el demandante no ha sido considerado partícipe sino autor, al evidenciarse una estrategia de conductas que cada uno de los acusados asumió, con dominio funcional del hecho. El partido político Vox sostiene en sus alegaciones que la participación del demandante en el alzamiento sedicioso está perfectamente acreditada, no como partícipe accesorio sino como autor de los hechos. Para el fiscal, el demandante ha sido condenado como coautor de un delito de sedición y no como partícipe, por lo que no sería de aplicación el principio de accesoriedad en la participación. Su conducta ha colmado el elemento objetivo y subjetivo del tipo penal de sedición, por lo que, en definitiva, la sala de enjuiciamiento no ha modificado su doctrina sobre el principio de accesoriedad, ya que consideró que esta doctrina no era aplicable en el presente caso.</w:t>
      </w:r>
    </w:p>
    <w:p w:rsidR="005728DD" w:rsidRDefault="005728DD" w:rsidP="005728DD">
      <w:pPr>
        <w:pStyle w:val="TextoNormal"/>
      </w:pPr>
    </w:p>
    <w:p w:rsidR="005728DD" w:rsidRDefault="005728DD" w:rsidP="005728DD">
      <w:pPr>
        <w:pStyle w:val="TextoNormal"/>
      </w:pPr>
      <w:r>
        <w:t>11.3.2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sede judicial se dio contestación a esta queja, que fue planteada en términos sustancialmente coincidentes por varios condenados. Se expresa en los fundamentos de Derecho 3.2.2.3 B) (respecto del señor Forn), 4.2.3 (respecto del señor Sànchez), 6.2.3 (respecto del señor Turull), 7.2.3 (respecto del señor Rull) y 9.4 (respecto de la señora Forcadell), del auto resolutorio del incidente de nulidad de actuaciones. En relación con el demandante, la argumentación dada fue la siguiente:</w:t>
      </w:r>
    </w:p>
    <w:p w:rsidR="005728DD" w:rsidRDefault="005728DD" w:rsidP="005728DD">
      <w:pPr>
        <w:pStyle w:val="TextoNormal"/>
      </w:pPr>
    </w:p>
    <w:p w:rsidR="005728DD" w:rsidRDefault="005728DD" w:rsidP="005728DD">
      <w:pPr>
        <w:pStyle w:val="TextoNormal"/>
      </w:pPr>
      <w:r>
        <w:t>“La vulneración relacionada con la infracción de la propia jurisprudencia de esta Sala sobre el principio de accesoriedad limitada ha de ser desestimada por las razones reiteradas a lo largo de esta resolución.</w:t>
      </w:r>
    </w:p>
    <w:p w:rsidR="005728DD" w:rsidRDefault="005728DD" w:rsidP="005728DD">
      <w:pPr>
        <w:pStyle w:val="TextoNormal"/>
      </w:pPr>
    </w:p>
    <w:p w:rsidR="005728DD" w:rsidRDefault="005728DD" w:rsidP="005728DD">
      <w:pPr>
        <w:pStyle w:val="TextoNormal"/>
      </w:pPr>
      <w:r>
        <w:t>El señor Rull ha sido condenado como autor de un delito de sedición y no como partícipe en el delito cometido por otros. De conformidad con la sentencia, con su comportamiento, junto al de otros condenados, puso las bases que propiciaron las condiciones de la movilización ciudadana, impidió el normal funcionamiento del Estado que actúa en defensa de la legalidad, participó en la convocatoria de un referéndum ilegal y participó también en su realización. Su actividad no se limita a una idea, o a su expresión, sino a la ejecución de actos que supusieron la creación de unas condiciones que sitúan al proceso en la ilegalidad, poniendo las condiciones que estimó precisas para impedir el funcionamiento de los servicios públicos y la actuación de Estado de acuerdo a la legalidad”.</w:t>
      </w:r>
    </w:p>
    <w:p w:rsidR="005728DD" w:rsidRDefault="005728DD" w:rsidP="005728DD">
      <w:pPr>
        <w:pStyle w:val="TextoNormal"/>
      </w:pPr>
    </w:p>
    <w:p w:rsidR="005728DD" w:rsidRDefault="005728DD" w:rsidP="005728DD">
      <w:pPr>
        <w:pStyle w:val="TextoNormal"/>
      </w:pPr>
      <w:r>
        <w:t>No obstante, el grueso de la argumentación judicial figura en la letra B) del apartado 3.2.2.3 del indicado auto, cuyo tenor es el siguiente:</w:t>
      </w:r>
    </w:p>
    <w:p w:rsidR="005728DD" w:rsidRDefault="005728DD" w:rsidP="005728DD">
      <w:pPr>
        <w:pStyle w:val="TextoNormal"/>
      </w:pPr>
    </w:p>
    <w:p w:rsidR="005728DD" w:rsidRDefault="005728DD" w:rsidP="005728DD">
      <w:pPr>
        <w:pStyle w:val="TextoNormal"/>
      </w:pPr>
      <w:r>
        <w:t>“Niega el incidente que pueda hablarse de dirigentes o autores principales, si antes no se declara que existen sediciosos alzados tumultuariamente. Y, mucho menos, inductores a la sedición, sin hecho principal, por razón de la vigencia del principio de accesoriedad de la participación. Y, estimando que el comportamiento observado por los miles de ciudadanos catalanes involucrados en los hechos no cumple, cuanto menos, el tipo de un delito tan grave como el de sedición, no existiría base para aplicar a continuación el art. 545 del CP a quienes induzcan o lideren tal situación. Lo contrario acarrearía —según el incidente— la vulneración del principio de legalidad en los términos indicados.</w:t>
      </w:r>
    </w:p>
    <w:p w:rsidR="005728DD" w:rsidRDefault="005728DD" w:rsidP="005728DD">
      <w:pPr>
        <w:pStyle w:val="TextoNormal"/>
      </w:pPr>
    </w:p>
    <w:p w:rsidR="005728DD" w:rsidRDefault="005728DD" w:rsidP="005728DD">
      <w:pPr>
        <w:pStyle w:val="TextoNormal"/>
      </w:pPr>
      <w:r>
        <w:lastRenderedPageBreak/>
        <w:t>Conviene recordar, no obstante ser lugar común en la doctrina, que la sedición se construye en el tipo como de naturaleza plurisubjetiva y, dentro de tal categoría, como unilateral o de convergencia. Los plurales autores materiales no son ‘partícipes’ en delito ajeno. Todos convergen con su aportación, incluso con diversidad de funciones, a la consecución de la finalidad típica. Si bien eso no es incompatible con la figura del partícipe por inducción, los especificados en el artículo 545 como los que han ‘inducido, sostenido o dirigido’ no puede equiparase a la figura del partícipe por inducción de la sedición que otros llevan a cabo. ‘Inductores’ significa ahí lo que el antiguo artículo 219 de anteriores Códigos penales tildaba de ‘promotores’. Se refiere solamente a los que, concurriendo en ellos aquellas notas, también ejecutan la sedición desempeñando su particular papel.</w:t>
      </w:r>
    </w:p>
    <w:p w:rsidR="005728DD" w:rsidRDefault="005728DD" w:rsidP="005728DD">
      <w:pPr>
        <w:pStyle w:val="TextoNormal"/>
      </w:pPr>
    </w:p>
    <w:p w:rsidR="005728DD" w:rsidRDefault="005728DD" w:rsidP="005728DD">
      <w:pPr>
        <w:pStyle w:val="TextoNormal"/>
      </w:pPr>
      <w:r>
        <w:t>En tales específicos casos de colectividad delincuente no rigen principios solamente predicables en caso de participación de unos en delitos de otros, como lo exigiría el principio de accesoriedad. Muy al contrario, en aquellos supuestos el principio rector de imputación es el de imputación recíproca. A todos se imputa lo que haga cualquiera de los coautores que actúa bajo acuerdo común.</w:t>
      </w:r>
    </w:p>
    <w:p w:rsidR="005728DD" w:rsidRDefault="005728DD" w:rsidP="005728DD">
      <w:pPr>
        <w:pStyle w:val="TextoNormal"/>
      </w:pPr>
    </w:p>
    <w:p w:rsidR="005728DD" w:rsidRDefault="005728DD" w:rsidP="005728DD">
      <w:pPr>
        <w:pStyle w:val="TextoNormal"/>
      </w:pPr>
      <w:r>
        <w:t xml:space="preserve">Y ello aunque esa contribución, por parte de los que en tumulto ejecutan el elemento objetivo del tipo, no origine la misma responsabilidad penal o incluso no dé lugar a ninguna. Ya porque estos no actuaran compartiendo voluntariamente en su totalidad el sedicente programa de los otros autores, ya porque no concurra el elemento subjetivo exigible. Y en todo caso, no es algo que nos corresponde dilucidar. En la sentencia cuya nulidad se pretende ya se explica que nuestra función se ciñe a decidir sobre las pretensiones tal como han sido formuladas por las acusaciones, sin interferir en otros procedimientos que puedan estar siguiéndose contra otros acusados en distintos juzgados o tribunales. No tenemos que valorar esas actuaciones, tampoco para bendecirlas o declararlas atípicas. No es superfluo recordar que la sentencia declara probado que los acusados concertaron como estrategia ‘crear una aparente cobertura jurídica que permitiera hacer creer a la ciudadanía que cuando depositara su voto estaría contribuyendo al acto fundacional de la República Independiente de Cataluña’. Si eso se hace aprovechando la ventaja y la </w:t>
      </w:r>
      <w:r w:rsidRPr="005728DD">
        <w:rPr>
          <w:i/>
        </w:rPr>
        <w:t>auctoritas</w:t>
      </w:r>
      <w:r>
        <w:t xml:space="preserve"> de quien desempeña responsabilidades institucionales, tampoco podría excluirse la concurrencia de un error exonerante en buena parte de la ciudadanía que acudió a sendas convocatorias de los días 20 de septiembre y 1 de octubre, en la creencia de una pretendida cobertura jurídica del acto al que se les invitaba con insistencia desde sedes institucionales de Cataluña.</w:t>
      </w:r>
    </w:p>
    <w:p w:rsidR="005728DD" w:rsidRDefault="005728DD" w:rsidP="005728DD">
      <w:pPr>
        <w:pStyle w:val="TextoNormal"/>
      </w:pPr>
    </w:p>
    <w:p w:rsidR="005728DD" w:rsidRDefault="005728DD" w:rsidP="005728DD">
      <w:pPr>
        <w:pStyle w:val="TextoNormal"/>
      </w:pPr>
      <w:r>
        <w:t>Por ello el similar alegato de la defensa recibió la respuesta recogida en la sentencia al glosar el juicio de autoría [cfr. juicio de autoría; 1.- delito de sedición; c) página 301]. Considerando a los ciudadanos concurrentes el 20 de septiembre y el 1 de octubre ajenos a todo error e imputables, se nos alegaba por la defensa que ello implicaría un punto desde el que operaría la ‘prohibición de regreso’ en la sucesión causal, en la que ya no incidiría el señor Forn con posterioridad. Como allí dijimos esa actuación ciudadana está lejos de ser ‘extraña’ a los actos del señor Forn, que la preordenó y promovió con el acuerdo de los otros acusados. De ahí que le hayamos imputado tanto el riesgo y lesión del bien jurídico como la realización de los funcionales hechos-medio que lo causaron”.</w:t>
      </w:r>
    </w:p>
    <w:p w:rsidR="005728DD" w:rsidRDefault="005728DD" w:rsidP="005728DD">
      <w:pPr>
        <w:pStyle w:val="TextoNormal"/>
      </w:pPr>
    </w:p>
    <w:p w:rsidR="005728DD" w:rsidRDefault="005728DD" w:rsidP="005728DD">
      <w:pPr>
        <w:pStyle w:val="TextoNormal"/>
      </w:pPr>
      <w:r>
        <w:t xml:space="preserve">Frente al esquema argumental del recurrente, que en base al contenido del relato fáctico considera que, todo lo más, podría ser reputado partícipe en unos hechos realizados por </w:t>
      </w:r>
      <w:r>
        <w:lastRenderedPageBreak/>
        <w:t>terceros innominados, el tribunal enjuiciador refuta ese alegato bajo una doble consideración: (i) que el demandante no ha sido condenado como partícipe sino como coautor principal de un delito de sedición; (ii) que los ciudadanos que se manifestaron el día 20 de septiembre y los que participaron en la votación el día 1 de octubre de 2017 son ajenos al presente enjuiciamiento, por lo que de su eventual responsabilidad penal nada cabe decir.</w:t>
      </w:r>
    </w:p>
    <w:p w:rsidR="005728DD" w:rsidRDefault="005728DD" w:rsidP="005728DD">
      <w:pPr>
        <w:pStyle w:val="TextoNormal"/>
      </w:pPr>
    </w:p>
    <w:p w:rsidR="005728DD" w:rsidRDefault="005728DD" w:rsidP="005728DD">
      <w:pPr>
        <w:pStyle w:val="TextoNormal"/>
      </w:pPr>
      <w:r>
        <w:t>11.3.3</w:t>
      </w:r>
      <w:r w:rsidRPr="005728DD">
        <w:rPr>
          <w:i/>
        </w:rPr>
        <w:t>. Resolución de la que</w:t>
      </w:r>
      <w:r>
        <w:t>ja.</w:t>
      </w:r>
    </w:p>
    <w:p w:rsidR="005728DD" w:rsidRDefault="005728DD" w:rsidP="005728DD">
      <w:pPr>
        <w:pStyle w:val="TextoNormal"/>
      </w:pPr>
    </w:p>
    <w:p w:rsidR="005728DD" w:rsidRDefault="005728DD" w:rsidP="005728DD">
      <w:pPr>
        <w:pStyle w:val="TextoNormal"/>
      </w:pPr>
      <w:r>
        <w:t>Antes de proceder a resolver el motivo resulta pertinente dejar constancia nuevamente sobre cuál debe ser el alcance de nuestra respuesta. A este respecto, debemos indicar que no procede que nos pronunciemos de manera global sobre la constitucionalidad del grado de participación atribuido al demandante, pues únicamente nos compete resolver, en congruencia con el motivo alegado, si el tribunal sentenciador ha omitido la aplicación del principio de accesoriedad limitada al valorar ese aspecto y, con ello, ha generado una lesión susceptible de tutela en esta sede; pero no por contravenir el principio de igualdad en la aplicación de la ley (art. 14 CE), puesto que ni expresamente se invoca esta lesión en la demanda, ni tampoco se ofrece un elemento de contraste (</w:t>
      </w:r>
      <w:r w:rsidRPr="005728DD">
        <w:rPr>
          <w:i/>
        </w:rPr>
        <w:t>tertium comparationis</w:t>
      </w:r>
      <w:r>
        <w:t>), que permita cotejar el abandono selectivo de esa doctrina jurisprudencial consolidada, sino desde la perspectiva propia de la eventual vulneración del derecho reconocido en el art. 25.1 CE.</w:t>
      </w:r>
    </w:p>
    <w:p w:rsidR="005728DD" w:rsidRDefault="005728DD" w:rsidP="005728DD">
      <w:pPr>
        <w:pStyle w:val="TextoNormal"/>
      </w:pPr>
    </w:p>
    <w:p w:rsidR="005728DD" w:rsidRDefault="005728DD" w:rsidP="005728DD">
      <w:pPr>
        <w:pStyle w:val="TextoNormal"/>
      </w:pPr>
      <w:r>
        <w:t>Seguidamente, a fin de abordar la denuncia en toda su dimensión procede reflejar, siquiera sucintamente, el contenido de la denominada teoría de la accesoriedad limitada en materia de participación que ha sido reconocido por la jurisprudencia. Aun cuando es de fecha posterior a las resoluciones judiciales impugnadas en el presente recurso, la STS 623/2020, de la Sala de lo Penal, de 19 de noviembre, FJ 3, sistematiza detalladamente el contenido y alcance del consolidado principio de accesoriedad limitada en la participación:</w:t>
      </w:r>
    </w:p>
    <w:p w:rsidR="005728DD" w:rsidRDefault="005728DD" w:rsidP="005728DD">
      <w:pPr>
        <w:pStyle w:val="TextoNormal"/>
      </w:pPr>
    </w:p>
    <w:p w:rsidR="005728DD" w:rsidRDefault="005728DD" w:rsidP="005728DD">
      <w:pPr>
        <w:pStyle w:val="TextoNormal"/>
      </w:pPr>
      <w:r>
        <w:t>“La importancia que el principio de accesoriedad tiene en la dogmática mayoritaria y en la jurisprudencia de esta Sala, no necesita ser argumentada. De hecho, aquel principio ha llegado a ser considerado como una necesidad conceptual. Ello no debe ser obstáculo, sin embargo, para reconocer que no faltan propuestas dogmáticas minoritarias que explican la coparticipación sin necesidad de recurrir al principio de accesoriedad, argumentando que el partícipe realiza su propio injusto. Pese a todo, es cierto que esta Sala —en sintonía con la doctrina dominante—, ha convertido el principio de accesoriedad en uno de los fundamentos del castigo del partícipe y de este dato incuestionable hemos de partir para concluir la ausencia de la infracción legal que denuncia el recurrente. El principio de accesoriedad, pese a la sutil propuesta de la defensa del recurrente, no se explica por la relación entre el partícipe y el autor material, sino por la acción que uno y otro protagonizan. Para que pueda haber accesoriedad es indispensable que exista un hecho principal típicamente antijurídico. El que ese hecho de relevancia jurídico-penal pueda ser atribuido a una persona concreta o que aquella a la que inicialmente se imputaba resulte absuelta, en nada afecta a la afirmación de accesoriedad. Llevado el razonamiento de la defensa a sus últimas consecuencias, habríamos de aceptar que, en un supuesto, por ejemplo, de asesinato en el que hubieran resultado procesados el autor material y varios cooperadores necesarios, el fallecimiento del primero obligaría al sobreseimiento de la causa respecto de los restantes [...].</w:t>
      </w:r>
    </w:p>
    <w:p w:rsidR="005728DD" w:rsidRDefault="005728DD" w:rsidP="005728DD">
      <w:pPr>
        <w:pStyle w:val="TextoNormal"/>
      </w:pPr>
    </w:p>
    <w:p w:rsidR="005728DD" w:rsidRDefault="005728DD" w:rsidP="005728DD">
      <w:pPr>
        <w:pStyle w:val="TextoNormal"/>
      </w:pPr>
      <w:r>
        <w:lastRenderedPageBreak/>
        <w:t>El artículo 28 del Código penal lo que exige, es que los intervinientes, ya sean los ‘considerados’ autores, como inductores o cooperadores necesarios, ya sean los cómplices, participen en la ejecución de un hecho. El que realiza el autor principal. Tal precepto concibe la participación conforme a la denominada accesoriedad limitada. Basta la comisión de un hecho antijurídico, aunque su autor no sea culpable. Pero, doctrina y jurisprudencia convienen en que se excluye si el hecho del autor está justificado. Es decir, no se admite que la participación esté condicionada, solo por una accesoriedad mínima [...]”.</w:t>
      </w:r>
    </w:p>
    <w:p w:rsidR="005728DD" w:rsidRDefault="005728DD" w:rsidP="005728DD">
      <w:pPr>
        <w:pStyle w:val="TextoNormal"/>
      </w:pPr>
    </w:p>
    <w:p w:rsidR="005728DD" w:rsidRDefault="005728DD" w:rsidP="005728DD">
      <w:pPr>
        <w:pStyle w:val="TextoNormal"/>
      </w:pPr>
      <w:r>
        <w:t>El órgano sentenciador concluyó que el recurrente no se limitó a participar en un delito de sedición ejecutado por un tropel de ciudadanos, pues estimó que su actuación encaja plenamente en la figura del coautor principal. En el juicio de autoría, que figura en el apartado C) 1 de la sentencia (ya sintetizado en los antecedentes de esta resolución), dicho órgano explicita las razones que le llevaron a colegir que el demandante es autor del delito de sedición, junto a otros condenados, amén del juicio singularizado que figura en el apartado C) 1.5. En esos apartados, se puso de relieve la creación o el incremento del riesgo que su conducta supuso para el bien jurídico protegido y la incidencia que tuvo en relación con los comportamientos tumultuarios, con episodios ocasionalmente violentos, que se produjeron. Esa actuación dio lugar a que fuera condenado al amparo de lo dispuesto en el art. 545.1 CP, precepto este que castiga a quienes “hubieren inducido, sostenido o dirigido la sedición o aparecieren en ella como sus principales autores”; siéndole apreciado, además, el subtipo agravado que en la norma citada se recoge, por tratarse de una “persona constituida en autoridad ”.</w:t>
      </w:r>
    </w:p>
    <w:p w:rsidR="005728DD" w:rsidRDefault="005728DD" w:rsidP="005728DD">
      <w:pPr>
        <w:pStyle w:val="TextoNormal"/>
      </w:pPr>
    </w:p>
    <w:p w:rsidR="005728DD" w:rsidRDefault="005728DD" w:rsidP="005728DD">
      <w:pPr>
        <w:pStyle w:val="TextoNormal"/>
      </w:pPr>
      <w:r>
        <w:t>Por su parte, en el auto resolutorio del incidente de nulidad se detallan los motivos por los que el demandante no fue considerado un mero partícipe por inducción de un delito cometido por otros autores; principalmente, porque su comportamiento se valora como el de un verdadero “promotor” del delito de sedición, al que se refería el art. 219 del anterior CP, lo que determinó que su obrar fuera catalogado como propio de un coautor principal que, conforme a ese rol, desempeñó su particular papel y, por ello, fue acreedor de la imputación recíproca de todo lo que hubieran realizado cualquiera de los coautores que actuaron bajo acuerdo común.</w:t>
      </w:r>
    </w:p>
    <w:p w:rsidR="005728DD" w:rsidRDefault="005728DD" w:rsidP="005728DD">
      <w:pPr>
        <w:pStyle w:val="TextoNormal"/>
      </w:pPr>
    </w:p>
    <w:p w:rsidR="005728DD" w:rsidRDefault="005728DD" w:rsidP="005728DD">
      <w:pPr>
        <w:pStyle w:val="TextoNormal"/>
      </w:pPr>
      <w:r>
        <w:t>Por otro lado, la Sala defendió la inaplicación del referido principio de accesoriedad limitada en base a las consideraciones que le mereció la conducta de los ciudadanos que participaron en la votación, el día 1 de octubre de 2017, y concurrieron a la manifestación acaecida el 20 de septiembre anterior, en los términos que han sido reflejados. Ciertamente, no todos los intervinientes tuvieron un mismo comportamiento; pero, como así se indica en la sentencia, las conductas de los individuos que participaron en esos eventos son ajenas al juzgamiento del tribunal sentenciador, habida cuenta de que el objeto del presente proceso quedó circunscrito a los extremos acotados por las partes acusadoras. Por ello, la actuación multitudinaria de esos terceros no fue individualmente valorada en sede judicial, pues ni fueron acusados en el proceso del que dimana el presente recurso de amparo, ni consta tampoco que lo hayan sido, por delito de sedición, en otros procedimientos.</w:t>
      </w:r>
    </w:p>
    <w:p w:rsidR="005728DD" w:rsidRDefault="005728DD" w:rsidP="005728DD">
      <w:pPr>
        <w:pStyle w:val="TextoNormal"/>
      </w:pPr>
    </w:p>
    <w:p w:rsidR="005728DD" w:rsidRDefault="005728DD" w:rsidP="005728DD">
      <w:pPr>
        <w:pStyle w:val="TextoNormal"/>
      </w:pPr>
      <w:r>
        <w:t xml:space="preserve">A la vista de lo expuesto, debemos convenir que el órgano de enjuiciamiento no ha vulnerado el derecho reconocido en el art. 25.1 CE por el motivo que le imputa el recurrente. El hecho de que la participación del demandante se considere como la propia de un autor en </w:t>
      </w:r>
      <w:r>
        <w:lastRenderedPageBreak/>
        <w:t>sentido estricto, con base en argumentos tales como que el delito de sedición es de naturaleza “plurisubjetiva” y de “consumación anticipada”; que el comportamiento de los condenados supuso un incremento del riesgo para el bien jurídico protegido; y que el demandante realizó, conforme a lo ideado de consuno, la aportación individual para la consecución de la finalidad delictiva, de manera que a todos los autores les es imputable lo realizado por los otros, no son razones que quepa tildar de aberrantes, irrazonables o arbitrarias, sin que tampoco se aprecie contrariedad al parámetro de razonabilidad metodológica y axiológica asentado por nuestra doctrina.</w:t>
      </w:r>
    </w:p>
    <w:p w:rsidR="005728DD" w:rsidRDefault="005728DD" w:rsidP="005728DD">
      <w:pPr>
        <w:pStyle w:val="TextoNormal"/>
      </w:pPr>
    </w:p>
    <w:p w:rsidR="005728DD" w:rsidRDefault="005728DD" w:rsidP="005728DD">
      <w:pPr>
        <w:pStyle w:val="TextoNormal"/>
      </w:pPr>
      <w:r>
        <w:t>Por otro lado, que los terceros que participaron en los actos multitudinarios no hayan sido enjuiciados por los hechos que han dado lugar a la condena del demandante, no autoriza a colegir que actuaran amparados por una causa de justificación, en su acepción jurídico-penal; circunstancia esta que, de haberse apreciado respecto de los autores permitiría excluir la responsabilidad criminal de los partícipes, con fundamento en la teoría de la accesoriedad limitada. Sin embargo, como aquellos terceros no han estado sujetos a un procedimiento penal, cualquier valoración sobre la relevancia de su conducta en ese ámbito resulta improcedente, más aún en esta sede constitucional.</w:t>
      </w:r>
    </w:p>
    <w:p w:rsidR="005728DD" w:rsidRDefault="005728DD" w:rsidP="005728DD">
      <w:pPr>
        <w:pStyle w:val="TextoNormal"/>
      </w:pPr>
    </w:p>
    <w:p w:rsidR="005728DD" w:rsidRDefault="005728DD" w:rsidP="005728DD">
      <w:pPr>
        <w:pStyle w:val="TextoNormal"/>
      </w:pPr>
      <w:r>
        <w:t xml:space="preserve">El hecho de que la actuación de la multitud de personas que, según se describe en el relato fáctico de la sentencia, intervino en los hechos acaecidos los días 20 de septiembre y 1 de octubre de 2017, sí se haya valorado en su dimensión colectiva para apreciar del delito de sedición, no obsta la anterior conclusión. Como ya hemos advertido, el objeto de nuestro pronunciamiento respecto de este motivo no se proyecta sobre la problemática que, en toda su extensión, pueda suscitar el concreto grado de participación que se atribuye al demandante. El alcance de nuestra respuesta es más limitado, pues se circunscribe a dirimir si el órgano enjuiciador ha efectuado una exclusión </w:t>
      </w:r>
      <w:r w:rsidRPr="005728DD">
        <w:rPr>
          <w:i/>
        </w:rPr>
        <w:t>ad casum</w:t>
      </w:r>
      <w:r>
        <w:t xml:space="preserve"> del principio de accesoriedad que resulte contraria al mandato del art. 25 CE. Y como ya se ha indicado, sobre ese concreto aspecto no se vislumbra que se haya producido la vulneración denunciada.</w:t>
      </w:r>
    </w:p>
    <w:p w:rsidR="005728DD" w:rsidRDefault="005728DD" w:rsidP="005728DD">
      <w:pPr>
        <w:pStyle w:val="TextoNormal"/>
      </w:pPr>
    </w:p>
    <w:p w:rsidR="005728DD" w:rsidRDefault="005728DD" w:rsidP="005728DD">
      <w:pPr>
        <w:pStyle w:val="TextoNormal"/>
      </w:pPr>
      <w:r>
        <w:t>Finalmente, hemos de añadir que no le corresponde a este tribunal pronunciarse sobre si las respuestas dadas por el órgano judicial son las únicas que se ajustan a Derecho, pues ello supondría adentrarse en una labor que queda extramuros de nuestro cometido. Ahora bien, de acuerdo con la función de control que nos compete, reiteramos que el tribunal sentenciador ofrece una argumentación que, de manera razonable, descarta que haya existido un abandono selectivo e interesado del principio de accesoriedad limitada en la participación, en el entendimiento de que no concurrieron los presupuestos para la aplicación de ese principio, al entender que el demandante, junto a otros encausados, fue coautor de los hechos.</w:t>
      </w:r>
    </w:p>
    <w:p w:rsidR="005728DD" w:rsidRDefault="005728DD" w:rsidP="005728DD">
      <w:pPr>
        <w:pStyle w:val="TextoNormal"/>
      </w:pPr>
    </w:p>
    <w:p w:rsidR="005728DD" w:rsidRDefault="005728DD" w:rsidP="005728DD">
      <w:pPr>
        <w:pStyle w:val="TextoNormal"/>
      </w:pPr>
      <w:r>
        <w:t>11</w:t>
      </w:r>
      <w:r w:rsidRPr="005728DD">
        <w:rPr>
          <w:i/>
        </w:rPr>
        <w:t>.4. Aplicación analógica del delito de sedición a los hechos enjuici</w:t>
      </w:r>
      <w:r>
        <w:t>ados.</w:t>
      </w:r>
    </w:p>
    <w:p w:rsidR="005728DD" w:rsidRDefault="005728DD" w:rsidP="005728DD">
      <w:pPr>
        <w:pStyle w:val="TextoNormal"/>
      </w:pPr>
    </w:p>
    <w:p w:rsidR="005728DD" w:rsidRDefault="005728DD" w:rsidP="005728DD">
      <w:pPr>
        <w:pStyle w:val="TextoNormal"/>
      </w:pPr>
      <w:r>
        <w:t>11.4.1</w:t>
      </w:r>
      <w:r w:rsidRPr="005728DD">
        <w:rPr>
          <w:i/>
        </w:rPr>
        <w:t>. Posiciones de las part</w:t>
      </w:r>
      <w:r>
        <w:t>es.</w:t>
      </w:r>
    </w:p>
    <w:p w:rsidR="005728DD" w:rsidRDefault="005728DD" w:rsidP="005728DD">
      <w:pPr>
        <w:pStyle w:val="TextoNormal"/>
      </w:pPr>
    </w:p>
    <w:p w:rsidR="005728DD" w:rsidRDefault="005728DD" w:rsidP="005728DD">
      <w:pPr>
        <w:pStyle w:val="TextoNormal"/>
      </w:pPr>
      <w:r>
        <w:t xml:space="preserve">La tercera de las quejas asociadas al principio de legalidad en materia penal (art. 25.1 CE) concierne expresamente a la interpretación y aplicación judicial del tipo de sedición (art. 544 CP), en el entendimiento de que el órgano judicial ha sobrepasado los límites del referido artículo y ha hecho uso del instituto de la analogía </w:t>
      </w:r>
      <w:r w:rsidRPr="005728DD">
        <w:rPr>
          <w:i/>
        </w:rPr>
        <w:t>in malam partem</w:t>
      </w:r>
      <w:r>
        <w:t xml:space="preserve">. El reproche que se dirige a la labor de subsunción se refiere tanto a los acontecimientos que tuvieron lugar el día 20 de septiembre del 2017 como a los que se produjeron el día 1 de octubre del </w:t>
      </w:r>
      <w:r>
        <w:lastRenderedPageBreak/>
        <w:t>indicado año. Respecto de los hechos acaecidos el día 20 de septiembre se aduce: (i)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(ii) conforme al relato histórico de la sentencia, lo que realmente se desarrolló fue una manifestación ciudadana de unas 40 000 personas, en la que unos pocos participantes incurrieron en excesos, cuyo resultado se circunscribió a la causación de daños materiales; (iii) la resolución judicial que debía ejecutarse en la sede del Departamento de Economía solo se vio dificultada por la actuación de los terceros, pero no se impidió que llegara a materializarse, que es lo que exige el tipo penal; (iv) no se expresa en la sentencia qué concreta intervención tuvo el demandante en el supuesto “alzamiento tumultuario” acaecido el 20 de septiembre del 2017. Alega también que no existe vinculación alguna entre este acontecimiento o los hechos que tuvieron lugar el 1 de octubre de 2017, y su supuesta negativa a que un barco policial atracara en el puerto de Palamós, maniobra que no fue formalmente solicitada. Finalmente, muestra su extrañeza por no haber sido condenado por un delito de desobediencia, como otros consejeros, al considerar que su conducta debe ser considerada equivalente.</w:t>
      </w:r>
    </w:p>
    <w:p w:rsidR="005728DD" w:rsidRDefault="005728DD" w:rsidP="005728DD">
      <w:pPr>
        <w:pStyle w:val="TextoNormal"/>
      </w:pPr>
    </w:p>
    <w:p w:rsidR="005728DD" w:rsidRDefault="005728DD" w:rsidP="005728DD">
      <w:pPr>
        <w:pStyle w:val="TextoNormal"/>
      </w:pPr>
      <w:r>
        <w:t>En relación con los hechos acaecidos el día 1 de octubre de 2017, la censura se contrae a los siguientes extremos: (i) la cesión de un único local gestionado por el Departamento de Territorio y Sostenibilidad del que era responsable no puede convertirle en uno de los máximos cabecillas de la supuesta insurrección sediciosa; (ii) el relato histórico no recoge los elementos necesarios para la apreciación del delito de sedición, toda vez que omite aspectos relativos a las características de los enfrentamientos y sus concretas consecuencias y, sobre todo, no indica quién llevó la iniciativa insurreccional, pues para colmar las exigencias del delito de sedición no basta la mera obstaculización, interposición física o los enfrentamientos con la policía; (iii) no cabe subsanar esas deficiencias apelando a los móviles perseguidos mediante la atribución de conductas ajenas al tipo penal; (iv) a la vista del relato de hechos probados, cabe afirmar que se ha aplicado analógicamente el antiguo tipo penal de convocatoria de referéndum regulado en el art. 50</w:t>
      </w:r>
      <w:r w:rsidRPr="005728DD">
        <w:rPr>
          <w:i/>
        </w:rPr>
        <w:t>6 b</w:t>
      </w:r>
      <w:r>
        <w:t>is CP, que fue derogado en el año 2005.</w:t>
      </w:r>
    </w:p>
    <w:p w:rsidR="005728DD" w:rsidRDefault="005728DD" w:rsidP="005728DD">
      <w:pPr>
        <w:pStyle w:val="TextoNormal"/>
      </w:pPr>
    </w:p>
    <w:p w:rsidR="005728DD" w:rsidRDefault="005728DD" w:rsidP="005728DD">
      <w:pPr>
        <w:pStyle w:val="TextoNormal"/>
      </w:pPr>
      <w:r>
        <w:t>Para la abogacía del Estado no ha tenido lugar la aplicación analógica que se denuncia, toda vez que la subsunción de los hechos realizada por el órgano judicial se ha verificado de manera lógica y acorde con principios interpretativos válidos y previsibles, sin contrariar el sentido literal del precepto aplicado. Afirma que existió un levantamiento multitudinario y generalizado, que fue proyectado de forma estratégica; que la autoridad del Poder Judicial fue sustituida por la voluntad de los convocantes y de quienes los secundaron; y que esa voluntad fue impuesta por la fuerza. Y en todos esos hechos, se destaca la participación relevante del promotor del amparo como responsable de la movilización de resistencia activa.</w:t>
      </w:r>
    </w:p>
    <w:p w:rsidR="005728DD" w:rsidRDefault="005728DD" w:rsidP="005728DD">
      <w:pPr>
        <w:pStyle w:val="TextoNormal"/>
      </w:pPr>
    </w:p>
    <w:p w:rsidR="005728DD" w:rsidRDefault="005728DD" w:rsidP="005728DD">
      <w:pPr>
        <w:pStyle w:val="TextoNormal"/>
      </w:pPr>
      <w:r>
        <w:t>Para el partido político Vox, el órgano judicial no llevó a cabo una interpretación analógic</w:t>
      </w:r>
      <w:r w:rsidRPr="005728DD">
        <w:rPr>
          <w:i/>
        </w:rPr>
        <w:t>a in malam part</w:t>
      </w:r>
      <w:r>
        <w:t>em del delito de sedición, pues la subsunción realizada no fue ilógica ni irrazonable ni, por ende, pudo resultar imprevisible.</w:t>
      </w:r>
    </w:p>
    <w:p w:rsidR="005728DD" w:rsidRDefault="005728DD" w:rsidP="005728DD">
      <w:pPr>
        <w:pStyle w:val="TextoNormal"/>
      </w:pPr>
    </w:p>
    <w:p w:rsidR="005728DD" w:rsidRDefault="005728DD" w:rsidP="005728DD">
      <w:pPr>
        <w:pStyle w:val="TextoNormal"/>
      </w:pPr>
      <w:r>
        <w:t xml:space="preserve">El fiscal considera que los hechos declarados probados sí integran la tipicidad del delito de sedición, ya que describen actos de colectivos indeterminados de personas que, de forma exteriorizada y abierta, realizan conductas de enfrentamiento, hostilidad y resistencia a la </w:t>
      </w:r>
      <w:r>
        <w:lastRenderedPageBreak/>
        <w:t>actuación de las fuerzas policiales, con la finalidad de impedir u obstaculizar el cumplimiento de resoluciones judiciales como los registros ordenados por un juzgado o la propia celebración del referéndum prohibido por el Tribunal Constitucional y por el Tribunal Superior de Justicia de Cataluña.</w:t>
      </w:r>
    </w:p>
    <w:p w:rsidR="005728DD" w:rsidRDefault="005728DD" w:rsidP="005728DD">
      <w:pPr>
        <w:pStyle w:val="TextoNormal"/>
      </w:pPr>
    </w:p>
    <w:p w:rsidR="005728DD" w:rsidRDefault="005728DD" w:rsidP="005728DD">
      <w:pPr>
        <w:pStyle w:val="TextoNormal"/>
      </w:pPr>
      <w:r>
        <w:t>También se detalla el concertado papel que desempeñaron los acusados y la finalidad perseguida. Reitera que la conducta del recurrente se encuadra en el supuesto de hecho previsto en la norma punitiva; por ello no ha existido una aplicación extensiva o analógica de la norma sancionadora, pues esta ha sido respetuosa con su tenor literal y, además, no cabe apreciar que, por su soporte metodológico o axiológico, la interpretación conduzca a soluciones esencialmente opuestas a la orientación material de la norma.</w:t>
      </w:r>
    </w:p>
    <w:p w:rsidR="005728DD" w:rsidRDefault="005728DD" w:rsidP="005728DD">
      <w:pPr>
        <w:pStyle w:val="TextoNormal"/>
      </w:pPr>
    </w:p>
    <w:p w:rsidR="005728DD" w:rsidRDefault="005728DD" w:rsidP="005728DD">
      <w:pPr>
        <w:pStyle w:val="TextoNormal"/>
      </w:pPr>
      <w:r>
        <w:t>No obsta a lo dicho que el recurrente no hubiera realizado materialmente los hechos típicos del alzamiento tumultuario, pues su responsabilidad deriva de promover el incumplimiento de resoluciones judiciales y administrativas, a la vez que contribuyó a la pérdida de efectivida</w:t>
      </w:r>
      <w:r w:rsidRPr="005728DD">
        <w:rPr>
          <w:i/>
        </w:rPr>
        <w:t>d de fac</w:t>
      </w:r>
      <w:r>
        <w:t>to de las leyes vigentes en el ámbito de la Comunidad Autónoma de Cataluña.</w:t>
      </w:r>
    </w:p>
    <w:p w:rsidR="005728DD" w:rsidRDefault="005728DD" w:rsidP="005728DD">
      <w:pPr>
        <w:pStyle w:val="TextoNormal"/>
      </w:pPr>
    </w:p>
    <w:p w:rsidR="005728DD" w:rsidRDefault="005728DD" w:rsidP="005728DD">
      <w:pPr>
        <w:pStyle w:val="TextoNormal"/>
      </w:pPr>
      <w:r>
        <w:t xml:space="preserve">Finalmente, el fiscal refuta que la conducta que se atribuye al demandante tenga exclusivo encaje en el derogado delito de referéndum ilegal del art. 506 </w:t>
      </w:r>
      <w:r w:rsidRPr="005728DD">
        <w:rPr>
          <w:i/>
        </w:rPr>
        <w:t>bis</w:t>
      </w:r>
      <w:r>
        <w:t xml:space="preserve"> CP, pues no estamos ante una mera desatención de los mandatos del Tribunal Constitucional ni ante una mera cuestión competencial sobre qué órgano estatal o comunitario es competente, sino ante una conducta que integra el delito de sedición.</w:t>
      </w:r>
    </w:p>
    <w:p w:rsidR="005728DD" w:rsidRDefault="005728DD" w:rsidP="005728DD">
      <w:pPr>
        <w:pStyle w:val="TextoNormal"/>
      </w:pPr>
    </w:p>
    <w:p w:rsidR="005728DD" w:rsidRDefault="005728DD" w:rsidP="005728DD">
      <w:pPr>
        <w:pStyle w:val="TextoNormal"/>
      </w:pPr>
      <w:r>
        <w:t>11.4.2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el apartado 7.2.4 del auto resolutorio del incidente de nulidad, el tribunal ofrece la siguiente respuesta a la queja de la recurrente, relativa a la aplicación analógica del delito de sedición:</w:t>
      </w:r>
    </w:p>
    <w:p w:rsidR="005728DD" w:rsidRDefault="005728DD" w:rsidP="005728DD">
      <w:pPr>
        <w:pStyle w:val="TextoNormal"/>
      </w:pPr>
    </w:p>
    <w:p w:rsidR="005728DD" w:rsidRDefault="005728DD" w:rsidP="005728DD">
      <w:pPr>
        <w:pStyle w:val="TextoNormal"/>
      </w:pPr>
      <w:r>
        <w:t>«La subsunción jurídica en el delito de sedición de los hechos declarados probados con respecto al señor Rull no ha supuesto una aplicación analógica de esta infracción penal, sino que, como se deriva de los argumentos expuestos en la sentencia dictada [véase el punto 1.5 del apartado C) de los fundamentos de derecho de la sentencia], es lógica y acorde a criterios interpretativos válidos, que respetan los principios inspiradores del orden constitucional. Es preciso reiterar aquí alguna de las consideraciones de la sentencia sobre la autoría del señor Rull:</w:t>
      </w:r>
    </w:p>
    <w:p w:rsidR="005728DD" w:rsidRDefault="005728DD" w:rsidP="005728DD">
      <w:pPr>
        <w:pStyle w:val="TextoNormal"/>
      </w:pPr>
    </w:p>
    <w:p w:rsidR="005728DD" w:rsidRDefault="005728DD" w:rsidP="005728DD">
      <w:pPr>
        <w:pStyle w:val="TextoNormal"/>
      </w:pPr>
      <w:r>
        <w:t xml:space="preserve">“La acción típica no requiere, para colmar la autoría, la realización personal de un acto material que suponga el alzamiento público y tumultuario con las finalidades previstas en el tipo penal. Se trata de un delito en el que lo relevante es situarse en las vías de hecho, promover desde la propia responsabilidad el incumplimiento de las resoluciones administrativas y judiciales. Se trata, en fin, de optar de forma decidida por una derogación fáctica del sistema normativo vigente y de la capacidad de ejercicio de la función jurisdiccional en un determinado ámbito territorial. Y esto es precisamente lo que hizo el acusado señor Rull. El delito de sedición se comete con actos de alzamiento, pero también con actos típicos que propicien el alzamiento de otros. Dicho con otras palabras, la autoría del delito no viene dada solo por la materialización efectiva del alzamiento, sino por la realización de conductas </w:t>
      </w:r>
      <w:r>
        <w:lastRenderedPageBreak/>
        <w:t>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w:t>
      </w:r>
    </w:p>
    <w:p w:rsidR="005728DD" w:rsidRDefault="005728DD" w:rsidP="005728DD">
      <w:pPr>
        <w:pStyle w:val="TextoNormal"/>
      </w:pPr>
    </w:p>
    <w:p w:rsidR="005728DD" w:rsidRDefault="005728DD" w:rsidP="005728DD">
      <w:pPr>
        <w:pStyle w:val="TextoNormal"/>
      </w:pPr>
      <w:r>
        <w:t>En cuanto a la alegación de que los hechos eran subsumibles en el derogado tipo de convocatoria ilegal de referéndum, nos remitimos a lo dicho en relación con el incidente promovido por el señor Turull».</w:t>
      </w:r>
    </w:p>
    <w:p w:rsidR="005728DD" w:rsidRDefault="005728DD" w:rsidP="005728DD">
      <w:pPr>
        <w:pStyle w:val="TextoNormal"/>
      </w:pPr>
    </w:p>
    <w:p w:rsidR="005728DD" w:rsidRDefault="005728DD" w:rsidP="005728DD">
      <w:pPr>
        <w:pStyle w:val="TextoNormal"/>
      </w:pPr>
      <w:r>
        <w:t>En relación con el alegato del señor Turull sobre esta temática, en el apartado 6.2.4 del referido auto figura la siguiente argumentación:</w:t>
      </w:r>
    </w:p>
    <w:p w:rsidR="005728DD" w:rsidRDefault="005728DD" w:rsidP="005728DD">
      <w:pPr>
        <w:pStyle w:val="TextoNormal"/>
      </w:pPr>
    </w:p>
    <w:p w:rsidR="005728DD" w:rsidRDefault="005728DD" w:rsidP="005728DD">
      <w:pPr>
        <w:pStyle w:val="TextoNormal"/>
      </w:pPr>
      <w:r>
        <w:t>“Tampoco se ha producido una aplicación analógica del delito de sedición.</w:t>
      </w:r>
    </w:p>
    <w:p w:rsidR="005728DD" w:rsidRDefault="005728DD" w:rsidP="005728DD">
      <w:pPr>
        <w:pStyle w:val="TextoNormal"/>
      </w:pPr>
    </w:p>
    <w:p w:rsidR="005728DD" w:rsidRDefault="005728DD" w:rsidP="005728DD">
      <w:pPr>
        <w:pStyle w:val="TextoNormal"/>
      </w:pPr>
      <w:r>
        <w:t>Como hemos destacado con anterioridad, la autoría del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las leyes, para hacer posible la vigencia de las resoluciones administrativas o judiciales’ […]”.</w:t>
      </w:r>
    </w:p>
    <w:p w:rsidR="005728DD" w:rsidRDefault="005728DD" w:rsidP="005728DD">
      <w:pPr>
        <w:pStyle w:val="TextoNormal"/>
      </w:pPr>
    </w:p>
    <w:p w:rsidR="005728DD" w:rsidRDefault="005728DD" w:rsidP="005728DD">
      <w:pPr>
        <w:pStyle w:val="TextoNormal"/>
      </w:pPr>
      <w:r>
        <w:t>No obstante, dadas las particularidades de esta queja, en diferentes pasajes posteriores se reflejará la contestación que el órgano judicial dio a las distintas censuras dirigidas contra su proceder.</w:t>
      </w:r>
    </w:p>
    <w:p w:rsidR="005728DD" w:rsidRDefault="005728DD" w:rsidP="005728DD">
      <w:pPr>
        <w:pStyle w:val="TextoNormal"/>
      </w:pPr>
    </w:p>
    <w:p w:rsidR="005728DD" w:rsidRDefault="005728DD" w:rsidP="005728DD">
      <w:pPr>
        <w:pStyle w:val="TextoNormal"/>
      </w:pPr>
      <w:r>
        <w:t>11.4.3</w:t>
      </w:r>
      <w:r w:rsidRPr="005728DD">
        <w:rPr>
          <w:i/>
        </w:rPr>
        <w:t>. Resolución de la que</w:t>
      </w:r>
      <w:r>
        <w:t>ja.</w:t>
      </w:r>
    </w:p>
    <w:p w:rsidR="005728DD" w:rsidRDefault="005728DD" w:rsidP="005728DD">
      <w:pPr>
        <w:pStyle w:val="TextoNormal"/>
      </w:pPr>
    </w:p>
    <w:p w:rsidR="005728DD" w:rsidRDefault="005728DD" w:rsidP="005728DD">
      <w:pPr>
        <w:pStyle w:val="TextoNormal"/>
      </w:pPr>
      <w:r>
        <w:t>Al exponer resumidamente los términos del motivo que ahora nos corresponde elucidar, siguiendo el propio esquema de la demanda, hemos disociado en la medida de lo posible las consideraciones que se relacionan con los hechos que tuvieron lugar el 20 de septiembre de 2017, de aquellas otras atinentes a las circunstancias acontecidas el día 1 de octubre.</w:t>
      </w:r>
    </w:p>
    <w:p w:rsidR="005728DD" w:rsidRDefault="005728DD" w:rsidP="005728DD">
      <w:pPr>
        <w:pStyle w:val="TextoNormal"/>
      </w:pPr>
    </w:p>
    <w:p w:rsidR="005728DD" w:rsidRDefault="005728DD" w:rsidP="005728DD">
      <w:pPr>
        <w:pStyle w:val="TextoNormal"/>
      </w:pPr>
      <w:r>
        <w:t>11.4.3.1. Todas las descalificaciones que el demandante dirige contra la sentencia, por la consideración de los hechos acaecidos el día 20 de septiembre como configuradores de un delito de sedición, quedan condicionadas por la respuesta que quepa dar a la alegación relativa a que del contenido de la citada resolución no se desprende qué vinculación tuvo la conducta del recurrente con el favorecimiento de los incidentes del 20 de septiembre de 2017. Hemos de convenir con el demandante en que, en el juicio singularizado de autoría que figura en el apartado C) 1.5 de la sentencia, no se formula ningún razonamiento que expresamente le vincule con los incidentes habidos el día 20 de septiembre de 2017. Ahora bien, como a continuación se explica, esa circunstancia no determina que la queja deba ser estimada.</w:t>
      </w:r>
    </w:p>
    <w:p w:rsidR="005728DD" w:rsidRDefault="005728DD" w:rsidP="005728DD">
      <w:pPr>
        <w:pStyle w:val="TextoNormal"/>
      </w:pPr>
    </w:p>
    <w:p w:rsidR="005728DD" w:rsidRDefault="005728DD" w:rsidP="005728DD">
      <w:pPr>
        <w:pStyle w:val="TextoNormal"/>
      </w:pPr>
      <w:r>
        <w:t xml:space="preserve">El alegato del recurrente se asienta en la siguiente premisa: que la responsabilidad que pudiera serle exigida por esos acontecimientos se debe anudar, necesariamente, a su intervención personal y directa en los mismos. Sin embargo, el tribunal sentenciador no ha fundado su decisión en este postulado, pues como a continuación se expone tuvo en cuenta </w:t>
      </w:r>
      <w:r>
        <w:lastRenderedPageBreak/>
        <w:t>otros factores que se desarrollaron previamente. Concretamente, en el apartado C) 1 de la sentencia se formula el juicio de autoría general sobre el delito de sedición y se razona sobre la imputación colectiva que recae sobre algunos acusados, entre ellos el demandante:</w:t>
      </w:r>
    </w:p>
    <w:p w:rsidR="005728DD" w:rsidRDefault="005728DD" w:rsidP="005728DD">
      <w:pPr>
        <w:pStyle w:val="TextoNormal"/>
      </w:pPr>
    </w:p>
    <w:p w:rsidR="005728DD" w:rsidRDefault="005728DD" w:rsidP="005728DD">
      <w:pPr>
        <w:pStyle w:val="TextoNormal"/>
      </w:pPr>
      <w:r>
        <w:t>“[E]l comportamiento atribuido a [algunos de los acusados] permite atribuirle los riesgos de lesión de tales bienes jurídicos e incluso de su material concreción, tanto del recurso a comportamientos tumultuarios, como episodios en ocasiones violentos y en todo caso fuera de las vía legales, cuanto de las consecuencias de efectivas derogaciones de la legalidad y obstrucciones al cumplimiento de órdenes jurisdiccionales. [...]</w:t>
      </w:r>
    </w:p>
    <w:p w:rsidR="005728DD" w:rsidRDefault="005728DD" w:rsidP="005728DD">
      <w:pPr>
        <w:pStyle w:val="TextoNormal"/>
      </w:pPr>
    </w:p>
    <w:p w:rsidR="005728DD" w:rsidRDefault="005728DD" w:rsidP="005728DD">
      <w:pPr>
        <w:pStyle w:val="TextoNormal"/>
      </w:pPr>
      <w:r>
        <w:t>En cuanto a los acusados miembros del Govern la actividad penalmente típica —derogación de hecho de leyes vigentes y válidas a sustituir por no válidas y la movilización de ciudadanos para comportamientos tumultuarios obstativos de la ejecución de órdenes jurisdiccionales— les es objetivamente imputable como colectivo, en cuanto garantes de la indemnidad del bien jurídico protegido por el delito de sedición: a) tal como concreta la Ley de la Presidencia de la Generalitat y del Govern de Cataluña, el Govern es el órgano superior colegiado que dirige la acción política y la administración de la Generalidad; b) el Govern ejerce la iniciativa legislativa, la función ejecutiva, la potestad reglamentaria y las demás funciones que le asignan la Constitución, el Estatuto y las leyes; c) de manera específica, además, la Ley catalana de la policía autonómica (Ley 10/1994, de 11 de julio) establece en su artículo 2 que corresponde al Govern de la Generalitat, por medio del presidente, el mando supremo del cuerpo de Mossos d’Esquadra. Este mando lo ejerce la persona titular del Departamento de Gobernación, en los términos que establece el artículo 16. Y este atribuye al departamento correspondiente de la administración (artículo 16.2) el mando y la dirección superior del cuerpo de Mossos d’Esquadra. Pese al carácter genérico de tales competencias, estas confieren normativamente, y no solo como poder sino también como deber, un efectivo control del real cumplimiento de lo ordenado en su ejercicio. De otra suerte devendrían ineficaces. Aquella responsabilidad directiva, impone una obligación de vigilancia dirigida a garantizar que las fuerzas de seguridad dependientes garanticen el cumplimiento de la función de policía judicial y, en general, de orden público o mera seguridad ciudadana. Es decir, el debido cumplimiento de los requerimientos judiciales. Mucho más, si cabe, a conjurar todo riesgo de obstrucción a tal cumplimiento”.</w:t>
      </w:r>
    </w:p>
    <w:p w:rsidR="005728DD" w:rsidRDefault="005728DD" w:rsidP="005728DD">
      <w:pPr>
        <w:pStyle w:val="TextoNormal"/>
      </w:pPr>
    </w:p>
    <w:p w:rsidR="005728DD" w:rsidRDefault="005728DD" w:rsidP="005728DD">
      <w:pPr>
        <w:pStyle w:val="TextoNormal"/>
      </w:pPr>
      <w:r>
        <w:t>Por otro lado, al responder a una alegación de la defensa del señor Forn, relativa a la “prohibición de regreso” por la actuación voluntaria y libre de los terceros no acusados, en el referido apartado se pone de manifiesto la importancia de la actuación concertada entre los acusados:</w:t>
      </w:r>
    </w:p>
    <w:p w:rsidR="005728DD" w:rsidRDefault="005728DD" w:rsidP="005728DD">
      <w:pPr>
        <w:pStyle w:val="TextoNormal"/>
      </w:pPr>
    </w:p>
    <w:p w:rsidR="005728DD" w:rsidRDefault="005728DD" w:rsidP="005728DD">
      <w:pPr>
        <w:pStyle w:val="TextoNormal"/>
      </w:pPr>
      <w:r>
        <w:t xml:space="preserve">“Lejos de ser extraña la actuación de los ciudadanos descrita en los hechos probados, fue preordenada y promovida </w:t>
      </w:r>
      <w:r w:rsidRPr="005728DD">
        <w:rPr>
          <w:i/>
        </w:rPr>
        <w:t>ex ante</w:t>
      </w:r>
      <w:r>
        <w:t xml:space="preserve"> por los acusados como imprescindiblemente funcional para crear el riesgo en la inaplicación de leyes e incumplimiento de decisiones legítimas de órganos jurisdiccionales, riesgo luego realizado materialmente con tal comportamiento de los ciudadanos movilizados.</w:t>
      </w:r>
    </w:p>
    <w:p w:rsidR="005728DD" w:rsidRDefault="005728DD" w:rsidP="005728DD">
      <w:pPr>
        <w:pStyle w:val="TextoNormal"/>
      </w:pPr>
    </w:p>
    <w:p w:rsidR="005728DD" w:rsidRDefault="005728DD" w:rsidP="005728DD">
      <w:pPr>
        <w:pStyle w:val="TextoNormal"/>
      </w:pPr>
      <w:r>
        <w:t>Por ello, la imputación objetiva a todos los citados acusados lo es tanto del resultado típico de riesgo e incluso lesión del bien jurídico protegido cuanto del medio en que tal riego se generó, es decir del tumulto en el que se enmarcaron los actos hostiles, y, en caso, violentos”.</w:t>
      </w:r>
    </w:p>
    <w:p w:rsidR="005728DD" w:rsidRDefault="005728DD" w:rsidP="005728DD">
      <w:pPr>
        <w:pStyle w:val="TextoNormal"/>
      </w:pPr>
    </w:p>
    <w:p w:rsidR="005728DD" w:rsidRDefault="005728DD" w:rsidP="005728DD">
      <w:pPr>
        <w:pStyle w:val="TextoNormal"/>
      </w:pPr>
      <w:r>
        <w:t>Por último, procede destacar la argumentación que el apartado D) 1 de la sentencia, al dilucidar sobre las penas que procedía imponer al demandante y al señor Forn:</w:t>
      </w:r>
    </w:p>
    <w:p w:rsidR="005728DD" w:rsidRDefault="005728DD" w:rsidP="005728DD">
      <w:pPr>
        <w:pStyle w:val="TextoNormal"/>
      </w:pPr>
    </w:p>
    <w:p w:rsidR="005728DD" w:rsidRDefault="005728DD" w:rsidP="005728DD">
      <w:pPr>
        <w:pStyle w:val="TextoNormal"/>
      </w:pPr>
      <w:r>
        <w:t>“Los señores Forn y Rull eran miembros del Govern.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 Los tres acusados anteriores participaban, como ha quedado expuesto, del carácter de autoridad [...]”.</w:t>
      </w:r>
    </w:p>
    <w:p w:rsidR="005728DD" w:rsidRDefault="005728DD" w:rsidP="005728DD">
      <w:pPr>
        <w:pStyle w:val="TextoNormal"/>
      </w:pPr>
    </w:p>
    <w:p w:rsidR="005728DD" w:rsidRDefault="005728DD" w:rsidP="005728DD">
      <w:pPr>
        <w:pStyle w:val="TextoNormal"/>
      </w:pPr>
      <w:r>
        <w:t>Los fragmentos transcritos ponen de relieve que la citada resolución sí expresa las razones por las que considera al recurrente responsable del “alzamiento tumultuario” acaecido el 20 de septiembre de 2017. Esa vinculación no se establece de manera individualizada ni tampoco se sustenta en que hubiera tenido una intervención personal en los incidentes. Como así se refleja en los párrafos reproducidos de la sentencia, su responsabilidad se anuda a una actuación realizada de consuno por varios acusados que, con su proceder respectivo, generaron o incrementaron el riesgo de inaplicación de las leyes y el incumplimiento de las decisiones de los órganos jurisdiccionales, de suerte que a todos los acusados mencionados les son imputables los actos hostiles y episódicamente violentos que se desencadenaron, dada la relación existente entre estos incidentes y la actuación precedente de aquellos. En suma, la vinculación del demandante con esos eventos se funda en la existencia de una acción concertada en la que este último participó, conforme a una estrategia de favorecimiento de la movilización de los ciudadanos, que fue diseñada a modo de instrumento efectivo de oposición a la vigencia de las leyes y al cumplimiento de los mandatos judiciales, con la finalidad de organizar un referéndum que fue declarado contrario a la Constitución por este tribunal.</w:t>
      </w:r>
    </w:p>
    <w:p w:rsidR="005728DD" w:rsidRDefault="005728DD" w:rsidP="005728DD">
      <w:pPr>
        <w:pStyle w:val="TextoNormal"/>
      </w:pPr>
    </w:p>
    <w:p w:rsidR="005728DD" w:rsidRDefault="005728DD" w:rsidP="005728DD">
      <w:pPr>
        <w:pStyle w:val="TextoNormal"/>
      </w:pPr>
      <w:r>
        <w:t>A lo dicho debemos añadir los argumentos dados en la sentencia para justificar la coautoría del recurrente —y no la mera condición de partícipe en el delito ejecutado por otros—, que ya se han tenido en consideración al analizar un motivo anterior. Y en cualquier caso, debe advertirse que en el individualizado “juicio de autoría” relativo al demandante [apartado C) 1.5], se detallan las circunstancias por las que al recurrente se le considera autor del delito de sedición [que aparecen compendiadas en el punto (ii) del antecedente 2 p) de esta sentencia], que reflejan la activa promoción que llevó a cabo del “referéndum” y su contumaz oposición, como miembro del Govern, a que la normativa vigente fuera efectivamente aplicada.</w:t>
      </w:r>
    </w:p>
    <w:p w:rsidR="005728DD" w:rsidRDefault="005728DD" w:rsidP="005728DD">
      <w:pPr>
        <w:pStyle w:val="TextoNormal"/>
      </w:pPr>
    </w:p>
    <w:p w:rsidR="005728DD" w:rsidRDefault="005728DD" w:rsidP="005728DD">
      <w:pPr>
        <w:pStyle w:val="TextoNormal"/>
      </w:pPr>
      <w:r>
        <w:t>11.4.3.1.1. Aduce el demandante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Al resolver sobre la alegada insuficiencia del relato histórico, en el apartado 3.2.2.3 A) del auto resolutorio del incidente de nulidad, el tribunal sentenciador razonó del siguiente modo:</w:t>
      </w:r>
    </w:p>
    <w:p w:rsidR="005728DD" w:rsidRDefault="005728DD" w:rsidP="005728DD">
      <w:pPr>
        <w:pStyle w:val="TextoNormal"/>
      </w:pPr>
    </w:p>
    <w:p w:rsidR="005728DD" w:rsidRDefault="005728DD" w:rsidP="005728DD">
      <w:pPr>
        <w:pStyle w:val="TextoNormal"/>
      </w:pPr>
      <w:r>
        <w:t>“A) La defensa del señor Forn minimiza lo que reconoce que ocurrió, considerándolo un mero enfrentamiento aislado y no significativo, dadas las dimensiones de la movilización, pero sin que se constaten agresiones o acometimientos masivos activos.</w:t>
      </w:r>
    </w:p>
    <w:p w:rsidR="005728DD" w:rsidRDefault="005728DD" w:rsidP="005728DD">
      <w:pPr>
        <w:pStyle w:val="TextoNormal"/>
      </w:pPr>
    </w:p>
    <w:p w:rsidR="005728DD" w:rsidRDefault="005728DD" w:rsidP="005728DD">
      <w:pPr>
        <w:pStyle w:val="TextoNormal"/>
      </w:pPr>
      <w:r>
        <w:t>No habría habido así ‘alzamiento’ en la simple interposición física de grupos de personas, que disuadían por su número a los miembros de las fuerzas y cuerpos de seguridad del Estado y que, a lo sumo, obstaculizaban y retrasaban la actuación de dichos agentes, sin impedirla definitivamente, cuando estos empleaban la fuerza. El 20 de septiembre —se arguye— el objetivo de ‘impedir’ la actuación judicial no sería lo perseguido por los concentrados, si por impedir se entiende realmente ‘imposibilitar’ y no meramente ‘interferir o entorpecer’ la cumplimentación de aquella resolución. Se valora que el tumulto imputado a los autores no pone efectivamente en cuestión el funcionamiento del estado democrático de Derecho. Califica de ‘sedición postmoderna’, pero no típica, la movilización multitudinaria dirigida a demostrar la neutralización de la función constitucional atribuida a los jueces, la cual, llega a decir el penado en su incidente, haría del Estado una ‘víctima comunicativa’ de su propia violencia.</w:t>
      </w:r>
    </w:p>
    <w:p w:rsidR="005728DD" w:rsidRDefault="005728DD" w:rsidP="005728DD">
      <w:pPr>
        <w:pStyle w:val="TextoNormal"/>
      </w:pPr>
    </w:p>
    <w:p w:rsidR="005728DD" w:rsidRDefault="005728DD" w:rsidP="005728DD">
      <w:pPr>
        <w:pStyle w:val="TextoNormal"/>
      </w:pPr>
      <w:r>
        <w:t>No reiteraremos ahora el relato íntegro de hechos probados de la sentencia, sino solamente las líneas que resumen los presupuestos objetivos del tipo penal y delatan la artificiosa valoración que de lo ocurrido hace el incidente.</w:t>
      </w:r>
    </w:p>
    <w:p w:rsidR="005728DD" w:rsidRDefault="005728DD" w:rsidP="005728DD">
      <w:pPr>
        <w:pStyle w:val="TextoNormal"/>
      </w:pPr>
    </w:p>
    <w:p w:rsidR="005728DD" w:rsidRDefault="005728DD" w:rsidP="005728DD">
      <w:pPr>
        <w:pStyle w:val="TextoNormal"/>
      </w:pPr>
      <w:r>
        <w:t>En efecto, el hecho probado, de contenido no cuestionado en ningún apartado de este incidente, proclama que el 20 de septiembre, las asociaciones dirigidas por los coacusados y penados señores Sánchez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005728DD" w:rsidRDefault="005728DD" w:rsidP="005728DD">
      <w:pPr>
        <w:pStyle w:val="TextoNormal"/>
      </w:pPr>
    </w:p>
    <w:p w:rsidR="005728DD" w:rsidRDefault="005728DD" w:rsidP="005728DD">
      <w:pPr>
        <w:pStyle w:val="TextoNormal"/>
      </w:pPr>
      <w:r>
        <w:t>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005728DD" w:rsidRDefault="005728DD" w:rsidP="005728DD">
      <w:pPr>
        <w:pStyle w:val="TextoNormal"/>
      </w:pPr>
    </w:p>
    <w:p w:rsidR="005728DD" w:rsidRDefault="005728DD" w:rsidP="005728DD">
      <w:pPr>
        <w:pStyle w:val="TextoNormal"/>
      </w:pPr>
      <w:r>
        <w:t>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005728DD" w:rsidRDefault="005728DD" w:rsidP="005728DD">
      <w:pPr>
        <w:pStyle w:val="TextoNormal"/>
      </w:pPr>
    </w:p>
    <w:p w:rsidR="005728DD" w:rsidRDefault="005728DD" w:rsidP="005728DD">
      <w:pPr>
        <w:pStyle w:val="TextoNormal"/>
      </w:pPr>
      <w: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w:t>
      </w:r>
      <w:r>
        <w:lastRenderedPageBreak/>
        <w:t>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005728DD" w:rsidRDefault="005728DD" w:rsidP="005728DD">
      <w:pPr>
        <w:pStyle w:val="TextoNormal"/>
      </w:pPr>
    </w:p>
    <w:p w:rsidR="005728DD" w:rsidRDefault="005728DD" w:rsidP="005728DD">
      <w:pPr>
        <w:pStyle w:val="TextoNormal"/>
      </w:pPr>
      <w:r>
        <w:t>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005728DD" w:rsidRDefault="005728DD" w:rsidP="005728DD">
      <w:pPr>
        <w:pStyle w:val="TextoNormal"/>
      </w:pPr>
    </w:p>
    <w:p w:rsidR="005728DD" w:rsidRDefault="005728DD" w:rsidP="005728DD">
      <w:pPr>
        <w:pStyle w:val="TextoNormal"/>
      </w:pPr>
      <w:r>
        <w:t>El programa delictivo de los penados preveía —como se proclama en el hecho probado 3— la estrategia de utilizar a multitudes de ciudadanos para ‘neutralizar cualquier manifestación de poder emanada de las autoridades judiciales y gubernativas del Estado’. En definitiva, a la ilicitud de la finalidad perseguida por los autores se une el extravío del procedimiento diseñado como medio. Se decidió actuar con desafío del ordenamiento jurídico que fue declarado derogado, sustituido y suplantado por las Leyes de referéndum y desconexión 6 y 7 de septiembre de 2017. Y en la medida que para esto era un óbice lo que habían ordenado el Tribunal Constitucional y derivadamente los juzgados núm. 13 de Barcelona y el Tribunal Superior de Justicia de Cataluña, llamaron a los ciudadanos a hacer imposible su cumplimiento.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w:t>
      </w:r>
    </w:p>
    <w:p w:rsidR="005728DD" w:rsidRDefault="005728DD" w:rsidP="005728DD">
      <w:pPr>
        <w:pStyle w:val="TextoNormal"/>
      </w:pPr>
    </w:p>
    <w:p w:rsidR="005728DD" w:rsidRDefault="005728DD" w:rsidP="005728DD">
      <w:pPr>
        <w:pStyle w:val="TextoNormal"/>
      </w:pPr>
      <w:r>
        <w:t>Ello no diluiría la tipicidad de los comportamientos. Y no solamente por la diferencia entre los supuestos de abierta tiranía o injusto colonialismo que han estado presentes en los contextos históricos que legitimaron aquellos movimientos. Basta para esa conclusión reparar en el contenido de las leyes antidemocráticas y sedicentes aprobadas los días 6 y 7 de septiembre de 2017, conforme al plan de los acusados como punto de partida. Puede ser suficiente considerar el estatuto político, social o económico que ha definido el entorno en que se han ejecutado los hechos o pensar, en fin, en la posición y los medios que a los autores del hecho concedía su integración en la estructura del Estado, cuyas leyes fueron derogadas y sus jueces abiertamente desobedecidos.</w:t>
      </w:r>
    </w:p>
    <w:p w:rsidR="005728DD" w:rsidRDefault="005728DD" w:rsidP="005728DD">
      <w:pPr>
        <w:pStyle w:val="TextoNormal"/>
      </w:pPr>
    </w:p>
    <w:p w:rsidR="005728DD" w:rsidRDefault="005728DD" w:rsidP="005728DD">
      <w:pPr>
        <w:pStyle w:val="TextoNormal"/>
      </w:pPr>
      <w:r>
        <w:t>En cualquier caso, para satisfacer las exigencias del tipo penal de sedición, acomodándonos al principio de legalidad, es suficiente el extravío —actuar fuera de las vías legales—, del procedimiento ordenado a los ilícitos e inconstitucionales objetivos.</w:t>
      </w:r>
    </w:p>
    <w:p w:rsidR="005728DD" w:rsidRDefault="005728DD" w:rsidP="005728DD">
      <w:pPr>
        <w:pStyle w:val="TextoNormal"/>
      </w:pPr>
    </w:p>
    <w:p w:rsidR="005728DD" w:rsidRDefault="005728DD" w:rsidP="005728DD">
      <w:pPr>
        <w:pStyle w:val="TextoNormal"/>
      </w:pPr>
      <w:r>
        <w:lastRenderedPageBreak/>
        <w:t>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005728DD" w:rsidRDefault="005728DD" w:rsidP="005728DD">
      <w:pPr>
        <w:pStyle w:val="TextoNormal"/>
      </w:pPr>
    </w:p>
    <w:p w:rsidR="005728DD" w:rsidRDefault="005728DD" w:rsidP="005728DD">
      <w:pPr>
        <w:pStyle w:val="TextoNormal"/>
      </w:pPr>
      <w:r>
        <w:t>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5728DD" w:rsidRDefault="005728DD" w:rsidP="005728DD">
      <w:pPr>
        <w:pStyle w:val="TextoNormal"/>
      </w:pPr>
    </w:p>
    <w:p w:rsidR="005728DD" w:rsidRDefault="005728DD" w:rsidP="005728DD">
      <w:pPr>
        <w:pStyle w:val="TextoNormal"/>
      </w:pPr>
      <w:r>
        <w:t>A la vista de lo relatado en los párrafos transcritos, constatamos que la respuesta judicial destaca de modo elocuente los aspectos en que se sustenta la apreciación del delito de sedición. En los apartados 9 y 12 del relato de hechos probados de la sentencia, se pone de manifiesto lo que el tribunal sentenciador considera actos configuradores del “alzamiento tumultuario” que exige el tipo penal, mientras que en apartados anteriores se detalla el desarrollo de la estrategia ideada por los acusados. Por tanto, la censura ahora analizada debe decaer pues, con un razonable grado de concreción, el órgano sentenciador ha fijado el soporte fáctico sobre el que fundamentar la existencia de la infracción penal y, ante la denuncia planteada en sede judicial, ha dispensado una respuesta acorde con las exigencias de motivación que nuestra doctrina requiere.</w:t>
      </w:r>
    </w:p>
    <w:p w:rsidR="005728DD" w:rsidRDefault="005728DD" w:rsidP="005728DD">
      <w:pPr>
        <w:pStyle w:val="TextoNormal"/>
      </w:pPr>
    </w:p>
    <w:p w:rsidR="005728DD" w:rsidRDefault="005728DD" w:rsidP="005728DD">
      <w:pPr>
        <w:pStyle w:val="TextoNormal"/>
      </w:pPr>
      <w:r>
        <w:t>11.4.3.1.2. Se alega también que los hechos que tuvieron lugar el día 20 de septiembre de 2017 no conforman el delito de sedición tipificado en el art. 544 CP. Básicamente dos son las razones en las que se sustenta este aserto: i) por un lado, que fueron muy pocos los congregados que incurrieron en excesos que, a lo sumo, derivaron en daños materiales ocasionados; ii) y, por otra parte, que la actuación de estos últimos dificultó la práctica de la diligencia judicial pero no impidió su cumplimiento, que es lo que exige el tipo para su consumación.</w:t>
      </w:r>
    </w:p>
    <w:p w:rsidR="005728DD" w:rsidRDefault="005728DD" w:rsidP="005728DD">
      <w:pPr>
        <w:pStyle w:val="TextoNormal"/>
      </w:pPr>
    </w:p>
    <w:p w:rsidR="005728DD" w:rsidRDefault="005728DD" w:rsidP="005728DD">
      <w:pPr>
        <w:pStyle w:val="TextoNormal"/>
      </w:pPr>
      <w:r>
        <w:t xml:space="preserve">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w:t>
      </w:r>
      <w:r>
        <w:lastRenderedPageBreak/>
        <w:t>disuelto, haciéndolo concretamente en dos turnos, uno a las 04:00 de la madrugada del día 21 de septiembre y el otro a las 07:00 horas de esa misma fecha”.</w:t>
      </w:r>
    </w:p>
    <w:p w:rsidR="005728DD" w:rsidRDefault="005728DD" w:rsidP="005728DD">
      <w:pPr>
        <w:pStyle w:val="TextoNormal"/>
      </w:pPr>
    </w:p>
    <w:p w:rsidR="005728DD" w:rsidRDefault="005728DD" w:rsidP="005728DD">
      <w:pPr>
        <w:pStyle w:val="TextoNormal"/>
      </w:pPr>
      <w:r>
        <w:t>También queda reflejado en la sentencia cuál era el propósito perseguido con la convocatoria, así como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005728DD" w:rsidRDefault="005728DD" w:rsidP="005728DD">
      <w:pPr>
        <w:pStyle w:val="TextoNormal"/>
      </w:pPr>
    </w:p>
    <w:p w:rsidR="005728DD" w:rsidRDefault="005728DD" w:rsidP="005728DD">
      <w:pPr>
        <w:pStyle w:val="TextoNormal"/>
      </w:pPr>
      <w:r>
        <w:t>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5728DD" w:rsidRDefault="005728DD" w:rsidP="005728DD">
      <w:pPr>
        <w:pStyle w:val="TextoNormal"/>
      </w:pPr>
    </w:p>
    <w:p w:rsidR="005728DD" w:rsidRDefault="005728DD" w:rsidP="005728DD">
      <w:pPr>
        <w:pStyle w:val="TextoNormal"/>
      </w:pPr>
      <w:r>
        <w:t>El demandante también opone, respecto de la apreciación del delito de sedición, que aun cuando los excesos dificultaron la ejecución de la resolución judicial, sin embargo, no impidieron su cumplimiento, que es lo que requiere el art. 544 CP. Y ello, porque si bien no se pudo trasladar a los detenidos al lugar del registro, estos renunciaron voluntariamente a estar presentes y, además, este requisito no es esencial para la validez de la diligencia (STS 463/2019). En el apartado 4.5 del fundamento jurídico B) de la sentencia, el órgano judicial concluye que la sedición ha sido concebida como un delito de “resultado cortado”:</w:t>
      </w:r>
    </w:p>
    <w:p w:rsidR="005728DD" w:rsidRDefault="005728DD" w:rsidP="005728DD">
      <w:pPr>
        <w:pStyle w:val="TextoNormal"/>
      </w:pPr>
    </w:p>
    <w:p w:rsidR="005728DD" w:rsidRDefault="005728DD" w:rsidP="005728DD">
      <w:pPr>
        <w:pStyle w:val="TextoNormal"/>
      </w:pPr>
      <w:r>
        <w:t>“La consumación debe establecerse atendiendo a la naturaleza del tipo penal como de resultado cortado, en similares términos a los expuestos en relación con la rebelión. Lo que exige una funcionalidad objetiva, además de subjetivamente procurada, respecto de la obstaculización del cumplimiento de las leyes o de la efectividad de las resoluciones adoptadas por la administración o el Poder Judicial.</w:t>
      </w:r>
    </w:p>
    <w:p w:rsidR="005728DD" w:rsidRDefault="005728DD" w:rsidP="005728DD">
      <w:pPr>
        <w:pStyle w:val="TextoNormal"/>
      </w:pPr>
    </w:p>
    <w:p w:rsidR="005728DD" w:rsidRDefault="005728DD" w:rsidP="005728DD">
      <w:pPr>
        <w:pStyle w:val="TextoNormal"/>
      </w:pPr>
      <w:r>
        <w:t xml:space="preserve">El impedimento tipificado no tiene pues que ser logrado efectivamente por los autores. Eso entraría ya en la fase de agotamiento, más allá de la consumación. Pero ni siquiera en cuanto a finalidad de los autores tiene que ser pretendido por todos ellos de manera absoluta. Basta que se busque obstruir o dificultar en términos tales que resulte funcional para el objetivo de disuadir de la persistencia en la aplicación de las leyes, en la legítima actuación </w:t>
      </w:r>
      <w:r>
        <w:lastRenderedPageBreak/>
        <w:t>de la autoridad, corporación pública o funcionarios para el cumplimiento de sus resoluciones administrativas o judiciales. Porque esa pretensión disuasoria implica en sí misma una voluntad de impedir definitivamente, siquiera aplazada en el tiempo”.</w:t>
      </w:r>
    </w:p>
    <w:p w:rsidR="005728DD" w:rsidRDefault="005728DD" w:rsidP="005728DD">
      <w:pPr>
        <w:pStyle w:val="TextoNormal"/>
      </w:pPr>
    </w:p>
    <w:p w:rsidR="005728DD" w:rsidRDefault="005728DD" w:rsidP="005728DD">
      <w:pPr>
        <w:pStyle w:val="TextoNormal"/>
      </w:pPr>
      <w:r>
        <w:t>Por su parte, en el apartado A) 3.2.2.3 del auto resolutorio del incidente de nulidad, que ha sido transcrito en un apartado anterior, se pone de relieve que los detenidos no pudieron presenciar los registros, por hacerse inviable su acceso al edificio en el que esa diligencia iba a realizarse. Asimismo, en el párrafo final del citado apartado se argumenta que: “Finalmente,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5728DD" w:rsidRDefault="005728DD" w:rsidP="005728DD">
      <w:pPr>
        <w:pStyle w:val="TextoNormal"/>
      </w:pPr>
    </w:p>
    <w:p w:rsidR="005728DD" w:rsidRDefault="005728DD" w:rsidP="005728DD">
      <w:pPr>
        <w:pStyle w:val="TextoNormal"/>
      </w:pPr>
      <w:r>
        <w:t>Aun cuando el demandante alegue que los hechos acreditados no expresan que a la comisión judicial se le impidió desempeñar su cometido, ello no impide apreciar la consumación del delito de sedición, pues como refiere el órgano sentenciador, la naturaleza jurídica de esta infracción penal —de resultado cortado— no exige que efectivamente se logren las finalidades que refiere el art. 544 CP. Ciertamente, el tenor del precepto aplicado exige la concurrencia de ciertos elementos, tales como que se produzca un alzamiento público y tumultuario y que se proceda mediante fuerza o fuera de las vías legales; sin embargo, no se requiere la culminación de las finalidades que en el mismo se indican, entre ellas la de impedir el cumplimiento de las resoluciones judiciales. Nótese que el tipo penal no emplea el vocablo “impidan” o “se impida” sino que utiliza el término “para impedir”, al referirse a los fines que se deben perseguir. Por ello, la intelección del precepto que lleva a cabo el tribunal sentenciador no debe considerarse contraria al derecho que garantiza el art. 25.1 CE.</w:t>
      </w:r>
    </w:p>
    <w:p w:rsidR="005728DD" w:rsidRDefault="005728DD" w:rsidP="005728DD">
      <w:pPr>
        <w:pStyle w:val="TextoNormal"/>
      </w:pPr>
    </w:p>
    <w:p w:rsidR="005728DD" w:rsidRDefault="005728DD" w:rsidP="005728DD">
      <w:pPr>
        <w:pStyle w:val="TextoNormal"/>
      </w:pPr>
      <w:r>
        <w:t>11.4.3.2. El segundo bloque argumental concierne a los hechos ocurridos el día 1 de octubre de 2017.</w:t>
      </w:r>
    </w:p>
    <w:p w:rsidR="005728DD" w:rsidRDefault="005728DD" w:rsidP="005728DD">
      <w:pPr>
        <w:pStyle w:val="TextoNormal"/>
      </w:pPr>
    </w:p>
    <w:p w:rsidR="005728DD" w:rsidRDefault="005728DD" w:rsidP="005728DD">
      <w:pPr>
        <w:pStyle w:val="TextoNormal"/>
      </w:pPr>
      <w:r>
        <w:t>11.4.3.2.1. En primer lugar, se reprocha la excesiva concisión del relato fáctico, por no explicar en qué consistieron los enfrentamientos y cuáles fueron sus consecuencias, más allá de aludir a que algunos individuos precisaron asistencia facultativa.</w:t>
      </w:r>
    </w:p>
    <w:p w:rsidR="005728DD" w:rsidRDefault="005728DD" w:rsidP="005728DD">
      <w:pPr>
        <w:pStyle w:val="TextoNormal"/>
      </w:pPr>
    </w:p>
    <w:p w:rsidR="005728DD" w:rsidRDefault="005728DD" w:rsidP="005728DD">
      <w:pPr>
        <w:pStyle w:val="TextoNormal"/>
      </w:pPr>
      <w:r>
        <w:t xml:space="preserve">Los extremos a que se refiere el recurrente figuran en el apartado 12 de los hechos declarados probados y, respecto del relato que allí se consigna cabe decir que, en efecto, los acontecimientos habidos se describen sucintamente y sin descender al detalle de ciertos aspectos, tales como la identificación de las personas y de los concretos lugares en que se produjeron los incidentes, así como las características particulares de cada uno de los enfrentamientos que tuvieron lugar y las consecuencias que de ellos derivaron. Sin embargo, esa parquedad descriptiva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del consiguiente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w:t>
      </w:r>
      <w:r>
        <w:lastRenderedPageBreak/>
        <w:t>detalla el comportamiento desplegado por parte del señor Forn y de la señora Bassa, en relación con lo ordenado por la referida resolución judicial.</w:t>
      </w:r>
    </w:p>
    <w:p w:rsidR="005728DD" w:rsidRDefault="005728DD" w:rsidP="005728DD">
      <w:pPr>
        <w:pStyle w:val="TextoNormal"/>
      </w:pPr>
    </w:p>
    <w:p w:rsidR="005728DD" w:rsidRDefault="005728DD" w:rsidP="005728DD">
      <w:pPr>
        <w:pStyle w:val="TextoNormal"/>
      </w:pPr>
      <w:r>
        <w:t>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005728DD" w:rsidRDefault="005728DD" w:rsidP="005728DD">
      <w:pPr>
        <w:pStyle w:val="TextoNormal"/>
      </w:pPr>
    </w:p>
    <w:p w:rsidR="005728DD" w:rsidRDefault="005728DD" w:rsidP="005728DD">
      <w:pPr>
        <w:pStyle w:val="TextoNormal"/>
      </w:pPr>
      <w:r>
        <w:t>Los acontecimientos que se narran en el indicado apartado de los hechos probados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el relato ofrece 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005728DD" w:rsidRDefault="005728DD" w:rsidP="005728DD">
      <w:pPr>
        <w:pStyle w:val="TextoNormal"/>
      </w:pPr>
    </w:p>
    <w:p w:rsidR="005728DD" w:rsidRDefault="005728DD" w:rsidP="005728DD">
      <w:pPr>
        <w:pStyle w:val="TextoNormal"/>
      </w:pPr>
      <w:r>
        <w:t>Además de la parquedad a que se refiere el demandante, este también reprocha que la sentencia no tome en consideración un factor de capital importancia; a saber, que quien “se alza debe llevar claramente la iniciativa insurreccional”. Conforme a este postulado, lo que el recurrente califica como un mero enfrentamiento con la policía no puede configurar un “alzamiento”. Este alegato debe decaer, pues ignora que el escenario descrito en los hechos probados, dista de ser un simple enfrentamiento.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005728DD" w:rsidRDefault="005728DD" w:rsidP="005728DD">
      <w:pPr>
        <w:pStyle w:val="TextoNormal"/>
      </w:pPr>
    </w:p>
    <w:p w:rsidR="005728DD" w:rsidRDefault="005728DD" w:rsidP="005728DD">
      <w:pPr>
        <w:pStyle w:val="TextoNormal"/>
      </w:pPr>
      <w:r>
        <w:t xml:space="preserve">Se indica en la demanda que la movilización ciudadana no tuvo el propósito de impedir la acción policial sino el de votar, cuyo llamamiento, a tal fin, data de la activación del mecanismo jurídico previsto en el art. 4.4 de la Ley catalana 19/2017. Por ello, el recurrente refiere que hay una evidente falta de conexión teleológica entre la conducta objetiva y la finalidad perseguida, porque ir a votar no encaja en el sentido literal del término “alzarse”. </w:t>
      </w:r>
      <w:r>
        <w:lastRenderedPageBreak/>
        <w:t>En suma, el Tribunal Supremo contempla un alzamiento que “impide” cuando el tipo penal castiga alzarse para “impedir”.</w:t>
      </w:r>
    </w:p>
    <w:p w:rsidR="005728DD" w:rsidRDefault="005728DD" w:rsidP="005728DD">
      <w:pPr>
        <w:pStyle w:val="TextoNormal"/>
      </w:pPr>
    </w:p>
    <w:p w:rsidR="005728DD" w:rsidRDefault="005728DD" w:rsidP="005728DD">
      <w:pPr>
        <w:pStyle w:val="TextoNormal"/>
      </w:pPr>
      <w:r>
        <w:t>No se pone en cuestión lo afirmado por el demandante, cuando refiere que el propósito de los que participaron en la movilización ciudadana fue el de ejercer el sufragio,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el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el Tribunal Constitucional y lo resuelto por la Sala Civil y Penal del Tribunal Superior de Justicia de Cataluña.</w:t>
      </w:r>
    </w:p>
    <w:p w:rsidR="005728DD" w:rsidRDefault="005728DD" w:rsidP="005728DD">
      <w:pPr>
        <w:pStyle w:val="TextoNormal"/>
      </w:pPr>
    </w:p>
    <w:p w:rsidR="005728DD" w:rsidRDefault="005728DD" w:rsidP="005728DD">
      <w:pPr>
        <w:pStyle w:val="TextoNormal"/>
      </w:pPr>
      <w:r>
        <w:t>Lo expuesto en este punto conduce a rechazar la queja del recurrente, referida a que la atipicidad de los hechos no puede remediarse con apelaciones a la ideología de los procesados o al intento de alumbrar una legalidad paralela. Esta alegación se sustenta en una premisa rechazada por el órgano sentenciador, puesto que este estimó que los incidentes surgidos con motivo de la votación son relevantes penalmente; y este tribunal entiende que esa consideración es acorde con el mandato del art. 25.1 CE.</w:t>
      </w:r>
    </w:p>
    <w:p w:rsidR="005728DD" w:rsidRDefault="005728DD" w:rsidP="005728DD">
      <w:pPr>
        <w:pStyle w:val="TextoNormal"/>
      </w:pPr>
    </w:p>
    <w:p w:rsidR="005728DD" w:rsidRDefault="005728DD" w:rsidP="005728DD">
      <w:pPr>
        <w:pStyle w:val="TextoNormal"/>
      </w:pPr>
      <w:r>
        <w:t>11.4.3.2.2. El recurrente critica que el hecho de haber impedido, supuestamente, el atraque del barco policial en el puerto de Palamós se haya tenido en cuenta para fundar su responsabilidad por el delito de sedición, pues no consta que los policías no pudieran alojarse en la referida nave ni “intervenir profesionalmente el día de autos”. También reprueba que la cesión de un único local dependiente del Departamento de Territorio y Sostenibilidad le haya convertido en uno de los máximos cabecillas “de la supuesta insurrección sediciosa”.</w:t>
      </w:r>
    </w:p>
    <w:p w:rsidR="005728DD" w:rsidRDefault="005728DD" w:rsidP="005728DD">
      <w:pPr>
        <w:pStyle w:val="TextoNormal"/>
      </w:pPr>
    </w:p>
    <w:p w:rsidR="005728DD" w:rsidRDefault="005728DD" w:rsidP="005728DD">
      <w:pPr>
        <w:pStyle w:val="TextoNormal"/>
      </w:pPr>
      <w:r>
        <w:t>Ciertamente, en el apartado C) 1.5 de la sentencia combatida en esta sede toma en consideración sendas circunstancias, a fin de establecer la autoría del demandante respecto del delito de sedición; y en relación con el amarre del barco, el razonamiento que figura en el apartado de la sentencia citado pone de relieve la falta de credibilidad del pretexto dado por el recurrente, pues según el tribunal sentenciador no existió impedimento para el atraque por condicionamientos técnicos:</w:t>
      </w:r>
    </w:p>
    <w:p w:rsidR="005728DD" w:rsidRDefault="005728DD" w:rsidP="005728DD">
      <w:pPr>
        <w:pStyle w:val="TextoNormal"/>
      </w:pPr>
    </w:p>
    <w:p w:rsidR="005728DD" w:rsidRDefault="005728DD" w:rsidP="005728DD">
      <w:pPr>
        <w:pStyle w:val="TextoNormal"/>
      </w:pPr>
      <w:r>
        <w:t>“Además de lo anterior, dos hechos añaden especial valor probatorio a la convicción de la Sala. De una parte, su intervención para impedir el amarre de un barco en el Puerto de Palamós, dependiente de la administración autonómica, que iba a servir de alojamiento temporal a los integrantes del despliegue policial destacado para asegurar el cumplimiento de la legalidad. De otra, la puesta a disposición del referéndum prohibido de locales gerenciados por el Departamento de Territorio y Sostenibilidad del que era responsable.</w:t>
      </w:r>
    </w:p>
    <w:p w:rsidR="005728DD" w:rsidRDefault="005728DD" w:rsidP="005728DD">
      <w:pPr>
        <w:pStyle w:val="TextoNormal"/>
      </w:pPr>
    </w:p>
    <w:p w:rsidR="005728DD" w:rsidRDefault="005728DD" w:rsidP="005728DD">
      <w:pPr>
        <w:pStyle w:val="TextoNormal"/>
      </w:pPr>
      <w:r>
        <w:lastRenderedPageBreak/>
        <w:t>Respecto al primer hecho, el acusado afirmó que su departamento negó el atraque a un barco atendiendo a cuestiones técnicas. Alegó su desconocimiento de la actividad real que se iba a desarrollar en el barco. Sin embargo, la testifical de los señores don Pedro Buil Armengol y don Alberto Carbonell no abonan esa manifestación. Este segundo, como director del puerto de Barcelona, narró las vicisitudes del atraque de los dos barcos y los distintos momentos, desde el aviso de llegada, su inicial denegación, hasta que fueron catalogados de ‘buques de Estado’ y la autorización final bajo esa cobertura. El primero testificó sobre las vicisitudes que sucedieron en el atraque interesado al puerto de Palamós, dependiente de la Generalitat de Cataluña, que finalmente fue denegado, pese a que era viable su atraque ya que, una vez comprobadas sus dimensiones y las circunstancias del puerto, ‘no había ningún impedimento para ese atraque’. En su declaración el acusado señor Rull invocó condicionamientos técnicos que aconsejaban denegarlo, argumento que se desvanece con el testimonio anteriormente referenciado y por el mensaje, emitido en una red social, en el que el acusado se jactaba de haber denegado el atraque: ‘en efecto, no lo hemos dejado atracar’, de fecha 21 de septiembre (pieza separada 5, folio 179). Tampoco avala su argumento justificativo la existencia de otros mensajes en los que, conocedor de su atraque en el puerto de Barcelona, dependiente de Puertos del Estado y por la condición de ‘buques de Estado’, criticó ese gasto en los siguientes términos: ‘[…] para reprimir no hay congelación de cuentas ni dificultades al déficit público’. Igualmente sus declaraciones a un medio de prensa ratificó esa negativa al atraque de los barcos y el cuestionamiento a su presencia en puertos de Cataluña.</w:t>
      </w:r>
    </w:p>
    <w:p w:rsidR="005728DD" w:rsidRDefault="005728DD" w:rsidP="005728DD">
      <w:pPr>
        <w:pStyle w:val="TextoNormal"/>
      </w:pPr>
    </w:p>
    <w:p w:rsidR="005728DD" w:rsidRDefault="005728DD" w:rsidP="005728DD">
      <w:pPr>
        <w:pStyle w:val="TextoNormal"/>
      </w:pPr>
      <w:r>
        <w:t>Respecto al segundo hecho, sin perjuicio de lo que luego afirmamo</w:t>
      </w:r>
      <w:r w:rsidRPr="005728DD">
        <w:rPr>
          <w:i/>
        </w:rPr>
        <w:t>s inf</w:t>
      </w:r>
      <w:r>
        <w:t>ra al valorar su irrelevancia a los efectos de integrar el delito de malversación de caudales públicos, el propio recurrente admitió en su declaración en el plenario que había puesto ‘[…] a disposición del referéndum un local de su departamento’”.</w:t>
      </w:r>
    </w:p>
    <w:p w:rsidR="005728DD" w:rsidRDefault="005728DD" w:rsidP="005728DD">
      <w:pPr>
        <w:pStyle w:val="TextoNormal"/>
      </w:pPr>
    </w:p>
    <w:p w:rsidR="005728DD" w:rsidRDefault="005728DD" w:rsidP="005728DD">
      <w:pPr>
        <w:pStyle w:val="TextoNormal"/>
      </w:pPr>
      <w:r>
        <w:t>Sin embargo, como así se refleja en el apartado C) 1.5 de la sentencia, la responsabilidad que se le atribuye por la comisión de esa infracción no se funda exclusivamente en esos dos extremos, pues en un párrafo anterior el referido tribunal resume las razones por las que colige la participación del recurrente en el delito de sedición:</w:t>
      </w:r>
    </w:p>
    <w:p w:rsidR="005728DD" w:rsidRDefault="005728DD" w:rsidP="005728DD">
      <w:pPr>
        <w:pStyle w:val="TextoNormal"/>
      </w:pPr>
    </w:p>
    <w:p w:rsidR="005728DD" w:rsidRDefault="005728DD" w:rsidP="005728DD">
      <w:pPr>
        <w:pStyle w:val="TextoNormal"/>
      </w:pPr>
      <w:r>
        <w:t>“Solventada la justificación ofrecida por el acusado, nuestra convicción probatoria la extraemos de sus propias declaraciones y del amplio fondo documental incorporado a la causa, del que destacamos las páginas que reflejan las peripecias que presidieron la aprobación de las leyes de referéndum y transitoriedad, las notificaciones personales al señor Rull de los requerimientos del Tribunal Constitucional y aquellos documentos —no cuestionados en su autenticidad— que reflejan las opiniones del entonces consejero de Territorio y Sostenibilidad, ya en medios de comunicación, ya en redes sociales. Junto a otros, participó activamente poniendo las bases que propiciaron las condiciones de la movilización ciudadana. Impidió así el normal funcionamiento del Estado que actúa en defensa de la legalidad, participó en la convocatoria de un referéndum ilegal y participó también en su realización. Su actividad no se limita a una idea, o a su expresión, sino a la ejecución de actos que supusieron la creación de unas condiciones que sitúan al proceso en la ilegalidad, poniendo las condiciones que estimó precisas para impedir el funcionamiento de los servicios públicos y la actuación de Estado de acuerdo a la legalidad”.</w:t>
      </w:r>
    </w:p>
    <w:p w:rsidR="005728DD" w:rsidRDefault="005728DD" w:rsidP="005728DD">
      <w:pPr>
        <w:pStyle w:val="TextoNormal"/>
      </w:pPr>
    </w:p>
    <w:p w:rsidR="005728DD" w:rsidRDefault="005728DD" w:rsidP="005728DD">
      <w:pPr>
        <w:pStyle w:val="TextoNormal"/>
      </w:pPr>
      <w:r>
        <w:lastRenderedPageBreak/>
        <w:t>Y finalmente, en ese apartado de la sentencia se contienen unas últimas consideraciones sobre la autoría del recurrente, del siguiente tenor:</w:t>
      </w:r>
    </w:p>
    <w:p w:rsidR="005728DD" w:rsidRDefault="005728DD" w:rsidP="005728DD">
      <w:pPr>
        <w:pStyle w:val="TextoNormal"/>
      </w:pPr>
    </w:p>
    <w:p w:rsidR="005728DD" w:rsidRDefault="005728DD" w:rsidP="005728DD">
      <w:pPr>
        <w:pStyle w:val="TextoNormal"/>
      </w:pPr>
      <w:r>
        <w:t>“Es preciso reiterar una última consideración sobre la autoría del delito por el que formulamos condena. La acción típica no requiere, para colmar la autoría, la realización personal de un acto material que suponga el alzamiento público y tumultuario con las finalidades previstas en el tipo penal. Se trata de un delito en el que lo relevante es situarse en las vías de hecho, promover desde la propia responsabilidad el incumplimiento de las resoluciones administrativas y judiciales. Se trata, en fin, de optar de forma decidida por una derogación fáctica del sistema normativo vigente y de la capacidad de ejercicio de la función jurisdiccional en un determinado ámbito territorial. Y esto es precisamente lo que hizo el acusado señor Rull. El delito de sedición se comete con actos de alzamiento, pero también con actos típicos que propicien el alzamiento de otros. Dicho con otras palabras, la autoría del delito no viene dada solo por la materialización efectiva del alzamiento,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w:t>
      </w:r>
    </w:p>
    <w:p w:rsidR="005728DD" w:rsidRDefault="005728DD" w:rsidP="005728DD">
      <w:pPr>
        <w:pStyle w:val="TextoNormal"/>
      </w:pPr>
    </w:p>
    <w:p w:rsidR="005728DD" w:rsidRDefault="005728DD" w:rsidP="005728DD">
      <w:pPr>
        <w:pStyle w:val="TextoNormal"/>
      </w:pPr>
      <w:r>
        <w:t>Desde esta perspectiva, es evidente que la acción de impedir el atraque de una embarcación destinada por el Estado a cubrir las necesidades de un destacamento dispuesto para asegurar el cumplimiento de la legalidad, la participación personal y directa en la convocatoria del referéndum, la presentación de las fechas y de la pregunta del referéndum ilegal, la constitución de la autoridad electoral, la prestación de locales para su ejecución y, en fin, las manifestaciones encaminadas a alentar la celebración de la consulta ilegal, suponen actos de indudable encaje típico en el delito de sedición por el que se ha formulado acusación”.</w:t>
      </w:r>
    </w:p>
    <w:p w:rsidR="005728DD" w:rsidRDefault="005728DD" w:rsidP="005728DD">
      <w:pPr>
        <w:pStyle w:val="TextoNormal"/>
      </w:pPr>
    </w:p>
    <w:p w:rsidR="005728DD" w:rsidRDefault="005728DD" w:rsidP="005728DD">
      <w:pPr>
        <w:pStyle w:val="TextoNormal"/>
      </w:pPr>
      <w:r>
        <w:t>Como se desprende de los párrafos transcritos, con ser relevante la importancia que se confiere al impedimento del atraque del barco y a la puesta a disposición del local, sin embargo, la participación del recurrente en el delito de sedición no se funda exclusivamente en esos datos, pues se arraiga en un cúmulo de factores que se mencionan en el referido apartado de la sentencia —ya sintetizados en los antecedentes de esta resolución—, a cuyo través el órgano judicial focaliza la autoría del demandante, siendo destacada la prominente intervención que, desde el cargo público que ostentaba, desarrolló para favorecer las condiciones que propiciaron el alzamiento que sustenta la citada infracción penal. En suma, para el órgano de enjuiciamiento, las razones tenidas en cuenta para afirmar la autoría del recurrente quedan resumidas en el último párrafo transcrito, en el que estas dos circunstancias convergen junto con otros factores.</w:t>
      </w:r>
    </w:p>
    <w:p w:rsidR="005728DD" w:rsidRDefault="005728DD" w:rsidP="005728DD">
      <w:pPr>
        <w:pStyle w:val="TextoNormal"/>
      </w:pPr>
    </w:p>
    <w:p w:rsidR="005728DD" w:rsidRDefault="005728DD" w:rsidP="005728DD">
      <w:pPr>
        <w:pStyle w:val="TextoNormal"/>
      </w:pPr>
      <w:r>
        <w:t xml:space="preserve">11.4.3.2.3. Resta por abordar un último aspecto dentro de este apartado, concretamente, referido a que los hechos considerados como constitutivos del delito de sedición, en realidad, tendrían encaje en el derogado art. 506 </w:t>
      </w:r>
      <w:r w:rsidRPr="005728DD">
        <w:rPr>
          <w:i/>
        </w:rPr>
        <w:t>bis</w:t>
      </w:r>
      <w:r>
        <w:t xml:space="preserve"> del Código penal que sancionaba la convocatoria ilegal de referéndum. Según se sostiene en la demanda, este precepto fue configurado, como avala su génesis histórica, para sancionar casos como el presente; y su derogación, como se desprende de la exposición de motivos de la norma derogatoria, se produjo para evitar que tales hechos fueran criminalizados.</w:t>
      </w:r>
    </w:p>
    <w:p w:rsidR="005728DD" w:rsidRDefault="005728DD" w:rsidP="005728DD">
      <w:pPr>
        <w:pStyle w:val="TextoNormal"/>
      </w:pPr>
    </w:p>
    <w:p w:rsidR="005728DD" w:rsidRDefault="005728DD" w:rsidP="005728DD">
      <w:pPr>
        <w:pStyle w:val="TextoNormal"/>
      </w:pPr>
      <w:r>
        <w:lastRenderedPageBreak/>
        <w:t>En el apartado 17.2 A) de la sentencia se aborda la temática relativa al “supuesto efecto exoneratorio de la derogación del delito de convocatoria de referéndum ilegal”, que el tribunal sentenciador desechó:</w:t>
      </w:r>
    </w:p>
    <w:p w:rsidR="005728DD" w:rsidRDefault="005728DD" w:rsidP="005728DD">
      <w:pPr>
        <w:pStyle w:val="TextoNormal"/>
      </w:pPr>
    </w:p>
    <w:p w:rsidR="005728DD" w:rsidRDefault="005728DD" w:rsidP="005728DD">
      <w:pPr>
        <w:pStyle w:val="TextoNormal"/>
      </w:pPr>
      <w:r>
        <w:t xml:space="preserve">“[L]o cierto es que el art. 506 </w:t>
      </w:r>
      <w:r w:rsidRPr="005728DD">
        <w:rPr>
          <w:i/>
        </w:rPr>
        <w:t>bis</w:t>
      </w:r>
      <w:r>
        <w:t xml:space="preserve"> del CP no preservaba otra cosa que el principio de competencia en el reparto de la potestad político/administrativa de convocatoria de un referéndum o consulta popular. Desde esa perspectiva, castigar la invasión competencial con una pena privativa de libertad de entre tres y seis años de prisión, puede resultar contrario al significado mismo de un derecho penal respetuoso con los límites constitucionales.</w:t>
      </w:r>
    </w:p>
    <w:p w:rsidR="005728DD" w:rsidRDefault="005728DD" w:rsidP="005728DD">
      <w:pPr>
        <w:pStyle w:val="TextoNormal"/>
      </w:pPr>
    </w:p>
    <w:p w:rsidR="005728DD" w:rsidRDefault="005728DD" w:rsidP="005728DD">
      <w:pPr>
        <w:pStyle w:val="TextoNormal"/>
      </w:pPr>
      <w:r>
        <w:t xml:space="preserve">Refuerza esta idea la referencia que el art. 506 </w:t>
      </w:r>
      <w:r w:rsidRPr="005728DD">
        <w:rPr>
          <w:i/>
        </w:rPr>
        <w:t>bis</w:t>
      </w:r>
      <w:r>
        <w:t xml:space="preserve"> hacía a ‘[…] consultas populares por vía de referéndum en cualquiera de las modalidades previstas en la Constitución’. El precepto derogado, por tanto, no alteraba las reglas de solución del más que previsible concurso normativo cuando la vulneración de las modalidades de referéndum tuviera por objeto la derogación de la Constitución de 1978 y consiguiente abolición de la monarquía parlamentaria como forma de Estado.</w:t>
      </w:r>
    </w:p>
    <w:p w:rsidR="005728DD" w:rsidRDefault="005728DD" w:rsidP="005728DD">
      <w:pPr>
        <w:pStyle w:val="TextoNormal"/>
      </w:pPr>
    </w:p>
    <w:p w:rsidR="005728DD" w:rsidRDefault="005728DD" w:rsidP="005728DD">
      <w:pPr>
        <w:pStyle w:val="TextoNormal"/>
      </w:pPr>
      <w:r>
        <w:t>En definitiva, los hechos enjuiciados son algo más que un conflicto competencial entre autoridades estatales —centrales y autonómicas— que pugnan por la competencia para organizar o prohibir una consulta popular. En el presente caso, de lo que se trataba era de hacer posible un referéndum que condujera, con la ayuda de la movilización ciudadana, a destruir las bases fijadas por el poder constituyente.</w:t>
      </w:r>
    </w:p>
    <w:p w:rsidR="005728DD" w:rsidRDefault="005728DD" w:rsidP="005728DD">
      <w:pPr>
        <w:pStyle w:val="TextoNormal"/>
      </w:pPr>
    </w:p>
    <w:p w:rsidR="005728DD" w:rsidRDefault="005728DD" w:rsidP="005728DD">
      <w:pPr>
        <w:pStyle w:val="TextoNormal"/>
      </w:pPr>
      <w:r>
        <w:t>Encierra un auténtico sofisma la afirmación repetida por los procesados acerca de que la derogación del delito de referéndum ilegal, operada por la reforma penal de 2005, creaba un vacío incriminatorio que convertía en lícita la destrucción del pacto constitucional, la derogación de la forma de Estado, la proclamación de una república y, entre otros efectos, la eliminación de la garantía de inamovilidad de jueces y magistrados. Y eso lo sabían quienes ahora alegan la licitud de su conducta, pues no hacía mucho esta Sala había condenado a un relevante político por no atender los mandatos del Tribunal Constitucional, jurista que luego asumió con rigor técnico la dirección letrada de varios acusados. La convocatoria de un referéndum, sin atender los requerimientos formulados por el Tribunal Constitucional advirtiendo de la ilegalidad de esa iniciativa, trascenderá siempre al derecho penal. Ya sea por la vía del castigo del delito de desobediencia (cfr. SSTS 722/2018, 23 de enero de 2019 y 177/2017, 22 de marzo), ya sea por títulos jurídicos más graves, en función del medio ejecutivo empleado, rebelión (art. 472 CP) o sedición (art. 544 CP)”.</w:t>
      </w:r>
    </w:p>
    <w:p w:rsidR="005728DD" w:rsidRDefault="005728DD" w:rsidP="005728DD">
      <w:pPr>
        <w:pStyle w:val="TextoNormal"/>
      </w:pPr>
    </w:p>
    <w:p w:rsidR="005728DD" w:rsidRDefault="005728DD" w:rsidP="005728DD">
      <w:pPr>
        <w:pStyle w:val="TextoNormal"/>
      </w:pPr>
      <w:r>
        <w:t>Al analizar las consecuencias de la despenalización del delito de convocatoria ilegal de referéndum, el órgano judicial respondió lo que a continuación se transcribe, tanto en el juicio singularizado de autoría que se formula respecto del señor Rull como en el apartado 6.2.4 del auto resolutorio del incidente de nulidad de actuaciones (que transcribe lo expuesto en el indicado juicio de autoría), en respuesta a la queja del recurrente sobre la aplicación analógica del delito de sedición:</w:t>
      </w:r>
    </w:p>
    <w:p w:rsidR="005728DD" w:rsidRDefault="005728DD" w:rsidP="005728DD">
      <w:pPr>
        <w:pStyle w:val="TextoNormal"/>
      </w:pPr>
    </w:p>
    <w:p w:rsidR="005728DD" w:rsidRDefault="005728DD" w:rsidP="005728DD">
      <w:pPr>
        <w:pStyle w:val="TextoNormal"/>
      </w:pPr>
      <w:r>
        <w:t xml:space="preserve">“La derogación de un delito no implica —no puede implicar— la voluntarista despenalización de conductas con claro encaje en otros tipos penales, siempre que concurran los elementos objetivos y subjetivos que dan vida al juicio de subsunción. La relación entre normas penales, de modo especial, el principio de subsidiariedad, impide lo que las defensas </w:t>
      </w:r>
      <w:r>
        <w:lastRenderedPageBreak/>
        <w:t xml:space="preserve">presentan como el efecto asociado a una despenalización muy concreta y de ámbito bien restringido, ceñida a los arts. 506 </w:t>
      </w:r>
      <w:r w:rsidRPr="005728DD">
        <w:rPr>
          <w:i/>
        </w:rPr>
        <w:t>bis, 521 bis</w:t>
      </w:r>
      <w:r>
        <w:t xml:space="preserve"> y 576 </w:t>
      </w:r>
      <w:r w:rsidRPr="005728DD">
        <w:rPr>
          <w:i/>
        </w:rPr>
        <w:t>bis</w:t>
      </w:r>
      <w:r>
        <w:t xml:space="preserve"> del Código penal (cfr. LO 2/2005, de 22 de junio). Su eficacia derogatoria solo conlleva la no aplicación de un tipo penal previgente que imponía una pena de tres a cinco años de prisión a la autoridad o funcionario público que convocara un referéndum ilegal. Los hechos que esta Sala da por probados encierran algo más que el reproche por la convocatoria de un referéndum ilegal. Se trata, como venimos reiterando, de una concertada voluntad de los miembros del Govern de la Generalitat para alumbrar una legalidad paralela que sirviera como excusa para una movilización ciudadana que exteriorizara la voluntad de promover la inobservancia de las leyes y obstaculizar el cumplimiento de los mandatos judiciales”.</w:t>
      </w:r>
    </w:p>
    <w:p w:rsidR="005728DD" w:rsidRDefault="005728DD" w:rsidP="005728DD">
      <w:pPr>
        <w:pStyle w:val="TextoNormal"/>
      </w:pPr>
    </w:p>
    <w:p w:rsidR="005728DD" w:rsidRDefault="005728DD" w:rsidP="005728DD">
      <w:pPr>
        <w:pStyle w:val="TextoNormal"/>
      </w:pPr>
      <w:r>
        <w:t>Como se desprende de esta argumentación, la Sala descarta que, tras la derogación del referido precepto penal, los comportamientos enjuiciados no sean susceptibles de ser incardinados en norma alguna del texto punitivo. El argumento del demandante reitera una vez más una idea ya expuesta a lo largo del recurso de amparo: que los hechos acaecidos no son constitutivos de delito de sedición. Ahora bien, a mayor abundamiento sostiene que, de haber estado vigente el precepto anteriormente transcrito, sí habrían tenido encaje en la conducta allí descrita.</w:t>
      </w:r>
    </w:p>
    <w:p w:rsidR="005728DD" w:rsidRDefault="005728DD" w:rsidP="005728DD">
      <w:pPr>
        <w:pStyle w:val="TextoNormal"/>
      </w:pPr>
    </w:p>
    <w:p w:rsidR="005728DD" w:rsidRDefault="005728DD" w:rsidP="005728DD">
      <w:pPr>
        <w:pStyle w:val="TextoNormal"/>
      </w:pPr>
      <w:r>
        <w:t>La alegación dada por el recurrente debe rechazarse, pues ignora importantes aspectos que se consignan en el relato histórico, a cuyo través el órgano enjuiciador ha apuntalado el delito de sedición. Pero, en cualquier caso, debemos proclamar que las explicaciones dadas por el referido órgano para descartar la queja del demandante se ajustan plenamente al canon de razonabilidad asentado por la doctrina constitucional. Debe advertirse que el otrora vigente precepto se limitaba a sancionar “a la autoridad o funcionario público que, careciendo manifiestamente de competencias o atribuciones para ello, convocare o autorizare la convocatoria [...] de consultas populares por vía de referéndum en cualquiera de las modalidades previstas en la Constitución”. Si bien parece razonable colegir que la actuación llevada a cabo desde el poder público autonómico para convocar la consulta del día 1 de octubre de 2017 tendría acomodo en el referido precepto, lo cierto es que el órgano de enjuiciamiento consideró acreditada la concurrencia de factores adicionales que exceden del ámbito del derogado art. 50</w:t>
      </w:r>
      <w:r w:rsidRPr="005728DD">
        <w:rPr>
          <w:i/>
        </w:rPr>
        <w:t>6 b</w:t>
      </w:r>
      <w:r>
        <w:t>is CP y que, sin embargo, se acomodan a la descripción típica que ofrece el art. 544 CP: el alumbramiento de una legalidad paralela y la promoción de una movilización ciudadana para provocar la inobservancia de las leyes y obstaculizar el cumplimiento de los mandatos judiciales.</w:t>
      </w:r>
    </w:p>
    <w:p w:rsidR="005728DD" w:rsidRDefault="005728DD" w:rsidP="005728DD">
      <w:pPr>
        <w:pStyle w:val="TextoNormal"/>
      </w:pPr>
    </w:p>
    <w:p w:rsidR="005728DD" w:rsidRDefault="005728DD" w:rsidP="005728DD">
      <w:pPr>
        <w:pStyle w:val="TextoNormal"/>
      </w:pPr>
      <w:r>
        <w:t>11.5</w:t>
      </w:r>
      <w:r w:rsidRPr="005728DD">
        <w:rPr>
          <w:i/>
        </w:rPr>
        <w:t>. Sobre la proporcionalidad de la pena y la afectación a los derechos a las libertades de expresión e ideológica y al derecho de reuni</w:t>
      </w:r>
      <w:r>
        <w:t>ón.</w:t>
      </w:r>
    </w:p>
    <w:p w:rsidR="005728DD" w:rsidRDefault="005728DD" w:rsidP="005728DD">
      <w:pPr>
        <w:pStyle w:val="TextoNormal"/>
      </w:pPr>
    </w:p>
    <w:p w:rsidR="005728DD" w:rsidRDefault="005728DD" w:rsidP="005728DD">
      <w:pPr>
        <w:pStyle w:val="TextoNormal"/>
      </w:pPr>
      <w:r>
        <w:t>Resta por resolver un último motivo que, en relación con el derecho reconocido en el art. 25.1 CE, se formula en la demanda de amparo. Aunque la queja se articula bajo el enunciado de una única vulneración, lo cierto es que presenta dos aspectos diferenciados que, pese a estar relacionados entre sí, justifican un tratamiento separado.</w:t>
      </w:r>
    </w:p>
    <w:p w:rsidR="005728DD" w:rsidRDefault="005728DD" w:rsidP="005728DD">
      <w:pPr>
        <w:pStyle w:val="TextoNormal"/>
      </w:pPr>
    </w:p>
    <w:p w:rsidR="005728DD" w:rsidRDefault="005728DD" w:rsidP="005728DD">
      <w:pPr>
        <w:pStyle w:val="TextoNormal"/>
      </w:pPr>
      <w:r>
        <w:t>11.5</w:t>
      </w:r>
      <w:r w:rsidRPr="005728DD">
        <w:rPr>
          <w:i/>
        </w:rPr>
        <w:t>.1. Proporcionalidad de la pena privativa de libe</w:t>
      </w:r>
      <w:r>
        <w:t>rtad.</w:t>
      </w:r>
    </w:p>
    <w:p w:rsidR="005728DD" w:rsidRDefault="005728DD" w:rsidP="005728DD">
      <w:pPr>
        <w:pStyle w:val="TextoNormal"/>
      </w:pPr>
    </w:p>
    <w:p w:rsidR="005728DD" w:rsidRDefault="005728DD" w:rsidP="005728DD">
      <w:pPr>
        <w:pStyle w:val="TextoNormal"/>
      </w:pPr>
      <w:r>
        <w:t>11.5.1.1</w:t>
      </w:r>
      <w:r w:rsidRPr="005728DD">
        <w:rPr>
          <w:i/>
        </w:rPr>
        <w:t>. Posiciones de las part</w:t>
      </w:r>
      <w:r>
        <w:t>es.</w:t>
      </w:r>
    </w:p>
    <w:p w:rsidR="005728DD" w:rsidRDefault="005728DD" w:rsidP="005728DD">
      <w:pPr>
        <w:pStyle w:val="TextoNormal"/>
      </w:pPr>
    </w:p>
    <w:p w:rsidR="005728DD" w:rsidRDefault="005728DD" w:rsidP="005728DD">
      <w:pPr>
        <w:pStyle w:val="TextoNormal"/>
      </w:pPr>
      <w:r>
        <w:lastRenderedPageBreak/>
        <w:t xml:space="preserve">La primera vertiente se asocia a la afectación del principio de legalidad en materia penal, dado lo desproporcionado de la pena privativa de libertad. Según se señala en la demanda, la pena impuesta al recurrente contraviene la doctrina de este tribunal sobre la exigencia de proporcionalidad (STC 136/1999) y también resulta contraria al mandato del art. 49 CDFUE. No cuestiona el recurrente la necesidad de tutelar el orden público a través del Derecho penal, pero siempre que dicho orden se vea gravemente perturbado. Según indica, en el presente caso “cabe observar cómo por una perturbación del orden público que no ha supuesto daños personales relevantes y en la que no se esgrimieron armas, se han impuesto a los acusados penas gravísimas de prisión que rayan o superan los diez años de privación de libertad”, penas que se prevén para infracciones sumamente graves como el homicidio, delitos agravados de agresión sexual o las formas más graves de privación de la libertad ajena. Y añade que la pena impuesta excede con creces de la prevista para el delito de desórdenes públicos, incluso para el supuesto en que se esgriman armas (art. 557 </w:t>
      </w:r>
      <w:r w:rsidRPr="005728DD">
        <w:rPr>
          <w:i/>
        </w:rPr>
        <w:t>bis</w:t>
      </w:r>
      <w:r>
        <w:t>). También aduce que el órgano enjuiciador no tuvo en cuenta que la diligencia judicial pudo culminarse, finalmente, sin que nadie resultara lesionado (en referencia a los hechos acaecidos el día 20 de septiembre de 2017); y a su vez, pone de relieve que el día 1 de octubre de 2017, los efectivos policiales lograron impedir que se realizaran las votaciones en numerosos centros. Estas circunstancias, según afirma, al menos deberían haber dado lugar a la aplicación de la forma imperfecta o de menor gravedad prevista en el art. 547 CP.</w:t>
      </w:r>
    </w:p>
    <w:p w:rsidR="005728DD" w:rsidRDefault="005728DD" w:rsidP="005728DD">
      <w:pPr>
        <w:pStyle w:val="TextoNormal"/>
      </w:pPr>
    </w:p>
    <w:p w:rsidR="005728DD" w:rsidRDefault="005728DD" w:rsidP="005728DD">
      <w:pPr>
        <w:pStyle w:val="TextoNormal"/>
      </w:pPr>
      <w:r>
        <w:t>Para el partido político Vox, no cabe apreciar la desproporción que se invoca, pues el orden público alterado se pretendió preservar con la sentencia condenatoria; y la alteración de ese orden afecta a la unidad política y territorial de la Nación española, por lo que una pena inferior a la impuesta no hubiera sido lo suficientemente desmotivadora para evitar que se reiteren las mismas conductas.</w:t>
      </w:r>
    </w:p>
    <w:p w:rsidR="005728DD" w:rsidRDefault="005728DD" w:rsidP="005728DD">
      <w:pPr>
        <w:pStyle w:val="TextoNormal"/>
      </w:pPr>
    </w:p>
    <w:p w:rsidR="005728DD" w:rsidRDefault="005728DD" w:rsidP="005728DD">
      <w:pPr>
        <w:pStyle w:val="TextoNormal"/>
      </w:pPr>
      <w:r>
        <w:t>El fiscal, respecto de la queja de desproporción de la pena se remite a lo alegado en el apartado relativo a la falta de motivación de la individualización de la condena impuesta. En relación con la inaplicación al caso de una forma imperfecta de ejecución o de la modalidad del art. 547 CP, el fiscal descarta que ello haya vulnerado el 25.1 CE, pues el delito de sedición no requiere la producción de un resultado concreto; y el tipo previsto en el art. 547 exige que el entorpecimiento del ejercicio de la autoridad pública no sea grave, lo que se habría desbordado en el presente caso, pues la finalidad perseguida, aspecto que es relevante para el tipo delictivo, suponía un desplazamiento formal del orden constitucional.</w:t>
      </w:r>
    </w:p>
    <w:p w:rsidR="005728DD" w:rsidRDefault="005728DD" w:rsidP="005728DD">
      <w:pPr>
        <w:pStyle w:val="TextoNormal"/>
      </w:pPr>
    </w:p>
    <w:p w:rsidR="005728DD" w:rsidRDefault="005728DD" w:rsidP="005728DD">
      <w:pPr>
        <w:pStyle w:val="TextoNormal"/>
      </w:pPr>
      <w:r>
        <w:t>11.5.1.2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el segundo párrafo del apartado 7.2.5 del auto resolutorio del incidente de nulidad, la Sala respondió de este modo a la queja de desproporcionalidad de las penas impuestas: “[p]or razones ya expuestas reiteradamente en esta resolución, la pena impuesta al señor Rull no es desproporcionada. Se reitera que su actuación desbordó ampliamente los derechos constitucionales mencionados”.</w:t>
      </w:r>
    </w:p>
    <w:p w:rsidR="005728DD" w:rsidRDefault="005728DD" w:rsidP="005728DD">
      <w:pPr>
        <w:pStyle w:val="TextoNormal"/>
      </w:pPr>
    </w:p>
    <w:p w:rsidR="005728DD" w:rsidRDefault="005728DD" w:rsidP="005728DD">
      <w:pPr>
        <w:pStyle w:val="TextoNormal"/>
      </w:pPr>
      <w:r>
        <w:t>En el apartado 2.6 de la referida resolución se argumenta más extensamente sobre este aspecto, al resolver el incidente de nulidad planteado por el señor Cuixart:</w:t>
      </w:r>
    </w:p>
    <w:p w:rsidR="005728DD" w:rsidRDefault="005728DD" w:rsidP="005728DD">
      <w:pPr>
        <w:pStyle w:val="TextoNormal"/>
      </w:pPr>
    </w:p>
    <w:p w:rsidR="005728DD" w:rsidRDefault="005728DD" w:rsidP="005728DD">
      <w:pPr>
        <w:pStyle w:val="TextoNormal"/>
      </w:pPr>
      <w:r>
        <w:t>“La resolución dictada por esta Sala no vulnera el principio de proporcionalidad de las penas.</w:t>
      </w:r>
    </w:p>
    <w:p w:rsidR="005728DD" w:rsidRDefault="005728DD" w:rsidP="005728DD">
      <w:pPr>
        <w:pStyle w:val="TextoNormal"/>
      </w:pPr>
    </w:p>
    <w:p w:rsidR="005728DD" w:rsidRDefault="005728DD" w:rsidP="005728DD">
      <w:pPr>
        <w:pStyle w:val="TextoNormal"/>
      </w:pPr>
      <w:r>
        <w:t>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005728DD" w:rsidRDefault="005728DD" w:rsidP="005728DD">
      <w:pPr>
        <w:pStyle w:val="TextoNormal"/>
      </w:pPr>
    </w:p>
    <w:p w:rsidR="005728DD" w:rsidRDefault="005728DD" w:rsidP="005728DD">
      <w:pPr>
        <w:pStyle w:val="TextoNormal"/>
      </w:pPr>
      <w:r>
        <w:t>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5728DD" w:rsidRDefault="005728DD" w:rsidP="005728DD">
      <w:pPr>
        <w:pStyle w:val="TextoNormal"/>
      </w:pPr>
    </w:p>
    <w:p w:rsidR="005728DD" w:rsidRDefault="005728DD" w:rsidP="005728DD">
      <w:pPr>
        <w:pStyle w:val="TextoNormal"/>
      </w:pPr>
      <w:r>
        <w:t>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005728DD" w:rsidRDefault="005728DD" w:rsidP="005728DD">
      <w:pPr>
        <w:pStyle w:val="TextoNormal"/>
      </w:pPr>
    </w:p>
    <w:p w:rsidR="005728DD" w:rsidRDefault="005728DD" w:rsidP="005728DD">
      <w:pPr>
        <w:pStyle w:val="TextoNormal"/>
      </w:pPr>
      <w:r>
        <w:t>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005728DD" w:rsidRDefault="005728DD" w:rsidP="005728DD">
      <w:pPr>
        <w:pStyle w:val="TextoNormal"/>
      </w:pPr>
    </w:p>
    <w:p w:rsidR="005728DD" w:rsidRDefault="005728DD" w:rsidP="005728DD">
      <w:pPr>
        <w:pStyle w:val="TextoNormal"/>
      </w:pPr>
      <w:r>
        <w:t>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005728DD" w:rsidRDefault="005728DD" w:rsidP="005728DD">
      <w:pPr>
        <w:pStyle w:val="TextoNormal"/>
      </w:pPr>
    </w:p>
    <w:p w:rsidR="005728DD" w:rsidRDefault="005728DD" w:rsidP="005728DD">
      <w:pPr>
        <w:pStyle w:val="TextoNormal"/>
      </w:pPr>
      <w: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w:t>
      </w:r>
      <w:r>
        <w:lastRenderedPageBreak/>
        <w:t>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005728DD" w:rsidRDefault="005728DD" w:rsidP="005728DD">
      <w:pPr>
        <w:pStyle w:val="TextoNormal"/>
      </w:pPr>
    </w:p>
    <w:p w:rsidR="005728DD" w:rsidRDefault="005728DD" w:rsidP="005728DD">
      <w:pPr>
        <w:pStyle w:val="TextoNormal"/>
      </w:pPr>
      <w:r>
        <w:t>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 La efectividad de la convocatoria de la población, y correlativo incremento de la gravedad del plan de los acusados, se garantizaba por parte de las asociaciones civiles Òmnium Cultural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 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005728DD" w:rsidRDefault="005728DD" w:rsidP="005728DD">
      <w:pPr>
        <w:pStyle w:val="TextoNormal"/>
      </w:pPr>
    </w:p>
    <w:p w:rsidR="005728DD" w:rsidRDefault="005728DD" w:rsidP="005728DD">
      <w:pPr>
        <w:pStyle w:val="TextoNormal"/>
      </w:pPr>
      <w:r>
        <w:t>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005728DD" w:rsidRDefault="005728DD" w:rsidP="005728DD">
      <w:pPr>
        <w:pStyle w:val="TextoNormal"/>
      </w:pPr>
    </w:p>
    <w:p w:rsidR="005728DD" w:rsidRDefault="005728DD" w:rsidP="005728DD">
      <w:pPr>
        <w:pStyle w:val="TextoNormal"/>
      </w:pPr>
      <w:r>
        <w:t>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la ‘legalidad’ que derivaba de sus instituciones autonómicas”.</w:t>
      </w:r>
    </w:p>
    <w:p w:rsidR="005728DD" w:rsidRDefault="005728DD" w:rsidP="005728DD">
      <w:pPr>
        <w:pStyle w:val="TextoNormal"/>
      </w:pPr>
    </w:p>
    <w:p w:rsidR="005728DD" w:rsidRDefault="005728DD" w:rsidP="005728DD">
      <w:pPr>
        <w:pStyle w:val="TextoNormal"/>
      </w:pPr>
      <w:r>
        <w:t>11.5.1.3</w:t>
      </w:r>
      <w:r w:rsidRPr="005728DD">
        <w:rPr>
          <w:i/>
        </w:rPr>
        <w:t>. Resolución de la que</w:t>
      </w:r>
      <w:r>
        <w:t>ja.</w:t>
      </w:r>
    </w:p>
    <w:p w:rsidR="005728DD" w:rsidRDefault="005728DD" w:rsidP="005728DD">
      <w:pPr>
        <w:pStyle w:val="TextoNormal"/>
      </w:pPr>
    </w:p>
    <w:p w:rsidR="005728DD" w:rsidRDefault="005728DD" w:rsidP="005728DD">
      <w:pPr>
        <w:pStyle w:val="TextoNormal"/>
      </w:pPr>
      <w:r>
        <w:t>Al exponer los aspectos más relevantes de nuestra doctrina en relación con el derecho reconocido en el art. 25.1 CE, reprodujimos en su literalidad los fragmentos del fundamento jurídico 23 de la STC 136/1999, de 20 de julio, en el que se refleja el canon para valorar la proporcionalidad de las penas. De suerte que, para calificar una pena como desproporcionada desde el prisma constitucional debe apreciarse un desequilibrio manifiesto y no justificable entre la sanción impuesta y la finalidad de la norma punitiva, desequilibrio que deberá ponderarse a partir de “pautas axiológicas constitucionalmente indiscutibles y de su concreción en la propia actividad legislativa”. Ahora bien, tal y como se reconoce en la sentencia objeto de cita, el juicio que en esta sede de amparo cabe formular ha de ser necesariamente prudente, sin adentrarse en apartados ajenos a nuestra jurisdicción, tales como la oportunidad, conveniencia o las posibles alternativas de mayor calidad, pues no cabe perder de vista “el amplio margen de libertad de configuración de delitos y penas que corresponde al legislador democrático a la hora de la plasmación normativa de la política criminal” (STC 60/2010, de 7 de octubre, FJ 3).</w:t>
      </w:r>
    </w:p>
    <w:p w:rsidR="005728DD" w:rsidRDefault="005728DD" w:rsidP="005728DD">
      <w:pPr>
        <w:pStyle w:val="TextoNormal"/>
      </w:pPr>
    </w:p>
    <w:p w:rsidR="005728DD" w:rsidRDefault="005728DD" w:rsidP="005728DD">
      <w:pPr>
        <w:pStyle w:val="TextoNormal"/>
      </w:pPr>
      <w:r>
        <w:t>Para responder adecuadamente a la queja suscitada por el demandante debemos tener en consideración que fue condenado como autor de un delito de sedición de los arts. 544 y 545.1 CP, segundo inciso, (persona constituida en autoridad) y le fueron impuestas las penas de diez años y seis meses de prisión e inhabilitación absoluta, las cuales están comprendidas dentro de la horquilla que el indicado art. 545.1 CP establece, concretamente de diez a quince años.</w:t>
      </w:r>
    </w:p>
    <w:p w:rsidR="005728DD" w:rsidRDefault="005728DD" w:rsidP="005728DD">
      <w:pPr>
        <w:pStyle w:val="TextoNormal"/>
      </w:pPr>
    </w:p>
    <w:p w:rsidR="005728DD" w:rsidRDefault="005728DD" w:rsidP="005728DD">
      <w:pPr>
        <w:pStyle w:val="TextoNormal"/>
      </w:pPr>
      <w:r>
        <w:t xml:space="preserve">En un apartado anterior resolvimos sobre la reprobación que el recurrente formuló respecto de la motivación de la individualización de la pena y la vulneración del principio </w:t>
      </w:r>
      <w:r w:rsidRPr="005728DD">
        <w:rPr>
          <w:i/>
        </w:rPr>
        <w:t>ne bis in idem</w:t>
      </w:r>
      <w:r>
        <w:t>, motivo que incluye el reproche por la imposición inmotivada de una superior en seis meses al mínimo legalmente previsto. Respecto de esta censura, nos remitimos a lo ya argumentado al resolver la referida denuncia, por lo que en este apartado nos limitaremos a abordar la temática de la proporcionalidad en función de las quejas a las que resumidamente se ha hecho mención.</w:t>
      </w:r>
    </w:p>
    <w:p w:rsidR="005728DD" w:rsidRDefault="005728DD" w:rsidP="005728DD">
      <w:pPr>
        <w:pStyle w:val="TextoNormal"/>
      </w:pPr>
    </w:p>
    <w:p w:rsidR="005728DD" w:rsidRDefault="005728DD" w:rsidP="005728DD">
      <w:pPr>
        <w:pStyle w:val="TextoNormal"/>
      </w:pPr>
      <w:r>
        <w:t>El demandante cuestiona la proporcionalidad de la respuesta penal con base en el principal parámetro que este emplea para calibrar ese factor: que no se produjo una grave afectación del orden público, porque el día 20 de septiembre de 2017 nadie resultó lesionado, tampoco se esgrimieron armas y, finalmente, la diligencia judicial se llevó a cabo; mientras que el día 1 de octubre de 2017, en numerosos colegios electorales los efectivos policiales impidieron que se efectuaran las votaciones, dando efectivo cumplimiento a lo ordenado judicialmente.</w:t>
      </w:r>
    </w:p>
    <w:p w:rsidR="005728DD" w:rsidRDefault="005728DD" w:rsidP="005728DD">
      <w:pPr>
        <w:pStyle w:val="TextoNormal"/>
      </w:pPr>
    </w:p>
    <w:p w:rsidR="005728DD" w:rsidRDefault="005728DD" w:rsidP="005728DD">
      <w:pPr>
        <w:pStyle w:val="TextoNormal"/>
      </w:pPr>
      <w:r>
        <w:t xml:space="preserve">Ninguna de las circunstancias referidas justifica la desproporción punitiva que se denuncia, pues no se aprecia el desequilibrio manifiesto y no justificable entre la sanción impuesta y la finalidad de la norma punitiva a que anteriormente se ha hecho referencia. El delito de sedición no prevé, en el tipo básico o en su modalidad agravada, la causación de lesiones o el empleo de armas; de manera que la ausencia de estas circunstancias no impide apreciar la comisión del referido delito. Por otro lado, no cabe desconocer que esa infracción penal ha sido catalogada por el órgano enjuiciador como un delito de “resultado cortado” o “de </w:t>
      </w:r>
      <w:r>
        <w:lastRenderedPageBreak/>
        <w:t>consumación anticipada”, por lo que el alegato referido a que la diligencia judicial finalmente se llevó a cabo o que se llegó a impedir la votación en muchos centros, carece de relevancia a los efectos que ahora interesan.</w:t>
      </w:r>
    </w:p>
    <w:p w:rsidR="005728DD" w:rsidRDefault="005728DD" w:rsidP="005728DD">
      <w:pPr>
        <w:pStyle w:val="TextoNormal"/>
      </w:pPr>
    </w:p>
    <w:p w:rsidR="005728DD" w:rsidRDefault="005728DD" w:rsidP="005728DD">
      <w:pPr>
        <w:pStyle w:val="TextoNormal"/>
      </w:pPr>
      <w:r>
        <w:t>También refutamos que la entidad de la perturbación del orden público deba de ser el único factor a tener en cuenta. Sin perjuicio de la gravedad contra el orden público apreciada por el tribunal sentenciador, la alegación del demandante ignora que, aun cuando el tipo se incardina dentro del apartado “de los delitos contra el orden público”, de hecho, es la infracción más gravemente penada dentro de esa categoría, y que el empleo de términos tales como se “alcen”, “tumultuariamente” y “para impedir, por la fuerza” revelan la alteración de ese orden en su concepción tradicional. El propósito perseguido por los autores resulta de capital importancia para la apreciación de la sedición, de suerte que una grave alteración del orden público que no persiga ninguna de las finalidades descritas en el art. 544 CP no podría engendrar esa modalidad delictiva. Así pues, siendo un aspecto determinante del delito de sedición el designio perseguido por los autores, identificar el grado de afectación del orden público como único factor a tener en cuenta para calibrar la proporcionalidad de la respuesta penal, supone desconocer la estructura típica de esa infracción penal.</w:t>
      </w:r>
    </w:p>
    <w:p w:rsidR="005728DD" w:rsidRDefault="005728DD" w:rsidP="005728DD">
      <w:pPr>
        <w:pStyle w:val="TextoNormal"/>
      </w:pPr>
    </w:p>
    <w:p w:rsidR="005728DD" w:rsidRDefault="005728DD" w:rsidP="005728DD">
      <w:pPr>
        <w:pStyle w:val="TextoNormal"/>
      </w:pPr>
      <w:r>
        <w:t>En cuanto a la eventual aplicación de una forma imperfecta de ejecución o de lo dispuesto en el art. 547 CP al caso, debemos afirmar que esa cuestión trasciende del ámbito de debate en el que nos hallamos, pues lo que en realidad se reitera es la indebida subsunción de los hechos en la norma penal. Sin embargo, como ya pusimos de relieve al compendiar nuestra doctrina sobre esta cuestión, no compete a este tribunal sustituir a los órganos judiciales en el ejercicio de la función de subsumir los hechos en las normas, pues ese cometido corresponde en exclusiva a los jueces y tribunales ordinarios, conforme a lo establecido en el art. 117.3 CE. Ello implica que, en esta sede, no procede auspiciar alternativas interpretativas a la sustentada por el tribunal sentenciador, incluso si se considerasen más adecuadas o de mayor fuste. Hemos de limitarnos, pues, a verificar un juicio externo sobre la compatibilidad de la interpretación realizada con el tenor literal de la norma y sobre su razonabilidad metodológica y axiológica. Y este tribunal considera que la labor de subsunción de los hechos en la norma penal aplicada se ajusta al canon expuesto.</w:t>
      </w:r>
    </w:p>
    <w:p w:rsidR="005728DD" w:rsidRDefault="005728DD" w:rsidP="005728DD">
      <w:pPr>
        <w:pStyle w:val="TextoNormal"/>
      </w:pPr>
    </w:p>
    <w:p w:rsidR="005728DD" w:rsidRDefault="005728DD" w:rsidP="005728DD">
      <w:pPr>
        <w:pStyle w:val="TextoNormal"/>
      </w:pPr>
      <w:r>
        <w:t>11.5</w:t>
      </w:r>
      <w:r w:rsidRPr="005728DD">
        <w:rPr>
          <w:i/>
        </w:rPr>
        <w:t>.2. La afectación de otros derechos fundamentales por falta de proporcionalidad de las p</w:t>
      </w:r>
      <w:r>
        <w:t>enas.</w:t>
      </w:r>
    </w:p>
    <w:p w:rsidR="005728DD" w:rsidRDefault="005728DD" w:rsidP="005728DD">
      <w:pPr>
        <w:pStyle w:val="TextoNormal"/>
      </w:pPr>
    </w:p>
    <w:p w:rsidR="005728DD" w:rsidRDefault="005728DD" w:rsidP="005728DD">
      <w:pPr>
        <w:pStyle w:val="TextoNormal"/>
      </w:pPr>
      <w:r>
        <w:t>11.5.2.1</w:t>
      </w:r>
      <w:r w:rsidRPr="005728DD">
        <w:rPr>
          <w:i/>
        </w:rPr>
        <w:t>. Posiciones de las part</w:t>
      </w:r>
      <w:r>
        <w:t>es.</w:t>
      </w:r>
    </w:p>
    <w:p w:rsidR="005728DD" w:rsidRDefault="005728DD" w:rsidP="005728DD">
      <w:pPr>
        <w:pStyle w:val="TextoNormal"/>
      </w:pPr>
    </w:p>
    <w:p w:rsidR="005728DD" w:rsidRDefault="005728DD" w:rsidP="005728DD">
      <w:pPr>
        <w:pStyle w:val="TextoNormal"/>
      </w:pPr>
      <w:r>
        <w:t>La segunda vertiente de la denuncia se centra en la individualización de las penas, al afirmar el demandante que no se tuvo en cuenta “que el delito por el que el recurrente ha sido condenado se produjo en un contexto de ejercicio de derechos fundamentales”, ya que incluso el tribunal sentenciador ha reconocido, implícitamente, que los ciudadanos que se alzaron se encontraban ejerciendo tales derechos, en la medida en que ninguno de ellos ha sido acusado por movilizarse, como reitera varias veces la sentencia. Esta circunstancia debió dar lugar, cuando menos, a una “muy importante atenuación punitiva que pudo vehicularse perfectamente a través del art. 20.7 CP, alegado por la defensa como eximente en el acto del juicio y cuya apreciación como eximente incompleta habría permitido imponer penas muy alejadas de los castigos absolutamente desproporcionados que se han acabado im</w:t>
      </w:r>
      <w:r>
        <w:lastRenderedPageBreak/>
        <w:t>poniendo”. Sin embargo, al imponerse penas tan severas, la desproporción punitiva ha originado un efecto desalentador del ejercicio de derechos fundamentales, sin que los posibles móviles políticos del demandante deban ser tenidos en cuenta, por ser completamente ajenos a la sedición, que es un delito contra el orden público.</w:t>
      </w:r>
    </w:p>
    <w:p w:rsidR="005728DD" w:rsidRDefault="005728DD" w:rsidP="005728DD">
      <w:pPr>
        <w:pStyle w:val="TextoNormal"/>
      </w:pPr>
    </w:p>
    <w:p w:rsidR="005728DD" w:rsidRDefault="005728DD" w:rsidP="005728DD">
      <w:pPr>
        <w:pStyle w:val="TextoNormal"/>
      </w:pPr>
      <w:r>
        <w:t>Añade que el auto resolutorio del incidente agrava con su fundamentación la vulneración denunciada, por sus constantes valoraciones sobre la ideología política de los procesados, dato este completamente ajeno al delito de sedición, y porque el ejercicio de derechos como la libertad ideológica, de reunión y manifestación “pasa a convertirse en una circunstancia agravante de la responsabilidad penal”. Finalmente, insiste en que las penas impuestas son manifiestamente desproporcionadas, pues como sostiene algún autor imponen a “los organizadores de reuniones pacíficas -aun cuando ilegales- para la expresión de votos, opiniones o sentimientos políticos, sanciones de una severidad equivalente a las que el Código penal prevé para graves delitos contra la vida y la integridad física”.</w:t>
      </w:r>
    </w:p>
    <w:p w:rsidR="005728DD" w:rsidRDefault="005728DD" w:rsidP="005728DD">
      <w:pPr>
        <w:pStyle w:val="TextoNormal"/>
      </w:pPr>
    </w:p>
    <w:p w:rsidR="005728DD" w:rsidRDefault="005728DD" w:rsidP="005728DD">
      <w:pPr>
        <w:pStyle w:val="TextoNormal"/>
      </w:pPr>
      <w:r>
        <w:t>Niega la abogacía del Estado que se hayan conculcado los derechos fundamentales que alude el demandante. Su responsabilidad penal no trae causa de difundir opiniones y doctrinas contrarias a la Constitución ni por propugnar la superación del marco político actual. Lo que es objeto de reproche penal es haber participado en la elaboración de leyes en abierta y contumaz desatención de los requerimientos del Tribunal Constitucional,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Y esta conducta no se ve amparada por ninguno de los derechos que se citan en la demanda. Añade que la movilización alentada, a fin de que se produjera la votación prohibida desborda los lindes del ejercicio legítimo del derecho de reunión, por lo que esa conducta no puede quedar amparada por el art. 20.7 CP. Finalmente, concluye que lo que se produjo fue un levantamiento multitudinario, generalizado y proyectado de forma estratégica, por lo que no es posible eludir la tipicidad de la sedición.</w:t>
      </w:r>
    </w:p>
    <w:p w:rsidR="005728DD" w:rsidRDefault="005728DD" w:rsidP="005728DD">
      <w:pPr>
        <w:pStyle w:val="TextoNormal"/>
      </w:pPr>
    </w:p>
    <w:p w:rsidR="005728DD" w:rsidRDefault="005728DD" w:rsidP="005728DD">
      <w:pPr>
        <w:pStyle w:val="TextoNormal"/>
      </w:pPr>
      <w:r>
        <w:t>El partido político Vox sostiene que la injerencia en los supuestos derechos fundamentales que se alega se debe a la comisión de unos hechos por el demandante cuando ocupaba un cargo público representando al Gobierno de España en el territorio de Cataluña, por lo que el desvalor de su acción es mayor.</w:t>
      </w:r>
    </w:p>
    <w:p w:rsidR="005728DD" w:rsidRDefault="005728DD" w:rsidP="005728DD">
      <w:pPr>
        <w:pStyle w:val="TextoNormal"/>
      </w:pPr>
    </w:p>
    <w:p w:rsidR="005728DD" w:rsidRDefault="005728DD" w:rsidP="005728DD">
      <w:pPr>
        <w:pStyle w:val="TextoNormal"/>
      </w:pPr>
      <w:r>
        <w:t xml:space="preserve">Para el fiscal, de los hechos probados se desprende que se desbordó claramente el derecho de reunión; y los actos imputados al recurrente no quedan amparados por su libertad ideológica o de pensamiento o por su libertad de expresión, puesto que estos derechos no justifican las conductas por las que ha sido condenado el recurrente. El comportamiento del demandante y otros condenados puso en cuestión el Estado democrático de Derecho, en la forma que se ha descrito. Añade que la condena por sedición no ha supuesto un efecto desalentador o disuasorio del ejercicio de los derechos que se alegan, pues al demandante no se le sanciona por defender la independencia de Cataluña o propugnar un referéndum de autodeterminación. Ha sido condenado por haber definido una legislación paralela al orden constitucional a través de las denominadas leyes de desconexión, ley del referéndum de autodeterminación y ley de transitoriedad jurídica y fundacional de la república, con desconocimiento de las resoluciones del Tribunal Constitucional; y por haber movilizado a parte de la ciudadanía de Cataluña, propiciando un levantamiento público acompañado de actos </w:t>
      </w:r>
      <w:r>
        <w:lastRenderedPageBreak/>
        <w:t>de hostigamiento, amedrentamiento, hostilidad y violencia frente a los cuerpos policiales con la finalidad de obstaculizar, cuando no impedir, el cumplimiento de la legalidad vigente y de las resoluciones judiciales.</w:t>
      </w:r>
    </w:p>
    <w:p w:rsidR="005728DD" w:rsidRDefault="005728DD" w:rsidP="005728DD">
      <w:pPr>
        <w:pStyle w:val="TextoNormal"/>
      </w:pPr>
    </w:p>
    <w:p w:rsidR="005728DD" w:rsidRDefault="005728DD" w:rsidP="005728DD">
      <w:pPr>
        <w:pStyle w:val="TextoNormal"/>
      </w:pPr>
      <w:r>
        <w:t>Niega que el demandante estuviera amparado por el derecho de reunión, pues las concentraciones de ciudadanos han estado dirigidas y ordenadas a impedir el cumplimiento de la ley y de las resoluciones judiciales, así como a facilitar la realización de un referéndum de autodeterminación no contemplado en la legislación española y suspendido por el Tribunal Constitucional, recurriéndose así a unas vías de hecho incompatibles con el legítimo ejercicio del derecho de reunión. Por todo lo expuesto, concluye que estamos ante un aparente ejercicio de los derechos fundamentales que, por la finalidad a la que se orientan, “desnaturalizan el ejercicio de esos derechos”, razón por la cual también descarta la aplicación de la eximente incompleta.</w:t>
      </w:r>
    </w:p>
    <w:p w:rsidR="005728DD" w:rsidRDefault="005728DD" w:rsidP="005728DD">
      <w:pPr>
        <w:pStyle w:val="TextoNormal"/>
      </w:pPr>
    </w:p>
    <w:p w:rsidR="005728DD" w:rsidRDefault="005728DD" w:rsidP="005728DD">
      <w:pPr>
        <w:pStyle w:val="TextoNormal"/>
      </w:pPr>
      <w:r>
        <w:t>11.5.2</w:t>
      </w:r>
      <w:r w:rsidRPr="005728DD">
        <w:rPr>
          <w:i/>
        </w:rPr>
        <w:t>.2. Respuesta del órgano judi</w:t>
      </w:r>
      <w:r>
        <w:t>cial.</w:t>
      </w:r>
    </w:p>
    <w:p w:rsidR="005728DD" w:rsidRDefault="005728DD" w:rsidP="005728DD">
      <w:pPr>
        <w:pStyle w:val="TextoNormal"/>
      </w:pPr>
    </w:p>
    <w:p w:rsidR="005728DD" w:rsidRDefault="005728DD" w:rsidP="005728DD">
      <w:pPr>
        <w:pStyle w:val="TextoNormal"/>
      </w:pPr>
      <w:r>
        <w:t>En el apartado 4.6 del fundamento jurídico B) de la sentencia impugnada, el órgano judicial descarta que los hechos ocurridos los días 20 de septiembre y 1 de octubre constituyeran una pacífica manifestación de protesta:</w:t>
      </w:r>
    </w:p>
    <w:p w:rsidR="005728DD" w:rsidRDefault="005728DD" w:rsidP="005728DD">
      <w:pPr>
        <w:pStyle w:val="TextoNormal"/>
      </w:pPr>
    </w:p>
    <w:p w:rsidR="005728DD" w:rsidRDefault="005728DD" w:rsidP="005728DD">
      <w:pPr>
        <w:pStyle w:val="TextoNormal"/>
      </w:pPr>
      <w:r>
        <w:t>“En los hechos probados de esta nuestra resolución se pone de manifiesto que las actuaciones de los días 20 de septiembre y 1 de octubre de 2017 estuvieron lejos de una pacífica y legítima manifestación de protesta.</w:t>
      </w:r>
    </w:p>
    <w:p w:rsidR="005728DD" w:rsidRDefault="005728DD" w:rsidP="005728DD">
      <w:pPr>
        <w:pStyle w:val="TextoNormal"/>
      </w:pPr>
    </w:p>
    <w:p w:rsidR="005728DD" w:rsidRDefault="005728DD" w:rsidP="005728DD">
      <w:pPr>
        <w:pStyle w:val="TextoNormal"/>
      </w:pPr>
      <w:r>
        <w:t>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5728DD" w:rsidRDefault="005728DD" w:rsidP="005728DD">
      <w:pPr>
        <w:pStyle w:val="TextoNormal"/>
      </w:pPr>
    </w:p>
    <w:p w:rsidR="005728DD" w:rsidRDefault="005728DD" w:rsidP="005728DD">
      <w:pPr>
        <w:pStyle w:val="TextoNormal"/>
      </w:pPr>
      <w:r>
        <w:t>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lastRenderedPageBreak/>
        <w:t>Y tales resultados se procuraban totalmente fuera de las vías legales. En el hecho probado se ha expuesto la forzada interpretación del reglamento de la cámara autonómica para proclamar esas disposiciones legales. La efectividad —que no validez— de las nuevas disposiciones se reflejó en la acomodación de los acusados a sus preceptos pese a los reiterados requerimientos del Tribunal Constitucional para no ponerlas en práctica”.</w:t>
      </w:r>
    </w:p>
    <w:p w:rsidR="005728DD" w:rsidRDefault="005728DD" w:rsidP="005728DD">
      <w:pPr>
        <w:pStyle w:val="TextoNormal"/>
      </w:pPr>
    </w:p>
    <w:p w:rsidR="005728DD" w:rsidRDefault="005728DD" w:rsidP="005728DD">
      <w:pPr>
        <w:pStyle w:val="TextoNormal"/>
      </w:pPr>
      <w:r>
        <w:t>El apartado 17.5 del fundamento A) de la sentencia da respuesta al alegato de actuar en ejercicio legítimo de derechos constitucionales, como causa excluyente de la antijuridicidad. Así, señala:</w:t>
      </w:r>
    </w:p>
    <w:p w:rsidR="005728DD" w:rsidRDefault="005728DD" w:rsidP="005728DD">
      <w:pPr>
        <w:pStyle w:val="TextoNormal"/>
      </w:pPr>
    </w:p>
    <w:p w:rsidR="005728DD" w:rsidRDefault="005728DD" w:rsidP="005728DD">
      <w:pPr>
        <w:pStyle w:val="TextoNormal"/>
      </w:pPr>
      <w:r>
        <w:t>“17.5.1. Derecho a la libertad de expresión.</w:t>
      </w:r>
    </w:p>
    <w:p w:rsidR="005728DD" w:rsidRDefault="005728DD" w:rsidP="005728DD">
      <w:pPr>
        <w:pStyle w:val="TextoNormal"/>
      </w:pPr>
    </w:p>
    <w:p w:rsidR="005728DD" w:rsidRDefault="005728DD" w:rsidP="005728DD">
      <w:pPr>
        <w:pStyle w:val="TextoNormal"/>
      </w:pPr>
      <w:r>
        <w:t>La infracción del derecho a la libertad de expresión —a juicio de las defensas— se habría generado desde la perspectiva asumida por las acusaciones de criminalización del discurso político para fundamentar una condena penal. Esa restricción no puede incardinarse —se aduce— en ninguna de las habilitaciones previstas por el Convenio y por lo tanto supone una vulneración y un grave atentado al derecho fundamental a la libertad de expresión del art. 10 CEDH y concordantes.</w:t>
      </w:r>
    </w:p>
    <w:p w:rsidR="005728DD" w:rsidRDefault="005728DD" w:rsidP="005728DD">
      <w:pPr>
        <w:pStyle w:val="TextoNormal"/>
      </w:pPr>
    </w:p>
    <w:p w:rsidR="005728DD" w:rsidRDefault="005728DD" w:rsidP="005728DD">
      <w:pPr>
        <w:pStyle w:val="TextoNormal"/>
      </w:pPr>
      <w:r>
        <w:t>La Sala discrepa de esta afirmación.</w:t>
      </w:r>
    </w:p>
    <w:p w:rsidR="005728DD" w:rsidRDefault="005728DD" w:rsidP="005728DD">
      <w:pPr>
        <w:pStyle w:val="TextoNormal"/>
      </w:pPr>
    </w:p>
    <w:p w:rsidR="005728DD" w:rsidRDefault="005728DD" w:rsidP="005728DD">
      <w:pPr>
        <w:pStyle w:val="TextoNormal"/>
      </w:pPr>
      <w:r>
        <w:t>No se ha producido en este caso un ejercicio legítimo del derecho a la libertad de expresión ni existe, desde luego, vulneración de ese derecho. Ninguno de los actos imputados y que ahora han sido declarados probados queda comprendido —y, por tanto, justificado— en el contenido material del derecho a la libertad de expresión.</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A la vista de este desarrollo jurisprudencial del derecho a la libertad de expresión, recogido en los arts. 20.1 de la CE y 10 del CEDH, está fuera de dudas que los hechos que se declaran probados no implican la negación de la capacidad de los acusados para expresar libremente sus ideas. No se castiga por difundir opiniones o doctrinas contrarias al actual estatus constitucional. Tampoco por propugnar una superación del marco político vigente. La libertad de los acusados, en este punto, permanece incólume. Nuestro sistema no se identifica con aquellos otros que hacen de la democracia militante una de sus señas de identidad (cfr. SSTC 48/2003, 136/1999, 159/1986). Las mismas ideas que han defendido los acusados les han permitido concurrir a elecciones legislativas. Esas ideas secesionistas son las que siguen dando vida al Gobierno autonómico de Cataluña. Su legitimidad no se cuestiona. Lo que es objeto de reproche penal —y así lo hemos declarado probado— es haber pulverizado el pacto constitucional, y hacerlo mediante la aprobación de leyes en abierta y contumaz desatención a los requerimientos del Tribunal Constitucional. Lo que se sanciona, en fin,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con la estructura del Estado.</w:t>
      </w:r>
    </w:p>
    <w:p w:rsidR="005728DD" w:rsidRDefault="005728DD" w:rsidP="005728DD">
      <w:pPr>
        <w:pStyle w:val="TextoNormal"/>
      </w:pPr>
    </w:p>
    <w:p w:rsidR="005728DD" w:rsidRDefault="005728DD" w:rsidP="005728DD">
      <w:pPr>
        <w:pStyle w:val="TextoNormal"/>
      </w:pPr>
      <w:r>
        <w:lastRenderedPageBreak/>
        <w:t>El apartado 2 del art. 10 del CEDH considera restricciones legítimas a la libertad de expresión aquellas que sean ‘[…] medidas necesarias, en una sociedad democrática […] para la integridad territorial o la seguridad pública, la defensa del orden y la prevención del delito’. La simple lectura de este precepto ya pone de relieve la validez democrática de restricciones encaminadas a preservar otros fines constitucionalmente legítimos. Y si bien insistimos en la no afectación del contenido material del derecho a la libertad de expresión de los acusados, conviene recordar que la defensa de la integridad territorial y la prevención del delito son, según el precepto invocado, legítimas limitaciones a la libertad de expresión que, en el presente caso, tampoco han existido.</w:t>
      </w:r>
    </w:p>
    <w:p w:rsidR="005728DD" w:rsidRDefault="005728DD" w:rsidP="005728DD">
      <w:pPr>
        <w:pStyle w:val="TextoNormal"/>
      </w:pPr>
    </w:p>
    <w:p w:rsidR="005728DD" w:rsidRDefault="005728DD" w:rsidP="005728DD">
      <w:pPr>
        <w:pStyle w:val="TextoNormal"/>
      </w:pPr>
      <w:r>
        <w:t>17.5.2. Derecho de reunión.</w:t>
      </w:r>
    </w:p>
    <w:p w:rsidR="005728DD" w:rsidRDefault="005728DD" w:rsidP="005728DD">
      <w:pPr>
        <w:pStyle w:val="TextoNormal"/>
      </w:pPr>
    </w:p>
    <w:p w:rsidR="005728DD" w:rsidRDefault="005728DD" w:rsidP="005728DD">
      <w:pPr>
        <w:pStyle w:val="TextoNormal"/>
      </w:pPr>
      <w:r>
        <w:t>El derecho de reunión pacífica habría sido también infringido. Los escritos de acusación contienen, a juicio de las defensas, la conversión en actos delictivos de meros actos de protesta que se hallan plenamente incluidos en el ejercicio del derecho fundamental de reunión (art. 21 CE, 21 PIDCP y 11 CEDH).</w:t>
      </w:r>
    </w:p>
    <w:p w:rsidR="005728DD" w:rsidRDefault="005728DD" w:rsidP="005728DD">
      <w:pPr>
        <w:pStyle w:val="TextoNormal"/>
      </w:pPr>
    </w:p>
    <w:p w:rsidR="005728DD" w:rsidRDefault="005728DD" w:rsidP="005728DD">
      <w:pPr>
        <w:pStyle w:val="TextoNormal"/>
      </w:pPr>
      <w:r>
        <w:t>Tampoco ahora la Sala puede identificarse con esta línea de razonamiento. La legitimidad del derecho de reunión está fuera de controversia. Pero también lo está la existencia de límites al ejercicio de este derecho. Basta una lectura de los arts. 513 y 514 del CP para constatar que el legislador español considera delictivas algunas de las acciones que desbordan el ejercicio legítimo de los derechos de reunión o manifestación. La jurisprudencia del Tribunal Europeo de Derechos Humanos ha admitido esta idea de limitación, si bien conecta su legitimidad a la vigencia del principio de proporcionalidad (cfr. STED</w:t>
      </w:r>
      <w:r w:rsidRPr="005728DD">
        <w:rPr>
          <w:i/>
        </w:rPr>
        <w:t>H Ezelin v. Franc</w:t>
      </w:r>
      <w:r>
        <w:t>ia, 26 abril 1991) y a la necesidad de que no suponga un control ideológico sobre la finalidad de las manifestaciones (cfr. STED</w:t>
      </w:r>
      <w:r w:rsidRPr="005728DD">
        <w:rPr>
          <w:i/>
        </w:rPr>
        <w:t>H Ivanov v. Bulgar</w:t>
      </w:r>
      <w:r>
        <w:t xml:space="preserve">ia, 20 octubre 2005, </w:t>
      </w:r>
      <w:r w:rsidRPr="005728DD">
        <w:rPr>
          <w:i/>
        </w:rPr>
        <w:t>y Partido Demócrata Cristiano Popular v. Moldav</w:t>
      </w:r>
      <w:r>
        <w:t>ia, 14 febrero 2006).</w:t>
      </w:r>
    </w:p>
    <w:p w:rsidR="005728DD" w:rsidRDefault="005728DD" w:rsidP="005728DD">
      <w:pPr>
        <w:pStyle w:val="TextoNormal"/>
      </w:pPr>
    </w:p>
    <w:p w:rsidR="005728DD" w:rsidRDefault="005728DD" w:rsidP="005728DD">
      <w:pPr>
        <w:pStyle w:val="TextoNormal"/>
      </w:pPr>
      <w:r>
        <w:t>En el caso presente, no se trata de calibrar si esas limitaciones se acomodaron al canon constitucional que les confiere legitimidad. Ninguno de los ciudadanos que asistieron a las manifestaciones que se describen en el juicio histórico ha resultado acusado por ese hecho. Tampoco los acusados señor Junqueras y señora Forcadell —que reforzaron con su presencia la reivindicación que animaba la protestas ante la sede de la Vicepresidencia y Consejería de Economía y el Tribunal Superior de Justicia—, ni los señores Cuixart y Sànchez —que desarrollaron un especial protagonismo en esos encuentros—, han sido acusados de un delito de reunión o manifestación ilícita.</w:t>
      </w:r>
    </w:p>
    <w:p w:rsidR="005728DD" w:rsidRDefault="005728DD" w:rsidP="005728DD">
      <w:pPr>
        <w:pStyle w:val="TextoNormal"/>
      </w:pPr>
    </w:p>
    <w:p w:rsidR="005728DD" w:rsidRDefault="005728DD" w:rsidP="005728DD">
      <w:pPr>
        <w:pStyle w:val="TextoNormal"/>
      </w:pPr>
      <w:r>
        <w:t>No se han criminalizado, por tanto, actos de protesta.</w:t>
      </w:r>
    </w:p>
    <w:p w:rsidR="005728DD" w:rsidRDefault="005728DD" w:rsidP="005728DD">
      <w:pPr>
        <w:pStyle w:val="TextoNormal"/>
      </w:pPr>
    </w:p>
    <w:p w:rsidR="005728DD" w:rsidRDefault="005728DD" w:rsidP="005728DD">
      <w:pPr>
        <w:pStyle w:val="TextoNormal"/>
      </w:pPr>
      <w:r>
        <w:t>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w:t>
      </w:r>
      <w:r>
        <w:lastRenderedPageBreak/>
        <w:t>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w:t>
      </w:r>
    </w:p>
    <w:p w:rsidR="005728DD" w:rsidRDefault="005728DD" w:rsidP="005728DD">
      <w:pPr>
        <w:pStyle w:val="TextoNormal"/>
      </w:pPr>
    </w:p>
    <w:p w:rsidR="005728DD" w:rsidRDefault="005728DD" w:rsidP="005728DD">
      <w:pPr>
        <w:pStyle w:val="TextoNormal"/>
      </w:pPr>
      <w:r>
        <w:t>Pero la misma obviedad puede proclamarse de la idea de que nadie puede arrogarse el monopolio de interpretar qué es lo legítimo, arrojando al ámbito de lo ilegítimo al que no comparta sus ideas sobre la autodeterminación. Y ello, pese a los muchos argumentos que se hagan valer y que están, no para vencer al que no piensa igual, ni para superponerlos a la legalidad basándose en la voluntarista superioridad de una legitimidad frente a otra, sino para hacerlos valer en la sociedad democrática y convencer traspasándolos, en su caso, a la legalidad. También aquellos ciudadanos que profesan otras concepciones sobre el llamado problema territorial gozan de iguales derechos. Y con iguales métodos —tanto en el plano del tejido social como en el ámbito de la política institucional— ha de respetarse su capacidad y derecho de oponer a esas ideas otras que, para ellos, son las que encarnan la legitimidad.</w:t>
      </w:r>
    </w:p>
    <w:p w:rsidR="005728DD" w:rsidRDefault="005728DD" w:rsidP="005728DD">
      <w:pPr>
        <w:pStyle w:val="TextoNormal"/>
      </w:pPr>
    </w:p>
    <w:p w:rsidR="005728DD" w:rsidRDefault="005728DD" w:rsidP="005728DD">
      <w:pPr>
        <w:pStyle w:val="TextoNormal"/>
      </w:pPr>
      <w:r>
        <w:t>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convictivo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005728DD" w:rsidRDefault="005728DD" w:rsidP="005728DD">
      <w:pPr>
        <w:pStyle w:val="TextoNormal"/>
      </w:pPr>
    </w:p>
    <w:p w:rsidR="005728DD" w:rsidRDefault="005728DD" w:rsidP="005728DD">
      <w:pPr>
        <w:pStyle w:val="TextoNormal"/>
      </w:pPr>
      <w:r>
        <w:t>En definitiva,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5728DD" w:rsidRDefault="005728DD" w:rsidP="005728DD">
      <w:pPr>
        <w:pStyle w:val="TextoNormal"/>
      </w:pPr>
    </w:p>
    <w:p w:rsidR="005728DD" w:rsidRDefault="005728DD" w:rsidP="005728DD">
      <w:pPr>
        <w:pStyle w:val="TextoNormal"/>
      </w:pPr>
      <w:r>
        <w:t>17.5.3. Libertad ideológica.</w:t>
      </w:r>
    </w:p>
    <w:p w:rsidR="005728DD" w:rsidRDefault="005728DD" w:rsidP="005728DD">
      <w:pPr>
        <w:pStyle w:val="TextoNormal"/>
      </w:pPr>
    </w:p>
    <w:p w:rsidR="005728DD" w:rsidRDefault="005728DD" w:rsidP="005728DD">
      <w:pPr>
        <w:pStyle w:val="TextoNormal"/>
      </w:pPr>
      <w:r>
        <w:t>El mismo rechazo hemos de suscribir al pretendido efecto exoneratorio derivado del ejercicio legítimo del derecho a la libertad ideológica. Su contenido, tal y como ha sido configurado por la jurisprudencia constitucional (cfr. SSTC 120/1990, 137/1990, 214/1991, 177/2015) y del Tribunal Europeo de Derechos Humanos (cfr. sentencia de 13 marzo 2018</w:t>
      </w:r>
      <w:r w:rsidRPr="005728DD">
        <w:rPr>
          <w:i/>
        </w:rPr>
        <w:t xml:space="preserve">, </w:t>
      </w:r>
      <w:r w:rsidRPr="005728DD">
        <w:rPr>
          <w:i/>
        </w:rPr>
        <w:lastRenderedPageBreak/>
        <w:t>Stern Taulats y Roura Capellera c. Espa</w:t>
      </w:r>
      <w:r>
        <w:t>ña), no puede abarcar los hechos que sustentan las imputaciones que se formulan para cada uno de los acusados.</w:t>
      </w:r>
    </w:p>
    <w:p w:rsidR="005728DD" w:rsidRDefault="005728DD" w:rsidP="005728DD">
      <w:pPr>
        <w:pStyle w:val="TextoNormal"/>
      </w:pPr>
    </w:p>
    <w:p w:rsidR="005728DD" w:rsidRDefault="005728DD" w:rsidP="005728DD">
      <w:pPr>
        <w:pStyle w:val="TextoNormal"/>
      </w:pPr>
      <w:r>
        <w:t>También ahora hemos de insistir en que la libertad ideológica de los acusados ha permanecido incólume a lo largo del proceso. Su condición de parte pasiva nada tiene que ver con los postulados políticos que cada uno de ellos suscribe. De hecho, han podido participar incluso en campaña electoral durante el tiempo de prisión preventiva. Han podido difundir sus ideas y son estas ideas las que, hoy por hoy, sostienen la acción de gobierno de la Generalitat”.</w:t>
      </w:r>
    </w:p>
    <w:p w:rsidR="005728DD" w:rsidRDefault="005728DD" w:rsidP="005728DD">
      <w:pPr>
        <w:pStyle w:val="TextoNormal"/>
      </w:pPr>
    </w:p>
    <w:p w:rsidR="005728DD" w:rsidRDefault="005728DD" w:rsidP="005728DD">
      <w:pPr>
        <w:pStyle w:val="TextoNormal"/>
      </w:pPr>
      <w:r>
        <w:t>Como ha quedado reflejado al transcribir el apartado 7.2.5 del reiterado auto resolutorio del incidente de nulidad, el tribunal sentenciador considera que la actuación del demandante “desbordó ampliamente los derechos constitucionales mencionados”. Sin embargo, es en el apartado 2.5.2 del citado auto donde se ofrece una detallada y exhaustiva respuesta sobre esta cuestión, al resolver el incidente interpuesto por el señor Cuixart:</w:t>
      </w:r>
    </w:p>
    <w:p w:rsidR="005728DD" w:rsidRDefault="005728DD" w:rsidP="005728DD">
      <w:pPr>
        <w:pStyle w:val="TextoNormal"/>
      </w:pPr>
    </w:p>
    <w:p w:rsidR="005728DD" w:rsidRDefault="005728DD" w:rsidP="005728DD">
      <w:pPr>
        <w:pStyle w:val="TextoNormal"/>
      </w:pPr>
      <w:r>
        <w:t>“Las manifestaciones convocadas por las asociaciones civiles el día 1 de octubre de 2017, no se circunscribían a la mera reivindicación de un legítimo mensaje político. Tampoco eran la expresión de protestas que, pese a su hostilidad, tienen indudable encaje constitucional. Antes al contrario, eran acciones ejecutadas en un indisimulado lenguaje performativo. Simultáneamente a su desarrollo se implementaban apartados del Decreto dictado por el Govern en desarrollo de la inconstitucional normativa de secesión aprobada por el Parlament. Se trataba así de conferir una efectividad a esa ilegal norma de cobertura, con desprecio de su invalidez, posibilitando la celebración de un referéndum que eludía la eficacia de cualquier resolución judicial tendente a impedirlo. Se lograba de esta forma la realización simultánea por los convocantes de la acción evocada, celebración del ilegal referéndum, en cuanto contrario a la normativa electoral y estatuaria.</w:t>
      </w:r>
    </w:p>
    <w:p w:rsidR="005728DD" w:rsidRDefault="005728DD" w:rsidP="005728DD">
      <w:pPr>
        <w:pStyle w:val="TextoNormal"/>
      </w:pPr>
    </w:p>
    <w:p w:rsidR="005728DD" w:rsidRDefault="005728DD" w:rsidP="005728DD">
      <w:pPr>
        <w:pStyle w:val="TextoNormal"/>
      </w:pPr>
      <w:r>
        <w:t>No se trataba, pues, de la promoción de meras manifestaciones cuya ilicitud se asociara al incumplimiento de un requisito administrativo —como se contempla en las SSTEDH de 12 de junio de 2014</w:t>
      </w:r>
      <w:r w:rsidRPr="005728DD">
        <w:rPr>
          <w:i/>
        </w:rPr>
        <w:t>, Primov y otros c. Rus</w:t>
      </w:r>
      <w:r>
        <w:t>ia, o 27 de enero de 2009</w:t>
      </w:r>
      <w:r w:rsidRPr="005728DD">
        <w:rPr>
          <w:i/>
        </w:rPr>
        <w:t>, Karabulut c. Turqu</w:t>
      </w:r>
      <w:r>
        <w:t>ía—. Lo que sucedió y como tal fue objeto de enjuiciamiento eran graves comisiones delictivas en las que, a través de una conducta coactiva, se facilitaba e imponía una normativa antidemocrática, adoptada con menosprecio y conculcación de los derechos de un relevante número de parlamentarios autonómicos y de los ciudadanos a los que representaban, que superaban a la mitad de los votantes.</w:t>
      </w:r>
    </w:p>
    <w:p w:rsidR="005728DD" w:rsidRDefault="005728DD" w:rsidP="005728DD">
      <w:pPr>
        <w:pStyle w:val="TextoNormal"/>
      </w:pPr>
    </w:p>
    <w:p w:rsidR="005728DD" w:rsidRDefault="005728DD" w:rsidP="005728DD">
      <w:pPr>
        <w:pStyle w:val="TextoNormal"/>
      </w:pPr>
      <w:r>
        <w:t xml:space="preserve">No es posible, por tanto, afirmar que la sentencia cuya nulidad se insta condena por convocar manifestaciones pacíficas. Menos aún, que esa condena se limita a los hechos acaecidos el día 20 de septiembre. Quien así argumenta trocea de forma inadmisible lo verdaderamente acaecido. El día 20 de septiembre el registro judicial se desarrolló en una atmósfera de coacción, hasta el punto que impidió el desplazamiento de los investigados al registro de sus despachos, dadas las concertadas intervenciones intimidatorias de los convocados, ese mismo día, en diversos lugares. La propia brigada móvil de los Mossos (BRIMO) encontró fundados obstáculos para el desarrollo de su función. Ningún responsable de seguridad se comprometía a que los objetos incautados y la documentación intervenida durante el registro pudieran mantenerse en poder de los funcionarios que los custodiaban, si estos llegaran a abandonar la sede de la vicepresidencia con la multitud en la puerta utilizaran o no para ello </w:t>
      </w:r>
      <w:r>
        <w:lastRenderedPageBreak/>
        <w:t>el pasillo habilitado por los voluntarios de una de las asociaciones civiles convocantes. La letrada de la administración de justicia tuvo que salir del edificio de forma subrepticia, bajo indicaciones policiales, ante el riesgo serio que corría su integridad física y la de los funcionarios que practicaban el registro. Los ‘matan’, llegó a decir un responsable de seguridad. Tal era el ambiente coactivo en el que se desarrolló la diligencia judicial que cuando algunos agentes de los Mossos d’Esquadra fueron confundidos con practicantes del registro tuvieron que huir corriendo para refugiarse en un edificio próximo.</w:t>
      </w:r>
    </w:p>
    <w:p w:rsidR="005728DD" w:rsidRDefault="005728DD" w:rsidP="005728DD">
      <w:pPr>
        <w:pStyle w:val="TextoNormal"/>
      </w:pPr>
    </w:p>
    <w:p w:rsidR="005728DD" w:rsidRDefault="005728DD" w:rsidP="005728DD">
      <w:pPr>
        <w:pStyle w:val="TextoNormal"/>
      </w:pPr>
      <w:r>
        <w:t>La actuación de los convocados iba más allá del simple y legítimo ejercicio del derecho de reunión. La multitud, no solo se manifestaba, sino que cumplimentaba la expresiva llamada por parte del recurrente ‘en defensa de les nostres institucions’. Unas instituciones sobre las que, dicho sea de paso, ningún peligro se cernía, más allá del demoledor efecto que para su vigencia y desarrollo habría tenido, en su caso, la efectiva vigencia de las ilícitas leyes de transitoriedad y referéndum. Las manifestaciones objeto de la concurrencia pública, en modo alguno resultaban amparadas por el derecho a la libertad de expresión, en cuanto conllevaban un levantamiento con el objetivo de implementar una normativa antidemocrática y afectaban potencialmente y de forma mediata a la integridad territorial. (vid. decisión del Tribunal Europeo de Derechos Humanos de 7 de mayo de 2019</w:t>
      </w:r>
      <w:r w:rsidRPr="005728DD">
        <w:rPr>
          <w:i/>
        </w:rPr>
        <w:t>, María Carmen Forcadell i Lluis y otros c. Espa</w:t>
      </w:r>
      <w:r>
        <w:t>ña, demanda núm. 75147-17)</w:t>
      </w:r>
    </w:p>
    <w:p w:rsidR="005728DD" w:rsidRDefault="005728DD" w:rsidP="005728DD">
      <w:pPr>
        <w:pStyle w:val="TextoNormal"/>
      </w:pPr>
    </w:p>
    <w:p w:rsidR="005728DD" w:rsidRDefault="005728DD" w:rsidP="005728DD">
      <w:pPr>
        <w:pStyle w:val="TextoNormal"/>
      </w:pPr>
      <w:r>
        <w:t>También por la vía coactiva se procuró la realización del referéndum como desautorizado instrumento jurídico que obligaba, de forma automática, a la consecutiva proclamación de la república catalana. Y por más formal y simbólica que fuese, esa declaración asentaba un hito más en las vías de hecho hacia una independencia cuyo itinerario había sido diseñado por los autores o, al menos, asumido por estos.</w:t>
      </w:r>
    </w:p>
    <w:p w:rsidR="005728DD" w:rsidRDefault="005728DD" w:rsidP="005728DD">
      <w:pPr>
        <w:pStyle w:val="TextoNormal"/>
      </w:pPr>
    </w:p>
    <w:p w:rsidR="005728DD" w:rsidRDefault="005728DD" w:rsidP="005728DD">
      <w:pPr>
        <w:pStyle w:val="TextoNormal"/>
      </w:pPr>
      <w:r>
        <w:t>Cuando se afirma en defensa de la nulidad de nuestra sentencia el hecho de que se han condenado ideas, se prescinde de una realidad incontrovertida, a saber, que la independencia como aspiración política nunca ha sido objeto de procedimiento penal. No lo fue cuando, como cada anualidad, el 11 de septiembre se celebró la diada, con asistencia —según las fuentes que se consulten— de entre trescientas cincuenta mil y un millón de personas. Una reunión pacífica que incluía, entre otros lemas, la afirmación de que ‘votaremos, quieran o no quieran’, en directa alusión al deseo colectivo de ignorar la prohibición de la celebración del referéndum que tuvo lugar unos días después. Tampoco hubo persecución penal cuando, una y otra vez, se proclamaba la insumisión a los tribunales y gobiernos ‘[…] que solo quieren preservar la indivisible unidad de la patria’.</w:t>
      </w:r>
    </w:p>
    <w:p w:rsidR="005728DD" w:rsidRDefault="005728DD" w:rsidP="005728DD">
      <w:pPr>
        <w:pStyle w:val="TextoNormal"/>
      </w:pPr>
    </w:p>
    <w:p w:rsidR="005728DD" w:rsidRDefault="005728DD" w:rsidP="005728DD">
      <w:pPr>
        <w:pStyle w:val="TextoNormal"/>
      </w:pPr>
      <w:r>
        <w:t xml:space="preserve">En definitiva, la respuesta jurisdiccional a los hechos enjuiciados ha estado inspirada en la lógica observancia de nuestros principios constitucionales y de la propia doctrina del Tribunal Europeo de Derechos Humanos, manifestada en </w:t>
      </w:r>
      <w:r w:rsidRPr="005728DD">
        <w:rPr>
          <w:i/>
        </w:rPr>
        <w:t>Stankov y Organización Macedonia Unida Ilinden c. Bulgaria</w:t>
      </w:r>
      <w:r>
        <w:t xml:space="preserve"> de 2 de octubre de 2001, § 97, asuntos 29221/95 y 29225/95. Tampoco es posible proclamar que este proceso tuviera como fin un efecto disuasorio de la libertad de expresión. Conviene insistir en que los hechos por los que se ha dictado condena fueron, desde luego, algo más que una reunión de ciudadanos que con libertad expresan sus reivindicaciones ideológicas. No hemos criminalizado opiniones y protestas. Los hechos acaecidos los días 20 de septiembre y 1 de octubre buscaban implementar, en connivencia las autoridades autonómicas y los líderes asociativos que han resultado condenados, una normativa antidemocrática e inconstitucional. Un bloque jurídico —hay que insistir en </w:t>
      </w:r>
      <w:r>
        <w:lastRenderedPageBreak/>
        <w:t>ello— aprobado con desprecio de la mitad de las fuerzas políticas con representación en la Cámara, de los mandatos y advertencias del Tribunal Constitucional y de la Constitución y el Estatuto, norma rectora de la convivencia en el ámbito de la comunidad autónoma de Cataluña.</w:t>
      </w:r>
    </w:p>
    <w:p w:rsidR="005728DD" w:rsidRDefault="005728DD" w:rsidP="005728DD">
      <w:pPr>
        <w:pStyle w:val="TextoNormal"/>
      </w:pPr>
    </w:p>
    <w:p w:rsidR="005728DD" w:rsidRDefault="005728DD" w:rsidP="005728DD">
      <w:pPr>
        <w:pStyle w:val="TextoNormal"/>
      </w:pPr>
      <w:r>
        <w:t>De la ilicitud del referéndum es bien elocuente el hecho de que la presidencia de la Comisión de Venecia había comunicado, tras haberle sido notificada su celebración, que no puede presentarse como un referéndum democrático aquel que no se ajusta a la ley. Menos aún, si su finalidad es coactiva frente al Estado o su resultado se esgrime como una decisión suscrita por una sola parte de la población, relevante, pero solo de una parte que, por si fuera poco, está muy lejana a la mayoría. Una decisión, en fin, que incide sobre cuestiones como la integridad territorial, que es expresión del concepto mismo de soberanía nacional. En definitiva, la mera idea de votar, si el ejercicio de ese derecho se construye al margen de las previsiones legales, no resulta democráticamente amparable.</w:t>
      </w:r>
    </w:p>
    <w:p w:rsidR="005728DD" w:rsidRDefault="005728DD" w:rsidP="005728DD">
      <w:pPr>
        <w:pStyle w:val="TextoNormal"/>
      </w:pPr>
    </w:p>
    <w:p w:rsidR="005728DD" w:rsidRDefault="005728DD" w:rsidP="005728DD">
      <w:pPr>
        <w:pStyle w:val="TextoNormal"/>
      </w:pPr>
      <w:r>
        <w:t>El propio preámbulo del Convenio Europeo de Derecho Humanos, destaca la preeminencia del Derecho. Y la Unión Parlamentaria —organización mundial de parlamentos nacionales, integrada por 179 miembros—, en su Declaración Universal sobre la Democracia, realizada en El Cairo, precisó que la democracia está fundada en la primacía del Derecho y el ejercicio de los derechos fundamentales del hombre (cfr. punto 7). En un Estado democrático, todos los ciudadanos son iguales ante la ley y nadie está por encima de la ley.</w:t>
      </w:r>
    </w:p>
    <w:p w:rsidR="005728DD" w:rsidRDefault="005728DD" w:rsidP="005728DD">
      <w:pPr>
        <w:pStyle w:val="TextoNormal"/>
      </w:pPr>
    </w:p>
    <w:p w:rsidR="005728DD" w:rsidRDefault="005728DD" w:rsidP="005728DD">
      <w:pPr>
        <w:pStyle w:val="TextoNormal"/>
      </w:pPr>
      <w:r>
        <w:t>En conclusión, aunque se redujera la imputación a los levantamientos tumultuarios acaecidos los días 20 de septiembre y 1 de octubre, la aplicación coactiva de las leyes 19 y 20 de 2017, legítimamente suspendidas, en modo alguno podía estar amparada por el derecho de manifestación, sobre todo, tratándose de normas jurídicas aprobadas —insistimos— con desprecio de la legalidad democráticamente establecida y de una minoría parlamentaria que representaba a la mitad de los electores catalanes”.</w:t>
      </w:r>
    </w:p>
    <w:p w:rsidR="005728DD" w:rsidRDefault="005728DD" w:rsidP="005728DD">
      <w:pPr>
        <w:pStyle w:val="TextoNormal"/>
      </w:pPr>
    </w:p>
    <w:p w:rsidR="005728DD" w:rsidRDefault="005728DD" w:rsidP="005728DD">
      <w:pPr>
        <w:pStyle w:val="TextoNormal"/>
      </w:pPr>
      <w:r>
        <w:t>11.5.2.3</w:t>
      </w:r>
      <w:r w:rsidRPr="005728DD">
        <w:rPr>
          <w:i/>
        </w:rPr>
        <w:t>. Resolución de la que</w:t>
      </w:r>
      <w:r>
        <w:t>ja.</w:t>
      </w:r>
    </w:p>
    <w:p w:rsidR="005728DD" w:rsidRDefault="005728DD" w:rsidP="005728DD">
      <w:pPr>
        <w:pStyle w:val="TextoNormal"/>
      </w:pPr>
    </w:p>
    <w:p w:rsidR="005728DD" w:rsidRDefault="005728DD" w:rsidP="005728DD">
      <w:pPr>
        <w:pStyle w:val="TextoNormal"/>
      </w:pPr>
      <w:r>
        <w:t xml:space="preserve">El demandante persiste en la idea de que, al no haber sido acusados los ciudadanos que se alzaron, el órgano sentenciador ha estimado, implícitamente, que aquellos ejercieron legítimamente los derechos fundamentales antes mencionados. Este argumento ya se sustentó, en términos similares, en el planteamiento de la queja relativa al abandono selectivo del principio de la “accesoriedad limitada” en la participación. Y al resolver la referida queja, este tribunal consideró que esa circunstancia en absoluto autoriza a entender que aquellos ciudadanos hubieran actuado amparados por una causa de justificación pues, al no haber sido sometidos a un proceso penal, no cabe formular ninguna consideración de esta índole y, menos aún, en esta sede. Replanteada en lo sustancial esa pretensión, la respuesta que ahora ofrecemos coincide en lo esencial con la ya dada. Respecto de esos terceros no resulta procedente que este tribunal lleve a cabo valoración jurídico-penal alguna acerca del comportamiento de estos últimos, a fin de asumir o rechazar que se hallaban bajo la cobertura de la eximente que contempla el art. 20.7 CP, por obrar en ejercicio de los derechos fundamentales que se citan en la demanda. La sentencia recurrida no resuelve sobre este particular, ni siquiera implícitamente, por lo que este tribunal tampoco debe pronunciarse al respecto, no solo por imperativo del principio de subsidiariedad al que nos vemos sujetos, sino </w:t>
      </w:r>
      <w:r>
        <w:lastRenderedPageBreak/>
        <w:t>porque al no haber sido enjuiciados esos terceros, cualquier valoración que se formule sobre esa temática sería manifiestamente inapropiada.</w:t>
      </w:r>
    </w:p>
    <w:p w:rsidR="005728DD" w:rsidRDefault="005728DD" w:rsidP="005728DD">
      <w:pPr>
        <w:pStyle w:val="TextoNormal"/>
      </w:pPr>
    </w:p>
    <w:p w:rsidR="005728DD" w:rsidRDefault="005728DD" w:rsidP="005728DD">
      <w:pPr>
        <w:pStyle w:val="TextoNormal"/>
      </w:pPr>
      <w:r>
        <w:t>Sentado lo anterior, procede abordar otro aspecto de la queja, concretamente el denominado “efecto desalentador” que se atribuye a la desproporción en que, por su severidad, incurren las penas impuestas al demandante. En la STC 62/2019, de 7 de mayo, FJ 7, aparece recogida la doctrina sobre la incidencia en el ámbito penal del ejercicio de los derechos fundamentales, incluido el análisis del denominado “efecto desaliento”.</w:t>
      </w:r>
    </w:p>
    <w:p w:rsidR="005728DD" w:rsidRDefault="005728DD" w:rsidP="005728DD">
      <w:pPr>
        <w:pStyle w:val="TextoNormal"/>
      </w:pPr>
    </w:p>
    <w:p w:rsidR="005728DD" w:rsidRDefault="005728DD" w:rsidP="005728DD">
      <w:pPr>
        <w:pStyle w:val="TextoNormal"/>
      </w:pPr>
      <w:r>
        <w:t>Hemos señalado que “[e]ste tribunal ha tenido ocasión de pronunciarse sobre la vinculación de las conductas con relevancia penal en el contexto del ejercicio de los derechos fundamentales. Concretamente, en la STC 104/2011, de 20 de junio FJ 6, distinguimos los supuestos en que la conducta penal constituye un ejercicio regular del derecho fundamental, de aquellos otros en que se produce una extralimitación en su ejercicio. En relación con el primero de los supuestos, sostuvimos que: Reiteradamente hemos afirmado que ‘los tipos penales no pueden interpretarse y aplicarse de forma contraria a los derechos fundamentales’ (SSTC 137/1997, de 21 de julio, FJ 2; 110/2000, de 5 de mayo, FJ 4; 297/2000, de 11 de diciembre, FJ 4; 299/2006, de 23 de octubre, FJ 6, o 108/2008, de 22 de septiembre, FJ 3). O desde el enfoque acogido, por ejemplo, en la STC 2/2001, de 15 de enero, FJ 2, o más recientemente en la STC 29/2009, de 26 de enero, FJ 3, que ‘los hechos probados no pueden ser a un mismo tiempo valorados como actos de ejercicio de un derecho fundamental y como conductas constitutivas de un delito’. Desde la perspectiva constitucional, entonces, la legitimidad de la intervención penal en los casos en que la aplicación de un tipo entra en colisión con el ejercicio de derechos fundamentales no viene determinada por los límites del ejercicio del derecho, sino por la delimitación de su contenido (según hemos señalado, por ejemplo, en las SSTC 137/1997, de 21 de julio, FJ 2; 110/2000, de 5 de mayo, FJ 4; o 185/2003, de 27 de octubre, FJ 5). De forma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 […])”.</w:t>
      </w:r>
    </w:p>
    <w:p w:rsidR="005728DD" w:rsidRDefault="005728DD" w:rsidP="005728DD">
      <w:pPr>
        <w:pStyle w:val="TextoNormal"/>
      </w:pPr>
    </w:p>
    <w:p w:rsidR="005728DD" w:rsidRDefault="005728DD" w:rsidP="005728DD">
      <w:pPr>
        <w:pStyle w:val="TextoNormal"/>
      </w:pPr>
      <w:r>
        <w:t>Respecto de la segunda situación enunciada, en el referido fundamento jurídico figura el siguiente argumento:</w:t>
      </w:r>
    </w:p>
    <w:p w:rsidR="005728DD" w:rsidRDefault="005728DD" w:rsidP="005728DD">
      <w:pPr>
        <w:pStyle w:val="TextoNormal"/>
      </w:pPr>
    </w:p>
    <w:p w:rsidR="005728DD" w:rsidRDefault="005728DD" w:rsidP="005728DD">
      <w:pPr>
        <w:pStyle w:val="TextoNormal"/>
      </w:pPr>
      <w:r>
        <w:t xml:space="preserve">«“Nuestra doctrina no se detiene en esta primera conclusión básica y previsible, aunque imprescindible, sino que cuestiona asimismo la aplicación de los tipos penales en aquellos supuestos en los que, pese a que puedan apreciarse excesos en el ejercicio del derecho fundamental, estos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w:t>
      </w:r>
      <w:r>
        <w:lastRenderedPageBreak/>
        <w:t>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solo dos terrenos, el de lo constitucionalmente protegido y el de lo punible, lo que no puede admitirse’. Así lo hemos declarado en la STC 110/2000, de 5 de mayo, respecto del ejercicio de las libertades de expresión e información [arts. 20.1 a) y d) CE], resolución en la que señalamos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(fundamento jurídico 5). O, en el mismo sentido, en un asunto relativo a la libertad sindical (art. 28.1 CE):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(STC 88/2003, de 19 de mayo, FJ 8 y las en ella citadas sobre el ‘efecto desaliento’)”.</w:t>
      </w:r>
    </w:p>
    <w:p w:rsidR="005728DD" w:rsidRDefault="005728DD" w:rsidP="005728DD">
      <w:pPr>
        <w:pStyle w:val="TextoNormal"/>
      </w:pPr>
    </w:p>
    <w:p w:rsidR="005728DD" w:rsidRDefault="005728DD" w:rsidP="005728DD">
      <w:pPr>
        <w:pStyle w:val="TextoNormal"/>
      </w:pPr>
      <w:r>
        <w:t>De la doctrina transcrita cabe extraer las siguientes consideraciones: i) cuando una conducta queda plenamente amparada por el ejercicio legítimo de un derecho fundamental no puede ser reputada antijurídica, aunque tal conducta sea subsumible en determinado tipo penal y ii) en supuestos de exceso o extralimitación en el ejercicio de un derecho fundamental puede llegar a plantearse la necesidad de ponderar si la sanción penal supone un sacrificio innecesario o desproporcionado del derecho o libertad del que se trate y, por ello, provoca un efecto desalentador».</w:t>
      </w:r>
    </w:p>
    <w:p w:rsidR="005728DD" w:rsidRDefault="005728DD" w:rsidP="005728DD">
      <w:pPr>
        <w:pStyle w:val="TextoNormal"/>
      </w:pPr>
    </w:p>
    <w:p w:rsidR="005728DD" w:rsidRDefault="005728DD" w:rsidP="005728DD">
      <w:pPr>
        <w:pStyle w:val="TextoNormal"/>
      </w:pPr>
      <w:r>
        <w:t>Con independencia de lo ya manifestado respecto de los derechos fundamentales de los ciudadanos que se movilizaron los días 20 de septiembre y 1 de octubre de 2017, debemos añadir que, en el contexto propio de un recurso de amparo que trae causa de un procedimiento penal seguido contra el demandante y otros acusados,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p>
    <w:p w:rsidR="005728DD" w:rsidRDefault="005728DD" w:rsidP="005728DD">
      <w:pPr>
        <w:pStyle w:val="TextoNormal"/>
      </w:pPr>
    </w:p>
    <w:p w:rsidR="005728DD" w:rsidRDefault="005728DD" w:rsidP="005728DD">
      <w:pPr>
        <w:pStyle w:val="TextoNormal"/>
      </w:pPr>
      <w:r>
        <w:t xml:space="preserve">Tampoco la queja resultaría de recibo, en el entendimiento de que son los derechos fundamentales del demandante los afectados por la sentencia, con motivo de su participación personal y directa en esos acontecimientos. Debe advertirse que del examen de las resoluciones impugnadas no se desprende que su condena derive de su participación en los actos multitudinarios a los que repetidamente se ha hecho referencia, pues no consta dato alguno que refleje esa intervención. Y en cuanto el ejercicio del derecho a la libertad ideológica, es cierto que la sentencia detalla que el demandante, al igual que otros acusados, actuó con una finalidad cuya naturaleza política es notoria; pero como se indica en diferentes apartados de la citada resolución, la ideología del recurrente no fue un factor determinante de su condena, </w:t>
      </w:r>
      <w:r>
        <w:lastRenderedPageBreak/>
        <w:t>pues fue su intervención como miembro del Govern lo que propició que participara en la aprobación de las normas ulteriormente declaradas inconstitucionales por este tribunal y, pese a la nitidez de los requerimientos que en su día formulamos para el restablecimiento del orden constitucional, finalmente el “referéndum” del día 1 de octubre de 2017 llegó a celebrarse, con los incidentes y enfrentamientos ya relatados, siendo destacable la activa promoción de ese evento por parte del recurrente, como así lo recoge la sentencia combatida en este recurso, amén de las valoraciones que se llevan a cabo en relación con el atraque del barco policial en el puerto de Palamós y la cesión de un local gestionado por la Consellería de la que era titular el demandante.</w:t>
      </w:r>
    </w:p>
    <w:p w:rsidR="005728DD" w:rsidRDefault="005728DD" w:rsidP="005728DD">
      <w:pPr>
        <w:pStyle w:val="TextoNormal"/>
      </w:pPr>
    </w:p>
    <w:p w:rsidR="005728DD" w:rsidRDefault="005728DD" w:rsidP="005728DD">
      <w:pPr>
        <w:pStyle w:val="TextoNormal"/>
      </w:pPr>
      <w:r>
        <w:t>En suma, según se detalla en la sentencia, el comportamiento del recurrente no consistió en el ejercicio de los derechos de reunión, expresión o manifestación. Como promotor de la sedición, junto con otros acusados convocó masivamente a los ciudadanos para que el día señalado para el referéndum acudieran a votar en cualquier colegio, con la finalidad de activar la cláusula de automaticidad prevista en la ley de transitoriedad jurídica y fundacional de la república catalana para determinar la secesión; es decir, la sustitución del legítimo marco jurídico establecido por la Constitución y el Estatuto de Autonomía, por el diseñado en la citada ley de transitoriedad .</w:t>
      </w:r>
    </w:p>
    <w:p w:rsidR="005728DD" w:rsidRDefault="005728DD" w:rsidP="005728DD">
      <w:pPr>
        <w:pStyle w:val="TextoNormal"/>
      </w:pPr>
    </w:p>
    <w:p w:rsidR="005728DD" w:rsidRDefault="005728DD" w:rsidP="005728DD">
      <w:pPr>
        <w:pStyle w:val="TextoNormal"/>
      </w:pPr>
      <w:r>
        <w:t>En apoyo de la falta de proporcionalidad de las penas impuestas, también se esgrime que los organizadores de la convocatoria del día 1 de octubre propiciaron concentraciones masivas de personas para que votaran, pero no incitaron a ejercer la violencia; y no obstante ello, las penas que les han sido impuestas alcanzan una extraordinaria severidad, equiparables a las que se prevén para delitos graves contra la vida o la integridad física. En esencia, lo que el recurrente asevera es que el abierto reclamo de los ciudadanos para que participaran en la votación orquestada no fue más que una promoción del derecho de reunión, con la finalidad de llevar a cabo un acto de participación política que, en algunos casos, dio lugar enfrentamientos con las fuerzas policiales, que no empecen el legítimo favorecimiento de ese derecho.</w:t>
      </w:r>
    </w:p>
    <w:p w:rsidR="005728DD" w:rsidRDefault="005728DD" w:rsidP="005728DD">
      <w:pPr>
        <w:pStyle w:val="TextoNormal"/>
      </w:pPr>
    </w:p>
    <w:p w:rsidR="005728DD" w:rsidRDefault="005728DD" w:rsidP="005728DD">
      <w:pPr>
        <w:pStyle w:val="TextoNormal"/>
      </w:pPr>
      <w:r>
        <w:t>Esta argumentación parte de una premisa que no se compadece con los fundamentos de su condena. Ciertamente, en la sentencia impugnada no se afirma que el recurrente exhortara a los ciudadanos a comportarse de manera violenta, de modo que la responsabilidad penal que se le atribuye, como autor de un delito de sedición, tampoco dimana del hecho de haber inducido a los convocados a comportarse de modo agresivo, sino de la valoración que de su comportamiento se lleva a cabo, especialmente en el juicio de autoría singularizado que figura en el apartado C) 1.5 de la sentencia.</w:t>
      </w:r>
    </w:p>
    <w:p w:rsidR="005728DD" w:rsidRDefault="005728DD" w:rsidP="005728DD">
      <w:pPr>
        <w:pStyle w:val="TextoNormal"/>
      </w:pPr>
    </w:p>
    <w:p w:rsidR="005728DD" w:rsidRDefault="005728DD" w:rsidP="005728DD">
      <w:pPr>
        <w:pStyle w:val="TextoNormal"/>
      </w:pPr>
      <w:r>
        <w:t>Para refutar esta queja, procede retomar la respuesta dada por el órgano judicial al pronunciarse sobre el ejercicio del derecho de reunión [apartado 17.5.2 del fundamento A) de la sentencia], lo que permite comprobar que la apreciada antijuridicidad del comportamiento del demandante y otros acusados no se basó en que fomentaran la exteriorización de una disidencia política o que promovieran protestas de carácter multitudinario. Por el contrario, para el órgano judicial la movilización de los ciudadanos tuvo por objeto implementar la estrategia previamente diseñada por los acusados, a fin de que aquellos llevaran a cabo una actividad que trasciende netamente del contorno del derecho de reunión; concretamente, participar en la votación declarada ilegal por el Tribunal Constitucional y el Tribunal Supe</w:t>
      </w:r>
      <w:r>
        <w:lastRenderedPageBreak/>
        <w:t>rior de Justicia de Cataluña. Por tanto, aun cuando los acusados no alentaran el acometimiento violento de los movilizados contra las fuerzas policiales, sin embargo, los enfrentamientos que se describen en el relato histórico de la sentencia recurrida han servido para configurar el delito de sedición que la referida resolución aprecia, al ser una consecuencia derivada del desarrollo de la estrategia a que se ha hecho mención.</w:t>
      </w:r>
    </w:p>
    <w:p w:rsidR="005728DD" w:rsidRDefault="005728DD" w:rsidP="005728DD">
      <w:pPr>
        <w:pStyle w:val="TextoNormal"/>
      </w:pPr>
    </w:p>
    <w:p w:rsidR="005728DD" w:rsidRDefault="005728DD" w:rsidP="005728DD">
      <w:pPr>
        <w:pStyle w:val="TextoNormal"/>
      </w:pPr>
      <w:r>
        <w:t>Con independencia de lo expuesto, no debe quedar inadvertido un dato especialmente relevante. A la sazón, el demandante de amparo ostentaba el cargo de conseller de Territorio y Sostenibilidad con anterioridad a la fecha de celebración del referéndum de fecha 1 de octubre de 2017. Según establece el art. 2.4 EAC: “[l]os poderes de la Generalitat emanan del pueblo de Cataluña y se ejercen de acuerdo con lo establecido en el presente Estatuto y la Constitución”.</w:t>
      </w:r>
    </w:p>
    <w:p w:rsidR="005728DD" w:rsidRDefault="005728DD" w:rsidP="005728DD">
      <w:pPr>
        <w:pStyle w:val="TextoNormal"/>
      </w:pPr>
    </w:p>
    <w:p w:rsidR="005728DD" w:rsidRDefault="005728DD" w:rsidP="005728DD">
      <w:pPr>
        <w:pStyle w:val="TextoNormal"/>
      </w:pPr>
      <w:r>
        <w:t>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w:t>
      </w:r>
    </w:p>
    <w:p w:rsidR="005728DD" w:rsidRDefault="005728DD" w:rsidP="005728DD">
      <w:pPr>
        <w:pStyle w:val="TextoNormal"/>
      </w:pPr>
    </w:p>
    <w:p w:rsidR="005728DD" w:rsidRDefault="005728DD" w:rsidP="005728DD">
      <w:pPr>
        <w:pStyle w:val="TextoNormal"/>
      </w:pPr>
      <w:r>
        <w:t>Conforme a la normativa expuesta, se colige sin dificultad que el demandante venía obligado a ejercer el cargo de conseller conforme al marco normativo enunciado. Ello implica que debía cumplir las obligaciones inherentes, de manera principal, el acatamiento de la Constitución y de las decisiones de su supremo intérprete. Ese deber especial de acatamiento ha sido reconocido por este tribunal, como así lo refleja el ATC 24/2017, FJ 8:</w:t>
      </w:r>
    </w:p>
    <w:p w:rsidR="005728DD" w:rsidRDefault="005728DD" w:rsidP="005728DD">
      <w:pPr>
        <w:pStyle w:val="TextoNormal"/>
      </w:pPr>
    </w:p>
    <w:p w:rsidR="005728DD" w:rsidRDefault="005728DD" w:rsidP="005728DD">
      <w:pPr>
        <w:pStyle w:val="TextoNormal"/>
      </w:pPr>
      <w:r>
        <w:t>“El deber de fidelidad a la Constitución por parte de los poderes públicos ‘constituye un soporte esencial del funcionamiento del Estado autonómico y cuya observancia resulta obligada’ (STC 247/2007, de 12 diciembre, FJ 4)”.</w:t>
      </w:r>
    </w:p>
    <w:p w:rsidR="005728DD" w:rsidRDefault="005728DD" w:rsidP="005728DD">
      <w:pPr>
        <w:pStyle w:val="TextoNormal"/>
      </w:pPr>
    </w:p>
    <w:p w:rsidR="005728DD" w:rsidRDefault="005728DD" w:rsidP="005728DD">
      <w:pPr>
        <w:pStyle w:val="TextoNormal"/>
      </w:pPr>
      <w:r>
        <w:t>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w:t>
      </w:r>
    </w:p>
    <w:p w:rsidR="005728DD" w:rsidRDefault="005728DD" w:rsidP="005728DD">
      <w:pPr>
        <w:pStyle w:val="TextoNormal"/>
      </w:pPr>
    </w:p>
    <w:p w:rsidR="005728DD" w:rsidRDefault="005728DD" w:rsidP="005728DD">
      <w:pPr>
        <w:pStyle w:val="TextoNormal"/>
      </w:pPr>
      <w:r>
        <w:t>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005728DD" w:rsidRDefault="005728DD" w:rsidP="005728DD">
      <w:pPr>
        <w:pStyle w:val="TextoNormal"/>
      </w:pPr>
    </w:p>
    <w:p w:rsidR="005728DD" w:rsidRDefault="005728DD" w:rsidP="005728DD">
      <w:pPr>
        <w:pStyle w:val="TextoNormal"/>
      </w:pPr>
      <w:r>
        <w:t>Así pues, conforme a la doctrina transcrita no cabe pretextar el ejercicio de los derechos fundamentales para objetar la antijuridicidad de la conducta del demandante, puesto que ningún derecho de esa naturaleza legitima que el titular de un poder público autonómico incumpla las obligaciones que la propia Constitución le impone, entre ellas, el cumplimiento de las resoluciones de este tribunal (art. 87.1 LOTC), al igual que las dictadas por los jueces y tribunales (art. 118 CE).</w:t>
      </w:r>
    </w:p>
    <w:p w:rsidR="005728DD" w:rsidRDefault="005728DD" w:rsidP="005728DD">
      <w:pPr>
        <w:pStyle w:val="TextoNormal"/>
      </w:pPr>
    </w:p>
    <w:p w:rsidR="005728DD" w:rsidRDefault="005728DD" w:rsidP="005728DD">
      <w:pPr>
        <w:pStyle w:val="TextoNormal"/>
      </w:pPr>
      <w:r>
        <w:t>El argumento que se acaba de exponer también resulta de aplicación respecto del favorecimiento del ejercicio de derechos fundamentales por parte de los ciudadanos que acudieron a votar el día 1 de octubre de 2017, algunos de los cuales participaron en los enfrentamientos con las fuerzas policiales que se detallan. El demandante era titular de un poder público 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legitimado para incumplir las obligaciones inherentes al cargo que desempeñaba.</w:t>
      </w:r>
    </w:p>
    <w:p w:rsidR="005728DD" w:rsidRDefault="005728DD" w:rsidP="005728DD">
      <w:pPr>
        <w:pStyle w:val="TextoNormal"/>
      </w:pPr>
    </w:p>
    <w:p w:rsidR="005728DD" w:rsidRDefault="005728DD" w:rsidP="005728DD">
      <w:pPr>
        <w:pStyle w:val="TextoNormal"/>
      </w:pPr>
      <w:r>
        <w:t>Si lo ya expuesto sirve para rechazar que la actuación del recurrente pudiera acogerse a la exención de responsabilidad penal que proclama el art. 20.7 CP, tampoco cabe apreciar el denominado “efecto desaliento”, bajo el alegato de que las penas impuestas desincentivan el ejercicio de esos derechos. La conducta del recurrente no constituye un mero exceso o extralimitación en el ejercicio de derechos fundamentales pues, como así se recoge en la sentencia, lo que aquel pretendía era neutralizar las decisiones adoptadas por este tribunal y los órganos judiciales sirviéndose de la movilización ciudadana para ese propósito. Por ello, tal conducta queda al margen del ejercicio de los mencionados derechos, de manera que no puede ampararse en un eventual “efecto desaliento” para tildar de desproporcionadas las penas impuestas.</w:t>
      </w:r>
    </w:p>
    <w:p w:rsidR="005728DD" w:rsidRDefault="005728DD" w:rsidP="005728DD">
      <w:pPr>
        <w:pStyle w:val="TextoNormal"/>
      </w:pPr>
    </w:p>
    <w:p w:rsidR="005728DD" w:rsidRDefault="005728DD" w:rsidP="005728DD">
      <w:pPr>
        <w:pStyle w:val="TextoNormal"/>
      </w:pPr>
      <w:r>
        <w:t>Por todo lo razonado, se desestiman las quejas de vulneración del derecho reconocido en el art. 25.1 CE.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Josep Rull i Andreu.</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once de mayo de dos mil veintiuno.</w:t>
      </w:r>
    </w:p>
    <w:p w:rsidR="005728DD" w:rsidRDefault="005728DD" w:rsidP="005728DD">
      <w:pPr>
        <w:pStyle w:val="ParrafoNormal"/>
      </w:pPr>
    </w:p>
    <w:p w:rsidR="005728DD" w:rsidRDefault="005728DD" w:rsidP="005728DD">
      <w:pPr>
        <w:pStyle w:val="TextoNormalNegritaCentrado"/>
        <w:keepNext/>
      </w:pPr>
      <w:r>
        <w:lastRenderedPageBreak/>
        <w:t>Voto particular que formulan el magistrado don Juan Antonio Xiol Ríos y la magistrada doña María Luisa Balaguer Callejón respecto de la sentencia pronunciada en el recurso de amparo avocado núm. 1407-2020</w:t>
      </w:r>
    </w:p>
    <w:p w:rsidR="005728DD" w:rsidRDefault="005728DD" w:rsidP="005728DD">
      <w:pPr>
        <w:pStyle w:val="TextoNormalNegritaCentrado"/>
        <w:keepNext/>
      </w:pPr>
    </w:p>
    <w:p w:rsidR="005728DD" w:rsidRDefault="005728DD" w:rsidP="005728DD">
      <w:pPr>
        <w:pStyle w:val="TextoNormal"/>
      </w:pPr>
      <w:r>
        <w:t>Con el máximo respeto a nuestros compañeros de Pleno, manifestamos nuestra discrepancia con parte de la fundamentación jurídica y con el fallo de la sentencia, que consideramos que debería haber sido estimatorio por vulneración del derecho a la legalidad sancionadora (art. 25.1 CE), en relación con los derechos a la libertad personal (art. 17.1 CE), a la libertad ideológica (art. 16 CE), y de reunión (art. 21 CE), por haberse impuesto una pena desproporcionada. Ello no obstante,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pero sí se expresa con la intención de poner de manifiesto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Una visión del principio de legalidad que encuentra su articulación óptima en la preservación del Estado de Derecho.</w:t>
      </w:r>
    </w:p>
    <w:p w:rsidR="005728DD" w:rsidRDefault="005728DD" w:rsidP="005728DD">
      <w:pPr>
        <w:pStyle w:val="TextoNormal"/>
      </w:pPr>
    </w:p>
    <w:p w:rsidR="005728DD" w:rsidRDefault="005728DD" w:rsidP="005728DD">
      <w:pPr>
        <w:pStyle w:val="TextoNormal"/>
      </w:pPr>
      <w:r>
        <w:t>1. Han sido muy diversos los derechos fundamentales invocados por el recurrente respecto del procedimiento penal desarrollado ante la Sala de lo Penal del Tribunal Supremo que ha culminado con su condena a diez años y seis meses de prisión y otros tantos de inhabilitación absoluta por la comisión de un delito de sedición de los arts. 544 y 545.1 CP en concurso medial del art. 73.2 CP con un delito de malversación de caudales públicos del art. 432.1 y 3 CP. Nuestro principal desacuerdo con la posición mayoritaria en la que se sustenta la sentencia radica en lo que consideramos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consideramos una visión más flexible del principio de legalidad penal. Flexibilidad que, a su vez, asociamos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005728DD" w:rsidRDefault="005728DD" w:rsidP="005728DD">
      <w:pPr>
        <w:pStyle w:val="TextoNormal"/>
      </w:pPr>
    </w:p>
    <w:p w:rsidR="005728DD" w:rsidRDefault="005728DD" w:rsidP="005728DD">
      <w:pPr>
        <w:pStyle w:val="TextoNormal"/>
      </w:pPr>
      <w:r>
        <w:t>Un análisis alternativo, que nosotros consideramos de mayor corrección constitucional y más respetuoso con el actual estándar en el derecho nacional y europeo de los derechos humanos, hubiera debido desembocar, tal como sostuvimos en la deliberación, en una sentencia estimatoria. Esta sentencia, sin negar la eventual relevancia penal de la conducta enjuiciada, hubiera debido acordar la necesidad de una cuantificación de la pena acorde con el principio de proporcionalidad penal en atención a la gravedad de la conducta enjuiciada y a su vinculación con el contexto del ejercicio de derechos fundamentales sustantivos.</w:t>
      </w:r>
    </w:p>
    <w:p w:rsidR="005728DD" w:rsidRDefault="005728DD" w:rsidP="005728DD">
      <w:pPr>
        <w:pStyle w:val="TextoNormal"/>
      </w:pPr>
    </w:p>
    <w:p w:rsidR="005728DD" w:rsidRDefault="005728DD" w:rsidP="005728DD">
      <w:pPr>
        <w:pStyle w:val="TextoNormal"/>
      </w:pPr>
      <w:r>
        <w:t xml:space="preserve">2. El proceso argumental que nos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con la fundamentación ni la solución aportada </w:t>
      </w:r>
      <w:r>
        <w:lastRenderedPageBreak/>
        <w:t>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005728DD" w:rsidRDefault="005728DD" w:rsidP="005728DD">
      <w:pPr>
        <w:pStyle w:val="TextoNormal"/>
      </w:pPr>
    </w:p>
    <w:p w:rsidR="005728DD" w:rsidRDefault="005728DD" w:rsidP="005728DD">
      <w:pPr>
        <w:pStyle w:val="TextoNormal"/>
      </w:pPr>
      <w:r w:rsidRPr="005728DD">
        <w:rPr>
          <w:i/>
        </w:rPr>
        <w:t>I. Sobre el cumplimiento del principio de taxatividad en la configuración legal del delito de sedición</w:t>
      </w:r>
      <w:r>
        <w:t>.</w:t>
      </w:r>
    </w:p>
    <w:p w:rsidR="005728DD" w:rsidRDefault="005728DD" w:rsidP="005728DD">
      <w:pPr>
        <w:pStyle w:val="TextoNormal"/>
      </w:pPr>
    </w:p>
    <w:p w:rsidR="005728DD" w:rsidRDefault="005728DD" w:rsidP="005728DD">
      <w:pPr>
        <w:pStyle w:val="TextoNormal"/>
      </w:pPr>
      <w:r>
        <w:t>3. El recurrente fundamentó una de las invocaciones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el ciudadano, quien no podría, en consecuencia, ordenar su comportamiento con la previsibilidad necesaria para no incurrir en una conducta delictiva. Esta invocación ha sido rechazada por la posición mayoritaria en la que se sustenta la sentencia argumentando que la conducta sancionada resulta reconocible con un razonable grado de claridad.</w:t>
      </w:r>
    </w:p>
    <w:p w:rsidR="005728DD" w:rsidRDefault="005728DD" w:rsidP="005728DD">
      <w:pPr>
        <w:pStyle w:val="TextoNormal"/>
      </w:pPr>
    </w:p>
    <w:p w:rsidR="005728DD" w:rsidRDefault="005728DD" w:rsidP="005728DD">
      <w:pPr>
        <w:pStyle w:val="TextoNormal"/>
      </w:pPr>
      <w:r>
        <w:t>4. En términos generales estamos de acuerdo con esta conclusión. Pero, tal y como pone de manifiesto parte de la doctrina penalista, la solución no era clara ni inequívoca desde el principio. Esta falta de certeza, sobre la que reflexiona y resuelve en extenso la sentencia de la mayoría, con una argumentación sumamente lógica, es un punto determinante para la posterior aplicación del principio de proporcionalidad. Es decir, sin discrepar de la subsunción ni los argumentos de la mayoría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005728DD" w:rsidRDefault="005728DD" w:rsidP="005728DD">
      <w:pPr>
        <w:pStyle w:val="TextoNormal"/>
      </w:pPr>
    </w:p>
    <w:p w:rsidR="005728DD" w:rsidRDefault="005728DD" w:rsidP="005728DD">
      <w:pPr>
        <w:pStyle w:val="TextoNormal"/>
      </w:pPr>
      <w:r>
        <w:t xml:space="preserve">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o, como lo describe la posición mayoritaria en la que se </w:t>
      </w:r>
      <w:r>
        <w:lastRenderedPageBreak/>
        <w:t>sustenta la sentencia, una posición subsidiaria.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005728DD" w:rsidRDefault="005728DD" w:rsidP="005728DD">
      <w:pPr>
        <w:pStyle w:val="TextoNormal"/>
      </w:pPr>
    </w:p>
    <w:p w:rsidR="005728DD" w:rsidRDefault="005728DD" w:rsidP="005728DD">
      <w:pPr>
        <w:pStyle w:val="TextoNormal"/>
      </w:pPr>
      <w:r>
        <w:t>Esta relativa indeterminación del delito de sedición parece que resulta difícilmente rebatible. A esos efectos, cabe destacar que el Ministerio Fiscal ante el Tribunal Constitucional, al afirmar que “el déficit de taxatividad que imputa al tipo penal de sedición del art. 544 CP, queda conjurado por la propia interpretación que de los términos a los que atribuye la indeterminación han sido precisados por el propio Tribunal Supremo”, viene a reconocer implícitamente que la selección legislativa de los elementos configuradores a través de los cuales se ha descrito la conducta sancionada en el delito de sedición implica una situación deficitaria en términos de certeza o previsibilidad de la reacción penal necesitada del complemento de la jurisprudencia. Lo mismo cabe decir respecto de la posición mayoritaria en la que se sustenta la sentencia y las propias resoluciones judiciales impugnadas en que también se afirma que las objeciones de taxatividad, en línea con la jurisprudencia del Tribunal Europeo de Derechos Humanos  en la materia, quedan enervadas a partir de la labor de interpretación jurisprudencial.</w:t>
      </w:r>
    </w:p>
    <w:p w:rsidR="005728DD" w:rsidRDefault="005728DD" w:rsidP="005728DD">
      <w:pPr>
        <w:pStyle w:val="TextoNormal"/>
      </w:pPr>
    </w:p>
    <w:p w:rsidR="005728DD" w:rsidRDefault="005728DD" w:rsidP="005728DD">
      <w:pPr>
        <w:pStyle w:val="TextoNormal"/>
      </w:pPr>
      <w:r>
        <w:t>La labor interpretativa complementaria de la jurisprudencia para dar el debido cumplimiento de la garantía de certeza se ve limitada en este caso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 4.4]. La misma consideración podría hacerse de las SSTS de 3 de julio de 1991 y 11 de marzo de 1994, que también en aplicación de dicho precepto ya derogado confirmaron la absolución por el delito de sedición.</w:t>
      </w:r>
    </w:p>
    <w:p w:rsidR="005728DD" w:rsidRDefault="005728DD" w:rsidP="005728DD">
      <w:pPr>
        <w:pStyle w:val="TextoNormal"/>
      </w:pPr>
    </w:p>
    <w:p w:rsidR="005728DD" w:rsidRDefault="005728DD" w:rsidP="005728DD">
      <w:pPr>
        <w:pStyle w:val="TextoNormal"/>
      </w:pPr>
      <w:r>
        <w:t>5. En conclusión, si bien la configuración legal del delito de sedición supera a nuestro juicio el estándar constitucional establecido por el principio de taxatividad, interesa resaltar, por su trascendencia respecto de la aplicación de otras garantías del derecho a la legalidad penal, la presencia de rasgos de relativa incertidumbre para el ciudadano potencial autor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005728DD" w:rsidRDefault="005728DD" w:rsidP="005728DD">
      <w:pPr>
        <w:pStyle w:val="TextoNormal"/>
      </w:pPr>
    </w:p>
    <w:p w:rsidR="005728DD" w:rsidRDefault="005728DD" w:rsidP="005728DD">
      <w:pPr>
        <w:pStyle w:val="TextoNormal"/>
      </w:pPr>
      <w:r w:rsidRPr="005728DD">
        <w:rPr>
          <w:i/>
        </w:rPr>
        <w:t>II. Sobre el cumplimiento del principio de prohibición de interpretación extensiva o analógica en la aplicación judicial del delito de sedición</w:t>
      </w:r>
      <w:r>
        <w:t>.</w:t>
      </w:r>
    </w:p>
    <w:p w:rsidR="005728DD" w:rsidRDefault="005728DD" w:rsidP="005728DD">
      <w:pPr>
        <w:pStyle w:val="TextoNormal"/>
      </w:pPr>
    </w:p>
    <w:p w:rsidR="005728DD" w:rsidRDefault="005728DD" w:rsidP="005728DD">
      <w:pPr>
        <w:pStyle w:val="TextoNormal"/>
      </w:pPr>
      <w:r>
        <w:lastRenderedPageBreak/>
        <w:t>6. El recurrente fundamentó otra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005728DD" w:rsidRDefault="005728DD" w:rsidP="005728DD">
      <w:pPr>
        <w:pStyle w:val="TextoNormal"/>
      </w:pPr>
    </w:p>
    <w:p w:rsidR="005728DD" w:rsidRDefault="005728DD" w:rsidP="005728DD">
      <w:pPr>
        <w:pStyle w:val="TextoNormal"/>
      </w:pPr>
      <w:r>
        <w:t>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005728DD" w:rsidRDefault="005728DD" w:rsidP="005728DD">
      <w:pPr>
        <w:pStyle w:val="TextoNormal"/>
      </w:pPr>
    </w:p>
    <w:p w:rsidR="005728DD" w:rsidRDefault="005728DD" w:rsidP="005728DD">
      <w:pPr>
        <w:pStyle w:val="TextoNormal"/>
      </w:pPr>
      <w:r>
        <w:t>En concreto, respecto de la consideración del recurrente como autor de un delito de sedición, se afirma que, si bien no existe un juicio singularizado de autoría que le vincule con los incidentes del 20 de septiembre de 2017, en la resolución judicial impugnada se establece que su responsabilidad se deriva de que, en su condición de miembro del Govern, su conducta de propiciar la derogación de hecho de leyes vigentes y válidas para sustituirlas por otras no válidas y la movilización de ciudadanos para comportamientos tumultuarios obstativos de la ejecución de órdenes jurisdiccionales, le resulta objetivamente imputable como miembro del colectivo, en cuanto garante de la indemnidad del bien jurídico protegido por el delito de sedición.</w:t>
      </w:r>
    </w:p>
    <w:p w:rsidR="005728DD" w:rsidRDefault="005728DD" w:rsidP="005728DD">
      <w:pPr>
        <w:pStyle w:val="TextoNormal"/>
      </w:pPr>
    </w:p>
    <w:p w:rsidR="005728DD" w:rsidRDefault="005728DD" w:rsidP="005728DD">
      <w:pPr>
        <w:pStyle w:val="TextoNormal"/>
      </w:pPr>
      <w:r>
        <w:t>Por su parte, respecto de la consideración como sediciosos de los hechos acontecidos, se reproducen los argumentos utilizados en el auto impugnado del Tribunal Supremo desestimatorio del incidente de nulidad de actuaciones, entre los que se puede destacar que (i) para satisfacer las exigencias del tipo penal de sedición es suficiente el “extravío —actuar fuera de las vías legales—, del procedimiento ordenado a los ilícitos e inconstitucionales objetivos”; y (ii) la interpretación del tipo no criminaliza como sedición supuestos de actos colectivos de ciudadanos intentando el incumplimiento de órdenes judiciales, cuya acotada dimensión en modo alguno pone en cuestión el Estado democrático, sino que lo juzgado era “que al extravío del procedimiento seguido se une el ataque y consiguiente efectivo riesgo para el modo democrático de convivencia que se quisieron dar todos los ciudadanos españoles, incluidos los de la comunidad en que se integran los movilizados”.</w:t>
      </w:r>
    </w:p>
    <w:p w:rsidR="005728DD" w:rsidRDefault="005728DD" w:rsidP="005728DD">
      <w:pPr>
        <w:pStyle w:val="TextoNormal"/>
      </w:pPr>
    </w:p>
    <w:p w:rsidR="005728DD" w:rsidRDefault="005728DD" w:rsidP="005728DD">
      <w:pPr>
        <w:pStyle w:val="TextoNormal"/>
      </w:pPr>
      <w:r>
        <w:t>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w:t>
      </w:r>
    </w:p>
    <w:p w:rsidR="005728DD" w:rsidRDefault="005728DD" w:rsidP="005728DD">
      <w:pPr>
        <w:pStyle w:val="TextoNormal"/>
      </w:pPr>
    </w:p>
    <w:p w:rsidR="005728DD" w:rsidRDefault="005728DD" w:rsidP="005728DD">
      <w:pPr>
        <w:pStyle w:val="TextoNormal"/>
      </w:pPr>
      <w:r>
        <w:t xml:space="preserve">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w:t>
      </w:r>
      <w:r>
        <w:lastRenderedPageBreak/>
        <w:t>manifestación convocada por diversas organizaciones de la sociedad civil, en principio ajena a la labor de decisión política o administrativa del Consejo Ejecutivo de la Generalidad de Cataluña.</w:t>
      </w:r>
    </w:p>
    <w:p w:rsidR="005728DD" w:rsidRDefault="005728DD" w:rsidP="005728DD">
      <w:pPr>
        <w:pStyle w:val="TextoNormal"/>
      </w:pPr>
    </w:p>
    <w:p w:rsidR="005728DD" w:rsidRDefault="005728DD" w:rsidP="005728DD">
      <w:pPr>
        <w:pStyle w:val="TextoNormal"/>
      </w:pPr>
      <w:r>
        <w:t>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005728DD" w:rsidRDefault="005728DD" w:rsidP="005728DD">
      <w:pPr>
        <w:pStyle w:val="TextoNormal"/>
      </w:pPr>
    </w:p>
    <w:p w:rsidR="005728DD" w:rsidRDefault="005728DD" w:rsidP="005728DD">
      <w:pPr>
        <w:pStyle w:val="TextoNormal"/>
      </w:pPr>
      <w:r>
        <w:t>Por otra parte, si en los términos exigidos por el órgano judicial, el delito de sedición no criminaliza meros actos colectivos de ciudadanos intentando el incumplimiento de órdenes judiciales, sino “el ataque y consiguiente efectivo riesgo para el modo democrático de convivencia que se quisieron dar todos los ciudadanos españoles”,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reconocen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005728DD" w:rsidRDefault="005728DD" w:rsidP="005728DD">
      <w:pPr>
        <w:pStyle w:val="TextoNormal"/>
      </w:pPr>
    </w:p>
    <w:p w:rsidR="005728DD" w:rsidRDefault="005728DD" w:rsidP="005728DD">
      <w:pPr>
        <w:pStyle w:val="TextoNormal"/>
      </w:pPr>
      <w:r>
        <w:t xml:space="preserve">8. Estas valoraciones no permiten descartar </w:t>
      </w:r>
      <w:r w:rsidRPr="005728DD">
        <w:rPr>
          <w:i/>
        </w:rPr>
        <w:t>a priori</w:t>
      </w:r>
      <w:r>
        <w:t xml:space="preserve">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005728DD" w:rsidRDefault="005728DD" w:rsidP="005728DD">
      <w:pPr>
        <w:pStyle w:val="TextoNormal"/>
      </w:pPr>
    </w:p>
    <w:p w:rsidR="005728DD" w:rsidRDefault="005728DD" w:rsidP="005728DD">
      <w:pPr>
        <w:pStyle w:val="TextoNormal"/>
      </w:pPr>
      <w:r>
        <w:lastRenderedPageBreak/>
        <w:t>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y (iv) desde la perspectiva de la autoría, se haya interpretado y considerado concurrente la responsabilidad penal del recurrente a partir no de su participación directa y singular en los hechos declarados sediciosos, sino a partir de una genérica posición de garante por formar parte del Consejo de Gobierno de la Generalidad.</w:t>
      </w:r>
    </w:p>
    <w:p w:rsidR="005728DD" w:rsidRDefault="005728DD" w:rsidP="005728DD">
      <w:pPr>
        <w:pStyle w:val="TextoNormal"/>
      </w:pPr>
    </w:p>
    <w:p w:rsidR="005728DD" w:rsidRDefault="005728DD" w:rsidP="005728DD">
      <w:pPr>
        <w:pStyle w:val="TextoNormal"/>
      </w:pPr>
      <w:r>
        <w:t>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al recurrente en virtud de unos hechos y participación en ellos que se sitúan en lo que se podría considerar el umbral mínimo de tipicidad del delito de sedición en atención a los medios comisivos utilizados, las conductas desarrolladas, la afectación al orden público y el grado de participación.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005728DD" w:rsidRDefault="005728DD" w:rsidP="005728DD">
      <w:pPr>
        <w:pStyle w:val="TextoNormal"/>
      </w:pPr>
    </w:p>
    <w:p w:rsidR="005728DD" w:rsidRDefault="005728DD" w:rsidP="005728DD">
      <w:pPr>
        <w:pStyle w:val="TextoNormal"/>
      </w:pPr>
      <w:r w:rsidRPr="005728DD">
        <w:rPr>
          <w:i/>
        </w:rPr>
        <w:t>III. Sobre el cumplimiento del principio de proporcionalidad penal en la configuración penal del delito de sedición</w:t>
      </w:r>
      <w:r>
        <w:t>.</w:t>
      </w:r>
    </w:p>
    <w:p w:rsidR="005728DD" w:rsidRDefault="005728DD" w:rsidP="005728DD">
      <w:pPr>
        <w:pStyle w:val="TextoNormal"/>
      </w:pPr>
    </w:p>
    <w:p w:rsidR="005728DD" w:rsidRDefault="005728DD" w:rsidP="005728DD">
      <w:pPr>
        <w:pStyle w:val="TextoNormal"/>
      </w:pPr>
      <w:r>
        <w:t>9. El recurrente, de manera conjunta con la invocación del principio de taxatividad por la falta de certeza de los elementos del delito de sedición, incluyó una directa referencia a la eventual vulneración del principio de proporcionalidad penal en la configuración legal de este delito, al alegar que el delito de sedición (i) se sanciona con unas penas privativas de libertad elevadas y (ii) la conducta tipificada puede implicar una restricción de los derechos de reunión pacífica, libertad de expresión y libertad ideológica, provocando con ello un efecto desincentivador de tales derechos.</w:t>
      </w:r>
    </w:p>
    <w:p w:rsidR="005728DD" w:rsidRDefault="005728DD" w:rsidP="005728DD">
      <w:pPr>
        <w:pStyle w:val="TextoNormal"/>
      </w:pPr>
    </w:p>
    <w:p w:rsidR="005728DD" w:rsidRDefault="005728DD" w:rsidP="005728DD">
      <w:pPr>
        <w:pStyle w:val="TextoNormal"/>
      </w:pPr>
      <w:r>
        <w:t xml:space="preserve">La posición mayoritaria en la que se sustenta la sentencia, en respuesta a esta invocación, incluye una transcripción del FJ 23 de la STC 136/1999, de 20 de julio (asunto mesa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w:t>
      </w:r>
      <w:r>
        <w:lastRenderedPageBreak/>
        <w:t>manifiestamente suficientes medios alternativos; y (c) si el precepto es desproporcionado desde la perspectiva de la comparación entre la entidad del delito y la entidad de la pena.</w:t>
      </w:r>
    </w:p>
    <w:p w:rsidR="005728DD" w:rsidRDefault="005728DD" w:rsidP="005728DD">
      <w:pPr>
        <w:pStyle w:val="TextoNormal"/>
      </w:pPr>
    </w:p>
    <w:p w:rsidR="005728DD" w:rsidRDefault="005728DD" w:rsidP="005728DD">
      <w:pPr>
        <w:pStyle w:val="TextoNormal"/>
      </w:pPr>
      <w:r>
        <w:t>A partir de ello se aborda la resolución de esta invocación concentrando toda la argumentación en destacar que el delito de sedición no supone una restricción de los derechos fundamentales de reunión y libertades de expresión e ideológica, puesto que no castiga la movilización masiva de personas, cuyo propósito consista en exteriorizar de manera pacífica una protesta, ya que exige que se conduzca, al menos, por vías extralegales y que, con ello, se persiga algunas de las finalidades netamente contrarias al funcionamiento medular del Estado de Derecho que el precepto detalla, por lo que se delimitan medios y fines cuya sanción no afecta al ejercicio legítimo de ningún derecho fundamental reconocido por la Carta Magna, lo que excluye su lesión o un eventual efecto desaliento en su ejercicio.</w:t>
      </w:r>
    </w:p>
    <w:p w:rsidR="005728DD" w:rsidRDefault="005728DD" w:rsidP="005728DD">
      <w:pPr>
        <w:pStyle w:val="TextoNormal"/>
      </w:pPr>
    </w:p>
    <w:p w:rsidR="005728DD" w:rsidRDefault="005728DD" w:rsidP="005728DD">
      <w:pPr>
        <w:pStyle w:val="TextoNormal"/>
      </w:pPr>
      <w:r>
        <w:t>Al margen de la ausencia de una respuesta expresa a la concreta invocación de la ausencia de proporcionalidad de la pena prevista en el delito de sedición —que solo podría entenderse implícita en el resumen jurisprudencial que se hace de la citada STC 136/1999—, existen tres aspectos que a nuestro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136/1997 como precedente más relevante para la resolución de la invocación, y (iii) el tratamiento del principio de proporcionalidad penal en la jurisprudencia del Tribunal Europeo de Derechos Humanos  y del Tribunal de Justicia de la Unión Europea.</w:t>
      </w:r>
    </w:p>
    <w:p w:rsidR="005728DD" w:rsidRDefault="005728DD" w:rsidP="005728DD">
      <w:pPr>
        <w:pStyle w:val="TextoNormal"/>
      </w:pPr>
    </w:p>
    <w:p w:rsidR="005728DD" w:rsidRDefault="005728DD" w:rsidP="005728DD">
      <w:pPr>
        <w:pStyle w:val="TextoNormal"/>
      </w:pPr>
      <w:r>
        <w:t>10.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005728DD" w:rsidRDefault="005728DD" w:rsidP="005728DD">
      <w:pPr>
        <w:pStyle w:val="TextoNormal"/>
      </w:pPr>
    </w:p>
    <w:p w:rsidR="005728DD" w:rsidRDefault="005728DD" w:rsidP="005728DD">
      <w:pPr>
        <w:pStyle w:val="TextoNormal"/>
      </w:pPr>
      <w:r>
        <w:t>(i)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005728DD" w:rsidRDefault="005728DD" w:rsidP="005728DD">
      <w:pPr>
        <w:pStyle w:val="TextoNormal"/>
      </w:pPr>
    </w:p>
    <w:p w:rsidR="005728DD" w:rsidRDefault="005728DD" w:rsidP="005728DD">
      <w:pPr>
        <w:pStyle w:val="TextoNormal"/>
      </w:pPr>
      <w:r>
        <w:t xml:space="preserve">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w:t>
      </w:r>
      <w:r>
        <w:lastRenderedPageBreak/>
        <w:t>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005728DD" w:rsidRDefault="005728DD" w:rsidP="005728DD">
      <w:pPr>
        <w:pStyle w:val="TextoNormal"/>
      </w:pPr>
    </w:p>
    <w:p w:rsidR="005728DD" w:rsidRDefault="005728DD" w:rsidP="005728DD">
      <w:pPr>
        <w:pStyle w:val="TextoNormal"/>
      </w:pPr>
      <w:r>
        <w:t>Esta corriente es la que se ha asentado en relación con las invocaciones del principio de proporcionalidad sancionadora en el ámbito del derecho administrativo sancionador [así, por ejemplo, ATC 145/2015, de 10 de septiembre, FJ 4, o STC 13/2021, de 28 de enero, FJ 5 b)], sin duda por la imposibilidad de que en estos casos exista una vinculación de la proporcionalidad penal con una eventual limitación del derecho a la privación de libertad.</w:t>
      </w:r>
    </w:p>
    <w:p w:rsidR="005728DD" w:rsidRDefault="005728DD" w:rsidP="005728DD">
      <w:pPr>
        <w:pStyle w:val="TextoNormal"/>
      </w:pPr>
    </w:p>
    <w:p w:rsidR="005728DD" w:rsidRDefault="005728DD" w:rsidP="005728DD">
      <w:pPr>
        <w:pStyle w:val="TextoNormal"/>
      </w:pPr>
      <w:r>
        <w:t>(ii)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005728DD" w:rsidRDefault="005728DD" w:rsidP="005728DD">
      <w:pPr>
        <w:pStyle w:val="TextoNormal"/>
      </w:pPr>
    </w:p>
    <w:p w:rsidR="005728DD" w:rsidRDefault="005728DD" w:rsidP="005728DD">
      <w:pPr>
        <w:pStyle w:val="TextoNormal"/>
      </w:pPr>
      <w:r>
        <w:t>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005728DD" w:rsidRDefault="005728DD" w:rsidP="005728DD">
      <w:pPr>
        <w:pStyle w:val="TextoNormal"/>
      </w:pPr>
    </w:p>
    <w:p w:rsidR="005728DD" w:rsidRDefault="005728DD" w:rsidP="005728DD">
      <w:pPr>
        <w:pStyle w:val="TextoNormal"/>
      </w:pPr>
      <w:r>
        <w:t xml:space="preserve">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w:t>
      </w:r>
      <w:r>
        <w:lastRenderedPageBreak/>
        <w:t>extensa el derecho a la libertad aplicando el test general de proporcionalidad en su dimensión de finalidad perseguida por la sanción (FJ 7), necesidad de la sanción penal (FJ 8) y adecuación cuantitativa de la pena (FJ 9).</w:t>
      </w:r>
    </w:p>
    <w:p w:rsidR="005728DD" w:rsidRDefault="005728DD" w:rsidP="005728DD">
      <w:pPr>
        <w:pStyle w:val="TextoNormal"/>
      </w:pPr>
    </w:p>
    <w:p w:rsidR="005728DD" w:rsidRDefault="005728DD" w:rsidP="005728DD">
      <w:pPr>
        <w:pStyle w:val="TextoNormal"/>
      </w:pPr>
      <w:r>
        <w:t>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o SSTC 99/2008, de 24 de julio; 45/2009, de 19 de febrero; 127/2009, de 26 de mayo, o 60/2010, de 7 de octubre).</w:t>
      </w:r>
    </w:p>
    <w:p w:rsidR="005728DD" w:rsidRDefault="005728DD" w:rsidP="005728DD">
      <w:pPr>
        <w:pStyle w:val="TextoNormal"/>
      </w:pPr>
    </w:p>
    <w:p w:rsidR="005728DD" w:rsidRDefault="005728DD" w:rsidP="005728DD">
      <w:pPr>
        <w:pStyle w:val="TextoNormal"/>
      </w:pPr>
      <w:r>
        <w:t>11. En los términos ya mencionados, el análisis que se hace por parte de la posición mayoritaria de la STC 136/1999 a nuestro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005728DD" w:rsidRDefault="005728DD" w:rsidP="005728DD">
      <w:pPr>
        <w:pStyle w:val="TextoNormal"/>
      </w:pPr>
    </w:p>
    <w:p w:rsidR="005728DD" w:rsidRDefault="005728DD" w:rsidP="005728DD">
      <w:pPr>
        <w:pStyle w:val="TextoNormal"/>
      </w:pPr>
      <w:r>
        <w:t>(i)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005728DD" w:rsidRDefault="005728DD" w:rsidP="005728DD">
      <w:pPr>
        <w:pStyle w:val="TextoNormal"/>
      </w:pPr>
    </w:p>
    <w:p w:rsidR="005728DD" w:rsidRDefault="005728DD" w:rsidP="005728DD">
      <w:pPr>
        <w:pStyle w:val="TextoNormal"/>
      </w:pPr>
      <w:r>
        <w:t>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005728DD" w:rsidRDefault="005728DD" w:rsidP="005728DD">
      <w:pPr>
        <w:pStyle w:val="TextoNormal"/>
      </w:pPr>
    </w:p>
    <w:p w:rsidR="005728DD" w:rsidRDefault="005728DD" w:rsidP="005728DD">
      <w:pPr>
        <w:pStyle w:val="TextoNormal"/>
      </w:pPr>
      <w:r>
        <w:t xml:space="preserve">(ii) La STC 136/1999 hizo radicar la inconstitucionalidad de la configuración legislativa del delito de colaboración con banda armada desde la perspectiva de la cuantificación de la </w:t>
      </w:r>
      <w:r>
        <w:lastRenderedPageBreak/>
        <w:t>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005728DD" w:rsidRDefault="005728DD" w:rsidP="005728DD">
      <w:pPr>
        <w:pStyle w:val="TextoNormal"/>
      </w:pPr>
    </w:p>
    <w:p w:rsidR="005728DD" w:rsidRDefault="005728DD" w:rsidP="005728DD">
      <w:pPr>
        <w:pStyle w:val="TextoNormal"/>
      </w:pPr>
      <w:r>
        <w:t>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005728DD" w:rsidRDefault="005728DD" w:rsidP="005728DD">
      <w:pPr>
        <w:pStyle w:val="TextoNormal"/>
      </w:pPr>
    </w:p>
    <w:p w:rsidR="005728DD" w:rsidRDefault="005728DD" w:rsidP="005728DD">
      <w:pPr>
        <w:pStyle w:val="TextoNormal"/>
      </w:pPr>
      <w:r>
        <w:t>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005728DD" w:rsidRDefault="005728DD" w:rsidP="005728DD">
      <w:pPr>
        <w:pStyle w:val="TextoNormal"/>
      </w:pPr>
    </w:p>
    <w:p w:rsidR="005728DD" w:rsidRDefault="005728DD" w:rsidP="005728DD">
      <w:pPr>
        <w:pStyle w:val="TextoNormal"/>
      </w:pPr>
      <w:r>
        <w:t>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005728DD" w:rsidRDefault="005728DD" w:rsidP="005728DD">
      <w:pPr>
        <w:pStyle w:val="TextoNormal"/>
      </w:pPr>
    </w:p>
    <w:p w:rsidR="005728DD" w:rsidRDefault="005728DD" w:rsidP="005728DD">
      <w:pPr>
        <w:pStyle w:val="TextoNormal"/>
      </w:pPr>
      <w:r>
        <w:lastRenderedPageBreak/>
        <w:t>12. Un último aspecto de la mayor utilidad en la resolución de la invocación del principio de proporcionalidad penal en la configuración legislativa del delito de sedición hubiera sido profundizar en la jurisprudencia del Tribunal Europeo de Derechos Humanos  y del Tribunal de Justicia de la Unión Europea sobre esta materia.</w:t>
      </w:r>
    </w:p>
    <w:p w:rsidR="005728DD" w:rsidRDefault="005728DD" w:rsidP="005728DD">
      <w:pPr>
        <w:pStyle w:val="TextoNormal"/>
      </w:pPr>
    </w:p>
    <w:p w:rsidR="005728DD" w:rsidRDefault="005728DD" w:rsidP="005728DD">
      <w:pPr>
        <w:pStyle w:val="TextoNormal"/>
      </w:pPr>
      <w:r>
        <w:t xml:space="preserve">La jurisprudencia del Tribunal Europeo de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asunto </w:t>
      </w:r>
      <w:r w:rsidRPr="005728DD">
        <w:rPr>
          <w:i/>
        </w:rPr>
        <w:t>Vinter y otros c. Reino Unido</w:t>
      </w:r>
      <w:r>
        <w:t xml:space="preserve">, apartado 105). (ii) Solo cuando la sanción fuera extremadamente desproporcionada, podría entrar en juego, en su caso, la prohibición de penas inhumanas del art. 3 CEDH (así, STEDH de 9 de julio de 2013, asunto </w:t>
      </w:r>
      <w:r w:rsidRPr="005728DD">
        <w:rPr>
          <w:i/>
        </w:rPr>
        <w:t>Vinter y otros c. Reino Unido</w:t>
      </w:r>
      <w:r>
        <w:t>, apartado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CEDH.</w:t>
      </w:r>
    </w:p>
    <w:p w:rsidR="005728DD" w:rsidRDefault="005728DD" w:rsidP="005728DD">
      <w:pPr>
        <w:pStyle w:val="TextoNormal"/>
      </w:pPr>
    </w:p>
    <w:p w:rsidR="005728DD" w:rsidRDefault="005728DD" w:rsidP="005728DD">
      <w:pPr>
        <w:pStyle w:val="TextoNormal"/>
      </w:pPr>
      <w:r>
        <w:t xml:space="preserve">Respecto de esto último, lo más significativo de la jurisprudencia del Tribunal Europeo de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w:t>
      </w:r>
      <w:r w:rsidRPr="005728DD">
        <w:rPr>
          <w:i/>
        </w:rPr>
        <w:t>Dudgeon c. Reino Unido</w:t>
      </w:r>
      <w:r>
        <w:t xml:space="preserve">, o 26 de octubre de 1988, asunto </w:t>
      </w:r>
      <w:r w:rsidRPr="005728DD">
        <w:rPr>
          <w:i/>
        </w:rPr>
        <w:t>Norris c. Irlanda</w:t>
      </w:r>
      <w:r>
        <w:t xml:space="preserve">); o de carácter incestuoso (así, STEDH 12 de abril de 2012, asunto </w:t>
      </w:r>
      <w:r w:rsidRPr="005728DD">
        <w:rPr>
          <w:i/>
        </w:rPr>
        <w:t>Stübing c. Alemania</w:t>
      </w:r>
      <w:r>
        <w:t xml:space="preserve">); o, respecto del derecho a la libertad de expresión (art. 10 CEDH) en relación con la sanción de injurias a determinadas instituciones (así, STEDH de 25 de junio de 2002, asunto </w:t>
      </w:r>
      <w:r w:rsidRPr="005728DD">
        <w:rPr>
          <w:i/>
        </w:rPr>
        <w:t>Colombani y otros c. Francia</w:t>
      </w:r>
      <w:r>
        <w:t xml:space="preserve">). Más allá de ello, si la conclusión es que dicha tipificación no vulnera en sí misma el derecho sustantivo concernido, la cuantificación abstracta de la pena no es controlable desde el Tribunal Europeo de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w:t>
      </w:r>
      <w:r w:rsidRPr="005728DD">
        <w:rPr>
          <w:i/>
        </w:rPr>
        <w:t>Otegi Mondragón c. España</w:t>
      </w:r>
      <w:r>
        <w:t>, o de 13 de marzo de 2018, asunt</w:t>
      </w:r>
      <w:r w:rsidRPr="005728DD">
        <w:rPr>
          <w:i/>
        </w:rPr>
        <w:t>o Stern Taulats y Roura Capellera c. Espa</w:t>
      </w:r>
      <w:r>
        <w:t>ña).</w:t>
      </w:r>
    </w:p>
    <w:p w:rsidR="005728DD" w:rsidRDefault="005728DD" w:rsidP="005728DD">
      <w:pPr>
        <w:pStyle w:val="TextoNormal"/>
      </w:pPr>
    </w:p>
    <w:p w:rsidR="005728DD" w:rsidRDefault="005728DD" w:rsidP="005728DD">
      <w:pPr>
        <w:pStyle w:val="TextoNormal"/>
      </w:pPr>
      <w:r>
        <w:t>13.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el recurrente en su demanda. A esos efectos, los aspectos centrales de la jurisprudencia del Tribunal de Justicia de la Unión Europea sobre el particular son las siguientes:</w:t>
      </w:r>
    </w:p>
    <w:p w:rsidR="005728DD" w:rsidRDefault="005728DD" w:rsidP="005728DD">
      <w:pPr>
        <w:pStyle w:val="TextoNormal"/>
      </w:pPr>
    </w:p>
    <w:p w:rsidR="005728DD" w:rsidRDefault="005728DD" w:rsidP="005728DD">
      <w:pPr>
        <w:pStyle w:val="TextoNormal"/>
      </w:pPr>
      <w:r>
        <w:t>(i) Se trata de un principio penal autónomo e independiente con sustantividad propia (STJUE de 4 de octubre de 2018, asunto C-384/17, apartado 40-45),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apartado 22-23; y de 11 de febrero de 2021, asunto C-77/20, apartado 37-38).</w:t>
      </w:r>
    </w:p>
    <w:p w:rsidR="005728DD" w:rsidRDefault="005728DD" w:rsidP="005728DD">
      <w:pPr>
        <w:pStyle w:val="TextoNormal"/>
      </w:pPr>
    </w:p>
    <w:p w:rsidR="005728DD" w:rsidRDefault="005728DD" w:rsidP="005728DD">
      <w:pPr>
        <w:pStyle w:val="TextoNormal"/>
      </w:pPr>
      <w:r>
        <w:t>(ii) La proporcionalidad de una sanción debe valorarse tanto desde la perspectiva del sacrificio que supone la conducta tipificada para los derechos del potencial autor (STJUE de 12 de septiembre de 2019, asunto C-64/18 y acumulados, apartado 42) como desde la perspectiva de la repercusión de la sanción en el ejercicio de derechos (STJUE de 11 de febrero de 2021, asunto C-77/20, apartado 54).</w:t>
      </w:r>
    </w:p>
    <w:p w:rsidR="005728DD" w:rsidRDefault="005728DD" w:rsidP="005728DD">
      <w:pPr>
        <w:pStyle w:val="TextoNormal"/>
      </w:pPr>
    </w:p>
    <w:p w:rsidR="005728DD" w:rsidRDefault="005728DD" w:rsidP="005728DD">
      <w:pPr>
        <w:pStyle w:val="TextoNormal"/>
      </w:pPr>
      <w:r>
        <w:t>(iii) La determinación de que una sanción es desproporcionada se vincula también con la posibilidad otorgada por la normativa de aminoraciones de responsabilidad o sustituibilidad de las sanciones (STJUE 12 de septiembre de 2019, asuntos C-64/18 y acumulados, apartado 42-47).</w:t>
      </w:r>
    </w:p>
    <w:p w:rsidR="005728DD" w:rsidRDefault="005728DD" w:rsidP="005728DD">
      <w:pPr>
        <w:pStyle w:val="TextoNormal"/>
      </w:pPr>
    </w:p>
    <w:p w:rsidR="005728DD" w:rsidRDefault="005728DD" w:rsidP="005728DD">
      <w:pPr>
        <w:pStyle w:val="TextoNormal"/>
      </w:pPr>
      <w:r>
        <w:t>(iv) La proporcionalidad penal exige que se individualice el grado de responsabilidad del sujeto cuando actúa en conjunción con otros responsables en atención a su contribución al hecho (STJUE de 15 de julio de 2015, asunto T-418/10, apartado 411-413).</w:t>
      </w:r>
    </w:p>
    <w:p w:rsidR="005728DD" w:rsidRDefault="005728DD" w:rsidP="005728DD">
      <w:pPr>
        <w:pStyle w:val="TextoNormal"/>
      </w:pPr>
    </w:p>
    <w:p w:rsidR="005728DD" w:rsidRDefault="005728DD" w:rsidP="005728DD">
      <w:pPr>
        <w:pStyle w:val="TextoNormal"/>
      </w:pPr>
      <w:r>
        <w:t>14. Los criterios operativos establecidos en la STC 136/1999 y la jurisprudencia del Tribunal Europeo de Derechos Humanos y del Tribunal de Justicia de la Unión Europea determinan que no consideremos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005728DD" w:rsidRDefault="005728DD" w:rsidP="005728DD">
      <w:pPr>
        <w:pStyle w:val="TextoNormal"/>
      </w:pPr>
    </w:p>
    <w:p w:rsidR="005728DD" w:rsidRDefault="005728DD" w:rsidP="005728DD">
      <w:pPr>
        <w:pStyle w:val="TextoNormal"/>
      </w:pPr>
      <w:r>
        <w:t>(i)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el recurrente. Esto no determina, sin embargo, que este tipo penal sea inconstitucional en su actual configuración legislativa, opinión que compartimos con la posición mayoritaria en la que se sustenta la sentencia. No cabe apreciar que, en sí misma considerada, la acción tipificada en el delito de sedición sea siempre y en todo caso una restricción ilegítima de derechos sustantivos sin espacio para la sanción de conducta por completo ajenas ya no solo al núcleo esencial de estos derechos sustantivos sino también a un ejercicio extralimitado que se mueva en su contexto.</w:t>
      </w:r>
    </w:p>
    <w:p w:rsidR="005728DD" w:rsidRDefault="005728DD" w:rsidP="005728DD">
      <w:pPr>
        <w:pStyle w:val="TextoNormal"/>
      </w:pPr>
    </w:p>
    <w:p w:rsidR="005728DD" w:rsidRDefault="005728DD" w:rsidP="005728DD">
      <w:pPr>
        <w:pStyle w:val="TextoNormal"/>
      </w:pPr>
      <w:r>
        <w:t xml:space="preserve">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w:t>
      </w:r>
      <w:r>
        <w:lastRenderedPageBreak/>
        <w:t>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en relación con el derecho a la libertad personal (art. 17.1 CE) y al derecho fundamental sustantivo concernido.</w:t>
      </w:r>
    </w:p>
    <w:p w:rsidR="005728DD" w:rsidRDefault="005728DD" w:rsidP="005728DD">
      <w:pPr>
        <w:pStyle w:val="TextoNormal"/>
      </w:pPr>
    </w:p>
    <w:p w:rsidR="005728DD" w:rsidRDefault="005728DD" w:rsidP="005728DD">
      <w:pPr>
        <w:pStyle w:val="TextoNormal"/>
      </w:pPr>
      <w:r>
        <w:t>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005728DD" w:rsidRDefault="005728DD" w:rsidP="005728DD">
      <w:pPr>
        <w:pStyle w:val="TextoNormal"/>
      </w:pPr>
    </w:p>
    <w:p w:rsidR="005728DD" w:rsidRDefault="005728DD" w:rsidP="005728DD">
      <w:pPr>
        <w:pStyle w:val="TextoNormal"/>
      </w:pPr>
      <w:r>
        <w:t>(ii)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005728DD" w:rsidRDefault="005728DD" w:rsidP="005728DD">
      <w:pPr>
        <w:pStyle w:val="TextoNormal"/>
      </w:pPr>
    </w:p>
    <w:p w:rsidR="005728DD" w:rsidRDefault="005728DD" w:rsidP="005728DD">
      <w:pPr>
        <w:pStyle w:val="TextoNormal"/>
      </w:pPr>
      <w:r>
        <w:t>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005728DD" w:rsidRDefault="005728DD" w:rsidP="005728DD">
      <w:pPr>
        <w:pStyle w:val="TextoNormal"/>
      </w:pPr>
    </w:p>
    <w:p w:rsidR="005728DD" w:rsidRDefault="005728DD" w:rsidP="005728DD">
      <w:pPr>
        <w:pStyle w:val="TextoNormal"/>
      </w:pPr>
      <w:r>
        <w:t xml:space="preserve">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w:t>
      </w:r>
      <w:r>
        <w:lastRenderedPageBreak/>
        <w:t>20.7 CP). En ambos casos, los arts. 68 y 66.1.2 CP posibilitan por la concurrencia de estas circunstancias modulaciones de la respuesta penal inferiores en uno o dos grados escala.</w:t>
      </w:r>
    </w:p>
    <w:p w:rsidR="005728DD" w:rsidRDefault="005728DD" w:rsidP="005728DD">
      <w:pPr>
        <w:pStyle w:val="TextoNormal"/>
      </w:pPr>
    </w:p>
    <w:p w:rsidR="005728DD" w:rsidRDefault="005728DD" w:rsidP="005728DD">
      <w:pPr>
        <w:pStyle w:val="TextoNormal"/>
      </w:pPr>
      <w:r>
        <w:t>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005728DD" w:rsidRDefault="005728DD" w:rsidP="005728DD">
      <w:pPr>
        <w:pStyle w:val="TextoNormal"/>
      </w:pPr>
    </w:p>
    <w:p w:rsidR="005728DD" w:rsidRPr="005728DD" w:rsidRDefault="005728DD" w:rsidP="005728DD">
      <w:pPr>
        <w:pStyle w:val="TextoNormal"/>
        <w:rPr>
          <w:i/>
        </w:rPr>
      </w:pPr>
      <w:r>
        <w:t>15.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005728DD" w:rsidRPr="005728DD" w:rsidRDefault="005728DD" w:rsidP="005728DD">
      <w:pPr>
        <w:pStyle w:val="TextoNormal"/>
        <w:rPr>
          <w:i/>
        </w:rPr>
      </w:pPr>
    </w:p>
    <w:p w:rsidR="005728DD" w:rsidRDefault="005728DD" w:rsidP="005728DD">
      <w:pPr>
        <w:pStyle w:val="TextoNormal"/>
      </w:pPr>
      <w:r w:rsidRPr="005728DD">
        <w:rPr>
          <w:i/>
        </w:rPr>
        <w:t>IV. Sobre el cumplimiento del principio de proporcionalidad penal en la cuantificación judicial de la pe</w:t>
      </w:r>
      <w:r>
        <w:t>na.</w:t>
      </w:r>
    </w:p>
    <w:p w:rsidR="005728DD" w:rsidRDefault="005728DD" w:rsidP="005728DD">
      <w:pPr>
        <w:pStyle w:val="TextoNormal"/>
      </w:pPr>
    </w:p>
    <w:p w:rsidR="005728DD" w:rsidRDefault="005728DD" w:rsidP="005728DD">
      <w:pPr>
        <w:pStyle w:val="TextoNormal"/>
      </w:pPr>
      <w:r>
        <w:t>16. El recurrente hace una última invocación del derecho a la legalidad penal, alegando que el órgano judicial le ha impuesto una pena desproporcionada a la gravedad de la conducta (arts. 25.1 CE en relación con el art. 17 CE y el art. 49 CDFUE) y que se lesionan además los derechos fundamentales a la libertad de reunión pacífica y a las libertades de expresión e ideológica (arts. 16, 20 y 21 CE) por el efecto desincentivador que genera esa severa pena en el ejercicio de esos derechos fundamentales. A estos efectos, destaca aspectos como que la pena de diez años y seis meses impuesta es similar a la aplicada por los delitos de homicidio o los más graves contra la libertad sexual o la libertad ambulatoria y que el órgano judicial no ha utilizado ninguna de las previsiones legales para adecuar la pena a la gravedad del hecho como eran las relativas a las formas imperfecta de ejecución, el tipo atenuado de sedición del art. 547 CP, o las circunstancias genéricas atenuadoras de la responsabilidad penal por la vinculación de los hechos al contexto del ejercicio de derechos fundamentales.</w:t>
      </w:r>
    </w:p>
    <w:p w:rsidR="005728DD" w:rsidRDefault="005728DD" w:rsidP="005728DD">
      <w:pPr>
        <w:pStyle w:val="TextoNormal"/>
      </w:pPr>
    </w:p>
    <w:p w:rsidR="005728DD" w:rsidRDefault="005728DD" w:rsidP="005728DD">
      <w:pPr>
        <w:pStyle w:val="TextoNormal"/>
      </w:pPr>
      <w:r>
        <w:t>La posición mayoritaria en la que se sustenta la sentencia rechaza esta invocación dividiendo su análisis de manera diferenciada entre los aspectos relativos a la cuantificación de la pena privativa de libertad y los relativos a una eventual afectación a otros derechos fundamentales sustantivos. Respecto de lo primero, se afirma que (a) la gravedad de la conducta se acredita a partir de la concurrencia de los elementos del tipo de sedición; y (b) las posibilidades de atemperación de la respuesta penal vinculadas a las formas imperfectas de ejecución o menos grave de este delito son cuestiones de legalidad penal. Respecto de la posible afectación a derechos fundamentales sustantivos, se insiste en que la conducta del 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005728DD" w:rsidRDefault="005728DD" w:rsidP="005728DD">
      <w:pPr>
        <w:pStyle w:val="TextoNormal"/>
      </w:pPr>
    </w:p>
    <w:p w:rsidR="005728DD" w:rsidRDefault="005728DD" w:rsidP="005728DD">
      <w:pPr>
        <w:pStyle w:val="TextoNormal"/>
      </w:pPr>
      <w:r>
        <w:lastRenderedPageBreak/>
        <w:t>17. Discrepamos del análisis que realiza la posición mayoritaria en la que se sustenta la sentencia de esta invocación y de su conclusión de que no concurre una vulneración del principio de proporcionalidad penal en la cuantificación de la pena.</w:t>
      </w:r>
    </w:p>
    <w:p w:rsidR="005728DD" w:rsidRDefault="005728DD" w:rsidP="005728DD">
      <w:pPr>
        <w:pStyle w:val="TextoNormal"/>
      </w:pPr>
    </w:p>
    <w:p w:rsidR="005728DD" w:rsidRDefault="005728DD" w:rsidP="005728DD">
      <w:pPr>
        <w:pStyle w:val="TextoNormal"/>
      </w:pPr>
      <w:r>
        <w:t>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005728DD" w:rsidRDefault="005728DD" w:rsidP="005728DD">
      <w:pPr>
        <w:pStyle w:val="TextoNormal"/>
      </w:pPr>
    </w:p>
    <w:p w:rsidR="005728DD" w:rsidRDefault="005728DD" w:rsidP="005728DD">
      <w:pPr>
        <w:pStyle w:val="TextoNormal"/>
      </w:pPr>
      <w:r>
        <w:t>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005728DD" w:rsidRDefault="005728DD" w:rsidP="005728DD">
      <w:pPr>
        <w:pStyle w:val="TextoNormal"/>
      </w:pPr>
    </w:p>
    <w:p w:rsidR="005728DD" w:rsidRDefault="005728DD" w:rsidP="005728DD">
      <w:pPr>
        <w:pStyle w:val="TextoNormal"/>
      </w:pPr>
      <w:r>
        <w:t>18. La posición mayoritaria en la que se sustenta la sentencia ha hecho una especial incidencia en la desestimación de la invocación del principio de proporcionalidad penal argumentando que la pena impuesta —diez años y seis meses de prisión y de inhabilitación— está comprendidas dentro de la horquilla que establece del delito de sedición, concretamente de diez a quince años. Nuestra discrepancia, sin embargo, va más allá de la posibilidad de que se hubiera impuesto la pena mínima del marco penal abstracto. Consideramos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005728DD" w:rsidRDefault="005728DD" w:rsidP="005728DD">
      <w:pPr>
        <w:pStyle w:val="TextoNormal"/>
      </w:pPr>
    </w:p>
    <w:p w:rsidR="005728DD" w:rsidRDefault="005728DD" w:rsidP="005728DD">
      <w:pPr>
        <w:pStyle w:val="TextoNormal"/>
      </w:pPr>
      <w:r>
        <w:t>(i)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inexistencia hasta el momento presente, y (c) la íntima conexión que mantiene en su umbral superior de gravedad con el delito de rebelión y en su umbral inferior con otros delitos contra el orden público.</w:t>
      </w:r>
    </w:p>
    <w:p w:rsidR="005728DD" w:rsidRDefault="005728DD" w:rsidP="005728DD">
      <w:pPr>
        <w:pStyle w:val="TextoNormal"/>
      </w:pPr>
    </w:p>
    <w:p w:rsidR="005728DD" w:rsidRDefault="005728DD" w:rsidP="005728DD">
      <w:pPr>
        <w:pStyle w:val="TextoNormal"/>
      </w:pPr>
      <w:r>
        <w:t>(ii)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005728DD" w:rsidRDefault="005728DD" w:rsidP="005728DD">
      <w:pPr>
        <w:pStyle w:val="TextoNormal"/>
      </w:pPr>
    </w:p>
    <w:p w:rsidR="005728DD" w:rsidRDefault="005728DD" w:rsidP="005728DD">
      <w:pPr>
        <w:pStyle w:val="TextoNormal"/>
      </w:pPr>
      <w:r>
        <w:t>(iii) En ese contexto de incertidumbre estructural del delito de sedición, las resoluciones judiciales impugnadas han optado en la labor de interpretación y subsunción para entender responsable penal al recurrente de ese delito por sancionar unos hechos que se sitúan en el umbral mínimo de tipicidad de este delito: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005728DD" w:rsidRDefault="005728DD" w:rsidP="005728DD">
      <w:pPr>
        <w:pStyle w:val="TextoNormal"/>
      </w:pPr>
    </w:p>
    <w:p w:rsidR="005728DD" w:rsidRDefault="005728DD" w:rsidP="005728DD">
      <w:pPr>
        <w:pStyle w:val="TextoNormal"/>
      </w:pPr>
      <w:r>
        <w:t>(iv)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005728DD" w:rsidRDefault="005728DD" w:rsidP="005728DD">
      <w:pPr>
        <w:pStyle w:val="TextoNormal"/>
      </w:pPr>
    </w:p>
    <w:p w:rsidR="005728DD" w:rsidRDefault="005728DD" w:rsidP="005728DD">
      <w:pPr>
        <w:pStyle w:val="TextoNormal"/>
      </w:pPr>
      <w:r>
        <w:t>(v) La autoría del recurrente se ha construido sobre consideraciones normativas ajenas a su participación directa y singular en los hechos declarados sediciosos como es una genérica posición de garante por formar parte del Consejo de Gobierno de la Generalidad. Tampoco existe una concreta individualización de su contribución al hecho más allá de esa pertenencia a este órgano y la consecutiva imputación recíproca y solidaria de responsabilidad.</w:t>
      </w:r>
    </w:p>
    <w:p w:rsidR="005728DD" w:rsidRDefault="005728DD" w:rsidP="005728DD">
      <w:pPr>
        <w:pStyle w:val="TextoNormal"/>
      </w:pPr>
    </w:p>
    <w:p w:rsidR="005728DD" w:rsidRDefault="005728DD" w:rsidP="005728DD">
      <w:pPr>
        <w:pStyle w:val="TextoNormal"/>
      </w:pPr>
      <w:r>
        <w:t xml:space="preserve">(vi)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w:t>
      </w:r>
      <w:r>
        <w:lastRenderedPageBreak/>
        <w:t>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acudió, ante la eventual consideración de que fueran razones dogmáticas o de recta aplicación de la normativa penal las que impedían la atemperación del rigor de la pena que debía imponerse, a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005728DD" w:rsidRDefault="005728DD" w:rsidP="005728DD">
      <w:pPr>
        <w:pStyle w:val="TextoNormal"/>
      </w:pPr>
    </w:p>
    <w:p w:rsidR="005728DD" w:rsidRDefault="005728DD" w:rsidP="005728DD">
      <w:pPr>
        <w:pStyle w:val="TextoNormal"/>
      </w:pPr>
      <w:r>
        <w:t>19. En definitiva, todas estas son las razones por las que defendimos en la deliberación que, sin controvertir la relevancia penal de la conducta del recurrente, nos parecía que el rigor de la respuesta penal, pudiendo haber sido ajustado cuantitativamente acudiendo a previsiones de la normativa penal, resultaba contrario a las exigencias del principio de proporcionalidad penal.</w:t>
      </w:r>
    </w:p>
    <w:p w:rsidR="005728DD" w:rsidRDefault="005728DD" w:rsidP="005728DD">
      <w:pPr>
        <w:pStyle w:val="TextoNormal"/>
      </w:pPr>
    </w:p>
    <w:p w:rsidR="005728DD" w:rsidRDefault="005728DD" w:rsidP="005728DD">
      <w:pPr>
        <w:pStyle w:val="TextoNormal"/>
      </w:pPr>
      <w:r>
        <w:t>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ponemos de manifiesto en este voto.</w:t>
      </w:r>
    </w:p>
    <w:p w:rsidR="005728DD" w:rsidRDefault="005728DD" w:rsidP="005728DD">
      <w:pPr>
        <w:pStyle w:val="TextoNormal"/>
      </w:pPr>
    </w:p>
    <w:p w:rsidR="005728DD" w:rsidRDefault="005728DD" w:rsidP="005728DD">
      <w:pPr>
        <w:pStyle w:val="TextoNormal"/>
      </w:pPr>
      <w:r>
        <w:t>Debemos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Y ello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005728DD" w:rsidRDefault="005728DD" w:rsidP="005728DD">
      <w:pPr>
        <w:pStyle w:val="TextoNormal"/>
      </w:pPr>
    </w:p>
    <w:p w:rsidR="005728DD" w:rsidRDefault="005728DD" w:rsidP="005728DD">
      <w:pPr>
        <w:pStyle w:val="TextoNormal"/>
      </w:pPr>
      <w:r>
        <w:t>Madrid, a once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0" w:name="SENTENCIA_2021_107"/>
      <w:r>
        <w:lastRenderedPageBreak/>
        <w:t>SENTENCIA 107/2021, de 13 de mayo de 2021</w:t>
      </w:r>
    </w:p>
    <w:bookmarkEnd w:id="110"/>
    <w:p w:rsidR="005728DD" w:rsidRDefault="005728DD" w:rsidP="005728DD">
      <w:pPr>
        <w:pStyle w:val="TtuloResolucin"/>
      </w:pPr>
      <w:r>
        <w:t>Pleno</w:t>
      </w:r>
    </w:p>
    <w:p w:rsidR="005728DD" w:rsidRDefault="005728DD" w:rsidP="005728DD">
      <w:pPr>
        <w:pStyle w:val="TtuloBOE"/>
      </w:pPr>
      <w:r>
        <w:t>(BOE núm. 142, de 15 de junio de 2021)</w:t>
      </w:r>
    </w:p>
    <w:p w:rsidR="005728DD" w:rsidRDefault="005728DD" w:rsidP="005728DD">
      <w:pPr>
        <w:pStyle w:val="TextoNormalCentrado"/>
      </w:pPr>
      <w:r>
        <w:t>ECLI:ES:TC:2021:107</w:t>
      </w:r>
    </w:p>
    <w:p w:rsidR="005728DD" w:rsidRDefault="005728DD" w:rsidP="005728DD">
      <w:pPr>
        <w:pStyle w:val="TextoNormalCentrado"/>
      </w:pPr>
    </w:p>
    <w:p w:rsidR="005728DD" w:rsidRDefault="005728DD" w:rsidP="005728DD">
      <w:pPr>
        <w:pStyle w:val="SntesisDescriptiva"/>
      </w:pPr>
      <w:r>
        <w:t>Recurso de amparo 2670-2017. Promovido por don Francesc Homs i Molist respecto de la sentencia de la Sala de lo Penal del Tribunal Supremo que le condenó por un delito de desobediencia.</w:t>
      </w:r>
    </w:p>
    <w:p w:rsidR="005728DD" w:rsidRDefault="005728DD" w:rsidP="005728DD">
      <w:pPr>
        <w:pStyle w:val="SntesisDescriptiva"/>
      </w:pPr>
    </w:p>
    <w:p w:rsidR="005728DD" w:rsidRDefault="005728DD" w:rsidP="005728DD">
      <w:pPr>
        <w:pStyle w:val="SntesisAnaltica"/>
      </w:pPr>
      <w:r>
        <w:t>Alegada vulneración de los derechos a la presunción de inocencia, legalidad penal, segunda instancia y tutela judicial efectiva en relación con el derecho a la igualdad; supuesta vulneración de los derechos a un proceso con todas las garantías y a la prueba: inadmisión parcial del recurso de amparo; denegación de prueba testifical y documental cuya relevancia en términos de defensa no se acredita.</w:t>
      </w:r>
    </w:p>
    <w:p w:rsidR="005728DD" w:rsidRDefault="005728DD" w:rsidP="005728DD">
      <w:pPr>
        <w:pStyle w:val="SntesisAnaltica"/>
      </w:pPr>
    </w:p>
    <w:p w:rsidR="005728DD" w:rsidRDefault="005728DD" w:rsidP="005728DD">
      <w:pPr>
        <w:pStyle w:val="Extracto"/>
      </w:pPr>
      <w:r>
        <w:t>1.</w:t>
      </w:r>
      <w:r>
        <w:tab/>
        <w:t>El incidente de aclaración no constituye medio de impugnación apto para agotar la vía judicial, dado que no puede ser conceptualizado como camino adecuado para denunciar el desacuerdo con la fundamentación jurídica y fáctica contenida en  sentencia [FJ 2].</w:t>
      </w:r>
    </w:p>
    <w:p w:rsidR="005728DD" w:rsidRDefault="005728DD" w:rsidP="005728DD">
      <w:pPr>
        <w:pStyle w:val="Extracto"/>
      </w:pPr>
    </w:p>
    <w:p w:rsidR="005728DD" w:rsidRDefault="005728DD" w:rsidP="005728DD">
      <w:pPr>
        <w:pStyle w:val="Extracto"/>
      </w:pPr>
      <w:r>
        <w:t>2.</w:t>
      </w:r>
      <w:r>
        <w:tab/>
        <w:t>El incidente de nulidad de actuaciones del art. 241.1 LOPJ sí es remedio procesal adecuado para reparar la lesión del derecho fundamental invocado en la demanda de amparo, a los efectos de dar debido cumplimiento al requisito del agotamiento de los recursos utilizables establecido en el art. 44.1 a) LOTC, brindando al correspondiente órgano judicial la posibilidad de reparar el vicio denunciado, y salvaguardando, de este modo, el carácter subsidiario del recurso de amparo [FJ 2].</w:t>
      </w:r>
    </w:p>
    <w:p w:rsidR="005728DD" w:rsidRDefault="005728DD" w:rsidP="005728DD">
      <w:pPr>
        <w:pStyle w:val="Extracto"/>
      </w:pPr>
    </w:p>
    <w:p w:rsidR="005728DD" w:rsidRDefault="005728DD" w:rsidP="005728DD">
      <w:pPr>
        <w:pStyle w:val="Extracto"/>
      </w:pPr>
      <w:r>
        <w:t>3.</w:t>
      </w:r>
      <w:r>
        <w:tab/>
        <w:t>El derecho a la utilización de los medios de prueba pertinentes (art. 24.2 CE), es derecho inseparable del derecho mismo de defensa (SSTC 169/1996 y 73/2000) [FJ 3].</w:t>
      </w:r>
    </w:p>
    <w:p w:rsidR="005728DD" w:rsidRDefault="005728DD" w:rsidP="005728DD">
      <w:pPr>
        <w:pStyle w:val="Extracto"/>
      </w:pPr>
    </w:p>
    <w:p w:rsidR="005728DD" w:rsidRDefault="005728DD" w:rsidP="005728DD">
      <w:pPr>
        <w:pStyle w:val="Extracto"/>
      </w:pPr>
      <w:r>
        <w:t>4.</w:t>
      </w:r>
      <w:r>
        <w:tab/>
        <w:t xml:space="preserve">El derecho fundamental a la utilización de medios de prueba opera en cualquier tipo de proceso en que el ciudadano se vea involucrado y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o 96/2000), entendida la pertinencia como la relación entre los hechos probados y el </w:t>
      </w:r>
      <w:r w:rsidRPr="005728DD">
        <w:rPr>
          <w:i/>
        </w:rPr>
        <w:t xml:space="preserve">thema decidendi </w:t>
      </w:r>
      <w:r>
        <w:t>(STC 26/2000) [FJ 3].</w:t>
      </w:r>
    </w:p>
    <w:p w:rsidR="005728DD" w:rsidRDefault="005728DD" w:rsidP="005728DD">
      <w:pPr>
        <w:pStyle w:val="Extracto"/>
      </w:pPr>
    </w:p>
    <w:p w:rsidR="005728DD" w:rsidRDefault="005728DD" w:rsidP="005728DD">
      <w:pPr>
        <w:pStyle w:val="Extracto"/>
      </w:pPr>
      <w:r>
        <w:t>5.</w:t>
      </w:r>
      <w:r>
        <w:tab/>
        <w:t>Puesto que se trata de un derecho de configuración legal, es preciso que la prueba se haya solicitado en la forma y momento legalmente establecidos (SSTC 149/1987 o 52/1998), siendo solo admisibles los medios de prueba autorizados por el ordenamiento (SSTC 101/1989 o 89/1997) [FJ 3].</w:t>
      </w:r>
    </w:p>
    <w:p w:rsidR="005728DD" w:rsidRDefault="005728DD" w:rsidP="005728DD">
      <w:pPr>
        <w:pStyle w:val="Extracto"/>
      </w:pPr>
    </w:p>
    <w:p w:rsidR="005728DD" w:rsidRDefault="005728DD" w:rsidP="005728DD">
      <w:pPr>
        <w:pStyle w:val="Extracto"/>
      </w:pPr>
      <w:r>
        <w:t>6.</w:t>
      </w:r>
      <w:r>
        <w:tab/>
        <w:t xml:space="preserve">Corresponde a los jueces y tribunales el examen sobre la legalidad y pertinencia de las pruebas, no pudiendo este Tribunal Constitucional sustituir o corregir la actividad desarrollada por los órganos judiciales, como si de una nueva instancia </w:t>
      </w:r>
      <w:r>
        <w:lastRenderedPageBreak/>
        <w:t>se tratase. Por el contrario, este tribunal sí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o 78/2001) [FJ 3].</w:t>
      </w:r>
    </w:p>
    <w:p w:rsidR="005728DD" w:rsidRDefault="005728DD" w:rsidP="005728DD">
      <w:pPr>
        <w:pStyle w:val="Extracto"/>
      </w:pPr>
    </w:p>
    <w:p w:rsidR="005728DD" w:rsidRDefault="005728DD" w:rsidP="005728DD">
      <w:pPr>
        <w:pStyle w:val="Extracto"/>
      </w:pPr>
      <w:r>
        <w:t>7.</w:t>
      </w:r>
      <w:r>
        <w:tab/>
        <w:t>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y 218/1997) [FJ 3].</w:t>
      </w:r>
    </w:p>
    <w:p w:rsidR="005728DD" w:rsidRDefault="005728DD" w:rsidP="005728DD">
      <w:pPr>
        <w:pStyle w:val="Extracto"/>
      </w:pPr>
    </w:p>
    <w:p w:rsidR="005728DD" w:rsidRDefault="005728DD" w:rsidP="005728DD">
      <w:pPr>
        <w:pStyle w:val="Extracto"/>
      </w:pPr>
      <w:r>
        <w:t>8.</w:t>
      </w:r>
      <w:r>
        <w:tab/>
        <w:t>Para procurar la estimación del recurso de amparo, los elementos probatorios propuestos por el recurrente deben ser trascendentes y relevantes para la causa penal, a fin de excluir la tipicidad, la antijuridicidad o la culpabilidad de su conducta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por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2670-2017, promovido por don Francesc Homs i Molist, representado por el procurador de los tribunales don Ignacio Argos Linares, bajo la dirección de la letrada doña Esther Palmés Bosch, contra el auto de la Sala de lo Penal del Tribunal Supremo de 6 de abril de 2017, por el que se desestima el incidente de aclaración interpuesto contra la sentencia de la Sala de lo Penal del Tribunal Supremo núm. 177/2017, de 22 de marzo, pronunciada en la causa especial núm. 20249-2016, y se condena al demandante de amparo como autor de un delito de desobediencia del art. 410 del Código penal (CP).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25 de mayo de 2017, el procurador de los tribunales don Ignacio Argos Linares, en nombre y representación de don Francesc Homs i Molist, y bajo la dirección de la letrada doña Esther Palmés Bosch, interpuso recurso de amparo contra las resoluciones judiciales que se mencionan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 sentencia de la Sala de lo Penal del Tribunal Supremo núm. 177/2017, de 22 de marzo, pronunciada en el seno de la causa especial núm. 20249-2016, condenó al demandante de amparo, como autor de un delito de desobediencia grave cometida por autoridad administrativa (art. 410 CP), a la pena de multa de cinco meses, con una cuota diaria de doscientos euros, con responsabilidad personal subsidiaria de un día por cada dos cuotas no satisfechas para el caso de impago, e inhabilitación especial para el ejercicio de cargos públicos electivos, ya sean de ámbito estatal, autonómico o local, así como para ejercicio de funciones de gobierno en el ámbito estatal, durante un tiempo de un año y un mes.</w:t>
      </w:r>
    </w:p>
    <w:p w:rsidR="005728DD" w:rsidRDefault="005728DD" w:rsidP="005728DD">
      <w:pPr>
        <w:pStyle w:val="TextoNormal"/>
      </w:pPr>
    </w:p>
    <w:p w:rsidR="005728DD" w:rsidRDefault="005728DD" w:rsidP="005728DD">
      <w:pPr>
        <w:pStyle w:val="TextoNormal"/>
      </w:pPr>
      <w:r>
        <w:t>Dicha sentencia declaraba como hechos probados los siguientes:</w:t>
      </w:r>
    </w:p>
    <w:p w:rsidR="005728DD" w:rsidRDefault="005728DD" w:rsidP="005728DD">
      <w:pPr>
        <w:pStyle w:val="TextoNormal"/>
      </w:pPr>
    </w:p>
    <w:p w:rsidR="005728DD" w:rsidRDefault="005728DD" w:rsidP="005728DD">
      <w:pPr>
        <w:pStyle w:val="TextoNormal"/>
      </w:pPr>
      <w:r>
        <w:t>«Con fecha 27 de Septiembre de 2014, el ‘Diario Oficial de la Generalitat de Cataluña’, en su núm. 6715, publicó la Ley 10/2014, 26 de septiembre, de consultas populares no referendarias y otras formas de participación ciudadana. En el mismo diario oficial y con la misma fecha se publicó el decreto del presidente de la Generalitat de Cataluña 129-2014, 27 de septiembre, de convocatoria de consulta popular no referendaria sobre el futuro político de Cataluña. En esta resolución se convocaba “la consulta sobre el futuro político de Cataluña que tendrá lugar el día 9 de noviembre de 2014” (art. 1). El objeto de la consulta era “[…] conocer la opinión de las personas llamadas a participar sobre el futuro político de Cataluña […], con la finalidad de que la Generalidad pueda ejercer con pleno conocimiento de causa la iniciativa legal, política e institucional que le corresponde” (art. 2). En la consulta se formularía “[…] una primera pregunta y una segunda pregunta sucesiva, en los términos siguientes: a) ¿Quiere que Cataluña se convierta en un Estado? — Sí — No. En caso afirmativo: b) ¿Quiere que este Estado sea independiente? — Sí — No” (art. 2) y únicamente se podía responder a la pregunta de la letra b) en el caso de haber respondido “sí” a la pregunta de la letra a).</w:t>
      </w:r>
    </w:p>
    <w:p w:rsidR="005728DD" w:rsidRDefault="005728DD" w:rsidP="005728DD">
      <w:pPr>
        <w:pStyle w:val="TextoNormal"/>
      </w:pPr>
    </w:p>
    <w:p w:rsidR="005728DD" w:rsidRDefault="005728DD" w:rsidP="005728DD">
      <w:pPr>
        <w:pStyle w:val="TextoNormal"/>
      </w:pPr>
      <w:r>
        <w:t xml:space="preserve">El art. 4 del decreto llamaba a participar en la consulta sobre el futuro político de Cataluña a “[…] las personas que sean mayores de dieciséis años el día de la votación presencial: a) que tengan la condición política de catalanes. Los catalanes residentes en el extranjero que hayan tenido como última vecindad administrativa la catalana y sus descendientes que mantengan la condición política de catalán deben estar previamente inscritos en el registro de catalanes y catalanas residentes en el exterior; b) que sean nacionales de estados miembros de la Unión Europea, inscritos en el registro de población de Cataluña, que acrediten un año de residencia continuada inmediatamente anterior a la convocatoria de la consulta; c) que sean nacionales de terceros estados, inscritos en el registro de población de Cataluña, </w:t>
      </w:r>
      <w:r>
        <w:lastRenderedPageBreak/>
        <w:t>que acrediten residencia legal durante un periodo continuado de tres años inmediatamente anterior a la convocatoria de la consulta”.</w:t>
      </w:r>
    </w:p>
    <w:p w:rsidR="005728DD" w:rsidRDefault="005728DD" w:rsidP="005728DD">
      <w:pPr>
        <w:pStyle w:val="TextoNormal"/>
      </w:pPr>
    </w:p>
    <w:p w:rsidR="005728DD" w:rsidRDefault="005728DD" w:rsidP="005728DD">
      <w:pPr>
        <w:pStyle w:val="TextoNormal"/>
      </w:pPr>
      <w:r>
        <w:t>Al amparo del art. 161.2 CE el Gobierno de la Nación interpuso recurso de inconstitucionalidad contra [...] la Ley 10/2014, 26 de septiembre. La admisión a trámite del recurso […] produjo como efecto legal asociado a esa resolución […] la suspensión de la vigencia de los preceptos impugnados desde el mismo día 29 de septiembre de 2014 para las partes del proceso y desde la publicación de la providencia en el “BOE” para los terceros. La orden de suspensión alcanzaba “a cuantos actos o resoluciones hayan podido dictarse en aplicación de los mismos […]”.</w:t>
      </w:r>
    </w:p>
    <w:p w:rsidR="005728DD" w:rsidRDefault="005728DD" w:rsidP="005728DD">
      <w:pPr>
        <w:pStyle w:val="TextoNormal"/>
      </w:pPr>
    </w:p>
    <w:p w:rsidR="005728DD" w:rsidRDefault="005728DD" w:rsidP="005728DD">
      <w:pPr>
        <w:pStyle w:val="TextoNormal"/>
      </w:pPr>
      <w:r>
        <w:t>El Gobierno de la Nación estimó también oportuno impugnar, además de la ley que le servía de aparente cobertura, el acto formal de convocatoria, esto es, el Decreto 129/2014, 27 de septiembre. La impugnación fue admitida a trámite mediante providencia de 29 de septiembre de 2014 que […] suspendió el decreto y sus anexos desde el 29 de septiembre para las partes del proceso […].</w:t>
      </w:r>
    </w:p>
    <w:p w:rsidR="005728DD" w:rsidRDefault="005728DD" w:rsidP="005728DD">
      <w:pPr>
        <w:pStyle w:val="TextoNormal"/>
      </w:pPr>
    </w:p>
    <w:p w:rsidR="005728DD" w:rsidRDefault="005728DD" w:rsidP="005728DD">
      <w:pPr>
        <w:pStyle w:val="TextoNormal"/>
      </w:pPr>
      <w:r>
        <w:t>El procedimiento de impugnación promovido por el Gobierno culminaría con la sentencia del Tribunal Constitucional 32/2015, 25 de febrero. En el fallo de esta sentencia se acordaba “[…] declarar que el Decreto 129/2014, de 27 de septiembre, de convocatoria de la consulta popular no referendaria sobre el futuro político de Cataluña y sus anexos son inconstitucionales y nulos”. En el último párrafo del FJ 3 se afirmaba que “el Decreto 129/2014, al convocar una consulta al amparo de lo establecido en la Ley 10/2014 y, en desarrollo de esta ley, establecer la regulación específica por la que se rige la consulta convocada, vulnera las competencias del Estado en materia de referéndum, al haber convocado un referéndum sin la preceptiva autorización estatal, como exige el art. 149.1.32 CE, y sin seguir los procedimientos y garantías constitucionalmente exigidos, que, como declara este tribunal en la sentencia 31/2015, de esta misma fecha, solo pueden ser aquellos establecidos por el legislador estatal, que es a quien la Constitución ha encomendado regular el proceso y las garantías electorales (art. 149.1.1 CE en relación con los arts. 23.1 CE, 81.1 CE y 92.3 CE y art. 149.1.32 CE)”.</w:t>
      </w:r>
    </w:p>
    <w:p w:rsidR="005728DD" w:rsidRDefault="005728DD" w:rsidP="005728DD">
      <w:pPr>
        <w:pStyle w:val="TextoNormal"/>
      </w:pPr>
    </w:p>
    <w:p w:rsidR="005728DD" w:rsidRDefault="005728DD" w:rsidP="005728DD">
      <w:pPr>
        <w:pStyle w:val="TextoNormal"/>
      </w:pPr>
      <w:r>
        <w:t>Con anterioridad a que esa sentencia llegara a dictarse y a raíz de la suspensión provisional de la vigencia de las normas cuestionadas […] el Gobierno de la Generalitat desistió de la convocatoria de la llamada consulta popular no referendaria que autorizaba la Ley 10/2014 y que materializaba el Decreto 129/2014. Sin embargo, como quiera que persistía en la idea de celebrar la referida consulta el día 9 de noviembre de 2014, fecha que anunciaba el decreto suspendido, abandonó la cobertura inicialmente concebida para su celebración y anunció, en su lugar, un proceso de participación ciudadana para la misma fecha. Con tal objeto, el presidente de la Generalitat —no enjuiciado en la presente causa— realizó una comparecencia institucional en la que anunció ante los medios de comunicación la apertura de ese proceso y la fecha en el que este iba a tener lugar.</w:t>
      </w:r>
    </w:p>
    <w:p w:rsidR="005728DD" w:rsidRDefault="005728DD" w:rsidP="005728DD">
      <w:pPr>
        <w:pStyle w:val="TextoNormal"/>
      </w:pPr>
    </w:p>
    <w:p w:rsidR="005728DD" w:rsidRDefault="005728DD" w:rsidP="005728DD">
      <w:pPr>
        <w:pStyle w:val="TextoNormal"/>
      </w:pPr>
      <w:r>
        <w:t xml:space="preserve">Al mismo tiempo, con el fin de dar amplia difusión al proceso abierto, el Departament de Gobernació de la Generalitat de Catalunya encargó la puesta en marcha de una página web denominada </w:t>
      </w:r>
      <w:r w:rsidRPr="005728DD">
        <w:rPr>
          <w:i/>
        </w:rPr>
        <w:t>www.participa2014.cat</w:t>
      </w:r>
      <w:r>
        <w:t xml:space="preserve">. El mismo día del anuncio por el presidente de la Generalitat de la convocatoria del proceso, publicó que “el día 9 de noviembre de 2014, el Gobierno de la Generalitat de Cataluña abre un proceso de participación ciudadana para que </w:t>
      </w:r>
      <w:r>
        <w:lastRenderedPageBreak/>
        <w:t>los catalanes y las catalanas y las personas residentes en Cataluña puedan manifestar su opinión sobre el futuro político de Cataluña”.</w:t>
      </w:r>
    </w:p>
    <w:p w:rsidR="005728DD" w:rsidRDefault="005728DD" w:rsidP="005728DD">
      <w:pPr>
        <w:pStyle w:val="TextoNormal"/>
      </w:pPr>
    </w:p>
    <w:p w:rsidR="005728DD" w:rsidRDefault="005728DD" w:rsidP="005728DD">
      <w:pPr>
        <w:pStyle w:val="TextoNormal"/>
      </w:pPr>
      <w:r>
        <w:t>A raíz del anuncio, el Gobierno de la Generalitat asumió la iniciativa de distintas actuaciones y procedimientos administrativos dirigidos a hacer realidad la votación anunciada para el día 9 de noviembre. Los trabajos fueron principalmente encomendados a contratistas privados. Conforme a esta idea se desarrollaron las siguientes actividades:</w:t>
      </w:r>
    </w:p>
    <w:p w:rsidR="005728DD" w:rsidRDefault="005728DD" w:rsidP="005728DD">
      <w:pPr>
        <w:pStyle w:val="TextoNormal"/>
      </w:pPr>
    </w:p>
    <w:p w:rsidR="005728DD" w:rsidRDefault="005728DD" w:rsidP="005728DD">
      <w:pPr>
        <w:pStyle w:val="TextoNormal"/>
      </w:pPr>
      <w:r>
        <w:t>a) Se activó la web institucional a la que ya se ha hecho referencia —www.participa2014.cat—, diseñada para hacer posible, entre otras funcionalidades, la inscripción del voluntariado.</w:t>
      </w:r>
    </w:p>
    <w:p w:rsidR="005728DD" w:rsidRDefault="005728DD" w:rsidP="005728DD">
      <w:pPr>
        <w:pStyle w:val="TextoNormal"/>
      </w:pPr>
    </w:p>
    <w:p w:rsidR="005728DD" w:rsidRDefault="005728DD" w:rsidP="005728DD">
      <w:pPr>
        <w:pStyle w:val="TextoNormal"/>
      </w:pPr>
      <w:r>
        <w:t>b) Se acordó que los institutos públicos de enseñanza secundaria, titularidad de la Generalitat, pusieran a disposición de los responsables del proceso participativo los locales en que pudieran desarrollarse las votaciones.</w:t>
      </w:r>
    </w:p>
    <w:p w:rsidR="005728DD" w:rsidRDefault="005728DD" w:rsidP="005728DD">
      <w:pPr>
        <w:pStyle w:val="TextoNormal"/>
      </w:pPr>
    </w:p>
    <w:p w:rsidR="005728DD" w:rsidRDefault="005728DD" w:rsidP="005728DD">
      <w:pPr>
        <w:pStyle w:val="TextoNormal"/>
      </w:pPr>
      <w:r>
        <w:t>c) Se encargaron el diseño y la fabricación del material que iba a ser empleado en la votación, organizándose su transporte, reparto y entrega en los distintos locales en los que iba a celebrarse la votación.</w:t>
      </w:r>
    </w:p>
    <w:p w:rsidR="005728DD" w:rsidRDefault="005728DD" w:rsidP="005728DD">
      <w:pPr>
        <w:pStyle w:val="TextoNormal"/>
      </w:pPr>
    </w:p>
    <w:p w:rsidR="005728DD" w:rsidRDefault="005728DD" w:rsidP="005728DD">
      <w:pPr>
        <w:pStyle w:val="TextoNormal"/>
      </w:pPr>
      <w:r>
        <w:t>d) El Departament de la Presidencia dirigió la contratación de la publicidad institucional. Esta fue encargada, apenas dos días después de la incoación del expediente PR201471109, a la empresa Media Planning Group, S.A. La formalización del encargo está fechada el día 24 de octubre de 2014. El importe facturado por la realización de estos trabajos supuso un gasto de 806403,52 €.</w:t>
      </w:r>
    </w:p>
    <w:p w:rsidR="005728DD" w:rsidRDefault="005728DD" w:rsidP="005728DD">
      <w:pPr>
        <w:pStyle w:val="TextoNormal"/>
      </w:pPr>
    </w:p>
    <w:p w:rsidR="005728DD" w:rsidRDefault="005728DD" w:rsidP="005728DD">
      <w:pPr>
        <w:pStyle w:val="TextoNormal"/>
      </w:pPr>
      <w:r>
        <w:t>e) Se contrató la adquisición de 7000 ordenadores portátiles que, previa utilización de un software encargado por la Generalitat, iban a ser utilizados en el cómputo y control del proceso de consulta.</w:t>
      </w:r>
    </w:p>
    <w:p w:rsidR="005728DD" w:rsidRDefault="005728DD" w:rsidP="005728DD">
      <w:pPr>
        <w:pStyle w:val="TextoNormal"/>
      </w:pPr>
    </w:p>
    <w:p w:rsidR="005728DD" w:rsidRDefault="005728DD" w:rsidP="005728DD">
      <w:pPr>
        <w:pStyle w:val="TextoNormal"/>
      </w:pPr>
      <w:r>
        <w:t>f) Con fecha 29 de octubre de 2014, el Departamento de Governació i Relacions Institucionals interesó los servicios del centre de telecomunicaciones i tecnologíes de la informació para el “apoyo al proceso de participación”, fijando un presupuesto de 1 201 000 €. La factura se expidió el 3 de noviembre, finalmente por un importe de 698 685,15 €.</w:t>
      </w:r>
    </w:p>
    <w:p w:rsidR="005728DD" w:rsidRDefault="005728DD" w:rsidP="005728DD">
      <w:pPr>
        <w:pStyle w:val="TextoNormal"/>
      </w:pPr>
    </w:p>
    <w:p w:rsidR="005728DD" w:rsidRDefault="005728DD" w:rsidP="005728DD">
      <w:pPr>
        <w:pStyle w:val="TextoNormal"/>
      </w:pPr>
      <w:r>
        <w:t>Para la ejecución de la encomienda recibida, el centre de telecomunicaciones i tecnologíes de la informació seleccionó distintas empresas privadas, con arreglo a acuerdos-marco previamente suscritos. Así, a la empresa T-Systems le fue encargado, con fecha 15 de octubre de 2014, el diseño de programas informáticos con un doble objeto: a) registro de inscripción de acceso público: crear un registro web para que los voluntarios funcionarios y no funcionarios pudieran registrarse como tales y crear la propia web de consulta; b) registro de asistentes: desarrollar una aplicación para instalar en los ordenadores que serían utilizados el día de la votación. La aplicación tenía dos funcionalidades principales. La primera permitía registrar a quien votaba y comprobar que votaba en la mesa que le correspondía; la segunda hacía posible la extracción y consolidación de los datos obtenidos en los ordenadores que permitiese introducir el recuento de votos y extraer el resultado agregado de la mesa en un formato de presentación predeterminado.</w:t>
      </w:r>
    </w:p>
    <w:p w:rsidR="005728DD" w:rsidRDefault="005728DD" w:rsidP="005728DD">
      <w:pPr>
        <w:pStyle w:val="TextoNormal"/>
      </w:pPr>
    </w:p>
    <w:p w:rsidR="005728DD" w:rsidRDefault="005728DD" w:rsidP="005728DD">
      <w:pPr>
        <w:pStyle w:val="TextoNormal"/>
      </w:pPr>
      <w:r>
        <w:lastRenderedPageBreak/>
        <w:t>Con fecha 17 de octubre de 2014, la misma empresa recibió como encargo diseñar un “registro de resultados y publicación”. Se trataba de ir recibiendo telefónicamente los resultados de las votaciones en las distintas mesas de votación y proceder a su inmediato tratamiento informático mediante una web interna de la Generalitat que, con el desarrollo de distintos criterios de cribado, iba a permitir el recuento y sistematización de los resultados agregados, porcentajes, distribución geográfica, etc.</w:t>
      </w:r>
    </w:p>
    <w:p w:rsidR="005728DD" w:rsidRDefault="005728DD" w:rsidP="005728DD">
      <w:pPr>
        <w:pStyle w:val="TextoNormal"/>
      </w:pPr>
    </w:p>
    <w:p w:rsidR="005728DD" w:rsidRDefault="005728DD" w:rsidP="005728DD">
      <w:pPr>
        <w:pStyle w:val="TextoNormal"/>
      </w:pPr>
      <w:r>
        <w:t>En la búsqueda del mismo objetivo, el Centre de Telecomunicacions i Tecnologíes de la Informació (CTTI) contrató con T-Systems para el fin de semana del 9 de noviembre, un servicio de apoyo veinticuatro horas al día, que también incluía adicionalmente un servicio de apoyo a los técnicos que habían participado en el desarrollo de los programas.</w:t>
      </w:r>
    </w:p>
    <w:p w:rsidR="005728DD" w:rsidRDefault="005728DD" w:rsidP="005728DD">
      <w:pPr>
        <w:pStyle w:val="TextoNormal"/>
      </w:pPr>
    </w:p>
    <w:p w:rsidR="005728DD" w:rsidRDefault="005728DD" w:rsidP="005728DD">
      <w:pPr>
        <w:pStyle w:val="TextoNormal"/>
      </w:pPr>
      <w:r>
        <w:t xml:space="preserve">La recepción de los ordenadores portátiles que iban a ser adquiridos por el Departamento de Ensenyament fue encomendada a la empresa Fujitsu, a la que también fue encargada la instalación de los programas desarrollados por T-Systems, la distribución de las unidades en los distintos centros de votación, el acondicionamiento de un </w:t>
      </w:r>
      <w:r w:rsidRPr="005728DD">
        <w:rPr>
          <w:i/>
        </w:rPr>
        <w:t>call center</w:t>
      </w:r>
      <w:r>
        <w:t xml:space="preserve"> en el propio CTTI para el día de la votación, ciertas tareas de apoyo remoto y presencial y, finalmente, la recogida ulterior de los portátiles una vez finalizada la jornada. También asumió el borrado del contenido de los ordenadores superada la fecha prevista para su utilización.</w:t>
      </w:r>
    </w:p>
    <w:p w:rsidR="005728DD" w:rsidRDefault="005728DD" w:rsidP="005728DD">
      <w:pPr>
        <w:pStyle w:val="TextoNormal"/>
      </w:pPr>
    </w:p>
    <w:p w:rsidR="005728DD" w:rsidRDefault="005728DD" w:rsidP="005728DD">
      <w:pPr>
        <w:pStyle w:val="TextoNormal"/>
      </w:pPr>
      <w:r>
        <w:t>Para hacer posible la votación, el 27 de octubre de 2014 el Departament de Presidencia, encabezado por el acusado don Francesc Homs, y el Institut d’Estadística de Catalunya […] firmaron un convenio de colaboración en el que se autorizaba al departamento de Presidencia para que tuviera acceso al registro de población a los efectos de crear una base de datos temporal cuya cláusula de vigencia (pacto 6) se decía que permanecería en vigor “por el tiempo indispensable para transmitir la información básica y general del proceso de participación descrito que se abre el día 9 de noviembre de 2014 [...]”. En el pacto tercero del convenio se especificaba que los datos se utilizarían “únicamente para transmitir una carta del Muy Honorable Presidente Artur Mas Gavarró a los destinatarios indicados, con información básica del proceso de participación referenciado que se abre el día 9 de noviembre de 2014”. Como destinatarios de la información se señalaba a los “vecinos inscritos en los padrones municipales de habitantes de todos los ayuntamientos de Cataluña que sean mayores de dieciséis años el día 9 de noviembre de 2014”. El fichero temporal fue efectivamente creado y luego cedido a la mercantil Unipost (empresa de mensajería a la que se encargó la distribución de la información), a través de un encargo de tratamiento de datos, previa autorización de subencargo por parte del departamento de Presidencia.</w:t>
      </w:r>
    </w:p>
    <w:p w:rsidR="005728DD" w:rsidRDefault="005728DD" w:rsidP="005728DD">
      <w:pPr>
        <w:pStyle w:val="TextoNormal"/>
      </w:pPr>
    </w:p>
    <w:p w:rsidR="005728DD" w:rsidRDefault="005728DD" w:rsidP="005728DD">
      <w:pPr>
        <w:pStyle w:val="TextoNormal"/>
      </w:pPr>
      <w:r>
        <w:t>Para el urgente envío de la información que hiciera posible la participación ciudadana, el 31 de octubre de 2014 la Entitat Autónoma del Diari Oficial i de Publicacions de la Generalitat remitió a la mercantil Unipost, especializada en servicios de mensajería, una invitación para participar en la licitación para la prestación de los servicios destinados a la ejecución de una “operativa institucional de transmisión de una información de interés ciudadano por imperiosa urgencia”. La información a repartir consistía en una carta con el membrete oficial de la Generalitat en que se exhortaba a los ciudadanos a participar en la consulta del 9 de noviembre siguiente, citando la página web www.participa2014.cat como fuente de información.</w:t>
      </w:r>
    </w:p>
    <w:p w:rsidR="005728DD" w:rsidRDefault="005728DD" w:rsidP="005728DD">
      <w:pPr>
        <w:pStyle w:val="TextoNormal"/>
      </w:pPr>
    </w:p>
    <w:p w:rsidR="005728DD" w:rsidRDefault="005728DD" w:rsidP="005728DD">
      <w:pPr>
        <w:pStyle w:val="TextoNormal"/>
      </w:pPr>
      <w:r>
        <w:lastRenderedPageBreak/>
        <w:t>El departamento de Presidencia cedió a Unipost el fichero temporal de datos que se había creado a efectos de contener los destinatarios de la información a distribuir. El reparto de la correspondencia se inició el día 3 de noviembre de 2014 y siguió en los posteriores hasta completar la efectiva distribución de la correspondencia.</w:t>
      </w:r>
    </w:p>
    <w:p w:rsidR="005728DD" w:rsidRDefault="005728DD" w:rsidP="005728DD">
      <w:pPr>
        <w:pStyle w:val="TextoNormal"/>
      </w:pPr>
    </w:p>
    <w:p w:rsidR="005728DD" w:rsidRDefault="005728DD" w:rsidP="005728DD">
      <w:pPr>
        <w:pStyle w:val="TextoNormal"/>
      </w:pPr>
      <w:r>
        <w:t>El 27 de octubre de 2014 el Departament de Governació solicitó a la compañía aseguradora Axa un suplemento de la póliza de seguro de accidentes que el Departament d’Economia i Coneixement tiene contratada para el personal de la Generalitat de Catalunya. El suplemento se solicitó para los voluntarios del proceso participativo: 1317 personas voluntarias que trabajarían los días 9 y 10 de noviembre, y más de 25 000 voluntarios que trabajarían exclusivamente el día 9 de noviembre. El suplemento fue expedido el día 4 de noviembre.</w:t>
      </w:r>
    </w:p>
    <w:p w:rsidR="005728DD" w:rsidRDefault="005728DD" w:rsidP="005728DD">
      <w:pPr>
        <w:pStyle w:val="TextoNormal"/>
      </w:pPr>
    </w:p>
    <w:p w:rsidR="005728DD" w:rsidRDefault="005728DD" w:rsidP="005728DD">
      <w:pPr>
        <w:pStyle w:val="TextoNormal"/>
      </w:pPr>
      <w:r>
        <w:t>El 31 de octubre de 2014, puestas en marcha las iniciativas que acaban de ser descritas en el marco del llamado proceso de participación ciudadana, el Gobierno de la Nación presentó ante el Tribunal Constitucional una “impugnación de disposiciones autonómicas y, subsidiariamente, un conflicto positivo de competencia” contra “[...]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participa2014.cat/es/index.html, y los restantes actos y actuaciones de preparación, realizados o procedentes, para la celebración de dicha consulta, así como cualquier otra actuación aún no formalizada jurídicamente, vinculada a la referida consulta”.</w:t>
      </w:r>
    </w:p>
    <w:p w:rsidR="005728DD" w:rsidRDefault="005728DD" w:rsidP="005728DD">
      <w:pPr>
        <w:pStyle w:val="TextoNormal"/>
      </w:pPr>
    </w:p>
    <w:p w:rsidR="005728DD" w:rsidRDefault="005728DD" w:rsidP="005728DD">
      <w:pPr>
        <w:pStyle w:val="TextoNormal"/>
      </w:pPr>
      <w:r>
        <w:t>El “Boletín Oficial del Estado” publicó con fecha 5 de noviembre de 2014 la providencia del Tribunal Constitucional dictada el día anterior, mediante la que resolvió admitir a trámite la impugnación, acordando al mismo tiempo la suspensión de los actos impugnados desde el 31 de octubre de 2014 para las partes del proceso y desde su publicación en el “BOE” para los terceros, así como las restantes actuaciones de preparación de dicha consulta o vinculadas a ella.</w:t>
      </w:r>
    </w:p>
    <w:p w:rsidR="005728DD" w:rsidRDefault="005728DD" w:rsidP="005728DD">
      <w:pPr>
        <w:pStyle w:val="TextoNormal"/>
      </w:pPr>
    </w:p>
    <w:p w:rsidR="005728DD" w:rsidRDefault="005728DD" w:rsidP="005728DD">
      <w:pPr>
        <w:pStyle w:val="TextoNormal"/>
      </w:pPr>
      <w:r>
        <w:t>El tenor literal de la providencia de 4 de noviembre de 2014 era el siguiente: “El Pleno, en el asunto de referencia, a propuesta de la Sección Tercera, acuerda:</w:t>
      </w:r>
    </w:p>
    <w:p w:rsidR="005728DD" w:rsidRDefault="005728DD" w:rsidP="005728DD">
      <w:pPr>
        <w:pStyle w:val="TextoNormal"/>
      </w:pPr>
    </w:p>
    <w:p w:rsidR="005728DD" w:rsidRDefault="005728DD" w:rsidP="005728DD">
      <w:pPr>
        <w:pStyle w:val="TextoNormal"/>
      </w:pPr>
      <w:r>
        <w:t>1- Una vez comprobada la concurrencia de las condiciones procesales de admisibilidad, admitir a trámite el escrito presentado por el abogado del Estado en nombre y representación del Gobierno de la Nación, de impugnación de disposiciones autonómicas (Título V LOTC) y, subsidiariamente, de conflicto positivo de competencia, contra las actuaciones de la Generalitat de Cataluña relativas a la convocatoria a los catalanes, las catalanas y las personas residentes en Cataluña para que manifiesten su opinión sobre el futuro político de Cataluña el día 9 de noviembre (y en los días sucesivos en los términos de la convocatoria), mediante un denominado ‘proceso de participación ciudadana’, contenidas en la página web participa2014.cat/es/index.html, y los restantes actos y actuaciones de preparación, realizados o procedentes, para la celebración de dicha consulta, así como cualquier otra actuación aún no formalizada jurídicamente, vinculada a la referida consulta.</w:t>
      </w:r>
    </w:p>
    <w:p w:rsidR="005728DD" w:rsidRDefault="005728DD" w:rsidP="005728DD">
      <w:pPr>
        <w:pStyle w:val="TextoNormal"/>
      </w:pPr>
    </w:p>
    <w:p w:rsidR="005728DD" w:rsidRDefault="005728DD" w:rsidP="005728DD">
      <w:pPr>
        <w:pStyle w:val="TextoNormal"/>
      </w:pPr>
      <w:r>
        <w:lastRenderedPageBreak/>
        <w:t>2. Dar traslado de la demanda y documentos presentados al Gobierno de la Generalitat de Cataluña, por conducto de su presidente, al objeto de que en el plazo de veinte días y, por medio de la representación procesal que determina el artículo 82.2 de la Ley Orgánica del Tribunal Constitucional (LOTC), aporte cuantos documentos y alegaciones considere convenientes.</w:t>
      </w:r>
    </w:p>
    <w:p w:rsidR="005728DD" w:rsidRDefault="005728DD" w:rsidP="005728DD">
      <w:pPr>
        <w:pStyle w:val="TextoNormal"/>
      </w:pPr>
    </w:p>
    <w:p w:rsidR="005728DD" w:rsidRDefault="005728DD" w:rsidP="005728DD">
      <w:pPr>
        <w:pStyle w:val="TextoNormal"/>
      </w:pPr>
      <w:r>
        <w:t>3. Invocado por el Gobierno el artículo 161.2 de la Constitución, con arreglo al cual el Gobierno podrá impugnar ante este Tribunal Constitucional las disposiciones y resoluciones adoptadas por los órganos de las comunidades autónomas, tal impugnación produce la suspensión de las actuaciones impugnadas, debiendo el tribunal ratificar o levantar la suspensión en un plazo no superior a cinco meses (arts. 161.2 CE y 77 LOTC). De conformidad con dicho artículo de la Constitución, acuerda suspender los actos impugnados (desde el 31 de octubre de 2014, fecha de interposición del recurso, para las partes del proceso y desde su publicación en el ‘Boletín Oficial del Estado’ para los terceros), así como las restantes actuaciones de preparación de dicha consulta o vinculadas a ella.</w:t>
      </w:r>
    </w:p>
    <w:p w:rsidR="005728DD" w:rsidRDefault="005728DD" w:rsidP="005728DD">
      <w:pPr>
        <w:pStyle w:val="TextoNormal"/>
      </w:pPr>
    </w:p>
    <w:p w:rsidR="005728DD" w:rsidRDefault="005728DD" w:rsidP="005728DD">
      <w:pPr>
        <w:pStyle w:val="TextoNormal"/>
      </w:pPr>
      <w:r>
        <w:t>4. Comunicar al presidente de la Generalitat de Cataluña la presente providencia.</w:t>
      </w:r>
    </w:p>
    <w:p w:rsidR="005728DD" w:rsidRDefault="005728DD" w:rsidP="005728DD">
      <w:pPr>
        <w:pStyle w:val="TextoNormal"/>
      </w:pPr>
    </w:p>
    <w:p w:rsidR="005728DD" w:rsidRDefault="005728DD" w:rsidP="005728DD">
      <w:pPr>
        <w:pStyle w:val="TextoNormal"/>
      </w:pPr>
      <w:r>
        <w:t>5. Publicar la incoación de la impugnación en el ‘Boletín Oficial del Estado’ y en el ‘Diario Oficial de la Generalitat de Catalunya’.</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La providencia transcrita, en la que junto a la admisión a trámite del recurso promovido por el Gobierno de la Nación se acordaba la suspensión de las actuaciones impugnadas, fue publicada el día 5 de noviembre de 2014 y tuvo entrada en el registro oficial de la Generalitat el día 6 de noviembre. Además de la anotación formal en el registro, el mismo día 4 el presidente del Tribunal Constitucional remitió por correo electrónico comunicación en la que ponía en conocimiento del presidente de la Generalitat, adjuntando el archivo correspondiente, la existencia misma de esa resolución y una carta personal. El mensaje de correo electrónico fue remitido desde Presidencia del Tribunal Constitucional a las 13:19 horas del día 4 de noviembre a la Subdirección General de Cuestiones Constitucionales del Gabinete Jurídico de la Generalitat, del departamento de Presidencia. Desde dicha subdirección general se acusó expresamente la recepción del correo y la documentación adjunta mediante correo electrónico de su titular enviado a las 13:47 horas.</w:t>
      </w:r>
    </w:p>
    <w:p w:rsidR="005728DD" w:rsidRDefault="005728DD" w:rsidP="005728DD">
      <w:pPr>
        <w:pStyle w:val="TextoNormal"/>
      </w:pPr>
    </w:p>
    <w:p w:rsidR="005728DD" w:rsidRDefault="005728DD" w:rsidP="005728DD">
      <w:pPr>
        <w:pStyle w:val="TextoNormal"/>
      </w:pPr>
      <w:r>
        <w:t xml:space="preserve">El proceso de notificación de la citada providencia fue coincidente con la celebración por el Ejecutivo de la Generalitat de una sesión formal de Gobierno el mismo día 4 de noviembre. En esa reunión se acordó formular recurso de súplica contra la providencia, con subsidiaria petición de aclaración. De acuerdo con esa decisión, el servicio jurídico de la Generalitat promovió el correspondiente recurso con la subsidiaria solicitud de aclaración. En el cuerpo argumental de ese recurso la Generalitat solicitaba del Tribunal Constitucional una decisión rápida, pues “[…] si el Tribunal Constitucional no resuelve inmediatamente, tal omisión causará indefensión al haberse dejado pasar la fecha del 9 de noviembre para la que se ha convocado el proceso participativo sin que este haya podido celebrarse” (encabezamiento del punto 6). De forma correlativa, en el </w:t>
      </w:r>
      <w:r w:rsidRPr="005728DD">
        <w:rPr>
          <w:i/>
        </w:rPr>
        <w:t>petitum</w:t>
      </w:r>
      <w:r>
        <w:t xml:space="preserve"> del recurso se solicitaba que se tuviera por formulado recurso de súplica contra la providencia de 4 de noviembre y sea </w:t>
      </w:r>
      <w:r>
        <w:lastRenderedPageBreak/>
        <w:t>dejada sin efecto de modo que “[...] pueda celebrarse el día 9 de noviembre el proceso participativo convocado sobre el futuro político de Cataluña”.</w:t>
      </w:r>
    </w:p>
    <w:p w:rsidR="005728DD" w:rsidRDefault="005728DD" w:rsidP="005728DD">
      <w:pPr>
        <w:pStyle w:val="TextoNormal"/>
      </w:pPr>
    </w:p>
    <w:p w:rsidR="005728DD" w:rsidRDefault="005728DD" w:rsidP="005728DD">
      <w:pPr>
        <w:pStyle w:val="TextoNormal"/>
      </w:pPr>
      <w:r>
        <w:t>El recurso formalizado, carente de efectos suspensivos, fue resuelto y desestimado por el Tribunal Constitucional mediante auto de fecha 2 de diciembre de 2014.</w:t>
      </w:r>
    </w:p>
    <w:p w:rsidR="005728DD" w:rsidRDefault="005728DD" w:rsidP="005728DD">
      <w:pPr>
        <w:pStyle w:val="TextoNormal"/>
      </w:pPr>
    </w:p>
    <w:p w:rsidR="005728DD" w:rsidRDefault="005728DD" w:rsidP="005728DD">
      <w:pPr>
        <w:pStyle w:val="TextoNormal"/>
      </w:pPr>
      <w:r>
        <w:t>En aquellas fechas el acusado don Francesc Homs i Molist formaba parte del Gobierno de la Generalitat, en su condición de consejero de la Presidencia y portavoz. Era el máximo responsable de los servicios jurídicos, así como de la coordinación interdepartamental y encargado de la publicidad institucional. En esa condición, como parte integrante de una estrategia de desatención y rechazo al mandato del Tribunal Constitucional —que había acordado la suspensión de las actuaciones impugnadas por el Gobierno de la Nación—, omitió toda orden que habría permitido paralizar el proceso e impulsó actuaciones que contribuyeron de forma decisiva a su realización. La aportación del acusado fue solo una parte de una acción concertada en la que pudieron tener participación otros responsables gubernamentales no aforados a esta Sala y que, por tanto, no son objeto de enjuiciamiento. Lo cierto es que la orden de suspensión de las actividades asociadas al llamado proceso de participación, emanada del Tribunal Constitucional y activada como consecuencia del efecto legal asociado a la admisión a trámite del recurso promovido por el Gobierno de la Nación, fue contumazmente desoída. Todo ello en el contexto de un acuerdo concertado entre el acusado y otros responsables políticos de la Generalitat dirigido a privar de toda eficacia vinculante a la orden de suspensión contenida en la tantas veces mencionada providencia de 4 de noviembre de 2014.</w:t>
      </w:r>
    </w:p>
    <w:p w:rsidR="005728DD" w:rsidRDefault="005728DD" w:rsidP="005728DD">
      <w:pPr>
        <w:pStyle w:val="TextoNormal"/>
      </w:pPr>
    </w:p>
    <w:p w:rsidR="005728DD" w:rsidRDefault="005728DD" w:rsidP="005728DD">
      <w:pPr>
        <w:pStyle w:val="TextoNormal"/>
      </w:pPr>
      <w:r>
        <w:t>En el específico ámbito de su competencia, el acusado don Francesc Homs i Molist desarrolló actividades solo explicables por su inamovible voluntad de convertir la providencia de suspensión en un enunciado carente de toda fuerza ejecutiva. Era conocedor de la orden de paralización emanada del Tribunal Constitucional, orden que había sido oficialmente notificada en los términos ya expresados en el anterior apartado y que motivó que en una reunión del Consejo de Gobierno de la Generalitat se valorara políticamente su alcance y decidiera la formalización de un recurso de súplica y subsidiaria aclaración. Su condición de jurista le hacía conocedor de su deber de no activar aquello que había sido objeto de prohibición expresa por el Tribunal Constitucional. Pese a todo —a diferencia del acatamiento de la anterior orden de paralización que se contenía en la providencia de fecha 29 de septiembre de 2014, dictada por el mismo tribunal con ocasión de la impugnación por el Gobierno de la convocatoria de consulta popular no referendaria sobre el futuro político de Cataluña—, el acusado puso el espacio competencial que le correspondía como Consejero de la Presidencia y portavoz del Gobierno al servicio del compartido propósito de llevar adelante lo que pasó a denominarse proceso de participación ciudadana.</w:t>
      </w:r>
    </w:p>
    <w:p w:rsidR="005728DD" w:rsidRDefault="005728DD" w:rsidP="005728DD">
      <w:pPr>
        <w:pStyle w:val="TextoNormal"/>
      </w:pPr>
    </w:p>
    <w:p w:rsidR="005728DD" w:rsidRDefault="005728DD" w:rsidP="005728DD">
      <w:pPr>
        <w:pStyle w:val="TextoNormal"/>
      </w:pPr>
      <w:r>
        <w:t>La estrategia a la que se sumó el acusado don Francesc Homs, concertada con otros responsables políticos que no quedan afectados por esta resolución, incluía la adopción de decisiones dirigidas a enmascarar la realidad del proceso, haciendo descansar la iniciativa de esas decisiones en la supuesta espontaneidad de unos voluntarios que actuarían al margen de todo apoyo oficial. El acusado tuvo un papel decisivo en la aportación de los medios materiales y de la infraestructura indispensable para hacer realidad lo que había sido objeto de suspensión expresa por el Tribunal Constitucional.</w:t>
      </w:r>
    </w:p>
    <w:p w:rsidR="005728DD" w:rsidRDefault="005728DD" w:rsidP="005728DD">
      <w:pPr>
        <w:pStyle w:val="TextoNormal"/>
      </w:pPr>
    </w:p>
    <w:p w:rsidR="005728DD" w:rsidRDefault="005728DD" w:rsidP="005728DD">
      <w:pPr>
        <w:pStyle w:val="TextoNormal"/>
      </w:pPr>
      <w:r>
        <w:lastRenderedPageBreak/>
        <w:t>En los días inmediatamente anteriores a la celebración de la consulta, concretamente durante los días 7 y 8 de noviembre, la empresa T-Systems, conforme a lo que le había sido encargado por el CTTI, entregó las aplicaciones informáticas que resultaban indispensables para el desarrollo de la votación. A su vez esas aplicaciones fueron puestas a disposición de otra entidad privada que procedió a su instalación en los ordenadores recién adquiridos para proporcionar cobertura al proceso.</w:t>
      </w:r>
    </w:p>
    <w:p w:rsidR="005728DD" w:rsidRDefault="005728DD" w:rsidP="005728DD">
      <w:pPr>
        <w:pStyle w:val="TextoNormal"/>
      </w:pPr>
    </w:p>
    <w:p w:rsidR="005728DD" w:rsidRDefault="005728DD" w:rsidP="005728DD">
      <w:pPr>
        <w:pStyle w:val="TextoNormal"/>
      </w:pPr>
      <w:r>
        <w:t>Responsables ejecutivos de la empresa T-Systems, una vez conocida por los medios de comunicación la providencia del Tribunal Constitucional que ordenaba la suspensión de las actividades relacionadas con el llamado proceso de participación, se dirigieron formalmente al CTTI, haciendo llegar por carta a su director gerente las dudas suscitadas en la empresa acerca del efecto que esa suspensión podía acarrear en los trabajos contratados. En esa misiva se interesaba una rápida respuesta “[…] en tanto que este es un asunto sensible para nuestra organización, comprometida con el cumplimiento estricto de la legalidad al tiempo que con una excelente prestación de servicios”. El acusado don Francesc Homs, conocidas las dudas de la empresa contratada para prestar apoyo informático, hizo llegar al consejero de Empresa y Empleo (conseller de Empresa i Ocupació) su respuesta, aclarando que “[…] los servicios o las actividades relacionadas por (T-Systems) en su carta de 4 de noviembre no están explícitamente afectados por la providencia dictada por el Tribunal Constitucional el día 4 de noviembre de 2014”. Ese mensaje, del que se dio traslado a la dirección de T-Systems en carta fechada el día 6 de noviembre, se completaba con la puesta a disposición del CTTI de los servicios jurídicos de la Generalitat, con el fin de ejercer ante los tribunales las acciones que pudieran resultar procedentes para el caso en que algunos de los trabajos pactados llegara a ser incumplido. Ese mensaje fue determinante de que la empresa informática decidiera continuar con los trabajos.</w:t>
      </w:r>
    </w:p>
    <w:p w:rsidR="005728DD" w:rsidRDefault="005728DD" w:rsidP="005728DD">
      <w:pPr>
        <w:pStyle w:val="TextoNormal"/>
      </w:pPr>
    </w:p>
    <w:p w:rsidR="005728DD" w:rsidRDefault="005728DD" w:rsidP="005728DD">
      <w:pPr>
        <w:pStyle w:val="TextoNormal"/>
      </w:pPr>
      <w:r>
        <w:t>La tarea asumida por T-Systems —una vez recibida la respuesta oficial del acusado que recordaba las responsabilidades jurídicas contraídas por la empresa— resultó definitiva para el desarrollo de las actividades suspendidas por el Tribunal Constitucional. De hecho, había recibido el encargo de elaborar los tres programas informáticos que harían posible la emisión y el recuento de votos. Dos de ellos fueron instalados en los ordenadores portátiles adquiridos por la Generalitat y que se distribuyeron por las distintas mesas de votación. Su puesta en funcionamiento permitió registrar a los participantes conforme depositaban su papeleta y consignar informáticamente los resultados de cada mesa. El tercer programa tenía como destinatario al CTTI, que se convirtió en el centro de recogida de datos para su posterior escrutinio y tratamiento.</w:t>
      </w:r>
    </w:p>
    <w:p w:rsidR="005728DD" w:rsidRDefault="005728DD" w:rsidP="005728DD">
      <w:pPr>
        <w:pStyle w:val="TextoNormal"/>
      </w:pPr>
    </w:p>
    <w:p w:rsidR="005728DD" w:rsidRDefault="005728DD" w:rsidP="005728DD">
      <w:pPr>
        <w:pStyle w:val="TextoNormal"/>
      </w:pPr>
      <w:r>
        <w:t xml:space="preserve">En los días inmediatamente anteriores al desarrollo de la votación, se desplegó una intensa actividad administrativa, controlada y dirigida por el acusado. Este, con el apoyo de otros responsables políticos ahora no enjuiciados, hizo posible que se impartiera en la sede del CTTI un curso acelerado de formación a aquellos voluntarios que iban a encargarse del recuento de votos. Permitió también que la empresa Fujitsu —a través de otras entidades subcontratadas— instalara en los 7000 ordenadores los tres programas informáticos a los que antes hemos hechos referencia. Adoptó las prevenciones necesarias para que fueran instalados por Fujitsu en el CTTI todos los medios materiales precisos para el recuento y procesamiento de datos. Se habilitó un </w:t>
      </w:r>
      <w:r w:rsidRPr="005728DD">
        <w:rPr>
          <w:i/>
        </w:rPr>
        <w:t>call center</w:t>
      </w:r>
      <w:r>
        <w:t xml:space="preserve"> para comunicar todas las incidencias que fueran produciéndose a lo largo de la jornada. Además de la infraestructura que hizo posible la transferencia de información, la empresa Fujitsu se encargó de instalar —con el apoyo de </w:t>
      </w:r>
      <w:r>
        <w:lastRenderedPageBreak/>
        <w:t>otras empresas informáticas subcontratadas— las computadoras en los distintos centros en los que se habían habilitado mesas de votación, comprobando con carácter previo su plena operatividad.</w:t>
      </w:r>
    </w:p>
    <w:p w:rsidR="005728DD" w:rsidRDefault="005728DD" w:rsidP="005728DD">
      <w:pPr>
        <w:pStyle w:val="TextoNormal"/>
      </w:pPr>
    </w:p>
    <w:p w:rsidR="005728DD" w:rsidRDefault="005728DD" w:rsidP="005728DD">
      <w:pPr>
        <w:pStyle w:val="TextoNormal"/>
      </w:pPr>
      <w:r>
        <w:t>También dentro del ámbito de decisión del acusado, el departamento de Presidencia contrató con la empresa Focus, S.A., —que a su vez subcontrató con Fira de Barcelona— la puesta en marcha del pabellón italiano de Montjuic, que fue habilitado como centro internacional de prensa, lugar desde el que el vicepresidente daría a conocer los resultados. Las obras de montaje se desarrollaron los días 7 y 8. Concluida su misión durante la jornada del día 9, fue desmontado al día siguiente.</w:t>
      </w:r>
    </w:p>
    <w:p w:rsidR="005728DD" w:rsidRDefault="005728DD" w:rsidP="005728DD">
      <w:pPr>
        <w:pStyle w:val="TextoNormal"/>
      </w:pPr>
    </w:p>
    <w:p w:rsidR="005728DD" w:rsidRDefault="005728DD" w:rsidP="005728DD">
      <w:pPr>
        <w:pStyle w:val="TextoNormal"/>
      </w:pPr>
      <w:r>
        <w:t>En el desarrollo de las actividades de contratación indispensables para llevar a efecto las actividades que fueron objeto de suspensión por el Tribunal Constitucional, el acusado don Francesc Homs arbitró los medios necesarios para hacer posible el reparto masivo de la correspondencia oficial necesaria para la efectividad de la consulta. A tal fin la Entitat Autonoma del Diari Oficial i de Publicacions de la Generalitat, integrada en la estructura orgánica de la secretaría del Gobierno del departamento de la Presidencia, adjudicó el contrato a la entidad mercantil Unipost, empresa a la que fueron cedidos previamente los datos contenidos en un fichero temporal de titularidad pública. Ese reparto de publicidad e información institucional se prolongó en días posteriores al 4 de noviembre, con pleno conocimiento por parte del acusado de que estaba infringiendo la suspensión acordada por el Tribunal Constitucional.</w:t>
      </w:r>
    </w:p>
    <w:p w:rsidR="005728DD" w:rsidRDefault="005728DD" w:rsidP="005728DD">
      <w:pPr>
        <w:pStyle w:val="TextoNormal"/>
      </w:pPr>
    </w:p>
    <w:p w:rsidR="005728DD" w:rsidRDefault="005728DD" w:rsidP="005728DD">
      <w:pPr>
        <w:pStyle w:val="TextoNormal"/>
      </w:pPr>
      <w:r>
        <w:t>El departamento de Presidencia adjudicó a la entidad Media Planning Group la campaña publicitaria necesaria para la difusión del proceso. Se trataba de insertar anuncios oficiales en medios de comunicación, internet, pantallas de cine, autobuses y marquesinas. La campaña dio sus primeros pasos en los últimos días del mes de octubre y se prolongó incluso después de la suspensión acordada por el Tribunal Constitucional. Ello fue posible por la pasividad del acusado que, siendo consciente del alcance de la prohibición, omitió toda actuación tendente a acatar la resolución de la que tenía pleno conocimiento.</w:t>
      </w:r>
    </w:p>
    <w:p w:rsidR="005728DD" w:rsidRDefault="005728DD" w:rsidP="005728DD">
      <w:pPr>
        <w:pStyle w:val="TextoNormal"/>
      </w:pPr>
    </w:p>
    <w:p w:rsidR="005728DD" w:rsidRDefault="005728DD" w:rsidP="005728DD">
      <w:pPr>
        <w:pStyle w:val="TextoNormal"/>
      </w:pPr>
      <w:r>
        <w:t>En la misma línea de contumaz rechazo a la providencia del Tribunal Constitucional, el acusado don Francesc Homs remitió una carta al Consell de l’Audivisual de Catalunya en la que, ratificando comunicaciones previas en el mismo sentido cursadas por el secretari de comunicació del Govern, denunciaba la negativa de algunas emisoras nacionales —Onda Cero, Cadena Ser y Cope— a insertar gratuitamente anuncios referidos a la participación en el proceso.</w:t>
      </w:r>
    </w:p>
    <w:p w:rsidR="005728DD" w:rsidRDefault="005728DD" w:rsidP="005728DD">
      <w:pPr>
        <w:pStyle w:val="TextoNormal"/>
      </w:pPr>
    </w:p>
    <w:p w:rsidR="005728DD" w:rsidRDefault="005728DD" w:rsidP="005728DD">
      <w:pPr>
        <w:pStyle w:val="TextoNormal"/>
      </w:pPr>
      <w:r>
        <w:t>La celebración de esa consulta el día 9 de noviembre es un hecho notorio. Su desarrollo fue posible, entre otras razones, por la pertinaz actuación del acusado, que impulsó todo aquello que resultaba necesario para su ejecución y, paralelamente, omitió las actuaciones que le eran exigible y que, de haberlas adoptado, habrían permitido dar cumplimiento a lo proveído por el Tribunal Constitucional. Con fecha 11 de junio fue dictada por el Tribunal Constitucional la sentencia 138/2015. Esta resolución fue el desenlace del proceso de impugnación promovido por el Gobierno de la Nación, en cuyo ámbito se había dictado la tantas veces citada providencia de 4 de noviembre de 2014, cuya imperatividad fue despreciada por el acusado […]».</w:t>
      </w:r>
    </w:p>
    <w:p w:rsidR="005728DD" w:rsidRDefault="005728DD" w:rsidP="005728DD">
      <w:pPr>
        <w:pStyle w:val="TextoNormal"/>
      </w:pPr>
    </w:p>
    <w:p w:rsidR="005728DD" w:rsidRDefault="005728DD" w:rsidP="005728DD">
      <w:pPr>
        <w:pStyle w:val="TextoNormal"/>
      </w:pPr>
      <w:r>
        <w:lastRenderedPageBreak/>
        <w:t>b) La representación procesal del don Francesc Homs i Molist interpuso incidente de aclaración contra la sentencia condenatoria de 22 de marzo, basándose en los siguientes motivos: i) aclaración en orden a determinar si la pena de inhabilitación especial para el cargo electivo en el ámbito estatal era aplicable también al ejercicio de cargo público en el ámbito europeo; ii) aclaración del término “funciones de gobierno” al entender el recurrente que el concepto era genérico y poco conciso; iii) inclusión en el fallo de un pronunciamiento específico en el que se absolviera al señor Homs del delito de prevaricación administrativa del que había sido acusado, y por el que la sentencia de instancia no había condenado.</w:t>
      </w:r>
    </w:p>
    <w:p w:rsidR="005728DD" w:rsidRDefault="005728DD" w:rsidP="005728DD">
      <w:pPr>
        <w:pStyle w:val="TextoNormal"/>
      </w:pPr>
    </w:p>
    <w:p w:rsidR="005728DD" w:rsidRDefault="005728DD" w:rsidP="005728DD">
      <w:pPr>
        <w:pStyle w:val="TextoNormal"/>
      </w:pPr>
      <w:r>
        <w:t>c) Por auto de 6 de abril de 2017, la Sala de lo Penal del Tribunal Supremo declaró no haber lugar a la aclaración solicitada. Dicho auto explicitaba que: i) la pena de inhabilitación especial para cargo electivo impuesta al recurrente incluía la imposibilidad de ejercer las funciones de eurodiputado en el Parlamento Europeo; ii) no era, además, necesario especificar el contenido del concepto “funciones de gobierno” al ser el mismo suficientemente claro y preciso, y iii) tampoco procedía recoger un pronunciamiento absolutorio por el delito de prevaricación administrativa por el que había acusado el Ministerio Fiscal, toda vez que dicho delito se encontraba en un concurso de normas (art. 8.3 CP) con el delito de desobediencia por el que finalmente había sido condenado. En consecuencia, no se estaba ante una absolución del delito de prevaricación administrativa, sino ante un rechazo de la punición conjunta de ambas infracciones.</w:t>
      </w:r>
    </w:p>
    <w:p w:rsidR="005728DD" w:rsidRDefault="005728DD" w:rsidP="005728DD">
      <w:pPr>
        <w:pStyle w:val="TextoNormal"/>
      </w:pPr>
    </w:p>
    <w:p w:rsidR="005728DD" w:rsidRDefault="005728DD" w:rsidP="005728DD">
      <w:pPr>
        <w:pStyle w:val="TextoNormal"/>
      </w:pPr>
      <w:r w:rsidRPr="005728DD">
        <w:rPr>
          <w:rStyle w:val="NumeroAFNegritaCaracter"/>
        </w:rPr>
        <w:t>3</w:t>
      </w:r>
      <w:r>
        <w:t>. El demandante de amparo solicita la nulidad de las dos resoluciones juridiciales objeto del recurso por haber vulnerado los derechos fundamentales a obtener la tutela judicial efectiva reconocidos en el art. 24.1 CE; el derecho a la doble instancia penal reconocido en los arts. 24.2 CE, 6 Convenio europeo de derechos humanos (CEDH), y 14.2 Pacto internacional de derechos civiles y políticos (PIDCP); el derecho a la presunción de inocencia reconocido en los arts. 24.2 CE, 6.2 CEDH, y 14.2 PIDCP; el derecho a la tutela judicial efectiva reconocido en el art 24.1 CE, en relación con el derecho a la igualdad reconocido en los arts. 14 CE, 13 y 14 CEDH, y 14 PIDCP; y el derecho a utilizar los medios de prueba pertinentes para su defensa reconocido en el art. 24 apartados 1 y 2 CE.</w:t>
      </w:r>
    </w:p>
    <w:p w:rsidR="005728DD" w:rsidRDefault="005728DD" w:rsidP="005728DD">
      <w:pPr>
        <w:pStyle w:val="TextoNormal"/>
      </w:pPr>
    </w:p>
    <w:p w:rsidR="005728DD" w:rsidRDefault="005728DD" w:rsidP="005728DD">
      <w:pPr>
        <w:pStyle w:val="TextoNormal"/>
      </w:pPr>
      <w:r>
        <w:t xml:space="preserve">El recurrente realiza un tratamiento unificado de los tres primeros motivos tras afirmar que la acusación formulada obedecía a criterios de oportunismo político. Explicita que, a pesar de manifestar su voluntad de renunciar al aforamiento, fue juzgado en única instancia por el Tribunal Supremo por su condición especial de aforado, privándosele, en consecuencia, de la posibilidad de recurrir el fallo condenatorio ante un órgano superior. En base a ello, y teniendo en cuenta la realidad política del momento, se habría lesionado su derecho a la doble instancia penal reconocido en el art 24.2 CE, art. 6 CEDH, art. 2 del protocolo núm. 7 CEDH, y art. 14.5 PIDCP. El hecho de que la sentencia combatida solo sea susceptible de recurso de amparo provoca, por otra parte, que quien deba ser el segundo grado jurisdiccional es el presunto ofendido por el delito, ya que la resolución supuestamente desobedecida emana, precisamente, de este tribunal, situación que derivaría en una vulneración del principio </w:t>
      </w:r>
      <w:r w:rsidRPr="005728DD">
        <w:rPr>
          <w:i/>
        </w:rPr>
        <w:t>nemo iudex in causa sua</w:t>
      </w:r>
      <w:r>
        <w:t xml:space="preserve"> (con cita de las SSTC 51/1985, 166/1993).</w:t>
      </w:r>
    </w:p>
    <w:p w:rsidR="005728DD" w:rsidRDefault="005728DD" w:rsidP="005728DD">
      <w:pPr>
        <w:pStyle w:val="TextoNormal"/>
      </w:pPr>
    </w:p>
    <w:p w:rsidR="005728DD" w:rsidRDefault="005728DD" w:rsidP="005728DD">
      <w:pPr>
        <w:pStyle w:val="TextoNormal"/>
      </w:pPr>
      <w:r>
        <w:t xml:space="preserve">El demandante de amparo consigna que se ha vulnerado su derecho a la presunción de inocencia ya que de la prueba practicada no puede inferirse la concurrencia del elemento subjetivo del injusto necesario para la apreciación de la correspondiente figura delictual. Así, el recurrente actuó con plena convicción de obrar conforme a derecho, y en obediencia </w:t>
      </w:r>
      <w:r>
        <w:lastRenderedPageBreak/>
        <w:t xml:space="preserve">al mando de su compromiso de gobierno, “no habiendo tomado el ejecutivo ninguna de las medidas a su alcance, ni habiendo acudido a un incidente de ejecución, no recibido él requerimiento personal alguno y, por ende, no siendo destinatario concreto de la providencia, ni habiendo recibido tampoco orden concreta ni expresa” dirigida a suspender la convocatoria de 9 de noviembre de 2014. Señala el recurrente que la finalidad del amparo no es plantear al Tribunal Constitucional una nueva valoración de la prueba, sino determinar si “existió, o no, una clara falta de motivación, y/o razonamiento lógico-deductivo respecto de todas aquellas cuestiones de debate planteadas en el mismo acto del plenario, y si por tanto se lesionaron las garantías constitucionales”. Entiende la demanda que solo la repercusión de lo acaecido el 9 de noviembre de 2014 justifica la acción de persecución de los hechos. Se insiste en que la consulta solo fue suspendida, en la modalidad en que se había convocado, tras el recurso interpuesto por el Gobierno el día 4 de noviembre de 2014 ante el Tribunal Constitucional, y la admisión a trámite por providencia frente a la que se interpuso recurso de súplica el 7 de noviembre, solicitándose aclaración de la providencia en cuestión puesto que no aludía a ninguna orden concreta de hacer u omitir como resultaba preceptivo. Sin haber recibido respuesta, y sin que se produjera ninguna comunicación, requerimiento o acto alguno judicial o administrativo tendente a la suspensión del acto, el Govern siguió cumpliendo con el mandato recibido de dar voz a la ciudadanía, como siguió haciéndolo el señor Francesc Homs i Molist, con la plena convicción de obrar conforme a derecho al no haber recibido orden expresa alguna, directamente dirigida a él, respecto de comportamiento alguno a evitar. Así la sentencia condenatoria habría hecho pivotar el conocimiento del deber de acatar, es decir, el elemento subjetivo del injusto en la existencia de la suspensión previa acordada sobre el Decreto 129/2014 de 27 de septiembre, que fue plenamente acatada y en el contenido del recurso de súplica interpuesto por los servicios jurídicos de la Generalitat en fecha 7 de noviembre de 2014 contra la providencia de este Alto Tribunal de fecha 4 de noviembre de 2014. A juicio del recurrente en amparo, esto sería insuficiente, ya que la utilización de un acatamiento previo de una resolución evidentemente concreta (suspensión de un articulado concreto, basado en preceptos legales distintos y dimanante de un recurso de inconstitucionalidad distinto) y de la utilización de unos medios retóricos por parte de los servicios jurídicos de la Generalitat en su recurso de súplica no pueden conducir solo y </w:t>
      </w:r>
      <w:r w:rsidRPr="005728DD">
        <w:rPr>
          <w:i/>
        </w:rPr>
        <w:t>per se</w:t>
      </w:r>
      <w:r>
        <w:t xml:space="preserve"> a la lógica convicción de un indudable actuar doloso por parte del recurrente. Considera, en definitiva, que no concurren los elementos del tipo finalmente aplicado dada la inexistencia de una orden expresa, concreta, y terminante, y la no realización de un apercibimiento de las consecuencias derivadas del incumplimiento.</w:t>
      </w:r>
    </w:p>
    <w:p w:rsidR="005728DD" w:rsidRDefault="005728DD" w:rsidP="005728DD">
      <w:pPr>
        <w:pStyle w:val="TextoNormal"/>
      </w:pPr>
    </w:p>
    <w:p w:rsidR="005728DD" w:rsidRDefault="005728DD" w:rsidP="005728DD">
      <w:pPr>
        <w:pStyle w:val="TextoNormal"/>
      </w:pPr>
      <w:r>
        <w:t>También se afirma que ante iguales situaciones de incumplimiento verificadas por el Gobierno español no se ha procedido, ni siquiera, a incoar procedimiento penal. Por ello, la sentencia vulneraría, además, el principio de igualdad (art. 14 CE) y el derecho a la tutela judicial efectiva (art. 24.1 CE) toda vez que ante situaciones iguales de incumplimiento de resoluciones de este tribunal no se habrían activado los mecanismos penales que si han sido activados en este caso. En el desarrollo de este motivo, el demandante de amparo esgrime implícitamente —aunque no exista enunciación formal— la posible vulneración del principio de legalidad al sostener que la conducta enjuiciada no reúne los elementos del tipo del art. 410 CP tal y como tradicionalmente han sido acogidos por la jurisprudencia de la Sala de lo Penal del Tribunal Supremo. Se remite, a estos efectos, al acuerdo alcanzado el 17 de noviembre de 2014 por la junta de fiscales del Tribunal Superior de Justicia de la Comunidad Autónoma de Cataluña, donde se consideró discutible la concurrencia de dichos elementos objetivos y subjetivos.</w:t>
      </w:r>
    </w:p>
    <w:p w:rsidR="005728DD" w:rsidRDefault="005728DD" w:rsidP="005728DD">
      <w:pPr>
        <w:pStyle w:val="TextoNormal"/>
      </w:pPr>
    </w:p>
    <w:p w:rsidR="005728DD" w:rsidRDefault="005728DD" w:rsidP="005728DD">
      <w:pPr>
        <w:pStyle w:val="TextoNormal"/>
      </w:pPr>
      <w:r>
        <w:t>Concluye denunciando la inadmisión no motivada de una amplia actividad probatoria de descargo que era pertinente y que fue propuesta en el escrito de conclusiones provisionales. Así, el demandante de amparo propuso un abundante material probatorio —declaraciones testificales del Excmo. Sr. don Mariano Rajoy Brey, presidente del Gobierno, Excmo. Sr. don Rafael Catalá Polo, ministro de Justicia, Excmo. Sr. don Eduardo Torres Dulce Lifante, fiscal general del Estado, y del Excmo. Sr. don Francisco Pérez de los Cobos Orihuel, presidente del Tribunal Constitucional—, siendo este inadmitido por el tribunal sentenciador de una manera insuficientemente motivada. Las testificales planteadas eran trascendentes para la resolución del objeto de litigio y fueron propuestas en el momento procesal oportuno.</w:t>
      </w:r>
    </w:p>
    <w:p w:rsidR="005728DD" w:rsidRDefault="005728DD" w:rsidP="005728DD">
      <w:pPr>
        <w:pStyle w:val="TextoNormal"/>
      </w:pPr>
    </w:p>
    <w:p w:rsidR="005728DD" w:rsidRDefault="005728DD" w:rsidP="005728DD">
      <w:pPr>
        <w:pStyle w:val="TextoNormal"/>
      </w:pPr>
      <w:r>
        <w:t>El recurrente considera que la especial trascendencia constitucional de la demanda radicaría en la no existencia de doctrina constitucional consolidada sobre las cuestiones planteadas, así como la constatación de un conflicto de trascendencia excepcional por la discusión jurídica debatida y la repercusión del pronunciamiento sobre aspectos de relevancia social evidentes. Ello porque “viene relacionado con el interés constatado por el pueblo de Catalunya de poder ejercer su fundamental derecho a la libertad de expresión y de participación política y, en concreto, respecto a su futuro como Comunidad Autónoma, lo que se ha venido plasmado en las diferentes decisiones tomadas por el Parlament de Catalunya […] constituido a través de la votación democrática de los catalanes y las catalanas, alguna de las cuales han sido declaradas inconstitucionales por este Alto Tribunal al que nos dirigimos”. De una manera implícita, el recurrente también se refiere a las particulares circunstancias de la invocación del derecho a la doble instancia penal, que genera una situación inédita: si bien, en teoría, el Tribunal Constitucional podría valorar la vulneración del derecho a la presunción de inocencia, asumiendo la competencia de segundo grado procesal, ello resulta imposible en este caso, puesto que es el propio Tribunal Constitucional el ofendido por la supuesta desobediencia a una providencia dictada por él mismo. También alega como causa de especial trascendencia constitucional el incumplimiento general y reiterado de la doctrina constitucional, al dictarse resoluciones judiciales que vulneraron las garantías constitucionales y los derechos fundamentales del demandante de amparo.</w:t>
      </w:r>
    </w:p>
    <w:p w:rsidR="005728DD" w:rsidRDefault="005728DD" w:rsidP="005728DD">
      <w:pPr>
        <w:pStyle w:val="TextoNormal"/>
      </w:pPr>
    </w:p>
    <w:p w:rsidR="005728DD" w:rsidRDefault="005728DD" w:rsidP="005728DD">
      <w:pPr>
        <w:pStyle w:val="TextoNormal"/>
      </w:pPr>
      <w:r w:rsidRPr="005728DD">
        <w:rPr>
          <w:rStyle w:val="NumeroAFNegritaCaracter"/>
        </w:rPr>
        <w:t>4</w:t>
      </w:r>
      <w:r>
        <w:t>. A propuesta de la Sala Primera, el Pleno del Tribunal Constitucional acordó, en reunión celebrada el 18 de septiembre de 2018, y conforme establece el art. 10.1 n) LOTC, recabar para sí el conocimiento del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El Pleno de este tribunal, por providencia de 2 de octubre de 2018, acordó admitir a trámite la demanda de amparo tras apreciar que ofrece especial trascendencia constitucional (art. 50.1 LOTC), porque el recurso plantea un problema o afecta a una faceta de un derecho fundamental sobre el que no hay doctrina de este tribunal (STC 155/2009, FJ 2 a)]. Por ello, en aplicación de lo dispuesto en el art. 51 LOTC, se acordó dirigir atenta comunicación a la Sala de lo Penal del Tribunal Supremo, a fin de que remitiera certificación o fotocopia adverada de las actuaciones, y se emplazó a quienes hubieran sido parte en el procedimiento, a excepción del recurrente, para que pudiesen comparecer en el plazo de diez días en el presente proceso de amparo.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La secretaría de justicia del Pleno de este tribunal, por diligencia de 29 de octubre de 2018, acordó dar vista de las actuaciones recibidas a las partes personadas, y al Ministerio </w:t>
      </w:r>
      <w:r>
        <w:lastRenderedPageBreak/>
        <w:t>Fiscal, para que pudiesen presentar las alegaciones que a su derecho convenga, por un plazo de veinte días, de conformidad con el art. 52 LOTC.</w:t>
      </w:r>
    </w:p>
    <w:p w:rsidR="005728DD" w:rsidRDefault="005728DD" w:rsidP="005728DD">
      <w:pPr>
        <w:pStyle w:val="TextoNormal"/>
      </w:pPr>
    </w:p>
    <w:p w:rsidR="005728DD" w:rsidRDefault="005728DD" w:rsidP="005728DD">
      <w:pPr>
        <w:pStyle w:val="TextoNormal"/>
      </w:pPr>
      <w:r w:rsidRPr="005728DD">
        <w:rPr>
          <w:rStyle w:val="NumeroAFNegritaCaracter"/>
        </w:rPr>
        <w:t>7</w:t>
      </w:r>
      <w:r>
        <w:t>. El recurrente, mediante escrito registrado el 7 de diciembre de 2018, se ratificó en todas las alegaciones contenidas en su demanda.</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en escrito registrado el 10 de diciembre de 2018, interesó que se inadmitiera el recurso por falta de agotamiento de la vía judicial previa respecto de algunas de las pretensiones y, que se desestimasen las demás o, en caso de no apreciarse el óbice procesal, que se desestimaran la totalidad de las pretensiones de fondo.</w:t>
      </w:r>
    </w:p>
    <w:p w:rsidR="005728DD" w:rsidRDefault="005728DD" w:rsidP="005728DD">
      <w:pPr>
        <w:pStyle w:val="TextoNormal"/>
      </w:pPr>
    </w:p>
    <w:p w:rsidR="005728DD" w:rsidRDefault="005728DD" w:rsidP="005728DD">
      <w:pPr>
        <w:pStyle w:val="TextoNormal"/>
      </w:pPr>
      <w:r>
        <w:t>a) Por lo que hace al defecto procesal de la falta de agotamiento de la vía judicial previa [art. 44.1 a), en relación con el art 50.1 a) LOTC], sostiene el fiscal, sería imputable a las quejas relativas a la vulneración del derecho a la presunción de inocencia, vulneración del derecho a la segunda instancia penal (a la que sería también aplicable una falta de invocación temprana), y vulneración del derecho a la tutela judicial efectiva, al no haber procedido el recurrente a interponer incidente de nulidad de actuaciones frente a la sentencia condenatoria dictada por el Tribunal Supremo. Por el contrario, sí considera correctamente agotada la vía judicial en la queja referente a la vulneración del derecho a utilizar los medios de prueba pertinentes para la defensa. El trato diferenciado respecto a esta última queja obedece a que, en este caso, la lesión ya había sido objeto de denuncia durante la tramitación del procedimiento, habiendo sido inadmitida la prueba en el auto de 6 de febrero de 2017 —que resolvía sobre la admisión de pruebas propuestas por las partes— y confirmada esta decisión en la sentencia de 22 de marzo de 2017 (FJ 1). Por lo tanto, se habría respetado la subsidiariedad del recurso de amparo.</w:t>
      </w:r>
    </w:p>
    <w:p w:rsidR="005728DD" w:rsidRDefault="005728DD" w:rsidP="005728DD">
      <w:pPr>
        <w:pStyle w:val="TextoNormal"/>
      </w:pPr>
    </w:p>
    <w:p w:rsidR="005728DD" w:rsidRDefault="005728DD" w:rsidP="005728DD">
      <w:pPr>
        <w:pStyle w:val="TextoNormal"/>
      </w:pPr>
      <w:r>
        <w:t>b) En lo relativo a la alegada lesión del derecho a la doble instancia penal (art. 24.2 CE), el Ministerio Fiscal puntualiza que el recurrente tenía la condición de aforado para su enjuiciamiento por disposición de los arts. 71.3 CE y 57.2 LOPJ. Siendo aforado, la inexistencia de un recurso contra la sentencia dictada en primera instancia se justificaría en que la misma habría sido emitida por el órgano jurisdiccional superior en todo el territorio nacional, lo que resulta acorde, no solo con la jurisprudencia de este tribunal, sino también por la previsión del art. 2 del protocolo núm. 7 CEDH.</w:t>
      </w:r>
    </w:p>
    <w:p w:rsidR="005728DD" w:rsidRDefault="005728DD" w:rsidP="005728DD">
      <w:pPr>
        <w:pStyle w:val="TextoNormal"/>
      </w:pPr>
    </w:p>
    <w:p w:rsidR="005728DD" w:rsidRDefault="005728DD" w:rsidP="005728DD">
      <w:pPr>
        <w:pStyle w:val="TextoNormal"/>
      </w:pPr>
      <w:r>
        <w:t>c) Respecto de la lesión del derecho a utilizar los medios de prueba pertinentes para su defensa (art. 24.1 y 24.2 CE), el fiscal considera que la respuesta dada por el Tribunal Supremo a las peticiones de prueba —testificales y documental— de la representación procesal del señor Homs se encontraban plenamente motivadas, lo que permitía encuadrar la denegación dentro de los márgenes valorativos que corresponden al órgano enjuiciador.</w:t>
      </w:r>
    </w:p>
    <w:p w:rsidR="005728DD" w:rsidRDefault="005728DD" w:rsidP="005728DD">
      <w:pPr>
        <w:pStyle w:val="TextoNormal"/>
      </w:pPr>
    </w:p>
    <w:p w:rsidR="005728DD" w:rsidRDefault="005728DD" w:rsidP="005728DD">
      <w:pPr>
        <w:pStyle w:val="TextoNormal"/>
      </w:pPr>
      <w:r>
        <w:t xml:space="preserve">d) En lo concerniente a la vulneración del derecho a la tutela judicial efectiva, a la igualdad, y a la presunción de inocencia, el fiscal se opone a los argumentos dados por el demandante de amparo en base a las siguientes consideraciones: i) el recurrente no ha cumplido la carga de aportar un término de comparación valido que permita al Tribunal Constitucional valorar si se ha producido una vulneración del principio de igualdad. Las sentencias referenciadas en la demanda se refieren a supuestos que presentan importantes diferencias con el sometido a este tribunal; ii) la sentencia combatida establece de una manera explícita los elementos a partir de los cuales se obtiene la convicción de la participación y culpabilidad </w:t>
      </w:r>
      <w:r>
        <w:lastRenderedPageBreak/>
        <w:t>del recurrente; iii) la resolución impugnada razona detalladamente la concurrencia de los elementos objetivos del tipo de desobediencia (art. 410.1 CP), y iv) la sentencia desgrana las circunstancias anteriores, coetáneas, y posteriores a los hechos que justifican la concurrencia del elemento subjetivo del injusto en la persona del recurrente, es decir, su negativa contumaz y abierta a acatar el contenido de la resolución del Tribunal Constitucional.</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11 de mayo de 2021, se señaló para la deliberación y votación de la presente sentencia el día 13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El objeto del presente recurso de amparo consiste en determinar si las resoluciones impugnadas, que han condenado al demandante de amparo como autor responsable de un delito de desobediencia (art. 410 CP) a la pena de cinco meses de multa, con una cuota diaria de doscientos euros, e inhabilitación especial para el ejercicio de cargos públicos electivos, ya sean de ámbito estatal, autonómico o local, así como para el ejercicio de funciones de gobierno en el ámbito estatal, autonómico, y local, por un año y un mes, han vulnerado su derecho a la segunda instancia penal (art. 24.2 CE), a la presunción de inocencia (art. 24.2 CE), a la tutela judicial efectiva (art. 24.1 CE), a la igualdad (art. 14 CE), y a utilizar los medios de prueba pertinentes para su defensa (arts. 24.1 y 24.2 CE).</w:t>
      </w:r>
    </w:p>
    <w:p w:rsidR="005728DD" w:rsidRDefault="005728DD" w:rsidP="005728DD">
      <w:pPr>
        <w:pStyle w:val="TextoNormal"/>
      </w:pPr>
    </w:p>
    <w:p w:rsidR="005728DD" w:rsidRDefault="005728DD" w:rsidP="005728DD">
      <w:pPr>
        <w:pStyle w:val="TextoNormal"/>
      </w:pPr>
      <w:r>
        <w:t>El recurrente considera: i) que, a pesar de manifestar su voluntad de renunciar al aforamiento, fue juzgado en única instancia por el Tribunal Supremo por su condición especial de aforado, por lo que se habría lesionado su derecho a la doble instancia penal reconocido en los arts. 24.2 CE, 6 CEDH, 2 del protocolo núm. 7 CEDH, y 14.5 PIDCP; ii) que se ha vulnerado su derecho a la presunción de inocencia, ya que de la prueba practicada no puede inferirse la concurrencia del elemento subjetivo del injusto necesario para la apreciación de la correspondiente figura delictual; iii) que la sentencia vulnera el principio de igualdad (art. 14 CE) y el derecho a la tutela judicial efectiva (art. 24.1 CE), toda vez que, ante situaciones iguales de incumplimiento de resoluciones de este tribunal, no se habrían activado los mecanismos penales que si han sido activados en este caso. En el desarrollo de este motivo, el demandante de amparo esgrime implícitamente —aunque no exista enunciación formal— la posible vulneración del principio de legalidad al sostener que la conducta enjuiciada no reúne los elementos del tipo del art. 410 CP tal y como tradicionalmente han sido acogidos por la jurisprudencia de la Sala de lo Penal del Tribunal Supremo, y iv) que se habría vulnerado su derecho a utilizar los medios de prueba pertinentes para su defensa, al denegarse inmotivadamente pruebas testificales propuestas y determinantes para desarrollar la estrategia de defensa.</w:t>
      </w:r>
    </w:p>
    <w:p w:rsidR="005728DD" w:rsidRDefault="005728DD" w:rsidP="005728DD">
      <w:pPr>
        <w:pStyle w:val="TextoNormal"/>
      </w:pPr>
    </w:p>
    <w:p w:rsidR="005728DD" w:rsidRDefault="005728DD" w:rsidP="005728DD">
      <w:pPr>
        <w:pStyle w:val="TextoNormal"/>
      </w:pPr>
      <w:r>
        <w:t>El Ministerio Fiscal solicita la inadmisión del recurso por concurrir el óbice procesal de falta de agotamiento de la vía judicial previa [art. 44.1 a) en relación con el art. 50.1 a) LOTC] respecto a tres de los motivos alegados. Subsidiariamente solicita la desestimación de todos los motivos de la demanda de amparo.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para la admisibilidad</w:t>
      </w:r>
      <w:r>
        <w:t>.</w:t>
      </w:r>
    </w:p>
    <w:p w:rsidR="005728DD" w:rsidRDefault="005728DD" w:rsidP="005728DD">
      <w:pPr>
        <w:pStyle w:val="TextoNormal"/>
      </w:pPr>
    </w:p>
    <w:p w:rsidR="005728DD" w:rsidRDefault="005728DD" w:rsidP="005728DD">
      <w:pPr>
        <w:pStyle w:val="TextoNormal"/>
      </w:pPr>
      <w:r>
        <w:t>a) Con carácter previo al examen de fondo de las pretensiones de la demanda de amparo debemos pronunciarnos sobre la concurrencia de los requisitos para su admisibilidad establecidos en la Ley Orgánica de este tribunal, pues, como hemos declarado en otras ocasiones (STC 154/2016, de 22 de septiembre, FJ 2) los defectos insubsanables de que pudiera estar afectado el recurso de amparo no resultan subsanados porque haya sido inicialmente admitido a trámite (por todas, también,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de la Ley Orgánica del Tribunal Constitucional (por todas, STC 69/2004, de 19 de abril, FJ 3; o SSTC 89/2011, de 6 de junio, FJ 2, y 174/2011 de 7 de noviembre, FJ 2).</w:t>
      </w:r>
    </w:p>
    <w:p w:rsidR="005728DD" w:rsidRDefault="005728DD" w:rsidP="005728DD">
      <w:pPr>
        <w:pStyle w:val="TextoNormal"/>
      </w:pPr>
    </w:p>
    <w:p w:rsidR="005728DD" w:rsidRDefault="005728DD" w:rsidP="005728DD">
      <w:pPr>
        <w:pStyle w:val="TextoNormal"/>
      </w:pPr>
      <w:r>
        <w:t>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antes de acudir ante este tribunal solicitando la protección de los derechos fundamentales pretendidamente vulnerados. Asimismo, se exige que se haya puesto de manifiesto “denunciado formalmente” la lesión del derecho fundamental en el proceso, si hubo oportunidad, tan pronto como esta hubiera sido conocida por la parte [art. 44.1 c) LOTC], contribuyendo también con ello a la efectividad del carácter subsidiario del amparo constitucional.</w:t>
      </w:r>
    </w:p>
    <w:p w:rsidR="005728DD" w:rsidRDefault="005728DD" w:rsidP="005728DD">
      <w:pPr>
        <w:pStyle w:val="TextoNormal"/>
      </w:pPr>
    </w:p>
    <w:p w:rsidR="005728DD" w:rsidRDefault="005728DD" w:rsidP="005728DD">
      <w:pPr>
        <w:pStyle w:val="TextoNormal"/>
      </w:pPr>
      <w:r>
        <w:t>b) En relación a ello, y como ha quedado reseñado, el Ministerio Fiscal aduce que el recurso incurre, respecto a las quejas relativas a la vulneración del derecho a la segunda instancia penal (art. 24.2 CE), a la tutela judicial efectiva (art 24.1 CE) en relación con el derecho a la igualdad (art. 14 CE), y a la vulneración del derecho a la presunción de inocencia (art. 24.2 CE), en el óbice procesal de falta de agotamiento de la vía judicial previa [art. 44.1 a) LOTC] al no haber acudido la parte recurrente al incidente de nulidad de actuaciones del art. 241 LOPJ frente a la sentencia dictada por el Tribunal Supremo en fecha 22 de marzo de 2017. Aduce además el Ministerio Fiscal, con cita de jurisprudencia de este tribunal, que la utilización del instrumento procesal de la aclaración de sentencia (art. 267 LOPJ) no constituye un auténtico mecanismo de impugnación que pueda servir como medio para agotar la vía judicial cuando, como es el caso, se denuncia la irrazonabilidad de los argumentos de la sentencia.</w:t>
      </w:r>
    </w:p>
    <w:p w:rsidR="005728DD" w:rsidRDefault="005728DD" w:rsidP="005728DD">
      <w:pPr>
        <w:pStyle w:val="TextoNormal"/>
      </w:pPr>
    </w:p>
    <w:p w:rsidR="005728DD" w:rsidRDefault="005728DD" w:rsidP="005728DD">
      <w:pPr>
        <w:pStyle w:val="TextoNormal"/>
      </w:pPr>
      <w:r>
        <w:t>c) Hemos declarado reiteradamente que 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en el ámbito de aplicación reseñado, su función en materia de tutela de derechos es la misma que puede desempeñar un recurso ordinario, cuando es posible interponerlo (STC 153/2012, de 16 de julio, FJ 3).</w:t>
      </w:r>
    </w:p>
    <w:p w:rsidR="005728DD" w:rsidRDefault="005728DD" w:rsidP="005728DD">
      <w:pPr>
        <w:pStyle w:val="TextoNormal"/>
      </w:pPr>
    </w:p>
    <w:p w:rsidR="005728DD" w:rsidRDefault="005728DD" w:rsidP="005728DD">
      <w:pPr>
        <w:pStyle w:val="TextoNormal"/>
      </w:pPr>
      <w:r>
        <w:lastRenderedPageBreak/>
        <w:t>De acuerdo con la jurisprudencia del tribunal, en estos supuestos, para agotar la vía judicial, es necesario interponer incidente de nulidad de actuaciones ante el órgano judicial que dictó la resolución que se estima lesiva de derechos fundamentales. En definitiva, y como ya hemos consignado en diferentes ocasiones, el incidente de nulidad de actuaciones, a partir de la reforma introducida en el art. 241 de la Ley Orgánica del Poder Judicial (LOPJ) por la Ley Orgánica 6/2007, de 24 de mayo, es el instrumento idóneo para obtener ante la jurisdicción ordinaria la reparación de aquellas vulneraciones de los derechos fundamentales referidos en el art. 53.2 CE, que se entiendan cometidas en resolución judicial frente a la que la ley procesal no permita ningún recurso (ATC 73/2015, de 21 de abril, FJ 2). Así, este precepto exige para la admisibilidad del incidente que la vulneración de que se trate no haya podido denunciarse antes de recaer resolución que ponga fin al proceso y que dicha resolución no sea susceptible de recurso ordinario ni extraordinario. En consecuencia, no será necesario que el recurrente reitere una queja a través de un incidente de nulidad que, por referirse a una vulneración ya denunciada con anterioridad, deviene manifiestamente improcedente a tenor del indicado precepto.</w:t>
      </w:r>
    </w:p>
    <w:p w:rsidR="005728DD" w:rsidRDefault="005728DD" w:rsidP="005728DD">
      <w:pPr>
        <w:pStyle w:val="TextoNormal"/>
      </w:pPr>
    </w:p>
    <w:p w:rsidR="005728DD" w:rsidRDefault="005728DD" w:rsidP="005728DD">
      <w:pPr>
        <w:pStyle w:val="TextoNormal"/>
      </w:pPr>
      <w:r>
        <w:t xml:space="preserve">De lo expuesto resulta que la determinación en cada caso del remedio legalmente posible y, por tanto, exigible a los efectos del debido agotamiento de la vía judicial previa dependerá de la concreta vulneración que el recurrente denuncie en amparo y a que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5728DD">
        <w:rPr>
          <w:i/>
        </w:rPr>
        <w:t>causa petendi</w:t>
      </w:r>
      <w:r>
        <w:t xml:space="preserve"> (SSTC 235/1994, de 20 de julio, FJ 1; 26/1995, de 6 de febrero. FJ 3; 124/1999. de 28 de junio, FJ 1; 205/1999, de 8 de noviembre, FJ 4, y 224/2007, de 22 de octubre, FJ 2) sin que sean viables las alteraciones introducidas con ulteriores alegaciones (SSTC 109/1997, de 2 de junio, FJ 1, y 39/1999, de 22 de marzo, FJ 2), dirigidas a completar y. en su caso, reforzar la fundamentación del recurso, mas no a ampliarlo o variarlo sustancialmente (STC 85/1999, de 10 de mayo, FJ 2).</w:t>
      </w:r>
    </w:p>
    <w:p w:rsidR="005728DD" w:rsidRDefault="005728DD" w:rsidP="005728DD">
      <w:pPr>
        <w:pStyle w:val="TextoNormal"/>
      </w:pPr>
    </w:p>
    <w:p w:rsidR="005728DD" w:rsidRDefault="005728DD" w:rsidP="005728DD">
      <w:pPr>
        <w:pStyle w:val="TextoNormal"/>
      </w:pPr>
      <w:r>
        <w:t>d) En relación con el incidente de aclaración, también hemos afirmado que no puede utilizarse como remedio de la fundamentación jurídica,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(por todas, SSTC 218/1999, de 29 de noviembre, FJ 3; 305/2006, de 23 de octubre, FJ 5, y 19/2008, de 31 de enero, FJ 2). Esto es, el cauce excepcional de la aclaración que arbitra el art. 267 LOPJ debe limitarse a la función específica reparadora para la que se encuentra establecido, toda vez que el órgano judicial, al explicar el sentido de sus palabras o adicionar lo que faltase, o al rectificar un error material, debe moverse en el marco interpretativo de lo anteriormente manifestado o razonado, sin realizar una nueva apreciación de valoración o interpretación en Derecho, en cuyo caso, de llevarla a efecto, se produciría un desbordamiento de los límites de ese mecanismo que no permite un juicio valorativo, ni operaciones de calificación jurídica o nuevas y distintas apreciaciones de la prueba, ni supone resolver cuestiones discutibles u opinables (por todas, STC 31/2004, de 4 de marzo, FJ 6).</w:t>
      </w:r>
    </w:p>
    <w:p w:rsidR="005728DD" w:rsidRDefault="005728DD" w:rsidP="005728DD">
      <w:pPr>
        <w:pStyle w:val="TextoNormal"/>
      </w:pPr>
    </w:p>
    <w:p w:rsidR="005728DD" w:rsidRDefault="005728DD" w:rsidP="005728DD">
      <w:pPr>
        <w:pStyle w:val="TextoNormal"/>
      </w:pPr>
      <w:r>
        <w:lastRenderedPageBreak/>
        <w:t>e) Aplicando esta doctrina al caso presente, procede, respecto de las quejas relativas a la vulneración del derecho a la presunción de inocencia (art 24.2 CE), legalidad penal (art. 25 CE), segunda instancia (art. 24.2 CE), y tutela judicial efectiva (art. 24.1 CE) en relación con el derecho a la igualdad (art. 14 CE) apreciar el óbice procesal de falta de agotamiento propuesto por el Ministerio Fiscal.</w:t>
      </w:r>
    </w:p>
    <w:p w:rsidR="005728DD" w:rsidRDefault="005728DD" w:rsidP="005728DD">
      <w:pPr>
        <w:pStyle w:val="TextoNormal"/>
      </w:pPr>
    </w:p>
    <w:p w:rsidR="005728DD" w:rsidRDefault="005728DD" w:rsidP="005728DD">
      <w:pPr>
        <w:pStyle w:val="TextoNormal"/>
      </w:pPr>
      <w:r>
        <w:t>Como ya hemos consignado anteriormente, “el requisito de agotar todos los recursos utilizables en la vía judicial ordinaria que establece el art. 44.1 a) LOTC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FJ 5; 60/2005, de 14 de marzo, FJ 2; 288/2005, de 7 de noviembre, FJ 1; 313/2005, de 12 de diciembre, FJ 2, y 85/2006, de 27 de marzo, FJ 2)” (STC 144/2007, de 18 de junio, FJ 2).</w:t>
      </w:r>
    </w:p>
    <w:p w:rsidR="005728DD" w:rsidRDefault="005728DD" w:rsidP="005728DD">
      <w:pPr>
        <w:pStyle w:val="TextoNormal"/>
      </w:pPr>
    </w:p>
    <w:p w:rsidR="005728DD" w:rsidRDefault="005728DD" w:rsidP="005728DD">
      <w:pPr>
        <w:pStyle w:val="TextoNormal"/>
      </w:pPr>
      <w:r>
        <w:t>Pues bien, en el caso presente el demandante, considerando que la sentencia del Tribunal Supremo de 22 de marzo de 2017 adolecía de conceptos indeterminados, promovió una “solicitud de aclaración” en donde ponía de manifiesto la necesidad de: i) especificar si la pena de inhabilitación especial para el cargo electivo en el ámbito estatal era aplicable también al ejercicio de cargo público en el ámbito europeo, ii) aclarar el término “funciones de gobierno” al entender el recurrente que el concepto era genérico y poco conciso, iii) incluir en el fallo de un pronunciamiento especifico en el que se absolviera al señor Homs del delito de prevaricación administrativa del que había sido acusado, y por el que la sentencia de instancia no había condenado. Tal solicitud fue rechazada por auto de fecha 6 de abril de 2017 donde se daba una adecuada respuesta a las pretensiones formuladas por el recurrente. Consecuentemente, del propio contenido del escrito de aclaración, y de la respuesta dada por el Tribunal Supremo, podemos concluir que la procedencia del incidente era clara ya que no se pretendía, en modo alguno, rebatir los argumentos dados por la sentencia de instancia sino, al contrario, se denunciaba la existencia de conceptos oscuros, errores materiales, u omisiones.</w:t>
      </w:r>
    </w:p>
    <w:p w:rsidR="005728DD" w:rsidRDefault="005728DD" w:rsidP="005728DD">
      <w:pPr>
        <w:pStyle w:val="TextoNormal"/>
      </w:pPr>
    </w:p>
    <w:p w:rsidR="005728DD" w:rsidRDefault="005728DD" w:rsidP="005728DD">
      <w:pPr>
        <w:pStyle w:val="TextoNormal"/>
      </w:pPr>
      <w:r>
        <w:t xml:space="preserve">Por lo tanto, el incidente de aclaración interpuesto no constituía un medio de impugnación apto para agotar la vía judicial. A esta conclusión se llega no solamente porque los argumentos enarbolados en el mismo distaban mucho de las lesiones posteriormente alegadas ante este tribunal, sino porque, además, y como ya hemos señalado, el incidente de aclaración no puede ser conceptualizado como una vía apta para denunciar el desacuerdo con la fundamentación jurídica y fáctica contenida en la sentencia. En definitiva, el demandante de amparo debería haber acudido al incidente de nulidad de actuaciones del art. 241.1 LOPJ para agotar en debida forma la vía judicial previa, puesto que era el remedio procesal </w:t>
      </w:r>
      <w:r>
        <w:lastRenderedPageBreak/>
        <w:t>adecuado para reparar la lesión del derecho fundamental invocado en la demanda de amparo. Al no haberlo hecho así, el demandante de amparo no ha dado debido cumplimiento al requisito del agotamiento de los recursos utilizables establecido en el art. 44.1 a) LOTC, ni, por consiguiente, brindó a la Sala la posibilidad de reparar el vicio denunciado, salvaguardando, de este modo, el carácter subsidiario del recurso de amparo al que, como hemos señalado, responde dicho requisito.</w:t>
      </w:r>
    </w:p>
    <w:p w:rsidR="005728DD" w:rsidRDefault="005728DD" w:rsidP="005728DD">
      <w:pPr>
        <w:pStyle w:val="TextoNormal"/>
      </w:pPr>
    </w:p>
    <w:p w:rsidR="005728DD" w:rsidRDefault="005728DD" w:rsidP="005728DD">
      <w:pPr>
        <w:pStyle w:val="TextoNormal"/>
      </w:pPr>
      <w:r>
        <w:t>En base a todo ello cabe concluir que, denunciándose ante este tribunal la vulneración de una serie de derechos que, en caso de haberse producido, serían directamente imputables a la sentencia dictada por el Tribunal Supremo, el demandante de amparo debería haber acudido previamente al incidente de nulidad de actuaciones previsto en el art. 241 LOPJ por lo que, no habiéndolo hecho así, su queja no puede ser analizada en este momento por la jurisdicción de amparo, de conformidad con lo dispuesto en el art. 50.1 a) LOTC (por todas, SSTC 108/1999, y 105/2001). Debemos reiterar, en este sentido, que el referido requisito procesal no es caprichoso, sino que responde a la finalidad de dar a la jurisdicción ordinaria la posibilidad de reparar las vulneraciones de derechos fundamentales que puedan cometerse en vía judicial y de reservar al recurso de amparo ante este Tribunal Constitucional el carácter subsidiario que le atribuye la Constitución (por todas, SSTC 72/2002, y 39/2003).</w:t>
      </w:r>
    </w:p>
    <w:p w:rsidR="005728DD" w:rsidRDefault="005728DD" w:rsidP="005728DD">
      <w:pPr>
        <w:pStyle w:val="TextoNormal"/>
      </w:pPr>
    </w:p>
    <w:p w:rsidR="005728DD" w:rsidRDefault="005728DD" w:rsidP="005728DD">
      <w:pPr>
        <w:pStyle w:val="TextoNormal"/>
      </w:pPr>
      <w:r>
        <w:t xml:space="preserve">Se declara, por tanto, la inadmisión del recurso, </w:t>
      </w:r>
      <w:r w:rsidRPr="005728DD">
        <w:rPr>
          <w:i/>
        </w:rPr>
        <w:t>ex</w:t>
      </w:r>
      <w:r>
        <w:t xml:space="preserve"> art. 50.1 a) LOTC, con relación a estos motivos de la demanda: lesión de los derechos a la segunda instancia penal (art. 24.2 CE), derecho a la tutela judicial efectiva (art. 24.1 CE), derecho a la igualdad (art. 14 CE), derecho a la presunción de inocencia (art. 24.2 CE), y derecho a la legalidad penal (art. 25.1 CE). Este óbice, sin embargo, no sería aplicable a la queja relativa a la vulneración del derecho a utilizar los medios de prueba pertinentes para su defensa, toda vez que, respecto a este motivo, se habría recibido adecuada respuesta no solamente en el fundamento jurídico primero de la sentencia dictada por la Sala Segunda del Tribunal Supremo de 22 de marzo de 2017, sino también, y con carácter previo, en el auto dictado por ese mismo órgano el 6 de febrero de 2017 (auto que resolvía sobre la admisión e inadmisión de todas las pruebas propuestas para el acto del juicio oral).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Derecho a un proceso con todas las garantías y a utilizar los medios de prueba pertinentes para la defensa</w:t>
      </w:r>
      <w:r>
        <w:t>.</w:t>
      </w:r>
    </w:p>
    <w:p w:rsidR="005728DD" w:rsidRDefault="005728DD" w:rsidP="005728DD">
      <w:pPr>
        <w:pStyle w:val="TextoNormal"/>
      </w:pPr>
    </w:p>
    <w:p w:rsidR="005728DD" w:rsidRDefault="005728DD" w:rsidP="005728DD">
      <w:pPr>
        <w:pStyle w:val="TextoNormal"/>
      </w:pPr>
      <w:r>
        <w:t>Para la resolución de esta cuestión conviene recordar la consolidada doctrina de este tribunal sobre el derecho a la utilización de los medios de prueba pertinentes (art. 24.2 CE), derecho inseparable del derecho mismo de defensa (SSTC 169/1996, de 15 de enero, FJ 3, y 73/2000, de 26 de marzo, FJ 2). Las líneas principales de esta doctrina pueden sintetizarse en los siguientes puntos:</w:t>
      </w:r>
    </w:p>
    <w:p w:rsidR="005728DD" w:rsidRDefault="005728DD" w:rsidP="005728DD">
      <w:pPr>
        <w:pStyle w:val="TextoNormal"/>
      </w:pPr>
    </w:p>
    <w:p w:rsidR="005728DD" w:rsidRDefault="005728DD" w:rsidP="005728DD">
      <w:pPr>
        <w:pStyle w:val="TextoNormal"/>
      </w:pPr>
      <w: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(por todas, SSTC 168/1991, de 19 de julio; 233/1992, de 14 de diciembre; 351/1993, de 29 de noviembre; 131/1995, de 11 de septiembre; 1/1996, de 15 de enero; 116/1997, de 23 de junio; 205/1998, de 26 de octubre, o 96/2000, de 10 de abril), </w:t>
      </w:r>
      <w:r>
        <w:lastRenderedPageBreak/>
        <w:t xml:space="preserve">entendida la pertinencia como la relación entre los hechos probados y el </w:t>
      </w:r>
      <w:r w:rsidRPr="005728DD">
        <w:rPr>
          <w:i/>
        </w:rPr>
        <w:t>thema decidendi</w:t>
      </w:r>
      <w:r>
        <w:t xml:space="preserve"> (STC 26/2000, de 31 de enero, FJ 2).</w:t>
      </w:r>
    </w:p>
    <w:p w:rsidR="005728DD" w:rsidRDefault="005728DD" w:rsidP="005728DD">
      <w:pPr>
        <w:pStyle w:val="TextoNormal"/>
      </w:pPr>
    </w:p>
    <w:p w:rsidR="005728DD" w:rsidRDefault="005728DD" w:rsidP="005728DD">
      <w:pPr>
        <w:pStyle w:val="TextoNormal"/>
      </w:pPr>
      <w:r>
        <w:t>b) Puesto que se trata de un derecho de configuración legal, es preciso que la prueba se haya solicitado en la forma y momento legalmente establecidos (SSTC 149/1987, de 30 de septiembre; 212/1990, de 20 de diciembre; 94/1992, de 11 de junio, o 52/1998, de 3 de marzo), siendo solo admisibles los medios de prueba autorizados por el ordenamiento (SSTC 101/1989, de 5 de junio; 233/1992, de 14 de diciembre; 89/1995, de 6 de junio; 164/1996, de 28 de octubre; 89/1997, de 10 de noviembre).</w:t>
      </w:r>
    </w:p>
    <w:p w:rsidR="005728DD" w:rsidRDefault="005728DD" w:rsidP="005728DD">
      <w:pPr>
        <w:pStyle w:val="TextoNormal"/>
      </w:pPr>
    </w:p>
    <w:p w:rsidR="005728DD" w:rsidRDefault="005728DD" w:rsidP="005728DD">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sí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(en este sentido, SSTC 233/1992, de 14 de diciembre, FJ 2; 351/1993, de 29 de noviembre, FJ 2; 131/1995, de 11 de septiembre, FJ 2; 35/1997, de 25 de febrero, FJ 5; 181/1999, de 11 de octubre, FJ 3; 45/2000, de 14 de febrero, FJ 2, y 78/2001, de 26 de marzo, FJ 3).</w:t>
      </w:r>
    </w:p>
    <w:p w:rsidR="005728DD" w:rsidRDefault="005728DD" w:rsidP="005728DD">
      <w:pPr>
        <w:pStyle w:val="TextoNormal"/>
      </w:pPr>
    </w:p>
    <w:p w:rsidR="005728DD" w:rsidRDefault="005728DD" w:rsidP="005728DD">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y 101/1999, de 31 de mayo, FJ 5).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y 218/1997, de 4 de diciembre).</w:t>
      </w:r>
    </w:p>
    <w:p w:rsidR="005728DD" w:rsidRDefault="005728DD" w:rsidP="005728DD">
      <w:pPr>
        <w:pStyle w:val="TextoNormal"/>
      </w:pPr>
    </w:p>
    <w:p w:rsidR="005728DD" w:rsidRDefault="005728DD" w:rsidP="005728DD">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y 131/1995, de 11 de septiembre, FJ 2); y, de otra, quien en la vía de amparo invoque la vulneración del derecho a utilizar los medios de prueba pertinentes deberá, además, argumentar de modo convincente que la resolución final del proceso </w:t>
      </w:r>
      <w:r w:rsidRPr="005728DD">
        <w:rPr>
          <w:i/>
        </w:rPr>
        <w:t>a quo</w:t>
      </w:r>
      <w:r>
        <w:t xml:space="preserve"> podría haberle sido favorable, de haberse aceptado y practicado la prueba objeto de controversia (SSTC 116/1983, de 7 de diciembre, FJ 3; 147/1987, de 25 de septiembre, FJ 2; 50/1988, de 2 de marzo, FJ 3, y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y 69/2001, de 17 de marzo, FJ 28).</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xml:space="preserve">. </w:t>
      </w:r>
      <w:r w:rsidRPr="005728DD">
        <w:rPr>
          <w:i/>
        </w:rPr>
        <w:t>Aplicación de la jurisprudencia sobre el derecho a un proceso con todas las garantías y a utilizar los medios de prueba pertinentes para la defensa, al supuesto de hecho del actual recurso de amparo</w:t>
      </w:r>
      <w:r>
        <w:t>.</w:t>
      </w:r>
    </w:p>
    <w:p w:rsidR="005728DD" w:rsidRDefault="005728DD" w:rsidP="005728DD">
      <w:pPr>
        <w:pStyle w:val="TextoNormal"/>
      </w:pPr>
    </w:p>
    <w:p w:rsidR="005728DD" w:rsidRDefault="005728DD" w:rsidP="005728DD">
      <w:pPr>
        <w:pStyle w:val="TextoNormal"/>
      </w:pPr>
      <w:r>
        <w:t>En el caso sometido a nuestro enjuiciamiento el demandante de amparo propuso la práctica de determinadas pruebas de descargo en su escrito de conclusiones provisionales siendo las mismas rechazadas por auto de fecha 6 de febrero de 2017. Tras reiterar dicha petición en el trámite de cuestiones previas al juicio, la Sala de lo Penal del Tribunal Supremo se pronunció definitivamente, y en contra de su admisión, en la sentencia de 22 de marzo de 2017 (FJ 1). La prueba propuesta consistía en la práctica de una serie de testificales correspondientes a autoridades que ocupaban cargos de responsabilidad a fecha de los hechos, así como la incorporación al plenario de testimonio del documento en que se recogían las conclusiones de la junta de fiscales del Tribunal Superior de Justicia de Cataluña, en la que se proclamaba la falta de viabilidad de la acción penal por los hechos sucedidos con ocasión del proceso que culminó el día 9 de noviembre de 2014. El recurrente reitera la necesidad de la práctica de dicha prueba en la medida que las citadas testificales tenían como objeto acreditar la evolución de la posición política mantenida por el ejecutivo, que pasó de una “pacífica aceptación de la iniciativa” a la presentación de un recurso de inconstitucionalidad ante el Tribunal Constitucional, y a la petición de suspensión del “proceso de participación ciudadana” convocado para el 9 de noviembre de 2014.</w:t>
      </w:r>
    </w:p>
    <w:p w:rsidR="005728DD" w:rsidRDefault="005728DD" w:rsidP="005728DD">
      <w:pPr>
        <w:pStyle w:val="TextoNormal"/>
      </w:pPr>
    </w:p>
    <w:p w:rsidR="005728DD" w:rsidRDefault="005728DD" w:rsidP="005728DD">
      <w:pPr>
        <w:pStyle w:val="TextoNormal"/>
      </w:pPr>
      <w:r>
        <w:t>En el presente caso, la denegación de la prueba va ligada en el razonamiento judicial a otra decisión de mayor trascendencia que es, precisamente, el dictado de una sentencia condenatoria. Para el recurrente el examen de la razonabilidad de la prueba estaría íntimamente conectado con el razonamiento judicial, que determina el dictado de un pronunciamiento condenatorio por el delito de desobediencia (art. 410 CP). Consecuentemente, el juicio sobre la motivación de la resolución judicial en orden a la denegación de la prueba solo adquiere sentido si se pone el mismo en relación con los hechos que dieron lugar a la incoación del procedimiento y, posteriormente, al pronunciamiento condenatorio de 22 de marzo de 2017. Estos hechos constituían, según lo consignado en la sentencia combatida, en la realización de una serie de actos tendentes a celebrar “el proceso de participación ciudadana” —convocado para el 9 de noviembre de 2014— a pesar de existir una suspensión provisional de los mismos acordada por providencia de 4 de noviembre de 2014.</w:t>
      </w:r>
    </w:p>
    <w:p w:rsidR="005728DD" w:rsidRDefault="005728DD" w:rsidP="005728DD">
      <w:pPr>
        <w:pStyle w:val="TextoNormal"/>
      </w:pPr>
    </w:p>
    <w:p w:rsidR="005728DD" w:rsidRDefault="005728DD" w:rsidP="005728DD">
      <w:pPr>
        <w:pStyle w:val="TextoNormal"/>
      </w:pPr>
      <w:r>
        <w:t xml:space="preserve">Con fundamento en este relato fáctico, la Sala de lo Penal del Tribunal Supremo concluyó (FJ 1) que “nada de lo interesado mediante la declaración de esos testigos puede afectar al tratamiento jurídico de los hechos imputados. Ni el carácter especial del proceso —cuya singularidad no es discutible—, ni el criterio político —de haber llegado a existir—, ni las razones que puedan explicar la sobrevenida sustitución al frente de la Fiscalía General del Estado, pueden resultar determinantes a la hora de subsumir penalmente los hechos declarados probados. Lo mismo puede decirse de la revindicada presencia del presidente del Tribunal Constitucional para que explique por qué no se ajustó en la resolución dictada al </w:t>
      </w:r>
      <w:r w:rsidRPr="005728DD">
        <w:rPr>
          <w:i/>
        </w:rPr>
        <w:t>petitum</w:t>
      </w:r>
      <w:r>
        <w:t xml:space="preserve"> hecho valer en su recurso por la abogacía del Estado. Carece de sentido, y es manifiestamente improcedente, exigir una explicación sobre las razones por las que el Tribunal Constitucional no asumió en su estricta literalidad la pretensión del abogado del Estado. Y lo que es más importante, aun cuando esas razones llegarán a conocerse, en nada afectarían a la prueba de los hechos sobre los que se formula la acusación ni, por supuesto, a su calificación jurídica”.</w:t>
      </w:r>
    </w:p>
    <w:p w:rsidR="005728DD" w:rsidRDefault="005728DD" w:rsidP="005728DD">
      <w:pPr>
        <w:pStyle w:val="TextoNormal"/>
      </w:pPr>
    </w:p>
    <w:p w:rsidR="005728DD" w:rsidRDefault="005728DD" w:rsidP="005728DD">
      <w:pPr>
        <w:pStyle w:val="TextoNormal"/>
      </w:pPr>
      <w:r>
        <w:t>Y, en relación con la no incorporación del documento donde se recogían las conclusiones de la Junta de Fiscales del Tribunal Superior de Justicia, señalaba la Sala Segunda que, además de que el referido documento obraba ya en las actuaciones, la decisión del Ministerio Fiscal de ejercitar las acciones penales derivadas de los hechos debía “de obtenerse de la interposición de la querella que está en el origen de esta causa, sin que la realidad de esa decisión pueda verse devaluada mediante la artificiosa propuesta de valoración de los trabajos preparatorios que ilustraron la decisión del máximo responsable de la Fiscalía General del Estado”.</w:t>
      </w:r>
    </w:p>
    <w:p w:rsidR="005728DD" w:rsidRDefault="005728DD" w:rsidP="005728DD">
      <w:pPr>
        <w:pStyle w:val="TextoNormal"/>
      </w:pPr>
    </w:p>
    <w:p w:rsidR="005728DD" w:rsidRDefault="005728DD" w:rsidP="005728DD">
      <w:pPr>
        <w:pStyle w:val="TextoNormal"/>
      </w:pPr>
      <w:r>
        <w:t>Por lo anteriormente expuesto, cabe concluir que no se acredita una indefensión derivada de la no admisión de la prueba interesada, no solamente porque la respuesta dada por el Tribunal Supremo resulta suficientemente motivada, y ajustada a derecho, en cuanto a las causas de la denegación, sino porque, a mayor abundamiento, la prueba no era relevante en términos de defensa. Tal y como señala la sentencia impugnada, los hechos por los que ha resultado finalmente condenado el demandante de amparo se fundamentan en la omisión de dar el debido cumplimiento a un mandato de suspensión dictado por el Tribunal Constitucional. Las razones que llevaron al Gobierno a impugnar la convocatoria del “proceso de participación ciudadana”, los avatares procesales que concluyeron con la providencia de 4 de noviembre de 2014, o las posibles discrepancias jurídico-sustantivas que pudiesen existir en el seno del Ministerio Fiscal sobre la tipificación penal de los hechos, son cuestiones meramente accesorias que en nada afectan a la acción por la que el demandante ha sido finalmente condenado, ni a su calificación jurídica.</w:t>
      </w:r>
    </w:p>
    <w:p w:rsidR="005728DD" w:rsidRDefault="005728DD" w:rsidP="005728DD">
      <w:pPr>
        <w:pStyle w:val="TextoNormal"/>
      </w:pPr>
    </w:p>
    <w:p w:rsidR="005728DD" w:rsidRDefault="005728DD" w:rsidP="005728DD">
      <w:pPr>
        <w:pStyle w:val="TextoNormal"/>
      </w:pPr>
      <w:r>
        <w:t>En definitiva, los elementos probatorios propuestos por el recurrente son intrascendentes e irrelevantes para la causa, pues nada aportaban para excluir la tipicidad, la antijuridicidad o la culpabilidad de la conducta por la que ha sido finalmente condenado. De ello se deriva la desestimación de este motivo de amparo.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Inadmitir el presente recurso de amparo promovido por don Francesc Homs i Molist en cuanto a las quejas relativas a la lesión de los derechos a la presunción de inocencia (art. 24.2 CE), a la legalidad penal (art. 25 CE), a la segunda instancia penal (art. 24.2 CE), y a la tutela judicial efectiva (art. 24.1 CE) en relación con el derecho a la igualdad (art. 14 CE).</w:t>
      </w:r>
    </w:p>
    <w:p w:rsidR="005728DD" w:rsidRDefault="005728DD" w:rsidP="005728DD">
      <w:pPr>
        <w:pStyle w:val="TextoNormal"/>
      </w:pPr>
    </w:p>
    <w:p w:rsidR="005728DD" w:rsidRDefault="005728DD" w:rsidP="005728DD">
      <w:pPr>
        <w:pStyle w:val="TextoNormal"/>
      </w:pPr>
      <w:r>
        <w:t>2º Desestimar el recurso de amparo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trece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1" w:name="SENTENCIA_2021_108"/>
      <w:r>
        <w:lastRenderedPageBreak/>
        <w:t>SENTENCIA 108/2021, de 13 de mayo de 2021</w:t>
      </w:r>
    </w:p>
    <w:bookmarkEnd w:id="111"/>
    <w:p w:rsidR="005728DD" w:rsidRDefault="005728DD" w:rsidP="005728DD">
      <w:pPr>
        <w:pStyle w:val="TtuloResolucin"/>
      </w:pPr>
      <w:r>
        <w:t>Pleno</w:t>
      </w:r>
    </w:p>
    <w:p w:rsidR="005728DD" w:rsidRDefault="005728DD" w:rsidP="005728DD">
      <w:pPr>
        <w:pStyle w:val="TtuloBOE"/>
      </w:pPr>
      <w:r>
        <w:t>(BOE núm. 142, de 15 de junio de 2021)</w:t>
      </w:r>
    </w:p>
    <w:p w:rsidR="005728DD" w:rsidRDefault="005728DD" w:rsidP="005728DD">
      <w:pPr>
        <w:pStyle w:val="TextoNormalCentrado"/>
      </w:pPr>
      <w:r>
        <w:t>ECLI:ES:TC:2021:108</w:t>
      </w:r>
    </w:p>
    <w:p w:rsidR="005728DD" w:rsidRDefault="005728DD" w:rsidP="005728DD">
      <w:pPr>
        <w:pStyle w:val="TextoNormalCentrado"/>
      </w:pPr>
    </w:p>
    <w:p w:rsidR="005728DD" w:rsidRDefault="005728DD" w:rsidP="005728DD">
      <w:pPr>
        <w:pStyle w:val="SntesisDescriptiva"/>
      </w:pPr>
      <w:r>
        <w:t>Recurso de inconstitucionalidad 4062-2019. Interpuesto por más de cincuenta diputados de los Grupos Parlamentarios Popular y Vox en el Congreso respecto de la Ley Foral 16/2019, de 26 de marzo, de reconocimiento y reparación de las víctimas por actos de motivación política provocados por grupos de extrema derecha o funcionarios públicos.</w:t>
      </w:r>
    </w:p>
    <w:p w:rsidR="005728DD" w:rsidRDefault="005728DD" w:rsidP="005728DD">
      <w:pPr>
        <w:pStyle w:val="SntesisDescriptiva"/>
      </w:pPr>
    </w:p>
    <w:p w:rsidR="005728DD" w:rsidRDefault="005728DD" w:rsidP="005728DD">
      <w:pPr>
        <w:pStyle w:val="SntesisAnaltica"/>
      </w:pPr>
      <w:r>
        <w:t>Principio de reserva de jurisdicción; derecho a la tutela judicial efectiva e intangibilidad de las sentencias, derechos al honor, intimidad y propia imagen, a la protección de datos y a la presunción de inocencia; garantías del proceso penal: interpretación conforme con la Constitución de los preceptos legales que establecen el deber de colaboración de los poderes públicos navarros en la realización del “derecho a la verdad” y definen las funciones que puede desempeñar la Comisión de Reconocimiento y Reparación en la averiguación, documentación y acreditación de hechos (STC 83/2020). Voto particular.</w:t>
      </w:r>
    </w:p>
    <w:p w:rsidR="005728DD" w:rsidRDefault="005728DD" w:rsidP="005728DD">
      <w:pPr>
        <w:pStyle w:val="SntesisAnaltica"/>
      </w:pPr>
    </w:p>
    <w:p w:rsidR="005728DD" w:rsidRDefault="005728DD" w:rsidP="005728DD">
      <w:pPr>
        <w:pStyle w:val="Extracto"/>
      </w:pPr>
      <w:r>
        <w:t>1.</w:t>
      </w:r>
      <w:r>
        <w:tab/>
        <w:t>En los recursos de inconstitucionalidad, el incumplimiento de la carga argumentativa exigida a la parte actora en los preceptos impugnados exime al Tribunal Constitucional de examinarlos [FJ 2].</w:t>
      </w:r>
    </w:p>
    <w:p w:rsidR="005728DD" w:rsidRDefault="005728DD" w:rsidP="005728DD">
      <w:pPr>
        <w:pStyle w:val="Extracto"/>
      </w:pPr>
    </w:p>
    <w:p w:rsidR="005728DD" w:rsidRDefault="005728DD" w:rsidP="005728DD">
      <w:pPr>
        <w:pStyle w:val="Extracto"/>
      </w:pPr>
      <w:r>
        <w:t>2.</w:t>
      </w:r>
      <w:r>
        <w:tab/>
        <w:t>La presunción de constitucionalidad de las normas con rango de ley no puede desvirtuarse sin una argumentación suficiente y no son admisibles las impugnaciones globales carentes de un razonamiento específico que las sustente, por lo que el examen del articulado formalmente impugnado se limita al enjuiciamiento de los motivos de inconstitucionalidad que se aducen por los recurrentes de manera concreta (SSTC 43/1996, 233/1999, 248/2007, 87/2017 y 98/2018) [FJ 2].</w:t>
      </w:r>
    </w:p>
    <w:p w:rsidR="005728DD" w:rsidRDefault="005728DD" w:rsidP="005728DD">
      <w:pPr>
        <w:pStyle w:val="Extracto"/>
      </w:pPr>
    </w:p>
    <w:p w:rsidR="005728DD" w:rsidRDefault="005728DD" w:rsidP="005728DD">
      <w:pPr>
        <w:pStyle w:val="Extracto"/>
      </w:pPr>
      <w:r>
        <w:t>3.</w:t>
      </w:r>
      <w:r>
        <w:tab/>
        <w:t>Aplicación de doctrina constitucional sobre las leyes autonómicas de reconocimiento de víctimas y reparación de daños producidos por hechos violentos (SSTC 85/2018, 83/2020 y 131/2020) [FFJJ 3 a 8].</w:t>
      </w:r>
    </w:p>
    <w:p w:rsidR="005728DD" w:rsidRDefault="005728DD" w:rsidP="005728DD">
      <w:pPr>
        <w:pStyle w:val="Extracto"/>
      </w:pPr>
    </w:p>
    <w:p w:rsidR="005728DD" w:rsidRDefault="005728DD" w:rsidP="005728DD">
      <w:pPr>
        <w:pStyle w:val="Extracto"/>
      </w:pPr>
      <w:r>
        <w:t>4.</w:t>
      </w:r>
      <w:r>
        <w:tab/>
        <w:t>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(STC 85/2018) [FJ 5].</w:t>
      </w:r>
    </w:p>
    <w:p w:rsidR="005728DD" w:rsidRDefault="005728DD" w:rsidP="005728DD">
      <w:pPr>
        <w:pStyle w:val="Extracto"/>
      </w:pPr>
    </w:p>
    <w:p w:rsidR="005728DD" w:rsidRDefault="005728DD" w:rsidP="005728DD">
      <w:pPr>
        <w:pStyle w:val="Extracto"/>
      </w:pPr>
      <w:r>
        <w:t>5.</w:t>
      </w:r>
      <w:r>
        <w:tab/>
        <w:t>El nexo causal entre hecho y daño se configura como presupuesto de un sistema asistencial fijado en favor de determinadas personas, netamente diferenciado de la depuración de eventuales responsabilidades penales por dichos hechos [FJ 5].</w:t>
      </w:r>
    </w:p>
    <w:p w:rsidR="005728DD" w:rsidRDefault="005728DD" w:rsidP="005728DD">
      <w:pPr>
        <w:pStyle w:val="Extracto"/>
      </w:pPr>
    </w:p>
    <w:p w:rsidR="005728DD" w:rsidRDefault="005728DD" w:rsidP="005728DD">
      <w:pPr>
        <w:pStyle w:val="Extracto"/>
      </w:pPr>
      <w:r>
        <w:t>6.</w:t>
      </w:r>
      <w:r>
        <w:tab/>
        <w:t xml:space="preserve">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w:t>
      </w:r>
      <w:r>
        <w:lastRenderedPageBreak/>
        <w:t>determinada persona, en tanto que ha sufrido las consecuencias de los mismos (STC 85/2018 y 83/2020) [FJ 5].</w:t>
      </w:r>
    </w:p>
    <w:p w:rsidR="005728DD" w:rsidRDefault="005728DD" w:rsidP="005728DD">
      <w:pPr>
        <w:pStyle w:val="Extracto"/>
      </w:pPr>
    </w:p>
    <w:p w:rsidR="005728DD" w:rsidRDefault="005728DD" w:rsidP="005728DD">
      <w:pPr>
        <w:pStyle w:val="Extracto"/>
      </w:pPr>
      <w:r>
        <w:t>7.</w:t>
      </w:r>
      <w:r>
        <w:tab/>
        <w:t>Acerca del denominado “Derecho a la verdad” se traslada la doctrina de la STC 83/2020 [FJ 5].</w:t>
      </w:r>
    </w:p>
    <w:p w:rsidR="005728DD" w:rsidRDefault="005728DD" w:rsidP="005728DD">
      <w:pPr>
        <w:pStyle w:val="Extracto"/>
      </w:pPr>
    </w:p>
    <w:p w:rsidR="005728DD" w:rsidRDefault="005728DD" w:rsidP="005728DD">
      <w:pPr>
        <w:pStyle w:val="Extracto"/>
      </w:pPr>
      <w:r>
        <w:t>8.</w:t>
      </w:r>
      <w:r>
        <w:tab/>
        <w:t>El principio de intangibilidad de las sentencias asegura a quienes han sido parte en un proceso que las resoluciones judiciales definitivas dictadas en su seno no han de ser alteradas o modificadas al margen de los cauces legales establecidos para ello (STC 55/2002) [FJ 7].</w:t>
      </w:r>
    </w:p>
    <w:p w:rsidR="005728DD" w:rsidRDefault="005728DD" w:rsidP="005728DD">
      <w:pPr>
        <w:pStyle w:val="Extracto"/>
      </w:pPr>
    </w:p>
    <w:p w:rsidR="005728DD" w:rsidRDefault="005728DD" w:rsidP="005728DD">
      <w:pPr>
        <w:pStyle w:val="Extracto"/>
      </w:pPr>
      <w:r>
        <w:t>9.</w:t>
      </w:r>
      <w:r>
        <w:tab/>
        <w:t>La garantía del deber de sujeción a los pronunciamientos judiciales, remite tácitamente al mandato del art. 118 CE, que obliga a cumplir las sentencias y demás resoluciones firmes de los jueces y tribunales y veda la espuria fiscalización no jurisdiccional de las decisiones judiciales (STC 97/2020). De este mandato constitucional emana lo dispuesto por el art. 17.2 de la Ley Orgánica del Poder Judicial, a cuyo tenor las administraciones públicas, las autoridades y funcionarios, las corporaciones y todas las entidades públicas y privadas, y los particulares, respetarán y, en su caso, cumplirán las sentencias y las demás resoluciones judiciales que hayan ganado firmeza o sean ejecutables de acuerdo con las leyes [FJ 7].</w:t>
      </w:r>
    </w:p>
    <w:p w:rsidR="005728DD" w:rsidRDefault="005728DD" w:rsidP="005728DD">
      <w:pPr>
        <w:pStyle w:val="Extracto"/>
      </w:pPr>
    </w:p>
    <w:p w:rsidR="005728DD" w:rsidRDefault="005728DD" w:rsidP="005728DD">
      <w:pPr>
        <w:pStyle w:val="Extracto"/>
      </w:pPr>
      <w:r>
        <w:t>10.</w:t>
      </w:r>
      <w:r>
        <w:tab/>
        <w:t>El hecho de que determinadas menciones normativas sobre derechos fundamentales no resulten suficientes a los recurrentes no hace que la norma resulte inconstitucional por ese motivo en un proceso abstracto como el recurso de inconstitucionalidad. En cualquier caso, si tales derechos no se respetasen, la vulneración de la propia normativa implicaría que esa, ahora hipotética, actuación de la comisión contraria a tales derechos, podría ser puesta de manifiesto ante los tribunales competentes (STC 83/2020) [FJ 8].</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inconstitucionalidad núm. 4062-2019, promovido por más de cincuenta diputados de los Grupos Parlamentarios Popular y Vox en el Congreso de los Diputados contra la Ley Foral 16/2019, de 26 de marzo, de reconocimiento y reparación de las víctimas </w:t>
      </w:r>
      <w:r>
        <w:lastRenderedPageBreak/>
        <w:t>por actos de motivación política provocados por grupos de extrema derecha o funcionarios públicos. Han comparecido el Congreso de los Diputados, el Senado y el abogado del Estado. Han comparecido y formulado alegaciones el Parlamento y el Gobierno de Navarra.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28 de junio de 2019, más de cincuenta diputados de los Grupos Parlamentarios Popular y Vox del Congreso de los Diputados promovieron recurso de inconstitucionalidad contra la totalidad de la Ley Foral 16/2019, de 26 de marzo, de reconocimiento y reparación de las víctimas por actos de motivación política provocados por grupos de extrema derecha o funcionarios públicos, a excepción de sus arts. 8, 22 y 23.</w:t>
      </w:r>
    </w:p>
    <w:p w:rsidR="005728DD" w:rsidRDefault="005728DD" w:rsidP="005728DD">
      <w:pPr>
        <w:pStyle w:val="TextoNormal"/>
      </w:pPr>
    </w:p>
    <w:p w:rsidR="005728DD" w:rsidRDefault="005728DD" w:rsidP="005728DD">
      <w:pPr>
        <w:pStyle w:val="TextoNormal"/>
      </w:pPr>
      <w:r>
        <w:t>a) La demanda expone los antecedentes que dieron lugar a la STC 85/2018, de 19 de julio, que resolvió el recurso de inconstitucionalidad interpuesto contra la Ley Foral 16/2015, de 10 de abril, derogada por la ley ahora impugnada. Pese a los cambios semánticos introducidos, se argumenta que esta última adolecería de los mismos vicios de inconstitucionalidad, ya que:</w:t>
      </w:r>
    </w:p>
    <w:p w:rsidR="005728DD" w:rsidRDefault="005728DD" w:rsidP="005728DD">
      <w:pPr>
        <w:pStyle w:val="TextoNormal"/>
      </w:pPr>
    </w:p>
    <w:p w:rsidR="005728DD" w:rsidRDefault="005728DD" w:rsidP="005728DD">
      <w:pPr>
        <w:pStyle w:val="TextoNormal"/>
      </w:pPr>
      <w:r>
        <w:t>(i) El art. 1 dota al procedimiento de reconocimiento y reparación de un pretendido carácter administrativo que no corrige la invasión de competencias del Poder Judicial, pues repite los fines y objetivos de la ley anterior.</w:t>
      </w:r>
    </w:p>
    <w:p w:rsidR="005728DD" w:rsidRDefault="005728DD" w:rsidP="005728DD">
      <w:pPr>
        <w:pStyle w:val="TextoNormal"/>
      </w:pPr>
    </w:p>
    <w:p w:rsidR="005728DD" w:rsidRDefault="005728DD" w:rsidP="005728DD">
      <w:pPr>
        <w:pStyle w:val="TextoNormal"/>
      </w:pPr>
      <w:r>
        <w:t>(ii) El art. 2, al definir el ámbito subjetivo, incurre en la misma vulneración al remitir el origen de la vulneración de los derechos humanos a una actividad delictiva. En su último párrafo, al excluir de la aplicación de esta ley a las personas que hubieran fallecido o hubieran resultado heridos al repeler o evitar “actuaciones legítimas” de las fuerzas y cuerpos de seguridad, está incluyendo dentro de su ámbito de aplicación los supuestos en los que los referidos daños se hubieran producido como consecuencia de evitar una actuación ilegítima de los referidos cuerpos. De ello deducen que se atribuye a la Comisión de Reconocimiento y Reparación (en lo sucesivo, la comisión) el juicio sobre la licitud o ilicitud de la conducta de los cuerpos y fuerzas de seguridad, en clara invasión de las competencias del Poder Judicial.</w:t>
      </w:r>
    </w:p>
    <w:p w:rsidR="005728DD" w:rsidRDefault="005728DD" w:rsidP="005728DD">
      <w:pPr>
        <w:pStyle w:val="TextoNormal"/>
      </w:pPr>
    </w:p>
    <w:p w:rsidR="005728DD" w:rsidRDefault="005728DD" w:rsidP="005728DD">
      <w:pPr>
        <w:pStyle w:val="TextoNormal"/>
      </w:pPr>
      <w:r>
        <w:t>(iii) Por lo que al ámbito temporal y territorial se refiere, los arts. 3 y 4 recogen el contenido del art. 2 de la Ley Foral 16/2015, declarado inconstitucional por la STC 85/2018.</w:t>
      </w:r>
    </w:p>
    <w:p w:rsidR="005728DD" w:rsidRDefault="005728DD" w:rsidP="005728DD">
      <w:pPr>
        <w:pStyle w:val="TextoNormal"/>
      </w:pPr>
    </w:p>
    <w:p w:rsidR="005728DD" w:rsidRDefault="005728DD" w:rsidP="005728DD">
      <w:pPr>
        <w:pStyle w:val="TextoNormal"/>
      </w:pPr>
      <w:r>
        <w:t>(iv) El art. 5, al enumerar los principios de actuación, incorpora aspectos ya desechados por la STC 85/2018. Se introducen a través de un principio de colaboración interinstitucional, que por su indeterminación genera dudas en cuanto a los poderes públicos a los que pretende vincular. La indeterminación se reafirma o completa en el art. 6, al referirse a los “poderes públicos navarros”, y en el art. 10, apartados 3 y 4. Teniendo en cuenta el dilatado ámbito temporal de la ley y los posibles sujetos activos de los delitos objeto de la misma, difícilmente puede referirse a administraciones distintas de la estatal, que no puede quedar vinculada por las disposiciones de la ley foral.</w:t>
      </w:r>
    </w:p>
    <w:p w:rsidR="005728DD" w:rsidRDefault="005728DD" w:rsidP="005728DD">
      <w:pPr>
        <w:pStyle w:val="TextoNormal"/>
      </w:pPr>
    </w:p>
    <w:p w:rsidR="005728DD" w:rsidRDefault="005728DD" w:rsidP="005728DD">
      <w:pPr>
        <w:pStyle w:val="TextoNormal"/>
      </w:pPr>
      <w:r>
        <w:lastRenderedPageBreak/>
        <w:t>El art. 5.5 contiene el principio de garantía de los derechos de terceras personas, que debe ponerse en duda porque resulta inevitable que la investigación de los hechos destinada a la concesión de la condición de víctima identifique tanto al sujeto pasivo como al sujeto activo, lo que supone una clara vulneración de las garantías constitucionales de las personas afectadas; en particular, de su derecho a la tutela judicial efectiva (art. 24.1 CE), su derecho al honor (art. 18.1 CE), a la protección de datos personales (art. 18.4 CE) y a la presunción de inocencia (art. 24.2 CE). Si recae en una comisión administrativa la indagación acerca de hechos constitutivos de ilícitos penales, y la declaración de la existencia de tales hechos, se quebranta el monopolio de los jueces y magistrados en cuanto a la investigación penal y la determinación de la autoría, lo que determina una afectación negativa y cercenadora de la garantía constitucional de los derechos fundamentales de los afectados por la investigación.</w:t>
      </w:r>
    </w:p>
    <w:p w:rsidR="005728DD" w:rsidRDefault="005728DD" w:rsidP="005728DD">
      <w:pPr>
        <w:pStyle w:val="TextoNormal"/>
      </w:pPr>
    </w:p>
    <w:p w:rsidR="005728DD" w:rsidRDefault="005728DD" w:rsidP="005728DD">
      <w:pPr>
        <w:pStyle w:val="TextoNormal"/>
      </w:pPr>
      <w:r>
        <w:t>Por lo que se refiere al principio de subsidiariedad del procedimiento administrativo respecto del penal (art. 5.6), se afirma que, a pesar de los esfuerzos de la ley por configurar un procedimiento administrativo que no interfiera en las competencias de los órganos judiciales, no consigue este fin, pues esta finalidad es incompatible con la asignación a una comisión administrativa de la función de investigación de hechos que puedan ser constitutivos de delito. Se señala también que el art. 10, si bien dispone la suspensión de aquellos procedimientos que se tramiten ante la comisión cuando se tenga conocimiento de la existencia de causas judiciales o procedimientos sancionadores en tramitación, no hace referencia a las causas ya firmes, omisión que podría conllevar una lesión del derecho a la intangibilidad de las sentencias si se permitiera en estos casos continuar el procedimiento.</w:t>
      </w:r>
    </w:p>
    <w:p w:rsidR="005728DD" w:rsidRDefault="005728DD" w:rsidP="005728DD">
      <w:pPr>
        <w:pStyle w:val="TextoNormal"/>
      </w:pPr>
    </w:p>
    <w:p w:rsidR="005728DD" w:rsidRDefault="005728DD" w:rsidP="005728DD">
      <w:pPr>
        <w:pStyle w:val="TextoNormal"/>
      </w:pPr>
      <w:r>
        <w:t>(v) Los arts. 9 a 12, al regular el procedimiento, reafirman el alcance idéntico de ambas leyes, ya que se reproduce el art. 4 de la Ley Foral 16/2015; la supresión del carácter vinculante de la propuesta de la comisión no elimina su real y efectiva vinculación para la autoridad administrativa, como resulta del art. 10.6; el informe motivado de la comisión asume nuevamente la función de establecer los hechos probados; y el art. 12 reitera lo dispuesto en el art. 5 de la Ley Foral 16/2015.</w:t>
      </w:r>
    </w:p>
    <w:p w:rsidR="005728DD" w:rsidRDefault="005728DD" w:rsidP="005728DD">
      <w:pPr>
        <w:pStyle w:val="TextoNormal"/>
      </w:pPr>
    </w:p>
    <w:p w:rsidR="005728DD" w:rsidRDefault="005728DD" w:rsidP="005728DD">
      <w:pPr>
        <w:pStyle w:val="TextoNormal"/>
      </w:pPr>
      <w:r>
        <w:t>Por su parte, por lo que se refiere a la regulación de la comisión, en el art. 15, la adopción de los acuerdos por mayoría y el voto particular ponen de manifiesto la naturaleza pseudojudicial del órgano pretendidamente administrativo y el contenido del art. 17 evoca la disposición adicional cuarta de la Ley Foral 16/2015.</w:t>
      </w:r>
    </w:p>
    <w:p w:rsidR="005728DD" w:rsidRDefault="005728DD" w:rsidP="005728DD">
      <w:pPr>
        <w:pStyle w:val="TextoNormal"/>
      </w:pPr>
    </w:p>
    <w:p w:rsidR="005728DD" w:rsidRDefault="005728DD" w:rsidP="005728DD">
      <w:pPr>
        <w:pStyle w:val="TextoNormal"/>
      </w:pPr>
      <w:r>
        <w:t>Los arts. 18 y 21 reproducen los arts. 3.7 y 6.1 de la Ley Foral 16/2015 al regular la rendición de cuentas y publicidad de las actuaciones de la comisión, vulnerando los derechos y garantías de los afectados por un procedimiento irregular, al dar acceso de las actuaciones al público.</w:t>
      </w:r>
    </w:p>
    <w:p w:rsidR="005728DD" w:rsidRDefault="005728DD" w:rsidP="005728DD">
      <w:pPr>
        <w:pStyle w:val="TextoNormal"/>
      </w:pPr>
    </w:p>
    <w:p w:rsidR="005728DD" w:rsidRDefault="005728DD" w:rsidP="005728DD">
      <w:pPr>
        <w:pStyle w:val="TextoNormal"/>
      </w:pPr>
      <w:r>
        <w:t>b) Los demandantes consideran que la Ley Foral 16/2019 incurre, por tanto, en los siguientes motivos de inconstitucionalidad:</w:t>
      </w:r>
    </w:p>
    <w:p w:rsidR="005728DD" w:rsidRDefault="005728DD" w:rsidP="005728DD">
      <w:pPr>
        <w:pStyle w:val="TextoNormal"/>
      </w:pPr>
    </w:p>
    <w:p w:rsidR="005728DD" w:rsidRDefault="005728DD" w:rsidP="005728DD">
      <w:pPr>
        <w:pStyle w:val="TextoNormal"/>
      </w:pPr>
      <w:r>
        <w:t xml:space="preserve">(i) Vulneración del principio de reserva jurisdiccional del art. 117.3 y del art. 53.2 CE, en los propios términos establecidos por la STC 85/2018, FFJJ 3 y 6. Se establece un procedimiento de esclarecimiento, investigación y apreciación de hechos en apariencia delictivos, cuya existencia quedaría acreditada como verdad jurídica sustraída del Poder Judicial, que podría desplegarse incluso al margen de resoluciones judiciales firmes. Así se deduce </w:t>
      </w:r>
      <w:r>
        <w:lastRenderedPageBreak/>
        <w:t>del párrafo decimosegundo del preámbulo y de los arts. 1, 2, 3, 5, 6, 9.3, 10, y 11: pese a la confusa redacción del art. 6, atenta a la más pura lógica pretender que en el análisis de los hechos que determinaron la victimización, sin duda delictivos (violencia por motivos políticos), no se examine su autoría.</w:t>
      </w:r>
    </w:p>
    <w:p w:rsidR="005728DD" w:rsidRDefault="005728DD" w:rsidP="005728DD">
      <w:pPr>
        <w:pStyle w:val="TextoNormal"/>
      </w:pPr>
    </w:p>
    <w:p w:rsidR="005728DD" w:rsidRDefault="005728DD" w:rsidP="005728DD">
      <w:pPr>
        <w:pStyle w:val="TextoNormal"/>
      </w:pPr>
      <w:r>
        <w:t>El verdadero objeto del procedimiento —la investigación extrajudicial de hechos delictivos— se refleja con toda claridad en el art. 10.6. La composición de la comisión evidencia su actuación al margen del Poder Judicial, agravando incluso el sistema de la Ley Foral 16/2015 pues su informe no es vinculante, y la resolución de reconocimiento —en términos de la propia ley, la determinación de la verdad— corresponde a un órgano de dirección política de la administración —el director general de Paz, Convivencia y Derechos Humanos—.</w:t>
      </w:r>
    </w:p>
    <w:p w:rsidR="005728DD" w:rsidRDefault="005728DD" w:rsidP="005728DD">
      <w:pPr>
        <w:pStyle w:val="TextoNormal"/>
      </w:pPr>
    </w:p>
    <w:p w:rsidR="005728DD" w:rsidRDefault="005728DD" w:rsidP="005728DD">
      <w:pPr>
        <w:pStyle w:val="TextoNormal"/>
      </w:pPr>
      <w:r>
        <w:t>No se concede la condición de víctima a una persona, sino que se reconoce, es decir, se dota de formalidad y efectos jurídicos a lo que se entiende como preexistente, para lo que resulta ineludible revisar hechos pasados al objeto de calificarlos, determinando tanto la averiguación de hechos calificables como delito como el establecimiento de una verdad jurídica que sostiene la condición de víctima.</w:t>
      </w:r>
    </w:p>
    <w:p w:rsidR="005728DD" w:rsidRDefault="005728DD" w:rsidP="005728DD">
      <w:pPr>
        <w:pStyle w:val="TextoNormal"/>
      </w:pPr>
    </w:p>
    <w:p w:rsidR="005728DD" w:rsidRDefault="005728DD" w:rsidP="005728DD">
      <w:pPr>
        <w:pStyle w:val="TextoNormal"/>
      </w:pPr>
      <w:r>
        <w:t>(ii) La antedicha vulneración del art. 117.3 CE se relaciona directamente con la ruptura del derecho a un proceso con todas las garantías (art. 24.2 CE) y en concreto con el derecho al juez predeterminado por la ley. La independencia e imparcialidad de los jueces radica precisamente en su sometimiento exclusivo a la ley, lo que contrasta con las amplísimas funciones —que sobrepasan lo que cabría considerar como instrucción— otorgadas a un órgano mixto ejecutivo de nombramiento parlamentario, dependiente de y adscrito a una dirección general del Gobierno Foral. La independencia del órgano encargado de resolver es inexistente, dada su dependencia jerárquica, de carácter político, del consejero.</w:t>
      </w:r>
    </w:p>
    <w:p w:rsidR="005728DD" w:rsidRDefault="005728DD" w:rsidP="005728DD">
      <w:pPr>
        <w:pStyle w:val="TextoNormal"/>
      </w:pPr>
    </w:p>
    <w:p w:rsidR="005728DD" w:rsidRDefault="005728DD" w:rsidP="005728DD">
      <w:pPr>
        <w:pStyle w:val="TextoNormal"/>
      </w:pPr>
      <w:r>
        <w:t>Se infringe además el principio del juez no prevenido: las funciones de la comisión desbordan las potestades que serían propias de una instrucción, y el órgano que resuelve no desarrolla en modo alguno la función de enjuiciamiento.</w:t>
      </w:r>
    </w:p>
    <w:p w:rsidR="005728DD" w:rsidRDefault="005728DD" w:rsidP="005728DD">
      <w:pPr>
        <w:pStyle w:val="TextoNormal"/>
      </w:pPr>
    </w:p>
    <w:p w:rsidR="005728DD" w:rsidRDefault="005728DD" w:rsidP="005728DD">
      <w:pPr>
        <w:pStyle w:val="TextoNormal"/>
      </w:pPr>
      <w:r>
        <w:t>No se dan el resto de garantías inherentes al proceso judicial penal: derechos a la defensa y asistencia letrada, a ser informado de la acusación, a un proceso público sin dilaciones indebidas, a utilizar los medios de prueba pertinentes para la defensa, a no declarar contra sí mismo, a no confesarse culpable o a la presunción de inocencia. Ni siquiera se contempla la audiencia o información al presunto victimario en relación con los hechos que pretenden ser esclarecidos.</w:t>
      </w:r>
    </w:p>
    <w:p w:rsidR="005728DD" w:rsidRDefault="005728DD" w:rsidP="005728DD">
      <w:pPr>
        <w:pStyle w:val="TextoNormal"/>
      </w:pPr>
    </w:p>
    <w:p w:rsidR="005728DD" w:rsidRDefault="005728DD" w:rsidP="005728DD">
      <w:pPr>
        <w:pStyle w:val="TextoNormal"/>
      </w:pPr>
      <w:r>
        <w:t>Lo mismo sucede con las cautelas relativas al derecho a la tutela judicial efectiva del art. 24.1 CE: derecho a la igualdad de armas, principio de audiencia o derecho a la intangibilidad de las resoluciones, entre otros.</w:t>
      </w:r>
    </w:p>
    <w:p w:rsidR="005728DD" w:rsidRDefault="005728DD" w:rsidP="005728DD">
      <w:pPr>
        <w:pStyle w:val="TextoNormal"/>
      </w:pPr>
    </w:p>
    <w:p w:rsidR="005728DD" w:rsidRDefault="005728DD" w:rsidP="005728DD">
      <w:pPr>
        <w:pStyle w:val="TextoNormal"/>
      </w:pPr>
      <w:r>
        <w:t xml:space="preserve">(iii) Aunque se obviara la trascendencia penal del asunto, desde una perspectiva eminentemente administrativa, se vulnera el principio de contradicción (art. 75.4 de la Ley 39/2015, de 1 de octubre, del procedimiento administrativo común de las administraciones públicas: LPACAP); se obvia la legitimación del que se pretende agresor para participar en el procedimiento y recurrir la resolución del expediente; se vulneran las normas de instrucción del </w:t>
      </w:r>
      <w:r>
        <w:lastRenderedPageBreak/>
        <w:t>art. 75 LPACAP, introduciendo una arbitrariedad prohibida en la actuación administrativa; no existen plazos de prescripción, quedando el victimario sometido a la acción punitiv</w:t>
      </w:r>
      <w:r w:rsidRPr="005728DD">
        <w:rPr>
          <w:i/>
        </w:rPr>
        <w:t>a ad infinit</w:t>
      </w:r>
      <w:r>
        <w:t>um.</w:t>
      </w:r>
    </w:p>
    <w:p w:rsidR="005728DD" w:rsidRDefault="005728DD" w:rsidP="005728DD">
      <w:pPr>
        <w:pStyle w:val="TextoNormal"/>
      </w:pPr>
    </w:p>
    <w:p w:rsidR="005728DD" w:rsidRDefault="005728DD" w:rsidP="005728DD">
      <w:pPr>
        <w:pStyle w:val="TextoNormal"/>
      </w:pPr>
      <w:r>
        <w:t>(iv) Pese a lo dispuesto en sus arts. 5.6 y 10.5, la Ley vulnera el principio de intangibilidad de las sentencias (art. 24.1 CE). El principio de subsidiariedad del art. 5.6 es meramente formal, pues no se diseña un sistema o trámite para los supuestos en que existan procedimientos finalizados; la suspensión regulada en el art. 105 no alcanza a los casos en los que exista sentencia firme, de forma que se admite por omisión la posibilidad de resolución de un expediente que identifique al autor de hechos delictivos, con nuevo sometimiento del sujeto a un proceso, pese a que haya finalizado y sea firme uno anterior.</w:t>
      </w:r>
    </w:p>
    <w:p w:rsidR="005728DD" w:rsidRDefault="005728DD" w:rsidP="005728DD">
      <w:pPr>
        <w:pStyle w:val="TextoNormal"/>
      </w:pPr>
    </w:p>
    <w:p w:rsidR="005728DD" w:rsidRDefault="005728DD" w:rsidP="005728DD">
      <w:pPr>
        <w:pStyle w:val="TextoNormal"/>
      </w:pPr>
      <w:r>
        <w:t>(v) Se vulneran los derechos fundamentales de los terceros sobre los que se proyecte la investigación de hechos de apariencia delictiva. La labor de indagación de los hechos (art. 10.2) dirigida al conocimiento de la verdad (art. 6) produce potenciales vulneraciones de los derechos al honor, a la intimidad y a la propia imagen (art. 18 CE) y a la presunción de inocencia (art. 24.2 CE), vulneraciones que se despliegan por omisión, tanto por el procedimiento como por el órgano de naturaleza administrativa, como ya advirtiera el ATC 90/2016, de 9 de mayo.</w:t>
      </w:r>
    </w:p>
    <w:p w:rsidR="005728DD" w:rsidRDefault="005728DD" w:rsidP="005728DD">
      <w:pPr>
        <w:pStyle w:val="TextoNormal"/>
      </w:pPr>
    </w:p>
    <w:p w:rsidR="005728DD" w:rsidRDefault="005728DD" w:rsidP="005728DD">
      <w:pPr>
        <w:pStyle w:val="TextoNormal"/>
      </w:pPr>
      <w:r>
        <w:t>La Ley agrava esta vulneración con lo dispuesto en los arts. 18 y 21, al dotar de publicidad cierta a las actuaciones de los órganos adscritos a este sistema paralelo de justicia. Se vulnera además el derecho a la protección de datos (art. 18.4 CE), pues los informes y memorias de la comisión deben contener las investigaciones realizadas, la fijación de los hechos y sus responsables.</w:t>
      </w:r>
    </w:p>
    <w:p w:rsidR="005728DD" w:rsidRDefault="005728DD" w:rsidP="005728DD">
      <w:pPr>
        <w:pStyle w:val="TextoNormal"/>
      </w:pPr>
    </w:p>
    <w:p w:rsidR="005728DD" w:rsidRDefault="005728DD" w:rsidP="005728DD">
      <w:pPr>
        <w:pStyle w:val="TextoNormal"/>
      </w:pPr>
      <w:r w:rsidRPr="005728DD">
        <w:rPr>
          <w:rStyle w:val="NumeroAFNegritaCaracter"/>
        </w:rPr>
        <w:t>2</w:t>
      </w:r>
      <w:r>
        <w:t>. El Pleno del tribunal, mediante providencia de 5 de septiembre de 2019, acordó admitir a trámite el recurso de inconstitucionalidad; dar traslado de la demanda y los documentos presentados, conforme establece el art. 34 de la Ley Orgánica del Tribunal Constitucional (LOTC), al Congreso de los Diputados, al Senado, al Gobierno, así como al Parlamento y al Gobierno de Navarra, al objeto de que en el plazo de quince días pudieran personarse en el proceso y formular las alegaciones que estimaran convenientes; y publicar su incoación en el “Boletín Oficial del Estado” y el “Boletín Oficial de Navarra”.</w:t>
      </w:r>
    </w:p>
    <w:p w:rsidR="005728DD" w:rsidRDefault="005728DD" w:rsidP="005728DD">
      <w:pPr>
        <w:pStyle w:val="TextoNormal"/>
      </w:pPr>
    </w:p>
    <w:p w:rsidR="005728DD" w:rsidRDefault="005728DD" w:rsidP="005728DD">
      <w:pPr>
        <w:pStyle w:val="TextoNormal"/>
      </w:pPr>
      <w:r w:rsidRPr="005728DD">
        <w:rPr>
          <w:rStyle w:val="NumeroAFNegritaCaracter"/>
        </w:rPr>
        <w:t>3</w:t>
      </w:r>
      <w:r>
        <w:t>. Por sendos escritos registrados los días 13 y 18 de septiembre de 2019, la presidenta del Congreso de los Diputados y el presidente del Senado pusieron en conocimiento del Tribunal los acuerdos de las mesas respectivas dando por personadas a las cámaras y ofreciendo su colaboración a los efectos del art. 88.1 LOTC.</w:t>
      </w:r>
    </w:p>
    <w:p w:rsidR="005728DD" w:rsidRDefault="005728DD" w:rsidP="005728DD">
      <w:pPr>
        <w:pStyle w:val="TextoNormal"/>
      </w:pPr>
    </w:p>
    <w:p w:rsidR="005728DD" w:rsidRDefault="005728DD" w:rsidP="005728DD">
      <w:pPr>
        <w:pStyle w:val="TextoNormal"/>
      </w:pPr>
      <w:r w:rsidRPr="005728DD">
        <w:rPr>
          <w:rStyle w:val="NumeroAFNegritaCaracter"/>
        </w:rPr>
        <w:t>4</w:t>
      </w:r>
      <w:r>
        <w:t>. El día 23 de septiembre de 2019, el abogado del Estado se personó en el procedimiento, sin formular alegaciones.</w:t>
      </w:r>
    </w:p>
    <w:p w:rsidR="005728DD" w:rsidRDefault="005728DD" w:rsidP="005728DD">
      <w:pPr>
        <w:pStyle w:val="TextoNormal"/>
      </w:pPr>
    </w:p>
    <w:p w:rsidR="005728DD" w:rsidRDefault="005728DD" w:rsidP="005728DD">
      <w:pPr>
        <w:pStyle w:val="TextoNormal"/>
      </w:pPr>
      <w:r w:rsidRPr="005728DD">
        <w:rPr>
          <w:rStyle w:val="NumeroAFNegritaCaracter"/>
        </w:rPr>
        <w:t>5</w:t>
      </w:r>
      <w:r>
        <w:t>. El Gobierno de Navarra se personó en el procedimiento el día 25 de septiembre de 2019, solicitando prórroga para formular alegaciones que le fue concedida mediante diligencia de 26 de septiembre de 2019, por plazo de ocho días desde la expiración del ordinario. El día 16 de octubre de 2019 registró su escrito de alegaciones.</w:t>
      </w:r>
    </w:p>
    <w:p w:rsidR="005728DD" w:rsidRDefault="005728DD" w:rsidP="005728DD">
      <w:pPr>
        <w:pStyle w:val="TextoNormal"/>
      </w:pPr>
    </w:p>
    <w:p w:rsidR="005728DD" w:rsidRDefault="005728DD" w:rsidP="005728DD">
      <w:pPr>
        <w:pStyle w:val="TextoNormal"/>
      </w:pPr>
      <w:r>
        <w:lastRenderedPageBreak/>
        <w:t>a) Alega que la Ley Foral 16/2019 encuentra acomodo en derechos fundamentales, principalmente el derecho a la vida y a la integridad física (art. 15 CE) y el derecho de toda persona a la libertad y seguridad (art. 17 CE), que vinculan a todos los poderes públicos (art. 53 CE). En consideración a las ayudas específicas que se establecen en favor de las víctimas (por remisión a la Ley Foral 9/2010), es preciso apelar también a títulos sectoriales, como son la asistencia social [art. 44.17 de la Ley Orgánica de reintegración y amejoramiento del régimen foral de Navarra (LORAFNA)], la sanidad (art. 53 LORAFNA) o la vivienda (art. 44.1 LORAFNA).</w:t>
      </w:r>
    </w:p>
    <w:p w:rsidR="005728DD" w:rsidRDefault="005728DD" w:rsidP="005728DD">
      <w:pPr>
        <w:pStyle w:val="TextoNormal"/>
      </w:pPr>
    </w:p>
    <w:p w:rsidR="005728DD" w:rsidRDefault="005728DD" w:rsidP="005728DD">
      <w:pPr>
        <w:pStyle w:val="TextoNormal"/>
      </w:pPr>
      <w:r>
        <w:t xml:space="preserve">El procedimiento administrativo que se establece para la reparación de las víctimas no conlleva el enjuiciamiento de hechos delictivos. Se dirige exclusivamente al otorgamiento del reconocimiento de las víctimas, y a la reparación de los daños sufridos por las mismas, en tanto que a través de los procedimientos penales se ejerce el </w:t>
      </w:r>
      <w:r w:rsidRPr="005728DD">
        <w:rPr>
          <w:i/>
        </w:rPr>
        <w:t>ius puniendi</w:t>
      </w:r>
      <w:r>
        <w:t xml:space="preserve"> del Estado, identificando a las personas que han intervenido en hechos constitutivos de delito y estableciendo responsabilidades. Si la comisión ha de analizar hechos, es a los exclusivos efectos de reconocer la condición de víctima y reparar los daños causados. Pero no puede calificar dichos hechos como constitutivos de delito ni de ninguna otra infracción penal, ni determinar la responsabilidad de las personas que han intervenido en los mismos, ni imponer penas o hacerlas ejecutar. El carácter administrativo de las funciones de la comisión y del procedimiento que esta sigue resulta plenamente corroborado por el preámbulo y el articulado de la ley (arts. 1.2 </w:t>
      </w:r>
      <w:r w:rsidRPr="005728DD">
        <w:rPr>
          <w:i/>
        </w:rPr>
        <w:t>in fine</w:t>
      </w:r>
      <w:r>
        <w:t>, 5.5, 11.1, 12.1, capítulo IV). Los principios que recoge el art. 5, como el de colaboración interinstitucional y el de celeridad, son plasmación de los que consagra la Ley 39/2015, y se garantiza que no se produzca “vulneración ni afección alguna a las garantías jurídicas y constitucionales de terceras personas” y que se han de respetar “con plena garantía los deberes y obligaciones de abstención, concurrencia y sujeción a los pronunciamientos judiciales”.</w:t>
      </w:r>
    </w:p>
    <w:p w:rsidR="005728DD" w:rsidRDefault="005728DD" w:rsidP="005728DD">
      <w:pPr>
        <w:pStyle w:val="TextoNormal"/>
      </w:pPr>
    </w:p>
    <w:p w:rsidR="005728DD" w:rsidRDefault="005728DD" w:rsidP="005728DD">
      <w:pPr>
        <w:pStyle w:val="TextoNormal"/>
      </w:pPr>
      <w:r>
        <w:t xml:space="preserve">La actividad administrativa que despliega la comisión no conlleva ninguna intromisión en el ejercicio de la función jurisdiccional (art. 117 CE). La propia ley establece cautelas para que no se produzca dicha injerencia: las facultades que confiere a la comisión son netamente administrativas y se despliegan a través de un procedimiento administrativo (preámbulo y arts. 1.2 </w:t>
      </w:r>
      <w:r w:rsidRPr="005728DD">
        <w:rPr>
          <w:i/>
        </w:rPr>
        <w:t>in fine</w:t>
      </w:r>
      <w:r>
        <w:t>, 5.6, 6, párrafo 3, y 10.5). Queda plenamente garantizado el deber de la comisión de cumplir las resoluciones judiciales, la sujeción a lo establecido en las mismas, y la subsidiariedad del procedimiento administrativo que regula respecto del penal. Todo ello, sin perjuicio del resto de garantías que recogen otras normas jurídicas para garantizar el carácter principal del procedimiento penal, señaladamente el art. 118 CE, la institución de la cosa juzgada (arts. 207 y 22 LEC) y el deber de denunciar que imponen los arts. 259 y 261 LECrim.</w:t>
      </w:r>
    </w:p>
    <w:p w:rsidR="005728DD" w:rsidRDefault="005728DD" w:rsidP="005728DD">
      <w:pPr>
        <w:pStyle w:val="TextoNormal"/>
      </w:pPr>
    </w:p>
    <w:p w:rsidR="005728DD" w:rsidRDefault="005728DD" w:rsidP="005728DD">
      <w:pPr>
        <w:pStyle w:val="TextoNormal"/>
      </w:pPr>
      <w:r>
        <w:t xml:space="preserve">La Ley Foral 16/2019 no tiene finalidad punitiva, sino que instituye un procedimiento administrativo que se encamina a la adopción de medidas administrativas. Garantiza la sujeción a los pronunciamientos judiciales e impone a la comisión los deberes de comunicar las posibles actuaciones ilegales a los órganos judiciales y de suspender la tramitación del procedimiento administrativo hasta que la vía judicial se haya agotado; proclama el carácter subsidiario del procedimiento administrativo respecto del proceso penal. La fijación de hechos es a los solos efectos del resarcimiento de las víctimas, y con la única finalidad de analizar si concurren o no los requisitos que la norma recurrida exige para la declaración de víctima y su reparación (art. 11.1). No fija hechos cuya existencia quedaría acreditada como </w:t>
      </w:r>
      <w:r>
        <w:lastRenderedPageBreak/>
        <w:t>verdad jurídica. El derecho a la verdad al que alude el art. 6, que goza de reconocimiento internacional recogido en múltiples textos internacionales, no tiene el alcance que pretende darse de adverso y tampoco constituye ninguna peculiaridad exclusiva de la ley aquí cuestionada [art. 13 d) LPACAP].</w:t>
      </w:r>
    </w:p>
    <w:p w:rsidR="005728DD" w:rsidRDefault="005728DD" w:rsidP="005728DD">
      <w:pPr>
        <w:pStyle w:val="TextoNormal"/>
      </w:pPr>
    </w:p>
    <w:p w:rsidR="005728DD" w:rsidRDefault="005728DD" w:rsidP="005728DD">
      <w:pPr>
        <w:pStyle w:val="TextoNormal"/>
      </w:pPr>
      <w:r>
        <w:t>Con ello han quedado corregidas las objeciones a la Ley Foral 16/2015, pues la STC 85/2018 reconoció que no había impedimento para un reconocimiento administrativo de la condición de víctima y para regular los modos de reparación del daño causado (FJ 4). Otras novedades reseñables son que la Ley Foral 16/2019 resalta el carácter administrativo del procedimiento de reconocimiento y reparación; acentúa el carácter técnico de la labor de la comisión (arts. 10.6, 11, 13.2 y 17.2); modifica en profundidad el contenido de los informes que debe elaborar al final de su mandato (art. 18); elimina las alusiones que condujeron a la STC 85/2018 a sostener que la finalidad asistencial o protectora no era la única perseguida; y excluye a las personas fallecidas o heridas por la manipulación de armas o explosivos (art. 2).</w:t>
      </w:r>
    </w:p>
    <w:p w:rsidR="005728DD" w:rsidRDefault="005728DD" w:rsidP="005728DD">
      <w:pPr>
        <w:pStyle w:val="TextoNormal"/>
      </w:pPr>
    </w:p>
    <w:p w:rsidR="005728DD" w:rsidRDefault="005728DD" w:rsidP="005728DD">
      <w:pPr>
        <w:pStyle w:val="TextoNormal"/>
      </w:pPr>
      <w:r>
        <w:t>Los autos del Tribunal Constitucional 30/2017, 31/2017, 32/2017, 33/2017 y 34/2017, de 27 de septiembre, y decisión de 25 de junio de 2019, asunto 73911-16 (</w:t>
      </w:r>
      <w:r w:rsidRPr="005728DD">
        <w:rPr>
          <w:i/>
        </w:rPr>
        <w:t>María Cristina Larrañaga Arando c. España</w:t>
      </w:r>
      <w:r>
        <w:t xml:space="preserve"> y otras tres demandas), y la decisión de la misma, asuntos 75529-16 y 79503-16 (</w:t>
      </w:r>
      <w:r w:rsidRPr="005728DD">
        <w:rPr>
          <w:i/>
        </w:rPr>
        <w:t>Karmele Martínez Agirre y Nagore Otegi Martínez c. España</w:t>
      </w:r>
      <w:r>
        <w:t xml:space="preserve"> y otra demanda) que los confirman, respaldan la constitucionalidad de la Ley Foral 16/2019.</w:t>
      </w:r>
    </w:p>
    <w:p w:rsidR="005728DD" w:rsidRDefault="005728DD" w:rsidP="005728DD">
      <w:pPr>
        <w:pStyle w:val="TextoNormal"/>
      </w:pPr>
    </w:p>
    <w:p w:rsidR="005728DD" w:rsidRDefault="005728DD" w:rsidP="005728DD">
      <w:pPr>
        <w:pStyle w:val="TextoNormal"/>
      </w:pPr>
      <w:r>
        <w:t>b) Alega que los derechos de terceras personas están garantizados en el art. 5.5. La comisión ha de efectuar un resumen de los hechos, a efectos de analizar si se cumplen los requisitos de la ley, en especial si concurre la relación de causalidad entre los hechos y los perjuicios acreditados, pero ni sanciona ni depura responsabilidades penales, ni siquiera es necesario que se identifique a las personas que intervinieron en los mismos. Por ello ha de descartarse la vulneración del derecho a la presunción de inocencia, ni siquiera en su dimensión extraprocesal (AATC 30/2017 a 34/2017 y decisiones citadas del Tribunal Europeo de Derechos Humanos). La comisión carece por completo de competencias para apreciar la responsabilidad penal o administrativa en que hubieran podido incurrir las personas implicadas en los hechos que ocasionaron la vulneración de los derechos humanos de la víctima, incluso aunque las mismas estuvieran identificadas. Buena prueba de ello son, entre otros, los arts. 5.6, 6, párrafo 3, y 10.5.</w:t>
      </w:r>
    </w:p>
    <w:p w:rsidR="005728DD" w:rsidRDefault="005728DD" w:rsidP="005728DD">
      <w:pPr>
        <w:pStyle w:val="TextoNormal"/>
      </w:pPr>
    </w:p>
    <w:p w:rsidR="005728DD" w:rsidRDefault="005728DD" w:rsidP="005728DD">
      <w:pPr>
        <w:pStyle w:val="TextoNormal"/>
      </w:pPr>
      <w:r>
        <w:t>La lesión del derecho al honor queda excluida de plano, desde el mismo momento que la comisión no depura responsabilidades penales o administrativas, ni es preciso que identifique a personas determinadas. Es aplicable la doctrina de las SSTC 227/1992, de 14 de diciembre, FJ 4, y 50/1983, de 14 de junio, FJ 3, y los arts. 5.5, 6.4, 10.4, 13.2, y 17.2 establecen cautelas para impedir la infracción de los derechos al honor y a la protección de datos personales.</w:t>
      </w:r>
    </w:p>
    <w:p w:rsidR="005728DD" w:rsidRDefault="005728DD" w:rsidP="005728DD">
      <w:pPr>
        <w:pStyle w:val="TextoNormal"/>
      </w:pPr>
    </w:p>
    <w:p w:rsidR="005728DD" w:rsidRDefault="005728DD" w:rsidP="005728DD">
      <w:pPr>
        <w:pStyle w:val="TextoNormal"/>
      </w:pPr>
      <w:r>
        <w:t xml:space="preserve">Tampoco se vulnera el derecho a la tutela judicial efectiva. La eventualidad de una indefensión acaecida dentro de los procedimientos administrativos únicamente tiene relevancia constitucional cuando se trate de un expediente administrativo sancionador (SSTC 118/1999, de 28 de junio, FJ 1; 159/2002, de 16 de septiembre, FJ 2, y ATC 577/1988, de 9 de mayo). El ordenamiento jurídico contiene mecanismos para proteger de la indefensión </w:t>
      </w:r>
      <w:r>
        <w:lastRenderedPageBreak/>
        <w:t>que pueda generar la actividad administrativa (arts. 25 y 114 y ss. de la Ley reguladora de la jurisdicción contencioso-administrativa (LJCA).</w:t>
      </w:r>
    </w:p>
    <w:p w:rsidR="005728DD" w:rsidRDefault="005728DD" w:rsidP="005728DD">
      <w:pPr>
        <w:pStyle w:val="TextoNormal"/>
      </w:pPr>
    </w:p>
    <w:p w:rsidR="005728DD" w:rsidRDefault="005728DD" w:rsidP="005728DD">
      <w:pPr>
        <w:pStyle w:val="TextoNormal"/>
      </w:pPr>
      <w:r>
        <w:t>c) En el recurso de inconstitucionalidad interpuesto se insta la nulidad de la Ley Foral 16/2019 en su conjunto, a excepción de los arts. 8, 22 y 23, pero lo cierto es que nada se objeta respecto de muchos de sus preceptos, porque se critica fundamentalmente lo relativo a la comisión. En ausencia de reproches concretos, ha de prevalecer la presunción de constitucionalidad (STC 142/2018, de 20 de diciembre, FJ 2).</w:t>
      </w:r>
    </w:p>
    <w:p w:rsidR="005728DD" w:rsidRDefault="005728DD" w:rsidP="005728DD">
      <w:pPr>
        <w:pStyle w:val="TextoNormal"/>
      </w:pPr>
    </w:p>
    <w:p w:rsidR="005728DD" w:rsidRDefault="005728DD" w:rsidP="005728DD">
      <w:pPr>
        <w:pStyle w:val="TextoNormal"/>
      </w:pPr>
      <w:r w:rsidRPr="005728DD">
        <w:rPr>
          <w:rStyle w:val="NumeroAFNegritaCaracter"/>
        </w:rPr>
        <w:t>6</w:t>
      </w:r>
      <w:r>
        <w:t>. El día 4 de octubre de 2019 tuvo entrada en el registro del Tribunal el escrito de alegaciones del Parlamento de Navarra.</w:t>
      </w:r>
    </w:p>
    <w:p w:rsidR="005728DD" w:rsidRDefault="005728DD" w:rsidP="005728DD">
      <w:pPr>
        <w:pStyle w:val="TextoNormal"/>
      </w:pPr>
    </w:p>
    <w:p w:rsidR="005728DD" w:rsidRDefault="005728DD" w:rsidP="005728DD">
      <w:pPr>
        <w:pStyle w:val="TextoNormal"/>
      </w:pPr>
      <w:r>
        <w:t>a) Expone en primer lugar que corresponde a los hoy recurrentes formular un pormenorizado análisis de las cuestiones que se suscitan en relación con el contenido de la Ley Foral 16/2019, no resultando suficiente alegar que estamos ante el mismo caso resuelto por la STC 85/2018. Las dos leyes forales en cuestión tienen contenidos diferentes, por lo que, para que el recurso resulte admisible, es imprescindible realizar un análisis de todos y cada uno de los preceptos de la ley cuya declaración de inconstitucionalidad se pretende, si no se quiere faltar a la diligencia procesal requerida. El recurso contiene una impugnación global carente de un contenido debidamente desarrollado que la sustente. No existe la conexión debida entre el contenido de los preceptos impugnados y los razonamientos en los que se pretende fundamentar la petición de inconstitucionalidad. Así sucede con los arts. 2, 5, 9 a 12, capítulo IV, y arts. 17, 18 y 21.</w:t>
      </w:r>
    </w:p>
    <w:p w:rsidR="005728DD" w:rsidRDefault="005728DD" w:rsidP="005728DD">
      <w:pPr>
        <w:pStyle w:val="TextoNormal"/>
      </w:pPr>
    </w:p>
    <w:p w:rsidR="005728DD" w:rsidRDefault="005728DD" w:rsidP="005728DD">
      <w:pPr>
        <w:pStyle w:val="TextoNormal"/>
      </w:pPr>
      <w:r>
        <w:t>b) Alega que la ley impugnada se inserta plenamente en el marco del Derecho internacional, estatal y autonómico regulador del reconocimiento a las víctimas de terrorismo y otros delitos violentos, que bajo idénticos parámetros normativos preconiza y admite con generalidad las potestades jurídico-públicas de orden administrativo para adoptar medidas de reconocimiento y reparación de las víctimas, previas las lógicas y necesarias actuaciones de la administración pública competente, de forma compatible con el conocimiento penal de los hechos causantes para la determinación de responsabilidad criminal que de ellos se derivan. El procedimiento administrativo de reconocimiento y reparación de las víctimas se circunscribe a ese exclusivo objeto. Las declaraciones administrativas de la condición de víctima son exclusivamente “a los efectos de esta ley foral” (art. 11.1). Está clara la independencia y compatibilidad de los procesos penales y de los procedimientos administrativos. No existe vinculación alguna con el procedimiento penal que, en su caso, se hubiera podido instruir en el pasado o se pudiera instruir en el futuro.</w:t>
      </w:r>
    </w:p>
    <w:p w:rsidR="005728DD" w:rsidRDefault="005728DD" w:rsidP="005728DD">
      <w:pPr>
        <w:pStyle w:val="TextoNormal"/>
      </w:pPr>
    </w:p>
    <w:p w:rsidR="005728DD" w:rsidRDefault="005728DD" w:rsidP="005728DD">
      <w:pPr>
        <w:pStyle w:val="TextoNormal"/>
      </w:pPr>
      <w:r>
        <w:t xml:space="preserve">El procedimiento establecido en la Ley Foral 16/2019 no pretende en ningún caso que la comisión formule un juicio de culpabilidad contrario a una decisión penal definitiva sobre la inocencia de personas concretas (ATC 30/2017). Sus facultades están dirigidas exclusivamente “al mejor estudio y comprobación de los hechos, circunstancias y consecuencias aducidas y a una mejor resolución de la solicitud presentada” (art. 10), y resultan enteramente homologables a las atribuidas a otros órganos similares por la normativa general de protección de las víctimas: su actuación y posición respecto a los órganos judiciales es idéntica. No se atribuye a la comisión ninguna competencia para revisar, evaluar o reevaluar los expedientes penales en el caso de que existan, ni para analizar </w:t>
      </w:r>
      <w:r w:rsidRPr="005728DD">
        <w:rPr>
          <w:i/>
        </w:rPr>
        <w:t>ex novo</w:t>
      </w:r>
      <w:r>
        <w:t xml:space="preserve"> la participación de posibles responsables: carece de potestad de carácter investigador sobre los hechos o para </w:t>
      </w:r>
      <w:r>
        <w:lastRenderedPageBreak/>
        <w:t>la determinación de una posible autoría desde el punto de vista de la jurisdicción penal. Las competencias son las previstas en el art. 10 y resultan plenamente homologables con las admitidas por el Tribunal Europeo de Derechos Humanos, que admite que las normas probatorias y la carga de la prueba ante los órganos administrativos sean diferentes de las aplicables en el procedimiento penal. La ley foral no pretende fijar, investigar o acreditar los hechos más allá de la acreditación que resulte estrictamente imprescindible para resolver los expedientes administrativos de reconocimiento de las víctimas. Si apareciesen indicios delictivos, la ley foral prevé la suspensión del procedimiento y su comunicación a los órganos judiciales (arts. 6, párrafo 3, y 10.5), y reconoce la absoluta sumisión del procedimiento administrativo que regula respecto de los procesos judiciales (art. 5.6).</w:t>
      </w:r>
    </w:p>
    <w:p w:rsidR="005728DD" w:rsidRDefault="005728DD" w:rsidP="005728DD">
      <w:pPr>
        <w:pStyle w:val="TextoNormal"/>
      </w:pPr>
    </w:p>
    <w:p w:rsidR="005728DD" w:rsidRDefault="005728DD" w:rsidP="005728DD">
      <w:pPr>
        <w:pStyle w:val="TextoNormal"/>
      </w:pPr>
      <w:r>
        <w:t>El deber de colaboración del art. 10.3 es reflejo del principio de lealtad institucional, y se halla impuesto con carácter general en el art. 4 de la Ley 12/1983, del proceso autonómico, y en los arts. 141 y 142 de la Ley 40/2015, de 1 de octubre, de régimen jurídico del sector público. En cuanto a la colaboración de las personas privadas, la norma cumple con los requisitos de la jurisprudencia constitucional: se establece en norma con rango de ley y es proporcionado a los fines en ella establecidos. El deber de comparecencia no debe confundirse con una obligación de auto-confesar conductas infractoras del ordenamiento jurídico.</w:t>
      </w:r>
    </w:p>
    <w:p w:rsidR="005728DD" w:rsidRDefault="005728DD" w:rsidP="005728DD">
      <w:pPr>
        <w:pStyle w:val="TextoNormal"/>
      </w:pPr>
    </w:p>
    <w:p w:rsidR="005728DD" w:rsidRDefault="005728DD" w:rsidP="005728DD">
      <w:pPr>
        <w:pStyle w:val="TextoNormal"/>
      </w:pPr>
      <w:r>
        <w:t>Se garantiza el respeto al derecho a la intimidad y a la protección de datos [arts. 6, 7 y 10.2 e)]. Las garantías y derechos de los que son acreedoras todas las personas están expresamente garantizados en el art. 5.5.</w:t>
      </w:r>
    </w:p>
    <w:p w:rsidR="005728DD" w:rsidRDefault="005728DD" w:rsidP="005728DD">
      <w:pPr>
        <w:pStyle w:val="TextoNormal"/>
      </w:pPr>
    </w:p>
    <w:p w:rsidR="005728DD" w:rsidRDefault="005728DD" w:rsidP="005728DD">
      <w:pPr>
        <w:pStyle w:val="TextoNormal"/>
      </w:pPr>
      <w:r>
        <w:t>No se pretende fijar la verdad de lo sucedido en el sentido de lo expuesto en el artículo 1.2 a) de la Ley Foral 16/2015, declarado inconstitucional. La Ley Foral 16/2019 se limita a este respecto a formular en su art. 6 una declaración de intenciones que no va más allá de atribuir a los poderes públicos de Navarra y en el ámbito de la ley foral una labor de colaboración con el Gobierno de Navarra para “contribuir al conocimiento de la verdad sobre las vulneraciones de derechos humanos a que se refiere esta ley foral a través de acciones para facilitar a las personas el acceso a archivos oficiales” o a promover medidas de promoción de la memoria y de la convivencia democrática para contribuir al conocimiento de la “verdad histórica” (art. 5). Se contempla un deber de colaboración de los poderes públicos de Navarra, dentro de sus respectivas competencias, con la finalidad de informar a sus potenciales beneficiarios sobre los recursos judiciales de los que pueden disponer en cada caso concreto (art. 6, párrafo 2).</w:t>
      </w:r>
    </w:p>
    <w:p w:rsidR="005728DD" w:rsidRDefault="005728DD" w:rsidP="005728DD">
      <w:pPr>
        <w:pStyle w:val="TextoNormal"/>
      </w:pPr>
    </w:p>
    <w:p w:rsidR="005728DD" w:rsidRDefault="005728DD" w:rsidP="005728DD">
      <w:pPr>
        <w:pStyle w:val="TextoNormal"/>
      </w:pPr>
      <w:r>
        <w:t xml:space="preserve">Se garantiza que la comisión salvaguarda en cualquier caso los derechos al honor y a la presunción de inocencia y en general todos los derechos que asisten a las personas (art. 5.5), sin pretender la determinación de la autoría de unos hechos potencialmente delictivos ni, por lo tanto, su individualización en personas concretas. Por ello cualquier referencia a los arts. 18 y 24 CE carece de trascendencia jurídica alguna a los efectos de este recurso. Para resolver sobre las solicitudes presentadas será suficiente con que se pueda determinar de una manera razonable que los hechos a los que se refiere la ley foral son debidos a este tipo de agentes en su conjunto sin necesidad de individualización alguna. Es suficiente con un cierto esclarecimiento de los hechos en la medida necesaria para establecer la condición de víctima de una persona, tarea que como tal no solo no es ajena a la esfera de funciones propias de la administración pública, sino que entra de lleno en las funciones asistenciales </w:t>
      </w:r>
      <w:r>
        <w:lastRenderedPageBreak/>
        <w:t>que en relación con todas las personas le atribuye la legislación vigente (ATC 30/2017 y decisión del Tribunal Europeo de Derechos Humanos de 18 de julio de 2019).</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providencia de 11 de mayo de 2021, se señaló para la deliberación y votación de la presente sentencia el día 13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posiciones de las partes</w:t>
      </w:r>
      <w:r>
        <w:t>.</w:t>
      </w:r>
    </w:p>
    <w:p w:rsidR="005728DD" w:rsidRDefault="005728DD" w:rsidP="005728DD">
      <w:pPr>
        <w:pStyle w:val="TextoNormal"/>
      </w:pPr>
    </w:p>
    <w:p w:rsidR="005728DD" w:rsidRDefault="005728DD" w:rsidP="005728DD">
      <w:pPr>
        <w:pStyle w:val="TextoNormal"/>
      </w:pPr>
      <w:r>
        <w:t>El presente proceso constitucional tiene por objeto resolver el recurso de inconstitucionalidad promovido por más de cincuenta diputados de los Grupos Parlamentarios Popular y Vox en el Congreso de los Diputados contra la Ley Foral 16/2019, de 26 de marzo, de reconocimiento y reparación de las víctimas por actos de motivación política provocados por grupos de extrema derecha o funcionarios públicos.</w:t>
      </w:r>
    </w:p>
    <w:p w:rsidR="005728DD" w:rsidRDefault="005728DD" w:rsidP="005728DD">
      <w:pPr>
        <w:pStyle w:val="TextoNormal"/>
      </w:pPr>
    </w:p>
    <w:p w:rsidR="005728DD" w:rsidRDefault="005728DD" w:rsidP="005728DD">
      <w:pPr>
        <w:pStyle w:val="TextoNormal"/>
      </w:pPr>
      <w:r>
        <w:t>Los diputados recurrentes sostienen que la Ley Foral 16/2019 incurre en los mismos vicios de inconstitucionalidad que la Ley Foral 16/2015, del mismo título, que fue declarada parcialmente inconstitucional y nula por la STC 85/2018, de 19 de julio, y que se deroga en su integridad por la ley ahora enjuiciada. Aducen que la Ley Foral 16/2019 conculca el principio de reserva jurisdiccional del art. 117.3 CE y el art. 53.2 CE; el derecho al juez predeterminado por la ley y el resto de garantías inherentes al proceso judicial penal (art. 24.2 CE); el derecho a la tutela judicial efectiva (art. 24.1 CE) en sus vertientes de derecho a la igualdad de armas y del principio de audiencia; los principios esenciales del procedimiento administrativo; el principio de intangibilidad de las sentencias (art. 24.1 CE); y los derechos fundamentales de terceros al honor, a la intimidad y a la propia imagen (art. 18.1 CE), a la presunción de inocencia (art. 24.2 CE) y a la protección de datos (art. 18.4 CE).</w:t>
      </w:r>
    </w:p>
    <w:p w:rsidR="005728DD" w:rsidRDefault="005728DD" w:rsidP="005728DD">
      <w:pPr>
        <w:pStyle w:val="TextoNormal"/>
      </w:pPr>
    </w:p>
    <w:p w:rsidR="005728DD" w:rsidRDefault="005728DD" w:rsidP="005728DD">
      <w:pPr>
        <w:pStyle w:val="TextoNormal"/>
      </w:pPr>
      <w:r>
        <w:t>El Parlamento y el Gobierno de Navarra han instado la íntegra desestimación de este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objeto de enjuiciamiento</w:t>
      </w:r>
      <w:r>
        <w:t>.</w:t>
      </w:r>
    </w:p>
    <w:p w:rsidR="005728DD" w:rsidRDefault="005728DD" w:rsidP="005728DD">
      <w:pPr>
        <w:pStyle w:val="TextoNormal"/>
      </w:pPr>
    </w:p>
    <w:p w:rsidR="005728DD" w:rsidRDefault="005728DD" w:rsidP="005728DD">
      <w:pPr>
        <w:pStyle w:val="TextoNormal"/>
      </w:pPr>
      <w:r>
        <w:t>Los recurrentes impugnan la totalidad de la Ley Foral 16/2019, a excepción de sus arts. 8, 22 y 23. Es precisa una previa delimitación del objeto de enjuiciamiento pues, como advierten tanto el Gobierno como el Parlamento de Navarra, la demanda no viene acompañada en todos los casos del pormenorizado análisis del articulado que resulta necesario para cumplir con la carga alegatoria que incumbe a todo recurrente.</w:t>
      </w:r>
    </w:p>
    <w:p w:rsidR="005728DD" w:rsidRDefault="005728DD" w:rsidP="005728DD">
      <w:pPr>
        <w:pStyle w:val="TextoNormal"/>
      </w:pPr>
    </w:p>
    <w:p w:rsidR="005728DD" w:rsidRDefault="005728DD" w:rsidP="005728DD">
      <w:pPr>
        <w:pStyle w:val="TextoNormal"/>
      </w:pPr>
      <w:r>
        <w:t>La demanda se inicia con el examen comparativo entre la Ley Foral 16/2015, enjuiciada por la STC 85/2018, y la Ley Foral 16/2019. Las diferencias existentes entre ambas se tienen en general por irrelevantes, eufemísticas, cosméticas o semánticas. Esta parte de la demanda solo será objeto de consideración en la medida en la que, al hilo de la comparación, se argumentan las razones por las que los preceptos de la Ley Foral 16/2019 incurren en los motivos de inconstitucionalidad alegados.</w:t>
      </w:r>
    </w:p>
    <w:p w:rsidR="005728DD" w:rsidRDefault="005728DD" w:rsidP="005728DD">
      <w:pPr>
        <w:pStyle w:val="TextoNormal"/>
      </w:pPr>
    </w:p>
    <w:p w:rsidR="005728DD" w:rsidRDefault="005728DD" w:rsidP="005728DD">
      <w:pPr>
        <w:pStyle w:val="TextoNormal"/>
      </w:pPr>
      <w:r>
        <w:lastRenderedPageBreak/>
        <w:t>El incumplimiento de la carga argumentativa exigida a la parte actora exime al tribunal de examinar los siguientes preceptos: (i) art. 4 (ámbito territorial), (ii) art. 7 (derecho al reconocimiento público de la condición de víctima, compatible con la preservación de su intimidad; impulso de medidas para el recuerdo y reconocimiento de las víctimas), (iii) art. 12 (efectos de la declaración como víctima: asistencia sanitaria e indemnizaciones económicas), (iv) art. 19 (obligaciones de las personas víctimas de vulneración de derechos humanos), (v) art. 20 (incumplimiento de las condiciones y requisitos: pérdida de beneficios y obligación de reintegro), (vi) disposición adicional segunda (desarrollo reglamentario y habilitación de créditos presupuestarios), (vii) disposición adicional tercera (desarrollo reglamentario), (viii) disposición derogatoria única y (ix) disposición final única (entrada en vigor).</w:t>
      </w:r>
    </w:p>
    <w:p w:rsidR="005728DD" w:rsidRDefault="005728DD" w:rsidP="005728DD">
      <w:pPr>
        <w:pStyle w:val="TextoNormal"/>
      </w:pPr>
    </w:p>
    <w:p w:rsidR="005728DD" w:rsidRDefault="005728DD" w:rsidP="005728DD">
      <w:pPr>
        <w:pStyle w:val="TextoNormal"/>
      </w:pPr>
      <w:r>
        <w:t>La demanda adolece también de cierto grado de indeterminación en los motivos de inconstitucionalidad dirigidos al resto de preceptos impugnados. El Tribunal viene reiterando que la presunción de constitucionalidad de las normas con rango de ley no puede desvirtuarse sin una argumentación suficiente y que no son admisibles las impugnaciones globales carentes de un razonamiento específico que las sustente (así, por ejemplo, SSTC 43/1996, de 14 de marzo, FJ 5; 233/1999, de 16 de diciembre, FJ 2; 248/2007, de 13 de diciembre, FJ 1; 87/2017, de 4 de julio, FJ 2, y 98/2018, de 19 de septiembre, FJ 2). Por esta razón, en el examen del resto del articulado formalmente impugnado se limitará el enjuiciamiento a los motivos de inconstitucionalidad que se aducen por los recurrentes de manera concreta.</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Jurisprudencia constitucional sobre las leyes autonómicas de reconocimiento de víctimas y reparación de daños producidos por hechos violentos</w:t>
      </w:r>
      <w:r>
        <w:t>.</w:t>
      </w:r>
    </w:p>
    <w:p w:rsidR="005728DD" w:rsidRDefault="005728DD" w:rsidP="005728DD">
      <w:pPr>
        <w:pStyle w:val="TextoNormal"/>
      </w:pPr>
    </w:p>
    <w:p w:rsidR="005728DD" w:rsidRDefault="005728DD" w:rsidP="005728DD">
      <w:pPr>
        <w:pStyle w:val="TextoNormal"/>
      </w:pPr>
      <w:r>
        <w:t>El tribunal se ha pronunciado en diversas resoluciones sobre la constitucionalidad de diferentes leyes autonómicas del reconocimiento de la condición de víctimas y reparación de los daños producidos por hechos violentos. Son la ya citada STC 85/2018, que resolvió el recurso de inconstitucionalidad interpuesto contra la Ley Foral 16/2015, de 10 de abril, antecedente directo de la que ahora se examina, la cual, para los recurrentes, plantea idénticos problemas de constitucionalidad; y las SSTC 83/2020, de 15 de julio, y 131/2020, de 22 de septiembre, en que se enjuició la Ley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005728DD" w:rsidRDefault="005728DD" w:rsidP="005728DD">
      <w:pPr>
        <w:pStyle w:val="TextoNormal"/>
      </w:pPr>
    </w:p>
    <w:p w:rsidR="005728DD" w:rsidRDefault="005728DD" w:rsidP="005728DD">
      <w:pPr>
        <w:pStyle w:val="TextoNormal"/>
      </w:pPr>
      <w:r>
        <w:t>La STC 83/2020, sintetizando los principales criterios recogidos en la STC 85/2018 sobre los eventuales problemas de constitucionalidad de este tipo de normativa, declara lo siguiente:</w:t>
      </w:r>
    </w:p>
    <w:p w:rsidR="005728DD" w:rsidRDefault="005728DD" w:rsidP="005728DD">
      <w:pPr>
        <w:pStyle w:val="TextoNormal"/>
      </w:pPr>
    </w:p>
    <w:p w:rsidR="005728DD" w:rsidRDefault="005728DD" w:rsidP="005728DD">
      <w:pPr>
        <w:pStyle w:val="TextoNormal"/>
      </w:pPr>
      <w:r>
        <w:t>«La STC 85/2018 declara la inconstitucionalidad y nulidad de los preceptos de la Ley Foral 16/2015 que, directa o indirectamente, se relacionan con las atribuciones de la comisión creada por la norma en tanto que, a fin de reconocer la condición de víctima y los efectos asociados a tal situación, se asignaban a esa comisión funciones de averiguación y fijación de hechos tipificados como delitos, con infracción de la reserva jurisdiccional al Poder Judicial que deriva del art. 117 CE, en particular respecto a la jurisdicción penal.</w:t>
      </w:r>
    </w:p>
    <w:p w:rsidR="005728DD" w:rsidRDefault="005728DD" w:rsidP="005728DD">
      <w:pPr>
        <w:pStyle w:val="TextoNormal"/>
      </w:pPr>
    </w:p>
    <w:p w:rsidR="005728DD" w:rsidRDefault="005728DD" w:rsidP="005728DD">
      <w:pPr>
        <w:pStyle w:val="TextoNormal"/>
      </w:pPr>
      <w:r>
        <w:lastRenderedPageBreak/>
        <w:t>La STC 85/2018 razona que las previsiones de la ley foral orientadas al reconocimiento, protección y resarcimiento de las víctimas se articulaban a través de una comisión a la que se le encomienda la investigación y fijación de hechos constitutivos de delito, al margen del Poder Judicial y con potestad para desconocer lo ya resuelto por la jurisdicción penal, son contrarias a la Constitución. Dicha comisión “investiga y verifica por sí misma hechos que podrían ser delitos conforme a lo previsto en el Código penal y solo después de hacerlo, eleva propuestas de reconocimiento o denegación de las solicitudes de las que conoce”. Esto es, lleva a cabo “una indagación y verificación de un hecho, en principio, criminal”, aun cuando lo fuera a los efectos del reconocimiento de la condición de víctima y la dispensación de los beneficios correspondientes (FJ 3). Según la STC 85/2018,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de suerte que “[n]o pueden confundirse esos cometidos públicos de carácter asistencial con los que son propios y reservados al Poder Judicial. El deslinde entre la tarea administrativa de reconocimiento y compensación respecto a la investigación y persecución de hechos delictivos ha de ser particularmente claro” (FJ 4).</w:t>
      </w:r>
    </w:p>
    <w:p w:rsidR="005728DD" w:rsidRDefault="005728DD" w:rsidP="005728DD">
      <w:pPr>
        <w:pStyle w:val="TextoNormal"/>
      </w:pPr>
    </w:p>
    <w:p w:rsidR="005728DD" w:rsidRDefault="005728DD" w:rsidP="005728DD">
      <w:pPr>
        <w:pStyle w:val="TextoNormal"/>
      </w:pPr>
      <w:r>
        <w:t>En el caso examinado en la STC 85/2018 no se discute “el reconocimiento administrativo, en cuanto tal, de la condición de víctima y los modos de reparación del daño causado, sino que ello se haga a resultas de una investigación y fijación extrajudiciales de hechos que pudieran ser delictivos y cuya verificación quedaría acreditada [la Ley persigue, en general, ‘fijar la verdad de lo sucedido’: art. 1.2 a)]”. Por tanto, “el tribunal entiende que la configuración por el legislador foral de una comisión llamada a la ‘investigación’ y ‘fijación’ de hechos o conductas constitutivas de delito, al margen, por entero, del Poder Judicial y con potestad, incluso, para desconocer lo ya resuelto por la jurisdicción penal es contraria a la Constitución. Y lo es porque las previsiones orientadas al reconocimiento, protección y resarcimiento de las víctimas se articulan a través de un mecanismo, la comisión instituida en la ley foral, que lleva a cabo una genuina labor de averiguación de hechos calificados como delitos ante la existencia de denuncias o reclamaciones singulares.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artículo 117 CE” (FJ 7).</w:t>
      </w:r>
    </w:p>
    <w:p w:rsidR="005728DD" w:rsidRDefault="005728DD" w:rsidP="005728DD">
      <w:pPr>
        <w:pStyle w:val="TextoNormal"/>
      </w:pPr>
    </w:p>
    <w:p w:rsidR="005728DD" w:rsidRDefault="005728DD" w:rsidP="005728DD">
      <w:pPr>
        <w:pStyle w:val="TextoNormal"/>
      </w:pPr>
      <w:r>
        <w:t>La conclusión, en el mismo fundamento jurídico, es que “el sistema articulado por el legislador foral no se ajusta a los parámetros que se han expuesto y ha sobrepasado con ello los límites constitucionales, al atribuir a la comisión que crea la ley impugnada, la potestad de investigar y apreciar en plenitud por sí misma, al margen del Poder Judicial y sin vocación alguna a la institución del proceso, hechos en apariencia delictivos”, con la consecuencia de que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 (FJ 6).</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Contenido de la Ley Foral</w:t>
      </w:r>
      <w:r>
        <w:t xml:space="preserve"> 16/2019.</w:t>
      </w:r>
    </w:p>
    <w:p w:rsidR="005728DD" w:rsidRDefault="005728DD" w:rsidP="005728DD">
      <w:pPr>
        <w:pStyle w:val="TextoNormal"/>
      </w:pPr>
    </w:p>
    <w:p w:rsidR="005728DD" w:rsidRDefault="005728DD" w:rsidP="005728DD">
      <w:pPr>
        <w:pStyle w:val="TextoNormal"/>
      </w:pPr>
      <w:r>
        <w:t>El objeto de la Ley Foral 16/2019 es “configurar el derecho al reconocimiento y, en su caso, reparación de las víctimas de motivación política generadas por la acción violenta de grupos de extrema derecha o por parte de funcionarios públicos, regulando los medios y mecanismos para que sean reconocidas como tales víctimas y, en su caso, como personas beneficiarias de los correspondientes derechos de reconocimiento y reparación integral” (art. 1.1). No se recogen otros objetivos que figuraban en el art. 1.2 de la Ley Foral 16/2015, entre ellos: esclarecer al máximo los hechos y documentar los casos existentes de una forma veraz y coherente, con el propósito de fijar la verdad de lo sucedido; rehabilitar a las víctimas de motivación política; evitar en lo posible la sensación de impunidad y frustración penal; o impulsar el reconocimiento del daño causado por parte de las personas, organizaciones o instituciones que protagonizaron los hechos violentos.</w:t>
      </w:r>
    </w:p>
    <w:p w:rsidR="005728DD" w:rsidRDefault="005728DD" w:rsidP="005728DD">
      <w:pPr>
        <w:pStyle w:val="TextoNormal"/>
      </w:pPr>
    </w:p>
    <w:p w:rsidR="005728DD" w:rsidRDefault="005728DD" w:rsidP="005728DD">
      <w:pPr>
        <w:pStyle w:val="TextoNormal"/>
      </w:pPr>
      <w:r>
        <w:t>Las personas beneficiarias, según el art. 2, serán aquellas que hayan visto vulnerados sus derechos humanos en un contexto de actuaciones de violencia por motivación política, acontecidas a partir del 1 de enero de 1950 (art. 3), en las que hubieran podido intervenir funcionarios públicos o particulares que actuaban en grupo o de forma aislada e incontrolada, y que como consecuencia hayan sufrido un perjuicio relativo a la vida o a la integridad física, psíquica, moral o sexual. Como novedad, este artículo excluye del ámbito subjetivo a las personas que resultaran fallecidas o heridas por la manipulación de armas o explosivos con el fin de realizar alguna actividad violenta, incluido el caso de que con dicha manipulación se pretendiera repeler o evitar actuaciones legítimas de las fuerzas y cuerpos de seguridad. Se suprime también la mención —que figuraba en el art. 2.4 de la Ley Foral 16/2015— de la interpretación de los conceptos de tortura, tratos inhumanos o degradantes conforme al artículo 1 de la Convención de las Naciones Unidas contra la tortura y otros tratos o penas crueles, inhumanos o degradantes y la jurisprudencia del Tribunal Europeo de Derechos Humanos.</w:t>
      </w:r>
    </w:p>
    <w:p w:rsidR="005728DD" w:rsidRDefault="005728DD" w:rsidP="005728DD">
      <w:pPr>
        <w:pStyle w:val="TextoNormal"/>
      </w:pPr>
    </w:p>
    <w:p w:rsidR="005728DD" w:rsidRDefault="005728DD" w:rsidP="005728DD">
      <w:pPr>
        <w:pStyle w:val="TextoNormal"/>
      </w:pPr>
      <w:r>
        <w:t>El art. 5 regula los principios de actuación incorporando por primera vez, entre otros, los principios de garantía de los derechos de terceras personas (apartado 5) y de subsidiariedad del procedimiento administrativo respecto del penal (apartado 6). El art. 6 regula el derecho a la verdad, incorporando como novedad en su párrafo tercero la pauta que debe seguirse cuando del inicio del expediente se pueda desprender alguna actuación ilegal. Los arts. 7 y 8 detallan el contenido de los derechos al reconocimiento y reparación.</w:t>
      </w:r>
    </w:p>
    <w:p w:rsidR="005728DD" w:rsidRDefault="005728DD" w:rsidP="005728DD">
      <w:pPr>
        <w:pStyle w:val="TextoNormal"/>
      </w:pPr>
    </w:p>
    <w:p w:rsidR="005728DD" w:rsidRDefault="005728DD" w:rsidP="005728DD">
      <w:pPr>
        <w:pStyle w:val="TextoNormal"/>
      </w:pPr>
      <w:r>
        <w:t xml:space="preserve">El procedimiento de reconocimiento y reparación se regula por primera vez con detalle en los artículos 9 a 12 de la ley foral impugnada. Se prevé, entre otros aspectos, la suspensión cuando existan causas judiciales o procedimientos administrativos sancionadores abiertos (art. 10.5). La tramitación queda a cargo de la comisión de reconocimiento y reparación (en lo sucesivo, la comisión) hasta la fase de propuesta de resolución (art. 11). La comisión no tiene las atribuciones del derogado art. 3.1 de la Ley Foral 16/2015: “competencia directa en cuanto a la fijación e investigación de los hechos con base en instrumentos internacionales homologados, como el Protocolo de Estambul y al margen de toda interferencia en el plano penal. En caso de que no existiera una sentencia aclaratoria sobre la autoría de los hechos, se determinará de forma veraz y coherente una interpretación que esclarezca lo sucedido y así se determinen las personas beneficiarias de los derechos contemplados en esta ley foral”. En su lugar, le corresponde “valorar las solicitudes presentadas y proponer, al amparo de esta ley foral, la admisión o inadmisión de las solicitudes y, cuando proceda, la </w:t>
      </w:r>
      <w:r>
        <w:lastRenderedPageBreak/>
        <w:t>propuesta de declaración de la condición de víctima y, en su caso, las medidas de reparación” (art. 13.1).</w:t>
      </w:r>
    </w:p>
    <w:p w:rsidR="005728DD" w:rsidRDefault="005728DD" w:rsidP="005728DD">
      <w:pPr>
        <w:pStyle w:val="TextoNormal"/>
      </w:pPr>
    </w:p>
    <w:p w:rsidR="005728DD" w:rsidRDefault="005728DD" w:rsidP="005728DD">
      <w:pPr>
        <w:pStyle w:val="TextoNormal"/>
      </w:pPr>
      <w:r>
        <w:t>En los arts. 13 a 18 se regulan la composición y las reglas de organización y funcionamiento de la comisión, así como los recursos económicos materiales y personales (art. 17) y la memoria anual. Aquella no dará cuenta de “los resultados de las investigaciones, las características de los datos recabados, las solicitudes presentadas y cualquier otro dato que ayude a tener un conocimiento exhaustivo y real de lo sucedido” (art. 3.7 de la Ley Foral 16/2015), sino de “las solicitudes recibidas, los resultados de los trabajos realizados, la situación de los expedientes y las propuestas de resolución emitidas” (art. 18). Los arts. 19 y 20 regulan las obligaciones de las personas solicitantes y, en su caso, beneficiarias del reconocimiento y reparación, y las consecuencias del incumplimiento de las condiciones y requisitos legales.</w:t>
      </w:r>
    </w:p>
    <w:p w:rsidR="005728DD" w:rsidRDefault="005728DD" w:rsidP="005728DD">
      <w:pPr>
        <w:pStyle w:val="TextoNormal"/>
      </w:pPr>
    </w:p>
    <w:p w:rsidR="005728DD" w:rsidRDefault="005728DD" w:rsidP="005728DD">
      <w:pPr>
        <w:pStyle w:val="TextoNormal"/>
      </w:pPr>
      <w:r>
        <w:t>Los arts. 21 a 23, bajo el epígrafe común de “Fomento de la cultura de la paz y la convivencia”, regulan las relaciones entre la comisión y el instituto de la memoria u organismo análogo, la educación para la paz y la convivencia y las actuaciones de sensibilización de la sociedad. Los informes de la comisión regulados en el art. 6 de la precedente Ley Foral 16/2015, que, entre otros contenidos, debían recoger la “cuantificación solvente y veraz del número de atentados, agresiones, torturas o cualquier otra vulneración de los derechos humanos producidas en Navarra o sufridos por personas domiciliadas en Navarra” y una “verificación de la credibilidad de las denuncias mediante el método del Protocolo de Estambul”, se sustituyen por informes de contenido inespecífico del Instituto de Memoria, que se elaborarán con base en las memorias anuales de la comisión y los trabajos complementarios que haya podido desarrollar sobre la materia (art. 21).</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Primer motivo de inconstitucionalidad sobre la vulneración del principio de reserva jurisdiccional</w:t>
      </w:r>
      <w:r>
        <w:t>.</w:t>
      </w:r>
    </w:p>
    <w:p w:rsidR="005728DD" w:rsidRDefault="005728DD" w:rsidP="005728DD">
      <w:pPr>
        <w:pStyle w:val="TextoNormal"/>
      </w:pPr>
    </w:p>
    <w:p w:rsidR="005728DD" w:rsidRDefault="005728DD" w:rsidP="005728DD">
      <w:pPr>
        <w:pStyle w:val="TextoNormal"/>
      </w:pPr>
      <w:r>
        <w:t>El primer motivo de inconstitucionalidad que se formula en el recurso, invocando la doctrina de la STC 85/2018, es la vulneración del principio de reserva jurisdiccional de los arts. 117.3 y 53.2 CE. Se reprocha a la Ley Foral 16/2019 el establecimiento de un procedimiento de esclarecimiento, investigación y apreciación de hechos en apariencia delictivos, al margen de resoluciones judiciales firmes, que, según se alega, se concreta en los arts. 1, 2, 3, 5, 6, 9.3, 10 (particularmente en el apartado 6) y 11.</w:t>
      </w:r>
    </w:p>
    <w:p w:rsidR="005728DD" w:rsidRDefault="005728DD" w:rsidP="005728DD">
      <w:pPr>
        <w:pStyle w:val="TextoNormal"/>
      </w:pPr>
    </w:p>
    <w:p w:rsidR="005728DD" w:rsidRDefault="005728DD" w:rsidP="005728DD">
      <w:pPr>
        <w:pStyle w:val="TextoNormal"/>
      </w:pPr>
      <w:r>
        <w:t xml:space="preserve">A la vista de las alegaciones de la demanda en relación con este motivo el tribunal aprecia lo siguiente: (i) debe excluirse del enjuiciamiento el art. 3, que se limita a fijar el ámbito temporal de la Ley en las “acciones acontecidas a partir del 1 de enero de 1950” y no contiene regulación alguna sobre el procedimiento que la demanda reputa inconstitucional; (ii) nada se alega en la demanda que permita conectar la vulneración de los arts. 117.3 y 53.2 CE con la enunciación de los principios de celeridad, no discriminación y trato favorable a las víctimas, y participación social y conocimiento de la ciudadanía, recogidos en los apartados 2, 3 y 4 del art. 5, por lo que también este aspecto debe excluirse del enjuiciamiento; y (iii) tampoco se puede considerar cumplida la carga alegatoria respecto del apartado 1 del art. 10 (plazo de resolución de la admisión a trámite de la solicitud) y de los apartados 2, 3 y 4 del art. 11 (traslado del informe de la comisión al órgano competente en materia de paz, </w:t>
      </w:r>
      <w:r>
        <w:lastRenderedPageBreak/>
        <w:t>convivencia y derechos humanos; resolución por este de la solicitud; notificación al interesado; y determinación de los derechos derivados del reconocimiento de la condición de víctima).</w:t>
      </w:r>
    </w:p>
    <w:p w:rsidR="005728DD" w:rsidRDefault="005728DD" w:rsidP="005728DD">
      <w:pPr>
        <w:pStyle w:val="TextoNormal"/>
      </w:pPr>
    </w:p>
    <w:p w:rsidR="005728DD" w:rsidRDefault="005728DD" w:rsidP="005728DD">
      <w:pPr>
        <w:pStyle w:val="TextoNormal"/>
      </w:pPr>
      <w:r>
        <w:t>a) El art. 1 regula el objeto de la Ley —la configuración del derecho al reconocimiento y reparación de las víctimas— haciendo alusiones genéricas a la regulación de los “medios y mecanismos” de reconocimiento (apartado 1) y al establecimiento de “un procedimiento administrativo al objeto de adoptar medidas administrativas que den amparo a las personas” (apartado 2). Esta regulación encaja sin dificultad alguna en el reconocimiento administrativo de la condición de víctima y los modos de reparación del daño causado. De la misma manera, el art. 2, al definir el ámbito subjetivo de la Ley Foral 16/2019, no determina ni prejuzga que las personas que hayan visto vulnerados sus derechos humanos en las circunstancias que fija el precepto obtengan el reconocimiento de la condición de víctima de resultas de una investigación y fijación extrajudiciales de hechos que pudieran ser delictivos. Los arts. 1 y 2, al delimitar el objeto y el ámbito subjetivo de la propia ley, no regulan el procedimiento por el que se alcanzará el resultado del reconocimiento de la condición de víctima y la reparación del daño causado. Su contenido no es, pues, susceptible de incurrir en la vulneración que se denuncia.</w:t>
      </w:r>
    </w:p>
    <w:p w:rsidR="005728DD" w:rsidRDefault="005728DD" w:rsidP="005728DD">
      <w:pPr>
        <w:pStyle w:val="TextoNormal"/>
      </w:pPr>
    </w:p>
    <w:p w:rsidR="005728DD" w:rsidRDefault="005728DD" w:rsidP="005728DD">
      <w:pPr>
        <w:pStyle w:val="TextoNormal"/>
      </w:pPr>
      <w:r>
        <w:t>b) El núcleo del reproche que se dirige al conjunto de la Ley Foral 16/2019 estriba en el procedimiento que ha de seguir la comisión para el reconocimiento de las víctimas y la reparación de los daños.</w:t>
      </w:r>
    </w:p>
    <w:p w:rsidR="005728DD" w:rsidRDefault="005728DD" w:rsidP="005728DD">
      <w:pPr>
        <w:pStyle w:val="TextoNormal"/>
      </w:pPr>
    </w:p>
    <w:p w:rsidR="005728DD" w:rsidRDefault="005728DD" w:rsidP="005728DD">
      <w:pPr>
        <w:pStyle w:val="TextoNormal"/>
      </w:pPr>
      <w:r>
        <w:t>En esta sentencia centraremos el análisis en los arts. 9.3 (iniciación-contenido de la solicitud), 10, apartados 2 a 7 (instrucción del procedimiento) y 11.1 (propuesta de resolución de las solicitudes), que regulan los aspectos específicamente procedimentales. El Tribunal partirá de la STC 85/2018, cuya síntesis ha quedado antes transcrita, y trasladará al examen de la Ley Foral 16/2019 los criterios recogidos en la STC 83/2020, que examina con mayor detalle determinadas reglas del procedimiento de reconocimiento de víctimas y reparación de daños de la Ley vasca 5/2019, de 4 de abril, de modificación de la Ley 12/2016, de 28 de julio.</w:t>
      </w:r>
    </w:p>
    <w:p w:rsidR="005728DD" w:rsidRDefault="005728DD" w:rsidP="005728DD">
      <w:pPr>
        <w:pStyle w:val="TextoNormal"/>
      </w:pPr>
    </w:p>
    <w:p w:rsidR="005728DD" w:rsidRDefault="005728DD" w:rsidP="005728DD">
      <w:pPr>
        <w:pStyle w:val="TextoNormal"/>
      </w:pPr>
      <w:r>
        <w:t>(i) El art. 9.3 dispone que la solicitud para la declaración de la condición de víctima debe contener una descripción detallada de los hechos y puede ir acompañada de los documentos o informes que se consideren oportunos. A tenor de lo declarado por la STC 83/2020, FJ 7, a propósito del art. 2.4 de la Ley del País Vasco, se trata con ello de que los solicitantes proporcionen el soporte argumental válido para que el órgano administrativo, es decir, la comisión, determine si procede otorgar la condición de víctima, lo que lleva aparejado el otorgamiento de medidas de reparación. Por tanto, el inciso de este precepto no incurre en ningún motivo de inconstitucionalidad.</w:t>
      </w:r>
    </w:p>
    <w:p w:rsidR="005728DD" w:rsidRDefault="005728DD" w:rsidP="005728DD">
      <w:pPr>
        <w:pStyle w:val="TextoNormal"/>
      </w:pPr>
    </w:p>
    <w:p w:rsidR="005728DD" w:rsidRDefault="005728DD" w:rsidP="005728DD">
      <w:pPr>
        <w:pStyle w:val="TextoNormal"/>
      </w:pPr>
      <w:r>
        <w:t xml:space="preserve">(ii) El art. 9.3 incluye un segundo inciso en que se señala “sin perjuicio de las actuaciones y gestiones que pueda realizar la comisión para la documentación y acreditación de los mismos”. Este inciso, interpretado en los términos expresados en la jurisprudencia establecida en la STC 83/2020, FJ 10, de que la referencia a las actuaciones y gestiones no implica una actividad indagatoria propia de la comisión, sino solamente de los datos que, en aplicación del principio de colaboración interinstitucional con los poderes públicos de la comunidad </w:t>
      </w:r>
      <w:r>
        <w:lastRenderedPageBreak/>
        <w:t>foral, previsto en el art. 5.1, le fueran suministrados a la comisión, puede ser considerado constitucional. Esta interpretación conforme será llevada al fallo.</w:t>
      </w:r>
    </w:p>
    <w:p w:rsidR="005728DD" w:rsidRDefault="005728DD" w:rsidP="005728DD">
      <w:pPr>
        <w:pStyle w:val="TextoNormal"/>
      </w:pPr>
    </w:p>
    <w:p w:rsidR="005728DD" w:rsidRDefault="005728DD" w:rsidP="005728DD">
      <w:pPr>
        <w:pStyle w:val="TextoNormal"/>
      </w:pPr>
      <w:r>
        <w:t>(iii) Las actuaciones que puede practicar la comisión para el cumplimiento de sus funciones se enumeran en el art. 10.2, el cual contiene una cláusula final en el apartado e) que permite a aquella “llevar a cabo cuantas actuaciones estime precisas en orden al mejor estudio y comprobación de los hechos, circunstancias y consecuencias aducidas y a una mejor resolución de la solicitud presentada”. Este apartado no puede considerarse inconstitucional si, como también se señaló en la STC 83/2020, FJ 10, se interpreta, en lo relativo a “cuantas actuaciones estime precisas en orden al mejor estudio y comprobación de los hechos, circunstancias y consecuencias aducidas”, como circunscrito a la valoración de la documentación aportada, bien por el solicitante, bien por aquellos que colaboren con la comisión; y, en lo relativo “a una mejor resolución de la solicitud presentada”, en el sentido de entender que no permiten una actividad indagatoria propia de la comisión de valoración, sino solamente que, a partir de la documentación aportada por el solicitante y en defecto de resolución administrativa o judicial, se determine la existencia de la relación de causalidad necesaria para articular los mecanismos compensatorios previstos en la norma. Esta interpretación será llevada al fallo.</w:t>
      </w:r>
    </w:p>
    <w:p w:rsidR="005728DD" w:rsidRDefault="005728DD" w:rsidP="005728DD">
      <w:pPr>
        <w:pStyle w:val="TextoNormal"/>
      </w:pPr>
    </w:p>
    <w:p w:rsidR="005728DD" w:rsidRDefault="005728DD" w:rsidP="005728DD">
      <w:pPr>
        <w:pStyle w:val="TextoNormal"/>
      </w:pPr>
      <w:r>
        <w:t>Las actuaciones previstas en el art. 10.2 que sí quedan especificadas consisten, en síntesis, en oír al solicitante a efectos de completar la información sobre la documentación que haya presentado [apartado a)]; recabar antecedentes, datos o informes de la administración foral [apartado b)]; solicitar información a otras entidades públicas o privadas dentro de los límites fijados por la legislación vigente en materia de transparencia y protección de datos [apartado c)] y solicitar informe o testimonio de personas que por su conocimiento directo o indirecto de los hechos o por su experiencia o pericia técnica puedan aportar información relevante [apartado d)].</w:t>
      </w:r>
    </w:p>
    <w:p w:rsidR="005728DD" w:rsidRDefault="005728DD" w:rsidP="005728DD">
      <w:pPr>
        <w:pStyle w:val="TextoNormal"/>
      </w:pPr>
    </w:p>
    <w:p w:rsidR="005728DD" w:rsidRDefault="005728DD" w:rsidP="005728DD">
      <w:pPr>
        <w:pStyle w:val="TextoNormal"/>
      </w:pPr>
      <w:r>
        <w:t>Tanto estas actuaciones como el informe pericial preceptivo contemplado en el art. 10.6 son típicos de la fase de instrucción de cualquier procedimiento administrativo. No difieren sustancialmente de los actos de instrucción contemplados en la legislación estatal de procedimiento administrativo común en el capítulo IV del título IV de la Ley 39/2015. A esta ley estatal se remite el art. 116.1 de la Ley Foral 11/2019, de 11 de marzo, de la administración de la Comunidad Foral y del sector público institucional foral al disponer que “[e]n el ámbito de la administración pública foral los procedimientos administrativos, incluido el sancionador y el de exigencia de responsabilidad patrimonial de la administración, se regirán por lo dispuesto en la legislación básica”, y que la ley foral puede incluir “motivadamente y respetando los principios generales de la legislación básica, trámites adicionales o distintos a los contemplados en la referida legislación” (apartado 2).</w:t>
      </w:r>
    </w:p>
    <w:p w:rsidR="005728DD" w:rsidRDefault="005728DD" w:rsidP="005728DD">
      <w:pPr>
        <w:pStyle w:val="TextoNormal"/>
      </w:pPr>
    </w:p>
    <w:p w:rsidR="005728DD" w:rsidRDefault="005728DD" w:rsidP="005728DD">
      <w:pPr>
        <w:pStyle w:val="TextoNormal"/>
      </w:pPr>
      <w:r>
        <w:t xml:space="preserve">Según las normas del procedimiento administrativo común, los actos de instrucción se realizan de oficio y están orientados a la “determinación, conocimiento y comprobación de los hechos en virtud de los cuales deba pronunciarse la resolución”. (art.75.1 LPACAP). Los hechos relevantes para la decisión de un procedimiento pueden acreditarse “por cualquier medio de prueba admisible en Derecho” y se acordará la apertura de oficio un periodo de prueba “[c]uando la administración no tenga por ciertos los hechos alegados por los interesados o la naturaleza del procedimiento lo exija” (art. 77.1 y 2 LPACAP). La Ley del procedimiento administrativo común, como recuerda la STC 83/2020, FJ 10, también regula </w:t>
      </w:r>
      <w:r>
        <w:lastRenderedPageBreak/>
        <w:t>en su art. 18 el deber de colaboración, y en su art. 19 el deber de comparecencia, que figuran recogidos en el art. 10.3 de la Ley Foral.</w:t>
      </w:r>
    </w:p>
    <w:p w:rsidR="005728DD" w:rsidRDefault="005728DD" w:rsidP="005728DD">
      <w:pPr>
        <w:pStyle w:val="TextoNormal"/>
      </w:pPr>
    </w:p>
    <w:p w:rsidR="005728DD" w:rsidRDefault="005728DD" w:rsidP="005728DD">
      <w:pPr>
        <w:pStyle w:val="TextoNormal"/>
      </w:pPr>
      <w:r>
        <w:t>La citada STC 85/2018 declara que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(FJ 4).</w:t>
      </w:r>
    </w:p>
    <w:p w:rsidR="005728DD" w:rsidRDefault="005728DD" w:rsidP="005728DD">
      <w:pPr>
        <w:pStyle w:val="TextoNormal"/>
      </w:pPr>
    </w:p>
    <w:p w:rsidR="005728DD" w:rsidRDefault="005728DD" w:rsidP="005728DD">
      <w:pPr>
        <w:pStyle w:val="TextoNormal"/>
      </w:pPr>
      <w:r>
        <w:t>La Ley Foral 16/2019 garantiza el necesario “deslinde entre la tarea administrativa de reconocimiento y compensación respecto a la investigación y persecución de hechos delictivos” (STC 85/2018, FJ 4) a través de los preceptos que establecen: el respeto a las garantías jurídicas y constitucionales de terceras personas (art. 5.5); la subsidiariedad del procedimiento administrativo respecto del penal, de tal suerte que el primero carece de finalidad punitiva y queda sometido a los deberes y obligaciones de abstención, concurrencia y sujeción a los pronunciamientos judiciales (art. 5.6); la comunicación de cualquier indicio de actuación ilegal a los órganos judiciales, que se pondrá también en conocimiento de la autoridad competente (art. 6, párrafo tercero); y la suspensión del procedimiento de reconocimiento y reparación si existen causas judiciales o procedimientos sancionadores abiertos, hasta el agotamiento de la vía judicial o la firmeza de la sanción administrativa (art. 10.5). Estas reglas son plenamente congruentes con el art. 22.1 g) LPACAP, que dispone la suspensión cuando “para la resolución del procedimiento sea indispensable la obtención de un previo pronunciamiento por parte de un órgano jurisdiccional” y evitan “la coincidencia material entre hechos susceptibles de ser investigados penalmente con la indagación acerca de lo que considera hechos determinantes de daño indemnizable” (STC 85/2018, FJ 6).</w:t>
      </w:r>
    </w:p>
    <w:p w:rsidR="005728DD" w:rsidRDefault="005728DD" w:rsidP="005728DD">
      <w:pPr>
        <w:pStyle w:val="TextoNormal"/>
      </w:pPr>
    </w:p>
    <w:p w:rsidR="005728DD" w:rsidRDefault="005728DD" w:rsidP="005728DD">
      <w:pPr>
        <w:pStyle w:val="TextoNormal"/>
      </w:pPr>
      <w:r>
        <w:t>Mediante la práctica de las actuaciones reguladas en el art. 10 se acomete, en definitiva, empleando los términos de la STC 83/2020, “la tarea reservada a la comisión que es determinar precisamente la relación de causalidad existente entre los hechos y la producción del resultado dañoso. Relación de causalidad imprescindible para que se produzca la compensación regulada en la norma [foral], pero sin que ello implique indagación alguna sobre los concretos responsables de los daños compensados, más allá, y fuera de lo declarado en resoluciones judiciales y administrativas que vinculan a la comisión, de lo previsto con carácter general e indeterminado en el [art. 2 b) de la Ley Foral] en relación con la condición de funcionarios públicos o de particulares de los participantes en la producción del resultado dañoso […] la doctrina de la STC 85/2018 no impide que la condición de víctima se reconozca y los beneficios se dispensen en ausencia de pronunciamiento judicial (pues, de existir, hay que atenerse a este), siempre que la actuación administrativa que lleve a dicho reconocimiento no interfiera en las potestades reservadas a los jueces y tribunales del orden penal” (FJ 10).</w:t>
      </w:r>
    </w:p>
    <w:p w:rsidR="005728DD" w:rsidRDefault="005728DD" w:rsidP="005728DD">
      <w:pPr>
        <w:pStyle w:val="TextoNormal"/>
      </w:pPr>
    </w:p>
    <w:p w:rsidR="005728DD" w:rsidRDefault="005728DD" w:rsidP="005728DD">
      <w:pPr>
        <w:pStyle w:val="TextoNormal"/>
      </w:pPr>
      <w:r>
        <w:t>Las disposiciones recogidas en los arts. 5, apartados 5 y 6, 6, párrafo tercero, y 10.5, permiten remitirse una vez más a la STC 83/2020: “la identificación del supuesto de hecho de la norma en absoluto requiere la determinación individualizada del autor de la vulneración. No se persigue aquí la presunción de certeza sobre el responsable del hecho ilícito que solo puede ser garantizado por el proceso judicial penal, sino solamente determinar, a partir preferentemente de lo ya probado en vía administrativa o judicial, la relación de causalidad entre hechos y resultado dañoso determinante de la puesta en marcha de los mecanismos de reparación diseñados por el legislador autonómico. No hay en la tarea de la comisión […] posible calificación jurídica de eventuales actos o conductas punibles, ni tampoco imputación o atribución individualizada a los sujetos a los que pudiera alcanzar la investigación. A la comisión, en el ejercicio de su actividad, ni le corresponde efectuar una calificación jurídica de los hechos ante ella presentados, ni llevar a cabo imputaciones o determinaciones personales sobre la autoría de comportamientos ilícitos sino la fijación de los presupuestos fácticos de los posteriores reconocimientos como víctimas” (FJ 7).</w:t>
      </w:r>
    </w:p>
    <w:p w:rsidR="005728DD" w:rsidRDefault="005728DD" w:rsidP="005728DD">
      <w:pPr>
        <w:pStyle w:val="TextoNormal"/>
      </w:pPr>
    </w:p>
    <w:p w:rsidR="005728DD" w:rsidRDefault="005728DD" w:rsidP="005728DD">
      <w:pPr>
        <w:pStyle w:val="TextoNormal"/>
      </w:pPr>
      <w:r>
        <w:t>Por último, el tribunal no comparte la interpretación del art. 10.7 que proponen los recurrentes, que consideran que este precepto atribuye en exclusiva a la comisión el conocimiento de las vulneraciones de derechos humanos, cosa que vulneraría los arts. 117.3 CE y el art. 53.2 CE, por ser los jueces y tribunales los garantes de la protección de los derechos fundamentales. El alcance del apartado es más limitado, pues no va más allá de reservar en exclusiva a la comisión determinadas funciones propias del procedimiento administrativo de reconocimiento y reparación regulado en la ley foral: “proponer, de forma motivada, la inadmisión a trámite de las solicitudes, así como analizar las solicitudes admitidas y acordar, motivadamente, la propuesta de declaración de la condición de víctima o de denegación de la solicitud presentada”.</w:t>
      </w:r>
    </w:p>
    <w:p w:rsidR="005728DD" w:rsidRDefault="005728DD" w:rsidP="005728DD">
      <w:pPr>
        <w:pStyle w:val="TextoNormal"/>
      </w:pPr>
    </w:p>
    <w:p w:rsidR="005728DD" w:rsidRDefault="005728DD" w:rsidP="005728DD">
      <w:pPr>
        <w:pStyle w:val="TextoNormal"/>
      </w:pPr>
      <w:r>
        <w:t>Por tanto, tampoco se aprecia la inconstitucionalidad alegada de los diversos apartados del art. 10, si bien respecto del apartado e) con la interpretación conforme indicada, que será llevada al fallo.</w:t>
      </w:r>
    </w:p>
    <w:p w:rsidR="005728DD" w:rsidRDefault="005728DD" w:rsidP="005728DD">
      <w:pPr>
        <w:pStyle w:val="TextoNormal"/>
      </w:pPr>
    </w:p>
    <w:p w:rsidR="005728DD" w:rsidRDefault="005728DD" w:rsidP="005728DD">
      <w:pPr>
        <w:pStyle w:val="TextoNormal"/>
      </w:pPr>
      <w:r>
        <w:t>(iv) El art. 11.1 establece el contenido del informe-propuesta motivado con el que finaliza la actuación de la comisión en cada procedimiento en los siguientes términos: “analizará el cumplimiento de los requisitos establecidos en el ámbito de aplicación de la ley foral, realizará un resumen de los hechos que ocasionaron la vulneración de los derechos humanos de la víctima e incluirá una valoración sobre la relación de causalidad entre los hechos y los perjuicios acreditados, detallando los medios de prueba en los que se fundamenta y propondrá en su caso, la declaración de víctima, a los efectos de esta ley foral, así como las medidas reparadoras que consideren oportunas”.</w:t>
      </w:r>
    </w:p>
    <w:p w:rsidR="005728DD" w:rsidRDefault="005728DD" w:rsidP="005728DD">
      <w:pPr>
        <w:pStyle w:val="TextoNormal"/>
      </w:pPr>
    </w:p>
    <w:p w:rsidR="005728DD" w:rsidRDefault="005728DD" w:rsidP="005728DD">
      <w:pPr>
        <w:pStyle w:val="TextoNormal"/>
      </w:pPr>
      <w:r>
        <w:t>Este precepto, por remisión a lo también establecido en la STC 83/2020, FJ 10, es constitucional en lo relativo al inciso “realizará un resumen de los hechos que ocasionaron la vulneración de los derechos humanos de la víctima” si se interpreta en el sentido de entender que el resumen de los hechos que debe realizar la comisión debe circunscribirse a la apreciación del nexo causal entre tales hechos y el resultado dañoso alegado por el solicitante. Esta interpretación será llevada al fallo.</w:t>
      </w:r>
    </w:p>
    <w:p w:rsidR="005728DD" w:rsidRDefault="005728DD" w:rsidP="005728DD">
      <w:pPr>
        <w:pStyle w:val="TextoNormal"/>
      </w:pPr>
    </w:p>
    <w:p w:rsidR="005728DD" w:rsidRDefault="005728DD" w:rsidP="005728DD">
      <w:pPr>
        <w:pStyle w:val="TextoNormal"/>
      </w:pPr>
      <w:r>
        <w:lastRenderedPageBreak/>
        <w:t>c) El examen de los apartados 1 y 5 del art. 5 debe hacerse atendiendo a la jurisprudencia establecida en la STC 83/2020, FJ 8, en la que se resuelven las dudas de constitucionalidad en relación con el principio de colaboración interinstitucional y las previsiones de las garantías de respeto a los derechos fundamentales de terceros en la instrucción de este tipo de procedimientos administrativos.</w:t>
      </w:r>
    </w:p>
    <w:p w:rsidR="005728DD" w:rsidRDefault="005728DD" w:rsidP="005728DD">
      <w:pPr>
        <w:pStyle w:val="TextoNormal"/>
      </w:pPr>
    </w:p>
    <w:p w:rsidR="005728DD" w:rsidRDefault="005728DD" w:rsidP="005728DD">
      <w:pPr>
        <w:pStyle w:val="TextoNormal"/>
      </w:pPr>
      <w:r>
        <w:t>El art. 5.1 regula el denominado principio de colaboración interinstitucional, del que también es manifestación el art. 10.4. Dicha previsión se refiere a asuntos sobre los que no esté conociendo la jurisdicción penal, pues, si del inicio del expediente pudiera desprenderse alguna actuación ilegal, la Ley Foral 16/2019 prevé la comunicación al tribunal competente (art. 6, párrafo tercero), así como la suspensión del procedimiento administrativo si la comisión tiene conocimiento de la existencia de causas judiciales abiertas, hasta el agotamiento de la vía judicial (art. 10.5). Ambas previsiones excluyen cualquier riesgo de la interferencia en la actuación de la jurisdicción penal que denuncian los recurrentes. No se está, por tanto, como aprecia la STC 85/2018, FJ 6, ante “excepciones legislativas a la dirección o al control por el Poder Judicial de estas investigaciones de delitos”. La subsidiariedad del procedimiento administrativo, sujeto al deber de respetar “con plena garantía los deberes y obligaciones de abstención, concurrencia y sujeción a los pronunciamientos judiciales”, respecto del penal, se configura como un principio de actuación específico en el art. 5.6, que —junto a los ya citados arts. 6 y 10.5— excluyen interferencias, que no serían constitucionalmente aceptables, con procesos penales ya finalizados, que se estén sustanciando o que puedan llegar a iniciarse.</w:t>
      </w:r>
    </w:p>
    <w:p w:rsidR="005728DD" w:rsidRDefault="005728DD" w:rsidP="005728DD">
      <w:pPr>
        <w:pStyle w:val="TextoNormal"/>
      </w:pPr>
    </w:p>
    <w:p w:rsidR="005728DD" w:rsidRDefault="005728DD" w:rsidP="005728DD">
      <w:pPr>
        <w:pStyle w:val="TextoNormal"/>
      </w:pPr>
      <w:r>
        <w:t>En cuanto a la garantía de los derechos fundamentales de terceras personas que se relacionen con la comisión, la impugnación parte de que la proclamación expresa del art. 5.5 no resulta suficiente para evitar vulneraciones de derechos. Esta afirmación plantea un problema relacionado con la aplicación de la norma, más que con la norma en sí. Como declara la STC 238/2012, de 13 de diciembre, FJ 7, y se reitera en las SSTC 42/2018, de 26 de abril, FJ 5 b), y 86/2019, de 20 de junio, FJ 3 B),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 Así pues, la eventual lesión de derechos fundamentales en que pudiera incurrirse en aplicación de la norma deberá resolverse, en su caso, en la vía jurisdiccional correspondiente.</w:t>
      </w:r>
    </w:p>
    <w:p w:rsidR="005728DD" w:rsidRDefault="005728DD" w:rsidP="005728DD">
      <w:pPr>
        <w:pStyle w:val="TextoNormal"/>
      </w:pPr>
    </w:p>
    <w:p w:rsidR="005728DD" w:rsidRDefault="005728DD" w:rsidP="005728DD">
      <w:pPr>
        <w:pStyle w:val="TextoNormal"/>
      </w:pPr>
      <w:r>
        <w:t>d) El art. 6 (“Derecho a la verdad”) recoge prácticamente la misma regulación que el art. 7 de la Ley del País Vasco 12/2016, de 28 de julio, en la redacción dada por el artículo tercero de la Ley 5/2019, de 4 de abril. Por esta razón, procede una vez más trasladar la doctrina de la STC 83/2020, FJ 9, al análisis de esta cuestión.</w:t>
      </w:r>
    </w:p>
    <w:p w:rsidR="005728DD" w:rsidRDefault="005728DD" w:rsidP="005728DD">
      <w:pPr>
        <w:pStyle w:val="TextoNormal"/>
      </w:pPr>
    </w:p>
    <w:p w:rsidR="005728DD" w:rsidRDefault="005728DD" w:rsidP="005728DD">
      <w:pPr>
        <w:pStyle w:val="TextoNormal"/>
      </w:pPr>
      <w:r>
        <w:t xml:space="preserve">Si la referencia contenida en el párrafo primero del artículo 6 al conocimiento de la verdad y al examen de las vulneraciones de derechos humanos se entendiera como una obligación de los poderes públicos navarros equivalente o alternativa a la función de los tribunales de fijar la verdad jurídica en el seno de un proceso dotado de las correspondientes garantías, la norma incurriría en inconstitucionalidad por la vulneración del principio de exclusividad </w:t>
      </w:r>
      <w:r>
        <w:lastRenderedPageBreak/>
        <w:t>de la función jurisdiccional de los jueces y tribunales y la consiguiente pérdida de garantías. La STC 85/2018 veda que la fijación de esa proclamada verdad se haga mediante una investigación y fijación extrajudiciales de hechos que pudieran ser delictivos, es decir, mediante una genuina labor de averiguación de hechos calificados como delitos ante la existencia de denuncias o reclamaciones singulares.</w:t>
      </w:r>
    </w:p>
    <w:p w:rsidR="005728DD" w:rsidRDefault="005728DD" w:rsidP="005728DD">
      <w:pPr>
        <w:pStyle w:val="TextoNormal"/>
      </w:pPr>
    </w:p>
    <w:p w:rsidR="005728DD" w:rsidRDefault="005728DD" w:rsidP="005728DD">
      <w:pPr>
        <w:pStyle w:val="TextoNormal"/>
      </w:pPr>
      <w:r>
        <w:t>Sin embargo, la presunción de constitucionalidad de la norma en función de su origen democrático y el principio de su conservación imponen una interpretación distinta en el caso examinado, en línea con lo establecido en la STC 83/2020, FJ 9.</w:t>
      </w:r>
    </w:p>
    <w:p w:rsidR="005728DD" w:rsidRDefault="005728DD" w:rsidP="005728DD">
      <w:pPr>
        <w:pStyle w:val="TextoNormal"/>
      </w:pPr>
    </w:p>
    <w:p w:rsidR="005728DD" w:rsidRDefault="005728DD" w:rsidP="005728DD">
      <w:pPr>
        <w:pStyle w:val="TextoNormal"/>
      </w:pPr>
      <w:r>
        <w:t>De ese modo, las referencias a la colaboración que incluye el precepto no pueden interpretarse aisladamente, sino que han de entenderse en el marco del sistema de reparación diseñado por la propia ley, en el que ocupa un lugar destacado la comisión que se encarga de valorar las solicitudes presentadas y proponer la inadmisión de solicitudes o, cuando proceda, la declaración de la condición de beneficiario. La función de esta comisión, para la que el precepto requiere la colaboración de los poderes públicos navarros, no se corresponde con ninguna actividad dirigida al esclarecimiento de hechos, propia de la jurisdicción penal, sino que, como ya se ha señalado, únicamente se pretende que valore los hechos que le aleguen los solicitantes para poder dictaminar si existe relación con los daños invocados. Téngase en cuenta, además, que según el art. 142 de la Ley 40/2015, de 1 de octubre, de régimen jurídico del sector público,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Esta referencia a la colaboración ha de entenderse asimismo en el marco del principio que establece el art. 5.1, en el sentido de que las instituciones y entidades públicas navarras (como especifica el párrafo primero del art. 6) suministrarán, en tiempo y forma, todos los datos que les sean solicitados y facilitarán la colaboración, tanto de las autoridades como del personal técnico a su servicio, que sea precisa para la resolución de los expedientes.</w:t>
      </w:r>
    </w:p>
    <w:p w:rsidR="005728DD" w:rsidRDefault="005728DD" w:rsidP="005728DD">
      <w:pPr>
        <w:pStyle w:val="TextoNormal"/>
      </w:pPr>
    </w:p>
    <w:p w:rsidR="005728DD" w:rsidRDefault="005728DD" w:rsidP="005728DD">
      <w:pPr>
        <w:pStyle w:val="TextoNormal"/>
      </w:pPr>
      <w:r>
        <w:t>Por tanto, interpretado conforme a lo expuesto en el párrafo anterior, el art. 6, párrafo primero, no es inconstitucional y así se dispondrá en el fallo.</w:t>
      </w:r>
    </w:p>
    <w:p w:rsidR="005728DD" w:rsidRDefault="005728DD" w:rsidP="005728DD">
      <w:pPr>
        <w:pStyle w:val="TextoNormal"/>
      </w:pPr>
    </w:p>
    <w:p w:rsidR="005728DD" w:rsidRDefault="005728DD" w:rsidP="005728DD">
      <w:pPr>
        <w:pStyle w:val="TextoNormal"/>
      </w:pPr>
      <w:r>
        <w:t xml:space="preserve">Por otra parte, el tribunal no aprecia que el párrafo tercero del art. 6, en conexión con el art. 10.5, implique una posible coincidencia de la actividad de la comisión con las actuaciones judiciales. En efecto, el artículo 6, párrafo tercero, dispone que, en el caso de que la comisión estime que del contenido del expediente pudiera deducirse alguna actuación ilegal (se entiende en este caso de naturaleza penal), lo comunicará a los órganos judiciales. Pues bien, esta comunicación, en la medida en que comporta la apertura de la vía judicial, no puede sino determinar la suspensión del procedimiento hasta que aquella se haya agotado, pues así se ordena por el expresado artículo 10.5 de la propia ley. La regulación impugnada, pues, no resulta comparable a la examinada en la STC 85/2018, en la que el tribunal apreció que la comisión creada entonces por el legislador foral ostentaba “la potestad de investigar y apreciar en plenitud por sí misma, al margen del Poder Judicial y sin vocación alguna a la institución del proceso, hechos en apariencia delictivos. Se ha venido a establecer un procedimiento de investigación sustraído al Poder Judicial, que podría desplegarse incluso en caso de resoluciones judiciales firmes. La norma no contiene previsión alguna que evite la </w:t>
      </w:r>
      <w:r>
        <w:lastRenderedPageBreak/>
        <w:t>coincidencia material entre hechos susceptibles de ser investigados penalmente con la indagación acerca de lo que considera hechos determinantes de daño indemnizable” (FJ 6).</w:t>
      </w:r>
    </w:p>
    <w:p w:rsidR="005728DD" w:rsidRDefault="005728DD" w:rsidP="005728DD">
      <w:pPr>
        <w:pStyle w:val="TextoNormal"/>
      </w:pPr>
    </w:p>
    <w:p w:rsidR="005728DD" w:rsidRDefault="005728DD" w:rsidP="005728DD">
      <w:pPr>
        <w:pStyle w:val="TextoNormal"/>
      </w:pPr>
      <w:r>
        <w:t>El motivo debe ser desestimado y debe llevarse al fallo la interpretación conforme con la Constitución del párrafo primero del art. 6.</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Segundo motivo de inconstitucionalidad sobre vulneración de las garantías procedimentales</w:t>
      </w:r>
      <w:r>
        <w:t>.</w:t>
      </w:r>
    </w:p>
    <w:p w:rsidR="005728DD" w:rsidRDefault="005728DD" w:rsidP="005728DD">
      <w:pPr>
        <w:pStyle w:val="TextoNormal"/>
      </w:pPr>
    </w:p>
    <w:p w:rsidR="005728DD" w:rsidRDefault="005728DD" w:rsidP="005728DD">
      <w:pPr>
        <w:pStyle w:val="TextoNormal"/>
      </w:pPr>
      <w:r>
        <w:t>Los recurrentes aducen, como segundo motivo de inconstitucionalidad, la infracción de las garantías mínimas del procedimiento desde la doble perspectiva penal y administrativa.</w:t>
      </w:r>
    </w:p>
    <w:p w:rsidR="005728DD" w:rsidRDefault="005728DD" w:rsidP="005728DD">
      <w:pPr>
        <w:pStyle w:val="TextoNormal"/>
      </w:pPr>
    </w:p>
    <w:p w:rsidR="005728DD" w:rsidRDefault="005728DD" w:rsidP="005728DD">
      <w:pPr>
        <w:pStyle w:val="TextoNormal"/>
      </w:pPr>
      <w:r>
        <w:t>a) El recurso anuda la vulneración del derecho a un proceso con todas las garantías, incluyendo el derecho al juez predeterminado por la ley (art. 24.2 CE), a la regulación de un procedimiento cuyo objeto sería el esclarecimiento de actos típicos delictivos, sin alcanzar los estándares de garantía del proceso penal y cuya resolución se atribuye a un órgano cuya vinculación con el Poder Ejecutivo es absoluta. Considera asimismo infringido el principio del juez prevenido, porque las labores de la comisión desbordan claramente las propias de la instrucción penal y no pueden calificarse en modo alguno de enjuiciamiento. Entiende que tampoco se salvaguardan el resto de las garantías procesales inherentes al proceso judicial penal contenidas en el art. 24.2 CE: los derechos a la defensa y a la asistencia de letrado, a ser informados de la acusación formulada contra ellos, a un proceso público sin dilaciones indebidas y con todas las garantías, a utilizar los medios de prueba pertinentes para su defensa, a no declarar contra sí mismos, a no confesarse culpables y a la presunción de inocencia.</w:t>
      </w:r>
    </w:p>
    <w:p w:rsidR="005728DD" w:rsidRDefault="005728DD" w:rsidP="005728DD">
      <w:pPr>
        <w:pStyle w:val="TextoNormal"/>
      </w:pPr>
    </w:p>
    <w:p w:rsidR="005728DD" w:rsidRDefault="005728DD" w:rsidP="005728DD">
      <w:pPr>
        <w:pStyle w:val="TextoNormal"/>
      </w:pPr>
      <w:r>
        <w:t>Dado que la argumentación de la demanda en este punto no es exhaustiva, al no quedar especificados los artículos concretos contra los que se formula la impugnación, el tribunal no considera necesario articular una respuesta específica respecto de cada uno de ellos (entre otras, SSTC 63/2019, de 9 de mayo, FJ 7, y 105/2019, de 19 de septiembre, FJ 2). Una vez decidido con arreglo a lo razonado en el fundamento jurídico anterior que no existe vulneración del principio de reserva jurisdiccional del art. 117.3 CE, deben considerarse sin contenido las argumentaciones fundadas en que los órganos administrativos a los que hace referencia la ley impugnada carecen de la configuración propia de los órganos judiciales; en que no pueden atribuírseles las potestades que el ordenamiento jurídico reconoce a estos últimos y en que en el procedimiento previsto en la ley impugnada no se cumplen las garantías inherentes al proceso judicial penal.</w:t>
      </w:r>
    </w:p>
    <w:p w:rsidR="005728DD" w:rsidRDefault="005728DD" w:rsidP="005728DD">
      <w:pPr>
        <w:pStyle w:val="TextoNormal"/>
      </w:pPr>
    </w:p>
    <w:p w:rsidR="005728DD" w:rsidRDefault="005728DD" w:rsidP="005728DD">
      <w:pPr>
        <w:pStyle w:val="TextoNormal"/>
      </w:pPr>
      <w:r>
        <w:t xml:space="preserve">Por lo demás, aunque la regulación de la comisión y del órgano encargado de resolver el procedimiento de reconocimiento y reparación objeto de la Ley Foral 16/2019 reprodujera las reglas que disciplinan la composición y la actuación de los órganos a los que la Constitución reserva en exclusiva la potestad de juzgar y hacer ejecutar lo juzgado, con ello no quedaría sanado el vicio de inconstitucionalidad que ya se puso de manifiesto en la STC 85/2018. Desde la perspectiva del art. 24 CE, el problema constitucional que debe analizarse es el mismo que se ha abordado en el fundamento jurídico anterior. La constitucionalidad de la Ley Foral 16/2019 no depende, en suma, de que estos órganos administrativos se estructuren o actúen sin observar las reglas propias del proceso judicial penal —pues si así lo hicieran la ley interferiría en la esfera de actuación que la Constitución reserva en exclusiva </w:t>
      </w:r>
      <w:r>
        <w:lastRenderedPageBreak/>
        <w:t>a jueces y tribunales— sino que depende de que se observen los límites que se desprenden de la Constitución respecto al cometido de reconocimiento administrativo de la condición de víctima y los modos de reparación del daño causado (STC 85/2018, FJ 7).</w:t>
      </w:r>
    </w:p>
    <w:p w:rsidR="005728DD" w:rsidRDefault="005728DD" w:rsidP="005728DD">
      <w:pPr>
        <w:pStyle w:val="TextoNormal"/>
      </w:pPr>
    </w:p>
    <w:p w:rsidR="005728DD" w:rsidRDefault="005728DD" w:rsidP="005728DD">
      <w:pPr>
        <w:pStyle w:val="TextoNormal"/>
      </w:pPr>
      <w:r>
        <w:t>El procedimiento administrativo de reconocimiento de las víctimas y reparación de los daños regulado en la Ley Foral 16/2019 no tiene carácter sancionador, pues la finalidad punitiva está expresamente excluida en el art. 5.6. Por esta razón, de acuerdo con una consolidada doctrina constitucional, no resultarían aplicables a este procedimiento los derechos y garantías del art. 24 CE [STC 165/2020, de 16 de noviembre, FJ 1, que cita las SSTC 46/2014, de 7 de abril, FJ 7; 8/2017, de 19 de enero, FJ 6, y 133/2018, de 13 de diciembre, FJ 4 a)].</w:t>
      </w:r>
    </w:p>
    <w:p w:rsidR="005728DD" w:rsidRDefault="005728DD" w:rsidP="005728DD">
      <w:pPr>
        <w:pStyle w:val="TextoNormal"/>
      </w:pPr>
    </w:p>
    <w:p w:rsidR="005728DD" w:rsidRDefault="005728DD" w:rsidP="005728DD">
      <w:pPr>
        <w:pStyle w:val="TextoNormal"/>
      </w:pPr>
      <w:r>
        <w:t>Descartada por las razones expuestas la vulneración del art. 24 CE, así como la vulneración del art. 117.3 CE, el Tribunal no aprecia que las normas de organización y funcionamiento de los órganos a los que la Ley foral encomienda la tramitación y resolución del procedimiento de reconocimiento y reparación incurren en vicio alguno de inconstitucionalidad.</w:t>
      </w:r>
    </w:p>
    <w:p w:rsidR="005728DD" w:rsidRDefault="005728DD" w:rsidP="005728DD">
      <w:pPr>
        <w:pStyle w:val="TextoNormal"/>
      </w:pPr>
    </w:p>
    <w:p w:rsidR="005728DD" w:rsidRDefault="005728DD" w:rsidP="005728DD">
      <w:pPr>
        <w:pStyle w:val="TextoNormal"/>
      </w:pPr>
      <w:r>
        <w:t>b) De forma complementaria a lo que el recurso denomina la trascendencia penal del asunto, se apunta a la vulneración de las normas del procedimiento administrativo común relativas a la legitimación, la instrucción (se cita el art. 75 LPACAP) y la prescripción. No se identifican los preceptos de la ley impugnada que habrían incurrido en esta vulneración, por lo que, una vez más, no entendemos procedente realizar un análisis exhaustivo.</w:t>
      </w:r>
    </w:p>
    <w:p w:rsidR="005728DD" w:rsidRDefault="005728DD" w:rsidP="005728DD">
      <w:pPr>
        <w:pStyle w:val="TextoNormal"/>
      </w:pPr>
    </w:p>
    <w:p w:rsidR="005728DD" w:rsidRDefault="005728DD" w:rsidP="005728DD">
      <w:pPr>
        <w:pStyle w:val="TextoNormal"/>
      </w:pPr>
      <w:r>
        <w:t>Los recurrentes, de nuevo, parten en esta invocación de que el procedimiento de reconocimiento de víctimas y reparación de daños regulado en la ley impugnada tiene naturaleza sancionadora —de índole penal o administrativa— que afecta al autor de los hechos. El Tribunal estima que esta premisa no se corresponde con el objeto ni con el contenido de aquella ley. En palabras de la STC 83/2020, “la amplitud y laxitud de los términos utilizados en la norma [art. 2.2 b)] para referirse a las personas que hubieran podido participar en los hechos excluye cualquier indagación o asignación individualizada de responsabilidad, en la medida en que cualquier persona cumple la condición, bien de tratarse de un funcionario público o bien de un particular. A partir de dicha generalidad, la identificación del supuesto de hecho de la norma en absoluto requiere la determinación individualizada del autor de la vulneración” (FJ 7).</w:t>
      </w:r>
    </w:p>
    <w:p w:rsidR="005728DD" w:rsidRDefault="005728DD" w:rsidP="005728DD">
      <w:pPr>
        <w:pStyle w:val="TextoNormal"/>
      </w:pPr>
    </w:p>
    <w:p w:rsidR="005728DD" w:rsidRDefault="005728DD" w:rsidP="005728DD">
      <w:pPr>
        <w:pStyle w:val="TextoNormal"/>
      </w:pPr>
      <w:r>
        <w:t>Esta apreciación resulta corroborada por el artículo 5.6, que ordena la exclusión de la finalidad punitiva y establece la garantía de los deberes de abstención, concurrencia y sujeción a los procedimientos judiciales; por el art. 5.5, que garantiza que en la tramitación no serán en ningún caso vulneradas o afectadas las garantías jurídicas y constitucionales de terceras personas —esto es, distintas de las víctimas de vulneraciones de derechos humanos a las que se refiere el art. 2—; por el art. 6, que ordena a la comisión comunicar a los órganos judiciales los indicios de actuación ilegal que pudieran desprenderse del inicio del procedimiento administrativo; y por el art. 10.5, que ordena la suspensión de la tramitación del procedimiento, cuando exista una causa judicial o un procedimiento administrativo sancionador abierto, hasta que se haya agotado la vía judicial o la resolución sea firme en vía administrativa.</w:t>
      </w:r>
    </w:p>
    <w:p w:rsidR="005728DD" w:rsidRDefault="005728DD" w:rsidP="005728DD">
      <w:pPr>
        <w:pStyle w:val="TextoNormal"/>
      </w:pPr>
    </w:p>
    <w:p w:rsidR="005728DD" w:rsidRDefault="005728DD" w:rsidP="005728DD">
      <w:pPr>
        <w:pStyle w:val="TextoNormal"/>
      </w:pPr>
      <w:r>
        <w:lastRenderedPageBreak/>
        <w:t>El motivo debe ser desestimado.</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Tercer motivo de inconstitucionalidad sobre vulneración del principio de intangibilidad de las sentencias</w:t>
      </w:r>
      <w:r>
        <w:t>.</w:t>
      </w:r>
    </w:p>
    <w:p w:rsidR="005728DD" w:rsidRDefault="005728DD" w:rsidP="005728DD">
      <w:pPr>
        <w:pStyle w:val="TextoNormal"/>
      </w:pPr>
    </w:p>
    <w:p w:rsidR="005728DD" w:rsidRDefault="005728DD" w:rsidP="005728DD">
      <w:pPr>
        <w:pStyle w:val="TextoNormal"/>
      </w:pPr>
      <w:r>
        <w:t>En tercer lugar, los recurrentes consideran que la Ley Foral 16/2019 vulnera el principio de intangibilidad de las sentencias (art. 24.1 CE) argumentando que el principio de subsidiariedad del procedimiento administrativo respecto del penal recogido en el art. 5.6 tiene un carácter meramente formal. La vulneración se completaría mediante el art. 10.5, porque la suspensión que regula no alcanza a los casos en los que exista sentencia firme y porque no se establece la tramitación que debe seguirse en los supuestos en que existan procedimientos penales finalizados.</w:t>
      </w:r>
    </w:p>
    <w:p w:rsidR="005728DD" w:rsidRDefault="005728DD" w:rsidP="005728DD">
      <w:pPr>
        <w:pStyle w:val="TextoNormal"/>
      </w:pPr>
    </w:p>
    <w:p w:rsidR="005728DD" w:rsidRDefault="005728DD" w:rsidP="005728DD">
      <w:pPr>
        <w:pStyle w:val="TextoNormal"/>
      </w:pPr>
      <w:r>
        <w:t>El principio de intangibilidad de las sentencias asegura a quienes han sido parte en un proceso que las resoluciones judiciales definitivas dictadas en su seno no han de ser alteradas o modificadas al margen de los cauces legales establecidos para ello (así, por ejemplo, STC 55/2002, de 11 de marzo, FJ 2, y las allí citadas). El art. 5.6, al garantizar el deber de sujeción a los pronunciamientos judiciales, remite tácitamente al mandato del art. 118 CE, que obliga a cumplir las sentencias y demás resoluciones firmes de los jueces y tribunales y veda la espuria fiscalización no jurisdiccional de las decisiones judiciales [STC 97/2020, de 21 de julio, FJ 5 C) a)]. De este mandato constitucional emana lo dispuesto por el art. 17.2 de la Ley Orgánica del Poder Judicial, a cuyo tenor “[l]as administraciones públicas, las autoridades y funcionarios, las corporaciones y todas las entidades públicas y privadas, y los particulares, respetarán y, en su caso, cumplirán las sentencias y las demás resoluciones judiciales que hayan ganado firmeza o sean ejecutables de acuerdo con las leyes”.</w:t>
      </w:r>
    </w:p>
    <w:p w:rsidR="005728DD" w:rsidRDefault="005728DD" w:rsidP="005728DD">
      <w:pPr>
        <w:pStyle w:val="TextoNormal"/>
      </w:pPr>
    </w:p>
    <w:p w:rsidR="005728DD" w:rsidRDefault="005728DD" w:rsidP="005728DD">
      <w:pPr>
        <w:pStyle w:val="TextoNormal"/>
      </w:pPr>
      <w:r>
        <w:t>En caso de que exista una sentencia firme, la tramitación del procedimiento de reconocimiento de las víctimas y reparación de los daños habrá de atenerse por tanto a ese deber de sujeción a los pronunciamientos judiciales recogido en el art. 5.6 citado. Su eventual vulneración plantea una cuestión sobre la aplicación de la norma que podrá ser dirimida ante los tribunales competentes, pero que por sí misma no ofrece un motivo bastante para declarar la inconstitucionalidad de la ley en un proceso de control abstracto como es el recurso de inconstitucionalidad.</w:t>
      </w:r>
    </w:p>
    <w:p w:rsidR="005728DD" w:rsidRDefault="005728DD" w:rsidP="005728DD">
      <w:pPr>
        <w:pStyle w:val="TextoNormal"/>
      </w:pPr>
    </w:p>
    <w:p w:rsidR="005728DD" w:rsidRDefault="005728DD" w:rsidP="005728DD">
      <w:pPr>
        <w:pStyle w:val="TextoNormal"/>
      </w:pPr>
      <w:r>
        <w:t>El motivo debe ser desestimado.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Cuarto motivo de inconstitucionalidad sobre la vulneración de los derechos fundamentales de terceros</w:t>
      </w:r>
      <w:r>
        <w:t>.</w:t>
      </w:r>
    </w:p>
    <w:p w:rsidR="005728DD" w:rsidRDefault="005728DD" w:rsidP="005728DD">
      <w:pPr>
        <w:pStyle w:val="TextoNormal"/>
      </w:pPr>
    </w:p>
    <w:p w:rsidR="005728DD" w:rsidRDefault="005728DD" w:rsidP="005728DD">
      <w:pPr>
        <w:pStyle w:val="TextoNormal"/>
      </w:pPr>
      <w:r>
        <w:t>Los recurrentes imputan en particular a los arts. 10.2 y 6 la vulneración de los derechos al honor, a la intimidad, a la propia imagen y a la presunción de inocencia de los terceros sobre los que pueda proyectarse la investigación. En los fundamentos jurídicos 5 y 6 de esta sentencia hemos argumentado que la identificación del supuesto de hecho de la norma no requiere la determinación individualizada del autor de la vulneración.</w:t>
      </w:r>
    </w:p>
    <w:p w:rsidR="005728DD" w:rsidRDefault="005728DD" w:rsidP="005728DD">
      <w:pPr>
        <w:pStyle w:val="TextoNormal"/>
      </w:pPr>
    </w:p>
    <w:p w:rsidR="005728DD" w:rsidRDefault="005728DD" w:rsidP="005728DD">
      <w:pPr>
        <w:pStyle w:val="TextoNormal"/>
      </w:pPr>
      <w:r>
        <w:t xml:space="preserve">El art. 5.5 de la Ley Foral 16/2019 recoge una garantía más genérica que el art. 4.2 d) de la Ley del País Vasco 12/2016, que alude expresamente a los derechos al honor, a la presunción de inocencia y a la protección de datos de carácter personal que pudieran concurrir </w:t>
      </w:r>
      <w:r>
        <w:lastRenderedPageBreak/>
        <w:t>en los expedientes. El Tribunal, sin embargo, no aprecia que aquel incurra en inconstitucionalidad por haberse redactado de modo genérico, pues “[e]l hecho de que tales menciones no resulten suficientes a los recurrentes no hace que la norma resulte inconstitucional por ese motivo en un proceso abstracto como el recurso de inconstitucionalidad. Si tales derechos no se respetasen, la vulneración de la propia normativa [foral] implicaría que esa, ahora hipotética, actuación de la comisión contraria a tales derechos, podría ser puesta de manifiesto ante los tribunales competentes” (STC 83/2020, FJ 7).</w:t>
      </w:r>
    </w:p>
    <w:p w:rsidR="005728DD" w:rsidRDefault="005728DD" w:rsidP="005728DD">
      <w:pPr>
        <w:pStyle w:val="TextoNormal"/>
      </w:pPr>
    </w:p>
    <w:p w:rsidR="005728DD" w:rsidRDefault="005728DD" w:rsidP="005728DD">
      <w:pPr>
        <w:pStyle w:val="TextoNormal"/>
      </w:pPr>
      <w:r>
        <w:t>Los recurrentes aducen que los arts. 18 y 21 agravan esa vulneración de los derechos de terceros, en cuanto dotan de publicidad a las actuaciones relativas a los procedimientos de reconocimiento de víctimas y reparación de daños. El Tribunal estima que no es posible inferir del art. 18 que el contenido de la memoria anual de actividad que ha de publicar la comisión implique la vulneración de tales derechos. La memoria da cuenta de las solicitudes recibidas, los resultados de los trabajos realizados, la situación de los expedientes y las propuestas de resolución emitidas, lo que forma parte de la tramitación de los expedientes administrativos, que queda sometida en todo caso al principio de garantía de los derechos de terceras personas, según dispone el art. 5.5. Por las mismas razones, ha de ser desestimada la impugnación del art. 21, que se refiere a los informes globales que debe elaborar el Instituto de la Memoria con base en las memorias anuales de la comisión y otros trabajos complementarios, y que se presentarán ante el Parlamento de Navarra. Rige aquí también el principio de garantía de los derechos de terceras personas (art. 5.5) y el respeto a la legislación sobre protección de datos (art. 6, párrafo tercero).</w:t>
      </w:r>
    </w:p>
    <w:p w:rsidR="005728DD" w:rsidRDefault="005728DD" w:rsidP="005728DD">
      <w:pPr>
        <w:pStyle w:val="TextoNormal"/>
      </w:pPr>
    </w:p>
    <w:p w:rsidR="005728DD" w:rsidRDefault="005728DD" w:rsidP="005728DD">
      <w:pPr>
        <w:pStyle w:val="TextoNormal"/>
      </w:pPr>
      <w:r>
        <w:t>El motivo debe ser desestimado.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Declarar que las siguientes previsiones de la Ley Foral 16/2019, de 26 de marzo, de reconocimiento y reparación de las víctimas por actos de motivación política provocados por grupos de extrema derecha o funcionarios públicos no son inconstitucionales, interpretados en los términos de los fundamentos que a continuación se indican:</w:t>
      </w:r>
    </w:p>
    <w:p w:rsidR="005728DD" w:rsidRDefault="005728DD" w:rsidP="005728DD">
      <w:pPr>
        <w:pStyle w:val="TextoNormal"/>
      </w:pPr>
    </w:p>
    <w:p w:rsidR="005728DD" w:rsidRDefault="005728DD" w:rsidP="005728DD">
      <w:pPr>
        <w:pStyle w:val="TextoNormal"/>
      </w:pPr>
      <w:r>
        <w:t>(i) El art. 6, párrafo primero, en los términos del fundamento jurídico 5 d).</w:t>
      </w:r>
    </w:p>
    <w:p w:rsidR="005728DD" w:rsidRDefault="005728DD" w:rsidP="005728DD">
      <w:pPr>
        <w:pStyle w:val="TextoNormal"/>
      </w:pPr>
    </w:p>
    <w:p w:rsidR="005728DD" w:rsidRDefault="005728DD" w:rsidP="005728DD">
      <w:pPr>
        <w:pStyle w:val="TextoNormal"/>
      </w:pPr>
      <w:r>
        <w:t>(ii) El inciso del art. 9.3 “sin perjuicio de las actuaciones y gestiones que pueda realizar la comisión para la documentación y acreditación de los mismos”, en los términos del fundamento jurídico 5 b) (ii).</w:t>
      </w:r>
    </w:p>
    <w:p w:rsidR="005728DD" w:rsidRDefault="005728DD" w:rsidP="005728DD">
      <w:pPr>
        <w:pStyle w:val="TextoNormal"/>
      </w:pPr>
    </w:p>
    <w:p w:rsidR="005728DD" w:rsidRDefault="005728DD" w:rsidP="005728DD">
      <w:pPr>
        <w:pStyle w:val="TextoNormal"/>
      </w:pPr>
      <w:r>
        <w:t>(iii) El art. 10.2 e), en los términos del fundamento jurídico 5 b) (iii).</w:t>
      </w:r>
    </w:p>
    <w:p w:rsidR="005728DD" w:rsidRDefault="005728DD" w:rsidP="005728DD">
      <w:pPr>
        <w:pStyle w:val="TextoNormal"/>
      </w:pPr>
    </w:p>
    <w:p w:rsidR="005728DD" w:rsidRDefault="005728DD" w:rsidP="005728DD">
      <w:pPr>
        <w:pStyle w:val="TextoNormal"/>
      </w:pPr>
      <w:r>
        <w:t>(iv) El inciso del art. 11.1, párrafo primero, “realizará un resumen de los hechos que ocasionaron la vulneración de los derechos humanos de la víctima”, en los términos del fundamento jurídico 5 b) (iv).</w:t>
      </w:r>
    </w:p>
    <w:p w:rsidR="005728DD" w:rsidRDefault="005728DD" w:rsidP="005728DD">
      <w:pPr>
        <w:pStyle w:val="TextoNormal"/>
      </w:pPr>
    </w:p>
    <w:p w:rsidR="005728DD" w:rsidRDefault="005728DD" w:rsidP="005728DD">
      <w:pPr>
        <w:pStyle w:val="TextoNormal"/>
      </w:pPr>
      <w:r>
        <w:t>2º Desestimar el recurso de inconstitucionalidad núm. 4062-2019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trece de mayo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Juan Antonio Xiol Ríos a la sentencia pronunciada en el recurso de inconstitucionalidad núm. 4062-2019</w:t>
      </w:r>
    </w:p>
    <w:p w:rsidR="005728DD" w:rsidRDefault="005728DD" w:rsidP="005728DD">
      <w:pPr>
        <w:pStyle w:val="TextoNormalNegritaCentrado"/>
        <w:keepNext/>
      </w:pPr>
    </w:p>
    <w:p w:rsidR="005728DD" w:rsidRDefault="005728DD" w:rsidP="005728DD">
      <w:pPr>
        <w:pStyle w:val="TextoNormal"/>
      </w:pPr>
      <w:r>
        <w:t>Con el máximo respeto a la opinión mayoritaria de mis compañeros de Pleno en la que se sustenta la sentencia, manifiesto mi discrepancia con la fundamentación jurídica desarrollada en el fundamento jurídico 5 y el apartado primero del fallo en que se sostiene la constitucionalidad de determinados preceptos solo en la medida en que sean interpretados en los términos del citado fundamento jurídico 5.</w:t>
      </w:r>
    </w:p>
    <w:p w:rsidR="005728DD" w:rsidRDefault="005728DD" w:rsidP="005728DD">
      <w:pPr>
        <w:pStyle w:val="TextoNormal"/>
      </w:pPr>
    </w:p>
    <w:p w:rsidR="005728DD" w:rsidRDefault="005728DD" w:rsidP="005728DD">
      <w:pPr>
        <w:pStyle w:val="TextoNormal"/>
      </w:pPr>
      <w:r>
        <w:t>Esta declaración de constitucionalidad limitada a la interpretación aportada en el fundamento jurídico 5 tiene como fundamento los razonamientos sostenidos en las SSTC 85/2018, de 19 de julio, y 83/2020, de 15 de julio, respecto de los que ya hice expresa mi discrepancia en sendos votos particulares formulados a dichas resoluciones. Por tanto, me remito a lo que ya expuse en dichos votos particulares para justificar ahora las razones por las que disiento del fallo interpretativo contenido en el apartado primero.</w:t>
      </w:r>
    </w:p>
    <w:p w:rsidR="005728DD" w:rsidRDefault="005728DD" w:rsidP="005728DD">
      <w:pPr>
        <w:pStyle w:val="TextoNormal"/>
      </w:pPr>
    </w:p>
    <w:p w:rsidR="005728DD" w:rsidRDefault="005728DD" w:rsidP="005728DD">
      <w:pPr>
        <w:pStyle w:val="TextoNormal"/>
      </w:pPr>
      <w:r>
        <w:t>Madrid, a trece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2" w:name="SENTENCIA_2021_109"/>
      <w:r>
        <w:lastRenderedPageBreak/>
        <w:t>SENTENCIA 109/2021, de 13 de mayo de 2021</w:t>
      </w:r>
    </w:p>
    <w:bookmarkEnd w:id="112"/>
    <w:p w:rsidR="005728DD" w:rsidRDefault="005728DD" w:rsidP="005728DD">
      <w:pPr>
        <w:pStyle w:val="TtuloResolucin"/>
      </w:pPr>
      <w:r>
        <w:t>Pleno</w:t>
      </w:r>
    </w:p>
    <w:p w:rsidR="005728DD" w:rsidRDefault="005728DD" w:rsidP="005728DD">
      <w:pPr>
        <w:pStyle w:val="TtuloBOE"/>
      </w:pPr>
      <w:r>
        <w:t>(BOE núm. 142, de 15 de junio de 2021)</w:t>
      </w:r>
    </w:p>
    <w:p w:rsidR="005728DD" w:rsidRDefault="005728DD" w:rsidP="005728DD">
      <w:pPr>
        <w:pStyle w:val="TextoNormalCentrado"/>
      </w:pPr>
      <w:r>
        <w:t>ECLI:ES:TC:2021:109</w:t>
      </w:r>
    </w:p>
    <w:p w:rsidR="005728DD" w:rsidRDefault="005728DD" w:rsidP="005728DD">
      <w:pPr>
        <w:pStyle w:val="TextoNormalCentrado"/>
      </w:pPr>
    </w:p>
    <w:p w:rsidR="005728DD" w:rsidRDefault="005728DD" w:rsidP="005728DD">
      <w:pPr>
        <w:pStyle w:val="SntesisDescriptiva"/>
      </w:pPr>
      <w:r>
        <w:t>Cuestión de inconstitucionalidad 5150-2019. Planteada por el Juzgado de lo Contencioso-Administrativo núm. 8 de Valencia en relación con el apartado 1 de la disposición adicional trigésimo tercera de la Ley de las Cortes Valencianas 14/2016, de 30 de diciembre, de presupuestos de la Generalitat para el ejercicio 2017.</w:t>
      </w:r>
    </w:p>
    <w:p w:rsidR="005728DD" w:rsidRDefault="005728DD" w:rsidP="005728DD">
      <w:pPr>
        <w:pStyle w:val="SntesisDescriptiva"/>
      </w:pPr>
    </w:p>
    <w:p w:rsidR="005728DD" w:rsidRDefault="005728DD" w:rsidP="005728DD">
      <w:pPr>
        <w:pStyle w:val="SntesisAnaltica"/>
      </w:pPr>
      <w:r>
        <w:t>Límites materiales de las leyes de presupuestos: nulidad del precepto legal que establece un complemento específico para los puestos de jefatura de servicio o sección de personal estatutario facultativo del sistema sanitario público de la Comunidad Valenciana.</w:t>
      </w:r>
    </w:p>
    <w:p w:rsidR="005728DD" w:rsidRDefault="005728DD" w:rsidP="005728DD">
      <w:pPr>
        <w:pStyle w:val="SntesisAnaltica"/>
      </w:pPr>
    </w:p>
    <w:p w:rsidR="005728DD" w:rsidRDefault="005728DD" w:rsidP="005728DD">
      <w:pPr>
        <w:pStyle w:val="Extracto"/>
      </w:pPr>
      <w:r>
        <w:t>1.</w:t>
      </w:r>
      <w:r>
        <w:tab/>
        <w:t>Las posibles causas de inconstitucionalidad que no hayan sido sometidas a consideración de las partes del proceso</w:t>
      </w:r>
      <w:r w:rsidRPr="005728DD">
        <w:rPr>
          <w:i/>
        </w:rPr>
        <w:t xml:space="preserve"> a quo </w:t>
      </w:r>
      <w:r>
        <w:t>y del ministerio fiscal en el trámite de audiencia (art. 35.2 LOTC), al tratarse de un trámite esencial y no haber habido oportunidad de pronunciarse sobre ello, quedan excluidas de las cuestiones de inconstitucionalidad, cuyo objeto viene determinado por el auto de planteamiento dictado por el juzgado (STC 44/2019) [FJ 2].</w:t>
      </w:r>
    </w:p>
    <w:p w:rsidR="005728DD" w:rsidRDefault="005728DD" w:rsidP="005728DD">
      <w:pPr>
        <w:pStyle w:val="Extracto"/>
      </w:pPr>
    </w:p>
    <w:p w:rsidR="005728DD" w:rsidRDefault="005728DD" w:rsidP="005728DD">
      <w:pPr>
        <w:pStyle w:val="Extracto"/>
      </w:pPr>
      <w:r>
        <w:t>2.</w:t>
      </w:r>
      <w:r>
        <w:tab/>
        <w:t>Doctrina constitucional sobre los límites materiales de las leyes de presupuestos [FJ 3].</w:t>
      </w:r>
    </w:p>
    <w:p w:rsidR="005728DD" w:rsidRDefault="005728DD" w:rsidP="005728DD">
      <w:pPr>
        <w:pStyle w:val="Extracto"/>
      </w:pPr>
    </w:p>
    <w:p w:rsidR="005728DD" w:rsidRDefault="005728DD" w:rsidP="005728DD">
      <w:pPr>
        <w:pStyle w:val="Extracto"/>
      </w:pPr>
      <w:r>
        <w:t>3.</w:t>
      </w:r>
      <w:r>
        <w:tab/>
        <w:t>Doctrina constitucional sobre la vinculación necesaria del contenido eventual de las leyes de presupuestos con los gastos e ingresos públicos; conexión que ha de ser inmediata y directa (SSTC 76/1992, 237/1992 y 152/2014) [FJ 3].</w:t>
      </w:r>
    </w:p>
    <w:p w:rsidR="005728DD" w:rsidRDefault="005728DD" w:rsidP="005728DD">
      <w:pPr>
        <w:pStyle w:val="Extracto"/>
      </w:pPr>
    </w:p>
    <w:p w:rsidR="005728DD" w:rsidRDefault="005728DD" w:rsidP="005728DD">
      <w:pPr>
        <w:pStyle w:val="Extracto"/>
      </w:pPr>
      <w:r>
        <w:t>4.</w:t>
      </w:r>
      <w:r>
        <w:tab/>
        <w:t>En general no caben las normas que integran el régimen de la función pública en el contenido eventual de una ley de presupuestos (SSTC 174/1998, 203/1998, 234/1999 y 9/2013) [FJ 3].</w:t>
      </w:r>
    </w:p>
    <w:p w:rsidR="005728DD" w:rsidRDefault="005728DD" w:rsidP="005728DD">
      <w:pPr>
        <w:pStyle w:val="Extracto"/>
      </w:pPr>
    </w:p>
    <w:p w:rsidR="005728DD" w:rsidRDefault="005728DD" w:rsidP="005728DD">
      <w:pPr>
        <w:pStyle w:val="Extracto"/>
      </w:pPr>
      <w:r>
        <w:t>5.</w:t>
      </w:r>
      <w:r>
        <w:tab/>
        <w:t>Los complementos retributivos son figuras que contemplan una doble dimensión: de un lado, la meramente económica y vinculada al régimen de retribuciones de los funcionarios o personal al servicio de las administraciones públicas; de otro, la funcional o de organización del servicio [FJ 3].</w:t>
      </w:r>
    </w:p>
    <w:p w:rsidR="005728DD" w:rsidRDefault="005728DD" w:rsidP="005728DD">
      <w:pPr>
        <w:pStyle w:val="Extracto"/>
      </w:pPr>
    </w:p>
    <w:p w:rsidR="005728DD" w:rsidRDefault="005728DD" w:rsidP="005728DD">
      <w:pPr>
        <w:pStyle w:val="Extracto"/>
      </w:pPr>
      <w:r>
        <w:t>6.</w:t>
      </w:r>
      <w:r>
        <w:tab/>
        <w:t>La doble dimensión que presentan los complementos retributivos permite su regulación en una ley de presupuestos como contenido eventual, cuando incide directamente en los gastos e ingresos públicos (SSTC 32/2000 y 99/2016), pero no el establecimiento de las condiciones en las que personal al servicio de la administración pública ha de desempeñar sus funciones (STC 197/2012) [FJ 3].</w:t>
      </w:r>
    </w:p>
    <w:p w:rsidR="005728DD" w:rsidRDefault="005728DD" w:rsidP="005728DD">
      <w:pPr>
        <w:pStyle w:val="Extracto"/>
      </w:pPr>
    </w:p>
    <w:p w:rsidR="005728DD" w:rsidRDefault="005728DD" w:rsidP="005728DD">
      <w:pPr>
        <w:pStyle w:val="Extracto"/>
      </w:pPr>
      <w:r>
        <w:t>7.</w:t>
      </w:r>
      <w:r>
        <w:tab/>
        <w:t>Pese a que la doctrina constitucional sobre las leyes de presupuestos estatales no sea automáticamente aplicable a las leyes presupuestarias autonómicas, la doctrina sobre el contenido necesario y el contenido eventual de las leyes de presupuestos estatales resulta aplicable a las leyes presupuestarias de la Comunidad Valenciana porque cumplen la misma función (STC 86/2013) [FJ 3].</w:t>
      </w:r>
    </w:p>
    <w:p w:rsidR="005728DD" w:rsidRDefault="005728DD" w:rsidP="005728DD">
      <w:pPr>
        <w:pStyle w:val="Extracto"/>
      </w:pPr>
    </w:p>
    <w:p w:rsidR="005728DD" w:rsidRDefault="005728DD" w:rsidP="005728DD">
      <w:pPr>
        <w:pStyle w:val="Extracto"/>
      </w:pPr>
      <w:r>
        <w:t>8.</w:t>
      </w:r>
      <w:r>
        <w:tab/>
        <w:t>La asignación de un complemento retributivo que acarree dedicación exclusiva e incompatibilidad, debe considerarse una opción del legislador presupuestario que excede los límites materiales de una ley de presupuestos [FJ 4].</w:t>
      </w:r>
    </w:p>
    <w:p w:rsidR="005728DD" w:rsidRDefault="005728DD" w:rsidP="005728DD">
      <w:pPr>
        <w:pStyle w:val="Extracto"/>
      </w:pPr>
    </w:p>
    <w:p w:rsidR="005728DD" w:rsidRDefault="005728DD" w:rsidP="005728DD">
      <w:pPr>
        <w:pStyle w:val="Extracto"/>
      </w:pPr>
      <w:r>
        <w:t>9.</w:t>
      </w:r>
      <w:r>
        <w:tab/>
        <w:t>La previsión de un régimen de optatividad entre complementos específicos es una norma que integra el régimen de la función pública, por tanto queda excluido del contenido eventual admisible en una ley de presupuestos [FJ 5].</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la cuestión de inconstitucionalidad núm. 5150-2019, promovida por el Juzgado de lo Contencioso-Administrativo núm. 8 de Valencia en relación con el apartado 1 de la disposición adicional trigésimo tercera de la Ley de las Cortes Valencianas 14/2016, de 30 de diciembre, de presupuestos de la Generalitat para el ejercicio 2017, por posible vulneración de los arts. 66.2 y 134.2 CE. Han intervenido y formulado alegaciones doña Susana Soler Algarra, representada por la procuradora de los tribunales doña Rosa Correcher Pardo y asistida por el abogado don Carlos Luis Alonso Mas, el Gobierno de la Generalitat Valenciana representado por el abogado de la Generalitat, las Cortes Valencianas representadas por el letrado de las Cortes Valencianas y la fiscal general del Estado.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10 de septiembre de 2019 tuvo entrada en este tribunal oficio del Juzgado de lo Contencioso-Administrativo núm. 8 de Valencia, al que acompañó testimonio del procedimiento abreviado núm. 558-2018 y del auto dictado el 17 de julio de 2019, de planteamiento de cuestión de inconstitucionalidad respecto del apartado 1 de la disposición adicional trigésima tercera de la Ley de las Cortes Valencianas 14/2016, de 30 de diciembre, de presupuestos de la Generalidad para el ejercicio 2017, por posible vulneración de los límites constitucionales del ámbito material de las leyes de presupuestos, que se contemplan en los arts. 66.2 y 134.2 CE.</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Los antecedentes que interesa destacar a los efectos de este proceso constitucional son los siguientes:</w:t>
      </w:r>
    </w:p>
    <w:p w:rsidR="005728DD" w:rsidRDefault="005728DD" w:rsidP="005728DD">
      <w:pPr>
        <w:pStyle w:val="TextoNormal"/>
      </w:pPr>
    </w:p>
    <w:p w:rsidR="005728DD" w:rsidRDefault="005728DD" w:rsidP="005728DD">
      <w:pPr>
        <w:pStyle w:val="TextoNormal"/>
      </w:pPr>
      <w:r>
        <w:t>a) Doña Susana Soler Algarra, facultativo especialista en neurofisiología clínica en el Hospital de La Fe de Valencia sin dedicación exclusiva, concurrió a la convocatoria de una plaza de jefatura de sección de su especialidad en el hospital en que trabajaba. La convocatoria se hizo por resolución de 28 de febrero de 2018, de la Dirección General de Recursos Humanos y Económicos, de la Consejería de Sanidad Universal y Salud Pública [“Diari Oficial de la Generalitat Valenciana” (“DOGV”) de 14 de marzo de 2018], donde se establecía que “el régimen de dedicación del personal facultativo que resulte adjudicatario de la plaza será de dedicación exclusiva” (base 1, párrafo 2, punto 1.1).</w:t>
      </w:r>
    </w:p>
    <w:p w:rsidR="005728DD" w:rsidRDefault="005728DD" w:rsidP="005728DD">
      <w:pPr>
        <w:pStyle w:val="TextoNormal"/>
      </w:pPr>
    </w:p>
    <w:p w:rsidR="005728DD" w:rsidRDefault="005728DD" w:rsidP="005728DD">
      <w:pPr>
        <w:pStyle w:val="TextoNormal"/>
      </w:pPr>
      <w:r>
        <w:t>b) Disconforme con que se señalara el régimen de dedicación, la candidata pidió la suspensión de la convocatoria y su anulación, mediante recurso de reposición. Según la interesada la base impugnada modificaba el modelo de actuación previo, que no exigía dedicación exclusiva para las jefaturas de sección. Entiende la recurrente que la previsión sería nula de pleno derecho al serlo también el precepto en que se sustenta, esto es el art. 48 del Reglamento de selección y provisión de personal estatutario al servicio de instituciones sanitarias públicas del Sistema Valenciano de Salud (Decreto de las Cortes Valencianas 192/2017, de 1 de diciembre), por contravenir los arts. 53 y siguientes de la Ley de las Cortes Valencianas 11/2000, de 28 de diciembre, de medidas fiscales de gestión administrativa y financiera, y de organización de la Generalitat Valenciana, que regula los complementos del personal al servicio de las instituciones sanitarias dependientes de la Consejería de Sanidad.</w:t>
      </w:r>
    </w:p>
    <w:p w:rsidR="005728DD" w:rsidRDefault="005728DD" w:rsidP="005728DD">
      <w:pPr>
        <w:pStyle w:val="TextoNormal"/>
      </w:pPr>
    </w:p>
    <w:p w:rsidR="005728DD" w:rsidRDefault="005728DD" w:rsidP="005728DD">
      <w:pPr>
        <w:pStyle w:val="TextoNormal"/>
      </w:pPr>
      <w:r>
        <w:t>c) El recurso de reposición fue desestimado por resolución de 4 de mayo de 2018 de la citada Dirección General, denegatoria de la pretensión sobre el art. 48 del Reglamento bajo el argumento de que no cabe recurso administrativo contra las disposiciones administrativas de carácter general. Además, la resolución considera que la base impugnada se adecuaba al reglamento, limitándose este a ejecutar lo dispuesto en la disposición adicional 33 de la Ley de las Cortes Valencianas 14/2016, de 30 de diciembre, de presupuestos de la Generalitat para el ejercicio 2017.</w:t>
      </w:r>
    </w:p>
    <w:p w:rsidR="005728DD" w:rsidRDefault="005728DD" w:rsidP="005728DD">
      <w:pPr>
        <w:pStyle w:val="TextoNormal"/>
      </w:pPr>
    </w:p>
    <w:p w:rsidR="005728DD" w:rsidRDefault="005728DD" w:rsidP="005728DD">
      <w:pPr>
        <w:pStyle w:val="TextoNormal"/>
      </w:pPr>
      <w:r>
        <w:t>d) La resolución desestimatoria fue objeto de recurso contencioso-administrativo. La demanda solicitaba la anulación del punto 1 de la base primera de la convocatoria, en cuanto exige la dedicación exclusiva, pidiéndose además al juzgado que elevara cuestión de inconstitucionalidad sobre la disposición adicional 33 de la Ley de las Cortes Valencianas 14/2016 y que, devenido firme el eventual fallo estimatorio, elevara cuestión de ilegalidad sobre el art. 48 del reglamento de 2017.</w:t>
      </w:r>
    </w:p>
    <w:p w:rsidR="005728DD" w:rsidRDefault="005728DD" w:rsidP="005728DD">
      <w:pPr>
        <w:pStyle w:val="TextoNormal"/>
      </w:pPr>
    </w:p>
    <w:p w:rsidR="005728DD" w:rsidRDefault="005728DD" w:rsidP="005728DD">
      <w:pPr>
        <w:pStyle w:val="TextoNormal"/>
      </w:pPr>
      <w:r>
        <w:t>e) Mediante decreto del letrado de la administración de justicia, de 6 de julio de 2018, se admitió a trámite el recurso, del que conoce el Juzgado de lo Contencioso-Administrativo núm. 8 de Valencia. Practicada la prueba propuesta y admitida, tras la formulación de las conclusiones las actuaciones quedaron vistas para sentencia.</w:t>
      </w:r>
    </w:p>
    <w:p w:rsidR="005728DD" w:rsidRDefault="005728DD" w:rsidP="005728DD">
      <w:pPr>
        <w:pStyle w:val="TextoNormal"/>
      </w:pPr>
    </w:p>
    <w:p w:rsidR="005728DD" w:rsidRDefault="005728DD" w:rsidP="005728DD">
      <w:pPr>
        <w:pStyle w:val="TextoNormal"/>
      </w:pPr>
      <w:r>
        <w:t>f) Concluso el procedimiento, y antes de dictar sentencia, mediante providencia de 20 de mayo de 2019 el órgano judicial da traslado a las partes y al Ministerio Fiscal para que efectúen alegaciones respecto del eventual planteamiento de cuestión de inconstitucionali</w:t>
      </w:r>
      <w:r>
        <w:lastRenderedPageBreak/>
        <w:t>dad sobre la disposición adicional 33 de la Ley de las Cortes Valencianas 14/2016. La recurrente se adhiere al planteamiento de la cuestión, precisando que la duda se contrae al párrafo primero de la disposición adicional 33. La parte demandada, representada por la abogacía de la Generalitat Valenciana, alega que no cabe duda de inconstitucionalidad porque la dedicación exclusiva para el desempeño de los puestos de jefatura de servicio y sección, incluida en la Ley de presupuestos para 2017, guarda relación directa con los ingresos o gastos. El Ministerio Fiscal considera que concurren en este caso los requisitos para plantear la cuestión.</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El 17 de julio de 2019, el Juzgado de lo Contencioso-Administrativo núm. 8 de Valencia dictó auto de planteamiento de cuestión de inconstitucionalidad. El auto, tras recoger los hechos, las alegaciones de las partes e identificar la disposición adicional 33 de la Ley de las Cortes Valencianas 14/2016 de 30 de diciembre, de presupuestos de la Generalitat para el ejercicio 2017, como la norma con rango de ley aplicable al caso, de cuya validez depende el fallo, considera que esta puede ser contraria a los artículos 66.2 y 134.2 CE. El órgano judicial </w:t>
      </w:r>
      <w:r w:rsidRPr="005728DD">
        <w:rPr>
          <w:i/>
        </w:rPr>
        <w:t>a quo</w:t>
      </w:r>
      <w:r>
        <w:t xml:space="preserve"> plantea que esta disposición ha traspasado los límites constitucionales de contenido de las leyes de presupuestos al matizar la regulación dada en la Ley de las Cortes Valencianas 11/2000, de 28 de diciembre, de medidas fiscales, de gestión administrativa y financiera, y de organización de la Generalitat Valenciana, y en concreto la relativa a los complementos específicos de aplicación al personal al servicio de instituciones sanitarias dependientes de la entonces Consejería de Sanidad.</w:t>
      </w:r>
    </w:p>
    <w:p w:rsidR="005728DD" w:rsidRDefault="005728DD" w:rsidP="005728DD">
      <w:pPr>
        <w:pStyle w:val="TextoNormal"/>
      </w:pPr>
    </w:p>
    <w:p w:rsidR="005728DD" w:rsidRDefault="005728DD" w:rsidP="005728DD">
      <w:pPr>
        <w:pStyle w:val="TextoNormal"/>
      </w:pPr>
      <w:r>
        <w:t>A la hora de formular el juicio de aplicabilidad el órgano judicial sostiene que, si se declarase la inconstitucionalidad de la disposición cuestionada, el art. 48 del Reglamento de ingreso y provisión de puestos de trabajo (Decreto de las Cortes Valencianas 192/2017) carecería de cobertura legal, y procedería declararlo nulo, estimando el recurso contencioso-administrativo. Por lo que hace al juicio de relevancia, el auto recuerda los límites materiales a la leyes de presupuestos aludiendo a las nociones de contenido propio y de contenido eventual, para asociar a este segundo la regulación de los complementos salariales, en la medida en que pueden tener consecuencias directas sobre la reducción o el aumento del gasto público (SSTC 9/2013, de 28 de enero, y 32/2000, de 3 de febrero). Además, se evoca la obligación del legislador de aportar las razones por las que existe una conexión directa entre el contenido eventual de la ley de presupuestos y los ingresos y gastos, en la medida en que esa conexión directa no puede presumirse (con cita de las SSTC 152/2014, de 25 de septiembre, y 123/2016, de 23 de junio), para concluir que el legislador, en este caso, no ha dado razón alguna sobre la inclusión de la disposición cuestionada en la ley de presupuestos. Se afirma, asimismo, que las limitaciones materiales al contenido de una ley de presupuestos que ha ido configurando la jurisprudencia constitucional son también aplicables a las leyes de presupuestos de las comunidades autónomas (con cita de las SSTC 3/2003, de 16 de enero, y 202/2003, de 17 de noviembre), y que la disposición cuestionada no es una norma primordialmente retributiva, aunque tenga efecto sobre las retribuciones, sino una norma de régimen de incompatibilidades, es decir de régimen sustantivo del personal estatutario, lo cual debería quedar extramuros de la ley de presupuestos (STC 197/2012, de 6 de noviembre).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Por providencia de 29 de octubre de 2019, el Pleno de este tribunal, a propuesta de la Sección Segunda, acordó admitir a trámite la cuestión planteada y reservar para sí el conocimiento de la presente cuestión [art. 10.1 c) de la Ley Orgánica del Tribunal Constitucional </w:t>
      </w:r>
      <w:r>
        <w:lastRenderedPageBreak/>
        <w:t>(LOTC)], dando traslado de las actuaciones recibidas (art. 37.3 LOTC) al Congreso de los Diputados y al Senado, al Gobierno, a la fiscal general del Estado, a las Cortes Valencianas y al Gobierno de la Generalitat Valenciana, para que en el plazo de quince días pudieran personarse y formular alegaciones. También ordenó comunicar la providencia al juzgado promotor de la cuestión, a fin de que el procedimiento del que emana la cuestión permaneciera suspendido hasta que este tribunal resolviera definitivamente (art. 35.3 LOTC). Por último, ordenó la publicación de la incoación de la cuestión en el “Boletín Oficial del Estado” (“BOE” núm. 267, de 6 de noviembre) y en el “Diari Oficial de la Generalitat Valenciana” (“DOGV” núm. 8721 de 20 de enero de 2020).</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registrado en este tribunal el 13 de noviembre de 2019, el presidente del Senado comunicó, en ejercicio de la delegación conferida por la mesa de la Diputación Permanente de la Cámara, que se tuviera por personada a la Cámara en el procedimiento y por ofrecida su colaboración a los efectos del artículo 88.1 LOTC.</w:t>
      </w:r>
    </w:p>
    <w:p w:rsidR="005728DD" w:rsidRDefault="005728DD" w:rsidP="005728DD">
      <w:pPr>
        <w:pStyle w:val="TextoNormal"/>
      </w:pPr>
    </w:p>
    <w:p w:rsidR="005728DD" w:rsidRDefault="005728DD" w:rsidP="005728DD">
      <w:pPr>
        <w:pStyle w:val="TextoNormal"/>
      </w:pPr>
      <w:r w:rsidRPr="005728DD">
        <w:rPr>
          <w:rStyle w:val="NumeroAFNegritaCaracter"/>
        </w:rPr>
        <w:t>6</w:t>
      </w:r>
      <w:r>
        <w:t>. El 19 de noviembre de 2019 tuvo entrada en este tribunal escrito del abogado del Estado, en representación del Gobierno de la Nación, solicitado al Tribunal que se le tuviera por personado exclusivamente a los efectos de que se le notificaran las resoluciones que fueran dictadas, y comunicando que no iba a formular alegaciones.</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escrito del abogado de la Generalitat registrado en el Tribunal el 2 de diciembre de 2019, se persona el Gobierno de la Generalitat y formula alegaciones interesando la desestimación de la cuestión de inconstitucionalidad.</w:t>
      </w:r>
    </w:p>
    <w:p w:rsidR="005728DD" w:rsidRDefault="005728DD" w:rsidP="005728DD">
      <w:pPr>
        <w:pStyle w:val="TextoNormal"/>
      </w:pPr>
    </w:p>
    <w:p w:rsidR="005728DD" w:rsidRDefault="005728DD" w:rsidP="005728DD">
      <w:pPr>
        <w:pStyle w:val="TextoNormal"/>
      </w:pPr>
      <w:r>
        <w:t>a) En primer término, se evoca el art. 54 de la Ley de las Cortes Valencianas 11/2000 que estableció los complementos específicos aplicables al personal al servicio de las instituciones sanitarias dependientes de la Consejería de Sanidad, sobre la base de la previsión genérica establecida en el art. 2.3 b) del Real Decreto-ley 3/1987, de 11 de septiembre, sobre retribuciones del personal estatutario del Instituto Nacional de la Salud.</w:t>
      </w:r>
    </w:p>
    <w:p w:rsidR="005728DD" w:rsidRDefault="005728DD" w:rsidP="005728DD">
      <w:pPr>
        <w:pStyle w:val="TextoNormal"/>
      </w:pPr>
    </w:p>
    <w:p w:rsidR="005728DD" w:rsidRDefault="005728DD" w:rsidP="005728DD">
      <w:pPr>
        <w:pStyle w:val="TextoNormal"/>
      </w:pPr>
      <w:r>
        <w:t>El citado art. 54 prevé los siguientes complementos: específico A [retribuye uno o varios de los conceptos incluidos en el apartado b) del art. 2.3 del Real Decreto-ley 3/1987, excepto el de dedicación exclusiva, incompatibilidad y dedicación de tardes]; específico B (retribuye los conceptos incluidos en el A más la dedicación exclusiva o incompatibilidad); y específico C (retribuye los conceptos expresados en el A, más la dedicación de tardes; este complemento solo se aplica al personal incluido en el ámbito del estatuto de personal facultativo). Esta regulación se completó con lo dispuesto en la disposición adicional 33 de la Ley de las Cortes Valencianas 14/2016 de 30 de diciembre, de presupuestos de la Generalitat para el ejercicio 2017, relativa al complemento específico B para jefes de servicio y de sección, disponiendo que el desempeño de esos puestos lleva consigo dedicación exclusiva, exigida al requerirse especial responsabilidad. La Ley de presupuestos para 2017, introduce en el título III “los gastos de personal”, regulando las normas del régimen de retribuciones del personal laboral, funcionario o estatuario, que concreta puntualmente la disposición adicional cuestionada respecto del complemento específico B para quienes ostenten una jefatura de servicio o sección en las instituciones sanitarias dependientes de la Consejería de Sanidad, de forma que, precisamente por percibir una retribución más elevada y ostentar mayores responsabilidades, se les exige dedicación exclusiva.</w:t>
      </w:r>
    </w:p>
    <w:p w:rsidR="005728DD" w:rsidRDefault="005728DD" w:rsidP="005728DD">
      <w:pPr>
        <w:pStyle w:val="TextoNormal"/>
      </w:pPr>
    </w:p>
    <w:p w:rsidR="005728DD" w:rsidRDefault="005728DD" w:rsidP="005728DD">
      <w:pPr>
        <w:pStyle w:val="TextoNormal"/>
      </w:pPr>
      <w:r>
        <w:t>b) El escrito de alegaciones prosigue con una exposición sobre el contenido de las leyes de presupuestos y la jurisprudencia constitucional al respecto. Del art. 76 del Estatuto de Autonomía de la Comunitat Valenciana, sobre los presupuestos de la Generalitat, y de varios preceptos de la Ley 1/2015, de 6 de febrero, de la Generalitat, de Hacienda Pública, del Sector Púbico Instrumental y de Subvenciones, deduce que no hay ninguna prohibición de regulación de materias conexas, por lo que nada impide la regulación contenida en la disposición adicional cuestionada.</w:t>
      </w:r>
    </w:p>
    <w:p w:rsidR="005728DD" w:rsidRDefault="005728DD" w:rsidP="005728DD">
      <w:pPr>
        <w:pStyle w:val="TextoNormal"/>
      </w:pPr>
    </w:p>
    <w:p w:rsidR="005728DD" w:rsidRDefault="005728DD" w:rsidP="005728DD">
      <w:pPr>
        <w:pStyle w:val="TextoNormal"/>
      </w:pPr>
      <w:r>
        <w:t>c) Examinada la estructura de las leyes de presupuestos de la Generalitat, prácticamente idénticas todos los años y que ajustan su ordenación al art. 30 del Decreto de las Cortes Valencianas 24/2009, de 13 de febrero, sobre la forma, la estructura y el procedimiento de elaboración de los proyectos normativos de la Generalitat, en particular respecto de las disposiciones adicionales, el escrito de alegaciones se refiere al título III de la Ley de presupuestos para 2017, que se ocupa de los gastos de personal, regulando las retribuciones de cada colectivo, detallando las cantidades que deben percibirse, desglosadas por conceptos, y distinguiendo entre retribuciones básicas y complementarias. El letrado de la Generalitat deduce de aquí que la propia ley de presupuestos permite que se adecúen las retribuciones correspondientes a los puestos de trabajo que acarreen una especial responsabilidad o dedicación, como pueden ser los de jefatura, a los que se atribuye la responsabilidad del funcionamiento de la unidad correspondiente, quedando esta previsión dentro del margen previsto en la norma estatal básica que configura el complemento específico. Así, los presupuestos de la Generalitat de cada año han de llevar a cabo la determinación del importe de los créditos para atender el pago de este complemento al personal que va a ocupar una jefatura de servicio o de sección, como contempla el art. 32 de la Ley de las Cortes Valencianas 14/2016 (sobre retribuciones del personal al servicio de las instituciones sanitarias).</w:t>
      </w:r>
    </w:p>
    <w:p w:rsidR="005728DD" w:rsidRDefault="005728DD" w:rsidP="005728DD">
      <w:pPr>
        <w:pStyle w:val="TextoNormal"/>
      </w:pPr>
    </w:p>
    <w:p w:rsidR="005728DD" w:rsidRDefault="005728DD" w:rsidP="005728DD">
      <w:pPr>
        <w:pStyle w:val="TextoNormal"/>
      </w:pPr>
      <w:r>
        <w:t>Entiende esta parte que la ley de presupuestos puede regular una cuestión que versa sobre las retribuciones del personal, puesto que tal previsión legal incide sobre el importe de los créditos anuales que deben consignarse en el capítulo de “gastos de personal” de los programas presupuestarios que financian la atención sanitaria; y que la cantidad a percibir en concepto de complemento específico B por el personal estatutario que ocupa determinadas jefaturas, está directamente relacionada con esa regulación. Pese a reconocer que la cuestión se podría haber regulado en el art. 32 de la Ley de presupuestos para 2017, allí habría tenido difícil encaje sistemático por lo que se consideró más oportuno (Decreto 24/2009) incluirla en una disposición adicional, con el fin de establecer un régimen especial que completara las reglas contenidas en la Ley de las Cortes Valencianas 11/2000.</w:t>
      </w:r>
    </w:p>
    <w:p w:rsidR="005728DD" w:rsidRDefault="005728DD" w:rsidP="005728DD">
      <w:pPr>
        <w:pStyle w:val="TextoNormal"/>
      </w:pPr>
    </w:p>
    <w:p w:rsidR="005728DD" w:rsidRDefault="005728DD" w:rsidP="005728DD">
      <w:pPr>
        <w:pStyle w:val="TextoNormal"/>
      </w:pPr>
      <w:r>
        <w:t xml:space="preserve">d) Concluye el abogado de la Generalitat que la disposición adicional cuestionada reúne los requisitos establecidos por este tribunal para considerarse constitucionalmente legítima, pues regula una materia que tiene relación directa con los créditos para gastos: a la Consejería de Sanidad se le consignaron para 2017 unos créditos cuyo importe fue calculado partiendo de los conceptos retributivos del personal estatutario recogidos en la normativa estatal básica, y para el complemento específico B se tuvo en cuenta que el desempeño de jefaturas de servicio o sección implicaba el abono de una cantidad superior (unida a exigir exclusividad), por lo que de no aplicarse la previsión contenida en la disposición adicional cuestionada habría un desajuste que repercutiría en las nóminas y acarrearía una insuficiencia de créditos. Ello puede comprobarse examinando el anexo de datos de personal (tomo </w:t>
      </w:r>
      <w:r>
        <w:lastRenderedPageBreak/>
        <w:t>IV de la Ley de presupuestos de la Generalitat para 2017, que se acompaña a las alegaciones), base para determinar los créditos del capítulo I del programa presupuestario 412.22 “asistencia sanitaria”; en ese anexo se incluye, por cada tipo de puesto de trabajo, el importe anual de las retribuciones básicas y complementarías, que posteriormente se multiplica por el número de puestos de cada categoría, con lo que se obtiene el total anual por cada tipo de puesto. Con estos cálculos han sido determinados los créditos, incluidos en el anexo de gastos, por lo que resulta evidente la conexión directa en la Ley de presupuestos para 2017 entre el contenido del título III y la disposición adicional cuestionada.</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escrito registrado en el tribunal de 2 de diciembre de 2019 el letrado de las Cortes Valencianas se personó por la cámara y formuló alegaciones, solicitando que se dictara sentencia desestimatoria de la cuestión de inconstitucionalidad planteada.</w:t>
      </w:r>
    </w:p>
    <w:p w:rsidR="005728DD" w:rsidRDefault="005728DD" w:rsidP="005728DD">
      <w:pPr>
        <w:pStyle w:val="TextoNormal"/>
      </w:pPr>
    </w:p>
    <w:p w:rsidR="005728DD" w:rsidRDefault="005728DD" w:rsidP="005728DD">
      <w:pPr>
        <w:pStyle w:val="TextoNormal"/>
      </w:pPr>
      <w:r>
        <w:t>a) Tras una exposición de antecedentes legislativos, el escrito de alegaciones de las Cortes se centra en definir el alcance del contenido normativo de las leyes de presupuestos, con referencias al Estatuto de Autonomía para la Comunidad Valenciana (EAV), a las sentencias del Tribunal Constitucional (STC 3/2003, de 16 de enero, FJ 4, y STC 223/2006, de 6 de julio) y a la doctrina jurídica sobre el instituto presupuestario. Se hace referencia a que el art. 76 EAV ni autoriza ni prohíbe expresamente que la ley que aprueba el presupuesto de la Generalitat tenga contenido normativo adicional al indispensable, y se cita expresamente la jurisprudencia contenida en las SSTC 63/1986, de 21 de mayo; 65/1990, de 5 de abril; 76/1992, de 14 de mayo; 3/2003, de 16 de enero; 34/2005, de 17 de febrero, y 82/2005, de 6 de abril. A la vista del EAV y la doctrina constitucional expuesta, se concluye que los principios generales del Derecho presupuestario inferidos del art. 134 CE son referibles a los presupuestos de la Generalitat y a la ley de las Cortes Valencianas que los ha de aprobar en cada ejercicio.</w:t>
      </w:r>
    </w:p>
    <w:p w:rsidR="005728DD" w:rsidRDefault="005728DD" w:rsidP="005728DD">
      <w:pPr>
        <w:pStyle w:val="TextoNormal"/>
      </w:pPr>
    </w:p>
    <w:p w:rsidR="005728DD" w:rsidRDefault="005728DD" w:rsidP="005728DD">
      <w:pPr>
        <w:pStyle w:val="TextoNormal"/>
      </w:pPr>
      <w:r>
        <w:t>b) Concretando el análisis de la disposición adicional cuestionada, el letrado de las Cortes sostiene que su apartado 1 tiene por antecedente la Ley 1/2000, “de acompañamiento” (arts. 53 a 56, conceptos retributivos del personal al servicio de las instituciones sanitarias dependientes de la Consejería de Sanidad de la Generalitat Valenciana), que se remite a un anexo que relaciona los complementos retributivos previstos para cada categoría profesional, especialidad o actividad, y detalla los importes de cada concepto y la clasificación de los correspondientes puestos de trabajo. A su vez esta regulación autonómica se basa en la legislación estatal sobre el régimen retributivo del personal estatutario del Instituto Nacional de la Salud, concretamente en el art. 2.3 b) del Real Decreto-ley 3/1987, de 11 de septiembre; la Ley 66/1997, de 30 de diciembre, cuyo art. 53 añadió un nuevo párrafo al citado art. 2.3 b), e incluyó una nueva disposición final cuarta en el Real Decreto-ley de 1987; y la Ley 55/2003, de 16 de diciembre, del Estatuto Marco del personal estatutario de los servicios de salud, cuyo art. 43.2 b) regula entre las retribuciones complementarias el complemento específico y cuya disposición transitoria sexta, apartado a) del número 1 establece unas previsiones sobre entrada en vigor y régimen transitorio, refiriendo que el Real Decreto-ley 3/1987 seguirá vigente pero sin carácter básico (con cita de la STC 197/2012, de 6 de noviembre, FJ 9, en relación con la vigencia del Real Decreto-ley o de la normativa equivalente autonómica).</w:t>
      </w:r>
    </w:p>
    <w:p w:rsidR="005728DD" w:rsidRDefault="005728DD" w:rsidP="005728DD">
      <w:pPr>
        <w:pStyle w:val="TextoNormal"/>
      </w:pPr>
    </w:p>
    <w:p w:rsidR="005728DD" w:rsidRDefault="005728DD" w:rsidP="005728DD">
      <w:pPr>
        <w:pStyle w:val="TextoNormal"/>
      </w:pPr>
      <w:r>
        <w:lastRenderedPageBreak/>
        <w:t>c) Analizado el contenido del auto de planteamiento de la cuestión de inconstitucionalidad, el escrito de alegaciones sostiene que la disposición adicional  trigésima tercera cuestionada parte de un sistema retributivo en el que todo el personal médico podrá optar entre la asignación del complemento A, B o C (art. 55.1 de la Ley de las Cortes Valencianas 11/2000), siendo que la opción por el B comporta dedicación exclusiva o incompatibilidad (art. 54 de la Ley de las Cortes Valencianas 11/2000). El precepto objeto de análisis, en su apartado primero introduce una “especificación” en virtud de la cual los puestos de jefatura de servicio o sección de personal estatutario facultativo, o expresamente considerados equivalentes a estos, tendrán asignada legalmente la modalidad B de complemento específico, por lo que los facultativos/as que accedan a dichos puestos de jefatura mediante los correspondientes concursos, percibirán por imperativo legal el complemento específico B desempeñando su puesto en régimen de dedicación exclusiva o incompatibilidad. Por su parte el apartado tercero de la disposición adicional trigésima tercera posibilita al personal médico retornar al régimen de opción por uno u otro complemento específico en el momento en que deje de desempeñar los puestos de jefatura, regresando a la plaza y puesto del que son titulares y tienen reservados. Para aplicar esta novedad la disposición adicional cuestionada prevé en su apartado segundo un régimen transitorio.</w:t>
      </w:r>
    </w:p>
    <w:p w:rsidR="005728DD" w:rsidRDefault="005728DD" w:rsidP="005728DD">
      <w:pPr>
        <w:pStyle w:val="TextoNormal"/>
      </w:pPr>
    </w:p>
    <w:p w:rsidR="005728DD" w:rsidRDefault="005728DD" w:rsidP="005728DD">
      <w:pPr>
        <w:pStyle w:val="TextoNormal"/>
      </w:pPr>
      <w:r>
        <w:t>Sostiene el letrado de las Cortes que la regulación contenida en la disposición cuestionada es sustancialmente diferente de la del Principado de Asturias declarada inconstitucional por la STC 197/2012, porque esta no regula el complemento específico B, ni invade la competencia estatal para la regulación de ese complemento, ni vulnera la normativa básica a la que hace referencia la STC 197/2012, como tampoco hay infracción de los límites materiales de la ley de presupuestos. Lo que hace la disposición cuestionada es determinar el complemento retributivo específico y, por ende, el régimen de dedicación de los puestos de jefatura de servicio o sección. El concepto retributivo sobre el que se proyecta la disposición ya estaba definido por la legislación estatal citada antes, y también —en el ámbito de los servicios de salud de la Comunitat Valenciana— por los arts. 53 a 56 de la Ley de las Cortes Valencianas 11/2000. Así la disposición cuestionada no modifica la configuración general del concepto retributivo, que sigue teniendo carácter renunciable para el personal estatutario facultativo del sistema sanitario público de la Comunitat Valenciana, limitándose a clasificar los puestos de jefatura de servicio y de sección. Ello proyecta sobre el desempeño de determinados puestos de trabajo (los de jefatura) en función de su caracterización, de la responsabilidad que los singulariza y de su funcionalidad en la organización del sistema sanitario público de la Comunitat Valenciana.</w:t>
      </w:r>
    </w:p>
    <w:p w:rsidR="005728DD" w:rsidRDefault="005728DD" w:rsidP="005728DD">
      <w:pPr>
        <w:pStyle w:val="TextoNormal"/>
      </w:pPr>
    </w:p>
    <w:p w:rsidR="005728DD" w:rsidRDefault="005728DD" w:rsidP="005728DD">
      <w:pPr>
        <w:pStyle w:val="TextoNormal"/>
      </w:pPr>
      <w:r>
        <w:t>A partir de la previsión normativa, la clasificación y régimen de dedicación se efectúa mediante las relaciones de puestos de trabajo de las Consejerías y organismos públicos, aprobadas por Decreto del Consell, con sujeción a lo previsto en el Decreto 56/2013, de 3 de mayo, de criterios generales para la clasificación de los puestos de trabajo y el procedimiento de elaboración y aprobación de las relaciones de puestos de trabajo de la administración de la Generalitat, cuya regulación, por lo que hace a la jornada de trabajo y régimen de dedicación, completan los arts. 4.1 y ss. del Decreto 42/2019, de 22 de marzo, de regulación de las condiciones de trabajo del personal funcionario de la administración de la Generalitat.</w:t>
      </w:r>
    </w:p>
    <w:p w:rsidR="005728DD" w:rsidRDefault="005728DD" w:rsidP="005728DD">
      <w:pPr>
        <w:pStyle w:val="TextoNormal"/>
      </w:pPr>
    </w:p>
    <w:p w:rsidR="005728DD" w:rsidRDefault="005728DD" w:rsidP="005728DD">
      <w:pPr>
        <w:pStyle w:val="TextoNormal"/>
      </w:pPr>
      <w:r>
        <w:lastRenderedPageBreak/>
        <w:t>d) Entiende esta parte que la asignación imperativa del complemento específico B a determinados puestos de trabajo, con las consecuencias económicas y de régimen de dedicación que acarrea, comporta un modelo de organización del sistema público que redunda en la eficiencia y en el cumplimiento de los fines asistenciales, y que viene definido en ejecución de la política económica del Gobierno. Por esa razón estas medidas son subsumibles en el contenido político de la ley de presupuestos, que sintetiza el programa político del ejecutivo y comporta la autorización cuantitativa, cualitativa y temporal necesaria para asumir los compromisos de gasto que el programa contiene (con cita de la STC 223/2006, de 6 de julio). Por tanto, la disposición cuestionada no excede del contenido normativo eventual que puede tener legítimamente una ley de presupuestos, sino que constituye una medida de ordenación económica y de estructuración de los puestos de trabajo de jefatura en beneficio de la eficiencia y mejor funcionamiento del sistema, al garantizar la plena y exclusiva dedicación al desempeño por quienes accedan voluntariamente.</w:t>
      </w:r>
    </w:p>
    <w:p w:rsidR="005728DD" w:rsidRDefault="005728DD" w:rsidP="005728DD">
      <w:pPr>
        <w:pStyle w:val="TextoNormal"/>
      </w:pPr>
    </w:p>
    <w:p w:rsidR="005728DD" w:rsidRDefault="005728DD" w:rsidP="005728DD">
      <w:pPr>
        <w:pStyle w:val="TextoNormal"/>
      </w:pPr>
      <w:r>
        <w:t>e) Las alegaciones terminan con un examen de la incidencia que en el debate parlamentario y en el derecho de enmienda de los diputados tuvo el hecho de que la disposición cuestionada fuera incluida en una ley de presupuestos; examen tras el cual se concluye que el procedimiento legislativo utilizado no fue determinante para poder deducirse su inconstitucionalidad.</w:t>
      </w:r>
    </w:p>
    <w:p w:rsidR="005728DD" w:rsidRDefault="005728DD" w:rsidP="005728DD">
      <w:pPr>
        <w:pStyle w:val="TextoNormal"/>
      </w:pPr>
    </w:p>
    <w:p w:rsidR="005728DD" w:rsidRDefault="005728DD" w:rsidP="005728DD">
      <w:pPr>
        <w:pStyle w:val="TextoNormal"/>
      </w:pPr>
      <w:r w:rsidRPr="005728DD">
        <w:rPr>
          <w:rStyle w:val="NumeroAFNegritaCaracter"/>
        </w:rPr>
        <w:t>9</w:t>
      </w:r>
      <w:r>
        <w:t>. El 16 de diciembre de 2019 tuvo entrada en este tribunal el escrito de alegaciones de la fiscal general del Estado, proponiendo la estimación de la cuestión de inconstitucionalidad.</w:t>
      </w:r>
    </w:p>
    <w:p w:rsidR="005728DD" w:rsidRDefault="005728DD" w:rsidP="005728DD">
      <w:pPr>
        <w:pStyle w:val="TextoNormal"/>
      </w:pPr>
    </w:p>
    <w:p w:rsidR="005728DD" w:rsidRDefault="005728DD" w:rsidP="005728DD">
      <w:pPr>
        <w:pStyle w:val="TextoNormal"/>
      </w:pPr>
      <w:r>
        <w:t>a) En primer término, el escrito centra el objeto de la controversia en el alcance de las leyes de presupuestos autonómicas y “el recto ejercicio de la potestad legislativa” (STC 86/2013, de 11 de abril, FJ 2), descartando que se cuestionen aspectos competenciales Estado/Comunidad Autónoma. Se constata además que, aunque la norma cuestionada ha sido reproducida en la disposición adicional trigésima tercera de la Ley 22/2017, de 29 de diciembre, de presupuestos de la Generalitat para 2018, ello no afecta a la presente cuestión de inconstitucionalidad (con cita de las SSTC 37/2002, de 14 febrero, FJ 3, y 33/2013, de 11 de febrero; criterio aplicado ya en la STC 178/2004, de 21 de octubre, FJ 5).</w:t>
      </w:r>
    </w:p>
    <w:p w:rsidR="005728DD" w:rsidRDefault="005728DD" w:rsidP="005728DD">
      <w:pPr>
        <w:pStyle w:val="TextoNormal"/>
      </w:pPr>
    </w:p>
    <w:p w:rsidR="005728DD" w:rsidRDefault="005728DD" w:rsidP="005728DD">
      <w:pPr>
        <w:pStyle w:val="TextoNormal"/>
      </w:pPr>
      <w:r>
        <w:t>b) Seguidamente, la fiscalía ante el Tribunal Constitucional apela a la jurisprudencia constitucional sobre los arts. 66.2 y 134.2 CE y al contenido propio —esencial y eventual— de las leyes de presupuestos (por todas, STC 122/2018, de 31 de diciembre, FJ 3), reconociendo que el problema ha dado lugar a una amplia casuística, resultando que en unos supuestos se ha negado que ciertas medidas puedan tener cabida en una ley de presupuestos, aceptándose en otros. Sigue con una exposición acerca de la aplicación de los límites de contenido a las leyes presupuestarias de las comunidades autónomas; y concluye que en el presente caso cumplen la misma función, de modo que las leyes de presupuestos de la Generalitat quedan sometidas a los mismos límites materiales y temporales que las del Estado (STC 86/2013, de 11 abril, FFJJ 3 y 4).</w:t>
      </w:r>
    </w:p>
    <w:p w:rsidR="005728DD" w:rsidRDefault="005728DD" w:rsidP="005728DD">
      <w:pPr>
        <w:pStyle w:val="TextoNormal"/>
      </w:pPr>
    </w:p>
    <w:p w:rsidR="005728DD" w:rsidRDefault="005728DD" w:rsidP="005728DD">
      <w:pPr>
        <w:pStyle w:val="TextoNormal"/>
      </w:pPr>
      <w:r>
        <w:t>c) En desarrollo y aplicación de la anterior doctrina constitucional, efectúa las siguientes consideraciones:</w:t>
      </w:r>
    </w:p>
    <w:p w:rsidR="005728DD" w:rsidRDefault="005728DD" w:rsidP="005728DD">
      <w:pPr>
        <w:pStyle w:val="TextoNormal"/>
      </w:pPr>
    </w:p>
    <w:p w:rsidR="005728DD" w:rsidRDefault="005728DD" w:rsidP="005728DD">
      <w:pPr>
        <w:pStyle w:val="TextoNormal"/>
      </w:pPr>
      <w:r>
        <w:lastRenderedPageBreak/>
        <w:t>Tras un examen de la legislación presupuestaria y hacendística de la Comunidad Valenciana, expone que la Ley de las Cortes Valencianas 14/2016, de presupuestos regula los gastos de personal en el título III, pese a lo cual la disposición adicional trigésimo tercera se inserta fuera de ese título que recoge los aspectos netamente económicos. Además, la disposición cuestionada carece de la justificación exigible para haber sido incluida en la ley de presupuestos. Se insiste en el hecho de que la regulación de la dedicación exclusiva carece en sí misma de un contenido económico propio o inmediato y se prolonga más allá del ejercicio presupuestario, al integrarse su contenido en el Reglamento de selección y provisión de personal estatutario al servicio de instituciones sanitarias públicas del Sistema Valenciano de Salud (art. 48 y disposición transitoria primera del Decreto 192/2017, de 1 de diciembre). Esta última previsión sustituye el contenido del Decreto 7/2003, de 28 de enero, y supone una “adaptación” de la Ley 55/2003, de 16 de diciembre, del Estatuto Marco de personal estatutario de servicios de salud, y del estatuto básico del empleado público (texto refundido aprobado por el Real Decreto legislativo 5/2015, de 30 de octubre, LEEP), como recoge el preámbulo del Decreto 197/2017. Por tanto, la disposición cuestionada se inserta en el estatuto personal de aquellos a quienes afecta y en desarrollo, precisamente, de las normas que configuran su contenido propio, como son el Estatuto Marco de 2003 y el LEEP, regulando aspectos como la dedicación exclusiva, característicos para el desempeño de ciertos puestos de trabajo en atención a su responsabilidad. No se trata pues de una norma de naturaleza eminentemente económica a los efectos presupuestarios, sino que afecta a los requisitos para el desempeño de determinados puestos de trabajo con una cualificación especial.</w:t>
      </w:r>
    </w:p>
    <w:p w:rsidR="005728DD" w:rsidRDefault="005728DD" w:rsidP="005728DD">
      <w:pPr>
        <w:pStyle w:val="TextoNormal"/>
      </w:pPr>
    </w:p>
    <w:p w:rsidR="005728DD" w:rsidRDefault="005728DD" w:rsidP="005728DD">
      <w:pPr>
        <w:pStyle w:val="TextoNormal"/>
      </w:pPr>
      <w:r>
        <w:t>Yendo a los antecedentes legislativos, la fiscalía recuerda que la ley de acompañamiento 11/2000, de 28 de diciembre, identificaba dedicación exclusiva e incompatibilidad al contemplar entre los complementos retributivos (art. 54) el específico B, destinado a retribuir los conceptos incluidos en el complemento A, más la dedicación exclusiva o incompatibilidad. Por su parte, la Ley 10/2010, de 9 de julio, de la función pública de la Comunidad Valenciana, precisa en su art. 35 que la clasificación de puestos de trabajo es el sistema que determina el contenido de los puestos a efectos, esencialmente, de la selección de personal, la provisión y la determinación de las retribuciones complementarías vinculadas a los puestos. En definitiva, la regulación de la dedicación exclusiva, equivalente a la determinación de la incompatibilidad, aunque afecta cuantitativamente a las percepciones económicas —aspecto concreto propio de las leyes de presupuestos— pues forma parte de las retribuciones, se inscribe sustantivamente en el estatuto de los deberes y derechos del personal. Así lo reconoce la doctrina constitucional al pronunciarse sobre la naturaleza de una norma que regula la dedicación exclusiva y su naturaleza de régimen de incompatibilidad (STC 197/2012, de 6 de noviembre, FFJJ 9 a 13).</w:t>
      </w:r>
    </w:p>
    <w:p w:rsidR="005728DD" w:rsidRDefault="005728DD" w:rsidP="005728DD">
      <w:pPr>
        <w:pStyle w:val="TextoNormal"/>
      </w:pPr>
    </w:p>
    <w:p w:rsidR="005728DD" w:rsidRDefault="005728DD" w:rsidP="005728DD">
      <w:pPr>
        <w:pStyle w:val="TextoNormal"/>
      </w:pPr>
      <w:r>
        <w:t xml:space="preserve">De lo anterior concluye el escrito de fiscalía que: 1º) el complemento de dedicación exclusiva para jefaturas de servicio y sección que regula la disposición adicional cuestionada es una norma sobre incompatibilidades, aunque lleve consigo efectos económicos asociados; 2º) en su formulación por el apartado 1 de la disposición adicional cuestionada carece de efectos económicos directos e inmediatos, pues queda supeditada a su posterior regulación y la subsiguiente convocatoria para cubrir y adjudicar las plazas, lo que acentúa su naturaleza de régimen sustantivo de las condiciones de trabajo y del servicio público sanitario a la que se orienta, al margen de los objetivos netamente presupuestarios de ingresos y gastos; 3º) la norma sobre dedicación exclusiva contenida en la disposición cuestionada </w:t>
      </w:r>
      <w:r>
        <w:lastRenderedPageBreak/>
        <w:t>afecta sustancialmente no a su cuantía —que se regula en los arts. 29 y siguientes de la ley de presupuestos para 2017, y en especial en el art. 32—, sino a la regulación de las condiciones estatutarias de trabajo, en cuanto la percepción del complemento y los efectos dedicación exclusiva —es decir, incompatibilidad—constituye requisito de las jefaturas a las que afecta e impide mientras tanto su desempeño simultáneo con otras funciones.</w:t>
      </w:r>
    </w:p>
    <w:p w:rsidR="005728DD" w:rsidRDefault="005728DD" w:rsidP="005728DD">
      <w:pPr>
        <w:pStyle w:val="TextoNormal"/>
      </w:pPr>
    </w:p>
    <w:p w:rsidR="005728DD" w:rsidRDefault="005728DD" w:rsidP="005728DD">
      <w:pPr>
        <w:pStyle w:val="TextoNormal"/>
      </w:pPr>
      <w:r>
        <w:t>Por tanto, la norma cuestionada tiene un contenido económico incidental y carece de la adecuada justificación y de conexión sustantiva para ser incluida en la ley de presupuestos.</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escrito registrado en este tribunal el 27 de enero de 2020, doña Susana Soler Algarra formuló sus alegaciones sosteniendo la estimación de la cuestión de inconstitucionalidad.</w:t>
      </w:r>
    </w:p>
    <w:p w:rsidR="005728DD" w:rsidRDefault="005728DD" w:rsidP="005728DD">
      <w:pPr>
        <w:pStyle w:val="TextoNormal"/>
      </w:pPr>
    </w:p>
    <w:p w:rsidR="005728DD" w:rsidRDefault="005728DD" w:rsidP="005728DD">
      <w:pPr>
        <w:pStyle w:val="TextoNormal"/>
      </w:pPr>
      <w:r>
        <w:t>a) Como observación previa, considera que si bien la inconstitucionalidad planteada se ciñe al párrafo primero de la disposición adicional trigésima tercera de la Ley de las Cortes Valencianas 14/2016, el párrafo segundo se limita a establecer una remisión reglamentaria, previendo un régimen transitorio hasta que el reglamento sea aprobado, por lo que también este resultaría inconstitucional por conexión o consecuencia.</w:t>
      </w:r>
    </w:p>
    <w:p w:rsidR="005728DD" w:rsidRDefault="005728DD" w:rsidP="005728DD">
      <w:pPr>
        <w:pStyle w:val="TextoNormal"/>
      </w:pPr>
    </w:p>
    <w:p w:rsidR="005728DD" w:rsidRDefault="005728DD" w:rsidP="005728DD">
      <w:pPr>
        <w:pStyle w:val="TextoNormal"/>
      </w:pPr>
      <w:r>
        <w:t xml:space="preserve">b) Por lo que hace al juicio de relevancia, esta parte recuerda que la base primera de la convocatoria impugnada en el proceso </w:t>
      </w:r>
      <w:r w:rsidRPr="005728DD">
        <w:rPr>
          <w:i/>
        </w:rPr>
        <w:t>a quo</w:t>
      </w:r>
      <w:r>
        <w:t xml:space="preserve"> es aplicación directa del art. 48.2, segundo inciso, del reglamento aprobado por Decreto 192/2017, que a su vez reproduce el apartado primero de la disposición adicional trigésima tercera de la Ley de las Cortes Valencianas 14/2016, por lo que la declaración de inconstitucionalidad de esta supondría entonces el fin de la cobertura legal del precepto reglamentario.</w:t>
      </w:r>
    </w:p>
    <w:p w:rsidR="005728DD" w:rsidRDefault="005728DD" w:rsidP="005728DD">
      <w:pPr>
        <w:pStyle w:val="TextoNormal"/>
      </w:pPr>
    </w:p>
    <w:p w:rsidR="005728DD" w:rsidRDefault="005728DD" w:rsidP="005728DD">
      <w:pPr>
        <w:pStyle w:val="TextoNormal"/>
      </w:pPr>
      <w:r>
        <w:t xml:space="preserve">Así, la exigencia de dedicación exclusiva prevista reglamentariamente devendría ilegal por tres razones: 1ª) el personal estatutario tiene un régimen jurídico propio del estatuto funcionarial, y como el art. 103.3 CE establece reserva material de ley para el régimen de incompatibilidades, una disposición reglamentaria no puede crear </w:t>
      </w:r>
      <w:r w:rsidRPr="005728DD">
        <w:rPr>
          <w:i/>
        </w:rPr>
        <w:t>ex novo</w:t>
      </w:r>
      <w:r>
        <w:t xml:space="preserve"> supuestos de incompatibilidad sin base legal; 2ª) sin la cobertura de la disposición cuestionada el precepto reglamentario sería contrario al art. 54 de la Ley de las Cortes Valencianas 11/2000, de acompañamiento a los presupuestos de la Generalidad para 2001, donde se regula el complemento específico del personal estatutario dando preferencia al complemento C, que no comporta dedicación exclusiva; 3ª) las incompatibilidades de los puestos de trabajo no deben establecerse con carácter general en una norma reglamentaria, sino que deben ser objeto de evaluación específica mediante la relación de puestos de trabajo. La base de la convocatoria impugnada en el proceso </w:t>
      </w:r>
      <w:r w:rsidRPr="005728DD">
        <w:rPr>
          <w:i/>
        </w:rPr>
        <w:t>a quo</w:t>
      </w:r>
      <w:r>
        <w:t xml:space="preserve"> exige dedicación exclusiva para todas las jefaturas de sección y servicio, lo que podría justificarse para jefaturas de gran tamaño, pero no para la de sección de neurofisiología clínica en el Hospital de La Fe donde la exigencia de dedicación exclusiva es desproporcionada.</w:t>
      </w:r>
    </w:p>
    <w:p w:rsidR="005728DD" w:rsidRDefault="005728DD" w:rsidP="005728DD">
      <w:pPr>
        <w:pStyle w:val="TextoNormal"/>
      </w:pPr>
    </w:p>
    <w:p w:rsidR="005728DD" w:rsidRDefault="005728DD" w:rsidP="005728DD">
      <w:pPr>
        <w:pStyle w:val="TextoNormal"/>
      </w:pPr>
      <w:r>
        <w:t>c) La inconstitucionalidad planteada se funda en la infracción de los límites materiales de las leyes de presupuestos y en la contradicción con normas básicas estatales.</w:t>
      </w:r>
    </w:p>
    <w:p w:rsidR="005728DD" w:rsidRDefault="005728DD" w:rsidP="005728DD">
      <w:pPr>
        <w:pStyle w:val="TextoNormal"/>
      </w:pPr>
    </w:p>
    <w:p w:rsidR="005728DD" w:rsidRDefault="005728DD" w:rsidP="005728DD">
      <w:pPr>
        <w:pStyle w:val="TextoNormal"/>
      </w:pPr>
      <w:r>
        <w:t xml:space="preserve">En lo relativo a los límites a las leyes de presupuestos se señala que la STC 123/2016, de 23 de junio, exige que la conexión con los ingresos y gastos de una disposición contenida en una ley de presupuestos sea “directa, inmediata y querida por la norma”, lo cual requiere </w:t>
      </w:r>
      <w:r>
        <w:lastRenderedPageBreak/>
        <w:t>justificar las razones de tal vinculación; debiendo poseer la norma vocación de generalidad y no constituir una excepción a las reglas generales. En este caso, la regla general se desprende de los arts. 53 y siguientes de la Ley de las Cortes Valencianas 11/2000, y es la preferencia por los complementos que no comporten dedicación exclusiva (con cita de las SSTC 152/2014, de 25 de septiembre; 9/2013, de 28 de enero, y 38/2014, de 11 de marzo). Además la norma cuestionada no busca una reducción del gasto público (con cita de la STC 99/2018, de 19 de septiembre). Por lo que hace a la irrenunciabilidad del complemento específico de exclusividad, esta parte evoca la STC 197/2012, de 6 de noviembre, que resolvió que la norma resultaba contraria a las bases estatales en materia de sanidad, resaltando que no se trataba de una norma primordialmente retributiva, sino de régimen de incompatibilidades, es decir de régimen sustantivo del personal estatutario, excluido de la ley de presupuestos.</w:t>
      </w:r>
    </w:p>
    <w:p w:rsidR="005728DD" w:rsidRDefault="005728DD" w:rsidP="005728DD">
      <w:pPr>
        <w:pStyle w:val="TextoNormal"/>
      </w:pPr>
    </w:p>
    <w:p w:rsidR="005728DD" w:rsidRDefault="005728DD" w:rsidP="005728DD">
      <w:pPr>
        <w:pStyle w:val="TextoNormal"/>
      </w:pPr>
      <w:r>
        <w:t>Además, la disposición cuestionada no está en consonancia con la normativa básica estatal (art. 149.1.18 CE), pues el art. 77.2 de la Ley 55/2003, de 16 de diciembre, del Estatuto Marco del personal estatutario de los servicios de salud, muestra una clara preferencia por la consideración del complemento específico del personal facultativo de la sanidad pública como un complemento renunciable, en línea con lo que ya preveían tanto el Real Decreto-ley 3/2009, de 27 de marzo, de medidas urgentes en materia tributaria, financiera y concursal ante la evolución de la situación económica, como la Ley 66/1997, de 30 de diciembre, de medidas fiscales, administrativas y del orden social, que lo modificó (con cita de la STC 197/2012).</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11 de mayo de 2021, se acordó señalar para deliberación y votación de la presente sentencia el día 13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 la cuestión de inconstitucionalidad</w:t>
      </w:r>
      <w:r>
        <w:t>.</w:t>
      </w:r>
    </w:p>
    <w:p w:rsidR="005728DD" w:rsidRDefault="005728DD" w:rsidP="005728DD">
      <w:pPr>
        <w:pStyle w:val="TextoNormal"/>
      </w:pPr>
    </w:p>
    <w:p w:rsidR="005728DD" w:rsidRDefault="005728DD" w:rsidP="005728DD">
      <w:pPr>
        <w:pStyle w:val="TextoNormal"/>
      </w:pPr>
      <w:r>
        <w:t>El Juzgado de lo Contencioso-Administrativo núm. 8 de Valencia plantea la cuestión de inconstitucionalidad en relación con el apartado 1 de la disposición adicional trigésima tercera de la Ley de las Cortes Valencianas 14/2016, de 30 de diciembre, de presupuestos de la Generalidad para el ejercicio 2017, por posible vulneración de los arts. 66.2 y 134.2 CE, al contrariar los límites señalados por la jurisprudencia constitucional al ámbito material de las leyes de presupuestos.</w:t>
      </w:r>
    </w:p>
    <w:p w:rsidR="005728DD" w:rsidRDefault="005728DD" w:rsidP="005728DD">
      <w:pPr>
        <w:pStyle w:val="TextoNormal"/>
      </w:pPr>
    </w:p>
    <w:p w:rsidR="005728DD" w:rsidRDefault="005728DD" w:rsidP="005728DD">
      <w:pPr>
        <w:pStyle w:val="TextoNormal"/>
      </w:pPr>
      <w:r>
        <w:t>La dicción literal del precepto cuestionado es la siguiente:</w:t>
      </w:r>
    </w:p>
    <w:p w:rsidR="005728DD" w:rsidRDefault="005728DD" w:rsidP="005728DD">
      <w:pPr>
        <w:pStyle w:val="TextoNormal"/>
      </w:pPr>
    </w:p>
    <w:p w:rsidR="005728DD" w:rsidRDefault="005728DD" w:rsidP="005728DD">
      <w:pPr>
        <w:pStyle w:val="TextoNormal"/>
      </w:pPr>
      <w:r>
        <w:t>“Disposición adicional trigésima tercera. Complemento específico B para jefes de servicio y sección.</w:t>
      </w:r>
    </w:p>
    <w:p w:rsidR="005728DD" w:rsidRDefault="005728DD" w:rsidP="005728DD">
      <w:pPr>
        <w:pStyle w:val="TextoNormal"/>
      </w:pPr>
    </w:p>
    <w:p w:rsidR="005728DD" w:rsidRDefault="005728DD" w:rsidP="005728DD">
      <w:pPr>
        <w:pStyle w:val="TextoNormal"/>
      </w:pPr>
      <w:r>
        <w:t>1. Los puestos de jefatura de servicio o sección de personal estatutario facultativo del sistema sanitario público de la Comunitat Valenciana, o que estén expresamente considerados equivalentes a estos, tendrán asignada la modalidad B de complemento específico, por lo que conllevarán dedicación exclusiva.</w:t>
      </w:r>
    </w:p>
    <w:p w:rsidR="005728DD" w:rsidRDefault="005728DD" w:rsidP="005728DD">
      <w:pPr>
        <w:pStyle w:val="TextoNormal"/>
      </w:pPr>
    </w:p>
    <w:p w:rsidR="005728DD" w:rsidRDefault="005728DD" w:rsidP="005728DD">
      <w:pPr>
        <w:pStyle w:val="TextoNormal"/>
      </w:pPr>
      <w:r>
        <w:lastRenderedPageBreak/>
        <w:t>El régimen de transitoriedad hacia esta modalidad de dedicación se desarrollará reglamentariamente. Hasta entonces continuará siendo aplicable para tales puestos la regulación contenida en los artículos 53 a 56 de la Ley de las Cortes Valencianas 11/2000, de 28 de diciembre, de medidas fiscales, de gestión administrativa y financiera y de organización de la Generalitat”.</w:t>
      </w:r>
    </w:p>
    <w:p w:rsidR="005728DD" w:rsidRDefault="005728DD" w:rsidP="005728DD">
      <w:pPr>
        <w:pStyle w:val="TextoNormal"/>
      </w:pPr>
    </w:p>
    <w:p w:rsidR="005728DD" w:rsidRDefault="005728DD" w:rsidP="005728DD">
      <w:pPr>
        <w:pStyle w:val="TextoNormal"/>
      </w:pPr>
      <w:r>
        <w:t xml:space="preserve">Se muestran favorables a que la cuestión planteada por el juzgado sea estimada doña Susana Soler Algarra, la demandante en el proceso contencioso-administrativo, y la fiscal general del Estado. Aunque inicialmente la demandante en el proceso </w:t>
      </w:r>
      <w:r w:rsidRPr="005728DD">
        <w:rPr>
          <w:i/>
        </w:rPr>
        <w:t>a quo</w:t>
      </w:r>
      <w:r>
        <w:t xml:space="preserve"> manifestó que la duda de inconstitucionalidad se contraía al apartado 1 de la disposición adicional, en sus alegaciones ante este tribunal sostiene que el apartado 2 resultaría también inconstitucional por conexión o consecuencia, y añade que la disposición cuestionada no está en consonancia con la normativa básica estatal dictada al amparo del art. 149.1.18 CE, lo que añadiría una segunda causa de invalidez. Por su parte consideran que la cuestión debe desestimarse el Gobierno de la Generalitat Valenciana y las Cortes Valencianas.</w:t>
      </w:r>
    </w:p>
    <w:p w:rsidR="005728DD" w:rsidRDefault="005728DD" w:rsidP="005728DD">
      <w:pPr>
        <w:pStyle w:val="TextoNormal"/>
      </w:pPr>
    </w:p>
    <w:p w:rsidR="005728DD" w:rsidRDefault="005728DD" w:rsidP="005728DD">
      <w:pPr>
        <w:pStyle w:val="TextoNormal"/>
      </w:pPr>
      <w:r>
        <w:t>El auto de planteamiento considera que la disposición adicional cuestionada puede haber traspasado los límites constitucionales de contenido establecidos para esta modalidad legal en los 66.2 y 134.2 CE, al regular los complementos específicos de aplicación al personal al servicio de instituciones sanitarias autonómicas. Sostiene el juzgado que, en caso de declararse la inconstitucionalidad de la norma cuestionada, el art. 48 del Reglamento de 2017 de ingreso y provisión de puestos de trabajo carecería de cobertura legal, resultaría contrario a la jerarquía normativa, y en consecuencia procedería estimar el recurso contencioso-administrativo, en el que se pretende la anulación de la base de la convocatoria del concurso para la provisión de jefaturas de servicio y sección asistenciales en varios hospitales dependientes de la administración autonómica, que desarrolla tal precepto reglamentario.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objeto de la cuestión de inconstitucionalidad</w:t>
      </w:r>
      <w:r>
        <w:t>.</w:t>
      </w:r>
    </w:p>
    <w:p w:rsidR="005728DD" w:rsidRDefault="005728DD" w:rsidP="005728DD">
      <w:pPr>
        <w:pStyle w:val="TextoNormal"/>
      </w:pPr>
    </w:p>
    <w:p w:rsidR="005728DD" w:rsidRDefault="005728DD" w:rsidP="005728DD">
      <w:pPr>
        <w:pStyle w:val="TextoNormal"/>
      </w:pPr>
      <w:r>
        <w:t>Respecto de la alegación de doña Susana Soler Algarra en relación con la extensión del objeto de la cuestión al párrafo 2 de la disposición adicional trigésima tercera de la Ley de las Cortes Valencianas 14/2016, de 30 de diciembre, de presupuestos de la Generalidad para el ejercicio 2017, este tribunal no accede, en este sentido, a la petición de la parte, sino que es su prerrogativa aceptar o rechazar esa pretensión. Como se dirá a continuación, el tribunal considera de oficio si procede o no la extensión solicitada.</w:t>
      </w:r>
    </w:p>
    <w:p w:rsidR="005728DD" w:rsidRDefault="005728DD" w:rsidP="005728DD">
      <w:pPr>
        <w:pStyle w:val="TextoNormal"/>
      </w:pPr>
    </w:p>
    <w:p w:rsidR="005728DD" w:rsidRDefault="005728DD" w:rsidP="005728DD">
      <w:pPr>
        <w:pStyle w:val="TextoNormal"/>
      </w:pPr>
      <w:r>
        <w:t xml:space="preserve">Por lo que hace a la ampliación del parámetro de control, relacionada con la alegación de la demandante en el proceso </w:t>
      </w:r>
      <w:r w:rsidRPr="005728DD">
        <w:rPr>
          <w:i/>
        </w:rPr>
        <w:t>a quo</w:t>
      </w:r>
      <w:r>
        <w:t xml:space="preserve"> de que la disposición cuestionada vulneraría también la normativa básica estatal (art. 149.1.18 CE) y por tanto incurriría en inconstitucionalidad mediata o indirecta, esta no es posible. La duda planteada por la parte no es objeto de la cuestión, que viene determinada por el auto de planteamiento dictado por el juzgado. Esta posible causa de inconstitucionalidad no fue sometida a consideración de las partes del proceso </w:t>
      </w:r>
      <w:r w:rsidRPr="005728DD">
        <w:rPr>
          <w:i/>
        </w:rPr>
        <w:t>a quo</w:t>
      </w:r>
      <w:r>
        <w:t xml:space="preserve"> y del Ministerio Fiscal en el trámite de audiencia abierto conforme al art. 35.2 LOTC, lo que determina su consiguiente exclusión conforme a nuestra reiterada doctrina, al tratarse este de un trámite esencial y no haber habido oportunidad de pronunciarse sobre ello [STC 44/2019, de 27 de marzo, FJ 2 a), y sentencias ahí citadas].</w:t>
      </w:r>
    </w:p>
    <w:p w:rsidR="005728DD" w:rsidRDefault="005728DD" w:rsidP="005728DD">
      <w:pPr>
        <w:pStyle w:val="TextoNormal"/>
      </w:pPr>
    </w:p>
    <w:p w:rsidR="005728DD" w:rsidRDefault="005728DD" w:rsidP="005728DD">
      <w:pPr>
        <w:pStyle w:val="TextoNormal"/>
      </w:pPr>
      <w:r>
        <w:lastRenderedPageBreak/>
        <w:t>Por tanto, la presente cuestión ve ceñidos su objeto y fundamento a los términos en que ha sido planteada por el juzgado, sin perjuicio de la eventual declaración de inconstitucionalidad por conexión o consecuencia de otros apartados o preceptos de la misma disposición legal.</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Jurisprudencia constitucional sobre los límites materiales de las leyes de presupuestos</w:t>
      </w:r>
      <w:r>
        <w:t>.</w:t>
      </w:r>
    </w:p>
    <w:p w:rsidR="005728DD" w:rsidRDefault="005728DD" w:rsidP="005728DD">
      <w:pPr>
        <w:pStyle w:val="TextoNormal"/>
      </w:pPr>
    </w:p>
    <w:p w:rsidR="005728DD" w:rsidRDefault="005728DD" w:rsidP="005728DD">
      <w:pPr>
        <w:pStyle w:val="TextoNormal"/>
      </w:pPr>
      <w:r>
        <w:t>A) El contenido de las leyes de presupuestos está constitucionalmente determinado partiendo de su función como norma que ordena el gasto público, de modo que estas leyes están reservadas a un contenido que les es propio, contenido que además está reservado a ellas. Este es el que hemos denominado “contenido esencial”, integrado por la previsión de ingresos y la habilitación de gastos, así como por las normas que directamente desarrollan o aclaran las partidas presupuestarias en que el gasto público se concreta.</w:t>
      </w:r>
    </w:p>
    <w:p w:rsidR="005728DD" w:rsidRDefault="005728DD" w:rsidP="005728DD">
      <w:pPr>
        <w:pStyle w:val="TextoNormal"/>
      </w:pPr>
    </w:p>
    <w:p w:rsidR="005728DD" w:rsidRDefault="005728DD" w:rsidP="005728DD">
      <w:pPr>
        <w:pStyle w:val="TextoNormal"/>
      </w:pPr>
      <w:r>
        <w:t>Adicionalmente cabe la posibilidad de que las leyes de presupuestos contengan otras disposiciones no estrictamente presupuestarias, que hemos denominado “contenido eventual” o no imprescindible. Esta es una posibilidad limitada, con una justificación precisa en el principio de seguridad jurídica (art. 9.3 CE), esto es en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(STC 32/2000, de 3 de febrero, FJ 5). Es la propia función que cumple la ley de presupuestos en la Constitución, con las consecuentes restricciones al debate parlamentario (apartados 1, 6 y 7 del art. 134 CE), la que fundamenta en último término la limitación del contenido de las leyes de presupuestos (STC 9/2013, de 28 de enero, FJ 3).</w:t>
      </w:r>
    </w:p>
    <w:p w:rsidR="005728DD" w:rsidRDefault="005728DD" w:rsidP="005728DD">
      <w:pPr>
        <w:pStyle w:val="TextoNormal"/>
      </w:pPr>
    </w:p>
    <w:p w:rsidR="005728DD" w:rsidRDefault="005728DD" w:rsidP="005728DD">
      <w:pPr>
        <w:pStyle w:val="TextoNormal"/>
      </w:pPr>
      <w:r>
        <w:t>B) Las controversias respecto del alcance de las leyes de presupuestos se han suscitado, primordialmente, en relación con los límites de su “contenido eventual”. Desde la STC 76/1992, de 14 de mayo, se estableció que para incluir en ellas, en forma compatible con los límites constitucionales, materias que no constituyen su núcleo esencial, mínimo e indisponible, deben cumplirse necesariamente dos condiciones: “la conexión de la materia con el contenido propio de este tipo de leyes y la justificación de la inclusión de esa materia conexa en la ley que aprueba anualmente los presupuestos generales” [FJ 4 a)]. Ese mismo pronunciamiento recuerda la razón de ser de este límite: “[e]l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corresponden a su función constitucional (arts. 66.2 y 134.2 CE)”.</w:t>
      </w:r>
    </w:p>
    <w:p w:rsidR="005728DD" w:rsidRDefault="005728DD" w:rsidP="005728DD">
      <w:pPr>
        <w:pStyle w:val="TextoNormal"/>
      </w:pPr>
    </w:p>
    <w:p w:rsidR="005728DD" w:rsidRDefault="005728DD" w:rsidP="005728DD">
      <w:pPr>
        <w:pStyle w:val="TextoNormal"/>
      </w:pPr>
      <w:r>
        <w:t xml:space="preserve">La STC 76/1992 vino a matizar expresamente la doctrina existente hasta ese momento, y la posterior STC 237/1992, de 15 de diciembre dejó constancia del cambio jurisprudencial: si bien se podrán establecer en las leyes de presupuestos “otras disposiciones de carácter general en materias propias de la ley ordinaria estatal […] que guarden directa relación con </w:t>
      </w:r>
      <w:r>
        <w:lastRenderedPageBreak/>
        <w:t>las previsiones de ingresos y las habilitaciones de gastos de los presupuestos o con los criterios de política económica general en que se sustentan”, se exige “una relación funcional directa de las normas del texto articulado con los estados de ingresos y gastos, como ‘complemento necesario para la mayor inteligencia y para la mejor y más eficaz ejecución del presupuesto y, en general, de la política económica del Gobierno’” (FJ 3). La jurisprudencia posterior ha insistido en ello, confirmando que “si bien la ley de presupuestos puede ser un instrumento para una adaptación circunstancial de las distintas normas, no tienen en ella cabida las modificaciones sustantivas del ordenamiento jurídico, a menos que estas guarden la suficiente conexión económica (relación directa con los ingresos o gastos del Estado o vehículo director de la política económica del Gobierno) o presupuestaria (para una mayor inteligencia o mejor ejecución del presupuesto)” (STC 123/2016, de 23 de junio, FJ 3, y antes la STC 152/2014, de 25 de septiembre, FJ 4).</w:t>
      </w:r>
    </w:p>
    <w:p w:rsidR="005728DD" w:rsidRDefault="005728DD" w:rsidP="005728DD">
      <w:pPr>
        <w:pStyle w:val="TextoNormal"/>
      </w:pPr>
    </w:p>
    <w:p w:rsidR="005728DD" w:rsidRDefault="005728DD" w:rsidP="005728DD">
      <w:pPr>
        <w:pStyle w:val="TextoNormal"/>
      </w:pPr>
      <w:r>
        <w:t>En particular sobre el requisito de la vinculación necesaria del contenido eventual con los gastos e ingresos públicos, se ha recalcado la importancia de que dicha conexión sea “inmediata y directa”. Esto significa que no pueden incluirse en las leyes de presupuestos normas “cuya incidencia en la ordenación del programa anual de ingresos y gastos es solo accidental y secundaria y por ende insuficiente para legitimar su inclusión en la Ley de presupuestos” [STC 152/2014, de 25 de septiembre, FJ 4 a)]. Este límite requiere particular precisión, pues rara vez habrá medidas que sean estrictamente neutrales en relación con los ingresos y gastos públicos, dada la evidencia de que toda medida legislativa es susceptible de tener impacto en el gasto público o en la estimación de ingresos. La jurisprudencia constata, en este sentido, que “toda medida legislativa tendrá siempre algún efecto presupuestario, porque requerirá un incremento de gasto presupuestario o la dotación de una partida, o porque supondrá, por el contrario, una reducción del gasto o un incremento de los ingresos” [STC 152/2014, FJ 4 a); en el mismo sentido, entre otras, SSTC 206/2013, de 5 de diciembre, FJ 2, y 123/2016, de 23 de junio, FJ 4]. En consecuencia, dada la incidencia que cualquier medida puede tener en la estimación del ingreso o en la determinación del gasto, la clave radica en que la conexión con el objeto del presupuesto (habilitación de gastos y estimación de ingresos) sea directa, inmediata y querida por la norma.</w:t>
      </w:r>
    </w:p>
    <w:p w:rsidR="005728DD" w:rsidRDefault="005728DD" w:rsidP="005728DD">
      <w:pPr>
        <w:pStyle w:val="TextoNormal"/>
      </w:pPr>
    </w:p>
    <w:p w:rsidR="005728DD" w:rsidRDefault="005728DD" w:rsidP="005728DD">
      <w:pPr>
        <w:pStyle w:val="TextoNormal"/>
      </w:pPr>
      <w:r>
        <w:t>C) De la amplia casuística a que ha dado lugar la aplicación de los límites anteriores a las controversias planteadas, conviene traer a colación la siguiente por su relevancia para la cuestión que nos ocupa.</w:t>
      </w:r>
    </w:p>
    <w:p w:rsidR="005728DD" w:rsidRDefault="005728DD" w:rsidP="005728DD">
      <w:pPr>
        <w:pStyle w:val="TextoNormal"/>
      </w:pPr>
    </w:p>
    <w:p w:rsidR="005728DD" w:rsidRDefault="005728DD" w:rsidP="005728DD">
      <w:pPr>
        <w:pStyle w:val="TextoNormal"/>
      </w:pPr>
      <w:r>
        <w:t>a) En el contenido eventual de una ley de presupuestos, en general no caben las normas que integran el régimen de la función pública: así las normas sobre procedimientos de acceso de los funcionarios sanitarios locales interinos a la categoría de funcionarios de carrera (STC 174/1998, de 23 de julio, FFJJ 6 y 7); las normas de provisión de los puestos de trabajo del personal sanitario (STC 203/1998, de 15 de octubre, FFJJ 3 a 5); las normas sobre la edad de pase a la situación de segunda actividad de los funcionarios del Cuerpo Nacional de Policía (STC 234/1999, de 16 de diciembre, FFJJ 4 y 5); o las normas sobre requisitos de titulación necesaria para acceder al Cuerpo Superior de Auditores del Tribunal de Cuentas (STC 9/2013, FJ 3).</w:t>
      </w:r>
    </w:p>
    <w:p w:rsidR="005728DD" w:rsidRDefault="005728DD" w:rsidP="005728DD">
      <w:pPr>
        <w:pStyle w:val="TextoNormal"/>
      </w:pPr>
    </w:p>
    <w:p w:rsidR="005728DD" w:rsidRDefault="005728DD" w:rsidP="005728DD">
      <w:pPr>
        <w:pStyle w:val="TextoNormal"/>
      </w:pPr>
      <w:r>
        <w:t xml:space="preserve">b) Encuentran cabida en el contenido eventual, normas que guardan conexión con el régimen retributivo de la función pública [STC 152/2014, de 25 de septiembre, FJ 3 a)], con incidencia directa en el gasto público presupuestado. Así caben en las leyes de presupuestos </w:t>
      </w:r>
      <w:r>
        <w:lastRenderedPageBreak/>
        <w:t>las normas de incompatibilidad de percepción de haberes activos y de pensiones (STC 65/1990, de 5 de abril, FJ 3); el incremento de retribuciones salariales para el personal al servicio de las administraciones públicas (STC 237/1992, de 15 de diciembre); o la creación de un complemento retributivo para determinados cargos públicos (STC 32/2000, de 3 de febrero).</w:t>
      </w:r>
    </w:p>
    <w:p w:rsidR="005728DD" w:rsidRDefault="005728DD" w:rsidP="005728DD">
      <w:pPr>
        <w:pStyle w:val="TextoNormal"/>
      </w:pPr>
    </w:p>
    <w:p w:rsidR="005728DD" w:rsidRDefault="005728DD" w:rsidP="005728DD">
      <w:pPr>
        <w:pStyle w:val="TextoNormal"/>
      </w:pPr>
      <w:r>
        <w:t>En todo caso, la cuestión de la categorización de los complementos retributivos no es siempre pacífica. Los complementos retributivos son figuras que contemplan una doble dimensión, de un lado meramente económica y vinculada al régimen de retribuciones de los funcionarios o personal al servicio de las administraciones públicas y, de otro lado, funcional o de organización del servicio, porque, como establece el art. 41 de la Ley 55/2003, de 16 de diciembre, del Estatuto Marco del personal estatutario de los servicios de salud, su finalidad es, entre otras, y por lo que aquí interesa, incentivar la dedicación al servicio público y, en el caso del complemento específico que prima la dedicación y responsabilidad, pretende retribuir las condiciones particulares de algunos puestos (art. 42 del Estatuto Marco). Por eso, aunque la STC 32/2000, de 3 de febrero, admitió que la ley de presupuestos pudiera crear un complemento retributivo para determinados cargos públicos (asumiendo que la previsión sobre complementos retributivos formaba parte del contenido posible o eventual de la ley de presupuestos, y no de su contenido mínimo, porque no representaba la expresión cifrada de ingresos o la habilitación de gastos), la posterior STC 197/2012, de 6 de noviembre, al determinar el título competencial correspondiente a la regulación del régimen de complementos específicos del personal al servicio de la administración sanitaria, concluye que esta norma, con tener consecuencias en el ámbito retributivo, es una norma “relativa a las condiciones en las que personal sanitario ha de prestar su servicio más que de las repercusiones económicas de dicha prestación, pese a que es evidente que estas últimas existen”. E insiste este pronunciamiento en la misma idea al afirmar que “no estamos, en consecuencia y pese a lo que a primera vista pudiera parecer, ante una previsión de carácter retributivo, que es aquí una consecuencia en forma de contraprestación económica de la dedicación exclusiva previamente impuesta por la norma, sino que se trata de una norma relacionada con la posibilidad de que el personal sanitario compatibilice su actividad en el sector público con otras de la misma naturaleza en el ámbito privado, en la medida en que la percepción de citado complemento específico excluye, como regla general, cualquier compatibilidad que, por el contrario, es posible en caso de que dicho complemento no se perciba. Se trata, en suma, de una norma relativa a las condiciones en las que personal sanitario ha de prestar su servicio más que de las repercusiones económicas de dicha prestación, pese a que es evidente que estas últimas existen” (FJ 9).</w:t>
      </w:r>
    </w:p>
    <w:p w:rsidR="005728DD" w:rsidRDefault="005728DD" w:rsidP="005728DD">
      <w:pPr>
        <w:pStyle w:val="TextoNormal"/>
      </w:pPr>
    </w:p>
    <w:p w:rsidR="005728DD" w:rsidRDefault="005728DD" w:rsidP="005728DD">
      <w:pPr>
        <w:pStyle w:val="TextoNormal"/>
      </w:pPr>
      <w:r>
        <w:t>Pese a la claridad de esta sentencia, más reciente es la STC 99/2016, de 25 de mayo, la que ha venido a considerar contenido eventual válido de la ley de presupuestos una medida que pretende evitar el incremento de las retribuciones del personal del sector público, lo cual se justifica en que es “una previsión que, en su conjunto, tiene la evidente finalidad de contribuir a la contención del gasto público. No existe duda, por tanto, de que la disposición impugnada tiene una conexión directa con los gastos del Estado y con los criterios de política económica, pues, al tiempo que prohíbe establecer incrementos retributivos en el supuesto regulado, potencia el ahorro económico en la cobertura de las necesidades de personal en el sector público” (FJ 8).</w:t>
      </w:r>
    </w:p>
    <w:p w:rsidR="005728DD" w:rsidRDefault="005728DD" w:rsidP="005728DD">
      <w:pPr>
        <w:pStyle w:val="TextoNormal"/>
      </w:pPr>
    </w:p>
    <w:p w:rsidR="005728DD" w:rsidRDefault="005728DD" w:rsidP="005728DD">
      <w:pPr>
        <w:pStyle w:val="TextoNormal"/>
      </w:pPr>
      <w:r>
        <w:lastRenderedPageBreak/>
        <w:t>D) Por último, ha de tenerse presente la doctrina constitucional acerca de la proyección de toda esta jurisprudencia a las leyes de presupuestos autonómicas citando la STC 86/2013, de 11 abril, cuyo fundamento jurídico 3 advierte que la doctrina derivada del art. 134 CE, en cuanto precepto regulador de los presupuestos estatales no es aplicable automáticamente a las leyes presupuestarias autonómicas. En efecto, el canon de constitucionalidad de esas fuentes normativas es el contenido en los respectivos estatutos de autonomía, en las leyes estatales que dentro del marco constitucional se hubieran dictado para delimitar las competencias entre el Estado y las comunidades autónomas y, por supuesto, en las reglas y principios constitucionales aplicables a todos los poderes públicos que conforman el Estado en sentido amplio, además de evidentemente en las reglas y principios constitucionales específicos dirigidos a las comunidades autónomas.</w:t>
      </w:r>
    </w:p>
    <w:p w:rsidR="005728DD" w:rsidRDefault="005728DD" w:rsidP="005728DD">
      <w:pPr>
        <w:pStyle w:val="TextoNormal"/>
      </w:pPr>
    </w:p>
    <w:p w:rsidR="005728DD" w:rsidRDefault="005728DD" w:rsidP="005728DD">
      <w:pPr>
        <w:pStyle w:val="TextoNormal"/>
      </w:pPr>
      <w:r>
        <w:t>En relación con las leyes presupuestarias de la Comunidad Valenciana, el FJ 4 de la STC 86/2013, de 11 abril, concluyó que cumplen la misma función y quedan en consecuencia sometidas a los mismos límites materiales y temporales que las del Estado. De modo que toda la doctrina constitucional expuesta, en relación con el contenido necesario y contenido eventual de las leyes de presupuestos, resulta aplicable a las leyes de presupuestos de la Generalitat Valenciana, y en consecuencia a la disposición aquí cuestionada.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Análisis del contenido de la disposición cuestionada</w:t>
      </w:r>
      <w:r>
        <w:t>.</w:t>
      </w:r>
    </w:p>
    <w:p w:rsidR="005728DD" w:rsidRDefault="005728DD" w:rsidP="005728DD">
      <w:pPr>
        <w:pStyle w:val="TextoNormal"/>
      </w:pPr>
    </w:p>
    <w:p w:rsidR="005728DD" w:rsidRDefault="005728DD" w:rsidP="005728DD">
      <w:pPr>
        <w:pStyle w:val="TextoNormal"/>
      </w:pPr>
      <w:r>
        <w:t>Para proyectar la jurisprudencia expuesta a la solución de la cuestión planteada es necesario, ante todo, definir el contenido de la disposición cuestionada y determinar si se trata o no de una norma esencialmente retributiva. Para ello, resulta necesario analizar el conjunto normativo expuesto en los escritos de alegaciones de fiscalía y de las Cortes, porque de tal lectura puede deducirse si la disposición impugnada aporta contenido normativo propio relativo al estatuto funcionarial, o se limita a derivar de un régimen previamente establecido una consecuencia retributiva o económica determinada.</w:t>
      </w:r>
    </w:p>
    <w:p w:rsidR="005728DD" w:rsidRDefault="005728DD" w:rsidP="005728DD">
      <w:pPr>
        <w:pStyle w:val="TextoNormal"/>
      </w:pPr>
    </w:p>
    <w:p w:rsidR="005728DD" w:rsidRDefault="005728DD" w:rsidP="005728DD">
      <w:pPr>
        <w:pStyle w:val="TextoNormal"/>
      </w:pPr>
      <w:r>
        <w:t>La resolución de 28 de febrero de 2018 del director general de Recursos Humanos y Económicos (“DOGV” de 14 de marzo de 2018), que convoca la plaza de jefatura de servicio a que desea concursar la recurrente en instancia, establecía en su base primera lo siguiente: “1.1. El régimen jurídico de la plaza objeto de la convocatoria es el establecido en el Estatuto Marco del Personal Estatutario de los Servicios de Salud, aprobado por Ley 55/2003, de 16 de diciembre. El régimen de dedicación del personal facultativo que resulte adjudicatario de la plaza será de dedicación exclusiva, debiendo compaginar quien las ocupe la actividad asistencial con las funciones propias del puesto, en virtud de las necesidades del centro, según lo previsto en el artículo 48 y disposición transitoria primera del Decreto 192/2017, de 1 de diciembre”.</w:t>
      </w:r>
    </w:p>
    <w:p w:rsidR="005728DD" w:rsidRDefault="005728DD" w:rsidP="005728DD">
      <w:pPr>
        <w:pStyle w:val="TextoNormal"/>
      </w:pPr>
    </w:p>
    <w:p w:rsidR="005728DD" w:rsidRDefault="005728DD" w:rsidP="005728DD">
      <w:pPr>
        <w:pStyle w:val="TextoNormal"/>
      </w:pPr>
      <w:r>
        <w:t>Por tanto, la base impugnada en la instancia hace referencia al Estatuto Marco del personal estatutario de los servicios de salud, aprobado por Ley 55/2003, de 16 de diciembre y al Decreto 192/2017, de 1 de diciembre.</w:t>
      </w:r>
    </w:p>
    <w:p w:rsidR="005728DD" w:rsidRDefault="005728DD" w:rsidP="005728DD">
      <w:pPr>
        <w:pStyle w:val="TextoNormal"/>
      </w:pPr>
    </w:p>
    <w:p w:rsidR="005728DD" w:rsidRDefault="005728DD" w:rsidP="005728DD">
      <w:pPr>
        <w:pStyle w:val="TextoNormal"/>
      </w:pPr>
      <w:r>
        <w:t xml:space="preserve">El Estatuto Marco, que integra las bases del régimen estatutario de este personal de los servicios de salud con arreglo a la previsión contenida en el art. 149.1.18 CE, establece en su art. 41, que el sistema retributivo del personal estatutario se estructura en retribuciones básicas y retribuciones complementarias, orientándose, estas últimas a la “motivación del </w:t>
      </w:r>
      <w:r>
        <w:lastRenderedPageBreak/>
        <w:t>personal, a la incentivación de la actividad y la calidad del servicio, a la dedicación y a la consecución de los objetivos planificados”, siendo su cuantía adecuada a lo que dispongan las correspondientes leyes de presupuestos y correspondiendo a los servicios de salud de las comunidades autónomas y entes gestores de asistencia sanitaria el establecimiento de los mecanismos necesarios para garantizar el pago de la actividad realmente realizada, mediante la ordenación de puestos de trabajo y la ordenación de las retribuciones complementarias. Junto a lo anterior, en el art. 43.2 b) se determina que una de las modalidades de retribución complementaria es el “complemento específico, destinado a retribuir las condiciones particulares de algunos puestos en atención a su especial dificultad técnica, dedicación, responsabilidad, incompatibilidad, peligrosidad o penosidad”. Mientras que en el art. 77.2 de esta misma ley se establece que “en el ámbito de cada servicio de salud se establecerán las disposiciones oportunas para posibilitar la renuncia al complemento específico por parte del personal licenciado sanitario”.</w:t>
      </w:r>
    </w:p>
    <w:p w:rsidR="005728DD" w:rsidRDefault="005728DD" w:rsidP="005728DD">
      <w:pPr>
        <w:pStyle w:val="TextoNormal"/>
      </w:pPr>
    </w:p>
    <w:p w:rsidR="005728DD" w:rsidRDefault="005728DD" w:rsidP="005728DD">
      <w:pPr>
        <w:pStyle w:val="TextoNormal"/>
      </w:pPr>
      <w:r>
        <w:t>Por su parte, la Ley 66/1997, de 30 de diciembre, de medidas fiscales, administrativas y de orden social, estableció el carácter personal y renunciable del complemento específico, y autorizó a los servicios de salud de las comunidades autónomas a adoptar las disposiciones oportunas para que el personal facultativo pudiera renunciar al complemento específico. De esta regulación se puede deducir que la dedicación exclusiva forma parte de los complementos que comportan el régimen retributivo de la persona sujeta al Estatuto Marco de 2003.</w:t>
      </w:r>
    </w:p>
    <w:p w:rsidR="005728DD" w:rsidRDefault="005728DD" w:rsidP="005728DD">
      <w:pPr>
        <w:pStyle w:val="TextoNormal"/>
      </w:pPr>
    </w:p>
    <w:p w:rsidR="005728DD" w:rsidRDefault="005728DD" w:rsidP="005728DD">
      <w:pPr>
        <w:pStyle w:val="TextoNormal"/>
      </w:pPr>
      <w:r>
        <w:t>En el ámbito autonómico, la Generalitat valenciana no ha desarrollado por ley la ordenación del régimen del personal estatutario de los servicios de salud, si bien existe una norma de rango legal de función pública, la Ley de las Cortes Valencianas 10/2010, de 9 de julio, de ordenación y gestión de la función pública Valenciana, que establece el régimen de complementos en el art. 76, denominado “retribuciones complementarias”, pero sin definir con precisión la vinculación entre un determinado tipo de complemento y el régimen de dedicación profesional.</w:t>
      </w:r>
    </w:p>
    <w:p w:rsidR="005728DD" w:rsidRDefault="005728DD" w:rsidP="005728DD">
      <w:pPr>
        <w:pStyle w:val="TextoNormal"/>
      </w:pPr>
    </w:p>
    <w:p w:rsidR="005728DD" w:rsidRDefault="005728DD" w:rsidP="005728DD">
      <w:pPr>
        <w:pStyle w:val="TextoNormal"/>
      </w:pPr>
      <w:r>
        <w:t>Se estrecha ese vínculo precisamente en una ley de acompañamiento de los presupuestos, concretamente en el art. 54 de la Ley  de las Cortes Valencianas 11/2000, de 28 de diciembre, de medidas fiscales, de gestión administrativa y financiera, y de organización de la Generalitat Valenciana. Este precepto establece que: “los complementos específicos de aplicación al personal al servicio de las instituciones sanitarias dependientes de la Conselleria de Sanidad son los siguientes: Complemento específico A: destinado a retribuir uno o varios de los conceptos incluidos en el apartado b) del artículo 2.3 del Real Decreto-ley 3/1987 de 11 de septiembre, excepto el de dedicación exclusiva, incompatibilidad y dedicación de tardes. Complemento específico B: destinado a retribuir los conceptos incluidos en el complemento A, más la dedicación exclusiva o incompatibilidad. Complemento específico C: destinado a retribuir los conceptos expresados en el complemento A, más la dedicación de tardes. Este complemento sólo se aplicará al personal incluido en el ámbito del estatuto de personal facultativo”.</w:t>
      </w:r>
    </w:p>
    <w:p w:rsidR="005728DD" w:rsidRDefault="005728DD" w:rsidP="005728DD">
      <w:pPr>
        <w:pStyle w:val="TextoNormal"/>
      </w:pPr>
    </w:p>
    <w:p w:rsidR="005728DD" w:rsidRDefault="005728DD" w:rsidP="005728DD">
      <w:pPr>
        <w:pStyle w:val="TextoNormal"/>
      </w:pPr>
      <w:r>
        <w:t xml:space="preserve">Y termina de concretarse la conexión entre la aplicación del complemento específico B y la dedicación exclusiva en la disposición adicional trigésimo tercera de la Ley de las Cortes Valencianas 14/2016, ahora cuestionada, trasladándose posteriormente esta previsión al Decreto 192/2017, de 1 de diciembre, por el que se aprueba el reglamento de selección y provisión de personal estatutario al servicio de instituciones sanitarias públicas del Sistema </w:t>
      </w:r>
      <w:r>
        <w:lastRenderedPageBreak/>
        <w:t>Valenciano de Salud, ordena el régimen de retribuciones tal y como establece el Estatuto Marco. De hecho este decreto se elabora con la intención declarada en el preámbulo de ajustarse tanto al Estatuto Marco, como al Real Decreto Legislativo 5/2015, de 30 de octubre, por el que se aprueba el texto refundido de la Ley del estatuto básico del empleado público. También en el preámbulo se establece que el decreto recoge por vez primera, y junto con otras medidas, la obligatoriedad de dedicación exclusiva para ocupar plazas de jefatura de servicio y sección, para asegurar “un procedimiento más garantista de la calidad asistencial”. Esa obligatoriedad se concreta en el art. 48.2 del reglamento, que establece literalmente que “las plazas de jefatura de servicio y de sección de personal facultativo tendrán aparejada dedicación exclusiva, debiendo compaginar quien las ocupe la actividad asistencial con las funciones propias del puesto, en virtud de las necesidades del centro”. Previsión esta completada por la disposición transitoria primera que establece que “el complemento específico modalidad ‘B’, que significa la dedicación en régimen de exclusividad al puesto público, asignado a los puestos de jefatura de servicio y sección de personal facultativo en el artículo 48 del presente reglamento, tendrá efecto, en cada uno de tales puestos, a partir de la toma de posesión que tenga lugar como consecuencia de los respectivos procesos de convocatoria pública para la provisión reglamentaria que sean publicados desde la entrada en vigor de este reglamento”.</w:t>
      </w:r>
    </w:p>
    <w:p w:rsidR="005728DD" w:rsidRDefault="005728DD" w:rsidP="005728DD">
      <w:pPr>
        <w:pStyle w:val="TextoNormal"/>
      </w:pPr>
    </w:p>
    <w:p w:rsidR="005728DD" w:rsidRDefault="005728DD" w:rsidP="005728DD">
      <w:pPr>
        <w:pStyle w:val="TextoNormal"/>
      </w:pPr>
      <w:r>
        <w:t>En suma, la disposición adicional cuestionada, y, sucesivamente el art. 48.2 del Decreto 192/2017, de 1 de diciembre, asigna a los puestos de jefatura de servicio o sección de personal estatutario facultativo del sistema sanitario público de la Comunitat Valenciana, o que estén expresamente considerados equivalentes a estos, la modalidad B de complemento específico, habiendo sido asociado a este complemento la retribución de la exclusividad en el art. 54 de la Ley de las Cortes Valencianas 11/2000, de 28 de diciembre, de medidas fiscales, de gestión administrativa y financiera, y de organización de la Generalitat Valenciana, en desarrollo de lo previsto en la Ley autonómica 10/2010, de 9 de julio, y en el estatuto marco de 2003 como legislación básica estatal. De lo dicho se concluye que la norma cuestionada define con exactitud, y con carácter innovador del ordenamiento, los puestos de trabajo específicos que deben desempeñarse en régimen de dedicación exclusiva, concretando que las jefaturas de servicio o sección de personal estatutario facultativo del sistema sanitario público, serán retribuidas con este complemento específico que exige la dedicación exclusiva.</w:t>
      </w:r>
    </w:p>
    <w:p w:rsidR="005728DD" w:rsidRDefault="005728DD" w:rsidP="005728DD">
      <w:pPr>
        <w:pStyle w:val="TextoNormal"/>
      </w:pPr>
    </w:p>
    <w:p w:rsidR="005728DD" w:rsidRDefault="005728DD" w:rsidP="005728DD">
      <w:pPr>
        <w:pStyle w:val="TextoNormal"/>
      </w:pPr>
      <w:r>
        <w:t>Definida de este modo el contenido y alcance de la norma cuestionada, no puede sino concluirse, acudiendo a lo que establece el FJ 9 de la STC 197/2012, de 6 de noviembre, que esta regla nueva, relativa a la dedicación exclusiva de las jefaturas de servicio o sección del personal estatutario facultativo del sistema sanitario público, es una norma que integra el régimen de la función pública específico del personal estatutario de los servicios de salud de la Generalitat Valenciana, y que, por esa razón está excluido del contenido eventual de la ley de presupuestos.</w:t>
      </w:r>
    </w:p>
    <w:p w:rsidR="005728DD" w:rsidRDefault="005728DD" w:rsidP="005728DD">
      <w:pPr>
        <w:pStyle w:val="TextoNormal"/>
      </w:pPr>
    </w:p>
    <w:p w:rsidR="005728DD" w:rsidRDefault="005728DD" w:rsidP="005728DD">
      <w:pPr>
        <w:pStyle w:val="TextoNormal"/>
      </w:pPr>
      <w:r>
        <w:t xml:space="preserve">Esta norma no se limita a formular el régimen retributivo específico de determinados puestos que integran esa función pública, sino que, como se apunta en la citada STC 197/2012 “se trata de una norma relacionada con la posibilidad de que el personal sanitario compatibilice su actividad en el sector público con otras de la misma naturaleza en el ámbito privado, en la medida en que la percepción del citado complemento específico excluye, como regla general, cualquier compatibilidad que, por el contrario, es posible en caso de </w:t>
      </w:r>
      <w:r>
        <w:lastRenderedPageBreak/>
        <w:t>que dicho complemento no se perciba. Se trata, en suma, de una norma relativa a las condiciones en las que personal sanitario ha de prestar su servicio más que de las repercusiones económicas de dicha prestación, pese a que es evidente que estas últimas existen” (FJ 9).</w:t>
      </w:r>
    </w:p>
    <w:p w:rsidR="005728DD" w:rsidRDefault="005728DD" w:rsidP="005728DD">
      <w:pPr>
        <w:pStyle w:val="TextoNormal"/>
      </w:pPr>
    </w:p>
    <w:p w:rsidR="005728DD" w:rsidRDefault="005728DD" w:rsidP="005728DD">
      <w:pPr>
        <w:pStyle w:val="TextoNormal"/>
      </w:pPr>
      <w:r>
        <w:t>Al asignar el complemento específico B a los puestos de jefatura de servicio y sección, o a los puestos que estén expresamente considerados equivalentes a estos, el legislador presupuestario está consignando, mediante la disposición adicional cuestionada, un crédito presupuestario cierto. Pero también está estableciendo el régimen laboral que se asocia al cobro del complemento y, por tanto, se trata de una norma “relativa a las condiciones en las que personal sanitario ha de prestar su servicio más que de las repercusiones económicas de dicha prestación, pese a que es evidente que estas últimas existen” (STC 197/2012, FJ 10).</w:t>
      </w:r>
    </w:p>
    <w:p w:rsidR="005728DD" w:rsidRDefault="005728DD" w:rsidP="005728DD">
      <w:pPr>
        <w:pStyle w:val="TextoNormal"/>
      </w:pPr>
    </w:p>
    <w:p w:rsidR="005728DD" w:rsidRDefault="005728DD" w:rsidP="005728DD">
      <w:pPr>
        <w:pStyle w:val="TextoNormal"/>
      </w:pPr>
      <w:r>
        <w:t>Dicho en otros términos, la norma cuestionada tiene por finalidad esencial prever una restricción de la actividad de quienes concursen a los puestos de jefatura de servicio y sección, redefiniendo su estatuto funcionarial. De esa redefinición se deriva, en aplicación del marco normativo al que hemos hecho referencia anteriormente, una determinada carga económica, que tiene su reflejo en la previsión presupuestaria. Pero la vinculación del complemento B a las jefaturas de servicio o sección en la ley de presupuestos no responde a la voluntad de prever una determinada partida presupuestaria, sino de definir la modalidad de prestación de un servicio de la que se deriva una determinada consecuencia económica.</w:t>
      </w:r>
    </w:p>
    <w:p w:rsidR="005728DD" w:rsidRDefault="005728DD" w:rsidP="005728DD">
      <w:pPr>
        <w:pStyle w:val="TextoNormal"/>
      </w:pPr>
    </w:p>
    <w:p w:rsidR="005728DD" w:rsidRDefault="005728DD" w:rsidP="005728DD">
      <w:pPr>
        <w:pStyle w:val="TextoNormal"/>
      </w:pPr>
      <w:r>
        <w:t>Por tanto, la asignación de un complemento retributivo que acarreaba dedicación exclusiva e incompatibilidad, debe considerarse una opción del legislador presupuestario que excede los límites materiales de la ley de presupuestos. Por tanto, la disposición adicional trigésimo tercera, apartado 1, de la Ley de las Cortes Valencianas 14/2016, de 30 de diciembre, de presupuestos de la Generalitat para el ejercicio 2017, resulta contraria a las exigencias de los arts. 66.2 y 134.2 CE, por lo que debe estimarse la cuestión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Inconstitucionalidad por conexión o consecuencia del apartado 2 de la disposición adicional trigésima tercera de la Ley de las Cortes Valencianas 14/2016, de 30 de diciembre, de presupuestos de la Generalitat para el ejercicio</w:t>
      </w:r>
      <w:r>
        <w:t xml:space="preserve"> 2017.</w:t>
      </w:r>
    </w:p>
    <w:p w:rsidR="005728DD" w:rsidRDefault="005728DD" w:rsidP="005728DD">
      <w:pPr>
        <w:pStyle w:val="TextoNormal"/>
      </w:pPr>
    </w:p>
    <w:p w:rsidR="005728DD" w:rsidRDefault="005728DD" w:rsidP="005728DD">
      <w:pPr>
        <w:pStyle w:val="TextoNormal"/>
      </w:pPr>
      <w:r>
        <w:t>Sentado lo anterior, debemos plantearnos, tal y como alega la demandante en instancia, si el apartado 2 de la disposición adicional cuestionada resulta también inconstitucional por conexión o consecuencia.</w:t>
      </w:r>
    </w:p>
    <w:p w:rsidR="005728DD" w:rsidRDefault="005728DD" w:rsidP="005728DD">
      <w:pPr>
        <w:pStyle w:val="TextoNormal"/>
      </w:pPr>
    </w:p>
    <w:p w:rsidR="005728DD" w:rsidRDefault="005728DD" w:rsidP="005728DD">
      <w:pPr>
        <w:pStyle w:val="TextoNormal"/>
      </w:pPr>
      <w:r>
        <w:t>Este apartado sostiene lo siguiente:</w:t>
      </w:r>
    </w:p>
    <w:p w:rsidR="005728DD" w:rsidRDefault="005728DD" w:rsidP="005728DD">
      <w:pPr>
        <w:pStyle w:val="TextoNormal"/>
      </w:pPr>
    </w:p>
    <w:p w:rsidR="005728DD" w:rsidRDefault="005728DD" w:rsidP="005728DD">
      <w:pPr>
        <w:pStyle w:val="TextoNormal"/>
      </w:pPr>
      <w:r>
        <w:t>“2. Una vez haya tenido efecto en un determinado puesto el complemento específico B según lo dispuesto en el punto anterior y, posteriormente, el personal cese en dicha jefatura y vuelva a desempeñar el puesto básico reservado, podrá optar entre mantener el régimen de dedicación exclusiva o acogerse a alguna de las otras dos modalidades de complemento específico previstas para el personal facultativo.</w:t>
      </w:r>
    </w:p>
    <w:p w:rsidR="005728DD" w:rsidRDefault="005728DD" w:rsidP="005728DD">
      <w:pPr>
        <w:pStyle w:val="TextoNormal"/>
      </w:pPr>
    </w:p>
    <w:p w:rsidR="005728DD" w:rsidRDefault="005728DD" w:rsidP="005728DD">
      <w:pPr>
        <w:pStyle w:val="TextoNormal"/>
      </w:pPr>
      <w:r>
        <w:t xml:space="preserve">Esta opción podrá llevarse a cabo por una sola vez, en el momento de la toma de posesión del puesto básico reservado, aplicándose a continuación el régimen general de regulación </w:t>
      </w:r>
      <w:r>
        <w:lastRenderedPageBreak/>
        <w:t>del complemento específico de personal facultativo, citado en el párrafo segundo del punto anterior”.</w:t>
      </w:r>
    </w:p>
    <w:p w:rsidR="005728DD" w:rsidRDefault="005728DD" w:rsidP="005728DD">
      <w:pPr>
        <w:pStyle w:val="TextoNormal"/>
      </w:pPr>
    </w:p>
    <w:p w:rsidR="005728DD" w:rsidRDefault="005728DD" w:rsidP="005728DD">
      <w:pPr>
        <w:pStyle w:val="TextoNormal"/>
      </w:pPr>
      <w:r>
        <w:t>Por tanto, una vez declarada la inconstitucionalidad de la previsión contenida en el párrafo 1 de la disposición adicional trigésima tercera, por haber excedido los límites materiales de la ley de presupuestos, no cabe sino concluir que la previsión del régimen de optatividad entre complementos, una vez concluido el mandato de un determinado funcionario o funcionaria como jefe de servicio o sección, debe correr la misma suerte, en la medida en que también ha de ser calificado como regulación del régimen de la función pública específico del personal estatutario de los servicios de salud de la Generalitat Valenciana. Y, por tanto, también queda excluido del contenido eventual de la ley de presupuestos.</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la presente cuestión de inconstitucionalidad núm. 5150-2019 y declarar la inconstitucionalidad y nulidad de la disposición adicional trigésima tercera, apartado 1, de la Ley de las Cortes Valencianas 14/2016, de 30 de diciembre, de presupuestos de la Generalitat para el ejercicio 2017, y del apartado 2 del mismo precepto por conexión o consecuencia, al resultar ambos contrarios a los arts. 66.2 y 134.2 CE.</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trece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3" w:name="SENTENCIA_2021_110"/>
      <w:r>
        <w:lastRenderedPageBreak/>
        <w:t>SENTENCIA 110/2021, de 13 de mayo de 2021</w:t>
      </w:r>
    </w:p>
    <w:bookmarkEnd w:id="113"/>
    <w:p w:rsidR="005728DD" w:rsidRDefault="005728DD" w:rsidP="005728DD">
      <w:pPr>
        <w:pStyle w:val="TtuloResolucin"/>
      </w:pPr>
      <w:r>
        <w:t>Pleno</w:t>
      </w:r>
    </w:p>
    <w:p w:rsidR="005728DD" w:rsidRDefault="005728DD" w:rsidP="005728DD">
      <w:pPr>
        <w:pStyle w:val="TtuloBOE"/>
      </w:pPr>
      <w:r>
        <w:t>(BOE núm. 142, de 15 de junio de 2021)</w:t>
      </w:r>
    </w:p>
    <w:p w:rsidR="005728DD" w:rsidRDefault="005728DD" w:rsidP="005728DD">
      <w:pPr>
        <w:pStyle w:val="TextoNormalCentrado"/>
      </w:pPr>
      <w:r>
        <w:t>ECLI:ES:TC:2021:110</w:t>
      </w:r>
    </w:p>
    <w:p w:rsidR="005728DD" w:rsidRDefault="005728DD" w:rsidP="005728DD">
      <w:pPr>
        <w:pStyle w:val="TextoNormalCentrado"/>
      </w:pPr>
    </w:p>
    <w:p w:rsidR="005728DD" w:rsidRDefault="005728DD" w:rsidP="005728DD">
      <w:pPr>
        <w:pStyle w:val="SntesisDescriptiva"/>
      </w:pPr>
      <w:r>
        <w:t>Recurso de inconstitucionalidad 1813-2020. Interpuesto por más de cincuenta diputados del Grupo Parlamentario Vox del Congreso respecto de la disposición final segunda del Real Decreto-ley 8/2020, de 17 de marzo, de medidas urgentes extraordinarias para hacer frente al impacto económico y social del COVID-19.</w:t>
      </w:r>
    </w:p>
    <w:p w:rsidR="005728DD" w:rsidRDefault="005728DD" w:rsidP="005728DD">
      <w:pPr>
        <w:pStyle w:val="SntesisDescriptiva"/>
      </w:pPr>
    </w:p>
    <w:p w:rsidR="005728DD" w:rsidRDefault="005728DD" w:rsidP="005728DD">
      <w:pPr>
        <w:pStyle w:val="SntesisAnaltica"/>
      </w:pPr>
      <w:r>
        <w:t>Límites materiales de los decretos leyes: nulidad del precepto que modifica la composición de la Comisión Delegada del Gobierno para Asuntos de Inteligencia. Voto particular.</w:t>
      </w:r>
    </w:p>
    <w:p w:rsidR="005728DD" w:rsidRDefault="005728DD" w:rsidP="005728DD">
      <w:pPr>
        <w:pStyle w:val="SntesisAnaltica"/>
      </w:pPr>
    </w:p>
    <w:p w:rsidR="005728DD" w:rsidRDefault="005728DD" w:rsidP="005728DD">
      <w:pPr>
        <w:pStyle w:val="Extracto"/>
      </w:pPr>
      <w:r>
        <w:t>1.</w:t>
      </w:r>
      <w:r>
        <w:tab/>
        <w:t>Los recursos de inconstitucionalidad en los que se controvierte la concurrencia de la “extraordinaria y urgente necesidad” (art. 86.1 CE) que justifica el dictado de un decreto-ley, no pierden su objeto por la ulterior aprobación de una ley de conversión (art. 86.3 CE), tanto si dicha ley asumiera, con la consiguiente novación, las reglas en un principio adoptadas mediante decreto-ley (SSTC 195/2016 y 34/2017), como si no lo hiciera para con alguna de ellas, también originariamente impugnadas (STC 142/2014) [FJ 2].</w:t>
      </w:r>
    </w:p>
    <w:p w:rsidR="005728DD" w:rsidRDefault="005728DD" w:rsidP="005728DD">
      <w:pPr>
        <w:pStyle w:val="Extracto"/>
      </w:pPr>
    </w:p>
    <w:p w:rsidR="005728DD" w:rsidRDefault="005728DD" w:rsidP="005728DD">
      <w:pPr>
        <w:pStyle w:val="Extracto"/>
      </w:pPr>
      <w:r>
        <w:t>2.</w:t>
      </w:r>
      <w:r>
        <w:tab/>
        <w:t>La aprobación por las Cortes Generales del proyecto de ley de conversión del decreto-ley ninguna incidencia podría tener sobre la pervivencia del recurso de inconstitucionalidad; y nada de cuanto en esta sentencia se decida habría de proyectarse sobre la norma que resulte del citado procedimiento legislativo, pues lo que aquí se juzga es exclusivamente el respeto por el Gobierno, al dictar la norma impugnada, de los límites constitucionales que condicionan la apelación a la fuente excepcional que es el decreto-ley [FJ 2].</w:t>
      </w:r>
    </w:p>
    <w:p w:rsidR="005728DD" w:rsidRDefault="005728DD" w:rsidP="005728DD">
      <w:pPr>
        <w:pStyle w:val="Extracto"/>
      </w:pPr>
    </w:p>
    <w:p w:rsidR="005728DD" w:rsidRDefault="005728DD" w:rsidP="005728DD">
      <w:pPr>
        <w:pStyle w:val="Extracto"/>
      </w:pPr>
      <w:r>
        <w:t>3.</w:t>
      </w:r>
      <w:r>
        <w:tab/>
        <w:t>En supuestos de uso abusivo o arbitrario de la figura de los reales decretos-leyes, el Tribunal Constitucional puede rechazar la definición que los órganos políticos del Estado hagan de una situación determinada como de “extraordinaria y urgente necesidad” (art. 86.1 CE) y declarar su inconstitucionalidad por inexistencia de este necesario presupuesto habilitante. A falta del cual, la potestad legislativa de las Cortes Generales (art. 66.2 CE) resultaría invadida y menoscabada, al tiempo que la posición de las minorías en el procedimiento parlamentario de elaboración de las leyes (SSTC 182/1997 o 211/2015) [FJ 4].</w:t>
      </w:r>
    </w:p>
    <w:p w:rsidR="005728DD" w:rsidRDefault="005728DD" w:rsidP="005728DD">
      <w:pPr>
        <w:pStyle w:val="Extracto"/>
      </w:pPr>
    </w:p>
    <w:p w:rsidR="005728DD" w:rsidRDefault="005728DD" w:rsidP="005728DD">
      <w:pPr>
        <w:pStyle w:val="Extracto"/>
      </w:pPr>
      <w:r>
        <w:t>4.</w:t>
      </w:r>
      <w:r>
        <w:tab/>
        <w:t>Las alegaciones gubernamentales a propósito de hipotéticas exigencias de “sigilo”, “reserva” o “secreto” no resultan admisibles si nada se apuntó al respecto por el propio autor de la norma, siendo así que en las alegaciones en defensa de un decreto-ley nunca podrían ser ofrecidas razones distintas o que alterasen los motivos puestos de manifiesto en su momento por el Gobierno (SSTC 182/1997 y 329/2005). Además aquellas exigencias nada tienen que ver con la necesaria modificación mediante decreto-ley de la composición legal de una Comisión Delegada del Gobierno [FJ 7].</w:t>
      </w:r>
    </w:p>
    <w:p w:rsidR="005728DD" w:rsidRDefault="005728DD" w:rsidP="005728DD">
      <w:pPr>
        <w:pStyle w:val="Extracto"/>
      </w:pPr>
    </w:p>
    <w:p w:rsidR="005728DD" w:rsidRDefault="005728DD" w:rsidP="005728DD">
      <w:pPr>
        <w:pStyle w:val="Extracto"/>
      </w:pPr>
      <w:r>
        <w:lastRenderedPageBreak/>
        <w:t>5.</w:t>
      </w:r>
      <w:r>
        <w:tab/>
        <w:t>Ningún elemento constitucional permite afirmar que el carácter provisional del decreto-ley se refiera necesariamente al alcance temporal de la norma que con esa forma jurídica se apruebe (STC 189/2005); ello debe entenderse sin perjuicio de que dicho alcance pueda ser considerado de algún modo para valorar la concurrencia de la extraordinaria y urgente necesidad de la medida legislativa [FJ 7].</w:t>
      </w:r>
    </w:p>
    <w:p w:rsidR="005728DD" w:rsidRDefault="005728DD" w:rsidP="005728DD">
      <w:pPr>
        <w:pStyle w:val="Extracto"/>
      </w:pPr>
    </w:p>
    <w:p w:rsidR="005728DD" w:rsidRDefault="005728DD" w:rsidP="005728DD">
      <w:pPr>
        <w:pStyle w:val="Extracto"/>
      </w:pPr>
      <w:r>
        <w:t>6.</w:t>
      </w:r>
      <w:r>
        <w:tab/>
        <w:t>La posibilidad constitucional de que en el cuerpo normativo de un mismo decreto-ley se integren reglas o bloques de preceptos, para cada uno de los cuales se postule una distinta y específica causa de extraordinaria y urgente necesidad, ha sido reconocida por este Tribunal en el caso de los denominados decretos-leyes “transversales”, que son dictados ante coyunturas económicas problemáticas, y en cuyo seno se puedan recoger, sin otro nexo común que la genérica o global circunstancia de crisis o emergencia, ordenaciones que disciplinen sectores de la economía (STC 199/2015 y  61/2018) [FJ 8].</w:t>
      </w:r>
    </w:p>
    <w:p w:rsidR="005728DD" w:rsidRDefault="005728DD" w:rsidP="005728DD">
      <w:pPr>
        <w:pStyle w:val="Extracto"/>
      </w:pPr>
    </w:p>
    <w:p w:rsidR="005728DD" w:rsidRDefault="005728DD" w:rsidP="005728DD">
      <w:pPr>
        <w:pStyle w:val="Extracto"/>
      </w:pPr>
      <w:r>
        <w:t>7.</w:t>
      </w:r>
      <w:r>
        <w:tab/>
        <w:t>El mero deseo o interés del Gobierno en la inmediata entrada en vigor de la norma no constituye una justificación de su extraordinaria y urgente necesidad (STC 68/2007) [FJ 9].</w:t>
      </w:r>
    </w:p>
    <w:p w:rsidR="005728DD" w:rsidRDefault="005728DD" w:rsidP="005728DD">
      <w:pPr>
        <w:pStyle w:val="Extracto"/>
      </w:pPr>
    </w:p>
    <w:p w:rsidR="005728DD" w:rsidRDefault="005728DD" w:rsidP="005728DD">
      <w:pPr>
        <w:pStyle w:val="Extracto"/>
      </w:pPr>
      <w:r>
        <w:t>8.</w:t>
      </w:r>
      <w:r>
        <w:tab/>
        <w:t>La opción por el empleo de una concreta técnica normativa, existiendo otras que no obstaculicen el cumplimiento de los objetivos de la medida, no permite sacrificar la posición institucional del legislativo, sacrificio que el art. 86.1 CE condiciona a la satisfacción de una necesidad extraordinaria y urgente, pero no al designio de “abreviar el proceso” o de “utilizar la vía más rápida” o “el mecanismo más directo”, que no es el fundamento de la potestad legislativa extraordinaria del Gobierno (STC 125/2016) [FJ 9].</w:t>
      </w:r>
    </w:p>
    <w:p w:rsidR="005728DD" w:rsidRDefault="005728DD" w:rsidP="005728DD">
      <w:pPr>
        <w:pStyle w:val="Extracto"/>
      </w:pPr>
    </w:p>
    <w:p w:rsidR="005728DD" w:rsidRDefault="005728DD" w:rsidP="005728DD">
      <w:pPr>
        <w:pStyle w:val="Extracto"/>
      </w:pPr>
      <w:r>
        <w:t>9.</w:t>
      </w:r>
      <w:r>
        <w:tab/>
        <w:t>La imprevisibilidad o, cuando menos, la difícil previsión de la situación de necesidad que pudiera dar lugar a la adopción de un decreto-ley es exigencia en general apreciada por la doctrina de este Tribunal en preservación de la potestad legislativa ordinaria que corresponde a las Cortes Generales (SSTC 61/2018 y 14/2020); tal pauta pueda llegar a flexibilizarse en ocasiones (STC 1/2012) [FJ 9].</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lastRenderedPageBreak/>
        <w:t>SENTENCIA</w:t>
      </w:r>
    </w:p>
    <w:p w:rsidR="005728DD" w:rsidRDefault="005728DD" w:rsidP="005728DD">
      <w:pPr>
        <w:pStyle w:val="TextoNormalCentrado"/>
        <w:keepNext/>
      </w:pPr>
    </w:p>
    <w:p w:rsidR="005728DD" w:rsidRDefault="005728DD" w:rsidP="005728DD">
      <w:pPr>
        <w:pStyle w:val="TextoNormal"/>
      </w:pPr>
      <w:r>
        <w:t>En el recurso de inconstitucionalidad núm. 1813-2020, interpuesto por más de cincuenta diputados del grupo parlamentario Vox del Congreso de los Diputados contra la disposición final segunda del Real Decreto-ley 8/2020, de 17 de marzo, de medidas urgentes extraordinarias para hacer frente al impacto económico y social del COVID-19. Ha comparecido y formulado alegaciones el Gobierno de la Nación. Ha sido ponente el magistrado don Pedro José González-Trevijano Sánchez.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26 de marzo de 2020 se formula recurso de inconstitucionalidad por más de cincuenta diputados del grupo parlamentario Vox del Congreso de los Diputados, contra la disposición final segunda del Real Decreto-ley 8/2020, de 17 de marzo, de medidas urgentes extraordinarias frente al impacto económico y social de COVID-19. La demanda expone los antecedentes y fundamentos de Derecho que a continuación se resumen.</w:t>
      </w:r>
    </w:p>
    <w:p w:rsidR="005728DD" w:rsidRDefault="005728DD" w:rsidP="005728DD">
      <w:pPr>
        <w:pStyle w:val="TextoNormal"/>
      </w:pPr>
    </w:p>
    <w:p w:rsidR="005728DD" w:rsidRDefault="005728DD" w:rsidP="005728DD">
      <w:pPr>
        <w:pStyle w:val="TextoNormal"/>
      </w:pPr>
      <w:r>
        <w:t>Comienza afirmando que la gravedad de la crisis ocasionada por la propagación del COVID-19 legitima constitucionalmente al Gobierno para dictar el Real Decreto-ley 8/2020, ante la extraordinaria y urgente necesidad de “atajar la epidemia” y atender a las graves consecuencias económicas y sociales ocasionadas por la misma. Sin embargo, la modificación que la disposición final segunda del Real Decreto-ley introduce en la Ley 11/2002, de 6 de mayo, reguladora del Centro Nacional de Inteligencia, carece de la extraordinaria y urgente necesidad que exige el art. 86.1 CE para la utilización de este instrumento legislativo, así como de toda conexión de sentido con la grave crisis a que trata de hacer frente la norma de urgencia.</w:t>
      </w:r>
    </w:p>
    <w:p w:rsidR="005728DD" w:rsidRDefault="005728DD" w:rsidP="005728DD">
      <w:pPr>
        <w:pStyle w:val="TextoNormal"/>
      </w:pPr>
    </w:p>
    <w:p w:rsidR="005728DD" w:rsidRDefault="005728DD" w:rsidP="005728DD">
      <w:pPr>
        <w:pStyle w:val="TextoNormal"/>
      </w:pPr>
      <w:r>
        <w:t>Expone que el Gobierno ha utilizado este Real Decreto-ley para blindar la presencia del vicepresidente segundo en la comisión que controla los servicios secretos, de donde resulta la vulneración del artículo 86.1 CE, pues la modificación que la disposición final segunda introduce en la Ley 11/2002, de 6 de mayo, reguladora del Centro Nacional de Inteligencia, carece de la extraordinaria y urgente necesidad que exige aquel precepto constitucional y de toda conexión de sentido con la crisis sanitaria a la que se trata de hacer frente. Afirma que a través del artículo 4.2 del Real Decreto 399/2020, de 25 de febrero, por el que se establecen las comisiones delegadas del Gobierno, ya se previó la integración en la Comisión Delegada del Gobierno para Asuntos de Inteligencia del vicepresidente segundo y ministro de Derechos Sociales y Agenda 2030. Contra este Real Decreto los mismos diputados que hoy recurren interpusieron recurso contencioso-administrativo ante el Tribunal Supremo por infringir la Ley 11/2002, solicitando de la Sala la medida cautelar de suspensión de su ejecución. Entienden por ello, que la única finalidad a que atiende la disposición final segunda del Real Decreto-ley 8/2020 es la de “blindar” la posición del vicepresidente segundo en la mentada comisión frente al recurso contencioso-administrativo interpuesto contra el Real Decreto 399/2020; lo que, manifiestamente, no es una circunstancia de extraordinaria y urgente necesidad en los términos previstos en el art. 86 CE.</w:t>
      </w:r>
    </w:p>
    <w:p w:rsidR="005728DD" w:rsidRDefault="005728DD" w:rsidP="005728DD">
      <w:pPr>
        <w:pStyle w:val="TextoNormal"/>
      </w:pPr>
    </w:p>
    <w:p w:rsidR="005728DD" w:rsidRDefault="005728DD" w:rsidP="005728DD">
      <w:pPr>
        <w:pStyle w:val="TextoNormal"/>
      </w:pPr>
      <w:r>
        <w:lastRenderedPageBreak/>
        <w:t>Aduce pues la demanda como fundamento de la impugnación, la falta del presupuesto habilitante de la extraordinaria y urgente necesidad, exigido por el art. 86.1 CE para la aprobación de los decretos-leyes. Requisito que, como contempla la STC 14/2020, de 28 de enero, conlleva el cumplimiento de un triple canon: (i) identificación por el Gobierno, de manera explícita y razonada de la concurrencia de esa singular situación; (ii) efectiva concurrencia de la extraordinaria y urgente necesidad, y (iii) verificación de la existencia de una conexión de sentido o relación de adecuación entre ese presupuesto habilitante y las medidas contenidas en la norma de urgencia, de modo que estas han de guardar una relación directa o de congruencia con la situación que se trata de afrontar.</w:t>
      </w:r>
    </w:p>
    <w:p w:rsidR="005728DD" w:rsidRDefault="005728DD" w:rsidP="005728DD">
      <w:pPr>
        <w:pStyle w:val="TextoNormal"/>
      </w:pPr>
    </w:p>
    <w:p w:rsidR="005728DD" w:rsidRDefault="005728DD" w:rsidP="005728DD">
      <w:pPr>
        <w:pStyle w:val="TextoNormal"/>
      </w:pPr>
      <w:r>
        <w:t>(i) Consideran los recurrentes, en primer lugar, que falta una suficiente explicitación de la extraordinaria y urgente necesidad que, de acuerdo con la jurisprudencia constitucional, debe contenerse en la exposición de motivos del decreto-ley, en el debate parlamentario de convalidación y, en su caso, en el expediente de elaboración de la norma. Observan al respecto que, aparte los simples cambios de denominación de los órganos integrantes de la Comisión Delegada del Gobierno para Asuntos de Inteligencia, la modificación sustantiva que introduce la disposición final segunda del Real Decreto-ley 8/2020 consiste en la previsión de que en dicha comisión se integren los vicepresidentes que designe el presidente del Gobierno, lo que, a su juicio, se habría usado para “blindar” la entrada en la comisión del actual vicepresidente segundo del Gobierno y ministro de Asuntos Sociales y Agenda 2030.</w:t>
      </w:r>
    </w:p>
    <w:p w:rsidR="005728DD" w:rsidRDefault="005728DD" w:rsidP="005728DD">
      <w:pPr>
        <w:pStyle w:val="TextoNormal"/>
      </w:pPr>
    </w:p>
    <w:p w:rsidR="005728DD" w:rsidRDefault="005728DD" w:rsidP="005728DD">
      <w:pPr>
        <w:pStyle w:val="TextoNormal"/>
      </w:pPr>
      <w:r>
        <w:t>Se indica que no resulta discutible que la pandemia ha creado una situación de extraordinaria excepcionalidad, que justifica la adopción por el Gobierno del Real Decreto 463/2020, de 14 de marzo, por el que se declara el estado de alarma, y ampara también el acudir a la norma de urgencia prevista en el artículo 86.1 CE a fin de adoptar las medidas necesarias para hacer frente a la crisis transversal provocada por la propagación del virus. Pero la declaración de un estado de excepción no puede suponer una suspensión genérica de la Constitución y, en particular, no puede el Gobierno aprovechar la situación de urgencia para introducir modificaciones normativas que nada tienen que ver con aquella situación, y que aparecen diseñadas para satisfacer las pretensiones de poder político del líder del partido integrado en el gobierno de coalición.</w:t>
      </w:r>
    </w:p>
    <w:p w:rsidR="005728DD" w:rsidRDefault="005728DD" w:rsidP="005728DD">
      <w:pPr>
        <w:pStyle w:val="TextoNormal"/>
      </w:pPr>
    </w:p>
    <w:p w:rsidR="005728DD" w:rsidRDefault="005728DD" w:rsidP="005728DD">
      <w:pPr>
        <w:pStyle w:val="TextoNormal"/>
      </w:pPr>
      <w:r>
        <w:t>La exposición de motivos de la norma alude con carácter general a “necesidades organizativas” “apreciadas por la Presidencia del Gobierno”, pero no especifica cuáles serían esas necesidades organizativas, ni por qué habrían exigido su adopción a través de esta norma excepcional sin haber podido atender a la tramitación parlamentaria, aunque fuera de urgencia. La simple apelación a eventuales “necesidades organizativas” no permite tener por explicitada la extraordinaria y urgente necesidad, e imposibilita el control externo que ha de realizar el Tribunal Constitucional para verificar si el Gobierno ha hecho un uso abusivo del decreto-ley.</w:t>
      </w:r>
    </w:p>
    <w:p w:rsidR="005728DD" w:rsidRDefault="005728DD" w:rsidP="005728DD">
      <w:pPr>
        <w:pStyle w:val="TextoNormal"/>
      </w:pPr>
    </w:p>
    <w:p w:rsidR="005728DD" w:rsidRDefault="005728DD" w:rsidP="005728DD">
      <w:pPr>
        <w:pStyle w:val="TextoNormal"/>
      </w:pPr>
      <w:r>
        <w:t xml:space="preserve">Conforme a la jurisprudencia constitucional, la exteriorización del presupuesto habilitante tiene por finalidad permitir el control del Congreso de los Diputados (art. 86.2 CE) y al Tribunal Constitucional, en su caso, realizar aquel control externo, a efectos de lo cual no resulta suficiente una referencia general a una “situación de crisis” que pudiera justificar con carácter general el decreto-ley. Por el contrario, es necesario demostrar la urgencia respecto de los preceptos concretamente impugnados, correspondiendo al Gobierno la carga </w:t>
      </w:r>
      <w:r>
        <w:lastRenderedPageBreak/>
        <w:t>de acreditar tal excepcional urgencia en relación con cada precepto (STC 27/2015, de 19 de febrero). Por ello, apelar simplemente y de forma genérica a “necesidades organizativas” sometidas a la apreciación del presidente del Gobierno supone vaciar de total contenido constitucional la extraordinaria y urgente necesidad que opera como presupuesto excepcional que permite al Ejecutivo dictar una norma de rango legal, invadiendo una potestad que, de ordinario, pertenece en exclusiva al poder legislativo, en representación del titular de la soberanía.</w:t>
      </w:r>
    </w:p>
    <w:p w:rsidR="005728DD" w:rsidRDefault="005728DD" w:rsidP="005728DD">
      <w:pPr>
        <w:pStyle w:val="TextoNormal"/>
      </w:pPr>
    </w:p>
    <w:p w:rsidR="005728DD" w:rsidRDefault="005728DD" w:rsidP="005728DD">
      <w:pPr>
        <w:pStyle w:val="TextoNormal"/>
      </w:pPr>
      <w:r>
        <w:t>Del expediente de elaboración del Real Decreto-ley no resulta justificación alguna de la disposición final segunda impugnada, pues en él solo se lee una lacónica referencia a que “[l]a disposición final segunda modifica la Ley 11/2002, de 6 de mayo, reguladora del Centro Nacional de Inteligencia”. Tampoco en el debate de convalidación, que tuvo lugar el 25 de marzo de 2020, el representante del Gobierno encargado de su defensa hizo mención alguna a esta disposición, a pesar de que fue directamente interpelado por el portavoz del grupo parlamentario Vox, que señaló que, aunque apoyaría los Reales Decretos-leyes 6 y 7/2020, dicho Grupo no haría otro tanto en cuanto al Real Decreto-ley 8/2020 por las razones que ahora se reiteran.</w:t>
      </w:r>
    </w:p>
    <w:p w:rsidR="005728DD" w:rsidRDefault="005728DD" w:rsidP="005728DD">
      <w:pPr>
        <w:pStyle w:val="TextoNormal"/>
      </w:pPr>
    </w:p>
    <w:p w:rsidR="005728DD" w:rsidRDefault="005728DD" w:rsidP="005728DD">
      <w:pPr>
        <w:pStyle w:val="TextoNormal"/>
      </w:pPr>
      <w:r>
        <w:t>Esa falta de exteriorización suficiente del presupuesto habilitante en relación con la reforma introducida en la disposición final segunda supone su inconstitucionalidad por infracción del artículo 86.1 CE.</w:t>
      </w:r>
    </w:p>
    <w:p w:rsidR="005728DD" w:rsidRDefault="005728DD" w:rsidP="005728DD">
      <w:pPr>
        <w:pStyle w:val="TextoNormal"/>
      </w:pPr>
    </w:p>
    <w:p w:rsidR="005728DD" w:rsidRDefault="005728DD" w:rsidP="005728DD">
      <w:pPr>
        <w:pStyle w:val="TextoNormal"/>
      </w:pPr>
      <w:r>
        <w:t>(ii) No concurre, en segundo término, el presupuesto habilitante de la extraordinaria y urgente necesidad. Afirma la demanda que el Gobierno, al introducir la disposición final segunda, ha desbordado los límites de lo manifiestamente razonable, realizando un uso abusivo o arbitrario del decreto-ley (STC 139/2016). Considera así que a las “necesidades organizativas” apreciadas por el presidente del Gobierno, se atendió a través del artículo 4.2 del Real Decreto 399/2020, que dispuso la incorporación del vicepresidente segundo y ministro de Derechos Sociales y Agenda 2030 a la Comisión Delegada del Gobierno para Asuntos de Inteligencia, de modo que la única finalidad perseguida a través de la disposición ahora impugnada es “blindar” la posición del vicepresidente segundo frente al recurso contencioso-administrativo interpuesto por este grupo parlamentario contra dicho real decreto, por vulnerar el artículo 6.2 de la Ley 11/2002.</w:t>
      </w:r>
    </w:p>
    <w:p w:rsidR="005728DD" w:rsidRDefault="005728DD" w:rsidP="005728DD">
      <w:pPr>
        <w:pStyle w:val="TextoNormal"/>
      </w:pPr>
    </w:p>
    <w:p w:rsidR="005728DD" w:rsidRDefault="005728DD" w:rsidP="005728DD">
      <w:pPr>
        <w:pStyle w:val="TextoNormal"/>
      </w:pPr>
      <w:r>
        <w:t>Tras referirse a informaciones de los medios de comunicación sobre la ruptura de negociaciones entre Unidas Podemos y el Partido Socialista Obrero Español en la fracasada investidura de 2016 y al pacto entre ambas formaciones que dio lugar a la investidura el 7 de enero de 2020, señala la demanda que la absoluta inexistencia del presupuesto habilitante se aprecia si se tiene en cuenta que el Real Decreto 463/2020, por el que se declaró el estado de alarma, no incluye entre las “autoridades competentes delegadas” para la gestión de la crisis al vicepresidente segundo y ministro de derechos sociales y agenda 2030, lo que pone de manifiesto que su área de competencia nada tiene que ver con la gestión de la crisis ocasionada por el COVID-19 y que, por tanto, el blindaje de su posición en la comisión delegada no tiene relación alguna con el presupuesto habilitante del Real Decreto-ley 8/2020. Obviamente, el simple cumplimiento del pacto de coalición entre Unidas Podemos y el Partido Socialista Obrero Español no reviste la excepcional urgencia requerida por el artículo 86.1 CE.</w:t>
      </w:r>
    </w:p>
    <w:p w:rsidR="005728DD" w:rsidRDefault="005728DD" w:rsidP="005728DD">
      <w:pPr>
        <w:pStyle w:val="TextoNormal"/>
      </w:pPr>
    </w:p>
    <w:p w:rsidR="005728DD" w:rsidRDefault="005728DD" w:rsidP="005728DD">
      <w:pPr>
        <w:pStyle w:val="TextoNormal"/>
      </w:pPr>
      <w:r>
        <w:lastRenderedPageBreak/>
        <w:t>(iii) Se alega, en tercer lugar, la ausencia de la necesaria conexión de sentido entre la supuesta situación de urgencia y las medidas adoptadas. Para comprobar si se cumple o no este elemento del presupuesto habilitante, debe analizarse si la medida impugnada guarda o no relación con la situación excepcional que se encara y constituye una acción normativa inmediata que no podía esperar siquiera a la aprobación de una ley por el procedimiento de urgencia. Si la incidencia para el logro del propósito pretendido fuera abiertamente irrelevante o insignificante, cuantitativa o cualitativamente, hasta el extremo de excluirse, en un examen preliminar, un efecto material de importancia, no cabría apreciar la relación de adecuación en el presupuesto habilitante (STC 31/2011).</w:t>
      </w:r>
    </w:p>
    <w:p w:rsidR="005728DD" w:rsidRDefault="005728DD" w:rsidP="005728DD">
      <w:pPr>
        <w:pStyle w:val="TextoNormal"/>
      </w:pPr>
    </w:p>
    <w:p w:rsidR="005728DD" w:rsidRDefault="005728DD" w:rsidP="005728DD">
      <w:pPr>
        <w:pStyle w:val="TextoNormal"/>
      </w:pPr>
      <w:r>
        <w:t>Señala la demanda que no existe conexión alguna entre la situación que trata de afrontar el Real Decreto-ley 8/2020 y el contenido de su disposición final segunda. Ninguna conexión de sentido existe entre tratar de abordar la situación económica, sanitaria y social producida por la propagación del virus y colmar la ambición del vicepresidente segundo del Gobierno de blindar su posición como miembro de pleno derecho de la Comisión Delegada para Asuntos de Inteligencia. Se trata de una medida que, de tener alguna incidencia en la situación de crisis, la misma sería abiertamente irrelevante o insignificante, por lo que, según la jurisprudencia expuesta, nunca cabría apreciar la necesaria conexión de sentido con el presupuesto que habilita la norma de urgencia.</w:t>
      </w:r>
    </w:p>
    <w:p w:rsidR="005728DD" w:rsidRDefault="005728DD" w:rsidP="005728DD">
      <w:pPr>
        <w:pStyle w:val="TextoNormal"/>
      </w:pPr>
    </w:p>
    <w:p w:rsidR="005728DD" w:rsidRDefault="005728DD" w:rsidP="005728DD">
      <w:pPr>
        <w:pStyle w:val="TextoNormal"/>
      </w:pPr>
      <w:r>
        <w:t>La situación extraordinariamente grave creada por la rápida propagación del virus no permite al Gobierno, en definitiva, actuar al margen de la Constitución, por lo que se concluye con la súplica de que se dicte sentencia por la que se declare la inconstitucionalidad y nulidad de la disposición final segunda del Real Decreto-ley 8/2020, de 17 de marzo.</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6 de mayo de 2020 el Pleno del tribunal, a propuesta de la Sección tercera, acordó admitir a trámite el recurso de inconstitucionalidad, dar traslado de la demanda y documentos presentados al Congreso de los Diputados y al Senado, por conducto de sus presidentes, y al Gobierno, a través del ministro de Justicia, al objeto de que en plazo de quince días pudieran personarse en el proceso y formular las alegaciones que estimaren convenientes, y ordenar la publicación de la incoación del recurso en el “Boletín Oficial del Estado”.</w:t>
      </w:r>
    </w:p>
    <w:p w:rsidR="005728DD" w:rsidRDefault="005728DD" w:rsidP="005728DD">
      <w:pPr>
        <w:pStyle w:val="TextoNormal"/>
      </w:pPr>
    </w:p>
    <w:p w:rsidR="005728DD" w:rsidRDefault="005728DD" w:rsidP="005728DD">
      <w:pPr>
        <w:pStyle w:val="TextoNormal"/>
      </w:pPr>
      <w:r w:rsidRPr="005728DD">
        <w:rPr>
          <w:rStyle w:val="NumeroAFNegritaCaracter"/>
        </w:rPr>
        <w:t>3</w:t>
      </w:r>
      <w:r>
        <w:t>. En escrito que tuvo entrada en este tribunal el día 21 de mayo de 2020, la presidenta del Senado comunicó el acuerdo de la mesa en orden a que se diera por personada a la Cámara en el procedimiento y por ofrecida su colaboración a los efectos del artículo 88.1 de la Ley Orgánica del Tribunal Constitucional.</w:t>
      </w:r>
    </w:p>
    <w:p w:rsidR="005728DD" w:rsidRDefault="005728DD" w:rsidP="005728DD">
      <w:pPr>
        <w:pStyle w:val="TextoNormal"/>
      </w:pPr>
    </w:p>
    <w:p w:rsidR="005728DD" w:rsidRDefault="005728DD" w:rsidP="005728DD">
      <w:pPr>
        <w:pStyle w:val="TextoNormal"/>
      </w:pPr>
      <w:r w:rsidRPr="005728DD">
        <w:rPr>
          <w:rStyle w:val="NumeroAFNegritaCaracter"/>
        </w:rPr>
        <w:t>4</w:t>
      </w:r>
      <w:r>
        <w:t>. En escrito registrado el 12 de junio de 2020, la presidenta del Congreso de los Diputados comunicó el acuerdo de la mesa en orden a que se diera por personada a la Cámara en el procedimiento y por ofrecida su colaboración a los efectos del artículo 88.1 de la Ley Orgánica del Tribunal Constitucional.</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Mediante escrito que tuvo entrada en el Tribunal el día 19 de junio de 2020, el abogado del Estado se personó en el procedimiento en nombre del Gobierno, y solicitó prórroga para formular alegaciones, habida cuenta del número de asuntos pendientes ante dicha abogacía. Por diligencia de ordenación de 22 de junio se tuvo por personado al abogado del Estado en </w:t>
      </w:r>
      <w:r>
        <w:lastRenderedPageBreak/>
        <w:t>la representación que legalmente ostenta y se prorrogó en ocho días más el plazo concedido por providencia de 6 de mayo de 2020, a contar desde el siguiente al de expiración del ordinario.</w:t>
      </w:r>
    </w:p>
    <w:p w:rsidR="005728DD" w:rsidRDefault="005728DD" w:rsidP="005728DD">
      <w:pPr>
        <w:pStyle w:val="TextoNormal"/>
      </w:pPr>
    </w:p>
    <w:p w:rsidR="005728DD" w:rsidRDefault="005728DD" w:rsidP="005728DD">
      <w:pPr>
        <w:pStyle w:val="TextoNormal"/>
      </w:pPr>
      <w:r w:rsidRPr="005728DD">
        <w:rPr>
          <w:rStyle w:val="NumeroAFNegritaCaracter"/>
        </w:rPr>
        <w:t>6</w:t>
      </w:r>
      <w:r>
        <w:t>. En fecha 6 de julio de 2020, presentó sus alegaciones la abogacía del Estado. Tras una síntesis de lo expuesto en la demanda y una extensa referencia a la doctrina constitucional sobre el presupuesto habilitante de la extraordinaria y urgente necesidad contemplado en el art. 86.1 CE, se aborda el examen del alcance de la reforma operada mediante la disposición impugnada, así como la justificación de la misma.</w:t>
      </w:r>
    </w:p>
    <w:p w:rsidR="005728DD" w:rsidRDefault="005728DD" w:rsidP="005728DD">
      <w:pPr>
        <w:pStyle w:val="TextoNormal"/>
      </w:pPr>
    </w:p>
    <w:p w:rsidR="005728DD" w:rsidRDefault="005728DD" w:rsidP="005728DD">
      <w:pPr>
        <w:pStyle w:val="TextoNormal"/>
      </w:pPr>
      <w:r>
        <w:t>En cuanto al encaje de la norma controvertida, se observa que la única modificación del artículo 6.2 de la Ley 11/2002 operada por la disposición impugnada consiste en añadir a la composición de la comisión delegada a los vicepresidentes designados por el presidente del Gobierno y al director del gabinete de la Presidencia del Gobierno. A dichos efectos se trae a colación el Real Decreto 399/2020, de 25 de febrero, aprobado apenas un mes antes que el Real Decreto-ley 8/2020, y regulador, en general, del régimen de las Comisiones Delegadas del Gobierno bajo la cobertura del artículo 6 de la Ley 50/1997, de 27 de noviembre, del Gobierno, que dispone explícitamente en su artículo 4.2 la presencia en esta Comisión Delegada para Asuntos de Inteligencia (aparte de otros ministros y altos cargos) de los siguientes vicepresidentes del Gobierno: vicepresidenta primera y ministra de la Presidencia, quien preside la comisión; vicepresidente segundo y ministro de Derechos Sociales y Agenda 2030; y vicepresidenta tercera y ministra de Asuntos Económicos y Transformación Digital. Este Real Decreto 399/2020 se halla impugnado y pendiente de resolución en vía contenciosa, habiéndose solicitado por los recurrentes en ese proceso una medida cautelar de suspensión del precepto impugnado en cuanto prevé la incorporación a la comisión delegada del vicepresidente segundo y ministro de Derechos Sociales y Agenda 2030, al entender que dicha incorporación vulneraría el art. 6.2 de la Ley 11/2002, la cual establece una composición cerrada de aquella, con lo cual se alteraría por mero real decreto la composición de la comisión; si bien es cierto que, con posterioridad, varias modificaciones y adaptaciones de la composición de la misma comisión se han efectuado mediante real decreto, como se verá después.</w:t>
      </w:r>
    </w:p>
    <w:p w:rsidR="005728DD" w:rsidRDefault="005728DD" w:rsidP="005728DD">
      <w:pPr>
        <w:pStyle w:val="TextoNormal"/>
      </w:pPr>
    </w:p>
    <w:p w:rsidR="005728DD" w:rsidRDefault="005728DD" w:rsidP="005728DD">
      <w:pPr>
        <w:pStyle w:val="TextoNormal"/>
      </w:pPr>
      <w:r>
        <w:t>Señala el abogado del Estado que la argumentación de los recurrentes según la cual la norma estaría animada por una razón de orden político, como sería “blindar” el nombramiento del vicepresidente segundo como miembro de la comisión, constituye la deducción de una intencionalidad política que no se desprende de modo explícito del texto literal de la norma impugnada, por lo cual no se considerará en esta contestación al recurso, en donde se analizarán solo las objeciones planteadas por el recurso respecto del carácter urgente de la norma.</w:t>
      </w:r>
    </w:p>
    <w:p w:rsidR="005728DD" w:rsidRDefault="005728DD" w:rsidP="005728DD">
      <w:pPr>
        <w:pStyle w:val="TextoNormal"/>
      </w:pPr>
    </w:p>
    <w:p w:rsidR="005728DD" w:rsidRDefault="005728DD" w:rsidP="005728DD">
      <w:pPr>
        <w:pStyle w:val="TextoNormal"/>
      </w:pPr>
      <w:r>
        <w:t xml:space="preserve">En cuanto al requisito de la extraordinaria y urgente necesidad, se señala en la demanda que su justificación, conforme a la jurisprudencia constitucional, no puede ser meramente ritual o genérica, como sería, en el caso presente, la situación de pandemia que padece España y la necesidad, de acuerdo con el </w:t>
      </w:r>
      <w:r w:rsidRPr="005728DD">
        <w:rPr>
          <w:i/>
        </w:rPr>
        <w:t>nomen</w:t>
      </w:r>
      <w:r>
        <w:t xml:space="preserve"> del propio Real Decreto-ley, de adoptar medidas en el orden económico, cuando nos hallamos ante un precepto que, sin otra explicación, dispone una simple alteración en la composición de un órgano colegiado. Según esa jurisprudencia, habría de ofrecerse efectivamente una razón concreta, haciendo patente la relación directa de la medida adoptada y su estricta necesidad como medio imprescindible </w:t>
      </w:r>
      <w:r>
        <w:lastRenderedPageBreak/>
        <w:t>para resolver con la mayor inmediatez y celeridad la situación generada o para coadyuvar decisivamente a ello. Añade el recurso que esta relación de instrumentalidad no se formula de manera específica y concreta, y nada justificaría la extrema urgencia de que formen parte de la comisión dos vicepresidentes que eventualmente puedan designarse por el presidente del Gobierno, cuando ya, conforme al ordenamiento vigente, formaban parte de la comisión tres vicepresidentes del Gobierno (Real Decreto 399/2020).</w:t>
      </w:r>
    </w:p>
    <w:p w:rsidR="005728DD" w:rsidRDefault="005728DD" w:rsidP="005728DD">
      <w:pPr>
        <w:pStyle w:val="TextoNormal"/>
      </w:pPr>
    </w:p>
    <w:p w:rsidR="005728DD" w:rsidRDefault="005728DD" w:rsidP="005728DD">
      <w:pPr>
        <w:pStyle w:val="TextoNormal"/>
      </w:pPr>
      <w:r>
        <w:t>Frente a esta alegación, entiende la abogacía del Estado que la disposición final segunda que se impugna, podría entenderse justificada formalmente en la necesidad de una norma con rango de ley para llevar a cabo la modificación de la composición de la comisión, en la medida en que el artículo 6.2 de la Ley 11/2002 establecía una composición cerrada de esta comisión, siendo esta ley una ley especial en comparación con la Ley 50/1997, del Gobierno, cuyo artículo 6.1 dispone que la creación, modificación y supresión de las Comisiones Delegadas será acordada por el Consejo de Ministros mediante real decreto, a propuesta del presidente del Gobierno, prevaleciendo el régimen contemplado en la Ley 11/2002 y en concreto la composición de la comisión según su artículo 6.2.</w:t>
      </w:r>
    </w:p>
    <w:p w:rsidR="005728DD" w:rsidRDefault="005728DD" w:rsidP="005728DD">
      <w:pPr>
        <w:pStyle w:val="TextoNormal"/>
      </w:pPr>
    </w:p>
    <w:p w:rsidR="005728DD" w:rsidRDefault="005728DD" w:rsidP="005728DD">
      <w:pPr>
        <w:pStyle w:val="TextoNormal"/>
      </w:pPr>
      <w:r>
        <w:t>En todo caso, y al margen de esta posible justificación acerca del rango formal necesario de la norma introducida, la tesis que defiende el recurso es que el precepto carece de explicación en cuanto a la razón por la que la composición originaria que contemplaba aquel artículo 6.2 de la Ley 11/2002 no servía supuestamente para que la comisión delegada cumpliera sus funciones propias; y ello con tal gravedad e inmediatez que resultara preciso, para su solución, alterar la composición del órgano mediante la aprobación de una legislación de urgencia.</w:t>
      </w:r>
    </w:p>
    <w:p w:rsidR="005728DD" w:rsidRDefault="005728DD" w:rsidP="005728DD">
      <w:pPr>
        <w:pStyle w:val="TextoNormal"/>
      </w:pPr>
    </w:p>
    <w:p w:rsidR="005728DD" w:rsidRDefault="005728DD" w:rsidP="005728DD">
      <w:pPr>
        <w:pStyle w:val="TextoNormal"/>
      </w:pPr>
      <w:r>
        <w:t>El recurso también argumenta la falta de conexión de sentido entre la medida concreta y la situación de urgencia o de exigencia de inmediatez en su solución. Señala el abogado del Estado que las consecuencias jurídicas accesorias, que integrasen normativamente de modo complementario el marco regulador, esto es, el régimen jurídico derivado de la propia eficacia restauradora del decreto-ley, no se incluirían, por eso solo al menos, en la justificación que fundamentara la aprobación del decreto-ley, si a la vez no se hallare cumplida y pormenorizadamente justificada la conexión de sentido entre la extraordinaria necesidad y cada una de las consecuencias jurídico-normativas accesorias o complementarias previstas en el decreto-ley. Así, por ejemplo, se apreció por el Tribunal Constitucional la existencia de suficiente conexión de sentido en la previsión legal para que se produjese el nombramiento de vocales provisionales de la junta general de un organismo público para acometer el bloqueo en el funcionamiento de un servicio esencial (STC 103/2017, de 6 de septiembre).</w:t>
      </w:r>
    </w:p>
    <w:p w:rsidR="005728DD" w:rsidRDefault="005728DD" w:rsidP="005728DD">
      <w:pPr>
        <w:pStyle w:val="TextoNormal"/>
      </w:pPr>
    </w:p>
    <w:p w:rsidR="005728DD" w:rsidRDefault="005728DD" w:rsidP="005728DD">
      <w:pPr>
        <w:pStyle w:val="TextoNormal"/>
      </w:pPr>
      <w:r>
        <w:t xml:space="preserve">En cuanto a la justificación de la medida, señala el abogado del Estado que el análisis de la concurrencia del presupuesto habilitante no puede hacerse de manera global, mediante una invocación genérica y abstracta de los efectos beneficiosos de la eventual eficacia inmediata de la medida (STC 61/2018, de 7 de junio). Tampoco sobre la sola apreciación objetiva de la gravedad, relevancia e imprevisibilidad de la situación surgida o mediante descripciones de la perentoriedad de la necesidad acaecida, junto a la valoración de su remedio, a través de fórmulas rituales o genéricas, siendo precisa la referencia a una situación o situaciones concretas y a su conexión de sentido con el remedio normativo específico legalmente configurado al caso por el legislador de urgencia en el plano sustantivo. Tampoco es suficiente la sola referencia a la bondad o conveniencia de una retroacción en el </w:t>
      </w:r>
      <w:r>
        <w:lastRenderedPageBreak/>
        <w:t>tiempo de los efectos de las medidas. Cada una de las diferentes medidas incluidas en el correspondiente decreto-ley debe tener su justificación propia en función de su específica naturaleza en cuanto al presupuesto habilitante de la extraordinaria y urgente necesidad, sin que quepa una justificación global de la norma en su conjunto. El tribunal debe analizar no solo la eventual concurrencia de la urgencia en sí misma, sino la íntima conexión de sentido de la realidad de las circunstancias ocasionales acaecidas con la adecuación de los medios configurados para su solución, así como el que no sea posible abordar dicha situación por los medios normativos ordinarios.</w:t>
      </w:r>
    </w:p>
    <w:p w:rsidR="005728DD" w:rsidRDefault="005728DD" w:rsidP="005728DD">
      <w:pPr>
        <w:pStyle w:val="TextoNormal"/>
      </w:pPr>
    </w:p>
    <w:p w:rsidR="005728DD" w:rsidRDefault="005728DD" w:rsidP="005728DD">
      <w:pPr>
        <w:pStyle w:val="TextoNormal"/>
      </w:pPr>
      <w:r>
        <w:t>Dicho lo anterior, añade, es preciso tener en cuenta el carácter discrecional de la valoración por parte del Gobierno de la razón de extraordinaria y urgente necesidad, sin que ello pueda suponer una cláusula vacía de contenido. El que realiza el Gobierno es siempre un juicio político, pues es solo dicho órgano el que diseña, por la simple razón de su perspectiva única o privilegiada, desde su posición institucional, los objetivos precisos y convenientes para la gobernación del país.</w:t>
      </w:r>
    </w:p>
    <w:p w:rsidR="005728DD" w:rsidRDefault="005728DD" w:rsidP="005728DD">
      <w:pPr>
        <w:pStyle w:val="TextoNormal"/>
      </w:pPr>
    </w:p>
    <w:p w:rsidR="005728DD" w:rsidRDefault="005728DD" w:rsidP="005728DD">
      <w:pPr>
        <w:pStyle w:val="TextoNormal"/>
      </w:pPr>
      <w:r>
        <w:t>Señalado lo anterior, y en contestación a los argumentos expuestos en la demanda, se afirma lo siguiente:</w:t>
      </w:r>
    </w:p>
    <w:p w:rsidR="005728DD" w:rsidRDefault="005728DD" w:rsidP="005728DD">
      <w:pPr>
        <w:pStyle w:val="TextoNormal"/>
      </w:pPr>
    </w:p>
    <w:p w:rsidR="005728DD" w:rsidRDefault="005728DD" w:rsidP="005728DD">
      <w:pPr>
        <w:pStyle w:val="TextoNormal"/>
      </w:pPr>
      <w:r>
        <w:t>(i) Es cierto que la justificación contenida en el preámbulo del Real Decreto-ley no menciona expresamente los intereses sanitarios, pero no habría que olvidar que el COVID-19 ha afectado de manera muy sensible al ámbito económico y que la actividad de cooperación y colaboración de España con organismos internacionales [se cita el apartado c) del artículo 4 del Real Decreto-ley], y en concreto con la Organización Mundial de la Salud, podría en un momento dado exigir una reserva y un sigilo especiales, valorables discrecionalmente por el Gobierno, como asimismo podrían serlo las relaciones con otros países o agentes internacionales sobre esta misma materia o relacionadas con la pandemia, y la necesidad de protección de la información, si a esta a su vez se le diera o se le hubiera dado legalmente el carácter de clasificada como secreta o como reservada con arreglo a la Ley de secretos oficiales, por razones que solo el Gobierno conocería.</w:t>
      </w:r>
    </w:p>
    <w:p w:rsidR="005728DD" w:rsidRDefault="005728DD" w:rsidP="005728DD">
      <w:pPr>
        <w:pStyle w:val="TextoNormal"/>
      </w:pPr>
    </w:p>
    <w:p w:rsidR="005728DD" w:rsidRDefault="005728DD" w:rsidP="005728DD">
      <w:pPr>
        <w:pStyle w:val="TextoNormal"/>
      </w:pPr>
      <w:r>
        <w:t xml:space="preserve">(ii) Ahora bien, la razón o justificación (al margen de cuáles hubieran sido las “intenciones” del legislador) consistiría más bien, vista la sucesión de normas que han regulado la composición de la comisión, en devolver la participación en ella al jefe del Gabinete de la Presidencia del Gobierno, alto cargo que siempre formó parte de la comisión, con independencia del signo político del Gobierno de turno y que, sin embargo, no aparecía en la remodelación operada por el artículo 6.2 de la Ley 11/2002. Cita al respecto el abogado del Estado, en primer lugar, el Real Decreto 639/2009, de 17 de abril, sobre comisiones delegadas del Gobierno (dictado en aplicación o ejecución del artículo 6.1 de la Ley 50/1997, del Gobierno), cuyo artículo 2 establecía la integración en la comisión que nos ocupa (denominada entonces Comisión Delegada del Gobierno sobre Situaciones de Crisis) del director del gabinete de la Presidencia del Gobierno; en segundo lugar, el artículo 2 del Real Decreto 1331/2010, de 22 de octubre, que dispuso lo propio para la misma Comisión Delegada para Asuntos de Crisis; en tercer lugar, los Reales Decretos 1025 y 1886, de 11 de julio y de 30 de diciembre de 2011, respectivamente, relativos ya a la denominada Comisión Delegada de Asuntos de Inteligencia, en los que se dispuso (artículo 4 de cada uno de estos decretos) que formaría parte de la misma el mentado director del gabinete; y, en fin, el Real Decreto 385/2013, de 31 de mayo, que modificó el Real Decreto 1886/2011 en relación con el Centro </w:t>
      </w:r>
      <w:r>
        <w:lastRenderedPageBreak/>
        <w:t>Nacional de Inteligencia (art. 1.1), que mantuvo la composición de la comisión delegada en cuanto a la integración en ella del jefe del Gabinete de la Presidencia del Gobierno.</w:t>
      </w:r>
    </w:p>
    <w:p w:rsidR="005728DD" w:rsidRDefault="005728DD" w:rsidP="005728DD">
      <w:pPr>
        <w:pStyle w:val="TextoNormal"/>
      </w:pPr>
    </w:p>
    <w:p w:rsidR="005728DD" w:rsidRDefault="005728DD" w:rsidP="005728DD">
      <w:pPr>
        <w:pStyle w:val="TextoNormal"/>
      </w:pPr>
      <w:r>
        <w:t>Con independencia, pues, del rango formal de ley de la norma anterior a la promulgación de todos estos reales decretos (art. 6.2 de la Ley 11/2002), y de la cuestión (ajena a este proceso constitucional) de si era posible o no alterar por decreto la composición del órgano colegiado de que se trata sobre la base de lo dispuesto en el artículo 6.1 de la Ley 50/1997, del Gobierno, las necesidades organizativas de la Presidencia del Gobierno (como dice el preámbulo del Real Decreto-ley 8/2020) consistían en introducir al alto cargo referido en la Comisión Delegada para Asuntos de Inteligencia, respecto del que existe o existió la idea compartida por todos los gobiernos, fueren del signo que fueren, de que debía dicho alto cargo (probablemente por la proximidad y primera o inmediata confianza del presidente de turno) formar siempre parte de la misma.</w:t>
      </w:r>
    </w:p>
    <w:p w:rsidR="005728DD" w:rsidRDefault="005728DD" w:rsidP="005728DD">
      <w:pPr>
        <w:pStyle w:val="TextoNormal"/>
      </w:pPr>
    </w:p>
    <w:p w:rsidR="005728DD" w:rsidRDefault="005728DD" w:rsidP="005728DD">
      <w:pPr>
        <w:pStyle w:val="TextoNormal"/>
      </w:pPr>
      <w:r>
        <w:t>En contra de la presunción de los recurrentes, no es el supuesto “blindaje” del vicepresidente segundo del Gobierno como componente de la comisión lo que habría regido la aprobación de la norma. Lo que sucede es que el artículo 6.2 de la Ley 11/2002 no incluyó en su redacción originaria al director o jefe del Gabinete del presidente del Gobierno y que los decretos posteriores mencionados sí incluían, todos ellos, al alto cargo de confianza, cuya “preterición” se quiso corregir mediante la disposición impugnada. Y a fin de evitar problemas de índole jurídica, de legalidad ordinaria, relativos a la discusión o inseguridad acerca del rango de la norma, se arbitró la incorporación a la comisión de dicho alto cargo mediante esta norma con rango de ley. El alto cargo que así se incluía en la comisión no era por así decir opcional, sino el que por su posición institucional dentro de la estructura de la administración del Estado, y del organigrama del Gobierno, supondría ser el cargo de más confianza de su presidente. Y, como elemento interpretativo añadido, dentro de las específicas circunstancias en las que se encontraba el país al aprobarse el Real Decreto-ley 8/2020, la necesidad de introducir en la composición de la comisión al alto cargo que siempre se mantuvo en todas las remodelaciones que sobre la base del artículo 6.1 de la Ley 50/1997 tuvieron lugar respecto de la composición de la misma. De ahí las necesidades organizativas de la Presidencia del Gobierno a las que se refiere el preámbulo del Real Decreto-ley 8/2020 y la perentoriedad en asegurar así, por razones de confianza inherentes al cargo, la integración del director del gabinete de la Presidencia del Gobierno, como ya era habitual y constante en las remodelaciones normativas anteriores.</w:t>
      </w:r>
    </w:p>
    <w:p w:rsidR="005728DD" w:rsidRDefault="005728DD" w:rsidP="005728DD">
      <w:pPr>
        <w:pStyle w:val="TextoNormal"/>
      </w:pPr>
    </w:p>
    <w:p w:rsidR="005728DD" w:rsidRDefault="005728DD" w:rsidP="005728DD">
      <w:pPr>
        <w:pStyle w:val="TextoNormal"/>
      </w:pPr>
      <w:r>
        <w:t>Se concluyó con la súplica de que se desestimara el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7</w:t>
      </w:r>
      <w:r>
        <w:t>. Por providencia de 11 de mayo de 2021, se señaló para deliberación y votación de la presente sentencia el día 13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Se resuelve en este proceso el recurso de inconstitucionalidad formulado por más de cincuenta diputados del grupo parlamentario Vox, en el Congreso de los Diputados, contra la disposición final segunda del Real Decreto-ley 8/2020, de 17 de marzo, de medidas urgentes extraordinarias para hacer frente al impacto económico y social del COVID-19, que establece lo siguiente:</w:t>
      </w:r>
    </w:p>
    <w:p w:rsidR="005728DD" w:rsidRDefault="005728DD" w:rsidP="005728DD">
      <w:pPr>
        <w:pStyle w:val="TextoNormal"/>
      </w:pPr>
    </w:p>
    <w:p w:rsidR="005728DD" w:rsidRDefault="005728DD" w:rsidP="005728DD">
      <w:pPr>
        <w:pStyle w:val="TextoNormal"/>
      </w:pPr>
      <w:r>
        <w:t>“Disposición final segunda. Modificación de la Ley 11/2002, de 6 de mayo, reguladora del Centro Nacional de Inteligencia.</w:t>
      </w:r>
    </w:p>
    <w:p w:rsidR="005728DD" w:rsidRDefault="005728DD" w:rsidP="005728DD">
      <w:pPr>
        <w:pStyle w:val="TextoNormal"/>
      </w:pPr>
    </w:p>
    <w:p w:rsidR="005728DD" w:rsidRDefault="005728DD" w:rsidP="005728DD">
      <w:pPr>
        <w:pStyle w:val="TextoNormal"/>
      </w:pPr>
      <w:r>
        <w:t>Se modifica el apartado 2 del artículo 6 de la Ley 11/2002, de 6 de mayo, reguladora del Centro Nacional de Inteligencia, con la siguiente redacción:</w:t>
      </w:r>
    </w:p>
    <w:p w:rsidR="005728DD" w:rsidRDefault="005728DD" w:rsidP="005728DD">
      <w:pPr>
        <w:pStyle w:val="TextoNormal"/>
      </w:pPr>
    </w:p>
    <w:p w:rsidR="005728DD" w:rsidRDefault="005728DD" w:rsidP="005728DD">
      <w:pPr>
        <w:pStyle w:val="TextoNormal"/>
      </w:pPr>
      <w:r>
        <w:t>2. La Comisión estará presidida por el vicepresidente del Gobierno que designe su Presidente, e integrada por los Vicepresidentes designados por el Presidente del Gobierno, las Ministras de Asuntos Exteriores, Unión Europea y Cooperación, y de Defensa, el Ministro del Interior y la Ministra de Asuntos Económicos y Transformación Digital, así como por el Director del Gabinete de la Presidencia del Gobierno, el Secretario de Estado de Seguridad y la Secretaria de Estado Directora del Centro Nacional de Inteligencia, que actuará como Secretaria”.</w:t>
      </w:r>
    </w:p>
    <w:p w:rsidR="005728DD" w:rsidRDefault="005728DD" w:rsidP="005728DD">
      <w:pPr>
        <w:pStyle w:val="TextoNormal"/>
      </w:pPr>
    </w:p>
    <w:p w:rsidR="005728DD" w:rsidRDefault="005728DD" w:rsidP="005728DD">
      <w:pPr>
        <w:pStyle w:val="TextoNormal"/>
      </w:pPr>
      <w:r>
        <w:t>La impugnación se fundamenta en que esta disposición final segunda se habría adoptado sin la concurrencia del presupuesto habilitante que al efecto prescribe el artículo 86.1 CE, de conformidad con el cual las disposiciones legislativas provisionales que pueda dictar el Gobierno quedan condicionadas —en lo que ahora importa— a la verificación de un “caso de extraordinaria y urgente necesidad”. Consideran asimismo los recurrentes que el Gobierno no habría justificado en modo alguno esta circunstancia; y añaden que no existiría ninguna conexión de sentido, en términos de la jurisprudencia constitucional, entre la disposición impugnada y la razón de ser en general del Real Decreto-ley 8/2020.</w:t>
      </w:r>
    </w:p>
    <w:p w:rsidR="005728DD" w:rsidRDefault="005728DD" w:rsidP="005728DD">
      <w:pPr>
        <w:pStyle w:val="TextoNormal"/>
      </w:pPr>
    </w:p>
    <w:p w:rsidR="005728DD" w:rsidRDefault="005728DD" w:rsidP="005728DD">
      <w:pPr>
        <w:pStyle w:val="TextoNormal"/>
      </w:pPr>
      <w:r>
        <w:t>La abogacía del Estado ha rebatido unas y otras de estas tachas de inconstitucionalidad mediante los argumentos que han quedado expuestos con pormenor en los antecedentes, y a los que habrá ocasión de referirse de modo singular.</w:t>
      </w:r>
    </w:p>
    <w:p w:rsidR="005728DD" w:rsidRDefault="005728DD" w:rsidP="005728DD">
      <w:pPr>
        <w:pStyle w:val="TextoNormal"/>
      </w:pPr>
    </w:p>
    <w:p w:rsidR="005728DD" w:rsidRDefault="005728DD" w:rsidP="005728DD">
      <w:pPr>
        <w:pStyle w:val="TextoNormal"/>
      </w:pPr>
      <w:r w:rsidRPr="005728DD">
        <w:rPr>
          <w:rStyle w:val="NumeroAFNegritaCaracter"/>
        </w:rPr>
        <w:t>2</w:t>
      </w:r>
      <w:r>
        <w:t>. Con carácter previo al examen de fondo, procede efectuar las siguientes precisiones:</w:t>
      </w:r>
    </w:p>
    <w:p w:rsidR="005728DD" w:rsidRDefault="005728DD" w:rsidP="005728DD">
      <w:pPr>
        <w:pStyle w:val="TextoNormal"/>
      </w:pPr>
    </w:p>
    <w:p w:rsidR="005728DD" w:rsidRDefault="005728DD" w:rsidP="005728DD">
      <w:pPr>
        <w:pStyle w:val="TextoNormal"/>
      </w:pPr>
      <w:r>
        <w:t>a) El Real Decreto-ley 8/2020 fue convalidado por el pleno del Congreso de los Diputados en sesión de 25 de marzo del mismo año, acordándose por la Cámara su tramitación como proyecto de ley por el procedimiento de urgencia, con arreglo a lo establecido, respectivamente, en los números 2 y 3 del artículo 86 CE.</w:t>
      </w:r>
    </w:p>
    <w:p w:rsidR="005728DD" w:rsidRDefault="005728DD" w:rsidP="005728DD">
      <w:pPr>
        <w:pStyle w:val="TextoNormal"/>
      </w:pPr>
    </w:p>
    <w:p w:rsidR="005728DD" w:rsidRDefault="005728DD" w:rsidP="005728DD">
      <w:pPr>
        <w:pStyle w:val="TextoNormal"/>
      </w:pPr>
      <w:r>
        <w:t xml:space="preserve">Esa tramitación legislativa, y eventualmente la aprobación del correspondiente proyecto de ley, no es obstáculo para que el tribunal enjuicie la constitucionalidad de la norma impugnada y se pronuncie sobre las pretensiones deducidas en el actual proceso. Los recursos de inconstitucionalidad en los que se controvierte, como en el presente, la concurrencia de la extraordinaria y urgente necesidad que justifica el dictado de un decreto-ley, no pierden su objeto, conforme a jurisprudencia constante, por la ulterior aprobación de una ley de conversión (art. 86.3 CE), tanto si dicha ley asumiera, con la consiguiente novación, las reglas en un principio adoptadas mediante decreto-ley (por todas, SSTC 195/2016, de 16 de noviembre, FJ 2 y 34/2017, de 1 de marzo, FJ 2), como si no lo hiciera para con alguna de ellas, también originariamente impugnadas (entre otras, STC 142/2014, de 11 de septiembre, FFJJ 2 y 3). Así pues, la aprobación por las Cortes Generales del proyecto de ley ninguna incidencia podría tener sobre la pervivencia, en sus propios términos, de este proceso constitucional; y nada de cuanto en esta sentencia se decida habría de proyectarse sobre la </w:t>
      </w:r>
      <w:r>
        <w:lastRenderedPageBreak/>
        <w:t>norma que resulte del citado procedimiento legislativo, pues lo que aquí se juzga es exclusivamente el respeto por el Gobierno, al dictar la norma impugnada, de los límites constitucionales que condicionan la apelación a la fuente excepcional que es el decreto-ley.</w:t>
      </w:r>
    </w:p>
    <w:p w:rsidR="005728DD" w:rsidRDefault="005728DD" w:rsidP="005728DD">
      <w:pPr>
        <w:pStyle w:val="TextoNormal"/>
      </w:pPr>
    </w:p>
    <w:p w:rsidR="005728DD" w:rsidRDefault="005728DD" w:rsidP="005728DD">
      <w:pPr>
        <w:pStyle w:val="TextoNormal"/>
      </w:pPr>
      <w:r>
        <w:t>b) Es de constatar, en otro orden de cosas, que la disposición final segunda que se impugna se encuentra hoy vigente, pese al enunciado de la disposición final décima del propio Real Decreto-ley, a cuyo tenor “[c]on carácter general, las medidas previstas en el presente real decreto-ley mantendrán su vigencia hasta un mes después de la vigencia de la declaración del estado de alarma. No obstante lo anterior, aquellas medidas previstas en este real decreto-ley que tienen un plazo determinado de duración se sujetarán al mismo”, ello sin perjuicio de que dicha vigencia se pudiera “prorrogar por el Gobierno mediante real decreto-ley”.</w:t>
      </w:r>
    </w:p>
    <w:p w:rsidR="005728DD" w:rsidRDefault="005728DD" w:rsidP="005728DD">
      <w:pPr>
        <w:pStyle w:val="TextoNormal"/>
      </w:pPr>
    </w:p>
    <w:p w:rsidR="005728DD" w:rsidRDefault="005728DD" w:rsidP="005728DD">
      <w:pPr>
        <w:pStyle w:val="TextoNormal"/>
      </w:pPr>
      <w:r>
        <w:t>El carácter temporal o a término que así viene a establecer esta disposición final décima para todas las “medidas” del real decreto-ley, siempre que no tuvieran un “plazo determinado de duración”, en modo alguno puede predicarse de aquellas normas incorporadas a este texto legislativo que cuentan, como la disposición aquí recurrida, con una inequívoca vocación de vigencia indefinida, al integrarse de modo estable en el ordenamiento mediante la modificación o derogación de otras normas legales (en este caso, el artículo 6.2 de la Ley 11/2002). Ello es así en cuanto ha de interpretarse que la noción de “medidas” que se emplea en dicha disposición lo es, en su acepción estricta, de “medida coyuntural, específicamente destinada [a un] muy concreto fin”, por contraste, pues, con cualquier “cuerpo de normas abstractas, destinadas a regular, con vocación de permanencia, un determinado género de relaciones” (STC 179/1985, de 19 de diciembre, FJ 1; en análogos términos, STC 233/1999, de 16 de diciembre, FJ 38).</w:t>
      </w:r>
    </w:p>
    <w:p w:rsidR="005728DD" w:rsidRDefault="005728DD" w:rsidP="005728DD">
      <w:pPr>
        <w:pStyle w:val="TextoNormal"/>
      </w:pPr>
    </w:p>
    <w:p w:rsidR="005728DD" w:rsidRDefault="005728DD" w:rsidP="005728DD">
      <w:pPr>
        <w:pStyle w:val="TextoNormal"/>
      </w:pPr>
      <w:r>
        <w:t>Esta precisión resulta relevante pues, aunque su hipotético decaimiento no hubiera determinado, sin más, la desaparición del objeto del presente proceso constitucional, dado que esa mera circunstancia no impide el control de normas de vigencia temporal limitada [por todas, STC 100/2017, de 20 de julio, FJ 3 a)], la condición de la disposición final segunda como norma de vigencia indefinida no es enteramente irrelevante para apreciar, junto a otras consideraciones, si la misma se adoptó o no ante un caso de extraordinaria y urgente necesidad.</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Antes de examinar el fondo de la cuestión planteada procede, asimismo, acotar el objeto de este recurso de inconstitucionalidad, teniendo presente que los demandantes dirigen su impugnación contra la disposición final segunda en su conjunto, a la que imputan la vulneración del art. 86.1 CE. Es pues esta tacha de inconstitucionalidad la única que constituye el objeto propio del recurso y, en consecuencia, sobre la que ha de pronunciarse este tribunal. Al margen de dicho pronunciamiento deben quedar pues las censuras que la demanda efectúa a lo que consideran como una intencionalidad singular o </w:t>
      </w:r>
      <w:r w:rsidRPr="005728DD">
        <w:rPr>
          <w:i/>
        </w:rPr>
        <w:t>ad personam</w:t>
      </w:r>
      <w:r>
        <w:t xml:space="preserve"> de la norma recurrida, que obedecería al propósito de “blindar” la integración en esta comisión delegada del entonces vicepresidente segundo del Gobierno y ministro de Derechos Sociales y Agenda 2030; integración que, por otra parte, se llevó a cabo por el art. 4.2 del Real Decreto 399/2020, objeto del recurso contencioso-administrativo interpuesto por los mismos recurrentes ante la Sala Tercera del Tribunal Supremo, y hoy suprimida, con arreglo a lo establecido en el apartado tres del artículo único del Real Decreto 242/2021, de 6 de abril.</w:t>
      </w:r>
    </w:p>
    <w:p w:rsidR="005728DD" w:rsidRDefault="005728DD" w:rsidP="005728DD">
      <w:pPr>
        <w:pStyle w:val="TextoNormal"/>
      </w:pPr>
    </w:p>
    <w:p w:rsidR="005728DD" w:rsidRDefault="005728DD" w:rsidP="005728DD">
      <w:pPr>
        <w:pStyle w:val="TextoNormal"/>
      </w:pPr>
      <w:r>
        <w:lastRenderedPageBreak/>
        <w:t>Resultan así irrelevantes para el pronunciamiento que corresponde emitir a este Tribunal Constitucional las apreciaciones sobre el ánimo que habría llevado a la adopción de la disposición impugnada. Las intenciones o finalidades del autor de la norma, su estrategia política o su propósito último no constituyen nunca objeto del enjuiciamiento que corresponde al tribunal [en tal sentido, entre otras, SSTC 45/2019, de 27 de marzo, FJ 2; 87/2019, de 20 de junio, FJ 8; 158/2019, de 12 de diciembre, FJ 2; 65/2020, de 18 de junio, FJ 2 C), y 81/2020, de 15 de julio, FJ 11].</w:t>
      </w:r>
    </w:p>
    <w:p w:rsidR="005728DD" w:rsidRDefault="005728DD" w:rsidP="005728DD">
      <w:pPr>
        <w:pStyle w:val="TextoNormal"/>
      </w:pPr>
    </w:p>
    <w:p w:rsidR="005728DD" w:rsidRDefault="005728DD" w:rsidP="005728DD">
      <w:pPr>
        <w:pStyle w:val="TextoNormal"/>
      </w:pPr>
      <w:r>
        <w:t>Es por ello que, en lo que hace a la fijación del ámbito objetivo de la presente controversia constitucional, tales juicios de intenciones en modo alguno podrían llevar a contraer el enjuiciamiento que aquí procede a unos u otros incisos o previsiones singulares de la disposición final segunda, pues lo que los recurrentes sostienen es que dicha disposición, en su conjunto, se dictó al margen de toda circunstancia de extraordinaria y urgente necesidad (art. 86.1 CE).</w:t>
      </w:r>
    </w:p>
    <w:p w:rsidR="005728DD" w:rsidRDefault="005728DD" w:rsidP="005728DD">
      <w:pPr>
        <w:pStyle w:val="TextoNormal"/>
      </w:pPr>
    </w:p>
    <w:p w:rsidR="005728DD" w:rsidRDefault="005728DD" w:rsidP="005728DD">
      <w:pPr>
        <w:pStyle w:val="TextoNormal"/>
      </w:pPr>
      <w:r>
        <w:t>Tal ámbito de control constitucional, de otra parte, tampoco ha de venir definido por la distinción que efectúan los recurrentes, entre lo que identifican como “modificación sustantiva” introducida por la disposición impugnada (la integración en la Comisión Delegada para Asuntos de Inteligencia de los vicepresidentes que designare el presidente del Gobierno) y otras consistentes en “simples cambios de denominación” de los cargos llamados a integrar dicha comisión; estimaciones estas no muy distintas, de la que expresa a su vez el abogado del Estado, al concluir que el principal sentido de la norma impugnada residiría en la incorporación a esta comisión delegada del director del Gabinete de la Presidencia del Gobierno. Apreciaciones de este género no han de ser asumidas por este el tribunal, ni pueden dar lugar a un atípico enjuiciamiento selectivo. Lo que se pone en cuestión es, pues, únicamente la aptitud del decreto-ley, como fuente normativa, para sustituir o derogar, en las circunstancias del caso, una determinada ordenación legislativa de las Cortes Generales.</w:t>
      </w:r>
    </w:p>
    <w:p w:rsidR="005728DD" w:rsidRDefault="005728DD" w:rsidP="005728DD">
      <w:pPr>
        <w:pStyle w:val="TextoNormal"/>
      </w:pPr>
    </w:p>
    <w:p w:rsidR="005728DD" w:rsidRDefault="005728DD" w:rsidP="005728DD">
      <w:pPr>
        <w:pStyle w:val="TextoNormal"/>
      </w:pPr>
      <w:r>
        <w:t>Las comisiones delegadas del Gobierno son, en general, creadas y ordenadas mediante real decreto (art. 6 de la Ley 50/1997, de 27 de noviembre, del Gobierno), pero la de Asuntos de Inteligencia ha sido configurada directa y específicamente por el legislador (art. 6 de la Ley 11/2002). Lo que aquí está en tela de juicio es si se dan o no las circunstancias de extraordinaria y urgente necesidad exigidas por el art. 86.1 CE para que esa regulación fuera modificada, en unos términos u otros, mediante un decreto-ley. Es en definitiva el concreto acto de legislación excepcional por el que se adoptó la disposición impugnada, no las determinaciones singulares de esta última, lo que debe ser unitariamente examinado y valorado con arreglo a la Constitución.</w:t>
      </w:r>
    </w:p>
    <w:p w:rsidR="005728DD" w:rsidRDefault="005728DD" w:rsidP="005728DD">
      <w:pPr>
        <w:pStyle w:val="TextoNormal"/>
      </w:pPr>
    </w:p>
    <w:p w:rsidR="005728DD" w:rsidRDefault="005728DD" w:rsidP="005728DD">
      <w:pPr>
        <w:pStyle w:val="TextoNormal"/>
      </w:pPr>
      <w:r>
        <w:t>Examen y valoración que se realizará a la luz de lo dispuesto en el artículo 86.1 CE, sin que concurran motivos para traer a colación otros preceptos de la Constitución: en concreto, lo que hace a la interdicción del decreto-ley para “afectar al ordenamiento de las instituciones básicas del Estado”, según dispone el mismo artículo 86.1 CE; concepto este último en el que se inscriben aquellas organizaciones públicas sancionadas en el propio texto constitucional cuya regulación reclama una ley, lo que no es el caso, de las comisiones delegadas del Gobierno.</w:t>
      </w:r>
    </w:p>
    <w:p w:rsidR="005728DD" w:rsidRDefault="005728DD" w:rsidP="005728DD">
      <w:pPr>
        <w:pStyle w:val="TextoNormal"/>
      </w:pPr>
    </w:p>
    <w:p w:rsidR="005728DD" w:rsidRDefault="005728DD" w:rsidP="005728DD">
      <w:pPr>
        <w:pStyle w:val="TextoNormal"/>
      </w:pPr>
      <w:r>
        <w:t>Es ya posible, a partir de cuanto antecede, entrar en el examen de esta controversia constitucional.</w:t>
      </w:r>
    </w:p>
    <w:p w:rsidR="005728DD" w:rsidRDefault="005728DD" w:rsidP="005728DD">
      <w:pPr>
        <w:pStyle w:val="TextoNormal"/>
      </w:pPr>
    </w:p>
    <w:p w:rsidR="005728DD" w:rsidRDefault="005728DD" w:rsidP="005728DD">
      <w:pPr>
        <w:pStyle w:val="TextoNormal"/>
      </w:pPr>
      <w:r w:rsidRPr="005728DD">
        <w:rPr>
          <w:rStyle w:val="NumeroAFNegritaCaracter"/>
        </w:rPr>
        <w:t>4</w:t>
      </w:r>
      <w:r>
        <w:t>. El recurso por el Gobierno a la fuente excepcional que es el decreto-ley queda condicionado por la Constitución, en lo que ahora importa, a la verificación de un “caso de extraordinaria y urgente necesidad” (art. 86.1), presupuesto inexcusable sobre el que existe, a partir de los primeros pronunciamientos del tribunal (SSTC 29/1982, de 31 de mayo, FJ 3; 111/1983, de 2 de diciembre, FFJJ 5 y 6; 29/1986, de 20 de febrero, FJ 2, y 60/1986, de 20 de mayo, FJ 3), un muy consolidado acervo jurisprudencial que llega, en sus líneas básicas, hasta el presente (de entre las más recientes, SSTC 61/2018, recién citada, y 14/2020, de 28 de enero, en cuyos fundamentos jurídicos 5 y 2 a 4, respectivamente, se sintetiza y reitera esta doctrina, con cita de resoluciones anteriores). Procede aquí, evocar esta jurisprudencia de modo muy sumario y a reserva de ulteriores precisiones:</w:t>
      </w:r>
    </w:p>
    <w:p w:rsidR="005728DD" w:rsidRDefault="005728DD" w:rsidP="005728DD">
      <w:pPr>
        <w:pStyle w:val="TextoNormal"/>
      </w:pPr>
    </w:p>
    <w:p w:rsidR="005728DD" w:rsidRDefault="005728DD" w:rsidP="005728DD">
      <w:pPr>
        <w:pStyle w:val="TextoNormal"/>
      </w:pPr>
      <w:r>
        <w:t>a) El concepto constitucional de “extraordinaria y urgente necesidad” no es una cláusula o expresión vacía de significado dentro de la cual el lógico margen de apreciación política del Gobierno se pudiera desplegar libremente sin restricción alguna, sino, por el contrario, un límite jurídico a la actuación mediante decretos-leyes.</w:t>
      </w:r>
    </w:p>
    <w:p w:rsidR="005728DD" w:rsidRDefault="005728DD" w:rsidP="005728DD">
      <w:pPr>
        <w:pStyle w:val="TextoNormal"/>
      </w:pPr>
    </w:p>
    <w:p w:rsidR="005728DD" w:rsidRDefault="005728DD" w:rsidP="005728DD">
      <w:pPr>
        <w:pStyle w:val="TextoNormal"/>
      </w:pPr>
      <w:r>
        <w:t>Por ello, y sin perjuicio del peso que en la apreciación de tal circunstancia haya de concederse al juicio puramente político de los órganos a los que incumbe la dirección del Estado, es función de este tribunal el aseguramiento de estos límites y la garantía de que, en el ejercicio de esta facultad, los poderes públicos actúen dentro del marco de la Constitución. Esta jurisdicción puede por tanto, en supuestos de uso abusivo o arbitrario de tal potestad legislativa excepcional, rechazar la definición que los órganos políticos del Estado hagan de una situación determinada como de “extraordinaria y urgente necesidad”; y declarar, en consecuencia, la inconstitucionalidad de un decreto-ley, o de unas u otras de sus normas, por inexistencia del necesario presupuesto habilitante. A falta del cual, la potestad legislativa de las Cortes Generales (art. 66.2 CE) resultaría invadida y menoscabada, al tiempo que la posición de las minorías en el procedimiento parlamentario de elaboración de las leyes [en cuanto a este último extremo, SSTC 182/1997, de 28 de octubre, FJ 3; 170/2012, de 4 de octubre, FJ 4, y 211/2015, de 8 de octubre, FJ 4 a)].</w:t>
      </w:r>
    </w:p>
    <w:p w:rsidR="005728DD" w:rsidRDefault="005728DD" w:rsidP="005728DD">
      <w:pPr>
        <w:pStyle w:val="TextoNormal"/>
      </w:pPr>
    </w:p>
    <w:p w:rsidR="005728DD" w:rsidRDefault="005728DD" w:rsidP="005728DD">
      <w:pPr>
        <w:pStyle w:val="TextoNormal"/>
      </w:pPr>
      <w:r>
        <w:t>El control que a tal efecto corresponde al Tribunal es de carácter externo, en el sentido de que debe verificar, no sustituir, el juicio político o de oportunidad que corresponde tanto al Gobierno para dictarlo, como al Congreso de los Diputados para, en su caso, convalidarlo en votación de totalidad (art. 86.1 y 2 CE).</w:t>
      </w:r>
    </w:p>
    <w:p w:rsidR="005728DD" w:rsidRDefault="005728DD" w:rsidP="005728DD">
      <w:pPr>
        <w:pStyle w:val="TextoNormal"/>
      </w:pPr>
    </w:p>
    <w:p w:rsidR="005728DD" w:rsidRDefault="005728DD" w:rsidP="005728DD">
      <w:pPr>
        <w:pStyle w:val="TextoNormal"/>
      </w:pPr>
      <w:r>
        <w:t>b) Este control jurídico-constitucional se proyecta sobre dos extremos íntimamente ligados entre sí: de una parte, la necesaria presentación explícita y razonada de los motivos que han sido tenidos en cuenta por el Gobierno para dictar el decreto-ley; justificación que puede realizarse e identificarse en la exposición de motivos del propio texto normativo, a partir de lo argumentado en el debate de convalidación en el Congreso de los Diputados, o, en fin, a la vista del expediente de elaboración del decreto-ley.</w:t>
      </w:r>
    </w:p>
    <w:p w:rsidR="005728DD" w:rsidRDefault="005728DD" w:rsidP="005728DD">
      <w:pPr>
        <w:pStyle w:val="TextoNormal"/>
      </w:pPr>
    </w:p>
    <w:p w:rsidR="005728DD" w:rsidRDefault="005728DD" w:rsidP="005728DD">
      <w:pPr>
        <w:pStyle w:val="TextoNormal"/>
      </w:pPr>
      <w:r>
        <w:t xml:space="preserve">Solo si se cumple debidamente con esta carga cabrá que el tribunal aprecie en Derecho, y mediante una valoración en conjunto de los factores tenidos en cuenta por el Gobierno, si el recurso al decreto-ley fue, en cada caso, “razonable” [STC 35/2017, de 1 de marzo, FJ 4 a)]. En el bien entendido sentido de que la necesidad justificadora de los decretos-leyes no puede interpretarse como absoluta, sino como necesidad relativa respecto de situaciones </w:t>
      </w:r>
      <w:r>
        <w:lastRenderedPageBreak/>
        <w:t>concretas que, por razones difíciles de prever, requieran de una acción normativa inmediata, no supeditada al superior lapso de tiempo que pudiera conllevar la vía ordinaria, o la de urgencia, para la tramitación parlamentaria de las leyes (por todas, STC 152/2017, de 21 de diciembre, FJ 3).</w:t>
      </w:r>
    </w:p>
    <w:p w:rsidR="005728DD" w:rsidRDefault="005728DD" w:rsidP="005728DD">
      <w:pPr>
        <w:pStyle w:val="TextoNormal"/>
      </w:pPr>
    </w:p>
    <w:p w:rsidR="005728DD" w:rsidRDefault="005728DD" w:rsidP="005728DD">
      <w:pPr>
        <w:pStyle w:val="TextoNormal"/>
      </w:pPr>
      <w:r>
        <w:t>Y se ha de considerar asimismo, en segundo lugar, si las medidas en concreto adoptadas mediante el decreto-ley guardan conexión de sentido con la situación de necesidad así definida, lo que puede llevar a censurar como inconstitucionales, disposiciones que por su contenido, y de manera evidente, no guarden relación alguna, directa o indirecta, con lo que se trata de afrontar o que por su estructura misma, no modifiquen de manera instantánea la situación existente [también por todas, STC 150/2017, FJ 4 e)].</w:t>
      </w:r>
    </w:p>
    <w:p w:rsidR="005728DD" w:rsidRDefault="005728DD" w:rsidP="005728DD">
      <w:pPr>
        <w:pStyle w:val="TextoNormal"/>
      </w:pPr>
    </w:p>
    <w:p w:rsidR="005728DD" w:rsidRDefault="005728DD" w:rsidP="005728DD">
      <w:pPr>
        <w:pStyle w:val="TextoNormal"/>
      </w:pPr>
      <w:r>
        <w:t>Con arreglo a estas referencias jurisprudenciales, se ha de iniciar el examen y resolución de lo planteado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5</w:t>
      </w:r>
      <w:r>
        <w:t>. Cuando se discute ante esta jurisdicción, la efectiva verificación de una situación de extraordinaria y urgente necesidad para la adopción no de un decreto-ley en su conjunto, sino de singulares disposiciones del mismo, lo que ha de apreciarse es si tal circunstancia habilitante concurrió o no a la hora de dictar las reglas así específicamente impugnadas (por todas, STC 150/2017, FJ 5). Examen que sin embargo debe ir precedido de una consideración de las causas generales que se invocaron por el Gobierno para la aprobación del decreto-ley como acto unitario de legislación (véanse, entre otras, SSTC 332/2005, de 15 de diciembre, FJ 5; 18/2016, de 4 de febrero, FJ 3, y 34/2017, FJ 4). Solo tras ello cabrá enjuiciar si los preceptos en concreto recurridos fueron a su vez explícita y razonablemente justificados y guardan, cuando menos (STC 183/2016, de 3 de noviembre, FJ 3), una objetiva conexión de sentido, en los términos ya dichos, con aquella motivación de conjunto.</w:t>
      </w:r>
    </w:p>
    <w:p w:rsidR="005728DD" w:rsidRDefault="005728DD" w:rsidP="005728DD">
      <w:pPr>
        <w:pStyle w:val="TextoNormal"/>
      </w:pPr>
    </w:p>
    <w:p w:rsidR="005728DD" w:rsidRDefault="005728DD" w:rsidP="005728DD">
      <w:pPr>
        <w:pStyle w:val="TextoNormal"/>
      </w:pPr>
      <w:r>
        <w:t>a) Son patentes, en primer lugar, las razones en general aportadas por el Gobierno para justificar la adopción de este real decreto-ley, intitulado de “medidas urgentes extraordinarias para hacer frente al impacto económico y social del COVID-19” y dictado tras el Real Decreto 463/2020, de 14 de marzo, por el que se declaró el estado de alarma para la gestión de la situación de crisis sanitaria ocasionada por esa misma pandemia; disposición; esta última, a la que el Real Decreto-ley hace de continuo referencia. Ni los recurrentes ponen en entredicho tal justificación de conjunto, ni la misma ha sido de otro modo controvertida en el presente proceso; ni este tribunal puede dejar de reconocer la situación de emergencia (sanitaria, social y económica) que estuvo en el origen de este real decreto-ley, sin que constatarlo así suponga, claro es, anticipar cosa alguna, en términos jurídico-constitucionales, sobre la validez de las medidas incorporadas a su texto.</w:t>
      </w:r>
    </w:p>
    <w:p w:rsidR="005728DD" w:rsidRDefault="005728DD" w:rsidP="005728DD">
      <w:pPr>
        <w:pStyle w:val="TextoNormal"/>
      </w:pPr>
    </w:p>
    <w:p w:rsidR="005728DD" w:rsidRDefault="005728DD" w:rsidP="005728DD">
      <w:pPr>
        <w:pStyle w:val="TextoNormal"/>
      </w:pPr>
      <w:r>
        <w:t>El preámbulo del Real Decreto-ley se extiende sobre tales circunstancias de emergencia, y pormenoriza los objetivos a los que en general se orientan las medidas que establece, objetivos cifrados (apartado I), en “reforzar la protección de los trabajadores, las familias y los colectivos vulnerables”, en “apoyar la continuidad en la actividad productiva y el mantenimiento del empleo” y en “reforzar la lucha contra la enfermedad”; todo ello en el contexto de la pandemia que se sufre y de sus consecuencias inmediatas. Cabe recordar asimismo que sus medidas no cuentan, de principio, con vocación de vigencia indefinida, por más que sí ostente objetivamente esta última condición, según ya quedó dicho, la disposición final ahora impugnada.</w:t>
      </w:r>
    </w:p>
    <w:p w:rsidR="005728DD" w:rsidRDefault="005728DD" w:rsidP="005728DD">
      <w:pPr>
        <w:pStyle w:val="TextoNormal"/>
      </w:pPr>
    </w:p>
    <w:p w:rsidR="005728DD" w:rsidRDefault="005728DD" w:rsidP="005728DD">
      <w:pPr>
        <w:pStyle w:val="TextoNormal"/>
      </w:pPr>
      <w:r>
        <w:t>Es suficiente con lo anterior para dejar constancia de la situación de extraordinaria y urgente necesidad que el Gobierno apreció y justificó, con alcance general, al dictar este real decreto-ley; situación que este tribunal no puede sino reconocer y compartir. Cuestión distinta es si en la disposición final segunda aquí impugnada concurre el presupuesto habilitante que requiere inexcusablemente el artículo 86.1 CE. Para ello es necesario, según se adelantó, reseñar la motivación que por el Gobierno se aportó para justificar la adopción de este precepto.</w:t>
      </w:r>
    </w:p>
    <w:p w:rsidR="005728DD" w:rsidRDefault="005728DD" w:rsidP="005728DD">
      <w:pPr>
        <w:pStyle w:val="TextoNormal"/>
      </w:pPr>
    </w:p>
    <w:p w:rsidR="005728DD" w:rsidRDefault="005728DD" w:rsidP="005728DD">
      <w:pPr>
        <w:pStyle w:val="TextoNormal"/>
      </w:pPr>
      <w:r>
        <w:t>b) El preámbulo del Real Decreto-ley se refiere de manera unitaria (apartado VI) a sus disposiciones finales segunda y tercera, ajena; esta última, a la presente impugnación, afirmando lo siguiente:</w:t>
      </w:r>
    </w:p>
    <w:p w:rsidR="005728DD" w:rsidRDefault="005728DD" w:rsidP="005728DD">
      <w:pPr>
        <w:pStyle w:val="TextoNormal"/>
      </w:pPr>
    </w:p>
    <w:p w:rsidR="005728DD" w:rsidRDefault="005728DD" w:rsidP="005728DD">
      <w:pPr>
        <w:pStyle w:val="TextoNormal"/>
      </w:pPr>
      <w:r>
        <w:t>“Las modificaciones de la Ley reguladora del Centro Nacional de Inteligencia y de la Ley de la ciencia, la tecnología y la innovación, que se operan por medio de las disposiciones finales segunda y tercera de este real decreto-ley no pueden ser aprobadas mediante el procedimiento ordinario de tramitación parlamentaria, pues ello implicaría que, hasta la aprobación de tales reformas legislativas, la estructura de órganos colegiados del Gobierno no estaría en condiciones de desarrollar sus funciones con arreglo a las necesidades organizativas apreciadas en el momento actual por la Presidencia del Gobierno, motivo que justifica la extraordinaria y urgente necesidad de la situación y la conexión con ella de las medidas adoptadas”.</w:t>
      </w:r>
    </w:p>
    <w:p w:rsidR="005728DD" w:rsidRDefault="005728DD" w:rsidP="005728DD">
      <w:pPr>
        <w:pStyle w:val="TextoNormal"/>
      </w:pPr>
    </w:p>
    <w:p w:rsidR="005728DD" w:rsidRDefault="005728DD" w:rsidP="005728DD">
      <w:pPr>
        <w:pStyle w:val="TextoNormal"/>
      </w:pPr>
      <w:r>
        <w:t>El debate y votación de totalidad para la convalidación o derogación por el Congreso de los Diputados del Real Decreto-ley 8/2020 se celebró en el pleno de la Cámara el 25 de marzo del mismo año, habiendo versado la deliberación parlamentaria, de manera conjunta, también sobre otros dos reales decretos-leyes (6 y 7/2020, de 10 y 12 de marzo, respectivamente). No hay referencia alguna, a nuestros efectos, a la disposición final objeto del presente recurso en la presentación que realizó la vicepresidenta tercera del Gobierno y ministra de asuntos económicos y transformación digital (“Cortes Generales. Diario de sesiones del Congreso de los Diputados. Pleno y diputación permanente”, XIV legislatura, año 2020, núm. 16, pp. 38-44). Sí constan, en cambio, intervenciones críticas respecto a la oportunidad y sentido de este precepto a cargo de cuatro diputados; uno de ellos integrado en el grupo mixto y en calidad de portavoces, los demás, de sus respectivos grupos parlamentarios (pp. 46, 51, 63 y 65). El Real Decreto-ley 8/2020 fue finalmente convalidado, acordándose su tramitación como proyecto de ley por el procedimiento de urgencia (art. 86.3 CE).</w:t>
      </w:r>
    </w:p>
    <w:p w:rsidR="005728DD" w:rsidRDefault="005728DD" w:rsidP="005728DD">
      <w:pPr>
        <w:pStyle w:val="TextoNormal"/>
      </w:pPr>
    </w:p>
    <w:p w:rsidR="005728DD" w:rsidRDefault="005728DD" w:rsidP="005728DD">
      <w:pPr>
        <w:pStyle w:val="TextoNormal"/>
      </w:pPr>
      <w:r>
        <w:t>Finalmente, en la “Memoria abreviada del análisis de impacto normativo” de lo que sería Real Decreto-ley 8/2020 consta tan solo que “[l]a disposición final segunda modifica la Ley 11/2002, de 6 de mayo, reguladora del Centro Nacional de Inteligencia”.</w:t>
      </w:r>
    </w:p>
    <w:p w:rsidR="005728DD" w:rsidRDefault="005728DD" w:rsidP="005728DD">
      <w:pPr>
        <w:pStyle w:val="TextoNormal"/>
      </w:pPr>
    </w:p>
    <w:p w:rsidR="005728DD" w:rsidRDefault="005728DD" w:rsidP="005728DD">
      <w:pPr>
        <w:pStyle w:val="TextoNormal"/>
      </w:pPr>
      <w:r>
        <w:t>El pasaje transcrito del preámbulo es, pues, la única referencia expresa con la que el tribunal cuenta ahora para valorar a partir de ella si su disposición final segunda se dictó ante un caso de extraordinaria y urgente necesidad.</w:t>
      </w:r>
    </w:p>
    <w:p w:rsidR="005728DD" w:rsidRDefault="005728DD" w:rsidP="005728DD">
      <w:pPr>
        <w:pStyle w:val="TextoNormal"/>
      </w:pPr>
    </w:p>
    <w:p w:rsidR="005728DD" w:rsidRDefault="005728DD" w:rsidP="005728DD">
      <w:pPr>
        <w:pStyle w:val="TextoNormal"/>
      </w:pPr>
      <w:r w:rsidRPr="005728DD">
        <w:rPr>
          <w:rStyle w:val="NumeroAFNegritaCaracter"/>
        </w:rPr>
        <w:t>6</w:t>
      </w:r>
      <w:r>
        <w:t>. La expresa y razonada justificación por el Gobierno de las circunstancias de extraordinaria y urgente necesidad que impusieron el dictado de una norma en forma de decreto-</w:t>
      </w:r>
      <w:r>
        <w:lastRenderedPageBreak/>
        <w:t>ley no es el único condicionamiento constitucional que pesa sobre el Ejecutivo a este respecto, pero sí el primero de ellos. Y esta carga argumental no se satisface con la mera apelación a fórmulas genéricas, estereotipadas o rituales [en tal sentido, SSTC 156/2015, de 9 de julio, FJ 5; 199/2015, de 24 de septiembre, FJ 5; 242/2015, de 30 de noviembre, FJ 3, y, entre otras, 34/2017, FJ 4 a)], sin perjuicio de que, adicionalmente, dicha motivación deba aparecer —siempre en el respeto al margen de apreciación política del Gobierno— como razonable (al respecto, y por todas, SSTC 170/2012, FJ 4 y 136/2015, de 11 de junio, FJ 3), ya por lo que se refiere al conjunto del decreto-ley, ya en lo relativo a la conexión de sentido entre tal razón de alcance general y unas u otras de sus normas singularmente impugnadas.</w:t>
      </w:r>
    </w:p>
    <w:p w:rsidR="005728DD" w:rsidRDefault="005728DD" w:rsidP="005728DD">
      <w:pPr>
        <w:pStyle w:val="TextoNormal"/>
      </w:pPr>
    </w:p>
    <w:p w:rsidR="005728DD" w:rsidRDefault="005728DD" w:rsidP="005728DD">
      <w:pPr>
        <w:pStyle w:val="TextoNormal"/>
      </w:pPr>
      <w:r>
        <w:t>En estos términos, y para enjuiciar la constitucionalidad de la disposición final segunda del Real Decreto-ley 8/2020, este tribunal ha de partir exclusivamente de la justificación que se contiene en el pasaje del preámbulo antes transcrito. Del tenor de dicha motivación no se desprende, con la claridad necesaria, si lo que el Gobierno ha querido acreditar es la justificación de dicha disposición final a la luz de la razón de ser general del real decreto-ley en su conjunto, o si lo que se pretende es, más bien, aseverar que la disposición impugnada contaría con un propio y específico presupuesto habilitante, distinto del que daría común soporte a la norma excepcional (intelección a la que podría conducir la referencia, en términos de una premura inconciliable con el “procedimiento parlamentario ordinario”, a las “necesidades organizativas apreciadas en el momento actual por la Presidencia del Gobierno” para que los “órganos colegiados” del Ejecutivo contaran con la “estructura” adecuada para “desarrollar sus funciones”). Así las cosas, dada la notoria ambigüedad de esta redacción, resulta insoslayable apurar todos los entendimientos posibles de esta motivación gubernamental, para apreciar si es reconocible el presupuesto habilitante que la Constitución impone para la válida legislación mediante decreto-ley. A ello se dedican los dos fundamentos jurídicos que siguen.</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Ya quedó dicho que la justificación común o general del Real Decreto-ley 8/2020 reside en la necesidad de subvenir de inmediato a las consecuencias sociales y económicas de la crisis sanitaria deparada por el COVID-19; emergencia que está también en el origen de una previa declaración de estado de alarma (Real Decreto 463/2020). Estas circunstancias extraordinarias se recogen en el preámbulo de la norma y fueron asimismo expuestas en la defensa del Real Decreto-ley que, en nombre del Gobierno, se llevó a cabo en su trámite de convalidación parlamentaria. Se compadece con todo ello, según también se advirtió, el carácter </w:t>
      </w:r>
      <w:r w:rsidRPr="005728DD">
        <w:rPr>
          <w:i/>
        </w:rPr>
        <w:t>pro tempore</w:t>
      </w:r>
      <w:r>
        <w:t xml:space="preserve"> que el Gobierno otorgó expresamente, sin excepción aparente alguna, a todas las medidas entonces adoptadas mediante este decreto-ley en la disposición final décima y demás reglas con ella concordantes.</w:t>
      </w:r>
    </w:p>
    <w:p w:rsidR="005728DD" w:rsidRDefault="005728DD" w:rsidP="005728DD">
      <w:pPr>
        <w:pStyle w:val="TextoNormal"/>
      </w:pPr>
    </w:p>
    <w:p w:rsidR="005728DD" w:rsidRDefault="005728DD" w:rsidP="005728DD">
      <w:pPr>
        <w:pStyle w:val="TextoNormal"/>
      </w:pPr>
      <w:r>
        <w:t>Así planteados los términos del presente análisis, este tribunal no puede compartir que la disposición final segunda que se impugna muestre conexión de sentido alguna con la causa de extraordinaria y urgente necesidad que llevó a la adopción del Real Decreto-ley 8/2020. No existe ningún vínculo de adecuación entre el común presupuesto habilitante de la norma y esta singular regla, carente de congruencia con la situación que se trata de afrontar, con la que no guarda relación discernible, ni directa ni indirecta.</w:t>
      </w:r>
    </w:p>
    <w:p w:rsidR="005728DD" w:rsidRDefault="005728DD" w:rsidP="005728DD">
      <w:pPr>
        <w:pStyle w:val="TextoNormal"/>
      </w:pPr>
    </w:p>
    <w:p w:rsidR="005728DD" w:rsidRDefault="005728DD" w:rsidP="005728DD">
      <w:pPr>
        <w:pStyle w:val="TextoNormal"/>
      </w:pPr>
      <w:r>
        <w:t xml:space="preserve">No resulta posible determinar qué razonable conexión de sentido pudiera existir entre, de una parte, las circunstancias y necesidades de emergencia desencadenadas a raíz de la pandemia y, de otra, la parcial reordenación de la composición de la Comisión Delegada del </w:t>
      </w:r>
      <w:r>
        <w:lastRenderedPageBreak/>
        <w:t>Gobierno para Asuntos de Inteligencia; cuyas funciones propias (apartados 1 y 4 del artículo 6 de la Ley 11/2002) no guardan relación alguna con los motivos y finalidades que llevaron al dictado del Real Decreto-ley 8/2020, ni resultan afectadas por la disposición impugnada. La evidencia inicial de que un mero cambio en el modo de integración de este órgano resulta ajeno, de principio, a la situación general afrontada hubiera requerido —para acreditar lo contrario— una justificación específica que no se aportó por el Gobierno; sin que tal omisión quede paliada por las vagas referencias que el abogado del Estado hace en sus alegaciones a propósito de las hipotéticas exigencias de “sigilo”, “reserva” o “secreto” que podrían llegar a imponerse en la cooperación de las autoridades españolas con las de otros países, o con organismos internacionales, para hacer frente a la pandemia. Este concreto alegato no resulta admisible, pues no se trata solo de que nada se haya apuntado al respecto por el propio autor de la norma, siendo así que en las alegaciones en defensa de un decreto-ley “nunca podrían ser ofrecidas razones distintas o que alterasen los motivos puestos de manifiesto en su momento” por el Gobierno (SSTC 182/1997, de 28 de octubre, FJ 4, y 329/2005, de 15 de diciembre, FJ 6). Además, las supuestas exigencias de “sigilo”, “reserva” o “secreto” podrían acaso conducir a la intervención ocasional de esta comisión delegada en la gestión de algún extremo relacionado con la pandemia, algo que nada tendría que ver con la necesaria modificación mediante decreto-ley de la composición legal de este órgano.</w:t>
      </w:r>
    </w:p>
    <w:p w:rsidR="005728DD" w:rsidRDefault="005728DD" w:rsidP="005728DD">
      <w:pPr>
        <w:pStyle w:val="TextoNormal"/>
      </w:pPr>
    </w:p>
    <w:p w:rsidR="005728DD" w:rsidRDefault="005728DD" w:rsidP="005728DD">
      <w:pPr>
        <w:pStyle w:val="TextoNormal"/>
      </w:pPr>
      <w:r>
        <w:t>Se refuerza la apreciación anterior, si se tiene presente que la disposición final segunda introduce en el ordenamiento una modificación legislativa de vigencia indefinida, en manifiesta divergencia con la temporalidad tasada que el propio Real Decreto-ley predica, en general, de todas y cada una de sus determinaciones, en plena correspondencia con los apremios circunstanciales en los que se fundamentó esta legislación excepcional. Este tribunal tiene declarado que “ningún dato positivo constitucional permite afirmar […] que el carácter provisional del decreto-ley se refiera necesariamente al alcance temporal de la norma que con esa forma jurídica se apruebe” (STC 189/2005, de 7 de julio, FJ 6), pero también lo es, según se puntualizó en el mismo pasaje de la resolución que se cita, que ello debía entenderse “sin perjuicio de que dicho alcance pueda ser considerado de algún modo para valorar […] la concurrencia de la extraordinaria y urgente necesidad de la medida legislativa”. Valoración que, en el caso actual, no puede ser sino negativa. El Real Decreto-ley 8/2020 establece con carácter general, de manera explícita, reglas de carácter temporal y para la inserción en el mismo de una disposición, como la enjuiciada, con vocación de vigencia indefinida (y sin relación aparente alguna, con el objeto o los fines de tal ordenación de conjunto) mal podría invocarse, en términos de la repetida conexión de sentido, la misma causa de extraordinaria y urgente necesidad que se predica, en general, de este texto normativo.</w:t>
      </w:r>
    </w:p>
    <w:p w:rsidR="005728DD" w:rsidRDefault="005728DD" w:rsidP="005728DD">
      <w:pPr>
        <w:pStyle w:val="TextoNormal"/>
      </w:pPr>
    </w:p>
    <w:p w:rsidR="005728DD" w:rsidRDefault="005728DD" w:rsidP="005728DD">
      <w:pPr>
        <w:pStyle w:val="TextoNormal"/>
      </w:pPr>
      <w:r>
        <w:t xml:space="preserve">Finalmente, debe ponerse de relieve que la oportunidad de reordenar parcialmente la composición de la Comisión Delegada para Asuntos de Inteligencia se apreció ya por el Gobierno al dictar el Real Decreto 399/2020, de 25 de febrero, antes citado, en cuyo artículo 4 (números 1 a 5) se determinó una nueva integración de dicha comisión. Este primer paso normativo en la materia, por vía reglamentaria, guarda una relación innegable, por su identidad de objeto, con la disposición impugnada en el presente proceso constitucional y se dio por el Ejecutivo con la suficiente antelación a la declaración del estado de alarma como para poner en duda que la modificación en la composición de la comisión culminada después mediante la disposición final segunda tenga algo que ver con las circunstancias de extraordinaria y urgente necesidad que condujeron al dictado de un real decreto-ley, que parte, </w:t>
      </w:r>
      <w:r>
        <w:lastRenderedPageBreak/>
        <w:t>explícita y reiteradamente, de la emergencia declarada por el real decreto que proclamó el estado de alarma. Más parece, por el contrario, que la razón de ser deesta disposición final segunda no es otra que la de continuar o consolidar la adaptación de la composición de la comisión delegada —con modificaciones adicionales— a la nueva estructura del Consejo de Ministros, por decirlo aquí con las mismas palabras de las que se sirve, respecto de esta y de otras comisiones delegadas, el preámbulo del Real Decreto 399/2020, antecedente inmediato en este punto de la regla impugnada.</w:t>
      </w:r>
    </w:p>
    <w:p w:rsidR="005728DD" w:rsidRDefault="005728DD" w:rsidP="005728DD">
      <w:pPr>
        <w:pStyle w:val="TextoNormal"/>
      </w:pPr>
    </w:p>
    <w:p w:rsidR="005728DD" w:rsidRDefault="005728DD" w:rsidP="005728DD">
      <w:pPr>
        <w:pStyle w:val="TextoNormal"/>
      </w:pPr>
      <w:r>
        <w:t>Cuanto antecede lleva a desechar que la disposición impugnada pudiera encontrar una justificación objetiva de extraordinaria y urgente necesidad por su eventual conexión de sentido con las circunstancias que motivaron, en general, la adopción del Real Decreto-ley en el que aparece integrada.</w:t>
      </w:r>
    </w:p>
    <w:p w:rsidR="005728DD" w:rsidRDefault="005728DD" w:rsidP="005728DD">
      <w:pPr>
        <w:pStyle w:val="TextoNormal"/>
      </w:pPr>
    </w:p>
    <w:p w:rsidR="005728DD" w:rsidRDefault="005728DD" w:rsidP="005728DD">
      <w:pPr>
        <w:pStyle w:val="TextoNormal"/>
      </w:pPr>
      <w:r>
        <w:t>Resta por examinar ahora si esta disposición pudiera contar con una causa habilitante específica y distinta, a la que se apreció por el Gobierno para la aprobación, como acto normativo unitario, de este real decreto-ley.</w:t>
      </w:r>
    </w:p>
    <w:p w:rsidR="005728DD" w:rsidRDefault="005728DD" w:rsidP="005728DD">
      <w:pPr>
        <w:pStyle w:val="TextoNormal"/>
      </w:pPr>
    </w:p>
    <w:p w:rsidR="005728DD" w:rsidRDefault="005728DD" w:rsidP="005728DD">
      <w:pPr>
        <w:pStyle w:val="TextoNormal"/>
      </w:pPr>
      <w:r w:rsidRPr="005728DD">
        <w:rPr>
          <w:rStyle w:val="NumeroAFNegritaCaracter"/>
        </w:rPr>
        <w:t>8</w:t>
      </w:r>
      <w:r>
        <w:t>. Se ha de comenzar por advertir que la posibilidad constitucional de que en el cuerpo normativo de un mismo decreto-ley se integren reglas, o bloques de preceptos, para cada uno de los cuales se postule una distinta y específica causa de extraordinaria y urgente necesidad, ha sido reconocida por la doctrina de este tribunal en el caso de los denominados decretos-leyes “transversales”; esto es, dictados ante coyunturas económicas problemáticas, y en cuyo seno se puedan recoger, sin otro nexo común que la genérica o global circunstancia de crisis o emergencia, ordenaciones que disciplinen unos u otros sectores de la economía (especialmente, STC 199/2015, ya citada, FFJJ 3 y 5; y asimismo, por lo que se refiere a la protección social y al mercado de trabajo, STC 61/2018, FFJJ 6 y 7). Regulaciones singulares no reconducibles a un definido y compartido presupuesto habilitante, y para cada una de las cuales cabría llegar a justificar una propia y singular causa de extraordinaria y urgente necesidad.</w:t>
      </w:r>
    </w:p>
    <w:p w:rsidR="005728DD" w:rsidRDefault="005728DD" w:rsidP="005728DD">
      <w:pPr>
        <w:pStyle w:val="TextoNormal"/>
      </w:pPr>
    </w:p>
    <w:p w:rsidR="005728DD" w:rsidRDefault="005728DD" w:rsidP="005728DD">
      <w:pPr>
        <w:pStyle w:val="TextoNormal"/>
      </w:pPr>
      <w:r>
        <w:t>La integración en un mismo decreto-ley de preceptos que se vinculen a diferentes causas de extraordinaria y urgente necesidad solo es admisible, de principio, en los así llamados decretos-leyes transversales, dictados ante coyunturas de crisis económica o en los que se contenga, de otro modo, una política social o económica de urgencia, pues en tales supuestos la posible interdependencia de unas u otras medidas de emergencia sobre los varios sectores objeto de regulación puede requerir, o justificar cuando menos, una deliberación de conjunto por la Cámara y, sobre todo, su pronunciamiento al respecto en unidad de acto.</w:t>
      </w:r>
    </w:p>
    <w:p w:rsidR="005728DD" w:rsidRDefault="005728DD" w:rsidP="005728DD">
      <w:pPr>
        <w:pStyle w:val="TextoNormal"/>
      </w:pPr>
    </w:p>
    <w:p w:rsidR="005728DD" w:rsidRDefault="005728DD" w:rsidP="005728DD">
      <w:pPr>
        <w:pStyle w:val="TextoNormal"/>
      </w:pPr>
      <w:r>
        <w:t>La situación que ahora se enjuicia no es reconducible a esa hipótesis. No solo en atención al contenido —meramente organizativo— del precepto impugnado, sino en virtud del común sentido que aporta razón de ser al cuerpo normativo en el que tal precepto se ha inscrito. El Real Decreto-ley 8/2020 no pretende motivarse en la yuxtaposición o agregación de una diversidad de causas de extraordinaria y urgente necesidad heterogéneas que hubiera deparado una coyuntura genérica de crisis. Se ha dictado, por el contrario, sobre la base de un presupuesto habilitante muy definido y común (la necesidad de hacer frente a las consecuencias socio-económicas de la pandemia) que trasciende a unas u otras de las ordenaciones allí establecidas, y solo a la luz del cual podrían estimarse justificadas, en términos de conexión de sentido, cada una de estas disciplinas específicas. No existe razón jurídico-</w:t>
      </w:r>
      <w:r>
        <w:lastRenderedPageBreak/>
        <w:t>constitucional alguna para que en el cuerpo unitario de este real decreto-ley se injerte una u otra regla que responda a una supuesta circunstancia de extraordinaria y urgente necesidad diferente de la que anima y da sentido a este texto normativo en su conjunto. Basta con apreciarlo así para negar que el enjuiciamiento de la disposición final segunda pudiera requerir la consideración de si concurrió o no un hipotético y privativo presupuesto habilitante que aquí, por lo dicho, no cabría en ningún caso esgrimir.</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Además de lo señalado, no existe ninguna otra causa de extraordinaria y urgente necesidad —singular o </w:t>
      </w:r>
      <w:r w:rsidRPr="005728DD">
        <w:rPr>
          <w:i/>
        </w:rPr>
        <w:t>ad casum</w:t>
      </w:r>
      <w:r>
        <w:t>— que pueda justificar la adopción mediante este real decreto-ley de la disposición impugnada:</w:t>
      </w:r>
    </w:p>
    <w:p w:rsidR="005728DD" w:rsidRDefault="005728DD" w:rsidP="005728DD">
      <w:pPr>
        <w:pStyle w:val="TextoNormal"/>
      </w:pPr>
    </w:p>
    <w:p w:rsidR="005728DD" w:rsidRDefault="005728DD" w:rsidP="005728DD">
      <w:pPr>
        <w:pStyle w:val="TextoNormal"/>
      </w:pPr>
      <w:r>
        <w:t>a) Así, por lo que hace a la motivación aportada en el preámbulo, el autor de la norma se limita a dejar constancia de que la misma no podría haber sido aprobada “mediante el procedimiento ordinario de tramitación parlamentaria, pues ello implicaría que, hasta la aprobación de tales reformas legislativas, la estructura de órganos colegiados del Gobierno no estaría en condiciones de desarrollar sus funciones con arreglo a las necesidades organizativas apreciadas en el momento actual por la Presidencia del Gobierno”.</w:t>
      </w:r>
    </w:p>
    <w:p w:rsidR="005728DD" w:rsidRDefault="005728DD" w:rsidP="005728DD">
      <w:pPr>
        <w:pStyle w:val="TextoNormal"/>
      </w:pPr>
    </w:p>
    <w:p w:rsidR="005728DD" w:rsidRDefault="005728DD" w:rsidP="005728DD">
      <w:pPr>
        <w:pStyle w:val="TextoNormal"/>
      </w:pPr>
      <w:r>
        <w:t>Se trata de una argumentación tautológica, mediante la que viene a decirse que la reforma legal operada no hubiera sido posible a partir de la tramitación de un proyecto de ley, pues tal procedimiento ordinario para legislar hubiera demorado en exceso la adopción de la norma, vista la oportunidad de cambio legislativo apreciada por el Gobierno. En relación con ello, cabe recordar que “el mero deseo o interés del Gobierno en la inmediata entrada en vigor de la norma no constituye una justificación de su extraordinaria y urgente necesidad” (STC 68/2007, de 26 de abril, FJ 9).</w:t>
      </w:r>
    </w:p>
    <w:p w:rsidR="005728DD" w:rsidRDefault="005728DD" w:rsidP="005728DD">
      <w:pPr>
        <w:pStyle w:val="TextoNormal"/>
      </w:pPr>
    </w:p>
    <w:p w:rsidR="005728DD" w:rsidRDefault="005728DD" w:rsidP="005728DD">
      <w:pPr>
        <w:pStyle w:val="TextoNormal"/>
      </w:pPr>
      <w:r>
        <w:t>La opción por el empleo de una concreta técnica normativa, existiendo otras que no obstaculicen el cumplimiento de los objetivos de la medida, no permite sacrificar la posición institucional del legislativo, sacrificio que el art. 86.1 CE condiciona a la satisfacción de una necesidad extraordinaria y urgente, pero no al designio de “abreviar el proceso” o de “utilizar la vía más rápida” o “el mecanismo más directo”, que no es el fundamento de la potestad legislativa extraordinaria del Gobierno (STC 125/2016, de 7 de julio, FJ 4).</w:t>
      </w:r>
    </w:p>
    <w:p w:rsidR="005728DD" w:rsidRDefault="005728DD" w:rsidP="005728DD">
      <w:pPr>
        <w:pStyle w:val="TextoNormal"/>
      </w:pPr>
    </w:p>
    <w:p w:rsidR="005728DD" w:rsidRDefault="005728DD" w:rsidP="005728DD">
      <w:pPr>
        <w:pStyle w:val="TextoNormal"/>
      </w:pPr>
      <w:r>
        <w:t>El recurso al decreto-ley se justifica solo ante un caso objetivo de extraordinaria y urgente necesidad; esto es, ante una coyuntura en la que se haga presente la exigencia impostergable de una intervención normativa inmediata solo atendible eficazmente mediante estas disposiciones legislativas provisionales; algo muy distinto, en suma, a la simple conveniencia de contar, cuanto antes, con la norma que, en un momento u otro, se estime por el Gobierno oportuna. Estas últimas apreciaciones pueden ser muy respetables, pero su mero enunciado no justifica el desplazamiento de la potestad legislativa de las Cortes Generales (art. 66.2 CE) y, con ella, de la intervención de las minorías en el procedimiento parlamentario. Así pues, la sola invocación de un objetivo de política legislativa no puede aportar fundamento bastante para la adopción mediante decreto-ley de una determinada disposición.</w:t>
      </w:r>
    </w:p>
    <w:p w:rsidR="005728DD" w:rsidRDefault="005728DD" w:rsidP="005728DD">
      <w:pPr>
        <w:pStyle w:val="TextoNormal"/>
      </w:pPr>
    </w:p>
    <w:p w:rsidR="005728DD" w:rsidRDefault="005728DD" w:rsidP="005728DD">
      <w:pPr>
        <w:pStyle w:val="TextoNormal"/>
      </w:pPr>
      <w:r>
        <w:t xml:space="preserve">b) A idéntica conclusión lleva la constatación de que la oportunidad, legítimamente apreciada por el Gobierno, de que se procediera a la reordenación de la composición de la Comisión Delegada para Asuntos de Inteligencia, no puede ser vista como fruto de circunstancias hasta entonces imprevisibles o súbitas que impusieran el inmediato dictado de la norma </w:t>
      </w:r>
      <w:r>
        <w:lastRenderedPageBreak/>
        <w:t>impugnada. Tal conveniencia, por el contrario, hubo ya de resultar notoria a partir tanto de los Reales Decretos 2/2020 y 3/2020, ambos de 12 de enero, por los que, respectivamente, se reestructuraron los departamentos ministeriales y se determinaron las vicepresidencias del Gobierno, como del Real Decreto 136/2020, de 27 de enero, por el que se reestructuró la Presidencia del Gobierno, según queda corroborado a la vista del antes citado Real Decreto 399/2020, de 25 de febrero, cuyo artículo 4 incidió ya, en un primer momento, sobre aquella composición de la comisión.</w:t>
      </w:r>
    </w:p>
    <w:p w:rsidR="005728DD" w:rsidRDefault="005728DD" w:rsidP="005728DD">
      <w:pPr>
        <w:pStyle w:val="TextoNormal"/>
      </w:pPr>
    </w:p>
    <w:p w:rsidR="005728DD" w:rsidRDefault="005728DD" w:rsidP="005728DD">
      <w:pPr>
        <w:pStyle w:val="TextoNormal"/>
      </w:pPr>
      <w:r>
        <w:t>La imprevisibilidad o, cuando menos, la difícil previsión de la situación de necesidad que pudiera dar lugar a la adopción de un decreto-ley es exigencia en general apreciada por la doctrina de este tribunal en preservación de la potestad legislativa ordinaria que corresponde a las Cortes Generales [entre otras muchas, SSTC 61/2018, FJ 9 b), y 14/2020, FJ 3 a)]; y aunque tal pauta pueda llegar a flexibilizarse en ocasiones (así se advirtió, por ejemplo, en la STC 1/2012, de 13 de enero, FJ 6), resulta evidente que las circunstancias del caso actual no consentirían relativizar esa exigencia. Ello es así por cuanto la ordenación que hoy se discute no fue dictada por el Gobierno para hacer frente a contingencias externas y sobrevenidas, sino para disciplinar un aspecto de su propia articulación orgánica en consideración a causas o razones que incluso fueron inicialmente atendidas mediante norma de rango reglamentario.</w:t>
      </w:r>
    </w:p>
    <w:p w:rsidR="005728DD" w:rsidRDefault="005728DD" w:rsidP="005728DD">
      <w:pPr>
        <w:pStyle w:val="TextoNormal"/>
      </w:pPr>
    </w:p>
    <w:p w:rsidR="005728DD" w:rsidRDefault="005728DD" w:rsidP="005728DD">
      <w:pPr>
        <w:pStyle w:val="TextoNormal"/>
      </w:pPr>
      <w:r>
        <w:t>c) Finalmente, no existe necesidad, en el sentido del artículo 86.1 CE, que pudiera justificar la modificación de normas con rango de ley por esta vía excepcional cuando los intereses públicos en cada caso legítimamente perseguidos pudieron haber sido atendidos —si bien de manera ocasional— a través de una regulación legal que ya estaba, en unos términos u otros, a disposición del Gobierno (con carácter general, SSTC 136/2015, FJ 6, y 70/2016, de 14 de abril, FJ 7).</w:t>
      </w:r>
    </w:p>
    <w:p w:rsidR="005728DD" w:rsidRDefault="005728DD" w:rsidP="005728DD">
      <w:pPr>
        <w:pStyle w:val="TextoNormal"/>
      </w:pPr>
    </w:p>
    <w:p w:rsidR="005728DD" w:rsidRDefault="005728DD" w:rsidP="005728DD">
      <w:pPr>
        <w:pStyle w:val="TextoNormal"/>
      </w:pPr>
      <w:r>
        <w:t>La presencia en la comisión, siquiera de modo circunstancial, de otros altos cargos distintos a los previstos en el artículo 6.2 de la Ley 11/2002, podría haberse propiciado, en tanto las Cortes Generales no llegaran a reformar este texto legal, al amparo de lo previsto en el no modificado número 3 de este mismo artículo, de conformidad con el cual, y en términos coincidentes con los establecidos, en general, en la Ley 50/1997, del Gobierno (art. 6.3), “[n]o obstante lo dispuesto en el apartado anterior, podrán ser convocados a las reuniones de la comisión los titulares de aquellos otros órganos superiores y directivos de la Administración General del Estado que se estime conveniente” (previsión legal esta que ha de ponerse hoy en relación con lo establecido en el artículo 55.3 de la Ley 40/2015, de 1 de octubre, de régimen jurídico del sector público).</w:t>
      </w:r>
    </w:p>
    <w:p w:rsidR="005728DD" w:rsidRDefault="005728DD" w:rsidP="005728DD">
      <w:pPr>
        <w:pStyle w:val="TextoNormal"/>
      </w:pPr>
    </w:p>
    <w:p w:rsidR="005728DD" w:rsidRDefault="005728DD" w:rsidP="005728DD">
      <w:pPr>
        <w:pStyle w:val="TextoNormal"/>
      </w:pPr>
      <w:r>
        <w:t>Nada de cuanto queda fundamentado podría ser matizado a la vista de lo que al respecto alega la abogacía del Estado, representación que ha argumentado acerca de la conveniencia o necesidad, discrecionalmente valorada por el Ejecutivo, en orden a la incorporación del director del gabinete de la Presidencia del Gobierno a esta comisión delegada, aunque sin aportar razonamiento alguno en orden a la impostergable exigencia de modificar para ello, mediante decreto-ley, una disposición legal adoptada por las Cortes Generales. No ha sido obviamente la apreciación y enjuiciamiento de aquella oportunidad o conveniencia, o de cualesquiera otras, el objeto del presente proceso, sino el examen de si la norma impugnada se dictó —lo que no fue el caso— ante una circunstancia de extraordinaria y urgente necesidad (art. 86.1 CE).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presente recurso de inconstitucionalidad y declarar la inconstitucionalidad y nulidad de la disposición final segunda del Real Decreto-ley 8/2020, de 17 de marzo.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trece de mayo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Cándido Conde-Pumpido Tourón respecto de la sentencia dictada en el recurso de inconstitucionalidad núm. 1813-2020</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inconstitucionalidad núm. 1813-2020. Las razones de mi discrepancia son las que tuve ocasión de sostener en el Pleno en el que se deliberó el presente asunto.</w:t>
      </w:r>
    </w:p>
    <w:p w:rsidR="005728DD" w:rsidRDefault="005728DD" w:rsidP="005728DD">
      <w:pPr>
        <w:pStyle w:val="TextoNormal"/>
      </w:pPr>
    </w:p>
    <w:p w:rsidR="005728DD" w:rsidRDefault="005728DD" w:rsidP="005728DD">
      <w:pPr>
        <w:pStyle w:val="TextoNormal"/>
      </w:pPr>
      <w:r>
        <w:t>Mi disconformidad tiene que ver con la fundamentación que se realiza en la sentencia para sostener la falta de concurrencia del presupuesto de hecho habilitante y que ha desembocado en la estimación del recurso interpuesto frente a la disposición final segunda del Real Decreto-ley 8/2020, de 17 de marzo, de medidas urgentes extraordinarias para hacer frente al impacto económico y social del COVID-19. La argumentación de mi discrepancia es parcialmente coincidente con la recogida en el voto particular formulado asimismo en el día de hoy frente a la sentencia que resuelve el recurso de inconstitucionalidad núm. 2295-2020.</w:t>
      </w:r>
    </w:p>
    <w:p w:rsidR="005728DD" w:rsidRDefault="005728DD" w:rsidP="005728DD">
      <w:pPr>
        <w:pStyle w:val="TextoNormal"/>
      </w:pPr>
    </w:p>
    <w:p w:rsidR="005728DD" w:rsidRDefault="005728DD" w:rsidP="005728DD">
      <w:pPr>
        <w:pStyle w:val="TextoNormal"/>
      </w:pPr>
      <w:r>
        <w:t xml:space="preserve">1. Debo recordar, en primer lugar, cuál es el canon de control que a mi juicio debería aplicar este tribunal, pues como ya hemos tenido ocasión de señalar, “en relación con la concurrencia del presupuesto habilitante, que se conforma como un límite jurídico de la actuación normativa mediante decreto-ley, el tribunal debe controlar su aplicación al caso concreto, pero sin que esa fiscalización, que debe limitarse a un examen externo, pueda sustituir el juicio político sobre la concurrencia del presupuesto que corresponde efectuar al Gobierno (titular constitucional de la potestad legislativa de urgencia) y al Congreso (titular de la potestad de convalidar, derogar o tramitar el texto como proyecto de ley). Dicho en otros términos, el tribunal debe controlar que el juicio político realizado por el Gobierno, que elabora el decreto-ley, y por la mayoría del Congreso de los Diputados, que lo convalida, no desborda los límites de lo </w:t>
      </w:r>
      <w:r w:rsidRPr="005728DD">
        <w:rPr>
          <w:i/>
        </w:rPr>
        <w:t>manifiestamente razonable</w:t>
      </w:r>
      <w:r>
        <w:t>, pero “el control jurídico de este requisito no debe suplantar a los órganos constitucionales que intervienen en la aprobación y convalidación de los reales decretos-leyes” (STC 199/2015, de 24 de septiembre, FJ 4, en la que fue ponente el ponente de la presente sentencia).</w:t>
      </w:r>
    </w:p>
    <w:p w:rsidR="005728DD" w:rsidRDefault="005728DD" w:rsidP="005728DD">
      <w:pPr>
        <w:pStyle w:val="TextoNormal"/>
      </w:pPr>
    </w:p>
    <w:p w:rsidR="005728DD" w:rsidRDefault="005728DD" w:rsidP="005728DD">
      <w:pPr>
        <w:pStyle w:val="TextoNormal"/>
      </w:pPr>
      <w:r>
        <w:lastRenderedPageBreak/>
        <w:t>Por tanto, el control que correspondería hacer al tribunal es externo, jurídico y no de oportunidad política ni de excelencia técnica, y ha de ser flexible, en coherencia con el reconocimiento constitucional del decreto-ley, para no invalidar de forma innecesaria, ni sustituir el juicio político sobre la concurrencia del presupuesto que corresponde efectuar al Gobierno —máxime, y como desarrollaré en el presente voto, cuando el contenido de la norma se refiere a la concreción de una potestad de organización del propio Gobierno—, y al Congreso de los Diputados en el ejercicio de la función de control parlamentario (art. 86.2 CE).</w:t>
      </w:r>
    </w:p>
    <w:p w:rsidR="005728DD" w:rsidRDefault="005728DD" w:rsidP="005728DD">
      <w:pPr>
        <w:pStyle w:val="TextoNormal"/>
      </w:pPr>
    </w:p>
    <w:p w:rsidR="005728DD" w:rsidRDefault="005728DD" w:rsidP="005728DD">
      <w:pPr>
        <w:pStyle w:val="TextoNormal"/>
      </w:pPr>
      <w:r>
        <w:t xml:space="preserve">2. Una vez recordado lo anterior, debo subrayar —como hice en la deliberación, pues considero que ello determina necesariamente el alcance que debemos dar a nuestro control—, que en el presente recurso se abordaba la impugnación de una norma que supone unos cambios de naturaleza organizativa dentro del propio Gobierno, no teniendo ningún efecto </w:t>
      </w:r>
      <w:r w:rsidRPr="005728DD">
        <w:rPr>
          <w:i/>
        </w:rPr>
        <w:t>ad extra</w:t>
      </w:r>
      <w:r>
        <w:t>, ningún efecto sobre la esfera de derechos y deberes de los ciudadanos.</w:t>
      </w:r>
    </w:p>
    <w:p w:rsidR="005728DD" w:rsidRDefault="005728DD" w:rsidP="005728DD">
      <w:pPr>
        <w:pStyle w:val="TextoNormal"/>
      </w:pPr>
    </w:p>
    <w:p w:rsidR="005728DD" w:rsidRDefault="005728DD" w:rsidP="005728DD">
      <w:pPr>
        <w:pStyle w:val="TextoNormal"/>
      </w:pPr>
      <w:r>
        <w:t>En efecto, la disposición final segunda del Real Decreto-ley 8/2020, de 17 de marzo, de medidas urgentes extraordinarias para hacer frente al impacto económico y social del COVID-19 procede a reordenar parcialmente la composición de la Comisión Delegada para Asuntos de Inteligencia con arreglo, tal y como afirma en su preámbulo, “a las necesidades organizativas apreciadas en el momento actual por la Presidencia del Gobierno”.</w:t>
      </w:r>
    </w:p>
    <w:p w:rsidR="005728DD" w:rsidRDefault="005728DD" w:rsidP="005728DD">
      <w:pPr>
        <w:pStyle w:val="TextoNormal"/>
      </w:pPr>
    </w:p>
    <w:p w:rsidR="005728DD" w:rsidRDefault="005728DD" w:rsidP="005728DD">
      <w:pPr>
        <w:pStyle w:val="TextoNormal"/>
      </w:pPr>
      <w:r>
        <w:t>Así, como bien recuerda la sentencia de la que discrepamos, el preámbulo del Real Decreto-ley impugnado afirma que las modificaciones de la Ley reguladora del Centro Nacional de Inteligencia no puede ser aprobada mediante el procedimiento ordinario de tramitación parlamentaria, pues ello implicaría que, hasta la aprobación de tal reforma legislativa, la estructura de órganos colegiados del Gobierno no estaría en condiciones de desarrollar sus funciones con arreglo a las necesidades organizativas apreciadas en el momento actual por la Presidencia del Gobierno, motivo que justifica la extraordinaria y urgente necesidad de la situación y la conexión con ella de las medidas adoptadas.</w:t>
      </w:r>
    </w:p>
    <w:p w:rsidR="005728DD" w:rsidRDefault="005728DD" w:rsidP="005728DD">
      <w:pPr>
        <w:pStyle w:val="TextoNormal"/>
      </w:pPr>
    </w:p>
    <w:p w:rsidR="005728DD" w:rsidRDefault="005728DD" w:rsidP="005728DD">
      <w:pPr>
        <w:pStyle w:val="TextoNormal"/>
      </w:pPr>
      <w:r>
        <w:t>Es por tanto la oportunidad de reordenar parcialmente la composición de la Comisión Delegada para Asuntos de Inteligencia con arreglo a las necesidades organizativas apreciadas la que justifica la extraordinaria y urgente necesidad de la aprobación del real decreto-ley impugnado, pues si bien es cierto que las comisiones delegadas del Gobierno son, en general, creadas y ordenadas mediante real decreto de Consejo de Ministros, a propuesta del Presidente del Gobierno, por así disponerlo el art. 6 de la Ley 50/1997, de 27 de noviembre, del Gobierno; la de asuntos de inteligencia ha sido excepcionalmente configurada directa y específicamente por el legislador en el artículo 6 de la Ley 11/2002, de 6 de mayo, reguladora del Centro Nacional de Inteligencia.</w:t>
      </w:r>
    </w:p>
    <w:p w:rsidR="005728DD" w:rsidRDefault="005728DD" w:rsidP="005728DD">
      <w:pPr>
        <w:pStyle w:val="TextoNormal"/>
      </w:pPr>
    </w:p>
    <w:p w:rsidR="005728DD" w:rsidRDefault="005728DD" w:rsidP="005728DD">
      <w:pPr>
        <w:pStyle w:val="TextoNormal"/>
      </w:pPr>
      <w:r>
        <w:t xml:space="preserve">Ello no ha sido óbice, sin embargo, para que la composición de la referida Comisión Delegada de Asuntos de Inteligencia haya sido configurada en el pasado a través de meros reales decretos por parte de Gobiernos anteriores. Así lo hizo, por ejemplo, el Real Decreto 1025/2011, de 15 de julio, por el que se establecen las comisiones delegadas del Gobierno que, bajo la Presidencia del señor Rodríguez Zapatero, renombró a los miembros de la comisión en función de la estructura ministerial del momento e incluyó en dicha comisión a nuevos miembros no previstos en la referida Ley de 2002 como era el director de Gabinete </w:t>
      </w:r>
      <w:r>
        <w:lastRenderedPageBreak/>
        <w:t>de la Presidencia del Gobierno, exactamente igual que hace el real decreto-ley ahora impugnado. Igualmente sucedió con el Real Decreto 1886/2011, de 30 de diciembre, por el que se establecen las Comisiones Delegadas del Gobierno, ya bajo la Presidencia del señor Rajoy, que hizo exactamente lo mismo.</w:t>
      </w:r>
    </w:p>
    <w:p w:rsidR="005728DD" w:rsidRDefault="005728DD" w:rsidP="005728DD">
      <w:pPr>
        <w:pStyle w:val="TextoNormal"/>
      </w:pPr>
    </w:p>
    <w:p w:rsidR="005728DD" w:rsidRDefault="005728DD" w:rsidP="005728DD">
      <w:pPr>
        <w:pStyle w:val="TextoNormal"/>
      </w:pPr>
      <w:r>
        <w:t>Ciertamente, cabría dudar de la constitucionalidad de una ley, la Ley 11/2002, que ha desconocido lo que la norma que regula y desarrolla la posición constitucional del Gobierno, la Ley 50/1997, ha dispuesto en relación con quién es el competente para determinar la composición de las comisiones delegadas, pues tal como recuerda el preámbulo de la referida Ley 50/1997, “el Gobierno no puede ser privado de sus características propias de origen constitucional si no es a través de una reforma de la Constitución (garantía institucional)”. Así, continua el preámbulo, “la potestad legislativa puede y debe operar autónomamente [en el ámbito del Gobierno] siempre y cuando no lleguen a infringirse principios o normas constitucionales”.</w:t>
      </w:r>
    </w:p>
    <w:p w:rsidR="005728DD" w:rsidRDefault="005728DD" w:rsidP="005728DD">
      <w:pPr>
        <w:pStyle w:val="TextoNormal"/>
      </w:pPr>
    </w:p>
    <w:p w:rsidR="005728DD" w:rsidRDefault="005728DD" w:rsidP="005728DD">
      <w:pPr>
        <w:pStyle w:val="TextoNormal"/>
      </w:pPr>
      <w:r>
        <w:t>Sin necesidad de tener que llegar tan lejos es indudable que el hecho de que el Real Decreto-ley 8/2020 se refiera a un ámbito que se encuadra en las funciones y potestades más directamente reconocidas al poder ejecutivo, como son las que se refieren a aspectos orgánicos, procedimentales o funcionales, me llevó a exponer en la deliberación la necesidad de que este tribunal abordase una reflexión en relación con el tipo de escrutinio que debemos realizar para determinar el cumplimiento del presupuesto de hecho habilitante exigido en el art. 86.1 CE cuando se trata de reales decretos-ley que regulan ámbitos directamente vinculados con las potestades, funciones y competencias específicas del Gobierno y de su presidente.</w:t>
      </w:r>
    </w:p>
    <w:p w:rsidR="005728DD" w:rsidRDefault="005728DD" w:rsidP="005728DD">
      <w:pPr>
        <w:pStyle w:val="TextoNormal"/>
      </w:pPr>
    </w:p>
    <w:p w:rsidR="005728DD" w:rsidRDefault="005728DD" w:rsidP="005728DD">
      <w:pPr>
        <w:pStyle w:val="TextoNormal"/>
      </w:pPr>
      <w:r>
        <w:t>Así, en efecto, tales potestades, funciones y competencias son, por un lado, el reflejo de reconocimiento constitucional de la posición constitucional del Gobierno que se realiza en el art. 97 CE, cuando se refiere a la dirección de la política interior y exterior, la administración civil y militar y la defensa del Estado y al ejercicio de la función ejecutiva y la potestad reglamentaria de acuerdo con la Constitución y las leyes y son, por otro, la manifestación de lo dispuesto en el art. 99 CE cuando establece que el Congreso de los Diputados dará su confianza al candidato que expone el programa político del Gobierno que pretenda formar.</w:t>
      </w:r>
    </w:p>
    <w:p w:rsidR="005728DD" w:rsidRDefault="005728DD" w:rsidP="005728DD">
      <w:pPr>
        <w:pStyle w:val="TextoNormal"/>
      </w:pPr>
    </w:p>
    <w:p w:rsidR="005728DD" w:rsidRDefault="005728DD" w:rsidP="005728DD">
      <w:pPr>
        <w:pStyle w:val="TextoNormal"/>
      </w:pPr>
      <w:r>
        <w:t>Es la Ley 50/1997, de 27 de noviembre, del Gobierno, —que desarrolla aquellos principios y criterios básicos recogidos en los arts. 97 y ss. de la Constitución de 1978, y que deben presidir el régimen jurídico del Gobierno— la que ha dispuesto en su art. 6 que “la creación, modificación y supresión de las comisiones delegadas del Gobierno será acordada por el Consejo de Ministros mediante real decreto, a propuesta del presidente del Gobierno”.</w:t>
      </w:r>
    </w:p>
    <w:p w:rsidR="005728DD" w:rsidRDefault="005728DD" w:rsidP="005728DD">
      <w:pPr>
        <w:pStyle w:val="TextoNormal"/>
      </w:pPr>
    </w:p>
    <w:p w:rsidR="005728DD" w:rsidRDefault="005728DD" w:rsidP="005728DD">
      <w:pPr>
        <w:pStyle w:val="TextoNormal"/>
      </w:pPr>
      <w:r>
        <w:t>Son por tanto aspectos fundamentales del funcionamiento del Gobierno los que, en principio se ha querido que sean decididos por el propio Gobierno, bajo la dirección de su presidente. Y entre los aspectos del funcionamiento del Gobierno se encuentran las referidas comisiones delegadas que de acuerdo con el art. 1 de la Ley 50/1997, del Gobierno, son órganos del Gobierno en cuanto dispone que “los miembros del Gobierno se reúnen en Consejo de Ministros y en Comisiones Delegadas del Gobierno”.</w:t>
      </w:r>
    </w:p>
    <w:p w:rsidR="005728DD" w:rsidRDefault="005728DD" w:rsidP="005728DD">
      <w:pPr>
        <w:pStyle w:val="TextoNormal"/>
      </w:pPr>
    </w:p>
    <w:p w:rsidR="005728DD" w:rsidRDefault="005728DD" w:rsidP="005728DD">
      <w:pPr>
        <w:pStyle w:val="TextoNormal"/>
      </w:pPr>
      <w:r>
        <w:lastRenderedPageBreak/>
        <w:t>Todo ello no es sino el reflejo del principio mismo de separación de poderes establecido en nuestra Constitución y que lleva a que, si es el Gobierno el que en virtud de la Constitución dirige la política interior y exterior, la administración civil y militar, debe ser, en principio, el Gobierno el que tome las decisiones sobre su organización, no pudiéndole ser tales decisiones totalmente sustraídas sin poner en cuestión la propia separación de poderes y la atribución constitucional de potestades y funciones.</w:t>
      </w:r>
    </w:p>
    <w:p w:rsidR="005728DD" w:rsidRDefault="005728DD" w:rsidP="005728DD">
      <w:pPr>
        <w:pStyle w:val="TextoNormal"/>
      </w:pPr>
    </w:p>
    <w:p w:rsidR="005728DD" w:rsidRDefault="005728DD" w:rsidP="005728DD">
      <w:pPr>
        <w:pStyle w:val="TextoNormal"/>
      </w:pPr>
      <w:r>
        <w:t>Así se ha venido entendiendo por parte de los diversos gobiernos anteriores que han procedido a determinar la composición de la Comisión Delegada para Asuntos de Inteligencia a través de meros reales decretos —así lo hicieron, reitero, los Reales Decretos 1025/2011, de 15 de julio, o 1886/2011, de 30 de diciembre, por el que se establecen las Comisiones Delegadas del Gobierno en aquel momento—, lo que no supone sino la confirmación de la interpretación que se sostiene en el presente voto particular.</w:t>
      </w:r>
    </w:p>
    <w:p w:rsidR="005728DD" w:rsidRDefault="005728DD" w:rsidP="005728DD">
      <w:pPr>
        <w:pStyle w:val="TextoNormal"/>
      </w:pPr>
    </w:p>
    <w:p w:rsidR="005728DD" w:rsidRDefault="005728DD" w:rsidP="005728DD">
      <w:pPr>
        <w:pStyle w:val="TextoNormal"/>
      </w:pPr>
      <w:r>
        <w:t>Ciertamente, la disposición final segunda del Real Decreto-ley 8/2020 aquí impugnada procede a modificar la composición de tal órgano colegiado del Gobierno, la Comisión Delegada para Asuntos de Inteligencia, mediante una norma con rango de ley por haber sido recurrido el real decreto inicial del actual Gobierno que le lleva a realizar tal modificación mediante la reforma de una norma parlamentaria en la que se dispone dicha composición, la Ley 11/2002.</w:t>
      </w:r>
    </w:p>
    <w:p w:rsidR="005728DD" w:rsidRDefault="005728DD" w:rsidP="005728DD">
      <w:pPr>
        <w:pStyle w:val="TextoNormal"/>
      </w:pPr>
    </w:p>
    <w:p w:rsidR="005728DD" w:rsidRDefault="005728DD" w:rsidP="005728DD">
      <w:pPr>
        <w:pStyle w:val="TextoNormal"/>
      </w:pPr>
      <w:r>
        <w:t>De aceptarse la constitucionalidad de la referida ley —cuestión que como ya hemos señalado podría llegar a ser controvertida, pues no es descartable considerar que la misma priva al Gobierno de aquellas características propias que se derivan del reconocimiento constitucional de sus funciones con violación de la separación de poderes— no cabría poner en cuestión el rango de la norma necesaria para acometer la modificación de la composición de tal comisión —no podría ser un mero real decreto tal como dispone el art 6 de la Ley del Gobierno, sino que habría de ser una norma con rango de ley, un real decreto-ley —, pero si cabría justificar que la extraordinaria y urgente necesidad del referido Real Decreto-ley 8/2020, consiste en la apreciación de que debe corresponder a un Gobierno que inicia su andadura decidir cuál deba ser la estructura y composición de las Comisiones delegadas del nuevo Gobierno, precisamente con la finalidad de que las mismas estén en condiciones de desarrollar sus funciones con arreglo a las necesidades organizativas apreciadas por aquel que tiene reconocida la potestad de dirección del mismo, el presidente del Gobierno. Máxime, además, reitero cuando se acaban de producir unas elecciones generales y la consiguiente investidura de un presidente del Gobierno que ha procedido a una profunda reestructuración de la estructura del Consejo de Ministros desencadenada por ser la primera vez en nuestro país que se constituye un Gobierno de coalición.</w:t>
      </w:r>
    </w:p>
    <w:p w:rsidR="005728DD" w:rsidRDefault="005728DD" w:rsidP="005728DD">
      <w:pPr>
        <w:pStyle w:val="TextoNormal"/>
      </w:pPr>
    </w:p>
    <w:p w:rsidR="005728DD" w:rsidRDefault="005728DD" w:rsidP="005728DD">
      <w:pPr>
        <w:pStyle w:val="TextoNormal"/>
      </w:pPr>
      <w:r>
        <w:t xml:space="preserve">Así, en ocasiones, la restructuración del Gobierno puede requerir modificaciones puntuales de normas legales —como es el presente supuesto que precisamente por ello ha sido abordada mediante un real decreto-ley—; pero en tales supuestos, por tratarse de modificaciones que se refieren al ámbito natural de potestad del propio Gobierno, y que no tienen efectos </w:t>
      </w:r>
      <w:r w:rsidRPr="005728DD">
        <w:rPr>
          <w:i/>
        </w:rPr>
        <w:t>ad extra</w:t>
      </w:r>
      <w:r>
        <w:t>, nuestro escrutinio del presupuesto de hecho habilitante debería adaptarse a tal circunstancia.</w:t>
      </w:r>
    </w:p>
    <w:p w:rsidR="005728DD" w:rsidRDefault="005728DD" w:rsidP="005728DD">
      <w:pPr>
        <w:pStyle w:val="TextoNormal"/>
      </w:pPr>
    </w:p>
    <w:p w:rsidR="005728DD" w:rsidRDefault="005728DD" w:rsidP="005728DD">
      <w:pPr>
        <w:pStyle w:val="TextoNormal"/>
      </w:pPr>
      <w:r>
        <w:t xml:space="preserve">El decreto-ley es ciertamente una disposición legislativa provisional extraordinaria (no ordinaria) que puede dictar el Gobierno en los casos y con los límites establecidos en el art. </w:t>
      </w:r>
      <w:r>
        <w:lastRenderedPageBreak/>
        <w:t>86.1 CE. Se trata de una excepción (prevista en la Constitución) a la atribución a las Cortes Generales de la potestad legislativa del Estado (art. 66.2 CE). Sin embargo, el rigor en el control a realizar por este tribunal puede verse modulado precisamente cuando nos encontremos ante la regulación de determinados contenidos que se vinculan con las potestades y funciones del propio Gobierno y de su presidente.</w:t>
      </w:r>
    </w:p>
    <w:p w:rsidR="005728DD" w:rsidRDefault="005728DD" w:rsidP="005728DD">
      <w:pPr>
        <w:pStyle w:val="TextoNormal"/>
      </w:pPr>
    </w:p>
    <w:p w:rsidR="005728DD" w:rsidRDefault="005728DD" w:rsidP="005728DD">
      <w:pPr>
        <w:pStyle w:val="TextoNormal"/>
      </w:pPr>
      <w:r>
        <w:t>3. Sin perjuicio de la consideración anterior, expresé una segunda discrepancia en relación con la apreciación de si se daba un supuesto, tal como se desprende de nuestra doctrina, que requiriese una acción normativa inmediata o que exigiese una rápida respuesta en un plazo más breve que el requerido por la vía normal o por el procedimiento de urgencia para la tramitación parlamentaria de las leyes, pues creo, como ya expuse en la deliberación, que este tribunal hubiera debido realizar una reflexión en relación acerca de cómo la crisis provocada por la pandemia del COVID-19 ha afectado a la acción normativa de las Cámaras.</w:t>
      </w:r>
    </w:p>
    <w:p w:rsidR="005728DD" w:rsidRDefault="005728DD" w:rsidP="005728DD">
      <w:pPr>
        <w:pStyle w:val="TextoNormal"/>
      </w:pPr>
    </w:p>
    <w:p w:rsidR="005728DD" w:rsidRDefault="005728DD" w:rsidP="005728DD">
      <w:pPr>
        <w:pStyle w:val="TextoNormal"/>
      </w:pPr>
      <w:r>
        <w:t>En efecto, es indudable que de nuestra norma fundamental se deriva la exigencia de que durante los estados de crisis recogidos en el artículo 116 CE el funcionamiento de las Cámaras, así como el de los demás poderes constitucionales del Estado, no pueda verse interrumpido (apartado 5 del referido art. 116 CE). Es, precisamente, la posibilidad de que se produzca una afección de los derechos fundamentales durante la vigencia de tales estados excepcionales lo que justifica que sean precisamente aquellos órganos donde toman asiento los representantes de los ciudadanos los que no puedan ver interrumpida sus funciones, tanto legislativas como de control, y fundamentalmente aquellas vinculadas con la situación de excepción.</w:t>
      </w:r>
    </w:p>
    <w:p w:rsidR="005728DD" w:rsidRDefault="005728DD" w:rsidP="005728DD">
      <w:pPr>
        <w:pStyle w:val="TextoNormal"/>
      </w:pPr>
    </w:p>
    <w:p w:rsidR="005728DD" w:rsidRDefault="005728DD" w:rsidP="005728DD">
      <w:pPr>
        <w:pStyle w:val="TextoNormal"/>
      </w:pPr>
      <w:r>
        <w:t>Sin embargo, esta exigencia constitucional de que no se produzca la interrupción en el funcionamiento de las Cámaras durante los estados de excepción no supone que tal funcionamiento, y sobre todo aquel vinculado con aspectos ordinarios no necesariamente relacionados con la situación de pandemia y sus efectos, no pueda verse de alguna manera afectado, que no interrumpido, por la referida situación. Así se corroboró con la suspensión del cómputo de los plazos reglamentarios que afectaban a las iniciativas que se encontraban en tramitación en el Congreso que se produjo por Acuerdo de la Mesa de 19 de marzo de 2020.</w:t>
      </w:r>
    </w:p>
    <w:p w:rsidR="005728DD" w:rsidRDefault="005728DD" w:rsidP="005728DD">
      <w:pPr>
        <w:pStyle w:val="TextoNormal"/>
      </w:pPr>
    </w:p>
    <w:p w:rsidR="005728DD" w:rsidRDefault="005728DD" w:rsidP="005728DD">
      <w:pPr>
        <w:pStyle w:val="TextoNormal"/>
      </w:pPr>
      <w:r>
        <w:t>Por tanto, en el presente supuesto cabría plantearse si las circunstancias existentes en el momento de dictarse la disposición final segunda del Real Decreto-ley 8/2020 —el 17 de marzo de 2020, por tanto, en pleno estado de alarma declarado apenas tres días antes por el Real Decreto 463/2020, de 14 de marzo— justificaban la utilización de la norma excepcional para adecuar de modo inmediato la acción gubernamental mediante la reforma de la composición de la referida comisión delegada, ante la ralentización de la actividad legislativa ordinaria como consecuencia de la declaración del estado de alarma para hacer frente a la crisis provocada por la pandemia del COVID-19, crisis que manifiestamente era una circunstancia difícil o imposible de prever.</w:t>
      </w:r>
    </w:p>
    <w:p w:rsidR="005728DD" w:rsidRDefault="005728DD" w:rsidP="005728DD">
      <w:pPr>
        <w:pStyle w:val="TextoNormal"/>
      </w:pPr>
    </w:p>
    <w:p w:rsidR="005728DD" w:rsidRDefault="005728DD" w:rsidP="005728DD">
      <w:pPr>
        <w:pStyle w:val="TextoNormal"/>
      </w:pPr>
      <w:r>
        <w:t>Es indudable que la situación de pandemia no interrumpe, pues no podría, las funciones de las Cámaras, pero es indudable también que sí puede ralentizar aquellos procedimientos legislativos que no se encuentran más directamente vinculadas con la propia situación excepcional y sus consecuencias.</w:t>
      </w:r>
    </w:p>
    <w:p w:rsidR="005728DD" w:rsidRDefault="005728DD" w:rsidP="005728DD">
      <w:pPr>
        <w:pStyle w:val="TextoNormal"/>
      </w:pPr>
    </w:p>
    <w:p w:rsidR="005728DD" w:rsidRDefault="005728DD" w:rsidP="005728DD">
      <w:pPr>
        <w:pStyle w:val="TextoNormal"/>
      </w:pPr>
      <w:r>
        <w:lastRenderedPageBreak/>
        <w:t>Considerar que es posible, e incluso conveniente, que las Cámaras sigan actuando con normalidad, mediante el procedimiento ordinario o incluso mediante el procedimiento de urgencia, en la tramitación de leyes que no se vinculan con la situación excepcional e incluso que no tienen efectos inmediatos sobre los ciudadanos —como es el caso del presente real decreto-ley que se refiere a una materia de organización interna del Gobierno—, supone interpretar, desconociendo la realidad de la situación creada por la pandemia, que la situación excepcional no podría, bajo ninguna circunstancia, ralentizar ese normal funcionamiento de las instituciones parlamentarias. Ralentización que considero, sin embargo, que si bien en ningún caso sería posible que afectase a las funciones de la Cámara relacionadas con la situación excepcional, sí podría ser posible, e incluso conveniente, en relación con aquellos supuestos no vinculados con aquella.</w:t>
      </w:r>
    </w:p>
    <w:p w:rsidR="005728DD" w:rsidRDefault="005728DD" w:rsidP="005728DD">
      <w:pPr>
        <w:pStyle w:val="TextoNormal"/>
      </w:pPr>
    </w:p>
    <w:p w:rsidR="005728DD" w:rsidRDefault="005728DD" w:rsidP="005728DD">
      <w:pPr>
        <w:pStyle w:val="TextoNormal"/>
      </w:pPr>
      <w:r>
        <w:t>Sobre este tipo de supuestos si cabría considerar posible una ralentización de la actividad ordinaria de las Cámaras derivada de la pandemia del COVID-19, que requiriese, sin embargo, una acción normativa rápida mediante un real decreto-ley que efectivamente no pretende otra cosa que conformar un órgano del Gobierno, una comisión delegada, una vez se ha producido el nombramiento de un nuevo Gobierno surgido de las elecciones generales.</w:t>
      </w:r>
    </w:p>
    <w:p w:rsidR="005728DD" w:rsidRDefault="005728DD" w:rsidP="005728DD">
      <w:pPr>
        <w:pStyle w:val="TextoNormal"/>
      </w:pPr>
    </w:p>
    <w:p w:rsidR="005728DD" w:rsidRDefault="005728DD" w:rsidP="005728DD">
      <w:pPr>
        <w:pStyle w:val="TextoNormal"/>
      </w:pPr>
      <w:r>
        <w:t>4. Finalmente, y tal y como expuse en la deliberación, no puedo dejar de manifestar mi sorpresa al examinar el contraste entre la flexibilidad en el control del presupuesto de hecho habilitante que este mismo tribunal ha aplicado sobre aquellos reales decretos-leyes restrictivos de derechos que se dictaron bajo una situación de crisis económica y la rigidez que se observa ahora en el control del presupuesto de hecho habilitante de los reales decretos-leyes dictados en materia de autoorganización del Gobierno bajo una situación de pandemia.</w:t>
      </w:r>
    </w:p>
    <w:p w:rsidR="005728DD" w:rsidRDefault="005728DD" w:rsidP="005728DD">
      <w:pPr>
        <w:pStyle w:val="TextoNormal"/>
      </w:pPr>
    </w:p>
    <w:p w:rsidR="005728DD" w:rsidRDefault="005728DD" w:rsidP="005728DD">
      <w:pPr>
        <w:pStyle w:val="TextoNormal"/>
      </w:pPr>
      <w:r>
        <w:t>El aumento de la competitividad y el fomento del funcionamiento eficiente de los mercados justificaron para este tribunal la adopción en su día de todo tipo de medidas restrictivas de derechos sociales mediante la normativa gubernamental de urgencia. Prácticamente cualquier medida que se afirmase que favorecía la recuperación económica se consideraba por este tribunal que cumplía con el requisito de la urgencia. Así, y a mero título de ejemplo, este tribunal ha considerado que concurría el presupuesto de hecho habilitante en: la STC 199/2015, en la que se procedió al control de un Real Decreto-ley ómnibus, el 8/2014, que contenía nada menos que más de un centenar de artículos sobre las más diversas materias económicas; las SSTC 156/2015 y 119/2016, donde se trataba de controlar el Real Decreto-ley 20/2012, que recogía medidas restrictivas de determinados derechos de los funcionarios, así como medidas de liberalización en materia de horarios comerciales; las SSTC 26/2016, 67/2016 y 84/2016 en las que este tribunal examinó el cumplimiento del presupuesto de hecho habilitante por el Real Decreto-ley 14/2012, de 20 de abril, que recortaba el gasto educativo afectando a la calidad de la enseñanza; o finalmente las SSTC 139/2016, 183/2016, 33/2017, 63/2017 y 64/2017, en las que se impugnaba el Real Decreto-ley 16/2012, de 20 de abril, que cambió nuestro sistema de salud de un sistema universal a un sistema de aseguramiento, además de proceder al recorte de prestaciones y derechos.</w:t>
      </w:r>
    </w:p>
    <w:p w:rsidR="005728DD" w:rsidRDefault="005728DD" w:rsidP="005728DD">
      <w:pPr>
        <w:pStyle w:val="TextoNormal"/>
      </w:pPr>
    </w:p>
    <w:p w:rsidR="005728DD" w:rsidRDefault="005728DD" w:rsidP="005728DD">
      <w:pPr>
        <w:pStyle w:val="TextoNormal"/>
      </w:pPr>
      <w:r>
        <w:t xml:space="preserve">En todas estas sentencias se planteó ante este tribunal la necesidad de controlar unas normas con rango de ley de gran calado dictadas por el Gobierno con evidentes efectos sobre la vida de los ciudadanos y concluimos que, sin necesidad de efectuar un juicio político que este tribunal tiene vedado, se había cumplido el presupuesto de hecho habilitante </w:t>
      </w:r>
      <w:r>
        <w:lastRenderedPageBreak/>
        <w:t>con fundamento en la concreta coyuntura económica y en la necesidad de propiciar el crecimiento de la productividad y la competencia.</w:t>
      </w:r>
    </w:p>
    <w:p w:rsidR="005728DD" w:rsidRDefault="005728DD" w:rsidP="005728DD">
      <w:pPr>
        <w:pStyle w:val="TextoNormal"/>
      </w:pPr>
    </w:p>
    <w:p w:rsidR="005728DD" w:rsidRDefault="005728DD" w:rsidP="005728DD">
      <w:pPr>
        <w:pStyle w:val="TextoNormal"/>
      </w:pPr>
      <w:r>
        <w:t>Ahora se nos plantea el control de diversas normas en las que un Gobierno recién investido pretende acomodar su propia organización interna en plena situación de pandemia y el tribunal no tiene en cuenta, sin embargo, tales circunstancias a la hora de valorar la concurrencia del presupuesto de hecho habilitante.</w:t>
      </w:r>
    </w:p>
    <w:p w:rsidR="005728DD" w:rsidRDefault="005728DD" w:rsidP="005728DD">
      <w:pPr>
        <w:pStyle w:val="TextoNormal"/>
      </w:pPr>
    </w:p>
    <w:p w:rsidR="005728DD" w:rsidRDefault="005728DD" w:rsidP="005728DD">
      <w:pPr>
        <w:pStyle w:val="TextoNormal"/>
      </w:pPr>
      <w:r>
        <w:t>5. Recapitulando, en primer lugar, la sentencia de la mayoría no ha tenido en cuenta la necesidad de respetar aquellas potestades que nuestro ordenamiento ha atribuido ordinariamente al Gobierno y al presidente del Gobierno en materia de organización de su gabinete. Las modificaciones abordadas por las disposiciones impugnadas se enmarcan en un proceso de reestructuración del Gobierno que corresponde impulsar a su presidente. Si de tal reestructuración se deriva la necesidad de realizar determinadas modificaciones legales, el instrumento del que dispone el Gobierno para llevarla a cabo es el real decreto-ley, y nuestro escrutinio del presupuesto de hecho habilitante debería haber tenido en cuenta la referida posición constitucional del Gobierno.</w:t>
      </w:r>
    </w:p>
    <w:p w:rsidR="005728DD" w:rsidRDefault="005728DD" w:rsidP="005728DD">
      <w:pPr>
        <w:pStyle w:val="TextoNormal"/>
      </w:pPr>
    </w:p>
    <w:p w:rsidR="005728DD" w:rsidRDefault="005728DD" w:rsidP="005728DD">
      <w:pPr>
        <w:pStyle w:val="TextoNormal"/>
      </w:pPr>
      <w:r>
        <w:t>En segundo lugar, la sentencia de la mayoría admite la necesidad de la reforma abordada por la disposición del real decreto-ley impugnada, pero rechaza su urgencia, para lo cual no entra a valorar el argumento de que la posibilidad de modificar con cierta celeridad la composición de la comisión delegada a través del procedimiento legislativo se había visto radicalmente alterada por la crisis sanitaria provocada por el COVID-19 en la que se habrían centrado los esfuerzos de la acción del Gobierno desde entonces. Sin embargo, considero que era razonable sostener que, una vez desencadenada la pandemia, esos cambios normativos en materia de organización del nuevo Gobierno, que la sentencia de la mayoría no niega que sean necesarios, tendrían una mayor dificultad para ser aprobados en un plazo razonable mediante los procedimientos parlamentarios.</w:t>
      </w:r>
    </w:p>
    <w:p w:rsidR="005728DD" w:rsidRDefault="005728DD" w:rsidP="005728DD">
      <w:pPr>
        <w:pStyle w:val="TextoNormal"/>
      </w:pPr>
    </w:p>
    <w:p w:rsidR="005728DD" w:rsidRDefault="005728DD" w:rsidP="005728DD">
      <w:pPr>
        <w:pStyle w:val="TextoNormal"/>
      </w:pPr>
      <w:r>
        <w:t>En definitiva, considero manifiestamente desproporcionado que este tribunal exija que si el presidente del Gobierno estima necesario estar representado en una comisión relevante de su propio Gobierno por el jefe de Gabinete de la Presidencia en lugar de por su secretario general, —como así lo estimaron en el pasado otros presidentes que procedieron a adoptar por mero real decreto la composición de esa misma Comisión Delegada para Asuntos de Inteligencia— deba obligatoriamente promover una reforma legislativa, máxime en un momento de crisis sanitaria muy grave, en el que el Parlamento tiene otras cuestiones perentorias que atender. Y lo mismo puede decirse si lo que la necesidad política exige es la incorporación a una determinada comisión delegada relevante de un vicepresidente del Gobierno que permita estar representada en la comisión, desde la constitución del Gobierno, a la fuerza política que complementa el Gobierno de coalición legítimamente investido por el Parlamento de la Nación.</w:t>
      </w:r>
    </w:p>
    <w:p w:rsidR="005728DD" w:rsidRDefault="005728DD" w:rsidP="005728DD">
      <w:pPr>
        <w:pStyle w:val="TextoNormal"/>
      </w:pPr>
    </w:p>
    <w:p w:rsidR="005728DD" w:rsidRDefault="005728DD" w:rsidP="005728DD">
      <w:pPr>
        <w:pStyle w:val="TextoNormal"/>
      </w:pPr>
      <w:r>
        <w:t>Madrid, a trece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4" w:name="SENTENCIA_2021_111"/>
      <w:r>
        <w:lastRenderedPageBreak/>
        <w:t>SENTENCIA 111/2021, de 13 de mayo de 2021</w:t>
      </w:r>
    </w:p>
    <w:bookmarkEnd w:id="114"/>
    <w:p w:rsidR="005728DD" w:rsidRDefault="005728DD" w:rsidP="005728DD">
      <w:pPr>
        <w:pStyle w:val="TtuloResolucin"/>
      </w:pPr>
      <w:r>
        <w:t>Pleno</w:t>
      </w:r>
    </w:p>
    <w:p w:rsidR="005728DD" w:rsidRDefault="005728DD" w:rsidP="005728DD">
      <w:pPr>
        <w:pStyle w:val="TtuloBOE"/>
      </w:pPr>
      <w:r>
        <w:t>(BOE núm. 142, de 15 de junio de 2021)</w:t>
      </w:r>
    </w:p>
    <w:p w:rsidR="005728DD" w:rsidRDefault="005728DD" w:rsidP="005728DD">
      <w:pPr>
        <w:pStyle w:val="TextoNormalCentrado"/>
      </w:pPr>
      <w:r>
        <w:t>ECLI:ES:TC:2021:111</w:t>
      </w:r>
    </w:p>
    <w:p w:rsidR="005728DD" w:rsidRDefault="005728DD" w:rsidP="005728DD">
      <w:pPr>
        <w:pStyle w:val="TextoNormalCentrado"/>
      </w:pPr>
    </w:p>
    <w:p w:rsidR="005728DD" w:rsidRDefault="005728DD" w:rsidP="005728DD">
      <w:pPr>
        <w:pStyle w:val="SntesisDescriptiva"/>
      </w:pPr>
      <w:r>
        <w:t>Recurso de inconstitucionalidad 2295-2020. Interpuesto por más de cincuenta senadores del Grupo Parlamentario Popular en relación con diversas disposiciones del Real Decreto-ley 15/2020, de 21 de abril, de medidas urgentes complementarias para apoyar la economía y el empleo.</w:t>
      </w:r>
    </w:p>
    <w:p w:rsidR="005728DD" w:rsidRDefault="005728DD" w:rsidP="005728DD">
      <w:pPr>
        <w:pStyle w:val="SntesisDescriptiva"/>
      </w:pPr>
    </w:p>
    <w:p w:rsidR="005728DD" w:rsidRDefault="005728DD" w:rsidP="005728DD">
      <w:pPr>
        <w:pStyle w:val="SntesisAnaltica"/>
      </w:pPr>
      <w:r>
        <w:t>Límites materiales de los decretos leyes: nulidad de los preceptos que modifican el régimen de gestión de clases pasivas. Voto particular.</w:t>
      </w:r>
    </w:p>
    <w:p w:rsidR="005728DD" w:rsidRDefault="005728DD" w:rsidP="005728DD">
      <w:pPr>
        <w:pStyle w:val="SntesisAnaltica"/>
      </w:pPr>
    </w:p>
    <w:p w:rsidR="005728DD" w:rsidRDefault="005728DD" w:rsidP="005728DD">
      <w:pPr>
        <w:pStyle w:val="Extracto"/>
      </w:pPr>
      <w:r>
        <w:t>1.</w:t>
      </w:r>
      <w:r>
        <w:tab/>
        <w:t>Al decreto-ley le está vedada la afectación de las materias enunciadas en el art. 86.1 CE; sin que dicha afectación sea, sin embargo, el único límite sustantivo al que la Constitución somete a los decretos-leyes, pues sobre estos opera también el conjunto de reservas establecidas por el constituyente respecto de determinadas materias y en beneficio de específicas formas y procedimientos (STC 155/2005) [FJ 3].</w:t>
      </w:r>
    </w:p>
    <w:p w:rsidR="005728DD" w:rsidRDefault="005728DD" w:rsidP="005728DD">
      <w:pPr>
        <w:pStyle w:val="Extracto"/>
      </w:pPr>
    </w:p>
    <w:p w:rsidR="005728DD" w:rsidRDefault="005728DD" w:rsidP="005728DD">
      <w:pPr>
        <w:pStyle w:val="Extracto"/>
      </w:pPr>
      <w:r>
        <w:t>2.</w:t>
      </w:r>
      <w:r>
        <w:tab/>
        <w:t>Sin pretensión de exclusividad, entre las reservas o límites materiales implícitos a la utilización de la figura del decreto-ley figuran los previstos en el art. 82 CE (leyes de delegación); art. 92 CE (autorización por el Congreso del referéndum consultivo); art. 93 CE (autorización por ley orgánica para la celebración de determinados tratados); art. 94.1 CE (autorización por las Cortes Generales para la prestación de consentimiento por el Estado para obligarse por medio de determinados tratados); art. 116 CE (autorización, declaración y prórroga, según los casos, de los estados de alarma, excepción y sitio); art. 134 CE (presupuestos generales del Estado) y art. 135.3 CE (autorización por ley para emitir deuda pública) [FJ 3].</w:t>
      </w:r>
    </w:p>
    <w:p w:rsidR="005728DD" w:rsidRDefault="005728DD" w:rsidP="005728DD">
      <w:pPr>
        <w:pStyle w:val="Extracto"/>
      </w:pPr>
    </w:p>
    <w:p w:rsidR="005728DD" w:rsidRDefault="005728DD" w:rsidP="005728DD">
      <w:pPr>
        <w:pStyle w:val="Extracto"/>
      </w:pPr>
      <w:r>
        <w:t>3.</w:t>
      </w:r>
      <w:r>
        <w:tab/>
        <w:t>Con la salvedad de los límites materiales, expresos o implícitos, señalados por la propia Constitución, un decreto-ley puede abarcar cualquier contenido y esa regulación será constitucionalmente legítima siempre que se cumpla el presupuesto habilitante de la extraordinaria y urgente necesidad [FJ 3].</w:t>
      </w:r>
    </w:p>
    <w:p w:rsidR="005728DD" w:rsidRDefault="005728DD" w:rsidP="005728DD">
      <w:pPr>
        <w:pStyle w:val="Extracto"/>
      </w:pPr>
    </w:p>
    <w:p w:rsidR="005728DD" w:rsidRDefault="005728DD" w:rsidP="005728DD">
      <w:pPr>
        <w:pStyle w:val="Extracto"/>
      </w:pPr>
      <w:r>
        <w:t>4.</w:t>
      </w:r>
      <w:r>
        <w:tab/>
        <w:t xml:space="preserve">La modificación organizativa de la gestión del régimen de clases pasivas no afecta a ninguna de las materias constitucionalmente sustraídas al decreto-ley,  ni cabe apreciar, en consecuencia, quebranto alguno del principio de seguridad jurídica que consagra el art. 9.3 CE  [FJ 3]. </w:t>
      </w:r>
    </w:p>
    <w:p w:rsidR="005728DD" w:rsidRDefault="005728DD" w:rsidP="005728DD">
      <w:pPr>
        <w:pStyle w:val="Extracto"/>
      </w:pPr>
    </w:p>
    <w:p w:rsidR="005728DD" w:rsidRDefault="005728DD" w:rsidP="005728DD">
      <w:pPr>
        <w:pStyle w:val="Extracto"/>
      </w:pPr>
      <w:r>
        <w:t>5.</w:t>
      </w:r>
      <w:r>
        <w:tab/>
        <w:t>La utilización del real decreto-ley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en un plazo más breve que el requerido por la vía normal o por el procedimiento de urgencia para la tramitación parlamentaria de las leyes (SSTC 6/1983, 31/2011 o 100/2012) [FJ 4].</w:t>
      </w:r>
    </w:p>
    <w:p w:rsidR="005728DD" w:rsidRDefault="005728DD" w:rsidP="005728DD">
      <w:pPr>
        <w:pStyle w:val="Extracto"/>
      </w:pPr>
    </w:p>
    <w:p w:rsidR="005728DD" w:rsidRDefault="005728DD" w:rsidP="005728DD">
      <w:pPr>
        <w:pStyle w:val="Extracto"/>
      </w:pPr>
      <w:r>
        <w:t>6.</w:t>
      </w:r>
      <w:r>
        <w:tab/>
        <w:t>La extraordinaria y urgente necesidad a que alude el art. 86.1 CE supone un requisito o presupuesto habilitante de inexcusable concurrencia para que el Gobierno pueda dictar normas con rango de ley, lo que se erige en auténtico límite jurídico de la actuación gubernamental mediante decretos-leyes. Tal actuación está sujeta, en consecuencia, al control de este Tribunal, al que compete asegurar que los poderes públicos se mueven dentro del marco trazado por la Constitución (SSTC 100/2012, 26/2016 o 125/2016) [FJ 4].</w:t>
      </w:r>
    </w:p>
    <w:p w:rsidR="005728DD" w:rsidRDefault="005728DD" w:rsidP="005728DD">
      <w:pPr>
        <w:pStyle w:val="Extracto"/>
      </w:pPr>
    </w:p>
    <w:p w:rsidR="005728DD" w:rsidRDefault="005728DD" w:rsidP="005728DD">
      <w:pPr>
        <w:pStyle w:val="Extracto"/>
      </w:pPr>
      <w:r>
        <w:t>7.</w:t>
      </w:r>
      <w:r>
        <w:tab/>
        <w:t>La fiscalización que este tribunal puede llevar a cabo en relación con el presupuesto habilitante del decreto-ley consiste en un control jurisdiccional externo, en el sentido de que debe verificar, pero no sustituir, el juicio político o de oportunidad que corresponde al Gobierno; dicho control requiere el análisis de dos aspectos: comprobar si el Gobierno ha explicitado los motivos que ha tenido en cuenta para la aprobación del decreto-ley; y verificar la existencia de una necesaria conexión entre la situación de urgencia definida y la medida concreta adoptada para subvenir a ella (STC 142/2014) [FJ 4].</w:t>
      </w:r>
    </w:p>
    <w:p w:rsidR="005728DD" w:rsidRDefault="005728DD" w:rsidP="005728DD">
      <w:pPr>
        <w:pStyle w:val="Extracto"/>
      </w:pPr>
    </w:p>
    <w:p w:rsidR="005728DD" w:rsidRDefault="005728DD" w:rsidP="005728DD">
      <w:pPr>
        <w:pStyle w:val="Extracto"/>
      </w:pPr>
      <w:r>
        <w:t>8.</w:t>
      </w:r>
      <w:r>
        <w:tab/>
        <w:t>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el preámbulo del decreto-ley, en el debate parlamentario de convalidación y en el propio expediente de elaboración de la norma (SSTC 29/1982 o 137/2003) [FJ 4].</w:t>
      </w:r>
    </w:p>
    <w:p w:rsidR="005728DD" w:rsidRDefault="005728DD" w:rsidP="005728DD">
      <w:pPr>
        <w:pStyle w:val="Extracto"/>
      </w:pPr>
    </w:p>
    <w:p w:rsidR="005728DD" w:rsidRDefault="005728DD" w:rsidP="005728DD">
      <w:pPr>
        <w:pStyle w:val="Extracto"/>
      </w:pPr>
      <w:r>
        <w:t>9.</w:t>
      </w:r>
      <w:r>
        <w:tab/>
        <w:t>Cuando lo que se discute no es la concurrencia del presupuesto habilitante del correspondiente decreto-ley en su conjunto, sino de singulares disposiciones del mismo, en el caso de los decretos-leyes “transversales”, dictados ante coyunturas económicas problemáticas (STC 199/2015); y la necesaria justificación de la extraordinaria y urgente necesidad (art. 86.1 CE) ha de ser verificada en relación precisamente con los preceptos en concreto impugnados (SSTC 31/2011 o 150/2017) [FJ 4].</w:t>
      </w:r>
    </w:p>
    <w:p w:rsidR="005728DD" w:rsidRDefault="005728DD" w:rsidP="005728DD">
      <w:pPr>
        <w:pStyle w:val="Extracto"/>
      </w:pPr>
    </w:p>
    <w:p w:rsidR="005728DD" w:rsidRDefault="005728DD" w:rsidP="005728DD">
      <w:pPr>
        <w:pStyle w:val="Extracto"/>
      </w:pPr>
      <w:r>
        <w:t>10.</w:t>
      </w:r>
      <w:r>
        <w:tab/>
        <w:t>No se alcanza a comprender qué razonable conexión de sentido pudiera existir entre las consecuencias sociales y económicas provocadas a raíz de la pandemia del COVID-19 y la reorganización administrativa del régimen de clases pasivas, lo que conduce a rechazar que se haya producido la exigible justificación objetiva de la extraordinaria y urgente necesidad  para su regulación a través de la figura normativa del decreto-ley [FJ 6].</w:t>
      </w:r>
    </w:p>
    <w:p w:rsidR="005728DD" w:rsidRDefault="005728DD" w:rsidP="005728DD">
      <w:pPr>
        <w:pStyle w:val="Extracto"/>
      </w:pPr>
    </w:p>
    <w:p w:rsidR="005728DD" w:rsidRDefault="005728DD" w:rsidP="005728DD">
      <w:pPr>
        <w:pStyle w:val="Extracto"/>
      </w:pPr>
      <w:r>
        <w:t>11.</w:t>
      </w:r>
      <w:r>
        <w:tab/>
        <w:t xml:space="preserve">El Real Decreto-ley 13/2010 dispuso la inclusión en el régimen general de la seguridad social de los funcionarios públicos de nuevo ingreso a partir del 1 de enero de 2011 y con vigencia indefinida; así, quedaron incluidos en el régimen general de la seguridad social, gestionado por el INSS, con la particularidad de que para estos funcionarios se mantiene la acción protectora del mutualismo administrativo correspondiente. El régimen de clases pasivas se convirtió así a partir del año 2011 en un régimen a extinguir de forma progresiva -los funcionarios ingresados antes de esa fecha permanecen incluidos en el ámbito de cobertura de este régimen-, </w:t>
      </w:r>
      <w:r>
        <w:lastRenderedPageBreak/>
        <w:t>cuya gestión seguía atribuida al Ministerio de Hacienda (al Ministerio de Defensa en el caso de los funcionarios militares) [FJ 7].</w:t>
      </w:r>
    </w:p>
    <w:p w:rsidR="005728DD" w:rsidRDefault="005728DD" w:rsidP="005728DD">
      <w:pPr>
        <w:pStyle w:val="Extracto"/>
      </w:pPr>
    </w:p>
    <w:p w:rsidR="005728DD" w:rsidRDefault="005728DD" w:rsidP="005728DD">
      <w:pPr>
        <w:pStyle w:val="Extracto"/>
      </w:pPr>
      <w:r>
        <w:t>12.</w:t>
      </w:r>
      <w:r>
        <w:tab/>
        <w:t>En cuanto a las razones de certidumbre y de seguridad jurídica pueden servir para justificar las concretas medidas adoptadas, pero no su urgencia y necesidad o, en otras palabras, no la sustracción de esta ordenación al procedimiento parlamentario ordinario, a riesgo de poder excluir del procedimiento legislativo ordinario toda decisión que comportara un beneficio para sus destinatarios (STC 68/2007). No se alcanza a comprender por qué una dilación en el traspaso de la gestión del régimen de clases pasivas entre Ministerios habría de generar “inseguridad jurídica e incertidumbre en una materia, las pensiones, particularmente sensible para el conjunto de la ciudadanía” [FJ 7].</w:t>
      </w:r>
    </w:p>
    <w:p w:rsidR="005728DD" w:rsidRDefault="005728DD" w:rsidP="005728DD">
      <w:pPr>
        <w:pStyle w:val="Extracto"/>
      </w:pPr>
    </w:p>
    <w:p w:rsidR="005728DD" w:rsidRDefault="005728DD" w:rsidP="005728DD">
      <w:pPr>
        <w:pStyle w:val="Extracto"/>
      </w:pPr>
      <w:r>
        <w:t>13.</w:t>
      </w:r>
      <w:r>
        <w:tab/>
        <w:t>La acomodación de la regulación del régimen de clases pasivas al traspaso de la gestión de este régimen al INSS, supone que las pensiones sean reconocidas y abonadas por entidad pública distinta, lo que a los pensionistas en nada les afecta; así, no se aprecia que el Gobierno se estuviera enfrentando a una situación de excepcionalidad, gravedad, relevancia e imprevisibilidad que determinara la necesidad de una acción normativa inmediata en un plazo más breve que el requerido para la tramitación parlamentaria de las leyes [FJ 7].</w:t>
      </w:r>
    </w:p>
    <w:p w:rsidR="005728DD" w:rsidRDefault="005728DD" w:rsidP="005728DD">
      <w:pPr>
        <w:pStyle w:val="Extracto"/>
      </w:pPr>
    </w:p>
    <w:p w:rsidR="005728DD" w:rsidRDefault="005728DD" w:rsidP="005728DD">
      <w:pPr>
        <w:pStyle w:val="Extracto"/>
      </w:pPr>
      <w:r>
        <w:t>14.</w:t>
      </w:r>
      <w:r>
        <w:tab/>
        <w:t>El mero deseo o interés del Gobierno en la inmediata entrada en vigor de la reforma normativa no constituye una justificación de su extraordinaria y urgente necesidad (STC 68/2007) [FJ 7].</w:t>
      </w:r>
    </w:p>
    <w:p w:rsidR="005728DD" w:rsidRDefault="005728DD" w:rsidP="005728DD">
      <w:pPr>
        <w:pStyle w:val="Extracto"/>
      </w:pPr>
    </w:p>
    <w:p w:rsidR="005728DD" w:rsidRDefault="005728DD" w:rsidP="005728DD">
      <w:pPr>
        <w:pStyle w:val="Extracto"/>
      </w:pPr>
      <w:r>
        <w:t>15.</w:t>
      </w:r>
      <w:r>
        <w:tab/>
        <w:t>La opción por el empleo de una concreta técnica o formulación normativa, existiendo otras que no obstaculizan el cumplimiento de los objetivos de la medida, no permite sacrificar la posición institucional del poder legislativo; el art. 86.1 CE condiciona tal sacrificio a la satisfacción de una necesidad extraordinaria y urgente, pero no al designio de “abreviar el proceso”, que no es el fundamento de la potestad legislativa extraordinaria del Gobierno (STC 125/2016) [FJ 7].</w:t>
      </w:r>
    </w:p>
    <w:p w:rsidR="005728DD" w:rsidRDefault="005728DD" w:rsidP="005728DD">
      <w:pPr>
        <w:pStyle w:val="Extracto"/>
      </w:pPr>
    </w:p>
    <w:p w:rsidR="005728DD" w:rsidRDefault="005728DD" w:rsidP="005728DD">
      <w:pPr>
        <w:pStyle w:val="Extracto"/>
      </w:pPr>
      <w:r>
        <w:t>16.</w:t>
      </w:r>
      <w:r>
        <w:tab/>
        <w:t>Las circunstancias a las que se refiere el art. 86.1 CE no se definen o determinan a voluntad, so pena de devaluar y vaciar de contenido este precepto constitucional, de modo que el empleo del decreto-ley únicamente se justifica en casos objetivos de urgente y extraordinaria necesidad, esto es, ante coyunturas en las que se haga presente la exigencia de una intervención normativa inmediata, solo atendible mediante esa disposición legislativa provisional; la simple conveniencia de contar, lo antes posible, con la norma que el Gobierno estime oportuna no justifica el desplazamiento de la potestad legislativa de las Cortes Generales (art. 66.2 CE) y, con ello, de la intervención de las minorías en el procedimiento legislativo parlamentario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 xml:space="preserve">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w:t>
      </w:r>
      <w:r>
        <w:lastRenderedPageBreak/>
        <w:t>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2295-2020, promovido por más de cincuenta senadores del Grupo Parlamentario Popular del Senado, contra diversas disposiciones del Real Decreto-ley 15/2020, de 21 de abril, de medidas urgentes complementarias para apoyar la economía y el empleo. Ha intervenido el abogado del Estado. Ha sido ponente el magistrado don Andrés Ollero Tassara.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Con fecha 5 de junio de 2020 tuvo entrada en el registro de este tribunal el recurso de inconstitucionalidad presentado por más de cincuenta senadores del Grupo Parlamentario Popular del Senado contra las disposiciones adicionales sexta y séptima, la disposición transitoria segunda y la disposición final primera del Real Decreto-ley 15/2020, de 21 de abril, de medidas urgentes complementarias para apoyar la economía y el empleo, publicado en el “Boletín Oficial del Estado” núm. 112, de 22 de abril, y convalidado por acuerdo del Congreso de los Diputados de 13 de mayo de 2020, publicado en el “Boletín Oficial del Estado” núm. 136, de 15 de mayo.</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se fundamenta en las siguientes alegaciones.</w:t>
      </w:r>
    </w:p>
    <w:p w:rsidR="005728DD" w:rsidRDefault="005728DD" w:rsidP="005728DD">
      <w:pPr>
        <w:pStyle w:val="TextoNormal"/>
      </w:pPr>
    </w:p>
    <w:p w:rsidR="005728DD" w:rsidRDefault="005728DD" w:rsidP="005728DD">
      <w:pPr>
        <w:pStyle w:val="TextoNormal"/>
      </w:pPr>
      <w:r>
        <w:t>a) El Real Decreto-ley 15/2020, de 21 de abril, dictado durante la vigencia del estado de alarma declarado por Real Decreto 463/2020, de 14 de marzo, y sucesivamente prorrogado, contiene medidas para reducir los costes de pymes y autónomos (capítulo I), medidas para reforzar la financiación empresarial (capítulo II), medidas fiscales (capítulo III) y medidas para facilitar el ajuste de la economía y proteger el empleo (capítulo IV), junto a otras medidas de protección de los ciudadanos, todas ellas en el marco de la crisis sanitaria sin precedentes generada por la pandemia del COVID-19.</w:t>
      </w:r>
    </w:p>
    <w:p w:rsidR="005728DD" w:rsidRDefault="005728DD" w:rsidP="005728DD">
      <w:pPr>
        <w:pStyle w:val="TextoNormal"/>
      </w:pPr>
    </w:p>
    <w:p w:rsidR="005728DD" w:rsidRDefault="005728DD" w:rsidP="005728DD">
      <w:pPr>
        <w:pStyle w:val="TextoNormal"/>
      </w:pPr>
      <w:r>
        <w:t xml:space="preserve">En el Real Decreto-ley 15/2020 el Gobierno ha incluido también una reforma sustancial de la gestión del régimen de clases pasivas del Estado, cuya extraordinaria y urgente necesidad (art. 86.1 CE) no resulta justificada. En las disposiciones impugnadas del decreto-ley se establece que la gestión de este régimen especial de seguridad social, hasta ahora atribuida a la Dirección General de Costes de Personal y Pensiones Públicas del Ministerio de Economía y Hacienda (en el caso de los funcionarios militares a la Dirección General de Personal del Ministerio de Defensa), corresponderá al Instituto Nacional de la Seguridad Social (INSS), desde la fecha que se determine en el real decreto por el que se desarrolle la </w:t>
      </w:r>
      <w:r>
        <w:lastRenderedPageBreak/>
        <w:t>estructura orgánica básica del Ministerio de Inclusión, Seguridad Social y Migraciones (disposición adicional sexta del Real Decreto-ley 15/2020). A tal efecto se establece un régimen transitorio en virtud del cual hasta la culminación de los trámites para la adaptación de la gestión administrativa, contable, presupuestaria y financiera que permitan la asunción de la gestión de las prestaciones del régimen de clases pasivas por el INSS, esta gestión será ejercida por la Dirección General de Ordenación de la Seguridad Social (disposición transitoria segunda).</w:t>
      </w:r>
    </w:p>
    <w:p w:rsidR="005728DD" w:rsidRDefault="005728DD" w:rsidP="005728DD">
      <w:pPr>
        <w:pStyle w:val="TextoNormal"/>
      </w:pPr>
    </w:p>
    <w:p w:rsidR="005728DD" w:rsidRDefault="005728DD" w:rsidP="005728DD">
      <w:pPr>
        <w:pStyle w:val="TextoNormal"/>
      </w:pPr>
      <w:r>
        <w:t>Asimismo se establece la financiación estatal de los gastos imputables a la gestión del régimen de clases pasivas, de suerte que el Estado transferirá a la Seguridad Social el importe necesario para la financiación de la totalidad del gasto en que incurran el INSS y el resto de entidades gestoras y servicios comunes de la seguridad social por la gestión del régimen de clases pasivas del Estado (disposición adicional séptima).</w:t>
      </w:r>
    </w:p>
    <w:p w:rsidR="005728DD" w:rsidRDefault="005728DD" w:rsidP="005728DD">
      <w:pPr>
        <w:pStyle w:val="TextoNormal"/>
      </w:pPr>
    </w:p>
    <w:p w:rsidR="005728DD" w:rsidRDefault="005728DD" w:rsidP="005728DD">
      <w:pPr>
        <w:pStyle w:val="TextoNormal"/>
      </w:pPr>
      <w:r>
        <w:t>Por otra parte, en la disposición final primera del Real Decreto-ley 15/2020 se introducen varias modificaciones del texto refundido de la Ley de clases pasivas del Estado, aprobado por el Real Decreto Legislativo 670/1987, de 30 de abril, que entrarán también en vigor en la fecha que se determine en el real decreto por el que se desarrolle la estructura orgánica básica del Ministerio de Inclusión, Seguridad Social y Migraciones, con el objetivo de acomodar esta regulación a la atribución de la gestión del régimen de clases pasivas al INSS.</w:t>
      </w:r>
    </w:p>
    <w:p w:rsidR="005728DD" w:rsidRDefault="005728DD" w:rsidP="005728DD">
      <w:pPr>
        <w:pStyle w:val="TextoNormal"/>
      </w:pPr>
    </w:p>
    <w:p w:rsidR="005728DD" w:rsidRDefault="005728DD" w:rsidP="005728DD">
      <w:pPr>
        <w:pStyle w:val="TextoNormal"/>
      </w:pPr>
      <w:r>
        <w:t>En este sentido se señala que el Real Decreto 497/2020, de 28 de abril, por el que se desarrolla la estructura orgánica básica del Ministerio de Inclusión, Seguridad Social y Migraciones, determina en su disposición adicional tercera que ese departamento ministerial asumirá con efectos de 6 de octubre de 2020 las competencias derivadas del régimen de clases pasivas del Estado. En su disposición adicional séptima atribuye al INSS la gestión de este régimen especial de seguridad social. Por tanto, las previsiones al respecto del Real Decreto-ley 15/2020 se harán efectivas a partir de la fecha indicada.</w:t>
      </w:r>
    </w:p>
    <w:p w:rsidR="005728DD" w:rsidRDefault="005728DD" w:rsidP="005728DD">
      <w:pPr>
        <w:pStyle w:val="TextoNormal"/>
      </w:pPr>
    </w:p>
    <w:p w:rsidR="005728DD" w:rsidRDefault="005728DD" w:rsidP="005728DD">
      <w:pPr>
        <w:pStyle w:val="TextoNormal"/>
      </w:pPr>
      <w:r>
        <w:t xml:space="preserve">Precisan los recurrentes que en este recurso de inconstitucionalidad no se discute el presupuesto habilitante en relación con el conjunto del Real Decreto-ley 15/2020, “dado que es innegable la extrema y urgente necesidad derivada de la crisis sanitaria provocada por la pandemia mundial del denominado COVID-19, ello sin perjuicio de que la actuación del Gobierno en relación con las medidas impuestas pueda tener reproche político o de otra índole”. Lo que se pone en tela de juicio es la existencia de presupuesto habilitante en relación con las disposiciones adicionales sexta y séptima, transitoria segunda y final primera del Real Decreto-ley 15/2020, esto es, se trata de una impugnación parcial de este decreto-ley. Para este tipo de casos, en los que se denuncia la vulneración del presupuesto habilitante respecto, no del correspondiente decreto-ley en su conjunto, sino únicamente en relación con uno o alguno de sus preceptos, la necesaria justificación </w:t>
      </w:r>
      <w:r w:rsidRPr="005728DD">
        <w:rPr>
          <w:i/>
        </w:rPr>
        <w:t>ad casum</w:t>
      </w:r>
      <w:r>
        <w:t xml:space="preserve"> de la “extraordinaria y urgente necesidad” (art. 86.1 CE) ha de ser apreciada en relación precisamente con los preceptos en concreto impugnados, como tiene reiteradamente declarado la doctrina constitucional (SSTC 31/2011, de 17 de marzo, FJ 4; 137/2011, de 14 de septiembre, FJ 6; 170/2012, de 4 de octubre, FJ 5, y 29/2015, de 19 de febrero, FJ 3).</w:t>
      </w:r>
    </w:p>
    <w:p w:rsidR="005728DD" w:rsidRDefault="005728DD" w:rsidP="005728DD">
      <w:pPr>
        <w:pStyle w:val="TextoNormal"/>
      </w:pPr>
    </w:p>
    <w:p w:rsidR="005728DD" w:rsidRDefault="005728DD" w:rsidP="005728DD">
      <w:pPr>
        <w:pStyle w:val="TextoNormal"/>
      </w:pPr>
      <w:r>
        <w:t xml:space="preserve">En el preámbulo del Real Decreto-ley 15/2020 se omite cualquier justificación de la existencia (en todo caso inapreciable) de la “extraordinaria y urgente necesidad” de semejante </w:t>
      </w:r>
      <w:r>
        <w:lastRenderedPageBreak/>
        <w:t>modificación legislativa, carente de toda relación con la crisis sanitaria que justifica el empleo del decreto-ley, así como, a mayor abundamiento, con cualquier medida de carácter social o económico. La única referencia es la que se contiene en el apartado VI del Real Decreto-ley 15/2020, mediante una fórmula vaga y genérica, según la cual “el calendario para llevar a cabo las modificaciones legales necesarias para la integración efectiva del régimen de clases pasivas en el Ministerio de Inclusión, Seguridad Social y Migraciones se ha visto radicalmente alterado por la crisis sanitaria provocada por el COVID-19 en la que se han centrado los esfuerzos de la acción del Gobierno en las últimas cinco semanas. En este sentido, es razonable considerar que esos cambios normativos no pueden ser aprobados mediante el procedimiento ordinario de tramitación parlamentaria, pues ello implicaría que, hasta la aprobación de tales reformas legislativas, la estructura organizativa derivada del Real Decreto 2/2020 [de 12 de enero, por el que se reestructuran los departamentos ministeriales], la organización del nuevo Ministerio de Inclusión, Seguridad Social y Migraciones no podría materializarse y, por lo tanto, los órganos competentes no podrían desarrollar las funciones que tienen atribuidas con arreglo al citado Real Decreto, circunstancia que generaría inseguridad jurídica e incertidumbre en una materia, las pensiones, particularmente sensible para el conjunto de la ciudadanía. Tal motivo justifica la extraordinaria y urgente necesidad de la situación y la conexión con ella de las medidas adoptadas”.</w:t>
      </w:r>
    </w:p>
    <w:p w:rsidR="005728DD" w:rsidRDefault="005728DD" w:rsidP="005728DD">
      <w:pPr>
        <w:pStyle w:val="TextoNormal"/>
      </w:pPr>
    </w:p>
    <w:p w:rsidR="005728DD" w:rsidRDefault="005728DD" w:rsidP="005728DD">
      <w:pPr>
        <w:pStyle w:val="TextoNormal"/>
      </w:pPr>
      <w:r>
        <w:t>De ningún modo puede entenderse, según los recurrentes, que esta explicación contenida en el preámbulo del Real Decreto-ley 15/2020 satisfaga la exigencia del art. 86.1 CE. Se aprecia a simple vista que la motivación ofrecida por el Gobierno consiste en un argumento genérico y vacío de contenido, que podría servir para la modificación de cualquier texto legal de nuestro ordenamiento jurídico que pudiera considerarse dentro del ámbito objetivo de aplicación del decreto-ley definido en el art. 86.1 CE. No se aporta ningún dato que permita vislumbrar la extrema y urgente necesidad. Simplemente se hace referencia a desarrollar funciones con arreglo a necesidades organizativas de los departamentos ministeriales, es decir, a la mera conveniencia del Gobierno.</w:t>
      </w:r>
    </w:p>
    <w:p w:rsidR="005728DD" w:rsidRDefault="005728DD" w:rsidP="005728DD">
      <w:pPr>
        <w:pStyle w:val="TextoNormal"/>
      </w:pPr>
    </w:p>
    <w:p w:rsidR="005728DD" w:rsidRDefault="005728DD" w:rsidP="005728DD">
      <w:pPr>
        <w:pStyle w:val="TextoNormal"/>
      </w:pPr>
      <w:r>
        <w:t>Por lo que se refiere al debate parlamentario en el pleno del Congreso sobre la convalidación del Real Decreto-ley 15/2020, resulta que ni el Gobierno ni los grupos parlamentarios a los que pertenecen buena parte de los miembros de este hicieron mención alguna en sus intervenciones a la pretendida extraordinaria y urgente necesidad que motiva la reforma objeto del presente recurso.</w:t>
      </w:r>
    </w:p>
    <w:p w:rsidR="005728DD" w:rsidRDefault="005728DD" w:rsidP="005728DD">
      <w:pPr>
        <w:pStyle w:val="TextoNormal"/>
      </w:pPr>
    </w:p>
    <w:p w:rsidR="005728DD" w:rsidRDefault="005728DD" w:rsidP="005728DD">
      <w:pPr>
        <w:pStyle w:val="TextoNormal"/>
      </w:pPr>
      <w:r>
        <w:t>En suma, no existe razonamiento alguno, ni en el preámbulo del Real Decreto-ley 15/2020, ni en la tramitación parlamentaria, ni en los hechos previos a la reforma, que motive el presupuesto habilitante de la extraordinaria y urgente necesidad, requisito inexcusable para la utilización del decreto-ley como instrumento legislativo de urgencia.</w:t>
      </w:r>
    </w:p>
    <w:p w:rsidR="005728DD" w:rsidRDefault="005728DD" w:rsidP="005728DD">
      <w:pPr>
        <w:pStyle w:val="TextoNormal"/>
      </w:pPr>
    </w:p>
    <w:p w:rsidR="005728DD" w:rsidRDefault="005728DD" w:rsidP="005728DD">
      <w:pPr>
        <w:pStyle w:val="TextoNormal"/>
      </w:pPr>
      <w:r>
        <w:t>Además, tampoco cumplen las disposiciones impugnadas la exigencia de que exista una conexión de sentido entre la situación de urgencia definida y las medidas que se adoptan en el decreto-ley, conforme tiene reiteradamente señalado la doctrina constitucional.</w:t>
      </w:r>
    </w:p>
    <w:p w:rsidR="005728DD" w:rsidRDefault="005728DD" w:rsidP="005728DD">
      <w:pPr>
        <w:pStyle w:val="TextoNormal"/>
      </w:pPr>
    </w:p>
    <w:p w:rsidR="005728DD" w:rsidRDefault="005728DD" w:rsidP="005728DD">
      <w:pPr>
        <w:pStyle w:val="TextoNormal"/>
      </w:pPr>
      <w:r>
        <w:t>A mayor abundamiento, el mandato del art. 86.1 CE resulta asimismo incumplido por la propia vocación de permanencia de las disposiciones adicionales sexta y séptima, transitoria segunda y final primera del Real Decreto-ley 15/2020, que contrasta con el contenido regulatorio provisional del resto de las previsiones de este decreto-ley.</w:t>
      </w:r>
    </w:p>
    <w:p w:rsidR="005728DD" w:rsidRDefault="005728DD" w:rsidP="005728DD">
      <w:pPr>
        <w:pStyle w:val="TextoNormal"/>
      </w:pPr>
    </w:p>
    <w:p w:rsidR="005728DD" w:rsidRDefault="005728DD" w:rsidP="005728DD">
      <w:pPr>
        <w:pStyle w:val="TextoNormal"/>
      </w:pPr>
      <w:r>
        <w:t>En definitiva, se concluye que la actuación del Gobierno ha vulnerado de modo patente los límites jurídico-formales del decreto-ley previstos en el art. 86.1 CE. Por ello, procede la declaración de inconstitucionalidad de las disposiciones adicionales sexta y séptima, transitoria segunda y final primera del Real Decreto-ley 15/2020.</w:t>
      </w:r>
    </w:p>
    <w:p w:rsidR="005728DD" w:rsidRDefault="005728DD" w:rsidP="005728DD">
      <w:pPr>
        <w:pStyle w:val="TextoNormal"/>
      </w:pPr>
    </w:p>
    <w:p w:rsidR="005728DD" w:rsidRDefault="005728DD" w:rsidP="005728DD">
      <w:pPr>
        <w:pStyle w:val="TextoNormal"/>
      </w:pPr>
      <w:r>
        <w:t>b) Se afirma también en el recurso que la regulación introducida mediante las disposiciones impugnadas del Real Decreto-ley 15/2020 vulnera el principio de seguridad jurídica (art. 9.3 CE) y la propia función del decreto-ley como fórmula legislativa excepcional, dotada de un contenido constitucionalmente definido, respecto del principio de monopolio legislativo de las Cortes Generales.</w:t>
      </w:r>
    </w:p>
    <w:p w:rsidR="005728DD" w:rsidRDefault="005728DD" w:rsidP="005728DD">
      <w:pPr>
        <w:pStyle w:val="TextoNormal"/>
      </w:pPr>
    </w:p>
    <w:p w:rsidR="005728DD" w:rsidRDefault="005728DD" w:rsidP="005728DD">
      <w:pPr>
        <w:pStyle w:val="TextoNormal"/>
      </w:pPr>
      <w:r>
        <w:t>Se trae a colación en este sentido la reiterada doctrina constitucional acerca del contenido propio de las leyes de presupuestos generales del Estado (por todas, STC 9/2013, de 28 de enero, FJ 3), que los recurrentes consideran aplicable al empleo del decreto-ley. Sostienen, en consecuencia, que al igual que sucede con las leyes de presupuestos, en el caso del decreto-ley la posibilidad de incluir en este previsiones que excedan del ámbito más estricto del contenido esencial de la fuente se encuentra con el límite que constituyen tanto el principio de seguridad jurídica (art. 9.3 CE) como los preceptos que determinan dicho contenido esencial (los arts. 66.2 y 134.1 CE en el caso de la ley de presupuestos y el art. 86.1 CE en el caso del decreto-ley).</w:t>
      </w:r>
    </w:p>
    <w:p w:rsidR="005728DD" w:rsidRDefault="005728DD" w:rsidP="005728DD">
      <w:pPr>
        <w:pStyle w:val="TextoNormal"/>
      </w:pPr>
    </w:p>
    <w:p w:rsidR="005728DD" w:rsidRDefault="005728DD" w:rsidP="005728DD">
      <w:pPr>
        <w:pStyle w:val="TextoNormal"/>
      </w:pPr>
      <w:r>
        <w:t>En consecuencia, si en la ley de presupuestos las previsiones de acompañamiento deben encontrarse inequívocamente vinculadas a los ingresos y gastos del Estado, en el decreto-ley las normas adicionales deben guardar inequívocamente una vinculación con la específica necesidad (de carácter extraordinario y urgente) que da razón al mismo. De otro modo, se habrá desconocido por el poder constituido correspondiente el mandato constitucional de limitar el contenido de dichas leyes de carácter especial a su específica función constitucional.</w:t>
      </w:r>
    </w:p>
    <w:p w:rsidR="005728DD" w:rsidRDefault="005728DD" w:rsidP="005728DD">
      <w:pPr>
        <w:pStyle w:val="TextoNormal"/>
      </w:pPr>
    </w:p>
    <w:p w:rsidR="005728DD" w:rsidRDefault="005728DD" w:rsidP="005728DD">
      <w:pPr>
        <w:pStyle w:val="TextoNormal"/>
      </w:pPr>
      <w:r>
        <w:t>Por otro lado, la fiscalización de la adecuación del contenido constitucionalmente limitado de ambas fuentes debe ponerse en relación, en los dos casos, con la restricción de la actuación parlamentaria que ambas suponen. De no ser así, la utilización indiscriminada de esas técnicas legislativas (sobre todo del decreto-ley) podría determinar en último término el vaciamiento de la potestad legislativa ordinaria.</w:t>
      </w:r>
    </w:p>
    <w:p w:rsidR="005728DD" w:rsidRDefault="005728DD" w:rsidP="005728DD">
      <w:pPr>
        <w:pStyle w:val="TextoNormal"/>
      </w:pPr>
    </w:p>
    <w:p w:rsidR="005728DD" w:rsidRDefault="005728DD" w:rsidP="005728DD">
      <w:pPr>
        <w:pStyle w:val="TextoNormal"/>
      </w:pPr>
      <w:r>
        <w:t>Lo anterior implica que para admitir la introducción de previsiones legales ajenas al núcleo del decreto-ley (esto es, ajenas a la institución de medidas que, de modo directo, se dirijan a atajar la situación de urgente y extraordinaria necesidad), es preciso que concurran los siguientes dos requisitos acumulativos: la conexión inmediata y directa (que no accidental y secundaria) de la materia sobre la que versa la previsión con la extraordinaria y urgente necesidad que justifica el decreto-ley; la justificación de la inclusión de esa materia conexa en el decreto-ley en cuestión. Estos requisitos no se cumplen en las disposiciones impugnadas del Real Decreto-ley 15/2020, según los recurrentes.</w:t>
      </w:r>
    </w:p>
    <w:p w:rsidR="005728DD" w:rsidRDefault="005728DD" w:rsidP="005728DD">
      <w:pPr>
        <w:pStyle w:val="TextoNormal"/>
      </w:pPr>
    </w:p>
    <w:p w:rsidR="005728DD" w:rsidRDefault="005728DD" w:rsidP="005728DD">
      <w:pPr>
        <w:pStyle w:val="TextoNormal"/>
      </w:pPr>
      <w:r>
        <w:t>Así, no existe vinculación inmediata y directa alguna entre la causa de extraordinaria y urgente necesidad del Real Decreto-ley 15/2020 (el impacto que en el tejido social y económico es susceptible de producir la emergencia sanitaria derivada de la epidemia de COVID-</w:t>
      </w:r>
      <w:r>
        <w:lastRenderedPageBreak/>
        <w:t>19) y el contenido de sus disposiciones adicionales sexta y séptima, transitoria segunda y final primera, que modifican la gestión del régimen de clases pasivas del Estado.</w:t>
      </w:r>
    </w:p>
    <w:p w:rsidR="005728DD" w:rsidRDefault="005728DD" w:rsidP="005728DD">
      <w:pPr>
        <w:pStyle w:val="TextoNormal"/>
      </w:pPr>
    </w:p>
    <w:p w:rsidR="005728DD" w:rsidRDefault="005728DD" w:rsidP="005728DD">
      <w:pPr>
        <w:pStyle w:val="TextoNormal"/>
      </w:pPr>
      <w:r>
        <w:t>Pero es que tampoco se cumple el segundo requisito, consistente en la justificación de la inclusión de la materia conexa en el decreto-ley, pues la explicación ofrecida por el Gobierno en el apartado VI del preámbulo del Real Decreto-ley 15/2020 para la inclusión de la modificación de la gestión del régimen de clases pasivas del Estado en este decreto-ley no puede considerarse como una justificación válida. La vaga referencia a la reorganización ministerial no justifica la existencia de conexión inmediata y directa de la materia sobre la que versa la previsión impugnada (la reforma de la gestión del régimen de clases pasivas) con la extraordinaria y urgente necesidad que justifica la utilización del decreto-ley. No existe tal conexión. Lo único que existe es el mero y reprochable intento gubernamental de incluir un apéndice artificial en el Real Decreto-ley 15/2020, del todo desconectado con la finalidad de esta norma, vulnerando por ello el principio de seguridad jurídica (art. 9.3 CE), así como la norma rectora del decreto-ley (art. 86.1 CE) como instrumento normativo de contenido constitucionalmente delimitado. Procede en consecuencia, también por este motivo, la declaración de inconstitucionalidad y consiguiente nulidad de las disposiciones impugnadas, según los recurrentes.</w:t>
      </w:r>
    </w:p>
    <w:p w:rsidR="005728DD" w:rsidRDefault="005728DD" w:rsidP="005728DD">
      <w:pPr>
        <w:pStyle w:val="TextoNormal"/>
      </w:pPr>
    </w:p>
    <w:p w:rsidR="005728DD" w:rsidRDefault="005728DD" w:rsidP="005728DD">
      <w:pPr>
        <w:pStyle w:val="TextoNormal"/>
      </w:pPr>
      <w:r w:rsidRPr="005728DD">
        <w:rPr>
          <w:rStyle w:val="NumeroAFNegritaCaracter"/>
        </w:rPr>
        <w:t>3</w:t>
      </w:r>
      <w:r>
        <w:t>. Por providencia de 30 de junio de 2020 el Pleno del Tribunal Constitucional acordó admitir a trámite el recurso de inconstitucionalidad, dar traslado de la demanda y documentos presentados, conforme establece el art. 34 de la Ley Orgánica del Tribunal Constitucional (LOTC), al Congreso de los Diputados y al Senado, así como al Gobierno, al objeto de que en el plazo de quince días pudieran personarse en el proceso y formular las alegaciones que estimaren convenientes. Asimismo se ordenó publicar la incoación del recurso en el “Boletín Oficial del Estado” (publicación que tuvo lugar en el núm. 187, de 8 de julio de 2020).</w:t>
      </w:r>
    </w:p>
    <w:p w:rsidR="005728DD" w:rsidRDefault="005728DD" w:rsidP="005728DD">
      <w:pPr>
        <w:pStyle w:val="TextoNormal"/>
      </w:pPr>
    </w:p>
    <w:p w:rsidR="005728DD" w:rsidRDefault="005728DD" w:rsidP="005728DD">
      <w:pPr>
        <w:pStyle w:val="TextoNormal"/>
      </w:pPr>
      <w:r w:rsidRPr="005728DD">
        <w:rPr>
          <w:rStyle w:val="NumeroAFNegritaCaracter"/>
        </w:rPr>
        <w:t>4</w:t>
      </w:r>
      <w:r>
        <w:t>. Por escrito registrado en este tribunal el 15 de julio de 2020, la presidenta del Senado comunicó el acuerdo de la mesa de la Cámara de personarse y ofrecer su colaboración a los efectos del art. 88.1 LOTC. Otro tanto hizo la presidenta del Congreso de los Diputados, mediante escrito que tuvo entrada en este tribunal en la misma fecha.</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que tuvo entrada en este tribunal el 24 de julio de 2020, el abogado del Estado se personó en el presente proceso constitucional en representación del Gobierno y solicitó que se le concediese prórroga por ocho días más para formular alegaciones.</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diligencia de ordenación de la secretaria de justicia del Pleno de este tribunal de 27 de julio de 2020 se tuvo por personado al abogado del Estado y se le concedió la prórroga solicitada para formular alegaciones.</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escrito registrado en este tribunal el 4 de septiembre de 2020, el abogado del Estado formuló las alegaciones que seguidamente se resumen.</w:t>
      </w:r>
    </w:p>
    <w:p w:rsidR="005728DD" w:rsidRDefault="005728DD" w:rsidP="005728DD">
      <w:pPr>
        <w:pStyle w:val="TextoNormal"/>
      </w:pPr>
    </w:p>
    <w:p w:rsidR="005728DD" w:rsidRDefault="005728DD" w:rsidP="005728DD">
      <w:pPr>
        <w:pStyle w:val="TextoNormal"/>
      </w:pPr>
      <w:r>
        <w:t xml:space="preserve">Advierte que como motivo principal del recurso se niega que concurra el presupuesto habilitante de la extraordinaria y urgente necesidad (art. 86.1 CE) en las disposiciones impugnadas del Real Decreto-ley 15/2020. En respuesta a esta tacha de inconstitucionalidad, </w:t>
      </w:r>
      <w:r>
        <w:lastRenderedPageBreak/>
        <w:t>el abogado del Estado comienza recordando que de la reiterada doctrina constitucional acerca del presupuesto habilitante del decreto-ley se desprende que la apreciación de la concurrencia de la extraordinaria y urgente necesidad es un juicio político que corresponde al Gobierno (titular constitucional de la potestad legislativa de urgencia) y al Congreso de los Diputados (titular de la potestad de convalidar, derogar o tramitar el texto como proyecto de ley). El Tribunal Constitucional controla que este juicio político de la urgencia no desborde los límites de lo manifiestamente razonable y, en consecuencia, se halla facultado para rechazar definiciones de la situación de urgencia en que aprecie abuso o arbitrariedad en el juicio realizado por los órganos políticos.</w:t>
      </w:r>
    </w:p>
    <w:p w:rsidR="005728DD" w:rsidRDefault="005728DD" w:rsidP="005728DD">
      <w:pPr>
        <w:pStyle w:val="TextoNormal"/>
      </w:pPr>
    </w:p>
    <w:p w:rsidR="005728DD" w:rsidRDefault="005728DD" w:rsidP="005728DD">
      <w:pPr>
        <w:pStyle w:val="TextoNormal"/>
      </w:pPr>
      <w:r>
        <w:t>Conforme a esa misma doctrina, la extraordinaria y urgente necesidad ha de ser explicitada y razonada por el Gobierno y debe asimismo existir una conexión de sentido o relación de adecuación entre la situación definida que constituye el supuesto habilitante y las medidas que en el decreto-ley se adoptan. La justificación del Gobierno ha de extenderse a razonar por qué la necesidad no pudo atenderse a través del procedimiento legislativo de urgencia. Debe acudirse al examen del preámbulo del propio decreto-ley impugnado, del debate parlamentario de convalidación y del expediente de elaboración, para valorar conjuntamente los factores que han llevado al Gobierno a acudir a esta concreta fuente del Derecho.</w:t>
      </w:r>
    </w:p>
    <w:p w:rsidR="005728DD" w:rsidRDefault="005728DD" w:rsidP="005728DD">
      <w:pPr>
        <w:pStyle w:val="TextoNormal"/>
      </w:pPr>
    </w:p>
    <w:p w:rsidR="005728DD" w:rsidRDefault="005728DD" w:rsidP="005728DD">
      <w:pPr>
        <w:pStyle w:val="TextoNormal"/>
      </w:pPr>
      <w:r>
        <w:t>La doctrina constitucional ha declarado la aptitud del decreto-ley para atender a coyunturas económicas problemáticas, si bien exige en tales casos un singular celo en los órganos políticos a la hora de concretar la situación de urgencia que se trata de afrontar con la norma provisional, sin que quepa acudir a fórmulas rituales, abstractas o genéricas, aplicables a todo tipo de realidades de un modo intercambiable. No cabe tampoco una justificación genérica de toda la disposición en sí, esto es, del decreto-ley como tal y la causa genérica que anima su aprobación, sino que cuando el mismo contiene medidas normativas heterogéneas agrupadas de distinto orden (sustantivas y procedimentales u organizativas) debe justificarse individualmente la adecuación de cada una de ellas, su específico presupuesto habilitante, y su carácter determinante para abordar y superar la situación surgida.</w:t>
      </w:r>
    </w:p>
    <w:p w:rsidR="005728DD" w:rsidRDefault="005728DD" w:rsidP="005728DD">
      <w:pPr>
        <w:pStyle w:val="TextoNormal"/>
      </w:pPr>
    </w:p>
    <w:p w:rsidR="005728DD" w:rsidRDefault="005728DD" w:rsidP="005728DD">
      <w:pPr>
        <w:pStyle w:val="TextoNormal"/>
      </w:pPr>
      <w:r>
        <w:t xml:space="preserve">Proyectando esta doctrina al presente caso se llega a la conclusión, según el abogado del Estado, de que no cabe apreciar la infracción del art. 86.1 CE que denuncian los recurrentes. Alega que este tribunal ha entendido (STC 60/1986, de 20 de mayo, FJ 3) que puede apreciarse razonablemente la concurrencia de la extraordinaria y urgente necesidad en la adopción de unas medidas de reorganización administrativa. En el presente caso la medida adoptada constituye la consecuencia necesaria de la nueva distribución de competencias efectuada tras el nombramiento de un nuevo Gobierno. Ciertamente la asunción plena de las competencias por el departamento ministerial al que se encomienda ahora la gestión del régimen de clases pasivas conlleva la necesidad de modificaciones legislativas (limitadas meramente al aspecto organizativo), de manera que la falta de adopción de las mismas frustraría la reorganización de funciones que, en materia de dicha gestión del régimen de clases pasivas, ha llevado a cabo el Real Decreto 2/2020, de 12 de enero, por el que se reestructuran los departamentos ministeriales. Tal reorganización de funciones constituye una decisión política que implica que pueda considerarse prioritaria la adopción de las medidas dirigidas a hacer efectiva la política del Gobierno, en este caso en materia de pensiones. Y que, en unas circunstancias como las existentes en el momento de dictarse el Real Decreto-ley 15/2020, esto es, la crisis sanitaria ocasionada por la pandemia provocada por el COVID-19, que obligó a la aprobación del Real Decreto 463/2020, de 14 de marzo, por el que se </w:t>
      </w:r>
      <w:r>
        <w:lastRenderedPageBreak/>
        <w:t>declaró el estado de alarma (sucesivamente prorrogado) pueda considerarse razonable, ante la paralización de la actividad legislativa ordinaria, la utilización del decreto-ley para adecuar de modo inmediato el aparato administrativo a los nuevos objetivos de la acción gubernamental. En consecuencia, debe entenderse acreditada la existencia del presupuesto habilitante de la extraordinaria y urgente necesidad en relación con las disposiciones impugnadas.</w:t>
      </w:r>
    </w:p>
    <w:p w:rsidR="005728DD" w:rsidRDefault="005728DD" w:rsidP="005728DD">
      <w:pPr>
        <w:pStyle w:val="TextoNormal"/>
      </w:pPr>
    </w:p>
    <w:p w:rsidR="005728DD" w:rsidRDefault="005728DD" w:rsidP="005728DD">
      <w:pPr>
        <w:pStyle w:val="TextoNormal"/>
      </w:pPr>
      <w:r>
        <w:t>Debe asimismo entenderse justificada, según el abogado del Estado, la concurrencia del requisito de la conexión de sentido entre la situación de urgencia definida y las medidas adoptadas sobre la gestión del régimen de clases pasivas. Estas medidas son coherentes con la finalidad expuesta en el preámbulo del Real Decreto-ley 15/2020 de materializar las previsiones de atribución competencial derivadas de la constitución de un nuevo Gobierno. Las bases para la atribución de la gestión del régimen de clases pasivas al Ministerio de Inclusión, Seguridad Social y Migraciones, ya fueron incluidas en el Real Decreto 2/2020, de 12 de enero, por el que se reestructuran los departamentos ministeriales, cuyo art. 22 atribuye a este departamento ministerial la propuesta y ejecución de la política del Gobierno en materia de clases pasivas. Esto hacía necesario llevar a cabo las pertinentes modificaciones normativas para hacer efectiva la adecuación del régimen de clases pasivas en su adscripción organizativa al Ministerio de Inclusión, Seguridad Social y Migraciones, toda vez que sobre el particular aspecto regulado concurría una reserva formal de ley (congelación del rango) que imposibilitaba su modificación por norma reglamentaria; si no se hubieran realizado esas modificaciones, los órganos competentes no podrían desarrollar las funciones que tienen atribuidas con arreglo al Real Decreto 2/2020. Por tanto, puede afirmarse que la eficacia de la medida adoptada tiene carácter inmediato, sin perjuicio de que la complejidad técnica que conlleva el cambio determine el establecimiento de un período transitorio hasta que se hayan adoptado todos los mecanismos que garanticen una adecuada gestión del régimen de clases pasivas por el INSS.</w:t>
      </w:r>
    </w:p>
    <w:p w:rsidR="005728DD" w:rsidRDefault="005728DD" w:rsidP="005728DD">
      <w:pPr>
        <w:pStyle w:val="TextoNormal"/>
      </w:pPr>
    </w:p>
    <w:p w:rsidR="005728DD" w:rsidRDefault="005728DD" w:rsidP="005728DD">
      <w:pPr>
        <w:pStyle w:val="TextoNormal"/>
      </w:pPr>
      <w:r>
        <w:t>Añaden los recurrentes un motivo adicional de impugnación, en el que sostienen la invalidez de las disposiciones recurridas por vulneración del principio de seguridad jurídica (art. 9.3 CE) y la propia función del decreto-ley como fórmula legislativa excepcional (art. 86.1 CE), dotada de un contenido constitucionalmente delimitado. Al respecto, considera el abogado del Estado en todo caso improcedente la pretensión de los recurrentes de extender la doctrina constitucional acerca del contenido propio de las leyes de presupuestos al empleo del decreto-ley. Los únicos límites a la regulación de una materia mediante decreto-ley son los previstos en el art. 86.1 CE, esto es, no cabe que afecte a las instituciones básicas del Estado, a los derechos, deberes y libertades regulados en el título I CE, al régimen de las comunidades autónomas, ni al Derecho electoral general. Fuera de estos campos vedados, un decreto-ley puede abarcar cualquier materia; en cambio, una ley de presupuestos, no (art. 134 CE). Esto es, la delimitación del art. 86.1 CE es negativa, pues señala a qué ámbitos no puede afectar genéricamente un decreto-ley. No se trata, por tanto, de una delimitación de orden positivo, configurando sobre qué campos de regulación puede extenderse un decreto-ley, como sucede, por el contrario, con las leyes de presupuestos; para estas, lo que determina la Constitución es qué contenido (directo o accidental) pueden positivamente tener, no el que no pueden tener.</w:t>
      </w:r>
    </w:p>
    <w:p w:rsidR="005728DD" w:rsidRDefault="005728DD" w:rsidP="005728DD">
      <w:pPr>
        <w:pStyle w:val="TextoNormal"/>
      </w:pPr>
    </w:p>
    <w:p w:rsidR="005728DD" w:rsidRDefault="005728DD" w:rsidP="005728DD">
      <w:pPr>
        <w:pStyle w:val="TextoNormal"/>
      </w:pPr>
      <w:r>
        <w:t xml:space="preserve">Así las cosas, el argumento de los recurrentes resulta infundado. Las disposiciones que se impugnan del Real Decreto-ley 15/2020 no afectan a ninguna de las materias enumeradas </w:t>
      </w:r>
      <w:r>
        <w:lastRenderedPageBreak/>
        <w:t>por el art. 86.1 CE. La mera atribución al INSS de la competencia de gestión para el reconocimiento de las pensiones de clases pasivas, sin variar el contenido sustancial del régimen propio y específico de estas, no incide en los ámbitos vedados constitucionalmente al decreto-ley.</w:t>
      </w:r>
    </w:p>
    <w:p w:rsidR="005728DD" w:rsidRDefault="005728DD" w:rsidP="005728DD">
      <w:pPr>
        <w:pStyle w:val="TextoNormal"/>
      </w:pPr>
    </w:p>
    <w:p w:rsidR="005728DD" w:rsidRDefault="005728DD" w:rsidP="005728DD">
      <w:pPr>
        <w:pStyle w:val="TextoNormal"/>
      </w:pPr>
      <w:r>
        <w:t>Por todo ello, el abogado del Estado solicita la desestimación del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providencia de 11 de mayo de 2021, se señaló para deliberación y votación de la presente sentencia el día 13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presente recurso de inconstitucionalidad ha sido promovido por más de cincuenta senadores del Grupo Parlamentario Popular del Senado contra las disposiciones adicionales sexta y séptima, la disposición transitoria segunda y la disposición final primera del Real Decreto-ley 15/2020, de 21 de abril, de medidas urgentes complementarias para apoyar la economía y el empleo.</w:t>
      </w:r>
    </w:p>
    <w:p w:rsidR="005728DD" w:rsidRDefault="005728DD" w:rsidP="005728DD">
      <w:pPr>
        <w:pStyle w:val="TextoNormal"/>
      </w:pPr>
    </w:p>
    <w:p w:rsidR="005728DD" w:rsidRDefault="005728DD" w:rsidP="005728DD">
      <w:pPr>
        <w:pStyle w:val="TextoNormal"/>
      </w:pPr>
      <w:r>
        <w:t>Las disposiciones impugnadas modifican la regulación legal del régimen de clases pasivas del Estado, en lo que atañe a sus aspectos de gestión, atendiendo a la reorganización prevista en el Real Decreto 2/2020, de 12 de enero, por el que se reestructuran los departamentos ministeriales. La gestión del régimen de clases pasivas, hasta entonces atribuida a la Dirección General de Costes de Personal y Pensiones Públicas del Ministerio de Economía y Hacienda (a la Dirección General de Personal del Ministerio de Defensa, en el caso de los funcionarios militares), se atribuye por la disposición adicional sexta del Real Decreto-ley 15/2020 al Instituto Nacional de la Seguridad Social (INSS), entidad gestora de la seguridad social adscrita al Ministerio de Inclusión, Seguridad Social y Migraciones, a partir de la fecha que se determine en el real decreto por el que se desarrolle la estructura orgánica básica del referido departamento ministerial; por tanto, desde el 6 de octubre de 2020 (disposiciones adicionales tercera y séptima del Real Decreto 497/2020, de 28 de abril, por el que se desarrolla la estructura orgánica básica del Ministerio de Inclusión, Seguridad Social y Migraciones).</w:t>
      </w:r>
    </w:p>
    <w:p w:rsidR="005728DD" w:rsidRDefault="005728DD" w:rsidP="005728DD">
      <w:pPr>
        <w:pStyle w:val="TextoNormal"/>
      </w:pPr>
    </w:p>
    <w:p w:rsidR="005728DD" w:rsidRDefault="005728DD" w:rsidP="005728DD">
      <w:pPr>
        <w:pStyle w:val="TextoNormal"/>
      </w:pPr>
      <w:r>
        <w:t xml:space="preserve">La disposición transitoria segunda del Real Decreto-ley 15/2020 establece un régimen provisional en virtud del cual, hasta la culminación de los trámites para la adaptación de la gestión administrativa, contable, presupuestaria y financiera que permitan la asunción de la gestión de las prestaciones del régimen de clases pasivas por el INSS, esta gestión será ejercida por la Dirección General de Ordenación de la Seguridad Social, órgano directivo dependiente de la Secretaría de Estado de la Seguridad Social y Pensiones, del Ministerio de Inclusión, Seguridad Social y Migraciones. Para el desempeño de esas funciones, durante ese periodo transitorio la Subdirección General de Gestión de Clases Pasivas, antes incardinada en el Ministerio de Hacienda, se adscribirá a la Dirección General de Ordenación de la Seguridad Social. En ese periodo la ordenación del pago y las funciones de pago material de las prestaciones del régimen de clases pasivas serán realizadas por la Dirección General del Tesoro y Política Financiera del Ministerio de Asuntos Económicos y Transformación </w:t>
      </w:r>
      <w:r>
        <w:lastRenderedPageBreak/>
        <w:t>Digital (concluido ese periodo transitorio lo serán por la Tesorería General de la Seguridad Social).</w:t>
      </w:r>
    </w:p>
    <w:p w:rsidR="005728DD" w:rsidRDefault="005728DD" w:rsidP="005728DD">
      <w:pPr>
        <w:pStyle w:val="TextoNormal"/>
      </w:pPr>
    </w:p>
    <w:p w:rsidR="005728DD" w:rsidRDefault="005728DD" w:rsidP="005728DD">
      <w:pPr>
        <w:pStyle w:val="TextoNormal"/>
      </w:pPr>
      <w:r>
        <w:t>En consonancia con lo anterior, la disposición transitoria séptima del Real Decreto 689/2020, de 21 de julio, por el que se desarrolla la estructura orgánica básica del Ministerio de Hacienda, establece que las funciones de la Subdirección General de Gestión de Clases Pasivas, hasta entonces dependiente de la Dirección General de Costes de Personal (órgano directivo incardinado en la Secretaría de Estado de Presupuestos y Gastos del Ministerio de Hacienda), seguirán siendo ejercidas en los mismos términos hasta el cumplimiento de lo previsto en el Real Decreto 497/2020, de 28 de abril, por el que se desarrolla la estructura orgánica básica del Ministerio de Inclusión, Seguridad Social y Migraciones.</w:t>
      </w:r>
    </w:p>
    <w:p w:rsidR="005728DD" w:rsidRDefault="005728DD" w:rsidP="005728DD">
      <w:pPr>
        <w:pStyle w:val="TextoNormal"/>
      </w:pPr>
    </w:p>
    <w:p w:rsidR="005728DD" w:rsidRDefault="005728DD" w:rsidP="005728DD">
      <w:pPr>
        <w:pStyle w:val="TextoNormal"/>
      </w:pPr>
      <w:r>
        <w:t xml:space="preserve">A su vez, la disposición final primera del Real Decreto-ley 15/2020 introduce diversas modificaciones del texto refundido de la Ley de clases pasivas del Estado, aprobado por el Real Decreto Legislativo 670/1987, de 30 de abril, que entrarán también en vigor en la fecha que determine el real-decreto por el que se desarrolle la estructura orgánica básica del Ministerio de Inclusión, Seguridad Social y Migraciones (esto es, a partir del 6 de octubre de 2020, como se ha indicado), con el objetivo de acomodar esa regulación legal a la atribución de la gestión del régimen de clases pasivas al INSS (en concreto, se modifican los arts. 8.2, 11, 12, 13.3, 16.1, 34.2 y 4, 37 </w:t>
      </w:r>
      <w:r w:rsidRPr="005728DD">
        <w:rPr>
          <w:i/>
        </w:rPr>
        <w:t>ter</w:t>
      </w:r>
      <w:r>
        <w:t xml:space="preserve">.l y 3, 37 </w:t>
      </w:r>
      <w:r w:rsidRPr="005728DD">
        <w:rPr>
          <w:i/>
        </w:rPr>
        <w:t>quater</w:t>
      </w:r>
      <w:r>
        <w:t xml:space="preserve"> y 47.2, así como las disposiciones adicionales duodécima, decimoquinta, apartado 2, y decimoctava, apartado 2, del texto refundido de la Ley de clases pasivas del Estado).</w:t>
      </w:r>
    </w:p>
    <w:p w:rsidR="005728DD" w:rsidRDefault="005728DD" w:rsidP="005728DD">
      <w:pPr>
        <w:pStyle w:val="TextoNormal"/>
      </w:pPr>
    </w:p>
    <w:p w:rsidR="005728DD" w:rsidRDefault="005728DD" w:rsidP="005728DD">
      <w:pPr>
        <w:pStyle w:val="TextoNormal"/>
      </w:pPr>
      <w:r>
        <w:t>En fin, la disposición adicional séptima del Real Decreto-ley 15/2020 establece la financiación estatal de los gastos imputables a la gestión del régimen de clases pasivas, de suerte que el Estado transferirá a la Seguridad Social el importe necesario para financiar la totalidad del gasto en que incurran el INSS, la Tesorería General de la Seguridad Social, la Intervención General de la Seguridad Social, la Gerencia de Informática de la Seguridad Social y el servicio jurídico de la Administración de la Seguridad Social por la gestión del régimen de clases pasivas del Estado.</w:t>
      </w:r>
    </w:p>
    <w:p w:rsidR="005728DD" w:rsidRDefault="005728DD" w:rsidP="005728DD">
      <w:pPr>
        <w:pStyle w:val="TextoNormal"/>
      </w:pPr>
    </w:p>
    <w:p w:rsidR="005728DD" w:rsidRDefault="005728DD" w:rsidP="005728DD">
      <w:pPr>
        <w:pStyle w:val="TextoNormal"/>
      </w:pPr>
      <w:r w:rsidRPr="005728DD">
        <w:rPr>
          <w:rStyle w:val="NumeroAFNegritaCaracter"/>
        </w:rPr>
        <w:t>2</w:t>
      </w:r>
      <w:r>
        <w:t>. El motivo principal de la impugnación de las disposiciones adicionales sexta y séptima, transitoria segunda y final primera del Real Decreto-ley 15/2020, como ha quedado indicado con detalle en el relato de antecedentes de esta sentencia, estriba en entender que estas disposiciones se habrían adoptado sin la concurrencia del presupuesto habilitante que exige el art. 86.1 CE, conforme al cual las disposiciones legislativas provisionales que pueda dictar el Gobierno quedan condicionadas a la verificación de un “caso de extraordinaria y urgente necesidad”, presupuesto que no sería de apreciar aquí y que el Gobierno, por lo demás, no habría justificado en modo alguno, según los senadores recurrentes. Añade el recurso que tampoco existe ninguna conexión de sentido entre las medidas que se adoptan en las disposiciones impugnadas, referidas al cambio en la gestión del régimen de clases pasivas, y la razón de ser en general del Real Decreto-ley 15/2020 (que no se discute).</w:t>
      </w:r>
    </w:p>
    <w:p w:rsidR="005728DD" w:rsidRDefault="005728DD" w:rsidP="005728DD">
      <w:pPr>
        <w:pStyle w:val="TextoNormal"/>
      </w:pPr>
    </w:p>
    <w:p w:rsidR="005728DD" w:rsidRDefault="005728DD" w:rsidP="005728DD">
      <w:pPr>
        <w:pStyle w:val="TextoNormal"/>
      </w:pPr>
      <w:r>
        <w:t xml:space="preserve">Como motivo adicional se afirma en el recurso que la regulación introducida mediante las disposiciones impugnadas del Real Decreto-ley 15/2020 vulnera el principio de seguridad jurídica (art. 9.3 CE) y la propia función del decreto-ley como fórmula legislativa excepcional, dotada de un contenido constitucionalmente definido, respecto del principio de monopolio legislativo de las Cortes Generales. A tal efecto se trae a colación la doctrina </w:t>
      </w:r>
      <w:r>
        <w:lastRenderedPageBreak/>
        <w:t>constitucional acerca del contenido propio de las leyes de presupuestos generales del Estado, que los recurrentes consideran aplicable al caso del decreto-ley.</w:t>
      </w:r>
    </w:p>
    <w:p w:rsidR="005728DD" w:rsidRDefault="005728DD" w:rsidP="005728DD">
      <w:pPr>
        <w:pStyle w:val="TextoNormal"/>
      </w:pPr>
    </w:p>
    <w:p w:rsidR="005728DD" w:rsidRDefault="005728DD" w:rsidP="005728DD">
      <w:pPr>
        <w:pStyle w:val="TextoNormal"/>
      </w:pPr>
      <w:r>
        <w:t>El abogado del Estado rechaza los argumentos de los recurrentes. Entiende que la proyección de la doctrina constitucional acerca del decreto-ley al presente caso conduce a la conclusión de que no cabe apreciar la infracción del art. 86.1 CE que se denuncia en el recurso como motivo principal de impugnación. Concurre el presupuesto habilitante de la extraordinaria y urgente necesidad en relación con las disposiciones impugnadas del Real Decreto-ley 15/2020, que ha sido correcta y suficientemente explicitado por el Gobierno en el preámbulo de la norma. Debe asimismo entenderse justificada la concurrencia del requisito de la conexión de sentido entre la situación de urgencia definida y las medidas adoptadas sobre la gestión del régimen de clases pasivas, que son coherentes con la finalidad expuesta en el preámbulo del Real Decreto-ley 15/2020 de materializar las previsiones de atribución competencial derivadas de la constitución de un nuevo Gobierno, conforme a lo previsto en el Real Decreto 2/2020, de 12 de enero, por el que se reestructuran los departamentos ministeriales.</w:t>
      </w:r>
    </w:p>
    <w:p w:rsidR="005728DD" w:rsidRDefault="005728DD" w:rsidP="005728DD">
      <w:pPr>
        <w:pStyle w:val="TextoNormal"/>
      </w:pPr>
    </w:p>
    <w:p w:rsidR="005728DD" w:rsidRDefault="005728DD" w:rsidP="005728DD">
      <w:pPr>
        <w:pStyle w:val="TextoNormal"/>
      </w:pPr>
      <w:r>
        <w:t>Tampoco resulta atendible para el abogado del Estado el motivo adicional de impugnación, que sostiene la invalidez de las disposiciones del Real Decreto-ley 15/2020 recurridas por vulneración del principio de seguridad jurídica (art. 9.3 CE) y la propia función del decreto-ley como fórmula legislativa excepcional. Resulta improcedente la pretensión de extender la doctrina constitucional acerca del contenido propio de las leyes de presupuestos al caso del decreto-ley. Los únicos límites a la regulación de una materia mediante decreto-ley son los previstos en el art. 86.1 CE. Fuera de esas materias, un decreto-ley puede abarcar cualquier objeto. La mera atribución al INSS de la competencia de gestión del régimen de clases pasivas no incide en los ámbitos constitucionalmente vedados al decreto-ley.</w:t>
      </w:r>
    </w:p>
    <w:p w:rsidR="005728DD" w:rsidRDefault="005728DD" w:rsidP="005728DD">
      <w:pPr>
        <w:pStyle w:val="TextoNormal"/>
      </w:pPr>
    </w:p>
    <w:p w:rsidR="005728DD" w:rsidRDefault="005728DD" w:rsidP="005728DD">
      <w:pPr>
        <w:pStyle w:val="TextoNormal"/>
      </w:pPr>
      <w:r w:rsidRPr="005728DD">
        <w:rPr>
          <w:rStyle w:val="NumeroAFNegritaCaracter"/>
        </w:rPr>
        <w:t>3</w:t>
      </w:r>
      <w:r>
        <w:t>. La controversia que se somete a nuestro escrutinio se ciñe a examinar si el Real Decreto-ley 15/2020, en lo que atañe a las concretas disposiciones que se impugnan, se aprobó ante un caso de extraordinaria y urgente necesidad, como exige el art. 86.1 CE.</w:t>
      </w:r>
    </w:p>
    <w:p w:rsidR="005728DD" w:rsidRDefault="005728DD" w:rsidP="005728DD">
      <w:pPr>
        <w:pStyle w:val="TextoNormal"/>
      </w:pPr>
    </w:p>
    <w:p w:rsidR="005728DD" w:rsidRDefault="005728DD" w:rsidP="005728DD">
      <w:pPr>
        <w:pStyle w:val="TextoNormal"/>
      </w:pPr>
      <w:r>
        <w:t>Para llevar a cabo el enjuiciamiento que se nos demanda resulta innecesario trasladar al decreto-ley, como pretenden los recurrentes, la doctrina constitucional acerca del contenido propio de las leyes de presupuestos generales del Estado. Conforme a esta conocida doctrina, la limitación de contenido de la ley de presupuestos deriva del art. 134 CE y se justifica no solo por la función específica que tiene constitucionalmente atribuida, sino también porque se trata de una ley que, por las peculiaridades y especificidades que presenta su tramitación parlamentaria, conlleva restricciones a las facultades de los órganos legislativos en relación con la de otros proyectos o proposiciones de ley, de manera que dicha limitación es una exigencia del principio de seguridad jurídica garantizado por el art. 9.3 CE (por todas, SSTC 32/2000, de 3 de febrero, FJ 5; 3/2003, de 16 de enero, FJ 4, y 9/2013, de 28 de enero, FJ 3).</w:t>
      </w:r>
    </w:p>
    <w:p w:rsidR="005728DD" w:rsidRDefault="005728DD" w:rsidP="005728DD">
      <w:pPr>
        <w:pStyle w:val="TextoNormal"/>
      </w:pPr>
    </w:p>
    <w:p w:rsidR="005728DD" w:rsidRDefault="005728DD" w:rsidP="005728DD">
      <w:pPr>
        <w:pStyle w:val="TextoNormal"/>
      </w:pPr>
      <w:r>
        <w:t xml:space="preserve">El decreto-ley también tiene un contenido constitucionalmente delimitado, pues, de conformidad con el art. 86.1 CE, no puede afectar “al ordenamiento de las instituciones básicas del Estado, a los derechos, deberes y libertades de los ciudadanos regulados en el título I, al régimen de las comunidades autónomas, ni al Derecho electoral general”. No es este el momento de detenerse a examinar la interpretación sentada por la jurisprudencia constitucional </w:t>
      </w:r>
      <w:r>
        <w:lastRenderedPageBreak/>
        <w:t>sobre las concretas materias excluidas por el art. 86.1 CE, pero sí importa señalar que este tribunal ha advertido que el listado de ámbitos expresamente sustraídos al decreto-ley por ese precepto constitucional no significa que se pueda regular mediante decreto-ley cualquier otra materia. Así, en la STC 155/2005, de 9 de junio, FJ 5, tras recordar que al decreto-ley le está vedada la afectación de las materias enunciadas en el art. 86.1 CE, declara que “esta afectación no es, sin embargo, el único límite sustantivo al que la Constitución somete a los decretos-leyes, pues sobre estos opera también, como es obvio, el conjunto de reservas establecidas por el constituyente respecto de determinadas materias y en beneficio de específicas formas y procedimientos”.</w:t>
      </w:r>
    </w:p>
    <w:p w:rsidR="005728DD" w:rsidRDefault="005728DD" w:rsidP="005728DD">
      <w:pPr>
        <w:pStyle w:val="TextoNormal"/>
      </w:pPr>
    </w:p>
    <w:p w:rsidR="005728DD" w:rsidRDefault="005728DD" w:rsidP="005728DD">
      <w:pPr>
        <w:pStyle w:val="TextoNormal"/>
      </w:pPr>
      <w:r>
        <w:t>Sin pretensión de exhaustividad podemos señalar que entre tales reservas o límites materiales implícitos figuran los previstos en el art. 82 CE (leyes de delegación); art. 92 CE (autorización por el Congreso del referéndum consultivo); art. 93 CE (autorización por ley orgánica para la celebración de determinados tratados); art. 94.1 CE (autorización por las Cortes Generales para la prestación de consentimiento por el Estado para obligarse por medio de determinados tratados); art. 116 CE (autorización, declaración y prórroga, según los casos, de los estados de alarma, excepción y sitio); art. 134 CE (presupuestos generales del Estado) y art. 135.3 CE (autorización por ley para emitir deuda pública).</w:t>
      </w:r>
    </w:p>
    <w:p w:rsidR="005728DD" w:rsidRDefault="005728DD" w:rsidP="005728DD">
      <w:pPr>
        <w:pStyle w:val="TextoNormal"/>
      </w:pPr>
    </w:p>
    <w:p w:rsidR="005728DD" w:rsidRDefault="005728DD" w:rsidP="005728DD">
      <w:pPr>
        <w:pStyle w:val="TextoNormal"/>
      </w:pPr>
      <w:r>
        <w:t>Con la salvedad de esos límites materiales, expresos o implícitos, un decreto-ley puede abarcar cualquier contenido y esa regulación será constitucionalmente legítima siempre que se cumpla el presupuesto habilitante de la extraordinaria y urgente necesidad.</w:t>
      </w:r>
    </w:p>
    <w:p w:rsidR="005728DD" w:rsidRDefault="005728DD" w:rsidP="005728DD">
      <w:pPr>
        <w:pStyle w:val="TextoNormal"/>
      </w:pPr>
    </w:p>
    <w:p w:rsidR="005728DD" w:rsidRDefault="005728DD" w:rsidP="005728DD">
      <w:pPr>
        <w:pStyle w:val="TextoNormal"/>
      </w:pPr>
      <w:r>
        <w:t>En el caso que nos ocupa, las disposiciones del Real Decreto-ley 15/2020 que se impugnan introducen, como se ha expuesto, una modificación organizativa en la gestión del régimen de clases pasivas del Estado; un régimen especial de seguridad social que ha devenido residual desde el 1 de enero de 2011, fecha a partir de la cual los funcionarios públicos de nuevo ingreso que hasta entonces venían quedando incluidos en el ámbito de aplicación de aquel régimen especial pasan a estarlo en el régimen general de la seguridad social (cuya gestión corresponde al INSS), de conformidad con lo dispuesto en el art. 20 del Real Decreto-ley 13/2010, de 3 de diciembre.</w:t>
      </w:r>
    </w:p>
    <w:p w:rsidR="005728DD" w:rsidRDefault="005728DD" w:rsidP="005728DD">
      <w:pPr>
        <w:pStyle w:val="TextoNormal"/>
      </w:pPr>
    </w:p>
    <w:p w:rsidR="005728DD" w:rsidRDefault="005728DD" w:rsidP="005728DD">
      <w:pPr>
        <w:pStyle w:val="TextoNormal"/>
      </w:pPr>
      <w:r>
        <w:t>De esta suerte, la gestión del régimen de clases pasivas del Estado, hasta ahora atribuida a un centro directivo del Ministerio de Economía y Hacienda (a un centro directivo del Ministerio de Defensa en el caso de los funcionarios militares), se atribuye por la regulación impugnada del Real Decreto-ley 15/2020 al INSS, entidad gestora de la seguridad social adscrita al Ministerio de Inclusión, Seguridad Social y Migraciones, desde la fecha que determine el real decreto por el que se desarrolla la estructura orgánica básica de este departamento. Esta ha resultado ser el 6 de octubre de 2020, conforme a la disposición transitoria segunda del Real Decreto 497/2020, de 28 de abril. Desde esa fecha y hasta que se produzca la total asunción de la gestión del régimen de clases pasivas por el INSS, las funciones propias de esa gestión son asumidas por la Dirección General de Ordenación de la Seguridad Social. No hay dificultad en convenir con el abogado del Estado que esa modificación organizativa de la gestión del régimen de clases pasivas no afecta a ninguna de las materias constitucionalmente sustraídas al decreto-ley. No existe, en suma, infracción de los límites materiales del decreto-ley en las disposiciones impugnadas, ni cabe apreciar por este motivo, en consecuencia, quebranto alguno del principio de seguridad jurídica que consagra el art. 9.3 CE.</w:t>
      </w:r>
    </w:p>
    <w:p w:rsidR="005728DD" w:rsidRDefault="005728DD" w:rsidP="005728DD">
      <w:pPr>
        <w:pStyle w:val="TextoNormal"/>
      </w:pPr>
    </w:p>
    <w:p w:rsidR="005728DD" w:rsidRDefault="005728DD" w:rsidP="005728DD">
      <w:pPr>
        <w:pStyle w:val="TextoNormal"/>
      </w:pPr>
      <w:r>
        <w:t>Procede pues, entrar a examinar si concurre o no el presupuesto de la extraordinaria y urgente necesidad que habilita al Gobierno para aprobar mediante decreto-ley las medidas adoptadas en las disposiciones que se impugnan.</w:t>
      </w:r>
    </w:p>
    <w:p w:rsidR="005728DD" w:rsidRDefault="005728DD" w:rsidP="005728DD">
      <w:pPr>
        <w:pStyle w:val="TextoNormal"/>
      </w:pPr>
    </w:p>
    <w:p w:rsidR="005728DD" w:rsidRDefault="005728DD" w:rsidP="005728DD">
      <w:pPr>
        <w:pStyle w:val="TextoNormal"/>
      </w:pPr>
      <w:r w:rsidRPr="005728DD">
        <w:rPr>
          <w:rStyle w:val="NumeroAFNegritaCaracter"/>
        </w:rPr>
        <w:t>4</w:t>
      </w:r>
      <w:r>
        <w:t>. El art. 86.1 CE establece que en caso de extraordinaria y urgente necesidad el Gobierno podrá dictar disposiciones legislativas provisionales, que adoptarán la forma de decretos-leyes. La Constitución ha adoptado en este punto, según hemos dicho reiteradamente, una solución flexible y matizada que, por una parte, no lleva a la completa proscripción del decreto-ley en aras del mantenimiento de una rígida separación de los poderes, ni se limita a permitirlo de una forma totalmente excepcional en situaciones de necesidad absoluta.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en un plazo más breve que el requerido por la vía normal o por el procedimiento de urgencia para la tramitación parlamentaria de las leyes (SSTC 6/1983, de 4 de febrero, FJ 5; 31/2011, de 17 de marzo, FJ 4; 137/2011, de 14 de septiembre, FJ 6, y 100/2012, de 8 de mayo, FJ 8, entre otras).</w:t>
      </w:r>
    </w:p>
    <w:p w:rsidR="005728DD" w:rsidRDefault="005728DD" w:rsidP="005728DD">
      <w:pPr>
        <w:pStyle w:val="TextoNormal"/>
      </w:pPr>
    </w:p>
    <w:p w:rsidR="005728DD" w:rsidRDefault="005728DD" w:rsidP="005728DD">
      <w:pPr>
        <w:pStyle w:val="TextoNormal"/>
      </w:pPr>
      <w:r>
        <w:t>En todo caso, la doctrina constitucional viene señalando que la extraordinaria y urgente necesidad a que alude el art. 86.1 CE supone un requisito o presupuesto habilitante de inexcusable concurrencia para que el Gobierno pueda dictar normas con rango de ley, lo que se erige en auténtico límite jurídico de la actuación gubernamental mediante decretos-leyes. Tal actuación está sujeta, en consecuencia, al control de este tribunal, al que compete asegurar que los poderes públicos se mueven dentro del marco trazado por la Constitución (por todas, SSTC 100/2012, de 8 de mayo, FJ 8; 26/2016, de 18 de febrero, FJ 2, y 125/2016, de 7 de julio, FJ 2).</w:t>
      </w:r>
    </w:p>
    <w:p w:rsidR="005728DD" w:rsidRDefault="005728DD" w:rsidP="005728DD">
      <w:pPr>
        <w:pStyle w:val="TextoNormal"/>
      </w:pPr>
    </w:p>
    <w:p w:rsidR="005728DD" w:rsidRDefault="005728DD" w:rsidP="005728DD">
      <w:pPr>
        <w:pStyle w:val="TextoNormal"/>
      </w:pPr>
      <w:r>
        <w:t>También ha destacado este tribunal en reiterada doctrina que el concepto de extraordinaria y urgente necesidad del art. 86.1 CE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el Tribunal Constitucional puede, “en supuestos de uso abusivo o arbitrario, rechazar la definición que los órganos políticos hagan de una situación determinada” (SSTC 100/2012, de 8 de mayo, FJ 8; 237/2012, de 13 de diciembre, FJ 4, y 39/2013, de 14 de febrero, FJ 5).</w:t>
      </w:r>
    </w:p>
    <w:p w:rsidR="005728DD" w:rsidRDefault="005728DD" w:rsidP="005728DD">
      <w:pPr>
        <w:pStyle w:val="TextoNormal"/>
      </w:pPr>
    </w:p>
    <w:p w:rsidR="005728DD" w:rsidRDefault="005728DD" w:rsidP="005728DD">
      <w:pPr>
        <w:pStyle w:val="TextoNormal"/>
      </w:pPr>
      <w:r>
        <w:t xml:space="preserve">Por otra parte, la fiscalización que este tribunal puede llevar a cabo en relación con el presupuesto habilitante del decreto-ley consiste en un control jurisdiccional externo, en el sentido de que debe verificar, pero no sustituir, el juicio político o de oportunidad que corresponde al Gobierno (por todas, STC 142/2014, de 11 de septiembre, FJ 3, y las que allí se citan). Ese control requiere el análisis de dos aspectos: por un lado, comprobar si el Gobierno ha explicitado los motivos que ha tenido en cuenta para la aprobación del decreto-ley; por otro, verificar la existencia de una necesaria conexión entre la situación de urgencia definida y la medida concreta adoptada para subvenir a ella. Como señalamos en la STC 332/2005, de 15 de diciembre, FJ 6, aunque ambos aspectos están íntimamente ligados, su </w:t>
      </w:r>
      <w:r>
        <w:lastRenderedPageBreak/>
        <w:t>examen por separado facilita desde un punto de vista metodológico el análisis de las consideraciones de las partes y, en última instancia, el control que le corresponde efectuar a este tribunal.</w:t>
      </w:r>
    </w:p>
    <w:p w:rsidR="005728DD" w:rsidRDefault="005728DD" w:rsidP="005728DD">
      <w:pPr>
        <w:pStyle w:val="TextoNormal"/>
      </w:pPr>
    </w:p>
    <w:p w:rsidR="005728DD" w:rsidRDefault="005728DD" w:rsidP="005728DD">
      <w:pPr>
        <w:pStyle w:val="TextoNormal"/>
      </w:pPr>
      <w:r>
        <w:t>En cuanto a la definición de la situación de urgencia, la doctrina constitucional ha precisado que no es necesario que haya de contenerse en el propio decreto-ley, sino que tal presupuesto cabe deducirlo igualmente de una pluralidad de elementos. A este respecto, conviene recordar que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el preámbulo del decreto-ley, en el debate parlamentario de convalidación y en el propio expediente de elaboración de la norma (por todas, SSTC 29/1982, de 31 de mayo, FJ 4; 182/1997, de 28 de octubre, FJ 4; 11/2002, de 17 de enero, FJ 4, y 137/2003, de 3 de julio, FJ 3).</w:t>
      </w:r>
    </w:p>
    <w:p w:rsidR="005728DD" w:rsidRDefault="005728DD" w:rsidP="005728DD">
      <w:pPr>
        <w:pStyle w:val="TextoNormal"/>
      </w:pPr>
    </w:p>
    <w:p w:rsidR="005728DD" w:rsidRDefault="005728DD" w:rsidP="005728DD">
      <w:pPr>
        <w:pStyle w:val="TextoNormal"/>
      </w:pPr>
      <w:r>
        <w:t>Por otra parte, cuando lo que se discute no es la concurrencia del presupuesto habilitante del correspondiente decreto-ley en su conjunto, sino de singulares disposiciones del mismo, en el caso de los decretos-leyes “transversales”, dictados ante coyunturas económicas problemáticas (STC 199/2015, de 24 de septiembre, FJ 5), la necesaria justificación de la extraordinaria y urgente necesidad (art. 86.1 CE) ha de ser verificada en relación precisamente con los preceptos en concreto impugnados, como tiene reiteradamente declarado la doctrina constitucional (entre otras, SSTC 31/2011, de 17 de marzo, FJ 4; 137/2011, de 14 de septiembre, FJ 6; 170/2012, de 4 de octubre, FJ 5; 29/2015, de 19 de febrero, FJ 3, y 150/2017, de 21 de diciembre, FJ 3). Este examen no obstante debe venir precedido de una consideración genérica de las causas invocadas por el Gobierno para la aprobación del decreto-ley, como acto normativo unitario (por todas, STC 332/2005, FJ 5; 18/2016, de 4 de febrero, FJ 3, y 34/2017, de 1 de marzo, FJ 4).</w:t>
      </w:r>
    </w:p>
    <w:p w:rsidR="005728DD" w:rsidRDefault="005728DD" w:rsidP="005728DD">
      <w:pPr>
        <w:pStyle w:val="TextoNormal"/>
      </w:pPr>
    </w:p>
    <w:p w:rsidR="005728DD" w:rsidRDefault="005728DD" w:rsidP="005728DD">
      <w:pPr>
        <w:pStyle w:val="TextoNormal"/>
      </w:pPr>
      <w:r>
        <w:t>En fin, nuestra doctrina ha afirmado un doble criterio o perspectiva para valorar la existencia de la conexión de sentido: el contenido, por un lado, y la estructura, por otro, de las disposiciones incluidas en el decreto-ley controvertido (entre otras, SSTC 29/1982, FJ 3; 1/2012, de 13 de enero, FJ 11, y 39/2013, de 14 de febrero, FJ 9).</w:t>
      </w:r>
    </w:p>
    <w:p w:rsidR="005728DD" w:rsidRDefault="005728DD" w:rsidP="005728DD">
      <w:pPr>
        <w:pStyle w:val="TextoNormal"/>
      </w:pPr>
    </w:p>
    <w:p w:rsidR="005728DD" w:rsidRDefault="005728DD" w:rsidP="005728DD">
      <w:pPr>
        <w:pStyle w:val="TextoNormal"/>
      </w:pPr>
      <w:r w:rsidRPr="005728DD">
        <w:rPr>
          <w:rStyle w:val="NumeroAFNegritaCaracter"/>
        </w:rPr>
        <w:t>5</w:t>
      </w:r>
      <w:r>
        <w:t>. Los senadores recurrentes no discuten la concurrencia del presupuesto habilitante de la extraordinaria y urgente necesidad (art. 86.1 CE) en relación con el conjunto del Real Decreto-ley 15/2020, de 21 de abril, de medidas urgentes complementarias para apoyar la economía y el empleo, dictado, al igual que otros anteriores, tras el Real Decreto 463/2020, de 14 de marzo, por el que se declaró el estado de alarma para la gestión de la situación de crisis sanitaria ocasionada por la pandemia mundial del COVID-19. A esta disposición excepcional hace referencia explícita el Real Decreto-ley 15/2020 de continuo, en su preámbulo y en su cuerpo normativo.</w:t>
      </w:r>
    </w:p>
    <w:p w:rsidR="005728DD" w:rsidRDefault="005728DD" w:rsidP="005728DD">
      <w:pPr>
        <w:pStyle w:val="TextoNormal"/>
      </w:pPr>
    </w:p>
    <w:p w:rsidR="005728DD" w:rsidRDefault="005728DD" w:rsidP="005728DD">
      <w:pPr>
        <w:pStyle w:val="TextoNormal"/>
      </w:pPr>
      <w:r>
        <w:t xml:space="preserve">El preámbulo se extiende sobre las notorias circunstancias de emergencia (sanitaria, social y económica) provocadas por esa pandemia, que pormenoriza, y explicita asimismo los objetivos a los que en general se orientan las medidas que el Real Decreto-ley 15/2020 establece, que se concretan en “el fin de responder a las necesidades de apoyo reforzado derivadas de la prolongación de esta situación excepcional, de seguir protegiendo y dando soporte al tejido productivo y social, de minimizar el impacto y de facilitar que la actividad </w:t>
      </w:r>
      <w:r>
        <w:lastRenderedPageBreak/>
        <w:t>económica se recupere en cuanto empiece a remitir esta situación de emergencia de salud pública”. Con este fin, “se aprueba un nuevo paquete de medidas que refuerza, complementa y amplía las anteriormente adoptadas y se centra en el apoyo a las empresas y a los trabajadores”. Además se argumenta en cuanto al presupuesto habilitante del decreto-ley (la situación de extraordinaria y urgente art. 86.1 CE) que “ninguna duda ofrece que la situación que afronta nuestro país por la declaración de emergencia de salud pública de importancia internacional, unida a la declaración de estado de alarma, generan la concurrencia de motivos que justifican la extraordinaria y urgente necesidad de adoptar diversas medidas”; y que “en el actual escenario de contención y prevención del COVID-19 es urgente y necesario atajar la epidemia y evitar su propagación para proteger la salud pública a la vez que se adoptan vía legislación de excepción medidas de contenido económico y social para afrontar sus consecuencias en la ciudadanía, en particular, en los colectivos vulnerables, y en los agentes económicos sin olvidar al propio sector público”.</w:t>
      </w:r>
    </w:p>
    <w:p w:rsidR="005728DD" w:rsidRDefault="005728DD" w:rsidP="005728DD">
      <w:pPr>
        <w:pStyle w:val="TextoNormal"/>
      </w:pPr>
    </w:p>
    <w:p w:rsidR="005728DD" w:rsidRDefault="005728DD" w:rsidP="005728DD">
      <w:pPr>
        <w:pStyle w:val="TextoNormal"/>
      </w:pPr>
      <w:r>
        <w:t>Ni los senadores recurrentes ponen en cuestión esa justificación de conjunto del Real Decreto-ley 15/2020 (antes bien, la comparten de modo expreso), ni este tribunal puede dejar de constatar la existencia de una situación de extraordinaria y urgente necesidad que el Gobierno apreció y explicitó, con carácter general, al aprobar ese decreto-ley, en los términos indicados. Cosa distinta es si en las disposiciones del Real Decreto-ley 15/2020 impugnadas en el presente recurso cabe apreciar la concurrencia del presupuesto habilitante exigido por el art. 86.1 CE.</w:t>
      </w:r>
    </w:p>
    <w:p w:rsidR="005728DD" w:rsidRDefault="005728DD" w:rsidP="005728DD">
      <w:pPr>
        <w:pStyle w:val="TextoNormal"/>
      </w:pPr>
    </w:p>
    <w:p w:rsidR="005728DD" w:rsidRDefault="005728DD" w:rsidP="005728DD">
      <w:pPr>
        <w:pStyle w:val="TextoNormal"/>
      </w:pPr>
      <w:r>
        <w:t>Los recurrentes consideran, según se ha visto, que las razones ofrecidas por el Gobierno no justifican la existencia del presupuesto habilitante respecto de las concretas disposiciones impugnadas, que modifican la gestión del régimen de clases pasivas del Estado, que pasa a asumir el INSS (transitoriamente, la Dirección General de Ordenación de la Seguridad Social). Estiman que la motivación ofrecida en el preámbulo del Real Decreto-ley 15/2020 es genérica y vacía de contenido, pues simplemente se hace referencia al desarrollo de funciones con arreglo a las necesidades organizativas de los departamentos ministeriales, sin aportar ningún dato que permita vislumbrar la extraordinaria y urgente necesidad. Niegan también los recurrentes que exista conexión de sentido entre la supuesta situación de urgencia y las medidas que se adoptan en las disposiciones impugnadas del Real Decreto-ley 15/2020 respecto a la gestión del régimen de clases pasivas.</w:t>
      </w:r>
    </w:p>
    <w:p w:rsidR="005728DD" w:rsidRDefault="005728DD" w:rsidP="005728DD">
      <w:pPr>
        <w:pStyle w:val="TextoNormal"/>
      </w:pPr>
    </w:p>
    <w:p w:rsidR="005728DD" w:rsidRDefault="005728DD" w:rsidP="005728DD">
      <w:pPr>
        <w:pStyle w:val="TextoNormal"/>
      </w:pPr>
      <w:r>
        <w:t>Por el contrario, la representación del Gobierno sostiene que las circunstancias existentes en el momento de dictarse el Real Decreto-ley 15/2020 justificarían la utilización de la norma excepcional para adecuar de modo inmediato el aparato administrativo a los nuevos objetivos de la acción gubernamental (mediante modificaciones normativas limitadas al aspecto organizativo), ante la paralización de la actividad legislativa ordinaria como consecuencia de la declaración del estado de alarma para hacer frente a la crisis provocada por la pandemia del COVID-19. De otro modo se habría frustrado la reorganización de funciones que, en materia de gestión del régimen de clases pasivas, había llevado a cabo el Real Decreto 2/2020, de 12 de enero, por el que se reestructuran los departamentos ministeriales. Existiría también conexión de sentido entre la situación de urgencia definida y las medidas adoptadas sobre la gestión del régimen de clases pasivas, que son coherentes con la finalidad expuesta en el preámbulo del Real Decreto-ley 15/2020 de materializar las previsiones de atribución competencial derivadas de la constitución de un nuevo Gobierno tras las elecciones generales de 10 de noviembre de 2019.</w:t>
      </w:r>
    </w:p>
    <w:p w:rsidR="005728DD" w:rsidRDefault="005728DD" w:rsidP="005728DD">
      <w:pPr>
        <w:pStyle w:val="TextoNormal"/>
      </w:pPr>
    </w:p>
    <w:p w:rsidR="005728DD" w:rsidRDefault="005728DD" w:rsidP="005728DD">
      <w:pPr>
        <w:pStyle w:val="TextoNormal"/>
      </w:pPr>
      <w:r>
        <w:t>A tenor de lo alegado por las partes y de acuerdo con la pauta de control que seguimos cuando se discute la concurrencia del presupuesto habilitante de la potestad legislativa excepcional del Gobierno, analizaremos si existía una concreta situación de extraordinaria y urgente necesidad en relación con las disposiciones del Real Decreto-ley 15/2020 que se impugnan en este recurso y, en su caso, si las medidas adoptadas en las disposiciones impugnadas guardan conexión de sentido con la situación de necesidad definida.</w:t>
      </w:r>
    </w:p>
    <w:p w:rsidR="005728DD" w:rsidRDefault="005728DD" w:rsidP="005728DD">
      <w:pPr>
        <w:pStyle w:val="TextoNormal"/>
      </w:pPr>
    </w:p>
    <w:p w:rsidR="005728DD" w:rsidRDefault="005728DD" w:rsidP="005728DD">
      <w:pPr>
        <w:pStyle w:val="TextoNormal"/>
      </w:pPr>
      <w:r w:rsidRPr="005728DD">
        <w:rPr>
          <w:rStyle w:val="NumeroAFNegritaCaracter"/>
        </w:rPr>
        <w:t>6</w:t>
      </w:r>
      <w:r>
        <w:t>. De acuerdo con el canon de control expuesto, habremos de examinar si en las impugnadas disposiciones adicionales sexta y séptima, transitoria segunda y final primera del Real Decreto-ley 15/2020 concurre el presupuesto habilitante de la extraordinaria y urgente necesidad exigido por el art. 86.1 CE.</w:t>
      </w:r>
    </w:p>
    <w:p w:rsidR="005728DD" w:rsidRDefault="005728DD" w:rsidP="005728DD">
      <w:pPr>
        <w:pStyle w:val="TextoNormal"/>
      </w:pPr>
    </w:p>
    <w:p w:rsidR="005728DD" w:rsidRDefault="005728DD" w:rsidP="005728DD">
      <w:pPr>
        <w:pStyle w:val="TextoNormal"/>
      </w:pPr>
      <w:r>
        <w:t>Como se recordó en el fundamento jurídico que antecede, la justificación por el Gobierno de la adopción mediante decreto-ley de esas normas ha de verificarse por este tribunal mediante una consideración de conjunto y a partir de las razones que se explicitan en el preámbulo del decreto-ley, en el debate parlamentario de su convalidación y en el propio expediente de elaboración del mismo, señaladamente en la memoria.</w:t>
      </w:r>
    </w:p>
    <w:p w:rsidR="005728DD" w:rsidRDefault="005728DD" w:rsidP="005728DD">
      <w:pPr>
        <w:pStyle w:val="TextoNormal"/>
      </w:pPr>
    </w:p>
    <w:p w:rsidR="005728DD" w:rsidRDefault="005728DD" w:rsidP="005728DD">
      <w:pPr>
        <w:pStyle w:val="TextoNormal"/>
      </w:pPr>
      <w:r>
        <w:t>Ya quedó indicado en el precedente fundamento jurídico de esta sentencia que la justificación común o general del Real Decreto-ley 15/2020 reside, a tenor de su preámbulo, en la necesidad de subvenir de inmediato a las consecuencias sociales y económicas provocadas por la crisis sanitaria causada por la pandemia del COVID-19, emergencia que también está en el origen de la previa declaración del estado de alarma por el Real Decreto 463/2020, de 14 de marzo, al que el propio Real Decreto-ley 15/2020 se refiere de continuo. Estas circunstancias extraordinarias fueron asimismo puestas de manifiesto en la presentación que de este decreto-ley realizó la vicepresidenta tercera del Gobierno y ministra de asuntos económicos y transformación digital en el trámite de convalidación parlamentaria (“Diario de Sesiones del Congreso de los Diputados. Pleno y diputación permanente”, XIV legislatura, 2020, núm. 22, pp. 40 a 44).</w:t>
      </w:r>
    </w:p>
    <w:p w:rsidR="005728DD" w:rsidRDefault="005728DD" w:rsidP="005728DD">
      <w:pPr>
        <w:pStyle w:val="TextoNormal"/>
      </w:pPr>
    </w:p>
    <w:p w:rsidR="005728DD" w:rsidRDefault="005728DD" w:rsidP="005728DD">
      <w:pPr>
        <w:pStyle w:val="TextoNormal"/>
      </w:pPr>
      <w:r>
        <w:t>Este tribunal no aprecia que las disposiciones impugnadas guarden conexión de sentido alguna, conforme a nuestra reiterada doctrina, con esa causa común o general de extraordinaria y urgente necesidad que llevó a la adopción del Real Decreto-ley 15/2020. Es patente que no existe ningún vínculo de adecuación entre la situación definida por el Gobierno, constitutiva del presupuesto habilitante genérico del Real Decreto-ley 15/2020 y la singular regulación contenida en las disposiciones del mismo que se impugnan en el presente recurso, orientadas a realizar modificaciones legislativas en la regulación del régimen de clases pasivas para acomodarlo a la decisión de reorganización administrativa prevista en el Real Decreto 2/2020, de 12 de enero, consistente en el traspaso de la gestión de ese régimen de seguridad social al Ministerio de Inclusión, Seguridad Social y Migraciones (a través del INSS). No se alcanza a comprender qué razonable conexión de sentido pudiera existir entre las consecuencias sociales y económicas provocadas a raíz de la pandemia del COVID-19 y la reorganización administrativa del régimen de clases pasivas.</w:t>
      </w:r>
    </w:p>
    <w:p w:rsidR="005728DD" w:rsidRDefault="005728DD" w:rsidP="005728DD">
      <w:pPr>
        <w:pStyle w:val="TextoNormal"/>
      </w:pPr>
    </w:p>
    <w:p w:rsidR="005728DD" w:rsidRDefault="005728DD" w:rsidP="005728DD">
      <w:pPr>
        <w:pStyle w:val="TextoNormal"/>
      </w:pPr>
      <w:r>
        <w:t xml:space="preserve">Por tanto, debe rechazarse que las disposiciones impugnadas pudieran encontrar una justificación objetiva de la extraordinaria y urgente necesidad por su eventual conexión de </w:t>
      </w:r>
      <w:r>
        <w:lastRenderedPageBreak/>
        <w:t>sentido (inexistente, como queda dicho) con las circunstancias que justificaron, en general, la adopción del Real Decreto-ley 15/2020 en el que esas disposiciones quedan integradas.</w:t>
      </w:r>
    </w:p>
    <w:p w:rsidR="005728DD" w:rsidRDefault="005728DD" w:rsidP="005728DD">
      <w:pPr>
        <w:pStyle w:val="TextoNormal"/>
      </w:pPr>
    </w:p>
    <w:p w:rsidR="005728DD" w:rsidRDefault="005728DD" w:rsidP="005728DD">
      <w:pPr>
        <w:pStyle w:val="TextoNormal"/>
      </w:pPr>
      <w:r>
        <w:t>Queda pues por ver si, conforme a lo anteriormente razonado, las disposiciones impugnadas pudieran contar con un presupuesto habilitante específico y distinto al que se explicitó por el Gobierno para la aprobación, como acto normativo unitario, del Real Decreto-ley 15/2020.</w:t>
      </w:r>
    </w:p>
    <w:p w:rsidR="005728DD" w:rsidRDefault="005728DD" w:rsidP="005728DD">
      <w:pPr>
        <w:pStyle w:val="TextoNormal"/>
      </w:pPr>
    </w:p>
    <w:p w:rsidR="005728DD" w:rsidRDefault="005728DD" w:rsidP="005728DD">
      <w:pPr>
        <w:pStyle w:val="TextoNormal"/>
      </w:pPr>
      <w:r w:rsidRPr="005728DD">
        <w:rPr>
          <w:rStyle w:val="NumeroAFNegritaCaracter"/>
        </w:rPr>
        <w:t>7</w:t>
      </w:r>
      <w:r>
        <w:t>. El preámbulo del Real Decreto-ley 15/2020 se refiere en su apartado VI a las modificaciones legales que se abordan como consecuencia de la atribución de la gestión del régimen de clases pasivas en el Ministerio de Inclusión, Seguridad Social y Migraciones. Se afirma allí lo siguiente:</w:t>
      </w:r>
    </w:p>
    <w:p w:rsidR="005728DD" w:rsidRDefault="005728DD" w:rsidP="005728DD">
      <w:pPr>
        <w:pStyle w:val="TextoNormal"/>
      </w:pPr>
    </w:p>
    <w:p w:rsidR="005728DD" w:rsidRDefault="005728DD" w:rsidP="005728DD">
      <w:pPr>
        <w:pStyle w:val="TextoNormal"/>
      </w:pPr>
      <w:r>
        <w:t>“A la luz de la atribución de competencias prevista en el Real Decreto 2/2020, de 12 de enero, por el que se reestructuran los departamentos ministeriales, la organización del nuevo Ministerio de Inclusión, Seguridad Social y Migraciones hace necesarias algunas modificaciones normativas para hacer efectiva la integración del régimen de clases pasivas en el citado Ministerio.</w:t>
      </w:r>
    </w:p>
    <w:p w:rsidR="005728DD" w:rsidRDefault="005728DD" w:rsidP="005728DD">
      <w:pPr>
        <w:pStyle w:val="TextoNormal"/>
      </w:pPr>
    </w:p>
    <w:p w:rsidR="005728DD" w:rsidRDefault="005728DD" w:rsidP="005728DD">
      <w:pPr>
        <w:pStyle w:val="TextoNormal"/>
      </w:pPr>
      <w:r>
        <w:t>En esta línea, el calendario para llevar a cabo las modificaciones legales necesarias para la integración efectiva del régimen de clases pasivas en el Ministerio de Inclusión, Seguridad Social y Migraciones se ha visto radicalmente alterado por la crisis sanitaria provocada por el COVID-19 en la que se han centrado los esfuerzos de la acción del Gobierno en las últimas cinco semanas. En este sentido, es razonable considerar que esos cambios normativos no pueden ser aprobados mediante el procedimiento ordinario de tramitación parlamentaria, pues ello implicaría que, hasta la aprobación de tales reformas legislativas, la estructura organizativa derivada del Real Decreto 2/2020 no podría materializarse y, por lo tanto, los órganos competentes no podrían desarrollar las funciones que tienen atribuidas con arreglo al citado real decreto. Esa circunstancia generaría inseguridad jurídica e incertidumbre en una materia, las pensiones, particularmente sensible para el conjunto de la ciudadanía. Tal motivo justifica la extraordinaria y urgente necesidad de la situación y la conexión con ella de las medidas adoptadas”.</w:t>
      </w:r>
    </w:p>
    <w:p w:rsidR="005728DD" w:rsidRDefault="005728DD" w:rsidP="005728DD">
      <w:pPr>
        <w:pStyle w:val="TextoNormal"/>
      </w:pPr>
    </w:p>
    <w:p w:rsidR="005728DD" w:rsidRDefault="005728DD" w:rsidP="005728DD">
      <w:pPr>
        <w:pStyle w:val="TextoNormal"/>
      </w:pPr>
      <w:r>
        <w:t>El debate y votación de totalidad para la convalidación o derogación por el Congreso de los Diputados del Real Decreto-ley 15/2020, de 21 de abril, se celebró en el Pleno de la Cámara el 13 de mayo del mismo año. No hay referencia alguna a las disposiciones objeto del presente recurso (ni en general a las modificaciones legislativas en materia de gestión del régimen de clases pasivas) en la presentación que del Real Decreto-ley 15/2020 realizó la vicepresidenta tercera del Gobierno y ministra de asuntos económicos y transformación digital (“Diario de Sesiones del Congreso de los Diputados”, cit., pp. 40 a 44). Sí constan sendas intervenciones críticas con la oportunidad y sentido del traspaso de la gestión del régimen de clases pasivas al Ministerio de Inclusión, Seguridad Social y Migraciones. Corrieron a cargo de dos diputados (“Diario de Sesiones del Congreso de los Diputados”, cit., pp. 52 y 59), uno de ellos del Grupo Parlamentario Plural (que expresó su preocupación por ese cambio organizativo) y otro del Grupo Parlamentario Popular (que manifestó que la medida nada tiene que ver con la situación creada por la pandemia del COVID-19 y que no debe ser regulada por decreto-ley, sino que exige la tramitación ordinaria). El Real Decreto-</w:t>
      </w:r>
      <w:r>
        <w:lastRenderedPageBreak/>
        <w:t>ley 15/2020 fue finalmente convalidado, acordándose su tramitación como proyecto de ley por el procedimiento de urgencia (art. 86.3 CE), como ya se dijo.</w:t>
      </w:r>
    </w:p>
    <w:p w:rsidR="005728DD" w:rsidRDefault="005728DD" w:rsidP="005728DD">
      <w:pPr>
        <w:pStyle w:val="TextoNormal"/>
      </w:pPr>
    </w:p>
    <w:p w:rsidR="005728DD" w:rsidRDefault="005728DD" w:rsidP="005728DD">
      <w:pPr>
        <w:pStyle w:val="TextoNormal"/>
      </w:pPr>
      <w:r>
        <w:t>Por último, en la memoria de análisis de impacto normativo de lo que luego sería el Real Decreto-ley 15/2020 se indica (en lo que hace al presente caso) que “[a] raíz de la atribución de competencias prevista en el Real Decreto 2/2020, de 12 de enero, por el que se reestructuran los departamentos ministeriales, la organización del nuevo Ministerio de Inclusión, Seguridad Social y Migraciones hace necesarias algunas modificaciones normativas para hacer efectiva la integración del régimen de clases pasivas en el citado ministerio […]”, a lo que sigue la muy escueta referencia al contenido de las disposiciones impugnadas: “La disposición adicional sexta dispone una adaptación normativa de la legislación del régimen de clases pasivas […]. La disposición adicional séptima se refiere a la financiación estatal de los gastos imputables a la gestión del régimen de clases pasivas […]. La disposición transitoria segunda dispone un régimen transitorio en la gestión del régimen de clases pasivas […]. La disposición final primera modifica el texto refundido de la Ley de clases pasivas del Estado, aprobado por el Real Decreto Legislativo 670/1987, de 30 de abril […]”.</w:t>
      </w:r>
    </w:p>
    <w:p w:rsidR="005728DD" w:rsidRDefault="005728DD" w:rsidP="005728DD">
      <w:pPr>
        <w:pStyle w:val="TextoNormal"/>
      </w:pPr>
    </w:p>
    <w:p w:rsidR="005728DD" w:rsidRDefault="005728DD" w:rsidP="005728DD">
      <w:pPr>
        <w:pStyle w:val="TextoNormal"/>
      </w:pPr>
      <w:r>
        <w:t>Así pues, el Gobierno, conforme se expresa en el preámbulo del Real Decreto-ley 15/2020 (apartado VI), afirma que la extraordinaria y urgente necesidad (y la conexión con ella de las medidas adoptadas) que justifica el empleo del decreto-ley para abordar las reformas necesarias para el traspaso de la gestión del régimen de clases pasivas, en cumplimiento de las previsiones contenidas en el Real Decreto 2/2020, de 12 de enero, por el que se reestructuran los departamentos ministeriales, reside en el trastorno provocado por la pandemia del COVID-19 en el calendario gubernamental previsto para llevar a cabo esa reorganización administrativa, que hace “razonable considerar que esos cambios normativos no pueden ser aprobados mediante el procedimiento ordinario de tramitación parlamentaria”. Expresado con las palabras del abogado del Estado en sus alegaciones en el presente recurso, “el presupuesto habilitante de la extraordinaria y urgente necesidad viene motivado por la crisis sanitaria provocada por el COVID-19, que ha supuesto una alteración en el calendario para llevar a cabo las modificaciones legales necesarias para la integración efectiva del régimen de clases pasivas en el Ministerio de Inclusión, Seguridad Social y Migraciones, desconociéndose, desde la declaración del estado de alarma, la duración de esta situación”.</w:t>
      </w:r>
    </w:p>
    <w:p w:rsidR="005728DD" w:rsidRDefault="005728DD" w:rsidP="005728DD">
      <w:pPr>
        <w:pStyle w:val="TextoNormal"/>
      </w:pPr>
    </w:p>
    <w:p w:rsidR="005728DD" w:rsidRDefault="005728DD" w:rsidP="005728DD">
      <w:pPr>
        <w:pStyle w:val="TextoNormal"/>
      </w:pPr>
      <w:r>
        <w:t>Es indudable que el traspaso de la gestión del régimen de clases pasivas al Ministerio de Inclusión, Seguridad Social y Migraciones en esta legislatura puede erigirse en objetivo legítimo y necesario (o, al menos, conveniente) para el Gobierno, cuyo juicio sobre la importancia política del mismo no podemos sustituir. Cosa bien distinta es que cumplir ese objetivo sea algo extraordinario y urgente, de modo que se justifique el recurso al decreto-ley para tratar de satisfacerlo.</w:t>
      </w:r>
    </w:p>
    <w:p w:rsidR="005728DD" w:rsidRDefault="005728DD" w:rsidP="005728DD">
      <w:pPr>
        <w:pStyle w:val="TextoNormal"/>
      </w:pPr>
    </w:p>
    <w:p w:rsidR="005728DD" w:rsidRDefault="005728DD" w:rsidP="005728DD">
      <w:pPr>
        <w:pStyle w:val="TextoNormal"/>
      </w:pPr>
      <w:r>
        <w:t xml:space="preserve">Cabe advertir que la tendencia a la unidad de gestión de los diferentes regímenes del sistema de la seguridad social ya se plasmó durante el periodo constituyente en el Real Decreto-ley 36/1978, de 16 de noviembre, sobre gestión institucional de la Seguridad Social, la salud y el empleo, aun cuando los regímenes especiales de funcionarios quedaron entonces fuera de este impulso unificador. En cuanto a estos regímenes especiales, tradicionalmente articulados mediante una dualidad de instrumentos protectores, el régimen de clases pasivas (gestionado en sus respectivos ámbitos por los ministerios de hacienda y de defensa) </w:t>
      </w:r>
      <w:r>
        <w:lastRenderedPageBreak/>
        <w:t>y el mutualismo administrativo (gestionado por las distintas mutualidades de cada régimen especial), es obligado recordar lo establecido por el ya citado art. 20 del Real Decreto-ley 13/2010, de 3 de diciembre, que dispuso la inclusión en el régimen general de la seguridad social de los funcionarios públicos de nuevo ingreso a partir del 1 de enero de 2011 y con vigencia indefinida.</w:t>
      </w:r>
    </w:p>
    <w:p w:rsidR="005728DD" w:rsidRDefault="005728DD" w:rsidP="005728DD">
      <w:pPr>
        <w:pStyle w:val="TextoNormal"/>
      </w:pPr>
    </w:p>
    <w:p w:rsidR="005728DD" w:rsidRDefault="005728DD" w:rsidP="005728DD">
      <w:pPr>
        <w:pStyle w:val="TextoNormal"/>
      </w:pPr>
      <w:r>
        <w:t>De este modo, los funcionarios ingresados tras el 1 de enero de 2011 quedan incluidos en el régimen general de la seguridad social, gestionado por el INSS, con la particularidad de que para estos funcionarios se mantiene la acción protectora del mutualismo administrativo correspondiente. El régimen de clases pasivas se convirtió así a partir del año 2011 en un régimen a extinguir de forma progresiva (los funcionarios ingresados antes de esa fecha permanecen incluidos en el ámbito de cobertura de este régimen), cuya gestión seguía atribuida al Ministerio de Hacienda (al Ministerio de Defensa en el caso de los funcionarios militares).</w:t>
      </w:r>
    </w:p>
    <w:p w:rsidR="005728DD" w:rsidRDefault="005728DD" w:rsidP="005728DD">
      <w:pPr>
        <w:pStyle w:val="TextoNormal"/>
      </w:pPr>
    </w:p>
    <w:p w:rsidR="005728DD" w:rsidRDefault="005728DD" w:rsidP="005728DD">
      <w:pPr>
        <w:pStyle w:val="TextoNormal"/>
      </w:pPr>
      <w:r>
        <w:t>En modo alguno puede resultar extravagante en este contexto la decisión de atribuir también al INSS, entidad gestora de la seguridad social adscrita al Ministerio de Inclusión, Seguridad Social y Migraciones, la gestión de las pensiones del cada vez más residual régimen de clases pasivas. Esa decisión es, por supuesto, constitucionalmente legítima desde la perspectiva material y en cualquier caso no se discute en el presente recurso. Pero lo que no se advierte es que sea de una urgencia extraordinaria. El Gobierno, desde luego, no ha ofrecido una justificación en tal sentido. No consta, por otra parte, que desde la entrada en vigor de lo dispuesto en el art. 20 del Real Decreto-ley 13/2010 (1 de enero de 2011) hayan sobrevenido circunstancias nuevas que impusieran objetivamente el inmediato traspaso de la gestión del régimen de clases pasivas al Ministerio de Inclusión, Seguridad Social (a través del INSS), traspaso cuya efectividad queda diferida por otra parte en varios meses (hasta el 6 de octubre de 2020), lo que supone que la eficacia de las disposiciones impugnadas del Real Decreto-ley 15/2020 no es inmediata y directa, pues la materialización del traspaso de la gestión del régimen de clases pasivas al INSS se sitúa en un momento muy posterior al de la entrada en vigor de este decreto-ley (23 de abril de 2020, conforme a su disposición final decimotercera).</w:t>
      </w:r>
    </w:p>
    <w:p w:rsidR="005728DD" w:rsidRDefault="005728DD" w:rsidP="005728DD">
      <w:pPr>
        <w:pStyle w:val="TextoNormal"/>
      </w:pPr>
    </w:p>
    <w:p w:rsidR="005728DD" w:rsidRDefault="005728DD" w:rsidP="005728DD">
      <w:pPr>
        <w:pStyle w:val="TextoNormal"/>
      </w:pPr>
      <w:r>
        <w:t xml:space="preserve">En cuanto a las razones de certidumbre y de seguridad jurídica que se apuntan en el preámbulo del Real Decreto-ley 15/2020, las mismas pueden servir para justificar las concretas medidas adoptadas, pero no su urgencia y necesidad o, en otras palabras, no la sustracción de esta ordenación al procedimiento parlamentario ordinario. Entender lo contrario supondría, como dijimos en la STC 68/2007, de 28 de marzo, FJ 8, que se podría excluir del procedimiento legislativo ordinario toda decisión que comportara un beneficio para sus destinatarios, lo que no se corresponde con nuestro modelo constitucional. Ello sin perjuicio de señalar que no se alcanza a comprender por qué una dilación en el traspaso de la gestión del régimen de clases pasivas al Ministerio de Inclusión, Seguridad Social y Migraciones (a través del INSS) habría de generar “inseguridad jurídica e incertidumbre en una materia, las pensiones, particularmente sensible para el conjunto de la ciudadanía”, como se afirma en el preámbulo del Real Decreto-ley 15/2020. Es obvio que las modificaciones legislativas que lleva a cabo este decreto-ley en las disposiciones impugnadas se limitan a acomodar la regulación del régimen de clases pasivas al traspaso de la gestión de este régimen al INSS, de modo que a los pensionistas en nada les afecta que esas pensiones sean reconocidas y abonadas por una u otra entidad pública. En suma, no se aprecia que el Gobierno se estuviera </w:t>
      </w:r>
      <w:r>
        <w:lastRenderedPageBreak/>
        <w:t>enfrentando en este caso a una situación de excepcionalidad, gravedad, relevancia e imprevisibilidad que determinara la necesidad de una acción normativa inmediata en un plazo más breve que el requerido para la tramitación parlamentaria de las leyes.</w:t>
      </w:r>
    </w:p>
    <w:p w:rsidR="005728DD" w:rsidRDefault="005728DD" w:rsidP="005728DD">
      <w:pPr>
        <w:pStyle w:val="TextoNormal"/>
      </w:pPr>
    </w:p>
    <w:p w:rsidR="005728DD" w:rsidRDefault="005728DD" w:rsidP="005728DD">
      <w:pPr>
        <w:pStyle w:val="TextoNormal"/>
      </w:pPr>
      <w:r>
        <w:t>Tampoco resulta justificado el empleo del decreto-ley para llevar a cabo la regulación contenida en las disposiciones impugnadas por la circunstancia de la declaración del estado de alarma en virtud del Real Decreto 463/2020, de 14 de marzo, para hacer frente a la crisis sanitaria provocada por la pandemia de COVID-19. En todo caso, nada impedía la presentación de un proyecto de ley por el Gobierno que abordase las modificaciones legislativas del régimen de clases pasivas necesarias para acomodarlo a la reorganización de este régimen de seguridad social, prevista en el Real Decreto 2/2020, de 12 de enero, por el que se reestructuran los departamentos ministeriales. Más aún, habida cuenta de que esa reorganización administrativa estaba prevista en el art. 22 de este real decreto, publicado en el “Boletín Oficial del Estado” el 13 de enero de 2020, nada impedía al Gobierno que hubiera ejercido ya desde entonces su iniciativa legislativa (art. 87.1 CE) para promover las modificaciones legislativas necesarias en materia de clases pasivas destinadas a acomodar la regulación de este régimen de seguridad social a la decisión de traspasar su gestión al Ministerio de Inclusión, Seguridad Social y Migraciones (a través del INSS).</w:t>
      </w:r>
    </w:p>
    <w:p w:rsidR="005728DD" w:rsidRDefault="005728DD" w:rsidP="005728DD">
      <w:pPr>
        <w:pStyle w:val="TextoNormal"/>
      </w:pPr>
    </w:p>
    <w:p w:rsidR="005728DD" w:rsidRDefault="005728DD" w:rsidP="005728DD">
      <w:pPr>
        <w:pStyle w:val="TextoNormal"/>
      </w:pPr>
      <w:r>
        <w:t>En suma, no se ha justificado por el Gobierno, ni es en absoluto discernible por este tribunal, en los términos que exige el art. 86.1 CE y nuestra reiterada doctrina al respecto, por qué razón constitucional se ha acudido a la legislación de urgencia para llevar a cabo la reforma normativa que se contiene en las disposiciones impugnadas del Real Decreto-ley 15/2020 o, en otros términos, cómo podría haberse visto perjudicada la misma de haberse contenido en un proyecto de ley sometido a la correspondiente tramitación parlamentaria. El mero deseo o interés del Gobierno en la inmediata entrada en vigor de la reforma no constituye una justificación de su extraordinaria y urgente necesidad (STC 68/2007, FJ 9), lo mismo que la opción por el empleo de una concreta técnica o formulación normativa, existiendo otras que no obstaculizan el cumplimiento de los objetivos de la medida, no permite sacrificar la posición institucional del poder legislativo. Tal sacrificio el art. 86.1 CE lo condiciona a la satisfacción de una necesidad extraordinaria y urgente, pero no, por muy legítimos que sean los objetivos que se tratan de alcanzar, al designio de “abreviar el proceso” o de “utilizar la vía más rápida” o “el mecanismo más directo”, que no es el fundamento de la potestad legislativa extraordinaria del Gobierno (STC 125/2016, de 7 de julio, FJ 4). Las circunstancias a las que se refiere el art. 86.1 CE no se definen o determinan a voluntad, so pena de devaluar y vaciar de contenido este precepto constitucional, de modo que el empleo del decreto-ley únicamente se justifica en casos objetivos de urgente y extraordinaria necesidad, esto es, ante coyunturas en las que se haga presente la exigencia de una intervención normativa inmediata, solo atendible mediante esa disposición legislativa provisional; algo muy distinto, en suma, a la simple conveniencia de contar, lo antes posible, con la norma que el Gobierno estime oportuna. Este interés gubernamental puede ser todo lo respetable que se quiera, pero no justifica, como es obvio, el desplazamiento de la potestad legislativa de las Cortes Generales (art. 66.2 CE) y, con ello, de la intervención de las minorías en el procedimiento legislativo parlamentario.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En conclusión, el Real Decreto-ley 15/2020 se ha dictado sin que concurriera la extraordinaria y urgente necesidad que exige el art. 86.1 CE en cuanto a las disposiciones </w:t>
      </w:r>
      <w:r>
        <w:lastRenderedPageBreak/>
        <w:t>impugnadas en el presente recurso. Tales disposiciones han de ser, en consecuencia, declaradas inconstitucionales y nulas.</w:t>
      </w:r>
    </w:p>
    <w:p w:rsidR="005728DD" w:rsidRDefault="005728DD" w:rsidP="005728DD">
      <w:pPr>
        <w:pStyle w:val="TextoNormal"/>
      </w:pPr>
    </w:p>
    <w:p w:rsidR="005728DD" w:rsidRDefault="005728DD" w:rsidP="005728DD">
      <w:pPr>
        <w:pStyle w:val="TextoNormal"/>
      </w:pPr>
      <w:r>
        <w:t>Es además procedente disponer una excepción a la nulidad inmediata que, como regla y de acuerdo con el art. 39.1 LOTC, sigue a un pronunciamiento de inconstitucionalidad, para atender adecuadamente a otros valores con trascendencia constitucional, como lo son en este caso los derechos de los beneficiarios de las prestaciones del régimen de clases pasivas. Estos podrían experimentar un perjuicio si las disposiciones del Real Decreto-ley 15/2020 declaradas inconstitucionales fueran asimismo anuladas de forma inmediata, por el vacío normativo que se produciría en cuanto a la gestión de ese régimen especial de seguridad social.</w:t>
      </w:r>
    </w:p>
    <w:p w:rsidR="005728DD" w:rsidRDefault="005728DD" w:rsidP="005728DD">
      <w:pPr>
        <w:pStyle w:val="TextoNormal"/>
      </w:pPr>
    </w:p>
    <w:p w:rsidR="005728DD" w:rsidRDefault="005728DD" w:rsidP="005728DD">
      <w:pPr>
        <w:pStyle w:val="TextoNormal"/>
      </w:pPr>
      <w:r>
        <w:t>Por tanto, la nulidad derivada de la declaración de inconstitucionalidad debe quedar en este caso diferida hasta el 1 de enero de 2022, a fin de que antes de que expire ese plazo se pueda proceder a sustituir la regulación declarada inconstitucional y nula (por incumplimiento del presupuesto habilitante del art. 86.1 CE) por la regulación legal pertinente.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inconstitucionalidad y, en consecuencia, declarar inconstitucionales y nulas las disposiciones adicionales sexta y séptima, la disposición transitoria segunda y la disposición final primera del Real Decreto-ley 15/2020, de 21 de abril, de medidas urgentes complementarias para apoyar la economía y el empleo, con el alcance establecido en el fundamento jurídico 8.</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trece de mayo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Cándido Conde-Pumpido Tourón respecto de la sentencia dictada en el recurso de inconstitucionalidad núm. 2295-2020</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inconstitucionalidad núm. 2295-2020. Las razones de mi discrepancia son las que tuve ocasión de sostener en el Pleno en el que se deliberó el presente asunto.</w:t>
      </w:r>
    </w:p>
    <w:p w:rsidR="005728DD" w:rsidRDefault="005728DD" w:rsidP="005728DD">
      <w:pPr>
        <w:pStyle w:val="TextoNormal"/>
      </w:pPr>
    </w:p>
    <w:p w:rsidR="005728DD" w:rsidRDefault="005728DD" w:rsidP="005728DD">
      <w:pPr>
        <w:pStyle w:val="TextoNormal"/>
      </w:pPr>
      <w:r>
        <w:t>Mi disconformidad tiene que ver con la fundamentación que se realiza en la sentencia para sostener la falta de concurrencia del presupuesto de hecho habilitante y que ha desembocado en la estimación del recurso interpuesto frente a las disposiciones adicionales sexta y séptima, a la disposición transitoria segunda y a la disposición final primera del Real Decreto-ley 15/2020, de 21 de abril, de medidas urgentes complementarias para apoyar la economía y el empleo.</w:t>
      </w:r>
    </w:p>
    <w:p w:rsidR="005728DD" w:rsidRDefault="005728DD" w:rsidP="005728DD">
      <w:pPr>
        <w:pStyle w:val="TextoNormal"/>
      </w:pPr>
    </w:p>
    <w:p w:rsidR="005728DD" w:rsidRDefault="005728DD" w:rsidP="005728DD">
      <w:pPr>
        <w:pStyle w:val="TextoNormal"/>
      </w:pPr>
      <w:r>
        <w:lastRenderedPageBreak/>
        <w:t xml:space="preserve">1. Debo recordar, en primer lugar, cuál es el canon de control que a mi juicio debería aplicar este tribunal, pues como ya hemos tenido ocasión de señalar “en relación con la concurrencia del presupuesto habilitante, que se conforma como un límite jurídico de la actuación normativa mediante decreto-ley, el tribunal debe controlar su aplicación al caso concreto, pero sin que esa fiscalización, que debe limitarse a un examen externo, pueda sustituir el juicio político sobre la concurrencia del presupuesto que corresponde efectuar al Gobierno (titular constitucional de la potestad legislativa de urgencia) y al Congreso (titular de la potestad de convalidar, derogar o tramitar el texto como proyecto de ley). Dicho en otros términos, el tribunal debe controlar que el juicio político realizado por el Gobierno, que elabora el decreto-ley, y por la mayoría del Congreso de los Diputados, que lo convalida, no desborda los límites de lo </w:t>
      </w:r>
      <w:r w:rsidRPr="005728DD">
        <w:rPr>
          <w:i/>
        </w:rPr>
        <w:t>manifiestamente razonable</w:t>
      </w:r>
      <w:r>
        <w:t>, pero “el control jurídico de este requisito no debe suplantar a los órganos constitucionales que intervienen en la aprobación y convalidación de los Reales Decretos-leyes” (STC 199/2015, de 24 de septiembre, FJ 4).</w:t>
      </w:r>
    </w:p>
    <w:p w:rsidR="005728DD" w:rsidRDefault="005728DD" w:rsidP="005728DD">
      <w:pPr>
        <w:pStyle w:val="TextoNormal"/>
      </w:pPr>
    </w:p>
    <w:p w:rsidR="005728DD" w:rsidRDefault="005728DD" w:rsidP="005728DD">
      <w:pPr>
        <w:pStyle w:val="TextoNormal"/>
      </w:pPr>
      <w:r>
        <w:t>Por tanto, el control que correspondería hacer al tribunal es externo, jurídico y no de oportunidad política ni de excelencia técnica, y ha de ser flexible, en coherencia con el reconocimiento constitucional del decreto-ley, para no invalidar de forma innecesaria, ni sustituir el juicio político sobre la concurrencia del presupuesto que corresponde efectuar al Gobierno —máxime, y como desarrollaré en el presente voto, cuando el contenido de la norma se refiere a la concreción de una reestructuración del propio Gobierno—, y al Congreso de los Diputados en el ejercicio de la función de control parlamentario (art. 86.2 CE).</w:t>
      </w:r>
    </w:p>
    <w:p w:rsidR="005728DD" w:rsidRDefault="005728DD" w:rsidP="005728DD">
      <w:pPr>
        <w:pStyle w:val="TextoNormal"/>
      </w:pPr>
    </w:p>
    <w:p w:rsidR="005728DD" w:rsidRDefault="005728DD" w:rsidP="005728DD">
      <w:pPr>
        <w:pStyle w:val="TextoNormal"/>
      </w:pPr>
      <w:r>
        <w:t>Asimismo, y en segundo lugar, cabe igualmente recordar, tal y como correctamente señala la sentencia de la que discrepo en su fundamento jurídico 4, que la utilización del decreto-ley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en un plazo más breve que el requerido por la vía normal o por el procedimiento de urgencia para la tramitación parlamentaria de las leyes (SSTC 6/1983, de 4 de febrero, FJ 5; 31/2011, de 17 de marzo, FJ 4; 137/2011, de 14 de septiembre, FJ 6, y 100/2012, de 8 de mayo, FJ 8, entre otras).</w:t>
      </w:r>
    </w:p>
    <w:p w:rsidR="005728DD" w:rsidRDefault="005728DD" w:rsidP="005728DD">
      <w:pPr>
        <w:pStyle w:val="TextoNormal"/>
      </w:pPr>
    </w:p>
    <w:p w:rsidR="005728DD" w:rsidRDefault="005728DD" w:rsidP="005728DD">
      <w:pPr>
        <w:pStyle w:val="TextoNormal"/>
      </w:pPr>
      <w:r>
        <w:t xml:space="preserve">2. Una vez recordado lo anterior, debo subrayar —como hice en la deliberación pues considero que ello determina el alcance de nuestro control—, que en el presente recurso se abordaba la impugnación de una norma que supone unos cambios de naturaleza organizativa o de gestión interna de la administración, no teniendo ningún efecto </w:t>
      </w:r>
      <w:r w:rsidRPr="005728DD">
        <w:rPr>
          <w:i/>
        </w:rPr>
        <w:t>ad extra</w:t>
      </w:r>
      <w:r>
        <w:t>, ningún efecto sobre la esfera de derechos y deberes de los ciudadanos.</w:t>
      </w:r>
    </w:p>
    <w:p w:rsidR="005728DD" w:rsidRDefault="005728DD" w:rsidP="005728DD">
      <w:pPr>
        <w:pStyle w:val="TextoNormal"/>
      </w:pPr>
    </w:p>
    <w:p w:rsidR="005728DD" w:rsidRDefault="005728DD" w:rsidP="005728DD">
      <w:pPr>
        <w:pStyle w:val="TextoNormal"/>
      </w:pPr>
      <w:r>
        <w:t xml:space="preserve">En efecto, los preceptos impugnados del Real Decreto-ley 15/2020 se limitan a reformar la administración del régimen de clases pasivas del Estado, al establecer que la gestión de este régimen especial de seguridad social, hasta ahora atribuida a la Dirección General de Costes de Personal y Pensiones Públicas del Ministerio de Economía y Hacienda (en el caso de los funcionarios militares a la Dirección General de Personal del Ministerio de Defensa), corresponderá al Instituto Nacional de la Seguridad Social (INSS), desde la fecha que se determine en el real decreto por el que se desarrolle la estructura orgánica básica del Ministerio de Inclusión, Seguridad Social y Migraciones (disposición adicional sexta del Real Decreto-ley 15/2020). A tal efecto se establece un régimen transitorio en virtud del cual </w:t>
      </w:r>
      <w:r>
        <w:lastRenderedPageBreak/>
        <w:t>hasta la culminación de los trámites para la adaptación de la gestión administrativa, contable, presupuestaria y financiera que permitan la asunción de la gestión de las prestaciones del régimen de clases pasivas por el INSS, esta gestión será ejercida por la Dirección General de Ordenación de la Seguridad Social (disposición transitoria segunda).</w:t>
      </w:r>
    </w:p>
    <w:p w:rsidR="005728DD" w:rsidRDefault="005728DD" w:rsidP="005728DD">
      <w:pPr>
        <w:pStyle w:val="TextoNormal"/>
      </w:pPr>
    </w:p>
    <w:p w:rsidR="005728DD" w:rsidRDefault="005728DD" w:rsidP="005728DD">
      <w:pPr>
        <w:pStyle w:val="TextoNormal"/>
      </w:pPr>
      <w:r>
        <w:t>Pero más relevante que el mero hecho de que se trate de unos cambios de naturaleza puramente organizativa de carácter interno, es que el Real Decreto-ley 15/2020 trata de completar la reorganización de funciones que, en materia de gestión del régimen de clases pasivas, había llevado a cabo, antes de que se desencadenase la pandemia, el presidente del Gobierno surgido de una nuevas elecciones, al dictar el Real Decreto 2/2020, de 12 de enero, por el que se reestructuran los departamentos ministeriales.</w:t>
      </w:r>
    </w:p>
    <w:p w:rsidR="005728DD" w:rsidRDefault="005728DD" w:rsidP="005728DD">
      <w:pPr>
        <w:pStyle w:val="TextoNormal"/>
      </w:pPr>
    </w:p>
    <w:p w:rsidR="005728DD" w:rsidRDefault="005728DD" w:rsidP="005728DD">
      <w:pPr>
        <w:pStyle w:val="TextoNormal"/>
      </w:pPr>
      <w:r>
        <w:t>Ello me llevó a exponer en la deliberación la necesidad de que este tribunal abordase una reflexión en relación con el tipo de escrutinio que debemos realizar para determinar el cumplimiento del presupuesto de hecho habilitante exigido en el art. 86.1 CE cuando se trata de reales decretos-ley que regulan determinados ámbitos directamente vinculados con las potestades y competencias específicas del Gobierno y de su presidente, que no son sino, por un lado, el reflejo del reconocimiento constitucional al Gobierno de aquellas competencias enumeradas en el art. 97 CE —tanto sobre la dirección de la política interior y exterior, la administración civil y militar y la defensa del Estado; como sobre el ejercicio de la función ejecutiva y la potestad reglamentaria de acuerdo con la Constitución y las leyes— y, por otro, la manifestación de lo dispuesto en el art. 99 CE cuando establece que el Congreso de los Diputados dará su confianza al candidato que expone el programa político del Gobierno que pretenda formar.</w:t>
      </w:r>
    </w:p>
    <w:p w:rsidR="005728DD" w:rsidRDefault="005728DD" w:rsidP="005728DD">
      <w:pPr>
        <w:pStyle w:val="TextoNormal"/>
      </w:pPr>
    </w:p>
    <w:p w:rsidR="005728DD" w:rsidRDefault="005728DD" w:rsidP="005728DD">
      <w:pPr>
        <w:pStyle w:val="TextoNormal"/>
      </w:pPr>
      <w:r>
        <w:t xml:space="preserve">Así, en efecto, es la Ley 50/1997, de 27 de noviembre, del Gobierno, —que desarrolla aquellos principios y criterios básicos recogidos en los arts. 97 y ss. de la Constitución de 1978, y que deben presidir el régimen jurídico del Gobierno— la que dispone en su art. 2.2 j) que corresponde al presidente del Gobierno crear, modificar y suprimir, por real decreto, los departamentos ministeriales. Así lo hizo el presidente del Gobierno investido por el Congreso de los Diputados tras las elecciones generales de 10 de noviembre de 2019, mediante el Real Decreto 2/2020, de 12 de enero, en cuyo artículo 22, referido al Ministerio de Inclusión, Seguridad Social y Migraciones, se disponía que a este le correspondía entre otras funciones “la propuesta y </w:t>
      </w:r>
      <w:r w:rsidRPr="005728DD">
        <w:rPr>
          <w:i/>
        </w:rPr>
        <w:t>ejecución de la política del Gobierno en materia</w:t>
      </w:r>
      <w:r>
        <w:t xml:space="preserve"> de seguridad social y</w:t>
      </w:r>
      <w:r w:rsidRPr="005728DD">
        <w:rPr>
          <w:i/>
        </w:rPr>
        <w:t xml:space="preserve"> clases pasiva</w:t>
      </w:r>
      <w:r>
        <w:t>s”.</w:t>
      </w:r>
    </w:p>
    <w:p w:rsidR="005728DD" w:rsidRDefault="005728DD" w:rsidP="005728DD">
      <w:pPr>
        <w:pStyle w:val="TextoNormal"/>
      </w:pPr>
    </w:p>
    <w:p w:rsidR="005728DD" w:rsidRDefault="005728DD" w:rsidP="005728DD">
      <w:pPr>
        <w:pStyle w:val="TextoNormal"/>
      </w:pPr>
      <w:r>
        <w:t>El Real Decreto-ley 15/2020 aquí impugnado no es sino la plasmación, poco tiempo después, de la referida reestructuración del ejecutivo decidida por el presidente del Gobierno en ejercicio de las potestades atribuidas por nuestro ordenamiento, pues supone trasladar la gestión del régimen especial de clases pasivas, hasta ahora atribuida a una unidad dependiente de un ministerio, el de Hacienda (y en el caso de los funcionarios militares el de Defensa), a otra unidad, el Instituto Nacional de la Seguridad Social (INSS), dependiente de otro ministerio. Dicha reestructuración del Gobierno puede requerir modificaciones puntuales de normas legales, que por ello mismo precisamente han sido abordadas mediante un real decreto-ley; pero en tal supuesto, por tratarse de modificaciones que se refieren al ámbito natural de potestad del Gobierno, nuestro escrutinio del presupuesto de hecho habilitante debe adaptarse a tal circunstancia.</w:t>
      </w:r>
    </w:p>
    <w:p w:rsidR="005728DD" w:rsidRDefault="005728DD" w:rsidP="005728DD">
      <w:pPr>
        <w:pStyle w:val="TextoNormal"/>
      </w:pPr>
    </w:p>
    <w:p w:rsidR="005728DD" w:rsidRDefault="005728DD" w:rsidP="005728DD">
      <w:pPr>
        <w:pStyle w:val="TextoNormal"/>
      </w:pPr>
      <w:r>
        <w:lastRenderedPageBreak/>
        <w:t>El real decreto-ley es ciertamente una disposición legislativa provisional extraordinaria (no ordinaria) que puede dictar el Gobierno en los casos y con los límites establecidos en el art. 86.1 CE. Se trata de una excepción (prevista en la Constitución) a la atribución a las Cortes Generales de la potestad legislativa del Estado (art. 66.2 CE). Sin embargo, el rigor en el control a realizar por este tribunal puede verse modulado precisamente cuando nos encontremos ante la regulación de determinados contenidos que se vinculan con las potestades del propio Gobierno y de su presidente.</w:t>
      </w:r>
    </w:p>
    <w:p w:rsidR="005728DD" w:rsidRDefault="005728DD" w:rsidP="005728DD">
      <w:pPr>
        <w:pStyle w:val="TextoNormal"/>
      </w:pPr>
    </w:p>
    <w:p w:rsidR="005728DD" w:rsidRDefault="005728DD" w:rsidP="005728DD">
      <w:pPr>
        <w:pStyle w:val="TextoNormal"/>
      </w:pPr>
      <w:r>
        <w:t>3. Sin perjuicio de la consideración anterior, expresé una segunda discrepancia en relación con la apreciación de si se daba un supuesto que requiriese una acción normativa inmediata o que exigiese una rápida respuesta en un plazo más breve que el requerido por la vía normal o por el procedimiento de urgencia para la tramitación parlamentaria de las leyes, pues creo, como ya expuse en la deliberación, que este tribunal hubiera debido realizar una reflexión en relación con cómo la crisis provocada por la pandemia del COVID-19 ha afectado a la acción normativa de las Cámaras.</w:t>
      </w:r>
    </w:p>
    <w:p w:rsidR="005728DD" w:rsidRDefault="005728DD" w:rsidP="005728DD">
      <w:pPr>
        <w:pStyle w:val="TextoNormal"/>
      </w:pPr>
    </w:p>
    <w:p w:rsidR="005728DD" w:rsidRDefault="005728DD" w:rsidP="005728DD">
      <w:pPr>
        <w:pStyle w:val="TextoNormal"/>
      </w:pPr>
      <w:r>
        <w:t>En efecto, es indudable que de nuestra norma fundamental se deriva la exigencia de que durante los estados de crisis recogidos en el artículo 116 CE el funcionamiento de las Cámaras, así como el de los demás poderes constitucionales del Estado, no pueda verse interrumpido (apartado 5 del referido art. 116 CE). Es, precisamente, la posibilidad de que se produzca una afección de los derechos fundamentales durante la vigencia de tales estados excepcionales lo que justifica que sean precisamente aquellos órganos donde toman asiento los representantes de los ciudadanos los que no puedan ver interrumpidas sus funciones, tanto legislativas como de control, y fundamentalmente aquellas vinculadas con la situación de excepción.</w:t>
      </w:r>
    </w:p>
    <w:p w:rsidR="005728DD" w:rsidRDefault="005728DD" w:rsidP="005728DD">
      <w:pPr>
        <w:pStyle w:val="TextoNormal"/>
      </w:pPr>
    </w:p>
    <w:p w:rsidR="005728DD" w:rsidRDefault="005728DD" w:rsidP="005728DD">
      <w:pPr>
        <w:pStyle w:val="TextoNormal"/>
      </w:pPr>
      <w:r>
        <w:t>Sin embargo, esta exigencia constitucional de que no se produzca la interrupción en el funcionamiento de las Cámaras durante los estados de excepción no supone que tal funcionamiento, y sobre todo aquel vinculado con aspectos ordinarios no relacionados con la situación de pandemia y sus efectos, no pueda verse de alguna manera afectado que no interrumpido, por la referida situación.</w:t>
      </w:r>
    </w:p>
    <w:p w:rsidR="005728DD" w:rsidRDefault="005728DD" w:rsidP="005728DD">
      <w:pPr>
        <w:pStyle w:val="TextoNormal"/>
      </w:pPr>
    </w:p>
    <w:p w:rsidR="005728DD" w:rsidRDefault="005728DD" w:rsidP="005728DD">
      <w:pPr>
        <w:pStyle w:val="TextoNormal"/>
      </w:pPr>
      <w:r>
        <w:t>Así, la representación del Gobierno ha sostenido que las circunstancias existentes en el momento de dictarse el Real Decreto-ley 15/2020, aquí impugnado, —el 21 de abril de 2020, por tanto, en pleno estado de alarma declarado por el Real Decreto 463/2020, de 14 de marzo y sucesivamente prorrogado— justificaban la utilización de la norma excepcional para adecuar de modo inmediato el aparato administrativo a los nuevos objetivos de la acción gubernamental (mediante modificaciones normativas limitadas al aspecto organizativo), ante la paralización de la actividad legislativa ordinaria como consecuencia de la declaración del estado de alarma para hacer frente a la crisis provocada por la pandemia del COVID-19, crisis que indudablemente es una circunstancia difícil o imposible de prever.</w:t>
      </w:r>
    </w:p>
    <w:p w:rsidR="005728DD" w:rsidRDefault="005728DD" w:rsidP="005728DD">
      <w:pPr>
        <w:pStyle w:val="TextoNormal"/>
      </w:pPr>
    </w:p>
    <w:p w:rsidR="005728DD" w:rsidRDefault="005728DD" w:rsidP="005728DD">
      <w:pPr>
        <w:pStyle w:val="TextoNormal"/>
      </w:pPr>
      <w:r>
        <w:t>Es indudable que la situación de pandemia no interrumpe, pues no podría, las funciones de las Cámaras, pero es indudable también que sí puede ralentizar aquellos procedimientos de las mismas que no se encuentran más directamente vinculados con la propia situación excepcional y sus consecuencias. Así se corroboró con la suspensión del cómputo de los plazos reglamentarios que afectaban a las iniciativas que se encontraban en tramitación en el Congreso que se produjo por acuerdo de la mesa de 19 de marzo de 2020.</w:t>
      </w:r>
    </w:p>
    <w:p w:rsidR="005728DD" w:rsidRDefault="005728DD" w:rsidP="005728DD">
      <w:pPr>
        <w:pStyle w:val="TextoNormal"/>
      </w:pPr>
    </w:p>
    <w:p w:rsidR="005728DD" w:rsidRDefault="005728DD" w:rsidP="005728DD">
      <w:pPr>
        <w:pStyle w:val="TextoNormal"/>
      </w:pPr>
      <w:r>
        <w:t xml:space="preserve">Considerar que es posible, e incluso conveniente, que las Cámaras sigan actuando con normalidad, mediante el procedimiento ordinario o incluso mediante el procedimiento de urgencia, en la tramitación de leyes que no se vinculan con la situación excepcional o incluso que no tienen efectos inmediatos sobre los ciudadanos —como es el caso del presente real decreto-ley que tiene meros efectos </w:t>
      </w:r>
      <w:r w:rsidRPr="005728DD">
        <w:rPr>
          <w:i/>
        </w:rPr>
        <w:t>ad intra</w:t>
      </w:r>
      <w:r>
        <w:t xml:space="preserve"> por ser una materia de organización interna—, supone interpretar, desconociendo la realidad de la situación creada por la pandemia, que la situación excepcional no podría, bajo ninguna circunstancia, ralentizar ese normal funcionamiento de las instituciones. Ralentización que considero, sin embargo, que si bien en ningún caso sería posible que afectase a las funciones de la Cámara relacionadas con la situación excepcional, sí podría ser posible, e incluso conveniente, en relación con aquellos supuestos no vinculados con aquella.</w:t>
      </w:r>
    </w:p>
    <w:p w:rsidR="005728DD" w:rsidRDefault="005728DD" w:rsidP="005728DD">
      <w:pPr>
        <w:pStyle w:val="TextoNormal"/>
      </w:pPr>
    </w:p>
    <w:p w:rsidR="005728DD" w:rsidRDefault="005728DD" w:rsidP="005728DD">
      <w:pPr>
        <w:pStyle w:val="TextoNormal"/>
      </w:pPr>
      <w:r>
        <w:t>Sobre este tipo de supuestos sí cabría considerar posible una ralentización de la actividad ordinaria de las Cámaras derivada de la pandemia del COVID-19, que requiriese, sin embargo, una acción normativa rápida mediante un real decreto-ley que efectivamente no pretende otra cosa que proceder a dar eficacia a la reestructuración del Gobierno realizada por el competente para ello, el presidente del Gobierno, después de las elecciones generales.</w:t>
      </w:r>
    </w:p>
    <w:p w:rsidR="005728DD" w:rsidRDefault="005728DD" w:rsidP="005728DD">
      <w:pPr>
        <w:pStyle w:val="TextoNormal"/>
      </w:pPr>
    </w:p>
    <w:p w:rsidR="005728DD" w:rsidRDefault="005728DD" w:rsidP="005728DD">
      <w:pPr>
        <w:pStyle w:val="TextoNormal"/>
      </w:pPr>
      <w:r>
        <w:t>4. Finalmente, y tal y como expuse en la deliberación, no puedo dejar de manifestar mi sorpresa al examinar el contraste entre la flexibilidad en el control del presupuesto de hecho habilitante que este mismo tribunal ha aplicado sobre aquellos reales decretos-leyes restrictivos de derechos que se dictaron bajo una situación de crisis económica y la rigidez que se observa ahora en el control del presupuesto de hecho habilitante de los reales decretos-leyes dictados en materia de autoorganización del Gobierno bajo una situación de pandemia.</w:t>
      </w:r>
    </w:p>
    <w:p w:rsidR="005728DD" w:rsidRDefault="005728DD" w:rsidP="005728DD">
      <w:pPr>
        <w:pStyle w:val="TextoNormal"/>
      </w:pPr>
    </w:p>
    <w:p w:rsidR="005728DD" w:rsidRDefault="005728DD" w:rsidP="005728DD">
      <w:pPr>
        <w:pStyle w:val="TextoNormal"/>
      </w:pPr>
      <w:r>
        <w:t>El aumento de la competitividad y el fomento del funcionamiento eficiente de los mercados justificaron para este tribunal la adopción de todo tipo de medidas restrictivas de derechos sociales mediante normativa de urgencia. Prácticamente cualquier medida que se afirmase que favorecía la recuperación económica se consideraba que cumplía con el requisito de la urgencia. Así, y a mero título de ejemplo, este tribunal ha considerado que concurría el presupuesto de hecho habilitante en: la STC 199/2015, en la que se procedió al control de un Real Decreto-ley ómnibus, el 8/2014, que contenía nada menos que más de un centenar de artículos sobre las más diversas materias económicas; las SSTC 156/2015 y 119/2016, donde se trataba de controlar el Real Decreto-ley 20/2012, que recogía medidas restrictivas de determinados derechos de los funcionarios, así como medidas de liberalización en materia de horarios comerciales; las SSTC 26/2016, 67/2016 y 84/2016 en las que este tribunal examinó el cumplimiento del presupuesto de hecho habilitante por el Real Decreto-ley 14/2012, de 20 de abril, que recortaba el gasto educativo afectando a la calidad educativa; o finalmente las SSTC 139/2016, 183/2016, 33/2017, 63/2017 y 64/2017, en las que se impugnaba el Real Decreto-ley 16/2012, de 20 de abril, que cambió nuestro sistema de salud de un sistema universal a un sistema de aseguramiento, además de proceder al recorte de prestaciones y derechos.</w:t>
      </w:r>
    </w:p>
    <w:p w:rsidR="005728DD" w:rsidRDefault="005728DD" w:rsidP="005728DD">
      <w:pPr>
        <w:pStyle w:val="TextoNormal"/>
      </w:pPr>
    </w:p>
    <w:p w:rsidR="005728DD" w:rsidRDefault="005728DD" w:rsidP="005728DD">
      <w:pPr>
        <w:pStyle w:val="TextoNormal"/>
      </w:pPr>
      <w:r>
        <w:t xml:space="preserve">En todas estas sentencias se planteó ante este tribunal la necesidad de controlar unas normas con rango de ley dictadas por el Gobierno con evidentes efectos sobre la vida de los ciudadanos y concluimos que, sin necesidad de efectuar un juicio político que este tribunal tiene vedado, se había cumplido el presupuesto de hecho habilitante con fundamento en la </w:t>
      </w:r>
      <w:r>
        <w:lastRenderedPageBreak/>
        <w:t>concreta coyuntura económica y en la necesidad de propiciar el crecimiento de la productividad y la competencia.</w:t>
      </w:r>
    </w:p>
    <w:p w:rsidR="005728DD" w:rsidRDefault="005728DD" w:rsidP="005728DD">
      <w:pPr>
        <w:pStyle w:val="TextoNormal"/>
      </w:pPr>
    </w:p>
    <w:p w:rsidR="005728DD" w:rsidRDefault="005728DD" w:rsidP="005728DD">
      <w:pPr>
        <w:pStyle w:val="TextoNormal"/>
      </w:pPr>
      <w:r>
        <w:t>Ahora se nos plantea el control de diversas normas en las que un Gobierno recién investido pretende acomodar su propia organización interna en plena situación de pandemia y el tribunal no tiene en cuenta, sin embargo, tales circunstancias a la hora de valorar la concurrencia del presupuesto de hecho habilitante.</w:t>
      </w:r>
    </w:p>
    <w:p w:rsidR="005728DD" w:rsidRDefault="005728DD" w:rsidP="005728DD">
      <w:pPr>
        <w:pStyle w:val="TextoNormal"/>
      </w:pPr>
    </w:p>
    <w:p w:rsidR="005728DD" w:rsidRDefault="005728DD" w:rsidP="005728DD">
      <w:pPr>
        <w:pStyle w:val="TextoNormal"/>
      </w:pPr>
      <w:r>
        <w:t>5. Recapitulando; en primer lugar, la sentencia de la mayoría no tiene en cuenta la necesidad de respetar aquellas potestades que nuestro ordenamiento ha atribuido al presidente del Gobierno en materia de organización de su gabinete. Las modificaciones abordadas por las disposiciones impugnadas se enmarcan en un proceso de reestructuración del Gobierno que corresponde realizar a su presidente. Si de tal reestructuración se derivan determinadas modificaciones legales, el instrumento del que dispone el Gobierno para llevar a cabo tal reestructuración es el real decreto-ley, y nuestro escrutinio del presupuesto de hecho habilitante debería haber tenido en cuenta la referida posición constitucional del Gobierno.</w:t>
      </w:r>
    </w:p>
    <w:p w:rsidR="005728DD" w:rsidRDefault="005728DD" w:rsidP="005728DD">
      <w:pPr>
        <w:pStyle w:val="TextoNormal"/>
      </w:pPr>
    </w:p>
    <w:p w:rsidR="005728DD" w:rsidRDefault="005728DD" w:rsidP="005728DD">
      <w:pPr>
        <w:pStyle w:val="TextoNormal"/>
      </w:pPr>
      <w:r>
        <w:t>En segundo lugar, la sentencia de la mayoría admite la necesidad de la reforma abordada por las disposiciones del real decreto-ley impugnadas, pero rechaza su urgencia, para lo cual no entra a valorar el argumento de que el calendario para llevar a cabo las modificaciones legales necesarias para la integración efectiva del régimen de clases pasivas en el Ministerio de Inclusión, Seguridad Social y Migraciones se había visto radicalmente alterado por la crisis sanitaria provocada por el COVID-19 en la que se habrían centrado los esfuerzos de la acción del Gobierno desde entonces. Sin embargo, considero que era razonable sostener que, una vez desencadenada la pandemia, esos cambios normativos que la sentencia de la mayoría asume como necesarios tendrían mayor dificultad para ser aprobados en un plazo razonable mediante el procedimiento ordinario de tramitación parlamentaria.</w:t>
      </w:r>
    </w:p>
    <w:p w:rsidR="005728DD" w:rsidRDefault="005728DD" w:rsidP="005728DD">
      <w:pPr>
        <w:pStyle w:val="TextoNormal"/>
      </w:pPr>
    </w:p>
    <w:p w:rsidR="005728DD" w:rsidRDefault="005728DD" w:rsidP="005728DD">
      <w:pPr>
        <w:pStyle w:val="TextoNormal"/>
      </w:pPr>
      <w:r>
        <w:t>Madrid, a trece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5" w:name="SENTENCIA_2021_112"/>
      <w:r>
        <w:lastRenderedPageBreak/>
        <w:t>SENTENCIA 112/2021, de 13 de mayo de 2021</w:t>
      </w:r>
    </w:p>
    <w:bookmarkEnd w:id="115"/>
    <w:p w:rsidR="005728DD" w:rsidRDefault="005728DD" w:rsidP="005728DD">
      <w:pPr>
        <w:pStyle w:val="TtuloResolucin"/>
      </w:pPr>
      <w:r>
        <w:t>Pleno</w:t>
      </w:r>
    </w:p>
    <w:p w:rsidR="005728DD" w:rsidRDefault="005728DD" w:rsidP="005728DD">
      <w:pPr>
        <w:pStyle w:val="TtuloBOE"/>
      </w:pPr>
      <w:r>
        <w:t>(BOE núm. 142, de 15 de junio de 2021)</w:t>
      </w:r>
    </w:p>
    <w:p w:rsidR="005728DD" w:rsidRDefault="005728DD" w:rsidP="005728DD">
      <w:pPr>
        <w:pStyle w:val="TextoNormalCentrado"/>
      </w:pPr>
      <w:r>
        <w:t>ECLI:ES:TC:2021:112</w:t>
      </w:r>
    </w:p>
    <w:p w:rsidR="005728DD" w:rsidRDefault="005728DD" w:rsidP="005728DD">
      <w:pPr>
        <w:pStyle w:val="TextoNormalCentrado"/>
      </w:pPr>
    </w:p>
    <w:p w:rsidR="005728DD" w:rsidRDefault="005728DD" w:rsidP="005728DD">
      <w:pPr>
        <w:pStyle w:val="SntesisDescriptiva"/>
      </w:pPr>
      <w:r>
        <w:t>Recurso de inconstitucionalidad 5178-2020. Interpuesto por más de cincuenta diputados del Grupo Parlamentario Vox del Congreso en relación con diversos preceptos de la Ley de la Asamblea Regional de Murcia 3/2020, de 27 de julio, de recuperación y protección del Mar Menor.</w:t>
      </w:r>
    </w:p>
    <w:p w:rsidR="005728DD" w:rsidRDefault="005728DD" w:rsidP="005728DD">
      <w:pPr>
        <w:pStyle w:val="SntesisDescriptiva"/>
      </w:pPr>
    </w:p>
    <w:p w:rsidR="005728DD" w:rsidRDefault="005728DD" w:rsidP="005728DD">
      <w:pPr>
        <w:pStyle w:val="SntesisAnaltica"/>
      </w:pPr>
      <w:r>
        <w:t>Competencias sobre condiciones básicas de igualdad, Derecho civil, ordenación general de la economía; principio de seguridad jurídica, derecho de propiedad y libertad de empresa: constitucionalidad de los preceptos legales autonómicos que limitan la explotación agrícola del suelo ubicado en el ámbito territorial de aplicación de la ley.</w:t>
      </w:r>
    </w:p>
    <w:p w:rsidR="005728DD" w:rsidRDefault="005728DD" w:rsidP="005728DD">
      <w:pPr>
        <w:pStyle w:val="SntesisAnaltica"/>
      </w:pPr>
    </w:p>
    <w:p w:rsidR="005728DD" w:rsidRDefault="005728DD" w:rsidP="005728DD">
      <w:pPr>
        <w:pStyle w:val="Extracto"/>
      </w:pPr>
      <w:r>
        <w:t>1.</w:t>
      </w:r>
      <w:r>
        <w:tab/>
        <w:t>El art. 149.1.13 CE permite al Estado fijar las líneas directrices y los criterios globales de ordenación de sectores económicos concretos para alcanzar objetivos de política económica (STC 118/1996 para el sector del transporte; STC 139/2013 para el mercado inmobiliario; o  STC 34/2013 para el sector vitivinícola);  en todo caso apreciando la importancia de cada uno de esos sectores en el conjunto de la economía nacional [FJ 3].</w:t>
      </w:r>
    </w:p>
    <w:p w:rsidR="005728DD" w:rsidRDefault="005728DD" w:rsidP="005728DD">
      <w:pPr>
        <w:pStyle w:val="Extracto"/>
      </w:pPr>
    </w:p>
    <w:p w:rsidR="005728DD" w:rsidRDefault="005728DD" w:rsidP="005728DD">
      <w:pPr>
        <w:pStyle w:val="Extracto"/>
      </w:pPr>
      <w:r>
        <w:t>2.</w:t>
      </w:r>
      <w:r>
        <w:tab/>
        <w:t>Este Tribunal no puede suplir a los órganos políticos del Estado en ejercicio de sus competencias para considerar por sí mismo la importancia estratégica de un  recurso, poniéndolo a cubierto de cualquier clase de actuación de las comunidades autónomas. Solo a las Cortes Generales y al Gobierno de la Nación corresponde en su caso efectuar esta valoración, no al Tribunal Constitucional [FJ 3].</w:t>
      </w:r>
    </w:p>
    <w:p w:rsidR="005728DD" w:rsidRDefault="005728DD" w:rsidP="005728DD">
      <w:pPr>
        <w:pStyle w:val="Extracto"/>
      </w:pPr>
    </w:p>
    <w:p w:rsidR="005728DD" w:rsidRDefault="005728DD" w:rsidP="005728DD">
      <w:pPr>
        <w:pStyle w:val="Extracto"/>
      </w:pPr>
      <w:r>
        <w:t>3.</w:t>
      </w:r>
      <w:r>
        <w:tab/>
        <w:t>El control de la actividad de las comunidades autónomas que ejerce este Tribunal cuando esa actuación se desarrolla mediante disposiciones normativas con fuerza de ley es un control exclusivamente jurídico, de “constitucionalidad” [art. 153 a) CE] o “conformidad” con la Constitución, en terminología del art. 27 LOTC. Y se ejerce conforme a parámetros normativos, contrastando la disposición impugnada con la Constitución y las leyes del llamado bloque de la constitucionalidad (art. 28 LOTC); no, por tanto, con arreglo a criterios de oportunidad sustituyendo las valoraciones —o su ausencia— efectuadas por el Estado en ejercicio de sus competencias [FJ 3].</w:t>
      </w:r>
    </w:p>
    <w:p w:rsidR="005728DD" w:rsidRDefault="005728DD" w:rsidP="005728DD">
      <w:pPr>
        <w:pStyle w:val="Extracto"/>
      </w:pPr>
    </w:p>
    <w:p w:rsidR="005728DD" w:rsidRDefault="005728DD" w:rsidP="005728DD">
      <w:pPr>
        <w:pStyle w:val="Extracto"/>
      </w:pPr>
      <w:r>
        <w:t>4.</w:t>
      </w:r>
      <w:r>
        <w:tab/>
        <w:t>Las “bases” de una determinada materia pueden extraerse de la normativa preconstitucional (STC 1/2003); pero es imprescindible para efectuar el control normativo de constitucionalidad que se trate de normas vigentes [FJ 3].</w:t>
      </w:r>
    </w:p>
    <w:p w:rsidR="005728DD" w:rsidRDefault="005728DD" w:rsidP="005728DD">
      <w:pPr>
        <w:pStyle w:val="Extracto"/>
      </w:pPr>
    </w:p>
    <w:p w:rsidR="005728DD" w:rsidRDefault="005728DD" w:rsidP="005728DD">
      <w:pPr>
        <w:pStyle w:val="Extracto"/>
      </w:pPr>
      <w:r>
        <w:t>5.</w:t>
      </w:r>
      <w:r>
        <w:tab/>
        <w:t xml:space="preserve">El artículo 149.1.1 CE, más que delimitar un ámbito material excluyente de toda intervención de las comunidades autónomas, lo que contiene es una habilitación para que el Estado condicione —mediante el establecimiento de unas ‘condiciones básicas’ uniformes— el ejercicio de esas competencias autonómicas con el objeto de garantizar la igualdad de todos los españoles en el ejercicio de sus derechos y </w:t>
      </w:r>
      <w:r>
        <w:lastRenderedPageBreak/>
        <w:t>en el cumplimiento de sus deberes constitucionales, de modo que la falta de invocación de una norma estatal que establezca las citadas condiciones básicas impide apreciar una invasión competencial (STC 16/2018) [FJ 3].</w:t>
      </w:r>
    </w:p>
    <w:p w:rsidR="005728DD" w:rsidRDefault="005728DD" w:rsidP="005728DD">
      <w:pPr>
        <w:pStyle w:val="Extracto"/>
      </w:pPr>
    </w:p>
    <w:p w:rsidR="005728DD" w:rsidRDefault="005728DD" w:rsidP="005728DD">
      <w:pPr>
        <w:pStyle w:val="Extracto"/>
      </w:pPr>
      <w:r>
        <w:t>6.</w:t>
      </w:r>
      <w:r>
        <w:tab/>
        <w:t>Las limitaciones al dominio impuestas por la normativa administrativa para la protección de intereses públicos no son “legislación civil” a los efectos del art. 149.1.8 CE, sino ejercicio de la competencia sectorial (STC 37/1987) [FJ 3].</w:t>
      </w:r>
    </w:p>
    <w:p w:rsidR="005728DD" w:rsidRDefault="005728DD" w:rsidP="005728DD">
      <w:pPr>
        <w:pStyle w:val="Extracto"/>
      </w:pPr>
    </w:p>
    <w:p w:rsidR="005728DD" w:rsidRDefault="005728DD" w:rsidP="005728DD">
      <w:pPr>
        <w:pStyle w:val="Extracto"/>
      </w:pPr>
      <w:r>
        <w:t>7.</w:t>
      </w:r>
      <w:r>
        <w:tab/>
        <w:t>La delimitación de la propiedad, de acuerdo con su función social conforme al art. 33.2 CE,  no opera solo en la legislación civil, sino también en aquellas otras leyes que cuidan principalmente de los intereses públicos a los que se vincula la propiedad privada  (STC 170/1989) [FJ 3].</w:t>
      </w:r>
    </w:p>
    <w:p w:rsidR="005728DD" w:rsidRDefault="005728DD" w:rsidP="005728DD">
      <w:pPr>
        <w:pStyle w:val="Extracto"/>
      </w:pPr>
    </w:p>
    <w:p w:rsidR="005728DD" w:rsidRDefault="005728DD" w:rsidP="005728DD">
      <w:pPr>
        <w:pStyle w:val="Extracto"/>
      </w:pPr>
      <w:r>
        <w:t>8.</w:t>
      </w:r>
      <w:r>
        <w:tab/>
        <w:t>La calificación de arbitraria dada a una ley exige una cierta prudencia, toda vez que la ley es la expresión de la voluntad popular, por lo que su control de constitucionalidad debe ejercerse sin imponer constricciones indebidas al poder legislativo y respetando sus opciones políticas. Es función de este Tribunal  verificar si la norma establece una discriminación, o bien si, aun no estableciéndola, carece de toda explicación racional, -ambos supuestos entrañarían una arbitrariedad,- sin que sea pertinente un análisis a fondo de todas las motivaciones posibles de la norma y de todas sus eventuales consecuencias (SSTC 149/2020 y 98/2018) [FJ 5].</w:t>
      </w:r>
    </w:p>
    <w:p w:rsidR="005728DD" w:rsidRDefault="005728DD" w:rsidP="005728DD">
      <w:pPr>
        <w:pStyle w:val="Extracto"/>
      </w:pPr>
    </w:p>
    <w:p w:rsidR="005728DD" w:rsidRDefault="005728DD" w:rsidP="005728DD">
      <w:pPr>
        <w:pStyle w:val="Extracto"/>
      </w:pPr>
      <w:r>
        <w:t>9.</w:t>
      </w:r>
      <w:r>
        <w:tab/>
        <w:t>No corresponde a este tribunal interferir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(SSTC 149/2020 y 98/2018) [FJ 5].</w:t>
      </w:r>
    </w:p>
    <w:p w:rsidR="005728DD" w:rsidRDefault="005728DD" w:rsidP="005728DD">
      <w:pPr>
        <w:pStyle w:val="Extracto"/>
      </w:pPr>
    </w:p>
    <w:p w:rsidR="005728DD" w:rsidRDefault="005728DD" w:rsidP="005728DD">
      <w:pPr>
        <w:pStyle w:val="Extracto"/>
      </w:pPr>
      <w:r>
        <w:t>10.</w:t>
      </w:r>
      <w:r>
        <w:tab/>
        <w:t xml:space="preserve">El legislador del derecho de propiedad, aparte del necesario respeto a su contenido esencial que predica el artículo 53.1 CE, no encuentra otro límite que el de no sobrepasar el equilibrio justo o relación razonable entre los medios empleados y la finalidad pretendida (Asunto </w:t>
      </w:r>
      <w:r w:rsidRPr="005728DD">
        <w:rPr>
          <w:i/>
        </w:rPr>
        <w:t>James y otros c. Reino Unido</w:t>
      </w:r>
      <w:r>
        <w:t xml:space="preserve">, 21 de febrero de 1986); teniendo en cuenta que en las decisiones de índole social y económica se reconoce al legislador un amplio margen de apreciación sobre la necesidad, los fines y las consecuencias de sus disposiciones (Asuntos </w:t>
      </w:r>
      <w:r w:rsidRPr="005728DD">
        <w:rPr>
          <w:i/>
        </w:rPr>
        <w:t>James y otros c. Reino Unido</w:t>
      </w:r>
      <w:r>
        <w:t xml:space="preserve">, 21 de febrero de 1986; </w:t>
      </w:r>
      <w:r w:rsidRPr="005728DD">
        <w:rPr>
          <w:i/>
        </w:rPr>
        <w:t>ex Rey de Grecia y otros c. Grecia</w:t>
      </w:r>
      <w:r>
        <w:t>, 23 de noviembre de 2000; SSTC 16/2018 y 32/2018) [FJ 5].</w:t>
      </w:r>
    </w:p>
    <w:p w:rsidR="005728DD" w:rsidRDefault="005728DD" w:rsidP="005728DD">
      <w:pPr>
        <w:pStyle w:val="Extracto"/>
      </w:pPr>
    </w:p>
    <w:p w:rsidR="005728DD" w:rsidRDefault="005728DD" w:rsidP="005728DD">
      <w:pPr>
        <w:pStyle w:val="Extracto"/>
      </w:pPr>
      <w:r>
        <w:t>11.</w:t>
      </w:r>
      <w:r>
        <w:tab/>
        <w:t>La libertad de intercambio commercial, esto es, la capacidad de ofrecer servicios o productos en el mercado es compatible con la regulación de condiciones; típicamente las destinadas a proteger a los consumidores, a preservar el medio ambiente, a organizar el urbanismo o a asegurar la adecuada utilización del territorio por todos (STC 227/1993). El artículo 38 CE impone límites a la configuración legislativa de este tipo de condiciones por parte del Estado, las comunidades autónomas y los entes locales [FJ 6].</w:t>
      </w:r>
    </w:p>
    <w:p w:rsidR="005728DD" w:rsidRDefault="005728DD" w:rsidP="005728DD">
      <w:pPr>
        <w:pStyle w:val="Extracto"/>
      </w:pPr>
    </w:p>
    <w:p w:rsidR="005728DD" w:rsidRDefault="005728DD" w:rsidP="005728DD">
      <w:pPr>
        <w:pStyle w:val="Extracto"/>
      </w:pPr>
      <w:r>
        <w:t>12.</w:t>
      </w:r>
      <w:r>
        <w:tab/>
        <w:t xml:space="preserve">Ni en la delimitación de la función social de la propiedad (art. 33.2 CE), ni en la regulación del ejercicio de actividades económicas (art. 38 CE), el legislador está </w:t>
      </w:r>
      <w:r>
        <w:lastRenderedPageBreak/>
        <w:t xml:space="preserve">sujeto </w:t>
      </w:r>
      <w:r w:rsidRPr="005728DD">
        <w:rPr>
          <w:i/>
        </w:rPr>
        <w:t xml:space="preserve">ex Constitutione </w:t>
      </w:r>
      <w:r>
        <w:t xml:space="preserve">al test de proporcionalidad, sino a un canon de justo equilibrio, razonabilidad o adecuación de las medidas al objetivo perseguido, y al respeto del contenido esencial de ambos derechos, </w:t>
      </w:r>
      <w:r w:rsidRPr="005728DD">
        <w:rPr>
          <w:i/>
        </w:rPr>
        <w:t>ex</w:t>
      </w:r>
      <w:r>
        <w:t xml:space="preserve"> art. 53.1 CE (STC 111/2017) [FJ 6].</w:t>
      </w:r>
    </w:p>
    <w:p w:rsidR="005728DD" w:rsidRDefault="005728DD" w:rsidP="005728DD">
      <w:pPr>
        <w:pStyle w:val="Extracto"/>
      </w:pPr>
    </w:p>
    <w:p w:rsidR="005728DD" w:rsidRDefault="005728DD" w:rsidP="005728DD">
      <w:pPr>
        <w:pStyle w:val="Extracto"/>
      </w:pPr>
      <w:r>
        <w:t>13.</w:t>
      </w:r>
      <w:r>
        <w:tab/>
        <w:t>El contenido esencial del derecho de propiedad no puede configurarse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Utilidad individual y función social definen, por tanto, inescindiblemente el contenido del derecho de propiedad sobre cada categoría o tipo de bienes (STC 37/1987) [FJ 7].</w:t>
      </w:r>
    </w:p>
    <w:p w:rsidR="005728DD" w:rsidRDefault="005728DD" w:rsidP="005728DD">
      <w:pPr>
        <w:pStyle w:val="Extracto"/>
      </w:pPr>
    </w:p>
    <w:p w:rsidR="005728DD" w:rsidRDefault="005728DD" w:rsidP="005728DD">
      <w:pPr>
        <w:pStyle w:val="Extracto"/>
      </w:pPr>
      <w:r>
        <w:t>14.</w:t>
      </w:r>
      <w:r>
        <w:tab/>
        <w:t>El límite para el legislador en la función de delimitación a que está llamado en el art. 33.2 CE es que la traducción institucional de las exigencias colectivas no puede llegar a anular la utilidad meramente individual del Derecho (SSTC 37/1987, 170/1989 o 141/2014) [FJ 7].</w:t>
      </w:r>
    </w:p>
    <w:p w:rsidR="005728DD" w:rsidRDefault="005728DD" w:rsidP="005728DD">
      <w:pPr>
        <w:pStyle w:val="Extracto"/>
      </w:pPr>
    </w:p>
    <w:p w:rsidR="005728DD" w:rsidRDefault="005728DD" w:rsidP="005728DD">
      <w:pPr>
        <w:pStyle w:val="Extracto"/>
      </w:pPr>
      <w:r>
        <w:t>15.</w:t>
      </w:r>
      <w:r>
        <w:tab/>
        <w:t>El derecho a la libertad de empresa del art. 38 CE implica, el derecho a iniciar y sostener una actividad empresarial (STC 135/2012) pero no es un derecho absoluto e incondicionado y por lo tanto su vigencia no resulta comprometida por el hecho de que existan limitaciones a su ejercicio derivadas de las reglas que disciplinen, proporcionada y razonablemente, el mercado. Y ello porque del art. 38 CE no puede derivarse sin más el derecho a acometer cualquier empresa o a ejercerla sin traba ni limitación de ningún tipo, sino solo el derecho a ejercer esa actividad con plena sujeción a la normativa sobre ordenación del mercado y de la actividad económica general (STC 35/2016)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inconstitucionalidad núm. 5178-2020, interpuesto por cincuenta y dos diputados del Grupo Parlamentario Vox del Congreso contra los artículos los artículos 2.2, 15, 27, 28, 29, 36, 37, 38, 39, 40, 44, 50, 51, 52, 53, 54, 81 apartado 2, letras d), e), f), g), h), i), j), k), l), n), ñ) y o); apartado 3, letras a), b), d), e), f), g), h), i), j), m), n), ñ), p), q), r) </w:t>
      </w:r>
      <w:r>
        <w:lastRenderedPageBreak/>
        <w:t>y s); apartado 4, letras a), b), c), d) y e), 83 apartados 1, 2, 3, 4 y 5, disposiciones transitorias tercera y cuarta y anexo I de la Ley de la Asamblea Regional de Murcia 3/2020, de 27 de julio, de recuperación y protección del Mar Menor. Han comparecido el Congreso de los Diputados, el Senado, el Gobierno de la Nación y la Asamblea Regional de Murcia. Ha formulado alegaciones el Consejo de Gobierno de la Región de Murcia.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día 30 de octubre de 2020, don Antonio Ortega Fuentes, procurador de los tribunales, y don Juan José Aizcorbe Torra, comisionado al efecto por cincuenta y dos diputados del Grupo Parlamentario Vox del Congreso, presentaron en el registro de este tribunal recurso de inconstitucionalidad contra los preceptos que se citan en el encabezamiento.</w:t>
      </w:r>
    </w:p>
    <w:p w:rsidR="005728DD" w:rsidRDefault="005728DD" w:rsidP="005728DD">
      <w:pPr>
        <w:pStyle w:val="TextoNormal"/>
      </w:pPr>
    </w:p>
    <w:p w:rsidR="005728DD" w:rsidRDefault="005728DD" w:rsidP="005728DD">
      <w:pPr>
        <w:pStyle w:val="TextoNormal"/>
      </w:pPr>
      <w:r>
        <w:t>El recurso comienza cuestionando el “diagnóstico” de la ley, que “señala” a la agricultura como “principal culpable” del deterioro del Mar Menor siendo su único objeto imponer fuertes restricciones al ejercicio de esta actividad cuando un “diagnóstico equilibrado” debería apuntar hacia otras causas igualmente concurrentes, como las lluvias torrenciales generadas por el cambio climático, los desbordes de alcantarillado y residuos urbanos, o la a deficiente gestión de las administraciones públicas en el establecimiento y mantenimiento de las infraestructuras básicas para el control de escorrentías, a los que debería apuntar igualmente la ley.</w:t>
      </w:r>
    </w:p>
    <w:p w:rsidR="005728DD" w:rsidRDefault="005728DD" w:rsidP="005728DD">
      <w:pPr>
        <w:pStyle w:val="TextoNormal"/>
      </w:pPr>
    </w:p>
    <w:p w:rsidR="005728DD" w:rsidRDefault="005728DD" w:rsidP="005728DD">
      <w:pPr>
        <w:pStyle w:val="TextoNormal"/>
      </w:pPr>
      <w:r>
        <w:t>A partir de ahí, el escrito de interposición se divide en dos partes bien diferenciadas, una general y otra que desgrana precepto por precepto los motivos de inconstitucionalidad de cada uno de ellos.</w:t>
      </w:r>
    </w:p>
    <w:p w:rsidR="005728DD" w:rsidRDefault="005728DD" w:rsidP="005728DD">
      <w:pPr>
        <w:pStyle w:val="TextoNormal"/>
      </w:pPr>
    </w:p>
    <w:p w:rsidR="005728DD" w:rsidRDefault="005728DD" w:rsidP="005728DD">
      <w:pPr>
        <w:pStyle w:val="TextoNormal"/>
      </w:pPr>
      <w:r>
        <w:t>a) Comienza el escrito con un apartado general en el que “dada la cantidad de preceptos impugnados y la necesidad de levantar la carga” alegatoria respecto de todos ellos, “agrupa” “los distintos argumentos de inconstitucionalidad de los preceptos [impugnados] para evitar reiteraciones”. Se incluye en este apartado una exposición general sobre los motivos de inconstitucionalidad aducidos, que son competenciales y sustantivos. Por lo que respecta a los primeros, recuerda la doctrina constitucional acerca de las competencias estatales de los núms. 1, 8, 13, 22 y 23 del art. 149.1 de la Constitución. Resumidamente, le parece:</w:t>
      </w:r>
    </w:p>
    <w:p w:rsidR="005728DD" w:rsidRDefault="005728DD" w:rsidP="005728DD">
      <w:pPr>
        <w:pStyle w:val="TextoNormal"/>
      </w:pPr>
    </w:p>
    <w:p w:rsidR="005728DD" w:rsidRDefault="005728DD" w:rsidP="005728DD">
      <w:pPr>
        <w:pStyle w:val="TextoNormal"/>
      </w:pPr>
      <w:r>
        <w:t>(i) Que la regulación de los deberes de los agricultores del Campo de Cartagena establecidas en la ley constituye un deber básico para el ejercicio del derecho de propiedad cuya regulación correspondería al Estado de acuerdo con el art. 149.1.1 CE. Además, los preceptos impugnados, y a diferencia de lo resuelto en la STC 37/1987 (Ley de reforma agraria de Andalucía) se sitúan en el ámbito civil, lo que hace que vulneren el art. 149.1.8 CE.</w:t>
      </w:r>
    </w:p>
    <w:p w:rsidR="005728DD" w:rsidRDefault="005728DD" w:rsidP="005728DD">
      <w:pPr>
        <w:pStyle w:val="TextoNormal"/>
      </w:pPr>
    </w:p>
    <w:p w:rsidR="005728DD" w:rsidRDefault="005728DD" w:rsidP="005728DD">
      <w:pPr>
        <w:pStyle w:val="TextoNormal"/>
      </w:pPr>
      <w:r>
        <w:t xml:space="preserve">(ii) La importancia de la agricultura para la economía nacional, avalada por un informe que aporta y que cifra su contribución al producto interior bruto en el 10,6 por 100 y al empleo en un 14,2 por 100, justifica la aplicación del título del art. 149.1.13 CE y la necesaria planificación estatal de esta actividad económica. En concreto, ha de considerarse básico el Decreto 693/1972, de 9 de marzo, por el que se declaran de alto interés nacional las </w:t>
      </w:r>
      <w:r>
        <w:lastRenderedPageBreak/>
        <w:t>actuaciones del Instituto Nacional de Reforma y Desarrollo Agrario (IRYDA) en el Campo de Cartagena, a pesar de su carácter preconstitucional.</w:t>
      </w:r>
    </w:p>
    <w:p w:rsidR="005728DD" w:rsidRDefault="005728DD" w:rsidP="005728DD">
      <w:pPr>
        <w:pStyle w:val="TextoNormal"/>
      </w:pPr>
    </w:p>
    <w:p w:rsidR="005728DD" w:rsidRDefault="005728DD" w:rsidP="005728DD">
      <w:pPr>
        <w:pStyle w:val="TextoNormal"/>
      </w:pPr>
      <w:r>
        <w:t xml:space="preserve">(iii) También es de competencia estatal la planificación hidrológica, </w:t>
      </w:r>
      <w:r w:rsidRPr="005728DD">
        <w:rPr>
          <w:i/>
        </w:rPr>
        <w:t>ex</w:t>
      </w:r>
      <w:r>
        <w:t xml:space="preserve"> art. 149.1.22 CE, de acuerdo con la jurisprudencia constitucional (cita la STC 36/2013), como instrumento de integración y coordinación de políticas sectoriales de distintas administraciones. A tal efecto, el plan hidrológico de la demarcación hidrográfica del Segura (anexo X del Real Decreto 1/2016) prevé asignaciones hasta 2021 de usos de agua para regadío para la zona afectada por la ley recurrida (Campo de Cartagena). Finalmente, el art. 132.2 CE prevé la titularidad estatal del dominio público marítimo-terrestre, en que se integra el Mar Menor, y aunque no sea un título competencial (STC 149/1991), del mencionado precepto deriva la obligación del Estado de preservar sus características propias y equilibrios naturales en esa zona. En ejercicio de estas competencias el Estado ha reiterado el carácter básico y la importancia para la economía nacional de la agricultura del Campo de Cartagena.</w:t>
      </w:r>
    </w:p>
    <w:p w:rsidR="005728DD" w:rsidRDefault="005728DD" w:rsidP="005728DD">
      <w:pPr>
        <w:pStyle w:val="TextoNormal"/>
      </w:pPr>
    </w:p>
    <w:p w:rsidR="005728DD" w:rsidRDefault="005728DD" w:rsidP="005728DD">
      <w:pPr>
        <w:pStyle w:val="TextoNormal"/>
      </w:pPr>
      <w:r>
        <w:t>(iv) Finalmente, y aun dentro de esta primera parte, el recurso argumenta que la ley vulnera los derechos a la propiedad (art. 33 CE) y libre empresa (art. 38 CE), así como el artículo 1 del Protocolo núm. 1 al Convenio europeo para la protección de los derechos humanos y de las libertades fundamentales (CEDH), que puede incluir las “legítimas expectativas” contra “injerencias arbitrarias” de los poderes públicos, de acuerdo con la jurisprudencia del Tribunal Europeo de Derechos Humanos que cita. La necesidad de previsión legal, finalidad legítima y justo equilibrio entre las exigencias del interés general y la salvaguarda del derecho a la propiedad que exige la jurisprudencia del Tribunal Europeo de Derechos Humanos coinciden con los límites que la Constitución impone para las restricciones de cualquier derecho constitucional: que son el respeto al contenido esencial del art. 53.1 CE y sobre todo el principio de proporcionalidad, con sus tres juicios característicos y sucesivos de idoneidad, necesidad y proporcionalidad en sentido estricto (cita las SSTC 66/1995 y 14/2003). Unos requisitos que no cumplen las limitaciones a la actividad agrícola que la ley contiene.</w:t>
      </w:r>
    </w:p>
    <w:p w:rsidR="005728DD" w:rsidRDefault="005728DD" w:rsidP="005728DD">
      <w:pPr>
        <w:pStyle w:val="TextoNormal"/>
      </w:pPr>
    </w:p>
    <w:p w:rsidR="005728DD" w:rsidRDefault="005728DD" w:rsidP="005728DD">
      <w:pPr>
        <w:pStyle w:val="TextoNormal"/>
      </w:pPr>
      <w:r>
        <w:t>b) Una vez efectuada la anterior exposición general, el escrito desciende a continuación a justificar la inconstitucionalidad de cada uno de los preceptos recurridos, afirmando con carácter general que la Ley 3/2020 “rompe absolutamente el equilibrio entre desarrollo social y económico y protección del medio ambiente” convirtiendo en “imposible” la actividad económica que es la agricultura en las zonas afectadas, sin dar además alternativa alguna a los perjudicados.</w:t>
      </w:r>
    </w:p>
    <w:p w:rsidR="005728DD" w:rsidRDefault="005728DD" w:rsidP="005728DD">
      <w:pPr>
        <w:pStyle w:val="TextoNormal"/>
      </w:pPr>
    </w:p>
    <w:p w:rsidR="005728DD" w:rsidRDefault="005728DD" w:rsidP="005728DD">
      <w:pPr>
        <w:pStyle w:val="TextoNormal"/>
      </w:pPr>
      <w:r>
        <w:t>(i) Comienza con la delimitación del ámbito de aplicación de la ley efectuada en el art. 2.2 y en el anexo I. Según el citado art. 2.2:</w:t>
      </w:r>
    </w:p>
    <w:p w:rsidR="005728DD" w:rsidRDefault="005728DD" w:rsidP="005728DD">
      <w:pPr>
        <w:pStyle w:val="TextoNormal"/>
      </w:pPr>
    </w:p>
    <w:p w:rsidR="005728DD" w:rsidRDefault="005728DD" w:rsidP="005728DD">
      <w:pPr>
        <w:pStyle w:val="TextoNormal"/>
      </w:pPr>
      <w:r>
        <w:t>“A efectos de la aplicación de las medidas previstas en los artículos 17, 20 y 24, el capítulo V, la sección 1 del capítulo VI, la disposición adicional segunda y las disposiciones transitorias tercera y cuarta, se diferencian dos zonas, zona 1 y zona 2, cuya delimitación se lleva a cabo en el anexo I”.</w:t>
      </w:r>
    </w:p>
    <w:p w:rsidR="005728DD" w:rsidRDefault="005728DD" w:rsidP="005728DD">
      <w:pPr>
        <w:pStyle w:val="TextoNormal"/>
      </w:pPr>
    </w:p>
    <w:p w:rsidR="005728DD" w:rsidRDefault="005728DD" w:rsidP="005728DD">
      <w:pPr>
        <w:pStyle w:val="TextoNormal"/>
      </w:pPr>
      <w:r>
        <w:t>Y el anexo I contiene un plano que delimita las mencionadas zonas 1 y 2.</w:t>
      </w:r>
    </w:p>
    <w:p w:rsidR="005728DD" w:rsidRDefault="005728DD" w:rsidP="005728DD">
      <w:pPr>
        <w:pStyle w:val="TextoNormal"/>
      </w:pPr>
    </w:p>
    <w:p w:rsidR="005728DD" w:rsidRDefault="005728DD" w:rsidP="005728DD">
      <w:pPr>
        <w:pStyle w:val="TextoNormal"/>
      </w:pPr>
      <w:r>
        <w:lastRenderedPageBreak/>
        <w:t>El recurso califica de “arbitraria” la delimitación de la zona 1 efectuada en el precepto y anexo impugnados, pues a pesar de que el preámbulo justifica su delimitación por su “cercanía con el Mar Menor”, lo cierto es que tal y como luego es delimitado la anchura y distancia al Mar Menor de esta zona varían extraordinariamente. Se vulnera con ello el art. 9.3 de la Constitución.</w:t>
      </w:r>
    </w:p>
    <w:p w:rsidR="005728DD" w:rsidRDefault="005728DD" w:rsidP="005728DD">
      <w:pPr>
        <w:pStyle w:val="TextoNormal"/>
      </w:pPr>
    </w:p>
    <w:p w:rsidR="005728DD" w:rsidRDefault="005728DD" w:rsidP="005728DD">
      <w:pPr>
        <w:pStyle w:val="TextoNormal"/>
      </w:pPr>
      <w:r>
        <w:t>(ii) Impugnan a continuación el art. 15, que regula el plan de ordenación territorial de la cuenca vertiente del Mar Menor en los siguientes términos:</w:t>
      </w:r>
    </w:p>
    <w:p w:rsidR="005728DD" w:rsidRDefault="005728DD" w:rsidP="005728DD">
      <w:pPr>
        <w:pStyle w:val="TextoNormal"/>
      </w:pPr>
    </w:p>
    <w:p w:rsidR="005728DD" w:rsidRDefault="005728DD" w:rsidP="005728DD">
      <w:pPr>
        <w:pStyle w:val="TextoNormal"/>
      </w:pPr>
      <w:r>
        <w:t>“Artículo 15. Plan de ordenación territorial de la cuenca vertiente del Mar Menor.</w:t>
      </w:r>
    </w:p>
    <w:p w:rsidR="005728DD" w:rsidRDefault="005728DD" w:rsidP="005728DD">
      <w:pPr>
        <w:pStyle w:val="TextoNormal"/>
      </w:pPr>
    </w:p>
    <w:p w:rsidR="005728DD" w:rsidRDefault="005728DD" w:rsidP="005728DD">
      <w:pPr>
        <w:pStyle w:val="TextoNormal"/>
      </w:pPr>
      <w:r>
        <w:t>1. En el plazo de tres años desde la entrada en vigor de esta ley, se deberá aprobar con carácter definitivo el plan de ordenación territorial de la cuenca vertiente del Mar Menor, de acuerdo con las disposiciones del título II de la Ley 13/2015, de 30 de marzo, de ordenación territorial y urbanística de la Región de Murcia.</w:t>
      </w:r>
    </w:p>
    <w:p w:rsidR="005728DD" w:rsidRDefault="005728DD" w:rsidP="005728DD">
      <w:pPr>
        <w:pStyle w:val="TextoNormal"/>
      </w:pPr>
    </w:p>
    <w:p w:rsidR="005728DD" w:rsidRDefault="005728DD" w:rsidP="005728DD">
      <w:pPr>
        <w:pStyle w:val="TextoNormal"/>
      </w:pPr>
      <w:r>
        <w:t>2. El ámbito territorial de este instrumento será la cuenca vertiente del Mar Menor (zonas 1 y 2), tal como viene definida en el anexo I, así como La Manga del Mar Menor.</w:t>
      </w:r>
    </w:p>
    <w:p w:rsidR="005728DD" w:rsidRDefault="005728DD" w:rsidP="005728DD">
      <w:pPr>
        <w:pStyle w:val="TextoNormal"/>
      </w:pPr>
    </w:p>
    <w:p w:rsidR="005728DD" w:rsidRDefault="005728DD" w:rsidP="005728DD">
      <w:pPr>
        <w:pStyle w:val="TextoNormal"/>
      </w:pPr>
      <w:r>
        <w:t>Los objetivos específicos de este plan, serán:</w:t>
      </w:r>
    </w:p>
    <w:p w:rsidR="005728DD" w:rsidRDefault="005728DD" w:rsidP="005728DD">
      <w:pPr>
        <w:pStyle w:val="TextoNormal"/>
      </w:pPr>
    </w:p>
    <w:p w:rsidR="005728DD" w:rsidRDefault="005728DD" w:rsidP="005728DD">
      <w:pPr>
        <w:pStyle w:val="TextoNormal"/>
      </w:pPr>
      <w:r>
        <w:t>a) Adaptación de los usos agrícolas a usos de carácter sostenible, forestal y turístico, y control de la densidad ganadera.</w:t>
      </w:r>
    </w:p>
    <w:p w:rsidR="005728DD" w:rsidRDefault="005728DD" w:rsidP="005728DD">
      <w:pPr>
        <w:pStyle w:val="TextoNormal"/>
      </w:pPr>
    </w:p>
    <w:p w:rsidR="005728DD" w:rsidRDefault="005728DD" w:rsidP="005728DD">
      <w:pPr>
        <w:pStyle w:val="TextoNormal"/>
      </w:pPr>
      <w:r>
        <w:t>b) Establecimiento de un corredor ecológico alrededor del Mar Menor con objeto de actuar de filtro natural ecosostenible, y de función retenedora de agua en caso de episodios de precipitación de carácter intenso, atendiendo al mantenimiento de la conectividad ecológica del Mar Menor y su entorno, identificando terrenos forestales o con presencia de hábitats naturales, así como aquellos espacios que deban recuperar esa funcionalidad incorporando la red de vías pecuarias. Además se revisará la idoneidad actual de los suelos sin desarrollar y sus condiciones de inundabilidad.</w:t>
      </w:r>
    </w:p>
    <w:p w:rsidR="005728DD" w:rsidRDefault="005728DD" w:rsidP="005728DD">
      <w:pPr>
        <w:pStyle w:val="TextoNormal"/>
      </w:pPr>
    </w:p>
    <w:p w:rsidR="005728DD" w:rsidRDefault="005728DD" w:rsidP="005728DD">
      <w:pPr>
        <w:pStyle w:val="TextoNormal"/>
      </w:pPr>
      <w:r>
        <w:t>c) Actuaciones estratégicas y estructurantes, para cumplir el objetivo de protección del Mar Menor.</w:t>
      </w:r>
    </w:p>
    <w:p w:rsidR="005728DD" w:rsidRDefault="005728DD" w:rsidP="005728DD">
      <w:pPr>
        <w:pStyle w:val="TextoNormal"/>
      </w:pPr>
    </w:p>
    <w:p w:rsidR="005728DD" w:rsidRDefault="005728DD" w:rsidP="005728DD">
      <w:pPr>
        <w:pStyle w:val="TextoNormal"/>
      </w:pPr>
      <w:r>
        <w:t>d) Regular la densidad urbanística de los usos residenciales en el entorno del Mar Menor.</w:t>
      </w:r>
    </w:p>
    <w:p w:rsidR="005728DD" w:rsidRDefault="005728DD" w:rsidP="005728DD">
      <w:pPr>
        <w:pStyle w:val="TextoNormal"/>
      </w:pPr>
    </w:p>
    <w:p w:rsidR="005728DD" w:rsidRDefault="005728DD" w:rsidP="005728DD">
      <w:pPr>
        <w:pStyle w:val="TextoNormal"/>
      </w:pPr>
      <w:r>
        <w:t>e) Impedir la conurbación del anillo lagunar evitando la urbanización de los intersticios, los cuales se dedicarán a espacios de carácter ecológico o forestal.</w:t>
      </w:r>
    </w:p>
    <w:p w:rsidR="005728DD" w:rsidRDefault="005728DD" w:rsidP="005728DD">
      <w:pPr>
        <w:pStyle w:val="TextoNormal"/>
      </w:pPr>
    </w:p>
    <w:p w:rsidR="005728DD" w:rsidRDefault="005728DD" w:rsidP="005728DD">
      <w:pPr>
        <w:pStyle w:val="TextoNormal"/>
      </w:pPr>
      <w:r>
        <w:t>f) Mejorar la calidad urbana en las áreas construidas recualificando los espacios turísticos.</w:t>
      </w:r>
    </w:p>
    <w:p w:rsidR="005728DD" w:rsidRDefault="005728DD" w:rsidP="005728DD">
      <w:pPr>
        <w:pStyle w:val="TextoNormal"/>
      </w:pPr>
    </w:p>
    <w:p w:rsidR="005728DD" w:rsidRDefault="005728DD" w:rsidP="005728DD">
      <w:pPr>
        <w:pStyle w:val="TextoNormal"/>
      </w:pPr>
      <w:r>
        <w:t>g) Regulación de usos del suelo para su compatibilidad.</w:t>
      </w:r>
    </w:p>
    <w:p w:rsidR="005728DD" w:rsidRDefault="005728DD" w:rsidP="005728DD">
      <w:pPr>
        <w:pStyle w:val="TextoNormal"/>
      </w:pPr>
    </w:p>
    <w:p w:rsidR="005728DD" w:rsidRDefault="005728DD" w:rsidP="005728DD">
      <w:pPr>
        <w:pStyle w:val="TextoNormal"/>
      </w:pPr>
      <w:r>
        <w:t>h) Protección de suelos por sus valores específicos.</w:t>
      </w:r>
    </w:p>
    <w:p w:rsidR="005728DD" w:rsidRDefault="005728DD" w:rsidP="005728DD">
      <w:pPr>
        <w:pStyle w:val="TextoNormal"/>
      </w:pPr>
    </w:p>
    <w:p w:rsidR="005728DD" w:rsidRDefault="005728DD" w:rsidP="005728DD">
      <w:pPr>
        <w:pStyle w:val="TextoNormal"/>
      </w:pPr>
      <w:r>
        <w:t>i) Regulación de usos en suelos con protecciones especiales.</w:t>
      </w:r>
    </w:p>
    <w:p w:rsidR="005728DD" w:rsidRDefault="005728DD" w:rsidP="005728DD">
      <w:pPr>
        <w:pStyle w:val="TextoNormal"/>
      </w:pPr>
    </w:p>
    <w:p w:rsidR="005728DD" w:rsidRDefault="005728DD" w:rsidP="005728DD">
      <w:pPr>
        <w:pStyle w:val="TextoNormal"/>
      </w:pPr>
      <w:r>
        <w:t>j) Restricción cautelar de usos en suelos que presenten riesgos.</w:t>
      </w:r>
    </w:p>
    <w:p w:rsidR="005728DD" w:rsidRDefault="005728DD" w:rsidP="005728DD">
      <w:pPr>
        <w:pStyle w:val="TextoNormal"/>
      </w:pPr>
    </w:p>
    <w:p w:rsidR="005728DD" w:rsidRDefault="005728DD" w:rsidP="005728DD">
      <w:pPr>
        <w:pStyle w:val="TextoNormal"/>
      </w:pPr>
      <w:r>
        <w:t>k) Racionalizar la accesibilidad y movilidad.</w:t>
      </w:r>
    </w:p>
    <w:p w:rsidR="005728DD" w:rsidRDefault="005728DD" w:rsidP="005728DD">
      <w:pPr>
        <w:pStyle w:val="TextoNormal"/>
      </w:pPr>
    </w:p>
    <w:p w:rsidR="005728DD" w:rsidRDefault="005728DD" w:rsidP="005728DD">
      <w:pPr>
        <w:pStyle w:val="TextoNormal"/>
      </w:pPr>
      <w:r>
        <w:t>l) Favorecer la creación de equipamientos hoteleros y turísticos y oferta de servicios para rebajar la estacionalidad de la demanda.</w:t>
      </w:r>
    </w:p>
    <w:p w:rsidR="005728DD" w:rsidRDefault="005728DD" w:rsidP="005728DD">
      <w:pPr>
        <w:pStyle w:val="TextoNormal"/>
      </w:pPr>
    </w:p>
    <w:p w:rsidR="005728DD" w:rsidRDefault="005728DD" w:rsidP="005728DD">
      <w:pPr>
        <w:pStyle w:val="TextoNormal"/>
      </w:pPr>
      <w:r>
        <w:t>m) Introducción de consideraciones de carácter paisajístico.</w:t>
      </w:r>
    </w:p>
    <w:p w:rsidR="005728DD" w:rsidRDefault="005728DD" w:rsidP="005728DD">
      <w:pPr>
        <w:pStyle w:val="TextoNormal"/>
      </w:pPr>
    </w:p>
    <w:p w:rsidR="005728DD" w:rsidRDefault="005728DD" w:rsidP="005728DD">
      <w:pPr>
        <w:pStyle w:val="TextoNormal"/>
      </w:pPr>
      <w:r>
        <w:t>n) Mitigación y adaptación al cambio climático.</w:t>
      </w:r>
    </w:p>
    <w:p w:rsidR="005728DD" w:rsidRDefault="005728DD" w:rsidP="005728DD">
      <w:pPr>
        <w:pStyle w:val="TextoNormal"/>
      </w:pPr>
    </w:p>
    <w:p w:rsidR="005728DD" w:rsidRDefault="005728DD" w:rsidP="005728DD">
      <w:pPr>
        <w:pStyle w:val="TextoNormal"/>
      </w:pPr>
      <w:r>
        <w:t>No obstante, para la zona 2, se podrán exceptuar las directrices relacionadas con los objetivos b), d), e), f) g), k) y l)”.</w:t>
      </w:r>
    </w:p>
    <w:p w:rsidR="005728DD" w:rsidRDefault="005728DD" w:rsidP="005728DD">
      <w:pPr>
        <w:pStyle w:val="TextoNormal"/>
      </w:pPr>
    </w:p>
    <w:p w:rsidR="005728DD" w:rsidRDefault="005728DD" w:rsidP="005728DD">
      <w:pPr>
        <w:pStyle w:val="TextoNormal"/>
      </w:pPr>
      <w:r>
        <w:t>Para los recurrentes, el contenido del plan previsto en este precepto “carece de todo sentido”, pues por un lado el art. 50 permite ciertos cultivos en la zona 1 y por otro este art. 15 ordena la conversión de usos agrícolas en otros de carácter sostenible, forestal o turístico. Exige además “elevadísimas inversiones” que carecen igualmente de sentido si en un plazo de tres años deben suprimirse usos agrícolas. Afirma además que de conformidad con los informes periciales que adjunta existían “alternativas más moderadas” para evitar la aportación de nutrientes al Mar Menor, como “imponer correctas prácticas agrícolas” que ajusten el uso de fertilizantes a las necesidades de los cultivos de modo que no se produzcan sobrantes que viertan sobre el Mar Menor.</w:t>
      </w:r>
    </w:p>
    <w:p w:rsidR="005728DD" w:rsidRDefault="005728DD" w:rsidP="005728DD">
      <w:pPr>
        <w:pStyle w:val="TextoNormal"/>
      </w:pPr>
    </w:p>
    <w:p w:rsidR="005728DD" w:rsidRDefault="005728DD" w:rsidP="005728DD">
      <w:pPr>
        <w:pStyle w:val="TextoNormal"/>
      </w:pPr>
      <w:r>
        <w:t>(iii) Cuestionan a continuación la preferencia de los cultivos de secano sobre todos los demás y en particular sobre los de regadío establecida en el art. 27, en los siguientes términos:</w:t>
      </w:r>
    </w:p>
    <w:p w:rsidR="005728DD" w:rsidRDefault="005728DD" w:rsidP="005728DD">
      <w:pPr>
        <w:pStyle w:val="TextoNormal"/>
      </w:pPr>
    </w:p>
    <w:p w:rsidR="005728DD" w:rsidRDefault="005728DD" w:rsidP="005728DD">
      <w:pPr>
        <w:pStyle w:val="TextoNormal"/>
      </w:pPr>
      <w:r>
        <w:t>“Artículo 27. Sistemas de cultivos.</w:t>
      </w:r>
    </w:p>
    <w:p w:rsidR="005728DD" w:rsidRDefault="005728DD" w:rsidP="005728DD">
      <w:pPr>
        <w:pStyle w:val="TextoNormal"/>
      </w:pPr>
    </w:p>
    <w:p w:rsidR="005728DD" w:rsidRDefault="005728DD" w:rsidP="005728DD">
      <w:pPr>
        <w:pStyle w:val="TextoNormal"/>
      </w:pPr>
      <w:r>
        <w:t>1. Con la finalidad de reducir el impacto causado por los nutrientes de origen agrario y su potencial afección, directa o indirecta, a los espacios protegidos existentes en el Mar Menor y su entorno, se promoverá la progresiva transformación de la actividad agrícola de la cuenca del Mar Menor de acuerdo a criterios técnicos (tipología de suelo, disponibilidad y calidad del agua, pendiente del terreno, niveles piezométricos), con la finalidad de implantar una agricultura sostenible:</w:t>
      </w:r>
    </w:p>
    <w:p w:rsidR="005728DD" w:rsidRDefault="005728DD" w:rsidP="005728DD">
      <w:pPr>
        <w:pStyle w:val="TextoNormal"/>
      </w:pPr>
    </w:p>
    <w:p w:rsidR="005728DD" w:rsidRDefault="005728DD" w:rsidP="005728DD">
      <w:pPr>
        <w:pStyle w:val="TextoNormal"/>
      </w:pPr>
      <w:r>
        <w:t>a) Cultivos de secano.</w:t>
      </w:r>
    </w:p>
    <w:p w:rsidR="005728DD" w:rsidRDefault="005728DD" w:rsidP="005728DD">
      <w:pPr>
        <w:pStyle w:val="TextoNormal"/>
      </w:pPr>
    </w:p>
    <w:p w:rsidR="005728DD" w:rsidRDefault="005728DD" w:rsidP="005728DD">
      <w:pPr>
        <w:pStyle w:val="TextoNormal"/>
      </w:pPr>
      <w:r>
        <w:t>b) Adopción de sistemas de cultivo en superficie confinada con recirculación de nutrientes.</w:t>
      </w:r>
    </w:p>
    <w:p w:rsidR="005728DD" w:rsidRDefault="005728DD" w:rsidP="005728DD">
      <w:pPr>
        <w:pStyle w:val="TextoNormal"/>
      </w:pPr>
    </w:p>
    <w:p w:rsidR="005728DD" w:rsidRDefault="005728DD" w:rsidP="005728DD">
      <w:pPr>
        <w:pStyle w:val="TextoNormal"/>
      </w:pPr>
      <w:r>
        <w:t>c) Agricultura sostenible, y de precisión.</w:t>
      </w:r>
    </w:p>
    <w:p w:rsidR="005728DD" w:rsidRDefault="005728DD" w:rsidP="005728DD">
      <w:pPr>
        <w:pStyle w:val="TextoNormal"/>
      </w:pPr>
    </w:p>
    <w:p w:rsidR="005728DD" w:rsidRDefault="005728DD" w:rsidP="005728DD">
      <w:pPr>
        <w:pStyle w:val="TextoNormal"/>
      </w:pPr>
      <w:r>
        <w:t>2. Para acelerar este cambio en el modelo productivo de la cuenca, el órgano competente habilitará ayudas dirigidas, especialmente, a apostar por la agricultura sostenible, y de precisión, definidas estas últimas, en el artículo 50.1 de la ley”.</w:t>
      </w:r>
    </w:p>
    <w:p w:rsidR="005728DD" w:rsidRDefault="005728DD" w:rsidP="005728DD">
      <w:pPr>
        <w:pStyle w:val="TextoNormal"/>
      </w:pPr>
    </w:p>
    <w:p w:rsidR="005728DD" w:rsidRDefault="005728DD" w:rsidP="005728DD">
      <w:pPr>
        <w:pStyle w:val="TextoNormal"/>
      </w:pPr>
      <w:r>
        <w:t>Según el escrito de interposición, esta preferencia es contraria a la planificación estatal que prevé recursos hídricos para los regadíos del Campo de Cartagena. Además, “no tiene en cuenta […] el importante papel que el regadío tiene como sumidero de CO2” y por tanto como herramienta de lucha contra el cambio climático, ni la “mayor potencialidad de transferencia de nutrientes, sedimentos y residuos” de los cultivos de secano. La priorización de cultivos establecida “no encuentra” además “justificación técnica”, debiéndose optar e su lugar por las “correctas prácticas agrícolas” para cada tipo de cultivo. Por último, no toma en cuenta que la transición del regadío al secano conlleva graves impactos socioeconómicos sin que ofrezca garantías de éxito en su finalidad de protección medioambiental. Todo ello, apreciado en los informes periciales que se adjuntan, supone vulnerar el contenido esencial del derecho de propiedad y de la libertad de empresa.</w:t>
      </w:r>
    </w:p>
    <w:p w:rsidR="005728DD" w:rsidRDefault="005728DD" w:rsidP="005728DD">
      <w:pPr>
        <w:pStyle w:val="TextoNormal"/>
      </w:pPr>
    </w:p>
    <w:p w:rsidR="005728DD" w:rsidRDefault="005728DD" w:rsidP="005728DD">
      <w:pPr>
        <w:pStyle w:val="TextoNormal"/>
      </w:pPr>
      <w:r>
        <w:t>(iv) Estos mismos vicios de inconstitucionalidad son predicables del art. 28, que es además contrario al art. 24.1 de la Ley de costas (LC). Dice este artículo:</w:t>
      </w:r>
    </w:p>
    <w:p w:rsidR="005728DD" w:rsidRDefault="005728DD" w:rsidP="005728DD">
      <w:pPr>
        <w:pStyle w:val="TextoNormal"/>
      </w:pPr>
    </w:p>
    <w:p w:rsidR="005728DD" w:rsidRDefault="005728DD" w:rsidP="005728DD">
      <w:pPr>
        <w:pStyle w:val="TextoNormal"/>
      </w:pPr>
      <w:r>
        <w:t>“Artículo 28. Nuevos cultivos o regadíos.</w:t>
      </w:r>
    </w:p>
    <w:p w:rsidR="005728DD" w:rsidRDefault="005728DD" w:rsidP="005728DD">
      <w:pPr>
        <w:pStyle w:val="TextoNormal"/>
      </w:pPr>
    </w:p>
    <w:p w:rsidR="005728DD" w:rsidRDefault="005728DD" w:rsidP="005728DD">
      <w:pPr>
        <w:pStyle w:val="TextoNormal"/>
      </w:pPr>
      <w:r>
        <w:t>1. En las zonas 1 y 2 se prohíben las transformaciones de terrenos de secano a regadío, no amparadas por un derecho de aprovechamiento de aguas obtenido con anterioridad a la publicación de la presente ley.</w:t>
      </w:r>
    </w:p>
    <w:p w:rsidR="005728DD" w:rsidRDefault="005728DD" w:rsidP="005728DD">
      <w:pPr>
        <w:pStyle w:val="TextoNormal"/>
      </w:pPr>
    </w:p>
    <w:p w:rsidR="005728DD" w:rsidRDefault="005728DD" w:rsidP="005728DD">
      <w:pPr>
        <w:pStyle w:val="TextoNormal"/>
      </w:pPr>
      <w:r>
        <w:t>2. En los terrenos que no tengan consideración de monte, la creación de nuevas superficies de cultivo de secano, o ampliación de las existentes, queda sujeta a autorización de la consejería competente para el control de la contaminación por nitratos, que tendrá por objeto comprobar el cumplimiento de lo establecido en esta ley y el programa de actuación aplicable”.</w:t>
      </w:r>
    </w:p>
    <w:p w:rsidR="005728DD" w:rsidRDefault="005728DD" w:rsidP="005728DD">
      <w:pPr>
        <w:pStyle w:val="TextoNormal"/>
      </w:pPr>
    </w:p>
    <w:p w:rsidR="005728DD" w:rsidRDefault="005728DD" w:rsidP="005728DD">
      <w:pPr>
        <w:pStyle w:val="TextoNormal"/>
      </w:pPr>
      <w:r>
        <w:t>Según los recurrentes, la autorización administrativa para crear o ampliar superficies de cultivo de secano del apartado 2 es contraria al art. 24.1 LC, que prevé la posibilidad de realizar cultivos en los terrenos comprendidos en la servidumbre de protección del dominio público marítimo-terrestre “sin necesidad de autorización” administrativa.</w:t>
      </w:r>
    </w:p>
    <w:p w:rsidR="005728DD" w:rsidRDefault="005728DD" w:rsidP="005728DD">
      <w:pPr>
        <w:pStyle w:val="TextoNormal"/>
      </w:pPr>
    </w:p>
    <w:p w:rsidR="005728DD" w:rsidRDefault="005728DD" w:rsidP="005728DD">
      <w:pPr>
        <w:pStyle w:val="TextoNormal"/>
      </w:pPr>
      <w:r>
        <w:t>(v) El art. 29, que limita la actividad agrícola y el uso de fertilizantes y otros productos en una zona de 1500 metros desde el límite interior del Mar Menor, que pueden además ampliarse por el plan territorial, incurre en los mismos vicios de arbitrariedad y vulneración de los arts. 33 y 38 CE. Dice el precepto:</w:t>
      </w:r>
    </w:p>
    <w:p w:rsidR="005728DD" w:rsidRDefault="005728DD" w:rsidP="005728DD">
      <w:pPr>
        <w:pStyle w:val="TextoNormal"/>
      </w:pPr>
    </w:p>
    <w:p w:rsidR="005728DD" w:rsidRDefault="005728DD" w:rsidP="005728DD">
      <w:pPr>
        <w:pStyle w:val="TextoNormal"/>
      </w:pPr>
      <w:r>
        <w:t>“Artículo 29. Limitación de la actividad agrícola en terrenos próximos al dominio público marítimo-terrestre.</w:t>
      </w:r>
    </w:p>
    <w:p w:rsidR="005728DD" w:rsidRDefault="005728DD" w:rsidP="005728DD">
      <w:pPr>
        <w:pStyle w:val="TextoNormal"/>
      </w:pPr>
    </w:p>
    <w:p w:rsidR="005728DD" w:rsidRDefault="005728DD" w:rsidP="005728DD">
      <w:pPr>
        <w:pStyle w:val="TextoNormal"/>
      </w:pPr>
      <w:r>
        <w:t>1. Para evitar la contaminación por nutrientes de origen agrario y facilitar la consecución de los fines previstos en el artículo 3 de esta ley, la actividad agrícola en las áreas que se encuentren a menos de 1500 metros del límite interior de la ribera del Mar Menor estará sujeta a las limitaciones y condiciones establecidas en los apartados siguientes.</w:t>
      </w:r>
    </w:p>
    <w:p w:rsidR="005728DD" w:rsidRDefault="005728DD" w:rsidP="005728DD">
      <w:pPr>
        <w:pStyle w:val="TextoNormal"/>
      </w:pPr>
    </w:p>
    <w:p w:rsidR="005728DD" w:rsidRDefault="005728DD" w:rsidP="005728DD">
      <w:pPr>
        <w:pStyle w:val="TextoNormal"/>
      </w:pPr>
      <w:r>
        <w:t xml:space="preserve">2. Queda prohibida la aplicación de todo tipo de fertilizantes, estiércoles o abonado en verde en las citadas áreas, con excepción de los cultivos de agricultura ecológica, sostenible </w:t>
      </w:r>
      <w:r>
        <w:lastRenderedPageBreak/>
        <w:t>y de precisión que se encuentren a más de 500 metros de la costa y cumplan las limitaciones y condiciones establecidas en los apartados siguientes.</w:t>
      </w:r>
    </w:p>
    <w:p w:rsidR="005728DD" w:rsidRDefault="005728DD" w:rsidP="005728DD">
      <w:pPr>
        <w:pStyle w:val="TextoNormal"/>
      </w:pPr>
    </w:p>
    <w:p w:rsidR="005728DD" w:rsidRDefault="005728DD" w:rsidP="005728DD">
      <w:pPr>
        <w:pStyle w:val="TextoNormal"/>
      </w:pPr>
      <w:r>
        <w:t>3. En las parcelas cultivadas ubicadas total o parcialmente dentro de la citada franja de 1500 metros, la reserva de suelo prevista en el artículo 37 será del 20 por 100 de la superficie de cada explotación y deberá destinarse a alguna de las actuaciones previstas en las letras a), b), g) y h) de su apartado 2, o a la creación de espacios forestales, no siendo de aplicación lo previsto en los apartados 3 y 4 de dicho artículo 37.</w:t>
      </w:r>
    </w:p>
    <w:p w:rsidR="005728DD" w:rsidRDefault="005728DD" w:rsidP="005728DD">
      <w:pPr>
        <w:pStyle w:val="TextoNormal"/>
      </w:pPr>
    </w:p>
    <w:p w:rsidR="005728DD" w:rsidRDefault="005728DD" w:rsidP="005728DD">
      <w:pPr>
        <w:pStyle w:val="TextoNormal"/>
      </w:pPr>
      <w:r>
        <w:t>No obstante, para el cumplimiento de esta obligación los titulares de las explotaciones podrán adscribir terrenos colindantes situados a menos de 500 metros de la ribera que representen hasta un 15 por 100 de su parcela de cultivo.</w:t>
      </w:r>
    </w:p>
    <w:p w:rsidR="005728DD" w:rsidRDefault="005728DD" w:rsidP="005728DD">
      <w:pPr>
        <w:pStyle w:val="TextoNormal"/>
      </w:pPr>
    </w:p>
    <w:p w:rsidR="005728DD" w:rsidRDefault="005728DD" w:rsidP="005728DD">
      <w:pPr>
        <w:pStyle w:val="TextoNormal"/>
      </w:pPr>
      <w:r>
        <w:t>La opción de agrupamiento prevista en el apartado 5 del artículo 37 no estará limitada a explotaciones de superficie inferior a 2 hectáreas, siempre que dicho agrupamiento permita una organización más racional de las parcelas o contribuya a la conformación del corredor ecológico previsto en el artículo 15.2 b).</w:t>
      </w:r>
    </w:p>
    <w:p w:rsidR="005728DD" w:rsidRDefault="005728DD" w:rsidP="005728DD">
      <w:pPr>
        <w:pStyle w:val="TextoNormal"/>
      </w:pPr>
    </w:p>
    <w:p w:rsidR="005728DD" w:rsidRDefault="005728DD" w:rsidP="005728DD">
      <w:pPr>
        <w:pStyle w:val="TextoNormal"/>
      </w:pPr>
      <w:r>
        <w:t>4. En ningún caso se admitirá en las áreas situadas a menos de 1500 metros del Mar Menor:</w:t>
      </w:r>
    </w:p>
    <w:p w:rsidR="005728DD" w:rsidRDefault="005728DD" w:rsidP="005728DD">
      <w:pPr>
        <w:pStyle w:val="TextoNormal"/>
      </w:pPr>
    </w:p>
    <w:p w:rsidR="005728DD" w:rsidRDefault="005728DD" w:rsidP="005728DD">
      <w:pPr>
        <w:pStyle w:val="TextoNormal"/>
      </w:pPr>
      <w:r>
        <w:t>a) El uso de fertilizantes químicos, estiércoles no compostados o abono en verde.</w:t>
      </w:r>
    </w:p>
    <w:p w:rsidR="005728DD" w:rsidRDefault="005728DD" w:rsidP="005728DD">
      <w:pPr>
        <w:pStyle w:val="TextoNormal"/>
      </w:pPr>
    </w:p>
    <w:p w:rsidR="005728DD" w:rsidRDefault="005728DD" w:rsidP="005728DD">
      <w:pPr>
        <w:pStyle w:val="TextoNormal"/>
      </w:pPr>
      <w:r>
        <w:t>b) La fertilización superior a 170 kg/N/ha/año.</w:t>
      </w:r>
    </w:p>
    <w:p w:rsidR="005728DD" w:rsidRDefault="005728DD" w:rsidP="005728DD">
      <w:pPr>
        <w:pStyle w:val="TextoNormal"/>
      </w:pPr>
    </w:p>
    <w:p w:rsidR="005728DD" w:rsidRDefault="005728DD" w:rsidP="005728DD">
      <w:pPr>
        <w:pStyle w:val="TextoNormal"/>
      </w:pPr>
      <w:r>
        <w:t>c) El cultivo de regadío de aquellas parcelas que no cuenten con derechos consolidados de aprovechamiento de aguas, en las que se compruebe que sus prácticas agrarias implican un exceso de nitrógeno aplicado o que las disposiciones de los cultivos favorecen escorrentías con sedimentos que llegan al Mar Menor en épocas de lluvias intensas.</w:t>
      </w:r>
    </w:p>
    <w:p w:rsidR="005728DD" w:rsidRDefault="005728DD" w:rsidP="005728DD">
      <w:pPr>
        <w:pStyle w:val="TextoNormal"/>
      </w:pPr>
    </w:p>
    <w:p w:rsidR="005728DD" w:rsidRDefault="005728DD" w:rsidP="005728DD">
      <w:pPr>
        <w:pStyle w:val="TextoNormal"/>
      </w:pPr>
      <w:r>
        <w:t>d) La instalación de nuevos invernaderos y la ampliación de los existentes.</w:t>
      </w:r>
    </w:p>
    <w:p w:rsidR="005728DD" w:rsidRDefault="005728DD" w:rsidP="005728DD">
      <w:pPr>
        <w:pStyle w:val="TextoNormal"/>
      </w:pPr>
    </w:p>
    <w:p w:rsidR="005728DD" w:rsidRDefault="005728DD" w:rsidP="005728DD">
      <w:pPr>
        <w:pStyle w:val="TextoNormal"/>
      </w:pPr>
      <w:r>
        <w:t>5. Para el cultivo de parcelas total o parcialmente ubicadas a menos de 1500 metros del Mar Menor será precisa la comunicación previa a la consejería competente en materia de control de la contaminación por nitratos, acompañando una memoria suscrita por técnico competente que justifique el cumplimiento de lo dispuesto en los apartados anteriores y el resto de la normativa aplicable.</w:t>
      </w:r>
    </w:p>
    <w:p w:rsidR="005728DD" w:rsidRDefault="005728DD" w:rsidP="005728DD">
      <w:pPr>
        <w:pStyle w:val="TextoNormal"/>
      </w:pPr>
    </w:p>
    <w:p w:rsidR="005728DD" w:rsidRDefault="005728DD" w:rsidP="005728DD">
      <w:pPr>
        <w:pStyle w:val="TextoNormal"/>
      </w:pPr>
      <w:r>
        <w:t>Tras la presentación de la comunicación, el titular de la explotación podrá llevar a cabo las actuaciones previstas en la memoria sin esperar respuesta administrativa.</w:t>
      </w:r>
    </w:p>
    <w:p w:rsidR="005728DD" w:rsidRDefault="005728DD" w:rsidP="005728DD">
      <w:pPr>
        <w:pStyle w:val="TextoNormal"/>
      </w:pPr>
    </w:p>
    <w:p w:rsidR="005728DD" w:rsidRDefault="005728DD" w:rsidP="005728DD">
      <w:pPr>
        <w:pStyle w:val="TextoNormal"/>
      </w:pPr>
      <w:r>
        <w:t>En el caso de las adscripciones y los agrupamientos previstos en los párrafos segundo y tercero del apartado 3, los interesados deberán presentar un proyecto técnico comprensivo de la ubicación de los terrenos y las actuaciones a realizar en ellos, a efectos de evaluar su idoneidad. Asimismo, deberá acreditarse la disponibilidad de las superficies adscritas situadas en parcelas ajenas y, en su caso, el acuerdo de agrupación.</w:t>
      </w:r>
    </w:p>
    <w:p w:rsidR="005728DD" w:rsidRDefault="005728DD" w:rsidP="005728DD">
      <w:pPr>
        <w:pStyle w:val="TextoNormal"/>
      </w:pPr>
    </w:p>
    <w:p w:rsidR="005728DD" w:rsidRDefault="005728DD" w:rsidP="005728DD">
      <w:pPr>
        <w:pStyle w:val="TextoNormal"/>
      </w:pPr>
      <w:r>
        <w:lastRenderedPageBreak/>
        <w:t>6. El plan de ordenación territorial previsto en el artículo 15 y el programa de actuación previsto en el artículo 54 podrán ampliar las áreas sometidas a las restricciones de la actividad agrícola previstas en este artículo, así como establecer nuevos límites y condiciones. No obstante, la obligación establecida en el apartado 3 no podrá ser en ningún caso superior al 20 por 100”.</w:t>
      </w:r>
    </w:p>
    <w:p w:rsidR="005728DD" w:rsidRDefault="005728DD" w:rsidP="005728DD">
      <w:pPr>
        <w:pStyle w:val="TextoNormal"/>
      </w:pPr>
    </w:p>
    <w:p w:rsidR="005728DD" w:rsidRDefault="005728DD" w:rsidP="005728DD">
      <w:pPr>
        <w:pStyle w:val="TextoNormal"/>
      </w:pPr>
      <w:r>
        <w:t>Según los recurrentes “si la finalidad de la ley es evitar el arrastre de nutrientes, no se entiende” el trato de favor a la agricultura ecológica, a la que se permite el uso de fertilizantes (apartado 2). Las limitaciones contenidas en el precepto son, además, contrarias a los derechos de propiedad y libre empresa, por desproporcionadas. Y finalmente, les parece que se impone a los propietarios “una expropiación en toda regla” al obligarles a dotar un 20 por 100 de la superficie de la explotación para crear a su costa espacios forestales (apartado 6).</w:t>
      </w:r>
    </w:p>
    <w:p w:rsidR="005728DD" w:rsidRDefault="005728DD" w:rsidP="005728DD">
      <w:pPr>
        <w:pStyle w:val="TextoNormal"/>
      </w:pPr>
    </w:p>
    <w:p w:rsidR="005728DD" w:rsidRDefault="005728DD" w:rsidP="005728DD">
      <w:pPr>
        <w:pStyle w:val="TextoNormal"/>
      </w:pPr>
      <w:r>
        <w:t>(vi) Idénticos reproches dirigen a los arts. 36 y 37, al imponer a los propietarios estructuras vegetales de conservación y fajas de vegetación a su costa. Son imposiciones que vulneran el principio de proporcionalidad por no estar “justificadas” ni ser “entendibles”, existiendo en cambio otras medidas “más efectivas” de acuerdo con lo razonado en los informes periciales que acompaña. El tenor de estos preceptos es el siguiente:</w:t>
      </w:r>
    </w:p>
    <w:p w:rsidR="005728DD" w:rsidRDefault="005728DD" w:rsidP="005728DD">
      <w:pPr>
        <w:pStyle w:val="TextoNormal"/>
      </w:pPr>
    </w:p>
    <w:p w:rsidR="005728DD" w:rsidRDefault="005728DD" w:rsidP="005728DD">
      <w:pPr>
        <w:pStyle w:val="TextoNormal"/>
      </w:pPr>
      <w:r>
        <w:t>“Artículo 36. Obligación de implantación de estructuras vegetales de conservación y fajas de vegetación.</w:t>
      </w:r>
    </w:p>
    <w:p w:rsidR="005728DD" w:rsidRDefault="005728DD" w:rsidP="005728DD">
      <w:pPr>
        <w:pStyle w:val="TextoNormal"/>
      </w:pPr>
    </w:p>
    <w:p w:rsidR="005728DD" w:rsidRDefault="005728DD" w:rsidP="005728DD">
      <w:pPr>
        <w:pStyle w:val="TextoNormal"/>
      </w:pPr>
      <w:r>
        <w:t>1. Las explotaciones agrícolas que incluyan tierras de cultivo bajo sistemas de regadío, deberán establecer en ellas estructuras vegetales de conservación destinadas a la retención y regulación de aguas, control de escorrentías, absorción de nutrientes y protección frente a la erosión del suelo.</w:t>
      </w:r>
    </w:p>
    <w:p w:rsidR="005728DD" w:rsidRDefault="005728DD" w:rsidP="005728DD">
      <w:pPr>
        <w:pStyle w:val="TextoNormal"/>
      </w:pPr>
    </w:p>
    <w:p w:rsidR="005728DD" w:rsidRDefault="005728DD" w:rsidP="005728DD">
      <w:pPr>
        <w:pStyle w:val="TextoNormal"/>
      </w:pPr>
      <w:r>
        <w:t>Estas consistirán en estructuras de barrera, así como agrupaciones de vegetación autóctona en las zonas no productivas o marginales de las explotaciones, o áreas destinadas a este fin.</w:t>
      </w:r>
    </w:p>
    <w:p w:rsidR="005728DD" w:rsidRDefault="005728DD" w:rsidP="005728DD">
      <w:pPr>
        <w:pStyle w:val="TextoNormal"/>
      </w:pPr>
    </w:p>
    <w:p w:rsidR="005728DD" w:rsidRDefault="005728DD" w:rsidP="005728DD">
      <w:pPr>
        <w:pStyle w:val="TextoNormal"/>
      </w:pPr>
      <w:r>
        <w:t>El titular de la explotación deberá realizar las labores de mantenimiento de las estructuras y elementos mencionados en este artículo.</w:t>
      </w:r>
    </w:p>
    <w:p w:rsidR="005728DD" w:rsidRDefault="005728DD" w:rsidP="005728DD">
      <w:pPr>
        <w:pStyle w:val="TextoNormal"/>
      </w:pPr>
    </w:p>
    <w:p w:rsidR="005728DD" w:rsidRDefault="005728DD" w:rsidP="005728DD">
      <w:pPr>
        <w:pStyle w:val="TextoNormal"/>
      </w:pPr>
      <w:r>
        <w:t>2. El anexo III establece las normas técnicas que deben seguirse para el diseño de las estructuras vegetales mencionadas.</w:t>
      </w:r>
    </w:p>
    <w:p w:rsidR="005728DD" w:rsidRDefault="005728DD" w:rsidP="005728DD">
      <w:pPr>
        <w:pStyle w:val="TextoNormal"/>
      </w:pPr>
    </w:p>
    <w:p w:rsidR="005728DD" w:rsidRDefault="005728DD" w:rsidP="005728DD">
      <w:pPr>
        <w:pStyle w:val="TextoNormal"/>
      </w:pPr>
      <w:r>
        <w:t>La descripción de las estructuras vegetales de conservación, así como su mantenimiento, deben constar en una memoria de diseño y mantenimiento, suscrita por un técnico competente.</w:t>
      </w:r>
    </w:p>
    <w:p w:rsidR="005728DD" w:rsidRDefault="005728DD" w:rsidP="005728DD">
      <w:pPr>
        <w:pStyle w:val="TextoNormal"/>
      </w:pPr>
    </w:p>
    <w:p w:rsidR="005728DD" w:rsidRDefault="005728DD" w:rsidP="005728DD">
      <w:pPr>
        <w:pStyle w:val="TextoNormal"/>
      </w:pPr>
      <w:r>
        <w:t>3. Antes de la implantación de las estructuras vegetales de conservación, o cuando se realicen modificaciones sustanciales en las mismas, será obligatoria la presentación de una declaración responsable ante la consejería competente para el control de la contaminación por nitratos, acompañando la memoria de diseño y mantenimiento de las estructuras.</w:t>
      </w:r>
    </w:p>
    <w:p w:rsidR="005728DD" w:rsidRDefault="005728DD" w:rsidP="005728DD">
      <w:pPr>
        <w:pStyle w:val="TextoNormal"/>
      </w:pPr>
    </w:p>
    <w:p w:rsidR="005728DD" w:rsidRDefault="005728DD" w:rsidP="005728DD">
      <w:pPr>
        <w:pStyle w:val="TextoNormal"/>
      </w:pPr>
      <w:r>
        <w:lastRenderedPageBreak/>
        <w:t>Tras la presentación de la declaración responsable, el titular de la explotación deberá llevar a cabo las actuaciones previstas en la memoria, en el plazo máximo de tres meses desde su presentación, sin esperar una respuesta administrativa y sin perjuicio de las labores de mantenimiento posterior.</w:t>
      </w:r>
    </w:p>
    <w:p w:rsidR="005728DD" w:rsidRDefault="005728DD" w:rsidP="005728DD">
      <w:pPr>
        <w:pStyle w:val="TextoNormal"/>
      </w:pPr>
    </w:p>
    <w:p w:rsidR="005728DD" w:rsidRDefault="005728DD" w:rsidP="005728DD">
      <w:pPr>
        <w:pStyle w:val="TextoNormal"/>
      </w:pPr>
      <w:r>
        <w:t>Se podrá en cualquier momento requerir al titular de la explotación para que complete o modifique la memoria o realice las actuaciones que sean precisas, en el caso de que la memoria resulte incompleta o defectuosa, o cuando las estructuras vegetales no cumplan adecuadamente las determinaciones del anexo III.</w:t>
      </w:r>
    </w:p>
    <w:p w:rsidR="005728DD" w:rsidRDefault="005728DD" w:rsidP="005728DD">
      <w:pPr>
        <w:pStyle w:val="TextoNormal"/>
      </w:pPr>
    </w:p>
    <w:p w:rsidR="005728DD" w:rsidRDefault="005728DD" w:rsidP="005728DD">
      <w:pPr>
        <w:pStyle w:val="TextoNormal"/>
      </w:pPr>
      <w:r>
        <w:t>4. Las explotaciones agrícolas que incluyan tierras de cultivo bajo sistemas de secano deberán establecer en ellas fajas de vegetación destinadas al control de escorrentías, absorción de nutrientes y protección frente a la erosión del suelo.</w:t>
      </w:r>
    </w:p>
    <w:p w:rsidR="005728DD" w:rsidRDefault="005728DD" w:rsidP="005728DD">
      <w:pPr>
        <w:pStyle w:val="TextoNormal"/>
      </w:pPr>
    </w:p>
    <w:p w:rsidR="005728DD" w:rsidRDefault="005728DD" w:rsidP="005728DD">
      <w:pPr>
        <w:pStyle w:val="TextoNormal"/>
      </w:pPr>
      <w:r>
        <w:t>Las fajas vegetales se instalarán perimetralmente (aguas arriba y aguas abajo de la explotación) con una anchura mínima de un metro para pendientes inferiores al 2 por 100 y de dos metros para pendientes superiores. Se emplearán especies poco exigentes en agua y con sistemas radiculares profundos. Las fajas se formarán principalmente por vegetación natural. Este espacio no podrá labrarse en ningún caso, y se mantendrá en buen estado, garantizando en todo momento su finalidad. Si se dispone de ribazos, taludes o márgenes, tales lugares serán adecuados para la colocación de estas estructuras.</w:t>
      </w:r>
    </w:p>
    <w:p w:rsidR="005728DD" w:rsidRDefault="005728DD" w:rsidP="005728DD">
      <w:pPr>
        <w:pStyle w:val="TextoNormal"/>
      </w:pPr>
    </w:p>
    <w:p w:rsidR="005728DD" w:rsidRDefault="005728DD" w:rsidP="005728DD">
      <w:pPr>
        <w:pStyle w:val="TextoNormal"/>
      </w:pPr>
      <w:r>
        <w:t>Quedan exentas de la obligación de establecer fajas de vegetación aquellas unidades de cultivo de secano que cuenten con sistemas de abancalamiento o aterrazado”.</w:t>
      </w:r>
    </w:p>
    <w:p w:rsidR="005728DD" w:rsidRDefault="005728DD" w:rsidP="005728DD">
      <w:pPr>
        <w:pStyle w:val="TextoNormal"/>
      </w:pPr>
    </w:p>
    <w:p w:rsidR="005728DD" w:rsidRDefault="005728DD" w:rsidP="005728DD">
      <w:pPr>
        <w:pStyle w:val="TextoNormal"/>
      </w:pPr>
      <w:r>
        <w:t>“Artículo 37. Superficies de retención de nutrientes.</w:t>
      </w:r>
    </w:p>
    <w:p w:rsidR="005728DD" w:rsidRDefault="005728DD" w:rsidP="005728DD">
      <w:pPr>
        <w:pStyle w:val="TextoNormal"/>
      </w:pPr>
    </w:p>
    <w:p w:rsidR="005728DD" w:rsidRDefault="005728DD" w:rsidP="005728DD">
      <w:pPr>
        <w:pStyle w:val="TextoNormal"/>
      </w:pPr>
      <w:r>
        <w:t>1. Será obligatorio destinar el 5 por 100 de la superficie de cada explotación agrícola situada en la zona 1 y 2 a sistemas de retención de nutrientes con objeto de reducir la contaminación difusa.</w:t>
      </w:r>
    </w:p>
    <w:p w:rsidR="005728DD" w:rsidRDefault="005728DD" w:rsidP="005728DD">
      <w:pPr>
        <w:pStyle w:val="TextoNormal"/>
      </w:pPr>
    </w:p>
    <w:p w:rsidR="005728DD" w:rsidRDefault="005728DD" w:rsidP="005728DD">
      <w:pPr>
        <w:pStyle w:val="TextoNormal"/>
      </w:pPr>
      <w:r>
        <w:t>2. Para el cumplimiento de esta obligación, se considera que una superficie se destina a sistemas de retención de nutrientes en los siguientes casos:</w:t>
      </w:r>
    </w:p>
    <w:p w:rsidR="005728DD" w:rsidRDefault="005728DD" w:rsidP="005728DD">
      <w:pPr>
        <w:pStyle w:val="TextoNormal"/>
      </w:pPr>
    </w:p>
    <w:p w:rsidR="005728DD" w:rsidRDefault="005728DD" w:rsidP="005728DD">
      <w:pPr>
        <w:pStyle w:val="TextoNormal"/>
      </w:pPr>
      <w:r>
        <w:t>a) Superficies destinadas a estructuras vegetales de conservación y fajas de vegetación a que se refiere el artículo anterior.</w:t>
      </w:r>
    </w:p>
    <w:p w:rsidR="005728DD" w:rsidRDefault="005728DD" w:rsidP="005728DD">
      <w:pPr>
        <w:pStyle w:val="TextoNormal"/>
      </w:pPr>
    </w:p>
    <w:p w:rsidR="005728DD" w:rsidRDefault="005728DD" w:rsidP="005728DD">
      <w:pPr>
        <w:pStyle w:val="TextoNormal"/>
      </w:pPr>
      <w:r>
        <w:t>b) Filtros verdes destinados a la eliminación de los nutrientes.</w:t>
      </w:r>
    </w:p>
    <w:p w:rsidR="005728DD" w:rsidRDefault="005728DD" w:rsidP="005728DD">
      <w:pPr>
        <w:pStyle w:val="TextoNormal"/>
      </w:pPr>
    </w:p>
    <w:p w:rsidR="005728DD" w:rsidRDefault="005728DD" w:rsidP="005728DD">
      <w:pPr>
        <w:pStyle w:val="TextoNormal"/>
      </w:pPr>
      <w:r>
        <w:t>c) Superficies destinadas a la recuperación y revegetación con especies autóctonas de infraestructuras hidráulicas (taludes de embalses y tuberías de conducción).</w:t>
      </w:r>
    </w:p>
    <w:p w:rsidR="005728DD" w:rsidRDefault="005728DD" w:rsidP="005728DD">
      <w:pPr>
        <w:pStyle w:val="TextoNormal"/>
      </w:pPr>
    </w:p>
    <w:p w:rsidR="005728DD" w:rsidRDefault="005728DD" w:rsidP="005728DD">
      <w:pPr>
        <w:pStyle w:val="TextoNormal"/>
      </w:pPr>
      <w:r>
        <w:t>d) Superficies destinadas a la recuperación y revegetación con especies autóctonas de la red de drenaje, tanto natural (cauces, ramblas) como artificial (canales, drenes y colectores).</w:t>
      </w:r>
    </w:p>
    <w:p w:rsidR="005728DD" w:rsidRDefault="005728DD" w:rsidP="005728DD">
      <w:pPr>
        <w:pStyle w:val="TextoNormal"/>
      </w:pPr>
    </w:p>
    <w:p w:rsidR="005728DD" w:rsidRDefault="005728DD" w:rsidP="005728DD">
      <w:pPr>
        <w:pStyle w:val="TextoNormal"/>
      </w:pPr>
      <w:r>
        <w:t>e) Superficies destinadas a la recuperación y revegetación de especies autóctonas de los linderos de caminos.</w:t>
      </w:r>
    </w:p>
    <w:p w:rsidR="005728DD" w:rsidRDefault="005728DD" w:rsidP="005728DD">
      <w:pPr>
        <w:pStyle w:val="TextoNormal"/>
      </w:pPr>
    </w:p>
    <w:p w:rsidR="005728DD" w:rsidRDefault="005728DD" w:rsidP="005728DD">
      <w:pPr>
        <w:pStyle w:val="TextoNormal"/>
      </w:pPr>
      <w:r>
        <w:lastRenderedPageBreak/>
        <w:t>f) Otras superficies destinadas a la recuperación y revegetación con especies.</w:t>
      </w:r>
    </w:p>
    <w:p w:rsidR="005728DD" w:rsidRDefault="005728DD" w:rsidP="005728DD">
      <w:pPr>
        <w:pStyle w:val="TextoNormal"/>
      </w:pPr>
    </w:p>
    <w:p w:rsidR="005728DD" w:rsidRDefault="005728DD" w:rsidP="005728DD">
      <w:pPr>
        <w:pStyle w:val="TextoNormal"/>
      </w:pPr>
      <w:r>
        <w:t>g) Superficies destinadas a la construcción de charcas y humedales.</w:t>
      </w:r>
    </w:p>
    <w:p w:rsidR="005728DD" w:rsidRDefault="005728DD" w:rsidP="005728DD">
      <w:pPr>
        <w:pStyle w:val="TextoNormal"/>
      </w:pPr>
    </w:p>
    <w:p w:rsidR="005728DD" w:rsidRDefault="005728DD" w:rsidP="005728DD">
      <w:pPr>
        <w:pStyle w:val="TextoNormal"/>
      </w:pPr>
      <w:r>
        <w:t>h) Superficies destinadas a biorreactores.</w:t>
      </w:r>
    </w:p>
    <w:p w:rsidR="005728DD" w:rsidRDefault="005728DD" w:rsidP="005728DD">
      <w:pPr>
        <w:pStyle w:val="TextoNormal"/>
      </w:pPr>
    </w:p>
    <w:p w:rsidR="005728DD" w:rsidRDefault="005728DD" w:rsidP="005728DD">
      <w:pPr>
        <w:pStyle w:val="TextoNormal"/>
      </w:pPr>
      <w:r>
        <w:t>i) Cubiertas vegetales.</w:t>
      </w:r>
    </w:p>
    <w:p w:rsidR="005728DD" w:rsidRDefault="005728DD" w:rsidP="005728DD">
      <w:pPr>
        <w:pStyle w:val="TextoNormal"/>
      </w:pPr>
    </w:p>
    <w:p w:rsidR="005728DD" w:rsidRDefault="005728DD" w:rsidP="005728DD">
      <w:pPr>
        <w:pStyle w:val="TextoNormal"/>
      </w:pPr>
      <w:r>
        <w:t>3. Aquellas explotaciones que dispongan de embalse de recogida de escorrentías podrán computar como sistema de retención de nutrientes toda la superficie que drena en dicho embalse.</w:t>
      </w:r>
    </w:p>
    <w:p w:rsidR="005728DD" w:rsidRDefault="005728DD" w:rsidP="005728DD">
      <w:pPr>
        <w:pStyle w:val="TextoNormal"/>
      </w:pPr>
    </w:p>
    <w:p w:rsidR="005728DD" w:rsidRDefault="005728DD" w:rsidP="005728DD">
      <w:pPr>
        <w:pStyle w:val="TextoNormal"/>
      </w:pPr>
      <w:r>
        <w:t>4. En el caso de recogida de agua de cubiertas plásticas impermeables de invernaderos a que se refiere el artículo 41, se computará la superficie total de los invernaderos.</w:t>
      </w:r>
    </w:p>
    <w:p w:rsidR="005728DD" w:rsidRDefault="005728DD" w:rsidP="005728DD">
      <w:pPr>
        <w:pStyle w:val="TextoNormal"/>
      </w:pPr>
    </w:p>
    <w:p w:rsidR="005728DD" w:rsidRDefault="005728DD" w:rsidP="005728DD">
      <w:pPr>
        <w:pStyle w:val="TextoNormal"/>
      </w:pPr>
      <w:r>
        <w:t>5. Para cumplir la obligación impuesta en este artículo, las explotaciones agrícolas de superficie inferior a dos hectáreas pueden agruparse con otras colindantes, de modo que el porcentaje de superficie de retención de nutrientes se compute sobre la totalidad de la superficie agrupada. En tal caso:</w:t>
      </w:r>
    </w:p>
    <w:p w:rsidR="005728DD" w:rsidRDefault="005728DD" w:rsidP="005728DD">
      <w:pPr>
        <w:pStyle w:val="TextoNormal"/>
      </w:pPr>
    </w:p>
    <w:p w:rsidR="005728DD" w:rsidRDefault="005728DD" w:rsidP="005728DD">
      <w:pPr>
        <w:pStyle w:val="TextoNormal"/>
      </w:pPr>
      <w:r>
        <w:t>a) El acuerdo de agrupación deberá constar por escrito, y se debe comunicar a la consejería competente para el control de la contaminación por nitratos.</w:t>
      </w:r>
    </w:p>
    <w:p w:rsidR="005728DD" w:rsidRDefault="005728DD" w:rsidP="005728DD">
      <w:pPr>
        <w:pStyle w:val="TextoNormal"/>
      </w:pPr>
    </w:p>
    <w:p w:rsidR="005728DD" w:rsidRDefault="005728DD" w:rsidP="005728DD">
      <w:pPr>
        <w:pStyle w:val="TextoNormal"/>
      </w:pPr>
      <w:r>
        <w:t>b) Las unidades de cultivo de dos o más hectáreas que formen parte de la agrupación, no pueden destinar menos del 5 por 100 de su superficie a sistemas de retención de nutrientes.</w:t>
      </w:r>
    </w:p>
    <w:p w:rsidR="005728DD" w:rsidRDefault="005728DD" w:rsidP="005728DD">
      <w:pPr>
        <w:pStyle w:val="TextoNormal"/>
      </w:pPr>
    </w:p>
    <w:p w:rsidR="005728DD" w:rsidRDefault="005728DD" w:rsidP="005728DD">
      <w:pPr>
        <w:pStyle w:val="TextoNormal"/>
      </w:pPr>
      <w:r>
        <w:t>6. Quedan exentas de la obligación impuesta en este artículo aquellas unidades de cultivo de regadío al aire libre o invernaderos cuya superficie no supere 0,5 ha., así como las explotaciones agrícolas de secano, cualquiera que sea su superficie que cuenten con sistemas de abancalamiento o aterrazado”.</w:t>
      </w:r>
    </w:p>
    <w:p w:rsidR="005728DD" w:rsidRDefault="005728DD" w:rsidP="005728DD">
      <w:pPr>
        <w:pStyle w:val="TextoNormal"/>
      </w:pPr>
    </w:p>
    <w:p w:rsidR="005728DD" w:rsidRDefault="005728DD" w:rsidP="005728DD">
      <w:pPr>
        <w:pStyle w:val="TextoNormal"/>
      </w:pPr>
      <w:r>
        <w:t>Aducen los recurrentes que las estructuras vegetales de conservación no son idóneas para conseguir el objetivo propuesto ni proporcionales en sentido estricto, pues imponen una carga desproporcionada a los propietarios y su solamente reducen el 25 por 100 de las escorrentías, disminuyendo su efecto notablemente en terrenos con pendiente escasa, como ocurre mayoritariamente en la zona afectada.</w:t>
      </w:r>
    </w:p>
    <w:p w:rsidR="005728DD" w:rsidRDefault="005728DD" w:rsidP="005728DD">
      <w:pPr>
        <w:pStyle w:val="TextoNormal"/>
      </w:pPr>
    </w:p>
    <w:p w:rsidR="005728DD" w:rsidRDefault="005728DD" w:rsidP="005728DD">
      <w:pPr>
        <w:pStyle w:val="TextoNormal"/>
      </w:pPr>
      <w:r>
        <w:t>(vii) El art. 38 impone al propietario seguir las curvas de nivel del terreno. Dice:</w:t>
      </w:r>
    </w:p>
    <w:p w:rsidR="005728DD" w:rsidRDefault="005728DD" w:rsidP="005728DD">
      <w:pPr>
        <w:pStyle w:val="TextoNormal"/>
      </w:pPr>
    </w:p>
    <w:p w:rsidR="005728DD" w:rsidRDefault="005728DD" w:rsidP="005728DD">
      <w:pPr>
        <w:pStyle w:val="TextoNormal"/>
      </w:pPr>
      <w:r>
        <w:t>“Artículo 38. Prevención de la erosión y conservación del suelo.</w:t>
      </w:r>
    </w:p>
    <w:p w:rsidR="005728DD" w:rsidRDefault="005728DD" w:rsidP="005728DD">
      <w:pPr>
        <w:pStyle w:val="TextoNormal"/>
      </w:pPr>
    </w:p>
    <w:p w:rsidR="005728DD" w:rsidRDefault="005728DD" w:rsidP="005728DD">
      <w:pPr>
        <w:pStyle w:val="TextoNormal"/>
      </w:pPr>
      <w:r>
        <w:t>1. Todas las operaciones de cultivo, incluyendo la preparación del terreno y plantación o siembra, seguirán las curvas de nivel según la orografía del terreno.</w:t>
      </w:r>
    </w:p>
    <w:p w:rsidR="005728DD" w:rsidRDefault="005728DD" w:rsidP="005728DD">
      <w:pPr>
        <w:pStyle w:val="TextoNormal"/>
      </w:pPr>
    </w:p>
    <w:p w:rsidR="005728DD" w:rsidRDefault="005728DD" w:rsidP="005728DD">
      <w:pPr>
        <w:pStyle w:val="TextoNormal"/>
      </w:pPr>
      <w:r>
        <w:t xml:space="preserve">En la zona 2, en vaguadas, divisorias de aguas, límites de parcelas o cuando no existan evidencias de erosión o escorrentías, el cultivo se podrá apartar de las curvas de nivel para facilitar el laboreo. En tales casos, podrá ser necesario aplicar medidas complementarias de </w:t>
      </w:r>
      <w:r>
        <w:lastRenderedPageBreak/>
        <w:t>conservación de suelos que permitan la previsión y control de los procesos erosivos y de escorrentías.</w:t>
      </w:r>
    </w:p>
    <w:p w:rsidR="005728DD" w:rsidRDefault="005728DD" w:rsidP="005728DD">
      <w:pPr>
        <w:pStyle w:val="TextoNormal"/>
      </w:pPr>
    </w:p>
    <w:p w:rsidR="005728DD" w:rsidRDefault="005728DD" w:rsidP="005728DD">
      <w:pPr>
        <w:pStyle w:val="TextoNormal"/>
      </w:pPr>
      <w:r>
        <w:t>El programa de actuación de la zona vulnerable a la contaminación por nitratos del Campo de Cartagena establecerá criterios técnicos aplicables para la prevención de escorrentías e inundaciones y lucha contra la erosión en la ejecución de estas actuaciones, fomentando la horizontalidad del suelo de cultivo.</w:t>
      </w:r>
    </w:p>
    <w:p w:rsidR="005728DD" w:rsidRDefault="005728DD" w:rsidP="005728DD">
      <w:pPr>
        <w:pStyle w:val="TextoNormal"/>
      </w:pPr>
    </w:p>
    <w:p w:rsidR="005728DD" w:rsidRDefault="005728DD" w:rsidP="005728DD">
      <w:pPr>
        <w:pStyle w:val="TextoNormal"/>
      </w:pPr>
      <w:r>
        <w:t>2. Quedan exentos de la aplicación de estas actuaciones los invernaderos y plantaciones leñosas en riego localizado, ya establecidas a la entrada en vigor de esta ley, cuando tiendan al no laboreo o dispongan de cubiertas vegetales permanentes, y siempre que no existan evidencias de procesos de erosión que demanden la aplicación de técnicas de conservación de suelos. Asimismo, quedarán exentas de las mismas obligaciones aquellas unidades de cultivo de regadío al aire libre o invernaderos cuya superficie no supere los 0,5 ha., así como las explotaciones agrícolas de secano, cualquiera que sea su superficie que cuenten con sistemas de abancalamiento o aterrazado.</w:t>
      </w:r>
    </w:p>
    <w:p w:rsidR="005728DD" w:rsidRDefault="005728DD" w:rsidP="005728DD">
      <w:pPr>
        <w:pStyle w:val="TextoNormal"/>
      </w:pPr>
    </w:p>
    <w:p w:rsidR="005728DD" w:rsidRDefault="005728DD" w:rsidP="005728DD">
      <w:pPr>
        <w:pStyle w:val="TextoNormal"/>
      </w:pPr>
      <w:r>
        <w:t>3. En el plazo de dos años desde la entrada en vigor de la presente ley, el organismo competente elaborará un programa de actuaciones conducente a establecer medidas de carácter técnico, al objeto de mantener y conservar los suelos y evitar fenómenos de erosión de los mismos”.</w:t>
      </w:r>
    </w:p>
    <w:p w:rsidR="005728DD" w:rsidRDefault="005728DD" w:rsidP="005728DD">
      <w:pPr>
        <w:pStyle w:val="TextoNormal"/>
      </w:pPr>
    </w:p>
    <w:p w:rsidR="005728DD" w:rsidRDefault="005728DD" w:rsidP="005728DD">
      <w:pPr>
        <w:pStyle w:val="TextoNormal"/>
      </w:pPr>
      <w:r>
        <w:t>Sostienen los recurrentes que la medida no cumple el juicio de idoneidad, ya que la realización del laboreo “no consigue una reducción de las escorrentías” y puede incluso ser “perjudicial”, como demuestran los informes periciales. Y tampoco cumple el juicio de necesidad ya que existen alternativas menos restrictivas y más eficaces, como “potenciar el sistema de drenaje”, de acuerdo con los mismos informes. Y no supera, en fin, el juicio de proporcionalidad en sentido estricto porque no derivándose claros beneficios según lo razonado, en cambio “imposibilita” la actividad agrícola.</w:t>
      </w:r>
    </w:p>
    <w:p w:rsidR="005728DD" w:rsidRDefault="005728DD" w:rsidP="005728DD">
      <w:pPr>
        <w:pStyle w:val="TextoNormal"/>
      </w:pPr>
    </w:p>
    <w:p w:rsidR="005728DD" w:rsidRDefault="005728DD" w:rsidP="005728DD">
      <w:pPr>
        <w:pStyle w:val="TextoNormal"/>
      </w:pPr>
      <w:r>
        <w:t>(viii) El art. 39, que prohíbe más de dos ciclos de cultivo anuales, tampoco es conforme con los arts. 33 y 38 CE. Dice este precepto:</w:t>
      </w:r>
    </w:p>
    <w:p w:rsidR="005728DD" w:rsidRDefault="005728DD" w:rsidP="005728DD">
      <w:pPr>
        <w:pStyle w:val="TextoNormal"/>
      </w:pPr>
    </w:p>
    <w:p w:rsidR="005728DD" w:rsidRDefault="005728DD" w:rsidP="005728DD">
      <w:pPr>
        <w:pStyle w:val="TextoNormal"/>
      </w:pPr>
      <w:r>
        <w:t>“Artículo 39. Limitación de los ciclos de cultivo.</w:t>
      </w:r>
    </w:p>
    <w:p w:rsidR="005728DD" w:rsidRDefault="005728DD" w:rsidP="005728DD">
      <w:pPr>
        <w:pStyle w:val="TextoNormal"/>
      </w:pPr>
    </w:p>
    <w:p w:rsidR="005728DD" w:rsidRDefault="005728DD" w:rsidP="005728DD">
      <w:pPr>
        <w:pStyle w:val="TextoNormal"/>
      </w:pPr>
      <w:r>
        <w:t>1. Al objeto de mejorar la estructura y capacidad biológica del suelo, se fomentará la implantación de las técnicas de rotación de los cultivos.</w:t>
      </w:r>
    </w:p>
    <w:p w:rsidR="005728DD" w:rsidRDefault="005728DD" w:rsidP="005728DD">
      <w:pPr>
        <w:pStyle w:val="TextoNormal"/>
      </w:pPr>
    </w:p>
    <w:p w:rsidR="005728DD" w:rsidRDefault="005728DD" w:rsidP="005728DD">
      <w:pPr>
        <w:pStyle w:val="TextoNormal"/>
      </w:pPr>
      <w:r>
        <w:t>2. Con la finalidad de reducir los volúmenes de agua, productos fertilizantes y fitosanitarios empleados, queda prohibido establecer más de dos ciclos de cultivo anuales en una misma parcela agrícola, a excepción de cultivos hortícolas de hojas de ciclo inferior a cuarenta y cinco días, para los que solo se permitirán como máximo tres ciclos anuales. La fecha de siembra o trasplante y el inicio de la recolección deben anotarse en el cuaderno de explotación”.</w:t>
      </w:r>
    </w:p>
    <w:p w:rsidR="005728DD" w:rsidRDefault="005728DD" w:rsidP="005728DD">
      <w:pPr>
        <w:pStyle w:val="TextoNormal"/>
      </w:pPr>
    </w:p>
    <w:p w:rsidR="005728DD" w:rsidRDefault="005728DD" w:rsidP="005728DD">
      <w:pPr>
        <w:pStyle w:val="TextoNormal"/>
      </w:pPr>
      <w:r>
        <w:t xml:space="preserve">Se trata de una restricción “intensa”, adoptada “sin compensación alguna” y “sin justificación técnica y ningún tipo de argumentación” sobre la idoneidad de la medida. Existen, a juicio de los recurrentes, alternativas menos restrictivas y más eficaces desde el punto de </w:t>
      </w:r>
      <w:r>
        <w:lastRenderedPageBreak/>
        <w:t>vista técnico, como las “correctas prácticas agrícolas”, tal y como resulta de los informes periciales.</w:t>
      </w:r>
    </w:p>
    <w:p w:rsidR="005728DD" w:rsidRDefault="005728DD" w:rsidP="005728DD">
      <w:pPr>
        <w:pStyle w:val="TextoNormal"/>
      </w:pPr>
    </w:p>
    <w:p w:rsidR="005728DD" w:rsidRDefault="005728DD" w:rsidP="005728DD">
      <w:pPr>
        <w:pStyle w:val="TextoNormal"/>
      </w:pPr>
      <w:r>
        <w:t>(ix) El art. 40, que prohíbe o restringe desproporcionadamente el uso de fertilizantes, es objeto de idénticos reproches. Dice este precepto:</w:t>
      </w:r>
    </w:p>
    <w:p w:rsidR="005728DD" w:rsidRDefault="005728DD" w:rsidP="005728DD">
      <w:pPr>
        <w:pStyle w:val="TextoNormal"/>
      </w:pPr>
    </w:p>
    <w:p w:rsidR="005728DD" w:rsidRDefault="005728DD" w:rsidP="005728DD">
      <w:pPr>
        <w:pStyle w:val="TextoNormal"/>
      </w:pPr>
      <w:r>
        <w:t>“Artículo 40. Limitaciones en el uso de fertilizantes minerales.</w:t>
      </w:r>
    </w:p>
    <w:p w:rsidR="005728DD" w:rsidRDefault="005728DD" w:rsidP="005728DD">
      <w:pPr>
        <w:pStyle w:val="TextoNormal"/>
      </w:pPr>
    </w:p>
    <w:p w:rsidR="005728DD" w:rsidRDefault="005728DD" w:rsidP="005728DD">
      <w:pPr>
        <w:pStyle w:val="TextoNormal"/>
      </w:pPr>
      <w:r>
        <w:t>Para favorecer la sincronización entre la oferta de nutrientes, especialmente nitrógeno, y la demanda por parte de los cultivos, y para mejorar la eficiencia en el uso de los distintos fertilizantes y minimizar la lixiviación, se imponen las siguientes obligaciones:</w:t>
      </w:r>
    </w:p>
    <w:p w:rsidR="005728DD" w:rsidRDefault="005728DD" w:rsidP="005728DD">
      <w:pPr>
        <w:pStyle w:val="TextoNormal"/>
      </w:pPr>
    </w:p>
    <w:p w:rsidR="005728DD" w:rsidRDefault="005728DD" w:rsidP="005728DD">
      <w:pPr>
        <w:pStyle w:val="TextoNormal"/>
      </w:pPr>
      <w:r>
        <w:t>1. Los fertilizantes nitrogenados se emplearán exclusivamente bajo prescripción técnica reflejándose en el cuaderno de campo para que se pueda seguir la trazabilidad entre facturas y prescripciones avalado por el operador agroambiental. El programa de actuación de la zona vulnerable a la contaminación por nitratos del Campo de Cartagena establecerá las condiciones de aplicación.</w:t>
      </w:r>
    </w:p>
    <w:p w:rsidR="005728DD" w:rsidRDefault="005728DD" w:rsidP="005728DD">
      <w:pPr>
        <w:pStyle w:val="TextoNormal"/>
      </w:pPr>
    </w:p>
    <w:p w:rsidR="005728DD" w:rsidRDefault="005728DD" w:rsidP="005728DD">
      <w:pPr>
        <w:pStyle w:val="TextoNormal"/>
      </w:pPr>
      <w:r>
        <w:t>2. Se prohíbe en todo caso el uso de urea y de todos aquellos fertilizantes que presenten nitrógeno en forma ureica.</w:t>
      </w:r>
    </w:p>
    <w:p w:rsidR="005728DD" w:rsidRDefault="005728DD" w:rsidP="005728DD">
      <w:pPr>
        <w:pStyle w:val="TextoNormal"/>
      </w:pPr>
    </w:p>
    <w:p w:rsidR="005728DD" w:rsidRDefault="005728DD" w:rsidP="005728DD">
      <w:pPr>
        <w:pStyle w:val="TextoNormal"/>
      </w:pPr>
      <w:r>
        <w:t>3. El fertilizante nitrato amónico (N mayor que 32 por 100) podrá emplearse única y exclusivamente bajo supervisión técnica reflejándose en el cuaderno de campo para que se pueda seguir la trazabilidad entre facturas y prescripciones avalado por el operador agroambiental y siempre que el estado hídrico del suelo sea monitorizado de tal forma que se optimice el agua de riego aplicada al cultivo, y se minimice el lixiviado en profundidad. En ningún caso se permitirá su aplicación en cultivos hortícolas en el último tercio de su ciclo de cultivo.</w:t>
      </w:r>
    </w:p>
    <w:p w:rsidR="005728DD" w:rsidRDefault="005728DD" w:rsidP="005728DD">
      <w:pPr>
        <w:pStyle w:val="TextoNormal"/>
      </w:pPr>
    </w:p>
    <w:p w:rsidR="005728DD" w:rsidRDefault="005728DD" w:rsidP="005728DD">
      <w:pPr>
        <w:pStyle w:val="TextoNormal"/>
      </w:pPr>
      <w:r>
        <w:t>4. Queda prohibido en todo caso la aplicación de abonado mineral de fondo, que contenga nitrógeno.</w:t>
      </w:r>
    </w:p>
    <w:p w:rsidR="005728DD" w:rsidRDefault="005728DD" w:rsidP="005728DD">
      <w:pPr>
        <w:pStyle w:val="TextoNormal"/>
      </w:pPr>
    </w:p>
    <w:p w:rsidR="005728DD" w:rsidRDefault="005728DD" w:rsidP="005728DD">
      <w:pPr>
        <w:pStyle w:val="TextoNormal"/>
      </w:pPr>
      <w:r>
        <w:t>5. Será obligatorio realizar el cálculo del balance de nitrógeno, de conformidad con el programa de actuación aplicable, y con el Código de Buenas Prácticas Agrarias de la Región de Murcia mientras resulte de aplicación obligatoria.</w:t>
      </w:r>
    </w:p>
    <w:p w:rsidR="005728DD" w:rsidRDefault="005728DD" w:rsidP="005728DD">
      <w:pPr>
        <w:pStyle w:val="TextoNormal"/>
      </w:pPr>
    </w:p>
    <w:p w:rsidR="005728DD" w:rsidRDefault="005728DD" w:rsidP="005728DD">
      <w:pPr>
        <w:pStyle w:val="TextoNormal"/>
      </w:pPr>
      <w:r>
        <w:t>6. El coeficiente de extracción máximo de los cultivos establecidos en el programa de actuación vigente será el más restrictivo del intervalo.</w:t>
      </w:r>
    </w:p>
    <w:p w:rsidR="005728DD" w:rsidRDefault="005728DD" w:rsidP="005728DD">
      <w:pPr>
        <w:pStyle w:val="TextoNormal"/>
      </w:pPr>
    </w:p>
    <w:p w:rsidR="005728DD" w:rsidRDefault="005728DD" w:rsidP="005728DD">
      <w:pPr>
        <w:pStyle w:val="TextoNormal"/>
      </w:pPr>
      <w:r>
        <w:t>7. Con el fin de mejorar la eficiencia de la absorción de los nutrientes y minimizar su pérdida por lixiviación o emisión, se aplicarán medidas que garanticen el buen estado del microbioma del suelo, como la aplicación de abonado orgánico, productos fertilizantes a base de microorganismos o abonado en verde. El registro en el cuaderno de campo será obligatorio. La aplicación de medidas diferentes a las descritas tendrá que ser validada por el órgano competente.</w:t>
      </w:r>
    </w:p>
    <w:p w:rsidR="005728DD" w:rsidRDefault="005728DD" w:rsidP="005728DD">
      <w:pPr>
        <w:pStyle w:val="TextoNormal"/>
      </w:pPr>
    </w:p>
    <w:p w:rsidR="005728DD" w:rsidRDefault="005728DD" w:rsidP="005728DD">
      <w:pPr>
        <w:pStyle w:val="TextoNormal"/>
      </w:pPr>
      <w:r>
        <w:t>8. Para valores de nitratos (nitratos al inicio del cultivo) en el suelo superiores a 100 mg/kg suelo se aplicará un factor de agotamiento superior al 40 por 100.</w:t>
      </w:r>
    </w:p>
    <w:p w:rsidR="005728DD" w:rsidRDefault="005728DD" w:rsidP="005728DD">
      <w:pPr>
        <w:pStyle w:val="TextoNormal"/>
      </w:pPr>
    </w:p>
    <w:p w:rsidR="005728DD" w:rsidRDefault="005728DD" w:rsidP="005728DD">
      <w:pPr>
        <w:pStyle w:val="TextoNormal"/>
      </w:pPr>
      <w:r>
        <w:t>9. Para evitar la acumulación de elementos nutritivos, se prohíbe la aplicación de fertilizantes minerales que contengan fósforo cuando el nivel de P Olsen en suelo sea superior a 120 mg/kg suelo”.</w:t>
      </w:r>
    </w:p>
    <w:p w:rsidR="005728DD" w:rsidRDefault="005728DD" w:rsidP="005728DD">
      <w:pPr>
        <w:pStyle w:val="TextoNormal"/>
      </w:pPr>
    </w:p>
    <w:p w:rsidR="005728DD" w:rsidRDefault="005728DD" w:rsidP="005728DD">
      <w:pPr>
        <w:pStyle w:val="TextoNormal"/>
      </w:pPr>
      <w:r>
        <w:t>Para los recurrentes esta prohibición o intensa restricción del uso de fertilizantes, legales en España, no cumple con los juicios de necesidad y proporcionalidad estricta, pues según se razona en los informe periciales existen medidas más eficaces y menos restrictivas, “como fomentar las buenas prácticas de cultivo mediante el uso de las cantidades de fertilizante estrictamente necesarias y el establecimiento de un correcto drenaje superficial en las explotaciones”. Perjudica además gravemente a la agricultura, por lo que no cumple el juicio de idoneidad en sentido estricto.</w:t>
      </w:r>
    </w:p>
    <w:p w:rsidR="005728DD" w:rsidRDefault="005728DD" w:rsidP="005728DD">
      <w:pPr>
        <w:pStyle w:val="TextoNormal"/>
      </w:pPr>
    </w:p>
    <w:p w:rsidR="005728DD" w:rsidRDefault="005728DD" w:rsidP="005728DD">
      <w:pPr>
        <w:pStyle w:val="TextoNormal"/>
      </w:pPr>
      <w:r>
        <w:t>(x) Tampoco cumple con el canon de la proporcionalidad el art. 44, que impone obligaciones derivadas del abandono de cultivos, en los siguientes términos:</w:t>
      </w:r>
    </w:p>
    <w:p w:rsidR="005728DD" w:rsidRDefault="005728DD" w:rsidP="005728DD">
      <w:pPr>
        <w:pStyle w:val="TextoNormal"/>
      </w:pPr>
    </w:p>
    <w:p w:rsidR="005728DD" w:rsidRDefault="005728DD" w:rsidP="005728DD">
      <w:pPr>
        <w:pStyle w:val="TextoNormal"/>
      </w:pPr>
      <w:r>
        <w:t>“Artículo 44. Abandono de cultivos.</w:t>
      </w:r>
    </w:p>
    <w:p w:rsidR="005728DD" w:rsidRDefault="005728DD" w:rsidP="005728DD">
      <w:pPr>
        <w:pStyle w:val="TextoNormal"/>
      </w:pPr>
    </w:p>
    <w:p w:rsidR="005728DD" w:rsidRDefault="005728DD" w:rsidP="005728DD">
      <w:pPr>
        <w:pStyle w:val="TextoNormal"/>
      </w:pPr>
      <w:r>
        <w:t>1. En los casos en que el terreno deje de cultivarse por plazo superior a un año, se debe evitar el suelo desnudo, implantando una cubierta vegetal natural o espontánea.</w:t>
      </w:r>
    </w:p>
    <w:p w:rsidR="005728DD" w:rsidRDefault="005728DD" w:rsidP="005728DD">
      <w:pPr>
        <w:pStyle w:val="TextoNormal"/>
      </w:pPr>
    </w:p>
    <w:p w:rsidR="005728DD" w:rsidRDefault="005728DD" w:rsidP="005728DD">
      <w:pPr>
        <w:pStyle w:val="TextoNormal"/>
      </w:pPr>
      <w:r>
        <w:t>2. Cuando el abandono del cultivo tenga carácter definitivo, se deben realizar los trabajos necesarios para restituir el terreno a un estado natural, de acuerdo con lo previsto en el artículo 33.3. De esta obligación responden solidariamente el titular de la explotación y el propietario del terreno”.</w:t>
      </w:r>
    </w:p>
    <w:p w:rsidR="005728DD" w:rsidRDefault="005728DD" w:rsidP="005728DD">
      <w:pPr>
        <w:pStyle w:val="TextoNormal"/>
      </w:pPr>
    </w:p>
    <w:p w:rsidR="005728DD" w:rsidRDefault="005728DD" w:rsidP="005728DD">
      <w:pPr>
        <w:pStyle w:val="TextoNormal"/>
      </w:pPr>
      <w:r>
        <w:t>Según el recurso, el propio legislador, después de haber incentivado durante décadas el cultivo en el Campo de Cartagena, ahora, al imponer intensas restricciones al ejercicio de esa misma actividad, fomenta su abandono, lo que de por sí ha de incrementar los efectos del cambio climático en términos de mayor desertización y menor captación de CO2, y lo hace imponiendo además “importantes gastos” al propietario y sin fijar un periodo transitorio. Vulnera con ello el principio de proporcionalidad.</w:t>
      </w:r>
    </w:p>
    <w:p w:rsidR="005728DD" w:rsidRDefault="005728DD" w:rsidP="005728DD">
      <w:pPr>
        <w:pStyle w:val="TextoNormal"/>
      </w:pPr>
    </w:p>
    <w:p w:rsidR="005728DD" w:rsidRDefault="005728DD" w:rsidP="005728DD">
      <w:pPr>
        <w:pStyle w:val="TextoNormal"/>
      </w:pPr>
      <w:r>
        <w:t>(xi) Los arts. 50 a 54 intensifican las restricciones a la agricultura en la zona 1, en los siguientes términos:</w:t>
      </w:r>
    </w:p>
    <w:p w:rsidR="005728DD" w:rsidRDefault="005728DD" w:rsidP="005728DD">
      <w:pPr>
        <w:pStyle w:val="TextoNormal"/>
      </w:pPr>
    </w:p>
    <w:p w:rsidR="005728DD" w:rsidRDefault="005728DD" w:rsidP="005728DD">
      <w:pPr>
        <w:pStyle w:val="TextoNormal"/>
      </w:pPr>
      <w:r>
        <w:t>“Artículo 50. Tipos de cultivo admisibles en la zona 1.</w:t>
      </w:r>
    </w:p>
    <w:p w:rsidR="005728DD" w:rsidRDefault="005728DD" w:rsidP="005728DD">
      <w:pPr>
        <w:pStyle w:val="TextoNormal"/>
      </w:pPr>
    </w:p>
    <w:p w:rsidR="005728DD" w:rsidRDefault="005728DD" w:rsidP="005728DD">
      <w:pPr>
        <w:pStyle w:val="TextoNormal"/>
      </w:pPr>
      <w:r>
        <w:t>1. En la zona 1 solo se permite la agricultura sostenible, y de precisión.</w:t>
      </w:r>
    </w:p>
    <w:p w:rsidR="005728DD" w:rsidRDefault="005728DD" w:rsidP="005728DD">
      <w:pPr>
        <w:pStyle w:val="TextoNormal"/>
      </w:pPr>
    </w:p>
    <w:p w:rsidR="005728DD" w:rsidRDefault="005728DD" w:rsidP="005728DD">
      <w:pPr>
        <w:pStyle w:val="TextoNormal"/>
      </w:pPr>
      <w:r>
        <w:t>Se entiende por agricultura sostenible, y de precisión, la agricultura que emplea el mínimo de nutrientes y es capaz de sincronizar su disponibilidad con la absorción por los cultivos. La agricultura sostenible, y de precisión, mejoran la microbiología del suelo y minimizan los riesgos de lixiviación de nutrientes y emisión de gases de efecto invernadero.</w:t>
      </w:r>
    </w:p>
    <w:p w:rsidR="005728DD" w:rsidRDefault="005728DD" w:rsidP="005728DD">
      <w:pPr>
        <w:pStyle w:val="TextoNormal"/>
      </w:pPr>
    </w:p>
    <w:p w:rsidR="005728DD" w:rsidRDefault="005728DD" w:rsidP="005728DD">
      <w:pPr>
        <w:pStyle w:val="TextoNormal"/>
      </w:pPr>
      <w:r>
        <w:t>A efectos de esta ley, se consideran agricultura sostenible, y de precisión, aquellas que cumplen con las exigencias impuestas en las secciones primera y segunda de este capítulo.</w:t>
      </w:r>
    </w:p>
    <w:p w:rsidR="005728DD" w:rsidRDefault="005728DD" w:rsidP="005728DD">
      <w:pPr>
        <w:pStyle w:val="TextoNormal"/>
      </w:pPr>
    </w:p>
    <w:p w:rsidR="005728DD" w:rsidRDefault="005728DD" w:rsidP="005728DD">
      <w:pPr>
        <w:pStyle w:val="TextoNormal"/>
      </w:pPr>
      <w:r>
        <w:lastRenderedPageBreak/>
        <w:t>2. Todos los cultivos de la zona 1 deberán cumplir las precisiones de este artículo y las limitaciones establecidas en los artículos siguientes”.</w:t>
      </w:r>
    </w:p>
    <w:p w:rsidR="005728DD" w:rsidRDefault="005728DD" w:rsidP="005728DD">
      <w:pPr>
        <w:pStyle w:val="TextoNormal"/>
      </w:pPr>
    </w:p>
    <w:p w:rsidR="005728DD" w:rsidRDefault="005728DD" w:rsidP="005728DD">
      <w:pPr>
        <w:pStyle w:val="TextoNormal"/>
      </w:pPr>
      <w:r>
        <w:t>“Artículo 51. Limitaciones adicionales relativas al ciclo de cultivo.</w:t>
      </w:r>
    </w:p>
    <w:p w:rsidR="005728DD" w:rsidRDefault="005728DD" w:rsidP="005728DD">
      <w:pPr>
        <w:pStyle w:val="TextoNormal"/>
      </w:pPr>
    </w:p>
    <w:p w:rsidR="005728DD" w:rsidRDefault="005728DD" w:rsidP="005728DD">
      <w:pPr>
        <w:pStyle w:val="TextoNormal"/>
      </w:pPr>
      <w:r>
        <w:t>1. Según la profundidad radicular y manejo del cultivo, cabe agrupar los tipos de cultivos en dos grupos, de acuerdo con la siguiente tabla:</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r>
        <w:t>&amp;brvbar;&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&amp;nbsp; &amp;nbsp;&amp;nbsp; &amp;nbsp;&amp;nbsp; Grupo 1&amp;nbsp;&amp;nbsp;&amp;nbsp;&amp;nbsp;&amp;nbsp;&amp;nbsp;&amp;nbsp;&amp;nbsp;&amp;nbsp;&amp;nbsp;&amp;nbsp;&amp;nbsp;&amp;nbsp;&amp;nbsp;&amp;nbsp;&amp;nbsp;&amp;nbsp;&amp;nbsp;&amp;nbsp;&amp;nbsp;&amp;nbsp;&amp;nbsp;&amp;nbsp; &amp;nbsp; &amp;nbsp;&amp;nbsp; &amp;nbsp; &amp;nbsp; &amp;nbsp;&amp;nbsp; &amp;nbsp; &amp;nbsp; &amp;nbsp; &amp;nbsp; &amp;nbsp; &amp;nbsp; &amp;nbsp; &amp;nbsp; &amp;nbsp; &amp;nbsp; &amp;nbsp; &amp;nbsp; &amp;nbsp;&amp;nbsp; &amp;nbsp;&amp;nbsp;&amp;nbsp;&amp;nbsp; &amp;brvbar; &amp;nbsp; Grupo 2&amp;nbsp;&amp;nbsp;&amp;nbsp; &amp;brvbar;</w:t>
      </w:r>
    </w:p>
    <w:p w:rsidR="005728DD" w:rsidRDefault="005728DD" w:rsidP="005728DD">
      <w:pPr>
        <w:pStyle w:val="TextoNormal"/>
      </w:pPr>
      <w:r>
        <w:t>=============================================================</w:t>
      </w:r>
    </w:p>
    <w:p w:rsidR="005728DD" w:rsidRDefault="005728DD" w:rsidP="005728DD">
      <w:pPr>
        <w:pStyle w:val="TextoNormal"/>
      </w:pPr>
      <w:r>
        <w:t>&amp;brvbar; Ajo.&amp;nbsp;&amp;nbsp;&amp;nbsp;&amp;nbsp;&amp;nbsp;&amp;nbsp;&amp;nbsp;&amp;nbsp;&amp;nbsp;&amp;nbsp;&amp;nbsp;&amp;nbsp;&amp;nbsp;&amp;nbsp;&amp;nbsp;&amp;nbsp;&amp;nbsp;&amp;nbsp; &amp;nbsp; &amp;nbsp; &amp;nbsp; &amp;nbsp; &amp;nbsp; &amp;nbsp; &amp;nbsp; &amp;nbsp; &amp;nbsp; &amp;nbsp; &amp;nbsp; &amp;nbsp; &amp;nbsp; &amp;nbsp; &amp;nbsp; &amp;nbsp; &amp;nbsp; &amp;nbsp; &amp;nbsp; &amp;nbsp; &amp;nbsp;&amp;nbsp;&amp;nbsp; &amp;nbsp; &amp;nbsp; &amp;nbsp; &amp;nbsp; &amp;nbsp; &amp;nbsp; &amp;nbsp; &amp;nbsp; &amp;nbsp; &amp;nbsp; &amp;nbsp; &amp;nbsp; &amp;nbsp; &amp;nbsp; &amp;nbsp; &amp;nbsp; &amp;nbsp; &amp;nbsp; &amp;nbsp; &amp;nbsp; &amp;nbsp; &amp;nbsp; &amp;nbsp; &amp;nbsp; &amp;nbsp;&amp;nbsp; &amp;nbsp; &amp;nbsp; &amp;nbsp;&amp;nbsp;&amp;nbsp; &amp;brvbar;&amp;nbsp; Guisantes. &amp;brvbar;</w:t>
      </w:r>
    </w:p>
    <w:p w:rsidR="005728DD" w:rsidRDefault="005728DD" w:rsidP="005728DD">
      <w:pPr>
        <w:pStyle w:val="TextoNormal"/>
      </w:pPr>
      <w:r>
        <w:t>-----------------------------------------------------------------------------------</w:t>
      </w:r>
    </w:p>
    <w:p w:rsidR="005728DD" w:rsidRDefault="005728DD" w:rsidP="005728DD">
      <w:pPr>
        <w:pStyle w:val="TextoNormal"/>
      </w:pPr>
      <w:r>
        <w:t>&amp;brvbar; Apio.&amp;nbsp; &amp;nbsp; &amp;nbsp;&amp;nbsp;&amp;nbsp;&amp;nbsp;&amp;nbsp;&amp;nbsp;&amp;nbsp;&amp;nbsp;&amp;nbsp;&amp;nbsp;&amp;nbsp;&amp;nbsp;&amp;nbsp;&amp;nbsp;&amp;nbsp;&amp;nbsp;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&amp;nbsp;&amp;nbsp;&amp;nbsp; &amp;nbsp; &amp;nbsp; &amp;nbsp; &amp;nbsp; &amp;nbsp; &amp;nbsp; &amp;nbsp; &amp;nbsp;&amp;nbsp; &amp;nbsp;&amp;nbsp; &amp;brvbar;&amp;nbsp; Habas.&amp;nbsp;&amp;nbsp;&amp;nbsp;&amp;nbsp;&amp;nbsp; &amp;brvbar;</w:t>
      </w:r>
    </w:p>
    <w:p w:rsidR="005728DD" w:rsidRDefault="005728DD" w:rsidP="005728DD">
      <w:pPr>
        <w:pStyle w:val="TextoNormal"/>
      </w:pPr>
      <w:r>
        <w:t>-----------------------------------------------------------------------------------</w:t>
      </w:r>
    </w:p>
    <w:p w:rsidR="005728DD" w:rsidRDefault="005728DD" w:rsidP="005728DD">
      <w:pPr>
        <w:pStyle w:val="TextoNormal"/>
      </w:pPr>
      <w:r>
        <w:t>&amp;brvbar; Hortalizas del género Brassica.&amp;nbsp;&amp;nbsp;&amp;nbsp;&amp;nbsp;&amp;nbsp;&amp;nbsp;&amp;nbsp;&amp;nbsp;&amp;nbsp;&amp;nbsp;&amp;nbsp;&amp;nbsp;&amp;nbsp;&amp;nbsp;&amp;nbsp;&amp;nbsp;&amp;nbsp;&amp;nbsp;&amp;nbsp;&amp;nbsp;&amp;nbsp;&amp;nbsp;&amp;nbsp; &amp;nbsp; &amp;nbsp; &amp;nbsp; &amp;nbsp; &amp;nbsp; &amp;nbsp; &amp;nbsp; &amp;nbsp; &amp;nbsp; &amp;nbsp; &amp;nbsp; &amp;nbsp; &amp;nbsp; &amp;nbsp; &amp;nbsp; &amp;nbsp; &amp;nbsp; &amp;nbsp; &amp;nbsp; &amp;nbsp; &amp;nbsp; &amp;nbsp; &amp;nbsp; &amp;nbsp; &amp;nbsp; &amp;nbsp; &amp;nbsp; &amp;nbsp;&amp;nbsp; &amp;nbsp; &amp;brvbar;&amp;nbsp; Judías.&amp;nbsp;&amp;nbsp;&amp;nbsp;&amp;nbsp;&amp;nbsp; &amp;brvbar;</w:t>
      </w:r>
    </w:p>
    <w:p w:rsidR="005728DD" w:rsidRDefault="005728DD" w:rsidP="005728DD">
      <w:pPr>
        <w:pStyle w:val="TextoNormal"/>
      </w:pPr>
      <w:r>
        <w:t>-----------------------------------------------------------------------------------</w:t>
      </w:r>
    </w:p>
    <w:p w:rsidR="005728DD" w:rsidRDefault="005728DD" w:rsidP="005728DD">
      <w:pPr>
        <w:pStyle w:val="TextoNormal"/>
      </w:pPr>
      <w:r>
        <w:t>&amp;brvbar; Hortalizas de hoja.&amp;nbsp;&amp;nbsp;&amp;nbsp;&amp;nbsp;&amp;nbsp;&amp;nbsp;&amp;nbsp;&amp;nbsp;&amp;nbsp;&amp;nbsp;&amp;nbsp;&amp;nbsp;&amp;nbsp;&amp;nbsp;&amp;nbsp;&amp;nbsp;&amp;nbsp;&amp;nbsp;&amp;nbsp;&amp;nbsp;&amp;nbsp;&amp;nbsp;&amp;nbsp;&amp;nbsp</w:t>
      </w:r>
      <w:r>
        <w:lastRenderedPageBreak/>
        <w:t>;&amp;nbsp;&amp;nbsp;&amp;nbsp;&amp;nbsp;&amp;nbsp;&amp;nbsp;&amp;nbsp;&amp;nbsp;&amp;nbsp;&amp;nbsp;&amp;nbsp;&amp;nbsp;&amp;nbsp;&amp;nbsp;&amp;nbsp;&amp;nbsp;&amp;nbsp;&amp;nbsp;&amp;nbsp;&amp;nbsp;&amp;nbsp;&amp;nbsp;&amp;nbsp;&amp;nbsp;&amp;nbsp;&amp;nbsp; &amp;nbsp; &amp;nbsp; &amp;nbsp; &amp;nbsp; &amp;nbsp; &amp;nbsp; &amp;nbsp; &amp;nbsp; &amp;nbsp; &amp;nbsp; &amp;nbsp; &amp;nbsp; &amp;nbsp; &amp;nbsp; &amp;nbsp; &amp;nbsp; &amp;nbsp; &amp;nbsp; &amp;nbsp; &amp;nbsp; &amp;nbsp; &amp;nbsp; &amp;nbsp; &amp;nbsp; &amp;nbsp; &amp;brvbar;&amp;nbsp; Melón &amp;nbsp;&amp;nbsp;&amp;nbsp;&amp;nbsp;&amp;nbsp; &amp;brvbar;</w:t>
      </w:r>
    </w:p>
    <w:p w:rsidR="005728DD" w:rsidRDefault="005728DD" w:rsidP="005728DD">
      <w:pPr>
        <w:pStyle w:val="TextoNormal"/>
      </w:pPr>
      <w:r>
        <w:t>-----------------------------------------------------------------------------------</w:t>
      </w:r>
    </w:p>
    <w:p w:rsidR="005728DD" w:rsidRDefault="005728DD" w:rsidP="005728DD">
      <w:pPr>
        <w:pStyle w:val="TextoNormal"/>
      </w:pPr>
      <w:r>
        <w:t>&amp;brvbar; Hierbas aromáticas (perejil, hojas apio, cilantro, eneldo, albahaca). &amp;nbsp; &amp;nbsp;&amp;nbsp;&amp;nbsp;&amp;nbsp;&amp;nbsp;&amp;nbsp;&amp;nbsp;&amp;nbsp;&amp;nbsp;&amp;nbsp;&amp;nbsp;&amp;nbsp;&amp;nbsp;&amp;nbsp;&amp;nbsp;&amp;nbsp; &amp;nbsp; &amp;nbsp; &amp;nbsp; &amp;nbsp; &amp;brvbar; Pepino.&amp;nbsp;&amp;nbsp;&amp;nbsp;&amp;nbsp;&amp;nbsp; &amp;brvbar;</w:t>
      </w:r>
    </w:p>
    <w:p w:rsidR="005728DD" w:rsidRDefault="005728DD" w:rsidP="005728DD">
      <w:pPr>
        <w:pStyle w:val="TextoNormal"/>
      </w:pPr>
      <w:r>
        <w:t>-----------------------------------------------------------------------------------</w:t>
      </w:r>
    </w:p>
    <w:p w:rsidR="005728DD" w:rsidRDefault="005728DD" w:rsidP="005728DD">
      <w:pPr>
        <w:pStyle w:val="TextoNormal"/>
      </w:pPr>
      <w:r>
        <w:t>&amp;brvbar; Maíz dulce.&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&amp;nbsp; &amp;nbsp; &amp;nbsp; &amp;nbsp; &amp;nbsp; &amp;nbsp; &amp;nbsp; &amp;nbsp; &amp;nbsp; &amp;brvbar; Pimiento.&amp;nbsp;&amp;nbsp; &amp;brvbar;</w:t>
      </w:r>
    </w:p>
    <w:p w:rsidR="005728DD" w:rsidRDefault="005728DD" w:rsidP="005728DD">
      <w:pPr>
        <w:pStyle w:val="TextoNormal"/>
      </w:pPr>
      <w:r>
        <w:t>-----------------------------------------------------------------------------------</w:t>
      </w:r>
    </w:p>
    <w:p w:rsidR="005728DD" w:rsidRDefault="005728DD" w:rsidP="005728DD">
      <w:pPr>
        <w:pStyle w:val="TextoNormal"/>
      </w:pPr>
      <w:r>
        <w:t>&amp;brvbar; Cebolla.&amp;nbsp;&amp;nbsp;&amp;nbsp;&amp;nbsp;&amp;nbsp;&amp;nbsp;&amp;nbsp;&amp;nbsp;&amp;nbsp;&amp;nbsp;&amp;nbsp;&amp;nbsp;&amp;nbsp;&amp;nbsp;&amp;nbsp;&amp;nbsp;&amp;nbsp;&amp;nbsp;&amp;nbsp;&amp;nbsp;&amp;nbsp;&amp;nbsp;&amp;nbsp;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&amp;brvbar; Tomate.&amp;nbsp;&amp;nbsp;&amp;nbsp; &amp;brvbar;</w:t>
      </w:r>
    </w:p>
    <w:p w:rsidR="005728DD" w:rsidRDefault="005728DD" w:rsidP="005728DD">
      <w:pPr>
        <w:pStyle w:val="TextoNormal"/>
      </w:pPr>
      <w:r>
        <w:t>-----------------------------------------------------------------------------------</w:t>
      </w:r>
    </w:p>
    <w:p w:rsidR="005728DD" w:rsidRDefault="005728DD" w:rsidP="005728DD">
      <w:pPr>
        <w:pStyle w:val="TextoNormal"/>
      </w:pPr>
      <w:r>
        <w:t>&amp;brvbar; Puerro.&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&amp;nbsp; &amp;nbsp; &amp;nbsp; &amp;nbsp; &amp;nbsp; &amp;nbsp; &amp;nbsp; &amp;nbsp;&amp;nbsp; &amp;brvbar; Zanahoria. &amp;brvbar;</w:t>
      </w:r>
    </w:p>
    <w:p w:rsidR="005728DD" w:rsidRDefault="005728DD" w:rsidP="005728DD">
      <w:pPr>
        <w:pStyle w:val="TextoNormal"/>
      </w:pPr>
      <w:r>
        <w:t>-----------------------------------------------------------------------------------</w:t>
      </w:r>
    </w:p>
    <w:p w:rsidR="005728DD" w:rsidRDefault="005728DD" w:rsidP="005728DD">
      <w:pPr>
        <w:pStyle w:val="TextoNormal"/>
      </w:pPr>
      <w:r>
        <w:t>&amp;brvbar; &amp;nbsp;&amp;nbsp;&amp;nbsp;&amp;nbsp;&amp;nbsp;&amp;nbsp;&amp;nbsp;&amp;nbsp;&amp;nbsp;&amp;nbsp;&amp;nbsp;&amp;nbsp;&amp;nbsp;&amp;nbsp;&amp;nbsp;&amp;nbsp;&amp;nbsp;&amp;nbsp;&amp;nbsp;&amp;nbsp;&amp;nbsp;&amp;nbsp;&amp;nbsp;&amp;nbsp;&amp;nbsp;&amp;nbsp;&amp;nbsp;&amp;nbsp;&amp;nbsp;&amp;nbsp;&amp;nbsp;&amp;nbsp;&amp;nbsp;&amp;nbsp;&amp;nbsp;&amp;nbsp;&amp;nbsp</w:t>
      </w:r>
      <w:r>
        <w:lastRenderedPageBreak/>
        <w:t>;&amp;nbsp;&amp;nbsp;&amp;nbsp;&amp;nbsp;&amp;nbsp;&amp;nbsp; &amp;ndash;&amp;nbsp;&amp;nbsp;&amp;nbsp;&amp;nbsp;&amp;nbsp;&amp;nbsp;&amp;nbsp;&amp;nbsp; &amp;nbsp; &amp;nbsp; &amp;nbsp; &amp;nbsp; &amp;nbsp; &amp;nbsp; &amp;nbsp; &amp;nbsp; &amp;nbsp; &amp;nbsp; &amp;nbsp; &amp;nbsp; &amp;nbsp; &amp;nbsp; &amp;nbsp; &amp;nbsp; &amp;nbsp; &amp;nbsp; &amp;nbsp; &amp;nbsp; &amp;nbsp; &amp;nbsp; &amp;nbsp; &amp;nbsp; &amp;nbsp; &amp;nbsp; &amp;nbsp; &amp;nbsp; &amp;nbsp;&amp;nbsp;&amp;nbsp;&amp;nbsp;&amp;nbsp;&amp;nbsp;&amp;nbsp;&amp;nbsp;&amp;nbsp;&amp;nbsp;&amp;nbsp;&amp;nbsp;&amp;nbsp;&amp;nbsp;&amp;nbsp;&amp;nbsp; &amp;nbsp; &amp;brvbar; Remolacha.&amp;brvbar;</w:t>
      </w:r>
    </w:p>
    <w:p w:rsidR="005728DD" w:rsidRDefault="005728DD" w:rsidP="005728DD">
      <w:pPr>
        <w:pStyle w:val="TextoNormal"/>
      </w:pPr>
      <w:r>
        <w:t>-----------------------------------------------------------------------------------</w:t>
      </w:r>
    </w:p>
    <w:p w:rsidR="005728DD" w:rsidRDefault="005728DD" w:rsidP="005728DD">
      <w:pPr>
        <w:pStyle w:val="TextoNormal"/>
      </w:pPr>
      <w:r>
        <w:t>&amp;brvbar;&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&amp;ndash;&amp;nbsp;&amp;nbsp;&amp;nbsp;&amp;nbsp;&amp;nbsp;&amp;nbsp;&amp;nbsp;&amp;nbsp; &amp;nbsp; &amp;nbsp; &amp;nbsp; &amp;nbsp; &amp;nbsp; &amp;nbsp; &amp;nbsp; &amp;nbsp; &amp;nbsp; &amp;nbsp; &amp;nbsp; &amp;nbsp; &amp;nbsp; &amp;nbsp; &amp;nbsp; &amp;nbsp; &amp;nbsp; &amp;nbsp; &amp;nbsp; &amp;nbsp; &amp;nbsp; &amp;nbsp; &amp;nbsp; &amp;nbsp; &amp;nbsp; &amp;nbsp; &amp;nbsp; &amp;nbsp; &amp;nbsp;&amp;nbsp;&amp;nbsp;&amp;nbsp;&amp;nbsp;&amp;nbsp;&amp;nbsp;&amp;nbsp;&amp;nbsp;&amp;nbsp;&amp;nbsp;&amp;nbsp;&amp;nbsp;&amp;nbsp;&amp;nbsp;&amp;nbsp; &amp;nbsp; &amp;brvbar; Alcachofa.&amp;nbsp; &amp;brvbar;</w:t>
      </w:r>
    </w:p>
    <w:p w:rsidR="005728DD" w:rsidRDefault="005728DD" w:rsidP="005728DD">
      <w:pPr>
        <w:pStyle w:val="TextoNormal"/>
      </w:pPr>
      <w:r>
        <w:t>-----------------------------------------------------------------------------------</w:t>
      </w:r>
    </w:p>
    <w:p w:rsidR="005728DD" w:rsidRDefault="005728DD" w:rsidP="005728DD">
      <w:pPr>
        <w:pStyle w:val="TextoNormal"/>
      </w:pPr>
      <w:r>
        <w:t>&amp;brvbar;&amp;nbsp;&amp;nbsp;&amp;nbsp;&amp;nbsp;&amp;nbsp;&amp;nbsp;&amp;nbsp;&amp;nbsp;&amp;nbsp;&amp;nbsp;&amp;nbsp;&amp;nbsp;&amp;nbsp;&amp;nbsp;&amp;nbsp;&amp;nbsp;&amp;nbsp;&amp;nbsp;&amp;nbsp;&amp;nbsp;&amp;nbsp;&amp;nbsp;&amp;nbsp;&amp;nbsp;&amp;nbsp;&amp;nbsp;&amp;nbsp;&amp;nbsp;&amp;nbsp;&amp;nbsp;&amp;nbsp; &amp;nbsp; &amp;nbsp; &amp;nbsp; &amp;nbsp; &amp;nbsp; &amp;nbsp;&amp;nbsp; &amp;ndash;&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&amp;nbsp; &amp;nbsp; &amp;nbsp; &amp;nbsp; &amp;nbsp;&amp;nbsp;&amp;nbsp;&amp;nbsp;&amp;nbsp;&amp;nbsp;&amp;nbsp;&amp;nbsp;&amp;nbsp;&amp;nbsp;&amp;nbsp;&amp;nbsp;&amp;nbsp;&amp;nbsp;&amp;nbsp;&amp;nbsp; &amp;nbsp; &amp;nbsp; &amp;nbsp; &amp;brvbar; Sandía.&amp;nbsp;&amp;nbsp;&amp;nbsp;&amp;nbsp;&amp;nbsp; &amp;brvbar;</w:t>
      </w:r>
    </w:p>
    <w:p w:rsidR="005728DD" w:rsidRDefault="005728DD" w:rsidP="005728DD">
      <w:pPr>
        <w:pStyle w:val="TextoNormal"/>
      </w:pPr>
      <w:r>
        <w:t>-----------------------------------------------------------------------------------</w:t>
      </w:r>
    </w:p>
    <w:p w:rsidR="005728DD" w:rsidRDefault="005728DD" w:rsidP="005728DD">
      <w:pPr>
        <w:pStyle w:val="TextoNormal"/>
      </w:pPr>
      <w:r>
        <w:t>&amp;brvbar;&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amp;nbsp; &amp;ndash;&amp;nbsp;&amp;nbsp;&amp;nbsp;&amp;nbsp;&amp;nbsp;&amp;nbsp;&amp;nbsp;&amp;nbsp; &amp;nbsp; &amp;nbsp; &amp;nbsp;&amp;nbsp; &amp;nbsp; &amp;nbsp; &amp;nbsp; &amp;nbsp; &amp;nbsp; &amp;nbsp; &amp;nbsp; &amp;nbsp; &amp;nbsp; &amp;nbsp; &amp;nbsp; &amp;nbsp; &amp;nbsp; &amp;nbsp; &amp;nbsp; &amp;nbsp; &amp;nbsp; &amp;nbsp; &amp;nbsp; &amp;nbsp; &amp;nbsp; &amp;nbsp; &amp;nbsp;&amp;nbsp;&amp;nbsp;&amp;nbsp;&amp;nbsp;&amp;nbsp;&amp;nbsp;&amp;nbsp;&amp;nbsp;&amp;nbsp;&amp;nbsp;&amp;nbsp;&amp;nbsp;&amp;nbsp;&amp;nbsp;&amp;nbsp;&amp;nbsp; &amp;nbsp; &amp;nbsp; &amp;nbsp; &amp;brvbar; Patata.&amp;nbsp;&amp;nbsp;&amp;nbsp;&amp;nbsp;&amp;nbsp;&amp;nbsp; &amp;brvbar;</w:t>
      </w: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2. En la zona 1 se podrán realizar como máximo dos ciclos de cultivo anuales; y de ellos, solo podrá realizarse como máximo un ciclo de cultivo anual de las especies del grupo 1.</w:t>
      </w:r>
    </w:p>
    <w:p w:rsidR="005728DD" w:rsidRDefault="005728DD" w:rsidP="005728DD">
      <w:pPr>
        <w:pStyle w:val="TextoNormal"/>
      </w:pPr>
    </w:p>
    <w:p w:rsidR="005728DD" w:rsidRDefault="005728DD" w:rsidP="005728DD">
      <w:pPr>
        <w:pStyle w:val="TextoNormal"/>
      </w:pPr>
      <w:r>
        <w:lastRenderedPageBreak/>
        <w:t>3. Queda prohibido realizar dos ciclos de cultivo consecutivos de especies del grupo 1, debiendo alternarse su cultivo con otras especies del grupo 2, con el objetivo de captar excedentes de nitrógeno de niveles más profundos del suelo y limitar el riesgo potencial de lixiviación.</w:t>
      </w:r>
    </w:p>
    <w:p w:rsidR="005728DD" w:rsidRDefault="005728DD" w:rsidP="005728DD">
      <w:pPr>
        <w:pStyle w:val="TextoNormal"/>
      </w:pPr>
    </w:p>
    <w:p w:rsidR="005728DD" w:rsidRDefault="005728DD" w:rsidP="005728DD">
      <w:pPr>
        <w:pStyle w:val="TextoNormal"/>
      </w:pPr>
      <w:r>
        <w:t>Se excluyen de esta prohibición las especies del grupo 1 de ciclo inferior a cuarenta y cinco días, en las que además se permite realizar dos ciclos de cultivo anuales.</w:t>
      </w:r>
    </w:p>
    <w:p w:rsidR="005728DD" w:rsidRDefault="005728DD" w:rsidP="005728DD">
      <w:pPr>
        <w:pStyle w:val="TextoNormal"/>
      </w:pPr>
    </w:p>
    <w:p w:rsidR="005728DD" w:rsidRDefault="005728DD" w:rsidP="005728DD">
      <w:pPr>
        <w:pStyle w:val="TextoNormal"/>
      </w:pPr>
      <w:r>
        <w:t>4. El resto de especies no incluidas en la tabla anterior, se adscribirán al grupo 1 o 2 en función de su profundidad radicular y manejo del cultivo.</w:t>
      </w:r>
    </w:p>
    <w:p w:rsidR="005728DD" w:rsidRDefault="005728DD" w:rsidP="005728DD">
      <w:pPr>
        <w:pStyle w:val="TextoNormal"/>
      </w:pPr>
    </w:p>
    <w:p w:rsidR="005728DD" w:rsidRDefault="005728DD" w:rsidP="005728DD">
      <w:pPr>
        <w:pStyle w:val="TextoNormal"/>
      </w:pPr>
      <w:r>
        <w:t>El cultivo en la zona 1 de otras especies no incluidas en la tabla anterior, debe ser previamente comunicado a la consejería competente para el control de la contaminación por nitratos.</w:t>
      </w:r>
    </w:p>
    <w:p w:rsidR="005728DD" w:rsidRDefault="005728DD" w:rsidP="005728DD">
      <w:pPr>
        <w:pStyle w:val="TextoNormal"/>
      </w:pPr>
    </w:p>
    <w:p w:rsidR="005728DD" w:rsidRDefault="005728DD" w:rsidP="005728DD">
      <w:pPr>
        <w:pStyle w:val="TextoNormal"/>
      </w:pPr>
      <w:r>
        <w:t>5. La fecha de siembra o trasplante y el inicio de la recolección deben quedar anotados en el cuaderno de explotación.</w:t>
      </w:r>
    </w:p>
    <w:p w:rsidR="005728DD" w:rsidRDefault="005728DD" w:rsidP="005728DD">
      <w:pPr>
        <w:pStyle w:val="TextoNormal"/>
      </w:pPr>
    </w:p>
    <w:p w:rsidR="005728DD" w:rsidRDefault="005728DD" w:rsidP="005728DD">
      <w:pPr>
        <w:pStyle w:val="TextoNormal"/>
      </w:pPr>
      <w:r>
        <w:t>6. En los regadíos, si en los meses de otoño e invierno no se realiza el cultivo principal, el productor realizará un cultivo de cobertera a base de gramíneas u otras especies captadoras, con la finalidad de reducir la erosión en el caso de lluvias, y captar nutrientes de capas más profundas. Este cultivo será enterrado como abono verde. La medida se aplicará cuando el periodo de tiempo de suelo desnudo sea superior a dos meses, y podrá ser sustituida por la realización de estructuras de retención de agua, como los acaballonamientos, y se garantice el crecimiento de vegetación natural o espontánea. La medida no será de aplicación en invernaderos”.</w:t>
      </w:r>
    </w:p>
    <w:p w:rsidR="005728DD" w:rsidRDefault="005728DD" w:rsidP="005728DD">
      <w:pPr>
        <w:pStyle w:val="TextoNormal"/>
      </w:pPr>
    </w:p>
    <w:p w:rsidR="005728DD" w:rsidRDefault="005728DD" w:rsidP="005728DD">
      <w:pPr>
        <w:pStyle w:val="TextoNormal"/>
      </w:pPr>
      <w:r>
        <w:t>“Artículo 52. Limitaciones adicionales relativas a la fertilización.</w:t>
      </w:r>
    </w:p>
    <w:p w:rsidR="005728DD" w:rsidRDefault="005728DD" w:rsidP="005728DD">
      <w:pPr>
        <w:pStyle w:val="TextoNormal"/>
      </w:pPr>
    </w:p>
    <w:p w:rsidR="005728DD" w:rsidRDefault="005728DD" w:rsidP="005728DD">
      <w:pPr>
        <w:pStyle w:val="TextoNormal"/>
      </w:pPr>
      <w:r>
        <w:t>1. En las explotaciones agrícolas situadas en la zona 1 se prohíbe la aplicación directa de purines, sin haber sido previamente tratados en una instalación de tratamiento autorizada.</w:t>
      </w:r>
    </w:p>
    <w:p w:rsidR="005728DD" w:rsidRDefault="005728DD" w:rsidP="005728DD">
      <w:pPr>
        <w:pStyle w:val="TextoNormal"/>
      </w:pPr>
    </w:p>
    <w:p w:rsidR="005728DD" w:rsidRDefault="005728DD" w:rsidP="005728DD">
      <w:pPr>
        <w:pStyle w:val="TextoNormal"/>
      </w:pPr>
      <w:r>
        <w:t>2. Solo se permitirá la aplicación de otros estiércoles compostados y enmiendas orgánicas bajo técnicas y cantidades especificadas en el código de buenas prácticas agrarias.</w:t>
      </w:r>
    </w:p>
    <w:p w:rsidR="005728DD" w:rsidRDefault="005728DD" w:rsidP="005728DD">
      <w:pPr>
        <w:pStyle w:val="TextoNormal"/>
      </w:pPr>
    </w:p>
    <w:p w:rsidR="005728DD" w:rsidRDefault="005728DD" w:rsidP="005728DD">
      <w:pPr>
        <w:pStyle w:val="TextoNormal"/>
      </w:pPr>
      <w:r>
        <w:t>3. Queda prohibida la aplicación de abonado mineral de fondo a base de nitrógeno”.</w:t>
      </w:r>
    </w:p>
    <w:p w:rsidR="005728DD" w:rsidRDefault="005728DD" w:rsidP="005728DD">
      <w:pPr>
        <w:pStyle w:val="TextoNormal"/>
      </w:pPr>
    </w:p>
    <w:p w:rsidR="005728DD" w:rsidRDefault="005728DD" w:rsidP="005728DD">
      <w:pPr>
        <w:pStyle w:val="TextoNormal"/>
      </w:pPr>
      <w:r>
        <w:t>“Artículo 53. Limitaciones adicionales relativas al riego.</w:t>
      </w:r>
    </w:p>
    <w:p w:rsidR="005728DD" w:rsidRDefault="005728DD" w:rsidP="005728DD">
      <w:pPr>
        <w:pStyle w:val="TextoNormal"/>
      </w:pPr>
    </w:p>
    <w:p w:rsidR="005728DD" w:rsidRDefault="005728DD" w:rsidP="005728DD">
      <w:pPr>
        <w:pStyle w:val="TextoNormal"/>
      </w:pPr>
      <w:r>
        <w:t>1. Será obligatoria la instalación de sensores de humedad, tensiómetros o cualquier otro dispositivo, así como su utilización sistemática en la programación del riego para que sirva de apoyo para una gestión eficiente del agua en todo el perfil de suelo afectado por el riego. Se exceptúan las explotaciones de regadío de superficie inferior a 0,5 ha.</w:t>
      </w:r>
    </w:p>
    <w:p w:rsidR="005728DD" w:rsidRDefault="005728DD" w:rsidP="005728DD">
      <w:pPr>
        <w:pStyle w:val="TextoNormal"/>
      </w:pPr>
    </w:p>
    <w:p w:rsidR="005728DD" w:rsidRDefault="005728DD" w:rsidP="005728DD">
      <w:pPr>
        <w:pStyle w:val="TextoNormal"/>
      </w:pPr>
      <w:r>
        <w:t>2. Queda prohibido el empleo de goteros, en cultivos hortícolas, con caudales unitarios superiores a 2,2 l/h”.</w:t>
      </w:r>
    </w:p>
    <w:p w:rsidR="005728DD" w:rsidRDefault="005728DD" w:rsidP="005728DD">
      <w:pPr>
        <w:pStyle w:val="TextoNormal"/>
      </w:pPr>
    </w:p>
    <w:p w:rsidR="005728DD" w:rsidRDefault="005728DD" w:rsidP="005728DD">
      <w:pPr>
        <w:pStyle w:val="TextoNormal"/>
      </w:pPr>
      <w:r>
        <w:t>“Artículo 54. Adopción de medidas adicionales en el programa de actuación.</w:t>
      </w:r>
    </w:p>
    <w:p w:rsidR="005728DD" w:rsidRDefault="005728DD" w:rsidP="005728DD">
      <w:pPr>
        <w:pStyle w:val="TextoNormal"/>
      </w:pPr>
    </w:p>
    <w:p w:rsidR="005728DD" w:rsidRDefault="005728DD" w:rsidP="005728DD">
      <w:pPr>
        <w:pStyle w:val="TextoNormal"/>
      </w:pPr>
      <w:r>
        <w:t>En el programa de actuación aplicable a la zona vulnerable a la contaminación por nitratos del Campo de Cartagena, se podrán establecer medidas adicionales exigibles en la zona 1, tales como:</w:t>
      </w:r>
    </w:p>
    <w:p w:rsidR="005728DD" w:rsidRDefault="005728DD" w:rsidP="005728DD">
      <w:pPr>
        <w:pStyle w:val="TextoNormal"/>
      </w:pPr>
    </w:p>
    <w:p w:rsidR="005728DD" w:rsidRDefault="005728DD" w:rsidP="005728DD">
      <w:pPr>
        <w:pStyle w:val="TextoNormal"/>
      </w:pPr>
      <w:r>
        <w:t>a) Reducción del coeficiente de extracción de los cultivos establecidos en el programa de actuación por debajo del valor más restrictivo.</w:t>
      </w:r>
    </w:p>
    <w:p w:rsidR="005728DD" w:rsidRDefault="005728DD" w:rsidP="005728DD">
      <w:pPr>
        <w:pStyle w:val="TextoNormal"/>
      </w:pPr>
    </w:p>
    <w:p w:rsidR="005728DD" w:rsidRDefault="005728DD" w:rsidP="005728DD">
      <w:pPr>
        <w:pStyle w:val="TextoNormal"/>
      </w:pPr>
      <w:r>
        <w:t>b) Incentivo de las rotaciones de cultivos con especies captadoras de nitrógeno con sistemas radiculares profundos y favorecer el abonado verde.</w:t>
      </w:r>
    </w:p>
    <w:p w:rsidR="005728DD" w:rsidRDefault="005728DD" w:rsidP="005728DD">
      <w:pPr>
        <w:pStyle w:val="TextoNormal"/>
      </w:pPr>
    </w:p>
    <w:p w:rsidR="005728DD" w:rsidRDefault="005728DD" w:rsidP="005728DD">
      <w:pPr>
        <w:pStyle w:val="TextoNormal"/>
      </w:pPr>
      <w:r>
        <w:t>c) Cambio de cultivos hacia especies perennes.</w:t>
      </w:r>
    </w:p>
    <w:p w:rsidR="005728DD" w:rsidRDefault="005728DD" w:rsidP="005728DD">
      <w:pPr>
        <w:pStyle w:val="TextoNormal"/>
      </w:pPr>
    </w:p>
    <w:p w:rsidR="005728DD" w:rsidRDefault="005728DD" w:rsidP="005728DD">
      <w:pPr>
        <w:pStyle w:val="TextoNormal"/>
      </w:pPr>
      <w:r>
        <w:t>d) Prohibición de cultivos sensibles a la lixiviación de nutrientes.</w:t>
      </w:r>
    </w:p>
    <w:p w:rsidR="005728DD" w:rsidRDefault="005728DD" w:rsidP="005728DD">
      <w:pPr>
        <w:pStyle w:val="TextoNormal"/>
      </w:pPr>
    </w:p>
    <w:p w:rsidR="005728DD" w:rsidRDefault="005728DD" w:rsidP="005728DD">
      <w:pPr>
        <w:pStyle w:val="TextoNormal"/>
      </w:pPr>
      <w:r>
        <w:t>e) Extensión del cultivo en sustrato confinado.</w:t>
      </w:r>
    </w:p>
    <w:p w:rsidR="005728DD" w:rsidRDefault="005728DD" w:rsidP="005728DD">
      <w:pPr>
        <w:pStyle w:val="TextoNormal"/>
      </w:pPr>
    </w:p>
    <w:p w:rsidR="005728DD" w:rsidRDefault="005728DD" w:rsidP="005728DD">
      <w:pPr>
        <w:pStyle w:val="TextoNormal"/>
      </w:pPr>
      <w:r>
        <w:t>f) Incentivos a la agricultura sostenible.</w:t>
      </w:r>
    </w:p>
    <w:p w:rsidR="005728DD" w:rsidRDefault="005728DD" w:rsidP="005728DD">
      <w:pPr>
        <w:pStyle w:val="TextoNormal"/>
      </w:pPr>
    </w:p>
    <w:p w:rsidR="005728DD" w:rsidRDefault="005728DD" w:rsidP="005728DD">
      <w:pPr>
        <w:pStyle w:val="TextoNormal"/>
      </w:pPr>
      <w:r>
        <w:t>g) Forestación de tierras agrícolas.</w:t>
      </w:r>
    </w:p>
    <w:p w:rsidR="005728DD" w:rsidRDefault="005728DD" w:rsidP="005728DD">
      <w:pPr>
        <w:pStyle w:val="TextoNormal"/>
      </w:pPr>
    </w:p>
    <w:p w:rsidR="005728DD" w:rsidRDefault="005728DD" w:rsidP="005728DD">
      <w:pPr>
        <w:pStyle w:val="TextoNormal"/>
      </w:pPr>
      <w:r>
        <w:t>h) Realización de terrazas y/o bancales.</w:t>
      </w:r>
    </w:p>
    <w:p w:rsidR="005728DD" w:rsidRDefault="005728DD" w:rsidP="005728DD">
      <w:pPr>
        <w:pStyle w:val="TextoNormal"/>
      </w:pPr>
    </w:p>
    <w:p w:rsidR="005728DD" w:rsidRDefault="005728DD" w:rsidP="005728DD">
      <w:pPr>
        <w:pStyle w:val="TextoNormal"/>
      </w:pPr>
      <w:r>
        <w:t>i) Trituración de restos vegetales para enterrad</w:t>
      </w:r>
      <w:r w:rsidRPr="005728DD">
        <w:rPr>
          <w:i/>
        </w:rPr>
        <w:t>o o mulc</w:t>
      </w:r>
      <w:r>
        <w:t>hing.</w:t>
      </w:r>
    </w:p>
    <w:p w:rsidR="005728DD" w:rsidRDefault="005728DD" w:rsidP="005728DD">
      <w:pPr>
        <w:pStyle w:val="TextoNormal"/>
      </w:pPr>
    </w:p>
    <w:p w:rsidR="005728DD" w:rsidRDefault="005728DD" w:rsidP="005728DD">
      <w:pPr>
        <w:pStyle w:val="TextoNormal"/>
      </w:pPr>
      <w:r>
        <w:t>j) Implementación de técnicas de monitorización de nutrientes a tiempo real”.</w:t>
      </w:r>
    </w:p>
    <w:p w:rsidR="005728DD" w:rsidRDefault="005728DD" w:rsidP="005728DD">
      <w:pPr>
        <w:pStyle w:val="TextoNormal"/>
      </w:pPr>
    </w:p>
    <w:p w:rsidR="005728DD" w:rsidRDefault="005728DD" w:rsidP="005728DD">
      <w:pPr>
        <w:pStyle w:val="TextoNormal"/>
      </w:pPr>
      <w:r>
        <w:t>A los recurrentes les parece “razonable que se apliquen medidas más restrictivas o específicas en las zonas que se consideran clave para la recuperación del Mar Menor”; y les parece igualmente que el objetivo de protección medioambiental “es deseable y compartido”. Pero las concretas restricciones impuestas y la zona sobre la que recaen les parecen desproporcionadas y arbitrarias. Afectan a fincas que distan hasta 12 kilómetros del Mar Menor, e incluyen la prohibición de toda agricultura salvo la sostenible y de precisión, la limitación más intensa de los ciclos de cultivo (un solo ciclo anual de las especies del grupo 1), y la introducción de mayores restricciones a la fertilización y riego. Ello supone exigir “notables inversiones” a los propietarios, de modo que “es de esperar” que las empresas agrícolas prioricen y trasladen su actividad a otras zonas con menos restricciones, pero por unas medidas que “no están suficientemente avaladas con datos técnicos que cuantifiquen su eficacia y garanticen la idoneidad de su localización”. En definitiva se produce con ello un “cambio de modelo productivo” sin ayudas ni compensación de ningún tipo y una auténtica “expropiación sin indemnización” de los empresarios agrícolas que llega a “anular la vertiente individual” del derecho de propiedad contraviniendo con ello su contenido esencial (STC 37/1987).</w:t>
      </w:r>
    </w:p>
    <w:p w:rsidR="005728DD" w:rsidRDefault="005728DD" w:rsidP="005728DD">
      <w:pPr>
        <w:pStyle w:val="TextoNormal"/>
      </w:pPr>
    </w:p>
    <w:p w:rsidR="005728DD" w:rsidRDefault="005728DD" w:rsidP="005728DD">
      <w:pPr>
        <w:pStyle w:val="TextoNormal"/>
      </w:pPr>
      <w:r>
        <w:t>(xii) El recurso se extiende “sobre la base de la misma argumentación” a las infracciones y sanciones tipificadas en los siguientes apartados de los arts. 81 y 83:</w:t>
      </w:r>
    </w:p>
    <w:p w:rsidR="005728DD" w:rsidRDefault="005728DD" w:rsidP="005728DD">
      <w:pPr>
        <w:pStyle w:val="TextoNormal"/>
      </w:pPr>
    </w:p>
    <w:p w:rsidR="005728DD" w:rsidRDefault="005728DD" w:rsidP="005728DD">
      <w:pPr>
        <w:pStyle w:val="TextoNormal"/>
      </w:pPr>
      <w:r>
        <w:t>“Artículo 81. Infracciones.</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2. Constituyen infracciones administrativas leves, por incumplimiento de las medidas agrarias exigibles en la zona 1 y 2:[…]</w:t>
      </w:r>
    </w:p>
    <w:p w:rsidR="005728DD" w:rsidRDefault="005728DD" w:rsidP="005728DD">
      <w:pPr>
        <w:pStyle w:val="TextoNormal"/>
      </w:pPr>
    </w:p>
    <w:p w:rsidR="005728DD" w:rsidRDefault="005728DD" w:rsidP="005728DD">
      <w:pPr>
        <w:pStyle w:val="TextoNormal"/>
      </w:pPr>
      <w:r>
        <w:t>d) No realizar las labores adecuadas de mantenimiento de las estructuras vegetales de conservación.</w:t>
      </w:r>
    </w:p>
    <w:p w:rsidR="005728DD" w:rsidRDefault="005728DD" w:rsidP="005728DD">
      <w:pPr>
        <w:pStyle w:val="TextoNormal"/>
      </w:pPr>
    </w:p>
    <w:p w:rsidR="005728DD" w:rsidRDefault="005728DD" w:rsidP="005728DD">
      <w:pPr>
        <w:pStyle w:val="TextoNormal"/>
      </w:pPr>
      <w:r>
        <w:t>e) En el caso de cultivos de secano, no implantar fajas de vegetación o hacerlo de forma contraria a lo establecido en esta ley.</w:t>
      </w:r>
    </w:p>
    <w:p w:rsidR="005728DD" w:rsidRDefault="005728DD" w:rsidP="005728DD">
      <w:pPr>
        <w:pStyle w:val="TextoNormal"/>
      </w:pPr>
    </w:p>
    <w:p w:rsidR="005728DD" w:rsidRDefault="005728DD" w:rsidP="005728DD">
      <w:pPr>
        <w:pStyle w:val="TextoNormal"/>
      </w:pPr>
      <w:r>
        <w:t>f) No aplicar medidas que garanticen el buen estado del microbioma del suelo.</w:t>
      </w:r>
    </w:p>
    <w:p w:rsidR="005728DD" w:rsidRDefault="005728DD" w:rsidP="005728DD">
      <w:pPr>
        <w:pStyle w:val="TextoNormal"/>
      </w:pPr>
    </w:p>
    <w:p w:rsidR="005728DD" w:rsidRDefault="005728DD" w:rsidP="005728DD">
      <w:pPr>
        <w:pStyle w:val="TextoNormal"/>
      </w:pPr>
      <w:r>
        <w:t>g) Aplicar al terreno purines y otros estiércoles incumpliendo las condiciones establecidas en esta ley, cuando el incumplimiento no esté calificado como infracción grave.</w:t>
      </w:r>
    </w:p>
    <w:p w:rsidR="005728DD" w:rsidRDefault="005728DD" w:rsidP="005728DD">
      <w:pPr>
        <w:pStyle w:val="TextoNormal"/>
      </w:pPr>
    </w:p>
    <w:p w:rsidR="005728DD" w:rsidRDefault="005728DD" w:rsidP="005728DD">
      <w:pPr>
        <w:pStyle w:val="TextoNormal"/>
      </w:pPr>
      <w:r>
        <w:t>h) Aplicar al terreno purines y otros estiércoles sin realizar analíticas de los parámetros establecidos y con la frecuencia mínima exigible.</w:t>
      </w:r>
    </w:p>
    <w:p w:rsidR="005728DD" w:rsidRDefault="005728DD" w:rsidP="005728DD">
      <w:pPr>
        <w:pStyle w:val="TextoNormal"/>
      </w:pPr>
    </w:p>
    <w:p w:rsidR="005728DD" w:rsidRDefault="005728DD" w:rsidP="005728DD">
      <w:pPr>
        <w:pStyle w:val="TextoNormal"/>
      </w:pPr>
      <w:r>
        <w:t>i) Apilamiento de estiércol u otros materiales orgánicos en contra de lo dispuesto en esta ley, o no incorporarlos al suelo de la forma establecida en ella.</w:t>
      </w:r>
    </w:p>
    <w:p w:rsidR="005728DD" w:rsidRDefault="005728DD" w:rsidP="005728DD">
      <w:pPr>
        <w:pStyle w:val="TextoNormal"/>
      </w:pPr>
    </w:p>
    <w:p w:rsidR="005728DD" w:rsidRDefault="005728DD" w:rsidP="005728DD">
      <w:pPr>
        <w:pStyle w:val="TextoNormal"/>
      </w:pPr>
      <w:r>
        <w:t>j) No eliminar los restos de cultivo de la forma y en el plazo máximo fijados.</w:t>
      </w:r>
    </w:p>
    <w:p w:rsidR="005728DD" w:rsidRDefault="005728DD" w:rsidP="005728DD">
      <w:pPr>
        <w:pStyle w:val="TextoNormal"/>
      </w:pPr>
    </w:p>
    <w:p w:rsidR="005728DD" w:rsidRDefault="005728DD" w:rsidP="005728DD">
      <w:pPr>
        <w:pStyle w:val="TextoNormal"/>
      </w:pPr>
      <w:r>
        <w:t>k) No implantar una cubierta vegetal adecuada cuando se produzca el cese de cultivos por más de dos años.</w:t>
      </w:r>
    </w:p>
    <w:p w:rsidR="005728DD" w:rsidRDefault="005728DD" w:rsidP="005728DD">
      <w:pPr>
        <w:pStyle w:val="TextoNormal"/>
      </w:pPr>
    </w:p>
    <w:p w:rsidR="005728DD" w:rsidRDefault="005728DD" w:rsidP="005728DD">
      <w:pPr>
        <w:pStyle w:val="TextoNormal"/>
      </w:pPr>
      <w:r>
        <w:t>l) No aplicar en la zona 1 un cultivo de cobertera en regadíos cuyo suelo quede desnudo por más de dos meses, de la forma establecida.[…]</w:t>
      </w:r>
    </w:p>
    <w:p w:rsidR="005728DD" w:rsidRDefault="005728DD" w:rsidP="005728DD">
      <w:pPr>
        <w:pStyle w:val="TextoNormal"/>
      </w:pPr>
    </w:p>
    <w:p w:rsidR="005728DD" w:rsidRDefault="005728DD" w:rsidP="005728DD">
      <w:pPr>
        <w:pStyle w:val="TextoNormal"/>
      </w:pPr>
      <w:r>
        <w:t>n) Aplicar abonado mineral de fondo.</w:t>
      </w:r>
    </w:p>
    <w:p w:rsidR="005728DD" w:rsidRDefault="005728DD" w:rsidP="005728DD">
      <w:pPr>
        <w:pStyle w:val="TextoNormal"/>
      </w:pPr>
    </w:p>
    <w:p w:rsidR="005728DD" w:rsidRDefault="005728DD" w:rsidP="005728DD">
      <w:pPr>
        <w:pStyle w:val="TextoNormal"/>
      </w:pPr>
      <w:r>
        <w:t>ñ) Aplicar fertilizantes que contengan fósforo incumpliendo las condiciones exigibles.</w:t>
      </w:r>
    </w:p>
    <w:p w:rsidR="005728DD" w:rsidRDefault="005728DD" w:rsidP="005728DD">
      <w:pPr>
        <w:pStyle w:val="TextoNormal"/>
      </w:pPr>
    </w:p>
    <w:p w:rsidR="005728DD" w:rsidRDefault="005728DD" w:rsidP="005728DD">
      <w:pPr>
        <w:pStyle w:val="TextoNormal"/>
      </w:pPr>
      <w:r>
        <w:t>o) Emplear en la zona 1 goteros con caudales unitarios superiores a 2,2 l/h en cultivos hortícolas.</w:t>
      </w:r>
    </w:p>
    <w:p w:rsidR="005728DD" w:rsidRDefault="005728DD" w:rsidP="005728DD">
      <w:pPr>
        <w:pStyle w:val="TextoNormal"/>
      </w:pPr>
    </w:p>
    <w:p w:rsidR="005728DD" w:rsidRDefault="005728DD" w:rsidP="005728DD">
      <w:pPr>
        <w:pStyle w:val="TextoNormal"/>
      </w:pPr>
      <w:r>
        <w:t>3. Constituyen infracciones administrativas graves, por incumplimiento de las medidas agrarias exigibles en la zona 1 y 2:</w:t>
      </w:r>
    </w:p>
    <w:p w:rsidR="005728DD" w:rsidRDefault="005728DD" w:rsidP="005728DD">
      <w:pPr>
        <w:pStyle w:val="TextoNormal"/>
      </w:pPr>
    </w:p>
    <w:p w:rsidR="005728DD" w:rsidRDefault="005728DD" w:rsidP="005728DD">
      <w:pPr>
        <w:pStyle w:val="TextoNormal"/>
      </w:pPr>
      <w:r>
        <w:t>a) La creación de nuevas superficies de cultivo de secano, o ampliación de las existentes, sin la debida autorización administrativa.</w:t>
      </w:r>
    </w:p>
    <w:p w:rsidR="005728DD" w:rsidRDefault="005728DD" w:rsidP="005728DD">
      <w:pPr>
        <w:pStyle w:val="TextoNormal"/>
      </w:pPr>
    </w:p>
    <w:p w:rsidR="005728DD" w:rsidRDefault="005728DD" w:rsidP="005728DD">
      <w:pPr>
        <w:pStyle w:val="TextoNormal"/>
      </w:pPr>
      <w:r>
        <w:t>b) Aplicar fertilizantes vulnerando lo dispuesto en el artículo 29.</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lastRenderedPageBreak/>
        <w:t>d) No presentar la memoria o proyecto de restitución en el plazo indicado en el acuerdo de inicio del procedimiento de restitución de cultivos.</w:t>
      </w:r>
    </w:p>
    <w:p w:rsidR="005728DD" w:rsidRDefault="005728DD" w:rsidP="005728DD">
      <w:pPr>
        <w:pStyle w:val="TextoNormal"/>
      </w:pPr>
    </w:p>
    <w:p w:rsidR="005728DD" w:rsidRDefault="005728DD" w:rsidP="005728DD">
      <w:pPr>
        <w:pStyle w:val="TextoNormal"/>
      </w:pPr>
      <w:r>
        <w:t>e) No implantar las estructuras vegetales de conservación dentro del plazo y formas establecidas.</w:t>
      </w:r>
    </w:p>
    <w:p w:rsidR="005728DD" w:rsidRDefault="005728DD" w:rsidP="005728DD">
      <w:pPr>
        <w:pStyle w:val="TextoNormal"/>
      </w:pPr>
    </w:p>
    <w:p w:rsidR="005728DD" w:rsidRDefault="005728DD" w:rsidP="005728DD">
      <w:pPr>
        <w:pStyle w:val="TextoNormal"/>
      </w:pPr>
      <w:r>
        <w:t>f) No destinar a sistemas de retención de nutrientes la superficie mínima establecida.</w:t>
      </w:r>
    </w:p>
    <w:p w:rsidR="005728DD" w:rsidRDefault="005728DD" w:rsidP="005728DD">
      <w:pPr>
        <w:pStyle w:val="TextoNormal"/>
      </w:pPr>
    </w:p>
    <w:p w:rsidR="005728DD" w:rsidRDefault="005728DD" w:rsidP="005728DD">
      <w:pPr>
        <w:pStyle w:val="TextoNormal"/>
      </w:pPr>
      <w:r>
        <w:t>g) Realizar operaciones de cultivo sin ajustarse a las curvas de nivel o alternativas previstas en el artículo 38 para la zona 2.</w:t>
      </w:r>
    </w:p>
    <w:p w:rsidR="005728DD" w:rsidRDefault="005728DD" w:rsidP="005728DD">
      <w:pPr>
        <w:pStyle w:val="TextoNormal"/>
      </w:pPr>
    </w:p>
    <w:p w:rsidR="005728DD" w:rsidRDefault="005728DD" w:rsidP="005728DD">
      <w:pPr>
        <w:pStyle w:val="TextoNormal"/>
      </w:pPr>
      <w:r>
        <w:t>h) Realizar anualmente más ciclos de cultivo de los establecidos como máximos por esta ley, o no anotar en el cuaderno de explotación la fecha de siembra o trasplante o el inicio de la recolección.</w:t>
      </w:r>
    </w:p>
    <w:p w:rsidR="005728DD" w:rsidRDefault="005728DD" w:rsidP="005728DD">
      <w:pPr>
        <w:pStyle w:val="TextoNormal"/>
      </w:pPr>
    </w:p>
    <w:p w:rsidR="005728DD" w:rsidRDefault="005728DD" w:rsidP="005728DD">
      <w:pPr>
        <w:pStyle w:val="TextoNormal"/>
      </w:pPr>
      <w:r>
        <w:t>i) Usar urea u otros fertilizantes que contengan nitrógeno en forma ureica.</w:t>
      </w:r>
    </w:p>
    <w:p w:rsidR="005728DD" w:rsidRDefault="005728DD" w:rsidP="005728DD">
      <w:pPr>
        <w:pStyle w:val="TextoNormal"/>
      </w:pPr>
    </w:p>
    <w:p w:rsidR="005728DD" w:rsidRDefault="005728DD" w:rsidP="005728DD">
      <w:pPr>
        <w:pStyle w:val="TextoNormal"/>
      </w:pPr>
      <w:r>
        <w:t>j) Utilizar nitrato amónico en contra de lo establecido en esta ley. […]</w:t>
      </w:r>
    </w:p>
    <w:p w:rsidR="005728DD" w:rsidRDefault="005728DD" w:rsidP="005728DD">
      <w:pPr>
        <w:pStyle w:val="TextoNormal"/>
      </w:pPr>
    </w:p>
    <w:p w:rsidR="005728DD" w:rsidRDefault="005728DD" w:rsidP="005728DD">
      <w:pPr>
        <w:pStyle w:val="TextoNormal"/>
      </w:pPr>
      <w:r>
        <w:t>m) No realizar el cálculo del balance de nitrógeno, de acuerdo con lo establecido en esta ley.</w:t>
      </w:r>
    </w:p>
    <w:p w:rsidR="005728DD" w:rsidRDefault="005728DD" w:rsidP="005728DD">
      <w:pPr>
        <w:pStyle w:val="TextoNormal"/>
      </w:pPr>
    </w:p>
    <w:p w:rsidR="005728DD" w:rsidRDefault="005728DD" w:rsidP="005728DD">
      <w:pPr>
        <w:pStyle w:val="TextoNormal"/>
      </w:pPr>
      <w:r>
        <w:t>n) No disponer de estructuras de recogida de aguas de lluvia, de dimensión suficiente, en los invernaderos con cubierta plástica impermeable; o no mantenerla en condiciones adecuadas para almacenar la lluvia.</w:t>
      </w:r>
    </w:p>
    <w:p w:rsidR="005728DD" w:rsidRDefault="005728DD" w:rsidP="005728DD">
      <w:pPr>
        <w:pStyle w:val="TextoNormal"/>
      </w:pPr>
    </w:p>
    <w:p w:rsidR="005728DD" w:rsidRDefault="005728DD" w:rsidP="005728DD">
      <w:pPr>
        <w:pStyle w:val="TextoNormal"/>
      </w:pPr>
      <w:r>
        <w:t>ñ) Aplicar directamente lodos de depuración al terreno. […]</w:t>
      </w:r>
    </w:p>
    <w:p w:rsidR="005728DD" w:rsidRDefault="005728DD" w:rsidP="005728DD">
      <w:pPr>
        <w:pStyle w:val="TextoNormal"/>
      </w:pPr>
    </w:p>
    <w:p w:rsidR="005728DD" w:rsidRDefault="005728DD" w:rsidP="005728DD">
      <w:pPr>
        <w:pStyle w:val="TextoNormal"/>
      </w:pPr>
      <w:r>
        <w:t>p) Disponer de plantas de desalobración de aguas subterráneas sin contar con sistemas de reducción de nutrientes o con sistemas cuyo funcionamiento sea deficiente.</w:t>
      </w:r>
    </w:p>
    <w:p w:rsidR="005728DD" w:rsidRDefault="005728DD" w:rsidP="005728DD">
      <w:pPr>
        <w:pStyle w:val="TextoNormal"/>
      </w:pPr>
    </w:p>
    <w:p w:rsidR="005728DD" w:rsidRDefault="005728DD" w:rsidP="005728DD">
      <w:pPr>
        <w:pStyle w:val="TextoNormal"/>
      </w:pPr>
      <w:r>
        <w:t>q) Realizar en la zona 1 más de un ciclo de cultivo anual, o dos ciclos consecutivos, de especies del grupo 1.</w:t>
      </w:r>
    </w:p>
    <w:p w:rsidR="005728DD" w:rsidRDefault="005728DD" w:rsidP="005728DD">
      <w:pPr>
        <w:pStyle w:val="TextoNormal"/>
      </w:pPr>
    </w:p>
    <w:p w:rsidR="005728DD" w:rsidRDefault="005728DD" w:rsidP="005728DD">
      <w:pPr>
        <w:pStyle w:val="TextoNormal"/>
      </w:pPr>
      <w:r>
        <w:t>r) Aplicar directamente purines al terreno en la zona 1, o aplicar estiércoles no compostados.</w:t>
      </w:r>
    </w:p>
    <w:p w:rsidR="005728DD" w:rsidRDefault="005728DD" w:rsidP="005728DD">
      <w:pPr>
        <w:pStyle w:val="TextoNormal"/>
      </w:pPr>
    </w:p>
    <w:p w:rsidR="005728DD" w:rsidRDefault="005728DD" w:rsidP="005728DD">
      <w:pPr>
        <w:pStyle w:val="TextoNormal"/>
      </w:pPr>
      <w:r>
        <w:t>s) No instalar en la zona 1 dispositivos para una gestión eficiente del riego […]”.</w:t>
      </w:r>
    </w:p>
    <w:p w:rsidR="005728DD" w:rsidRDefault="005728DD" w:rsidP="005728DD">
      <w:pPr>
        <w:pStyle w:val="TextoNormal"/>
      </w:pPr>
    </w:p>
    <w:p w:rsidR="005728DD" w:rsidRDefault="005728DD" w:rsidP="005728DD">
      <w:pPr>
        <w:pStyle w:val="TextoNormal"/>
      </w:pPr>
      <w:r>
        <w:t>“Artículo 83. Sanciones.</w:t>
      </w:r>
    </w:p>
    <w:p w:rsidR="005728DD" w:rsidRDefault="005728DD" w:rsidP="005728DD">
      <w:pPr>
        <w:pStyle w:val="TextoNormal"/>
      </w:pPr>
    </w:p>
    <w:p w:rsidR="005728DD" w:rsidRDefault="005728DD" w:rsidP="005728DD">
      <w:pPr>
        <w:pStyle w:val="TextoNormal"/>
      </w:pPr>
      <w:r>
        <w:t>1. Por la comisión de las infracciones previstas en el artículo anterior, se impondrán las siguientes sanciones pecuniarias:</w:t>
      </w:r>
    </w:p>
    <w:p w:rsidR="005728DD" w:rsidRDefault="005728DD" w:rsidP="005728DD">
      <w:pPr>
        <w:pStyle w:val="TextoNormal"/>
      </w:pPr>
    </w:p>
    <w:p w:rsidR="005728DD" w:rsidRDefault="005728DD" w:rsidP="005728DD">
      <w:pPr>
        <w:pStyle w:val="TextoNormal"/>
      </w:pPr>
      <w:r>
        <w:t>a) Por la comisión de las infracciones leves, multa de 2000 € hasta 5000 €.</w:t>
      </w:r>
    </w:p>
    <w:p w:rsidR="005728DD" w:rsidRDefault="005728DD" w:rsidP="005728DD">
      <w:pPr>
        <w:pStyle w:val="TextoNormal"/>
      </w:pPr>
    </w:p>
    <w:p w:rsidR="005728DD" w:rsidRDefault="005728DD" w:rsidP="005728DD">
      <w:pPr>
        <w:pStyle w:val="TextoNormal"/>
      </w:pPr>
      <w:r>
        <w:t>b) Por la comisión de las infracciones graves, multa de 5001 € a 50000 €.</w:t>
      </w:r>
    </w:p>
    <w:p w:rsidR="005728DD" w:rsidRDefault="005728DD" w:rsidP="005728DD">
      <w:pPr>
        <w:pStyle w:val="TextoNormal"/>
      </w:pPr>
    </w:p>
    <w:p w:rsidR="005728DD" w:rsidRDefault="005728DD" w:rsidP="005728DD">
      <w:pPr>
        <w:pStyle w:val="TextoNormal"/>
      </w:pPr>
      <w:r>
        <w:lastRenderedPageBreak/>
        <w:t>c) Por la comisión de las infracciones muy graves, multa de 50001 € a 500000 €.</w:t>
      </w:r>
    </w:p>
    <w:p w:rsidR="005728DD" w:rsidRDefault="005728DD" w:rsidP="005728DD">
      <w:pPr>
        <w:pStyle w:val="TextoNormal"/>
      </w:pPr>
    </w:p>
    <w:p w:rsidR="005728DD" w:rsidRDefault="005728DD" w:rsidP="005728DD">
      <w:pPr>
        <w:pStyle w:val="TextoNormal"/>
      </w:pPr>
      <w:r>
        <w:t>2. En cualquier caso, la cuantía de la sanción pecuniaria impuesta será como mínimo igual al importe en que se haya beneficiado el infractor, aunque ello implique la superación de las cuantías máximas establecidas para cada clase de sanción.</w:t>
      </w:r>
    </w:p>
    <w:p w:rsidR="005728DD" w:rsidRDefault="005728DD" w:rsidP="005728DD">
      <w:pPr>
        <w:pStyle w:val="TextoNormal"/>
      </w:pPr>
    </w:p>
    <w:p w:rsidR="005728DD" w:rsidRDefault="005728DD" w:rsidP="005728DD">
      <w:pPr>
        <w:pStyle w:val="TextoNormal"/>
      </w:pPr>
      <w:r>
        <w:t>3. Se aplicará un 20 por 100 de reducción sobre el importe de la sanción propuesta cuando se cumpla cada una de las condiciones establecidas en el artículo 85 de la Ley 39/2015, de 1 de octubre, del procedimiento administrativo común de las administraciones públicas.</w:t>
      </w:r>
    </w:p>
    <w:p w:rsidR="005728DD" w:rsidRDefault="005728DD" w:rsidP="005728DD">
      <w:pPr>
        <w:pStyle w:val="TextoNormal"/>
      </w:pPr>
    </w:p>
    <w:p w:rsidR="005728DD" w:rsidRDefault="005728DD" w:rsidP="005728DD">
      <w:pPr>
        <w:pStyle w:val="TextoNormal"/>
      </w:pPr>
      <w:r>
        <w:t>4. La comisión de infracciones graves o muy graves conllevará, como sanción accesoria, la pérdida del derecho a obtener cualquier tipo de ayuda o subvención de la Comunidad Autónoma de la Región de Murcia, durante el plazo de dos años a contar desde que la sanción sea firme en vía administrativa, en relación con las inversiones a realizar en las zonas 1 y 2.</w:t>
      </w:r>
    </w:p>
    <w:p w:rsidR="005728DD" w:rsidRDefault="005728DD" w:rsidP="005728DD">
      <w:pPr>
        <w:pStyle w:val="TextoNormal"/>
      </w:pPr>
    </w:p>
    <w:p w:rsidR="005728DD" w:rsidRDefault="005728DD" w:rsidP="005728DD">
      <w:pPr>
        <w:pStyle w:val="TextoNormal"/>
      </w:pPr>
      <w:r>
        <w:t>5. Cuando se trate de infracciones muy graves o graves, se podrá aplicar como sanción accesoria la suspensión de la actividad agraria por un plazo de uno a tres años, salvo que al tiempo de imposición de la sanción el infractor haya restablecido la legalidad o situación alterada, o cumplido la obligación cuyo incumplimiento determina la sanción”.</w:t>
      </w:r>
    </w:p>
    <w:p w:rsidR="005728DD" w:rsidRDefault="005728DD" w:rsidP="005728DD">
      <w:pPr>
        <w:pStyle w:val="TextoNormal"/>
      </w:pPr>
    </w:p>
    <w:p w:rsidR="005728DD" w:rsidRDefault="005728DD" w:rsidP="005728DD">
      <w:pPr>
        <w:pStyle w:val="TextoNormal"/>
      </w:pPr>
      <w:r>
        <w:t>Recuerdan los recurrentes que la competencia sancionadora es “pareja” e “instrumental” de la competencia sustantiva (STC 8/2012) de modo que las infracciones y sanciones tipificadas en los preceptos transcritos suponen una vulneración de las competencias estatales. Pero además, contienen un “duro” régimen sancionador y una reacción excesiva frente al ejercicio ilícito de las actividades reguladas en la ley que les hace igualmente merecedores de la declaración de inconstitucionalidad, por desproporcionadas.</w:t>
      </w:r>
    </w:p>
    <w:p w:rsidR="005728DD" w:rsidRDefault="005728DD" w:rsidP="005728DD">
      <w:pPr>
        <w:pStyle w:val="TextoNormal"/>
      </w:pPr>
    </w:p>
    <w:p w:rsidR="005728DD" w:rsidRDefault="005728DD" w:rsidP="005728DD">
      <w:pPr>
        <w:pStyle w:val="TextoNormal"/>
      </w:pPr>
      <w:r>
        <w:t>(xiii) Las inconstitucionalidades denunciadas “resultan agravadas” por la disposición transitoria tercera de la ley, sobre entrada en vigor y exigibilidad de las medidas legales previstas a las explotaciones existentes, con plazos “brevísimos” de tres o seis meses que “ahonda en la desproporción” de la legislación combatida, que busca un cambio de modelo productivo “sin prever medidas de fomento para una reconversión económica, ni plazos transitorios razonables” para esa reconversión sin apoyos. Dice esta disposición:</w:t>
      </w:r>
    </w:p>
    <w:p w:rsidR="005728DD" w:rsidRDefault="005728DD" w:rsidP="005728DD">
      <w:pPr>
        <w:pStyle w:val="TextoNormal"/>
      </w:pPr>
    </w:p>
    <w:p w:rsidR="005728DD" w:rsidRDefault="005728DD" w:rsidP="005728DD">
      <w:pPr>
        <w:pStyle w:val="TextoNormal"/>
      </w:pPr>
      <w:r>
        <w:t>“Disposición transitoria tercera. Exigencia de las medidas aplicables a las explotaciones agrícolas existentes.</w:t>
      </w:r>
    </w:p>
    <w:p w:rsidR="005728DD" w:rsidRDefault="005728DD" w:rsidP="005728DD">
      <w:pPr>
        <w:pStyle w:val="TextoNormal"/>
      </w:pPr>
    </w:p>
    <w:p w:rsidR="005728DD" w:rsidRDefault="005728DD" w:rsidP="005728DD">
      <w:pPr>
        <w:pStyle w:val="TextoNormal"/>
      </w:pPr>
      <w:r>
        <w:t>1. Los titulares de las explotaciones deberán cumplir las obligaciones establecidas en el capítulo V desde la entrada en vigor de esta ley, con las siguientes salvedades:</w:t>
      </w:r>
    </w:p>
    <w:p w:rsidR="005728DD" w:rsidRDefault="005728DD" w:rsidP="005728DD">
      <w:pPr>
        <w:pStyle w:val="TextoNormal"/>
      </w:pPr>
    </w:p>
    <w:p w:rsidR="005728DD" w:rsidRDefault="005728DD" w:rsidP="005728DD">
      <w:pPr>
        <w:pStyle w:val="TextoNormal"/>
      </w:pPr>
      <w:r>
        <w:t>a) Para las superficies que se encuentren a una distancia de entre 100 y 500 metros del límite interior de la ribera del Mar Menor, la prohibición de fertilizantes será exigible de forma inmediata; y para las situadas entre 500 y 1500 metros desde dicha ribera, a partir de los tres meses desde la entrada en vigor de esta ley.</w:t>
      </w:r>
    </w:p>
    <w:p w:rsidR="005728DD" w:rsidRDefault="005728DD" w:rsidP="005728DD">
      <w:pPr>
        <w:pStyle w:val="TextoNormal"/>
      </w:pPr>
    </w:p>
    <w:p w:rsidR="005728DD" w:rsidRDefault="005728DD" w:rsidP="005728DD">
      <w:pPr>
        <w:pStyle w:val="TextoNormal"/>
      </w:pPr>
      <w:r>
        <w:t xml:space="preserve">b) Para aquellas explotaciones que presentaron la memoria de diseño de la plantación de las estructuras vegetales a que se refiere el artículo 4.3 de la Ley 1/2018, de 7 de febrero, de </w:t>
      </w:r>
      <w:r>
        <w:lastRenderedPageBreak/>
        <w:t>medidas urgentes para garantizar la sostenibilidad ambiental en el entorno del Mar Menor, no será necesaria la presentación de declaración responsable a que se refiere el artículo 36.4 de esta ley, salvo en el caso de que se deba completar la memoria para cumplir lo establecido en esta norma, o si se producen modificaciones sustanciales de las estructuras vegetales.</w:t>
      </w:r>
    </w:p>
    <w:p w:rsidR="005728DD" w:rsidRDefault="005728DD" w:rsidP="005728DD">
      <w:pPr>
        <w:pStyle w:val="TextoNormal"/>
      </w:pPr>
    </w:p>
    <w:p w:rsidR="005728DD" w:rsidRDefault="005728DD" w:rsidP="005728DD">
      <w:pPr>
        <w:pStyle w:val="TextoNormal"/>
      </w:pPr>
      <w:r>
        <w:t>c) La obligación de instalar sensores de humedad, tensiómetros o dispositivos de apoyo a la gestión eficiente del riego y el seguimiento de la fertilización mineral, reguladas en los artículos 53 y 32, será exigible a partir de los seis meses desde la entrada en vigor de esta ley.</w:t>
      </w:r>
    </w:p>
    <w:p w:rsidR="005728DD" w:rsidRDefault="005728DD" w:rsidP="005728DD">
      <w:pPr>
        <w:pStyle w:val="TextoNormal"/>
      </w:pPr>
    </w:p>
    <w:p w:rsidR="005728DD" w:rsidRDefault="005728DD" w:rsidP="005728DD">
      <w:pPr>
        <w:pStyle w:val="TextoNormal"/>
      </w:pPr>
      <w:r>
        <w:t>d) La declaración responsable, acompañada de la memoria de diseño y mantenimiento de estructuras vegetales, debe presentarse ante la consejería competente para el control de la contaminación por nitratos desde la entrada en vigor de esta ley.</w:t>
      </w:r>
    </w:p>
    <w:p w:rsidR="005728DD" w:rsidRDefault="005728DD" w:rsidP="005728DD">
      <w:pPr>
        <w:pStyle w:val="TextoNormal"/>
      </w:pPr>
    </w:p>
    <w:p w:rsidR="005728DD" w:rsidRDefault="005728DD" w:rsidP="005728DD">
      <w:pPr>
        <w:pStyle w:val="TextoNormal"/>
      </w:pPr>
      <w:r>
        <w:t>No obstante, para aquellas superficies que la Ley 1/2018, de 7 de febrero, de medidas urgentes para garantizar la sostenibilidad ambiental en el entorno del Mar Menor, incluía dentro de la zona 3 el plazo para la presentación de la declaración responsable, junto con la memoria, será de seis meses desde la entrada en vigor de esta ley.</w:t>
      </w:r>
    </w:p>
    <w:p w:rsidR="005728DD" w:rsidRDefault="005728DD" w:rsidP="005728DD">
      <w:pPr>
        <w:pStyle w:val="TextoNormal"/>
      </w:pPr>
    </w:p>
    <w:p w:rsidR="005728DD" w:rsidRDefault="005728DD" w:rsidP="005728DD">
      <w:pPr>
        <w:pStyle w:val="TextoNormal"/>
      </w:pPr>
      <w:r>
        <w:t>En ambos casos, la ejecución de las actuaciones debe realizarse en el plazo de un año desde la finalización del plazo para la presentación de la declaración responsable, sin que sea de aplicación el plazo previsto en el artículo 36.4.</w:t>
      </w:r>
    </w:p>
    <w:p w:rsidR="005728DD" w:rsidRDefault="005728DD" w:rsidP="005728DD">
      <w:pPr>
        <w:pStyle w:val="TextoNormal"/>
      </w:pPr>
    </w:p>
    <w:p w:rsidR="005728DD" w:rsidRDefault="005728DD" w:rsidP="005728DD">
      <w:pPr>
        <w:pStyle w:val="TextoNormal"/>
      </w:pPr>
      <w:r>
        <w:t>e) Para las superficies incluidas dentro de la zona 3 por la Ley 1/2018, de 7 de febrero, de medidas urgentes para garantizar la sostenibilidad ambiental en el entorno del Mar Menor, el cumplimiento de las obligaciones establecidas en los artículos 37 (superficies de retención de nutrientes) y 41 (recogida de agua de los invernaderos) será exigible a partir de los tres meses desde la entrada en vigor de esta ley.</w:t>
      </w:r>
    </w:p>
    <w:p w:rsidR="005728DD" w:rsidRDefault="005728DD" w:rsidP="005728DD">
      <w:pPr>
        <w:pStyle w:val="TextoNormal"/>
      </w:pPr>
    </w:p>
    <w:p w:rsidR="005728DD" w:rsidRDefault="005728DD" w:rsidP="005728DD">
      <w:pPr>
        <w:pStyle w:val="TextoNormal"/>
      </w:pPr>
      <w:r>
        <w:t>2. Los titulares de explotaciones agrícolas deben suministrar por primera vez la información regulada por el artículo 32 antes del 31 de diciembre de 2020.</w:t>
      </w:r>
    </w:p>
    <w:p w:rsidR="005728DD" w:rsidRDefault="005728DD" w:rsidP="005728DD">
      <w:pPr>
        <w:pStyle w:val="TextoNormal"/>
      </w:pPr>
    </w:p>
    <w:p w:rsidR="005728DD" w:rsidRDefault="005728DD" w:rsidP="005728DD">
      <w:pPr>
        <w:pStyle w:val="TextoNormal"/>
      </w:pPr>
      <w:r>
        <w:t>3. La obligación de disponer de operador agroambiental solo será exigible en los plazos establecidos en la orden prevista en el artículo 46.2, que en todo caso deberá ser publicada antes del 31 de diciembre de 2020.</w:t>
      </w:r>
    </w:p>
    <w:p w:rsidR="005728DD" w:rsidRDefault="005728DD" w:rsidP="005728DD">
      <w:pPr>
        <w:pStyle w:val="TextoNormal"/>
      </w:pPr>
    </w:p>
    <w:p w:rsidR="005728DD" w:rsidRDefault="005728DD" w:rsidP="005728DD">
      <w:pPr>
        <w:pStyle w:val="TextoNormal"/>
      </w:pPr>
      <w:r>
        <w:t>4. Para aquellos invernaderos de superficie inferior a 0,5 ha. la obligación establecida en el punto 1 del artículo 41, entrará en vigor un año después de la entrada en vigor de esta ley”.</w:t>
      </w:r>
    </w:p>
    <w:p w:rsidR="005728DD" w:rsidRDefault="005728DD" w:rsidP="005728DD">
      <w:pPr>
        <w:pStyle w:val="TextoNormal"/>
      </w:pPr>
    </w:p>
    <w:p w:rsidR="005728DD" w:rsidRDefault="005728DD" w:rsidP="005728DD">
      <w:pPr>
        <w:pStyle w:val="TextoNormal"/>
      </w:pPr>
      <w:r>
        <w:t>(xiv) La disposición transitoria cuarta, sobre el “código de buenas prácticas agrarias”, vulnera las dos normas básicas que cita: el Real Decreto-ley 11/1995 y el Real Decreto 261/1996, que el preámbulo transcribe de forma “incompleta e interesada”, pues las medidas contenidas en el reglamento estatal son voluntarias y además para su adopción “se tendrá en cuenta su eficacia y su coste en comparación con otras posibles medidas de prevención” (art. 6.4 del Real Decreto 261/1996), lo que no prevé la disposición impugnada. Se vulnera con ello la competencia del art. 149.1.23 CE.</w:t>
      </w:r>
    </w:p>
    <w:p w:rsidR="005728DD" w:rsidRDefault="005728DD" w:rsidP="005728DD">
      <w:pPr>
        <w:pStyle w:val="TextoNormal"/>
      </w:pPr>
    </w:p>
    <w:p w:rsidR="005728DD" w:rsidRDefault="005728DD" w:rsidP="005728DD">
      <w:pPr>
        <w:pStyle w:val="TextoNormal"/>
      </w:pPr>
      <w:r>
        <w:lastRenderedPageBreak/>
        <w:t>El tenor de esta disposición es el que sigue:</w:t>
      </w:r>
    </w:p>
    <w:p w:rsidR="005728DD" w:rsidRDefault="005728DD" w:rsidP="005728DD">
      <w:pPr>
        <w:pStyle w:val="TextoNormal"/>
      </w:pPr>
    </w:p>
    <w:p w:rsidR="005728DD" w:rsidRDefault="005728DD" w:rsidP="005728DD">
      <w:pPr>
        <w:pStyle w:val="TextoNormal"/>
      </w:pPr>
      <w:r>
        <w:t>“Disposición transitoria cuarta. Aplicación obligatoria del Código de buenas prácticas agrarias de la Región de Murcia de manera transitoria.</w:t>
      </w:r>
    </w:p>
    <w:p w:rsidR="005728DD" w:rsidRDefault="005728DD" w:rsidP="005728DD">
      <w:pPr>
        <w:pStyle w:val="TextoNormal"/>
      </w:pPr>
    </w:p>
    <w:p w:rsidR="005728DD" w:rsidRDefault="005728DD" w:rsidP="005728DD">
      <w:pPr>
        <w:pStyle w:val="TextoNormal"/>
      </w:pPr>
      <w:r>
        <w:t>1. En las zonas 1 y 2, el cumplimiento del Código de Buenas Prácticas Agrarias de la Región de Murcia tendrá carácter obligatorio.</w:t>
      </w:r>
    </w:p>
    <w:p w:rsidR="005728DD" w:rsidRDefault="005728DD" w:rsidP="005728DD">
      <w:pPr>
        <w:pStyle w:val="TextoNormal"/>
      </w:pPr>
    </w:p>
    <w:p w:rsidR="005728DD" w:rsidRDefault="005728DD" w:rsidP="005728DD">
      <w:pPr>
        <w:pStyle w:val="TextoNormal"/>
      </w:pPr>
      <w:r>
        <w:t>2. El programa de actuación específico para la zona vulnerable a la contaminación por nitratos del Campo de Cartagena, incorporará aquellas medidas previstas del Código de Buenas Prácticas Agrarias que resulten procedentes de conformidad con lo previsto en el artículo 7 del Real Decreto 261/1996, de 16 de febrero, sobre protección de las aguas contra la contaminación producida por los nitratos procedentes de fuentes agrarias.</w:t>
      </w:r>
    </w:p>
    <w:p w:rsidR="005728DD" w:rsidRDefault="005728DD" w:rsidP="005728DD">
      <w:pPr>
        <w:pStyle w:val="TextoNormal"/>
      </w:pPr>
    </w:p>
    <w:p w:rsidR="005728DD" w:rsidRDefault="005728DD" w:rsidP="005728DD">
      <w:pPr>
        <w:pStyle w:val="TextoNormal"/>
      </w:pPr>
      <w:r>
        <w:t>3. Hasta la entrada en vigor del Programa de Actuación Específico para la zona vulnerable a la contaminación por nitratos del Campo de Cartagena, el incumplimiento del Código de Buenas Prácticas Agrarias de la Región de Murcia constituye infracción grave, siendo de aplicación las sanciones previstas, el procedimiento y demás determinaciones del régimen sancionador contenidas en el capítulo XI”.</w:t>
      </w:r>
    </w:p>
    <w:p w:rsidR="005728DD" w:rsidRDefault="005728DD" w:rsidP="005728DD">
      <w:pPr>
        <w:pStyle w:val="TextoNormal"/>
      </w:pPr>
    </w:p>
    <w:p w:rsidR="005728DD" w:rsidRDefault="005728DD" w:rsidP="005728DD">
      <w:pPr>
        <w:pStyle w:val="TextoNormal"/>
      </w:pPr>
      <w:r>
        <w:t>Por otrosí, y ante el impacto que la inmediata entrada en vigor de la ley tendrá para el sector de la agricultura en el Campo de Cartagena que da empleo a “29000 personas” solicita la tramitación urgente del recurso de inconstitucionalidad interpuesto.</w:t>
      </w:r>
    </w:p>
    <w:p w:rsidR="005728DD" w:rsidRDefault="005728DD" w:rsidP="005728DD">
      <w:pPr>
        <w:pStyle w:val="TextoNormal"/>
      </w:pPr>
    </w:p>
    <w:p w:rsidR="005728DD" w:rsidRDefault="005728DD" w:rsidP="005728DD">
      <w:pPr>
        <w:pStyle w:val="TextoNormal"/>
      </w:pPr>
      <w:r>
        <w:t>Adjunta a la demanda tres informes que denomina “periciales” y que extracta a lo largo de su recurso para justificar las vulneraciones denunciadas.</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17 de noviembre de 2020, el Pleno del tribunal acordó admitir a trámite el recurso de inconstitucionalidad interpuesto y dar traslado de las actuaciones, conforme establece el art. 34 de la Ley Orgánica del Tribunal Constitucional, al Congreso de los Diputados, al Senado y el Gobierno de la Nación, así como a la Asamblea Regional de Murcia y al Gobierno de la Región de Murcia, al objeto de que en el plazo de quince días pudieran personarse en el proceso y formular las alegaciones que estimaran pertinentes, así como también publicar la incoación del recurso en el “Boletín Oficial del Estado” y en el “Boletín Oficial de la Región de Murcia”.</w:t>
      </w:r>
    </w:p>
    <w:p w:rsidR="005728DD" w:rsidRDefault="005728DD" w:rsidP="005728DD">
      <w:pPr>
        <w:pStyle w:val="TextoNormal"/>
      </w:pPr>
    </w:p>
    <w:p w:rsidR="005728DD" w:rsidRDefault="005728DD" w:rsidP="005728DD">
      <w:pPr>
        <w:pStyle w:val="TextoNormal"/>
      </w:pPr>
      <w:r w:rsidRPr="005728DD">
        <w:rPr>
          <w:rStyle w:val="NumeroAFNegritaCaracter"/>
        </w:rPr>
        <w:t>3</w:t>
      </w:r>
      <w:r>
        <w:t>. El Congreso de los Diputados, el Senado, el Gobierno de la Nación y la Asamblea Regional de Murcia se han personado en el presente procedimiento renunciando a su derecho a formular alegaciones sobre el recurso de inconstitucionalidad interpuesto.</w:t>
      </w:r>
    </w:p>
    <w:p w:rsidR="005728DD" w:rsidRDefault="005728DD" w:rsidP="005728DD">
      <w:pPr>
        <w:pStyle w:val="TextoNormal"/>
      </w:pPr>
    </w:p>
    <w:p w:rsidR="005728DD" w:rsidRDefault="005728DD" w:rsidP="005728DD">
      <w:pPr>
        <w:pStyle w:val="TextoNormal"/>
      </w:pPr>
      <w:r w:rsidRPr="005728DD">
        <w:rPr>
          <w:rStyle w:val="NumeroAFNegritaCaracter"/>
        </w:rPr>
        <w:t>4</w:t>
      </w:r>
      <w:r>
        <w:t>. El Gobierno de la Región de Murcia formuló sus alegaciones en fecha 11 de enero de 2021 interesando la íntegra desestimación del recurso de inconstitucionalidad.</w:t>
      </w:r>
    </w:p>
    <w:p w:rsidR="005728DD" w:rsidRDefault="005728DD" w:rsidP="005728DD">
      <w:pPr>
        <w:pStyle w:val="TextoNormal"/>
      </w:pPr>
    </w:p>
    <w:p w:rsidR="005728DD" w:rsidRDefault="005728DD" w:rsidP="005728DD">
      <w:pPr>
        <w:pStyle w:val="TextoNormal"/>
      </w:pPr>
      <w:r>
        <w:t>a) Comienza denunciando la “confusa técnica impugnatoria” de los recurrentes, que después de recordar la doctrina constitucional sobre diversos títulos competenciales no la vin</w:t>
      </w:r>
      <w:r>
        <w:lastRenderedPageBreak/>
        <w:t>culan individualmente con cada precepto, de modo que “se desconocen los concretos motivos de impugnación” para cada precepto objeto de recurso, lo que le debería motivar su “rechazo” por el tribunal.</w:t>
      </w:r>
    </w:p>
    <w:p w:rsidR="005728DD" w:rsidRDefault="005728DD" w:rsidP="005728DD">
      <w:pPr>
        <w:pStyle w:val="TextoNormal"/>
      </w:pPr>
    </w:p>
    <w:p w:rsidR="005728DD" w:rsidRDefault="005728DD" w:rsidP="005728DD">
      <w:pPr>
        <w:pStyle w:val="TextoNormal"/>
      </w:pPr>
      <w:r>
        <w:t>b) En esta línea, niega que la ley pueda ser tachada de arbitraria en el sentido del art. 9.3 y la jurisprudencia constitucional que lo interpreta, más allá de la legítima discrepancia política de los recurrentes. La ley recurrida vino precedida de un decreto-ley y fue resultado de su convalidación, con los votos de los diputados de Vox, y de su tramitación como ley por el procedimiento legislativo de urgencia, donde obtuvo también un amplio respaldo parlamentario. La degradación ecológica del Mar Menor no puede además desconocerse.</w:t>
      </w:r>
    </w:p>
    <w:p w:rsidR="005728DD" w:rsidRDefault="005728DD" w:rsidP="005728DD">
      <w:pPr>
        <w:pStyle w:val="TextoNormal"/>
      </w:pPr>
    </w:p>
    <w:p w:rsidR="005728DD" w:rsidRDefault="005728DD" w:rsidP="005728DD">
      <w:pPr>
        <w:pStyle w:val="TextoNormal"/>
      </w:pPr>
      <w:r>
        <w:t>c) A continuación niega las vulneraciones competenciales denunciadas, afirmando que la ley recurrida se ampara en las competencias autonómicas sobre defensa y restauración del medio ambiente [art. 11.2 y 3 del Estatuto de Autonomía para la Región de Murcia (EARM)] y que las restricciones en ella contenidas respetan además las bases y coordinación económica del Estado (art. 149.1.13 CE), la igualdad de los españoles en el ejercicio de sus derechos derivada del art. 149.1.1 CE y la competencia estatal sobre la planificación hidrológica (art. 149.1.22 CE). Por último, la STC 37/1987 corrobora la inexistencia de vulneración de los arts. 149.1.1 y 8 CE.</w:t>
      </w:r>
    </w:p>
    <w:p w:rsidR="005728DD" w:rsidRDefault="005728DD" w:rsidP="005728DD">
      <w:pPr>
        <w:pStyle w:val="TextoNormal"/>
      </w:pPr>
    </w:p>
    <w:p w:rsidR="005728DD" w:rsidRDefault="005728DD" w:rsidP="005728DD">
      <w:pPr>
        <w:pStyle w:val="TextoNormal"/>
      </w:pPr>
      <w:r>
        <w:t>d) Igual suerte desestimatoria debe correr la denuncia de vulneración de los arts. 33 y 38 CE. La explotación económica del suelo debe ser compatible con su función ecológica (arts. 33.2 y 45 CE) de máxima importancia en una zona protegida como el Mar Menor. Al respecto, sostiene que es improcedente someter la ley al test de la proporcionalidad, como pretenden los recurrentes, y sujetarla en cambio al canon de la razonabilidad.</w:t>
      </w:r>
    </w:p>
    <w:p w:rsidR="005728DD" w:rsidRDefault="005728DD" w:rsidP="005728DD">
      <w:pPr>
        <w:pStyle w:val="TextoNormal"/>
      </w:pPr>
    </w:p>
    <w:p w:rsidR="005728DD" w:rsidRDefault="005728DD" w:rsidP="005728DD">
      <w:pPr>
        <w:pStyle w:val="TextoNormal"/>
      </w:pPr>
      <w:r>
        <w:t>e) Finalmente, y antes de pasar al examen singular de los preceptos impugnados, cuestiona que los informes técnicos aportados por los recurrentes como sostén de su recurso puedan tener algún tipo de relevancia en este proceso, pues se trata de informes de parte que solamente acreditan la discrepancia de un sector de la actividad con la oportunidad de la reforma legislativa, que el tribunal no debe enjuiciar en garantía del pluralismo político y la libertad del legislador.</w:t>
      </w:r>
    </w:p>
    <w:p w:rsidR="005728DD" w:rsidRDefault="005728DD" w:rsidP="005728DD">
      <w:pPr>
        <w:pStyle w:val="TextoNormal"/>
      </w:pPr>
    </w:p>
    <w:p w:rsidR="005728DD" w:rsidRDefault="005728DD" w:rsidP="005728DD">
      <w:pPr>
        <w:pStyle w:val="TextoNormal"/>
      </w:pPr>
      <w:r>
        <w:t>(i) En cuanto a la tacha de arbitrariedad de la delimitación efectuada en el art. 2.2, no aprecia vicio alguno de constitucionalidad en que la ley no tome en cuenta exclusivamente el criterio de la cercanía en la delimitación de la zona 1, como tampoco hacía su predecesora la Ley 1/2018. La nueva ley toma en cuenta también la existencia de accidentes topográficos naturales o artificiales o las especialidades de la mitad sur de la laguna. Que el preámbulo no haga mención a esos factores no es constitutivo de arbitrariedad.</w:t>
      </w:r>
    </w:p>
    <w:p w:rsidR="005728DD" w:rsidRDefault="005728DD" w:rsidP="005728DD">
      <w:pPr>
        <w:pStyle w:val="TextoNormal"/>
      </w:pPr>
    </w:p>
    <w:p w:rsidR="005728DD" w:rsidRDefault="005728DD" w:rsidP="005728DD">
      <w:pPr>
        <w:pStyle w:val="TextoNormal"/>
      </w:pPr>
      <w:r>
        <w:t>(ii) El art. 15 se ampara en la competencia autonómica sobre ordenación del litoral (art. 10.1.2 EARM) sin que la valoración no jurídica sino de oportunidad del informe técnico aportado pueda fundamentar una declaración de inconstitucionalidad.</w:t>
      </w:r>
    </w:p>
    <w:p w:rsidR="005728DD" w:rsidRDefault="005728DD" w:rsidP="005728DD">
      <w:pPr>
        <w:pStyle w:val="TextoNormal"/>
      </w:pPr>
    </w:p>
    <w:p w:rsidR="005728DD" w:rsidRDefault="005728DD" w:rsidP="005728DD">
      <w:pPr>
        <w:pStyle w:val="TextoNormal"/>
      </w:pPr>
      <w:r>
        <w:t>(iii) El reproche de que el art. 27 es contrario a la “planificación estatal”, sin concretar qué norma básica se vulnera, indica que la discrepancia es nuevamente de oportunidad, no de constitucionalidad.</w:t>
      </w:r>
    </w:p>
    <w:p w:rsidR="005728DD" w:rsidRDefault="005728DD" w:rsidP="005728DD">
      <w:pPr>
        <w:pStyle w:val="TextoNormal"/>
      </w:pPr>
    </w:p>
    <w:p w:rsidR="005728DD" w:rsidRDefault="005728DD" w:rsidP="005728DD">
      <w:pPr>
        <w:pStyle w:val="TextoNormal"/>
      </w:pPr>
      <w:r>
        <w:lastRenderedPageBreak/>
        <w:t>(iv) El sometimiento a autorización administrativa de nuevas superficies de cultivo del art. 28 no contradice el art. 24.1 LC citado de contrario, pues este artículo descarta autorizaciones de la administración hidrológica que regula, pero no las de otras administraciones con criterios y ámbitos de control diferentes (protección medioambiental).</w:t>
      </w:r>
    </w:p>
    <w:p w:rsidR="005728DD" w:rsidRDefault="005728DD" w:rsidP="005728DD">
      <w:pPr>
        <w:pStyle w:val="TextoNormal"/>
      </w:pPr>
    </w:p>
    <w:p w:rsidR="005728DD" w:rsidRDefault="005728DD" w:rsidP="005728DD">
      <w:pPr>
        <w:pStyle w:val="TextoNormal"/>
      </w:pPr>
      <w:r>
        <w:t>(v) El motivo dirigido contra las restricciones a la actividad agrícola del art. 29 no concreta tampoco qué “competencias estatales planificadoras” se vulneran, siendo razonables las medidas contenidas en el precepto impugnado para la finalidad perseguida.</w:t>
      </w:r>
    </w:p>
    <w:p w:rsidR="005728DD" w:rsidRDefault="005728DD" w:rsidP="005728DD">
      <w:pPr>
        <w:pStyle w:val="TextoNormal"/>
      </w:pPr>
    </w:p>
    <w:p w:rsidR="005728DD" w:rsidRDefault="005728DD" w:rsidP="005728DD">
      <w:pPr>
        <w:pStyle w:val="TextoNormal"/>
      </w:pPr>
      <w:r>
        <w:t>(vi) Los arts. 36, 37 y 38 se impugnan también por remisión abstracta y genérica a argumentos previos no concretados respecto a los mismos, más allá de la inespecífica mención a la falta de proporcionalidad de la medida; medidas amparadas en el acervo competencial autonómico.</w:t>
      </w:r>
    </w:p>
    <w:p w:rsidR="005728DD" w:rsidRDefault="005728DD" w:rsidP="005728DD">
      <w:pPr>
        <w:pStyle w:val="TextoNormal"/>
      </w:pPr>
    </w:p>
    <w:p w:rsidR="005728DD" w:rsidRDefault="005728DD" w:rsidP="005728DD">
      <w:pPr>
        <w:pStyle w:val="TextoNormal"/>
      </w:pPr>
      <w:r>
        <w:t>(vii) Idéntico reproche dirige contra la impugnación de la limitación del uso de fertilizantes del art. 40, y de las normas para el abandono de cultivos del art. 44, siendo ambas compatibles y adecuadas al fin propuesto, la protección medioambiental.</w:t>
      </w:r>
    </w:p>
    <w:p w:rsidR="005728DD" w:rsidRDefault="005728DD" w:rsidP="005728DD">
      <w:pPr>
        <w:pStyle w:val="TextoNormal"/>
      </w:pPr>
    </w:p>
    <w:p w:rsidR="005728DD" w:rsidRDefault="005728DD" w:rsidP="005728DD">
      <w:pPr>
        <w:pStyle w:val="TextoNormal"/>
      </w:pPr>
      <w:r>
        <w:t>(viii) También considera “genéricas afirmaciones” las relativas a las limitaciones al cultivo establecidas en los arts. 50 a 54, igualmente coherentes con el fin de protección medioambiental.</w:t>
      </w:r>
    </w:p>
    <w:p w:rsidR="005728DD" w:rsidRDefault="005728DD" w:rsidP="005728DD">
      <w:pPr>
        <w:pStyle w:val="TextoNormal"/>
      </w:pPr>
    </w:p>
    <w:p w:rsidR="005728DD" w:rsidRDefault="005728DD" w:rsidP="005728DD">
      <w:pPr>
        <w:pStyle w:val="TextoNormal"/>
      </w:pPr>
      <w:r>
        <w:t>(ix) En cuanto a las infracciones y sanciones tipificadas en los arts. 82 y 83, en los apartados impugnados, recuerda la doctrina según la cual el estado no puede imponer la uniformidad normativa en el régimen sancionador de una materia compartida (STC 196/1997). Las competencias ya señaladas sobre medio ambiente y agricultura prestan cobertura a los preceptos impugnados.</w:t>
      </w:r>
    </w:p>
    <w:p w:rsidR="005728DD" w:rsidRDefault="005728DD" w:rsidP="005728DD">
      <w:pPr>
        <w:pStyle w:val="TextoNormal"/>
      </w:pPr>
    </w:p>
    <w:p w:rsidR="005728DD" w:rsidRDefault="005728DD" w:rsidP="005728DD">
      <w:pPr>
        <w:pStyle w:val="TextoNormal"/>
      </w:pPr>
      <w:r>
        <w:t>(x) La alegada desproporción de los plazos de entrada en vigor de las medidas aplicables a las explotaciones existentes previstas en la disposición transitoria tercera, además de representar un nuevo desacuerdo con el contenido de la ley, omite que buena parte de esas obligaciones estaban ya previstas en la Ley 1/2018 y la urgencia que la protección del Mar Menor demanda.</w:t>
      </w:r>
    </w:p>
    <w:p w:rsidR="005728DD" w:rsidRDefault="005728DD" w:rsidP="005728DD">
      <w:pPr>
        <w:pStyle w:val="TextoNormal"/>
      </w:pPr>
    </w:p>
    <w:p w:rsidR="005728DD" w:rsidRDefault="005728DD" w:rsidP="005728DD">
      <w:pPr>
        <w:pStyle w:val="TextoNormal"/>
      </w:pPr>
      <w:r>
        <w:t>(xi) Y por último, la disposición transitoria cuarta sobre la aplicación obligatoria del Código de buenas prácticas en las zonas 1 y 2 simplemente reitera esta vigencia y obligatoriedad ya prevista en el art. 12 de la Ley 1/2018, tratándose, en consecuencia, de un intento de “hacer renacer” una acción ya “caducada” conforme a la doctrina de la STC 83/2020.</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providencia de 11 de mayo de 2021, se señaló para deliberación y votación de la presente sentencia el día 13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w:t>
      </w:r>
      <w:r>
        <w:t>.</w:t>
      </w:r>
    </w:p>
    <w:p w:rsidR="005728DD" w:rsidRDefault="005728DD" w:rsidP="005728DD">
      <w:pPr>
        <w:pStyle w:val="TextoNormal"/>
      </w:pPr>
    </w:p>
    <w:p w:rsidR="005728DD" w:rsidRDefault="005728DD" w:rsidP="005728DD">
      <w:pPr>
        <w:pStyle w:val="TextoNormal"/>
      </w:pPr>
      <w:r>
        <w:lastRenderedPageBreak/>
        <w:t>Cincuenta y dos diputados del Grupo Parlamentario Vox del Congreso interponen recurso de inconstitucionalidad contra varios preceptos de Ley de la Asamblea Regional de Murcia 3/2020, de 27 de julio, de recuperación y protección del Mar Menor, citados en el encabezamiento de esta sentencia. El hilo conductor de su recurso es la inconstitucionalidad de las “fuertes restricciones” a la agricultura establecidas en la los preceptos impugnados. Les parece, con carácter general, que esos preceptos “quiebran el necesario equilibrio entre medio ambiente y la actividad socioeconómica y convierten en completamente imposible la actividad económica más característica, que más empleo y riqueza proporciona al Campo de Cartagena y que constituye la forma de vida de miles de personas en la Región de Murcia”, sin dar además “alternativa alguna” y en “plazos extraordinariamente breves”, haciendo “imposible” la adaptación de las actividades agrícolas en funcionamiento. Un desequilibrio que sería inconstitucional tanto por motivos competenciales como sustantivos.</w:t>
      </w:r>
    </w:p>
    <w:p w:rsidR="005728DD" w:rsidRDefault="005728DD" w:rsidP="005728DD">
      <w:pPr>
        <w:pStyle w:val="TextoNormal"/>
      </w:pPr>
    </w:p>
    <w:p w:rsidR="005728DD" w:rsidRDefault="005728DD" w:rsidP="005728DD">
      <w:pPr>
        <w:pStyle w:val="TextoNormal"/>
      </w:pPr>
      <w:r>
        <w:t xml:space="preserve">Competencialmente, les parece a los recurrentes que una decisión así está reservada al Estado, pues solo a este corresponde delimitar la propiedad agraria y definir su función social (art. 33.2 CE) conforme a los arts. 149.1.1 y 8 CE. Además, la agricultura, y en especial la del Campo de Cartagena, es un recurso económico de importancia nacional así declarado en el Decreto 693/1972, de 9 de marzo, por el que se declaran de alto interés nacional las actuaciones del IRYDA en el Campo de Cartagena, por lo que únicamente al Estado, </w:t>
      </w:r>
      <w:r w:rsidRPr="005728DD">
        <w:rPr>
          <w:i/>
        </w:rPr>
        <w:t>ex</w:t>
      </w:r>
      <w:r>
        <w:t xml:space="preserve"> art. 149.1.13 CE (en relación con los núms. 22 y 23 del mismo precepto y con la responsabilidad del Estado sobre el dominio público marítimo terrestre derivado del art. 132.2 CE), compete efectuar la ponderación entre intereses medioambientales y económicos ínsita en la ley, que prima los primeros sobre los segundos, con grave quebranto económico de los propietarios y empresarios agrícolas del Campo de Cartagena. A estos motivos competenciales generales, dirigidos contra el conjunto de preceptos impugnados, añaden dos particulares para dos preceptos concretos: por un lado, les parece que la autorización administrativa exigida en el art. 28.2 de la ley recurrida vulnera el art. 24.1 de la Ley de costas del Estado; y por otro, sostienen que la aplicación “obligatoria” del Código de buenas prácticas agrarias de la Región de Murcia prevista en los apartados 1 y 3 de la disposición transitoria cuarta es contraria a la aplicación “voluntaria” de esta clase de códigos prevista en el art. 5.1 del Real Decreto 261/1996, de 16 de febrero, sobre protección de las aguas contra la contaminación producida por los nitratos procedentes de fuentes agrarias, dictado al amparo de las competencias del Estado de los núms. 13, 22 y 23 del art. 149.1 CE según su disposición final primera.</w:t>
      </w:r>
    </w:p>
    <w:p w:rsidR="005728DD" w:rsidRDefault="005728DD" w:rsidP="005728DD">
      <w:pPr>
        <w:pStyle w:val="TextoNormal"/>
      </w:pPr>
    </w:p>
    <w:p w:rsidR="005728DD" w:rsidRDefault="005728DD" w:rsidP="005728DD">
      <w:pPr>
        <w:pStyle w:val="TextoNormal"/>
      </w:pPr>
      <w:r>
        <w:t xml:space="preserve">Cuestionan además las restricciones a la actividad agrícola por motivos sustantivos. Sostienen que la delimitación de las zonas 1 y 2 en que se subdivide el ámbito de aplicación de la ley, y en particular la de la zona 1 donde las restricciones a la agricultura son mayores, es arbitraria y contraria por ello al art. 9.3 CE, y también que los concretos requerimientos y condiciones a la actividad agrícola impuestos por los restantes artículos objeto de recurso vulneran el “contenido esencial” (art. 53.1 CE) de los derechos a la propiedad (art. 33 CE) y a la libre empresa (art. 38 CE) garantizados en la Constitución, por no respetar el “principio de proporcionalidad” a que según los recurrentes deben someterse las “injerencias” en “cualquier derecho constitucional”. Para justificar este motivo acompañan al recurso tres informes que los recurrentes llaman “periciales”: dos de sendos ingenieros agrónomos valorando las medidas contenidas en ley impugnada para la consecución del objetivo propuesto, uno encargado por los recurrentes (“Informe de valoración de las medidas contempladas en la Ley 3/2020”, que dice analizar “desde un punto de vista técnico las soluciones </w:t>
      </w:r>
      <w:r>
        <w:lastRenderedPageBreak/>
        <w:t>propuestas […] comprobando su idoneidad ante el estado de deterioro del Mar Menor”) y otro por la Comunidad de regantes del Campo de Cartagena (“Informe sobre los aspectos de hidrología superficial, drenaje agrícola y riego recogidos en el Decreto-ley 2/2019” que antecedió a esta Ley 3/2020), que analiza “la capacidad técnica, la efectividad y la adecuación de algunas medidas” del citado Decreto-ley “en el ámbito la hidrología superficial, el drenaje agrícola y el riego”. El tercero, encargado por la Asociación empresarial para la protección de las plantas, es de una conocida empresa consultora y se titula “El futuro del sector agrícola. Claves para construir un sector sostenible económica, social y medioambientalmente”. En varios de los motivos, los recurrentes extractan parte de esos informes a fin de acreditar la falta de sentido, de eficacia, la incoherencia o la ausencia de justificación técnica de las normas en cada caso impugnadas, o la existencia de alternativas más eficaces para la protección medioambiental y menos lesivas para las legítimas expectativas e intereses económicos de los propietarios y empresarios agrícolas de la zona afectada.</w:t>
      </w:r>
    </w:p>
    <w:p w:rsidR="005728DD" w:rsidRDefault="005728DD" w:rsidP="005728DD">
      <w:pPr>
        <w:pStyle w:val="TextoNormal"/>
      </w:pPr>
    </w:p>
    <w:p w:rsidR="005728DD" w:rsidRDefault="005728DD" w:rsidP="005728DD">
      <w:pPr>
        <w:pStyle w:val="TextoNormal"/>
      </w:pPr>
      <w:r>
        <w:t>El Gobierno de la Región de Murcia interesa la desestimación del recurso por las razones que han quedado detalladas en el apartado de los antecedentes. Sin perjuicio de alegar sobre la insuficiencia de los motivos competenciales de orden general para concluir la inconstitucionalidad de la ley, y sobre los concretos motivos aducidos contra cada precepto, discrepa sobre dos aspectos primordiales del recurso: (i) que los informes técnicos que los recurrentes acompañan a su recurso y en que basan sus motivos sustantivos solamente ponen de manifiesto la disconformidad de los recurrentes con la opción política del legislador, sin que ello pueda ser causa de inconstitucionalidad de la ley por respeto al pluralismo político (art. 1.1 CE) y al margen de apreciación de que debe disponer el legislador en el ejercicio de su competencia legislativa; y (ii) que el test de proporcionalidad en cuya aplicación descansan los motivos sustantivos no es aplicable a la regulación y delimitación del derecho de propiedad o libre empresa sino que la doctrina constitucional aplica el canon de la razonabilidad o equilibrio justo (cita las SSTC 111/2017, FJ 4; 16/2018, FJ 17, y 32/2018, FJ 7).</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Contenido de la ley impugnada</w:t>
      </w:r>
      <w:r>
        <w:t>.</w:t>
      </w:r>
    </w:p>
    <w:p w:rsidR="005728DD" w:rsidRDefault="005728DD" w:rsidP="005728DD">
      <w:pPr>
        <w:pStyle w:val="TextoNormal"/>
      </w:pPr>
    </w:p>
    <w:p w:rsidR="005728DD" w:rsidRDefault="005728DD" w:rsidP="005728DD">
      <w:pPr>
        <w:pStyle w:val="TextoNormal"/>
      </w:pPr>
      <w:r>
        <w:t>La ley impugnada trae causa del Decreto-ley del Gobierno de la Región de Murcia 2/2019, de 26 de diciembre, de protección integral del Mar Menor, convalidado por la Asamblea Regional por resolución de 10 de enero de 2020. En esa misma sesión, la Asamblea acordó igualmente tramitar el decreto-ley convalidado como ley, conforme autoriza el art. 30.3 EARM (equivalente al art. 86.3 CE), siendo la ley formal resultante de esta tramitación la ley objeto de recurso.</w:t>
      </w:r>
    </w:p>
    <w:p w:rsidR="005728DD" w:rsidRDefault="005728DD" w:rsidP="005728DD">
      <w:pPr>
        <w:pStyle w:val="TextoNormal"/>
      </w:pPr>
    </w:p>
    <w:p w:rsidR="005728DD" w:rsidRDefault="005728DD" w:rsidP="005728DD">
      <w:pPr>
        <w:pStyle w:val="TextoNormal"/>
      </w:pPr>
      <w:r>
        <w:t xml:space="preserve">El preámbulo de la ley comienza describiendo el “mal estado general” del Mar Menor y su elevado valor ambiental, que viene reconocido por la declaración de varias figuras de protección en la zona, que cita (apartado I, párrafo cuarto). En torno al Mar Menor, señala el preámbulo, existe un parque regional, dos paisajes protegidos, varias zonas de especial protección para las aves y zonas especiales de conservación, y ha sido además declarado humedal de importancia internacional y está asimismo incluido en la zona especialmente protegida de importancia para el Mediterráneo. Expone a continuación las causas que han conducido al deterioro ambiental de la zona, con referencia al informe integral sobre el estado ecológico del Mar Menor elaborado por el Comité de Asesoramiento Científico del Mar Menor dependiente de la Consejería de Agua, Agricultura y Medio Ambiente del Gobierno regional, con fecha 13 de febrero de 2017 (apartado II). Cita como causas de ese </w:t>
      </w:r>
      <w:r>
        <w:lastRenderedPageBreak/>
        <w:t>deterioro la urbanización, la presión turística, la explotación minera y agrícola de la zona y la entrada de contaminantes en su cuenca que han alterado su ecosistema; y proclama la urgencia de adoptar medidas normativas para su defensa y restauración invocando expresamente el art. 45 CE (preámbulo, apartado III, párrafo primero) y de hacerlo “desde un enfoque integral”, a diferencia de las dos leyes regionales anteriores de protección del Mar Menor, la primera de las cuales, la Ley 3/1987, de protección y armonización de los usos del Mar Menor, ya destacaba en su exposición de motivos que el entorno del Mar Menor “es de las zonas más necesitadas de protección debido al proceso de transformación de las estructuras socioeconómicas y del modelo de desarrollo al que se ha visto sometido en las últimas décadas; los impactos, modificaciones y degradaciones del medio físico-natural que han comportado tales transformaciones; la intensidad y diversidad de explotación de los recursos naturales a través de actividades relacionadas con la agricultura, la pesca, la minería y el turismo; el rápido proceso de crecimiento que se ha operado en el área y que ha generado profundas modificaciones en la estructura e imagen espacial”. La segunda norma es el Decreto-ley del Gobierno de la Región de Murcia 1/2017, de medidas urgentes para garantizar la sostenibilidad ambiental en el entorno del Mar Menor, que dio lugar, por el mismo conducto que la ley ahora impugnada (art. 30.3 EARM), a la Ley de la Asamblea Regional de Murcia 1/2018, con mismo título.</w:t>
      </w:r>
    </w:p>
    <w:p w:rsidR="005728DD" w:rsidRDefault="005728DD" w:rsidP="005728DD">
      <w:pPr>
        <w:pStyle w:val="TextoNormal"/>
      </w:pPr>
    </w:p>
    <w:p w:rsidR="005728DD" w:rsidRDefault="005728DD" w:rsidP="005728DD">
      <w:pPr>
        <w:pStyle w:val="TextoNormal"/>
      </w:pPr>
      <w:r>
        <w:t>A diferencia de esta última ley, cuyo objeto se reducía a las explotaciones agrícolas y los vertidos al Mar Menor, esta nueva Ley 3/2020 tiene un enfoque integral que abarca diversos sectores materiales, aunque con un ámbito territorial limitado (según el art. 2.1 “[c]on carácter general, esta ley será de aplicación al Mar Menor y, total o parcialmente, a los términos municipales de San Pedro del Pinatar, San Javier, Los Alcázares, Torre Pacheco, Fuente Álamo de Murcia, Cartagena, La Unión, Murcia, Alhama de Murcia y Mazarrón”). Enfoque integral u omnicomprensivo que no debe confundirse con total o general, ya que ley se limita a introducir en el sistema normativo “únicamente aquellas particularidades que resultan justificadas en razón del objeto específico que persigue: la protección y recuperación del estado ambiental del Mar Menor y de sus servicios ecosistémicos” (preámbulo, apartado V), en ejercicio de las competencias autonómicas sobre ordenación del territorio y del litoral (art. 10.2 EARM), turismo (art. 10.17 EARM), minería (con respeto a las bases estatales, arts. 149.1.25 CE y 11.4 EARM), agricultura (art. 10.6 EARM), regadíos de intereses de la comunidad autónoma (art. 10.7 EARM) y protección del medio ambiente y espacios protegidos, con respeto a las normas básicas de protección dictadas por el Estado (arts. 149.1.23 CE y 11, apartados 2 y 3, EARM).</w:t>
      </w:r>
    </w:p>
    <w:p w:rsidR="005728DD" w:rsidRDefault="005728DD" w:rsidP="005728DD">
      <w:pPr>
        <w:pStyle w:val="TextoNormal"/>
      </w:pPr>
    </w:p>
    <w:p w:rsidR="005728DD" w:rsidRDefault="005728DD" w:rsidP="005728DD">
      <w:pPr>
        <w:pStyle w:val="TextoNormal"/>
      </w:pPr>
      <w:r>
        <w:t>Este enfoque integral de la ley se manifiesta en la habilitación al Gobierno regional para que promueva (“promoverá”, art. 5) la creación de una comisión interadministrativa integrada por representantes de la administración general del Estado, de la comunidad autónoma y de los ayuntamientos afectados para coordinar las políticas y actuaciones públicas que afecten al Mar Menor. Y en la creación, ya en el seno de la comunidad autónoma, de diversos órganos para diseñar y valorar medidas de protección con una perspectiva general: el consejo del Mar Menor, un comité de asesoramiento científico integrado por personal técnico, que participará en aquel junto con representantes de la administración autonómica y de la sociedad civil, de acuerdo con lo que determine el consejo de Gobierno mediante decreto, y una comisión interdepartamental (arts. 7 a 9).</w:t>
      </w:r>
    </w:p>
    <w:p w:rsidR="005728DD" w:rsidRDefault="005728DD" w:rsidP="005728DD">
      <w:pPr>
        <w:pStyle w:val="TextoNormal"/>
      </w:pPr>
    </w:p>
    <w:p w:rsidR="005728DD" w:rsidRDefault="005728DD" w:rsidP="005728DD">
      <w:pPr>
        <w:pStyle w:val="TextoNormal"/>
      </w:pPr>
      <w:r>
        <w:lastRenderedPageBreak/>
        <w:t>Este enfoque se manifiesta también —y aquí comenzamos la referencia a los concretos preceptos impugnados, a los que ceñiremos en adelante esta exposición— en la regulación del plan de ordenación territorial de la cuenca vertiente del Mar Menor, que debe aprobarse en un plazo de tres años desde la entrada en vigor de la ley, y cuyo ámbito territorial comprenderá “la cuenca vertiente del Mar Menor (zonas 1 y 2), tal como viene definida en el anexo I, así como La Manga del Mar Menor”, y tendrá como objetivos “adaptar” los usos agrícolas que vienen siendo desarrollados en la zona “ a usos de carácter sostenible, forestal y turístico” y en general regular el uso del suelo (art. 15, impugnado).</w:t>
      </w:r>
    </w:p>
    <w:p w:rsidR="005728DD" w:rsidRDefault="005728DD" w:rsidP="005728DD">
      <w:pPr>
        <w:pStyle w:val="TextoNormal"/>
      </w:pPr>
    </w:p>
    <w:p w:rsidR="005728DD" w:rsidRDefault="005728DD" w:rsidP="005728DD">
      <w:pPr>
        <w:pStyle w:val="TextoNormal"/>
      </w:pPr>
      <w:r>
        <w:t>La ley diferencia luego medidas de protección en función de la delimitación de dos zonas, de acuerdo con lo que dispone el art. 2.2 (impugnado), que dice: “A efectos de la aplicación de las medidas previstas en los artículos 17, 20 y 24, el capítulo V [arts. 26 a 54], la sección primera del capítulo VI [arts. 55 a 58], la disposición adicional segunda y las disposiciones transitorias tercera y cuarta, se diferencian dos zonas, zona 1 y zona 2, cuya delimitación se lleva a cabo en el anexo I” (anexo este también impugnado).</w:t>
      </w:r>
    </w:p>
    <w:p w:rsidR="005728DD" w:rsidRDefault="005728DD" w:rsidP="005728DD">
      <w:pPr>
        <w:pStyle w:val="TextoNormal"/>
      </w:pPr>
    </w:p>
    <w:p w:rsidR="005728DD" w:rsidRDefault="005728DD" w:rsidP="005728DD">
      <w:pPr>
        <w:pStyle w:val="TextoNormal"/>
      </w:pPr>
      <w:r>
        <w:t>En ambas zonas se prevé la progresiva transformación de la actividad agrícola en una agricultura sostenible (art. 27) y además obligaciones específicas paras los propietarios o usuarios del suelo, como la prohibición de transformaciones de terrenos de secano a regadío salvo que estén amparadas por un derecho de aprovechamiento de aguas anterior a la ley (art. 28.1), el sometimiento a autorización administrativa de nuevas superficies de cultivo de secano, con el objeto de controlar la contaminación por nitratos (art. 28.2), la obligación de establecer estructuras vegetales de conservación y fajas de vegetación para la retención y regulación de aguas y escorrentías (art. 36), la obligación de destinar el 5 por 100 de la superficie a sistemas de retención de nutrientes (art. 37), la obligación de seguir, en las operaciones de cultivo, las curvas de nivel según la orografía del terreno (art. 38), la limitación de los ciclos de cultivo, con dos anuales como máximo con la excepción de cultivos hortícolas de hojas de ciclo inferior a cuarenta y cinco días, para los que se permiten tres ciclos anuales (art. 39), limitaciones de uso de determinados fertilizantes (art. 40) y la obligación de adoptar medidas de protección en los casos en que el terreno deje de cultivarse (art. 44).</w:t>
      </w:r>
    </w:p>
    <w:p w:rsidR="005728DD" w:rsidRDefault="005728DD" w:rsidP="005728DD">
      <w:pPr>
        <w:pStyle w:val="TextoNormal"/>
      </w:pPr>
    </w:p>
    <w:p w:rsidR="005728DD" w:rsidRDefault="005728DD" w:rsidP="005728DD">
      <w:pPr>
        <w:pStyle w:val="TextoNormal"/>
      </w:pPr>
      <w:r>
        <w:t>En la zona 1 el estándar de protección es más elevado: solo se permite agricultura sostenible y de precisión (art. 50) y se establecen limitaciones adicionales relativas al ciclo de cultivo (art. 51), al uso de fertilizantes (art. 52) y al riego (art. 53), así como otras que puedan adoptarse en el programa de actuación aplicable a la zona vulnerable a la contaminación por nitratos del Campo de Cartagena (art. 54).</w:t>
      </w:r>
    </w:p>
    <w:p w:rsidR="005728DD" w:rsidRDefault="005728DD" w:rsidP="005728DD">
      <w:pPr>
        <w:pStyle w:val="TextoNormal"/>
      </w:pPr>
    </w:p>
    <w:p w:rsidR="005728DD" w:rsidRDefault="005728DD" w:rsidP="005728DD">
      <w:pPr>
        <w:pStyle w:val="TextoNormal"/>
      </w:pPr>
      <w:r>
        <w:t>El recurso se extiende a diversos apartados y subapartados de los arts. 81 y 83, que establecen las correlativas infracciones y sanciones por incumplimiento de las obligaciones dichas, y a las disposiciones transitorias tercera y cuarta sobre los plazos de entrada en vigor de las limitaciones de las diferentes zonas y la aplicación obligatoria del Código de buenas prácticas agrarias de la Región de Murcia.</w:t>
      </w:r>
    </w:p>
    <w:p w:rsidR="005728DD" w:rsidRDefault="005728DD" w:rsidP="005728DD">
      <w:pPr>
        <w:pStyle w:val="TextoNormal"/>
      </w:pPr>
    </w:p>
    <w:p w:rsidR="005728DD" w:rsidRDefault="005728DD" w:rsidP="005728DD">
      <w:pPr>
        <w:pStyle w:val="TextoNormal"/>
      </w:pPr>
      <w:r>
        <w:t>Todos los artículos impugnados han sido transcritos en el apartado de los antecedentes; en lo sucesivo se hará referencia a ellos solamente en la medida necesaria para el razonamiento del tribunal.</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xml:space="preserve">. </w:t>
      </w:r>
      <w:r w:rsidRPr="005728DD">
        <w:rPr>
          <w:i/>
        </w:rPr>
        <w:t>Motivos competenciales de carácter general: invasión por la ley impugnada de un espacio vedado reservado al Estado</w:t>
      </w:r>
      <w:r>
        <w:t>.</w:t>
      </w:r>
    </w:p>
    <w:p w:rsidR="005728DD" w:rsidRDefault="005728DD" w:rsidP="005728DD">
      <w:pPr>
        <w:pStyle w:val="TextoNormal"/>
      </w:pPr>
    </w:p>
    <w:p w:rsidR="005728DD" w:rsidRDefault="005728DD" w:rsidP="005728DD">
      <w:pPr>
        <w:pStyle w:val="TextoNormal"/>
      </w:pPr>
      <w:r>
        <w:t>En los dos motivos competenciales generales antes aludidos los recurrentes sostienen que solo al Estado correspondía aprobar una norma como la impugnada, de acuerdo con dos órdenes de consideraciones. En primer lugar, sostienen que las limitaciones a la propiedad agraria de acuerdo con su función social que efectúan los preceptos impugnados solo podía realizarlas el Estado conforme al art. 149.1.1 CE y son además legislación civil del art. 149.1.8 CE.Y en segundo lugar, defienden que la importancia que la agricultura tiene para la economía nacional (representa, dicen, el 10,6 por 100 del producto interior bruto y el 14,2 por 100 del empleo nacional y equilibra con sus exportaciones la balanza comercial española por valor de 17430 millones de euros) justifica igualmente esa reserva, de acuerdo con el art. 149.1.13 CE. Una importancia acreditada por el Decreto 693/1972, de 9 de marzo, por el que se declaran de alto interés nacional las actuaciones del IRYDA en el campo de Cartagena, y por las “asignaciones en el horizonte 2021 para regadío” efectuadas en el vigente plan hidrológico de la demarcación hidrográfica del Segura (art. 14.8 del anexo X del Real Decreto 1/2016, de 8 de enero), vinculada esta última disposición a la competencia sobre legislación y ordenación de recursos y aprovechamientos hidráulicos supracomunitarios (art. 149.1.22 CE).</w:t>
      </w:r>
    </w:p>
    <w:p w:rsidR="005728DD" w:rsidRDefault="005728DD" w:rsidP="005728DD">
      <w:pPr>
        <w:pStyle w:val="TextoNormal"/>
      </w:pPr>
    </w:p>
    <w:p w:rsidR="005728DD" w:rsidRDefault="005728DD" w:rsidP="005728DD">
      <w:pPr>
        <w:pStyle w:val="TextoNormal"/>
      </w:pPr>
      <w:r>
        <w:t>Comenzando por esta última alegación, y sin necesidad de entrar a valorar las concretas cifras aportadas por los recurrentes, puede admitirse con carácter general que la agricultura es un valioso recurso nacional, lo que puede legitimar actuaciones del Estado sobre ese recurso al amparo de su competencia del art. 149.1.13 CE que, según doctrina constitucional reiterada, permite al Estado fijar las líneas directrices y los criterios globales de ordenación de sectores económicos concretos para alcanzar objetivos de política económica, como se apreció, por ejemplo, para el sector del transporte en la STC 118/1996, de 27 de junio, FJ 10, para el mercado inmobiliario en la STC 139/2013, de 8 de julio, FJ 3, o para el concreto sector vitivinícola en la STC 34/2013, de 14 de febrero, sobre la Ley de la viña y el vino, FJ 9, en todos los casos apreciando la importancia de cada uno de esos sectores en el conjunto de la economía nacional. La propia Ley 19/1995, de 4 de julio, de modernización de las explotaciones agrarias, se ampara en este título competencial (disposición adicional primera). Pero lo que no permite esa relevancia económica es que este tribunal pueda suplir a los órganos políticos del Estado en ejercicio de sus competencias para considerar por sí mismo la importancia estratégica de ese recurso poniéndolo a cubierto de cualquier clase de actuación de las comunidades autónomas. Solo a las Cortes Generales y al Gobierno de la Nación corresponde en su caso efectuar esta valoración, no al Tribunal Constitucional.</w:t>
      </w:r>
    </w:p>
    <w:p w:rsidR="005728DD" w:rsidRDefault="005728DD" w:rsidP="005728DD">
      <w:pPr>
        <w:pStyle w:val="TextoNormal"/>
      </w:pPr>
    </w:p>
    <w:p w:rsidR="005728DD" w:rsidRDefault="005728DD" w:rsidP="005728DD">
      <w:pPr>
        <w:pStyle w:val="TextoNormal"/>
      </w:pPr>
      <w:r>
        <w:t xml:space="preserve">En realidad, lo que los recurrentes alegan es que la importancia de un sector económico —en este caso la agricultura— permitiría al Estado reservarse la competencia sobre el mismo. Pero este es un argumento que carece de relevancia jurídico-constitucional, pues se enuncia como la mera expresión de un </w:t>
      </w:r>
      <w:r w:rsidRPr="005728DD">
        <w:rPr>
          <w:i/>
        </w:rPr>
        <w:t>desiderátum</w:t>
      </w:r>
      <w:r>
        <w:t xml:space="preserve"> que se sitúa extramuros de cualquier posible control de constitucionalidad. No estamos pues ante una controversia competencial real que permita a este tribunal en ejercicio de las funciones que le son propias fijar el alcance y los límites de las respectivas competencias del Estado y la comunidad autónoma, sino ante una mera afirmación asertiva que pretende la exclusión de toda actuación autonómica en sectores de relevante importancia para la economía nacional.</w:t>
      </w:r>
    </w:p>
    <w:p w:rsidR="005728DD" w:rsidRDefault="005728DD" w:rsidP="005728DD">
      <w:pPr>
        <w:pStyle w:val="TextoNormal"/>
      </w:pPr>
    </w:p>
    <w:p w:rsidR="005728DD" w:rsidRDefault="005728DD" w:rsidP="005728DD">
      <w:pPr>
        <w:pStyle w:val="TextoNormal"/>
      </w:pPr>
      <w:r>
        <w:lastRenderedPageBreak/>
        <w:t>Así planteada, la cuestión es ajena a la tarea de control de constitucionalidad que este tribunal tiene encomendada, por lo que debe ser rechazada. El “control” de la actividad de las comunidades autónomas que ejerce este tribunal cuando esa actuación se desarrolla mediante disposiciones normativas con fuerza de ley es un control exclusivamente jurídico, de “constitucionalidad” [art. 153 a) CE] o “conformidad” con la Constitución, en terminología del art. 27 de la Ley Orgánica del Tribunal Constitucional (LOTC). Y se ejerce conforme a parámetros normativos, es decir, contrastando la disposición impugnada con la Constitución y las leyes del llamado bloque de la constitucionalidad (art. 28 LOTC), no, por tanto, con arreglo a criterios de oportunidad sustituyendo las valoraciones —o su ausencia— efectuadas por el Estado en el ejercicio de sus competencias.</w:t>
      </w:r>
    </w:p>
    <w:p w:rsidR="005728DD" w:rsidRDefault="005728DD" w:rsidP="005728DD">
      <w:pPr>
        <w:pStyle w:val="TextoNormal"/>
      </w:pPr>
    </w:p>
    <w:p w:rsidR="005728DD" w:rsidRDefault="005728DD" w:rsidP="005728DD">
      <w:pPr>
        <w:pStyle w:val="TextoNormal"/>
      </w:pPr>
      <w:r>
        <w:t>Es cierto que las “bases” de una determinada materia pueden extraerse de la normativa preconstitucional, como recuerdan los recurrentes (STC 1/2003, de 16 de enero, citada en el recurso). Pero es imprescindible para efectuar el control normativo de constitucionalidad que se trate de normas vigentes, no estándolo el Decreto 603/1972 invocado en el recurso, que agotó su eficacia una vez realizadas las obras y actuaciones del IRYDA consideradas allí de interés nacional (colonización y reorganización de la propiedad, transformación en zonas regables y concesión de ayudas públicas a los empresarios agrícolas de la zona). Esa calificación tenía por objeto realizar esas obras y transformaciones, de modo que una vez realizadas no puede deducirse de ese decreto la prohibición de que las comunidades autónomas aprueben más de cuarenta años después de su dictado leyes de protección medioambiental para esa zona. Y en cuanto a la asignación de recursos contenida en el art. 14.8 del plan hidrológico de cuenca, ya advierte el mismo art. 14, en su apartado 1, que “[e]sta asignación no garantiza la disponibilidad del recurso, ni constituye por sí sola un título habilitador para el aprovechamiento”, de modo que no puede limitar la potestad legislativa de las comunidades autónomas para regular el ejercicio de la agricultura, asumida como competencia propia en el art. 10.6 EARM, o la delimitación y regulación del uso del suelo en espacios naturales a proteger, de conformidad con sus competencias en materia de ordenación del territorio (art. 10.2 EARM) y normas adicionales de protección del medio ambiente (art. 149.1.23 CE y arts. 16 y ss. de la Ley 42/2007, de 13 de diciembre, del patrimonio natural y de la biodiversidad).</w:t>
      </w:r>
    </w:p>
    <w:p w:rsidR="005728DD" w:rsidRDefault="005728DD" w:rsidP="005728DD">
      <w:pPr>
        <w:pStyle w:val="TextoNormal"/>
      </w:pPr>
    </w:p>
    <w:p w:rsidR="005728DD" w:rsidRDefault="005728DD" w:rsidP="005728DD">
      <w:pPr>
        <w:pStyle w:val="TextoNormal"/>
      </w:pPr>
      <w:r>
        <w:t>Por lo que respecta a los otros dos títulos competenciales invocados por los recurrentes (núms. 1 y 8 del art. 149.1.1 CE), hemos dicho respecto al primero de ellos que “el artículo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de modo que la falta de invocación de una norma estatal que establezca las citadas condiciones básicas impide apreciar una invasión competencial [STC 16/2018, de 22 de febrero, FJ 8 a), con cita de otras].</w:t>
      </w:r>
    </w:p>
    <w:p w:rsidR="005728DD" w:rsidRDefault="005728DD" w:rsidP="005728DD">
      <w:pPr>
        <w:pStyle w:val="TextoNormal"/>
      </w:pPr>
    </w:p>
    <w:p w:rsidR="005728DD" w:rsidRDefault="005728DD" w:rsidP="005728DD">
      <w:pPr>
        <w:pStyle w:val="TextoNormal"/>
      </w:pPr>
      <w:r>
        <w:t xml:space="preserve">Finalmente, según doctrina consolidada de este tribunal, las limitaciones al dominio impuestas por la normativa administrativa para la protección de intereses públicos no son “legislación civil” a los efectos del art. 149.1.8 CE, sino ejercicio de la competencia sectorial, como aclaró la STC 37/1987, de 26 de marzo, sobre la ley andaluza de reforma agraria, FJ 8: “esta delimitación [de la propiedad de acuerdo con su función social conforme al art. 33.2 </w:t>
      </w:r>
      <w:r>
        <w:lastRenderedPageBreak/>
        <w:t>CE] no se opera ya solo en la legislación civil, sino también en aquellas otras leyes que cuidan principalmente de los intereses públicos a los que se vincula la propiedad privada” de modo que “resulta […] evidente que si la Comunidad Autónoma andaluza es titular de una competencia específica para legislar en materia de ‘reforma y desarrollo del sector agrario’, como efectivamente así es según dispone el art. 18.1.4 de su Estatuto de Autonomía, dicha competencia incluye la posibilidad de legislar asimismo sobre la propiedad de la tierra y su función social, dentro del territorio de Andalucía. De todo lo cual se desprende que la Ley de reforma agraria impugnada no ha invadido las competencias exclusivas que al Estado reserva el art. 149.1.8 de la Constitución”. Doctrina reiterada, entre otras, en STC 170/1989, de 19 de octubre, sobre la regulación del tanteo y retracto administrativo por la Ley de la Asamblea de Madrid que declaró el Parque Regional de la Cuenca Alta del Manzanares (FJ 6).</w:t>
      </w:r>
    </w:p>
    <w:p w:rsidR="005728DD" w:rsidRDefault="005728DD" w:rsidP="005728DD">
      <w:pPr>
        <w:pStyle w:val="TextoNormal"/>
      </w:pPr>
    </w:p>
    <w:p w:rsidR="005728DD" w:rsidRDefault="005728DD" w:rsidP="005728DD">
      <w:pPr>
        <w:pStyle w:val="TextoNormal"/>
      </w:pPr>
      <w:r>
        <w:t>Debemos concluir por todo lo anterior que la regulación de las condiciones para el ejercicio de la actividad agrícola y la protección medioambiental del Mar Menor no vulnera las competencias estatales invocadas por los recurrentes, sino que, por el contrario, es una actuación que encuentra acomodo en el acervo competencial autonómico (sin que sea ahora objeto de debate si esos condicionantes vulneran a no el contenido esencial de los derechos a la propiedad y libre empresa, perspectiva que se examina más adelante).</w:t>
      </w:r>
    </w:p>
    <w:p w:rsidR="005728DD" w:rsidRDefault="005728DD" w:rsidP="005728DD">
      <w:pPr>
        <w:pStyle w:val="TextoNormal"/>
      </w:pPr>
    </w:p>
    <w:p w:rsidR="005728DD" w:rsidRDefault="005728DD" w:rsidP="005728DD">
      <w:pPr>
        <w:pStyle w:val="TextoNormal"/>
      </w:pPr>
      <w:r>
        <w:t>Así lo afirmó ya este tribunal al enjuiciar la Ley de la Asamblea Regional de Murcia 3/1987, antes citada, de protección y armonización de usos del Mar Menor, en la STC 36/1994, de 10 de febrero, donde concluimos que la competencia prevalente era en aquel caso la de ordenación del territorio, exclusiva de la Comunidad Autónoma (arts. 148.1.3 CE y 10.2 EARM), en vista de que la finalidad de la protección del medio ambiente “se persigue a través de una técnica típicamente de planificación territorial” (FJ 4) y que “el plan es el instrumento básico y esencial de la ordenación del territorio, el elemento definidor de la actuación urbanística, sin el cual no puede concebirse el ejercicio de la competencia ordenadora del territorio” (FJ 6), doctrina plenamente aplicable al art. 15 de la ley impugnada, que regula el plan de ordenación territorial de la cuenca vertiente del Mar Menor.</w:t>
      </w:r>
    </w:p>
    <w:p w:rsidR="005728DD" w:rsidRDefault="005728DD" w:rsidP="005728DD">
      <w:pPr>
        <w:pStyle w:val="TextoNormal"/>
      </w:pPr>
    </w:p>
    <w:p w:rsidR="005728DD" w:rsidRDefault="005728DD" w:rsidP="005728DD">
      <w:pPr>
        <w:pStyle w:val="TextoNormal"/>
      </w:pPr>
      <w:r>
        <w:t>La Ley 3/2020 ahora impugnada, sin embargo, a diferencia de la Ley 3/1987, no se limita a regular el procedimiento de elaboración y aprobación y el contenido de determinados instrumentos de ordenación, sino que tiene una perspectiva integral que rebasa el mencionado título competencial, pero se mantiene igualmente dentro del espacio que el Estatuto de Autonomía y la legislación básica otorgan a la Región de Murcia para la gestión de sus intereses (arts. 2 y 137 CE). La finalidad de protección medioambiental de la Ley 3/2020, que no quiere regular solamente los usos del suelo sino muy especialmente hacerlo para recuperar la riqueza biológica y conservar el ecosistema del Mar Menor (cfr. art. 3, sobre las finalidades de la ley), ampara las medidas impugnadas en la competencia autonómica sobre “protección del medio ambiente” y “normas adicionales de protección” del art. 11.3 EARM (análogamente, STC 65/2018, de 7 de junio, sobre el plan estratégico de la utilización de la fractura hidráulica de Castilla-La Mancha, FJ 8), sin que los recurrentes hayan denunciado la vulneración de las normas básicas en la materia aprobadas por el Estado (art. 149.1.23 CE). Y el contenido de los concretos preceptos impugnados, transcritos en los antecedentes, que se dirigen principalmente a limitar la explotación agrícola del suelo ubicado en el ámbito de aplicación de la ley, ubica a estos bajo la materia agricultura, de competencia exclusiva autonómica conforme a los arts. 148.1.7 CE y 10.6 EARM.</w:t>
      </w:r>
    </w:p>
    <w:p w:rsidR="005728DD" w:rsidRDefault="005728DD" w:rsidP="005728DD">
      <w:pPr>
        <w:pStyle w:val="TextoNormal"/>
      </w:pPr>
    </w:p>
    <w:p w:rsidR="005728DD" w:rsidRDefault="005728DD" w:rsidP="005728DD">
      <w:pPr>
        <w:pStyle w:val="TextoNormal"/>
      </w:pPr>
      <w:r>
        <w:t>En definitiva, por todo lo anterior, ateniéndonos a parámetros exclusivamente normativos, no es posible apreciar el menoscabo de las competencias estatales denunciado por los recurrentes.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Motivos competenciales contra preceptos concretos</w:t>
      </w:r>
      <w:r>
        <w:t>.</w:t>
      </w:r>
    </w:p>
    <w:p w:rsidR="005728DD" w:rsidRDefault="005728DD" w:rsidP="005728DD">
      <w:pPr>
        <w:pStyle w:val="TextoNormal"/>
      </w:pPr>
    </w:p>
    <w:p w:rsidR="005728DD" w:rsidRDefault="005728DD" w:rsidP="005728DD">
      <w:pPr>
        <w:pStyle w:val="TextoNormal"/>
      </w:pPr>
      <w:r>
        <w:t>Con lo anterior quedan desestimadas las tachas generales de invasión por el legislador autonómico de un espacio vedado y reservado al Estado. Pero antes de pasar a los motivos sustantivos aun debemos dar respuesta a dos motivos competenciales singulares deducidos en el recurso contra dos preceptos concretos: el art. 28.2 y la disposición transitoria cuarta.</w:t>
      </w:r>
    </w:p>
    <w:p w:rsidR="005728DD" w:rsidRDefault="005728DD" w:rsidP="005728DD">
      <w:pPr>
        <w:pStyle w:val="TextoNormal"/>
      </w:pPr>
    </w:p>
    <w:p w:rsidR="005728DD" w:rsidRDefault="005728DD" w:rsidP="005728DD">
      <w:pPr>
        <w:pStyle w:val="TextoNormal"/>
      </w:pPr>
      <w:r>
        <w:t>a) Afirman los recurrentes que el sometimiento a autorización administrativa de la creación de nuevas superficies a cultivos de secano, o la ampliación de las existentes, impuesta por el art. 28.2 de la ley recurrida, vulnera el art. 24.1 de la Ley 22/1988, de 28 de julio, de costas, que dice que “[e]n los terrenos comprendidos en esta zona [la servidumbre de protección de 100 metros medida tierra adentro desde el límite interior de la ribera del mar] se podrán realizar sin necesidad de autorización cultivos y plantaciones”.</w:t>
      </w:r>
    </w:p>
    <w:p w:rsidR="005728DD" w:rsidRDefault="005728DD" w:rsidP="005728DD">
      <w:pPr>
        <w:pStyle w:val="TextoNormal"/>
      </w:pPr>
    </w:p>
    <w:p w:rsidR="005728DD" w:rsidRDefault="005728DD" w:rsidP="005728DD">
      <w:pPr>
        <w:pStyle w:val="TextoNormal"/>
      </w:pPr>
      <w:r>
        <w:t>La letrada del Gobierno de la Región de Murcia sostiene que el art. 24.1 LC se refiere a las autorizaciones propias de esa ley sectorial, pero que nada impide que, en ejercicio de sus competencias, la Región de Murcia pueda establecer otras autorizaciones que tengan por finalidad ámbitos de control diferentes para proteger intereses públicos cuya gestión tiene encomendada (art. 137 CE), en particular la protección del medio ambiente o la contaminación por nitratos.</w:t>
      </w:r>
    </w:p>
    <w:p w:rsidR="005728DD" w:rsidRDefault="005728DD" w:rsidP="005728DD">
      <w:pPr>
        <w:pStyle w:val="TextoNormal"/>
      </w:pPr>
    </w:p>
    <w:p w:rsidR="005728DD" w:rsidRDefault="005728DD" w:rsidP="005728DD">
      <w:pPr>
        <w:pStyle w:val="TextoNormal"/>
      </w:pPr>
      <w:r>
        <w:t xml:space="preserve">Esta compatibilidad entre autorizaciones con diferente objeto es la que se desprende de la ubicación sistemática del art. 24.1 en la Ley de costas y del encaje de esta ley en el contexto de un ordenamiento complejo como el del Estado de las autonomías. Ni la ausencia de autorización administrativa del art. 24.1 implica que cultivos y plantaciones puedan realizarse en esa zona libérrimamente y sin ningún tipo de control, ni la necesidad de contar con título administrativo de ocupación otorgado por la administración del Estado para autorizar usos en esa zona o incluso para instalaciones como edificaciones, vías de transporte o el tendido de líneas de alta tensión conforme a los arts. 26.2 y 25.3 de esa misma Ley de costas, respectivamente, significa que baste con esas autorizaciones estatales para acometer esos usos y obras, como se razonó en la STC 149/1991, FJ 3 D) c), para el art. 25.3 y STC 149/1991, FJ 3 D) d), para el art. 26.2. La propia Ley de costas establece en su disposición adicional quinta, apartado 2, que “[l]as autorizaciones y concesiones obtenidas según esta ley no eximen a sus titulares de obtener las licencias, permisos y otras autorizaciones que sean exigibles por otras disposiciones legales”, por lo que </w:t>
      </w:r>
      <w:r w:rsidRPr="005728DD">
        <w:rPr>
          <w:i/>
        </w:rPr>
        <w:t>a contrario sensu</w:t>
      </w:r>
      <w:r>
        <w:t xml:space="preserve"> debe entenderse igualmente que la ausencia de autorización administrativa prevista en el art. 24.1 de la Ley de costas se refiere exclusivamente al “título administrativo estatal para ocupar el dominio público”, en palabras de la STC 149/1991, FJ 9 D). En esta sentencia sobre la Ley de costas y en otras muchas, este tribunal ha insistido en la compatibilidad entre competencias concurrentes, del Estado y la comunidad autónoma, sobre un mismo espacio físico, siempre que cada una se mantenga dentro de sus límites sin interferir ni perturbar el ejercicio de la otra.</w:t>
      </w:r>
    </w:p>
    <w:p w:rsidR="005728DD" w:rsidRDefault="005728DD" w:rsidP="005728DD">
      <w:pPr>
        <w:pStyle w:val="TextoNormal"/>
      </w:pPr>
    </w:p>
    <w:p w:rsidR="005728DD" w:rsidRDefault="005728DD" w:rsidP="005728DD">
      <w:pPr>
        <w:pStyle w:val="TextoNormal"/>
      </w:pPr>
      <w:r>
        <w:lastRenderedPageBreak/>
        <w:t>En definitiva, las autorizaciones estatales —o su exclusión, como en el caso del art. 24.1— reguladas en la Ley de costas deben entenderse sin perjuicio de las licencias, permisos y otras autorizaciones que sean exigibles por otras normas autonómicas o incluso estatales, según el marco constitucional de distribución de competencias, para el concreto uso pretendido.</w:t>
      </w:r>
    </w:p>
    <w:p w:rsidR="005728DD" w:rsidRDefault="005728DD" w:rsidP="005728DD">
      <w:pPr>
        <w:pStyle w:val="TextoNormal"/>
      </w:pPr>
    </w:p>
    <w:p w:rsidR="005728DD" w:rsidRDefault="005728DD" w:rsidP="005728DD">
      <w:pPr>
        <w:pStyle w:val="TextoNormal"/>
      </w:pPr>
      <w:r>
        <w:t>En consecuencia, debemos concluir que la autorización administrativa regulada en el art. 28.2 de la ley impugnada no está proscrita por el art. 24.1 de la Ley de costas.</w:t>
      </w:r>
    </w:p>
    <w:p w:rsidR="005728DD" w:rsidRDefault="005728DD" w:rsidP="005728DD">
      <w:pPr>
        <w:pStyle w:val="TextoNormal"/>
      </w:pPr>
    </w:p>
    <w:p w:rsidR="005728DD" w:rsidRDefault="005728DD" w:rsidP="005728DD">
      <w:pPr>
        <w:pStyle w:val="TextoNormal"/>
      </w:pPr>
      <w:r>
        <w:t>b) En segundo lugar, denuncian los recurrentes que la aplicación “obligatoria” del Código de buenas prácticas agrarias de la Región de Murcia prevista en los apartados 1 y 3 de la disposición transitoria cuarta vulnera las competencias del Estado de los núms. 13, 22 y 23 del art. 149.1 CE por intermedio del Real Decreto 261/1996, de 16 de febrero, sobre protección de las aguas contra la contaminación producida por los nitratos procedentes de fuentes agrarias, que se ampara en estos títulos competenciales (disposición final primera).</w:t>
      </w:r>
    </w:p>
    <w:p w:rsidR="005728DD" w:rsidRDefault="005728DD" w:rsidP="005728DD">
      <w:pPr>
        <w:pStyle w:val="TextoNormal"/>
      </w:pPr>
    </w:p>
    <w:p w:rsidR="005728DD" w:rsidRDefault="005728DD" w:rsidP="005728DD">
      <w:pPr>
        <w:pStyle w:val="TextoNormal"/>
      </w:pPr>
      <w:r>
        <w:t>El Real Decreto 261/1996 invocado por los recurrentes habilita a las Comunidades Autónomas a aprobar Códigos de buenas prácticas agrarias “que los agricultores podrán poner en práctica de forma voluntaria con la finalidad de reducir la contaminación producida por los nitratos de origen agrario” (art. 5.1). La conversión de ese código de aplicación voluntaria en obligatorio vulnera según los recurrentes el citado precepto, y es en consecuencia inconstitucional.</w:t>
      </w:r>
    </w:p>
    <w:p w:rsidR="005728DD" w:rsidRDefault="005728DD" w:rsidP="005728DD">
      <w:pPr>
        <w:pStyle w:val="TextoNormal"/>
      </w:pPr>
    </w:p>
    <w:p w:rsidR="005728DD" w:rsidRDefault="005728DD" w:rsidP="005728DD">
      <w:pPr>
        <w:pStyle w:val="TextoNormal"/>
      </w:pPr>
      <w:r>
        <w:t>El Real Decreto 261/1996 traspone al derecho español la Directiva 91/676/CEE, de 12 de diciembre, relativa a la protección de las aguas contra la contaminación producida por nitratos de origen agrícola (directiva de nitratos), que impone a los Estados miembros la obligación de identificar las aguas que se hallen afectadas por la contaminación por nitratos de esta procedencia y, cuando estas superen determinado umbral, calificarlas de “zonas vulnerables” y aprobar para ellas “programas de actuación” con la finalidad de eliminar o minimizar los efectos de los nitratos sobre las aguas. Esta obligación de derecho europeo se plasma en el art. 6 del Real Decreto, que dispone que en tales “zonas vulnerables” los órganos competentes de las comunidades autónomas “establecerán programas de actuación” de carácter obligatorio “con objeto de prevenir y reducir la contaminación por nitratos”. Quiere ello decir, en definitiva, que la habilitación a las comunidades autónomas para aprobar estos códigos voluntarios de buenas prácticas contenida en el art. 5 del Real Decreto no puede leerse aisladamente, ni desconectada del art. 6, ni puede en consecuencia impedir a aquellas ejercer sus competencias estatutariamente asumidas y legislar sobre “zonas vulnerables” —por emplear la terminología del Real Decreto en cuestión— para aprobar los “programas de actuación” sobre ellas de acuerdo con el art. 6.</w:t>
      </w:r>
    </w:p>
    <w:p w:rsidR="005728DD" w:rsidRDefault="005728DD" w:rsidP="005728DD">
      <w:pPr>
        <w:pStyle w:val="TextoNormal"/>
      </w:pPr>
    </w:p>
    <w:p w:rsidR="005728DD" w:rsidRDefault="005728DD" w:rsidP="005728DD">
      <w:pPr>
        <w:pStyle w:val="TextoNormal"/>
      </w:pPr>
      <w:r>
        <w:t xml:space="preserve">A la aprobación de este “programa de actuación” (obligatorio) para la “zona vulnerable” del Campo de Cartagena se refiere el apartado 2 de la disposición transitoria cuarta impugnada, diciendo simplemente que “incorporará aquellas medidas previstas en el Código de buenas prácticas agrarias que resulten procedentes de conformidad con lo previsto en el artículo 7 del Real Decreto 261/1996”, que regula las “medidas a incorporar en los programas de actuación” sobre zonas vulnerables. Simple anuncio de medidas “procedentes” que, por definición, no puede producir vulneración competencial alguna. Y en cuanto a la aplicación transitoria y obligatoria del Código de Buenas Prácticas hasta la entrada en vigor del </w:t>
      </w:r>
      <w:r>
        <w:lastRenderedPageBreak/>
        <w:t>programa de actuación específico para la zona vulnerable del Campo de Cartagena prevista en los apartados 1 y 3 de la disposición impugnada, la propia calificación del Campo de Cartagena como “zona vulnerable” encuadra la medida en el art. 6 del Real Decreto 261/1996, y no en el art. 5 invocado por los recurrentes, y justifica la imposición de medidas de obligatorio cumplimiento sobre ella de conformidad con la propia sistemática del Real Decreto 261/1996. De modo que no es posible apreciar la vulneración competencial alegada.</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Motivos sustantivos (I): arbitrariedad de la ley</w:t>
      </w:r>
      <w:r>
        <w:t>.</w:t>
      </w:r>
    </w:p>
    <w:p w:rsidR="005728DD" w:rsidRDefault="005728DD" w:rsidP="005728DD">
      <w:pPr>
        <w:pStyle w:val="TextoNormal"/>
      </w:pPr>
    </w:p>
    <w:p w:rsidR="005728DD" w:rsidRDefault="005728DD" w:rsidP="005728DD">
      <w:pPr>
        <w:pStyle w:val="TextoNormal"/>
      </w:pPr>
      <w:r>
        <w:t>En su examen individualizado de los artículos impugnados, comienzan los recurrentes denunciando la arbitrariedad del art. 2.2 y el anexo I de la ley. Como ya se ha expuesto, el primero diferencia, a los efectos de aplicación de algunas de las medidas previstas en la ley, dos zonas, la zona 1 y la zona 2, delimitadas en el anexo 1 que contiene un plano con las líneas de demarcación anunciadas en el articulado.</w:t>
      </w:r>
    </w:p>
    <w:p w:rsidR="005728DD" w:rsidRDefault="005728DD" w:rsidP="005728DD">
      <w:pPr>
        <w:pStyle w:val="TextoNormal"/>
      </w:pPr>
    </w:p>
    <w:p w:rsidR="005728DD" w:rsidRDefault="005728DD" w:rsidP="005728DD">
      <w:pPr>
        <w:pStyle w:val="TextoNormal"/>
      </w:pPr>
      <w:r>
        <w:t>Para los recurrentes, la delimitación de la zona 1, donde las restricciones a la actividad agrícola son más intensas, incurre en arbitrariedad proscrita por el art. 9.3 CE porque el preámbulo justifica la delimitación aludiendo únicamente a su “cercanía” o “proximidad” con el Mar Menor, que “entraña un mayor riesgo de contaminación”, cuando lo cierto es que la zonificación efectuada en el anexo I comprende un área cuya anchura varía considerablemente, desde los 800 metros en la zona norte, siguiendo el trazado de la autopista AP-7, hasta los 12 kilómetros de la zona sur, en que el plano abandona ese trazado.</w:t>
      </w:r>
    </w:p>
    <w:p w:rsidR="005728DD" w:rsidRDefault="005728DD" w:rsidP="005728DD">
      <w:pPr>
        <w:pStyle w:val="TextoNormal"/>
      </w:pPr>
    </w:p>
    <w:p w:rsidR="005728DD" w:rsidRDefault="005728DD" w:rsidP="005728DD">
      <w:pPr>
        <w:pStyle w:val="TextoNormal"/>
      </w:pPr>
      <w:r>
        <w:t>La representación del Gobierno regional reconoce que la delimitación de la zona 1 efectuada por el legislador “no ha seguido únicamente el criterio de la cercanía” con el Mar Menor, pero recuerda que esa misma delimitación de la zona 1 fue ya efectuada en la Ley 1/2018, de 7 de febrero, de medidas para garantizar la sostenibilidad ambiental en el entorno del Mar Menor (derogada por la ley impugnada pero que ésta toma “como punto de partida” en palabras de su preámbulo para introducir adecuaciones técnicas y nuevos requerimientos a las explotaciones agrícolas) cuyo anexo describía detalladamente esta zona aludiendo a la presencia de accidentes topográficos naturales, como humedales y cabezos naturales, o artificiales, como trazado de carreteras y autopistas, la existencia de explotaciones mineras y sus pendientes y estériles o la circunstancia de tratarse de terrenos de drenaje de ramblas.</w:t>
      </w:r>
    </w:p>
    <w:p w:rsidR="005728DD" w:rsidRDefault="005728DD" w:rsidP="005728DD">
      <w:pPr>
        <w:pStyle w:val="TextoNormal"/>
      </w:pPr>
    </w:p>
    <w:p w:rsidR="005728DD" w:rsidRDefault="005728DD" w:rsidP="005728DD">
      <w:pPr>
        <w:pStyle w:val="TextoNormal"/>
      </w:pPr>
      <w:r>
        <w:t>Efectivamente, en el anexo 1 de esa Ley 1/2018 se puede leer:</w:t>
      </w:r>
    </w:p>
    <w:p w:rsidR="005728DD" w:rsidRDefault="005728DD" w:rsidP="005728DD">
      <w:pPr>
        <w:pStyle w:val="TextoNormal"/>
      </w:pPr>
    </w:p>
    <w:p w:rsidR="005728DD" w:rsidRDefault="005728DD" w:rsidP="005728DD">
      <w:pPr>
        <w:pStyle w:val="TextoNormal"/>
      </w:pPr>
      <w:r>
        <w:t>“Zona 1.</w:t>
      </w:r>
    </w:p>
    <w:p w:rsidR="005728DD" w:rsidRDefault="005728DD" w:rsidP="005728DD">
      <w:pPr>
        <w:pStyle w:val="TextoNormal"/>
      </w:pPr>
    </w:p>
    <w:p w:rsidR="005728DD" w:rsidRDefault="005728DD" w:rsidP="005728DD">
      <w:pPr>
        <w:pStyle w:val="TextoNormal"/>
      </w:pPr>
      <w:r>
        <w:t>Se corresponde con los territorios ribereños más cercanos a la laguna en los que las prácticas agrarias y otras actividades humanas tienen un impacto más directo e inmediato sobre aquella; o que, por sus condiciones físicas, suponen un mayor riesgo de contaminación.</w:t>
      </w:r>
    </w:p>
    <w:p w:rsidR="005728DD" w:rsidRDefault="005728DD" w:rsidP="005728DD">
      <w:pPr>
        <w:pStyle w:val="TextoNormal"/>
      </w:pPr>
    </w:p>
    <w:p w:rsidR="005728DD" w:rsidRDefault="005728DD" w:rsidP="005728DD">
      <w:pPr>
        <w:pStyle w:val="TextoNormal"/>
      </w:pPr>
      <w:r>
        <w:t>En la mitad norte de la laguna se incluye una franja aproximada de 2 km de por medio desde la ribera, tomando como línea límite la autopista AP-7.</w:t>
      </w:r>
    </w:p>
    <w:p w:rsidR="005728DD" w:rsidRDefault="005728DD" w:rsidP="005728DD">
      <w:pPr>
        <w:pStyle w:val="TextoNormal"/>
      </w:pPr>
    </w:p>
    <w:p w:rsidR="005728DD" w:rsidRDefault="005728DD" w:rsidP="005728DD">
      <w:pPr>
        <w:pStyle w:val="TextoNormal"/>
      </w:pPr>
      <w:r>
        <w:t xml:space="preserve">En esta zona conviven unos pocos humedales y cabezos naturales, en su mayor parte protegidos, con grandes zonas urbanas e infraestructuras, y terrenos agrícolas sin dotación de agua del trasvase, englobados en la UDA 57 del Plan de Cuenca (‘Resto del Campo de </w:t>
      </w:r>
      <w:r>
        <w:lastRenderedPageBreak/>
        <w:t>Cartagena, regadío mixto de acuíferos, depuradoras y desalinizadoras’). En ella se incluye una pequeña parte de terrenos cercanos a la autopista en San Pedro del Pinatar y el área periurbana de San Javier, que están dentro del perímetro regable de la comunidad de regantes del Campo de Cartagena (CRCCt), UDA 58 del vigente Plan Hidrológico.</w:t>
      </w:r>
    </w:p>
    <w:p w:rsidR="005728DD" w:rsidRDefault="005728DD" w:rsidP="005728DD">
      <w:pPr>
        <w:pStyle w:val="TextoNormal"/>
      </w:pPr>
    </w:p>
    <w:p w:rsidR="005728DD" w:rsidRDefault="005728DD" w:rsidP="005728DD">
      <w:pPr>
        <w:pStyle w:val="TextoNormal"/>
      </w:pPr>
      <w:r>
        <w:t>En la mitad sur de la laguna por las especiales condiciones que supone la influencia de la sierra minera, las mayores pendientes y la presencia de estériles en las zonas de cabecera, se incluye toda la cuenca vertiente al Mar Menor que queda fuera del perímetro regable de la CRCCt, y también se incluyen unas 2000 hectáreas de ese perímetro regable (UDA 58) que quedan al este de la autovía Cartagena-Los Alcázares (A-37). Se trata de terrenos que en su mayor parte drenan las ramblas del Beal, Las Matildes, Trujillo, El Miedo y, en menor medida, Miranda; cauces que transportan carga sedimentaria con origen en explotaciones mineras de Cartagena y La Unión.</w:t>
      </w:r>
    </w:p>
    <w:p w:rsidR="005728DD" w:rsidRDefault="005728DD" w:rsidP="005728DD">
      <w:pPr>
        <w:pStyle w:val="TextoNormal"/>
      </w:pPr>
    </w:p>
    <w:p w:rsidR="005728DD" w:rsidRDefault="005728DD" w:rsidP="005728DD">
      <w:pPr>
        <w:pStyle w:val="TextoNormal"/>
      </w:pPr>
      <w:r>
        <w:t>Son el resto de los territorios de la cuenca vertiente al Mar Menor, situados al norte y oeste, fuera de los perímetros regables de la CRCCt.</w:t>
      </w:r>
    </w:p>
    <w:p w:rsidR="005728DD" w:rsidRDefault="005728DD" w:rsidP="005728DD">
      <w:pPr>
        <w:pStyle w:val="TextoNormal"/>
      </w:pPr>
    </w:p>
    <w:p w:rsidR="005728DD" w:rsidRDefault="005728DD" w:rsidP="005728DD">
      <w:pPr>
        <w:pStyle w:val="TextoNormal"/>
      </w:pPr>
      <w:r>
        <w:t>El límite continúa siendo la AP-7 hasta la salida 7-B (Los Beatos), donde toma la antigua carretera que sirve de límite a la comunidad de regantes del Campo de Cartagena y sigue el límite sur del sector 16, sector oriental de esa comunidad hasta salir de la cuenca vertiente al Mar Menor en el paraje de El Tejar”.</w:t>
      </w:r>
    </w:p>
    <w:p w:rsidR="005728DD" w:rsidRDefault="005728DD" w:rsidP="005728DD">
      <w:pPr>
        <w:pStyle w:val="TextoNormal"/>
      </w:pPr>
    </w:p>
    <w:p w:rsidR="005728DD" w:rsidRDefault="005728DD" w:rsidP="005728DD">
      <w:pPr>
        <w:pStyle w:val="TextoNormal"/>
      </w:pPr>
      <w:r>
        <w:t>En relación con las denuncias de arbitrariedad del legislador, este tribunal ha mantenido una constante jurisprudencia, recordada entre otras en las recientes SSTC 149/2020, de 22 de octubre, FJ 6, y 98/2018, de 19 de septiembre, FJ 5, según la cual “la calificación de arbitraria dada a una ley exige una cierta prudencia, toda vez que [la ley] es la expresión de la voluntad popular, por lo que su control de constitucionalidad debe ejercerse sin imponer constricciones indebidas al poder legislativo y respetando sus opciones políticas”, debiendo por tanto centrarse el tribunal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 De manera que […]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(citas y comillas interiores suprimidas).</w:t>
      </w:r>
    </w:p>
    <w:p w:rsidR="005728DD" w:rsidRDefault="005728DD" w:rsidP="005728DD">
      <w:pPr>
        <w:pStyle w:val="TextoNormal"/>
      </w:pPr>
    </w:p>
    <w:p w:rsidR="005728DD" w:rsidRDefault="005728DD" w:rsidP="005728DD">
      <w:pPr>
        <w:pStyle w:val="TextoNormal"/>
      </w:pPr>
      <w:r>
        <w:t>De acuerdo con esta jurisprudencia, y a la vista de la explicación ofrecida en el anexo de la Ley de la Asamblea Regional de Murcia 1/2018 para delimitar la zona 1, que se mantiene idéntica en la Ley 3/2020, la denuncia de arbitrariedad debe ser desestimada.</w:t>
      </w:r>
    </w:p>
    <w:p w:rsidR="005728DD" w:rsidRDefault="005728DD" w:rsidP="005728DD">
      <w:pPr>
        <w:pStyle w:val="TextoNormal"/>
      </w:pPr>
    </w:p>
    <w:p w:rsidR="005728DD" w:rsidRDefault="005728DD" w:rsidP="005728DD">
      <w:pPr>
        <w:pStyle w:val="TextoNormal"/>
      </w:pPr>
      <w:r>
        <w:t xml:space="preserve">Esta misma argumentación sirve, </w:t>
      </w:r>
      <w:r w:rsidRPr="005728DD">
        <w:rPr>
          <w:i/>
        </w:rPr>
        <w:t>mutatis mutandis</w:t>
      </w:r>
      <w:r>
        <w:t xml:space="preserve">, para desestimar también todas aquellas denuncias que se efectúan contra otros preceptos de la ley señalando que “carecen de sentido”, de “explicación racional” o de “justificación técnica”, o “no se entienden”, o que sus medidas no están “suficientemente avaladas” por datos técnicos (por ejemplo, arts. 15, </w:t>
      </w:r>
      <w:r>
        <w:lastRenderedPageBreak/>
        <w:t>27, 29, 39, o 50 a 54). Como hemos dicho reiteradamente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(SSTC 215/2016, de 15 de diciembre, FJ 3, y 191/2016, de 15 de noviembre, FJ 3, entre otras). Por lo mismo, tampoco corresponde a este tribunal enjuiciar las opciones de política legislativa o la bondad técnica, oportunidad, idoneidad o eficacia de las medidas aprobadas por el legislador (por todos, ATC 43/2014, de 12 de febrero, FJ 4, sobre la reforma laboral de 2012). El legislador democrático no está sujeto a las determinaciones o valoraciones técnicas que puedan ofrecer expertos o peritos en la materia sobre la que pretende legislar, ni pueden los recurrentes pretender en esta sede sustituir la ponderación de los intereses en conflicto —particulares y colectivos, económicos y ambientales— efectuadas por aquel al aprobar la ley por las suyas propias. El único control que puede ejercer este tribunal es, como ya se ha dicho, de “constitucionalidad” conforme a parámetros normativos [arts. 153 a) CE y 28.1 LOTC] y a falta de ellos las denuncias de arbitrariedad deben ser desestimadas.</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Motivos sustantivos (y II): regulación de los usos agrícolas. Canon de constitucionalidad</w:t>
      </w:r>
      <w:r>
        <w:t>.</w:t>
      </w:r>
    </w:p>
    <w:p w:rsidR="005728DD" w:rsidRDefault="005728DD" w:rsidP="005728DD">
      <w:pPr>
        <w:pStyle w:val="TextoNormal"/>
      </w:pPr>
    </w:p>
    <w:p w:rsidR="005728DD" w:rsidRDefault="005728DD" w:rsidP="005728DD">
      <w:pPr>
        <w:pStyle w:val="TextoNormal"/>
      </w:pPr>
      <w:r>
        <w:t>El último grupo de motivos, que se dirige individualmente contra cada uno de los preceptos impugnados, plantea la misma tacha en relación con todos ellos: que las “restricciones” que impone cada uno de ellos sobre los derechos de propiedad (art. 33 CE) y libre empresa (art. 38 CE) suponen “injerencias” en esos derechos sometidas por tanto al principio de proporcionalidad al que en su opinión deben someterse todas las restricciones de “cualquier” derecho constitucional para ser constitucionalmente válidas, y que no superan su cribado conforme a ese canon. Se refieren, en particular, a que las concretas medidas y restricciones establecidas en los distintos preceptos de la ley, antes aludidas (sucintamente: la obligación de pasar de usos agrícolas a otros de carácter sostenible, la prohibición de usar fertilizantes, la limitación de los ciclos de cultivo, la obligación de reservar terreno para estructuras vegetales de conservación o para superficies de retención de nutrientes, la obligación de seguir las curvas de nivel, o la obligación de restituir el terreno a un estado natural en caso de abandono de cultivo) son de reducida o incluso nula eficacia para evitar el arrastre de nutrientes hacia el Mar Menor que la ley quiere prevenir, y en cambio perjudican seria e intensamente a la actividad agrícola produciendo graves quebrantos sociales y económicos, de modo que en su lugar serían preferibles otras medidas más eficaces para la protección medioambiental y menos lesivas de los intereses económicos implicados, como potenciar “adecuados sistemas de drenaje” e imponer “correctas prácticas agrícolas” que ajusten el uso de fertilizantes a las necesidades de cada tipo de cultivo de modo que no se produzcan sobrantes que viertan sobre el Mar Menor.</w:t>
      </w:r>
    </w:p>
    <w:p w:rsidR="005728DD" w:rsidRDefault="005728DD" w:rsidP="005728DD">
      <w:pPr>
        <w:pStyle w:val="TextoNormal"/>
      </w:pPr>
    </w:p>
    <w:p w:rsidR="005728DD" w:rsidRDefault="005728DD" w:rsidP="005728DD">
      <w:pPr>
        <w:pStyle w:val="TextoNormal"/>
      </w:pPr>
      <w:r>
        <w:t>Comoquiera que la premisa sobre la que descansa el motivo, a saber, la aplicación del principio de proporcionalidad a las cargas, límites u obligaciones impuestas al ejercicio de estos derechos de contenido patrimonial, es controvertida por la letrada del Gobierno regional en defensa de los preceptos impugnados, y de la solución a esta cuestión dependerá el canon de constitucionalidad aplicable, es necesario detenerse preliminarmente en ella.</w:t>
      </w:r>
    </w:p>
    <w:p w:rsidR="005728DD" w:rsidRDefault="005728DD" w:rsidP="005728DD">
      <w:pPr>
        <w:pStyle w:val="TextoNormal"/>
      </w:pPr>
    </w:p>
    <w:p w:rsidR="005728DD" w:rsidRDefault="005728DD" w:rsidP="005728DD">
      <w:pPr>
        <w:pStyle w:val="TextoNormal"/>
      </w:pPr>
      <w:r>
        <w:t xml:space="preserve">Los recurrentes se refieren al test o juicio de proporcionalidad tal como fue aplicado por primera vez en la STC 66/1995, de 8 de mayo, FJ 5, que citan expresamente, y también en </w:t>
      </w:r>
      <w:r>
        <w:lastRenderedPageBreak/>
        <w:t>la STC 14/2003, de 28 de enero, FJ 9, a la que igualmente aluden. Según estas sentencias —y otras muchas de este tribunal— el juicio de proporcionalidad se compone de tres pasos sucesivos dirigidos a comprobar:</w:t>
      </w:r>
    </w:p>
    <w:p w:rsidR="005728DD" w:rsidRDefault="005728DD" w:rsidP="005728DD">
      <w:pPr>
        <w:pStyle w:val="TextoNormal"/>
      </w:pPr>
    </w:p>
    <w:p w:rsidR="005728DD" w:rsidRDefault="005728DD" w:rsidP="005728DD">
      <w:pPr>
        <w:pStyle w:val="TextoNormal"/>
      </w:pPr>
      <w:r>
        <w:t>“[S]i la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005728DD" w:rsidRDefault="005728DD" w:rsidP="005728DD">
      <w:pPr>
        <w:pStyle w:val="TextoNormal"/>
      </w:pPr>
    </w:p>
    <w:p w:rsidR="005728DD" w:rsidRDefault="005728DD" w:rsidP="005728DD">
      <w:pPr>
        <w:pStyle w:val="TextoNormal"/>
      </w:pPr>
      <w:r>
        <w:t>Se trata de dos sentencias dictadas en recursos de amparo, aunque el principio de proporcionalidad ha sido también aplicado en procesos de control de constitucionalidad de las leyes (entre las más recientes, STC 172/2020, de 19 de noviembre, FJ 4, para los registros corporales regulados en la Ley Orgánica de protección de la seguridad ciudadana, o STC 99/2019, de 18 de julio, FJ 6, sobre la ley que no permitía el cambio de nombre y sexo de menores transexuales en el Registro Civil). Sin embargo, como recuerda la primera sentencia citada, se trata de un principio que es “en el ámbito de los derechos fundamentales en el que normalmente y de forma muy particular resulta aplicable” (STC 172/2020, FJ 4, con cita de la STC 215/2016, de 15 de diciembre, FJ 8, que rechazó su aplicación).</w:t>
      </w:r>
    </w:p>
    <w:p w:rsidR="005728DD" w:rsidRDefault="005728DD" w:rsidP="005728DD">
      <w:pPr>
        <w:pStyle w:val="TextoNormal"/>
      </w:pPr>
    </w:p>
    <w:p w:rsidR="005728DD" w:rsidRDefault="005728DD" w:rsidP="005728DD">
      <w:pPr>
        <w:pStyle w:val="TextoNormal"/>
      </w:pPr>
      <w:r>
        <w:t>Por el contrario, cuando de se trata de acomodar la explotación económica de bienes o empresas a intereses colectivos, este tribunal ha reconocido al legislador un amplio margen de apreciación sobre la necesidad, los objetivos y las consecuencias de sus disposiciones. En concreto, en la STC 16/2018, de 22 de febrero, sobre la Ley foral de vivienda, los recurrentes solicitaron la declaración de inconstitucionalidad de la delimitación de la función social de la vivienda efectuada por el legislador autonómico en aplicación del principio de proporcionalidad, a lo cual respondió este tribunal, expresamente, que:</w:t>
      </w:r>
    </w:p>
    <w:p w:rsidR="005728DD" w:rsidRDefault="005728DD" w:rsidP="005728DD">
      <w:pPr>
        <w:pStyle w:val="TextoNormal"/>
      </w:pPr>
    </w:p>
    <w:p w:rsidR="005728DD" w:rsidRDefault="005728DD" w:rsidP="005728DD">
      <w:pPr>
        <w:pStyle w:val="TextoNormal"/>
      </w:pPr>
      <w:r>
        <w:t xml:space="preserve">“[A] diferencia de lo sostenido en la demanda, este tribunal aprecia que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asunto </w:t>
      </w:r>
      <w:r w:rsidRPr="005728DD">
        <w:rPr>
          <w:i/>
        </w:rPr>
        <w:t>James y otros c. Reino Unido</w:t>
      </w:r>
      <w:r>
        <w:t>, 21 de febrero de 1986, § 50), teniendo en cuenta que en las decisiones de índole social y económica se reconoce al legislador un amplio margen de apreciación sobre la necesidad, los fines y las consecuencias de sus disposiciones (</w:t>
      </w:r>
      <w:r w:rsidRPr="005728DD">
        <w:rPr>
          <w:i/>
        </w:rPr>
        <w:t>inter alia</w:t>
      </w:r>
      <w:r>
        <w:t xml:space="preserve">, asuntos </w:t>
      </w:r>
      <w:r w:rsidRPr="005728DD">
        <w:rPr>
          <w:i/>
        </w:rPr>
        <w:t>James y otros c. Reino Unido</w:t>
      </w:r>
      <w:r>
        <w:t xml:space="preserve">, 21 de febrero de 1986, § 46; </w:t>
      </w:r>
      <w:r w:rsidRPr="005728DD">
        <w:rPr>
          <w:i/>
        </w:rPr>
        <w:t>ex Rey de Grecia y otros c. Grecia</w:t>
      </w:r>
      <w:r>
        <w:t xml:space="preserve">, 23 de noviembre de 2000, § 87; </w:t>
      </w:r>
      <w:r w:rsidRPr="005728DD">
        <w:rPr>
          <w:i/>
        </w:rPr>
        <w:t>Broniowski c. Polonia</w:t>
      </w:r>
      <w:r>
        <w:t>, 22 de junio de 2004, § 149)” (STC 16/2018, FJ 17, jurisprudencia reiterada en la STC 32/2018, de 12 de abril, sobre la Ley de vivienda de Andalucía).</w:t>
      </w:r>
    </w:p>
    <w:p w:rsidR="005728DD" w:rsidRDefault="005728DD" w:rsidP="005728DD">
      <w:pPr>
        <w:pStyle w:val="TextoNormal"/>
      </w:pPr>
    </w:p>
    <w:p w:rsidR="005728DD" w:rsidRDefault="005728DD" w:rsidP="005728DD">
      <w:pPr>
        <w:pStyle w:val="TextoNormal"/>
      </w:pPr>
      <w:r>
        <w:t>De la misma manera cuando se trata de controlar la constitucionalidad de las leyes desde la perspectiva de la libertad de empresa constitucionalmente garantizada, este tribunal ha aplicado el canon de la “razonabilidad”, y no el de la proporcionalidad en sentido estricto; por todas, STC 111/2017, de 5 de octubre, FJ 4 b):</w:t>
      </w:r>
    </w:p>
    <w:p w:rsidR="005728DD" w:rsidRDefault="005728DD" w:rsidP="005728DD">
      <w:pPr>
        <w:pStyle w:val="TextoNormal"/>
      </w:pPr>
    </w:p>
    <w:p w:rsidR="005728DD" w:rsidRDefault="005728DD" w:rsidP="005728DD">
      <w:pPr>
        <w:pStyle w:val="TextoNormal"/>
      </w:pPr>
      <w:r>
        <w:lastRenderedPageBreak/>
        <w:t>“El artículo 38 CE asegura a los individuos la libertad de intercambio comercial; esto es, la capacidad de ofrecer servicios o productos en el mercado (STC 71/2008, de 26 de febrero). Tal libertad es compatible con la regulación de condiciones; típicamente las destinadas a proteger a los consumidores, a preservar el medio ambiente, a organizar el urbanismo o a asegurar la “adecuada utilización del territorio por todos” [STC 227/1993, de 9 de julio, FJ 4 e)]. Ahora bien, el artículo 38 CE impone límites a la configuración legislativa de este tipo de condiciones por parte del Estado, las comunidades autónomas y los entes locales. Las condiciones que se establezcan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El canon ha de ser más incisivo si los requisitos o condiciones a la libertad de empresa afectan, no ya a su desarrollo o ejercicio, sino al acceso mismo al mercado (SSTC 53/2014, de 10 de abril, FJ 7; 30/2016, de 18 de febrero, FJ 6; 35/2016, de 3 de marzo, FJ 4, y 89/2017, de 4 de julio, FJ 14)”.</w:t>
      </w:r>
    </w:p>
    <w:p w:rsidR="005728DD" w:rsidRDefault="005728DD" w:rsidP="005728DD">
      <w:pPr>
        <w:pStyle w:val="TextoNormal"/>
      </w:pPr>
    </w:p>
    <w:p w:rsidR="005728DD" w:rsidRDefault="005728DD" w:rsidP="005728DD">
      <w:pPr>
        <w:pStyle w:val="TextoNormal"/>
      </w:pPr>
      <w:r>
        <w:t xml:space="preserve">Así pues, ni en la delimitación de la función social de la propiedad (art. 33.2), ni en la regulación del ejercicio de actividades económicas (art. 38), el legislador está sujeto </w:t>
      </w:r>
      <w:r w:rsidRPr="005728DD">
        <w:rPr>
          <w:i/>
        </w:rPr>
        <w:t>ex Constitutione</w:t>
      </w:r>
      <w:r>
        <w:t xml:space="preserve"> al test de proporcionalidad que invocan los recurrentes, sino a un canon de justo equilibrio, razonabilidad o adecuación de las medidas al objetivo perseguido, y al respeto del contenido esencial de ambos derechos (art. 53.1 CE).</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Contenido esencial de los derechos de propiedad y libertad de empresa</w:t>
      </w:r>
      <w:r>
        <w:t>.</w:t>
      </w:r>
    </w:p>
    <w:p w:rsidR="005728DD" w:rsidRDefault="005728DD" w:rsidP="005728DD">
      <w:pPr>
        <w:pStyle w:val="TextoNormal"/>
      </w:pPr>
    </w:p>
    <w:p w:rsidR="005728DD" w:rsidRDefault="005728DD" w:rsidP="005728DD">
      <w:pPr>
        <w:pStyle w:val="TextoNormal"/>
      </w:pPr>
      <w:r>
        <w:t>De acuerdo con la jurisprudencia de este tribunal, el contenido esencial del derecho de propiedad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Utilidad individual y función social definen, por tanto, inescindiblemente el contenido del derecho de propiedad sobre cada categoría o tipo de bienes” (STC 37/1987, de 26 de marzo, sobre la propiedad agraria, precisamente, FJ 2). Ello implica que “la previsión legal de intervenciones públicas no meramente ablatorias en la esfera de las facultades y responsabilidades del propietario” no desnaturaliza el derecho de propiedad, y que “debe ser rechazada la idea de que la previsión legal de restricciones a las otrora tendencialmente ilimitadas facultades de uso, disfrute, consumo y disposición o la imposición de deberes positivos al propietario” vulneren el contenido esencial de la propiedad, teniendo en cuenta además que “la incorporación de tales exigencias [destinadas a satisfacer necesidades colectivas] a la definición misma del derecho de propiedad responde a principios establecidos e intereses tutelados por la propia Constitución” (</w:t>
      </w:r>
      <w:r w:rsidRPr="005728DD">
        <w:rPr>
          <w:i/>
        </w:rPr>
        <w:t>ibidem</w:t>
      </w:r>
      <w:r>
        <w:t>), entre otros en su art. 45, expresamente citado en la sentencia y fundamento mencionados, precepto este que ordena a los poderes públicos velar “por la utilización racional de todos los recursos naturales, con el fin de proteger y mejorar la calidad de la vida y defender y restaurar el medio ambiente, apoyándose en la indispensable solidaridad colectiva”. Por lo tanto, conforme a nuestra jurisprudencia, el límite para el legislador en esa función de delimitación a que está llamado en el art. 33.2 es que “la traducción institucional de tales exigencias colectivas no puede llegar a anular la utilidad meramente individual del derecho” [STC 37/1987, FJ 2, y posteriormente SSTC 170/1989, de 19 de octubre, FJ 8 b); 204/2004, de 18 de noviembre, FJ 5, y 141/2014, de 11 de septiembre, FJ 9].</w:t>
      </w:r>
    </w:p>
    <w:p w:rsidR="005728DD" w:rsidRDefault="005728DD" w:rsidP="005728DD">
      <w:pPr>
        <w:pStyle w:val="TextoNormal"/>
      </w:pPr>
    </w:p>
    <w:p w:rsidR="005728DD" w:rsidRDefault="005728DD" w:rsidP="005728DD">
      <w:pPr>
        <w:pStyle w:val="TextoNormal"/>
      </w:pPr>
      <w:r>
        <w:lastRenderedPageBreak/>
        <w:t>Por lo que respecta al derecho a la libertad de empresa del art. 38, hemos dicho que “implica, fundamentalmente, el derecho a iniciar y sostener una actividad empresarial” (STC 135/2012, de 19 de junio, FJ 5, con cita de otras), pero “no es un derecho absoluto e incondicionado” y por lo tanto “su vigencia no resulta comprometida por el hecho de que existan limitaciones a su ejercicio derivadas de las reglas que disciplinen, proporcionada y razonablemente, el mercado […] [p]orque del art. 38 CE no puede derivarse sin más el derecho a acometer cualquier empresa o a ejercerla sin traba ni limitación de ningún tipo, sino solo el derecho de iniciar y sostener en libertad la actividad empresarial, cuyo ejercicio está disciplinado por normas de muy distinto orden […] o lo que es lo mismo, a ejercer esa actividad con plena sujeción a la normativa sobre ordenación del mercado y de la actividad económica general” (STC 35/2016, de 3 de marzo, FJ 3, citas y comillas interiores suprimidas).</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Aplicación del canon de constitucionalidad expuesto a los preceptos impugnados</w:t>
      </w:r>
      <w:r>
        <w:t>.</w:t>
      </w:r>
    </w:p>
    <w:p w:rsidR="005728DD" w:rsidRDefault="005728DD" w:rsidP="005728DD">
      <w:pPr>
        <w:pStyle w:val="TextoNormal"/>
      </w:pPr>
    </w:p>
    <w:p w:rsidR="005728DD" w:rsidRDefault="005728DD" w:rsidP="005728DD">
      <w:pPr>
        <w:pStyle w:val="TextoNormal"/>
      </w:pPr>
      <w:r>
        <w:t>La pretensión de inconstitucionalidad de los preceptos que establecen límites y condiciones al ejercicio de la agricultura instada por los recurrentes se ve lastrada por la inaplicación a los preceptos impugnados del principio de proporcionalidad, expresamente invocado en el recurso. Todos sus motivos contra los preceptos impugnados descansan en que las medidas previstas en ellos suponen elevadas inversiones (que no cuantifican), no están justificadas técnicamente o desplazan otras alternativas más eficaces para la protección medioambiental perseguida por el legislador, o menos lesivas para compatibilizar esa preocupación ecológica con una mayor deferencia hacia los intereses económicos sacrificados.</w:t>
      </w:r>
    </w:p>
    <w:p w:rsidR="005728DD" w:rsidRDefault="005728DD" w:rsidP="005728DD">
      <w:pPr>
        <w:pStyle w:val="TextoNormal"/>
      </w:pPr>
    </w:p>
    <w:p w:rsidR="005728DD" w:rsidRDefault="005728DD" w:rsidP="005728DD">
      <w:pPr>
        <w:pStyle w:val="TextoNormal"/>
      </w:pPr>
      <w:r>
        <w:t>Son alternativas sobre el acierto, la oportunidad o eficacia de la ley que este tribunal no debe enjuiciar, a fin de no usurpar el espacio y margen de apreciación que corresponde al legislador democrático para adaptarse a las circunstancias de cada momento, al igual que sostuvimos para el supuesto inverso (denuncias de inconstitucionalidad por rebajar una ley los umbrales de protección medioambiental de su predecesora) en la STC 233/2015, de 5 de noviembre, FJ 2 d), sobre la reforma de la Ley de costas efectuada en 2013, o en la STC 132/2017, de 14 de noviembre, FJ 4, sobre la modificación de la Ley de montes del Principado de Asturias de 2017.</w:t>
      </w:r>
    </w:p>
    <w:p w:rsidR="005728DD" w:rsidRDefault="005728DD" w:rsidP="005728DD">
      <w:pPr>
        <w:pStyle w:val="TextoNormal"/>
      </w:pPr>
    </w:p>
    <w:p w:rsidR="005728DD" w:rsidRDefault="005728DD" w:rsidP="005728DD">
      <w:pPr>
        <w:pStyle w:val="TextoNormal"/>
      </w:pPr>
      <w:r>
        <w:t xml:space="preserve">Por lo demás, tampoco las condiciones que la ley impone al ejercicio de la actividad agrícola se han demostrado de tal intensidad que permitan afirmar a este tribunal de acuerdo con parámetros normativos y pruebas ciertas que lleguen a anular la utilidad meramente individual del derecho de propiedad o a imposibilitar </w:t>
      </w:r>
      <w:r w:rsidRPr="005728DD">
        <w:rPr>
          <w:i/>
        </w:rPr>
        <w:t>de facto</w:t>
      </w:r>
      <w:r>
        <w:t xml:space="preserve"> la explotación agrícola del suelo, como denuncian los recurrentes.</w:t>
      </w:r>
    </w:p>
    <w:p w:rsidR="005728DD" w:rsidRDefault="005728DD" w:rsidP="005728DD">
      <w:pPr>
        <w:pStyle w:val="TextoNormal"/>
      </w:pPr>
    </w:p>
    <w:p w:rsidR="005728DD" w:rsidRDefault="005728DD" w:rsidP="005728DD">
      <w:pPr>
        <w:pStyle w:val="TextoNormal"/>
      </w:pPr>
      <w:r>
        <w:t xml:space="preserve">Se trata, en primer lugar, de condiciones impuestas para la consecución de un objetivo constitucionalmente legítimo, como es la defensa y restauración del medio ambiente (art. 45 CE). Se aplican, además, sobre una zona cuyo deterioro no solo no ha sido controvertido en el recurso, sino que es incluso compartido por los recurrentes en los informes que adjuntan al escrito de interposición. La propia comisión europea ha advertido a España del ejercicio de acciones judiciales para la imposición de sanciones por el incumplimiento de la directiva de nitratos (Directiva 91/676/CE del Consejo) en varias zonas, entre ellas el Mar Menor [dictamen motivado de 2 de julio de 2020, 2018/2250 C (2020) 3783 final, apartado </w:t>
      </w:r>
      <w:r>
        <w:lastRenderedPageBreak/>
        <w:t>42.4]. Y son, por último, medidas idóneas en abstracto, o “constitucionalmente adecuadas”, para alcanzar el objetivo perseguido: la defensa y restauración del medio ambiente.</w:t>
      </w:r>
    </w:p>
    <w:p w:rsidR="005728DD" w:rsidRDefault="005728DD" w:rsidP="005728DD">
      <w:pPr>
        <w:pStyle w:val="TextoNormal"/>
      </w:pPr>
    </w:p>
    <w:p w:rsidR="005728DD" w:rsidRDefault="005728DD" w:rsidP="005728DD">
      <w:pPr>
        <w:pStyle w:val="TextoNormal"/>
      </w:pPr>
      <w:r>
        <w:t>Más allá de lo anterior, el posible perfeccionamiento de esas limitaciones o la existencia de alternativas que se adapten mejor a los demás intereses implicados (económicos o de otro tipo) es tarea que corresponde primordialmente al legislador democrático, como una legítima opción política de la que responder ante los ciudadanos en elecciones, y no a la jurisdicción constitucional, que debe limitarse a enjuiciar desde parámetros normativos si la concreta opción política ejercida por el órgano legitimado para ello desborda o no los límites de lo constitucionalmente admisible. Al no ser posible apreciarlo así en este caso, el recurso de inconstitucionalidad contra los arts. 15, 27 a 29, 36 a 40, 44 y 50 a 54, y contra la disposición transitoria tercera que regula su entrada en vigor, debe ser desestimado. Desestimación que a su vez trae consigo la de los diversos apartados y subapartados de los arts. 81 y 83, que tipifican diversas infracciones y que los recurrentes impugnaban “por consecuencia o conexión” con los anteriores y “sobre la base de la misma argumentación”. Tampoco han justificado, por último, que ese régimen sancionador contenga un “patente derroche inútil de coacción que conviert[a] la norma en arbitraria y que socav[e] los principios elementales de justicia inherentes a la dignidad de la persona y al Estado de Derecho”, que es el canon que hemos empleado ante alegaciones sobre la desproporción entre las conductas infractoras y las sanciones previstas [entre las más recientes, STC 13/2021, de 28 de enero, FJ 5 b), con cita de otras anteriores].</w:t>
      </w:r>
    </w:p>
    <w:p w:rsidR="005728DD" w:rsidRDefault="005728DD" w:rsidP="005728DD">
      <w:pPr>
        <w:pStyle w:val="TextoNormal"/>
      </w:pPr>
    </w:p>
    <w:p w:rsidR="005728DD" w:rsidRDefault="005728DD" w:rsidP="005728DD">
      <w:pPr>
        <w:pStyle w:val="TextoNormal"/>
      </w:pPr>
      <w:r>
        <w:t>En consecuencia, este último motivo del recurso sobre vulneración de los arts. 33, 38 y 53.1 de la Constitución deben ser también desestimados.</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presente recurso de inconstitucionalidad.</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trece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6" w:name="SENTENCIA_2021_113"/>
      <w:r>
        <w:lastRenderedPageBreak/>
        <w:t>SENTENCIA 113/2021, de 31 de mayo de 2021</w:t>
      </w:r>
    </w:p>
    <w:bookmarkEnd w:id="116"/>
    <w:p w:rsidR="005728DD" w:rsidRDefault="005728DD" w:rsidP="005728DD">
      <w:pPr>
        <w:pStyle w:val="TtuloResolucin"/>
      </w:pPr>
      <w:r>
        <w:t>Sala Segunda</w:t>
      </w:r>
    </w:p>
    <w:p w:rsidR="005728DD" w:rsidRDefault="005728DD" w:rsidP="005728DD">
      <w:pPr>
        <w:pStyle w:val="TtuloBOE"/>
      </w:pPr>
      <w:r>
        <w:t>(BOE núm. 161, de 7 de julio de 2021)</w:t>
      </w:r>
    </w:p>
    <w:p w:rsidR="005728DD" w:rsidRDefault="005728DD" w:rsidP="005728DD">
      <w:pPr>
        <w:pStyle w:val="TextoNormalCentrado"/>
      </w:pPr>
      <w:r>
        <w:t>ECLI:ES:TC:2021:113</w:t>
      </w:r>
    </w:p>
    <w:p w:rsidR="005728DD" w:rsidRDefault="005728DD" w:rsidP="005728DD">
      <w:pPr>
        <w:pStyle w:val="TextoNormalCentrado"/>
      </w:pPr>
    </w:p>
    <w:p w:rsidR="005728DD" w:rsidRDefault="005728DD" w:rsidP="005728DD">
      <w:pPr>
        <w:pStyle w:val="SntesisDescriptiva"/>
      </w:pPr>
      <w:r>
        <w:t>Recurso de amparo 3533-2018. Promovido por doña M.S.C. respecto el auto de los autos dictados por la Audiencia Provincial de Madrid y un juzgado de primera instancia e instrucción de Getafe en procedimiento de ejecución de títulos judiciales.</w:t>
      </w:r>
    </w:p>
    <w:p w:rsidR="005728DD" w:rsidRDefault="005728DD" w:rsidP="005728DD">
      <w:pPr>
        <w:pStyle w:val="SntesisDescriptiva"/>
      </w:pPr>
    </w:p>
    <w:p w:rsidR="005728DD" w:rsidRDefault="005728DD" w:rsidP="005728DD">
      <w:pPr>
        <w:pStyle w:val="SntesisAnaltica"/>
      </w:pPr>
      <w:r>
        <w:t>Vulneración del derecho a la tutela judicial efectiva (motivación): resoluciones judiciales que ordenan el desalojo de la vivienda sin observar el deber de motivación reforzada al no ponderar la afectación a los menores y personas con discapacidad. Voto particular.</w:t>
      </w:r>
    </w:p>
    <w:p w:rsidR="005728DD" w:rsidRDefault="005728DD" w:rsidP="005728DD">
      <w:pPr>
        <w:pStyle w:val="SntesisAnaltica"/>
      </w:pPr>
    </w:p>
    <w:p w:rsidR="005728DD" w:rsidRDefault="005728DD" w:rsidP="005728DD">
      <w:pPr>
        <w:pStyle w:val="Extracto"/>
      </w:pPr>
      <w:r>
        <w:t>1.</w:t>
      </w:r>
      <w:r>
        <w:tab/>
        <w:t>Aplicación de la doctrina relativa al deber de motivación judicial reforzado de las resoluciones, en lo que se refiere a los supuestos en los que se invoca la afectación a la protección de la familia y los menores de edad  ex art. 39 CE (STC 178/2020) [FJ 2].</w:t>
      </w:r>
    </w:p>
    <w:p w:rsidR="005728DD" w:rsidRDefault="005728DD" w:rsidP="005728DD">
      <w:pPr>
        <w:pStyle w:val="Extracto"/>
      </w:pPr>
    </w:p>
    <w:p w:rsidR="005728DD" w:rsidRDefault="005728DD" w:rsidP="005728DD">
      <w:pPr>
        <w:pStyle w:val="Extracto"/>
      </w:pPr>
      <w:r>
        <w:t>2.</w:t>
      </w:r>
      <w:r>
        <w:tab/>
        <w:t>La jurisprudencia constitucional ha hecho hincapié en la exigencia de motivación reforzada en los supuestos en los que se invoca la protección a las personas con discapacidad prevista en el art. 49 CE (SSTC 208/2013, 10/2014, 18/2017,  3/2018 y 51/2021) [FJ 2].</w:t>
      </w:r>
    </w:p>
    <w:p w:rsidR="005728DD" w:rsidRDefault="005728DD" w:rsidP="005728DD">
      <w:pPr>
        <w:pStyle w:val="Extracto"/>
      </w:pPr>
    </w:p>
    <w:p w:rsidR="005728DD" w:rsidRDefault="005728DD" w:rsidP="005728DD">
      <w:pPr>
        <w:pStyle w:val="Extracto"/>
      </w:pPr>
      <w:r>
        <w:t>3.</w:t>
      </w:r>
      <w:r>
        <w:tab/>
        <w:t>De conformidad con la jurisprudencia constitucional respecto de la función tuitiva de los órganos judiciales en materias que puedan afectar a menores (STC 178/2020), las limitaciones legales de oposición previstas en determinadas normas procesales no deben imponerse con un formalismo rigorista [FJ 3].</w:t>
      </w:r>
    </w:p>
    <w:p w:rsidR="005728DD" w:rsidRDefault="005728DD" w:rsidP="005728DD">
      <w:pPr>
        <w:pStyle w:val="Extracto"/>
      </w:pPr>
    </w:p>
    <w:p w:rsidR="005728DD" w:rsidRDefault="005728DD" w:rsidP="005728DD">
      <w:pPr>
        <w:pStyle w:val="Extracto"/>
      </w:pPr>
      <w:r>
        <w:t>4.</w:t>
      </w:r>
      <w:r>
        <w:tab/>
        <w:t>Un listado cerrado o tasado de oposición previsto en una norma procesal, que responde a unos fines legítimos muy concretos, no exime del deber de motivación reforzada que incumbe al órgano judicial cuando puede estar afectada la protección de los menores, de las personas con discapacidad y de las familias dispensada por la Constitución y los instrumentos normativos del derecho regional e internacional de derechos humanos suscritos por España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lastRenderedPageBreak/>
        <w:t>SENTENCIA</w:t>
      </w:r>
    </w:p>
    <w:p w:rsidR="005728DD" w:rsidRDefault="005728DD" w:rsidP="005728DD">
      <w:pPr>
        <w:pStyle w:val="TextoNormalCentrado"/>
        <w:keepNext/>
      </w:pPr>
    </w:p>
    <w:p w:rsidR="005728DD" w:rsidRDefault="005728DD" w:rsidP="005728DD">
      <w:pPr>
        <w:pStyle w:val="TextoNormal"/>
      </w:pPr>
      <w:r>
        <w:t>En el recurso de amparo núm. 3533-2018, promovido por doña M.S.C. contra el auto de la Sección Vigesimoprimera de la Audiencia Provincial de Madrid de 16 de mayo de 2018 por el que se desestima el recurso de apelación núm. 560-2017 interpuesto contra el auto del Juzgado de Primera Instancia e Instrucción núm. 2 de Getafe, núm. 118/2017, de 1 de junio de 2017, pronunciado en el procedimiento de ejecución de títulos judiciales núm. 33-2017. Ha comparecido la entidad Gescat Vivendes en Comercialització, S.L.U.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Doña M.S.C., representada por el procurador de los tribunales don Silvino González Moreno y bajo la dirección del letrado don Víctor Manuel Rodríguez Villares, interpuso recurso de amparo contra las resoluciones judiciales mencionadas en el encabezamiento de esta sentencia, mediante escrito registrado el 21 de junio de 2018.</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 entidad Gestcat Viviendes en Comercialització, S.L.U., formuló demanda de ejecución de la sentencia del Juzgado de Primera Instancia e Instrucción núm. 2 de Getafe de 23 de febrero de 2017, en la que se había declarado la obligación de que la ahora recurrente de amparo desalojara la vivienda que ocupaba junto a sus hijos menores de edad, dando lugar al procedimiento de ejecución de títulos judiciales núm. 33-2017 a tramitar por ese mismo juzgado.</w:t>
      </w:r>
    </w:p>
    <w:p w:rsidR="005728DD" w:rsidRDefault="005728DD" w:rsidP="005728DD">
      <w:pPr>
        <w:pStyle w:val="TextoNormal"/>
      </w:pPr>
    </w:p>
    <w:p w:rsidR="005728DD" w:rsidRDefault="005728DD" w:rsidP="005728DD">
      <w:pPr>
        <w:pStyle w:val="TextoNormal"/>
      </w:pPr>
      <w:r>
        <w:t>Por auto de 20 de abril de 2017 se acordó despachar la ejecución, otorgando a la demandante de amparo el plazo de un mes para desalojar la vivienda si no formulaba oposición.</w:t>
      </w:r>
    </w:p>
    <w:p w:rsidR="005728DD" w:rsidRDefault="005728DD" w:rsidP="005728DD">
      <w:pPr>
        <w:pStyle w:val="TextoNormal"/>
      </w:pPr>
    </w:p>
    <w:p w:rsidR="005728DD" w:rsidRDefault="005728DD" w:rsidP="005728DD">
      <w:pPr>
        <w:pStyle w:val="TextoNormal"/>
      </w:pPr>
      <w:r>
        <w:t>b) La demandante de amparo, mediante escrito de 5 de mayo de 2017, formuló oposición, con invocación de los arts. 9.3, 10.1 y 2, 39 y 47 CE, y solicitó, además, la prórroga del plazo para el desalojo hasta que por los servicios sociales se les concediera una solución habitacional y escolar, por, al menos, un plazo mínimo de seis meses hasta que concluyera el curso escolar, debido a las circunstancias económicas y familiares de absoluta precariedad que atravesaba y las de sus tres hijos menores de edad, uno de ellos nacido el 12 de febrero de 2017, que padece un grado de discapacidad física del 65 por 100. Adjuntaba un informe médico y otro de los servicios sociales, relativos a la salud de este menor y a la situación económica del núcleo familiar. Igualmente, solicitó que se practicara prueba ampliatoria de estas circunstancias.</w:t>
      </w:r>
    </w:p>
    <w:p w:rsidR="005728DD" w:rsidRDefault="005728DD" w:rsidP="005728DD">
      <w:pPr>
        <w:pStyle w:val="TextoNormal"/>
      </w:pPr>
    </w:p>
    <w:p w:rsidR="005728DD" w:rsidRDefault="005728DD" w:rsidP="005728DD">
      <w:pPr>
        <w:pStyle w:val="TextoNormal"/>
      </w:pPr>
      <w:r>
        <w:t xml:space="preserve">La oposición fue íntegramente desestimada, acordándose proseguir con la ejecución, por auto de 1 de junio de 2017, con fundamento en que los motivos de oposición a la ejecución de un título judicial son únicamente los establecidos en el art. 556 de la Ley de enjuiciamiento civil (LEC), ninguno de los cuales eran esgrimidos en este caso. Respecto de la prórroga del plazo para el desalojo se deniega con el argumento de que “no se haya prevista en la ley, lo que determina que no pueda ser aprobada más cuando en el auto despachando </w:t>
      </w:r>
      <w:r>
        <w:lastRenderedPageBreak/>
        <w:t>ejecución ya se concedía a la ejecutada el plazo de un mes para llevar a efecto el desalojo de la vivienda”.</w:t>
      </w:r>
    </w:p>
    <w:p w:rsidR="005728DD" w:rsidRDefault="005728DD" w:rsidP="005728DD">
      <w:pPr>
        <w:pStyle w:val="TextoNormal"/>
      </w:pPr>
    </w:p>
    <w:p w:rsidR="005728DD" w:rsidRDefault="005728DD" w:rsidP="005728DD">
      <w:pPr>
        <w:pStyle w:val="TextoNormal"/>
      </w:pPr>
      <w:r>
        <w:t>c) La demandante de amparo interpuso recurso de apelación, que fue tramitado con el núm. 560-2017 por la Sección Vigesimoprimera de la Audiencia Provincial de Madrid, reiterando las mismas invocaciones constitucionales, y solicitando, de nuevo, una prórroga para el desalojo en tanto no se le concediere a ella y a sus hijos menores una solución habitacional con práctica de prueba sobre dichos extremos.</w:t>
      </w:r>
    </w:p>
    <w:p w:rsidR="005728DD" w:rsidRDefault="005728DD" w:rsidP="005728DD">
      <w:pPr>
        <w:pStyle w:val="TextoNormal"/>
      </w:pPr>
    </w:p>
    <w:p w:rsidR="005728DD" w:rsidRDefault="005728DD" w:rsidP="005728DD">
      <w:pPr>
        <w:pStyle w:val="TextoNormal"/>
      </w:pPr>
      <w:r>
        <w:t>La petición de prueba fue denegada por auto de 18 de septiembre de 2017, por entender que no concurría ninguno de los supuestos del art. 460.2.1 LEC. La demandante de amparo no interpuso recurso de reposición contra dicha decisión.</w:t>
      </w:r>
    </w:p>
    <w:p w:rsidR="005728DD" w:rsidRDefault="005728DD" w:rsidP="005728DD">
      <w:pPr>
        <w:pStyle w:val="TextoNormal"/>
      </w:pPr>
    </w:p>
    <w:p w:rsidR="005728DD" w:rsidRDefault="005728DD" w:rsidP="005728DD">
      <w:pPr>
        <w:pStyle w:val="TextoNormal"/>
      </w:pPr>
      <w:r>
        <w:t>El recurso de apelación fue desestimado por auto de 16 de mayo de 2018, argumentando que “examinada la resolución de instancia se aprecia que en la misma se han valorado las circunstancias existentes con ponderación, sin que se aprecie ningún razonamiento ilógico ni arbitrario”; a lo que se añade que “el supuesto examinado afecta a una ejecución basada en resolución judicial, por lo que los motivos de oposición a la misma son únicamente los regulados en el art. 556 LEC, que no en los del art. 557 LEC. Y es lo cierto que el primero de dichos preceptos tan solo admite, como medios de defensa de la postura del demandado, el pago o cumplimiento de la obligación, que habrá de justificarse documentalmente —amén de la caducidad de la acción ejecutiva—, y los pactos o transacciones que se hubieren convenido para evitar la ejecución, siempre que los mismos consten en documento público”. También se afirma que “se trata de una enumeración tasada y ajustada al ámbito en que se permite dicha oposición, que no es otro que el de la ejecución de un título que tiene por sí mismo virtualidad suficiente para que la misma sea exigida y llevada a cabo. No cabe, por ello, el planteamiento de cuestiones que, siendo diferentes a las legalmente previstas de forma expresa y tasada en la legislación procesal, no deben ni siquiera ser objeto de examen por el órgano judicial, por la simple razón de que son marginales al procedimiento en que se formulan”.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demandante de amparo solicita la nulidad de las resoluciones judiciales impugnadas invocando múltiples derechos fundamentales, pero que, en esencia, se reconducen a la vulneración de su derecho a la tutela judicial efectiva (art. 24.1 CE), en relación con los arts. 10 (respeto a la dignidad humana), 39 (protección a la familia y los menores) y 49 CE (protección a las personas con discapacidad), con el argumento de que las resoluciones judiciales no han dado respuesta a la causa de oposición alegada y a la solicitud de prórroga del inicial plazo de desalojo de la vivienda de un mes por motivos que afectaban a la situación familiar, incluyendo la presencia de tres hijos menores uno de los cuales tenía una discapacidad física diagnosticada del 65 por 100, que hubiera exigido no solo la admisión de prueba propuesta para acreditar ese extremo sino, además, una respuesta judicial que diera el debido cumplimiento al deber de motivación reforzada por afectación a derechos fundamentales sustantivos como es el superior interés del menor y la circunstancia de que estaban concernidos los derechos de un menor con discapacidad. Sostiene, igualmente, que el desinterés mostrado por el órgano judicial a sus peticiones pone de manifiesto su falta de parcialidad, lo que también vulnera el derecho a la imparcialidad judicial. Por ello, solicita la retroacción de actuaciones para que haya un pronunciamiento respetuoso con este derecho fundamental.</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La Sección Tercera de este tribunal, por providencia de 11 de julio de 2018, acordó la admisión a trámite del recurso, apreciando que concurre en el mismo una especial trascendencia constitucional [art. 50.1 de la Ley Orgánica del Tribunal Constitucional (LOTC)] como consecuencia de que plantea un problema o afecta a una faceta de un derecho fundamental sobre el que no hay doctrina de este tribunal [STC 155/2009, FJ 2 a)]; dirigir atenta comunicación a los órganos judiciales para la remisión de copia testimoniada de las actuaciones y el emplazamiento de quienes hubieran sido parte en el procedimiento para que pudiesen comparecen en el plazo de diez días en el recurso de amparo; y la suspensión cautelar de la resolución impugnada, que fue confirmada por ATC 92/2018, de 17 de septiembre de 2018.</w:t>
      </w:r>
    </w:p>
    <w:p w:rsidR="005728DD" w:rsidRDefault="005728DD" w:rsidP="005728DD">
      <w:pPr>
        <w:pStyle w:val="TextoNormal"/>
      </w:pPr>
    </w:p>
    <w:p w:rsidR="005728DD" w:rsidRDefault="005728DD" w:rsidP="005728DD">
      <w:pPr>
        <w:pStyle w:val="TextoNormal"/>
      </w:pPr>
      <w:r>
        <w:t>Igualmente, por ATC 91/2018, de 17 de septiembre, se acordó excepcionar en este procedimiento la exigencia constitucional de publicidad de sus resoluciones en lo relativo a los datos de identidad de la demandante de amparo sustituyendo sus datos de identificación por las iniciales correspondientes.</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30 de octubre de 2018, acordó tener por personada y parte en el procedimiento a la procuradora de los tribunales doña Ana Vázquez Pastor, en nombre y representación de la entidad Gescat Vivendes en Comercialització, S.L.U.; y dar vista de las actuaciones al Ministerio Fiscal y a las partes personadas por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por escrito registrado el 10 de diciembre de 2018, formuló alegaciones interesando la denegación del amparo, argumentando que la prevalencia del interés del menor, que deben garantizar todos los poderes públicos, no tiene cabida en un procedimiento de ejecución, pues no puede suponer que el órgano judicial resuelva siempre a favor del menor, “sino que se tratará de un instrumento para ponderar los intereses en conflicto y resolver con arreglo a derecho”.</w:t>
      </w:r>
    </w:p>
    <w:p w:rsidR="005728DD" w:rsidRDefault="005728DD" w:rsidP="005728DD">
      <w:pPr>
        <w:pStyle w:val="TextoNormal"/>
      </w:pPr>
    </w:p>
    <w:p w:rsidR="005728DD" w:rsidRDefault="005728DD" w:rsidP="005728DD">
      <w:pPr>
        <w:pStyle w:val="TextoNormal"/>
      </w:pPr>
      <w:r>
        <w:t>Insiste en que el objeto de este procedimiento es la ejecución de una sentencia, cuyo objeto de conocimiento es limitado, en el que no es posible revisar lo acordado en el procedimiento declarativo del que trae causa, siendo tasadas las causas de oposición (art. 556 LEC). Para el fiscal los órganos judiciales no han sido irrazonables al denegar la prórroga para el desalojo, ya que tan solo han aplicado la previsión legal que no contempla tal posibilidad. En consecuencia, no cabe hablar de vulneración del derecho a la tutela judicial efectiva (art. 24.1 CE), por no haberse motivado las resoluciones reforzadamente ante la presencia de un interés superior del menor. Entiende que no es “pertinente ni necesario este criterio para resolver la cuestión que se les sometía a los órganos judiciales”, como tampoco las resoluciones judiciales impugnadas han sido irrazonables, arbitrarias, ni han incurrido en error patente.</w:t>
      </w:r>
    </w:p>
    <w:p w:rsidR="005728DD" w:rsidRDefault="005728DD" w:rsidP="005728DD">
      <w:pPr>
        <w:pStyle w:val="TextoNormal"/>
      </w:pPr>
    </w:p>
    <w:p w:rsidR="005728DD" w:rsidRDefault="005728DD" w:rsidP="005728DD">
      <w:pPr>
        <w:pStyle w:val="TextoNormal"/>
      </w:pPr>
      <w:r>
        <w:t>En segundo lugar, por lo que atañe a la existencia de una posible incongruencia omisiva, el Ministerio Fiscal considera que, aunque pudiera afirmarse de las resoluciones judiciales impugnadas que son parcas y que podrían haber sido más detalladas en sus respuestas, lo cierto es que están suficientemente motivadas, siendo además claras y comprensibles para sus destinatarios.</w:t>
      </w:r>
    </w:p>
    <w:p w:rsidR="005728DD" w:rsidRDefault="005728DD" w:rsidP="005728DD">
      <w:pPr>
        <w:pStyle w:val="TextoNormal"/>
      </w:pPr>
    </w:p>
    <w:p w:rsidR="005728DD" w:rsidRDefault="005728DD" w:rsidP="005728DD">
      <w:pPr>
        <w:pStyle w:val="TextoNormal"/>
      </w:pPr>
      <w:r>
        <w:t>Respecto a las denuncias relativas al derecho a un proceso con todas las garantías (art. 24.2 CE), el fiscal entiende que se basan en un supuesto desinterés de los órganos judiciales —a los que la recurrente tacha de parciales— por no haber tenido en consideración las normas e instrumentos internacionales de reconocimiento y protección de los derechos del niño. Sobre este particular sostiene que la decisión del juez de aplicar las normas que considera pertinentes podrá ser o no acertada, pero no afecta a su imparcialidad, por lo que la denuncia debe ser desestimada.</w:t>
      </w:r>
    </w:p>
    <w:p w:rsidR="005728DD" w:rsidRDefault="005728DD" w:rsidP="005728DD">
      <w:pPr>
        <w:pStyle w:val="TextoNormal"/>
      </w:pPr>
    </w:p>
    <w:p w:rsidR="005728DD" w:rsidRDefault="005728DD" w:rsidP="005728DD">
      <w:pPr>
        <w:pStyle w:val="TextoNormal"/>
      </w:pPr>
      <w:r>
        <w:t>Por último y en cuanto a la denegación de la práctica de determinados medios de prueba, observa la falta de agotamiento de la vía judicial previa al recurso de amparo [art. 44.1 a) LOTC], en cuanto la recurrente no interpuso el pertinente recurso de reposición, del que se le instruía a pie de la resolución denegatoria.</w:t>
      </w:r>
    </w:p>
    <w:p w:rsidR="005728DD" w:rsidRDefault="005728DD" w:rsidP="005728DD">
      <w:pPr>
        <w:pStyle w:val="TextoNormal"/>
      </w:pPr>
    </w:p>
    <w:p w:rsidR="005728DD" w:rsidRDefault="005728DD" w:rsidP="005728DD">
      <w:pPr>
        <w:pStyle w:val="TextoNormal"/>
      </w:pPr>
      <w:r>
        <w:t>A modo de conclusión, el Ministerio Fiscal advierte que la ejecución y consiguiente desalojo de las viviendas puede llevar aparejada “situaciones de gran dramatismo, objetivamente consideradas, sobre todo cuando, como ocurre en el caso concreto, existen personas especialmente desvalidas”. A su juicio, España ha tomado una serie de medidas especiales de protección de los más desfavorecidos como lo es la posibilidad de suspender temporalmente el desalojo de la vivienda, cuando concurren una serie de requisitos de necesidad. Ahora bien, en el presente caso, no es posible aplicar esta normativa excepcional, pensada para las ejecuciones hipotecarias, como tampoco pretender que la alegación de “normas nacionales e internacionales, que solo regulan directrices para los poderes públicos, sirvan de base para establecer una obligación para un ciudadano, en este caso la sociedad ejecutante, para solventar un problema de marcado carácter social, que debe ser objeto de atención precisamente por los servicios sociales, sin que pueda imponerse, sin sustento legal, a un particular la obligación de sustituir esa inactividad de los servicios asistenciales”. En definitiva, para el fiscal, “ni los órganos judiciales concernidos, ni ahora el Tribunal Constitucional, tiene entre sus instrumentos la posibilidad de crear, o mejor de generalizar, un estatus de protección previsto para unos supuestos, a aquellos otros que por similitud se les aproximen”.</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comparecida no ha presentado alegaciones.</w:t>
      </w:r>
    </w:p>
    <w:p w:rsidR="005728DD" w:rsidRDefault="005728DD" w:rsidP="005728DD">
      <w:pPr>
        <w:pStyle w:val="TextoNormal"/>
      </w:pPr>
    </w:p>
    <w:p w:rsidR="005728DD" w:rsidRDefault="005728DD" w:rsidP="005728DD">
      <w:pPr>
        <w:pStyle w:val="TextoNormal"/>
      </w:pPr>
      <w:r w:rsidRPr="005728DD">
        <w:rPr>
          <w:rStyle w:val="NumeroAFNegritaCaracter"/>
        </w:rPr>
        <w:t>8</w:t>
      </w:r>
      <w:r>
        <w:t>. La demandante de amparo no ha presentado alegaciones.</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27 de mayo de 2021 se señaló para votación y fallo del presente recurso el día 31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w:t>
      </w:r>
      <w:r>
        <w:t>.</w:t>
      </w:r>
    </w:p>
    <w:p w:rsidR="005728DD" w:rsidRDefault="005728DD" w:rsidP="005728DD">
      <w:pPr>
        <w:pStyle w:val="TextoNormal"/>
      </w:pPr>
    </w:p>
    <w:p w:rsidR="005728DD" w:rsidRDefault="005728DD" w:rsidP="005728DD">
      <w:pPr>
        <w:pStyle w:val="TextoNormal"/>
      </w:pPr>
      <w:r>
        <w:t xml:space="preserve">El objeto principal de este recurso es determinar si las resoluciones impugnadas han vulnerado el derecho de la demandante a la tutela judicial efectiva (art. 24.1 CE) por no haber dado una respuesta a la causa de oposición alegada y a la solicitud de prórroga del plazo inicial de desalojo de la vivienda de un mes y no haber dado cumplimiento al deber de </w:t>
      </w:r>
      <w:r>
        <w:lastRenderedPageBreak/>
        <w:t>motivación reforzado exigido por la invocación de la afectación de dichas decisiones al derecho a la protección familiar y de los menores (art. 39 CE) y de las personas con discapacidad (art. 49 CE), derivado de su situación familiar, incluyendo la presencia de tres hijos menores, uno de los cuales tenía una discapacidad física diagnosticada del 65 por 100.</w:t>
      </w:r>
    </w:p>
    <w:p w:rsidR="005728DD" w:rsidRDefault="005728DD" w:rsidP="005728DD">
      <w:pPr>
        <w:pStyle w:val="TextoNormal"/>
      </w:pPr>
    </w:p>
    <w:p w:rsidR="005728DD" w:rsidRDefault="005728DD" w:rsidP="005728DD">
      <w:pPr>
        <w:pStyle w:val="TextoNormal"/>
      </w:pPr>
      <w:r>
        <w:t>La determinación del objeto de este recurso implica que en el análisis de constitucionalidad de las resoluciones impugnadas se diferencie entre las respuestas aportadas a los dos pedimentos incluidos en el escrito de oposición: (i) La alegación como causa de oposición a la ejecución de la afectación que implicaba dicha ejecución de la precaria situación familiar incluyendo el hecho de los menores de edad y la situación de incapacidad de uno de ellos. (ii) La solicitud de que se prorrogara el inicial plazo de un mes concedido en el auto despachando la ejecución para el desalojo de la vivienda hasta que por los servicios sociales se les concediera una solución habitacional y escolar, por, al menos, un plazo mínimo de seis meses hasta que concluyera el curso escolar, debido a las circunstancias económicas y familiares de absoluta precariedad que atravesaba y las de sus tres hijos menores de edad, uno de ellos recién nacido que tenía un grado de discapacidad física del 65 por 100.</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 jurisprudencia constitucional sobre el deber de motivación de las resoluciones judiciales (art. 24.1 CE) y el mandato constitucional de protección de la familia, de los menores (art. 39 CE) y de las personas con discapacidad (art. 49 CE</w:t>
      </w:r>
      <w:r>
        <w:t>).</w:t>
      </w:r>
    </w:p>
    <w:p w:rsidR="005728DD" w:rsidRDefault="005728DD" w:rsidP="005728DD">
      <w:pPr>
        <w:pStyle w:val="TextoNormal"/>
      </w:pPr>
    </w:p>
    <w:p w:rsidR="005728DD" w:rsidRDefault="005728DD" w:rsidP="005728DD">
      <w:pPr>
        <w:pStyle w:val="TextoNormal"/>
      </w:pPr>
      <w:r>
        <w:t>a) La jurisprudencia constitucional ha establecido que el derecho a la tutela judicial efectiva comprende el derecho a obtener de los órganos judiciales una resolución motivada, fundada en Derecho y congruente con las pretensiones oportunamente deducidas por las partes. Esta obligación, aparte de venir impuesta en el art. 120.3 CE, es una exigencia derivada del art. 24.1 CE con el fin de que se puedan conocer las razones de la decisión posibilitando su control mediante el sistema de los recursos y como garantía frente a la arbitrariedad e irrazonabilidad. Esto implica que la resolución ha de contener los elementos y razones de juicio que permitan conocer cuáles han sido los criterios jurídicos que fundamentan la decisión y que la motivación esté fundada en Derecho, lo que determina que no baste una mera declaración de voluntad en un sentido u otro, sino que debe ser consecuencia de una exégesis racional del ordenamiento y no fruto de la arbitrariedad o de un error patente (así, por ejemplo, STC 24/2021, de 15 de febrero, FJ 2).</w:t>
      </w:r>
    </w:p>
    <w:p w:rsidR="005728DD" w:rsidRDefault="005728DD" w:rsidP="005728DD">
      <w:pPr>
        <w:pStyle w:val="TextoNormal"/>
      </w:pPr>
    </w:p>
    <w:p w:rsidR="005728DD" w:rsidRDefault="005728DD" w:rsidP="005728DD">
      <w:pPr>
        <w:pStyle w:val="TextoNormal"/>
      </w:pPr>
      <w:r>
        <w:t>La jurisprudencia constitucional también tiene declarado que esta obligación de motivación:</w:t>
      </w:r>
    </w:p>
    <w:p w:rsidR="005728DD" w:rsidRDefault="005728DD" w:rsidP="005728DD">
      <w:pPr>
        <w:pStyle w:val="TextoNormal"/>
      </w:pPr>
    </w:p>
    <w:p w:rsidR="005728DD" w:rsidRDefault="005728DD" w:rsidP="005728DD">
      <w:pPr>
        <w:pStyle w:val="TextoNormal"/>
      </w:pPr>
      <w:r>
        <w:t xml:space="preserve">(i) No exige una respuesta sobre el fondo de la pretensión deducida siempre que concurra una causa legal que lo impida y así se aprecie a través de los criterios que proporciona el principio </w:t>
      </w:r>
      <w:r w:rsidRPr="005728DD">
        <w:rPr>
          <w:i/>
        </w:rPr>
        <w:t>pro actione</w:t>
      </w:r>
      <w:r>
        <w:t>, entendido no como la forzosa selección de la interpretación más favorable de entre todas las posibles,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vulnerando las exigencias del principio de proporcionalidad (así, STC 63/2021, de 15 de marzo, FJ 3).</w:t>
      </w:r>
    </w:p>
    <w:p w:rsidR="005728DD" w:rsidRDefault="005728DD" w:rsidP="005728DD">
      <w:pPr>
        <w:pStyle w:val="TextoNormal"/>
      </w:pPr>
    </w:p>
    <w:p w:rsidR="005728DD" w:rsidRDefault="005728DD" w:rsidP="005728DD">
      <w:pPr>
        <w:pStyle w:val="TextoNormal"/>
      </w:pPr>
      <w:r>
        <w:lastRenderedPageBreak/>
        <w:t>(ii) Aparece reforzada en el caso en que la pretensión objeto de respuesta esté vinculada a derechos fundamentales sustantivos o intereses de relevancia constitucional, lo que implica la obligación de que se exteriorice el nexo de coherencia entre la decisión adoptada, la norma que le sirve de fundamento y los fines que justifican la institución. No cabe una motivación estereotipada ni la mera constatación apodíctica de que “no se cumplen las circunstancias” que la ley exige ni la justificación en el carácter discrecional de la potestad que se ejerce, pues las potestades discrecionales deben también ejercerse motivadamente (STC 81/2018, de 16 de julio, FJ 3).</w:t>
      </w:r>
    </w:p>
    <w:p w:rsidR="005728DD" w:rsidRDefault="005728DD" w:rsidP="005728DD">
      <w:pPr>
        <w:pStyle w:val="TextoNormal"/>
      </w:pPr>
    </w:p>
    <w:p w:rsidR="005728DD" w:rsidRDefault="005728DD" w:rsidP="005728DD">
      <w:pPr>
        <w:pStyle w:val="TextoNormal"/>
      </w:pPr>
      <w:r>
        <w:t>b) En concreto, respecto del deber de motivación judicial reforzado, en lo que se refiere a los supuestos en los que se invoca la afectación a la protección de la familia y los menores de edad (art. 39 CE), la STC 178/2020, de 14 de diciembre, FJ 3, haciendo un resumen de los pronunciamientos de este tribunal en la materia, declara lo siguiente:</w:t>
      </w:r>
    </w:p>
    <w:p w:rsidR="005728DD" w:rsidRDefault="005728DD" w:rsidP="005728DD">
      <w:pPr>
        <w:pStyle w:val="TextoNormal"/>
      </w:pPr>
    </w:p>
    <w:p w:rsidR="005728DD" w:rsidRDefault="005728DD" w:rsidP="005728DD">
      <w:pPr>
        <w:pStyle w:val="TextoNormal"/>
      </w:pPr>
      <w:r>
        <w:t>(i) La necesidad de que todos los poderes públicos cumplan el mandato dirigido a ellos en el art. 39 CE y atiendan de un modo preferente la situación del menor de edad, observando y haciendo observar el estatuto del menor como norma de orden público, ya que su superior interés, inherente a algunas de las previsiones del art. 39 CE es, considerado en abstracto, un bien constitucional suficientemente relevante para motivar la adopción de medidas legales que restrinjan derechos y principios constitucionales (STC 99/2019, de 18 de julio, FJ 7).</w:t>
      </w:r>
    </w:p>
    <w:p w:rsidR="005728DD" w:rsidRDefault="005728DD" w:rsidP="005728DD">
      <w:pPr>
        <w:pStyle w:val="TextoNormal"/>
      </w:pPr>
    </w:p>
    <w:p w:rsidR="005728DD" w:rsidRDefault="005728DD" w:rsidP="005728DD">
      <w:pPr>
        <w:pStyle w:val="TextoNormal"/>
      </w:pPr>
      <w:r>
        <w:t>(ii) Citando la STC 64/2019, de 9 de mayo, FJ 4, se subraya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Como detalla la observación general núm. 14, de 29 de mayo de 2013, del Comité de Naciones Unidas de Derechos del Niño, el citado precepto enuncia uno de los cuatro principios generales de la convención en lo que respecta a la interpretación y aplicación de todos los derechos del niño, a aplicar como un concepto dinámico que debe evaluarse adecuadamente en cada contexto. Es uno de sus valores fundamentales, y responde al objetivo de garantizar el disfrute pleno y efectivo de todos los derechos reconocidos por la convención. Añade que no hay jerarquía de derechos en la Convención: todos responden al ‘interés superior del niño’ y ningún derecho debería verse perjudicado por una interpretación negativa del interés superior del menor. [...] En caso de que no puedan respetarse todos los intereses legítimos concurrentes, deberá primar el interés superior del menor sobre cualquier otro interés legítimo que pudiera concurrir”.</w:t>
      </w:r>
    </w:p>
    <w:p w:rsidR="005728DD" w:rsidRDefault="005728DD" w:rsidP="005728DD">
      <w:pPr>
        <w:pStyle w:val="TextoNormal"/>
      </w:pPr>
    </w:p>
    <w:p w:rsidR="005728DD" w:rsidRDefault="005728DD" w:rsidP="005728DD">
      <w:pPr>
        <w:pStyle w:val="TextoNormal"/>
      </w:pPr>
      <w:r>
        <w:t xml:space="preserve">(iii) “La decisión de cuál sea en cada caso el interés superior del menor corresponde tomarla a los jueces y tribunales ordinarios, aunque es de nuestra incumbencia examinar si la motivación ofrecida por los mismos para adoptar cuantas medidas conciernen a los menores, está sustentada en su mayor beneficio y así comprobar que no se han lesionado sus derechos fundamentales (STC 221/2002, FJ 4, y ATC 28/2001, de 1 de febrero). Porque, una vez más hemos de subrayar que ‘el canon de razonabilidad constitucional deviene más exigente por cuanto que se encuentran implicados valores y principios de indudable relevancia constitucional, al invocarse por el demandante de amparo el principio del interés superior del menor que tiene su proyección constitucional en el art. 39 CE y que se define </w:t>
      </w:r>
      <w:r>
        <w:lastRenderedPageBreak/>
        <w:t>como rector e inspirador de todas las actuaciones de los poderes públicos, tanto administrativas como judiciales’( SSTC 141/2000, de 21 de mayo, FJ 5; 217/2009, de 14 de diciembre, FJ 5; 127/2013, de 3 de junio, FJ 6, y 138/2014, de 8 de septiembre, FJ 2, entre otras)”.</w:t>
      </w:r>
    </w:p>
    <w:p w:rsidR="005728DD" w:rsidRDefault="005728DD" w:rsidP="005728DD">
      <w:pPr>
        <w:pStyle w:val="TextoNormal"/>
      </w:pPr>
    </w:p>
    <w:p w:rsidR="005728DD" w:rsidRDefault="005728DD" w:rsidP="005728DD">
      <w:pPr>
        <w:pStyle w:val="TextoNormal"/>
      </w:pPr>
      <w:r>
        <w:t>La jurisprudencia constitucional ha hecho hincapié en términos semejantes de exigencia de motivación reforzada en los supuestos en los que se invoca la protección a las personas con discapacidad prevista en el art. 49 CE (SSTC 208/2013, de 16 de diciembre; 10/2014, de 27 de enero; 18/2017, de 2 de febrero; 3/2018, de 22 de enero, y 51/2021, de 15 de marzo).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jurisprudencia constitucional al presente recurso</w:t>
      </w:r>
      <w:r>
        <w:t>.</w:t>
      </w:r>
    </w:p>
    <w:p w:rsidR="005728DD" w:rsidRDefault="005728DD" w:rsidP="005728DD">
      <w:pPr>
        <w:pStyle w:val="TextoNormal"/>
      </w:pPr>
    </w:p>
    <w:p w:rsidR="005728DD" w:rsidRDefault="005728DD" w:rsidP="005728DD">
      <w:pPr>
        <w:pStyle w:val="TextoNormal"/>
      </w:pPr>
      <w:r>
        <w:t>a) En el presente caso, han quedado acreditados en las actuaciones, tal como se ha expuesto con más detalle en los antecedentes, los siguientes extremos:</w:t>
      </w:r>
    </w:p>
    <w:p w:rsidR="005728DD" w:rsidRDefault="005728DD" w:rsidP="005728DD">
      <w:pPr>
        <w:pStyle w:val="TextoNormal"/>
      </w:pPr>
    </w:p>
    <w:p w:rsidR="005728DD" w:rsidRDefault="005728DD" w:rsidP="005728DD">
      <w:pPr>
        <w:pStyle w:val="TextoNormal"/>
      </w:pPr>
      <w:r>
        <w:t>(i) La demandante de amparo fue condenada en un procedimiento declarativo al desalojo de la vivienda que ocupaba junto con sus dos hijos menores de edad mediante sentencia de 23 de febrero de 2017. En el procedimiento de ejecución de aquel título judicial, se dictó auto despachando la ejecución, otorgando el plazo de un mes para el desalojo de la vivienda si no formulaba oposición.</w:t>
      </w:r>
    </w:p>
    <w:p w:rsidR="005728DD" w:rsidRDefault="005728DD" w:rsidP="005728DD">
      <w:pPr>
        <w:pStyle w:val="TextoNormal"/>
      </w:pPr>
    </w:p>
    <w:p w:rsidR="005728DD" w:rsidRDefault="005728DD" w:rsidP="005728DD">
      <w:pPr>
        <w:pStyle w:val="TextoNormal"/>
      </w:pPr>
      <w:r>
        <w:t>(ii) La demandante formuló oposición, con invocación, entre otros, de los derechos a la protección de la familia y el interés superior de los menores, a la vivienda y a la protección de las personas con discapacidad en atención a la precaria situación familiar, la existencia de dos hijos menores de edad y la circunstancia sobrevenida de que había nacido un tercer hijo el 12 de febrero de 2017, con una incapacidad física diagnosticada del 65 por 100. Con fundamento en esas mismas circunstancias instó, además, la ampliación del inicial plazo del desalojo de un mes concedido en el auto despachando la ejecución hasta que por los servicios sociales se les concediera una solución habitacional y escolar o, al menos, por un plazo mínimo de seis meses hasta que concluyera el curso escolar. Como principio de prueba se adjuntaba un informe médico y otro de los servicios sociales, relativos a la salud de este menor y a la situación económica del núcleo familiar. Igualmente, solicitó que se practicara prueba ampliatoria de estas circunstancias, que fue denegada en ambas instancias.</w:t>
      </w:r>
    </w:p>
    <w:p w:rsidR="005728DD" w:rsidRDefault="005728DD" w:rsidP="005728DD">
      <w:pPr>
        <w:pStyle w:val="TextoNormal"/>
      </w:pPr>
    </w:p>
    <w:p w:rsidR="005728DD" w:rsidRDefault="005728DD" w:rsidP="005728DD">
      <w:pPr>
        <w:pStyle w:val="TextoNormal"/>
      </w:pPr>
      <w:r>
        <w:t>(iii) La oposición fue íntegramente desestimada con fundamento exclusivo en que los motivos de oposición a la ejecución de un título judicial son únicamente los establecidos en el art. 556 LEC, ninguno de los cuales era esgrimido en este caso. La solicitud de ampliación del plazo de desalojo fue denegada con el argumento de que es una posibilidad que no está prevista en la ley. El recurso de apelación fue desestimado insistiendo en que las causas de oposición están tasadas y que no cabe el planteamiento de cuestiones distintas de las expresamente previstas en la ley.</w:t>
      </w:r>
    </w:p>
    <w:p w:rsidR="005728DD" w:rsidRDefault="005728DD" w:rsidP="005728DD">
      <w:pPr>
        <w:pStyle w:val="TextoNormal"/>
      </w:pPr>
    </w:p>
    <w:p w:rsidR="005728DD" w:rsidRDefault="005728DD" w:rsidP="005728DD">
      <w:pPr>
        <w:pStyle w:val="TextoNormal"/>
      </w:pPr>
      <w:r>
        <w:t>b) En atención a la jurisprudencia expuesta anteriormente, el Tribunal considera que se ha producido la vulneración del derecho a la tutela judicial efectiva alegada por la demandante de amparo por las siguientes razones:</w:t>
      </w:r>
    </w:p>
    <w:p w:rsidR="005728DD" w:rsidRDefault="005728DD" w:rsidP="005728DD">
      <w:pPr>
        <w:pStyle w:val="TextoNormal"/>
      </w:pPr>
    </w:p>
    <w:p w:rsidR="005728DD" w:rsidRDefault="005728DD" w:rsidP="005728DD">
      <w:pPr>
        <w:pStyle w:val="TextoNormal"/>
      </w:pPr>
      <w:r>
        <w:t xml:space="preserve">(i) El Tribunal constata que la petición de la recurrente se produjo en un procedimiento de ejecución de títulos judiciales que se tramitó sin solución de continuidad temporal con </w:t>
      </w:r>
      <w:r>
        <w:lastRenderedPageBreak/>
        <w:t>un previo procedimiento declarativo sobre la legalidad de la permanencia de la recurrente y sus hijos menores en la vivienda, en que se había acordado el desalojo.</w:t>
      </w:r>
    </w:p>
    <w:p w:rsidR="005728DD" w:rsidRDefault="005728DD" w:rsidP="005728DD">
      <w:pPr>
        <w:pStyle w:val="TextoNormal"/>
      </w:pPr>
    </w:p>
    <w:p w:rsidR="005728DD" w:rsidRDefault="005728DD" w:rsidP="005728DD">
      <w:pPr>
        <w:pStyle w:val="TextoNormal"/>
      </w:pPr>
      <w:r>
        <w:t>Con carácter general, habida cuenta de que en dicho procedimiento declarativo la demandante de amparo tuvo una posibilidad efectiva y sin ningún tipo de limitación para plantear las diversas invocaciones que pudiera considerar adecuadas a la defensa de sus intereses y los de su familia, incluyendo la falta de proporcionalidad de una decisión de desalojo derivada de la situación de precariedad económica, el superior interés de los menores afectados, la ausencia de una alternativa habitacional y, en su caso, el hecho de que la titularidad de la vivienda era de una sociedad gestora de los inmuebles patrimoniales de una entidad bancaria por lo que no se afectaba el derecho a la vivienda de la contraparte, no cabe considerar que la respuesta judicial aportada para desestimar la oposición a la ejecución pudiera estar incursa, en principio, en la vulneración alegada del art. 24.1 CE.</w:t>
      </w:r>
    </w:p>
    <w:p w:rsidR="005728DD" w:rsidRDefault="005728DD" w:rsidP="005728DD">
      <w:pPr>
        <w:pStyle w:val="TextoNormal"/>
      </w:pPr>
    </w:p>
    <w:p w:rsidR="005728DD" w:rsidRDefault="005728DD" w:rsidP="005728DD">
      <w:pPr>
        <w:pStyle w:val="TextoNormal"/>
      </w:pPr>
      <w:r>
        <w:t>Ahora bien, tomando en consideración la jurisprudencia ya expuesta sobre la necesidad de que un afectado por este tipo de medidas tenga la posibilidad efectiva de someter al órgano judicial su proporcionalidad desde la perspectiva de los derechos fundamentales e intereses constitucionales que puedan resultar concernidos, este tribunal también constata que en el presente caso concurría una situación muy singular: La demandante alegó en el procedimiento de ejecución una situación sobrevenida a la del procedimiento declarativo con una potencial influencia sobre dicho juicio de proporcionalidad como era el nacimiento de un nuevo hijo con una situación de discapacidad física en un porcentaje relevante del 65 por 100.</w:t>
      </w:r>
    </w:p>
    <w:p w:rsidR="005728DD" w:rsidRDefault="005728DD" w:rsidP="005728DD">
      <w:pPr>
        <w:pStyle w:val="TextoNormal"/>
      </w:pPr>
    </w:p>
    <w:p w:rsidR="005728DD" w:rsidRDefault="005728DD" w:rsidP="005728DD">
      <w:pPr>
        <w:pStyle w:val="TextoNormal"/>
      </w:pPr>
      <w:r>
        <w:t>Esta circunstancia pudiera haber sido considerada insuficiente por los órganos judiciales para realizar un nuevo juicio de proporcionalidad o, en su caso, haber cambiado o no el juicio de proporcionalidad en atención a que introducía un nuevo elemento de vulnerabilidad como es la protección de una persona con discapacidad recién nacida. No obstante, en sí misma considerada, era lo suficientemente relevante como para que los órganos judiciales hubieran ponderado si, frente a la literalidad de las causas de oposición legalmente previstas, las circunstancias del caso imponían no limitarse a una respuesta formalista sobre la concurrencia de una causa obstativa, fundándose en la naturaleza ejecutiva del procedimiento y la posibilidad real de haber controvertido cualquier cuestión en un declarativo previo.</w:t>
      </w:r>
    </w:p>
    <w:p w:rsidR="005728DD" w:rsidRDefault="005728DD" w:rsidP="005728DD">
      <w:pPr>
        <w:pStyle w:val="TextoNormal"/>
      </w:pPr>
    </w:p>
    <w:p w:rsidR="005728DD" w:rsidRDefault="005728DD" w:rsidP="005728DD">
      <w:pPr>
        <w:pStyle w:val="TextoNormal"/>
      </w:pPr>
      <w:r>
        <w:t>A estos efectos, el Tribunal cree procedente destacar que, de conformidad con la jurisprudencia constitucional respecto de la función tuitiva de los órganos judiciales en materias que puedan afectar a menores (así, STC 178/2020, de 14 de diciembre, FJ 3), tampoco las limitaciones legales de oposición previstas en determinadas normas procesales pueden imponerse con un formalismo rigorista.</w:t>
      </w:r>
    </w:p>
    <w:p w:rsidR="005728DD" w:rsidRDefault="005728DD" w:rsidP="005728DD">
      <w:pPr>
        <w:pStyle w:val="TextoNormal"/>
      </w:pPr>
    </w:p>
    <w:p w:rsidR="005728DD" w:rsidRDefault="005728DD" w:rsidP="005728DD">
      <w:pPr>
        <w:pStyle w:val="TextoNormal"/>
      </w:pPr>
      <w:r>
        <w:t>Un listado cerrado o tasado de oposición previsto en una norma procesal, que responde a unos fines legítimos muy concretos, no exime del deber de motivación reforzada que incumbe al órgano judicial cuando puede estar afectada la protección de los menores, de las personas con discapacidad y de las familias dispensada por la Constitución y los instrumentos normativos del derecho regional e internacional de derechos humanos suscritos por España.</w:t>
      </w:r>
    </w:p>
    <w:p w:rsidR="005728DD" w:rsidRDefault="005728DD" w:rsidP="005728DD">
      <w:pPr>
        <w:pStyle w:val="TextoNormal"/>
      </w:pPr>
    </w:p>
    <w:p w:rsidR="005728DD" w:rsidRDefault="005728DD" w:rsidP="005728DD">
      <w:pPr>
        <w:pStyle w:val="TextoNormal"/>
      </w:pPr>
      <w:r>
        <w:lastRenderedPageBreak/>
        <w:t>Por tanto, en el presente caso, el Tribunal concluye que en las circunstancias concurrentes una respuesta como la dada por los órganos judiciales a la demandante de amparo, que se limita a constatar la inexistencia legal de una causa de oposición a la ejecución, que se fundamentaba en determinados aspectos sobrevenidos al procedimiento declarativo y se basaba en garantías constitucionales, como son las reconocidas en los arts. 39 y 49 CE y en derechos fundamentales reconocidos en instrumentos internaciones, vulnera el derecho a la tutela judicial efectiva (art. 24.1 CE).</w:t>
      </w:r>
    </w:p>
    <w:p w:rsidR="005728DD" w:rsidRDefault="005728DD" w:rsidP="005728DD">
      <w:pPr>
        <w:pStyle w:val="TextoNormal"/>
      </w:pPr>
    </w:p>
    <w:p w:rsidR="005728DD" w:rsidRDefault="005728DD" w:rsidP="005728DD">
      <w:pPr>
        <w:pStyle w:val="TextoNormal"/>
      </w:pPr>
      <w:r>
        <w:t>(ii) El Tribunal también constata, en relación con la solicitud de la ampliación del plazo para ejecutar el desalojo, que dicha solicitud, fundamentada en las mismas razones de fondo que la causa de oposición, fue desestimada con idéntico argumento de la falta de cobertura legal. En este caso se da la circunstancia que la propia demandante de amparo no solicitaba un aplazamiento indefinido sino vinculado a que por la administración pública competente pudiera aportarse una solución habitacional y escolar o, al menos, por seis meses en atención a la escolarización de los menores afectados por el desalojo.</w:t>
      </w:r>
    </w:p>
    <w:p w:rsidR="005728DD" w:rsidRDefault="005728DD" w:rsidP="005728DD">
      <w:pPr>
        <w:pStyle w:val="TextoNormal"/>
      </w:pPr>
    </w:p>
    <w:p w:rsidR="005728DD" w:rsidRDefault="005728DD" w:rsidP="005728DD">
      <w:pPr>
        <w:pStyle w:val="TextoNormal"/>
      </w:pPr>
      <w:r>
        <w:t>Respecto de la respuesta judicial a esta petición, que era un simple aplazamiento con una determinación temporal cierta y que quedaba enmarcada de una manera natural dentro del procedimiento de ejecución de títulos judiciales, debe concluirse también, por las razones ya expuestas, que por un exceso de formalismo rigorista implica la vulneración del derecho a la tutela judicial efectiva de la demandante de amparo (art. 24.1 CE).</w:t>
      </w:r>
    </w:p>
    <w:p w:rsidR="005728DD" w:rsidRDefault="005728DD" w:rsidP="005728DD">
      <w:pPr>
        <w:pStyle w:val="TextoNormal"/>
      </w:pPr>
    </w:p>
    <w:p w:rsidR="005728DD" w:rsidRDefault="005728DD" w:rsidP="005728DD">
      <w:pPr>
        <w:pStyle w:val="TextoNormal"/>
      </w:pPr>
      <w:r>
        <w:t>Por tanto, el Tribunal acuerda la estimación de este recurso de amparo por la vulneración aducida del derecho a la tutela judicial efectiva con la anulación de las resoluciones judiciales impugnadas y la retroacción de actuaciones para que se pronuncie una nueva resolución judicial respetuosa con el derecho fundamental reconocido, lo que determina que no resulte preciso pronunciarse sobre el resto de las vulneraciones alegadas.</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M.S.C. y, en su virtud:</w:t>
      </w:r>
    </w:p>
    <w:p w:rsidR="005728DD" w:rsidRDefault="005728DD" w:rsidP="005728DD">
      <w:pPr>
        <w:pStyle w:val="TextoNormal"/>
      </w:pPr>
    </w:p>
    <w:p w:rsidR="005728DD" w:rsidRDefault="005728DD" w:rsidP="005728DD">
      <w:pPr>
        <w:pStyle w:val="TextoNormal"/>
      </w:pPr>
      <w:r>
        <w:t>1º Declarar que ha sido vulnerado el derecho de la demandante de amparo a la tutela judicial efectiva sin indefensión (art. 24.1 CE).</w:t>
      </w:r>
    </w:p>
    <w:p w:rsidR="005728DD" w:rsidRDefault="005728DD" w:rsidP="005728DD">
      <w:pPr>
        <w:pStyle w:val="TextoNormal"/>
      </w:pPr>
    </w:p>
    <w:p w:rsidR="005728DD" w:rsidRDefault="005728DD" w:rsidP="005728DD">
      <w:pPr>
        <w:pStyle w:val="TextoNormal"/>
      </w:pPr>
      <w:r>
        <w:t>2º Restablecerle en su derecho y, a tal fin, declarar la nulidad del auto del Juzgado de Primera Instancia e Instrucción núm. 2 de Getafe, núm. 118/2017, de 1 de junio de 2017, pronunciado en el procedimiento de ejecución de títulos judiciales núm. 33-2017; y el auto de la Sección vigesimoprimera de la Audiencia Provincial de Madrid de 16 de mayo de 2018, pronunciado en el recurso de apelación núm. 560-2017.</w:t>
      </w:r>
    </w:p>
    <w:p w:rsidR="005728DD" w:rsidRDefault="005728DD" w:rsidP="005728DD">
      <w:pPr>
        <w:pStyle w:val="TextoNormal"/>
      </w:pPr>
    </w:p>
    <w:p w:rsidR="005728DD" w:rsidRDefault="005728DD" w:rsidP="005728DD">
      <w:pPr>
        <w:pStyle w:val="TextoNormal"/>
      </w:pPr>
      <w:r>
        <w:t>3º Retrotraer las actuaciones al momento inmediatamente anterior a la primera de las resoluciones citadas para que se pronuncie una nueva resolución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lastRenderedPageBreak/>
        <w:t>Dada en Madrid, a treinta y uno de mayo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Ricardo Enríquez Sancho a la sentencia dictada en el recurso de amparo núm. 3533-2018</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3533-2018, que ha estimado la demanda interpuesta al entender que en un procedimiento de ejecución de título judicial, consistente en la orden de lanzamiento de una vivienda ocupada sin título alguno por la recurrente y sus tres hijos menores de edad, los órganos judiciales competentes tenían que haber dado una respuesta suficientemente motivada sobre el fondo de la solicitud de oposición a la ejecución para permanecer en el inmueble sin plazo, o subsidiariamente “hasta que por los servicios sociales se les concediera una solución habitacional y escolar, o, al menos, por un plazo mínimo de seis meses hasta que concluyera el curso escolar”.</w:t>
      </w:r>
    </w:p>
    <w:p w:rsidR="005728DD" w:rsidRDefault="005728DD" w:rsidP="005728DD">
      <w:pPr>
        <w:pStyle w:val="TextoNormal"/>
      </w:pPr>
    </w:p>
    <w:p w:rsidR="005728DD" w:rsidRDefault="005728DD" w:rsidP="005728DD">
      <w:pPr>
        <w:pStyle w:val="TextoNormal"/>
      </w:pPr>
      <w:r>
        <w:t>Las resoluciones impugnadas razonaron que no era posible acceder a lo solicitado por no prever la ley las circunstancias familiares de la parte ejecutada dentro de las causas tasadas de oposición a la ejecución (arts. 556 y siguientes de la Ley de enjuiciamiento civil: LEC). La sentencia mayoritaria tacha esta respuesta de vulneradora del derecho a la tutela judicial de la recurrente (art. 24.1 CE), pues en virtud de un deber de motivación reforzada al estar afectada la protección de la familia y los menores de edad (art. 39 CE), uno de ellos discapacitado (art. 49 CE), los órganos judiciales no solamente debieron resolver sobre el fondo de lo alegado, sino que estaban obligados a hacerlo —y así se les exige ahora que lo hagan— aplicando de manera preferente el principio del interés superior del menor.</w:t>
      </w:r>
    </w:p>
    <w:p w:rsidR="005728DD" w:rsidRDefault="005728DD" w:rsidP="005728DD">
      <w:pPr>
        <w:pStyle w:val="TextoNormal"/>
      </w:pPr>
    </w:p>
    <w:p w:rsidR="005728DD" w:rsidRDefault="005728DD" w:rsidP="005728DD">
      <w:pPr>
        <w:pStyle w:val="TextoNormal"/>
      </w:pPr>
      <w:r>
        <w:t>Lo que la sentencia de la que discrepo auspicia, para entendernos, no es otra cosa sino la introducción de una nueva causa de oposición a la ejecución civil de títulos judiciales no recogida en la ley: las circunstancias familiares de la parte ejecutada con hijos menores de edad. Como tal nueva causa de oposición a la ejecución, el juez competente debe resolver si el desalojo de la vivienda se paraliza hasta que los hijos menores alcancen la mayoría de edad, o si se limita esa suspensión ejecutiva a un plazo determinado (medido en semanas, meses o años) con arreglo a otros factores. Y si el menor presenta alguna discapacidad, también tendrá que decidir si permanecer este en el inmueble ocupado sin título se antoja adecuado a su interés superior, hasta que sane de su discapacidad si resulta médicamente posible, o hasta la fijación de otro plazo distinto. Todo ello, sin arreglo a parámetro legal alguno de referencia, y según lo que parezca más adecuado al interés del menor en cada caso. Esto es lo que ha resuelto la sentencia mayoritaria y no simplemente exigir al juez que motive más o mejor su respuesta. Baso frente a este parecer mi discrepancia en las razones siguientes:</w:t>
      </w:r>
    </w:p>
    <w:p w:rsidR="005728DD" w:rsidRDefault="005728DD" w:rsidP="005728DD">
      <w:pPr>
        <w:pStyle w:val="TextoNormal"/>
      </w:pPr>
    </w:p>
    <w:p w:rsidR="005728DD" w:rsidRDefault="005728DD" w:rsidP="005728DD">
      <w:pPr>
        <w:pStyle w:val="TextoNormal"/>
      </w:pPr>
      <w:r>
        <w:t>1. La doctrina de este tribunal declara reiteradamente que la fijación de las causas de oposición a la ejecución es materia de configuración legal; no cabe por tanto reprochar al legislador la elección de causas tasadas, excluyendo otras:</w:t>
      </w:r>
    </w:p>
    <w:p w:rsidR="005728DD" w:rsidRDefault="005728DD" w:rsidP="005728DD">
      <w:pPr>
        <w:pStyle w:val="TextoNormal"/>
      </w:pPr>
    </w:p>
    <w:p w:rsidR="005728DD" w:rsidRDefault="005728DD" w:rsidP="005728DD">
      <w:pPr>
        <w:pStyle w:val="TextoNormal"/>
      </w:pPr>
      <w:r>
        <w:t xml:space="preserve">Para no extenderme demasiado en este punto me limitaré a recordar dos pronunciamientos que ha emitido el Pleno de este Tribunal, los cuales guardan relación directa con lo que </w:t>
      </w:r>
      <w:r>
        <w:lastRenderedPageBreak/>
        <w:t>aquí se trata. El primero de ellos fue el dictado en el ATC 113/2011, de 19 de julio, que resolvió la cuestión de inconstitucionalidad formulada contra el art. 695 LEC porque ese precepto no recogía entonces la posibilidad de alegar como causa de oposición a la ejecución el carácter abusivo de una cláusula del contrato incumplido, y porque además remitía —y remite— al ejecutado fuera de esas causas tasadas a la vía del proceso declarativo ordinario.</w:t>
      </w:r>
    </w:p>
    <w:p w:rsidR="005728DD" w:rsidRDefault="005728DD" w:rsidP="005728DD">
      <w:pPr>
        <w:pStyle w:val="TextoNormal"/>
      </w:pPr>
    </w:p>
    <w:p w:rsidR="005728DD" w:rsidRDefault="005728DD" w:rsidP="005728DD">
      <w:pPr>
        <w:pStyle w:val="TextoNormal"/>
      </w:pPr>
      <w:r>
        <w:t>La cuestión resultó inadmitida por notoriamente infundada, con cita de las SSTC 41/1981, de 18 de diciembre, FFJJ 5 y 6, y 217/1993, de 30 de junio, FJ 2, concluyendo el FJ 4 de ese ATC 113/2011 que “este tribunal ya ha despejado las dudas formuladas, declarando la conformidad del régimen procesal cuestionado con el referido derecho fundamental, de cuya hipotética vulneración el órgano proponente hace depender la lesión de otros derechos y principios constitucionales, como la interdicción de la arbitrariedad (art. 9.3 CE) y el derecho a una vivienda digna (art. 47 CE), que en consecuencia carece de justificación a la luz del examen realizado […]; la cuestión de inconstitucionalidad no es cauce procesal idóneo para que los órganos jurisdiccionales puedan cuestionar de modo genérico o abstracto la constitucionalidad de un régimen o esquema legal (por lo que aquí interesa el proceso de ejecución hipotecaria) por contraste con un hipotético modelo alternativo, que no le compete formular al órgano proponente ni corresponde valorar a este Tribunal Constitucional por ser materia de la exclusiva competencia del legislador, dentro de cuyos límites constitucionales dispone de un amplio margen de libertad de elección que este tribunal ni puede ni debe restringir”.</w:t>
      </w:r>
    </w:p>
    <w:p w:rsidR="005728DD" w:rsidRDefault="005728DD" w:rsidP="005728DD">
      <w:pPr>
        <w:pStyle w:val="TextoNormal"/>
      </w:pPr>
    </w:p>
    <w:p w:rsidR="005728DD" w:rsidRDefault="005728DD" w:rsidP="005728DD">
      <w:pPr>
        <w:pStyle w:val="TextoNormal"/>
      </w:pPr>
      <w:r>
        <w:t xml:space="preserve">El segundo pronunciamiento, más reciente, es la STC 32/2019, de 28 de febrero, que resolvió el recurso de inconstitucionalidad promovido contra varios artículos de la Ley 5/2018, de 11 de junio, de modificación de la Ley 1/2000, de 7 de enero, de enjuiciamiento civil, en relación con la ocupación ilegal de viviendas. Como es sabido, además del juicio declarativo ordinario existen en el orden jurisdiccional civil algunas especialidades procesales para la tutela del derecho de posesión: la del desahucio por precario del art. 250.1.2 LEC, la tutela sumaria de la posesión </w:t>
      </w:r>
      <w:r w:rsidRPr="005728DD">
        <w:rPr>
          <w:i/>
        </w:rPr>
        <w:t>ex</w:t>
      </w:r>
      <w:r>
        <w:t xml:space="preserve"> art. 250.1.4 LEC, y el procedimiento para la protección del derecho real inscrito del art. 250.1.7 LEC, este último utilizado en la instancia por la entidad actora contra la aquí recurrente, como luego se dirá. La Ley 5/2018 se ocupa del segundo de esos procedimientos (el del art. 250.1.4 LEC), disponiendo algunas reglas aceleratorias de las actuaciones; y junto a ellas y con carácter general para todo proceso cuya estimación conlleve el resultado de un desahucio, la obligación al juez para que: “Cuando la notificación de la resolución contenga fijación de fecha para el lanzamiento de quienes ocupan una vivienda, se dará traslado a los servicios públicos competentes en materia de política social por si procediera su actuación, siempre que se hubiera otorgado el consentimiento por los interesados” (nuevo apartado 4 del art. 150 LEC). Notificación que reaparece en el proceso de tutela sumaria de la posesión en caso de estimarse la demanda: “en la misma resolución en que se acuerde la entrega de la posesión de la vivienda al demandante y el desalojo de los ocupantes, se ordenará comunicar tal circunstancia, siempre que se hubiera otorgado el consentimiento por los interesados, a los servicios públicos competentes en materia de política social, para que, en el plazo de siete días, puedan adoptar las medidas de protección que en su caso procedan” (nuevo art. 441.1 </w:t>
      </w:r>
      <w:r w:rsidRPr="005728DD">
        <w:rPr>
          <w:i/>
        </w:rPr>
        <w:t>bis</w:t>
      </w:r>
      <w:r>
        <w:t>, último párrafo LEC, en relación con la disposición adicional de la Ley 5/2018). No se previó en cambio la posibilidad de suspensión judicial del lanzamiento en función de las circunstancias familiares del demandado, o hasta tanto los servicios sociales le proporcionaran una solución habitacional.</w:t>
      </w:r>
    </w:p>
    <w:p w:rsidR="005728DD" w:rsidRDefault="005728DD" w:rsidP="005728DD">
      <w:pPr>
        <w:pStyle w:val="TextoNormal"/>
      </w:pPr>
    </w:p>
    <w:p w:rsidR="005728DD" w:rsidRDefault="005728DD" w:rsidP="005728DD">
      <w:pPr>
        <w:pStyle w:val="TextoNormal"/>
      </w:pPr>
      <w:r>
        <w:t>La citada STC 32/2019 del Pleno, declaró en su fundamento jurídico 5 que las medidas procesales precitadas no lesionaban por insuficientes los derechos a la tutela judicial efectiva (art. 24.1 CE) y a la inviolabilidad del domicilio (art. 18.2 CE), pues en todo caso no corresponde al juez civil sino “a las distintas administraciones públicas, en el ámbito de sus competencias en materia de vivienda y servicios sociales, articular las medidas necesarias para prevenir situaciones de exclusión residencial y para que resulte eficaz la comunicación prevista en los preceptos referidos, a fin de dar respuesta adecuada y lo más pronta posible a los casos de vulnerabilidad que pudieran producirse como consecuencia del desalojo judicial de ocupantes de viviendas, según determina expresamente la propia Ley 5/2018 en su disposición adicional”. Y desestimó también la posible contradicción de esas reglas procesales con el derecho a una vivienda digna del art. 47 CE, porque “ese mandato dirigido a los poderes públicos no es incompatible en modo alguno con el establecimiento por el legislador de procedimientos judiciales para dirimir las controversias que puedan suscitarse acerca del mejor derecho en relación con la titularidad y posesión sobre los bienes inmuebles; con el consiguiente derecho de quien hubiera obtenido una resolución judicial a su favor que decrete el desalojo del ocupante a instar la ejecución de dicha resolución. El derecho a la tutela judicial efectiva (art. 24.1 CE) comprende también el derecho a la ejecución de las sentencias y demás resoluciones judiciales en sus propios términos (art. 118 CE), conforme tiene señalado de manera reiterada la jurisprudencia constitucional (SSTC 32/1982, de 7 de junio, FJ 2; 61/1984, de 16 de mayo, FJ 1; 148/1989, de 21 de septiembre, FJ 2; 120/1991, de 3 de junio, FJ 2; 153/1992, de 19 de octubre, FJ 4; 3/2002, de 14 de enero, FJ 4, y 223/2004, de 29 de noviembre, FJ 5, entre otras muchas)” [STC 32/2019, FJ 6].</w:t>
      </w:r>
    </w:p>
    <w:p w:rsidR="005728DD" w:rsidRDefault="005728DD" w:rsidP="005728DD">
      <w:pPr>
        <w:pStyle w:val="TextoNormal"/>
      </w:pPr>
    </w:p>
    <w:p w:rsidR="005728DD" w:rsidRDefault="005728DD" w:rsidP="005728DD">
      <w:pPr>
        <w:pStyle w:val="TextoNormal"/>
      </w:pPr>
      <w:r>
        <w:t xml:space="preserve">Previamente, en fin, el fundamento jurídico 4 de dicha STC 32/2019 advirtió “que, según ha declarado el Tribunal Europeo de Derechos Humanos (TEDH) en la sentencia de 13 de diciembre de 2018, asunto </w:t>
      </w:r>
      <w:r w:rsidRPr="005728DD">
        <w:rPr>
          <w:i/>
        </w:rPr>
        <w:t>Casa di Cura Valle Fiorita, S.R.L. c. Italia</w:t>
      </w:r>
      <w:r>
        <w:t>, la demora prolongada de las autoridades públicas a la hora de ejecutar una orden judicial de desalojo de los ocupantes ilegales de un inmueble, aun escudándose en la necesidad de planificar cuidadosamente el desalojo con el fin de preservar el orden público y garantizar la asistencia a las personas en situación de vulnerabilidad que participaron en la ocupación, vulnera el derecho del titular legítimo a un proceso equitativo que garantiza el art. 6.1 del Convenio europeo de derechos humanos (CEDH), así como su derecho de propiedad (art. 1 del Protocolo núm. 1 CEDH)”. Esa doctrina, sin embargo, ni siquiera es mencionada por la sentencia mayoritaria.</w:t>
      </w:r>
    </w:p>
    <w:p w:rsidR="005728DD" w:rsidRDefault="005728DD" w:rsidP="005728DD">
      <w:pPr>
        <w:pStyle w:val="TextoNormal"/>
      </w:pPr>
    </w:p>
    <w:p w:rsidR="005728DD" w:rsidRDefault="005728DD" w:rsidP="005728DD">
      <w:pPr>
        <w:pStyle w:val="TextoNormal"/>
      </w:pPr>
      <w:r>
        <w:t>En realidad, la única excepción que hemos reconocido para poder suscitar cuestiones ajenas a las causas tasadas de oposición previstas en la ley, en concreto en el proceso ejecutivo hipotecario, son aquellas circunstancias procesales cuya concurrencia condicione la existencia misma de ese proceso ejecutivo (SSTC 39/2015, de 2 de marzo, FJ 6, y 49/2016, de 14 de marzo, FJ 4).</w:t>
      </w:r>
    </w:p>
    <w:p w:rsidR="005728DD" w:rsidRDefault="005728DD" w:rsidP="005728DD">
      <w:pPr>
        <w:pStyle w:val="TextoNormal"/>
      </w:pPr>
    </w:p>
    <w:p w:rsidR="005728DD" w:rsidRDefault="005728DD" w:rsidP="005728DD">
      <w:pPr>
        <w:pStyle w:val="TextoNormal"/>
      </w:pPr>
      <w:r>
        <w:t xml:space="preserve">Corresponde por tanto al legislador, no a los jueces ni a este Tribunal Constitucional, articular las causas de oposición en los procesos civiles declarativos y de ejecución, y prever en su caso las condiciones para autorizar la paralización de la orden de desalojo de bienes inmuebles. Así se ha hecho en la Ley 1/2013, de 14 de mayo, de medidas para reforzar la protección a los deudores hipotecarios, reestructuración de deuda y alquiler social, en los procesos ejecutivos hipotecarios judicial y extrajudicial (art. 129 de la Ley hipotecaria: LH), </w:t>
      </w:r>
      <w:r>
        <w:lastRenderedPageBreak/>
        <w:t>cuando los ejecutados son personas que se encuentran en supuestos de especial vulnerabilidad y cumplen con los requisitos del art. 1; medida que tras varias prórrogas tiene vigencia hasta el 15 de mayo de 2024, conforme al art. 2 del Real Decreto-ley 6/2020, de 10 de marzo, “[h]asta transcurridos once años desde la entrada en vigor de esta Ley”. Por razones sanitarias derivadas de la pandemia del COVID-19, se ha previsto también la suspensión del lanzamiento en los procedimientos de desahucio de arrendamiento, y en aquellos con especialidades para la tutela de la posesión (los apartados 2, 4 y 7 del artículo 250.1 LEC), medida actualmente prorrogada hasta el 9 de agosto de 2021 por el art. 2 del Real Decreto-ley 8/2021, de 4 de mayo (acuerdo de convalidación por el Congreso de los Diputados de 20 de mayo de 2021, publicado en el “BOE” núm. 126, del 27 de mayo de 2021).</w:t>
      </w:r>
    </w:p>
    <w:p w:rsidR="005728DD" w:rsidRDefault="005728DD" w:rsidP="005728DD">
      <w:pPr>
        <w:pStyle w:val="TextoNormal"/>
      </w:pPr>
    </w:p>
    <w:p w:rsidR="005728DD" w:rsidRDefault="005728DD" w:rsidP="005728DD">
      <w:pPr>
        <w:pStyle w:val="TextoNormal"/>
      </w:pPr>
      <w:r>
        <w:t>Son pues estas previsiones legales expresas las que el juez civil, según el tipo de proceso de que se trate, ha de aplicar (salvo que considerase necesario elevar respecto de alguna de ellas cuestión de inconstitucionalidad ante este tribunal, lo que nos llevaría a pronunciarnos). Pero no cabe pretender del juez civil que instrumente sin ninguna cobertura legal, una causa con eficacia suspensiva o resolutoria del procedimiento.</w:t>
      </w:r>
    </w:p>
    <w:p w:rsidR="005728DD" w:rsidRDefault="005728DD" w:rsidP="005728DD">
      <w:pPr>
        <w:pStyle w:val="TextoNormal"/>
      </w:pPr>
    </w:p>
    <w:p w:rsidR="005728DD" w:rsidRDefault="005728DD" w:rsidP="005728DD">
      <w:pPr>
        <w:pStyle w:val="TextoNormal"/>
      </w:pPr>
      <w:r>
        <w:t>2. El significado de la motivación reforzada, y el interés superior del menor:</w:t>
      </w:r>
    </w:p>
    <w:p w:rsidR="005728DD" w:rsidRDefault="005728DD" w:rsidP="005728DD">
      <w:pPr>
        <w:pStyle w:val="TextoNormal"/>
      </w:pPr>
    </w:p>
    <w:p w:rsidR="005728DD" w:rsidRDefault="005728DD" w:rsidP="005728DD">
      <w:pPr>
        <w:pStyle w:val="TextoNormal"/>
      </w:pPr>
      <w:r>
        <w:t xml:space="preserve">La sentencia mayoritaria, se ha dicho ya, aduce el deber de motivación reforzada y el interés superior del menor como los dos factores que obligan al juez </w:t>
      </w:r>
      <w:r w:rsidRPr="005728DD">
        <w:rPr>
          <w:i/>
        </w:rPr>
        <w:t>a quo</w:t>
      </w:r>
      <w:r>
        <w:t xml:space="preserve"> a examinar las circunstancias familiares alegadas en el trámite de oposición a la ejecución por la defensa de la recurrente, y eventualmente para admitir dicha causa </w:t>
      </w:r>
      <w:r w:rsidRPr="005728DD">
        <w:rPr>
          <w:i/>
        </w:rPr>
        <w:t>alegal</w:t>
      </w:r>
      <w:r>
        <w:t xml:space="preserve"> de oposición. Dos observaciones se imponen al respecto:</w:t>
      </w:r>
    </w:p>
    <w:p w:rsidR="005728DD" w:rsidRDefault="005728DD" w:rsidP="005728DD">
      <w:pPr>
        <w:pStyle w:val="TextoNormal"/>
      </w:pPr>
    </w:p>
    <w:p w:rsidR="005728DD" w:rsidRDefault="005728DD" w:rsidP="005728DD">
      <w:pPr>
        <w:pStyle w:val="TextoNormal"/>
      </w:pPr>
      <w:r>
        <w:t>a) Por lo que atañe al deber de motivación judicial reforzada, en concreto cuando están implicados derechos fundamentales sustantivos o intereses de relevancia constitucional, su significado correctamente se explica por la sentencia mayoritaria en el fundamento jurídico 2 a) (ii), al decir que supone “la obligación de que se exteriorice el nexo de coherencia entre la decisión adoptada, la norma que le sirve de fundamento y los fines que justifican la institución. No cabe una motivación estereotipada ni la mera constatación apodíctica de que ‘no se cumplen las circunstancias’ que la ley exige ni la justificación en el carácter discrecional de la potestad que se ejerce”.</w:t>
      </w:r>
    </w:p>
    <w:p w:rsidR="005728DD" w:rsidRDefault="005728DD" w:rsidP="005728DD">
      <w:pPr>
        <w:pStyle w:val="TextoNormal"/>
      </w:pPr>
    </w:p>
    <w:p w:rsidR="005728DD" w:rsidRDefault="005728DD" w:rsidP="005728DD">
      <w:pPr>
        <w:pStyle w:val="TextoNormal"/>
      </w:pPr>
      <w:r>
        <w:t>Tal es lo que significa la motivación reforzada, pero solamente eso. La motivación reforzada no es el juicio de ponderación en sí mismo entre derechos y/o bienes constitucionalmente protegibles, el cual fragua en el intelecto del juez con el manejo de las fuentes pertinentes del ordenamiento, y es solo después cuando procede a exteriorizar dicho juicio en su resolución. Desde luego, la motivación reforzada no concede derechos subjetivos al margen de ese ordenamiento, tan solo facilita la comprensión de lo que se ha juzgado.</w:t>
      </w:r>
    </w:p>
    <w:p w:rsidR="005728DD" w:rsidRDefault="005728DD" w:rsidP="005728DD">
      <w:pPr>
        <w:pStyle w:val="TextoNormal"/>
      </w:pPr>
    </w:p>
    <w:p w:rsidR="005728DD" w:rsidRDefault="005728DD" w:rsidP="005728DD">
      <w:pPr>
        <w:pStyle w:val="TextoNormal"/>
      </w:pPr>
      <w:r>
        <w:t xml:space="preserve">Bajo esa perspectiva, las resoluciones aquí recurridas explicaron que en el proceso de ejecución de título judicial abierto contra la recurrente, no se permite discutir circunstancias ajenas a las previstas en la propia ley, entre las cuales no aparecen las invocadas en el escrito de oposición a la ejecución (y ulterior recurso de apelación). Esa respuesta de doble instancia, aunque insatisfactoria para la recurrente, no adolecía de una falta de motivación reforzada, pues expresamente se estaba refiriendo al contenido de sus alegaciones y a la norma del procedimiento a cuyo cumplimiento el juez se halla obligado en todo momento, por lo </w:t>
      </w:r>
      <w:r>
        <w:lastRenderedPageBreak/>
        <w:t>que la decisión de rechazar aquella oposición se motivó en términos inteligibles, razonados y suficientes.</w:t>
      </w:r>
    </w:p>
    <w:p w:rsidR="005728DD" w:rsidRDefault="005728DD" w:rsidP="005728DD">
      <w:pPr>
        <w:pStyle w:val="TextoNormal"/>
      </w:pPr>
    </w:p>
    <w:p w:rsidR="005728DD" w:rsidRDefault="005728DD" w:rsidP="005728DD">
      <w:pPr>
        <w:pStyle w:val="TextoNormal"/>
      </w:pPr>
      <w:r>
        <w:t>b) Respecto de la necesidad de ponderar el interés superior del menor, principio reiteradamente recogido en nuestra doctrina constitucional y que ofrece además previsión expresa entre otros en los arts. 2 y 3 (el cual remite a los instrumentos internacionales suscritos por España en la materia) de la Ley Orgánica 1/1996, de 15 de enero, de protección jurídica del menor, es correcta la doctrina que se transcribe en el fundamento jurídico 2 b) de la sentencia mayoritaria. No lo es, en cambio, la aplicación que se hace de ella en el fundamento jurídico 3, con los efectos inéditos que a la misma se le atribuyen. Basten dos observaciones en este punto:</w:t>
      </w:r>
    </w:p>
    <w:p w:rsidR="005728DD" w:rsidRDefault="005728DD" w:rsidP="005728DD">
      <w:pPr>
        <w:pStyle w:val="TextoNormal"/>
      </w:pPr>
    </w:p>
    <w:p w:rsidR="005728DD" w:rsidRDefault="005728DD" w:rsidP="005728DD">
      <w:pPr>
        <w:pStyle w:val="TextoNormal"/>
      </w:pPr>
      <w:r>
        <w:t>(i) La primera es que la sentencia mayoritaria omite recordar, como por ejemplo hace la STC 99/2019, de 18 de julio, FJ 7 (citada en aquella solo parcialmente), que el mandato del art. 39 CE precisa de normas legales de desarrollo, siendo así que este tribunal “ha admitido expresamente que el art. 39 CE incorpora un mandato dirigido a los poderes públicos para que atiendan de un modo preferente la situación del menor de edad, estableciendo regímenes especiales de tutela allí donde el legislador, dentro del amplio margen que enmarca la Constitución, lo considere necesario”; es decir, “el interés superior del menor inherente a algunas de las previsiones del art. 39 CE es, considerado en abstracto, un bien constitucional suficientemente relevante para motivar la adopción de medidas legales que restrinjan derechos y principios constitucionales”. Intervención por tanto necesaria del legislador, que luego y solo así ha de aplicar después el intérprete.</w:t>
      </w:r>
    </w:p>
    <w:p w:rsidR="005728DD" w:rsidRDefault="005728DD" w:rsidP="005728DD">
      <w:pPr>
        <w:pStyle w:val="TextoNormal"/>
      </w:pPr>
    </w:p>
    <w:p w:rsidR="005728DD" w:rsidRDefault="005728DD" w:rsidP="005728DD">
      <w:pPr>
        <w:pStyle w:val="TextoNormal"/>
      </w:pPr>
      <w:r>
        <w:t>(ii) La segunda observación, no menos relevante, es que la doctrina que recoge la sentencia mayoritaria como expresiva de la aplicación del interés superior del menor, se refiere siempre a situaciones en las que o bien se cuestiona la constitucionalidad de la norma legal que concreta el mandato de protección (así, SSTC 64/2019 y 99/2019), lo que presupone la existencia de dicha norma, o bien se reprocha al juez no haber efectuado una ponderación correcta dentro de las posibilidades que la disposición legal o reglamentaria le permitía: SSTC 141/2000, 217/2009 y 138/2014, de 8 de septiembre, sobre fijación del régimen de visitas a los hijos —o nietos— menores; STC 221/2002, de 24 de noviembre, de valoración del riesgo de salud psíquica de menor que se ordena reintegrar en la familia adoptiva; STC 127/2013, de 3 de junio, atribución de competencia de los tribunales españoles para conocer de un supuesto de sustracción internacional de menores; o STC 178/2020, de 14 de diciembre, fijación del orden de los apellidos de un menor de edad tras la declaración judicial de paternidad de su progenitor.</w:t>
      </w:r>
    </w:p>
    <w:p w:rsidR="005728DD" w:rsidRDefault="005728DD" w:rsidP="005728DD">
      <w:pPr>
        <w:pStyle w:val="TextoNormal"/>
      </w:pPr>
    </w:p>
    <w:p w:rsidR="005728DD" w:rsidRDefault="005728DD" w:rsidP="005728DD">
      <w:pPr>
        <w:pStyle w:val="TextoNormal"/>
      </w:pPr>
      <w:r>
        <w:t>Lo mismo sucede con las sentencias que se citan en la sentencia mayoritaria a propósito del deber de motivación reforzada y la protección de personas con discapacidad, donde se cuestiona la propia constitucionalidad de la norma de desarrollo (STC 18/2017, materia competencial), o la decisión judicial de aplicación de las leyes: STC 208/2013, protección del derecho al honor y a la propia imagen tras aparición en programa de televisión; STC 10/2014, escolarización de un menor en un centro de educación especial; STC 3/2018, denegación de servicio público de salud mental a partir de una cierta edad; y STC 51/2021, imposición de sanción disciplinaria por incumplimiento reiterado de las obligaciones de su trabajo.</w:t>
      </w:r>
    </w:p>
    <w:p w:rsidR="005728DD" w:rsidRDefault="005728DD" w:rsidP="005728DD">
      <w:pPr>
        <w:pStyle w:val="TextoNormal"/>
      </w:pPr>
    </w:p>
    <w:p w:rsidR="005728DD" w:rsidRDefault="005728DD" w:rsidP="005728DD">
      <w:pPr>
        <w:pStyle w:val="TextoNormal"/>
      </w:pPr>
      <w:r>
        <w:lastRenderedPageBreak/>
        <w:t>Pues bien: lejos de limitarse al control que se evidencia en aquellas resoluciones, la sentencia mayoritaria ha ido más lejos al elevar el interés superior del menor a la categoría de título exclusivo para otorgar derechos que las leyes no recogen, imponer deberes al juez que carece de competencia para ejercerlos, produciendo además el simultáneo menoscabo del derecho ajeno tan constitucionalmente protegible, como lo es el derecho fundamental a la tutela judicial efectiva (art. 24.1 CE) y el derecho de propiedad (art. 33 CE, este no en amparo) de la parte ejecutante en la instancia, aquí personada.</w:t>
      </w:r>
    </w:p>
    <w:p w:rsidR="005728DD" w:rsidRDefault="005728DD" w:rsidP="005728DD">
      <w:pPr>
        <w:pStyle w:val="TextoNormal"/>
      </w:pPr>
    </w:p>
    <w:p w:rsidR="005728DD" w:rsidRDefault="005728DD" w:rsidP="005728DD">
      <w:pPr>
        <w:pStyle w:val="TextoNormal"/>
      </w:pPr>
      <w:r>
        <w:t>3. Las particularidades del proces</w:t>
      </w:r>
      <w:r w:rsidRPr="005728DD">
        <w:rPr>
          <w:i/>
        </w:rPr>
        <w:t>o a q</w:t>
      </w:r>
      <w:r>
        <w:t>uo:</w:t>
      </w:r>
    </w:p>
    <w:p w:rsidR="005728DD" w:rsidRDefault="005728DD" w:rsidP="005728DD">
      <w:pPr>
        <w:pStyle w:val="TextoNormal"/>
      </w:pPr>
    </w:p>
    <w:p w:rsidR="005728DD" w:rsidRDefault="005728DD" w:rsidP="005728DD">
      <w:pPr>
        <w:pStyle w:val="TextoNormal"/>
      </w:pPr>
      <w:r>
        <w:t>Si lo explicado hasta ahora determina que la demanda de amparo debió desestimarse, lo actuado en la vía judicial previa en este caso no hace sino reforzar esa misma apreciación. La sentencia de la que discrepo pasa por alto los siguientes datos relevantes:</w:t>
      </w:r>
    </w:p>
    <w:p w:rsidR="005728DD" w:rsidRDefault="005728DD" w:rsidP="005728DD">
      <w:pPr>
        <w:pStyle w:val="TextoNormal"/>
      </w:pPr>
    </w:p>
    <w:p w:rsidR="005728DD" w:rsidRDefault="005728DD" w:rsidP="005728DD">
      <w:pPr>
        <w:pStyle w:val="TextoNormal"/>
      </w:pPr>
      <w:r>
        <w:t xml:space="preserve">a) El desalojo de la vivienda ocupada sin título por la recurrente y sus hijos fue instado por la mercantil propietaria del inmueble, no a través de un proceso declarativo ordinario, sino de un proceso para la tutela del derecho real inscrito [procedimiento juicio verbal (Efectividad) 488-2016 ante el Juzgado de Primera Instancia e Instrucción núm. 2 de Getafe], al cual se refiere el art. 41 LH, norma que reenvía al juicio verbal del art. 250.1.7 LEC, y se cohonesta con las especialidades para este procedimiento contenidas en los arts. 439.2, 440.2, 441.3, 444.2 y 447.3 de dicha Ley de enjuiciamiento civil. En concreto, importa destacar que conforme al art. 444.2 el demandado solo podrá oponerse a la demanda si previamente ha prestado la caución determinada por el tribunal para responder de frutos percibidos, daños y costas. Caución cuya previsión legal hemos declarado que resulta respetuosa del derecho a la tutela judicial efectiva del obligado a su constitución (STC 45/2002, de 25 de febrero), aunque este goce del beneficio de justicia gratuita —como sucedía con la recurrente— al no quedar dispensada por el art. 6 de la Ley 1/1996 de asistencia jurídica gratuita, sin perjuicio de poder controlarse su imposición desproporcionada </w:t>
      </w:r>
      <w:r w:rsidRPr="005728DD">
        <w:rPr>
          <w:i/>
        </w:rPr>
        <w:t>ad casum</w:t>
      </w:r>
      <w:r>
        <w:t xml:space="preserve">. Según figura en el fundamento de Derecho primero de la sentencia dictada que ha servido como título de ejecución del proceso </w:t>
      </w:r>
      <w:r w:rsidRPr="005728DD">
        <w:rPr>
          <w:i/>
        </w:rPr>
        <w:t>a quo</w:t>
      </w:r>
      <w:r>
        <w:t>, la demandada y ahora recurrente no prestó esa caución, lo que llevó al juzgado a entender que “debe dictarse sentencia estimatoria de la demanda”.</w:t>
      </w:r>
    </w:p>
    <w:p w:rsidR="005728DD" w:rsidRDefault="005728DD" w:rsidP="005728DD">
      <w:pPr>
        <w:pStyle w:val="TextoNormal"/>
      </w:pPr>
    </w:p>
    <w:p w:rsidR="005728DD" w:rsidRDefault="005728DD" w:rsidP="005728DD">
      <w:pPr>
        <w:pStyle w:val="TextoNormal"/>
      </w:pPr>
      <w:r>
        <w:t>Además, conforme también a aquel art. 444.2 LEC, las causas de oposición en este procedimiento son tasadas y se refieren a la falsedad del título registral u omisión en esta de derechos o condiciones inscritas que desvirtúen la acción, el poseer el demandado la finca por contrato u otra relación jurídica directa con el titular actual o anteriores o por prescripción, el estar inscrita la finca en el registro a favor del demandado, y en fin, no ser la finca inscrita la que posee el demandado. No constan en la sentencia las alegaciones que pudo efectuar la representación procesal de la aquí recurrente, pero sí se recoge: (i) que la recurrente, y esto es importante, “efectuó comparecencia identificándose como única ocupante” del inmueble (antecedente de hecho segundo), y (ii) que lo alegado en todo caso por la recurrente, “no se encuentra dentro de las [causas] comprendidas en el art. 444.2 LEC, lo que conllevaría el mismo resultado estimatorio de la demanda” (FJ 1).</w:t>
      </w:r>
    </w:p>
    <w:p w:rsidR="005728DD" w:rsidRDefault="005728DD" w:rsidP="005728DD">
      <w:pPr>
        <w:pStyle w:val="TextoNormal"/>
      </w:pPr>
    </w:p>
    <w:p w:rsidR="005728DD" w:rsidRDefault="005728DD" w:rsidP="005728DD">
      <w:pPr>
        <w:pStyle w:val="TextoNormal"/>
      </w:pPr>
      <w:r>
        <w:t xml:space="preserve">La sentencia mayoritaria de la que discrepo, señala en el FJ 3 b) (i), que en dicho procedimiento declarativo la demandante de amparo “tuvo una posibilidad efectiva y sin ningún tipo de limitación para plantear las diversas invocaciones que pudiera considerar adecuadas a la defensa de sus intereses y los de su familia, incluyendo la falta de proporcionalidad de </w:t>
      </w:r>
      <w:r>
        <w:lastRenderedPageBreak/>
        <w:t>una decisión de desalojo derivada de la situación de precariedad económica, el superior interés de los menores afectados, la ausencia de una alternativa habitacional”. Esta afirmación sin embargo no se corresponde con la realidad procesal que acaba de indicarse. Lo cierto es que si la recurrente consideró que alguna indefensión se le había causado en ese proceso, porque no se atendió a la situación de sus hijos menores, pudo y debió agotar la vía impugnatoria previa (apelación o incidente de nulidad de actuaciones, al menos), donde ya habría podido referirse a la discapacidad motriz de su hijo nacido el 12 de febrero de 2017, y en su caso después promover recurso de amparo contra aquella sentencia, cosa que no hizo, aquietándose con el fallo que de tal guisa devino firme.</w:t>
      </w:r>
    </w:p>
    <w:p w:rsidR="005728DD" w:rsidRDefault="005728DD" w:rsidP="005728DD">
      <w:pPr>
        <w:pStyle w:val="TextoNormal"/>
      </w:pPr>
    </w:p>
    <w:p w:rsidR="005728DD" w:rsidRDefault="005728DD" w:rsidP="005728DD">
      <w:pPr>
        <w:pStyle w:val="TextoNormal"/>
      </w:pPr>
      <w:r>
        <w:t>b) De acuerdo con el art. 447.3 LEC, carecen de efectos de cosa juzgada (material) las sentencias que se dicten en estos procesos del art. 250.1.7 LEC. La recurrente podía haber acudido a la vía del juicio declarativo ordinario para defender sus razones para mantenerse en el inmueble, paso que tampoco consta que haya dado.</w:t>
      </w:r>
    </w:p>
    <w:p w:rsidR="005728DD" w:rsidRDefault="005728DD" w:rsidP="005728DD">
      <w:pPr>
        <w:pStyle w:val="TextoNormal"/>
      </w:pPr>
    </w:p>
    <w:p w:rsidR="005728DD" w:rsidRDefault="005728DD" w:rsidP="005728DD">
      <w:pPr>
        <w:pStyle w:val="TextoNormal"/>
      </w:pPr>
      <w:r>
        <w:t>c) Abierta ya la ejecución, tanto en el escrito de oposición a la ejecución, como en el de apelación contra el auto que desestimó aquel, la representación de la recurrente ha presentado las circunstancias familiares como motivo para paralizar el desalojo. De nuevo, pero ahora en relación con los arts. 556 y 559 LEC, aparece la imposibilidad legal de tratar tales hechos como causa de oposición siendo un proceso de ejecución de título judicial, al existir causas tasadas (pago o cumplimiento de lo ordenado en la resolución, caducidad de la acción ejecutiva, pactos o transacciones pasadas en escritura pública para evitar la ejecución —556—, o defectos procesales —559—). Y de manera llamativa, se solicita que el juez civil se dirija a los servicios sociales del ayuntamiento, cuya dirección de localización le facilita, para que pida el historial con los datos que tenga de la recurrente y sus hijos, y se provea a una solución habitacional. No consta sin embargo que aquella, o su abogado, hayan intentado en algún momento dirigirse a esos servicios sociales en procura de una vivienda, sino que ha de ser el juez civil, carente de competencias para ello, el que realice esas gestiones administrativas, permaneciendo mientras en ella.</w:t>
      </w:r>
    </w:p>
    <w:p w:rsidR="005728DD" w:rsidRDefault="005728DD" w:rsidP="005728DD">
      <w:pPr>
        <w:pStyle w:val="TextoNormal"/>
      </w:pPr>
    </w:p>
    <w:p w:rsidR="005728DD" w:rsidRDefault="005728DD" w:rsidP="005728DD">
      <w:pPr>
        <w:pStyle w:val="TextoNormal"/>
      </w:pPr>
      <w:r>
        <w:t>d) La sentencia mayoritaria de la que discrepo, finalmente, no explica en modo alguno por qué el interés superior del menor se satisface exigiéndole al juez de la ejecución que se pronuncie sobre la posibilidad de mantenerle en la vivienda ocupada ilegalmente. Se desconocen de hecho las condiciones de habitabilidad en las que se halla ese inmueble, en el que ha seguido viviendo con sus hijos al haberse suspendido las resoluciones judiciales impugnadas por ATC 92/2018, de 17 de septiembre, de este tribunal. Del mismo modo como se desconoce si en estos ya más de cuatro años transcurridos, el hijo menor ha recibido tratamiento médico de su dolencia (pies zambos, según consta en informe adjuntado a las actuaciones). Se presupone con esto que el juez civil de la ejecución debe abrir ahora una investigación aparte para poder desentrañar estos extremos, lo que desde luego no corresponde tampoco a sus funciones, ahondando así en la inadecuación de la solución dada por la sentencia mayoritaria, convirtiéndole en gestor ante los servicios sociales, y todo ello sin haberse tenido en cuenta los derechos de la entidad ejecutante (tutela judicial efectiva, y propiedad), disponiendo la recurrente de otras vías administrativas y judiciales eficaces para resolver sobre su pretensión.</w:t>
      </w:r>
    </w:p>
    <w:p w:rsidR="005728DD" w:rsidRDefault="005728DD" w:rsidP="005728DD">
      <w:pPr>
        <w:pStyle w:val="TextoNormal"/>
      </w:pPr>
    </w:p>
    <w:p w:rsidR="005728DD" w:rsidRDefault="005728DD" w:rsidP="005728DD">
      <w:pPr>
        <w:pStyle w:val="TextoNormal"/>
      </w:pPr>
      <w:r>
        <w:t>Madrid, a treinta y uno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7" w:name="SENTENCIA_2021_114"/>
      <w:r>
        <w:lastRenderedPageBreak/>
        <w:t>SENTENCIA 114/2021, de 31 de mayo de 2021</w:t>
      </w:r>
    </w:p>
    <w:bookmarkEnd w:id="117"/>
    <w:p w:rsidR="005728DD" w:rsidRDefault="005728DD" w:rsidP="005728DD">
      <w:pPr>
        <w:pStyle w:val="TtuloResolucin"/>
      </w:pPr>
      <w:r>
        <w:t>Sala Segunda</w:t>
      </w:r>
    </w:p>
    <w:p w:rsidR="005728DD" w:rsidRDefault="005728DD" w:rsidP="005728DD">
      <w:pPr>
        <w:pStyle w:val="TtuloBOE"/>
      </w:pPr>
      <w:r>
        <w:t>(BOE núm. 161, de 7 de julio de 2021)</w:t>
      </w:r>
    </w:p>
    <w:p w:rsidR="005728DD" w:rsidRDefault="005728DD" w:rsidP="005728DD">
      <w:pPr>
        <w:pStyle w:val="TextoNormalCentrado"/>
      </w:pPr>
      <w:r>
        <w:t>ECLI:ES:TC:2021:114</w:t>
      </w:r>
    </w:p>
    <w:p w:rsidR="005728DD" w:rsidRDefault="005728DD" w:rsidP="005728DD">
      <w:pPr>
        <w:pStyle w:val="TextoNormalCentrado"/>
      </w:pPr>
    </w:p>
    <w:p w:rsidR="005728DD" w:rsidRDefault="005728DD" w:rsidP="005728DD">
      <w:pPr>
        <w:pStyle w:val="SntesisDescriptiva"/>
      </w:pPr>
      <w:r>
        <w:t>Recurso de amparo 3820-2019. Promovido por don Abdelghani El Ghoufairi en relación con las resoluciones dictadas por las salas de lo contencioso-administrativo del Tribunal Supremo y de la Audiencia Nacional en procedimiento por responsabilidad patrimonial de la administración de Justicia.</w:t>
      </w:r>
    </w:p>
    <w:p w:rsidR="005728DD" w:rsidRDefault="005728DD" w:rsidP="005728DD">
      <w:pPr>
        <w:pStyle w:val="SntesisDescriptiva"/>
      </w:pPr>
    </w:p>
    <w:p w:rsidR="005728DD" w:rsidRDefault="005728DD" w:rsidP="005728DD">
      <w:pPr>
        <w:pStyle w:val="SntesisAnaltica"/>
      </w:pPr>
      <w:r>
        <w:t>Vulneración de los derechos a la igualdad y a la presunción de inocencia: STC 125/2019 (denegación de indemnización resultante de la aplicación del precepto legal anulado por la STC 85/2019, de 19 de junio).</w:t>
      </w:r>
    </w:p>
    <w:p w:rsidR="005728DD" w:rsidRDefault="005728DD" w:rsidP="005728DD">
      <w:pPr>
        <w:pStyle w:val="SntesisAnaltica"/>
      </w:pPr>
    </w:p>
    <w:p w:rsidR="005728DD" w:rsidRDefault="005728DD" w:rsidP="005728DD">
      <w:pPr>
        <w:pStyle w:val="Extracto"/>
      </w:pPr>
      <w:r>
        <w:t>1.</w:t>
      </w:r>
      <w:r>
        <w:tab/>
        <w:t>Aplicación de doctrina sobre indemnización por responsabilidad patrimonial de la Administración de Justicia en casos de prisión provisional seguida de absolución (SSTC 85/2019 y 125/2019)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don Juan Antonio Xiol Ríos, don Pedro José González-Trevijano Sánchez, don Antonio Narváez Rodríguez y don Ricardo Enríquez Sancho, magistrados,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3820-2019, promovido por don Abdelghani El Ghoufairi, contra los siguientes actos de los poderes públicos: (i) la resolución del Ministerio de Justicia, de 1 de septiembre de 2017, que desestimó la solicitud de indemnización por responsabilidad patrimonial de la administración pública, por el tiempo pasado en prisión preventiva en causa judicial de la que resultó finalmente absuelto; (ii) la sentencia de la Sección Tercera de la Sala de lo Contencioso-Administrativo de la Audiencia Nacional, de 15 de noviembre de 2018, que desestimó el recurso contencioso-administrativo interpuesto contra la resolución anterior; (iii) el auto de 4 de febrero de 2019 de la misma Sala y Sección de la Audiencia Nacional, que acordó no tener por preparado el recurso de casación presentado por la representante procesal del aquí recurrente, contra la sentencia referida; y (iv) el auto de la Sección Primera de la Sala de lo Contencioso-Administrativo del Tribunal Supremo, de 13 de mayo de 2019, que desestimó el recurso de queja promovido contra el anterior auto de la Audiencia. Ha actuado como parte el abogado del Estado. Ha intervenido el Ministerio Fiscal.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19 de junio de 2019, la procuradora de los tribunales doña María del Mar Gómez Rodríguez, actuando en nombre y representación de don Abdelghani El Ghoufairi, bajo la defensa del letrado don Pedro Bermúdez Belmar,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sentencia del Juzgado de lo Penal de Teruel, de 6 de julio de 2016, absolvió al aquí recurrente de la comisión del delito de robo con fuerza en las cosas en casa habitada, del que había sido acusado por el Ministerio Fiscal (procedimiento abreviado 28-2016), al no haber quedado acreditado que “se encontrase presente en el lugar y día indicado ni que sea, por tanto, uno de los autores de la sustracción” (relato de hechos probados).</w:t>
      </w:r>
    </w:p>
    <w:p w:rsidR="005728DD" w:rsidRDefault="005728DD" w:rsidP="005728DD">
      <w:pPr>
        <w:pStyle w:val="TextoNormal"/>
      </w:pPr>
    </w:p>
    <w:p w:rsidR="005728DD" w:rsidRDefault="005728DD" w:rsidP="005728DD">
      <w:pPr>
        <w:pStyle w:val="TextoNormal"/>
      </w:pPr>
      <w:r>
        <w:t>En el razonamiento jurídico primero la sentencia afirma que:</w:t>
      </w:r>
    </w:p>
    <w:p w:rsidR="005728DD" w:rsidRDefault="005728DD" w:rsidP="005728DD">
      <w:pPr>
        <w:pStyle w:val="TextoNormal"/>
      </w:pPr>
    </w:p>
    <w:p w:rsidR="005728DD" w:rsidRDefault="005728DD" w:rsidP="005728DD">
      <w:pPr>
        <w:pStyle w:val="TextoNormal"/>
      </w:pPr>
      <w:r>
        <w:t>“La falta de prueba sobre los hechos de los que ha sido acusado Abdelghani El Ghoufairi conducen a la plena absolución de los mismos, con toda clase de pronunciamientos favorables”.</w:t>
      </w:r>
    </w:p>
    <w:p w:rsidR="005728DD" w:rsidRDefault="005728DD" w:rsidP="005728DD">
      <w:pPr>
        <w:pStyle w:val="TextoNormal"/>
      </w:pPr>
    </w:p>
    <w:p w:rsidR="005728DD" w:rsidRDefault="005728DD" w:rsidP="005728DD">
      <w:pPr>
        <w:pStyle w:val="TextoNormal"/>
      </w:pPr>
      <w:r>
        <w:t>Analizada la declaración del acusado ahora recurrente (quien negó su participación en el delito) y la de los testigos que fueron interrogados en el plenario, el juzgado concluyó al final del mismo razonamiento jurídico primero, que: “bien sea en la fase de adquisición fruto de los nervios del momento, bien sea en la fase de retención y recuperación, el medio de prueba directo ofrecido por la acusación hace imposible determinar que la realidad de lo acontecido coincida con lo relatado, y por ello se han de acoger las tesis de la defensa y con ello el acervo probatorio presentado frente a la acusación formulada en su contra, ratificando con ello las conclusiones absolutorias inicialmente expuestas”.</w:t>
      </w:r>
    </w:p>
    <w:p w:rsidR="005728DD" w:rsidRDefault="005728DD" w:rsidP="005728DD">
      <w:pPr>
        <w:pStyle w:val="TextoNormal"/>
      </w:pPr>
    </w:p>
    <w:p w:rsidR="005728DD" w:rsidRDefault="005728DD" w:rsidP="005728DD">
      <w:pPr>
        <w:pStyle w:val="TextoNormal"/>
      </w:pPr>
      <w:r>
        <w:t>La sentencia no fue recurrida y devino así firme.</w:t>
      </w:r>
    </w:p>
    <w:p w:rsidR="005728DD" w:rsidRDefault="005728DD" w:rsidP="005728DD">
      <w:pPr>
        <w:pStyle w:val="TextoNormal"/>
      </w:pPr>
    </w:p>
    <w:p w:rsidR="005728DD" w:rsidRDefault="005728DD" w:rsidP="005728DD">
      <w:pPr>
        <w:pStyle w:val="TextoNormal"/>
      </w:pPr>
      <w:r>
        <w:t xml:space="preserve">b) Con fecha 26 de octubre de 2016, el aquí recurrente formalizó una pretensión indemnizatoria ante el Ministerio de Justicia, por responsabilidad patrimonial del Estado por prisión preventiva seguida de absolución, </w:t>
      </w:r>
      <w:r w:rsidRPr="005728DD">
        <w:rPr>
          <w:i/>
        </w:rPr>
        <w:t>ex</w:t>
      </w:r>
      <w:r>
        <w:t xml:space="preserve"> art. 294 de la Ley Orgánica del Poder Judicial (LOPJ), cuantificando en 64 225,26 € los daños por el tiempo pasado en prisión, desde el 7 de enero de 2015 hasta el 22 de abril de ese mismo año (106 días), más los intereses legales hasta su completo pago.</w:t>
      </w:r>
    </w:p>
    <w:p w:rsidR="005728DD" w:rsidRDefault="005728DD" w:rsidP="005728DD">
      <w:pPr>
        <w:pStyle w:val="TextoNormal"/>
      </w:pPr>
    </w:p>
    <w:p w:rsidR="005728DD" w:rsidRDefault="005728DD" w:rsidP="005728DD">
      <w:pPr>
        <w:pStyle w:val="TextoNormal"/>
      </w:pPr>
      <w:r>
        <w:t>Luego de tramitarse el respectivo expediente (núm. 501-2016), la solicitud resultó desestimada por resolución de la Secretaria de Estado de Justicia de 1 de septiembre de 2017, con base en la argumentación contenida en el dictamen que se recabó del Consejo de Estado.</w:t>
      </w:r>
    </w:p>
    <w:p w:rsidR="005728DD" w:rsidRDefault="005728DD" w:rsidP="005728DD">
      <w:pPr>
        <w:pStyle w:val="TextoNormal"/>
      </w:pPr>
    </w:p>
    <w:p w:rsidR="005728DD" w:rsidRDefault="005728DD" w:rsidP="005728DD">
      <w:pPr>
        <w:pStyle w:val="TextoNormal"/>
      </w:pPr>
      <w:r>
        <w:t xml:space="preserve">c) Interpuesto recurso contencioso-administrativo en el que se alegó vulneración de su derecho a la presunción de inocencia con base en jurisprudencia del Tribunal Europeo de </w:t>
      </w:r>
      <w:r>
        <w:lastRenderedPageBreak/>
        <w:t>Derechos Humanos, la Sección Tercera de la Sala de lo Contencioso-Administrativo de la Audiencia Nacional dictó sentencia el 15 de noviembre de 2018 (procedimiento ordinario núm. 642-2017), desestimando la pretensión al entender que el motivo de su absolución, la falta de prueba de cargo suficiente, quedaba fuera del supuesto indemnizable previsto por el art. 294 LOPJ, que era a su vez la inexistencia del hecho delictivo (falta de tipicidad o falta de hechos delictivos). Todo ello conforme a doctrina interpretativa del Tribunal Supremo fijada en dos sentencias dictadas el 23 de noviembre de 2010, y sentencia del Tribunal Europeo de Derechos Humanos de 16 de febrero de 2016, siendo así que la pretensión debió canalizarse en su caso por la vía del error judicial del art. 293 de la misma LOPJ.</w:t>
      </w:r>
    </w:p>
    <w:p w:rsidR="005728DD" w:rsidRDefault="005728DD" w:rsidP="005728DD">
      <w:pPr>
        <w:pStyle w:val="TextoNormal"/>
      </w:pPr>
    </w:p>
    <w:p w:rsidR="005728DD" w:rsidRDefault="005728DD" w:rsidP="005728DD">
      <w:pPr>
        <w:pStyle w:val="TextoNormal"/>
      </w:pPr>
      <w:r>
        <w:t>d) La representación procesal del aquí recurrente presentó un escrito de preparación de recurso de casación contra la citada sentencia. La sección juzgadora de la Audiencia Nacional dictó auto el 4 de febrero de 2019 no teniendo por preparado el recurso, al no justificarse la relevancia de las infracciones imputadas a la sentencia, ni que concurriera alguno de los supuestos de interés casacional objetivo del art. 88, apartados 2 y 3, de la Ley reguladora de la jurisdicción contencioso-administrativa.</w:t>
      </w:r>
    </w:p>
    <w:p w:rsidR="005728DD" w:rsidRDefault="005728DD" w:rsidP="005728DD">
      <w:pPr>
        <w:pStyle w:val="TextoNormal"/>
      </w:pPr>
    </w:p>
    <w:p w:rsidR="005728DD" w:rsidRDefault="005728DD" w:rsidP="005728DD">
      <w:pPr>
        <w:pStyle w:val="TextoNormal"/>
      </w:pPr>
      <w:r>
        <w:t>e) Interpuesto recurso de queja contra esta última resolución, la Sección Primera de la Sala de lo Contencioso-Administrativo del Tribunal Supremo dictó auto el 13 de mayo de 2019 desestimándolo (recurso de queja núm. 66-2019), al considerar válidas las razones ofrecidas por la audiencia para tener por no preparado el recurso de casación.</w:t>
      </w:r>
    </w:p>
    <w:p w:rsidR="005728DD" w:rsidRDefault="005728DD" w:rsidP="005728DD">
      <w:pPr>
        <w:pStyle w:val="TextoNormal"/>
      </w:pPr>
    </w:p>
    <w:p w:rsidR="005728DD" w:rsidRDefault="005728DD" w:rsidP="005728DD">
      <w:pPr>
        <w:pStyle w:val="TextoNormal"/>
      </w:pPr>
      <w:r>
        <w:t>f) Notificada esta última resolución, se interpuso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varios motivos. El primero de ellos es la vulneración del derecho a la tutela judicial efectiva (art. 24.1 CE) , en su vertiente de acceso al recurso, que atribuye a los autos de la Sala competente de la Audiencia Nacional y del Tribunal Supremo que tuvieron por no preparado su recurso de casación contra la sentencia de instancia, en concreto por exigirle una argumentación en dicho escrito de preparación que la ley no contempla para esa primera fase del recurso, habiendo argumentado en él la existencia de un interés casacional objetivo.</w:t>
      </w:r>
    </w:p>
    <w:p w:rsidR="005728DD" w:rsidRDefault="005728DD" w:rsidP="005728DD">
      <w:pPr>
        <w:pStyle w:val="TextoNormal"/>
      </w:pPr>
    </w:p>
    <w:p w:rsidR="005728DD" w:rsidRDefault="005728DD" w:rsidP="005728DD">
      <w:pPr>
        <w:pStyle w:val="TextoNormal"/>
      </w:pPr>
      <w:r>
        <w:t xml:space="preserve">El segundo motivo es la vulneración del derecho a la libertad personal (art. 17.1 CE), en relación con los derechos fundamentales a la presunción de inocencia (art. 24.2 CE) y a la igualdad ante la ley (art. 14 CE). Atribuye su comisión a la resolución administrativa y judicial (sentencia) dictadas denegando su solicitud de indemnización por prisión seguida de absolución, al no haberse acordado esta por la declaración de inexistencia objetiva del hecho sino por la falta de prueba de cargo. Cita en su favor la STEDH de 16 de febrero de 2016, en la que se consideró que el Estado español había vulnerado la presunción de inocencia del interesado, pues la aplicación del principio </w:t>
      </w:r>
      <w:r w:rsidRPr="005728DD">
        <w:rPr>
          <w:i/>
        </w:rPr>
        <w:t>in dubio pro reo</w:t>
      </w:r>
      <w:r>
        <w:t xml:space="preserve"> no puede establecer una diferencia cualitativa en cuanto al motivo de la absolución del acusado.</w:t>
      </w:r>
    </w:p>
    <w:p w:rsidR="005728DD" w:rsidRDefault="005728DD" w:rsidP="005728DD">
      <w:pPr>
        <w:pStyle w:val="TextoNormal"/>
      </w:pPr>
    </w:p>
    <w:p w:rsidR="005728DD" w:rsidRDefault="005728DD" w:rsidP="005728DD">
      <w:pPr>
        <w:pStyle w:val="TextoNormal"/>
      </w:pPr>
      <w:r>
        <w:t xml:space="preserve">El suplico de la demanda pide que se otorgue el amparo solicitado, declarando que “las resoluciones impugnadas han vulnerado los derechos fundamentales de mi representado a la libertad personal en relación con el derecho fundamental a la presunción de inocencia y al principio fundamental a la igualdad ante la ley; y a la tutela judicial efectiva en el ámbito del acceso a la jurisdicción y acceso a los recursos, reconocidos en los artículos 17.1, 24.2, 14 y 24.1 de la Constitución”, con nulidad: (i) de la sentencia de la Audiencia Nacional, y </w:t>
      </w:r>
      <w:r>
        <w:lastRenderedPageBreak/>
        <w:t>que se acumule “la presente queja a la cuestión interna de constitucionalidad planteada mediante ATC 79/2018, de 17 de julio, para su resolución conjunta. O subsidiariamente se esté a la resolución de la citada cuestión interna de constitucionalidad para con su doctrina resolver la presente queja”; y (ii) de los autos de la Audiencia Nacional y el Tribunal Supremo, que negaron la preparación de su recurso de casación, teniendo este por interpuesto.</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Cuarta de este tribunal dictó providencia el 25 de enero de 2021 por la que acordó admitir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5728DD" w:rsidRDefault="005728DD" w:rsidP="005728DD">
      <w:pPr>
        <w:pStyle w:val="TextoNormal"/>
      </w:pPr>
    </w:p>
    <w:p w:rsidR="005728DD" w:rsidRDefault="005728DD" w:rsidP="005728DD">
      <w:pPr>
        <w:pStyle w:val="TextoNormal"/>
      </w:pPr>
      <w:r>
        <w:t>En la misma resolución se acordó dirigir atenta comunicación a la Sección Primera de la Sala de lo Contencioso-Administrativo del Tribunal Supremo, a fin de que en plazo no superior a diez días remitiera certificación o fotocopia adverada de las actuaciones del recurso de queja núm. 66-2019. Asimismo, dirigir atenta comunicación al Ministerio de Justicia para la remisión en el mismo plazo de certificación o fotocopia adverada de las actuaciones correspondientes al expediente por responsabilidad patrimonial 501-2016; y a la Sección Tercera de la Sala de lo Contencioso-Administrativo de la Audiencia Nacional, para que en plazo también no superior a diez días, remitiera certificación o fotocopia adverada de las actuaciones del procedimiento ordinario 642-2017; debiendo previamente emplazar en el plazo de diez días a quienes hubieran sido partes en el procedimiento, excepto a la parte recurrente en amparo —ya personada—, por si querían comparecer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5</w:t>
      </w:r>
      <w:r>
        <w:t>. Con fecha 5 de febrero de 2021, el abogado del Estado ante este tribunal presentó escrito por el que se personó en el recurso, solicitando se le tuviera por personado y parte en la representación que ostenta, debiendo entenderse con él los posteriores trámites del procedimiento.</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la Secretaría de Justicia de la Sala Segunda, Sección Cuarta, de este tribunal, de fecha 29 de marzo de 2021, se tuvo por personado y parte al abogado del Estado, acordando además dar vista de las actuaciones a las partes personadas y al Ministerio Fiscal, por plazo común de veinte días, a fin de que pudieran presentar las alegaciones que estimasen pertinentes, conforme con lo previsto en el art. 52.1 LOTC.</w:t>
      </w:r>
    </w:p>
    <w:p w:rsidR="005728DD" w:rsidRDefault="005728DD" w:rsidP="005728DD">
      <w:pPr>
        <w:pStyle w:val="TextoNormal"/>
      </w:pPr>
    </w:p>
    <w:p w:rsidR="005728DD" w:rsidRDefault="005728DD" w:rsidP="005728DD">
      <w:pPr>
        <w:pStyle w:val="TextoNormal"/>
      </w:pPr>
      <w:r w:rsidRPr="005728DD">
        <w:rPr>
          <w:rStyle w:val="NumeroAFNegritaCaracter"/>
        </w:rPr>
        <w:t>7</w:t>
      </w:r>
      <w:r>
        <w:t>. La representante procesal del recurrente formalizó escrito en este trámite el 5 de mayo de 2021, interesando se dictase sentencia en los términos ya contenidos en el suplico de su demanda, de cuyo contenido hizo un amplio resumen.</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En la misma fecha, 5 de mayo de 2021, consignó su escrito de alegaciones el abogado del Estado por el que interesó se dictase “sentencia conforme a Derecho. Y caso de resultar la eventual sentencia a dictar, de carácter estimatorio del amparo formulado, ordene la retroacción del expediente a la instancia oportuna: la vía administrativa, habida cuenta del carácter revisor de la jurisdicción contencioso-administrativa, a fin de que, de acuerdo con lo que dispone el art. 294 LOPJ, y siguiendo siempre el cauce procedimental adecuado, se </w:t>
      </w:r>
      <w:r>
        <w:lastRenderedPageBreak/>
        <w:t>prueben, acrediten debidamente, los posibles daños y perjuicios que en su caso hubiera podido sufrir el recurrente”.</w:t>
      </w:r>
    </w:p>
    <w:p w:rsidR="005728DD" w:rsidRDefault="005728DD" w:rsidP="005728DD">
      <w:pPr>
        <w:pStyle w:val="TextoNormal"/>
      </w:pPr>
    </w:p>
    <w:p w:rsidR="005728DD" w:rsidRDefault="005728DD" w:rsidP="005728DD">
      <w:pPr>
        <w:pStyle w:val="TextoNormal"/>
      </w:pPr>
      <w:r>
        <w:t>El escrito hace referencia al dictado de la STC 85/2019, de 19 de junio, que declaró la inconstitucionalidad de los incisos “por inexistencia del hecho imputado” y “por esta misma causa” del art. 294.1 LOPJ, pero no extendió en cambio dicha inconstitucionalidad al inciso “siempre que se le hayan irrogado perjuicios” contenido en el mismo precepto. De esta constatación, deduce el abogado del Estado que la sola acreditación del tiempo pasado en prisión preventiva —seguida de absolución— no es suficiente para tener derecho a ser resarcido, sino que el interesado ha de probar los supuestos daños acaecidos, como además precisa aquella sentencia, “de acuerdo con la aplicación de criterios propios del derecho general de daños” (FJ 13).</w:t>
      </w:r>
    </w:p>
    <w:p w:rsidR="005728DD" w:rsidRDefault="005728DD" w:rsidP="005728DD">
      <w:pPr>
        <w:pStyle w:val="TextoNormal"/>
      </w:pPr>
    </w:p>
    <w:p w:rsidR="005728DD" w:rsidRDefault="005728DD" w:rsidP="005728DD">
      <w:pPr>
        <w:pStyle w:val="TextoNormal"/>
      </w:pPr>
      <w:r>
        <w:t>En aplicación de este criterio, entiende el abogado del Estado que el recurrente ha presentado una solicitud de indemnización que fija en la cantidad de 64 225,26 €, la cual este Tribunal Constitucional no puede entrar a valorar, “pues para ello habría de llevar a cabo una actividad procesal probatoria, la práctica de una prueba acerca de la acreditación o no de datos de hechos”, que es “propia de un órgano de instancia”. Añade que los daños han de haber sido efectivamente causados, ser ciertos, concretos y acreditados individualmente, que algunos de los conceptos en los que el recurrente desglosa aquella suma son abstractos, mientras que respecto de otros no justifican su cuantía.</w:t>
      </w:r>
    </w:p>
    <w:p w:rsidR="005728DD" w:rsidRDefault="005728DD" w:rsidP="005728DD">
      <w:pPr>
        <w:pStyle w:val="TextoNormal"/>
      </w:pPr>
    </w:p>
    <w:p w:rsidR="005728DD" w:rsidRDefault="005728DD" w:rsidP="005728DD">
      <w:pPr>
        <w:pStyle w:val="TextoNormal"/>
      </w:pPr>
      <w:r>
        <w:t>Como resultado de lo expuesto, defiende el abogado del Estado que este tribunal dicte una sentencia “conforme a Derecho”, la cual, de ser estimatoria de la demanda, no conceda el montante reclamado, sino que se remitan las actuaciones “ante la instancia oportuna (que entendemos habría de ser previamente la vía administrativa)”. Y cita en apoyo de esta tesis las SSTC 166/2020, de 16 de noviembre; 177/2020, de 14 de diciembre, y 41/2021, de 3 de marzo.</w:t>
      </w:r>
    </w:p>
    <w:p w:rsidR="005728DD" w:rsidRDefault="005728DD" w:rsidP="005728DD">
      <w:pPr>
        <w:pStyle w:val="TextoNormal"/>
      </w:pPr>
    </w:p>
    <w:p w:rsidR="005728DD" w:rsidRDefault="005728DD" w:rsidP="005728DD">
      <w:pPr>
        <w:pStyle w:val="TextoNormal"/>
      </w:pPr>
      <w:r w:rsidRPr="005728DD">
        <w:rPr>
          <w:rStyle w:val="NumeroAFNegritaCaracter"/>
        </w:rPr>
        <w:t>9</w:t>
      </w:r>
      <w:r>
        <w:t>. Por su parte, también el 5 de mayo de 2021, el teniente fiscal ante este tribunal presentó sus alegaciones por escrito, interesando que dictáramos sentencia otorgando el amparo al recurrente por vulneración de sus derechos a la presunción de inocencia (art. 24.2 CE) y a la igualdad (art. 14 CE); con nulidad de las resoluciones impugnadas, auto de la Sección Primera de la Sala de lo Contencioso-Administrativo del Tribunal Supremo, auto y sentencia de la Sección Tercera de la Sala de lo Contencioso-Administrativo de la Audiencia Nacional y resolución del Ministerio de Justicia —en ese orden—; retrotrayendo las actuaciones “al momento anterior al dictado de la última resolución citada para que por la administración se resuelva la reclamación de responsabilidad patrimonial en términos respetuosos con los derechos fundamentales del demandante de amparo a la presunción de inocencia (art. 24.2 CE) y a la igualdad (art. 14 CE)”.</w:t>
      </w:r>
    </w:p>
    <w:p w:rsidR="005728DD" w:rsidRDefault="005728DD" w:rsidP="005728DD">
      <w:pPr>
        <w:pStyle w:val="TextoNormal"/>
      </w:pPr>
    </w:p>
    <w:p w:rsidR="005728DD" w:rsidRDefault="005728DD" w:rsidP="005728DD">
      <w:pPr>
        <w:pStyle w:val="TextoNormal"/>
      </w:pPr>
      <w:r>
        <w:t xml:space="preserve">Así, tras compendiar los antecedentes de hecho relevantes, y resumir la demanda interpuesta, señala el teniente fiscal que tanto “el objeto del presente proceso constitucional como en buena parte los planteamientos sustantivos introducidos en el debate de este recurso vienen a resultar sustancialmente coincidentes con los que ya han sido abordados por el Pleno del Tribunal Constitucional en los fundamentos jurídicos 4 y 5 de la STC 125/2019, de 31 de octubre (recurso de amparo 4035-2012)”, en la que se determinaron “los efectos que, sobre el recurso de amparo, debía producir la STC 85/2019, por la que se declaró la </w:t>
      </w:r>
      <w:r>
        <w:lastRenderedPageBreak/>
        <w:t xml:space="preserve">inconstitucionalidad de los incisos ‘inexistencia del hecho imputado’ y ‘por esta misma causa’ del art. 294.1 LOPJ, y se concretó el alcance que la estimación del amparo debía producir. Por tanto, a tales fundamentos jurídicos debemos remitirnos […] En cualquier caso, cabe añadir, debe tenerse muy en cuenta que el Tribunal Constitucional advierte y subraya que […] debe entenderse que los presupuestos y el alcance de la indemnización previstos en el art. 294.1 LOPJ habrán de acotarse a través de la eventual intervención legislativa y, en su ausencia, mediante las interpretaciones congruentes con su finalidad y la teoría general de la responsabilidad civil que realicen la administración y, en último término, los órganos judiciales. De este modo, la doctrina de esta sentencia —concluye el tribunal— ‘no solo respeta los amplios márgenes de configuración legislativa o de interpretación judicial en lo que afecta al </w:t>
      </w:r>
      <w:r w:rsidRPr="005728DD">
        <w:rPr>
          <w:i/>
        </w:rPr>
        <w:t>quantum</w:t>
      </w:r>
      <w:r>
        <w:t xml:space="preserve"> indemnizatorio, sino que tampoco impide rechazar que exista en el caso concreto derecho a indemnización en virtud de la aplicación de criterios propios del Derecho general de daños (como pueden ser la </w:t>
      </w:r>
      <w:r w:rsidRPr="005728DD">
        <w:rPr>
          <w:i/>
        </w:rPr>
        <w:t>compensatio lucri cum damno</w:t>
      </w:r>
      <w:r>
        <w:t xml:space="preserve"> o la relevancia causal de la conducta de la propia víctima)’. Por consiguiente, también en el caso subyacente, cabría el juego de estos criterios de atemperación o incluso rechazo total o parcial tomando en cuenta las particulares circunstancias concurrentes que podrán valorar las autoridades administrativas y, en su caso, judiciales”.</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providencia de fecha 27 de mayo de 2021, se señaló para deliberación y votación de la presente sentencia el día 31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TextoNormalNegritaCaracter"/>
        </w:rPr>
        <w:t xml:space="preserve">Único. </w:t>
      </w:r>
      <w:r w:rsidRPr="005728DD">
        <w:rPr>
          <w:i/>
        </w:rPr>
        <w:t>Remisión a las SSTC 85/2019 y</w:t>
      </w:r>
      <w:r>
        <w:t xml:space="preserve"> 125/2019.</w:t>
      </w:r>
    </w:p>
    <w:p w:rsidR="005728DD" w:rsidRDefault="005728DD" w:rsidP="005728DD">
      <w:pPr>
        <w:pStyle w:val="TextoNormal"/>
      </w:pPr>
    </w:p>
    <w:p w:rsidR="005728DD" w:rsidRDefault="005728DD" w:rsidP="005728DD">
      <w:pPr>
        <w:pStyle w:val="TextoNormal"/>
      </w:pPr>
      <w:r>
        <w:t>El recurso de amparo tiene por objeto la sentencia de la Sección Tercera de la Sala de lo Contencioso-Administrativo de la Audiencia Nacional, de 15 de noviembre de 2018, desestimatoria del recurso contencioso-administrativo núm. 642-2017 interpuesto contra la resolución de la Secretaria de Estado de Justicia, de 1 de septiembre de 2017, que denegó al recurrente la solicitud de indemnización por el tiempo que estuvo privado de libertad en causa penal de la que resultó absuelto por falta de prueba de cargo, al sostener ambas resoluciones que el único supuesto de reparación contemplado en el art. 294.1 LOPJ es la absolución —o sobreseimiento— por inexistencia objetiva del hecho imputado, que aquí, añaden, no se ha producido. Se impugnan también las resoluciones judiciales (autos) de la Audiencia Nacional y el Tribunal Supremo, que no accedieron a tener por preparado recurso de casación contra aquella sentencia.</w:t>
      </w:r>
    </w:p>
    <w:p w:rsidR="005728DD" w:rsidRDefault="005728DD" w:rsidP="005728DD">
      <w:pPr>
        <w:pStyle w:val="TextoNormal"/>
      </w:pPr>
    </w:p>
    <w:p w:rsidR="005728DD" w:rsidRDefault="005728DD" w:rsidP="005728DD">
      <w:pPr>
        <w:pStyle w:val="TextoNormal"/>
      </w:pPr>
      <w:r>
        <w:t xml:space="preserve">Así las cosas, procede constatar que tanto el objeto del presente proceso constitucional como los planteamientos introducidos por las partes en el debate, respecto de las lesiones atribuidas en origen a la resolución del Ministerio de Justicia y no reparadas después por la sentencia de instancia, son sustancialmente coincidentes con los abordados por el Pleno del Tribunal Constitucional en la STC 125/2019, de 31 de octubre (recurso de amparo núm. 4035-2012), a cuyos fundamentos jurídicos debemos remitirnos. En concreto, en el fundamento jurídico 4 de esta sentencia se determinaron los efectos sobre el recurso de amparo de la declaración de inconstitucionalidad de los incisos “por inexistencia del hecho imputado” y “por esta misma causa” del art. 294.1 LOPJ declarados por la STC 85/2019, de 19 </w:t>
      </w:r>
      <w:r>
        <w:lastRenderedPageBreak/>
        <w:t>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5728DD" w:rsidRDefault="005728DD" w:rsidP="005728DD">
      <w:pPr>
        <w:pStyle w:val="TextoNormal"/>
      </w:pPr>
    </w:p>
    <w:p w:rsidR="005728DD" w:rsidRDefault="005728DD" w:rsidP="005728DD">
      <w:pPr>
        <w:pStyle w:val="TextoNormal"/>
      </w:pPr>
      <w:r>
        <w:t>En consecuencia, se estima el presente recurso de amparo reconociendo el derecho del recurrente a que la decisión sobre su solicitud de indemnización se adopte, en cuanto a sus criterios rectores, de acuerdo con las exigencias constitucionales del art. 14 CE y del art. 24.2 CE señaladas en las SSTC 85/2019 y 125/2019. Por ello, con nulidad de la resolución ministerial y de la sentencia de instancia impugnadas, y la nulidad también de los autos de la Audiencia Nacional y de la Sección Primera de la Sala Tercera del Tribunal Supremo que al denegar la preparación de un recurso de casación contra aquella sentencia, comportaron la firmeza de esta última, acordamos que la retroacción de las actuaciones debe remontarse al momento anterior a dictarse la resolución de la Secretaria de Estado de Justicia de 1 de septiembre de 2017, que denegó la indemnización y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y, en consecuencia:</w:t>
      </w:r>
    </w:p>
    <w:p w:rsidR="005728DD" w:rsidRDefault="005728DD" w:rsidP="005728DD">
      <w:pPr>
        <w:pStyle w:val="TextoNormal"/>
      </w:pPr>
    </w:p>
    <w:p w:rsidR="005728DD" w:rsidRDefault="005728DD" w:rsidP="005728DD">
      <w:pPr>
        <w:pStyle w:val="TextoNormal"/>
      </w:pPr>
      <w:r>
        <w:t>1º Estimar el recurso de amparo interpuesto por don Abdelghani El Ghoufairi, por vulneración de sus derechos fundamentales a la igualdad (art. 14 CE) y a la presunción de inocencia (art. 24.2 CE).</w:t>
      </w:r>
    </w:p>
    <w:p w:rsidR="005728DD" w:rsidRDefault="005728DD" w:rsidP="005728DD">
      <w:pPr>
        <w:pStyle w:val="TextoNormal"/>
      </w:pPr>
    </w:p>
    <w:p w:rsidR="005728DD" w:rsidRDefault="005728DD" w:rsidP="005728DD">
      <w:pPr>
        <w:pStyle w:val="TextoNormal"/>
      </w:pPr>
      <w:r>
        <w:t>2º Declarar la nulidad del auto dictado por la Sección Primera de la Sala de lo Contencioso-Administrativo del Tribunal Supremo, de 13 de mayo de 2019 (recurso de queja núm. 66-2019); del auto de la Sección Tercera de la Sala de lo Contencioso-Administrativo de la Audiencia Nacional, de 4 de febrero de 2019 (procedimiento ordinario núm. 642-2017); de la sentencia de este mismo órgano judicial, de 15 de noviembre de 2018 (procedimiento ordinario núm. 642-2017), y de la resolución de la Secretaria de Estado de Justicia de 1 de septiembre de 2017, recaída en el expediente núm. 501-2016.</w:t>
      </w:r>
    </w:p>
    <w:p w:rsidR="005728DD" w:rsidRDefault="005728DD" w:rsidP="005728DD">
      <w:pPr>
        <w:pStyle w:val="TextoNormal"/>
      </w:pPr>
    </w:p>
    <w:p w:rsidR="005728DD" w:rsidRDefault="005728DD" w:rsidP="005728DD">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treinta y uno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8" w:name="SENTENCIA_2021_115"/>
      <w:r>
        <w:lastRenderedPageBreak/>
        <w:t>SENTENCIA 115/2021, de 31 de mayo de 2021</w:t>
      </w:r>
    </w:p>
    <w:bookmarkEnd w:id="118"/>
    <w:p w:rsidR="005728DD" w:rsidRDefault="005728DD" w:rsidP="005728DD">
      <w:pPr>
        <w:pStyle w:val="TtuloResolucin"/>
      </w:pPr>
      <w:r>
        <w:t>Sala Segunda</w:t>
      </w:r>
    </w:p>
    <w:p w:rsidR="005728DD" w:rsidRDefault="005728DD" w:rsidP="005728DD">
      <w:pPr>
        <w:pStyle w:val="TtuloBOE"/>
      </w:pPr>
      <w:r>
        <w:t>(BOE núm. 161, de 7 de julio de 2021)</w:t>
      </w:r>
    </w:p>
    <w:p w:rsidR="005728DD" w:rsidRDefault="005728DD" w:rsidP="005728DD">
      <w:pPr>
        <w:pStyle w:val="TextoNormalCentrado"/>
      </w:pPr>
      <w:r>
        <w:t>ECLI:ES:TC:2021:115</w:t>
      </w:r>
    </w:p>
    <w:p w:rsidR="005728DD" w:rsidRDefault="005728DD" w:rsidP="005728DD">
      <w:pPr>
        <w:pStyle w:val="TextoNormalCentrado"/>
      </w:pPr>
    </w:p>
    <w:p w:rsidR="005728DD" w:rsidRDefault="005728DD" w:rsidP="005728DD">
      <w:pPr>
        <w:pStyle w:val="SntesisDescriptiva"/>
      </w:pPr>
      <w:r>
        <w:t>Recurso de amparo 6089-2019. Promovido por Euroinversiones Inmobiliarias Costa Sur,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6089-2019, promovido por Euroinversiones Inmobiliarias Costa Sur, S.L., contra el auto del Juzgado de Primera Instancia e Instrucción núm. 5 de Lorca, de 10 de septiembre de 2019, que desestimó el recurso de reposición interpuesto contra el auto, también impugnado, de fecha 21 de septiembre de 2018, por el que se inadmitió por extemporánea la demanda de oposición a la ejecución formulada por dicha mercantil en el procedimiento de ejecución hipotecaria núm. 365-2018,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25 de octubre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 ahora recurrente de amparo, en su calidad de titular del derecho de uso sobre la finca registral 43.314, inscrita en el Registro de la Propiedad núm. 3 de Lorca. Incoado procedimiento de ejecución hipotecaria (núm. 365-2018), mediante auto de fecha 6 de junio de 2018, el Juzgado de Primera Instancia e Instrucción núm. 5 de Lorca (en adelante, el juzgado) ordenó la ejecución del título hipotecario, despachó ejecución contra otra entidad y contra la ahora demandante de amparo y dispuso, a continuación, lo siguiente:</w:t>
      </w:r>
    </w:p>
    <w:p w:rsidR="005728DD" w:rsidRDefault="005728DD" w:rsidP="005728DD">
      <w:pPr>
        <w:pStyle w:val="TextoNormal"/>
      </w:pPr>
    </w:p>
    <w:p w:rsidR="005728DD" w:rsidRDefault="005728DD" w:rsidP="005728DD">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5728DD" w:rsidRDefault="005728DD" w:rsidP="005728DD">
      <w:pPr>
        <w:pStyle w:val="TextoNormal"/>
      </w:pPr>
    </w:p>
    <w:p w:rsidR="005728DD" w:rsidRDefault="005728DD" w:rsidP="005728DD">
      <w:pPr>
        <w:pStyle w:val="TextoNormal"/>
      </w:pPr>
      <w:r>
        <w:t>Contra este auto no cabe recurso alguno, sin perjuicio de que la parte ejecutada pueda oponerse al despacho de ejecución en los términos previstos en el artículo 695 LEC y en el plazo de diez días a contar desde el siguiente a la notificación del presente auto y del decreto que se dicte”.</w:t>
      </w:r>
    </w:p>
    <w:p w:rsidR="005728DD" w:rsidRDefault="005728DD" w:rsidP="005728DD">
      <w:pPr>
        <w:pStyle w:val="TextoNormal"/>
      </w:pPr>
    </w:p>
    <w:p w:rsidR="005728DD" w:rsidRDefault="005728DD" w:rsidP="005728DD">
      <w:pPr>
        <w:pStyle w:val="TextoNormal"/>
      </w:pPr>
      <w:r>
        <w:t>b) La citada notificación se produjo a través del servicio de notificaciones electrónicas de la Fábrica Nacional de Moneda y Timbre. Más en concreto, el servicio remitió el 13 de junio de 2018 un correo electrónico en el que señalaba como asunto “Juzgados y Tribunales – Aviso de Notificación para el NIF B73258006”, dirigida a Euroinversiones Inmobiliarias Costa Sur, S.L. – NIF B73258006. Según el texto del correo, la notificación venía referida al asunto “JDO. 1 INST. E INSTR. N 5 DE LORCA EJH/0000365/2018”, indicándole que la “notificación estará disponible en su dirección electrónica habilitada única desde el 13-06-2018 hasta el 29-07-2018.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LEC”, para finalizar señalando que este “aviso conforme a lo dispuesto en el art. 25 del Real Decreto 1065/2015 no tiene efecto procesal alguno”.</w:t>
      </w:r>
    </w:p>
    <w:p w:rsidR="005728DD" w:rsidRDefault="005728DD" w:rsidP="005728DD">
      <w:pPr>
        <w:pStyle w:val="TextoNormal"/>
      </w:pPr>
    </w:p>
    <w:p w:rsidR="005728DD" w:rsidRDefault="005728DD" w:rsidP="005728DD">
      <w:pPr>
        <w:pStyle w:val="TextoNormal"/>
      </w:pPr>
      <w:r>
        <w:lastRenderedPageBreak/>
        <w:t>En la certificación emitida por el servicio de notificaciones electrónicas y dirección electrónica habilitada también consta que la notificación tenía como número de referencia el 5b21442ec73dc, que fue puesta a disposición del destinatario el 13 de junio de 2018 y que la fecha de aceptación fue el 24 de julio de 2018, figurando como certificado digital receptor el correspondiente a don Juan Miguel Jiménez, en su calidad de representante de la citada mercantil.</w:t>
      </w:r>
    </w:p>
    <w:p w:rsidR="005728DD" w:rsidRDefault="005728DD" w:rsidP="005728DD">
      <w:pPr>
        <w:pStyle w:val="TextoNormal"/>
      </w:pPr>
    </w:p>
    <w:p w:rsidR="005728DD" w:rsidRDefault="005728DD" w:rsidP="005728DD">
      <w:pPr>
        <w:pStyle w:val="TextoNormal"/>
      </w:pPr>
      <w:r>
        <w:t>c) En escrito presentado ante el juzgado el día 31 de julio de 2018, la demandante de amparo compareció en el procedimiento, formulando oposición a la ejecución, con su documentación adjunta.</w:t>
      </w:r>
    </w:p>
    <w:p w:rsidR="005728DD" w:rsidRDefault="005728DD" w:rsidP="005728DD">
      <w:pPr>
        <w:pStyle w:val="TextoNormal"/>
      </w:pPr>
    </w:p>
    <w:p w:rsidR="005728DD" w:rsidRDefault="005728DD" w:rsidP="005728DD">
      <w:pPr>
        <w:pStyle w:val="TextoNormal"/>
      </w:pPr>
      <w:r>
        <w:t>d) Con fecha 21 de septiembre de 2018, el juzgado dictó un auto por el que se acordó: “Inadmitir a trámite la oposición formulada por la parte ejecutada […] Euroinversiones Inmobiliarias Costa Sur, S.L., […] por presentación fuera de plazo, contra Banco Sabadell, S.A.”, advirtiendo en pie de recurso que contra dicha resolución cabía recurso de reposición.</w:t>
      </w:r>
    </w:p>
    <w:p w:rsidR="005728DD" w:rsidRDefault="005728DD" w:rsidP="005728DD">
      <w:pPr>
        <w:pStyle w:val="TextoNormal"/>
      </w:pPr>
    </w:p>
    <w:p w:rsidR="005728DD" w:rsidRDefault="005728DD" w:rsidP="005728DD">
      <w:pPr>
        <w:pStyle w:val="TextoNormal"/>
      </w:pPr>
      <w:r>
        <w:t>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728DD" w:rsidRDefault="005728DD" w:rsidP="005728DD">
      <w:pPr>
        <w:pStyle w:val="TextoNormal"/>
      </w:pPr>
    </w:p>
    <w:p w:rsidR="005728DD" w:rsidRDefault="005728DD" w:rsidP="005728DD">
      <w:pPr>
        <w:pStyle w:val="TextoNormal"/>
      </w:pPr>
      <w:r>
        <w:t>e) Formalizado recurso de reposición, el juzgado dictó un nuevo auto el 10 de septiembre de 2019, por el que se desestimó el recurso, conforme a los motivos expuestos en su razonamiento jurídico segundo:</w:t>
      </w:r>
    </w:p>
    <w:p w:rsidR="005728DD" w:rsidRDefault="005728DD" w:rsidP="005728DD">
      <w:pPr>
        <w:pStyle w:val="TextoNormal"/>
      </w:pPr>
    </w:p>
    <w:p w:rsidR="005728DD" w:rsidRDefault="005728DD" w:rsidP="005728DD">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005728DD" w:rsidRDefault="005728DD" w:rsidP="005728DD">
      <w:pPr>
        <w:pStyle w:val="TextoNormal"/>
      </w:pPr>
    </w:p>
    <w:p w:rsidR="005728DD" w:rsidRDefault="005728DD" w:rsidP="005728DD">
      <w:pPr>
        <w:pStyle w:val="TextoNormal"/>
      </w:pPr>
      <w:r>
        <w:t>Tras afirmar que los recurrentes interpretan de forma errónea la normativa aplicable, se citan los arts. 162.2 LEC; 33.2 y 34 de la Ley 18/11,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005728DD" w:rsidRDefault="005728DD" w:rsidP="005728DD">
      <w:pPr>
        <w:pStyle w:val="TextoNormal"/>
      </w:pPr>
    </w:p>
    <w:p w:rsidR="005728DD" w:rsidRDefault="005728DD" w:rsidP="005728DD">
      <w:pPr>
        <w:pStyle w:val="TextoNormal"/>
      </w:pPr>
      <w:r>
        <w:t>A continuación, señala que “en el presente caso, consta que la notificación se puso a disposición de las recurrentes en fecha 13/06/18 no accediendo al contenido hasta el día 24/07/18 […], presentando los escritos de oposición a la ejecución en fecha 03/09/18 (</w:t>
      </w:r>
      <w:r w:rsidRPr="005728DD">
        <w:rPr>
          <w:i/>
        </w:rPr>
        <w:t>sic</w:t>
      </w:r>
      <w:r>
        <w:t xml:space="preserve">), claramente fuera del plazo legalmente establecido en el art. 556. 1 LEC (dentro de los diez </w:t>
      </w:r>
      <w:r>
        <w:lastRenderedPageBreak/>
        <w:t>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728DD" w:rsidRDefault="005728DD" w:rsidP="005728DD">
      <w:pPr>
        <w:pStyle w:val="TextoNormal"/>
      </w:pPr>
    </w:p>
    <w:p w:rsidR="005728DD" w:rsidRDefault="005728DD" w:rsidP="005728DD">
      <w:pPr>
        <w:pStyle w:val="TextoNormal"/>
      </w:pPr>
      <w:r>
        <w:t>Como pie de recurso, el auto indicó que dicha resolución “es firme, y contra la misma no cabe recurso alguno”.</w:t>
      </w:r>
    </w:p>
    <w:p w:rsidR="005728DD" w:rsidRDefault="005728DD" w:rsidP="005728DD">
      <w:pPr>
        <w:pStyle w:val="TextoNormal"/>
      </w:pPr>
    </w:p>
    <w:p w:rsidR="005728DD" w:rsidRDefault="005728DD" w:rsidP="005728DD">
      <w:pPr>
        <w:pStyle w:val="TextoNormal"/>
      </w:pPr>
      <w:r>
        <w:t>Este auto fue notificado en fecha 16 de septiembre de 2019 y, junto con el auto de 21 de septiembre de 2018, es el objeto del presente recurso interpuesto por la citada entidad Euroinversiones Inmobiliarias Costa Sur, S.L.</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5728DD" w:rsidRDefault="005728DD" w:rsidP="005728DD">
      <w:pPr>
        <w:pStyle w:val="TextoNormal"/>
      </w:pPr>
    </w:p>
    <w:p w:rsidR="005728DD" w:rsidRDefault="005728DD" w:rsidP="005728DD">
      <w:pPr>
        <w:pStyle w:val="TextoNormal"/>
      </w:pPr>
      <w:r>
        <w:t>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5728DD" w:rsidRDefault="005728DD" w:rsidP="005728DD">
      <w:pPr>
        <w:pStyle w:val="TextoNormal"/>
      </w:pPr>
    </w:p>
    <w:p w:rsidR="005728DD" w:rsidRDefault="005728DD" w:rsidP="005728DD">
      <w:pPr>
        <w:pStyle w:val="TextoNormal"/>
      </w:pPr>
      <w:r>
        <w:t>Sobre el auto de 10 de septiembre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5728DD" w:rsidRDefault="005728DD" w:rsidP="005728DD">
      <w:pPr>
        <w:pStyle w:val="TextoNormal"/>
      </w:pPr>
    </w:p>
    <w:p w:rsidR="005728DD" w:rsidRDefault="005728DD" w:rsidP="005728DD">
      <w:pPr>
        <w:pStyle w:val="TextoNormal"/>
      </w:pPr>
      <w:r>
        <w:t xml:space="preserve">Con cita expresa de la doctrina de este tribunal sobre la relevancia de los actos de comunicación procesal desde la perspectiva del derecho a la tutela judicial efectiva (entre otras, </w:t>
      </w:r>
      <w:r>
        <w:lastRenderedPageBreak/>
        <w:t>SSTC 115/1988, 195/1990 y 326/1993), finaliza solicitando que, con estimación del amparo, se acuerde la nulidad de los autos de 21 de septiembre de 2018 y de 10 de septiembre de 2019, “reconociendo el derecho individual de Euroinversiones Inmobiliarias Costa Sur, S.L., a obtener una resolución con respeto al derecho a la tutela judicial efectiva, y la nulidad de actuaciones y reposición de todo al momento previo a dictarse el auto de fecha 21 de septiembre de 2018, para que resuelva conforme a derecho, admitiendo a trámite la demanda de oposición al despacho de ejecución” formulada por la recurrente.</w:t>
      </w:r>
    </w:p>
    <w:p w:rsidR="005728DD" w:rsidRDefault="005728DD" w:rsidP="005728DD">
      <w:pPr>
        <w:pStyle w:val="TextoNormal"/>
      </w:pPr>
    </w:p>
    <w:p w:rsidR="005728DD" w:rsidRDefault="005728DD" w:rsidP="005728DD">
      <w:pPr>
        <w:pStyle w:val="TextoNormal"/>
      </w:pPr>
      <w:r>
        <w:t>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365-2018 seguido ante el Juzgado de Primera Instancia e Instrucción núm. 5 de Lorca, hasta tanto sea resuelto el presente recurso de amparo, poniéndolo en conocimiento del órgano judicial” (</w:t>
      </w:r>
      <w:r w:rsidRPr="005728DD">
        <w:rPr>
          <w:i/>
        </w:rPr>
        <w:t>sic</w:t>
      </w:r>
      <w:r>
        <w:t>).</w:t>
      </w:r>
    </w:p>
    <w:p w:rsidR="005728DD" w:rsidRDefault="005728DD" w:rsidP="005728DD">
      <w:pPr>
        <w:pStyle w:val="TextoNormal"/>
      </w:pPr>
    </w:p>
    <w:p w:rsidR="005728DD" w:rsidRDefault="005728DD" w:rsidP="005728DD">
      <w:pPr>
        <w:pStyle w:val="TextoNormal"/>
      </w:pPr>
      <w:r w:rsidRPr="005728DD">
        <w:rPr>
          <w:rStyle w:val="NumeroAFNegritaCaracter"/>
        </w:rPr>
        <w:t>4</w:t>
      </w:r>
      <w:r>
        <w:t>. Una vez recibidas las actuaciones, la Sección Cuarta de este tribunal dictó providencia el 11 de febrero de 2020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5 de Lorca, a fin de que, “en méritos al procedimiento de ejecución hipotecaria núm. 365-2018, proceda a emplazar […] a quienes hubieran sido parte en el procedimiento” de origen, excepto a la “recurrente en amparo”, para poder comparecer en el presente proceso constitucional en el plazo de diez días, y (iii) formar la “oportuna pieza separada de suspensión”.</w:t>
      </w:r>
    </w:p>
    <w:p w:rsidR="005728DD" w:rsidRDefault="005728DD" w:rsidP="005728DD">
      <w:pPr>
        <w:pStyle w:val="TextoNormal"/>
      </w:pPr>
    </w:p>
    <w:p w:rsidR="005728DD" w:rsidRDefault="005728DD" w:rsidP="005728DD">
      <w:pPr>
        <w:pStyle w:val="TextoNormal"/>
      </w:pPr>
      <w:r w:rsidRPr="005728DD">
        <w:rPr>
          <w:rStyle w:val="NumeroAFNegritaCaracter"/>
        </w:rPr>
        <w:t>5</w:t>
      </w:r>
      <w:r>
        <w:t>.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14 de febrero de 2020, en el que se ratificó en su petición inicial. Por su parte, el Ministerio Fiscal presentó informe en fecha 25 de febrero de 2020, en el que interesó que se adoptara únicamente la medida de anotación preventiva de la demanda de amparo.</w:t>
      </w:r>
    </w:p>
    <w:p w:rsidR="005728DD" w:rsidRDefault="005728DD" w:rsidP="005728DD">
      <w:pPr>
        <w:pStyle w:val="TextoNormal"/>
      </w:pPr>
    </w:p>
    <w:p w:rsidR="005728DD" w:rsidRDefault="005728DD" w:rsidP="005728DD">
      <w:pPr>
        <w:pStyle w:val="TextoNormal"/>
      </w:pPr>
      <w:r>
        <w:t>Así se acordó por medio del ATC 38/2020, de 9 de marzo,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 idónea para evitar el perjuicio derivado de que la adquisición del bien por tercero lo hiciera irreivindicable, situación a la que se hace referencia en la demanda”.</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Por escrito presentado en el registro de este tribunal el 9 de marzo de 2020, la procuradora de los tribunales doña María Claudia Munteanu,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005728DD" w:rsidRDefault="005728DD" w:rsidP="005728DD">
      <w:pPr>
        <w:pStyle w:val="TextoNormal"/>
      </w:pPr>
    </w:p>
    <w:p w:rsidR="005728DD" w:rsidRDefault="005728DD" w:rsidP="005728DD">
      <w:pPr>
        <w:pStyle w:val="TextoNormal"/>
      </w:pPr>
      <w:r w:rsidRPr="005728DD">
        <w:rPr>
          <w:rStyle w:val="NumeroAFNegritaCaracter"/>
        </w:rPr>
        <w:t>7</w:t>
      </w:r>
      <w:r>
        <w:t>. Con fecha 14 de abril de 2021,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8</w:t>
      </w:r>
      <w:r>
        <w:t>. La fiscal ante el Tribunal Constitucional presentó escrito de alegaciones el 30 de abril de 2021,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5 de Lorca, en el juicio de ejecución hipotecaria 3652018”, además de la consiguiente retroacción de las actuaciones al momento inmediatamente anterior a aquella notificación, “para que se le dé al recurrente posibilidad de formular la oposición a la ejecución”.</w:t>
      </w:r>
    </w:p>
    <w:p w:rsidR="005728DD" w:rsidRDefault="005728DD" w:rsidP="005728DD">
      <w:pPr>
        <w:pStyle w:val="TextoNormal"/>
      </w:pPr>
    </w:p>
    <w:p w:rsidR="005728DD" w:rsidRDefault="005728DD" w:rsidP="005728DD">
      <w:pPr>
        <w:pStyle w:val="TextoNormal"/>
      </w:pPr>
      <w:r>
        <w:t>La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005728DD" w:rsidRDefault="005728DD" w:rsidP="005728DD">
      <w:pPr>
        <w:pStyle w:val="TextoNormal"/>
      </w:pPr>
    </w:p>
    <w:p w:rsidR="005728DD" w:rsidRDefault="005728DD" w:rsidP="005728DD">
      <w:pPr>
        <w:pStyle w:val="TextoNormal"/>
      </w:pPr>
      <w:r w:rsidRPr="005728DD">
        <w:rPr>
          <w:rStyle w:val="NumeroAFNegritaCaracter"/>
        </w:rPr>
        <w:t>9</w:t>
      </w:r>
      <w:r>
        <w:t>. La representante procesal de la entidad recurrente presentó su escrito de alegaciones el 17 de mayo de 2021.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Por la Secretaría de Justicia se ha dictado diligencia el 19 de mayo de 2021, dejando constancia de la presentación de los escritos de alegaciones del Ministerio Fiscal y de la </w:t>
      </w:r>
      <w:r>
        <w:lastRenderedPageBreak/>
        <w:t>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27 de mayo de 2021, se señaló para deliberación y votación de la presente sentencia el día 31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005728DD" w:rsidRDefault="005728DD" w:rsidP="005728DD">
      <w:pPr>
        <w:pStyle w:val="TextoNormal"/>
      </w:pPr>
    </w:p>
    <w:p w:rsidR="005728DD" w:rsidRDefault="005728DD" w:rsidP="005728DD">
      <w:pPr>
        <w:pStyle w:val="TextoNormal"/>
      </w:pPr>
      <w:r>
        <w:t>En concreto, en el presente recurso la entidad Euroinversiones Inmobiliarias Costa Sur, S.L., impugna los autos del Juzgado de Primera Instancia e Instrucción núm. 5 de Lorca, de 21 de septiembre de 2018 y de 10 de septiembre de 2019, dictados en el proceso hipotecario núm. 365-2018.</w:t>
      </w:r>
    </w:p>
    <w:p w:rsidR="005728DD" w:rsidRDefault="005728DD" w:rsidP="005728DD">
      <w:pPr>
        <w:pStyle w:val="TextoNormal"/>
      </w:pPr>
    </w:p>
    <w:p w:rsidR="005728DD" w:rsidRDefault="005728DD" w:rsidP="005728DD">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5728DD" w:rsidRDefault="005728DD" w:rsidP="005728DD">
      <w:pPr>
        <w:pStyle w:val="TextoNormal"/>
      </w:pPr>
    </w:p>
    <w:p w:rsidR="005728DD" w:rsidRDefault="005728DD" w:rsidP="005728DD">
      <w:pPr>
        <w:pStyle w:val="TextoNormal"/>
      </w:pPr>
      <w:r>
        <w:t>El Ministerio Fiscal, por su parte, interesa la estimación del amparo por el primer motivo.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Aplicación de la doctrina del Tribunal Constitucional sobre la cuestión planteada</w:t>
      </w:r>
      <w:r>
        <w:t>.</w:t>
      </w:r>
    </w:p>
    <w:p w:rsidR="005728DD" w:rsidRDefault="005728DD" w:rsidP="005728DD">
      <w:pPr>
        <w:pStyle w:val="TextoNormal"/>
      </w:pPr>
    </w:p>
    <w:p w:rsidR="005728DD" w:rsidRDefault="005728DD" w:rsidP="005728DD">
      <w:pPr>
        <w:pStyle w:val="TextoNormal"/>
      </w:pPr>
      <w:r>
        <w:t>Planteado en estos términos el debate, debe indicarse que el Pleno de este tribunal ha dictado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005728DD" w:rsidRDefault="005728DD" w:rsidP="005728DD">
      <w:pPr>
        <w:pStyle w:val="TextoNormal"/>
      </w:pPr>
    </w:p>
    <w:p w:rsidR="005728DD" w:rsidRDefault="005728DD" w:rsidP="005728DD">
      <w:pPr>
        <w:pStyle w:val="TextoNormal"/>
      </w:pPr>
      <w:r>
        <w:lastRenderedPageBreak/>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este. En el segundo supuesto, porque no es exigible esperar a la finalización del proceso ejecutivo hipotecario </w:t>
      </w:r>
      <w:r w:rsidRPr="005728DD">
        <w:rPr>
          <w:i/>
        </w:rPr>
        <w:t>a quo</w:t>
      </w:r>
      <w:r>
        <w:t>,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5728DD" w:rsidRDefault="005728DD" w:rsidP="005728DD">
      <w:pPr>
        <w:pStyle w:val="TextoNormal"/>
      </w:pPr>
    </w:p>
    <w:p w:rsidR="005728DD" w:rsidRDefault="005728DD" w:rsidP="005728DD">
      <w:pPr>
        <w:pStyle w:val="TextoNormal"/>
      </w:pPr>
      <w:r>
        <w:t>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5728DD" w:rsidRDefault="005728DD" w:rsidP="005728DD">
      <w:pPr>
        <w:pStyle w:val="TextoNormal"/>
      </w:pPr>
    </w:p>
    <w:p w:rsidR="005728DD" w:rsidRDefault="005728DD" w:rsidP="005728DD">
      <w:pPr>
        <w:pStyle w:val="TextoNormal"/>
      </w:pPr>
      <w: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w:t>
      </w:r>
      <w:r w:rsidRPr="005728DD">
        <w:rPr>
          <w:i/>
        </w:rPr>
        <w:t>a quo</w:t>
      </w:r>
      <w:r>
        <w:t xml:space="preserve">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(art.24.1 CE), con reconocimiento de tal derecho.</w:t>
      </w:r>
    </w:p>
    <w:p w:rsidR="005728DD" w:rsidRDefault="005728DD" w:rsidP="005728DD">
      <w:pPr>
        <w:pStyle w:val="TextoNormal"/>
      </w:pPr>
    </w:p>
    <w:p w:rsidR="005728DD" w:rsidRDefault="005728DD" w:rsidP="005728DD">
      <w:pPr>
        <w:pStyle w:val="TextoNormal"/>
      </w:pPr>
      <w:r>
        <w:t xml:space="preserve">Procede por ello acordar la nulidad de los autos impugnados y de todo lo actuado en el procedimiento hipotecario </w:t>
      </w:r>
      <w:r w:rsidRPr="005728DD">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entidad “Euroinversiones Inmobiliarias Costa Sur, S.L.”,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Restablecerla en su derecho y, a tal fin, declarar la nulidad de los autos de 21 de septiembre de 2018 y de 10 de septiembre de 2019, dictados por el Juzgado de Primera Instancia e Instrucción núm. 5 de Lorca en el proceso de ejecución hipotecaria núm. 365-2018, así como la nulidad de las actuaciones realizadas a partir del auto de 6 de junio de 2018 por el que se acordó el despacho de la ejecución y el requerimiento de pago a la entidad deudora.</w:t>
      </w:r>
    </w:p>
    <w:p w:rsidR="005728DD" w:rsidRDefault="005728DD" w:rsidP="005728DD">
      <w:pPr>
        <w:pStyle w:val="TextoNormal"/>
      </w:pPr>
    </w:p>
    <w:p w:rsidR="005728DD" w:rsidRDefault="005728DD" w:rsidP="005728DD">
      <w:pPr>
        <w:pStyle w:val="TextoNormal"/>
      </w:pPr>
      <w:r>
        <w:t>3º Retrotraer el procedimiento al momento inmediatamente anterior al requerimiento de pago a la entidad ejecutada, debiendo llevarse a cabo de nuevo este trámite por el citado juzgado,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treinta y uno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19" w:name="SENTENCIA_2021_116"/>
      <w:r>
        <w:lastRenderedPageBreak/>
        <w:t>SENTENCIA 116/2021, de 31 de mayo de 2021</w:t>
      </w:r>
    </w:p>
    <w:bookmarkEnd w:id="119"/>
    <w:p w:rsidR="005728DD" w:rsidRDefault="005728DD" w:rsidP="005728DD">
      <w:pPr>
        <w:pStyle w:val="TtuloResolucin"/>
      </w:pPr>
      <w:r>
        <w:t>Sala Segunda</w:t>
      </w:r>
    </w:p>
    <w:p w:rsidR="005728DD" w:rsidRDefault="005728DD" w:rsidP="005728DD">
      <w:pPr>
        <w:pStyle w:val="TtuloBOE"/>
      </w:pPr>
      <w:r>
        <w:t>(BOE núm. 161, de 7 de julio de 2021)</w:t>
      </w:r>
    </w:p>
    <w:p w:rsidR="005728DD" w:rsidRDefault="005728DD" w:rsidP="005728DD">
      <w:pPr>
        <w:pStyle w:val="TextoNormalCentrado"/>
      </w:pPr>
      <w:r>
        <w:t>ECLI:ES:TC:2021:116</w:t>
      </w:r>
    </w:p>
    <w:p w:rsidR="005728DD" w:rsidRDefault="005728DD" w:rsidP="005728DD">
      <w:pPr>
        <w:pStyle w:val="TextoNormalCentrado"/>
      </w:pPr>
    </w:p>
    <w:p w:rsidR="005728DD" w:rsidRDefault="005728DD" w:rsidP="005728DD">
      <w:pPr>
        <w:pStyle w:val="SntesisDescriptiva"/>
      </w:pPr>
      <w:r>
        <w:t>Recurso de amparo 1619-2020. Promovido por D.P.G. Redacción y Administración, S.L., respecto de las resoluciones dictadas por un juzgado de primera instancia de Elche (Alicante) en procedimiento de ejecución hipotecaria.</w:t>
      </w:r>
    </w:p>
    <w:p w:rsidR="005728DD" w:rsidRDefault="005728DD" w:rsidP="005728DD">
      <w:pPr>
        <w:pStyle w:val="SntesisDescriptiva"/>
      </w:pPr>
    </w:p>
    <w:p w:rsidR="005728DD" w:rsidRDefault="005728DD" w:rsidP="005728DD">
      <w:pPr>
        <w:pStyle w:val="SntesisAnaltica"/>
      </w:pPr>
      <w:r>
        <w:t>Supuesta vulneración del derecho a la tutela judicial sin indefensión: entidad mercantil que se desentiende de la suerte de un procedimiento de ejecución y de la convocatoria de una subasta de la que tenía fehaciente conocimiento.</w:t>
      </w:r>
    </w:p>
    <w:p w:rsidR="005728DD" w:rsidRDefault="005728DD" w:rsidP="005728DD">
      <w:pPr>
        <w:pStyle w:val="SntesisAnaltica"/>
      </w:pPr>
    </w:p>
    <w:p w:rsidR="005728DD" w:rsidRDefault="005728DD" w:rsidP="005728DD">
      <w:pPr>
        <w:pStyle w:val="Extracto"/>
      </w:pPr>
      <w:r>
        <w:t>1.</w:t>
      </w:r>
      <w:r>
        <w:tab/>
        <w:t>Se reitera doctrina constitucional sobre el especial deber de los órganos judiciales de diligencia en los actos de comunicación procesal, que consiste en asegurar que las notificaciones, citaciones, emplazamientos y requerimientos, lleguen a sus destinatarios dándoles así la oportunidad de actuar en defensa de sus derechos e intereses y de evitar la indefensión (SSTC 6/2019 y 47/2019) [FJ 2].</w:t>
      </w:r>
    </w:p>
    <w:p w:rsidR="005728DD" w:rsidRDefault="005728DD" w:rsidP="005728DD">
      <w:pPr>
        <w:pStyle w:val="Extracto"/>
      </w:pPr>
    </w:p>
    <w:p w:rsidR="005728DD" w:rsidRDefault="005728DD" w:rsidP="005728DD">
      <w:pPr>
        <w:pStyle w:val="Extracto"/>
      </w:pPr>
      <w:r>
        <w:t>2.</w:t>
      </w:r>
      <w:r>
        <w:tab/>
        <w:t>Si la entidad demandante de amparo toma la voluntaria decisión de situarse en una posición de rebeldía no personándose formalmente en el procedimiento ejecutivo para formar parte del mismo técnicamente, tampoco está concernida la dimensión del derecho a la tutela judicial efectiva referida al deber de diligencia a desarrollar por los órganos judiciales en verificar que las notificaciones de los actos procesales a quienes ya son parte formal en el procedimiento cumplen su función última de llegar a su conocimiento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1619-2020, promovido por la entidad D.P.G. Redacción y Administración, S.L., contra el auto del Juzgado de Primera Instancia núm. 2 de Elche de 12 de febrero de 2020, por el que se desestima el recurso de reposición interpuesto contra el auto de 24 de octubre de 2019, por el que se desestima el incidente de nulidad de actuaciones, pronunciado en el procedimiento de ejecución hipotecaria núm. 2365-2015. Ha comparecido la entidad Cajamar Caja Rural, Sociedad Cooperativa de Crédito.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entidad D.P.G. Redacción y Administración, S.L., representada por la procuradora de los tribunales doña Francisca Orts Mogica y bajo la dirección del letrado don Alfredo Martínez Lidón, interpuso recurso de amparo contra las resoluciones citadas en el encabezamiento, mediante escrito registrado en este tribunal el 11 de marzo de 2020.</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El 30 de octubre de 2015 se formuló demanda de ejecución hipotecaria contra la entidad recurrente en amparo, como deudora principal, y contra su administradora única, como fiadora, dando lugar al procedimiento de ejecución hipotecaria núm. 2365-2015, tramitado por el Juzgado de Primera Instancia núm. 2 de Elche.</w:t>
      </w:r>
    </w:p>
    <w:p w:rsidR="005728DD" w:rsidRDefault="005728DD" w:rsidP="005728DD">
      <w:pPr>
        <w:pStyle w:val="TextoNormal"/>
      </w:pPr>
    </w:p>
    <w:p w:rsidR="005728DD" w:rsidRDefault="005728DD" w:rsidP="005728DD">
      <w:pPr>
        <w:pStyle w:val="TextoNormal"/>
      </w:pPr>
      <w:r>
        <w:t>b) El juzgado, por auto de 16 marzo de 2016, acordó despachar ejecución y su notificación a los ejecutados. Se efectuó un primer intento de notificación en el domicilio social de la entidad recurrente que figuraba en el título ejecutivo el 7 de abril de 2016 con resultado negativo, haciendo constar el funcionario del servicio común de notificaciones que no pudo llevarse a efecto por “encontrar un bajo cerrado y según los vecinos cerrado hace mucho tiempo. También le resulta desconocido en la finca donde no figuran en timbre y buzones”.</w:t>
      </w:r>
    </w:p>
    <w:p w:rsidR="005728DD" w:rsidRDefault="005728DD" w:rsidP="005728DD">
      <w:pPr>
        <w:pStyle w:val="TextoNormal"/>
      </w:pPr>
    </w:p>
    <w:p w:rsidR="005728DD" w:rsidRDefault="005728DD" w:rsidP="005728DD">
      <w:pPr>
        <w:pStyle w:val="TextoNormal"/>
      </w:pPr>
      <w:r>
        <w:t>c) Por diligencia de ordenación de 16 de mayo de 2016, se acuerda efectuar comunicación al punto neutro judicial a fin de averiguar nuevo domicilio y, constando en la base de datos de la Agencia Tributaria un domicilio diferente, que se practique en él nuevo intento de notificación.</w:t>
      </w:r>
    </w:p>
    <w:p w:rsidR="005728DD" w:rsidRDefault="005728DD" w:rsidP="005728DD">
      <w:pPr>
        <w:pStyle w:val="TextoNormal"/>
      </w:pPr>
    </w:p>
    <w:p w:rsidR="005728DD" w:rsidRDefault="005728DD" w:rsidP="005728DD">
      <w:pPr>
        <w:pStyle w:val="TextoNormal"/>
      </w:pPr>
      <w:r>
        <w:t xml:space="preserve">En ejecución de dicho acuerdo, se efectuó en ese domicilio un segundo intento de notificación el 23 de mayo de 2016, haciendo constar el funcionario del servicio común de notificaciones mediante escrito de 30 de mayo de 2016 que, no hallándose nadie presente en el domicilio, se dejó aviso para que compareciera en el juzgado sin que nadie hubiera acudido y que la vivienda se trata de un </w:t>
      </w:r>
      <w:r w:rsidRPr="005728DD">
        <w:rPr>
          <w:i/>
        </w:rPr>
        <w:t>bungalow</w:t>
      </w:r>
      <w:r>
        <w:t xml:space="preserve"> en que cuyo buzón e interfono constan el nombre de dos personas físicas.</w:t>
      </w:r>
    </w:p>
    <w:p w:rsidR="005728DD" w:rsidRDefault="005728DD" w:rsidP="005728DD">
      <w:pPr>
        <w:pStyle w:val="TextoNormal"/>
      </w:pPr>
    </w:p>
    <w:p w:rsidR="005728DD" w:rsidRDefault="005728DD" w:rsidP="005728DD">
      <w:pPr>
        <w:pStyle w:val="TextoNormal"/>
      </w:pPr>
      <w:r>
        <w:t>d) Por diligencia de ordenación de 7 de julio de 2016, se acuerda efectuar consulta en el registro mercantil y constando en el mismo la identificación de la administradora única con un domicilio, practicar en su persona las notificaciones acordadas.</w:t>
      </w:r>
    </w:p>
    <w:p w:rsidR="005728DD" w:rsidRDefault="005728DD" w:rsidP="005728DD">
      <w:pPr>
        <w:pStyle w:val="TextoNormal"/>
      </w:pPr>
    </w:p>
    <w:p w:rsidR="005728DD" w:rsidRDefault="005728DD" w:rsidP="005728DD">
      <w:pPr>
        <w:pStyle w:val="TextoNormal"/>
      </w:pPr>
      <w:r>
        <w:t>En ejecución de dicho acuerdo, se efectuó en ese domicilio un tercer intento de notificación el 20 de julio de 2016, haciendo constar el funcionario del servicio común de notificaciones mediante escrito de 2 de agosto de 2016 que, no hallándose nadie presente en el domicilio, se dejó aviso para que compareciera en el juzgado sin que nadie hubiera acudido y que “no figuraban apellidos en timbre sin buzones. Los vecinos manifestaron que no conocían a la persona indicada y desconocían si vivía o había vivido en la dirección indicada”.</w:t>
      </w:r>
    </w:p>
    <w:p w:rsidR="005728DD" w:rsidRDefault="005728DD" w:rsidP="005728DD">
      <w:pPr>
        <w:pStyle w:val="TextoNormal"/>
      </w:pPr>
    </w:p>
    <w:p w:rsidR="005728DD" w:rsidRDefault="005728DD" w:rsidP="005728DD">
      <w:pPr>
        <w:pStyle w:val="TextoNormal"/>
      </w:pPr>
      <w:r>
        <w:t xml:space="preserve">e) Por diligencia de ordenación de 2 de noviembre de 2016, se acuerda efectuar consulta a través del punto neutro judicial de nuevo domicilio de la administradora única y, constando </w:t>
      </w:r>
      <w:r>
        <w:lastRenderedPageBreak/>
        <w:t>uno en la base de datos del Cuerpo Nacional de Policía, practicar en él las notificaciones acordadas.</w:t>
      </w:r>
    </w:p>
    <w:p w:rsidR="005728DD" w:rsidRDefault="005728DD" w:rsidP="005728DD">
      <w:pPr>
        <w:pStyle w:val="TextoNormal"/>
      </w:pPr>
    </w:p>
    <w:p w:rsidR="005728DD" w:rsidRDefault="005728DD" w:rsidP="005728DD">
      <w:pPr>
        <w:pStyle w:val="TextoNormal"/>
      </w:pPr>
      <w:r>
        <w:t>En ejecución de dicho acuerdo, el 21 de noviembre de 2016 se notificó al cuarto intento el auto despachando la ejecución y el requerimiento de pago a la entidad recurrente de manera presencial en la persona de su administradora única.</w:t>
      </w:r>
    </w:p>
    <w:p w:rsidR="005728DD" w:rsidRDefault="005728DD" w:rsidP="005728DD">
      <w:pPr>
        <w:pStyle w:val="TextoNormal"/>
      </w:pPr>
    </w:p>
    <w:p w:rsidR="005728DD" w:rsidRDefault="005728DD" w:rsidP="005728DD">
      <w:pPr>
        <w:pStyle w:val="TextoNormal"/>
      </w:pPr>
      <w:r>
        <w:t>f) La letrada de la administración de justicia, por decreto de 24 de febrero de 2017, acordó la convocatoria de la subasta de una finca propiedad de la ejecutada, lo que fue notificado en comunicación dirigida a la misma dirección que en el intento positivo anterior. Según acta de constancia de 12 de abril de 2017, mediante comparecencia en el juzgado, se notificó dicha resolución “al letrado Alfredo Martínez Lidón, en calidad de mandatario verbal de la ejecutada D.P.G. Redacción Administración, S.L.”.</w:t>
      </w:r>
    </w:p>
    <w:p w:rsidR="005728DD" w:rsidRDefault="005728DD" w:rsidP="005728DD">
      <w:pPr>
        <w:pStyle w:val="TextoNormal"/>
      </w:pPr>
    </w:p>
    <w:p w:rsidR="005728DD" w:rsidRDefault="005728DD" w:rsidP="005728DD">
      <w:pPr>
        <w:pStyle w:val="TextoNormal"/>
      </w:pPr>
      <w:r>
        <w:t>g) La administradora única de la entidad recurrente, afirmando actuar como administradora de esta, mediante escrito registrado el 17 de marzo de 2017, puso en conocimiento del juzgado el pago de ciertas cantidades a cuenta posteriores al auto despachando la ejecución, a los efectos oportunos. En el encabezamiento del escrito se afirma que “como domicilio de avisos en la calle” haciendo figurar el domicilio en que no pudo realizarse el segundo intento de notificación del auto despachando la ejecución.</w:t>
      </w:r>
    </w:p>
    <w:p w:rsidR="005728DD" w:rsidRDefault="005728DD" w:rsidP="005728DD">
      <w:pPr>
        <w:pStyle w:val="TextoNormal"/>
      </w:pPr>
    </w:p>
    <w:p w:rsidR="005728DD" w:rsidRDefault="005728DD" w:rsidP="005728DD">
      <w:pPr>
        <w:pStyle w:val="TextoNormal"/>
      </w:pPr>
      <w:r>
        <w:t>h) Por diligencia de ordenación de 8 de marzo de 2018, se da cuenta del resultado de la subasta. Tras el intento frustrado de notificación en la única dirección en que hasta ese momento se había alcanzado un resultado positivo, se acuerda su publicación por edictos.</w:t>
      </w:r>
    </w:p>
    <w:p w:rsidR="005728DD" w:rsidRDefault="005728DD" w:rsidP="005728DD">
      <w:pPr>
        <w:pStyle w:val="TextoNormal"/>
      </w:pPr>
    </w:p>
    <w:p w:rsidR="005728DD" w:rsidRDefault="005728DD" w:rsidP="005728DD">
      <w:pPr>
        <w:pStyle w:val="TextoNormal"/>
      </w:pPr>
      <w:r>
        <w:t>i) Por diligencia de ordenación de 2 de mayo de 2019, se fijó para la diligencia de posesión de la finca objeto de subasta el 12 de junio de 2019, que se intentó notificar en la propia finca el 9 de mayo de 2019 con resultado negativo por estar deshabitada, pero dejando la diligencia de ordenación.</w:t>
      </w:r>
    </w:p>
    <w:p w:rsidR="005728DD" w:rsidRDefault="005728DD" w:rsidP="005728DD">
      <w:pPr>
        <w:pStyle w:val="TextoNormal"/>
      </w:pPr>
    </w:p>
    <w:p w:rsidR="005728DD" w:rsidRDefault="005728DD" w:rsidP="005728DD">
      <w:pPr>
        <w:pStyle w:val="TextoNormal"/>
      </w:pPr>
      <w:r>
        <w:t>j) La entidad recurrente en amparo, representada por procurador y bajo la asistencia del abogado que había recogido como mandatario verbal el decreto de 24 de febrero de 2017 en que se acordaba la convocatoria de la subasta, mediante escrito registrado el 16 de julio de 2019 se personó en el procedimiento, lo que se tuvo por cumplimentado por diligencia de ordenación de 4 de septiembre de 2019.</w:t>
      </w:r>
    </w:p>
    <w:p w:rsidR="005728DD" w:rsidRDefault="005728DD" w:rsidP="005728DD">
      <w:pPr>
        <w:pStyle w:val="TextoNormal"/>
      </w:pPr>
    </w:p>
    <w:p w:rsidR="005728DD" w:rsidRDefault="005728DD" w:rsidP="005728DD">
      <w:pPr>
        <w:pStyle w:val="TextoNormal"/>
      </w:pPr>
      <w:r>
        <w:t>k) La entidad recurrente en amparo, mediante escrito de 13 de septiembre de 2019, interpuso incidente de nulidad de actuaciones, argumentando que en (i) en el escrito de 17 de marzo de 2017 dirigido por la administradora única de la entidad al juzgado figuraba su domicilio, que coincidía con uno de los obtenidos en las diligencias de averiguación hechas por el juzgado y, (ii) a pesar de ello, la diligencia de ordenación de 8 de marzo de 2018 con el resultado de la subasta se intenta notificar en otro domicilio y ante su resultado negativo se publica por edictos. Se afirma que esa forma de actuar supone una vulneración de los preceptos reguladores de las notificaciones en la ley procesal civil que le ha generado efectiva indefensión.</w:t>
      </w:r>
    </w:p>
    <w:p w:rsidR="005728DD" w:rsidRDefault="005728DD" w:rsidP="005728DD">
      <w:pPr>
        <w:pStyle w:val="TextoNormal"/>
      </w:pPr>
    </w:p>
    <w:p w:rsidR="005728DD" w:rsidRDefault="005728DD" w:rsidP="005728DD">
      <w:pPr>
        <w:pStyle w:val="TextoNormal"/>
      </w:pPr>
      <w:r>
        <w:t xml:space="preserve">l) El incidente fue desestimado por auto de 24 de octubre de 2019 con fundamento en que ninguna indefensión se había generado a la entidad recurrente, ya que consta en las </w:t>
      </w:r>
      <w:r>
        <w:lastRenderedPageBreak/>
        <w:t>actuaciones que el decreto de 24 de febrero de 2017 por el que se acuerda la convocatoria de la subasta se notificó a un mandatario verbal de dicha entidad el 12 de abril de 2017, por lo que era conocedora del procedimiento, insistiendo en que el hecho de la existencia del escrito de 20 de marzo de 2017 de la administradora única de la entidad recurrente en que fija un determinado domicilio no impide afirmar que no concurre una indefensión material derivada del pleno conocimiento de la existencia de la causa y de la subasta.</w:t>
      </w:r>
    </w:p>
    <w:p w:rsidR="005728DD" w:rsidRDefault="005728DD" w:rsidP="005728DD">
      <w:pPr>
        <w:pStyle w:val="TextoNormal"/>
      </w:pPr>
    </w:p>
    <w:p w:rsidR="005728DD" w:rsidRDefault="005728DD" w:rsidP="005728DD">
      <w:pPr>
        <w:pStyle w:val="TextoNormal"/>
      </w:pPr>
      <w:r>
        <w:t>El auto contenía un pie de recurso que posibilitaba la interposición de recurso de reposición, que fue articulado por la entidad recurrente, reiterando las mismas alegaciones, siendo desestimado por auto de 12 de febrero de 2020, con remisión a los mismos argumentos de la inexistencia de indefensión material.</w:t>
      </w:r>
    </w:p>
    <w:p w:rsidR="005728DD" w:rsidRDefault="005728DD" w:rsidP="005728DD">
      <w:pPr>
        <w:pStyle w:val="TextoNormal"/>
      </w:pPr>
    </w:p>
    <w:p w:rsidR="005728DD" w:rsidRDefault="005728DD" w:rsidP="005728DD">
      <w:pPr>
        <w:pStyle w:val="TextoNormal"/>
      </w:pPr>
      <w:r w:rsidRPr="005728DD">
        <w:rPr>
          <w:rStyle w:val="NumeroAFNegritaCaracter"/>
        </w:rPr>
        <w:t>3</w:t>
      </w:r>
      <w:r>
        <w:t>. La entidad recurrente solicita la nulidad de las resoluciones judiciales impugnadas por vulneración de su derecho a la tutela judicial efectiva (art. 24.1 CE) con retroacción de actuaciones al momento en que se debió notificar en forma la diligencia de ordenación de 8 de marzo de 2018 por la cual se daba cuenta del resultado de la subasta.</w:t>
      </w:r>
    </w:p>
    <w:p w:rsidR="005728DD" w:rsidRDefault="005728DD" w:rsidP="005728DD">
      <w:pPr>
        <w:pStyle w:val="TextoNormal"/>
      </w:pPr>
    </w:p>
    <w:p w:rsidR="005728DD" w:rsidRDefault="005728DD" w:rsidP="005728DD">
      <w:pPr>
        <w:pStyle w:val="TextoNormal"/>
      </w:pPr>
      <w:r>
        <w:t>El recurrente fundamenta la vulneración del art. 24.1 CE en que se ha procedido a realizar una defectuosa notificación edictal de la diligencia de ordenación de 8 de marzo del 2018 con el resultado de la subasta, ya que el intento de notificación personal se intentó en un domicilio distinto del designado por la administradora única de la sociedad, generando con ello una situación de indefensión al privarle de la posibilidad de presentar alguien que mejore la postura de subasta de acuerdo con lo establecido en el art. 670.4, párrafo primero, de la Ley de enjuiciamiento civil.</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 este tribunal, por providencia de 17 de septiembre de 2020, acordó la admisión a trámite del presente recurso,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dirigir atenta comunicación al órgano judicial para el emplazamiento de quienes hubieran sido parte en el procedimiento para que pudiesen comparecen en el plazo de diez días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 este tribunal, por diligencia de ordenación de 21 de enero de 2021, acordó tener por personada y parte en el procedimiento a la procuradora de los tribunales doña Leticia Codias Viñuela, en nombre y representación de la entidad Cajamar Caja Rural, Sociedad Cooperativa de Crédito, y dar vista de las actuaciones al Ministerio Fiscal y a las partes personadas por plazo común de veinte días para presentar las alegaciones que estimasen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El Ministerio Fiscal, por escrito registrado el 11 de marzo de 2021, formuló alegaciones interesando que se otorgue el amparo solicitado por vulneración del derecho a la tutela judicial efectiva (art. 24.1 CE) y se declare la nulidad de las resoluciones impugnadas con retroacción de actuaciones al momento inmediatamente anterior al pronunciamiento del </w:t>
      </w:r>
      <w:r>
        <w:lastRenderedPageBreak/>
        <w:t>auto de 24 de octubre de 2019 por el que se desestima el incidente de nulidad de actuaciones para que se dicte otro respetuoso con los derechos de la recurrente.</w:t>
      </w:r>
    </w:p>
    <w:p w:rsidR="005728DD" w:rsidRDefault="005728DD" w:rsidP="005728DD">
      <w:pPr>
        <w:pStyle w:val="TextoNormal"/>
      </w:pPr>
    </w:p>
    <w:p w:rsidR="005728DD" w:rsidRDefault="005728DD" w:rsidP="005728DD">
      <w:pPr>
        <w:pStyle w:val="TextoNormal"/>
      </w:pPr>
      <w:r>
        <w:t>El Ministerio Fiscal, tras la cita de la jurisprudencia constitucional sobre la necesidad de una correcta conformación de la relación procesal y el deber de diligencia a desarrollar por el órgano judicial en la notificación personal para posibilitar la participación de quien resulte demandado (STC 89/2015), expone que, si bien el órgano judicial desarrolló diversa actividad para hacer efectiva la comunicación del proceso, no intentó la notificación en el domicilio fijado por la administradora única, provocando con ello una indefensión material que no queda enervada por el hecho de que se notificara el señalamiento de la subasta a un abogado mandatario verbal de la entidad recurrente, pues “no creemos que ese dato sea suficiente para entender que existió un conocimiento suficiente, ya que, en primer lugar, hasta ese momento la sociedad ejecutada no estaba personada en la causa, no lo estuvo hasta julio de 2019, en segundo lugar, en la diligencia se hace constar que se procede a notificar a un mandatario verbal, pero ni siquiera se le identifica, y por último, esa notificación supondría que ese acto, el señalamiento de la subasta sí fue conocido por la ejecutada, pero todos los actos procesales posteriores, se siguieron notificando por edictos, impidiendo ejercer algunos derechos, como el de mejora de la subasta que claramente le podrían producir perjuicio, y por ende indefensión”.</w:t>
      </w:r>
    </w:p>
    <w:p w:rsidR="005728DD" w:rsidRDefault="005728DD" w:rsidP="005728DD">
      <w:pPr>
        <w:pStyle w:val="TextoNormal"/>
      </w:pPr>
    </w:p>
    <w:p w:rsidR="005728DD" w:rsidRDefault="005728DD" w:rsidP="005728DD">
      <w:pPr>
        <w:pStyle w:val="TextoNormal"/>
      </w:pPr>
      <w:r w:rsidRPr="005728DD">
        <w:rPr>
          <w:rStyle w:val="NumeroAFNegritaCaracter"/>
        </w:rPr>
        <w:t>7</w:t>
      </w:r>
      <w:r>
        <w:t>. La parte personada, por escrito registrado el 8 de marzo de 2021, formuló alegaciones solicitando que se desestime el recurso, argumentando que el derecho a la tutela judicial efectiva reconocido en el art. 24.1 CE, proscribe la indefensión imputable a los órganos judiciales, pero no a la propia conducta de la persona afectada, como es el caso, pues la entidad recurrente tuvo conocimiento fehaciente desde el 21 de noviembre de 2016 del procedimiento ejecutivo y de la convocatoria de la subasta desde el 12 de abril de 2017, habiendo decidido no personarse formalmente hasta el 15 de julio de 2019, a los únicos efectos de formular incidente de nulidad.</w:t>
      </w:r>
    </w:p>
    <w:p w:rsidR="005728DD" w:rsidRDefault="005728DD" w:rsidP="005728DD">
      <w:pPr>
        <w:pStyle w:val="TextoNormal"/>
      </w:pPr>
    </w:p>
    <w:p w:rsidR="005728DD" w:rsidRDefault="005728DD" w:rsidP="005728DD">
      <w:pPr>
        <w:pStyle w:val="TextoNormal"/>
      </w:pPr>
      <w:r w:rsidRPr="005728DD">
        <w:rPr>
          <w:rStyle w:val="NumeroAFNegritaCaracter"/>
        </w:rPr>
        <w:t>8</w:t>
      </w:r>
      <w:r>
        <w:t>. La entidad recurrente no presentó alegaciones.</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27 de mayo de 2021, se señaló para deliberación y votación de la presente sentencia el día 31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El objeto del recurso</w:t>
      </w:r>
      <w:r>
        <w:t>:</w:t>
      </w:r>
    </w:p>
    <w:p w:rsidR="005728DD" w:rsidRDefault="005728DD" w:rsidP="005728DD">
      <w:pPr>
        <w:pStyle w:val="TextoNormal"/>
      </w:pPr>
    </w:p>
    <w:p w:rsidR="005728DD" w:rsidRDefault="005728DD" w:rsidP="005728DD">
      <w:pPr>
        <w:pStyle w:val="TextoNormal"/>
      </w:pPr>
      <w:r>
        <w:t>El objeto de este recurso es determinar si la notificación por edictos de la diligencia de ordenación con el resultado de una subasta ha vulnerado el derecho a la tutela judicial efectiva de la entidad recurrente en la medida en que, si bien había tenido un fehaciente conocimiento del procedimiento ejecutivo dirigido contra ella y había decidido no personarse en la causa, en un escrito dirigido al juzgado había fijado un domicilio de la administradora única, en el que no se intentó la notificación de la citada diligencia de ordenación, que solo se intentó en otro domicilio que en ocasiones anteriores sí se había podido efectuar una notificación con un resultado positivo.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La jurisprudencia constitucional sobre los actos de comunicación procesal</w:t>
      </w:r>
      <w:r>
        <w:t>:</w:t>
      </w:r>
    </w:p>
    <w:p w:rsidR="005728DD" w:rsidRDefault="005728DD" w:rsidP="005728DD">
      <w:pPr>
        <w:pStyle w:val="TextoNormal"/>
      </w:pPr>
    </w:p>
    <w:p w:rsidR="005728DD" w:rsidRDefault="005728DD" w:rsidP="005728DD">
      <w:pPr>
        <w:pStyle w:val="TextoNormal"/>
      </w:pPr>
      <w:r>
        <w:t>El Tribunal ha reiterado la trascendencia constitucional, desde la perspectiva del derecho a la tutela judicial efectiva (art. 24.1 CE), de los actos de comunicación judicial con las partes tanto respecto de quienes aún no son parte y han de ser emplazados para que puedan hacer efectivo su derecho de acceso a la jurisdicción, como respecto de aquellos que siendo ya parte formal en el procedimiento ha de darse traslado de las resoluciones judiciales para que puedan ejercitar la defensa de sus derechos e intereses legítimos, con respeto de los principios de bilateralidad, contradicción e igualdad de armas procesales, incluyendo, en su caso, el ejercicio del derecho de un posible recurso contra dichas decisiones. En correlación con esa trascendencia, la jurisprudencia constitucional ha impuesto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(así, por ejemplo, SSTC 6/2019, de 17 de enero, FJ 3, y 47/2019, de 8 de abril, FJ 3).</w:t>
      </w:r>
    </w:p>
    <w:p w:rsidR="005728DD" w:rsidRDefault="005728DD" w:rsidP="005728DD">
      <w:pPr>
        <w:pStyle w:val="TextoNormal"/>
      </w:pPr>
    </w:p>
    <w:p w:rsidR="005728DD" w:rsidRDefault="005728DD" w:rsidP="005728DD">
      <w:pPr>
        <w:pStyle w:val="TextoNormal"/>
      </w:pPr>
      <w:r>
        <w:t>A esos efectos, la jurisprudencia constitucional (así, por ejemplo, STC 79/2021, de 19 de abril, FJ 3) ha incidido en las siguientes ideas:</w:t>
      </w:r>
    </w:p>
    <w:p w:rsidR="005728DD" w:rsidRDefault="005728DD" w:rsidP="005728DD">
      <w:pPr>
        <w:pStyle w:val="TextoNormal"/>
      </w:pPr>
    </w:p>
    <w:p w:rsidR="005728DD" w:rsidRDefault="005728DD" w:rsidP="005728DD">
      <w:pPr>
        <w:pStyle w:val="TextoNormal"/>
      </w:pPr>
      <w:r>
        <w:t>(i) El órgano judicial ha de velar no solo porque la práctica de los actos de comunicación con las partes se desarrolle con sujeción a sus requisitos legales, sino que, además, se asegure de que dichos actos sirven a su propósito, de forma que, efectivamente, el acto de comunicación procesal llegue al conocimiento de su destinatario, debiendo desplegar la oportuna diligencia y actividad dirigida a asegurarse de que se ha cumplido con la finalidad perseguida con el acto de comunicación procesal.</w:t>
      </w:r>
    </w:p>
    <w:p w:rsidR="005728DD" w:rsidRDefault="005728DD" w:rsidP="005728DD">
      <w:pPr>
        <w:pStyle w:val="TextoNormal"/>
      </w:pPr>
    </w:p>
    <w:p w:rsidR="005728DD" w:rsidRDefault="005728DD" w:rsidP="005728DD">
      <w:pPr>
        <w:pStyle w:val="TextoNormal"/>
      </w:pPr>
      <w:r>
        <w:t>(ii) El deber de diligencia judicial no posee la misma intensidad según el objeto del acto de comunicación procesal, ya que no es el mismo en el caso de que su finalidad sea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En estos últimos casos, el Tribunal ha considerado que no cabe imponer al órgano judicial una desmedida labor de cerciorarse de la efectividad del acto de comunicación en cuestión cuando tiene la apariencia de haberse practicado con arreglo a la legalidad que lo rige.</w:t>
      </w:r>
    </w:p>
    <w:p w:rsidR="005728DD" w:rsidRDefault="005728DD" w:rsidP="005728DD">
      <w:pPr>
        <w:pStyle w:val="TextoNormal"/>
      </w:pPr>
    </w:p>
    <w:p w:rsidR="005728DD" w:rsidRDefault="005728DD" w:rsidP="005728DD">
      <w:pPr>
        <w:pStyle w:val="TextoNormal"/>
      </w:pPr>
      <w:r>
        <w:t>(iii) Las partes procesales tienen también el deber de colaborar con la administración de Justicia en su regular y ordenado proceder por lo que no existirá indefensión efectiva lesiva del art. 24.1 CE si de las actuaciones se deduce que quien la denuncia no ha observado la debida diligencia en la defensa de sus derechos, de modo tal que la indefensión alegada sea la consecuencia del desinterés, la negligencia, el error técnico o impericia de la parte o profesionales que le representen o defiendan.</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Aplicación de la jurisprudencia constitucional al presente recurso</w:t>
      </w:r>
      <w:r>
        <w:t>:</w:t>
      </w:r>
    </w:p>
    <w:p w:rsidR="005728DD" w:rsidRDefault="005728DD" w:rsidP="005728DD">
      <w:pPr>
        <w:pStyle w:val="TextoNormal"/>
      </w:pPr>
    </w:p>
    <w:p w:rsidR="005728DD" w:rsidRDefault="005728DD" w:rsidP="005728DD">
      <w:pPr>
        <w:pStyle w:val="TextoNormal"/>
      </w:pPr>
      <w:r>
        <w:lastRenderedPageBreak/>
        <w:t>a) En el presente caso, como ha sido expuesto más ampliamente en los antecedentes, han quedado acreditados en las actuaciones y no resultan controvertidos los siguientes extremos:</w:t>
      </w:r>
    </w:p>
    <w:p w:rsidR="005728DD" w:rsidRDefault="005728DD" w:rsidP="005728DD">
      <w:pPr>
        <w:pStyle w:val="TextoNormal"/>
      </w:pPr>
    </w:p>
    <w:p w:rsidR="005728DD" w:rsidRDefault="005728DD" w:rsidP="005728DD">
      <w:pPr>
        <w:pStyle w:val="TextoNormal"/>
      </w:pPr>
      <w:r>
        <w:t>(i) El auto de 16 marzo de 2016, por el que se acuerda despachar la ejecución, se intentó notificar el 7 de abril de 2016 a la entidad recurrente en amparo en el domicilio que figuraba en el titulo hipotecario a ejecutar, con resultado negativo.</w:t>
      </w:r>
    </w:p>
    <w:p w:rsidR="005728DD" w:rsidRDefault="005728DD" w:rsidP="005728DD">
      <w:pPr>
        <w:pStyle w:val="TextoNormal"/>
      </w:pPr>
    </w:p>
    <w:p w:rsidR="005728DD" w:rsidRDefault="005728DD" w:rsidP="005728DD">
      <w:pPr>
        <w:pStyle w:val="TextoNormal"/>
      </w:pPr>
      <w:r>
        <w:t>(ii) El órgano judicial efectuó un segundo intento el 23 de mayo de 2016 en una dirección diferente de la entidad recurrente, tras una averiguación domiciliaria, que también resultó negativo porque, a pesar de haberse dejado aviso, nadie compareció a recogerla. Esta dirección es la que, a la postre, la administradora única de la entidad recurrente refería como domicilio en un escrito posterior de 17 de marzo de 2017 dirigido al juzgado y que considera que el deber de diligencia exigible al juzgado hubiera llevado a tomar como lugar de notificación previa a la notificación edictal de la diligencia de ordenación de 8 de marzo de 2018 de adjudicación de la subasta.</w:t>
      </w:r>
    </w:p>
    <w:p w:rsidR="005728DD" w:rsidRDefault="005728DD" w:rsidP="005728DD">
      <w:pPr>
        <w:pStyle w:val="TextoNormal"/>
      </w:pPr>
    </w:p>
    <w:p w:rsidR="005728DD" w:rsidRDefault="005728DD" w:rsidP="005728DD">
      <w:pPr>
        <w:pStyle w:val="TextoNormal"/>
      </w:pPr>
      <w:r>
        <w:t>(iii) El órgano judicial efectuó un tercer intento el 20 de julio de 2016 en una dirección correspondiente a la administradora única, tras una averiguación domiciliaria, que también resultó negativo porque, a pesar de haberse dejado aviso, nadie compareció a recogerla.</w:t>
      </w:r>
    </w:p>
    <w:p w:rsidR="005728DD" w:rsidRDefault="005728DD" w:rsidP="005728DD">
      <w:pPr>
        <w:pStyle w:val="TextoNormal"/>
      </w:pPr>
    </w:p>
    <w:p w:rsidR="005728DD" w:rsidRDefault="005728DD" w:rsidP="005728DD">
      <w:pPr>
        <w:pStyle w:val="TextoNormal"/>
      </w:pPr>
      <w:r>
        <w:t>(iv) El órgano judicial efectuó un cuarto intento el 21 de noviembre de 2016, en una dirección correspondiente a la administradora única extraída de la base de datos del Cuerpo Nacional de Policía, tras una averiguación domiciliaria, que resultó positivo al poder notificarse de manera presencial el auto despachando la ejecución a la entidad recurrente en la persona de su administradora única. Esta es la dirección en la que con posterioridad el órgano judicial intentó la notificación de la diligencia de ordenación de 8 de marzo de 2018 de adjudicación de la subasta, previa a acudir a la notificación edictal.</w:t>
      </w:r>
    </w:p>
    <w:p w:rsidR="005728DD" w:rsidRDefault="005728DD" w:rsidP="005728DD">
      <w:pPr>
        <w:pStyle w:val="TextoNormal"/>
      </w:pPr>
    </w:p>
    <w:p w:rsidR="005728DD" w:rsidRDefault="005728DD" w:rsidP="005728DD">
      <w:pPr>
        <w:pStyle w:val="TextoNormal"/>
      </w:pPr>
      <w:r>
        <w:t>(v) La letrada de la administración de justicia, por decreto de 24 de febrero de 2017, acordó la convocatoria de la subasta de una finca propiedad de la ejecutada, lo que fue notificado en comunicación dirigida a la misma dirección que en el intento positivo. Según acta de constancia de 12 de abril de 2017, mediante comparecencia en el juzgado, se notificó dicha resolución “al letrado Alfredo Martínez Lidón, en calidad de mandatario verbal de la ejecutada D.P.G. Redacción Administración, S.L.”.</w:t>
      </w:r>
    </w:p>
    <w:p w:rsidR="005728DD" w:rsidRDefault="005728DD" w:rsidP="005728DD">
      <w:pPr>
        <w:pStyle w:val="TextoNormal"/>
      </w:pPr>
    </w:p>
    <w:p w:rsidR="005728DD" w:rsidRDefault="005728DD" w:rsidP="005728DD">
      <w:pPr>
        <w:pStyle w:val="TextoNormal"/>
      </w:pPr>
      <w:r>
        <w:t>(vi) La administradora única de la entidad recurrente, mediante escrito registrado el 17 de marzo de 2017, puso en conocimiento del juzgado el pago de ciertas cantidades posteriores al auto despachando la ejecución, haciendo constar en el encabezamiento del escrito como domicilio de avisos aquel en que no pudo realizarse el segundo intento de notificación del auto despachando la ejecución.</w:t>
      </w:r>
    </w:p>
    <w:p w:rsidR="005728DD" w:rsidRDefault="005728DD" w:rsidP="005728DD">
      <w:pPr>
        <w:pStyle w:val="TextoNormal"/>
      </w:pPr>
    </w:p>
    <w:p w:rsidR="005728DD" w:rsidRDefault="005728DD" w:rsidP="005728DD">
      <w:pPr>
        <w:pStyle w:val="TextoNormal"/>
      </w:pPr>
      <w:r>
        <w:t>(vii) Por diligencia de ordenación de 8 de marzo de 2018, se dio cuenta del resultado de la adjudicación de la subasta, acordándose su notificación a la entidad recurrente, que se efectuó en la única dirección que hasta ese momento había tenido resultado positivo. Tras el intento frustrado de notificación en dicha dirección se acuerda su publicación por edictos, cuya constitucionalidad es lo controvertido en este recurso.</w:t>
      </w:r>
    </w:p>
    <w:p w:rsidR="005728DD" w:rsidRDefault="005728DD" w:rsidP="005728DD">
      <w:pPr>
        <w:pStyle w:val="TextoNormal"/>
      </w:pPr>
    </w:p>
    <w:p w:rsidR="005728DD" w:rsidRDefault="005728DD" w:rsidP="005728DD">
      <w:pPr>
        <w:pStyle w:val="TextoNormal"/>
      </w:pPr>
      <w:r>
        <w:lastRenderedPageBreak/>
        <w:t>b) En atención a lo expuesto, hay que concluir que no se ha vulnerado a la entidad recurrente su derecho a la tutela judicial efectiva (art. 24.1 CE), de acuerdo con las siguientes consideraciones:</w:t>
      </w:r>
    </w:p>
    <w:p w:rsidR="005728DD" w:rsidRDefault="005728DD" w:rsidP="005728DD">
      <w:pPr>
        <w:pStyle w:val="TextoNormal"/>
      </w:pPr>
    </w:p>
    <w:p w:rsidR="005728DD" w:rsidRDefault="005728DD" w:rsidP="005728DD">
      <w:pPr>
        <w:pStyle w:val="TextoNormal"/>
      </w:pPr>
      <w:r>
        <w:t>(i) El presente recurso de amparo, no plantea un problema constitucional sobre el deber de diligencia a desarrollar por el órgano judicial, para posibilitar una correcta conformación de la relación procesal que permita a un demandado conocer la existencia de un procedimiento, a fin de que pueda comparecer en el mismo para desplegar todas las posibilidades de defensa, en protección de los intereses que considere legítimos.</w:t>
      </w:r>
    </w:p>
    <w:p w:rsidR="005728DD" w:rsidRDefault="005728DD" w:rsidP="005728DD">
      <w:pPr>
        <w:pStyle w:val="TextoNormal"/>
      </w:pPr>
    </w:p>
    <w:p w:rsidR="005728DD" w:rsidRDefault="005728DD" w:rsidP="005728DD">
      <w:pPr>
        <w:pStyle w:val="TextoNormal"/>
      </w:pPr>
      <w:r>
        <w:t>El Tribunal constata que la entidad ahora demandante, tras diversos intentos de notificación y de averiguación de domicilios alternativos al que figuraba en el título ejecutivo, fue notificada personalmente del auto despachando la ejecución y del requerimiento de pago en la persona de su administradora única que, además, era otra ejecutada como fiadora de la deuda hipotecaria. Con posterioridad, se volvió a realizar la notificación personal del decreto de convocatoria de la subasta por comparecencia en el juzgado de la persona que dijo ser un mandatario verbal de la entidad recurrente en amparo y que es el abogado bajo cuya asistencia letrada posteriormente se personó dicha entidad tanto en el procedimiento judicial como en el presente recurso de amparo. De hecho, la propia entidad recurrente llegó a dirigir escritos al órgano judicial, a través de su administradora única, en pretensión de que se tomaran en consideración pagos sobrevenidos a la iniciación del proceso de ejecución.</w:t>
      </w:r>
    </w:p>
    <w:p w:rsidR="005728DD" w:rsidRDefault="005728DD" w:rsidP="005728DD">
      <w:pPr>
        <w:pStyle w:val="TextoNormal"/>
      </w:pPr>
    </w:p>
    <w:p w:rsidR="005728DD" w:rsidRDefault="005728DD" w:rsidP="005728DD">
      <w:pPr>
        <w:pStyle w:val="TextoNormal"/>
      </w:pPr>
      <w:r>
        <w:t>Por tanto, habiendo tenido conocimiento la entidad demandante de amparo del procedimiento ejecutivo que se estaba desarrollando, merced a la diligente actuación del órgano judicial para obtener un domicilio de notificación alternativo, hay que concluir que no está concernido en este recurso de amparo la dimensión del derecho de acceso a la jurisdicción conforme al cual la jurisprudencia constitucional impone un especial y cualificado deber de diligencia al órgano judicial en la notificación personal.</w:t>
      </w:r>
    </w:p>
    <w:p w:rsidR="005728DD" w:rsidRDefault="005728DD" w:rsidP="005728DD">
      <w:pPr>
        <w:pStyle w:val="TextoNormal"/>
      </w:pPr>
    </w:p>
    <w:p w:rsidR="005728DD" w:rsidRDefault="005728DD" w:rsidP="005728DD">
      <w:pPr>
        <w:pStyle w:val="TextoNormal"/>
      </w:pPr>
      <w:r>
        <w:t>(ii) El presente recurso de amparo tampoco plantea un problema sobre el deber de diligencia a desarrollar por el órgano judicial para posibilitar la correcta notificación de los diferentes actos procesales a quienes ya son partes formales en el procedimiento para que puedan ejercitar la defensa de sus derechos e intereses legítimos, con respeto de los principios de bilateralidad, contradicción e igualdad de armas procesales, incluyendo, en su caso, el ejercicio del derecho de un posible recurso contra dichas decisiones.</w:t>
      </w:r>
    </w:p>
    <w:p w:rsidR="005728DD" w:rsidRDefault="005728DD" w:rsidP="005728DD">
      <w:pPr>
        <w:pStyle w:val="TextoNormal"/>
      </w:pPr>
    </w:p>
    <w:p w:rsidR="005728DD" w:rsidRDefault="005728DD" w:rsidP="005728DD">
      <w:pPr>
        <w:pStyle w:val="TextoNormal"/>
      </w:pPr>
      <w:r>
        <w:t>El Tribunal constata que la entidad ahora demandante, a pesar de tener un fehaciente conocimiento del procedimiento de ejecución e incluso de la convocatoria de la subasta de un determinado bien de su propiedad, no se personó formalmente en las actuaciones mediante procurador que la representara y abogado que la asistiera hasta mucho después de haberse adjudicado el bien en pública subasta y puesto en posesión del adjudicatario, a los únicos efectos de interponer incidente de nulidad de actuaciones para denunciar una eventual indefensión. Esa personación formal no se produjo ni para recibir notificaciones, que se hicieron mandatando verbalmente a un abogado, ni siquiera para comunicar pagos sobrevenidos que afectaban a la cuantía de la ejecución, que se hizo mediante escrito directo de la administradora única de la entidad recurrente.</w:t>
      </w:r>
    </w:p>
    <w:p w:rsidR="005728DD" w:rsidRDefault="005728DD" w:rsidP="005728DD">
      <w:pPr>
        <w:pStyle w:val="TextoNormal"/>
      </w:pPr>
    </w:p>
    <w:p w:rsidR="005728DD" w:rsidRDefault="005728DD" w:rsidP="005728DD">
      <w:pPr>
        <w:pStyle w:val="TextoNormal"/>
      </w:pPr>
      <w:r>
        <w:lastRenderedPageBreak/>
        <w:t>Por tanto, habiendo tomado la entidad demandante de amparo la voluntaria decisión de situarse en una posición de rebeldía no personándose formalmente en el procedimiento ejecutivo para formar parte del mismo técnicamente, hay que concluir que tampoco está concernida en este recurso de amparo la dimensión del derecho a la tutela judicial efectiva referida al deber de diligencia a desarrollar por los órganos judiciales en verificar que las notificaciones de los actos procesales a quienes ya son parte formal en el procedimiento cumplen su función última de llegar a su conocimiento.</w:t>
      </w:r>
    </w:p>
    <w:p w:rsidR="005728DD" w:rsidRDefault="005728DD" w:rsidP="005728DD">
      <w:pPr>
        <w:pStyle w:val="TextoNormal"/>
      </w:pPr>
    </w:p>
    <w:p w:rsidR="005728DD" w:rsidRDefault="005728DD" w:rsidP="005728DD">
      <w:pPr>
        <w:pStyle w:val="TextoNormal"/>
      </w:pPr>
      <w:r>
        <w:t>(iii) El presente recurso de amparo, por tanto, plantea un eventual problema de indefensión derivado del deber de diligencia a exigir al órgano judicial en relación con la notificación del concreto acto procesal de adjudicación de un bien en subasta a quien, siendo propietario del mismo, (a) había tenido fehaciente conocimiento tanto del procedimiento ejecutivo como de la propia convocatoria de la subasta merced al esfuerzo judicial de localización de un domicilio de notificaciones y (b) había decidió voluntariamente no comparecer como parte procesal formal en el mismo.</w:t>
      </w:r>
    </w:p>
    <w:p w:rsidR="005728DD" w:rsidRDefault="005728DD" w:rsidP="005728DD">
      <w:pPr>
        <w:pStyle w:val="TextoNormal"/>
      </w:pPr>
    </w:p>
    <w:p w:rsidR="005728DD" w:rsidRDefault="005728DD" w:rsidP="005728DD">
      <w:pPr>
        <w:pStyle w:val="TextoNormal"/>
      </w:pPr>
      <w:r>
        <w:t>A los efectos de ponderar el deber de diligencia exigible al órgano judicial y a la entidad recurrente en la contribución a la situación de indefensión generada, el tribunal considera relevante que (a) el órgano judicial, para intentar notificar la diligencia de ordenación de 8 de marzo de 2018 con el resultado de la adjudicación de la subasta, se dirigió a la única dirección de las cuatro intentadas en la que se obtuvieron resultados positivos tanto para notificar el auto despachando la ejecución, ya que se encontraba en persona en dicha dirección la administradora única de la entidad recurrente, como el decreto de convocatoria de la subasta, ya que compareció personalmente en el juzgado un mandatorio verbal para su recepción. Solo tras su fracaso se procedió a la notificación edictal. (b) Frente a ello, la entidad recurrente en un escrito dirigido por su administradora única al juzgado con el único objeto de poner en conocimiento del órgano judicial la existencia de pagos sobrevenidos, pero en modo alguno ni la voluntad de personación para ser tenida como parte ni de fijar domicilio de notificaciones, se limitó a hacer constar en el encabezamiento la expresión “como domicilio de avisos en la calle”, haciendo figurar el domicilio en que no pudo realizarse el segundo intento de notificación del auto despachando la ejecución por no haber comparecido nadie tras dejarse el aviso.</w:t>
      </w:r>
    </w:p>
    <w:p w:rsidR="005728DD" w:rsidRDefault="005728DD" w:rsidP="005728DD">
      <w:pPr>
        <w:pStyle w:val="TextoNormal"/>
      </w:pPr>
    </w:p>
    <w:p w:rsidR="005728DD" w:rsidRDefault="005728DD" w:rsidP="005728DD">
      <w:pPr>
        <w:pStyle w:val="TextoNormal"/>
      </w:pPr>
      <w:r>
        <w:t xml:space="preserve">En estas condiciones, el Tribunal considera que en la contribución a la situación de indefensión denunciada por la entidad recurrente ha sido preponderante su propia conducta de desentenderse de la suerte del seguimiento de un procedimiento de ejecución y de la convocatoria de una subasta de la que tenía un fehaciente conocimiento, en que decidió no personarse ni establecer, en defecto de esa personación, de manera clara y concluyente un domicilio de notificaciones para futuros actos procesales respecto de los que las normas procesales establece la posibilidad de notificación. El órgano judicial podría haber persistido en los intentos de notificación de la diligencia de ordenación de adjudicación de la subasta, una vez frustrado el dirigido al único domicilio en que se habían obtenido resultados positivos. Sin embargo, esa es una exigencia que resulta desproporcionada respecto del nivel de diligencia exigido por las concretas circunstancias del caso tanto para el desarrollo normal de la administración de justicia como del derecho a la tutela judicial efectiva del ejecutante. En la localización de dicho domicilio ya se había invertido más de seis meses y muy diversas averiguaciones y la dirección que la entidad recurrente considera que debía haber sido intentada, ya había dado previos resultados negativos. Además, no había sido fijada de manera </w:t>
      </w:r>
      <w:r>
        <w:lastRenderedPageBreak/>
        <w:t>concluyente un domicilio de notificaciones alternativo a aquel mediante el cual el juzgado había conseguido mantener una cierta comunicación ordinaría con la entidad recurrente.</w:t>
      </w:r>
    </w:p>
    <w:p w:rsidR="005728DD" w:rsidRDefault="005728DD" w:rsidP="005728DD">
      <w:pPr>
        <w:pStyle w:val="TextoNormal"/>
      </w:pPr>
    </w:p>
    <w:p w:rsidR="005728DD" w:rsidRDefault="005728DD" w:rsidP="005728DD">
      <w:pPr>
        <w:pStyle w:val="TextoNormal"/>
      </w:pPr>
      <w:r>
        <w:t>En conclusión, la situación de indefensión alegada por la entidad recurrente como lesiva de su derecho a la tutela judicial efectiva (art. 24.1 CE) ha de ser imputada con carácter preponderante a su propia conducta y no a una infracción del deber de diligencia del órgano judicial, lo que determina la desestimación del recurso de amparo.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la entidad D.P.G. Redacción y Administración, S.L.</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treinta y uno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0" w:name="SENTENCIA_2021_117"/>
      <w:r>
        <w:lastRenderedPageBreak/>
        <w:t>SENTENCIA 117/2021, de 31 de mayo de 2021</w:t>
      </w:r>
    </w:p>
    <w:bookmarkEnd w:id="120"/>
    <w:p w:rsidR="005728DD" w:rsidRDefault="005728DD" w:rsidP="005728DD">
      <w:pPr>
        <w:pStyle w:val="TtuloResolucin"/>
      </w:pPr>
      <w:r>
        <w:t>Sala Segunda</w:t>
      </w:r>
    </w:p>
    <w:p w:rsidR="005728DD" w:rsidRDefault="005728DD" w:rsidP="005728DD">
      <w:pPr>
        <w:pStyle w:val="TtuloBOE"/>
      </w:pPr>
      <w:r>
        <w:t>(BOE núm. 161, de 7 de julio de 2021)</w:t>
      </w:r>
    </w:p>
    <w:p w:rsidR="005728DD" w:rsidRDefault="005728DD" w:rsidP="005728DD">
      <w:pPr>
        <w:pStyle w:val="TextoNormalCentrado"/>
      </w:pPr>
      <w:r>
        <w:t>ECLI:ES:TC:2021:117</w:t>
      </w:r>
    </w:p>
    <w:p w:rsidR="005728DD" w:rsidRDefault="005728DD" w:rsidP="005728DD">
      <w:pPr>
        <w:pStyle w:val="TextoNormalCentrado"/>
      </w:pPr>
    </w:p>
    <w:p w:rsidR="005728DD" w:rsidRDefault="005728DD" w:rsidP="005728DD">
      <w:pPr>
        <w:pStyle w:val="SntesisDescriptiva"/>
      </w:pPr>
      <w:r>
        <w:t>Recurso de amparo 1687-2020. Promovido por Llova Consulting, S.L., en relación con las resoluciones dictadas por un juzgado de lo social de Alicante en procedimiento de despido y reclamación de cantidad.</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de la demandada sin agotar las posibilidades de notificación personal (STC 119/2020).</w:t>
      </w:r>
    </w:p>
    <w:p w:rsidR="005728DD" w:rsidRDefault="005728DD" w:rsidP="005728DD">
      <w:pPr>
        <w:pStyle w:val="SntesisAnaltica"/>
      </w:pPr>
    </w:p>
    <w:p w:rsidR="005728DD" w:rsidRDefault="005728DD" w:rsidP="005728DD">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119/2020) [FFJJ 3,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1687-2020, promovido por la entidad mercantil Llova Consulting, S.L., representada por la procuradora de los tribunales doña Ana María Aparicio Carol, bajo la asistencia del letrado don Carlos García Galán, contra la sentencia núm. 70/2018, de fecha 26 de febrero de 2018, dictada por el Juzgado de lo Social núm. 1 de Alicante, en procedimiento de despido y reclamación de cantidad núm. 664-2017; confirmada por la sentencia núm. 385/2019, de 25 de noviembre de 2019, dictada por el mismo juzgado, en procedimiento de ejecución núm. 133-2018, dimanante de los autos 664-2017, y el auto, también del mismo juzgado, de fecha 28 de enero de 2020, por el que se desestima el incidente excepcional de nulidad de actuaciones formulado.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Por escrito registrado en este tribunal el día 13 de marzo de 2020, la mercantil Llova Consulting, S.L., representada por la procuradora de los tribunales doña Ana María Aparicio Carol y bajo la asistencia del letrado don Carlos García Galán, interpuso recurso de amparo </w:t>
      </w:r>
      <w:r>
        <w:lastRenderedPageBreak/>
        <w:t>contra las resoluciones a las que se hace referencia en el encabezamiento, dictadas por el Juzgado de lo Social núm. 1 de Alicante, alegando la vulneración de su derecho a la tutela judicial efectiva, sin indefensión (art. 24.1 CE).</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que se desprenden de la demanda de amparo y de las actuaciones que la acompañan, son los siguientes:</w:t>
      </w:r>
    </w:p>
    <w:p w:rsidR="005728DD" w:rsidRDefault="005728DD" w:rsidP="005728DD">
      <w:pPr>
        <w:pStyle w:val="TextoNormal"/>
      </w:pPr>
    </w:p>
    <w:p w:rsidR="005728DD" w:rsidRDefault="005728DD" w:rsidP="005728DD">
      <w:pPr>
        <w:pStyle w:val="TextoNormal"/>
      </w:pPr>
      <w:r>
        <w:t>a) Con fecha 17 de octubre de 2017, doña María Soledad Yort Recuero, trabajadora de mercantil Llova Consulting, S.L., formuló demanda por despido y reclamación de cantidad contra la empresa. En el encabezamiento de la demanda, se indicaba como domicilio de la demandada la calle Cataluña, núm. 16, bajo, de la ciudad de Alicante.</w:t>
      </w:r>
    </w:p>
    <w:p w:rsidR="005728DD" w:rsidRDefault="005728DD" w:rsidP="005728DD">
      <w:pPr>
        <w:pStyle w:val="TextoNormal"/>
      </w:pPr>
    </w:p>
    <w:p w:rsidR="005728DD" w:rsidRDefault="005728DD" w:rsidP="005728DD">
      <w:pPr>
        <w:pStyle w:val="TextoNormal"/>
      </w:pPr>
      <w:r>
        <w:t>b) Turnada la demanda al Juzgado de lo Social núm. 1 de Alicante, fue admitida a trámite por decreto de 20 de octubre de 2017, señalándose el día 22 de febrero de 2018, a las 10:30 horas, para la celebración del juicio, para el caso en que las partes no llegaran a una avenencia en el acto de conciliación previo.</w:t>
      </w:r>
    </w:p>
    <w:p w:rsidR="005728DD" w:rsidRDefault="005728DD" w:rsidP="005728DD">
      <w:pPr>
        <w:pStyle w:val="TextoNormal"/>
      </w:pPr>
    </w:p>
    <w:p w:rsidR="005728DD" w:rsidRDefault="005728DD" w:rsidP="005728DD">
      <w:pPr>
        <w:pStyle w:val="TextoNormal"/>
      </w:pPr>
      <w:r>
        <w:t>Intentada la notificación en la dirección apuntada mediante correo certificado con acuse de recibo, resultó infructuosa.</w:t>
      </w:r>
    </w:p>
    <w:p w:rsidR="005728DD" w:rsidRDefault="005728DD" w:rsidP="005728DD">
      <w:pPr>
        <w:pStyle w:val="TextoNormal"/>
      </w:pPr>
    </w:p>
    <w:p w:rsidR="005728DD" w:rsidRDefault="005728DD" w:rsidP="005728DD">
      <w:pPr>
        <w:pStyle w:val="TextoNormal"/>
      </w:pPr>
      <w:r>
        <w:t>c) El día 27 de octubre de 2017, se celebró el acto de conciliación con la única asistencia de la solicitante, siendo declarado intentado sin efecto.</w:t>
      </w:r>
    </w:p>
    <w:p w:rsidR="005728DD" w:rsidRDefault="005728DD" w:rsidP="005728DD">
      <w:pPr>
        <w:pStyle w:val="TextoNormal"/>
      </w:pPr>
    </w:p>
    <w:p w:rsidR="005728DD" w:rsidRDefault="005728DD" w:rsidP="005728DD">
      <w:pPr>
        <w:pStyle w:val="TextoNormal"/>
      </w:pPr>
      <w:r>
        <w:t>d) Realizada consulta informática sobre el domicilio de la demandada en la aplicación del Registro Mercantil Central, se obtuvo como resultado una dirección en la avenida Cataluña, 16-3, Playa de San Juan (Alicante). No obstante lo cual, el nuevo intento de notificación, el día 19 de diciembre de 2017, se volvió a dirigir a la calle Cataluña, núm. 16 bajo, en Alicante, resultando igualmente ineficaz. Mediante diligencia de ordenación, de 5 de enero de 2018, se acordó la citación de la demandada por edictos para su inserción en el “Boletín Oficial de la Provincia de Alicante”.</w:t>
      </w:r>
    </w:p>
    <w:p w:rsidR="005728DD" w:rsidRDefault="005728DD" w:rsidP="005728DD">
      <w:pPr>
        <w:pStyle w:val="TextoNormal"/>
      </w:pPr>
    </w:p>
    <w:p w:rsidR="005728DD" w:rsidRDefault="005728DD" w:rsidP="005728DD">
      <w:pPr>
        <w:pStyle w:val="TextoNormal"/>
      </w:pPr>
      <w:r>
        <w:t>e) En la fecha indicada, se celebró el juicio oral sin la asistencia de la parte demandada, dictándose sentencia el día 26 de febrero de 2018, que resultó ser parcialmente estimatoria de la demanda. La resolución declara la improcedencia del despido y condena a la empresa demandada a que, en el plazo de cinco días a contar desde la notificación de la sentencia optase entre la readmisión de la trabajadora a su puesto de trabajo en las mismas condiciones anteriores al despido, con abono de los salarios dejados de percibir desde la fecha del despido (28 de agosto de 2017) hasta la readmisión, a razón de 33,51 € diarios, o al abono de una indemnización de la cantidad de 92,15 €, debiendo poner en conocimiento del juzgado, en el referido plazo de cinco días, el resultado de su elección. Por lo demás, se absuelve a la demandada del resto de pretensiones deducidas en la demanda. La sentencia fue notificada en edictos.</w:t>
      </w:r>
    </w:p>
    <w:p w:rsidR="005728DD" w:rsidRDefault="005728DD" w:rsidP="005728DD">
      <w:pPr>
        <w:pStyle w:val="TextoNormal"/>
      </w:pPr>
    </w:p>
    <w:p w:rsidR="005728DD" w:rsidRDefault="005728DD" w:rsidP="005728DD">
      <w:pPr>
        <w:pStyle w:val="TextoNormal"/>
      </w:pPr>
      <w:r>
        <w:t>f) El día 11 de julio de 2018, la demandante formuló incidente de no readmisión, y por auto de 23 de julio de 2018, se accedió a la ejecución solicitada por vía de incidente de no readmisión o readmisión irregular.</w:t>
      </w:r>
    </w:p>
    <w:p w:rsidR="005728DD" w:rsidRDefault="005728DD" w:rsidP="005728DD">
      <w:pPr>
        <w:pStyle w:val="TextoNormal"/>
      </w:pPr>
    </w:p>
    <w:p w:rsidR="005728DD" w:rsidRDefault="005728DD" w:rsidP="005728DD">
      <w:pPr>
        <w:pStyle w:val="TextoNormal"/>
      </w:pPr>
      <w:r>
        <w:lastRenderedPageBreak/>
        <w:t>g) Por diligencia de ejecución, de 23 de julio de 2018, se señaló el 4 de octubre de 2018, a las 10:40 horas, para la comparecencia de los interesados.</w:t>
      </w:r>
    </w:p>
    <w:p w:rsidR="005728DD" w:rsidRDefault="005728DD" w:rsidP="005728DD">
      <w:pPr>
        <w:pStyle w:val="TextoNormal"/>
      </w:pPr>
    </w:p>
    <w:p w:rsidR="005728DD" w:rsidRDefault="005728DD" w:rsidP="005728DD">
      <w:pPr>
        <w:pStyle w:val="TextoNormal"/>
      </w:pPr>
      <w:r>
        <w:t>h) Sin perjuicio de que la empresa condenada fuera citada por edictos, se intentó también su emplazamiento personal, el día 26 de julio de 2018, esta vez en la avenida de Cataluña, núm. 16-3, bajo, Playa de San Juan, de Alicante, con resultado negativo. En el acta de la misma consta que se trata de un local cerrado y sin actividad, que en el buzón no aparece el nombre de la sociedad, y que habiéndose preguntado en un bar adyacente, denominado Baobab, se manifestó que no se conocía la mercantil, que el local llevaba vacío desde hacía unos tres meses y que no se había visto a nadie aparecer por allí.</w:t>
      </w:r>
    </w:p>
    <w:p w:rsidR="005728DD" w:rsidRDefault="005728DD" w:rsidP="005728DD">
      <w:pPr>
        <w:pStyle w:val="TextoNormal"/>
      </w:pPr>
    </w:p>
    <w:p w:rsidR="005728DD" w:rsidRDefault="005728DD" w:rsidP="005728DD">
      <w:pPr>
        <w:pStyle w:val="TextoNormal"/>
      </w:pPr>
      <w:r>
        <w:t>i) En la fecha indicada para la comparecencia, se presentó la ejecutante, no así la ejecutada, solicitando la suspensión del incidente, que fue acordada por diligencia del letrado de la administración de justicia, señalándose y citando a las partes para el día 13 de diciembre de 2018, a las 10:30 horas. La ejecutada fue notificada por edicto. Comparecida la ejecutante en día y hora fijados, solicitó la extinción de la relación laboral.</w:t>
      </w:r>
    </w:p>
    <w:p w:rsidR="005728DD" w:rsidRDefault="005728DD" w:rsidP="005728DD">
      <w:pPr>
        <w:pStyle w:val="TextoNormal"/>
      </w:pPr>
    </w:p>
    <w:p w:rsidR="005728DD" w:rsidRDefault="005728DD" w:rsidP="005728DD">
      <w:pPr>
        <w:pStyle w:val="TextoNormal"/>
      </w:pPr>
      <w:r>
        <w:t>j) Por auto de 13 de diciembre de 2018 se declaró extinguida la relación laboral existente entre doña María Soledad Yort Recuero y la mercantil Llova Consulting, S.L., condenando a la empresa a abonar a la actora, la cantidad de 552,92 €, en concepto de indemnización, así como los salarios de tramitación por importe de 2391,27 €. La resolución fue nuevamente notificada por edictos a la ejecutada.</w:t>
      </w:r>
    </w:p>
    <w:p w:rsidR="005728DD" w:rsidRDefault="005728DD" w:rsidP="005728DD">
      <w:pPr>
        <w:pStyle w:val="TextoNormal"/>
      </w:pPr>
    </w:p>
    <w:p w:rsidR="005728DD" w:rsidRDefault="005728DD" w:rsidP="005728DD">
      <w:pPr>
        <w:pStyle w:val="TextoNormal"/>
      </w:pPr>
      <w:r>
        <w:t>k) Solicitada la ejecución por el importe fijado en la resolución precedente, por auto de 9 de septiembre de 2019, el juzgado acordó la ejecución por la cantidad de 2944,19 € de principal, más 441,62 € en concepto de intereses y costas con carácter provisional. En la misma fecha se dictó decreto ordenando la averiguación de bienes y el embargo de saldos de cuentas por el importe objeto de ejecución, notificándose también por edicto.</w:t>
      </w:r>
    </w:p>
    <w:p w:rsidR="005728DD" w:rsidRDefault="005728DD" w:rsidP="005728DD">
      <w:pPr>
        <w:pStyle w:val="TextoNormal"/>
      </w:pPr>
    </w:p>
    <w:p w:rsidR="005728DD" w:rsidRDefault="005728DD" w:rsidP="005728DD">
      <w:pPr>
        <w:pStyle w:val="TextoNormal"/>
      </w:pPr>
      <w:r>
        <w:t>l) Por diligencia de ejecución, de 17 de septiembre de 2019, se acordó remitir oficio al Banco Cajamar, interesando la retención y puesta a disposición del juzgado del importe que pudiera existir en las cuentas de la ejecutada y en cualesquiera otras posiciones financieras, y que fuera suficiente para cubrir las responsabilidades anteriores.</w:t>
      </w:r>
    </w:p>
    <w:p w:rsidR="005728DD" w:rsidRDefault="005728DD" w:rsidP="005728DD">
      <w:pPr>
        <w:pStyle w:val="TextoNormal"/>
      </w:pPr>
    </w:p>
    <w:p w:rsidR="005728DD" w:rsidRDefault="005728DD" w:rsidP="005728DD">
      <w:pPr>
        <w:pStyle w:val="TextoNormal"/>
      </w:pPr>
      <w:r>
        <w:t>m) Con fecha 30 de septiembre de 2019, Llova Consulting, S.L., compareció en las actuaciones, y el 4 de octubre de 2019 solicitó, y le fue entregado, testimonio de las actuaciones, acordándose la suspensión de los embargos practicados por diligencia de ejecución.</w:t>
      </w:r>
    </w:p>
    <w:p w:rsidR="005728DD" w:rsidRDefault="005728DD" w:rsidP="005728DD">
      <w:pPr>
        <w:pStyle w:val="TextoNormal"/>
      </w:pPr>
    </w:p>
    <w:p w:rsidR="005728DD" w:rsidRDefault="005728DD" w:rsidP="005728DD">
      <w:pPr>
        <w:pStyle w:val="TextoNormal"/>
      </w:pPr>
      <w:r>
        <w:t xml:space="preserve">n) El día 14 de octubre de 2019, la ejecutada presentó escrito solicitando audiencia al demandado rebelde, con arreglo a lo dispuesto en el art. 185 de la Ley reguladora de la jurisdicción social (en adelante, LJS), en relación con los arts. 496 y ss. de la Ley de enjuiciamiento civil (en adelante, LEC), alegando que no fue citada ni emplazada correctamente en el procedimiento por despido y reclamación de cantidad núm. 664-2017, que dio lugar a la ejecución núm. 133-2018, porque la demandante hizo constar como domicilio de la empresa el de “C/ Cataluña núm. 16, bajo”, siendo esta una dirección errónea, lo que imposibilitaba la localización por la configuración del inmueble núm. 16 de esa calle (“un edificio de cerca de diez alturas de viviendas y oficinas donde radica en su tercer piso las oficinas de mi mandante; y, por otro lado, una construcción de plantas bajas destinadas a locales </w:t>
      </w:r>
      <w:r>
        <w:lastRenderedPageBreak/>
        <w:t>comerciales independiente y separada de la anterior”), y que solo conoció la ejecución al embargarse una cuenta bancaria de su titularidad, el 30 de septiembre de 2019. Razón por la cual suplicaba al juzgado que “se tenga por formulada ‘audiencia al demandado rebelde’ se sirva a admitirla a trámite y, previos los trámites oportunos se dicte resolución por la que se rescinda la sentencia núm. 70/2018 de 26 de febrero de 2018, recaída en los autos 664-2017, y anule y retrotraiga las actuaciones hasta el momento inmediatamente posterior a la admisión a trámite de la demanda debiéndose emplazar a esta parte en su domicilio correcto, sito en avenida de Cataluña núm. 16, piso 3 de Playa de San Juan, Alicante”.</w:t>
      </w:r>
    </w:p>
    <w:p w:rsidR="005728DD" w:rsidRDefault="005728DD" w:rsidP="005728DD">
      <w:pPr>
        <w:pStyle w:val="TextoNormal"/>
      </w:pPr>
    </w:p>
    <w:p w:rsidR="005728DD" w:rsidRDefault="005728DD" w:rsidP="005728DD">
      <w:pPr>
        <w:pStyle w:val="TextoNormal"/>
      </w:pPr>
      <w:r>
        <w:t>ñ) El día 18 de octubre de 2019, el letrado de la administración de justicia extendió diligencia de ordenación, haciendo constar la presentación del anterior escrito y citando a las partes a la comparecencia, prevista en el art. 185 LJS, para el día 21 de noviembre de 2019, a las 10:25 horas, con las correspondientes prevenciones.</w:t>
      </w:r>
    </w:p>
    <w:p w:rsidR="005728DD" w:rsidRDefault="005728DD" w:rsidP="005728DD">
      <w:pPr>
        <w:pStyle w:val="TextoNormal"/>
      </w:pPr>
    </w:p>
    <w:p w:rsidR="005728DD" w:rsidRDefault="005728DD" w:rsidP="005728DD">
      <w:pPr>
        <w:pStyle w:val="TextoNormal"/>
      </w:pPr>
      <w:r>
        <w:t>o) Con fecha 25 de noviembre de 2019, el juzgado dictó la sentencia núm. 385/2019, donde, tras hacer una detallada descripción del desarrollo procesal de la causa de despido y posterior ejecución e indicar en el relato de hechos probados de la resolución los errores cometidos en el emplazamiento de la empresa demandada, se reconoce la indefensión causada a la mercantil por causa imputable al juzgado, “pues no se emplazó en el domicilio válido de la empresa, que sí le constaba al juzgado desde la primera consulta en el registro mercantil”. Sin embargo, a renglón seguido se afirma: “[a]hora bien, esa indefensión se debería haber sustanciado por el incidente de nulidad de actuaciones regulado en el art. 241 LOPJ [...] Por tanto, conocida la existencia del procedimiento el 30 de septiembre de 2019, se debía haber interesado la nulidad de actuaciones en plazo de veinte días, bien como única alegación o bien acumuladamente a la de audiencia al rebelde, lo que no se hizo en el presente caso, habiéndose agotado el plazo de caducidad de veinte días para el incidente de nulidad de actuaciones, que era el procedente”. En consecuencia, se declara no justificada la rescisión.</w:t>
      </w:r>
    </w:p>
    <w:p w:rsidR="005728DD" w:rsidRDefault="005728DD" w:rsidP="005728DD">
      <w:pPr>
        <w:pStyle w:val="TextoNormal"/>
      </w:pPr>
    </w:p>
    <w:p w:rsidR="005728DD" w:rsidRDefault="005728DD" w:rsidP="005728DD">
      <w:pPr>
        <w:pStyle w:val="TextoNormal"/>
      </w:pPr>
      <w:r>
        <w:t>p) El día 19 de diciembre de 2019, tuvo entrada en el Juzgado de lo Social núm. 1 de Alicante escrito de Llova Consulting, S.L., formulando incidente excepcional de nulidad de actuaciones. La mercantil ejecutada alega que su intención inicial había sido la de instar un incidente excepcional de nulidad de actuaciones y que el planteamiento del recurso de audiencia al rebelde obedeció a las indicaciones recibidas por el propio juzgado. Habiéndose desestimado este último por inadecuación del procedimiento y siendo que dicho error no le era imputable, estimó procedente instar la nulidad de actuaciones, al objeto de salvaguardar su derecho a la tutela judicial efectiva (art. 24.1 CE), ante la carencia de otro recurso contra la sentencia núm. 385/2019, de 25 de noviembre de 2019. Además, considera que en este supuesto no debe aplicarse el plazo de veinte días sino el de cinco años previsto en el art. 228.1, párrafo 2 LEC, porque se le ha impedido denunciar los defectos causantes de la indefensión en el momento oportuno, citando en apoyo de su pretensión la STC 30/2017, de 27 de febrero, FJ 3 b).</w:t>
      </w:r>
    </w:p>
    <w:p w:rsidR="005728DD" w:rsidRDefault="005728DD" w:rsidP="005728DD">
      <w:pPr>
        <w:pStyle w:val="TextoNormal"/>
      </w:pPr>
    </w:p>
    <w:p w:rsidR="005728DD" w:rsidRDefault="005728DD" w:rsidP="005728DD">
      <w:pPr>
        <w:pStyle w:val="TextoNormal"/>
      </w:pPr>
      <w:r>
        <w:t xml:space="preserve">La pretensión de nulidad resultó desestimada por auto de 28 de enero de 2020, pues, según expone el juzgado, el escrito de promoción del incidente se habría presentado fuera del plazo previsto en el art. 241.1 de la Ley Orgánica del Poder Judicial (LOPJ), “no existiendo plazo alternativo de cinco años, sino que es un plazo de veinte días desde que se tuvo conocimiento del defecto causante de la indefensión, sin que pueda interponerse pasados </w:t>
      </w:r>
      <w:r>
        <w:lastRenderedPageBreak/>
        <w:t>cinco años desde la notificación de la resolución causante de indefensión”. En la resolución no se ofrece respuesta alguna al denunciado error en las instrucciones proporcionadas por el propio órgano jurisdiccional al ejecutado.</w:t>
      </w:r>
    </w:p>
    <w:p w:rsidR="005728DD" w:rsidRDefault="005728DD" w:rsidP="005728DD">
      <w:pPr>
        <w:pStyle w:val="TextoNormal"/>
      </w:pPr>
    </w:p>
    <w:p w:rsidR="005728DD" w:rsidRDefault="005728DD" w:rsidP="005728DD">
      <w:pPr>
        <w:pStyle w:val="TextoNormal"/>
      </w:pPr>
      <w:r w:rsidRPr="005728DD">
        <w:rPr>
          <w:rStyle w:val="NumeroAFNegritaCaracter"/>
        </w:rPr>
        <w:t>3</w:t>
      </w:r>
      <w:r>
        <w:t>. En su demanda de amparo, la mercantil recurrente invoca la vulneración del derecho a la tutela judicial efectiva, sin indefensión (art. 24.1 CE), toda vez que, por causa no imputable a ella, se le privó de la posibilidad de conocer la existencia del procedimiento por despido y reclamación de cantidad instado contra su persona, hasta que se produjo el embargo de su cuenta bancaria. A su juicio, “existió una falta de notificación de la demandante a mi representada antes del inicio del proceso” y, ya incoado el procedimiento, el órgano judicial “en ningún momento se aseguró de que las notificaciones habían llegado a su destino ni procedió a la averiguación del verdadero domicilio del demandado, lo cual hubiese sido sencillo dados los datos aportados en la demanda, acudiendo directamente a la citación por edictos”. Con cita de la STC 136/2014, de 8 de septiembre, la recurrente da por cumplidos los presupuestos contemplados por la doctrina constitucional para que efectivamente concurra la vulneración denunciada, toda vez que ostentaba un interés legítimo susceptible de afectación por la causa incoada. Insiste en que el órgano jurisdiccional disponía de los datos necesarios para su identificación en la propia demanda, y en que el juzgado incumplió su obligación de velar porque los actos de comunicación alcanzasen su fin. Y, a resultas de ello, la mercantil sufrió una indefensión real y efectiva, “pues se le ha impedido acceder al procedimiento y hacer valer en él los medios de oposición que la ley le confiere, no pudiendo ejercer su derecho a defensa, protegido por el artículo 24.1 CE”.</w:t>
      </w:r>
    </w:p>
    <w:p w:rsidR="005728DD" w:rsidRDefault="005728DD" w:rsidP="005728DD">
      <w:pPr>
        <w:pStyle w:val="TextoNormal"/>
      </w:pPr>
    </w:p>
    <w:p w:rsidR="005728DD" w:rsidRDefault="005728DD" w:rsidP="005728DD">
      <w:pPr>
        <w:pStyle w:val="TextoNormal"/>
      </w:pPr>
      <w:r>
        <w:t>Termina solicitando que se declare la nulidad de la sentencia núm. 70/2018, de 26 de febrero de 2018, y de todas las actuaciones practicadas desde la diligencia de ordenación de 7 de enero de 2019, retrotrayéndose las mismas al momento inmediatamente anterior a esa resolución, al objeto tener la oportunidad de comparecer en el procedimiento en defensa de sus intereses.</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15 de octubre de 2020, la Sección Tercera de este tribunal acordó admitir a trámite el recurso de amparo apreciando que concurría en el mismo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005728DD" w:rsidRDefault="005728DD" w:rsidP="005728DD">
      <w:pPr>
        <w:pStyle w:val="TextoNormal"/>
      </w:pPr>
    </w:p>
    <w:p w:rsidR="005728DD" w:rsidRDefault="005728DD" w:rsidP="005728DD">
      <w:pPr>
        <w:pStyle w:val="TextoNormal"/>
      </w:pPr>
      <w:r>
        <w:t>En la misma resolución se acordó dirigir atenta comunicación al Juzgado de lo Social núm. 1 de Alicante, a fin de que remitiera certificación o fotocopia adverada de las actuaciones correspondientes al procedimiento de despido y reclamación de cantidad núm. 664-2017 y al de ejecución de título judicial núm. 133-2018, dimanante de aquel, al objeto de que procediera a emplazar a quienes hubieran sido parte en el proceso del que trae causa el presente recurso, para que pudieran comparecer en estas actuaciones, si así lo desean, excepto a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5</w:t>
      </w:r>
      <w:r>
        <w:t>. Por diligencia de ordenación de 29 de enero de 2021, del secretario de justicia de la Sala Segunda de este tribunal, se acordó dar vista de las actuaciones recibidas a la parte recurrente y al Ministerio Fiscal, para que presentaran las alegaciones que estimaran pertinentes, conforme determina el art. 52.1 LOTC.</w:t>
      </w:r>
    </w:p>
    <w:p w:rsidR="005728DD" w:rsidRDefault="005728DD" w:rsidP="005728DD">
      <w:pPr>
        <w:pStyle w:val="TextoNormal"/>
      </w:pPr>
    </w:p>
    <w:p w:rsidR="005728DD" w:rsidRDefault="005728DD" w:rsidP="005728DD">
      <w:pPr>
        <w:pStyle w:val="TextoNormal"/>
      </w:pPr>
      <w:r w:rsidRPr="005728DD">
        <w:rPr>
          <w:rStyle w:val="NumeroAFNegritaCaracter"/>
        </w:rPr>
        <w:t>6</w:t>
      </w:r>
      <w:r>
        <w:t>. El día 15 de febrero de 2021, la parte recurrente presentó escrito, dando por reproducidas íntegramente las alegaciones vertidas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7</w:t>
      </w:r>
      <w:r>
        <w:t>. El Ministerio Fiscal presentó alegaciones por escrito, fechado el 10 de marzo de 2021, en sentido favorable a la estimación de la demanda de amparo.</w:t>
      </w:r>
    </w:p>
    <w:p w:rsidR="005728DD" w:rsidRDefault="005728DD" w:rsidP="005728DD">
      <w:pPr>
        <w:pStyle w:val="TextoNormal"/>
      </w:pPr>
    </w:p>
    <w:p w:rsidR="005728DD" w:rsidRDefault="005728DD" w:rsidP="005728DD">
      <w:pPr>
        <w:pStyle w:val="TextoNormal"/>
      </w:pPr>
      <w:r>
        <w:t>Tras compendiar los acontecimientos procesales que consideró de interés al caso y concretar los aspectos más relevantes de la pretensión de la demandante, señala que el objeto del presente recurso consiste en dilucidar si el juez ha vulnerado el derecho a la tutela judicial efectiva de la recurrente (art. 24.1 CE), derivado del hecho de que la entidad demandante no tuvo conocimiento del proceso hasta que se produjo el embargo de sus bienes, a causa de la actitud poco diligente del órgano jurisdiccional en orden al emplazamiento y citación personal de la mercantil, sufriendo una situación de indefensión real.</w:t>
      </w:r>
    </w:p>
    <w:p w:rsidR="005728DD" w:rsidRDefault="005728DD" w:rsidP="005728DD">
      <w:pPr>
        <w:pStyle w:val="TextoNormal"/>
      </w:pPr>
    </w:p>
    <w:p w:rsidR="005728DD" w:rsidRDefault="005728DD" w:rsidP="005728DD">
      <w:pPr>
        <w:pStyle w:val="TextoNormal"/>
      </w:pPr>
      <w:r>
        <w:t xml:space="preserve">Pero antes de abordar la cuestión de fondo, el fiscal suscita la posible existencia de un óbice procesal, consistente en la extemporaneidad de la demanda a raíz de la interposición de un recurso manifiestamente improcedente, la audiencia del demandado rebelde, pues no concurría la causa alegada para la tramitación de ese procedimiento, cuando el cauce procedimental adecuado habría sido el incidente excepcional de nulidad de actuaciones. Sin embargo, el fiscal rechaza semejante interpretación de lo acontecido, que califica como excesivamente formalista y no acorde con el derecho a la tutela judicial efectiva, en su vertiente de derecho de acceso a la jurisdicción, y a la aplicación del principio </w:t>
      </w:r>
      <w:r w:rsidRPr="005728DD">
        <w:rPr>
          <w:i/>
        </w:rPr>
        <w:t>pro actione</w:t>
      </w:r>
      <w:r>
        <w:t>, por las siguientes razones:</w:t>
      </w:r>
    </w:p>
    <w:p w:rsidR="005728DD" w:rsidRDefault="005728DD" w:rsidP="005728DD">
      <w:pPr>
        <w:pStyle w:val="TextoNormal"/>
      </w:pPr>
    </w:p>
    <w:p w:rsidR="005728DD" w:rsidRDefault="005728DD" w:rsidP="005728DD">
      <w:pPr>
        <w:pStyle w:val="TextoNormal"/>
      </w:pPr>
      <w:r>
        <w:t>a) Sin perjuicio de que la ahora demandante incurriera en un error al utilizar un procedimiento no idóneo para instar la nulidad de actuaciones, no cabe obviar que su escrito fue admitido a trámite por diligencia de ejecución de 18 de octubre de 2019, aun dentro del plazo para haber formalizado el incidente de nulidad, cuando la “improcedencia de tramitar la audiencia al demandado rebelde, resultaba ya de lo expresado en ese escrito”. Por ello, concluye el fiscal, “se puede considerar que el procedimiento de audiencia al demandado rebelde se tramitó por falta de la debida diligencia del órgano judicial al comprobar los requisitos para la procedencia del mismo”.</w:t>
      </w:r>
    </w:p>
    <w:p w:rsidR="005728DD" w:rsidRDefault="005728DD" w:rsidP="005728DD">
      <w:pPr>
        <w:pStyle w:val="TextoNormal"/>
      </w:pPr>
    </w:p>
    <w:p w:rsidR="005728DD" w:rsidRDefault="005728DD" w:rsidP="005728DD">
      <w:pPr>
        <w:pStyle w:val="TextoNormal"/>
      </w:pPr>
      <w:r>
        <w:t>b) El juzgado reconoce en la sentencia que la irregularidad cometida en la citación de la demandada le produjo indefensión y admite la posibilidad de que se formulen acumulativamente la pretensión de nulidad de actuaciones y la de audiencia al rebelde, pero considera que, en el presente caso, no se hizo así, “a pesar de que en el suplico claramente se pide la rescisión de la sentencia y la nulidad de actuaciones”.</w:t>
      </w:r>
    </w:p>
    <w:p w:rsidR="005728DD" w:rsidRDefault="005728DD" w:rsidP="005728DD">
      <w:pPr>
        <w:pStyle w:val="TextoNormal"/>
      </w:pPr>
    </w:p>
    <w:p w:rsidR="005728DD" w:rsidRDefault="005728DD" w:rsidP="005728DD">
      <w:pPr>
        <w:pStyle w:val="TextoNormal"/>
      </w:pPr>
      <w:r>
        <w:t>c) En el auto resolutorio del incidente excepcional de nulidad de actuaciones no se da respuesta a la alegación de la recurrente relativa a que la incoación del procedimiento de audiencia al demandado rebelde se llevó a cabo por indicación del propio juzgado, ni tampoco analiza “si, como el juzgado admitió aquel procedimiento inadecuado aún dentro de plazo para haber incoado el de nulidad de actuaciones, podría entenderse que el plazo para este último debió volver a contar desde que la empresa tiene conocimiento de la sentencia en la que se resuelve que aquel no era el procedimiento correcto y que procedía el incidente de nulidad”.</w:t>
      </w:r>
    </w:p>
    <w:p w:rsidR="005728DD" w:rsidRDefault="005728DD" w:rsidP="005728DD">
      <w:pPr>
        <w:pStyle w:val="TextoNormal"/>
      </w:pPr>
    </w:p>
    <w:p w:rsidR="005728DD" w:rsidRDefault="005728DD" w:rsidP="005728DD">
      <w:pPr>
        <w:pStyle w:val="TextoNormal"/>
      </w:pPr>
      <w:r>
        <w:t>El Ministerio Fiscal, recapitulando lo precedente, sostiene que “si bien formalmente podría considerase la existencia del óbice mencionado, parecería de un rigorismo o formalismo excesivo estimar dicho óbice, que, si bien parte de un escrito que no se ha acreditado se haya hecho siguiendo indicaciones del juzgado, se consuma por una providencia falta de suficiente diligencia, y de resoluciones judiciales en las que no se ha hecho una adecuada interpretación de las normas procesales en relación con el derecho a la tutela judicial efectiva, en la faceta del derecho de acceso al proceso”. Razonamiento que se combina, proyectando la doctrina expuesta por este tribunal en la STC 60/2017, de 22 de mayo, en cuanto a “la no exigencia de superar dificultades de interpretación que excedan de lo razonable (aquí en cuanto a la creencia de la demandante de amparo que se encontraba en el supuesto del art. 501.2 LEC, por lo que podía utilizar el procedimiento de audiencia al rebelde para pedir la nulidad), cuando se trata de óbices de admisión del recurso de amparo”.</w:t>
      </w:r>
    </w:p>
    <w:p w:rsidR="005728DD" w:rsidRDefault="005728DD" w:rsidP="005728DD">
      <w:pPr>
        <w:pStyle w:val="TextoNormal"/>
      </w:pPr>
    </w:p>
    <w:p w:rsidR="005728DD" w:rsidRDefault="005728DD" w:rsidP="005728DD">
      <w:pPr>
        <w:pStyle w:val="TextoNormal"/>
      </w:pPr>
      <w:r>
        <w:t>Expuesta la doctrina constitucional aplicable al caso, en síntesis, el fiscal concluye que el órgano jurisdiccional no cumplió con el especial deber de diligencia en la realización de los actos de comunicación procesal que era exigible, al no hacer comprobación alguna de los motivos por los cuales no fue posible la comunicación personal. A su entender, ese comportamiento fue determinante de que tanto el acto de conciliación como el juicio oral se celebrasen sin la presencia del demandado, quien no pudo defender sus intereses. Completa este razonamiento indicando que esa vulneración del derecho a la tutela judicial efectiva no se reparó tras su denuncia en ninguna de la resoluciones recurridas, en las que se plasma una interpretación “excesivamente formalista de las normas procesales”, con un “déficit de motivación en los razonamientos jurídicos y falta de análisis de circunstancias relevantes”, que “lleva a considerar que existe falta de racionalidad de la fundamentación, y por tanto se estima incumplido el canon de constitucionalidad exigible”.</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fecha 27 de mayo de 2021 se señaló para votación y fallo del presente recurso el día 31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de las partes</w:t>
      </w:r>
      <w:r>
        <w:t>.</w:t>
      </w:r>
    </w:p>
    <w:p w:rsidR="005728DD" w:rsidRDefault="005728DD" w:rsidP="005728DD">
      <w:pPr>
        <w:pStyle w:val="TextoNormal"/>
      </w:pPr>
    </w:p>
    <w:p w:rsidR="005728DD" w:rsidRDefault="005728DD" w:rsidP="005728DD">
      <w:pPr>
        <w:pStyle w:val="TextoNormal"/>
      </w:pPr>
      <w:r>
        <w:t>La demanda de amparo impugna la sentencia núm. 70/2018, de fecha 26 de febrero de 2018, dictada por el Juzgado de lo Social núm. 1 de Alicante, en juicio por despido y reclamación de cantidad núm. 664-2017; confirmada por la sentencia núm. 385/2019, de 25 de noviembre de 2019, dictada por el mismo juzgado, en juicio tramitado con el núm. de ejecución 133-2018, dimanante de los autos 664-2017, y el auto, también del mismo juzgado, de fecha 28 de enero de 2020, por el que se desestima el incidente excepcional de nulidad de actuaciones formulado, por entender vulnerado su derecho a la tutela judicial efectiva (art. 24.1 CE). Razona que el juzgado no fue diligente en su emplazamiento personal, al haber acudido a la notificación edictal, sin efectuar comprobación alguna, tras incurrir en un error en la determinación del domicilio en los intentos de comunicación personal practicados, privando a la mercantil recurrente del conocimiento del procedimiento por despido y reclamación de cantidad instado contra su persona, con lo que no pudo ejercitar su derecho de defensa.</w:t>
      </w:r>
    </w:p>
    <w:p w:rsidR="005728DD" w:rsidRDefault="005728DD" w:rsidP="005728DD">
      <w:pPr>
        <w:pStyle w:val="TextoNormal"/>
      </w:pPr>
    </w:p>
    <w:p w:rsidR="005728DD" w:rsidRDefault="005728DD" w:rsidP="005728DD">
      <w:pPr>
        <w:pStyle w:val="TextoNormal"/>
      </w:pPr>
      <w:r>
        <w:t>El Ministerio Fiscal considera procedente la estimación del recurso y solicita que se declare que el citado derecho fundamental ha sido vulnerado, toda vez que el órgano jurisdiccional no cumplió con el especial deber de diligencia en la realización de los actos de comunicación procesal que le era exigible, lo que fue determinante de que la mercantil recurrente no pudiera defender sus intereses, y no ofreciendo tampoco una respuesta razonada a las pretensiones de nulidad que se le formularon.</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Rechazo del óbice procesal por extemporaneidad de la demanda de amparo</w:t>
      </w:r>
      <w:r>
        <w:t>.</w:t>
      </w:r>
    </w:p>
    <w:p w:rsidR="005728DD" w:rsidRDefault="005728DD" w:rsidP="005728DD">
      <w:pPr>
        <w:pStyle w:val="TextoNormal"/>
      </w:pPr>
    </w:p>
    <w:p w:rsidR="005728DD" w:rsidRDefault="005728DD" w:rsidP="005728DD">
      <w:pPr>
        <w:pStyle w:val="TextoNormal"/>
      </w:pPr>
      <w:r>
        <w:t>Como se ha hecho constar en los antecedentes de esta resolución, el Ministerio Fiscal planteó en su escrito de alegaciones sus dudas sobre una posible extemporaneidad del recurso de amparo por alargamiento indebido de la vía judicial previa, al haber acudido de manera improcedente al procedimiento de audiencia del demandado rebelde, en lugar de al incidente excepcional de nulidad de actuaciones para hacer valer su pretensión de nulidad [art. 44.1 a) LOTC]; sin embargo, lo descarta con los argumentos razonables que el mismo brinda y de los que se ha hecho resumen ya en el antecedente 7 de esta sentencia. En consecuencia, tal como declaramos en las SSTC 119/2019, de 28 de octubre, FJ 1, y 148/2019, de 25 de noviembre, FJ 1, dado que no se ha solicitado que este tribunal lo analice, queda este relevado de la necesidad de su examen.</w:t>
      </w:r>
    </w:p>
    <w:p w:rsidR="005728DD" w:rsidRDefault="005728DD" w:rsidP="005728DD">
      <w:pPr>
        <w:pStyle w:val="TextoNormal"/>
      </w:pPr>
    </w:p>
    <w:p w:rsidR="005728DD" w:rsidRDefault="005728DD" w:rsidP="005728DD">
      <w:pPr>
        <w:pStyle w:val="TextoNormal"/>
      </w:pPr>
      <w:r>
        <w:t>Por lo que respecta al fondo, como ha quedado reflejado en el fundamento anterior, el fiscal interesa la 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del Tribunal Constitucional sobre los actos de comunicación procesal</w:t>
      </w:r>
      <w:r>
        <w:t>.</w:t>
      </w:r>
    </w:p>
    <w:p w:rsidR="005728DD" w:rsidRDefault="005728DD" w:rsidP="005728DD">
      <w:pPr>
        <w:pStyle w:val="TextoNormal"/>
      </w:pPr>
    </w:p>
    <w:p w:rsidR="005728DD" w:rsidRDefault="005728DD" w:rsidP="005728DD">
      <w:pPr>
        <w:pStyle w:val="TextoNormal"/>
      </w:pPr>
      <w:r>
        <w:t>Este tribunal ya ha tenido ocasión de pronunciarse sobre la cuestión planteada en numerosas resoluciones.</w:t>
      </w:r>
    </w:p>
    <w:p w:rsidR="005728DD" w:rsidRDefault="005728DD" w:rsidP="005728DD">
      <w:pPr>
        <w:pStyle w:val="TextoNormal"/>
      </w:pPr>
    </w:p>
    <w:p w:rsidR="005728DD" w:rsidRDefault="005728DD" w:rsidP="005728DD">
      <w:pPr>
        <w:pStyle w:val="TextoNormal"/>
      </w:pPr>
      <w:r>
        <w:t xml:space="preserve">Así, en un supuesto de hecho similar al presente, la comisión de irregularidades en el emplazamiento del demandado en un procedimiento por despido, en la STC 119/2020, de 21 de septiembre, con cita de anteriores pronunciamientos, dice que hemos insistido en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w:t>
      </w:r>
      <w:r>
        <w:lastRenderedPageBreak/>
        <w:t>para que surta su efecto invalidante de la tacha de indefensión, pues lo presumido, es justamente, el desconocimiento del proceso si así se alega (SSTC 219/1999, de 29 de noviembre, FJ 2, y 182/2000, de 16 de mayo, FJ 5)’ (STC 268/2000, de 13 de noviembre, FJ 4)” (FJ 3).</w:t>
      </w:r>
    </w:p>
    <w:p w:rsidR="005728DD" w:rsidRDefault="005728DD" w:rsidP="005728DD">
      <w:pPr>
        <w:pStyle w:val="TextoNormal"/>
      </w:pPr>
    </w:p>
    <w:p w:rsidR="005728DD" w:rsidRDefault="005728DD" w:rsidP="005728DD">
      <w:pPr>
        <w:pStyle w:val="TextoNormal"/>
      </w:pPr>
      <w:r>
        <w:t>En coherencia con las reflexiones precedentes, mantenemos en nuestro pronunciamiento que el órgano jurisdiccional no solo asume el deber de velar por la corrección formal de los actos de comunicación procesal, sino también, especialmente,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con fundamento en un criterio de razonabilidad se alcance la convicción o certeza de la inutilidad de la adopción de medidas o de la utilización de medios tendentes al logro de dicho emplazamiento (STC 138/2017, de 27 de noviembre, FJ 3).” (FJ 3).</w:t>
      </w:r>
    </w:p>
    <w:p w:rsidR="005728DD" w:rsidRDefault="005728DD" w:rsidP="005728DD">
      <w:pPr>
        <w:pStyle w:val="TextoNormal"/>
      </w:pPr>
    </w:p>
    <w:p w:rsidR="005728DD" w:rsidRDefault="005728DD" w:rsidP="005728DD">
      <w:pPr>
        <w:pStyle w:val="TextoNormal"/>
      </w:pPr>
      <w:r>
        <w:t>Finalmente, concluimos en la sentencia traída a colación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245/2006, de 24 de julio, FJ 2, y 169/2014, de 22 de octubre, FJ 3)” (FJ 3).</w:t>
      </w:r>
    </w:p>
    <w:p w:rsidR="005728DD" w:rsidRDefault="005728DD" w:rsidP="005728DD">
      <w:pPr>
        <w:pStyle w:val="TextoNormal"/>
      </w:pPr>
    </w:p>
    <w:p w:rsidR="005728DD" w:rsidRDefault="005728DD" w:rsidP="005728DD">
      <w:pPr>
        <w:pStyle w:val="TextoNormal"/>
      </w:pPr>
      <w:r>
        <w:t>En síntesis, es tarea fundamental del órgano jurisdiccional asegurar que las partes tomen conocimiento de la causa y tengan la oportunidad de ser oídas en defensa de sus intereses, para lo que debe procurarse que las notificaciones sean efectivas. A tal fin, debe acomodarse la interpretación de las disposiciones legales, limitándose el empleo de la notificación edictal a aquellos supuestos en que no haya sido posible la notificación personal tras haberse agotado todas la posibilidades razonables de comunicación en el domicilio indicado, eventualmente, por la parte contraria o en otros que fueran descubiertos por constar en las actuaciones o por haberse accedido a ellos tras haberse desplegado las oportunas diligencias de averiguación domiciliaria.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al caso</w:t>
      </w:r>
      <w:r>
        <w:t>.</w:t>
      </w:r>
    </w:p>
    <w:p w:rsidR="005728DD" w:rsidRDefault="005728DD" w:rsidP="005728DD">
      <w:pPr>
        <w:pStyle w:val="TextoNormal"/>
      </w:pPr>
    </w:p>
    <w:p w:rsidR="005728DD" w:rsidRDefault="005728DD" w:rsidP="005728DD">
      <w:pPr>
        <w:pStyle w:val="TextoNormal"/>
      </w:pPr>
      <w:r>
        <w:t>Es indiscutible que la doctrina constitucional expuesta resulta aplicable al supuesto que ahora se enjuicia.</w:t>
      </w:r>
    </w:p>
    <w:p w:rsidR="005728DD" w:rsidRDefault="005728DD" w:rsidP="005728DD">
      <w:pPr>
        <w:pStyle w:val="TextoNormal"/>
      </w:pPr>
    </w:p>
    <w:p w:rsidR="005728DD" w:rsidRDefault="005728DD" w:rsidP="005728DD">
      <w:pPr>
        <w:pStyle w:val="TextoNormal"/>
      </w:pPr>
      <w:r>
        <w:t xml:space="preserve">A la vista de esa doctrina, el Juzgado de lo Social núm. 1 de Alicante, una vez fracasado el primer intento de notificación personal en el inmueble designado en el encabezamiento de la demanda (calle Cataluña, núm. 16, bajo, en la ciudad de Alicante), actuó debidamente al llevar a cabo una consulta informática en el registro mercantil, de donde obtuvo un segundo domicilio (avenida Cataluña, 16-3, Playa de San Juan, Alicante). El problema con el comportamiento desplegado por el juzgado reside en que, tras el nuevo fracaso de emplazamiento personal, producto del error cometido al indicar la misma dirección ya utilizada y no la nueva obtenida, el órgano jurisdiccional no efectuó comprobación alguna, acordándose de inmediato la comunicación por medio de edictos. Existe una postrera tentativa de notificación personal, en la que el juzgado cometió una nueva equivocación al dirigirse a un domicilio diferente del correcto (avenida Cataluña, 16-3, bajo, Playa de San Juan, Alicante), </w:t>
      </w:r>
      <w:r>
        <w:lastRenderedPageBreak/>
        <w:t>resultando también negativa, como era de esperar, continuándose a partir de entonces la citación por edictos.</w:t>
      </w:r>
    </w:p>
    <w:p w:rsidR="005728DD" w:rsidRDefault="005728DD" w:rsidP="005728DD">
      <w:pPr>
        <w:pStyle w:val="TextoNormal"/>
      </w:pPr>
    </w:p>
    <w:p w:rsidR="005728DD" w:rsidRDefault="005728DD" w:rsidP="005728DD">
      <w:pPr>
        <w:pStyle w:val="TextoNormal"/>
      </w:pPr>
      <w:r>
        <w:t>Hemos de convenir que semejante actitud no colma la especial diligencia que se exige al órgano jurisdiccional con arreglo a la doctrina expuesta, teniendo como efecto directo el desconocimiento por la demandada del procedimiento, provocándole indefensión, pues se vio privada de la posibilidad de ejercitar en plenitud su derecho de defensa.</w:t>
      </w:r>
    </w:p>
    <w:p w:rsidR="005728DD" w:rsidRDefault="005728DD" w:rsidP="005728DD">
      <w:pPr>
        <w:pStyle w:val="TextoNormal"/>
      </w:pPr>
    </w:p>
    <w:p w:rsidR="005728DD" w:rsidRDefault="005728DD" w:rsidP="005728DD">
      <w:pPr>
        <w:pStyle w:val="TextoNormal"/>
      </w:pPr>
      <w:r>
        <w:t>Ningún dato consta en las actuaciones que acredite una actitud negligente en la recurrente o, desde otra perspectiva, el conocimiento extraprocesal de la existencia de la causa, cuestiones estas que deben acreditarse fehacientemente para que surta su efecto invalidante de la tacha de indefensión, como antes pusimos de relieve.</w:t>
      </w:r>
    </w:p>
    <w:p w:rsidR="005728DD" w:rsidRDefault="005728DD" w:rsidP="005728DD">
      <w:pPr>
        <w:pStyle w:val="TextoNormal"/>
      </w:pPr>
    </w:p>
    <w:p w:rsidR="005728DD" w:rsidRDefault="005728DD" w:rsidP="005728DD">
      <w:pPr>
        <w:pStyle w:val="TextoNormal"/>
      </w:pPr>
      <w:r>
        <w:t xml:space="preserve">Es más, la vulneración del derecho a la tutela judicial efectiva (art. 24.1CE) de la mercantil recurrente, no se reparó tras su denuncia ante el juzgado. Antes al contrario, las resoluciones impugnadas, lejos de efectuar una interpretación </w:t>
      </w:r>
      <w:r w:rsidRPr="005728DD">
        <w:rPr>
          <w:i/>
        </w:rPr>
        <w:t>secundum constitutionem</w:t>
      </w:r>
      <w:r>
        <w:t xml:space="preserve">, favorable al principio </w:t>
      </w:r>
      <w:r w:rsidRPr="005728DD">
        <w:rPr>
          <w:i/>
        </w:rPr>
        <w:t>pro actione</w:t>
      </w:r>
      <w:r>
        <w:t>, atienden exclusivamente a aspectos meramente formales como son; primero, la inadecuación del procedimiento de audiencia al demandado rebelde para denunciar la nulidad de actuaciones, en la sentencia de 25 de noviembre de 2019; y, después, la expiración del plazo previsto para la interposición del incidente excepcional de nulidad de actuaciones, en el auto de 28 de enero de 2020, donde además se obvia la alegación relativa a que el error en la elección del cauce procesal elegido fue causado por el propio juzgado. En definitiva, estamos en presencia de una interpretación excesivamente formalista de las normas procesales, inapropiada desde la perspectiva del derecho a la tutela judicial efectiva y carente de efectos correctores sobre las irregularidades cometidas, cuyo rechazo se agrava por el hecho de que el juzgado era plenamente consciente de las irregularidades en que había incurrido y de la indefensión causada, y así lo reconoce.</w:t>
      </w:r>
    </w:p>
    <w:p w:rsidR="005728DD" w:rsidRDefault="005728DD" w:rsidP="005728DD">
      <w:pPr>
        <w:pStyle w:val="TextoNormal"/>
      </w:pPr>
    </w:p>
    <w:p w:rsidR="005728DD" w:rsidRDefault="005728DD" w:rsidP="005728DD">
      <w:pPr>
        <w:pStyle w:val="TextoNormal"/>
      </w:pPr>
      <w:r>
        <w:t>Este tribunal no puede más que declarar que se ha producido la vulneración constitucional alegada por el demandante de amparo. En primer término, por el automatismo del órgano judicial al acudir al requerimiento y notificación edictal, sin realizar comprobación alguna acerca de las razones que impedían la notificación personal, con lo que incumplió el deber de diligencia que le era exigible. Y, en segundo término, porque la respuesta ofrecida en las resoluciones impugnadas, no reparó la lesión denunciada, a pesar de reconocerla, manteniendo una interpretación rigorista de los arts. 185 LJS, art. 501 LEC y arts. 240 y 241 LOPJ, incompatible con una interpretación constitucional del derecho de acceso al proceso (art. 24.1 CE).</w:t>
      </w:r>
    </w:p>
    <w:p w:rsidR="005728DD" w:rsidRDefault="005728DD" w:rsidP="005728DD">
      <w:pPr>
        <w:pStyle w:val="TextoNormal"/>
      </w:pPr>
    </w:p>
    <w:p w:rsidR="005728DD" w:rsidRDefault="005728DD" w:rsidP="005728DD">
      <w:pPr>
        <w:pStyle w:val="TextoNormal"/>
      </w:pPr>
      <w:r>
        <w:t>La aplicación de nuestra reiterada doctrina al presente supuesto conlleva que se declare vulnerado el derecho del demandante a la tutela judicial efectiva sin indefensión (art. 24.1 CE) y, consiguientemente se estime el presente recurso de amparo. Por ello, de conformidad con lo establecido en el art. 55 LOTC, procede declarar la nulidad del auto de 28 de enero de 2020, dictado por el Juzgado de lo Social núm. 1 de Alicante, por el que se desestimó el incidente excepcional de nulidad planteado, acordando la retroacción de las actuaciones al momento en que deba de efectuarse el emplazamiento del demandado por los medios previstos en la ley.</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Llova Consulting, S.L. y, en su virtud:</w:t>
      </w:r>
    </w:p>
    <w:p w:rsidR="005728DD" w:rsidRDefault="005728DD" w:rsidP="005728DD">
      <w:pPr>
        <w:pStyle w:val="TextoNormal"/>
      </w:pPr>
    </w:p>
    <w:p w:rsidR="005728DD" w:rsidRDefault="005728DD" w:rsidP="005728DD">
      <w:pPr>
        <w:pStyle w:val="TextoNormal"/>
      </w:pPr>
      <w:r>
        <w:t>1º Declarar que ha sido vulnerado su derecho fundamental a la tutela judicial efectiva sin padecer indefensión (art. 24.1 CE), con reconocimiento de tal derecho.</w:t>
      </w:r>
    </w:p>
    <w:p w:rsidR="005728DD" w:rsidRDefault="005728DD" w:rsidP="005728DD">
      <w:pPr>
        <w:pStyle w:val="TextoNormal"/>
      </w:pPr>
    </w:p>
    <w:p w:rsidR="005728DD" w:rsidRDefault="005728DD" w:rsidP="005728DD">
      <w:pPr>
        <w:pStyle w:val="TextoNormal"/>
      </w:pPr>
      <w:r>
        <w:t>2º Restablecerla en su derecho y, a tal fin, declarar la nulidad la sentencia núm. 70/2018, de fecha 26 de febrero de 2018, dictada por ese mismo juzgado, en juicio por despido y reclamación de cantidad núm. 664-2017; la sentencia núm. 385/2019, de fecha de 25 de noviembre de 2019, dictada por el mismo juzgado en el juicio tramitado con el núm. de ejecución 133-2018, dimanante de los autos 664-2017; y del auto del mismo juzgado de 28 de enero de 2020, que desestima el incidente de nulidad de actuaciones, así como las demás actuaciones del procedimiento de despido y posterior ejecución, posteriores a la admisión de la demanda.</w:t>
      </w:r>
    </w:p>
    <w:p w:rsidR="005728DD" w:rsidRDefault="005728DD" w:rsidP="005728DD">
      <w:pPr>
        <w:pStyle w:val="TextoNormal"/>
      </w:pPr>
    </w:p>
    <w:p w:rsidR="005728DD" w:rsidRDefault="005728DD" w:rsidP="005728DD">
      <w:pPr>
        <w:pStyle w:val="TextoNormal"/>
      </w:pPr>
      <w:r>
        <w:t>3º Retrotraer el procedimiento al momento inmediatamente anterior a la diligencia de ordenación de 5 de enero de 2018, debiendo llevarse a cabo el emplazamiento de la parte demandada de forma que resulte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treinta y uno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1" w:name="SENTENCIA_2021_118"/>
      <w:r>
        <w:lastRenderedPageBreak/>
        <w:t>SENTENCIA 118/2021, de 31 de mayo de 2021</w:t>
      </w:r>
    </w:p>
    <w:bookmarkEnd w:id="121"/>
    <w:p w:rsidR="005728DD" w:rsidRDefault="005728DD" w:rsidP="005728DD">
      <w:pPr>
        <w:pStyle w:val="TtuloResolucin"/>
      </w:pPr>
      <w:r>
        <w:t>Sala Primera</w:t>
      </w:r>
    </w:p>
    <w:p w:rsidR="005728DD" w:rsidRDefault="005728DD" w:rsidP="005728DD">
      <w:pPr>
        <w:pStyle w:val="TtuloBOE"/>
      </w:pPr>
      <w:r>
        <w:t>(BOE núm. 161, de 7 de julio de 2021)</w:t>
      </w:r>
    </w:p>
    <w:p w:rsidR="005728DD" w:rsidRDefault="005728DD" w:rsidP="005728DD">
      <w:pPr>
        <w:pStyle w:val="TextoNormalCentrado"/>
      </w:pPr>
      <w:r>
        <w:t>ECLI:ES:TC:2021:118</w:t>
      </w:r>
    </w:p>
    <w:p w:rsidR="005728DD" w:rsidRDefault="005728DD" w:rsidP="005728DD">
      <w:pPr>
        <w:pStyle w:val="TextoNormalCentrado"/>
      </w:pPr>
    </w:p>
    <w:p w:rsidR="005728DD" w:rsidRDefault="005728DD" w:rsidP="005728DD">
      <w:pPr>
        <w:pStyle w:val="SntesisDescriptiva"/>
      </w:pPr>
      <w:r>
        <w:t>Recurso de amparo 2726-2020. Promovido por don Domingo Antonio Yumar Afonso y doña María del Pilar Martín Goya en relación con las resoluciones dictadas por un juzgado de primera instancia de San Cristóbal de La Laguna (Santa Cruz de Tenerife)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sin indefensión: emplazamiento mediante edictos de la demandada sin agotar las posibilidades de notificación personal (STC 122/2013).</w:t>
      </w:r>
    </w:p>
    <w:p w:rsidR="005728DD" w:rsidRDefault="005728DD" w:rsidP="005728DD">
      <w:pPr>
        <w:pStyle w:val="SntesisAnaltica"/>
      </w:pPr>
    </w:p>
    <w:p w:rsidR="005728DD" w:rsidRDefault="005728DD" w:rsidP="005728DD">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2 a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2726-2020, interpuesto por la procuradora de los tribunales doña Yolanda López Muñoz, en nombre y representación de don Domingo Antonio Yumar Afonso y doña María del Pilar Martín Goya, con la asistencia de la abogada doña María Yumar Martín, contra el auto de 26 de febrero de 2020 del Juzgado de Primera Instancia núm. 2 de San Cristóbal de La Laguna, dictado en el procedimiento de ejecución hipotecaria núm. 363-2012. Han comparecido las entidades Caixabank, S.A., y Buildingcenter, S.A.U., representadas ambas por el procurador de los tribunales don Miguel Ángel Montero Reiter y asistidas por la abogada doña Sonia Acosta Pérez. Ha intervenido el Ministerio Fiscal. Ha sido ponente el magistrado don Andrés Ollero Tassara.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30 de junio de 2020, la procuradora de los tribunales doña Yolanda López Muñoz, en nombre y represen</w:t>
      </w:r>
      <w:r>
        <w:lastRenderedPageBreak/>
        <w:t>tación de don Domingo Antonio Yumar Afonso y doña María del Pilar Martín Goya, interpuso recurso de amparo contra la resolución judicial mencionada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en que se fundamenta la demanda de amparo son, en síntesis, los que seguidamente se relacionan.</w:t>
      </w:r>
    </w:p>
    <w:p w:rsidR="005728DD" w:rsidRDefault="005728DD" w:rsidP="005728DD">
      <w:pPr>
        <w:pStyle w:val="TextoNormal"/>
      </w:pPr>
    </w:p>
    <w:p w:rsidR="005728DD" w:rsidRDefault="005728DD" w:rsidP="005728DD">
      <w:pPr>
        <w:pStyle w:val="TextoNormal"/>
      </w:pPr>
      <w:r>
        <w:t>a) En el Juzgado de Primera Instancia núm. 2 de San Cristóbal de La Laguna se sigue frente a los demandantes de amparo el procedimiento de ejecución hipotecaria núm. 363-2012, promovido por Banca Cívica, S.A., en relación con una vivienda sita en el municipio de La Laguna, por el impago por aquellos de sus obligaciones derivadas del contrato de préstamo hipotecario suscrito entre ambas partes el 15 de noviembre de 2006. En dicho procedimiento se dictó auto el 20 de marzo de 2012 despachando la ejecución y requiriendo de pago a los ejecutados.</w:t>
      </w:r>
    </w:p>
    <w:p w:rsidR="005728DD" w:rsidRDefault="005728DD" w:rsidP="005728DD">
      <w:pPr>
        <w:pStyle w:val="TextoNormal"/>
      </w:pPr>
    </w:p>
    <w:p w:rsidR="005728DD" w:rsidRDefault="005728DD" w:rsidP="005728DD">
      <w:pPr>
        <w:pStyle w:val="TextoNormal"/>
      </w:pPr>
      <w:r>
        <w:t>Banca Cívica, S.A., fue absorbida el 3 de agosto de 2012 por Caixabank, S.A.</w:t>
      </w:r>
    </w:p>
    <w:p w:rsidR="005728DD" w:rsidRDefault="005728DD" w:rsidP="005728DD">
      <w:pPr>
        <w:pStyle w:val="TextoNormal"/>
      </w:pPr>
    </w:p>
    <w:p w:rsidR="005728DD" w:rsidRDefault="005728DD" w:rsidP="005728DD">
      <w:pPr>
        <w:pStyle w:val="TextoNormal"/>
      </w:pPr>
      <w:r>
        <w:t>b) Intentada el 18 de mayo de 2012 la notificación del auto a los ejecutados en la calle Bartolomé Cairasco, núm. 18, vivienda 1, El Coromoto, La Laguna (que figura como dirección de la finca en la escritura de préstamo hipotecario), en la diligencia de notificación la procuradora de la entidad bancaria hace constar lo siguiente: “El vecino de dicho domicilio me manifiesta que la numeración ha cambiado, por lo que preguntando por la zona averiguamos que actualmente es el núm. 95. Personados la señora de la limpieza afirma que ese es el domicilio pero se niega a firmar, a identificarse y a recoger ninguna documentación según indicaciones de los demandados”.</w:t>
      </w:r>
    </w:p>
    <w:p w:rsidR="005728DD" w:rsidRDefault="005728DD" w:rsidP="005728DD">
      <w:pPr>
        <w:pStyle w:val="TextoNormal"/>
      </w:pPr>
    </w:p>
    <w:p w:rsidR="005728DD" w:rsidRDefault="005728DD" w:rsidP="005728DD">
      <w:pPr>
        <w:pStyle w:val="TextoNormal"/>
      </w:pPr>
      <w:r>
        <w:t>c) Sin otras actuaciones, por diligencia de ordenación de 24 de mayo de 2012 del Juzgado de Primera Instancia núm. 2 de San Cristóbal de La Laguna se acuerda la notificación por edictos del emplazamiento y del requerimiento de pago, siendo notificadas por esta vía todas las resoluciones dictadas a partir de entonces. Así ocurre con la diligencia de ordenación de 18 de julio de 2012 por la que se acuerda proceder a la realización del bien hipotecado, fijando el 26 de septiembre de 2012 como fecha para la celebración de la subasta; la diligencia de ordenación de 15 de marzo de 2013, por la que se acuerda conferir traslado a los ejecutados por un plazo de diez días a los efectos de mejorar postura; el decreto de 26 de abril de 2013, de aprobación del remate del bien inmueble subastado a favor de Buildingcenter, S.A.U.; y el decreto de 15 de octubre de 2018 por el que se aprueba la tasación de costas y la liquidación de intereses devengados en el procedimiento ejecutivo.</w:t>
      </w:r>
    </w:p>
    <w:p w:rsidR="005728DD" w:rsidRDefault="005728DD" w:rsidP="005728DD">
      <w:pPr>
        <w:pStyle w:val="TextoNormal"/>
      </w:pPr>
    </w:p>
    <w:p w:rsidR="005728DD" w:rsidRDefault="005728DD" w:rsidP="005728DD">
      <w:pPr>
        <w:pStyle w:val="TextoNormal"/>
      </w:pPr>
      <w:r>
        <w:t xml:space="preserve">d) Habiendo tenido conocimiento los demandantes de amparo del referido procedimiento de ejecución hipotecaria el 25 de noviembre de 2019 (según alegan) al serles notificada la demanda del juicio de desahucio por precario seguido en el Juzgado de Primera Instancia núm. 3 de San Cristóbal de La Laguna, a instancias de Coral Homes, S.L.U., en relación con la que venía siendo su vivienda, el 19 de diciembre de 2019 formularon incidente de nulidad de actuaciones ante el Juzgado de Primera Instancia núm. 2 de San Cristóbal de La Laguna. Alegan la vulneración de su derecho a la tutela judicial efectiva sin indefensión (art. 24.1 CE). Sostuvieron que esa lesión se produjo porque el procedimiento de ejecución hipotecaria se sustanció sin que fueran oídos, debido a que les fueron notificadas las actuaciones correspondientes a dicho procedimiento mediante edictos, por no haber agotado el </w:t>
      </w:r>
      <w:r>
        <w:lastRenderedPageBreak/>
        <w:t>juzgado todos los intentos de notificación personal a su alcance. En apoyo de su pretensión invocaron la doctrina del Tribunal Constitucional acerca de la preferencia de la notificación personal y la diligencia exigible de los órganos judiciales al respecto (citaron, entre otras, las SSTC 37/1990, de 1 de marzo; 122/2013, de 20 de mayo, y 131/2014, de 21 de julio).</w:t>
      </w:r>
    </w:p>
    <w:p w:rsidR="005728DD" w:rsidRDefault="005728DD" w:rsidP="005728DD">
      <w:pPr>
        <w:pStyle w:val="TextoNormal"/>
      </w:pPr>
    </w:p>
    <w:p w:rsidR="005728DD" w:rsidRDefault="005728DD" w:rsidP="005728DD">
      <w:pPr>
        <w:pStyle w:val="TextoNormal"/>
      </w:pPr>
      <w:r>
        <w:t>e) Por auto de 26 de febrero de 2020 el Juzgado de Primera Instancia núm. 2 de San Cristóbal de La Laguna desestimó el incidente de nulidad de actuaciones promovido por los demandantes de amparo. Rechaza el juzgado que haya existido indefensión alguna, porque la parte ejecutada fue citada el 18 de mayo de 2012 en el domicilio que figuraba en la escritura del préstamo hipotecario y en el registro de la propiedad, donde un vecino manifestó que la numeración había cambiado, resultando tras las averiguaciones oportunas que el domicilio es ahora el núm. 95. Intentada allí la notificación, quien dice ser la “señora de la limpieza” confirma que es el domicilio de los ejecutados, pero se niega a firmar, así como a identificarse y a recoger ninguna documentación, “por indicación de los demandados”. Concluye el juzgado que “la parte tenía conocimiento del procedimiento, fue notificada en su domicilio y dio indicaciones a la trabajadora de que no lo recogiera. Resulta imposible a este juzgado más intentos de notificación puesto que el domicilio es correcto y se notificó válidamente. Voluntariamente la parte no ha querido recoger la citación. No estamos en casos en que no se corresponde la dirección, en que no se hayan hechos averiguaciones a través del punto neutro antes de proceder a notificar por edictos [...] aquí el domicilio es correcto y el juzgado actuó conforme a lo dispuesto [en el] art. 686.1 LEC”.</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se aduce la vulneración del derecho a la tutela judicial efectiva sin indefensión (art. 24.1 CE), porque el procedimiento de ejecución hipotecaria se sustanció sin que los demandantes de amparo fueran oídos, al haber procedido el órgano judicial al emplazamiento edictal sin agotar las posibilidades razonables de citación personal. También se denuncia la vulneración del derecho a la tutela judicial efectiva (art. 24.1 CE) por la ausencia de motivación del auto que desestima el incidente de nulidad de actuaciones. El órgano judicial se limita a realizar una interpretación literal del art. 686 de la Ley de enjuiciamiento civil (LEC), “que elude cualquier tipo de consideración sobre la dimensión constitucional puesta de relieve, lo que denota una voluntad implícita de no aplicar al caso la referida doctrina constitucional”.</w:t>
      </w:r>
    </w:p>
    <w:p w:rsidR="005728DD" w:rsidRDefault="005728DD" w:rsidP="005728DD">
      <w:pPr>
        <w:pStyle w:val="TextoNormal"/>
      </w:pPr>
    </w:p>
    <w:p w:rsidR="005728DD" w:rsidRDefault="005728DD" w:rsidP="005728DD">
      <w:pPr>
        <w:pStyle w:val="TextoNormal"/>
      </w:pPr>
      <w:r>
        <w:t>Por todo ello interesan los demandantes que se les otorgue el amparo, declarando que ha sido vulnerado su derecho a la tutela judicial efectiva y anulando el auto impugnado, así como todas las actuaciones del procedimiento de ejecución hipotecaria desde la notificación edictal del despacho de la ejecución y requerimiento de pago.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Por providencia de 15 de febrero de 2021, la Sección Segunda de este tribunal acordó admitir a trámite el recurso de amparo, apreciando que concurre una especial trascendencia constitucional [art. 50.1 de la Ley Orgánica del Tribunal Constitucional (LOTC)], porque el órgano judicial pudiera haber incurrido en una negativa manifiesta del deber de acatamiento de la doctrina de este tribunal [STC 155/2009, FJ 2 f)]. Por ello, en aplicación de lo dispuesto en el art. 51 LOTC, se ordena dirigir atenta comunicación al Juzgado de Primera Instancia núm. 2 de San Cristóbal de La Laguna, para que, en plazo que no exceda de diez días, remita certificación o fotocopia adverada de las actuaciones correspondientes al procedimiento de ejecución hipotecaria núm. 363-2012; debiendo asimismo emplazar a quienes </w:t>
      </w:r>
      <w:r>
        <w:lastRenderedPageBreak/>
        <w:t>hubieran sido parte en dicho procedimiento, excepto a los recurrentes en amparo, a fin de que puedan comparecer, si lo desean,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Primera de este tribunal, por diligencia de ordenación de 22 de marzo de 2021, acordó tener por personado y parte en el presente proceso constitucional al procurador don Miguel Ángel Montero Reiter, en nombre y representación de Caixabank, S.A. Acordó asimismo dar vista de las actuaciones recibidas del Juzgado de Primera Instancia núm. 2 de San Cristóbal de La Laguna a las partes personadas y al Ministerio Fiscal, por plazo común de veinte días, para presentar las alegaciones que estimasen pertinentes, de conformidad con el art. 52.1 LOTC. Por diligencia de ordenación de 8 de abril de 2021 se tuvo por personado y parte al mismo procurador en nombre y representación de Buildingcenter, S.A.U.</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mediante escrito presentado en este tribunal el 27 de abril de 2021, formuló sus alegaciones, solicitando la estimación del recurso de amparo.</w:t>
      </w:r>
    </w:p>
    <w:p w:rsidR="005728DD" w:rsidRDefault="005728DD" w:rsidP="005728DD">
      <w:pPr>
        <w:pStyle w:val="TextoNormal"/>
      </w:pPr>
    </w:p>
    <w:p w:rsidR="005728DD" w:rsidRDefault="005728DD" w:rsidP="005728DD">
      <w:pPr>
        <w:pStyle w:val="TextoNormal"/>
      </w:pPr>
      <w:r>
        <w:t>Tras resumir los antecedentes procesales relevantes para el caso, señala que el objeto del presente recurso consiste en dilucidar si el órgano judicial ha vulnerado el derecho de los demandantes de amparo a la tutela judicial efectiva sin indefensión (art. 24.1 CE), por haber acudido al emplazamiento edictal en el procedimiento de ejecución hipotecaria sin haber agotado previamente las posibilidades de citación directa, como exige la doctrina constitucional. Alude a la doctrina de este tribunal sobre la necesidad de que los órganos judiciales procedan correcta y diligentemente en los actos de comunicación procesal, para así garantizar el derecho de acceso a la jurisdicción y de defensa de quien ha sido demandado o pueda ser parte interesada en el procedimiento; lo que supone que el órgano judicial concernido no debe acudir de forma automática a la práctica de la comunicación edictal, sino que ha de extremar la diligencia para la averiguación del domicilio de los interesados, debiendo para ello utilizar los medios de averiguación que estén razonablemente a su alcance (cita en particular las SSTC 122/2013, de 20 de mayo; 30/2014, de 24 de febrero; 181/2015, de 7 de septiembre; 138/2017, de 27 de noviembre, y 187/2020, de 14 de diciembre).</w:t>
      </w:r>
    </w:p>
    <w:p w:rsidR="005728DD" w:rsidRDefault="005728DD" w:rsidP="005728DD">
      <w:pPr>
        <w:pStyle w:val="TextoNormal"/>
      </w:pPr>
    </w:p>
    <w:p w:rsidR="005728DD" w:rsidRDefault="005728DD" w:rsidP="005728DD">
      <w:pPr>
        <w:pStyle w:val="TextoNormal"/>
      </w:pPr>
      <w:r>
        <w:t>Concluye el fiscal que la aplicación de esta consolidada doctrina al presente caso conduce derechamente al otorgamiento del amparo solicitado. El órgano judicial intentó, a través de la procuradora de la entidad ejecutante la comunicación en el domicilio de los deudores ejecutados. Tras el resultado negativo de esa diligencia, acudió seguidamente al emplazamiento edictal de manera inmediata, es decir, optó por la aplicación automática del art. 686.3 LEC, sin realizar ningún intento de averiguación del paradero de los ejecutados. Al no actuar el órgano judicial con la diligencia que le era exigible para la averiguación del paradero o domicilio de los interesados, vulneró el derecho de estos a la tutela judicial efectiva sin indefensión. Añade el fiscal que los demandantes de amparo dieron al juzgado la oportunidad de reparar esta vulneración al promover el incidente de nulidad, pero hizo caso omiso, al reputar correcto el emplazamiento edictal por el previo intento fallido de citación en el que constaba como domicilio de aquellos en la escritura de préstamo hipotecario y en el registro de la propiedad, desatendiendo la doctrina constitucional citada.</w:t>
      </w:r>
    </w:p>
    <w:p w:rsidR="005728DD" w:rsidRDefault="005728DD" w:rsidP="005728DD">
      <w:pPr>
        <w:pStyle w:val="TextoNormal"/>
      </w:pPr>
    </w:p>
    <w:p w:rsidR="005728DD" w:rsidRDefault="005728DD" w:rsidP="005728DD">
      <w:pPr>
        <w:pStyle w:val="TextoNormal"/>
      </w:pPr>
      <w:r>
        <w:t xml:space="preserve">Por todo ello, el fiscal interesa que se declare vulnerado el derecho de los recurrentes en amparo a la tutela judicial efectiva sin indefensión (art. 24.1 CE) y se les restablezca en su derecho, acordando la nulidad de todo lo actuado desde la notificación edictal por la cual se </w:t>
      </w:r>
      <w:r>
        <w:lastRenderedPageBreak/>
        <w:t>emplazó a aquellos en el procedimiento de ejecución hipotecaria, y que se retrotraigan las actuaciones al momento inmediatamente anterior a dicha notificación, a fin de que se les dé la posibilidad de comparecer en ese proceso y actuar en defensa de sus intereses.</w:t>
      </w:r>
    </w:p>
    <w:p w:rsidR="005728DD" w:rsidRDefault="005728DD" w:rsidP="005728DD">
      <w:pPr>
        <w:pStyle w:val="TextoNormal"/>
      </w:pPr>
    </w:p>
    <w:p w:rsidR="005728DD" w:rsidRDefault="005728DD" w:rsidP="005728DD">
      <w:pPr>
        <w:pStyle w:val="TextoNormal"/>
      </w:pPr>
      <w:r w:rsidRPr="005728DD">
        <w:rPr>
          <w:rStyle w:val="NumeroAFNegritaCaracter"/>
        </w:rPr>
        <w:t>7</w:t>
      </w:r>
      <w:r>
        <w:t>. El 22 de abril de 2021 tuvo entrada en el registro del Tribunal Constitucional un escrito de la procuradora de los recurrentes, en el que se ratifica íntegramente en la demanda de amparo y solicita su estimación.</w:t>
      </w:r>
    </w:p>
    <w:p w:rsidR="005728DD" w:rsidRDefault="005728DD" w:rsidP="005728DD">
      <w:pPr>
        <w:pStyle w:val="TextoNormal"/>
      </w:pPr>
    </w:p>
    <w:p w:rsidR="005728DD" w:rsidRDefault="005728DD" w:rsidP="005728DD">
      <w:pPr>
        <w:pStyle w:val="TextoNormal"/>
      </w:pPr>
      <w:r w:rsidRPr="005728DD">
        <w:rPr>
          <w:rStyle w:val="NumeroAFNegritaCaracter"/>
        </w:rPr>
        <w:t>8</w:t>
      </w:r>
      <w:r>
        <w:t>. La representación procesal de Caixabank, S.A., formuló sus alegaciones mediante escrito registrado en este tribunal el 27 de abril de 2021. Solicita que se desestime el recurso de amparo, pues considera que no ha existido la vulneración del derecho a la tutela judicial efectiva sin indefensión (art. 24.1 CE) que aducen los recurrentes. El juzgado notificó correctamente, conforme a lo dispuesto en la legislación procesal, el auto por el que se despacha la ejecución y requiere de pago a los deudores, pues esa notificación tuvo lugar en el domicilio fijado por estos para requerimientos y notificaciones; la notificación tuvo lugar en el domicilio correcto y se llevó a efecto de forma válida, sin que el hecho de que la empleada de hogar de los deudores se negase a recibir la notificación altere esa conclusión.</w:t>
      </w:r>
    </w:p>
    <w:p w:rsidR="005728DD" w:rsidRDefault="005728DD" w:rsidP="005728DD">
      <w:pPr>
        <w:pStyle w:val="TextoNormal"/>
      </w:pPr>
    </w:p>
    <w:p w:rsidR="005728DD" w:rsidRDefault="005728DD" w:rsidP="005728DD">
      <w:pPr>
        <w:pStyle w:val="TextoNormal"/>
      </w:pPr>
      <w:r w:rsidRPr="005728DD">
        <w:rPr>
          <w:rStyle w:val="NumeroAFNegritaCaracter"/>
        </w:rPr>
        <w:t>9</w:t>
      </w:r>
      <w:r>
        <w:t>. La entidad Buildingcenter, S.A.U., no presentó alegaciones.</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27 de mayo de 2021 se señaló para la deliberación y votación de la presente sentencia el día 31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objeto del presente recurso de amparo consiste en dilucidar si los recurrentes, como sostienen, han sufrido la vulneración de su derecho a la tutela judicial efectiva sin indefensión (art. 24.1 CE), como consecuencia de la omisión de emplazamiento personal en el procedimiento de ejecución hipotecaria núm. 363-2012 del Juzgado de Primera Instancia núm. 2 de San Cristóbal de La Laguna.</w:t>
      </w:r>
    </w:p>
    <w:p w:rsidR="005728DD" w:rsidRDefault="005728DD" w:rsidP="005728DD">
      <w:pPr>
        <w:pStyle w:val="TextoNormal"/>
      </w:pPr>
    </w:p>
    <w:p w:rsidR="005728DD" w:rsidRDefault="005728DD" w:rsidP="005728DD">
      <w:pPr>
        <w:pStyle w:val="TextoNormal"/>
      </w:pPr>
      <w:r>
        <w:t>Con apoyo en los argumentos que se han expuesto en los antecedentes, el Ministerio Fiscal solicita la estimación del recurso de amparo, mientras que la entidad bancaria ejecutante en el proceso hipotecario interesa la desestimación.</w:t>
      </w:r>
    </w:p>
    <w:p w:rsidR="005728DD" w:rsidRDefault="005728DD" w:rsidP="005728DD">
      <w:pPr>
        <w:pStyle w:val="TextoNormal"/>
      </w:pPr>
    </w:p>
    <w:p w:rsidR="005728DD" w:rsidRDefault="005728DD" w:rsidP="005728DD">
      <w:pPr>
        <w:pStyle w:val="TextoNormal"/>
      </w:pPr>
      <w:r w:rsidRPr="005728DD">
        <w:rPr>
          <w:rStyle w:val="NumeroAFNegritaCaracter"/>
        </w:rPr>
        <w:t>2</w:t>
      </w:r>
      <w:r>
        <w:t>. Este tribunal se ha pronunciado en reiteradas ocasiones sobre el problema aquí planteado acerca de la comunicación del procedimiento de ejecución hipotecaria en el caso de que sean infructuosos los intentos de notificación y requerimiento de pago en el domicilio que consta en el registro de la propiedad y, más concretamente, sobre la necesidad de que el órgano judicial agote las posibilidades de averiguación del domicilio real de la parte demandada antes de acudir a notificación por edictos.</w:t>
      </w:r>
    </w:p>
    <w:p w:rsidR="005728DD" w:rsidRDefault="005728DD" w:rsidP="005728DD">
      <w:pPr>
        <w:pStyle w:val="TextoNormal"/>
      </w:pPr>
    </w:p>
    <w:p w:rsidR="005728DD" w:rsidRDefault="005728DD" w:rsidP="005728DD">
      <w:pPr>
        <w:pStyle w:val="TextoNormal"/>
      </w:pPr>
      <w:r>
        <w:t xml:space="preserve">En concreto, desde la STC 122/2013, de 20 de mayo, venimos analizando el problema constitucional que ha planteado, desde la perspectiva del art. 24.1 CE la redacción dada al art. 686.3 LEC por la Ley 13/2009, de 3 de noviembre, de reforma de la legislación procesal </w:t>
      </w:r>
      <w:r>
        <w:lastRenderedPageBreak/>
        <w:t>para la implantación de la nueva oficina judicial. De modo especial en cuanto a la comunicación del procedimiento de ejecución hipotecaria en el caso de que resulte infructuosa la notificación del requerimiento de pago en el domicilio que consta en el registro de la propiedad y, más concretamente, sobre la necesidad de que el órgano judicial agote las posibilidades razonables de citación personal del deudor antes de proceder a la notificación edictal.</w:t>
      </w:r>
    </w:p>
    <w:p w:rsidR="005728DD" w:rsidRDefault="005728DD" w:rsidP="005728DD">
      <w:pPr>
        <w:pStyle w:val="TextoNormal"/>
      </w:pPr>
    </w:p>
    <w:p w:rsidR="005728DD" w:rsidRDefault="005728DD" w:rsidP="005728DD">
      <w:pPr>
        <w:pStyle w:val="TextoNormal"/>
      </w:pPr>
      <w:r>
        <w:t>Esta reiterada doctrina se mantiene tras la reforma operada por la Ley 13/2009, de 3 de noviembre, que añade un nuevo apartado 3 al art. 686 LEC. Relativo a la notificación edictal en el procedimiento de ejecución hipotecaria, para el caso de que resulte intentado sin efecto el requerimiento en el domicilio que figure en el registro, habida cuenta que todos los preceptos relativos a la notificación del despacho de la ejecución y del requerimiento de pago han de ser interpretados en coherencia con la jurisprudencia de este tribunal.</w:t>
      </w:r>
    </w:p>
    <w:p w:rsidR="005728DD" w:rsidRDefault="005728DD" w:rsidP="005728DD">
      <w:pPr>
        <w:pStyle w:val="TextoNormal"/>
      </w:pPr>
    </w:p>
    <w:p w:rsidR="005728DD" w:rsidRDefault="005728DD" w:rsidP="005728DD">
      <w:pPr>
        <w:pStyle w:val="TextoNormal"/>
      </w:pPr>
      <w:r>
        <w:t>De acuerdo con esta consolidada doctrina constitucional (entre otras muchas, SSTC 131/2014, de 21 de julio; 89/2015, de 11 de mayo; 151/2016, de 19 de septiembre; 106/2017, de 18 de septiembre; 5/2018, de 22 de enero; 29/2020, de 24 de febrero; 41/2020, de 9 de marzo, y 43/2021, de 3 de marzo),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Incluso cuando no conste ese domicilio en las actuaciones, el órgano judicial viene obligado a realizar otras gestiones en orden a la averiguación del domicilio real, siempre que ello no suponga exigirle una desmedida labor investigadora sobre la efectividad del acto de comunicación.</w:t>
      </w:r>
    </w:p>
    <w:p w:rsidR="005728DD" w:rsidRDefault="005728DD" w:rsidP="005728DD">
      <w:pPr>
        <w:pStyle w:val="TextoNormal"/>
      </w:pPr>
    </w:p>
    <w:p w:rsidR="005728DD" w:rsidRDefault="005728DD" w:rsidP="005728DD">
      <w:pPr>
        <w:pStyle w:val="TextoNormal"/>
      </w:pPr>
      <w:r>
        <w:t xml:space="preserve">En definitiva, “desde una estricta perspectiva constitucional, procede realizar una interpretación </w:t>
      </w:r>
      <w:r w:rsidRPr="005728DD">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solo puede utilizarse cuando se hayan agotado los medios de averiguación del domicilio del deudor o ejecutado” (STC 122/2013, FJ 5).</w:t>
      </w:r>
    </w:p>
    <w:p w:rsidR="005728DD" w:rsidRDefault="005728DD" w:rsidP="005728DD">
      <w:pPr>
        <w:pStyle w:val="TextoNormal"/>
      </w:pPr>
    </w:p>
    <w:p w:rsidR="005728DD" w:rsidRDefault="005728DD" w:rsidP="005728DD">
      <w:pPr>
        <w:pStyle w:val="TextoNormal"/>
      </w:pPr>
      <w:r w:rsidRPr="005728DD">
        <w:rPr>
          <w:rStyle w:val="NumeroAFNegritaCaracter"/>
        </w:rPr>
        <w:t>3</w:t>
      </w:r>
      <w:r>
        <w:t>. En el supuesto objeto de este recurso de amparo, resulta que el Juzgado de Primera Instancia núm. 2 de San Cristóbal de La Laguna dictó auto despachando ejecución respecto de la finca sita en la calle (actualmente avenida) Bartolomé Cairasco, núm. 18, vivienda 1, La Laguna, requiriendo de pago a los ahora recurrentes en amparo. El auto se intentó notificar a estos el 18 de mayo de 2012 en la dirección indicada (que es la que figuraba en la escritura del préstamo hipotecario y en el registro de la propiedad), por medio de la procuradora de la entidad bancaria ejecutante, conforme a lo previsto en el art. 161.1 LEC. En la diligencia de entrega, notificación y requerimiento la procuradora hizo constar lo siguiente: “El vecino de dicho domicilio me manifiesta que la numeración ha cambiado, por lo que preguntando por la zona averiguamos que actualmente es el núm. 95. Personados la señora de la limpieza afirma que ese es el domicilio pero se niega a firmar, a identificarse y a recoger ninguna documentación según indicaciones de los demandados”.</w:t>
      </w:r>
    </w:p>
    <w:p w:rsidR="005728DD" w:rsidRDefault="005728DD" w:rsidP="005728DD">
      <w:pPr>
        <w:pStyle w:val="TextoNormal"/>
      </w:pPr>
    </w:p>
    <w:p w:rsidR="005728DD" w:rsidRDefault="005728DD" w:rsidP="005728DD">
      <w:pPr>
        <w:pStyle w:val="TextoNormal"/>
      </w:pPr>
      <w:r>
        <w:lastRenderedPageBreak/>
        <w:t>Habiendo resultado negativa la comunicación en el domicilio designado por la entidad bancaria ejecutante, por diligencia de ordenación de 24 de mayo de 2012 del Juzgado de Primera Instancia núm. 2 de San Cristóbal de La Laguna se acordó, sin más averiguaciones, la notificación por edictos del emplazamiento y del requerimiento de pago. Fueron notificadas por esta vía, al amparo de lo dispuesto en los arts. 164 y 686.3 LEC, todas las resoluciones dictadas a partir de entonces en el procedimiento de ejecución hipotecaria, que se sustanció así sin que los recurrentes en amparo fueran oídos en el mismo.</w:t>
      </w:r>
    </w:p>
    <w:p w:rsidR="005728DD" w:rsidRDefault="005728DD" w:rsidP="005728DD">
      <w:pPr>
        <w:pStyle w:val="TextoNormal"/>
      </w:pPr>
    </w:p>
    <w:p w:rsidR="005728DD" w:rsidRDefault="005728DD" w:rsidP="005728DD">
      <w:pPr>
        <w:pStyle w:val="TextoNormal"/>
      </w:pPr>
      <w:r>
        <w:t>En suma, de lo actuado se desprende que, una vez que la procuradora localizó la dirección correcta de la vivienda hipotecada, tras el cambio de numeración de la calle, intentó la notificación del auto despachando ejecución y requiriendo de pago en esa dirección, calle (hoy avenida) Bartolomé Cairasco, núm. 95, La Laguna. En efecto resultaba ser el domicilio real de los recurrentes, como se indica en la demanda de amparo. El intento de notificación resultó infructuoso, porque el tercero hallado en el domicilio, con quien quiso entenderse la diligencia, se negó a identificarse y a recoger la citación.</w:t>
      </w:r>
    </w:p>
    <w:p w:rsidR="005728DD" w:rsidRDefault="005728DD" w:rsidP="005728DD">
      <w:pPr>
        <w:pStyle w:val="TextoNormal"/>
      </w:pPr>
    </w:p>
    <w:p w:rsidR="005728DD" w:rsidRDefault="005728DD" w:rsidP="005728DD">
      <w:pPr>
        <w:pStyle w:val="TextoNormal"/>
      </w:pPr>
      <w:r>
        <w:t>Es indudable que el órgano judicial no cumplió con su deber de velar por que los actos de comunicación procesal alcancen eficazmente su fin, pues no agotó las posibilidades razonables de localización de los deudores. Esto determinó que el procedimiento de ejecución hipotecaria se sustanciara sin que estos fueran oídos para defender sus derechos e intereses. En efecto, una vez que resultó infructuoso el intento de emplazamiento en el domicilio antes referido —que a la postre resultó ser el domicilio real—, el juzgado no intentó efectuar ningún acto de comunicación adicional en ese domicilio, ni practicó diligencia de averiguación domiciliaria alternativa alguna.</w:t>
      </w:r>
    </w:p>
    <w:p w:rsidR="005728DD" w:rsidRDefault="005728DD" w:rsidP="005728DD">
      <w:pPr>
        <w:pStyle w:val="TextoNormal"/>
      </w:pPr>
    </w:p>
    <w:p w:rsidR="005728DD" w:rsidRDefault="005728DD" w:rsidP="005728DD">
      <w:pPr>
        <w:pStyle w:val="TextoNormal"/>
      </w:pPr>
      <w:r>
        <w:t>Atendidas las circunstancias relatadas en la diligencia de notificación negativa, relativas a una “señora de la limpieza” que “se niega a firmar, a identificarse y a recoger ninguna documentación según indicaciones de los demandados”, debió el juzgado, antes de proceder al emplazamiento por edictos, intentar de nuevo la notificación en el mismo domicilio, a través de los funcionarios de auxilio judicial, por cualquier medio que permitiera dejar constancia fehaciente en los autos de esa citación, como señala el Ministerio Fiscal. Ello sin perjuicio de que el juzgado podía también haber intentado averiguar si se trataba del domicilio real a través de medios fácilmente accesibles como el punto neutro judicial, “red informática al servicio de la administración de justicia que permite a esta el acceso a los datos que se contienen en diversos registros y organismos públicos, que estos suministran al juez con sujeción a la normativa que les es propia” (STC 50/2017, de 8 de mayo, FJ 4).</w:t>
      </w:r>
    </w:p>
    <w:p w:rsidR="005728DD" w:rsidRDefault="005728DD" w:rsidP="005728DD">
      <w:pPr>
        <w:pStyle w:val="TextoNormal"/>
      </w:pPr>
    </w:p>
    <w:p w:rsidR="005728DD" w:rsidRDefault="005728DD" w:rsidP="005728DD">
      <w:pPr>
        <w:pStyle w:val="TextoNormal"/>
      </w:pPr>
      <w:r>
        <w:t>Por otra parte, en el presente caso no puede deducirse de las actuaciones que los recurrentes en amparo hubieran tenido conocimiento extraprocesal del procedimiento de ejecución hipotecaria seguido en su contra más que en el momento inmediatamente anterior a su primera comparecencia con solicitud de nulidad de actuaciones. Según afirman, tuvieron por primera vez conocimiento del referido procedimiento al serles notificada la demanda del juicio de desahucio por precario, seguido en el Juzgado de Primera Instancia núm. 3 de San Cristóbal de La Laguna, en relación con su vivienda.</w:t>
      </w:r>
    </w:p>
    <w:p w:rsidR="005728DD" w:rsidRDefault="005728DD" w:rsidP="005728DD">
      <w:pPr>
        <w:pStyle w:val="TextoNormal"/>
      </w:pPr>
    </w:p>
    <w:p w:rsidR="005728DD" w:rsidRDefault="005728DD" w:rsidP="005728DD">
      <w:pPr>
        <w:pStyle w:val="TextoNormal"/>
      </w:pPr>
      <w:r>
        <w:t xml:space="preserve">Ha de concluirse, en suma, que el Juzgado de Primera Instancia núm. 2 de San Cristóbal de La Laguna vulneró el derecho de los recurrentes a la tutela judicial efectiva sin indefensión (art. 24.1 CE), pues al incumplir su obligación constitucional de velar por que los actos </w:t>
      </w:r>
      <w:r>
        <w:lastRenderedPageBreak/>
        <w:t>de comunicación procesal alcancen eficazmente su fin, aquellos se vieron privados de la posibilidad de defender sus pretensiones en el procedimiento de ejecución hipotecaria seguido en su contra, lo que les deparó una indefensión real y efectiva.</w:t>
      </w:r>
    </w:p>
    <w:p w:rsidR="005728DD" w:rsidRDefault="005728DD" w:rsidP="005728DD">
      <w:pPr>
        <w:pStyle w:val="TextoNormal"/>
      </w:pPr>
    </w:p>
    <w:p w:rsidR="005728DD" w:rsidRDefault="005728DD" w:rsidP="005728DD">
      <w:pPr>
        <w:pStyle w:val="TextoNormal"/>
      </w:pPr>
      <w:r>
        <w:t>La vulneración del derecho fundamental garantizado por el art. 24.1 CE se colige también sin dificultad de la respuesta ofrecida en el auto resolutorio del incidente de nulidad promovido por los recurrentes, que alegaron en apoyo de su pretensión anulatoria la citada doctrina constitucional. Doctrina que el órgano judicial desatendió, al reputar correcto el emplazamiento edictal, por el previo intento fallido de citación personal en el que constaba como domicilio en la escritura de préstamo hipotecario y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4</w:t>
      </w:r>
      <w:r>
        <w:t>. Por todo lo expuesto, debe reconocerse la vulneración del derecho a la tutela judicial efectiva sin indefensión (art. 24.1 CE) de los demandantes de amparo y estimar por tanto el presente recurso. Procede en consecuencia, de conformidad con lo establecido en el art. 55 LOTC, declarar la nulidad del auto de 26 de febrero de 2020 y de todas las actuaciones posteriores al emplazamiento, así como la retroacción de las actuaciones para que se proceda por el juzgado a la notificación de la demanda de ejecución hipotecaria y del requerimiento de pago a los recurrentes en términos respetuosos con su derecho fundamental vulnerado.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Domingo Antonio Yumar Afonso y doña María del Pilar Martín Goya y, en su virtud:</w:t>
      </w:r>
    </w:p>
    <w:p w:rsidR="005728DD" w:rsidRDefault="005728DD" w:rsidP="005728DD">
      <w:pPr>
        <w:pStyle w:val="TextoNormal"/>
      </w:pPr>
    </w:p>
    <w:p w:rsidR="005728DD" w:rsidRDefault="005728DD" w:rsidP="005728DD">
      <w:pPr>
        <w:pStyle w:val="TextoNormal"/>
      </w:pPr>
      <w:r>
        <w:t>1º Declarar que ha sido vulnerado su derecho a la tutela judicial efectiva sin indefensión (art. 24.1 CE).</w:t>
      </w:r>
    </w:p>
    <w:p w:rsidR="005728DD" w:rsidRDefault="005728DD" w:rsidP="005728DD">
      <w:pPr>
        <w:pStyle w:val="TextoNormal"/>
      </w:pPr>
    </w:p>
    <w:p w:rsidR="005728DD" w:rsidRDefault="005728DD" w:rsidP="005728DD">
      <w:pPr>
        <w:pStyle w:val="TextoNormal"/>
      </w:pPr>
      <w:r>
        <w:t>2º Restablecerles en su derecho y, a tal fin, declarar la nulidad del auto del Juzgado de Primera Instancia núm. 2 de San Cristóbal de La Laguna de 26 de febrero de 2020, dictado en procedimiento ejecución hipotecaria núm. 363-2012, así como de todo lo actuado a partir del requerimiento de pago, inclusive.</w:t>
      </w:r>
    </w:p>
    <w:p w:rsidR="005728DD" w:rsidRDefault="005728DD" w:rsidP="005728DD">
      <w:pPr>
        <w:pStyle w:val="TextoNormal"/>
      </w:pPr>
    </w:p>
    <w:p w:rsidR="005728DD" w:rsidRDefault="005728DD" w:rsidP="005728DD">
      <w:pPr>
        <w:pStyle w:val="TextoNormal"/>
      </w:pPr>
      <w:r>
        <w:t>3º Retrotraer las actuaciones al momento inmediatamente anterior a dicha actuación para que, llevándose a cabo la notificación de forma que resulte respetuosa con el derecho fundamental reconocido, se dé a los recurrentes la posibilidad de comparecer en el procedimiento y actuar en defensa de sus intereses.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treinta y uno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2" w:name="SENTENCIA_2021_119"/>
      <w:r>
        <w:lastRenderedPageBreak/>
        <w:t>SENTENCIA 119/2021, de 31 de mayo de 2021</w:t>
      </w:r>
    </w:p>
    <w:bookmarkEnd w:id="122"/>
    <w:p w:rsidR="005728DD" w:rsidRDefault="005728DD" w:rsidP="005728DD">
      <w:pPr>
        <w:pStyle w:val="TtuloResolucin"/>
      </w:pPr>
      <w:r>
        <w:t>Sala Primera</w:t>
      </w:r>
    </w:p>
    <w:p w:rsidR="005728DD" w:rsidRDefault="005728DD" w:rsidP="005728DD">
      <w:pPr>
        <w:pStyle w:val="TtuloBOE"/>
      </w:pPr>
      <w:r>
        <w:t>(BOE núm. 161, de 7 de julio de 2021)</w:t>
      </w:r>
    </w:p>
    <w:p w:rsidR="005728DD" w:rsidRDefault="005728DD" w:rsidP="005728DD">
      <w:pPr>
        <w:pStyle w:val="TextoNormalCentrado"/>
      </w:pPr>
      <w:r>
        <w:t>ECLI:ES:TC:2021:119</w:t>
      </w:r>
    </w:p>
    <w:p w:rsidR="005728DD" w:rsidRDefault="005728DD" w:rsidP="005728DD">
      <w:pPr>
        <w:pStyle w:val="TextoNormalCentrado"/>
      </w:pPr>
    </w:p>
    <w:p w:rsidR="005728DD" w:rsidRDefault="005728DD" w:rsidP="005728DD">
      <w:pPr>
        <w:pStyle w:val="SntesisDescriptiva"/>
      </w:pPr>
      <w:r>
        <w:t>Recurso de amparo 3199-2020. Promovido por doña Iris Martín Varela en relación con la sentencia dictada por un juzgado de lo social de Lugo en proceso de conciliación de la vida laboral y familiar.</w:t>
      </w:r>
    </w:p>
    <w:p w:rsidR="005728DD" w:rsidRDefault="005728DD" w:rsidP="005728DD">
      <w:pPr>
        <w:pStyle w:val="SntesisDescriptiva"/>
      </w:pPr>
    </w:p>
    <w:p w:rsidR="005728DD" w:rsidRDefault="005728DD" w:rsidP="005728DD">
      <w:pPr>
        <w:pStyle w:val="SntesisAnaltica"/>
      </w:pPr>
      <w:r>
        <w:t>Vulneración del derecho a no padecer discriminación por razón de sexo: resolución judicial que no pondera las circunstancias personales de quien impugna una modificación de jornada de trabajo que incide sobre el disfrute de la reducción que tiene reconocida por cuidado de hijos.</w:t>
      </w:r>
    </w:p>
    <w:p w:rsidR="005728DD" w:rsidRDefault="005728DD" w:rsidP="005728DD">
      <w:pPr>
        <w:pStyle w:val="SntesisAnaltica"/>
      </w:pPr>
    </w:p>
    <w:p w:rsidR="005728DD" w:rsidRDefault="005728DD" w:rsidP="005728DD">
      <w:pPr>
        <w:pStyle w:val="Extracto"/>
      </w:pPr>
      <w:r>
        <w:t>1.</w:t>
      </w:r>
      <w:r>
        <w:tab/>
        <w:t>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206/1999 o 116/2001) [FJ 2].</w:t>
      </w:r>
    </w:p>
    <w:p w:rsidR="005728DD" w:rsidRDefault="005728DD" w:rsidP="005728DD">
      <w:pPr>
        <w:pStyle w:val="Extracto"/>
      </w:pPr>
    </w:p>
    <w:p w:rsidR="005728DD" w:rsidRDefault="005728DD" w:rsidP="005728DD">
      <w:pPr>
        <w:pStyle w:val="Extracto"/>
      </w:pPr>
      <w:r>
        <w:t>2.</w:t>
      </w:r>
      <w:r>
        <w:tab/>
        <w:t>Los derechos y garantías previstos en el artículo 24 CE no garantizan la corrección jurídica de la actuación o interpretación llevada a cabo por los órganos judiciales comunes, pues no existe un derecho al acierto (SSTC 151/2001 y 162/2001), y tampoco aseguran la satisfacción de la pretensión de ninguna de las partes del proceso (SSTC 107/1994 y 139/2000).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[FJ 2].</w:t>
      </w:r>
    </w:p>
    <w:p w:rsidR="005728DD" w:rsidRDefault="005728DD" w:rsidP="005728DD">
      <w:pPr>
        <w:pStyle w:val="Extracto"/>
      </w:pPr>
    </w:p>
    <w:p w:rsidR="005728DD" w:rsidRDefault="005728DD" w:rsidP="005728DD">
      <w:pPr>
        <w:pStyle w:val="Extracto"/>
      </w:pPr>
      <w:r>
        <w:t>3.</w:t>
      </w:r>
      <w:r>
        <w:tab/>
        <w:t>El art. 24 CE impone a los órganos judiciales no solo la obligación de ofrecer una respuesta motivada a las pretensiones deducidas, sino que, además, esta ha de tener contenido jurídico y no resultar arbitraria (STC 8/2005) [FJ 2].</w:t>
      </w:r>
    </w:p>
    <w:p w:rsidR="005728DD" w:rsidRDefault="005728DD" w:rsidP="005728DD">
      <w:pPr>
        <w:pStyle w:val="Extracto"/>
      </w:pPr>
    </w:p>
    <w:p w:rsidR="005728DD" w:rsidRDefault="005728DD" w:rsidP="005728DD">
      <w:pPr>
        <w:pStyle w:val="Extracto"/>
      </w:pPr>
      <w:r>
        <w:t>4.</w:t>
      </w:r>
      <w:r>
        <w:tab/>
        <w:t xml:space="preserve">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w:t>
      </w:r>
      <w:r w:rsidRPr="005728DD">
        <w:rPr>
          <w:i/>
        </w:rPr>
        <w:t>ex</w:t>
      </w:r>
      <w:r>
        <w:t xml:space="preserve"> art. 10.1 CE  (SSTC 214/2006, 324/2006, 3/2007 y 66/2014) [FJ 3].</w:t>
      </w:r>
    </w:p>
    <w:p w:rsidR="005728DD" w:rsidRDefault="005728DD" w:rsidP="005728DD">
      <w:pPr>
        <w:pStyle w:val="Extracto"/>
      </w:pPr>
    </w:p>
    <w:p w:rsidR="005728DD" w:rsidRDefault="005728DD" w:rsidP="005728DD">
      <w:pPr>
        <w:pStyle w:val="Extracto"/>
      </w:pPr>
      <w:r>
        <w:t>5.</w:t>
      </w:r>
      <w:r>
        <w:tab/>
        <w:t>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 (SSTC 214/2006, 324/2006, 3/2007 y 66/2014) [FJ 3].</w:t>
      </w:r>
    </w:p>
    <w:p w:rsidR="005728DD" w:rsidRDefault="005728DD" w:rsidP="005728DD">
      <w:pPr>
        <w:pStyle w:val="Extracto"/>
      </w:pPr>
    </w:p>
    <w:p w:rsidR="005728DD" w:rsidRDefault="005728DD" w:rsidP="005728DD">
      <w:pPr>
        <w:pStyle w:val="Extracto"/>
      </w:pPr>
      <w:r>
        <w:t>6.</w:t>
      </w:r>
      <w:r>
        <w:tab/>
        <w:t>La discriminación por razón de sexo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(SSTC 17/2003, 3/2007, 2/2017 y 79/2020) [FJ 3].</w:t>
      </w:r>
    </w:p>
    <w:p w:rsidR="005728DD" w:rsidRDefault="005728DD" w:rsidP="005728DD">
      <w:pPr>
        <w:pStyle w:val="Extracto"/>
      </w:pPr>
    </w:p>
    <w:p w:rsidR="005728DD" w:rsidRDefault="005728DD" w:rsidP="005728DD">
      <w:pPr>
        <w:pStyle w:val="Extracto"/>
      </w:pPr>
      <w:r>
        <w:t>7.</w:t>
      </w:r>
      <w:r>
        <w:tab/>
        <w:t>La protección constitucional vinculada a factores diferenciales que inciden en las mujeres se extiende también al ejercicio por la trabajadora de los ‘derechos asociados a la maternidad’; derechos que, aunque son reconocidos por el ordenamiento jurídico indistintamente al hombre y a la mujer con el objeto de estimular cambios en la cultura familiar y promover el reparto de responsabilidades, sirven principalmente para compensar las dificultades y desventajas que agravan la posición de la mujer trabajadora. Son derechos que inciden de modo singular en las mujeres, al ser las que principalmente asumen el cuidado de los hijos de corta edad y sufren, por ello, mayores dificultades para su inserción laboral y su mantenimiento en el mercado de trabajo (SSTC 233/2007, 162/2016, 2/2017 y 108/2019) [FJ 3].</w:t>
      </w:r>
    </w:p>
    <w:p w:rsidR="005728DD" w:rsidRDefault="005728DD" w:rsidP="005728DD">
      <w:pPr>
        <w:pStyle w:val="Extracto"/>
      </w:pPr>
    </w:p>
    <w:p w:rsidR="005728DD" w:rsidRDefault="005728DD" w:rsidP="005728DD">
      <w:pPr>
        <w:pStyle w:val="Extracto"/>
      </w:pPr>
      <w:r>
        <w:t>8.</w:t>
      </w:r>
      <w:r>
        <w:tab/>
        <w:t>La discriminación por razón de sexo que conlleva la vulneración del art. 14 CE viene determinada por el menoscabo, de carácter discriminatorio, ocasionado en el patrimonio jurídico de la mujer trabajadora. Entre esos derechos asociados a la maternidad -que responden a la idea de compensar las desventajas reales que para la conservación de su empleo y para la conciliación de su vida laboral y familiar soporta la mujer trabajadora- se encuentran, precisamente, el derecho a la excedencia laboral por cuidado de hijos (art. 46.3 LET) y el derecho a la reducción de jornada por razones de guarda legal (art. 37.6 LET) [FJ 3].</w:t>
      </w:r>
    </w:p>
    <w:p w:rsidR="005728DD" w:rsidRDefault="005728DD" w:rsidP="005728DD">
      <w:pPr>
        <w:pStyle w:val="Extracto"/>
      </w:pPr>
    </w:p>
    <w:p w:rsidR="005728DD" w:rsidRDefault="005728DD" w:rsidP="005728DD">
      <w:pPr>
        <w:pStyle w:val="Extracto"/>
      </w:pPr>
      <w:r>
        <w:t>9.</w:t>
      </w:r>
      <w:r>
        <w:tab/>
        <w:t>La específica prohibición de discriminación por razón de sexo no solo comprende la “discriminación directa” sino también la “discriminación indirecta”, cuyo concepto legal aparece recogido en el art. 6.2 de la Ley Orgánica 3/2007, de 22 de marzo, para la igualdad efectiva de mujeres y hombres. Este tribunal entiende por “discriminación indirecta”, aquel tratamiento formalmente neutro o no discriminatorio del que se deriva, por las diversas condiciones fácticas que se dan entre trabajadores de uno y otro sexo, un impacto adverso sobre los miembros de un determinado sexo [SSTC 145/1991, 91/2019 o 70/2020) [FJ 3].</w:t>
      </w:r>
    </w:p>
    <w:p w:rsidR="005728DD" w:rsidRDefault="005728DD" w:rsidP="005728DD">
      <w:pPr>
        <w:pStyle w:val="Extracto"/>
      </w:pPr>
    </w:p>
    <w:p w:rsidR="005728DD" w:rsidRDefault="005728DD" w:rsidP="005728DD">
      <w:pPr>
        <w:pStyle w:val="Extracto"/>
      </w:pPr>
      <w:r>
        <w:t>10.</w:t>
      </w:r>
      <w:r>
        <w:tab/>
        <w:t>La vulneración de los derechos fundamentales puede darse aunque no exista intención lesiva; lo relevante es que el contenido esencial haya resultado o no menoscabado; en el ámbito de la discriminación por razón de sexo (art. 14 CE), supone que bastará con que quede probado que el factor protegido estuvo en la base del perjuicio o minusvaloración laboral sufrido por la mujer trabajadora. Puede declararse la lesión del derecho fundamental aunque no haya ánimo lesivo, en este caso discriminatorio, al bastar la objetividad del perjuicio (SSTC 2/2017 y 108/2019) [FJ 3].</w:t>
      </w:r>
    </w:p>
    <w:p w:rsidR="005728DD" w:rsidRDefault="005728DD" w:rsidP="005728DD">
      <w:pPr>
        <w:pStyle w:val="Extracto"/>
      </w:pPr>
    </w:p>
    <w:p w:rsidR="005728DD" w:rsidRDefault="005728DD" w:rsidP="005728DD">
      <w:pPr>
        <w:pStyle w:val="Extracto"/>
      </w:pPr>
      <w:r>
        <w:t>11.</w:t>
      </w:r>
      <w:r>
        <w:tab/>
        <w:t xml:space="preserve">La dimensión constitucional de las medidas normativas tendentes a facilitar la compatibilidad de la vida laboral y familiar de los trabajadores, tanto desde la </w:t>
      </w:r>
      <w:r>
        <w:lastRenderedPageBreak/>
        <w:t>perspectiva del derecho a la no discriminación por razón de sexo o por razón de las circunstancias personales (art. 14 CE) como desde la del mandato de protección a la familia y a la infancia (art. 39 CE), ha de prevalecer y servir de orientación para la solución de cualquier duda interpretativa, habida cuenta de que el efectivo logro de la conciliación laboral y familiar constituye una finalidad de relevancia constitucional fomentada en nuestro ordenamiento a partir de la Ley 39/1999 y de la Ley Orgánica 3/2007, para la igualdad efectiva de mujeres y hombres (SSTC 3/2007 y 26/2011) [FJ 3].</w:t>
      </w:r>
    </w:p>
    <w:p w:rsidR="005728DD" w:rsidRDefault="005728DD" w:rsidP="005728DD">
      <w:pPr>
        <w:pStyle w:val="Extracto"/>
      </w:pPr>
    </w:p>
    <w:p w:rsidR="005728DD" w:rsidRDefault="005728DD" w:rsidP="005728DD">
      <w:pPr>
        <w:pStyle w:val="Extracto"/>
      </w:pPr>
      <w:r>
        <w:t>12.</w:t>
      </w:r>
      <w:r>
        <w:tab/>
        <w:t>La decisión del órgano judicial de desestimar la pretensión, sin analizar hasta qué punto resulta necesaria para conciliar su vida familiar y laboral, supone que no ha sido debidamente tutelado por los órganos judiciales el derecho fundamental a la no discriminación por razón de sexo (art. 14 CE). La negativa del órgano judicial se convierte, así, en un obstáculo injustificado para la permanencia en el empleo de la trabajadora y para la compatibilidad de su vida profesional con su vida familiar y, en tal sentido, constituye una discriminación indirecta por razón de sexo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El recurso de amparo núm. 3199-2020, ha sido promovido por doña Iris Martín Varela, representada por el procurador de los tribunales don Avelino Calviño Gómez y asistida por el abogado don Pedro Blanco Lobeiras contra la sentencia del Juzgado de lo Social núm. 2 de Lugo de 10 de enero de 2020, que desestimó la demanda de la recurrente en el proceso de conciliación de la vida laboral y familiar núm. 706-2019, y frente al auto de 4 de junio de 2020 dictado por el mismo órgano judicial en el que se desestimó el incidente de nulidad de actuaciones formulado contra la anterior resolución. Ha comparecido la mercantil Insuiña, S.L., representada por la procuradora de los tribunales doña María Teresa Gamazo Trueba, bajo la dirección letrada de don Roberto Vázquez Cid. Ha intervenido el Ministerio Fiscal. Ha sido ponente el magistrado don Alfredo Montoya Melgar.</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presentado en el registro general de este tribunal el día 15 de julio de 2020, el procurador de los tribunales don Avelino Calviño Gómez, actuando en nombre y representación de doña Iris Martín Varela, asistida por el letrado don Pedro Blanco Lobeiras, interpuso recurso de amparo contra las dos resoluciones citadas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de los que trae causa la presente demanda de amparo, relevantes para la resolución del recurso, son los siguientes:</w:t>
      </w:r>
    </w:p>
    <w:p w:rsidR="005728DD" w:rsidRDefault="005728DD" w:rsidP="005728DD">
      <w:pPr>
        <w:pStyle w:val="TextoNormal"/>
      </w:pPr>
    </w:p>
    <w:p w:rsidR="005728DD" w:rsidRDefault="005728DD" w:rsidP="005728DD">
      <w:pPr>
        <w:pStyle w:val="TextoNormal"/>
      </w:pPr>
      <w:r>
        <w:t>a) La demandante de amparo solicitó por medio de escrito fechado el 9 de agosto de 2018 la reducción de jornada diaria en dos horas por cuidado de su hija menor de doce años. La empresa accedió a la solicitud formulada por medio de escrito fechado el 31 de agosto de 2018. En ese escrito le comunicó que prestaría sus servicios en horario de 8:30 a 14:30 horas, siendo efectiva la reducción de jornada a partir del 11 de septiembre de 2018.</w:t>
      </w:r>
    </w:p>
    <w:p w:rsidR="005728DD" w:rsidRDefault="005728DD" w:rsidP="005728DD">
      <w:pPr>
        <w:pStyle w:val="TextoNormal"/>
      </w:pPr>
    </w:p>
    <w:p w:rsidR="005728DD" w:rsidRDefault="005728DD" w:rsidP="005728DD">
      <w:pPr>
        <w:pStyle w:val="TextoNormal"/>
      </w:pPr>
      <w:r>
        <w:t>b) Con posterioridad a la concesión de la solicitud de reducción de jornada que se hizo efectiva en la fecha señalada, la recurrente presentó escrito el 26 de septiembre de 2018 en el que solicitaba ser excluida de la realización de guardias los fines de semana y festivos, accediendo la empresa a la solicitud formulada. La recurrente no realizó guardias de fin de semana desde octubre de 2018.</w:t>
      </w:r>
    </w:p>
    <w:p w:rsidR="005728DD" w:rsidRDefault="005728DD" w:rsidP="005728DD">
      <w:pPr>
        <w:pStyle w:val="TextoNormal"/>
      </w:pPr>
    </w:p>
    <w:p w:rsidR="005728DD" w:rsidRDefault="005728DD" w:rsidP="005728DD">
      <w:pPr>
        <w:pStyle w:val="TextoNormal"/>
      </w:pPr>
      <w:r>
        <w:t>c) El 30 de agosto de 2019 la empresa Insuiña, S.L., remitió a la trabajadora comunicación en la cual se le hacía saber que procedía a distribuir irregularmente su jornada prestando servicios una hora y treinta minutos los sábados, “cuando así sea requerida por las necesidades de la producción y organización de la planta”.</w:t>
      </w:r>
    </w:p>
    <w:p w:rsidR="005728DD" w:rsidRDefault="005728DD" w:rsidP="005728DD">
      <w:pPr>
        <w:pStyle w:val="TextoNormal"/>
      </w:pPr>
    </w:p>
    <w:p w:rsidR="005728DD" w:rsidRDefault="005728DD" w:rsidP="005728DD">
      <w:pPr>
        <w:pStyle w:val="TextoNormal"/>
      </w:pPr>
      <w:r>
        <w:t>d) La trabajadora remitió escrito a la dirección de la empresa en el que mostraba su frontal oposición y solicitaba mantener la concreción horaria reconocida en la reducción para el cuidado de menor, sin prestación de servicios ningún sábado.</w:t>
      </w:r>
    </w:p>
    <w:p w:rsidR="005728DD" w:rsidRDefault="005728DD" w:rsidP="005728DD">
      <w:pPr>
        <w:pStyle w:val="TextoNormal"/>
      </w:pPr>
    </w:p>
    <w:p w:rsidR="005728DD" w:rsidRDefault="005728DD" w:rsidP="005728DD">
      <w:pPr>
        <w:pStyle w:val="TextoNormal"/>
      </w:pPr>
      <w:r>
        <w:t>Dado que la empresa no modificó su postura, la trabajadora presentó demanda ante los juzgados de lo social de Lugo.</w:t>
      </w:r>
    </w:p>
    <w:p w:rsidR="005728DD" w:rsidRDefault="005728DD" w:rsidP="005728DD">
      <w:pPr>
        <w:pStyle w:val="TextoNormal"/>
      </w:pPr>
    </w:p>
    <w:p w:rsidR="005728DD" w:rsidRDefault="005728DD" w:rsidP="005728DD">
      <w:pPr>
        <w:pStyle w:val="TextoNormal"/>
      </w:pPr>
      <w:r>
        <w:t>e) En la demanda se alegaba la imposibilidad de atender a la modificación de horario impuesta por la empresa por la que se le exigía trabajar los sábados que la empresa le indicase con antelación, de 12:00 a 13:30 horas, compensando ese tiempo al inicio de la jornada laboral del lunes. Se consideraba que esa decisión vulneraba los arts. 14 y 39 CE. Y se pedía como medida cautelar: “el mantenimiento de la concreción horaria de la que ha venido disfrutando la actora y por ende fijando su jornada de lunes a viernes de 8:30 a 14:30 horas, sin prestación de servicios los sábados”.</w:t>
      </w:r>
    </w:p>
    <w:p w:rsidR="005728DD" w:rsidRDefault="005728DD" w:rsidP="005728DD">
      <w:pPr>
        <w:pStyle w:val="TextoNormal"/>
      </w:pPr>
    </w:p>
    <w:p w:rsidR="005728DD" w:rsidRDefault="005728DD" w:rsidP="005728DD">
      <w:pPr>
        <w:pStyle w:val="TextoNormal"/>
      </w:pPr>
      <w:r>
        <w:t>Mediante auto núm. 77/2019, de 19 de octubre, se estimó dicha medida cautelar acordando “exonerar a la actora doña Iris Martin Varela de prestar servicios a la entidad demandada los sábados”.</w:t>
      </w:r>
    </w:p>
    <w:p w:rsidR="005728DD" w:rsidRDefault="005728DD" w:rsidP="005728DD">
      <w:pPr>
        <w:pStyle w:val="TextoNormal"/>
      </w:pPr>
    </w:p>
    <w:p w:rsidR="005728DD" w:rsidRDefault="005728DD" w:rsidP="005728DD">
      <w:pPr>
        <w:pStyle w:val="TextoNormal"/>
      </w:pPr>
      <w:r>
        <w:lastRenderedPageBreak/>
        <w:t>f) La sentencia del Juzgado de lo Social núm. 2 de Lugo de 10 de enero de 2020 desestimó la demanda.</w:t>
      </w:r>
    </w:p>
    <w:p w:rsidR="005728DD" w:rsidRDefault="005728DD" w:rsidP="005728DD">
      <w:pPr>
        <w:pStyle w:val="TextoNormal"/>
      </w:pPr>
    </w:p>
    <w:p w:rsidR="005728DD" w:rsidRDefault="005728DD" w:rsidP="005728DD">
      <w:pPr>
        <w:pStyle w:val="TextoNormal"/>
      </w:pPr>
      <w:r>
        <w:t>En los fundamentos de derecho se justifica la desestimación de la demanda, argumentando que, a la vista de la declaración de hechos probados y la regulación contenida en el art. 139 de la Ley 36/2011, de 10 de octubre, reguladora de la jurisdicción social (LJS), el procedimiento carece de objeto en la medida en que no existe negativa ni falta de conformidad del empresario con la reducción de jornada solicitada por la trabajadora en el año 2018. Señala que la entidad demandada accedió a la solicitud formulada por doña Iris y le comunicó que su nuevo horario sería de 8:30 a 14:30 horas de lunes a viernes y aceptó la decisión de la trabajadora de no realizar más guardias los fines de semana. No obstante, en el año 2019, la entidad demandada se vio obligada a distribuir la jornada de doña Iris de forma irregular por razones de organización del servicio de guardia del laboratorio al que pertenecía. Por ello, el 30 de agosto de 2019 se comunicó a doña Iris que tendría que prestar los servicios una hora y media los sábados, pudiendo desarrollar su actividad en horario de 12:00 a 14:30 horas. Para respetar la reducción de jornada concedida en el año 2018, se le comunicó también a la actora que el día laborable siguiente al sábado en el que hubiera prestado servicios, el horario de entrada se retrasaría de las 8:30 horas a las 10:00 horas.</w:t>
      </w:r>
    </w:p>
    <w:p w:rsidR="005728DD" w:rsidRDefault="005728DD" w:rsidP="005728DD">
      <w:pPr>
        <w:pStyle w:val="TextoNormal"/>
      </w:pPr>
    </w:p>
    <w:p w:rsidR="005728DD" w:rsidRDefault="005728DD" w:rsidP="005728DD">
      <w:pPr>
        <w:pStyle w:val="TextoNormal"/>
      </w:pPr>
      <w:r>
        <w:t>Afirma la sentencia que la decisión adoptada por el empresario se encuentra amparada en apartado 8 del pacto de articulación de las condiciones de trabajo de los trabajadores de la planta de Xove, que faculta a la entidad demandada a organizar el trabajo de un departamento mediante la modificación del horario o la flexibilización de la jornada si en un determinado departamento no hubiese personal suficiente adscrito al servicio de guardia. Añade que, según consta en la documental que obra en las actuaciones la decisión de la empresa de distribuir la jornada laboral de la actora viene motivada por el deseo de don Martín, compañero de departamento de doña Iris, de no seguir realizando guardias los fines de semana, solicitud que fue denegada por la demandada por los problemas de organización del servicio que supondría aceptar la renuncia de don Martín. Afirma la sentencia que la demandada se ve obligada a reorganizar el servicio de guardias del laboratorio de Xove porque solo una de las trabajadoras del departamento está adscrita voluntariamente al servicio de guardias, no pudiendo existir una sola trabajadora adscrita al servicio ya que el puesto que el pacto de articulación de las condiciones de trabajo (apartado octavo) impide que un trabajador realice guardias más de dos fines de semana seguidos, salvo que los trabajadores lo acepten voluntariamente. Además esta trabajadora adscrita voluntariamente al servicio de guardias, añade la sentencia, ha solicitado por escrito que se vuelva al sistema de guardias que regía anteriormente a que se aceptase la renuncia de doña Iris, lo que supone una negativa a estar permanentemente de guardia ante la renuncia al servicio de sus dos compañeros.</w:t>
      </w:r>
    </w:p>
    <w:p w:rsidR="005728DD" w:rsidRDefault="005728DD" w:rsidP="005728DD">
      <w:pPr>
        <w:pStyle w:val="TextoNormal"/>
      </w:pPr>
    </w:p>
    <w:p w:rsidR="005728DD" w:rsidRDefault="005728DD" w:rsidP="005728DD">
      <w:pPr>
        <w:pStyle w:val="TextoNormal"/>
      </w:pPr>
      <w:r>
        <w:t>Considera la sentencia que la decisión adoptada por la empresa de modificar el horario de la actora y distribuir de forma irregular su jornada laboral debe ser tratada en un procedimiento distinto (art. 138 LJS), puesto que en el supuesto litigioso no se ha denegado a la actora la solicitud de reducción de jornada formulada en el año 2018. Concluye señalando que la actora nunca ha solicitado la concreción horaria al amparo de la normativa vigente, puesto que fue la empresa por medio de escrito de 31 de agosto la que comunicó a la actora que prestara sus servicios en horario de 8:30 a 14:30 horas de lunes a viernes, en respuesta a la solicitud de reducción de jornada formulada y sin perjuicio de la adscripción voluntaria al servicio de guardias del fin de semana.</w:t>
      </w:r>
    </w:p>
    <w:p w:rsidR="005728DD" w:rsidRDefault="005728DD" w:rsidP="005728DD">
      <w:pPr>
        <w:pStyle w:val="TextoNormal"/>
      </w:pPr>
    </w:p>
    <w:p w:rsidR="005728DD" w:rsidRDefault="005728DD" w:rsidP="005728DD">
      <w:pPr>
        <w:pStyle w:val="TextoNormal"/>
      </w:pPr>
      <w:r>
        <w:t>g) Frente a esta sentencia, la demandante formuló incidente de nulidad de actuaciones, por considerar que la misma vulneraba su derecho a la tutela judicial efectiva, así como el derecho a la igualdad, la prohibición de discriminación por razón de sexo y lo dispuesto en el art. 39 CE en cuanto a la protección de la infancia y la familia. A juicio de la recurrente, la desestimación de la demanda se fundaba esencialmente en que no se había seguido el procedimiento adecuado y por ello no se había entrado en el fondo.</w:t>
      </w:r>
    </w:p>
    <w:p w:rsidR="005728DD" w:rsidRDefault="005728DD" w:rsidP="005728DD">
      <w:pPr>
        <w:pStyle w:val="TextoNormal"/>
      </w:pPr>
    </w:p>
    <w:p w:rsidR="005728DD" w:rsidRDefault="005728DD" w:rsidP="005728DD">
      <w:pPr>
        <w:pStyle w:val="TextoNormal"/>
      </w:pPr>
      <w:r>
        <w:t>El incidente de nulidad fue desestimado por auto de 4 de junio de 2020. Señala este auto que “de la lectura del fundamento de derecho tercero de la sentencia se evidencia que la afirmación efectuada por la actora no es correcta, ello es así porque si se hubiese inadmitido la demanda de plano por inadecuación del procedimiento no se entraría a valorar la prueba y a afirmar que la modificación realizada por la entidad demandada en el horario de la actora se encuentra justificada por razones organizativas y amparada también en el apartado 8 del pacto de articulación de las condiciones de trabajo de los trabajadores de la planta de Xove”. Considera el auto que a pesar de entender que el procedimiento carecía de objeto, en la sentencia recurrida se procedió a entrar a resolver sobre el fondo del asunto y así, tras la valoración de la prueba se entiende que la distribución irregular de la jornada acordada por la empresa se encuentra justificada por razones organizativas relativas al servicio de guardia y además amparada en el pacto de condiciones de trabajo de los trabajadores de la planta de Xove. Por otro lado, entiende que la resolución cuya nulidad se pretende no contiene una discriminación por razón de sexo, ni ha obviado el mandado constitucional de protección a la familia porque, como se indica en la resolución, no se trata de un supuesto de los previstos en el art. 139 LJS puesto que no ha habido negativa o falta de conformidad con el empresario respecto a la solicitud de reducción de jornada de la trabajadora; se trata de un supuesto de modificación sustancial de condiciones laborales por lo que los términos del debate no son los que pretende la actora, sino que lo que hay que examinar es si la modificación operada se ajusta a lo previsto en el art. 41 de la Ley del estatuto de los trabajadores (LET), análisis que ha realizado la sentencia de 10 de enero de 2020.</w:t>
      </w:r>
    </w:p>
    <w:p w:rsidR="005728DD" w:rsidRDefault="005728DD" w:rsidP="005728DD">
      <w:pPr>
        <w:pStyle w:val="TextoNormal"/>
      </w:pPr>
    </w:p>
    <w:p w:rsidR="005728DD" w:rsidRDefault="005728DD" w:rsidP="005728DD">
      <w:pPr>
        <w:pStyle w:val="TextoNormal"/>
      </w:pPr>
      <w:r w:rsidRPr="005728DD">
        <w:rPr>
          <w:rStyle w:val="NumeroAFNegritaCaracter"/>
        </w:rPr>
        <w:t>3</w:t>
      </w:r>
      <w:r>
        <w:t>. El 15 de julio de 2020 se registró en este tribunal la demanda de amparo interpuesta por la representación de la demandante contra la sentencia del Juzgado de lo Social núm. 2 de Lugo, en procedimiento núm. 706-2019, y frente al auto de 4 de junio de 2020 dictado por el mismo órgano judicial.</w:t>
      </w:r>
    </w:p>
    <w:p w:rsidR="005728DD" w:rsidRDefault="005728DD" w:rsidP="005728DD">
      <w:pPr>
        <w:pStyle w:val="TextoNormal"/>
      </w:pPr>
    </w:p>
    <w:p w:rsidR="005728DD" w:rsidRDefault="005728DD" w:rsidP="005728DD">
      <w:pPr>
        <w:pStyle w:val="TextoNormal"/>
      </w:pPr>
      <w:r>
        <w:t>En la demanda se alega, en primer lugar, vulneración del derecho a la igualdad y discriminación por razón de sexo (art. 14 CE). Tras referirse a la normativa nacional y europea que pretende garantizar la igualdad de trato entre mujeres y hombres, y proscribir la discriminación por razón de sexo, indica que la sentencia impugnada se ampara en un “acuerdo de empresa” (es decir, no en un convenio colectivo), para avalar una solución basada en una interpretación restrictiva del derecho de la trabajadora, que supondría una discriminación indirecta por ser las mujeres el colectivo que ejercita en mayor medida el derecho de reducción de jornada por motivos de conciliación.</w:t>
      </w:r>
    </w:p>
    <w:p w:rsidR="005728DD" w:rsidRDefault="005728DD" w:rsidP="005728DD">
      <w:pPr>
        <w:pStyle w:val="TextoNormal"/>
      </w:pPr>
    </w:p>
    <w:p w:rsidR="005728DD" w:rsidRDefault="005728DD" w:rsidP="005728DD">
      <w:pPr>
        <w:pStyle w:val="TextoNormal"/>
      </w:pPr>
      <w:r>
        <w:t xml:space="preserve">Señala la recurrente que la sentencia impugnada resuelve sin tener en cuenta la perspectiva constitucional, esto es, el derecho a la igualdad y no discriminación por razón de sexo y el mandato constitucional de protección a la familia. Invoca después la STC 3/2007, que indicó que las resoluciones judiciales no pueden quedarse, en casos como este, en el plano </w:t>
      </w:r>
      <w:r>
        <w:lastRenderedPageBreak/>
        <w:t>de la legalidad ordinaria, y que, por el contrario, deben ponderar todas las circunstancias concurrentes, concretamente, la importancia que para la efectividad del derecho a la no discriminación por razón de sexo de la trabajadora tiene el ejercicio del derecho de reducción de jornada por motivos familiares. Tal ponderación no se habría realizado en el caso de autos, al limitarse a justificar y amparar la decisión empresarial (que la actora con reducción de jornada preste servicios los sábados) en la insuficiencia de personal. No se analizó, en suma, en qué medida la necesidad de no trabajar los sábados resultaba necesaria para la atención de los fines con relevancia constitucional, ni cuáles son las dificultades organizativas que su reconocimiento pudiera causar a la empresa. Tal interpretación se convierte, a su juicio, en un obstáculo injustificado para la permanencia en el empleo de la trabajadora y para la compatibilidad de su vida profesional y personal, basada en una presunta necesidad organizativa empresarial.</w:t>
      </w:r>
    </w:p>
    <w:p w:rsidR="005728DD" w:rsidRDefault="005728DD" w:rsidP="005728DD">
      <w:pPr>
        <w:pStyle w:val="TextoNormal"/>
      </w:pPr>
    </w:p>
    <w:p w:rsidR="005728DD" w:rsidRDefault="005728DD" w:rsidP="005728DD">
      <w:pPr>
        <w:pStyle w:val="TextoNormal"/>
      </w:pPr>
      <w:r>
        <w:t>Se queja la recurrente, asimismo, de que, con ello, el juzgador haya equiparado la mera voluntad de un trabajador de no seguir trabajando los sábados, con la necesidad de conciliación de una madre trabajadora, derecho este último que fue ignorado, cuando debía primar la dimensión constitucional de la controversia planteada. En otras palabras, el órgano judicial no habría tutelado debidamente el derecho de la trabajadora, imponiéndole un obstáculo para compatibilizar su vida profesional y laboral, lo que entiende que constituiría una discriminación indirecta por razón de sexo.</w:t>
      </w:r>
    </w:p>
    <w:p w:rsidR="005728DD" w:rsidRDefault="005728DD" w:rsidP="005728DD">
      <w:pPr>
        <w:pStyle w:val="TextoNormal"/>
      </w:pPr>
    </w:p>
    <w:p w:rsidR="005728DD" w:rsidRDefault="005728DD" w:rsidP="005728DD">
      <w:pPr>
        <w:pStyle w:val="TextoNormal"/>
      </w:pPr>
      <w:r>
        <w:t>En segundo lugar, alega vulneración del derecho a la tutela judicial efectiva, entendiendo que la apreciación en el caso de autos de la inadecuación de procedimiento infringe el art. 24.1 CE y el art. 102.2 LJS. A este respecto aduce la parte recurrente, como así lo hiciera en el incidente de nulidad de actuaciones, que si el juzgador consideraba que el procedimiento adecuado en el caso de autos era el de modificación sustancial de las condiciones de trabajo del art. 138 LJS y no el de conciliación de la vida laboral y personal, debió así acordarlo conforme a lo señalado en el citado art. 102 LJS, incluso sin audiencia de parte, máxime cuando para ello no existe obstáculo alguno (ambos preceptos, arts. 138 y 139 se ubican en el mismo capítulo como modalidades procesales que tienen especialidades respecto al proceso ordinario; tienen una tramitación idéntica, pues en ninguno existe conciliación previa, y son de instancia única). Se recuerda, además, que la prohibición de sobreseimiento del proceso o la absolución en la instancia por inadecuación de la modalidad procesal elegida viene incluso explicitada en la exposición de motivos de la ley. Tal infracción, continúa diciendo, le ha causado indefensión y ahonda en la flagrante violación del derecho a la no discriminación por razón de sexo de la que ha sido objeto, al no haber ofrecido una respuesta motivada, ponderada y razonada a su pretensión.</w:t>
      </w:r>
    </w:p>
    <w:p w:rsidR="005728DD" w:rsidRDefault="005728DD" w:rsidP="005728DD">
      <w:pPr>
        <w:pStyle w:val="TextoNormal"/>
      </w:pPr>
    </w:p>
    <w:p w:rsidR="005728DD" w:rsidRDefault="005728DD" w:rsidP="005728DD">
      <w:pPr>
        <w:pStyle w:val="TextoNormal"/>
      </w:pPr>
      <w:r>
        <w:t>A la vista de todo ello solicita que se estime el recurso, y que este tribunal dé respuesta directa a su pretensión, acogiendo su demanda, pues cuenta con todos los elementos precisos para decidir sobre el fondo (vulneración del art. 14 CE). Con carácter subsidiario, si lo considerase imprescindible, interesa que se ordene la retroacción y que sea el juzgado el que vuelva a dictar sentencia.</w:t>
      </w:r>
    </w:p>
    <w:p w:rsidR="005728DD" w:rsidRDefault="005728DD" w:rsidP="005728DD">
      <w:pPr>
        <w:pStyle w:val="TextoNormal"/>
      </w:pPr>
    </w:p>
    <w:p w:rsidR="005728DD" w:rsidRDefault="005728DD" w:rsidP="005728DD">
      <w:pPr>
        <w:pStyle w:val="TextoNormal"/>
      </w:pPr>
      <w:r>
        <w:t>Por otrosí, solicita la inmediata suspensión de los efectos de la sentencia con la finalidad de que esta decisión no suponga un obstáculo injustificado para la permanencia en el empleo.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4</w:t>
      </w:r>
      <w:r>
        <w:t>. Por providencia de 14 de diciembre de 2020, la Sección Primera acordó la admisión a trámite de la demanda de amparo, al apreciar que concurría en la misma una especial trascendencia constitucional [art. 50.1 de la Ley Orgánica del Tribunal Constitucional (LOTC)] porque el recurso planteaba un problema o afectaba a una faceta de un derecho fundamental sobre el que no hay doctrina del tribunal [STC 155/2009, FJ 2 a)].</w:t>
      </w:r>
    </w:p>
    <w:p w:rsidR="005728DD" w:rsidRDefault="005728DD" w:rsidP="005728DD">
      <w:pPr>
        <w:pStyle w:val="TextoNormal"/>
      </w:pPr>
    </w:p>
    <w:p w:rsidR="005728DD" w:rsidRDefault="005728DD" w:rsidP="005728DD">
      <w:pPr>
        <w:pStyle w:val="TextoNormal"/>
      </w:pPr>
      <w:r>
        <w:t>En aplicación de lo previsto en el art. 51 LOTC, se acordó dirigir atenta comunicación al Juzgado de lo Social núm. 2 de Lugo, para que en el plazo de diez días remitiese certificación o fotocopia adverada de las actuaciones correspondientes a los autos núm. 706-2019; debiendo previamente emplazarse, para que en el plazo de diez días pudieran comparecer, si así lo deseaban,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t>Por último, de conformidad con la solicitud de la parte actora, se acordó formar la correspondiente pieza separada de suspensión, que fue denegada por ATC 14/2021, de 15 de febrero.</w:t>
      </w:r>
    </w:p>
    <w:p w:rsidR="005728DD" w:rsidRDefault="005728DD" w:rsidP="005728DD">
      <w:pPr>
        <w:pStyle w:val="TextoNormal"/>
      </w:pPr>
    </w:p>
    <w:p w:rsidR="005728DD" w:rsidRDefault="005728DD" w:rsidP="005728DD">
      <w:pPr>
        <w:pStyle w:val="TextoNormal"/>
      </w:pPr>
      <w:r w:rsidRPr="005728DD">
        <w:rPr>
          <w:rStyle w:val="NumeroAFNegritaCaracter"/>
        </w:rPr>
        <w:t>5</w:t>
      </w:r>
      <w:r>
        <w:t>. Por escrito registrado el 13 de enero de 2021 la procuradora de los tribunales doña María Teresa Gamazo Trueba, bajo la dirección letrada de don Roberto Vázquez Cid, en nombre y representación de la mercantil Insuiña, S.L., solicita se la tenga por personada en el presente procedimiento.</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la Sala Primera del Tribunal Constitucional de 28 de enero de 2021, se tienen por recibidos los testimonios de las actuaciones remitidos por el Juzgado de lo Social núm. 2 de Lugo y escrito de la procuradora doña Teresa Gamazo Trueba, a quien se tiene por personada y parte en nombre y representación de Insuiña, S.L., con quien se entenderán la presente y sucesivas diligencias.</w:t>
      </w:r>
    </w:p>
    <w:p w:rsidR="005728DD" w:rsidRDefault="005728DD" w:rsidP="005728DD">
      <w:pPr>
        <w:pStyle w:val="TextoNormal"/>
      </w:pPr>
    </w:p>
    <w:p w:rsidR="005728DD" w:rsidRDefault="005728DD" w:rsidP="005728DD">
      <w:pPr>
        <w:pStyle w:val="TextoNormal"/>
      </w:pPr>
      <w:r>
        <w:t>A tenor de lo dispuesto en el art. 52 LOTC, se da vista de todas las actuaciones del presente recurso de amparo, en la secretaría de esta Sala, por un plazo común de veinte días, al Ministerio Fiscal y a las partes personadas, para que dentro de dicho término puedan presentar las alegaciones que a su derecho convenga.</w:t>
      </w:r>
    </w:p>
    <w:p w:rsidR="005728DD" w:rsidRDefault="005728DD" w:rsidP="005728DD">
      <w:pPr>
        <w:pStyle w:val="TextoNormal"/>
      </w:pPr>
    </w:p>
    <w:p w:rsidR="005728DD" w:rsidRDefault="005728DD" w:rsidP="005728DD">
      <w:pPr>
        <w:pStyle w:val="TextoNormal"/>
      </w:pPr>
      <w:r w:rsidRPr="005728DD">
        <w:rPr>
          <w:rStyle w:val="NumeroAFNegritaCaracter"/>
        </w:rPr>
        <w:t>7</w:t>
      </w:r>
      <w:r>
        <w:t>. El 23 de febrero de 2021 presentó su escrito de alegaciones el Ministerio Fiscal interesando el otorgamiento del amparo por vulneración del art. 14 CE.</w:t>
      </w:r>
    </w:p>
    <w:p w:rsidR="005728DD" w:rsidRDefault="005728DD" w:rsidP="005728DD">
      <w:pPr>
        <w:pStyle w:val="TextoNormal"/>
      </w:pPr>
    </w:p>
    <w:p w:rsidR="005728DD" w:rsidRDefault="005728DD" w:rsidP="005728DD">
      <w:pPr>
        <w:pStyle w:val="TextoNormal"/>
      </w:pPr>
      <w:r>
        <w:t>Tras exponer los antecedentes del asunto, el Ministerio Fiscal recoge la doctrina constitucional sobre la prohibición de discriminación por razón de sexo y el derecho a la tutela judicial efectiva.</w:t>
      </w:r>
    </w:p>
    <w:p w:rsidR="005728DD" w:rsidRDefault="005728DD" w:rsidP="005728DD">
      <w:pPr>
        <w:pStyle w:val="TextoNormal"/>
      </w:pPr>
    </w:p>
    <w:p w:rsidR="005728DD" w:rsidRDefault="005728DD" w:rsidP="005728DD">
      <w:pPr>
        <w:pStyle w:val="TextoNormal"/>
      </w:pPr>
      <w:r>
        <w:t xml:space="preserve">El fiscal considera que resulta más claro comenzar su dictamen abordando en primer lugar la concreta vulneración del derecho a la tutela judicial efectiva que se plantea en la demanda de amparo. A su juicio, no existe una violación del derecho a la tutela judicial efectiva en sí misma, pues la sentencia sí que se pronuncia sobre la petición de fondo y considera ajustada a derecho la modificación del horario, con arreglo al pacto de condiciones de trabajo de los trabajadores de la planta de Xove por las razones organizativas que se expresan. Por lo tanto, afirma que procede la desestimación del recurso en cuanto a este </w:t>
      </w:r>
      <w:r>
        <w:lastRenderedPageBreak/>
        <w:t>motivo. Señala que otra cosa es que se haya producido la omisión de valorar la dimensión constitucional de la cuestión debatida, que se refiere a la modificación de la concreción horaria de la reducción de jornada previamente concedida, pues esta cuestión debe analizarse dentro del otro motivo del recurso.</w:t>
      </w:r>
    </w:p>
    <w:p w:rsidR="005728DD" w:rsidRDefault="005728DD" w:rsidP="005728DD">
      <w:pPr>
        <w:pStyle w:val="TextoNormal"/>
      </w:pPr>
    </w:p>
    <w:p w:rsidR="005728DD" w:rsidRDefault="005728DD" w:rsidP="005728DD">
      <w:pPr>
        <w:pStyle w:val="TextoNormal"/>
      </w:pPr>
      <w:r>
        <w:t>Señala el fiscal que el objeto de debate de fondo es si el cambio de horario de trabajo resulta justificado, no desde el punto de vista de la legalidad ordinaria, sino desde el punto de vista del contenido esencial del derecho a la no discriminación por razón de sexo.</w:t>
      </w:r>
    </w:p>
    <w:p w:rsidR="005728DD" w:rsidRDefault="005728DD" w:rsidP="005728DD">
      <w:pPr>
        <w:pStyle w:val="TextoNormal"/>
      </w:pPr>
    </w:p>
    <w:p w:rsidR="005728DD" w:rsidRDefault="005728DD" w:rsidP="005728DD">
      <w:pPr>
        <w:pStyle w:val="TextoNormal"/>
      </w:pPr>
      <w:r>
        <w:t>A su juicio, tiene razón la demandante en que la sentencia solamente analiza la cuestión realmente debatida desde el prisma de la legislación ordinaria, orillando la dimensión constitucional y ciñéndose solo a que la empresa puede hacerlo con arreglo al pacto de condiciones de trabajo de los trabajadores de la planta de Xove. Por otra parte, al afirmar la sentencia que la demandante nunca solicitó la concreción del horario, entiende el fiscal que no está interpretando adecuadamente el hecho de que la trabajadora tenía desde hacía un año un horario de reducción de jornada acordado con la empresa, pues por mucho que la iniciativa partiera de esta, después de un año cumpliendo el horario sin ningún tipo de objeción, parece claro que la situación debe tener el mismo trato que si la trabajadora hubiera exigido esa concreción de horario y la empresa hubiera aceptado, máxime si se tiene en cuenta que lo que se discute son la horas de trabajo de los sábados, constando expresamente que la trabajadora solicitó no hacer guardias de fin de semana, con lo que la empresa estuvo de acuerdo.</w:t>
      </w:r>
    </w:p>
    <w:p w:rsidR="005728DD" w:rsidRDefault="005728DD" w:rsidP="005728DD">
      <w:pPr>
        <w:pStyle w:val="TextoNormal"/>
      </w:pPr>
    </w:p>
    <w:p w:rsidR="005728DD" w:rsidRDefault="005728DD" w:rsidP="005728DD">
      <w:pPr>
        <w:pStyle w:val="TextoNormal"/>
      </w:pPr>
      <w:r>
        <w:t>Estima el fiscal que la justificación aportada por el empresario no es suficiente para considerar que el trato perjudicial sufrido por la trabajadora no suponga una discriminación indirecta por razón de sexo; fundamentalmente, porque las razones organizativas no pueden justificar un acto que supone una discriminación.</w:t>
      </w:r>
    </w:p>
    <w:p w:rsidR="005728DD" w:rsidRDefault="005728DD" w:rsidP="005728DD">
      <w:pPr>
        <w:pStyle w:val="TextoNormal"/>
      </w:pPr>
    </w:p>
    <w:p w:rsidR="005728DD" w:rsidRDefault="005728DD" w:rsidP="005728DD">
      <w:pPr>
        <w:pStyle w:val="TextoNormal"/>
      </w:pPr>
      <w:r>
        <w:t>Señala que la decisión de la empresa parece venir dada porque el empleado varón que prestaba servicios en el mismo departamento tampoco quiere hacer guardias y la otra trabajadora del departamento no quiere hacerlas ella sola. En esta tesitura, si bien no le concede directamente la petición al empleado, parece que trata de equiparar de algún modo la carga de trabajo de los fines de semana entre los tres trabajadores obligando a la trabajadora con reducción de jornada para el cuidado de hijos, a modificar el horario que tenía concedido desde hacía un año.</w:t>
      </w:r>
    </w:p>
    <w:p w:rsidR="005728DD" w:rsidRDefault="005728DD" w:rsidP="005728DD">
      <w:pPr>
        <w:pStyle w:val="TextoNormal"/>
      </w:pPr>
    </w:p>
    <w:p w:rsidR="005728DD" w:rsidRDefault="005728DD" w:rsidP="005728DD">
      <w:pPr>
        <w:pStyle w:val="TextoNormal"/>
      </w:pPr>
      <w:r>
        <w:t>El fiscal considera que estamos ante un supuesto de discriminación indirecta y, por tanto, ante una medida que, aunque podría considerarse formalmente neutra, en la práctica perjudica la conciliación de la vida familiar y laboral de la empleada que está ejercitando su derecho a la reducción de jornada por el cuidado de hijos. La empresa puede mantener la organización que tenía antes de exigir ese cambio de trabajo, simplemente haciendo las guardias los otros dos empleados, ninguno de los cuales es una mujer que se encuentre en situación de reducción de jornada para el cuidado de hijos.</w:t>
      </w:r>
    </w:p>
    <w:p w:rsidR="005728DD" w:rsidRDefault="005728DD" w:rsidP="005728DD">
      <w:pPr>
        <w:pStyle w:val="TextoNormal"/>
      </w:pPr>
    </w:p>
    <w:p w:rsidR="005728DD" w:rsidRDefault="005728DD" w:rsidP="005728DD">
      <w:pPr>
        <w:pStyle w:val="TextoNormal"/>
      </w:pPr>
      <w:r>
        <w:t xml:space="preserve">Pero sobre todo, afirma el fiscal, en la sentencia impugnada ni siquiera se entra a valorar si supone una discriminación indirecta el perjuicio que supone el cambio de horario para la conciliación de la vida familiar y laboral de la demandante, ni se analiza tampoco la posibilidad de realizar cualquier otra medida organizativa que permita mantener el horario de la </w:t>
      </w:r>
      <w:r>
        <w:lastRenderedPageBreak/>
        <w:t>demandante sin trabajar en fin de semana. A su entender, la ausencia de análisis de la dimensión constitucional de la demanda planteada queda más clara si cabe cuando la sentencia impugnada afirma que el proceso pertinente no era el de conciliación de la vida familiar y laboral, sino el de modificación sustancial de condiciones de trabajo. Considerando que con el hecho de haberle concedido la reducción de jornada ya no había posibilidad de discriminación, ignorando con esta afirmación las sentencias del Tribunal Constitucional en las que se ha admitido la existencia de discriminación indirecta por razón de sexo en casos en que la reducción de jornada estaba concedida y era en la ejecución de esta reducción de jornada cuando se producía la discriminación por razón de sexo (por todas, STC 79/2020, de 2 de julio).</w:t>
      </w:r>
    </w:p>
    <w:p w:rsidR="005728DD" w:rsidRDefault="005728DD" w:rsidP="005728DD">
      <w:pPr>
        <w:pStyle w:val="TextoNormal"/>
      </w:pPr>
    </w:p>
    <w:p w:rsidR="005728DD" w:rsidRDefault="005728DD" w:rsidP="005728DD">
      <w:pPr>
        <w:pStyle w:val="TextoNormal"/>
      </w:pPr>
      <w:r>
        <w:t>Concluye el fiscal que la dimensión constitucional de la medida contemplada en los apartados 5 y 6 del art. 37 LET “ha de prevalecer y servir de orientación para la solución de cualquier duda interpretativa”. Continúa el fiscal afirmando que “a ello contribuye el propio precepto legal, que no contiene ninguna precisión sobre la forma de concreción horaria de la reducción de jornada, ni establece si en su determinación deben prevalecer los criterios y las necesidades del trabajador o las exigencias organizativas de la empresa, lo que posibilita una ponderación de las circunstancias concurrentes dirigida a hacer compatibles los diferentes intereses en juego”.</w:t>
      </w:r>
    </w:p>
    <w:p w:rsidR="005728DD" w:rsidRDefault="005728DD" w:rsidP="005728DD">
      <w:pPr>
        <w:pStyle w:val="TextoNormal"/>
      </w:pPr>
    </w:p>
    <w:p w:rsidR="005728DD" w:rsidRDefault="005728DD" w:rsidP="005728DD">
      <w:pPr>
        <w:pStyle w:val="TextoNormal"/>
      </w:pPr>
      <w:r w:rsidRPr="005728DD">
        <w:rPr>
          <w:rStyle w:val="NumeroAFNegritaCaracter"/>
        </w:rPr>
        <w:t>8</w:t>
      </w:r>
      <w:r>
        <w:t>. El 1 de marzo de 2021 presentó su escrito de alegaciones la mercantil Insuiña, S.L.</w:t>
      </w:r>
    </w:p>
    <w:p w:rsidR="005728DD" w:rsidRDefault="005728DD" w:rsidP="005728DD">
      <w:pPr>
        <w:pStyle w:val="TextoNormal"/>
      </w:pPr>
    </w:p>
    <w:p w:rsidR="005728DD" w:rsidRDefault="005728DD" w:rsidP="005728DD">
      <w:pPr>
        <w:pStyle w:val="TextoNormal"/>
      </w:pPr>
      <w:r>
        <w:t>Una vez expuestos los antecedentes del asunto, afirma que la alegación de la supuesta vulneración del principio de igualdad está fuera de lugar pues, aunque es cierto que se producen modificaciones puntuales en la distribución de su jornada por razones objetivas, de carácter organizativo y necesarias para el buen funcionamiento de la empresa, en ningún momento se vulnera la reducción que le fue concedida de acuerdo con lo dispuesto en el Estatuto de los Trabajadores en el año 2018, ni tampoco su derecho a la conciliación de la vida personal, familiar y laboral. Señala que no parece razonable pensar que la prestación de servicios durante hora y media en la mañana de un sábado límite de alguna manera ese derecho, aún más cuando se le ha ofrecido la posibilidad de realizar dicha prestación en una franja horaria a partir del mediodía.</w:t>
      </w:r>
    </w:p>
    <w:p w:rsidR="005728DD" w:rsidRDefault="005728DD" w:rsidP="005728DD">
      <w:pPr>
        <w:pStyle w:val="TextoNormal"/>
      </w:pPr>
    </w:p>
    <w:p w:rsidR="005728DD" w:rsidRDefault="005728DD" w:rsidP="005728DD">
      <w:pPr>
        <w:pStyle w:val="TextoNormal"/>
      </w:pPr>
      <w:r>
        <w:t>Por lo que se refiere a la vulneración del derecho a la tutela judicial efectiva, afirma que en ningún momento se priva a la parte actora de este derecho, pues no se le impide de ninguna forma incoar otro procedimiento por la vía que proceda para lograr el ejercicio del derecho pretendido. Señala que la sentencia sí resuelve sobre el fondo del asunto y lo hace de manera detallada (reproduce distintas partes de los fundamentos jurídicos de la sentencia recurrida).</w:t>
      </w:r>
    </w:p>
    <w:p w:rsidR="005728DD" w:rsidRDefault="005728DD" w:rsidP="005728DD">
      <w:pPr>
        <w:pStyle w:val="TextoNormal"/>
      </w:pPr>
    </w:p>
    <w:p w:rsidR="005728DD" w:rsidRDefault="005728DD" w:rsidP="005728DD">
      <w:pPr>
        <w:pStyle w:val="TextoNormal"/>
      </w:pPr>
      <w:r>
        <w:t xml:space="preserve">Pone de manifiesto que la aceptación de la reducción de jornada no incluía, en ningún momento, la exclusión de las guardias que fue solicitada en un momento posterior y que, por ello, en nada influía en la concesión de esa reducción. Fueron solicitudes totalmente independientes, no guardando relación la una con la otra. Alega que la recurrente solicitó en fecha 9 de agosto de 2018 la reducción de jornada que le fue debidamente concedida (el 31 de agosto) y, por otro lado, y de forma independiente, solicitó, en fecha de 26 de septiembre de 2018, la exclusión de su participación en el sistema de guardias. Por ello, entiende que la recurrente no solicitó conforme al procedimiento regulado en el art. 37 LET </w:t>
      </w:r>
      <w:r>
        <w:lastRenderedPageBreak/>
        <w:t>una concreción horaria determinada para el cuidado de menor en atención a unas necesidades concretas en relación con la posibilidad de ser incluida en ese sistema de guardias que recoge el art. 8 del citado pacto.</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27 de mayo de 2021, se señaló para la deliberación y votación de la presente sentencia el día 31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w:t>
      </w:r>
      <w:r>
        <w:t>.</w:t>
      </w:r>
    </w:p>
    <w:p w:rsidR="005728DD" w:rsidRDefault="005728DD" w:rsidP="005728DD">
      <w:pPr>
        <w:pStyle w:val="TextoNormal"/>
      </w:pPr>
    </w:p>
    <w:p w:rsidR="005728DD" w:rsidRDefault="005728DD" w:rsidP="005728DD">
      <w:pPr>
        <w:pStyle w:val="TextoNormal"/>
      </w:pPr>
      <w:r>
        <w:t>El presente recurso de amparo se dirige contra la sentencia del Juzgado de lo Social núm. 2 de Lugo de 10 de enero de 2020, que desestimó la demanda interpuesta por la recurrente en la que solicitaba se la exonerase de prestar servicios una hora y media los sábados y pudiera continuar prestando servicios en el mismo horario que lo venía haciendo desde que disfrutaba de reducción de jornada por cuidado de hijos. El recurso se dirige asimismo contra el auto del mismo órgano judicial de 4 de junio de 2020, que desestimó el incidente de nulidad de actuaciones interpuesto contra la anterior resolución.</w:t>
      </w:r>
    </w:p>
    <w:p w:rsidR="005728DD" w:rsidRDefault="005728DD" w:rsidP="005728DD">
      <w:pPr>
        <w:pStyle w:val="TextoNormal"/>
      </w:pPr>
    </w:p>
    <w:p w:rsidR="005728DD" w:rsidRDefault="005728DD" w:rsidP="005728DD">
      <w:pPr>
        <w:pStyle w:val="TextoNormal"/>
      </w:pPr>
      <w:r>
        <w:t xml:space="preserve">La demandante alega vulneración del derecho a la igualdad y no discriminación por razón de sexo (art. 14 CE) porque la negativa de la sentencia recurrida a reconocer su petición de seguir sin prestar servicios los sábados, se adopta sin analizar en qué medida dicha posibilidad de no trabajar los sábados resultaba necesaria para la atención a los fines de relevancia constitucional a los que la institución sirve. A su juicio, se resuelve el litigio sin adoptar una perspectiva constitucional, solamente en base a lo dispuesto en un pacto de empresa. Asimismo, alega también vulneración del derecho a la tutela judicial efectiva (art. 24.1 CE), porque la sentencia recurrida desestimó la demanda por inadecuación del procedimiento sin pronunciarse sobre el fondo del asunto, no siendo ello acorde con lo dispuesto en el art. 102 LJS, que obligaba a cambiar el procedimiento de oficio, si estimaba que no era el adecuado y que la interpretación de las normas procesales que hizo la sentencia infringió el principio </w:t>
      </w:r>
      <w:r w:rsidRPr="005728DD">
        <w:rPr>
          <w:i/>
        </w:rPr>
        <w:t>pro actione</w:t>
      </w:r>
      <w:r>
        <w:t>, causándole indefensión.</w:t>
      </w:r>
    </w:p>
    <w:p w:rsidR="005728DD" w:rsidRDefault="005728DD" w:rsidP="005728DD">
      <w:pPr>
        <w:pStyle w:val="TextoNormal"/>
      </w:pPr>
    </w:p>
    <w:p w:rsidR="005728DD" w:rsidRDefault="005728DD" w:rsidP="005728DD">
      <w:pPr>
        <w:pStyle w:val="TextoNormal"/>
      </w:pPr>
      <w:r>
        <w:t>El Ministerio Fiscal solicita la estimación del recurso de amparo por ausencia de análisis de la dimensión constitucional de la cuestión planteada. Por su parte, la representación de la mercantil Insuiña, S.L., solicita la desestimación pues, a su juicio, en ningún momento se vulnera la reducción de jornada que fue concedida a la recurrente en el año 2018, de acuerdo con lo dispuesto en el Estatuto de los Trabajadores, sino que se produce una modificación de la distribución de su jornada de trabajo por razones organizativas y necesarias para el buen funcionamiento de la empresa.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Vulneración del derecho a la tutela judicial efectiva</w:t>
      </w:r>
      <w:r>
        <w:t>.</w:t>
      </w:r>
    </w:p>
    <w:p w:rsidR="005728DD" w:rsidRDefault="005728DD" w:rsidP="005728DD">
      <w:pPr>
        <w:pStyle w:val="TextoNormal"/>
      </w:pPr>
    </w:p>
    <w:p w:rsidR="005728DD" w:rsidRDefault="005728DD" w:rsidP="005728DD">
      <w:pPr>
        <w:pStyle w:val="TextoNormal"/>
      </w:pPr>
      <w:r>
        <w:t>Comenzaremos el análisis de los motivos alegados por el relativo a la vulneración del derecho a la tutela judicial efectiva, porque su hipotética estimación haría perder sentido a la alegada vulneración del derecho a la igualdad y no discriminación por razón de sexo.</w:t>
      </w:r>
    </w:p>
    <w:p w:rsidR="005728DD" w:rsidRDefault="005728DD" w:rsidP="005728DD">
      <w:pPr>
        <w:pStyle w:val="TextoNormal"/>
      </w:pPr>
    </w:p>
    <w:p w:rsidR="005728DD" w:rsidRDefault="005728DD" w:rsidP="005728DD">
      <w:pPr>
        <w:pStyle w:val="TextoNormal"/>
      </w:pPr>
      <w:r>
        <w:lastRenderedPageBreak/>
        <w:t>La demandante de amparo denuncia, en efecto, la vulneración de su derecho a la tutela judicial efectiva sin indefensión (art. 24.1 CE), en su vertiente de derecho a obtener una resolución expresa y motivada sobre el fondo de la cuestión planteada.</w:t>
      </w:r>
    </w:p>
    <w:p w:rsidR="005728DD" w:rsidRDefault="005728DD" w:rsidP="005728DD">
      <w:pPr>
        <w:pStyle w:val="TextoNormal"/>
      </w:pPr>
    </w:p>
    <w:p w:rsidR="005728DD" w:rsidRDefault="005728DD" w:rsidP="005728DD">
      <w:pPr>
        <w:pStyle w:val="TextoNormal"/>
      </w:pPr>
      <w:r>
        <w:t>Así planteada la cuestión, hemos de recordar que, según reiterada doctrina de este tribunal, recogida, entre otras, en la STC 308/2006, de 23 de octubre, FJ 5:</w:t>
      </w:r>
    </w:p>
    <w:p w:rsidR="005728DD" w:rsidRDefault="005728DD" w:rsidP="005728DD">
      <w:pPr>
        <w:pStyle w:val="TextoNormal"/>
      </w:pPr>
    </w:p>
    <w:p w:rsidR="005728DD" w:rsidRDefault="005728DD" w:rsidP="005728DD">
      <w:pPr>
        <w:pStyle w:val="TextoNormal"/>
      </w:pPr>
      <w:r>
        <w:t>“[E]l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artículo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005728DD" w:rsidRDefault="005728DD" w:rsidP="005728DD">
      <w:pPr>
        <w:pStyle w:val="TextoNormal"/>
      </w:pPr>
    </w:p>
    <w:p w:rsidR="005728DD" w:rsidRDefault="005728DD" w:rsidP="005728DD">
      <w:pPr>
        <w:pStyle w:val="TextoNormal"/>
      </w:pPr>
      <w:r>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(por todas, SSTC 25/2000, de 31 de enero, FJ 2, y 221/2001, de 31 de octubre, FJ 6). En suma, el art. 24 CE impone a los órganos judiciales no solo la obligación de ofrecer una respuesta motivada a las pretensiones deducidas, sino que, además, esta ha de tener contenido jurídico y no resultar arbitraria (entre otras, STC 8/2005, de 17 de enero, FJ 3)”.</w:t>
      </w:r>
    </w:p>
    <w:p w:rsidR="005728DD" w:rsidRDefault="005728DD" w:rsidP="005728DD">
      <w:pPr>
        <w:pStyle w:val="TextoNormal"/>
      </w:pPr>
    </w:p>
    <w:p w:rsidR="005728DD" w:rsidRDefault="005728DD" w:rsidP="005728DD">
      <w:pPr>
        <w:pStyle w:val="TextoNormal"/>
      </w:pPr>
      <w:r>
        <w:t xml:space="preserve">La sentencia impugnada, aunque considera que no se ha seguido el procedimiento adecuado —a su juicio, debería haberse seguido el procedimiento de modificación sustancial de condiciones de trabajo previsto en el art. 138 LJS y no el de ejercicio de los derechos de conciliación de la vida personal, familiar y laboral del art. 139 LJS—, entra en el fondo del asunto, exponiendo las razones por las que estima que la modificación realizada por la empresa en el horario de la recurrente se encuentra justificada por motivos organizativas y </w:t>
      </w:r>
      <w:r>
        <w:lastRenderedPageBreak/>
        <w:t>amparada también en el apartado 8 del pacto de articulación de las condiciones de trabajo de los trabajadores de la planta de Xove. Concretamente, la sentencia considera que la distribución irregular de la jornada acordada por la empresa se encuentra justificada en los siguientes motivos:</w:t>
      </w:r>
    </w:p>
    <w:p w:rsidR="005728DD" w:rsidRDefault="005728DD" w:rsidP="005728DD">
      <w:pPr>
        <w:pStyle w:val="TextoNormal"/>
      </w:pPr>
    </w:p>
    <w:p w:rsidR="005728DD" w:rsidRDefault="005728DD" w:rsidP="005728DD">
      <w:pPr>
        <w:pStyle w:val="TextoNormal"/>
      </w:pPr>
      <w:r>
        <w:t>-El apartado 8 de la articulación de condiciones de trabajo de los trabajadores de Xove, que permite a la empresa la modificación del horario o flexibilización de la jornada si en un departamento no hubiese un número suficiente de personas adscritas al servicio de guardia.</w:t>
      </w:r>
    </w:p>
    <w:p w:rsidR="005728DD" w:rsidRDefault="005728DD" w:rsidP="005728DD">
      <w:pPr>
        <w:pStyle w:val="TextoNormal"/>
      </w:pPr>
    </w:p>
    <w:p w:rsidR="005728DD" w:rsidRDefault="005728DD" w:rsidP="005728DD">
      <w:pPr>
        <w:pStyle w:val="TextoNormal"/>
      </w:pPr>
      <w:r>
        <w:t>-El deseo de uno de los compañeros de departamento de la recurrente en amparo de no seguir realizando guardias los fines de semana.</w:t>
      </w:r>
    </w:p>
    <w:p w:rsidR="005728DD" w:rsidRDefault="005728DD" w:rsidP="005728DD">
      <w:pPr>
        <w:pStyle w:val="TextoNormal"/>
      </w:pPr>
    </w:p>
    <w:p w:rsidR="005728DD" w:rsidRDefault="005728DD" w:rsidP="005728DD">
      <w:pPr>
        <w:pStyle w:val="TextoNormal"/>
      </w:pPr>
      <w:r>
        <w:t>-La imposibilidad de que un trabajador realice guardias más de dos fines de semana seguidos de acuerdo con lo dispuesto en el apartado octavo del pacto de articulación de las condiciones de trabajo de los trabajadores de Xove.</w:t>
      </w:r>
    </w:p>
    <w:p w:rsidR="005728DD" w:rsidRDefault="005728DD" w:rsidP="005728DD">
      <w:pPr>
        <w:pStyle w:val="TextoNormal"/>
      </w:pPr>
    </w:p>
    <w:p w:rsidR="005728DD" w:rsidRDefault="005728DD" w:rsidP="005728DD">
      <w:pPr>
        <w:pStyle w:val="TextoNormal"/>
      </w:pPr>
      <w:r>
        <w:t>-Solo una de las trabajadoras del departamento está adscrita voluntariamente al servicio de guardias, y solicita por escrito que se vuelva al sistema de guardias que regía antes de la renuncia de la recurrente en amparo, por lo que se niega a realizar guardias durante dos fines de semana seguidos.</w:t>
      </w:r>
    </w:p>
    <w:p w:rsidR="005728DD" w:rsidRDefault="005728DD" w:rsidP="005728DD">
      <w:pPr>
        <w:pStyle w:val="TextoNormal"/>
      </w:pPr>
    </w:p>
    <w:p w:rsidR="005728DD" w:rsidRDefault="005728DD" w:rsidP="005728DD">
      <w:pPr>
        <w:pStyle w:val="TextoNormal"/>
      </w:pPr>
      <w:r>
        <w:t>Por lo tanto, no existe la vulneración del derecho a la tutela judicial efectiva alegada por la recurrente porque la sentencia sí se pronuncia sobre la petición de fondo y considera ajustada la modificación del horario por las razones expuestas.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Derecho a la no discriminación por razón de sexo</w:t>
      </w:r>
      <w:r>
        <w:t>.</w:t>
      </w:r>
    </w:p>
    <w:p w:rsidR="005728DD" w:rsidRDefault="005728DD" w:rsidP="005728DD">
      <w:pPr>
        <w:pStyle w:val="TextoNormal"/>
      </w:pPr>
    </w:p>
    <w:p w:rsidR="005728DD" w:rsidRDefault="005728DD" w:rsidP="005728DD">
      <w:pPr>
        <w:pStyle w:val="TextoNormal"/>
      </w:pPr>
      <w:r>
        <w:t>En orden a determinar si se ha producido la infracción del derecho a la no discriminación por razón de sexo que la recurrente denuncia, es necesario recordar brevemente el contenido del derecho fundamental invocado.</w:t>
      </w:r>
    </w:p>
    <w:p w:rsidR="005728DD" w:rsidRDefault="005728DD" w:rsidP="005728DD">
      <w:pPr>
        <w:pStyle w:val="TextoNormal"/>
      </w:pPr>
    </w:p>
    <w:p w:rsidR="005728DD" w:rsidRDefault="005728DD" w:rsidP="005728DD">
      <w:pPr>
        <w:pStyle w:val="TextoNormal"/>
      </w:pPr>
      <w:r>
        <w:t>Conforme a reiterada doctrina constitucional,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 (SSTC 214/2006, de 3 de julio, FJ 3; 324/2006, de 20 de noviembre, FJ 4; 3/2007, de 15 de enero, FJ 2, y 66/2014, de 5 de mayo, FJ 2).</w:t>
      </w:r>
    </w:p>
    <w:p w:rsidR="005728DD" w:rsidRDefault="005728DD" w:rsidP="005728DD">
      <w:pPr>
        <w:pStyle w:val="TextoNormal"/>
      </w:pPr>
    </w:p>
    <w:p w:rsidR="005728DD" w:rsidRDefault="005728DD" w:rsidP="005728DD">
      <w:pPr>
        <w:pStyle w:val="TextoNormal"/>
      </w:pPr>
      <w:r>
        <w:t xml:space="preserve">Como expresa la STC 79/2020, de 2 de julio, FJ 4, la discriminación por razón de sexo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(por todas, SSTC 17/2003, de 30 de enero, FJ 3; 3/2007, de 15 </w:t>
      </w:r>
      <w:r>
        <w:lastRenderedPageBreak/>
        <w:t>de enero, FJ 2, y 2/2017, de 16 de enero, FJ 5). No obstante, esta protección constitucional vinculada a factores diferenciales que inciden en las mujeres no se detiene en el embarazo y subsiguiente maternidad, sino que se extiende también al ejercicio por la trabajadora de los ‘derechos asociados a la maternidad’. Tales derechos, aunque son reconocidos por el ordenamiento jurídico indistintamente al hombre y a la mujer con el objeto de estimular cambios en la cultura familiar y promover el reparto de responsabilidades, sirven principalmente para compensar las dificultades y desventajas que agravan la posición de la mujer trabajadora. En efecto, se trata de derechos que inciden de modo singular en las mujeres, al ser las que principalmente asumen el cuidado de los hijos de corta edad y sufren, por ello, mayores dificultades para su inserción laboral y su mantenimiento en el mercado de trabajo [STC 233/2007, de 5 de noviembre, FJ 7 a), y posteriores SSTC 162/2016, de 3 de octubre, FJ 4; 2/2017, de 16 de enero, FJ 5, y 108/2019, de 30 de septiembre, FJ 2]. Ahora bien, es importante subrayar que la discriminación por razón de sexo no solo se produce cuando a la mujer trabajadora se le niega uno de esos derechos asociados a la maternidad, sino también cuando, pese a su inicial reconocimiento y ejercicio, se le cause un perjuicio efectivo y constatable que consista en un ‘trato peyorativo en sus condiciones de trabajo’, o en ‘una limitación o quebranto de sus derechos o legítimas expectativas económicas o profesionales en la relación laboral’, por la exclusiva razón del ejercicio previo de ese derecho [STC 233/2007, FJ 7 c) 2]. En otras palabras, en tales casos la vulneración del art. 14 CE vendría determinada por el menoscabo, de carácter discriminatorio, ocasionado en el patrimonio jurídico de la mujer trabajadora. Y, entre esos derechos asociados a la maternidad que, como se ha dicho, responden a la idea de compensar las desventajas reales que para la conservación de su empleo y para la conciliación de su vida laboral y familiar soporta la mujer trabajadora, se encuentran, precisamente, el derecho a la excedencia laboral por cuidado de hijos (art. 46.3 LET) y el derecho a la reducción de jornada por razones de guarda legal (art. 37.6 LET)”.</w:t>
      </w:r>
    </w:p>
    <w:p w:rsidR="005728DD" w:rsidRDefault="005728DD" w:rsidP="005728DD">
      <w:pPr>
        <w:pStyle w:val="TextoNormal"/>
      </w:pPr>
    </w:p>
    <w:p w:rsidR="005728DD" w:rsidRDefault="005728DD" w:rsidP="005728DD">
      <w:pPr>
        <w:pStyle w:val="TextoNormal"/>
      </w:pPr>
      <w:r>
        <w:t>Asimismo, hay que recordar que la específica prohibición de discriminación por razón de sexo no solo comprende la “discriminación directa” a la que se ha hecho referencia, sino también la “discriminación indirecta”, cuyo concepto legal aparece recogido en el art. 6.2 de la Ley Orgánica 3/2007, de 22 de marzo, para la igualdad efectiva de mujeres y hombres, según el cual: “[s]e considera discriminación indirecta por razón de sexo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los medios para alcanzar dicha finalidad sean necesarios y adecuados”. En este sentido, este tribunal entiende por “discriminación indirecta”, aquel tratamiento formalmente neutro o no discriminatorio del que se deriva, por las diversas condiciones fácticas que se dan entre trabajadores de uno y otro sexo, un impacto adverso sobre los miembros de un determinado sexo [SSTC 145/1991, de 1 de julio, FJ 2; 91/2019, de 3 de julio, FJ 4 c), y 70/2020, de 2 de julio, FJ 4].</w:t>
      </w:r>
    </w:p>
    <w:p w:rsidR="005728DD" w:rsidRDefault="005728DD" w:rsidP="005728DD">
      <w:pPr>
        <w:pStyle w:val="TextoNormal"/>
      </w:pPr>
    </w:p>
    <w:p w:rsidR="005728DD" w:rsidRDefault="005728DD" w:rsidP="005728DD">
      <w:pPr>
        <w:pStyle w:val="TextoNormal"/>
      </w:pPr>
      <w:r>
        <w:t xml:space="preserve">Por lo que se refiere a la relevancia de la voluntad de discriminar, hay que tener en cuenta que es doctrina reiterada y constante de este tribunal que la vulneración de los derechos fundamentales puede darse aunque no exista intención lesiva. “Lo único relevante es que el contenido esencial, […], haya resultado o no menoscabado. Lo cual, traducido al ámbito que nos ocupa de la prohibición de discriminación por razón de sexo (art. 14 CE), supone que bastará con que quede probado que el factor protegido estuvo en la base del perjuicio o </w:t>
      </w:r>
      <w:r>
        <w:lastRenderedPageBreak/>
        <w:t>minusvaloración laboral sufrido por la mujer trabajadora. La STC 2/2017, de 16 de enero, FJ 6, recordaba ese parámetro reiterado en nuestra doctrina, caracterizador de todo juicio sobre la incidencia sobre un derecho fundamental, y que consiste, por tanto, en que puede declararse la lesión del derecho fundamental aunque no haya ánimo lesivo, en este caso discriminatorio, al bastar la objetividad del perjuicio” [STC 108/2019, de 30 de septiembre, FJ 4 c)].</w:t>
      </w:r>
    </w:p>
    <w:p w:rsidR="005728DD" w:rsidRDefault="005728DD" w:rsidP="005728DD">
      <w:pPr>
        <w:pStyle w:val="TextoNormal"/>
      </w:pPr>
    </w:p>
    <w:p w:rsidR="005728DD" w:rsidRDefault="005728DD" w:rsidP="005728DD">
      <w:pPr>
        <w:pStyle w:val="TextoNormal"/>
      </w:pPr>
      <w:r>
        <w:t>Por último, es necesario recordar que “la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ha de prevalecer y servir de orientación para la solución de cualquier duda interpretativa en cada caso concreto, habida cuenta de que el efectivo logro de la conciliación laboral y familiar constituye una finalidad de relevancia constitucional fomentada en nuestro ordenamiento a partir de la Ley 39/1999, de 5 de noviembre, que adoptó medidas tendentes a lograr una efectiva participación del varón trabajador en la vida familiar a través de un reparto equilibrado de las responsabilidades familiares, objetivo que se ha visto reforzado por disposiciones legislativas ulteriores, entre las que cabe especialmente destacar las previstas en la Ley Orgánica 3/2007, de 22 de marzo, para la igualdad efectiva de mujeres y hombres, en cuya exposición de motivos se señala que las medidas en materia laboral que se establecen en esta ley pretenden favorecer la conciliación de la vida personal, profesional y familiar de los trabajadores, y fomentar una mayor corresponsabilidad entre mujeres y hombres en la asunción de las obligaciones familiares” (SSTC 3/2007, de 15 de enero, FJ 6, y 26/2011, de 14 de marzo, FJ 6).</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Resolución del recurso de amparo</w:t>
      </w:r>
      <w:r>
        <w:t>.</w:t>
      </w:r>
    </w:p>
    <w:p w:rsidR="005728DD" w:rsidRDefault="005728DD" w:rsidP="005728DD">
      <w:pPr>
        <w:pStyle w:val="TextoNormal"/>
      </w:pPr>
    </w:p>
    <w:p w:rsidR="005728DD" w:rsidRDefault="005728DD" w:rsidP="005728DD">
      <w:pPr>
        <w:pStyle w:val="TextoNormal"/>
      </w:pPr>
      <w:r>
        <w:t>Aduce la demandante que la sentencia recurrida restringe sin fundamento el ejercicio del derecho de reducción de jornada por guarda legal a través de una interpretación restrictiva del ejercicio de este derecho, que supone una discriminación indirecta de las mujeres trabajadoras, pues son ellas el colectivo que ejercita en mayor medida tales derecho de conciliación de la vida laboral y familiar.</w:t>
      </w:r>
    </w:p>
    <w:p w:rsidR="005728DD" w:rsidRDefault="005728DD" w:rsidP="005728DD">
      <w:pPr>
        <w:pStyle w:val="TextoNormal"/>
      </w:pPr>
    </w:p>
    <w:p w:rsidR="005728DD" w:rsidRDefault="005728DD" w:rsidP="005728DD">
      <w:pPr>
        <w:pStyle w:val="TextoNormal"/>
      </w:pPr>
      <w:r>
        <w:t>Como ha quedado expuesto, las resoluciones recurridas estiman como justificación suficiente para modificar la jornada de trabajo que venía disfrutando la demandante desde que le fue reconocido su derecho a la reducción de jornada por cuidado de hijos, las necesidades organizativas de la empresa, derivadas de que, al no hacer guardias los sábados la recurrente en amparo, sólo quedan dos trabajadores en el departamento para hacerlas, y uno de ellos ha pedido también no hacer guardias los sábados y la otra trabajadora ha manifestado su deseo de volver al sistema de guardias que se venía aplicando antes de que la recurrente se acogiera a la reducción de jornada.</w:t>
      </w:r>
    </w:p>
    <w:p w:rsidR="005728DD" w:rsidRDefault="005728DD" w:rsidP="005728DD">
      <w:pPr>
        <w:pStyle w:val="TextoNormal"/>
      </w:pPr>
    </w:p>
    <w:p w:rsidR="005728DD" w:rsidRDefault="005728DD" w:rsidP="005728DD">
      <w:pPr>
        <w:pStyle w:val="TextoNormal"/>
      </w:pPr>
      <w:r>
        <w:t xml:space="preserve">No corresponde a este tribunal determinar si es posible o no eximir a la demandante de prestar servicios los sábados y mantener la misma jornada que venía disfrutando desde que le fue concedido su derecho a la reducción de jornada por cuidado de hijos, cuestión de legalidad ordinaria que compete exclusivamente a los jueces y tribunales (art. 117.3 CE). Sin embargo, sí nos corresponde valorar desde la perspectiva constitucional que nos es propia, y a la vista del derecho fundamental invocado, la razón o argumento en virtud de los </w:t>
      </w:r>
      <w:r>
        <w:lastRenderedPageBreak/>
        <w:t>cuales la sentencia impugnada desestima la petición de la solicitante de amparo de no seguir prestando servicios los sábados de acuerdo con la jornada reconocida desde que comenzó a disfrutar de su derecho a la reducción de jornada por guarda legal. Hemos sostenido reiteradamente que, estando en juego un derecho fundamental sustantivo y no el derecho reconocido en el art. 24.1 CE, el control por parte de este tribunal no puede limitarse a verificar el carácter motivado, razonable y no arbitrario de la resolución judicial impugnada (entre otras, SSTC 30/2000, de 31 de enero, FJ 4; 173/2001, de 26 de julio, FJ 4; 92/2005, de 18 de abril, FJ 5, y 326/2005, de 12 de diciembre, FJ 5).</w:t>
      </w:r>
    </w:p>
    <w:p w:rsidR="005728DD" w:rsidRDefault="005728DD" w:rsidP="005728DD">
      <w:pPr>
        <w:pStyle w:val="TextoNormal"/>
      </w:pPr>
    </w:p>
    <w:p w:rsidR="005728DD" w:rsidRDefault="005728DD" w:rsidP="005728DD">
      <w:pPr>
        <w:pStyle w:val="TextoNormal"/>
      </w:pPr>
      <w:r>
        <w:t>El análisis de las resoluciones recurridas nos lleva a concluir, con la recurrente y el Ministerio Fiscal, que el órgano judicial únicamente ha valorado las razones organizativas alegadas por la empresa para justificar la modificación del horario de la trabajadora, sin tener en cuenta sus circunstancias personales y familiares. Las resoluciones recurridas estiman suficientes para imponer el cambio de horario las dificultades organizativas de la empresa derivadas de lo dispuesto en el pacto de articulación de las condiciones de trabajo de los trabajadores de Xove, que impide que un trabajador realice guardias dos fines de semana seguidos, y derivadas también de la petición presentada por uno de los empleados del mismo departamento de no hacer guardias los sábados y de que la otra empleada no quiere hacer las guardias ellas sola y quiere volver a la situación anterior a la reducción de jornada de la demandante.</w:t>
      </w:r>
    </w:p>
    <w:p w:rsidR="005728DD" w:rsidRDefault="005728DD" w:rsidP="005728DD">
      <w:pPr>
        <w:pStyle w:val="TextoNormal"/>
      </w:pPr>
    </w:p>
    <w:p w:rsidR="005728DD" w:rsidRDefault="005728DD" w:rsidP="005728DD">
      <w:pPr>
        <w:pStyle w:val="TextoNormal"/>
      </w:pPr>
      <w:r>
        <w:t>Como señala la STC 3/2007, de 15 de enero, FJ 5, “reconocida la incidencia que la denegación del ejercicio de uno de los permisos parentales establecidos en la ley puede tener en la vulneración del derecho a la no discriminación por razón de sexo de las trabajadoras, es lo cierto que el análisis que a tal efecto corresponde efectuar a los órganos judiciales no puede situarse exclusivamente en el ámbito de la legalidad, sino que tiene que ponderar y valorar el derecho fundamental en juego. Como hemos señalado también en relación con el tema de la excedencia, los órganos judiciales no pueden ignorar la dimensión constitucional de la cuestión ante ellos suscitada y limitarse a valorar, para excluir la violación del art. 14 CE, si la diferencia de trato tiene en abstracto una justificación objetiva y razonable, sino que han de efectuar su análisis atendiendo a las circunstancias concurrentes y, sobre todo, a la trascendencia constitucional de este derecho de acuerdo con los intereses y valores familiares a que el mismo responde. Como afirmamos en nuestra STC 95/2000, de 10 de abril, FJ 5, la razonabilidad de las decisiones judiciales es también una exigencia de adecuación al logro de los valores, bienes y derechos constitucionales (SSTC 82/1990, de 4 de mayo, FJ 2, y 126/1994, de 25 de abril, FJ 5)”.</w:t>
      </w:r>
    </w:p>
    <w:p w:rsidR="005728DD" w:rsidRDefault="005728DD" w:rsidP="005728DD">
      <w:pPr>
        <w:pStyle w:val="TextoNormal"/>
      </w:pPr>
    </w:p>
    <w:p w:rsidR="005728DD" w:rsidRDefault="005728DD" w:rsidP="005728DD">
      <w:pPr>
        <w:pStyle w:val="TextoNormal"/>
      </w:pPr>
      <w:r>
        <w:t>Es claro que estas consideraciones son íntegramente aplicables al supuesto aquí enjuiciado, en el que el órgano judicial ha entendido justificado el cambio de jornada de trabajo de la demandante de amparo con base a razones meramente organizativas, pero sin valorar que la trabajadora estaba disfrutando de un derecho relacionado con la maternidad y que esa modificación de la jornada podía producir en la práctica unos perjuicios en su ámbito familiar y laboral.</w:t>
      </w:r>
    </w:p>
    <w:p w:rsidR="005728DD" w:rsidRDefault="005728DD" w:rsidP="005728DD">
      <w:pPr>
        <w:pStyle w:val="TextoNormal"/>
      </w:pPr>
    </w:p>
    <w:p w:rsidR="005728DD" w:rsidRDefault="005728DD" w:rsidP="005728DD">
      <w:pPr>
        <w:pStyle w:val="TextoNormal"/>
      </w:pPr>
      <w:r>
        <w:t xml:space="preserve">El hecho de que el órgano judicial no se haya planteado la cuestión de si modificar el horario de la demandante de amparo constituía o no un obstáculo para la compatibilidad de su vida familiar y laboral, en atención a las circunstancias concurrentes, supone, como señala la recurrente en amparo, no valorar adecuadamente la dimensión constitucional </w:t>
      </w:r>
      <w:r w:rsidRPr="005728DD">
        <w:rPr>
          <w:i/>
        </w:rPr>
        <w:t>ex</w:t>
      </w:r>
      <w:r>
        <w:t xml:space="preserve"> art. </w:t>
      </w:r>
      <w:r>
        <w:lastRenderedPageBreak/>
        <w:t>14 CE, en relación con el art. 39.3 CE, del asunto planteado, de suerte que, como hemos afirmado en diversas ocasiones, el reproche que desde la perspectiva constitucional merece formularse contra las resoluciones judiciales recurridas en amparo “no es tanto ni solo que haya renunciado a interpretar la normativa aplicable de la manera más favorable a la efectividad del derecho fundamental, sino que ni siquiera haya tenido en cuenta que este derecho estaba en juego y podía quedar afectado” (SSTC 191/1998, de 29 de septiembre, FJ 5; 92/2005, de 18 de abril, FJ 5, y 3/2007, de 15 de enero, FJ 6).</w:t>
      </w:r>
    </w:p>
    <w:p w:rsidR="005728DD" w:rsidRDefault="005728DD" w:rsidP="005728DD">
      <w:pPr>
        <w:pStyle w:val="TextoNormal"/>
      </w:pPr>
    </w:p>
    <w:p w:rsidR="005728DD" w:rsidRDefault="005728DD" w:rsidP="005728DD">
      <w:pPr>
        <w:pStyle w:val="TextoNormal"/>
      </w:pPr>
      <w:r>
        <w:t>En efecto, una vez que se puso de manifiesto que la trabajadora estaba disfrutando de una reducción de jornada por cuidado de hijos, el órgano judicial no podía prescindir de analizar si la modificación del horario que venía disfrutando suponía un perjuicio para la demandante y obstaculizaba o perjudicaba la compatibilidad de su vida familiar y laboral. En definitiva, afectando la modificación a la jornada que venía disfrutando la trabajadora en ejercicio de su derecho a la reducción de jornada por cuidado de hijos, el órgano judicial debió de examinar si esa distribución irregular de su jornada de trabajo decidida por la empresa, en virtud de la cual la trabajadora debería prestar servicios durante una hora y media los sábados cuando fuera requerida por necesidades de producción y organización de la planta, no solo sí resultaba necesaria por razones organizativas, sino también si, atendiendo a los fines de relevancia constitucional a los que la institución de reducción de jornada por cuidado de hijos sirve, se erigía en obstáculo injustificado para la permanencia en el empleo de la trabajadora y para la compatibilidad de su vida profesional con su vida familiar.</w:t>
      </w:r>
    </w:p>
    <w:p w:rsidR="005728DD" w:rsidRDefault="005728DD" w:rsidP="005728DD">
      <w:pPr>
        <w:pStyle w:val="TextoNormal"/>
      </w:pPr>
    </w:p>
    <w:p w:rsidR="005728DD" w:rsidRDefault="005728DD" w:rsidP="005728DD">
      <w:pPr>
        <w:pStyle w:val="TextoNormal"/>
      </w:pPr>
      <w:r>
        <w:t>Aunque, ciertamente, el empresario puede modificar la jornada de trabajo por razones organizativas de acuerdo con lo previsto en el art. 41 LET, cuando el trabajador afectado esté disfrutando de un derecho relacionado con la maternidad y, disconforme con la decisión empresarial, decida impugnarla, el órgano judicial deberá ponderar las circunstancias concurrentes para hacer compatibles los diferentes intereses en juego, valorando el conflicto en su dimensión constitucional. Esto implica, como hemos señalado, que en este examen el órgano judicial debe tener presente que esa dimensión constitucional de las medidas tendentes a facilitar la compatibilidad de la vida laboral y familiar de los trabajadores ha de prevalecer y servir de orientación para la solución de cualquier duda interpretativa (SSTC 3/2007, de 15 de enero, FJ 6, y 26/2011, de 14 de marzo, FJ 5). Ello obligaba en el presente caso a valorar las concretas circunstancias personales y familiares que concurrían en la trabajadora demandante, así como la organización del servicio de guardias de los fines de semana en el departamento en el que prestaba servicios, para ponderar si la modificación del horario constituía o no un obstáculo injustificado para la compatibilidad de su vida familiar y profesional. En relación con las circunstancias familiares concurrentes, resultaba necesario tener en cuenta la edad de la hija de la recurrente, el hecho de tener que prestar servicios los sábados cuando no hay guarderías ni colegios, así como, en su caso, la situación laboral del padre y, en suma, la posible incidencia que la prestación de servicios durante los sábados pudiera tener para conciliar su actividad profesional con el cuidado de su hija.</w:t>
      </w:r>
    </w:p>
    <w:p w:rsidR="005728DD" w:rsidRDefault="005728DD" w:rsidP="005728DD">
      <w:pPr>
        <w:pStyle w:val="TextoNormal"/>
      </w:pPr>
    </w:p>
    <w:p w:rsidR="005728DD" w:rsidRDefault="005728DD" w:rsidP="005728DD">
      <w:pPr>
        <w:pStyle w:val="TextoNormal"/>
      </w:pPr>
      <w:r>
        <w:t xml:space="preserve">La ausencia de análisis de la dimensión constitucional de la demanda queda claramente patente, como señala el Ministerio Fiscal, cuando la sentencia recurrida afirma que el proceso pertinente no era el de conciliación de la vida familiar y laboral, sino el de modificación de condiciones de trabajo, considerando que el hecho de haberle concedido la empresa la reducción de jornada evitaba la posibilidad de discriminación. Esta afirmación del órgano </w:t>
      </w:r>
      <w:r>
        <w:lastRenderedPageBreak/>
        <w:t>judicial no tiene en cuenta las sentencias de este tribunal en las que se ha admitido la discriminación indirecta por razón de sexo en casos en los que la reducción de jornada estaba concedida y era precisamente en la ejecución de esta reducción de jornada cuando se producía tal discriminación por razón de sexo. En este sentido, cabe citar, entre otras, la STC 79/2020, de 2 de julio, en la que se declara la existencia de una vulneración del derecho a la igualdad ante la ley y la prohibición de discriminación indirecta por razón de sexo (art. 14 CE), en un supuesto de diferencia de trato en materia retributiva entre trabajadores a tiempo completo y parcial, derivada del ejercicio del derecho de reducción de jornada por guarda legal.</w:t>
      </w:r>
    </w:p>
    <w:p w:rsidR="005728DD" w:rsidRDefault="005728DD" w:rsidP="005728DD">
      <w:pPr>
        <w:pStyle w:val="TextoNormal"/>
      </w:pPr>
    </w:p>
    <w:p w:rsidR="005728DD" w:rsidRDefault="005728DD" w:rsidP="005728DD">
      <w:pPr>
        <w:pStyle w:val="TextoNormal"/>
      </w:pPr>
      <w:r>
        <w:t>En definitiva, la decisión del órgano judicial de desestimar la pretensión de la recurrente de no prestar servicios una hora y media los sábados, sin analizar hasta qué punto dicha pretensión resultaba necesaria para conciliar su vida familiar y laboral, nos lleva a concluir que no ha sido debidamente tutelado por los órganos judiciales el derecho fundamental de la recurrente a la no discriminación por razón de sexo (art. 14 CE). La negativa del órgano judicial se convierte, así, en un obstáculo injustificado para la permanencia en el empleo de la trabajadora y para la compatibilidad de su vida profesional con su vida familiar, y en tal sentido, constituye una discriminación indirecta por razón de sexo, de acuerdo con nuestra doctrina.</w:t>
      </w:r>
    </w:p>
    <w:p w:rsidR="005728DD" w:rsidRDefault="005728DD" w:rsidP="005728DD">
      <w:pPr>
        <w:pStyle w:val="TextoNormal"/>
      </w:pPr>
    </w:p>
    <w:p w:rsidR="005728DD" w:rsidRDefault="005728DD" w:rsidP="005728DD">
      <w:pPr>
        <w:pStyle w:val="TextoNormal"/>
      </w:pPr>
      <w:r>
        <w:t>Cuanto ha quedado expuesto conduce al otorgamiento del amparo. Para restablecer a la recurrente en la efectividad de su derecho será necesario, con anulación de las resoluciones judiciales impugnadas, reponer las actuaciones al momento procesal oportuno a fin de que el Juzgado de lo Social núm. 2 de Lugo dicte nueva resolución respetuosa con el derecho fundamental reconocido.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otorgar el amparo solicitado por doña Iris Martín Varela y, en su virtud:</w:t>
      </w:r>
    </w:p>
    <w:p w:rsidR="005728DD" w:rsidRDefault="005728DD" w:rsidP="005728DD">
      <w:pPr>
        <w:pStyle w:val="TextoNormal"/>
      </w:pPr>
    </w:p>
    <w:p w:rsidR="005728DD" w:rsidRDefault="005728DD" w:rsidP="005728DD">
      <w:pPr>
        <w:pStyle w:val="TextoNormal"/>
      </w:pPr>
      <w:r>
        <w:t>1º Declarar que se ha vulnerado su derecho fundamental a la no discriminación por razón de sexo (art. 14 CE).</w:t>
      </w:r>
    </w:p>
    <w:p w:rsidR="005728DD" w:rsidRDefault="005728DD" w:rsidP="005728DD">
      <w:pPr>
        <w:pStyle w:val="TextoNormal"/>
      </w:pPr>
    </w:p>
    <w:p w:rsidR="005728DD" w:rsidRDefault="005728DD" w:rsidP="005728DD">
      <w:pPr>
        <w:pStyle w:val="TextoNormal"/>
      </w:pPr>
      <w:r>
        <w:t>2º Declarar la nulidad de la sentencia de 10 de enero de 2020, dictada por el Juzgado de lo Social núm. 2 de Lugo (procedimiento de conciliación de la vida personal, familiar y laboral núm. 706-2019) y del auto del mismo juzgado de 4 de junio de 2020 que desestimó el incidente de nulidad promovido contra aquella sentencia.</w:t>
      </w:r>
    </w:p>
    <w:p w:rsidR="005728DD" w:rsidRDefault="005728DD" w:rsidP="005728DD">
      <w:pPr>
        <w:pStyle w:val="TextoNormal"/>
      </w:pPr>
    </w:p>
    <w:p w:rsidR="005728DD" w:rsidRDefault="005728DD" w:rsidP="005728DD">
      <w:pPr>
        <w:pStyle w:val="TextoNormal"/>
      </w:pPr>
      <w:r>
        <w:t>3º Retrotraer las actuaciones al momento procesal oportuno a fin de que por el órgano judicial se dicte nueva resolución respetuosa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treinta y uno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3" w:name="SENTENCIA_2021_120"/>
      <w:r>
        <w:lastRenderedPageBreak/>
        <w:t>SENTENCIA 120/2021, de 31 de mayo de 2021</w:t>
      </w:r>
    </w:p>
    <w:bookmarkEnd w:id="123"/>
    <w:p w:rsidR="005728DD" w:rsidRDefault="005728DD" w:rsidP="005728DD">
      <w:pPr>
        <w:pStyle w:val="TtuloResolucin"/>
      </w:pPr>
      <w:r>
        <w:t>Sala Segunda</w:t>
      </w:r>
    </w:p>
    <w:p w:rsidR="005728DD" w:rsidRDefault="005728DD" w:rsidP="005728DD">
      <w:pPr>
        <w:pStyle w:val="TtuloBOE"/>
      </w:pPr>
      <w:r>
        <w:t>(BOE núm. 161, de 7 de julio de 2021)</w:t>
      </w:r>
    </w:p>
    <w:p w:rsidR="005728DD" w:rsidRDefault="005728DD" w:rsidP="005728DD">
      <w:pPr>
        <w:pStyle w:val="TextoNormalCentrado"/>
      </w:pPr>
      <w:r>
        <w:t>ECLI:ES:TC:2021:120</w:t>
      </w:r>
    </w:p>
    <w:p w:rsidR="005728DD" w:rsidRDefault="005728DD" w:rsidP="005728DD">
      <w:pPr>
        <w:pStyle w:val="TextoNormalCentrado"/>
      </w:pPr>
    </w:p>
    <w:p w:rsidR="005728DD" w:rsidRDefault="005728DD" w:rsidP="005728DD">
      <w:pPr>
        <w:pStyle w:val="SntesisDescriptiva"/>
      </w:pPr>
      <w:r>
        <w:t>Recurso de amparo 3368-2020. Promovido por la Comisión Internacional para la Conservación del Atún Atlántico en relación con las sentencias dictadas por las salas de lo social del Tribunal Supremo y del Tribunal Superior de Justicia de Madrid en proceso por despido.</w:t>
      </w:r>
    </w:p>
    <w:p w:rsidR="005728DD" w:rsidRDefault="005728DD" w:rsidP="005728DD">
      <w:pPr>
        <w:pStyle w:val="SntesisDescriptiva"/>
      </w:pPr>
    </w:p>
    <w:p w:rsidR="005728DD" w:rsidRDefault="005728DD" w:rsidP="005728DD">
      <w:pPr>
        <w:pStyle w:val="SntesisAnaltica"/>
      </w:pPr>
      <w:r>
        <w:t>Supuesta vulneración de los derechos a la tutela judicial efectiva (resolución jurídicamente fundada) y a un proceso con todas las garantías: inexistencia del privilegio de inmunidad absoluta de jurisdicción.</w:t>
      </w:r>
    </w:p>
    <w:p w:rsidR="005728DD" w:rsidRDefault="005728DD" w:rsidP="005728DD">
      <w:pPr>
        <w:pStyle w:val="SntesisAnaltica"/>
      </w:pPr>
    </w:p>
    <w:p w:rsidR="005728DD" w:rsidRDefault="005728DD" w:rsidP="005728DD">
      <w:pPr>
        <w:pStyle w:val="Extracto"/>
      </w:pPr>
      <w:r>
        <w:t>1.</w:t>
      </w:r>
      <w:r>
        <w:tab/>
        <w:t>La desaparición sobrevenida de objeto queda referida a los casos en los que, o bien los propios órganos judiciales han reparado directamente la lesión alegada ante este tribunal, o bien ha desaparecido el acto o la causa origen del proceso de amparo, ya que en cualquiera de ellos carecería de sentido un pronunciamiento estimatorio al no existir la lesión del derecho fundamental invocada; salvo que, a pesar de haber desaparecido formalmente el acto lesivo, debieran tenerse en cuenta otros elementos de juicio que siguieran haciendo precisa una respuesta por parte del Tribunal Constitucional (STC 233/2007, 185/2008 o 73/2018) [FJ 2].</w:t>
      </w:r>
    </w:p>
    <w:p w:rsidR="005728DD" w:rsidRDefault="005728DD" w:rsidP="005728DD">
      <w:pPr>
        <w:pStyle w:val="Extracto"/>
      </w:pPr>
    </w:p>
    <w:p w:rsidR="005728DD" w:rsidRDefault="005728DD" w:rsidP="005728DD">
      <w:pPr>
        <w:pStyle w:val="Extracto"/>
      </w:pPr>
      <w:r>
        <w:t>2.</w:t>
      </w:r>
      <w:r>
        <w:tab/>
        <w:t>Doctrina constitucional sobre el derecho a la tutela judicial efectiva, en su vertiente de derecho a una resolución motivada y jurídicamente fundada y el privilegio de inmunidad de jurisdicción de los Estados y las organizaciones internacionales [FJ 3].</w:t>
      </w:r>
    </w:p>
    <w:p w:rsidR="005728DD" w:rsidRDefault="005728DD" w:rsidP="005728DD">
      <w:pPr>
        <w:pStyle w:val="Extracto"/>
      </w:pPr>
    </w:p>
    <w:p w:rsidR="005728DD" w:rsidRDefault="005728DD" w:rsidP="005728DD">
      <w:pPr>
        <w:pStyle w:val="Extracto"/>
      </w:pPr>
      <w:r>
        <w:t>3.</w:t>
      </w:r>
      <w:r>
        <w:tab/>
        <w:t>En lo que respecta al tratamiento de la inmunidad de jurisdicción, en particular, en materia de controversias surgidas en el contexto de relaciones laborales, la doctrina constitucional queda acotada a la predicable de los Estados extranjeros y de su personal, donde se pone en conexión tal privilegio con el derecho a la tutela judicial efectiva. Aun cuando el régimen de inmunidad de ejecución de los Estados extranjeros no resulte contrario en principio al derecho fundamental sobredicho, una indebida extensión de su ámbito por parte de los tribunales ordinarios sí conllevaría una violación de ese derecho (STC 176/2001) [FJ 3].</w:t>
      </w:r>
    </w:p>
    <w:p w:rsidR="005728DD" w:rsidRDefault="005728DD" w:rsidP="005728DD">
      <w:pPr>
        <w:pStyle w:val="Extracto"/>
      </w:pPr>
    </w:p>
    <w:p w:rsidR="005728DD" w:rsidRDefault="005728DD" w:rsidP="005728DD">
      <w:pPr>
        <w:pStyle w:val="Extracto"/>
      </w:pPr>
      <w:r>
        <w:t>4.</w:t>
      </w:r>
      <w:r>
        <w:tab/>
        <w:t>El art. 21.2 LOPJ y las normas de Derecho internacional público a la que tal precepto remite, no imponen una regla de inmunidad absoluta de ejecución de los Estados extranjeros, sino que permiten afirmar la relatividad de dicha inmunidad, conclusión que se ve reforzada por la propia exigencia de la efectividad de los derechos que contienen el art. 24 CE y por la ratio de la inmunidad, que no es la de otorgar a los Estados una protección indiscriminada, sino la de salvaguardar su igualdad e independencia. (STC 176/2001) [FJ 3].</w:t>
      </w:r>
    </w:p>
    <w:p w:rsidR="005728DD" w:rsidRDefault="005728DD" w:rsidP="005728DD">
      <w:pPr>
        <w:pStyle w:val="Extracto"/>
      </w:pPr>
    </w:p>
    <w:p w:rsidR="005728DD" w:rsidRDefault="005728DD" w:rsidP="005728DD">
      <w:pPr>
        <w:pStyle w:val="Extracto"/>
      </w:pPr>
      <w:r>
        <w:t>5.</w:t>
      </w:r>
      <w:r>
        <w:tab/>
        <w:t xml:space="preserve">La delimitación del alcance de la inmunidad de ejecución de los Estados extranjeros debe partir de la premisa de que, con carácter general, cuando en una determinada actividad o cuando en la afectación de determinados bienes no esté empeñada la soberanía del Estado extranjero, tanto el ordenamiento internacional </w:t>
      </w:r>
      <w:r>
        <w:lastRenderedPageBreak/>
        <w:t>como, por remisión, el ordenamiento interno desautorizan que se inejecute una sentencia; en consecuencia, una decisión de inejecución supondría en tales casos una vulneración del art. 24.1 CE (SSTC 107/1992 o 176/2001) [FJ 3].</w:t>
      </w:r>
    </w:p>
    <w:p w:rsidR="005728DD" w:rsidRDefault="005728DD" w:rsidP="005728DD">
      <w:pPr>
        <w:pStyle w:val="Extracto"/>
      </w:pPr>
    </w:p>
    <w:p w:rsidR="005728DD" w:rsidRDefault="005728DD" w:rsidP="005728DD">
      <w:pPr>
        <w:pStyle w:val="Extracto"/>
      </w:pPr>
      <w:r>
        <w:t>6.</w:t>
      </w:r>
      <w:r>
        <w:tab/>
        <w:t xml:space="preserve">La relatividad de la inmunidad de la ejecución de los Estados extranjeros se asienta en la distinción entre bienes destinados a actividades </w:t>
      </w:r>
      <w:r w:rsidRPr="005728DD">
        <w:rPr>
          <w:i/>
        </w:rPr>
        <w:t xml:space="preserve">de iure imperii </w:t>
      </w:r>
      <w:r>
        <w:t>-es decir, en las que está empeñada la soberanía del Estado- y bienes destinados a actividades</w:t>
      </w:r>
      <w:r w:rsidRPr="005728DD">
        <w:rPr>
          <w:i/>
        </w:rPr>
        <w:t xml:space="preserve"> de iure gestionis </w:t>
      </w:r>
      <w:r>
        <w:t>-o, lo que es lo mismo, actividades en las que el Estado no hace uso de su potestad de imperio y actúa de la misma manera que un particular-  (STC 176/2001) [FJ 3].</w:t>
      </w:r>
    </w:p>
    <w:p w:rsidR="005728DD" w:rsidRDefault="005728DD" w:rsidP="005728DD">
      <w:pPr>
        <w:pStyle w:val="Extracto"/>
      </w:pPr>
    </w:p>
    <w:p w:rsidR="005728DD" w:rsidRDefault="005728DD" w:rsidP="005728DD">
      <w:pPr>
        <w:pStyle w:val="Extracto"/>
      </w:pPr>
      <w:r>
        <w:t>7.</w:t>
      </w:r>
      <w:r>
        <w:tab/>
        <w:t>Obtener una resolución fundada en derecho constituye una garantía frente a la arbitrariedad de los poderes públicos, pero no asegura la corrección jurídica de la interpretación y aplicación del derecho [FJ 3].</w:t>
      </w:r>
    </w:p>
    <w:p w:rsidR="005728DD" w:rsidRDefault="005728DD" w:rsidP="005728DD">
      <w:pPr>
        <w:pStyle w:val="Extracto"/>
      </w:pPr>
    </w:p>
    <w:p w:rsidR="005728DD" w:rsidRDefault="005728DD" w:rsidP="005728DD">
      <w:pPr>
        <w:pStyle w:val="Extracto"/>
      </w:pPr>
      <w:r>
        <w:t>8.</w:t>
      </w:r>
      <w:r>
        <w:tab/>
        <w:t>El derecho a la tutela judicial efectiva, en su vertiente de acceso a la jurisdicción, excluye criterios de admisión excesivamente formalistas o rigoristas, que impidan el enjuiciamiento del fondo del asunto, si bien resulta aceptable como causa de inadmisión la falta de competencia jurisdiccional [FJ 3].</w:t>
      </w:r>
    </w:p>
    <w:p w:rsidR="005728DD" w:rsidRDefault="005728DD" w:rsidP="005728DD">
      <w:pPr>
        <w:pStyle w:val="Extracto"/>
      </w:pPr>
    </w:p>
    <w:p w:rsidR="005728DD" w:rsidRDefault="005728DD" w:rsidP="005728DD">
      <w:pPr>
        <w:pStyle w:val="Extracto"/>
      </w:pPr>
      <w:r>
        <w:t>9.</w:t>
      </w:r>
      <w:r>
        <w:tab/>
        <w:t>El derecho al debido proceso se infringe cuando un tribunal ordinario deniega la aplicación de una norma con rango de ley postconstitucional por considerarla contraria a la Constitución, en lugar de plantear cuestión de inconstitucionalidad; aunque sí que podrán declinar la aplicación de una norma legal para aplicar una disposición recogida en un tratado internacional, pues a ellos les corresponde la interpretación de lo dispuesto en tales instrumentos. Igualmente están facultados para considerar derogado un precepto preconstitucional en virtud de la disposición derogatoria tercera CE, sin necesidad de acudir al art. 55.2 LOTC o tratándose de normas preconstitucionales [FJ 3].</w:t>
      </w:r>
    </w:p>
    <w:p w:rsidR="005728DD" w:rsidRDefault="005728DD" w:rsidP="005728DD">
      <w:pPr>
        <w:pStyle w:val="Extracto"/>
      </w:pPr>
    </w:p>
    <w:p w:rsidR="005728DD" w:rsidRDefault="005728DD" w:rsidP="005728DD">
      <w:pPr>
        <w:pStyle w:val="Extracto"/>
      </w:pPr>
      <w:r>
        <w:t>10.</w:t>
      </w:r>
      <w:r>
        <w:tab/>
        <w:t>La regla de inmunidad de jurisdicción como causa impeditiva del derecho de acceso a la jurisdicción tiene un carácter relativo y su operatividad depende de la naturaleza de los actos objeto de control, excluyéndose aquellos vinculados a actividades de mera gestión [FJ 3].</w:t>
      </w:r>
    </w:p>
    <w:p w:rsidR="005728DD" w:rsidRDefault="005728DD" w:rsidP="005728DD">
      <w:pPr>
        <w:pStyle w:val="Extracto"/>
      </w:pPr>
    </w:p>
    <w:p w:rsidR="005728DD" w:rsidRDefault="005728DD" w:rsidP="005728DD">
      <w:pPr>
        <w:pStyle w:val="Extracto"/>
      </w:pPr>
      <w:r>
        <w:t>11.</w:t>
      </w:r>
      <w:r>
        <w:tab/>
        <w:t>La interpretación de lo dispuesto en los tratados internacionales suscritos por España constituye una cuestión de estricta legalidad que corresponde resolver a los tribunales ordinarios, siendo tarea este tribunal verificar que el fundamento de la decisión judicial sea la aplicación no arbitraria ni irrazonable de las normas que se consideren adecuadas al caso (STC 140/2018)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lastRenderedPageBreak/>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3368-2020, promovido por la Comisión Internacional para la Conservación del Atún Atlántico, representada por la procuradora de los tribunales doña Blanca Rueda Quintero y con la asistencia del letrado don José Luis Castro Martín, contra la sentencia núm. 919/2016, de 4 de noviembre, de la Sala de lo Social del Tribunal Superior de Justicia de Madrid, dictada en el recurso de suplicación 661-2016, que resolvió el formulado contra el auto del Juzgado de lo Social núm. 36 de Madrid, de fecha 15 de abril de 2016; y contra la sentencia núm. 146/2020, de 14 de febrero, de la Sala de lo Social del Tribunal Supremo, dictada en recurso de casación para la unificación de doctrina núm. 82-2017, interpuesto frente a la referida sentencia núm. 919/2016. Ha intervenido el Ministerio Fiscal.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registrado en este tribunal el día 16 de julio de 2020, la Comisión Internacional para la Conservación del Atún Atlántico (en adelante ICCAT), representada por la procuradora de los tribunales doña Blanca Rueda Quintero y con la asistencia del letrado don José Luis Castro Martín, interpuso recurso de amparo contra las sentencias a las que se hace referencia en el encabezamiento, dictadas por la Sala de lo Social del Tribunal Superior de Justicia de Madrid, en el recurso de suplicación 661-2016, y la Sala de lo Social del Tribunal Supremo, en el recurso de casación para la unificación de doctrina núm. 82-2017, alegando la vulneración de su derecho a la tutela judicial efectiva (art. 24.1 CE), en su vertiente de derecho a una resolución motivada y fundada en derecho, y a un proceso con todas las garantías (art. 24.2 CE).</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que se desprenden de la demanda de amparo y de las actuaciones que la acompañan, son los siguientes:</w:t>
      </w:r>
    </w:p>
    <w:p w:rsidR="005728DD" w:rsidRDefault="005728DD" w:rsidP="005728DD">
      <w:pPr>
        <w:pStyle w:val="TextoNormal"/>
      </w:pPr>
    </w:p>
    <w:p w:rsidR="005728DD" w:rsidRDefault="005728DD" w:rsidP="005728DD">
      <w:pPr>
        <w:pStyle w:val="TextoNormal"/>
      </w:pPr>
      <w:r>
        <w:t>a) Doña Felicidad García Rodríguez presentó demanda por despido, extinción de contrato y violación de derechos fundamentales contra la ICCAT, con sede en España, que fue turnada para su conocimiento al Juzgado de lo Social núm. 36 de Madrid, dando lugar a los autos núm. 737-2017.</w:t>
      </w:r>
    </w:p>
    <w:p w:rsidR="005728DD" w:rsidRDefault="005728DD" w:rsidP="005728DD">
      <w:pPr>
        <w:pStyle w:val="TextoNormal"/>
      </w:pPr>
    </w:p>
    <w:p w:rsidR="005728DD" w:rsidRDefault="005728DD" w:rsidP="005728DD">
      <w:pPr>
        <w:pStyle w:val="TextoNormal"/>
      </w:pPr>
      <w:r>
        <w:t>b) Admitida a trámite mediante decreto del letrado de la administración de justicia, de 30 de noviembre de 2015, se dio traslado de la misma a la parte demandada, quien formuló alegaciones.</w:t>
      </w:r>
    </w:p>
    <w:p w:rsidR="005728DD" w:rsidRDefault="005728DD" w:rsidP="005728DD">
      <w:pPr>
        <w:pStyle w:val="TextoNormal"/>
      </w:pPr>
    </w:p>
    <w:p w:rsidR="005728DD" w:rsidRDefault="005728DD" w:rsidP="005728DD">
      <w:pPr>
        <w:pStyle w:val="TextoNormal"/>
      </w:pPr>
      <w:r>
        <w:t xml:space="preserve">c) Con fecha 15 de marzo de 2016, el Juzgado de lo Social núm. 36 de Madrid dictó auto declarando la falta de jurisdicción de los juzgados de lo social para conocer de la demanda “por venir encomendada al Tribunal Administrativo de la Organización Internacional del </w:t>
      </w:r>
      <w:r>
        <w:lastRenderedPageBreak/>
        <w:t>Trabajo o al Tribunal Administrativo de Naciones Unidas, absteniéndose de conocer sobre ella y procediendo al archivo definitivo de las presentes actuaciones”. El órgano de instancia basó su decisión en la condición de funcionaria del organismo internacional de la demandante, y en atención a la inmunidad jurisdiccional otorgada por el instrumento de ratificación del Convenio de sede entre España y la ICCAT, firmado en Madrid el 29 de marzo de 1971, y los estatutos de este organismo, en los que se prevé que los funcionarios interpongan sus recursos, en última instancia, ante el Tribunal Administrativo de la Organización Internacional del Trabajo o el de las Naciones Unidas.</w:t>
      </w:r>
    </w:p>
    <w:p w:rsidR="005728DD" w:rsidRDefault="005728DD" w:rsidP="005728DD">
      <w:pPr>
        <w:pStyle w:val="TextoNormal"/>
      </w:pPr>
    </w:p>
    <w:p w:rsidR="005728DD" w:rsidRDefault="005728DD" w:rsidP="005728DD">
      <w:pPr>
        <w:pStyle w:val="TextoNormal"/>
      </w:pPr>
      <w:r>
        <w:t>d) Por auto de 15 de abril de 2016 se desestimó el recurso de reposición interpuesto por la demandante contra la resolución precedente.</w:t>
      </w:r>
    </w:p>
    <w:p w:rsidR="005728DD" w:rsidRDefault="005728DD" w:rsidP="005728DD">
      <w:pPr>
        <w:pStyle w:val="TextoNormal"/>
      </w:pPr>
    </w:p>
    <w:p w:rsidR="005728DD" w:rsidRDefault="005728DD" w:rsidP="005728DD">
      <w:pPr>
        <w:pStyle w:val="TextoNormal"/>
      </w:pPr>
      <w:r>
        <w:t>e) Formalizado recurso de suplicación por doña Felicidad García Rodríguez, fue estimado por sentencia de la Sala de lo Social del Tribunal Superior de Justicia de Madrid, fechada el 4 de noviembre de 2016, declarando la competencia jurisdiccional de dicho juzgado de lo social para conocer de la demanda interpuesta contra la ICCAT, así como la nulidad del auto de 15 de abril de 2016 y la retroacción de las actuaciones al momento inmediatamente anterior a su dictado, al objeto de proceder al correspondiente señalamiento para la celebración del juicio.</w:t>
      </w:r>
    </w:p>
    <w:p w:rsidR="005728DD" w:rsidRDefault="005728DD" w:rsidP="005728DD">
      <w:pPr>
        <w:pStyle w:val="TextoNormal"/>
      </w:pPr>
    </w:p>
    <w:p w:rsidR="005728DD" w:rsidRDefault="005728DD" w:rsidP="005728DD">
      <w:pPr>
        <w:pStyle w:val="TextoNormal"/>
      </w:pPr>
      <w:r>
        <w:t>Como fundamentos de esa decisión, se expone: en primer lugar, que la relación entre las partes es estrictamente laboral, por más que “a efectos meramente internos u organizativos” tenga la consideración de funcionaria, con lo que resulta de aplicación el art. 25 de la Ley Orgánica del Poder Judicial (LOPJ). En segundo término, porque el privilegio de inmunidad jurisdiccional cede a favor de la jurisdicción del Estado cuando se trata de simples actos de gestión, de la clase del caso enjuiciado, en que la ICCAT actúa “como un particular o de acuerdo con las normas de Derecho privado o laboral”. Por otro lado porque no existe un acuerdo entre España y la organización internacional, en virtud del cual esa última pueda hacer valer la inmunidad de jurisdicción en un proceso como este, “cuando el trabajo haya sido ejecutado o haya de ejecutarse total o parcialmente en España”. Finalmente, porque, de aceptarse la inmunidad de jurisdicción, “no está previsto en la normativa de la organización demandada un tribunal propiamente jurisdiccional, no administrativo, donde pueda ventilarse el conflicto promovido”.</w:t>
      </w:r>
    </w:p>
    <w:p w:rsidR="005728DD" w:rsidRDefault="005728DD" w:rsidP="005728DD">
      <w:pPr>
        <w:pStyle w:val="TextoNormal"/>
      </w:pPr>
    </w:p>
    <w:p w:rsidR="005728DD" w:rsidRDefault="005728DD" w:rsidP="005728DD">
      <w:pPr>
        <w:pStyle w:val="TextoNormal"/>
      </w:pPr>
      <w:r>
        <w:t>f) Mediante escrito, registrado el 9 de diciembre de 2016, la ICCAT formuló recurso de casación para unificación de doctrina, articulado sobre tres motivos, con los que se pretende justificar la prevalencia del principio de inmunidad de jurisdicción de la organización internacional en el asunto objeto de estas actuaciones.</w:t>
      </w:r>
    </w:p>
    <w:p w:rsidR="005728DD" w:rsidRDefault="005728DD" w:rsidP="005728DD">
      <w:pPr>
        <w:pStyle w:val="TextoNormal"/>
      </w:pPr>
    </w:p>
    <w:p w:rsidR="005728DD" w:rsidRDefault="005728DD" w:rsidP="005728DD">
      <w:pPr>
        <w:pStyle w:val="TextoNormal"/>
      </w:pPr>
      <w:r>
        <w:t>Como primer motivo, se invoca la contradicción de la sentencia recurrida con la dictada por la Sala de lo Social del Tribunal Superior de Justicia de Cataluña, de 28 de octubre de 2015, así como la infracción del Convenio de sede suscrito entre España y el ICCAT, al contemplar una excepción no admisible de la inmunidad de jurisdicción en el tratamiento de los funcionarios perteneciente a tal organización internacional.</w:t>
      </w:r>
    </w:p>
    <w:p w:rsidR="005728DD" w:rsidRDefault="005728DD" w:rsidP="005728DD">
      <w:pPr>
        <w:pStyle w:val="TextoNormal"/>
      </w:pPr>
    </w:p>
    <w:p w:rsidR="005728DD" w:rsidRDefault="005728DD" w:rsidP="005728DD">
      <w:pPr>
        <w:pStyle w:val="TextoNormal"/>
      </w:pPr>
      <w:r>
        <w:t xml:space="preserve">Como segundo, se alega la contrariedad de la sentencia recurrida con la dictada el 5 de mayo de 2008 por la Sala de lo Social del Tribunal Superior de Justicia de Madrid y el art. 35 de la Ley Orgánica 16/2015, de 27 de octubre, sobre privilegios e inmunidades de los </w:t>
      </w:r>
      <w:r>
        <w:lastRenderedPageBreak/>
        <w:t>Estados extranjeros, las organizaciones internacionales con sede u oficina en España y las conferencias y reuniones internacionales celebradas en España. Alega la ICCAT que dispone de un mecanismo alternativo para la resolución de conflictos con su personal sumamente garantista del derecho a la tutela judicial efectiva (art. 24.1 CE), en virtud de la aplicación de los estatutos y reglamentos de la Organización de las Naciones Unidas para la Alimentación y la Agricultura (FAO), a los que expresamente se remite el art. 44 de los estatutos y reglamento de personal de la ICCAT para las cuestiones no previstas en los mismos. Ello permite que para la resolución de controversias entre la organización y su personal se pueda acudir, no solo al procedimiento de conciliación, sino también la interposición de un comité de apelaciones de la organización en primera instancia, y ante el Tribunal Administrativo de la Organización Internacional del Trabajo o el Tribunal Administrativo de las Naciones Unidas.</w:t>
      </w:r>
    </w:p>
    <w:p w:rsidR="005728DD" w:rsidRDefault="005728DD" w:rsidP="005728DD">
      <w:pPr>
        <w:pStyle w:val="TextoNormal"/>
      </w:pPr>
    </w:p>
    <w:p w:rsidR="005728DD" w:rsidRDefault="005728DD" w:rsidP="005728DD">
      <w:pPr>
        <w:pStyle w:val="TextoNormal"/>
      </w:pPr>
      <w:r>
        <w:t>El último argumento que se ofrece hace referencia a la discrepancia de la resolución recurrida con la sentencia de la Sala de lo Social del Tribunal Superior de Justicia de Madrid, de 24 de mayo de 2004, pues dada la condición de funcionaria de la demandante, ello determina la falta de jurisdicción e incompetencia del orden social para conocer de la demanda.</w:t>
      </w:r>
    </w:p>
    <w:p w:rsidR="005728DD" w:rsidRDefault="005728DD" w:rsidP="005728DD">
      <w:pPr>
        <w:pStyle w:val="TextoNormal"/>
      </w:pPr>
    </w:p>
    <w:p w:rsidR="005728DD" w:rsidRDefault="005728DD" w:rsidP="005728DD">
      <w:pPr>
        <w:pStyle w:val="TextoNormal"/>
      </w:pPr>
      <w:r>
        <w:t>g) Por sentencia núm. 146/2020 de 14 de febrero, de la Sala de lo Social del Tribunal Supremo se desestimó el recurso de casación interpuesto por la ICCAT.</w:t>
      </w:r>
    </w:p>
    <w:p w:rsidR="005728DD" w:rsidRDefault="005728DD" w:rsidP="005728DD">
      <w:pPr>
        <w:pStyle w:val="TextoNormal"/>
      </w:pPr>
    </w:p>
    <w:p w:rsidR="005728DD" w:rsidRDefault="005728DD" w:rsidP="005728DD">
      <w:pPr>
        <w:pStyle w:val="TextoNormal"/>
      </w:pPr>
      <w:r>
        <w:t xml:space="preserve">La Sala pone de relieve que no siendo contrario al art. 24 CE que exista un régimen de inmunidad de jurisdicción, también es cierto que el art. 21.2 LOPJ y las normas de Derecho internacional público a las que remite este precepto, no imponen una regla de inmunidad absoluta de los Estado extranjeros y organizaciones internacionales. En este sentido, con apoyo en la STC 107/1992, de 1 de julio, hace hincapié en la necesaria distinción entre actos </w:t>
      </w:r>
      <w:r w:rsidRPr="005728DD">
        <w:rPr>
          <w:i/>
        </w:rPr>
        <w:t>iure imperii</w:t>
      </w:r>
      <w:r>
        <w:t xml:space="preserve"> y actos </w:t>
      </w:r>
      <w:r w:rsidRPr="005728DD">
        <w:rPr>
          <w:i/>
        </w:rPr>
        <w:t>iure gestionis</w:t>
      </w:r>
      <w:r>
        <w:t xml:space="preserve">, en orden a la resolución de las cuestiones relativas a los límites de la inmunidad de jurisdicción, así como en la norma contenida en el art. 10 de la Ley Orgánica 16/2015. Tras analizar el art. 11 del Convenio de sede entre España y el ICCAT a la luz de los parámetros interpretativos anteriores, concluye que la inmunidad de jurisdicción “no alcanza las controversias que pueda mantener con sus empleados de nacionalidad española, contratados para prestar servicios en puestos de trabajo de carácter puramente asistencial y técnico, que no suponen el ejercicio del poder público que como </w:t>
      </w:r>
      <w:r w:rsidRPr="005728DD">
        <w:rPr>
          <w:i/>
        </w:rPr>
        <w:t>ius imperii</w:t>
      </w:r>
      <w:r>
        <w:t xml:space="preserve"> le corresponde para el desarrollo de sus objetivos, en la medida en que se trata de meros litigios particulares que no tienen la menor incidencia en el normal desempeño de las funciones y tareas de carácter internacional que constituyen el objetivo de su actuación”. Sin perjuicio de su retribución y del hecho de que esté acreditada como personal de la organización internacional en el registro del Ministerio de Asuntos Exteriores, la Sala considera que la categoría profesional de la demandante es la de auxiliar administrativa y no existe “ningún dato que permita admitir que sus funciones abarcaran las que se corresponden con el desarrollo de la actuación pública de la organización”.</w:t>
      </w:r>
    </w:p>
    <w:p w:rsidR="005728DD" w:rsidRDefault="005728DD" w:rsidP="005728DD">
      <w:pPr>
        <w:pStyle w:val="TextoNormal"/>
      </w:pPr>
    </w:p>
    <w:p w:rsidR="005728DD" w:rsidRDefault="005728DD" w:rsidP="005728DD">
      <w:pPr>
        <w:pStyle w:val="TextoNormal"/>
      </w:pPr>
      <w:r>
        <w:t xml:space="preserve">Igualmente rechaza el motivo relativo a la existencia del mecanismo alternativo de resolución de conflictos que exige el art. 35 de la Ley Orgánica 16/2015, dados los términos “tan vagos, genéricos e imprecisos con los que está redactado el art. 44 de los estatutos y reglamento del personal de la ICCAT”, donde se establece que “podrían aplicarse subsidiariamente” los estatutos de la FAO. Ello significa que “no es en modo alguno automática e incondicionada, sino que se le atribuye una naturaleza puramente potestativa, con la que </w:t>
      </w:r>
      <w:r>
        <w:lastRenderedPageBreak/>
        <w:t>parece dejarse al unilateral arbitrio de la ICCAT” tal posibilidad. Tampoco aparece la menor referencia a esta cuestión en el acuerdo de colaboración firmado en 1973 entre la FAO y la ICCAT, no siendo esta un organismo especializado de la Organización de Naciones Unidas (ONU), como la FAO, y no consta que la ICCAT haya suscrito con Naciones Unidas un acuerdo que le permita someter al Tribunal Administrativo de las Naciones Unidas las controversias con su personal. Ello, a juicio del órgano judicial, impide considerar que la ICCAT disponga de un sistema alternativo de resolución de controversias laborales con los miembros de su personal, para hacer valer la inmunidad de jurisdicción ante los tribunales españoles, que, por consiguiente serán los competentes para conocer de esta clase de reclamaciones, con arreglo a lo dispuesto en el art. 21.1, en relación con el art. 25, ambos de la Ley Orgánica del Poder Judicial.</w:t>
      </w:r>
    </w:p>
    <w:p w:rsidR="005728DD" w:rsidRDefault="005728DD" w:rsidP="005728DD">
      <w:pPr>
        <w:pStyle w:val="TextoNormal"/>
      </w:pPr>
    </w:p>
    <w:p w:rsidR="005728DD" w:rsidRDefault="005728DD" w:rsidP="005728DD">
      <w:pPr>
        <w:pStyle w:val="TextoNormal"/>
      </w:pPr>
      <w:r>
        <w:t xml:space="preserve">Finalmente, en cuanto a la falta de competencia del orden jurisdiccional social para conocer de la causa, dada la condición de funcionaria de la demandante, razón por la que correspondería a la jurisdicción contencioso-administrativa, también la Sala la desestima. La acción ejercitada en la demanda es la de extinción de la relación laboral </w:t>
      </w:r>
      <w:r w:rsidRPr="005728DD">
        <w:rPr>
          <w:i/>
        </w:rPr>
        <w:t>ex</w:t>
      </w:r>
      <w:r>
        <w:t xml:space="preserve"> art. 50 de la Ley del estatuto de los trabajadores, por lo que la normativa legal española de aplicación a los funcionarios no es en modo alguno trasladable a quienes prestan servicios para una organización internacional que se rige por sus propios estatutos y reglamentos de personal. A ello añade que, el art. 24 LOPJ, limita la competencia de la jurisdicción española en el orden contencioso-administrativo, pero no alude a las controversias relativas a la prestación de servicios en favor de empleadores extranjeros, como por el contrario así hace el art. 25 LOPJ para el orden social de la jurisdicción. Por lo demás, advierte que la utilización del término “funcionario” en la versión española de los estatutos y reglamentos de la ICCAT, así como que exista un registro en el Ministerio de Asuntos Exteriores de los empleados de las legaciones extranjeras y organizaciones internacionales con sede en España, no supone la atribución de la condición de funcionario. Por consiguiente, sin perjuicio de que una organización internacional atribuya la denominación de “funcionario” a todos sus empleados, “no supone en realidad que, en el caso de corresponder la competencia a la jurisdicción española, deba de atribuirse en favor de los órganos judiciales del orden contencioso administrativo, puesto que eso no quita que para la resolución de la controversia, haya de aplicarse la normativa laboral y residenciarse en consecuencia ante el orden social, en tanto que resulta absolutamente inviable trasladar al personal contratado por tales organismos la normativa de la función pública española, tal y como como viene a ratificarlo la Ley Orgánica 16/2015 en sus arts. 10 y 35, en los que claramente habla de procesos relativos a contratos de trabajo y procesos laborales”.</w:t>
      </w:r>
    </w:p>
    <w:p w:rsidR="005728DD" w:rsidRDefault="005728DD" w:rsidP="005728DD">
      <w:pPr>
        <w:pStyle w:val="TextoNormal"/>
      </w:pPr>
    </w:p>
    <w:p w:rsidR="005728DD" w:rsidRDefault="005728DD" w:rsidP="005728DD">
      <w:pPr>
        <w:pStyle w:val="TextoNormal"/>
      </w:pPr>
      <w:r w:rsidRPr="005728DD">
        <w:rPr>
          <w:rStyle w:val="NumeroAFNegritaCaracter"/>
        </w:rPr>
        <w:t>3</w:t>
      </w:r>
      <w:r>
        <w:t>. La organización internacional recurrente invoca la vulneración del derecho a la tutela judicial efectiva (art. 24.1 CE), en su vertiente de derecho a una resolución motivada y fundada en derecho, entendiendo que lo correcto habría sido reconocer la inmunidad de jurisdicción de que goza la ICCAT frente a la demanda presentada por doña Felicidad García Rodríguez, incurriendo tanto la Sala de lo Social del Tribunal Superior de Justicia de Madrid como la Sala de lo Social del Tribunal Supremo en una selección e interpretación arbitraria de las normas legales aplicables.</w:t>
      </w:r>
    </w:p>
    <w:p w:rsidR="005728DD" w:rsidRDefault="005728DD" w:rsidP="005728DD">
      <w:pPr>
        <w:pStyle w:val="TextoNormal"/>
      </w:pPr>
    </w:p>
    <w:p w:rsidR="005728DD" w:rsidRDefault="005728DD" w:rsidP="005728DD">
      <w:pPr>
        <w:pStyle w:val="TextoNormal"/>
      </w:pPr>
      <w:r>
        <w:t xml:space="preserve">Así, entiende que a diferencia de los Estados, las organizaciones internacionales gozan de inmunidad absoluta de jurisdicción, “solo exceptuada en el caso de que la propia organización renuncie a ese privilegio en relación con un asunto determinado”, como se pone de </w:t>
      </w:r>
      <w:r>
        <w:lastRenderedPageBreak/>
        <w:t xml:space="preserve">manifiesto en el art. 11 del Convenio de sede del ICCAT donde se establece: “La Comisión Internacional para la Conservación del Atún Atlántico, sus bienes y haberes, donde quiera que se hallen, disfrutan de la inmunidad de jurisdicción, salvo en la medida en que la Comisión renuncie expresamente a ella en un caso determinado o si esta renuncia resultare de las cláusulas de un contrato. Queda entendido, sin embargo, que se necesitará una nueva renuncia para las medidas de ejecución”. A la luz de dicha norma, resulta improcedente distinguir, como se hace en las resoluciones recurridas, entre actos </w:t>
      </w:r>
      <w:r w:rsidRPr="005728DD">
        <w:rPr>
          <w:i/>
        </w:rPr>
        <w:t>ex iure imperii</w:t>
      </w:r>
      <w:r>
        <w:t xml:space="preserve"> y actos </w:t>
      </w:r>
      <w:r w:rsidRPr="005728DD">
        <w:rPr>
          <w:i/>
        </w:rPr>
        <w:t>ex iure gestionis</w:t>
      </w:r>
      <w:r>
        <w:t>, que solo es aplicable a los Estados; así como tampoco puede hacerse con el régimen de inmunidad condicionada que fija el art. 35.1 de la Ley Orgánica 16/2015.</w:t>
      </w:r>
    </w:p>
    <w:p w:rsidR="005728DD" w:rsidRDefault="005728DD" w:rsidP="005728DD">
      <w:pPr>
        <w:pStyle w:val="TextoNormal"/>
      </w:pPr>
    </w:p>
    <w:p w:rsidR="005728DD" w:rsidRDefault="005728DD" w:rsidP="005728DD">
      <w:pPr>
        <w:pStyle w:val="TextoNormal"/>
      </w:pPr>
      <w:r>
        <w:t>En segundo lugar, subraya que de manera injustificada o bien se omite toda referencia o no se aplica debidamente la norma prevista en el referido art. 11 del Convenio de sede, aplicando, en cambio, los arts. 10 y 35.1 de la Ley Orgánica 16/2015, lo que comporta una selección arbitraria de las disposiciones normativas “que desconoce además abiertamente la regla que da preferencia a los tratados internacionales frente a las leyes posteriores”.</w:t>
      </w:r>
    </w:p>
    <w:p w:rsidR="005728DD" w:rsidRDefault="005728DD" w:rsidP="005728DD">
      <w:pPr>
        <w:pStyle w:val="TextoNormal"/>
      </w:pPr>
    </w:p>
    <w:p w:rsidR="005728DD" w:rsidRDefault="005728DD" w:rsidP="005728DD">
      <w:pPr>
        <w:pStyle w:val="TextoNormal"/>
      </w:pPr>
      <w:r>
        <w:t>Asimismo, atribuye a las resoluciones impugnadas la vulneración del derecho a un proceso con todas las garantías (art. 24.2 CE), ya que si los tribunales consideraban que el art. 11 del Convenio de sede suscrito entre España y el ICCAT vulneraba el art. 24.1 CE, debieron plantear una cuestión de inconstitucionalidad, pero no dejarlo de aplicar.</w:t>
      </w:r>
    </w:p>
    <w:p w:rsidR="005728DD" w:rsidRDefault="005728DD" w:rsidP="005728DD">
      <w:pPr>
        <w:pStyle w:val="TextoNormal"/>
      </w:pPr>
    </w:p>
    <w:p w:rsidR="005728DD" w:rsidRDefault="005728DD" w:rsidP="005728DD">
      <w:pPr>
        <w:pStyle w:val="TextoNormal"/>
      </w:pPr>
      <w:r>
        <w:t>Por todo ello, finaliza solicitando que se declare la nulidad de las sentencias impugnadas, para que se dicte una nueva resolución respetuosa con los derechos fundamentales vulnerados.</w:t>
      </w:r>
    </w:p>
    <w:p w:rsidR="005728DD" w:rsidRDefault="005728DD" w:rsidP="005728DD">
      <w:pPr>
        <w:pStyle w:val="TextoNormal"/>
      </w:pPr>
    </w:p>
    <w:p w:rsidR="005728DD" w:rsidRDefault="005728DD" w:rsidP="005728DD">
      <w:pPr>
        <w:pStyle w:val="TextoNormal"/>
      </w:pPr>
      <w:r w:rsidRPr="005728DD">
        <w:rPr>
          <w:rStyle w:val="NumeroAFNegritaCaracter"/>
        </w:rPr>
        <w:t>4</w:t>
      </w:r>
      <w:r>
        <w:t>. El 1 de octubre de 2020 comparecieron ante la letrada de la administración de justicia del Juzgado de lo Social núm. 36 de Madrid doña Felicidad García Rodríguez y la ICCAT, manifestando haber alcanzado un acuerdo, según el cual la organización internacional reconoce la improcedencia del despido de su empleada y ofrece, en concepto de indemnización por despido, la cantidad de 170 000 € netos, con cuya percepción ambas partes se declaran completamente saldadas y finiquitadas por cualquier concepto, reconociendo la actora que no ha existido ninguna clase de daño moral, ni de otra índole derivados de cualquier tipo de conducta inapropiada del ICCAT y que la indemnización obedece exclusivamente al concepto de despido. Ambas partes se comprometen a no entablar reclamación alguna en ningún orden jurisdiccional o arbitral. Así, se extendió la correspondiente acta de conciliación, el mismo día se dictó decreto aprobando lo convenido.</w:t>
      </w:r>
    </w:p>
    <w:p w:rsidR="005728DD" w:rsidRDefault="005728DD" w:rsidP="005728DD">
      <w:pPr>
        <w:pStyle w:val="TextoNormal"/>
      </w:pPr>
    </w:p>
    <w:p w:rsidR="005728DD" w:rsidRDefault="005728DD" w:rsidP="005728DD">
      <w:pPr>
        <w:pStyle w:val="TextoNormal"/>
      </w:pPr>
      <w:r w:rsidRPr="005728DD">
        <w:rPr>
          <w:rStyle w:val="NumeroAFNegritaCaracter"/>
        </w:rPr>
        <w:t>5</w:t>
      </w:r>
      <w:r>
        <w:t>. Por providencia de 24 de noviembre de 2020, la Sala Segunda de este tribunal acordó admitir a trámite el recurso de amparo, apreciando que, en el mismo concurre especial trascendencia constitucional [art. 50.1 de la Ley Orgánica del Tribunal Constitucional (LOTC)], porque el recurso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 xml:space="preserve">Asimismo, en aplicación de lo dispuesto en el art. 51 LOTC, se dirigió atenta comunicación a la Sala de lo Social del Tribunal Superior de Justicia de Madrid y al Juzgado de lo Social núm. 36 de Madrid, a fin de que remitieran certificación o fotocopia adverada de las actuaciones correspondientes al recurso de suplicación núm. 661-2016 y al procedimiento ordinario núm. 937-2015, respectivamente; debiendo el Juzgado de lo Social núm. 36 de </w:t>
      </w:r>
      <w:r>
        <w:lastRenderedPageBreak/>
        <w:t>Madrid emplazar a quienes hubieran sido parte en el proceso del que trae causa el presente recurso, para que pudieran comparecer en estas actuaciones, si así lo deseaban, excepto a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escrito registrado el 28 de diciembre de 2020, doña Felicidad García Rodríguez se personó en las actuaciones, bajo la asistencia letrada de doña Melina Perugini Kasanetz, informando a la Sala Segunda del Tribunal Constitucional del acuerdo entre las partes concluido el 1 de octubre de 2020 que, según sostiene, “zanjaba definitivamente el proceso, en el que ambas partes se comprometían a nada más pedir ni reclamar por concepto alguno […], por lo que entendemos que habiéndose resuelto el conflicto no cabe la sustanciación del presente recurso y la prosecución del mismo es contraria a lo pactado y resulta temeraria”. Se instaba a la Sala a que, antes de realizar más actuaciones, “se pronuncie sobre existe un óbice procesal para la continuidad del presente recurso, instando a la parte contraria para que desista de su recurso, resultando temerario que no haya desistido del mismo, por lo que en caso de no hacerlo se solicita condena por temeridad y se solicita así mismo costas por la presente actuación e alegaciones y personación”. Se alega, en último término, que habiéndose sometido la ICCAT de forma voluntaria a la jurisdicción de los tribunales españoles, “y concretamente de aquel cuya competencia en su día cuestionó, […] difícilmente puede seguir poniéndola en entredicho”, por medio del recurso de amparo interpuesto.</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5 de febrero de 2021, la ICCAT formuló alegaciones frente al anterior escrito en sentido favorable a que se continuara la sustanciación del presente recurso de amparo. Para ello aduce, en primer lugar que al acceder a la aprobación del acuerdo con doña Felicidad García Rodríguez “no ha consentido someterse a la jurisdicción de los tribunales españoles”, y “no puede, pues, interpretarse como una renuncia implícita a la inmunidad de jurisdicción y ejecución que a la ICCAT otorga su Convenio de sede”, toda vez que los actos de los letrados de la administración de justicia carecen de naturaleza jurisdiccional. En segundo término insiste en que el acuerdo transaccional no ha supuesto la satisfacción extraprocesal del recurrente y, con ello, la pérdida de legitimación activa. A su juicio, el recurrente mantiene un interés legítimo en obtener un pronunciamiento de fondo (ATC 458/2006, de 18 de diciembre, FJ 3), consistente en que se revoquen las resoluciones impugnadas, que la despojan “de una parte relevante del estatuto jurídico que el ordenamiento jurídico le confiere por su condición de organización internacional”, al interpretar incorrectamente el contenido y posición en el sistema de ese tratado internacional, lo que proporcionaría a la ICCAT “un beneficio indiscutible e individualizado”. Por otro lado, sostiene que, manteniendo el recurso, la ICCAT no estaría infringiendo los términos del acuerdo. Finalmente, advierte que, aunque se desistiera del recurso, continuaría existiendo un interés general en su sustanciación, como se desprende del hecho de que se haya apreciado la concurrencia de una especial trascendencia constitucional, respecto del recurso de amparo promovido.</w:t>
      </w:r>
    </w:p>
    <w:p w:rsidR="005728DD" w:rsidRDefault="005728DD" w:rsidP="005728DD">
      <w:pPr>
        <w:pStyle w:val="TextoNormal"/>
      </w:pPr>
    </w:p>
    <w:p w:rsidR="005728DD" w:rsidRDefault="005728DD" w:rsidP="005728DD">
      <w:pPr>
        <w:pStyle w:val="TextoNormal"/>
      </w:pPr>
      <w:r w:rsidRPr="005728DD">
        <w:rPr>
          <w:rStyle w:val="NumeroAFNegritaCaracter"/>
        </w:rPr>
        <w:t>8</w:t>
      </w:r>
      <w:r>
        <w:t>. El Ministerio Fiscal presentó alegaciones por escrito, de 26 de marzo de 2021, en sentido desfavorable a la estimación de la demanda de amparo.</w:t>
      </w:r>
    </w:p>
    <w:p w:rsidR="005728DD" w:rsidRDefault="005728DD" w:rsidP="005728DD">
      <w:pPr>
        <w:pStyle w:val="TextoNormal"/>
      </w:pPr>
    </w:p>
    <w:p w:rsidR="005728DD" w:rsidRDefault="005728DD" w:rsidP="005728DD">
      <w:pPr>
        <w:pStyle w:val="TextoNormal"/>
      </w:pPr>
      <w:r>
        <w:t xml:space="preserve">Tras compendiar los acontecimientos procesales que consideró de interés al caso y concretar los aspectos más relevantes de la pretensión de la demandante, señala que el objeto </w:t>
      </w:r>
      <w:r>
        <w:lastRenderedPageBreak/>
        <w:t>del presente recurso consiste en dilucidar si los órganos jurisdiccionales, cuyas resoluciones se impugnaron, han vulnerado el derecho a la tutela judicial efectiva de la organización internacional recurrente (art. 24.1 CE), en su vertiente relativa al derecho a obtener una resolución fundada en derecho, así como también del derecho a un proceso con todas las garantías (art. 24.2 CE), por la inaplicación del art. 11 del Convenio de sede suscrito entre España y el ICCAT, efectuando una selección arbitraria de las normas legales aplicables al caso, y sin haber planteado una cuestión de inconstitucionalidad.</w:t>
      </w:r>
    </w:p>
    <w:p w:rsidR="005728DD" w:rsidRDefault="005728DD" w:rsidP="005728DD">
      <w:pPr>
        <w:pStyle w:val="TextoNormal"/>
      </w:pPr>
    </w:p>
    <w:p w:rsidR="005728DD" w:rsidRDefault="005728DD" w:rsidP="005728DD">
      <w:pPr>
        <w:pStyle w:val="TextoNormal"/>
      </w:pPr>
      <w:r>
        <w:t>Antes de analizar el fondo de la cuestión, el fiscal verifica la concurrencia de los óbices procesales invocados. Así, frente a la aparente pérdida sobrevenida de objeto del recurso por causa del acuerdo extraprocesal suscrito entre las partes, no considera satisfechas las condiciones que se exigen para la aplicación de esta causa de terminación (STC 184/2008, de 22 de diciembre, FJ 2), dado que “no han sido los propios órganos judiciales los que han reparado directamente la lesión alegada ante este tribunal, ni ha desaparecido el acto origen del proceso de amparo y sobre todo considerando que existe un interés general objetivo en la resolución del pleito en el sentido expresado en la providencia que admite el recurso por la especial trascendencia constitucional, pues la decisión que se tome puede servir de referente en cuanto a las posibilidades para interpretar las cláusulas de inmunidad de los convenios o acuerdos entre España y las organizaciones internacionales tras la aprobación de la Ley Orgánica 16/2015, en relación con la doctrina asentada sobre las controversias entre los Estados y el personal de sus embajadas en España, a la vista de la evolución del entendimiento de la inmunidad de jurisdicción que resulta de la normativa y jurisprudencia internacionales”, interés general que no se ve afectado por el puntual reconocimiento de la jurisdicción española en el acuerdo.</w:t>
      </w:r>
    </w:p>
    <w:p w:rsidR="005728DD" w:rsidRDefault="005728DD" w:rsidP="005728DD">
      <w:pPr>
        <w:pStyle w:val="TextoNormal"/>
      </w:pPr>
    </w:p>
    <w:p w:rsidR="005728DD" w:rsidRDefault="005728DD" w:rsidP="005728DD">
      <w:pPr>
        <w:pStyle w:val="TextoNormal"/>
      </w:pPr>
      <w:r>
        <w:t>Por el contrario, para el fiscal concurre el óbice de falta de denuncia previa de la vulneración [art. 44.1 c) LOTC], relativa al hecho de que no se planteara una cuestión de inconstitucionalidad sobre el art. 11 del Convenio de sede del ICCAT, en lugar de inaplicar este precepto al caso, como base de la vulneración del derecho a un proceso con todas las garantías (art. 24.2 CE), pues nada se adujo en el escrito de interposición del recurso de casación. Subsidiariamente, de atribuir la vulneración a la sentencia de la Sala de lo Social del Tribunal Supremo, se habría incurrido en un segundo óbice procesal, por falta de agotamiento de la vía judicial ordinaria al no haber planteado la recurrente el oportuno incidente excepcional de nulidad de actuaciones contra la mencionada sentencia [art. 44.1 a) LOTC].</w:t>
      </w:r>
    </w:p>
    <w:p w:rsidR="005728DD" w:rsidRDefault="005728DD" w:rsidP="005728DD">
      <w:pPr>
        <w:pStyle w:val="TextoNormal"/>
      </w:pPr>
    </w:p>
    <w:p w:rsidR="005728DD" w:rsidRDefault="005728DD" w:rsidP="005728DD">
      <w:pPr>
        <w:pStyle w:val="TextoNormal"/>
      </w:pPr>
      <w:r>
        <w:t>A continuación, analiza la doctrina constitucional aplicable al caso, alcanzando las siguientes conclusiones:</w:t>
      </w:r>
    </w:p>
    <w:p w:rsidR="005728DD" w:rsidRDefault="005728DD" w:rsidP="005728DD">
      <w:pPr>
        <w:pStyle w:val="TextoNormal"/>
      </w:pPr>
    </w:p>
    <w:p w:rsidR="005728DD" w:rsidRDefault="005728DD" w:rsidP="005728DD">
      <w:pPr>
        <w:pStyle w:val="TextoNormal"/>
      </w:pPr>
      <w:r>
        <w:t>(i) Respecto al carácter absoluto de la inmunidad de jurisdicción que corresponde al ICCAT, a juicio del fiscal no es función del Tribunal Constitucional determinarla, siendo la fijación del grado de inmunidad de esa organización internacional una cuestión de legalidad ordinaria, que corresponde resolver a los tribunales ordinarios.</w:t>
      </w:r>
    </w:p>
    <w:p w:rsidR="005728DD" w:rsidRDefault="005728DD" w:rsidP="005728DD">
      <w:pPr>
        <w:pStyle w:val="TextoNormal"/>
      </w:pPr>
    </w:p>
    <w:p w:rsidR="005728DD" w:rsidRDefault="005728DD" w:rsidP="005728DD">
      <w:pPr>
        <w:pStyle w:val="TextoNormal"/>
      </w:pPr>
      <w:r>
        <w:t xml:space="preserve">(ii) Identificado el canon de constitucionalidad aplicable al derecho a la tutela judicial efectiva (art. 24.1 CE) como derecho a una resolución motivada y jurídicamente fundada, sostiene que no cabe calificar como arbitraria, manifiestamente irrazonable o incursa en un error patente la selección de normas aplicables que han realizado el Tribunal Superior de </w:t>
      </w:r>
      <w:r>
        <w:lastRenderedPageBreak/>
        <w:t xml:space="preserve">Justicia de Madrid y el Tribunal Supremo. Tampoco entiende vulnerado ese canon de constitucionalidad, al haberse interpretado que el art. 11 del Convenio de sede no establece una inmunidad de jurisdicción absoluta para todo tipo de actuaciones de la organización y con independencia de las funciones del puesto de trabajo que se desempeñe. Así, es incorrecto que no se pueda diferenciar entre actos </w:t>
      </w:r>
      <w:r w:rsidRPr="005728DD">
        <w:rPr>
          <w:i/>
        </w:rPr>
        <w:t>iure imperii</w:t>
      </w:r>
      <w:r>
        <w:t xml:space="preserve"> y actos </w:t>
      </w:r>
      <w:r w:rsidRPr="005728DD">
        <w:rPr>
          <w:i/>
        </w:rPr>
        <w:t>ex iure gestionis</w:t>
      </w:r>
      <w:r>
        <w:t>, situándose entre esos últimos los relativos a los contratos de trabajo de trabajadores administrativos, pues esta distinción se contiene en el art. 13 del Convenio de sede al diferenciar entre bienes e ingresos vinculados directamente al cumplimiento de los fines de la organización y otros. Y se manifiesta en el diverso tratamiento jurídico que se depara al personal diplomático y administrativo de la organización, según lo previsto en los arts. 12 a 22 del Convenio. Por otro lado, tampoco resulta ilógico utilizar la normativa y jurisprudencia sobre el personal de embajadas y consulados para ayudar en esa interpretación, al que se remite puntualmente en el propio Convenio de sede.</w:t>
      </w:r>
    </w:p>
    <w:p w:rsidR="005728DD" w:rsidRDefault="005728DD" w:rsidP="005728DD">
      <w:pPr>
        <w:pStyle w:val="TextoNormal"/>
      </w:pPr>
    </w:p>
    <w:p w:rsidR="005728DD" w:rsidRDefault="005728DD" w:rsidP="005728DD">
      <w:pPr>
        <w:pStyle w:val="TextoNormal"/>
      </w:pPr>
      <w:r>
        <w:t xml:space="preserve">Desde otra perspectiva, el fiscal hace hincapié en la doctrina constitucional relativa al derecho de acceso a la jurisdicción, en virtud de la cual deben interpretarse con el principio </w:t>
      </w:r>
      <w:r w:rsidRPr="005728DD">
        <w:rPr>
          <w:i/>
        </w:rPr>
        <w:t>pro actione</w:t>
      </w:r>
      <w:r>
        <w:t xml:space="preserve"> y, por consiguiente, de modo restrictivo las norma limitadoras de esa vertiente del derecho a la tutela judicial efectiva (art. 24.1 CE), como sería el referido art. 11 del Convenio, que, de aplicarse según la amplia lectura que propone la recurrente, impediría a la trabajadora demandante en el proceso laboral el acceso a los jueces y tribunales españoles.</w:t>
      </w:r>
    </w:p>
    <w:p w:rsidR="005728DD" w:rsidRDefault="005728DD" w:rsidP="005728DD">
      <w:pPr>
        <w:pStyle w:val="TextoNormal"/>
      </w:pPr>
    </w:p>
    <w:p w:rsidR="005728DD" w:rsidRDefault="005728DD" w:rsidP="005728DD">
      <w:pPr>
        <w:pStyle w:val="TextoNormal"/>
      </w:pPr>
      <w:r>
        <w:t>(iii) Finalmente, en cuanto a la vulneración del derecho a un proceso con todas las garantías (art. 24.2 CE), el Ministerio Fiscal expresa su discrepancia con la recurrente, toda vez que los tribunales no dejan de aplicar el art. 11 del Convenio por considerarlo inconstitucional, sino que meramente lo interpretan con arreglo a los criterios que ya se han calificado antes como no arbitrarios, irracionales o incursos en error patente, según los cuales la inmunidad de jurisdicción de la ICCAT no sería absoluta. A mayor abundamiento, entiende que de considerar que, en verdad, el precepto no se aplicó por estimarlo contrario a la Constitución, en cualquier caso resultaría aceptable dado el rango preconstitucional del Convenio de sede.</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fecha 27 de mayo de 2021, se señaló para votación y fallo del presente recurso el día 31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El presente recurso tiene por objeto la sentencia núm. 919/2016, de 4 de noviembre, de la Sala de lo Social del Tribunal Superior de Justicia de Madrid en el recurso de suplicación núm. 661-2016, así como la sentencia núm. 146/2020, de 14 de febrero, de la Sala de lo Social del Tribunal Supremo, dictada en el recurso de casación para la unificación de doctrina núm. 82-2017, interpuesto frente a la resolución precedente.</w:t>
      </w:r>
    </w:p>
    <w:p w:rsidR="005728DD" w:rsidRDefault="005728DD" w:rsidP="005728DD">
      <w:pPr>
        <w:pStyle w:val="TextoNormal"/>
      </w:pPr>
    </w:p>
    <w:p w:rsidR="005728DD" w:rsidRDefault="005728DD" w:rsidP="005728DD">
      <w:pPr>
        <w:pStyle w:val="TextoNormal"/>
      </w:pPr>
      <w:r>
        <w:t xml:space="preserve">La demandante de amparo atribuye a las resoluciones impugnadas la vulneración del derecho a la tutela judicial efectiva (art. 24.1 CE), en su vertiente de derecho a una resolución motivada, entendiendo que, de conformidad con lo previsto en el art. 11 del Convenio </w:t>
      </w:r>
      <w:r>
        <w:lastRenderedPageBreak/>
        <w:t>de sede suscrito entre España y la ICCAT, lo correcto jurídicamente habría sido reconocer la inmunidad de jurisdicción de que goza la organización internacional frente a la demanda presentada por doña Felicidad García Rodríguez, incurriendo tanto la Sala de lo Social del Tribunal Superior de Justicia de Madrid como la Sala de lo Social del Tribunal Supremo en una selección e interpretación arbitraria de las normas legales aplicables. Asimismo, se les imputa la vulneración del derecho a un proceso con todas las garantías (art. 24.2 CE) por haber inaplicado el art. 11 del Convenio de sede, en lugar de plantear una cuestión de inconstitucionalidad si los órganos jurisdiccionales albergaban dudas sobre su acomodo a la Constitución española.</w:t>
      </w:r>
    </w:p>
    <w:p w:rsidR="005728DD" w:rsidRDefault="005728DD" w:rsidP="005728DD">
      <w:pPr>
        <w:pStyle w:val="TextoNormal"/>
      </w:pPr>
    </w:p>
    <w:p w:rsidR="005728DD" w:rsidRDefault="005728DD" w:rsidP="005728DD">
      <w:pPr>
        <w:pStyle w:val="TextoNormal"/>
      </w:pPr>
      <w:r>
        <w:t>El fiscal se opone y solicita la desestimación del recurso de amparo. Considera que no ha existido la vulneración del derecho a la tutela judicial efectiva (art. 24.1 CE) denunciada por la recurrente, pues no cabe calificar la motivación cuestionada de arbitraria, manifiestamente irrazonada o irrazonable o incursa en un error patente en cuanto a la selección e interpretación de las normas aplicables. Tampoco admite la infracción del derecho a un proceso con todas las garantías (art. 24.2 CE), toda vez que, frente a lo argumentado por la recurrente, no se ha inaplicado el mencionado art. 11 del Convenio, sino tan solo interpretado; y por cuanto, de entender cierta tal objeción, esa inaplicación resultaría aceptable al tratarse de una norma preconstitucional.</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Análisis de las causas de inadmisión de la demanda de amparo</w:t>
      </w:r>
      <w:r>
        <w:t>.</w:t>
      </w:r>
    </w:p>
    <w:p w:rsidR="005728DD" w:rsidRDefault="005728DD" w:rsidP="005728DD">
      <w:pPr>
        <w:pStyle w:val="TextoNormal"/>
      </w:pPr>
    </w:p>
    <w:p w:rsidR="005728DD" w:rsidRDefault="005728DD" w:rsidP="005728DD">
      <w:pPr>
        <w:pStyle w:val="TextoNormal"/>
      </w:pPr>
      <w:r>
        <w:t>Con carácter previo al análisis del fondo del asunto, resulta procedente verificar la eventual concurrencia de ciertos óbices procesales que, de estimarse, obstarían la continuación el presente enjuiciamiento. A saber: en primer término, la posible pérdida sobrevenida de objeto, a raíz del acuerdo transaccional concluido entre la demandante de instancia y la ICCAT. En segundo lugar, el incumplimiento del requisito de falta de denuncia previa de la infracción del derecho a proceso con todas las garantías [art. 44.1 c) LOTC]. Alternativamente al anterior motivo de inadmisión, la falta de agotamiento de la vía judicial ordinaria al no haber acudido al incidente excepcional de nulidad de actuaciones [art. 44.1 a) LOTC].</w:t>
      </w:r>
    </w:p>
    <w:p w:rsidR="005728DD" w:rsidRDefault="005728DD" w:rsidP="005728DD">
      <w:pPr>
        <w:pStyle w:val="TextoNormal"/>
      </w:pPr>
    </w:p>
    <w:p w:rsidR="005728DD" w:rsidRDefault="005728DD" w:rsidP="005728DD">
      <w:pPr>
        <w:pStyle w:val="TextoNormal"/>
      </w:pPr>
      <w:r>
        <w:t>Una consolidada doctrina constitucional reconoce la desaparición sobrevenida de objeto como una de las formas de terminación del proceso constitucional cuando “las circunstancias posteriores a la presentación de la demanda hacen innecesario un pronunciamiento del Tribunal Constitucional al haberse modificado de manera sustancial la controversia” (STC 52/2021, de 15 de marzo, FJ 2, véase también las SSTC 116/2020, de 16 de noviembre, FJ único, y 52/2019, de 11 de abril, FJ 2, entre otras decisiones). Dicha pérdida de objeto “queda referida a los casos en los que o bien los propios órganos judiciales han reparado directamente la lesión alegada ante este tribunal, o bien ha desaparecido el acto o la causa origen del proceso de amparo, ya que en cualquiera de ellos carecería de sentido un pronunciamiento estimatorio al no existir la lesión del derecho fundamental invocada, salvo que, a pesar de haber desaparecido formalmente el acto lesivo, debieran tenerse en cuenta otros elementos de juicio que siguieran haciendo precisa nuestra respuesta (por todas, STC 233/2007, de 5 de noviembre, FJ 3)” (STC 185/2008, de 22 de diciembre, FJ 2; también la STC 73/2018, de 5 de julio, y toda la doctrina en ella citada).</w:t>
      </w:r>
    </w:p>
    <w:p w:rsidR="005728DD" w:rsidRDefault="005728DD" w:rsidP="005728DD">
      <w:pPr>
        <w:pStyle w:val="TextoNormal"/>
      </w:pPr>
    </w:p>
    <w:p w:rsidR="005728DD" w:rsidRDefault="005728DD" w:rsidP="005728DD">
      <w:pPr>
        <w:pStyle w:val="TextoNormal"/>
      </w:pPr>
      <w:r>
        <w:t xml:space="preserve">En cuanto a esta cuestión, el acuerdo transaccional alcanzado por las partes del proceso ordinario puso término al litigio laboral, que dio origen a la presente demanda de amparo, y </w:t>
      </w:r>
      <w:r>
        <w:lastRenderedPageBreak/>
        <w:t>que no tendría ningún efecto sobre la situación creada por tal acuerdo la eventual anulación de las sentencias impugnadas. Sin embargo, como acertadamente expone el Ministerio Fiscal, estimamos procedente seguir con la sustanciación del presente amparo, pues no han sido los propios órganos jurisdiccionales los que han puesto remedio a la lesión alegada; tampoco ha desaparecido el acto origen del recurso de amparo, pero sobre todo, existe un interés general objetivo, traducido en la causa de especial trascendencia constitucional apreciada por este tribunal, dado que la solución que ahora se alcance puede resultar de utilidad en orden a interpretar las cláusulas de inmunidad de jurisdicción, incluidas en convenios o acuerdos suscritos entre España y las organizaciones internacionales, tras la promulgación de la Ley Orgánica 16/2015, de 27 de octubre, sobre privilegios e inmunidades de los Estados extranjeros, las organizaciones internacionales con sede u oficina en España y las conferencias y reuniones internacionales celebradas en España.</w:t>
      </w:r>
    </w:p>
    <w:p w:rsidR="005728DD" w:rsidRDefault="005728DD" w:rsidP="005728DD">
      <w:pPr>
        <w:pStyle w:val="TextoNormal"/>
      </w:pPr>
    </w:p>
    <w:p w:rsidR="005728DD" w:rsidRDefault="005728DD" w:rsidP="005728DD">
      <w:pPr>
        <w:pStyle w:val="TextoNormal"/>
      </w:pPr>
      <w:r>
        <w:t>En relación con el segundo grupo de óbices, efectivamente se constata que la vulneración del derecho a un proceso con todas las garantías con fundamento en la omisión de plantear una cuestión de inconstitucionalidad sobre el art. 11 del Convenio de sede del ICCAT no fue denunciada hasta la formalización de la demanda de amparo, con lo que o bien hemos de considerar incumplido el requisito de denuncia previa de la misma [art. 44.1 c) LOTC], de entender que la lesión fue causada por la Sala de lo Social del Tribunal Superior de Justicia de Madrid, pues nada se dice sobre ello en el recurso de casación; o bien se habría incurrido en una falta de agotamiento de la vía judicial ordinaria, por haber obviado el planteamiento del oportuno incidente excepcional de nulidad de actuaciones, de entender causada la infracción constitucional en la propia decisión del Tribunal Supremo. Las razones expuestas nos han de llevar a inadmitir y, por consiguiente, desestimar el recurso interpuesto por este motivo.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sobre el derecho a la tutela judicial efectiva, en su vertiente de derecho a una resolución motivada y jurídicamente fundada y el privilegio de inmunidad de jurisdicción de los Estados y las organizaciones internacionales</w:t>
      </w:r>
      <w:r>
        <w:t>.</w:t>
      </w:r>
    </w:p>
    <w:p w:rsidR="005728DD" w:rsidRDefault="005728DD" w:rsidP="005728DD">
      <w:pPr>
        <w:pStyle w:val="TextoNormal"/>
      </w:pPr>
    </w:p>
    <w:p w:rsidR="005728DD" w:rsidRDefault="005728DD" w:rsidP="005728DD">
      <w:pPr>
        <w:pStyle w:val="TextoNormal"/>
      </w:pPr>
      <w:r>
        <w:t>Con carácter general, sobre el significado de derecho a la tutela judicial efectiva en su faceta de derecho a obtener una resolución fundada en Derecho, este tribunal entiende que constituye una garantía frente a la arbitrariedad e irrazonabilidad de los poderes públicos, “lo que implica que (i) la resolución ha de estar motivada, es decir, contener los elementos y razones de juicio que permitan conocer cuáles han sido los criterios jurídicos que fundamentan la decisión, y (ii)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(así, SSTC 31/2013, de 12 de marzo, FJ 3, o 48/2014, de 7 de abril, FJ 3)” (STC 3/2019, de 14 de enero, FJ 6, entre otras muchas). Pronunciamiento reiterado, al que se suman otras declaraciones entre las que queremos destacar la atinente a que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(STC 46/2020, de 15 de junio, FJ 3).</w:t>
      </w:r>
    </w:p>
    <w:p w:rsidR="005728DD" w:rsidRDefault="005728DD" w:rsidP="005728DD">
      <w:pPr>
        <w:pStyle w:val="TextoNormal"/>
      </w:pPr>
    </w:p>
    <w:p w:rsidR="005728DD" w:rsidRDefault="005728DD" w:rsidP="005728DD">
      <w:pPr>
        <w:pStyle w:val="TextoNormal"/>
      </w:pPr>
      <w:r>
        <w:t xml:space="preserve">También por lo que al derecho de acceso a la jurisdicción, (art. 24.1 CE) se ha puesto de relieve que el canon de constitucionalidad aplicable resulta del principio </w:t>
      </w:r>
      <w:r w:rsidRPr="005728DD">
        <w:rPr>
          <w:i/>
        </w:rPr>
        <w:t>pro actione</w:t>
      </w:r>
      <w:r>
        <w:t xml:space="preserve">, que no supone que deba optarse por la interpretación más propicia a la admisión del acto de postulación de entre todas las posibles, pero sí proscribe interpretaciones excesivamente formalistas o rigoristas de los criterios de admisión. En otras palabras, “que, dada la trascendencia que para la tutela judicial tienen las decisiones de denegación de acceso a la jurisdicción, su control constitucional ha de verificarse de forma especialmente intensa, a través de los criterios que proporciona el principio </w:t>
      </w:r>
      <w:r w:rsidRPr="005728DD">
        <w:rPr>
          <w:i/>
        </w:rPr>
        <w:t>pro actione</w:t>
      </w:r>
      <w:r>
        <w:t xml:space="preserv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w:t>
      </w:r>
      <w:r w:rsidRPr="005728DD">
        <w:rPr>
          <w:i/>
        </w:rPr>
        <w:t>ratio</w:t>
      </w:r>
      <w:r>
        <w:t xml:space="preserve">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(STC 141/2020, de 19 de octubre, FJ 3, también la más reciente STC 63/2021, de 15 de marzo, FJ 3). Habiéndose admitido entre las causas impeditivas la falta de competencia jurisdiccional (STC 141/2020, de 19 de octubre, FJ 3).</w:t>
      </w:r>
    </w:p>
    <w:p w:rsidR="005728DD" w:rsidRDefault="005728DD" w:rsidP="005728DD">
      <w:pPr>
        <w:pStyle w:val="TextoNormal"/>
      </w:pPr>
    </w:p>
    <w:p w:rsidR="005728DD" w:rsidRDefault="005728DD" w:rsidP="005728DD">
      <w:pPr>
        <w:pStyle w:val="TextoNormal"/>
      </w:pPr>
      <w:r>
        <w:t>En cuanto al derecho a un proceso con todas las garantías con el fundamento expuesto en el recurso de amparo y sin perjuicio de la inadmisión del motivo por el que se denuncia su vulneración, esta se produciría como consecuencia de la no aplicación por un tribunal ordinario de una norma postconstitucional, con rango de ley, por considerarla contraria a la Constitución o, en su caso, al Derecho de la Unión Europea, en lugar de plantear la oportuna cuestión de inconstitucionalidad ante el tribunal o cuestión prejudicial ante el Tribunal de Justicia de la Unión Europea. Así, respecto de lo primero, es efectivamente doctrina de este tribunal el que “los órganos de la jurisdicción ordinaria no pueden inaplicar una ley postconstitucional vigente sin plantear cuestión de inconstitucionalidad, pues al hacerlo incurren en exceso de jurisdicción de conformidad con los arts. 153 a) y c) y 163 CE, en la medida en que interpretan preceptos y normas de la Constitución y del bloque de la constitucionalidad (STC 173/2002, FJ 7), y vulneran además las garantías procesales del art. 24 CE, pues aunque pueda resultar esa decisión judicial ‘aparente o formalmente motivada’ no es, sin embargo ‘una resolución fundada en Derecho’ resultando así ‘lesiva de las garantías del proceso debido’ y provocando ‘indefensión’ a la parte recurrente (por todas, STC 177/2013, de 21 de octubre, FJ 8, con cita de otras)” (STC 1/2017, de 16 de enero, FJ 3). Como también es doctrina consolidada que “[r]esulta contrario al derecho a un proceso con todas las garantías (art. 24.2 CE), dejar de aplicar una norma interna (tenga esta o no rango de ley) sin plantear cuestión prejudicial ante el Tribunal de Justicia de la Unión Europea, cuando exista una ‘duda objetiva, clara y terminante’ sobre esa supuesta contradicción [SSTC 58/2004, FFJJ 9 a 14; 232/2015, FJ 5 a)]” (STC 37/2019, de 26 de marzo, FJ 4).</w:t>
      </w:r>
    </w:p>
    <w:p w:rsidR="005728DD" w:rsidRDefault="005728DD" w:rsidP="005728DD">
      <w:pPr>
        <w:pStyle w:val="TextoNormal"/>
      </w:pPr>
    </w:p>
    <w:p w:rsidR="005728DD" w:rsidRDefault="005728DD" w:rsidP="005728DD">
      <w:pPr>
        <w:pStyle w:val="TextoNormal"/>
      </w:pPr>
      <w:r>
        <w:t xml:space="preserve">Por el contrario, se ha reconocido la posibilidad de que los tribunales ordinarios puedan declinar la aplicación de una norma legal para aplicar en su lugar un precepto contenido en un tratado internacional, así como también podrán inaplicar normas preconstitucionales. En este sentido, declaramos que “[e]l marco jurídico constitucional existente erige, pues, al </w:t>
      </w:r>
      <w:r>
        <w:lastRenderedPageBreak/>
        <w:t>control de convencionalidad en el sistema español en una mera regla de selección de derecho aplicable, que corresponde realizar, en cada caso concreto, a los jueces y magistrados de la jurisdicción ordinaria. Como viene estableciendo de forma incontrovertida la jurisprudencia previa, la determinación de cuál sea la norma aplicable al caso concreto es una cuestión de legalidad que no le corresponde resolver al Tribunal Constitucional sino, en principio, a los jueces y tribunales ordinarios en el ejercicio de la función jurisdiccional que, con carácter exclusivo, les atribuye el artículo 117.3 CE (por todas SSTC 49/1988, de 22 de marzo, FJ 14; 180/1993, de 31 de mayo, FJ 3, y 102/2002, FJ 7). En síntesis, la facultad propia de la jurisdicción para determinar la norma aplicable al supuesto controvertido se proyecta también a la interpretación de lo dispuesto en los tratados internacionales (STC 102/2002, FJ 7), así como al análisis de la compatibilidad entre una norma interna y una disposición internacional. Ello supone que, en aplicación de la prescripción contenida en el artículo 96 CE, cualquier juez ordinario puede desplazar la aplicación de una norma interna con rango de ley para aplicar de modo preferente la disposición contenida en un tratado internacional, sin que de tal desplazamiento derive la expulsión de la norma interna del ordenamiento, como resulta obvio, sino su mera inaplicación al caso concreto. La admisión de la posibilidad de que una norma con rango legal sea inaplicada por órganos de la jurisdicción ordinaria ha sido admitida por este tribunal en aplicación del principio de prevalencia (SSTC 102/2016, de 25 de mayo; 116/2016, de 20 de junio, y 127/2016, de 7 de julio), en lo que hace al control de constitucionalidad de normas preconstitucionales (STC 11/1981, de 8 de abril), y a la hora de determinar las relaciones entre las fuentes internas de rango legal y las normas de Derecho comunitario derivado (por todas SSTC 28/1991, de 14 de febrero, FJ 5; 64/1991, de 22 de marzo, FJ 4; 180/1993, de 31 de mayo, FJ 3; 145/2012, de 2 de julio, FJ 2, y 118/2016, de 23 de junio, FJ 3)” (STC 140/2018, de 20 de diciembre, FJ 6). Será tarea del Tribunal Constitucional “a través del recurso de amparo constitucional, revisar la selección del derecho formulada por los jueces ordinarios en determinadas circunstancias bajo el parámetro del artículo 24.1 CE, que garantiza ‘que el fundamento de la decisión judicial sea la aplicación no arbitraria ni irrazonable de las normas que se consideren adecuadas al caso, pues tanto si la aplicación de la legalidad es fruto de un error patente con relevancia constitucional, como si fuere arbitraria, manifiestamente irrazonada o irrazonable no podría considerarse fundada en Derecho, dado que la aplicación de la legalidad sería tan solo una mera apariencia (por todas, SSTC 25/2000, de 31 de enero, FJ 2; 221/2001, de 31 de octubre, FJ 6, y 308/2006, de 23 de octubre, FJ 5)’ (STC 145/2012, de 2 de julio, FJ 4)” (</w:t>
      </w:r>
      <w:r w:rsidRPr="005728DD">
        <w:rPr>
          <w:i/>
        </w:rPr>
        <w:t>ibidem</w:t>
      </w:r>
      <w:r>
        <w:t>).</w:t>
      </w:r>
    </w:p>
    <w:p w:rsidR="005728DD" w:rsidRDefault="005728DD" w:rsidP="005728DD">
      <w:pPr>
        <w:pStyle w:val="TextoNormal"/>
      </w:pPr>
    </w:p>
    <w:p w:rsidR="005728DD" w:rsidRDefault="005728DD" w:rsidP="005728DD">
      <w:pPr>
        <w:pStyle w:val="TextoNormal"/>
      </w:pPr>
      <w:r>
        <w:t xml:space="preserve">En lo que respecta al tratamiento de la inmunidad de jurisdicción, en particular, en materia de controversias surgidas en el contexto de relaciones laborales, la doctrina constitucional queda acotada a la predicable de los Estados extranjeros y de su personal, donde se pone en conexión tal privilegio con el derecho a la tutela judicial efectiva, habiendo declarado que “aun cuando el régimen de inmunidad de ejecución de los Estados extranjeros no resulte contrario en principio al derecho fundamental sobredicho, una indebida extensión de su ámbito por parte de los tribunales ordinarios sí conllevaría una violación de ese derecho” (STC 176/2001, de 17 de septiembre, FJ 2). Y sigue, “[c]omo este tribunal ha tenido la ocasión de manifestar, el art. 21.2 LOPJ y las normas de Derecho internacional público a la que tal precepto remite, no imponen una regla de inmunidad absoluta de ejecución de los Estados extranjeros, sino que permiten afirmar la relatividad de dicha inmunidad, conclusión que se ve reforzada por la propia exigencia de la efectividad de los derechos que contienen el art. 24 CE y por la </w:t>
      </w:r>
      <w:r w:rsidRPr="005728DD">
        <w:rPr>
          <w:i/>
        </w:rPr>
        <w:t>ratio</w:t>
      </w:r>
      <w:r>
        <w:t xml:space="preserve"> de la inmunidad, que no es la de otorgar a los Estados una </w:t>
      </w:r>
      <w:r>
        <w:lastRenderedPageBreak/>
        <w:t xml:space="preserve">protección indiscriminada, sino la de salvaguardar su igualdad e independencia. Por consiguiente, la delimitación del alcance de tal inmunidad debe partir de la premisa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en consecuencia, una decisión de inejecución supondría en tales casos una vulneración del art. 24.1 CE (SSTC 107/1992, de 1 de julio, FJ 4; 292/1994, de 27 de octubre, FJ 3, y 18/1997, de 10 de febrero, FJ 6). Por lo tanto, la relatividad de la inmunidad de la ejecución de los Estados extranjeros se asienta en la distinción entre bienes destinados a actividades de </w:t>
      </w:r>
      <w:r w:rsidRPr="005728DD">
        <w:rPr>
          <w:i/>
        </w:rPr>
        <w:t>iure imperii</w:t>
      </w:r>
      <w:r>
        <w:t xml:space="preserve"> (es decir, en las que está empeñada la soberanía del Estado) y bienes destinados a actividades de </w:t>
      </w:r>
      <w:r w:rsidRPr="005728DD">
        <w:rPr>
          <w:i/>
        </w:rPr>
        <w:t>iure gestionis</w:t>
      </w:r>
      <w:r>
        <w:t xml:space="preserve"> (o lo que es lo mismo, actividades en las que el Estado no hace uso de su potestad de imperio y actúa de la misma manera que un particular)” </w:t>
      </w:r>
      <w:r w:rsidRPr="005728DD">
        <w:rPr>
          <w:i/>
        </w:rPr>
        <w:t>(ibide</w:t>
      </w:r>
      <w:r>
        <w:t>m).</w:t>
      </w:r>
    </w:p>
    <w:p w:rsidR="005728DD" w:rsidRDefault="005728DD" w:rsidP="005728DD">
      <w:pPr>
        <w:pStyle w:val="TextoNormal"/>
      </w:pPr>
    </w:p>
    <w:p w:rsidR="005728DD" w:rsidRDefault="005728DD" w:rsidP="005728DD">
      <w:pPr>
        <w:pStyle w:val="TextoNormal"/>
      </w:pPr>
      <w:r>
        <w:t>Tal doctrina, en lo que al presente recurso de amparo concierne puede sintetizarse en las siguientes proposiciones: (i) obtener una resolución fundada en derecho constituye una garantía frente a la arbitrariedad de los poderes públicos, pero no asegura la corrección jurídica de la interpretación y aplicación del derecho; (ii) el derecho a la tutela judicial efectiva, en su vertiente de acceso a la jurisdicción, excluye criterios de admisión excesivamente formalistas o rigoristas, que impidan el enjuiciamiento del fondo del asunto, si bien resulta aceptable como causa de inadmisión la falta de competencia jurisdiccional; (iii) el derecho al debido proceso se infringe cuando un tribunal ordinario deniega la aplicación de una norma con rango de ley postconstitucional por considerarla contraria a la Constitución, en lugar de plantear cuestión de inconstitucionalidad; aunque sí que podrán declinar la aplicación de una norma legal para aplicar una disposición recogida en un tratado internacional, pues a ellos les corresponde la interpretación de lo dispuesto en tales instrumentos. Igualmente están facultadas para considerar derogado un precepto preconstitucional en virtud de la disposición derogatoria tercera CE, sin necesidad de acudir al art. 55.2 LOTC o tratándose de normas preconstitucionales; (iv) y, finalmente, que la regla de inmunidad de jurisdicción como causa impeditiva del derecho de acceso a la jurisdicción tiene un carácter relativo y su operatividad depende de la naturaleza de los actos objeto de control, excluyéndose aquellos vinculados a actividades de mera gestión.</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constitucional al caso concreto</w:t>
      </w:r>
      <w:r>
        <w:t>.</w:t>
      </w:r>
    </w:p>
    <w:p w:rsidR="005728DD" w:rsidRDefault="005728DD" w:rsidP="005728DD">
      <w:pPr>
        <w:pStyle w:val="TextoNormal"/>
      </w:pPr>
    </w:p>
    <w:p w:rsidR="005728DD" w:rsidRDefault="005728DD" w:rsidP="005728DD">
      <w:pPr>
        <w:pStyle w:val="TextoNormal"/>
      </w:pPr>
      <w:r>
        <w:t xml:space="preserve">Expuestos los criterios constitucionales a los que debemos sujetarnos para dirimir la presente </w:t>
      </w:r>
      <w:r w:rsidRPr="005728DD">
        <w:rPr>
          <w:i/>
        </w:rPr>
        <w:t>litis</w:t>
      </w:r>
      <w:r>
        <w:t>, procede analizar la respuesta dada por los órganos jurisdiccionales, cuyo razonamiento es cuestionado por la organización internacional recurrente.</w:t>
      </w:r>
    </w:p>
    <w:p w:rsidR="005728DD" w:rsidRDefault="005728DD" w:rsidP="005728DD">
      <w:pPr>
        <w:pStyle w:val="TextoNormal"/>
      </w:pPr>
    </w:p>
    <w:p w:rsidR="005728DD" w:rsidRDefault="005728DD" w:rsidP="005728DD">
      <w:pPr>
        <w:pStyle w:val="TextoNormal"/>
      </w:pPr>
      <w:r>
        <w:t xml:space="preserve">Los argumentos contenidos en la demanda de amparo parten de una afirmación claramente cuestionable: que la ICCAT goza de inmunidad absoluta, derivada de la previsión contenida en el art. 11 del instrumento de ratificación del Convenio de sede entre España y la ICCAT, firmado el 29 de marzo de 1971. En esta norma se dispone que “[l]a Comisión Internacional para la Conservación del Atún Atlántico, sus bienes y haberes, donde quiera que se hallen, disfrutan de la inmunidad de jurisdicción, salvo en la medida en que la Comisión renuncie expresamente a ella en un caso determinado o si esta renuncia resultare de las cláusulas de un contrato. Queda entendido, sin embargo, que se necesitará una nueva renuncia para las medidas de ejecución”. En definitiva, considera que a la ICCAT no le sería </w:t>
      </w:r>
      <w:r>
        <w:lastRenderedPageBreak/>
        <w:t>aplicable la distinción que, en atención a la naturaleza de la actividad sometida a escrutinio, ha venido siendo empleada con los Estados al objeto de alcanzar el oportuno punto de equilibrio entre semejante privilegio y la salvaguarda del derecho a la tutela judicial efectiva, en su faceta de derecho de acceso a la jurisdicción.</w:t>
      </w:r>
    </w:p>
    <w:p w:rsidR="005728DD" w:rsidRDefault="005728DD" w:rsidP="005728DD">
      <w:pPr>
        <w:pStyle w:val="TextoNormal"/>
      </w:pPr>
    </w:p>
    <w:p w:rsidR="005728DD" w:rsidRDefault="005728DD" w:rsidP="005728DD">
      <w:pPr>
        <w:pStyle w:val="TextoNormal"/>
      </w:pPr>
      <w:r>
        <w:t>En este punto, hay que subrayar que, como indicamos en el apartado precedente, la interpretación de lo dispuesto en los tratados internacionales suscritos por España constituye una cuestión de estricta legalidad que corresponde resolver a los tribunales ordinarios, siendo tarea este tribunal verificar que “el fundamento de la decisión judicial sea la aplicación no arbitraria ni irrazonable de las normas que se consideren adecuadas al caso” (STC 140/2018, de 20 de diciembre, FJ 6).</w:t>
      </w:r>
    </w:p>
    <w:p w:rsidR="005728DD" w:rsidRDefault="005728DD" w:rsidP="005728DD">
      <w:pPr>
        <w:pStyle w:val="TextoNormal"/>
      </w:pPr>
    </w:p>
    <w:p w:rsidR="005728DD" w:rsidRDefault="005728DD" w:rsidP="005728DD">
      <w:pPr>
        <w:pStyle w:val="TextoNormal"/>
      </w:pPr>
      <w:r>
        <w:t>En tal sentido, se debe avanzar que la selección de disposiciones efectuada, tanto por la Sala de lo Social del Tribunal Superior de Justicia de Madrid, como por la Sala de lo Social del Tribunal Supremo es adecuada, al tratarse de normas relevantes para la resolución de la controversia planteada. En la sentencia resolutoria del recurso de suplicación, esa normativa comprende regulaciones relativas al régimen de inmunidad y al personal que trabaja para la ICCAT, como son el art. 11 del Convenio de sede del ICCAT, el art. 44 de los estatutos y reglamento de personal del ICCAT y, por remisión de este, el art. 23.4 los estatutos del personal de la Organización de las Naciones Unidas para la Alimentación y la Agricultura (FAO); así como disposiciones españolas, tales como el art. 35.1 la Ley Orgánica 16/2015, de 27 de octubre, sobre privilegios e inmunidades de los Estados extranjeros, las organizaciones internacionales con sede u oficina en España y las conferencias y reuniones internacionales celebradas en España, y el 25.1 LOPJ.</w:t>
      </w:r>
    </w:p>
    <w:p w:rsidR="005728DD" w:rsidRDefault="005728DD" w:rsidP="005728DD">
      <w:pPr>
        <w:pStyle w:val="TextoNormal"/>
      </w:pPr>
    </w:p>
    <w:p w:rsidR="005728DD" w:rsidRDefault="005728DD" w:rsidP="005728DD">
      <w:pPr>
        <w:pStyle w:val="TextoNormal"/>
      </w:pPr>
      <w:r>
        <w:t>A esas disposiciones, el Tribunal Supremo añade las siguientes: el art. XI del Convenio internacional para la conservación del atún del Atlántico, de 14 de mayo de 1966, ratificado por España el 6 de marzo de 1969; el acuerdo de colaboración entre la FAO y la ICCAT de 1973; la Convención de las Naciones Unidas sobre inmunidades jurisdiccionales de los Estados y de sus bienes, de 2 de diciembre de 2004, y los arts. 9.1, 21 y, de nuevo, 25 LOPJ; cuya relevancia se deriva del hecho de referirse expresamente a la organización internacional recurrente, por haber sido citadas por esta en su recurso de casación o por regular la competencia jurisdiccional de los tribunales españoles en los órdenes civil, contencioso-administrativo y social. Como puede fácilmente apreciarse, ninguna de las normas seleccionadas por los órganos judiciales puede tacharse de ajena a la controversia suscitada.</w:t>
      </w:r>
    </w:p>
    <w:p w:rsidR="005728DD" w:rsidRDefault="005728DD" w:rsidP="005728DD">
      <w:pPr>
        <w:pStyle w:val="TextoNormal"/>
      </w:pPr>
    </w:p>
    <w:p w:rsidR="005728DD" w:rsidRDefault="005728DD" w:rsidP="005728DD">
      <w:pPr>
        <w:pStyle w:val="TextoNormal"/>
      </w:pPr>
      <w:r>
        <w:t>Basta una lectura conjunta de tales normas, para comprobar que todas ellas son aplicables a la controversia suscitada y que, por consiguiente ninguna arbitrariedad se ha cometido en la selección de la normativa aplicable. Otro tanto ha de decirse su interpretación y aplicación al caso enjuiciado y, en particular, respecto del alcance relativo, que no absoluto, de la inmunidad que se debe reconocer a la ICCAT, contrariamente a lo que la organización internacional deriva del art. 11 del Convenio de sede.</w:t>
      </w:r>
    </w:p>
    <w:p w:rsidR="005728DD" w:rsidRDefault="005728DD" w:rsidP="005728DD">
      <w:pPr>
        <w:pStyle w:val="TextoNormal"/>
      </w:pPr>
    </w:p>
    <w:p w:rsidR="005728DD" w:rsidRDefault="005728DD" w:rsidP="005728DD">
      <w:pPr>
        <w:pStyle w:val="TextoNormal"/>
      </w:pPr>
      <w:r>
        <w:t xml:space="preserve">En las sentencias impugnadas, tal conclusión nace de la aplicación a las organizaciones internacionales, al igual que a los Estados, de la distinción entre actos </w:t>
      </w:r>
      <w:r w:rsidRPr="005728DD">
        <w:rPr>
          <w:i/>
        </w:rPr>
        <w:t>iuri imperii</w:t>
      </w:r>
      <w:r>
        <w:t xml:space="preserve"> y actos </w:t>
      </w:r>
      <w:r w:rsidRPr="005728DD">
        <w:rPr>
          <w:i/>
        </w:rPr>
        <w:t>iure gestionis</w:t>
      </w:r>
      <w:r>
        <w:t xml:space="preserve">, a efectos de determinar el alcance de esa inmunidad de jurisdicción en los términos expuestos en el fundamento precedente. Coinciden ambos tribunales en que una </w:t>
      </w:r>
      <w:r>
        <w:lastRenderedPageBreak/>
        <w:t xml:space="preserve">controversia suscitada por el despido de la trabajadora demandante en instancia, quien desarrolla tareas meramente administrativas, en ningún caso puede afectar a los fines propios de la organización y, por consiguiente, se inscribe dentro de la segunda categoría de actos </w:t>
      </w:r>
      <w:r w:rsidRPr="005728DD">
        <w:rPr>
          <w:i/>
        </w:rPr>
        <w:t>iure gestionis</w:t>
      </w:r>
      <w:r>
        <w:t xml:space="preserve">, que no gozan de ese privilegio. En igual sentido se han pronunciado tanto el Tribunal Europeo de Derechos Humanos (SSTEDH de 23 de marzo de 2010, asunto </w:t>
      </w:r>
      <w:r w:rsidRPr="005728DD">
        <w:rPr>
          <w:i/>
        </w:rPr>
        <w:t>Cudak c. Lituania</w:t>
      </w:r>
      <w:r>
        <w:t xml:space="preserve">, y de 29 de junio de 2011, asunto </w:t>
      </w:r>
      <w:r w:rsidRPr="005728DD">
        <w:rPr>
          <w:i/>
        </w:rPr>
        <w:t>Sabeh el Leil c. Francia</w:t>
      </w:r>
      <w:r>
        <w:t xml:space="preserve">), como el Tribunal de Justicia de la Unión Europea, (en la sentencia de 19 de julio de 2012, asunto C-154/11, </w:t>
      </w:r>
      <w:r w:rsidRPr="005728DD">
        <w:rPr>
          <w:i/>
        </w:rPr>
        <w:t>Ahmed Mahamdia c. República Argelina Democrática y Popular</w:t>
      </w:r>
      <w:r>
        <w:t>).</w:t>
      </w:r>
    </w:p>
    <w:p w:rsidR="005728DD" w:rsidRDefault="005728DD" w:rsidP="005728DD">
      <w:pPr>
        <w:pStyle w:val="TextoNormal"/>
      </w:pPr>
    </w:p>
    <w:p w:rsidR="005728DD" w:rsidRDefault="005728DD" w:rsidP="005728DD">
      <w:pPr>
        <w:pStyle w:val="TextoNormal"/>
      </w:pPr>
      <w:r>
        <w:t xml:space="preserve">Aunque la recurrente cuestiona ese argumento, reivindicando un trato diferente de las organizaciones internacionales, en particular, de la ICCAT, y los Estados, de manera que “[l]a entera actuación de las organizaciones internacionales, o bien implica el ejercicio de los poderes y competencias que le han sido atribuidas, o bien es una actuación </w:t>
      </w:r>
      <w:r w:rsidRPr="005728DD">
        <w:rPr>
          <w:i/>
        </w:rPr>
        <w:t>ultra vires</w:t>
      </w:r>
      <w:r>
        <w:t xml:space="preserve"> y por lo tanto inválida”, son varios los argumentos que se pueden oponer para rechazar esta objeción, atendiendo a la propia normativa de la ICCAT. De un lado, el art. 1 del Convenio de sede, dedicado al reconocimiento de personalidad jurídica propia y capacidad de obrar y procesal de la organización internacional no limita su validez a que se trate de actuaciones vinculadas al ejercicio de sus funciones. De otro, el art. 13 del Convenio de sede declara exentos de impuesto y gravámenes exclusivamente los bienes e ingresos “obtenidos y vinculados directamente al cumplimiento de las finalidades propias”, lo que presupone la existencia de otros. El mismo Convenio de sede utiliza conceptos aplicables a los Estados, en cuanto el trato que se confiere a sus representaciones diplomáticas, al remitirse al régimen de privilegios que se reconoce a las sedes de aquellas (art. 4.3); o respecto de los privilegios e inmunidades aplicables a los altos funcionarios de la organización, que será el propio de los diplomáticos extranjeros (arts. 15, 16, 19 y 21). Habida cuenta esto último, como destaca el Ministerio Fiscal en sus alegaciones, “utilizar normativa y jurisprudencia sobre el personal de embajadas y consulados, para ayudar en la interpretación del sentido que haya de darle a la inmunidad de jurisdicción del art. 11, no resulta asimismo ilógico, irracional o absurdo, ni supone un error conceptual patente, como se pretende en la demanda de amparo”.</w:t>
      </w:r>
    </w:p>
    <w:p w:rsidR="005728DD" w:rsidRDefault="005728DD" w:rsidP="005728DD">
      <w:pPr>
        <w:pStyle w:val="TextoNormal"/>
      </w:pPr>
    </w:p>
    <w:p w:rsidR="005728DD" w:rsidRDefault="005728DD" w:rsidP="005728DD">
      <w:pPr>
        <w:pStyle w:val="TextoNormal"/>
      </w:pPr>
      <w:r>
        <w:t>Amén de lo anterior, en los arts. 15 a 22 del Convenio se distingue entre el personal diplomático de la organización y el meramente administrativo o expertos, reconociéndoles distintas clases de inmunidad, hasta su efectiva denegación bajo determinadas circunstancias.</w:t>
      </w:r>
    </w:p>
    <w:p w:rsidR="005728DD" w:rsidRDefault="005728DD" w:rsidP="005728DD">
      <w:pPr>
        <w:pStyle w:val="TextoNormal"/>
      </w:pPr>
    </w:p>
    <w:p w:rsidR="005728DD" w:rsidRDefault="005728DD" w:rsidP="005728DD">
      <w:pPr>
        <w:pStyle w:val="TextoNormal"/>
      </w:pPr>
      <w:r>
        <w:t>En definitiva, del Convenio de sede no se desprende un tratamiento unívoco de la inmunidad, ni para todos los actos, ni para todas las personas que trabajan para la ICCAT, no pudiendo tacharse de arbitraria o irracional la interpretación del art. 11 del convenio efectuada por las sentencias impugnadas.</w:t>
      </w:r>
    </w:p>
    <w:p w:rsidR="005728DD" w:rsidRDefault="005728DD" w:rsidP="005728DD">
      <w:pPr>
        <w:pStyle w:val="TextoNormal"/>
      </w:pPr>
    </w:p>
    <w:p w:rsidR="005728DD" w:rsidRDefault="005728DD" w:rsidP="005728DD">
      <w:pPr>
        <w:pStyle w:val="TextoNormal"/>
      </w:pPr>
      <w:r>
        <w:t>Desde la perspectiva de la trabajadora demandante, el canon de constitucionalidad aplicable comporta el rechazo de interpretaciones injustificadamente restrictivas del derecho de acceso a la jurisdicción. A tales efectos la recurrente considera improcedente la aplicación de la previsión contenida en el segundo párrafo del art. 35.1 de la Ley Orgánica 16/2015, en la que se condiciona la inmunidad de jurisdicción en “procesos del ámbito laboral relativos a miembros del personal de las organizaciones internacionales” a la existencia “de un me</w:t>
      </w:r>
      <w:r>
        <w:lastRenderedPageBreak/>
        <w:t>canismo alternativo de resolución de la controversia, ya esté previsto en el tratado constitutivo, los estatutos, el reglamento interno o en cualquier otro instrumento aplicable de las organizaciones internacionales”; pues, de la expresión con que comienza ese apartado (“[e]n ausencia de acuerdo internacional bilateral o multilateral aplicable”) y de una interpretación sistemática de los dos párrafos en que se estructura ese precepto, se desprende, según opina, la prevalencia de la cláusula de inmunidad exclusión del art. 11 del Convenio de sede.</w:t>
      </w:r>
    </w:p>
    <w:p w:rsidR="005728DD" w:rsidRDefault="005728DD" w:rsidP="005728DD">
      <w:pPr>
        <w:pStyle w:val="TextoNormal"/>
      </w:pPr>
    </w:p>
    <w:p w:rsidR="005728DD" w:rsidRDefault="005728DD" w:rsidP="005728DD">
      <w:pPr>
        <w:pStyle w:val="TextoNormal"/>
      </w:pPr>
      <w:r>
        <w:t>Las resoluciones impugnadas desdicen esa lectura, toda vez que, ausente otra regulación y como se ha observado por la organización internacional a lo largo del procedimiento, la única vía de resolución de la controversia sería la que pudiera proporcionar los estatutos y reglamento de personal de la FAO, a los que se remite el art. 44 de los estatutos y reglamento de la ICCAT, donde se regula el régimen jurídico del personal de la organización internacional. Una reglamentación que los tribunales critican por resultar vaga e imprecisa, y por establecer un mecanismo aparentemente potestativo al establecer, literalmente, que las mencionadas normas de la FAO “podrían aplicarse subsidiariamente” a “aquellas cuestiones no previstas de manera específica”. Además como destaca la sentencia del Tribunal Supremo, no consta dato alguno para considerar que la ICCAT haya suscrito el acuerdo específico con las Naciones Unidas aceptando la competencia del Tribunal Administrativo, al que se reconduce la competencia para conocer de las reclamaciones en materia de personal de los organismos especializados de esa organización internacional, en general, entre los que se encuentra la FAO, con arreglo al art. 2.5 del estatuto del Tribunal Administrativo de la ONU.</w:t>
      </w:r>
    </w:p>
    <w:p w:rsidR="005728DD" w:rsidRDefault="005728DD" w:rsidP="005728DD">
      <w:pPr>
        <w:pStyle w:val="TextoNormal"/>
      </w:pPr>
    </w:p>
    <w:p w:rsidR="005728DD" w:rsidRDefault="005728DD" w:rsidP="005728DD">
      <w:pPr>
        <w:pStyle w:val="TextoNormal"/>
      </w:pPr>
      <w:r>
        <w:t>En semejantes términos, una aplicación extensiva del régimen de inmunidad del art. 11 del Convenio de sede, como la que propone la organización internacional demandante, limitaría improcedentemente el libre acceso a la jurisdicción de la trabajadora demandante en instancia, que solo dispondría de la posibilidad de acudir a ciertos remedios, cuya virtualidad no es clara. Un razonamiento como el precedente para descartar que la ICCAT goce de inmunidad absoluta de jurisdicción de acuerdo con la legislación española y las normas de Derecho internacional público y, en consecuencia, para atribuir el conocimiento de la demanda a los juzgados y tribunales españoles, de acuerdo con lo prescrito en los arts. 21.1 y 25 LOPJ, no resulta arbitrario, irracional o incurso en error patente, en modo alguno.</w:t>
      </w:r>
    </w:p>
    <w:p w:rsidR="005728DD" w:rsidRDefault="005728DD" w:rsidP="005728DD">
      <w:pPr>
        <w:pStyle w:val="TextoNormal"/>
      </w:pPr>
    </w:p>
    <w:p w:rsidR="005728DD" w:rsidRDefault="005728DD" w:rsidP="005728DD">
      <w:pPr>
        <w:pStyle w:val="TextoNormal"/>
      </w:pPr>
      <w:r>
        <w:t>Para concluir, queremos exponer una breve reflexión acerca de la vulneración del derecho a un proceso con todas las garantías (art. 24.2 CE) también denunciado, que se fundamentaba en el hecho de no haberse aplicado una norma con rango de ley, por su supuesta inconstitucionalidad, en lugar de plantear la oportuna cuestión ante este tribunal. No se cuestiona en este caso la inconstitucionalidad de la ley que determina la competencia para resolver la controversia planteada, sino que de lo que se trata es de su inaplicación al caso concreto. Esto último es lo que efectivamente se plasma en las resoluciones impugnadas de acuerdo con los criterios expuestos a lo largo de este fundamento jurídico, que, como se ha hecho hincapié, no resultan ni arbitrarios, ni irracionales, ni evidencian la comisión de un error patente.</w:t>
      </w:r>
    </w:p>
    <w:p w:rsidR="005728DD" w:rsidRDefault="005728DD" w:rsidP="005728DD">
      <w:pPr>
        <w:pStyle w:val="TextoNormal"/>
      </w:pPr>
    </w:p>
    <w:p w:rsidR="005728DD" w:rsidRDefault="005728DD" w:rsidP="005728DD">
      <w:pPr>
        <w:pStyle w:val="TextoNormal"/>
      </w:pPr>
      <w:r>
        <w:t>Por todo lo razonado, se desestiman las quejas formuladas por la ICCAT relativas a la vulneración del derecho a la tutela judicial efectiva (art. 24.1 CE) y del derecho a un proceso con todas las garantías (art. 24.2 CE).</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la Comisión Internacional para la Conservación del Atún Atlántico frente a la sentencia núm. 919/2016, de 4 de noviembre, de la Sala de lo Social del Tribunal Superior de Justicia de Madrid, y la sentencia núm. 146/2020, de 14 de febrero, de la Sala de lo Social del Tribunal Supremo.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treinta y uno de mayo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4" w:name="SENTENCIA_2021_121"/>
      <w:r>
        <w:lastRenderedPageBreak/>
        <w:t>SENTENCIA 121/2021, de 2 de junio de 2021</w:t>
      </w:r>
    </w:p>
    <w:bookmarkEnd w:id="124"/>
    <w:p w:rsidR="005728DD" w:rsidRDefault="005728DD" w:rsidP="005728DD">
      <w:pPr>
        <w:pStyle w:val="TtuloResolucin"/>
      </w:pPr>
      <w:r>
        <w:t>Pleno</w:t>
      </w:r>
    </w:p>
    <w:p w:rsidR="005728DD" w:rsidRDefault="005728DD" w:rsidP="005728DD">
      <w:pPr>
        <w:pStyle w:val="TtuloBOE"/>
      </w:pPr>
      <w:r>
        <w:t>(BOE núm. 161, de 7 de julio de 2021)</w:t>
      </w:r>
    </w:p>
    <w:p w:rsidR="005728DD" w:rsidRDefault="005728DD" w:rsidP="005728DD">
      <w:pPr>
        <w:pStyle w:val="TextoNormalCentrado"/>
      </w:pPr>
      <w:r>
        <w:t>ECLI:ES:TC:2021:121</w:t>
      </w:r>
    </w:p>
    <w:p w:rsidR="005728DD" w:rsidRDefault="005728DD" w:rsidP="005728DD">
      <w:pPr>
        <w:pStyle w:val="TextoNormalCentrado"/>
      </w:pPr>
    </w:p>
    <w:p w:rsidR="005728DD" w:rsidRDefault="005728DD" w:rsidP="005728DD">
      <w:pPr>
        <w:pStyle w:val="SntesisDescriptiva"/>
      </w:pPr>
      <w:r>
        <w:t>Recurso de amparo 1406-2020. Promovido por don Jordi Sànchez i Picanyol respecto de la sentencia de la Sala de lo Penal del Tribunal Supremo que le condenó por un delito de sedición.</w:t>
      </w:r>
    </w:p>
    <w:p w:rsidR="005728DD" w:rsidRDefault="005728DD" w:rsidP="005728DD">
      <w:pPr>
        <w:pStyle w:val="SntesisDescriptiva"/>
      </w:pPr>
    </w:p>
    <w:p w:rsidR="005728DD" w:rsidRDefault="005728DD" w:rsidP="005728DD">
      <w:pPr>
        <w:pStyle w:val="SntesisAnaltica"/>
      </w:pPr>
      <w:r>
        <w:t>Supuesta vulneración de los derechos a la tutela judicial efectiva, al juez imparcial y ordinario predeterminado por la ley, de defensa, a no padecer discriminación por razón de la lengua, a un proceso con todas las garantías, de presunción de inocencia y a la legalidad penal: sentencia dictada en causa especial en cuya tramitación se observaron las garantías procesales y en la que se impuso una pena que no puede considerarse desproporcionada o que desaliente el ejercicio de otros derechos fundamentales. Voto particular.</w:t>
      </w:r>
    </w:p>
    <w:p w:rsidR="005728DD" w:rsidRDefault="005728DD" w:rsidP="005728DD">
      <w:pPr>
        <w:pStyle w:val="SntesisAnaltica"/>
      </w:pPr>
    </w:p>
    <w:p w:rsidR="005728DD" w:rsidRDefault="005728DD" w:rsidP="005728DD">
      <w:pPr>
        <w:pStyle w:val="Extracto"/>
      </w:pPr>
      <w:r>
        <w:t>1.</w:t>
      </w:r>
      <w:r>
        <w:tab/>
      </w:r>
      <w:r w:rsidRPr="005728DD">
        <w:rPr>
          <w:i/>
        </w:rPr>
        <w:t xml:space="preserve">Doctrina sobre los derechos al juez ordinario predeterminado por la ley y al doble grado de jurisdicción penal (arts. 24.2 CE y 6 CEDH) </w:t>
      </w:r>
      <w:r>
        <w:t>[FJ 4].</w:t>
      </w:r>
    </w:p>
    <w:p w:rsidR="005728DD" w:rsidRDefault="005728DD" w:rsidP="005728DD">
      <w:pPr>
        <w:pStyle w:val="Extracto"/>
      </w:pPr>
    </w:p>
    <w:p w:rsidR="005728DD" w:rsidRDefault="005728DD" w:rsidP="005728DD">
      <w:pPr>
        <w:pStyle w:val="Extracto"/>
      </w:pPr>
      <w:r>
        <w:t>2.</w:t>
      </w:r>
      <w:r>
        <w:tab/>
        <w:t>El derecho al juez ordinario predeterminado por la ley exige que el órgano judicial al que se atribuye un asunto litigioso haya sido creado previamente por la norma jurídica, que esta le haya investido de jurisdicción y competencia con anterioridad al hecho motivador de la actuación o proceso judicial, que se  determine normativamente su composición y que su régimen orgánico y procesal no permita calificarle de órgano especial o excepcional [FJ 4].</w:t>
      </w:r>
    </w:p>
    <w:p w:rsidR="005728DD" w:rsidRDefault="005728DD" w:rsidP="005728DD">
      <w:pPr>
        <w:pStyle w:val="Extracto"/>
      </w:pPr>
    </w:p>
    <w:p w:rsidR="005728DD" w:rsidRDefault="005728DD" w:rsidP="005728DD">
      <w:pPr>
        <w:pStyle w:val="Extracto"/>
      </w:pPr>
      <w:r>
        <w:t>3.</w:t>
      </w:r>
      <w:r>
        <w:tab/>
        <w:t>El interés directo protegido por el derecho al juez ordinario legalmente predeterminado consiste en garantizar la independencia e imparcialidad de los órganos judiciales [FJ 4].</w:t>
      </w:r>
    </w:p>
    <w:p w:rsidR="005728DD" w:rsidRDefault="005728DD" w:rsidP="005728DD">
      <w:pPr>
        <w:pStyle w:val="Extracto"/>
      </w:pPr>
    </w:p>
    <w:p w:rsidR="005728DD" w:rsidRDefault="005728DD" w:rsidP="005728DD">
      <w:pPr>
        <w:pStyle w:val="Extracto"/>
      </w:pPr>
      <w:r>
        <w:t>4.</w:t>
      </w:r>
      <w:r>
        <w:tab/>
        <w:t>La interpretación de las normas que regulan la competencia corresponde en exclusiva a los tribunales de la jurisdicción ordinaria, y únicamente puede poner en entredicho el derecho al juez predeterminado por la ley si la motivación de la resolución judicial resulta arbitraria, manifiestamente irrazonable o es consecuencia de un error patente de hecho [FJ 4].</w:t>
      </w:r>
    </w:p>
    <w:p w:rsidR="005728DD" w:rsidRDefault="005728DD" w:rsidP="005728DD">
      <w:pPr>
        <w:pStyle w:val="Extracto"/>
      </w:pPr>
    </w:p>
    <w:p w:rsidR="005728DD" w:rsidRDefault="005728DD" w:rsidP="005728DD">
      <w:pPr>
        <w:pStyle w:val="Extracto"/>
      </w:pPr>
      <w:r>
        <w:t>5.</w:t>
      </w:r>
      <w:r>
        <w:tab/>
        <w:t>La evaluación inicial de la competencia objetiva para la investigación de una causa penal solo puede tener como referencia los hechos atribuidos en la querella y su calificación jurídica provisional [FJ 4].</w:t>
      </w:r>
    </w:p>
    <w:p w:rsidR="005728DD" w:rsidRDefault="005728DD" w:rsidP="005728DD">
      <w:pPr>
        <w:pStyle w:val="Extracto"/>
      </w:pPr>
    </w:p>
    <w:p w:rsidR="005728DD" w:rsidRDefault="005728DD" w:rsidP="005728DD">
      <w:pPr>
        <w:pStyle w:val="Extracto"/>
      </w:pPr>
      <w:r>
        <w:t>6.</w:t>
      </w:r>
      <w:r>
        <w:tab/>
        <w:t>Que un tribunal utilice criterios jurisprudenciales nuevos para la atribución de competencia de una investigación en un caso complejo no permite afirmar, sin más, su arbitrariedad [FJ 4].</w:t>
      </w:r>
    </w:p>
    <w:p w:rsidR="005728DD" w:rsidRDefault="005728DD" w:rsidP="005728DD">
      <w:pPr>
        <w:pStyle w:val="Extracto"/>
      </w:pPr>
    </w:p>
    <w:p w:rsidR="005728DD" w:rsidRDefault="005728DD" w:rsidP="005728DD">
      <w:pPr>
        <w:pStyle w:val="Extracto"/>
      </w:pPr>
      <w:r>
        <w:t>7.</w:t>
      </w:r>
      <w:r>
        <w:tab/>
        <w:t>El derecho a someter el fallo condenatorio y la pena ante un tribunal superior integra el derecho al proceso con todas las garantías (art. 24.2 CE) [FJ 4].</w:t>
      </w:r>
    </w:p>
    <w:p w:rsidR="005728DD" w:rsidRDefault="005728DD" w:rsidP="005728DD">
      <w:pPr>
        <w:pStyle w:val="Extracto"/>
      </w:pPr>
    </w:p>
    <w:p w:rsidR="005728DD" w:rsidRDefault="005728DD" w:rsidP="005728DD">
      <w:pPr>
        <w:pStyle w:val="Extracto"/>
      </w:pPr>
      <w:r>
        <w:lastRenderedPageBreak/>
        <w:t>8.</w:t>
      </w:r>
      <w:r>
        <w:tab/>
        <w:t>La restricción del derecho al doble grado de jurisdicción penal en casos de aforamiento ante el Tribunal Supremo, incluidos los casos de extensión del enjuiciamiento en única instancia a personas no aforadas, encuentra justificación suficiente en la protección de la prerrogativa parlamentaria y el principio de inescindibilidad de las causas [FJ 4].</w:t>
      </w:r>
    </w:p>
    <w:p w:rsidR="005728DD" w:rsidRDefault="005728DD" w:rsidP="005728DD">
      <w:pPr>
        <w:pStyle w:val="Extracto"/>
      </w:pPr>
    </w:p>
    <w:p w:rsidR="005728DD" w:rsidRDefault="005728DD" w:rsidP="005728DD">
      <w:pPr>
        <w:pStyle w:val="Extracto"/>
      </w:pPr>
      <w:r>
        <w:t>9.</w:t>
      </w:r>
      <w:r>
        <w:tab/>
      </w:r>
      <w:r w:rsidRPr="005728DD">
        <w:rPr>
          <w:i/>
        </w:rPr>
        <w:t>Doctrina sobre el derecho de defensa y el derecho a no ser discriminado por razón de la lengua</w:t>
      </w:r>
      <w:r>
        <w:t xml:space="preserve"> [FJ 5].</w:t>
      </w:r>
    </w:p>
    <w:p w:rsidR="005728DD" w:rsidRDefault="005728DD" w:rsidP="005728DD">
      <w:pPr>
        <w:pStyle w:val="Extracto"/>
      </w:pPr>
    </w:p>
    <w:p w:rsidR="005728DD" w:rsidRDefault="005728DD" w:rsidP="005728DD">
      <w:pPr>
        <w:pStyle w:val="Extracto"/>
      </w:pPr>
      <w:r>
        <w:t>10.</w:t>
      </w:r>
      <w:r>
        <w:tab/>
        <w:t>Para que una irregularidad procesal o infracción de las normas de procedimiento alcance relevancia constitucional, debe producir un perjuicio real y efectivo en las posibilidades de defensa de quien las denuncie y es necesario que la indefensión alegada sea imputable a actos u omisiones de los órganos judiciales y que tenga su origen inmediato y directo en tales actos u omisiones [FFJJ 5 a 7].</w:t>
      </w:r>
    </w:p>
    <w:p w:rsidR="005728DD" w:rsidRDefault="005728DD" w:rsidP="005728DD">
      <w:pPr>
        <w:pStyle w:val="Extracto"/>
      </w:pPr>
    </w:p>
    <w:p w:rsidR="005728DD" w:rsidRDefault="005728DD" w:rsidP="005728DD">
      <w:pPr>
        <w:pStyle w:val="Extracto"/>
      </w:pPr>
      <w:r>
        <w:t>11.</w:t>
      </w:r>
      <w:r>
        <w:tab/>
        <w:t>El derecho de defensa incluye el derecho de toda persona acusada a ser asistida por un intérprete cuando no comprenda o no pueda expresarse fluidamente en el idioma utilizado por el tribunal; no obstante, la procedencia de la asistencia de intérprete exige valorar en cada caso tanto el derecho y el deber de conocer el castellano (art. 3 CE) como el hecho concreto de la ignorancia o conocimiento precario de nuestra lengua común (STC 71/1988) [FJ 5].</w:t>
      </w:r>
    </w:p>
    <w:p w:rsidR="005728DD" w:rsidRDefault="005728DD" w:rsidP="005728DD">
      <w:pPr>
        <w:pStyle w:val="Extracto"/>
      </w:pPr>
    </w:p>
    <w:p w:rsidR="005728DD" w:rsidRDefault="005728DD" w:rsidP="005728DD">
      <w:pPr>
        <w:pStyle w:val="Extracto"/>
      </w:pPr>
      <w:r>
        <w:t>12.</w:t>
      </w:r>
      <w:r>
        <w:tab/>
        <w:t>El principio de publicidad tiene en nuestra Constitución doble naturaleza: principio procesal (art. 120.1 CE) y derecho fundamental del justiciable en materia penal (art. 24.2 CE) [FJ 5].</w:t>
      </w:r>
    </w:p>
    <w:p w:rsidR="005728DD" w:rsidRDefault="005728DD" w:rsidP="005728DD">
      <w:pPr>
        <w:pStyle w:val="Extracto"/>
      </w:pPr>
    </w:p>
    <w:p w:rsidR="005728DD" w:rsidRDefault="005728DD" w:rsidP="005728DD">
      <w:pPr>
        <w:pStyle w:val="Extracto"/>
      </w:pPr>
      <w:r>
        <w:t>13.</w:t>
      </w:r>
      <w:r>
        <w:tab/>
      </w:r>
      <w:r w:rsidRPr="005728DD">
        <w:rPr>
          <w:i/>
        </w:rPr>
        <w:t xml:space="preserve">Doctrina sobre el derecho a un juez imparcial </w:t>
      </w:r>
      <w:r>
        <w:t>[FJ 6].</w:t>
      </w:r>
    </w:p>
    <w:p w:rsidR="005728DD" w:rsidRDefault="005728DD" w:rsidP="005728DD">
      <w:pPr>
        <w:pStyle w:val="Extracto"/>
      </w:pPr>
    </w:p>
    <w:p w:rsidR="005728DD" w:rsidRDefault="005728DD" w:rsidP="005728DD">
      <w:pPr>
        <w:pStyle w:val="Extracto"/>
      </w:pPr>
      <w:r>
        <w:t>14.</w:t>
      </w:r>
      <w:r>
        <w:tab/>
        <w:t>El derecho a un juez imparcial constituye una garantía fundamental de la administración de justicia de un Estado de Derecho que condiciona su existencia misma, ya que sin juez imparcial no hay, propiamente, proceso jurisdiccional [FJ 6].</w:t>
      </w:r>
    </w:p>
    <w:p w:rsidR="005728DD" w:rsidRDefault="005728DD" w:rsidP="005728DD">
      <w:pPr>
        <w:pStyle w:val="Extracto"/>
      </w:pPr>
    </w:p>
    <w:p w:rsidR="005728DD" w:rsidRDefault="005728DD" w:rsidP="005728DD">
      <w:pPr>
        <w:pStyle w:val="Extracto"/>
      </w:pPr>
      <w:r>
        <w:t>15.</w:t>
      </w:r>
      <w:r>
        <w:tab/>
        <w:t xml:space="preserve">La imparcialidad judicial comprende dos vertientes: una subjetiva, por cuanto el juez no ha mantenido relaciones indebidas con las partes, y una objetiva, por la que se asegura que el juez se acerca al </w:t>
      </w:r>
      <w:r w:rsidRPr="005728DD">
        <w:rPr>
          <w:i/>
        </w:rPr>
        <w:t xml:space="preserve">thema decidendi </w:t>
      </w:r>
      <w:r>
        <w:t>sin haber tomado postura en relación con él [FFJJ 6, 7].</w:t>
      </w:r>
    </w:p>
    <w:p w:rsidR="005728DD" w:rsidRDefault="005728DD" w:rsidP="005728DD">
      <w:pPr>
        <w:pStyle w:val="Extracto"/>
      </w:pPr>
    </w:p>
    <w:p w:rsidR="005728DD" w:rsidRDefault="005728DD" w:rsidP="005728DD">
      <w:pPr>
        <w:pStyle w:val="Extracto"/>
      </w:pPr>
      <w:r>
        <w:t>16.</w:t>
      </w:r>
      <w:r>
        <w:tab/>
        <w:t>La imparcialidad del juez se presume y las sospechas sobre su idoneidad deben ser probadas y estar fundadas en causas tasadas e interpretadas restrictivamente sin posibilidad de aplicaciones extensivas o analógicas (STC 60/2008) [FJ 6].</w:t>
      </w:r>
    </w:p>
    <w:p w:rsidR="005728DD" w:rsidRDefault="005728DD" w:rsidP="005728DD">
      <w:pPr>
        <w:pStyle w:val="Extracto"/>
      </w:pPr>
    </w:p>
    <w:p w:rsidR="005728DD" w:rsidRDefault="005728DD" w:rsidP="005728DD">
      <w:pPr>
        <w:pStyle w:val="Extracto"/>
      </w:pPr>
      <w:r>
        <w:t>17.</w:t>
      </w:r>
      <w:r>
        <w:tab/>
        <w:t xml:space="preserve">La regla general es que el órgano recusado debe dar curso a la recusación para que sea examinada por un órgano distinto a aquel de quien se sospecha la parcialidad, pero en casos muy excepcionales la recusación puede rechazarse </w:t>
      </w:r>
      <w:r w:rsidRPr="005728DD">
        <w:rPr>
          <w:i/>
        </w:rPr>
        <w:t xml:space="preserve">a limine </w:t>
      </w:r>
      <w:r>
        <w:t>por el propio órgano recusado (SSTC 47/1982 y 155/2002) [FJ 6].</w:t>
      </w:r>
    </w:p>
    <w:p w:rsidR="005728DD" w:rsidRDefault="005728DD" w:rsidP="005728DD">
      <w:pPr>
        <w:pStyle w:val="Extracto"/>
      </w:pPr>
    </w:p>
    <w:p w:rsidR="005728DD" w:rsidRDefault="005728DD" w:rsidP="005728DD">
      <w:pPr>
        <w:pStyle w:val="Extracto"/>
      </w:pPr>
      <w:r>
        <w:lastRenderedPageBreak/>
        <w:t>18.</w:t>
      </w:r>
      <w:r>
        <w:tab/>
        <w:t>Es lícito que el legislador imponga la carga de impugnar una recusación tan pronto como se tenga conocimiento de la causa en que se funde y que, en consecuencia, limite o excluya la posibilidad de invocación tardía de la causa de recusación [FJ 6].</w:t>
      </w:r>
    </w:p>
    <w:p w:rsidR="005728DD" w:rsidRDefault="005728DD" w:rsidP="005728DD">
      <w:pPr>
        <w:pStyle w:val="Extracto"/>
      </w:pPr>
    </w:p>
    <w:p w:rsidR="005728DD" w:rsidRDefault="005728DD" w:rsidP="005728DD">
      <w:pPr>
        <w:pStyle w:val="Extracto"/>
      </w:pPr>
      <w:r>
        <w:t>19.</w:t>
      </w:r>
      <w:r>
        <w:tab/>
        <w:t>El Tribunal Europeo de Derechos Humanos ha establecido que, a la hora de decidir sobre si en un caso concreto hay una razón justificada para temer que un juez o tribunal carecen de imparcialidad, el punto de vista de la persona afectada es importante pero no decisivo; lo decisivo es determinar si dicho temor puede considerarse objetivamente justificado (STEDH, de 15 de octubre de 2009, asunto</w:t>
      </w:r>
      <w:r w:rsidRPr="005728DD">
        <w:rPr>
          <w:i/>
        </w:rPr>
        <w:t xml:space="preserve"> Micallef c. Malta</w:t>
      </w:r>
      <w:r>
        <w:t>) [FJ 6].</w:t>
      </w:r>
    </w:p>
    <w:p w:rsidR="005728DD" w:rsidRDefault="005728DD" w:rsidP="005728DD">
      <w:pPr>
        <w:pStyle w:val="Extracto"/>
      </w:pPr>
    </w:p>
    <w:p w:rsidR="005728DD" w:rsidRDefault="005728DD" w:rsidP="005728DD">
      <w:pPr>
        <w:pStyle w:val="Extracto"/>
      </w:pPr>
      <w:r>
        <w:t>20.</w:t>
      </w:r>
      <w:r>
        <w:tab/>
        <w:t>Si no se hacen valer las dudas sobre la imparcialidad judicial a través del incidente de recusación, se renuncia al ejercicio del derecho a recusar en tiempo y forma y se impide la práctica de la prueba que se estime pertinente, así como la instrucción y resolución del incidente por los órganos legalmente competentes [FJ 6].</w:t>
      </w:r>
    </w:p>
    <w:p w:rsidR="005728DD" w:rsidRDefault="005728DD" w:rsidP="005728DD">
      <w:pPr>
        <w:pStyle w:val="Extracto"/>
      </w:pPr>
    </w:p>
    <w:p w:rsidR="005728DD" w:rsidRDefault="005728DD" w:rsidP="005728DD">
      <w:pPr>
        <w:pStyle w:val="Extracto"/>
      </w:pPr>
      <w:r>
        <w:t>21.</w:t>
      </w:r>
      <w:r>
        <w:tab/>
        <w:t>La causa de recusación prevista en el artículo 219.10 LOPJ (tener interés directo o indirecto en el pleito o causa) hace referencia a la relación del magistrado con el objeto del procedimiento, de manera que le pueda afectar directa y especialmente, o pueda derivarse del mismo algún beneficio o perjuicio, siendo posible que las manifestaciones o expresiones de opiniones e ideas relacionadas con el objeto del proceso puedan determinar en algunos casos la recusación del magistrado de que se trate (ATC 26/2007) [FJ 6].</w:t>
      </w:r>
    </w:p>
    <w:p w:rsidR="005728DD" w:rsidRDefault="005728DD" w:rsidP="005728DD">
      <w:pPr>
        <w:pStyle w:val="Extracto"/>
      </w:pPr>
    </w:p>
    <w:p w:rsidR="005728DD" w:rsidRDefault="005728DD" w:rsidP="005728DD">
      <w:pPr>
        <w:pStyle w:val="Extracto"/>
      </w:pPr>
      <w:r>
        <w:t>22.</w:t>
      </w:r>
      <w:r>
        <w:tab/>
        <w:t>No todas las expresiones fácticas recogidas en un auto de procesamiento tienen un grado de vinculación absoluta para la delimitación del objeto del proceso ni para su resolución final; lo relevante es que se respete el núcleo esencial de los hechos atribuidos a la persona investigada a los efectos de formular la acusación y que exista una correlación o coherencia entre el núcleo esencial de los hechos y la sentencia que ponga fin al proceso (STC 155/2009) [FJ 6].</w:t>
      </w:r>
    </w:p>
    <w:p w:rsidR="005728DD" w:rsidRDefault="005728DD" w:rsidP="005728DD">
      <w:pPr>
        <w:pStyle w:val="Extracto"/>
      </w:pPr>
    </w:p>
    <w:p w:rsidR="005728DD" w:rsidRDefault="005728DD" w:rsidP="005728DD">
      <w:pPr>
        <w:pStyle w:val="Extracto"/>
      </w:pPr>
      <w:r>
        <w:t>23.</w:t>
      </w:r>
      <w:r>
        <w:tab/>
        <w:t>El derecho fundamental al juez imparcial no requiere un resultado material para apreciar la lesión alegada [FJ 6].</w:t>
      </w:r>
    </w:p>
    <w:p w:rsidR="005728DD" w:rsidRDefault="005728DD" w:rsidP="005728DD">
      <w:pPr>
        <w:pStyle w:val="Extracto"/>
      </w:pPr>
    </w:p>
    <w:p w:rsidR="005728DD" w:rsidRDefault="005728DD" w:rsidP="005728DD">
      <w:pPr>
        <w:pStyle w:val="Extracto"/>
      </w:pPr>
      <w:r>
        <w:t>24.</w:t>
      </w:r>
      <w:r>
        <w:tab/>
        <w:t>Una sola frase incluida en una amplia resolución judicial en la que se exponen elementos indiciarios no puede suponer una quiebra del principio de imparcialidad determinante de la nulidad de todo el procedimiento [FJ 6].</w:t>
      </w:r>
    </w:p>
    <w:p w:rsidR="005728DD" w:rsidRDefault="005728DD" w:rsidP="005728DD">
      <w:pPr>
        <w:pStyle w:val="Extracto"/>
      </w:pPr>
    </w:p>
    <w:p w:rsidR="005728DD" w:rsidRDefault="005728DD" w:rsidP="005728DD">
      <w:pPr>
        <w:pStyle w:val="Extracto"/>
      </w:pPr>
      <w:r>
        <w:t>25.</w:t>
      </w:r>
      <w:r>
        <w:tab/>
        <w:t>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[FJ 6].</w:t>
      </w:r>
    </w:p>
    <w:p w:rsidR="005728DD" w:rsidRDefault="005728DD" w:rsidP="005728DD">
      <w:pPr>
        <w:pStyle w:val="Extracto"/>
      </w:pPr>
    </w:p>
    <w:p w:rsidR="005728DD" w:rsidRDefault="005728DD" w:rsidP="005728DD">
      <w:pPr>
        <w:pStyle w:val="Extracto"/>
      </w:pPr>
      <w:r>
        <w:t>26.</w:t>
      </w:r>
      <w:r>
        <w:tab/>
        <w:t xml:space="preserve">El juez que instruye no puede fallar, mientras que los jueces que revisan las decisiones de la fase de instrucción no pueden intervenir en la fase de enjuiciamiento </w:t>
      </w:r>
      <w:r>
        <w:lastRenderedPageBreak/>
        <w:t>si en su labor de revisión han anticipado algún posicionamiento sobre la cuestión de fondo [FJ 6].</w:t>
      </w:r>
    </w:p>
    <w:p w:rsidR="005728DD" w:rsidRDefault="005728DD" w:rsidP="005728DD">
      <w:pPr>
        <w:pStyle w:val="Extracto"/>
      </w:pPr>
    </w:p>
    <w:p w:rsidR="005728DD" w:rsidRDefault="005728DD" w:rsidP="005728DD">
      <w:pPr>
        <w:pStyle w:val="Extracto"/>
      </w:pPr>
      <w:r>
        <w:t>27.</w:t>
      </w:r>
      <w:r>
        <w:tab/>
        <w:t>Cualquier objeción de parcialidad distinta del incumplimiento de las normas aplicables en materia de abstenciones y recusaciones, requiere la aportación de un principio de prueba sobre la vulneración real y efectiva del derecho fundamental a un juez imparcial, basado en hechos o circunstancias de la misma entidad que las causas de abstención o recusación legalmente tasadas [FJ 6].</w:t>
      </w:r>
    </w:p>
    <w:p w:rsidR="005728DD" w:rsidRDefault="005728DD" w:rsidP="005728DD">
      <w:pPr>
        <w:pStyle w:val="Extracto"/>
      </w:pPr>
    </w:p>
    <w:p w:rsidR="005728DD" w:rsidRDefault="005728DD" w:rsidP="005728DD">
      <w:pPr>
        <w:pStyle w:val="Extracto"/>
      </w:pPr>
      <w:r>
        <w:t>28.</w:t>
      </w:r>
      <w:r>
        <w:tab/>
        <w:t xml:space="preserve">No atenta al principio de imparcialidad que el mismo órgano que cometió una eventual infracción pueda revisarla en un momento ulterior (STC 170/2002 y STEDH, de 16 de julio de 1971, asunto </w:t>
      </w:r>
      <w:r w:rsidRPr="005728DD">
        <w:rPr>
          <w:i/>
        </w:rPr>
        <w:t>Ringeisen c. Austria</w:t>
      </w:r>
      <w:r>
        <w:t>) [FJ 6].</w:t>
      </w:r>
    </w:p>
    <w:p w:rsidR="005728DD" w:rsidRDefault="005728DD" w:rsidP="005728DD">
      <w:pPr>
        <w:pStyle w:val="Extracto"/>
      </w:pPr>
    </w:p>
    <w:p w:rsidR="005728DD" w:rsidRDefault="005728DD" w:rsidP="005728DD">
      <w:pPr>
        <w:pStyle w:val="Extracto"/>
      </w:pPr>
      <w:r>
        <w:t>29.</w:t>
      </w:r>
      <w:r>
        <w:tab/>
        <w:t>La negativa a practicar una prueba no implica necesariamente la vulneración del derecho a la prueba salvo que vaya acompañada de una concreta indefensión que el recurrente debe invocar y motivar (STC 165/2001) [FJ 6].</w:t>
      </w:r>
    </w:p>
    <w:p w:rsidR="005728DD" w:rsidRDefault="005728DD" w:rsidP="005728DD">
      <w:pPr>
        <w:pStyle w:val="Extracto"/>
      </w:pPr>
    </w:p>
    <w:p w:rsidR="005728DD" w:rsidRDefault="005728DD" w:rsidP="005728DD">
      <w:pPr>
        <w:pStyle w:val="Extracto"/>
      </w:pPr>
      <w:r>
        <w:t>30.</w:t>
      </w:r>
      <w:r>
        <w:tab/>
        <w:t>El Tribunal Constitucional solo es competente para controlar las decisiones judiciales dictadas en ejercicio de la función jurisdiccional cuando se hubiera inadmitido pruebas relevantes para la decisión final sin motivación alguna o mediante interpretación y aplicación de la legalidad arbitraria o irrazonable o cuando la falta de práctica de prueba sea imputable al órgano judicial [FFJJ 6, 8].</w:t>
      </w:r>
    </w:p>
    <w:p w:rsidR="005728DD" w:rsidRDefault="005728DD" w:rsidP="005728DD">
      <w:pPr>
        <w:pStyle w:val="Extracto"/>
      </w:pPr>
    </w:p>
    <w:p w:rsidR="005728DD" w:rsidRDefault="005728DD" w:rsidP="005728DD">
      <w:pPr>
        <w:pStyle w:val="Extracto"/>
      </w:pPr>
      <w:r>
        <w:t>31.</w:t>
      </w:r>
      <w:r>
        <w:tab/>
        <w:t>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 [FJ 6].</w:t>
      </w:r>
    </w:p>
    <w:p w:rsidR="005728DD" w:rsidRDefault="005728DD" w:rsidP="005728DD">
      <w:pPr>
        <w:pStyle w:val="Extracto"/>
      </w:pPr>
    </w:p>
    <w:p w:rsidR="005728DD" w:rsidRDefault="005728DD" w:rsidP="005728DD">
      <w:pPr>
        <w:pStyle w:val="Extracto"/>
      </w:pPr>
      <w:r>
        <w:t>32.</w:t>
      </w:r>
      <w:r>
        <w:tab/>
        <w:t>Un juez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[FFJJ 6, 7].</w:t>
      </w:r>
    </w:p>
    <w:p w:rsidR="005728DD" w:rsidRDefault="005728DD" w:rsidP="005728DD">
      <w:pPr>
        <w:pStyle w:val="Extracto"/>
      </w:pPr>
    </w:p>
    <w:p w:rsidR="005728DD" w:rsidRDefault="005728DD" w:rsidP="005728DD">
      <w:pPr>
        <w:pStyle w:val="Extracto"/>
      </w:pPr>
      <w:r>
        <w:t>33.</w:t>
      </w:r>
      <w:r>
        <w:tab/>
        <w:t xml:space="preserve">El principio de inmediación judicial deriva del derecho a un proceso justo o equitativo (art. 6.1 CEDH) e implica la facultad del acusado de estar presente y ser oído personalmente (STC 167/2002 y STEDH, de 26 de mayo de 1988, asunto </w:t>
      </w:r>
      <w:r w:rsidRPr="005728DD">
        <w:rPr>
          <w:i/>
        </w:rPr>
        <w:t>Ekbatani c. Suecia</w:t>
      </w:r>
      <w:r>
        <w:t>) [FFJJ 6, 7].</w:t>
      </w:r>
    </w:p>
    <w:p w:rsidR="005728DD" w:rsidRDefault="005728DD" w:rsidP="005728DD">
      <w:pPr>
        <w:pStyle w:val="Extracto"/>
      </w:pPr>
    </w:p>
    <w:p w:rsidR="005728DD" w:rsidRDefault="005728DD" w:rsidP="005728DD">
      <w:pPr>
        <w:pStyle w:val="Extracto"/>
      </w:pPr>
      <w:r>
        <w:t>34.</w:t>
      </w:r>
      <w:r>
        <w:tab/>
        <w:t>El principio de libre valoración de la prueba precisa, para su plena vigencia, que la prueba se desarrolle en el acto del juicio bajo las garantías procesales de publicidad, oralidad, inmediación y contradicción y constituye, junto con el principio de igualdad de armas, un elemento estructural del derecho a un juicio justo (STC 94/2004) [FFJJ 6, 7].</w:t>
      </w:r>
    </w:p>
    <w:p w:rsidR="005728DD" w:rsidRDefault="005728DD" w:rsidP="005728DD">
      <w:pPr>
        <w:pStyle w:val="Extracto"/>
      </w:pPr>
    </w:p>
    <w:p w:rsidR="005728DD" w:rsidRDefault="005728DD" w:rsidP="005728DD">
      <w:pPr>
        <w:pStyle w:val="Extracto"/>
      </w:pPr>
      <w:r>
        <w:lastRenderedPageBreak/>
        <w:t>35.</w:t>
      </w:r>
      <w:r>
        <w:tab/>
        <w:t>La publicidad del proceso es una garantía de profundas raíces democráticas porque permite que la persona sometida a juicio pueda tener acceso a todo aquello que va a ser utilizado por el tribunal para la resolución de su caso y contribuye a la transparencia del sistema de justicia generando la máxima confianza de los ciudadanos en el funcionamiento del Poder Judicial, que es fuente de su legitimidad constitucional (art. 117.1 CE) [FFJJ 6, 7].</w:t>
      </w:r>
    </w:p>
    <w:p w:rsidR="005728DD" w:rsidRDefault="005728DD" w:rsidP="005728DD">
      <w:pPr>
        <w:pStyle w:val="Extracto"/>
      </w:pPr>
    </w:p>
    <w:p w:rsidR="005728DD" w:rsidRDefault="005728DD" w:rsidP="005728DD">
      <w:pPr>
        <w:pStyle w:val="Extracto"/>
      </w:pPr>
      <w:r>
        <w:t>36.</w:t>
      </w:r>
      <w:r>
        <w:tab/>
        <w:t>Forma parte de la naturaleza de la inmediación judicial que el tribunal pueda formular preguntas a un testigo sobre aquellos aspectos fácticos que no le hayan quedado claros como resultado del interrogatorio de las partes, pero el uso de esta prerrogativa no puede suponer, en modo alguno, que el tribunal se convierta en acusación, en juez y parte al mismo tiempo, con la consiguiente pérdida de su debida imparcialidad [FJ 6].</w:t>
      </w:r>
    </w:p>
    <w:p w:rsidR="005728DD" w:rsidRDefault="005728DD" w:rsidP="005728DD">
      <w:pPr>
        <w:pStyle w:val="Extracto"/>
      </w:pPr>
    </w:p>
    <w:p w:rsidR="005728DD" w:rsidRDefault="005728DD" w:rsidP="005728DD">
      <w:pPr>
        <w:pStyle w:val="Extracto"/>
      </w:pPr>
      <w:r>
        <w:t>37.</w:t>
      </w:r>
      <w:r>
        <w:tab/>
        <w:t>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[FJ 6].</w:t>
      </w:r>
    </w:p>
    <w:p w:rsidR="005728DD" w:rsidRDefault="005728DD" w:rsidP="005728DD">
      <w:pPr>
        <w:pStyle w:val="Extracto"/>
      </w:pPr>
    </w:p>
    <w:p w:rsidR="005728DD" w:rsidRDefault="005728DD" w:rsidP="005728DD">
      <w:pPr>
        <w:pStyle w:val="Extracto"/>
      </w:pPr>
      <w:r>
        <w:t>38.</w:t>
      </w:r>
      <w:r>
        <w:tab/>
      </w:r>
      <w:r w:rsidRPr="005728DD">
        <w:rPr>
          <w:i/>
        </w:rPr>
        <w:t xml:space="preserve">Doctrina sobre el derecho a la igualdad de armas </w:t>
      </w:r>
      <w:r>
        <w:t>[FJ 7].</w:t>
      </w:r>
    </w:p>
    <w:p w:rsidR="005728DD" w:rsidRDefault="005728DD" w:rsidP="005728DD">
      <w:pPr>
        <w:pStyle w:val="Extracto"/>
      </w:pPr>
    </w:p>
    <w:p w:rsidR="005728DD" w:rsidRDefault="005728DD" w:rsidP="005728DD">
      <w:pPr>
        <w:pStyle w:val="Extracto"/>
      </w:pPr>
      <w:r>
        <w:t>39.</w:t>
      </w:r>
      <w:r>
        <w:tab/>
        <w:t>La facultad de intervenir en la prueba ajena para controlar su correcta práctica y contradecirla es también una específica manifestación del derecho de defensa del acusado e incluye interrogar o hacer interrogar a los testigos que declaren contra él, dando al mismo una ocasión adecuada y suficiente para discutir un testimonio en su contra e interrogar a su autor en el momento en que declare o en un momento posterior del proceso (SSTC 2/2002 y 57/2002) [FFJJ 7, 8].</w:t>
      </w:r>
    </w:p>
    <w:p w:rsidR="005728DD" w:rsidRDefault="005728DD" w:rsidP="005728DD">
      <w:pPr>
        <w:pStyle w:val="Extracto"/>
      </w:pPr>
    </w:p>
    <w:p w:rsidR="005728DD" w:rsidRDefault="005728DD" w:rsidP="005728DD">
      <w:pPr>
        <w:pStyle w:val="Extracto"/>
      </w:pPr>
      <w:r>
        <w:t>40.</w:t>
      </w:r>
      <w:r>
        <w:tab/>
      </w:r>
      <w:r w:rsidRPr="005728DD">
        <w:rPr>
          <w:i/>
        </w:rPr>
        <w:t xml:space="preserve">Doctrina sobre el derecho a la prueba </w:t>
      </w:r>
      <w:r>
        <w:t>[FJ 8].</w:t>
      </w:r>
    </w:p>
    <w:p w:rsidR="005728DD" w:rsidRDefault="005728DD" w:rsidP="005728DD">
      <w:pPr>
        <w:pStyle w:val="Extracto"/>
      </w:pPr>
    </w:p>
    <w:p w:rsidR="005728DD" w:rsidRDefault="005728DD" w:rsidP="005728DD">
      <w:pPr>
        <w:pStyle w:val="Extracto"/>
      </w:pPr>
      <w:r>
        <w:t>41.</w:t>
      </w:r>
      <w:r>
        <w:tab/>
        <w:t>Doctrina sobre el derecho a la utilización de los medios de prueba pertinentes (STC 165/2001) [FJ 8].</w:t>
      </w:r>
    </w:p>
    <w:p w:rsidR="005728DD" w:rsidRDefault="005728DD" w:rsidP="005728DD">
      <w:pPr>
        <w:pStyle w:val="Extracto"/>
      </w:pPr>
    </w:p>
    <w:p w:rsidR="005728DD" w:rsidRDefault="005728DD" w:rsidP="005728DD">
      <w:pPr>
        <w:pStyle w:val="Extracto"/>
      </w:pPr>
      <w:r>
        <w:t>42.</w:t>
      </w:r>
      <w:r>
        <w:tab/>
        <w:t>El derecho a la prueba no comprende un hipotético derecho a llevar a cabo una actividad probatoria ilimitada, sino que atribuye solo el derecho a la recepción y práctica de las que sean pertinentes, correspondiendo a los jueces y tribunales el examen sobre la legalidad y pertinencia de las mismas [FJ 8].</w:t>
      </w:r>
    </w:p>
    <w:p w:rsidR="005728DD" w:rsidRDefault="005728DD" w:rsidP="005728DD">
      <w:pPr>
        <w:pStyle w:val="Extracto"/>
      </w:pPr>
    </w:p>
    <w:p w:rsidR="005728DD" w:rsidRDefault="005728DD" w:rsidP="005728DD">
      <w:pPr>
        <w:pStyle w:val="Extracto"/>
      </w:pPr>
      <w:r>
        <w:t>43.</w:t>
      </w:r>
      <w:r>
        <w:tab/>
        <w:t>Puesto que el derecho a la prueba es un derecho de configuración legal, es preciso que la prueba se haya solicitado en la forma y momento legalmente establecidos, siendo solo admisibles los medios de prueba autorizados por el ordenamiento (SSTC 149/1987, 212/1990 y 101/1989) [FJ 8].</w:t>
      </w:r>
    </w:p>
    <w:p w:rsidR="005728DD" w:rsidRDefault="005728DD" w:rsidP="005728DD">
      <w:pPr>
        <w:pStyle w:val="Extracto"/>
      </w:pPr>
    </w:p>
    <w:p w:rsidR="005728DD" w:rsidRDefault="005728DD" w:rsidP="005728DD">
      <w:pPr>
        <w:pStyle w:val="Extracto"/>
      </w:pPr>
      <w:r>
        <w:t>44.</w:t>
      </w:r>
      <w:r>
        <w:tab/>
      </w:r>
      <w:r w:rsidRPr="005728DD">
        <w:rPr>
          <w:i/>
        </w:rPr>
        <w:t xml:space="preserve">Doctrina sobre el derecho a la presunción de inocencia en su dimensión extraprocesal </w:t>
      </w:r>
      <w:r>
        <w:t>[FJ 9].</w:t>
      </w:r>
    </w:p>
    <w:p w:rsidR="005728DD" w:rsidRDefault="005728DD" w:rsidP="005728DD">
      <w:pPr>
        <w:pStyle w:val="Extracto"/>
      </w:pPr>
    </w:p>
    <w:p w:rsidR="005728DD" w:rsidRDefault="005728DD" w:rsidP="005728DD">
      <w:pPr>
        <w:pStyle w:val="Extracto"/>
      </w:pPr>
      <w:r>
        <w:t>45.</w:t>
      </w:r>
      <w:r>
        <w:tab/>
        <w:t>La dimensión extraprocesal de la presunción de inocencia encuentra específica protección en nuestro sistema de derechos fundamentales a través de la tutela del derecho al honor, operando esa presunción como elemento instrumental del enjuiciamiento de una posible lesión del derecho al honor (STC 244/2007) [FJ 9].</w:t>
      </w:r>
    </w:p>
    <w:p w:rsidR="005728DD" w:rsidRDefault="005728DD" w:rsidP="005728DD">
      <w:pPr>
        <w:pStyle w:val="Extracto"/>
      </w:pPr>
    </w:p>
    <w:p w:rsidR="005728DD" w:rsidRDefault="005728DD" w:rsidP="005728DD">
      <w:pPr>
        <w:pStyle w:val="Extracto"/>
      </w:pPr>
      <w:r>
        <w:t>46.</w:t>
      </w:r>
      <w:r>
        <w:tab/>
        <w:t>La presunción de inocencia que garantiza el artículo 24.2 CE es un derecho fundamental susceptible de amparo constitucional cuando el imputado en un proceso penal –que ha de considerarse inocente en tanto no se pruebe su culpabilidad– resulte condenado sin que las pruebas practicadas permitan destruir dicha presunción; sin embargo, en los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133/2018) [FJ 9].</w:t>
      </w:r>
    </w:p>
    <w:p w:rsidR="005728DD" w:rsidRDefault="005728DD" w:rsidP="005728DD">
      <w:pPr>
        <w:pStyle w:val="Extracto"/>
      </w:pPr>
    </w:p>
    <w:p w:rsidR="005728DD" w:rsidRDefault="005728DD" w:rsidP="005728DD">
      <w:pPr>
        <w:pStyle w:val="Extracto"/>
      </w:pPr>
      <w:r>
        <w:t>47.</w:t>
      </w:r>
      <w:r>
        <w:tab/>
      </w:r>
      <w:r w:rsidRPr="005728DD">
        <w:rPr>
          <w:i/>
        </w:rPr>
        <w:t xml:space="preserve">Doctrina sobre el derecho a un proceso con todas las garantías </w:t>
      </w:r>
      <w:r>
        <w:t>[FJ 10].</w:t>
      </w:r>
    </w:p>
    <w:p w:rsidR="005728DD" w:rsidRDefault="005728DD" w:rsidP="005728DD">
      <w:pPr>
        <w:pStyle w:val="Extracto"/>
      </w:pPr>
    </w:p>
    <w:p w:rsidR="005728DD" w:rsidRDefault="005728DD" w:rsidP="005728DD">
      <w:pPr>
        <w:pStyle w:val="Extracto"/>
      </w:pPr>
      <w:r>
        <w:t>48.</w:t>
      </w:r>
      <w:r>
        <w:tab/>
        <w:t>Tanto las declaraciones en los medios de comunicación acerca de procesos en curso, como las opiniones sobre el sentido que haya de tener la decisión que los resuelva, pueden llegar a menoscabar, según sea su tenor, finalidad y contexto, la imparcialidad o apariencia de imparcialidad de los jueces, pudiendo conculcar el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(STEDH, de 29 de agosto de 1997, asunto</w:t>
      </w:r>
      <w:r w:rsidRPr="005728DD">
        <w:rPr>
          <w:i/>
        </w:rPr>
        <w:t xml:space="preserve"> Worm </w:t>
      </w:r>
      <w:r>
        <w:t>§ 54 y STC 136/1999) [FJ 10].</w:t>
      </w:r>
    </w:p>
    <w:p w:rsidR="005728DD" w:rsidRDefault="005728DD" w:rsidP="005728DD">
      <w:pPr>
        <w:pStyle w:val="Extracto"/>
      </w:pPr>
    </w:p>
    <w:p w:rsidR="005728DD" w:rsidRDefault="005728DD" w:rsidP="005728DD">
      <w:pPr>
        <w:pStyle w:val="Extracto"/>
      </w:pPr>
      <w:r>
        <w:t>49.</w:t>
      </w:r>
      <w:r>
        <w:tab/>
        <w:t>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[FJ 10].</w:t>
      </w:r>
    </w:p>
    <w:p w:rsidR="005728DD" w:rsidRDefault="005728DD" w:rsidP="005728DD">
      <w:pPr>
        <w:pStyle w:val="Extracto"/>
      </w:pPr>
    </w:p>
    <w:p w:rsidR="005728DD" w:rsidRDefault="005728DD" w:rsidP="005728DD">
      <w:pPr>
        <w:pStyle w:val="Extracto"/>
      </w:pPr>
      <w:r>
        <w:t>50.</w:t>
      </w:r>
      <w:r>
        <w:tab/>
        <w:t>No repercute negativamente en la imparcialidad del tribunal el solo dato de que, desde el entorno de la sala sentenciadora, se hubiera filtrado a los medios de comunicación el sentido general del fallo de la sentencia antes de que la resolución fuese notificada a las partes [FJ 10].</w:t>
      </w:r>
    </w:p>
    <w:p w:rsidR="005728DD" w:rsidRDefault="005728DD" w:rsidP="005728DD">
      <w:pPr>
        <w:pStyle w:val="Extracto"/>
      </w:pPr>
    </w:p>
    <w:p w:rsidR="005728DD" w:rsidRDefault="005728DD" w:rsidP="005728DD">
      <w:pPr>
        <w:pStyle w:val="Extracto"/>
      </w:pPr>
      <w:r>
        <w:t>51.</w:t>
      </w:r>
      <w:r>
        <w:tab/>
        <w:t>Para que, en garantía de la imparcialidad, un juez pueda ser apartado del conocimiento concreto de un asunto, es siempre preciso que existan sospechas objetivamente justificadas [FJ 10].</w:t>
      </w:r>
    </w:p>
    <w:p w:rsidR="005728DD" w:rsidRDefault="005728DD" w:rsidP="005728DD">
      <w:pPr>
        <w:pStyle w:val="Extracto"/>
      </w:pPr>
    </w:p>
    <w:p w:rsidR="005728DD" w:rsidRDefault="005728DD" w:rsidP="005728DD">
      <w:pPr>
        <w:pStyle w:val="Extracto"/>
      </w:pPr>
      <w:r>
        <w:t>52.</w:t>
      </w:r>
      <w:r>
        <w:tab/>
        <w:t>La imparcialidad subjetiva y objetiva del tribunal debe ser presumida mientras no medie prueba en contrario [FJ 10].</w:t>
      </w:r>
    </w:p>
    <w:p w:rsidR="005728DD" w:rsidRDefault="005728DD" w:rsidP="005728DD">
      <w:pPr>
        <w:pStyle w:val="Extracto"/>
      </w:pPr>
    </w:p>
    <w:p w:rsidR="005728DD" w:rsidRDefault="005728DD" w:rsidP="005728DD">
      <w:pPr>
        <w:pStyle w:val="Extracto"/>
      </w:pPr>
      <w:r>
        <w:t>53.</w:t>
      </w:r>
      <w:r>
        <w:tab/>
        <w:t xml:space="preserve">Podrá tenerse en cuenta a la hora de valorar la imparcialidad (i) que no pueda cuestionarse el desinterés objetivo en el asunto de los miembros del tribunal, (ii) el secreto en las deliberaciones y en el voto de los magistrados así como el contenido </w:t>
      </w:r>
      <w:r>
        <w:lastRenderedPageBreak/>
        <w:t>de la información y (iii) el tiempo en que se produjo su aparición en los medios de comunicación [FJ 10].</w:t>
      </w:r>
    </w:p>
    <w:p w:rsidR="005728DD" w:rsidRDefault="005728DD" w:rsidP="005728DD">
      <w:pPr>
        <w:pStyle w:val="Extracto"/>
      </w:pPr>
    </w:p>
    <w:p w:rsidR="005728DD" w:rsidRDefault="005728DD" w:rsidP="005728DD">
      <w:pPr>
        <w:pStyle w:val="Extracto"/>
      </w:pPr>
      <w:r>
        <w:t>54.</w:t>
      </w:r>
      <w:r>
        <w:tab/>
        <w:t>Puede entenderse por filtración la transmisión de información a terceros acerca del contenido o sentido de la deliberación y resolución de un caso, procedente de algunos magistrados integrantes del tribunal, seguida la publicación en los medios de comunicación, con anterioridad a la definitiva conformación del fallo y de su notificación a las partes [FJ 10].</w:t>
      </w:r>
    </w:p>
    <w:p w:rsidR="005728DD" w:rsidRDefault="005728DD" w:rsidP="005728DD">
      <w:pPr>
        <w:pStyle w:val="Extracto"/>
      </w:pPr>
    </w:p>
    <w:p w:rsidR="005728DD" w:rsidRDefault="005728DD" w:rsidP="005728DD">
      <w:pPr>
        <w:pStyle w:val="Extracto"/>
      </w:pPr>
      <w:r>
        <w:t>55.</w:t>
      </w:r>
      <w:r>
        <w:tab/>
      </w:r>
      <w:r w:rsidRPr="005728DD">
        <w:rPr>
          <w:i/>
        </w:rPr>
        <w:t xml:space="preserve">Doctrina sobre el derecho a la tutela judicial efectiva en relación con la motivación de la individualización de las penas </w:t>
      </w:r>
      <w:r>
        <w:t>[FJ 11].</w:t>
      </w:r>
    </w:p>
    <w:p w:rsidR="005728DD" w:rsidRDefault="005728DD" w:rsidP="005728DD">
      <w:pPr>
        <w:pStyle w:val="Extracto"/>
      </w:pPr>
    </w:p>
    <w:p w:rsidR="005728DD" w:rsidRDefault="005728DD" w:rsidP="005728DD">
      <w:pPr>
        <w:pStyle w:val="Extracto"/>
      </w:pPr>
      <w:r>
        <w:t>56.</w:t>
      </w:r>
      <w:r>
        <w:tab/>
        <w:t>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artículo 120.3 CE, es una exigencia derivada del artículo 24.1 CE (STC 108/2001) [FJ 11].</w:t>
      </w:r>
    </w:p>
    <w:p w:rsidR="005728DD" w:rsidRDefault="005728DD" w:rsidP="005728DD">
      <w:pPr>
        <w:pStyle w:val="Extracto"/>
      </w:pPr>
    </w:p>
    <w:p w:rsidR="005728DD" w:rsidRDefault="005728DD" w:rsidP="005728DD">
      <w:pPr>
        <w:pStyle w:val="Extracto"/>
      </w:pPr>
      <w:r>
        <w:t>57.</w:t>
      </w:r>
      <w:r>
        <w:tab/>
        <w:t>La exigencia de motivación cumple una doble finalidad: de un lado, exteriorizar las reflexiones que han conducido al fallo como factor de racionalidad en el ejercicio de la potestad jurisdiccional, que paralelamente potencia el valor de la seguridad jurídica, de manera que sea posible lograr el convencimiento de las partes respecto de la corrección y justicia de la decisión; de otro, garantizar la posibilidad de control de la resolución por los tribunales superiores mediante los recursos que procedan [FJ 11].</w:t>
      </w:r>
    </w:p>
    <w:p w:rsidR="005728DD" w:rsidRDefault="005728DD" w:rsidP="005728DD">
      <w:pPr>
        <w:pStyle w:val="Extracto"/>
      </w:pPr>
    </w:p>
    <w:p w:rsidR="005728DD" w:rsidRDefault="005728DD" w:rsidP="005728DD">
      <w:pPr>
        <w:pStyle w:val="Extracto"/>
      </w:pPr>
      <w:r>
        <w:t>58.</w:t>
      </w:r>
      <w:r>
        <w:tab/>
        <w:t>El deber reforzado de motivación se impone en el caso de las sentencias penales condenatorias cuando el derecho a la tutela judicial efectiva se conecta con el derecho a la libertad personal; sin embargo, el control del Tribunal Constitucional en estos casos se ciñe a examinar si la extensión de la pena impuesta resulta o no manifiestamente irrazonable o arbitraria [FJ 11].</w:t>
      </w:r>
    </w:p>
    <w:p w:rsidR="005728DD" w:rsidRDefault="005728DD" w:rsidP="005728DD">
      <w:pPr>
        <w:pStyle w:val="Extracto"/>
      </w:pPr>
    </w:p>
    <w:p w:rsidR="005728DD" w:rsidRDefault="005728DD" w:rsidP="005728DD">
      <w:pPr>
        <w:pStyle w:val="Extracto"/>
      </w:pPr>
      <w:r>
        <w:t>59.</w:t>
      </w:r>
      <w:r>
        <w:tab/>
        <w:t>Los datos básicos del proceso de individualización de la pena han de inferirse de los hechos probados, sin que sea constitucionalmente exigible ningún ulterior razonamiento que los traduzca en una cuantificación de pena exacta [FJ 11].</w:t>
      </w:r>
    </w:p>
    <w:p w:rsidR="005728DD" w:rsidRDefault="005728DD" w:rsidP="005728DD">
      <w:pPr>
        <w:pStyle w:val="Extracto"/>
      </w:pPr>
    </w:p>
    <w:p w:rsidR="005728DD" w:rsidRDefault="005728DD" w:rsidP="005728DD">
      <w:pPr>
        <w:pStyle w:val="Extracto"/>
      </w:pPr>
      <w:r>
        <w:t>60.</w:t>
      </w:r>
      <w:r>
        <w:tab/>
      </w:r>
      <w:r w:rsidRPr="005728DD">
        <w:rPr>
          <w:i/>
        </w:rPr>
        <w:t xml:space="preserve">Doctrina sobre el derecho a la legalidad penal </w:t>
      </w:r>
      <w:r>
        <w:t>[FJ 12].</w:t>
      </w:r>
    </w:p>
    <w:p w:rsidR="005728DD" w:rsidRDefault="005728DD" w:rsidP="005728DD">
      <w:pPr>
        <w:pStyle w:val="Extracto"/>
      </w:pPr>
    </w:p>
    <w:p w:rsidR="005728DD" w:rsidRDefault="005728DD" w:rsidP="005728DD">
      <w:pPr>
        <w:pStyle w:val="Extracto"/>
      </w:pPr>
      <w:r>
        <w:t>61.</w:t>
      </w:r>
      <w:r>
        <w:tab/>
        <w:t>El artículo 25.1 CE contiene un derecho fundamental subjetivo que comprende una garantía formal, anudada al rango exigible a la norma sancionadora, y otra de carácter material, vinculada a la exigencia de certeza y concreción del precepto penal (STC 24/2004) [FJ 12].</w:t>
      </w:r>
    </w:p>
    <w:p w:rsidR="005728DD" w:rsidRDefault="005728DD" w:rsidP="005728DD">
      <w:pPr>
        <w:pStyle w:val="Extracto"/>
      </w:pPr>
    </w:p>
    <w:p w:rsidR="005728DD" w:rsidRDefault="005728DD" w:rsidP="005728DD">
      <w:pPr>
        <w:pStyle w:val="Extracto"/>
      </w:pPr>
      <w:r>
        <w:t>62.</w:t>
      </w:r>
      <w:r>
        <w:tab/>
        <w:t>La garantía de certeza del derecho a la legalidad penal no solo opera respecto de las normas penales o sancionadoras –ámbito normativo–, pues también se proyecta a la interpretación y aplicación de estas por los órganos judiciales a los concretos supuestos de hecho –ámbito aplicativo– (STC 14/2021) [FJ 12].</w:t>
      </w:r>
    </w:p>
    <w:p w:rsidR="005728DD" w:rsidRDefault="005728DD" w:rsidP="005728DD">
      <w:pPr>
        <w:pStyle w:val="Extracto"/>
      </w:pPr>
    </w:p>
    <w:p w:rsidR="005728DD" w:rsidRDefault="005728DD" w:rsidP="005728DD">
      <w:pPr>
        <w:pStyle w:val="Extracto"/>
      </w:pPr>
      <w:r>
        <w:lastRenderedPageBreak/>
        <w:t>63.</w:t>
      </w:r>
      <w:r>
        <w:tab/>
        <w:t>El principio de taxatividad no es incompatible con el empleo de conceptos jurídicos indeterminados o la utilización de una terminología con cierto grado de ambigüedad por parte del legislador [FJ 12].</w:t>
      </w:r>
    </w:p>
    <w:p w:rsidR="005728DD" w:rsidRDefault="005728DD" w:rsidP="005728DD">
      <w:pPr>
        <w:pStyle w:val="Extracto"/>
      </w:pPr>
    </w:p>
    <w:p w:rsidR="005728DD" w:rsidRDefault="005728DD" w:rsidP="005728DD">
      <w:pPr>
        <w:pStyle w:val="Extracto"/>
      </w:pPr>
      <w:r>
        <w:t>64.</w:t>
      </w:r>
      <w:r>
        <w:tab/>
        <w:t>Vulneran el principio de legalidad las resoluciones sancionadoras que se sustenten en una subsunción de los hechos ajena al significado posible de los términos de la norma aplicada y aquellas aplicaciones que por su soporte metodológico y axiológico conduzcan a soluciones esencialmente opuestas a la orientación material de la norma y por ello imprevisibles para sus destinatarios [FJ 12].</w:t>
      </w:r>
    </w:p>
    <w:p w:rsidR="005728DD" w:rsidRDefault="005728DD" w:rsidP="005728DD">
      <w:pPr>
        <w:pStyle w:val="Extracto"/>
      </w:pPr>
    </w:p>
    <w:p w:rsidR="005728DD" w:rsidRDefault="005728DD" w:rsidP="005728DD">
      <w:pPr>
        <w:pStyle w:val="Extracto"/>
      </w:pPr>
      <w:r>
        <w:t>65.</w:t>
      </w:r>
      <w:r>
        <w:tab/>
        <w:t xml:space="preserve">La aplicación de la analogía </w:t>
      </w:r>
      <w:r w:rsidRPr="005728DD">
        <w:rPr>
          <w:i/>
        </w:rPr>
        <w:t xml:space="preserve">in malam partem </w:t>
      </w:r>
      <w:r>
        <w:t>y las interpretaciones extensivas de la norma penal por parte de los órganos judiciales contravienen el mandato del artículo 25.1 CE [FJ 12].</w:t>
      </w:r>
    </w:p>
    <w:p w:rsidR="005728DD" w:rsidRDefault="005728DD" w:rsidP="005728DD">
      <w:pPr>
        <w:pStyle w:val="Extracto"/>
      </w:pPr>
    </w:p>
    <w:p w:rsidR="005728DD" w:rsidRDefault="005728DD" w:rsidP="005728DD">
      <w:pPr>
        <w:pStyle w:val="Extracto"/>
      </w:pPr>
      <w:r>
        <w:t>66.</w:t>
      </w:r>
      <w:r>
        <w:tab/>
        <w:t>El juicio de proporcionalidad respecto al tratamiento legislativo de los derechos fundamentales y, en concreto, en materia penal, respecto a la cantidad y calidad de la pena en relación con el tipo de comportamiento incriminado, debe partir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[FJ 12].</w:t>
      </w:r>
    </w:p>
    <w:p w:rsidR="005728DD" w:rsidRDefault="005728DD" w:rsidP="005728DD">
      <w:pPr>
        <w:pStyle w:val="Extracto"/>
      </w:pPr>
    </w:p>
    <w:p w:rsidR="005728DD" w:rsidRDefault="005728DD" w:rsidP="005728DD">
      <w:pPr>
        <w:pStyle w:val="Extracto"/>
      </w:pPr>
      <w:r>
        <w:t>67.</w:t>
      </w:r>
      <w:r>
        <w:tab/>
        <w:t>Dado el amplio margen de libertad del legislador para configurar las penas, el examen del Tribunal Constitucional se limita a verificar que la norma penal no produzca un patente derroche inútil de coacción que convierte la norma en arbitraria y que socava los principios elementales de justicia inherentes a la dignidad de la persona y al Estado de Derecho o una actividad pública arbitraria y no respetuosa con la dignidad de la persona (STC 55/1996) [FJ 12].</w:t>
      </w:r>
    </w:p>
    <w:p w:rsidR="005728DD" w:rsidRDefault="005728DD" w:rsidP="005728DD">
      <w:pPr>
        <w:pStyle w:val="Extracto"/>
      </w:pPr>
    </w:p>
    <w:p w:rsidR="005728DD" w:rsidRDefault="005728DD" w:rsidP="005728DD">
      <w:pPr>
        <w:pStyle w:val="Extracto"/>
      </w:pPr>
      <w:r>
        <w:t>68.</w:t>
      </w:r>
      <w:r>
        <w:tab/>
        <w:t>Cabe afirmar la proporcionalidad de una reacción penal cuando la norma persiga la preservación de bienes o intereses que no estén constitucionalmente proscritos ni sean socialmente irrelevantes, y cuando la pena sea instrumentalmente apta para dicha persecución (STC 66/1995) [FJ 12].</w:t>
      </w:r>
    </w:p>
    <w:p w:rsidR="005728DD" w:rsidRDefault="005728DD" w:rsidP="005728DD">
      <w:pPr>
        <w:pStyle w:val="Extracto"/>
      </w:pPr>
    </w:p>
    <w:p w:rsidR="005728DD" w:rsidRDefault="005728DD" w:rsidP="005728DD">
      <w:pPr>
        <w:pStyle w:val="Extracto"/>
      </w:pPr>
      <w:r>
        <w:t>69.</w:t>
      </w:r>
      <w:r>
        <w:tab/>
        <w:t xml:space="preserve">Existen riesgos derivados de la utilización del </w:t>
      </w:r>
      <w:r w:rsidRPr="005728DD">
        <w:rPr>
          <w:i/>
        </w:rPr>
        <w:t xml:space="preserve">ius puniendi </w:t>
      </w:r>
      <w:r>
        <w:t>en la respuesta estatal ante un eventual ejercicio, extralimitado o no, del derecho a la libertad de expresión, por la desproporción que puede suponer acudir a esta potestad y el efecto desalentador que ello puede generar para el regular ejercicio de los derechos fundamentales (SSTC 112/2016 y 110/2000) [FJ 12].</w:t>
      </w:r>
    </w:p>
    <w:p w:rsidR="005728DD" w:rsidRDefault="005728DD" w:rsidP="005728DD">
      <w:pPr>
        <w:pStyle w:val="Extracto"/>
      </w:pPr>
    </w:p>
    <w:p w:rsidR="005728DD" w:rsidRDefault="005728DD" w:rsidP="005728DD">
      <w:pPr>
        <w:pStyle w:val="Extracto"/>
      </w:pPr>
      <w:r>
        <w:t>70.</w:t>
      </w:r>
      <w:r>
        <w:tab/>
        <w:t xml:space="preserve">El Tribunal Europeo de Derechos Humanos ha reiterado que, en cualquier sistema jurídico, por muy clara que sea la redacción de una disposición legal, incluso en materia penal, existe siempre un elemento de interpretación y el papel de los tribunales es precisamente disipar las dudas que la norma pueda plantear (STEDH, de 12 de febrero de 2008, asunto </w:t>
      </w:r>
      <w:r w:rsidRPr="005728DD">
        <w:rPr>
          <w:i/>
        </w:rPr>
        <w:t>Kafkaris c. Chipre</w:t>
      </w:r>
      <w:r>
        <w:t>) [FJ 12].</w:t>
      </w:r>
    </w:p>
    <w:p w:rsidR="005728DD" w:rsidRDefault="005728DD" w:rsidP="005728DD">
      <w:pPr>
        <w:pStyle w:val="Extracto"/>
      </w:pPr>
    </w:p>
    <w:p w:rsidR="005728DD" w:rsidRDefault="005728DD" w:rsidP="005728DD">
      <w:pPr>
        <w:pStyle w:val="Extracto"/>
      </w:pPr>
      <w:r>
        <w:lastRenderedPageBreak/>
        <w:t>71.</w:t>
      </w:r>
      <w:r>
        <w:tab/>
        <w:t>Para calificar una pena como desproporcionada desde el prisma constitucional, debe apreciarse un desequilibrio manifiesto y no justificable entre la sanción impuesta y la finalidad de la norma punitiva [FJ 12].</w:t>
      </w:r>
    </w:p>
    <w:p w:rsidR="005728DD" w:rsidRDefault="005728DD" w:rsidP="005728DD">
      <w:pPr>
        <w:pStyle w:val="Extracto"/>
      </w:pPr>
    </w:p>
    <w:p w:rsidR="005728DD" w:rsidRDefault="005728DD" w:rsidP="005728DD">
      <w:pPr>
        <w:pStyle w:val="Extracto"/>
      </w:pPr>
      <w:r>
        <w:t>72.</w:t>
      </w:r>
      <w:r>
        <w:tab/>
        <w:t>La acción descrita en el tipo penal del delito de sedición debe trascender al exterior (públicamente), materializarse mediante la actuación alborotada de una muchedumbre (tumultuariamente), que emplea la fuerza o se sirve de vías extralegales, siendo necesario que concurra la finalidad neutralizadora que describe el tipo [FJ 12].</w:t>
      </w:r>
    </w:p>
    <w:p w:rsidR="005728DD" w:rsidRDefault="005728DD" w:rsidP="005728DD">
      <w:pPr>
        <w:pStyle w:val="Extracto"/>
      </w:pPr>
    </w:p>
    <w:p w:rsidR="005728DD" w:rsidRDefault="005728DD" w:rsidP="005728DD">
      <w:pPr>
        <w:pStyle w:val="Extracto"/>
      </w:pPr>
      <w:r>
        <w:t>73.</w:t>
      </w:r>
      <w:r>
        <w:tab/>
      </w:r>
      <w:r w:rsidRPr="005728DD">
        <w:rPr>
          <w:i/>
        </w:rPr>
        <w:t xml:space="preserve">Doctrina sobre el principio de accesoriedad limitada en materia de participación </w:t>
      </w:r>
      <w:r>
        <w:t>[FJ 12].</w:t>
      </w:r>
    </w:p>
    <w:p w:rsidR="005728DD" w:rsidRDefault="005728DD" w:rsidP="005728DD">
      <w:pPr>
        <w:pStyle w:val="Extracto"/>
      </w:pPr>
    </w:p>
    <w:p w:rsidR="005728DD" w:rsidRDefault="005728DD" w:rsidP="005728DD">
      <w:pPr>
        <w:pStyle w:val="Extracto"/>
      </w:pPr>
      <w:r>
        <w:t>74.</w:t>
      </w:r>
      <w:r>
        <w:tab/>
        <w:t>El tipo penal de sedición no requiere la implicación de un elevado número de alzados ni que estos últimos actúen en un contexto absolutamente desvinculado de manifestaciones o reuniones cuyo propósito sea reivindicativo o de protesta [FJ 12].</w:t>
      </w:r>
    </w:p>
    <w:p w:rsidR="005728DD" w:rsidRDefault="005728DD" w:rsidP="005728DD">
      <w:pPr>
        <w:pStyle w:val="Extracto"/>
      </w:pPr>
    </w:p>
    <w:p w:rsidR="005728DD" w:rsidRDefault="005728DD" w:rsidP="005728DD">
      <w:pPr>
        <w:pStyle w:val="Extracto"/>
      </w:pPr>
      <w:r>
        <w:t>75.</w:t>
      </w:r>
      <w:r>
        <w:tab/>
        <w:t>El delito de sedición es un tipo penal de resultado cortado [FJ 12].</w:t>
      </w:r>
    </w:p>
    <w:p w:rsidR="005728DD" w:rsidRDefault="005728DD" w:rsidP="005728DD">
      <w:pPr>
        <w:pStyle w:val="Extracto"/>
      </w:pPr>
    </w:p>
    <w:p w:rsidR="005728DD" w:rsidRDefault="005728DD" w:rsidP="005728DD">
      <w:pPr>
        <w:pStyle w:val="Extracto"/>
      </w:pPr>
      <w:r>
        <w:t>76.</w:t>
      </w:r>
      <w:r>
        <w:tab/>
      </w:r>
      <w:r w:rsidRPr="005728DD">
        <w:rPr>
          <w:i/>
        </w:rPr>
        <w:t xml:space="preserve">Doctrina sobre la incidencia en el ámbito penal del ejercicio de los derechos fundamentales, incluido el denominado efecto desaliento </w:t>
      </w:r>
      <w:r>
        <w:t>[FJ 12].</w:t>
      </w:r>
    </w:p>
    <w:p w:rsidR="005728DD" w:rsidRDefault="005728DD" w:rsidP="005728DD">
      <w:pPr>
        <w:pStyle w:val="Extracto"/>
      </w:pPr>
    </w:p>
    <w:p w:rsidR="005728DD" w:rsidRDefault="005728DD" w:rsidP="005728DD">
      <w:pPr>
        <w:pStyle w:val="Extracto"/>
      </w:pPr>
      <w:r>
        <w:t>77.</w:t>
      </w:r>
      <w:r>
        <w:tab/>
        <w:t>La Constitución legitima la discrepancia frente a leyes y decisiones judiciales, la crítica descarnada a las decisiones de los poderes públicos, la reivindicación de programas políticos distintos de los previstos en la Constitución —ya sea el supuesto derecho de autodeterminación o el deseo de independencia de una parte del territorio del Estado español—, llamar a la movilización en defensa de tales propuestas, incluirlas en los programas políticos y defenderlas en las convocatorias electorales [FJ 12].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avocado núm. 1406-2020, promovido por don Jordi Sànchez i Picanyol, representado por el procurador de los tribunales don Aníbal Bordallo Huidobro y </w:t>
      </w:r>
      <w:r>
        <w:lastRenderedPageBreak/>
        <w:t>asistido por el letrado don Jordi Pina Massachs, contra la sentencia núm. 459/2019, de 14 de octubre, dictada por la Sala de lo Penal del Tribunal Supremo en la causa especial núm. 20907-2017, y contra el auto de 29 de enero de 2020, que desestimó los incidentes de nulidad interpuestos frente a esta. Han comparecido el abogado del Estado,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4 de marzo de 2020, don Aníbal Bordallo Huidobro, procurador de los tribunales, en nombre y representación de Jordi Sànchez i Picanyol, interpuso recurso de amparo contra las resoluciones judiciales a las que se ha hecho mención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Son antecedentes procesales relevantes para resolver el presente recurso, los siguientes:</w:t>
      </w:r>
    </w:p>
    <w:p w:rsidR="005728DD" w:rsidRDefault="005728DD" w:rsidP="005728DD">
      <w:pPr>
        <w:pStyle w:val="TextoNormal"/>
      </w:pPr>
    </w:p>
    <w:p w:rsidR="005728DD" w:rsidRDefault="005728DD" w:rsidP="005728DD">
      <w:pPr>
        <w:pStyle w:val="TextoNormal"/>
      </w:pPr>
      <w:r>
        <w:t>a) El 22 de septiembre de 2017, el teniente fiscal de la Audiencia Nacional formuló denuncia ante esta en relación con las concentraciones, ocupaciones de la vía pública y daños en bienes públicos que se produjeron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(ANC), entre otros, que se valoraban como obstruccionistas de la actividad policial. Las únicas personas que fueron nominalmente citadas en dicha denuncia fueron don Jordi Sànchez i Picanyol, presidente de la ANC, y don Jordi Cuixart Navarro, presidente de la entidad Òmnium Cultural (OC).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005728DD" w:rsidRDefault="005728DD" w:rsidP="005728DD">
      <w:pPr>
        <w:pStyle w:val="TextoNormal"/>
      </w:pPr>
    </w:p>
    <w:p w:rsidR="005728DD" w:rsidRDefault="005728DD" w:rsidP="005728DD">
      <w:pPr>
        <w:pStyle w:val="TextoNormal"/>
      </w:pPr>
      <w:r>
        <w:t>b) El 30 de octubre de 2017, el fiscal general del Estado presentó dos querellas por unos mismos hechos que consideraba podían ser constitutivos de los delitos de rebelión (art. 472 CP), sedición (art. 544 CP) y malversación de caudales públicos (art. 432 CP) y/o desobediencia (art. 410 CP).</w:t>
      </w:r>
    </w:p>
    <w:p w:rsidR="005728DD" w:rsidRDefault="005728DD" w:rsidP="005728DD">
      <w:pPr>
        <w:pStyle w:val="TextoNormal"/>
      </w:pPr>
    </w:p>
    <w:p w:rsidR="005728DD" w:rsidRDefault="005728DD" w:rsidP="005728DD">
      <w:pPr>
        <w:pStyle w:val="TextoNormal"/>
      </w:pPr>
      <w: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w:t>
      </w:r>
      <w:r>
        <w:lastRenderedPageBreak/>
        <w:t>Audiencia Nacional, en las que, como se ha descrito, se investigaban algunos hechos parcialmente coincidentes ocurridos en Barcelona los días 20 y 21 de septiembre de 2017.</w:t>
      </w:r>
    </w:p>
    <w:p w:rsidR="005728DD" w:rsidRDefault="005728DD" w:rsidP="005728DD">
      <w:pPr>
        <w:pStyle w:val="TextoNormal"/>
      </w:pPr>
    </w:p>
    <w:p w:rsidR="005728DD" w:rsidRDefault="005728DD" w:rsidP="005728DD">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5728DD" w:rsidRDefault="005728DD" w:rsidP="005728DD">
      <w:pPr>
        <w:pStyle w:val="TextoNormal"/>
      </w:pPr>
    </w:p>
    <w:p w:rsidR="005728DD" w:rsidRDefault="005728DD" w:rsidP="005728DD">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005728DD" w:rsidRDefault="005728DD" w:rsidP="005728DD">
      <w:pPr>
        <w:pStyle w:val="TextoNormal"/>
      </w:pPr>
    </w:p>
    <w:p w:rsidR="005728DD" w:rsidRDefault="005728DD" w:rsidP="005728DD">
      <w:pPr>
        <w:pStyle w:val="TextoNormal"/>
      </w:pPr>
      <w:r>
        <w:t>(i)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005728DD" w:rsidRDefault="005728DD" w:rsidP="005728DD">
      <w:pPr>
        <w:pStyle w:val="TextoNormal"/>
      </w:pPr>
    </w:p>
    <w:p w:rsidR="005728DD" w:rsidRDefault="005728DD" w:rsidP="005728DD">
      <w:pPr>
        <w:pStyle w:val="TextoNormal"/>
      </w:pPr>
      <w:r>
        <w:t>(ii)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5728DD" w:rsidRDefault="005728DD" w:rsidP="005728DD">
      <w:pPr>
        <w:pStyle w:val="TextoNormal"/>
      </w:pPr>
    </w:p>
    <w:p w:rsidR="005728DD" w:rsidRDefault="005728DD" w:rsidP="005728DD">
      <w:pPr>
        <w:pStyle w:val="TextoNormal"/>
      </w:pPr>
      <w:r>
        <w:t>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005728DD" w:rsidRDefault="005728DD" w:rsidP="005728DD">
      <w:pPr>
        <w:pStyle w:val="TextoNormal"/>
      </w:pPr>
    </w:p>
    <w:p w:rsidR="005728DD" w:rsidRDefault="005728DD" w:rsidP="005728DD">
      <w:pPr>
        <w:pStyle w:val="TextoNormal"/>
      </w:pPr>
      <w:r>
        <w:t>Recibida la información solicitada, el magistrado instructor dictó auto de fecha 24 de noviembre de 2017 en el que, apreciando conexidad entre las tres causas, extendió la investigación a los presidentes de las asociaciones Òmniun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005728DD" w:rsidRDefault="005728DD" w:rsidP="005728DD">
      <w:pPr>
        <w:pStyle w:val="TextoNormal"/>
      </w:pPr>
    </w:p>
    <w:p w:rsidR="005728DD" w:rsidRDefault="005728DD" w:rsidP="005728DD">
      <w:pPr>
        <w:pStyle w:val="TextoNormal"/>
      </w:pPr>
      <w:r>
        <w:lastRenderedPageBreak/>
        <w:t>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005728DD" w:rsidRDefault="005728DD" w:rsidP="005728DD">
      <w:pPr>
        <w:pStyle w:val="TextoNormal"/>
      </w:pPr>
    </w:p>
    <w:p w:rsidR="005728DD" w:rsidRDefault="005728DD" w:rsidP="005728DD">
      <w:pPr>
        <w:pStyle w:val="TextoNormal"/>
      </w:pPr>
      <w:r>
        <w:t>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005728DD" w:rsidRDefault="005728DD" w:rsidP="005728DD">
      <w:pPr>
        <w:pStyle w:val="TextoNormal"/>
      </w:pPr>
    </w:p>
    <w:p w:rsidR="005728DD" w:rsidRDefault="005728DD" w:rsidP="005728DD">
      <w:pPr>
        <w:pStyle w:val="TextoNormal"/>
      </w:pPr>
      <w:r>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5728DD" w:rsidRDefault="005728DD" w:rsidP="005728DD">
      <w:pPr>
        <w:pStyle w:val="TextoNormal"/>
      </w:pPr>
    </w:p>
    <w:p w:rsidR="005728DD" w:rsidRDefault="005728DD" w:rsidP="005728DD">
      <w:pPr>
        <w:pStyle w:val="TextoNormal"/>
      </w:pPr>
      <w:r>
        <w:t>e) Por auto de fecha 21 de marzo de 2018 se acordó, en otros pronunciamientos, el procesamiento del demandante de amparo, junto con otros encausados, por presunto delito de rebelión del art. 472 y concordantes del Código penal. Por auto de 9 de mayo de 2018 se desestimaron los recursos de reforma interpuestos contra la anterior resolución; y por auto de 26 de junio de 2018, se desestimaron los recursos de apelación entablados contra el auto de 9 de mayo de 2018.</w:t>
      </w:r>
    </w:p>
    <w:p w:rsidR="005728DD" w:rsidRDefault="005728DD" w:rsidP="005728DD">
      <w:pPr>
        <w:pStyle w:val="TextoNormal"/>
      </w:pPr>
    </w:p>
    <w:p w:rsidR="005728DD" w:rsidRDefault="005728DD" w:rsidP="005728DD">
      <w:pPr>
        <w:pStyle w:val="TextoNormal"/>
      </w:pPr>
      <w:r>
        <w:t>f) Una vez ratificado el procesamiento, el magistrado instructor declaró concluso el sumario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8 de octubre de 2018, el demandante de amparo interesó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el recurrente por el mismo delito por el que había sido procesado.</w:t>
      </w:r>
    </w:p>
    <w:p w:rsidR="005728DD" w:rsidRDefault="005728DD" w:rsidP="005728DD">
      <w:pPr>
        <w:pStyle w:val="TextoNormal"/>
      </w:pPr>
    </w:p>
    <w:p w:rsidR="005728DD" w:rsidRDefault="005728DD" w:rsidP="005728DD">
      <w:pPr>
        <w:pStyle w:val="TextoNormal"/>
      </w:pPr>
      <w:r>
        <w:lastRenderedPageBreak/>
        <w:t>g) En sus conclusiones provisionales, el Ministerio Fiscal calificó los hechos atribuidos al demandante como constitutivos de un delito de rebelión de los arts. 472.1, 5 y 7, 473, inciso primero (promotores y/o jefes principales) y 478 CP, por el que interesó la imposición de las penas de 17 años de prisión y de 17 años de inhabilitación absoluta y la condena en costas. No se ejercitó la acción civil, sin perjuicio de solicitar la remisión de particulares y de la sentencia al Tribunal de Cuentas, de conformidad con lo previsto en los arts. 18.2 de la Ley Orgánica 1/1982, de 12 de mayo, del Tribunal de Cuentas, y en los arts. 16, 17 y 49.3 de la Ley de funcionamiento del Tribunal de Cuentas, para el establecimiento y reclamación definitiva de las cantidades totales desviadas.</w:t>
      </w:r>
    </w:p>
    <w:p w:rsidR="005728DD" w:rsidRDefault="005728DD" w:rsidP="005728DD">
      <w:pPr>
        <w:pStyle w:val="TextoNormal"/>
      </w:pPr>
    </w:p>
    <w:p w:rsidR="005728DD" w:rsidRDefault="005728DD" w:rsidP="005728DD">
      <w:pPr>
        <w:pStyle w:val="TextoNormal"/>
      </w:pPr>
      <w:r>
        <w:t>El abogado del Estado calificó los hechos cometidos por el recurrente como constitutivos de un delito de sedición de los arts. 544 y 545.1 del Código penal; y solicitó la imposición de las penas de 8 años de prisión y el mismo tiempo de inhabilitación absoluta, condena en costas y la responsabilidad civil en los términos solicitados por el Ministerio Fiscal.</w:t>
      </w:r>
    </w:p>
    <w:p w:rsidR="005728DD" w:rsidRDefault="005728DD" w:rsidP="005728DD">
      <w:pPr>
        <w:pStyle w:val="TextoNormal"/>
      </w:pPr>
    </w:p>
    <w:p w:rsidR="005728DD" w:rsidRDefault="005728DD" w:rsidP="005728DD">
      <w:pPr>
        <w:pStyle w:val="TextoNormal"/>
      </w:pPr>
      <w:r>
        <w:t xml:space="preserve">La acusación popular consideró que la conducta del recurrente era constitutiva de los siguientes delitos: (i) dos delitos de rebelión de los arts. 472.5 y 7, 473.1 y 2 y 478 CP (ii) alternativamente, de dos delitos de sedición de los arts. 544 y 545.1 CP; y (iii) un delito de organización criminal de los arts. 570 </w:t>
      </w:r>
      <w:r w:rsidRPr="005728DD">
        <w:rPr>
          <w:i/>
        </w:rPr>
        <w:t>bis</w:t>
      </w:r>
      <w:r>
        <w:t xml:space="preserve"> 1 y 2 a) y c) y 570 </w:t>
      </w:r>
      <w:r w:rsidRPr="005728DD">
        <w:rPr>
          <w:i/>
        </w:rPr>
        <w:t>quater</w:t>
      </w:r>
      <w:r>
        <w:t xml:space="preserve"> 2 CP. Por cada delito de rebelión interesó la imposición de las penas de veinticinco años de prisión y de veinte años de inhabilitación absoluta; alternativamente, por cada delito de sedición solicitó las penas de quince años de prisión y de inhabilitación absoluta; y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Nada reclamó respecto del recurrente en concepto de responsabilidad civil y pidió la condena en costas de los acusados.</w:t>
      </w:r>
    </w:p>
    <w:p w:rsidR="005728DD" w:rsidRDefault="005728DD" w:rsidP="005728DD">
      <w:pPr>
        <w:pStyle w:val="TextoNormal"/>
      </w:pPr>
    </w:p>
    <w:p w:rsidR="005728DD" w:rsidRDefault="005728DD" w:rsidP="005728DD">
      <w:pPr>
        <w:pStyle w:val="TextoNormal"/>
      </w:pPr>
      <w:r>
        <w:t>h) Mediante escrito de fecha 20 de noviembre de 2018, el demandante, junto con otros procesados, promovió, al amparo de los arts. 666.1 y ss. LECrim, la declinatoria de jurisdicción como artículo de previo pronunciamiento. En síntesis, consideró que los hechos debían ser conocidos por el Tribunal Superior de Justicia de Cataluña y no por la Sala Segunda del Tribunal Supremo. Por ello, afirmó que al asumir este último órgano la competencia para conocer vulneró lo dispuesto en el art. 57.2 del Estatuto de Autonomía de Cataluña (EAC), que asigna la competencia al Tribunal Superior de Justicia cuando el proceso penal versa sobre delitos cometidos por diputados del Parlament, dentro del territorio de la referida comunidad autónoma; así como la lesión del derecho fundamental a la tutela judicial efectiva (art. 24 CE) y la privación del derecho a la doble instancia penal, garantizado por el art. 14.5 del Pacto internacional de derechos civiles y políticos (PIDCP).</w:t>
      </w:r>
    </w:p>
    <w:p w:rsidR="005728DD" w:rsidRDefault="005728DD" w:rsidP="005728DD">
      <w:pPr>
        <w:pStyle w:val="TextoNormal"/>
      </w:pPr>
    </w:p>
    <w:p w:rsidR="005728DD" w:rsidRDefault="005728DD" w:rsidP="005728DD">
      <w:pPr>
        <w:pStyle w:val="TextoNormal"/>
      </w:pPr>
      <w:r>
        <w:t>i) Por auto de fecha 27 de diciembre de 2018, la Sala de lo Penal del Tribunal Supremo desestimó la declinatoria de jurisdicción promovida por el demandante. Dicho órgano resolvió confirmar su competencia para conocer de los hechos que las partes acusadoras consideraban constitutivos de los delitos de rebelión, sedición, malversación de caudales públicos y desobediencia.</w:t>
      </w:r>
    </w:p>
    <w:p w:rsidR="005728DD" w:rsidRDefault="005728DD" w:rsidP="005728DD">
      <w:pPr>
        <w:pStyle w:val="TextoNormal"/>
      </w:pPr>
    </w:p>
    <w:p w:rsidR="005728DD" w:rsidRDefault="005728DD" w:rsidP="005728DD">
      <w:pPr>
        <w:pStyle w:val="TextoNormal"/>
      </w:pPr>
      <w:r>
        <w:lastRenderedPageBreak/>
        <w:t>j) En fecha 16 de enero de 2019, el demandante presentó el escrito de conclusiones provisionales, conforme a lo dispuesto en el art. 652 LECrim, en el que interesó su libre absolución. Asimismo, propuso la prueba que consideró pertinente y se reservó la posibilidad de solicitar más prueba con anterioridad a la celebración del juicio oral, pues afirmó no haber podido acceder de forma completa al procedimiento.</w:t>
      </w:r>
    </w:p>
    <w:p w:rsidR="005728DD" w:rsidRDefault="005728DD" w:rsidP="005728DD">
      <w:pPr>
        <w:pStyle w:val="TextoNormal"/>
      </w:pPr>
    </w:p>
    <w:p w:rsidR="005728DD" w:rsidRDefault="005728DD" w:rsidP="005728DD">
      <w:pPr>
        <w:pStyle w:val="TextoNormal"/>
      </w:pPr>
      <w:r>
        <w:t>k) Mediante auto de fecha 1 de febrero de 2019 se señalaron las fechas de celebración del juicio oral, cuyo inicio se fijó para el día 12 de febrero y su finalización para el 1 de junio de 2019. Asimismo, el órgano de enjuiciamiento resolvió sobre la admisión de las pruebas propuestas por las partes. En concreto, en el fundamento jurídico cuarto (págs. 58 a 76) figuran las pruebas interesadas por el recurrente con indicación de las que fueron admitidas y las que se rechazaron por considerarse impertinentes.</w:t>
      </w:r>
    </w:p>
    <w:p w:rsidR="005728DD" w:rsidRDefault="005728DD" w:rsidP="005728DD">
      <w:pPr>
        <w:pStyle w:val="TextoNormal"/>
      </w:pPr>
    </w:p>
    <w:p w:rsidR="005728DD" w:rsidRDefault="005728DD" w:rsidP="005728DD">
      <w:pPr>
        <w:pStyle w:val="TextoNormal"/>
      </w:pPr>
      <w:r>
        <w:t>l) Con fecha 12 de febrero de 2019 y antes del comienzo de la práctica de la prueba en el juicio oral, la defensa del recurrente y otros dos procesados alegó cuestiones previas basadas en las siguientes vulneraciones de derechos fundamentales: (i) del derecho a la tutela judicial efectiva sin indefensión (art. 24.1 CE) y, en concreto del derecho a la doble instancia en materia penal [art. 2.2 del Protocolo núm. 7 del Convenio europeo de derechos humanos (CEDH)], ya que la Sala Segunda del Tribunal Supremo asumió el conocimiento de la presente causa sin tener competencia para enjuiciar; (ii) del derecho a un juez imparcial (art. 6 CEDH y 24 CE), lesión que se produjo en la fase de instrucción, tanto por la intervención del magistrado instructor designado, como por la de sala de recursos, especialmente, del miembro de la misma don Francisco Monterde Ferrer, vicepresidente y miembro del comité ejecutivo de la Asociación Profesional de la Magistratura (APM); y en la fase de enjuiciamiento, con mención de las recusaciones resueltas por la Sala del art. 61 de la Ley Orgánica del Poder Judicial (LOPJ) y las manifestaciones de don Carlos Lesmes, presidente del Tribunal Supremo, que no atañen a los magistrados que integran la Sala, pero son “ilustrativas del contexto que rodea a la presente causa en términos de imparcialidad institucional”; (iii) de los derechos a la defensa, a un proceso con todas las garantías (art. 24 CE y 6 CEDH) y a la no discriminación (arts. 14 CE y 14 CEDH), por haberse denegado el sistema de traducción simultánea solicitado por la defensa; (iv) del derecho a la defensa y del derecho a un proceso con todas las garantías, por haber tenido que preparar el juicio en una situación de privación de libertad (arts. 17 en relación con 24 CE); (v) de los derechos de defensa y a un proceso con todas las garantías, por no permitirse un acceso completo a las actuaciones (arts. 24 CE y 6 CEDH), queja que se desglosa a su vez en las siguientes: acceso incompleto a la “nube virtual” para consultar las actuaciones de la instrucción; denegación de traslado de los denominados sobres cerrados; falta de traslado del resultado de las pruebas documentales requeridas por la Sala en su auto de admisión de pruebas de fecha 1 de febrero de 2019; (vi) de los derecho de defensa y a un proceso con todas las garantías, por haberse denegado la aportación de testimonio íntegro de las diligencias practicadas en el Juzgado de Instrucción núm. 13 de Barcelona (arts. 24 CE y 6 CEDH); (vii) del derecho a la presunción de inocencia por las declaraciones a la BBC de doña Irene Lozano Domingo, responsable de la campaña gubernamental “España Global” (arts. 6.3 CEDH y 24 CE); (viii) de los derechos de defensa y a un proceso con todas las garantías, por denegación de medios de prueba pertinentes, propuestos en tiempo y forma (arts. 24 CE y 6 CEDH).</w:t>
      </w:r>
    </w:p>
    <w:p w:rsidR="005728DD" w:rsidRDefault="005728DD" w:rsidP="005728DD">
      <w:pPr>
        <w:pStyle w:val="TextoNormal"/>
      </w:pPr>
    </w:p>
    <w:p w:rsidR="005728DD" w:rsidRDefault="005728DD" w:rsidP="005728DD">
      <w:pPr>
        <w:pStyle w:val="TextoNormal"/>
      </w:pPr>
      <w:r>
        <w:t xml:space="preserve">m) En sus conclusiones definitivas, las partes acusadoras mantuvieron sus calificaciones jurídicas y peticiones de penas respecto del demandante. Por su parte, este último modificó </w:t>
      </w:r>
      <w:r>
        <w:lastRenderedPageBreak/>
        <w:t>sus conclusiones provisionales, en el sentido de interesar, en la conclusión cuarta, la apreciación de la circunstancia eximente (art. 20.7 CP) de obrar en el legítimo ejercicio de los derechos a la libertad ideológica (art. 16 CE), de expresión (art. 20 CE), de reunión pacífica y manifestación (art. 21 CE) y de asociación (art. 22 CE).</w:t>
      </w:r>
    </w:p>
    <w:p w:rsidR="005728DD" w:rsidRDefault="005728DD" w:rsidP="005728DD">
      <w:pPr>
        <w:pStyle w:val="TextoNormal"/>
      </w:pPr>
    </w:p>
    <w:p w:rsidR="005728DD" w:rsidRDefault="005728DD" w:rsidP="005728DD">
      <w:pPr>
        <w:pStyle w:val="TextoNormal"/>
      </w:pPr>
      <w:r>
        <w:t>En el momento de elevar a definitivas sus conclusiones, amén de reiterar las vulneraciones ya alegadas al inicio del juicio oral, el recurrente denunció las siguientes lesiones de sus derechos fundamentales causadas durante la celebración del plenario: (i) del derecho a un proceso con todas las garantías (art. 24 CE y 6 CEDH), por la imposibilidad de confrontar las declaraciones testificales con la prueba documental videográfica (art. 24.2 CE); (ii) del derecho de defensa (art. 24 CE y 6 CEDH), por la restricción injustificada del alcance de los interrogatorios efectuados por las defensas; (iii) del derecho a un proceso con todas las garantías (arts. 24 CE y 6 CEDH), por la conculcación del principio de igualdad de armas entre acusaciones y defensas, por la asunción de un rol acusatorio por parte del presidente del tribunal y por impedir a los testigos declarar en lengua catalana.</w:t>
      </w:r>
    </w:p>
    <w:p w:rsidR="005728DD" w:rsidRDefault="005728DD" w:rsidP="005728DD">
      <w:pPr>
        <w:pStyle w:val="TextoNormal"/>
      </w:pPr>
    </w:p>
    <w:p w:rsidR="005728DD" w:rsidRDefault="005728DD" w:rsidP="005728DD">
      <w:pPr>
        <w:pStyle w:val="TextoNormal"/>
      </w:pPr>
      <w:r>
        <w:t>n) En fecha 14 de octubre de 2019 recayó sentencia en la referida causa especial, en virtud de la cual el demandante fue considerado autor de un delito de sedición previsto en los arts. 544 y 545.1 CP, y condenado a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una veinticuatroava parte del total de las costas procesales. El demandante fue absuelto de los delitos de rebelión y de organización criminal.</w:t>
      </w:r>
    </w:p>
    <w:p w:rsidR="005728DD" w:rsidRDefault="005728DD" w:rsidP="005728DD">
      <w:pPr>
        <w:pStyle w:val="TextoNormal"/>
      </w:pPr>
    </w:p>
    <w:p w:rsidR="005728DD" w:rsidRDefault="005728DD" w:rsidP="005728DD">
      <w:pPr>
        <w:pStyle w:val="TextoNormal"/>
      </w:pPr>
      <w:r>
        <w:t>ñ) En las páginas 24 a 60 de la sentencia condenatoria se consignan los hechos que el tribunal consideró probados, cuyo tenor literal, es el siguiente:</w:t>
      </w:r>
    </w:p>
    <w:p w:rsidR="005728DD" w:rsidRDefault="005728DD" w:rsidP="005728DD">
      <w:pPr>
        <w:pStyle w:val="TextoNormal"/>
      </w:pPr>
    </w:p>
    <w:p w:rsidR="005728DD" w:rsidRDefault="005728DD" w:rsidP="005728DD">
      <w:pPr>
        <w:pStyle w:val="TextoNormal"/>
      </w:pPr>
      <w:r>
        <w:t>“1. Con fecha 8 de septiembre de 2017, el ‘Diario Oficial de la Generalitat’ núm. 7451-A publicó la Ley del Parlament de Cataluña 20/2017, 8 de septiembre, de transitoriedad jurídica y fundacional de la República.</w:t>
      </w:r>
    </w:p>
    <w:p w:rsidR="005728DD" w:rsidRDefault="005728DD" w:rsidP="005728DD">
      <w:pPr>
        <w:pStyle w:val="TextoNormal"/>
      </w:pPr>
    </w:p>
    <w:p w:rsidR="005728DD" w:rsidRDefault="005728DD" w:rsidP="005728DD">
      <w:pPr>
        <w:pStyle w:val="TextoNormal"/>
      </w:pPr>
      <w:r>
        <w:t>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005728DD" w:rsidRDefault="005728DD" w:rsidP="005728DD">
      <w:pPr>
        <w:pStyle w:val="TextoNormal"/>
      </w:pPr>
    </w:p>
    <w:p w:rsidR="005728DD" w:rsidRDefault="005728DD" w:rsidP="005728DD">
      <w:pPr>
        <w:pStyle w:val="TextoNormal"/>
      </w:pPr>
      <w: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w:t>
      </w:r>
      <w:r>
        <w:lastRenderedPageBreak/>
        <w:t>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005728DD" w:rsidRDefault="005728DD" w:rsidP="005728DD">
      <w:pPr>
        <w:pStyle w:val="TextoNormal"/>
      </w:pPr>
    </w:p>
    <w:p w:rsidR="005728DD" w:rsidRDefault="005728DD" w:rsidP="005728DD">
      <w:pPr>
        <w:pStyle w:val="TextoNormal"/>
      </w:pPr>
      <w:r>
        <w:t>Se atribuía al Parlament, a propuesta del Gobierno de la Generalidad, una vez oída la sala de gobierno del Tribunal Supremo, el nombramiento del fiscal general de Cataluña.</w:t>
      </w:r>
    </w:p>
    <w:p w:rsidR="005728DD" w:rsidRDefault="005728DD" w:rsidP="005728DD">
      <w:pPr>
        <w:pStyle w:val="TextoNormal"/>
      </w:pPr>
    </w:p>
    <w:p w:rsidR="005728DD" w:rsidRDefault="005728DD" w:rsidP="005728DD">
      <w:pPr>
        <w:pStyle w:val="TextoNormal"/>
      </w:pPr>
      <w:r>
        <w:t>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005728DD" w:rsidRDefault="005728DD" w:rsidP="005728DD">
      <w:pPr>
        <w:pStyle w:val="TextoNormal"/>
      </w:pPr>
    </w:p>
    <w:p w:rsidR="005728DD" w:rsidRDefault="005728DD" w:rsidP="005728DD">
      <w:pPr>
        <w:pStyle w:val="TextoNormal"/>
      </w:pPr>
      <w:r>
        <w:t>2. La Ley 19/2017, 6 de septiembre, reguladora del llamado referéndum de autodeterminación, fue publicada en el ‘Diario Oficial de la Generalitat’ núm. 7449A, de 6 de septiembre de 2017.</w:t>
      </w:r>
    </w:p>
    <w:p w:rsidR="005728DD" w:rsidRDefault="005728DD" w:rsidP="005728DD">
      <w:pPr>
        <w:pStyle w:val="TextoNormal"/>
      </w:pPr>
    </w:p>
    <w:p w:rsidR="005728DD" w:rsidRDefault="005728DD" w:rsidP="005728DD">
      <w:pPr>
        <w:pStyle w:val="TextoNormal"/>
      </w:pPr>
      <w:r>
        <w:t>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005728DD" w:rsidRDefault="005728DD" w:rsidP="005728DD">
      <w:pPr>
        <w:pStyle w:val="TextoNormal"/>
      </w:pPr>
    </w:p>
    <w:p w:rsidR="005728DD" w:rsidRDefault="005728DD" w:rsidP="005728DD">
      <w:pPr>
        <w:pStyle w:val="TextoNormal"/>
      </w:pPr>
      <w:r>
        <w:t>En el mismo texto legal se precisaba que si en el recuento de los votos válidamente emitidos llegara a haber más votos afirmativos que negativos, el resultado implicaría la independencia de Cataluña. Con este fin, el Parlament de Cataluña, dentro de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005728DD" w:rsidRDefault="005728DD" w:rsidP="005728DD">
      <w:pPr>
        <w:pStyle w:val="TextoNormal"/>
      </w:pPr>
    </w:p>
    <w:p w:rsidR="005728DD" w:rsidRDefault="005728DD" w:rsidP="005728DD">
      <w:pPr>
        <w:pStyle w:val="TextoNormal"/>
      </w:pPr>
      <w: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Dña. Carme Forcadell Lluís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w:t>
      </w:r>
      <w:r>
        <w:lastRenderedPageBreak/>
        <w:t>i Solé, Consejera de Gobernación, Administraciones Públicas y Vivienda; y D. Carles Mundó i Blanch, Consejero de Justicia.</w:t>
      </w:r>
    </w:p>
    <w:p w:rsidR="005728DD" w:rsidRDefault="005728DD" w:rsidP="005728DD">
      <w:pPr>
        <w:pStyle w:val="TextoNormal"/>
      </w:pPr>
    </w:p>
    <w:p w:rsidR="005728DD" w:rsidRDefault="005728DD" w:rsidP="005728DD">
      <w:pPr>
        <w:pStyle w:val="TextoNormal"/>
      </w:pPr>
      <w:r>
        <w:t>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005728DD" w:rsidRDefault="005728DD" w:rsidP="005728DD">
      <w:pPr>
        <w:pStyle w:val="TextoNormal"/>
      </w:pPr>
    </w:p>
    <w:p w:rsidR="005728DD" w:rsidRDefault="005728DD" w:rsidP="005728DD">
      <w:pPr>
        <w:pStyle w:val="TextoNormal"/>
      </w:pPr>
      <w:r>
        <w:t>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Sànchez Picanyol y D.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005728DD" w:rsidRDefault="005728DD" w:rsidP="005728DD">
      <w:pPr>
        <w:pStyle w:val="TextoNormal"/>
      </w:pPr>
    </w:p>
    <w:p w:rsidR="005728DD" w:rsidRDefault="005728DD" w:rsidP="005728DD">
      <w:pPr>
        <w:pStyle w:val="TextoNormal"/>
      </w:pPr>
      <w: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w:t>
      </w:r>
      <w:r w:rsidRPr="005728DD">
        <w:rPr>
          <w:i/>
        </w:rPr>
        <w:t>ope legis</w:t>
      </w:r>
      <w:r>
        <w:t xml:space="preserve"> la independencia de Cataluña, a la que debería seguir una declaración formal del Parlament, concretando sus efectos e iniciando el proceso constituyente.</w:t>
      </w:r>
    </w:p>
    <w:p w:rsidR="005728DD" w:rsidRDefault="005728DD" w:rsidP="005728DD">
      <w:pPr>
        <w:pStyle w:val="TextoNormal"/>
      </w:pPr>
    </w:p>
    <w:p w:rsidR="005728DD" w:rsidRDefault="005728DD" w:rsidP="005728DD">
      <w:pPr>
        <w:pStyle w:val="TextoNormal"/>
      </w:pPr>
      <w:r>
        <w:t>Según los datos hechos públicos por el gobierno de la Generalitat, el referéndum arrojó el siguiente resultado: de un total de 5500000 personas con derecho a voto, la cifra total de votantes ascendió a 2286217 personas. Se contabilizaron 2044058 votos favorables al ‘sí’, cifra esta que representaba el 37 por 100 del censo electoral y poco más de una cuarta parte (el 27 por 100) de la población total de Cataluña en esas fechas.</w:t>
      </w:r>
    </w:p>
    <w:p w:rsidR="005728DD" w:rsidRDefault="005728DD" w:rsidP="005728DD">
      <w:pPr>
        <w:pStyle w:val="TextoNormal"/>
      </w:pPr>
    </w:p>
    <w:p w:rsidR="005728DD" w:rsidRDefault="005728DD" w:rsidP="005728DD">
      <w:pPr>
        <w:pStyle w:val="TextoNormal"/>
      </w:pPr>
      <w:r>
        <w:t>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005728DD" w:rsidRDefault="005728DD" w:rsidP="005728DD">
      <w:pPr>
        <w:pStyle w:val="TextoNormal"/>
      </w:pPr>
    </w:p>
    <w:p w:rsidR="005728DD" w:rsidRDefault="005728DD" w:rsidP="005728DD">
      <w:pPr>
        <w:pStyle w:val="TextoNormal"/>
      </w:pPr>
      <w:r>
        <w:t>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005728DD" w:rsidRDefault="005728DD" w:rsidP="005728DD">
      <w:pPr>
        <w:pStyle w:val="TextoNormal"/>
      </w:pPr>
    </w:p>
    <w:p w:rsidR="005728DD" w:rsidRDefault="005728DD" w:rsidP="005728DD">
      <w:pPr>
        <w:pStyle w:val="TextoNormal"/>
      </w:pPr>
      <w:r>
        <w:lastRenderedPageBreak/>
        <w:t>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005728DD" w:rsidRDefault="005728DD" w:rsidP="005728DD">
      <w:pPr>
        <w:pStyle w:val="TextoNormal"/>
      </w:pPr>
    </w:p>
    <w:p w:rsidR="005728DD" w:rsidRDefault="005728DD" w:rsidP="005728DD">
      <w:pPr>
        <w:pStyle w:val="TextoNormal"/>
      </w:pPr>
      <w:r>
        <w:t>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005728DD" w:rsidRDefault="005728DD" w:rsidP="005728DD">
      <w:pPr>
        <w:pStyle w:val="TextoNormal"/>
      </w:pPr>
    </w:p>
    <w:p w:rsidR="005728DD" w:rsidRDefault="005728DD" w:rsidP="005728DD">
      <w:pPr>
        <w:pStyle w:val="TextoNormal"/>
      </w:pPr>
      <w:r>
        <w:t>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005728DD" w:rsidRDefault="005728DD" w:rsidP="005728DD">
      <w:pPr>
        <w:pStyle w:val="TextoNormal"/>
      </w:pPr>
    </w:p>
    <w:p w:rsidR="005728DD" w:rsidRDefault="005728DD" w:rsidP="005728DD">
      <w:pPr>
        <w:pStyle w:val="TextoNormal"/>
      </w:pPr>
      <w:r>
        <w:t>2º) Que, por tanto, carecen de todo valor los que se vienen presentando como resultados del llamado referéndum de autodeterminación’.</w:t>
      </w:r>
    </w:p>
    <w:p w:rsidR="005728DD" w:rsidRDefault="005728DD" w:rsidP="005728DD">
      <w:pPr>
        <w:pStyle w:val="TextoNormal"/>
      </w:pPr>
    </w:p>
    <w:p w:rsidR="005728DD" w:rsidRDefault="005728DD" w:rsidP="005728DD">
      <w:pPr>
        <w:pStyle w:val="TextoNormal"/>
      </w:pPr>
      <w:r>
        <w:t>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5728DD" w:rsidRDefault="005728DD" w:rsidP="005728DD">
      <w:pPr>
        <w:pStyle w:val="TextoNormal"/>
      </w:pPr>
    </w:p>
    <w:p w:rsidR="005728DD" w:rsidRDefault="005728DD" w:rsidP="005728DD">
      <w:pPr>
        <w:pStyle w:val="TextoNormal"/>
      </w:pPr>
      <w: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w:t>
      </w:r>
      <w:r>
        <w:lastRenderedPageBreak/>
        <w:t>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005728DD" w:rsidRDefault="005728DD" w:rsidP="005728DD">
      <w:pPr>
        <w:pStyle w:val="TextoNormal"/>
      </w:pPr>
    </w:p>
    <w:p w:rsidR="005728DD" w:rsidRDefault="005728DD" w:rsidP="005728DD">
      <w:pPr>
        <w:pStyle w:val="TextoNormal"/>
      </w:pPr>
      <w:r>
        <w:t>La suscripción de este documento se realizó fuera del Salón de Plenos de la Cámara.</w:t>
      </w:r>
    </w:p>
    <w:p w:rsidR="005728DD" w:rsidRDefault="005728DD" w:rsidP="005728DD">
      <w:pPr>
        <w:pStyle w:val="TextoNormal"/>
      </w:pPr>
    </w:p>
    <w:p w:rsidR="005728DD" w:rsidRDefault="005728DD" w:rsidP="005728DD">
      <w:pPr>
        <w:pStyle w:val="TextoNormal"/>
      </w:pPr>
      <w:r>
        <w:t>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005728DD" w:rsidRDefault="005728DD" w:rsidP="005728DD">
      <w:pPr>
        <w:pStyle w:val="TextoNormal"/>
      </w:pPr>
    </w:p>
    <w:p w:rsidR="005728DD" w:rsidRDefault="005728DD" w:rsidP="005728DD">
      <w:pPr>
        <w:pStyle w:val="TextoNormal"/>
      </w:pPr>
      <w:r>
        <w:t>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005728DD" w:rsidRDefault="005728DD" w:rsidP="005728DD">
      <w:pPr>
        <w:pStyle w:val="TextoNormal"/>
      </w:pPr>
    </w:p>
    <w:p w:rsidR="005728DD" w:rsidRDefault="005728DD" w:rsidP="005728DD">
      <w:pPr>
        <w:pStyle w:val="TextoNormal"/>
      </w:pPr>
      <w:r>
        <w:t>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005728DD" w:rsidRDefault="005728DD" w:rsidP="005728DD">
      <w:pPr>
        <w:pStyle w:val="TextoNormal"/>
      </w:pPr>
    </w:p>
    <w:p w:rsidR="005728DD" w:rsidRDefault="005728DD" w:rsidP="005728DD">
      <w:pPr>
        <w:pStyle w:val="TextoNormal"/>
      </w:pPr>
      <w:r>
        <w:t>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5728DD" w:rsidRDefault="005728DD" w:rsidP="005728DD">
      <w:pPr>
        <w:pStyle w:val="TextoNormal"/>
      </w:pPr>
    </w:p>
    <w:p w:rsidR="005728DD" w:rsidRDefault="005728DD" w:rsidP="005728DD">
      <w:pPr>
        <w:pStyle w:val="TextoNormal"/>
      </w:pPr>
      <w: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w:t>
      </w:r>
      <w:r>
        <w:lastRenderedPageBreak/>
        <w:t>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5728DD" w:rsidRDefault="005728DD" w:rsidP="005728DD">
      <w:pPr>
        <w:pStyle w:val="TextoNormal"/>
      </w:pPr>
    </w:p>
    <w:p w:rsidR="005728DD" w:rsidRDefault="005728DD" w:rsidP="005728DD">
      <w:pPr>
        <w:pStyle w:val="TextoNormal"/>
      </w:pPr>
      <w:r>
        <w:t>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005728DD" w:rsidRDefault="005728DD" w:rsidP="005728DD">
      <w:pPr>
        <w:pStyle w:val="TextoNormal"/>
      </w:pPr>
    </w:p>
    <w:p w:rsidR="005728DD" w:rsidRDefault="005728DD" w:rsidP="005728DD">
      <w:pPr>
        <w:pStyle w:val="TextoNormal"/>
      </w:pPr>
      <w:r>
        <w:t>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 —en adelante, ‘DOGC’— 6 de septiembre de 2017), y 20/2017, de 8 de septiembre, de transitoriedad jurídica y fundacional de la república (‘DOGC’ de 8 de septiembre de 2017).</w:t>
      </w:r>
    </w:p>
    <w:p w:rsidR="005728DD" w:rsidRDefault="005728DD" w:rsidP="005728DD">
      <w:pPr>
        <w:pStyle w:val="TextoNormal"/>
      </w:pPr>
    </w:p>
    <w:p w:rsidR="005728DD" w:rsidRDefault="005728DD" w:rsidP="005728DD">
      <w:pPr>
        <w:pStyle w:val="TextoNormal"/>
      </w:pPr>
      <w:r>
        <w:t>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005728DD" w:rsidRDefault="005728DD" w:rsidP="005728DD">
      <w:pPr>
        <w:pStyle w:val="TextoNormal"/>
      </w:pPr>
    </w:p>
    <w:p w:rsidR="005728DD" w:rsidRDefault="005728DD" w:rsidP="005728DD">
      <w:pPr>
        <w:pStyle w:val="TextoNormal"/>
      </w:pPr>
      <w:r>
        <w:t>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005728DD" w:rsidRDefault="005728DD" w:rsidP="005728DD">
      <w:pPr>
        <w:pStyle w:val="TextoNormal"/>
      </w:pPr>
    </w:p>
    <w:p w:rsidR="005728DD" w:rsidRDefault="005728DD" w:rsidP="005728DD">
      <w:pPr>
        <w:pStyle w:val="TextoNormal"/>
      </w:pPr>
      <w:r>
        <w:t xml:space="preserve">7.1. Las impugnaciones que presidieron el devenir parlamentario de las Leyes 19 y 20 de 2017 estaban en línea con toda una batería de recursos y requerimientos promovidos por el </w:t>
      </w:r>
      <w:r>
        <w:lastRenderedPageBreak/>
        <w:t>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005728DD" w:rsidRDefault="005728DD" w:rsidP="005728DD">
      <w:pPr>
        <w:pStyle w:val="TextoNormal"/>
      </w:pPr>
    </w:p>
    <w:p w:rsidR="005728DD" w:rsidRDefault="005728DD" w:rsidP="005728DD">
      <w:pPr>
        <w:pStyle w:val="TextoNormal"/>
      </w:pPr>
      <w:r>
        <w:t>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5728DD" w:rsidRDefault="005728DD" w:rsidP="005728DD">
      <w:pPr>
        <w:pStyle w:val="TextoNormal"/>
      </w:pPr>
    </w:p>
    <w:p w:rsidR="005728DD" w:rsidRDefault="005728DD" w:rsidP="005728DD">
      <w:pPr>
        <w:pStyle w:val="TextoNormal"/>
      </w:pPr>
      <w:r>
        <w:t>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005728DD" w:rsidRDefault="005728DD" w:rsidP="005728DD">
      <w:pPr>
        <w:pStyle w:val="TextoNormal"/>
      </w:pPr>
    </w:p>
    <w:p w:rsidR="005728DD" w:rsidRDefault="005728DD" w:rsidP="005728DD">
      <w:pPr>
        <w:pStyle w:val="TextoNormal"/>
      </w:pPr>
      <w:r>
        <w:t>Fue admitida a trámite por la mesa e impugnada ante el Tribunal Constitucional que, mediante su sentencia 259/2015, de 2 diciembre, la declaró inconstitucional.</w:t>
      </w:r>
    </w:p>
    <w:p w:rsidR="005728DD" w:rsidRDefault="005728DD" w:rsidP="005728DD">
      <w:pPr>
        <w:pStyle w:val="TextoNormal"/>
      </w:pPr>
    </w:p>
    <w:p w:rsidR="005728DD" w:rsidRDefault="005728DD" w:rsidP="005728DD">
      <w:pPr>
        <w:pStyle w:val="TextoNormal"/>
      </w:pPr>
      <w:r>
        <w:t>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005728DD" w:rsidRDefault="005728DD" w:rsidP="005728DD">
      <w:pPr>
        <w:pStyle w:val="TextoNormal"/>
      </w:pPr>
    </w:p>
    <w:p w:rsidR="005728DD" w:rsidRDefault="005728DD" w:rsidP="005728DD">
      <w:pPr>
        <w:pStyle w:val="TextoNormal"/>
      </w:pPr>
      <w:r>
        <w:t>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005728DD" w:rsidRDefault="005728DD" w:rsidP="005728DD">
      <w:pPr>
        <w:pStyle w:val="TextoNormal"/>
      </w:pPr>
    </w:p>
    <w:p w:rsidR="005728DD" w:rsidRDefault="005728DD" w:rsidP="005728DD">
      <w:pPr>
        <w:pStyle w:val="TextoNormal"/>
      </w:pPr>
      <w:r>
        <w:t>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005728DD" w:rsidRDefault="005728DD" w:rsidP="005728DD">
      <w:pPr>
        <w:pStyle w:val="TextoNormal"/>
      </w:pPr>
    </w:p>
    <w:p w:rsidR="005728DD" w:rsidRDefault="005728DD" w:rsidP="005728DD">
      <w:pPr>
        <w:pStyle w:val="TextoNormal"/>
      </w:pPr>
      <w:r>
        <w:lastRenderedPageBreak/>
        <w:t>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005728DD" w:rsidRDefault="005728DD" w:rsidP="005728DD">
      <w:pPr>
        <w:pStyle w:val="TextoNormal"/>
      </w:pPr>
    </w:p>
    <w:p w:rsidR="005728DD" w:rsidRDefault="005728DD" w:rsidP="005728DD">
      <w:pPr>
        <w:pStyle w:val="TextoNormal"/>
      </w:pPr>
      <w:r>
        <w:t>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005728DD" w:rsidRDefault="005728DD" w:rsidP="005728DD">
      <w:pPr>
        <w:pStyle w:val="TextoNormal"/>
      </w:pPr>
    </w:p>
    <w:p w:rsidR="005728DD" w:rsidRDefault="005728DD" w:rsidP="005728DD">
      <w:pPr>
        <w:pStyle w:val="TextoNormal"/>
      </w:pPr>
      <w:r>
        <w:t>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005728DD" w:rsidRDefault="005728DD" w:rsidP="005728DD">
      <w:pPr>
        <w:pStyle w:val="TextoNormal"/>
      </w:pPr>
    </w:p>
    <w:p w:rsidR="005728DD" w:rsidRDefault="005728DD" w:rsidP="005728DD">
      <w:pPr>
        <w:pStyle w:val="TextoNormal"/>
      </w:pPr>
      <w:r>
        <w:t>El Tribunal Europeo de Derechos Humanos de Estrasburgo ha inadmitido la demanda núm. 70219-17 promovida por una de las personas a la que se impusieron las multas coercitivas por formar parte de esa administración electoral, en decisió</w:t>
      </w:r>
      <w:r w:rsidRPr="005728DD">
        <w:rPr>
          <w:i/>
        </w:rPr>
        <w:t>n Aumatell i Arnau v. Espa</w:t>
      </w:r>
      <w:r>
        <w:t>ña de 11 de septiembre de 2018.</w:t>
      </w:r>
    </w:p>
    <w:p w:rsidR="005728DD" w:rsidRDefault="005728DD" w:rsidP="005728DD">
      <w:pPr>
        <w:pStyle w:val="TextoNormal"/>
      </w:pPr>
    </w:p>
    <w:p w:rsidR="005728DD" w:rsidRDefault="005728DD" w:rsidP="005728DD">
      <w:pPr>
        <w:pStyle w:val="TextoNormal"/>
      </w:pPr>
      <w:r>
        <w:t>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005728DD" w:rsidRDefault="005728DD" w:rsidP="005728DD">
      <w:pPr>
        <w:pStyle w:val="TextoNormal"/>
      </w:pPr>
    </w:p>
    <w:p w:rsidR="005728DD" w:rsidRDefault="005728DD" w:rsidP="005728DD">
      <w:pPr>
        <w:pStyle w:val="TextoNormal"/>
      </w:pPr>
      <w:r>
        <w:t>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005728DD" w:rsidRDefault="005728DD" w:rsidP="005728DD">
      <w:pPr>
        <w:pStyle w:val="TextoNormal"/>
      </w:pPr>
    </w:p>
    <w:p w:rsidR="005728DD" w:rsidRDefault="005728DD" w:rsidP="005728DD">
      <w:pPr>
        <w:pStyle w:val="TextoNormal"/>
      </w:pPr>
      <w:r>
        <w:t xml:space="preserve">El 6 de octubre de 2017, el Gobierno de la Generalitat, mediante una carta firmada por el Vicepresidente del Gobierno de la Generalitat D. Oriol Junqueras, su portavoz D. Jordi </w:t>
      </w:r>
      <w:r>
        <w:lastRenderedPageBreak/>
        <w:t>Turull y el consejero de Asuntos Exteriores D. Raül Romeva comunicó al Parlament el resultado del referéndum, afirmando que había ganado el ‘sí’ con un 90,18 por 100 de los votos emitidos.</w:t>
      </w:r>
    </w:p>
    <w:p w:rsidR="005728DD" w:rsidRDefault="005728DD" w:rsidP="005728DD">
      <w:pPr>
        <w:pStyle w:val="TextoNormal"/>
      </w:pPr>
    </w:p>
    <w:p w:rsidR="005728DD" w:rsidRDefault="005728DD" w:rsidP="005728DD">
      <w:pPr>
        <w:pStyle w:val="TextoNormal"/>
      </w:pPr>
      <w:r>
        <w:t>7.6. Con anterioridad, el impulso a lo que se presentaba como el camino hacia la independencia, con palmario incumplimiento de las bases de nuestro sistema normativo, había conocido otros hitos fundamentales.</w:t>
      </w:r>
    </w:p>
    <w:p w:rsidR="005728DD" w:rsidRDefault="005728DD" w:rsidP="005728DD">
      <w:pPr>
        <w:pStyle w:val="TextoNormal"/>
      </w:pPr>
    </w:p>
    <w:p w:rsidR="005728DD" w:rsidRDefault="005728DD" w:rsidP="005728DD">
      <w:pPr>
        <w:pStyle w:val="TextoNormal"/>
      </w:pPr>
      <w:r>
        <w:t>Así, el día 30 de marzo de 2015 se formalizó el concierto de actuación ilegal mediante el acuerdo de una ‘hoja de ruta’ respecto del proceso de independencia entre los partidos políticos Convergencia Democrática de Cataluña (representada por D. Josep Rull Andreu) y Esquerra Republicana de Cataluña, con las entidades soberanistas Òmnium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005728DD" w:rsidRDefault="005728DD" w:rsidP="005728DD">
      <w:pPr>
        <w:pStyle w:val="TextoNormal"/>
      </w:pPr>
    </w:p>
    <w:p w:rsidR="005728DD" w:rsidRDefault="005728DD" w:rsidP="005728DD">
      <w:pPr>
        <w:pStyle w:val="TextoNormal"/>
      </w:pPr>
      <w:r>
        <w:t>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005728DD" w:rsidRDefault="005728DD" w:rsidP="005728DD">
      <w:pPr>
        <w:pStyle w:val="TextoNormal"/>
      </w:pPr>
    </w:p>
    <w:p w:rsidR="005728DD" w:rsidRDefault="005728DD" w:rsidP="005728DD">
      <w:pPr>
        <w:pStyle w:val="TextoNormal"/>
      </w:pPr>
      <w:r>
        <w:t>El 12 de abril de 2015 la ANC —un mes antes de que el acusado D. Jordi Sànchez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005728DD" w:rsidRDefault="005728DD" w:rsidP="005728DD">
      <w:pPr>
        <w:pStyle w:val="TextoNormal"/>
      </w:pPr>
    </w:p>
    <w:p w:rsidR="005728DD" w:rsidRDefault="005728DD" w:rsidP="005728DD">
      <w:pPr>
        <w:pStyle w:val="TextoNormal"/>
      </w:pPr>
      <w:r>
        <w:t>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005728DD" w:rsidRDefault="005728DD" w:rsidP="005728DD">
      <w:pPr>
        <w:pStyle w:val="TextoNormal"/>
      </w:pPr>
    </w:p>
    <w:p w:rsidR="005728DD" w:rsidRDefault="005728DD" w:rsidP="005728DD">
      <w:pPr>
        <w:pStyle w:val="TextoNormal"/>
      </w:pPr>
      <w:r>
        <w:t xml:space="preserve">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w:t>
      </w:r>
      <w:r>
        <w:lastRenderedPageBreak/>
        <w:t>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005728DD" w:rsidRDefault="005728DD" w:rsidP="005728DD">
      <w:pPr>
        <w:pStyle w:val="TextoNormal"/>
      </w:pPr>
    </w:p>
    <w:p w:rsidR="005728DD" w:rsidRDefault="005728DD" w:rsidP="005728DD">
      <w:pPr>
        <w:pStyle w:val="TextoNormal"/>
      </w:pPr>
      <w:r>
        <w:t>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 Jordi Jané por el acusado D. Joaquín Forn, para que respaldara sin reservas la celebración del referéndum. Unos días más tarde, ante el rumbo que tomaban los acontecimientos, también dimitió́ el hasta entonces director general de policía de la Generalitat, D. Albert Batlle.</w:t>
      </w:r>
    </w:p>
    <w:p w:rsidR="005728DD" w:rsidRDefault="005728DD" w:rsidP="005728DD">
      <w:pPr>
        <w:pStyle w:val="TextoNormal"/>
      </w:pPr>
    </w:p>
    <w:p w:rsidR="005728DD" w:rsidRDefault="005728DD" w:rsidP="005728DD">
      <w:pPr>
        <w:pStyle w:val="TextoNormal"/>
      </w:pPr>
      <w:r>
        <w:t>Por el mismo motivo y en la misma época, fueron cesadas las consejeras de Enseñanza, Dña. Meritxell Ruiz Isem, y de la presidencia, Dña. Neus Munté Fernández, pasando a ocupar sus cargos Dña. Clara Ponsatí y el acusado D. Jordi Turull. También en ese momento fue cesado el consejero de industria D. Jordi Baiget, a raíz de haber manifestado en una entrevista que consideraba una irresponsabilidad la celebración de un referéndum unilateral.</w:t>
      </w:r>
    </w:p>
    <w:p w:rsidR="005728DD" w:rsidRDefault="005728DD" w:rsidP="005728DD">
      <w:pPr>
        <w:pStyle w:val="TextoNormal"/>
      </w:pPr>
    </w:p>
    <w:p w:rsidR="005728DD" w:rsidRDefault="005728DD" w:rsidP="005728DD">
      <w:pPr>
        <w:pStyle w:val="TextoNormal"/>
      </w:pPr>
      <w:r>
        <w:t>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 Oriol Junqueras.</w:t>
      </w:r>
    </w:p>
    <w:p w:rsidR="005728DD" w:rsidRDefault="005728DD" w:rsidP="005728DD">
      <w:pPr>
        <w:pStyle w:val="TextoNormal"/>
      </w:pPr>
    </w:p>
    <w:p w:rsidR="005728DD" w:rsidRDefault="005728DD" w:rsidP="005728DD">
      <w:pPr>
        <w:pStyle w:val="TextoNormal"/>
      </w:pPr>
      <w:r>
        <w:t>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005728DD" w:rsidRDefault="005728DD" w:rsidP="005728DD">
      <w:pPr>
        <w:pStyle w:val="TextoNormal"/>
      </w:pPr>
    </w:p>
    <w:p w:rsidR="005728DD" w:rsidRDefault="005728DD" w:rsidP="005728DD">
      <w:pPr>
        <w:pStyle w:val="TextoNormal"/>
      </w:pPr>
      <w: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 Oriol Junqueras. El Pleno del Tribunal Constitucional, por providencia </w:t>
      </w:r>
      <w:r>
        <w:lastRenderedPageBreak/>
        <w:t>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5728DD" w:rsidRDefault="005728DD" w:rsidP="005728DD">
      <w:pPr>
        <w:pStyle w:val="TextoNormal"/>
      </w:pPr>
    </w:p>
    <w:p w:rsidR="005728DD" w:rsidRDefault="005728DD" w:rsidP="005728DD">
      <w:pPr>
        <w:pStyle w:val="TextoNormal"/>
      </w:pPr>
      <w:r>
        <w:t>8.4. En septiembre de 2017, la interventora general de la Generalidad dejó de remitir información al Ministerio de Hacienda comunicando que el vicepresidente y consejero de Economía y Hacienda, D.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005728DD" w:rsidRDefault="005728DD" w:rsidP="005728DD">
      <w:pPr>
        <w:pStyle w:val="TextoNormal"/>
      </w:pPr>
    </w:p>
    <w:p w:rsidR="005728DD" w:rsidRDefault="005728DD" w:rsidP="005728DD">
      <w:pPr>
        <w:pStyle w:val="TextoNormal"/>
      </w:pPr>
      <w:r>
        <w:t>Mediante acuerdo del Gobierno de la Generalitat de fecha 7 de septiembre de 2017 —a propuesta del vicepresidente, D. Oriol Junqueras, y de los consejeros de Presidencia, D. Jordi Turull, y de Asuntos Institucionales y Exteriores, D. Raül Romeva se autorizó a los diferentes departamentos para que realizaran las acciones y contrataciones necesarias para la realización del referéndum.</w:t>
      </w:r>
    </w:p>
    <w:p w:rsidR="005728DD" w:rsidRDefault="005728DD" w:rsidP="005728DD">
      <w:pPr>
        <w:pStyle w:val="TextoNormal"/>
      </w:pPr>
    </w:p>
    <w:p w:rsidR="005728DD" w:rsidRDefault="005728DD" w:rsidP="005728DD">
      <w:pPr>
        <w:pStyle w:val="TextoNormal"/>
      </w:pPr>
      <w:r>
        <w:t>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005728DD" w:rsidRDefault="005728DD" w:rsidP="005728DD">
      <w:pPr>
        <w:pStyle w:val="TextoNormal"/>
      </w:pPr>
    </w:p>
    <w:p w:rsidR="005728DD" w:rsidRDefault="005728DD" w:rsidP="005728DD">
      <w:pPr>
        <w:pStyle w:val="TextoNormal"/>
      </w:pPr>
      <w: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w:t>
      </w:r>
      <w:r>
        <w:lastRenderedPageBreak/>
        <w:t>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005728DD" w:rsidRDefault="005728DD" w:rsidP="005728DD">
      <w:pPr>
        <w:pStyle w:val="TextoNormal"/>
      </w:pPr>
    </w:p>
    <w:p w:rsidR="005728DD" w:rsidRDefault="005728DD" w:rsidP="005728DD">
      <w:pPr>
        <w:pStyle w:val="TextoNormal"/>
      </w:pPr>
      <w:r>
        <w:t>Añadía el último apartado que ‘las decisiones y actuaciones nombradas serán tomadas de forma colectiva y colegiada por parte de los miembros del Gobierno, y asumidas de manera solidaria’.</w:t>
      </w:r>
    </w:p>
    <w:p w:rsidR="005728DD" w:rsidRDefault="005728DD" w:rsidP="005728DD">
      <w:pPr>
        <w:pStyle w:val="TextoNormal"/>
      </w:pPr>
    </w:p>
    <w:p w:rsidR="005728DD" w:rsidRDefault="005728DD" w:rsidP="005728DD">
      <w:pPr>
        <w:pStyle w:val="TextoNormal"/>
      </w:pPr>
      <w:r>
        <w:t>9. Los acusados D. Jordi Sànchez Picanyol y D. Jordi Cuixart Navarro eran los líderes respectivos de la Asamblea Nacional Catalana (ANC) y Òmnium Cultural (OC). Su contribución resultaba decisiva para los fines ideados. Ambas asociaciones cuentan con una amplia e histórica trayectoria de movilización popular. Los Sres.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005728DD" w:rsidRDefault="005728DD" w:rsidP="005728DD">
      <w:pPr>
        <w:pStyle w:val="TextoNormal"/>
      </w:pPr>
    </w:p>
    <w:p w:rsidR="005728DD" w:rsidRDefault="005728DD" w:rsidP="005728DD">
      <w:pPr>
        <w:pStyle w:val="TextoNormal"/>
      </w:pPr>
      <w:r>
        <w:t>El día 20 de septiembre de 2017, los acusados D. Jordi Sànchez Picanyol y D.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005728DD" w:rsidRDefault="005728DD" w:rsidP="005728DD">
      <w:pPr>
        <w:pStyle w:val="TextoNormal"/>
      </w:pPr>
    </w:p>
    <w:p w:rsidR="005728DD" w:rsidRDefault="005728DD" w:rsidP="005728DD">
      <w:pPr>
        <w:pStyle w:val="TextoNormal"/>
      </w:pPr>
      <w:r>
        <w:t xml:space="preserve">Las entidades ANC y OC, a través de la página ‘web www.cridademocracia.cat’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w:t>
      </w:r>
      <w:r>
        <w:lastRenderedPageBreak/>
        <w:t>llamó a concentrarse, además de en la sede de Vicepresidencia, Economía y Hacienda, en las Consejerías de Exteriores, Bienestar y Familia, y Gobernación.</w:t>
      </w:r>
    </w:p>
    <w:p w:rsidR="005728DD" w:rsidRDefault="005728DD" w:rsidP="005728DD">
      <w:pPr>
        <w:pStyle w:val="TextoNormal"/>
      </w:pPr>
    </w:p>
    <w:p w:rsidR="005728DD" w:rsidRDefault="005728DD" w:rsidP="005728DD">
      <w:pPr>
        <w:pStyle w:val="TextoNormal"/>
      </w:pPr>
      <w:r>
        <w:t>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005728DD" w:rsidRDefault="005728DD" w:rsidP="005728DD">
      <w:pPr>
        <w:pStyle w:val="TextoNormal"/>
      </w:pPr>
    </w:p>
    <w:p w:rsidR="005728DD" w:rsidRDefault="005728DD" w:rsidP="005728DD">
      <w:pPr>
        <w:pStyle w:val="TextoNormal"/>
      </w:pPr>
      <w:r>
        <w:t>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005728DD" w:rsidRDefault="005728DD" w:rsidP="005728DD">
      <w:pPr>
        <w:pStyle w:val="TextoNormal"/>
      </w:pPr>
    </w:p>
    <w:p w:rsidR="005728DD" w:rsidRDefault="005728DD" w:rsidP="005728DD">
      <w:pPr>
        <w:pStyle w:val="TextoNormal"/>
      </w:pPr>
      <w:r>
        <w:t>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005728DD" w:rsidRDefault="005728DD" w:rsidP="005728DD">
      <w:pPr>
        <w:pStyle w:val="TextoNormal"/>
      </w:pPr>
    </w:p>
    <w:p w:rsidR="005728DD" w:rsidRDefault="005728DD" w:rsidP="005728DD">
      <w:pPr>
        <w:pStyle w:val="TextoNormal"/>
      </w:pPr>
      <w:r>
        <w:t>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5728DD" w:rsidRDefault="005728DD" w:rsidP="005728DD">
      <w:pPr>
        <w:pStyle w:val="TextoNormal"/>
      </w:pPr>
    </w:p>
    <w:p w:rsidR="005728DD" w:rsidRDefault="005728DD" w:rsidP="005728DD">
      <w:pPr>
        <w:pStyle w:val="TextoNormal"/>
      </w:pPr>
      <w:r>
        <w:t>Las entidades sociales que animaban la convocatoria montaron una tarima y repartieron agua y bocadillos entre los asistentes.</w:t>
      </w:r>
    </w:p>
    <w:p w:rsidR="005728DD" w:rsidRDefault="005728DD" w:rsidP="005728DD">
      <w:pPr>
        <w:pStyle w:val="TextoNormal"/>
      </w:pPr>
    </w:p>
    <w:p w:rsidR="005728DD" w:rsidRDefault="005728DD" w:rsidP="005728DD">
      <w:pPr>
        <w:pStyle w:val="TextoNormal"/>
      </w:pPr>
      <w:r>
        <w:t>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005728DD" w:rsidRDefault="005728DD" w:rsidP="005728DD">
      <w:pPr>
        <w:pStyle w:val="TextoNormal"/>
      </w:pPr>
    </w:p>
    <w:p w:rsidR="005728DD" w:rsidRDefault="005728DD" w:rsidP="005728DD">
      <w:pPr>
        <w:pStyle w:val="TextoNormal"/>
      </w:pPr>
      <w:r>
        <w:lastRenderedPageBreak/>
        <w:t>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005728DD" w:rsidRDefault="005728DD" w:rsidP="005728DD">
      <w:pPr>
        <w:pStyle w:val="TextoNormal"/>
      </w:pPr>
    </w:p>
    <w:p w:rsidR="005728DD" w:rsidRDefault="005728DD" w:rsidP="005728DD">
      <w:pPr>
        <w:pStyle w:val="TextoNormal"/>
      </w:pPr>
      <w:r>
        <w:t>La efectiva dispersión de los últimos manifestantes tuvo lugar, ya entrada la madrugada, a raíz de unas cargas policiales ejecutadas por la brigada antidisturbios de los Mossos.</w:t>
      </w:r>
    </w:p>
    <w:p w:rsidR="005728DD" w:rsidRDefault="005728DD" w:rsidP="005728DD">
      <w:pPr>
        <w:pStyle w:val="TextoNormal"/>
      </w:pPr>
    </w:p>
    <w:p w:rsidR="005728DD" w:rsidRDefault="005728DD" w:rsidP="005728DD">
      <w:pPr>
        <w:pStyle w:val="TextoNormal"/>
      </w:pPr>
      <w:r>
        <w:t>Durante los disturbios, el acusado D.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005728DD" w:rsidRDefault="005728DD" w:rsidP="005728DD">
      <w:pPr>
        <w:pStyle w:val="TextoNormal"/>
      </w:pPr>
    </w:p>
    <w:p w:rsidR="005728DD" w:rsidRDefault="005728DD" w:rsidP="005728DD">
      <w:pPr>
        <w:pStyle w:val="TextoNormal"/>
      </w:pPr>
      <w:r>
        <w:t>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Sànchez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005728DD" w:rsidRDefault="005728DD" w:rsidP="005728DD">
      <w:pPr>
        <w:pStyle w:val="TextoNormal"/>
      </w:pPr>
    </w:p>
    <w:p w:rsidR="005728DD" w:rsidRDefault="005728DD" w:rsidP="005728DD">
      <w:pPr>
        <w:pStyle w:val="TextoNormal"/>
      </w:pPr>
      <w:r>
        <w:t>Desde la llegada al lugar del acusado D. Jordi Cuixart, este y D. Jordi Sànchez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005728DD" w:rsidRDefault="005728DD" w:rsidP="005728DD">
      <w:pPr>
        <w:pStyle w:val="TextoNormal"/>
      </w:pPr>
    </w:p>
    <w:p w:rsidR="005728DD" w:rsidRDefault="005728DD" w:rsidP="005728DD">
      <w:pPr>
        <w:pStyle w:val="TextoNormal"/>
      </w:pPr>
      <w:r>
        <w:t>Tras esta intervención, tomó la palabra el acusado D.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w:t>
      </w:r>
      <w:r w:rsidRPr="005728DD">
        <w:rPr>
          <w:i/>
        </w:rPr>
        <w:t>n u</w:t>
      </w:r>
      <w:r>
        <w:t>na ‘noche larga e intensa’, y que habían de trabajar porque ellos eran el sueño de un nuevo país.</w:t>
      </w:r>
    </w:p>
    <w:p w:rsidR="005728DD" w:rsidRDefault="005728DD" w:rsidP="005728DD">
      <w:pPr>
        <w:pStyle w:val="TextoNormal"/>
      </w:pPr>
    </w:p>
    <w:p w:rsidR="005728DD" w:rsidRDefault="005728DD" w:rsidP="005728DD">
      <w:pPr>
        <w:pStyle w:val="TextoNormal"/>
      </w:pPr>
      <w:r>
        <w:lastRenderedPageBreak/>
        <w:t>Sobre las 23:41 horas, ambos acusados D. Jordi Sànchez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w:t>
      </w:r>
      <w:r w:rsidRPr="005728DD">
        <w:rPr>
          <w:i/>
        </w:rPr>
        <w:t>desde ese altar</w:t>
      </w:r>
      <w:r>
        <w:t>’ —en clara referencia al vehículo policial— el Sr. Sànchez y él querían convocar a todos los asistentes a una movilización permanente en defensa de los detenidos, emplazándoles a una concentración que tendría lugar a las 12:00 horas del día siguiente, en el Tribunal Superior de Justicia de Cataluña. Por su parte, D.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005728DD" w:rsidRDefault="005728DD" w:rsidP="005728DD">
      <w:pPr>
        <w:pStyle w:val="TextoNormal"/>
      </w:pPr>
    </w:p>
    <w:p w:rsidR="005728DD" w:rsidRDefault="005728DD" w:rsidP="005728DD">
      <w:pPr>
        <w:pStyle w:val="TextoNormal"/>
      </w:pPr>
      <w:r>
        <w:t>Estos actos fueron promovidos, dirigidos y queridos por los acusados Sres.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005728DD" w:rsidRDefault="005728DD" w:rsidP="005728DD">
      <w:pPr>
        <w:pStyle w:val="TextoNormal"/>
      </w:pPr>
    </w:p>
    <w:p w:rsidR="005728DD" w:rsidRDefault="005728DD" w:rsidP="005728DD">
      <w:pPr>
        <w:pStyle w:val="TextoNormal"/>
      </w:pPr>
      <w:r>
        <w:t>9.1. Hechos similares orientados a impedir el funcionamiento normal de la administración de justicia tuvieron lugar con ocasión de otros registros y detenciones acordadas por el Juzgado de Instrucción núm. 13 citado.</w:t>
      </w:r>
    </w:p>
    <w:p w:rsidR="005728DD" w:rsidRDefault="005728DD" w:rsidP="005728DD">
      <w:pPr>
        <w:pStyle w:val="TextoNormal"/>
      </w:pPr>
    </w:p>
    <w:p w:rsidR="005728DD" w:rsidRDefault="005728DD" w:rsidP="005728DD">
      <w:pPr>
        <w:pStyle w:val="TextoNormal"/>
      </w:pPr>
      <w:r>
        <w:t>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005728DD" w:rsidRDefault="005728DD" w:rsidP="005728DD">
      <w:pPr>
        <w:pStyle w:val="TextoNormal"/>
      </w:pPr>
    </w:p>
    <w:p w:rsidR="005728DD" w:rsidRDefault="005728DD" w:rsidP="005728DD">
      <w:pPr>
        <w:pStyle w:val="TextoNormal"/>
      </w:pPr>
      <w:r>
        <w:t>Los acusados Sres. Junqueras, Turull, Rull, Romeva, Forn, Sànchez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5728DD" w:rsidRDefault="005728DD" w:rsidP="005728DD">
      <w:pPr>
        <w:pStyle w:val="TextoNormal"/>
      </w:pPr>
    </w:p>
    <w:p w:rsidR="005728DD" w:rsidRDefault="005728DD" w:rsidP="005728DD">
      <w:pPr>
        <w:pStyle w:val="TextoNormal"/>
      </w:pPr>
      <w:r>
        <w:t>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w:t>
      </w:r>
      <w:r>
        <w:lastRenderedPageBreak/>
        <w:t>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Sànchez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005728DD" w:rsidRDefault="005728DD" w:rsidP="005728DD">
      <w:pPr>
        <w:pStyle w:val="TextoNormal"/>
      </w:pPr>
    </w:p>
    <w:p w:rsidR="005728DD" w:rsidRDefault="005728DD" w:rsidP="005728DD">
      <w:pPr>
        <w:pStyle w:val="TextoNormal"/>
      </w:pPr>
      <w:r>
        <w:t>9.2. El día 21 de septiembre de 2017 se congregaron frente a la sede del Tribunal Superior de Justicia de Cataluña unas 20000 personas, convocadas por los Sres. Sànchez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005728DD" w:rsidRDefault="005728DD" w:rsidP="005728DD">
      <w:pPr>
        <w:pStyle w:val="TextoNormal"/>
      </w:pPr>
    </w:p>
    <w:p w:rsidR="005728DD" w:rsidRDefault="005728DD" w:rsidP="005728DD">
      <w:pPr>
        <w:pStyle w:val="TextoNormal"/>
      </w:pPr>
      <w:r>
        <w:t>En el cuartel de la Guardia Civil en Travesera de Gracia, lugar donde los detenidos estaban custodiados, se congregaron 300 personas que llegaron a cortar la circulación.</w:t>
      </w:r>
    </w:p>
    <w:p w:rsidR="005728DD" w:rsidRDefault="005728DD" w:rsidP="005728DD">
      <w:pPr>
        <w:pStyle w:val="TextoNormal"/>
      </w:pPr>
    </w:p>
    <w:p w:rsidR="005728DD" w:rsidRDefault="005728DD" w:rsidP="005728DD">
      <w:pPr>
        <w:pStyle w:val="TextoNormal"/>
      </w:pPr>
      <w:r>
        <w:t>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005728DD" w:rsidRDefault="005728DD" w:rsidP="005728DD">
      <w:pPr>
        <w:pStyle w:val="TextoNormal"/>
      </w:pPr>
    </w:p>
    <w:p w:rsidR="005728DD" w:rsidRDefault="005728DD" w:rsidP="005728DD">
      <w:pPr>
        <w:pStyle w:val="TextoNormal"/>
      </w:pPr>
      <w:r>
        <w:t>En la Ciudad de la Justicia, cuando los detenidos fueron puestos a disposición judicial, se concentraron unas 2000 personas, entre las que se hallaban los acusados Sra. Forcadell y los Sres. Romeva y Junqueras.</w:t>
      </w:r>
    </w:p>
    <w:p w:rsidR="005728DD" w:rsidRDefault="005728DD" w:rsidP="005728DD">
      <w:pPr>
        <w:pStyle w:val="TextoNormal"/>
      </w:pPr>
    </w:p>
    <w:p w:rsidR="005728DD" w:rsidRDefault="005728DD" w:rsidP="005728DD">
      <w:pPr>
        <w:pStyle w:val="TextoNormal"/>
      </w:pPr>
      <w:r>
        <w:t>El 22 de septiembre de 2017 se produjeron concentraciones, con similar inspiración, ante los cuarteles de la Guardia Civil de Canovelles, Vilanova y Ripoll y se empapelaron las oficinas del DNI de la Policía Nacional de Barcelona.</w:t>
      </w:r>
    </w:p>
    <w:p w:rsidR="005728DD" w:rsidRDefault="005728DD" w:rsidP="005728DD">
      <w:pPr>
        <w:pStyle w:val="TextoNormal"/>
      </w:pPr>
    </w:p>
    <w:p w:rsidR="005728DD" w:rsidRDefault="005728DD" w:rsidP="005728DD">
      <w:pPr>
        <w:pStyle w:val="TextoNormal"/>
      </w:pPr>
      <w:r>
        <w:t xml:space="preserve">En relación con la votación, el día 1 de octubre los acusados D. Jordi Sànchez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w:t>
      </w:r>
      <w:r>
        <w:lastRenderedPageBreak/>
        <w:t>Tribunal Constitucional y del Tribunal Superior de Justicia de Cataluña- y a que protegieran después el recuento de los votos frente a las actuaciones que pudieran desarrollar los Cuerpos y Fuerzas de Seguridad del Estado.</w:t>
      </w:r>
    </w:p>
    <w:p w:rsidR="005728DD" w:rsidRDefault="005728DD" w:rsidP="005728DD">
      <w:pPr>
        <w:pStyle w:val="TextoNormal"/>
      </w:pPr>
    </w:p>
    <w:p w:rsidR="005728DD" w:rsidRDefault="005728DD" w:rsidP="005728DD">
      <w:pPr>
        <w:pStyle w:val="TextoNormal"/>
      </w:pPr>
      <w:r>
        <w:t>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005728DD" w:rsidRDefault="005728DD" w:rsidP="005728DD">
      <w:pPr>
        <w:pStyle w:val="TextoNormal"/>
      </w:pPr>
    </w:p>
    <w:p w:rsidR="005728DD" w:rsidRDefault="005728DD" w:rsidP="005728DD">
      <w:pPr>
        <w:pStyle w:val="TextoNormal"/>
      </w:pPr>
      <w:r>
        <w:t>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005728DD" w:rsidRDefault="005728DD" w:rsidP="005728DD">
      <w:pPr>
        <w:pStyle w:val="TextoNormal"/>
      </w:pPr>
    </w:p>
    <w:p w:rsidR="005728DD" w:rsidRDefault="005728DD" w:rsidP="005728DD">
      <w:pPr>
        <w:pStyle w:val="TextoNormal"/>
      </w:pPr>
      <w:r>
        <w:t>Líbrense los oficios oportunos a los respectivos mandos de Mossos d’Esquadra, Guardia Civil y Policía Nacional’.</w:t>
      </w:r>
    </w:p>
    <w:p w:rsidR="005728DD" w:rsidRDefault="005728DD" w:rsidP="005728DD">
      <w:pPr>
        <w:pStyle w:val="TextoNormal"/>
      </w:pPr>
    </w:p>
    <w:p w:rsidR="005728DD" w:rsidRDefault="005728DD" w:rsidP="005728DD">
      <w:pPr>
        <w:pStyle w:val="TextoNormal"/>
      </w:pPr>
      <w:r>
        <w:t xml:space="preserve">En el fundamento jurídico 2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w:t>
      </w:r>
      <w:r>
        <w:lastRenderedPageBreak/>
        <w:t>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005728DD" w:rsidRDefault="005728DD" w:rsidP="005728DD">
      <w:pPr>
        <w:pStyle w:val="TextoNormal"/>
      </w:pPr>
    </w:p>
    <w:p w:rsidR="005728DD" w:rsidRDefault="005728DD" w:rsidP="005728DD">
      <w:pPr>
        <w:pStyle w:val="TextoNormal"/>
      </w:pPr>
      <w:r>
        <w:t>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42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Lluís Trapero —jefe policial de los Mossos— de la posible concurrencia a la votación de dos millones de personas, con el riesgo subsiguiente de graves incidentes entre agentes policiales y ciudadanos.</w:t>
      </w:r>
    </w:p>
    <w:p w:rsidR="005728DD" w:rsidRDefault="005728DD" w:rsidP="005728DD">
      <w:pPr>
        <w:pStyle w:val="TextoNormal"/>
      </w:pPr>
    </w:p>
    <w:p w:rsidR="005728DD" w:rsidRDefault="005728DD" w:rsidP="005728DD">
      <w:pPr>
        <w:pStyle w:val="TextoNormal"/>
      </w:pPr>
      <w:r>
        <w:t>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005728DD" w:rsidRDefault="005728DD" w:rsidP="005728DD">
      <w:pPr>
        <w:pStyle w:val="TextoNormal"/>
      </w:pPr>
    </w:p>
    <w:p w:rsidR="005728DD" w:rsidRDefault="005728DD" w:rsidP="005728DD">
      <w:pPr>
        <w:pStyle w:val="TextoNormal"/>
      </w:pPr>
      <w:r>
        <w:t>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005728DD" w:rsidRDefault="005728DD" w:rsidP="005728DD">
      <w:pPr>
        <w:pStyle w:val="TextoNormal"/>
      </w:pPr>
    </w:p>
    <w:p w:rsidR="005728DD" w:rsidRDefault="005728DD" w:rsidP="005728DD">
      <w:pPr>
        <w:pStyle w:val="TextoNormal"/>
      </w:pPr>
      <w:r>
        <w:t>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005728DD" w:rsidRDefault="005728DD" w:rsidP="005728DD">
      <w:pPr>
        <w:pStyle w:val="TextoNormal"/>
      </w:pPr>
    </w:p>
    <w:p w:rsidR="005728DD" w:rsidRDefault="005728DD" w:rsidP="005728DD">
      <w:pPr>
        <w:pStyle w:val="TextoNormal"/>
      </w:pPr>
      <w:r>
        <w:t xml:space="preserve">Esa desleal actuación del acusado Sr Forn tuvo como efecto que los centros no fueran sustraídos a la disponibilidad de los ciudadanos llamados a movilizarse para gestionar y hacer posible la jornada de votación. Con esa actitud se evidenció la firme decisión de la </w:t>
      </w:r>
      <w:r>
        <w:lastRenderedPageBreak/>
        <w:t>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005728DD" w:rsidRDefault="005728DD" w:rsidP="005728DD">
      <w:pPr>
        <w:pStyle w:val="TextoNormal"/>
      </w:pPr>
    </w:p>
    <w:p w:rsidR="005728DD" w:rsidRDefault="005728DD" w:rsidP="005728DD">
      <w:pPr>
        <w:pStyle w:val="TextoNormal"/>
      </w:pPr>
      <w:r>
        <w:t>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005728DD" w:rsidRDefault="005728DD" w:rsidP="005728DD">
      <w:pPr>
        <w:pStyle w:val="TextoNormal"/>
      </w:pPr>
    </w:p>
    <w:p w:rsidR="005728DD" w:rsidRDefault="005728DD" w:rsidP="005728DD">
      <w:pPr>
        <w:pStyle w:val="TextoNormal"/>
      </w:pPr>
      <w:r>
        <w:t>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5728DD" w:rsidRDefault="005728DD" w:rsidP="005728DD">
      <w:pPr>
        <w:pStyle w:val="TextoNormal"/>
      </w:pPr>
    </w:p>
    <w:p w:rsidR="005728DD" w:rsidRDefault="005728DD" w:rsidP="005728DD">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5728DD" w:rsidRDefault="005728DD" w:rsidP="005728DD">
      <w:pPr>
        <w:pStyle w:val="TextoNormal"/>
      </w:pPr>
    </w:p>
    <w:p w:rsidR="005728DD" w:rsidRDefault="005728DD" w:rsidP="005728DD">
      <w:pPr>
        <w:pStyle w:val="TextoNormal"/>
      </w:pPr>
      <w:r>
        <w:t>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005728DD" w:rsidRDefault="005728DD" w:rsidP="005728DD">
      <w:pPr>
        <w:pStyle w:val="TextoNormal"/>
      </w:pPr>
    </w:p>
    <w:p w:rsidR="005728DD" w:rsidRDefault="005728DD" w:rsidP="005728DD">
      <w:pPr>
        <w:pStyle w:val="TextoNormal"/>
      </w:pPr>
      <w: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w:t>
      </w:r>
      <w:r>
        <w:lastRenderedPageBreak/>
        <w:t>las instrucciones que tenían desistían de su objetivo ante la obvia imposibilidad de vencer la resistencia de esos grupos de personas.</w:t>
      </w:r>
    </w:p>
    <w:p w:rsidR="005728DD" w:rsidRDefault="005728DD" w:rsidP="005728DD">
      <w:pPr>
        <w:pStyle w:val="TextoNormal"/>
      </w:pPr>
    </w:p>
    <w:p w:rsidR="005728DD" w:rsidRDefault="005728DD" w:rsidP="005728DD">
      <w:pPr>
        <w:pStyle w:val="TextoNormal"/>
      </w:pPr>
      <w:r>
        <w:t>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5728DD" w:rsidRDefault="005728DD" w:rsidP="005728DD">
      <w:pPr>
        <w:pStyle w:val="TextoNormal"/>
      </w:pPr>
    </w:p>
    <w:p w:rsidR="005728DD" w:rsidRDefault="005728DD" w:rsidP="005728DD">
      <w:pPr>
        <w:pStyle w:val="TextoNormal"/>
      </w:pPr>
      <w:r>
        <w:t>A primeras horas de la tarde, dado que el uso de la fuerza podría devenir desproporcionado, los agentes de Policía Nacional y Guardia Civil recibieron órdenes y se vieron irremediablemente forzadas a declinar el propósito inicial.</w:t>
      </w:r>
    </w:p>
    <w:p w:rsidR="005728DD" w:rsidRDefault="005728DD" w:rsidP="005728DD">
      <w:pPr>
        <w:pStyle w:val="TextoNormal"/>
      </w:pPr>
    </w:p>
    <w:p w:rsidR="005728DD" w:rsidRDefault="005728DD" w:rsidP="005728DD">
      <w:pPr>
        <w:pStyle w:val="TextoNormal"/>
      </w:pPr>
      <w:r>
        <w:t>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w:t>
      </w:r>
      <w:r w:rsidRPr="005728DD">
        <w:rPr>
          <w:i/>
        </w:rPr>
        <w:t>o sup</w:t>
      </w:r>
      <w:r>
        <w:t>ra— inicialmente suspendidas y luego anuladas por el Tribunal Constitucional.</w:t>
      </w:r>
    </w:p>
    <w:p w:rsidR="005728DD" w:rsidRDefault="005728DD" w:rsidP="005728DD">
      <w:pPr>
        <w:pStyle w:val="TextoNormal"/>
      </w:pPr>
    </w:p>
    <w:p w:rsidR="005728DD" w:rsidRDefault="005728DD" w:rsidP="005728DD">
      <w:pPr>
        <w:pStyle w:val="TextoNormal"/>
      </w:pPr>
      <w:r>
        <w:t>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005728DD" w:rsidRDefault="005728DD" w:rsidP="005728DD">
      <w:pPr>
        <w:pStyle w:val="TextoNormal"/>
      </w:pPr>
    </w:p>
    <w:p w:rsidR="005728DD" w:rsidRDefault="005728DD" w:rsidP="005728DD">
      <w:pPr>
        <w:pStyle w:val="TextoNormal"/>
      </w:pPr>
      <w:r>
        <w:t>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005728DD" w:rsidRDefault="005728DD" w:rsidP="005728DD">
      <w:pPr>
        <w:pStyle w:val="TextoNormal"/>
      </w:pPr>
    </w:p>
    <w:p w:rsidR="005728DD" w:rsidRDefault="005728DD" w:rsidP="005728DD">
      <w:pPr>
        <w:pStyle w:val="TextoNormal"/>
      </w:pPr>
      <w:r>
        <w:lastRenderedPageBreak/>
        <w:t>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5728DD" w:rsidRDefault="005728DD" w:rsidP="005728DD">
      <w:pPr>
        <w:pStyle w:val="TextoNormal"/>
      </w:pPr>
    </w:p>
    <w:p w:rsidR="005728DD" w:rsidRDefault="005728DD" w:rsidP="005728DD">
      <w:pPr>
        <w:pStyle w:val="TextoNormal"/>
      </w:pPr>
      <w:r>
        <w:t>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005728DD" w:rsidRDefault="005728DD" w:rsidP="005728DD">
      <w:pPr>
        <w:pStyle w:val="TextoNormal"/>
      </w:pPr>
    </w:p>
    <w:p w:rsidR="005728DD" w:rsidRDefault="005728DD" w:rsidP="005728DD">
      <w:pPr>
        <w:pStyle w:val="TextoNormal"/>
      </w:pPr>
      <w:r>
        <w:t>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005728DD" w:rsidRDefault="005728DD" w:rsidP="005728DD">
      <w:pPr>
        <w:pStyle w:val="TextoNormal"/>
      </w:pPr>
    </w:p>
    <w:p w:rsidR="005728DD" w:rsidRDefault="005728DD" w:rsidP="005728DD">
      <w:pPr>
        <w:pStyle w:val="TextoNormal"/>
      </w:pPr>
      <w:r>
        <w:t>Uno de los conductores del acto fue el propio Sr.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17690,20 €, fue abonada por medio de transferencia bancaria tramitada por la oficina con el número 5000 de la sucursal de la entidad Caixabanc, con data del día anterior a la celebración de esa presentación.</w:t>
      </w:r>
    </w:p>
    <w:p w:rsidR="005728DD" w:rsidRDefault="005728DD" w:rsidP="005728DD">
      <w:pPr>
        <w:pStyle w:val="TextoNormal"/>
      </w:pPr>
    </w:p>
    <w:p w:rsidR="005728DD" w:rsidRDefault="005728DD" w:rsidP="005728DD">
      <w:pPr>
        <w:pStyle w:val="TextoNormal"/>
      </w:pPr>
      <w: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w:t>
      </w:r>
      <w:r>
        <w:lastRenderedPageBreak/>
        <w:t>plasmado por escrito el 6 de septiembre de 2017 y que fue la diáfana expresión de su consorcio delictivo:</w:t>
      </w:r>
    </w:p>
    <w:p w:rsidR="005728DD" w:rsidRDefault="005728DD" w:rsidP="005728DD">
      <w:pPr>
        <w:pStyle w:val="TextoNormal"/>
      </w:pPr>
    </w:p>
    <w:p w:rsidR="005728DD" w:rsidRDefault="005728DD" w:rsidP="005728DD">
      <w:pPr>
        <w:pStyle w:val="TextoNormal"/>
      </w:pPr>
      <w: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43341 €; (ii) contratación de un equipo de investigación experto en elecciones internacionales, en inglés </w:t>
      </w:r>
      <w:r w:rsidRPr="005728DD">
        <w:rPr>
          <w:i/>
        </w:rPr>
        <w:t>International Election Expert Research Team</w:t>
      </w:r>
      <w:r>
        <w:t xml:space="preserve"> (IEERT), dirigido por Dña. Helena Catt: 177304,90 €; (iii) contratación con MN2</w:t>
      </w:r>
      <w:r w:rsidRPr="005728DD">
        <w:rPr>
          <w:i/>
        </w:rPr>
        <w:t>S Managemet Limit</w:t>
      </w:r>
      <w:r>
        <w:t>ed de un equipo en el que estuviera el político holandés D. Willem —Wim— Kok, en los días del referéndum: 54030 €; si bien este importe fue devuelto porque la prestación no se realizó.</w:t>
      </w:r>
    </w:p>
    <w:p w:rsidR="005728DD" w:rsidRDefault="005728DD" w:rsidP="005728DD">
      <w:pPr>
        <w:pStyle w:val="TextoNormal"/>
      </w:pPr>
    </w:p>
    <w:p w:rsidR="005728DD" w:rsidRDefault="005728DD" w:rsidP="005728DD">
      <w:pPr>
        <w:pStyle w:val="TextoNormal"/>
      </w:pPr>
      <w: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w:t>
      </w:r>
      <w:r w:rsidRPr="005728DD">
        <w:rPr>
          <w:i/>
        </w:rPr>
        <w:t>lobby</w:t>
      </w:r>
      <w:r>
        <w:t xml:space="preserve"> en defensa de la celebración del referéndum: 60 000 €; (ii) contratación de los servicios de la institució</w:t>
      </w:r>
      <w:r w:rsidRPr="005728DD">
        <w:rPr>
          <w:i/>
        </w:rPr>
        <w:t>n The Hague Center for Strategic Studi</w:t>
      </w:r>
      <w:r>
        <w:t>es, como observadores internacionales para verificar el referéndum del 1 de octubre: 167 065 €, si bien restan 47 635 € por abonar.</w:t>
      </w:r>
    </w:p>
    <w:p w:rsidR="005728DD" w:rsidRDefault="005728DD" w:rsidP="005728DD">
      <w:pPr>
        <w:pStyle w:val="TextoNormal"/>
      </w:pPr>
    </w:p>
    <w:p w:rsidR="005728DD" w:rsidRDefault="005728DD" w:rsidP="005728DD">
      <w:pPr>
        <w:pStyle w:val="TextoNormal"/>
      </w:pPr>
      <w:r>
        <w:t>c) A través del Departamento de Vicepresidencia y Economía fueron acordados los siguientes gastos: (i) encargo a la empresa Unipost para la distribución de las notificaciones del nombramiento de los integrantes de las mesas electorales: 193 899,98 €.</w:t>
      </w:r>
    </w:p>
    <w:p w:rsidR="005728DD" w:rsidRDefault="005728DD" w:rsidP="005728DD">
      <w:pPr>
        <w:pStyle w:val="TextoNormal"/>
      </w:pPr>
    </w:p>
    <w:p w:rsidR="005728DD" w:rsidRDefault="005728DD" w:rsidP="005728DD">
      <w:pPr>
        <w:pStyle w:val="TextoNormal"/>
      </w:pPr>
      <w:r>
        <w:t xml:space="preserve">d) Por medio del Departamento de Presidencia se lideró: (i) la puesta en marcha a través del Centro de Telecomunicaciones y Tecnologías de la Información (en adelante, CTTI), de la ‘web referéndum.cat’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w:t>
      </w:r>
      <w:r w:rsidRPr="005728DD">
        <w:rPr>
          <w:i/>
        </w:rPr>
        <w:t>T-Systems</w:t>
      </w:r>
      <w:r>
        <w:t xml:space="preserve">,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w:t>
      </w:r>
      <w:r>
        <w:lastRenderedPageBreak/>
        <w:t>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005728DD" w:rsidRDefault="005728DD" w:rsidP="005728DD">
      <w:pPr>
        <w:pStyle w:val="TextoNormal"/>
      </w:pPr>
    </w:p>
    <w:p w:rsidR="005728DD" w:rsidRDefault="005728DD" w:rsidP="005728DD">
      <w:pPr>
        <w:pStyle w:val="TextoNormal"/>
      </w:pPr>
      <w:r>
        <w:t>e) El Departamento de Trabajo posibilitó los siguientes gastos: (i) encargo a la empresa Unipost para la distribución de las notificaciones del nombramiento de los integrantes de las mesas electorales: 197 492,04 €.</w:t>
      </w:r>
    </w:p>
    <w:p w:rsidR="005728DD" w:rsidRDefault="005728DD" w:rsidP="005728DD">
      <w:pPr>
        <w:pStyle w:val="TextoNormal"/>
      </w:pPr>
    </w:p>
    <w:p w:rsidR="005728DD" w:rsidRDefault="005728DD" w:rsidP="005728DD">
      <w:pPr>
        <w:pStyle w:val="TextoNormal"/>
      </w:pPr>
      <w:r>
        <w:t>f) El Departamento de Salud también encomendó a Unipost para distribución de las notificaciones del nombramiento de los integrantes de las mesas electorales: 192 711,20 €.</w:t>
      </w:r>
    </w:p>
    <w:p w:rsidR="005728DD" w:rsidRDefault="005728DD" w:rsidP="005728DD">
      <w:pPr>
        <w:pStyle w:val="TextoNormal"/>
      </w:pPr>
    </w:p>
    <w:p w:rsidR="005728DD" w:rsidRDefault="005728DD" w:rsidP="005728DD">
      <w:pPr>
        <w:pStyle w:val="TextoNormal"/>
      </w:pPr>
      <w:r>
        <w:t>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005728DD" w:rsidRDefault="005728DD" w:rsidP="005728DD">
      <w:pPr>
        <w:pStyle w:val="TextoNormal"/>
      </w:pPr>
    </w:p>
    <w:p w:rsidR="005728DD" w:rsidRDefault="005728DD" w:rsidP="005728DD">
      <w:pPr>
        <w:pStyle w:val="TextoNormal"/>
      </w:pPr>
      <w:r>
        <w:t>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005728DD" w:rsidRDefault="005728DD" w:rsidP="005728DD">
      <w:pPr>
        <w:pStyle w:val="TextoNormal"/>
      </w:pPr>
    </w:p>
    <w:p w:rsidR="005728DD" w:rsidRDefault="005728DD" w:rsidP="005728DD">
      <w:pPr>
        <w:pStyle w:val="TextoNormal"/>
      </w:pPr>
      <w:r>
        <w:t xml:space="preserve">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 los arts. 432.1 y 3, párrafo último del CP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w:t>
      </w:r>
      <w:r>
        <w:lastRenderedPageBreak/>
        <w:t>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la finalidad perseguida por los partícipes, que en el caso de la sedición atañe “al impedimento u obstrucción de la legítima voluntad legislativa, gubernativa o jurisdiccional”.</w:t>
      </w:r>
    </w:p>
    <w:p w:rsidR="005728DD" w:rsidRDefault="005728DD" w:rsidP="005728DD">
      <w:pPr>
        <w:pStyle w:val="TextoNormal"/>
      </w:pPr>
    </w:p>
    <w:p w:rsidR="005728DD" w:rsidRDefault="005728DD" w:rsidP="005728DD">
      <w:pPr>
        <w:pStyle w:val="TextoNormal"/>
      </w:pPr>
      <w:r>
        <w:t>Posteriormente, tras poner de relieve que el delito de sedición constituye u</w:t>
      </w:r>
      <w:r w:rsidRPr="005728DD">
        <w:rPr>
          <w:i/>
        </w:rPr>
        <w:t>n ali</w:t>
      </w:r>
      <w:r>
        <w:t>ud respecto de otras infracciones reguladas en el título vigésimo segundo del Código penal, la sala expone los requisitos de esa figura penal, a saber:</w:t>
      </w:r>
    </w:p>
    <w:p w:rsidR="005728DD" w:rsidRDefault="005728DD" w:rsidP="005728DD">
      <w:pPr>
        <w:pStyle w:val="TextoNormal"/>
      </w:pPr>
    </w:p>
    <w:p w:rsidR="005728DD" w:rsidRDefault="005728DD" w:rsidP="005728DD">
      <w:pPr>
        <w:pStyle w:val="TextoNormal"/>
      </w:pPr>
      <w:r>
        <w:t>(i)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005728DD" w:rsidRDefault="005728DD" w:rsidP="005728DD">
      <w:pPr>
        <w:pStyle w:val="TextoNormal"/>
      </w:pPr>
    </w:p>
    <w:p w:rsidR="005728DD" w:rsidRDefault="005728DD" w:rsidP="005728DD">
      <w:pPr>
        <w:pStyle w:val="TextoNormal"/>
      </w:pPr>
      <w:r>
        <w:t>(ii)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vincula a los términos “alzar”, “alzarse” “tumultuario”, de modo exclusivo con el empleo de violencia.</w:t>
      </w:r>
    </w:p>
    <w:p w:rsidR="005728DD" w:rsidRDefault="005728DD" w:rsidP="005728DD">
      <w:pPr>
        <w:pStyle w:val="TextoNormal"/>
      </w:pPr>
    </w:p>
    <w:p w:rsidR="005728DD" w:rsidRDefault="005728DD" w:rsidP="005728DD">
      <w:pPr>
        <w:pStyle w:val="TextoNormal"/>
      </w:pPr>
      <w:r>
        <w:t>(iii)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005728DD" w:rsidRDefault="005728DD" w:rsidP="005728DD">
      <w:pPr>
        <w:pStyle w:val="TextoNormal"/>
      </w:pPr>
    </w:p>
    <w:p w:rsidR="005728DD" w:rsidRDefault="005728DD" w:rsidP="005728DD">
      <w:pPr>
        <w:pStyle w:val="TextoNormal"/>
      </w:pPr>
      <w:r>
        <w:t>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los funcionarios que ejecutaban las órdenes jurisdiccionales —la letrada de la Administración de Justicia— actuantes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005728DD" w:rsidRDefault="005728DD" w:rsidP="005728DD">
      <w:pPr>
        <w:pStyle w:val="TextoNormal"/>
      </w:pPr>
    </w:p>
    <w:p w:rsidR="005728DD" w:rsidRDefault="005728DD" w:rsidP="005728DD">
      <w:pPr>
        <w:pStyle w:val="TextoNormal"/>
      </w:pPr>
      <w:r>
        <w:lastRenderedPageBreak/>
        <w:t>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 se aprecia que las referidas conductas supusieron un intento de “derogación de la legislación válida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t>Dentro de este apartado, destaca el órgano sentenciador que el derecho a la protesta “no puede mutar en un exótico derecho al impedimento físico a los agentes de la autoridad a dar cumplimiento a un mandato judicial y hacerlo de una forma generalizada en toda la extensión de una comunidad autónoma, en la que por un día quedó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005728DD" w:rsidRDefault="005728DD" w:rsidP="005728DD">
      <w:pPr>
        <w:pStyle w:val="TextoNormal"/>
      </w:pPr>
    </w:p>
    <w:p w:rsidR="005728DD" w:rsidRDefault="005728DD" w:rsidP="005728DD">
      <w:pPr>
        <w:pStyle w:val="TextoNormal"/>
      </w:pPr>
      <w:r>
        <w:t>p) En el apartado C) de los fundamentos jurídicos queda reflejado el denominado “juicio de autoría” de los acusados que fueron condenados.</w:t>
      </w:r>
    </w:p>
    <w:p w:rsidR="005728DD" w:rsidRDefault="005728DD" w:rsidP="005728DD">
      <w:pPr>
        <w:pStyle w:val="TextoNormal"/>
      </w:pPr>
    </w:p>
    <w:p w:rsidR="005728DD" w:rsidRDefault="005728DD" w:rsidP="005728DD">
      <w:pPr>
        <w:pStyle w:val="TextoNormal"/>
      </w:pPr>
      <w:r>
        <w:t>(i) En el punto 1 se vierten unas consideraciones respecto del delito de sedición que atañen al recurrente en amparo, a don Oriol Junqueras, don Raül Romeva, doña Carme Forcadell, don Jordi Turull, don Josep Rull, doña Dolors Bassa, don Joaquim Forn y don Jordi Cuixart.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al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w:t>
      </w:r>
      <w:r w:rsidRPr="005728DD">
        <w:rPr>
          <w:i/>
        </w:rPr>
        <w:t xml:space="preserve">, </w:t>
      </w:r>
      <w:r>
        <w:t>a</w:t>
      </w:r>
      <w:r w:rsidRPr="005728DD">
        <w:rPr>
          <w:i/>
        </w:rPr>
        <w:t>b init</w:t>
      </w:r>
      <w:r>
        <w:t>io o de manera sobrevenida”.</w:t>
      </w:r>
    </w:p>
    <w:p w:rsidR="005728DD" w:rsidRDefault="005728DD" w:rsidP="005728DD">
      <w:pPr>
        <w:pStyle w:val="TextoNormal"/>
      </w:pPr>
    </w:p>
    <w:p w:rsidR="005728DD" w:rsidRDefault="005728DD" w:rsidP="005728DD">
      <w:pPr>
        <w:pStyle w:val="TextoNormal"/>
      </w:pPr>
      <w:r>
        <w:t xml:space="preserve">Tras hacer algunas consideraciones sobre los acusados miembros del Govern y la presidenta del Parlament, se pone de relieve que, con base en los informes técnicos elaborados por los responsables policiales, los comportamientos lesivos para el orden público eran “de previsibilidad adecuada a la falta de estrategia mínimamente prudente para evitarlos”. También se rechaza que la actuación voluntaria y libre de los ciudadanos supusiera una interferencia que priva de transcendencia causal a la actuación de los acusados, a los efectos de la </w:t>
      </w:r>
      <w:r>
        <w:lastRenderedPageBreak/>
        <w:t xml:space="preserve">imputación de los resultados a estos últimos, con base en la teoría de la “prohibición de regreso”. Conforme se argumenta en la sentencia, la actuación de los ciudadanos no puede ser considerada ajena al comportamiento de los acusados, pues estuvo preordenada y fue promovida </w:t>
      </w:r>
      <w:r w:rsidRPr="005728DD">
        <w:rPr>
          <w:i/>
        </w:rPr>
        <w:t>ex ante</w:t>
      </w:r>
      <w:r>
        <w:t xml:space="preserve"> por estos últimos, “como imprescindiblemente funcional para crear el riesgo de inaplicación de leyes e incumplimiento de decisiones legítimas de órganos judiciales,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005728DD" w:rsidRDefault="005728DD" w:rsidP="005728DD">
      <w:pPr>
        <w:pStyle w:val="TextoNormal"/>
      </w:pPr>
    </w:p>
    <w:p w:rsidR="005728DD" w:rsidRDefault="005728DD" w:rsidP="005728DD">
      <w:pPr>
        <w:pStyle w:val="TextoNormal"/>
      </w:pPr>
      <w:r>
        <w:t>(ii) En el punto 1.8 se reflejan las razones específicamente tenidas en cuenta para considerar al recurrente autor de un delito de sedición, previsto y penado en los arts. 544 y 545.1 CP.</w:t>
      </w:r>
    </w:p>
    <w:p w:rsidR="005728DD" w:rsidRDefault="005728DD" w:rsidP="005728DD">
      <w:pPr>
        <w:pStyle w:val="TextoNormal"/>
      </w:pPr>
    </w:p>
    <w:p w:rsidR="005728DD" w:rsidRDefault="005728DD" w:rsidP="005728DD">
      <w:pPr>
        <w:pStyle w:val="TextoNormal"/>
      </w:pPr>
      <w:r>
        <w:t>En concreto, se detalla que don Jordi Sànchez asumió de forma voluntaria y con la aquiescencia del procesado Sr. Forn, que le confirió el rango de interlocutor, la promoción y el liderazgo de la concentración que tuvo lugar el día 20 de septiembre de 2017 en las puertas de la Vicepresidencia y Consejería de Economía, convocada por la asociación que el mismo presidía —ANC—, siendo su actitud la de dificultar y bloquear la actuación judicial. El Sr. Sànchez era el que disponía sobre lo que procedía o no hacer, según resulta de la declaración del Jefe de la brigada antidisturbios de Mossos (BRIMO) quien declaró que el acusado, “hasta tal punto ejercía el control sobre la masa, que se permitió reprochar a su interlocutor la presencia de los efectivos policiales: ‘saca a la BRIMO de aquí […], esto que estás haciendo no es lo que hemos acordado, largaos de aquí’”. Objetivamente esa concentración tutelada por don Jordi Sànchez y la asociación que lideraba entorpeció la actuación judicial impidiendo su normal desarrollo. No se pudieron realizar los registros en la forma en que se había dispuesto y que exige la LECrim.</w:t>
      </w:r>
    </w:p>
    <w:p w:rsidR="005728DD" w:rsidRDefault="005728DD" w:rsidP="005728DD">
      <w:pPr>
        <w:pStyle w:val="TextoNormal"/>
      </w:pPr>
    </w:p>
    <w:p w:rsidR="005728DD" w:rsidRDefault="005728DD" w:rsidP="005728DD">
      <w:pPr>
        <w:pStyle w:val="TextoNormal"/>
      </w:pPr>
      <w:r>
        <w:t>En segundo lugar, se pone de relieve que la actuación del Sr. Sànchez, como líder de la ANC “fue absolutamente necesaria para la ejecución de los planes sediciosos” Su contribución, desde luego, no se limitó al liderazgo en las movilizaciones multitudinarias de los días 20 y 21 de septiembre y, si bien fue ajeno al proceso legislativo que culminó con la aprobación de las leyes de transitoriedad y referéndum, pues no era diputado ni formaba parte del Gobierno de la Generalitat, “su concertación con el resto de los acusados es una evidencia”. Como acreditación del apoyo de ANC a los planes de los coacusados desde que asumió don Jordi Sànchez su presidencia —en mayo de 2015— se refiere a diversas declaraciones y a su comportamiento con ocasión de la Diada del 11 de septiembre de 2015 y 2017, la manifestaciones convocadas por la ANC el 13 de noviembre de 2015 y 6 de febrero de 2017, y la concentraciones de 11 de junio y de 11 de septiembre de 2017.</w:t>
      </w:r>
    </w:p>
    <w:p w:rsidR="005728DD" w:rsidRDefault="005728DD" w:rsidP="005728DD">
      <w:pPr>
        <w:pStyle w:val="TextoNormal"/>
      </w:pPr>
    </w:p>
    <w:p w:rsidR="005728DD" w:rsidRDefault="005728DD" w:rsidP="005728DD">
      <w:pPr>
        <w:pStyle w:val="TextoNormal"/>
      </w:pPr>
      <w:r>
        <w:t xml:space="preserve">Destaca, en tercer lugar, que la actuación del Sr. Sànchez desbordó los límites constitucionales del derecho de reunión y de la libertad de expresión, pues consciente de la finalidad de la entrada y registro y del traslado de los detenidos para la práctica de la misma, pretendió demostrar que los jueces y magistrados de Cataluña habían perdido la capacidad de ejecutar sus resoluciones. Desde las páginas web de la ANC y OC ofrecieron la posibilidad a los ciudadanos de unirse a grupos de WhatsApp desde donde se invitó a la movilización y a </w:t>
      </w:r>
      <w:r>
        <w:lastRenderedPageBreak/>
        <w:t>estar conectados para recibir alertas y estar organizados en caso de necesidad. Las convocatorias anunciaron que se estaba produciendo una actuación de la Guardia Civil para impedir el referéndum, divulgaron el lugar en el que se estaban practicando las diligencias judiciales y emplazaron a la ciudadanía a la defensa de las instituciones catalanas. Se exigía que la Guardia Civil pusiera en libertad a las personas detenidas y se pedía a los catalanes que se movilizaran, diciendo que no podían con todos ellos o que las fuerzas del orden se habían equivocado y que habían declarado la guerra a los que querían votar. Don Jordi Sànchez agradeció a las personas concertadas —en torno a las 40 000—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se había reunido con el Sr. Puigdemont y que el presidente le había asegurado que habría referéndum. Terminó pidiendo que nadie se marchara a casa, pues tenían por delante una “noche larga e intensa”. A las 23:41 horas, en compañía don Jordi Cuixart, se subió a uno de los coches oficiales de la Guardia Civil que habían sido dañados por algunos de los manifestantes y se dirigió a los presentes manifestando el Sr. Cuixart que “todos estaban alzados” para luchar por la libertad desde ese “altar”, en referencia al vehículo policial. Se dirigió a la multitud diciendo que “ni el Tribunal Constitucional, ni Rajoy, ni la Guardia Civil, ni nadie” lograría impedirlo y, tras pedir a los congregados que abandonaran la movilización de ese día, les pidió que acudieran a la manifestación ante el Tribunal Superior de Justicia al día siguiente.</w:t>
      </w:r>
    </w:p>
    <w:p w:rsidR="005728DD" w:rsidRDefault="005728DD" w:rsidP="005728DD">
      <w:pPr>
        <w:pStyle w:val="TextoNormal"/>
      </w:pPr>
    </w:p>
    <w:p w:rsidR="005728DD" w:rsidRDefault="005728DD" w:rsidP="005728DD">
      <w:pPr>
        <w:pStyle w:val="TextoNormal"/>
      </w:pPr>
      <w:r>
        <w:t xml:space="preserve">Razona a continuación que los hechos acaecidos los días 20 y 21 de septiembre prepararon el camino para que el 1 de octubre las urnas estuvieran en los centros previstos, y estos estuvieran abiertos y protegidos o “custodiados” frente a lo que ya se sabía iba a ser la actuación de las fuerzas y cuerpos de seguridad del Estado. “Se trataría así de demostrar que se podía vencer su resistencia, concebida seguramente </w:t>
      </w:r>
      <w:r w:rsidRPr="005728DD">
        <w:rPr>
          <w:i/>
        </w:rPr>
        <w:t>ex ante</w:t>
      </w:r>
      <w:r>
        <w:t xml:space="preserve"> como pasiva —lo que ya es actuar fuera de las vías legales o ejercer fuerza—, pero con un evidente peligro de que pudiese degenerar en activa, en agresiones no solo verbales, sino también físicas”. Destaca que el acusado acepta su plena implicación en la campaña previa al 1 de octubre, pero se excusa con argumentos que ya han sido abordados en la propia sentencia. En particular, descarta que la derogación del delito de referéndum ilegal exonere de responsabilidad al recurrente y rechaza la relevancia de que no fuera requerido personalmente para impedir la votación.</w:t>
      </w:r>
    </w:p>
    <w:p w:rsidR="005728DD" w:rsidRDefault="005728DD" w:rsidP="005728DD">
      <w:pPr>
        <w:pStyle w:val="TextoNormal"/>
      </w:pPr>
    </w:p>
    <w:p w:rsidR="005728DD" w:rsidRDefault="005728DD" w:rsidP="005728DD">
      <w:pPr>
        <w:pStyle w:val="TextoNormal"/>
      </w:pPr>
      <w:r>
        <w:t>Finalmente, destaca que ni las llamadas a la movilización, “a la cohesión social en torno al ideal independentista”, ni la protesta ciudadana, “ni los encendidos discursos en favor de la independencia”, actuaciones y actitudes protegidas por nuestro sistema constitucional, constituyen el fundamento de su imputación. “El juicio de autoría descansa sobre su concertado papel con otros responsables públicos para organizar un referéndum que fue declarado ilegal por el Tribunal Constitucional, para movilizar a la ciudadanía con el objeto de hacer evidente que la justicia española no podía ejecutar sus legítimas decisiones. Se apoya también en las movilizaciones ciudadanas que el día 1 de octubre impidieron con su oposición y fuera de las vías legales, que lo ordenado por el Tribunal Constitucional y el Tribunal Superior de Justicia de Cataluña pudiera hacerse realidad”.</w:t>
      </w:r>
    </w:p>
    <w:p w:rsidR="005728DD" w:rsidRDefault="005728DD" w:rsidP="005728DD">
      <w:pPr>
        <w:pStyle w:val="TextoNormal"/>
      </w:pPr>
    </w:p>
    <w:p w:rsidR="005728DD" w:rsidRDefault="005728DD" w:rsidP="005728DD">
      <w:pPr>
        <w:pStyle w:val="TextoNormal"/>
      </w:pPr>
      <w:r>
        <w:lastRenderedPageBreak/>
        <w:t>q) En el apartado D) de la fundamentación jurídica de la sentencia se contiene la justificación de la individualización de las penas impuestas. En lo que se refiere al recurrente, en el apartado 2, tras referirse a la Sra. Forcadell y a los Sres. Forn y Rull, quienes participaban del carácter de autoridad, agrega que “no es el caso, sin embargo, de los acusados Sres. Sànchez y Cuixart. Su marco penal se mueve, por mandato del art. 545.1 CP entre ocho y diez años de prisión, duración reservada a los que ‘hubieren inducido, sostenido o dirigido la sedición o aparecieren en ella como sus principales autores’. En el juicio histórico hemos reflejado su condición de líderes sociales de vanguardia que, concertados en los fines sediciosos con los demás acusados, se mostraron como verdaderos conductores de los episodios acaecidos los días 20 de septiembre y 1 de octubre”. Concluye señalando que procede imponer a don Jordi Sànchez, “como autor de un delito de sedición,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5728DD" w:rsidRDefault="005728DD" w:rsidP="005728DD">
      <w:pPr>
        <w:pStyle w:val="TextoNormal"/>
      </w:pPr>
    </w:p>
    <w:p w:rsidR="005728DD" w:rsidRDefault="005728DD" w:rsidP="005728DD">
      <w:pPr>
        <w:pStyle w:val="TextoNormal"/>
      </w:pPr>
      <w:r>
        <w:t xml:space="preserve">r) Con fecha 8 de noviembre de 2019, el recurrente en amparo formalizó escrito de nulidad de actuaciones con apoyo en el art. 241 LOPJ contra la sentencia de 14 de octubre de 2019. Tras reiterar las vulneraciones de derechos fundamentales que en anteriores fases procesales denunció, a fin de poner de relieve su manifiesta voluntad impugnativa, respecto de la sentencia condenatoria, cuya nulidad interesa expresamente, considera que se han producido las siguientes lesiones: (i) vulneración del derecho a un proceso con todas las garantías (art. 24 CE y 6 CEDH), por la filtración del contenido de la sentencia cuando su redacción no había sido todavía culminada; (ii) vulneración del derecho a la tutela judicial efectiva (art. 24.1 CE) en relación con el derecho fundamental a la legalidad penal (art. 25 CE), por ausencia de toda motivación de la individualización de la pena y por la imposición de una pena superior a la solicitada por el abogado del Estado; (iii) vulneración del derecho fundamental a la legalidad penal (art. 25 CE y 7 CEDH), por abandono </w:t>
      </w:r>
      <w:r w:rsidRPr="005728DD">
        <w:rPr>
          <w:i/>
        </w:rPr>
        <w:t>ad hoc</w:t>
      </w:r>
      <w:r>
        <w:t xml:space="preserve"> del principio de accesoriedad en la participación; (iv) vulneración del derecho fundamental a la legalidad penal (art. 25 CE), en relación con los derechos fundamentales a la libertad, reunión pacífica y libertad de expresión e ideológica (arts. 17, 20 y 21 CE), por la insuficiente taxatividad del tipo penal de la sedición; (v) vulneración del derecho fundamental a la legalidad penal (art. 25 CE y 7 CEDH), por aplicación analógica del delito de sedición a los hechos enjuiciados; (vi) vulneración del derecho fundamental a la legalidad penal por imposición de una pena desproporcionada [art. 25 CE en relación con el art. 17 CE y el art. 49 de la Carta de los derechos fundamentales de la Unión Europea (CDFUE)] con lesión, asimismo de los derechos fundamentales a la libertad, reunión pacífica y libertad de expresión e ideológica (arts. 17, 20 y 21 CE).</w:t>
      </w:r>
    </w:p>
    <w:p w:rsidR="005728DD" w:rsidRDefault="005728DD" w:rsidP="005728DD">
      <w:pPr>
        <w:pStyle w:val="TextoNormal"/>
      </w:pPr>
    </w:p>
    <w:p w:rsidR="005728DD" w:rsidRDefault="005728DD" w:rsidP="005728DD">
      <w:pPr>
        <w:pStyle w:val="TextoNormal"/>
      </w:pPr>
      <w:r>
        <w:t>s) Por auto de fecha 29 de enero de 2020, la Sala de lo Penal del Tribunal Supremo desestimó todos los incidentes de nulidad que le fueron planteados.</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el recurrente alega las siguientes vulneraciones de sus derechos fundamentales:</w:t>
      </w:r>
    </w:p>
    <w:p w:rsidR="005728DD" w:rsidRDefault="005728DD" w:rsidP="005728DD">
      <w:pPr>
        <w:pStyle w:val="TextoNormal"/>
      </w:pPr>
    </w:p>
    <w:p w:rsidR="005728DD" w:rsidRDefault="005728DD" w:rsidP="005728DD">
      <w:pPr>
        <w:pStyle w:val="TextoNormal"/>
      </w:pPr>
      <w:r>
        <w:t xml:space="preserve">3.1 Vulneración del derecho al juez ordinario predeterminado por la ley (arts. 24 CE y 6 CEDH), por haber asumido el Tribunal Supremo una competencia territorial que no le corresponde para enjuiciar los hechos, privando adicionalmente al recurrente de su derecho a </w:t>
      </w:r>
      <w:r>
        <w:lastRenderedPageBreak/>
        <w:t>la doble instancia (art. 2 del Protocolo 7 CEDH). Aduce que la asunción de esta causa por la Sala Segunda del Tribunal Supremo supone la privación del derecho “al juez natural”, concretamente, la Sala de lo Civil y Penal del Tribunal Superior de Justicia de Cataluña. Continua diciendo que esa decisión se adoptó mediante una interpretación forzada e irrazonable de las normas procesales, que resulta contradictoria con pronunciamientos previos del Tribunal Supremo y que ha provocado el efecto colateral añadido de privarle de la posibilidad de contar con un recurso efectivo contra su condena, derecho reconocido en el art. 2 del Protocolo 7 del Convenio europeo de derechos humanos. Señala que la interpretación sobre el art. 57.2 EAC resulta, además, contradictoria con la propia doctrina del tribunal sentenciador en supuestos anteriores.</w:t>
      </w:r>
    </w:p>
    <w:p w:rsidR="005728DD" w:rsidRDefault="005728DD" w:rsidP="005728DD">
      <w:pPr>
        <w:pStyle w:val="TextoNormal"/>
      </w:pPr>
    </w:p>
    <w:p w:rsidR="005728DD" w:rsidRDefault="005728DD" w:rsidP="005728DD">
      <w:pPr>
        <w:pStyle w:val="TextoNormal"/>
      </w:pPr>
      <w:r>
        <w:t>El recurrente discrepa del fundamento de la desestimación de esta queja dado por la sala, tanto en su auto resolutorio de los artículos de previo pronunciamiento, de 27 de diciembre de 2018, como en la sentencia, a partir de la pág. 80. Todo apunta a que, “como declaró sin disimulo un alto representante de la fiscalía española” en otro procedimiento, la razón de tal alteración de las reglas de competencia se explica por la desconfianza existente entre las máximas instituciones judiciales españolas respecto de la “imparcialidad y serenidad” de los magistrados y jueces catalanes, unas declaraciones que motivaron, incluso, la publicación de una insólita nota de prensa, por parte del Tribunal Superior de Justicia de Cataluña, defendiendo la rectitud profesional de los jueces que ejercen en Cataluña.</w:t>
      </w:r>
    </w:p>
    <w:p w:rsidR="005728DD" w:rsidRDefault="005728DD" w:rsidP="005728DD">
      <w:pPr>
        <w:pStyle w:val="TextoNormal"/>
      </w:pPr>
    </w:p>
    <w:p w:rsidR="005728DD" w:rsidRDefault="005728DD" w:rsidP="005728DD">
      <w:pPr>
        <w:pStyle w:val="TextoNormal"/>
      </w:pPr>
      <w:r>
        <w:t>Señala a su vez que, con anterioridad al presente procedimiento penal, el Tribunal Supremo ha sostenido que lo que determina la competencia territorial es la realización, en un determinado ámbito geográfico, de alguno de los elementos del tipo de la infracción penal que se imputa a un sujeto, pues como se recoge en el acuerdo del Pleno de la Sala Segunda de 3 de febrero de 2005 “el delito se comete en todas las jurisdicciones en las que se haya realizado algún elemento del tipo”. Sin embargo, ni uno solo de los elementos típicos de los delitos atribuidos al demandante acontecieron fuera de Cataluña.</w:t>
      </w:r>
    </w:p>
    <w:p w:rsidR="005728DD" w:rsidRDefault="005728DD" w:rsidP="005728DD">
      <w:pPr>
        <w:pStyle w:val="TextoNormal"/>
      </w:pPr>
    </w:p>
    <w:p w:rsidR="005728DD" w:rsidRDefault="005728DD" w:rsidP="005728DD">
      <w:pPr>
        <w:pStyle w:val="TextoNormal"/>
      </w:pPr>
      <w:r>
        <w:t>En relación con los delitos de rebelión o sedición advierte que el supuesto “alzamiento” típico se materializó íntegramente en territorio catalán. Es más, en el auto de procesamiento no aparece ninguna referencia a que algunos hechos hubieran tenido lugar fuera de Cataluña, en relación con el referido “alzamiento”. En lo que respecta al delito de malversación, que no se imputaba al demandante don Jordi Sànchez, indica que ninguno de los elementos del tipo penal aconteció fuera de Cataluña, pues no consta que alguno de los procesados hubiera adoptado decisiones con trascendencia patrimonial pública encontrándose fuera del territorio catalán, que es donde se encuentra la sede del Govern, por lo que no cabe apreciar que el exceso en las facultades de administración tuviera lugar en el extranjero. Respecto del perjuicio patrimonial exigido por el tipo penal de la malversación, el demandante considera que las cantidades malversadas se habrían abonado, presuntamente, con cargo a partidas del presupuesto de la Generalitat de Cataluña, respecto de las cuales algunos procesados tenían las facultades de administración exigidas por los delitos de malversación y administración desleal. El hecho de que “algunos elementos citados por las acusaciones y por el Tribunal —como el hecho de que algunos de los destinatarios de los pagos estuvieran en el extranjero—” carece de relevancia a estos efectos. Aunque el beneficiario de la malversación resida fuera de Cataluña, tanto el exceso en el ejercicio de facultades de disposición como el perjuicio patrimonial —que son los únicos elementos objetivos del tipo penal— se producen de modo inequívoco en territorio catalán.</w:t>
      </w:r>
    </w:p>
    <w:p w:rsidR="005728DD" w:rsidRDefault="005728DD" w:rsidP="005728DD">
      <w:pPr>
        <w:pStyle w:val="TextoNormal"/>
      </w:pPr>
    </w:p>
    <w:p w:rsidR="005728DD" w:rsidRDefault="005728DD" w:rsidP="005728DD">
      <w:pPr>
        <w:pStyle w:val="TextoNormal"/>
      </w:pPr>
      <w:r>
        <w:t xml:space="preserve">Añade el demandante que la aplicación de su doctrina consolidada debía haber llevado al Tribunal Supremo a declinar de su competencia territorial. Pero, para no perder la competencia decidió crear </w:t>
      </w:r>
      <w:r w:rsidRPr="005728DD">
        <w:rPr>
          <w:i/>
        </w:rPr>
        <w:t>ad hoc</w:t>
      </w:r>
      <w:r>
        <w:t xml:space="preserve"> nuevas reglas competenciales: en el caso de la rebelión/sedición, se inventó literalmente el concepto de “actos ejecutivos no necesariamente violentos pero vinculados al elemento tendencial del delito” (pág. 84 de la sentencia); y, en lo que respecta a la malversación, se crearon nuevos criterios, como la “unidad patrimonial que inspira la regulación del patrimonio de las administraciones públicas” o la “concepción integral del patrimonio del Estado” (auto de 27 de diciembre de 2018), que permiten sostener algo tan novedoso y sorprendente como que cualquier malversación de fondos públicos se comete siempre en la integridad del territorio español. Estas construcciones sirvieron a la sala para lograr, nada menos, que convertir en típicos lo que eran elementos fácticos manifiestamente ajenos a los citados tipos penales y, por tanto, intrascendentes para determinar la competencia con arreglo a la doctrina tradicional de la Sala de lo Penal.</w:t>
      </w:r>
    </w:p>
    <w:p w:rsidR="005728DD" w:rsidRDefault="005728DD" w:rsidP="005728DD">
      <w:pPr>
        <w:pStyle w:val="TextoNormal"/>
      </w:pPr>
    </w:p>
    <w:p w:rsidR="005728DD" w:rsidRDefault="005728DD" w:rsidP="005728DD">
      <w:pPr>
        <w:pStyle w:val="TextoNormal"/>
      </w:pPr>
      <w:r>
        <w:t>La afirmación adicional —contenida en la página 84 de la sentencia— de que, para determinar la competencia territorial de acuerdo con el principio de ubicuidad, deben tenerse en cuenta no solo los elementos objetivos sino también los subjetivos del delito, es muestra evidente de la absoluta debilidad de los argumentos esgrimidos en apoyo de la tesis de la Sala de lo Penal. Según reiterada doctrina del Tribunal Supremo, los hechos subjetivos son aquellos que acontecen en el fuero interno de los procesados, no constando en los hechos objeto de acusación que ninguno de dichos acusados hiciera o pensara nada penalmente relevante encontrándose fuera del territorio catalán.</w:t>
      </w:r>
    </w:p>
    <w:p w:rsidR="005728DD" w:rsidRDefault="005728DD" w:rsidP="005728DD">
      <w:pPr>
        <w:pStyle w:val="TextoNormal"/>
      </w:pPr>
    </w:p>
    <w:p w:rsidR="005728DD" w:rsidRDefault="005728DD" w:rsidP="005728DD">
      <w:pPr>
        <w:pStyle w:val="TextoNormal"/>
      </w:pPr>
      <w:r>
        <w:t>Añade que los criterios expuestos por el Tribunal Supremo entran en contradicción con los que dicho órgano ha seguido respecto del delito de desobediencia, “que sí consideró cometido íntegramente en Cataluña, pese a que ambos tipos penales guardaban relación con decisiones tomadas por miembros del Gobierno de la Generalitat y del Parlament”. Ello ha provocado que el Tribunal Supremo limitara su competencia al exclusivo enjuiciamiento de los máximos responsables políticos y de los líderes de las asociaciones civiles, estuvieran o no aforados, dando lugar a una “fragmentación del procedimiento muy difícil de entender y justificar”, sin base en la condición de aforado sino de unas reglas de conexidad difícilmente comprensibles y contradictorias con pronunciamientos anteriores recientes del propio Tribunal Supremo. Así, en la causa seguida contra el diputado Sr. Homs por la denominada “consulta del 9-N” (STS 972/2017) asumió exclusivamente la competencia para conocer de la responsabilidad del acusado que tenía la condición de diputado del Congreso, reservando para el Tribunal Superior de Justicia de Cataluña el enjuiciamiento de los restantes miembros del Gobierno y de su entonces presidente.</w:t>
      </w:r>
    </w:p>
    <w:p w:rsidR="005728DD" w:rsidRDefault="005728DD" w:rsidP="005728DD">
      <w:pPr>
        <w:pStyle w:val="TextoNormal"/>
      </w:pPr>
    </w:p>
    <w:p w:rsidR="005728DD" w:rsidRDefault="005728DD" w:rsidP="005728DD">
      <w:pPr>
        <w:pStyle w:val="TextoNormal"/>
      </w:pPr>
      <w:r>
        <w:t xml:space="preserve">También refuta que el criterio expuesto en la pág. 81 de la sentencia, que toma en consideración el hecho de que el recurrente Sr. Sànchez llegó a ser diputado del Congreso, sirva para justificar la asunción competencial por parte del tribunal sentenciador. Cuando el demandante adquirió la condición de diputado el juicio ya se estaba celebrando y, según la propia doctrina de la Sala Segunda, una vez abierto el juicio oral, la jurisdicción es improrrogable (acuerdo del Pleno de la Sala Segunda de 2 de diciembre de 2014). Por otro lado, dicha justificación es muestra de la debilidad de lo argumentado, puesto que el recurrente dejó de ser diputado en fecha anterior al dictado de la sentencia, (por Real Decreto 551/2019, de 24 de septiembre, de disolución de las Cortes), y pese a ello, el Tribunal Supremo no </w:t>
      </w:r>
      <w:r>
        <w:lastRenderedPageBreak/>
        <w:t xml:space="preserve">dejó de dictar sentencia ni declinó de su jurisdicción en favor de los tribunales radicados en territorio catalán. Finalmente, invoca la doctrina estatuida en la STC 183/1999, en lo que concierne al control de las reglas de competencia y el derecho al juez ordinario predeterminado por la ley (art. 24 CE), y afirma que la fijación de criterios </w:t>
      </w:r>
      <w:r w:rsidRPr="005728DD">
        <w:rPr>
          <w:i/>
        </w:rPr>
        <w:t>ad hoc</w:t>
      </w:r>
      <w:r>
        <w:t xml:space="preserve"> para asumir la competencia es un “síntoma claro de arbitrariedad”.</w:t>
      </w:r>
    </w:p>
    <w:p w:rsidR="005728DD" w:rsidRDefault="005728DD" w:rsidP="005728DD">
      <w:pPr>
        <w:pStyle w:val="TextoNormal"/>
      </w:pPr>
    </w:p>
    <w:p w:rsidR="005728DD" w:rsidRDefault="005728DD" w:rsidP="005728DD">
      <w:pPr>
        <w:pStyle w:val="TextoNormal"/>
      </w:pPr>
      <w:r>
        <w:t>Como efecto colateral, pone de relieve una segunda lesión: concretamente, la del derecho a la segunda instancia en materia penal. El respeto a ese derecho exigía que la Sala Segunda del Tribunal Supremo hubiera realizado una interpretación restrictiva de los criterios tenidos en cuenta para asumir la competencia, pues esa asunción ha supuesto la pérdida de posibilidad de que los acusados, aforados o no, pudieran recurrir su condena, como así habría sido si esta se hubiera dictado en la instancia por el Tribunal Superior de Justicia de Cataluña. Por tanto, esa asunción de la competencia también ha provocado la vulneración del art. 24 CE y el art. 2 del Protocolo 7 adjunto al CEDH.</w:t>
      </w:r>
    </w:p>
    <w:p w:rsidR="005728DD" w:rsidRDefault="005728DD" w:rsidP="005728DD">
      <w:pPr>
        <w:pStyle w:val="TextoNormal"/>
      </w:pPr>
    </w:p>
    <w:p w:rsidR="005728DD" w:rsidRDefault="005728DD" w:rsidP="005728DD">
      <w:pPr>
        <w:pStyle w:val="TextoNormal"/>
      </w:pPr>
      <w:r>
        <w:t>3.2. Vulneración del derecho de defensa (arts. 24 CE y 6 CEDH) por no haberse permitido a los acusados declarar en su lengua materna empleando un sistema de traducción simultánea. También se denuncia el hecho de haber impedido el empleo del catalán a testigos propuestos por la defensa y, finalmente, la vulneración del derecho a la no discriminación por razón de lengua (arts. 14 CE y 14 CEDH).</w:t>
      </w:r>
    </w:p>
    <w:p w:rsidR="005728DD" w:rsidRDefault="005728DD" w:rsidP="005728DD">
      <w:pPr>
        <w:pStyle w:val="TextoNormal"/>
      </w:pPr>
    </w:p>
    <w:p w:rsidR="005728DD" w:rsidRDefault="005728DD" w:rsidP="005728DD">
      <w:pPr>
        <w:pStyle w:val="TextoNormal"/>
      </w:pPr>
      <w:r>
        <w:t>a) En relación con los acusados, recuerda que varias defensas solicitaron a la sala poder utilizar en la vista oral el catalán (su lengua materna), a fin de poder declarar con mayor fluidez. También se interesó la utilización del sistema de traducción simultánea, que el art. 123.2 LECrim considera preferente al sistema de traducción sucesiva. Sin embargo, tal petición fue denegada por el Tribunal Supremo, que pese a reconocer expresamente que los procesados tenían derecho a declarar en catalán (página 69 de la sentencia), accedió, a lo sumo, a que pudieran expresarse en esa lengua, pero sirviéndose de un sistema de traducción sucesiva, que es mucho menos ágil. Ello propició que los procesados se vieran forzados, en contra de su voluntad inicial, a desistir de expresarse en su lengua materna.</w:t>
      </w:r>
    </w:p>
    <w:p w:rsidR="005728DD" w:rsidRDefault="005728DD" w:rsidP="005728DD">
      <w:pPr>
        <w:pStyle w:val="TextoNormal"/>
      </w:pPr>
    </w:p>
    <w:p w:rsidR="005728DD" w:rsidRDefault="005728DD" w:rsidP="005728DD">
      <w:pPr>
        <w:pStyle w:val="TextoNormal"/>
      </w:pPr>
      <w:r>
        <w:t>Para el demandante, el derecho fundamental a la defensa debe garantizar el uso de la lengua materna, porque permite al procesado entender mejor las preguntas que se le hacen y responderlas con mayor fluidez. El catalán es lengua oficial en el territorio de residencia de los procesados, al que alcanza la jurisdicción del Tribunal Supremo y el art. 6.2 EAC reconoce el derecho de sus ciudadanos a expresarse en catalán y obliga a los poderes públicos a garantizar el ejercicio de tal derecho. Por su parte, el sistema de traducción simultánea facilita el traslado inmediato del mensaje al tribunal y a las partes, sin prolongar de modo excesivo la duración del juicio. En cambio, la fórmula de traducción sucesiva ralentiza y prolonga en exceso el acto, de manera que este se convierte en un trámite procedimental largo y farragoso que deviene agotador para todos los intervinientes y para la propia sala, en un juicio ya de por sí extenso.</w:t>
      </w:r>
    </w:p>
    <w:p w:rsidR="005728DD" w:rsidRDefault="005728DD" w:rsidP="005728DD">
      <w:pPr>
        <w:pStyle w:val="TextoNormal"/>
      </w:pPr>
    </w:p>
    <w:p w:rsidR="005728DD" w:rsidRDefault="005728DD" w:rsidP="005728DD">
      <w:pPr>
        <w:pStyle w:val="TextoNormal"/>
      </w:pPr>
      <w:r>
        <w:t xml:space="preserve">Por ello, del contenido del art. 123.2 LECrim —aplicable por analogía al presente caso— se desprende con claridad que la traducción consecutiva solamente debe emplearse cuando no sea posible habilitar un sistema de traducción simultánea; posibilidad que la sala reconoció abiertamente que podría haberse empleado en el presente caso, al no existir obstáculos económicos ni técnicos (pág. 72 de la sentencia). Sin embargo, en las págs. 68 y siguientes </w:t>
      </w:r>
      <w:r>
        <w:lastRenderedPageBreak/>
        <w:t>de la sentencia se justifica la adopción del sistema de traducción sucesiva a fin de favorecer la garantía del principio de publicidad del proceso. A juicio del recurrente, ese principio, con ser importante, no puede considerarse superior al derecho de defensa de quien es acusado por delitos que conllevan penas de más de una década de prisión. Nada impedía al tribunal que, para salvaguardar la publicidad del proceso, “la traducción simultánea pudiera ser oída también por quienes seguían el juicio a través de la televisión e incluso por los presentes en la Sala mediante auriculares”.</w:t>
      </w:r>
    </w:p>
    <w:p w:rsidR="005728DD" w:rsidRDefault="005728DD" w:rsidP="005728DD">
      <w:pPr>
        <w:pStyle w:val="TextoNormal"/>
      </w:pPr>
    </w:p>
    <w:p w:rsidR="005728DD" w:rsidRDefault="005728DD" w:rsidP="005728DD">
      <w:pPr>
        <w:pStyle w:val="TextoNormal"/>
      </w:pPr>
      <w:r>
        <w:t>Además del menoscabo al derecho de defensa (art. 24.1 CE), la negativa a permitir la traducción simultánea constituye una discriminación contraria al art. 14 CE pues, en comparación con el trato dispensado a cualquier ciudadano español cuya lengua materna sea el castellano, los ciudadanos catalanohablantes tienen que “soportar la carga (absolutamente evitable) de una prolongación del juicio oral”, lo que se traduce en “un claro efecto desincentivador del ejercicio de los derechos lingüísticos”; y porque “es injustificable también que un catalanohablante pueda expresarse en catalán ante los órganos jurisdiccionales ubicados en Cataluña y, en cambio, no pueda hacerlo cuando es enjuiciado por el Tribunal Supremo por unos hechos cometidos en Cataluña”.</w:t>
      </w:r>
    </w:p>
    <w:p w:rsidR="005728DD" w:rsidRDefault="005728DD" w:rsidP="005728DD">
      <w:pPr>
        <w:pStyle w:val="TextoNormal"/>
      </w:pPr>
    </w:p>
    <w:p w:rsidR="005728DD" w:rsidRDefault="005728DD" w:rsidP="005728DD">
      <w:pPr>
        <w:pStyle w:val="TextoNormal"/>
      </w:pPr>
      <w:r>
        <w:t>b) Por otro lado, la decisión de la sala vulnera el derecho de defensa en relación con la práctica de la prueba testifical de numerosos testigos propuestos por las defensas, a quienes se impidió por completo la posibilidad de expresarse en catalán, sin concederles siquiera la posibilidad de intérprete. Aunque la sala señala, en la página 80 de su sentencia, que solo tres testigos pidieron declarar en catalán (cuyo testimonio se califica como intrascendente), lo cierto es que quienes pidieron declarar en dicha lengua fueron reprendidos y apercibidos con sanciones por parte del Sr. Presidente. A título de ejemplo, a uno de ellos se le advirtió del siguiente modo: “usted va a contestar en castellano, si no quiere contestar en castellano esto es muy sencillo, usted se levanta, asume las consecuencias legales de su negativa a contestar y hemos terminado”.</w:t>
      </w:r>
    </w:p>
    <w:p w:rsidR="005728DD" w:rsidRDefault="005728DD" w:rsidP="005728DD">
      <w:pPr>
        <w:pStyle w:val="TextoNormal"/>
      </w:pPr>
    </w:p>
    <w:p w:rsidR="005728DD" w:rsidRDefault="005728DD" w:rsidP="005728DD">
      <w:pPr>
        <w:pStyle w:val="TextoNormal"/>
      </w:pPr>
      <w:r>
        <w:t>La sala basó su decisión en una interpretación del art. 231.3 LOPJ “las partes, sus representantes y quienes les dirijan, así como los testigos y peritos, podrán utilizar la lengua que sea también oficial en la comunidad autónoma en cuyo territorio tengan lugar las actuaciones judiciales, tanto en manifestaciones orales como escritas”, que, a juicio del recurrente, resulta absolutamente opuesta a los arts. 3.2 y 14 CE, pues dicho precepto no conlleva “una prohibición de hablar en catalán cuando las actuaciones tengan lugar ante un órgano judicial cuya jurisdicción territorial se extiende a toda la geografía española y cuando lo aconseje un adecuado ejercicio del derecho de defensa, así como una mínima sensibilidad que aquí debió desplegarse”. En suma, la decisión presidencial dio lugar a que los testigos tuvieran que expresarse en una lengua que hablan con menor fluidez, lo que afectó a la credibilidad de su testimonio.</w:t>
      </w:r>
    </w:p>
    <w:p w:rsidR="005728DD" w:rsidRDefault="005728DD" w:rsidP="005728DD">
      <w:pPr>
        <w:pStyle w:val="TextoNormal"/>
      </w:pPr>
    </w:p>
    <w:p w:rsidR="005728DD" w:rsidRDefault="005728DD" w:rsidP="005728DD">
      <w:pPr>
        <w:pStyle w:val="TextoNormal"/>
      </w:pPr>
      <w:r>
        <w:t>3.3. Vulneración del derecho a un juez imparcial (arts. 24 y 6 CEDH) (</w:t>
      </w:r>
      <w:r w:rsidRPr="005728DD">
        <w:rPr>
          <w:i/>
        </w:rPr>
        <w:t>sic</w:t>
      </w:r>
      <w:r>
        <w:t>) por no haberse estimado las diversas recusaciones formuladas a lo largo del procedimiento y por el rol inquisitivo asumido por el presidente del tribunal en el acto del juicio. En este apartado se formulan varias quejas anudadas a la lesión del mismo derecho fundamental, subdivididas del siguiente modo:</w:t>
      </w:r>
    </w:p>
    <w:p w:rsidR="005728DD" w:rsidRDefault="005728DD" w:rsidP="005728DD">
      <w:pPr>
        <w:pStyle w:val="TextoNormal"/>
      </w:pPr>
    </w:p>
    <w:p w:rsidR="005728DD" w:rsidRDefault="005728DD" w:rsidP="005728DD">
      <w:pPr>
        <w:pStyle w:val="TextoNormal"/>
      </w:pPr>
      <w:r>
        <w:lastRenderedPageBreak/>
        <w:t>a) Por no estimar las recusaciones planteadas, pese concurrir falta de imparcialidad judicial:</w:t>
      </w:r>
    </w:p>
    <w:p w:rsidR="005728DD" w:rsidRDefault="005728DD" w:rsidP="005728DD">
      <w:pPr>
        <w:pStyle w:val="TextoNormal"/>
      </w:pPr>
    </w:p>
    <w:p w:rsidR="005728DD" w:rsidRDefault="005728DD" w:rsidP="005728DD">
      <w:pPr>
        <w:pStyle w:val="TextoNormal"/>
      </w:pPr>
      <w:r>
        <w:t>(i) Falta de imparcialidad por parte del magistrado instructor. Funda el demandante su alegato en el hecho de que, en algunas de sus resoluciones, aquel se refiriese a “la estrategia que sufrimos” (auto de procesamiento de 21 de marzo de 2018, pág. 54, y auto de 12 de abril de 2018, pág. 54), presentándose a sí mismo como víctima de tales hechos. Esa circunstancia fue denunciada ante la sala de recursos, que desestimó dicho motivo por auto de 18 de junio de 2018. Entiende el demandante que, en su fuero interno, el magistrado instructor pueda compartir la “percepción generalizada de la forma en que se fueron desarrollando los acontecimientos en Cataluña”. Pero quien se siente y se reconoce, pública y repetidamente, como víctima directa o indirecta de unos hechos o quien manifiesta desasosiego por ellos no puede ser juez imparcial en el procedimiento en el que se persigue penalmente a quien supuestamente le ha victimizado. La imparcialidad, añade el demandante, es una cuestión de fondo, pero también de apariencia y cita al respecto el ATC 226/2002, de 20 de noviembre. Añade que esta cuestión fue respondida en la sentencia (págs. 116 y siguientes) remitiéndose íntegramente al auto de la sala de recursos de 18 de junio de 2018, el cual no reparó la lesión.</w:t>
      </w:r>
    </w:p>
    <w:p w:rsidR="005728DD" w:rsidRDefault="005728DD" w:rsidP="005728DD">
      <w:pPr>
        <w:pStyle w:val="TextoNormal"/>
      </w:pPr>
    </w:p>
    <w:p w:rsidR="005728DD" w:rsidRDefault="005728DD" w:rsidP="005728DD">
      <w:pPr>
        <w:pStyle w:val="TextoNormal"/>
      </w:pPr>
      <w:r>
        <w:t xml:space="preserve">(ii) Falta de imparcialidad de la sala de recursos que conoció de los recursos contra las resoluciones del magistrado instructor. Ese déficit se concreta en el magistrado don Francisco Monterde Ferrer. La razón para cuestionar su imparcialidad trae causa su condición de vicepresidente y miembro del comité ejecutivo de la Asociación Profesional de la Magistratura (APM). Según se afirma en la demanda, en los meses anteriores, esa asociación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(la demanda a continuación transcribe literalmente, o con sus propias palabras, el contenido de algunos de esos mensajes). Esos hechos dieron lugar a la recusación del referido magistrado ante la sala de recursos, la cual fue rechazada </w:t>
      </w:r>
      <w:r w:rsidRPr="005728DD">
        <w:rPr>
          <w:i/>
        </w:rPr>
        <w:t>a limine</w:t>
      </w:r>
      <w:r>
        <w:t>, por providencia de 12 de febrero de 2018, rechazo en el que intervino el propio magistrado recusado. Esa resolución fue recurrida en súplica, por la defensa del Sr. Sànchez, y el recurso fue inadmitido por providencia de 14 de febrero de 2018, al considerar que no cabía recurso alguno. Finalmente, la referida sala desestimó un incidente de nulidad de actuaciones interpuesto contra esta última resolución, por auto de fecha 19 de abril de 2018.</w:t>
      </w:r>
    </w:p>
    <w:p w:rsidR="005728DD" w:rsidRDefault="005728DD" w:rsidP="005728DD">
      <w:pPr>
        <w:pStyle w:val="TextoNormal"/>
      </w:pPr>
    </w:p>
    <w:p w:rsidR="005728DD" w:rsidRDefault="005728DD" w:rsidP="005728DD">
      <w:pPr>
        <w:pStyle w:val="TextoNormal"/>
      </w:pPr>
      <w:r>
        <w:t xml:space="preserve">(iii) La falta de imparcialidad también se anuda al hecho de que formaran parte del tribunal sentenciador varios magistrados que, a su vez, habían acordado la admisión a trámite de la querella presentada, mediante una resolución que, según afirma el demandante, contiene un amplio juicio de tipicidad que es inusualmente extenso en sus razonamientos jurídico-sustantivos y va más allá de lo necesario para dilucidar sobre la pertinencia de investigar una </w:t>
      </w:r>
      <w:r w:rsidRPr="005728DD">
        <w:rPr>
          <w:i/>
        </w:rPr>
        <w:t>notitia criminis</w:t>
      </w:r>
      <w:r>
        <w:t>. Así pues, dadas las circunstancias particulares del caso, el recurrente sostiene que los magistrados que admitieron la querella necesariamente asumieron prejuicios sobre la cuestión de fondo.</w:t>
      </w:r>
    </w:p>
    <w:p w:rsidR="005728DD" w:rsidRDefault="005728DD" w:rsidP="005728DD">
      <w:pPr>
        <w:pStyle w:val="TextoNormal"/>
      </w:pPr>
    </w:p>
    <w:p w:rsidR="005728DD" w:rsidRDefault="005728DD" w:rsidP="005728DD">
      <w:pPr>
        <w:pStyle w:val="TextoNormal"/>
      </w:pPr>
      <w:r>
        <w:t xml:space="preserve">(iv) Por otro lado, el recurrente advierte que el magistrado instructor, los componentes de sala de recursos y los magistrados de la sala de enjuiciamiento son miembros de un </w:t>
      </w:r>
      <w:r>
        <w:lastRenderedPageBreak/>
        <w:t>mismo órgano judicial, conforme lo previsto en el art. 57.2 LOPJ. Por ello, sugirió el planteamiento de una cuestión de inconstitucionalidad sobre las normas legales vigentes, que permiten que causas instruidas por un magistrado sean luego juzgadas por compañeros de la misma sala, dejando así de garantizarse una “distancia” entre instructor y tribunal de enjuiciamiento, cuando se trata de aforados. Esta queja se desestimó, por auto de la Sala del art. 61 LOPJ, de 13 de septiembre de 2018, que consideró prematura esa pretensión. Por ello, en la demanda se vuelve a suscitar, ahora como propuesta al Tribunal Constitucional, para el planteamiento de una cuestión interna de inconstitucionalidad respecto del art. 57.2 LOPJ.</w:t>
      </w:r>
    </w:p>
    <w:p w:rsidR="005728DD" w:rsidRDefault="005728DD" w:rsidP="005728DD">
      <w:pPr>
        <w:pStyle w:val="TextoNormal"/>
      </w:pPr>
    </w:p>
    <w:p w:rsidR="005728DD" w:rsidRDefault="005728DD" w:rsidP="005728DD">
      <w:pPr>
        <w:pStyle w:val="TextoNormal"/>
      </w:pPr>
      <w:r>
        <w:t>(v) Afirma que la recusación del presidente del tribunal, don Manuel Marchena, se formuló a raíz del mensaje de WhatsApp enviado por el senador del Partido Popular, don Ignacio Cosidó, en el que afirmaba, en referencia al indicado presidente, que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 Esta queja fue desestimada por la Sala del art. 61 LOPJ, así como el posterior incidente de nulidad de actuaciones, sin que se accediera, siquiera, a tomar declaración como testigo al Sr. Cosidó. Por ello, la defensa no pudo demostrar la concurrencia de esta causa de recusación.</w:t>
      </w:r>
    </w:p>
    <w:p w:rsidR="005728DD" w:rsidRDefault="005728DD" w:rsidP="005728DD">
      <w:pPr>
        <w:pStyle w:val="TextoNormal"/>
      </w:pPr>
    </w:p>
    <w:p w:rsidR="005728DD" w:rsidRDefault="005728DD" w:rsidP="005728DD">
      <w:pPr>
        <w:pStyle w:val="TextoNormal"/>
      </w:pPr>
      <w:r>
        <w:t>(vi) Finalmente, censura que los mismos magistrados que dictaron la sentencia condenatoria resolvieran el incidente de nulidad promovido contra ella. Así pues, se obvió por completo la petición expresa de esta defensa, formulada por otrosí en su escrito de promoción dicho incidente, de que al menos se variase la composición personal de la sala para garantizar la máxima imparcialidad del órgano revisor, lo que en este caso era posible pero no se hizo. Como era de esperar, el órgano judicial no advirtió ninguna vulneración de derechos fundamentales en la resolución que ellos mismos habían dictado unas semanas antes.</w:t>
      </w:r>
    </w:p>
    <w:p w:rsidR="005728DD" w:rsidRDefault="005728DD" w:rsidP="005728DD">
      <w:pPr>
        <w:pStyle w:val="TextoNormal"/>
      </w:pPr>
    </w:p>
    <w:p w:rsidR="005728DD" w:rsidRDefault="005728DD" w:rsidP="005728DD">
      <w:pPr>
        <w:pStyle w:val="TextoNormal"/>
      </w:pPr>
      <w:r>
        <w:t>b) Debido al rol inquisitivo asumido por el presidente de la sala.</w:t>
      </w:r>
    </w:p>
    <w:p w:rsidR="005728DD" w:rsidRDefault="005728DD" w:rsidP="005728DD">
      <w:pPr>
        <w:pStyle w:val="TextoNormal"/>
      </w:pPr>
    </w:p>
    <w:p w:rsidR="005728DD" w:rsidRDefault="005728DD" w:rsidP="005728DD">
      <w:pPr>
        <w:pStyle w:val="TextoNormal"/>
      </w:pPr>
      <w:r>
        <w:t>Tras advertir que en el escrito de conclusiones definitivas ya se formuló esa queja, el demandante refiere que, en la sesión del día 14 de marzo de 2019, en la que se llevó cabo a interrogatorio del testigo don Josep Lluís Trapero, (que fue propuesto por la representación de la acusación popular ejercida por el partido político Vox), el presidente del tribunal rechazó que el fiscal formulara una pregunta en relación con la reunión de la junta de seguridad, que tuvo lugar el 28 de septiembre de 2017; y ello, conforme al criterio adoptado por la sala, consistente en permitir únicamente el interrogatorio sobre los hechos establecidos por la parte que hubiera propuesto al respectivo testigo. Pese a ello, al amparo del art. 708 LECrim, el presidente del tribunal formuló personalmente al testigo la pregunta que anteriormente había impedido formular al fiscal.</w:t>
      </w:r>
    </w:p>
    <w:p w:rsidR="005728DD" w:rsidRDefault="005728DD" w:rsidP="005728DD">
      <w:pPr>
        <w:pStyle w:val="TextoNormal"/>
      </w:pPr>
    </w:p>
    <w:p w:rsidR="005728DD" w:rsidRDefault="005728DD" w:rsidP="005728DD">
      <w:pPr>
        <w:pStyle w:val="TextoNormal"/>
      </w:pPr>
      <w:r>
        <w:t xml:space="preserve">Según sostiene el recurrente, el precepto invocado no justifica que el tribunal formule preguntas sobre aspectos no interrogados por las acusaciones ni que rechace determinadas preguntas, por ser ajenas al objeto del testimonio y, no obstante ello, el propio tribunal las formule después, creándose así una insólita situación de contradicción entre el interrogatorio efectuado por la presidencia y el subsiguiente de las defensas, pues, tras ser respondida la </w:t>
      </w:r>
      <w:r>
        <w:lastRenderedPageBreak/>
        <w:t>pregunta efectuada por el citado presidente, se dio traslado a las defensas para poder repreguntar, trámite este que no prevé la LECrim.</w:t>
      </w:r>
    </w:p>
    <w:p w:rsidR="005728DD" w:rsidRDefault="005728DD" w:rsidP="005728DD">
      <w:pPr>
        <w:pStyle w:val="TextoNormal"/>
      </w:pPr>
    </w:p>
    <w:p w:rsidR="005728DD" w:rsidRDefault="005728DD" w:rsidP="005728DD">
      <w:pPr>
        <w:pStyle w:val="TextoNormal"/>
      </w:pPr>
      <w:r>
        <w:t xml:space="preserve">El demandante discrepa de la respuesta dada a esta cuestión en la sentencia (págs. 187 y 188), pues entiende que la imparcialidad es una cuestión de fondo, pero también de apariencias (STEDH de 6 de noviembre de 2018, asunto </w:t>
      </w:r>
      <w:r w:rsidRPr="005728DD">
        <w:rPr>
          <w:i/>
        </w:rPr>
        <w:t>Otegi Mondragón c. España</w:t>
      </w:r>
      <w:r>
        <w:t>, apartado 57). Finalmente, critica la respuesta dada en las págs. 103 y siguientes de la sentencia a las quejas sobre falta de imparcialidad del tribunal; concretamente, que en numerosos procedimientos anteriores relacionados con casos acontecidos en Cataluña no se había recusado a ningún magistrado de dicha sala. Para el recurrente, ese argumento resulta inasumible, pues lo que sucediera en otros casos anteriores que afectan a otros procesados asistidos por otros letrados, en nada prejuzga ni remedia lo acontecido en el presente, en el que se han vivido situaciones inauditas y difícilmente repetibles en términos de imparcialidad judicial.</w:t>
      </w:r>
    </w:p>
    <w:p w:rsidR="005728DD" w:rsidRDefault="005728DD" w:rsidP="005728DD">
      <w:pPr>
        <w:pStyle w:val="TextoNormal"/>
      </w:pPr>
    </w:p>
    <w:p w:rsidR="005728DD" w:rsidRDefault="005728DD" w:rsidP="005728DD">
      <w:pPr>
        <w:pStyle w:val="TextoNormal"/>
      </w:pPr>
      <w:r>
        <w:t>3.4. Vulneración del principio de igualdad de armas por el trato desfavorable dispensado a las defensas en el acto del juicio oral (arts. 24 CE y 6 CEDH). El demandante estima que son reveladores de esta vulneración los siguientes episodios procesales:</w:t>
      </w:r>
    </w:p>
    <w:p w:rsidR="005728DD" w:rsidRDefault="005728DD" w:rsidP="005728DD">
      <w:pPr>
        <w:pStyle w:val="TextoNormal"/>
      </w:pPr>
    </w:p>
    <w:p w:rsidR="005728DD" w:rsidRDefault="005728DD" w:rsidP="005728DD">
      <w:pPr>
        <w:pStyle w:val="TextoNormal"/>
      </w:pPr>
      <w:r>
        <w:t>a) Respecto del objeto de los interrogatorios, sostiene que las acusaciones sí pudieron “desbordar el objeto de pertinencia” fijado por la parte que había propuesto al testigo, pues interrogaron sobre otros extremos diferentes; pero esa permisividad no se les concedió a las defensas. A título de ejemplo, trae a colación el testimonio del presidente del Parlamento de Cataluña, Sr. Torrent, que fue propuesto como testigo para el esclarecimiento de determinados hechos anteriores a que ostentara ese cargo. Mientras a la acusación popular se le autorizó a adentrarse en su etapa como presidente de la cámara, a las defensas no se les permitió preguntar sobre extremos relacionados con el referéndum del 1 de octubre de 2017, pese a manifestar el testigo haber estado presente en dicho referéndum. Añade el demandante que, ni la explicación dada en ese momento frente a la queja formulada, —que era el tribunal el que fijaba las razones de pertinencia y el objeto de las preguntas— ni la respuesta dada en la sentencia a la objeción expuesta en las conclusiones definitivas (págs. 169 a 173) justifica el proceder de la sala, que supuso una arbitraria, injustificada y desigual limitación de los interrogatorios, con la consiguiente violación del derecho de defensa (art. 24 CE), así como del derecho establecido en el art. 6 CEDH, que reconoce a las defensas el derecho a interrogar en igualdad de condiciones a los testigos que declaren en contra de sus mandantes.</w:t>
      </w:r>
    </w:p>
    <w:p w:rsidR="005728DD" w:rsidRDefault="005728DD" w:rsidP="005728DD">
      <w:pPr>
        <w:pStyle w:val="TextoNormal"/>
      </w:pPr>
    </w:p>
    <w:p w:rsidR="005728DD" w:rsidRDefault="005728DD" w:rsidP="005728DD">
      <w:pPr>
        <w:pStyle w:val="TextoNormal"/>
      </w:pPr>
      <w:r>
        <w:t>b) Se permitió a las acusaciones efectuar preguntas a los acusados o testigos sobre su afiliación política e ideología, pero no se autorizó a las defensas preguntar sobre dichos aspectos a algunos testigos que depusieron en el acto de plenario. Ejemplo de ello son las preguntas de las acusaciones a testigos de las defensas sobre su pertenencia a la Asamblea Nacional Catalana (ANC) o a la entidad Òmnium Cultural. En cambio, “la Presidencia impidió preguntar a la letrada de la administración de justicia del Juzgado de Instrucción núm. 13 de Barcelona —una testigo crucial, como se desprende de la propia sentencia condenatoria— si era seguidora de páginas web de la extrema derecha, cuando ello podía ser igualmente trascendente al efecto de conocer posibles sesgos de su testimonio”. Cuestiona el recurrente la respuesta dada a esta queja en la sentencia (pág. 173), al remitirse la notoriedad pública de la militancia del testigo Sr. Rufián en el partido ERC, puesto que esa respuesta no tuvo en cuenta que su condición de afiliado a la ANC era “algo estrictamente privado”.</w:t>
      </w:r>
    </w:p>
    <w:p w:rsidR="005728DD" w:rsidRDefault="005728DD" w:rsidP="005728DD">
      <w:pPr>
        <w:pStyle w:val="TextoNormal"/>
      </w:pPr>
    </w:p>
    <w:p w:rsidR="005728DD" w:rsidRDefault="005728DD" w:rsidP="005728DD">
      <w:pPr>
        <w:pStyle w:val="TextoNormal"/>
      </w:pPr>
      <w:r>
        <w:t>c) A los testigos de las acusaciones se les autorizó a exponer abiertamente sus valoraciones personales sobre los hechos. En concreto, los policías que declararon a propuesta de las acusaciones pudieron referirse a aspectos tales como las “caras de odio” de los votantes, el “clima hostil” que tuvieron que vivir el primero de octubre o comparar, incluso, “lo vivido con la situación que vivieron hace unos años en el País Vasco”. También se permitió al teniente coronel Baena aludir constantemente al “clima insurreccional”. En cambio, algunas valoraciones similares que intentó exponer doña Marina Garcés fueron impedidas por la presidencia. Otro ejemplo de trato desigual tiene que ver con la posibilidad de consultar notas escritas, lo que hicieron algunos testigos propuestos por la acusación, pero les fue impedido a la Sra. Garcés y al Sr. Matamala, a quien se obligó a retirar las notas que llevaba consigo, sin siquiera preguntarle por su contenido.</w:t>
      </w:r>
    </w:p>
    <w:p w:rsidR="005728DD" w:rsidRDefault="005728DD" w:rsidP="005728DD">
      <w:pPr>
        <w:pStyle w:val="TextoNormal"/>
      </w:pPr>
    </w:p>
    <w:p w:rsidR="005728DD" w:rsidRDefault="005728DD" w:rsidP="005728DD">
      <w:pPr>
        <w:pStyle w:val="TextoNormal"/>
      </w:pPr>
      <w:r>
        <w:t>d) Para el demandante, la diferencia de trato ha sido evidente ante manifestaciones de “desmemoria” o “renuencia” de algunos testigos, según que esto sucediera al responder a preguntas de las acusaciones o de las defensas. Se ponen como ejemplos las declaraciones de doña Soraya Sáenz de Santamaría, don Mariano Rajoy y don Ignacio Zoido, a quienes “en ningún momento procedió la Sala a apercibirles con las penas previstas para los testigos renuentes”. Sin embargo, la testigo doña Teresa Guix, en la sesión del 6 de marzo, o el testigo don Jaume Mestre, en la sesión de 13 de marzo, fueron advertidos de que debían ser más precisos en sus respuestas, pues, en caso contrario, podrían cometer un delito de falso testimonio. Añade el recurrente que la argumentación que sobre este aspecto figura en la pág. 192 de la sentencia no repara la lesión producida, al entender justificables “olvidos” del Sr. Rajoy que son muy difíciles de creer (por ejemplo, no recordar a través de qué medio se comunicó con el Sr. Urkullu).</w:t>
      </w:r>
    </w:p>
    <w:p w:rsidR="005728DD" w:rsidRDefault="005728DD" w:rsidP="005728DD">
      <w:pPr>
        <w:pStyle w:val="TextoNormal"/>
      </w:pPr>
    </w:p>
    <w:p w:rsidR="005728DD" w:rsidRDefault="005728DD" w:rsidP="005728DD">
      <w:pPr>
        <w:pStyle w:val="TextoNormal"/>
      </w:pPr>
      <w:r>
        <w:t>e) Señala también que, en la sesión del día 11 de abril de 2019, se le impidió a su defensa interrogar a un inspector de policía, respecto del “aparente infarto” sufrido por un ciudadano cuando se disponía a votar; y ello, pese a que esa circunstancia se mencionaba en el escrito de acusación y, previamente, se había permitido al fiscal interrogar al respecto. Discrepa el demandante de la consideración de “intranscendente” con que se valora al testigo en la pág. 194 de la sentencia, pues la indicada resolución recoge, en las págs. 53 y 54, “los enfrentamientos entre ciudadanos y policías de los que derivan lesiones y son motivos de las graves condenas impuestas”. Sin perjuicio de lo expuesto, el demandante destaca que la presidencia le impidió exponer las razones de su protesta porque le fuera impedido interrogar al testigo, por lo que se vio forzado a dejar de interrogar.</w:t>
      </w:r>
    </w:p>
    <w:p w:rsidR="005728DD" w:rsidRDefault="005728DD" w:rsidP="005728DD">
      <w:pPr>
        <w:pStyle w:val="TextoNormal"/>
      </w:pPr>
    </w:p>
    <w:p w:rsidR="005728DD" w:rsidRDefault="005728DD" w:rsidP="005728DD">
      <w:pPr>
        <w:pStyle w:val="TextoNormal"/>
      </w:pPr>
      <w:r>
        <w:t xml:space="preserve">f) La vulneración del principio de igualdad de armas también se constata por la predisposición de la presidencia a interrumpir los interrogatorios de las defensas y a la adopción de una posición mucho más rigurosa en relación con la forma de preguntar o de expresarse. Ejemplo de ello es el reproche que dirigió el presidente al letrado del aquí recurrente, en la sesión de 27 de abril de 2019, cuando este utilizó la expresión “ley de ritos” para referirse a la Ley de enjuiciamiento criminal, porque esa expresión constituía un “insulto a los procesalistas”. Sin embargo, según refiere el demandante, la Sala Segunda del Tribunal Supremo, desde el año 2000, ha utilizado la expresión “ley de ritos” en 789 ocasiones y el término “ley rituaria” en otras 863. Por ello, la señalada actitud de la presidencia supuso una grave cortapisa a la hora de interrogar o de protestar, “pues a ningún letrado le complace que le </w:t>
      </w:r>
      <w:r>
        <w:lastRenderedPageBreak/>
        <w:t>reprochen en público y en un juicio visto por miles de personas y escrutado permanentemente por los medios de comunicación supuestas faltas de solvencia en su desempeño profesional”, con la consiguiente merma del derecho de defensa.</w:t>
      </w:r>
    </w:p>
    <w:p w:rsidR="005728DD" w:rsidRDefault="005728DD" w:rsidP="005728DD">
      <w:pPr>
        <w:pStyle w:val="TextoNormal"/>
      </w:pPr>
    </w:p>
    <w:p w:rsidR="005728DD" w:rsidRDefault="005728DD" w:rsidP="005728DD">
      <w:pPr>
        <w:pStyle w:val="TextoNormal"/>
      </w:pPr>
      <w:r>
        <w:t>3.5. Vulneración del derecho de defensa (arts. 24 CE y 6 CEDH) por no haber tenido la defensa acceso a la instrucción del Juzgado de Instrucción núm. 13 de Barcelona, por la imposibilidad de contrastar las declaraciones testificales con la prueba documental videográfica y por la denegación de pruebas pertinentes solicitadas en tiempo y forma. En este apartado se mencionan tres aspectos diferenciados.</w:t>
      </w:r>
    </w:p>
    <w:p w:rsidR="005728DD" w:rsidRDefault="005728DD" w:rsidP="005728DD">
      <w:pPr>
        <w:pStyle w:val="TextoNormal"/>
      </w:pPr>
    </w:p>
    <w:p w:rsidR="005728DD" w:rsidRDefault="005728DD" w:rsidP="005728DD">
      <w:pPr>
        <w:pStyle w:val="TextoNormal"/>
      </w:pPr>
      <w:r>
        <w:t>a) Denegación de la aportación de testimonio íntegro de las diligencias practicadas en el Juzgado de Instrucción núm. 13 de Barcelona (arts. 24 CE y 6 CEDH). El demandante sostiene que la mayor parte de la instrucción, entendida como fuente de obtención de material incriminatorio, no se verificó ante el Tribunal Supremo sino en las diligencias previas núm. 118-2017 seguidas ante el citado juzgado de instrucción, en cuyo seno se practicaron la inmensa mayoría de las actuaciones policiales de las que dimanó buena parte del material probatorio que, posteriormente, fue aportado al presente procedimiento por el fiscal. Sin embargo, como el demandante no fue parte en ese procedimiento no tuvo conocimiento de lo que lo que califica como una “instrucción paralela”, en la que se generaron gran parte de los informes policiales y numerosos documentos que las acusaciones hicieron valer como prueba en el acto del juicio oral. En el trámite establecido en el art. 627 LECrim, la defensa del demandante interesó la reapertura de la fase de instrucción, a fin de que se remitiera testimonio íntegro de las referidas diligencias, siendo dicha petición rechazada en el auto que confirmó la conclusión del sumario de 25 de octubre de 2018, so pretexto de que esa diligencia podría interesarse en una fase posterior. Ello motivó que esa solicitud fuera reiterada en el escrito de conclusiones provisionales, pero sin éxito alguno.</w:t>
      </w:r>
    </w:p>
    <w:p w:rsidR="005728DD" w:rsidRDefault="005728DD" w:rsidP="005728DD">
      <w:pPr>
        <w:pStyle w:val="TextoNormal"/>
      </w:pPr>
    </w:p>
    <w:p w:rsidR="005728DD" w:rsidRDefault="005728DD" w:rsidP="005728DD">
      <w:pPr>
        <w:pStyle w:val="TextoNormal"/>
      </w:pPr>
      <w:r>
        <w:t>Según indica, la aportación del testimonio solicitado habría permitido a las partes y al tribunal analizar la totalidad de las actuaciones (informes técnicos, documentos y atestados) que obran en el procedimiento del que se nutrían las presentes actuaciones, pudiendo interrogar a procesados y testigos sobre la totalidad de documentos e informes allí obrantes, que en su mayoría no eran conocidos por el demandante. Esa diligencia era especialmente necesaria, pues el Ministerio Fiscal solicitó selectivamente testimonio de algunas resoluciones dictadas en el marco del procedimiento referenciado (véase el escrito del Ministerio Fiscal obrante a los folios 1253 y siguientes, tomo 3 de la pieza de instrucción), así como por la incorporación de testimonios de algunos de los atestados redactados por la Guardia Civil, en funciones de policía judicial, que se habían ido elaborando en el seno del citado procedimiento sobre la base de diligencias de investigación, en cuya práctica la defensa del demandante no había podido intervenir por no ser parte procesal.</w:t>
      </w:r>
    </w:p>
    <w:p w:rsidR="005728DD" w:rsidRDefault="005728DD" w:rsidP="005728DD">
      <w:pPr>
        <w:pStyle w:val="TextoNormal"/>
      </w:pPr>
    </w:p>
    <w:p w:rsidR="005728DD" w:rsidRDefault="005728DD" w:rsidP="005728DD">
      <w:pPr>
        <w:pStyle w:val="TextoNormal"/>
      </w:pPr>
      <w:r>
        <w:t xml:space="preserve">Por último, destaca la anómala situación a que se ha visto sujeto, desde la perspectiva del derecho de defensa. Si se admite la posibilidad de instrucciones paralelas practicadas a espaldas de las defensas, realmente se impide a estas conocer e intervenir en aquellas actuaciones instructoras que pueden beneficiar sus tesis y aportar al juicio aquellos elementos de prueba susceptibles de favorecerlas. Y esa vulneración no desaparece porque se argumente que la única prueba a la que se atribuye valor incriminatorio sea la practicada en el acto del juicio oral. Quien no ha estado presente en la fase instructora de un procedimiento difícilmente “podrá conocer y proponer la práctica de medios de prueba, favorables a sus tesis, </w:t>
      </w:r>
      <w:r>
        <w:lastRenderedPageBreak/>
        <w:t>dimanantes de diligencias practicadas en instrucción. De ahí que en el procedimiento penal español se reconozca de modo general el derecho de las defensas de estar presente en la fase instructora desde el inicio de esta. Un derecho que no se ha respetado en el presente caso y que justifica la presente denuncia”.</w:t>
      </w:r>
    </w:p>
    <w:p w:rsidR="005728DD" w:rsidRDefault="005728DD" w:rsidP="005728DD">
      <w:pPr>
        <w:pStyle w:val="TextoNormal"/>
      </w:pPr>
    </w:p>
    <w:p w:rsidR="005728DD" w:rsidRDefault="005728DD" w:rsidP="005728DD">
      <w:pPr>
        <w:pStyle w:val="TextoNormal"/>
      </w:pPr>
      <w:r>
        <w:t>b) Imposibilidad de contrastar las declaraciones testificales con la prueba documental videográfica. Señala el recurrente que, tras haber permitido ese contraste con algunos testigos iniciales (Sres.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Esta decisión resultó contradictoria, pues tan prueba documental es un papel como una grabación de vídeo. Añade que la confrontación entre lo declarado por un testigo y prueba videográfica está prevista en el art. 729.3 LECrim y constituye una práctica absolutamente habitual en los tribunales españoles. Por ello, ese contraste forma parte de la garantía básica de contradicción propia del juicio oral y que, de haberse permitido su práctica, se habría evitado que “algunos testigos mintieran a la Sala o exageraran ostensiblemente en su declaración”.</w:t>
      </w:r>
    </w:p>
    <w:p w:rsidR="005728DD" w:rsidRDefault="005728DD" w:rsidP="005728DD">
      <w:pPr>
        <w:pStyle w:val="TextoNormal"/>
      </w:pPr>
    </w:p>
    <w:p w:rsidR="005728DD" w:rsidRDefault="005728DD" w:rsidP="005728DD">
      <w:pPr>
        <w:pStyle w:val="TextoNormal"/>
      </w:pPr>
      <w:r>
        <w:t>La decisión adoptada por la sala, consistente en reproducir todos los vídeos en la fase de prueba documental, no subsanó la vulneración de la garantía de contradicción, porque no es lo mismo exhibir un video a un testigo cuando este último está declarando que hacerlo semanas o meses más tarde; y, en segundo lugar , porque durante la exhibición de la prueba documental, a los letrados no se les permitió glosar su contenido ni razonar las conclusiones que extraían del documento videográfico, respecto de la credibilidad de los testigos que habían depuesto semanas o meses antes. Finalmente, destaca que la decisión cuestionada impidió que los testigos pudieran rectificar el sentido de sus declaraciones mendaces o exageradas, a la vista de lo grabado. Por tanto, el recurrente concluye que con la injustificada limitación de la práctica de la prueba se vulneró también el derecho de defensa.</w:t>
      </w:r>
    </w:p>
    <w:p w:rsidR="005728DD" w:rsidRDefault="005728DD" w:rsidP="005728DD">
      <w:pPr>
        <w:pStyle w:val="TextoNormal"/>
      </w:pPr>
    </w:p>
    <w:p w:rsidR="005728DD" w:rsidRDefault="005728DD" w:rsidP="005728DD">
      <w:pPr>
        <w:pStyle w:val="TextoNormal"/>
      </w:pPr>
      <w:r>
        <w:t>c) Denegación de pruebas pertinentes solicitadas en tiempo y forma. Alega el demandante que la denegación de medios de prueba pertinentes, que fue adoptada por auto de la Sala Segunda del Tribunal Supremo de 1 de febrero de 2019, ha vulnerado su derecho de defensa. En concreto, señala las siguientes denegaciones de prueba:</w:t>
      </w:r>
    </w:p>
    <w:p w:rsidR="005728DD" w:rsidRDefault="005728DD" w:rsidP="005728DD">
      <w:pPr>
        <w:pStyle w:val="TextoNormal"/>
      </w:pPr>
    </w:p>
    <w:p w:rsidR="005728DD" w:rsidRDefault="005728DD" w:rsidP="005728DD">
      <w:pPr>
        <w:pStyle w:val="TextoNormal"/>
      </w:pPr>
      <w:r>
        <w:t>(i) Que se requiriese a la unidad central de delitos informáticos de los Mossos d’Esquadra a fin de que facilitaran los datos del titular de la cuenta de la red social Twitter “@nmaquiavelo1984” y “@JDanielBaena”. No se trataba de indagar gratuitamente en la ideología del testigo, sino de poner de manifiesto la abierta hostilidad que este profesaba respecto de los procesados y que se había manifestado en numerosos mensajes en las redes sociales. Este dato no era intrascendente para valorar la credibilidad de un testimonio tan crucial, teniendo en cuenta que se trataba de un funcionario público que debía regir su actuación por el principio de objetividad y que era la persona que había dirigido la investigación policial. La opción que se dio a las defensas, de preguntar al testigo sobre tal circunstancia en el momento de declarar, no podía suplir la necesidad de la diligencia rechazada, pues tal opción permitía al testigo negar sin más la autoría de tales mensajes (como así hizo), sin que la defensa tuviera opción de contrastar la veracidad de tales manifestaciones con medios probatorios mucho más fiables.</w:t>
      </w:r>
    </w:p>
    <w:p w:rsidR="005728DD" w:rsidRDefault="005728DD" w:rsidP="005728DD">
      <w:pPr>
        <w:pStyle w:val="TextoNormal"/>
      </w:pPr>
    </w:p>
    <w:p w:rsidR="005728DD" w:rsidRDefault="005728DD" w:rsidP="005728DD">
      <w:pPr>
        <w:pStyle w:val="TextoNormal"/>
      </w:pPr>
      <w:r>
        <w:lastRenderedPageBreak/>
        <w:t>(ii) En relación con la documental apartado como “más documental segunda”, se rechazaron injustificadamente los documentos 4 —tuits publicados por don Jordi Sànchez en fecha 20 de septiembre de 2017—, 7 —mensajes de Twitter publicados por el Sr. Sànchez el 1 de octubre de 2017—, 11 —mensajes publicados el 3 de octubre— y 15 —grabación de la llamada telefónica realizada el 20 de septiembre de 2017 por parte del programa radiofónico “El Matí de Catalunya Radio” al recurrente—. A juicio del demandante, a pesar de su evidente relación con los hechos, la sala rechazó estos documentos (página 75 del auto) “por entender en algunos casos reflejaban valoraciones personales o asociativas prescindibles para el enjuiciamiento de los hechos, remitiéndose a razones absolutamente genéricas”.</w:t>
      </w:r>
    </w:p>
    <w:p w:rsidR="005728DD" w:rsidRDefault="005728DD" w:rsidP="005728DD">
      <w:pPr>
        <w:pStyle w:val="TextoNormal"/>
      </w:pPr>
    </w:p>
    <w:p w:rsidR="005728DD" w:rsidRDefault="005728DD" w:rsidP="005728DD">
      <w:pPr>
        <w:pStyle w:val="TextoNormal"/>
      </w:pPr>
      <w:r>
        <w:t>(iii) La testifical del rey de España don Felipe VI. El recurrente critica el argumento dado en el auto de 1 de febrero de 2019 (pág. 72) para rechazar esa testifical: que el art. 411 LECrim exceptúa del deber de declarar como testigo al Rey. Ese precepto brinda al monarca la posibilidad de eximirse de la obligación de declarar, pero no establece una prohibición de hacerlo, como así lo interpretó erróneamente la Sala de lo Penal. Por tanto, se vulneró el derecho de defensa del recurrente, al rechazarse la prueba antes de saber si el testigo propuesto decidía o no acogerse a la dispensa. Por último, justifica la pertinencia de la prueba en base al relevante papel que las acusaciones atribuyeron al jefe del Estado, en sus escritos de conclusiones, en relación con los hechos enjuiciados.</w:t>
      </w:r>
    </w:p>
    <w:p w:rsidR="005728DD" w:rsidRDefault="005728DD" w:rsidP="005728DD">
      <w:pPr>
        <w:pStyle w:val="TextoNormal"/>
      </w:pPr>
    </w:p>
    <w:p w:rsidR="005728DD" w:rsidRDefault="005728DD" w:rsidP="005728DD">
      <w:pPr>
        <w:pStyle w:val="TextoNormal"/>
      </w:pPr>
      <w:r>
        <w:t>(iv) La testifical del jefe de la Casa de Su Majestad el Rey, don Jaime Alfonsín Alfonso. Dicha prueba se propuso con carácter alternativo, por si el monarca se acogía a la dispensa de no declarar. Por tanto, no resulta asumible el motivo de inadmisión que figura en el auto de 1 de febrero de 2019, a saber, que en el proceso penal no se admite el testigo por sustitución. Esta denegación vulneró el derecho de defensa del recurrente, pues la prueba era pertinente “a la vista de los hechos que motivan la acusación y del relevante papel que en ellos desempeña la Casa Real”.</w:t>
      </w:r>
    </w:p>
    <w:p w:rsidR="005728DD" w:rsidRDefault="005728DD" w:rsidP="005728DD">
      <w:pPr>
        <w:pStyle w:val="TextoNormal"/>
      </w:pPr>
    </w:p>
    <w:p w:rsidR="005728DD" w:rsidRDefault="005728DD" w:rsidP="005728DD">
      <w:pPr>
        <w:pStyle w:val="TextoNormal"/>
      </w:pPr>
      <w:r>
        <w:t>(v) La testifical de don Carles Puigdemont. La inadmisión de su testimonio se basó en que estaba en rebeldía y aún no había sido enjuiciado. Sin embargo, el recurrente discrepa de la decisión adoptada porque la declaración del testigo no solo era pertinente sino crucial, al ser el máximo responsable del Govern. Por otro lado, el hecho de que el propuesto como testigo no estuviera presente en el acto del juicio fue debido a que el magistrado instructor había decidido rechazar su extradición, por razones puramente estratégicas, ya que Alemania estaba dispuesta a entregarlo para ser juzgado por malversación. Añade que la responsabilidad del propuesto se dirimía en una pieza separada del proceso, por lo que podía declarar con las mismas garantías que otros testigos que, al mismo tiempo, estaban siendo investigados en otros procedimientos (cita como ejemplo a los Sres. Trapero o Jové). Por último, señala el contradictorio comportamiento de la sala, al admitir el testimonio de doña Anna Simó, miembro de la mesa del Parlament, pese a haber estado procesada en la misma causa hasta el trámite de las cuestiones previas.</w:t>
      </w:r>
    </w:p>
    <w:p w:rsidR="005728DD" w:rsidRDefault="005728DD" w:rsidP="005728DD">
      <w:pPr>
        <w:pStyle w:val="TextoNormal"/>
      </w:pPr>
    </w:p>
    <w:p w:rsidR="005728DD" w:rsidRDefault="005728DD" w:rsidP="005728DD">
      <w:pPr>
        <w:pStyle w:val="TextoNormal"/>
      </w:pPr>
      <w:r>
        <w:t>3.6. Vulneración del derecho a la presunción de inocencia y a la tutela judicial efectiva (art. 24 CE). Esta queja trae causa de las manifestaciones públicas de miembros del Gobierno español sobre los hechos enjuiciados y por la reiterada omisión del tribunal enjuiciador de amparar a los procesados ante dichas vulneraciones. El demandante refiere que, mientras se desarrollaba el procedimiento penal ante el Tribunal Supremo, la Secretaría Ge</w:t>
      </w:r>
      <w:r>
        <w:lastRenderedPageBreak/>
        <w:t>neral para la España Global, órgano dependiente del Ministerio de Asuntos Exteriores, emprendió una campaña propagandística para informar en el extranjero sobre los hechos que se estaban enjuiciando. En el contexto de dicha campaña se efectuaron declaraciones y se elaboraron documentos en los que abiertamente se consideraba a los procesados culpables de los hechos enjuiciados.</w:t>
      </w:r>
    </w:p>
    <w:p w:rsidR="005728DD" w:rsidRDefault="005728DD" w:rsidP="005728DD">
      <w:pPr>
        <w:pStyle w:val="TextoNormal"/>
      </w:pPr>
    </w:p>
    <w:p w:rsidR="005728DD" w:rsidRDefault="005728DD" w:rsidP="005728DD">
      <w:pPr>
        <w:pStyle w:val="TextoNormal"/>
      </w:pPr>
      <w:r>
        <w:t>El recurrente y otros procesados pidieron amparo a la Sala Segunda del Tribunal Supremo, por escrito de 4 de febrero de 2019, y alegaron la vulneración del derecho a la presunción de inocencia. Mediante auto de 7 de febrero de 2019, la Sala de lo Penal estimó que la vulneración del derecho a la presunción de inocencia derivada de las declaraciones de la secretaria de Estado doña Irene Lozano, responsable de la campaña gubernamental “España Global”, podrían ser objeto de alegación en las sesiones del plenario en las que se reivindicara la vigencia de ese derecho, motivo por el que esta defensa planteó la presente cuestión previa al inicio de las sesiones del juicio y en su escrito de conclusiones definitivas. La demanda relata otros episodios similares acaecidos con posterioridad —concretamente se refiere al contenido del documento “La realidad sobre el proceso independentista” publicado por “España Global”—, incluso después de la publicación de la sentencia, como cuando se caricaturizó a los acusados como si fueran ladrones. La queja, sin embargo, fue rechazada en la sentencia, que minimizó las primeras manifestaciones ante la BBC, calificándoles simplemente de “torpes” (página 143) pero “intrascendentes”, sin hacer referencia alguna al documento posteriormente publicado.</w:t>
      </w:r>
    </w:p>
    <w:p w:rsidR="005728DD" w:rsidRDefault="005728DD" w:rsidP="005728DD">
      <w:pPr>
        <w:pStyle w:val="TextoNormal"/>
      </w:pPr>
    </w:p>
    <w:p w:rsidR="005728DD" w:rsidRDefault="005728DD" w:rsidP="005728DD">
      <w:pPr>
        <w:pStyle w:val="TextoNormal"/>
      </w:pPr>
      <w:r>
        <w:t>Argumenta la demanda que se ha producido la vulneración del derecho a la presunción de inocencia del art. 24 CE, interpretado a la luz de los arts. 10 y 96 CE, en relación con la Directiva 2016/343 del Parlamento Europeo y del Consejo, del 9 de marzo de 2016, por la que se refuerzan en el proceso penal determinados aspectos de la presunción de inocencia y el derecho a estar presente en el juicio. El art. 4.1 de la citada Directiva establece que “los Estados miembros adoptarán las medidas necesarias para garantizar que, mientras no se haya probado la culpabilidad de un sospechoso o acusado con arreglo a la ley, las declaraciones públicas efectuadas por las autoridades públicas y las resoluciones judiciales que no sean de condena no se refieran a esa persona como culpable”, y el art. 4.2 dispone que “los Estados miembros velarán por que se disponga de medidas adecuadas en caso de incumplimiento de la obligación establecida en el apartado 1 del presente artículo, de no referirse a los sospechosos o acusados como culpables”.</w:t>
      </w:r>
    </w:p>
    <w:p w:rsidR="005728DD" w:rsidRDefault="005728DD" w:rsidP="005728DD">
      <w:pPr>
        <w:pStyle w:val="TextoNormal"/>
      </w:pPr>
    </w:p>
    <w:p w:rsidR="005728DD" w:rsidRDefault="005728DD" w:rsidP="005728DD">
      <w:pPr>
        <w:pStyle w:val="TextoNormal"/>
      </w:pPr>
      <w:r>
        <w:t>3.7. Vulneración del derecho a un proceso con todas las garantías (arts. 24 CE y 6 CEDH) por la filtración del contenido de la sentencia cuando su redacción no había sido todavía culminada. Señala el demandante que esa lesión ya se planteó en el incidente de nulidad, pues días antes de que se firmara y notificara la sentencia, diversos medios de comunicación anticiparon cuál iba a ser el sentido del fallo, cuando su contenido era aún susceptible de experimentar cambios (se citan algunos enlaces de internet de medios de prensa digitales y en varios de esos medios se habla de “fuentes judiciales”).</w:t>
      </w:r>
    </w:p>
    <w:p w:rsidR="005728DD" w:rsidRDefault="005728DD" w:rsidP="005728DD">
      <w:pPr>
        <w:pStyle w:val="TextoNormal"/>
      </w:pPr>
    </w:p>
    <w:p w:rsidR="005728DD" w:rsidRDefault="005728DD" w:rsidP="005728DD">
      <w:pPr>
        <w:pStyle w:val="TextoNormal"/>
      </w:pPr>
      <w:r>
        <w:t xml:space="preserve">El recurrente incide en la importancia del secreto de las deliberaciones de un tribunal, por lo que no parece asumible que la filtración anticipada del fallo no tenga repercusiones procesales ni de afectación a las garantías del procedimiento. Recuerda que la STC 69/2001, de 17 de marzo, declara que la filtración de una sentencia, en principio es una circunstancia inocua para los derechos fundamentales, “salvo que el denunciante de tal vulneración pueda </w:t>
      </w:r>
      <w:r>
        <w:lastRenderedPageBreak/>
        <w:t>acreditar —cabría preguntarse de qué manera— que la opinión de alguno o de algunos de los integrantes del tribunal haya podido verse condicionada por hechos o circunstancias externas a la propia deliberación o que la citada ‘filtración’ iba encaminada a obtener una modificación interesada de lo previamente decidido’ […] (FJ 12)”. O bien, que haya propiciado la filtración “un clamor popular a favor de la condena o de la absolución de los encausados poniendo en entredicho la necesaria serenidad del tribunal o la confianza de la ciudadanía en el comportamiento neutral de los juzgadores” (FJ 6).</w:t>
      </w:r>
    </w:p>
    <w:p w:rsidR="005728DD" w:rsidRDefault="005728DD" w:rsidP="005728DD">
      <w:pPr>
        <w:pStyle w:val="TextoNormal"/>
      </w:pPr>
    </w:p>
    <w:p w:rsidR="005728DD" w:rsidRDefault="005728DD" w:rsidP="005728DD">
      <w:pPr>
        <w:pStyle w:val="TextoNormal"/>
      </w:pPr>
      <w:r>
        <w:t xml:space="preserve">A juicio del demandante, dicho clamor se produjo en el presente caso, pues son notorias las incontables informaciones, artículos y comentarios anticipados del fallo aparecidos en los medios de comunicación con posterioridad a la filtración, así como las manifestaciones de responsables políticos —en un contexto de precampaña electoral— valorando anticipadamente la condena cuando la sentencia no había sido aún firmada ni notificada. Como sucede cuando se quiebran garantías vinculadas con la imparcialidad judicial, la mera vulneración de las garantías, aun no pudiéndose determinar cuáles han sido sus concretos efectos, debe suponer la invalidez del acto procesal, sin que proceda someter a quien denuncia a lo que supone una auténtica </w:t>
      </w:r>
      <w:r w:rsidRPr="005728DD">
        <w:rPr>
          <w:i/>
        </w:rPr>
        <w:t>probatio diabolica</w:t>
      </w:r>
      <w:r>
        <w:t>. Por tanto, el compromiso adquirido por el presidente de la sala de que haría todo lo posible para que no se repitieran las filtraciones, pasaba por haber anulado la sentencia, como se pidió, por vulneración de los arts. 24 CE y 6 CEDH. Sin embargo, el auto resolutorio del incidente de nulidad se limitó a afirmar que no constaba que la filtración hubiera condicionado el sentido de la decisión, es decir, sometió al recurrente a la prueba diabólica antes aludida.</w:t>
      </w:r>
    </w:p>
    <w:p w:rsidR="005728DD" w:rsidRDefault="005728DD" w:rsidP="005728DD">
      <w:pPr>
        <w:pStyle w:val="TextoNormal"/>
      </w:pPr>
    </w:p>
    <w:p w:rsidR="005728DD" w:rsidRDefault="005728DD" w:rsidP="005728DD">
      <w:pPr>
        <w:pStyle w:val="TextoNormal"/>
      </w:pPr>
      <w:r>
        <w:t>3.8. Vulneración del derecho a la tutela judicial efectiva por ausencia de toda motivación de la individualización de la pena (arts. 17, 24 y 25 CE en relación con art. 120.3 CE).</w:t>
      </w:r>
    </w:p>
    <w:p w:rsidR="005728DD" w:rsidRDefault="005728DD" w:rsidP="005728DD">
      <w:pPr>
        <w:pStyle w:val="TextoNormal"/>
      </w:pPr>
    </w:p>
    <w:p w:rsidR="005728DD" w:rsidRDefault="005728DD" w:rsidP="005728DD">
      <w:pPr>
        <w:pStyle w:val="TextoNormal"/>
      </w:pPr>
      <w:r>
        <w:t>Argumenta la demanda que la sala impuso al demandante una pena de nueve años resultante de un marco penal inicial que se movía entre un mínimo de ocho y un máximo de diez años de prisión, desbordando la petición de la abogacía del Estado, que solicitó una pena de ocho años de prisión e inhabilitación, y al amparo de la petición de la acusación popular (partido político Vox) de quince años de prisión, a pesar de afirmar su “perturbadora presencia”. Aduce que la sentencia condenatoria no dedica tampoco una sola línea a explicar las concretas razones por las que, pudiéndose imponer una pena de solamente ocho años al acusado, la sala se decanta finalmente por imponer una pena de nueve; y añade que, en todo caso, “en términos comparativos conviene subrayar la evidente desproporción que supone el hecho de que el Sr. Jordi Sànchez haya merecido una pena tan cercana a la impuesta a aquellos acusados que ostentaban la condición de autoridad”.</w:t>
      </w:r>
    </w:p>
    <w:p w:rsidR="005728DD" w:rsidRDefault="005728DD" w:rsidP="005728DD">
      <w:pPr>
        <w:pStyle w:val="TextoNormal"/>
      </w:pPr>
    </w:p>
    <w:p w:rsidR="005728DD" w:rsidRDefault="005728DD" w:rsidP="005728DD">
      <w:pPr>
        <w:pStyle w:val="TextoNormal"/>
      </w:pPr>
      <w:r>
        <w:t>En cuanto al auto desestimatorio del incidente de nulidad de actuaciones, que se remite a las razones dadas para la imposición de la pena a don Jordi Cuixart (pág. 48), sostiene el demandante que “ni en la resolución del incidente promovido por el Sr. Cuixart, ni tampoco en la propia sentencia por las razones antedichas, se encuentran argumentos que justifiquen dicha decisión”.</w:t>
      </w:r>
    </w:p>
    <w:p w:rsidR="005728DD" w:rsidRDefault="005728DD" w:rsidP="005728DD">
      <w:pPr>
        <w:pStyle w:val="TextoNormal"/>
      </w:pPr>
    </w:p>
    <w:p w:rsidR="005728DD" w:rsidRDefault="005728DD" w:rsidP="005728DD">
      <w:pPr>
        <w:pStyle w:val="TextoNormal"/>
      </w:pPr>
      <w:r>
        <w:t xml:space="preserve">3.9. Vulneración del derecho fundamental a la legalidad (arts. 25 CE y 7 CEDH), por abandono </w:t>
      </w:r>
      <w:r w:rsidRPr="005728DD">
        <w:rPr>
          <w:i/>
        </w:rPr>
        <w:t>ad hoc</w:t>
      </w:r>
      <w:r>
        <w:t xml:space="preserve"> del principio de accesoriedad (limitada) en la participación. En este apartado sostiene que “la accesoriedad limitada” es uno de los principios cardinales de la teoría de la imputación penal, que ha sido reconocido por la Sala Segunda del Tribunal Supremo, </w:t>
      </w:r>
      <w:r>
        <w:lastRenderedPageBreak/>
        <w:t>entre otras, en las SSTS 214/2018, de 8 de mayo y 704/2018, de 15 de enero. Esa doctrina considera necesario que al autor se le pueda atribuir la comisión de un hecho típico y antijurídico, aunque no resulte culpable, para que pueda considerarse responsable penal al partícipe. Según refiere el recurrente, en el delito de sedición hay dos clases de sujetos intervinientes: los ejecutores materiales o autores directos, quienes se alzan pública o tumultuariamente (art. 544 CP), y los que hubieren inducido, sostenido o dirigido la sedición, o aparecieren en ella como sus principales autores (art. 545 CP). Al demandante, la sentencia (pág. 383) le atribuye el rol de promotor, por haber movilizado a la ciudadanía a intervenir en las manifestaciones de 20 de septiembre y 1 de octubre o haber actuado en dichas movilizaciones, junto con el Sr. Jordi Cuixart, como “líderes sociales” (pág. 481 de la sentencia). Por tanto, de acuerdo con el principio de accesoriedad limitada, si no ha existido hecho antijurídico atribuible a uno o varios ejecutores directos no puede existir una participación penalmente relevante.</w:t>
      </w:r>
    </w:p>
    <w:p w:rsidR="005728DD" w:rsidRDefault="005728DD" w:rsidP="005728DD">
      <w:pPr>
        <w:pStyle w:val="TextoNormal"/>
      </w:pPr>
    </w:p>
    <w:p w:rsidR="005728DD" w:rsidRDefault="005728DD" w:rsidP="005728DD">
      <w:pPr>
        <w:pStyle w:val="TextoNormal"/>
      </w:pPr>
      <w:r>
        <w:t>Considera acreditado que los ciudadanos que intervinieron, como manifestantes o votantes en los actos del 20 de septiembre y 1 de octubre de 2017, no han merecido reproche penal alguno y así lo afirma la sentencia de condena (págs. 240, 245 y 383), sin que nadie haya sido procesado por sedición por esos hechos. Incluso, algunos de los presuntos máximos responsables de la organización del referéndum, como don Lluís Salvadó y don Josep María Jové, tampoco han sido procesado por ese delito, sino por delitos de gravedad muy inferior, (prevaricación, desobediencia o malversación, cita la demanda), mientras que algunos casos aislados de votantes que ejercieron resistencia contra las fuerzas del orden han sido condenados por un delito de atentado y lesiones leves.</w:t>
      </w:r>
    </w:p>
    <w:p w:rsidR="005728DD" w:rsidRDefault="005728DD" w:rsidP="005728DD">
      <w:pPr>
        <w:pStyle w:val="TextoNormal"/>
      </w:pPr>
    </w:p>
    <w:p w:rsidR="005728DD" w:rsidRDefault="005728DD" w:rsidP="005728DD">
      <w:pPr>
        <w:pStyle w:val="TextoNormal"/>
      </w:pPr>
      <w:r>
        <w:t>Con base en las anteriores premisas, el demandante refuta su condena por el delito de sedición, pues no se puede promover un alzamiento sedicioso si los comportamientos más graves de los manifestantes solo se califican de atentado y si los organizadores, excepto los máximos dirigentes procesados por el Tribunal Supremo, tampoco han sido procesados por ese tipo de alzamiento. Para el recurrente, la condena por delito de sedición se explica “desde la voluntad de escarmentar a los máximos líderes políticos y sociales del movimiento independentista con castigos que nada tienen que ver con la gravedad real de los hechos a cuya comisión indujeron a los ciudadanos. Se trataba […] de construir un ‘traje punitivo a medida’ para los líderes políticos del movimiento independentista”. Descarta que en el presente caso quepa apreciar un supuesto de autoría mediata, (posibilidad que, por lo demás, no se menciona siquiera en la sentencia), pues esa hipótesis no está prevista en los arts. 544 y 545 CP y supondría sostener que “los ciudadanos que se manifestaron actuaron como meros instrumentos, totalmente ‘abducidos’ por los acusados en una situación de error invencible que se mantuvo incluso frente a la actuación de agentes uniformados”.</w:t>
      </w:r>
    </w:p>
    <w:p w:rsidR="005728DD" w:rsidRDefault="005728DD" w:rsidP="005728DD">
      <w:pPr>
        <w:pStyle w:val="TextoNormal"/>
      </w:pPr>
    </w:p>
    <w:p w:rsidR="005728DD" w:rsidRDefault="005728DD" w:rsidP="005728DD">
      <w:pPr>
        <w:pStyle w:val="TextoNormal"/>
      </w:pPr>
      <w:r>
        <w:t xml:space="preserve">Ese cambio </w:t>
      </w:r>
      <w:r w:rsidRPr="005728DD">
        <w:rPr>
          <w:i/>
        </w:rPr>
        <w:t>ad hoc</w:t>
      </w:r>
      <w:r>
        <w:t xml:space="preserve"> de la doctrina sobre el principio de accesoriedad no se acomoda a las exigencias del principio de legalidad, tal como se define en el art. 7 CEDH (con cita de la sentencia “</w:t>
      </w:r>
      <w:r w:rsidRPr="005728DD">
        <w:rPr>
          <w:i/>
        </w:rPr>
        <w:t>Del Río Prada c. España</w:t>
      </w:r>
      <w:r>
        <w:t xml:space="preserve">” de 2013). Ese principio no solo prohíbe que se apliquen </w:t>
      </w:r>
      <w:r w:rsidRPr="005728DD">
        <w:rPr>
          <w:i/>
        </w:rPr>
        <w:t>a posteriori</w:t>
      </w:r>
      <w:r>
        <w:t xml:space="preserve"> y en perjuicio del reo cambios en el texto de la ley, pues también veda las modificaciones sobrevenidas de la jurisprudencia que perjudiquen al acusado (STEDH de 11 de abril de 2013, asunto </w:t>
      </w:r>
      <w:r w:rsidRPr="005728DD">
        <w:rPr>
          <w:i/>
        </w:rPr>
        <w:t>Vyerentsov c. Ucrania</w:t>
      </w:r>
      <w:r>
        <w:t xml:space="preserve">). En el auto resolutorio de los incidentes de nulidad se da respuesta a esta denuncia, al analizar una queja idéntica del procesado Sr. Forn en los siguientes términos (pág. 41): “las reglas generales de la participación quiebran </w:t>
      </w:r>
      <w:r>
        <w:lastRenderedPageBreak/>
        <w:t>en el caso del delito de sedición, donde todos los intervinientes son coautores”. Así pues, el referido auto confirma que estamos ante el primer alzamiento sin alzados de la historia.</w:t>
      </w:r>
    </w:p>
    <w:p w:rsidR="005728DD" w:rsidRDefault="005728DD" w:rsidP="005728DD">
      <w:pPr>
        <w:pStyle w:val="TextoNormal"/>
      </w:pPr>
    </w:p>
    <w:p w:rsidR="005728DD" w:rsidRDefault="005728DD" w:rsidP="005728DD">
      <w:pPr>
        <w:pStyle w:val="TextoNormal"/>
      </w:pPr>
      <w:r>
        <w:t xml:space="preserve">3.10. Vulneración del derecho fundamental a la legalidad (art. 25.1 CE) en relación con los derechos fundamentales a la libertad, reunión pacífica y libertad de expresión e ideológica (arts. 17, 20 y 21 CE) por la insuficiente taxatividad del tipo penal de la sedición. Alega el recurrente que el art. 544 CP, que define el delito de sedición, adolece de la falta de taxatividad que cabe esperar de un delito que establece penas tan sumamente graves; y así lo considera Amnistía Internacional en un informe sobre esta causa especial. Términos tales como “alzarse”, “tumultos”, “fuerza” o “fuera de las vías legales” resultan extraordinariamente vagos, hasta el punto de que es muy difícil conocer exactamente qué conductas se están prohibiendo realmente por el legislador. El recurrente se plantea diversos interrogantes que el tipo penal suscita y, al respecto, colige que son tantas las dudas interpretativas que surgen que su redacción resulta difícilmente compatible con el principio de determinación, que tanto el Tribunal Constitucional como el Tribunal Europeo de Derechos Humanos exigen (STEDH de 11 de abril de 2013, asunto </w:t>
      </w:r>
      <w:r w:rsidRPr="005728DD">
        <w:rPr>
          <w:i/>
        </w:rPr>
        <w:t>Vyerentsov c. Ucrania</w:t>
      </w:r>
      <w:r>
        <w:t>, y la STEDH de la Gran Sala, de 22 de marzo de 2001, asunt</w:t>
      </w:r>
      <w:r w:rsidRPr="005728DD">
        <w:rPr>
          <w:i/>
        </w:rPr>
        <w:t>o Streletz, Kessler y Krenz c. Aleman</w:t>
      </w:r>
      <w:r>
        <w:t>ia).</w:t>
      </w:r>
    </w:p>
    <w:p w:rsidR="005728DD" w:rsidRDefault="005728DD" w:rsidP="005728DD">
      <w:pPr>
        <w:pStyle w:val="TextoNormal"/>
      </w:pPr>
    </w:p>
    <w:p w:rsidR="005728DD" w:rsidRDefault="005728DD" w:rsidP="005728DD">
      <w:pPr>
        <w:pStyle w:val="TextoNormal"/>
      </w:pPr>
      <w:r>
        <w:t>Ciertamente, el Tribunal Europeo de Derechos Humanos  admite que la indeterminación de un enunciado legal pueda ser corregida por la jurisprudencia sobre dicho precepto. Sin embargo, esto no ha sucedido en el tipo penal de la sedición en España, al no existir prácticamente ningún precedente relevante y reciente sobre este delito que haya sido conocido por el Tribunal Supremo. La falta de precedentes jurisprudenciales ha supuesto que para los acusados resultara imprevisible que su actuación se considera constitutiva de un delito sedición, máxime teniendo en cuenta que el delito de convocatoria ilegal de referéndum, que abarcaba de modo concreto los hechos que se proponían emprender el día 1 de octubre, había sido expresamente derogado por el legislador español el año 2005; y que la convocatoria previa de consulta sobre la autodeterminación el 9 de noviembre de 2014 se saldó con una leve condena por desobediencia, confirmada por el propio Tribunal Supremo, para los Sres. Mas y Homs y las Sras. Rigau y Ortega. También pone de relieve que la vaguedad del art. 544 CP resulta especialmente preocupante, pues su mera vigencia puede suscitar la restricción del ejercicio de los derechos fundamentales de reunión pacífica, libertad de expresión y libertad ideológica, provocando con ello un efecto desincentivador de tales derechos.</w:t>
      </w:r>
    </w:p>
    <w:p w:rsidR="005728DD" w:rsidRDefault="005728DD" w:rsidP="005728DD">
      <w:pPr>
        <w:pStyle w:val="TextoNormal"/>
      </w:pPr>
    </w:p>
    <w:p w:rsidR="005728DD" w:rsidRDefault="005728DD" w:rsidP="005728DD">
      <w:pPr>
        <w:pStyle w:val="TextoNormal"/>
      </w:pPr>
      <w:r>
        <w:t>El auto que resuelve los incidentes de nulidad niega lo antes expuesto (págs. 12 y siguientes, al responder a la misma queja del procesado don Jordi Cuixart), bajo el argumento de que el tipo delictivo no alcanza “una inconcreción o imprecisión que impida conocer de antemano el ámbito de lo proscrito”. Pero en esa resolución no se alude a algunos extremos que esta defensa también alegó, como la suma amplitud del precepto que en modo alguno justifica la pena mínima prevista, o el efecto restrictivo en el ejercicio de derechos que su aplicación puede llevar aparejada debido a los amplios términos de su redacción.</w:t>
      </w:r>
    </w:p>
    <w:p w:rsidR="005728DD" w:rsidRDefault="005728DD" w:rsidP="005728DD">
      <w:pPr>
        <w:pStyle w:val="TextoNormal"/>
      </w:pPr>
    </w:p>
    <w:p w:rsidR="005728DD" w:rsidRDefault="005728DD" w:rsidP="005728DD">
      <w:pPr>
        <w:pStyle w:val="TextoNormal"/>
      </w:pPr>
      <w:r>
        <w:t xml:space="preserve">3.11. Vulneración del derecho fundamental a la legalidad penal (arts. 25.1 CE y 7 CEDH) por aplicación analógica del delito de sedición a los hechos enjuiciados. Recuerda el demandante la prohibición de la analogía en materia penal que establece el art. 4.1 CP y que dicha prohibición forma parte de los principios de legalidad y de seguridad jurídica. Dicho esto, añade que el precepto no solo adolece de falta de previsibilidad sino que el tribunal enjuiciador, en la subsunción realizada, ha desbordado también su tenor literal porque: (i) </w:t>
      </w:r>
      <w:r>
        <w:lastRenderedPageBreak/>
        <w:t xml:space="preserve">es difícil entender qué hechos se subsumen en el tipo penal de sedición; esto es, si solo los acaecidos estrictamente los días 20 de septiembre y 1 de octubre de 2017 o también otros; (ii) porque lo que la sentencia narra, en las págs. 41 y siguientes respecto de lo sucedido el 20 de septiembre, no es más que una manifestación ciudadana de 40000 personas, en la que solo unos muy pocos asistentes incurrieron en excesos que, a lo sumo, derivaron en daños materiales que, según la propia sala, no son imputables a don Jordi Sànchez, sino al exceso de algunos manifestantes. Aunque sí se dificultó, no se impidió el cumplimiento de la resolución judicial en el departamento de Economía, como exige el art. 544 CP, lo que hace que la aplicación analógica de este precepto a un caso no abarcado por su tenor literal sea aquí patente. Se pregunta cómo es posible que un “acto de manifestación” por el que nadie ha sido acusado se convierta en un alzamiento tumultuario y argumenta que no pueden integrarse en tal concepto acontecimientos citados en la sentencia (pág. 374) como poner trabas a la actuación de la comisión judicial o desprestigiar a la administración de Justicia ante la ciudadanía; (iii) al describir la sentencia los hechos acontecidos el 1 de octubre de 2017 (pág. 53), es “tan sumamente parco el relato en este punto que tan siquiera se explica en qué consistieron dichos enfrentamientos, quién llevó en cada lugar la iniciativa en ellos o cuáles fueron sus concretas consecuencias, más allá de la necesidad en algunos casos de ‘asistencia facultativa’ (pág. 54)”. En todo caso, “parece claro que quien se alza debe llevar claramente la iniciativa insurreccional, por lo que dicho verbo no puede abarcar —sin incurrir en una extensión analógica— los meros actos de ‘interposición física’ (pág. 246), el ‘impedimento físico’ (pág. 283) o los consistentes en ‘obstaculizar’ el ejercicio de la función jurisdiccional (págs. 247 o 363) a los que se alude en varios pasajes de la fundamentación jurídica de la sentencia”. Así pues, un mero enfrentamiento con la policía no es un alzamiento, pues de ser así “carecerían de sentido los delitos de desórdenes públicos o el atentado, por los que han sido condenados los pocos manifestantes que realizaron activamente conductas de fuerza”. Por otro lado, la “irrelevancia típica de los hechos probados no puede subsanarse apelando a los móviles políticos que perseguían los procesados o atribuyéndoles otras actuaciones ajenas por completo al tipo del art. 544 CP, como ‘haber pulverizado el pacto constitucional’ (pág. 243) o querer ‘alumbrar una legalidad paralela’ (pág. 347)”. El delito de sedición requiere que el orden público resulte gravísimamente perturbado, dadas las penas que prevé; y esa perturbación solo debe valorarse en relación con el bien jurídico protegido; (iv) el comportamiento del demandante podría haberse subsumido en el antiguo tipo penal de convocatoria de referéndum (506 </w:t>
      </w:r>
      <w:r w:rsidRPr="005728DD">
        <w:rPr>
          <w:i/>
        </w:rPr>
        <w:t>bis</w:t>
      </w:r>
      <w:r>
        <w:t xml:space="preserve"> CP, derogado en 2005). Pero, según la sala (pág. 225 de la sentencia), este precepto no resultaría en todo caso aplicable a los hechos, por cuanto en él se tipificaba solamente un conflicto competencial entre autoridades. El recurrente rechaza esa respuesta porque, si solo se tratase de un conflicto competencial, esa conducta no podría considerarse como un delito merecedor de hasta cinco años de prisión. A su juicio, resulta evidente que citado precepto fue creado “para casos como el que nos ocupa y su derogación, como puede leerse en la propia exposición de motivos, deja bien claro la voluntad del legislador de que tales hechos no fueran criminalizados”.</w:t>
      </w:r>
    </w:p>
    <w:p w:rsidR="005728DD" w:rsidRDefault="005728DD" w:rsidP="005728DD">
      <w:pPr>
        <w:pStyle w:val="TextoNormal"/>
      </w:pPr>
    </w:p>
    <w:p w:rsidR="005728DD" w:rsidRDefault="005728DD" w:rsidP="005728DD">
      <w:pPr>
        <w:pStyle w:val="TextoNormal"/>
      </w:pPr>
      <w:r>
        <w:t>Finalmente, aduce que la respuesta a las anteriores alegaciones en el auto que rechazó el incidente de nulidad de actuaciones (págs. 49 y 50) resulta patentemente insuficiente y reprocha al ahora demandante un supuesto intento de modificar los hechos probados, cosa que en modo alguno se corresponde con la realidad, pues todos los pasajes fácticos citados son tomados de la propia sentencia.</w:t>
      </w:r>
    </w:p>
    <w:p w:rsidR="005728DD" w:rsidRDefault="005728DD" w:rsidP="005728DD">
      <w:pPr>
        <w:pStyle w:val="TextoNormal"/>
      </w:pPr>
    </w:p>
    <w:p w:rsidR="005728DD" w:rsidRDefault="005728DD" w:rsidP="005728DD">
      <w:pPr>
        <w:pStyle w:val="TextoNormal"/>
      </w:pPr>
      <w:r>
        <w:lastRenderedPageBreak/>
        <w:t>3.12. Vulneración del derecho fundamental a la legalidad penal por imposición de una pena desproporcionada (art. 25.1 CE, en relación con el art. 17 CE y el art. 49 CDFUE) lesionándose asimismo los derechos fundamentales a la libertad, reunión pacífica y libertad de expresión e ideológica (arts. 17, 20 y 21 CE).</w:t>
      </w:r>
    </w:p>
    <w:p w:rsidR="005728DD" w:rsidRDefault="005728DD" w:rsidP="005728DD">
      <w:pPr>
        <w:pStyle w:val="TextoNormal"/>
      </w:pPr>
    </w:p>
    <w:p w:rsidR="005728DD" w:rsidRDefault="005728DD" w:rsidP="005728DD">
      <w:pPr>
        <w:pStyle w:val="TextoNormal"/>
      </w:pPr>
      <w:r>
        <w:t>En primer lugar, se refiere la demanda al contenido de la STC 136/1999, de 20 de julio, en la que el tribunal incluyó dentro del principio de legalidad penal “la proscripción constitucional de penas desproporcionadas”. Añade que en el art. 49.3 de la Carta de derechos fundamentales de la Unión Europea se acoge ese postulado en términos similares: “La intensidad de las penas no deberá ser desproporcionada en relación con la infracción”, por lo que se establece un “criterio hermenéutico de primer orden” con base en el art. 10.2 CE. Teniendo en cuenta este principio, sostiene que la indeterminación del tipo penal de sedición ha propiciado la imposición de penas desproporcionadas en relación con la gravedad de los hechos, lo que ha generado un efecto restrictivo que resulta desalentador para el ejercicio de derechos fundamentales, en especial de reunión y de libertad de expresión e ideológica. Y ello porque cualquier persona que convoque una manifestación multitudinaria de protesta, en la que de modo más o menos previsible algunos incurran en excesos “será candidato a ser considerado inductor a una sedición y castigado con penas mínimas de ocho años de prisión”. Tras formular citas de doctrina científica, retoma el contenido de la STC 136/1999 para recalcar que el castigo de “estas situaciones limítrofes con el ejercicio de derechos con penas de prisión sumamente elevadas fue considerado incompatible con el art. 25.1 en relación con el art. 17 CE”.</w:t>
      </w:r>
    </w:p>
    <w:p w:rsidR="005728DD" w:rsidRDefault="005728DD" w:rsidP="005728DD">
      <w:pPr>
        <w:pStyle w:val="TextoNormal"/>
      </w:pPr>
    </w:p>
    <w:p w:rsidR="005728DD" w:rsidRDefault="005728DD" w:rsidP="005728DD">
      <w:pPr>
        <w:pStyle w:val="TextoNormal"/>
      </w:pPr>
      <w:r>
        <w:t>El recurrente no cuestiona que se sancionen penalmente aquellas conductas que amenacen seriamente el orden público; pero en este caso, ante una perturbación del orden público que no ha supuesto daños personales relevantes y en las que no se esgrimieron armas, se han impuesto a los acusados penas gravísimas de prisión que rayan o superan los diez años de privación de libertad, similares a las previstas para “el homicidio, los delitos más graves de agresión sexual o las formas más graves de privación de libertad ajena”, las cuales “desbordan con mucho las máximas previstas para el tipo penal de los desórdenes públicos”, un tipo delictivo aplicable en supuestos de actuaciones violentas realizadas de manera grupal, que prevé una pena máxima de tres años de prisión (art. 557 CP) o de seis años solo cuando se esgrimen armas (art. 55</w:t>
      </w:r>
      <w:r w:rsidRPr="005728DD">
        <w:rPr>
          <w:i/>
        </w:rPr>
        <w:t>7 b</w:t>
      </w:r>
      <w:r>
        <w:t>is CP).</w:t>
      </w:r>
    </w:p>
    <w:p w:rsidR="005728DD" w:rsidRDefault="005728DD" w:rsidP="005728DD">
      <w:pPr>
        <w:pStyle w:val="TextoNormal"/>
      </w:pPr>
    </w:p>
    <w:p w:rsidR="005728DD" w:rsidRDefault="005728DD" w:rsidP="005728DD">
      <w:pPr>
        <w:pStyle w:val="TextoNormal"/>
      </w:pPr>
      <w:r>
        <w:t>Censura también que el órgano de enjuiciamiento no haya tenido en cuenta, respecto de los hechos acaecidos el 20 de septiembre de 2017, que la diligencia judicial pudo culminarse sin que nadie resultara lesionado (en pág. 361 se reconoce que la obstrucción fue solo parcial), por lo que por este episodio debió apreciarse una forma de imperfecta realización o de menor gravedad (547 CP). Y lo mismo puede afirmarse respecto de los numerosos colegios electorales donde los efectivos policiales lograron de modo efectivo impedir las votaciones, dando así cumplimiento al mandato judicial.</w:t>
      </w:r>
    </w:p>
    <w:p w:rsidR="005728DD" w:rsidRDefault="005728DD" w:rsidP="005728DD">
      <w:pPr>
        <w:pStyle w:val="TextoNormal"/>
      </w:pPr>
    </w:p>
    <w:p w:rsidR="005728DD" w:rsidRDefault="005728DD" w:rsidP="005728DD">
      <w:pPr>
        <w:pStyle w:val="TextoNormal"/>
      </w:pPr>
      <w:r>
        <w:t xml:space="preserve">Añade que tampoco tuvo en cuenta la sentencia, al individualizar la pena aplicada al recurrente, que el delito por el que este fue condenado se produjo en un contexto de ejercicio de derechos fundamentales, pese a que la sala sí ha reconocido, implícitamente, que los ciudadanos que se “alzaron” se encontraban ejerciendo tales derechos. Tal constatación debió traducirse, cuando menos, en la aplicación de una muy importante atenuación punitiva, que pudo vehicularse perfectamente a través del art. 20.7 CP, alegado en las conclusiones </w:t>
      </w:r>
      <w:r>
        <w:lastRenderedPageBreak/>
        <w:t>definitivas, cuya apreciación como eximente incompleta habría permitido rebajar sustancialmente las penas impuestas. Con cita de doctrina sostiene que “imponer penas rayanas o superiores a los diez años de prisión por una supuesta perturbación del orden público acontecida en el marco de manifestaciones de protesta política en las que afortunadamente no ha habido muertes, ni heridos graves, ni se han esgrimido armas siquiera, supone incurrir en una patente desproporción punitiva desalentadora del ejercicio de derechos fundamentales básicos en una sociedad de libertades”.</w:t>
      </w:r>
    </w:p>
    <w:p w:rsidR="005728DD" w:rsidRDefault="005728DD" w:rsidP="005728DD">
      <w:pPr>
        <w:pStyle w:val="TextoNormal"/>
      </w:pPr>
    </w:p>
    <w:p w:rsidR="005728DD" w:rsidRDefault="005728DD" w:rsidP="005728DD">
      <w:pPr>
        <w:pStyle w:val="TextoNormal"/>
      </w:pPr>
      <w:r>
        <w:t>Critica la argumentación dada en el auto de fecha 29 de enero de 2020, por haber utilizado valoraciones sobre la ideología política de los procesados que son completamente ajenas al tipo penal de la sedición. Con esa respuesta “el ejercicio de derechos como la libertad ideológica o de reunión y manifestación pasa a convertirse en una circunstancia agravante de la responsabilidad penal en lugar de actuar como causa de justificación (siquiera parcial) de la responsabilidad criminal”.</w:t>
      </w:r>
    </w:p>
    <w:p w:rsidR="005728DD" w:rsidRDefault="005728DD" w:rsidP="005728DD">
      <w:pPr>
        <w:pStyle w:val="TextoNormal"/>
      </w:pPr>
    </w:p>
    <w:p w:rsidR="005728DD" w:rsidRDefault="005728DD" w:rsidP="005728DD">
      <w:pPr>
        <w:pStyle w:val="TextoNormal"/>
      </w:pPr>
      <w:r>
        <w:t>En el suplico de la demanda interesó su admisión a trámite y que se dictara sentencia con el siguiente contenido: “1. Otorgar el amparo y reconocer al demandante sus derechos fundamentales a la no discriminación por razones lingüísticas (art. 14 CE), a la libertad ideológica (art. 16 CE), a la libertad (art. 17 CE), a los derechos de reunión y manifestación (art. 21 CE), a la defensa, la tutela judicial efectiva y a un proceso con todas las garantías (art. 24 CE) y a la legalidad penal (art. 25.1 CE); 2. Reparar las vulneraciones denunciadas declarando la nulidad de la sentencia de 14 de octubre de 2019 dictada por la Sala Segunda del Tribunal Supremo en la Causa Especial núm. 20907-2017 y del posterior auto de 29 de enero de 2020, por el que se desestimó el incidente de nulidad de actuaciones promovido contra dicha resolución”.</w:t>
      </w:r>
    </w:p>
    <w:p w:rsidR="005728DD" w:rsidRDefault="005728DD" w:rsidP="005728DD">
      <w:pPr>
        <w:pStyle w:val="TextoNormal"/>
      </w:pPr>
    </w:p>
    <w:p w:rsidR="005728DD" w:rsidRDefault="005728DD" w:rsidP="005728DD">
      <w:pPr>
        <w:pStyle w:val="TextoNormal"/>
      </w:pPr>
      <w:r>
        <w:t>Por otrosí interesó que, conforme a lo dispuesto en el art. 56 de la Ley Orgánica del Tribunal Constitucional (LOTC), se acordara la suspensión cautelar de los efectos de la sentencia condenatoria. A fin de reducir al máximo la afectación de su libertad y sus derechos políticos, dado que cada día de privación de libertad y de inhabilitación le ocasionan un daño irreversible e irreparable, solicitó que la solicitud de suspensión se tramitara y resolviera conforme a lo previsto en el art. 56.6 LOTC.</w:t>
      </w:r>
    </w:p>
    <w:p w:rsidR="005728DD" w:rsidRDefault="005728DD" w:rsidP="005728DD">
      <w:pPr>
        <w:pStyle w:val="TextoNormal"/>
      </w:pPr>
    </w:p>
    <w:p w:rsidR="005728DD" w:rsidRDefault="005728DD" w:rsidP="005728DD">
      <w:pPr>
        <w:pStyle w:val="TextoNormal"/>
      </w:pPr>
      <w:r>
        <w:t>Mediante escritos presentados los días 8 y 16 de abril de 2020, el recurrente urgió la admisión a trámite del recurso de amparo y el otorgamiento de la medida cautelar interesada.</w:t>
      </w:r>
    </w:p>
    <w:p w:rsidR="005728DD" w:rsidRDefault="005728DD" w:rsidP="005728DD">
      <w:pPr>
        <w:pStyle w:val="TextoNormal"/>
      </w:pPr>
    </w:p>
    <w:p w:rsidR="005728DD" w:rsidRDefault="005728DD" w:rsidP="005728DD">
      <w:pPr>
        <w:pStyle w:val="TextoNormal"/>
      </w:pPr>
      <w:r w:rsidRPr="005728DD">
        <w:rPr>
          <w:rStyle w:val="NumeroAFNegritaCaracter"/>
        </w:rPr>
        <w:t>4</w:t>
      </w:r>
      <w:r>
        <w:t>. El Pleno de este tribunal, por providencia de 6 de mayo de 2020, acordó, a propuesta de su presidente y de conformidad con lo que establece el art. 10.1 n) LOTC,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 xml:space="preserve">De conformidad con lo dispuesto en el art. 51 LOTC acordó también dirigir atenta comunicación a la Sala de lo Penal del Tribunal Supremo, a fin de que, en plazo que no exceda de diez días, remita certificación o fotocopia adverada de las actuaciones correspondientes al auto de 29 de enero de 2020 y a la sentencia de 14 de octubre de 2019 dictados en la causa especial núm. 20907-2017, y emplazara a quienes hubieran sido parte en el procedimiento, </w:t>
      </w:r>
      <w:r>
        <w:lastRenderedPageBreak/>
        <w:t>excepto la parte recurrente en amparo, para que, en el plazo de diez días, pudieran comparecer en el recurso de amparo.</w:t>
      </w:r>
    </w:p>
    <w:p w:rsidR="005728DD" w:rsidRDefault="005728DD" w:rsidP="005728DD">
      <w:pPr>
        <w:pStyle w:val="TextoNormal"/>
      </w:pPr>
    </w:p>
    <w:p w:rsidR="005728DD" w:rsidRDefault="005728DD" w:rsidP="005728DD">
      <w:pPr>
        <w:pStyle w:val="TextoNormal"/>
      </w:pPr>
      <w:r>
        <w:t xml:space="preserve">En relación con la solicitud de suspensión formulada en la demanda de amparo mediante otrosí, el Pleno no apreció la urgencia excepcional a la que se refiere el art. 56.6 LOTC, que justificaría su adopción </w:t>
      </w:r>
      <w:r w:rsidRPr="005728DD">
        <w:rPr>
          <w:i/>
        </w:rPr>
        <w:t>inaudita parte</w:t>
      </w:r>
      <w:r>
        <w:t xml:space="preserve"> de forma inmotivada, por lo que, a fin de resolver sobre la misma, ordenó formar la oportuna pieza separada y, en ella, conceder un plazo de tres días al Ministerio Fiscal y al solicitante de amparo para que efectuaran alegaciones respecto a dicha petición. Evacuados los trámites correspondientes, mediante ATC 58/2020, de 17 de junio, se acordó denegar la petición de suspensión de las resoluciones impugnadas.</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de fecha 28 de mayo de 2020, la procuradora de tribunales doña Pilar Hidalgo López, en nombre y representación del partido político Vox, y bajo la dirección de la letrada doña Marta Castro Fuertes, interesó que se la tuviera por personada y parte.</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de fecha 5 de junio de 2020, la abogacía del Estado, en la representación que le es propia, solicitó que se la tuviera por personada y parte.</w:t>
      </w:r>
    </w:p>
    <w:p w:rsidR="005728DD" w:rsidRDefault="005728DD" w:rsidP="005728DD">
      <w:pPr>
        <w:pStyle w:val="TextoNormal"/>
      </w:pPr>
    </w:p>
    <w:p w:rsidR="005728DD" w:rsidRDefault="005728DD" w:rsidP="005728DD">
      <w:pPr>
        <w:pStyle w:val="TextoNormal"/>
      </w:pPr>
      <w:r w:rsidRPr="005728DD">
        <w:rPr>
          <w:rStyle w:val="NumeroAFNegritaCaracter"/>
        </w:rPr>
        <w:t>7</w:t>
      </w:r>
      <w:r>
        <w:t>. El 18 de junio siguiente, el procurador de tribunales don Carlos Ricardo Estévez Sanz interesó que se le tuviera por personado y parte en nombre y representación de don Carles Puigdemont i Casamajó, con la asistencia del letrado don Gonzalo Boye Tuset.</w:t>
      </w:r>
    </w:p>
    <w:p w:rsidR="005728DD" w:rsidRDefault="005728DD" w:rsidP="005728DD">
      <w:pPr>
        <w:pStyle w:val="TextoNormal"/>
      </w:pPr>
    </w:p>
    <w:p w:rsidR="005728DD" w:rsidRDefault="005728DD" w:rsidP="005728DD">
      <w:pPr>
        <w:pStyle w:val="TextoNormal"/>
      </w:pPr>
      <w:r w:rsidRPr="005728DD">
        <w:rPr>
          <w:rStyle w:val="NumeroAFNegritaCaracter"/>
        </w:rPr>
        <w:t>8</w:t>
      </w:r>
      <w:r>
        <w:t>. Por diligencia de ordenación de 28 de septiembre de 2020, la secretaría del Pleno de este tribunal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005728DD" w:rsidRDefault="005728DD" w:rsidP="005728DD">
      <w:pPr>
        <w:pStyle w:val="TextoNormal"/>
      </w:pPr>
    </w:p>
    <w:p w:rsidR="005728DD" w:rsidRDefault="005728DD" w:rsidP="005728DD">
      <w:pPr>
        <w:pStyle w:val="TextoNormal"/>
      </w:pPr>
      <w:r w:rsidRPr="005728DD">
        <w:rPr>
          <w:rStyle w:val="NumeroAFNegritaCaracter"/>
        </w:rPr>
        <w:t>9</w:t>
      </w:r>
      <w:r>
        <w:t>. El abogado del Estado presentó su escrito de alegaciones el 27 de octubre de 2020. Su sistemática se adecúa al esquema de quejas seguido por el recurrente.</w:t>
      </w:r>
    </w:p>
    <w:p w:rsidR="005728DD" w:rsidRDefault="005728DD" w:rsidP="005728DD">
      <w:pPr>
        <w:pStyle w:val="TextoNormal"/>
      </w:pPr>
    </w:p>
    <w:p w:rsidR="005728DD" w:rsidRDefault="005728DD" w:rsidP="005728DD">
      <w:pPr>
        <w:pStyle w:val="TextoNormal"/>
      </w:pPr>
      <w:r>
        <w:t xml:space="preserve">9.1. En primer lugar, analiza la denuncia de vulneración del derecho al juez ordinario predeterminado por la ley (art. 24.2 CE). Tras extractar la doctrina constitucional que consideró aplicable al caso, con transcripción parcial de la STC 159/2014, FJ 3, así como la jurisprudencia del Tribunal Europeo de Derechos Humanos , apunta que los órganos judiciales no han llevado a cabo una interpretación que suponga una manipulación manifiesta de las reglas legales sobre atribución de competencias ni que hayan incurrido en error evidente,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delimitado la competencia en los términos reflejados en la pág. 256 de la sentencia; esto es en función de un juicio </w:t>
      </w:r>
      <w:r w:rsidRPr="005728DD">
        <w:rPr>
          <w:i/>
        </w:rPr>
        <w:t>ex ante</w:t>
      </w:r>
      <w:r>
        <w:t xml:space="preserve"> que versa sobre la pretensión acusatoria, que no se puede ver revertida ni afectada por la decisión final. Trae a colación, como </w:t>
      </w:r>
      <w:r>
        <w:lastRenderedPageBreak/>
        <w:t>ejemplo de doctrina consolidada, el argumento que figura en la STS 484/2010, de 26 de mayo: en, síntesis, “que son los hechos y la calificación jurídica de la acusación los que deben de servir de base para la determinación de la competencia objetiva a los efectos del art. 14.3 y 14.4 LECrim”.</w:t>
      </w:r>
    </w:p>
    <w:p w:rsidR="005728DD" w:rsidRDefault="005728DD" w:rsidP="005728DD">
      <w:pPr>
        <w:pStyle w:val="TextoNormal"/>
      </w:pPr>
    </w:p>
    <w:p w:rsidR="005728DD" w:rsidRDefault="005728DD" w:rsidP="005728DD">
      <w:pPr>
        <w:pStyle w:val="TextoNormal"/>
      </w:pPr>
      <w:r>
        <w:t xml:space="preserve">Añade que la demanda se centra en formular una crítica aislada y descontextualizada de frases y párrafos concretos de las resoluciones que se pronuncian sobre la competencia y de los argumentos </w:t>
      </w:r>
      <w:r w:rsidRPr="005728DD">
        <w:rPr>
          <w:i/>
        </w:rPr>
        <w:t>obiter dicta</w:t>
      </w:r>
      <w:r>
        <w:t xml:space="preserve"> de la sentencia. En suma, afirma que no se ofrece un alegato que ponga de manifiesto la irrazonabilidad y arbitrariedad del criterio judicial. A fin de desvirtuar los argumentos dados por el recurrente, que minimizan los hechos acaecidos fuera de Cataluña, la abogacía del Estado también trae a colación el razonamiento expuesto en el ATS de 18 de enero de 2019, que pone en valor la particular naturaleza de los delitos de rebelión y sedición; esto es, como infracciones de ”resultado cortado”, cuyo aspecto diferencial, respecto de los delitos de lesión, reside en que para su consumación solo se requiere que se materialice el riesgo o peligro que se trata de precaver. Y añade que, a partir de ese entendimiento, queda esclarecido cuál es el lugar de comisión del delito de rebelión cuando la finalidad es declarar la independencia de una parte del territorio nacional, pues “aunque tal lesión no acaezca el resultado al que ha de encaminarse afecta a las dos partes cuya unidad se pretende disolver, pues una y otra serían ya, de alcanzarse la lesión por efectividad del resultado, diversas en su identidad. Y tal disolución no es un efecto diferenciable </w:t>
      </w:r>
      <w:r w:rsidRPr="005728DD">
        <w:rPr>
          <w:i/>
        </w:rPr>
        <w:t>ex</w:t>
      </w:r>
      <w:r>
        <w:t xml:space="preserve"> post del resultado que se procura. Es el resultado mismo”.</w:t>
      </w:r>
    </w:p>
    <w:p w:rsidR="005728DD" w:rsidRDefault="005728DD" w:rsidP="005728DD">
      <w:pPr>
        <w:pStyle w:val="TextoNormal"/>
      </w:pPr>
    </w:p>
    <w:p w:rsidR="005728DD" w:rsidRDefault="005728DD" w:rsidP="005728DD">
      <w:pPr>
        <w:pStyle w:val="TextoNormal"/>
      </w:pPr>
      <w:r>
        <w:t>9.2. Sobre la alegada privación del derecho a la doble instancia en materia penal, derivada de la anterior lesión, la abogacía del Estado también rechaza esa vulneración, pues el propio art. 2 del Protocolo 7 del art. 6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Esta segunda excepción es la que ha concurrido en el presente caso por razón de aforamiento, cuya constitucionalidad ha sido reconocida por este tribunal, amén de que tampoco resulta contraria a lo establecido en el art. 14.5 del Pacto internacional de derechos civiles y políticos.</w:t>
      </w:r>
    </w:p>
    <w:p w:rsidR="005728DD" w:rsidRDefault="005728DD" w:rsidP="005728DD">
      <w:pPr>
        <w:pStyle w:val="TextoNormal"/>
      </w:pPr>
    </w:p>
    <w:p w:rsidR="005728DD" w:rsidRDefault="005728DD" w:rsidP="005728DD">
      <w:pPr>
        <w:pStyle w:val="TextoNormal"/>
      </w:pPr>
      <w:r>
        <w:t>9.3. También se rechaza la denuncia de vulneración asociada al art. 24.2 CE, por la negativa a utilizar el sistema de traducción simultánea respecto de aquellos procesados que solicitaron expresamente declarar en el idioma catalán. Tras transcribir lo alegado por el órgano de enjuiciamiento en el fundamento jurídico 3.2, la abogacía del Estado colige que la configuración del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No obstante, señala que, en el presente caso, se pusieron traductores oficiales a disposición de la defensa y se concedió a los procesados la posibilidad de utilizar este idioma en sus respuestas.</w:t>
      </w:r>
    </w:p>
    <w:p w:rsidR="005728DD" w:rsidRDefault="005728DD" w:rsidP="005728DD">
      <w:pPr>
        <w:pStyle w:val="TextoNormal"/>
      </w:pPr>
    </w:p>
    <w:p w:rsidR="005728DD" w:rsidRDefault="005728DD" w:rsidP="005728DD">
      <w:pPr>
        <w:pStyle w:val="TextoNormal"/>
      </w:pPr>
      <w:r>
        <w:t xml:space="preserve">Tampoco se acepta la lesión del derecho de defensa, fundada en que no se permitió a los testigos declarar en catalán, so pretexto de verse afectada la credibilidad de su testimonio por no poder expresarse “con toda naturalidad”. Sobre este particular, se remite al contundente argumento de la sentencia: los tres testigos no solo tenían obligación de conocer el castellano, sino que por razón de sus cargos eran perfectamente conocedores de esa lengua; </w:t>
      </w:r>
      <w:r>
        <w:lastRenderedPageBreak/>
        <w:t>a lo que se añade que esos testimonios fueron inanes desde el punto de vista probatorio, por lo que no incidieron en el derecho de defensa.</w:t>
      </w:r>
    </w:p>
    <w:p w:rsidR="005728DD" w:rsidRDefault="005728DD" w:rsidP="005728DD">
      <w:pPr>
        <w:pStyle w:val="TextoNormal"/>
      </w:pPr>
    </w:p>
    <w:p w:rsidR="005728DD" w:rsidRDefault="005728DD" w:rsidP="005728DD">
      <w:pPr>
        <w:pStyle w:val="TextoNormal"/>
      </w:pPr>
      <w:r>
        <w:t>9.4. La vulneración del derecho al juez imparcial debe ser analizada, según el abogado del Estado, como parte de una estrategia procesal tendente a construir una causa general contra la justicia española y, en particular, contra el Tribunal Supremo, al prefabricar de modo abusivo una apariencia de parcialidad. Ello determina que la posición del recurrente, en tanto que emisor de la queja, pierda su virtualidad y peso en la ponderación, pues si bien el punto de vista de quien emite la queja ha de tenerse en cuenta, “el canon debe ser estricto cuando el sentimiento se invoca por quien ha seguido una conducta procesal abusiva que denuncia la STS de continua referencia”.</w:t>
      </w:r>
    </w:p>
    <w:p w:rsidR="005728DD" w:rsidRDefault="005728DD" w:rsidP="005728DD">
      <w:pPr>
        <w:pStyle w:val="TextoNormal"/>
      </w:pPr>
    </w:p>
    <w:p w:rsidR="005728DD" w:rsidRDefault="005728DD" w:rsidP="005728DD">
      <w:pPr>
        <w:pStyle w:val="TextoNormal"/>
      </w:pPr>
      <w:r>
        <w:t>a) Se niega que la frase que obra en el auto de procesamiento “la estrategia que sufrimos” tenga virtualidad alguna, pues lo que hace el magistrado instructor es reproducir la misma frase referida al “Libro Blanco”, de manera que tal expresión únicamente guarda relación con la exposición del desarrollo de la estrategia secesionista que se recogía en el referido “Libro Blanco”, referida en el auto de procesamiento y en el auto de 12 de abril.</w:t>
      </w:r>
    </w:p>
    <w:p w:rsidR="005728DD" w:rsidRDefault="005728DD" w:rsidP="005728DD">
      <w:pPr>
        <w:pStyle w:val="TextoNormal"/>
      </w:pPr>
    </w:p>
    <w:p w:rsidR="005728DD" w:rsidRDefault="005728DD" w:rsidP="005728DD">
      <w:pPr>
        <w:pStyle w:val="TextoNormal"/>
      </w:pPr>
      <w:r>
        <w:t>b) También se rechaza la queja asociada a la pérdida de imparcialidad del magistrado Sr. Monterde, miembro de la sala de recursos, sustentada en los mensajes difundidos por la asociación judicial de la que era vicepresidente. La abogacía del Estado asume la apreciada extemporaneidad de la queja, dado que la composición de ese órgano se publicó en fecha de 21 de diciembre de 2016, por acuerdo de la Comisión Permanente del Consejo General del Poder Judicial (CGPJ), amén de que los mensajes fueron emitidos por personas “no identificadas” y no por el referido magistrado.</w:t>
      </w:r>
    </w:p>
    <w:p w:rsidR="005728DD" w:rsidRDefault="005728DD" w:rsidP="005728DD">
      <w:pPr>
        <w:pStyle w:val="TextoNormal"/>
      </w:pPr>
    </w:p>
    <w:p w:rsidR="005728DD" w:rsidRDefault="005728DD" w:rsidP="005728DD">
      <w:pPr>
        <w:pStyle w:val="TextoNormal"/>
      </w:pPr>
      <w:r>
        <w:t>c) El hecho de que el órgano de enjuiciamiento estuviera constituido por algunos magistrados que formaron parte de la sala que admitió la querella tampoco conculca el derecho al juez imparcial. En el auto de fecha 31 de octubre de 2017, por el que se admite a trámite la querella interpuesta por el fiscal, no figura ni una sola frase o razonamiento que conlleve una valoración de la tipicidad de los hechos relatados, pues la decisión de admitir se funda en los extremos que se relatan en el escrito de querella, cuya realidad sería confirmada o desmentida en función del resultado de las diligencias practicadas por el instructor. Por otro lado, tampoco el demandante cumple con la carga argumental de proyectar sobre el auto de admisión el efecto que le atribuye, por lo que en este punto el amparo es genérico.</w:t>
      </w:r>
    </w:p>
    <w:p w:rsidR="005728DD" w:rsidRDefault="005728DD" w:rsidP="005728DD">
      <w:pPr>
        <w:pStyle w:val="TextoNormal"/>
      </w:pPr>
    </w:p>
    <w:p w:rsidR="005728DD" w:rsidRDefault="005728DD" w:rsidP="005728DD">
      <w:pPr>
        <w:pStyle w:val="TextoNormal"/>
      </w:pPr>
      <w:r>
        <w:t>d) Tampoco resulta de recibo la queja relativa a que el magistrado instructor designado formara parte de la Sala Segunda del Tribunal Supremo, es decir, del órgano de enjuiciamiento. Esa circunstancia no figura recogida en el elenco de causas de abstención y recusación, sujetas a interpretación restrictiva, sin que tampoco el recurrente haya acreditado la existencia de los contactos y comunicaciones que en la demanda se indican.</w:t>
      </w:r>
    </w:p>
    <w:p w:rsidR="005728DD" w:rsidRDefault="005728DD" w:rsidP="005728DD">
      <w:pPr>
        <w:pStyle w:val="TextoNormal"/>
      </w:pPr>
    </w:p>
    <w:p w:rsidR="005728DD" w:rsidRDefault="005728DD" w:rsidP="005728DD">
      <w:pPr>
        <w:pStyle w:val="TextoNormal"/>
      </w:pPr>
      <w:r>
        <w:t>e) En relación con el contenido del “WhatsApp” del Sr. Cosidó, la abogacía del Estado se remite al contenido del fundamento jurídico 5.5 y 6 del auto 7/2018, de la Sala especial del art. 61 LOPJ, a fin de descartar la merma de la imparcialidad que se atribuye al presidente del tribunal enjuiciador, pues la imparcialidad de un magistrado solo puede valorarse a partir de que este dice o hace o, incluso, de lo que aparente, pero no con base en la opinión de un tercero.</w:t>
      </w:r>
    </w:p>
    <w:p w:rsidR="005728DD" w:rsidRDefault="005728DD" w:rsidP="005728DD">
      <w:pPr>
        <w:pStyle w:val="TextoNormal"/>
      </w:pPr>
    </w:p>
    <w:p w:rsidR="005728DD" w:rsidRDefault="005728DD" w:rsidP="005728DD">
      <w:pPr>
        <w:pStyle w:val="TextoNormal"/>
      </w:pPr>
      <w:r>
        <w:t>f) El hecho de que el incidente de nulidad de actuaciones fuera resuelto por los mismos magistrados que dictaron la sentencia tampoco vulnera el derecho al juez imparcial, toda vez que, conforme a la doctrina establecida en la STC 152/2015, FJ 9, si hubieran intervenido otros magistrados, como solicitó el recurrente, se habría conculcado el derecho al juez ordinario predeterminado por la ley.</w:t>
      </w:r>
    </w:p>
    <w:p w:rsidR="005728DD" w:rsidRDefault="005728DD" w:rsidP="005728DD">
      <w:pPr>
        <w:pStyle w:val="TextoNormal"/>
      </w:pPr>
    </w:p>
    <w:p w:rsidR="005728DD" w:rsidRDefault="005728DD" w:rsidP="005728DD">
      <w:pPr>
        <w:pStyle w:val="TextoNormal"/>
      </w:pPr>
      <w:r>
        <w:t>g) También se rechaza el motivo asociado a la pretendida asunción de un “papel inquisitivo” por parte del presidente del tribunal enjuiciador. La Abogacía del Estado detalla el contexto de la pregunta formulada por el fiscal al Sr. Trapero, que fue objetada por la defensa del Sr. Forn; y al ser acogida la queja por la sala, tras finalizar las defensas el turno de interrogatorios, la presidencia formuló la pregunta al amparo de lo dispuesto en el art. 708 LECrim, cuya justificación se detalla en el fundamento jurídico, apartado 16.3.5.3, de la sentencia. En cualquier caso, tanto la pregunta como la respuesta resultó inane para la defensa del demandante de amparo, pues ni este estaba presente en la reunión de 28 de septiembre de 2017 ni en el juicio de autoría que respecto de aquel se formula sale a colación en la referida reunión.</w:t>
      </w:r>
    </w:p>
    <w:p w:rsidR="005728DD" w:rsidRDefault="005728DD" w:rsidP="005728DD">
      <w:pPr>
        <w:pStyle w:val="TextoNormal"/>
      </w:pPr>
    </w:p>
    <w:p w:rsidR="005728DD" w:rsidRDefault="005728DD" w:rsidP="005728DD">
      <w:pPr>
        <w:pStyle w:val="TextoNormal"/>
      </w:pPr>
      <w:r>
        <w:t>9.5. En el apartado relativo a las quejas atinentes a la quiebra del principio de igualdad de armas, las consideraciones que se formulan son las siguientes:</w:t>
      </w:r>
    </w:p>
    <w:p w:rsidR="005728DD" w:rsidRDefault="005728DD" w:rsidP="005728DD">
      <w:pPr>
        <w:pStyle w:val="TextoNormal"/>
      </w:pPr>
    </w:p>
    <w:p w:rsidR="005728DD" w:rsidRDefault="005728DD" w:rsidP="005728DD">
      <w:pPr>
        <w:pStyle w:val="TextoNormal"/>
      </w:pPr>
      <w:r>
        <w:t>a) En relación con el trato peyorativo dado a las defensas al valorar la pertinencia de sus preguntas, la abogacía del Estado también rechaza que ese trato hubiera tenido lugar, remitiéndose a las razones dadas en el fundamento jurídico 16.2.2 y 4 de la sentencia.</w:t>
      </w:r>
    </w:p>
    <w:p w:rsidR="005728DD" w:rsidRDefault="005728DD" w:rsidP="005728DD">
      <w:pPr>
        <w:pStyle w:val="TextoNormal"/>
      </w:pPr>
    </w:p>
    <w:p w:rsidR="005728DD" w:rsidRDefault="005728DD" w:rsidP="005728DD">
      <w:pPr>
        <w:pStyle w:val="TextoNormal"/>
      </w:pPr>
      <w:r>
        <w:t>b) También rechaza que se produjera una desigualdad de trato por el hecho de que a las acusaciones se les permitiera formular preguntas sobre la afiliación política e ideológica de los testigos, pero se impidiera hacerlo a las defensas. Sobre este punto se remite a lo razonado en el fundamento jurídico 16.3. 1 y 2 de la sentencia.</w:t>
      </w:r>
    </w:p>
    <w:p w:rsidR="005728DD" w:rsidRDefault="005728DD" w:rsidP="005728DD">
      <w:pPr>
        <w:pStyle w:val="TextoNormal"/>
      </w:pPr>
    </w:p>
    <w:p w:rsidR="005728DD" w:rsidRDefault="005728DD" w:rsidP="005728DD">
      <w:pPr>
        <w:pStyle w:val="TextoNormal"/>
      </w:pPr>
      <w:r>
        <w:t>c) Respecto del alegato relativo a que los testigos propuestos por las partes acusadoras pudieron exponer abiertamente sus valoraciones personales, mientras que los de la defensa no, sin que tampoco se les permitiera a estos últimos consultar notas, se aduce que el recurrente reproduce íntegramente lo alegado en el juicio oral, sin añadir carga argumental que critique la respuesta dada en sentencia, que desestima esa alegación en el fundamento jurídico 16.3.3 y 4.</w:t>
      </w:r>
    </w:p>
    <w:p w:rsidR="005728DD" w:rsidRDefault="005728DD" w:rsidP="005728DD">
      <w:pPr>
        <w:pStyle w:val="TextoNormal"/>
      </w:pPr>
    </w:p>
    <w:p w:rsidR="005728DD" w:rsidRDefault="005728DD" w:rsidP="005728DD">
      <w:pPr>
        <w:pStyle w:val="TextoNormal"/>
      </w:pPr>
      <w:r>
        <w:t>d) Tampoco la censura de la presidencia al letrado de la demandante, por el empleo del término “ley de ritos” pone de manifiesto el trato desfavorable que se denuncia. Añade que la sentencia ya explica las razones que hicieron oportuna la corrección, sin que, dado el contexto de la misma, de nada sirva invocar el repertorio de casos en que el Tribunal Supremo utilizó esa expresión en otros asuntos pretéritos.</w:t>
      </w:r>
    </w:p>
    <w:p w:rsidR="005728DD" w:rsidRDefault="005728DD" w:rsidP="005728DD">
      <w:pPr>
        <w:pStyle w:val="TextoNormal"/>
      </w:pPr>
    </w:p>
    <w:p w:rsidR="005728DD" w:rsidRDefault="005728DD" w:rsidP="005728DD">
      <w:pPr>
        <w:pStyle w:val="TextoNormal"/>
      </w:pPr>
      <w:r>
        <w:t>9.6. A continuación, la abogacía del Estado analiza otro bloque de quejas que, según la demanda, guardan relación con vulneraciones del derecho de defensa.</w:t>
      </w:r>
    </w:p>
    <w:p w:rsidR="005728DD" w:rsidRDefault="005728DD" w:rsidP="005728DD">
      <w:pPr>
        <w:pStyle w:val="TextoNormal"/>
      </w:pPr>
    </w:p>
    <w:p w:rsidR="005728DD" w:rsidRDefault="005728DD" w:rsidP="005728DD">
      <w:pPr>
        <w:pStyle w:val="TextoNormal"/>
      </w:pPr>
      <w:r>
        <w:t xml:space="preserve">a) En primer lugar, se analiza la denuncia referida a la negativa a incorporar el testimonio íntegro del procedimiento seguido ante el Juzgado de Instrucción núm. 13 de Barcelona. Al </w:t>
      </w:r>
      <w:r>
        <w:lastRenderedPageBreak/>
        <w:t>respecto, se exponen las razones dadas en la sentencia sobre esa queja; en síntesis, “[e]l bloque probatorio sobre el que se ha construido la apreciación del tribunal se ha generado, de forma única y exclusiva, en el plenario. Nada de lo que aquí se razona para respaldar el juicio de autoría ha sido ajeno a la contradicción de las partes y, por tanto, al ejercicio legítimo del derecho de defensa”.</w:t>
      </w:r>
    </w:p>
    <w:p w:rsidR="005728DD" w:rsidRDefault="005728DD" w:rsidP="005728DD">
      <w:pPr>
        <w:pStyle w:val="TextoNormal"/>
      </w:pPr>
    </w:p>
    <w:p w:rsidR="005728DD" w:rsidRDefault="005728DD" w:rsidP="005728DD">
      <w:pPr>
        <w:pStyle w:val="TextoNormal"/>
      </w:pPr>
      <w:r>
        <w:t>b) En cuanto a la “atomización procesal” y ruptura de la continencia de la causa que se denuncia, se aduce que tal circunstancia es fruto de los aforamientos y del mandato legal restrictivo acerca del enjuiciamiento de delitos conexos, tras la reforma operada por la Ley 41/2015, de 5 de octubre. Se trae a colación el criterio seguido por el instructor, en el auto de 15 de febrero de 2018, y de la Sala, en el auto de 27 de diciembre de 2018, que rechazaron por exorbitante el criterio de incluir, dentro de la causa especial, a todos aquellos que prestaron su colaboración a la hora de ejecutar el plan estratégico ideado e impulsado por los representantes políticos y sociales; y sobre ese argumento, señala que en el recurso de amparo nada se opone, por lo que sus alegaciones en este punto vuelven a ser valoradas como genéricas.</w:t>
      </w:r>
    </w:p>
    <w:p w:rsidR="005728DD" w:rsidRDefault="005728DD" w:rsidP="005728DD">
      <w:pPr>
        <w:pStyle w:val="TextoNormal"/>
      </w:pPr>
    </w:p>
    <w:p w:rsidR="005728DD" w:rsidRDefault="005728DD" w:rsidP="005728DD">
      <w:pPr>
        <w:pStyle w:val="TextoNormal"/>
      </w:pPr>
      <w:r>
        <w:t>c) También niega que se haya impedido a las defensas conocer con tiempo suficiente los elementos incorporados de otras causas durante la instrucción, amén de interesar la incorporación de lo que estimaran pertinente, sin perjuicio de la ulterior decisión del instructor y de la sala. Matiza la abogacía del Estado que existe un derecho de acceso a todos los documentos que van a ser valorados, pero no un derecho de acceso en calidad de “imputado preventivo” a otras causas, a fin de esclarecer si incide en el derecho de defensa, pues ello supondría convertir la causa especial en un continente formal para incorporar, por aluvión, todos los procedimientos seguidos por hechos diferentes.</w:t>
      </w:r>
    </w:p>
    <w:p w:rsidR="005728DD" w:rsidRDefault="005728DD" w:rsidP="005728DD">
      <w:pPr>
        <w:pStyle w:val="TextoNormal"/>
      </w:pPr>
    </w:p>
    <w:p w:rsidR="005728DD" w:rsidRDefault="005728DD" w:rsidP="005728DD">
      <w:pPr>
        <w:pStyle w:val="TextoNormal"/>
      </w:pPr>
      <w:r>
        <w:t>d) En cuanto a la aducida imposibilidad de contrastar las declaraciones testificales con la prueba documental videográfica, tras remitirse a la argumentación expuesta en el fundamento jurídico 16.1.2 de la sentencia, se colige por la abogacía del Estado que el órgano judicial ha guardado un estricto respeto a la garantía de contradicción para que el acusado tenga la posibilidad de interrogar a quien declara en su contra para, de este modo, controvertir su credibilidad conforme a lo establecido en los arts. 6.3 d) y 6.1 CEDH.</w:t>
      </w:r>
    </w:p>
    <w:p w:rsidR="005728DD" w:rsidRDefault="005728DD" w:rsidP="005728DD">
      <w:pPr>
        <w:pStyle w:val="TextoNormal"/>
      </w:pPr>
    </w:p>
    <w:p w:rsidR="005728DD" w:rsidRDefault="005728DD" w:rsidP="005728DD">
      <w:pPr>
        <w:pStyle w:val="TextoNormal"/>
      </w:pPr>
      <w:r>
        <w:t>e) En cuanto a la denegación de pruebas propuestas por el demandante, la abogacía del Estado se remite al contenido del fundamento jurídico 10.1 de la sentencia, en el que se descarta que dicha denegación de pruebas a que se alude en la demanda de amparo, tuviera incidencia material en el derecho de defensa.</w:t>
      </w:r>
    </w:p>
    <w:p w:rsidR="005728DD" w:rsidRDefault="005728DD" w:rsidP="005728DD">
      <w:pPr>
        <w:pStyle w:val="TextoNormal"/>
      </w:pPr>
    </w:p>
    <w:p w:rsidR="005728DD" w:rsidRDefault="005728DD" w:rsidP="005728DD">
      <w:pPr>
        <w:pStyle w:val="TextoNormal"/>
      </w:pPr>
      <w:r>
        <w:t>9.7. La queja relativa a la vulneración del derecho a la presunción de inocencia, derivada de las manifestaciones públicas efectuadas sobre los hechos enjuiciados, por parte de algunos miembros del gobierno español, no merece favorable acogida, a juicio del abogado del Estado, que se remite a lo razonado al respecto en la sentencia.</w:t>
      </w:r>
    </w:p>
    <w:p w:rsidR="005728DD" w:rsidRDefault="005728DD" w:rsidP="005728DD">
      <w:pPr>
        <w:pStyle w:val="TextoNormal"/>
      </w:pPr>
    </w:p>
    <w:p w:rsidR="005728DD" w:rsidRDefault="005728DD" w:rsidP="005728DD">
      <w:pPr>
        <w:pStyle w:val="TextoNormal"/>
      </w:pPr>
      <w:r>
        <w:t xml:space="preserve">9.8. En relación con la filtración de la sentencia cuando su redacción no había sido aún culminada, la abogacía del Estado razona que, de conformidad con la doctrina establecida en la STC 69/2001, solo si se acreditara que la opinión de alguno de los miembros del tribunal hubiera podido verse condicionada o afectada por hechos externos a la propia deliberación o, en su caso, la filtración fuera encaminada a obtener una modificación interesada </w:t>
      </w:r>
      <w:r>
        <w:lastRenderedPageBreak/>
        <w:t>de lo ya decidido, podría verse afectada la vertiente subjetiva de la garantía de imparcialidad. Sin embargo, en el presente caso las circunstancia indicadas no concurrieron, toda vez que cuando se produjo la filtración ya había concluido el juicio oral, se había desarrollado la práctica de la prueba e, incluso, había finalizado la deliberación sobre el contenido del fallo condenatorio.</w:t>
      </w:r>
    </w:p>
    <w:p w:rsidR="005728DD" w:rsidRDefault="005728DD" w:rsidP="005728DD">
      <w:pPr>
        <w:pStyle w:val="TextoNormal"/>
      </w:pPr>
    </w:p>
    <w:p w:rsidR="005728DD" w:rsidRDefault="005728DD" w:rsidP="005728DD">
      <w:pPr>
        <w:pStyle w:val="TextoNormal"/>
      </w:pPr>
      <w:r>
        <w:t>9.9. En relación con la denuncia de vulneración del principio acusatorio, al desbordarse la petición formulada por la abogacía del Estado (ocho años de prisión y de inhabilitación absoluta) y valerse de la pretensión punitiva formulada por el partido político Vox, tras transcribir el FJ 7 de la STC 1/2020, de 14 de enero, señala el abogado del Estado que el demandante tuvo conocimiento de las concretas pretensiones punitivas de la referida abogacía y de la acusación popular personada, de modo que pudieron articular las medidas probatorias y alegatorias para defenderse de las mismas.</w:t>
      </w:r>
    </w:p>
    <w:p w:rsidR="005728DD" w:rsidRDefault="005728DD" w:rsidP="005728DD">
      <w:pPr>
        <w:pStyle w:val="TextoNormal"/>
      </w:pPr>
    </w:p>
    <w:p w:rsidR="005728DD" w:rsidRDefault="005728DD" w:rsidP="005728DD">
      <w:pPr>
        <w:pStyle w:val="TextoNormal"/>
      </w:pPr>
      <w:r>
        <w:t>9.10. También se rechaza la denuncia sobre la falta de motivación y proporcionalidad de la pena impuesta. Tras invocar la jurisprudencia reflejada en las SSTS 1007/2019, de 26 de marzo, FJ 4, y 172/2018, de 11 de abril, afirma que la justificación de la individualización de las penas se encuentra en el apartado correspondiente de la sentencia que se da por reproducida. Añade que en el marco penal se mueve entre ocho y diez años de prisión para los que “hubieren inducido, sostenido o dirigido la sedición o aparecieren en ella como sus principales autores” y que el juicio histórico se refleja la condición del Sr. Sànchez y el Sr. Cuixart como líderes sociales de vanguardia que, concertados en los fines sediciosos con los demás acusados, se mostraron como verdaderos conductores de los episodios acaecidos los días 20 de septiembre y 1 de octubre.</w:t>
      </w:r>
    </w:p>
    <w:p w:rsidR="005728DD" w:rsidRDefault="005728DD" w:rsidP="005728DD">
      <w:pPr>
        <w:pStyle w:val="TextoNormal"/>
      </w:pPr>
    </w:p>
    <w:p w:rsidR="005728DD" w:rsidRDefault="005728DD" w:rsidP="005728DD">
      <w:pPr>
        <w:pStyle w:val="TextoNormal"/>
      </w:pPr>
      <w:r>
        <w:t>9.11. Seguidamente, la abogacía del Estado se pronuncia sobre el bloque de quejas relativas a la vulneración del derecho a la legalidad penal (art. 25.1 CE).</w:t>
      </w:r>
    </w:p>
    <w:p w:rsidR="005728DD" w:rsidRDefault="005728DD" w:rsidP="005728DD">
      <w:pPr>
        <w:pStyle w:val="TextoNormal"/>
      </w:pPr>
    </w:p>
    <w:p w:rsidR="005728DD" w:rsidRDefault="005728DD" w:rsidP="005728DD">
      <w:pPr>
        <w:pStyle w:val="TextoNormal"/>
      </w:pPr>
      <w:r>
        <w:t xml:space="preserve">a) En primer lugar, aborda el motivo asociado al abandono </w:t>
      </w:r>
      <w:r w:rsidRPr="005728DD">
        <w:rPr>
          <w:i/>
        </w:rPr>
        <w:t>ad hoc</w:t>
      </w:r>
      <w:r>
        <w:t xml:space="preserve"> del principio de accesoriedad limitada en la participación, que el demandante atribuye a la sala sentenciadora. Tras resumir los argumentos expuestos en la demanda, colige que esa queja no puede prosperar porque supone ignorar la especialidad del art. 545 CP.</w:t>
      </w:r>
    </w:p>
    <w:p w:rsidR="005728DD" w:rsidRDefault="005728DD" w:rsidP="005728DD">
      <w:pPr>
        <w:pStyle w:val="TextoNormal"/>
      </w:pPr>
    </w:p>
    <w:p w:rsidR="005728DD" w:rsidRDefault="005728DD" w:rsidP="005728DD">
      <w:pPr>
        <w:pStyle w:val="TextoNormal"/>
      </w:pPr>
      <w:r>
        <w:t>Frente a la premisa de la que parte el recurrente, que en todo caso considera que su conducta se subsumiría en la figura del inductor del alzamiento tumultuario y, por tanto, está sujeta al régimen del principio de accesoriedad aplicable a los partícipes a que se refiere el art. 28.2 CP, la abogacía del Estado opone que el delito de sedición se caracteriza por la intervención de una pluralidad de sujetos para su comisión; y esta pluralidad subjetiva se diferencia de la participación porque los partícipes coadyuvan a la producción del resultado, pero no ostentan el dominio funcional del hecho, lo que sí es predicable del autor en sentido estricto. Como así se recoge en la sentencia, el demandante y otros condenados son considerados autores del delito de sedición, puesto que la “acción típica del delito de sedición que se imputa a los condenados no requiere, para colmar la autoría, la realización personal de un acto material que suponga el alzamiento público y tumultuario, con las finalidades previstas en el tipo penal”, pues también se consideran típicas las conductas de quien posibilita el alzamiento de otros, que “no ha de reputarse inductor o cooperador necesario sino que tiene la cualidad de autor en sentido estricto en los términos del art. 28.1 del Código penal”.</w:t>
      </w:r>
    </w:p>
    <w:p w:rsidR="005728DD" w:rsidRDefault="005728DD" w:rsidP="005728DD">
      <w:pPr>
        <w:pStyle w:val="TextoNormal"/>
      </w:pPr>
    </w:p>
    <w:p w:rsidR="005728DD" w:rsidRDefault="005728DD" w:rsidP="005728DD">
      <w:pPr>
        <w:pStyle w:val="TextoNormal"/>
      </w:pPr>
      <w:r>
        <w:t>Así pues, de lo anterior se deduce que concurre el supuesto de pluralidad subjetiva o coautoría y, por tanto, el demandante ha sido condenado en concepto de autor en sentido estricto, al evidenciarse una estrategia de conductas típicas que cada uno de los condenados asumió, con ostentación del dominio funcional del hecho. Siendo así, no resulta aplicable el principio de accesoriedad limitada que invoca el recurrente, con reproducción de los argumentos recogidos al respecto en el auto que resuelve el incidente de nulidad de actuaciones.</w:t>
      </w:r>
    </w:p>
    <w:p w:rsidR="005728DD" w:rsidRDefault="005728DD" w:rsidP="005728DD">
      <w:pPr>
        <w:pStyle w:val="TextoNormal"/>
      </w:pPr>
    </w:p>
    <w:p w:rsidR="005728DD" w:rsidRDefault="005728DD" w:rsidP="005728DD">
      <w:pPr>
        <w:pStyle w:val="TextoNormal"/>
      </w:pPr>
      <w:r>
        <w:t>b) Respecto de la pretendida aplicación analógica del delito de sedición a los hechos probados, la abogacía del Estado trae a colación la doctrina constitucional que concierne la subsunción de los hechos en la norma penal desde la perspectiva del derecho a la legalidad en materia penal (SSTC 13/2003, FJ 3; 137/1997, FJ 6, y 129/2008, FJ 3), para concluir que, en el presente supuesto, la sentencia lleva a cabo la aludida subsunción de manera lógica y acorde con principios interpretativos válidos y previsibles, sin contrariar el sentido literal del precepto aplicado.</w:t>
      </w:r>
    </w:p>
    <w:p w:rsidR="005728DD" w:rsidRDefault="005728DD" w:rsidP="005728DD">
      <w:pPr>
        <w:pStyle w:val="TextoNormal"/>
      </w:pPr>
    </w:p>
    <w:p w:rsidR="005728DD" w:rsidRDefault="005728DD" w:rsidP="005728DD">
      <w:pPr>
        <w:pStyle w:val="TextoNormal"/>
      </w:pPr>
      <w:r>
        <w:t>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Luego, tras transcribir el fundamento jurídico 10.2.1 del auto que resolvió el incidente de nulidad, concluye que el demandante no ha sido condenado por apoyar dos concentraciones multitudinarias de protesta y votación, ni tampoco cabe apreciar que la reacción penal haya sido imprevisible o desproporcionada. Es más, carece de fundamento cualquier intento de comparación de los hechos con la consulta “del 9-N”, pues entonces no se aprobaron leyes manifiestamente inconstitucionales, para dotar de una pretendida cobertura legal que confundiera a los ciudadanos; no hubo un despliegue policial a fin de impedir la votación; ni se alentó a la población para que “resistiera a toda esa actividad”.</w:t>
      </w:r>
    </w:p>
    <w:p w:rsidR="005728DD" w:rsidRDefault="005728DD" w:rsidP="005728DD">
      <w:pPr>
        <w:pStyle w:val="TextoNormal"/>
      </w:pPr>
    </w:p>
    <w:p w:rsidR="005728DD" w:rsidRDefault="005728DD" w:rsidP="005728DD">
      <w:pPr>
        <w:pStyle w:val="TextoNormal"/>
      </w:pPr>
      <w:r>
        <w:t>c) Niega la abogacía del Estado que se haya conculcado el derecho a la libertad de expresión de los condenados, pues ninguno de los actos que se les imputan en la sentencia queda abarcado por el contenido material de ese derecho. Tras resumir la doctrina de este tribunal y del Tribunal Europeo de Derechos Humanos  acerca de ese derecho, alega que los recurrentes de amparo asocian la lesión “a la criminalización del discurso político, que ellos en su momento expresaron”, y ahora sostienen que el ejercicio de ese derecho fundamental constituye una causa de exclusión de la antijuridicidad, conforme a lo dispuesto en el art. 20.7 CP.</w:t>
      </w:r>
    </w:p>
    <w:p w:rsidR="005728DD" w:rsidRDefault="005728DD" w:rsidP="005728DD">
      <w:pPr>
        <w:pStyle w:val="TextoNormal"/>
      </w:pPr>
    </w:p>
    <w:p w:rsidR="005728DD" w:rsidRDefault="005728DD" w:rsidP="005728DD">
      <w:pPr>
        <w:pStyle w:val="TextoNormal"/>
      </w:pPr>
      <w:r>
        <w:t>Sin embargo, como así se recoge en la sentencia, la responsabilidad penal no trae causa de difundir opiniones y doctrinas contrarias al estatus constitucional ni por propugnar la superación del marco político actual. Lo que es objeto de reproche penal es haber pulverizado el pacto constitucional mediante la aprobación de leyes “en abierta y contumaz des</w:t>
      </w:r>
      <w:r>
        <w:lastRenderedPageBreak/>
        <w:t>atención de los requerimientos del Tribunal Constitucional […] y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También menciona el contenido del apartado 2 del art. 10 CEDH, que considera legítimas las restricciones a la libertad de expresión que sean “medidas necesarias, en una sociedad democrática […] para la integridad territorial o la seguridad pública, la defensa del orden y la prevención del delito”; y reitera que en ningún momento la sanción se ha fundado en la manifestación de opiniones políticas por parte del demandante.</w:t>
      </w:r>
    </w:p>
    <w:p w:rsidR="005728DD" w:rsidRDefault="005728DD" w:rsidP="005728DD">
      <w:pPr>
        <w:pStyle w:val="TextoNormal"/>
      </w:pPr>
    </w:p>
    <w:p w:rsidR="005728DD" w:rsidRDefault="005728DD" w:rsidP="005728DD">
      <w:pPr>
        <w:pStyle w:val="TextoNormal"/>
      </w:pPr>
      <w:r>
        <w:t>d) Respecto de la vulneración de los derechos de reunión y manifestación, pone de relieve que el art 21 CE establece, como requisitos necesarios y acumulativos, que las concentraciones sean pacíficas y sin armas. Descendiendo al caso, resulta evidente que ninguno de los ciudadanos que asistieron a las manifestaciones que se detallan en el relato histórico ha resultado condenado; y ninguno de los demandantes que reforzaron con su presencia o desarrollaron un especial protagonismo en las protestas ante la sede de la Vicepresidencia y Consejería de Economía fueron acusados de un delito de reunión o manifestación ilícita.</w:t>
      </w:r>
    </w:p>
    <w:p w:rsidR="005728DD" w:rsidRDefault="005728DD" w:rsidP="005728DD">
      <w:pPr>
        <w:pStyle w:val="TextoNormal"/>
      </w:pPr>
    </w:p>
    <w:p w:rsidR="005728DD" w:rsidRDefault="005728DD" w:rsidP="005728DD">
      <w:pPr>
        <w:pStyle w:val="TextoNormal"/>
      </w:pPr>
      <w:r>
        <w:t>Así pues, conforme se detalla en la sentencia impugnada en esta sede, la reacción penal no estaría justificada por la exhibición de discrepancia frente a las leyes, las críticas agrias subidas de tono o descalificadoras, incluso cuando sus destinatarios sean el poder central o la máxima autoridad del Estado o la misma Constitución, pues las proclamas independentistas, la reivindicación del derecho de autodeterminación y las movilizaciones encaminadas a promocionar y difundir esas ideas son legítimas. Sin embargo, cosa bien distinta es la estrategia desplegada de oposición activa y concertada frente a las actuaciones de los agentes de la autoridad encaminados a cumplir un específico y concreto mandato judicial, que fue estimulada y alentada con entusiasmo y poder de movilización por los acusados, a fin de que la votación prohibida tuviera lugar. Y esa actuación desborda totalmente las lindes del legítimo ejercicio del derecho de reunión, por lo que no puede quedar amparada por el art. 20.7 CP.</w:t>
      </w:r>
    </w:p>
    <w:p w:rsidR="005728DD" w:rsidRDefault="005728DD" w:rsidP="005728DD">
      <w:pPr>
        <w:pStyle w:val="TextoNormal"/>
      </w:pPr>
    </w:p>
    <w:p w:rsidR="005728DD" w:rsidRDefault="005728DD" w:rsidP="005728DD">
      <w:pPr>
        <w:pStyle w:val="TextoNormal"/>
      </w:pPr>
      <w:r>
        <w:t>El mismo rechazo merece la invocación del derecho a la libertad ideológica, que la abogacía del Estado considera inoponible ante los hechos probados, pues “ningún principio de autodeterminación de la voluntad libre ante cada circunstancia puede justificar la comisión probada, en el seno del proceso, de conductas legalmente tipificadas”.</w:t>
      </w:r>
    </w:p>
    <w:p w:rsidR="005728DD" w:rsidRDefault="005728DD" w:rsidP="005728DD">
      <w:pPr>
        <w:pStyle w:val="TextoNormal"/>
      </w:pPr>
    </w:p>
    <w:p w:rsidR="005728DD" w:rsidRDefault="005728DD" w:rsidP="005728DD">
      <w:pPr>
        <w:pStyle w:val="TextoNormal"/>
      </w:pPr>
      <w:r>
        <w:t>Seguidamente, tras incluir la doctrina constitucional sobre las conductas con relevancia penal en el contexto del ejercicio de los derechos fundamentales (SSTC 88/2003, FJ 8; 104/2011, FJ 6, y 62/2019, FJ 7), se reitera que la condena penal nada tiene que ver con los postulados políticos de los condenados; de hecho, pudieron participar en la campaña electoral durante la prisión preventiva a que estuvieron sujetos y pudieron difundir las ideas que “hoy por hoy, sostienen la acción de Gobierno de la Generalitat”.</w:t>
      </w:r>
    </w:p>
    <w:p w:rsidR="005728DD" w:rsidRDefault="005728DD" w:rsidP="005728DD">
      <w:pPr>
        <w:pStyle w:val="TextoNormal"/>
      </w:pPr>
    </w:p>
    <w:p w:rsidR="005728DD" w:rsidRDefault="005728DD" w:rsidP="005728DD">
      <w:pPr>
        <w:pStyle w:val="TextoNormal"/>
      </w:pPr>
      <w:r>
        <w:t>En conclusión, no cabe afirmar un ejercicio de derechos al margen de la ley; y se añade que lo que se llevó a cabo fueron levantamientos hostiles contra las resoluciones judiciales. Y “con ese levantamiento multitudinario, generalizado y proyectado de forma estratégica, no es posible eludir la tipicidad de la sedición”, remitiéndose en lo demás a lo argumentado en el fundamento jurídico 2.5 y siguientes de la sentencia.</w:t>
      </w:r>
    </w:p>
    <w:p w:rsidR="005728DD" w:rsidRDefault="005728DD" w:rsidP="005728DD">
      <w:pPr>
        <w:pStyle w:val="TextoNormal"/>
      </w:pPr>
    </w:p>
    <w:p w:rsidR="005728DD" w:rsidRDefault="005728DD" w:rsidP="005728DD">
      <w:pPr>
        <w:pStyle w:val="TextoNormal"/>
      </w:pPr>
      <w:r w:rsidRPr="005728DD">
        <w:rPr>
          <w:rStyle w:val="NumeroAFNegritaCaracter"/>
        </w:rPr>
        <w:t>10</w:t>
      </w:r>
      <w:r>
        <w:t>. El partido político Vox, personado en la causa penal como acusación popular, presentó sus alegaciones el día 29 de octubre de 2020.</w:t>
      </w:r>
    </w:p>
    <w:p w:rsidR="005728DD" w:rsidRDefault="005728DD" w:rsidP="005728DD">
      <w:pPr>
        <w:pStyle w:val="TextoNormal"/>
      </w:pPr>
    </w:p>
    <w:p w:rsidR="005728DD" w:rsidRDefault="005728DD" w:rsidP="005728DD">
      <w:pPr>
        <w:pStyle w:val="TextoNormal"/>
      </w:pPr>
      <w:r>
        <w:t>En primer lugar, cuestiona que la especial trascendencia constitucional del recurso de amparo haya sido debidamente justificada. Tras resumir las razones dadas sobre este particular por el demandante, señala que este se ha limitado a plantear unas líneas genéricas para cumplimentar este trámite, pero “ni se explica la supuesta falta de compatibilidad del delito de sedición y su aplicación al presente caso con los derechos fundamentales alegados, ni tampoco se cita, siquiera, la supuesta vulneración de la jurisprudencia constitucional previa”.</w:t>
      </w:r>
    </w:p>
    <w:p w:rsidR="005728DD" w:rsidRDefault="005728DD" w:rsidP="005728DD">
      <w:pPr>
        <w:pStyle w:val="TextoNormal"/>
      </w:pPr>
    </w:p>
    <w:p w:rsidR="005728DD" w:rsidRDefault="005728DD" w:rsidP="005728DD">
      <w:pPr>
        <w:pStyle w:val="TextoNormal"/>
      </w:pPr>
      <w:r>
        <w:t>Seguidamente, lleva a cabo un análisis de las diferentes lesiones denunciadas en la demanda, que rechaza en su totalidad.</w:t>
      </w:r>
    </w:p>
    <w:p w:rsidR="005728DD" w:rsidRDefault="005728DD" w:rsidP="005728DD">
      <w:pPr>
        <w:pStyle w:val="TextoNormal"/>
      </w:pPr>
    </w:p>
    <w:p w:rsidR="005728DD" w:rsidRDefault="005728DD" w:rsidP="005728DD">
      <w:pPr>
        <w:pStyle w:val="TextoNormal"/>
      </w:pPr>
      <w:r>
        <w:t>10.1.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005728DD" w:rsidRDefault="005728DD" w:rsidP="005728DD">
      <w:pPr>
        <w:pStyle w:val="TextoNormal"/>
      </w:pPr>
    </w:p>
    <w:p w:rsidR="005728DD" w:rsidRDefault="005728DD" w:rsidP="005728DD">
      <w:pPr>
        <w:pStyle w:val="TextoNormal"/>
      </w:pPr>
      <w:r>
        <w:t>Añade a continuación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en el acuerdo del Pleno no jurisdiccional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005728DD" w:rsidRDefault="005728DD" w:rsidP="005728DD">
      <w:pPr>
        <w:pStyle w:val="TextoNormal"/>
      </w:pPr>
    </w:p>
    <w:p w:rsidR="005728DD" w:rsidRDefault="005728DD" w:rsidP="005728DD">
      <w:pPr>
        <w:pStyle w:val="TextoNormal"/>
      </w:pPr>
      <w:r>
        <w:t>A continuación, invoca el contenido del auto del Tribunal Supremo de 31 de octubre de 2017,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w:t>
      </w:r>
    </w:p>
    <w:p w:rsidR="005728DD" w:rsidRDefault="005728DD" w:rsidP="005728DD">
      <w:pPr>
        <w:pStyle w:val="TextoNormal"/>
      </w:pPr>
    </w:p>
    <w:p w:rsidR="005728DD" w:rsidRDefault="005728DD" w:rsidP="005728DD">
      <w:pPr>
        <w:pStyle w:val="TextoNormal"/>
      </w:pPr>
      <w:r>
        <w:t>10.2. Descarta la vulneración del derecho a la doble instancia penal, con base en las excepciones señaladas en el art. 2 del Protocolo núm. 7 CEDH, para las infracciones de menor gravedad o cuando el interesado haya sido juzgado en primera instancia por el más alto tribunal.</w:t>
      </w:r>
    </w:p>
    <w:p w:rsidR="005728DD" w:rsidRDefault="005728DD" w:rsidP="005728DD">
      <w:pPr>
        <w:pStyle w:val="TextoNormal"/>
      </w:pPr>
    </w:p>
    <w:p w:rsidR="005728DD" w:rsidRDefault="005728DD" w:rsidP="005728DD">
      <w:pPr>
        <w:pStyle w:val="TextoNormal"/>
      </w:pPr>
      <w:r>
        <w:lastRenderedPageBreak/>
        <w:t>10.3. Respecto de las quejas relacionadas con la utilización del idioma catalán, trae a colación la STC 74/1987, en la que se recoge que, conforme se establece en el art. 3.1 CE, todos los españoles tienen el deber de conocer el castellano, que es la lengua española oficial del Estado; y ese deber genera una presunción de conocimiento que puede ser desvirtuada cuando de manera verosímil se alega ignorancia o conocimiento insuficiente. Entiende que, en el presente caso, ha quedado acreditado en el proceso que el demandante conocía perfectamente el castellano, por lo que el alegato que formula por no habérsele permitido declarar en catalán con un sistema de traducción simultánea, no es más que una argucia para salvar sus responsabilidades penales.</w:t>
      </w:r>
    </w:p>
    <w:p w:rsidR="005728DD" w:rsidRDefault="005728DD" w:rsidP="005728DD">
      <w:pPr>
        <w:pStyle w:val="TextoNormal"/>
      </w:pPr>
    </w:p>
    <w:p w:rsidR="005728DD" w:rsidRDefault="005728DD" w:rsidP="005728DD">
      <w:pPr>
        <w:pStyle w:val="TextoNormal"/>
      </w:pPr>
      <w:r>
        <w:t>En relación con el alegato referido a los testigos a quienes se les impidió declarar en catalán, afirma que estos no acreditaron desconocer el castellano, de manera que el hecho de tener que expresarse en esta lengua no les supuso impedimento o discriminación alguna.</w:t>
      </w:r>
    </w:p>
    <w:p w:rsidR="005728DD" w:rsidRDefault="005728DD" w:rsidP="005728DD">
      <w:pPr>
        <w:pStyle w:val="TextoNormal"/>
      </w:pPr>
    </w:p>
    <w:p w:rsidR="005728DD" w:rsidRDefault="005728DD" w:rsidP="005728DD">
      <w:pPr>
        <w:pStyle w:val="TextoNormal"/>
      </w:pPr>
      <w:r>
        <w:t>10.4. En referencia a la vulneración del derecho a un juez imparcial, por un lado señala que de conformidad con la doctrina del Tribunal Europeo de Derechos Humanos , no bastan las meras sospechas de quien aduce la vulneración de la imparcialidad, si esos temores no resultan objetivamente justificados. A la vista de ello, apunta que si el recurrente no ha sido capaz “de hacer veraz sus temores de parcialidad como objetivamente justificados no puede pretender que el Tribunal Constitucional subsane esta insuficiencia relevante, que impide la estimación del motivo”.</w:t>
      </w:r>
    </w:p>
    <w:p w:rsidR="005728DD" w:rsidRDefault="005728DD" w:rsidP="005728DD">
      <w:pPr>
        <w:pStyle w:val="TextoNormal"/>
      </w:pPr>
    </w:p>
    <w:p w:rsidR="005728DD" w:rsidRDefault="005728DD" w:rsidP="005728DD">
      <w:pPr>
        <w:pStyle w:val="TextoNormal"/>
      </w:pPr>
      <w:r>
        <w:t>Tampoco el supuesto rol inquisitivo del presidente de la sala merece acogida, toda vez que la pregunta formulada por la presidencia al testigo Sr. Trapero está amparada legalmente por el art. 708 LECrim, amén de que se dio traslado a las defensas para que pudieran repreguntar, de manera que quedó amparado el derecho de defensa. Por tanto, no se ha justificado que ese supuesto rol inquisitivo haya vulnerado el derecho al juez imparcial.</w:t>
      </w:r>
    </w:p>
    <w:p w:rsidR="005728DD" w:rsidRDefault="005728DD" w:rsidP="005728DD">
      <w:pPr>
        <w:pStyle w:val="TextoNormal"/>
      </w:pPr>
    </w:p>
    <w:p w:rsidR="005728DD" w:rsidRDefault="005728DD" w:rsidP="005728DD">
      <w:pPr>
        <w:pStyle w:val="TextoNormal"/>
      </w:pPr>
      <w:r>
        <w:t>10.5. Tras sintetizar la queja del demandante sobre la lesión del principio de “igualdad de armas”, trae a colación la STC 33/2003, de 13 de febrero, para, a continuación, afirmar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el demandante no ha argumentado nada sobre esta relevante cuestión.</w:t>
      </w:r>
    </w:p>
    <w:p w:rsidR="005728DD" w:rsidRDefault="005728DD" w:rsidP="005728DD">
      <w:pPr>
        <w:pStyle w:val="TextoNormal"/>
      </w:pPr>
    </w:p>
    <w:p w:rsidR="005728DD" w:rsidRDefault="005728DD" w:rsidP="005728DD">
      <w:pPr>
        <w:pStyle w:val="TextoNormal"/>
      </w:pPr>
      <w:r>
        <w:t>10.6. En cuanto a los diferentes motivos en los que el demandante sustenta la lesión del derecho de defensa, argumenta del siguiente modo:</w:t>
      </w:r>
    </w:p>
    <w:p w:rsidR="005728DD" w:rsidRDefault="005728DD" w:rsidP="005728DD">
      <w:pPr>
        <w:pStyle w:val="TextoNormal"/>
      </w:pPr>
    </w:p>
    <w:p w:rsidR="005728DD" w:rsidRDefault="005728DD" w:rsidP="005728DD">
      <w:pPr>
        <w:pStyle w:val="TextoNormal"/>
      </w:pPr>
      <w:r>
        <w:t>a) Niega que la instrucción realmente se llevara a cabo en las diligencias previas núm. 118-2017 del Juzgado de Instrucción núm. 13 de Barcelona pues, como así se afirma por la sala, en la causa que ahora nos ocupa, solo se tuvieron en cuenta las pruebas practicadas en el juicio oral; de manera que, incluso, la aportación de actuaciones procedentes del juzgado indicado no sería causa de indefensión, al no haberse tenido en cuenta en la sentencia.</w:t>
      </w:r>
    </w:p>
    <w:p w:rsidR="005728DD" w:rsidRDefault="005728DD" w:rsidP="005728DD">
      <w:pPr>
        <w:pStyle w:val="TextoNormal"/>
      </w:pPr>
    </w:p>
    <w:p w:rsidR="005728DD" w:rsidRDefault="005728DD" w:rsidP="005728DD">
      <w:pPr>
        <w:pStyle w:val="TextoNormal"/>
      </w:pPr>
      <w:r>
        <w:t xml:space="preserve">b) Respecto de la falta de confrontación simultánea entre la prueba videográfica y lo declarado por los testigos, estima que esa circunstancia no ha vulnerado el derecho a la </w:t>
      </w:r>
      <w:r>
        <w:lastRenderedPageBreak/>
        <w:t>defensa, pues no se alcanza a comprender en qué aspecto podría haber mejorado la valoración de la prueba por parte de la sala, si se hubieran practicado ambas al unísono.</w:t>
      </w:r>
    </w:p>
    <w:p w:rsidR="005728DD" w:rsidRDefault="005728DD" w:rsidP="005728DD">
      <w:pPr>
        <w:pStyle w:val="TextoNormal"/>
      </w:pPr>
    </w:p>
    <w:p w:rsidR="005728DD" w:rsidRDefault="005728DD" w:rsidP="005728DD">
      <w:pPr>
        <w:pStyle w:val="TextoNormal"/>
      </w:pPr>
      <w:r>
        <w:t>c) Tampoco aprecia la vulneración del derecho, por la circunstancia de que algunas pruebas fueran denegadas. Y ello, porque se permitió “la razonable presentación de la causa y de sus pruebas por parte del condenado, con la admisión y práctica de buena práctica (</w:t>
      </w:r>
      <w:r w:rsidRPr="005728DD">
        <w:rPr>
          <w:i/>
        </w:rPr>
        <w:t>sic</w:t>
      </w:r>
      <w:r>
        <w:t>) de las pruebas propuestas por el mismo”.</w:t>
      </w:r>
    </w:p>
    <w:p w:rsidR="005728DD" w:rsidRDefault="005728DD" w:rsidP="005728DD">
      <w:pPr>
        <w:pStyle w:val="TextoNormal"/>
      </w:pPr>
    </w:p>
    <w:p w:rsidR="005728DD" w:rsidRDefault="005728DD" w:rsidP="005728DD">
      <w:pPr>
        <w:pStyle w:val="TextoNormal"/>
      </w:pPr>
      <w:r>
        <w:t>10.7. Sobre la vulneración del derecho a la presunción de inocencia que es objeto de denuncia, manifiesta no entender con claridad el motivo del recurso, puesto que la actividad llevada a cabo por el Gobierno de España nada tiene que ver con las lesiones de derechos fundamentales en que la sentencia pudiera haber incurrido. En suma, nada tiene que ver el Poder Ejecutivo con el Poder Judicial.</w:t>
      </w:r>
    </w:p>
    <w:p w:rsidR="005728DD" w:rsidRDefault="005728DD" w:rsidP="005728DD">
      <w:pPr>
        <w:pStyle w:val="TextoNormal"/>
      </w:pPr>
    </w:p>
    <w:p w:rsidR="005728DD" w:rsidRDefault="005728DD" w:rsidP="005728DD">
      <w:pPr>
        <w:pStyle w:val="TextoNormal"/>
      </w:pPr>
      <w:r>
        <w:t>10.8. Tampoco merece acogida la lesión del derecho a un proceso con todas las garantías, por la filtración de la sentencia antes de su culminación. Tras evocar el contenido de la STC 64/2001, concluye que, en el caso que ahora ocupa, no se desprende que las coincidencias entre lo publicado previamente y el sentido de la propia sentencia dictada posteriormente en la causa penal fueran consecuencia de filtraciones procedentes de miembros del Tribunal Supremo. Y en todo caso, de haberse producido la filtración, tampoco habría condicionado, desde el punto de vista de la imparcialidad subjetiva u objetiva, la deliberación que llevó a la sentencia condenatoria dictada, sin que elucubraciones o juicios de valor -sin base fáctica alguna- puedan desvirtuar estas conclusiones.</w:t>
      </w:r>
    </w:p>
    <w:p w:rsidR="005728DD" w:rsidRDefault="005728DD" w:rsidP="005728DD">
      <w:pPr>
        <w:pStyle w:val="TextoNormal"/>
      </w:pPr>
    </w:p>
    <w:p w:rsidR="005728DD" w:rsidRDefault="005728DD" w:rsidP="005728DD">
      <w:pPr>
        <w:pStyle w:val="TextoNormal"/>
      </w:pPr>
      <w:r>
        <w:t>10.9. Niega que se hubiera conculcado el principio acusatorio por la imposición de penas superiores a las solicitadas por la acusación particular. Tras resumir la queja expuesta en la demanda, afirma que el recurrente se convierte en “juez y parte” al pronunciarse categóricamente sobre si el tribunal debe aplicar la pena solicitada por una acusación u otra, lo que constituye una aberración jurídica. Teniendo en cuenta los escritos de las acusaciones, también el de la acusación popular, se constata que el demandante no ha sido condenado a unas penas superiores a las solicitadas respecto de él, hecho que el propio demandante reconoce, aunque pretenda que no se tenga en cuenta.</w:t>
      </w:r>
    </w:p>
    <w:p w:rsidR="005728DD" w:rsidRDefault="005728DD" w:rsidP="005728DD">
      <w:pPr>
        <w:pStyle w:val="TextoNormal"/>
      </w:pPr>
    </w:p>
    <w:p w:rsidR="005728DD" w:rsidRDefault="005728DD" w:rsidP="005728DD">
      <w:pPr>
        <w:pStyle w:val="TextoNormal"/>
      </w:pPr>
      <w:r>
        <w:t>10.10. En lo que concierne al derecho a la legalidad penal (art. 25.1 CE), alega lo siguiente:</w:t>
      </w:r>
    </w:p>
    <w:p w:rsidR="005728DD" w:rsidRDefault="005728DD" w:rsidP="005728DD">
      <w:pPr>
        <w:pStyle w:val="TextoNormal"/>
      </w:pPr>
    </w:p>
    <w:p w:rsidR="005728DD" w:rsidRDefault="005728DD" w:rsidP="005728DD">
      <w:pPr>
        <w:pStyle w:val="TextoNormal"/>
      </w:pPr>
      <w:r>
        <w:t xml:space="preserve">a) En cuanto a la inaplicación </w:t>
      </w:r>
      <w:r w:rsidRPr="005728DD">
        <w:rPr>
          <w:i/>
        </w:rPr>
        <w:t>ad hoc</w:t>
      </w:r>
      <w:r>
        <w:t xml:space="preserve"> del principio de accesoriedad limitada en la participación, reproduce los argumentos de la sentencia para justificar la condición de coautor del demandante. Por tanto, sostiene que su participación en el alzamiento sedicioso está perfectamente acreditada, no como partícipe accesorio sino como autor de los hechos.</w:t>
      </w:r>
    </w:p>
    <w:p w:rsidR="005728DD" w:rsidRDefault="005728DD" w:rsidP="005728DD">
      <w:pPr>
        <w:pStyle w:val="TextoNormal"/>
      </w:pPr>
    </w:p>
    <w:p w:rsidR="005728DD" w:rsidRDefault="005728DD" w:rsidP="005728DD">
      <w:pPr>
        <w:pStyle w:val="TextoNormal"/>
      </w:pPr>
      <w:r>
        <w:t xml:space="preserve">b) Según afirma, tampoco cabe apreciar la vulneración de los derechos fundamentales objeto de cita en la demanda, por la alegada falta de taxatividad del tipo penal de la sedición y por la subsunción de los hechos probados en la norma. A ese respecto, aduce que no es dable apreciar la denunciada imprevisibilidad, porque la conducta del recurrente fuera valorada como un delito de sedición. Tampoco lo es afirmar, conforme a los argumentos expuestos en la sentencia impugnada, que la subsunción realizada fuera ilógica o irrazonable; </w:t>
      </w:r>
      <w:r>
        <w:lastRenderedPageBreak/>
        <w:t>y añade que la conducta sancionada “estuvo trufada de comportamientos añadidos que elevaban la relevancia y efectos penales para el condenado, más allá de lo que supondría un mero ejercicio de los derechos de libertad de expresión y reunión que alega el condenado”.</w:t>
      </w:r>
    </w:p>
    <w:p w:rsidR="005728DD" w:rsidRDefault="005728DD" w:rsidP="005728DD">
      <w:pPr>
        <w:pStyle w:val="TextoNormal"/>
      </w:pPr>
    </w:p>
    <w:p w:rsidR="005728DD" w:rsidRDefault="005728DD" w:rsidP="005728DD">
      <w:pPr>
        <w:pStyle w:val="TextoNormal"/>
      </w:pPr>
      <w:r>
        <w:t xml:space="preserve">c) A su juicio, el órgano judicial no llevó a cabo una interpretación analógica </w:t>
      </w:r>
      <w:r w:rsidRPr="005728DD">
        <w:rPr>
          <w:i/>
        </w:rPr>
        <w:t>in malam partem</w:t>
      </w:r>
      <w:r>
        <w:t xml:space="preserve"> del delito de sedición. Reitera que no hubo imprevisibilidad al valorar los hechos atribuidos al recurrente, como un delito de sedición, de acuerdo a lo expresado en la sentencia.</w:t>
      </w:r>
    </w:p>
    <w:p w:rsidR="005728DD" w:rsidRDefault="005728DD" w:rsidP="005728DD">
      <w:pPr>
        <w:pStyle w:val="TextoNormal"/>
      </w:pPr>
    </w:p>
    <w:p w:rsidR="005728DD" w:rsidRDefault="005728DD" w:rsidP="005728DD">
      <w:pPr>
        <w:pStyle w:val="TextoNormal"/>
      </w:pPr>
      <w:r>
        <w:t>d) Finalmente, analiza el motivo relativo a la imposición de una pena desproporcionada, que conculca los derechos fundamentales que se mencionan en la demanda. Califica este motivo como un “cajón de sastre en el que se incorpora un poco de todo”. Tras resumir la queja, trae a colación la STC 136/1999, en la que se recoge la doctrina sobre proporcionalidad de las penas. Seguidamente, afirma que no cabe ignorar el orden público alterado que se pretendió preservar con la sentencia condenatoria; y la alteración de ese orden afectaba a la unidad política y territorial de la Nación española, por lo que una pena inferior a la impuesta no hubiera sido lo suficientemente desmotivadora para evitar que se reiteren las mismas conductas (señala que no puede obviarse que los condenados, aún hoy, mantienen públicamente que volverían a repetir los hechos delictivos). Añade, por error respecto de otros de los recursos de amparo con origen en la misma causa especial, que el hecho de que se trate de “miembros y dirigentes de partidos políticos que ocupaban cargos públicos representando al Gobierno de España en el territorio de Cataluña, agrava la respuesta penal que ha de darse, ya que lo contrario produciría un desvalor del tipo penal en este caso, y una vulneración del principio de igualdad de los españoles ante la ley (14 CE), al ofrecerse un castigo penal al mismo nivel al que tendría que se plantearía a particulares que hubieran cometido los mismos hechos —véase los casos del Sr. Cuixart y el Sr. Sànchez en la misma causa penal—”.</w:t>
      </w:r>
    </w:p>
    <w:p w:rsidR="005728DD" w:rsidRDefault="005728DD" w:rsidP="005728DD">
      <w:pPr>
        <w:pStyle w:val="TextoNormal"/>
      </w:pPr>
    </w:p>
    <w:p w:rsidR="005728DD" w:rsidRDefault="005728DD" w:rsidP="005728DD">
      <w:pPr>
        <w:pStyle w:val="TextoNormal"/>
      </w:pPr>
      <w:r w:rsidRPr="005728DD">
        <w:rPr>
          <w:rStyle w:val="NumeroAFNegritaCaracter"/>
        </w:rPr>
        <w:t>11</w:t>
      </w:r>
      <w:r>
        <w:t>. El 12 de noviembre de 2020 tuvo entrada en este tribunal el escrito de alegaciones formulado por el Ministerio Fiscal.</w:t>
      </w:r>
    </w:p>
    <w:p w:rsidR="005728DD" w:rsidRDefault="005728DD" w:rsidP="005728DD">
      <w:pPr>
        <w:pStyle w:val="TextoNormal"/>
      </w:pPr>
    </w:p>
    <w:p w:rsidR="005728DD" w:rsidRDefault="005728DD" w:rsidP="005728DD">
      <w:pPr>
        <w:pStyle w:val="TextoNormal"/>
      </w:pPr>
      <w:r>
        <w:t>Después de describir los antecedentes fácticos y las quejas aducidas por el recurrente, comienza el fiscal ante el Tribunal Constitucional anunciando que su escrito reordena el examen de los motivos de amparo, empezando con el análisis de los relativos al principio de legalidad penal (noveno, décimo, undécimo y duodécimo), para abordar después el fundamento de las denuncias de vulneración de los derechos de naturaleza adjetiva (motivos primero a octavo). A continuación se sintetizan sus alegaciones.</w:t>
      </w:r>
    </w:p>
    <w:p w:rsidR="005728DD" w:rsidRDefault="005728DD" w:rsidP="005728DD">
      <w:pPr>
        <w:pStyle w:val="TextoNormal"/>
      </w:pPr>
    </w:p>
    <w:p w:rsidR="005728DD" w:rsidRDefault="005728DD" w:rsidP="005728DD">
      <w:pPr>
        <w:pStyle w:val="TextoNormal"/>
      </w:pPr>
      <w:r>
        <w:t>11.1. Principio de legalidad penal. Bajo esta rúbrica examina el ministerio público los cuatro últimos motivos de la demanda que hemos identificado bajo los epígrafes 3.9 a 3.12 por el orden siguiente:</w:t>
      </w:r>
    </w:p>
    <w:p w:rsidR="005728DD" w:rsidRDefault="005728DD" w:rsidP="005728DD">
      <w:pPr>
        <w:pStyle w:val="TextoNormal"/>
      </w:pPr>
    </w:p>
    <w:p w:rsidR="005728DD" w:rsidRDefault="005728DD" w:rsidP="005728DD">
      <w:pPr>
        <w:pStyle w:val="TextoNormal"/>
      </w:pPr>
      <w:r>
        <w:t xml:space="preserve">a) Proyección específica del mandato de taxatividad sobre el tipo penal del art. 544 CP. Sobre este décimo motivo de la demanda (3.10), tras exponer la respuesta dada al mismo por parte de la sala sentenciadora en el auto resolutorio del incidente de nulidad de actuaciones, el fiscal se refiere a la garantía material del principio de legalidad penal siguiendo la STC 42/1987, de 7 de abril, FJ 2. De dicha garantía dice que es de alcance absoluto y refleja la especial trascendencia del principio de seguridad jurídica (art. 9.3 CE) en el ámbito </w:t>
      </w:r>
      <w:r>
        <w:lastRenderedPageBreak/>
        <w:t xml:space="preserve">penal limitativo de la libertad individual, comportando el mandato de taxatividad o certeza, que se traduce en la imperiosa exigencia de predeterminación normativa de las conductas ilícitas y de las sanciones correspondientes mediante una tipificación previa lo más precisa y taxativa posible en la descripción que incorpora para que, de este modo, “los ciudadanos puedan conocer de antemano el ámbito de lo prohibido y prever, así, las consecuencias de sus acciones” (por todas, SSTC 101/2012, de 8 de mayo; y 283/2006, de 9 de octubre, FJ 5). Según la doctrina constitucional,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[SSTC 145/2013, de 11 de julio, FJ 4; 146/2017, de 14 de diciembre, FJ 3 a); 9/2018, de 5 de febrero, FJ 6; 36/2018, de 23 de abril, FJ 2 a), y 37/2018, de 23 de abril]. Sin embargo, la exigencia de </w:t>
      </w:r>
      <w:r w:rsidRPr="005728DD">
        <w:rPr>
          <w:i/>
        </w:rPr>
        <w:t>lex certa</w:t>
      </w:r>
      <w:r>
        <w:t xml:space="preserve"> no se opone al empleo de los llamados conceptos jurídicos indeterminados [por todas, SSTC 146/2017, de 14 de diciembre, FJ 3 a); 36/2018, de 23 de abril, FJ 2 a), y 37/2018, de 23 de abril, FJ 3 a)]; de elementos normativos (STC 62/1982), y es conciliable con las llamadas leyes penales en blanco (STC 122/1987), siempre que se den una serie de requisitos expresados en la STC 127/1990.</w:t>
      </w:r>
    </w:p>
    <w:p w:rsidR="005728DD" w:rsidRDefault="005728DD" w:rsidP="005728DD">
      <w:pPr>
        <w:pStyle w:val="TextoNormal"/>
      </w:pPr>
    </w:p>
    <w:p w:rsidR="005728DD" w:rsidRDefault="005728DD" w:rsidP="005728DD">
      <w:pPr>
        <w:pStyle w:val="TextoNormal"/>
      </w:pPr>
      <w:r>
        <w:t>Señala seguidamente el fiscal que, de atender al planteamiento efectuado por la parte recurrente, se suscitaría la necesidad de examinar si la norma legal aplicada resulta inaceptable desde la perspectiva del derecho a la legalidad penal en su garantía material (art. 25.1 CE), lo que conllevaría que el tribunal acudiera al mecanismo de la cuestión interna de inconstitucionalidad del precepto por la vía del art. 55.2 LOTC.</w:t>
      </w:r>
    </w:p>
    <w:p w:rsidR="005728DD" w:rsidRDefault="005728DD" w:rsidP="005728DD">
      <w:pPr>
        <w:pStyle w:val="TextoNormal"/>
      </w:pPr>
    </w:p>
    <w:p w:rsidR="005728DD" w:rsidRDefault="005728DD" w:rsidP="005728DD">
      <w:pPr>
        <w:pStyle w:val="TextoNormal"/>
      </w:pPr>
      <w:r>
        <w:t xml:space="preserve">Sin embargo, a su juicio, las razones dadas por el recurrente son insuficientes y no pueden ser acogidas. “Del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no es posible decir que contenga un tipo delictivo descrito en forma tan abierta que su redacción propicie o facilite un arbitrio judicial libre y absoluto en su aplicación o inaplicación, pues su núcleo esencial está constituido por elementos y factores que se encuentran suficientemente definidos para precisar su concreción, aunque —como sucede en muchos otros preceptos penales— contenga elementos y conceptos que requieran de interpretación judicial”. Las nociones empleadas por el precepto no dejan en absoluta incertidumbre la conducta tipificada, ni privan de todo criterio seguro al juzgador penal, ni eliminan la inexcusable seguridad y previsibilidad. Ello sin perjuicio de que, “como en tantos otros casos, como consecuencia natural de la vaguedad del lenguaje, el carácter genérico de las normas y su inserción en un sistema normativo relativamente complejo, jueces y tribunales dispongan de un margen de apreciación según los propios términos del precepto y, por ende, hayan de realizar una imprescindible labor de interpretación para fijar sus contornos, lo que no es contrario sino compatible con el principio de legalidad del art. 25.1 CE”. Reproduce, acto seguido, abundante doctrina del Tribunal Europeo de Derechos Humanos (STEDH de 21 de octubre de 2013, </w:t>
      </w:r>
      <w:r w:rsidRPr="005728DD">
        <w:rPr>
          <w:i/>
        </w:rPr>
        <w:t>Del Río Prada c. España</w:t>
      </w:r>
      <w:r>
        <w:t>, § 92 y 93) y de este Tribunal Constitucional (sentencias antes citadas).</w:t>
      </w:r>
    </w:p>
    <w:p w:rsidR="005728DD" w:rsidRDefault="005728DD" w:rsidP="005728DD">
      <w:pPr>
        <w:pStyle w:val="TextoNormal"/>
      </w:pPr>
    </w:p>
    <w:p w:rsidR="005728DD" w:rsidRDefault="005728DD" w:rsidP="005728DD">
      <w:pPr>
        <w:pStyle w:val="TextoNormal"/>
      </w:pPr>
      <w:r>
        <w:lastRenderedPageBreak/>
        <w:t>Aunque el art. 544 CP no contemple una definición textual o explícita y exhaustiva de todas las conductas que abarca, según el fiscal, un intérprete puede llegar sin mayor esfuerzo a delimitar las conductas incursas en la esfera de prohibición del precepto a partir de su tenor literal y aplicando las pautas metodológicas y axiológicas procedentes y compatibles con las exigencias constitucionales, sin sorprender la capacidad de previsibilidad de los destinatarios de la norma. Esto precisamente es lo que habría hecho el Tribunal Supremo en su extensa motivación para incardinar las conductas apreciadas a partir de los hechos probados en el tipo penal cuestionado, valorando de modo detallado las circunstancias de estos y sus responsables, y ponderando minuciosamente la incidencia y límites de los derechos fundamentales que se invocan (tal y como identifica la sentencia recurrida al calificar los hechos como delito de sedición en el apartado 4 del fundamento de Derecho B, en el que se explicita el juicio de tipicidad; págs. 275 a 285; y en el fundamento de Derecho C, dedicado al juicio de autoría; págs. 297 y ss.).</w:t>
      </w:r>
    </w:p>
    <w:p w:rsidR="005728DD" w:rsidRDefault="005728DD" w:rsidP="005728DD">
      <w:pPr>
        <w:pStyle w:val="TextoNormal"/>
      </w:pPr>
    </w:p>
    <w:p w:rsidR="005728DD" w:rsidRDefault="005728DD" w:rsidP="005728DD">
      <w:pPr>
        <w:pStyle w:val="TextoNormal"/>
      </w:pPr>
      <w:r>
        <w:t>Descartado el déficit de la ley desde la perspectiva de las exigencias del art. 25.1 CE, prosigue el fiscal señalando que aunque, a efectos puramente dialécticos, se admitiese algún resquicio en contra del mandato de taxatividad, “debe tenerse en cuenta que jueces y tribunales podrían colmarlo, como en otros casos ha expresado la doctrina constitucional (por todas, STC 151/1997, de 29 de septiembre, FJ 3), haciendo expresas las razones que determinan la antijuridicidad material del comportamiento, su tipicidad y cognoscibilidad, y los demás elementos que exige la licitud constitucional del castigo”.</w:t>
      </w:r>
    </w:p>
    <w:p w:rsidR="005728DD" w:rsidRDefault="005728DD" w:rsidP="005728DD">
      <w:pPr>
        <w:pStyle w:val="TextoNormal"/>
      </w:pPr>
    </w:p>
    <w:p w:rsidR="005728DD" w:rsidRDefault="005728DD" w:rsidP="005728DD">
      <w:pPr>
        <w:pStyle w:val="TextoNormal"/>
      </w:pPr>
      <w:r>
        <w:t>Una vez anunciado que el aspecto relativo a la correcta subsunción se abordará después, “examinando si se ha producido un supuesto de auténtica ‘creación judicial de tipo’”, se concluye este apartado con la indicación de que, descartado el denunciado déficit de taxatividad en la norma penal, decae la argumentación del recurrente que liga a tal presupuesto la injustificada restricción de los derechos de reunión pacífica, libertad ideológica y de expresión.</w:t>
      </w:r>
    </w:p>
    <w:p w:rsidR="005728DD" w:rsidRDefault="005728DD" w:rsidP="005728DD">
      <w:pPr>
        <w:pStyle w:val="TextoNormal"/>
      </w:pPr>
    </w:p>
    <w:p w:rsidR="005728DD" w:rsidRDefault="005728DD" w:rsidP="005728DD">
      <w:pPr>
        <w:pStyle w:val="TextoNormal"/>
      </w:pPr>
      <w:r>
        <w:t>b) Subsunción judicial y verificación de fundamento y razonabilidad. Descarte de la analogía prohibida.</w:t>
      </w:r>
    </w:p>
    <w:p w:rsidR="005728DD" w:rsidRDefault="005728DD" w:rsidP="005728DD">
      <w:pPr>
        <w:pStyle w:val="TextoNormal"/>
      </w:pPr>
    </w:p>
    <w:p w:rsidR="005728DD" w:rsidRDefault="005728DD" w:rsidP="005728DD">
      <w:pPr>
        <w:pStyle w:val="TextoNormal"/>
      </w:pPr>
      <w:r>
        <w:t xml:space="preserve">Señala el Ministerio Fiscal que el motivo undécimo de la demanda (3.11) versa sobre el respeto a la garantía material del derecho a la legalidad penal (art. 25.1 CE) en el plano aplicativo, que atañe al órgano judicial que efectuó la subsunción del comportamiento del recurrente en el tipo penal del art. 544 CP, materia sobre la que cita y trascribe multitud de sentencias constitucionales. Según la doctrina constitucional, el derecho a la legalidad penal “se quiebra cuando la conducta enjuiciada, la ya delimitada como probada, es subsumida de un modo irrazonable en el tipo que resulta aplicado (por todas, SSTC 57/2010, de 4 de octubre, FJ 3; 153/2011, de 17 de octubre, FJ 8; 196/2013, de 2 de diciembre, FJ 5; 146/2015, de 25 de junio, FJ 2, y 150/2015, de 6 de julio, FJ 2). En el examen de la razonabilidad de la subsunción de los hechos probados en la norma penal “el primero de los criterios a utilizar es la compatibilidad de dicha subsunción con el tenor literal de la norma y con la consiguiente prohibición de la analogía </w:t>
      </w:r>
      <w:r w:rsidRPr="005728DD">
        <w:rPr>
          <w:i/>
        </w:rPr>
        <w:t>in malam partem</w:t>
      </w:r>
      <w:r>
        <w:t xml:space="preserve">”, criterio inicial al que “se añade un doble parámetro de razonabilidad: metodológico, dirigido a comprobar que la exégesis de la norma y subsunción en ella de las conductas contempladas no incurre en quiebras lógicas y resulta acorde con modelos de argumentación aceptados por la comunidad jurídica; y axiológico, consistente en verificar la correspondencia de la aplicación del precepto </w:t>
      </w:r>
      <w:r>
        <w:lastRenderedPageBreak/>
        <w:t>con las pautas valorativas que informan el ordenamiento constitucional (SSTC 57/2010, de 4 de octubre, FJ 3; 153/2011, de 17 de octubre, FJ 8; 45/2013, de 25 de febrero, FJ 2; 193/2013, de 2 de diciembre, FJ 5; 185/2014, de 6 de noviembre, FJ 5, y 2/2015, de 19 de enero, FJ 8).</w:t>
      </w:r>
    </w:p>
    <w:p w:rsidR="005728DD" w:rsidRDefault="005728DD" w:rsidP="005728DD">
      <w:pPr>
        <w:pStyle w:val="TextoNormal"/>
      </w:pPr>
    </w:p>
    <w:p w:rsidR="005728DD" w:rsidRDefault="005728DD" w:rsidP="005728DD">
      <w:pPr>
        <w:pStyle w:val="TextoNormal"/>
      </w:pPr>
      <w:r>
        <w:t xml:space="preserve">Antes de acometer la tarea de proyectar la doctrina constitucional sobre el supuesto enjuiciado, destaca el fiscal que el carácter nuclear de esta queja y el hecho de que el reproche se dirija contra resoluciones del Tribunal Supremo, órgano judicial que encarna la más alta jurisdicción en el orden penal </w:t>
      </w:r>
      <w:r w:rsidRPr="005728DD">
        <w:rPr>
          <w:i/>
        </w:rPr>
        <w:t>ex</w:t>
      </w:r>
      <w:r>
        <w:t xml:space="preserve"> art. 123 CE y al que está conferida la función de interpretar la ley con el valor complementario que a la jurisprudencia atribuye el art. 1.6 del Código civil, demandan un detalle y rigor especial en el análisis de este motivo de amparo.</w:t>
      </w:r>
    </w:p>
    <w:p w:rsidR="005728DD" w:rsidRDefault="005728DD" w:rsidP="005728DD">
      <w:pPr>
        <w:pStyle w:val="TextoNormal"/>
      </w:pPr>
    </w:p>
    <w:p w:rsidR="005728DD" w:rsidRDefault="005728DD" w:rsidP="005728DD">
      <w:pPr>
        <w:pStyle w:val="TextoNormal"/>
      </w:pPr>
      <w:r>
        <w:t>A continuación, tras recordar el contenido de los tres criterios —gramatical, metodológico y axiológico— sobre los que se proyecta el examen de la argumentación empleada por la sentencia recurrida al efectuar el juicio de subsunción, trascribe de la misma la parte de la fundamentación jurídica comprensiva de dicho juicio, que se contiene en el fundamento de Derecho B), dedicado al juicio de tipicidad, apartado 4 (páginas 275 a 285).</w:t>
      </w:r>
    </w:p>
    <w:p w:rsidR="005728DD" w:rsidRDefault="005728DD" w:rsidP="005728DD">
      <w:pPr>
        <w:pStyle w:val="TextoNormal"/>
      </w:pPr>
    </w:p>
    <w:p w:rsidR="005728DD" w:rsidRDefault="005728DD" w:rsidP="005728DD">
      <w:pPr>
        <w:pStyle w:val="TextoNormal"/>
      </w:pPr>
      <w:r>
        <w:t>A su juicio, la subsunción realizada por el Tribunal Supremo ostenta fundamento razonable y no resulta imprevisible ni contraria a la orientación material de la norma.</w:t>
      </w:r>
    </w:p>
    <w:p w:rsidR="005728DD" w:rsidRDefault="005728DD" w:rsidP="005728DD">
      <w:pPr>
        <w:pStyle w:val="TextoNormal"/>
      </w:pPr>
    </w:p>
    <w:p w:rsidR="005728DD" w:rsidRDefault="005728DD" w:rsidP="005728DD">
      <w:pPr>
        <w:pStyle w:val="TextoNormal"/>
      </w:pPr>
      <w:r>
        <w:t xml:space="preserve">(i) A partir de los hechos probados, la sentencia excluye la calificación como delito de rebelión, y, tras reproducir el tenor literal de los arts. 544 y 545 CP, pasa a analizar la estructura típica del delito de sedición y sus elementos diferenciales; primero, frente al delito de rebelión, poniendo el acento en los fines sediciosos como limitados al afán de impedimento u obstrucción de la legítima voluntad legislativa, gubernativa o jurisdiccional —la aplicación de leyes, el ejercicio de funciones por autoridad, corporación oficial o funcionario público, o el cumplimiento de sus acuerdos, resoluciones administrativas o judiciales—; y, segundo, “respecto de otras figuras típicas de menor relevancia lesiva, como los delitos alojados en el capítulo II del mismo título vigésimo segundo, desentrañando las diferencias entre el genérico concepto de orden público y el de paz pública, que permitiría construir un bien jurídico identificable con el interés de la sociedad en la aceptación del marco constitucional, de las leyes y de las decisiones de las autoridades legítimas, como presupuesto para el ejercicio y disfrute de los derechos fundamentales; y resaltando el criterio específico representado por la estructura típica del comportamiento penado, que implica un </w:t>
      </w:r>
      <w:r w:rsidRPr="005728DD">
        <w:rPr>
          <w:i/>
        </w:rPr>
        <w:t>aliud</w:t>
      </w:r>
      <w:r>
        <w:t xml:space="preserve"> y no meramente un </w:t>
      </w:r>
      <w:r w:rsidRPr="005728DD">
        <w:rPr>
          <w:i/>
        </w:rPr>
        <w:t>plus</w:t>
      </w:r>
      <w:r>
        <w:t xml:space="preserve"> o un </w:t>
      </w:r>
      <w:r w:rsidRPr="005728DD">
        <w:rPr>
          <w:i/>
        </w:rPr>
        <w:t>minus</w:t>
      </w:r>
      <w:r>
        <w:t xml:space="preserve"> respecto de los atentados, los meros desórdenes o la desobediencia clásica, subraya la necesidad de que el tumulto ponga en cuestión el funcionamiento del Estado democrático de derecho”.</w:t>
      </w:r>
    </w:p>
    <w:p w:rsidR="005728DD" w:rsidRDefault="005728DD" w:rsidP="005728DD">
      <w:pPr>
        <w:pStyle w:val="TextoNormal"/>
      </w:pPr>
    </w:p>
    <w:p w:rsidR="005728DD" w:rsidRDefault="005728DD" w:rsidP="005728DD">
      <w:pPr>
        <w:pStyle w:val="TextoNormal"/>
      </w:pPr>
      <w:r>
        <w:t xml:space="preserve">El Tribunal Supremo parte de que la sedición se caracteriza por ser cometida por la sucesión o acumulación de varios actos y exige un concierto de voluntades para el logro del fin compartido. Precisa que la mera reunión de una colectividad de sujetos no sería, sin más, delictiva, de manera que el delito surge cuando, además de ser tumultuaria y pública, acude, como medios comisivos a actos de “fuerza” o de actuación “fuera de las vías legales”, para dirigirse con potencial funcionalidad a lograr que las leyes no se cumplan o que se obstruya la efectividad de las órdenes o resoluciones jurisdiccionales o administrativas. Se exige como medio comisivo el alzamiento público y tumultuario, pero se subraya que este no se caracteriza como “violento”. Tomado el precedente de la sentencia del Tribunal Supremo </w:t>
      </w:r>
      <w:r>
        <w:lastRenderedPageBreak/>
        <w:t>de 10 de octubre de 1980, que calificó el delito entonces vigente como “de actividad” o del “resultado cortado”, entiende que se consuma con el mero alzamiento, sin necesidad de logro de los fines propuestos, y equipara la “fuerza” al empleo de dos medios comisivos de forma alternativa: modos violentos y modos “fuera de las vías legales”, expresión esta última identificada con el empleo de un modo ejecutivo ilícito, ilegitimo o ilegal y no a través de los recursos o procedimientos de reclamación, protesta, disenso o de disconformidad que la ley permita, arbitre o prescriba. Se abona a la posición doctrinal que identifica la expresión “tumultuario” con la significación de “abierta hostilidad, y adiciona un contenido de hostilidad y violencia que no tiene por qué ser física ni entrañar el uso de la fuerza, como expresa la alternativa modal entre esta o ‘fuera de las vías legales’, pero que ha de vivificarse necesariamente en actitudes intimidatorias, amedrentadoras, injuriosas, etc.”. En cuanto a su consumación, la sentencia recurrida señala que “el impedimento no ha de ser logrado efectivamente por los autores (lo que pertenecería a la fase de agotamiento) ni la finalidad ha de ser pretendida por todos los autores de manera absoluta, bastando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y ello porque “esa pretensión disuasoria implica en sí misma una voluntad de impedir definitivamente, siquiera aplazada en el tiempo”.</w:t>
      </w:r>
    </w:p>
    <w:p w:rsidR="005728DD" w:rsidRDefault="005728DD" w:rsidP="005728DD">
      <w:pPr>
        <w:pStyle w:val="TextoNormal"/>
      </w:pPr>
    </w:p>
    <w:p w:rsidR="005728DD" w:rsidRDefault="005728DD" w:rsidP="005728DD">
      <w:pPr>
        <w:pStyle w:val="TextoNormal"/>
      </w:pPr>
      <w:r>
        <w:t xml:space="preserve">(ii) Tras delimitar los contornos típicos del delito de sedición, la sentencia aborda el análisis de los hechos acontecidos los días 20 de septiembre y 1 de octubre de 2017, y explica detalladamente las razones que llevan a afirmar que tales hechos satisfacen plenamente los elementos objetivos y subjetivos previamente identificados con la necesaria ofensa y lesión del bien jurídico protegido, “una vez que en ambos casos se aprecian actuaciones grupales compactadas y aglomeradas de innumerables ciudadanos, así como el empleo de la fuerza suficiente o vías no legales incardinables en los comportamientos típicos de alzamiento público y tumultuario ejecutados con la finalidad de impedir o neutralizar con abierta hostilidad el normal cumplimiento y ejecución de órdenes emitidas por autoridades judiciales y del Tribunal Constitucional”. Las consideraciones plasmadas en los apartados 4.5 y 4.6 del apartado dedicado al juicio de tipicidad especifican con detalle las circunstancias que descartan que lo sucedido se tratase de una mera manifestación ciudadana de 40000 personas, en el caso de los hechos del día 20 de septiembre, o de una movilización ciudadana con el exclusivo propósito de votar, respecto de lo sucedido el 1 de octubre. En ambos supuestos se trataba de demostrar a toda la sociedad, por parte del aquí recurrente, entre otros, que “los jueces y magistrados, el Tribunal Constitucional y las autoridades de los poderes públicos del Estado habían perdido la capacidad de ejecutar sus resoluciones en Cataluña, provocando que los agentes policiales encargados de dicha ejecución llegasen a claudicar y desistir de hacer cumplir las correspondientes órdenes judiciales ante la constatada actitud de hostilidad, rebeldía y oposición a su ejecución por parte de conglomerados de personas en clara superioridad numérica”. El fiscal cita, como ejemplos ilustrativos de lo anterior, algunas afirmaciones contenidas en la sentencia como: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“levantamiento multitudinario, generalizado y proyectado de forma estratégica”; y “la autoridad del poder judicial quedó en suspenso sustituida por la propia voluntad —el </w:t>
      </w:r>
      <w:r>
        <w:lastRenderedPageBreak/>
        <w:t>referéndum se ha de celebrar— de los convocantes y de quienes secundaban la convocatoria, voluntad impuesta por la fuerza”.</w:t>
      </w:r>
    </w:p>
    <w:p w:rsidR="005728DD" w:rsidRDefault="005728DD" w:rsidP="005728DD">
      <w:pPr>
        <w:pStyle w:val="TextoNormal"/>
      </w:pPr>
    </w:p>
    <w:p w:rsidR="005728DD" w:rsidRDefault="005728DD" w:rsidP="005728DD">
      <w:pPr>
        <w:pStyle w:val="TextoNormal"/>
      </w:pPr>
      <w:r>
        <w:t>(iii) El pretendido efecto exoneratorio derivado de la derogación del delito de convocatoria de referéndum ilegal es analizado dentro del fundamento de Derecho A), punto 17.2 (págs. 223 a 225) de la fundamentación jurídica de la sentencia, justificando por qué lo acontecido y enjuiciado en este caso va más allá de lo que entrañaba la base objetiva y subjetiva del tipo derogado.</w:t>
      </w:r>
    </w:p>
    <w:p w:rsidR="005728DD" w:rsidRDefault="005728DD" w:rsidP="005728DD">
      <w:pPr>
        <w:pStyle w:val="TextoNormal"/>
      </w:pPr>
    </w:p>
    <w:p w:rsidR="005728DD" w:rsidRDefault="005728DD" w:rsidP="005728DD">
      <w:pPr>
        <w:pStyle w:val="TextoNormal"/>
      </w:pPr>
      <w:r>
        <w:t xml:space="preserve">A la vista de todo ello —concluye el fiscal ante el Tribunal Constitucional—, la subsunción efectuada satisface la triple exigencia de respeto por parte del intérprete o aplicador de la norma sancionadora a la semántica de los términos empleados en la proposición normativa, a las reglas compartidas de interpretación aceptadas por la comunidad jurídica (operadores jurídicos y estudiosos del Derecho) y a la axiología constitucional (los valores y principios constitucionales). Insiste en que la sentencia impugnada ha llevado a cabo “una interpretación posible que entra en los términos de la ley, sin haber caído en apreciaciones que impliquen una ruptura de su sujeción a la ley, contraria al imperio de la ley, y que, por ello, resultan prohibidas. Ni hay ampliación, pues no se ha ido más allá del significado literal posible de los términos legales, ni se ha incurrido en un exceso respecto de la más amplia de sus acepciones posibles, ni concurre extensión alguna de la norma a supuestos que la ley no contempla, de manera que no se ha caído en una interpretación de la norma (analogía) </w:t>
      </w:r>
      <w:r w:rsidRPr="005728DD">
        <w:rPr>
          <w:i/>
        </w:rPr>
        <w:t>in malam partem</w:t>
      </w:r>
      <w:r>
        <w:t>. En segundo lugar, los argumentos y razonamientos empleados resultan razonables, coherentes y no extravagantes, ajustándose a criterios interpretativos lógicos, sistemáticos y teleológicos. Finalmente, en el plano axiológico, la actuación del Tribunal Supremo resulta intachable al haber considerado las alegaciones de la parte recurrente sobre el derecho de reunión y las libertades personales, de expresión e ideológica en el capítulo dedicado a la vulneración de derechos fundamentales (fundamento de Derecho A, subapartado 17.2); y, “tras ponderar las invocaciones efectuadas, ha razonado y decidido su descarte con el valor de neutralizar la antijuridicidad del comportamiento del recurrente, justificando más que suficientemente el desborde y trasgresión del ejercicio legítimo de tales derechos” en atención a las circunstancias concurrentes, “con lo que la inexistencia del efecto desaliento ha quedado constatada”.</w:t>
      </w:r>
    </w:p>
    <w:p w:rsidR="005728DD" w:rsidRDefault="005728DD" w:rsidP="005728DD">
      <w:pPr>
        <w:pStyle w:val="TextoNormal"/>
      </w:pPr>
    </w:p>
    <w:p w:rsidR="005728DD" w:rsidRDefault="005728DD" w:rsidP="005728DD">
      <w:pPr>
        <w:pStyle w:val="TextoNormal"/>
      </w:pPr>
      <w:r>
        <w:t xml:space="preserve">c) Derecho fundamental a la legalidad: abandono </w:t>
      </w:r>
      <w:r w:rsidRPr="005728DD">
        <w:rPr>
          <w:i/>
        </w:rPr>
        <w:t>ad hoc</w:t>
      </w:r>
      <w:r>
        <w:t xml:space="preserve"> de criterio jurisprudencial e irretroactividad de jurisprudencia desfavorable.</w:t>
      </w:r>
    </w:p>
    <w:p w:rsidR="005728DD" w:rsidRDefault="005728DD" w:rsidP="005728DD">
      <w:pPr>
        <w:pStyle w:val="TextoNormal"/>
      </w:pPr>
    </w:p>
    <w:p w:rsidR="005728DD" w:rsidRDefault="005728DD" w:rsidP="005728DD">
      <w:pPr>
        <w:pStyle w:val="TextoNormal"/>
      </w:pPr>
      <w:r>
        <w:t>Según el ministerio público, la queja, —que sostiene el abandono por la sentencia recurrida del principio acogido por la jurisprudencia de que una persona solo puede responder como partícipe en un delito ajeno si el hecho cometido por el autor directo o ejecutor material tiene la consideración de antijurídico— toma un punto de partida irreal: que el demandante de amparo es un partícipe en un hecho ajeno, cuando, en realidad, ha sido condenado como coautor del delito de sedición, actuando en concierto con los demás acusados como conductor de los episodios acecidos los días 20 de septiembre y 1 de octubre de 2017.</w:t>
      </w:r>
    </w:p>
    <w:p w:rsidR="005728DD" w:rsidRDefault="005728DD" w:rsidP="005728DD">
      <w:pPr>
        <w:pStyle w:val="TextoNormal"/>
      </w:pPr>
    </w:p>
    <w:p w:rsidR="005728DD" w:rsidRDefault="005728DD" w:rsidP="005728DD">
      <w:pPr>
        <w:pStyle w:val="TextoNormal"/>
      </w:pPr>
      <w:r>
        <w:t xml:space="preserve">Así se desprende claramente del juicio de autoría que aborda la sentencia sobre la intervención del recurrente en los hechos a lo largo de las págs. 373 a 384 (subapartado 1.8 del fundamento de Derecho C). Para justificar lo anterior se trascriben en las alegaciones del </w:t>
      </w:r>
      <w:r>
        <w:lastRenderedPageBreak/>
        <w:t>Ministerio Fiscal algunos fragmentos del citado subapartado, que se refuerzan con otros de la fundamentación jurídica y del fallo.</w:t>
      </w:r>
    </w:p>
    <w:p w:rsidR="005728DD" w:rsidRDefault="005728DD" w:rsidP="005728DD">
      <w:pPr>
        <w:pStyle w:val="TextoNormal"/>
      </w:pPr>
    </w:p>
    <w:p w:rsidR="005728DD" w:rsidRDefault="005728DD" w:rsidP="005728DD">
      <w:pPr>
        <w:pStyle w:val="TextoNormal"/>
      </w:pPr>
      <w:r>
        <w:t>Por lo demás, a juicio del fiscal, excede de la jurisdicción del Tribunal Constitucional revisar la calificación de la coautoría, apreciación del órgano judicial que pertenece al ámbito de la legalidad ordinaria en la que el Tribunal Supremo resulta ser el máximo intérprete.</w:t>
      </w:r>
    </w:p>
    <w:p w:rsidR="005728DD" w:rsidRDefault="005728DD" w:rsidP="005728DD">
      <w:pPr>
        <w:pStyle w:val="TextoNormal"/>
      </w:pPr>
    </w:p>
    <w:p w:rsidR="005728DD" w:rsidRDefault="005728DD" w:rsidP="005728DD">
      <w:pPr>
        <w:pStyle w:val="TextoNormal"/>
      </w:pPr>
      <w:r>
        <w:t xml:space="preserve">Finalmente, además de que la premisa de la que arranca la queja resulta inexistente, considera el fiscal que “constituye un desajuste notable centrar el argumentario del demandante en la infracción del principio de legalidad por aplicación de la doctrina del Tribunal Europeo de Derechos Humanos  expresada en la sentencia de 21 de octubre de 2013” (asunto </w:t>
      </w:r>
      <w:r w:rsidRPr="005728DD">
        <w:rPr>
          <w:i/>
        </w:rPr>
        <w:t>Del Río Prada c. España</w:t>
      </w:r>
      <w:r>
        <w:t xml:space="preserve">). Trae a colación la doctrina constitucional según la cual “la prohibición de retroactividad de la ley penal desfavorable consagrada en el art 25.1 CE tiene como presupuesto fáctico la aplicación retroactiva de una norma penal a hechos cometidos previamente a su entrada en vigor” (por todas, SSTC 21/1993, de l8 de enero, FJ 4; 43/1997, de 10 de marzo, FJ 5; 20/2003, de 20 de febrero, FJ 4, y 116/2007, de 21 de mayo, FJ 9), mientras que “los cambios de criterio jurisprudencial y su conformidad con la Constitución han de ser analizados desde otras perspectivas” (por todas, SSTC 69/2012, de 29 de marzo, FJ 4, y 114/2012, de 24 de mayo, FJ 3,), entre las que suelen destacarse la del principio de igualdad en la aplicación de la ley (art. 14 CE) y la de la tutela judicial efectiva (art. 24. 1 CE) en su vertiente del derecho a la intangibilidad de resoluciones judiciales firmes y su subespecie de prohibición de resoluciones judiciales contradictorias sobre unos mismos hechos. Para la doctrina constitucional [ATC 155/2016, de 20 de septiembre, FJ 4, (ii)] una cosa es que existan diversos criterios interpretativos entre sentencias “disparidad que puede ser evaluada [...] desde el punto de vista del derecho a la igualdad en la aplicación de la ley”, y “otra bien distinta que esa interpretación dispar de la legislación penal en dos procesos diferentes suponga una aplicación retroactiva de la legalidad penal que genere un cambio sorpresivo e inesperado de criterio jurisprudencial en perjuicio de las expectativas consolidadas por el reo en ese proceso”, que es lo que resultó determinante, por ejemplo, en la STEDH de 21 de octubre de 2013 (asunto </w:t>
      </w:r>
      <w:r w:rsidRPr="005728DD">
        <w:rPr>
          <w:i/>
        </w:rPr>
        <w:t>Del Río Prada c. España</w:t>
      </w:r>
      <w:r>
        <w:t>), dictada sobre una situación en la que “la penada había obtenido una primera decisión judicial firme […] que determinaba, de forma definitiva, la pena total que le resultaba aplicable”.</w:t>
      </w:r>
    </w:p>
    <w:p w:rsidR="005728DD" w:rsidRDefault="005728DD" w:rsidP="005728DD">
      <w:pPr>
        <w:pStyle w:val="TextoNormal"/>
      </w:pPr>
    </w:p>
    <w:p w:rsidR="005728DD" w:rsidRDefault="005728DD" w:rsidP="005728DD">
      <w:pPr>
        <w:pStyle w:val="TextoNormal"/>
      </w:pPr>
      <w:r>
        <w:t>En todo caso, reitera el fiscal, ni siquiera ha habido cambio jurisprudencial porque lo apreciado es un caso de coautoría y no de participación.</w:t>
      </w:r>
    </w:p>
    <w:p w:rsidR="005728DD" w:rsidRDefault="005728DD" w:rsidP="005728DD">
      <w:pPr>
        <w:pStyle w:val="TextoNormal"/>
      </w:pPr>
    </w:p>
    <w:p w:rsidR="005728DD" w:rsidRDefault="005728DD" w:rsidP="005728DD">
      <w:pPr>
        <w:pStyle w:val="TextoNormal"/>
      </w:pPr>
      <w:r>
        <w:t>d) Legalidad penal: penas desproporcionadas y derechos fundamentales a la libertad y a las libertades de reunión pacífica, expresión e ideológica.</w:t>
      </w:r>
    </w:p>
    <w:p w:rsidR="005728DD" w:rsidRDefault="005728DD" w:rsidP="005728DD">
      <w:pPr>
        <w:pStyle w:val="TextoNormal"/>
      </w:pPr>
    </w:p>
    <w:p w:rsidR="005728DD" w:rsidRDefault="005728DD" w:rsidP="005728DD">
      <w:pPr>
        <w:pStyle w:val="TextoNormal"/>
      </w:pPr>
      <w:r>
        <w:t>A juicio del ministerio público, esta queja parece dirigirse tanto contra el legislador, en la medida en que se afirma que el tipo penal de la sedición propicia la imposición de penas desproporcionadas, como respecto del aplicador de la norma, por la imposición de penas gravísimas sin tener en cuenta que el impedimento ocasionado al cumplimiento de las órdenes judiciales fue parcial —lo que posibilitaría la aplicación del art. 547 CP—, ni tomar en consideración el contexto del ejercicio de derechos fundamentales, apreciando al menos una eximente incompleta al amparo del art. 21 en relación con la circunstancia del art 21.7 CP (ejercicio legítimo de un derecho).</w:t>
      </w:r>
    </w:p>
    <w:p w:rsidR="005728DD" w:rsidRDefault="005728DD" w:rsidP="005728DD">
      <w:pPr>
        <w:pStyle w:val="TextoNormal"/>
      </w:pPr>
    </w:p>
    <w:p w:rsidR="005728DD" w:rsidRDefault="005728DD" w:rsidP="005728DD">
      <w:pPr>
        <w:pStyle w:val="TextoNormal"/>
      </w:pPr>
      <w:r>
        <w:lastRenderedPageBreak/>
        <w:t>(i) En relación con el primer extremo, argumenta el ministerio público que, en tanto el motivo se dirige contra la norma penal, cabría plantearse la procedencia de acudir al mecanismo del art 55.2 LOTC para cuestionar su constitucionalidad, lo que, inmediatamente, descarta a la vista de “las escasas consideraciones que se esgrimen para estimar que el art. 545 CP resulta contrario al art 25.1 CE”, en relación con el art 9.3 CE.</w:t>
      </w:r>
    </w:p>
    <w:p w:rsidR="005728DD" w:rsidRDefault="005728DD" w:rsidP="005728DD">
      <w:pPr>
        <w:pStyle w:val="TextoNormal"/>
      </w:pPr>
    </w:p>
    <w:p w:rsidR="005728DD" w:rsidRDefault="005728DD" w:rsidP="005728DD">
      <w:pPr>
        <w:pStyle w:val="TextoNormal"/>
      </w:pPr>
      <w:r>
        <w:t>Tras exponer la doctrina constitucional [por todas, SSTC 136/1999, de 20 de julio, FJ 22, y 60/2010, de 7 de octubre, FJ 7 b)] sostiene que la parte recurrente “no desarrolla ni efectúa más alegaciones de contenido sobre la opción del legislador de fijar la pena de entre ocho y diez años para los inductores, directores o autores principales de la sedición no constituidos en autoridad, por cierto, en un precepto (el art 545 CP) distinto del que contiene el tipo penal”, lo que exime de mayor argumentación.</w:t>
      </w:r>
    </w:p>
    <w:p w:rsidR="005728DD" w:rsidRDefault="005728DD" w:rsidP="005728DD">
      <w:pPr>
        <w:pStyle w:val="TextoNormal"/>
      </w:pPr>
    </w:p>
    <w:p w:rsidR="005728DD" w:rsidRDefault="005728DD" w:rsidP="005728DD">
      <w:pPr>
        <w:pStyle w:val="TextoNormal"/>
      </w:pPr>
      <w:r>
        <w:t xml:space="preserve">No obstante, resalta “la altamente extraordinaria relevancia constitucional tanto del bien jurídico protegido por la norma cuestionada como de los fines inmediatos y mediatos de protección de la misma”. Subraya que la aplicación del marco constitucional, de las leyes y de las decisiones de las autoridades legítimas resulta ineludible para asegurar el funcionamiento del Estado democrático de Derecho y el ejercicio de los derechos fundamentales. La norma tutela dicho interés frente a actuaciones grupales que, además de ser tumultuarias y públicas, acuden como medios comisivos a actos de fuerza o “fuera de las vías legales”. Teniendo en cuenta las finalidades de prevención general y especial involucradas, el establecimiento de penas de prisión en abstracto, de ocho a diez años, para quienes —sin ser autoridades públicas— incitan, dirigen, sostienen o son los autores principales de tales actuaciones, “no puede estimarse como una medida inadecuada, ineficaz, no apta, inidónea o inútil para lograr aquellos fines, ni puede considerarse innecesaria en una sociedad democrática por existir medidas alternativas menos gravosas, o desproporcionadas en sentido estricto si tras aplicar técnicas de </w:t>
      </w:r>
      <w:r w:rsidRPr="005728DD">
        <w:rPr>
          <w:i/>
        </w:rPr>
        <w:t>ad hoc balancing</w:t>
      </w:r>
      <w:r>
        <w:t xml:space="preserve"> o ponderación entre los sacrificios derivados para sus responsables en relación con el interés general preeminente en una sociedad democrática regida por un Estado de Derecho, se llega a la conclusión de que los mayores beneficios para este justifican aquellos”. Además, la legislación permite al aplicador rebajar la pena en uno o dos grados en el caso de que “la sedición no haya llegado a entorpecer de un modo grave el ejercicio de la autoridad pública y no haya ocasionado la perpetración de otro delito al que la ley señale penas graves” (art. 547 CP), de modo que la normatividad en ningún modo es comparable al supuesto de hecho de la STC 136/1999, en el que se reprochaba al precepto penal no incorporar previsión alguna para atemperar la sanción penal a la entidad de la conducta delictiva.</w:t>
      </w:r>
    </w:p>
    <w:p w:rsidR="005728DD" w:rsidRDefault="005728DD" w:rsidP="005728DD">
      <w:pPr>
        <w:pStyle w:val="TextoNormal"/>
      </w:pPr>
    </w:p>
    <w:p w:rsidR="005728DD" w:rsidRDefault="005728DD" w:rsidP="005728DD">
      <w:pPr>
        <w:pStyle w:val="TextoNormal"/>
      </w:pPr>
      <w:r>
        <w:t>(ii) En el plano de la aplicación de la norma penal, el Ministerio Fiscal descarta el fundamento de la queja con apoyo en que la sentencia contiene múltiples elementos y consideraciones que dan cuenta tanto de “la significativa entidad de la conducta llevada a cabo, como del sumamente grave entorpecimiento producido sobre el ejercicio de las funciones públicas que autoridades y agentes tuvieron que afrontar cuando se hallaban tratando de dar cumplimiento de las resoluciones judiciales”; y de la específica toma en consideración y ponderación en ese contexto de ejercicio de derechos fundamentales.</w:t>
      </w:r>
    </w:p>
    <w:p w:rsidR="005728DD" w:rsidRDefault="005728DD" w:rsidP="005728DD">
      <w:pPr>
        <w:pStyle w:val="TextoNormal"/>
      </w:pPr>
    </w:p>
    <w:p w:rsidR="005728DD" w:rsidRDefault="005728DD" w:rsidP="005728DD">
      <w:pPr>
        <w:pStyle w:val="TextoNormal"/>
      </w:pPr>
      <w:r>
        <w:t xml:space="preserve">A tal fin, trascribe el fiscal un fragmento del relato de hechos probados en que se describen los acaecidos el 20 de septiembre de 2017 (punto 9, antes reseñado), así como del juicio de tipicidad (fundamento de Derecho B, 4, subapartado 6), en que se concluye que esta </w:t>
      </w:r>
      <w:r>
        <w:lastRenderedPageBreak/>
        <w:t>actuación distó de ser una pacífica y legítima manifestación de protesta y se resalta la gravedad del hecho en los siguientes términos: “La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w:t>
      </w:r>
    </w:p>
    <w:p w:rsidR="005728DD" w:rsidRDefault="005728DD" w:rsidP="005728DD">
      <w:pPr>
        <w:pStyle w:val="TextoNormal"/>
      </w:pPr>
    </w:p>
    <w:p w:rsidR="005728DD" w:rsidRDefault="005728DD" w:rsidP="005728DD">
      <w:pPr>
        <w:pStyle w:val="TextoNormal"/>
      </w:pPr>
      <w:r>
        <w:t>Reproduce también el fiscal en su escrito de alegaciones los hechos relativos al llamamiento por parte del recurrente a la movilización permanente y a la ocupación de centros de votación, a impedir la acción de los agentes policiales, así como a proteger el recuento de votos, respecto de los acontecimientos del 1 de octubre (apartado 9.2). Agrega que en el punto 10 se da cuenta del tenor del auto de 27 de septiembre de 2017 del Tribunal Superior de Justicia de Cataluña que ordenó la actuación conjunta de Mossos d'Esquadra, Guardia Civil y Policía Nacional para impedir la celebración del referéndum; en el punto 11 del mismo relato fáctico se alude a la campaña de convocatoria a los ciudadanos para ocupar los centros de votación; y en el numeral 12 se refleja lo acaecido el día de la votación, que también se trae al escrito de alegaciones en su integridad. Respecto del juicio de tipicidad (apartado 4.6), se refiere a la gravedad de estos hechos con las consideraciones efectuadas en la sentencia. Declara que tales hechos se subsumen en el concepto de alzamiento caracterizado por “finalidades que connotan una insurrección o una actitud de abierta oposición al normal funcionamiento del sistema jurídico, constituido por la aplicación efectiva de las leyes y la no obstrucción a la efectividad de las decisiones de las instituciones”, destacando que se trató de un “levantamiento multitudinario, generalizado y proyectado de forma estratégica”, y que “[l]a autoridad del poder judicial quedó en suspenso sustituida por la propia voluntad —el referéndum se ha de celebrar— de los convocantes y de quienes secundaban la convocatoria, voluntad impuesta por la fuerza”. Subraya también que “[e]sas vías de hecho —fuera de las vías legales señala el art. 544 CP— vienen conformadas también por los casos en que los agentes de la autoridad —los Mossos en la mayoría de las ocasiones— se ven conminados por una aglomeración de personas impermeable a cualquier requerimiento, venga de los agentes o venga de la autoridad judicial, para desistir de su intento de cumplir la orden judicial y han de claudicar en su objetivo, de forma vergonzante, resignada o en algunos supuestos casi complaciente”. Finalmente, del juicio de autoría (fundamento de Derecho C, subapartado 1.8) se resalta el fragmento de la sentencia según el cual “lo que motivó la actuación del Sr. Sànchez era demostrar a toda la sociedad, en pleno y acreditado concierto con los responsables gubernamentales, que los jueces y magistrados que ejercían su función constitucional en Cataluña, habían perdido la capacidad para ejecutar sus resoluciones”.</w:t>
      </w:r>
    </w:p>
    <w:p w:rsidR="005728DD" w:rsidRDefault="005728DD" w:rsidP="005728DD">
      <w:pPr>
        <w:pStyle w:val="TextoNormal"/>
      </w:pPr>
    </w:p>
    <w:p w:rsidR="005728DD" w:rsidRDefault="005728DD" w:rsidP="005728DD">
      <w:pPr>
        <w:pStyle w:val="TextoNormal"/>
      </w:pPr>
      <w:r>
        <w:t xml:space="preserve">De todo ello se desprende, a juicio del fiscal ante el Tribunal Constitucional, que no puede afirmarse que la sedición no ha llegado a entorpecer de un modo grave el ejercicio de la autoridad pública. Por el contrario, el incumplimiento del mandato judicial se produjo por el impedimento físico de que fueron objeto los agentes de la autoridad, lo que se llevó a cabo de forma generalizada y “en toda la extensión de una comunidad autónoma en la que por un día quedó suspendida la ejecución de una orden judicial”, concluyendo que la aplicación judicial de la norma se acomoda a la entidad y gravedad tanto de los hechos, como </w:t>
      </w:r>
      <w:r>
        <w:lastRenderedPageBreak/>
        <w:t>de la responsabilidad personal en ellos del demandante, descartándose “un ejercicio de derroche de coacción penal de carácter innecesario y desproporcionado”.</w:t>
      </w:r>
    </w:p>
    <w:p w:rsidR="005728DD" w:rsidRDefault="005728DD" w:rsidP="005728DD">
      <w:pPr>
        <w:pStyle w:val="TextoNormal"/>
      </w:pPr>
    </w:p>
    <w:p w:rsidR="005728DD" w:rsidRDefault="005728DD" w:rsidP="005728DD">
      <w:pPr>
        <w:pStyle w:val="TextoNormal"/>
      </w:pPr>
      <w:r>
        <w:t>Finalmente, el Ministerio Fiscal acepta el cumplimiento por parte de la sentencia recurrida de las exigencias constitucionales impuestas para aquellos casos en que, en sede penal, se plantea el ejercicio de un derecho fundamental como causa de justificación. Tras describir la doctrina constitucional plasmada, entre otras, en las SSTC 110/2000, de 5 de mayo, FJ 6; 299/2006, de 23 de octubre, FJ 3, y 24/2019, de 25 de febrero, FJ 3 a), sostiene que la sala no ha eludido el necesario juicio de ponderación y aborda específicamente como causas de exclusión de la antijuricidad el ejercicio legítimo del derecho a la desobediencia civil (fundamento de Derecho A, 17.4; págs. 234 a 242) las libertades de expresión (fundamento de Derecho A, 17.5.1; págs. 242 a 244), reunión (fundamento de Derecho A, 17.5.2; págs. 244 a 246) e ideológica (fundamento de Derecho A, 17.5.3; pág. 247); e incluso en el juicio de autoría sobre el demandante efectúa consideraciones añadidas que descartan el efecto justificativo. Tras dar cuenta de todos estos fragmentos de la sentencia, concluye señalando el fiscal que, tanto en la misma como en el auto resolutorio del incidente de nulidad, “se examina, a partir de las circunstancias concurrentes en el caso, la conexión de los comportamientos enjuiciados con el contenido de aquellos derechos fundamentales; se descarta que puedan encajar en un ejercicio legítimo de los mismos; se determina y precisa la existencia y razón de la gravedad cuantitativa y cualitativa de la extralimitación que sobrepasa lo amparado por él; y una vez apreciada la intensidad de la ilegitimidad de la conducta y los principios, valores, bienes constitucionales violentados, se justifica la procedencia de la respuesta penal. Y en tales términos el efecto desaliento queda descartado”.</w:t>
      </w:r>
    </w:p>
    <w:p w:rsidR="005728DD" w:rsidRDefault="005728DD" w:rsidP="005728DD">
      <w:pPr>
        <w:pStyle w:val="TextoNormal"/>
      </w:pPr>
    </w:p>
    <w:p w:rsidR="005728DD" w:rsidRDefault="005728DD" w:rsidP="005728DD">
      <w:pPr>
        <w:pStyle w:val="TextoNormal"/>
      </w:pPr>
      <w:r>
        <w:t>11.2. Juez ordinario predeterminado por la ley y doble instancia penal. Se refiere aquí el ministerio público a la alegada falta de competencia del Tribunal Supremo y, anudado a su conocimiento del proceso, a la merma de la posibilidad de revisión de sus decisiones.</w:t>
      </w:r>
    </w:p>
    <w:p w:rsidR="005728DD" w:rsidRDefault="005728DD" w:rsidP="005728DD">
      <w:pPr>
        <w:pStyle w:val="TextoNormal"/>
      </w:pPr>
    </w:p>
    <w:p w:rsidR="005728DD" w:rsidRDefault="005728DD" w:rsidP="005728DD">
      <w:pPr>
        <w:pStyle w:val="TextoNormal"/>
      </w:pPr>
      <w:r>
        <w:t>a) La supuesta vulneración principal del derecho al juez ordinario predeterminado por la ley. Tras relatar ampliamente la doctrina constitucional sobre el contenido esencial de este derecho fundamental (art. 24.2 CE) recogida en las SSTC 191/2011, de 12 de diciembre, FJ 5; 212/2014, de 18 de diciembre, FJ 5; 99/2015, de 25 de mayo, FJ 5; 266/2015, de 14 de diciembre, FJ 2, y 110/2017, de 5 de octubre, FJ 4 b), cita el fiscal las respuestas judiciales dadas sobre esta materia a lo largo de toda la causa, que han ido dictándose por el magistrado instructor, por la sala de recursos (autos de 31 de octubre de 2017, 24 de noviembre de 2017, 15 de febrero de 2018, 9 de mayo de 2018, 31 de mayo de 2018 y 26 de junio de 2018) y, de forma singular, por el tribunal enjuiciador al resolver la declinatoria de jurisdicción (</w:t>
      </w:r>
      <w:r w:rsidRPr="005728DD">
        <w:rPr>
          <w:i/>
        </w:rPr>
        <w:t>ex</w:t>
      </w:r>
      <w:r>
        <w:t xml:space="preserve"> art. 666.1 LECrim), por auto 27 de diciembre de 2018, y en la sentencia de 14 de octubre de 2019.</w:t>
      </w:r>
    </w:p>
    <w:p w:rsidR="005728DD" w:rsidRDefault="005728DD" w:rsidP="005728DD">
      <w:pPr>
        <w:pStyle w:val="TextoNormal"/>
      </w:pPr>
    </w:p>
    <w:p w:rsidR="005728DD" w:rsidRDefault="005728DD" w:rsidP="005728DD">
      <w:pPr>
        <w:pStyle w:val="TextoNormal"/>
      </w:pPr>
      <w:r>
        <w:t xml:space="preserve">Trascribe el Ministerio Fiscal parte del auto de 31 de octubre de 2017 y se refiere a las resoluciones dictadas durante la instrucción sobre esta materia, argumentando que la decisión sobre la competencia tuvo su fundamento en el artículo 57.2 del Estatuto de Autonomía de Cataluña, (conforme al que “en las causas contra los Diputados, es competente el Tribunal Superior de Justicia de Cataluña. Fuera del territorio de Cataluña la responsabilidad penal es exigible en los mismos términos ante la Sala de lo Penal del Tribunal Supremo”), cuyo contenido se interpretó valorando para los aforados un doble factor o criterio: la condición de diputados del Parlamento de Cataluña de buena parte de los investigados y el </w:t>
      </w:r>
      <w:r>
        <w:lastRenderedPageBreak/>
        <w:t>elemento geográfico basado en el lugar de comisión del hecho. El Tribunal Supremo afirma su propia competencia para la investigación y enjuiciamiento de los hechos, en ese momento,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uno de las cuales habría contribuido a ese objetivo desde el espacio funcional propio, y en el que se destaca una pluralidad de acciones desarrolladas fuera del territorio estatal que contribuyeron al objetivo perseguido.</w:t>
      </w:r>
    </w:p>
    <w:p w:rsidR="005728DD" w:rsidRDefault="005728DD" w:rsidP="005728DD">
      <w:pPr>
        <w:pStyle w:val="TextoNormal"/>
      </w:pPr>
    </w:p>
    <w:p w:rsidR="005728DD" w:rsidRDefault="005728DD" w:rsidP="005728DD">
      <w:pPr>
        <w:pStyle w:val="TextoNormal"/>
      </w:pPr>
      <w:r>
        <w:t>Se refiere después al auto mediante el que fueron resueltas las cuestiones previas, y al auto de 27 de diciembre de 2018, resolutorio de la declinatoria de jurisdicción. Este último, en respuesta a lo alegado por las defensas razonó que “la lectura de los escritos de acusación debe abordarse desde la tantas veces reiterada por esta Sala doctrina de la ubicuidad, según la cual, el delito se comete en cualquiera de los territorios donde se realizan algunos de los elementos del tipo. Y está fuera de dudas que cuando nuestros precedentes se refieren a los elementos del tipo estamos abarcando, tanto aquellos incluibles en el tipo objetivo como en el subjetivo. De ahí que la atribución por el fiscal a algunos de los procesados de actos ejecutivos, no necesariamente violentos pero vinculados al elemento tendencial del delito por el que se formula acusación (cfr. art. 472. 5) justifica la aplicación del art. 57.2 del estatuto de autonomía que señala a esta Sala como el órgano competente para la investigación y enjuiciamiento de hechos ejecutados fuera del territorio de la comunidad autónoma”.</w:t>
      </w:r>
    </w:p>
    <w:p w:rsidR="005728DD" w:rsidRDefault="005728DD" w:rsidP="005728DD">
      <w:pPr>
        <w:pStyle w:val="TextoNormal"/>
      </w:pPr>
    </w:p>
    <w:p w:rsidR="005728DD" w:rsidRDefault="005728DD" w:rsidP="005728DD">
      <w:pPr>
        <w:pStyle w:val="TextoNormal"/>
      </w:pPr>
      <w:r>
        <w:t xml:space="preserve">Asume el fiscal, finalmente, lo razonado en la sentencia (fundamento de Derecho A, apartado 4), en cuanto descarta: (i) que el criterio de enjuiciamiento conjunto de los hechos atribuidos a los procesados contradiga el precedente representado por la causa especial núm. 20249-2016, en la que fue enjuiciado el Sr. Homs, habida cuenta de la naturaleza individual de la responsabilidad de este al tratarse de un delito de desobediencia frente al carácter colectivo o de comisión plural de los delitos de rebelión y sedición; (ii) que se haya producido un tratamiento excepcional, con nuevos criterios competenciales </w:t>
      </w:r>
      <w:r w:rsidRPr="005728DD">
        <w:rPr>
          <w:i/>
        </w:rPr>
        <w:t>ad hoc</w:t>
      </w:r>
      <w:r>
        <w:t xml:space="preserve"> y distanciamiento respecto de otros supuestos antecedentes, existiendo, por el contrario, varios precedentes (entre otros, AATS de 1 de julio de 2009 y 24 de junio de 2015, y SSTS 152/2005, de 24 de febrero, y 597/2014, y también AATS de 29 junio 2006, 23 de junio de 2009 y 26 de enero de 2017), en los que, siguiendo la línea marcada por la jurisprudencia europea (SSTEDH de 2 de junio de 2005, </w:t>
      </w:r>
      <w:r w:rsidRPr="005728DD">
        <w:rPr>
          <w:i/>
        </w:rPr>
        <w:t>Claes y otros c. Bélgica</w:t>
      </w:r>
      <w:r>
        <w:t xml:space="preserve">, y 22 de junio de 2000, caso </w:t>
      </w:r>
      <w:r w:rsidRPr="005728DD">
        <w:rPr>
          <w:i/>
        </w:rPr>
        <w:t>Coéme c. Bélgica</w:t>
      </w:r>
      <w:r>
        <w:t>) aforados y no aforados fueron investigados y enjuiciados conjuntamente sobre la base de la conexión material inescindible de los hechos y la conveniencia de la unidad de investigación y enjuiciamiento; (iii) y que puedan esgrimirse como vinculantes supuestos precedentes emanados de tribunales inferiores, máxime teniendo en cuenta lo dispuesto en el art. 123 CE.</w:t>
      </w:r>
    </w:p>
    <w:p w:rsidR="005728DD" w:rsidRDefault="005728DD" w:rsidP="005728DD">
      <w:pPr>
        <w:pStyle w:val="TextoNormal"/>
      </w:pPr>
    </w:p>
    <w:p w:rsidR="005728DD" w:rsidRDefault="005728DD" w:rsidP="005728DD">
      <w:pPr>
        <w:pStyle w:val="TextoNormal"/>
      </w:pPr>
      <w:r>
        <w:t xml:space="preserve">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 Por tanto, el criterio </w:t>
      </w:r>
      <w:r>
        <w:lastRenderedPageBreak/>
        <w:t>de asunción competencial del Tribunal Supremo no puede calificarse de “manipulación manifiestamente arbitraria de las reglas legales sobre atribución de competencias”, sino que responde a una exégesis racional y razonable del art. 57.2 EAC, precepto que no ha sido cuestionado.</w:t>
      </w:r>
    </w:p>
    <w:p w:rsidR="005728DD" w:rsidRDefault="005728DD" w:rsidP="005728DD">
      <w:pPr>
        <w:pStyle w:val="TextoNormal"/>
      </w:pPr>
    </w:p>
    <w:p w:rsidR="005728DD" w:rsidRDefault="005728DD" w:rsidP="005728DD">
      <w:pPr>
        <w:pStyle w:val="TextoNormal"/>
      </w:pPr>
      <w:r>
        <w:t>b) La alegada conculcación asociada del derecho a la doble instancia (arts. 24.2 CE, 14.5 PIDCP y 2 del Protocolo 7 CEDH).</w:t>
      </w:r>
    </w:p>
    <w:p w:rsidR="005728DD" w:rsidRDefault="005728DD" w:rsidP="005728DD">
      <w:pPr>
        <w:pStyle w:val="TextoNormal"/>
      </w:pPr>
    </w:p>
    <w:p w:rsidR="005728DD" w:rsidRDefault="005728DD" w:rsidP="005728DD">
      <w:pPr>
        <w:pStyle w:val="TextoNormal"/>
      </w:pPr>
      <w:r>
        <w:t>A juicio del fiscal, esta queja pierde su razón de ser y decae una vez confirmada la inexistencia de la vulneración principal del derecho al juez ordinario predeterminado por la ley.</w:t>
      </w:r>
    </w:p>
    <w:p w:rsidR="005728DD" w:rsidRDefault="005728DD" w:rsidP="005728DD">
      <w:pPr>
        <w:pStyle w:val="TextoNormal"/>
      </w:pPr>
    </w:p>
    <w:p w:rsidR="005728DD" w:rsidRDefault="005728DD" w:rsidP="005728DD">
      <w:pPr>
        <w:pStyle w:val="TextoNormal"/>
      </w:pPr>
      <w:r>
        <w:t xml:space="preserve">Por otra parte, la aplicación de la doctrina constitucional (por todas, STC 136/1999, de 20 de julio, FJ 11) determina también la desestimación del motivo, pues “la garantía que implica la instrucción y el enjuiciamiento de la causa por el tribunal más alto en el orden penal (art. 123.l CE) integra en parte —acceso a una instancia judicial superior a la que de ordinario enjuicia inicialmente este tipo de conflictos— y sustituye en lo demás —posibilidad de una segunda decisión— la garantía que ahora aducen los recurrentes, que presupone, precisamente, que la primera instancia no sea la instancia suprema en el orden jurisdiccional penal”. Se refiere también el Ministerio Fiscal a la STC 166/1993 según la cual “el privilegio del fuero, que es un </w:t>
      </w:r>
      <w:r w:rsidRPr="005728DD">
        <w:rPr>
          <w:i/>
        </w:rPr>
        <w:t>plus</w:t>
      </w:r>
      <w:r>
        <w:t>,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Finalmente destaca la fundamentación recogida en el apartado 4.1.5 del fundamento de Derecho A de la sentencia recurrida.</w:t>
      </w:r>
    </w:p>
    <w:p w:rsidR="005728DD" w:rsidRDefault="005728DD" w:rsidP="005728DD">
      <w:pPr>
        <w:pStyle w:val="TextoNormal"/>
      </w:pPr>
    </w:p>
    <w:p w:rsidR="005728DD" w:rsidRDefault="005728DD" w:rsidP="005728DD">
      <w:pPr>
        <w:pStyle w:val="TextoNormal"/>
      </w:pPr>
      <w:r>
        <w:t>11.3. Derecho de defensa y empleo de la lengua catalana.</w:t>
      </w:r>
    </w:p>
    <w:p w:rsidR="005728DD" w:rsidRDefault="005728DD" w:rsidP="005728DD">
      <w:pPr>
        <w:pStyle w:val="TextoNormal"/>
      </w:pPr>
    </w:p>
    <w:p w:rsidR="005728DD" w:rsidRDefault="005728DD" w:rsidP="005728DD">
      <w:pPr>
        <w:pStyle w:val="TextoNormal"/>
      </w:pPr>
      <w:r>
        <w:t>Sobre esta materia, el ministerio público comienza por distinguir entre la actuación de los acusados, a los que se les reconoció la posibilidad de valerse del catalán habilitándose un sistema de traducción consecutiva, y la de los testigos. Recopila después la doctrina constitucional que confiere relevancia a la indefensión material, en cuanto que produce un efectivo y real menoscabo del derecho de defensa, con cita y trascripción de fragmentos de las SSTC 35/1989, de 14 de febrero; 52/1989, de 22 de febrero; 91/2000, de 30 de marzo; 2/2002, de 14 de enero, FJ 2; 109/2002, de 6 de mayo, FJ 2, y 85/2003, de 8 de mayo, FJ 11. Concluye afirmando que, en el caso, ni siquiera existe infracción de norma procesal alguna, “una vez que el art. 231.3 LOPJ circunscribe la posibilidad de que las partes, sus representantes y quienes les dirijan, así como los testigos y peritos, utilicen en sus manifestaciones orales o escritas la lengua que sea también oficial en una Comunidad Autónoma exclusivamente a las actuaciones judiciales que tengan lugar en el territorio de esta”. Agrega que, en el caso de los testigos, “la irrelevancia del contenido y resultado de las declaraciones abona añadidamente cualquier incidencia en el derecho de defensa”.</w:t>
      </w:r>
    </w:p>
    <w:p w:rsidR="005728DD" w:rsidRDefault="005728DD" w:rsidP="005728DD">
      <w:pPr>
        <w:pStyle w:val="TextoNormal"/>
      </w:pPr>
    </w:p>
    <w:p w:rsidR="005728DD" w:rsidRDefault="005728DD" w:rsidP="005728DD">
      <w:pPr>
        <w:pStyle w:val="TextoNormal"/>
      </w:pPr>
      <w:r>
        <w:t>11.4. Juez y tribunal imparcial.</w:t>
      </w:r>
    </w:p>
    <w:p w:rsidR="005728DD" w:rsidRDefault="005728DD" w:rsidP="005728DD">
      <w:pPr>
        <w:pStyle w:val="TextoNormal"/>
      </w:pPr>
    </w:p>
    <w:p w:rsidR="005728DD" w:rsidRDefault="005728DD" w:rsidP="005728DD">
      <w:pPr>
        <w:pStyle w:val="TextoNormal"/>
      </w:pPr>
      <w:r>
        <w:lastRenderedPageBreak/>
        <w:t xml:space="preserve">El fiscal ante el Tribunal Constitucional comienza la contestación a esta queja con un resumen de la respuesta dada a la misma en la sentencia impugnada (fundamento de Derecho A, apartado 5) y de la doctrina sobre la garantía de la imparcialidad judicial. Se refiere primero a la doctrina del Tribunal Europeo de Derechos Humanos con cita de las SSTEDH de 15 de octubre de 2009, asunto </w:t>
      </w:r>
      <w:r w:rsidRPr="005728DD">
        <w:rPr>
          <w:i/>
        </w:rPr>
        <w:t>Micallef contra Malta, y</w:t>
      </w:r>
      <w:r>
        <w:t xml:space="preserve"> de 6 de noviembre de 2018, asunto </w:t>
      </w:r>
      <w:r w:rsidRPr="005728DD">
        <w:rPr>
          <w:i/>
        </w:rPr>
        <w:t>Otegi y otros contra España</w:t>
      </w:r>
      <w:r>
        <w:t>, y trascripción de los apartados 93 a 99 de la primera. A continuación expone la doctrina constitucional plasmada en la STC 60/2008, de 26 de mayo, FJ 3, en relación con la vertiente subjetiva de la imparcialidad, y en la STC 36/2008, de 25 de febrero, FJ 2, respecto de la perspectiva objetiva. Acto seguido distingue las diversas tachas de parcialidad formuladas por la parte recurrente.</w:t>
      </w:r>
    </w:p>
    <w:p w:rsidR="005728DD" w:rsidRDefault="005728DD" w:rsidP="005728DD">
      <w:pPr>
        <w:pStyle w:val="TextoNormal"/>
      </w:pPr>
    </w:p>
    <w:p w:rsidR="005728DD" w:rsidRDefault="005728DD" w:rsidP="005728DD">
      <w:pPr>
        <w:pStyle w:val="TextoNormal"/>
      </w:pPr>
      <w:r>
        <w:t xml:space="preserve">a) La primera denuncia de vulneración del derecho al juez imparcial tuvo por destinatario al magistrado instructor y se fundó en la expresión “la estrategia que sufrimos” empleada en el auto de procesamiento de 21 de marzo de 2018, que, según se dice, “deja ver que dicho Magistrado se considera y presenta a sí mismo como víctima del delito atribuido al recurrente y denota una toma de partido por parte del mismo en favor de la culpabilidad del demandante o, cuanto menos, explicita animadversión hacia él”. El fiscal examina las circunstancias concurrentes en cuanto al medio, el tiempo y el contenido de la expresión para rechazar el fundamento de la queja. Concluye señalando, sintéticamente, que en el contexto del relato fáctico del auto de procesamiento, la expresión trascrita, no unívoca, que “no supone una manifestación sobre la solución que el tribunal habría de dar al proceso ni patentiza consistentemente que en el magistrado concurre un ‘interés directo en la condena de los procesados’”, no aporta ni añade un </w:t>
      </w:r>
      <w:r w:rsidRPr="005728DD">
        <w:rPr>
          <w:i/>
        </w:rPr>
        <w:t>plus</w:t>
      </w:r>
      <w:r>
        <w:t xml:space="preserve"> o un </w:t>
      </w:r>
      <w:r w:rsidRPr="005728DD">
        <w:rPr>
          <w:i/>
        </w:rPr>
        <w:t>aliud</w:t>
      </w:r>
      <w:r>
        <w:t>, de manera concluyente y definitiva a la incriminación provisoria propia de dicho auto, y en absoluto supone un dato objetivo acreditativo de una determinada orientación o de un sentimiento de animadversión. Agrega que el deber que incumbe al instructor de investigación objetiva de la verdad, conforme al que ha de indagar, consignar y apreciar las circunstancias tanto adversas como favorables al presunto reo (art. 2 LECrim), en el que se encarna y orienta materialmente el sentido teleológico de la exigencia de imparcialidad en la fase de instrucción en nuestro diseño nacional del enjuiciamiento criminal, constituye el contexto en que el que la expresión empleada no permite cuestionar la rectitud y probidad personal del magistrado, por más que la ejecución de estas funciones instructoras deban inhabilitar al encargado de la instrucción para integrarse en el tribunal de enjuiciamiento. Finalmente, añade que la recusación se hizo valor tardíamente al ser conocido el auto de procesamiento con su notificación el 26 de marzo de 2018 y no ser propuesta hasta el 16 de abril siguiente.</w:t>
      </w:r>
    </w:p>
    <w:p w:rsidR="005728DD" w:rsidRDefault="005728DD" w:rsidP="005728DD">
      <w:pPr>
        <w:pStyle w:val="TextoNormal"/>
      </w:pPr>
    </w:p>
    <w:p w:rsidR="005728DD" w:rsidRDefault="005728DD" w:rsidP="005728DD">
      <w:pPr>
        <w:pStyle w:val="TextoNormal"/>
      </w:pPr>
      <w:r>
        <w:t xml:space="preserve">b) La segunda de las quejas tiene por destinatario al magistrado don Francisco Monterde Ferrer, integrante de la sala de recursos de la Sala de lo Penal del Tribunal Supremo, y se funda en su condición de vicepresidente y miembro del Comité Ejecutivo de una asociación judicial que desde sus cuentas oficiales había propagado a través de la red social “twitter” decenas de mensajes que manifiestan prejuicios sobre la culpabilidad del recurrente y animadversión hacia su ideología política. A juicio del fiscal, la providencia de 12 de febrero de 2018, que rechazó liminarmente la recusación, contiene un fundamento razonable; por un lado, la extemporaneidad apreciada tuvo su razón de ser en que la composición de la sala de recursos del Tribunal Supremo aparece publicada en el “Boletín Oficial del Estado” de 30 de diciembre de 2016; y en que el recurrente se había adherido a un recurso de apelación del que conoció la misma sala; por otra parte, no se aportó principio de prueba alguno sobre la vinculación del contenido de esos mensajes, procedentes de personas no identificadas, </w:t>
      </w:r>
      <w:r>
        <w:lastRenderedPageBreak/>
        <w:t>con la posición personal del recusado. Sobre este último punto insiste el fiscal señalando que se trata de un “supuesto de hetero-responsabilidad o responsabilidad por un hecho ajeno, puesto que simplemente imputa al magistrado reseñado el contenido de los mensajes —que valora, en su mente y según su propio criterio subjetivo, como expresivos de hostilidad hacia la ideología política del encausado— sin elemento de acreditación alguno que refrende que el mismo sea su autor o que haya concretado un acto individualizado revelador de ausencia de imparcialidad”. Añade a lo anterior dos consideraciones: (i) la primera relativa al rechazo por este Tribunal Constitucional (AATC 180/2013, de 17 de septiembre, FJ 5; 208/2013, de 2 de octubre, FJ 2, y 238/2014, de 9 de octubre, FJ 5), como causa de recusación, incluso como indicador verosímil de amistad o enemistad, de “los meros sentimientos de inclinación o de rechazo deducidos del hecho de la pertenencia a asociaciones, corporaciones o grupos sociales, así como en relación a la asunción de creencias religiosas e ideologías de signo diverso, mientras no se hayan traducido en actos individualizados”. Como ha proclamado la doctrina constitucional, “en el sistema de valores instaurado por la Constitución, la ideología se halla sustraída al control de los poderes públicos, prohibiéndose toda suerte de discriminación en base a la misma. Nadie puede, pues, ser descalificado como juez en razón de sus ideas y, por tanto, no resultaría constitucionalmente posible remover a los magistrados recusados, aun cuando fuesen ciertas las actitudes que se les atribuyen (ATC 358/1983, de 20 de julio, FJ 2)”; (ii) la segunda, que sale al paso de la atribución al Tribunal Supremo, en varios recursos de amparo, de trato discriminatorio hacia determinadas opciones políticas, consiste en aclarar que en nuestro sistema jurídico no existe ninguna prohibición o limitación para sostener tesis independentistas, ni para constituir partidos políticos que acojan un ideario independentista, ni para su expresión y actuación pública, como demuestra la realidad del demandante, que pertenece a un partido político con el que ha concurrido con éxito a las elecciones al Parlamento Catalán, despliega su actividad fuera de la cámara y dentro de la misma con su grupo parlamentario, y llegó a ser candidato a la Presidencia de la Generalitat de Cataluña.</w:t>
      </w:r>
    </w:p>
    <w:p w:rsidR="005728DD" w:rsidRDefault="005728DD" w:rsidP="005728DD">
      <w:pPr>
        <w:pStyle w:val="TextoNormal"/>
      </w:pPr>
    </w:p>
    <w:p w:rsidR="005728DD" w:rsidRDefault="005728DD" w:rsidP="005728DD">
      <w:pPr>
        <w:pStyle w:val="TextoNormal"/>
      </w:pPr>
      <w:r>
        <w:t>A juicio del ministerio público, la inadmisión del incidente de recusación tampoco vulneró el derecho a la tutela judicial efectiva (art. 24.1 CE) pues su fundamentación no puede calificarse de irrazonable y rigorista por las razones antes expresadas. Insiste, respecto de la extemporaneidad apreciada, en que se ha apreciado la misma en pretensiones de recusación planteadas contra magistrados constitucionales, en un momento posterior a aquel primero en que pudo ponerse de manifiesto la causa alegada ante este tribunal (art. 223 LOPJ), con cita de los AATC 383/2006, de 2• de noviembre, FJ 4; 109/2009, de 31 de marzo, FJ único; 256/2013, de 6 de noviembre, FJ único; 54/2014, de 25 de febrero, FJ 2, y 238/2014, de 9 de octubre, FJ 3. En este último se apreció como dato relevante para estimar la extemporaneidad de la recusación la publicación en el "Boletín Oficial del Estado" del real decreto de nombramiento de un magistrado del Tribunal Constitucional.</w:t>
      </w:r>
    </w:p>
    <w:p w:rsidR="005728DD" w:rsidRDefault="005728DD" w:rsidP="005728DD">
      <w:pPr>
        <w:pStyle w:val="TextoNormal"/>
      </w:pPr>
    </w:p>
    <w:p w:rsidR="005728DD" w:rsidRDefault="005728DD" w:rsidP="005728DD">
      <w:pPr>
        <w:pStyle w:val="TextoNormal"/>
      </w:pPr>
      <w:r>
        <w:t xml:space="preserve">c) Por lo que se refiere a la denunciada falta de imparcialidad de algunos de los magistrados que formaron parte del tribunal sentenciador por haber acordado la admisión a trámite de la querella presentada, lo que les habría hecho entrar en contacto con los hechos y realizar valoraciones fácticas y jurídicas, el escrito del fiscal expone la doctrina constitucional contenida, entre otras, en la STC 11/2000, de 17 de enero, FJ 4, y en la STC 149/2013, de 9 de septiembre, de la que trascribe su FJ 3, para señalar que “en términos generales, puede hablarse de una consolidada doctrina constitucional que apunta a que la intervención en la </w:t>
      </w:r>
      <w:r>
        <w:lastRenderedPageBreak/>
        <w:t>admisión de las querellas criminales no compromete la imparcialidad judicial”. Descendiendo al caso, comienza por reproducir, literal e íntegramente, el auto de 31 de octubre de 2017 que admitió a trámite la querella formulada ante la Sala de lo Penal del Tribunal Supremo, para argumentar después que, desde el punto de vista fáctico, el citado auto se limita, para determinar la propia competencia objetiva de la sala, a aproximarse al relato que sirve de soporte a la querella desde una perspectiva de “hipotética existencia”; y desde el punto de vista jurídico, el acercamiento a la calificación no excede del plano hipotético, resaltando que la decisión “se basa, con carácter exclusivo, en lo que la querella afirma”. Cabe concluir, por tanto, que los magistrados firmantes de dicho auto se limitaron a efectuar un control meramente formal o abstracto, abordando en exclusiva la regularidad procedimental de la querella, partiendo de una valoración puramente conjetural o hipotética de los hechos, basándose con carácter exclusivo en lo que la querella afirmaba, sin examinar ni adoptar criterio sobre las valoraciones fácticas y jurídicas. Finalmente, se refiere al auto de la Sala del art. 61 LOPJ de 13 de septiembre de 2018, señalando que resulta acorde con la doctrina constitucional expuesta y con las circunstancias del caso.</w:t>
      </w:r>
    </w:p>
    <w:p w:rsidR="005728DD" w:rsidRDefault="005728DD" w:rsidP="005728DD">
      <w:pPr>
        <w:pStyle w:val="TextoNormal"/>
      </w:pPr>
    </w:p>
    <w:p w:rsidR="005728DD" w:rsidRDefault="005728DD" w:rsidP="005728DD">
      <w:pPr>
        <w:pStyle w:val="TextoNormal"/>
      </w:pPr>
      <w:r>
        <w:t>d) En cuanto a la queja de parcialidad derivada del hecho de que el magistrado instructor, los componentes de sala de recursos y los magistrados de la sala de enjuiciamiento son miembros de un mismo órgano, señala el ministerio público que se trata de un planteamiento peculiar de naturaleza subjetiva que no tiene sustento en dato objetivo alguno, de modo que es plenamente aplicable la doctrina europea y nacional que señala que “no basta con que las dudas o sospechas sobre la imparcialidad del juez surjan en la mente de quien recusa, sino que es preciso determinar, caso a caso, si las mismas alcanzan una consistencia tal que permita afirmar que se hallan objetiva y legítimamente justificadas” (SSTC 162/1999, de 27 de septiembre, FJ 5; 140/2004, de 13 de septiembre, FJ 4; 26/2007, de 12 de febrero, FJ 4; 60/2008, de 26 de mayo, FJ 3; 47/2011, de 12 de abril, FJ 9; 149/2013, de 9 de septiembre, FJ 3, y 133/2014, de 22 de julio, FJ 3). Se refiere, a continuación, a la respuesta a esta cuestión dada en el fundamento de Derecho 7 del auto de 13 de septiembre de 2018. Este auto califica el alegato como “una pura suposición, que los recusantes no apoyan en indicio alguno”, toda vez que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w:t>
      </w:r>
    </w:p>
    <w:p w:rsidR="005728DD" w:rsidRDefault="005728DD" w:rsidP="005728DD">
      <w:pPr>
        <w:pStyle w:val="TextoNormal"/>
      </w:pPr>
    </w:p>
    <w:p w:rsidR="005728DD" w:rsidRDefault="005728DD" w:rsidP="005728DD">
      <w:pPr>
        <w:pStyle w:val="TextoNormal"/>
      </w:pPr>
      <w:r>
        <w:t>e) La aducida merma de imparcialidad del presidente del tribunal don Manuel Marchena, a raíz del mensaje de WhatsApp enviado por el senador del Partido Popular, don Ignacio Cosidó, a sus compañeros de partido, para el fiscal, como en el caso anterior, es un supuesto de hetero-responsabilidad, puesto que simplemente imputa al magistrado presidente una falta de imparcialidad no por una manifestación o actuación propia sino por la expresión por parte de un tercero de una opinión dirigida también a terceros, por lo que la queja carece de la mínima consistencia.</w:t>
      </w:r>
    </w:p>
    <w:p w:rsidR="005728DD" w:rsidRDefault="005728DD" w:rsidP="005728DD">
      <w:pPr>
        <w:pStyle w:val="TextoNormal"/>
      </w:pPr>
    </w:p>
    <w:p w:rsidR="005728DD" w:rsidRDefault="005728DD" w:rsidP="005728DD">
      <w:pPr>
        <w:pStyle w:val="TextoNormal"/>
      </w:pPr>
      <w:r>
        <w:t xml:space="preserve">f) Finalmente, dentro de este apartado, se refiere el Ministerio Fiscal al supuesto rol inquisitivo asumido por el magistrado presidente por las preguntas formuladas al testigo don Josep Lluís Trapero al amparo del art. 708 LECrim. Tras la reproducción de la doctrina constitucional contenida en las SSTC 130/2002, de 3 de junio, FJ 3; 229/2003, de 18 de diciembre, FJ 14, y 334/2005, de 20 de diciembre, FJ 3, argumenta que las dos preguntas </w:t>
      </w:r>
      <w:r>
        <w:lastRenderedPageBreak/>
        <w:t>sobre la reunión mantenida el 28 de septiembre de 2017 por el mayor de los Mossos d’Escuadra con responsables políticos del Govern de Cataluña, reunión sobre la que el testigo ya había sido interrogado, se circunscribió a los hechos objeto de la causa penal sin introducir elemento alguno que fuera ajeno al debate cruzado sostenido entre las partes, y operó sobre fuentes probatorias existentes en la propia causa. Tan es así que no hubo protesta por ninguno de los presentes y se dio a las defensas la oportunidad de repreguntar —utilizando este trámite una de ellas—, respetándose el principio de contradicción. Valora favorablemente la respuesta dada a esta cuestión por la sentencia recurrida, con abundante cita de la jurisprudencia del Tribunal Supremo, para concluir que el presidente ejercitó su facultad legal de modo moderado y no puede afirmarse en absoluto que haya habido una toma de partido o una actividad inquisitiva.</w:t>
      </w:r>
    </w:p>
    <w:p w:rsidR="005728DD" w:rsidRDefault="005728DD" w:rsidP="005728DD">
      <w:pPr>
        <w:pStyle w:val="TextoNormal"/>
      </w:pPr>
    </w:p>
    <w:p w:rsidR="005728DD" w:rsidRDefault="005728DD" w:rsidP="005728DD">
      <w:pPr>
        <w:pStyle w:val="TextoNormal"/>
      </w:pPr>
      <w:r>
        <w:t>11.5. Igualdad de armas.</w:t>
      </w:r>
    </w:p>
    <w:p w:rsidR="005728DD" w:rsidRDefault="005728DD" w:rsidP="005728DD">
      <w:pPr>
        <w:pStyle w:val="TextoNormal"/>
      </w:pPr>
    </w:p>
    <w:p w:rsidR="005728DD" w:rsidRDefault="005728DD" w:rsidP="005728DD">
      <w:pPr>
        <w:pStyle w:val="TextoNormal"/>
      </w:pPr>
      <w:r>
        <w:t>Sobre el denunciado trato desigual dado a las defensas respecto de las acusaciones, el fiscal, tras exponer la doctrina constitucional —con cita, entre otras muchas, de las SSTC 62/2009, de 9 de marzo, FJ 4; 12/2011, de 28 de febrero, FJ 3, y STC 5/2020, de 15 de enero, FJ 14—, aduce que la sentencia recurrida en amparo (fundamento de Derecho A, apartado 16) da una respuesta a todas las supuestas muestras de desigualdad y analiza cada uno de los aspectos alegados por el recurrente. Concluye apuntando que la alegación de desigualdad tiene un “valor meramente nominalista y formulario”, pues lo cuestionado no son sino decisiones adoptadas en el ejercicio de las facultades de dirección de las declaraciones testificales, que no incurrieron en infracción procesal alguna (art. 683 LECrim) y que obedecieron a una justificación razonable desde la perspectiva de la pertinencia e idoneidad de las preguntas y respuestas, sin alterar la igualdad de las partes ni menoscabar de modo sensible las facultades de alegación y contradicción entre ellas.</w:t>
      </w:r>
    </w:p>
    <w:p w:rsidR="005728DD" w:rsidRDefault="005728DD" w:rsidP="005728DD">
      <w:pPr>
        <w:pStyle w:val="TextoNormal"/>
      </w:pPr>
    </w:p>
    <w:p w:rsidR="005728DD" w:rsidRDefault="005728DD" w:rsidP="005728DD">
      <w:pPr>
        <w:pStyle w:val="TextoNormal"/>
      </w:pPr>
      <w:r>
        <w:t>11.6. Derecho de defensa.</w:t>
      </w:r>
    </w:p>
    <w:p w:rsidR="005728DD" w:rsidRDefault="005728DD" w:rsidP="005728DD">
      <w:pPr>
        <w:pStyle w:val="TextoNormal"/>
      </w:pPr>
    </w:p>
    <w:p w:rsidR="005728DD" w:rsidRDefault="005728DD" w:rsidP="005728DD">
      <w:pPr>
        <w:pStyle w:val="TextoNormal"/>
      </w:pPr>
      <w:r>
        <w:t xml:space="preserve">Una vez que aclara el fiscal que este motivo de la demanda de amparo, integrado por tres quejas más específicas, se vincula con el derecho a la prueba y, más concretamente, con el derecho a utilizar los medios de prueba pertinentes para la defensa (art. 24.2 CE), sintetiza la doctrina contenida en las SSTC 165/2001, de 16 de julio, FJ 2; 359/2006 de 18 de diciembre, FJ 2, y, más recientemente, en las SSTC 212/2013, de 16 de diciembre, FJ 4, y 130/2017, de 13 de noviembre, FJ 2, que es acorde con la jurisprudencia europea (STEDH de 3 de octubre de 2019, asunto </w:t>
      </w:r>
      <w:r w:rsidRPr="005728DD">
        <w:rPr>
          <w:i/>
        </w:rPr>
        <w:t>Fleischner c. Germany</w:t>
      </w:r>
      <w:r>
        <w:t>). Después de recordar que este Tribunal Constitucional tan solo es competente para controlar las decisiones judiciales en esta materia cuando se hubieran inadmitido pruebas relevantes sin motivación alguna, o mediante una interpretación y aplicación de la legalidad arbitraria o irrazonable, se pronuncia individualizadamente sobre los tres motivos antes mencionados.</w:t>
      </w:r>
    </w:p>
    <w:p w:rsidR="005728DD" w:rsidRDefault="005728DD" w:rsidP="005728DD">
      <w:pPr>
        <w:pStyle w:val="TextoNormal"/>
      </w:pPr>
    </w:p>
    <w:p w:rsidR="005728DD" w:rsidRDefault="005728DD" w:rsidP="005728DD">
      <w:pPr>
        <w:pStyle w:val="TextoNormal"/>
      </w:pPr>
      <w:r>
        <w:t xml:space="preserve">a) Sobre la denegación de la aportación de testimonio íntegro de las diligencias previas núm. 118-2017 seguidas ante el Juzgado de Instrucción núm. 13 de Barcelona, tras trascribir lo razonado en el fundamento de Derecho A, apartado 8, de la sentencia impugnada, que reproduce pasajes del auto de 1 de febrero de 2019, señala el ministerio público que la respuesta es “motivada, seria, completa y razonable”. Destaca, a tales efectos, el carácter genérico de la proposición, sin cita de documentos ni precisión de la relación con el </w:t>
      </w:r>
      <w:r w:rsidRPr="005728DD">
        <w:rPr>
          <w:i/>
        </w:rPr>
        <w:t>thema decidendi</w:t>
      </w:r>
      <w:r>
        <w:t xml:space="preserve">; que se admitió la incorporación de documentos y piezas de convicción pero “no </w:t>
      </w:r>
      <w:r>
        <w:lastRenderedPageBreak/>
        <w:t>de lo que no tiene esa condición por tratarse de meras actuaciones reseñadas por escrito o declaraciones, diligencias y actuaciones procesales o pre procesales o policiales documentadas”; y que el criterio de admisión fue común para acusaciones y defensas, lo que descarta un trato desigual.</w:t>
      </w:r>
    </w:p>
    <w:p w:rsidR="005728DD" w:rsidRDefault="005728DD" w:rsidP="005728DD">
      <w:pPr>
        <w:pStyle w:val="TextoNormal"/>
      </w:pPr>
    </w:p>
    <w:p w:rsidR="005728DD" w:rsidRDefault="005728DD" w:rsidP="005728DD">
      <w:pPr>
        <w:pStyle w:val="TextoNormal"/>
      </w:pPr>
      <w:r>
        <w:t>b) Por lo que se refiere a la alegación de imposibilidad de contrastar las declaraciones testificales con la prueba documental videográfica, la respuesta judicial se encuentra en el fundamento de Derecho A, apartado 16.1, de la sentencia, del que el fiscal reproduce gran parte de su contenido. A su juicio, la respuesta es también “motivada, completa, seria y rigurosa”, sin producir indefensión material. Durante el juicio oral los testigos declararon en interrogatorio cruzado sobre los extremos que interesaban a la acusación y defensa; y se reprodujeron los videos. A partir de aquí, los informes orales constituyen el trámite idóneo para que las partes incidan sobre todo este material probatorio a fin de formar la convicción del tribunal.</w:t>
      </w:r>
    </w:p>
    <w:p w:rsidR="005728DD" w:rsidRDefault="005728DD" w:rsidP="005728DD">
      <w:pPr>
        <w:pStyle w:val="TextoNormal"/>
      </w:pPr>
    </w:p>
    <w:p w:rsidR="005728DD" w:rsidRDefault="005728DD" w:rsidP="005728DD">
      <w:pPr>
        <w:pStyle w:val="TextoNormal"/>
      </w:pPr>
      <w:r>
        <w:t>c) Respecto de la denegación, por auto de 1 de febrero de 2019, de las pruebas propuestas por la defensa, el fiscal reproduce la respuesta dada por la sentencia [fundamento de Derecho A, apartado 10.2 d) y 3 a) y b)] sobre el requerimiento de identificación de dos cuentas en redes sociales y las testificales de Su Majestad el Rey, el jefe de la Casa Real y don Carles Puigdemont; y afirma que el tribunal ha ofrecido una respuesta motivada y razonable sobre su impertinencia y/o inutilidad, sin incurrir en infracción procesal, ni provocar indefensión efectiva, no habiéndose justificado, en todo caso, su carácter decisivo para el fallo.</w:t>
      </w:r>
    </w:p>
    <w:p w:rsidR="005728DD" w:rsidRDefault="005728DD" w:rsidP="005728DD">
      <w:pPr>
        <w:pStyle w:val="TextoNormal"/>
      </w:pPr>
    </w:p>
    <w:p w:rsidR="005728DD" w:rsidRDefault="005728DD" w:rsidP="005728DD">
      <w:pPr>
        <w:pStyle w:val="TextoNormal"/>
      </w:pPr>
      <w:r>
        <w:t>11.7. Derecho a la presunción de inocencia y a la tutela judicial efectiva por manifestaciones públicas de responsables políticos.</w:t>
      </w:r>
    </w:p>
    <w:p w:rsidR="005728DD" w:rsidRDefault="005728DD" w:rsidP="005728DD">
      <w:pPr>
        <w:pStyle w:val="TextoNormal"/>
      </w:pPr>
    </w:p>
    <w:p w:rsidR="005728DD" w:rsidRDefault="005728DD" w:rsidP="005728DD">
      <w:pPr>
        <w:pStyle w:val="TextoNormal"/>
      </w:pPr>
      <w:r>
        <w:t xml:space="preserve">Tras exponer la posición del recurrente y la respuesta ofrecida a esta cuestión por la sentencia recurrida (fundamentos de Derecho A, apartado 9), se refiere el fiscal ante el Tribunal Constitucional a la jurisprudencia del Tribunal Europeo de Derechos Humanos  sobre la dimensión extraprocesal de la presunción de inocencia, con especial referencia a la STEDH de 28 de junio 2008, asunto </w:t>
      </w:r>
      <w:r w:rsidRPr="005728DD">
        <w:rPr>
          <w:i/>
        </w:rPr>
        <w:t>Lizaso Azconobieta c. España</w:t>
      </w:r>
      <w:r>
        <w:t>, así como a la Directiva (UE) 2016/343, del Parlamento Europeo y del Consejo, de 9 de marzo de 2016, por la que se refuerzan en el proceso penal determinados aspectos de la presunción de inocencia y del derecho a estar presente en el juicio y, concretamente, a su art. 4 y los considerandos 13 a 19. A continuación, respecto de las entrevistas dadas por la secretaria de Estado de España global, señala que su examen en conjunto revela que su sentido real es dar noticia de la proximidad de la celebración del juicio y del desafío que ello supone para el sistema judicial español. En este contexto, la frase que destaca el demandante “el hecho de que haya líderes políticos que hayan cometido delitos que estén siendo juzgados no es algo habitual”, no puede estimarse como una manifestación que exceda sobradamente de la voluntad de informar. Finalmente, en cuanto a la publicación en las redes sociales, tras la condena, de mensajes y videos en los que se habría caricaturizado a los acusados como si fueran ladrones, a juicio del fiscal, “el alegado menoscabo al honor e integridad moral tiene sus propias vías de reclamación y no puede encontrar acomodo bajo el paraguas del derecho a la presunción de inocencia”.</w:t>
      </w:r>
    </w:p>
    <w:p w:rsidR="005728DD" w:rsidRDefault="005728DD" w:rsidP="005728DD">
      <w:pPr>
        <w:pStyle w:val="TextoNormal"/>
      </w:pPr>
    </w:p>
    <w:p w:rsidR="005728DD" w:rsidRDefault="005728DD" w:rsidP="005728DD">
      <w:pPr>
        <w:pStyle w:val="TextoNormal"/>
      </w:pPr>
      <w:r>
        <w:t>11.8. Proceso con todas las garantías y filtración de sentencia.</w:t>
      </w:r>
    </w:p>
    <w:p w:rsidR="005728DD" w:rsidRDefault="005728DD" w:rsidP="005728DD">
      <w:pPr>
        <w:pStyle w:val="TextoNormal"/>
      </w:pPr>
    </w:p>
    <w:p w:rsidR="005728DD" w:rsidRDefault="005728DD" w:rsidP="005728DD">
      <w:pPr>
        <w:pStyle w:val="TextoNormal"/>
      </w:pPr>
      <w:r>
        <w:lastRenderedPageBreak/>
        <w:t>Una vez expuesta la alegación de la parte recurrente, la respuesta ofrecida por el auto que resolvió el incidente de nulidad de actuaciones (fundamento de Derecho 4.2.1), y la doctrina contenida en las SSTC 64/2001, 65/2001, 66/2001, todas de 17 de marzo, FFJJ 2, así como en la STC 69/2001, de la misma fecha, FJ 14, sostiene el ministerio público que, al margen de responsabilidades disciplinarias que pueden resultar, siendo la deliberación y votación de la sentencia anteriores a su redacción y “no existiendo principio de acreditación alguna ni afirmación terminante de que el sentido del fallo pudiera haber sido otro o cómo habría influido en el ánimo de cualquier magistrado”, el hecho de la filtración, por sí solo, no menoscaba la imparcialidad del tribunal.</w:t>
      </w:r>
    </w:p>
    <w:p w:rsidR="005728DD" w:rsidRDefault="005728DD" w:rsidP="005728DD">
      <w:pPr>
        <w:pStyle w:val="TextoNormal"/>
      </w:pPr>
    </w:p>
    <w:p w:rsidR="005728DD" w:rsidRDefault="005728DD" w:rsidP="005728DD">
      <w:pPr>
        <w:pStyle w:val="TextoNormal"/>
      </w:pPr>
      <w:r>
        <w:t>11.9. Tutela judicial efectiva e individualización de la pena.</w:t>
      </w:r>
    </w:p>
    <w:p w:rsidR="005728DD" w:rsidRDefault="005728DD" w:rsidP="005728DD">
      <w:pPr>
        <w:pStyle w:val="TextoNormal"/>
      </w:pPr>
    </w:p>
    <w:p w:rsidR="005728DD" w:rsidRDefault="005728DD" w:rsidP="005728DD">
      <w:pPr>
        <w:pStyle w:val="TextoNormal"/>
      </w:pPr>
      <w:r>
        <w:t>Según el fiscal, que comienza reproduciendo lo dicho al respecto en el auto de 20 de enero de 2020 (fundamento de Derecho 4.2.2), las razones y datos básicos para la individualización de la pena impuesta se expresan de manera escueta, pero más que suficiente de acuerdo con la doctrina constitucional, por remisión de la propia sentencia en su apartado dedicado a las penas (fundamento de Derecho D, apartado 2) al relato de los hechos declarados probados, de los que pueden inferirse sin mayor esfuerzo. No resultan exigibles ulteriores razonamientos que traduzcan dichas razones y datos “en una cuantificación de pena exacta, dada la imposibilidad de sentar un criterio que mida lo que, de suyo, no es susceptible de medición”, atendida la doctrina fijada en las SSTC 47/1998, de 2 de marzo, FJ 6; 136/2003, de 30 de junio, FJ 3, y 98/2005, de 18 de abril, FJ 2.</w:t>
      </w:r>
    </w:p>
    <w:p w:rsidR="005728DD" w:rsidRDefault="005728DD" w:rsidP="005728DD">
      <w:pPr>
        <w:pStyle w:val="TextoNormal"/>
      </w:pPr>
    </w:p>
    <w:p w:rsidR="005728DD" w:rsidRDefault="005728DD" w:rsidP="005728DD">
      <w:pPr>
        <w:pStyle w:val="TextoNormal"/>
      </w:pPr>
      <w:r w:rsidRPr="005728DD">
        <w:rPr>
          <w:rStyle w:val="NumeroAFNegritaCaracter"/>
        </w:rPr>
        <w:t>12</w:t>
      </w:r>
      <w:r>
        <w:t>. A fin de tramitar y resolver la petición de recusación del magistrado de este Tribunal Constitucional Sr. Narváez Rodríguez, planteada por los demandantes en este proceso de amparo mediante escrito de fecha 26 de octubre de 2020, el Pleno, mediante providencia de fecha 17 de noviembre de 2020, con suspensión de las actuaciones correspondientes al presente recurso, acordó formar pieza separada.</w:t>
      </w:r>
    </w:p>
    <w:p w:rsidR="005728DD" w:rsidRDefault="005728DD" w:rsidP="005728DD">
      <w:pPr>
        <w:pStyle w:val="TextoNormal"/>
      </w:pPr>
    </w:p>
    <w:p w:rsidR="005728DD" w:rsidRDefault="005728DD" w:rsidP="005728DD">
      <w:pPr>
        <w:pStyle w:val="TextoNormal"/>
      </w:pPr>
      <w:r>
        <w:t>Con fecha 16 de febrero de 2021, el magistrado don Antonio Narváez Rodríguez formuló su abstención en relación con el presente proceso constitucional de amparo, abstención que, por unanimidad, fue considerada justificada por el Pleno en resolución de la misma fecha, lo que dio lugar a su aceptación y a acordar el archivo de la pieza separada de recusación formada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13</w:t>
      </w:r>
      <w:r>
        <w:t>. Por escrito registrado en este tribunal el 26 de marzo de 2021, don Aníbal Bordallo Huidobro, procurador de los tribunales, en representación de don Josep Rull i Andreu, promovió la recusación del magistrado don Cándido Conde-Pumpido Tourón.</w:t>
      </w:r>
    </w:p>
    <w:p w:rsidR="005728DD" w:rsidRDefault="005728DD" w:rsidP="005728DD">
      <w:pPr>
        <w:pStyle w:val="TextoNormal"/>
      </w:pPr>
    </w:p>
    <w:p w:rsidR="005728DD" w:rsidRDefault="005728DD" w:rsidP="005728DD">
      <w:pPr>
        <w:pStyle w:val="TextoNormal"/>
      </w:pPr>
      <w:r>
        <w:t>Con fecha 7 de abril de 2021, el magistrado don Cándido Conde-Pumpido Tourón formuló su abstención en relación con el presente proceso constitucional de amparo, abstención que, por unanimidad, fue considerada justificada por el Pleno en auto de 20 de abril de 2021, lo que dio lugar a apartarle definitivamente del presente recurso y de todas sus incidencias.</w:t>
      </w:r>
    </w:p>
    <w:p w:rsidR="005728DD" w:rsidRDefault="005728DD" w:rsidP="005728DD">
      <w:pPr>
        <w:pStyle w:val="TextoNormal"/>
      </w:pPr>
    </w:p>
    <w:p w:rsidR="005728DD" w:rsidRDefault="005728DD" w:rsidP="005728DD">
      <w:pPr>
        <w:pStyle w:val="TextoNormal"/>
      </w:pPr>
      <w:r w:rsidRPr="005728DD">
        <w:rPr>
          <w:rStyle w:val="NumeroAFNegritaCaracter"/>
        </w:rPr>
        <w:t>14</w:t>
      </w:r>
      <w:r>
        <w:t>. Por providencia de 1 de junio de 2021, se señaló para la deliberación y votación de la presente sentencia el día 2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posiciones de las partes</w:t>
      </w:r>
      <w:r>
        <w:t>.</w:t>
      </w:r>
    </w:p>
    <w:p w:rsidR="005728DD" w:rsidRDefault="005728DD" w:rsidP="005728DD">
      <w:pPr>
        <w:pStyle w:val="TextoNormal"/>
      </w:pPr>
    </w:p>
    <w:p w:rsidR="005728DD" w:rsidRDefault="005728DD" w:rsidP="005728DD">
      <w:pPr>
        <w:pStyle w:val="TextoNormal"/>
      </w:pPr>
      <w:r>
        <w:t>El presente recurso de amparo se interpone: i) contra la sentencia de la Sala de lo Penal del Tribunal Supremo núm. 459/2019, de 14 de octubre, que condenó al demandante como autor de un delito de sedición previsto en los arts. 544 y 545.1 CP a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y contra el auto del mismo tribunal de 29 de enero de 2020, que desestimó los incidentes de nulidad interpuestos contra la sentencia antes indicada, resoluciones que fueron dictadas en la causa especial núm. 20907-2017, por la Sala de lo Penal del Tribunal Supremo.</w:t>
      </w:r>
    </w:p>
    <w:p w:rsidR="005728DD" w:rsidRDefault="005728DD" w:rsidP="005728DD">
      <w:pPr>
        <w:pStyle w:val="TextoNormal"/>
      </w:pPr>
    </w:p>
    <w:p w:rsidR="005728DD" w:rsidRDefault="005728DD" w:rsidP="005728DD">
      <w:pPr>
        <w:pStyle w:val="TextoNormal"/>
      </w:pPr>
      <w:r>
        <w:t xml:space="preserve">En la demanda, el recurrente alega las siguientes vulneraciones de derechos fundamentales: i) del derecho al juez ordinario predeterminado por la ley (arts. 24.2 CE y 6 CEDH), por haber asumido el Tribunal Supremo la competencia para enjuiciar los hechos, privando adicionalmente al recurrente de su derecho a la doble instancia (art. 2 del Protocolo núm. 7 CEDH); ii) del derecho de defensa (arts. 24.2 CE y 6 CEDH) y del derecho a la no discriminación por razón de la lengua (arts. 14 CE y 14 CEDH), por no haberse permitido a los acusados declarar en su lengua vernácula empleando un sistema de traducción simultánea; y por haber impedido el empleo del catalán a testigos propuestos por la defensa; iii) del derecho a un juez imparcial (arts. 24.2 y 6 CEDH), por no haberse estimado las diversas recusaciones formuladas a lo largo del procedimiento y por el rol inquisitivo asumido por el presidente del tribunal en el acto del juicio; iv) del principio de igualdad de armas (arts. 24.2 CE y 6 CEDH), por el trato desfavorable dispensado a las defensas en el acto del juicio oral; v) del derecho de defensa (arts. 24 CE y 6 CEDH), por no haber tenido acceso a las actuaciones seguidas en el Juzgado de Instrucción núm. 13 de Barcelona, por la imposibilidad de contrastar las declaraciones testificales con la prueba documental videográfica y por la denegación de pruebas pertinentes solicitadas en tiempo y forma; vi) del derecho a la presunción de inocencia y a la tutela judicial efectiva (art. 24.1 y 2 CE), por las manifestaciones públicas de miembros del Gobierno español sobre los hechos enjuiciados y la reiterada omisión del tribunal de amparar a los procesados ante dichas manifestaciones; vii) del derecho a un proceso con todas las garantías (arts. 24.2 CE y 6 CEDH), por la filtración del contenido de la sentencia cuando su redacción no había culminado; viii) del derecho a la tutela judicial efectiva por ausencia de toda motivación de la individualización de la pena (arts. 17, 24 y 25 CE en relación con art. 120.3 CE); ix) del derecho fundamental a la legalidad penal (arts. 25.1 CE y 7 CEDH), por abandono </w:t>
      </w:r>
      <w:r w:rsidRPr="005728DD">
        <w:rPr>
          <w:i/>
        </w:rPr>
        <w:t>ad hoc</w:t>
      </w:r>
      <w:r>
        <w:t xml:space="preserve"> del principio de accesoriedad limitada en la participación; x) del derecho fundamental a la legalidad penal (art. 25.1 CE) en relación con los derechos fundamentales a la libertad, de reunión pacífica y a las libertades de expresión e ideológica (arts. 17, 20, 21 y 16 CE), por la insuficiente taxatividad del tipo penal de la sedición; xi) del derecho fundamental a la legalidad penal (arts. 25.1 CE y 7 CEDH), por aplicación analógica del delito de sedición a los hechos enjuiciados; xii) del derecho fundamental a la legalidad penal (arts. 25.1 CE y 49 CDFUE), en relación con los derechos fundamentales a la libertad, de reunión y a las libertades de expresión e ideológica (arts. 17, 20, 21 y 16 CE), por la imposición de una pena desproporcionada.</w:t>
      </w:r>
    </w:p>
    <w:p w:rsidR="005728DD" w:rsidRDefault="005728DD" w:rsidP="005728DD">
      <w:pPr>
        <w:pStyle w:val="TextoNormal"/>
      </w:pPr>
    </w:p>
    <w:p w:rsidR="005728DD" w:rsidRDefault="005728DD" w:rsidP="005728DD">
      <w:pPr>
        <w:pStyle w:val="TextoNormal"/>
      </w:pPr>
      <w:r>
        <w:lastRenderedPageBreak/>
        <w:t>La abogacía del Estado interesó la desestimación del recurso de amparo. Por su parte, el partido político Vox alegó como óbice procesal la insuficiente justificación de la especial trascendencia constitucional del recurso; y en cuanto al fondo, interesó igualmente su desestimación. Finalmente, el Ministerio Fiscal solicitó también la desestimación del recurso de amparo.</w:t>
      </w:r>
    </w:p>
    <w:p w:rsidR="005728DD" w:rsidRDefault="005728DD" w:rsidP="005728DD">
      <w:pPr>
        <w:pStyle w:val="TextoNormal"/>
      </w:pPr>
    </w:p>
    <w:p w:rsidR="005728DD" w:rsidRDefault="005728DD" w:rsidP="005728DD">
      <w:pPr>
        <w:pStyle w:val="TextoNormal"/>
      </w:pPr>
      <w:r>
        <w:t>Las alegaciones de las partes intervinientes han sido ampliamente resumidas en los antecedentes de esta resolución. Sin perjuicio de ello, una síntesis de estas será expuesta de nuevo al analizar cada una de las quejas.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justificación de la especial transcendencia constitucional del recurso</w:t>
      </w:r>
      <w:r>
        <w:t>.</w:t>
      </w:r>
    </w:p>
    <w:p w:rsidR="005728DD" w:rsidRDefault="005728DD" w:rsidP="005728DD">
      <w:pPr>
        <w:pStyle w:val="TextoNormal"/>
      </w:pPr>
    </w:p>
    <w:p w:rsidR="005728DD" w:rsidRDefault="005728DD" w:rsidP="005728DD">
      <w:pPr>
        <w:pStyle w:val="TextoNormal"/>
      </w:pPr>
      <w:r>
        <w:t>Antes de llevar a cabo el análisis de las lesiones que se invocan en el escrito de demanda, procede resolver el óbice alegado por el partido político Vox, referido a la insuficiente justificación de la especial trascendencia constitucional del recurso de amparo. No obstante, cabe adelantar que, de no ser estimado este primer motivo de inadmisión, los óbices procesales que se asocian a cada uno de los motivos de amparo serán resueltos al enjuiciar cada uno de dichos motivos.</w:t>
      </w:r>
    </w:p>
    <w:p w:rsidR="005728DD" w:rsidRDefault="005728DD" w:rsidP="005728DD">
      <w:pPr>
        <w:pStyle w:val="TextoNormal"/>
      </w:pPr>
    </w:p>
    <w:p w:rsidR="005728DD" w:rsidRDefault="005728DD" w:rsidP="005728DD">
      <w:pPr>
        <w:pStyle w:val="TextoNormal"/>
      </w:pPr>
      <w:r>
        <w:t>Dicho partido político señala que el demandante no hace en la demanda el más mínimo esfuerzo para cumplimentar aquel requisito, pues se limita a formular una argumentación genérica que “ni explica la supuesta falta de compatibilidad del delito de sedición y su aplicación al presente caso con los derechos fundamentales alegados, ni tampoco se cita, siquiera, la supuesta vulneración de la jurisprudencia constitucional previa [...] y de la doctrina del Tribunal Europeo de Derechos Humanos”. En suma, incurre en excesiva brevedad y demasiadas generalidades.</w:t>
      </w:r>
    </w:p>
    <w:p w:rsidR="005728DD" w:rsidRDefault="005728DD" w:rsidP="005728DD">
      <w:pPr>
        <w:pStyle w:val="TextoNormal"/>
      </w:pPr>
    </w:p>
    <w:p w:rsidR="005728DD" w:rsidRDefault="005728DD" w:rsidP="005728DD">
      <w:pPr>
        <w:pStyle w:val="TextoNormal"/>
      </w:pPr>
      <w:r>
        <w:t xml:space="preserve">A fin de dar respuesta a la objeción procesal opuesta, conviene recordar que la previsión del art. 49.1 </w:t>
      </w:r>
      <w:r w:rsidRPr="005728DD">
        <w:rPr>
          <w:i/>
        </w:rPr>
        <w:t>in fine</w:t>
      </w:r>
      <w:r>
        <w:t xml:space="preserv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w:t>
      </w:r>
      <w:r>
        <w:lastRenderedPageBreak/>
        <w:t>viamente, un presupuesto inexcusable en cualquier demanda de amparo— y los razonamientos específicamente dirigidos a justificar que el recurso presenta especial trascendencia constitucional” (STC 17/2011, de 28 de febrero, FJ 2).</w:t>
      </w:r>
    </w:p>
    <w:p w:rsidR="005728DD" w:rsidRDefault="005728DD" w:rsidP="005728DD">
      <w:pPr>
        <w:pStyle w:val="TextoNormal"/>
      </w:pPr>
    </w:p>
    <w:p w:rsidR="005728DD" w:rsidRDefault="005728DD" w:rsidP="005728DD">
      <w:pPr>
        <w:pStyle w:val="TextoNormal"/>
      </w:pPr>
      <w:r>
        <w:t>El planteamiento del referido óbice obliga a retomar las razones dadas en el escrito de demanda para justificar la especial trascendencia constitucional del presente recurso. En dicho escrito, tras enumerar los diferentes motivos de especial trascendencia constitucional recogidos en la STC 216/2013, de 19 de diciembre, se afirma que el “especial interés constitucional del presente recurso” radica en el hecho de que el Tribunal Constitucional podrá pronunciarse sobre cuestiones respecto de las cuales no existen precedentes, entre ellas la compatibilidad del delito de sedición con el ejercicio de los derechos fundamentales a la libertad ideológica, de reunión y manifestación y con el derecho de legalidad penal. Por otro lado, señala que ciertas decisiones adoptadas por el Tribunal Supremo contravienen la jurisprudencia constitucional previa y la doctrina del Tribunal Europeo de Derechos Humanos.</w:t>
      </w:r>
    </w:p>
    <w:p w:rsidR="005728DD" w:rsidRDefault="005728DD" w:rsidP="005728DD">
      <w:pPr>
        <w:pStyle w:val="TextoNormal"/>
      </w:pPr>
    </w:p>
    <w:p w:rsidR="005728DD" w:rsidRDefault="005728DD" w:rsidP="005728DD">
      <w:pPr>
        <w:pStyle w:val="TextoNormal"/>
      </w:pPr>
      <w:r>
        <w:t>Comenzando por el final, la referencia que en la demanda se formula respecto del incumplimiento de la doctrina de los tribunales indicados no constituye un motivo de especial trascendencia constitucional, pues esa alegación, en los términos que ha sido formulada, solo resulta relevante para justificar las lesiones asociadas a esos incumplimientos, pero carece de entidad para entender cumplido el requisito impuesto por el art. 49.1 LOTC.</w:t>
      </w:r>
    </w:p>
    <w:p w:rsidR="005728DD" w:rsidRDefault="005728DD" w:rsidP="005728DD">
      <w:pPr>
        <w:pStyle w:val="TextoNormal"/>
      </w:pPr>
    </w:p>
    <w:p w:rsidR="005728DD" w:rsidRDefault="005728DD" w:rsidP="005728DD">
      <w:pPr>
        <w:pStyle w:val="TextoNormal"/>
      </w:pPr>
      <w:r>
        <w:t>Distinta consideración merece la referencia a la compatibilidad del delito de sedición con los derechos fundamentales indicados. Este argumento se vincula con las quejas dirigidas contra el tipo de sedición (art. 544 CP), tanto por el insuficiente grado de taxatividad y determinación que presenta como porque su mera vigencia puede restringir los derechos fundamentales antes indicados. Y sobre este aspecto, remarca el recurrente, no existen pronunciamientos de este tribunal.</w:t>
      </w:r>
    </w:p>
    <w:p w:rsidR="005728DD" w:rsidRDefault="005728DD" w:rsidP="005728DD">
      <w:pPr>
        <w:pStyle w:val="TextoNormal"/>
      </w:pPr>
    </w:p>
    <w:p w:rsidR="005728DD" w:rsidRDefault="005728DD" w:rsidP="005728DD">
      <w:pPr>
        <w:pStyle w:val="TextoNormal"/>
      </w:pPr>
      <w:r>
        <w:t>Sin embargo, este razonamiento, cuya brevedad resulta incuestionable, se anuda a la inexistencia de doctrina constitucional sobre un aspecto novedoso, cual es la compatibilidad del delito de sedición con los derechos fundamentales objeto de cita. Así pues, debe considerarse cumplido el requisito que el partido político Vox objeta, pues, aunque sucintamente, el demandante ha ofrecido una argumentación que pone de relieve la singular relevancia del recurso de amparo, la cual, además, coincide con el motivo apreciado por este tribunal en la providencia de admisión: que el recurso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En consecuencia, el óbice debe ser desestimado.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Delimitación del fundamento fáctico y jurídico de la decisión de condena</w:t>
      </w:r>
      <w:r>
        <w:t>.</w:t>
      </w:r>
    </w:p>
    <w:p w:rsidR="005728DD" w:rsidRDefault="005728DD" w:rsidP="005728DD">
      <w:pPr>
        <w:pStyle w:val="TextoNormal"/>
      </w:pPr>
    </w:p>
    <w:p w:rsidR="005728DD" w:rsidRDefault="005728DD" w:rsidP="005728DD">
      <w:pPr>
        <w:pStyle w:val="TextoNormal"/>
      </w:pPr>
      <w:r>
        <w:t>El contenido del enjuiciamiento constitucional planteado en la demanda aconseja realizar, antes del análisis individualizado de cada una de las quejas, dos consideraciones previas, con la finalidad de facilitar la compresión del texto de esta sentencia.</w:t>
      </w:r>
    </w:p>
    <w:p w:rsidR="005728DD" w:rsidRDefault="005728DD" w:rsidP="005728DD">
      <w:pPr>
        <w:pStyle w:val="TextoNormal"/>
      </w:pPr>
    </w:p>
    <w:p w:rsidR="005728DD" w:rsidRDefault="005728DD" w:rsidP="005728DD">
      <w:pPr>
        <w:pStyle w:val="TextoNormal"/>
      </w:pPr>
      <w:r>
        <w:lastRenderedPageBreak/>
        <w:t>La primera tiene un doble objeto: está dirigida a delimitar la conducta del recurrente que ha sido considerada delictiva, así como las razones que han fundamentado dicha consideración (juicios de tipicidad y autoría).</w:t>
      </w:r>
    </w:p>
    <w:p w:rsidR="005728DD" w:rsidRDefault="005728DD" w:rsidP="005728DD">
      <w:pPr>
        <w:pStyle w:val="TextoNormal"/>
      </w:pPr>
    </w:p>
    <w:p w:rsidR="005728DD" w:rsidRDefault="005728DD" w:rsidP="005728DD">
      <w:pPr>
        <w:pStyle w:val="TextoNormal"/>
      </w:pPr>
      <w:r>
        <w:t>La segunda se dirige a destacar los pronunciamientos de este tribunal que, a lo largo del desarrollo de los hechos que han sido después enjuiciados penalmente, ha venido haciendo sobre la constitucionalidad de algunas iniciativas parlamentarias y gubernamentales, relacionadas con los hechos declarados probados, que estaban dirigidas a reivindicar y hacer efectivo el propósito de convocar y llevar a efecto un referéndum sobre la independencia de Cataluña, para dar soporte o continuidad al proceso de creación de un Estado catalán independiente en forma de república.</w:t>
      </w:r>
    </w:p>
    <w:p w:rsidR="005728DD" w:rsidRDefault="005728DD" w:rsidP="005728DD">
      <w:pPr>
        <w:pStyle w:val="TextoNormal"/>
      </w:pPr>
    </w:p>
    <w:p w:rsidR="005728DD" w:rsidRDefault="005728DD" w:rsidP="005728DD">
      <w:pPr>
        <w:pStyle w:val="TextoNormal"/>
      </w:pPr>
      <w:r>
        <w:t xml:space="preserve">3.1. </w:t>
      </w:r>
      <w:r w:rsidRPr="005728DD">
        <w:rPr>
          <w:i/>
        </w:rPr>
        <w:t>Delimitación de la conducta del recurrente que ha sido declarada delictiva</w:t>
      </w:r>
      <w:r>
        <w:t>.</w:t>
      </w:r>
    </w:p>
    <w:p w:rsidR="005728DD" w:rsidRDefault="005728DD" w:rsidP="005728DD">
      <w:pPr>
        <w:pStyle w:val="TextoNormal"/>
      </w:pPr>
    </w:p>
    <w:p w:rsidR="005728DD" w:rsidRDefault="005728DD" w:rsidP="005728DD">
      <w:pPr>
        <w:pStyle w:val="TextoNormal"/>
      </w:pPr>
      <w:r>
        <w:t>En los antecedentes de esta resolución hemos recogido íntegramente la declaración de hechos probados de la sentencia impugnada y hemos resumido los juicios de tipicidad y autoría que han justificado la condena por delito de sedición que se cuestiona. Dada su extensión, pues se refiere a diversos acusados que protagonizaron distintas conductas a lo largo de un dilatado período de tiempo, con la finalidad de facilitar su análisis, procederemos a continuación a exponer, a partir de los mismos, cuál es la conducta del recurrente que ha sido considerada penalmente relevante y cuál el contexto en que se desarrolló, así como las razones tomadas en consideración para fundamentar su declaración de culpabilidad como autor de un delito de sedición (arts. 544 y 545.1 CP).</w:t>
      </w:r>
    </w:p>
    <w:p w:rsidR="005728DD" w:rsidRDefault="005728DD" w:rsidP="005728DD">
      <w:pPr>
        <w:pStyle w:val="TextoNormal"/>
      </w:pPr>
    </w:p>
    <w:p w:rsidR="005728DD" w:rsidRDefault="005728DD" w:rsidP="005728DD">
      <w:pPr>
        <w:pStyle w:val="TextoNormal"/>
      </w:pPr>
      <w:r>
        <w:t>a) La sentencia relata en sus hechos probados que la conducta del señor Sànchez formaba parte de una estrategia concertada, que incluía un reparto funcional de roles entre los miembros del Gobierno autonómico de Cataluña, la presidenta de su Parlamento y diversas organizaciones institucionales, culturales y ciudadanas, que mantenían un programa político común, en cuanto eran todas partidarias de la creación de un Estado catalán independiente en forma de república. El objetivo mediato de la actuación conjunta de los acusados era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 En tal medida, en dicha estrategia común cobraba especial relevancia la celebración de un referéndum vinculante que, en caso de obtener un resultado favorable, cualquiera que fuera el índice de participación ciudadana, justificaría la proclamación de Cataluña como un Estado independiente, que era el objetivo final de la estrategia acordada.</w:t>
      </w:r>
    </w:p>
    <w:p w:rsidR="005728DD" w:rsidRDefault="005728DD" w:rsidP="005728DD">
      <w:pPr>
        <w:pStyle w:val="TextoNormal"/>
      </w:pPr>
    </w:p>
    <w:p w:rsidR="005728DD" w:rsidRDefault="005728DD" w:rsidP="005728DD">
      <w:pPr>
        <w:pStyle w:val="TextoNormal"/>
      </w:pPr>
      <w:r>
        <w:t>Dicho concierto estratégico, y la decisión de llevarlo a cabo, se había producido antes de las elecciones autonómicas celebradas el 27 de septiembre de 2015, mediante un preacuerdo político u hoja de ruta que las declaraba plebiscitarias;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005728DD" w:rsidRDefault="005728DD" w:rsidP="005728DD">
      <w:pPr>
        <w:pStyle w:val="TextoNormal"/>
      </w:pPr>
    </w:p>
    <w:p w:rsidR="005728DD" w:rsidRDefault="005728DD" w:rsidP="005728DD">
      <w:pPr>
        <w:pStyle w:val="TextoNormal"/>
      </w:pPr>
      <w:r>
        <w:t>Entre las entidades ciudadanas concertadas cobraron especial significación la Asamblea Nacional Catalana (ANC, fundada en 2011), presidida desde mayo de 2015 por el recurrente, y Òmnium Cultural (OC, fundada en 1961), presidida desde finales del año 2015 por don Jordi Cuixart i Navarro, también condenado en la causa. Ambas organizaciones tenían y mantienen entre sus objetivos hacer efectivo el que consideran derecho de los catalanes a elegir democrática y libremente su futuro político a través de un referéndum de autodeterminación.</w:t>
      </w:r>
    </w:p>
    <w:p w:rsidR="005728DD" w:rsidRDefault="005728DD" w:rsidP="005728DD">
      <w:pPr>
        <w:pStyle w:val="TextoNormal"/>
      </w:pPr>
    </w:p>
    <w:p w:rsidR="005728DD" w:rsidRDefault="005728DD" w:rsidP="005728DD">
      <w:pPr>
        <w:pStyle w:val="TextoNormal"/>
      </w:pPr>
      <w:r>
        <w:t>Según se afirma en la sentencia, a partir de 2015, ambos líderes pusieron esas organizaciones al servicio del propósito de hacer realidad dicho programa, que había sido previamente pactado con diversas fuerzas políticas que ya tenían representación parlamentaria autonómica. Se afirma también que la contribución movilizadora de ambas organizaciones ciudadanas resultaba decisiva para los fines y la estrategia de consecución ideados que han sido descritos.</w:t>
      </w:r>
    </w:p>
    <w:p w:rsidR="005728DD" w:rsidRDefault="005728DD" w:rsidP="005728DD">
      <w:pPr>
        <w:pStyle w:val="TextoNormal"/>
      </w:pPr>
    </w:p>
    <w:p w:rsidR="005728DD" w:rsidRDefault="005728DD" w:rsidP="005728DD">
      <w:pPr>
        <w:pStyle w:val="TextoNormal"/>
      </w:pPr>
      <w:r>
        <w:t>a) Más adelante, el relato de hechos probados de la sentencia impugnada declara que, pese a su funcionamiento asambleario y su autonomía funcional y orgánica, la asociación Asamblea Nacional Catalana, liderada por el recurrente, conjuntamente con la entidad Òmnium Cultural y en estrecho contacto con los dirigentes políticos nacionalistas partidarios de la independencia de Cataluña, contribuyó a posibilitar la celebración del proyectado referéndum previsto en la ley autonómica y en los decretos de Gobierno suspendidos cautelarmente por este Tribunal Constitucional. Para ello, de forma coordinada, utilizaron su capacidad de movilización ciudadana convocando a la población a ocupar los espacios donde estaba prevista la votación, lo que se entendió preciso para asegurar tal objetivo, al tiempo que con ello se impedían las actuaciones de los poderes públicos dirigidas a hacer efectiva su suspensión, decretada por este tribunal.</w:t>
      </w:r>
    </w:p>
    <w:p w:rsidR="005728DD" w:rsidRDefault="005728DD" w:rsidP="005728DD">
      <w:pPr>
        <w:pStyle w:val="TextoNormal"/>
      </w:pPr>
    </w:p>
    <w:p w:rsidR="005728DD" w:rsidRDefault="005728DD" w:rsidP="005728DD">
      <w:pPr>
        <w:pStyle w:val="TextoNormal"/>
      </w:pPr>
      <w:r>
        <w:t>En el relato fáctico de la sentencia, dicha contribución aparece concretada con referencia específica a dos momentos:</w:t>
      </w:r>
    </w:p>
    <w:p w:rsidR="005728DD" w:rsidRDefault="005728DD" w:rsidP="005728DD">
      <w:pPr>
        <w:pStyle w:val="TextoNormal"/>
      </w:pPr>
    </w:p>
    <w:p w:rsidR="005728DD" w:rsidRDefault="005728DD" w:rsidP="005728DD">
      <w:pPr>
        <w:pStyle w:val="TextoNormal"/>
      </w:pPr>
      <w:r>
        <w:t>(i) El primero de ellos se produjo el 20 de septiembre de 2017. Guarda relación con la ejecución por la policía judicial de la decisión adoptada por el magistrado juez de instrucción núm. 13 de Barcelona dirigida a registrar, entre otras, la sede de la Consejería de Vicepresidencia, Economía y Hacienda de la Generalitat de Cataluña. El registro se produjo tras la detención de algunos de sus responsables, y tenía como objetivo el hallazgo de fuentes de prueba útiles para esclarecer las responsabilidades penales en que pudieran haber incurrido los detenidos, o sus colaboradores, como consecuencia de los preparativos del referéndum convocado el anterior día 6 de septiembre, así como, destacadamente, impedir su celebración. Los agentes de policía judicial que integraban la comisión llegaron a la sede de la consejería sobre las 08:00 horas, dejando los vehículos oficiales estacionados frente a su acceso.</w:t>
      </w:r>
    </w:p>
    <w:p w:rsidR="005728DD" w:rsidRDefault="005728DD" w:rsidP="005728DD">
      <w:pPr>
        <w:pStyle w:val="TextoNormal"/>
      </w:pPr>
    </w:p>
    <w:p w:rsidR="005728DD" w:rsidRDefault="005728DD" w:rsidP="005728DD">
      <w:pPr>
        <w:pStyle w:val="TextoNormal"/>
      </w:pPr>
      <w:r>
        <w:t xml:space="preserve">Continúa el relato señalando que, desde las 8:55 horas, mediante mensajes telemáticos difundidos desde las cuentas en redes sociales de los líderes de ANC y Òmnium Cultural, y desde las de las propias organizaciones que presidían, se convocó a la población a que compareciera, entre otras, ante dicha sede, emplazando a la ciudadanía a defender las instituciones catalanas, y a exigir la puesta en libertad de los detenidos, invitando a la movilización </w:t>
      </w:r>
      <w:r>
        <w:lastRenderedPageBreak/>
        <w:t>ciudadana. En dichos mensajes se decía que “no podrían con todos ellos”, que “las fuerzas del orden se habían equivocado” y que “habían declarado la guerra a quienes querían votar”.</w:t>
      </w:r>
    </w:p>
    <w:p w:rsidR="005728DD" w:rsidRDefault="005728DD" w:rsidP="005728DD">
      <w:pPr>
        <w:pStyle w:val="TextoNormal"/>
      </w:pPr>
    </w:p>
    <w:p w:rsidR="005728DD" w:rsidRDefault="005728DD" w:rsidP="005728DD">
      <w:pPr>
        <w:pStyle w:val="TextoNormal"/>
      </w:pPr>
      <w:r>
        <w:t>En los minutos siguientes la afluencia de personas se fue incrementando, hasta el punto de que a las 10:30 horas de esa mañana los manifestantes habían rodeado por completo el edificio impidiendo a la comisión judicial la normal realización de sus funciones. La concentración, en cifra aproximada de 40 000 personas, se desarrolló durante el resto del día 20 de septiembre, mientras la comisión judicial permanecía en el edificio que debía ser registrado, al que, debido a la concentración, no pudieron ser trasladados los propios detenidos que habían de estar presentes, dada la imposibilidad de atravesar en condiciones de seguridad la multitud. No se estableció un perímetro de seguridad, sino que solo fue abierto un estrecho pasillo humano, que no era controlado policialmente, sino por los propios voluntarios de la entidad convocante (ANC), que portaban chalecos identificativos.</w:t>
      </w:r>
    </w:p>
    <w:p w:rsidR="005728DD" w:rsidRDefault="005728DD" w:rsidP="005728DD">
      <w:pPr>
        <w:pStyle w:val="TextoNormal"/>
      </w:pPr>
    </w:p>
    <w:p w:rsidR="005728DD" w:rsidRDefault="005728DD" w:rsidP="005728DD">
      <w:pPr>
        <w:pStyle w:val="TextoNormal"/>
      </w:pPr>
      <w:r>
        <w:t>La situación de hecho a que dio lugar la convocatoria provocó que no pudieran ser extraídos del edificio los efectos intervenidos y que la comisión judicial no pudiera abandonar el edificio así rodeado. Solo a partir de las 12:00 de la noche, a través de la azotea del edificio contiguo, se consiguió evacuar camuflada a la letrada de la administración de justicia que dirigía la comisión judicial; el resto de sus integrantes, en su mayor parte agentes de policía judicial, pudieron hacerlo a partir de las 04:00 horas de la madrugada siguiente, una vez disuelta la concentración con cargas de agentes policiales antidisturbios, finalizando la evacuación a las 07:00 horas del día 21 de septiembre. Siete vehículos policiales en los que se había desplazado la comisión judicial sufrieron importantes destrozos materiales.</w:t>
      </w:r>
    </w:p>
    <w:p w:rsidR="005728DD" w:rsidRDefault="005728DD" w:rsidP="005728DD">
      <w:pPr>
        <w:pStyle w:val="TextoNormal"/>
      </w:pPr>
    </w:p>
    <w:p w:rsidR="005728DD" w:rsidRDefault="005728DD" w:rsidP="005728DD">
      <w:pPr>
        <w:pStyle w:val="TextoNormal"/>
      </w:pPr>
      <w:r>
        <w:t>Según el relato, don Jordi Sànchez, durante esos disturbios,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y que se hicieran cargo de los vehículos policiales a menos que procedieran de igual modo. “Al ser informado por los agentes de que en el interior de esos coches había armas, dispuso lo necesario para aislar los vehículos”. Sobre las 21:15 horas de ese mismo día, el entonces jefe de la brigada antidisturbios de los Mossos (BRIMO) se entrevistó con el señor Sànchez “que, hasta tal punto ejercía el control sobre la masa, que se permitió reprochar a su interlocutor la presencia de los efectivos policiales: ‘[…] saca a la BRIMO de aquí […], esto que estás haciendo no es lo que hemos acordado, largaos de aquí’. Conforme avanzaban las horas de la noche, sin embargo, cambió hacia una actitud más colaboradora con los agentes”.</w:t>
      </w:r>
    </w:p>
    <w:p w:rsidR="005728DD" w:rsidRDefault="005728DD" w:rsidP="005728DD">
      <w:pPr>
        <w:pStyle w:val="TextoNormal"/>
      </w:pPr>
    </w:p>
    <w:p w:rsidR="005728DD" w:rsidRDefault="005728DD" w:rsidP="005728DD">
      <w:pPr>
        <w:pStyle w:val="TextoNormal"/>
      </w:pPr>
      <w:r>
        <w:t xml:space="preserve">Concluye el relato de estos hechos señalando que, durante el desarrollo de la concentración, los líderes de ANC y Òmnium Cultural se dirigieron en diversas ocasiones a la multitud. El señor Cuixart exigió la libertad de los detenidos y retó al Estado a incautar el material preparado para la jornada de referéndum. El señor Sànchez, por su parte, proclamó que ese era el día en que había que salir a la calle a defender la dignidad, las instituciones catalanas y el referéndum, por lo que ni el presidente del Gobierno (señor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por delante una noche larga e intensa, y que habían de trabajar porque ellos eran el sueño </w:t>
      </w:r>
      <w:r>
        <w:lastRenderedPageBreak/>
        <w:t>de un nuevo país. Sobre las 23:41 horas, ambos líderes sociales se dirigieron a los concentrados desde lo alto de uno de los vehículos policiales destrozados. El señor Cuixart manifestó hablar en nombre de las entidades soberanistas, así como del Partido Democrático de Cataluña, Esquerra Republicana de Cataluña y la CUP-CC (Candidatura de Unidad Popular-Llamada Constituyente), proclamando que todos estaban alzados para luchar por su libertad y afirmó que desde ese altar —en clara referencia al vehículo policial— el señor Sànchez y él querían convocar a todos los asistentes a una movilización permanente en defensa de los detenidos, emplazándoles a una concentración que tendría lugar a las 12:00 horas del día siguiente, en el Tribunal Superior de Justicia de Cataluña. Don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 de Justicia, a la que asistieron ambos líderes sociales junto a otros responsables políticos y cargos públicos.</w:t>
      </w:r>
    </w:p>
    <w:p w:rsidR="005728DD" w:rsidRDefault="005728DD" w:rsidP="005728DD">
      <w:pPr>
        <w:pStyle w:val="TextoNormal"/>
      </w:pPr>
    </w:p>
    <w:p w:rsidR="005728DD" w:rsidRDefault="005728DD" w:rsidP="005728DD">
      <w:pPr>
        <w:pStyle w:val="TextoNormal"/>
      </w:pPr>
      <w:r>
        <w:t>(ii) Tras recoger otros episodios intermedios de reivindicación, llamamientos a participar en el referéndum, y convocatoria a la movilización permanente, la sentencia se detiene en los sucesos acaecidos en la víspera y la jornada en la que la votación había sido establecida. Es este segundo momento el que, en la conducta del señor Sànchez declarada penalmente relevante, se valora como nuclear. Tiene que ver con la preparación y desarrollo de la participación ciudadana en la consulta convocada para la jornada del 1 de octubre de 2017.</w:t>
      </w:r>
    </w:p>
    <w:p w:rsidR="005728DD" w:rsidRDefault="005728DD" w:rsidP="005728DD">
      <w:pPr>
        <w:pStyle w:val="TextoNormal"/>
      </w:pPr>
    </w:p>
    <w:p w:rsidR="005728DD" w:rsidRDefault="005728DD" w:rsidP="005728DD">
      <w:pPr>
        <w:pStyle w:val="TextoNormal"/>
      </w:pPr>
      <w:r>
        <w:t>La relación de hechos probados señala que tanto el recurrente —como también el líder de Òmnium Cultural—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y a que protegieran después el recuento de los votos frente a las actuaciones que pudieran desarrollar los cuerpos y fuerzas de seguridad del Estado.</w:t>
      </w:r>
    </w:p>
    <w:p w:rsidR="005728DD" w:rsidRDefault="005728DD" w:rsidP="005728DD">
      <w:pPr>
        <w:pStyle w:val="TextoNormal"/>
      </w:pPr>
    </w:p>
    <w:p w:rsidR="005728DD" w:rsidRDefault="005728DD" w:rsidP="005728DD">
      <w:pPr>
        <w:pStyle w:val="TextoNormal"/>
      </w:pPr>
      <w:r>
        <w:t xml:space="preserve">Tales llamamientos se produjeron antes y en la fecha en la que el referéndum había sido convocado, pese a que era ya entonces notorio que la magistrada instructora de las diligencias penales incoadas ante la Sala de lo Civil y Penal del Tribunal Superior de Justicia de Cataluña había dictado auto de fecha 27 de septiembre de 2017 por el que ordenó a la policía autonómica catalana y al resto de cuerpos policiales operativos en Cataluña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w:t>
      </w:r>
      <w:r>
        <w:lastRenderedPageBreak/>
        <w:t>investigan; 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del Decreto 770/2017, de 28 de julio. Líbrense los oficios oportunos a los respectivos mandos de Mossos d’Esquadra, Guardia Civil y Policía Nacional”.</w:t>
      </w:r>
    </w:p>
    <w:p w:rsidR="005728DD" w:rsidRDefault="005728DD" w:rsidP="005728DD">
      <w:pPr>
        <w:pStyle w:val="TextoNormal"/>
      </w:pPr>
    </w:p>
    <w:p w:rsidR="005728DD" w:rsidRDefault="005728DD" w:rsidP="005728DD">
      <w:pPr>
        <w:pStyle w:val="TextoNormal"/>
      </w:pPr>
      <w:r>
        <w:t>No obstante la prohibición judicial, los centros escolares permanecieron abiertos desde el día anterior a la votación y, en gran parte, fueron ocupados por partidarios del referéndum que respondieron a las convocatorias que promovieron su presencia para evitar el cierre de locales y espacios públicos que había sido ordenado judicialmente.</w:t>
      </w:r>
    </w:p>
    <w:p w:rsidR="005728DD" w:rsidRDefault="005728DD" w:rsidP="005728DD">
      <w:pPr>
        <w:pStyle w:val="TextoNormal"/>
      </w:pPr>
    </w:p>
    <w:p w:rsidR="005728DD" w:rsidRDefault="005728DD" w:rsidP="005728DD">
      <w:pPr>
        <w:pStyle w:val="TextoNormal"/>
      </w:pPr>
      <w:r>
        <w:t>El día 1 de octubre de 2017, multitud de ciudadanos, atendiendo a los reiterados llamamientos, tanto de los líderes de las entidades ya reseñadas, como de otros actores políticos y medios, acudieron y permanecieron en los centros señalados para la emisión de voto. A varios de estos acudieron agentes del Cuerpo Nacional de Policía y de la Guardia Civil, con el propósito de dar cumplimiento a lo ordenado por el Tribunal Superior de Justicia de Cataluña.</w:t>
      </w:r>
    </w:p>
    <w:p w:rsidR="005728DD" w:rsidRDefault="005728DD" w:rsidP="005728DD">
      <w:pPr>
        <w:pStyle w:val="TextoNormal"/>
      </w:pPr>
    </w:p>
    <w:p w:rsidR="005728DD" w:rsidRDefault="005728DD" w:rsidP="005728DD">
      <w:pPr>
        <w:pStyle w:val="TextoNormal"/>
      </w:pPr>
      <w:r>
        <w:t>El desarrollo de la jornada prevista para la votación se narra así en la decisión de condena: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 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 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5728DD" w:rsidRDefault="005728DD" w:rsidP="005728DD">
      <w:pPr>
        <w:pStyle w:val="TextoNormal"/>
      </w:pPr>
    </w:p>
    <w:p w:rsidR="005728DD" w:rsidRDefault="005728DD" w:rsidP="005728DD">
      <w:pPr>
        <w:pStyle w:val="TextoNormal"/>
      </w:pPr>
      <w:r>
        <w:t>Según los datos hechos públicos por el gobierno de la Generalitat, el referéndum arrojó el siguiente resultado: de un total de 5 500 000 de personas con derecho a voto, la cifra total de votantes ascendió a 2 286 217 de personas.</w:t>
      </w:r>
    </w:p>
    <w:p w:rsidR="005728DD" w:rsidRDefault="005728DD" w:rsidP="005728DD">
      <w:pPr>
        <w:pStyle w:val="TextoNormal"/>
      </w:pPr>
    </w:p>
    <w:p w:rsidR="005728DD" w:rsidRDefault="005728DD" w:rsidP="005728DD">
      <w:pPr>
        <w:pStyle w:val="TextoNormal"/>
      </w:pPr>
      <w:r>
        <w:t xml:space="preserve">3.2. </w:t>
      </w:r>
      <w:r w:rsidRPr="005728DD">
        <w:rPr>
          <w:i/>
        </w:rPr>
        <w:t>La subsunción jurídica de la conducta del recurrente en el delito de sedición (arts. 544 y 545.1 CP</w:t>
      </w:r>
      <w:r>
        <w:t>).</w:t>
      </w:r>
    </w:p>
    <w:p w:rsidR="005728DD" w:rsidRDefault="005728DD" w:rsidP="005728DD">
      <w:pPr>
        <w:pStyle w:val="TextoNormal"/>
      </w:pPr>
    </w:p>
    <w:p w:rsidR="005728DD" w:rsidRDefault="005728DD" w:rsidP="005728DD">
      <w:pPr>
        <w:pStyle w:val="TextoNormal"/>
      </w:pPr>
      <w:r>
        <w:lastRenderedPageBreak/>
        <w:t>Atendiendo al juicio de tipicidad expresado en la sentencia cuestionada, cabe anticipar que el recurrente ha sido condenado por movilizar a la ciudadanía en un alzamiento público y tumultuario que, además de tener por objetivo impedir la aplicación de las leyes, obstaculizó de forma grave el cumplimiento de las decisiones judiciales dirigidas a evitar la celebración de un referéndum cuya base normativa y convocatoria habían sido cautelarmente suspendidas.</w:t>
      </w:r>
    </w:p>
    <w:p w:rsidR="005728DD" w:rsidRDefault="005728DD" w:rsidP="005728DD">
      <w:pPr>
        <w:pStyle w:val="TextoNormal"/>
      </w:pPr>
    </w:p>
    <w:p w:rsidR="005728DD" w:rsidRDefault="005728DD" w:rsidP="005728DD">
      <w:pPr>
        <w:pStyle w:val="TextoNormal"/>
      </w:pPr>
      <w:r>
        <w:t>A) Dicha apreciación de la Sala enjuiciadora se apoya en una comprensión del delito de sedición expresada en la decisión de condena en los siguientes términos:</w:t>
      </w:r>
    </w:p>
    <w:p w:rsidR="005728DD" w:rsidRDefault="005728DD" w:rsidP="005728DD">
      <w:pPr>
        <w:pStyle w:val="TextoNormal"/>
      </w:pPr>
    </w:p>
    <w:p w:rsidR="005728DD" w:rsidRDefault="005728DD" w:rsidP="005728DD">
      <w:pPr>
        <w:pStyle w:val="TextoNormal"/>
      </w:pPr>
      <w:r>
        <w:t>a) Pese a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al recurrente— actúan con la intención de impedir u obstruir la legítima voluntad legislativa, gubernativa o jurisdiccional, siendo indiferente a su calificación penal la finalidad última que anima dicha conducta obstativa.</w:t>
      </w:r>
    </w:p>
    <w:p w:rsidR="005728DD" w:rsidRDefault="005728DD" w:rsidP="005728DD">
      <w:pPr>
        <w:pStyle w:val="TextoNormal"/>
      </w:pPr>
    </w:p>
    <w:p w:rsidR="005728DD" w:rsidRDefault="005728DD" w:rsidP="005728DD">
      <w:pPr>
        <w:pStyle w:val="TextoNormal"/>
      </w:pPr>
      <w:r>
        <w:t>b) Pese a su ubicación sistemática como “delito contra el orden público” (título vigésimo segundo, capítulo primero del Código penal) la Sala entiende más correcto, a efectos de ordenación, atender en cada caso concreto al interés protegido en cada uno de los distintos tipos penales incluidos en dicho título.</w:t>
      </w:r>
    </w:p>
    <w:p w:rsidR="005728DD" w:rsidRDefault="005728DD" w:rsidP="005728DD">
      <w:pPr>
        <w:pStyle w:val="TextoNormal"/>
      </w:pPr>
    </w:p>
    <w:p w:rsidR="005728DD" w:rsidRDefault="005728DD" w:rsidP="005728DD">
      <w:pPr>
        <w:pStyle w:val="TextoNormal"/>
      </w:pPr>
      <w: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w:t>
      </w:r>
      <w:r w:rsidRPr="005728DD">
        <w:rPr>
          <w:i/>
        </w:rPr>
        <w:t>aliud</w:t>
      </w:r>
      <w:r>
        <w:t>)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005728DD" w:rsidRDefault="005728DD" w:rsidP="005728DD">
      <w:pPr>
        <w:pStyle w:val="TextoNormal"/>
      </w:pPr>
    </w:p>
    <w:p w:rsidR="005728DD" w:rsidRDefault="005728DD" w:rsidP="005728DD">
      <w:pPr>
        <w:pStyle w:val="TextoNormal"/>
      </w:pPr>
      <w:r>
        <w:t>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005728DD" w:rsidRDefault="005728DD" w:rsidP="005728DD">
      <w:pPr>
        <w:pStyle w:val="TextoNormal"/>
      </w:pPr>
    </w:p>
    <w:p w:rsidR="005728DD" w:rsidRDefault="005728DD" w:rsidP="005728DD">
      <w:pPr>
        <w:pStyle w:val="TextoNormal"/>
      </w:pPr>
      <w:r>
        <w:lastRenderedPageBreak/>
        <w:t>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005728DD" w:rsidRDefault="005728DD" w:rsidP="005728DD">
      <w:pPr>
        <w:pStyle w:val="TextoNormal"/>
      </w:pPr>
    </w:p>
    <w:p w:rsidR="005728DD" w:rsidRDefault="005728DD" w:rsidP="005728DD">
      <w:pPr>
        <w:pStyle w:val="TextoNormal"/>
      </w:pPr>
      <w:r>
        <w:t>La aplicación de los anteriores criterios a los hechos declarados probados, hace a la Sala concluir que:</w:t>
      </w:r>
    </w:p>
    <w:p w:rsidR="005728DD" w:rsidRDefault="005728DD" w:rsidP="005728DD">
      <w:pPr>
        <w:pStyle w:val="TextoNormal"/>
      </w:pPr>
    </w:p>
    <w:p w:rsidR="005728DD" w:rsidRDefault="005728DD" w:rsidP="005728DD">
      <w:pPr>
        <w:pStyle w:val="TextoNormal"/>
      </w:pPr>
      <w:r>
        <w:t>(i)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5728DD" w:rsidRDefault="005728DD" w:rsidP="005728DD">
      <w:pPr>
        <w:pStyle w:val="TextoNormal"/>
      </w:pPr>
    </w:p>
    <w:p w:rsidR="005728DD" w:rsidRDefault="005728DD" w:rsidP="005728DD">
      <w:pPr>
        <w:pStyle w:val="TextoNormal"/>
      </w:pPr>
      <w:r>
        <w:t>(ii)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del tipo de rebelión, suponían un intento de derogación de la legislación válida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t>B) La consideración del recurrente como autor de un delito de sedición se justifica señalando que su actuación, como líder de la Asociación Nacional Catalana, “fue absolutamente necesaria para la ejecución de los planes sediciosos”. Su contribución no se limitó al liderazgo en las movilizaciones multitudinarias de los días 20 y 21 de septiembre y, si bien fue ajeno al proceso legislativo que culminó con la aprobación de las leyes de transitoriedad y referéndum, “su concertación con el resto de los acusados es una evidencia”. Diversas declaraciones del señor Sànchez y su comportamiento con ocasión de la Diada del 11 de septiembre de 2015 y 2017, las manifestaciones convocadas por ANC el 13 de noviembre de 2015 y 6 de febrero de 2017, y las concentraciones de 11 de junio y de 11 de septiembre de 2017, acreditan el apoyo de la citada entidad a los planes de los coacusados desde que aquel asumió su presidencia en mayo de 2015.</w:t>
      </w:r>
    </w:p>
    <w:p w:rsidR="005728DD" w:rsidRDefault="005728DD" w:rsidP="005728DD">
      <w:pPr>
        <w:pStyle w:val="TextoNormal"/>
      </w:pPr>
    </w:p>
    <w:p w:rsidR="005728DD" w:rsidRDefault="005728DD" w:rsidP="005728DD">
      <w:pPr>
        <w:pStyle w:val="TextoNormal"/>
      </w:pPr>
      <w:r>
        <w:t xml:space="preserve">La Sala se detiene después en el protagonismo que mantuvo el recurrente el día 20 de septiembre en la concentración a las puertas de la Consejería de Vicepresidencia Economía </w:t>
      </w:r>
      <w:r>
        <w:lastRenderedPageBreak/>
        <w:t>y Hacienda, convocada por la asociación que él mismo presidía —ANC—, señalando que “asumió de forma voluntaria y con la aquiescencia del procesado señor Forn, que le confirió el rango de interlocutor, la promoción y el liderazgo” de dicho episodio siendo su actitud la de “dificultar y bloquear la actuación judicial”. Con ello pretendió demostrar que los jueces y magistrados de Cataluña habían perdido la capacidad de ejecutar sus resoluciones.</w:t>
      </w:r>
    </w:p>
    <w:p w:rsidR="005728DD" w:rsidRDefault="005728DD" w:rsidP="005728DD">
      <w:pPr>
        <w:pStyle w:val="TextoNormal"/>
      </w:pPr>
    </w:p>
    <w:p w:rsidR="005728DD" w:rsidRDefault="005728DD" w:rsidP="005728DD">
      <w:pPr>
        <w:pStyle w:val="TextoNormal"/>
      </w:pPr>
      <w:r>
        <w:t xml:space="preserve">Tras recordar ese acontecimiento y la predominante participación del recurrente, destaca que esos hechos, junto con los acaecidos el 21 de septiembre prepararon el camino para que el 1 de octubre las urnas estuvieran en los centros previstos, y estos estuvieran abiertos y protegidos o “custodiados” frente a lo que ya se sabía iba a ser la actuación de las fuerzas y cuerpos de seguridad del Estado. “Se trataría así de demostrar que se podía vencer su resistencia, concebida seguramente </w:t>
      </w:r>
      <w:r w:rsidRPr="005728DD">
        <w:rPr>
          <w:i/>
        </w:rPr>
        <w:t>ex ante</w:t>
      </w:r>
      <w:r>
        <w:t xml:space="preserve"> como pasiva —lo que ya es actuar fuera de las vías legales o ejercer fuerza—, pero con un evidente peligro de que pudiese degenerar en activa, en agresiones no solo verbales, sino también físicas”.</w:t>
      </w:r>
    </w:p>
    <w:p w:rsidR="005728DD" w:rsidRDefault="005728DD" w:rsidP="005728DD">
      <w:pPr>
        <w:pStyle w:val="TextoNormal"/>
      </w:pPr>
    </w:p>
    <w:p w:rsidR="005728DD" w:rsidRDefault="005728DD" w:rsidP="005728DD">
      <w:pPr>
        <w:pStyle w:val="TextoNormal"/>
      </w:pPr>
      <w:r>
        <w:t>La decisión de condena concluye señalando que ni las llamadas a la movilización, “a la cohesión social en torno al ideal independentista”, ni la protesta ciudadana, “ni los encendidos discursos en favor de la independencia”, actuaciones y actitudes protegidas por nuestro sistema constitucional, constituyen el fundamento de su imputación. “El juicio de autoría descansa sobre su concertado papel con otros responsables públicos para organizar un referéndum que fue declarado ilegal por el Tribunal Constitucional, para movilizar a la ciudadanía con el objeto de hacer evidente que la justicia española no podía ejecutar sus legítimas decisiones. Se apoya también en las movilizaciones ciudadanas que el día 1 de octubre impidieron con su oposición y fuera de las vías legales, que lo ordenado por el Tribunal Constitucional y el Tribunal Superior de Justicia de Cataluña pudiera hacerse realidad”.</w:t>
      </w:r>
    </w:p>
    <w:p w:rsidR="005728DD" w:rsidRDefault="005728DD" w:rsidP="005728DD">
      <w:pPr>
        <w:pStyle w:val="TextoNormal"/>
      </w:pPr>
    </w:p>
    <w:p w:rsidR="005728DD" w:rsidRDefault="005728DD" w:rsidP="005728DD">
      <w:pPr>
        <w:pStyle w:val="TextoNormal"/>
      </w:pPr>
      <w:r>
        <w:t xml:space="preserve">3.3. </w:t>
      </w:r>
      <w:r w:rsidRPr="005728DD">
        <w:rPr>
          <w:i/>
        </w:rPr>
        <w:t>Referencia a la actividad institucional relevante relacionada con los hechos enjuiciados, y a su enjuiciamiento constitucional</w:t>
      </w:r>
      <w:r>
        <w:t>.</w:t>
      </w:r>
    </w:p>
    <w:p w:rsidR="005728DD" w:rsidRDefault="005728DD" w:rsidP="005728DD">
      <w:pPr>
        <w:pStyle w:val="TextoNormal"/>
      </w:pPr>
    </w:p>
    <w:p w:rsidR="005728DD" w:rsidRDefault="005728DD" w:rsidP="005728DD">
      <w:pPr>
        <w:pStyle w:val="TextoNormal"/>
      </w:pPr>
      <w:r>
        <w:t>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las siguientes diez decisiones parlamentarias o gubernamentales sometidas a consideración ante este tribunal, que fueron declaradas inconstitucionales:</w:t>
      </w:r>
    </w:p>
    <w:p w:rsidR="005728DD" w:rsidRDefault="005728DD" w:rsidP="005728DD">
      <w:pPr>
        <w:pStyle w:val="TextoNormal"/>
      </w:pPr>
    </w:p>
    <w:p w:rsidR="005728DD" w:rsidRDefault="005728DD" w:rsidP="005728DD">
      <w:pPr>
        <w:pStyle w:val="TextoNormal"/>
      </w:pPr>
      <w:r>
        <w:t>(i)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005728DD" w:rsidRDefault="005728DD" w:rsidP="005728DD">
      <w:pPr>
        <w:pStyle w:val="TextoNormal"/>
      </w:pPr>
    </w:p>
    <w:p w:rsidR="005728DD" w:rsidRDefault="005728DD" w:rsidP="005728DD">
      <w:pPr>
        <w:pStyle w:val="TextoNormal"/>
      </w:pPr>
      <w:r>
        <w:t xml:space="preserve">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w:t>
      </w:r>
      <w:r>
        <w:lastRenderedPageBreak/>
        <w:t>también, que en nuestro modelo constitucional no cabe contraponer legitimidad democrática y legalidad constitucional en detrimento de la segunda. La declaración de inconstitucionalidad concluye afirmando que el programa político expresado en la Resolución 1/XI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005728DD" w:rsidRDefault="005728DD" w:rsidP="005728DD">
      <w:pPr>
        <w:pStyle w:val="TextoNormal"/>
      </w:pPr>
    </w:p>
    <w:p w:rsidR="005728DD" w:rsidRDefault="005728DD" w:rsidP="005728DD">
      <w:pPr>
        <w:pStyle w:val="TextoNormal"/>
      </w:pPr>
      <w:r>
        <w:t>(ii)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005728DD" w:rsidRDefault="005728DD" w:rsidP="005728DD">
      <w:pPr>
        <w:pStyle w:val="TextoNormal"/>
      </w:pPr>
    </w:p>
    <w:p w:rsidR="005728DD" w:rsidRDefault="005728DD" w:rsidP="005728DD">
      <w:pPr>
        <w:pStyle w:val="TextoNormal"/>
      </w:pPr>
      <w:r>
        <w:t>(iii)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se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005728DD" w:rsidRDefault="005728DD" w:rsidP="005728DD">
      <w:pPr>
        <w:pStyle w:val="TextoNormal"/>
      </w:pPr>
    </w:p>
    <w:p w:rsidR="005728DD" w:rsidRDefault="005728DD" w:rsidP="005728DD">
      <w:pPr>
        <w:pStyle w:val="TextoNormal"/>
      </w:pPr>
      <w:r>
        <w:t xml:space="preserve">(iv) Resolución 306/XI, de 6 de octubre de 2016,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w:t>
      </w:r>
      <w:r>
        <w:lastRenderedPageBreak/>
        <w:t>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005728DD" w:rsidRDefault="005728DD" w:rsidP="005728DD">
      <w:pPr>
        <w:pStyle w:val="TextoNormal"/>
      </w:pPr>
    </w:p>
    <w:p w:rsidR="005728DD" w:rsidRDefault="005728DD" w:rsidP="005728DD">
      <w:pPr>
        <w:pStyle w:val="TextoNormal"/>
      </w:pPr>
      <w:r>
        <w:t>Lo expuesto no impidió la convocatoria del proyectado referéndum, previa aprobación de su norma reguladora. Lo que dio lugar a nuevos pronunciamientos de este tribunal.</w:t>
      </w:r>
    </w:p>
    <w:p w:rsidR="005728DD" w:rsidRDefault="005728DD" w:rsidP="005728DD">
      <w:pPr>
        <w:pStyle w:val="TextoNormal"/>
      </w:pPr>
    </w:p>
    <w:p w:rsidR="005728DD" w:rsidRDefault="005728DD" w:rsidP="005728DD">
      <w:pPr>
        <w:pStyle w:val="TextoNormal"/>
      </w:pPr>
      <w:r>
        <w:t>(v)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005728DD" w:rsidRDefault="005728DD" w:rsidP="005728DD">
      <w:pPr>
        <w:pStyle w:val="TextoNormal"/>
      </w:pPr>
    </w:p>
    <w:p w:rsidR="005728DD" w:rsidRDefault="005728DD" w:rsidP="005728DD">
      <w:pPr>
        <w:pStyle w:val="TextoNormal"/>
      </w:pPr>
      <w:r>
        <w:t>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005728DD" w:rsidRDefault="005728DD" w:rsidP="005728DD">
      <w:pPr>
        <w:pStyle w:val="TextoNormal"/>
      </w:pPr>
    </w:p>
    <w:p w:rsidR="005728DD" w:rsidRDefault="005728DD" w:rsidP="005728DD">
      <w:pPr>
        <w:pStyle w:val="TextoNormal"/>
      </w:pPr>
      <w:r>
        <w:t>(vi)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005728DD" w:rsidRDefault="005728DD" w:rsidP="005728DD">
      <w:pPr>
        <w:pStyle w:val="TextoNormal"/>
      </w:pPr>
    </w:p>
    <w:p w:rsidR="005728DD" w:rsidRDefault="005728DD" w:rsidP="005728DD">
      <w:pPr>
        <w:pStyle w:val="TextoNormal"/>
      </w:pPr>
      <w:r>
        <w:t>(vii)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SSTC 121 y 122/2017, de 31 de octubre.</w:t>
      </w:r>
    </w:p>
    <w:p w:rsidR="005728DD" w:rsidRDefault="005728DD" w:rsidP="005728DD">
      <w:pPr>
        <w:pStyle w:val="TextoNormal"/>
      </w:pPr>
    </w:p>
    <w:p w:rsidR="005728DD" w:rsidRDefault="005728DD" w:rsidP="005728DD">
      <w:pPr>
        <w:pStyle w:val="TextoNormal"/>
      </w:pPr>
      <w:r>
        <w:lastRenderedPageBreak/>
        <w:t>(viii)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005728DD" w:rsidRDefault="005728DD" w:rsidP="005728DD">
      <w:pPr>
        <w:pStyle w:val="TextoNormal"/>
      </w:pPr>
    </w:p>
    <w:p w:rsidR="005728DD" w:rsidRDefault="005728DD" w:rsidP="005728DD">
      <w:pPr>
        <w:pStyle w:val="TextoNormal"/>
      </w:pPr>
      <w:r>
        <w:t>(ix)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005728DD" w:rsidRDefault="005728DD" w:rsidP="005728DD">
      <w:pPr>
        <w:pStyle w:val="TextoNormal"/>
      </w:pPr>
    </w:p>
    <w:p w:rsidR="005728DD" w:rsidRDefault="005728DD" w:rsidP="005728DD">
      <w:pPr>
        <w:pStyle w:val="TextoNormal"/>
      </w:pPr>
      <w:r>
        <w:t>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005728DD" w:rsidRDefault="005728DD" w:rsidP="005728DD">
      <w:pPr>
        <w:pStyle w:val="TextoNormal"/>
      </w:pPr>
    </w:p>
    <w:p w:rsidR="005728DD" w:rsidRDefault="005728DD" w:rsidP="005728DD">
      <w:pPr>
        <w:pStyle w:val="TextoNormal"/>
      </w:pPr>
      <w:r>
        <w:t>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005728DD" w:rsidRDefault="005728DD" w:rsidP="005728DD">
      <w:pPr>
        <w:pStyle w:val="TextoNormal"/>
      </w:pPr>
    </w:p>
    <w:p w:rsidR="005728DD" w:rsidRDefault="005728DD" w:rsidP="005728DD">
      <w:pPr>
        <w:pStyle w:val="TextoNormal"/>
      </w:pPr>
      <w: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w:t>
      </w:r>
      <w:r>
        <w:lastRenderedPageBreak/>
        <w:t>1 de octubre” y “comisión parlamentaria de seguimiento del proceso constituyente”, recogidas en las dos resoluciones anuladas.</w:t>
      </w:r>
    </w:p>
    <w:p w:rsidR="005728DD" w:rsidRDefault="005728DD" w:rsidP="005728DD">
      <w:pPr>
        <w:pStyle w:val="TextoNormal"/>
      </w:pPr>
    </w:p>
    <w:p w:rsidR="005728DD" w:rsidRDefault="005728DD" w:rsidP="005728DD">
      <w:pPr>
        <w:pStyle w:val="TextoNormal"/>
      </w:pPr>
      <w:r>
        <w:t>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005728DD" w:rsidRDefault="005728DD" w:rsidP="005728DD">
      <w:pPr>
        <w:pStyle w:val="TextoNormal"/>
      </w:pPr>
    </w:p>
    <w:p w:rsidR="005728DD" w:rsidRDefault="005728DD" w:rsidP="005728DD">
      <w:pPr>
        <w:pStyle w:val="TextoNormal"/>
      </w:pPr>
      <w:r>
        <w:t>La solicitud de adopción de dichas medidas y el acuerdo del Senado que las autorizó fueron sometidas a control de este tribunal en sendos recursos de inconstitucionalidad, que dieron lugar a las SSTC 89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005728DD" w:rsidRDefault="005728DD" w:rsidP="005728DD">
      <w:pPr>
        <w:pStyle w:val="TextoNormal"/>
      </w:pPr>
    </w:p>
    <w:p w:rsidR="005728DD" w:rsidRDefault="005728DD" w:rsidP="005728DD">
      <w:pPr>
        <w:pStyle w:val="TextoNormal"/>
      </w:pPr>
      <w:r>
        <w:t>Resulta oportuno destacar ahora que, al valorar la concurrencia del presupuesto habilitante recogido en el art. 155 de la Constitución,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005728DD" w:rsidRDefault="005728DD" w:rsidP="005728DD">
      <w:pPr>
        <w:pStyle w:val="TextoNormal"/>
      </w:pPr>
    </w:p>
    <w:p w:rsidR="005728DD" w:rsidRDefault="005728DD" w:rsidP="005728DD">
      <w:pPr>
        <w:pStyle w:val="TextoNormal"/>
      </w:pPr>
      <w:r>
        <w:t xml:space="preserve">Al ratificar las medidas adoptadas, señalamos en la STC 89/2019 cómo “ante la evidencia de un gobierno que ha provocado una grave crisis constitucional, con la proclamación de una ‘república catalana’ (ficticia en Derecho, pero afirmada y propugnada </w:t>
      </w:r>
      <w:r w:rsidRPr="005728DD">
        <w:rPr>
          <w:i/>
        </w:rPr>
        <w:t>de facto</w:t>
      </w:r>
      <w:r>
        <w:t>)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005728DD" w:rsidRDefault="005728DD" w:rsidP="005728DD">
      <w:pPr>
        <w:pStyle w:val="TextoNormal"/>
      </w:pPr>
    </w:p>
    <w:p w:rsidR="005728DD" w:rsidRDefault="005728DD" w:rsidP="005728DD">
      <w:pPr>
        <w:pStyle w:val="TextoNormal"/>
      </w:pPr>
      <w:r>
        <w:lastRenderedPageBreak/>
        <w:t>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005728DD" w:rsidRDefault="005728DD" w:rsidP="005728DD">
      <w:pPr>
        <w:pStyle w:val="TextoNormal"/>
      </w:pPr>
    </w:p>
    <w:p w:rsidR="005728DD" w:rsidRDefault="005728DD" w:rsidP="005728DD">
      <w:pPr>
        <w:pStyle w:val="TextoNormal"/>
      </w:pPr>
      <w:r>
        <w:t>En definitiva, cabe concluir que el intento de quebrar la unidad de la Nación española constituida en Estado social y democrático de Derecho (arts. 1, apartados 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005728DD" w:rsidRDefault="005728DD" w:rsidP="005728DD">
      <w:pPr>
        <w:pStyle w:val="TextoNormal"/>
      </w:pPr>
    </w:p>
    <w:p w:rsidR="005728DD" w:rsidRDefault="005728DD" w:rsidP="005728DD">
      <w:pPr>
        <w:pStyle w:val="TextoNormal"/>
      </w:pPr>
      <w:r>
        <w:t>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Los derechos al juez ordinario predeterminado por la ley y, en conexión, al doble grado de jurisdicción penal (art. 24.2 CE</w:t>
      </w:r>
      <w:r>
        <w:t>).</w:t>
      </w:r>
    </w:p>
    <w:p w:rsidR="005728DD" w:rsidRDefault="005728DD" w:rsidP="005728DD">
      <w:pPr>
        <w:pStyle w:val="TextoNormal"/>
      </w:pPr>
    </w:p>
    <w:p w:rsidR="005728DD" w:rsidRDefault="005728DD" w:rsidP="005728DD">
      <w:pPr>
        <w:pStyle w:val="TextoNormal"/>
      </w:pPr>
      <w:r>
        <w:t xml:space="preserve">4.1. </w:t>
      </w:r>
      <w:r w:rsidRPr="005728DD">
        <w:rPr>
          <w:i/>
        </w:rPr>
        <w:t>Posiciones de las partes</w:t>
      </w:r>
      <w:r>
        <w:t>.</w:t>
      </w:r>
    </w:p>
    <w:p w:rsidR="005728DD" w:rsidRDefault="005728DD" w:rsidP="005728DD">
      <w:pPr>
        <w:pStyle w:val="TextoNormal"/>
      </w:pPr>
    </w:p>
    <w:p w:rsidR="005728DD" w:rsidRDefault="005728DD" w:rsidP="005728DD">
      <w:pPr>
        <w:pStyle w:val="TextoNormal"/>
      </w:pPr>
      <w:r>
        <w:t>La primera queja formulada en la demanda de amparo nos obliga a determinar si han vulnerado el derecho al juez ordinario predeterminado por la ley las decisiones por las que la Sala de lo Penal del Tribunal Supremo asumió, extendió y mantuvo la competencia objetiva para la averiguación y enjuiciamiento de los hechos atribuidos como delictivos en las querellas, presentadas por el Ministerio Fiscal, ante la propia Sala y ante la Audiencia Nacional.</w:t>
      </w:r>
    </w:p>
    <w:p w:rsidR="005728DD" w:rsidRDefault="005728DD" w:rsidP="005728DD">
      <w:pPr>
        <w:pStyle w:val="TextoNormal"/>
      </w:pPr>
    </w:p>
    <w:p w:rsidR="005728DD" w:rsidRDefault="005728DD" w:rsidP="005728DD">
      <w:pPr>
        <w:pStyle w:val="TextoNormal"/>
      </w:pPr>
      <w:r>
        <w:t xml:space="preserve">El recurrente sostiene que, atendido el art. 57.2 del Estatuto de Autonomía de Cataluña, es la Sala de lo Civil y Penal del Tribunal Superior de Justicia de aquella comunidad autónoma la competente para enjuiciar los hechos que le han sido atribuidos, pues ni uno solo de los elementos típicos del delito por el que ha sido acusado aconteció fuera del territorio </w:t>
      </w:r>
      <w:r>
        <w:lastRenderedPageBreak/>
        <w:t xml:space="preserve">de Cataluña. Afirma que la supuesta rebelión o sedición que le han sido imputadas se materializaron íntegramente en territorio catalán, sin que tampoco pueda razonadamente afirmarse que ninguno de los elementos del tipo penal de malversación de caudales públicos, que no le ha sido imputado, pero sí ha sido enjuiciado en la misma causa, se desarrollara fuera de Cataluña pues, aunque el beneficiario de la malversación no resida en Cataluña, tanto el exceso en el ejercicio de facultades de disposición como el perjuicio patrimonial —que son los únicos elementos objetivos del tipo penal— se habrían producido de modo inequívoco en territorio catalán. De esta manera, afirma que se han creado nuevas reglas competenciales </w:t>
      </w:r>
      <w:r w:rsidRPr="005728DD">
        <w:rPr>
          <w:i/>
        </w:rPr>
        <w:t>ad hoc</w:t>
      </w:r>
      <w:r>
        <w:t xml:space="preserve"> y se ha recurrido a nuevos criterios jurídicos acuñados para este caso por primera vez en la jurisprudencia. Cuestiona también los argumentos judiciales que han llevado a la Sala de lo Penal del Tribunal Supremo a afirmar su propia competencia objetiva, tanto los que se refieren a la relevancia de la realización fuera de Cataluña de actos ejecutivos no necesariamente violentos pero vinculados al elemento tendencial del delito de rebelión (proclamar la independencia), como a los relativos a la supuesta malversación. Considera que se apoyan en una interpretación forzada e irrazonable de las normas procesales que, además, es contradictoria con anteriores precedentes de la propia Sala, que cita, y con la interpretación de la competencia sostenida por el propio Tribunal Superior de Justicia en anteriores resoluciones dictadas en otras causas.</w:t>
      </w:r>
    </w:p>
    <w:p w:rsidR="005728DD" w:rsidRDefault="005728DD" w:rsidP="005728DD">
      <w:pPr>
        <w:pStyle w:val="TextoNormal"/>
      </w:pPr>
    </w:p>
    <w:p w:rsidR="005728DD" w:rsidRDefault="005728DD" w:rsidP="005728DD">
      <w:pPr>
        <w:pStyle w:val="TextoNormal"/>
      </w:pPr>
      <w:r>
        <w:t xml:space="preserve">El abogado del Estado aboga en favor de la desestimación de la queja. Aduce que los órganos judiciales no han llevado a cabo una interpretación que suponga una manipulación manifiesta de las reglas legales sobre atribución de competencias, ni que hayan incurrido en error patente,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la competencia ha sido judicialmente determinada mediante un juicio </w:t>
      </w:r>
      <w:r w:rsidRPr="005728DD">
        <w:rPr>
          <w:i/>
        </w:rPr>
        <w:t>ex ante</w:t>
      </w:r>
      <w:r>
        <w:t xml:space="preserve"> que versa sobre el contenido de la pretensión acusatoria, que no puede verse revertido ni afectado por la decisión final de condena.</w:t>
      </w:r>
    </w:p>
    <w:p w:rsidR="005728DD" w:rsidRDefault="005728DD" w:rsidP="005728DD">
      <w:pPr>
        <w:pStyle w:val="TextoNormal"/>
      </w:pPr>
    </w:p>
    <w:p w:rsidR="005728DD" w:rsidRDefault="005728DD" w:rsidP="005728DD">
      <w:pPr>
        <w:pStyle w:val="TextoNormal"/>
      </w:pPr>
      <w:r>
        <w:t xml:space="preserve">En sus alegaciones, el Ministerio Fiscal propone también la desestimación de la queja. Con apoyo en la previsión establecida en el art. 57.2 EAC, el relato de hechos y los delitos atribuidos al demandante, considera que la competencia se determinó fundadamente atendiendo a dos criterios: la condición de diputados del Parlamento de Cataluña de buena parte de los investigados y el elemento geográfico basado en el lugar de comisión del hecho. El Tribunal Supremo afirma en ese momento su propia competencia para la investigación y enjuiciamiento de los hechos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una de las cuales habría contribuido a ese objetivo desde el espacio funcional propio, y en el que se destaca una pluralidad de acciones desarrolladas fuera del territorio estatal que contribuyeron al objetivo perseguido. Tras considerar fundada la aplicación, en este caso, de la denominada “doctrina de la ubicuidad”, según la cual, el delito se comete en cualquiera de los territorios donde se realizan algunos de los elementos del tipo, concluye afirmando que “la argumentación desplegada tanto en las diversas resoluciones anteriores al juicio oral, como en la sentencia, ha sido fuertemente motivada y resulta más que suficientemente razonada y razonable, amén </w:t>
      </w:r>
      <w:r>
        <w:lastRenderedPageBreak/>
        <w:t>de no contradictoria con sus precedentes”. En la causa se habría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w:t>
      </w:r>
    </w:p>
    <w:p w:rsidR="005728DD" w:rsidRDefault="005728DD" w:rsidP="005728DD">
      <w:pPr>
        <w:pStyle w:val="TextoNormal"/>
      </w:pPr>
    </w:p>
    <w:p w:rsidR="005728DD" w:rsidRDefault="005728DD" w:rsidP="005728DD">
      <w:pPr>
        <w:pStyle w:val="TextoNormal"/>
      </w:pPr>
      <w:r>
        <w:t>Por su parte, la representación procesal del partido político Vox postula también la desestimación íntegra del recurso de amparo. Considera que “no se desprende del motivo desarrollado por el demandante una interpretación ‘manifiestamente errónea, irrazonable o arbitraria’ en el modo así considerado por este tribunal respecto a la competencia del Tribunal Supremo para enjuiciar los hechos de la que trae causa el presente recurso de amparo” (STC 183/1999, de 11 de octubre). Admite que, aunque en este caso pueda ser considerado discutible el ámbito geográfico “cuando no se puede decidir la competencia exactamente porque no se conoce el lugar o porque se duda —como es el caso— debemos acudir a la teoría de la ubicuidad”, conforme a la cual, “[e]l delito se comete en todas las jurisdicciones en las que se haya realizado algún elemento del tipo. En consecuencia, el juez de cualquiera de ellas que primero haya iniciado las actuaciones procesales, será en principio competente para la instrucción de la causa” (acuerdo del Pleno no jurisdiccional de la Sala de lo Penal del Tribunal Supremo de 3 de febrero de 2005).</w:t>
      </w:r>
    </w:p>
    <w:p w:rsidR="005728DD" w:rsidRDefault="005728DD" w:rsidP="005728DD">
      <w:pPr>
        <w:pStyle w:val="TextoNormal"/>
      </w:pPr>
    </w:p>
    <w:p w:rsidR="005728DD" w:rsidRDefault="005728DD" w:rsidP="005728DD">
      <w:pPr>
        <w:pStyle w:val="TextoNormal"/>
      </w:pPr>
      <w:r>
        <w:t>Dado que lo que se cuestiona en la demanda es la interpretación que la Sala de lo Penal del Tribunal Supremo ha hecho de las normas que establecen la competencia para la averiguación y enjuiciamiento de los hechos y delitos atribuidos al recurrente, iniciaremos nuestro análisis exponiendo el razonamiento judicial que justificó la asunción, extensión y mantenimiento de su competencia objetiva.</w:t>
      </w:r>
    </w:p>
    <w:p w:rsidR="005728DD" w:rsidRDefault="005728DD" w:rsidP="005728DD">
      <w:pPr>
        <w:pStyle w:val="TextoNormal"/>
      </w:pPr>
    </w:p>
    <w:p w:rsidR="005728DD" w:rsidRDefault="005728DD" w:rsidP="005728DD">
      <w:pPr>
        <w:pStyle w:val="TextoNormal"/>
      </w:pPr>
      <w:r>
        <w:t xml:space="preserve">4.2. </w:t>
      </w:r>
      <w:r w:rsidRPr="005728DD">
        <w:rPr>
          <w:i/>
        </w:rPr>
        <w:t>Respuesta del órgano judicial</w:t>
      </w:r>
      <w:r>
        <w:t>.</w:t>
      </w:r>
    </w:p>
    <w:p w:rsidR="005728DD" w:rsidRDefault="005728DD" w:rsidP="005728DD">
      <w:pPr>
        <w:pStyle w:val="TextoNormal"/>
      </w:pPr>
    </w:p>
    <w:p w:rsidR="005728DD" w:rsidRDefault="005728DD" w:rsidP="005728DD">
      <w:pPr>
        <w:pStyle w:val="TextoNormal"/>
      </w:pPr>
      <w:r>
        <w:t>4.2.1. La Sala de lo Penal del Tribunal Supremo asumió y mantuvo su competencia objetiva para la averiguación y el enjuiciamiento de los hechos atribuidos al demandante, y al resto de personas acusadas en la causa, en aplicación de la siguiente base normativa:</w:t>
      </w:r>
    </w:p>
    <w:p w:rsidR="005728DD" w:rsidRDefault="005728DD" w:rsidP="005728DD">
      <w:pPr>
        <w:pStyle w:val="TextoNormal"/>
      </w:pPr>
    </w:p>
    <w:p w:rsidR="005728DD" w:rsidRDefault="005728DD" w:rsidP="005728DD">
      <w:pPr>
        <w:pStyle w:val="TextoNormal"/>
      </w:pPr>
      <w:r>
        <w:t>(i) El art. 57.1.2 de la Ley Orgánica del Poder Judicial (LOPJ), conforme al cual:</w:t>
      </w:r>
    </w:p>
    <w:p w:rsidR="005728DD" w:rsidRDefault="005728DD" w:rsidP="005728DD">
      <w:pPr>
        <w:pStyle w:val="TextoNormal"/>
      </w:pPr>
    </w:p>
    <w:p w:rsidR="005728DD" w:rsidRDefault="005728DD" w:rsidP="005728DD">
      <w:pPr>
        <w:pStyle w:val="TextoNormal"/>
      </w:pPr>
      <w:r>
        <w:t>“1. La Sala de lo Penal del Tribunal Supremo conocerá:</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2º De la instrucción y enjuiciamiento […] de las causas que, en su caso, determinen los Estatutos de Autonomía”.</w:t>
      </w:r>
    </w:p>
    <w:p w:rsidR="005728DD" w:rsidRDefault="005728DD" w:rsidP="005728DD">
      <w:pPr>
        <w:pStyle w:val="TextoNormal"/>
      </w:pPr>
    </w:p>
    <w:p w:rsidR="005728DD" w:rsidRDefault="005728DD" w:rsidP="005728DD">
      <w:pPr>
        <w:pStyle w:val="TextoNormal"/>
      </w:pPr>
      <w:r>
        <w:t>(ii) El art. 57.1 y 2 EAC, que establece el aforamiento parlamentario de los diputados autonómicos:</w:t>
      </w:r>
    </w:p>
    <w:p w:rsidR="005728DD" w:rsidRDefault="005728DD" w:rsidP="005728DD">
      <w:pPr>
        <w:pStyle w:val="TextoNormal"/>
      </w:pPr>
    </w:p>
    <w:p w:rsidR="005728DD" w:rsidRDefault="005728DD" w:rsidP="005728DD">
      <w:pPr>
        <w:pStyle w:val="TextoNormal"/>
      </w:pPr>
      <w:r>
        <w:t>“1. Los miembros del Parlamento son inviolables por los votos y las opiniones que emitan en el ejercicio de su cargo. Durante su mandato tendrán inmunidad a los efectos concretos de no poder ser detenidos salvo en caso de flagrante delito.</w:t>
      </w:r>
    </w:p>
    <w:p w:rsidR="005728DD" w:rsidRDefault="005728DD" w:rsidP="005728DD">
      <w:pPr>
        <w:pStyle w:val="TextoNormal"/>
      </w:pPr>
    </w:p>
    <w:p w:rsidR="005728DD" w:rsidRDefault="005728DD" w:rsidP="005728DD">
      <w:pPr>
        <w:pStyle w:val="TextoNormal"/>
      </w:pPr>
      <w:r>
        <w:t>2. En las causas contra los diputados, es competente el Tribunal Superior de Justicia de Cataluña. Fuera del territorio de Cataluña la responsabilidad penal es exigible en los mismos términos ante la Sala de lo Penal del Tribunal Supremo”.</w:t>
      </w:r>
    </w:p>
    <w:p w:rsidR="005728DD" w:rsidRDefault="005728DD" w:rsidP="005728DD">
      <w:pPr>
        <w:pStyle w:val="TextoNormal"/>
      </w:pPr>
    </w:p>
    <w:p w:rsidR="005728DD" w:rsidRDefault="005728DD" w:rsidP="005728DD">
      <w:pPr>
        <w:pStyle w:val="TextoNormal"/>
      </w:pPr>
      <w:r>
        <w:t>(iii) El artículo 17.1 y 2 LECrim, que, al regular el enjuiciamiento de delitos conexos, señala:</w:t>
      </w:r>
    </w:p>
    <w:p w:rsidR="005728DD" w:rsidRDefault="005728DD" w:rsidP="005728DD">
      <w:pPr>
        <w:pStyle w:val="TextoNormal"/>
      </w:pPr>
    </w:p>
    <w:p w:rsidR="005728DD" w:rsidRDefault="005728DD" w:rsidP="005728DD">
      <w:pPr>
        <w:pStyle w:val="TextoNormal"/>
      </w:pPr>
      <w:r>
        <w:t>“1. Cada delito dará lugar a la formación de una única causa.</w:t>
      </w:r>
    </w:p>
    <w:p w:rsidR="005728DD" w:rsidRDefault="005728DD" w:rsidP="005728DD">
      <w:pPr>
        <w:pStyle w:val="TextoNormal"/>
      </w:pPr>
    </w:p>
    <w:p w:rsidR="005728DD" w:rsidRDefault="005728DD" w:rsidP="005728DD">
      <w:pPr>
        <w:pStyle w:val="TextoNormal"/>
      </w:pPr>
      <w:r>
        <w:t>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5728DD" w:rsidRDefault="005728DD" w:rsidP="005728DD">
      <w:pPr>
        <w:pStyle w:val="TextoNormal"/>
      </w:pPr>
    </w:p>
    <w:p w:rsidR="005728DD" w:rsidRDefault="005728DD" w:rsidP="005728DD">
      <w:pPr>
        <w:pStyle w:val="TextoNormal"/>
      </w:pPr>
      <w:r>
        <w:t>2. A los efectos de la atribución de jurisdicción y de la distribución de la competencia se consideran delitos conexos:</w:t>
      </w:r>
    </w:p>
    <w:p w:rsidR="005728DD" w:rsidRDefault="005728DD" w:rsidP="005728DD">
      <w:pPr>
        <w:pStyle w:val="TextoNormal"/>
      </w:pPr>
    </w:p>
    <w:p w:rsidR="005728DD" w:rsidRDefault="005728DD" w:rsidP="005728DD">
      <w:pPr>
        <w:pStyle w:val="TextoNormal"/>
      </w:pPr>
      <w:r>
        <w:t>1º Los cometidos por dos o más personas reunidas.</w:t>
      </w:r>
    </w:p>
    <w:p w:rsidR="005728DD" w:rsidRDefault="005728DD" w:rsidP="005728DD">
      <w:pPr>
        <w:pStyle w:val="TextoNormal"/>
      </w:pPr>
    </w:p>
    <w:p w:rsidR="005728DD" w:rsidRDefault="005728DD" w:rsidP="005728DD">
      <w:pPr>
        <w:pStyle w:val="TextoNormal"/>
      </w:pPr>
      <w:r>
        <w:t>2º Los cometidos por dos o más personas en distintos lugares o tiempos si hubiera precedido concierto para ello.</w:t>
      </w:r>
    </w:p>
    <w:p w:rsidR="005728DD" w:rsidRDefault="005728DD" w:rsidP="005728DD">
      <w:pPr>
        <w:pStyle w:val="TextoNormal"/>
      </w:pPr>
    </w:p>
    <w:p w:rsidR="005728DD" w:rsidRDefault="005728DD" w:rsidP="005728DD">
      <w:pPr>
        <w:pStyle w:val="TextoNormal"/>
      </w:pPr>
      <w:r>
        <w:t>3º Los cometidos como medio para perpetrar otros o facilitar su ejecución.</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(iv) El artículo 272, párrafos segundo y tercero LECrim, según el cual:</w:t>
      </w:r>
    </w:p>
    <w:p w:rsidR="005728DD" w:rsidRDefault="005728DD" w:rsidP="005728DD">
      <w:pPr>
        <w:pStyle w:val="TextoNormal"/>
      </w:pPr>
    </w:p>
    <w:p w:rsidR="005728DD" w:rsidRDefault="005728DD" w:rsidP="005728DD">
      <w:pPr>
        <w:pStyle w:val="TextoNormal"/>
      </w:pPr>
      <w:r>
        <w:t>“Si el querellado estuviere sometido, por disposición especial de la ley a determinado tribunal, ante este se interpondrá la querella.</w:t>
      </w:r>
    </w:p>
    <w:p w:rsidR="005728DD" w:rsidRDefault="005728DD" w:rsidP="005728DD">
      <w:pPr>
        <w:pStyle w:val="TextoNormal"/>
      </w:pPr>
    </w:p>
    <w:p w:rsidR="005728DD" w:rsidRDefault="005728DD" w:rsidP="005728DD">
      <w:pPr>
        <w:pStyle w:val="TextoNormal"/>
      </w:pPr>
      <w:r>
        <w:t>Lo mismo se hará cuando fueren varios los querellados por un mismo delito o por dos o más conexos y alguno de aquellos estuviere sometido excepcionalmente a un tribunal que no fuere el llamado a conocer, por regla general, del delito”.</w:t>
      </w:r>
    </w:p>
    <w:p w:rsidR="005728DD" w:rsidRDefault="005728DD" w:rsidP="005728DD">
      <w:pPr>
        <w:pStyle w:val="TextoNormal"/>
      </w:pPr>
    </w:p>
    <w:p w:rsidR="005728DD" w:rsidRDefault="005728DD" w:rsidP="005728DD">
      <w:pPr>
        <w:pStyle w:val="TextoNormal"/>
      </w:pPr>
      <w:r>
        <w:t>4.2.2. De las decisiones adoptadas a lo largo de la causa se deriva que han sido tres los criterios concurrentes tomados en consideración por la Sala de lo Penal del Tribunal Supremo para afirmar su competencia objetiva:</w:t>
      </w:r>
    </w:p>
    <w:p w:rsidR="005728DD" w:rsidRDefault="005728DD" w:rsidP="005728DD">
      <w:pPr>
        <w:pStyle w:val="TextoNormal"/>
      </w:pPr>
    </w:p>
    <w:p w:rsidR="005728DD" w:rsidRDefault="005728DD" w:rsidP="005728DD">
      <w:pPr>
        <w:pStyle w:val="TextoNormal"/>
      </w:pPr>
      <w:r>
        <w:t>(i) La prerrogativa de aforamiento especial parlamentario: desde su inicio y durante todo el desarrollo de la causa, una o varias de las personas a las que se refería la querella, después sometidas a investigación, procesadas o finalmente acusadas, mantenían la condición de diputados del Parlamento de Cataluña.</w:t>
      </w:r>
    </w:p>
    <w:p w:rsidR="005728DD" w:rsidRDefault="005728DD" w:rsidP="005728DD">
      <w:pPr>
        <w:pStyle w:val="TextoNormal"/>
      </w:pPr>
    </w:p>
    <w:p w:rsidR="005728DD" w:rsidRDefault="005728DD" w:rsidP="005728DD">
      <w:pPr>
        <w:pStyle w:val="TextoNormal"/>
      </w:pPr>
      <w:r>
        <w:t xml:space="preserve">En el momento de ejercer la acción penal, todos los querellados, menos uno, formaban parte de la diputación permanente del Parlamento de Cataluña —una vez fue disuelto por Real Decreto 946/2017, de 27 de octubre, de convocatoria de elecciones al Parlamento de </w:t>
      </w:r>
      <w:r>
        <w:lastRenderedPageBreak/>
        <w:t>Cataluña y de su disolución—. Como se desprende de los antecedentes que se recogen en las SSTC 4/2020, 9/2020, 11/2020, 23/2020, 36/2020, 38/2020, 97/2020, 193/2020 y 194/2020, poco después, una vez acumuladas ya las causas por conexidad, otras personas coencausadas —entre ellas, el recurrente— fueron elegidas para integrar el parlamento constituido tras las elecciones autonómicas celebradas el 21 de diciembre de 2017. E iniciado ya el juicio oral ante la Sala de lo Penal del Tribunal Supremo en febrero de 2019, tras las elecciones generales celebradas el 28 de abril de 2019, el recurrente y otros acusados pasaron a integrarse como diputados o senador en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005728DD" w:rsidRDefault="005728DD" w:rsidP="005728DD">
      <w:pPr>
        <w:pStyle w:val="TextoNormal"/>
      </w:pPr>
    </w:p>
    <w:p w:rsidR="005728DD" w:rsidRDefault="005728DD" w:rsidP="005728DD">
      <w:pPr>
        <w:pStyle w:val="TextoNormal"/>
      </w:pPr>
      <w:r>
        <w:t>(ii) La ubicación geográfica de los hechos imputados: como veremos a continuación, el relato fáctico que dio sustento a la querella inicial y a los escritos de acusación formulados afirmaba, en cada caso, la realización de algunos hechos típicos fuera del territorio de la comunidad autónoma catalana (art. 57.2 EAC).</w:t>
      </w:r>
    </w:p>
    <w:p w:rsidR="005728DD" w:rsidRDefault="005728DD" w:rsidP="005728DD">
      <w:pPr>
        <w:pStyle w:val="TextoNormal"/>
      </w:pPr>
    </w:p>
    <w:p w:rsidR="005728DD" w:rsidRDefault="005728DD" w:rsidP="005728DD">
      <w:pPr>
        <w:pStyle w:val="TextoNormal"/>
      </w:pPr>
      <w:r>
        <w:t>(iii) La apreciación de conexidad procesal entre los delitos investigados en las diversas causas acumuladas: la Sala de lo Penal del Tribunal Supremo consideró que los hechos investigados en las actuaciones penales dirigidas contra varios acusados no aforados eran plenamente coincidentes con los de aquellas otras causas que se seguían contra los que sí tenían reconocida la prerrogativa parlamentaria de aforamiento ante la Sala de lo Penal del Tribunal Supremo (arts. 17.1 y 2, y 272 LECrim), de manera que los delitos a que se referían eran procesalmente conexos.</w:t>
      </w:r>
    </w:p>
    <w:p w:rsidR="005728DD" w:rsidRDefault="005728DD" w:rsidP="005728DD">
      <w:pPr>
        <w:pStyle w:val="TextoNormal"/>
      </w:pPr>
    </w:p>
    <w:p w:rsidR="005728DD" w:rsidRDefault="005728DD" w:rsidP="005728DD">
      <w:pPr>
        <w:pStyle w:val="TextoNormal"/>
      </w:pPr>
      <w:r>
        <w:t>Así se describe en las diversas resoluciones que, sobre la propia competencia, han sido dictadas en el desarrollo de la causa. Son paradigmáticos en este sentido el auto de 31 de octubre de 2017 (ratificado en súplica) por el que la querella fue admitida a trámite, y el auto de 27 de diciembre de 2018 por el que la sala de enjuiciamiento desestimó las peticiones de declinatoria de jurisdicción planteadas como artículo de previo pronunciamiento por los acusados (art. 666.1 LECrim).</w:t>
      </w:r>
    </w:p>
    <w:p w:rsidR="005728DD" w:rsidRDefault="005728DD" w:rsidP="005728DD">
      <w:pPr>
        <w:pStyle w:val="TextoNormal"/>
      </w:pPr>
    </w:p>
    <w:p w:rsidR="005728DD" w:rsidRDefault="005728DD" w:rsidP="005728DD">
      <w:pPr>
        <w:pStyle w:val="TextoNormal"/>
      </w:pPr>
      <w:r>
        <w:t>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005728DD" w:rsidRDefault="005728DD" w:rsidP="005728DD">
      <w:pPr>
        <w:pStyle w:val="TextoNormal"/>
      </w:pPr>
    </w:p>
    <w:p w:rsidR="005728DD" w:rsidRDefault="005728DD" w:rsidP="005728DD">
      <w:pPr>
        <w:pStyle w:val="TextoNormal"/>
      </w:pPr>
      <w:r>
        <w:t>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005728DD" w:rsidRDefault="005728DD" w:rsidP="005728DD">
      <w:pPr>
        <w:pStyle w:val="TextoNormal"/>
      </w:pPr>
    </w:p>
    <w:p w:rsidR="005728DD" w:rsidRDefault="005728DD" w:rsidP="005728DD">
      <w:pPr>
        <w:pStyle w:val="TextoNormal"/>
      </w:pPr>
      <w:r>
        <w:t>Para determinar esta última circunstancia, sin afirmar su realidad o la existencia de indicios que la avalen, la Sala atiende al relato de hechos supuestamente delictivos que se afirman en la querella. Y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005728DD" w:rsidRDefault="005728DD" w:rsidP="005728DD">
      <w:pPr>
        <w:pStyle w:val="TextoNormal"/>
      </w:pPr>
    </w:p>
    <w:p w:rsidR="005728DD" w:rsidRDefault="005728DD" w:rsidP="005728DD">
      <w:pPr>
        <w:pStyle w:val="TextoNormal"/>
      </w:pPr>
      <w:r>
        <w:t xml:space="preserve">Así, en la querella afirma el fiscal que, en su fase preparatoria, el Gobierno de la Generalitat, decidido a promover y celebrar unilateralmente una consulta a modo de referéndum,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w:t>
      </w:r>
      <w:r w:rsidRPr="005728DD">
        <w:rPr>
          <w:i/>
        </w:rPr>
        <w:t>lobby</w:t>
      </w:r>
      <w:r>
        <w:t xml:space="preserve"> internacional realizando actividades de difusión de la pretensión de independencia (foros, visitas organizadas, información en Internet, formación de activistas como observadores en procesos electorales o diversos contratos con organizaciones de los países donde radican las sedes en el exterior para promover y favorecer la pretensión de independencia). Entre los hechos realizados en el exterior, se incluyen en la querella las páginas web internacionales creadas desde el Gobierno de la Generalitat para informar y facilitar la participación en la consulta ilegal promovida; sitios web que, tras ser clausurados judicialmente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w:t>
      </w:r>
      <w:r w:rsidRPr="005728DD">
        <w:rPr>
          <w:i/>
        </w:rPr>
        <w:t>el resultado</w:t>
      </w:r>
      <w:r>
        <w:t xml:space="preserve"> del delito con </w:t>
      </w:r>
      <w:r w:rsidRPr="005728DD">
        <w:rPr>
          <w:i/>
        </w:rPr>
        <w:t>los efectos</w:t>
      </w:r>
      <w:r>
        <w:t xml:space="preserve"> del delito, por más que estos puedan implicar, por su propia naturaleza, la destrucción del Estado de Derecho”.</w:t>
      </w:r>
    </w:p>
    <w:p w:rsidR="005728DD" w:rsidRDefault="005728DD" w:rsidP="005728DD">
      <w:pPr>
        <w:pStyle w:val="TextoNormal"/>
      </w:pPr>
    </w:p>
    <w:p w:rsidR="005728DD" w:rsidRDefault="005728DD" w:rsidP="005728DD">
      <w:pPr>
        <w:pStyle w:val="TextoNormal"/>
      </w:pPr>
      <w:r>
        <w:t>Considera el fiscal que la celebración de una consulta, a modo de referéndum, constituía el elemento central del delito de rebelión imputado a las personas querelladas. A partir de esta constatación, la Sala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005728DD" w:rsidRDefault="005728DD" w:rsidP="005728DD">
      <w:pPr>
        <w:pStyle w:val="TextoNormal"/>
      </w:pPr>
    </w:p>
    <w:p w:rsidR="005728DD" w:rsidRDefault="005728DD" w:rsidP="005728DD">
      <w:pPr>
        <w:pStyle w:val="TextoNormal"/>
      </w:pPr>
      <w:r>
        <w:lastRenderedPageBreak/>
        <w:t>Concluye la resolución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005728DD" w:rsidRDefault="005728DD" w:rsidP="005728DD">
      <w:pPr>
        <w:pStyle w:val="TextoNormal"/>
      </w:pPr>
    </w:p>
    <w:p w:rsidR="005728DD" w:rsidRDefault="005728DD" w:rsidP="005728DD">
      <w:pPr>
        <w:pStyle w:val="TextoNormal"/>
      </w:pPr>
      <w:r>
        <w:t>La decisión de asumir la competencia objetiva para la investigación de los hechos objeto de querella indica,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5728DD" w:rsidRDefault="005728DD" w:rsidP="005728DD">
      <w:pPr>
        <w:pStyle w:val="TextoNormal"/>
      </w:pPr>
    </w:p>
    <w:p w:rsidR="005728DD" w:rsidRDefault="005728DD" w:rsidP="005728DD">
      <w:pPr>
        <w:pStyle w:val="TextoNormal"/>
      </w:pPr>
      <w:r>
        <w:t>4.2.2.2. Siguiendo este último criterio de conexidad procesal entre los delitos investigados, el magistrado instructor acordó mediante auto de 24 de noviembre de 2017 la extensión subjetiva del ámbito de investigación a otras personas, entonces no aforadas. Concretamente, al presidente de la asociación Òmnium Cultural y al recurrente que, por aquellas fechas, era el presidente de la asociación Asamblea Nacional Catalana. Y la extendió también a quienes habían sido miembros del Gobierno de la Generalitat de Cataluña en la legislatura anterior, ya disuelta. Poco tiempo después, por medio de auto de 22 de diciembre de 2017, la investigación se amplió “a los presidentes y portavoces de los grupos parlamentarios independentistas del disuelto Parlamento de Cataluña”.</w:t>
      </w:r>
    </w:p>
    <w:p w:rsidR="005728DD" w:rsidRDefault="005728DD" w:rsidP="005728DD">
      <w:pPr>
        <w:pStyle w:val="TextoNormal"/>
      </w:pPr>
    </w:p>
    <w:p w:rsidR="005728DD" w:rsidRDefault="005728DD" w:rsidP="005728DD">
      <w:pPr>
        <w:pStyle w:val="TextoNormal"/>
      </w:pPr>
      <w:r>
        <w:t>La extensión de la competencia del Tribunal Supremo a los nuevos investigados no aforados se justificó valorando que existía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005728DD" w:rsidRDefault="005728DD" w:rsidP="005728DD">
      <w:pPr>
        <w:pStyle w:val="TextoNormal"/>
      </w:pPr>
    </w:p>
    <w:p w:rsidR="005728DD" w:rsidRDefault="005728DD" w:rsidP="005728DD">
      <w:pPr>
        <w:pStyle w:val="TextoNormal"/>
      </w:pPr>
      <w:r>
        <w:t xml:space="preserve">El instructor apreció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w:t>
      </w:r>
      <w:r>
        <w:lastRenderedPageBreak/>
        <w:t>en todos aquellos casos en los que el objeto del proceso se configura por una unidad delictiva, con una pluralidad de partícipes, supuestos estos, específicamente contemplados en los números 1 y 2 del artículo 17 de la LECrim”.</w:t>
      </w:r>
    </w:p>
    <w:p w:rsidR="005728DD" w:rsidRDefault="005728DD" w:rsidP="005728DD">
      <w:pPr>
        <w:pStyle w:val="TextoNormal"/>
      </w:pPr>
    </w:p>
    <w:p w:rsidR="005728DD" w:rsidRDefault="005728DD" w:rsidP="005728DD">
      <w:pPr>
        <w:pStyle w:val="TextoNormal"/>
      </w:pPr>
      <w:r>
        <w:t>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005728DD" w:rsidRDefault="005728DD" w:rsidP="005728DD">
      <w:pPr>
        <w:pStyle w:val="TextoNormal"/>
      </w:pPr>
    </w:p>
    <w:p w:rsidR="005728DD" w:rsidRDefault="005728DD" w:rsidP="005728DD">
      <w:pPr>
        <w:pStyle w:val="TextoNormal"/>
      </w:pPr>
      <w:r>
        <w:t>4.2.2.3. A su vez, mediante auto de 27 de diciembre de 2018, una vez ratificada la conclusión del sumario, declarada la apertura del juicio oral y formulados los escritos de acusación, al desestimar las diversas peticiones de declinatoria de jurisdicción planteadas por las defensas, la sala de enjuiciamiento se remitió a los criterios expuestos en los anteriores pronunciamientos dictados en la fase de instrucción, aplicándolos ahora a los hechos imputados en los escritos de calificación provisional.</w:t>
      </w:r>
    </w:p>
    <w:p w:rsidR="005728DD" w:rsidRDefault="005728DD" w:rsidP="005728DD">
      <w:pPr>
        <w:pStyle w:val="TextoNormal"/>
      </w:pPr>
    </w:p>
    <w:p w:rsidR="005728DD" w:rsidRDefault="005728DD" w:rsidP="005728DD">
      <w:pPr>
        <w:pStyle w:val="TextoNormal"/>
      </w:pPr>
      <w:r>
        <w:t>De nuevo, como presupuesto metodológico, destacó la Sala que aquellas decisiones se adoptaron a partir de los elementos fácticos que sirvieron de soporte al Ministerio Fiscal para justificar el ejercicio de la acción penal. Añadió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005728DD" w:rsidRDefault="005728DD" w:rsidP="005728DD">
      <w:pPr>
        <w:pStyle w:val="TextoNormal"/>
      </w:pPr>
    </w:p>
    <w:p w:rsidR="005728DD" w:rsidRDefault="005728DD" w:rsidP="005728DD">
      <w:pPr>
        <w:pStyle w:val="TextoNormal"/>
      </w:pPr>
      <w:r>
        <w:t>En tal medida, la Sala constata en su resolución que tanto la acusación del Ministerio Fiscal y de la acción popular por delito de rebelión, como el relato fáctico sobre el que se construye la acusación por el delito de malversación de caudales públicos (que no se imputa al demandante), incorpora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005728DD" w:rsidRDefault="005728DD" w:rsidP="005728DD">
      <w:pPr>
        <w:pStyle w:val="TextoNormal"/>
      </w:pPr>
    </w:p>
    <w:p w:rsidR="005728DD" w:rsidRDefault="005728DD" w:rsidP="005728DD">
      <w:pPr>
        <w:pStyle w:val="TextoNormal"/>
      </w:pPr>
      <w:r>
        <w:t>Sucintamente expuestos, tal y como se recogen en los escritos de calificación, los hechos objeto de acusación realizados fuera de Cataluña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005728DD" w:rsidRDefault="005728DD" w:rsidP="005728DD">
      <w:pPr>
        <w:pStyle w:val="TextoNormal"/>
      </w:pPr>
    </w:p>
    <w:p w:rsidR="005728DD" w:rsidRDefault="005728DD" w:rsidP="005728DD">
      <w:pPr>
        <w:pStyle w:val="TextoNormal"/>
      </w:pPr>
      <w:r>
        <w:t>La Sala concluyó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la denominada “doctrina de la ubicuidad”, según la cual el delito se comete en cualquiera de los territorios donde se realizan algunos de los elementos del tipo objetivo y subjetivo del delito,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005728DD" w:rsidRDefault="005728DD" w:rsidP="005728DD">
      <w:pPr>
        <w:pStyle w:val="TextoNormal"/>
      </w:pPr>
    </w:p>
    <w:p w:rsidR="005728DD" w:rsidRDefault="005728DD" w:rsidP="005728DD">
      <w:pPr>
        <w:pStyle w:val="TextoNormal"/>
      </w:pPr>
      <w: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 Y al analizar específicamente la jurisprudencia previa que le fue alegada como término de comparación, concluye que, debido a los delitos investigados en aquellos precedentes, se </w:t>
      </w:r>
      <w:r>
        <w:lastRenderedPageBreak/>
        <w:t>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su criterio razonado de decisión no queda vinculado por los que hayan utilizado otros órganos judiciales al abordar las causas que a ellos se les han planteado.</w:t>
      </w:r>
    </w:p>
    <w:p w:rsidR="005728DD" w:rsidRDefault="005728DD" w:rsidP="005728DD">
      <w:pPr>
        <w:pStyle w:val="TextoNormal"/>
      </w:pPr>
    </w:p>
    <w:p w:rsidR="005728DD" w:rsidRDefault="005728DD" w:rsidP="005728DD">
      <w:pPr>
        <w:pStyle w:val="TextoNormal"/>
      </w:pPr>
      <w:r>
        <w:t>Por último, atendiendo objetivamente a la naturaleza y estructura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005728DD" w:rsidRDefault="005728DD" w:rsidP="005728DD">
      <w:pPr>
        <w:pStyle w:val="TextoNormal"/>
      </w:pPr>
    </w:p>
    <w:p w:rsidR="005728DD" w:rsidRDefault="005728DD" w:rsidP="005728DD">
      <w:pPr>
        <w:pStyle w:val="TextoNormal"/>
      </w:pPr>
      <w:r>
        <w:t>4.2.2.4. Estos mismos criterios fueron expuestos en la sentencia condenatoria al justificar la desestimación de las cuestiones previas planteadas por algunos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w:t>
      </w:r>
    </w:p>
    <w:p w:rsidR="005728DD" w:rsidRDefault="005728DD" w:rsidP="005728DD">
      <w:pPr>
        <w:pStyle w:val="TextoNormal"/>
      </w:pPr>
    </w:p>
    <w:p w:rsidR="005728DD" w:rsidRDefault="005728DD" w:rsidP="005728DD">
      <w:pPr>
        <w:pStyle w:val="TextoNormal"/>
      </w:pPr>
      <w:r>
        <w:t>4.3</w:t>
      </w:r>
      <w:r w:rsidRPr="005728DD">
        <w:rPr>
          <w:i/>
        </w:rPr>
        <w:t>. Doctrina jurisprudenci</w:t>
      </w:r>
      <w:r>
        <w:t>al.</w:t>
      </w:r>
    </w:p>
    <w:p w:rsidR="005728DD" w:rsidRDefault="005728DD" w:rsidP="005728DD">
      <w:pPr>
        <w:pStyle w:val="TextoNormal"/>
      </w:pPr>
    </w:p>
    <w:p w:rsidR="005728DD" w:rsidRDefault="005728DD" w:rsidP="005728DD">
      <w:pPr>
        <w:pStyle w:val="TextoNormal"/>
      </w:pPr>
      <w:r>
        <w:t>La cuestión planteada es sustancialmente idéntica a la analizada por el Pleno en la reciente STC 34/2021, de 17 de febrero, relativa a otra coacusada que ha sido condenada en la misma causa penal; en tal medida, la doctrina constitucional que a continuación se resume es en todo coincidente con la expuesta al fundamentar dicha resolución.</w:t>
      </w:r>
    </w:p>
    <w:p w:rsidR="005728DD" w:rsidRDefault="005728DD" w:rsidP="005728DD">
      <w:pPr>
        <w:pStyle w:val="TextoNormal"/>
      </w:pPr>
    </w:p>
    <w:p w:rsidR="005728DD" w:rsidRDefault="005728DD" w:rsidP="005728DD">
      <w:pPr>
        <w:pStyle w:val="TextoNormal"/>
      </w:pPr>
      <w:r>
        <w:t>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005728DD" w:rsidRDefault="005728DD" w:rsidP="005728DD">
      <w:pPr>
        <w:pStyle w:val="TextoNormal"/>
      </w:pPr>
    </w:p>
    <w:p w:rsidR="005728DD" w:rsidRDefault="005728DD" w:rsidP="005728DD">
      <w:pPr>
        <w:pStyle w:val="TextoNormal"/>
      </w:pPr>
      <w:r>
        <w:lastRenderedPageBreak/>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5728DD">
        <w:rPr>
          <w:i/>
        </w:rPr>
        <w:t>ad hoc</w:t>
      </w:r>
      <w:r>
        <w:t>;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5728DD" w:rsidRDefault="005728DD" w:rsidP="005728DD">
      <w:pPr>
        <w:pStyle w:val="TextoNormal"/>
      </w:pPr>
    </w:p>
    <w:p w:rsidR="005728DD" w:rsidRDefault="005728DD" w:rsidP="005728DD">
      <w:pPr>
        <w:pStyle w:val="TextoNormal"/>
      </w:pPr>
      <w:r>
        <w:t>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005728DD" w:rsidRDefault="005728DD" w:rsidP="005728DD">
      <w:pPr>
        <w:pStyle w:val="TextoNormal"/>
      </w:pPr>
    </w:p>
    <w:p w:rsidR="005728DD" w:rsidRDefault="005728DD" w:rsidP="005728DD">
      <w:pPr>
        <w:pStyle w:val="TextoNormal"/>
      </w:pPr>
      <w:r>
        <w:t>A través de ambas exigencias, que son fuente objetiva de legitimación de la función judicial, se trata de garantizar la independencia e imparcialidad de los órganos judiciales, lo que, como analizaremos más adelante, constituye el interés directo protegido por el derecho al juez ordinario legalmente predeterminado, proclamado también expresamente, aunque con distinta dicción, en el art. 14.1 del Pacto internacional de derechos civiles y políticos y en el art. 6.1 del Convenio europeo para la protección de los derechos humanos y de las libertades fundamentales, como analizaremos más adelante.</w:t>
      </w:r>
    </w:p>
    <w:p w:rsidR="005728DD" w:rsidRDefault="005728DD" w:rsidP="005728DD">
      <w:pPr>
        <w:pStyle w:val="TextoNormal"/>
      </w:pPr>
    </w:p>
    <w:p w:rsidR="005728DD" w:rsidRDefault="005728DD" w:rsidP="005728DD">
      <w:pPr>
        <w:pStyle w:val="TextoNormal"/>
      </w:pPr>
      <w:r>
        <w:t>Dados los términos del debate que se plantea en la demanda, en tanto se cuestiona únicamente la competencia de la Sala de lo Penal del Tribunal Supremo para la investigación y enjuiciamiento de los hechos atribuidos, entre otros, al demandante,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 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de 22 de marzo, FJ 2, y 93/1988, antes citada).</w:t>
      </w:r>
    </w:p>
    <w:p w:rsidR="005728DD" w:rsidRDefault="005728DD" w:rsidP="005728DD">
      <w:pPr>
        <w:pStyle w:val="TextoNormal"/>
      </w:pPr>
    </w:p>
    <w:p w:rsidR="005728DD" w:rsidRDefault="005728DD" w:rsidP="005728DD">
      <w:pPr>
        <w:pStyle w:val="TextoNormal"/>
      </w:pPr>
      <w:r>
        <w:t xml:space="preserve">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CE lleva a cabo en favor de juzgados y tribunales del ejercicio de la potestad jurisdiccional en todo tipo de procesos, según las normas de competencia y </w:t>
      </w:r>
      <w:r>
        <w:lastRenderedPageBreak/>
        <w:t>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005728DD" w:rsidRDefault="005728DD" w:rsidP="005728DD">
      <w:pPr>
        <w:pStyle w:val="TextoNormal"/>
      </w:pPr>
    </w:p>
    <w:p w:rsidR="005728DD" w:rsidRDefault="005728DD" w:rsidP="005728DD">
      <w:pPr>
        <w:pStyle w:val="TextoNormal"/>
      </w:pPr>
      <w:r>
        <w:t>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005728DD" w:rsidRDefault="005728DD" w:rsidP="005728DD">
      <w:pPr>
        <w:pStyle w:val="TextoNormal"/>
      </w:pPr>
    </w:p>
    <w:p w:rsidR="005728DD" w:rsidRDefault="005728DD" w:rsidP="005728DD">
      <w:pPr>
        <w:pStyle w:val="TextoNormal"/>
      </w:pPr>
      <w:r>
        <w:t>b) Dado que forman parte de una cultura europea común, los criterios que definen la doctrina de este tribunal sobre la necesidad de predeterminación legal de los órganos judiciales, de quienes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005728DD" w:rsidRDefault="005728DD" w:rsidP="005728DD">
      <w:pPr>
        <w:pStyle w:val="TextoNormal"/>
      </w:pPr>
    </w:p>
    <w:p w:rsidR="005728DD" w:rsidRDefault="005728DD" w:rsidP="005728DD">
      <w:pPr>
        <w:pStyle w:val="TextoNormal"/>
      </w:pPr>
      <w:r>
        <w:t xml:space="preserve">De acuerdo con lo establecido en el art. 6.1 CEDH: “Toda persona tiene derecho a que su causa sea oída equitativa, públicamente y dentro de un plazo razonable, por un tribunal independiente e imparcial, </w:t>
      </w:r>
      <w:r w:rsidRPr="005728DD">
        <w:rPr>
          <w:i/>
        </w:rPr>
        <w:t>establecido por ley</w:t>
      </w:r>
      <w:r>
        <w:t xml:space="preserve">”.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febrero de 1996, asunto </w:t>
      </w:r>
      <w:r w:rsidRPr="005728DD">
        <w:rPr>
          <w:i/>
        </w:rPr>
        <w:t>Bulut c. Austria</w:t>
      </w:r>
      <w:r>
        <w:t>, § 29; de 22 de junio de 2000, asunt</w:t>
      </w:r>
      <w:r w:rsidRPr="005728DD">
        <w:rPr>
          <w:i/>
        </w:rPr>
        <w:t>o Coëme y otros c. Bélgi</w:t>
      </w:r>
      <w:r>
        <w:t>ca, y de 28 de noviembre de 2002, asunt</w:t>
      </w:r>
      <w:r w:rsidRPr="005728DD">
        <w:rPr>
          <w:i/>
        </w:rPr>
        <w:t>o Lavents c. Leton</w:t>
      </w:r>
      <w:r>
        <w:t>ia).</w:t>
      </w:r>
    </w:p>
    <w:p w:rsidR="005728DD" w:rsidRDefault="005728DD" w:rsidP="005728DD">
      <w:pPr>
        <w:pStyle w:val="TextoNormal"/>
      </w:pPr>
    </w:p>
    <w:p w:rsidR="005728DD" w:rsidRDefault="005728DD" w:rsidP="005728DD">
      <w:pPr>
        <w:pStyle w:val="TextoNormal"/>
      </w:pPr>
      <w:r>
        <w:t xml:space="preserve">En otros pronunciamientos (sentencia de 5 de octubre de 2010, asunto </w:t>
      </w:r>
      <w:r w:rsidRPr="005728DD">
        <w:rPr>
          <w:i/>
        </w:rPr>
        <w:t>DMD GROUP, A.S. c. Eslovaquia</w:t>
      </w:r>
      <w:r>
        <w:t xml:space="preserve">), el tribunal ha establecido que la expresión “establecido por la ley” tiene por objeto asegurar “que la organización judicial en una sociedad democrática no dependa de la discrecionalidad del Poder Ejecutivo, sino que esté regulada por la ley emanada del Parlamento” (informe de la Comisión de 12 de octubre de 1978, asunto </w:t>
      </w:r>
      <w:r w:rsidRPr="005728DD">
        <w:rPr>
          <w:i/>
        </w:rPr>
        <w:t>Zand c. Austria</w:t>
      </w:r>
      <w:r>
        <w:t xml:space="preserve">). Incluso cuando existe una previsión legal expresa, la organización del sistema judicial no puede quedar a la valoración discrecional de las autoridades judiciales. Lo dicho no significa </w:t>
      </w:r>
      <w:r>
        <w:lastRenderedPageBreak/>
        <w:t xml:space="preserve">que los tribunales no tengan cierta libertad para interpretar la legislación nacional relevante (SSTEDH de 22 de junio de 2000, asunto </w:t>
      </w:r>
      <w:r w:rsidRPr="005728DD">
        <w:rPr>
          <w:i/>
        </w:rPr>
        <w:t>Coëme y otros c. Bélgica</w:t>
      </w:r>
      <w:r>
        <w:t xml:space="preserve">, antes citado, § 98, y de 28 de abril de 2009, asunto </w:t>
      </w:r>
      <w:r w:rsidRPr="005728DD">
        <w:rPr>
          <w:i/>
        </w:rPr>
        <w:t>Savino y otros c. Italia</w:t>
      </w:r>
      <w:r>
        <w:t>).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w:t>
      </w:r>
      <w:r w:rsidRPr="005728DD">
        <w:rPr>
          <w:i/>
        </w:rPr>
        <w:t>o Lavents c. Leton</w:t>
      </w:r>
      <w:r>
        <w:t>ia).</w:t>
      </w:r>
    </w:p>
    <w:p w:rsidR="005728DD" w:rsidRDefault="005728DD" w:rsidP="005728DD">
      <w:pPr>
        <w:pStyle w:val="TextoNormal"/>
      </w:pPr>
    </w:p>
    <w:p w:rsidR="005728DD" w:rsidRDefault="005728DD" w:rsidP="005728DD">
      <w:pPr>
        <w:pStyle w:val="TextoNormal"/>
      </w:pPr>
      <w:r>
        <w:t>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w:t>
      </w:r>
      <w:r w:rsidRPr="005728DD">
        <w:rPr>
          <w:i/>
        </w:rPr>
        <w:t>o Jorgic c. Aleman</w:t>
      </w:r>
      <w:r>
        <w:t>ia, § 64 a 72; referida al enjuiciamiento por actos de genocidio cometidos fuera de Alemania).</w:t>
      </w:r>
    </w:p>
    <w:p w:rsidR="005728DD" w:rsidRDefault="005728DD" w:rsidP="005728DD">
      <w:pPr>
        <w:pStyle w:val="TextoNormal"/>
      </w:pPr>
    </w:p>
    <w:p w:rsidR="005728DD" w:rsidRDefault="005728DD" w:rsidP="005728DD">
      <w:pPr>
        <w:pStyle w:val="TextoNormal"/>
      </w:pPr>
      <w:r>
        <w:t>4.4</w:t>
      </w:r>
      <w:r w:rsidRPr="005728DD">
        <w:rPr>
          <w:i/>
        </w:rPr>
        <w:t>. Resolución de la que</w:t>
      </w:r>
      <w:r>
        <w:t>ja.</w:t>
      </w:r>
    </w:p>
    <w:p w:rsidR="005728DD" w:rsidRDefault="005728DD" w:rsidP="005728DD">
      <w:pPr>
        <w:pStyle w:val="TextoNormal"/>
      </w:pPr>
    </w:p>
    <w:p w:rsidR="005728DD" w:rsidRDefault="005728DD" w:rsidP="005728DD">
      <w:pPr>
        <w:pStyle w:val="TextoNormal"/>
      </w:pPr>
      <w:r>
        <w:t>4.4.1. El análisis de la queja planteada por el demandante, que fue acusado por delitos de rebelión, sedición y organización criminal, pero condenado exclusivamente por un delito de sedición, exige poner de relieve dos momentos diferenciados en el desarrollo de la causa; ambos están relacionados con la adquisición por el demandante de la condición de diputado autonómico catalán en las elecciones del 21 de diciembre de 2017:</w:t>
      </w:r>
    </w:p>
    <w:p w:rsidR="005728DD" w:rsidRDefault="005728DD" w:rsidP="005728DD">
      <w:pPr>
        <w:pStyle w:val="TextoNormal"/>
      </w:pPr>
    </w:p>
    <w:p w:rsidR="005728DD" w:rsidRDefault="005728DD" w:rsidP="005728DD">
      <w:pPr>
        <w:pStyle w:val="TextoNormal"/>
      </w:pPr>
      <w:r>
        <w:t>(i) En un primer momento procesal, el señor Sànchez i Picanyol no tenía la condición de aforado. No la tenía cuando, el 27 de septiembre de 2017, fue denunciado como supuesto autor de un delito de sedición ante la Audiencia Nacional (lo que dio lugar a las diligencias previas núm. 82-2017, seguidas ante el Juzgado Central de Instrucción núm. 3). Tampoco cuando, mediante auto de 24 de noviembre de 2017, el magistrado instructor de la Sala de lo Penal del Tribunal Supremo, por apreciar identidad en los hechos denunciados, reclamó a dicho juzgado la remisión de aquellas actuaciones, para su acumulación procesal a la causa especial núm. 20907-2017.</w:t>
      </w:r>
    </w:p>
    <w:p w:rsidR="005728DD" w:rsidRDefault="005728DD" w:rsidP="005728DD">
      <w:pPr>
        <w:pStyle w:val="TextoNormal"/>
      </w:pPr>
    </w:p>
    <w:p w:rsidR="005728DD" w:rsidRDefault="005728DD" w:rsidP="005728DD">
      <w:pPr>
        <w:pStyle w:val="TextoNormal"/>
      </w:pPr>
      <w:r>
        <w:t xml:space="preserve">(ii) Sin embargo, pocas semanas después, desde que en el mes de enero de 2018 adquirió la condición de diputado del Parlamento de Cataluña como consecuencia de las elecciones celebradas el 21 de diciembre de 2017, el demandante mantuvo reconocido tal fuero especial (art. 57 EAC) hasta que, en mayo de 2019, iniciadas ya las sesiones del juicio oral desde febrero de 2019, adquirió la condición de diputado de las Cortes Generales, tras resultar elegido en las elecciones generales celebradas el 21 de abril de 2019; condición esta última que lleva también aparejada, </w:t>
      </w:r>
      <w:r w:rsidRPr="005728DD">
        <w:rPr>
          <w:i/>
        </w:rPr>
        <w:t>ex</w:t>
      </w:r>
      <w:r>
        <w:t xml:space="preserve"> art. 71.3 CE, la condición de aforado. Aunque en la sentencia condenatoria se alude adicionalmente a esta última circunstancia para rechazar la alegada vulneración del derecho al juez predeterminado por la ley, sin embargo, no fue tomada en consideración por la Sala al rechazar la declinatoria de jurisdicción pues, entonces, el demandante mantenía la condición de diputado autonómico de Cataluña.</w:t>
      </w:r>
    </w:p>
    <w:p w:rsidR="005728DD" w:rsidRDefault="005728DD" w:rsidP="005728DD">
      <w:pPr>
        <w:pStyle w:val="TextoNormal"/>
      </w:pPr>
    </w:p>
    <w:p w:rsidR="005728DD" w:rsidRDefault="005728DD" w:rsidP="005728DD">
      <w:pPr>
        <w:pStyle w:val="TextoNormal"/>
      </w:pPr>
      <w:r>
        <w:t xml:space="preserve">La secuencia temporal expuesta permite distinguir dos motivos nucleares en la queja que denuncia la vulneración del derecho al juez ordinario predeterminado por la ley. De una </w:t>
      </w:r>
      <w:r>
        <w:lastRenderedPageBreak/>
        <w:t>parte, el demandante cuestiona como arbitraria, forzada e irrazonable la interpretación de las normas procesales que llevaron al magistrado instructor a acordar la acumulación de causas por considerar coincidentes los hechos investigados en ellas y conexos los delitos que se denunciaban como cometidos. En segundo término, califica también como arbitraria la apreciación de que parte de los hechos imputados como delictivos, también incluidos en el sustrato fáctico de los escritos de acusación, hubieran tenido lugar fuera de Cataluña. En tal medida, el demandante entiende que, conforme al art. 57.2 EAC, las actuaciones penales que han dado lugar a su condena debieron seguirse ante el Tribunal Superior de Justicia de Cataluña, y no ante la Sala de lo Penal del Tribunal Supremo.</w:t>
      </w:r>
    </w:p>
    <w:p w:rsidR="005728DD" w:rsidRDefault="005728DD" w:rsidP="005728DD">
      <w:pPr>
        <w:pStyle w:val="TextoNormal"/>
      </w:pPr>
    </w:p>
    <w:p w:rsidR="005728DD" w:rsidRDefault="005728DD" w:rsidP="005728DD">
      <w:pPr>
        <w:pStyle w:val="TextoNormal"/>
      </w:pPr>
      <w:r>
        <w:t>A partir de la concreta vertiente del derecho fundamental alegado por el demandante y la doctrina jurisprudencial que sobre su contenido ha sido expuesta en el anterior subepígrafe primero, la cuestión que hemos de resolver se concreta en determinar si las resoluciones judiciales por las que la Sala de lo Penal del Tribunal Supremo asumió la competencia para la investigación de los hechos atribuidos en la querella, la extendió a los no aforados por razones de conexidad procesal e inescindibilidad de la causa, y después, la mantuvo para el enjuiciamiento de los hechos que dieron sustento a la pretensión acusatoria, se apoyan en razonamientos arbitrarios, irrazonables o basados en un error fáctico patente que deriva de las actuaciones. Solo en este caso presentará relieve constitucional la discrepancia expresada por el demandante, más allá de exteriorizar una diferencia razonada de criterio con la interpretación judicial de la ley procesal aplicable.</w:t>
      </w:r>
    </w:p>
    <w:p w:rsidR="005728DD" w:rsidRDefault="005728DD" w:rsidP="005728DD">
      <w:pPr>
        <w:pStyle w:val="TextoNormal"/>
      </w:pPr>
    </w:p>
    <w:p w:rsidR="005728DD" w:rsidRDefault="005728DD" w:rsidP="005728DD">
      <w:pPr>
        <w:pStyle w:val="TextoNormal"/>
      </w:pPr>
      <w:r>
        <w:t>4.4.2. Dada la delimitación progresiva de su objeto, debemos hacer una consideración previa sobre las peculiaridades que, en torno a la determinación de la competencia, presenta el desarrollo del proceso penal. En nuestro ordenamiento,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la calificación jurídica es provisional durante la fase de investigación e intermedia (SSTC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le haya sido alegado.</w:t>
      </w:r>
    </w:p>
    <w:p w:rsidR="005728DD" w:rsidRDefault="005728DD" w:rsidP="005728DD">
      <w:pPr>
        <w:pStyle w:val="TextoNormal"/>
      </w:pPr>
    </w:p>
    <w:p w:rsidR="005728DD" w:rsidRDefault="005728DD" w:rsidP="005728DD">
      <w:pPr>
        <w:pStyle w:val="TextoNormal"/>
      </w:pPr>
      <w:r>
        <w:t>Expuesto de forma sintética el desarrollo del proceso penal, resulta indiscutible que la evaluación inicial de la competencia objetiva para la investigación de la causa solo puede tener como referencia los hechos atribuidos en la querella y su calificación jurídica provisional. En aquel momento procesal (auto de admisión a trámite de la querella de 31 de octubre de 2017), salvo que se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En este caso, para determinar el órgano judicial competente para su conocimiento, dada la condición parlamentaria de varias personas querelladas, resultaban determinantes su fuero especial y el lugar de comisión de los hechos imputados, a la vista de la dicción del art. 57.2 del Estatuto catalán.</w:t>
      </w:r>
    </w:p>
    <w:p w:rsidR="005728DD" w:rsidRDefault="005728DD" w:rsidP="005728DD">
      <w:pPr>
        <w:pStyle w:val="TextoNormal"/>
      </w:pPr>
    </w:p>
    <w:p w:rsidR="005728DD" w:rsidRDefault="005728DD" w:rsidP="005728DD">
      <w:pPr>
        <w:pStyle w:val="TextoNormal"/>
      </w:pPr>
      <w:r>
        <w:lastRenderedPageBreak/>
        <w:t>A partir de estas consideraciones, no podemos compartir con el demandante que la asunción inicial de la competencia de investigación, en aplicación de los parámetros expuestos, se haya apoyado en valoraciones o razonamientos que puedan ser calificados como arbitrarios, manifiestamente irrazonables o fruto de un error patente que derive de las actuaciones.</w:t>
      </w:r>
    </w:p>
    <w:p w:rsidR="005728DD" w:rsidRDefault="005728DD" w:rsidP="005728DD">
      <w:pPr>
        <w:pStyle w:val="TextoNormal"/>
      </w:pPr>
    </w:p>
    <w:p w:rsidR="005728DD" w:rsidRDefault="005728DD" w:rsidP="005728DD">
      <w:pPr>
        <w:pStyle w:val="TextoNormal"/>
      </w:pPr>
      <w:r>
        <w:t>Los criterios jurídicos utilizados por la Sala de lo Penal del Tribunal Supremo —extensamente descritos en anteriores epígrafes— dan cuenta de la toma en consideración de los elementos nucleares de la regla de atribución de competencia: aforamiento especial parlamentario, lugar atribuido de la comisión del delito y conexidad procesal.</w:t>
      </w:r>
    </w:p>
    <w:p w:rsidR="005728DD" w:rsidRDefault="005728DD" w:rsidP="005728DD">
      <w:pPr>
        <w:pStyle w:val="TextoNormal"/>
      </w:pPr>
    </w:p>
    <w:p w:rsidR="005728DD" w:rsidRDefault="005728DD" w:rsidP="005728DD">
      <w:pPr>
        <w:pStyle w:val="TextoNormal"/>
      </w:pPr>
      <w:r>
        <w:t>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—plurisubjetivo y colectivo—, expuesto por el Ministerio Fiscal en la querella como fruto de una estrategia concertada que presenta un elemento tendencial notorio: declarar la independencia de una parte del territorio español.</w:t>
      </w:r>
    </w:p>
    <w:p w:rsidR="005728DD" w:rsidRDefault="005728DD" w:rsidP="005728DD">
      <w:pPr>
        <w:pStyle w:val="TextoNormal"/>
      </w:pPr>
    </w:p>
    <w:p w:rsidR="005728DD" w:rsidRDefault="005728DD" w:rsidP="005728DD">
      <w:pPr>
        <w:pStyle w:val="TextoNormal"/>
      </w:pPr>
      <w:r>
        <w:t>Es precisamente la afirmación de que una pluralidad de sujetos intervino concertadamente en el hecho atribuido lo que justificó también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005728DD" w:rsidRDefault="005728DD" w:rsidP="005728DD">
      <w:pPr>
        <w:pStyle w:val="TextoNormal"/>
      </w:pPr>
    </w:p>
    <w:p w:rsidR="005728DD" w:rsidRDefault="005728DD" w:rsidP="005728DD">
      <w:pPr>
        <w:pStyle w:val="TextoNormal"/>
      </w:pPr>
      <w:r>
        <w:t>Se trata, por tanto, de razonamientos que tienen que ver con los hechos atribuidos, con el lugar donde supuestamente se produjeron, con la calificación jurídica provisional expresada en la querella y con la condición parlamentaria de varios querellados aforados. No parten de premisas inexistentes o patentemente erróneas. Y su desarrollo argumental no incurre en quiebras lógicas ni se aleja del tenor de la norma aplicada, sino que, descartando la identidad objetiva de los precedentes jurisprudenciales alegados por el demandante, se apoyan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 Que se utilizaran criterios jurisprudenciales nuevos para un caso complejo como el que era objeto de investigación, no permite afirmar, sin más, su arbitrariedad. El demandante discrepa de los criterios utilizados para extender la autoría por colaboración a quienes realizaran tareas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que denuncia, ni permite apreciar la arbitrariedad que alega.</w:t>
      </w:r>
    </w:p>
    <w:p w:rsidR="005728DD" w:rsidRDefault="005728DD" w:rsidP="005728DD">
      <w:pPr>
        <w:pStyle w:val="TextoNormal"/>
      </w:pPr>
    </w:p>
    <w:p w:rsidR="005728DD" w:rsidRDefault="005728DD" w:rsidP="005728DD">
      <w:pPr>
        <w:pStyle w:val="TextoNormal"/>
      </w:pPr>
      <w:r>
        <w:t>Tampoco resulta fundada la discrepancia que se expresa utilizando como término de comparación la solución dada a anteriores acciones penales ya enjuiciadas pues, como extensamente ha argumentado la Sala de lo Penal del Tribunal Supremo al rechazar la decli</w:t>
      </w:r>
      <w:r>
        <w:lastRenderedPageBreak/>
        <w:t>natoria de jurisdicción, se trata de casos distintos, referidos a hechos diferentes, que no pueden ser utilizados como término de comparación válido para cuestionar la decisión adoptada en la presente causa. En aquellos supuestos la acusación tuvo un presupuesto fáctico distinto, y tampoco se extendió a los tipos penales que han sido enjuiciados en la presente causa penal. En todo caso, más allá de expresar su discrepancia al respecto, el recurrente no hace el mínimo esfuerzo argumental en relación con la respuesta expresa que, sobre esta cuestión, ha recibido del Tribunal Supremo.</w:t>
      </w:r>
    </w:p>
    <w:p w:rsidR="005728DD" w:rsidRDefault="005728DD" w:rsidP="005728DD">
      <w:pPr>
        <w:pStyle w:val="TextoNormal"/>
      </w:pPr>
    </w:p>
    <w:p w:rsidR="005728DD" w:rsidRDefault="005728DD" w:rsidP="005728DD">
      <w:pPr>
        <w:pStyle w:val="TextoNormal"/>
      </w:pPr>
      <w:r>
        <w:t>En definitiva, en cuanto a la asunción de la competencia para la averiguación del delito denunciado, la conclusión alcanzada es consecuencia lógica de las razones jurídicas expuestas y no supone una manipulación arbitraria de la regla de distribución de competencias, por lo que la vulneración alegada ha de ser desestimada.</w:t>
      </w:r>
    </w:p>
    <w:p w:rsidR="005728DD" w:rsidRDefault="005728DD" w:rsidP="005728DD">
      <w:pPr>
        <w:pStyle w:val="TextoNormal"/>
      </w:pPr>
    </w:p>
    <w:p w:rsidR="005728DD" w:rsidRDefault="005728DD" w:rsidP="005728DD">
      <w:pPr>
        <w:pStyle w:val="TextoNormal"/>
      </w:pPr>
      <w:r>
        <w:t>4.4.3. Como ha quedado expuesto, la extensión subjetiva de la competencia al demandante y a otras personas no aforadas sometidas a investigación, fue acordada por auto del magistrado instructor de 24 de noviembre de 2017. Aunque el demandante carecía en aquel momento de la condición de aforado, la investigación y enjuiciamiento de los hechos que se le atribuían por la Sala de lo Penal del Tribunal Supremo estaban explícita y específicamente previstos por las normas de la Ley de enjuiciamiento criminal que establecen el enjuiciamiento conjunto en un solo proceso de los delitos conexos cuya inescindibilidad sea apreciada (art. 17.1 y 2 y art. 272 LECrim). No cabe compartir la afirmación que se hace en la demanda según la cual tales reglas de conexidad son “difícilmente comprensibles y contradictorias con pronunciamientos anteriores recientes del Tribunal Supremo”. Se trata de normas procesales aplicadas diaria y ordinariamente en nuestra realidad jurídica cuando un solo hecho es cometido por dos o más personas reunidas, o un delito es medio para la comisión de otro o para facilitar su ejecución, o, en fin, cuando se aprecia la existencia de un concierto previo para la comisión de un delito plurisubjetivo en distintos lugares o tiempos (art. 17.1 a 3 LECrim).</w:t>
      </w:r>
    </w:p>
    <w:p w:rsidR="005728DD" w:rsidRDefault="005728DD" w:rsidP="005728DD">
      <w:pPr>
        <w:pStyle w:val="TextoNormal"/>
      </w:pPr>
    </w:p>
    <w:p w:rsidR="005728DD" w:rsidRDefault="005728DD" w:rsidP="005728DD">
      <w:pPr>
        <w:pStyle w:val="TextoNormal"/>
      </w:pPr>
      <w:r>
        <w:t>4.4.4. Igual suerte desestimatoria ha de correr la vulneración que se asocia al auto de 27 de diciembre de 2018 que desestimó las diversas declinatorias de jurisdicción planteadas por los acusados. Sus razonamientos son semejantes y abundan en los que ya han sido expuestos. El único elemento diferencial de su análisis radica ahora en que la competencia de enjuiciamiento se ratificó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(delito del que el demandante no fue acusado), incorporaban hechos que desbordan el límite territorial de la comunidad autónoma catalana.</w:t>
      </w:r>
    </w:p>
    <w:p w:rsidR="005728DD" w:rsidRDefault="005728DD" w:rsidP="005728DD">
      <w:pPr>
        <w:pStyle w:val="TextoNormal"/>
      </w:pPr>
    </w:p>
    <w:p w:rsidR="005728DD" w:rsidRDefault="005728DD" w:rsidP="005728DD">
      <w:pPr>
        <w:pStyle w:val="TextoNormal"/>
      </w:pPr>
      <w:r>
        <w:t xml:space="preserve">El mantenimiento de la competencia para enjuiciamiento vino apoyado en todo momento en los elementos que, en el Estatuto de Autonomía de Cataluña, definen la regla estatutaria de atribución competencial.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w:t>
      </w:r>
      <w:r>
        <w:lastRenderedPageBreak/>
        <w:t>lógica, o apoyado en un error patente pues, en este último sentido, no se evaluaron hechos cometidos, sino hechos atribuidos por los acusadores.</w:t>
      </w:r>
    </w:p>
    <w:p w:rsidR="005728DD" w:rsidRDefault="005728DD" w:rsidP="005728DD">
      <w:pPr>
        <w:pStyle w:val="TextoNormal"/>
      </w:pPr>
    </w:p>
    <w:p w:rsidR="005728DD" w:rsidRDefault="005728DD" w:rsidP="005728DD">
      <w:pPr>
        <w:pStyle w:val="TextoNormal"/>
      </w:pPr>
      <w:r>
        <w:t>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005728DD" w:rsidRDefault="005728DD" w:rsidP="005728DD">
      <w:pPr>
        <w:pStyle w:val="TextoNormal"/>
      </w:pPr>
    </w:p>
    <w:p w:rsidR="005728DD" w:rsidRDefault="005728DD" w:rsidP="005728DD">
      <w:pPr>
        <w:pStyle w:val="TextoNormal"/>
      </w:pPr>
      <w:r>
        <w:t>Lo expuesto permite apreciar que la Sala de lo Penal del Tribunal Supremo, en cuanto es el órgano judicial establecido por la ley para exigir responsabilidad por delito a los diputados autonómicos, cuando los hechos atribuidos tienen lugar fuera del territorio catalán, no es irrazonable que lo sea respecto a las acciones penales que contra ellos se dirijan en esos casos; lo que permite concluir que las resoluciones impugnadas en amparo no vulneraron el derecho del recurrente al juez ordinario predeterminado por la ley.</w:t>
      </w:r>
    </w:p>
    <w:p w:rsidR="005728DD" w:rsidRDefault="005728DD" w:rsidP="005728DD">
      <w:pPr>
        <w:pStyle w:val="TextoNormal"/>
      </w:pPr>
    </w:p>
    <w:p w:rsidR="005728DD" w:rsidRDefault="005728DD" w:rsidP="005728DD">
      <w:pPr>
        <w:pStyle w:val="TextoNormal"/>
      </w:pPr>
      <w:r>
        <w:t>4.5. La desestimación del precedente motivo de amparo lleva consigo la del que, por conexión, denuncia la indebida limitación del derecho al doble grado jurisdiccional en materia penal. El demandante ha visto cómo la investigación y el enjuiciamiento de las imputaciones que pesaban sobre él se trasladaron ante la Sala de lo Penal del Tribunal Supremo debido a que algunas otras personas acusadas en la misma causa tenían la condición necesaria para el aforamiento parlamentario previsto en el art. 57.2 EAC, y a que se apreció identidad fáctica y conexidad procesal entre los hechos y delitos atribuidos inicialmente a los aforados y al demandante. Posteriormente fue mantenida tras adquirir la condición de diputado autonómico.</w:t>
      </w:r>
    </w:p>
    <w:p w:rsidR="005728DD" w:rsidRDefault="005728DD" w:rsidP="005728DD">
      <w:pPr>
        <w:pStyle w:val="TextoNormal"/>
      </w:pPr>
    </w:p>
    <w:p w:rsidR="005728DD" w:rsidRDefault="005728DD" w:rsidP="005728DD">
      <w:pPr>
        <w:pStyle w:val="TextoNormal"/>
      </w:pPr>
      <w:r>
        <w:t>Tal y como expresa la sentencia impugnada, este tribunal ya ha abordado en anteriores pronunciamientos dicha cuestión (por todas, SSTC 51/1985, de 10 de abril, FJ 3; y 64/2001, de 17 de marzo, FJ 5). En ellos hemos señalado que el derecho a someter el fallo condenatorio y la pena ante un tribunal superior integra el derecho al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suficiente.</w:t>
      </w:r>
    </w:p>
    <w:p w:rsidR="005728DD" w:rsidRDefault="005728DD" w:rsidP="005728DD">
      <w:pPr>
        <w:pStyle w:val="TextoNormal"/>
      </w:pPr>
    </w:p>
    <w:p w:rsidR="005728DD" w:rsidRDefault="005728DD" w:rsidP="005728DD">
      <w:pPr>
        <w:pStyle w:val="TextoNormal"/>
      </w:pPr>
      <w:r>
        <w:t>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w:t>
      </w:r>
    </w:p>
    <w:p w:rsidR="005728DD" w:rsidRDefault="005728DD" w:rsidP="005728DD">
      <w:pPr>
        <w:pStyle w:val="TextoNormal"/>
      </w:pPr>
    </w:p>
    <w:p w:rsidR="005728DD" w:rsidRDefault="005728DD" w:rsidP="005728DD">
      <w:pPr>
        <w:pStyle w:val="TextoNormal"/>
      </w:pPr>
      <w:r>
        <w:t>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se estimó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de 1966,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 la doble instancia penal.</w:t>
      </w:r>
    </w:p>
    <w:p w:rsidR="005728DD" w:rsidRDefault="005728DD" w:rsidP="005728DD">
      <w:pPr>
        <w:pStyle w:val="TextoNormal"/>
      </w:pPr>
    </w:p>
    <w:p w:rsidR="005728DD" w:rsidRDefault="005728DD" w:rsidP="005728DD">
      <w:pPr>
        <w:pStyle w:val="TextoNormal"/>
      </w:pPr>
      <w:r>
        <w:t>Procede, en consecuencia, desestimar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Derechos de defensa y a no ser discriminado por razón de la lengua</w:t>
      </w:r>
      <w:r>
        <w:t>.</w:t>
      </w:r>
    </w:p>
    <w:p w:rsidR="005728DD" w:rsidRDefault="005728DD" w:rsidP="005728DD">
      <w:pPr>
        <w:pStyle w:val="TextoNormal"/>
      </w:pPr>
    </w:p>
    <w:p w:rsidR="005728DD" w:rsidRDefault="005728DD" w:rsidP="005728DD">
      <w:pPr>
        <w:pStyle w:val="TextoNormal"/>
      </w:pPr>
      <w:r>
        <w:t xml:space="preserve">5.1. </w:t>
      </w:r>
      <w:r w:rsidRPr="005728DD">
        <w:rPr>
          <w:i/>
        </w:rPr>
        <w:t>Posiciones de las partes</w:t>
      </w:r>
      <w:r>
        <w:t>.</w:t>
      </w:r>
    </w:p>
    <w:p w:rsidR="005728DD" w:rsidRDefault="005728DD" w:rsidP="005728DD">
      <w:pPr>
        <w:pStyle w:val="TextoNormal"/>
      </w:pPr>
    </w:p>
    <w:p w:rsidR="005728DD" w:rsidRDefault="005728DD" w:rsidP="005728DD">
      <w:pPr>
        <w:pStyle w:val="TextoNormal"/>
      </w:pPr>
      <w:r>
        <w:t>El recurrente denuncia la vulneración de su derecho de defensa (arts. 24 CE y 6 CEDH) por no haber permitido el tribunal sentenciador a los acusados y a los testigos declarar en el juicio oral en su lengua materna, habilitando un sistema de traducción simultánea. Considera también que este hecho supuso la infracción del derecho a la no discriminación por razón de lengua (arts. 14 CE y 14 CEDH).</w:t>
      </w:r>
    </w:p>
    <w:p w:rsidR="005728DD" w:rsidRDefault="005728DD" w:rsidP="005728DD">
      <w:pPr>
        <w:pStyle w:val="TextoNormal"/>
      </w:pPr>
    </w:p>
    <w:p w:rsidR="005728DD" w:rsidRDefault="005728DD" w:rsidP="005728DD">
      <w:pPr>
        <w:pStyle w:val="TextoNormal"/>
      </w:pPr>
      <w:r>
        <w:t xml:space="preserve">En concreto, como se indica pormenorizadamente en los antecedentes de esta sentencia, que ahora sintetizamos, recuerda la demanda que varias defensas solicitaron a la Sala utilizar en el interrogatorio de sus defendidos en la vista oral el catalán, a fin de poder declarar con mayor fluidez, así como la utilización del sistema de traducción simultánea, que el art. 123.2 LECrim considera preferente al sistema de traducción sucesiva. El tribunal, sin embargo, pese a reconocer expresamente que los procesados tenían derecho a declarar en catalán (página 69 de la sentencia), acordó que habría de utilizarse un sistema de traducción sucesiva, mucho menos ágil, lo que forzó a aquellos a desistir de expresarse en su lengua vernácula. Según la defensa, su uso permite al procesado entender mejor las preguntas que se le hacen y responderlas con mayor fluidez, pero la fórmula de traducción consecutiva, cuyo empleo se justificó por la Sala como garantía de la publicidad del proceso, y que según el art. 123.2 LECrim solo procede cuando no es posible habilitar un sistema de traducción simultánea, ralentiza y prolonga en exceso el acto, que deviene agotador para todos los intervinientes y para la propia Sala, en un juicio ya de por sí extenso. Se añade que, además del menoscabo </w:t>
      </w:r>
      <w:r>
        <w:lastRenderedPageBreak/>
        <w:t>al derecho de defensa (art. 24.1 CE), la negativa a permitir la traducción simultánea constituye una discriminación contraria al art. 14 CE, pues, en comparación con el trato dispensado a cualquier ciudadano español cuya lengua propia sea el castellano, los ciudadanos catalanohablantes tienen que “soportar la carga (absolutamente evitable) de una prolongación del juicio oral”, lo que se traduce en “un claro efecto desincentivador del ejercicio de los derechos lingüísticos”.</w:t>
      </w:r>
    </w:p>
    <w:p w:rsidR="005728DD" w:rsidRDefault="005728DD" w:rsidP="005728DD">
      <w:pPr>
        <w:pStyle w:val="TextoNormal"/>
      </w:pPr>
    </w:p>
    <w:p w:rsidR="005728DD" w:rsidRDefault="005728DD" w:rsidP="005728DD">
      <w:pPr>
        <w:pStyle w:val="TextoNormal"/>
      </w:pPr>
      <w:r>
        <w:t>En relación con los testigos, a quienes se impidió la posibilidad de expresarse en catalán, según la parte recurrente, la Sala basó su decisión en una interpretación del art. 231.3 LOPJ opuesta a los arts. 3.2 y 14 CE, lo que les condujo a expresarse en una lengua que hablan con menor fluidez, incidiendo en la credibilidad de su testimonio y vulnerando, por tanto, el derecho de defensa de los procesados.</w:t>
      </w:r>
    </w:p>
    <w:p w:rsidR="005728DD" w:rsidRDefault="005728DD" w:rsidP="005728DD">
      <w:pPr>
        <w:pStyle w:val="TextoNormal"/>
      </w:pPr>
    </w:p>
    <w:p w:rsidR="005728DD" w:rsidRDefault="005728DD" w:rsidP="005728DD">
      <w:pPr>
        <w:pStyle w:val="TextoNormal"/>
      </w:pPr>
      <w:r>
        <w:t>El abogado del Estado rechaza el fundamento de esta queja señalando que la configuración, en 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En relación con los tres testigos que pidieron declarar en catalán, señala que no solo tenían obligación de conocer el castellano, sino que por razón de sus cargos eran perfectamente conocedores de esa lengua, a lo que se suma que esos testimonios fueron inanes desde el punto de vista probatorio, por lo que no incidieron en el derecho de defensa.</w:t>
      </w:r>
    </w:p>
    <w:p w:rsidR="005728DD" w:rsidRDefault="005728DD" w:rsidP="005728DD">
      <w:pPr>
        <w:pStyle w:val="TextoNormal"/>
      </w:pPr>
    </w:p>
    <w:p w:rsidR="005728DD" w:rsidRDefault="005728DD" w:rsidP="005728DD">
      <w:pPr>
        <w:pStyle w:val="TextoNormal"/>
      </w:pPr>
      <w:r>
        <w:t>Por su parte, la representación procesal del partido político Vox postula también la desestimación de este motivo de amparo. A su juicio, de la STC 74/1987, de 25 de mayo, se desprende que el deber de conocer el castellano, conforme se establece en el art. 3.1 CE, genera una presunción de conocimiento que puede ser desvirtuada cuando de manera verosímil se alega ignorancia o conocimiento insuficiente, lo que no se ha producido en este caso, siendo esto predicable tanto respecto del demandante como en relación con los testigos.</w:t>
      </w:r>
    </w:p>
    <w:p w:rsidR="005728DD" w:rsidRDefault="005728DD" w:rsidP="005728DD">
      <w:pPr>
        <w:pStyle w:val="TextoNormal"/>
      </w:pPr>
    </w:p>
    <w:p w:rsidR="005728DD" w:rsidRDefault="005728DD" w:rsidP="005728DD">
      <w:pPr>
        <w:pStyle w:val="TextoNormal"/>
      </w:pPr>
      <w:r>
        <w:t>Por último, el Ministerio Fiscal, que lleva a cabo un importante esfuerzo de compilación de la doctrina constitucional, interesa también la desestimación de la queja. A su entender, ni siquiera existe infracción de norma procesal alguna, ya que el art. 231.3 LOPJ circunscribe la posibilidad de empleo de la lengua cooficial exclusivamente a las actuaciones judiciales que tengan lugar en el territorio de la comunidad autónoma correspondiente, a lo que se agrega que, en el caso de los testigos, la irrelevancia de sus declaraciones descarta la afectación del derecho de defensa.</w:t>
      </w:r>
    </w:p>
    <w:p w:rsidR="005728DD" w:rsidRDefault="005728DD" w:rsidP="005728DD">
      <w:pPr>
        <w:pStyle w:val="TextoNormal"/>
      </w:pPr>
    </w:p>
    <w:p w:rsidR="005728DD" w:rsidRDefault="005728DD" w:rsidP="005728DD">
      <w:pPr>
        <w:pStyle w:val="TextoNormal"/>
      </w:pPr>
      <w:r>
        <w:t xml:space="preserve">5.2. </w:t>
      </w:r>
      <w:r w:rsidRPr="005728DD">
        <w:rPr>
          <w:i/>
        </w:rPr>
        <w:t>Respuesta del órgano judicial</w:t>
      </w:r>
      <w:r>
        <w:t>.</w:t>
      </w:r>
    </w:p>
    <w:p w:rsidR="005728DD" w:rsidRDefault="005728DD" w:rsidP="005728DD">
      <w:pPr>
        <w:pStyle w:val="TextoNormal"/>
      </w:pPr>
    </w:p>
    <w:p w:rsidR="005728DD" w:rsidRDefault="005728DD" w:rsidP="005728DD">
      <w:pPr>
        <w:pStyle w:val="TextoNormal"/>
      </w:pPr>
      <w:r>
        <w:t>La sentencia recurrida en amparo se refiere a esta materia, que fue planteada por las defensas de varios procesados —concretamente los señores Junqueras, Romeva, Sànchez, Rull, Turull, Cuixart y la señora Forcadell— en el fundamento de Derecho A), apartado 3.</w:t>
      </w:r>
    </w:p>
    <w:p w:rsidR="005728DD" w:rsidRDefault="005728DD" w:rsidP="005728DD">
      <w:pPr>
        <w:pStyle w:val="TextoNormal"/>
      </w:pPr>
    </w:p>
    <w:p w:rsidR="005728DD" w:rsidRDefault="005728DD" w:rsidP="005728DD">
      <w:pPr>
        <w:pStyle w:val="TextoNormal"/>
      </w:pPr>
      <w:r>
        <w:t xml:space="preserve">Tras un capítulo introductorio, el tribunal sentenciador condensa su respuesta señalando que “como ya anticipó </w:t>
      </w:r>
      <w:r w:rsidRPr="005728DD">
        <w:rPr>
          <w:i/>
        </w:rPr>
        <w:t>in voce</w:t>
      </w:r>
      <w:r>
        <w:t xml:space="preserve"> al resolver la audiencia preliminar, reconoció el derecho de los acusados a valerse del idioma catalán, pero rechazó la posibilidad de que el interrogatorio se practicara mediante traducción simultánea, que habría exigido a los miembros del </w:t>
      </w:r>
      <w:r>
        <w:lastRenderedPageBreak/>
        <w:t>tribunal la utilización de auriculares”. La razón —señala— es doble: “la afectación que esa práctica podría conllevar respecto del principio de publicidad” y “el verdadero significado constitucional del plurilingüismo en nuestro sistema, construido normativamente a partir de una delimitación espacial o territorial de su respectiva vigencia”.</w:t>
      </w:r>
    </w:p>
    <w:p w:rsidR="005728DD" w:rsidRDefault="005728DD" w:rsidP="005728DD">
      <w:pPr>
        <w:pStyle w:val="TextoNormal"/>
      </w:pPr>
    </w:p>
    <w:p w:rsidR="005728DD" w:rsidRDefault="005728DD" w:rsidP="005728DD">
      <w:pPr>
        <w:pStyle w:val="TextoNormal"/>
      </w:pPr>
      <w:r>
        <w:t>A partir de este enunciado general, la sentencia aborda estos puntos en varios subapartados.</w:t>
      </w:r>
    </w:p>
    <w:p w:rsidR="005728DD" w:rsidRDefault="005728DD" w:rsidP="005728DD">
      <w:pPr>
        <w:pStyle w:val="TextoNormal"/>
      </w:pPr>
    </w:p>
    <w:p w:rsidR="005728DD" w:rsidRDefault="005728DD" w:rsidP="005728DD">
      <w:pPr>
        <w:pStyle w:val="TextoNormal"/>
      </w:pPr>
      <w:r>
        <w:t>a) El epígrafe 3.2.1 desarrolla la perspectiva del principio de publicidad procesal. Comienza declarando lo que sigue:</w:t>
      </w:r>
    </w:p>
    <w:p w:rsidR="005728DD" w:rsidRDefault="005728DD" w:rsidP="005728DD">
      <w:pPr>
        <w:pStyle w:val="TextoNormal"/>
      </w:pPr>
    </w:p>
    <w:p w:rsidR="005728DD" w:rsidRDefault="005728DD" w:rsidP="005728DD">
      <w:pPr>
        <w:pStyle w:val="TextoNormal"/>
      </w:pPr>
      <w:r>
        <w:t xml:space="preserve">“Admitir la exigencia de auriculares como única forma de garantizar el derecho a expresarse en la propia lengua, habría implicado el sacrificio del principio de publicidad. Si entender las preguntas de los letrados y las respuestas de los acusados hubiera exigido disponer de auriculares, habríamos excluido de forma injustificada a todas aquellas personas que, hallándose en la sala de juicios o siguiendo la retransmisión televisada del proceso, no tuvieran a su alcance esos dispositivos. Habríamos también excluido a quienes siguieran el juicio a través de una señal de transmisión cuyos responsables no consideraran oportuno o rentable incorporar una voz en </w:t>
      </w:r>
      <w:r w:rsidRPr="005728DD">
        <w:rPr>
          <w:i/>
        </w:rPr>
        <w:t>off</w:t>
      </w:r>
      <w:r>
        <w:t xml:space="preserve"> que efectuara la traducción”.</w:t>
      </w:r>
    </w:p>
    <w:p w:rsidR="005728DD" w:rsidRDefault="005728DD" w:rsidP="005728DD">
      <w:pPr>
        <w:pStyle w:val="TextoNormal"/>
      </w:pPr>
    </w:p>
    <w:p w:rsidR="005728DD" w:rsidRDefault="005728DD" w:rsidP="005728DD">
      <w:pPr>
        <w:pStyle w:val="TextoNormal"/>
      </w:pPr>
      <w:r>
        <w:t>A juicio de la Sala, “se trataría de un sacrificio innecesario e injustificado”. Argumenta que ofreció, “incluso a quienes no lo habían solicitado de forma expresa, la posibilidad de practicar en lengua catalana los actos procesales en los que debieran tener algún tipo de intervención”, a cuyo fin el tribunal dispuso de dos intérpretes jurados de catalán. “Sin embargo, ninguno de los acusados quiso valerse de intérprete para sus respuestas, renunciando expresamente a lo que reivindicaba como su derecho y contestando el interrogatorio en castellano. El juicio, por tanto,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w:t>
      </w:r>
    </w:p>
    <w:p w:rsidR="005728DD" w:rsidRDefault="005728DD" w:rsidP="005728DD">
      <w:pPr>
        <w:pStyle w:val="TextoNormal"/>
      </w:pPr>
    </w:p>
    <w:p w:rsidR="005728DD" w:rsidRDefault="005728DD" w:rsidP="005728DD">
      <w:pPr>
        <w:pStyle w:val="TextoNormal"/>
      </w:pPr>
      <w:r>
        <w:t>“[M]uestra de la fluidez, la precisión y el dominio de la lengua castellana que evidenciaron todos los procesados” es el soporte digital en el que consta la grabación del juicio. “Su capacidad argumental, la solidez dialéctica y, en algunos casos, la brillantez de sus exposiciones, disipan cualquier duda acerca de la alegada indefensión”.</w:t>
      </w:r>
    </w:p>
    <w:p w:rsidR="005728DD" w:rsidRDefault="005728DD" w:rsidP="005728DD">
      <w:pPr>
        <w:pStyle w:val="TextoNormal"/>
      </w:pPr>
    </w:p>
    <w:p w:rsidR="005728DD" w:rsidRDefault="005728DD" w:rsidP="005728DD">
      <w:pPr>
        <w:pStyle w:val="TextoNormal"/>
      </w:pPr>
      <w:r>
        <w:t>Tras insistir en que “se puso al alcance de todos los acusados que quisieran hablar en el idioma catalán” la posibilidad de hacerlo, sin sacrificio de la publicidad, mediante la alternativa del empleo de traductores jurados en interpretación sucesiva, lo que fue rechazado por los acusados, se niega la indefensión.</w:t>
      </w:r>
    </w:p>
    <w:p w:rsidR="005728DD" w:rsidRDefault="005728DD" w:rsidP="005728DD">
      <w:pPr>
        <w:pStyle w:val="TextoNormal"/>
      </w:pPr>
    </w:p>
    <w:p w:rsidR="005728DD" w:rsidRDefault="005728DD" w:rsidP="005728DD">
      <w:pPr>
        <w:pStyle w:val="TextoNormal"/>
      </w:pPr>
      <w:r>
        <w:t xml:space="preserve">Se refiere después a la interpretación y aplicación del art. 123 LECrim [apartado 2: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Señala que “[l]a primera conclusión que autoriza la lectura de este precepto es que el respeto al derecho fundamental de los imputados que no hablen o entiendan el castellano o la lengua oficial en la que se desarrolle el plenario, no se </w:t>
      </w:r>
      <w:r>
        <w:lastRenderedPageBreak/>
        <w:t xml:space="preserve">asocia a la utilización de un método de traducción simultánea. Su empleo no actúa como presupuesto de validez de la declaración de los procesados. Tan idónea, a efectos de su validez procesal, es la utilización de un mecanismo de traducción simultánea como el que se vale de la traducción sucesiva”. Y añade que, si bien es cierto que el precepto “condiciona la decisión por uno u otro sistema a que ‘[…] no pueda disponerse del servicio de interpretación simultánea’ […] no fue esta la razón que llevó a la Sala a optar por la segunda alternativa. No han sido razones económicas […]. Tampoco dificultades técnicas […]. La circunstancia que ha condicionado nuestra decisión está vinculada a la singularidad de este proceso, desarrollado en sesiones orales que se han prolongado durante cuatro meses y televisado mediante </w:t>
      </w:r>
      <w:r w:rsidRPr="005728DD">
        <w:rPr>
          <w:i/>
        </w:rPr>
        <w:t>streaming</w:t>
      </w:r>
      <w:r>
        <w:t xml:space="preserve"> en su integridad. Constatada, por tanto, la ausencia de cualquier indefensión derivada del sistema de traducción sucesiva, hemos considerado necesario preservar todas las ventajas y garantías propias del principio de publicidad. Todo ciudadano que haya querido seguir el desarrollo de las sesiones del juicio oral ha podido hacerlo sin que la ausencia de auriculares a su alcance haya mermado su capacidad para formarse opinión de lo que estaba aconteciendo en la Sala”.</w:t>
      </w:r>
    </w:p>
    <w:p w:rsidR="005728DD" w:rsidRDefault="005728DD" w:rsidP="005728DD">
      <w:pPr>
        <w:pStyle w:val="TextoNormal"/>
      </w:pPr>
    </w:p>
    <w:p w:rsidR="005728DD" w:rsidRDefault="005728DD" w:rsidP="005728DD">
      <w:pPr>
        <w:pStyle w:val="TextoNormal"/>
      </w:pPr>
      <w:r>
        <w:t>b) En los apartados 3.2.2 y 3.2.3 de la sentencia se trata del aspecto relativo al plurilingüismo en España y su dimensión procesal.</w:t>
      </w:r>
    </w:p>
    <w:p w:rsidR="005728DD" w:rsidRDefault="005728DD" w:rsidP="005728DD">
      <w:pPr>
        <w:pStyle w:val="TextoNormal"/>
      </w:pPr>
    </w:p>
    <w:p w:rsidR="005728DD" w:rsidRDefault="005728DD" w:rsidP="005728DD">
      <w:pPr>
        <w:pStyle w:val="TextoNormal"/>
      </w:pPr>
      <w:r>
        <w:t>Comienza por reproducir el artículo 3 de la Constitución (“1. El castellano es la lengua española oficial del Estado. Todos los españoles tienen el deber de conocerla y el derecho a usarla. 2. Las demás lenguas españolas serán también oficiales en las respectivas Comunidades Autónomas de acuerdo con sus Estatutos. 3. La riqueza de las distintas modalidades lingüísticas de España es un patrimonio cultural que será objeto de especial respeto y protección”) y señala que la Sala rechazó la petición de la defensa de los señores Junqueras y Romeva relativa a que los letrados pudieran formular sus preguntas en lengua catalana en aplicación del artículo 231.1 LOPJ que “proclama que el castellano, en su condición de lengua oficial del Estado, será el idioma usado en todas las actuaciones judiciales”. Añade que “el apartado 3 de ese mismo precepto, en consonancia con la previsión del art. 3 de la CE, autoriza a las partes, a sus representantes, a los peritos, a los testigos y a los letrados, a valerse de una lengua cooficial cuando se trate de actos procesales practicados en el territorio de una comunidad autónoma. La sede del Tribunal Supremo, fuera de ese ámbito territorial explica y justifica la exclusión de esa posibilidad”.</w:t>
      </w:r>
    </w:p>
    <w:p w:rsidR="005728DD" w:rsidRDefault="005728DD" w:rsidP="005728DD">
      <w:pPr>
        <w:pStyle w:val="TextoNormal"/>
      </w:pPr>
    </w:p>
    <w:p w:rsidR="005728DD" w:rsidRDefault="005728DD" w:rsidP="005728DD">
      <w:pPr>
        <w:pStyle w:val="TextoNormal"/>
      </w:pPr>
      <w:r>
        <w:t>En relación con la Carta europea de las lenguas regionales o minoritarias, hecha en Estrasburgo el 5 de noviembre de 1992 (instrumento de ratificación publicado en el “BOE” núm. 222, de 15 de septiembre de 2001), invocada por las defensas, tras hacer una exhaustiva exposición en torno a su artículo 9 y al quinto informe sobre su cumplimiento en España, elaborado por el Ministerio de la Presidencia y para las Administraciones Territoriales, el tribunal sentenciador declara que “la limitación territorial al ámbito de las comunidades autónomas vuelve a hacer acto de presencia, en la misma línea que ya proclamara el precepto constitucional y su desarrollo orgánico (arts. 3 CE y 231.3 LOPJ)”. Esta misma restricción —añade— “está también definida, por ejemplo, en el informe sobre la aplicación de la Carta europea de lenguas regionales o minoritarias en Cataluña, correspondiente a los años 2006-2008”, así como en los apartados 2 y 5 del artículo 33 del Estatuto de Autonomía de Cataluña. Concluye señalando:</w:t>
      </w:r>
    </w:p>
    <w:p w:rsidR="005728DD" w:rsidRDefault="005728DD" w:rsidP="005728DD">
      <w:pPr>
        <w:pStyle w:val="TextoNormal"/>
      </w:pPr>
    </w:p>
    <w:p w:rsidR="005728DD" w:rsidRDefault="005728DD" w:rsidP="005728DD">
      <w:pPr>
        <w:pStyle w:val="TextoNormal"/>
      </w:pPr>
      <w:r>
        <w:lastRenderedPageBreak/>
        <w:t>“Todo apunta, en consecuencia, 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El territorio, por tanto, opera como verdadero criterio delimitador de la oficialidad”.</w:t>
      </w:r>
    </w:p>
    <w:p w:rsidR="005728DD" w:rsidRDefault="005728DD" w:rsidP="005728DD">
      <w:pPr>
        <w:pStyle w:val="TextoNormal"/>
      </w:pPr>
    </w:p>
    <w:p w:rsidR="005728DD" w:rsidRDefault="005728DD" w:rsidP="005728DD">
      <w:pPr>
        <w:pStyle w:val="TextoNormal"/>
      </w:pPr>
      <w:r>
        <w:t>A continuación, se refiere a la jurisprudencia constitucional (con cita y reproducción de parte de las SSTC 82/1986, de 26 de junio, y 31/2010, de 28 de junio) de donde extrae que “[n]o existe […] el derecho a la utilización de un mecanismo de traducción simultánea que obligue al Tribunal Supremo a presenciar el desarrollo de la práctica de la prueba y las alegaciones de las partes en un idioma distinto del idioma oficial”. Agrega que “[e]se derecho tampoco lo reconocen los instrumentos jurídicos de ámbito internacional suscritos por España para la protección de las lenguas regionales”, con referencia al “informe explicativo del Consejo de Europa sobre su alcance (</w:t>
      </w:r>
      <w:r w:rsidRPr="005728DD">
        <w:rPr>
          <w:i/>
        </w:rPr>
        <w:t>Explanatory Report to the European Charter for Regional or Minority Languages</w:t>
      </w:r>
      <w:r>
        <w:t>)”, que, “en su apartado 11, bajo el título ‘consideraciones generales’, proclama que ‘la Carta no otorga derechos individuales ni colectivos a los hablantes de una lengua minoritaria’, solo concede el derecho a reclamar la aplicación de los principios de la Carta, lo que conllevará un saludable efecto en la situación de esas comunidades y de sus miembros”.</w:t>
      </w:r>
    </w:p>
    <w:p w:rsidR="005728DD" w:rsidRDefault="005728DD" w:rsidP="005728DD">
      <w:pPr>
        <w:pStyle w:val="TextoNormal"/>
      </w:pPr>
    </w:p>
    <w:p w:rsidR="005728DD" w:rsidRDefault="005728DD" w:rsidP="005728DD">
      <w:pPr>
        <w:pStyle w:val="TextoNormal"/>
      </w:pPr>
      <w:r>
        <w:t>Pese a la “claridad del cuadro normativo”, insiste, la Sala de lo Penal del Tribunal Supremo “puso a disposición de las defensas […] dos traductores oficiales de la lengua catalana y concedió a los procesados la posibilidad de hacer uso de la lengua vernácula en sus respuestas”. Se optó, señala, “por una interpretación extensiva del derecho de opción lingüística que otorga el art. 33.1 del Estatuto de Autonomía de Cataluña, más allá incluso de los límites territoriales que enmarcan su ejercicio”.</w:t>
      </w:r>
    </w:p>
    <w:p w:rsidR="005728DD" w:rsidRDefault="005728DD" w:rsidP="005728DD">
      <w:pPr>
        <w:pStyle w:val="TextoNormal"/>
      </w:pPr>
    </w:p>
    <w:p w:rsidR="005728DD" w:rsidRDefault="005728DD" w:rsidP="005728DD">
      <w:pPr>
        <w:pStyle w:val="TextoNormal"/>
      </w:pPr>
      <w:r>
        <w:t>Finalmente reitera que “[n]o ha habido indefensión”. No existió ni en la fase de investigación ni en el acto del juicio oral, en el que “los acusados optaron por expresarse en castellano, renunciando de forma explícita al uso de la lengua vernácula” y a “valerse de los dos intérpretes de lengua catalana puestos a su disposición por el tribunal”.</w:t>
      </w:r>
    </w:p>
    <w:p w:rsidR="005728DD" w:rsidRDefault="005728DD" w:rsidP="005728DD">
      <w:pPr>
        <w:pStyle w:val="TextoNormal"/>
      </w:pPr>
    </w:p>
    <w:p w:rsidR="005728DD" w:rsidRDefault="005728DD" w:rsidP="005728DD">
      <w:pPr>
        <w:pStyle w:val="TextoNormal"/>
      </w:pPr>
      <w:r>
        <w:t>c) El apartado 3.2.4 se refiere al argumento, que ya fue respondido en el auto de 27 de diciembre de 2018 (que desestimó la declinatoria de jurisdicción), relativo a la conveniencia del desplazamiento de la sala de enjuiciamiento a Barcelona para el desarrollo de las sesiones del juicio oral en esa ciudad, como única forma garantizar los derechos lingüísticos de los acusados. Dice al respecto que “nuestro sistema constitucional no concede a los procesados el derecho a ser enjuiciados en las proximidades del domicilio familiar. Ningún sistema procesal contempla la cercanía domiciliaria como fuero determinante de la competencia en el proceso penal (cfr. arts. 14 y concordantes de la LECrim)”.</w:t>
      </w:r>
    </w:p>
    <w:p w:rsidR="005728DD" w:rsidRDefault="005728DD" w:rsidP="005728DD">
      <w:pPr>
        <w:pStyle w:val="TextoNormal"/>
      </w:pPr>
    </w:p>
    <w:p w:rsidR="005728DD" w:rsidRDefault="005728DD" w:rsidP="005728DD">
      <w:pPr>
        <w:pStyle w:val="TextoNormal"/>
      </w:pPr>
      <w:r>
        <w:t>d) Finalmente, en el subepígrafe 3.2.5 se da respuesta a la queja planteada respecto de los testigos. Señala literalmente la Sala lo que sigue:</w:t>
      </w:r>
    </w:p>
    <w:p w:rsidR="005728DD" w:rsidRDefault="005728DD" w:rsidP="005728DD">
      <w:pPr>
        <w:pStyle w:val="TextoNormal"/>
      </w:pPr>
    </w:p>
    <w:p w:rsidR="005728DD" w:rsidRDefault="005728DD" w:rsidP="005728DD">
      <w:pPr>
        <w:pStyle w:val="TextoNormal"/>
      </w:pPr>
      <w:r>
        <w:t xml:space="preserve">“A lo largo del juicio oral la utilización del idioma catalán por algunos de los testigos fue también objeto de alegación. Del ingente número de personas que prestaron su testimonio en las sesiones del plenario, solo tres anunciaron, en calidad de testigos, su deseo de expresarse en catalán. Dos de ellas lo hicieron mediante la presentación anticipada de un escrito </w:t>
      </w:r>
      <w:r>
        <w:lastRenderedPageBreak/>
        <w:t>en el registro general de la Sala, con el fin de hacer llegar al tribunal su determinación de responder a las preguntas de las acusaciones y defensas en catalán.</w:t>
      </w:r>
    </w:p>
    <w:p w:rsidR="005728DD" w:rsidRDefault="005728DD" w:rsidP="005728DD">
      <w:pPr>
        <w:pStyle w:val="TextoNormal"/>
      </w:pPr>
    </w:p>
    <w:p w:rsidR="005728DD" w:rsidRDefault="005728DD" w:rsidP="005728DD">
      <w:pPr>
        <w:pStyle w:val="TextoNormal"/>
      </w:pPr>
      <w:r>
        <w:t>Las razones legales y jurisprudenciales apuntadas supra, interpretadas a la luz de los tratados internacionales de los que España forma parte, fueron determinantes para rechazar esa posibilidad. Se daba la circunstancia añadida de que esos tres testigos —un diputado nacional, un agente de policía autonómica y un abogado en ejercicio— no solo estaban directamente afectados por el mandato constitucional impuesto por el art. 3 de la CE, sino que, precisamente por razón de sus respectivos cargos, eran perfectos conocedores de la lengua oficial en la que han de desarrollarse los actos procesales que se celebren en el Tribunal Supremo.</w:t>
      </w:r>
    </w:p>
    <w:p w:rsidR="005728DD" w:rsidRDefault="005728DD" w:rsidP="005728DD">
      <w:pPr>
        <w:pStyle w:val="TextoNormal"/>
      </w:pPr>
    </w:p>
    <w:p w:rsidR="005728DD" w:rsidRDefault="005728DD" w:rsidP="005728DD">
      <w:pPr>
        <w:pStyle w:val="TextoNormal"/>
      </w:pPr>
      <w:r>
        <w:t>La irrelevancia probatoria de esos tres testimonios, una vez valorada por la Sala la prueba testifical, añade razones para descartar cualquier efecto negativo en el círculo de derechos, no ya de los procesados, sino de los propios declarantes”.</w:t>
      </w:r>
    </w:p>
    <w:p w:rsidR="005728DD" w:rsidRDefault="005728DD" w:rsidP="005728DD">
      <w:pPr>
        <w:pStyle w:val="TextoNormal"/>
      </w:pPr>
    </w:p>
    <w:p w:rsidR="005728DD" w:rsidRDefault="005728DD" w:rsidP="005728DD">
      <w:pPr>
        <w:pStyle w:val="TextoNormal"/>
      </w:pPr>
      <w:r>
        <w:t>Dentro del apartado 16 del mismo fundamento de Derecho A), en concreto en el apartado 16.3.6.7, a propósito de la denunciada vulneración del principio de igualdad de armas por el trato desfavorable dispensado a las defensas en el acto del juicio oral, la sentencia se remite a lo trascrito con anterioridad para rechazar que la negativa a que los testigos declarasen en catalán menoscabara tal derecho.</w:t>
      </w:r>
    </w:p>
    <w:p w:rsidR="005728DD" w:rsidRDefault="005728DD" w:rsidP="005728DD">
      <w:pPr>
        <w:pStyle w:val="TextoNormal"/>
      </w:pPr>
    </w:p>
    <w:p w:rsidR="005728DD" w:rsidRDefault="005728DD" w:rsidP="005728DD">
      <w:pPr>
        <w:pStyle w:val="TextoNormal"/>
      </w:pPr>
      <w:r>
        <w:t>5.3</w:t>
      </w:r>
      <w:r w:rsidRPr="005728DD">
        <w:rPr>
          <w:i/>
        </w:rPr>
        <w:t>. Encuadramiento de la que</w:t>
      </w:r>
      <w:r>
        <w:t>ja.</w:t>
      </w:r>
    </w:p>
    <w:p w:rsidR="005728DD" w:rsidRDefault="005728DD" w:rsidP="005728DD">
      <w:pPr>
        <w:pStyle w:val="TextoNormal"/>
      </w:pPr>
    </w:p>
    <w:p w:rsidR="005728DD" w:rsidRDefault="005728DD" w:rsidP="005728DD">
      <w:pPr>
        <w:pStyle w:val="TextoNormal"/>
      </w:pPr>
      <w:r>
        <w:t>La demanda, de la que se ha dejado constancia más arriba, alude, como fundamento de esta queja, a varios derechos fundamentales. Su correcto encuadramiento, sin embargo, supone situar el motivo de amparo en el marco de los derechos reconocidos en el art. 24 CE y, específicamente, en el derecho de defensa.</w:t>
      </w:r>
    </w:p>
    <w:p w:rsidR="005728DD" w:rsidRDefault="005728DD" w:rsidP="005728DD">
      <w:pPr>
        <w:pStyle w:val="TextoNormal"/>
      </w:pPr>
    </w:p>
    <w:p w:rsidR="005728DD" w:rsidRDefault="005728DD" w:rsidP="005728DD">
      <w:pPr>
        <w:pStyle w:val="TextoNormal"/>
      </w:pPr>
      <w:r>
        <w:t>La invocación del derecho a no sufrir discriminación (art. 14 CE) por razón de la lengua y la mención de los “derechos lingüísticos” de los procesados exige, sin embargo, algunas aclaraciones, antes de examinar el fundamento de esta queja.</w:t>
      </w:r>
    </w:p>
    <w:p w:rsidR="005728DD" w:rsidRDefault="005728DD" w:rsidP="005728DD">
      <w:pPr>
        <w:pStyle w:val="TextoNormal"/>
      </w:pPr>
    </w:p>
    <w:p w:rsidR="005728DD" w:rsidRDefault="005728DD" w:rsidP="005728DD">
      <w:pPr>
        <w:pStyle w:val="TextoNormal"/>
      </w:pPr>
      <w:r>
        <w:t>a) En nuestro sistema procesal no existe un genuino derecho de los intervinientes en juicio a utilizar la lengua cooficial en actuaciones judiciales desarrolladas fuera del territorio de la comunidad autónoma correspondiente. A pesar de reconocer esa posibilidad a los procesados, justificada explícitamente en la propia sentencia recurrida por haber optado por una interpretación extensiva del derecho de opción lingüística que otorga el art. 33.1 EAC, el Tribunal Supremo subraya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w:t>
      </w:r>
    </w:p>
    <w:p w:rsidR="005728DD" w:rsidRDefault="005728DD" w:rsidP="005728DD">
      <w:pPr>
        <w:pStyle w:val="TextoNormal"/>
      </w:pPr>
    </w:p>
    <w:p w:rsidR="005728DD" w:rsidRDefault="005728DD" w:rsidP="005728DD">
      <w:pPr>
        <w:pStyle w:val="TextoNormal"/>
      </w:pPr>
      <w:r>
        <w:t>Así es. La delimitación de la cooficialidad lingüística sobre la base del territorio en que tiene su sede el órgano del poder público de que se trate ha sido constante en la doctrina constitucional.</w:t>
      </w:r>
    </w:p>
    <w:p w:rsidR="005728DD" w:rsidRDefault="005728DD" w:rsidP="005728DD">
      <w:pPr>
        <w:pStyle w:val="TextoNormal"/>
      </w:pPr>
    </w:p>
    <w:p w:rsidR="005728DD" w:rsidRDefault="005728DD" w:rsidP="005728DD">
      <w:pPr>
        <w:pStyle w:val="TextoNormal"/>
      </w:pPr>
      <w:r>
        <w:lastRenderedPageBreak/>
        <w:t>La STC 82/1986, de 26 de junio, FJ 2, declaró al respecto: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005728DD" w:rsidRDefault="005728DD" w:rsidP="005728DD">
      <w:pPr>
        <w:pStyle w:val="TextoNormal"/>
      </w:pPr>
    </w:p>
    <w:p w:rsidR="005728DD" w:rsidRDefault="005728DD" w:rsidP="005728DD">
      <w:pPr>
        <w:pStyle w:val="TextoNormal"/>
      </w:pPr>
      <w:r>
        <w:t>Esta misma sentencia, como nos recuerda la STC 253/2005, de 11 de octubre, FJ 10,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123/1988, de 23 de junio)”.</w:t>
      </w:r>
    </w:p>
    <w:p w:rsidR="005728DD" w:rsidRDefault="005728DD" w:rsidP="005728DD">
      <w:pPr>
        <w:pStyle w:val="TextoNormal"/>
      </w:pPr>
    </w:p>
    <w:p w:rsidR="005728DD" w:rsidRDefault="005728DD" w:rsidP="005728DD">
      <w:pPr>
        <w:pStyle w:val="TextoNormal"/>
      </w:pPr>
      <w:r>
        <w:t>El uso de las lenguas en el seno de la administración de justicia se reguló en el art. 231 LOPJ. Respecto de este precepto, ya tuvimos ocasión de manifestar que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005728DD" w:rsidRDefault="005728DD" w:rsidP="005728DD">
      <w:pPr>
        <w:pStyle w:val="TextoNormal"/>
      </w:pPr>
    </w:p>
    <w:p w:rsidR="005728DD" w:rsidRDefault="005728DD" w:rsidP="005728DD">
      <w:pPr>
        <w:pStyle w:val="TextoNormal"/>
      </w:pPr>
      <w:r>
        <w:t>En relación con los órganos jurisdiccionales de ámbito estatal, condición que reconoce al Tribunal Supremo el artículo 123.1 de la Constitución, y respecto de la lengua catalana, la STC 31/2010, de 28 de junio, FJ 21, tomando como punto de partida la doctrina consti</w:t>
      </w:r>
      <w:r>
        <w:lastRenderedPageBreak/>
        <w:t>tucional antes reseñada, declaró que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 Subrayó también que la actividad de estos órganos “se ejerce con referencia no a una determinada comunidad autónoma, sino a todo el territorio nacional, por lo que no puede tener cabida en ellos la cooficialidad idiomática”, y reiteró el criterio de delimitación competencial, de modo que, en este ámbito, corresponde al legislador estatal con entera libertad, dentro de los límites constitucionales (art. 3.1 CE), el reconocimiento o no de eficacia jurídica a las actuaciones desarrolladas en la lengua cooficial.</w:t>
      </w:r>
    </w:p>
    <w:p w:rsidR="005728DD" w:rsidRDefault="005728DD" w:rsidP="005728DD">
      <w:pPr>
        <w:pStyle w:val="TextoNormal"/>
      </w:pPr>
    </w:p>
    <w:p w:rsidR="005728DD" w:rsidRDefault="005728DD" w:rsidP="005728DD">
      <w:pPr>
        <w:pStyle w:val="TextoNormal"/>
      </w:pPr>
      <w:r>
        <w:t>De ahí que, de acuerdo con el régimen legal vigente, contenido en el citado artículo 231 LOPJ, la posición expresada en la sentencia impugnada, según la cual los procesados no disponían de un derecho autónomo a declarar en lengua catalana ante el Tribunal Supremo, con sede en la villa de Madrid (art. 53 LOPJ), debe ser avalada por este tribunal.</w:t>
      </w:r>
    </w:p>
    <w:p w:rsidR="005728DD" w:rsidRDefault="005728DD" w:rsidP="005728DD">
      <w:pPr>
        <w:pStyle w:val="TextoNormal"/>
      </w:pPr>
    </w:p>
    <w:p w:rsidR="005728DD" w:rsidRDefault="005728DD" w:rsidP="005728DD">
      <w:pPr>
        <w:pStyle w:val="TextoNormal"/>
      </w:pPr>
      <w:r>
        <w:t>b) A pesar de lo anterior y como se ha adelantado, hay que destacar que la Sala sentenciadora del Tribunal Supremo reconoció expresamente el derecho de los procesados a emplear la lengua catalana en sus declaraciones, si bien, como explica la propia sentencia impugnada, acordó que, para el caso de que se hiciera uso de esta posibilidad, habría de emplearse un sistema de traducción consecutiva —y no simultánea, como pretendían las defensas—, en aras de la garantía de publicidad del proceso. No fue siquiera controvertido, por tanto, el pretendido derecho a usar la lengua catalana, que fue reconocido, sino exclusivamente el sistema que habría de habilitarse para su traducción al castellano, lo que, pudiendo incidir en el ámbito protegido por el derecho de defensa (art. 24 CE), como examinaremos después, descarta el presupuesto de la denuncia de discriminación por razón de la lengua (art. 14 CE).</w:t>
      </w:r>
    </w:p>
    <w:p w:rsidR="005728DD" w:rsidRDefault="005728DD" w:rsidP="005728DD">
      <w:pPr>
        <w:pStyle w:val="TextoNormal"/>
      </w:pPr>
    </w:p>
    <w:p w:rsidR="005728DD" w:rsidRDefault="005728DD" w:rsidP="005728DD">
      <w:pPr>
        <w:pStyle w:val="TextoNormal"/>
      </w:pPr>
      <w:r>
        <w:t>La argumentación contenida en la demanda, que sustenta la diferencia de trato en la superior duración de las sesiones del juicio oral derivada del empleo del sistema de traducción consecutiva en los interrogatorios, para el caso de que se hubiera optado por la utilización de la lengua catalana, llevaría a calificar de discriminatoria no ya la decisión del tribunal sentenciador sobre la lengua sino sobre el método de traducción. La queja tiene como presupuesto una mera hipótesis que, aun aceptada a los efectos del discurso, resulta manifiestamente insuficiente para integrar un trato peyorativo jurídicamente relevante. En todo caso, esa eventual prolongación temporal del juicio representaría un gravamen leve, un perjuicio mínimo consustancial al empleo de cualquier mecanismo de traducción y que habría de soportar el justiciable en el ejercicio del derecho de defensa en las condiciones de diligencia que exige el art. 24 CE, como veremos a continuación.</w:t>
      </w:r>
    </w:p>
    <w:p w:rsidR="005728DD" w:rsidRDefault="005728DD" w:rsidP="005728DD">
      <w:pPr>
        <w:pStyle w:val="TextoNormal"/>
      </w:pPr>
    </w:p>
    <w:p w:rsidR="005728DD" w:rsidRDefault="005728DD" w:rsidP="005728DD">
      <w:pPr>
        <w:pStyle w:val="TextoNormal"/>
      </w:pPr>
      <w:r>
        <w:t>5.4</w:t>
      </w:r>
      <w:r w:rsidRPr="005728DD">
        <w:rPr>
          <w:i/>
        </w:rPr>
        <w:t>. Doctrina constitucion</w:t>
      </w:r>
      <w:r>
        <w:t>al.</w:t>
      </w:r>
    </w:p>
    <w:p w:rsidR="005728DD" w:rsidRDefault="005728DD" w:rsidP="005728DD">
      <w:pPr>
        <w:pStyle w:val="TextoNormal"/>
      </w:pPr>
    </w:p>
    <w:p w:rsidR="005728DD" w:rsidRDefault="005728DD" w:rsidP="005728DD">
      <w:pPr>
        <w:pStyle w:val="TextoNormal"/>
      </w:pPr>
      <w:r>
        <w:t xml:space="preserve">El derecho de defensa contradictoria de las partes contendientes en todo proceso judicial constituye una de las manifestaciones del derecho fundamental a obtener la tutela judicial efectiva sin indefensión consagrado en el artículo 24.1 de la Constitución y comprende el deber de los órganos judiciales de asegurar a las partes contendientes la oportunidad de </w:t>
      </w:r>
      <w:r>
        <w:lastRenderedPageBreak/>
        <w:t>alegar y probar procesalmente sus derechos o intereses (SSTC 25/1997, de 11 de febrero, FJ 2; 102/1998, de 18 de mayo, FJ 2; 18/1999, de 22 de febrero, FJ 3; 143/2001, de 18 de junio, FJ 3), así como de replicar dialécticamente las posiciones contrarias en el ejercicio del indispensable principio de contradicción en igualdad de condiciones con las demás partes procesales (SSTC 2/2002, de 14 de enero, FJ 2; y 25/2011, de 14 de marzo, FJ 7).</w:t>
      </w:r>
    </w:p>
    <w:p w:rsidR="005728DD" w:rsidRDefault="005728DD" w:rsidP="005728DD">
      <w:pPr>
        <w:pStyle w:val="TextoNormal"/>
      </w:pPr>
    </w:p>
    <w:p w:rsidR="005728DD" w:rsidRDefault="005728DD" w:rsidP="005728DD">
      <w:pPr>
        <w:pStyle w:val="TextoNormal"/>
      </w:pPr>
      <w:r>
        <w:t>a) En la STC 57/2012, de 29 de marzo, el Pleno de este tribunal ha sintetizado su doctrina en los siguientes términos: “‘[e]n el contexto del art. 24 de la Constitución la indefensión se caracteriza por suponer una privación o una limitación del derecho de 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5/2004, de 16 de enero, FJ 6; 141/2005, de 6 de junio, FJ 2;160/2009, de 29 de junio, FJ 4, y 12/2011, de 28 de febrero, FJ 5)”.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 (SSTC 14/2008, de 31 de enero, FJ 3, y 62/2009, de 9 de marzo, FJ 4).</w:t>
      </w:r>
    </w:p>
    <w:p w:rsidR="005728DD" w:rsidRDefault="005728DD" w:rsidP="005728DD">
      <w:pPr>
        <w:pStyle w:val="TextoNormal"/>
      </w:pPr>
    </w:p>
    <w:p w:rsidR="005728DD" w:rsidRDefault="005728DD" w:rsidP="005728DD">
      <w:pPr>
        <w:pStyle w:val="TextoNormal"/>
      </w:pPr>
      <w:r>
        <w:t xml:space="preserve">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w:t>
      </w:r>
      <w:r>
        <w:lastRenderedPageBreak/>
        <w:t>intereses del afectado” (SSTC 185/2003, de 27 de octubre, FJ 4; 164/2005, de 20 de junio, FJ 2, y 25/2011, de 14 de marzo, FJ 7).</w:t>
      </w:r>
    </w:p>
    <w:p w:rsidR="005728DD" w:rsidRDefault="005728DD" w:rsidP="005728DD">
      <w:pPr>
        <w:pStyle w:val="TextoNormal"/>
      </w:pPr>
    </w:p>
    <w:p w:rsidR="005728DD" w:rsidRDefault="005728DD" w:rsidP="005728DD">
      <w:pPr>
        <w:pStyle w:val="TextoNormal"/>
      </w:pPr>
      <w:r>
        <w:t>b) Este tribunal se ha pronunciado también sobre la proyección en el derecho de defensa del desconocimiento de la lengua utilizada en juicio. En esta materia, que es la aquí concernida, hemos reconocido que el derecho a ser asistido de intérprete, más allá de su reconocimiento legal expreso —en la Ley Orgánica del Poder Judicial y en la Ley de enjuiciamiento criminal—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de 25 de mayo, FFJJ 3 y 4; 71/1988, de 19 de abril, FJ 2; 30/1989, de 7 de febrero, FJ 3, y 188/1991, de 3 de octubre, FJ 3).</w:t>
      </w:r>
    </w:p>
    <w:p w:rsidR="005728DD" w:rsidRDefault="005728DD" w:rsidP="005728DD">
      <w:pPr>
        <w:pStyle w:val="TextoNormal"/>
      </w:pPr>
    </w:p>
    <w:p w:rsidR="005728DD" w:rsidRDefault="005728DD" w:rsidP="005728DD">
      <w:pPr>
        <w:pStyle w:val="TextoNormal"/>
      </w:pPr>
      <w:r>
        <w:t>En la STC 74/1987, a propósito de la constitucionalidad del art. 520.2 e) LECrim redactado por la Ley Orgánica 14/1983, de 12 de diciembre, sobre el derecho a la asistencia de intérprete por detenidos y presos, este tribunal declaró que “la atribución de este derecho [a ser asistido de un intérprete, que deriva del desconocimiento del idioma castellano que impide al detenido ser informado de sus derechos, hacerlos valer y formular las manifestaciones que considere pertinentes], a los españoles que no conozcan suficientemente el castellano y no solo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Añadió que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 (STC 74/1987, de 25 de mayo, FJ 3).</w:t>
      </w:r>
    </w:p>
    <w:p w:rsidR="005728DD" w:rsidRDefault="005728DD" w:rsidP="005728DD">
      <w:pPr>
        <w:pStyle w:val="TextoNormal"/>
      </w:pPr>
    </w:p>
    <w:p w:rsidR="005728DD" w:rsidRDefault="005728DD" w:rsidP="005728DD">
      <w:pPr>
        <w:pStyle w:val="TextoNormal"/>
      </w:pPr>
      <w:r>
        <w:t>De acuerdo con esta doctrina, íntegramente trasladable a la posición del procesado en juicio oral (la temprana STC 5/1984, de 24 de enero, FJ 2, ya reconoció que el derecho a la defensa comprende el derecho de toda persona acusada a ser asistida por un intérprete cuando no comprenda o no pueda expresarse fluidamente en el idioma utilizado en el tribunal), la procedencia, en cada caso, de la asistencia de intérprete, exige valorar no solo el derecho y deber de conocer el castellano (art. 3 CE), sino el hecho concreto de la ignorancia o conocimiento precario de nuestra lengua común, en cuanto afecte al ejercicio de un derecho fundamental, cual es el de defensa (STC 71/1988, de 19 de abril, FJ 2).</w:t>
      </w:r>
    </w:p>
    <w:p w:rsidR="005728DD" w:rsidRDefault="005728DD" w:rsidP="005728DD">
      <w:pPr>
        <w:pStyle w:val="TextoNormal"/>
      </w:pPr>
    </w:p>
    <w:p w:rsidR="005728DD" w:rsidRDefault="005728DD" w:rsidP="005728DD">
      <w:pPr>
        <w:pStyle w:val="TextoNormal"/>
      </w:pPr>
      <w:r>
        <w:t>5.5</w:t>
      </w:r>
      <w:r w:rsidRPr="005728DD">
        <w:rPr>
          <w:i/>
        </w:rPr>
        <w:t>. Resolución de la que</w:t>
      </w:r>
      <w:r>
        <w:t>ja.</w:t>
      </w:r>
    </w:p>
    <w:p w:rsidR="005728DD" w:rsidRDefault="005728DD" w:rsidP="005728DD">
      <w:pPr>
        <w:pStyle w:val="TextoNormal"/>
      </w:pPr>
    </w:p>
    <w:p w:rsidR="005728DD" w:rsidRDefault="005728DD" w:rsidP="005728DD">
      <w:pPr>
        <w:pStyle w:val="TextoNormal"/>
      </w:pPr>
      <w:r>
        <w:t>La aplicación de la doctrina que acabamos de sintetizar nos lleva a descartar el fundamento de la queja.</w:t>
      </w:r>
    </w:p>
    <w:p w:rsidR="005728DD" w:rsidRDefault="005728DD" w:rsidP="005728DD">
      <w:pPr>
        <w:pStyle w:val="TextoNormal"/>
      </w:pPr>
    </w:p>
    <w:p w:rsidR="005728DD" w:rsidRDefault="005728DD" w:rsidP="005728DD">
      <w:pPr>
        <w:pStyle w:val="TextoNormal"/>
      </w:pPr>
      <w:r>
        <w:t xml:space="preserve">a) El recurrente conoce y domina la lengua castellana, por lo que falta el presupuesto establecido por nuestra doctrina en que sustentar la alegada indefensión. Este es el dato </w:t>
      </w:r>
      <w:r>
        <w:lastRenderedPageBreak/>
        <w:t>determinante para rechazar la queja. La propia sentencia impugnada constata que “el juicio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 El tribunal sentenciador, que cuenta con la inestimable ventaja de la inmediación, apreció “la fluidez, la precisión y el dominio de la lengua castellana que evidenciaron todos los procesados” así como “su capacidad argumental, la solidez dialéctica y, en algunos casos, la brillantez de sus exposiciones”. Muestra de ello, dice, es el soporte digital en el que consta la grabación del juicio.</w:t>
      </w:r>
    </w:p>
    <w:p w:rsidR="005728DD" w:rsidRDefault="005728DD" w:rsidP="005728DD">
      <w:pPr>
        <w:pStyle w:val="TextoNormal"/>
      </w:pPr>
    </w:p>
    <w:p w:rsidR="005728DD" w:rsidRDefault="005728DD" w:rsidP="005728DD">
      <w:pPr>
        <w:pStyle w:val="TextoNormal"/>
      </w:pPr>
      <w:r>
        <w:t>El discurso argumental de la demanda cae enteramente en cuanto se constata que toma como punto de partida un presupuesto inexistente. Como ha quedado expuesto, el empleo en el interrogatorio de la lengua catalana, con la asistencia de intérprete, solo resultaría exigibl</w:t>
      </w:r>
      <w:r w:rsidRPr="005728DD">
        <w:rPr>
          <w:i/>
        </w:rPr>
        <w:t xml:space="preserve">e </w:t>
      </w:r>
      <w:r>
        <w:t>ex art. 24.1 CE en caso de ignorancia o conocimiento precario del castellano, lo que ha sido negado.</w:t>
      </w:r>
    </w:p>
    <w:p w:rsidR="005728DD" w:rsidRDefault="005728DD" w:rsidP="005728DD">
      <w:pPr>
        <w:pStyle w:val="TextoNormal"/>
      </w:pPr>
    </w:p>
    <w:p w:rsidR="005728DD" w:rsidRDefault="005728DD" w:rsidP="005728DD">
      <w:pPr>
        <w:pStyle w:val="TextoNormal"/>
      </w:pPr>
      <w:r>
        <w:t>b) Si bien lo anterior descarta la indefensión invocada, cabe agregar que todos los procesados, entre los que se encuentra el ahora recurrente, rehusaron la posibilidad conferida por el órgano de enjuiciamiento de declarar en catalán, siendo asistidos por un intérprete. La indefensión que se alega —que ya hemos descartado y que si seguimos tomando es únicamente por razones argumentativas— solo habría de imputarse a la conducta de la propia parte, debidamente asistida de abogado, lo que, como también veíamos, la excluye del ámbito protector del art. 24 CE.</w:t>
      </w:r>
    </w:p>
    <w:p w:rsidR="005728DD" w:rsidRDefault="005728DD" w:rsidP="005728DD">
      <w:pPr>
        <w:pStyle w:val="TextoNormal"/>
      </w:pPr>
    </w:p>
    <w:p w:rsidR="005728DD" w:rsidRDefault="005728DD" w:rsidP="005728DD">
      <w:pPr>
        <w:pStyle w:val="TextoNormal"/>
      </w:pPr>
      <w:r>
        <w:t xml:space="preserve">El tribunal sentenciador expresa profusamente las razones por las que no acogió el sistema de traducción simultánea solicitado por las defensas y que habría exigido a los miembros del órgano judicial la utilización de auriculares, y, en su lugar, puso a su disposición dos traductores jurados en interpretación sucesiva. Interesa ahora destacar que no fueron “razones económicas ligadas a los costes del proceso” ni “tampoco dificultades técnicas que hicieran inviable la traducción simultánea”, sino la garantía del principio de publicidad, que aquí cobra una especial significación por “la singularidad de este proceso, desarrollado en sesiones orales que se han prolongado durante cuatro meses y televisado mediante </w:t>
      </w:r>
      <w:r w:rsidRPr="005728DD">
        <w:rPr>
          <w:i/>
        </w:rPr>
        <w:t>streaming</w:t>
      </w:r>
      <w:r>
        <w:t xml:space="preserve"> en su integridad”. Debemos subrayar que el tribunal de enjuiciamiento trató así de tutelar un valor esencial, que tiene en nuestra Constitución la doble naturaleza de principio procesal (art. 120.1 CE) y derecho fundamental del justiciable en materia penal (art. 24.2 CE; art. 11 de la Declaración universal de derechos humanos; art. 14 del Pacto internacional de derechos civiles y políticos y art. 6 CEDH). Según la doctrina de este tribunal, es el juicio oral, en el que se producen o reproducen las pruebas de cargo y descargo y se formulan las alegaciones y peticiones definitivas de la acusación y la defensa, el acto procesal en que cobra todo su sentido la publicidad del proceso en su verdadero significado de participación y control de la Justicia por la comunidad (STC 176/1988, de 4 de octubre, FJ 2, con cita de la STC 62/1982, de 15 de octubre, haciendo suya la jurisprudencia del Tribunal Europeo de Derechos Humanos expresada en las SSTEDH de 22 de febrero de 1984, asunto </w:t>
      </w:r>
      <w:r w:rsidRPr="005728DD">
        <w:rPr>
          <w:i/>
        </w:rPr>
        <w:t>Sutter c. Suiza</w:t>
      </w:r>
      <w:r>
        <w:t xml:space="preserve">, y de 8 de diciembre de 1983, asuntos </w:t>
      </w:r>
      <w:r w:rsidRPr="005728DD">
        <w:rPr>
          <w:i/>
        </w:rPr>
        <w:t>Pretto y otros c. Italia</w:t>
      </w:r>
      <w:r>
        <w:t xml:space="preserve">, y </w:t>
      </w:r>
      <w:r w:rsidRPr="005728DD">
        <w:rPr>
          <w:i/>
        </w:rPr>
        <w:t>Axen c. Alemania</w:t>
      </w:r>
      <w:r>
        <w:t xml:space="preserve">, y STC 174/2001, de 26 de julio, FJ 3). Hemos de recordar que la publicidad es garantía del justiciable frente a una justicia secreta que escape a la fiscalización del público, y constituye también un medio para preservar la confianza de los ciudadanos en los tribunales, de forma que, al dotar de transparencia a la administración de justicia, contribuye a realizar los fines </w:t>
      </w:r>
      <w:r>
        <w:lastRenderedPageBreak/>
        <w:t>del derecho al proceso justo (STEDH de 8 de diciembre de 1983, asunt</w:t>
      </w:r>
      <w:r w:rsidRPr="005728DD">
        <w:rPr>
          <w:i/>
        </w:rPr>
        <w:t>o Axen c. Aleman</w:t>
      </w:r>
      <w:r>
        <w:t>ia, § 25, y STC 83/2019, de 17 de junio, FJ 3).</w:t>
      </w:r>
    </w:p>
    <w:p w:rsidR="005728DD" w:rsidRDefault="005728DD" w:rsidP="005728DD">
      <w:pPr>
        <w:pStyle w:val="TextoNormal"/>
      </w:pPr>
    </w:p>
    <w:p w:rsidR="005728DD" w:rsidRDefault="005728DD" w:rsidP="005728DD">
      <w:pPr>
        <w:pStyle w:val="TextoNormal"/>
      </w:pPr>
      <w:r>
        <w:t>No procede dirigir reproche en este aspecto al Tribunal Supremo, pues, no hallándose siguiera compelido por el art. 24.1 CE a ofrecer ningún sistema de traducción a los procesados, como hemos dejado sentado más arriba, atendió a tan esencial bien jurídico al habilitar un sistema de traducción como el citado, ponderando las superiores ventajas que ofrecía el mismo para la publicidad del proceso frente al inconveniente de la eventual superior duración de los interrogatorios. Como hemos adelantado, la aplicación de la doctrina constitucional sobre la indefensión conduce a afirmar que esa hipotética prolongación temporal de los interrogatorios y del propio juicio constituiría un leve inconveniente que asumió la sala de enjuiciamiento del Tribunal Supremo y que habría de soportar el recurrente en el ejercicio diligente del derecho de defensa, exigible conforme al art. 24 CE.</w:t>
      </w:r>
    </w:p>
    <w:p w:rsidR="005728DD" w:rsidRDefault="005728DD" w:rsidP="005728DD">
      <w:pPr>
        <w:pStyle w:val="TextoNormal"/>
      </w:pPr>
    </w:p>
    <w:p w:rsidR="005728DD" w:rsidRDefault="005728DD" w:rsidP="005728DD">
      <w:pPr>
        <w:pStyle w:val="TextoNormal"/>
      </w:pPr>
      <w:r>
        <w:t xml:space="preserve">c) Respecto de las declaraciones testificales, vale lo dicho </w:t>
      </w:r>
      <w:r w:rsidRPr="005728DD">
        <w:rPr>
          <w:i/>
        </w:rPr>
        <w:t>ut supra</w:t>
      </w:r>
      <w:r>
        <w:t xml:space="preserve"> en cuanto a la procedencia del empleo de la lengua castellana en el juicio desarrollado en la sede del Tribunal Supremo.</w:t>
      </w:r>
    </w:p>
    <w:p w:rsidR="005728DD" w:rsidRDefault="005728DD" w:rsidP="005728DD">
      <w:pPr>
        <w:pStyle w:val="TextoNormal"/>
      </w:pPr>
    </w:p>
    <w:p w:rsidR="005728DD" w:rsidRDefault="005728DD" w:rsidP="005728DD">
      <w:pPr>
        <w:pStyle w:val="TextoNormal"/>
      </w:pPr>
      <w:r>
        <w:t>Tampoco cabe poner en cuestión, respecto de los tres testigos que manifestaron su deseo de expresarse en catalán, que su grado de conocimiento de la lengua castellana les impidiera declarar, incidiera en el correcto entendimiento de las preguntas o en la emisión de las respuestas durante el interrogatorio, afectando así al ámbito protegido por el derecho de defensa (art. 24.1 CE), el derecho a la prueba y a la presunción de inocencia (art. 24.2 CE) de la parte recurrente en amparo, que es la única perspectiva que importa a este recurso.</w:t>
      </w:r>
    </w:p>
    <w:p w:rsidR="005728DD" w:rsidRDefault="005728DD" w:rsidP="005728DD">
      <w:pPr>
        <w:pStyle w:val="TextoNormal"/>
      </w:pPr>
    </w:p>
    <w:p w:rsidR="005728DD" w:rsidRDefault="005728DD" w:rsidP="005728DD">
      <w:pPr>
        <w:pStyle w:val="TextoNormal"/>
      </w:pPr>
      <w:r>
        <w:t>No comparte este tribunal la afirmación efectuada en la demanda según la cual la menor fluidez en el uso de la lengua incide negativamente en la credibilidad del testimonio. Tan apodíctica declaración no se cohonesta con la experiencia y profesionalidad que atesoran los magistrados que integran el tribunal de justicia que tuvo encomendada la valoración de la prueba, órgano jurisdiccional superior en todos los órdenes, salvo lo dispuesto en materia de garantías constitucionales (art. 123.1 CE). En todo caso, como hemos visto, el tribunal de enjuiciamiento, con inmediación, valora que estos tres testigos eran perfectos conocedores de la lengua castellana, hecho que, además, estimó que venía avalado por los cargos que ostentaban o la profesión que ejercían (se trataba de un diputado nacional, un agente de policía autonómica y un abogado en ejercicio). Y en cualquier caso, los testigos no mostraron dificultad alguna para comprender las preguntas que las partes les dirigieron, hasta el punto de que ninguno de ellos hizo indicación alguna al respecto.</w:t>
      </w:r>
    </w:p>
    <w:p w:rsidR="005728DD" w:rsidRDefault="005728DD" w:rsidP="005728DD">
      <w:pPr>
        <w:pStyle w:val="TextoNormal"/>
      </w:pPr>
    </w:p>
    <w:p w:rsidR="005728DD" w:rsidRDefault="005728DD" w:rsidP="005728DD">
      <w:pPr>
        <w:pStyle w:val="TextoNormal"/>
      </w:pPr>
      <w:r>
        <w:t>Finalmente, no nos dice la parte recurrente en qué aspecto del relato fáctico, determinante de su condena, pudieron incidir estas tres declaraciones. El órgano judicial que valoró la prueba y, a partir de ella, confeccionó la relación de hechos probados, calificó esos testimonios de “irrelevantes”. Descartada la utilidad de la prueba en sí misma, decae también el argumento que liga la supuesta merma de credibilidad de los testigos con el derecho de defensa, pues, en todo caso, de tal supuesto no derivó ningún resultado relevante. Rechazamos, por tanto, que la denunciada defectuosidad en estas declaraciones testificales, que no es tal, haya podido causar a la parte recurrente indefensión material proscrita por el artículo 24 de la Constitución.</w:t>
      </w:r>
    </w:p>
    <w:p w:rsidR="005728DD" w:rsidRDefault="005728DD" w:rsidP="005728DD">
      <w:pPr>
        <w:pStyle w:val="TextoNormal"/>
      </w:pPr>
    </w:p>
    <w:p w:rsidR="005728DD" w:rsidRDefault="005728DD" w:rsidP="005728DD">
      <w:pPr>
        <w:pStyle w:val="TextoNormal"/>
      </w:pPr>
      <w:r>
        <w:lastRenderedPageBreak/>
        <w:t>Procede, en consecuencia, desestimar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El derecho a un juez imparcial</w:t>
      </w:r>
      <w:r>
        <w:t>.</w:t>
      </w:r>
    </w:p>
    <w:p w:rsidR="005728DD" w:rsidRDefault="005728DD" w:rsidP="005728DD">
      <w:pPr>
        <w:pStyle w:val="TextoNormal"/>
      </w:pPr>
    </w:p>
    <w:p w:rsidR="005728DD" w:rsidRDefault="005728DD" w:rsidP="005728DD">
      <w:pPr>
        <w:pStyle w:val="TextoNormal"/>
      </w:pPr>
      <w:r>
        <w:t>El demandante de amparo alega la vulneración del derecho a un juez imparcial, con invocación expresa del art. 24 CE y del art. 6 CEDH. El planteamiento de este motivo de amparo se desarrolla, a su vez, en varias quejas concretas que, sin perjuicio de su relación con el derecho fundamental alegado, presentan una distinta naturaleza y significación, por lo que deben ser resueltas de manera individualizada.</w:t>
      </w:r>
    </w:p>
    <w:p w:rsidR="005728DD" w:rsidRDefault="005728DD" w:rsidP="005728DD">
      <w:pPr>
        <w:pStyle w:val="TextoNormal"/>
      </w:pPr>
    </w:p>
    <w:p w:rsidR="005728DD" w:rsidRDefault="005728DD" w:rsidP="005728DD">
      <w:pPr>
        <w:pStyle w:val="TextoNormal"/>
      </w:pPr>
      <w:r>
        <w:t>En efecto, la vulneración alegada se basa, por un lado, en la desestimación de las diversas recusaciones formuladas a lo largo de todo el procedimiento y, por otro, en el denominado como “rol inquisitivo” asumido por el presidente de la sala de enjuiciamiento, en uno de los interrogatorios llevados a cabo en el acto del juicio oral.</w:t>
      </w:r>
    </w:p>
    <w:p w:rsidR="005728DD" w:rsidRDefault="005728DD" w:rsidP="005728DD">
      <w:pPr>
        <w:pStyle w:val="TextoNormal"/>
      </w:pPr>
    </w:p>
    <w:p w:rsidR="005728DD" w:rsidRDefault="005728DD" w:rsidP="005728DD">
      <w:pPr>
        <w:pStyle w:val="TextoNormal"/>
      </w:pPr>
      <w:r>
        <w:t>La pluralidad y heterogeneidad de las vulneraciones alegadas aconsejan, en este caso, iniciar su análisis mediante la reseña de la doctrina jurisprudencial sobre el derecho invocado.</w:t>
      </w:r>
    </w:p>
    <w:p w:rsidR="005728DD" w:rsidRDefault="005728DD" w:rsidP="005728DD">
      <w:pPr>
        <w:pStyle w:val="TextoNormal"/>
      </w:pPr>
    </w:p>
    <w:p w:rsidR="005728DD" w:rsidRDefault="005728DD" w:rsidP="005728DD">
      <w:pPr>
        <w:pStyle w:val="TextoNormal"/>
      </w:pPr>
      <w:r>
        <w:t xml:space="preserve">6.1. </w:t>
      </w:r>
      <w:r w:rsidRPr="005728DD">
        <w:rPr>
          <w:i/>
        </w:rPr>
        <w:t>Doctrina jurisprudencial</w:t>
      </w:r>
      <w:r>
        <w:t>.</w:t>
      </w:r>
    </w:p>
    <w:p w:rsidR="005728DD" w:rsidRDefault="005728DD" w:rsidP="005728DD">
      <w:pPr>
        <w:pStyle w:val="TextoNormal"/>
      </w:pPr>
    </w:p>
    <w:p w:rsidR="005728DD" w:rsidRDefault="005728DD" w:rsidP="005728DD">
      <w:pPr>
        <w:pStyle w:val="TextoNormal"/>
      </w:pPr>
      <w:r>
        <w:t xml:space="preserve">6.1.1. </w:t>
      </w:r>
      <w:r w:rsidRPr="005728DD">
        <w:rPr>
          <w:i/>
        </w:rPr>
        <w:t>Doctrina del Tribunal Constitucional</w:t>
      </w:r>
      <w:r>
        <w:t>.</w:t>
      </w:r>
    </w:p>
    <w:p w:rsidR="005728DD" w:rsidRDefault="005728DD" w:rsidP="005728DD">
      <w:pPr>
        <w:pStyle w:val="TextoNormal"/>
      </w:pPr>
    </w:p>
    <w:p w:rsidR="005728DD" w:rsidRDefault="005728DD" w:rsidP="005728DD">
      <w:pPr>
        <w:pStyle w:val="TextoNormal"/>
      </w:pPr>
      <w: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w:t>
      </w:r>
      <w:r w:rsidRPr="005728DD">
        <w:rPr>
          <w:i/>
        </w:rPr>
        <w:t>imparcial</w:t>
      </w:r>
      <w:r>
        <w:t>, establecido por ley […]”.</w:t>
      </w:r>
    </w:p>
    <w:p w:rsidR="005728DD" w:rsidRDefault="005728DD" w:rsidP="005728DD">
      <w:pPr>
        <w:pStyle w:val="TextoNormal"/>
      </w:pPr>
    </w:p>
    <w:p w:rsidR="005728DD" w:rsidRDefault="005728DD" w:rsidP="005728DD">
      <w:pPr>
        <w:pStyle w:val="TextoNormal"/>
      </w:pPr>
      <w: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en la interpretación del art. 6.1 CEDH, representada en aquel momento por las SSTEDH de 1 de octubre de 1982, asunto </w:t>
      </w:r>
      <w:r w:rsidRPr="005728DD">
        <w:rPr>
          <w:i/>
        </w:rPr>
        <w:t>Piersack c. Bélgica</w:t>
      </w:r>
      <w:r>
        <w:t xml:space="preserve">, y de 26 de octubre de 1984, asunto </w:t>
      </w:r>
      <w:r w:rsidRPr="005728DD">
        <w:rPr>
          <w:i/>
        </w:rPr>
        <w:t>De Cubber c. Bélgica</w:t>
      </w:r>
      <w:r>
        <w:t xml:space="preserve">, y plasmada posteriormente —entre otras muchas— en las SSTEDH de 24 de mayo de 1989, asunto </w:t>
      </w:r>
      <w:r w:rsidRPr="005728DD">
        <w:rPr>
          <w:i/>
        </w:rPr>
        <w:t>Hauschildt c. Dinamarca</w:t>
      </w:r>
      <w:r>
        <w:t xml:space="preserve">, de 25 de noviembre de 1993, asunto </w:t>
      </w:r>
      <w:r w:rsidRPr="005728DD">
        <w:rPr>
          <w:i/>
        </w:rPr>
        <w:t>Holm c. Suecia</w:t>
      </w:r>
      <w:r>
        <w:t xml:space="preserve">, de 28 de octubre de 1998, asunto </w:t>
      </w:r>
      <w:r w:rsidRPr="005728DD">
        <w:rPr>
          <w:i/>
        </w:rPr>
        <w:t>Castillo Algar c. España</w:t>
      </w:r>
      <w:r>
        <w:t xml:space="preserve">, de 22 de junio de 1989, asunto </w:t>
      </w:r>
      <w:r w:rsidRPr="005728DD">
        <w:rPr>
          <w:i/>
        </w:rPr>
        <w:t>Langborger c. Suecia</w:t>
      </w:r>
      <w:r>
        <w:t xml:space="preserve">, o más recientemente, en las SSTEDH de 6 de enero de 2010, asunto </w:t>
      </w:r>
      <w:r w:rsidRPr="005728DD">
        <w:rPr>
          <w:i/>
        </w:rPr>
        <w:t>Vera Fernández-Huidobro c. España</w:t>
      </w:r>
      <w:r>
        <w:t xml:space="preserve">, o de 6 de noviembre de 2018, asunto </w:t>
      </w:r>
      <w:r w:rsidRPr="005728DD">
        <w:rPr>
          <w:i/>
        </w:rPr>
        <w:t>Otegi Mondragón y otros c. España</w:t>
      </w:r>
      <w:r>
        <w:t>.</w:t>
      </w:r>
    </w:p>
    <w:p w:rsidR="005728DD" w:rsidRDefault="005728DD" w:rsidP="005728DD">
      <w:pPr>
        <w:pStyle w:val="TextoNormal"/>
      </w:pPr>
    </w:p>
    <w:p w:rsidR="005728DD" w:rsidRDefault="005728DD" w:rsidP="005728DD">
      <w:pPr>
        <w:pStyle w:val="TextoNormal"/>
      </w:pPr>
      <w:r>
        <w:t>Este tribunal ha conformado un cuerpo doctrinal sobre el derecho al juez imparcial que, de forma sistematizada y en lo que ahora interesa para la resolución de este recurso, puede exponerse de la siguiente manera:</w:t>
      </w:r>
    </w:p>
    <w:p w:rsidR="005728DD" w:rsidRDefault="005728DD" w:rsidP="005728DD">
      <w:pPr>
        <w:pStyle w:val="TextoNormal"/>
      </w:pPr>
    </w:p>
    <w:p w:rsidR="005728DD" w:rsidRDefault="005728DD" w:rsidP="005728DD">
      <w:pPr>
        <w:pStyle w:val="TextoNormal"/>
      </w:pPr>
      <w:r>
        <w:lastRenderedPageBreak/>
        <w:t>a) El derecho al juez imparcial es una garantía fundamental del sistema de justicia.</w:t>
      </w:r>
    </w:p>
    <w:p w:rsidR="005728DD" w:rsidRDefault="005728DD" w:rsidP="005728DD">
      <w:pPr>
        <w:pStyle w:val="TextoNormal"/>
      </w:pPr>
    </w:p>
    <w:p w:rsidR="005728DD" w:rsidRDefault="005728DD" w:rsidP="005728DD">
      <w:pPr>
        <w:pStyle w:val="TextoNormal"/>
      </w:pPr>
      <w:r>
        <w:t>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005728DD" w:rsidRDefault="005728DD" w:rsidP="005728DD">
      <w:pPr>
        <w:pStyle w:val="TextoNormal"/>
      </w:pPr>
    </w:p>
    <w:p w:rsidR="005728DD" w:rsidRDefault="005728DD" w:rsidP="005728DD">
      <w:pPr>
        <w:pStyle w:val="TextoNormal"/>
      </w:pPr>
      <w:r>
        <w:t>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005728DD" w:rsidRDefault="005728DD" w:rsidP="005728DD">
      <w:pPr>
        <w:pStyle w:val="TextoNormal"/>
      </w:pPr>
    </w:p>
    <w:p w:rsidR="005728DD" w:rsidRDefault="005728DD" w:rsidP="005728DD">
      <w:pPr>
        <w:pStyle w:val="TextoNormal"/>
      </w:pPr>
      <w:r>
        <w:t>b) La imparcialidad judicial comprende dos vertientes: subjetiva y objetiva.</w:t>
      </w:r>
    </w:p>
    <w:p w:rsidR="005728DD" w:rsidRDefault="005728DD" w:rsidP="005728DD">
      <w:pPr>
        <w:pStyle w:val="TextoNormal"/>
      </w:pPr>
    </w:p>
    <w:p w:rsidR="005728DD" w:rsidRDefault="005728DD" w:rsidP="005728DD">
      <w:pPr>
        <w:pStyle w:val="TextoNormal"/>
      </w:pPr>
      <w: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5728DD">
        <w:rPr>
          <w:i/>
        </w:rPr>
        <w:t>thema decidendi</w:t>
      </w:r>
      <w:r>
        <w:t xml:space="preserve"> sin haber tomado postura en relación con él (así, SSTC 47/2011, de 12 de abril, FJ 9; 60/2008, de 26 de mayo, FJ 3, o 26/2007, de 12 de febrero, FJ 4)” (STC 133/2014, de 22 de julio, FJ 2).</w:t>
      </w:r>
    </w:p>
    <w:p w:rsidR="005728DD" w:rsidRDefault="005728DD" w:rsidP="005728DD">
      <w:pPr>
        <w:pStyle w:val="TextoNormal"/>
      </w:pPr>
    </w:p>
    <w:p w:rsidR="005728DD" w:rsidRDefault="005728DD" w:rsidP="005728DD">
      <w:pPr>
        <w:pStyle w:val="TextoNormal"/>
      </w:pPr>
      <w:r>
        <w:t>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005728DD" w:rsidRDefault="005728DD" w:rsidP="005728DD">
      <w:pPr>
        <w:pStyle w:val="TextoNormal"/>
      </w:pPr>
    </w:p>
    <w:p w:rsidR="005728DD" w:rsidRDefault="005728DD" w:rsidP="005728DD">
      <w:pPr>
        <w:pStyle w:val="TextoNormal"/>
      </w:pPr>
      <w:r>
        <w:t>c) La imparcialidad objetiva debe ser ponderada en cada caso concreto.</w:t>
      </w:r>
    </w:p>
    <w:p w:rsidR="005728DD" w:rsidRDefault="005728DD" w:rsidP="005728DD">
      <w:pPr>
        <w:pStyle w:val="TextoNormal"/>
      </w:pPr>
    </w:p>
    <w:p w:rsidR="005728DD" w:rsidRDefault="005728DD" w:rsidP="005728DD">
      <w:pPr>
        <w:pStyle w:val="TextoNormal"/>
      </w:pPr>
      <w:r>
        <w:lastRenderedPageBreak/>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w:t>
      </w:r>
      <w:r w:rsidRPr="005728DD">
        <w:rPr>
          <w:i/>
        </w:rPr>
        <w:t>Oberschlick</w:t>
      </w:r>
      <w:r>
        <w:t xml:space="preserve">, § 48 a 52) o, más en general, el pronunciamiento sobre los hechos debatidos en un pleito anterior (SSTC 138/1994, de 9 de mayo, FJ 7; 47/1998, de 2 de marzo, FJ 4, y SSTEDH de 7 de agosto de 1996, caso </w:t>
      </w:r>
      <w:r w:rsidRPr="005728DD">
        <w:rPr>
          <w:i/>
        </w:rPr>
        <w:t>Ferrantelli y Santangelo</w:t>
      </w:r>
      <w:r>
        <w:t xml:space="preserve">, y de 26 de agosto de 1997, caso </w:t>
      </w:r>
      <w:r w:rsidRPr="005728DD">
        <w:rPr>
          <w:i/>
        </w:rPr>
        <w:t>De Haan</w:t>
      </w:r>
      <w:r>
        <w:t>).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005728DD" w:rsidRDefault="005728DD" w:rsidP="005728DD">
      <w:pPr>
        <w:pStyle w:val="TextoNormal"/>
      </w:pPr>
    </w:p>
    <w:p w:rsidR="005728DD" w:rsidRDefault="005728DD" w:rsidP="005728DD">
      <w:pPr>
        <w:pStyle w:val="TextoNormal"/>
      </w:pPr>
      <w:r>
        <w:t>“La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005728DD" w:rsidRDefault="005728DD" w:rsidP="005728DD">
      <w:pPr>
        <w:pStyle w:val="TextoNormal"/>
      </w:pPr>
    </w:p>
    <w:p w:rsidR="005728DD" w:rsidRDefault="005728DD" w:rsidP="005728DD">
      <w:pPr>
        <w:pStyle w:val="TextoNormal"/>
      </w:pPr>
      <w:r>
        <w:t>d) La imparcialidad judicial se presume.</w:t>
      </w:r>
    </w:p>
    <w:p w:rsidR="005728DD" w:rsidRDefault="005728DD" w:rsidP="005728DD">
      <w:pPr>
        <w:pStyle w:val="TextoNormal"/>
      </w:pPr>
    </w:p>
    <w:p w:rsidR="005728DD" w:rsidRDefault="005728DD" w:rsidP="005728DD">
      <w:pPr>
        <w:pStyle w:val="TextoNormal"/>
      </w:pPr>
      <w:r>
        <w:t>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005728DD" w:rsidRDefault="005728DD" w:rsidP="005728DD">
      <w:pPr>
        <w:pStyle w:val="TextoNormal"/>
      </w:pPr>
    </w:p>
    <w:p w:rsidR="005728DD" w:rsidRDefault="005728DD" w:rsidP="005728DD">
      <w:pPr>
        <w:pStyle w:val="TextoNormal"/>
      </w:pPr>
      <w:r>
        <w:lastRenderedPageBreak/>
        <w:t>e) El derecho al juez imparcial debe hacerse valer a través del incidente de recusación.</w:t>
      </w:r>
    </w:p>
    <w:p w:rsidR="005728DD" w:rsidRDefault="005728DD" w:rsidP="005728DD">
      <w:pPr>
        <w:pStyle w:val="TextoNormal"/>
      </w:pPr>
    </w:p>
    <w:p w:rsidR="005728DD" w:rsidRDefault="005728DD" w:rsidP="005728DD">
      <w:pPr>
        <w:pStyle w:val="TextoNormal"/>
      </w:pPr>
      <w:r>
        <w:t>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005728DD" w:rsidRDefault="005728DD" w:rsidP="005728DD">
      <w:pPr>
        <w:pStyle w:val="TextoNormal"/>
      </w:pPr>
    </w:p>
    <w:p w:rsidR="005728DD" w:rsidRDefault="005728DD" w:rsidP="005728DD">
      <w:pPr>
        <w:pStyle w:val="TextoNormal"/>
      </w:pPr>
      <w:r>
        <w:t>f) El incidente de recusación puede ser rechazad</w:t>
      </w:r>
      <w:r w:rsidRPr="005728DD">
        <w:rPr>
          <w:i/>
        </w:rPr>
        <w:t>o a limi</w:t>
      </w:r>
      <w:r>
        <w:t>ne, incluso por el órgano recusado.</w:t>
      </w:r>
    </w:p>
    <w:p w:rsidR="005728DD" w:rsidRDefault="005728DD" w:rsidP="005728DD">
      <w:pPr>
        <w:pStyle w:val="TextoNormal"/>
      </w:pPr>
    </w:p>
    <w:p w:rsidR="005728DD" w:rsidRDefault="005728DD" w:rsidP="005728DD">
      <w:pPr>
        <w:pStyle w:val="TextoNormal"/>
      </w:pPr>
      <w:r>
        <w:t xml:space="preserve">Aunque la “regla general es […] que el órgano recusado ha de dar curso a la recusación para que sea examinada por un órgano distinto a aquel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w:t>
      </w:r>
      <w:r w:rsidRPr="005728DD">
        <w:rPr>
          <w:i/>
        </w:rPr>
        <w:t>a limine</w:t>
      </w:r>
      <w:r>
        <w:t xml:space="preserve"> de la recusación por los propios recusados, ya admitimos que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w:t>
      </w:r>
      <w:r w:rsidRPr="005728DD">
        <w:rPr>
          <w:i/>
        </w:rPr>
        <w:t>prima facie</w:t>
      </w:r>
      <w:r>
        <w:t xml:space="preserve"> de modo manifiesto, claro y terminante y, además, que la tramitación ordinaria del incidente pueda causar perjuicios relevantes al proceso principal” (STC 155/2002, de 22 de julio, FJ 6).</w:t>
      </w:r>
    </w:p>
    <w:p w:rsidR="005728DD" w:rsidRDefault="005728DD" w:rsidP="005728DD">
      <w:pPr>
        <w:pStyle w:val="TextoNormal"/>
      </w:pPr>
    </w:p>
    <w:p w:rsidR="005728DD" w:rsidRDefault="005728DD" w:rsidP="005728DD">
      <w:pPr>
        <w:pStyle w:val="TextoNormal"/>
      </w:pPr>
      <w:r>
        <w:t xml:space="preserve">Finalmente, 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 Resulta, en consecuencia, constitucionalmente lícita la aplicación de un criterio riguroso a la hora de enjuiciar tanto si la parte obró con diligencia para hacer valer </w:t>
      </w:r>
      <w:r>
        <w:lastRenderedPageBreak/>
        <w:t>la recusación en un momento anterior a la sentencia, como la realidad de la concurrencia de la causa de recusación que eventualmente se invoque”.</w:t>
      </w:r>
    </w:p>
    <w:p w:rsidR="005728DD" w:rsidRDefault="005728DD" w:rsidP="005728DD">
      <w:pPr>
        <w:pStyle w:val="TextoNormal"/>
      </w:pPr>
    </w:p>
    <w:p w:rsidR="005728DD" w:rsidRDefault="005728DD" w:rsidP="005728DD">
      <w:pPr>
        <w:pStyle w:val="TextoNormal"/>
      </w:pPr>
      <w:r>
        <w:t xml:space="preserve">6.1.2. </w:t>
      </w:r>
      <w:r w:rsidRPr="005728DD">
        <w:rPr>
          <w:i/>
        </w:rPr>
        <w:t>Doctrina del Tribunal Europeo de Derechos Humanos</w:t>
      </w:r>
      <w:r>
        <w:t>.</w:t>
      </w:r>
    </w:p>
    <w:p w:rsidR="005728DD" w:rsidRDefault="005728DD" w:rsidP="005728DD">
      <w:pPr>
        <w:pStyle w:val="TextoNormal"/>
      </w:pPr>
    </w:p>
    <w:p w:rsidR="005728DD" w:rsidRDefault="005728DD" w:rsidP="005728DD">
      <w:pPr>
        <w:pStyle w:val="TextoNormal"/>
      </w:pPr>
      <w:r>
        <w:t>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005728DD" w:rsidRDefault="005728DD" w:rsidP="005728DD">
      <w:pPr>
        <w:pStyle w:val="TextoNormal"/>
      </w:pPr>
    </w:p>
    <w:p w:rsidR="005728DD" w:rsidRDefault="005728DD" w:rsidP="005728DD">
      <w:pPr>
        <w:pStyle w:val="TextoNormal"/>
      </w:pPr>
      <w:r>
        <w:t xml:space="preserve">Así, en la STEDH de 6 de noviembre de 2018, asunto </w:t>
      </w:r>
      <w:r w:rsidRPr="005728DD">
        <w:rPr>
          <w:i/>
        </w:rPr>
        <w:t>Otegi Mondragón y otros c. España</w:t>
      </w:r>
      <w:r>
        <w:t>, § 52 a 57), con cita de otras anteriores, se realiza una exposición de los principios generales en esta materia que, en lo que ahora interesa, se pueden resumir de la siguiente manera.</w:t>
      </w:r>
    </w:p>
    <w:p w:rsidR="005728DD" w:rsidRDefault="005728DD" w:rsidP="005728DD">
      <w:pPr>
        <w:pStyle w:val="TextoNormal"/>
      </w:pPr>
    </w:p>
    <w:p w:rsidR="005728DD" w:rsidRDefault="005728DD" w:rsidP="005728DD">
      <w:pPr>
        <w:pStyle w:val="TextoNormal"/>
      </w:pPr>
      <w:r>
        <w:t xml:space="preserve">a) La imparcialidad judicial comprende dos perspectivas: subjetiva y objetiva. El tribunal europeo expone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w:t>
      </w:r>
      <w:r w:rsidRPr="005728DD">
        <w:rPr>
          <w:i/>
        </w:rPr>
        <w:t>Kyprianou c. Chipre</w:t>
      </w:r>
      <w:r>
        <w:t xml:space="preserve"> [GC], § 118, y de 15 de octubre de 2009, asunt</w:t>
      </w:r>
      <w:r w:rsidRPr="005728DD">
        <w:rPr>
          <w:i/>
        </w:rPr>
        <w:t>o Micallef c. Mal</w:t>
      </w:r>
      <w:r>
        <w:t>ta [GC], § 93)”.</w:t>
      </w:r>
    </w:p>
    <w:p w:rsidR="005728DD" w:rsidRDefault="005728DD" w:rsidP="005728DD">
      <w:pPr>
        <w:pStyle w:val="TextoNormal"/>
      </w:pPr>
    </w:p>
    <w:p w:rsidR="005728DD" w:rsidRDefault="005728DD" w:rsidP="005728DD">
      <w:pPr>
        <w:pStyle w:val="TextoNormal"/>
      </w:pPr>
      <w: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w:t>
      </w:r>
      <w:r w:rsidRPr="005728DD">
        <w:rPr>
          <w:i/>
        </w:rPr>
        <w:t>Kyprianou</w:t>
      </w:r>
      <w:r>
        <w:t xml:space="preserve">, anteriormente citado, § 119). Por ello, en aquellos casos en los que pudiera ser difícil encontrar pruebas en base a las cuales rebatir la presunción de imparcialidad subjetiva de un juez, la exigencia de imparcialidad objetiva proporciona una importante garantía adicional (véase </w:t>
      </w:r>
      <w:r w:rsidRPr="005728DD">
        <w:rPr>
          <w:i/>
        </w:rPr>
        <w:t>Pullar c. Reino Unido</w:t>
      </w:r>
      <w:r>
        <w:t>, de 10 de junio de 1996, § 32</w:t>
      </w:r>
      <w:r w:rsidRPr="005728DD">
        <w:rPr>
          <w:i/>
        </w:rPr>
        <w:t>, Inform</w:t>
      </w:r>
      <w:r>
        <w:t>es 1996-III)”.</w:t>
      </w:r>
    </w:p>
    <w:p w:rsidR="005728DD" w:rsidRDefault="005728DD" w:rsidP="005728DD">
      <w:pPr>
        <w:pStyle w:val="TextoNormal"/>
      </w:pPr>
    </w:p>
    <w:p w:rsidR="005728DD" w:rsidRDefault="005728DD" w:rsidP="005728DD">
      <w:pPr>
        <w:pStyle w:val="TextoNormal"/>
      </w:pPr>
      <w: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w:t>
      </w:r>
      <w:r w:rsidRPr="005728DD">
        <w:rPr>
          <w:i/>
        </w:rPr>
        <w:t>Kyprianou</w:t>
      </w:r>
      <w:r>
        <w:t xml:space="preserve">, anteriormente citado, § 119, y </w:t>
      </w:r>
      <w:r w:rsidRPr="005728DD">
        <w:rPr>
          <w:i/>
        </w:rPr>
        <w:t>Micallef</w:t>
      </w:r>
      <w:r>
        <w:t xml:space="preserve">, anteriormente citado, § 94). La imparcialidad personal de un juez debe presumirse mientras no se pruebe lo contrario (véase </w:t>
      </w:r>
      <w:r w:rsidRPr="005728DD">
        <w:rPr>
          <w:i/>
        </w:rPr>
        <w:t>Hauschildt c. Dinamarca</w:t>
      </w:r>
      <w:r>
        <w:t xml:space="preserve">, de 24 de mayo de 1989, § 47, Serie A núm. 154). Respecto del tipo de prueba que se requiere para ello, este tribunal, por ejemplo, requiere que se acredite si el juez ha mostrado hostilidad o animadversión por razones personales (véase </w:t>
      </w:r>
      <w:r w:rsidRPr="005728DD">
        <w:rPr>
          <w:i/>
        </w:rPr>
        <w:t>De Cubber c. Bélgica</w:t>
      </w:r>
      <w:r>
        <w:t>, de 26 de octubre de 1984, § 25, Serie A núm. 86)”.</w:t>
      </w:r>
    </w:p>
    <w:p w:rsidR="005728DD" w:rsidRDefault="005728DD" w:rsidP="005728DD">
      <w:pPr>
        <w:pStyle w:val="TextoNormal"/>
      </w:pPr>
    </w:p>
    <w:p w:rsidR="005728DD" w:rsidRDefault="005728DD" w:rsidP="005728DD">
      <w:pPr>
        <w:pStyle w:val="TextoNormal"/>
      </w:pPr>
      <w:r>
        <w:lastRenderedPageBreak/>
        <w:t>d) La imparcialidad ha de analizarse en función de las circunstancias del caso concreto. En relación con el criterio objetivo, se deben “analizar los vínculos jerárquicos o de otra naturaleza que existen entre el juez y los otros protagonistas de un procedimiento (</w:t>
      </w:r>
      <w:r w:rsidRPr="005728DD">
        <w:rPr>
          <w:i/>
        </w:rPr>
        <w:t>ibid</w:t>
      </w:r>
      <w:r>
        <w:t>. § 97). Por lo tanto, se debe analizar en cada caso concreto si dicho vínculo es de tal naturaleza e intensidad como para implicar una falta de imparcialidad por parte del tribunal (véas</w:t>
      </w:r>
      <w:r w:rsidRPr="005728DD">
        <w:rPr>
          <w:i/>
        </w:rPr>
        <w:t>e Pull</w:t>
      </w:r>
      <w:r>
        <w:t>ar, anteriormente citado, § 38)”.</w:t>
      </w:r>
    </w:p>
    <w:p w:rsidR="005728DD" w:rsidRDefault="005728DD" w:rsidP="005728DD">
      <w:pPr>
        <w:pStyle w:val="TextoNormal"/>
      </w:pPr>
    </w:p>
    <w:p w:rsidR="005728DD" w:rsidRDefault="005728DD" w:rsidP="005728DD">
      <w:pPr>
        <w:pStyle w:val="TextoNormal"/>
      </w:pPr>
      <w: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w:t>
      </w:r>
      <w:r w:rsidRPr="005728DD">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w:t>
      </w:r>
      <w:r w:rsidRPr="005728DD">
        <w:rPr>
          <w:i/>
        </w:rPr>
        <w:t>Castillo Algar c. España</w:t>
      </w:r>
      <w:r>
        <w:t>, de 28 de octubre de 1998, § 45</w:t>
      </w:r>
      <w:r w:rsidRPr="005728DD">
        <w:rPr>
          <w:i/>
        </w:rPr>
        <w:t>, Informes 1998-VI</w:t>
      </w:r>
      <w:r>
        <w:t xml:space="preserve">II; </w:t>
      </w:r>
      <w:r w:rsidRPr="005728DD">
        <w:rPr>
          <w:i/>
        </w:rPr>
        <w:t>y Micall</w:t>
      </w:r>
      <w:r>
        <w:t>ef, anteriormente citado, § 98)”.</w:t>
      </w:r>
    </w:p>
    <w:p w:rsidR="005728DD" w:rsidRDefault="005728DD" w:rsidP="005728DD">
      <w:pPr>
        <w:pStyle w:val="TextoNormal"/>
      </w:pPr>
    </w:p>
    <w:p w:rsidR="005728DD" w:rsidRDefault="005728DD" w:rsidP="005728DD">
      <w:pPr>
        <w:pStyle w:val="TextoNormal"/>
      </w:pPr>
      <w:r>
        <w:t>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 tribunal carecen de imparcialidad, el punto de vista de la persona afectada es importante pero no decisivo. Lo que es decisivo es determinar si dicho temor puede considerarse objetivamente justificado (véas</w:t>
      </w:r>
      <w:r w:rsidRPr="005728DD">
        <w:rPr>
          <w:i/>
        </w:rPr>
        <w:t>e Micall</w:t>
      </w:r>
      <w:r>
        <w:t>ef, anteriormente citado, § 96)”.</w:t>
      </w:r>
    </w:p>
    <w:p w:rsidR="005728DD" w:rsidRDefault="005728DD" w:rsidP="005728DD">
      <w:pPr>
        <w:pStyle w:val="TextoNormal"/>
      </w:pPr>
    </w:p>
    <w:p w:rsidR="005728DD" w:rsidRDefault="005728DD" w:rsidP="005728DD">
      <w:pPr>
        <w:pStyle w:val="TextoNormal"/>
      </w:pPr>
      <w:r>
        <w:t>Una vez expuesta la doctrina de este tribunal y del Tribunal Europeo de Derecho Humanos procede abordar el análisis de las distintas quejas formuladas, siguiendo el orden propuesto en el escrito de demanda.</w:t>
      </w:r>
    </w:p>
    <w:p w:rsidR="005728DD" w:rsidRDefault="005728DD" w:rsidP="005728DD">
      <w:pPr>
        <w:pStyle w:val="TextoNormal"/>
      </w:pPr>
    </w:p>
    <w:p w:rsidR="005728DD" w:rsidRDefault="005728DD" w:rsidP="005728DD">
      <w:pPr>
        <w:pStyle w:val="TextoNormal"/>
      </w:pPr>
      <w:r>
        <w:t>6.2</w:t>
      </w:r>
      <w:r w:rsidRPr="005728DD">
        <w:rPr>
          <w:i/>
        </w:rPr>
        <w:t>. La recusación del magistrado instruct</w:t>
      </w:r>
      <w:r>
        <w:t>or.</w:t>
      </w:r>
    </w:p>
    <w:p w:rsidR="005728DD" w:rsidRDefault="005728DD" w:rsidP="005728DD">
      <w:pPr>
        <w:pStyle w:val="TextoNormal"/>
      </w:pPr>
    </w:p>
    <w:p w:rsidR="005728DD" w:rsidRDefault="005728DD" w:rsidP="005728DD">
      <w:pPr>
        <w:pStyle w:val="TextoNormal"/>
      </w:pPr>
      <w:r>
        <w:t>6.2.1</w:t>
      </w:r>
      <w:r w:rsidRPr="005728DD">
        <w:rPr>
          <w:i/>
        </w:rPr>
        <w:t>. Posiciones de las part</w:t>
      </w:r>
      <w:r>
        <w:t>es.</w:t>
      </w:r>
    </w:p>
    <w:p w:rsidR="005728DD" w:rsidRDefault="005728DD" w:rsidP="005728DD">
      <w:pPr>
        <w:pStyle w:val="TextoNormal"/>
      </w:pPr>
    </w:p>
    <w:p w:rsidR="005728DD" w:rsidRDefault="005728DD" w:rsidP="005728DD">
      <w:pPr>
        <w:pStyle w:val="TextoNormal"/>
      </w:pPr>
      <w:r>
        <w:t>La demanda cuestiona la imparcialidad del magistrado instructor, que se concreta en la pérdida de la necesaria equidistancia con los hechos investigados. Se basa para ello, esencialmente, en la expresión “la estrategia que sufrimos”, que se contiene en la página 54 del auto de procesamiento de 21 de marzo de 2018. Con esa expresión, el magistrado se estaría colocando a sí mismo como víctima de la infracción delictiva investigada, lo que determinaría la concurrencia de la causa de abstención y/o de recusación prevista en el art. 219.10 LOPJ; es decir, “[t]ener interés directo o indirecto en el pleito o causa”. La misma expresión se contiene en el auto de 12 de abril de 2018, por el que se deniega la libertad interesada por uno de los procesados.</w:t>
      </w:r>
    </w:p>
    <w:p w:rsidR="005728DD" w:rsidRDefault="005728DD" w:rsidP="005728DD">
      <w:pPr>
        <w:pStyle w:val="TextoNormal"/>
      </w:pPr>
    </w:p>
    <w:p w:rsidR="005728DD" w:rsidRDefault="005728DD" w:rsidP="005728DD">
      <w:pPr>
        <w:pStyle w:val="TextoNormal"/>
      </w:pPr>
      <w:r>
        <w:t xml:space="preserve">El recurrente puso de manifiesto esta cuestión en el recurso de apelación interpuesto contra el auto de 12 de abril de 2018. Del mismo modo, se invocó esta vulneración por adhesión a los argumentos expuestos por otra de las partes, en el trámite del recurso de apelación interpuesto contra el auto de 9 de mayo de 2018 por el que se desestimaron los recursos de reforma planteados, a su vez, contra el auto de procesamiento. Esta pretensión </w:t>
      </w:r>
      <w:r>
        <w:lastRenderedPageBreak/>
        <w:t>fue reiterada en fecha 12 de febrero de 2019, en el trámite de cuestiones previas, así como en el escrito de conclusiones definitivas.</w:t>
      </w:r>
    </w:p>
    <w:p w:rsidR="005728DD" w:rsidRDefault="005728DD" w:rsidP="005728DD">
      <w:pPr>
        <w:pStyle w:val="TextoNormal"/>
      </w:pPr>
    </w:p>
    <w:p w:rsidR="005728DD" w:rsidRDefault="005728DD" w:rsidP="005728DD">
      <w:pPr>
        <w:pStyle w:val="TextoNormal"/>
      </w:pPr>
      <w:r>
        <w:t>Sobre este motivo de amparo, el Ministerio Fiscal plantea que “la recusación se hizo valer tardíamente al ser conocido el auto de procesamiento con su notificación el 26 de marzo de 2018 y no ser propuesta hasta el 16 de abril siguiente”, lo que parece invocar el óbice procesal de inadmisión contemplado en el art. 50.1 a) LOTC, en relación con el art. 44.1 c) LOTC. No obstante, se pronuncia también sobre el fondo para descartar la vulneración denunciada. A juicio del fiscal, la expresión controvertida no supone un pronunciamiento sobre el fondo del asunto, ni muestra un interés en la condena ni aporta elemento alguno a la incriminación propia del auto de procesamiento, o una determinada orientación o sentimiento de animadversión. La abogacía del Estado señala que la expresión guarda directa relación con la descripción que se hace en el auto de procesamiento sobre el contenido del Libro Blanco; mientras que el partido político Vox argumenta que el recurrente no ha sido capaz de hacer valer sus temores de parcialidad como objetivamente justificados.</w:t>
      </w:r>
    </w:p>
    <w:p w:rsidR="005728DD" w:rsidRDefault="005728DD" w:rsidP="005728DD">
      <w:pPr>
        <w:pStyle w:val="TextoNormal"/>
      </w:pPr>
    </w:p>
    <w:p w:rsidR="005728DD" w:rsidRDefault="005728DD" w:rsidP="005728DD">
      <w:pPr>
        <w:pStyle w:val="TextoNormal"/>
      </w:pPr>
      <w:r>
        <w:t>Este motivo fue abordado en nuestra STC 23/2020, de 13 de febrero, dictada en el recurso de amparo avocado núm. 3807-2018, promovido por el recurrente contra el auto de 18 de junio de 2018. No obstante, no hubo pronunciamiento sobre el fondo, al apreciarse el óbice procesal consistente en la “falta de agotamiento de la vía judicial previa” [art. 44.1 a) LOTC].</w:t>
      </w:r>
    </w:p>
    <w:p w:rsidR="005728DD" w:rsidRDefault="005728DD" w:rsidP="005728DD">
      <w:pPr>
        <w:pStyle w:val="TextoNormal"/>
      </w:pPr>
    </w:p>
    <w:p w:rsidR="005728DD" w:rsidRDefault="005728DD" w:rsidP="005728DD">
      <w:pPr>
        <w:pStyle w:val="TextoNormal"/>
      </w:pPr>
      <w:r>
        <w:t>6.2.2</w:t>
      </w:r>
      <w:r w:rsidRPr="005728DD">
        <w:rPr>
          <w:i/>
        </w:rPr>
        <w:t>. Respuesta del órgano judici</w:t>
      </w:r>
      <w:r>
        <w:t>al.</w:t>
      </w:r>
    </w:p>
    <w:p w:rsidR="005728DD" w:rsidRDefault="005728DD" w:rsidP="005728DD">
      <w:pPr>
        <w:pStyle w:val="TextoNormal"/>
      </w:pPr>
    </w:p>
    <w:p w:rsidR="005728DD" w:rsidRDefault="005728DD" w:rsidP="005728DD">
      <w:pPr>
        <w:pStyle w:val="TextoNormal"/>
      </w:pPr>
      <w:r>
        <w:t>La causa de recusación alegada fue inicialmente rechazada por la sala de recursos en su auto de 18 de junio de 2018, por el que se desestimó el recurso de apelación interpuesto por el demandante contra el auto de 12 de abril de 2018, por el que se le denegó la libertad interesada. Decisión que fue reiterada, por remisión, en el auto de 26 de junio de 2018, por el que se desestimaron los recursos de apelación interpuestos contra el auto de 9 de mayo de 2018. La decisión de la sala de recursos fue avalada y confirmada por la sala de enjuiciamiento en la sentencia ahora impugnada.</w:t>
      </w:r>
    </w:p>
    <w:p w:rsidR="005728DD" w:rsidRDefault="005728DD" w:rsidP="005728DD">
      <w:pPr>
        <w:pStyle w:val="TextoNormal"/>
      </w:pPr>
    </w:p>
    <w:p w:rsidR="005728DD" w:rsidRDefault="005728DD" w:rsidP="005728DD">
      <w:pPr>
        <w:pStyle w:val="TextoNormal"/>
      </w:pPr>
      <w:r>
        <w:t xml:space="preserve">En su fundamento jurídico A), apartado 5.5.2, la Sala Segunda del Tribunal Supremo se remite a los argumentos ofrecidos por la sala de recursos.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La expresión controvertida “ha 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w:t>
      </w:r>
      <w:r>
        <w:lastRenderedPageBreak/>
        <w:t>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que pudiera afectar a su grado de imparcialidad a la hora de enjuiciar un caso”. Para el Tribunal Supremo, estos razonamientos permiten descartar la vulneración del derecho al juez imparcial por parte del magistrado instructor.</w:t>
      </w:r>
    </w:p>
    <w:p w:rsidR="005728DD" w:rsidRDefault="005728DD" w:rsidP="005728DD">
      <w:pPr>
        <w:pStyle w:val="TextoNormal"/>
      </w:pPr>
    </w:p>
    <w:p w:rsidR="005728DD" w:rsidRDefault="005728DD" w:rsidP="005728DD">
      <w:pPr>
        <w:pStyle w:val="TextoNormal"/>
      </w:pPr>
      <w:r>
        <w:t>6.2.3</w:t>
      </w:r>
      <w:r w:rsidRPr="005728DD">
        <w:rPr>
          <w:i/>
        </w:rPr>
        <w:t>. Resolución de la que</w:t>
      </w:r>
      <w:r>
        <w:t>ja.</w:t>
      </w:r>
    </w:p>
    <w:p w:rsidR="005728DD" w:rsidRDefault="005728DD" w:rsidP="005728DD">
      <w:pPr>
        <w:pStyle w:val="TextoNormal"/>
      </w:pPr>
    </w:p>
    <w:p w:rsidR="005728DD" w:rsidRDefault="005728DD" w:rsidP="005728DD">
      <w:pPr>
        <w:pStyle w:val="TextoNormal"/>
      </w:pPr>
      <w:r>
        <w:t>a) La expresión controvertida (“la estrategia que sufrimos”) se contiene en el auto de procesamiento de fecha 21 de marzo de 2018. Se inserta en el marco de una detallada exposición de los elementos fácticos que sustentaban la fundamentación jurídica del auto. Más en concreto, dentro del apartado 38 del antecedente de hecho único, bajo el epígrafe “una posible actividad delictiva en desarrollo, con un relevo en los partícipes”, en la página 54. Se trataba de una descripción de la estrategia contenida en el denominado Libro Blanco para la Transición Nacional de Cataluña, en el que se planteaban los diferentes escenarios frente a la respuesta del Estado ante la actuación planificada por las distintas autoridades y organizaciones sociales de la Comunidad Autónoma de Cataluña que promovieron las actuaciones objeto de enjuiciamiento. Entre esos escenarios se abordaba una posible sucesión o relevo de los autores de esa actuación, lo que da título al apartado 38. En una frase introductoria de la parte final de esa estrategia se reseña la expresión controvertida: “Y termina el relato de la estrategia que sufrimos diciendo, inmediatamente después […]”, extractando a continuación un párrafo del Libro Blanco. Como ya se expuso, esta misma expresión se recoge igualmente en el auto dictado por el magistrado instructor en fecha 12 de abril de 2018, por el que se deniega la libertad interesada por el recurrente.</w:t>
      </w:r>
    </w:p>
    <w:p w:rsidR="005728DD" w:rsidRDefault="005728DD" w:rsidP="005728DD">
      <w:pPr>
        <w:pStyle w:val="TextoNormal"/>
      </w:pPr>
    </w:p>
    <w:p w:rsidR="005728DD" w:rsidRDefault="005728DD" w:rsidP="005728DD">
      <w:pPr>
        <w:pStyle w:val="TextoNormal"/>
      </w:pPr>
      <w:r>
        <w:t>b) Con carácter previo al análisis de este motivo de amparo, se hace necesario abordar la alegación formulada por el Ministerio Fiscal en relación con la lesión invocada. Para el fiscal, esta causa de recusación no fue planteada en el momento procesal oportuno; es decir, cuando fue notificado el auto de procesamiento, en fecha 26 de marzo de 2018. Por el contrario, esta alegación fue invocada por el recurrente en fecha 16 de abril de 2018, al impugnar el auto de 12 de abril de 2018; y más tarde, por adhesión a lo expuesto por otra parte, en el trámite del recurso de apelación interpuesto contra el auto de desestimación del recurso de reforma planteado contra el auto de procesamiento. Ulteriormente, se volvió a invocar en el trámite de cuestiones previas, al inicio del juicio oral, así como en el escrito de conclusiones definitivas.</w:t>
      </w:r>
    </w:p>
    <w:p w:rsidR="005728DD" w:rsidRDefault="005728DD" w:rsidP="005728DD">
      <w:pPr>
        <w:pStyle w:val="TextoNormal"/>
      </w:pPr>
    </w:p>
    <w:p w:rsidR="005728DD" w:rsidRDefault="005728DD" w:rsidP="005728DD">
      <w:pPr>
        <w:pStyle w:val="TextoNormal"/>
      </w:pPr>
      <w:r>
        <w:t>De lo anterior se deduce que el fiscal plantea la concurrencia de la causa de inadmisión prevista en el art. 50.1 a) LOTC, en relación con lo dispuesto en el art. 44.1 c) LOTC. Lo que ha de ponerse en relación, a su vez, con la infracción de lo dispuesto en el art. 223.1 LOPJ, cuando señala que la recusación “deberá proponerse tan pronto como se tenga conocimiento de la causa en que se funde, pues, en otro caso, no se admitirá a trámite”.</w:t>
      </w:r>
    </w:p>
    <w:p w:rsidR="005728DD" w:rsidRDefault="005728DD" w:rsidP="005728DD">
      <w:pPr>
        <w:pStyle w:val="TextoNormal"/>
      </w:pPr>
    </w:p>
    <w:p w:rsidR="005728DD" w:rsidRDefault="005728DD" w:rsidP="005728DD">
      <w:pPr>
        <w:pStyle w:val="TextoNormal"/>
      </w:pPr>
      <w:r>
        <w:t xml:space="preserve">Efectivamente, el examen de los motivos que integran la demanda de amparo requiere, conforme al art. 44.1 c) LOTC, que “se haya denunciado formalmente en el proceso, si hubo oportunidad, la vulneración del derecho constitucional, tan pronto como, una vez conocida </w:t>
      </w:r>
      <w:r>
        <w:lastRenderedPageBreak/>
        <w:t>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 En tal sentido, “el tribunal ha rechazado una interpretación literal o excesivamente rigorista de este requisito, aunque [no hasta el punto de]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(STC 11/2020, de 28 de enero, FJ 5). Por ello, este tribunal ha exigido que, al menos, la invocación formal se haga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(STC 11/2020, de 28 de enero, FJ 5).</w:t>
      </w:r>
    </w:p>
    <w:p w:rsidR="005728DD" w:rsidRDefault="005728DD" w:rsidP="005728DD">
      <w:pPr>
        <w:pStyle w:val="TextoNormal"/>
      </w:pPr>
    </w:p>
    <w:p w:rsidR="005728DD" w:rsidRDefault="005728DD" w:rsidP="005728DD">
      <w:pPr>
        <w:pStyle w:val="TextoNormal"/>
      </w:pPr>
      <w:r>
        <w:t>En el presente caso, tal y como apunta el Ministerio Fiscal, el motivo alegado no fue articulado en el momento procesal oportuno, ni a través del cauce procesal indicado por la ley.</w:t>
      </w:r>
    </w:p>
    <w:p w:rsidR="005728DD" w:rsidRDefault="005728DD" w:rsidP="005728DD">
      <w:pPr>
        <w:pStyle w:val="TextoNormal"/>
      </w:pPr>
    </w:p>
    <w:p w:rsidR="005728DD" w:rsidRDefault="005728DD" w:rsidP="005728DD">
      <w:pPr>
        <w:pStyle w:val="TextoNormal"/>
      </w:pPr>
      <w:r>
        <w:t>Como se ha señalado,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005728DD" w:rsidRDefault="005728DD" w:rsidP="005728DD">
      <w:pPr>
        <w:pStyle w:val="TextoNormal"/>
      </w:pPr>
    </w:p>
    <w:p w:rsidR="005728DD" w:rsidRDefault="005728DD" w:rsidP="005728DD">
      <w:pPr>
        <w:pStyle w:val="TextoNormal"/>
      </w:pPr>
      <w:r>
        <w:t>El recurrente tenía que haber planteado el incidente de recusación cuando le fue notificado el auto de 21 de marzo de 2018 en el que se contenía la expresión discutida. Sin embargo, además de no plantear el incidente, ni siquiera recurrió en reforma ese auto por el motivo que ahora alega.</w:t>
      </w:r>
    </w:p>
    <w:p w:rsidR="005728DD" w:rsidRDefault="005728DD" w:rsidP="005728DD">
      <w:pPr>
        <w:pStyle w:val="TextoNormal"/>
      </w:pPr>
    </w:p>
    <w:p w:rsidR="005728DD" w:rsidRDefault="005728DD" w:rsidP="005728DD">
      <w:pPr>
        <w:pStyle w:val="TextoNormal"/>
      </w:pPr>
      <w:r>
        <w:t xml:space="preserve">La vulneración ahora denunciada fue alegada más tarde, mediante la interposición de un recurso de apelación contra el auto de 12 de abril de 2018, que fue desestimado por medio del auto de 18 de junio de 2018, ya citado. Ulteriormente, mediante un escrito de 24 de mayo de 2018, se formuló una adhesión genérica al recurso de apelación interpuesto por la representación de doña Carme Forcadell contra el auto de 9 de mayo de 2018 que resolvía el recurso de reforma frente al auto de procesamiento de 21 de marzo de 2018. Se trataba, </w:t>
      </w:r>
      <w:r>
        <w:lastRenderedPageBreak/>
        <w:t>en todo caso, de una invocación general, inconcreta e indirecta que, además, se planteaba contra una resolución distinta de la que motivaba, según el recurrente, la causa de recusación. En esos términos, el órgano judicial no podía entrar a valorar la concreta cuestión ahora invocada por el recurrente. De hecho, el auto de 26 de junio de 2018 se limitaba a señalar, en respuesta a la vulneración alegada por otra de las partes recurrentes, que “el mecanismo procesal para hacer valer las dudas sobre la imparcialidad o las afirmaciones sobre la ausencia de la misma es la recusación, que tiene su propia regulación legal” (fundamento jurídico tercero, apartado 2); mientras que en el fundamento jurídico séptimo, apartado 5, destacaba que la “cuestión relativa a la imparcialidad del instructor ya ha sido examinada”.</w:t>
      </w:r>
    </w:p>
    <w:p w:rsidR="005728DD" w:rsidRDefault="005728DD" w:rsidP="005728DD">
      <w:pPr>
        <w:pStyle w:val="TextoNormal"/>
      </w:pPr>
    </w:p>
    <w:p w:rsidR="005728DD" w:rsidRDefault="005728DD" w:rsidP="005728DD">
      <w:pPr>
        <w:pStyle w:val="TextoNormal"/>
      </w:pPr>
      <w:r>
        <w:t>Como es conocido (STC 154/2016, de 22 de septiembre, FJ 2, y más recientemente en STC 130/2018, de 12 de diciembre, FFJJ 3 a 5),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005728DD" w:rsidRDefault="005728DD" w:rsidP="005728DD">
      <w:pPr>
        <w:pStyle w:val="TextoNormal"/>
      </w:pPr>
    </w:p>
    <w:p w:rsidR="005728DD" w:rsidRDefault="005728DD" w:rsidP="005728DD">
      <w:pPr>
        <w:pStyle w:val="TextoNormal"/>
      </w:pPr>
      <w:r>
        <w:t>En este caso, la invocación fue extemporánea, ya que se formuló en el mes de abril frente a una resolución del mes de marzo, y formalmente indebida, por no haberse planteado a través de un incidente de recusación, pudiendo hacerlo. En consecuencia, la pretensión incurre en causa de inadmisión del recurso de amparo en este punto, conforme a lo dispuesto en el art. 50.1 a) LOTC, en relación con su art. 44.1 c).</w:t>
      </w:r>
    </w:p>
    <w:p w:rsidR="005728DD" w:rsidRDefault="005728DD" w:rsidP="005728DD">
      <w:pPr>
        <w:pStyle w:val="TextoNormal"/>
      </w:pPr>
    </w:p>
    <w:p w:rsidR="005728DD" w:rsidRDefault="005728DD" w:rsidP="005728DD">
      <w:pPr>
        <w:pStyle w:val="TextoNormal"/>
      </w:pPr>
      <w:r>
        <w:t>c) No obstante lo anterior, de los antecedentes descritos se deduce que tanto la sala de recursos como el tribunal sentenciador entraron a valorar el fondo de la pretensión ahora formulada. Esto permite a este tribunal señalar que, en cualquier caso, el motivo no podría haber prosperado en los términos en que ha sido planteado.</w:t>
      </w:r>
    </w:p>
    <w:p w:rsidR="005728DD" w:rsidRDefault="005728DD" w:rsidP="005728DD">
      <w:pPr>
        <w:pStyle w:val="TextoNormal"/>
      </w:pPr>
    </w:p>
    <w:p w:rsidR="005728DD" w:rsidRDefault="005728DD" w:rsidP="005728DD">
      <w:pPr>
        <w:pStyle w:val="TextoNormal"/>
      </w:pPr>
      <w:r>
        <w:t>(i) 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005728DD" w:rsidRDefault="005728DD" w:rsidP="005728DD">
      <w:pPr>
        <w:pStyle w:val="TextoNormal"/>
      </w:pPr>
    </w:p>
    <w:p w:rsidR="005728DD" w:rsidRDefault="005728DD" w:rsidP="005728DD">
      <w:pPr>
        <w:pStyle w:val="TextoNormal"/>
      </w:pPr>
      <w:r>
        <w:t xml:space="preserve">La causa de recusación invocada es la prevista en el art. 219.10 LOPJ: “Tener interés directo o indirecto en el pleito o causa”. Como se deduce de lo expuesto en el ATC 26/2007, de 5 de febrero, FJ 7, esta causa de abstención y/o recusación hace referencia a la relación del magistrado con el objeto del procedimiento, de manera que le pueda “afectar directa y especialmente”, o pueda derivarse del mismo algún “beneficio o perjuicio”. En esa resolución también se señalaba que, partiendo de la acepción de la palabra “interés” recogida en el diccionario de la Real Academia Española, como “inclinación del ánimo hacia un objeto, </w:t>
      </w:r>
      <w:r>
        <w:lastRenderedPageBreak/>
        <w:t>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005728DD" w:rsidRDefault="005728DD" w:rsidP="005728DD">
      <w:pPr>
        <w:pStyle w:val="TextoNormal"/>
      </w:pPr>
    </w:p>
    <w:p w:rsidR="005728DD" w:rsidRDefault="005728DD" w:rsidP="005728DD">
      <w:pPr>
        <w:pStyle w:val="TextoNormal"/>
      </w:pPr>
      <w:r>
        <w:t>El análisis de la expresión impugnada permite descartar cualquier indicio de parcialidad, sin alterar su literalidad ni el sentido o contexto en que fue utilizada. Se podrá discutir la mayor o menor fortuna en la elección del verbo empleado, cuya pertinencia no ha podido ser explicada por el magistrado instructor, precisamente porque se ha omitido su informe al no haberse planteado un incidente de recusación. No obstante, ese verbo no puede ser necesariamente identificado con una pérdida de la imparcialidad del magistrado instructor. Es decir, la propia dimensión objetiva de la expresión no puede transmitir una imagen o una apariencia de parcialidad.</w:t>
      </w:r>
    </w:p>
    <w:p w:rsidR="005728DD" w:rsidRDefault="005728DD" w:rsidP="005728DD">
      <w:pPr>
        <w:pStyle w:val="TextoNormal"/>
      </w:pPr>
    </w:p>
    <w:p w:rsidR="005728DD" w:rsidRDefault="005728DD" w:rsidP="005728DD">
      <w:pPr>
        <w:pStyle w:val="TextoNormal"/>
      </w:pPr>
      <w:r>
        <w:t>(ii) El recurrente afirma que la palabra “sufrimos” implica la asunción de la posición de víctima del magistrado instructor. Lo cierto es que el recurso parte de una premisa errónea. Los hechos objeto de investigación estaban siendo calificados como constitutivos de unos delitos que, en el caso de la rebelión (arts. 472 y ss. CP) afecta al orden constitucional (título vigesimoprimero del libro segundo), mientras que en el caso de la sedición (arts. 544 y ss. CP) atenta contra el orden público (título vigesimosegundo del libro segundo). En ambos supuestos, se estaba en presencia de infracciones delictivas que afectaban a bienes jurídicos colectivos, bien a todo el régimen de ejercicio de derechos y libertades ciudadanas, bien al funcionamiento regular de las instituciones. Por eso, la expresión discutida no puede implicar la asunción de la condición de víctima del delito, porque las figuras delictivas investigadas carecen de sujeto pasivo concreto y determinado.</w:t>
      </w:r>
    </w:p>
    <w:p w:rsidR="005728DD" w:rsidRDefault="005728DD" w:rsidP="005728DD">
      <w:pPr>
        <w:pStyle w:val="TextoNormal"/>
      </w:pPr>
    </w:p>
    <w:p w:rsidR="005728DD" w:rsidRDefault="005728DD" w:rsidP="005728DD">
      <w:pPr>
        <w:pStyle w:val="TextoNormal"/>
      </w:pPr>
      <w:r>
        <w:t>Del mismo modo, la expresión impugnada no suponía una toma de partido por alguna de las partes con la consiguiente animadversión hacia las otras, ni la manifestación de un ánimo o interés personal sobre el sentido que debía tomar la resolución final del procedimiento. Lo cual es compatible con el hecho de que el magistrado instructor vaya asumiendo una progresiva convicción jurídica sobre la existencia de indicios delictivos y de su autoría, lo que es consustancial con su posición funcional en el proceso, que no puede determinar, por sí sola, una pérdida de imparcialidad.</w:t>
      </w:r>
    </w:p>
    <w:p w:rsidR="005728DD" w:rsidRDefault="005728DD" w:rsidP="005728DD">
      <w:pPr>
        <w:pStyle w:val="TextoNormal"/>
      </w:pPr>
    </w:p>
    <w:p w:rsidR="005728DD" w:rsidRDefault="005728DD" w:rsidP="005728DD">
      <w:pPr>
        <w:pStyle w:val="TextoNormal"/>
      </w:pPr>
      <w:r>
        <w:t>Precisamente en esta línea, también debe señalarse que se trata de una expresión cuya contextualización no puede analizarse al margen de la naturaleza de la extensa resolución judicial en que fue empleada.</w:t>
      </w:r>
    </w:p>
    <w:p w:rsidR="005728DD" w:rsidRDefault="005728DD" w:rsidP="005728DD">
      <w:pPr>
        <w:pStyle w:val="TextoNormal"/>
      </w:pPr>
    </w:p>
    <w:p w:rsidR="005728DD" w:rsidRDefault="005728DD" w:rsidP="005728DD">
      <w:pPr>
        <w:pStyle w:val="TextoNormal"/>
      </w:pPr>
      <w:r>
        <w:t xml:space="preserve">(iii) En efecto, «[e]n la STC 27/2019, de 26 de febrero, hemos recordado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 “[…] Añadíamos entonces que ‘el procesamiento no implica, evidentemente, la imposición de una pena. Constituye solo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w:t>
      </w:r>
      <w:r>
        <w:lastRenderedPageBreak/>
        <w:t>si desaparecen los indicios que determinaron su adopción’”» [STC 11/2020, de 28 de enero, FJ 9 A)].</w:t>
      </w:r>
    </w:p>
    <w:p w:rsidR="005728DD" w:rsidRDefault="005728DD" w:rsidP="005728DD">
      <w:pPr>
        <w:pStyle w:val="TextoNormal"/>
      </w:pPr>
    </w:p>
    <w:p w:rsidR="005728DD" w:rsidRDefault="005728DD" w:rsidP="005728DD">
      <w:pPr>
        <w:pStyle w:val="TextoNormal"/>
      </w:pPr>
      <w:r>
        <w:t>Lo anterior supone que no todas las expresiones fácticas recogidas en un auto de procesamiento tienen un grado de vinculación absoluta para la delimitación del objeto del proceso ni para su resolución final. Lo relevante, desde la perspectiva del principio acusatorio y del derecho de defensa, es que se respete el núcleo esencial de los hechos atribuidos a la persona investigada a los efectos de formular, en su caso, la acusación; y que exista una correlación o coherencia, a su vez, entre el núcleo esencial de los hechos objeto de acusación y la sentencia que ponga fin al procedimiento (ver, por todas, STC 155/2009, de 25 de junio, FJ 4).</w:t>
      </w:r>
    </w:p>
    <w:p w:rsidR="005728DD" w:rsidRDefault="005728DD" w:rsidP="005728DD">
      <w:pPr>
        <w:pStyle w:val="TextoNormal"/>
      </w:pPr>
    </w:p>
    <w:p w:rsidR="005728DD" w:rsidRDefault="005728DD" w:rsidP="005728DD">
      <w:pPr>
        <w:pStyle w:val="TextoNormal"/>
      </w:pPr>
      <w:r>
        <w:t>d) Por último, el recurrente pretende que la frase cuestionada lleve aparejada la nulidad de todo el procedimiento y, señaladamente, de una resolución completamente desconectada jurídicamente; es decir, distinta y autónoma como es la sentencia condenatoria. Ese hipotético grado de conexión entre la vulneración denunciada y el devenir final del proceso ha de ser objeto de una valoración de las circunstancias del caso concreto que, necesariamente, no puede ser apriorística. Como señalaba la STC 23/2016, de 15 de febrero, FJ 3, no es posible descartar que la reparación de una eventual lesión de un derecho fundamental mediante la nulidad con retroacción de actuaciones, “entre en conflicto con otros derechos, 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w:t>
      </w:r>
    </w:p>
    <w:p w:rsidR="005728DD" w:rsidRDefault="005728DD" w:rsidP="005728DD">
      <w:pPr>
        <w:pStyle w:val="TextoNormal"/>
      </w:pPr>
    </w:p>
    <w:p w:rsidR="005728DD" w:rsidRDefault="005728DD" w:rsidP="005728DD">
      <w:pPr>
        <w:pStyle w:val="TextoNormal"/>
      </w:pPr>
      <w:r>
        <w:t>Para este tribunal, la expresión analizada puede considerarse inocua desde la perspectiva de la afectación material del derecho fundamental invocado y, por lo tanto, el ejercicio ponderativo no puede resolverse mediante la estimación de la pretensión del recurrente. El verbo empleado no fue determinante para la decisión adoptada en el auto de procesamiento, ni tuvo relevancia alguna para la formulación de los escritos de calificación provisional ni para la sentencia condenatoria. De esa expresión no se dedujo una desventaja para el procesado, ni una falta de equidad o una discriminación en el trato dispensado por el magistrado instructor, de las que pudiera deducirse un posicionamiento en su perjuicio, indicativo de una falta de imparcialidad. Esto no significa que el derecho fundamental al juez imparcial requiera un resultado material para apreciar la lesión alegada. Pero, tal y como ha sido formulado el recurso, no basta con una mera interpretación de una expresión si no va acompañada de algún otro elemento fáctico del que, racionalmente, pueda deducirse una objetiva falta de imparcialidad.</w:t>
      </w:r>
    </w:p>
    <w:p w:rsidR="005728DD" w:rsidRDefault="005728DD" w:rsidP="005728DD">
      <w:pPr>
        <w:pStyle w:val="TextoNormal"/>
      </w:pPr>
    </w:p>
    <w:p w:rsidR="005728DD" w:rsidRDefault="005728DD" w:rsidP="005728DD">
      <w:pPr>
        <w:pStyle w:val="TextoNormal"/>
      </w:pPr>
      <w:r>
        <w:t>El planteamiento del recurso es manifiestamente desproporcionado. Una sola frase incluida en una amplia resolución judicial en la que se exponen elementos indiciarios no puede suponer una quiebra del principio de imparcialidad determinante de la nulidad de todo el procedimiento.</w:t>
      </w:r>
    </w:p>
    <w:p w:rsidR="005728DD" w:rsidRDefault="005728DD" w:rsidP="005728DD">
      <w:pPr>
        <w:pStyle w:val="TextoNormal"/>
      </w:pPr>
    </w:p>
    <w:p w:rsidR="005728DD" w:rsidRDefault="005728DD" w:rsidP="005728DD">
      <w:pPr>
        <w:pStyle w:val="TextoNormal"/>
      </w:pPr>
      <w:r>
        <w:lastRenderedPageBreak/>
        <w:t>Por otro lado, la demanda se refiere no solo a la actuación del magistrado instructor, sino que, por extensión, se dirige también contra la sala de recursos y contra el tribunal sentenciador, al desestimar las alegaciones sobre esta cuestión. En la sentencia impugnada [fundamento jurídico A), apartado 5.5.2] se deslizan expresiones que, de nuevo, son impugnadas por el recurrente. Se trata de palabras como “desazón”, “tedio” o “atosigamiento” que el demandante considera impropias de una resolución judicial, porque denotan una pérdida de la debida imparcialidad.</w:t>
      </w:r>
    </w:p>
    <w:p w:rsidR="005728DD" w:rsidRDefault="005728DD" w:rsidP="005728DD">
      <w:pPr>
        <w:pStyle w:val="TextoNormal"/>
      </w:pPr>
    </w:p>
    <w:p w:rsidR="005728DD" w:rsidRDefault="005728DD" w:rsidP="005728DD">
      <w:pPr>
        <w:pStyle w:val="TextoNormal"/>
      </w:pPr>
      <w:r>
        <w:t>Sin embargo, esas expresiones no suponen para este tribunal la evocación de un interés indebido en el objeto del proceso. La sala de enjuiciamiento se remite a las palabras contenidas en el auto de 18 de junio de 2018 dictado por la sala de recursos. El tribunal sentenciador tampoco hace suyas las palabras del magistrado instructor, sino que utiliza esas otras palabras con la pretensión de explicar o interpretar la locución impugnada. Unas expresiones que no son, en sí mismas, indicativas de una determinada posición procesal y que, en definitiva, no pueden suponer una pérdida de la debida imparcialidad.</w:t>
      </w:r>
    </w:p>
    <w:p w:rsidR="005728DD" w:rsidRDefault="005728DD" w:rsidP="005728DD">
      <w:pPr>
        <w:pStyle w:val="TextoNormal"/>
      </w:pPr>
    </w:p>
    <w:p w:rsidR="005728DD" w:rsidRDefault="005728DD" w:rsidP="005728DD">
      <w:pPr>
        <w:pStyle w:val="TextoNormal"/>
      </w:pPr>
      <w:r>
        <w:t>Procede, en consecuencia, la desestimación de este motivo de amparo.</w:t>
      </w:r>
    </w:p>
    <w:p w:rsidR="005728DD" w:rsidRDefault="005728DD" w:rsidP="005728DD">
      <w:pPr>
        <w:pStyle w:val="TextoNormal"/>
      </w:pPr>
    </w:p>
    <w:p w:rsidR="005728DD" w:rsidRDefault="005728DD" w:rsidP="005728DD">
      <w:pPr>
        <w:pStyle w:val="TextoNormal"/>
      </w:pPr>
      <w:r>
        <w:t>6</w:t>
      </w:r>
      <w:r w:rsidRPr="005728DD">
        <w:rPr>
          <w:i/>
        </w:rPr>
        <w:t>.3. La recusación del magistrado de la sala de recursos, señor Monterde Fe</w:t>
      </w:r>
      <w:r>
        <w:t>rrer.</w:t>
      </w:r>
    </w:p>
    <w:p w:rsidR="005728DD" w:rsidRDefault="005728DD" w:rsidP="005728DD">
      <w:pPr>
        <w:pStyle w:val="TextoNormal"/>
      </w:pPr>
    </w:p>
    <w:p w:rsidR="005728DD" w:rsidRDefault="005728DD" w:rsidP="005728DD">
      <w:pPr>
        <w:pStyle w:val="TextoNormal"/>
      </w:pPr>
      <w:r>
        <w:t>6.3.1</w:t>
      </w:r>
      <w:r w:rsidRPr="005728DD">
        <w:rPr>
          <w:i/>
        </w:rPr>
        <w:t>. Posiciones de las part</w:t>
      </w:r>
      <w:r>
        <w:t>es.</w:t>
      </w:r>
    </w:p>
    <w:p w:rsidR="005728DD" w:rsidRDefault="005728DD" w:rsidP="005728DD">
      <w:pPr>
        <w:pStyle w:val="TextoNormal"/>
      </w:pPr>
    </w:p>
    <w:p w:rsidR="005728DD" w:rsidRDefault="005728DD" w:rsidP="005728DD">
      <w:pPr>
        <w:pStyle w:val="TextoNormal"/>
      </w:pPr>
      <w:r>
        <w:t>El recurrente impugna en su demanda la desestimación de las recusaciones formuladas contra el magistrado señor Monterde Ferrer, uno de los integrantes de la sala de recursos de la Sala de lo Penal del Tribunal Supremo. De forma sucinta, se considera que el magistrado no reunía las condiciones de imparcialidad, debido a que ocupaba el cargo de vicepresidente de la Asociación Profesional de la Magistratura (APM). Esta asociación judicial desarrolló una campaña a través de la red social Twitter en la que tomó partido en contra de los procesados en esta causa. En concreto, los mensajes de los que se derivaría esa pérdida de imparcialidad serían los siguientes:</w:t>
      </w:r>
    </w:p>
    <w:p w:rsidR="005728DD" w:rsidRDefault="005728DD" w:rsidP="005728DD">
      <w:pPr>
        <w:pStyle w:val="TextoNormal"/>
      </w:pPr>
    </w:p>
    <w:p w:rsidR="005728DD" w:rsidRDefault="005728DD" w:rsidP="005728DD">
      <w:pPr>
        <w:pStyle w:val="TextoNormal"/>
      </w:pPr>
      <w:r>
        <w:t>a) Mensajes de la cuenta en Twitter de la delegación en Cataluña de la APM, con expresión de su fecha y contenido:</w:t>
      </w:r>
    </w:p>
    <w:p w:rsidR="005728DD" w:rsidRDefault="005728DD" w:rsidP="005728DD">
      <w:pPr>
        <w:pStyle w:val="TextoNormal"/>
      </w:pPr>
    </w:p>
    <w:p w:rsidR="005728DD" w:rsidRDefault="005728DD" w:rsidP="005728DD">
      <w:pPr>
        <w:pStyle w:val="TextoNormal"/>
      </w:pPr>
      <w:r>
        <w:t>- 29 de enero de 2018. Se muestra “preocupada” por los hechos sucedidos en Barcelona el día 20 de septiembre de 2017.</w:t>
      </w:r>
    </w:p>
    <w:p w:rsidR="005728DD" w:rsidRDefault="005728DD" w:rsidP="005728DD">
      <w:pPr>
        <w:pStyle w:val="TextoNormal"/>
      </w:pPr>
    </w:p>
    <w:p w:rsidR="005728DD" w:rsidRDefault="005728DD" w:rsidP="005728DD">
      <w:pPr>
        <w:pStyle w:val="TextoNormal"/>
      </w:pPr>
      <w:r>
        <w:t>- 27 de enero de 2018. Se critica a los ciudadanos, a los que se califica de “amarillistas”, que piden la libertad del procesado don Jordi Sànchez, y se reenvía la información remitida por un tercero en la que se hace referencia a un “piquete golpista”.</w:t>
      </w:r>
    </w:p>
    <w:p w:rsidR="005728DD" w:rsidRDefault="005728DD" w:rsidP="005728DD">
      <w:pPr>
        <w:pStyle w:val="TextoNormal"/>
      </w:pPr>
    </w:p>
    <w:p w:rsidR="005728DD" w:rsidRDefault="005728DD" w:rsidP="005728DD">
      <w:pPr>
        <w:pStyle w:val="TextoNormal"/>
      </w:pPr>
      <w:r>
        <w:t>- 24 de enero de 2018. Se califican como “dinámica anticonstitucional” determinadas expresiones contenidas en una carta elaborada por el procesado don Joaquín Forn, como integrante de Junts per Catalunya, del que formaba parte el procesado don Jordi Sànchez.</w:t>
      </w:r>
    </w:p>
    <w:p w:rsidR="005728DD" w:rsidRDefault="005728DD" w:rsidP="005728DD">
      <w:pPr>
        <w:pStyle w:val="TextoNormal"/>
      </w:pPr>
    </w:p>
    <w:p w:rsidR="005728DD" w:rsidRDefault="005728DD" w:rsidP="005728DD">
      <w:pPr>
        <w:pStyle w:val="TextoNormal"/>
      </w:pPr>
      <w:r>
        <w:t xml:space="preserve">- A finales de noviembre de 2017. Se difunde un texto en inglés, cuya autoría pertenece a un tercero, que incluye una fotografía del procesado don Jordi Sànchez, altavoz en mano, </w:t>
      </w:r>
      <w:r>
        <w:lastRenderedPageBreak/>
        <w:t>atribuyéndole haber incitado a miles de personas a rodear una comisión judicial y destruir coches policiales.</w:t>
      </w:r>
    </w:p>
    <w:p w:rsidR="005728DD" w:rsidRDefault="005728DD" w:rsidP="005728DD">
      <w:pPr>
        <w:pStyle w:val="TextoNormal"/>
      </w:pPr>
    </w:p>
    <w:p w:rsidR="005728DD" w:rsidRDefault="005728DD" w:rsidP="005728DD">
      <w:pPr>
        <w:pStyle w:val="TextoNormal"/>
      </w:pPr>
      <w:r>
        <w:t>- 24 de noviembre de 2017. Se critica a la alcaldesa de Barcelona por pedir la libertad de los procesados en la causa.</w:t>
      </w:r>
    </w:p>
    <w:p w:rsidR="005728DD" w:rsidRDefault="005728DD" w:rsidP="005728DD">
      <w:pPr>
        <w:pStyle w:val="TextoNormal"/>
      </w:pPr>
    </w:p>
    <w:p w:rsidR="005728DD" w:rsidRDefault="005728DD" w:rsidP="005728DD">
      <w:pPr>
        <w:pStyle w:val="TextoNormal"/>
      </w:pPr>
      <w:r>
        <w:t>- 22 de noviembre de 2017. Se califica a la ANC como “brazo civil de la trama secesionista”.</w:t>
      </w:r>
    </w:p>
    <w:p w:rsidR="005728DD" w:rsidRDefault="005728DD" w:rsidP="005728DD">
      <w:pPr>
        <w:pStyle w:val="TextoNormal"/>
      </w:pPr>
    </w:p>
    <w:p w:rsidR="005728DD" w:rsidRDefault="005728DD" w:rsidP="005728DD">
      <w:pPr>
        <w:pStyle w:val="TextoNormal"/>
      </w:pPr>
      <w:r>
        <w:t>- 22 de noviembre de 2017. Se hace una referencia directa a los procesados don Josep Rull y don Jordi Turull, sobre su acatamiento a la Constitución, mediante la expresión irónica: “cómo han cambiado las cosas”.</w:t>
      </w:r>
    </w:p>
    <w:p w:rsidR="005728DD" w:rsidRDefault="005728DD" w:rsidP="005728DD">
      <w:pPr>
        <w:pStyle w:val="TextoNormal"/>
      </w:pPr>
    </w:p>
    <w:p w:rsidR="005728DD" w:rsidRDefault="005728DD" w:rsidP="005728DD">
      <w:pPr>
        <w:pStyle w:val="TextoNormal"/>
      </w:pPr>
      <w:r>
        <w:t>- 5 de noviembre de 2017. Se califica a la ANC como “movilizador de masas contra el Estado de Derecho”.</w:t>
      </w:r>
    </w:p>
    <w:p w:rsidR="005728DD" w:rsidRDefault="005728DD" w:rsidP="005728DD">
      <w:pPr>
        <w:pStyle w:val="TextoNormal"/>
      </w:pPr>
    </w:p>
    <w:p w:rsidR="005728DD" w:rsidRDefault="005728DD" w:rsidP="005728DD">
      <w:pPr>
        <w:pStyle w:val="TextoNormal"/>
      </w:pPr>
      <w:r>
        <w:t>- 27 de septiembre de 2017. Se reenvía un artículo de un tercero, en el que se alude a actuar “sin medias tintas” ante el “desafío separatista”.</w:t>
      </w:r>
    </w:p>
    <w:p w:rsidR="005728DD" w:rsidRDefault="005728DD" w:rsidP="005728DD">
      <w:pPr>
        <w:pStyle w:val="TextoNormal"/>
      </w:pPr>
    </w:p>
    <w:p w:rsidR="005728DD" w:rsidRDefault="005728DD" w:rsidP="005728DD">
      <w:pPr>
        <w:pStyle w:val="TextoNormal"/>
      </w:pPr>
      <w:r>
        <w:t>b) Mensajes de la cuenta en Twitter de la Asociación Profesional de la Magistratura.</w:t>
      </w:r>
    </w:p>
    <w:p w:rsidR="005728DD" w:rsidRDefault="005728DD" w:rsidP="005728DD">
      <w:pPr>
        <w:pStyle w:val="TextoNormal"/>
      </w:pPr>
    </w:p>
    <w:p w:rsidR="005728DD" w:rsidRDefault="005728DD" w:rsidP="005728DD">
      <w:pPr>
        <w:pStyle w:val="TextoNormal"/>
      </w:pPr>
      <w:r>
        <w:t>- 3 de noviembre de 2017. Se hace una referencia a la entonces magistrada de la Audiencia Nacional, señora. Lamela, de la que se dice irónicamente que se levantó “con el pie izquierdo” y decidió enviar a todos los encausados a prisión.</w:t>
      </w:r>
    </w:p>
    <w:p w:rsidR="005728DD" w:rsidRDefault="005728DD" w:rsidP="005728DD">
      <w:pPr>
        <w:pStyle w:val="TextoNormal"/>
      </w:pPr>
    </w:p>
    <w:p w:rsidR="005728DD" w:rsidRDefault="005728DD" w:rsidP="005728DD">
      <w:pPr>
        <w:pStyle w:val="TextoNormal"/>
      </w:pPr>
      <w:r>
        <w:t>- 27 de octubre de 2017. Se hace un comentario sobre unas declaraciones públicas del exmagistrado señor Martín-Pallín, en el que se pregunta si “¿dejamos impunes a los delincuentes?”.</w:t>
      </w:r>
    </w:p>
    <w:p w:rsidR="005728DD" w:rsidRDefault="005728DD" w:rsidP="005728DD">
      <w:pPr>
        <w:pStyle w:val="TextoNormal"/>
      </w:pPr>
    </w:p>
    <w:p w:rsidR="005728DD" w:rsidRDefault="005728DD" w:rsidP="005728DD">
      <w:pPr>
        <w:pStyle w:val="TextoNormal"/>
      </w:pPr>
      <w:r>
        <w:t>Según la demanda, estos mensajes ponen de manifiesto un claro prejuicio sobre la culpabilidad de los procesados en la causa, de la que el magistrado recusado no podía ser ajeno por la relevancia del cargo que ostentaba en la asociación profesional promotora de esta campaña mediática.</w:t>
      </w:r>
    </w:p>
    <w:p w:rsidR="005728DD" w:rsidRDefault="005728DD" w:rsidP="005728DD">
      <w:pPr>
        <w:pStyle w:val="TextoNormal"/>
      </w:pPr>
    </w:p>
    <w:p w:rsidR="005728DD" w:rsidRDefault="005728DD" w:rsidP="005728DD">
      <w:pPr>
        <w:pStyle w:val="TextoNormal"/>
      </w:pPr>
      <w:r>
        <w:t>Señala el recurrente que esta lesión se denunció en el primer recurso ante la sala de apelaciones y sería reiterada en recursos posteriores siempre que dicho magistrado formaba parte de la sala.</w:t>
      </w:r>
    </w:p>
    <w:p w:rsidR="005728DD" w:rsidRDefault="005728DD" w:rsidP="005728DD">
      <w:pPr>
        <w:pStyle w:val="TextoNormal"/>
      </w:pPr>
    </w:p>
    <w:p w:rsidR="005728DD" w:rsidRDefault="005728DD" w:rsidP="005728DD">
      <w:pPr>
        <w:pStyle w:val="TextoNormal"/>
      </w:pPr>
      <w:r>
        <w:t xml:space="preserve">La queja del demandante se desarrolla en el sentido de denunciar el reiterado rechazo indebido de esta alegación. A tal efecto, expone que la pretensión fue rechazada </w:t>
      </w:r>
      <w:r w:rsidRPr="005728DD">
        <w:rPr>
          <w:i/>
        </w:rPr>
        <w:t>a limine</w:t>
      </w:r>
      <w:r>
        <w:t xml:space="preserve"> por la propia sala de recursos, de la que formaba parte el recusado, en su providencia de 12 de febrero de 2018, así como en la posterior de 14 de febrero, por la que se inadmitía el recurso de súplica interpuesto por el recurrente contra la anterior resolución. También fue ulteriormente desestimada en el auto de 15 de febrero de 2018, por el que se resolvía el recurso de apelación en cuyo trámite se planteó la recusación, así como en el posterior auto de 19 de abril de 2018, resolutorio del incidente de nulidad de actuaciones interpuesto por el demandante contra la anterior resolución. Por parte del recurrente, la queja fue invocada </w:t>
      </w:r>
      <w:r>
        <w:lastRenderedPageBreak/>
        <w:t>cada vez que se comunicó la intervención de ese magistrado, no instándose un nuevo incidente de recusación por razones de economía procesal, al conocerse la respuesta de la sala. Finalmente, la cuestión fue planteada en el escrito de conclusiones definitivas, obteniendo respuesta en la sentencia.</w:t>
      </w:r>
    </w:p>
    <w:p w:rsidR="005728DD" w:rsidRDefault="005728DD" w:rsidP="005728DD">
      <w:pPr>
        <w:pStyle w:val="TextoNormal"/>
      </w:pPr>
    </w:p>
    <w:p w:rsidR="005728DD" w:rsidRDefault="005728DD" w:rsidP="005728DD">
      <w:pPr>
        <w:pStyle w:val="TextoNormal"/>
      </w:pPr>
      <w:r>
        <w:t xml:space="preserve">Sobre este motivo de amparo, el Ministerio Fiscal señala que el rechazo </w:t>
      </w:r>
      <w:r w:rsidRPr="005728DD">
        <w:rPr>
          <w:i/>
        </w:rPr>
        <w:t>a limine</w:t>
      </w:r>
      <w:r>
        <w:t xml:space="preserve"> del incidente de recusación contenía un fundamento razonable. Por una parte, su extemporaneidad, y por otra, la ausencia de principio de prueba sobre la vinculación del magistrado con los mensajes. En esta línea, considera que tampoco se vulneró el derecho a la tutela judicial efectiva, porque la argumentación no puede calificarse como irrazonable o rigorista. El abogado del Estado asume también la extemporaneidad apreciada por el tribunal, además de resaltar que los mensajes fueron emitidos por personas no identificadas; mientras que Vox respondió en el mismo sentido que el motivo anterior, al abordar ambas alegaciones conjuntamente.</w:t>
      </w:r>
    </w:p>
    <w:p w:rsidR="005728DD" w:rsidRDefault="005728DD" w:rsidP="005728DD">
      <w:pPr>
        <w:pStyle w:val="TextoNormal"/>
      </w:pPr>
    </w:p>
    <w:p w:rsidR="005728DD" w:rsidRDefault="005728DD" w:rsidP="005728DD">
      <w:pPr>
        <w:pStyle w:val="TextoNormal"/>
      </w:pPr>
      <w:r>
        <w:t>Este motivo fue abordado en nuestra STC 36/2020, de 25 de febrero, dictada en el recurso de amparo avocado núm. 2633-2018, promovido por el recurrente contra los autos de 14 de diciembre de 2017, 15 de febrero de 2018 y 19 de abril de 2018; así como en la STC 38/2020, de 25 de febrero, dictada en el recurso de amparo avocado núm. 5222-2018, promovido por el recurrente y otros procesados contra los autos de 30 de julio de 2018 y 9 de julio de 2018. No obstante, no hubo pronunciamiento sobre el fondo, al apreciarse el óbice procesal consistente en la “falta de agotamiento de la vía judicial previa” [art. 44.1 a) LOTC].</w:t>
      </w:r>
    </w:p>
    <w:p w:rsidR="005728DD" w:rsidRDefault="005728DD" w:rsidP="005728DD">
      <w:pPr>
        <w:pStyle w:val="TextoNormal"/>
      </w:pPr>
    </w:p>
    <w:p w:rsidR="005728DD" w:rsidRDefault="005728DD" w:rsidP="005728DD">
      <w:pPr>
        <w:pStyle w:val="TextoNormal"/>
      </w:pPr>
      <w:r>
        <w:t>6.3.2</w:t>
      </w:r>
      <w:r w:rsidRPr="005728DD">
        <w:rPr>
          <w:i/>
        </w:rPr>
        <w:t>. Respuesta del órgano judici</w:t>
      </w:r>
      <w:r>
        <w:t>al.</w:t>
      </w:r>
    </w:p>
    <w:p w:rsidR="005728DD" w:rsidRDefault="005728DD" w:rsidP="005728DD">
      <w:pPr>
        <w:pStyle w:val="TextoNormal"/>
      </w:pPr>
    </w:p>
    <w:p w:rsidR="005728DD" w:rsidRDefault="005728DD" w:rsidP="005728DD">
      <w:pPr>
        <w:pStyle w:val="TextoNormal"/>
      </w:pPr>
      <w:r>
        <w:t xml:space="preserve">En el fundamento jurídico A), apartado 5.5.7, la resolución ahora impugnada desestima este motivo de nulidad señalando que “las defensas pretendieron alterar la composición de un órgano jurisdiccional —en este caso, la sala de recursos— mediante la invocación de una causa de recusación que se basaba, no en los mensajes del magistrado afectado, no en sus opiniones, no en sus actos, sino en los mensajes anónimos que la defensa atribuía a magistrados no identificados, pero miembros de la Asociación Profesional de la Magistratura, de la que el recusado era vicepresidente. El rechazo </w:t>
      </w:r>
      <w:r w:rsidRPr="005728DD">
        <w:rPr>
          <w:i/>
        </w:rPr>
        <w:t>a limine</w:t>
      </w:r>
      <w:r>
        <w:t xml:space="preserve"> de ese incidente era obligado, no solo por su extemporaneidad —la composición de la sala de recursos se había publicado en el ‘Boletín Oficial del Estado’ desde el mes de diciembre de 2016—, sino porque los mensajes habían sido emitidos por personas no identificadas cuya vinculación con el señor Monterde exigía, al menos, aportar un principio de prueba”.</w:t>
      </w:r>
    </w:p>
    <w:p w:rsidR="005728DD" w:rsidRDefault="005728DD" w:rsidP="005728DD">
      <w:pPr>
        <w:pStyle w:val="TextoNormal"/>
      </w:pPr>
    </w:p>
    <w:p w:rsidR="005728DD" w:rsidRDefault="005728DD" w:rsidP="005728DD">
      <w:pPr>
        <w:pStyle w:val="TextoNormal"/>
      </w:pPr>
      <w:r>
        <w:t>6.3.3</w:t>
      </w:r>
      <w:r w:rsidRPr="005728DD">
        <w:rPr>
          <w:i/>
        </w:rPr>
        <w:t>. Resolución de la que</w:t>
      </w:r>
      <w:r>
        <w:t>ja.</w:t>
      </w:r>
    </w:p>
    <w:p w:rsidR="005728DD" w:rsidRDefault="005728DD" w:rsidP="005728DD">
      <w:pPr>
        <w:pStyle w:val="TextoNormal"/>
      </w:pPr>
    </w:p>
    <w:p w:rsidR="005728DD" w:rsidRDefault="005728DD" w:rsidP="005728DD">
      <w:pPr>
        <w:pStyle w:val="TextoNormal"/>
      </w:pPr>
      <w:r>
        <w:t xml:space="preserve">La demanda plantea toda una serie de alegaciones que, desde el punto de vista metodológico, se pueden clasificar en dos grupos; procesales y materiales. Así, por un lado, se denuncia que el incidente de recusación nunca fue tramitado, sino que fue inadmitido por la misma sala de la que formaba parte el magistrado recusado, con una interpretación excesivamente rigorista de los requisitos para su admisión, ya que el incidente fue planteado tan pronto como se tuvo conocimiento de la campaña emprendida por la asociación de jueces, con independencia de la publicación en el “BOE” de la composición de la sala de recursos. Y, por otro, la cuestión de fondo invocada pone de manifiesto que la lesión denunciada por </w:t>
      </w:r>
      <w:r>
        <w:lastRenderedPageBreak/>
        <w:t>el recurrente presenta un fuerte componente fáctico. Se trata de dilucidar si la condición del magistrado recusado, como directivo de una asociación profesional de jueces, determina su falta de imparcialidad como consecuencia de los mensajes emitidos desde las cuentas de esa asociación en una concreta red social (Twitter).</w:t>
      </w:r>
    </w:p>
    <w:p w:rsidR="005728DD" w:rsidRDefault="005728DD" w:rsidP="005728DD">
      <w:pPr>
        <w:pStyle w:val="TextoNormal"/>
      </w:pPr>
    </w:p>
    <w:p w:rsidR="005728DD" w:rsidRDefault="005728DD" w:rsidP="005728DD">
      <w:pPr>
        <w:pStyle w:val="TextoNormal"/>
      </w:pPr>
      <w:r>
        <w:t xml:space="preserve">a) Empezando con las cuestiones de carácter procesal, ya hemos señalado que el rechazo </w:t>
      </w:r>
      <w:r w:rsidRPr="005728DD">
        <w:rPr>
          <w:i/>
        </w:rPr>
        <w:t>a limine</w:t>
      </w:r>
      <w:r>
        <w:t xml:space="preserve"> de un incidente de recusación ha sido admitido por este tribunal en sus SSTC 155/2002, de 22 de julio, FJ 2, y 140/2004, de 13 de septiembre, FJ 5, entre otras. Los requisitos exigidos para adoptar una resolución de ese tipo se han visto colmados por las decisiones de la Sala Segunda del Tribunal Supremo.</w:t>
      </w:r>
    </w:p>
    <w:p w:rsidR="005728DD" w:rsidRDefault="005728DD" w:rsidP="005728DD">
      <w:pPr>
        <w:pStyle w:val="TextoNormal"/>
      </w:pPr>
    </w:p>
    <w:p w:rsidR="005728DD" w:rsidRDefault="005728DD" w:rsidP="005728DD">
      <w:pPr>
        <w:pStyle w:val="TextoNormal"/>
      </w:pPr>
      <w:r>
        <w:t>En efecto, las resoluciones del Tribunal Supremo entroncan con el canon de enjuiciamiento propio del derecho a una resolución motivada, tal y como ha sido descrito, entre otras muchas, en la STC 8/2014, de 27 de enero, FJ 3. Las decisiones exponen con claridad los motivos de la inadmisión del incidente de recusación.</w:t>
      </w:r>
    </w:p>
    <w:p w:rsidR="005728DD" w:rsidRDefault="005728DD" w:rsidP="005728DD">
      <w:pPr>
        <w:pStyle w:val="TextoNormal"/>
      </w:pPr>
    </w:p>
    <w:p w:rsidR="005728DD" w:rsidRDefault="005728DD" w:rsidP="005728DD">
      <w:pPr>
        <w:pStyle w:val="TextoNormal"/>
      </w:pPr>
      <w:r>
        <w:t>En la providencia de 12 de febrero de 2018, la sala de recursos, de la que formaba parte el magistrado recusado, rechazó la recusación por extemporánea. Tras reseñar lo dispuesto en el art. 223 LOPJ, la sala expone que “la condición del magistrado recusado como vicepresidente de la referida asociación data de varios años antes de la presente fecha, y es de dominio público. Por otro lado, la composición de la sala competente para la resolución de los recursos de apelación contra los autos dictados por el juez instructor en la causa de referencia es conocida desde su publicación en el ‘Boletín Oficial del Estado’ con fecha 30 de diciembre de 2016. Por otro lado, esta sala de apelaciones ya ha resuelto otro recurso en esta misma causa mediante auto de 5 de enero de 2018, formando parte del tribunal el magistrado recusado, en rollo de apelación 1-2017, en virtud de recurso interpuesto por [otro procesado] contra el auto del instructor de 4 de diciembre de 2017, dato que es igualmente conocido por el recusante [el ahora recurrente], que compareció en el mismo como parte adherida al recurso”. Este razonamiento es reiterado en el auto de 19 de abril de 2018, por el que se desestima el incidente de nulidad planteado contra el auto de 15 de febrero de 2018, por el que, a su vez, se desestimaba el recurso de apelación interpuesto contra el auto del magistrado instructor de 14 de diciembre de 2017. En el incidente de nulidad se alegaba la vulneración del derecho al juez imparcial, por negativa injustificada a tramitar el incidente de recusación planteado contra el magistrado.</w:t>
      </w:r>
    </w:p>
    <w:p w:rsidR="005728DD" w:rsidRDefault="005728DD" w:rsidP="005728DD">
      <w:pPr>
        <w:pStyle w:val="TextoNormal"/>
      </w:pPr>
    </w:p>
    <w:p w:rsidR="005728DD" w:rsidRDefault="005728DD" w:rsidP="005728DD">
      <w:pPr>
        <w:pStyle w:val="TextoNormal"/>
      </w:pPr>
      <w:r>
        <w:t>Por lo tanto, el incidente fue rechazad</w:t>
      </w:r>
      <w:r w:rsidRPr="005728DD">
        <w:rPr>
          <w:i/>
        </w:rPr>
        <w:t>o a limi</w:t>
      </w:r>
      <w:r>
        <w:t>ne por su manifiesta extemporaneidad, en aplicación de lo dispuesto en el art. 223.1 LOPJ, lo que es conforme a la doctrina de este tribunal.</w:t>
      </w:r>
    </w:p>
    <w:p w:rsidR="005728DD" w:rsidRDefault="005728DD" w:rsidP="005728DD">
      <w:pPr>
        <w:pStyle w:val="TextoNormal"/>
      </w:pPr>
    </w:p>
    <w:p w:rsidR="005728DD" w:rsidRDefault="005728DD" w:rsidP="005728DD">
      <w:pPr>
        <w:pStyle w:val="TextoNormal"/>
      </w:pPr>
      <w:r>
        <w:t>b) No obstante, la inclusión del régimen de abstenciones y recusaciones en el ámbito propio de la configuración legal del derecho al juez imparcial, obliga a examinar las resoluciones del Tribunal Supremo no solo desde la perspectiva del mero control externo propio del canon de enjuiciamiento de una cuestión de legalidad ordinaria, sino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005728DD" w:rsidRDefault="005728DD" w:rsidP="005728DD">
      <w:pPr>
        <w:pStyle w:val="TextoNormal"/>
      </w:pPr>
    </w:p>
    <w:p w:rsidR="005728DD" w:rsidRDefault="005728DD" w:rsidP="005728DD">
      <w:pPr>
        <w:pStyle w:val="TextoNormal"/>
      </w:pPr>
      <w:r>
        <w:lastRenderedPageBreak/>
        <w:t>En ese examen se constata que los mensajes aportados abarcan una notoria extensión temporal (desde el mes de septiembre de 2017 hasta el mes de enero de 2018); que la recusación fue planteada en fecha 8 de febrero de 2018 porque, según el recurrente, el día anterior le fue notificada la concreta composición de la sala; que ese mismo magistrado ya había intervenido en la resolución del recurso de apelación núm. 1-2017, mediante auto dictado en fecha 5 de enero de 2018; y que la integración de ese magistrado en la sala de recursos había sido publicada en el “BOE” núm. 315, de 30 de diciembre de 2016 (vigente hasta el 31 de enero de 2018), y reiterada en el “BOE” núm. 300, de 11 de diciembre de 2017 (vigente a partir del 1 de febrero de 2018), fechas en las que se hicieron públicos los acuerdos del Consejo General del Poder Judicial de 21 de diciembre de 2016 y 23 de noviembre de 2017, respectivamente, por los que se publicaban los acuerdos de la Sala de Gobierno del Tribunal Supremo, sobre composición y funcionamiento de las salas y secciones y asignación de ponencias que deben turnar los magistrados para los periodos 2017 y 2018. En relación con este último aspecto, conviene recordar que, como se afirmó en nuestra STC 116/2008, de 13 de octubre, FJ 3, la predeterminación de la competencia y composición de un determinado órgano judicial no presupone el conocimiento de los magistrados que en cada momento vayan a intervenir en la resolución de cada asunto, porque pueden influir factores diversos como traslados, permisos, licencias o situaciones administrativas. No obstante, una valoración conjunta de los datos obrantes en la causa permite asumir sin dificultad alguna la conclusión sobre la extemporaneidad del incidente de recusación y, por lo tanto, la adecuación del rechaz</w:t>
      </w:r>
      <w:r w:rsidRPr="005728DD">
        <w:rPr>
          <w:i/>
        </w:rPr>
        <w:t>o a limi</w:t>
      </w:r>
      <w:r>
        <w:t>ne de esta pretensión con la consiguiente ausencia de vulneración del derecho al juez imparcial.</w:t>
      </w:r>
    </w:p>
    <w:p w:rsidR="005728DD" w:rsidRDefault="005728DD" w:rsidP="005728DD">
      <w:pPr>
        <w:pStyle w:val="TextoNormal"/>
      </w:pPr>
    </w:p>
    <w:p w:rsidR="005728DD" w:rsidRDefault="005728DD" w:rsidP="005728DD">
      <w:pPr>
        <w:pStyle w:val="TextoNormal"/>
      </w:pPr>
      <w:r>
        <w:t>Los datos fácticos reseñados ponen de manifiesto que el incidente de recusación no fue planteado “tan pronto como” se tuvo conocimiento de la eventual existencia de causa legal para ello, lo que justifica su inadmisión a trámite (art. 223.1 LOPJ). Existe una notoria distancia temporal de, al menos, hasta cuatro meses, entre la fecha de emisión y/o reenvío de los primeros mensajes controvertidos y la fecha de interposición del incidente; los mensajes fueron difundidos en redes sociales y, por lo tanto, eran de acceso público desde el primer momento; y, finalmente, lo que es muy significativo, no se planteó tacha alguna de parcialidad cuando ese magistrado participó en la resolución de un recurso anterior en fecha 5 de enero de 2018, en el que había intervenido la misma representación del recurrente, como se expuso en la providencia de 12 de febrero de 2018, concurriendo semejantes circunstancias a las que motivaron el ulterior planteamiento del incidente. Con estos elementos, la decisión del tribunal no puede considerarse como rigorista, sino como ajustada al necesario examen de los presupuestos fácticos en los que pretendía fundarse la causa de recusación invocada. En palabras de este tribunal, la improcedencia de la recusación podía “apreciars</w:t>
      </w:r>
      <w:r w:rsidRPr="005728DD">
        <w:rPr>
          <w:i/>
        </w:rPr>
        <w:t>e prima fac</w:t>
      </w:r>
      <w:r>
        <w:t>ie de modo manifiesto claro y terminante” (STC 155/2002, de 22 de julio, FJ 6).</w:t>
      </w:r>
    </w:p>
    <w:p w:rsidR="005728DD" w:rsidRDefault="005728DD" w:rsidP="005728DD">
      <w:pPr>
        <w:pStyle w:val="TextoNormal"/>
      </w:pPr>
    </w:p>
    <w:p w:rsidR="005728DD" w:rsidRDefault="005728DD" w:rsidP="005728DD">
      <w:pPr>
        <w:pStyle w:val="TextoNormal"/>
      </w:pPr>
      <w:r>
        <w:t>En cualquier caso, la extemporaneidad de la pretensión debe ponerse en relación, a su vez, con el otro motivo indicado en la sentencia ahora impugnada, es decir, la constatación de que el magistrado recusado no había sido el autor o el difusor de los mensajes denunciados. Este hecho enlaza con el examen de la cuestión de fondo, que ha de conducir al mismo destino desestimatorio, ya que la causa de recusación fue invocada de forma “arbitraria” (STC 155/2002, de 22 de julio, FJ 3), es decir, manifiestamente injustificada.</w:t>
      </w:r>
    </w:p>
    <w:p w:rsidR="005728DD" w:rsidRDefault="005728DD" w:rsidP="005728DD">
      <w:pPr>
        <w:pStyle w:val="TextoNormal"/>
      </w:pPr>
    </w:p>
    <w:p w:rsidR="005728DD" w:rsidRDefault="005728DD" w:rsidP="005728DD">
      <w:pPr>
        <w:pStyle w:val="TextoNormal"/>
      </w:pPr>
      <w:r>
        <w:t xml:space="preserve">c) La causa de recusación alegada es la prevista en el art. 219.10 LOPJ: “Tener interés directo o indirecto en el pleito o causa”. La demanda reconoce que no se puede determinar </w:t>
      </w:r>
      <w:r>
        <w:lastRenderedPageBreak/>
        <w:t>la autoría de los mensajes controvertidos, pero considera que el cargo asociativo del magistrado permite afirmar que conocía y compartía la “línea editorial” de la cuenta de la APM en la red social Twitter. La demanda también admite la libertad de expresión asociativa, pero dice que esos mensajes expresan “claros prejuicios respecto de la responsabilidad” del recurrente y una “evidente animadversión” hacia los procesados y “su ideología política”.</w:t>
      </w:r>
    </w:p>
    <w:p w:rsidR="005728DD" w:rsidRDefault="005728DD" w:rsidP="005728DD">
      <w:pPr>
        <w:pStyle w:val="TextoNormal"/>
      </w:pPr>
    </w:p>
    <w:p w:rsidR="005728DD" w:rsidRDefault="005728DD" w:rsidP="005728DD">
      <w:pPr>
        <w:pStyle w:val="TextoNormal"/>
      </w:pPr>
      <w:r>
        <w:t>En todo caso, la falta de imparcialidad solo puede derivarse de actos propios o expresiones proferidas por aquel a quien se imputa la causa de recusación. No cabe cuestionar la imparcialidad por manifestaciones ajenas, al margen de la conducta del propio recusado. Tampoco puede considerarse que cualquier mensaje enviado desde una cuenta de un colectivo asociativo pueda atribuirse automáticamente a cada uno de sus integrantes. Incluso, una posible o hipotética responsabilidad anudada a la asunción de un cargo asociativo no puede confundirse con la responsabilidad individual derivada del ejercicio profesional de la función jurisdiccional, que solo puede exigirse por las propias acciones.</w:t>
      </w:r>
    </w:p>
    <w:p w:rsidR="005728DD" w:rsidRDefault="005728DD" w:rsidP="005728DD">
      <w:pPr>
        <w:pStyle w:val="TextoNormal"/>
      </w:pPr>
    </w:p>
    <w:p w:rsidR="005728DD" w:rsidRDefault="005728DD" w:rsidP="005728DD">
      <w:pPr>
        <w:pStyle w:val="TextoNormal"/>
      </w:pPr>
      <w:r>
        <w:t>Aun desde la perspectiva de la mera apariencia de imparcialidad, lo verdaderamente relevante son las conductas o expresiones del magistrado recusado. Lo cierto es que, en este caso, no se ha aportado elemento probatorio que permita tener por acreditado o del que pudiera deducirse que alguno de los mensajes referidos hubiera sido elaborado, difundido o asumido por aquel, o del que pudiera derivarse su posicionamiento previo sobre las cuestiones sometidas a su consideración y, en consecuencia, un interés por una determinada resolución del asunto que ponga en duda su imparcialidad.</w:t>
      </w:r>
    </w:p>
    <w:p w:rsidR="005728DD" w:rsidRDefault="005728DD" w:rsidP="005728DD">
      <w:pPr>
        <w:pStyle w:val="TextoNormal"/>
      </w:pPr>
    </w:p>
    <w:p w:rsidR="005728DD" w:rsidRDefault="005728DD" w:rsidP="005728DD">
      <w:pPr>
        <w:pStyle w:val="TextoNormal"/>
      </w:pPr>
      <w:r>
        <w:t>d) Finalmente, como ocurriera en el caso anterior, la pretensión del recurrente se muestra manifiestamente desproporcionada. El magistrado recusado actuaba como integrante de una sala de recursos en la que se abordaban cuestiones procesales incidentales. El magistrado no tuvo intervención alguna en la sentencia ahora impugnada. En consecuencia, la actuación previa del magistrado no ofrece conexión alguna de antijuridicidad con la resolución cuya nulidad se pretende.</w:t>
      </w:r>
    </w:p>
    <w:p w:rsidR="005728DD" w:rsidRDefault="005728DD" w:rsidP="005728DD">
      <w:pPr>
        <w:pStyle w:val="TextoNormal"/>
      </w:pPr>
    </w:p>
    <w:p w:rsidR="005728DD" w:rsidRDefault="005728DD" w:rsidP="005728DD">
      <w:pPr>
        <w:pStyle w:val="TextoNormal"/>
      </w:pPr>
      <w:r>
        <w:t>Procede, en consecuencia, la desestimación de este motivo de amparo.</w:t>
      </w:r>
    </w:p>
    <w:p w:rsidR="005728DD" w:rsidRDefault="005728DD" w:rsidP="005728DD">
      <w:pPr>
        <w:pStyle w:val="TextoNormal"/>
      </w:pPr>
    </w:p>
    <w:p w:rsidR="005728DD" w:rsidRDefault="005728DD" w:rsidP="005728DD">
      <w:pPr>
        <w:pStyle w:val="TextoNormal"/>
      </w:pPr>
      <w:r>
        <w:t>6</w:t>
      </w:r>
      <w:r w:rsidRPr="005728DD">
        <w:rPr>
          <w:i/>
        </w:rPr>
        <w:t>.4. La recusación de los magistrados de la sala de enjuiciamiento que formaron parte de la sala de admi</w:t>
      </w:r>
      <w:r>
        <w:t>sión.</w:t>
      </w:r>
    </w:p>
    <w:p w:rsidR="005728DD" w:rsidRDefault="005728DD" w:rsidP="005728DD">
      <w:pPr>
        <w:pStyle w:val="TextoNormal"/>
      </w:pPr>
    </w:p>
    <w:p w:rsidR="005728DD" w:rsidRDefault="005728DD" w:rsidP="005728DD">
      <w:pPr>
        <w:pStyle w:val="TextoNormal"/>
      </w:pPr>
      <w:r>
        <w:t>6.4.1</w:t>
      </w:r>
      <w:r w:rsidRPr="005728DD">
        <w:rPr>
          <w:i/>
        </w:rPr>
        <w:t>. Posiciones de las part</w:t>
      </w:r>
      <w:r>
        <w:t>es.</w:t>
      </w:r>
    </w:p>
    <w:p w:rsidR="005728DD" w:rsidRDefault="005728DD" w:rsidP="005728DD">
      <w:pPr>
        <w:pStyle w:val="TextoNormal"/>
      </w:pPr>
    </w:p>
    <w:p w:rsidR="005728DD" w:rsidRDefault="005728DD" w:rsidP="005728DD">
      <w:pPr>
        <w:pStyle w:val="TextoNormal"/>
      </w:pPr>
      <w:r>
        <w:t>El recurrente denuncia la indebida inadmisión de la recusación planteada contra los magistrados que formaron parte de la sala de admisión (señores Marchena Gómez, Martínez Arrieta, Berdugo y Gómez de la Torre y Varela Castro).</w:t>
      </w:r>
    </w:p>
    <w:p w:rsidR="005728DD" w:rsidRDefault="005728DD" w:rsidP="005728DD">
      <w:pPr>
        <w:pStyle w:val="TextoNormal"/>
      </w:pPr>
    </w:p>
    <w:p w:rsidR="005728DD" w:rsidRDefault="005728DD" w:rsidP="005728DD">
      <w:pPr>
        <w:pStyle w:val="TextoNormal"/>
      </w:pPr>
      <w:r>
        <w:t xml:space="preserve">La demanda se queja de la pérdida de imparcialidad de aquellos magistrados de la sala de enjuiciamiento que habían acordado la admisión a trámite de la querella que dio origen al procedimiento. Para el recurrente, la parcialidad de estos magistrados no se deriva exclusivamente de su rol funcional en la iniciación del proceso, sino de la forma en que realizaron esta labor. Considera el demandante que el auto de admisión contiene un “amplio juicio de tipicidad” y fue “inusualmente extenso en sus razonamientos jurídico-sustantivos”. Se trataba, por tanto, de una resolución que fue más allá de un mero pronunciamiento sobre la </w:t>
      </w:r>
      <w:r>
        <w:lastRenderedPageBreak/>
        <w:t>procedencia de una investigación ante un</w:t>
      </w:r>
      <w:r w:rsidRPr="005728DD">
        <w:rPr>
          <w:i/>
        </w:rPr>
        <w:t>a notitia crimin</w:t>
      </w:r>
      <w:r>
        <w:t>is. Según la demanda, estos magistrados debían tener “necesariamente prejuicios sobre la cuestión de fondo” cuando ejercieron su labor como integrantes de la sala de enjuiciamiento.</w:t>
      </w:r>
    </w:p>
    <w:p w:rsidR="005728DD" w:rsidRDefault="005728DD" w:rsidP="005728DD">
      <w:pPr>
        <w:pStyle w:val="TextoNormal"/>
      </w:pPr>
    </w:p>
    <w:p w:rsidR="005728DD" w:rsidRDefault="005728DD" w:rsidP="005728DD">
      <w:pPr>
        <w:pStyle w:val="TextoNormal"/>
      </w:pPr>
      <w:r>
        <w:t>En relación con este motivo de amparo, el Ministerio Fiscal propone su desestimación. En esencia, considera que el auto de admisión a trámite de la querella se limita, desde el punto de vista fáctico, a aproximarse a los hechos desde una perspectiva de “hipotética existencia”, mientras que, desde el punto de vista jurídico, la calificación no excede del plano hipotético. El auto se circunscribe a un control meramente formal o abstracto sobre la regularidad procedimental de la querella, sin fijar criterio sobre cuestiones fácticas y jurídicas. La Abogacía del Estado se pronuncia en el mismo sentido. Por su parte, la representación del partido político Vox responde con el mismo argumento con el que rechaza todas las alegaciones sobre la vulneración del derecho al juez imparcial.</w:t>
      </w:r>
    </w:p>
    <w:p w:rsidR="005728DD" w:rsidRDefault="005728DD" w:rsidP="005728DD">
      <w:pPr>
        <w:pStyle w:val="TextoNormal"/>
      </w:pPr>
    </w:p>
    <w:p w:rsidR="005728DD" w:rsidRDefault="005728DD" w:rsidP="005728DD">
      <w:pPr>
        <w:pStyle w:val="TextoNormal"/>
      </w:pPr>
      <w:r>
        <w:t>Este motivo fue abordado en nuestra STC 39/2019, de 26 de marzo, dictada en el recurso de amparo avocado núm. 5758-2018, promovido por otras personas investigadas contra el auto núm. 3/2018, de 13 de septiembre, dictado por la Sala del art. 61 LOPJ, en el que compareció el ahora demandante. No obstante, no hubo pronunciamiento sobre el fondo, al apreciarse el óbice procesal consistente en la “falta de agotamiento de la vía judicial previa” [art. 44.1 a) LOTC].</w:t>
      </w:r>
    </w:p>
    <w:p w:rsidR="005728DD" w:rsidRDefault="005728DD" w:rsidP="005728DD">
      <w:pPr>
        <w:pStyle w:val="TextoNormal"/>
      </w:pPr>
    </w:p>
    <w:p w:rsidR="005728DD" w:rsidRDefault="005728DD" w:rsidP="005728DD">
      <w:pPr>
        <w:pStyle w:val="TextoNormal"/>
      </w:pPr>
      <w:r>
        <w:t>6.4.2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Esta queja fue extensamente respondida en la sentencia impugnada [fundamento jurídico A), apartado 5.5.3], como antes lo había sido por el auto núm. 3/2018, de 13 de septiembre, dictado por la Sala del art. 61 LOPJ en su rollo núm. 5-2018, por el que se desestimó el incidente de recusación planteado, por este mismo motivo, mediante escrito de 23 de julio de 2018.</w:t>
      </w:r>
    </w:p>
    <w:p w:rsidR="005728DD" w:rsidRDefault="005728DD" w:rsidP="005728DD">
      <w:pPr>
        <w:pStyle w:val="TextoNormal"/>
      </w:pPr>
    </w:p>
    <w:p w:rsidR="005728DD" w:rsidRDefault="005728DD" w:rsidP="005728DD">
      <w:pPr>
        <w:pStyle w:val="TextoNormal"/>
      </w:pPr>
      <w:r>
        <w:t>Para el Tribunal Supremo, la lesión invocada está en abierta oposición con la jurisprudencia constitucional, de esa sala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y 143/2006, de 8 de mayo, y la STS 36/2006, 19 de enero. También se citan las SSTEDH de 1 de octubre de 1982, cas</w:t>
      </w:r>
      <w:r w:rsidRPr="005728DD">
        <w:rPr>
          <w:i/>
        </w:rPr>
        <w:t>o Piersack c. Bélgi</w:t>
      </w:r>
      <w:r>
        <w:t>ca, § 30; de 26 de octubre de 1984, cas</w:t>
      </w:r>
      <w:r w:rsidRPr="005728DD">
        <w:rPr>
          <w:i/>
        </w:rPr>
        <w:t>o De Cubber c. Bélgi</w:t>
      </w:r>
      <w:r>
        <w:t>ca, § 24; de 25 de julio de 2002, cas</w:t>
      </w:r>
      <w:r w:rsidRPr="005728DD">
        <w:rPr>
          <w:i/>
        </w:rPr>
        <w:t>o Perote Pellón c. Espa</w:t>
      </w:r>
      <w:r>
        <w:t>ña, § 43, y de 17 de junio de 2003, cas</w:t>
      </w:r>
      <w:r w:rsidRPr="005728DD">
        <w:rPr>
          <w:i/>
        </w:rPr>
        <w:t>o Pescador Valero c. Espa</w:t>
      </w:r>
      <w:r>
        <w:t>ña, § 21.</w:t>
      </w:r>
    </w:p>
    <w:p w:rsidR="005728DD" w:rsidRDefault="005728DD" w:rsidP="005728DD">
      <w:pPr>
        <w:pStyle w:val="TextoNormal"/>
      </w:pPr>
    </w:p>
    <w:p w:rsidR="005728DD" w:rsidRDefault="005728DD" w:rsidP="005728DD">
      <w:pPr>
        <w:pStyle w:val="TextoNormal"/>
      </w:pPr>
      <w:r>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w:t>
      </w:r>
      <w:r w:rsidRPr="005728DD">
        <w:rPr>
          <w:i/>
        </w:rPr>
        <w:t>thema decidendi</w:t>
      </w:r>
      <w:r>
        <w:t xml:space="preserve">”.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w:t>
      </w:r>
      <w:r>
        <w:lastRenderedPageBreak/>
        <w:t>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fondo de la causa. Por lo tanto, es necesario comprobar la intensidad del juicio emitido sobre el objeto del proceso”.</w:t>
      </w:r>
    </w:p>
    <w:p w:rsidR="005728DD" w:rsidRDefault="005728DD" w:rsidP="005728DD">
      <w:pPr>
        <w:pStyle w:val="TextoNormal"/>
      </w:pPr>
    </w:p>
    <w:p w:rsidR="005728DD" w:rsidRDefault="005728DD" w:rsidP="005728DD">
      <w:pPr>
        <w:pStyle w:val="TextoNormal"/>
      </w:pPr>
      <w:r>
        <w:t>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y pasar el asunto al instructor a quien por turno correspondía. No puede decirse, así, que hayan entrado en el examen de los hechos reprochados en esta causa, ni efectuado valoraciones jurídicas sobre los mismos, ni tomado decisiones que puedan afectar a la marcha del proceso”.</w:t>
      </w:r>
    </w:p>
    <w:p w:rsidR="005728DD" w:rsidRDefault="005728DD" w:rsidP="005728DD">
      <w:pPr>
        <w:pStyle w:val="TextoNormal"/>
      </w:pPr>
    </w:p>
    <w:p w:rsidR="005728DD" w:rsidRDefault="005728DD" w:rsidP="005728DD">
      <w:pPr>
        <w:pStyle w:val="TextoNormal"/>
      </w:pPr>
      <w:r>
        <w:t>6.4.3</w:t>
      </w:r>
      <w:r w:rsidRPr="005728DD">
        <w:rPr>
          <w:i/>
        </w:rPr>
        <w:t>. Resolución de la que</w:t>
      </w:r>
      <w:r>
        <w:t>ja.</w:t>
      </w:r>
    </w:p>
    <w:p w:rsidR="005728DD" w:rsidRDefault="005728DD" w:rsidP="005728DD">
      <w:pPr>
        <w:pStyle w:val="TextoNormal"/>
      </w:pPr>
    </w:p>
    <w:p w:rsidR="005728DD" w:rsidRDefault="005728DD" w:rsidP="005728DD">
      <w:pPr>
        <w:pStyle w:val="TextoNormal"/>
      </w:pPr>
      <w:r>
        <w:t>a) Un análisis de este motivo de amparo remite, necesariamente, al momento de la incoación de la causa especial núm. 20907-2017. Este procedimiento tuvo su origen en una querella presentada por el entonces fiscal general del Estado, don José Manuel Maza Martín. Tras el análisis y estudio de la querella, la sala de admisión de la Sala Segunda del Tribunal Supremo dictó un auto en fecha 31 de octubre de 2017, por el que se declaraba la competencia de ese tribunal para la 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005728DD" w:rsidRDefault="005728DD" w:rsidP="005728DD">
      <w:pPr>
        <w:pStyle w:val="TextoNormal"/>
      </w:pPr>
    </w:p>
    <w:p w:rsidR="005728DD" w:rsidRDefault="005728DD" w:rsidP="005728DD">
      <w:pPr>
        <w:pStyle w:val="TextoNormal"/>
      </w:pPr>
      <w:r>
        <w:t xml:space="preserve">Lo primero que conviene señalar es que, como se ha razonado anteriormente, la falta de imparcialidad judicial ha de ponerse de manifiesto a través de las causas de abstención y/o 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situación personal o medidas cautelares de carácter real, sobre la búsqueda de fuentes de prueba, así como sobre la declaración de la existencia de indicios de la comisión de un hecho delictivo y de su autor suficientemente sólidos como para permitir la continuación del procedimiento en fases ulteriores, hasta llegar al juicio oral. Nada de esto se resuelve en el auto de admisión a trámite de la querella. Como tampoco se puede considerar que ese auto implica </w:t>
      </w:r>
      <w:r>
        <w:lastRenderedPageBreak/>
        <w:t>la resolución del pleito o causa en anterior instancia, porque no contiene un pronunciamiento sobre el fondo del asunto.</w:t>
      </w:r>
    </w:p>
    <w:p w:rsidR="005728DD" w:rsidRDefault="005728DD" w:rsidP="005728DD">
      <w:pPr>
        <w:pStyle w:val="TextoNormal"/>
      </w:pPr>
    </w:p>
    <w:p w:rsidR="005728DD" w:rsidRDefault="005728DD" w:rsidP="005728DD">
      <w:pPr>
        <w:pStyle w:val="TextoNormal"/>
      </w:pPr>
      <w:r>
        <w:t xml:space="preserve">No obstante, la doctrina de este tribunal sobre la vertiente objetiva de la imparcialidad judicial determina un análisis </w:t>
      </w:r>
      <w:r w:rsidRPr="005728DD">
        <w:rPr>
          <w:i/>
        </w:rPr>
        <w:t>ad casum</w:t>
      </w:r>
      <w:r>
        <w:t xml:space="preserve">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005728DD" w:rsidRDefault="005728DD" w:rsidP="005728DD">
      <w:pPr>
        <w:pStyle w:val="TextoNormal"/>
      </w:pPr>
    </w:p>
    <w:p w:rsidR="005728DD" w:rsidRDefault="005728DD" w:rsidP="005728DD">
      <w:pPr>
        <w:pStyle w:val="TextoNormal"/>
      </w:pPr>
      <w:r>
        <w:t>b) El demandante señala que el auto de admisión a trámite de la querella contiene un amplio juicio de tipicidad y es inusualmente extenso para su finalidad. Considera que ese pronunciamiento implica una valoración de la relevancia jurídico penal de unos hechos que, sustancialmente, fueron los mismos que se sometieron al enjuiciamiento por estos mismos magistrados que, en tal sentido, ya habían adquirido un prejuicio que afectaba a su apariencia de imparcialidad.</w:t>
      </w:r>
    </w:p>
    <w:p w:rsidR="005728DD" w:rsidRDefault="005728DD" w:rsidP="005728DD">
      <w:pPr>
        <w:pStyle w:val="TextoNormal"/>
      </w:pPr>
    </w:p>
    <w:p w:rsidR="005728DD" w:rsidRDefault="005728DD" w:rsidP="005728DD">
      <w:pPr>
        <w:pStyle w:val="TextoNormal"/>
      </w:pPr>
      <w:r>
        <w:t>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005728DD" w:rsidRDefault="005728DD" w:rsidP="005728DD">
      <w:pPr>
        <w:pStyle w:val="TextoNormal"/>
      </w:pPr>
    </w:p>
    <w:p w:rsidR="005728DD" w:rsidRDefault="005728DD" w:rsidP="005728DD">
      <w:pPr>
        <w:pStyle w:val="TextoNormal"/>
      </w:pPr>
      <w:r>
        <w:t>El auto de la sala de admisión se mueve en ese plano funcional, y es especialmente riguroso en su análisis prospectivo sobre los hechos. Varias expresiones abonan esta tesis.</w:t>
      </w:r>
    </w:p>
    <w:p w:rsidR="005728DD" w:rsidRDefault="005728DD" w:rsidP="005728DD">
      <w:pPr>
        <w:pStyle w:val="TextoNormal"/>
      </w:pPr>
    </w:p>
    <w:p w:rsidR="005728DD" w:rsidRDefault="005728DD" w:rsidP="005728DD">
      <w:pPr>
        <w:pStyle w:val="TextoNormal"/>
      </w:pPr>
      <w:r>
        <w:t>Así, en el fundamento jurídico 3 (páginas 4 y 5), se dice que:</w:t>
      </w:r>
    </w:p>
    <w:p w:rsidR="005728DD" w:rsidRDefault="005728DD" w:rsidP="005728DD">
      <w:pPr>
        <w:pStyle w:val="TextoNormal"/>
      </w:pPr>
    </w:p>
    <w:p w:rsidR="005728DD" w:rsidRDefault="005728DD" w:rsidP="005728DD">
      <w:pPr>
        <w:pStyle w:val="TextoNormal"/>
      </w:pPr>
      <w:r>
        <w:lastRenderedPageBreak/>
        <w:t>“Las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—cuya hipotética existencia solo se valora a los efectos de resolver sobre la competencia de esta sala— […]”.</w:t>
      </w:r>
    </w:p>
    <w:p w:rsidR="005728DD" w:rsidRDefault="005728DD" w:rsidP="005728DD">
      <w:pPr>
        <w:pStyle w:val="TextoNormal"/>
      </w:pPr>
    </w:p>
    <w:p w:rsidR="005728DD" w:rsidRDefault="005728DD" w:rsidP="005728DD">
      <w:pPr>
        <w:pStyle w:val="TextoNormal"/>
      </w:pPr>
      <w:r>
        <w:t>En el fundamento jurídico 4 (páginas 5 y 6), se recoge expresamente lo siguiente:</w:t>
      </w:r>
    </w:p>
    <w:p w:rsidR="005728DD" w:rsidRDefault="005728DD" w:rsidP="005728DD">
      <w:pPr>
        <w:pStyle w:val="TextoNormal"/>
      </w:pPr>
    </w:p>
    <w:p w:rsidR="005728DD" w:rsidRDefault="005728DD" w:rsidP="005728DD">
      <w:pPr>
        <w:pStyle w:val="TextoNormal"/>
      </w:pPr>
      <w:r>
        <w:t>“En la incipiente fase del proceso en el que se inserta la presente resolución, constatamos que el fiscal alude a la existencia de un delito […]. Hemos dicho en numerosas resoluciones que el proceso penal es de cristalización progresiva. Será a lo largo de la instrucción cuando los hechos imputados, a la vista de las diligencias de investigación acordadas por el instructor, confirmen o desmientan su realidad”.</w:t>
      </w:r>
    </w:p>
    <w:p w:rsidR="005728DD" w:rsidRDefault="005728DD" w:rsidP="005728DD">
      <w:pPr>
        <w:pStyle w:val="TextoNormal"/>
      </w:pPr>
    </w:p>
    <w:p w:rsidR="005728DD" w:rsidRDefault="005728DD" w:rsidP="005728DD">
      <w:pPr>
        <w:pStyle w:val="TextoNormal"/>
      </w:pPr>
      <w:r>
        <w:t>Finalmente, el fundamento jurídico 5 (página 6) insiste en estas ideas cuando señala:</w:t>
      </w:r>
    </w:p>
    <w:p w:rsidR="005728DD" w:rsidRDefault="005728DD" w:rsidP="005728DD">
      <w:pPr>
        <w:pStyle w:val="TextoNormal"/>
      </w:pPr>
    </w:p>
    <w:p w:rsidR="005728DD" w:rsidRDefault="005728DD" w:rsidP="005728DD">
      <w:pPr>
        <w:pStyle w:val="TextoNormal"/>
      </w:pPr>
      <w:r>
        <w:t>“La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5728DD" w:rsidRDefault="005728DD" w:rsidP="005728DD">
      <w:pPr>
        <w:pStyle w:val="TextoNormal"/>
      </w:pPr>
    </w:p>
    <w:p w:rsidR="005728DD" w:rsidRDefault="005728DD" w:rsidP="005728DD">
      <w:pPr>
        <w:pStyle w:val="TextoNormal"/>
      </w:pPr>
      <w:r>
        <w:t>Como se puede comprobar, el auto de admisión no contiene un pronunciamiento sobre el fondo del asunto,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Por lo tanto, de sus términos no se deduce una toma de posición de los magistrados sobre los hechos objeto de su enjuiciamiento, por lo que no puede imputárseles tacha de parcialidad alguna.</w:t>
      </w:r>
    </w:p>
    <w:p w:rsidR="005728DD" w:rsidRDefault="005728DD" w:rsidP="005728DD">
      <w:pPr>
        <w:pStyle w:val="TextoNormal"/>
      </w:pPr>
    </w:p>
    <w:p w:rsidR="005728DD" w:rsidRDefault="005728DD" w:rsidP="005728DD">
      <w:pPr>
        <w:pStyle w:val="TextoNormal"/>
      </w:pPr>
      <w:r>
        <w:t>Procede, en consecuencia, desestimar este motivo de amparo.</w:t>
      </w:r>
    </w:p>
    <w:p w:rsidR="005728DD" w:rsidRDefault="005728DD" w:rsidP="005728DD">
      <w:pPr>
        <w:pStyle w:val="TextoNormal"/>
      </w:pPr>
    </w:p>
    <w:p w:rsidR="005728DD" w:rsidRDefault="005728DD" w:rsidP="005728DD">
      <w:pPr>
        <w:pStyle w:val="TextoNormal"/>
      </w:pPr>
      <w:r>
        <w:t>6</w:t>
      </w:r>
      <w:r w:rsidRPr="005728DD">
        <w:rPr>
          <w:i/>
        </w:rPr>
        <w:t>.5. La recusación de los magistrados que integran la sala de enjuiciami</w:t>
      </w:r>
      <w:r>
        <w:t>ento.</w:t>
      </w:r>
    </w:p>
    <w:p w:rsidR="005728DD" w:rsidRDefault="005728DD" w:rsidP="005728DD">
      <w:pPr>
        <w:pStyle w:val="TextoNormal"/>
      </w:pPr>
    </w:p>
    <w:p w:rsidR="005728DD" w:rsidRDefault="005728DD" w:rsidP="005728DD">
      <w:pPr>
        <w:pStyle w:val="TextoNormal"/>
      </w:pPr>
      <w:r>
        <w:t>6.5.1</w:t>
      </w:r>
      <w:r w:rsidRPr="005728DD">
        <w:rPr>
          <w:i/>
        </w:rPr>
        <w:t>. Posiciones de las part</w:t>
      </w:r>
      <w:r>
        <w:t>es.</w:t>
      </w:r>
    </w:p>
    <w:p w:rsidR="005728DD" w:rsidRDefault="005728DD" w:rsidP="005728DD">
      <w:pPr>
        <w:pStyle w:val="TextoNormal"/>
      </w:pPr>
    </w:p>
    <w:p w:rsidR="005728DD" w:rsidRDefault="005728DD" w:rsidP="005728DD">
      <w:pPr>
        <w:pStyle w:val="TextoNormal"/>
      </w:pPr>
      <w:r>
        <w:t xml:space="preserve">Este motivo se concreta, a su vez, en dos alegaciones. Por una parte, se denuncia que el magistrado instructor y los integrantes de la sala de recursos forman parte de la propia Sala Segunda del Tribunal Supremo; es decir, del mismo órgano encargado del enjuiciamiento. </w:t>
      </w:r>
      <w:r>
        <w:lastRenderedPageBreak/>
        <w:t>Para el recurrente, el hecho de que las causas instruidas por un magistrado sean luego revisadas o juzgadas “por compañeros de la misma Sala”, no garantiza la necesaria “distancia” entre el instructor y el tribunal de apelación o de enjuiciamiento, que sí se garantiza “en cualquier otro procedimiento, no así a las personas aforadas”. Esta circunstancia deriva de lo dispuesto en el art. 57.2 LOPJ, por lo que se sugiere de este tribunal el planteamiento de una cuestión interna de inconstitucionalidad.</w:t>
      </w:r>
    </w:p>
    <w:p w:rsidR="005728DD" w:rsidRDefault="005728DD" w:rsidP="005728DD">
      <w:pPr>
        <w:pStyle w:val="TextoNormal"/>
      </w:pPr>
    </w:p>
    <w:p w:rsidR="005728DD" w:rsidRDefault="005728DD" w:rsidP="005728DD">
      <w:pPr>
        <w:pStyle w:val="TextoNormal"/>
      </w:pPr>
      <w:r>
        <w:t>Por otro lado, se impugna la composición de la sala encargada de resolver el incidente de nulidad de actuaciones, que fue la misma sala de enjuiciamiento que dictó la sentencia recurrida. Para el demandante, obviando esta petición expresa formulada por otrosí en su escrito promoviendo dicho incidente, no se garantizó la máxima imparcialidad del órgano revisor que, “como era de esperar, no advirti[ó] absolutamente ninguna vulneración de derechos fundamentales en la resolución que ellos mismos habían dictado unas semanas antes”.</w:t>
      </w:r>
    </w:p>
    <w:p w:rsidR="005728DD" w:rsidRDefault="005728DD" w:rsidP="005728DD">
      <w:pPr>
        <w:pStyle w:val="TextoNormal"/>
      </w:pPr>
    </w:p>
    <w:p w:rsidR="005728DD" w:rsidRDefault="005728DD" w:rsidP="005728DD">
      <w:pPr>
        <w:pStyle w:val="TextoNormal"/>
      </w:pPr>
      <w:r>
        <w:t>En relación con estas dos alegaciones, el Ministerio Fiscal no se pronuncia expresamente sobre la segunda, mientras que propugna la desestimación de la primera, al entender que se trata de un planteamiento peculiar que no tiene sustento en dato objetivo alguno. El abogado del Estado considera que el primer motivo no aparece recogido en el listado de causas de abstención y recusación, mientras que si se estimara la alegación planteada en segundo lugar se estaría produciendo la conculcación del derecho al juez ordinario predeterminado por la ley. En cuanto a la posición del partido político Vox, no cabe sino reiterar lo expuesto en apartados anteriores.</w:t>
      </w:r>
    </w:p>
    <w:p w:rsidR="005728DD" w:rsidRDefault="005728DD" w:rsidP="005728DD">
      <w:pPr>
        <w:pStyle w:val="TextoNormal"/>
      </w:pPr>
    </w:p>
    <w:p w:rsidR="005728DD" w:rsidRDefault="005728DD" w:rsidP="005728DD">
      <w:pPr>
        <w:pStyle w:val="TextoNormal"/>
      </w:pPr>
      <w:r>
        <w:t>6.5.2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su respuesta a la primera alegación, invocada en el mismo trámite que la expuesta en el apartado anterior, la sentencia impugnada [fundamento jurídico A), apartado 5.5.4] señala que es difícil entender la exigencia de cierta “distancia” entre los magistrados. Una distancia que el recurrente no exige entre los miembros de la sala de enjuiciamiento, que en la lógica de su razonamiento obligaría a “no contrariar jamás al ponente”, rindiendo así “culto a la amistad en el proceso de deliberación”, de forma que “nunca quedaría erosionada la relación personal entre los magistrados de un órgano colegiado”.</w:t>
      </w:r>
    </w:p>
    <w:p w:rsidR="005728DD" w:rsidRDefault="005728DD" w:rsidP="005728DD">
      <w:pPr>
        <w:pStyle w:val="TextoNormal"/>
      </w:pPr>
    </w:p>
    <w:p w:rsidR="005728DD" w:rsidRDefault="005728DD" w:rsidP="005728DD">
      <w:pPr>
        <w:pStyle w:val="TextoNormal"/>
      </w:pPr>
      <w:r>
        <w:t>En este punto, la Sala vuelve a remitirse a lo expuesto en el auto de 13 de septiembre de 2018 por la Sala del art. 61 LOPJ: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w:t>
      </w:r>
    </w:p>
    <w:p w:rsidR="005728DD" w:rsidRDefault="005728DD" w:rsidP="005728DD">
      <w:pPr>
        <w:pStyle w:val="TextoNormal"/>
      </w:pPr>
    </w:p>
    <w:p w:rsidR="005728DD" w:rsidRDefault="005728DD" w:rsidP="005728DD">
      <w:pPr>
        <w:pStyle w:val="TextoNormal"/>
      </w:pPr>
      <w:r>
        <w:t xml:space="preserve">En el apartado anterior de la sentencia (5.5.3), ya se había hecho referencia a las normas de reparto que distribuyen el conocimiento de los asuntos en esa sala, que “parten de una diferencia muy marcada entre la sala de admisión que, como su propio nombre sugiere, limita su papel a la admisión a trámite de la denuncia o querella, la sala de recursos, integrada por magistrados que no han participado en la decisión sobre admisión y que está llamada a resolver los recursos contra las resoluciones interlocutorias del magistrado instructor </w:t>
      </w:r>
      <w:r>
        <w:lastRenderedPageBreak/>
        <w:t>y la sala de enjuiciamiento, integrada por los magistrados que, hasta ese momento, se limitaron a dar trámite a la querella y se apartaron de todo contacto con el objeto del proceso”. Esta delimitación funcional es suficiente, según la Sala, para garantizar la debida imparcialidad de sus integrantes.</w:t>
      </w:r>
    </w:p>
    <w:p w:rsidR="005728DD" w:rsidRDefault="005728DD" w:rsidP="005728DD">
      <w:pPr>
        <w:pStyle w:val="TextoNormal"/>
      </w:pPr>
    </w:p>
    <w:p w:rsidR="005728DD" w:rsidRDefault="005728DD" w:rsidP="005728DD">
      <w:pPr>
        <w:pStyle w:val="TextoNormal"/>
      </w:pPr>
      <w:r>
        <w:t>En cuanto a la segunda alegación, la sala de enjuiciamiento da una respuesta —que puede considerarse implícita— en el auto de 29 de enero de 2020, por el que resolvió el incidente de nulidad de actuaciones. Así, en su fundamento jurídico 1 hace referencia a la doctrina expuesta en su auto de 1 de marzo de 2012, en el que se razonaba que “la filosofía del nuevo incidente de nulidad de actuaciones” permite que “la propia jurisdicción ordinaria pueda subsanar cualquier violación de los derechos fundamentales del art. 53.2 de la Constitución”, con lo que “se evita, en su caso, el acceso a la jurisdicción constitucional cuando la ordinaria, como primer garante de tales derechos fundamentales, puede evitar y subsanar cualquier denuncia al respecto”. Igualmente, se añade en el auto de 29 de enero de 2020 que, “de acuerdo con el apartado primero del artículo 241 de la Ley Orgánica del Poder Judicial, será competente para conocer de este incidente el mismo juzgado o tribunal que dictó la resolución que hubiere adquirido firmeza”. En definitiva, de lo expuesto se deduce que el Tribunal Supremo considera que la queja carece de virtualidad alguna, porque la propia naturaleza del incidente determina que sea, precisamente, el órgano que dictó la resolución el que haga una revisión de esta.</w:t>
      </w:r>
    </w:p>
    <w:p w:rsidR="005728DD" w:rsidRDefault="005728DD" w:rsidP="005728DD">
      <w:pPr>
        <w:pStyle w:val="TextoNormal"/>
      </w:pPr>
    </w:p>
    <w:p w:rsidR="005728DD" w:rsidRDefault="005728DD" w:rsidP="005728DD">
      <w:pPr>
        <w:pStyle w:val="TextoNormal"/>
      </w:pPr>
      <w:r>
        <w:t>6.5.3</w:t>
      </w:r>
      <w:r w:rsidRPr="005728DD">
        <w:rPr>
          <w:i/>
        </w:rPr>
        <w:t>. Resolución de la que</w:t>
      </w:r>
      <w:r>
        <w:t>ja.</w:t>
      </w:r>
    </w:p>
    <w:p w:rsidR="005728DD" w:rsidRDefault="005728DD" w:rsidP="005728DD">
      <w:pPr>
        <w:pStyle w:val="TextoNormal"/>
      </w:pPr>
    </w:p>
    <w:p w:rsidR="005728DD" w:rsidRDefault="005728DD" w:rsidP="005728DD">
      <w:pPr>
        <w:pStyle w:val="TextoNormal"/>
      </w:pPr>
      <w:r>
        <w:t>a) En relación con el primer motivo en el que se concreta esta impugnación, el planteamiento del recurrente supone, en realidad, una cierta confusión entre dos derechos fundamentales distintos: el derecho al juez ordinario predeterminado por la ley (reconocido expresamente en el art. 24.2 CE), y el derecho al juez imparcial (reconocido implícitamente como integrado en el derecho a un proceso con todas las garantías en el mismo art. 24.2 CE). La demanda hace depender un derecho del otro, de tal manera que la propia competencia objetiva y funcional del Tribunal Supremo (que afecta, en su caso, al derecho al juez ordinario predeterminado por la ley) es la que determina la falta de imparcialidad de los integrantes de ese órgano. Es decir, la vulneración del derecho al juez imparcial vendría motivada, de forma automática, por la competencia del Tribunal Supremo para el conocimiento del asunto. En este esquema argumental, el recurrente sugiere a este tribunal el planteamiento de una cuestión interna de inconstitucionalidad sobre el art. 57.2 LOPJ. Este precepto dispone lo siguiente: “En las causas a que se refieren los números segundo y tercero del párrafo anterior se designará de entre los miembros de la sala, conforme a un turno preestablecido, un instructor, que no formará parte de la misma para enjuiciarlas”.</w:t>
      </w:r>
    </w:p>
    <w:p w:rsidR="005728DD" w:rsidRDefault="005728DD" w:rsidP="005728DD">
      <w:pPr>
        <w:pStyle w:val="TextoNormal"/>
      </w:pPr>
    </w:p>
    <w:p w:rsidR="005728DD" w:rsidRDefault="005728DD" w:rsidP="005728DD">
      <w:pPr>
        <w:pStyle w:val="TextoNormal"/>
      </w:pPr>
      <w:r>
        <w:t xml:space="preserve">El motivo carece de fundamento. Empezando por la última alegación formulada, la doctrina jurisprudencial citada no impone un determinado diseño competencial para garantizar el derecho a un juez imparcial. En consecuencia, este derecho puede ser protegido con independencia de que los jueces y tribunales que intervienen en un asunto formen parte o no de un mismo órgano judicial. Lo relevante es el adecuado deslinde funcional entre ellos. De esta manera, el juez que instruye no puede fallar, mientras que los jueces que revisan las decisiones de la fase de instrucción no pueden intervenir en la fase de enjuiciamiento si en su labor de revisión han anticipado algún posicionamiento sobre la cuestión de fondo. Por su parte, los jueces que enjuician y dictan sentencia no han debido tener participación alguna </w:t>
      </w:r>
      <w:r>
        <w:lastRenderedPageBreak/>
        <w:t>en la fase de investigación previa. Si esos parámetros se cumplen, la imparcialidad judicial derivada estrictamente del rol funcional está garantizada. Al margen, claro está, de la posible concurrencia de otras causas de parcialidad de carácter subjetivo u objetivo.</w:t>
      </w:r>
    </w:p>
    <w:p w:rsidR="005728DD" w:rsidRDefault="005728DD" w:rsidP="005728DD">
      <w:pPr>
        <w:pStyle w:val="TextoNormal"/>
      </w:pPr>
    </w:p>
    <w:p w:rsidR="005728DD" w:rsidRDefault="005728DD" w:rsidP="005728DD">
      <w:pPr>
        <w:pStyle w:val="TextoNormal"/>
      </w:pPr>
      <w:r>
        <w:t>La actual organización de la Sala Segunda del Tribunal Supremo permite garantizar el derecho al juez imparcial, porque diferencia de forma adecuada las funciones del magistrado instructor, de la sala de recursos y de la sala de enjuiciamiento, estableciendo los turnos necesarios para evitar cualquier solapamiento entre magistrados del que pudiera deducirse una tacha de parcialidad derivada de su relación funcional con el proceso. En el caso que nos ocupa, estos criterios estaban fijados y eran públicos con suficiente antelación a la incoación del procedimiento (ver, en tal sentido, el ya citado “BOE” núm. 315, de 30 de diciembre de 2016).</w:t>
      </w:r>
    </w:p>
    <w:p w:rsidR="005728DD" w:rsidRDefault="005728DD" w:rsidP="005728DD">
      <w:pPr>
        <w:pStyle w:val="TextoNormal"/>
      </w:pPr>
    </w:p>
    <w:p w:rsidR="005728DD" w:rsidRDefault="005728DD" w:rsidP="005728DD">
      <w:pPr>
        <w:pStyle w:val="TextoNormal"/>
      </w:pPr>
      <w:r>
        <w:t>En realidad, lo que hace el art. 57.2 LOPJ es plasmar normativamente la regla básica de la imparcialidad funcional en el proceso penal, que consiste en que “el juez que instruye no puede fallar”, derivada de nuestra STC 145/1988, de 12 de julio, FJ 5, por aplicación de la doctrina expuesta en la STEDH de 26 de octubre de 1984, asunt</w:t>
      </w:r>
      <w:r w:rsidRPr="005728DD">
        <w:rPr>
          <w:i/>
        </w:rPr>
        <w:t>o De Cubber c. Bélgi</w:t>
      </w:r>
      <w:r>
        <w:t>ca. Por lo tanto, ninguna queja de inconstitucionalidad puede plantearse respecto de una norma que se ajusta a la doctrina sentada por este tribunal.</w:t>
      </w:r>
    </w:p>
    <w:p w:rsidR="005728DD" w:rsidRDefault="005728DD" w:rsidP="005728DD">
      <w:pPr>
        <w:pStyle w:val="TextoNormal"/>
      </w:pPr>
    </w:p>
    <w:p w:rsidR="005728DD" w:rsidRDefault="005728DD" w:rsidP="005728DD">
      <w:pPr>
        <w:pStyle w:val="TextoNormal"/>
      </w:pPr>
      <w:r>
        <w:t>Descartada la procedencia del planteamiento de una cuestión de inconstitucionalidad del art. 57.2 LOPJ, el resto del motivo tampoco puede prosperar.</w:t>
      </w:r>
    </w:p>
    <w:p w:rsidR="005728DD" w:rsidRDefault="005728DD" w:rsidP="005728DD">
      <w:pPr>
        <w:pStyle w:val="TextoNormal"/>
      </w:pPr>
    </w:p>
    <w:p w:rsidR="005728DD" w:rsidRDefault="005728DD" w:rsidP="005728DD">
      <w:pPr>
        <w:pStyle w:val="TextoNormal"/>
      </w:pPr>
      <w:r>
        <w:t>El respeto a las normas aplicables en materia de abstenciones y recusaciones (art. 219 LOPJ) constituye el presupuesto normativo básico para la debida observancia del derecho al juez imparcial. Cualquier objeción de parcialidad distinta del mero incumplimiento de esta norma requiere la aportación de un principio de prueba sobre la vulneración real y efectiva de este derecho fundamental. Las causas de abstención y/o recusación fijan normativamente aquellos supuestos en los que debe presumirse la parcialidad del juzgador, pero eso no significa que la imparcialidad no pueda ser desvirtuada por otros hechos o circunstancias, sobre todo cuando, como ocurre en este punto, se trata de analizar la vertiente objetiva de la imparcialidad judicial. No obstante, esos hechos o circunstancias deben ser de la misma entidad que las causas de abstención y/o recusación para que, sin caer en la interpretación extensiva o analógica, puedan justificar el principio de prueba sobre la parcialidad que, en cualquier caso, es exigible. Nada de esto se ha aportado por el recurrente, que no ha reconducido el motivo alegado a una concreta causa de las previstas en el art. 219 LOPJ, ni siquiera a un motivo de similar significación.</w:t>
      </w:r>
    </w:p>
    <w:p w:rsidR="005728DD" w:rsidRDefault="005728DD" w:rsidP="005728DD">
      <w:pPr>
        <w:pStyle w:val="TextoNormal"/>
      </w:pPr>
    </w:p>
    <w:p w:rsidR="005728DD" w:rsidRDefault="005728DD" w:rsidP="005728DD">
      <w:pPr>
        <w:pStyle w:val="TextoNormal"/>
      </w:pPr>
      <w:r>
        <w:t xml:space="preserve">En realidad, la demanda centra su impugnación en su disconformidad con las normas que regulan la competencia objetiva y funcional del Tribunal Supremo. Unas normas que, en este caso, se han aplicado conforme a parámetros de constitucionalidad, y cuya falta de compatibilidad con la Constitución ya ha sido descartada en otro apartado de esta resolución. Para que el recurso pudiera prosperar hubiera sido necesario establecer, al menos, una conexión lógica entre lo dispuesto en la norma y la ausencia de imparcialidad derivada de su estricto cumplimiento. Una vez más, el recurso omite la aportación de algún dato mínimamente objetivo. La única referencia en tal sentido consiste en la alegación de un concepto difuso como es el de la ausencia de “distancia” entre los magistrados. Un concepto que, </w:t>
      </w:r>
      <w:r>
        <w:lastRenderedPageBreak/>
        <w:t>llevado a sus últimas consecuencias, implicaría la tacha de parcialidad de cualquier magistrado integrante de un órgano colegiado. No es razonable pretender que la mera relación profesional, o incluso personal, entre los magistrados de una sala impide a cualquiera de estos ejercer su labor conforme a Derecho, asumiendo acríticamente las posturas del resto de sus colegas sobre la base de una distorsionada concepción de un compañerismo mal entendido. La tesis del recurrente supondría, en definitiva, una presunción de falta de profesionalidad basada en percepciones subjetivas o impresiones personales incompatibles con el rigor y objetividad exigibles en el planteamiento de una recusación.</w:t>
      </w:r>
    </w:p>
    <w:p w:rsidR="005728DD" w:rsidRDefault="005728DD" w:rsidP="005728DD">
      <w:pPr>
        <w:pStyle w:val="TextoNormal"/>
      </w:pPr>
    </w:p>
    <w:p w:rsidR="005728DD" w:rsidRDefault="005728DD" w:rsidP="005728DD">
      <w:pPr>
        <w:pStyle w:val="TextoNormal"/>
      </w:pPr>
      <w:r>
        <w:t>b) La segunda alegación postula que el incidente de nulidad de actuaciones no puede ser resuelto por el mismo órgano que dictó la sentencia que se revisa.</w:t>
      </w:r>
    </w:p>
    <w:p w:rsidR="005728DD" w:rsidRDefault="005728DD" w:rsidP="005728DD">
      <w:pPr>
        <w:pStyle w:val="TextoNormal"/>
      </w:pPr>
    </w:p>
    <w:p w:rsidR="005728DD" w:rsidRDefault="005728DD" w:rsidP="005728DD">
      <w:pPr>
        <w:pStyle w:val="TextoNormal"/>
      </w:pPr>
      <w:r>
        <w:t xml:space="preserve">Los argumentos expuestos en el apartado anterior pueden ser igualmente trasladables a este motivo. El recurrente hace depender una falta de imparcialidad del cumplimiento estricto de la normativa vigente, en este caso, sobre el incidente de nulidad de actuaciones. El art. 241 LOPJ no deja lugar a dudas: “Será competente para conocer de este incidente el mismo juzgado o tribunal que dictó la resolución que hubiere adquirido firmeza”. Este esquema funcional responde a la coherencia del sistema de protección de derechos fundamentales, atribuida en primer lugar a la jurisdicción ordinaria para que pueda reparar, en su caso, la vulneración denunciada y, solo de manera subsidiaria, a la jurisdicción constitucional. Precisamente, la finalidad de este incidente es que “el juez o tribunal que dictó la sentencia o resolución firme a la que se imputan [determinadas vulneraciones de derechos] pueda reconsiderar lo actuado y subsanar, en su caso, los vicios o defectos producidos, por lo que necesariamente ha de ser tal órgano el que actúe, sin que el hecho de haber pronunciado una resolución previa suponga en tal caso —como ya dijimos en la STC 157/1993, FJ 3— un impedimento frente a la imparcialidad constitucionalmente exigida al juzgador” (STC 170/2002, de 30 de diciembre, FJ 11). Esta doctrina es coherente con la mantenida por el Tribunal Europeo de Derechos Humanos para el caso de anulaciones de decisiones en vía de recurso y que, </w:t>
      </w:r>
      <w:r w:rsidRPr="005728DD">
        <w:rPr>
          <w:i/>
        </w:rPr>
        <w:t>mutatis mutandi</w:t>
      </w:r>
      <w:r>
        <w:t xml:space="preserve">, puede ser aplicada al supuesto que nos ocupa. En efecto, ya desde su sentencia de 16 de julio de 1971, caso </w:t>
      </w:r>
      <w:r w:rsidRPr="005728DD">
        <w:rPr>
          <w:i/>
        </w:rPr>
        <w:t>Ringeisen c. Austria</w:t>
      </w:r>
      <w:r>
        <w:t>, el tribunal declaró que “no podría elevarse a principio general, derivado del deber de imparcialidad, que una jurisdicción de recurso que anule una decisión administrativa o judicial tenga la obligación de remitir el asunto a otra autoridad jurisdiccional o a un órgano de esta autoridad compuesta de forma distinta”. De lo que se deduce que no atenta al principio de imparcialidad que el mismo órgano que cometió una eventual infracción pueda revisarla en un momento ulterior.</w:t>
      </w:r>
    </w:p>
    <w:p w:rsidR="005728DD" w:rsidRDefault="005728DD" w:rsidP="005728DD">
      <w:pPr>
        <w:pStyle w:val="TextoNormal"/>
      </w:pPr>
    </w:p>
    <w:p w:rsidR="005728DD" w:rsidRDefault="005728DD" w:rsidP="005728DD">
      <w:pPr>
        <w:pStyle w:val="TextoNormal"/>
      </w:pPr>
      <w:r>
        <w:t>Según la tesis de la demanda, ningún magistrado sería capaz de revisar sus propias decisiones para apreciar una posible vulneración de derechos fundamentales, con grave quebranto de su deber profesional de actuar en todo momento conforme a Derecho. La parcialidad generalizada que se deriva de los argumentos del recurrente es incompatible con nuestra doctrina. Lo que se presume es la imparcialidad, no la parcialidad. Por ello, el motivo solo podría prosperar si se hubiera aportado algún elemento fáctico del que pudiera deducirse, al menos, una apariencia de parcialidad. El recurso aparece huérfano de toda propuesta argumental diferente a la mera afirmación de la vulneración alegada; en consecuencia, este motivo de amparo ha de ser desestimado.</w:t>
      </w:r>
    </w:p>
    <w:p w:rsidR="005728DD" w:rsidRDefault="005728DD" w:rsidP="005728DD">
      <w:pPr>
        <w:pStyle w:val="TextoNormal"/>
      </w:pPr>
    </w:p>
    <w:p w:rsidR="005728DD" w:rsidRDefault="005728DD" w:rsidP="005728DD">
      <w:pPr>
        <w:pStyle w:val="TextoNormal"/>
      </w:pPr>
      <w:r>
        <w:t>6</w:t>
      </w:r>
      <w:r w:rsidRPr="005728DD">
        <w:rPr>
          <w:i/>
        </w:rPr>
        <w:t>.6. La recusación del presidente de la sala de enjuiciami</w:t>
      </w:r>
      <w:r>
        <w:t>ento.</w:t>
      </w:r>
    </w:p>
    <w:p w:rsidR="005728DD" w:rsidRDefault="005728DD" w:rsidP="005728DD">
      <w:pPr>
        <w:pStyle w:val="TextoNormal"/>
      </w:pPr>
    </w:p>
    <w:p w:rsidR="005728DD" w:rsidRDefault="005728DD" w:rsidP="005728DD">
      <w:pPr>
        <w:pStyle w:val="TextoNormal"/>
      </w:pPr>
      <w:r>
        <w:lastRenderedPageBreak/>
        <w:t>6.6.1</w:t>
      </w:r>
      <w:r w:rsidRPr="005728DD">
        <w:rPr>
          <w:i/>
        </w:rPr>
        <w:t>. Posiciones de las part</w:t>
      </w:r>
      <w:r>
        <w:t>es.</w:t>
      </w:r>
    </w:p>
    <w:p w:rsidR="005728DD" w:rsidRDefault="005728DD" w:rsidP="005728DD">
      <w:pPr>
        <w:pStyle w:val="TextoNormal"/>
      </w:pPr>
    </w:p>
    <w:p w:rsidR="005728DD" w:rsidRDefault="005728DD" w:rsidP="005728DD">
      <w:pPr>
        <w:pStyle w:val="TextoNormal"/>
      </w:pPr>
      <w:r>
        <w:t>La demanda impugna la indebida desestimación de la recusación formulada contra el presidente de la sala de enjuiciamiento y, por extensión, del resto de sus integrantes, a raíz del mensaje enviado por el senador del Partido Popular, don Ignacio Cosidó, a numerosas personas, afirmando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w:t>
      </w:r>
    </w:p>
    <w:p w:rsidR="005728DD" w:rsidRDefault="005728DD" w:rsidP="005728DD">
      <w:pPr>
        <w:pStyle w:val="TextoNormal"/>
      </w:pPr>
    </w:p>
    <w:p w:rsidR="005728DD" w:rsidRDefault="005728DD" w:rsidP="005728DD">
      <w:pPr>
        <w:pStyle w:val="TextoNormal"/>
      </w:pPr>
      <w:r>
        <w:t>La queja se formula no solo en cuanto al fondo, sino también por haberse rechazado la prueba propuesta en el incidente de recusación, consistente en la toma de declaración como testigo del señor Cosidó, por lo que se impidió acreditar la efectiva concurrencia de la causa de recusación.</w:t>
      </w:r>
    </w:p>
    <w:p w:rsidR="005728DD" w:rsidRDefault="005728DD" w:rsidP="005728DD">
      <w:pPr>
        <w:pStyle w:val="TextoNormal"/>
      </w:pPr>
    </w:p>
    <w:p w:rsidR="005728DD" w:rsidRDefault="005728DD" w:rsidP="005728DD">
      <w:pPr>
        <w:pStyle w:val="TextoNormal"/>
      </w:pPr>
      <w:r>
        <w:t>En relación con esta pretensión, el Ministerio Fiscal interesa su desestimación, al entender que se trata de una recusación por un acto de un tercero, no del propio magistrado, cuya conducta permite descartar cualquier duda sobre su imparcialidad. El abogado del Estado se remite al auto núm. 7/2018 de la Sala del art. 61 LOPJ y al fundamento jurídico A), apartado 5.5.6 de la sentencia impugnada. En cuanto a la postura procesal del partido político Vox, no cabe sino reiterar lo expuesto en apartados anteriores.</w:t>
      </w:r>
    </w:p>
    <w:p w:rsidR="005728DD" w:rsidRDefault="005728DD" w:rsidP="005728DD">
      <w:pPr>
        <w:pStyle w:val="TextoNormal"/>
      </w:pPr>
    </w:p>
    <w:p w:rsidR="005728DD" w:rsidRDefault="005728DD" w:rsidP="005728DD">
      <w:pPr>
        <w:pStyle w:val="TextoNormal"/>
      </w:pPr>
      <w:r>
        <w:t>6.6.2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Este motivo de amparo fue rechazado en el fundamento jurídico A), apartado 5.5.6 de la sentencia ahora impugnada, con un extenso razonamiento en el que también se hacía una remisión expresa al auto núm. 7/2018, 5 de diciembre, de la Sala del art. 61 LOPJ por la que se desestimó esta pretensión en el incidente de recusación en su día planteado.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005728DD" w:rsidRDefault="005728DD" w:rsidP="005728DD">
      <w:pPr>
        <w:pStyle w:val="TextoNormal"/>
      </w:pPr>
    </w:p>
    <w:p w:rsidR="005728DD" w:rsidRDefault="005728DD" w:rsidP="005728DD">
      <w:pPr>
        <w:pStyle w:val="TextoNormal"/>
      </w:pPr>
      <w:r>
        <w:t>6.6.3</w:t>
      </w:r>
      <w:r w:rsidRPr="005728DD">
        <w:rPr>
          <w:i/>
        </w:rPr>
        <w:t>. Resolución de la que</w:t>
      </w:r>
      <w:r>
        <w:t>ja.</w:t>
      </w:r>
    </w:p>
    <w:p w:rsidR="005728DD" w:rsidRDefault="005728DD" w:rsidP="005728DD">
      <w:pPr>
        <w:pStyle w:val="TextoNormal"/>
      </w:pPr>
    </w:p>
    <w:p w:rsidR="005728DD" w:rsidRDefault="005728DD" w:rsidP="005728DD">
      <w:pPr>
        <w:pStyle w:val="TextoNormal"/>
      </w:pPr>
      <w:r>
        <w:lastRenderedPageBreak/>
        <w:t>a) La demanda impugna la indebida desestimación de la recusación formulada contra el presidente de la sala de enjuiciamiento y, por extensión, contra el resto de sus integrantes, a raíz del mensaje enviado a través de una aplicación de mensajería instantánea (Whatsapp) por el entonces senador del Partido Popular, don Ignacio Cosidó, a numerosas personas.</w:t>
      </w:r>
    </w:p>
    <w:p w:rsidR="005728DD" w:rsidRDefault="005728DD" w:rsidP="005728DD">
      <w:pPr>
        <w:pStyle w:val="TextoNormal"/>
      </w:pPr>
    </w:p>
    <w:p w:rsidR="005728DD" w:rsidRDefault="005728DD" w:rsidP="005728DD">
      <w:pPr>
        <w:pStyle w:val="TextoNormal"/>
      </w:pPr>
      <w:r>
        <w:t>El texto del mensaje, recogido en el auto núm. 7/2018, de 5 de diciembre, por el que la sala especial del art. 61 LOPJ resolvió el incidente, presentaba el siguiente tenor literal:</w:t>
      </w:r>
    </w:p>
    <w:p w:rsidR="005728DD" w:rsidRDefault="005728DD" w:rsidP="005728DD">
      <w:pPr>
        <w:pStyle w:val="TextoNormal"/>
      </w:pPr>
    </w:p>
    <w:p w:rsidR="005728DD" w:rsidRDefault="005728DD" w:rsidP="005728DD">
      <w:pPr>
        <w:pStyle w:val="TextoNormal"/>
      </w:pPr>
      <w: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w:t>
      </w:r>
      <w:r w:rsidRPr="005728DD">
        <w:rPr>
          <w:i/>
        </w:rPr>
        <w:t>auctoritas</w:t>
      </w:r>
      <w:r>
        <w:t xml:space="preserve">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005728DD" w:rsidRDefault="005728DD" w:rsidP="005728DD">
      <w:pPr>
        <w:pStyle w:val="TextoNormal"/>
      </w:pPr>
    </w:p>
    <w:p w:rsidR="005728DD" w:rsidRDefault="005728DD" w:rsidP="005728DD">
      <w:pPr>
        <w:pStyle w:val="TextoNormal"/>
      </w:pPr>
      <w:r>
        <w:t>b) En cuanto al rechazo de la prueba propuesta en el incidente de recusación, la doctrina de este tribunal sobre el derecho a la prueba es suficientemente conocida, y se expone con detalle en otro apartado de esta resolución. Basta ahora recordar que el derecho a la prueba es un derecho de configuración legal, que no confiere una facultad ilimitada a que se practiquen cualesquiera pruebas propuestas, sino únicamente las que sean pertinentes y relevantes para la resolución de la concreta pretensión planteada. De esta forma, la negativa a practicar una prueba no implica necesariamente la vulneración del derecho, salvo que vaya acompañada de una concreta indefensión que el recurrente debe invocar y motivar (ver, por todas, STC 165/2001, de 16 de julio, FJ 2).</w:t>
      </w:r>
    </w:p>
    <w:p w:rsidR="005728DD" w:rsidRDefault="005728DD" w:rsidP="005728DD">
      <w:pPr>
        <w:pStyle w:val="TextoNormal"/>
      </w:pPr>
    </w:p>
    <w:p w:rsidR="005728DD" w:rsidRDefault="005728DD" w:rsidP="005728DD">
      <w:pPr>
        <w:pStyle w:val="TextoNormal"/>
      </w:pPr>
      <w:r>
        <w:t xml:space="preserve">En este caso, en el marco del incidente de recusación planteado contra el presidente de la sala de enjuiciamiento se solicitaron las siguientes pruebas: la declaración del remitente del mensaje, señor Cosidó; el cotejo de los enlaces periodísticos que acreditaran la veracidad de los hechos expuestos; y la unión de un escrito planteando un artículo de previo pronunciamiento, con su documentación adjunta. El magistrado instructor del expediente dictó un </w:t>
      </w:r>
      <w:r>
        <w:lastRenderedPageBreak/>
        <w:t>auto en fecha 3 de diciembre de 2018, por el que denegó la práctica de las pruebas solicitadas, razonando que “no [eran] necesarias para la resolución del incidente”.</w:t>
      </w:r>
    </w:p>
    <w:p w:rsidR="005728DD" w:rsidRDefault="005728DD" w:rsidP="005728DD">
      <w:pPr>
        <w:pStyle w:val="TextoNormal"/>
      </w:pPr>
    </w:p>
    <w:p w:rsidR="005728DD" w:rsidRDefault="005728DD" w:rsidP="005728DD">
      <w:pPr>
        <w:pStyle w:val="TextoNormal"/>
      </w:pPr>
      <w:r>
        <w:t>La función de este tribunal es realizar un control externo sobre la razonabilidad de la decisión adoptada por el órgano judicial. En tal sentido, a pesar de su escueto argumento, un análisis de la causa invocada y de los elementos de juicio necesarios para su valoración conduce a estimar como razonable, lógico o no arbitrario el criterio del magistrado instructor del incidente de recusación.</w:t>
      </w:r>
    </w:p>
    <w:p w:rsidR="005728DD" w:rsidRDefault="005728DD" w:rsidP="005728DD">
      <w:pPr>
        <w:pStyle w:val="TextoNormal"/>
      </w:pPr>
    </w:p>
    <w:p w:rsidR="005728DD" w:rsidRDefault="005728DD" w:rsidP="005728DD">
      <w:pPr>
        <w:pStyle w:val="TextoNormal"/>
      </w:pPr>
      <w:r>
        <w:t>En efecto, la remisión del mensaje y la autoría del remitente nunca fueron cuestionadas, de manera que la resolución del expediente solo requería una valoración del contenido del mensaje y su repercusión para la apariencia de imparcialidad del magistrado recusado. Para realizar ese análisis no era necesario citar a testigo alguno.</w:t>
      </w:r>
    </w:p>
    <w:p w:rsidR="005728DD" w:rsidRDefault="005728DD" w:rsidP="005728DD">
      <w:pPr>
        <w:pStyle w:val="TextoNormal"/>
      </w:pPr>
    </w:p>
    <w:p w:rsidR="005728DD" w:rsidRDefault="005728DD" w:rsidP="005728DD">
      <w:pPr>
        <w:pStyle w:val="TextoNormal"/>
      </w:pPr>
      <w:r>
        <w:t>El recurrente señala que la declaración del señor Cosidó hubiera permitido verificar la realidad o no del supuesto acuerdo. Sin embargo, la cuestión a resolver no era tanto la realidad o no del acuerdo como la afectación del mensaje para la apariencia de imparcialidad del magistrado. Y para eso, insistimos, la testifical no era necesaria. Bajo estas premisas, era razonable prescindir de las pruebas propuestas.</w:t>
      </w:r>
    </w:p>
    <w:p w:rsidR="005728DD" w:rsidRDefault="005728DD" w:rsidP="005728DD">
      <w:pPr>
        <w:pStyle w:val="TextoNormal"/>
      </w:pPr>
    </w:p>
    <w:p w:rsidR="005728DD" w:rsidRDefault="005728DD" w:rsidP="005728DD">
      <w:pPr>
        <w:pStyle w:val="TextoNormal"/>
      </w:pPr>
      <w:r>
        <w:t>Por otro lado, el recurrente no ha justificado la eventual indefensión material que le produjo esta decisión judicial. Es decir, no se ha motivado de forma suficiente la repercusión concreta que la denegación de la prueba tuvo para la adecuada resolución del incidente de recusación, o de qué forma esta resolución podría haber sido distinta en el caso de que se hubieran practicado las pruebas propuestas, por lo que el motivo debe ser desestimado.</w:t>
      </w:r>
    </w:p>
    <w:p w:rsidR="005728DD" w:rsidRDefault="005728DD" w:rsidP="005728DD">
      <w:pPr>
        <w:pStyle w:val="TextoNormal"/>
      </w:pPr>
    </w:p>
    <w:p w:rsidR="005728DD" w:rsidRDefault="005728DD" w:rsidP="005728DD">
      <w:pPr>
        <w:pStyle w:val="TextoNormal"/>
      </w:pPr>
      <w:r>
        <w:t>c) Entrando en el fondo de la queja alegada, se hace necesario insistir en algunos principios que conforman los contornos de nuestra doctrina sobre el derecho al juez imparcial, y que el recurso parece haber obviado.</w:t>
      </w:r>
    </w:p>
    <w:p w:rsidR="005728DD" w:rsidRDefault="005728DD" w:rsidP="005728DD">
      <w:pPr>
        <w:pStyle w:val="TextoNormal"/>
      </w:pPr>
    </w:p>
    <w:p w:rsidR="005728DD" w:rsidRDefault="005728DD" w:rsidP="005728DD">
      <w:pPr>
        <w:pStyle w:val="TextoNormal"/>
      </w:pPr>
      <w:r>
        <w:t>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005728DD" w:rsidRDefault="005728DD" w:rsidP="005728DD">
      <w:pPr>
        <w:pStyle w:val="TextoNormal"/>
      </w:pPr>
    </w:p>
    <w:p w:rsidR="005728DD" w:rsidRDefault="005728DD" w:rsidP="005728DD">
      <w:pPr>
        <w:pStyle w:val="TextoNormal"/>
      </w:pPr>
      <w:r>
        <w:t xml:space="preserve">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w:t>
      </w:r>
      <w:r>
        <w:lastRenderedPageBreak/>
        <w:t>que la imparcialidad de un magistrado solo pueda ponerse en cuestión por la conducta o las expresiones u opiniones del propio magistrado, no de un tercero.</w:t>
      </w:r>
    </w:p>
    <w:p w:rsidR="005728DD" w:rsidRDefault="005728DD" w:rsidP="005728DD">
      <w:pPr>
        <w:pStyle w:val="TextoNormal"/>
      </w:pPr>
    </w:p>
    <w:p w:rsidR="005728DD" w:rsidRDefault="005728DD" w:rsidP="005728DD">
      <w:pPr>
        <w:pStyle w:val="TextoNormal"/>
      </w:pPr>
      <w:r>
        <w:t>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(arts. 117 y ss. CE). No obstante, analizado en su 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CGPJ, y con “capacidad de liderazg</w:t>
      </w:r>
      <w:r w:rsidRPr="005728DD">
        <w:rPr>
          <w:i/>
        </w:rPr>
        <w:t>o y auctor</w:t>
      </w:r>
      <w:r>
        <w:t>itas”.</w:t>
      </w:r>
    </w:p>
    <w:p w:rsidR="005728DD" w:rsidRDefault="005728DD" w:rsidP="005728DD">
      <w:pPr>
        <w:pStyle w:val="TextoNormal"/>
      </w:pPr>
    </w:p>
    <w:p w:rsidR="005728DD" w:rsidRDefault="005728DD" w:rsidP="005728DD">
      <w:pPr>
        <w:pStyle w:val="TextoNormal"/>
      </w:pPr>
      <w:r>
        <w:t>En cualquier caso, no corresponde a este tribunal hacer una valoración política sobre ese mensaje. En este apartado de la demanda solo se trata de valorar si su contenido permite descartar, por sí mismo, la imparcialidad de un magistrado. Y la respuesta solo puede ser negativa.</w:t>
      </w:r>
    </w:p>
    <w:p w:rsidR="005728DD" w:rsidRDefault="005728DD" w:rsidP="005728DD">
      <w:pPr>
        <w:pStyle w:val="TextoNormal"/>
      </w:pPr>
    </w:p>
    <w:p w:rsidR="005728DD" w:rsidRDefault="005728DD" w:rsidP="005728DD">
      <w:pPr>
        <w:pStyle w:val="TextoNormal"/>
      </w:pPr>
      <w:r>
        <w:t>El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005728DD" w:rsidRDefault="005728DD" w:rsidP="005728DD">
      <w:pPr>
        <w:pStyle w:val="TextoNormal"/>
      </w:pPr>
    </w:p>
    <w:p w:rsidR="005728DD" w:rsidRDefault="005728DD" w:rsidP="005728DD">
      <w:pPr>
        <w:pStyle w:val="TextoNormal"/>
      </w:pPr>
      <w:r>
        <w:t>“Las noticias divulgadas en los últimos días acerca de mi hipotética designación como presidente del Tribunal Supremo y del Consejo General del Poder Judicial, me obligan a hacer las siguientes precisiones:</w:t>
      </w:r>
    </w:p>
    <w:p w:rsidR="005728DD" w:rsidRDefault="005728DD" w:rsidP="005728DD">
      <w:pPr>
        <w:pStyle w:val="TextoNormal"/>
      </w:pPr>
    </w:p>
    <w:p w:rsidR="005728DD" w:rsidRDefault="005728DD" w:rsidP="005728DD">
      <w:pPr>
        <w:pStyle w:val="TextoNormal"/>
      </w:pPr>
      <w:r>
        <w:t>1. Jamás he concebido el ejercicio de la función jurisdiccional como un instrumento al servicio de una u otra opción política para controlar el desenlace de un proceso penal.</w:t>
      </w:r>
    </w:p>
    <w:p w:rsidR="005728DD" w:rsidRDefault="005728DD" w:rsidP="005728DD">
      <w:pPr>
        <w:pStyle w:val="TextoNormal"/>
      </w:pPr>
    </w:p>
    <w:p w:rsidR="005728DD" w:rsidRDefault="005728DD" w:rsidP="005728DD">
      <w:pPr>
        <w:pStyle w:val="TextoNormal"/>
      </w:pPr>
      <w:r>
        <w:t>2. Mi trayectoria como magistrado ha estado siempre presidida por la independencia como presupuesto de legitimidad de cualquier decisión jurisdiccional.</w:t>
      </w:r>
    </w:p>
    <w:p w:rsidR="005728DD" w:rsidRDefault="005728DD" w:rsidP="005728DD">
      <w:pPr>
        <w:pStyle w:val="TextoNormal"/>
      </w:pPr>
    </w:p>
    <w:p w:rsidR="005728DD" w:rsidRDefault="005728DD" w:rsidP="005728DD">
      <w:pPr>
        <w:pStyle w:val="TextoNormal"/>
      </w:pPr>
      <w:r>
        <w:t>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005728DD" w:rsidRDefault="005728DD" w:rsidP="005728DD">
      <w:pPr>
        <w:pStyle w:val="TextoNormal"/>
      </w:pPr>
    </w:p>
    <w:p w:rsidR="005728DD" w:rsidRDefault="005728DD" w:rsidP="005728DD">
      <w:pPr>
        <w:pStyle w:val="TextoNormal"/>
      </w:pPr>
      <w:r>
        <w:t>4. Por todo ello, anticipo públicamente mi decidida voluntad de no ser incluido, para el caso en que así fuera considerado, entre los candidatos al puesto de presidente del Tribunal Supremo y del Consejo General del Poder Judicial”.</w:t>
      </w:r>
    </w:p>
    <w:p w:rsidR="005728DD" w:rsidRDefault="005728DD" w:rsidP="005728DD">
      <w:pPr>
        <w:pStyle w:val="TextoNormal"/>
      </w:pPr>
    </w:p>
    <w:p w:rsidR="005728DD" w:rsidRDefault="005728DD" w:rsidP="005728DD">
      <w:pPr>
        <w:pStyle w:val="TextoNormal"/>
      </w:pPr>
      <w:r>
        <w:t>Como se puede ver, en ese comunicado no solo se negaba toda participación en aquella supuesta estrategia de control de una sala de Justicia al servicio de un partido político, sino que se descartaba de manera firme y decidida de cualquier postulación para el cargo al que se aludía (presidente del Tribunal Supremo y del Consejo General del Poder Judicial).</w:t>
      </w:r>
    </w:p>
    <w:p w:rsidR="005728DD" w:rsidRDefault="005728DD" w:rsidP="005728DD">
      <w:pPr>
        <w:pStyle w:val="TextoNormal"/>
      </w:pPr>
    </w:p>
    <w:p w:rsidR="005728DD" w:rsidRDefault="005728DD" w:rsidP="005728DD">
      <w:pPr>
        <w:pStyle w:val="TextoNormal"/>
      </w:pPr>
      <w:r>
        <w:t>Sin embargo, el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005728DD" w:rsidRDefault="005728DD" w:rsidP="005728DD">
      <w:pPr>
        <w:pStyle w:val="TextoNormal"/>
      </w:pPr>
    </w:p>
    <w:p w:rsidR="005728DD" w:rsidRDefault="005728DD" w:rsidP="005728DD">
      <w:pPr>
        <w:pStyle w:val="TextoNormal"/>
      </w:pPr>
      <w:r>
        <w:t>Por lo expuesto, el motivo no puede prosperar.</w:t>
      </w:r>
    </w:p>
    <w:p w:rsidR="005728DD" w:rsidRDefault="005728DD" w:rsidP="005728DD">
      <w:pPr>
        <w:pStyle w:val="TextoNormal"/>
      </w:pPr>
    </w:p>
    <w:p w:rsidR="005728DD" w:rsidRDefault="005728DD" w:rsidP="005728DD">
      <w:pPr>
        <w:pStyle w:val="TextoNormal"/>
      </w:pPr>
      <w:r>
        <w:t>6</w:t>
      </w:r>
      <w:r w:rsidRPr="005728DD">
        <w:rPr>
          <w:i/>
        </w:rPr>
        <w:t>.7. Sobre el rol inquisitivo que se atribuye al presidente de la sala de enjuiciami</w:t>
      </w:r>
      <w:r>
        <w:t>ento.</w:t>
      </w:r>
    </w:p>
    <w:p w:rsidR="005728DD" w:rsidRDefault="005728DD" w:rsidP="005728DD">
      <w:pPr>
        <w:pStyle w:val="TextoNormal"/>
      </w:pPr>
    </w:p>
    <w:p w:rsidR="005728DD" w:rsidRDefault="005728DD" w:rsidP="005728DD">
      <w:pPr>
        <w:pStyle w:val="TextoNormal"/>
      </w:pPr>
      <w:r>
        <w:t>6.7.1</w:t>
      </w:r>
      <w:r w:rsidRPr="005728DD">
        <w:rPr>
          <w:i/>
        </w:rPr>
        <w:t>. Posiciones de las part</w:t>
      </w:r>
      <w:r>
        <w:t>es.</w:t>
      </w:r>
    </w:p>
    <w:p w:rsidR="005728DD" w:rsidRDefault="005728DD" w:rsidP="005728DD">
      <w:pPr>
        <w:pStyle w:val="TextoNormal"/>
      </w:pPr>
    </w:p>
    <w:p w:rsidR="005728DD" w:rsidRDefault="005728DD" w:rsidP="005728DD">
      <w:pPr>
        <w:pStyle w:val="TextoNormal"/>
      </w:pPr>
      <w:r>
        <w:t>La última alegación sobre la vulneración del derecho a un juez imparcial se refiere a lo sucedido en la sesión de la vista oral celebrada el día 14 de marzo de 2019, en el interrogatorio como testigo del mayor del cuerpo de los Mossos d’Esquadra, don Josep Lluis Trapero. Según se recoge en la demanda, este testigo había sido propuesto por la representación de la acusación popular ejercida por el partido político Vox. Esta acusación no había formulado pregunta alguna sobre una reunión de la junta de seguridad que tuvo lugar el 28 de septiembre de 2017. Cuando el Ministerio Fiscal, en su turno de interrogatorio, formuló una pregunta sobre el motivo y la finalidad de esa reunión, el presidente de la sala de enjuiciamiento, a instancias de las defensas, rechazó la pregunta siguiendo el criterio de que el testigo solo podía ser interrogado sobre los hechos establecidos por la parte que lo hubiera propuesto. Sin embargo, terminado el interrogatorio del testigo, la Sala formuló la pregunta que había sido denegada previamente, al amparo de lo dispuesto en el art. 708 LECrim.</w:t>
      </w:r>
    </w:p>
    <w:p w:rsidR="005728DD" w:rsidRDefault="005728DD" w:rsidP="005728DD">
      <w:pPr>
        <w:pStyle w:val="TextoNormal"/>
      </w:pPr>
    </w:p>
    <w:p w:rsidR="005728DD" w:rsidRDefault="005728DD" w:rsidP="005728DD">
      <w:pPr>
        <w:pStyle w:val="TextoNormal"/>
      </w:pPr>
      <w:r>
        <w:t xml:space="preserve">Según la demanda, el tribunal no solo incurrió en una incoherencia, sino que asumió una función acusatoria, mediante la introducción de un hecho nuevo en el juicio, con la consiguiente merma de su apariencia de imparcialidad. Prueba de ello es que la sala dio traslado a las defensas para poder repreguntar al testigo, en un trámite no previsto en la LECrim para </w:t>
      </w:r>
      <w:r>
        <w:lastRenderedPageBreak/>
        <w:t>estos casos, “y que supone aceptar una insólita situación de contradicción entre el interrogatorio de la Presidencia y las defensas”.</w:t>
      </w:r>
    </w:p>
    <w:p w:rsidR="005728DD" w:rsidRDefault="005728DD" w:rsidP="005728DD">
      <w:pPr>
        <w:pStyle w:val="TextoNormal"/>
      </w:pPr>
    </w:p>
    <w:p w:rsidR="005728DD" w:rsidRDefault="005728DD" w:rsidP="005728DD">
      <w:pPr>
        <w:pStyle w:val="TextoNormal"/>
      </w:pPr>
      <w:r>
        <w:t>Esta cuestión fue denunciada por la defensa del aquí recurrente en su escrito de conclusiones definitivas, desde la perspectiva invocada del principio de igualdad de armas, aunque con el consiguiente menoscabo de la imparcialidad del tribunal, obteniendo una amplia respuesta en la sentencia ahora impugnada.</w:t>
      </w:r>
    </w:p>
    <w:p w:rsidR="005728DD" w:rsidRDefault="005728DD" w:rsidP="005728DD">
      <w:pPr>
        <w:pStyle w:val="TextoNormal"/>
      </w:pPr>
    </w:p>
    <w:p w:rsidR="005728DD" w:rsidRDefault="005728DD" w:rsidP="005728DD">
      <w:pPr>
        <w:pStyle w:val="TextoNormal"/>
      </w:pPr>
      <w:r>
        <w:t>La posición del Ministerio Fiscal sobre este motivo de amparo es coincidente con las anteriores, interesando su desestimación, ya que la pregunta se circunscribió a los hechos objeto de la causa, sin introducir elemento alguno que fuera ajeno al debate. Además, el resto de las partes no formuló protesta alguna y se dio a las defensas la oportunidad de repreguntar, respetándose el principio de contradicción. En el mismo sentido se pronuncia el abogado del Estado, que añade el dato de que ni la pregunta ni la respuesta pudo tener relevancia alguna para el recurrente, pues este no estaba presente en la citada reunión ni se trae a colación en su juicio de autoría. Por su parte, el partido político Vox argumenta en este punto en el mismo sentido que el Ministerio Fiscal.</w:t>
      </w:r>
    </w:p>
    <w:p w:rsidR="005728DD" w:rsidRDefault="005728DD" w:rsidP="005728DD">
      <w:pPr>
        <w:pStyle w:val="TextoNormal"/>
      </w:pPr>
    </w:p>
    <w:p w:rsidR="005728DD" w:rsidRDefault="005728DD" w:rsidP="005728DD">
      <w:pPr>
        <w:pStyle w:val="TextoNormal"/>
      </w:pPr>
      <w:r>
        <w:t>6.7.2</w:t>
      </w:r>
      <w:r w:rsidRPr="005728DD">
        <w:rPr>
          <w:i/>
        </w:rPr>
        <w:t>. Respuesta del órgano judici</w:t>
      </w:r>
      <w:r>
        <w:t>al.</w:t>
      </w:r>
    </w:p>
    <w:p w:rsidR="005728DD" w:rsidRDefault="005728DD" w:rsidP="005728DD">
      <w:pPr>
        <w:pStyle w:val="TextoNormal"/>
      </w:pPr>
    </w:p>
    <w:p w:rsidR="005728DD" w:rsidRDefault="005728DD" w:rsidP="005728DD">
      <w:pPr>
        <w:pStyle w:val="TextoNormal"/>
      </w:pPr>
      <w:r>
        <w:t xml:space="preserve">La sala de enjuiciamiento rechaza esta pretensión en el fundamento de Derecho A), apartado 16.3.5. Tras hacer una reseña del art. 708 LECrim, y de las circunstancias en que se desarrolló el interrogatorio,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27 de octubre, en la que se destacó la existencia de facultades similares en los sistemas procesales de nuestro entorno (Alemania, Italia, Francia y Portugal). En la más reciente STS 205/2015, de 10 de marzo, se distinguía entre imparcialidad y absoluta pasividad, y se contemplaba expresamente el supuesto de “juicios largos con algunas dosis de lógica tensión”, en las que las facultades de dirección del acto obligan a sostener una posición </w:t>
      </w:r>
      <w:r w:rsidRPr="005728DD">
        <w:rPr>
          <w:i/>
        </w:rPr>
        <w:t>pro activa</w:t>
      </w:r>
      <w:r>
        <w:t xml:space="preserve">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desbordamiento tal de la función de la Presidencia que ha degenerado en parcialidad, no basta cualquier presunto exceso o desacierto”.</w:t>
      </w:r>
    </w:p>
    <w:p w:rsidR="005728DD" w:rsidRDefault="005728DD" w:rsidP="005728DD">
      <w:pPr>
        <w:pStyle w:val="TextoNormal"/>
      </w:pPr>
    </w:p>
    <w:p w:rsidR="005728DD" w:rsidRDefault="005728DD" w:rsidP="005728DD">
      <w:pPr>
        <w:pStyle w:val="TextoNormal"/>
      </w:pPr>
      <w:r>
        <w:t xml:space="preserve">Para la sala de enjuiciamiento, la doctrina del Tribunal Supremo está en línea con los pronunciamientos de este tribunal, entre los que se destacan y extractan parcialmente las </w:t>
      </w:r>
      <w:r>
        <w:lastRenderedPageBreak/>
        <w:t>SSTC 229/2003, de 18 de diciembre, y 334/2005, de 20 de diciembre. Lo relevante es que las preguntas del órgano enjuiciador versen sobre los hechos objeto de la acusación, a los efectos de alcanzar el grado preciso de convicción para la adopción de una decisión. No pueden ser manifestación de una actividad inquisitiva encubierta, sustituyendo a la acusación, ni una toma de partido a favor de las tesis de esta. Tampoco generan indefensión si la parte pudo formular alegaciones al respecto en el acto de la vista.</w:t>
      </w:r>
    </w:p>
    <w:p w:rsidR="005728DD" w:rsidRDefault="005728DD" w:rsidP="005728DD">
      <w:pPr>
        <w:pStyle w:val="TextoNormal"/>
      </w:pPr>
    </w:p>
    <w:p w:rsidR="005728DD" w:rsidRDefault="005728DD" w:rsidP="005728DD">
      <w:pPr>
        <w:pStyle w:val="TextoNormal"/>
      </w:pPr>
      <w:r>
        <w:t>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005728DD" w:rsidRDefault="005728DD" w:rsidP="005728DD">
      <w:pPr>
        <w:pStyle w:val="TextoNormal"/>
      </w:pPr>
    </w:p>
    <w:p w:rsidR="005728DD" w:rsidRDefault="005728DD" w:rsidP="005728DD">
      <w:pPr>
        <w:pStyle w:val="TextoNormal"/>
      </w:pPr>
      <w:r>
        <w:t>6.7.3</w:t>
      </w:r>
      <w:r w:rsidRPr="005728DD">
        <w:rPr>
          <w:i/>
        </w:rPr>
        <w:t>. Resolución de la que</w:t>
      </w:r>
      <w:r>
        <w:t>ja.</w:t>
      </w:r>
    </w:p>
    <w:p w:rsidR="005728DD" w:rsidRDefault="005728DD" w:rsidP="005728DD">
      <w:pPr>
        <w:pStyle w:val="TextoNormal"/>
      </w:pPr>
    </w:p>
    <w:p w:rsidR="005728DD" w:rsidRDefault="005728DD" w:rsidP="005728DD">
      <w:pPr>
        <w:pStyle w:val="TextoNormal"/>
      </w:pPr>
      <w:r>
        <w:t>a) La última invocación de la vulneración del derecho al juez imparcial no se refiere a una circunstancia personal u orgánica, sino a una lesión de carácter funcional, es decir, causada en el ejercicio estrictamente jurisdiccional. El recurrente considera que el presidente de la sala de enjuiciamiento asumió un “rol inquisitivo” durante el interrogatorio del señor Trapero, prestado en la sesión del juicio oral celebrada el 14 de marzo de 2019, al formularle una pregunta que versaba sobre el motivo, la finalidad y el contenido de una reunión celebrada el 28 de septiembre de 2017.</w:t>
      </w:r>
    </w:p>
    <w:p w:rsidR="005728DD" w:rsidRDefault="005728DD" w:rsidP="005728DD">
      <w:pPr>
        <w:pStyle w:val="TextoNormal"/>
      </w:pPr>
    </w:p>
    <w:p w:rsidR="005728DD" w:rsidRDefault="005728DD" w:rsidP="005728DD">
      <w:pPr>
        <w:pStyle w:val="TextoNormal"/>
      </w:pPr>
      <w:r>
        <w:t>La sentencia describe brevemente las circunstancias en que se desarrolló ese interrogatorio. El “testigo señor Trapero había sido propuesto por la acusación popular y por las defensas de los señores Sànchez, Cuixart y Forn. Tras finalizar el interrogatorio de la acusación popular y después de preguntar aquello que estimó conveniente, el Ministerio Fiscal formuló al testigo una pregunta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005728DD" w:rsidRDefault="005728DD" w:rsidP="005728DD">
      <w:pPr>
        <w:pStyle w:val="TextoNormal"/>
      </w:pPr>
    </w:p>
    <w:p w:rsidR="005728DD" w:rsidRDefault="005728DD" w:rsidP="005728DD">
      <w:pPr>
        <w:pStyle w:val="TextoNormal"/>
      </w:pPr>
      <w:r>
        <w:t>Expuesto lo anterior, la sentencia ahora impugnada desarrolla su argumentación para denegar esta pretensión. Señala, a tal efecto, lo siguiente:</w:t>
      </w:r>
    </w:p>
    <w:p w:rsidR="005728DD" w:rsidRDefault="005728DD" w:rsidP="005728DD">
      <w:pPr>
        <w:pStyle w:val="TextoNormal"/>
      </w:pPr>
    </w:p>
    <w:p w:rsidR="005728DD" w:rsidRDefault="005728DD" w:rsidP="005728DD">
      <w:pPr>
        <w:pStyle w:val="TextoNormal"/>
      </w:pPr>
      <w:r>
        <w:t xml:space="preserve">“[L]a pregunta formulada por el presidente al testigo —señor Trapero— no introdujo elemento alguno que no hubiera sido objeto de debate cruzado entre las partes. El testigo había sido ampliamente interrogado sobre la reunión de la junta de seguridad celebrada el día 28 de septiembre de 2017. Al término del interrogatorio de las partes, conforme consta en el soporte digital en el que fue grabada la declaración del señor Trapero, el presidente </w:t>
      </w:r>
      <w:r>
        <w:lastRenderedPageBreak/>
        <w:t>procedió a dar lectura al párrafo segundo del art. 708 de la LECrim y formuló —previa deliberación del Tribunal que así lo había acordado— la siguiente pregunta:</w:t>
      </w:r>
    </w:p>
    <w:p w:rsidR="005728DD" w:rsidRDefault="005728DD" w:rsidP="005728DD">
      <w:pPr>
        <w:pStyle w:val="TextoNormal"/>
      </w:pPr>
    </w:p>
    <w:p w:rsidR="005728DD" w:rsidRDefault="005728DD" w:rsidP="005728DD">
      <w:pPr>
        <w:pStyle w:val="TextoNormal"/>
      </w:pPr>
      <w:r>
        <w:t>‘[…] usted ha declarado sobre una reunión que promueve, en la que están responsables políticos […] y de la fuerza que usted dirigía. Se habló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005728DD" w:rsidRDefault="005728DD" w:rsidP="005728DD">
      <w:pPr>
        <w:pStyle w:val="TextoNormal"/>
      </w:pPr>
    </w:p>
    <w:p w:rsidR="005728DD" w:rsidRDefault="005728DD" w:rsidP="005728DD">
      <w:pPr>
        <w:pStyle w:val="TextoNormal"/>
      </w:pPr>
      <w:r>
        <w:t>Una vez obtenida la respuesta del señor Trapero, la presidencia del tribunal ofreció a los letrados de las defensas la oportunidad de repreguntar lo que a su derecho conviniera. La 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pregunta. Y el letrado del señor Forn —que tampoco hizo constar ninguna protesta— dijo textualmente: ‘[…] creo que ya se lo había preguntado, pero sin todo este antecedente. Una vez que ha explicado todo esto, la pregunta sería […]’.</w:t>
      </w:r>
    </w:p>
    <w:p w:rsidR="005728DD" w:rsidRDefault="005728DD" w:rsidP="005728DD">
      <w:pPr>
        <w:pStyle w:val="TextoNormal"/>
      </w:pPr>
    </w:p>
    <w:p w:rsidR="005728DD" w:rsidRDefault="005728DD" w:rsidP="005728DD">
      <w:pPr>
        <w:pStyle w:val="TextoNormal"/>
      </w:pPr>
      <w:r>
        <w:t>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005728DD" w:rsidRDefault="005728DD" w:rsidP="005728DD">
      <w:pPr>
        <w:pStyle w:val="TextoNormal"/>
      </w:pPr>
    </w:p>
    <w:p w:rsidR="005728DD" w:rsidRDefault="005728DD" w:rsidP="005728DD">
      <w:pPr>
        <w:pStyle w:val="TextoNormal"/>
      </w:pPr>
      <w: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w:t>
      </w:r>
      <w:r w:rsidRPr="005728DD">
        <w:rPr>
          <w:i/>
        </w:rPr>
        <w:t>a priori</w:t>
      </w:r>
      <w:r>
        <w:t xml:space="preserve">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w:t>
      </w:r>
      <w:r w:rsidRPr="005728DD">
        <w:rPr>
          <w:i/>
        </w:rPr>
        <w:t>ex ante</w:t>
      </w:r>
      <w:r>
        <w:t xml:space="preserv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005728DD" w:rsidRDefault="005728DD" w:rsidP="005728DD">
      <w:pPr>
        <w:pStyle w:val="TextoNormal"/>
      </w:pPr>
    </w:p>
    <w:p w:rsidR="005728DD" w:rsidRDefault="005728DD" w:rsidP="005728DD">
      <w:pPr>
        <w:pStyle w:val="TextoNormal"/>
      </w:pPr>
      <w:r>
        <w:t>b) El análisis y resolución de este motivo de amparo requiere algunas consideraciones previas:</w:t>
      </w:r>
    </w:p>
    <w:p w:rsidR="005728DD" w:rsidRDefault="005728DD" w:rsidP="005728DD">
      <w:pPr>
        <w:pStyle w:val="TextoNormal"/>
      </w:pPr>
    </w:p>
    <w:p w:rsidR="005728DD" w:rsidRDefault="005728DD" w:rsidP="005728DD">
      <w:pPr>
        <w:pStyle w:val="TextoNormal"/>
      </w:pPr>
      <w:r>
        <w:lastRenderedPageBreak/>
        <w:t>(i) La primera se refiere al objeto de la pregunta controvertida formulada por el presidente de la sala de enjuiciamiento.</w:t>
      </w:r>
    </w:p>
    <w:p w:rsidR="005728DD" w:rsidRDefault="005728DD" w:rsidP="005728DD">
      <w:pPr>
        <w:pStyle w:val="TextoNormal"/>
      </w:pPr>
    </w:p>
    <w:p w:rsidR="005728DD" w:rsidRDefault="005728DD" w:rsidP="005728DD">
      <w:pPr>
        <w:pStyle w:val="TextoNormal"/>
      </w:pPr>
      <w:r>
        <w:t>Los términos de la demanda, e incluso de la propia sentencia, parecen dar a entender que la pregunta venía referida a una reunión de la junta de seguridad de la Comunidad Autónoma de Cataluña. Sin embargo, esa reunión tuvo lugar el día 27 de septiembre de 2017, mientras que el visionado completo de la declaración del Sr. Trapero pone de manifiesto que la pregunta estaba referida a otra reunión que se mantuvo el día 28 de septiembre de 2017 entre los mandos del cuerpo de Mossos d’Esquadra y los procesados señores Puigdemont, Junqueras y Forn.</w:t>
      </w:r>
    </w:p>
    <w:p w:rsidR="005728DD" w:rsidRDefault="005728DD" w:rsidP="005728DD">
      <w:pPr>
        <w:pStyle w:val="TextoNormal"/>
      </w:pPr>
    </w:p>
    <w:p w:rsidR="005728DD" w:rsidRDefault="005728DD" w:rsidP="005728DD">
      <w:pPr>
        <w:pStyle w:val="TextoNormal"/>
      </w:pPr>
      <w:r>
        <w:t>(ii) Sobre la interpretación que la sala de enjuiciamiento mantuvo en relación con uno de los preceptos que regulan el interrogatorio de los testigos.</w:t>
      </w:r>
    </w:p>
    <w:p w:rsidR="005728DD" w:rsidRDefault="005728DD" w:rsidP="005728DD">
      <w:pPr>
        <w:pStyle w:val="TextoNormal"/>
      </w:pPr>
    </w:p>
    <w:p w:rsidR="005728DD" w:rsidRDefault="005728DD" w:rsidP="005728DD">
      <w:pPr>
        <w:pStyle w:val="TextoNormal"/>
      </w:pPr>
      <w:r>
        <w:t>En el fundamento jurídico A), apartado 16.2.2, el Tribunal Supremo expone su criterio sobre el alcance del interrogatorio de las partes, desde su entendimiento del tenor literal del párrafo primero del art. 708 LECrim. Este precepto dispone lo siguiente: “El presidente [del tribunal]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La sala de enjuiciamiento describe su criterio interpretativo de la siguiente forma:</w:t>
      </w:r>
    </w:p>
    <w:p w:rsidR="005728DD" w:rsidRDefault="005728DD" w:rsidP="005728DD">
      <w:pPr>
        <w:pStyle w:val="TextoNormal"/>
      </w:pPr>
    </w:p>
    <w:p w:rsidR="005728DD" w:rsidRDefault="005728DD" w:rsidP="005728DD">
      <w:pPr>
        <w:pStyle w:val="TextoNormal"/>
      </w:pPr>
      <w:r>
        <w:t>“La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005728DD" w:rsidRDefault="005728DD" w:rsidP="005728DD">
      <w:pPr>
        <w:pStyle w:val="TextoNormal"/>
      </w:pPr>
    </w:p>
    <w:p w:rsidR="005728DD" w:rsidRDefault="005728DD" w:rsidP="005728DD">
      <w:pPr>
        <w:pStyle w:val="TextoNormal"/>
      </w:pPr>
      <w:r>
        <w:t>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cómo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alentando así un encadenamiento dialéctico de la prueba testifical que implicaría, además de una permanente confrontación ajena al principio contradictorio, una vulneración del derecho de defensa”.</w:t>
      </w:r>
    </w:p>
    <w:p w:rsidR="005728DD" w:rsidRDefault="005728DD" w:rsidP="005728DD">
      <w:pPr>
        <w:pStyle w:val="TextoNormal"/>
      </w:pPr>
    </w:p>
    <w:p w:rsidR="005728DD" w:rsidRDefault="005728DD" w:rsidP="005728DD">
      <w:pPr>
        <w:pStyle w:val="TextoNormal"/>
      </w:pPr>
      <w:r>
        <w:t>Como se puede observar, la Sala realiza una interpretación del primer párrafo del art. 708 LECrim y, más en concreto, del juicio de pertinencia sobre las preguntas formuladas a un 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005728DD" w:rsidRDefault="005728DD" w:rsidP="005728DD">
      <w:pPr>
        <w:pStyle w:val="TextoNormal"/>
      </w:pPr>
    </w:p>
    <w:p w:rsidR="005728DD" w:rsidRDefault="005728DD" w:rsidP="005728DD">
      <w:pPr>
        <w:pStyle w:val="TextoNormal"/>
      </w:pPr>
      <w:r>
        <w:t>La interpretación ofrecida por el tribunal sentenciador no ha sido objeto de impugnación en este recurso, por lo que no procede hacer pronunciamiento alguno sobre la misma. En todo caso, se trataría de una cuestión de aplicación de la legalidad ordinaria, sobre la que este tribunal solo podría hacer un control meramente externo o de razonabilidad (STC 8/2014, de 27 de enero, FJ 3), sin ignorar que caben también otras interpretaciones alternativas, que son usuales en la práctica judicial.</w:t>
      </w:r>
    </w:p>
    <w:p w:rsidR="005728DD" w:rsidRDefault="005728DD" w:rsidP="005728DD">
      <w:pPr>
        <w:pStyle w:val="TextoNormal"/>
      </w:pPr>
    </w:p>
    <w:p w:rsidR="005728DD" w:rsidRDefault="005728DD" w:rsidP="005728DD">
      <w:pPr>
        <w:pStyle w:val="TextoNormal"/>
      </w:pPr>
      <w:r>
        <w:t>No obstante, se ha considerado necesario exponer el criterio mantenido por la sala en este punto, porque permite contextualizar debidamente las alegaciones del recurrente.</w:t>
      </w:r>
    </w:p>
    <w:p w:rsidR="005728DD" w:rsidRDefault="005728DD" w:rsidP="005728DD">
      <w:pPr>
        <w:pStyle w:val="TextoNormal"/>
      </w:pPr>
    </w:p>
    <w:p w:rsidR="005728DD" w:rsidRDefault="005728DD" w:rsidP="005728DD">
      <w:pPr>
        <w:pStyle w:val="TextoNormal"/>
      </w:pPr>
      <w:r>
        <w:t>(iii) La demanda invoca la vulneración del derecho al juez imparcial. Debe señalarse que la respuesta contenida en la sentencia impugnada es tributaria de la alegación formulada por el recurrente en su escrito de conclusiones definitivas, en el que se invocaba la vulneración del derecho a un proceso con todas las garantías, en su vertiente del principio de igualdad de armas (art. 24.2 CE).</w:t>
      </w:r>
    </w:p>
    <w:p w:rsidR="005728DD" w:rsidRDefault="005728DD" w:rsidP="005728DD">
      <w:pPr>
        <w:pStyle w:val="TextoNormal"/>
      </w:pPr>
    </w:p>
    <w:p w:rsidR="005728DD" w:rsidRDefault="005728DD" w:rsidP="005728DD">
      <w:pPr>
        <w:pStyle w:val="TextoNormal"/>
      </w:pPr>
      <w:r>
        <w:t>En este recurso, por tanto, se ha introducido una modificación del derecho fundamental alegado (derecho al juez imparcial) en comparación con la invocación formal realizada previamente en la instancia (igualdad de armas). No obstante, la identidad de los “términos en que se ha planteado el debate en vía procesal”, o de la “descripción fáctica de los datos o circunstancias de hecho”, permiten un pronunciamiento de este tribunal (STC 67/2020, de 29 de junio, FJ 2).</w:t>
      </w:r>
    </w:p>
    <w:p w:rsidR="005728DD" w:rsidRDefault="005728DD" w:rsidP="005728DD">
      <w:pPr>
        <w:pStyle w:val="TextoNormal"/>
      </w:pPr>
    </w:p>
    <w:p w:rsidR="005728DD" w:rsidRDefault="005728DD" w:rsidP="005728DD">
      <w:pPr>
        <w:pStyle w:val="TextoNormal"/>
      </w:pPr>
      <w:r>
        <w:t>(iv) Otro tanto puede decirse respecto de la ausencia de protesta alguna frente a la pregunta formulada por el tribunal.</w:t>
      </w:r>
    </w:p>
    <w:p w:rsidR="005728DD" w:rsidRDefault="005728DD" w:rsidP="005728DD">
      <w:pPr>
        <w:pStyle w:val="TextoNormal"/>
      </w:pPr>
    </w:p>
    <w:p w:rsidR="005728DD" w:rsidRDefault="005728DD" w:rsidP="005728DD">
      <w:pPr>
        <w:pStyle w:val="TextoNormal"/>
      </w:pPr>
      <w:r>
        <w:t xml:space="preserve">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w:t>
      </w:r>
      <w:r>
        <w:lastRenderedPageBreak/>
        <w:t>alegando que podía hacerlo porque el testigo también había sido propuesto por esa parte (17:38 horas). La sala así lo admitió y el resto de los intervinientes en el proceso no formuló protesta alguna. Al término del interrogatorio de las partes (18:53 horas), la sala hizo uso de lo dispuesto en el párrafo segundo del art. 708 LECrim, y formuló la pregunta ahora impugnada. Nadie elevó protesta alguna.</w:t>
      </w:r>
    </w:p>
    <w:p w:rsidR="005728DD" w:rsidRDefault="005728DD" w:rsidP="005728DD">
      <w:pPr>
        <w:pStyle w:val="TextoNormal"/>
      </w:pPr>
    </w:p>
    <w:p w:rsidR="005728DD" w:rsidRDefault="005728DD" w:rsidP="005728DD">
      <w:pPr>
        <w:pStyle w:val="TextoNormal"/>
      </w:pPr>
      <w:r>
        <w:t>Un entendimiento garantista de los presupuestos procesales del recurso de amparo conducirá a un pronunciamiento sobre el fondo de la vulneración alegada, prescindiendo de objeciones formalistas sobre la falta de invocación previa de la queja [art. 44.1 c) LOTC], derivada de la ausencia de protesta en el acto de la vista, toda vez que la lesión fue planteada en el escrito de conclusiones definitivas; es decir, al final del acto del juicio oral y, como hemos visto, obtuvo una respuesta en la sentencia impugnada.</w:t>
      </w:r>
    </w:p>
    <w:p w:rsidR="005728DD" w:rsidRDefault="005728DD" w:rsidP="005728DD">
      <w:pPr>
        <w:pStyle w:val="TextoNormal"/>
      </w:pPr>
    </w:p>
    <w:p w:rsidR="005728DD" w:rsidRDefault="005728DD" w:rsidP="005728DD">
      <w:pPr>
        <w:pStyle w:val="TextoNormal"/>
      </w:pPr>
      <w:r>
        <w:t>(v) La demanda se plantea en términos que permiten advertir cierto solapamiento entre los derechos fundamentales invocados.</w:t>
      </w:r>
    </w:p>
    <w:p w:rsidR="005728DD" w:rsidRDefault="005728DD" w:rsidP="005728DD">
      <w:pPr>
        <w:pStyle w:val="TextoNormal"/>
      </w:pPr>
    </w:p>
    <w:p w:rsidR="005728DD" w:rsidRDefault="005728DD" w:rsidP="005728DD">
      <w:pPr>
        <w:pStyle w:val="TextoNormal"/>
      </w:pPr>
      <w:r>
        <w:t>La expresión “rol inquisitivo” no puede entenderse referida al principio inquisitivo que evoca el “viejo proceso penal […] regido por el sistema de prueba tasada en el que el imputado era considerado como objeto del proceso penal, [no como] sujeto” (STC 142/2009, de 15 de junio, FJ 3). En realidad, la expresión empleada en la demanda pretende invocar una posible vulneración del principio acusatorio. Este principio se encuentra integrado en el derecho a un proceso con todas las garantías y se conecta con el derecho de defensa, el derecho a ser informado de la acusación y el derecho al juez imparcial, todos ellos amparados en el art. 24.2 CE.</w:t>
      </w:r>
    </w:p>
    <w:p w:rsidR="005728DD" w:rsidRDefault="005728DD" w:rsidP="005728DD">
      <w:pPr>
        <w:pStyle w:val="TextoNormal"/>
      </w:pPr>
    </w:p>
    <w:p w:rsidR="005728DD" w:rsidRDefault="005728DD" w:rsidP="005728DD">
      <w:pPr>
        <w:pStyle w:val="TextoNormal"/>
      </w:pPr>
      <w:r>
        <w:t>En efecto, el principio acusatorio se manifiesta, entre otros aspectos, en la necesaria correlación entre la acusación y la resolución del procedimiento. De esta forma, por un lado, la persona a la que se imputa un delito debe tener conocimiento de los hechos objeto de la acusación, a fin de poder ejercer su derecho de defensa; y por otro, el órgano de enjuiciamiento no puede introducir hechos nuevos que no hayan sido aportados por la acusación, es decir, no puede adoptar la doble función de juez y parte o llevar a cabo una “actividad inquisitiva encubierta” (en palabras de la STC 130/2002, de 3 de junio, FJ 3), porque entonces se estaría vulnerando también el derecho al juez imparcial (por todas, STC 1/2020, de 14 de enero, FJ 7). Sin embargo, para la resolución de este motivo de amparo debe tenerse igualmente muy presente el principio de inmediación judicial.</w:t>
      </w:r>
    </w:p>
    <w:p w:rsidR="005728DD" w:rsidRDefault="005728DD" w:rsidP="005728DD">
      <w:pPr>
        <w:pStyle w:val="TextoNormal"/>
      </w:pPr>
    </w:p>
    <w:p w:rsidR="005728DD" w:rsidRDefault="005728DD" w:rsidP="005728DD">
      <w:pPr>
        <w:pStyle w:val="TextoNormal"/>
      </w:pPr>
      <w:r>
        <w:t>Como es conocido, la inmediación judicial deriva del derecho a un proceso justo o equitativo (art. 6.1 CEDH) que implica la “facultad del acusado de estar presente y ser oído personalmente” (STC 167/2002, de 18 de septiembre, FJ 10, con cita de las SSTEDH de 26 de mayo de 1988, asunt</w:t>
      </w:r>
      <w:r w:rsidRPr="005728DD">
        <w:rPr>
          <w:i/>
        </w:rPr>
        <w:t>o Ekbatani c. Suec</w:t>
      </w:r>
      <w:r>
        <w:t>ia, § 24 y 27; de 29 de octubre de 1991, asunt</w:t>
      </w:r>
      <w:r w:rsidRPr="005728DD">
        <w:rPr>
          <w:i/>
        </w:rPr>
        <w:t>o Helmers c. Suec</w:t>
      </w:r>
      <w:r>
        <w:t>ia, § 31 y 32; de 27 de junio de 2000, asunt</w:t>
      </w:r>
      <w:r w:rsidRPr="005728DD">
        <w:rPr>
          <w:i/>
        </w:rPr>
        <w:t>o Constantinescu c. Ruman</w:t>
      </w:r>
      <w:r>
        <w:t>ía, § 53, doctrina que se consolida, con matices, en la STC 170/2002, de 30 de septiembre, FJ 15).</w:t>
      </w:r>
    </w:p>
    <w:p w:rsidR="005728DD" w:rsidRDefault="005728DD" w:rsidP="005728DD">
      <w:pPr>
        <w:pStyle w:val="TextoNormal"/>
      </w:pPr>
    </w:p>
    <w:p w:rsidR="005728DD" w:rsidRDefault="005728DD" w:rsidP="005728DD">
      <w:pPr>
        <w:pStyle w:val="TextoNormal"/>
      </w:pPr>
      <w:r>
        <w:t>A su vez, la inmediación judicial también aparece conectada, de forma indisoluble, con el principio de libre valoración de la prueba que, en el ámbito del proceso penal, figura descrito en el art. 741 LECrim, cuando establece que el tribunal, “apreciando según su con</w:t>
      </w:r>
      <w:r>
        <w:lastRenderedPageBreak/>
        <w:t>ciencia las pruebas practicadas en el juicio, las razones expuestas por la acusación y la defensa y lo manifestado por los mismos procesados, dictará sentencia”. Para la plena vigencia de este principio es necesario que la prueba se desarrolle en el acto del juicio bajo las garantías procesales de “publicidad, oralidad, inmediación y contradicción” que, junto con el principio de igualdad de armas, se configuran como elementos estructurales del derecho a un juicio justo (STC 94/2004, de 24 de mayo, FJ 2, y la jurisprudencia allí citada).</w:t>
      </w:r>
    </w:p>
    <w:p w:rsidR="005728DD" w:rsidRDefault="005728DD" w:rsidP="005728DD">
      <w:pPr>
        <w:pStyle w:val="TextoNormal"/>
      </w:pPr>
    </w:p>
    <w:p w:rsidR="005728DD" w:rsidRDefault="005728DD" w:rsidP="005728DD">
      <w:pPr>
        <w:pStyle w:val="TextoNormal"/>
      </w:pPr>
      <w:r>
        <w:t>La publicidad del proceso —con sus inescindibles principios de oralidad, inmediación y contradicción—, es una garantía de profundas raíces democráticas, porque no solo permite que la persona sometida a juicio pueda tener acceso a todo aquello que va a ser utilizado por el tribunal para la resolución de su caso, sino que contribuye a la transparencia del sistema de Justicia generando con ello la máxima confianza de los ciudadanos en el funcionamiento del Poder Judicial, que es fuente de su legitimidad constitucional (art. 117.1 CE).</w:t>
      </w:r>
    </w:p>
    <w:p w:rsidR="005728DD" w:rsidRDefault="005728DD" w:rsidP="005728DD">
      <w:pPr>
        <w:pStyle w:val="TextoNormal"/>
      </w:pPr>
    </w:p>
    <w:p w:rsidR="005728DD" w:rsidRDefault="005728DD" w:rsidP="005728DD">
      <w:pPr>
        <w:pStyle w:val="TextoNormal"/>
      </w:pPr>
      <w:r>
        <w:t>De todo lo anterior se deduce la relevancia que tiene el cumplimiento de las normas procesales sobre la práctica de la prueba, como instrumento de garantía del derecho a un proceso justo. Así, este tribunal ha afirmado que la “estricta sujeción del juez a la ley penal sustantiva y procesal que rige sus actos y decisiones constituye la primera y más importante garantía del juicio justo”, que “otorga […]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(STC 130/2002, de 3 de junio, FJ 3).</w:t>
      </w:r>
    </w:p>
    <w:p w:rsidR="005728DD" w:rsidRDefault="005728DD" w:rsidP="005728DD">
      <w:pPr>
        <w:pStyle w:val="TextoNormal"/>
      </w:pPr>
    </w:p>
    <w:p w:rsidR="005728DD" w:rsidRDefault="005728DD" w:rsidP="005728DD">
      <w:pPr>
        <w:pStyle w:val="TextoNormal"/>
      </w:pPr>
      <w:r>
        <w:t>Sin embargo, “según doctrina reiterada de este tribunal,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(art. 24.2 CE; STC 188/2000, FJ 2)” (STC 130/2002, de 3 de junio, FJ 4).</w:t>
      </w:r>
    </w:p>
    <w:p w:rsidR="005728DD" w:rsidRDefault="005728DD" w:rsidP="005728DD">
      <w:pPr>
        <w:pStyle w:val="TextoNormal"/>
      </w:pPr>
    </w:p>
    <w:p w:rsidR="005728DD" w:rsidRDefault="005728DD" w:rsidP="005728DD">
      <w:pPr>
        <w:pStyle w:val="TextoNormal"/>
      </w:pPr>
      <w:r>
        <w:t>c) La contextualización de los elementos fácticos y jurídicos concurrentes permiten abordar, ahora sí, la cuestión de fondo planteada.</w:t>
      </w:r>
    </w:p>
    <w:p w:rsidR="005728DD" w:rsidRDefault="005728DD" w:rsidP="005728DD">
      <w:pPr>
        <w:pStyle w:val="TextoNormal"/>
      </w:pPr>
    </w:p>
    <w:p w:rsidR="005728DD" w:rsidRDefault="005728DD" w:rsidP="005728DD">
      <w:pPr>
        <w:pStyle w:val="TextoNormal"/>
      </w:pPr>
      <w:r>
        <w:lastRenderedPageBreak/>
        <w:t>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005728DD" w:rsidRDefault="005728DD" w:rsidP="005728DD">
      <w:pPr>
        <w:pStyle w:val="TextoNormal"/>
      </w:pPr>
    </w:p>
    <w:p w:rsidR="005728DD" w:rsidRDefault="005728DD" w:rsidP="005728DD">
      <w:pPr>
        <w:pStyle w:val="TextoNormal"/>
      </w:pPr>
      <w:r>
        <w:t>Esta facultad debe ser considerada como una herramienta necesaria para el ejercicio de la inmediación judicial que, como se ha expuesto, se configura como un presupuesto del principio de libre valoración de la prueba, integrándose en el derecho a un proceso público con todas las garantías reconocidas en el art. 24.2 CE.</w:t>
      </w:r>
    </w:p>
    <w:p w:rsidR="005728DD" w:rsidRDefault="005728DD" w:rsidP="005728DD">
      <w:pPr>
        <w:pStyle w:val="TextoNormal"/>
      </w:pPr>
    </w:p>
    <w:p w:rsidR="005728DD" w:rsidRDefault="005728DD" w:rsidP="005728DD">
      <w:pPr>
        <w:pStyle w:val="TextoNormal"/>
      </w:pPr>
      <w:r>
        <w:t>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005728DD" w:rsidRDefault="005728DD" w:rsidP="005728DD">
      <w:pPr>
        <w:pStyle w:val="TextoNormal"/>
      </w:pPr>
    </w:p>
    <w:p w:rsidR="005728DD" w:rsidRDefault="005728DD" w:rsidP="005728DD">
      <w:pPr>
        <w:pStyle w:val="TextoNormal"/>
      </w:pPr>
      <w:r>
        <w:t>Esta facultad no puede confundirse con la función estricta de valoración de la prueba. La valoración es una actividad jurisdiccional posterior, que presupone necesariamente que el tribunal haya percibido con claridad lo ocurrido en el juicio oral. Nótese que el art. 708, en su párrafo segundo, de la Ley de enjuiciamiento criminal permite depurar “los hechos”, no el “testimonio”. El testimonio será luego objeto de valoración (o depuración, en cuanto a su validez, credibilidad y suficiencia para acreditar o no los hechos enjuiciados) conforme a lo dispuesto en el art. 741 LECrim.</w:t>
      </w:r>
    </w:p>
    <w:p w:rsidR="005728DD" w:rsidRDefault="005728DD" w:rsidP="005728DD">
      <w:pPr>
        <w:pStyle w:val="TextoNormal"/>
      </w:pPr>
    </w:p>
    <w:p w:rsidR="005728DD" w:rsidRDefault="005728DD" w:rsidP="005728DD">
      <w:pPr>
        <w:pStyle w:val="TextoNormal"/>
      </w:pPr>
      <w:r>
        <w:t>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005728DD" w:rsidRDefault="005728DD" w:rsidP="005728DD">
      <w:pPr>
        <w:pStyle w:val="TextoNormal"/>
      </w:pPr>
    </w:p>
    <w:p w:rsidR="005728DD" w:rsidRDefault="005728DD" w:rsidP="005728DD">
      <w:pPr>
        <w:pStyle w:val="TextoNormal"/>
      </w:pPr>
      <w:r>
        <w:t xml:space="preserve">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w:t>
      </w:r>
      <w:r>
        <w:lastRenderedPageBreak/>
        <w:t>abogado del Estado, y en la página 20 del escrito de la acusación popular ejercida por el partido político Vox.</w:t>
      </w:r>
    </w:p>
    <w:p w:rsidR="005728DD" w:rsidRDefault="005728DD" w:rsidP="005728DD">
      <w:pPr>
        <w:pStyle w:val="TextoNormal"/>
      </w:pPr>
    </w:p>
    <w:p w:rsidR="005728DD" w:rsidRDefault="005728DD" w:rsidP="005728DD">
      <w:pPr>
        <w:pStyle w:val="TextoNormal"/>
      </w:pPr>
      <w:r>
        <w:t>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005728DD" w:rsidRDefault="005728DD" w:rsidP="005728DD">
      <w:pPr>
        <w:pStyle w:val="TextoNormal"/>
      </w:pPr>
    </w:p>
    <w:p w:rsidR="005728DD" w:rsidRDefault="005728DD" w:rsidP="005728DD">
      <w:pPr>
        <w:pStyle w:val="TextoNormal"/>
      </w:pPr>
      <w:r>
        <w:t>Una vez que la reunión estaba incluida en los escritos de acusación, y que su celebración y contenido habían sido introducidos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005728DD" w:rsidRDefault="005728DD" w:rsidP="005728DD">
      <w:pPr>
        <w:pStyle w:val="TextoNormal"/>
      </w:pPr>
    </w:p>
    <w:p w:rsidR="005728DD" w:rsidRDefault="005728DD" w:rsidP="005728DD">
      <w:pPr>
        <w:pStyle w:val="TextoNormal"/>
      </w:pPr>
      <w:r>
        <w:t>Ni siquiera puede achacarse a la sala una mera incoherencia en su actuación. Según el recurrente, es incongruente denegar la pregunta al Ministerio Fiscal y, sin embargo, formular la misma pregunta unos minutos después.</w:t>
      </w:r>
    </w:p>
    <w:p w:rsidR="005728DD" w:rsidRDefault="005728DD" w:rsidP="005728DD">
      <w:pPr>
        <w:pStyle w:val="TextoNormal"/>
      </w:pPr>
    </w:p>
    <w:p w:rsidR="005728DD" w:rsidRDefault="005728DD" w:rsidP="005728DD">
      <w:pPr>
        <w:pStyle w:val="TextoNormal"/>
      </w:pPr>
      <w:r>
        <w:t>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 según hemos expuesto. La diferencia de presupuestos normativos para adoptar ambas decisiones impide apreciar la incongruencia o incoherencia alegada y, por lo tanto, la vulneración invocada.</w:t>
      </w:r>
    </w:p>
    <w:p w:rsidR="005728DD" w:rsidRDefault="005728DD" w:rsidP="005728DD">
      <w:pPr>
        <w:pStyle w:val="TextoNormal"/>
      </w:pPr>
    </w:p>
    <w:p w:rsidR="005728DD" w:rsidRDefault="005728DD" w:rsidP="005728DD">
      <w:pPr>
        <w:pStyle w:val="TextoNormal"/>
      </w:pPr>
      <w:r>
        <w:t xml:space="preserve">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w:t>
      </w:r>
      <w:r>
        <w:lastRenderedPageBreak/>
        <w:t>contestación del señor Trapero a la pregunta formulada por la sala; es decir, que fue inocua desde la perspectiva de la afectación material de los derechos del recurrente.</w:t>
      </w:r>
    </w:p>
    <w:p w:rsidR="005728DD" w:rsidRDefault="005728DD" w:rsidP="005728DD">
      <w:pPr>
        <w:pStyle w:val="TextoNormal"/>
      </w:pPr>
    </w:p>
    <w:p w:rsidR="005728DD" w:rsidRDefault="005728DD" w:rsidP="005728DD">
      <w:pPr>
        <w:pStyle w:val="TextoNormal"/>
      </w:pPr>
      <w:r>
        <w:t>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005728DD" w:rsidRDefault="005728DD" w:rsidP="005728DD">
      <w:pPr>
        <w:pStyle w:val="TextoNormal"/>
      </w:pPr>
    </w:p>
    <w:p w:rsidR="005728DD" w:rsidRDefault="005728DD" w:rsidP="005728DD">
      <w:pPr>
        <w:pStyle w:val="TextoNormal"/>
      </w:pPr>
      <w:r>
        <w:t>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como se alega en el recurso. Lo que puso de manifiesto fue un escrupuloso respeto al derecho de defensa, a la vigencia de los principios de contradicción e igualdad de armas y, en definitiva, al derecho a la imparcialidad judicial integrado en el derecho a un proceso con todas las garantías (art. 24.2 CE). Lo que conduce a la desestimación del motivo analizado.</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Derecho a la igualdad de armas en el proceso</w:t>
      </w:r>
      <w:r>
        <w:t>.</w:t>
      </w:r>
    </w:p>
    <w:p w:rsidR="005728DD" w:rsidRDefault="005728DD" w:rsidP="005728DD">
      <w:pPr>
        <w:pStyle w:val="TextoNormal"/>
      </w:pPr>
    </w:p>
    <w:p w:rsidR="005728DD" w:rsidRDefault="005728DD" w:rsidP="005728DD">
      <w:pPr>
        <w:pStyle w:val="TextoNormal"/>
      </w:pPr>
      <w:r>
        <w:t>La sentencia recurrida en amparo se refiere a esta materia en el apartado 16 del fundamento jurídico A).</w:t>
      </w:r>
    </w:p>
    <w:p w:rsidR="005728DD" w:rsidRDefault="005728DD" w:rsidP="005728DD">
      <w:pPr>
        <w:pStyle w:val="TextoNormal"/>
      </w:pPr>
    </w:p>
    <w:p w:rsidR="005728DD" w:rsidRDefault="005728DD" w:rsidP="005728DD">
      <w:pPr>
        <w:pStyle w:val="TextoNormal"/>
      </w:pPr>
      <w:r>
        <w:t>Para la mejor comprensión del examen de esta queja, teniendo en cuenta la extensión de este apartado, así como que abarca aspectos ajenos a los planteados en esta sede por la parte recurrente, hemos optado por no reproducir íntegramente este fragmento de la sentencia recurrida. Tomaremos las consideraciones efectuadas en él por el Tribunal Supremo a medida que vayamos descendiendo a los detalles que incluye el análisis del motivo de amparo.</w:t>
      </w:r>
    </w:p>
    <w:p w:rsidR="005728DD" w:rsidRDefault="005728DD" w:rsidP="005728DD">
      <w:pPr>
        <w:pStyle w:val="TextoNormal"/>
      </w:pPr>
    </w:p>
    <w:p w:rsidR="005728DD" w:rsidRDefault="005728DD" w:rsidP="005728DD">
      <w:pPr>
        <w:pStyle w:val="TextoNormal"/>
      </w:pPr>
      <w:r>
        <w:t xml:space="preserve">7.1. </w:t>
      </w:r>
      <w:r w:rsidRPr="005728DD">
        <w:rPr>
          <w:i/>
        </w:rPr>
        <w:t>Posiciones de las partes</w:t>
      </w:r>
      <w:r>
        <w:t>.</w:t>
      </w:r>
    </w:p>
    <w:p w:rsidR="005728DD" w:rsidRDefault="005728DD" w:rsidP="005728DD">
      <w:pPr>
        <w:pStyle w:val="TextoNormal"/>
      </w:pPr>
    </w:p>
    <w:p w:rsidR="005728DD" w:rsidRDefault="005728DD" w:rsidP="005728DD">
      <w:pPr>
        <w:pStyle w:val="TextoNormal"/>
      </w:pPr>
      <w:r>
        <w:t>La parte recurrente denuncia la vulneración del principio de igualdad de armas, por el trato desfavorable dispensado a las defensas en el acto del juicio oral (arts. 24 CE y 6 CEDH), con base en que se limitó su actividad procesal en el momento de interrogar de manera mucho más estricta de lo que se hizo con las acusaciones. La demanda, de la que se ha dejado detallada constancia en los antecedentes de esta sentencia, se refiere a varios episodios acaecidos durante el desarrollo del juicio oral que serían reveladores de la denunciada desigualdad: (i) en el interrogatorio del testigo señor Torrent, se permitió a las acusaciones formular preguntas que desbordaron las razones por las que había sido propuesto, lo que se impidió a las defensas; (ii)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(iii) a los testigos de las acusaciones, como fueron los policías, se les autorizó a exponer valoraciones al aludir a aspectos tales como “caras de odio” —en referencia a los votantes– “clima hostil” o “clima insurreccional” (señor Baena), lo que se impidió a otros como a la señora Garcés; (iv) a algunos testigos propuestos por la acusación se les autorizó a consultar notas escritas, lo que fue impedido a la señora Garcés y al señor Matamala; (v) la reacción del tribunal frente a las manifestacio</w:t>
      </w:r>
      <w:r>
        <w:lastRenderedPageBreak/>
        <w:t>nes de “desmemoria” o “renuencia” de algunos testigos, como la señora Sáenz de Santamaría, el señor Rajoy y el señor Zoido, frente a la dispensada a la señora Guix y al señor Mestre; (vi) el impedimento para preguntar a un inspector de policía respecto del “aparente infarto” sufrido por un ciudadano cuando se disponía a votar, pese a que esa circunstancia se mencionaba en el escrito de acusación y, previamente, se había permitido al fiscal interrogar al respecto; (vii) el reproche que dirigió el presidente del tribunal al letrado del aquí recurrente, en la sesión de 27 de abril de 2019, cuando este utilizó la expresión “ley de ritos” para referirse a la LECrim, porque esa expresión constituía un “insulto a los procesalistas”.</w:t>
      </w:r>
    </w:p>
    <w:p w:rsidR="005728DD" w:rsidRDefault="005728DD" w:rsidP="005728DD">
      <w:pPr>
        <w:pStyle w:val="TextoNormal"/>
      </w:pPr>
    </w:p>
    <w:p w:rsidR="005728DD" w:rsidRDefault="005728DD" w:rsidP="005728DD">
      <w:pPr>
        <w:pStyle w:val="TextoNormal"/>
      </w:pPr>
      <w:r>
        <w:t>El abogado del Estado considera que el denunciado trato peyorativo dado a las defensas frente a las acusaciones no se ha producido, remitiéndose de modo pormenorizado a las respuestas contenidas en la sentencia recurrida.</w:t>
      </w:r>
    </w:p>
    <w:p w:rsidR="005728DD" w:rsidRDefault="005728DD" w:rsidP="005728DD">
      <w:pPr>
        <w:pStyle w:val="TextoNormal"/>
      </w:pPr>
    </w:p>
    <w:p w:rsidR="005728DD" w:rsidRDefault="005728DD" w:rsidP="005728DD">
      <w:pPr>
        <w:pStyle w:val="TextoNormal"/>
      </w:pPr>
      <w:r>
        <w:t>Por su parte, la representación procesal del partido político Vox aduce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el demandante no ha argumentado nada sobre esta relevante cuestión.</w:t>
      </w:r>
    </w:p>
    <w:p w:rsidR="005728DD" w:rsidRDefault="005728DD" w:rsidP="005728DD">
      <w:pPr>
        <w:pStyle w:val="TextoNormal"/>
      </w:pPr>
    </w:p>
    <w:p w:rsidR="005728DD" w:rsidRDefault="005728DD" w:rsidP="005728DD">
      <w:pPr>
        <w:pStyle w:val="TextoNormal"/>
      </w:pPr>
      <w:r>
        <w:t>Por último, el Ministerio Fiscal, sintéticamente, aduce que la sentencia recurrida en amparo [fundamento de Derecho A), apartado 16] da una respuesta a todas las supuestas muestras de desigualdad y analiza cada uno de los aspectos alegados por el recurrente. A su juicio, la alegación de desigualdad tiene un “valor meramente nominalista y formulario”, pues lo cuestionado no son sino decisiones adoptadas en el ejercicio de las facultades de dirección de las declaraciones testificales, que no incurrieron en infracción procesal alguna (art. 683 LECrim) y que obedecieron a una justificación razonable desde la perspectiva de la pertinencia e idoneidad de las preguntas y respuestas, sin alterar la igualdad de las partes ni menoscabar de modo sensible las facultades de alegación y contradicción entre ellas.</w:t>
      </w:r>
    </w:p>
    <w:p w:rsidR="005728DD" w:rsidRDefault="005728DD" w:rsidP="005728DD">
      <w:pPr>
        <w:pStyle w:val="TextoNormal"/>
      </w:pPr>
    </w:p>
    <w:p w:rsidR="005728DD" w:rsidRDefault="005728DD" w:rsidP="005728DD">
      <w:pPr>
        <w:pStyle w:val="TextoNormal"/>
      </w:pPr>
      <w:r>
        <w:t xml:space="preserve">7.2. </w:t>
      </w:r>
      <w:r w:rsidRPr="005728DD">
        <w:rPr>
          <w:i/>
        </w:rPr>
        <w:t>Doctrina constitucional</w:t>
      </w:r>
      <w:r>
        <w:t>.</w:t>
      </w:r>
    </w:p>
    <w:p w:rsidR="005728DD" w:rsidRDefault="005728DD" w:rsidP="005728DD">
      <w:pPr>
        <w:pStyle w:val="TextoNormal"/>
      </w:pPr>
    </w:p>
    <w:p w:rsidR="005728DD" w:rsidRDefault="005728DD" w:rsidP="005728DD">
      <w:pPr>
        <w:pStyle w:val="TextoNormal"/>
      </w:pPr>
      <w:r>
        <w:t>Podemos sistematizar la doctrina constitucional sobre el derecho a la igualdad de armas en el proceso penal, siguiendo la ya citada STC 130/2002, de 3 de junio, y a riesgo de incurrir en reiteraciones, en los siguientes términos:</w:t>
      </w:r>
    </w:p>
    <w:p w:rsidR="005728DD" w:rsidRDefault="005728DD" w:rsidP="005728DD">
      <w:pPr>
        <w:pStyle w:val="TextoNormal"/>
      </w:pPr>
    </w:p>
    <w:p w:rsidR="005728DD" w:rsidRDefault="005728DD" w:rsidP="005728DD">
      <w:pPr>
        <w:pStyle w:val="TextoNormal"/>
      </w:pPr>
      <w:r>
        <w:t>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005728DD" w:rsidRDefault="005728DD" w:rsidP="005728DD">
      <w:pPr>
        <w:pStyle w:val="TextoNormal"/>
      </w:pPr>
    </w:p>
    <w:p w:rsidR="005728DD" w:rsidRDefault="005728DD" w:rsidP="005728DD">
      <w:pPr>
        <w:pStyle w:val="TextoNormal"/>
      </w:pPr>
      <w:r>
        <w:t xml:space="preserve">La estricta sujeción del juez a la ley penal sustantiva y procesal que rige sus actos y decisiones constituye la primera y más importante garantía del juicio justo en la medida en </w:t>
      </w:r>
      <w:r>
        <w:lastRenderedPageBreak/>
        <w:t>que dicha sujeción asegura a las partes en el proceso que el Juez penal es un tercero ajeno a los intereses en litigio y, por tanto, a sus titulares y a las funciones que desempeñen en el 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 FJ 14, y 12/2011, de 28 de febrero, FJ 3).</w:t>
      </w:r>
    </w:p>
    <w:p w:rsidR="005728DD" w:rsidRDefault="005728DD" w:rsidP="005728DD">
      <w:pPr>
        <w:pStyle w:val="TextoNormal"/>
      </w:pPr>
    </w:p>
    <w:p w:rsidR="005728DD" w:rsidRDefault="005728DD" w:rsidP="005728DD">
      <w:pPr>
        <w:pStyle w:val="TextoNormal"/>
      </w:pPr>
      <w: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w:t>
      </w:r>
      <w:r w:rsidRPr="005728DD">
        <w:rPr>
          <w:i/>
        </w:rPr>
        <w:t>De Cubber c. Bélgica</w:t>
      </w:r>
      <w:r>
        <w:t xml:space="preserve">, § 26, “según un adagio inglés citado en la sentencia </w:t>
      </w:r>
      <w:r w:rsidRPr="005728DD">
        <w:rPr>
          <w:i/>
        </w:rPr>
        <w:t>Delcourt</w:t>
      </w:r>
      <w:r>
        <w:t xml:space="preserve"> de 17 enero 1970, […] ‘</w:t>
      </w:r>
      <w:r w:rsidRPr="005728DD">
        <w:rPr>
          <w:i/>
        </w:rPr>
        <w:t>justice must not only be done: it must also be seen to be done</w:t>
      </w:r>
      <w:r>
        <w:t xml:space="preserve">’”; expresión reiterada por el Tribunal Europeo de Derechos Humanos, (entre otras, en las SSTEDH de 15 de octubre de 2009, caso </w:t>
      </w:r>
      <w:r w:rsidRPr="005728DD">
        <w:rPr>
          <w:i/>
        </w:rPr>
        <w:t>Micallef c. Malta</w:t>
      </w:r>
      <w:r>
        <w:t xml:space="preserve">, § 98, y de 22 de octubre 2019, caso </w:t>
      </w:r>
      <w:r w:rsidRPr="005728DD">
        <w:rPr>
          <w:i/>
        </w:rPr>
        <w:t>Deli c. Moldavia</w:t>
      </w:r>
      <w:r>
        <w:t>, § 36)].</w:t>
      </w:r>
    </w:p>
    <w:p w:rsidR="005728DD" w:rsidRDefault="005728DD" w:rsidP="005728DD">
      <w:pPr>
        <w:pStyle w:val="TextoNormal"/>
      </w:pPr>
    </w:p>
    <w:p w:rsidR="005728DD" w:rsidRDefault="005728DD" w:rsidP="005728DD">
      <w:pPr>
        <w:pStyle w:val="TextoNormal"/>
      </w:pPr>
      <w:r>
        <w:t>“También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005728DD" w:rsidRDefault="005728DD" w:rsidP="005728DD">
      <w:pPr>
        <w:pStyle w:val="TextoNormal"/>
      </w:pPr>
    </w:p>
    <w:p w:rsidR="005728DD" w:rsidRDefault="005728DD" w:rsidP="005728DD">
      <w:pPr>
        <w:pStyle w:val="TextoNormal"/>
      </w:pPr>
      <w:r>
        <w:t xml:space="preserve">“El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w:t>
      </w:r>
      <w:r>
        <w:lastRenderedPageBreak/>
        <w:t>con el fin precisamente de restablecer dichos equilibrio e igualdad (STC 101/1989, de 5 de junio, FJ 4)” (STC 130/2002, FJ 3).</w:t>
      </w:r>
    </w:p>
    <w:p w:rsidR="005728DD" w:rsidRDefault="005728DD" w:rsidP="005728DD">
      <w:pPr>
        <w:pStyle w:val="TextoNormal"/>
      </w:pPr>
    </w:p>
    <w:p w:rsidR="005728DD" w:rsidRDefault="005728DD" w:rsidP="005728DD">
      <w:pPr>
        <w:pStyle w:val="TextoNormal"/>
      </w:pPr>
      <w:r>
        <w:t>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(STC 188/2000, de 10 de julio, FJ 2)” (STC 130/2002, FJ 4).</w:t>
      </w:r>
    </w:p>
    <w:p w:rsidR="005728DD" w:rsidRDefault="005728DD" w:rsidP="005728DD">
      <w:pPr>
        <w:pStyle w:val="TextoNormal"/>
      </w:pPr>
    </w:p>
    <w:p w:rsidR="005728DD" w:rsidRDefault="005728DD" w:rsidP="005728DD">
      <w:pPr>
        <w:pStyle w:val="TextoNormal"/>
      </w:pPr>
      <w:r>
        <w:t>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con anterioridad” (STC 130/2002, FJ 5).</w:t>
      </w:r>
    </w:p>
    <w:p w:rsidR="005728DD" w:rsidRDefault="005728DD" w:rsidP="005728DD">
      <w:pPr>
        <w:pStyle w:val="TextoNormal"/>
      </w:pPr>
    </w:p>
    <w:p w:rsidR="005728DD" w:rsidRDefault="005728DD" w:rsidP="005728DD">
      <w:pPr>
        <w:pStyle w:val="TextoNormal"/>
      </w:pPr>
      <w: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SSTEDH de 24 de noviembre de 1986, caso </w:t>
      </w:r>
      <w:r w:rsidRPr="005728DD">
        <w:rPr>
          <w:i/>
        </w:rPr>
        <w:t>Unterpertinger c. Austria</w:t>
      </w:r>
      <w:r>
        <w:t xml:space="preserve">, § 31; de 20 de noviembre de 1989, caso </w:t>
      </w:r>
      <w:r w:rsidRPr="005728DD">
        <w:rPr>
          <w:i/>
        </w:rPr>
        <w:t>Kostovski c. Holanda</w:t>
      </w:r>
      <w:r>
        <w:t xml:space="preserve">, § 41; de 27 de septiembre de 1990, caso </w:t>
      </w:r>
      <w:r w:rsidRPr="005728DD">
        <w:rPr>
          <w:i/>
        </w:rPr>
        <w:t>Windisch c. Austria</w:t>
      </w:r>
      <w:r>
        <w:t xml:space="preserve">, § 26; de 19 de febrero de 1991, caso </w:t>
      </w:r>
      <w:r w:rsidRPr="005728DD">
        <w:rPr>
          <w:i/>
        </w:rPr>
        <w:t>Isgrò c. Italia</w:t>
      </w:r>
      <w:r>
        <w:t xml:space="preserve">, § 34; de 20 de septiembre de 1993, caso </w:t>
      </w:r>
      <w:r w:rsidRPr="005728DD">
        <w:rPr>
          <w:i/>
        </w:rPr>
        <w:t>Saïdi c. Francia</w:t>
      </w:r>
      <w:r>
        <w:t>, § 43, y de 27 de febrero de 2001, cas</w:t>
      </w:r>
      <w:r w:rsidRPr="005728DD">
        <w:rPr>
          <w:i/>
        </w:rPr>
        <w:t>o Luca c. Ital</w:t>
      </w:r>
      <w:r>
        <w:t>ia, § 40).</w:t>
      </w:r>
    </w:p>
    <w:p w:rsidR="005728DD" w:rsidRDefault="005728DD" w:rsidP="005728DD">
      <w:pPr>
        <w:pStyle w:val="TextoNormal"/>
      </w:pPr>
    </w:p>
    <w:p w:rsidR="005728DD" w:rsidRDefault="005728DD" w:rsidP="005728DD">
      <w:pPr>
        <w:pStyle w:val="TextoNormal"/>
      </w:pPr>
      <w:r>
        <w:t xml:space="preserve">d) Si bien no todas las irregularidades e infracciones del régimen legal de prueba poseen relevancia constitucional a los efectos de las garantías del art. 24.1 y 2 CE, “no es menos cierto que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w:t>
      </w:r>
      <w:r>
        <w:lastRenderedPageBreak/>
        <w:t>de imparcialidad objetiva que debe preservarse en todo momento (STC 186/1990, de 5 de noviembre, FJ 5). Por ello debe indagarse —a la vista de los datos objetivos que quepa extraer del modo de proceder que en cada caso haya observado el órgano judicial— si tras 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otras, en la STC 229/2003, de 18 de diciembre, FJ 14. En todo caso, para determinar si se ha producido la quiebra de esta esencial igualdad de armas es preciso analizar las circunstancias particulares de cada caso.</w:t>
      </w:r>
    </w:p>
    <w:p w:rsidR="005728DD" w:rsidRDefault="005728DD" w:rsidP="005728DD">
      <w:pPr>
        <w:pStyle w:val="TextoNormal"/>
      </w:pPr>
    </w:p>
    <w:p w:rsidR="005728DD" w:rsidRDefault="005728DD" w:rsidP="005728DD">
      <w:pPr>
        <w:pStyle w:val="TextoNormal"/>
      </w:pPr>
      <w:r>
        <w:t>7.3</w:t>
      </w:r>
      <w:r w:rsidRPr="005728DD">
        <w:rPr>
          <w:i/>
        </w:rPr>
        <w:t>. Resolución de la que</w:t>
      </w:r>
      <w:r>
        <w:t>ja.</w:t>
      </w:r>
    </w:p>
    <w:p w:rsidR="005728DD" w:rsidRDefault="005728DD" w:rsidP="005728DD">
      <w:pPr>
        <w:pStyle w:val="TextoNormal"/>
      </w:pPr>
    </w:p>
    <w:p w:rsidR="005728DD" w:rsidRDefault="005728DD" w:rsidP="005728DD">
      <w:pPr>
        <w:pStyle w:val="TextoNormal"/>
      </w:pPr>
      <w:r>
        <w:t>La respuesta de este tribunal al motivo de amparo es consecuencia de las siguientes consideraciones:</w:t>
      </w:r>
    </w:p>
    <w:p w:rsidR="005728DD" w:rsidRDefault="005728DD" w:rsidP="005728DD">
      <w:pPr>
        <w:pStyle w:val="TextoNormal"/>
      </w:pPr>
    </w:p>
    <w:p w:rsidR="005728DD" w:rsidRDefault="005728DD" w:rsidP="005728DD">
      <w:pPr>
        <w:pStyle w:val="TextoNormal"/>
      </w:pPr>
      <w:r>
        <w:t>A) Para dar una contestación a esta queja es preciso efectuar una valoración global sobre el desarrollo del juicio oral y, dentro del mismo, sobre el interrogatorio de los testigos de cargo y de descargo.</w:t>
      </w:r>
    </w:p>
    <w:p w:rsidR="005728DD" w:rsidRDefault="005728DD" w:rsidP="005728DD">
      <w:pPr>
        <w:pStyle w:val="TextoNormal"/>
      </w:pPr>
    </w:p>
    <w:p w:rsidR="005728DD" w:rsidRDefault="005728DD" w:rsidP="005728DD">
      <w:pPr>
        <w:pStyle w:val="TextoNormal"/>
      </w:pPr>
      <w:r>
        <w:t>Es fácil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más de quinientos testigos, hace aún más asequible la comprensión de lo anterior. El desacierto, por tanto, en el ejercicio de las funciones procesales propias de la dirección del examen de los testigos a que se refieren los artículos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determinante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005728DD" w:rsidRDefault="005728DD" w:rsidP="005728DD">
      <w:pPr>
        <w:pStyle w:val="TextoNormal"/>
      </w:pPr>
    </w:p>
    <w:p w:rsidR="005728DD" w:rsidRDefault="005728DD" w:rsidP="005728DD">
      <w:pPr>
        <w:pStyle w:val="TextoNormal"/>
      </w:pPr>
      <w:r>
        <w:t>La argumentación de la queja en la demanda, como hemos visto, está basada sobre determinados episodios del juicio (siete, en concreto) en los que, según la parte recurrente, el tribunal de enjuiciamiento se desvió de la correcta aplicación de la ley procesal en contra de las defensas.</w:t>
      </w:r>
    </w:p>
    <w:p w:rsidR="005728DD" w:rsidRDefault="005728DD" w:rsidP="005728DD">
      <w:pPr>
        <w:pStyle w:val="TextoNormal"/>
      </w:pPr>
    </w:p>
    <w:p w:rsidR="005728DD" w:rsidRDefault="005728DD" w:rsidP="005728DD">
      <w:pPr>
        <w:pStyle w:val="TextoNormal"/>
      </w:pPr>
      <w:r>
        <w:lastRenderedPageBreak/>
        <w:t>Este tribunal, sin embargo, constata que no existió ese trato peyorativo hacia la defensa. Más allá de que todas y cada una de las valoraciones efectuadas sobre tales eventualidades han recibido una respuesta explícita en la sentencia recurrida, como veremos a continuación, del acierto de tales respuestas (en términos de ajuste a la norma procesal), y de que, como también constatamos, esas incidencias carecen de relevancia para la formación del relato fáctico del que dimana la condena, podemos ya adelantar que estimamos que tales acontecimientos, valorados en su conjunto y en el contexto de todo el juicio oral, resultan manifiestamente insuficientes para fundar la existencia del trato desfavorable del que se queja el recurrente.</w:t>
      </w:r>
    </w:p>
    <w:p w:rsidR="005728DD" w:rsidRDefault="005728DD" w:rsidP="005728DD">
      <w:pPr>
        <w:pStyle w:val="TextoNormal"/>
      </w:pPr>
    </w:p>
    <w:p w:rsidR="005728DD" w:rsidRDefault="005728DD" w:rsidP="005728DD">
      <w:pPr>
        <w:pStyle w:val="TextoNormal"/>
      </w:pPr>
      <w:r>
        <w:t>Para alcanzar esa conclusión tomamos en consideración el desarrollo del juicio en su integridad, el relato de hechos probados y las razones de la condena del recurrente, de todo lo cual se ha dado cuenta en los antecedentes de esta resolución, así como los acontecimientos en que la parte demandante funda su queja y las respuestas ofrecidas por el Tribunal Supremo, que examinamos seguidamente. De esto se desprende que se trata de acontecimientos menores, incidencias o irregularidades procesales leves, a lo sumo, que no permiten afirmar ni quiebra de la igualdad de armas ni merma del derecho de defensa.</w:t>
      </w:r>
    </w:p>
    <w:p w:rsidR="005728DD" w:rsidRDefault="005728DD" w:rsidP="005728DD">
      <w:pPr>
        <w:pStyle w:val="TextoNormal"/>
      </w:pPr>
    </w:p>
    <w:p w:rsidR="005728DD" w:rsidRDefault="005728DD" w:rsidP="005728DD">
      <w:pPr>
        <w:pStyle w:val="TextoNormal"/>
      </w:pPr>
      <w:r>
        <w:t>B) El Tribunal Supremo ofrece en la sentencia recurrida una respuesta explícita frente a cada una de las protestas realizadas.</w:t>
      </w:r>
    </w:p>
    <w:p w:rsidR="005728DD" w:rsidRDefault="005728DD" w:rsidP="005728DD">
      <w:pPr>
        <w:pStyle w:val="TextoNormal"/>
      </w:pPr>
    </w:p>
    <w:p w:rsidR="005728DD" w:rsidRDefault="005728DD" w:rsidP="005728DD">
      <w:pPr>
        <w:pStyle w:val="TextoNormal"/>
      </w:pPr>
      <w:r>
        <w:t>a) La queja relativa al interrogatorio del testigo señor Torrent, según la cual se permitió a las acusaciones formular preguntas desvinculadas de las razones por las que había sido propuesto, lo que se impidió a las defensas, recibe en la sentencia una contestación expresa, razonada y razonable.</w:t>
      </w:r>
    </w:p>
    <w:p w:rsidR="005728DD" w:rsidRDefault="005728DD" w:rsidP="005728DD">
      <w:pPr>
        <w:pStyle w:val="TextoNormal"/>
      </w:pPr>
    </w:p>
    <w:p w:rsidR="005728DD" w:rsidRDefault="005728DD" w:rsidP="005728DD">
      <w:pPr>
        <w:pStyle w:val="TextoNormal"/>
      </w:pPr>
      <w:r>
        <w:t>La respuesta parte de la interpretación que la Sala efectúa del artículo 708 LECrim, primer párrafo, según el cual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De ella se ha dejado literal constancia en el fundamento precedente de esta misma sentencia, al que ahora nos remitimos. Cabe reiterar que con el criterio interpretativo que se maneja conforme al cual si la parte proponente no pregunta sobre una cuestión concreta, el resto de las partes no podrá formular preguntas sobre esa cuestión, porque no habría existido una previa “contestación” del testigo— se pretendió preservar la vigencia estricta del principio de contradicción y, por conexión, del derecho de defensa.</w:t>
      </w:r>
    </w:p>
    <w:p w:rsidR="005728DD" w:rsidRDefault="005728DD" w:rsidP="005728DD">
      <w:pPr>
        <w:pStyle w:val="TextoNormal"/>
      </w:pPr>
    </w:p>
    <w:p w:rsidR="005728DD" w:rsidRDefault="005728DD" w:rsidP="005728DD">
      <w:pPr>
        <w:pStyle w:val="TextoNormal"/>
      </w:pPr>
      <w:r>
        <w:t xml:space="preserve">Se refiere después a la valoración concreta de la relevancia del interrogatorio del testigo: “si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w:t>
      </w:r>
      <w:r>
        <w:lastRenderedPageBreak/>
        <w:t>de la imposibilidad del señor Torrent de explicar su particular experiencia sobre hechos que fueron descritos detalladamente por otros muchos testigos presenciales”.</w:t>
      </w:r>
    </w:p>
    <w:p w:rsidR="005728DD" w:rsidRDefault="005728DD" w:rsidP="005728DD">
      <w:pPr>
        <w:pStyle w:val="TextoNormal"/>
      </w:pPr>
    </w:p>
    <w:p w:rsidR="005728DD" w:rsidRDefault="005728DD" w:rsidP="005728DD">
      <w:pPr>
        <w:pStyle w:val="TextoNormal"/>
      </w:pPr>
      <w:r>
        <w:t>b) El segundo defecto en la conducción de las pruebas testificales, que denuncia que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también mereció una contestación en la sentencia.</w:t>
      </w:r>
    </w:p>
    <w:p w:rsidR="005728DD" w:rsidRDefault="005728DD" w:rsidP="005728DD">
      <w:pPr>
        <w:pStyle w:val="TextoNormal"/>
      </w:pPr>
    </w:p>
    <w:p w:rsidR="005728DD" w:rsidRDefault="005728DD" w:rsidP="005728DD">
      <w:pPr>
        <w:pStyle w:val="TextoNormal"/>
      </w:pPr>
      <w:r>
        <w:t>Comienza valorando el Tribunal Supremo la declaración del diputado señor Rufián. Dice así que “la militancia política del señor Rufián es un hecho notorio”; que “durante su declaración como testigo hubo de ser interrumpido por el presidente de la sala al tratar de adentrarse en valoraciones políticas prescindibles para el tratamiento jurídico de los hechos” y que “quiso formular un discurso político en el momento de su declaración como testigo”, razones por las que constituye “un despropósito” estimar que se vulneró el derecho del diputado a no declarar sobre sus propias convicciones ideológicas. En cambio, se justifica el impedimento a las defensas de los señores Junqueras y Romeva y de los señores Rull, Turull y Sànchez, de preguntar a la letrada de la administración de justicia del Juzgado de Instrucción núm. 13 de Barcelona acerca de si era “seguidora de páginas web de extrema derecha” en los siguientes términos:</w:t>
      </w:r>
    </w:p>
    <w:p w:rsidR="005728DD" w:rsidRDefault="005728DD" w:rsidP="005728DD">
      <w:pPr>
        <w:pStyle w:val="TextoNormal"/>
      </w:pPr>
    </w:p>
    <w:p w:rsidR="005728DD" w:rsidRDefault="005728DD" w:rsidP="005728DD">
      <w:pPr>
        <w:pStyle w:val="TextoNormal"/>
      </w:pPr>
      <w:r>
        <w:t>“De lo que se trata es de preservar el derecho de todo testigo a no declarar públicamente acerca de su ideología, religión o creencias (art. 16.2 de la CE). Doña Monserrat es una funcionaria de la administración de justicia que fue llamada a juicio para que narrara las circunstancias que presidieron su huida de madrugada, por los tejados de la Consejería de Economía de la Generalitat, con ocasión de la entrada y registro judicialmente acordada el día 20 de septiembre de 2017. Fuera de esos extremos vividos en primera persona, interrogarla, no ya acerca de la autoría de un mensaje o de un tuit, sino sobre su condición de ‘seguidora de páginas web de la extrema derecha’, resulta manifiestamente impertinente”.</w:t>
      </w:r>
    </w:p>
    <w:p w:rsidR="005728DD" w:rsidRDefault="005728DD" w:rsidP="005728DD">
      <w:pPr>
        <w:pStyle w:val="TextoNormal"/>
      </w:pPr>
    </w:p>
    <w:p w:rsidR="005728DD" w:rsidRDefault="005728DD" w:rsidP="005728DD">
      <w:pPr>
        <w:pStyle w:val="TextoNormal"/>
      </w:pPr>
      <w:r>
        <w:t>Según el Tribunal Supremo “[s]ometer a los más de quinientos testigos inicialmente propuestos por las partes a un test ideológico del que dependería su compromiso con la verdad, además de su anticipada inutilidad, habría supuesto una flagrante vulneración de la prohibición constitucional que proclama el art. 16.2 de la CE”.</w:t>
      </w:r>
    </w:p>
    <w:p w:rsidR="005728DD" w:rsidRDefault="005728DD" w:rsidP="005728DD">
      <w:pPr>
        <w:pStyle w:val="TextoNormal"/>
      </w:pPr>
    </w:p>
    <w:p w:rsidR="005728DD" w:rsidRDefault="005728DD" w:rsidP="005728DD">
      <w:pPr>
        <w:pStyle w:val="TextoNormal"/>
      </w:pPr>
      <w:r>
        <w:t>Se dan las razones por las que, sin embargo, se permitió al fiscal o al resto de las acusaciones preguntar a determinadas personas por su condición de miembro de la Asamblea Nacional Catalana u Òmnium Cultural:</w:t>
      </w:r>
    </w:p>
    <w:p w:rsidR="005728DD" w:rsidRDefault="005728DD" w:rsidP="005728DD">
      <w:pPr>
        <w:pStyle w:val="TextoNormal"/>
      </w:pPr>
    </w:p>
    <w:p w:rsidR="005728DD" w:rsidRDefault="005728DD" w:rsidP="005728DD">
      <w:pPr>
        <w:pStyle w:val="TextoNormal"/>
      </w:pPr>
      <w:r>
        <w:t xml:space="preserve">“[L]a condición de militante de alguna de esas asociaciones era presentada por las propias defensas como elemento de identificación en las respectivas listas de testigos ofrecidas para su citación por la sala. Es el caso, por ejemplo, de la defensa del señor Cuixart. Los testigos enumerados en los apartados 3 a 7 de la lista propuesta, son precisamente señalados por su adscripción ideológico-asociativa a esos movimientos sociales. Don Joan Vallvé i Ribera es presentado como vicepresidente de la entidad Òmnium Cultural; don Joan Ignasi Elena García es identificado como ‘portavoz del Pacte Nacional pel Referéndum del que forma parte la entidad Òmnium Cultural’; doña ltziar González Virós, es también presentada </w:t>
      </w:r>
      <w:r>
        <w:lastRenderedPageBreak/>
        <w:t>como ‘miembro del Pacte Nacional pel Referéndum del que forma parte la entidad Òmnium Cultural’”.</w:t>
      </w:r>
    </w:p>
    <w:p w:rsidR="005728DD" w:rsidRDefault="005728DD" w:rsidP="005728DD">
      <w:pPr>
        <w:pStyle w:val="TextoNormal"/>
      </w:pPr>
    </w:p>
    <w:p w:rsidR="005728DD" w:rsidRDefault="005728DD" w:rsidP="005728DD">
      <w:pPr>
        <w:pStyle w:val="TextoNormal"/>
      </w:pPr>
      <w:r>
        <w:t>Los testigos núms. 23 y 24 —doña Silvia Prats Cortés y doña María Luisa Martínez Olivera— fueron descritas en la lista presentada como “voluntarias que ayudaron a mantener el cordón de voluntarios de la ANC el 20 de septiembre de 2017 en la Consejería de Economía”.</w:t>
      </w:r>
    </w:p>
    <w:p w:rsidR="005728DD" w:rsidRDefault="005728DD" w:rsidP="005728DD">
      <w:pPr>
        <w:pStyle w:val="TextoNormal"/>
      </w:pPr>
    </w:p>
    <w:p w:rsidR="005728DD" w:rsidRDefault="005728DD" w:rsidP="005728DD">
      <w:pPr>
        <w:pStyle w:val="TextoNormal"/>
      </w:pPr>
      <w:r>
        <w:t>Tras referir las explicaciones dadas en su declaración por el señor Cuixart sobre la fundación y los fines de la entidad Òmnium Cultural, que preside, agrega el órgano de enjuiciamiento que “es difícil entender que la pregunta de las acusaciones a algunos testigos acerca de si eran socios de Òmnium pueda interpretarse como una injerencia en el perfil político del interrogado”.</w:t>
      </w:r>
    </w:p>
    <w:p w:rsidR="005728DD" w:rsidRDefault="005728DD" w:rsidP="005728DD">
      <w:pPr>
        <w:pStyle w:val="TextoNormal"/>
      </w:pPr>
    </w:p>
    <w:p w:rsidR="005728DD" w:rsidRDefault="005728DD" w:rsidP="005728DD">
      <w:pPr>
        <w:pStyle w:val="TextoNormal"/>
      </w:pPr>
      <w:r>
        <w:t>c) Sobre la denunciada mayor permisividad de la presidencia respecto a las valoraciones efectuadas por los testigos de las acusaciones cuando se trataba de policías, la sentencia recurrida explica que “un testigo que durante su examen no ofrece hechos, sino valoraciones personales, está dando la espalda a la razón de su llamada al proceso. El testigo no opina, no valora. El testigo narra. Ha de limitar su relato a aquello que vio y percibió por los sentidos. El razonamiento sobre el que la defensa construye el menoscabo del principio de igualdad de armas gira, paradójicamente, sobre aquello que no interesa al órgano de enjuiciamiento. Las valoraciones personales de los testigos no tienen cabida en la descripción de los hechos probados”. No cabe invocar indefensión cuando “lo que se pretende explicar es absolutamente irrelevante en términos jurídicos”.</w:t>
      </w:r>
    </w:p>
    <w:p w:rsidR="005728DD" w:rsidRDefault="005728DD" w:rsidP="005728DD">
      <w:pPr>
        <w:pStyle w:val="TextoNormal"/>
      </w:pPr>
    </w:p>
    <w:p w:rsidR="005728DD" w:rsidRDefault="005728DD" w:rsidP="005728DD">
      <w:pPr>
        <w:pStyle w:val="TextoNormal"/>
      </w:pPr>
      <w:r>
        <w:t>Lo anterior excusa, según continúa diciendo el Tribunal Supremo, de la necesidad de argumentar acerca de si los ejemplos que ofrece la defensa son o no equiparables o “si algunas de las frases que selecciona como expresivas de un juicio de valor lo son realmente, o si tienen un contenido fáctico íntimamente ligado a lo que percibieron los testigos por sus sentidos cuando accedieron a los centros de votación o cuando uno de ellos coordinaba algunas de las investigaciones policiales”.</w:t>
      </w:r>
    </w:p>
    <w:p w:rsidR="005728DD" w:rsidRDefault="005728DD" w:rsidP="005728DD">
      <w:pPr>
        <w:pStyle w:val="TextoNormal"/>
      </w:pPr>
    </w:p>
    <w:p w:rsidR="005728DD" w:rsidRDefault="005728DD" w:rsidP="005728DD">
      <w:pPr>
        <w:pStyle w:val="TextoNormal"/>
      </w:pPr>
      <w:r>
        <w:t>Se refiere después a la declaración de la señora Garcés. Reproduce reiteradas alusiones a sus percepciones personales o sentimientos (“teníamos la sensación de una curiosidad compartida […] que entrábamos en una nueva situación política”; “en ningún momento tuve la sensación de inquietud […] o de alarma”; “estupefacción y sorpresa generalizada”, “deshacer la inquietud y el miedo”; y “prohibición incomprensible y triste”, en relación con las resoluciones del Tribunal Constitucional) en respuesta a preguntas que “en ningún caso, fueron declaradas impertinentes, pese a su manifiesta irrelevancia”. Acto seguido explica la interrupción del presidente “en el momento en el que el testimonio llega a un punto en el que la declarante pretende explicar su grado de alucinación sobre lo que aconteció el 1 de octubre (‘yo aluciné’)”, por entender que la declaración no versaba sobre hechos sino sobre valoraciones personales, que no interesan al enjuiciamiento.</w:t>
      </w:r>
    </w:p>
    <w:p w:rsidR="005728DD" w:rsidRDefault="005728DD" w:rsidP="005728DD">
      <w:pPr>
        <w:pStyle w:val="TextoNormal"/>
      </w:pPr>
    </w:p>
    <w:p w:rsidR="005728DD" w:rsidRDefault="005728DD" w:rsidP="005728DD">
      <w:pPr>
        <w:pStyle w:val="TextoNormal"/>
      </w:pPr>
      <w:r>
        <w:t xml:space="preserve">Concluye este apartado el Tribunal Supremo con la justificación de la expresión “correcto. Mucho mejor”, empleada por la presidencia cuando el letrado puso fin al interrogatorio de la señora Garcés. Y señala que su testimonio fue “manifiestamente prescindible. </w:t>
      </w:r>
      <w:r>
        <w:lastRenderedPageBreak/>
        <w:t>Nada de lo que dijo, nada de lo que valoró, nada de lo que respondió […] ha tenido influencia en la proclamación de los hechos probados”.</w:t>
      </w:r>
    </w:p>
    <w:p w:rsidR="005728DD" w:rsidRDefault="005728DD" w:rsidP="005728DD">
      <w:pPr>
        <w:pStyle w:val="TextoNormal"/>
      </w:pPr>
    </w:p>
    <w:p w:rsidR="005728DD" w:rsidRDefault="005728DD" w:rsidP="005728DD">
      <w:pPr>
        <w:pStyle w:val="TextoNormal"/>
      </w:pPr>
      <w:r>
        <w:t>d) En relación con el reproche relativo a que a algunos testigos propuestos por la acusación se les permitió consultar notas escritas, lo que le fue impedido a la señora Garcés y al señor Matamala, la sentencia recurrida en amparo, una vez trascrito el art. 437 LECrim (“los testigos declararán de viva voz, sin que les sea permitido leer la declaración ni respuesta alguna que lleven escrita. […] Podrán, sin embargo, consultar algún apunte o memoria que contenga datos difíciles de recordar”) expone la diferencia entre estos casos:</w:t>
      </w:r>
    </w:p>
    <w:p w:rsidR="005728DD" w:rsidRDefault="005728DD" w:rsidP="005728DD">
      <w:pPr>
        <w:pStyle w:val="TextoNormal"/>
      </w:pPr>
    </w:p>
    <w:p w:rsidR="005728DD" w:rsidRDefault="005728DD" w:rsidP="005728DD">
      <w:pPr>
        <w:pStyle w:val="TextoNormal"/>
      </w:pPr>
      <w:r>
        <w:t>Don David Pérez, diputado del PSOE en la mesa del Parlament, fue preguntado inicialmente por el fiscal, quien, junto con la abogacía del Estado, había propuesto su declaración, sobre cuestiones referidas al contenido de los apartados d) y e) de los arts. 37 y 11 del Reglamento del Parlament. El fiscal “indagaba acerca del alcance de las facultades jurídicas de la mesa para examinar el contenido de cualquier iniciativa legislativa”. En estas circunstancias, según el Tribunal Supremo, “apoyar las respuestas del testigo con el texto legal sobre el que se está preguntando, no puede ser, en ningún caso, censurable”. Añade que, además, el presidente de la sala intervino para recordar “al testigo que puede consultar notas, pero no ofrecer ‘respuestas que estén predefinidas’. Se le invita a que mantenga esas notas, pero se le impone que ‘[…] no haga una lectura microliteral de lo que quiere contestar’”.</w:t>
      </w:r>
    </w:p>
    <w:p w:rsidR="005728DD" w:rsidRDefault="005728DD" w:rsidP="005728DD">
      <w:pPr>
        <w:pStyle w:val="TextoNormal"/>
      </w:pPr>
    </w:p>
    <w:p w:rsidR="005728DD" w:rsidRDefault="005728DD" w:rsidP="005728DD">
      <w:pPr>
        <w:pStyle w:val="TextoNormal"/>
      </w:pPr>
      <w:r>
        <w:t>En el caso de la señora Garcés, según la sentencia, no se trata del empleo de “unas notas que le sirvan para refrescar la memoria respecto de datos de difícil evocación”, sino de que se valió de “un guion en el que se transcribe hasta el tiempo que hacía que ‘[…] no se tomaba un café’ con el señor Cuixart, su estado febril o el grado de alucinación que le produjo la prohibición jurisdiccional del referéndum del 1 de octubre”.</w:t>
      </w:r>
    </w:p>
    <w:p w:rsidR="005728DD" w:rsidRDefault="005728DD" w:rsidP="005728DD">
      <w:pPr>
        <w:pStyle w:val="TextoNormal"/>
      </w:pPr>
    </w:p>
    <w:p w:rsidR="005728DD" w:rsidRDefault="005728DD" w:rsidP="005728DD">
      <w:pPr>
        <w:pStyle w:val="TextoNormal"/>
      </w:pPr>
      <w:r>
        <w:t>e) La censura que la parte recurrente dirige a la reacción del tribunal de enjuiciamiento frente a las manifestaciones de “desmemoria” o “renuencia” de algunos testigos frente a la dispensada a otros, también mereció una respuesta pormenorizada.</w:t>
      </w:r>
    </w:p>
    <w:p w:rsidR="005728DD" w:rsidRDefault="005728DD" w:rsidP="005728DD">
      <w:pPr>
        <w:pStyle w:val="TextoNormal"/>
      </w:pPr>
    </w:p>
    <w:p w:rsidR="005728DD" w:rsidRDefault="005728DD" w:rsidP="005728DD">
      <w:pPr>
        <w:pStyle w:val="TextoNormal"/>
      </w:pPr>
      <w:r>
        <w:t>Una vez sentado que no se indica por quien protesta “qué influencia ha podido tener ese hecho en la valoración probatoria”, el Tribunal Supremo señala que la defensa de los señores Rull, Turull y Sànchez no formuló ninguna pregunta a la señora Sáenz de Santamaría, a la que atribuye la desmemoria. Tras ello se remite al visionado del vídeo “para observar la actitud de la presidencia encaminada a reforzar la claridad de las respuestas a las preguntas formuladas por la defensa del señor Forn (cfr. minuto 13:24)”.</w:t>
      </w:r>
    </w:p>
    <w:p w:rsidR="005728DD" w:rsidRDefault="005728DD" w:rsidP="005728DD">
      <w:pPr>
        <w:pStyle w:val="TextoNormal"/>
      </w:pPr>
    </w:p>
    <w:p w:rsidR="005728DD" w:rsidRDefault="005728DD" w:rsidP="005728DD">
      <w:pPr>
        <w:pStyle w:val="TextoNormal"/>
      </w:pPr>
      <w:r>
        <w:t>En relación con el testimonio de don Ignacio Zoido, se señala que el interrogatorio —en el que intervino la defensa del señor Forn, el Ministerio Fiscal, la abogacía del Estado, el letrado de la acusación popular y las defensas del señor Cuixart, de la señora Borràs y los señores Turull, Rull y Sànchez— se prolongó durante más de dos horas, la defensa del recurrente no formuló protesta y, “como puede observarse a partir del minuto 2:06:36, la presidencia de la Sala intervino para exigir del señor Zoido mayor concreción, recordando al testigo que la pregunta era muy concreta y se ‘[…] podía contestar con un monosílabo’”.</w:t>
      </w:r>
    </w:p>
    <w:p w:rsidR="005728DD" w:rsidRDefault="005728DD" w:rsidP="005728DD">
      <w:pPr>
        <w:pStyle w:val="TextoNormal"/>
      </w:pPr>
    </w:p>
    <w:p w:rsidR="005728DD" w:rsidRDefault="005728DD" w:rsidP="005728DD">
      <w:pPr>
        <w:pStyle w:val="TextoNormal"/>
      </w:pPr>
      <w:r>
        <w:lastRenderedPageBreak/>
        <w:t xml:space="preserve">Respecto del interrogatorio del señor Rajoy, se explica que este testigo admitió que tuvo contactos políticos con el señor Urkullu, pero no pudo precisar si fueron contactos personales o mediante comunicación telefónica o telemática, lo que justificó el declarante por “la existencia de una pluralidad de personas con las que llegó a contactar con el mismo objetivo, entre ellas, el señor Ortuzar”. En otros puntos de esta declaración, la presidencia exigió al testigo “una respuesta más precisa y detallada”, como por ejemplo, ante “la pregunta acerca de si el declarante se había comunicado con los testigos o había visto el desarrollo del juicio en </w:t>
      </w:r>
      <w:r w:rsidRPr="005728DD">
        <w:rPr>
          <w:i/>
        </w:rPr>
        <w:t>streaming</w:t>
      </w:r>
      <w:r>
        <w:t>”, tras lo que el señor Rajoy “admitió que había seguido el desarrollo de la sesión anterior ‘por la lectura de los periódicos digitales’”.</w:t>
      </w:r>
    </w:p>
    <w:p w:rsidR="005728DD" w:rsidRDefault="005728DD" w:rsidP="005728DD">
      <w:pPr>
        <w:pStyle w:val="TextoNormal"/>
      </w:pPr>
    </w:p>
    <w:p w:rsidR="005728DD" w:rsidRDefault="005728DD" w:rsidP="005728DD">
      <w:pPr>
        <w:pStyle w:val="TextoNormal"/>
      </w:pPr>
      <w:r>
        <w:t>Examina a continuación en detalle la testifical de la señora Guix, propuesta por las acusaciones en su calidad de diseñadora de la página web “Pacte pel Referendum”; persona que, según el Tribunal Supremo, por su cualificación profesional, hizo posible técnicamente los contenidos de la web ideada por el Gobierno de la Generalitat. Se dice de ella: “desde el primer momento rechazó dar respuesta a lo que le preguntaba el Ministerio Fiscal con un reiterativo ‘[…] no me acuerdo […] porque ha pasado mucho tiempo’. La siguiente secuencia pregunta-respuesta, es especialmente ilustrativa: fiscal: ‘¿permitía inscribirse como voluntario?’ Sra. Guix: ‘pues no lo recuerdo’; fiscal: ‘¿permitía publicidad?’ Sra. Guix: ‘no lo recuerdo’; fiscal: ‘¿permitía firmar a favor del referéndum?’ Sra. Guix: ‘no lo recuerdo’; fiscal: ‘¿había alguna forma de recopilar información?’ Sra. Guix: ‘ahora mismo no lo recuerdo’; fiscal: ‘¿la web la diseñó usted?’ Sra. Guix: ‘la diseñé yo, sí, sí […]’; fiscal: ‘¿permitía hacer donativos para el referéndum?’ Sra. Guix: ‘no lo recuerdo’; fiscal: ‘¿permitía un registro o una pestaña que contuviera registro de votos?’ Sra. Guix: ‘no lo recuerdo […] a veces el diseño gráfico es como un pre-proyecto de una casa. Luego, si tiene veinte ventanas o tiene diez […] hasta que se realiza no se sabe’; fiscal: ‘¿tampoco recuerda su diseño?’ Sra. Guix: ‘yo no lo recuerdo’”. En ese momento, el presidente del órgano de enjuiciamiento pidió a la testigo “que tratara de recordar, al menos, los contenidos webs que ella diseñó, al margen de que no coincidieran con lo que luego pudo ser el resultado final la web en la que se publicitó el Pacte pel Referéndum”.</w:t>
      </w:r>
    </w:p>
    <w:p w:rsidR="005728DD" w:rsidRDefault="005728DD" w:rsidP="005728DD">
      <w:pPr>
        <w:pStyle w:val="TextoNormal"/>
      </w:pPr>
    </w:p>
    <w:p w:rsidR="005728DD" w:rsidRDefault="005728DD" w:rsidP="005728DD">
      <w:pPr>
        <w:pStyle w:val="TextoNormal"/>
      </w:pPr>
      <w:r>
        <w:t>Los supuestos, según la sentencia impugnada en amparo, no son comparables.</w:t>
      </w:r>
    </w:p>
    <w:p w:rsidR="005728DD" w:rsidRDefault="005728DD" w:rsidP="005728DD">
      <w:pPr>
        <w:pStyle w:val="TextoNormal"/>
      </w:pPr>
    </w:p>
    <w:p w:rsidR="005728DD" w:rsidRDefault="005728DD" w:rsidP="005728DD">
      <w:pPr>
        <w:pStyle w:val="TextoNormal"/>
      </w:pPr>
      <w:r>
        <w:t>La declaración de don Jaume Mestre —prosigue el Tribunal Supremo—, “responsable de difusión institucional de la Generalitat en la fecha de los hechos, es un continuo ‘no sé nada, no me acuerdo’. Una vez advertido por la presidencia de que el delito de falso testimonio se comete, según precisa el art. 461 del CP, no solo faltando a la verdad, sino también alterándola con inexactitudes y reticencias o silenciando hechos relevantes que fueren conocidos por el testigo, volvió a aferrarse a su desmemoria. Hasta tal punto fue visible su deseo de eludir las preguntas que le eran formuladas, que la defensa del señor Junqueras sugirió la necesidad de que se tuviera en cuenta que algunas de las respuestas podían perjudicarle en un hipotético estatus de imputado por los hechos sobre los que estaba declarando”.</w:t>
      </w:r>
    </w:p>
    <w:p w:rsidR="005728DD" w:rsidRDefault="005728DD" w:rsidP="005728DD">
      <w:pPr>
        <w:pStyle w:val="TextoNormal"/>
      </w:pPr>
    </w:p>
    <w:p w:rsidR="005728DD" w:rsidRDefault="005728DD" w:rsidP="005728DD">
      <w:pPr>
        <w:pStyle w:val="TextoNormal"/>
      </w:pPr>
      <w:r>
        <w:t>Al tiempo del dictado de la sentencia impugnada en amparo, tal y como la misma indica, la Sala tenía pendiente decidir sobre la deducción de testimonio reclamada en relación con este testigo por la posible comisión de un delito contra la administración de justicia, lo que se haría en resolución aparte. Por providencia de 25 de junio de 2020 se acordó deducir el mencionado testimonio.</w:t>
      </w:r>
    </w:p>
    <w:p w:rsidR="005728DD" w:rsidRDefault="005728DD" w:rsidP="005728DD">
      <w:pPr>
        <w:pStyle w:val="TextoNormal"/>
      </w:pPr>
    </w:p>
    <w:p w:rsidR="005728DD" w:rsidRDefault="005728DD" w:rsidP="005728DD">
      <w:pPr>
        <w:pStyle w:val="TextoNormal"/>
      </w:pPr>
      <w:r>
        <w:lastRenderedPageBreak/>
        <w:t>f) El siguiente episodio que se tacha consiste en el impedimento de preguntar a un inspector de policía respecto del “aparente infarto” sufrido por un ciudadano cuando se disponía a votar, pese a que esa circunstancia se mencionaba en el escrito de acusación y, previamente, se había permitido al fiscal interrogar al respecto.</w:t>
      </w:r>
    </w:p>
    <w:p w:rsidR="005728DD" w:rsidRDefault="005728DD" w:rsidP="005728DD">
      <w:pPr>
        <w:pStyle w:val="TextoNormal"/>
      </w:pPr>
    </w:p>
    <w:p w:rsidR="005728DD" w:rsidRDefault="005728DD" w:rsidP="005728DD">
      <w:pPr>
        <w:pStyle w:val="TextoNormal"/>
      </w:pPr>
      <w:r>
        <w:t>Según dice la sentencia, la intervención de la presidencia, en este caso, obedeció a la formulación por el letrado de la defensa, después de la intervención del fiscal, de “preguntas encaminadas a indagar posibles responsabilidades penales del declarante”. Agrega que la cita de este acontecimiento en el escrito de acusación del ministerio público “está relacionada con la descripción del número de heridos que se produjo el día 1 de octubre”, como se desprende de su atenta lectura y “no para indagar las responsabilidades individuales que fueran exigibles por uno u otro incidente”, lo que estaba dirimiéndose en diligencias judiciales seguidas en Barcelona.</w:t>
      </w:r>
    </w:p>
    <w:p w:rsidR="005728DD" w:rsidRDefault="005728DD" w:rsidP="005728DD">
      <w:pPr>
        <w:pStyle w:val="TextoNormal"/>
      </w:pPr>
    </w:p>
    <w:p w:rsidR="005728DD" w:rsidRDefault="005728DD" w:rsidP="005728DD">
      <w:pPr>
        <w:pStyle w:val="TextoNormal"/>
      </w:pPr>
      <w:r>
        <w:t>Concluye la Sala el razonamiento atinente a esta protesta señalando que “el principio de igualdad de armas […] no se ve resentido cuando las armas que han de hacerse valer en un determinado proceso se trasladan a otro, cuyo objeto no es dilucidar las circunstancias de un incidente sobre las que, de forma insistente, se pretende interrogar”.</w:t>
      </w:r>
    </w:p>
    <w:p w:rsidR="005728DD" w:rsidRDefault="005728DD" w:rsidP="005728DD">
      <w:pPr>
        <w:pStyle w:val="TextoNormal"/>
      </w:pPr>
    </w:p>
    <w:p w:rsidR="005728DD" w:rsidRDefault="005728DD" w:rsidP="005728DD">
      <w:pPr>
        <w:pStyle w:val="TextoNormal"/>
      </w:pPr>
      <w:r>
        <w:t>g) Finalmente, el reparo que dirigió el presidente de la sala al letrado del recurrente, en la sesión de 27 de abril de 2019, cuando este utilizó la expresión “ley de ritos” para referirse a la Ley de enjuiciamiento criminal, también cuenta con una explicación en la sentencia de la Sala de lo Penal del Tribunal Supremo.</w:t>
      </w:r>
    </w:p>
    <w:p w:rsidR="005728DD" w:rsidRDefault="005728DD" w:rsidP="005728DD">
      <w:pPr>
        <w:pStyle w:val="TextoNormal"/>
      </w:pPr>
    </w:p>
    <w:p w:rsidR="005728DD" w:rsidRDefault="005728DD" w:rsidP="005728DD">
      <w:pPr>
        <w:pStyle w:val="TextoNormal"/>
      </w:pPr>
      <w:r>
        <w:t xml:space="preserve">Tras restar importancia al “reproche terminológico” de que se trata a fin de fundar la infracción del principio de igualdad de armas, subraya que la razón de este “no fue otra que el deseo de hacer compatible [la] permanente reivindicación de derechos fundamentales [por la defensa] con una visión del proceso que no estuviera anclada en la rancia concepción del proceso penal como una sucesión ordenada de ritos. El proceso penal es algo más que una mera ordenación formal de trámites. El proceso penal no se entiende si no se contempla como el conjunto de derechos y garantías que limitan el poder del Estado en el ejercicio del </w:t>
      </w:r>
      <w:r w:rsidRPr="005728DD">
        <w:rPr>
          <w:i/>
        </w:rPr>
        <w:t>ius puniendi</w:t>
      </w:r>
      <w:r>
        <w:t>. El distanciamiento tan marcado entre la legítima reivindicación de derechos y la identificación de la Ley de enjuiciamiento criminal como ‘ley rituaria’, es lo que llevó al presidente a sugerir un cambio terminológico”. Al tiempo, pone al otro lado de la balanza el hecho de que “la ‘Presidencia calificó como […] un abogado serio’ a quien hoy se queja y llegó a referirse a un letrado como ‘extraordinario procesalista’”, como pudieron comprobar los miles de personas que siguieron el desarrollo del juicio.</w:t>
      </w:r>
    </w:p>
    <w:p w:rsidR="005728DD" w:rsidRDefault="005728DD" w:rsidP="005728DD">
      <w:pPr>
        <w:pStyle w:val="TextoNormal"/>
      </w:pPr>
    </w:p>
    <w:p w:rsidR="005728DD" w:rsidRDefault="005728DD" w:rsidP="005728DD">
      <w:pPr>
        <w:pStyle w:val="TextoNormal"/>
      </w:pPr>
      <w:r>
        <w:t>A juicio de este tribunal, ninguno de estos acontecimientos, considerados aisladamente, tiene la entidad suficiente como para deducir una quiebra de la neutralidad judicial. Tomados conjuntamente y en el contexto del juicio, la tacha se desvanece por completo.</w:t>
      </w:r>
    </w:p>
    <w:p w:rsidR="005728DD" w:rsidRDefault="005728DD" w:rsidP="005728DD">
      <w:pPr>
        <w:pStyle w:val="TextoNormal"/>
      </w:pPr>
    </w:p>
    <w:p w:rsidR="005728DD" w:rsidRDefault="005728DD" w:rsidP="005728DD">
      <w:pPr>
        <w:pStyle w:val="TextoNormal"/>
      </w:pPr>
      <w:r>
        <w:t xml:space="preserve">No corresponde valorar a esta jurisdicción constitucional el acierto o no de las anteriores consideraciones, como venimos repitiendo. Nuestro enjuiciamiento, mucho más limitado, se circunscribe a constatar que las quejas de la parte recurrente han recibido por parte del tribunal encargado del enjuiciamiento —insistimos en que, conforme a nuestra Constitución, se trata del órgano jurisdiccional superior en todos los órdenes, salvo lo dispuesto en materia de garantías constitucionales (art. 123.1 CE)—, una respuesta explícita, completa, </w:t>
      </w:r>
      <w:r>
        <w:lastRenderedPageBreak/>
        <w:t>razonada y razonable. La motivación expuesta, que cubre la totalidad de las protestas relativas a incidencias producidas en el debate y la dirección de este por el presidente, cumple con el canon constitucional de razonabilidad que resulta aplicable, y elimina la sospecha de arbitrariedad y de trato desfavorable que suscita la parte recurrente. Todas y cada una de las decisiones adoptadas por el presidente en la dirección del juicio que han merecido reproche por parte de las defensas tienen una explicación razonada, siquiera no sea del agrado del demandante de amparo.</w:t>
      </w:r>
    </w:p>
    <w:p w:rsidR="005728DD" w:rsidRDefault="005728DD" w:rsidP="005728DD">
      <w:pPr>
        <w:pStyle w:val="TextoNormal"/>
      </w:pPr>
    </w:p>
    <w:p w:rsidR="005728DD" w:rsidRDefault="005728DD" w:rsidP="005728DD">
      <w:pPr>
        <w:pStyle w:val="TextoNormal"/>
      </w:pPr>
      <w:r>
        <w:t>C) Finalmente, las irregularidades denunciadas en la demanda de amparo no han causado a la parte indefensión material.</w:t>
      </w:r>
    </w:p>
    <w:p w:rsidR="005728DD" w:rsidRDefault="005728DD" w:rsidP="005728DD">
      <w:pPr>
        <w:pStyle w:val="TextoNormal"/>
      </w:pPr>
    </w:p>
    <w:p w:rsidR="005728DD" w:rsidRDefault="005728DD" w:rsidP="005728DD">
      <w:pPr>
        <w:pStyle w:val="TextoNormal"/>
      </w:pPr>
      <w:r>
        <w:t>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en los términos en que ha sido planteada la queja en la demanda, de lo que también se ha dado cuenta anteriormente. La parte recurrente no liga ninguna de las concretas vicisitudes en las que funda este motivo con algún hecho que se estimó probado o con la preterición por la sentencia de algún otro que, a su juicio, debiera haber integrado el relato histórico. Esto es lo que hubiera sido constitucionalmente relevante y justamente es lo que no consta: la mínima incidencia de las supuestas infracciones procesales en el resultado probatorio y, en definitiva, en las razones que llevaron a la condena de quien ahora recaba el amparo de esta jurisdicción constitucional.</w:t>
      </w:r>
    </w:p>
    <w:p w:rsidR="005728DD" w:rsidRDefault="005728DD" w:rsidP="005728DD">
      <w:pPr>
        <w:pStyle w:val="TextoNormal"/>
      </w:pPr>
    </w:p>
    <w:p w:rsidR="005728DD" w:rsidRDefault="005728DD" w:rsidP="005728DD">
      <w:pPr>
        <w:pStyle w:val="TextoNormal"/>
      </w:pPr>
      <w:r>
        <w:t>En definitiva, este tribunal entiende que la igualdad de las partes en el proceso ha sido respetada y no se han menoscabado sus facultades de participación en la práctica de la prueba testifical.</w:t>
      </w:r>
    </w:p>
    <w:p w:rsidR="005728DD" w:rsidRDefault="005728DD" w:rsidP="005728DD">
      <w:pPr>
        <w:pStyle w:val="TextoNormal"/>
      </w:pPr>
    </w:p>
    <w:p w:rsidR="005728DD" w:rsidRDefault="005728DD" w:rsidP="005728DD">
      <w:pPr>
        <w:pStyle w:val="TextoNormal"/>
      </w:pPr>
      <w:r>
        <w:t>Procede, en consecuencia, desestimar también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Derecho a la prueba</w:t>
      </w:r>
      <w:r>
        <w:t>.</w:t>
      </w:r>
    </w:p>
    <w:p w:rsidR="005728DD" w:rsidRDefault="005728DD" w:rsidP="005728DD">
      <w:pPr>
        <w:pStyle w:val="TextoNormal"/>
      </w:pPr>
    </w:p>
    <w:p w:rsidR="005728DD" w:rsidRDefault="005728DD" w:rsidP="005728DD">
      <w:pPr>
        <w:pStyle w:val="TextoNormal"/>
      </w:pPr>
      <w:r>
        <w:t>La demanda de amparo comprende, bajo la rúbrica de derecho de defensa, varias quejas que abarcan aspectos relativos a la admisión y práctica de la prueba. Se trata del acceso a las actuaciones de la instrucción llevada a cabo por el Juzgado de Instrucción núm. 13 de Barcelona, de la imposibilidad de contrastar las declaraciones testificales con la prueba documental videográfica y de la denegación de determinadas pruebas que, propuestas en tiempo y forma, la parte considera pertinentes. De todo ello se ha dejado detallado resumen en los antecedentes de esta resolución.</w:t>
      </w:r>
    </w:p>
    <w:p w:rsidR="005728DD" w:rsidRDefault="005728DD" w:rsidP="005728DD">
      <w:pPr>
        <w:pStyle w:val="TextoNormal"/>
      </w:pPr>
    </w:p>
    <w:p w:rsidR="005728DD" w:rsidRDefault="005728DD" w:rsidP="005728DD">
      <w:pPr>
        <w:pStyle w:val="TextoNormal"/>
      </w:pPr>
      <w:r>
        <w:t>La sentencia recurrida en amparo se refiere a estas materias en los apartados 8 y 16.1 y 10 del fundamento de Derecho A), respectivamente.</w:t>
      </w:r>
    </w:p>
    <w:p w:rsidR="005728DD" w:rsidRDefault="005728DD" w:rsidP="005728DD">
      <w:pPr>
        <w:pStyle w:val="TextoNormal"/>
      </w:pPr>
    </w:p>
    <w:p w:rsidR="005728DD" w:rsidRDefault="005728DD" w:rsidP="005728DD">
      <w:pPr>
        <w:pStyle w:val="TextoNormal"/>
      </w:pPr>
      <w:r>
        <w:t>En el examen de este motivo del recurso de amparo comenzaremos por la exposición de la doctrina constitucional aplicable para después considerar separadamente cada uno de los tres puntos cuestionados; análisis en el que valoraremos las posiciones de las partes y la respuesta dada por el Tribunal Supremo.</w:t>
      </w:r>
    </w:p>
    <w:p w:rsidR="005728DD" w:rsidRDefault="005728DD" w:rsidP="005728DD">
      <w:pPr>
        <w:pStyle w:val="TextoNormal"/>
      </w:pPr>
    </w:p>
    <w:p w:rsidR="005728DD" w:rsidRDefault="005728DD" w:rsidP="005728DD">
      <w:pPr>
        <w:pStyle w:val="TextoNormal"/>
      </w:pPr>
      <w:r>
        <w:t xml:space="preserve">8.1. </w:t>
      </w:r>
      <w:r w:rsidRPr="005728DD">
        <w:rPr>
          <w:i/>
        </w:rPr>
        <w:t>Doctrina constitucional</w:t>
      </w:r>
      <w:r>
        <w:t>.</w:t>
      </w:r>
    </w:p>
    <w:p w:rsidR="005728DD" w:rsidRDefault="005728DD" w:rsidP="005728DD">
      <w:pPr>
        <w:pStyle w:val="TextoNormal"/>
      </w:pPr>
    </w:p>
    <w:p w:rsidR="005728DD" w:rsidRDefault="005728DD" w:rsidP="005728DD">
      <w:pPr>
        <w:pStyle w:val="TextoNormal"/>
      </w:pPr>
      <w:r>
        <w:t>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SSTC 19/2001, de 29 de enero, FJ 4; 133/2003, de 30 de junio, FJ 3, y 212/2013, de 16 de diciembre, FJ 4).</w:t>
      </w:r>
    </w:p>
    <w:p w:rsidR="005728DD" w:rsidRDefault="005728DD" w:rsidP="005728DD">
      <w:pPr>
        <w:pStyle w:val="TextoNormal"/>
      </w:pPr>
    </w:p>
    <w:p w:rsidR="005728DD" w:rsidRDefault="005728DD" w:rsidP="005728DD">
      <w:pPr>
        <w:pStyle w:val="TextoNormal"/>
      </w:pPr>
      <w:r>
        <w:t>La doctrina de este tribunal sobre el derecho a la utilización de los medios de prueba pertinentes (art. 24.2 CE), puede sintetizarse, de acuerdo con la STC 165/2001, de 16 de julio, en los siguientes puntos:</w:t>
      </w:r>
    </w:p>
    <w:p w:rsidR="005728DD" w:rsidRDefault="005728DD" w:rsidP="005728DD">
      <w:pPr>
        <w:pStyle w:val="TextoNormal"/>
      </w:pPr>
    </w:p>
    <w:p w:rsidR="005728DD" w:rsidRDefault="005728DD" w:rsidP="005728DD">
      <w:pPr>
        <w:pStyle w:val="TextoNormal"/>
      </w:pPr>
      <w: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w:t>
      </w:r>
      <w:r w:rsidRPr="005728DD">
        <w:rPr>
          <w:i/>
        </w:rPr>
        <w:t>thema decidendi</w:t>
      </w:r>
      <w:r>
        <w:t xml:space="preserve"> (STC 26/2000, de 31 de enero, FJ 2).</w:t>
      </w:r>
    </w:p>
    <w:p w:rsidR="005728DD" w:rsidRDefault="005728DD" w:rsidP="005728DD">
      <w:pPr>
        <w:pStyle w:val="TextoNormal"/>
      </w:pPr>
    </w:p>
    <w:p w:rsidR="005728DD" w:rsidRDefault="005728DD" w:rsidP="005728DD">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96/2000, FJ 2).</w:t>
      </w:r>
    </w:p>
    <w:p w:rsidR="005728DD" w:rsidRDefault="005728DD" w:rsidP="005728DD">
      <w:pPr>
        <w:pStyle w:val="TextoNormal"/>
      </w:pPr>
    </w:p>
    <w:p w:rsidR="005728DD" w:rsidRDefault="005728DD" w:rsidP="005728DD">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5728DD" w:rsidRDefault="005728DD" w:rsidP="005728DD">
      <w:pPr>
        <w:pStyle w:val="TextoNormal"/>
      </w:pPr>
    </w:p>
    <w:p w:rsidR="005728DD" w:rsidRDefault="005728DD" w:rsidP="005728DD">
      <w:pPr>
        <w:pStyle w:val="TextoNormal"/>
      </w:pPr>
      <w: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w:t>
      </w:r>
      <w:r>
        <w:lastRenderedPageBreak/>
        <w:t>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005728DD" w:rsidRDefault="005728DD" w:rsidP="005728DD">
      <w:pPr>
        <w:pStyle w:val="TextoNormal"/>
      </w:pPr>
    </w:p>
    <w:p w:rsidR="005728DD" w:rsidRDefault="005728DD" w:rsidP="005728DD">
      <w:pPr>
        <w:pStyle w:val="TextoNormal"/>
      </w:pPr>
      <w: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w:t>
      </w:r>
      <w:r w:rsidRPr="005728DD">
        <w:rPr>
          <w:i/>
        </w:rPr>
        <w:t>a quo</w:t>
      </w:r>
      <w:r>
        <w:t xml:space="preserve">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005728DD" w:rsidRDefault="005728DD" w:rsidP="005728DD">
      <w:pPr>
        <w:pStyle w:val="TextoNormal"/>
      </w:pPr>
    </w:p>
    <w:p w:rsidR="005728DD" w:rsidRDefault="005728DD" w:rsidP="005728DD">
      <w:pPr>
        <w:pStyle w:val="TextoNormal"/>
      </w:pPr>
      <w:r>
        <w:t>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de 15 de enero; 217/1998 y 219/1998, de 16 de noviembre).</w:t>
      </w:r>
    </w:p>
    <w:p w:rsidR="005728DD" w:rsidRDefault="005728DD" w:rsidP="005728DD">
      <w:pPr>
        <w:pStyle w:val="TextoNormal"/>
      </w:pPr>
    </w:p>
    <w:p w:rsidR="005728DD" w:rsidRDefault="005728DD" w:rsidP="005728DD">
      <w:pPr>
        <w:pStyle w:val="TextoNormal"/>
      </w:pPr>
      <w:r>
        <w:t>8.2</w:t>
      </w:r>
      <w:r w:rsidRPr="005728DD">
        <w:rPr>
          <w:i/>
        </w:rPr>
        <w:t>. Resolución de la que</w:t>
      </w:r>
      <w:r>
        <w:t>ja.</w:t>
      </w:r>
    </w:p>
    <w:p w:rsidR="005728DD" w:rsidRDefault="005728DD" w:rsidP="005728DD">
      <w:pPr>
        <w:pStyle w:val="TextoNormal"/>
      </w:pPr>
    </w:p>
    <w:p w:rsidR="005728DD" w:rsidRDefault="005728DD" w:rsidP="005728DD">
      <w:pPr>
        <w:pStyle w:val="TextoNormal"/>
      </w:pPr>
      <w:r>
        <w:t>A fin de aplicar al caso la doctrina constitucional expuesta procedemos a efectuar un examen por separado de los puntos controvertidos. Son los siguientes:</w:t>
      </w:r>
    </w:p>
    <w:p w:rsidR="005728DD" w:rsidRDefault="005728DD" w:rsidP="005728DD">
      <w:pPr>
        <w:pStyle w:val="TextoNormal"/>
      </w:pPr>
    </w:p>
    <w:p w:rsidR="005728DD" w:rsidRDefault="005728DD" w:rsidP="005728DD">
      <w:pPr>
        <w:pStyle w:val="TextoNormal"/>
      </w:pPr>
      <w:r>
        <w:t>8.2.1. Acceso a las actuaciones e incorporación de testimonio íntegro de las diligencias previas núm. 118-2017 seguidas en el Juzgado de Instrucción núm. 13 de Barcelona.</w:t>
      </w:r>
    </w:p>
    <w:p w:rsidR="005728DD" w:rsidRDefault="005728DD" w:rsidP="005728DD">
      <w:pPr>
        <w:pStyle w:val="TextoNormal"/>
      </w:pPr>
    </w:p>
    <w:p w:rsidR="005728DD" w:rsidRDefault="005728DD" w:rsidP="005728DD">
      <w:pPr>
        <w:pStyle w:val="TextoNormal"/>
      </w:pPr>
      <w:r>
        <w:t xml:space="preserve">Según la parte recurrente, la inmensa mayoría de las actuaciones policiales de las que dimanó buena parte del material probatorio que, posteriormente, fue aportado al presente procedimiento por el fiscal, se llevaron a cabo con ocasión de las citadas diligencias previas, en las que el demandante no fue parte. Si bien reiteró su solicitud de incorporación íntegra </w:t>
      </w:r>
      <w:r>
        <w:lastRenderedPageBreak/>
        <w:t>de las actuaciones de lo que considera una “instrucción paralela”, recibió una respuesta negativa de la Sala. A su juicio, la procedencia de esta prueba radica en que habría permitido a las partes y al tribunal analizar todas estas actuaciones, integradas por informes técnicos, documentos y atestados, en cuya elaboración no habría intervenido el recurrente al no ser parte en dicho proceso, a fin de interrogar a procesados y testigos sobre todo ello, en su mayoría desconocido por el demandante de amparo. Agrega que se ha producido una anómala situación al impedirle intervenir en esta “instrucción paralela”, pues al no haber podido conocer y participar en actuaciones instructoras que pudieran beneficiarle, difícilmente pudo “proponer la práctica de medios de prueba, favorables a sus tesis, dimanantes de diligencias practicadas en instrucción”.</w:t>
      </w:r>
    </w:p>
    <w:p w:rsidR="005728DD" w:rsidRDefault="005728DD" w:rsidP="005728DD">
      <w:pPr>
        <w:pStyle w:val="TextoNormal"/>
      </w:pPr>
    </w:p>
    <w:p w:rsidR="005728DD" w:rsidRDefault="005728DD" w:rsidP="005728DD">
      <w:pPr>
        <w:pStyle w:val="TextoNormal"/>
      </w:pPr>
      <w:r>
        <w:t>El abogado del Estado considera que esta queja debe desestimarse dado que el bloque probatorio sobre el que se ha construido la apreciación del tribunal se ha generado, de forma única y exclusiva, en el plenario. Sobre la llamada “instrucción paralela”, trae a colación el criterio seguido por el instructor, en el auto de 15 de febrero de 2018, y por la Sala, en el auto de 27 de diciembre de 2018, para rechazar por exorbitante el criterio de incluir, dentro de la causa especial, a todos aquellos que prestaron su colaboración a la hora de ejecutar el plan estratégico ideado e impulsado por los representantes políticos y sociales, y niega que se haya impedido a las defensas conocer con tiempo suficiente los elementos incorporados de otras causas durante la instrucción. Finalmente afirma que existe un derecho de acceso a todos los documentos que van a ser valorados, pero no un derecho de acceso en calidad de “imputado preventivo” a otras causas, a fin de esclarecer si alguna actuación obrante en las mismas incide en el derecho de defensa.</w:t>
      </w:r>
    </w:p>
    <w:p w:rsidR="005728DD" w:rsidRDefault="005728DD" w:rsidP="005728DD">
      <w:pPr>
        <w:pStyle w:val="TextoNormal"/>
      </w:pPr>
    </w:p>
    <w:p w:rsidR="005728DD" w:rsidRDefault="005728DD" w:rsidP="005728DD">
      <w:pPr>
        <w:pStyle w:val="TextoNormal"/>
      </w:pPr>
      <w:r>
        <w:t>El partido político Vox se opone al motivo de amparo negando que la instrucción realmente se llevara a cabo en las citadas diligencias previas núm. 118-2017 del Juzgado de Instrucción núm. 13 de Barcelona, y asumiendo, de acuerdo con la sala sentenciadora, que en la causa solo se tuvieron en cuenta las pruebas practicadas en el juicio oral.</w:t>
      </w:r>
    </w:p>
    <w:p w:rsidR="005728DD" w:rsidRDefault="005728DD" w:rsidP="005728DD">
      <w:pPr>
        <w:pStyle w:val="TextoNormal"/>
      </w:pPr>
    </w:p>
    <w:p w:rsidR="005728DD" w:rsidRDefault="005728DD" w:rsidP="005728DD">
      <w:pPr>
        <w:pStyle w:val="TextoNormal"/>
      </w:pPr>
      <w:r>
        <w:t xml:space="preserve">El ministerio público entiende que la respuesta dada por el Tribunal Supremo a este punto es “motivada, seria, completa y razonable”. Destaca el carácter genérico de la proposición, sin cita de documentos ni precisión de la relación con </w:t>
      </w:r>
      <w:r w:rsidRPr="005728DD">
        <w:rPr>
          <w:i/>
        </w:rPr>
        <w:t>el thema decidendi</w:t>
      </w:r>
      <w:r>
        <w:t>, así como que se admitió la incorporación de documentos y piezas de convicción pero “no de lo que no tiene esa condición por tratarse de meras actuaciones reseñadas por escrito o declaraciones, diligencias y actuaciones procesales o pre procesales o policiales documentadas”. Por último, sostiene que el criterio de admisión fue común para acusaciones y defensas, lo que descarta un trato desigual.</w:t>
      </w:r>
    </w:p>
    <w:p w:rsidR="005728DD" w:rsidRDefault="005728DD" w:rsidP="005728DD">
      <w:pPr>
        <w:pStyle w:val="TextoNormal"/>
      </w:pPr>
    </w:p>
    <w:p w:rsidR="005728DD" w:rsidRDefault="005728DD" w:rsidP="005728DD">
      <w:pPr>
        <w:pStyle w:val="TextoNormal"/>
      </w:pPr>
      <w:r>
        <w:t>La respuesta de la sentencia impugnada a la protesta de que se trata está contenida en el apartado 8 del fundamento de Derecho A). Tras un texto introductorio cuya reproducción omitimos, por ser sustancialmente coincidente con el contenido de la queja que figura en la argumentación esgrimida en este recurso de amparo, el Tribunal Supremo comienza por refutar el punto de partida del planteamiento de la parte recurrente. Razona lo que sigue:</w:t>
      </w:r>
    </w:p>
    <w:p w:rsidR="005728DD" w:rsidRDefault="005728DD" w:rsidP="005728DD">
      <w:pPr>
        <w:pStyle w:val="TextoNormal"/>
      </w:pPr>
    </w:p>
    <w:p w:rsidR="005728DD" w:rsidRDefault="005728DD" w:rsidP="005728DD">
      <w:pPr>
        <w:pStyle w:val="TextoNormal"/>
      </w:pPr>
      <w:r>
        <w:t xml:space="preserve">«Parte de un equívoco. 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w:t>
      </w:r>
      <w:r>
        <w:lastRenderedPageBreak/>
        <w:t xml:space="preserve">de prueba cuyo contenido, sin embargo, se desconoce. Si bien se mira, lo que se está reivindicando es una suerte de imputación preventiva, paralela a la que afecta a los acusados en este procedimiento. Se trataría así de estar en condiciones de ejercer una defensa </w:t>
      </w:r>
      <w:r w:rsidRPr="005728DD">
        <w:rPr>
          <w:i/>
        </w:rPr>
        <w:t>ad cautelam</w:t>
      </w:r>
      <w:r>
        <w:t xml:space="preserve"> por si algo de lo que pueda haber allí, pudiera servir aquí.</w:t>
      </w:r>
    </w:p>
    <w:p w:rsidR="005728DD" w:rsidRDefault="005728DD" w:rsidP="005728DD">
      <w:pPr>
        <w:pStyle w:val="TextoNormal"/>
      </w:pPr>
    </w:p>
    <w:p w:rsidR="005728DD" w:rsidRDefault="005728DD" w:rsidP="005728DD">
      <w:pPr>
        <w:pStyle w:val="TextoNormal"/>
      </w:pPr>
      <w:r>
        <w:t>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005728DD" w:rsidRDefault="005728DD" w:rsidP="005728DD">
      <w:pPr>
        <w:pStyle w:val="TextoNormal"/>
      </w:pPr>
    </w:p>
    <w:p w:rsidR="005728DD" w:rsidRDefault="005728DD" w:rsidP="005728DD">
      <w:pPr>
        <w:pStyle w:val="TextoNormal"/>
      </w:pPr>
      <w:r>
        <w:t>[…],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005728DD" w:rsidRDefault="005728DD" w:rsidP="005728DD">
      <w:pPr>
        <w:pStyle w:val="TextoNormal"/>
      </w:pPr>
    </w:p>
    <w:p w:rsidR="005728DD" w:rsidRDefault="005728DD" w:rsidP="005728DD">
      <w:pPr>
        <w:pStyle w:val="TextoNormal"/>
      </w:pPr>
      <w:r>
        <w:t>[…]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005728DD" w:rsidRDefault="005728DD" w:rsidP="005728DD">
      <w:pPr>
        <w:pStyle w:val="TextoNormal"/>
      </w:pPr>
    </w:p>
    <w:p w:rsidR="005728DD" w:rsidRDefault="005728DD" w:rsidP="005728DD">
      <w:pPr>
        <w:pStyle w:val="TextoNormal"/>
      </w:pPr>
      <w:r>
        <w:t>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005728DD" w:rsidRDefault="005728DD" w:rsidP="005728DD">
      <w:pPr>
        <w:pStyle w:val="TextoNormal"/>
      </w:pPr>
    </w:p>
    <w:p w:rsidR="005728DD" w:rsidRDefault="005728DD" w:rsidP="005728DD">
      <w:pPr>
        <w:pStyle w:val="TextoNormal"/>
      </w:pPr>
      <w:r>
        <w:lastRenderedPageBreak/>
        <w:t>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005728DD" w:rsidRDefault="005728DD" w:rsidP="005728DD">
      <w:pPr>
        <w:pStyle w:val="TextoNormal"/>
      </w:pPr>
    </w:p>
    <w:p w:rsidR="005728DD" w:rsidRDefault="005728DD" w:rsidP="005728DD">
      <w:pPr>
        <w:pStyle w:val="TextoNormal"/>
      </w:pPr>
      <w:r>
        <w:t>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005728DD" w:rsidRDefault="005728DD" w:rsidP="005728DD">
      <w:pPr>
        <w:pStyle w:val="TextoNormal"/>
      </w:pPr>
    </w:p>
    <w:p w:rsidR="005728DD" w:rsidRDefault="005728DD" w:rsidP="005728DD">
      <w:pPr>
        <w:pStyle w:val="TextoNormal"/>
      </w:pPr>
      <w:r>
        <w:t>En el fundamento de Derecho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005728DD" w:rsidRDefault="005728DD" w:rsidP="005728DD">
      <w:pPr>
        <w:pStyle w:val="TextoNormal"/>
      </w:pPr>
    </w:p>
    <w:p w:rsidR="005728DD" w:rsidRDefault="005728DD" w:rsidP="005728DD">
      <w:pPr>
        <w:pStyle w:val="TextoNormal"/>
      </w:pPr>
      <w:r>
        <w:t>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005728DD" w:rsidRDefault="005728DD" w:rsidP="005728DD">
      <w:pPr>
        <w:pStyle w:val="TextoNormal"/>
      </w:pPr>
    </w:p>
    <w:p w:rsidR="005728DD" w:rsidRDefault="005728DD" w:rsidP="005728DD">
      <w:pPr>
        <w:pStyle w:val="TextoNormal"/>
      </w:pPr>
      <w:r>
        <w:t>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005728DD" w:rsidRDefault="005728DD" w:rsidP="005728DD">
      <w:pPr>
        <w:pStyle w:val="TextoNormal"/>
      </w:pPr>
    </w:p>
    <w:p w:rsidR="005728DD" w:rsidRDefault="005728DD" w:rsidP="005728DD">
      <w:pPr>
        <w:pStyle w:val="TextoNormal"/>
      </w:pPr>
      <w:r>
        <w:t xml:space="preserve">Frente a estas respuestas dadas por la Sala de lo Penal del Tribunal Supremo, la argumentación contenida en la demanda, que ha quedado reseñada más arriba, no contiene crítica alguna, hasta el punto de que ni siquiera toma en consideración la contestación judicial </w:t>
      </w:r>
      <w:r>
        <w:lastRenderedPageBreak/>
        <w:t xml:space="preserve">trascrita ni, por consiguiente, desarrolla discurso alguno tendente a refutarla. Su posición, según hemos dicho, consiste, básicamente, en: (i) mantener la premisa de que en las diligencias previas seguidas por el Juzgado de Instrucción núm. 13 de Barcelona figuran gran parte de las actuaciones policiales que posteriormente fueron aportadas como prueba al plenario; (ii) lamentar que, puesto que no fue parte en ese procedimiento, no tuvo conocimiento de ellas; (iii) y afirmar que la incorporación del testimonio íntegro de tales diligencias habría permitido a las partes y al tribunal analizar la totalidad de las actuaciones e interrogar a procesados y testigos sobre todo ello. A lo largo de su argumentación no se justifica la realidad de la “instrucción paralela”, cuya existencia afirma de modo apodíctico y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 Tampoco se razona, más allá de referencias genéricas, sobre el concreto objeto de las actuaciones preprocesales y procesales documentadas que no se incorporaron como consecuencia de la denegación de lo pretendido, y su pertinencia por su relación con el </w:t>
      </w:r>
      <w:r w:rsidRPr="005728DD">
        <w:rPr>
          <w:i/>
        </w:rPr>
        <w:t>thema decidendi</w:t>
      </w:r>
      <w:r>
        <w:t>. No nos dice el recurrente siquiera qué hecho pretendió probar con la prueba que propuso y que fue inadmitida.</w:t>
      </w:r>
    </w:p>
    <w:p w:rsidR="005728DD" w:rsidRDefault="005728DD" w:rsidP="005728DD">
      <w:pPr>
        <w:pStyle w:val="TextoNormal"/>
      </w:pPr>
    </w:p>
    <w:p w:rsidR="005728DD" w:rsidRDefault="005728DD" w:rsidP="005728DD">
      <w:pPr>
        <w:pStyle w:val="TextoNormal"/>
      </w:pPr>
      <w:r>
        <w:t>Cabe añadir que, en el caso de don Jordi Sànchez, no puede atenderse tampoco al argumento según el cual la práctica totalidad de los informes y documentos referentes al delito de malversación provenían de las diligencias previas seguidas por el Juzgado de Instrucción núm. 13 de Barcelona, pues no fue condenado por ese delito.</w:t>
      </w:r>
    </w:p>
    <w:p w:rsidR="005728DD" w:rsidRDefault="005728DD" w:rsidP="005728DD">
      <w:pPr>
        <w:pStyle w:val="TextoNormal"/>
      </w:pPr>
    </w:p>
    <w:p w:rsidR="005728DD" w:rsidRDefault="005728DD" w:rsidP="005728DD">
      <w:pPr>
        <w:pStyle w:val="TextoNormal"/>
      </w:pPr>
      <w:r>
        <w:t>En definitiva, no se da en la demanda razón alguna que nos conduzca a calificar la respuesta dada por el Tribunal Supremo como arbitraria o irrazonable, ni que determine que la ausencia de la incorporación del testimonio íntegro que se solicitó hubiera sido decisiva en términos de defensa. Esto nos lleva, en aplicación de la doctrina constitucional expuesta, a desestimar el alegato de vulneración del derecho a la prueba.</w:t>
      </w:r>
    </w:p>
    <w:p w:rsidR="005728DD" w:rsidRDefault="005728DD" w:rsidP="005728DD">
      <w:pPr>
        <w:pStyle w:val="TextoNormal"/>
      </w:pPr>
    </w:p>
    <w:p w:rsidR="005728DD" w:rsidRDefault="005728DD" w:rsidP="005728DD">
      <w:pPr>
        <w:pStyle w:val="TextoNormal"/>
      </w:pPr>
      <w:r>
        <w:t>8.2.2. Imposibilidad de contrastar las declaraciones testificales con la prueba documental videográfica.</w:t>
      </w:r>
    </w:p>
    <w:p w:rsidR="005728DD" w:rsidRDefault="005728DD" w:rsidP="005728DD">
      <w:pPr>
        <w:pStyle w:val="TextoNormal"/>
      </w:pPr>
    </w:p>
    <w:p w:rsidR="005728DD" w:rsidRDefault="005728DD" w:rsidP="005728DD">
      <w:pPr>
        <w:pStyle w:val="TextoNormal"/>
      </w:pPr>
      <w:r>
        <w:t>La parte recurrente considera que, tras haber permitido ese contraste con algunos testigos iniciales (señores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Tacha esta decisión de contradictoria y añade que la confrontación entre lo declarado por un testigo y la prueba videográfica está prevista en el art. 729.3 LECrim y constituye una práctica absolutamente habitual en los tribunales españoles. A su juicio, de haberse permitido su práctica, se habría evitado que “algunos testigos mintieran a la sala o exageraran ostensiblemente en su declaración” y se habría posibilitado que “los testigos pudieran rectificar el sentido de sus declaraciones mendaces o exageradas”.</w:t>
      </w:r>
    </w:p>
    <w:p w:rsidR="005728DD" w:rsidRDefault="005728DD" w:rsidP="005728DD">
      <w:pPr>
        <w:pStyle w:val="TextoNormal"/>
      </w:pPr>
    </w:p>
    <w:p w:rsidR="005728DD" w:rsidRDefault="005728DD" w:rsidP="005728DD">
      <w:pPr>
        <w:pStyle w:val="TextoNormal"/>
      </w:pPr>
      <w:r>
        <w:t xml:space="preserve">Para el abogado del Estado el órgano judicial ha guardado un estricto respeto a la garantía de contradicción para que el acusado tenga la posibilidad de interrogar a quien declara en </w:t>
      </w:r>
      <w:r>
        <w:lastRenderedPageBreak/>
        <w:t>su contra y, de este modo, controvertir su credibilidad conforme a lo establecido en los arts. 6.3 d) y 6.1 CEDH. Por su parte, el partido político Vox señala que no se alcanza a comprender en qué aspecto podría haber mejorado la valoración de la prueba por parte de la Sala, si se hubieran practicado la prueba videográfica y las testificales al unísono.</w:t>
      </w:r>
    </w:p>
    <w:p w:rsidR="005728DD" w:rsidRDefault="005728DD" w:rsidP="005728DD">
      <w:pPr>
        <w:pStyle w:val="TextoNormal"/>
      </w:pPr>
    </w:p>
    <w:p w:rsidR="005728DD" w:rsidRDefault="005728DD" w:rsidP="005728DD">
      <w:pPr>
        <w:pStyle w:val="TextoNormal"/>
      </w:pPr>
      <w:r>
        <w:t>El Ministerio Fiscal considera que, también en este aspecto, la respuesta judicial es “motivada, completa, seria y rigurosa”, sin producir indefensión material. Argumenta que durante el juicio oral los testigos declararon en interrogatorio cruzado sobre los extremos que interesaban a la acusación y defensa; y se reprodujeron los vídeos. A partir de aquí, los informes orales constituyen el trámite idóneo para que las partes incidan sobre todo este material probatorio a fin de formar la convicción del tribunal sentenciador.</w:t>
      </w:r>
    </w:p>
    <w:p w:rsidR="005728DD" w:rsidRDefault="005728DD" w:rsidP="005728DD">
      <w:pPr>
        <w:pStyle w:val="TextoNormal"/>
      </w:pPr>
    </w:p>
    <w:p w:rsidR="005728DD" w:rsidRDefault="005728DD" w:rsidP="005728DD">
      <w:pPr>
        <w:pStyle w:val="TextoNormal"/>
      </w:pPr>
      <w:r>
        <w:t>La sentencia impugnada se refiere a este punto en el apartado 16.1 del fundamento de Derecho A). Tras una amplia referencia al significado del principio de contradicción con cita de jurisprudencia constitucional y del Tribunal Europeo de Derechos Humanos, el Tribunal Supremo argumenta lo que sigue:</w:t>
      </w:r>
    </w:p>
    <w:p w:rsidR="005728DD" w:rsidRDefault="005728DD" w:rsidP="005728DD">
      <w:pPr>
        <w:pStyle w:val="TextoNormal"/>
      </w:pPr>
    </w:p>
    <w:p w:rsidR="005728DD" w:rsidRDefault="005728DD" w:rsidP="005728DD">
      <w:pPr>
        <w:pStyle w:val="TextoNormal"/>
      </w:pPr>
      <w:r>
        <w:t>“El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005728DD" w:rsidRDefault="005728DD" w:rsidP="005728DD">
      <w:pPr>
        <w:pStyle w:val="TextoNormal"/>
      </w:pPr>
    </w:p>
    <w:p w:rsidR="005728DD" w:rsidRDefault="005728DD" w:rsidP="005728DD">
      <w:pPr>
        <w:pStyle w:val="TextoNormal"/>
      </w:pPr>
      <w:r>
        <w:t>Y no es ese el contenido material del principio de contradicción.</w:t>
      </w:r>
    </w:p>
    <w:p w:rsidR="005728DD" w:rsidRDefault="005728DD" w:rsidP="005728DD">
      <w:pPr>
        <w:pStyle w:val="TextoNormal"/>
      </w:pPr>
    </w:p>
    <w:p w:rsidR="005728DD" w:rsidRDefault="005728DD" w:rsidP="005728DD">
      <w:pPr>
        <w:pStyle w:val="TextoNormal"/>
      </w:pPr>
      <w:r>
        <w:t>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005728DD" w:rsidRDefault="005728DD" w:rsidP="005728DD">
      <w:pPr>
        <w:pStyle w:val="TextoNormal"/>
      </w:pPr>
    </w:p>
    <w:p w:rsidR="005728DD" w:rsidRDefault="005728DD" w:rsidP="005728DD">
      <w:pPr>
        <w:pStyle w:val="TextoNormal"/>
      </w:pPr>
      <w:r>
        <w:t>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005728DD" w:rsidRDefault="005728DD" w:rsidP="005728DD">
      <w:pPr>
        <w:pStyle w:val="TextoNormal"/>
      </w:pPr>
    </w:p>
    <w:p w:rsidR="005728DD" w:rsidRDefault="005728DD" w:rsidP="005728DD">
      <w:pPr>
        <w:pStyle w:val="TextoNormal"/>
      </w:pPr>
      <w:r>
        <w:t>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005728DD" w:rsidRDefault="005728DD" w:rsidP="005728DD">
      <w:pPr>
        <w:pStyle w:val="TextoNormal"/>
      </w:pPr>
    </w:p>
    <w:p w:rsidR="005728DD" w:rsidRDefault="005728DD" w:rsidP="005728DD">
      <w:pPr>
        <w:pStyle w:val="TextoNormal"/>
      </w:pPr>
      <w:r>
        <w:lastRenderedPageBreak/>
        <w:t>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 ‘[…] es que lo estoy viendo yo’, llegó a afirmar, convirtiendo lo que tenía que haber sido el examen de un testigo en un insólito careo entre el ciudadano que declara y el letrado que lo interroga.</w:t>
      </w:r>
    </w:p>
    <w:p w:rsidR="005728DD" w:rsidRDefault="005728DD" w:rsidP="005728DD">
      <w:pPr>
        <w:pStyle w:val="TextoNormal"/>
      </w:pPr>
    </w:p>
    <w:p w:rsidR="005728DD" w:rsidRDefault="005728DD" w:rsidP="005728DD">
      <w:pPr>
        <w:pStyle w:val="TextoNormal"/>
      </w:pPr>
      <w:r>
        <w:t>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005728DD" w:rsidRDefault="005728DD" w:rsidP="005728DD">
      <w:pPr>
        <w:pStyle w:val="TextoNormal"/>
      </w:pPr>
    </w:p>
    <w:p w:rsidR="005728DD" w:rsidRDefault="005728DD" w:rsidP="005728DD">
      <w:pPr>
        <w:pStyle w:val="TextoNormal"/>
      </w:pPr>
      <w:r>
        <w:t>Todas las fuentes de prueba han sido objeto del examen cruzado de acusaciones y defensas.</w:t>
      </w:r>
    </w:p>
    <w:p w:rsidR="005728DD" w:rsidRDefault="005728DD" w:rsidP="005728DD">
      <w:pPr>
        <w:pStyle w:val="TextoNormal"/>
      </w:pPr>
    </w:p>
    <w:p w:rsidR="005728DD" w:rsidRDefault="005728DD" w:rsidP="005728DD">
      <w:pPr>
        <w:pStyle w:val="TextoNormal"/>
      </w:pPr>
      <w:r>
        <w:t>[…]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005728DD" w:rsidRDefault="005728DD" w:rsidP="005728DD">
      <w:pPr>
        <w:pStyle w:val="TextoNormal"/>
      </w:pPr>
    </w:p>
    <w:p w:rsidR="005728DD" w:rsidRDefault="005728DD" w:rsidP="005728DD">
      <w:pPr>
        <w:pStyle w:val="TextoNormal"/>
      </w:pPr>
      <w:r>
        <w:t>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005728DD" w:rsidRDefault="005728DD" w:rsidP="005728DD">
      <w:pPr>
        <w:pStyle w:val="TextoNormal"/>
      </w:pPr>
    </w:p>
    <w:p w:rsidR="005728DD" w:rsidRDefault="005728DD" w:rsidP="005728DD">
      <w:pPr>
        <w:pStyle w:val="TextoNormal"/>
      </w:pPr>
      <w:r>
        <w:t xml:space="preserve">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w:t>
      </w:r>
      <w:r>
        <w:lastRenderedPageBreak/>
        <w:t>la práctica de la prueba testifical de las acusaciones, pero interpretan la declaración de los testigos de las defensas como el testimonio de ciudadanos comprometidos con la verdad, valgan algunos ejemplos.</w:t>
      </w:r>
    </w:p>
    <w:p w:rsidR="005728DD" w:rsidRDefault="005728DD" w:rsidP="005728DD">
      <w:pPr>
        <w:pStyle w:val="TextoNormal"/>
      </w:pPr>
    </w:p>
    <w:p w:rsidR="005728DD" w:rsidRDefault="005728DD" w:rsidP="005728DD">
      <w:pPr>
        <w:pStyle w:val="TextoNormal"/>
      </w:pPr>
      <w:r>
        <w:t>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005728DD" w:rsidRDefault="005728DD" w:rsidP="005728DD">
      <w:pPr>
        <w:pStyle w:val="TextoNormal"/>
      </w:pPr>
    </w:p>
    <w:p w:rsidR="005728DD" w:rsidRDefault="005728DD" w:rsidP="005728DD">
      <w:pPr>
        <w:pStyle w:val="TextoNormal"/>
      </w:pPr>
      <w:r>
        <w:t>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005728DD" w:rsidRDefault="005728DD" w:rsidP="005728DD">
      <w:pPr>
        <w:pStyle w:val="TextoNormal"/>
      </w:pPr>
    </w:p>
    <w:p w:rsidR="005728DD" w:rsidRDefault="005728DD" w:rsidP="005728DD">
      <w:pPr>
        <w:pStyle w:val="TextoNormal"/>
      </w:pPr>
      <w:r>
        <w:t>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005728DD" w:rsidRDefault="005728DD" w:rsidP="005728DD">
      <w:pPr>
        <w:pStyle w:val="TextoNormal"/>
      </w:pPr>
    </w:p>
    <w:p w:rsidR="005728DD" w:rsidRDefault="005728DD" w:rsidP="005728DD">
      <w:pPr>
        <w:pStyle w:val="TextoNormal"/>
      </w:pPr>
      <w:r>
        <w:t xml:space="preserve">Como puede observarse, la queja, que tiene que ver con el modo de practicar el interrogatorio de testigos y no con la denegación de una determinada prueba, toma también un </w:t>
      </w:r>
      <w:r>
        <w:lastRenderedPageBreak/>
        <w:t>punto de partida desviado de la realidad.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005728DD" w:rsidRDefault="005728DD" w:rsidP="005728DD">
      <w:pPr>
        <w:pStyle w:val="TextoNormal"/>
      </w:pPr>
    </w:p>
    <w:p w:rsidR="005728DD" w:rsidRDefault="005728DD" w:rsidP="005728DD">
      <w:pPr>
        <w:pStyle w:val="TextoNormal"/>
      </w:pPr>
      <w:r>
        <w:t>Al igual que en el caso anterior, tampoco en este se desarrolla una argumentación crítica frente a las respuestas dadas en la sentencia. Se insiste en que la decisión de impedir la exhibición de vídeos a los testigos se adoptó de modo sobrevenido, a consecuencia de un cambio de criterio de la sala, porque a los primeros testigos sí se mostraron vídeos para contrastar la veracidad de sus manifestaciones con las imágenes, y también se les permitió mostrar documentos “en soporte papel”. Y se reitera la razón de la utilidad de la práctica solicitada, que, a juicio de la parte recurrente, reside en la posibilidad de conminar al testigo, “a la vista de las imágenes, a rectificar el sentido de su declaración mendaz o exagerada”. Tales extremos cuentan, como hemos visto, con una contestación razonada del Tribunal Supremo que considera, principalmente, las siguientes razones:</w:t>
      </w:r>
    </w:p>
    <w:p w:rsidR="005728DD" w:rsidRDefault="005728DD" w:rsidP="005728DD">
      <w:pPr>
        <w:pStyle w:val="TextoNormal"/>
      </w:pPr>
    </w:p>
    <w:p w:rsidR="005728DD" w:rsidRDefault="005728DD" w:rsidP="005728DD">
      <w:pPr>
        <w:pStyle w:val="TextoNormal"/>
      </w:pPr>
      <w:r>
        <w:t>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005728DD" w:rsidRDefault="005728DD" w:rsidP="005728DD">
      <w:pPr>
        <w:pStyle w:val="TextoNormal"/>
      </w:pPr>
    </w:p>
    <w:p w:rsidR="005728DD" w:rsidRDefault="005728DD" w:rsidP="005728DD">
      <w:pPr>
        <w:pStyle w:val="TextoNormal"/>
      </w:pPr>
      <w:r>
        <w:t>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005728DD" w:rsidRDefault="005728DD" w:rsidP="005728DD">
      <w:pPr>
        <w:pStyle w:val="TextoNormal"/>
      </w:pPr>
    </w:p>
    <w:p w:rsidR="005728DD" w:rsidRDefault="005728DD" w:rsidP="005728DD">
      <w:pPr>
        <w:pStyle w:val="TextoNormal"/>
      </w:pPr>
      <w:r>
        <w:t xml:space="preserve">c) Ninguna declaración testifical fue determinante. El Tribunal Supremo, que adorna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w:t>
      </w:r>
      <w:r>
        <w:lastRenderedPageBreak/>
        <w:t>día 20 de septiembre de 2017 y en los centros de votación del día 1 de octubre del mismo año, no es consecuencia de la valoración excluyente de una u otra declaración testifical, sino, como se expresa en la sentencia recurrida, el relato fáctico deriva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005728DD" w:rsidRDefault="005728DD" w:rsidP="005728DD">
      <w:pPr>
        <w:pStyle w:val="TextoNormal"/>
      </w:pPr>
    </w:p>
    <w:p w:rsidR="005728DD" w:rsidRDefault="005728DD" w:rsidP="005728DD">
      <w:pPr>
        <w:pStyle w:val="TextoNormal"/>
      </w:pPr>
      <w:r>
        <w:t>Este tribunal entiende, a la vista de cuanto se ha expresado, que la motivación empleada por el Tribunal Supremo para denegar lo pretendido es suficiente y no puede calificarse de arbitraria o irrazonable. En todo caso, no se aprecia que el modo en que finalmente se practicó la prueba testifical en el juicio causara indefensión alguna a la parte recurrente.</w:t>
      </w:r>
    </w:p>
    <w:p w:rsidR="005728DD" w:rsidRDefault="005728DD" w:rsidP="005728DD">
      <w:pPr>
        <w:pStyle w:val="TextoNormal"/>
      </w:pPr>
    </w:p>
    <w:p w:rsidR="005728DD" w:rsidRDefault="005728DD" w:rsidP="005728DD">
      <w:pPr>
        <w:pStyle w:val="TextoNormal"/>
      </w:pPr>
      <w:r>
        <w:t>8.2.3. La denegación de algunas pruebas propuestas por la defensa.</w:t>
      </w:r>
    </w:p>
    <w:p w:rsidR="005728DD" w:rsidRDefault="005728DD" w:rsidP="005728DD">
      <w:pPr>
        <w:pStyle w:val="TextoNormal"/>
      </w:pPr>
    </w:p>
    <w:p w:rsidR="005728DD" w:rsidRDefault="005728DD" w:rsidP="005728DD">
      <w:pPr>
        <w:pStyle w:val="TextoNormal"/>
      </w:pPr>
      <w:r>
        <w:t>De acuerdo con la demanda de amparo, la queja se concreta en la negativa a librar oficio con el fin identificar a los titulares de dos cuentas de la red social Twitter, la incorporación de determinados documentos (en concreto, dentro de la más documental segunda, los documentos 4, comprensivo de “tuits publicados por don Jordi Sànchez en fecha 20 de septiembre de 2017”, 7, que incluía “mensajes de Twitter publicados por el señor Sànchez el 1 de octubre de 2017”, 11, con “mensajes publicados el 3 de octubre” y 15, que integraba la “grabación de la llamada telefónica realizada el 20 de septiembre de 2017 por parte del programa radiofónico ‘El Matí de Catalunya Radio’” al mismo señor Sànchez), y la denegación de las testificales del rey de España don Felipe VI o, en su defecto, del jefe de la Casa de Su Majestad el Rey, don Jaime Alfonsín Alfonso, y del expresidente de la Generalitat de Cataluña don Carles Puigdemont.</w:t>
      </w:r>
    </w:p>
    <w:p w:rsidR="005728DD" w:rsidRDefault="005728DD" w:rsidP="005728DD">
      <w:pPr>
        <w:pStyle w:val="TextoNormal"/>
      </w:pPr>
    </w:p>
    <w:p w:rsidR="005728DD" w:rsidRDefault="005728DD" w:rsidP="005728DD">
      <w:pPr>
        <w:pStyle w:val="TextoNormal"/>
      </w:pPr>
      <w:r>
        <w:t>De todo ello, y de las razones por las que la parte recurrente considera pertinentes y útiles dichas pruebas, así como de las posiciones de las demás partes, se ha dejado constancia detallada en el apartado de antecedentes de esta sentencia, al que nos remitimos.</w:t>
      </w:r>
    </w:p>
    <w:p w:rsidR="005728DD" w:rsidRDefault="005728DD" w:rsidP="005728DD">
      <w:pPr>
        <w:pStyle w:val="TextoNormal"/>
      </w:pPr>
    </w:p>
    <w:p w:rsidR="005728DD" w:rsidRDefault="005728DD" w:rsidP="005728DD">
      <w:pPr>
        <w:pStyle w:val="TextoNormal"/>
      </w:pPr>
      <w:r>
        <w:t>También aquí el Tribunal Supremo ha expresado a lo largo de la causa las razones por las que acordó no admitir dichas pruebas.</w:t>
      </w:r>
    </w:p>
    <w:p w:rsidR="005728DD" w:rsidRDefault="005728DD" w:rsidP="005728DD">
      <w:pPr>
        <w:pStyle w:val="TextoNormal"/>
      </w:pPr>
    </w:p>
    <w:p w:rsidR="005728DD" w:rsidRDefault="005728DD" w:rsidP="005728DD">
      <w:pPr>
        <w:pStyle w:val="TextoNormal"/>
      </w:pPr>
      <w:r>
        <w:t>a) El apartado 10.2 d) del fundamento de Derecho A) de la sentencia recurrida se refiere a la solitud de las defensas para que “se requiriera a la Unidad Central de Delitos Informáticos de los Mossos a fin de que facilitara […] los datos del titular de la cuenta de la red social Facebook ‘Montse del Toro’ y de la red social Twitter ‘@maquiavelo1984’ y ‘@JDanielBaena’”. Dice al respecto lo siguiente:</w:t>
      </w:r>
    </w:p>
    <w:p w:rsidR="005728DD" w:rsidRDefault="005728DD" w:rsidP="005728DD">
      <w:pPr>
        <w:pStyle w:val="TextoNormal"/>
      </w:pPr>
    </w:p>
    <w:p w:rsidR="005728DD" w:rsidRDefault="005728DD" w:rsidP="005728DD">
      <w:pPr>
        <w:pStyle w:val="TextoNormal"/>
      </w:pPr>
      <w:r>
        <w:t>“Se pretendía así demostrar la falta de imparcialidad de algunos de los funcionarios que intervinieron en la fase de investigación de la presente causa. El perfil ideológico que se deriva de sus tuits y de los comentarios expresados en Facebook sería suficiente para concluir la animadversión de sus titulares respecto de los procesados.</w:t>
      </w:r>
    </w:p>
    <w:p w:rsidR="005728DD" w:rsidRDefault="005728DD" w:rsidP="005728DD">
      <w:pPr>
        <w:pStyle w:val="TextoNormal"/>
      </w:pPr>
    </w:p>
    <w:p w:rsidR="005728DD" w:rsidRDefault="005728DD" w:rsidP="005728DD">
      <w:pPr>
        <w:pStyle w:val="TextoNormal"/>
      </w:pPr>
      <w:r>
        <w:t>En el auto de 1 de febrero de 2019 ya justificábamos la exclusión de esa propuesta probatoria al entender que la investigación de comentarios vertidos en redes sociales para definir el perfil ideológico de un mando de las fuerzas y cuerpos de seguridad del Estado o de una letrada de la administración de justicia, desborda los límites objetivos y subjetivos del proceso, tal y como estos han sido delimitados. También es ajeno al objeto de esta causa indagar mediante qué procedimiento han obtenido las defensas la información que permite asociar que unos datos y u</w:t>
      </w:r>
      <w:r w:rsidRPr="005728DD">
        <w:rPr>
          <w:i/>
        </w:rPr>
        <w:t>n nickna</w:t>
      </w:r>
      <w:r>
        <w:t>me están vinculados a una determinada persona.</w:t>
      </w:r>
    </w:p>
    <w:p w:rsidR="005728DD" w:rsidRDefault="005728DD" w:rsidP="005728DD">
      <w:pPr>
        <w:pStyle w:val="TextoNormal"/>
      </w:pPr>
    </w:p>
    <w:p w:rsidR="005728DD" w:rsidRDefault="005728DD" w:rsidP="005728DD">
      <w:pPr>
        <w:pStyle w:val="TextoNormal"/>
      </w:pPr>
      <w:r>
        <w:t>Sea como fuere, dos razones descartan cualquier clase de indefensión. De un lado, conviene recordar que don Daniel Baena y doña Monserrat del Toro acudieron a declarar como testigos y fueron interrogados sobre esos extremos. De otra parte, nada de lo que se vertió en esas redes sociales ha servido para integrar la apreciación probatoria de esta Sala”.</w:t>
      </w:r>
    </w:p>
    <w:p w:rsidR="005728DD" w:rsidRDefault="005728DD" w:rsidP="005728DD">
      <w:pPr>
        <w:pStyle w:val="TextoNormal"/>
      </w:pPr>
    </w:p>
    <w:p w:rsidR="005728DD" w:rsidRDefault="005728DD" w:rsidP="005728DD">
      <w:pPr>
        <w:pStyle w:val="TextoNormal"/>
      </w:pPr>
      <w:r>
        <w:t>Previamente, en el auto de 1 de febrero de 2019 que resolvió sobre la proposición de prueba, la sala de enjuiciamiento, en respuesta a solicitud similar efectuada por otra de las defensas, declaró lo siguiente:</w:t>
      </w:r>
    </w:p>
    <w:p w:rsidR="005728DD" w:rsidRDefault="005728DD" w:rsidP="005728DD">
      <w:pPr>
        <w:pStyle w:val="TextoNormal"/>
      </w:pPr>
    </w:p>
    <w:p w:rsidR="005728DD" w:rsidRDefault="005728DD" w:rsidP="005728DD">
      <w:pPr>
        <w:pStyle w:val="TextoNormal"/>
      </w:pPr>
      <w:r>
        <w:t>“No es objeto de la presente causa enjuiciar lo que la defensa denomina ‘indebida actuación’ de un teniente coronel de la Guardia Civil. Además, un previo filtro telemático acerca de los planteamientos ideológicos de los responsables y miembros de las fuerzas y cuerpos de seguridad —estatales y autonómicos— no puede operar como presupuesto de validez de los actos de investigación que, por propia iniciativa o por orden judicial, lleven a cabo. Todo ello, claro es, sin perjuicio de la facultad que asiste a todo ofendido por esos comentarios a ejercer las acciones legales que procedan ante el órgano jurisdiccional competente”.</w:t>
      </w:r>
    </w:p>
    <w:p w:rsidR="005728DD" w:rsidRDefault="005728DD" w:rsidP="005728DD">
      <w:pPr>
        <w:pStyle w:val="TextoNormal"/>
      </w:pPr>
    </w:p>
    <w:p w:rsidR="005728DD" w:rsidRDefault="005728DD" w:rsidP="005728DD">
      <w:pPr>
        <w:pStyle w:val="TextoNormal"/>
      </w:pPr>
      <w:r>
        <w:t>b) Las razones para la inadmisión de la documental indicada en segundo lugar (más documental segunda) se encuentran en el auto de 1 de febrero de 2019.</w:t>
      </w:r>
    </w:p>
    <w:p w:rsidR="005728DD" w:rsidRDefault="005728DD" w:rsidP="005728DD">
      <w:pPr>
        <w:pStyle w:val="TextoNormal"/>
      </w:pPr>
    </w:p>
    <w:p w:rsidR="005728DD" w:rsidRDefault="005728DD" w:rsidP="005728DD">
      <w:pPr>
        <w:pStyle w:val="TextoNormal"/>
      </w:pPr>
      <w:r>
        <w:t>Su razonamiento jurídico 4.4.2 expresa que tales documentos se rechazan “por reflejar, en algunos casos valoraciones personales o asociativas prescindibles para el enjuiciamiento de los hechos y por las razones ya expuesta</w:t>
      </w:r>
      <w:r w:rsidRPr="005728DD">
        <w:rPr>
          <w:i/>
        </w:rPr>
        <w:t>s sup</w:t>
      </w:r>
      <w:r>
        <w:t>ra al rechazar los mismos o similares medios de prueba”.</w:t>
      </w:r>
    </w:p>
    <w:p w:rsidR="005728DD" w:rsidRDefault="005728DD" w:rsidP="005728DD">
      <w:pPr>
        <w:pStyle w:val="TextoNormal"/>
      </w:pPr>
    </w:p>
    <w:p w:rsidR="005728DD" w:rsidRDefault="005728DD" w:rsidP="005728DD">
      <w:pPr>
        <w:pStyle w:val="TextoNormal"/>
      </w:pPr>
      <w:r>
        <w:t>Previamente, al pronunciarse sobre la solicitud de prueba consistente en que se recaben las intervenciones en determinados medios de comunicación de ciertas personas, titulares de cargos políticos e institucionales, se señala en este auto:</w:t>
      </w:r>
    </w:p>
    <w:p w:rsidR="005728DD" w:rsidRDefault="005728DD" w:rsidP="005728DD">
      <w:pPr>
        <w:pStyle w:val="TextoNormal"/>
      </w:pPr>
    </w:p>
    <w:p w:rsidR="005728DD" w:rsidRDefault="005728DD" w:rsidP="005728DD">
      <w:pPr>
        <w:pStyle w:val="TextoNormal"/>
      </w:pPr>
      <w:r>
        <w:t>“La impertinencia se conecta a distintas consideraciones. La primera, que todas esas comparecencias son hechos notorios no necesitados de prueba; en segundo lugar, se trata de valoraciones periféricas no conectadas con el núcleo de los hechos por los que se formula acusación, como puede deducirse de las expresiones y giros empleados por la defensa en la formalización de su propuesta” (razonamiento jurídico 4.2).</w:t>
      </w:r>
    </w:p>
    <w:p w:rsidR="005728DD" w:rsidRDefault="005728DD" w:rsidP="005728DD">
      <w:pPr>
        <w:pStyle w:val="TextoNormal"/>
      </w:pPr>
    </w:p>
    <w:p w:rsidR="005728DD" w:rsidRDefault="005728DD" w:rsidP="005728DD">
      <w:pPr>
        <w:pStyle w:val="TextoNormal"/>
      </w:pPr>
      <w:r>
        <w:t>c) A las testificales indicadas se refieren los apartados 10.3 a) y b) del fundamento de Derecho A) de la sentencia de 14 de octubre de 2019.</w:t>
      </w:r>
    </w:p>
    <w:p w:rsidR="005728DD" w:rsidRDefault="005728DD" w:rsidP="005728DD">
      <w:pPr>
        <w:pStyle w:val="TextoNormal"/>
      </w:pPr>
    </w:p>
    <w:p w:rsidR="005728DD" w:rsidRDefault="005728DD" w:rsidP="005728DD">
      <w:pPr>
        <w:pStyle w:val="TextoNormal"/>
      </w:pPr>
      <w:r>
        <w:lastRenderedPageBreak/>
        <w:t>(i) En relación con la testifical de “Su Majestad el Rey y, con carácter alternativo, para el caso en que el monarca no aceptara declarar y se acogiera a la exención legal, el jefe de la Casa Real don Jaime Alfonsín”, argumenta el Tribunal Supremo:</w:t>
      </w:r>
    </w:p>
    <w:p w:rsidR="005728DD" w:rsidRDefault="005728DD" w:rsidP="005728DD">
      <w:pPr>
        <w:pStyle w:val="TextoNormal"/>
      </w:pPr>
    </w:p>
    <w:p w:rsidR="005728DD" w:rsidRDefault="005728DD" w:rsidP="005728DD">
      <w:pPr>
        <w:pStyle w:val="TextoNormal"/>
      </w:pPr>
      <w:r>
        <w:t>“El art. 411 de la LECrim excluye al rey del deber de declarar. Y la propuesta de un testigo por sustitución, formulada solo para el caso en que opere la exención prevista legalmente para el testigo principal, no conoce cobertura legal en nuestro sistema. Todo ello, con independencia de que la pretendida justificación de esa propuesta, basada en la necesidad de ‘[…] conocer el papel de la Casa Real en los hechos enjuiciados’</w:t>
      </w:r>
      <w:r w:rsidRPr="005728DD">
        <w:rPr>
          <w:i/>
        </w:rPr>
        <w:t xml:space="preserve"> (s</w:t>
      </w:r>
      <w:r>
        <w:t>ic), es manifiestamente impertinente”.</w:t>
      </w:r>
    </w:p>
    <w:p w:rsidR="005728DD" w:rsidRDefault="005728DD" w:rsidP="005728DD">
      <w:pPr>
        <w:pStyle w:val="TextoNormal"/>
      </w:pPr>
    </w:p>
    <w:p w:rsidR="005728DD" w:rsidRDefault="005728DD" w:rsidP="005728DD">
      <w:pPr>
        <w:pStyle w:val="TextoNormal"/>
      </w:pPr>
      <w:r>
        <w:t>Este tribunal debe aclarar, en relación con esta prueba testifical propuesta por la defensa, que la razón para su rechazo por la Sala de lo Penal del Tribunal Supremo no fue una errónea interpretación del art. 411 LECrim, en lo que insiste la parte recurrente cuando afirma que dicho precepto no prohíbe la declaración del rey. La causa de su inadmisión fue su impertinencia; calificación que no puede reputarse irrazonable o arbitraria. El recurrente se refiere genéricamente al “relevante papel […] [atribuido] al jefe del Estado en los hechos que nos ocupan” y, en particular, al “discurso emitido por Su Majestad el Rey” en fecha 3 de octubre de 2017. Entendemos, sin embargo, que a la vista del relato de hechos probados, no resulta evidente la pertinencia y utilidad de la testifical propuesta para abundar en unos hechos que carecen de relevancia para el enjuiciamiento penal —así lo estimó el tribunal sentenciador que no incluyó ninguna referencia en el relato histórico— y que, además, por su notoriedad, no precisan de prueba alguna.</w:t>
      </w:r>
    </w:p>
    <w:p w:rsidR="005728DD" w:rsidRDefault="005728DD" w:rsidP="005728DD">
      <w:pPr>
        <w:pStyle w:val="TextoNormal"/>
      </w:pPr>
    </w:p>
    <w:p w:rsidR="005728DD" w:rsidRDefault="005728DD" w:rsidP="005728DD">
      <w:pPr>
        <w:pStyle w:val="TextoNormal"/>
      </w:pPr>
      <w:r>
        <w:t>(ii) Respecto del señor Puigdemont, la Sala de lo Penal del Tribunal Supremo razona:</w:t>
      </w:r>
    </w:p>
    <w:p w:rsidR="005728DD" w:rsidRDefault="005728DD" w:rsidP="005728DD">
      <w:pPr>
        <w:pStyle w:val="TextoNormal"/>
      </w:pPr>
    </w:p>
    <w:p w:rsidR="005728DD" w:rsidRDefault="005728DD" w:rsidP="005728DD">
      <w:pPr>
        <w:pStyle w:val="TextoNormal"/>
      </w:pPr>
      <w:r>
        <w:t>“La propuesta como testigo de quien, en la misma causa, ha sido procesado como autor de un delito de rebelión y otro de malversación, resulta extravagante. La LECrim no avala 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005728DD" w:rsidRDefault="005728DD" w:rsidP="005728DD">
      <w:pPr>
        <w:pStyle w:val="TextoNormal"/>
      </w:pPr>
    </w:p>
    <w:p w:rsidR="005728DD" w:rsidRDefault="005728DD" w:rsidP="005728DD">
      <w:pPr>
        <w:pStyle w:val="TextoNormal"/>
      </w:pPr>
      <w:r>
        <w:t>En el auto previo, de 1 de febrero de 2019, se rechazó esta prueba testifical por cuanto “la condición de parte pasiva del proceso, declarada en rebeldía y todavía no enjuiciada, es manifiestamente incompatible con el deber de declarar y la obligación de decir verdad que asume todo testigo” (razonamiento jurídico 3.3).</w:t>
      </w:r>
    </w:p>
    <w:p w:rsidR="005728DD" w:rsidRDefault="005728DD" w:rsidP="005728DD">
      <w:pPr>
        <w:pStyle w:val="TextoNormal"/>
      </w:pPr>
    </w:p>
    <w:p w:rsidR="005728DD" w:rsidRDefault="005728DD" w:rsidP="005728DD">
      <w:pPr>
        <w:pStyle w:val="TextoNormal"/>
      </w:pPr>
      <w:r>
        <w:t>Sobre este punto, ratificamos la posición expresada por la sala juzgadora. El interrogatorio del señor Puigdemont en calidad de testigo resulta incompatible con su posición procesal, hasta el punto de que la práctica de esta prueba pugnaría con las garantías del art. 24.2 CE.</w:t>
      </w:r>
    </w:p>
    <w:p w:rsidR="005728DD" w:rsidRDefault="005728DD" w:rsidP="005728DD">
      <w:pPr>
        <w:pStyle w:val="TextoNormal"/>
      </w:pPr>
    </w:p>
    <w:p w:rsidR="005728DD" w:rsidRDefault="005728DD" w:rsidP="005728DD">
      <w:pPr>
        <w:pStyle w:val="TextoNormal"/>
      </w:pPr>
      <w:r>
        <w:t>A la vista de todo ello, concluimos que el órgano de enjuiciamiento ha dado una respuesta expresa, razonable y suficiente para fundar su decisión de inadmitir las mencionadas pruebas propuestas por la defensa del ahora recurrente, cumpliendo así con el canon constitucionalmente exigible.</w:t>
      </w:r>
    </w:p>
    <w:p w:rsidR="005728DD" w:rsidRDefault="005728DD" w:rsidP="005728DD">
      <w:pPr>
        <w:pStyle w:val="TextoNormal"/>
      </w:pPr>
    </w:p>
    <w:p w:rsidR="005728DD" w:rsidRDefault="005728DD" w:rsidP="005728DD">
      <w:pPr>
        <w:pStyle w:val="TextoNormal"/>
      </w:pPr>
      <w:r>
        <w:t>8.2.4. Inexistencia de indefensión.</w:t>
      </w:r>
    </w:p>
    <w:p w:rsidR="005728DD" w:rsidRDefault="005728DD" w:rsidP="005728DD">
      <w:pPr>
        <w:pStyle w:val="TextoNormal"/>
      </w:pPr>
    </w:p>
    <w:p w:rsidR="005728DD" w:rsidRDefault="005728DD" w:rsidP="005728DD">
      <w:pPr>
        <w:pStyle w:val="TextoNormal"/>
      </w:pPr>
      <w:r>
        <w:t>A lo largo de este mismo fundamento jurídico se ha venido apuntando la misma idea. Este tribunal considera necesario insistir en que el recurrente no ha justificado que las decisiones judiciales frente a las que dirige su recurso de amparo le hayan causado efectiva indefensión. Esta razón sería suficiente para rechazar la queja.</w:t>
      </w:r>
    </w:p>
    <w:p w:rsidR="005728DD" w:rsidRDefault="005728DD" w:rsidP="005728DD">
      <w:pPr>
        <w:pStyle w:val="TextoNormal"/>
      </w:pPr>
    </w:p>
    <w:p w:rsidR="005728DD" w:rsidRDefault="005728DD" w:rsidP="005728DD">
      <w:pPr>
        <w:pStyle w:val="TextoNormal"/>
      </w:pPr>
      <w:r>
        <w:t>La parte recurrente no razona en su demanda la relación entre los hechos que se quisieron y no se pudieron probar y las pruebas inadmitidas, ni refiere episodio alguno del relato fáctico contenido en la sentencia condenatoria que tales pruebas, de haber sido adecuadamente practicadas, hubieran conducido a refutar, como exige la doctrina constitucional. No expresa tampoco ningún argumento que nos lleve a considerar que la resolución final del proceso judicial podría haberle sido favorable de haberse admitido y practicado las pruebas interesadas, de modo que el fallo pudo haber sido otro, lo que también requiere este tribunal para otorgar el amparo a quien invoca la vulneración del derecho a utilizar los medios pertinentes para la defensa (art. 24.2 CE).</w:t>
      </w:r>
    </w:p>
    <w:p w:rsidR="005728DD" w:rsidRDefault="005728DD" w:rsidP="005728DD">
      <w:pPr>
        <w:pStyle w:val="TextoNormal"/>
      </w:pPr>
    </w:p>
    <w:p w:rsidR="005728DD" w:rsidRDefault="005728DD" w:rsidP="005728DD">
      <w:pPr>
        <w:pStyle w:val="TextoNormal"/>
      </w:pPr>
      <w:r>
        <w:t>En definitiva, no ha acreditado que alguna de las pruebas de que se trata (lo que incluye el modo que propuso para la práctica de la prueba testifical con exhibición simultánea del material videográfico) fuera relevante o decisiva en términos de defensa, de forma tal que su inadmisión o su irregular práctica haya generado una real y efectiva indefensión. Reiteramos que la demanda no vincula ninguna de las concretas pruebas que fueron inadmitidas o irregularmente practicadas (caso de la prueba testifical, según hemos visto) con algún hecho que se estimó probado o con la omisión por la sentencia de algún otro que le resultara favorable y que, a juicio de la parte recurrente en amparo, debiera haber integrado el relato histórico.</w:t>
      </w:r>
    </w:p>
    <w:p w:rsidR="005728DD" w:rsidRDefault="005728DD" w:rsidP="005728DD">
      <w:pPr>
        <w:pStyle w:val="TextoNormal"/>
      </w:pPr>
    </w:p>
    <w:p w:rsidR="005728DD" w:rsidRDefault="005728DD" w:rsidP="005728DD">
      <w:pPr>
        <w:pStyle w:val="TextoNormal"/>
      </w:pPr>
      <w:r>
        <w:t>El tribunal concluye que no se ha lesionado el derecho del recurrente a utilizar los medios de prueba pertinentes para la defensa (art. 24.2 CE).</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9. </w:t>
      </w:r>
      <w:r w:rsidRPr="005728DD">
        <w:rPr>
          <w:i/>
        </w:rPr>
        <w:t xml:space="preserve">Derecho a la presunción de inocencia (dimensión extraprocesal) </w:t>
      </w:r>
      <w:r>
        <w:t>.</w:t>
      </w:r>
    </w:p>
    <w:p w:rsidR="005728DD" w:rsidRDefault="005728DD" w:rsidP="005728DD">
      <w:pPr>
        <w:pStyle w:val="TextoNormal"/>
      </w:pPr>
    </w:p>
    <w:p w:rsidR="005728DD" w:rsidRDefault="005728DD" w:rsidP="005728DD">
      <w:pPr>
        <w:pStyle w:val="TextoNormal"/>
      </w:pPr>
      <w:r>
        <w:t xml:space="preserve">9.1. </w:t>
      </w:r>
      <w:r w:rsidRPr="005728DD">
        <w:rPr>
          <w:i/>
        </w:rPr>
        <w:t>Posiciones de las partes</w:t>
      </w:r>
      <w:r>
        <w:t>.</w:t>
      </w:r>
    </w:p>
    <w:p w:rsidR="005728DD" w:rsidRDefault="005728DD" w:rsidP="005728DD">
      <w:pPr>
        <w:pStyle w:val="TextoNormal"/>
      </w:pPr>
    </w:p>
    <w:p w:rsidR="005728DD" w:rsidRDefault="005728DD" w:rsidP="005728DD">
      <w:pPr>
        <w:pStyle w:val="TextoNormal"/>
      </w:pPr>
      <w:r>
        <w:t xml:space="preserve">Esta queja, que invoca nominalmente los derechos a la presunción de inocencia (art. 24.2 CE) y a la tutela judicial efectiva (art. 24.1 CE), trae causa de ciertas manifestaciones públicas de miembros del ejecutivo español y líderes políticos sobre los hechos enjuiciados. Concretamente, el demandante refiere que, mientras se desarrollaba el procedimiento penal ante el Tribunal Supremo, la Secretaría de Estado de la España Global, órgano dependiente del Ministerio de Asuntos Exteriores, emprendió una campaña propagandística para informar en el extranjero sobre los hechos que se estaban enjuiciando, en cuyo contexto se efectuaron declaraciones y se elaboraron documentos en los que abiertamente se consideraba a </w:t>
      </w:r>
      <w:r>
        <w:lastRenderedPageBreak/>
        <w:t>los procesados culpables de los hechos enjuiciados. Se refiere también a otros episodios similares acaecidos con posterioridad, incluso después de la publicación de la sentencia, como cuando se caricaturizó a los acusados como si fueran ladrones. Lo que reprocha al Tribunal Supremo es la negativa a amparar a los procesados frente a dicha campaña gubernamental vulneradora de su derecho a la presunción de inocencia. De todo ello se ha dejado detallada constancia en los antecedentes de esta sentencia.</w:t>
      </w:r>
    </w:p>
    <w:p w:rsidR="005728DD" w:rsidRDefault="005728DD" w:rsidP="005728DD">
      <w:pPr>
        <w:pStyle w:val="TextoNormal"/>
      </w:pPr>
    </w:p>
    <w:p w:rsidR="005728DD" w:rsidRDefault="005728DD" w:rsidP="005728DD">
      <w:pPr>
        <w:pStyle w:val="TextoNormal"/>
      </w:pPr>
      <w:r>
        <w:t>Según el abogado del Estado, que se remite a lo razonado al respecto en la sentencia, la queja debe desestimarse.</w:t>
      </w:r>
    </w:p>
    <w:p w:rsidR="005728DD" w:rsidRDefault="005728DD" w:rsidP="005728DD">
      <w:pPr>
        <w:pStyle w:val="TextoNormal"/>
      </w:pPr>
    </w:p>
    <w:p w:rsidR="005728DD" w:rsidRDefault="005728DD" w:rsidP="005728DD">
      <w:pPr>
        <w:pStyle w:val="TextoNormal"/>
      </w:pPr>
      <w:r>
        <w:t>El partido político Vox manifiesta no entender con claridad el motivo del recurso, puesto que la actividad llevada a cabo por el Gobierno de España nada tiene que ver con las lesiones de derechos fundamentales en que la sentencia pudiera haber incurrido.</w:t>
      </w:r>
    </w:p>
    <w:p w:rsidR="005728DD" w:rsidRDefault="005728DD" w:rsidP="005728DD">
      <w:pPr>
        <w:pStyle w:val="TextoNormal"/>
      </w:pPr>
    </w:p>
    <w:p w:rsidR="005728DD" w:rsidRDefault="005728DD" w:rsidP="005728DD">
      <w:pPr>
        <w:pStyle w:val="TextoNormal"/>
      </w:pPr>
      <w:r>
        <w:t>Finalmente, el ministerio fiscal considera que este motivo también debe rechazarse. A su juicio, el examen de las entrevistas dadas por la secretaria de Estado de la España Global, revela que su sentido real es dar noticia de la proximidad de la celebración del juicio y del desafío que ello supone para el sistema judicial español. En este contexto, la frase que destaca el demandante (“el hecho de que haya líderes políticos que hayan cometido delitos que estén siendo juzgados no es algo habitual”), no puede estimarse como una manifestación que exceda sobradamente de la voluntad de informar. Finalmente, en cuanto a la publicación en las redes sociales, tras la condena, de mensajes y vídeos en los que se habría caricaturizado a los acusados como si fueran ladrones, a juicio del fiscal, “el alegado menoscabo al honor e integridad moral tiene sus propias vías de reclamación y no puede encontrar acomodo bajo el paraguas del derecho a la presunción de inocencia”.</w:t>
      </w:r>
    </w:p>
    <w:p w:rsidR="005728DD" w:rsidRDefault="005728DD" w:rsidP="005728DD">
      <w:pPr>
        <w:pStyle w:val="TextoNormal"/>
      </w:pPr>
    </w:p>
    <w:p w:rsidR="005728DD" w:rsidRDefault="005728DD" w:rsidP="005728DD">
      <w:pPr>
        <w:pStyle w:val="TextoNormal"/>
      </w:pPr>
      <w:r>
        <w:t xml:space="preserve">9.2. </w:t>
      </w:r>
      <w:r w:rsidRPr="005728DD">
        <w:rPr>
          <w:i/>
        </w:rPr>
        <w:t>Respuesta del órgano judicial</w:t>
      </w:r>
      <w:r>
        <w:t>.</w:t>
      </w:r>
    </w:p>
    <w:p w:rsidR="005728DD" w:rsidRDefault="005728DD" w:rsidP="005728DD">
      <w:pPr>
        <w:pStyle w:val="TextoNormal"/>
      </w:pPr>
    </w:p>
    <w:p w:rsidR="005728DD" w:rsidRDefault="005728DD" w:rsidP="005728DD">
      <w:pPr>
        <w:pStyle w:val="TextoNormal"/>
      </w:pPr>
      <w:r>
        <w:t>Con anterioridad al inicio del juicio, mediante auto de 7 de febrero de 2019, la sala de enjuiciamiento, en respuesta al escrito en que formuló por primera vez esa queja, señaló que podría ser objeto de alegación en las sesiones del plenario. Culminado el mismo, la sentencia recurrida en amparo dedica a esta materia el apartado 9 del fundamento de Derecho A).</w:t>
      </w:r>
    </w:p>
    <w:p w:rsidR="005728DD" w:rsidRDefault="005728DD" w:rsidP="005728DD">
      <w:pPr>
        <w:pStyle w:val="TextoNormal"/>
      </w:pPr>
    </w:p>
    <w:p w:rsidR="005728DD" w:rsidRDefault="005728DD" w:rsidP="005728DD">
      <w:pPr>
        <w:pStyle w:val="TextoNormal"/>
      </w:pPr>
      <w:r>
        <w:t>Después de repasar la doctrina del Tribunal Europeo de Derechos Humanos sobre la denominada dimensión extraprocesal del derecho a la presunción de inocencia y la propia jurisprudencia sobre esta misma materia, declara que es preciso “estar al alcance y al contenido concreto de esas declaraciones que se consideran vulneradoras del derecho a la presunción de inocencia”. Y prosigue el discurso con las siguientes palabras, que trascribimos literalmente:</w:t>
      </w:r>
    </w:p>
    <w:p w:rsidR="005728DD" w:rsidRDefault="005728DD" w:rsidP="005728DD">
      <w:pPr>
        <w:pStyle w:val="TextoNormal"/>
      </w:pPr>
    </w:p>
    <w:p w:rsidR="005728DD" w:rsidRDefault="005728DD" w:rsidP="005728DD">
      <w:pPr>
        <w:pStyle w:val="TextoNormal"/>
      </w:pPr>
      <w:r>
        <w:t>“En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005728DD" w:rsidRDefault="005728DD" w:rsidP="005728DD">
      <w:pPr>
        <w:pStyle w:val="TextoNormal"/>
      </w:pPr>
    </w:p>
    <w:p w:rsidR="005728DD" w:rsidRDefault="005728DD" w:rsidP="005728DD">
      <w:pPr>
        <w:pStyle w:val="TextoNormal"/>
      </w:pPr>
      <w:r>
        <w:lastRenderedPageBreak/>
        <w:t>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005728DD" w:rsidRDefault="005728DD" w:rsidP="005728DD">
      <w:pPr>
        <w:pStyle w:val="TextoNormal"/>
      </w:pPr>
    </w:p>
    <w:p w:rsidR="005728DD" w:rsidRDefault="005728DD" w:rsidP="005728DD">
      <w:pPr>
        <w:pStyle w:val="TextoNormal"/>
      </w:pPr>
      <w: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w:t>
      </w:r>
      <w:r w:rsidRPr="005728DD">
        <w:rPr>
          <w:i/>
        </w:rPr>
        <w:t>ius puniendi</w:t>
      </w:r>
      <w:r>
        <w:t>.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005728DD" w:rsidRDefault="005728DD" w:rsidP="005728DD">
      <w:pPr>
        <w:pStyle w:val="TextoNormal"/>
      </w:pPr>
    </w:p>
    <w:p w:rsidR="005728DD" w:rsidRDefault="005728DD" w:rsidP="005728DD">
      <w:pPr>
        <w:pStyle w:val="TextoNormal"/>
      </w:pPr>
      <w:r>
        <w:t xml:space="preserve">9.3. </w:t>
      </w:r>
      <w:r w:rsidRPr="005728DD">
        <w:rPr>
          <w:i/>
        </w:rPr>
        <w:t>Encuadramiento de la queja: la dimensión extraprocesal del derecho a la presunción de inocencia</w:t>
      </w:r>
      <w:r>
        <w:t>.</w:t>
      </w:r>
    </w:p>
    <w:p w:rsidR="005728DD" w:rsidRDefault="005728DD" w:rsidP="005728DD">
      <w:pPr>
        <w:pStyle w:val="TextoNormal"/>
      </w:pPr>
    </w:p>
    <w:p w:rsidR="005728DD" w:rsidRDefault="005728DD" w:rsidP="005728DD">
      <w:pPr>
        <w:pStyle w:val="TextoNormal"/>
      </w:pPr>
      <w:r>
        <w:t>Como hemos visto, el recurrente sitúa la actividad lesiva de su derecho fundamental en la conducta de terceras personas (en concreto, la titular de la Secretaría de Estado de la España Global) ajenas al tribunal sentenciador. Reprocha a la Sala no haberle dado amparo frente a tales conductas, una vez que fueron denunciadas por su parte. La queja cae, por tanto, en el ámbito de la denominada dimensión extraprocesal de la presunción de inocencia.</w:t>
      </w:r>
    </w:p>
    <w:p w:rsidR="005728DD" w:rsidRDefault="005728DD" w:rsidP="005728DD">
      <w:pPr>
        <w:pStyle w:val="TextoNormal"/>
      </w:pPr>
    </w:p>
    <w:p w:rsidR="005728DD" w:rsidRDefault="005728DD" w:rsidP="005728DD">
      <w:pPr>
        <w:pStyle w:val="TextoNormal"/>
      </w:pPr>
      <w:r>
        <w:t>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STC 133/2018, de 13 de diciembre, FJ 4 a)].</w:t>
      </w:r>
    </w:p>
    <w:p w:rsidR="005728DD" w:rsidRDefault="005728DD" w:rsidP="005728DD">
      <w:pPr>
        <w:pStyle w:val="TextoNormal"/>
      </w:pPr>
    </w:p>
    <w:p w:rsidR="005728DD" w:rsidRDefault="005728DD" w:rsidP="005728DD">
      <w:pPr>
        <w:pStyle w:val="TextoNormal"/>
      </w:pPr>
      <w: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w:t>
      </w:r>
      <w:r w:rsidRPr="005728DD">
        <w:rPr>
          <w:i/>
        </w:rPr>
        <w:t>Allenet de Ribemont c. Francia</w:t>
      </w:r>
      <w:r>
        <w:t xml:space="preserve">; de 26 de marzo de 2002, asunto </w:t>
      </w:r>
      <w:r w:rsidRPr="005728DD">
        <w:rPr>
          <w:i/>
        </w:rPr>
        <w:t>Butkevicius c. Lituania</w:t>
      </w:r>
      <w:r>
        <w:t xml:space="preserve">; de 28 de junio de 2011, asunto </w:t>
      </w:r>
      <w:r w:rsidRPr="005728DD">
        <w:rPr>
          <w:i/>
        </w:rPr>
        <w:t>Lizaso Azconobieta c. España</w:t>
      </w:r>
      <w:r>
        <w:t xml:space="preserve">), </w:t>
      </w:r>
      <w:r>
        <w:lastRenderedPageBreak/>
        <w:t>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005728DD" w:rsidRDefault="005728DD" w:rsidP="005728DD">
      <w:pPr>
        <w:pStyle w:val="TextoNormal"/>
      </w:pPr>
    </w:p>
    <w:p w:rsidR="005728DD" w:rsidRDefault="005728DD" w:rsidP="005728DD">
      <w:pPr>
        <w:pStyle w:val="TextoNormal"/>
      </w:pPr>
      <w:r>
        <w:t>9.4</w:t>
      </w:r>
      <w:r w:rsidRPr="005728DD">
        <w:rPr>
          <w:i/>
        </w:rPr>
        <w:t>. Resolución de la que</w:t>
      </w:r>
      <w:r>
        <w:t>ja.</w:t>
      </w:r>
    </w:p>
    <w:p w:rsidR="005728DD" w:rsidRDefault="005728DD" w:rsidP="005728DD">
      <w:pPr>
        <w:pStyle w:val="TextoNormal"/>
      </w:pPr>
    </w:p>
    <w:p w:rsidR="005728DD" w:rsidRDefault="005728DD" w:rsidP="005728DD">
      <w:pPr>
        <w:pStyle w:val="TextoNormal"/>
      </w:pPr>
      <w:r>
        <w:t>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005728DD" w:rsidRDefault="005728DD" w:rsidP="005728DD">
      <w:pPr>
        <w:pStyle w:val="TextoNormal"/>
      </w:pPr>
    </w:p>
    <w:p w:rsidR="005728DD" w:rsidRDefault="005728DD" w:rsidP="005728DD">
      <w:pPr>
        <w:pStyle w:val="TextoNormal"/>
      </w:pPr>
      <w:r>
        <w:t>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005728DD" w:rsidRDefault="005728DD" w:rsidP="005728DD">
      <w:pPr>
        <w:pStyle w:val="TextoNormal"/>
      </w:pPr>
    </w:p>
    <w:p w:rsidR="005728DD" w:rsidRDefault="005728DD" w:rsidP="005728DD">
      <w:pPr>
        <w:pStyle w:val="TextoNormal"/>
      </w:pPr>
      <w:r>
        <w:t>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005728DD" w:rsidRDefault="005728DD" w:rsidP="005728DD">
      <w:pPr>
        <w:pStyle w:val="TextoNormal"/>
      </w:pPr>
    </w:p>
    <w:p w:rsidR="005728DD" w:rsidRDefault="005728DD" w:rsidP="005728DD">
      <w:pPr>
        <w:pStyle w:val="TextoNormal"/>
      </w:pPr>
      <w:r>
        <w:t>Procede, en consecuencia, desestimar este motivo de amparo.</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w:t>
      </w:r>
      <w:r w:rsidRPr="005728DD">
        <w:rPr>
          <w:i/>
        </w:rPr>
        <w:t>Derecho a un proceso con todas las garantías por la supuesta filtración del contenido de la sentencia</w:t>
      </w:r>
      <w:r>
        <w:t>.</w:t>
      </w:r>
    </w:p>
    <w:p w:rsidR="005728DD" w:rsidRDefault="005728DD" w:rsidP="005728DD">
      <w:pPr>
        <w:pStyle w:val="TextoNormal"/>
      </w:pPr>
    </w:p>
    <w:p w:rsidR="005728DD" w:rsidRDefault="005728DD" w:rsidP="005728DD">
      <w:pPr>
        <w:pStyle w:val="TextoNormal"/>
      </w:pPr>
      <w:r>
        <w:t xml:space="preserve">10.1. </w:t>
      </w:r>
      <w:r w:rsidRPr="005728DD">
        <w:rPr>
          <w:i/>
        </w:rPr>
        <w:t>Posiciones de las partes</w:t>
      </w:r>
      <w:r>
        <w:t>.</w:t>
      </w:r>
    </w:p>
    <w:p w:rsidR="005728DD" w:rsidRDefault="005728DD" w:rsidP="005728DD">
      <w:pPr>
        <w:pStyle w:val="TextoNormal"/>
      </w:pPr>
    </w:p>
    <w:p w:rsidR="005728DD" w:rsidRDefault="005728DD" w:rsidP="005728DD">
      <w:pPr>
        <w:pStyle w:val="TextoNormal"/>
      </w:pPr>
      <w:r>
        <w:t xml:space="preserve">En la demanda de amparo, de la que se ha dejado un extenso resumen en los antecedentes de esta resolución, la parte recurrente se queja de que días antes de que se firmara y notificara la sentencia, diversos medios de comunicación anticiparon cuál iba a ser el sentido del fallo. La demanda se remite a las informaciones dadas por ciertos medios de comunicación (revista “Contexto”, diario “Ara”, “La Vanguardia”, “El Mundo” y “El Español”) fechadas en los días 22 de septiembre, la primera, y en los días 10 y 12 de octubre de 2019, en los restantes casos. Básicamente, el contenido de tales noticias se ciñe a publicar que previsiblemente se produciría la condena por un delito de sedición y a referir ciertos rasgos típicos de esta figura delictiva y del delito de rebelión, de mayor gravedad, por el que se había, también, formulado acusación. En relación con ellas, trae a colación la doctrina contenida en la STC 69/2001, de 17 de marzo, para poner de manifiesto que, en su opinión, tales filtraciones provocaron un clamor popular a favor de la condena, lo que, a su juicio, debe conducir a la invalidez del fallo, sin que sea exigible al denunciante una cumplida demostración de que tal hecho hubiera condicionado el sentido de la decisión, lo que supondría una auténtica </w:t>
      </w:r>
      <w:r w:rsidRPr="005728DD">
        <w:rPr>
          <w:i/>
        </w:rPr>
        <w:t>probatio diabolica</w:t>
      </w:r>
      <w:r>
        <w:t>.</w:t>
      </w:r>
    </w:p>
    <w:p w:rsidR="005728DD" w:rsidRDefault="005728DD" w:rsidP="005728DD">
      <w:pPr>
        <w:pStyle w:val="TextoNormal"/>
      </w:pPr>
    </w:p>
    <w:p w:rsidR="005728DD" w:rsidRDefault="005728DD" w:rsidP="005728DD">
      <w:pPr>
        <w:pStyle w:val="TextoNormal"/>
      </w:pPr>
      <w:r>
        <w:t>El abogado del Estado entiende que procede desestimar el motivo de amparo. Considera que, ni la opinión de los miembros del tribunal pudo haberse visto condicionada por la filtración, ni esta iba encaminada a obtener una modificación interesada de lo ya decidido, pues cuando tal filtración se produjo ya había concluido el juicio oral, se había desarrollado la práctica de la prueba e, incluso, había finalizado la deliberación.</w:t>
      </w:r>
    </w:p>
    <w:p w:rsidR="005728DD" w:rsidRDefault="005728DD" w:rsidP="005728DD">
      <w:pPr>
        <w:pStyle w:val="TextoNormal"/>
      </w:pPr>
    </w:p>
    <w:p w:rsidR="005728DD" w:rsidRDefault="005728DD" w:rsidP="005728DD">
      <w:pPr>
        <w:pStyle w:val="TextoNormal"/>
      </w:pPr>
      <w:r>
        <w:t>A juicio del partido político Vox, las coincidencias entre lo publicado previamente y el sentido de la sentencia no evidencian que fueran consecuencia de filtraciones procedentes de miembros del Tribunal Supremo. Y en todo caso, de haberse producido la filtración, tampoco habría condicionado la deliberación que llevó a la sentencia, sin que elucubraciones o juicios de valor, sin base fáctica alguna, puedan desvirtuar estas conclusiones.</w:t>
      </w:r>
    </w:p>
    <w:p w:rsidR="005728DD" w:rsidRDefault="005728DD" w:rsidP="005728DD">
      <w:pPr>
        <w:pStyle w:val="TextoNormal"/>
      </w:pPr>
    </w:p>
    <w:p w:rsidR="005728DD" w:rsidRDefault="005728DD" w:rsidP="005728DD">
      <w:pPr>
        <w:pStyle w:val="TextoNormal"/>
      </w:pPr>
      <w:r>
        <w:t>El Ministerio Fiscal aduce que, al margen de responsabilidades disciplinarias que pueden resultar, siendo la deliberación y votación de la sentencia anteriores a su redacción y “no existiendo principio de acreditación alguna ni afirmación terminante de que el sentido del fallo pudiera haber sido otro o cómo habría influido en el ánimo de cualquier magistrado”, el hecho de la filtración, por sí solo, no menoscaba la imparcialidad del tribunal.</w:t>
      </w:r>
    </w:p>
    <w:p w:rsidR="005728DD" w:rsidRDefault="005728DD" w:rsidP="005728DD">
      <w:pPr>
        <w:pStyle w:val="TextoNormal"/>
      </w:pPr>
    </w:p>
    <w:p w:rsidR="005728DD" w:rsidRDefault="005728DD" w:rsidP="005728DD">
      <w:pPr>
        <w:pStyle w:val="TextoNormal"/>
      </w:pPr>
      <w:r>
        <w:t xml:space="preserve">10.2. </w:t>
      </w:r>
      <w:r w:rsidRPr="005728DD">
        <w:rPr>
          <w:i/>
        </w:rPr>
        <w:t>Respuesta del órgano judicial</w:t>
      </w:r>
      <w:r>
        <w:t>.</w:t>
      </w:r>
    </w:p>
    <w:p w:rsidR="005728DD" w:rsidRDefault="005728DD" w:rsidP="005728DD">
      <w:pPr>
        <w:pStyle w:val="TextoNormal"/>
      </w:pPr>
    </w:p>
    <w:p w:rsidR="005728DD" w:rsidRDefault="005728DD" w:rsidP="005728DD">
      <w:pPr>
        <w:pStyle w:val="TextoNormal"/>
      </w:pPr>
      <w:r>
        <w:t>El auto de 29 de enero de 2020, que resolvió el incidente de nulidad de actuaciones promovido contra la sentencia, contesta a esta queja en el apartado 4.2.1, al dar respuesta a lo alegado en dicho incidente por el recurrente, don Jordi Sànchez. Dice así:</w:t>
      </w:r>
    </w:p>
    <w:p w:rsidR="005728DD" w:rsidRDefault="005728DD" w:rsidP="005728DD">
      <w:pPr>
        <w:pStyle w:val="TextoNormal"/>
      </w:pPr>
    </w:p>
    <w:p w:rsidR="005728DD" w:rsidRDefault="005728DD" w:rsidP="005728DD">
      <w:pPr>
        <w:pStyle w:val="TextoNormal"/>
      </w:pPr>
      <w:r>
        <w:t>“En cuanto a la vulneración derivada de la filtración del contenido de parte de la sentencia, su estimación exigiría, según la doctrina del Tribunal Constitucional que el propio escrito cita (cfr. STC 69/2001, de 17 de marzo), que se acreditase que la opinión de alguno o de algunos de los integrantes de esta Sala ha podido verse condicionada por hechos o circunstancias externas a la propia deliberación, o que la citada ‘filtración’ fue encaminada a obtener una modificación interesada de lo previamente decidido; lo que no consta en modo alguno”.</w:t>
      </w:r>
    </w:p>
    <w:p w:rsidR="005728DD" w:rsidRDefault="005728DD" w:rsidP="005728DD">
      <w:pPr>
        <w:pStyle w:val="TextoNormal"/>
      </w:pPr>
    </w:p>
    <w:p w:rsidR="005728DD" w:rsidRDefault="005728DD" w:rsidP="005728DD">
      <w:pPr>
        <w:pStyle w:val="TextoNormal"/>
      </w:pPr>
      <w:r>
        <w:t>Al resolver los incidentes de nulidad promovidos por don Jordi Turull y don Josep Rull, la sala sentenciadora se limita a remitirse a lo anterior en los apartados 6.2.1 y 7.2.1, respectivamente.</w:t>
      </w:r>
    </w:p>
    <w:p w:rsidR="005728DD" w:rsidRDefault="005728DD" w:rsidP="005728DD">
      <w:pPr>
        <w:pStyle w:val="TextoNormal"/>
      </w:pPr>
    </w:p>
    <w:p w:rsidR="005728DD" w:rsidRDefault="005728DD" w:rsidP="005728DD">
      <w:pPr>
        <w:pStyle w:val="TextoNormal"/>
      </w:pPr>
      <w:r>
        <w:t xml:space="preserve">10.3. </w:t>
      </w:r>
      <w:r w:rsidRPr="005728DD">
        <w:rPr>
          <w:i/>
        </w:rPr>
        <w:t>Doctrina constitucional</w:t>
      </w:r>
      <w:r>
        <w:t>.</w:t>
      </w:r>
    </w:p>
    <w:p w:rsidR="005728DD" w:rsidRDefault="005728DD" w:rsidP="005728DD">
      <w:pPr>
        <w:pStyle w:val="TextoNormal"/>
      </w:pPr>
    </w:p>
    <w:p w:rsidR="005728DD" w:rsidRDefault="005728DD" w:rsidP="005728DD">
      <w:pPr>
        <w:pStyle w:val="TextoNormal"/>
      </w:pPr>
      <w:r>
        <w:t>En las SSTC 64/2001, 65/2001 y 66/2001, todas de 17 de marzo, FFJJ 2, así como en la STC 69/2001, de la misma fecha, FJ 14, con remisión a lo expuesto en la STC 136/1999, de 20 de julio, FJ 8, el Pleno de este tribunal abordó específicamente la cuestión relativa a si el derecho a un proceso con todas las garantías, desde la vertiente de derecho a la imparcialidad judicial (art. 24.2 CE), podría verse menoscabado como consecuencia de la “filtración” y publicación en los medios de comunicación del contenido de la deliberación y del fallo de una sentencia antes de su notificación a las partes. Podemos sistematizar la doctrina sentada entonces del siguiente modo:</w:t>
      </w:r>
    </w:p>
    <w:p w:rsidR="005728DD" w:rsidRDefault="005728DD" w:rsidP="005728DD">
      <w:pPr>
        <w:pStyle w:val="TextoNormal"/>
      </w:pPr>
    </w:p>
    <w:p w:rsidR="005728DD" w:rsidRDefault="005728DD" w:rsidP="005728DD">
      <w:pPr>
        <w:pStyle w:val="TextoNormal"/>
      </w:pPr>
      <w:r>
        <w:t xml:space="preserve">a) La Constitución brinda un cierto grado de protección frente a los denominados “juicios paralelos” en los medios de comunicación, dado que tanto las declaraciones en los citados medios acerca de procesos en curso como las opiniones sobre el sentido que haya de tener la decisión que los resuelva pueden influir no solo en el prestigio de los tribunales, sino, muy especialmente, “según sea su tenor, finalidad y contexto”, “pueden llegar a menoscabar la imparcialidad o apariencia de imparcialidad de aquellos, ya que la publicación de supuestos o reales estados de opinión pública sobre el proceso y el fallo pueden influir en la decisión que deben adoptar los jueces. Es más, a nadie puede ocultársele que la capacidad de presión e influencia es mucho mayor cuando las declaraciones vertidas en los medios de comunicación sobre procesos en curso corresponden a miembros destacados de los otros poderes públicos del Estado. Por ello, cuando efectivamente se dan esas circunstancias, se conculca el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(STEDH de 29 de agosto de 1997, caso </w:t>
      </w:r>
      <w:r w:rsidRPr="005728DD">
        <w:rPr>
          <w:i/>
        </w:rPr>
        <w:t>Worm</w:t>
      </w:r>
      <w:r>
        <w:t>, § 54)” (STC 136/1999, de 20 de julio, FJ 8).</w:t>
      </w:r>
    </w:p>
    <w:p w:rsidR="005728DD" w:rsidRDefault="005728DD" w:rsidP="005728DD">
      <w:pPr>
        <w:pStyle w:val="TextoNormal"/>
      </w:pPr>
    </w:p>
    <w:p w:rsidR="005728DD" w:rsidRDefault="005728DD" w:rsidP="005728DD">
      <w:pPr>
        <w:pStyle w:val="TextoNormal"/>
      </w:pPr>
      <w:r>
        <w:t xml:space="preserve">Paralelamente, hemos destacado también en numerosas sentencias que “el postulado que subraya la extraordinaria importancia de la opinión pública libre, dado el carácter esencial de la libertad de expresión en una sociedad democrática, se aplica también en el ámbito de la administración de justicia, que sirve a los intereses de toda la colectividad y exige la cooperación de un público instruido”. Dado que los tribunales no actúan en el vacío, su competencia para pronunciarse sobre las causas penales que deban enjuiciar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(arts. 24.2 CE y art. 6.1 CEDH). A esta función de los medios se añade el derecho, para el público, de recibirlas, y muy especialmente cuando el proceso concierne a personas públicas [por todas, STC 46/1998 y sentencias del Tribunal Europeo de Derechos Humanos de 26 de abril de 1979 (caso </w:t>
      </w:r>
      <w:r w:rsidRPr="005728DD">
        <w:rPr>
          <w:i/>
        </w:rPr>
        <w:t>Sunday Times</w:t>
      </w:r>
      <w:r>
        <w:t xml:space="preserve">, § 65), de 24 de </w:t>
      </w:r>
      <w:r>
        <w:lastRenderedPageBreak/>
        <w:t xml:space="preserve">febrero de 1997 (caso </w:t>
      </w:r>
      <w:r w:rsidRPr="005728DD">
        <w:rPr>
          <w:i/>
        </w:rPr>
        <w:t>De Haes y Gijsels</w:t>
      </w:r>
      <w:r>
        <w:t>, § 37) y de 29 de agosto de 1997 (cas</w:t>
      </w:r>
      <w:r w:rsidRPr="005728DD">
        <w:rPr>
          <w:i/>
        </w:rPr>
        <w:t>o Wo</w:t>
      </w:r>
      <w:r>
        <w:t>rm, § 50)]”.</w:t>
      </w:r>
    </w:p>
    <w:p w:rsidR="005728DD" w:rsidRDefault="005728DD" w:rsidP="005728DD">
      <w:pPr>
        <w:pStyle w:val="TextoNormal"/>
      </w:pPr>
    </w:p>
    <w:p w:rsidR="005728DD" w:rsidRDefault="005728DD" w:rsidP="005728DD">
      <w:pPr>
        <w:pStyle w:val="TextoNormal"/>
      </w:pPr>
      <w:r>
        <w:t>b) Hemos señalado también que, desde la expresada garantía de imparcialidad judicial, el solo dato de que desde el entorno de la sala sentenciadora se hubiera filtrado hipotéticamente a los medios de comunicación el sentido general del fallo de la sentencia antes de que la resolución fuese notificada a las partes, no repercute negativamente por sí sola, menoscabándola, en la imparcialidad del tribunal.</w:t>
      </w:r>
    </w:p>
    <w:p w:rsidR="005728DD" w:rsidRDefault="005728DD" w:rsidP="005728DD">
      <w:pPr>
        <w:pStyle w:val="TextoNormal"/>
      </w:pPr>
    </w:p>
    <w:p w:rsidR="005728DD" w:rsidRDefault="005728DD" w:rsidP="005728DD">
      <w:pPr>
        <w:pStyle w:val="TextoNormal"/>
      </w:pPr>
      <w:r>
        <w:t xml:space="preserve">Como venimos reiterando,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w:t>
      </w:r>
      <w:r w:rsidRPr="005728DD">
        <w:rPr>
          <w:i/>
        </w:rPr>
        <w:t>Piersack</w:t>
      </w:r>
      <w:r>
        <w:t xml:space="preserve">; de 26 de octubre de 1984, caso </w:t>
      </w:r>
      <w:r w:rsidRPr="005728DD">
        <w:rPr>
          <w:i/>
        </w:rPr>
        <w:t>De Cubber</w:t>
      </w:r>
      <w:r>
        <w:t xml:space="preserve">; de 24 de mayo de 1989, caso </w:t>
      </w:r>
      <w:r w:rsidRPr="005728DD">
        <w:rPr>
          <w:i/>
        </w:rPr>
        <w:t>Hauschildt</w:t>
      </w:r>
      <w:r>
        <w:t xml:space="preserve">; de 16 de diciembre de 1992, caso </w:t>
      </w:r>
      <w:r w:rsidRPr="005728DD">
        <w:rPr>
          <w:i/>
        </w:rPr>
        <w:t>Sainte-Marie</w:t>
      </w:r>
      <w:r>
        <w:t xml:space="preserve">; de 24 de febrero de 1993, caso </w:t>
      </w:r>
      <w:r w:rsidRPr="005728DD">
        <w:rPr>
          <w:i/>
        </w:rPr>
        <w:t>Fey</w:t>
      </w:r>
      <w:r>
        <w:t xml:space="preserve">; de 26 de febrero de 1993, caso </w:t>
      </w:r>
      <w:r w:rsidRPr="005728DD">
        <w:rPr>
          <w:i/>
        </w:rPr>
        <w:t>Padovani</w:t>
      </w:r>
      <w:r>
        <w:t xml:space="preserve">; de 22 de abril de 1994, caso </w:t>
      </w:r>
      <w:r w:rsidRPr="005728DD">
        <w:rPr>
          <w:i/>
        </w:rPr>
        <w:t>Saraiva de Carvalho</w:t>
      </w:r>
      <w:r>
        <w:t xml:space="preserve">; de 22 de febrero de 1996, caso </w:t>
      </w:r>
      <w:r w:rsidRPr="005728DD">
        <w:rPr>
          <w:i/>
        </w:rPr>
        <w:t>Bulut</w:t>
      </w:r>
      <w:r>
        <w:t xml:space="preserve">; de 20 de mayo de 1998, caso </w:t>
      </w:r>
      <w:r w:rsidRPr="005728DD">
        <w:rPr>
          <w:i/>
        </w:rPr>
        <w:t>Gautrin y otros</w:t>
      </w:r>
      <w:r>
        <w:t xml:space="preserve">, y de 28 de octubre de 1998, caso </w:t>
      </w:r>
      <w:r w:rsidRPr="005728DD">
        <w:rPr>
          <w:i/>
        </w:rPr>
        <w:t>Castillo Algar</w:t>
      </w:r>
      <w:r>
        <w:t>)” [SSTC 64/2001, 65/2001, 66/2001, FFJJ 2 a), y STC 69/2001, FJ 14 a)].</w:t>
      </w:r>
    </w:p>
    <w:p w:rsidR="005728DD" w:rsidRDefault="005728DD" w:rsidP="005728DD">
      <w:pPr>
        <w:pStyle w:val="TextoNormal"/>
      </w:pPr>
    </w:p>
    <w:p w:rsidR="005728DD" w:rsidRDefault="005728DD" w:rsidP="005728DD">
      <w:pPr>
        <w:pStyle w:val="TextoNormal"/>
      </w:pPr>
      <w:r>
        <w:t xml:space="preserve">c) La imparcialidad subjetiva y objetiva del tribunal deben ser presumidas mientras no medie prueba en contrario. La dificultad que pueda comportar esta demostración no hace quebrar tal regla. “En palabras muy ilustrativas de la sentencia del Tribunal Europeo de Derechos Humanos de 10 de junio de 1996, dictada en el caso </w:t>
      </w:r>
      <w:r w:rsidRPr="005728DD">
        <w:rPr>
          <w:i/>
        </w:rPr>
        <w:t>Pullar</w:t>
      </w:r>
      <w:r>
        <w:t xml:space="preserve">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 citada en SSTC 64/2001, 65/2001 y 66/2001, FFJJ 2 c), y 69/2001, FJ 14 c)].</w:t>
      </w:r>
    </w:p>
    <w:p w:rsidR="005728DD" w:rsidRDefault="005728DD" w:rsidP="005728DD">
      <w:pPr>
        <w:pStyle w:val="TextoNormal"/>
      </w:pPr>
    </w:p>
    <w:p w:rsidR="005728DD" w:rsidRDefault="005728DD" w:rsidP="005728DD">
      <w:pPr>
        <w:pStyle w:val="TextoNormal"/>
      </w:pPr>
      <w:r>
        <w:t xml:space="preserve">Por tanto, “[s]olo en la medida en que se acreditase que la opinión de alguno o de algunos de los integrantes del tribunal haya podido verse condicionada por hechos o circunstancias </w:t>
      </w:r>
      <w:r>
        <w:lastRenderedPageBreak/>
        <w:t>externas a la propia deliberación, o que la citada ‘filtración’ iba encaminada a obtener una modificación interesada de lo previamente decidido, la garantía de imparcialidad, reconocida por el art. 24.2 CE, podría haberse visto afectada en su vertiente subjetiva”.</w:t>
      </w:r>
    </w:p>
    <w:p w:rsidR="005728DD" w:rsidRDefault="005728DD" w:rsidP="005728DD">
      <w:pPr>
        <w:pStyle w:val="TextoNormal"/>
      </w:pPr>
    </w:p>
    <w:p w:rsidR="005728DD" w:rsidRDefault="005728DD" w:rsidP="005728DD">
      <w:pPr>
        <w:pStyle w:val="TextoNormal"/>
      </w:pPr>
      <w:r>
        <w:t>A fin de efectuar esta valoración han de tenerse en cuenta, entre otros, los siguientes factores: (i) que no puede cuestionarse el desinterés objetivo en el asunto de los miembros del tribunal sentenciador cuando “nada avala una relación previa de estos con las partes del proceso o con sus intereses”; (ii)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(iii) el contenido de la información y el tiempo en que se produjo su aparición en los medios de comunicación; y, en concreto, si “ya había concluido el juicio oral, se había desarrollado toda la prueba e, incluso, había finalizado la deliberación” [SSTC 64/2001, 65/2001, 66/2001, FFJJ 2 b), y 69/2001, FJ 14 b)].</w:t>
      </w:r>
    </w:p>
    <w:p w:rsidR="005728DD" w:rsidRDefault="005728DD" w:rsidP="005728DD">
      <w:pPr>
        <w:pStyle w:val="TextoNormal"/>
      </w:pPr>
    </w:p>
    <w:p w:rsidR="005728DD" w:rsidRDefault="005728DD" w:rsidP="005728DD">
      <w:pPr>
        <w:pStyle w:val="TextoNormal"/>
      </w:pPr>
      <w:r>
        <w:t>10.4</w:t>
      </w:r>
      <w:r w:rsidRPr="005728DD">
        <w:rPr>
          <w:i/>
        </w:rPr>
        <w:t>. Resolución de la que</w:t>
      </w:r>
      <w:r>
        <w:t>ja.</w:t>
      </w:r>
    </w:p>
    <w:p w:rsidR="005728DD" w:rsidRDefault="005728DD" w:rsidP="005728DD">
      <w:pPr>
        <w:pStyle w:val="TextoNormal"/>
      </w:pPr>
    </w:p>
    <w:p w:rsidR="005728DD" w:rsidRDefault="005728DD" w:rsidP="005728DD">
      <w:pPr>
        <w:pStyle w:val="TextoNormal"/>
      </w:pPr>
      <w:r>
        <w:t>No podemos tener por justificada la premisa de la que parte el motivo del recurso de amparo. Si por “filtración” entendemos, conforme a nuestra doctrina antes reseñada, la transmisión de información a terceros acerca del contenido o sentido de la deliberación y resolución de un caso, procedente de alguno de los magistrados integrantes del tribunal, seguida de la publicación en los medios de comunicación, con anterioridad a la definitiva conformación del fallo y de su notificación a las partes, no consta acreditado en las actuaciones que tales circunstancias hubieran tenido lugar.</w:t>
      </w:r>
    </w:p>
    <w:p w:rsidR="005728DD" w:rsidRDefault="005728DD" w:rsidP="005728DD">
      <w:pPr>
        <w:pStyle w:val="TextoNormal"/>
      </w:pPr>
    </w:p>
    <w:p w:rsidR="005728DD" w:rsidRDefault="005728DD" w:rsidP="005728DD">
      <w:pPr>
        <w:pStyle w:val="TextoNormal"/>
      </w:pPr>
      <w:r>
        <w:t>Atendida la relevancia pública de la causa penal que había sido enjuiciada, afirmar en el presente caso la existencia de una “filtración”, en el sentido jurídicamente relevante antes definido, es una inferencia no debidamente justificada, pues es notorio que en semanas anteriores a la publicación del fallo de la sentencia, el debate social y mediático giraba alrededor de una alternativa muy sencilla: si, en caso de producirse, la condena acogería la calificación del Ministerio Fiscal y la acusación popular (delito de rebelión) o la de la abogacía del Estado (delito de sedición). En tales circunstancias, resulta lógicamente presumible que una parte de quienes hubiesen seguido atentamente el juicio oral, fuesen juristas, periodistas o simples observadores, anticipasen su criterio de que la sentencia asumiría finalmente la acusación por sedición, llegando así a la misma conclusión que unánimemente alcanzaron los magistrados miembros del tribunal sentenciador. Este contexto permite explicar, como alternativa probable, que en los medios de comunicación se publicasen opiniones, previsiones o simples pronósticos inevitables, acertados o no, que no tenían en absoluto su origen en filtración alguna.</w:t>
      </w:r>
    </w:p>
    <w:p w:rsidR="005728DD" w:rsidRDefault="005728DD" w:rsidP="005728DD">
      <w:pPr>
        <w:pStyle w:val="TextoNormal"/>
      </w:pPr>
    </w:p>
    <w:p w:rsidR="005728DD" w:rsidRDefault="005728DD" w:rsidP="005728DD">
      <w:pPr>
        <w:pStyle w:val="TextoNormal"/>
      </w:pPr>
      <w:r>
        <w:t xml:space="preserve">A lo expuesto ha de añadirse, a fin de descartar cualquiera afectación de la imparcialidad judicial, la constatación de los siguientes elementos de juicio: (i) según hemos visto, el contenido de las noticias reseñadas en la demanda de amparo, datadas escasos días antes de la publicación de la sentencia, se ciñe a que previsiblemente se produciría la condena por un delito de sedición y a referir ciertos rasgos típicos de esta figura delictiva y del delito de </w:t>
      </w:r>
      <w:r>
        <w:lastRenderedPageBreak/>
        <w:t>rebelión, de mayor gravedad, por el que se había, también, formulado acusación; (ii) las deliberaciones se iniciaron al término del juicio oral, el 12 de junio de 2019, y se prolongaron hasta el 11 de octubre de ese mismo año, según dice la sentencia recurrida, siendo firmada la misma en fecha 14 de octubre de 2019, momento a partir del cual se llevó a cabo su notificación a las partes; (iii) el contenido de la sentencia, que cuenta con 493 folios, ha quedado reseñado en el apartado de antecedentes de esta resolución. A él nos remitimos para destacar aquí su complejidad, con una pluralidad de sujetos condenados por diversos delitos, de hechos y de cuestiones jurídicas; (iv) las incontables noticias y artículos de opinión (jurídica o no) aparecidas en los medios de comunicación, en foros y en revistas especializadas, antes, durante y después del juicio, retrasmitido en directo, y de la publicación de la sentencia, dan cuenta del contexto social y jurídico en que se enmarca este proceso.</w:t>
      </w:r>
    </w:p>
    <w:p w:rsidR="005728DD" w:rsidRDefault="005728DD" w:rsidP="005728DD">
      <w:pPr>
        <w:pStyle w:val="TextoNormal"/>
      </w:pPr>
    </w:p>
    <w:p w:rsidR="005728DD" w:rsidRDefault="005728DD" w:rsidP="005728DD">
      <w:pPr>
        <w:pStyle w:val="TextoNormal"/>
      </w:pPr>
      <w:r>
        <w:t>En tales circunstancias, no podemos tener por probado que las noticias aparecidas en los medios de comunicación procedieran de miembros de la sala enjuiciadora, ni mucho menos consideramos justificado que, atendiendo al contenido de tales informaciones, al contexto y al tiempo en que se produjeron (terminado el juicio oral y a escasos días de la finalización de una deliberación que se había prolongado durante meses), hayan menoscabado la imparcialidad o apariencia de imparcialidad del tribunal sentenciador. Tampoco deducimos que dichas noticias, en el escenario en que irrumpieron, fueran detonante de un clamor popular a favor de un determinado contenido del fallo, “poniendo en entredicho la necesaria serenidad del tribunal o la confianza de la ciudadanía en el comportamiento neutral de los juzgadores” (STC 136/1999, FJ 9), cuya experiencia y profesionalidad, en cuanto miembros del órgano jurisdiccional superior en todos los órdenes, salvo lo dispuesto en materia de garantías constitucionales (art. 123.1 CE), ha sido ya subrayada.</w:t>
      </w:r>
    </w:p>
    <w:p w:rsidR="005728DD" w:rsidRDefault="005728DD" w:rsidP="005728DD">
      <w:pPr>
        <w:pStyle w:val="TextoNormal"/>
      </w:pPr>
    </w:p>
    <w:p w:rsidR="005728DD" w:rsidRDefault="005728DD" w:rsidP="005728DD">
      <w:pPr>
        <w:pStyle w:val="TextoNormal"/>
      </w:pPr>
      <w:r>
        <w:t>En conclusión, los argumentos empleados por la parte demandante resultan insuficientes para cuestionar eficazmente la imparcialidad de la Sala de lo Penal del Tribunal Supremo que tuvo encomendado el enjuiciamiento del caso, manteniéndose incólume la presunción que rige en esta materia en la medida en que no existe prueba alguna que permita ponerla en duda.</w:t>
      </w:r>
    </w:p>
    <w:p w:rsidR="005728DD" w:rsidRDefault="005728DD" w:rsidP="005728DD">
      <w:pPr>
        <w:pStyle w:val="TextoNormal"/>
      </w:pPr>
    </w:p>
    <w:p w:rsidR="005728DD" w:rsidRDefault="005728DD" w:rsidP="005728DD">
      <w:pPr>
        <w:pStyle w:val="TextoNormal"/>
      </w:pPr>
      <w:r>
        <w:t>Por lo que procede, en consecuencia, la desestimación de este motivo de amparo.</w:t>
      </w:r>
    </w:p>
    <w:p w:rsidR="005728DD" w:rsidRDefault="005728DD" w:rsidP="005728DD">
      <w:pPr>
        <w:pStyle w:val="TextoNormal"/>
      </w:pPr>
    </w:p>
    <w:p w:rsidR="005728DD" w:rsidRDefault="005728DD" w:rsidP="005728DD">
      <w:pPr>
        <w:pStyle w:val="TextoNormal"/>
      </w:pPr>
      <w:r w:rsidRPr="005728DD">
        <w:rPr>
          <w:rStyle w:val="NumeroAFNegritaCaracter"/>
        </w:rPr>
        <w:t>11</w:t>
      </w:r>
      <w:r>
        <w:t xml:space="preserve">. </w:t>
      </w:r>
      <w:r w:rsidRPr="005728DD">
        <w:rPr>
          <w:i/>
        </w:rPr>
        <w:t>Derecho a la tutela judicial efectiva por ausencia o insuficiente motivación de la individualización de la pena impuesta</w:t>
      </w:r>
      <w:r>
        <w:t>.</w:t>
      </w:r>
    </w:p>
    <w:p w:rsidR="005728DD" w:rsidRDefault="005728DD" w:rsidP="005728DD">
      <w:pPr>
        <w:pStyle w:val="TextoNormal"/>
      </w:pPr>
    </w:p>
    <w:p w:rsidR="005728DD" w:rsidRDefault="005728DD" w:rsidP="005728DD">
      <w:pPr>
        <w:pStyle w:val="TextoNormal"/>
      </w:pPr>
      <w:r>
        <w:t xml:space="preserve">11.1. </w:t>
      </w:r>
      <w:r w:rsidRPr="005728DD">
        <w:rPr>
          <w:i/>
        </w:rPr>
        <w:t>Posiciones de las partes</w:t>
      </w:r>
      <w:r>
        <w:t>.</w:t>
      </w:r>
    </w:p>
    <w:p w:rsidR="005728DD" w:rsidRDefault="005728DD" w:rsidP="005728DD">
      <w:pPr>
        <w:pStyle w:val="TextoNormal"/>
      </w:pPr>
    </w:p>
    <w:p w:rsidR="005728DD" w:rsidRDefault="005728DD" w:rsidP="005728DD">
      <w:pPr>
        <w:pStyle w:val="TextoNormal"/>
      </w:pPr>
      <w:r>
        <w:t>En este motivo de amparo aduce el recurrente que la sentencia condenatoria impugnada ha vulnerado su derecho a la tutela judicial efectiva (art. 24.1 CE), en su manifestación de derecho a obtener una resolución fundada en Derecho, dada la ausencia de toda motivación en la individualización de la pena impuesta que, cuando no concurran atenuantes ni agravantes, ha de atender, como establece el art. 66.6 del Código penal, “a las circunstancias personales del delincuente y a la mayor o menor gravedad del hecho”.</w:t>
      </w:r>
    </w:p>
    <w:p w:rsidR="005728DD" w:rsidRDefault="005728DD" w:rsidP="005728DD">
      <w:pPr>
        <w:pStyle w:val="TextoNormal"/>
      </w:pPr>
    </w:p>
    <w:p w:rsidR="005728DD" w:rsidRDefault="005728DD" w:rsidP="005728DD">
      <w:pPr>
        <w:pStyle w:val="TextoNormal"/>
      </w:pPr>
      <w:r>
        <w:t xml:space="preserve">En tal sentido alega, de una parte, que la pena impuesta desborda la petición de la abogacía del Estado y se apoya en la mayor petición formulada por la acusación popular, lo que le resulta llamativo y gravemente incoherente dadas las reservas que en la propia sentencia </w:t>
      </w:r>
      <w:r>
        <w:lastRenderedPageBreak/>
        <w:t xml:space="preserve">se exponen sobre la participación de los partidos políticos en las causas penales. En segundo término, considera que la sentencia incumple la propia jurisprudencia de la Sala de lo Penal del Tribunal Supremo, que impone un deber reforzado de motivación del </w:t>
      </w:r>
      <w:r w:rsidRPr="005728DD">
        <w:rPr>
          <w:i/>
        </w:rPr>
        <w:t>quantum</w:t>
      </w:r>
      <w:r>
        <w:t xml:space="preserve"> de la pena. Afirma el recurrente que al justificar su condena no se ha dedicado una sola línea a explicar por qué no le han sido impuestas las penas mínimas legalmente imponibles (de ocho años de duración) en vez de la que le ha sido impuesta (nueve años de prisión e inhabilitación absoluta, con accesorias); unas penas que considera muy cercanas a las impuestas a aquellos otros condenados en la misma causa que ostentaban la condición de autoridad, de la que él carece (penas de diez años y seis meses a once años y seis meses). Tal déficit tampoco habría sido reparado al resolver la solicitud de nulidad presentada, pues únicamente ha recibido una respuesta que se remite a lo ya expuesto. Como reparación, solicita que la sentencia condenatoria sea anulada en lo que respecta a la concreta pena de prisión expuesta.</w:t>
      </w:r>
    </w:p>
    <w:p w:rsidR="005728DD" w:rsidRDefault="005728DD" w:rsidP="005728DD">
      <w:pPr>
        <w:pStyle w:val="TextoNormal"/>
      </w:pPr>
    </w:p>
    <w:p w:rsidR="005728DD" w:rsidRDefault="005728DD" w:rsidP="005728DD">
      <w:pPr>
        <w:pStyle w:val="TextoNormal"/>
      </w:pPr>
      <w:r>
        <w:t>Por su parte, el abogado del Estado solicita la desestimación de la queja al entender que la pena impuesta ha sido suficientemente motivada. Señala que, a partir del marco penal abstracto establecido por el legislador para la conducta imputada (de ocho a diez años), el criterio relativo a la gravedad del hecho, recogido en el art. 66.6 CP para individualizar la pena en cada caso, depende de la intensidad del dolo, de las circunstancias concurrentes, de la mayor o menor culpabilidad del sujeto, del mal efectivamente causado y de la conducta del reo posterior a la realización del delito. Así, destaca que el relato fáctico que sustenta la condena refleja la condición del demandante como la de un “líder social de vanguardia” que, concertado con los demás acusados en los fines sediciosos, se mostró como verdadero conductor de los episodios acaecidos los días 20 de septiembre y 1 de octubre de 2017.</w:t>
      </w:r>
    </w:p>
    <w:p w:rsidR="005728DD" w:rsidRDefault="005728DD" w:rsidP="005728DD">
      <w:pPr>
        <w:pStyle w:val="TextoNormal"/>
      </w:pPr>
    </w:p>
    <w:p w:rsidR="005728DD" w:rsidRDefault="005728DD" w:rsidP="005728DD">
      <w:pPr>
        <w:pStyle w:val="TextoNormal"/>
      </w:pPr>
      <w:r>
        <w:t>También el Ministerio Fiscal apoya la desestimación de la queja. Entiende que, a partir del reiterado criterio establecido por nuestra jurisprudencia sobre la obligación de motivar la determinación de la pena concreta impuesta (STC 98/2005, de 18 de abril, FJ 2), la exigencia ha sido cumplida en este caso, ya que, cuando los datos básicos del proceso de individualización de la pena pueden inferirse de los hechos probados, no resultan constitucionalmente exigibles ulteriores razonamientos que los traduzcan en una cuantificación de pena exacta, dada la imposibilidad de sentar un criterio que mida lo que, de suyo, no es susceptible de medición; situación que concurre atendido el relato de hechos probados, al que expresamente se remite la decisión de condena al individualizar la pena impuesta al demandante.</w:t>
      </w:r>
    </w:p>
    <w:p w:rsidR="005728DD" w:rsidRDefault="005728DD" w:rsidP="005728DD">
      <w:pPr>
        <w:pStyle w:val="TextoNormal"/>
      </w:pPr>
    </w:p>
    <w:p w:rsidR="005728DD" w:rsidRDefault="005728DD" w:rsidP="005728DD">
      <w:pPr>
        <w:pStyle w:val="TextoNormal"/>
      </w:pPr>
      <w:r>
        <w:t xml:space="preserve">11.2. </w:t>
      </w:r>
      <w:r w:rsidRPr="005728DD">
        <w:rPr>
          <w:i/>
        </w:rPr>
        <w:t>Respuesta del órgano judicial</w:t>
      </w:r>
      <w:r>
        <w:t>.</w:t>
      </w:r>
    </w:p>
    <w:p w:rsidR="005728DD" w:rsidRDefault="005728DD" w:rsidP="005728DD">
      <w:pPr>
        <w:pStyle w:val="TextoNormal"/>
      </w:pPr>
    </w:p>
    <w:p w:rsidR="005728DD" w:rsidRDefault="005728DD" w:rsidP="005728DD">
      <w:pPr>
        <w:pStyle w:val="TextoNormal"/>
      </w:pPr>
      <w:r>
        <w:t>El recurrente ha sido condenado conforme a lo establecido en los arts. 544 y 545.1 del Código penal. Se le imputa, como autor principal, haber inducido, sostenido o dirigido la sedición a que se refiere el relato fáctico de la sentencia impugnada. 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w:t>
      </w:r>
    </w:p>
    <w:p w:rsidR="005728DD" w:rsidRDefault="005728DD" w:rsidP="005728DD">
      <w:pPr>
        <w:pStyle w:val="TextoNormal"/>
      </w:pPr>
    </w:p>
    <w:p w:rsidR="005728DD" w:rsidRDefault="005728DD" w:rsidP="005728DD">
      <w:pPr>
        <w:pStyle w:val="TextoNormal"/>
      </w:pPr>
      <w:r>
        <w:t xml:space="preserve">Las penas imponibles a sus autores aparecen establecidas en el art. 545 CP, a cuyo tenor: “1. Los que hubieren inducido, sostenido o dirigido la sedición o aparecieren en ella como </w:t>
      </w:r>
      <w:r>
        <w:lastRenderedPageBreak/>
        <w:t>sus principales autores, serán castigados con la pena de prisión de ocho a diez años, y con la de diez a quince años, si fueran personas constituidas en autoridad. En ambos casos se impondrá, además, la inhabilitación absoluta por el mismo tiempo”.</w:t>
      </w:r>
    </w:p>
    <w:p w:rsidR="005728DD" w:rsidRDefault="005728DD" w:rsidP="005728DD">
      <w:pPr>
        <w:pStyle w:val="TextoNormal"/>
      </w:pPr>
    </w:p>
    <w:p w:rsidR="005728DD" w:rsidRDefault="005728DD" w:rsidP="005728DD">
      <w:pPr>
        <w:pStyle w:val="TextoNormal"/>
      </w:pPr>
      <w:r>
        <w:t>Como ha destacado el Ministerio Fiscal, al justificar la concreta condena del señor Sànchez i Picanyol, la sala le diferencia de aquellos otros acusados que ostentaban la condición de autoridad, señalando: “[…] Su marco penal se mueve, por mandato del art. 545.1 del CP entre ocho y diez años de prisión, duración reservada a los que ‘hubieren inducido, sostenido o dirigido la sedición o aparecieren en ella como sus principales autores’. En el juicio histórico hemos reflejado su condición de líderes sociales de vanguardia que, concertados en los fines sediciosos con los demás acusados, se mostraron como verdaderos conductores de los episodios acaecidos los días 20 de septiembre y 1 de octubre” [fundamento de Derecho D) 2].</w:t>
      </w:r>
    </w:p>
    <w:p w:rsidR="005728DD" w:rsidRDefault="005728DD" w:rsidP="005728DD">
      <w:pPr>
        <w:pStyle w:val="TextoNormal"/>
      </w:pPr>
    </w:p>
    <w:p w:rsidR="005728DD" w:rsidRDefault="005728DD" w:rsidP="005728DD">
      <w:pPr>
        <w:pStyle w:val="TextoNormal"/>
      </w:pPr>
      <w:r>
        <w:t>Al rechazar la solicitud de nulidad de la sentencia, instada por el demandante con el mismo motivo que ahora se analiza, la sala justifica la pena impuesta remitiéndole a lo señalado en relación con otro coacusado a quien se impuso idéntica pena (el señor Cuixart i Navarro, presidente entonces de la asociación Òmnium Cultural). Así, se destaca que es una pena proporcionada a la gravedad de la conducta que le había sido imputada, en cuanto a través de esta se puso efectivamente en cuestión el funcionamiento del Estado democrático de Derecho. Más específicamente, se añade: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inconstitucional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5728DD" w:rsidRDefault="005728DD" w:rsidP="005728DD">
      <w:pPr>
        <w:pStyle w:val="TextoNormal"/>
      </w:pPr>
    </w:p>
    <w:p w:rsidR="005728DD" w:rsidRDefault="005728DD" w:rsidP="005728DD">
      <w:pPr>
        <w:pStyle w:val="TextoNormal"/>
      </w:pPr>
      <w:r>
        <w:t xml:space="preserve">11.3. </w:t>
      </w:r>
      <w:r w:rsidRPr="005728DD">
        <w:rPr>
          <w:i/>
        </w:rPr>
        <w:t>Doctrina constitucional</w:t>
      </w:r>
      <w:r>
        <w:t>.</w:t>
      </w:r>
    </w:p>
    <w:p w:rsidR="005728DD" w:rsidRDefault="005728DD" w:rsidP="005728DD">
      <w:pPr>
        <w:pStyle w:val="TextoNormal"/>
      </w:pPr>
    </w:p>
    <w:p w:rsidR="005728DD" w:rsidRDefault="005728DD" w:rsidP="005728DD">
      <w:pPr>
        <w:pStyle w:val="TextoNormal"/>
      </w:pPr>
      <w:r>
        <w:t>En una doctrina muy consolidada, a la que se refiere la STC 108/2001, de 23 de abril, este tribunal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del art. 24.1 CE. 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w:t>
      </w:r>
    </w:p>
    <w:p w:rsidR="005728DD" w:rsidRDefault="005728DD" w:rsidP="005728DD">
      <w:pPr>
        <w:pStyle w:val="TextoNormal"/>
      </w:pPr>
    </w:p>
    <w:p w:rsidR="005728DD" w:rsidRDefault="005728DD" w:rsidP="005728DD">
      <w:pPr>
        <w:pStyle w:val="TextoNormal"/>
      </w:pPr>
      <w:r>
        <w:lastRenderedPageBreak/>
        <w:t>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w:t>
      </w:r>
    </w:p>
    <w:p w:rsidR="005728DD" w:rsidRDefault="005728DD" w:rsidP="005728DD">
      <w:pPr>
        <w:pStyle w:val="TextoNormal"/>
      </w:pPr>
    </w:p>
    <w:p w:rsidR="005728DD" w:rsidRDefault="005728DD" w:rsidP="005728DD">
      <w:pPr>
        <w:pStyle w:val="TextoNormal"/>
      </w:pPr>
      <w:r>
        <w:t>En este último concreto ámbito,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w:t>
      </w:r>
    </w:p>
    <w:p w:rsidR="005728DD" w:rsidRDefault="005728DD" w:rsidP="005728DD">
      <w:pPr>
        <w:pStyle w:val="TextoNormal"/>
      </w:pPr>
    </w:p>
    <w:p w:rsidR="005728DD" w:rsidRDefault="005728DD" w:rsidP="005728DD">
      <w:pPr>
        <w:pStyle w:val="TextoNormal"/>
      </w:pPr>
      <w:r>
        <w:t>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005728DD" w:rsidRDefault="005728DD" w:rsidP="005728DD">
      <w:pPr>
        <w:pStyle w:val="TextoNormal"/>
      </w:pPr>
    </w:p>
    <w:p w:rsidR="005728DD" w:rsidRDefault="005728DD" w:rsidP="005728DD">
      <w:pPr>
        <w:pStyle w:val="TextoNormal"/>
      </w:pPr>
      <w:r>
        <w:t xml:space="preserve">En relación con este último extremo, sin embargo, nuestro control se ciñe a examinar si la extensión de la pena impuesta resulta o no manifiestamente irrazonable o arbitraria, es decir, coherente con los elementos objetivos y subjetivos cuya valoración exigen los preceptos legales relativos a la individualización de la pena (arts. 61 a 72 CP). En efecto, en nuestro ordenamiento, el sistema legal de determinación de la pena se caracteriza por la estrecha vinculación del juez a la ley; el margen de arbitrio judicial se encuentra estrechamente limitado y queda poco espacio para la motivación judicial, en la medida en que esta se erige en expresión de la racionalidad de la decisión y, por tanto, excluyente de la arbitrariedad judicial. Así pues, en principio, será el margen de arbitrio judicial del que, en cada caso, goce el juez para imponer la pena que corresponda al delito cometido, la medida de la motivación constitucionalmente exigible. Por otra parte, la decisión judicial sobre la pena concreta que haya de ser impuesta se adopta siempre en sentencia, tras la celebración de un juicio contradictorio con la consiguiente inmediación, y en la que ha debido argumentarse adecuadamente sobre la prueba del hecho delictivo, la participación que en él haya tenido el que resulte condenado y las diversas vicisitudes que hayan podido concurrir en el delito y en la persona a la que este se le imputa, características estas que son determinantes para </w:t>
      </w:r>
      <w:r>
        <w:lastRenderedPageBreak/>
        <w:t>el juicio de determinación de la pena, en virtud de las reglas establecidas en el art. 66 del Código penal. Así pues, la pena se impone siempre en una resolución en la que la existencia del delito, su gravedad, y la participación en él de quien resulte condenado han debido describirse y motivarse adecuadamente.</w:t>
      </w:r>
    </w:p>
    <w:p w:rsidR="005728DD" w:rsidRDefault="005728DD" w:rsidP="005728DD">
      <w:pPr>
        <w:pStyle w:val="TextoNormal"/>
      </w:pPr>
    </w:p>
    <w:p w:rsidR="005728DD" w:rsidRDefault="005728DD" w:rsidP="005728DD">
      <w:pPr>
        <w:pStyle w:val="TextoNormal"/>
      </w:pPr>
      <w:r>
        <w:t>11.4</w:t>
      </w:r>
      <w:r w:rsidRPr="005728DD">
        <w:rPr>
          <w:i/>
        </w:rPr>
        <w:t>. Resolución de la que</w:t>
      </w:r>
      <w:r>
        <w:t>ja.</w:t>
      </w:r>
    </w:p>
    <w:p w:rsidR="005728DD" w:rsidRDefault="005728DD" w:rsidP="005728DD">
      <w:pPr>
        <w:pStyle w:val="TextoNormal"/>
      </w:pPr>
    </w:p>
    <w:p w:rsidR="005728DD" w:rsidRDefault="005728DD" w:rsidP="005728DD">
      <w:pPr>
        <w:pStyle w:val="TextoNormal"/>
      </w:pPr>
      <w:r>
        <w:t>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del acusado y a la concurrencia de circunstancias modificativas de la responsabilidad penal, agravante o atenuante, genérica o específica.</w:t>
      </w:r>
    </w:p>
    <w:p w:rsidR="005728DD" w:rsidRDefault="005728DD" w:rsidP="005728DD">
      <w:pPr>
        <w:pStyle w:val="TextoNormal"/>
      </w:pPr>
    </w:p>
    <w:p w:rsidR="005728DD" w:rsidRDefault="005728DD" w:rsidP="005728DD">
      <w:pPr>
        <w:pStyle w:val="TextoNormal"/>
      </w:pPr>
      <w:r>
        <w:t>En la conducta del recurrente, calificada como delito doloso consumado en grado de autoría, el tribunal sentenciador no ha apreciado la concurrencia de ninguna circunstancia modificativa de la responsabilidad. Para estos supuestos, el art. 66.6 CP prevé específicamente dos criterios de graduación, pues establece que “cuando no concurran atenuantes ni agravantes [los jueces y tribunales] aplicarán la pena establecida por la ley para el delito cometido, en la extensión que estimen adecuada, en atención a las circunstancias personales del delincuente y a la mayor o menor gravedad del hecho”.</w:t>
      </w:r>
    </w:p>
    <w:p w:rsidR="005728DD" w:rsidRDefault="005728DD" w:rsidP="005728DD">
      <w:pPr>
        <w:pStyle w:val="TextoNormal"/>
      </w:pPr>
    </w:p>
    <w:p w:rsidR="005728DD" w:rsidRDefault="005728DD" w:rsidP="005728DD">
      <w:pPr>
        <w:pStyle w:val="TextoNormal"/>
      </w:pPr>
      <w:r>
        <w:t xml:space="preserve">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y a la vista de los datos que los hechos probados relatan, la motivación acerca del </w:t>
      </w:r>
      <w:r w:rsidRPr="005728DD">
        <w:rPr>
          <w:i/>
        </w:rPr>
        <w:t>quantum</w:t>
      </w:r>
      <w:r>
        <w:t xml:space="preserve"> de la pena impuesta resulta o no manifiestamente irrazonable o arbitraria (STC 47/1998, de 31 de marzo, FJ6, o, más recientemente, SSTC 196/2007, de 11 de septiembre, FJ 7; 40/2008, de 10 de marzo, FJ 4, y 205/2009, de 23 de noviembre, FJ 5).</w:t>
      </w:r>
    </w:p>
    <w:p w:rsidR="005728DD" w:rsidRDefault="005728DD" w:rsidP="005728DD">
      <w:pPr>
        <w:pStyle w:val="TextoNormal"/>
      </w:pPr>
    </w:p>
    <w:p w:rsidR="005728DD" w:rsidRDefault="005728DD" w:rsidP="005728DD">
      <w:pPr>
        <w:pStyle w:val="TextoNormal"/>
      </w:pPr>
      <w:r>
        <w:t>La aplicación de los criterios jurisprudenciales expuestos, en relación con la exigencia de motivar la determinación de la pena que ha sido antes expuesta, justifica la desestimación de la presente queja.</w:t>
      </w:r>
    </w:p>
    <w:p w:rsidR="005728DD" w:rsidRDefault="005728DD" w:rsidP="005728DD">
      <w:pPr>
        <w:pStyle w:val="TextoNormal"/>
      </w:pPr>
    </w:p>
    <w:p w:rsidR="005728DD" w:rsidRDefault="005728DD" w:rsidP="005728DD">
      <w:pPr>
        <w:pStyle w:val="TextoNormal"/>
      </w:pPr>
      <w:r>
        <w:t>Hemos de destacar que, para imponer al demandante la pena de nueve años de prisión e inhabilitación absoluta, dentro del estrecho marco penal abstracto que establece el art. 545.1 CP (entre ocho y diez años de duración), el tribunal sentenciador ha tomado en consideración y exteriorizado al menos tres elementos básicos: (i) su condición de líder social de una relevante asociación político-cultural catalana —que viene participando activamente en dichos ámbitos desde 2012—; (ii) la apreciación de que fue uno de los “verdaderos” conductores de dos de los episodios más destacados a través de los que se ha tratado de hacer inefectivos los mandatos judiciales, y (iii) la gravedad objetiva de la conducta imputada, en cuanto a través de la misma “se puso efectivamente en cuestión el funcionamiento del Estado democrático de Derecho”.</w:t>
      </w:r>
    </w:p>
    <w:p w:rsidR="005728DD" w:rsidRDefault="005728DD" w:rsidP="005728DD">
      <w:pPr>
        <w:pStyle w:val="TextoNormal"/>
      </w:pPr>
    </w:p>
    <w:p w:rsidR="005728DD" w:rsidRDefault="005728DD" w:rsidP="005728DD">
      <w:pPr>
        <w:pStyle w:val="TextoNormal"/>
      </w:pPr>
      <w:r>
        <w:t>La motivación exigida, es evidente, ha sido expresada tanto al fundamentar la sentencia condenatoria como al desestimar la solicitud de nulidad presentada. Viene referida tanto al relato de hechos probados, como al juicio de autoría del demandante. Además, aplica directamente los criterios legales que disciplinan la individualización de la pena cuando no concurren atenuantes ni agravantes. Son criterios que tienen que ver con las circunstancias y el rol que ha venido protagonizando el demandante; con el papel que, según el relato factico, desempeñó en los hechos que han dado lugar a su condena; y, también, con la objetiva gravedad del delito por el que ha sido condenado.</w:t>
      </w:r>
    </w:p>
    <w:p w:rsidR="005728DD" w:rsidRDefault="005728DD" w:rsidP="005728DD">
      <w:pPr>
        <w:pStyle w:val="TextoNormal"/>
      </w:pPr>
    </w:p>
    <w:p w:rsidR="005728DD" w:rsidRDefault="005728DD" w:rsidP="005728DD">
      <w:pPr>
        <w:pStyle w:val="TextoNormal"/>
      </w:pPr>
      <w:r>
        <w:t>Se trata de criterios explícitos y ajustados a la previsión legal, que no pueden ser cuestionados desde la perspectiva de su insuficiencia, pero tampoco en relación con su contenido razonado y no arbitrario. Frente a lo afirmado en la demanda de amparo, tal como dispone el art. 66 CP, a la hora de individualizar la pena, el tribunal ha tenido en cuenta sus circunstancias personales, su conducta y la gravedad del delito imputado, de la que también es expresiva la apreciación de un concierto y coordinación previa con diversas autoridades públicas autonómicas, también condenadas, que se dirigía a dificultar o hacer ineficaces resoluciones judiciales previas, a aprobar y hacer efectiva una normativa autonómica cautelarmente suspendida por este tribunal y a propiciar la celebración de un referéndum, cuya convocatoria había sido también constitucionalmente cuestionada y cautelarmente suspendida.</w:t>
      </w:r>
    </w:p>
    <w:p w:rsidR="005728DD" w:rsidRDefault="005728DD" w:rsidP="005728DD">
      <w:pPr>
        <w:pStyle w:val="TextoNormal"/>
      </w:pPr>
    </w:p>
    <w:p w:rsidR="005728DD" w:rsidRDefault="005728DD" w:rsidP="005728DD">
      <w:pPr>
        <w:pStyle w:val="TextoNormal"/>
      </w:pPr>
      <w:r>
        <w:t>Afirmada la inexistencia de arbitrariedad o irrazonabilidad en la motivación de las decisiones impugnadas, no es labor de este tribunal sustituir al juzgador en su cometido de determinar la pena a imponer en el caso concreto, ni reducir el margen de arbitrio que en dicho cometido le concede la ley. Así pues, en el presente supuesto la sala de enjuiciamiento ha motivado y explicitado las circunstancias legalmente previstas que ha tenido en cuenta para la individualización de la pena impuesta al demandante de amparo, habiendo tenido este la posibilidad de refutarlas al solicitar su nulidad y a través de este proceso de amparo, por lo que hemos de concluir que ninguna lesión cabe apreciar del derecho a la tutela judicial efectiva invocado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12</w:t>
      </w:r>
      <w:r>
        <w:t xml:space="preserve">. </w:t>
      </w:r>
      <w:r w:rsidRPr="005728DD">
        <w:rPr>
          <w:i/>
        </w:rPr>
        <w:t>Derecho a la legalidad sancionatoria, en relación con otros derechos fundamentales sustantivos</w:t>
      </w:r>
      <w:r>
        <w:t>.</w:t>
      </w:r>
    </w:p>
    <w:p w:rsidR="005728DD" w:rsidRDefault="005728DD" w:rsidP="005728DD">
      <w:pPr>
        <w:pStyle w:val="TextoNormal"/>
      </w:pPr>
    </w:p>
    <w:p w:rsidR="005728DD" w:rsidRDefault="005728DD" w:rsidP="005728DD">
      <w:pPr>
        <w:pStyle w:val="TextoNormal"/>
      </w:pPr>
      <w:r>
        <w:t>A continuación, se procederá a dar respuesta al bloque de quejas que se agrupan bajo el común denominador de aducir la vulneración del derecho a la legalidad penal reconocido en el art. 25.1 CE. No obstante, antes de pronunciarnos sobre las diferentes denuncias formuladas en relación con el derecho indicado, hemos de advertir que su orden de análisis no coincide exactamente con el seguido en el recurso.</w:t>
      </w:r>
    </w:p>
    <w:p w:rsidR="005728DD" w:rsidRDefault="005728DD" w:rsidP="005728DD">
      <w:pPr>
        <w:pStyle w:val="TextoNormal"/>
      </w:pPr>
    </w:p>
    <w:p w:rsidR="005728DD" w:rsidRDefault="005728DD" w:rsidP="005728DD">
      <w:pPr>
        <w:pStyle w:val="TextoNormal"/>
      </w:pPr>
      <w:r>
        <w:t>En el apartado décimo de la demanda de amparo se censura la falta de taxatividad del delito de sedición, deficiencia esta que se atribuye específicamente al tipo penal descrito en el art. 544 CP. Siendo así, entendemos procedente abordar la resolución de esta denuncia en primer lugar pues, de ser estimada, excusaría del ulterior análisis de los restantes reproches que se dirigen sobre la decisión judicial en lo atinente a la interpretación y aplicación de la norma penal referida. Para el caso de no ser estimada esa vulneración, continuaríamos nuestro análisis conforme al esquema propuesto en el escrito de demanda.</w:t>
      </w:r>
    </w:p>
    <w:p w:rsidR="005728DD" w:rsidRDefault="005728DD" w:rsidP="005728DD">
      <w:pPr>
        <w:pStyle w:val="TextoNormal"/>
      </w:pPr>
    </w:p>
    <w:p w:rsidR="005728DD" w:rsidRDefault="005728DD" w:rsidP="005728DD">
      <w:pPr>
        <w:pStyle w:val="TextoNormal"/>
      </w:pPr>
      <w:r>
        <w:t xml:space="preserve">12.1. </w:t>
      </w:r>
      <w:r w:rsidRPr="005728DD">
        <w:rPr>
          <w:i/>
        </w:rPr>
        <w:t>Doctrina constitucional</w:t>
      </w:r>
      <w:r>
        <w:t>.</w:t>
      </w:r>
    </w:p>
    <w:p w:rsidR="005728DD" w:rsidRDefault="005728DD" w:rsidP="005728DD">
      <w:pPr>
        <w:pStyle w:val="TextoNormal"/>
      </w:pPr>
    </w:p>
    <w:p w:rsidR="005728DD" w:rsidRDefault="005728DD" w:rsidP="005728DD">
      <w:pPr>
        <w:pStyle w:val="TextoNormal"/>
      </w:pPr>
      <w:r>
        <w:t>Hecha la anterior precisión, procede compendiar a continuación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del producirse no constituyan delito, falta o infracción administrativa, según la legislación vigente en aquel momento”.</w:t>
      </w:r>
    </w:p>
    <w:p w:rsidR="005728DD" w:rsidRDefault="005728DD" w:rsidP="005728DD">
      <w:pPr>
        <w:pStyle w:val="TextoNormal"/>
      </w:pPr>
    </w:p>
    <w:p w:rsidR="005728DD" w:rsidRDefault="005728DD" w:rsidP="005728DD">
      <w:pPr>
        <w:pStyle w:val="TextoNormal"/>
      </w:pPr>
      <w:r>
        <w:t>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005728DD" w:rsidRDefault="005728DD" w:rsidP="005728DD">
      <w:pPr>
        <w:pStyle w:val="TextoNormal"/>
      </w:pPr>
    </w:p>
    <w:p w:rsidR="005728DD" w:rsidRDefault="005728DD" w:rsidP="005728DD">
      <w:pPr>
        <w:pStyle w:val="TextoNormal"/>
      </w:pPr>
      <w:r>
        <w:t>“a)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005728DD" w:rsidRDefault="005728DD" w:rsidP="005728DD">
      <w:pPr>
        <w:pStyle w:val="TextoNormal"/>
      </w:pPr>
    </w:p>
    <w:p w:rsidR="005728DD" w:rsidRDefault="005728DD" w:rsidP="005728DD">
      <w:pPr>
        <w:pStyle w:val="TextoNormal"/>
      </w:pPr>
      <w:r>
        <w:t>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005728DD" w:rsidRDefault="005728DD" w:rsidP="005728DD">
      <w:pPr>
        <w:pStyle w:val="TextoNormal"/>
      </w:pPr>
    </w:p>
    <w:p w:rsidR="005728DD" w:rsidRDefault="005728DD" w:rsidP="005728DD">
      <w:pPr>
        <w:pStyle w:val="TextoNormal"/>
      </w:pPr>
      <w: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5728DD">
        <w:rPr>
          <w:i/>
        </w:rPr>
        <w:t>ex ante</w:t>
      </w:r>
      <w:r>
        <w:t xml:space="preserve"> el supuesto de hecho al que anuda la sanción y la punición </w:t>
      </w:r>
      <w:r>
        <w:lastRenderedPageBreak/>
        <w:t>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005728DD" w:rsidRDefault="005728DD" w:rsidP="005728DD">
      <w:pPr>
        <w:pStyle w:val="TextoNormal"/>
      </w:pPr>
    </w:p>
    <w:p w:rsidR="005728DD" w:rsidRDefault="005728DD" w:rsidP="005728DD">
      <w:pPr>
        <w:pStyle w:val="TextoNormal"/>
      </w:pPr>
      <w:r>
        <w:t>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005728DD" w:rsidRDefault="005728DD" w:rsidP="005728DD">
      <w:pPr>
        <w:pStyle w:val="TextoNormal"/>
      </w:pPr>
    </w:p>
    <w:p w:rsidR="005728DD" w:rsidRDefault="005728DD" w:rsidP="005728DD">
      <w:pPr>
        <w:pStyle w:val="TextoNormal"/>
      </w:pPr>
      <w:r>
        <w:t>B) Este tribunal ha resaltado la importancia del mandato de taxatividad que el precepto constitucional objeto de cita contiene. Ejemplo de ello son los argumentos que figuran en la STC 146/2015, de 25 de junio, FJ 2, que a continuación se transcriben:</w:t>
      </w:r>
    </w:p>
    <w:p w:rsidR="005728DD" w:rsidRDefault="005728DD" w:rsidP="005728DD">
      <w:pPr>
        <w:pStyle w:val="TextoNormal"/>
      </w:pPr>
    </w:p>
    <w:p w:rsidR="005728DD" w:rsidRDefault="005728DD" w:rsidP="005728DD">
      <w:pPr>
        <w:pStyle w:val="TextoNormal"/>
      </w:pPr>
      <w:r>
        <w:t>“El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w:t>
      </w:r>
      <w:r w:rsidRPr="005728DD">
        <w:rPr>
          <w:i/>
        </w:rPr>
        <w:t>lex certa</w:t>
      </w:r>
      <w:r>
        <w:t>),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005728DD" w:rsidRDefault="005728DD" w:rsidP="005728DD">
      <w:pPr>
        <w:pStyle w:val="TextoNormal"/>
      </w:pPr>
    </w:p>
    <w:p w:rsidR="005728DD" w:rsidRDefault="005728DD" w:rsidP="005728DD">
      <w:pPr>
        <w:pStyle w:val="TextoNormal"/>
      </w:pPr>
      <w:r>
        <w:t>La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005728DD" w:rsidRDefault="005728DD" w:rsidP="005728DD">
      <w:pPr>
        <w:pStyle w:val="TextoNormal"/>
      </w:pPr>
    </w:p>
    <w:p w:rsidR="005728DD" w:rsidRDefault="005728DD" w:rsidP="005728DD">
      <w:pPr>
        <w:pStyle w:val="TextoNormal"/>
      </w:pPr>
      <w:r>
        <w:lastRenderedPageBreak/>
        <w:t xml:space="preserve">“La garantía constitucional de </w:t>
      </w:r>
      <w:r w:rsidRPr="005728DD">
        <w:rPr>
          <w:i/>
        </w:rPr>
        <w:t>lex certa</w:t>
      </w:r>
      <w:r>
        <w:t>, como faceta específica del derecho a la legalidad sancionadora, se desenvuelve, en nuestra doctrina (</w:t>
      </w:r>
      <w:r w:rsidRPr="005728DD">
        <w:rPr>
          <w:i/>
        </w:rPr>
        <w:t>vid</w:t>
      </w:r>
      <w:r>
        <w:t>, por todas, las SSTC 146/2015, de 25 de junio, FJ 2; 219/2016, de 19 de diciembre, FJ 5, y 220/2016, de 19 de diciembre, FJ 5), en dos ámbitos distintos:</w:t>
      </w:r>
    </w:p>
    <w:p w:rsidR="005728DD" w:rsidRDefault="005728DD" w:rsidP="005728DD">
      <w:pPr>
        <w:pStyle w:val="TextoNormal"/>
      </w:pPr>
    </w:p>
    <w:p w:rsidR="005728DD" w:rsidRDefault="005728DD" w:rsidP="005728DD">
      <w:pPr>
        <w:pStyle w:val="TextoNormal"/>
      </w:pPr>
      <w:r>
        <w:t xml:space="preserve">a) Ámbito normativo. De un lado, la garantía de certeza puede resultar vulnerada por la insuficiente determinación </w:t>
      </w:r>
      <w:r w:rsidRPr="005728DD">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5728DD" w:rsidRDefault="005728DD" w:rsidP="005728DD">
      <w:pPr>
        <w:pStyle w:val="TextoNormal"/>
      </w:pPr>
    </w:p>
    <w:p w:rsidR="005728DD" w:rsidRDefault="005728DD" w:rsidP="005728DD">
      <w:pPr>
        <w:pStyle w:val="TextoNormal"/>
      </w:pPr>
      <w:r>
        <w:t xml:space="preserve">b) Ámbito aplicativo. En cambio, aun cuando la redacción de la norma sancionadora resulta suficientemente precisa, la garantía de </w:t>
      </w:r>
      <w:r w:rsidRPr="005728DD">
        <w:rPr>
          <w:i/>
        </w:rPr>
        <w:t>lex certa</w:t>
      </w:r>
      <w:r>
        <w:t xml:space="preserve"> puede verse afectada por la aplicación irrazonable de dicha norma, vertiente que se desdobla, a su vez, en dos planos, (i) el de la indebida interpretación </w:t>
      </w:r>
      <w:r w:rsidRPr="005728DD">
        <w:rPr>
          <w:i/>
        </w:rPr>
        <w:t>ad casum</w:t>
      </w:r>
      <w:r>
        <w:t xml:space="preserve"> del alcance semántico del precepto, más allá de su sentido literal posible (analogía </w:t>
      </w:r>
      <w:r w:rsidRPr="005728DD">
        <w:rPr>
          <w:i/>
        </w:rPr>
        <w:t>in malam partem</w:t>
      </w:r>
      <w:r>
        <w:t>),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005728DD" w:rsidRDefault="005728DD" w:rsidP="005728DD">
      <w:pPr>
        <w:pStyle w:val="TextoNormal"/>
      </w:pPr>
    </w:p>
    <w:p w:rsidR="005728DD" w:rsidRDefault="005728DD" w:rsidP="005728DD">
      <w:pPr>
        <w:pStyle w:val="TextoNormal"/>
      </w:pPr>
      <w:r>
        <w:t>No obstante, el principio de taxatividad no es incompatible con el empleo de conceptos jurídicos indeterminados o la utilización de una terminología con cierto grado de ambigüedad por parte del legislador, como así queda expuesto, entre otras, en la STC 37/2018, de 23 de abril, FJ 3:</w:t>
      </w:r>
    </w:p>
    <w:p w:rsidR="005728DD" w:rsidRDefault="005728DD" w:rsidP="005728DD">
      <w:pPr>
        <w:pStyle w:val="TextoNormal"/>
      </w:pPr>
    </w:p>
    <w:p w:rsidR="005728DD" w:rsidRDefault="005728DD" w:rsidP="005728DD">
      <w:pPr>
        <w:pStyle w:val="TextoNormal"/>
      </w:pPr>
      <w:r>
        <w:t xml:space="preserve">“A esa exigencia de </w:t>
      </w:r>
      <w:r w:rsidRPr="005728DD">
        <w:rPr>
          <w:i/>
        </w:rPr>
        <w:t>lex certa</w:t>
      </w:r>
      <w:r>
        <w:t>,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005728DD" w:rsidRDefault="005728DD" w:rsidP="005728DD">
      <w:pPr>
        <w:pStyle w:val="TextoNormal"/>
      </w:pPr>
    </w:p>
    <w:p w:rsidR="005728DD" w:rsidRDefault="005728DD" w:rsidP="005728DD">
      <w:pPr>
        <w:pStyle w:val="TextoNormal"/>
      </w:pPr>
      <w:r>
        <w:lastRenderedPageBreak/>
        <w:t xml:space="preserve">C) La aplicación de la analogía </w:t>
      </w:r>
      <w:r w:rsidRPr="005728DD">
        <w:rPr>
          <w:i/>
        </w:rPr>
        <w:t>in malam partem</w:t>
      </w:r>
      <w:r>
        <w:t xml:space="preserve">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5728DD" w:rsidRDefault="005728DD" w:rsidP="005728DD">
      <w:pPr>
        <w:pStyle w:val="TextoNormal"/>
      </w:pPr>
    </w:p>
    <w:p w:rsidR="005728DD" w:rsidRDefault="005728DD" w:rsidP="005728DD">
      <w:pPr>
        <w:pStyle w:val="TextoNormal"/>
      </w:pPr>
      <w:r>
        <w:t>“A este respecto, hemos destacado que ‘la garantía material del principio de legalidad comporta el mandato de taxatividad o certeza, que se traduce en la exigencia de predeterminación normativa de las conductas punibles y de sus correspondientes sanciones (</w:t>
      </w:r>
      <w:r w:rsidRPr="005728DD">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5728DD">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005728DD" w:rsidRDefault="005728DD" w:rsidP="005728DD">
      <w:pPr>
        <w:pStyle w:val="TextoNormal"/>
      </w:pPr>
    </w:p>
    <w:p w:rsidR="005728DD" w:rsidRDefault="005728DD" w:rsidP="005728DD">
      <w:pPr>
        <w:pStyle w:val="TextoNormal"/>
      </w:pPr>
      <w:r>
        <w:t>D) A su vez, este tribunal ha precisado las exigencias a que se deben sujetar los órganos judiciales, al verificar la labor de subsunción de los hechos en la norma penal. Nuestra doctrina sobre ese particular queda recogida con detalle en la STC 129/2008, de 27 de octubre, FJ 3, en los siguientes términos:</w:t>
      </w:r>
    </w:p>
    <w:p w:rsidR="005728DD" w:rsidRDefault="005728DD" w:rsidP="005728DD">
      <w:pPr>
        <w:pStyle w:val="TextoNormal"/>
      </w:pPr>
    </w:p>
    <w:p w:rsidR="005728DD" w:rsidRDefault="005728DD" w:rsidP="005728DD">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5728DD" w:rsidRDefault="005728DD" w:rsidP="005728DD">
      <w:pPr>
        <w:pStyle w:val="TextoNormal"/>
      </w:pPr>
    </w:p>
    <w:p w:rsidR="005728DD" w:rsidRDefault="005728DD" w:rsidP="005728DD">
      <w:pPr>
        <w:pStyle w:val="TextoNormal"/>
      </w:pPr>
      <w: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w:t>
      </w:r>
      <w:r>
        <w:lastRenderedPageBreak/>
        <w:t>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5728DD" w:rsidRDefault="005728DD" w:rsidP="005728DD">
      <w:pPr>
        <w:pStyle w:val="TextoNormal"/>
      </w:pPr>
    </w:p>
    <w:p w:rsidR="005728DD" w:rsidRDefault="005728DD" w:rsidP="005728DD">
      <w:pPr>
        <w:pStyle w:val="TextoNormal"/>
      </w:pPr>
      <w:r>
        <w:t>E) También desde el prisma del derecho reconocido en el art. 25.1 CE ha sido objeto de análisis el principio de proporcionalidad de las penas. Dijimos en la STC 55/1996, de 28 de marzo, FJ 3, que el principio de proporcionalidad puede ser inferido de diversos preceptos constitucionales —arts. 1.1, 9.3 y 10.1 de la Constitución—. Se trata de un criterio de interpretación que no constituye en nuestro ordenamiento un canon de constitucionalidad autónomo cuya alegación pueda producirse de forma aislada, esto es, sin referencia a otros preceptos constitucionales (STC 62/1982, de 15 de octubre, FFJJ 3 y 5; 160/1987, de 27 de octubre, FJ 6; 177/2015, de 22 de julio, FJ 2, y 112/2016, de 20 de junio, FJ 2).</w:t>
      </w:r>
    </w:p>
    <w:p w:rsidR="005728DD" w:rsidRDefault="005728DD" w:rsidP="005728DD">
      <w:pPr>
        <w:pStyle w:val="TextoNormal"/>
      </w:pPr>
    </w:p>
    <w:p w:rsidR="005728DD" w:rsidRDefault="005728DD" w:rsidP="005728DD">
      <w:pPr>
        <w:pStyle w:val="TextoNormal"/>
      </w:pPr>
      <w:r>
        <w:t>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005728DD" w:rsidRDefault="005728DD" w:rsidP="005728DD">
      <w:pPr>
        <w:pStyle w:val="TextoNormal"/>
      </w:pPr>
    </w:p>
    <w:p w:rsidR="005728DD" w:rsidRDefault="005728DD" w:rsidP="005728DD">
      <w:pPr>
        <w:pStyle w:val="TextoNormal"/>
      </w:pPr>
      <w:r>
        <w:t xml:space="preserve">Tanto la configuración legislativa de las limitaciones de los derechos fundamentales, como su aplicación judicial o administrativa concreta, han de quedar reducidas por tanto a las que se hallen dirigidas a un fin constitucionalmente legítimo que pueda justificarlas. Y </w:t>
      </w:r>
      <w:r>
        <w:lastRenderedPageBreak/>
        <w:t>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del Convenio, admiten injerencias y restricciones de los derechos fundamentales cuando, previstas en la ley, son necesarias en una sociedad democrática para la satisfacción de un fin legítimo.</w:t>
      </w:r>
    </w:p>
    <w:p w:rsidR="005728DD" w:rsidRDefault="005728DD" w:rsidP="005728DD">
      <w:pPr>
        <w:pStyle w:val="TextoNormal"/>
      </w:pPr>
    </w:p>
    <w:p w:rsidR="005728DD" w:rsidRDefault="005728DD" w:rsidP="005728DD">
      <w:pPr>
        <w:pStyle w:val="TextoNormal"/>
      </w:pPr>
      <w:r>
        <w:t>Dos perspectivas no excluyentes son posibles: la que tiene que ver con la naturaleza y extensión de la sanción impuesta y la relacionada con la conducta que se sanciona:</w:t>
      </w:r>
    </w:p>
    <w:p w:rsidR="005728DD" w:rsidRDefault="005728DD" w:rsidP="005728DD">
      <w:pPr>
        <w:pStyle w:val="TextoNormal"/>
      </w:pPr>
    </w:p>
    <w:p w:rsidR="005728DD" w:rsidRDefault="005728DD" w:rsidP="005728DD">
      <w:pPr>
        <w:pStyle w:val="TextoNormal"/>
      </w:pPr>
      <w:r>
        <w:t>a) Poniendo su atención en la sanción prevista para el delito, este tribunal delimitó en la STC 136/1999, de 20 de julio, FJ 23, en los términos que a continuación se exponen, cuál es el alcance de la referida exigencia en relación con la naturaleza y extensión de la pena asociada por el delito al tipo de comportamiento incriminado:</w:t>
      </w:r>
    </w:p>
    <w:p w:rsidR="005728DD" w:rsidRDefault="005728DD" w:rsidP="005728DD">
      <w:pPr>
        <w:pStyle w:val="TextoNormal"/>
      </w:pPr>
    </w:p>
    <w:p w:rsidR="005728DD" w:rsidRDefault="005728DD" w:rsidP="005728DD">
      <w:pPr>
        <w:pStyle w:val="TextoNormal"/>
      </w:pPr>
      <w:r>
        <w:t>“El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005728DD" w:rsidRDefault="005728DD" w:rsidP="005728DD">
      <w:pPr>
        <w:pStyle w:val="TextoNormal"/>
      </w:pPr>
    </w:p>
    <w:p w:rsidR="005728DD" w:rsidRDefault="005728DD" w:rsidP="005728DD">
      <w:pPr>
        <w:pStyle w:val="TextoNormal"/>
      </w:pPr>
      <w:r>
        <w:t xml:space="preserve">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w:t>
      </w:r>
      <w:r>
        <w:lastRenderedPageBreak/>
        <w:t>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005728DD" w:rsidRDefault="005728DD" w:rsidP="005728DD">
      <w:pPr>
        <w:pStyle w:val="TextoNormal"/>
      </w:pPr>
    </w:p>
    <w:p w:rsidR="005728DD" w:rsidRDefault="005728DD" w:rsidP="005728DD">
      <w:pPr>
        <w:pStyle w:val="TextoNormal"/>
      </w:pPr>
      <w:r>
        <w:t>[...]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5728DD" w:rsidRDefault="005728DD" w:rsidP="005728DD">
      <w:pPr>
        <w:pStyle w:val="TextoNormal"/>
      </w:pPr>
    </w:p>
    <w:p w:rsidR="005728DD" w:rsidRDefault="005728DD" w:rsidP="005728DD">
      <w:pPr>
        <w:pStyle w:val="TextoNormal"/>
      </w:pPr>
      <w:r>
        <w:t>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005728DD" w:rsidRDefault="005728DD" w:rsidP="005728DD">
      <w:pPr>
        <w:pStyle w:val="TextoNormal"/>
      </w:pPr>
    </w:p>
    <w:p w:rsidR="005728DD" w:rsidRDefault="005728DD" w:rsidP="005728DD">
      <w:pPr>
        <w:pStyle w:val="TextoNormal"/>
      </w:pPr>
      <w:r>
        <w:t>b) Aún es posible otra perspectiva adicional de análisis, relacionada esta vez con el ejercicio de los derechos fundamentales a los que el recurrente anuda la conducta por la que ha sido penado.</w:t>
      </w:r>
    </w:p>
    <w:p w:rsidR="005728DD" w:rsidRDefault="005728DD" w:rsidP="005728DD">
      <w:pPr>
        <w:pStyle w:val="TextoNormal"/>
      </w:pPr>
    </w:p>
    <w:p w:rsidR="005728DD" w:rsidRDefault="005728DD" w:rsidP="005728DD">
      <w:pPr>
        <w:pStyle w:val="TextoNormal"/>
      </w:pPr>
      <w:r>
        <w:t xml:space="preserve">La STC 177/2015 ha puesto de manifiesto los riesgos derivados de la utilización del </w:t>
      </w:r>
      <w:r w:rsidRPr="005728DD">
        <w:rPr>
          <w:i/>
        </w:rPr>
        <w:t>ius puniendi</w:t>
      </w:r>
      <w:r>
        <w:t xml:space="preserve">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w:t>
      </w:r>
      <w:r>
        <w:lastRenderedPageBreak/>
        <w:t>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5728DD" w:rsidRDefault="005728DD" w:rsidP="005728DD">
      <w:pPr>
        <w:pStyle w:val="TextoNormal"/>
      </w:pPr>
    </w:p>
    <w:p w:rsidR="005728DD" w:rsidRDefault="005728DD" w:rsidP="005728DD">
      <w:pPr>
        <w:pStyle w:val="TextoNormal"/>
      </w:pPr>
      <w:r>
        <w:t xml:space="preserve">En nuestra jurisprudencia el juicio de proporcionalidad de las limitaciones de naturaleza penal ha sido específicamente abordado en reiteradas ocasiones en el ámbito de conductas relacionadas con las libertades de expresión e información, de las que —como anticipamos— la libertad de reunión es una modalidad concreta (STC 85/1988, de 28 de abril, FJ 2). En la ya citada STC 110/2000, destacamos que la dimensión objetiva de los derechos fundamentales, su carácter de elementos esenciales del ordenamiento jurídico, permiten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asunto </w:t>
      </w:r>
      <w:r w:rsidRPr="005728DD">
        <w:rPr>
          <w:i/>
        </w:rPr>
        <w:t>Tolstoy Miloslavsky c. Reino Unido</w:t>
      </w:r>
      <w:r>
        <w:t xml:space="preserve">, § 52 a 55; de 25 de noviembre de 1999, asunto </w:t>
      </w:r>
      <w:r w:rsidRPr="005728DD">
        <w:rPr>
          <w:i/>
        </w:rPr>
        <w:t>Nilsen y Johnsen c. Noruega</w:t>
      </w:r>
      <w:r>
        <w:t>, § 53, y de 29 de febrero de 2000, asunt</w:t>
      </w:r>
      <w:r w:rsidRPr="005728DD">
        <w:rPr>
          <w:i/>
        </w:rPr>
        <w:t>o Fuentes Bobo c. Espa</w:t>
      </w:r>
      <w:r>
        <w:t>ña, § 49 y 50.</w:t>
      </w:r>
    </w:p>
    <w:p w:rsidR="005728DD" w:rsidRDefault="005728DD" w:rsidP="005728DD">
      <w:pPr>
        <w:pStyle w:val="TextoNormal"/>
      </w:pPr>
    </w:p>
    <w:p w:rsidR="005728DD" w:rsidRDefault="005728DD" w:rsidP="005728DD">
      <w:pPr>
        <w:pStyle w:val="TextoNormal"/>
      </w:pPr>
      <w:r>
        <w:t xml:space="preserve">Pero tal límite no opera exclusivamente en el ámbito del art. 20.1 CE, sino en relación con todos los derechos fundamentales: SSTC 190/1996, de 25 de noviembre, FJ3,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w:t>
      </w:r>
      <w:r w:rsidRPr="005728DD">
        <w:rPr>
          <w:i/>
        </w:rPr>
        <w:t>Barfod c. Dinamarca</w:t>
      </w:r>
      <w:r>
        <w:t xml:space="preserve">, § 29; de 20 de mayo de 1999, asunto </w:t>
      </w:r>
      <w:r w:rsidRPr="005728DD">
        <w:rPr>
          <w:i/>
        </w:rPr>
        <w:t>Bladet Tromsø and Stensaas c. Noruega</w:t>
      </w:r>
      <w:r>
        <w:t xml:space="preserve">, § 64; de 21 de marzo de 2002, asunto </w:t>
      </w:r>
      <w:r w:rsidRPr="005728DD">
        <w:rPr>
          <w:i/>
        </w:rPr>
        <w:t>Nikula c. Finlandia</w:t>
      </w:r>
      <w:r>
        <w:t xml:space="preserve">, § 54; de 15 de diciembre de 2005, asunto </w:t>
      </w:r>
      <w:r w:rsidRPr="005728DD">
        <w:rPr>
          <w:i/>
        </w:rPr>
        <w:t>Kyprianou c. Chipre</w:t>
      </w:r>
      <w:r>
        <w:t xml:space="preserve">, § 175, 181 a 183; de 21 de julio de 2011, asunto </w:t>
      </w:r>
      <w:r w:rsidRPr="005728DD">
        <w:rPr>
          <w:i/>
        </w:rPr>
        <w:t>Heinisch c. Alemania</w:t>
      </w:r>
      <w:r>
        <w:t xml:space="preserve">, § 91 y 92; de 3 de octubre de 2013, asunto </w:t>
      </w:r>
      <w:r w:rsidRPr="005728DD">
        <w:rPr>
          <w:i/>
        </w:rPr>
        <w:t>Kasparov y otros c. Rusia</w:t>
      </w:r>
      <w:r>
        <w:t xml:space="preserve">, § 84; de 15 de mayo de 2014, asunto </w:t>
      </w:r>
      <w:r w:rsidRPr="005728DD">
        <w:rPr>
          <w:i/>
        </w:rPr>
        <w:t>Taranenko c. Rusia</w:t>
      </w:r>
      <w:r>
        <w:t xml:space="preserve">, § 95 y 96; de 14 de octubre de 2014, asunto </w:t>
      </w:r>
      <w:r w:rsidRPr="005728DD">
        <w:rPr>
          <w:i/>
        </w:rPr>
        <w:t>Yilmaz Yildiz y otros c. Turquía</w:t>
      </w:r>
      <w:r>
        <w:t xml:space="preserve">, § 33; de 15 de octubre de 2015, asunto </w:t>
      </w:r>
      <w:r w:rsidRPr="005728DD">
        <w:rPr>
          <w:i/>
        </w:rPr>
        <w:t>Gafgaz Mammadov c. Azerbayán</w:t>
      </w:r>
      <w:r>
        <w:t>, § 50, y, más recientemente, la STEDH de 4 de septiembre de 2018, asunt</w:t>
      </w:r>
      <w:r w:rsidRPr="005728DD">
        <w:rPr>
          <w:i/>
        </w:rPr>
        <w:t>o Fatih Taş c. Turqu</w:t>
      </w:r>
      <w:r>
        <w:t>ía —núm. 5—, § 40.</w:t>
      </w:r>
    </w:p>
    <w:p w:rsidR="005728DD" w:rsidRDefault="005728DD" w:rsidP="005728DD">
      <w:pPr>
        <w:pStyle w:val="TextoNormal"/>
      </w:pPr>
    </w:p>
    <w:p w:rsidR="005728DD" w:rsidRDefault="005728DD" w:rsidP="005728DD">
      <w:pPr>
        <w:pStyle w:val="TextoNormal"/>
      </w:pPr>
      <w:r>
        <w:t>F) Finalmente, procede reflejar el parámetro al que se debe sujetar este tribunal para fiscalizar la interpretación y aplicación de la norma penal por parte de los juzgados y tribunales, que aparece recogido, entre otras resoluciones, en la STC 38/2003, de 27 de febrero, FJ 8:</w:t>
      </w:r>
    </w:p>
    <w:p w:rsidR="005728DD" w:rsidRDefault="005728DD" w:rsidP="005728DD">
      <w:pPr>
        <w:pStyle w:val="TextoNormal"/>
      </w:pPr>
    </w:p>
    <w:p w:rsidR="005728DD" w:rsidRDefault="005728DD" w:rsidP="005728DD">
      <w:pPr>
        <w:pStyle w:val="TextoNormal"/>
      </w:pPr>
      <w:r>
        <w:t xml:space="preserve">“[S]egún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w:t>
      </w:r>
      <w:r>
        <w:lastRenderedPageBreak/>
        <w:t>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 xml:space="preserve">Precisando nuestro canon de control de constitucionalidad, cabe hablar de aplicación analógica o extensiva </w:t>
      </w:r>
      <w:r w:rsidRPr="005728DD">
        <w:rPr>
          <w:i/>
        </w:rPr>
        <w:t>in malam partem</w:t>
      </w:r>
      <w:r>
        <w:t>,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005728DD" w:rsidRDefault="005728DD" w:rsidP="005728DD">
      <w:pPr>
        <w:pStyle w:val="TextoNormal"/>
      </w:pPr>
    </w:p>
    <w:p w:rsidR="005728DD" w:rsidRDefault="005728DD" w:rsidP="005728DD">
      <w:pPr>
        <w:pStyle w:val="TextoNormal"/>
      </w:pPr>
      <w:r>
        <w:t>Y en la ya citada STC 129/2008, FJ 3, se acota la fiscalización que corresponde llevar a cabo a este tribunal, en los siguientes términos:</w:t>
      </w:r>
    </w:p>
    <w:p w:rsidR="005728DD" w:rsidRDefault="005728DD" w:rsidP="005728DD">
      <w:pPr>
        <w:pStyle w:val="TextoNormal"/>
      </w:pPr>
    </w:p>
    <w:p w:rsidR="005728DD" w:rsidRDefault="005728DD" w:rsidP="005728DD">
      <w:pPr>
        <w:pStyle w:val="TextoNormal"/>
      </w:pPr>
      <w: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w:t>
      </w:r>
      <w:r>
        <w:lastRenderedPageBreak/>
        <w:t xml:space="preserve">favor de una interpretación alternativa, cuya evaluación de razonabilidad </w:t>
      </w:r>
      <w:r w:rsidRPr="005728DD">
        <w:rPr>
          <w:i/>
        </w:rPr>
        <w:t>per se</w:t>
      </w:r>
      <w:r>
        <w:t xml:space="preserve"> nos es ajena y solo podrá ser tomada en cuenta en la medida en que incida en la irrazonabilidad de la interpretación judicial impugnada”.</w:t>
      </w:r>
    </w:p>
    <w:p w:rsidR="005728DD" w:rsidRDefault="005728DD" w:rsidP="005728DD">
      <w:pPr>
        <w:pStyle w:val="TextoNormal"/>
      </w:pPr>
    </w:p>
    <w:p w:rsidR="005728DD" w:rsidRDefault="005728DD" w:rsidP="005728DD">
      <w:pPr>
        <w:pStyle w:val="TextoNormal"/>
      </w:pPr>
      <w:r>
        <w:t>12.2</w:t>
      </w:r>
      <w:r w:rsidRPr="005728DD">
        <w:rPr>
          <w:i/>
        </w:rPr>
        <w:t>. Sobre la insuficiente taxatividad del tipo penal de sedici</w:t>
      </w:r>
      <w:r>
        <w:t>ón.</w:t>
      </w:r>
    </w:p>
    <w:p w:rsidR="005728DD" w:rsidRDefault="005728DD" w:rsidP="005728DD">
      <w:pPr>
        <w:pStyle w:val="TextoNormal"/>
      </w:pPr>
    </w:p>
    <w:p w:rsidR="005728DD" w:rsidRDefault="005728DD" w:rsidP="005728DD">
      <w:pPr>
        <w:pStyle w:val="TextoNormal"/>
      </w:pPr>
      <w:r>
        <w:t>12.2.1</w:t>
      </w:r>
      <w:r w:rsidRPr="005728DD">
        <w:rPr>
          <w:i/>
        </w:rPr>
        <w:t>. Posiciones de las part</w:t>
      </w:r>
      <w:r>
        <w:t>es.</w:t>
      </w:r>
    </w:p>
    <w:p w:rsidR="005728DD" w:rsidRDefault="005728DD" w:rsidP="005728DD">
      <w:pPr>
        <w:pStyle w:val="TextoNormal"/>
      </w:pPr>
    </w:p>
    <w:p w:rsidR="005728DD" w:rsidRDefault="005728DD" w:rsidP="005728DD">
      <w:pPr>
        <w:pStyle w:val="TextoNormal"/>
      </w:pPr>
      <w:r>
        <w:t>El motivo de la demanda referido a la vulneración del derecho reconocido en el art. 25.1 CE, concierne principalmente al contenido del art. 544 CP que tipifica el delito de sedición; norma a la que se achaca tal grado de indeterminación que resulta incompatible con el principio de taxatividad. Señala el demandante que el empleo de términos tales como “alzarse”, “tumultos”, “fuerza” o “fuera de las vías legales” resultan extraordinariamente vagos, hasta el punto de que es muy difícil conocer con exactitud qué conductas prohíbe realmente el legislador. También afirma que esa inconcreción no ha podido ser remediada por la labor jurisprudencial, puesto que, en relación con el vigente tipo de sedición, el Tribunal Supremo solo se ha pronunciado en una ocasión (STS de 12 de julio de 2005), al conocer de un suceso violento protagonizado por unas sesenta personas, que acaeció en la Asamblea de Ceuta, y que acabó condenando por un delito de atentado. Por último, destaca que esa inconcreción restringe gravemente el ejercicio del derecho de reunión y las libertades de expresión e ideológica, por el efecto desincentivador que provoca.</w:t>
      </w:r>
    </w:p>
    <w:p w:rsidR="005728DD" w:rsidRDefault="005728DD" w:rsidP="005728DD">
      <w:pPr>
        <w:pStyle w:val="TextoNormal"/>
      </w:pPr>
    </w:p>
    <w:p w:rsidR="005728DD" w:rsidRDefault="005728DD" w:rsidP="005728DD">
      <w:pPr>
        <w:pStyle w:val="TextoNormal"/>
      </w:pPr>
      <w:r>
        <w:t>El partido político Vox rechaza que el tipo penal carezca del grado de taxatividad exigido y que la condena impuesta pueda resultar imprevisible para el demandante.</w:t>
      </w:r>
    </w:p>
    <w:p w:rsidR="005728DD" w:rsidRDefault="005728DD" w:rsidP="005728DD">
      <w:pPr>
        <w:pStyle w:val="TextoNormal"/>
      </w:pPr>
    </w:p>
    <w:p w:rsidR="005728DD" w:rsidRDefault="005728DD" w:rsidP="005728DD">
      <w:pPr>
        <w:pStyle w:val="TextoNormal"/>
      </w:pPr>
      <w:r>
        <w:t xml:space="preserve">Por su parte, el fiscal sostiene que no se vulnera el principio de legalidad por falta de taxatividad, pues el tipo penal permite predecir con suficiente grado de certeza las conductas que constituyen el delito de sedición. Por tanto, el tipo penal respeta la garantía material de </w:t>
      </w:r>
      <w:r w:rsidRPr="005728DD">
        <w:rPr>
          <w:i/>
        </w:rPr>
        <w:t>lex certa</w:t>
      </w:r>
      <w:r>
        <w:t>, sin perjuicio de que los términos utilizados por las normas penales para definir los tipos delictivos puedan ser concretados y precisados por los órganos judiciales al aplicar e interpretar las normas. En todo caso, añade que el déficit de taxatividad que el demandante imputa al tipo penal de sedición queda conjurado por la propia interpretación que de los términos a los que se atribuye la indeterminación ha sido precisada por el Tribunal Supremo.</w:t>
      </w:r>
    </w:p>
    <w:p w:rsidR="005728DD" w:rsidRDefault="005728DD" w:rsidP="005728DD">
      <w:pPr>
        <w:pStyle w:val="TextoNormal"/>
      </w:pPr>
    </w:p>
    <w:p w:rsidR="005728DD" w:rsidRDefault="005728DD" w:rsidP="005728DD">
      <w:pPr>
        <w:pStyle w:val="TextoNormal"/>
      </w:pPr>
      <w:r>
        <w:t>12.2.2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El tribunal sentenciador rechazó expresamente esta queja al resolver el incidente de nulidad de actuaciones. En el apartado 4.2.4 del auto que resuelve el referido incidente, se afirma lo siguiente:</w:t>
      </w:r>
    </w:p>
    <w:p w:rsidR="005728DD" w:rsidRDefault="005728DD" w:rsidP="005728DD">
      <w:pPr>
        <w:pStyle w:val="TextoNormal"/>
      </w:pPr>
    </w:p>
    <w:p w:rsidR="005728DD" w:rsidRDefault="005728DD" w:rsidP="005728DD">
      <w:pPr>
        <w:pStyle w:val="TextoNormal"/>
      </w:pPr>
      <w:r>
        <w:t>“La vulneración del principio de legalidad penal se ampara también en la indeterminación del artículo 544 CP, que vulneraría la exigencia de taxatividad de las normas penales.</w:t>
      </w:r>
    </w:p>
    <w:p w:rsidR="005728DD" w:rsidRDefault="005728DD" w:rsidP="005728DD">
      <w:pPr>
        <w:pStyle w:val="TextoNormal"/>
      </w:pPr>
    </w:p>
    <w:p w:rsidR="005728DD" w:rsidRDefault="005728DD" w:rsidP="005728DD">
      <w:pPr>
        <w:pStyle w:val="TextoNormal"/>
      </w:pPr>
      <w:r>
        <w:t>Sobre esta cuestión nos remitimos a las consideraciones realizadas al resolver los incidentes de nulidad planteados por las defensas de los señores Cuixart y Forn. Los hechos por los que ha sido condenado el señor Sànchez son aquellos declarados probados y no aquellos que este creía que estaba realizando, algunos de ellos ejecutados cuando ya le constaba que sobre él pesaba una denuncia que incluía la explícita referencia al delito de sedición”.</w:t>
      </w:r>
    </w:p>
    <w:p w:rsidR="005728DD" w:rsidRDefault="005728DD" w:rsidP="005728DD">
      <w:pPr>
        <w:pStyle w:val="TextoNormal"/>
      </w:pPr>
    </w:p>
    <w:p w:rsidR="005728DD" w:rsidRDefault="005728DD" w:rsidP="005728DD">
      <w:pPr>
        <w:pStyle w:val="TextoNormal"/>
      </w:pPr>
      <w:r>
        <w:t>No obstante, en el apartado 2.4 del referido auto se ofrece una respuesta más exhaustiva:</w:t>
      </w:r>
    </w:p>
    <w:p w:rsidR="005728DD" w:rsidRDefault="005728DD" w:rsidP="005728DD">
      <w:pPr>
        <w:pStyle w:val="TextoNormal"/>
      </w:pPr>
    </w:p>
    <w:p w:rsidR="005728DD" w:rsidRDefault="005728DD" w:rsidP="005728DD">
      <w:pPr>
        <w:pStyle w:val="TextoNormal"/>
      </w:pPr>
      <w:r>
        <w:t>“El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005728DD" w:rsidRDefault="005728DD" w:rsidP="005728DD">
      <w:pPr>
        <w:pStyle w:val="TextoNormal"/>
      </w:pPr>
    </w:p>
    <w:p w:rsidR="005728DD" w:rsidRDefault="005728DD" w:rsidP="005728DD">
      <w:pPr>
        <w:pStyle w:val="TextoNormal"/>
      </w:pPr>
      <w:r>
        <w:t>Esta conclusión es, por otro lado, perfectamente compatible con la necesidad de su interpretación jurisprudencial, como la que hace la sentencia que ahora se cuestiona. El TEDH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2008, cas</w:t>
      </w:r>
      <w:r w:rsidRPr="005728DD">
        <w:rPr>
          <w:i/>
        </w:rPr>
        <w:t>o Kafkaris c. Cypr</w:t>
      </w:r>
      <w:r>
        <w:t>us, § 141)”.</w:t>
      </w:r>
    </w:p>
    <w:p w:rsidR="005728DD" w:rsidRDefault="005728DD" w:rsidP="005728DD">
      <w:pPr>
        <w:pStyle w:val="TextoNormal"/>
      </w:pPr>
    </w:p>
    <w:p w:rsidR="005728DD" w:rsidRDefault="005728DD" w:rsidP="005728DD">
      <w:pPr>
        <w:pStyle w:val="TextoNormal"/>
      </w:pPr>
      <w:r>
        <w:t>A su vez, en el apartado 4 del fundamento jurídico B) de la sentencia, el órgano enjuiciador llevó a cabo una detallada exégesis del art. 544 CP, de cuyo contenido se infiere que el indicado órgano no asume el criterio del recurrente respecto de la ambigüedad e imprecisión del tipo penal.</w:t>
      </w:r>
    </w:p>
    <w:p w:rsidR="005728DD" w:rsidRDefault="005728DD" w:rsidP="005728DD">
      <w:pPr>
        <w:pStyle w:val="TextoNormal"/>
      </w:pPr>
    </w:p>
    <w:p w:rsidR="005728DD" w:rsidRDefault="005728DD" w:rsidP="005728DD">
      <w:pPr>
        <w:pStyle w:val="TextoNormal"/>
      </w:pPr>
      <w:r>
        <w:t>12.2.3</w:t>
      </w:r>
      <w:r w:rsidRPr="005728DD">
        <w:rPr>
          <w:i/>
        </w:rPr>
        <w:t>. Resolución de la que</w:t>
      </w:r>
      <w:r>
        <w:t>ja.</w:t>
      </w:r>
    </w:p>
    <w:p w:rsidR="005728DD" w:rsidRDefault="005728DD" w:rsidP="005728DD">
      <w:pPr>
        <w:pStyle w:val="TextoNormal"/>
      </w:pPr>
    </w:p>
    <w:p w:rsidR="005728DD" w:rsidRDefault="005728DD" w:rsidP="005728DD">
      <w:pPr>
        <w:pStyle w:val="TextoNormal"/>
      </w:pPr>
      <w:r>
        <w:t>Llegados a este punto, resulta oportuno recordar que, si bien con carácter general el recurso de amparo no ha sido concebido para el enjuiciamiento de las disposiciones de carácter general, sin embargo, nuestra doctrina autoriza en ocasiones tal eventualidad; entre otras, cuando se reprocha al propio precepto la lesión de un derecho fundamental:</w:t>
      </w:r>
    </w:p>
    <w:p w:rsidR="005728DD" w:rsidRDefault="005728DD" w:rsidP="005728DD">
      <w:pPr>
        <w:pStyle w:val="TextoNormal"/>
      </w:pPr>
    </w:p>
    <w:p w:rsidR="005728DD" w:rsidRDefault="005728DD" w:rsidP="005728DD">
      <w:pPr>
        <w:pStyle w:val="TextoNormal"/>
      </w:pPr>
      <w:r>
        <w:t>“Como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 (STC 34/2011, de 28 de marzo, FJ 1)” (STC 167/2013, de 7 de octubre, FJ 2).</w:t>
      </w:r>
    </w:p>
    <w:p w:rsidR="005728DD" w:rsidRDefault="005728DD" w:rsidP="005728DD">
      <w:pPr>
        <w:pStyle w:val="TextoNormal"/>
      </w:pPr>
    </w:p>
    <w:p w:rsidR="005728DD" w:rsidRDefault="005728DD" w:rsidP="005728DD">
      <w:pPr>
        <w:pStyle w:val="TextoNormal"/>
      </w:pPr>
      <w:r>
        <w:t>Vistos los términos de la queja formulada, procede dilucidar si, en efecto, el art. 544 CP se acomoda o no a las exigencias de taxatividad y certeza que la doctrina constitucional exige, no sin antes reiterar que la función de interpretar y aplicar los tipos penales corresponde a los órganos de la jurisdicción ordinaria. Ahora bien, sin perder de vista el parámetro en que se sitúa este tribunal, para dar adecuada respuesta a la pretensión del recurrente procede efectuar una delimitación de la conducta típica que el art. 544 CP describe del siguiente modo:“[s]on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005728DD" w:rsidRDefault="005728DD" w:rsidP="005728DD">
      <w:pPr>
        <w:pStyle w:val="TextoNormal"/>
      </w:pPr>
    </w:p>
    <w:p w:rsidR="005728DD" w:rsidRDefault="005728DD" w:rsidP="005728DD">
      <w:pPr>
        <w:pStyle w:val="TextoNormal"/>
      </w:pPr>
      <w:r>
        <w:t>Este precepto asume una posición subsidiaria, pues solo prevé su aplicación cuando los hechos no sean constitutivos de rebelión. Su contenido positivo requiere que los sujetos activos “se alcen”; término este que, teniendo en cuenta el contexto en que se inserta, de entre las diferentes acepciones gramaticales posibles, debe ser considerado sinónimo del vocablo “se subleven”. La acción descrita en el tipo debe trascender al exterior (públicamente), materializarse mediante la actuación alborotada de una muchedumbre (tumultuariamente), que emplea fuerza o se sirve de vías extralegales, siendo necesario, además, que concurra la finalidad neutralizadora que describe el tipo transcrito.</w:t>
      </w:r>
    </w:p>
    <w:p w:rsidR="005728DD" w:rsidRDefault="005728DD" w:rsidP="005728DD">
      <w:pPr>
        <w:pStyle w:val="TextoNormal"/>
      </w:pPr>
    </w:p>
    <w:p w:rsidR="005728DD" w:rsidRDefault="005728DD" w:rsidP="005728DD">
      <w:pPr>
        <w:pStyle w:val="TextoNormal"/>
      </w:pPr>
      <w:r>
        <w:t>A vista de lo expuesto, este tribunal coincide con el criterio del órgano enjuiciador, al no apreciar que la norma penal adolezca de un grado de vaguedad tal que infrinja el mandato de taxatividad que impone el art. 25.1 CE. La infracción que el art. 544 CP describe resulta reconocible con un razonable grado de claridad y, por tanto, debemos descartar que su redacción impida conocer de antemano qué conductas son susceptibles de ser castigadas bajo su ámbito, quedando debidamente preservado el principio de seguridad jurídica. El hecho de que el mencionado artículo se sirva de conceptos jurídicos indeterminados o emplee vocablos que admiten varios significados no empece la conclusión alcanzada, pues como ha quedado reflejado en un apartado anterior, nuestra doctrina admite la utilización de esos recursos, sin que por ello se resienta la garantía de taxatividad que forma parte del derecho reconocido en el art. 25.1 CE. Estas consideraciones, por si solas, descartan la pertinencia de plantear la cuestión interna de inconstitucionalidad que suscita el recurrente.</w:t>
      </w:r>
    </w:p>
    <w:p w:rsidR="005728DD" w:rsidRDefault="005728DD" w:rsidP="005728DD">
      <w:pPr>
        <w:pStyle w:val="TextoNormal"/>
      </w:pPr>
    </w:p>
    <w:p w:rsidR="005728DD" w:rsidRDefault="005728DD" w:rsidP="005728DD">
      <w:pPr>
        <w:pStyle w:val="TextoNormal"/>
      </w:pPr>
      <w:r>
        <w:t>Queda un último punto que abordar, relativo al alegato de que la mera vigencia del art. 544 CP restringe el ejercicio de las libertades de expresión e ideológica, así como el derecho de reunión pacífica. La respuesta dada anteriormente sobre la inconcreción del precepto determina de por sí que esta queja decaiga, al estar vinculada a la vulneración del principio de taxatividad. No obstante, resulta pertinente exponer varias consideraciones adicionales.</w:t>
      </w:r>
    </w:p>
    <w:p w:rsidR="005728DD" w:rsidRDefault="005728DD" w:rsidP="005728DD">
      <w:pPr>
        <w:pStyle w:val="TextoNormal"/>
      </w:pPr>
    </w:p>
    <w:p w:rsidR="005728DD" w:rsidRDefault="005728DD" w:rsidP="005728DD">
      <w:pPr>
        <w:pStyle w:val="TextoNormal"/>
      </w:pPr>
      <w:r>
        <w:t>En relación con el art. 544 CP, se afirma en la demanda que “su mera vigencia puede restringir de modo patente el ejercicio de los derechos fundamentales”. En los términos en que se ha formulado la denuncia, únicamente se advierte de la eventual causación de un perjuicio hipotético, lo cual determina que la misma deba ser rechazada. Para ello, basta recordar nuestra doctrina compendiada, entre otras resoluciones, en la STC 177/2005, de 4 de julio, FJ único, en cuya virtud no cabe considerar el recurso de amparo como un mecanism</w:t>
      </w:r>
      <w:r w:rsidRPr="005728DD">
        <w:rPr>
          <w:i/>
        </w:rPr>
        <w:t>o ad cautel</w:t>
      </w:r>
      <w:r>
        <w:t>am para la tutela de los derechos fundamentales:</w:t>
      </w:r>
    </w:p>
    <w:p w:rsidR="005728DD" w:rsidRDefault="005728DD" w:rsidP="005728DD">
      <w:pPr>
        <w:pStyle w:val="TextoNormal"/>
      </w:pPr>
    </w:p>
    <w:p w:rsidR="005728DD" w:rsidRDefault="005728DD" w:rsidP="005728DD">
      <w:pPr>
        <w:pStyle w:val="TextoNormal"/>
      </w:pPr>
      <w:r>
        <w:t>“[C]onstituye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Este tribunal, desde su más temprana jurisprudencia (ATC 98/1981, de 30 de septiembre, FJ 4; y STC 77/1982, de 20 de diciembre, FJ 1), ha requerido como presupuesto inexcusable de la petición de amparo que esta se formule en razón de la existencia de una lesión efectiva, real y concreta a un derecho fundamental, lo que no sucede cuando lo que se contiene en la demanda es la mera invocación de un hipotético daño potencial”.</w:t>
      </w:r>
    </w:p>
    <w:p w:rsidR="005728DD" w:rsidRDefault="005728DD" w:rsidP="005728DD">
      <w:pPr>
        <w:pStyle w:val="TextoNormal"/>
      </w:pPr>
    </w:p>
    <w:p w:rsidR="005728DD" w:rsidRDefault="005728DD" w:rsidP="005728DD">
      <w:pPr>
        <w:pStyle w:val="TextoNormal"/>
      </w:pPr>
      <w:r>
        <w:t>Al margen de lo expuesto, también se constata que el precepto penal no castiga la movilización masiva de personas cuyo propósito consista en exteriorizar de manera pacífica una protesta. El tipo penal exige que la actuación multitudinaria se conduzca, al menos, por vías extralegales y que, con ello, se persigan algunas de las finalidades netamente contrarias al funcionamiento medular del Estado de Derecho que el precepto detalla; medios y fines estos que no encuentran amparo o justificación en el ejercicio legítimo de ningún derecho fundamental reconocido por la Carta Magna. Por tanto, si la conducta descrita en el precepto no cercena ninguno de los derechos que la demanda cita, tampoco cabe deducir, del tenor del precepto, un “efecto desincentivador” para el ejercicio de estos, aspecto este sobre el que se abundará con mayor detalle en otro apartado posterior.</w:t>
      </w:r>
    </w:p>
    <w:p w:rsidR="005728DD" w:rsidRDefault="005728DD" w:rsidP="005728DD">
      <w:pPr>
        <w:pStyle w:val="TextoNormal"/>
      </w:pPr>
    </w:p>
    <w:p w:rsidR="005728DD" w:rsidRDefault="005728DD" w:rsidP="005728DD">
      <w:pPr>
        <w:pStyle w:val="TextoNormal"/>
      </w:pPr>
      <w:r>
        <w:t>12</w:t>
      </w:r>
      <w:r w:rsidRPr="005728DD">
        <w:rPr>
          <w:i/>
        </w:rPr>
        <w:t>.3. Abandono ad hoc del principio de accesoriedad limitada en la participa</w:t>
      </w:r>
      <w:r>
        <w:t>ción.</w:t>
      </w:r>
    </w:p>
    <w:p w:rsidR="005728DD" w:rsidRDefault="005728DD" w:rsidP="005728DD">
      <w:pPr>
        <w:pStyle w:val="TextoNormal"/>
      </w:pPr>
    </w:p>
    <w:p w:rsidR="005728DD" w:rsidRDefault="005728DD" w:rsidP="005728DD">
      <w:pPr>
        <w:pStyle w:val="TextoNormal"/>
      </w:pPr>
      <w:r>
        <w:t>12.3.1</w:t>
      </w:r>
      <w:r w:rsidRPr="005728DD">
        <w:rPr>
          <w:i/>
        </w:rPr>
        <w:t>. Posiciones de las part</w:t>
      </w:r>
      <w:r>
        <w:t>es.</w:t>
      </w:r>
    </w:p>
    <w:p w:rsidR="005728DD" w:rsidRDefault="005728DD" w:rsidP="005728DD">
      <w:pPr>
        <w:pStyle w:val="TextoNormal"/>
      </w:pPr>
    </w:p>
    <w:p w:rsidR="005728DD" w:rsidRDefault="005728DD" w:rsidP="005728DD">
      <w:pPr>
        <w:pStyle w:val="TextoNormal"/>
      </w:pPr>
      <w:r>
        <w:t xml:space="preserve">La primera de las denuncias de este apartado se identifica como el abandono </w:t>
      </w:r>
      <w:r w:rsidRPr="005728DD">
        <w:rPr>
          <w:i/>
        </w:rPr>
        <w:t>ad hoc</w:t>
      </w:r>
      <w:r>
        <w:t xml:space="preserve"> del principio de accesoriedad limitada en la participación. En síntesis, la queja se articula del siguiente modo: (i) según el relato de hechos probados, la intervención del demandante sería la propia de un promotor, por haber movilizado a los ciudadanos a intervenir en las manifestaciones acaecidas los días 20 de septiembre y 1 de octubre del 2017 y por haber actuado en dichas movilizaciones como “líder social”; (ii) la práctica totalidad de las personas que intervinieron como manifestantes y como votantes en los actos de 20 de septiembre y 1 de octubre de 2017, respectivamente, no han merecido reproche penal alguno y, en los casos aislados en que se ha exigido responsabilidad penal “por ejercer activamente resistencia contra las fuerzas del orden, la propia fiscalía y la abogacía del Estado han admitido y aceptado condenas por un delito de atentado y lesiones leves”; (iii) se ha producido una quiebra manifiesta de las reglas generales sobre la participación, al considerar que en el delito de sedición todos los acusados fueron coautores; (iv) en el presente caso, el abandono del principio de “accesoriedad limitada” en la participación determina que el demandante haya sido condenado por dirigir el primer alzamiento sin alzados de la historia; y ello porque el tribunal sentenciador ha pretendido “escarmentar a los máximos líderes políticos y sociales del movimiento independentista”.</w:t>
      </w:r>
    </w:p>
    <w:p w:rsidR="005728DD" w:rsidRDefault="005728DD" w:rsidP="005728DD">
      <w:pPr>
        <w:pStyle w:val="TextoNormal"/>
      </w:pPr>
    </w:p>
    <w:p w:rsidR="005728DD" w:rsidRDefault="005728DD" w:rsidP="005728DD">
      <w:pPr>
        <w:pStyle w:val="TextoNormal"/>
      </w:pPr>
      <w:r>
        <w:t xml:space="preserve">Para la abogacía del Estado, el motivo no puede prosperar porque ello supondría ignorar la especialidad del art. 545 CP. Refiere que el demandante no ha sido considerado partícipe sino autor, al evidenciarse una estrategia de conductas que cada uno de los acusados asumió, con dominio funcional del hecho. El partido político Vox sostiene en sus alegaciones que la </w:t>
      </w:r>
      <w:r>
        <w:lastRenderedPageBreak/>
        <w:t>participación del demandante en el alzamiento sedicioso está perfectamente acreditada, no como partícipe accesorio sino como autor de los hechos. Para el fiscal, la queja del demandante toma un punto de partida irreal, puesto que este último ha sido condenado como coautor de un delito de sedición y no como partícipe, por lo que no sería de aplicación el principio de accesoriedad en la participación. Por ello, considera que no ha existido un cambio de doctrina sobre el principio de accesoriedad.</w:t>
      </w:r>
    </w:p>
    <w:p w:rsidR="005728DD" w:rsidRDefault="005728DD" w:rsidP="005728DD">
      <w:pPr>
        <w:pStyle w:val="TextoNormal"/>
      </w:pPr>
    </w:p>
    <w:p w:rsidR="005728DD" w:rsidRDefault="005728DD" w:rsidP="005728DD">
      <w:pPr>
        <w:pStyle w:val="TextoNormal"/>
      </w:pPr>
      <w:r>
        <w:t>12.3.2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sede judicial se dio contestación a esta queja, que fue planteada en términos sustancialmente coincidentes por varios condenados. Se expresa en los apartados de la fundamentación jurídica 3.2.2.3 B) (respecto del señor Forn), 4.2.3 (respecto del señor Sànchez), 6.2.3 (respecto del señor Turull), 7.2.3 (respecto del señor Rull) y 9.4 (respecto de la señora Forcadell), del auto resolutorio del incidente de nulidad de actuaciones. En relación con el demandante, la argumentación dada fue la siguiente:</w:t>
      </w:r>
    </w:p>
    <w:p w:rsidR="005728DD" w:rsidRDefault="005728DD" w:rsidP="005728DD">
      <w:pPr>
        <w:pStyle w:val="TextoNormal"/>
      </w:pPr>
    </w:p>
    <w:p w:rsidR="005728DD" w:rsidRDefault="005728DD" w:rsidP="005728DD">
      <w:pPr>
        <w:pStyle w:val="TextoNormal"/>
      </w:pPr>
      <w:r>
        <w:t>“También ha de ser desestimada la alegación relacionada con la vulneración del derecho de legalidad penal derivada de un cambio injustificado de la jurisprudencia de esta Sala sobre el principio de accesoriedad (limitada) de la participación.</w:t>
      </w:r>
    </w:p>
    <w:p w:rsidR="005728DD" w:rsidRDefault="005728DD" w:rsidP="005728DD">
      <w:pPr>
        <w:pStyle w:val="TextoNormal"/>
      </w:pPr>
    </w:p>
    <w:p w:rsidR="005728DD" w:rsidRDefault="005728DD" w:rsidP="005728DD">
      <w:pPr>
        <w:pStyle w:val="TextoNormal"/>
      </w:pPr>
      <w:r>
        <w:t>Para rechazar esta alegación basta afirmar que el señor Sànchez ha sido condenado como coautor de un delito de sedición y no como partícipe, por lo que no resulta aplicable el principio citado, que determina qué elementos deben exigirse al hecho del autor para castigar al partícipe.</w:t>
      </w:r>
    </w:p>
    <w:p w:rsidR="005728DD" w:rsidRDefault="005728DD" w:rsidP="005728DD">
      <w:pPr>
        <w:pStyle w:val="TextoNormal"/>
      </w:pPr>
    </w:p>
    <w:p w:rsidR="005728DD" w:rsidRDefault="005728DD" w:rsidP="005728DD">
      <w:pPr>
        <w:pStyle w:val="TextoNormal"/>
      </w:pPr>
      <w:r>
        <w:t>Carece de fundamento la alegación de que esta Sala ha modificad</w:t>
      </w:r>
      <w:r w:rsidRPr="005728DD">
        <w:rPr>
          <w:i/>
        </w:rPr>
        <w:t>o ad h</w:t>
      </w:r>
      <w:r>
        <w:t>oc su jurisprudencia al respecto”.</w:t>
      </w:r>
    </w:p>
    <w:p w:rsidR="005728DD" w:rsidRDefault="005728DD" w:rsidP="005728DD">
      <w:pPr>
        <w:pStyle w:val="TextoNormal"/>
      </w:pPr>
    </w:p>
    <w:p w:rsidR="005728DD" w:rsidRDefault="005728DD" w:rsidP="005728DD">
      <w:pPr>
        <w:pStyle w:val="TextoNormal"/>
      </w:pPr>
      <w:r>
        <w:t>No obstante, el grueso de la argumentación judicial figura en la letra B) del apartado 3.2.2.3 del indicado auto, cuyo tenor es el siguiente:</w:t>
      </w:r>
    </w:p>
    <w:p w:rsidR="005728DD" w:rsidRDefault="005728DD" w:rsidP="005728DD">
      <w:pPr>
        <w:pStyle w:val="TextoNormal"/>
      </w:pPr>
    </w:p>
    <w:p w:rsidR="005728DD" w:rsidRDefault="005728DD" w:rsidP="005728DD">
      <w:pPr>
        <w:pStyle w:val="TextoNormal"/>
      </w:pPr>
      <w:r>
        <w:t>“Niega el incidente que pueda hablarse de dirigentes o autores principales, si antes no se declara que existen sediciosos alzados tumultuariamente. Y, mucho menos, inductores a la sedición, sin hecho principal, por razón de la vigencia del principio de accesoriedad de la participación. Y, estimando que el comportamiento observado por los miles de ciudadanos catalanes involucrados en los hechos no cumple, cuanto menos, el tipo de un delito tan grave como el de sedición, no existiría base para aplicar a continuación el art. 545 del CP a quienes induzcan o lideren tal situación. Lo contrario acarrearía —según el incidente— la vulneración del principio de legalidad en los términos indicados.</w:t>
      </w:r>
    </w:p>
    <w:p w:rsidR="005728DD" w:rsidRDefault="005728DD" w:rsidP="005728DD">
      <w:pPr>
        <w:pStyle w:val="TextoNormal"/>
      </w:pPr>
    </w:p>
    <w:p w:rsidR="005728DD" w:rsidRDefault="005728DD" w:rsidP="005728DD">
      <w:pPr>
        <w:pStyle w:val="TextoNormal"/>
      </w:pPr>
      <w:r>
        <w:t xml:space="preserve">Conviene recordar, no obstante ser lugar común en la doctrina, que la sedición se construye en el tipo como de naturaleza plurisubjetiva y, dentro de tal categoría, como unilateral o de convergencia. Los plurales autores materiales no son ‘partícipes’ en delito ajeno. Todos convergen con su aportación, incluso con diversidad de funciones, a la consecución de la finalidad típica. Si bien eso no es incompatible con la figura del partícipe por inducción, los especificados en el artículo 545 como los que han ‘inducido, sostenido o dirigido’ no puede equiparase a la figura del partícipe por inducción de la sedición que otros llevan a cabo. </w:t>
      </w:r>
      <w:r>
        <w:lastRenderedPageBreak/>
        <w:t>‘Inductores’ significa ahí lo que el antiguo artículo 219 de anteriores Códigos penales tildaba de ‘promotores’. Se refiere solamente a los que, concurriendo en ellos aquellas notas, también ejecutan la sedición desempeñando su particular papel.</w:t>
      </w:r>
    </w:p>
    <w:p w:rsidR="005728DD" w:rsidRDefault="005728DD" w:rsidP="005728DD">
      <w:pPr>
        <w:pStyle w:val="TextoNormal"/>
      </w:pPr>
    </w:p>
    <w:p w:rsidR="005728DD" w:rsidRDefault="005728DD" w:rsidP="005728DD">
      <w:pPr>
        <w:pStyle w:val="TextoNormal"/>
      </w:pPr>
      <w:r>
        <w:t>En tales específicos casos de colectividad delincuente no rigen principios solamente predicables en caso de participación de unos en delitos de otros, como lo exigiría el principio de accesoriedad. Muy al contrario, en aquellos supuestos el principio rector de imputación es el de imputación recíproca. A todos se imputa lo que haga cualquiera de los coautores que actúa bajo acuerdo común.</w:t>
      </w:r>
    </w:p>
    <w:p w:rsidR="005728DD" w:rsidRDefault="005728DD" w:rsidP="005728DD">
      <w:pPr>
        <w:pStyle w:val="TextoNormal"/>
      </w:pPr>
    </w:p>
    <w:p w:rsidR="005728DD" w:rsidRDefault="005728DD" w:rsidP="005728DD">
      <w:pPr>
        <w:pStyle w:val="TextoNormal"/>
      </w:pPr>
      <w:r>
        <w:t xml:space="preserve">Y ello aunque esa contribución, por parte de los que en tumulto ejecutan el elemento objetivo del tipo, no origine la misma responsabilidad penal o incluso no dé lugar a ninguna. Ya porque estos no actuaran compartiendo voluntariamente en su totalidad el sedicente programa de los otros autores, ya porque no concurra el elemento subjetivo exigible. Y en todo caso, no es algo que nos corresponde dilucidar. En la sentencia cuya nulidad se pretende ya se explica que nuestra función se ciñe a decidir sobre las pretensiones tal como han sido formuladas por las acusaciones, sin interferir en otros procedimientos que puedan estar siguiéndose contra otros acusados en distintos juzgados o tribunales. No tenemos que valorar esas actuaciones, tampoco para bendecirlas o declararlas atípicas. No es superfluo recordar que la sentencia declara probado que los acusados concertaron como estrategia ‘crear una aparente cobertura jurídica que permitiera hacer creer a la ciudadanía que cuando depositara su voto estaría contribuyendo al acto fundacional de la República Independiente de Cataluña’. Si eso se hace aprovechando la ventaja y la </w:t>
      </w:r>
      <w:r w:rsidRPr="005728DD">
        <w:rPr>
          <w:i/>
        </w:rPr>
        <w:t>auctoritas</w:t>
      </w:r>
      <w:r>
        <w:t xml:space="preserve"> de quien desempeña responsabilidades institucionales, tampoco podría excluirse la concurrencia de un error exonerante en buena parte de la ciudadanía que acudió a sendas convocatorias de los días 20 de septiembre y 1 de octubre, en la creencia de una pretendida cobertura jurídica del acto al que se les invitaba con insistencia desde sedes institucionales de Cataluña.</w:t>
      </w:r>
    </w:p>
    <w:p w:rsidR="005728DD" w:rsidRDefault="005728DD" w:rsidP="005728DD">
      <w:pPr>
        <w:pStyle w:val="TextoNormal"/>
      </w:pPr>
    </w:p>
    <w:p w:rsidR="005728DD" w:rsidRDefault="005728DD" w:rsidP="005728DD">
      <w:pPr>
        <w:pStyle w:val="TextoNormal"/>
      </w:pPr>
      <w:r>
        <w:t>Por ello el similar alegato de la defensa recibió la respuesta recogida en la sentencia al glosar el juicio de autoría [cfr. juicio de autoría; 1.- delito de sedición; c) página 301]. Considerando a los ciudadanos concurrentes el 20 de septiembre y el 1 de octubre ajenos a todo error e imputables, se nos alegaba por la defensa que ello implicaría un punto desde el que operaría la ‘prohibición de regreso’ en la sucesión causal, en la que ya no incidiría el señor Forn con posterioridad. Como allí dijimos esa actuación ciudadana está lejos de ser ‘extraña’ a los actos del señor Forn, que la preordenó y promovió con el acuerdo de los otros acusados. De ahí que le hayamos imputado tanto el riesgo y lesión del bien jurídico como la realización de los funcionales hechos-medio que lo causaron”.</w:t>
      </w:r>
    </w:p>
    <w:p w:rsidR="005728DD" w:rsidRDefault="005728DD" w:rsidP="005728DD">
      <w:pPr>
        <w:pStyle w:val="TextoNormal"/>
      </w:pPr>
    </w:p>
    <w:p w:rsidR="005728DD" w:rsidRDefault="005728DD" w:rsidP="005728DD">
      <w:pPr>
        <w:pStyle w:val="TextoNormal"/>
      </w:pPr>
      <w:r>
        <w:t>Frente al esquema argumental del recurrente, que en base al contenido del relato fáctico considera que, todo lo más, podría ser reputado partícipe en unos hechos realizados por terceros innominados, el tribunal enjuiciador refuta ese alegato bajo una doble consideración: (i) que el demandante no ha sido condenado como partícipe sino como coautor principal de un delito de sedición; (ii) que los ciudadanos que se manifestaron el día 20 de septiembre y los que participaron en la votación el día 1 de octubre de 2017 son ajenos al presente enjuiciamiento, por lo que de su eventual responsabilidad penal nada cabe decir.</w:t>
      </w:r>
    </w:p>
    <w:p w:rsidR="005728DD" w:rsidRDefault="005728DD" w:rsidP="005728DD">
      <w:pPr>
        <w:pStyle w:val="TextoNormal"/>
      </w:pPr>
    </w:p>
    <w:p w:rsidR="005728DD" w:rsidRDefault="005728DD" w:rsidP="005728DD">
      <w:pPr>
        <w:pStyle w:val="TextoNormal"/>
      </w:pPr>
      <w:r>
        <w:t>12.3.3</w:t>
      </w:r>
      <w:r w:rsidRPr="005728DD">
        <w:rPr>
          <w:i/>
        </w:rPr>
        <w:t>. Resolución de la que</w:t>
      </w:r>
      <w:r>
        <w:t>ja.</w:t>
      </w:r>
    </w:p>
    <w:p w:rsidR="005728DD" w:rsidRDefault="005728DD" w:rsidP="005728DD">
      <w:pPr>
        <w:pStyle w:val="TextoNormal"/>
      </w:pPr>
    </w:p>
    <w:p w:rsidR="005728DD" w:rsidRDefault="005728DD" w:rsidP="005728DD">
      <w:pPr>
        <w:pStyle w:val="TextoNormal"/>
      </w:pPr>
      <w:r>
        <w:lastRenderedPageBreak/>
        <w:t>Antes de proceder a resolver el motivo resulta pertinente dejar constancia sobre cuál debe ser el alcance de nuestra respuesta. A este respecto, debemos indicar que no procede que nos pronunciemos de manera global sobre la constitucionalidad del grado de participación atribuido al demandante, pues únicamente nos compete resolver, en congruencia con el motivo alegado, si el tribunal sentenciador ha omitido la aplicación del principio de accesoriedad limitada al valorar ese aspecto y, con ello, ha generado una lesión susceptible de tutela en esta sede; pero no por contravenir el principio de igualdad en la aplicación de la ley (art. 14 CE), puesto que ni expresamente se invoca esta lesión en la demanda ni tampoco se ofrece un elemento de contraste (</w:t>
      </w:r>
      <w:r w:rsidRPr="005728DD">
        <w:rPr>
          <w:i/>
        </w:rPr>
        <w:t>tertium comparationis</w:t>
      </w:r>
      <w:r>
        <w:t>), que permita cotejar el abandono selectivo de esa doctrina jurisprudencial consolidada, sino desde la perspectiva propia de la eventual vulneración del derecho reconocido en el art. 25.1 CE.</w:t>
      </w:r>
    </w:p>
    <w:p w:rsidR="005728DD" w:rsidRDefault="005728DD" w:rsidP="005728DD">
      <w:pPr>
        <w:pStyle w:val="TextoNormal"/>
      </w:pPr>
    </w:p>
    <w:p w:rsidR="005728DD" w:rsidRDefault="005728DD" w:rsidP="005728DD">
      <w:pPr>
        <w:pStyle w:val="TextoNormal"/>
      </w:pPr>
      <w:r>
        <w:t>Seguidamente, a fin de abordar la denuncia en toda su dimensión procede reflejar, siquiera sucintamente, el contenido de la denominada teoría de la accesoriedad limitada en materia de participación que ha sido reconocido por la jurisprudencia. Aun cuando es de fecha posterior a las resoluciones judiciales impugnadas en el presente recurso, la STS 623/2020 de la Sala de lo Penal, de 19 de noviembre, FJ 3, sistematiza detalladamente el contenido y alcance del consolidado principio de accesoriedad limitada en la participación:</w:t>
      </w:r>
    </w:p>
    <w:p w:rsidR="005728DD" w:rsidRDefault="005728DD" w:rsidP="005728DD">
      <w:pPr>
        <w:pStyle w:val="TextoNormal"/>
      </w:pPr>
    </w:p>
    <w:p w:rsidR="005728DD" w:rsidRDefault="005728DD" w:rsidP="005728DD">
      <w:pPr>
        <w:pStyle w:val="TextoNormal"/>
      </w:pPr>
      <w:r>
        <w:t>“La importancia que el principio de accesoriedad tiene en la dogmática mayoritaria y en la jurisprudencia de esta Sala, no necesita ser argumentada. De hecho, aquel principio ha llegado a ser considerado como una necesidad conceptual. Ello no debe ser obstáculo, sin embargo, para reconocer que no faltan propuestas dogmáticas minoritarias que explican la coparticipación sin necesidad de recurrir al principio de accesoriedad, argumentando que el partícipe realiza su propio injusto. Pese a todo, es cierto que esta Sala —en sintonía con la doctrina dominante—, ha convertido el principio de accesoriedad en uno de los fundamentos del castigo del partícipe y de este dato incuestionable hemos de partir para concluir la ausencia de la infracción legal que denuncia el recurrente. El principio de accesoriedad, pese a la sutil propuesta de la defensa del recurrente, no se explica por la relación entre el partícipe y el autor material, sino por la acción que uno y otro protagonizan. Para que pueda haber accesoriedad es indispensable que exista un hecho principal típicamente antijurídico. El que ese hecho de relevancia jurídico-penal pueda ser atribuido a una persona concreta o que aquella a la que inicialmente se imputaba resulte absuelta, en nada afecta a la afirmación de accesoriedad. Llevado el razonamiento de la defensa a sus últimas consecuencias, habríamos de aceptar que, en un supuesto, por ejemplo, de asesinato en el que hubieran resultado procesados el autor material y varios cooperadores necesarios, el fallecimiento del primero obligaría al sobreseimiento de la causa respecto de los restantes [...].</w:t>
      </w:r>
    </w:p>
    <w:p w:rsidR="005728DD" w:rsidRDefault="005728DD" w:rsidP="005728DD">
      <w:pPr>
        <w:pStyle w:val="TextoNormal"/>
      </w:pPr>
    </w:p>
    <w:p w:rsidR="005728DD" w:rsidRDefault="005728DD" w:rsidP="005728DD">
      <w:pPr>
        <w:pStyle w:val="TextoNormal"/>
      </w:pPr>
      <w:r>
        <w:t>El artículo 28 del Código penal lo que exige, es que los intervinientes, ya sean los ‘considerados’ autores, como inductores o cooperadores necesarios, ya sean los cómplices, participen en la ejecución de un hecho. El que realiza el autor principal. Tal precepto concibe la participación conforme a la denominada accesoriedad limitada. Basta la comisión de un hecho antijurídico, aunque su autor no sea culpable. Pero, doctrina y jurisprudencia convienen en que se excluye si el hecho del autor está justificado. Es decir, no se admite que la participación esté condicionada, solo por una accesoriedad mínima [...]”.</w:t>
      </w:r>
    </w:p>
    <w:p w:rsidR="005728DD" w:rsidRDefault="005728DD" w:rsidP="005728DD">
      <w:pPr>
        <w:pStyle w:val="TextoNormal"/>
      </w:pPr>
    </w:p>
    <w:p w:rsidR="005728DD" w:rsidRDefault="005728DD" w:rsidP="005728DD">
      <w:pPr>
        <w:pStyle w:val="TextoNormal"/>
      </w:pPr>
      <w:r>
        <w:t xml:space="preserve">El órgano sentenciador concluyó que el recurrente no se limitó a participar en un delito de sedición ejecutado por un tropel de ciudadanos, pues estimó que su actuación encaja </w:t>
      </w:r>
      <w:r>
        <w:lastRenderedPageBreak/>
        <w:t>plenamente en la figura del coautor principal. En el juicio de autoría, que figura en el apartado C) 1 de la sentencia (ya sintetizado en los antecedentes de esta resolución), dicho órgano explicita las razones que le llevaron a colegir que el demandante es autor del delito de sedición, junto a otros condenados, amén del juicio singularizado que figura en el apartado C) 1.8. En esos apartados, se puso de relieve la creación o el incremento del riesgo que su conducta supuso para el bien jurídico protegido y la incidencia que tuvo en relación con los comportamientos tumultuarios, con episodios ocasionalmente violentos, que se produjeron. Esa actuación dio lugar a que fuera condenado al amparo de lo dispuesto en el art. 545.1 CP, precepto este que castiga a quienes “hubieren inducido, sostenido o dirigido la sedición o aparecieren en ella como sus principales autores”.</w:t>
      </w:r>
    </w:p>
    <w:p w:rsidR="005728DD" w:rsidRDefault="005728DD" w:rsidP="005728DD">
      <w:pPr>
        <w:pStyle w:val="TextoNormal"/>
      </w:pPr>
    </w:p>
    <w:p w:rsidR="005728DD" w:rsidRDefault="005728DD" w:rsidP="005728DD">
      <w:pPr>
        <w:pStyle w:val="TextoNormal"/>
      </w:pPr>
      <w:r>
        <w:t>Por su parte, en el auto resolutorio del incidente de nulidad se detallan los motivos por los que el demandante no fue considerado un mero partícipe de un delito cometido por otros autores; principalmente, porque su comportamiento se valora como el de un verdadero “promotor” del delito de sedición, al que se refería el art. 219 del anterior CP, lo que determinó que su obrar fuera catalogado como propio de un coautor principal que, conforme a ese rol, desempeñó su particular papel y, por ello, fue acreedor de la imputación recíproca de todo lo que hubieran realizado cualquiera de los coautores que actuaron bajo común acuerdo.</w:t>
      </w:r>
    </w:p>
    <w:p w:rsidR="005728DD" w:rsidRDefault="005728DD" w:rsidP="005728DD">
      <w:pPr>
        <w:pStyle w:val="TextoNormal"/>
      </w:pPr>
    </w:p>
    <w:p w:rsidR="005728DD" w:rsidRDefault="005728DD" w:rsidP="005728DD">
      <w:pPr>
        <w:pStyle w:val="TextoNormal"/>
      </w:pPr>
      <w:r>
        <w:t>Por otro lado, la Sala defendió la inaplicación del referido principio de accesoriedad limitada en base a las consideraciones que le mereció la conducta de los ciudadanos que participaron en la votación, el día 1 de octubre de 2017, y concurrieron a la manifestación acaecida el 20 de septiembre anterior, en los términos que han sido reflejados. Ciertamente, no todos los intervinientes tuvieron un mismo comportamiento; pero, como así se indica en la sentencia, las conductas de los individuos que participaron en esos eventos son ajenas al juzgamiento del tribunal sentenciador, habida cuenta de que el objeto del presente proceso quedó circunscrito a los extremos acotados por las partes acusadoras. Por ello, la actuación multitudinaria de esos terceros no fue individualmente valorada en sede judicial, pues ni fueron acusados en el proceso del que dimana el presente recurso de amparo, ni consta tampoco que lo hayan sido, por delito de sedición, en otros procedimientos.</w:t>
      </w:r>
    </w:p>
    <w:p w:rsidR="005728DD" w:rsidRDefault="005728DD" w:rsidP="005728DD">
      <w:pPr>
        <w:pStyle w:val="TextoNormal"/>
      </w:pPr>
    </w:p>
    <w:p w:rsidR="005728DD" w:rsidRDefault="005728DD" w:rsidP="005728DD">
      <w:pPr>
        <w:pStyle w:val="TextoNormal"/>
      </w:pPr>
      <w:r>
        <w:t>A la vista de lo expuesto, debemos convenir que el órgano de enjuiciamiento no ha vulnerado el derecho reconocido en el art. 25.1 CE por el motivo que le imputa el recurrente. El hecho de que la participación del demandante se considere como la propia de un autor en sentido estricto, con base en argumentos tales como que el delito de sedición es de naturaleza “plurisubjetiva” y de “consumación anticipada”; que el comportamiento de los condenados supuso un incremento del riesgo para el bien jurídico protegido; y que el demandante realizó, conforme a lo ideado de consuno, la aportación individual para la consecución de la finalidad delictiva (especialmente significativa en los incidentes ocurridos el 20 de septiembre de 2017, como se detalla en el apartado 9 del relato fáctico), de manera que a todos los autores les es imputable lo realizado por los otros, no son razones que quepa tildar de aberrantes, irrazonables o arbitrarias, sin que tampoco se aprecie contrariedad al parámetro de razonabilidad metodológica y axiológica asentado por nuestra doctrina.</w:t>
      </w:r>
    </w:p>
    <w:p w:rsidR="005728DD" w:rsidRDefault="005728DD" w:rsidP="005728DD">
      <w:pPr>
        <w:pStyle w:val="TextoNormal"/>
      </w:pPr>
    </w:p>
    <w:p w:rsidR="005728DD" w:rsidRDefault="005728DD" w:rsidP="005728DD">
      <w:pPr>
        <w:pStyle w:val="TextoNormal"/>
      </w:pPr>
      <w:r>
        <w:t xml:space="preserve">Por otro lado, que los terceros que participaron en los actos multitudinarios no hayan sido enjuiciados por los hechos que han dado lugar a la condena del demandante, no autoriza a colegir que actuaran amparados por una causa de justificación, en su acepción jurídico-penal; circunstancia esta que, de haberse apreciado respecto de los autores permitiría excluir </w:t>
      </w:r>
      <w:r>
        <w:lastRenderedPageBreak/>
        <w:t>la responsabilidad criminal de los partícipes, con fundamento en la teoría de la accesoriedad limitada. Sin embargo, como aquellos terceros no han estado sujetos a un procedimiento penal, cualquier valoración sobre la relevancia de su conducta en ese ámbito resulta improcedente, más aún en esta sede constitucional.</w:t>
      </w:r>
    </w:p>
    <w:p w:rsidR="005728DD" w:rsidRDefault="005728DD" w:rsidP="005728DD">
      <w:pPr>
        <w:pStyle w:val="TextoNormal"/>
      </w:pPr>
    </w:p>
    <w:p w:rsidR="005728DD" w:rsidRDefault="005728DD" w:rsidP="005728DD">
      <w:pPr>
        <w:pStyle w:val="TextoNormal"/>
      </w:pPr>
      <w:r>
        <w:t xml:space="preserve">El hecho de que la actuación de la multitud de personas que, según se describe en el relato fáctico de la sentencia, intervino en los hechos acaecidos los días 20 de septiembre y 1 de octubre de 2017, sí se haya valorado en su dimensión colectiva para apreciar el delito de sedición, no obsta la anterior conclusión. Como ya hemos advertido, el objeto de nuestro pronunciamiento respecto de este motivo no se proyecta sobre la problemática que, en toda su extensión, pueda suscitar el concreto grado de participación que se atribuye al demandante. El alcance de nuestra respuesta es más limitado, pues se circunscribe a dirimir si el órgano enjuiciador ha efectuado una exclusión </w:t>
      </w:r>
      <w:r w:rsidRPr="005728DD">
        <w:rPr>
          <w:i/>
        </w:rPr>
        <w:t>ad casum</w:t>
      </w:r>
      <w:r>
        <w:t xml:space="preserve"> del principio de accesoriedad que resulte contraria al mandato del art. 25 CE. Y como ya se ha indicado, sobre ese concreto aspecto no se vislumbra que se haya producido la vulneración denunciada.</w:t>
      </w:r>
    </w:p>
    <w:p w:rsidR="005728DD" w:rsidRDefault="005728DD" w:rsidP="005728DD">
      <w:pPr>
        <w:pStyle w:val="TextoNormal"/>
      </w:pPr>
    </w:p>
    <w:p w:rsidR="005728DD" w:rsidRDefault="005728DD" w:rsidP="005728DD">
      <w:pPr>
        <w:pStyle w:val="TextoNormal"/>
      </w:pPr>
      <w:r>
        <w:t>Finalmente, hemos de añadir que no le corresponde a este tribunal pronunciarse sobre si las respuestas dadas por el órgano judicial son las únicas que se ajustan a Derecho o, por el contrario, es posible alumbrar otros planteamientos igualmente plausibles o de mayor calidad, pues ello supondría adentrarse en una labor que queda extramuros de nuestro cometido. Ahora bien, de acuerdo con la función de control que nos compete, reiteramos que el tribunal sentenciador ofrece una argumentación que, de manera razonable, descarta que haya existido un abandono selectivo e interesado del principio de accesoriedad limitada en la participación, en el entendimiento de que no concurrieron los presupuestos para la aplicación de ese principio, al entender que el demandante, junto a otros encausados, fue coautor de los hechos.</w:t>
      </w:r>
    </w:p>
    <w:p w:rsidR="005728DD" w:rsidRDefault="005728DD" w:rsidP="005728DD">
      <w:pPr>
        <w:pStyle w:val="TextoNormal"/>
      </w:pPr>
    </w:p>
    <w:p w:rsidR="005728DD" w:rsidRDefault="005728DD" w:rsidP="005728DD">
      <w:pPr>
        <w:pStyle w:val="TextoNormal"/>
      </w:pPr>
      <w:r>
        <w:t>12</w:t>
      </w:r>
      <w:r w:rsidRPr="005728DD">
        <w:rPr>
          <w:i/>
        </w:rPr>
        <w:t>.4. Aplicación analógica del delito de sedición a los hechos enjuici</w:t>
      </w:r>
      <w:r>
        <w:t>ados.</w:t>
      </w:r>
    </w:p>
    <w:p w:rsidR="005728DD" w:rsidRDefault="005728DD" w:rsidP="005728DD">
      <w:pPr>
        <w:pStyle w:val="TextoNormal"/>
      </w:pPr>
    </w:p>
    <w:p w:rsidR="005728DD" w:rsidRDefault="005728DD" w:rsidP="005728DD">
      <w:pPr>
        <w:pStyle w:val="TextoNormal"/>
      </w:pPr>
      <w:r>
        <w:t>12.4.1</w:t>
      </w:r>
      <w:r w:rsidRPr="005728DD">
        <w:rPr>
          <w:i/>
        </w:rPr>
        <w:t>. Posiciones de las part</w:t>
      </w:r>
      <w:r>
        <w:t>es.</w:t>
      </w:r>
    </w:p>
    <w:p w:rsidR="005728DD" w:rsidRDefault="005728DD" w:rsidP="005728DD">
      <w:pPr>
        <w:pStyle w:val="TextoNormal"/>
      </w:pPr>
    </w:p>
    <w:p w:rsidR="005728DD" w:rsidRDefault="005728DD" w:rsidP="005728DD">
      <w:pPr>
        <w:pStyle w:val="TextoNormal"/>
      </w:pPr>
      <w:r>
        <w:t xml:space="preserve">La tercera de las quejas asociadas al principio de legalidad en materia penal (art. 25.1 CE) concierne expresamente a la interpretación y aplicación judicial del tipo de sedición (art. 544 CP), en el entendimiento de que el órgano judicial ha sobrepasado los límites del referido artículo y ha hecho uso del instituto de la analogía </w:t>
      </w:r>
      <w:r w:rsidRPr="005728DD">
        <w:rPr>
          <w:i/>
        </w:rPr>
        <w:t>in malam partem</w:t>
      </w:r>
      <w:r>
        <w:t xml:space="preserve">. El reproche que se dirige a la labor de subsunción se refiere tanto a los acontecimientos que tuvieron lugar el día 20 de septiembre del 2017 como a los que se produjeron el día 1 de octubre del indicado año. Respecto de los hechos acaecidos el día 20 de septiembre se aduce: (i)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(ii) conforme al relato histórico de la sentencia, lo que realmente se desarrolló fue una manifestación ciudadana de unas 40 000 personas, en la que unos pocos participantes incurrieron en excesos, cuyo resultado se circunscribió a la causación de daños materiales. En esos incidentes, el demandante no tuvo ninguna responsabilidad, pues se limitó a convocar una concentración de carácter pacífico y, durante su desarrollo, acabó mostrando una actitud colaboradora con los agentes y desconvocó el acto cuando la comisión judicial alcanzó sus objetivos; (iii) la resolución judicial que debía ejecutarse en la sede del Departamento de </w:t>
      </w:r>
      <w:r>
        <w:lastRenderedPageBreak/>
        <w:t>Economía solo se vio dificultada por la actuación de los terceros, pero no se impidió que llegara a materializarse, que es lo que exige el tipo penal.</w:t>
      </w:r>
    </w:p>
    <w:p w:rsidR="005728DD" w:rsidRDefault="005728DD" w:rsidP="005728DD">
      <w:pPr>
        <w:pStyle w:val="TextoNormal"/>
      </w:pPr>
    </w:p>
    <w:p w:rsidR="005728DD" w:rsidRDefault="005728DD" w:rsidP="005728DD">
      <w:pPr>
        <w:pStyle w:val="TextoNormal"/>
      </w:pPr>
      <w:r>
        <w:t>En relación con los hechos acaecidos el día 1 de octubre de 2017, la censura se contrae a los siguientes extremos: (i) el relato histórico no recoge los elementos necesarios para la apreciación del delito de sedición, toda vez que omite aspectos relativos a las características de los enfrentamientos y sus concretas consecuencias y, sobre todo, no indica quién llevó la iniciativa insurreccional, pues para colmar las exigencias del delito de sedición no basta la mera obstaculización, interposición física o los enfrentamientos con la policía; (ii) no cabe subsanar esas deficiencias apelando a los móviles perseguidos mediante la atribución de conductas ajenas al tipo penal; (iii) la voluntad de promover la inobservancia de los mandatos jurisdiccionales tampoco satisface los requisitos del tipo subjetivo de sedición, que exige que el sujeto activo actúe por medio de una insurrección violenta o cuando menos tumultuaria; (iv) a la vista del relato de hechos probados, cabe afirmar que se ha aplicado analógicamente el antiguo tipo penal de convocatoria de referéndum regulado en el art. 50</w:t>
      </w:r>
      <w:r w:rsidRPr="005728DD">
        <w:rPr>
          <w:i/>
        </w:rPr>
        <w:t>6 b</w:t>
      </w:r>
      <w:r>
        <w:t>is CP, que fue derogado en el año 2005.</w:t>
      </w:r>
    </w:p>
    <w:p w:rsidR="005728DD" w:rsidRDefault="005728DD" w:rsidP="005728DD">
      <w:pPr>
        <w:pStyle w:val="TextoNormal"/>
      </w:pPr>
    </w:p>
    <w:p w:rsidR="005728DD" w:rsidRDefault="005728DD" w:rsidP="005728DD">
      <w:pPr>
        <w:pStyle w:val="TextoNormal"/>
      </w:pPr>
      <w:r>
        <w:t>Para la abogacía del Estado no ha tenido lugar la aplicación analógica que se denuncia, toda vez que la subsunción de los hechos realizada por el órgano judicial se ha verificado de manera lógica y acorde con principios interpretativos válidos y previsibles, sin contrariar el sentido literal del precepto aplicado. Afirma que existió un levantamiento multitudinario y generalizado, que fue proyectado de forma estratégica; que la autoridad del Poder Judicial fue sustituida por la voluntad de los convocantes y de quienes los secundaron; y que esa voluntad fue impuesta por la fuerza. Y en todos esos hechos, se destaca la participación relevante del promotor del amparo como responsable de la movilización de resistencia activa.</w:t>
      </w:r>
    </w:p>
    <w:p w:rsidR="005728DD" w:rsidRDefault="005728DD" w:rsidP="005728DD">
      <w:pPr>
        <w:pStyle w:val="TextoNormal"/>
      </w:pPr>
    </w:p>
    <w:p w:rsidR="005728DD" w:rsidRDefault="005728DD" w:rsidP="005728DD">
      <w:pPr>
        <w:pStyle w:val="TextoNormal"/>
      </w:pPr>
      <w:r>
        <w:t>Para el partido político Vox, el órgano judicial no llevó a cabo una interpretación analógic</w:t>
      </w:r>
      <w:r w:rsidRPr="005728DD">
        <w:rPr>
          <w:i/>
        </w:rPr>
        <w:t>a in malam part</w:t>
      </w:r>
      <w:r>
        <w:t>em del delito de sedición, pues la subsunción realizada no fue ilógica ni irrazonable ni, por ende, pudo resultar imprevisible.</w:t>
      </w:r>
    </w:p>
    <w:p w:rsidR="005728DD" w:rsidRDefault="005728DD" w:rsidP="005728DD">
      <w:pPr>
        <w:pStyle w:val="TextoNormal"/>
      </w:pPr>
    </w:p>
    <w:p w:rsidR="005728DD" w:rsidRDefault="005728DD" w:rsidP="005728DD">
      <w:pPr>
        <w:pStyle w:val="TextoNormal"/>
      </w:pPr>
      <w:r>
        <w:t>El fiscal considera que la subsunción de la conducta del recurrente en la norma penal es conforme con el derecho reconocido en el art. 25.1 CE, puesto que describen los actos y finalidad que configuran esa infracción penal y que la diferencian de otras infracciones penales. Rechaza que se haya producido una aplicación extensiva o analógica de la norma sancionadora, pues no se ha ido más allá del significado literal de los términos legales. Asimismo, los argumentos empleados son razonables y no incurren en quiebras lógicas o extravagancias jurídicas; y se ajustan a criterios interpretativos lógicos, sistemáticos y teleológicos, amén de acomodarse a las pautas metodológicas y axiológicas que impone la doctrina constitucional, siendo destacable la toma en consideración de las alegaciones relativas a los derechos fundamentales, a fin de justificar el desborde y la trasgresión del ejercicio legítimo de tales derechos y constatar la inexistencia del “efecto desaliento”.</w:t>
      </w:r>
    </w:p>
    <w:p w:rsidR="005728DD" w:rsidRDefault="005728DD" w:rsidP="005728DD">
      <w:pPr>
        <w:pStyle w:val="TextoNormal"/>
      </w:pPr>
    </w:p>
    <w:p w:rsidR="005728DD" w:rsidRDefault="005728DD" w:rsidP="005728DD">
      <w:pPr>
        <w:pStyle w:val="TextoNormal"/>
      </w:pPr>
      <w:r>
        <w:t>12.4.2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el apartado 4.2.5 del auto resolutorio del incidente de nulidad, el tribunal ofrece la siguiente respuesta a la queja de la recurrente, relativa a la aplicación analógica del delito de sedición:</w:t>
      </w:r>
    </w:p>
    <w:p w:rsidR="005728DD" w:rsidRDefault="005728DD" w:rsidP="005728DD">
      <w:pPr>
        <w:pStyle w:val="TextoNormal"/>
      </w:pPr>
    </w:p>
    <w:p w:rsidR="005728DD" w:rsidRDefault="005728DD" w:rsidP="005728DD">
      <w:pPr>
        <w:pStyle w:val="TextoNormal"/>
      </w:pPr>
      <w:r>
        <w:t>“No existe en el caso de autos una aplicación analógica del delito de sedición a los hechos enjuiciados.</w:t>
      </w:r>
    </w:p>
    <w:p w:rsidR="005728DD" w:rsidRDefault="005728DD" w:rsidP="005728DD">
      <w:pPr>
        <w:pStyle w:val="TextoNormal"/>
      </w:pPr>
    </w:p>
    <w:p w:rsidR="005728DD" w:rsidRDefault="005728DD" w:rsidP="005728DD">
      <w:pPr>
        <w:pStyle w:val="TextoNormal"/>
      </w:pPr>
      <w:r>
        <w:t xml:space="preserve">Como en el caso del señor Cuixart, partiendo del </w:t>
      </w:r>
      <w:r w:rsidRPr="005728DD">
        <w:rPr>
          <w:i/>
        </w:rPr>
        <w:t>factum</w:t>
      </w:r>
      <w:r>
        <w:t xml:space="preserve"> declarado probado —no de la versión que sobre lo ocurrido continúa sosteniendo la parte— y al margen de consideraciones relacionadas con la valoración de la prueba que, por definición, son ajenas a la posible vulneración del principio de legalidad, la subsunción jurídica respecto a la conducta imputada al señor Sànchez es lógica y acorde a criterios interpretativos válidos [cfr. punto 1.8 del apartado C)]. La discrepancia con el juicio de tipicidad proclamado por la Sala es tan legítima como insuficiente para justificar, por sí sola, la vulneración del principio de legalidad.</w:t>
      </w:r>
    </w:p>
    <w:p w:rsidR="005728DD" w:rsidRDefault="005728DD" w:rsidP="005728DD">
      <w:pPr>
        <w:pStyle w:val="TextoNormal"/>
      </w:pPr>
    </w:p>
    <w:p w:rsidR="005728DD" w:rsidRDefault="005728DD" w:rsidP="005728DD">
      <w:pPr>
        <w:pStyle w:val="TextoNormal"/>
      </w:pPr>
      <w:r>
        <w:t>El juicio de autoría del señor Sànchez descansa, como declara la sentencia, ‘sobre su concertado papel con otros responsables públicos para organizar un referéndum que fue declarado ilegal por el Tribunal Constitucional, para movilizar a la ciudadanía con el objeto de hacer evidente que la justicia española no podía ejecutar sus legítimas decisiones. Se apoya también en las movilizaciones ciudadanas que el día 1 de octubre impidieron con su oposición y fuera de las vías legales, que lo ordenado por el Tribunal Constitucional y el Tribunal Superior de Justicia de Cataluña pudiera hacerse realidad’.</w:t>
      </w:r>
    </w:p>
    <w:p w:rsidR="005728DD" w:rsidRDefault="005728DD" w:rsidP="005728DD">
      <w:pPr>
        <w:pStyle w:val="TextoNormal"/>
      </w:pPr>
    </w:p>
    <w:p w:rsidR="005728DD" w:rsidRDefault="005728DD" w:rsidP="005728DD">
      <w:pPr>
        <w:pStyle w:val="TextoNormal"/>
      </w:pPr>
      <w:r>
        <w:t>En consecuencia, el señor Sànchez no ha sido condenado, como insiste su defensa, por convocar un referéndum ilegal”.</w:t>
      </w:r>
    </w:p>
    <w:p w:rsidR="005728DD" w:rsidRDefault="005728DD" w:rsidP="005728DD">
      <w:pPr>
        <w:pStyle w:val="TextoNormal"/>
      </w:pPr>
    </w:p>
    <w:p w:rsidR="005728DD" w:rsidRDefault="005728DD" w:rsidP="005728DD">
      <w:pPr>
        <w:pStyle w:val="TextoNormal"/>
      </w:pPr>
      <w:r>
        <w:t>Por su parte, en el apartado 6.2.4 del auto mencionado figura el siguiente razonamiento, dado en respuesta a la denuncia del señor Turull.</w:t>
      </w:r>
    </w:p>
    <w:p w:rsidR="005728DD" w:rsidRDefault="005728DD" w:rsidP="005728DD">
      <w:pPr>
        <w:pStyle w:val="TextoNormal"/>
      </w:pPr>
    </w:p>
    <w:p w:rsidR="005728DD" w:rsidRDefault="005728DD" w:rsidP="005728DD">
      <w:pPr>
        <w:pStyle w:val="TextoNormal"/>
      </w:pPr>
      <w:r>
        <w:t>“Tampoco se ha producido una aplicación analógica del delito de sedición.</w:t>
      </w:r>
    </w:p>
    <w:p w:rsidR="005728DD" w:rsidRDefault="005728DD" w:rsidP="005728DD">
      <w:pPr>
        <w:pStyle w:val="TextoNormal"/>
      </w:pPr>
    </w:p>
    <w:p w:rsidR="005728DD" w:rsidRDefault="005728DD" w:rsidP="005728DD">
      <w:pPr>
        <w:pStyle w:val="TextoNormal"/>
      </w:pPr>
      <w:r>
        <w:t>Como hemos destacado con anterioridad, la autoría del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las leyes, para hacer posible la vigencia de las resoluciones administrativas o judiciales’.</w:t>
      </w:r>
    </w:p>
    <w:p w:rsidR="005728DD" w:rsidRDefault="005728DD" w:rsidP="005728DD">
      <w:pPr>
        <w:pStyle w:val="TextoNormal"/>
      </w:pPr>
    </w:p>
    <w:p w:rsidR="005728DD" w:rsidRDefault="005728DD" w:rsidP="005728DD">
      <w:pPr>
        <w:pStyle w:val="TextoNormal"/>
      </w:pPr>
      <w:r>
        <w:t xml:space="preserve">Resulta también pertinente, al hilo de las alegaciones formuladas sobre el derogado tipo de convocatoria ilegal de referéndum reiterar la siguiente argumentación: ‘la derogación de un delito no implica —no puede implicar— la voluntarista despenalización de conductas con claro encaje en otros tipos penales, siempre que concurran los elementos objetivos y subjetivos que dan vida al juicio de subsunción. La relación entre normas penales, de modo especial, el principio de subsidiariedad, impide lo que las defensas presentan como el efecto asociado a una despenalización muy concreta y de ámbito bien restringido, ceñida a los arts. 506 </w:t>
      </w:r>
      <w:r w:rsidRPr="005728DD">
        <w:rPr>
          <w:i/>
        </w:rPr>
        <w:t>bis</w:t>
      </w:r>
      <w:r>
        <w:t xml:space="preserve">, 521 </w:t>
      </w:r>
      <w:r w:rsidRPr="005728DD">
        <w:rPr>
          <w:i/>
        </w:rPr>
        <w:t>bis</w:t>
      </w:r>
      <w:r>
        <w:t xml:space="preserve"> y 576 </w:t>
      </w:r>
      <w:r w:rsidRPr="005728DD">
        <w:rPr>
          <w:i/>
        </w:rPr>
        <w:t>bis</w:t>
      </w:r>
      <w:r>
        <w:t xml:space="preserve"> del Código penal (cfr. Ley Orgánica 2/2005, de 22 de junio). Su eficacia derogatoria solo conlleva la no aplicación de un tipo penal previgente que imponía una pena de tres a cinco años de prisión a la autoridad o funcionario público que convocara un referéndum ilegal. Los hechos que esta Sala da por probados encierran algo más que el reproche por la convocatoria de un referéndum ilegal. Se trata, como venimos reiterando, </w:t>
      </w:r>
      <w:r>
        <w:lastRenderedPageBreak/>
        <w:t>de una concertada voluntad de los miembros del Govern de la Generalitat para alumbrar una legalidad paralela que sirviera como excusa para una movilización ciudadana que exteriorizara la voluntad de promover la inobservancia de las leyes y obstaculizar el cumplimiento de los mandatos judiciales”.</w:t>
      </w:r>
    </w:p>
    <w:p w:rsidR="005728DD" w:rsidRDefault="005728DD" w:rsidP="005728DD">
      <w:pPr>
        <w:pStyle w:val="TextoNormal"/>
      </w:pPr>
    </w:p>
    <w:p w:rsidR="005728DD" w:rsidRDefault="005728DD" w:rsidP="005728DD">
      <w:pPr>
        <w:pStyle w:val="TextoNormal"/>
      </w:pPr>
      <w:r>
        <w:t>No obstante, dadas las particularidades de esta queja, en diferentes pasajes posteriores se reflejará la contestación que el órgano judicial dio a las distintas censuras dirigidas contra su proceder.</w:t>
      </w:r>
    </w:p>
    <w:p w:rsidR="005728DD" w:rsidRDefault="005728DD" w:rsidP="005728DD">
      <w:pPr>
        <w:pStyle w:val="TextoNormal"/>
      </w:pPr>
    </w:p>
    <w:p w:rsidR="005728DD" w:rsidRDefault="005728DD" w:rsidP="005728DD">
      <w:pPr>
        <w:pStyle w:val="TextoNormal"/>
      </w:pPr>
      <w:r>
        <w:t>12.4.3</w:t>
      </w:r>
      <w:r w:rsidRPr="005728DD">
        <w:rPr>
          <w:i/>
        </w:rPr>
        <w:t>. Resolución de la que</w:t>
      </w:r>
      <w:r>
        <w:t>ja.</w:t>
      </w:r>
    </w:p>
    <w:p w:rsidR="005728DD" w:rsidRDefault="005728DD" w:rsidP="005728DD">
      <w:pPr>
        <w:pStyle w:val="TextoNormal"/>
      </w:pPr>
    </w:p>
    <w:p w:rsidR="005728DD" w:rsidRDefault="005728DD" w:rsidP="005728DD">
      <w:pPr>
        <w:pStyle w:val="TextoNormal"/>
      </w:pPr>
      <w:r>
        <w:t>Al exponer resumidamente los términos del motivo que ahora nos corresponde elucidar, en la medida de lo posible hemos disociado, siguiendo el propio esquema de la demanda, las consideraciones que se relacionan con los hechos que tuvieron lugar el 20 de septiembre de 2017, de aquellas otras atinentes a las circunstancias acontecidas el día 1 de octubre.</w:t>
      </w:r>
    </w:p>
    <w:p w:rsidR="005728DD" w:rsidRDefault="005728DD" w:rsidP="005728DD">
      <w:pPr>
        <w:pStyle w:val="TextoNormal"/>
      </w:pPr>
    </w:p>
    <w:p w:rsidR="005728DD" w:rsidRDefault="005728DD" w:rsidP="005728DD">
      <w:pPr>
        <w:pStyle w:val="TextoNormal"/>
      </w:pPr>
      <w:r>
        <w:t>12.4.3.1. Aduce el demandante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Al resolver sobre la alegada insuficiencia del relato histórico, en el apartado 3.2.2.3 A) del auto resolutorio del incidente de nulidad, el tribunal sentenciador razonó del siguiente modo:</w:t>
      </w:r>
    </w:p>
    <w:p w:rsidR="005728DD" w:rsidRDefault="005728DD" w:rsidP="005728DD">
      <w:pPr>
        <w:pStyle w:val="TextoNormal"/>
      </w:pPr>
    </w:p>
    <w:p w:rsidR="005728DD" w:rsidRDefault="005728DD" w:rsidP="005728DD">
      <w:pPr>
        <w:pStyle w:val="TextoNormal"/>
      </w:pPr>
      <w:r>
        <w:t>“A) La defensa del señor Forn minimiza lo que reconoce que ocurrió, considerándolo un mero enfrentamiento aislado y no significativo, dadas las dimensiones de la movilización, pero sin que se constaten agresiones o acometimientos masivos activos.</w:t>
      </w:r>
    </w:p>
    <w:p w:rsidR="005728DD" w:rsidRDefault="005728DD" w:rsidP="005728DD">
      <w:pPr>
        <w:pStyle w:val="TextoNormal"/>
      </w:pPr>
    </w:p>
    <w:p w:rsidR="005728DD" w:rsidRDefault="005728DD" w:rsidP="005728DD">
      <w:pPr>
        <w:pStyle w:val="TextoNormal"/>
      </w:pPr>
      <w:r>
        <w:t>No habría habido así ‘alzamiento’ en la simple interposición física de grupos de personas, que disuadían por su número a los miembros de las fuerzas y cuerpos de seguridad del Estado y que, a lo sumo, obstaculizaban y retrasaban la actuación de dichos agentes, sin impedirla definitivamente, cuando estos empleaban la fuerza. El 20 de septiembre —se arguye— el objetivo de ‘impedir’ la actuación judicial no sería lo perseguido por los concentrados, si por impedir se entiende realmente ‘imposibilitar’ y no meramente ‘interferir o entorpecer’ la cumplimentación de aquella resolución. Se valora que el tumulto imputado a los autores no pone efectivamente en cuestión el funcionamiento del estado democrático de Derecho. Califica de ‘sedición postmoderna’, pero no típica, la movilización multitudinaria dirigida a demostrar la neutralización de la función constitucional atribuida a los jueces, la cual, llega a decir el penado en su incidente, haría del Estado una ‘víctima comunicativa’ de su propia violencia.</w:t>
      </w:r>
    </w:p>
    <w:p w:rsidR="005728DD" w:rsidRDefault="005728DD" w:rsidP="005728DD">
      <w:pPr>
        <w:pStyle w:val="TextoNormal"/>
      </w:pPr>
    </w:p>
    <w:p w:rsidR="005728DD" w:rsidRDefault="005728DD" w:rsidP="005728DD">
      <w:pPr>
        <w:pStyle w:val="TextoNormal"/>
      </w:pPr>
      <w:r>
        <w:t>No reiteraremos ahora el relato íntegro de hechos probados de la sentencia, sino solamente las líneas que resumen los presupuestos objetivos del tipo penal y delatan la artificiosa valoración que de lo ocurrido hace el incidente.</w:t>
      </w:r>
    </w:p>
    <w:p w:rsidR="005728DD" w:rsidRDefault="005728DD" w:rsidP="005728DD">
      <w:pPr>
        <w:pStyle w:val="TextoNormal"/>
      </w:pPr>
    </w:p>
    <w:p w:rsidR="005728DD" w:rsidRDefault="005728DD" w:rsidP="005728DD">
      <w:pPr>
        <w:pStyle w:val="TextoNormal"/>
      </w:pPr>
      <w:r>
        <w:t xml:space="preserve">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w:t>
      </w:r>
      <w:r>
        <w:lastRenderedPageBreak/>
        <w:t>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005728DD" w:rsidRDefault="005728DD" w:rsidP="005728DD">
      <w:pPr>
        <w:pStyle w:val="TextoNormal"/>
      </w:pPr>
    </w:p>
    <w:p w:rsidR="005728DD" w:rsidRDefault="005728DD" w:rsidP="005728DD">
      <w:pPr>
        <w:pStyle w:val="TextoNormal"/>
      </w:pPr>
      <w:r>
        <w:t>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005728DD" w:rsidRDefault="005728DD" w:rsidP="005728DD">
      <w:pPr>
        <w:pStyle w:val="TextoNormal"/>
      </w:pPr>
    </w:p>
    <w:p w:rsidR="005728DD" w:rsidRDefault="005728DD" w:rsidP="005728DD">
      <w:pPr>
        <w:pStyle w:val="TextoNormal"/>
      </w:pPr>
      <w:r>
        <w:t>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005728DD" w:rsidRDefault="005728DD" w:rsidP="005728DD">
      <w:pPr>
        <w:pStyle w:val="TextoNormal"/>
      </w:pPr>
    </w:p>
    <w:p w:rsidR="005728DD" w:rsidRDefault="005728DD" w:rsidP="005728DD">
      <w:pPr>
        <w:pStyle w:val="TextoNormal"/>
      </w:pPr>
      <w:r>
        <w:t>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005728DD" w:rsidRDefault="005728DD" w:rsidP="005728DD">
      <w:pPr>
        <w:pStyle w:val="TextoNormal"/>
      </w:pPr>
    </w:p>
    <w:p w:rsidR="005728DD" w:rsidRDefault="005728DD" w:rsidP="005728DD">
      <w:pPr>
        <w:pStyle w:val="TextoNormal"/>
      </w:pPr>
      <w:r>
        <w:t>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005728DD" w:rsidRDefault="005728DD" w:rsidP="005728DD">
      <w:pPr>
        <w:pStyle w:val="TextoNormal"/>
      </w:pPr>
    </w:p>
    <w:p w:rsidR="005728DD" w:rsidRDefault="005728DD" w:rsidP="005728DD">
      <w:pPr>
        <w:pStyle w:val="TextoNormal"/>
      </w:pPr>
      <w:r>
        <w:t xml:space="preserve">El programa delictivo de los penados preveía —como se proclama en el hecho probado 3— la estrategia de utilizar a multitudes de ciudadanos para ‘neutralizar cualquier manifestación de poder emanada de las autoridades judiciales y gubernativas del Estado’. En definitiva, a la ilicitud de la finalidad perseguida por los autores se une el extravío del procedimiento diseñado como medio. Se decidió actuar con desafío del ordenamiento jurídico que fue declarado derogado, sustituido y suplantado por las Leyes de referéndum y desconexión </w:t>
      </w:r>
      <w:r>
        <w:lastRenderedPageBreak/>
        <w:t>6 y 7 de septiembre de 2017. Y en la medida que para esto era un óbice lo que habían ordenado el Tribunal Constitucional y derivadamente los juzgados núm. 13 de Barcelona y el Tribunal Superior de Justicia de Cataluña, llamaron a los ciudadanos a hacer imposible su cumplimiento.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w:t>
      </w:r>
    </w:p>
    <w:p w:rsidR="005728DD" w:rsidRDefault="005728DD" w:rsidP="005728DD">
      <w:pPr>
        <w:pStyle w:val="TextoNormal"/>
      </w:pPr>
    </w:p>
    <w:p w:rsidR="005728DD" w:rsidRDefault="005728DD" w:rsidP="005728DD">
      <w:pPr>
        <w:pStyle w:val="TextoNormal"/>
      </w:pPr>
      <w:r>
        <w:t>Ello no diluiría la tipicidad de los comportamientos. Y no solamente por la diferencia entre los supuestos de abierta tiranía o injusto colonialismo que han estado presentes en los contextos históricos que legitimaron aquellos movimientos. Basta para esa conclusión reparar en el contenido de las leyes antidemocráticas y sedicentes aprobadas los días 6 y 7 de septiembre de 2017, conforme al plan de los acusados como punto de partida. Puede ser suficiente considerar el estatuto político, social o económico que ha definido el entorno en que se han ejecutado los hechos o pensar, en fin, en la posición y los medios que a los autores del hecho concedía su integración en la estructura del Estado, cuyas leyes fueron derogadas y sus jueces abiertamente desobedecidos.</w:t>
      </w:r>
    </w:p>
    <w:p w:rsidR="005728DD" w:rsidRDefault="005728DD" w:rsidP="005728DD">
      <w:pPr>
        <w:pStyle w:val="TextoNormal"/>
      </w:pPr>
    </w:p>
    <w:p w:rsidR="005728DD" w:rsidRDefault="005728DD" w:rsidP="005728DD">
      <w:pPr>
        <w:pStyle w:val="TextoNormal"/>
      </w:pPr>
      <w:r>
        <w:t>En cualquier caso, para satisfacer las exigencias del tipo penal de sedición, acomodándonos al principio de legalidad, es suficiente el extravío —actuar fuera de las vías legales—, del procedimiento ordenado a los ilícitos e inconstitucionales objetivos.</w:t>
      </w:r>
    </w:p>
    <w:p w:rsidR="005728DD" w:rsidRDefault="005728DD" w:rsidP="005728DD">
      <w:pPr>
        <w:pStyle w:val="TextoNormal"/>
      </w:pPr>
    </w:p>
    <w:p w:rsidR="005728DD" w:rsidRDefault="005728DD" w:rsidP="005728DD">
      <w:pPr>
        <w:pStyle w:val="TextoNormal"/>
      </w:pPr>
      <w:r>
        <w:t>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005728DD" w:rsidRDefault="005728DD" w:rsidP="005728DD">
      <w:pPr>
        <w:pStyle w:val="TextoNormal"/>
      </w:pPr>
    </w:p>
    <w:p w:rsidR="005728DD" w:rsidRDefault="005728DD" w:rsidP="005728DD">
      <w:pPr>
        <w:pStyle w:val="TextoNormal"/>
      </w:pPr>
      <w:r>
        <w:t>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5728DD" w:rsidRDefault="005728DD" w:rsidP="005728DD">
      <w:pPr>
        <w:pStyle w:val="TextoNormal"/>
      </w:pPr>
    </w:p>
    <w:p w:rsidR="005728DD" w:rsidRDefault="005728DD" w:rsidP="005728DD">
      <w:pPr>
        <w:pStyle w:val="TextoNormal"/>
      </w:pPr>
      <w:r>
        <w:t xml:space="preserve">A la vista de lo relatado en los párrafos transcritos, constatamos que la respuesta judicial destaca de modo elocuente los aspectos en que se sustenta la apreciación del delito de sedición. En los apartados 9 y 12 del relato de hechos probados de la sentencia, se pone de manifiesto lo que el tribunal sentenciador considera actos configuradores del “alzamiento tumultuario” que exige el tipo penal, mientras que en apartados anteriores se detalla el desarrollo de la estrategia ideada por los acusados. Por tanto, la censura ahora analizada debe decaer pues, con un razonable grado de concreción, el órgano sentenciador ha fijado el soporte fáctico sobre el que fundamentar la existencia de la infracción penal y, ante la denuncia </w:t>
      </w:r>
      <w:r>
        <w:lastRenderedPageBreak/>
        <w:t>planteada en sede judicial, ha dispensado una respuesta acorde con las exigencias de motivación que nuestra doctrina requiere.</w:t>
      </w:r>
    </w:p>
    <w:p w:rsidR="005728DD" w:rsidRDefault="005728DD" w:rsidP="005728DD">
      <w:pPr>
        <w:pStyle w:val="TextoNormal"/>
      </w:pPr>
    </w:p>
    <w:p w:rsidR="005728DD" w:rsidRDefault="005728DD" w:rsidP="005728DD">
      <w:pPr>
        <w:pStyle w:val="TextoNormal"/>
      </w:pPr>
      <w:r>
        <w:t>Se alega también que los hechos que tuvieron lugar el día 20 de septiembre de 2017 no conforman el delito de sedición tipificado en el art. 544 CP. Básicamente dos son las razones en las que se sustenta este aserto: (i) por un lado, que fueron muy pocos los congregados que incurrieron en excesos que, a lo sumo, derivaron en daños materiales ocasionados, y que el demandante no fue responsable de los mismos (ii) y, por otra parte, que la actuación de aquellos dificultó la práctica de la diligencia judicial pero no impidió su cumplimiento, que es lo que exige el tipo para su consumación.</w:t>
      </w:r>
    </w:p>
    <w:p w:rsidR="005728DD" w:rsidRDefault="005728DD" w:rsidP="005728DD">
      <w:pPr>
        <w:pStyle w:val="TextoNormal"/>
      </w:pPr>
    </w:p>
    <w:p w:rsidR="005728DD" w:rsidRDefault="005728DD" w:rsidP="005728DD">
      <w:pPr>
        <w:pStyle w:val="TextoNormal"/>
      </w:pPr>
      <w:r>
        <w:t>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005728DD" w:rsidRDefault="005728DD" w:rsidP="005728DD">
      <w:pPr>
        <w:pStyle w:val="TextoNormal"/>
      </w:pPr>
    </w:p>
    <w:p w:rsidR="005728DD" w:rsidRDefault="005728DD" w:rsidP="005728DD">
      <w:pPr>
        <w:pStyle w:val="TextoNormal"/>
      </w:pPr>
      <w:r>
        <w:t>También queda reflejado en la sentencia cuál era el propósito perseguido con la convocatoria, así como el preeminente papel desempeñado por el demandante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005728DD" w:rsidRDefault="005728DD" w:rsidP="005728DD">
      <w:pPr>
        <w:pStyle w:val="TextoNormal"/>
      </w:pPr>
    </w:p>
    <w:p w:rsidR="005728DD" w:rsidRDefault="005728DD" w:rsidP="005728DD">
      <w:pPr>
        <w:pStyle w:val="TextoNormal"/>
      </w:pPr>
      <w:r>
        <w:t xml:space="preserve">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w:t>
      </w:r>
      <w:r>
        <w:lastRenderedPageBreak/>
        <w:t>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5728DD" w:rsidRDefault="005728DD" w:rsidP="005728DD">
      <w:pPr>
        <w:pStyle w:val="TextoNormal"/>
      </w:pPr>
    </w:p>
    <w:p w:rsidR="005728DD" w:rsidRDefault="005728DD" w:rsidP="005728DD">
      <w:pPr>
        <w:pStyle w:val="TextoNormal"/>
      </w:pPr>
      <w:r>
        <w:t>En cualquier caso, en el apartado 9 del relato fáctico queda constancia de que el recurrente no se limitó a convocar a la población para una simple manifestación de protesta pacífica ante la sede de la Consejería de Vicepresidencia, Economía y Hacienda de la Generalitat. Según se recoge en el indicado relato, a través de su propia cuenta de Twitter y la de la organización que lideraba, en la convocatoria se comunicó el motivo por el que se incitaba a concurrir a dicho lugar (las detenciones practicadas por orden del Juzgado de Instrucción núm. 13 de Barcelona y el registro de las instalaciones de la consejería) y se exhortaba a la ciudadanía a movilizarse para la defensa de la instituciones catalanas y exigir la libertad de los detenidos. También se describe la conducta desarrollada por el demandante durante la multitudinaria reunión, caracterizada por su marcado carácter dirigente. Ese liderazgo sobre la muchedumbre también lo ejerció durante los incidentes que impidieron el desarrollo normal de la diligencia judicial, hasta el extremo de actuar como “interlocutor de la movilización ante los agentes policiales”, a quienes llegó a imponer condiciones para el traslado de los detenidos. En suma, conforme a los hechos que la sentencia considera probados, la vinculación del recurrente con los disturbios a que se ha hecho mención resulta incuestionable.</w:t>
      </w:r>
    </w:p>
    <w:p w:rsidR="005728DD" w:rsidRDefault="005728DD" w:rsidP="005728DD">
      <w:pPr>
        <w:pStyle w:val="TextoNormal"/>
      </w:pPr>
    </w:p>
    <w:p w:rsidR="005728DD" w:rsidRDefault="005728DD" w:rsidP="005728DD">
      <w:pPr>
        <w:pStyle w:val="TextoNormal"/>
      </w:pPr>
      <w:r>
        <w:t>El demandante también opone, respecto de la apreciación del delito de sedición, que aun cuando los excesos dificultaron la ejecución de la resolución judicial, sin embargo, no impidieron su cumplimiento, que es lo que requiere el art. 544 CP. Y ello, porque si bien no se pudo trasladar a los detenidos al lugar del registro, estos renunciaron voluntariamente a estar presentes y, además, este requisito no es esencial para la validez de la diligencia (STS 463/2019). En apartado 4.5 del fundamento jurídico B) de la sentencia el órgano judicial concluye que la sedición ha sido concebida como un delito de “resultado cortado”:</w:t>
      </w:r>
    </w:p>
    <w:p w:rsidR="005728DD" w:rsidRDefault="005728DD" w:rsidP="005728DD">
      <w:pPr>
        <w:pStyle w:val="TextoNormal"/>
      </w:pPr>
    </w:p>
    <w:p w:rsidR="005728DD" w:rsidRDefault="005728DD" w:rsidP="005728DD">
      <w:pPr>
        <w:pStyle w:val="TextoNormal"/>
      </w:pPr>
      <w:r>
        <w:t>“La consumación debe establecerse atendiendo a la naturaleza del tipo penal como de resultado cortado, en similares términos a los expuestos en relación con la rebelión. Lo que exige una funcionalidad objetiva, además de subjetivamente procurada, respecto de la obstaculización del cumplimiento de las leyes o de la efectividad de las resoluciones adoptadas por la administración o el Poder Judicial.</w:t>
      </w:r>
    </w:p>
    <w:p w:rsidR="005728DD" w:rsidRDefault="005728DD" w:rsidP="005728DD">
      <w:pPr>
        <w:pStyle w:val="TextoNormal"/>
      </w:pPr>
    </w:p>
    <w:p w:rsidR="005728DD" w:rsidRDefault="005728DD" w:rsidP="005728DD">
      <w:pPr>
        <w:pStyle w:val="TextoNormal"/>
      </w:pPr>
      <w:r>
        <w:t>El impedimento tipificado no tiene pues que ser logrado efectivamente por los autores. Eso entraría ya en la fase de agotamiento, más allá de la consumación. Pero ni siquiera en cuanto a finalidad de los autores tiene que ser pretendido por todos ellos de manera absoluta. Basta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Porque esa pretensión disuasoria implica en sí misma una voluntad de impedir definitivamente, siquiera aplazada en el tiempo”.</w:t>
      </w:r>
    </w:p>
    <w:p w:rsidR="005728DD" w:rsidRDefault="005728DD" w:rsidP="005728DD">
      <w:pPr>
        <w:pStyle w:val="TextoNormal"/>
      </w:pPr>
    </w:p>
    <w:p w:rsidR="005728DD" w:rsidRDefault="005728DD" w:rsidP="005728DD">
      <w:pPr>
        <w:pStyle w:val="TextoNormal"/>
      </w:pPr>
      <w:r>
        <w:t xml:space="preserve">Por su parte, en el apartado A) 3.2.2.3 del auto resolutorio del incidente de nulidad, que ha sido transcrito en un apartado anterior, se pone de relieve que los detenidos no pudieron presenciar los registros, por hacerse inviable su acceso al edificio en el que esa diligencia </w:t>
      </w:r>
      <w:r>
        <w:lastRenderedPageBreak/>
        <w:t>iba a realizarse. Asimismo, en el párrafo final del citado apartado se argumenta que: “Finalmente,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5728DD" w:rsidRDefault="005728DD" w:rsidP="005728DD">
      <w:pPr>
        <w:pStyle w:val="TextoNormal"/>
      </w:pPr>
    </w:p>
    <w:p w:rsidR="005728DD" w:rsidRDefault="005728DD" w:rsidP="005728DD">
      <w:pPr>
        <w:pStyle w:val="TextoNormal"/>
      </w:pPr>
      <w:r>
        <w:t>Aun cuando el demandante alegue que los hechos acreditados no expresan que a la comisión judicial se le impidió desempeñar su cometido, ello no impide apreciar la consumación del delito de sedición, pues como refiere el órgano sentenciador, la naturaleza jurídica de esta infracción penal —de resultado cortado— no exige que efectivamente se logren las finalidades que refiere el art. 544 CP. Ciertamente, el tenor del precepto aplicado exige la concurrencia de ciertos elementos, tales como que se produzca un alzamiento público y tumultuario y que se proceda mediante fuerza o fuera de las vías legales; sin embargo, no se requiere la culminación de las finalidades que en el mismo se indican, entre ellas la de impedir el cumplimiento de las resoluciones judiciales. Nótese que el tipo penal no emplea el vocablo “impidan” o “se impida” sino que utiliza el término “para impedir”, al referirse a los fines que se deben perseguir. Por ello, la intelección del precepto que lleva a cabo el tribunal sentenciador no debe considerarse contraria al derecho que garantiza el art. 25.1 CE.</w:t>
      </w:r>
    </w:p>
    <w:p w:rsidR="005728DD" w:rsidRDefault="005728DD" w:rsidP="005728DD">
      <w:pPr>
        <w:pStyle w:val="TextoNormal"/>
      </w:pPr>
    </w:p>
    <w:p w:rsidR="005728DD" w:rsidRDefault="005728DD" w:rsidP="005728DD">
      <w:pPr>
        <w:pStyle w:val="TextoNormal"/>
      </w:pPr>
      <w:r>
        <w:t>12.4.3.2. El segundo bloque argumental concierne a los hechos ocurridos el día 1 de octubre de 2017. En primer lugar, se reprocha la excesiva concisión del relato fáctico, por no explicar en qué consistieron los enfrentamientos y cuáles fueron sus consecuencias, más allá de aludir a que algunos individuos precisaron asistencia facultativa.</w:t>
      </w:r>
    </w:p>
    <w:p w:rsidR="005728DD" w:rsidRDefault="005728DD" w:rsidP="005728DD">
      <w:pPr>
        <w:pStyle w:val="TextoNormal"/>
      </w:pPr>
    </w:p>
    <w:p w:rsidR="005728DD" w:rsidRDefault="005728DD" w:rsidP="005728DD">
      <w:pPr>
        <w:pStyle w:val="TextoNormal"/>
      </w:pPr>
      <w:r>
        <w:t>Los extremos a que se refiere el recurrente figuran en el apartado 12 de los hechos declarados probados y, respecto del relato que allí se consigna cabe decir que, en efecto, los acontecimientos habidos se describen sucintamente y sin descender al detalle de ciertos aspectos, tales como la identificación de las personas y de los concretos lugares en que se produjeron los incidentes, así como las características particulares de cada uno de los enfrentamientos que tuvieron lugar y las consecuencias que de ellos derivaron. Sin embargo, esa parquedad descriptiva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del consiguiente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por parte del señor Forn y de la señora Bassa, en relación con lo ordenado por la referida resolución judicial.</w:t>
      </w:r>
    </w:p>
    <w:p w:rsidR="005728DD" w:rsidRDefault="005728DD" w:rsidP="005728DD">
      <w:pPr>
        <w:pStyle w:val="TextoNormal"/>
      </w:pPr>
    </w:p>
    <w:p w:rsidR="005728DD" w:rsidRDefault="005728DD" w:rsidP="005728DD">
      <w:pPr>
        <w:pStyle w:val="TextoNormal"/>
      </w:pPr>
      <w: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w:t>
      </w:r>
      <w:r>
        <w:lastRenderedPageBreak/>
        <w:t>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005728DD" w:rsidRDefault="005728DD" w:rsidP="005728DD">
      <w:pPr>
        <w:pStyle w:val="TextoNormal"/>
      </w:pPr>
    </w:p>
    <w:p w:rsidR="005728DD" w:rsidRDefault="005728DD" w:rsidP="005728DD">
      <w:pPr>
        <w:pStyle w:val="TextoNormal"/>
      </w:pPr>
      <w:r>
        <w:t>Los acontecimientos que se narran en el indicado apartado de los hechos probados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el relato ofrece 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005728DD" w:rsidRDefault="005728DD" w:rsidP="005728DD">
      <w:pPr>
        <w:pStyle w:val="TextoNormal"/>
      </w:pPr>
    </w:p>
    <w:p w:rsidR="005728DD" w:rsidRDefault="005728DD" w:rsidP="005728DD">
      <w:pPr>
        <w:pStyle w:val="TextoNormal"/>
      </w:pPr>
      <w:r>
        <w:t>Además de la parquedad a que se refiere el demandante, este también reprocha que la sentencia no tome en consideración un factor de capital importancia; a saber, que quien “se alza debe llevar claramente la iniciativa insurreccional”. Conforme a este postulado, lo que el recurrente califica como un mero enfrentamiento con la policía no puede configurar un “alzamiento”. Este alegato debe decaer, pues ignora que el escenario descrito en los hechos probados, dista de ser un simple enfrentamiento.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005728DD" w:rsidRDefault="005728DD" w:rsidP="005728DD">
      <w:pPr>
        <w:pStyle w:val="TextoNormal"/>
      </w:pPr>
    </w:p>
    <w:p w:rsidR="005728DD" w:rsidRDefault="005728DD" w:rsidP="005728DD">
      <w:pPr>
        <w:pStyle w:val="TextoNormal"/>
      </w:pPr>
      <w:r>
        <w:t>Se indica en la demanda que la movilización ciudadana no tuvo el propósito de impedir la acción policial sino el de votar, cuyo llamamiento, a tal fin, data de la activación del mecanismo jurídico previsto en el art. 4.4 de la Ley catalana 19/2017. Por ello, el recurrente refiere que hay una evidente falta de conexión teleológica entre la conducta objetiva y la finalidad perseguida, porque ir a votar no encaja en el sentido literal del término “alzarse”. En suma, el Tribunal Supremo contempla un alzamiento que “impide” cuando el tipo penal castiga alzarse para “impedir”.</w:t>
      </w:r>
    </w:p>
    <w:p w:rsidR="005728DD" w:rsidRDefault="005728DD" w:rsidP="005728DD">
      <w:pPr>
        <w:pStyle w:val="TextoNormal"/>
      </w:pPr>
    </w:p>
    <w:p w:rsidR="005728DD" w:rsidRDefault="005728DD" w:rsidP="005728DD">
      <w:pPr>
        <w:pStyle w:val="TextoNormal"/>
      </w:pPr>
      <w:r>
        <w:t xml:space="preserve">No se pone en cuestión lo afirmado por el demandante, cuando refiere que el propósito de los que participaron en la movilización ciudadana fue el de ejercer el sufragio,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w:t>
      </w:r>
      <w:r>
        <w:lastRenderedPageBreak/>
        <w:t>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el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el Tribunal Constitucional y lo resuelto por la Sala Civil y Penal del Tribunal Superior de Justicia de Cataluña.</w:t>
      </w:r>
    </w:p>
    <w:p w:rsidR="005728DD" w:rsidRDefault="005728DD" w:rsidP="005728DD">
      <w:pPr>
        <w:pStyle w:val="TextoNormal"/>
      </w:pPr>
    </w:p>
    <w:p w:rsidR="005728DD" w:rsidRDefault="005728DD" w:rsidP="005728DD">
      <w:pPr>
        <w:pStyle w:val="TextoNormal"/>
      </w:pPr>
      <w:r>
        <w:t>Lo expuesto en este punto conduce a rechazar la queja del recurrente, referida a que la atipicidad de los hechos no puede remediarse con apelaciones a la ideología de los procesados o al intento de alumbrar una legalidad paralela. Esta alegación se sustenta en una premisa rechazada por el órgano sentenciador, puesto que este estimó que los incidentes surgidos con motivo de la votación son relevantes penalmente; y este tribunal entiende que esa consideración es acorde con el mandato del art. 25.1 CE.</w:t>
      </w:r>
    </w:p>
    <w:p w:rsidR="005728DD" w:rsidRDefault="005728DD" w:rsidP="005728DD">
      <w:pPr>
        <w:pStyle w:val="TextoNormal"/>
      </w:pPr>
    </w:p>
    <w:p w:rsidR="005728DD" w:rsidRDefault="005728DD" w:rsidP="005728DD">
      <w:pPr>
        <w:pStyle w:val="TextoNormal"/>
      </w:pPr>
      <w:r>
        <w:t xml:space="preserve">Resta por abordar un último aspecto dentro de este apartado, concretamente, referido a que los hechos considerados como constitutivos del delito de sedición, en realidad, tendrían encaje en el derogado art. 506 </w:t>
      </w:r>
      <w:r w:rsidRPr="005728DD">
        <w:rPr>
          <w:i/>
        </w:rPr>
        <w:t>bis</w:t>
      </w:r>
      <w:r>
        <w:t xml:space="preserve"> del Código penal que sancionaba la convocatoria ilegal de referéndum. Según se sostiene en la demanda, este precepto fue configurado, como avala su génesis histórica, para sancionar casos como el presente; y su derogación, como se desprende de la exposición de motivos de la norma derogatoria, se produjo para evitar que tales hechos fueran criminalizados.</w:t>
      </w:r>
    </w:p>
    <w:p w:rsidR="005728DD" w:rsidRDefault="005728DD" w:rsidP="005728DD">
      <w:pPr>
        <w:pStyle w:val="TextoNormal"/>
      </w:pPr>
    </w:p>
    <w:p w:rsidR="005728DD" w:rsidRDefault="005728DD" w:rsidP="005728DD">
      <w:pPr>
        <w:pStyle w:val="TextoNormal"/>
      </w:pPr>
      <w:r>
        <w:t>En el apartado 17.2 A) de la sentencia se aborda la temática relativa al “supuesto efecto exoneratorio de la derogación del delito de convocatoria de referéndum ilegal”, que el tribunal sentenciador desechó:</w:t>
      </w:r>
    </w:p>
    <w:p w:rsidR="005728DD" w:rsidRDefault="005728DD" w:rsidP="005728DD">
      <w:pPr>
        <w:pStyle w:val="TextoNormal"/>
      </w:pPr>
    </w:p>
    <w:p w:rsidR="005728DD" w:rsidRDefault="005728DD" w:rsidP="005728DD">
      <w:pPr>
        <w:pStyle w:val="TextoNormal"/>
      </w:pPr>
      <w:r>
        <w:t xml:space="preserve">“[L]o cierto es que el art. 506 </w:t>
      </w:r>
      <w:r w:rsidRPr="005728DD">
        <w:rPr>
          <w:i/>
        </w:rPr>
        <w:t>bis</w:t>
      </w:r>
      <w:r>
        <w:t xml:space="preserve"> del CP no preservaba otra cosa que el principio de competencia en el reparto de la potestad político/administrativa de convocatoria de un referéndum o consulta popular. Desde esa perspectiva, castigar la invasión competencial con una pena privativa de libertad de entre tres y seis años de prisión, puede resultar contrario al significado mismo de un derecho penal respetuoso con los límites constitucionales.</w:t>
      </w:r>
    </w:p>
    <w:p w:rsidR="005728DD" w:rsidRDefault="005728DD" w:rsidP="005728DD">
      <w:pPr>
        <w:pStyle w:val="TextoNormal"/>
      </w:pPr>
    </w:p>
    <w:p w:rsidR="005728DD" w:rsidRDefault="005728DD" w:rsidP="005728DD">
      <w:pPr>
        <w:pStyle w:val="TextoNormal"/>
      </w:pPr>
      <w:r>
        <w:t xml:space="preserve">Refuerza esta idea la referencia que el art. 506 </w:t>
      </w:r>
      <w:r w:rsidRPr="005728DD">
        <w:rPr>
          <w:i/>
        </w:rPr>
        <w:t>bis</w:t>
      </w:r>
      <w:r>
        <w:t xml:space="preserve"> hacía a ‘[…] consultas populares por vía de referéndum en cualquiera de las modalidades previstas en la Constitución’. El precepto derogado, por tanto, no alteraba las reglas de solución del más que previsible concurso normativo cuando la vulneración de las modalidades de referéndum tuviera por objeto la derogación de la Constitución de 1978 y consiguiente abolición de la monarquía parlamentaria como forma de Estado.</w:t>
      </w:r>
    </w:p>
    <w:p w:rsidR="005728DD" w:rsidRDefault="005728DD" w:rsidP="005728DD">
      <w:pPr>
        <w:pStyle w:val="TextoNormal"/>
      </w:pPr>
    </w:p>
    <w:p w:rsidR="005728DD" w:rsidRDefault="005728DD" w:rsidP="005728DD">
      <w:pPr>
        <w:pStyle w:val="TextoNormal"/>
      </w:pPr>
      <w:r>
        <w:t>En definitiva, los hechos enjuiciados son algo más que un conflicto competencial entre autoridades estatales —centrales y autonómicas— que pugnan por la competencia para organizar o prohibir una consulta popular. En el presente caso, de lo que se trataba era de hacer posible un referéndum que condujera, con la ayuda de la movilización ciudadana, a destruir las bases fijadas por el poder constituyente.</w:t>
      </w:r>
    </w:p>
    <w:p w:rsidR="005728DD" w:rsidRDefault="005728DD" w:rsidP="005728DD">
      <w:pPr>
        <w:pStyle w:val="TextoNormal"/>
      </w:pPr>
    </w:p>
    <w:p w:rsidR="005728DD" w:rsidRDefault="005728DD" w:rsidP="005728DD">
      <w:pPr>
        <w:pStyle w:val="TextoNormal"/>
      </w:pPr>
      <w:r>
        <w:lastRenderedPageBreak/>
        <w:t>Encierra un auténtico sofisma la afirmación repetida por los procesados acerca de que la derogación del delito de referéndum ilegal, operada por la reforma penal de 2005, creaba un vacío incriminatorio que convertía en lícita la destrucción del pacto constitucional, la derogación de la forma de Estado, la proclamación de una república y, entre otros efectos, la eliminación de la garantía de inamovilidad de jueces y magistrados. Y eso lo sabían quienes ahora alegan la licitud de su conducta, pues no hacía mucho esta Sala había condenado a un relevante político por no atender los mandatos del Tribunal Constitucional, jurista que luego asumió con rigor técnico la dirección letrada de varios acusados. La convocatoria de un referéndum, sin atender los requerimientos formulados por el Tribunal Constitucional advirtiendo de la ilegalidad de esa iniciativa, trascenderá siempre al derecho penal. Ya sea por la vía del castigo del delito de desobediencia (cfr. SSTS 722/2018, 23 de enero de 2019 y 177/2017, 22 de marzo), ya sea por títulos jurídicos más graves, en función del medio ejecutivo empleado, rebelión (art. 472 CP) o sedición (art. 544 CP)”.</w:t>
      </w:r>
    </w:p>
    <w:p w:rsidR="005728DD" w:rsidRDefault="005728DD" w:rsidP="005728DD">
      <w:pPr>
        <w:pStyle w:val="TextoNormal"/>
      </w:pPr>
    </w:p>
    <w:p w:rsidR="005728DD" w:rsidRDefault="005728DD" w:rsidP="005728DD">
      <w:pPr>
        <w:pStyle w:val="TextoNormal"/>
      </w:pPr>
      <w:r>
        <w:t>En el apartado 4.2.5 del auto resolutorio del incidente, transcrito en un apartado anterior de esta resolución, se rechaza que el demandante fuera condenado por convocar un referéndum ilegal. Por otro lado, al analizar las consecuencias de la despenalización del delito convocatoria ilegal de referéndum, el órgano judicial respondió lo que a continuación se transcribe, tanto en el juicio singularizado de autoría que se formula respecto del señor Rull como en el apartado 6.2.4 del auto resolutorio del incidente de nulidad de actuaciones (que transcribe lo expuesto en el indicado juicio de autoría), en respuesta a la queja del recurrente sobre la aplicación analógica del delito de sedición:</w:t>
      </w:r>
    </w:p>
    <w:p w:rsidR="005728DD" w:rsidRDefault="005728DD" w:rsidP="005728DD">
      <w:pPr>
        <w:pStyle w:val="TextoNormal"/>
      </w:pPr>
    </w:p>
    <w:p w:rsidR="005728DD" w:rsidRDefault="005728DD" w:rsidP="005728DD">
      <w:pPr>
        <w:pStyle w:val="TextoNormal"/>
      </w:pPr>
      <w:r>
        <w:t xml:space="preserve">“La derogación de un delito no implica —no puede implicar— la voluntarista despenalización de conductas con claro encaje en otros tipos penales, siempre que concurran los elementos objetivos y subjetivos que dan vida al juicio de subsunción. La relación entre normas penales, de modo especial, el principio de subsidiariedad, impide lo que las defensas presentan como el efecto asociado a una despenalización muy concreta y de ámbito bien restringido, ceñida a los arts. 506 </w:t>
      </w:r>
      <w:r w:rsidRPr="005728DD">
        <w:rPr>
          <w:i/>
        </w:rPr>
        <w:t>bis</w:t>
      </w:r>
      <w:r>
        <w:t xml:space="preserve">, 521 </w:t>
      </w:r>
      <w:r w:rsidRPr="005728DD">
        <w:rPr>
          <w:i/>
        </w:rPr>
        <w:t>bis</w:t>
      </w:r>
      <w:r>
        <w:t xml:space="preserve"> y 576 </w:t>
      </w:r>
      <w:r w:rsidRPr="005728DD">
        <w:rPr>
          <w:i/>
        </w:rPr>
        <w:t>bis</w:t>
      </w:r>
      <w:r>
        <w:t xml:space="preserve"> del Código penal (cfr. Ley Orgánica 2/2005, de 22 de junio). Su eficacia derogatoria solo conlleva la no aplicación de un tipo penal previgente que imponía una pena de tres a cinco años de prisión a la autoridad o funcionario público que convocara un referéndum ilegal. Los hechos que esta Sala da por probados encierran algo más que el reproche por la convocatoria de un referéndum ilegal. Se trata, como venimos reiterando, de una concertada voluntad de los miembros del Govern de la Generalitat para alumbrar una legalidad paralela que sirviera como excusa para una movilización ciudadana que exteriorizara la voluntad de promover la inobservancia de las leyes y obstaculizar el cumplimiento de los mandatos judiciales”.</w:t>
      </w:r>
    </w:p>
    <w:p w:rsidR="005728DD" w:rsidRDefault="005728DD" w:rsidP="005728DD">
      <w:pPr>
        <w:pStyle w:val="TextoNormal"/>
      </w:pPr>
    </w:p>
    <w:p w:rsidR="005728DD" w:rsidRDefault="005728DD" w:rsidP="005728DD">
      <w:pPr>
        <w:pStyle w:val="TextoNormal"/>
      </w:pPr>
      <w:r>
        <w:t>Como se desprende de esta argumentación, la Sala descarta que, tras la derogación del referido precepto penal, los comportamientos enjuiciados no sean susceptibles de ser incardinados en norma alguna del texto punitivo. El argumento del demandante viene a reiterar una idea expuesta a lo largo del recurso de amparo: que los hechos acaecidos no son constitutivos de delito de sedición. Ahora bien, a mayor abundamiento sostiene que, de haber estado vigente el precepto anteriormente transcrito, sí habrían tenido encaje en la conducta allí descrita.</w:t>
      </w:r>
    </w:p>
    <w:p w:rsidR="005728DD" w:rsidRDefault="005728DD" w:rsidP="005728DD">
      <w:pPr>
        <w:pStyle w:val="TextoNormal"/>
      </w:pPr>
    </w:p>
    <w:p w:rsidR="005728DD" w:rsidRDefault="005728DD" w:rsidP="005728DD">
      <w:pPr>
        <w:pStyle w:val="TextoNormal"/>
      </w:pPr>
      <w:r>
        <w:t xml:space="preserve">La alegación dada por el recurrente debe rechazarse, pues ignora importantes aspectos que se consignan en el relato histórico, a cuyo través el órgano enjuiciador ha apuntalado el </w:t>
      </w:r>
      <w:r>
        <w:lastRenderedPageBreak/>
        <w:t>delito de sedición. Pero, en cualquier caso, debemos proclamar que las explicaciones dadas por el referido órgano para descartar la queja del demandante se ajustan plenamente al canon de razonabilidad asentado por la doctrina constitucional. Debe advertirse que el otrora vigente precepto se limitaba a sancionar “a la autoridad o funcionario público que, careciendo manifiestamente de competencias o atribuciones para ello, convocare o autorizare la convocatoria [...] de consultas populares por vía de referéndum en cualquiera de las modalidades previstas en la Constitución”. Si bien parece razonable colegir que la actuación llevada a cabo desde el poder público autonómico para convocar la consulta del día 1 de octubre de 2017 tendría acomodo en el referido precepto, lo cierto es que el órgano de enjuiciamiento consideró acreditada la concurrencia de factores adicionales que exceden del ámbito del derogado art. 50</w:t>
      </w:r>
      <w:r w:rsidRPr="005728DD">
        <w:rPr>
          <w:i/>
        </w:rPr>
        <w:t>6 b</w:t>
      </w:r>
      <w:r>
        <w:t>is CP y que, sin embargo, se acomodan a la descripción típica que ofrece el art. 544 CP: el alumbramiento de una legalidad paralela y la promoción de una movilización ciudadana para provocar la inobservancia de las leyes y obstaculizar el cumplimiento de los mandatos judiciales.</w:t>
      </w:r>
    </w:p>
    <w:p w:rsidR="005728DD" w:rsidRDefault="005728DD" w:rsidP="005728DD">
      <w:pPr>
        <w:pStyle w:val="TextoNormal"/>
      </w:pPr>
    </w:p>
    <w:p w:rsidR="005728DD" w:rsidRDefault="005728DD" w:rsidP="005728DD">
      <w:pPr>
        <w:pStyle w:val="TextoNormal"/>
      </w:pPr>
      <w:r>
        <w:t>12.5</w:t>
      </w:r>
      <w:r w:rsidRPr="005728DD">
        <w:rPr>
          <w:i/>
        </w:rPr>
        <w:t>. Sobre la proporcionalidad de la pena y la afectación a los derechos a las libertades de expresión e ideológica y al derecho de reuni</w:t>
      </w:r>
      <w:r>
        <w:t>ón.</w:t>
      </w:r>
    </w:p>
    <w:p w:rsidR="005728DD" w:rsidRDefault="005728DD" w:rsidP="005728DD">
      <w:pPr>
        <w:pStyle w:val="TextoNormal"/>
      </w:pPr>
    </w:p>
    <w:p w:rsidR="005728DD" w:rsidRDefault="005728DD" w:rsidP="005728DD">
      <w:pPr>
        <w:pStyle w:val="TextoNormal"/>
      </w:pPr>
      <w:r>
        <w:t>Resta por resolver un último motivo que, en relación con el derecho reconocido en el art. 25.1 CE, se formula en la demanda de amparo. Aunque la queja se articula bajo el enunciado de una única vulneración, lo cierto es que presenta dos aspectos diferenciados que, pese a estar relacionados entre sí, justifican un tratamiento separado.</w:t>
      </w:r>
    </w:p>
    <w:p w:rsidR="005728DD" w:rsidRDefault="005728DD" w:rsidP="005728DD">
      <w:pPr>
        <w:pStyle w:val="TextoNormal"/>
      </w:pPr>
    </w:p>
    <w:p w:rsidR="005728DD" w:rsidRDefault="005728DD" w:rsidP="005728DD">
      <w:pPr>
        <w:pStyle w:val="TextoNormal"/>
      </w:pPr>
      <w:r>
        <w:t>12.5</w:t>
      </w:r>
      <w:r w:rsidRPr="005728DD">
        <w:rPr>
          <w:i/>
        </w:rPr>
        <w:t>.1. Proporcionalidad de la pena privativa de libe</w:t>
      </w:r>
      <w:r>
        <w:t>rtad.</w:t>
      </w:r>
    </w:p>
    <w:p w:rsidR="005728DD" w:rsidRDefault="005728DD" w:rsidP="005728DD">
      <w:pPr>
        <w:pStyle w:val="TextoNormal"/>
      </w:pPr>
    </w:p>
    <w:p w:rsidR="005728DD" w:rsidRDefault="005728DD" w:rsidP="005728DD">
      <w:pPr>
        <w:pStyle w:val="TextoNormal"/>
      </w:pPr>
      <w:r>
        <w:t>12.5.1.1</w:t>
      </w:r>
      <w:r w:rsidRPr="005728DD">
        <w:rPr>
          <w:i/>
        </w:rPr>
        <w:t>. Posiciones de las part</w:t>
      </w:r>
      <w:r>
        <w:t>es.</w:t>
      </w:r>
    </w:p>
    <w:p w:rsidR="005728DD" w:rsidRDefault="005728DD" w:rsidP="005728DD">
      <w:pPr>
        <w:pStyle w:val="TextoNormal"/>
      </w:pPr>
    </w:p>
    <w:p w:rsidR="005728DD" w:rsidRDefault="005728DD" w:rsidP="005728DD">
      <w:pPr>
        <w:pStyle w:val="TextoNormal"/>
      </w:pPr>
      <w:r>
        <w:t>La primera vertiente se asocia a la afectación del principio de legalidad en materia penal, dado lo desproporcionado de la pena privativa de libertad. Según se señala en la demanda, la pena impuesta al recurrente contraviene la doctrina de este tribunal sobre la exigencia de proporcionalidad (STC 136/1999) y también resulta contraria al mandato del art. 49 CDFUE. No cuestiona el recurrente la necesidad de tutelar el orden público a través del Derecho penal, pero siempre que dicho orden se vea gravemente perturbado. Según indica, en el presente caso “cabe observar cómo por una perturbación del orden público que no ha supuesto daños personales relevantes y en la que no se esgrimieron armas, se han impuesto a los acusados penas gravísimas de prisión que rayan o superan los diez años de prisión”, penas estas que se prevén para infracciones sumamente graves como el homicidio, delitos agravados de agresión sexual o las formas más graves de privación de libertad ajena. Y añade que la pena impuesta excede con creces de la prevista para el delito de desórdenes públicos, incluso para el supuesto en que se esgriman armas (art. 55</w:t>
      </w:r>
      <w:r w:rsidRPr="005728DD">
        <w:rPr>
          <w:i/>
        </w:rPr>
        <w:t>7 b</w:t>
      </w:r>
      <w:r>
        <w:t>is).</w:t>
      </w:r>
    </w:p>
    <w:p w:rsidR="005728DD" w:rsidRDefault="005728DD" w:rsidP="005728DD">
      <w:pPr>
        <w:pStyle w:val="TextoNormal"/>
      </w:pPr>
    </w:p>
    <w:p w:rsidR="005728DD" w:rsidRDefault="005728DD" w:rsidP="005728DD">
      <w:pPr>
        <w:pStyle w:val="TextoNormal"/>
      </w:pPr>
      <w:r>
        <w:t>También aduce que el órgano enjuiciador no tuvo en cuenta que la diligencia judicial pudo culminarse, finalmente, sin que nadie resultara lesionado (en referencia a los hechos acaecidos el día 20 de septiembre de 2017); y a su vez, pone de relieve que el día 1 de octubre de 2017, los efectivos policiales lograron impedir que se realizaran las votaciones en numerosos centros. Estas circunstancias, según afirma, al menos deberían haber dado lugar a la aplicación de la forma imperfecta o de menor gravedad prevista en el art. 547 CP.</w:t>
      </w:r>
    </w:p>
    <w:p w:rsidR="005728DD" w:rsidRDefault="005728DD" w:rsidP="005728DD">
      <w:pPr>
        <w:pStyle w:val="TextoNormal"/>
      </w:pPr>
    </w:p>
    <w:p w:rsidR="005728DD" w:rsidRDefault="005728DD" w:rsidP="005728DD">
      <w:pPr>
        <w:pStyle w:val="TextoNormal"/>
      </w:pPr>
      <w:r>
        <w:lastRenderedPageBreak/>
        <w:t>Para el partido político Vox no cabe apreciar la desproporción que se invoca, pues el orden público alterado se pretendió preservar con la sentencia condenatoria; y la alteración de ese orden afecta a la unidad política y territorial de la Nación española, por lo que una pena inferior a la impuesta no hubiera sido lo suficientemente desmotivadora para evitar que se reiteren las mismas conductas.</w:t>
      </w:r>
    </w:p>
    <w:p w:rsidR="005728DD" w:rsidRDefault="005728DD" w:rsidP="005728DD">
      <w:pPr>
        <w:pStyle w:val="TextoNormal"/>
      </w:pPr>
    </w:p>
    <w:p w:rsidR="005728DD" w:rsidRDefault="005728DD" w:rsidP="005728DD">
      <w:pPr>
        <w:pStyle w:val="TextoNormal"/>
      </w:pPr>
      <w:r>
        <w:t>El fiscal sostiene que el recurrente no efectúa ni desarrolla alegaciones de contenido sobre la opción del legislador de fijar la pena entre ocho y diez años para los sujetos mencionados en el art. 545.1 CP, lo que exime de mayor argumentación. Descarta también que al recurrente se le haya impuesto una pena desproporcionada, pues la aplicación judicial de la norma penal se acomoda a la entidad y gravedad, tanto de los hechos como a la responsabilidad personal en ellos del demandante.</w:t>
      </w:r>
    </w:p>
    <w:p w:rsidR="005728DD" w:rsidRDefault="005728DD" w:rsidP="005728DD">
      <w:pPr>
        <w:pStyle w:val="TextoNormal"/>
      </w:pPr>
    </w:p>
    <w:p w:rsidR="005728DD" w:rsidRDefault="005728DD" w:rsidP="005728DD">
      <w:pPr>
        <w:pStyle w:val="TextoNormal"/>
      </w:pPr>
      <w:r>
        <w:t>Por consiguiente, la inaplicación del art. 547 CP y o el hecho de no rebajar, uno o dos grados, la pena finalmente impuesta no puede decirse que respondan a un ejercicio de derroche de coacción penal de carácter innecesario desproporcionado, sino que simplemente se acomodan a la entidad y gravedad tanto de los hechos, como de la responsabilidad personal en ellos del demandante y del entorpecimiento de la autoridad pública ocasionado en el caso concreto.</w:t>
      </w:r>
    </w:p>
    <w:p w:rsidR="005728DD" w:rsidRDefault="005728DD" w:rsidP="005728DD">
      <w:pPr>
        <w:pStyle w:val="TextoNormal"/>
      </w:pPr>
    </w:p>
    <w:p w:rsidR="005728DD" w:rsidRDefault="005728DD" w:rsidP="005728DD">
      <w:pPr>
        <w:pStyle w:val="TextoNormal"/>
      </w:pPr>
      <w:r>
        <w:t>12.5.1</w:t>
      </w:r>
      <w:r w:rsidRPr="005728DD">
        <w:rPr>
          <w:i/>
        </w:rPr>
        <w:t>.2. Respuesta del órgano judi</w:t>
      </w:r>
      <w:r>
        <w:t>cial.</w:t>
      </w:r>
    </w:p>
    <w:p w:rsidR="005728DD" w:rsidRDefault="005728DD" w:rsidP="005728DD">
      <w:pPr>
        <w:pStyle w:val="TextoNormal"/>
      </w:pPr>
    </w:p>
    <w:p w:rsidR="005728DD" w:rsidRDefault="005728DD" w:rsidP="005728DD">
      <w:pPr>
        <w:pStyle w:val="TextoNormal"/>
      </w:pPr>
      <w:r>
        <w:t>En el apartado 4.2.5 del auto resolutorio del incidente de nulidad, la Sala respondió de este modo, respecto de la queja de desproporcionalidad de las penas impuestas: “[p]or último, la posible vulneración del principio de proporcionalidad también ha de ser desestimada”.</w:t>
      </w:r>
    </w:p>
    <w:p w:rsidR="005728DD" w:rsidRDefault="005728DD" w:rsidP="005728DD">
      <w:pPr>
        <w:pStyle w:val="TextoNormal"/>
      </w:pPr>
    </w:p>
    <w:p w:rsidR="005728DD" w:rsidRDefault="005728DD" w:rsidP="005728DD">
      <w:pPr>
        <w:pStyle w:val="TextoNormal"/>
      </w:pPr>
      <w:r>
        <w:t>En el apartado 2.6 de la referida resolución se argumenta más extensamente sobre este aspecto, al resolver el incidente de nulidad planteado por el señor Cuixart:</w:t>
      </w:r>
    </w:p>
    <w:p w:rsidR="005728DD" w:rsidRDefault="005728DD" w:rsidP="005728DD">
      <w:pPr>
        <w:pStyle w:val="TextoNormal"/>
      </w:pPr>
    </w:p>
    <w:p w:rsidR="005728DD" w:rsidRDefault="005728DD" w:rsidP="005728DD">
      <w:pPr>
        <w:pStyle w:val="TextoNormal"/>
      </w:pPr>
      <w:r>
        <w:t>“La resolución dictada por esta Sala no vulnera el principio de proporcionalidad de las penas.</w:t>
      </w:r>
    </w:p>
    <w:p w:rsidR="005728DD" w:rsidRDefault="005728DD" w:rsidP="005728DD">
      <w:pPr>
        <w:pStyle w:val="TextoNormal"/>
      </w:pPr>
    </w:p>
    <w:p w:rsidR="005728DD" w:rsidRDefault="005728DD" w:rsidP="005728DD">
      <w:pPr>
        <w:pStyle w:val="TextoNormal"/>
      </w:pPr>
      <w:r>
        <w:t>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005728DD" w:rsidRDefault="005728DD" w:rsidP="005728DD">
      <w:pPr>
        <w:pStyle w:val="TextoNormal"/>
      </w:pPr>
    </w:p>
    <w:p w:rsidR="005728DD" w:rsidRDefault="005728DD" w:rsidP="005728DD">
      <w:pPr>
        <w:pStyle w:val="TextoNormal"/>
      </w:pPr>
      <w: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w:t>
      </w:r>
      <w:r>
        <w:lastRenderedPageBreak/>
        <w:t>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5728DD" w:rsidRDefault="005728DD" w:rsidP="005728DD">
      <w:pPr>
        <w:pStyle w:val="TextoNormal"/>
      </w:pPr>
    </w:p>
    <w:p w:rsidR="005728DD" w:rsidRDefault="005728DD" w:rsidP="005728DD">
      <w:pPr>
        <w:pStyle w:val="TextoNormal"/>
      </w:pPr>
      <w:r>
        <w:t>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005728DD" w:rsidRDefault="005728DD" w:rsidP="005728DD">
      <w:pPr>
        <w:pStyle w:val="TextoNormal"/>
      </w:pPr>
    </w:p>
    <w:p w:rsidR="005728DD" w:rsidRDefault="005728DD" w:rsidP="005728DD">
      <w:pPr>
        <w:pStyle w:val="TextoNormal"/>
      </w:pPr>
      <w:r>
        <w:t>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005728DD" w:rsidRDefault="005728DD" w:rsidP="005728DD">
      <w:pPr>
        <w:pStyle w:val="TextoNormal"/>
      </w:pPr>
    </w:p>
    <w:p w:rsidR="005728DD" w:rsidRDefault="005728DD" w:rsidP="005728DD">
      <w:pPr>
        <w:pStyle w:val="TextoNormal"/>
      </w:pPr>
      <w:r>
        <w:t>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005728DD" w:rsidRDefault="005728DD" w:rsidP="005728DD">
      <w:pPr>
        <w:pStyle w:val="TextoNormal"/>
      </w:pPr>
    </w:p>
    <w:p w:rsidR="005728DD" w:rsidRDefault="005728DD" w:rsidP="005728DD">
      <w:pPr>
        <w:pStyle w:val="TextoNormal"/>
      </w:pPr>
      <w:r>
        <w:t>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005728DD" w:rsidRDefault="005728DD" w:rsidP="005728DD">
      <w:pPr>
        <w:pStyle w:val="TextoNormal"/>
      </w:pPr>
    </w:p>
    <w:p w:rsidR="005728DD" w:rsidRDefault="005728DD" w:rsidP="005728DD">
      <w:pPr>
        <w:pStyle w:val="TextoNormal"/>
      </w:pPr>
      <w:r>
        <w:t>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005728DD" w:rsidRDefault="005728DD" w:rsidP="005728DD">
      <w:pPr>
        <w:pStyle w:val="TextoNormal"/>
      </w:pPr>
    </w:p>
    <w:p w:rsidR="005728DD" w:rsidRDefault="005728DD" w:rsidP="005728DD">
      <w:pPr>
        <w:pStyle w:val="TextoNormal"/>
      </w:pPr>
      <w:r>
        <w:t xml:space="preserve">La efectividad de la convocatoria de la población, y correlativo incremento de la gravedad del plan de los acusados, se garantizaba por parte de las asociaciones civiles OC y ANC a cuyos llamamientos acudían decenas o centenares de miles de personas, según la ocasión. </w:t>
      </w:r>
      <w:r>
        <w:lastRenderedPageBreak/>
        <w:t>Y por la sintonía concordada con el Parlament y el propio Govern que, con absoluta deslealtad democrática, abandonó la tutela del orden público y contravino la legalidad constitucional.</w:t>
      </w:r>
    </w:p>
    <w:p w:rsidR="005728DD" w:rsidRDefault="005728DD" w:rsidP="005728DD">
      <w:pPr>
        <w:pStyle w:val="TextoNormal"/>
      </w:pPr>
    </w:p>
    <w:p w:rsidR="005728DD" w:rsidRDefault="005728DD" w:rsidP="005728DD">
      <w:pPr>
        <w:pStyle w:val="TextoNormal"/>
      </w:pPr>
      <w:r>
        <w:t>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005728DD" w:rsidRDefault="005728DD" w:rsidP="005728DD">
      <w:pPr>
        <w:pStyle w:val="TextoNormal"/>
      </w:pPr>
    </w:p>
    <w:p w:rsidR="005728DD" w:rsidRDefault="005728DD" w:rsidP="005728DD">
      <w:pPr>
        <w:pStyle w:val="TextoNormal"/>
      </w:pPr>
      <w:r>
        <w:t>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005728DD" w:rsidRDefault="005728DD" w:rsidP="005728DD">
      <w:pPr>
        <w:pStyle w:val="TextoNormal"/>
      </w:pPr>
    </w:p>
    <w:p w:rsidR="005728DD" w:rsidRDefault="005728DD" w:rsidP="005728DD">
      <w:pPr>
        <w:pStyle w:val="TextoNormal"/>
      </w:pPr>
      <w:r>
        <w:t>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la ‘legalidad’ que derivaba de sus instituciones autonómicas”.</w:t>
      </w:r>
    </w:p>
    <w:p w:rsidR="005728DD" w:rsidRDefault="005728DD" w:rsidP="005728DD">
      <w:pPr>
        <w:pStyle w:val="TextoNormal"/>
      </w:pPr>
    </w:p>
    <w:p w:rsidR="005728DD" w:rsidRDefault="005728DD" w:rsidP="005728DD">
      <w:pPr>
        <w:pStyle w:val="TextoNormal"/>
      </w:pPr>
      <w:r>
        <w:t>12.5.1.3</w:t>
      </w:r>
      <w:r w:rsidRPr="005728DD">
        <w:rPr>
          <w:i/>
        </w:rPr>
        <w:t>. Resolución de la que</w:t>
      </w:r>
      <w:r>
        <w:t>ja.</w:t>
      </w:r>
    </w:p>
    <w:p w:rsidR="005728DD" w:rsidRDefault="005728DD" w:rsidP="005728DD">
      <w:pPr>
        <w:pStyle w:val="TextoNormal"/>
      </w:pPr>
    </w:p>
    <w:p w:rsidR="005728DD" w:rsidRDefault="005728DD" w:rsidP="005728DD">
      <w:pPr>
        <w:pStyle w:val="TextoNormal"/>
      </w:pPr>
      <w:r>
        <w:t xml:space="preserve">Al exponer los aspectos más relevantes de nuestra doctrina en relación con el derecho reconocido en el art. 25.1 CE, reprodujimos en su literalidad los fragmentos del fundamento jurídico 23 de la STC 136/1999, de 20 de julio, en el que se refleja el canon para valorar la proporcionalidad de las penas. De suerte que, para calificar una pena como desproporcionada desde el prisma constitucional debe apreciarse un desequilibrio manifiesto y no justificable entre la sanción impuesta y la finalidad de la norma punitiva, desequilibrio que deberá ponderarse a partir de “pautas axiológicas constitucionalmente indiscutibles y de su concreción en la propia actividad legislativa”. Ahora bien, tal y como se reconoce en la </w:t>
      </w:r>
      <w:r>
        <w:lastRenderedPageBreak/>
        <w:t>sentencia objeto de cita, el juicio que en esta sede de amparo cabe formular ha de ser necesariamente prudente, sin adentrarse en apartados ajenos a nuestra jurisdicción, tales como la oportunidad, conveniencia o las posibles alternativas de mayor calidad, pues no cabe perder de vista “el amplio margen de libertad de configuración de delitos y penas que corresponde al legislador democrático a la hora de la plasmación normativa de la política criminal” (STC 60/2010, de 7 de octubre, FJ 3).</w:t>
      </w:r>
    </w:p>
    <w:p w:rsidR="005728DD" w:rsidRDefault="005728DD" w:rsidP="005728DD">
      <w:pPr>
        <w:pStyle w:val="TextoNormal"/>
      </w:pPr>
    </w:p>
    <w:p w:rsidR="005728DD" w:rsidRDefault="005728DD" w:rsidP="005728DD">
      <w:pPr>
        <w:pStyle w:val="TextoNormal"/>
      </w:pPr>
      <w:r>
        <w:t>Para responder adecuadamente a la queja suscitada por el demandante debemos partir del dato de que fue condenado como autor de un delito de sedición de los arts. 544 y 545.1 CP, primer inciso, y le fueron impuestas las penas de nueve años de prisión e inhabilitación absoluta, las cuales están comprendidas dentro de la horquilla que el indicado art. 545.1 establece, concretamente de ocho a diez años de duración. En un motivo anterior, el recurrente reprocha que la sentencia le impusiera las penas indicadas, en vez del mínimo de ocho años. Respecto de esta censura, nos remitimos a lo ya argumentado al resolver tal motivo, por lo que en este apartado nos limitaremos a abordar la temática de la proporcionalidad en función de las quejas a las que resumidamente se ha hecho mención.</w:t>
      </w:r>
    </w:p>
    <w:p w:rsidR="005728DD" w:rsidRDefault="005728DD" w:rsidP="005728DD">
      <w:pPr>
        <w:pStyle w:val="TextoNormal"/>
      </w:pPr>
    </w:p>
    <w:p w:rsidR="005728DD" w:rsidRDefault="005728DD" w:rsidP="005728DD">
      <w:pPr>
        <w:pStyle w:val="TextoNormal"/>
      </w:pPr>
      <w:r>
        <w:t>El demandante también sustenta su denuncia en lo que considera debe ser el principal parámetro para calibrar la proporcionalidad de las penas: la intensidad de la afectación del orden público. Teniendo en cuenta este enfoque, afirma que el día 20 de septiembre de 2017 nadie resultó lesionado, que tampoco se esgrimieron armas y que, finalmente, la diligencia judicial se llevó a cabo; mientras que, respecto del día 1 de octubre de 2017, señala que en numerosos colegios electorales los agentes policiales impidieron que se efectuaran las votaciones, dando cumplimiento a lo ordenado judicialmente.</w:t>
      </w:r>
    </w:p>
    <w:p w:rsidR="005728DD" w:rsidRDefault="005728DD" w:rsidP="005728DD">
      <w:pPr>
        <w:pStyle w:val="TextoNormal"/>
      </w:pPr>
    </w:p>
    <w:p w:rsidR="005728DD" w:rsidRDefault="005728DD" w:rsidP="005728DD">
      <w:pPr>
        <w:pStyle w:val="TextoNormal"/>
      </w:pPr>
      <w:r>
        <w:t>Tampoco cabe estimar la lesión que el demandante aduce con base en el principal parámetro que este emplea para calibrar la proporcionalidad: que no se produjo una grave afectación del orden público, porque el día 20 de septiembre de 2017 nadie resultó lesionado, tampoco se esgrimieron armas y, finalmente, la diligencia judicial se llevó a cabo; mientras que el día 1 de octubre de 2017, en numerosos colegios electorales los efectivos policiales impidieron que se efectuaran las votaciones, dando efectivo cumplimiento a lo ordenado judicialmente. Ninguna de las circunstancias referidas justifica la desproporción punitiva que se denuncia, pues no se aprecia el desequilibrio manifiesto y no justificable entre la sanción impuesta y la finalidad de la norma punitiva a que anteriormente se ha hecho referencia. El delito de sedición no prevé, en el tipo básico o en su modalidad agravada, la causación de lesiones o el empleo de armas; de manera que la ausencia de estas circunstancias no impide apreciar la comisión del referido delito. Por otro lado, no cabe desconocer que esa infracción penal ha sido catalogada por el órgano enjuiciador como un delito de “resultado cortado” o “de consumación anticipada”, por lo que el alegato referido a que la diligencia judicial finalmente se llevó a cabo o que se llegó a impedir la votación en muchos centros, carece de relevancia a los efectos que ahora interesan.</w:t>
      </w:r>
    </w:p>
    <w:p w:rsidR="005728DD" w:rsidRDefault="005728DD" w:rsidP="005728DD">
      <w:pPr>
        <w:pStyle w:val="TextoNormal"/>
      </w:pPr>
    </w:p>
    <w:p w:rsidR="005728DD" w:rsidRDefault="005728DD" w:rsidP="005728DD">
      <w:pPr>
        <w:pStyle w:val="TextoNormal"/>
      </w:pPr>
      <w:r>
        <w:t xml:space="preserve">También refutamos que la entidad de la perturbación del orden público deba de ser el único factor a tener en cuenta. Este aserto ignora que, aun cuando el tipo se incardina dentro del apartado “de los delitos contra el orden público”, de hecho, es la infracción más gravemente penada dentro de esa categoría, y que el empleo de términos tales como se “alcen”, “tumultuariamente” y “empleen fuerza” revelan la alteración de ese orden en su concepción tradicional. El propósito perseguido por los autores resulta de capital importancia para la </w:t>
      </w:r>
      <w:r>
        <w:lastRenderedPageBreak/>
        <w:t>apreciación de la sedición, de suerte que una grave alteración del orden público que no persiga ninguna de las finalidades descritas en el art. 544 CP no podría engendrar esa modalidad delictiva. Así pues, siendo un aspecto determinante del delito de sedición el designio perseguido por los autores, identificar el grado de afectación del orden público como único factor a tener en cuenta para calibrar la proporcionalidad de la respuesta penal, supone desconocer la estructura típica de esa infracción penal.</w:t>
      </w:r>
    </w:p>
    <w:p w:rsidR="005728DD" w:rsidRDefault="005728DD" w:rsidP="005728DD">
      <w:pPr>
        <w:pStyle w:val="TextoNormal"/>
      </w:pPr>
    </w:p>
    <w:p w:rsidR="005728DD" w:rsidRDefault="005728DD" w:rsidP="005728DD">
      <w:pPr>
        <w:pStyle w:val="TextoNormal"/>
      </w:pPr>
      <w:r>
        <w:t>En lo referente a la inaplicación de una forma imperfecta de ejecución o de lo dispuesto en el art. 547 CP al caso debemos afirmar que esa cuestión trasciende del ámbito de debate en el que nos hallamos, pues lo que en realidad se reitera es la indebida subsunción de los hechos en la norma penal. Sin embargo, como ya pusimos de relieve al compendiar nuestra doctrina sobre esta cuestión, no compete a este tribunal sustituir a los órganos judiciales en el ejercicio de la función de subsumir los hechos en las normas, pues ese cometido corresponde en exclusiva a los jueces y tribunales ordinarios, conforme a lo establecido en el art. 117.3 CE. Ello implica que, en esta sede, no procede auspiciar alternativas interpretativas a la sustentada por el tribunal sentenciador, incluso si se considerasen más adecuadas o de mayor fuste. Hemos de limitarnos, pues, a verificar un juicio externo sobre la compatibilidad de la interpretación realizada con el tenor literal de la norma y sobre su razonabilidad metodológica y axiológica. Y sobre esos aspectos, este tribunal ya se ha pronunciado. Y este tribunal considera que la labor de subsunción de los hechos en la norma penal aplicada se ajusta al canon expuesto.</w:t>
      </w:r>
    </w:p>
    <w:p w:rsidR="005728DD" w:rsidRDefault="005728DD" w:rsidP="005728DD">
      <w:pPr>
        <w:pStyle w:val="TextoNormal"/>
      </w:pPr>
    </w:p>
    <w:p w:rsidR="005728DD" w:rsidRDefault="005728DD" w:rsidP="005728DD">
      <w:pPr>
        <w:pStyle w:val="TextoNormal"/>
      </w:pPr>
      <w:r>
        <w:t>12.5</w:t>
      </w:r>
      <w:r w:rsidRPr="005728DD">
        <w:rPr>
          <w:i/>
        </w:rPr>
        <w:t>.2. La afectación de otros derechos fundamentales por falta de proporcionalidad de las p</w:t>
      </w:r>
      <w:r>
        <w:t>enas.</w:t>
      </w:r>
    </w:p>
    <w:p w:rsidR="005728DD" w:rsidRDefault="005728DD" w:rsidP="005728DD">
      <w:pPr>
        <w:pStyle w:val="TextoNormal"/>
      </w:pPr>
    </w:p>
    <w:p w:rsidR="005728DD" w:rsidRDefault="005728DD" w:rsidP="005728DD">
      <w:pPr>
        <w:pStyle w:val="TextoNormal"/>
      </w:pPr>
      <w:r>
        <w:t>12.5.2.1</w:t>
      </w:r>
      <w:r w:rsidRPr="005728DD">
        <w:rPr>
          <w:i/>
        </w:rPr>
        <w:t>. Posiciones de las part</w:t>
      </w:r>
      <w:r>
        <w:t>es.</w:t>
      </w:r>
    </w:p>
    <w:p w:rsidR="005728DD" w:rsidRDefault="005728DD" w:rsidP="005728DD">
      <w:pPr>
        <w:pStyle w:val="TextoNormal"/>
      </w:pPr>
    </w:p>
    <w:p w:rsidR="005728DD" w:rsidRDefault="005728DD" w:rsidP="005728DD">
      <w:pPr>
        <w:pStyle w:val="TextoNormal"/>
      </w:pPr>
      <w:r>
        <w:t>La segunda vertiente de la denuncia se centra en la individualización de las penas, al afirmar el demandante que no se tuvo en cuenta “que el delito por el que el recurrente ha sido condenado se produjo en un contexto de ejercicio de derechos fundamentales”, ya que incluso el tribunal sentenciador ha reconocido, implícitamente, que los ciudadanos que se alzaron se encontraban ejerciendo tales derechos, en la medida en que ninguno de ellos ha sido acusado por movilizarse, como reitera varias veces la sentencia. Esta circunstancia debió dar lugar, cuando menos, a una “muy importante atenuación punitiva que pudo vehicularse perfectamente a través del art. 20.7 CP, alegado por la defensa como eximente en el acto del juicio y cuya apreciación como eximente incompleta habría permitido imponer penas muy alejadas de los castigos absolutamente desproporcionados que se han acabado imponiendo”. Sin embargo, al imponerse penas tan severas, la desproporción punitiva ha originado un efecto desalentador del ejercicio de derechos fundamentales, sin que los posibles móviles políticos del demandante deban ser tenidos en cuenta, por ser completamente ajenos a la sedición, que es un delito contra el orden público.</w:t>
      </w:r>
    </w:p>
    <w:p w:rsidR="005728DD" w:rsidRDefault="005728DD" w:rsidP="005728DD">
      <w:pPr>
        <w:pStyle w:val="TextoNormal"/>
      </w:pPr>
    </w:p>
    <w:p w:rsidR="005728DD" w:rsidRDefault="005728DD" w:rsidP="005728DD">
      <w:pPr>
        <w:pStyle w:val="TextoNormal"/>
      </w:pPr>
      <w:r>
        <w:t xml:space="preserve">Añade que el auto resolutorio del incidente agrava con su fundamentación la vulneración denunciada, por sus constantes valoraciones sobre la ideología política de los procesados, dato este completamente ajeno al delito de sedición, y porque el ejercicio de derechos como la libertad ideológica, de reunión y manifestación “pasa a convertirse en una circunstancia agravante de la responsabilidad penal”. Finalmente, insiste en que las penas impuestas son </w:t>
      </w:r>
      <w:r>
        <w:lastRenderedPageBreak/>
        <w:t>manifiestamente desproporcionadas, pues como sostiene algún autor imponen a “los organizadores de reuniones pacíficas —aun cuando ilegales— para la expresión de votos, opiniones o sentimientos políticos, sanciones de una severidad equivalente a las que el Código penal prevé para graves delitos contra la vida y la integridad física”.</w:t>
      </w:r>
    </w:p>
    <w:p w:rsidR="005728DD" w:rsidRDefault="005728DD" w:rsidP="005728DD">
      <w:pPr>
        <w:pStyle w:val="TextoNormal"/>
      </w:pPr>
    </w:p>
    <w:p w:rsidR="005728DD" w:rsidRDefault="005728DD" w:rsidP="005728DD">
      <w:pPr>
        <w:pStyle w:val="TextoNormal"/>
      </w:pPr>
      <w:r>
        <w:t>Niega la abogacía del Estado que se hayan conculcado los derechos fundamentales que alude el demandante. Su responsabilidad penal no trae causa de difundir opiniones y doctrinas contrarias a la Constitución ni por propugnar la superación del marco político actual. Lo que es objeto de reproche penal es haber participado en la elaboración de leyes en abierta y contumaz desatención de los requerimientos del Tribunal Constitucional,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Y esta conducta no se ve amparada por ninguno de los derechos que se citan en la demanda.</w:t>
      </w:r>
    </w:p>
    <w:p w:rsidR="005728DD" w:rsidRDefault="005728DD" w:rsidP="005728DD">
      <w:pPr>
        <w:pStyle w:val="TextoNormal"/>
      </w:pPr>
    </w:p>
    <w:p w:rsidR="005728DD" w:rsidRDefault="005728DD" w:rsidP="005728DD">
      <w:pPr>
        <w:pStyle w:val="TextoNormal"/>
      </w:pPr>
      <w:r>
        <w:t>Añade que la movilización alentada, a fin de que se produjera la votación prohibida desborda los lindes del ejercicio legítimo del derecho de reunión, por lo que esa conducta no puede quedar amparada por el art. 20.7 CP. Finalmente, concluye que lo que se produjo fue un levantamiento multitudinario, generalizado y proyectado de forma estratégica, por lo que no es posible eludir la tipicidad de la sedición.</w:t>
      </w:r>
    </w:p>
    <w:p w:rsidR="005728DD" w:rsidRDefault="005728DD" w:rsidP="005728DD">
      <w:pPr>
        <w:pStyle w:val="TextoNormal"/>
      </w:pPr>
    </w:p>
    <w:p w:rsidR="005728DD" w:rsidRDefault="005728DD" w:rsidP="005728DD">
      <w:pPr>
        <w:pStyle w:val="TextoNormal"/>
      </w:pPr>
      <w:r>
        <w:t>Para el fiscal, la sentencia se acomoda a las exigencias constitucionales que se imponen para aquellos casos en que se plantea el ejercicio de un derecho fundamental como causa de justificación, tanto en esa resolución como en auto que dilucida sobre el incidente de nulidad de actuaciones. Y ello, porque se examina la conexión de los comportamientos enjuiciados con el contenido de aquellos derechos fundamentales; se descarta que puedan encajar en un ejercicio legítimo de los mismos; se determina y precisa la existencia y razón de la gravedad cuantitativa y cualitativa de la extralimitación que sobrepasa lo amparado por el referido derecho; y una vez apreciada la intensidad de la ilegitimidad de la conducta y los principios, valores y bienes constitucionales violentados, se justifica la procedencia de la respuesta penal. Y en tales términos, el efecto desaliento queda descartado.</w:t>
      </w:r>
    </w:p>
    <w:p w:rsidR="005728DD" w:rsidRDefault="005728DD" w:rsidP="005728DD">
      <w:pPr>
        <w:pStyle w:val="TextoNormal"/>
      </w:pPr>
    </w:p>
    <w:p w:rsidR="005728DD" w:rsidRDefault="005728DD" w:rsidP="005728DD">
      <w:pPr>
        <w:pStyle w:val="TextoNormal"/>
      </w:pPr>
      <w:r>
        <w:t>12.5</w:t>
      </w:r>
      <w:r w:rsidRPr="005728DD">
        <w:rPr>
          <w:i/>
        </w:rPr>
        <w:t>.2.2. Respuesta del órgano ju</w:t>
      </w:r>
      <w:r>
        <w:t>dicial.</w:t>
      </w:r>
    </w:p>
    <w:p w:rsidR="005728DD" w:rsidRDefault="005728DD" w:rsidP="005728DD">
      <w:pPr>
        <w:pStyle w:val="TextoNormal"/>
      </w:pPr>
    </w:p>
    <w:p w:rsidR="005728DD" w:rsidRDefault="005728DD" w:rsidP="005728DD">
      <w:pPr>
        <w:pStyle w:val="TextoNormal"/>
      </w:pPr>
      <w:r>
        <w:t>El apartado 17.5 del fundamento A) de la sentencia da respuesta al alegato de actuar en ejercicio legítimo de derechos constitucionales como causa excluyente de la antijuridicidad. Así, señala:</w:t>
      </w:r>
    </w:p>
    <w:p w:rsidR="005728DD" w:rsidRDefault="005728DD" w:rsidP="005728DD">
      <w:pPr>
        <w:pStyle w:val="TextoNormal"/>
      </w:pPr>
    </w:p>
    <w:p w:rsidR="005728DD" w:rsidRDefault="005728DD" w:rsidP="005728DD">
      <w:pPr>
        <w:pStyle w:val="TextoNormal"/>
      </w:pPr>
      <w:r>
        <w:t>“17.5.1. Derecho a la libertad de expresión.</w:t>
      </w:r>
    </w:p>
    <w:p w:rsidR="005728DD" w:rsidRDefault="005728DD" w:rsidP="005728DD">
      <w:pPr>
        <w:pStyle w:val="TextoNormal"/>
      </w:pPr>
    </w:p>
    <w:p w:rsidR="005728DD" w:rsidRDefault="005728DD" w:rsidP="005728DD">
      <w:pPr>
        <w:pStyle w:val="TextoNormal"/>
      </w:pPr>
      <w:r>
        <w:t>La infracción del derecho a la libertad de expresión —a juicio de las defensas— se habría generado desde la perspectiva asumida por las acusaciones de criminalización del discurso político para fundamentar una condena penal. Esa restricción no puede incardinarse —se aduce— en ninguna de las habilitaciones previstas por el Convenio y por lo tanto supone una vulneración y un grave atentado al derecho fundamental a la libertad de expresión del art. 10 CEDH y concordantes.</w:t>
      </w:r>
    </w:p>
    <w:p w:rsidR="005728DD" w:rsidRDefault="005728DD" w:rsidP="005728DD">
      <w:pPr>
        <w:pStyle w:val="TextoNormal"/>
      </w:pPr>
    </w:p>
    <w:p w:rsidR="005728DD" w:rsidRDefault="005728DD" w:rsidP="005728DD">
      <w:pPr>
        <w:pStyle w:val="TextoNormal"/>
      </w:pPr>
      <w:r>
        <w:lastRenderedPageBreak/>
        <w:t>La Sala discrepa de esta afirmación.</w:t>
      </w:r>
    </w:p>
    <w:p w:rsidR="005728DD" w:rsidRDefault="005728DD" w:rsidP="005728DD">
      <w:pPr>
        <w:pStyle w:val="TextoNormal"/>
      </w:pPr>
    </w:p>
    <w:p w:rsidR="005728DD" w:rsidRDefault="005728DD" w:rsidP="005728DD">
      <w:pPr>
        <w:pStyle w:val="TextoNormal"/>
      </w:pPr>
      <w:r>
        <w:t>No se ha producido en este caso un ejercicio legítimo del derecho a la libertad de expresión ni existe, desde luego, vulneración de ese derecho. Ninguno de los actos imputados y que ahora han sido declarados probados queda comprendido —y, por tanto, justificado— en el contenido material del derecho a la libertad de expresión.</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A la vista de este desarrollo jurisprudencial del derecho a la libertad de expresión, recogido en los arts. 20.1 de la CE y 10 del CEDH, está fuera de dudas que los hechos que se declaran probados no implican la negación de la capacidad de los acusados para expresar libremente sus ideas. No se castiga por difundir opiniones o doctrinas contrarias al actual estatus constitucional. Tampoco por propugnar una superación del marco político vigente. La libertad de los acusados, en este punto, permanece incólume. Nuestro sistema no se identifica con aquellos otros que hacen de la democracia militante una de sus señas de identidad (cfr. SSTC 48/2003, 136/1999, 159/1986). Las mismas ideas que han defendido los acusados les han permitido concurrir a elecciones legislativas. Esas ideas secesionistas son las que siguen dando vida al Gobierno autonómico de Cataluña. Su legitimidad no se cuestiona. Lo que es objeto de reproche penal —y así lo hemos declarado probado— es haber pulverizado el pacto constitucional, y hacerlo mediante la aprobación de leyes en abierta y contumaz desatención a los requerimientos del Tribunal Constitucional. Lo que se sanciona, en fin,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con la estructura del Estado.</w:t>
      </w:r>
    </w:p>
    <w:p w:rsidR="005728DD" w:rsidRDefault="005728DD" w:rsidP="005728DD">
      <w:pPr>
        <w:pStyle w:val="TextoNormal"/>
      </w:pPr>
    </w:p>
    <w:p w:rsidR="005728DD" w:rsidRDefault="005728DD" w:rsidP="005728DD">
      <w:pPr>
        <w:pStyle w:val="TextoNormal"/>
      </w:pPr>
      <w:r>
        <w:t>El apartado 2 del art. 10 del CEDH considera restricciones legítimas a la libertad de expresión aquellas que sean ‘[…] medidas necesarias, en una sociedad democrática […] para la integridad territorial o la seguridad pública, la defensa del orden y la prevención del delito’. La simple lectura de este precepto ya pone de relieve la validez democrática de restricciones encaminadas a preservar otros fines constitucionalmente legítimos. Y si bien insistimos en la no afectación del contenido material del derecho a la libertad de expresión de los acusados, conviene recordar que la defensa de la integridad territorial y la prevención del delito son, según el precepto invocado, legítimas limitaciones a la libertad de expresión que, en el presente caso, tampoco han existido.</w:t>
      </w:r>
    </w:p>
    <w:p w:rsidR="005728DD" w:rsidRDefault="005728DD" w:rsidP="005728DD">
      <w:pPr>
        <w:pStyle w:val="TextoNormal"/>
      </w:pPr>
    </w:p>
    <w:p w:rsidR="005728DD" w:rsidRDefault="005728DD" w:rsidP="005728DD">
      <w:pPr>
        <w:pStyle w:val="TextoNormal"/>
      </w:pPr>
      <w:r>
        <w:t>17.5.2. Derecho de reunión.</w:t>
      </w:r>
    </w:p>
    <w:p w:rsidR="005728DD" w:rsidRDefault="005728DD" w:rsidP="005728DD">
      <w:pPr>
        <w:pStyle w:val="TextoNormal"/>
      </w:pPr>
    </w:p>
    <w:p w:rsidR="005728DD" w:rsidRDefault="005728DD" w:rsidP="005728DD">
      <w:pPr>
        <w:pStyle w:val="TextoNormal"/>
      </w:pPr>
      <w:r>
        <w:t>El derecho de reunión pacífica habría sido también infringido. Los escritos de acusación contienen, a juicio de las defensas, la conversión en actos delictivos de meros actos de protesta que se hallan plenamente incluidos en el ejercicio del derecho fundamental de reunión (art. 21 CE, 21 PIDCP y 11 CEDH).</w:t>
      </w:r>
    </w:p>
    <w:p w:rsidR="005728DD" w:rsidRDefault="005728DD" w:rsidP="005728DD">
      <w:pPr>
        <w:pStyle w:val="TextoNormal"/>
      </w:pPr>
    </w:p>
    <w:p w:rsidR="005728DD" w:rsidRDefault="005728DD" w:rsidP="005728DD">
      <w:pPr>
        <w:pStyle w:val="TextoNormal"/>
      </w:pPr>
      <w:r>
        <w:t xml:space="preserve">Tampoco ahora la Sala puede identificarse con esta línea de razonamiento. La legitimidad del derecho de reunión está fuera de controversia. Pero también lo está la existencia de </w:t>
      </w:r>
      <w:r>
        <w:lastRenderedPageBreak/>
        <w:t>límites al ejercicio de este derecho. Basta una lectura de los arts. 513 y 514 del CP para constatar que el legislador español considera delictivas algunas de las acciones que desbordan el ejercicio legítimo de los derechos de reunión o manifestación. La jurisprudencia del Tribunal Europeo de Derechos Humanos ha admitido esta idea de limitación, si bien conecta su legitimidad a la vigencia del principio de proporcionalidad (cfr. STEDH de 16 de abril de 1991</w:t>
      </w:r>
      <w:r w:rsidRPr="005728DD">
        <w:rPr>
          <w:i/>
        </w:rPr>
        <w:t>, Ezelin c. Franc</w:t>
      </w:r>
      <w:r>
        <w:t>ia) y a la necesidad de que no suponga un control ideológico sobre la finalidad de las manifestaciones (cfr. SSTEDH de 20 de octubre de 2005</w:t>
      </w:r>
      <w:r w:rsidRPr="005728DD">
        <w:rPr>
          <w:i/>
        </w:rPr>
        <w:t>, Ivanov c. Bulgar</w:t>
      </w:r>
      <w:r>
        <w:t>ia, y de 14 de febrero de 2006</w:t>
      </w:r>
      <w:r w:rsidRPr="005728DD">
        <w:rPr>
          <w:i/>
        </w:rPr>
        <w:t>, Partido Demócrata Cristiano Popular c. Moldav</w:t>
      </w:r>
      <w:r>
        <w:t>ia).</w:t>
      </w:r>
    </w:p>
    <w:p w:rsidR="005728DD" w:rsidRDefault="005728DD" w:rsidP="005728DD">
      <w:pPr>
        <w:pStyle w:val="TextoNormal"/>
      </w:pPr>
    </w:p>
    <w:p w:rsidR="005728DD" w:rsidRDefault="005728DD" w:rsidP="005728DD">
      <w:pPr>
        <w:pStyle w:val="TextoNormal"/>
      </w:pPr>
      <w:r>
        <w:t>En el caso presente, no se trata de calibrar si esas limitaciones se acomodaron al canon constitucional que les confiere legitimidad. Ninguno de los ciudadanos que asistieron a las manifestaciones que se describen en el juicio histórico ha resultado acusado por ese hecho. Tampoco los acusados señor Junqueras y señora Forcadell —que reforzaron con su presencia la reivindicación que animaba la protestas ante la sede de la Vicepresidencia y Consejería de Economía y el Tribunal Superior de Justicia—, ni los señores Cuixart y Sànchez —que desarrollaron un especial protagonismo en esos encuentros—, han sido acusados de un delito de reunión o manifestación ilícita.</w:t>
      </w:r>
    </w:p>
    <w:p w:rsidR="005728DD" w:rsidRDefault="005728DD" w:rsidP="005728DD">
      <w:pPr>
        <w:pStyle w:val="TextoNormal"/>
      </w:pPr>
    </w:p>
    <w:p w:rsidR="005728DD" w:rsidRDefault="005728DD" w:rsidP="005728DD">
      <w:pPr>
        <w:pStyle w:val="TextoNormal"/>
      </w:pPr>
      <w:r>
        <w:t>No se han criminalizado, por tanto, actos de protesta.</w:t>
      </w:r>
    </w:p>
    <w:p w:rsidR="005728DD" w:rsidRDefault="005728DD" w:rsidP="005728DD">
      <w:pPr>
        <w:pStyle w:val="TextoNormal"/>
      </w:pPr>
    </w:p>
    <w:p w:rsidR="005728DD" w:rsidRDefault="005728DD" w:rsidP="005728DD">
      <w:pPr>
        <w:pStyle w:val="TextoNormal"/>
      </w:pPr>
      <w:r>
        <w:t>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w:t>
      </w:r>
    </w:p>
    <w:p w:rsidR="005728DD" w:rsidRDefault="005728DD" w:rsidP="005728DD">
      <w:pPr>
        <w:pStyle w:val="TextoNormal"/>
      </w:pPr>
    </w:p>
    <w:p w:rsidR="005728DD" w:rsidRDefault="005728DD" w:rsidP="005728DD">
      <w:pPr>
        <w:pStyle w:val="TextoNormal"/>
      </w:pPr>
      <w:r>
        <w:t xml:space="preserve">Pero la misma obviedad puede proclamarse de la idea de que nadie puede arrogarse el monopolio de interpretar qué es lo legítimo, arrojando al ámbito de lo ilegítimo al que no comparta sus ideas sobre la autodeterminación. Y ello, pese a los muchos argumentos que se hagan valer y que están, no para vencer al que no piensa igual, ni para superponerlos a la legalidad basándose en la voluntarista superioridad de una legitimidad frente a otra, sino para hacerlos valer en la sociedad democrática y convencer traspasándolos, en su caso, a la legalidad. También aquellos ciudadanos que profesan otras concepciones sobre el llamado problema territorial gozan de iguales derechos. Y con iguales métodos —tanto en el plano </w:t>
      </w:r>
      <w:r>
        <w:lastRenderedPageBreak/>
        <w:t>del tejido social como en el ámbito de la política institucional— ha de respetarse su capacidad y derecho de oponer a esas ideas otras que, para ellos, son las que encarnan la legitimidad.</w:t>
      </w:r>
    </w:p>
    <w:p w:rsidR="005728DD" w:rsidRDefault="005728DD" w:rsidP="005728DD">
      <w:pPr>
        <w:pStyle w:val="TextoNormal"/>
      </w:pPr>
    </w:p>
    <w:p w:rsidR="005728DD" w:rsidRDefault="005728DD" w:rsidP="005728DD">
      <w:pPr>
        <w:pStyle w:val="TextoNormal"/>
      </w:pPr>
      <w:r>
        <w:t>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convictivo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005728DD" w:rsidRDefault="005728DD" w:rsidP="005728DD">
      <w:pPr>
        <w:pStyle w:val="TextoNormal"/>
      </w:pPr>
    </w:p>
    <w:p w:rsidR="005728DD" w:rsidRDefault="005728DD" w:rsidP="005728DD">
      <w:pPr>
        <w:pStyle w:val="TextoNormal"/>
      </w:pPr>
      <w:r>
        <w:t>En definitiva,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5728DD" w:rsidRDefault="005728DD" w:rsidP="005728DD">
      <w:pPr>
        <w:pStyle w:val="TextoNormal"/>
      </w:pPr>
    </w:p>
    <w:p w:rsidR="005728DD" w:rsidRDefault="005728DD" w:rsidP="005728DD">
      <w:pPr>
        <w:pStyle w:val="TextoNormal"/>
      </w:pPr>
      <w:r>
        <w:t>17.5.3. Libertad ideológica.</w:t>
      </w:r>
    </w:p>
    <w:p w:rsidR="005728DD" w:rsidRDefault="005728DD" w:rsidP="005728DD">
      <w:pPr>
        <w:pStyle w:val="TextoNormal"/>
      </w:pPr>
    </w:p>
    <w:p w:rsidR="005728DD" w:rsidRDefault="005728DD" w:rsidP="005728DD">
      <w:pPr>
        <w:pStyle w:val="TextoNormal"/>
      </w:pPr>
      <w:r>
        <w:t>El mismo rechazo hemos de suscribir al pretendido efecto exoneratorio derivado del ejercicio legítimo del derecho a la libertad ideológica. Su contenido, tal y como ha sido configurado por la jurisprudencia constitucional (cfr. SSTC 120/1990, 137/1990, 214/1991, 177/2015) y del Tribunal Europeo de Derechos Humanos (cfr. sentencia de 13 de marzo de 2018</w:t>
      </w:r>
      <w:r w:rsidRPr="005728DD">
        <w:rPr>
          <w:i/>
        </w:rPr>
        <w:t>, Stern Taulats y Roura Capellera c. Espa</w:t>
      </w:r>
      <w:r>
        <w:t>ña), no puede abarcar los hechos que sustentan las imputaciones que se formulan para cada uno de los acusados.</w:t>
      </w:r>
    </w:p>
    <w:p w:rsidR="005728DD" w:rsidRDefault="005728DD" w:rsidP="005728DD">
      <w:pPr>
        <w:pStyle w:val="TextoNormal"/>
      </w:pPr>
    </w:p>
    <w:p w:rsidR="005728DD" w:rsidRDefault="005728DD" w:rsidP="005728DD">
      <w:pPr>
        <w:pStyle w:val="TextoNormal"/>
      </w:pPr>
      <w:r>
        <w:t>También ahora hemos de insistir en que la libertad ideológica de los acusados ha permanecido incólume a lo largo del proceso. Su condición de parte pasiva nada tiene que ver con los postulados políticos que cada uno de ellos suscribe. De hecho, han podido participar incluso en campaña electoral durante el tiempo de prisión preventiva. Han podido difundir sus ideas y son estas ideas las que, hoy por hoy, sostienen la acción de gobierno de la Generalitat”.</w:t>
      </w:r>
    </w:p>
    <w:p w:rsidR="005728DD" w:rsidRDefault="005728DD" w:rsidP="005728DD">
      <w:pPr>
        <w:pStyle w:val="TextoNormal"/>
      </w:pPr>
    </w:p>
    <w:p w:rsidR="005728DD" w:rsidRDefault="005728DD" w:rsidP="005728DD">
      <w:pPr>
        <w:pStyle w:val="TextoNormal"/>
      </w:pPr>
      <w:r>
        <w:t>En el apartado 4.2.5 del reiterado auto resolutorio del incidente de nulidad se argumenta lo siguiente:</w:t>
      </w:r>
    </w:p>
    <w:p w:rsidR="005728DD" w:rsidRDefault="005728DD" w:rsidP="005728DD">
      <w:pPr>
        <w:pStyle w:val="TextoNormal"/>
      </w:pPr>
    </w:p>
    <w:p w:rsidR="005728DD" w:rsidRDefault="005728DD" w:rsidP="005728DD">
      <w:pPr>
        <w:pStyle w:val="TextoNormal"/>
      </w:pPr>
      <w:r>
        <w:t>“En consecuencia, el señor Sànchez no ha sido condenado, como insiste su defensa, por convocar un referéndum ilegal.</w:t>
      </w:r>
    </w:p>
    <w:p w:rsidR="005728DD" w:rsidRDefault="005728DD" w:rsidP="005728DD">
      <w:pPr>
        <w:pStyle w:val="TextoNormal"/>
      </w:pPr>
    </w:p>
    <w:p w:rsidR="005728DD" w:rsidRDefault="005728DD" w:rsidP="005728DD">
      <w:pPr>
        <w:pStyle w:val="TextoNormal"/>
      </w:pPr>
      <w:r>
        <w:t>Tampoco por ejercer sus derechos fundamentales de reunión y libertad de expresión e ideológica.</w:t>
      </w:r>
    </w:p>
    <w:p w:rsidR="005728DD" w:rsidRDefault="005728DD" w:rsidP="005728DD">
      <w:pPr>
        <w:pStyle w:val="TextoNormal"/>
      </w:pPr>
    </w:p>
    <w:p w:rsidR="005728DD" w:rsidRDefault="005728DD" w:rsidP="005728DD">
      <w:pPr>
        <w:pStyle w:val="TextoNormal"/>
      </w:pPr>
      <w:r>
        <w:lastRenderedPageBreak/>
        <w:t>El relato de hechos probados pone de manifiesto con claridad que, como destaca la sentencia, su actuación desbordó los límites constitucionales. Por tanto, la subsunción jurídica realizada por esta Sala respeta los principios inspiradores del orden constitucional.</w:t>
      </w:r>
    </w:p>
    <w:p w:rsidR="005728DD" w:rsidRDefault="005728DD" w:rsidP="005728DD">
      <w:pPr>
        <w:pStyle w:val="TextoNormal"/>
      </w:pPr>
    </w:p>
    <w:p w:rsidR="005728DD" w:rsidRDefault="005728DD" w:rsidP="005728DD">
      <w:pPr>
        <w:pStyle w:val="TextoNormal"/>
      </w:pPr>
      <w:r>
        <w:t>Por último, la posible vulneración del principio de proporcionalidad también ha de ser desestimada.</w:t>
      </w:r>
    </w:p>
    <w:p w:rsidR="005728DD" w:rsidRDefault="005728DD" w:rsidP="005728DD">
      <w:pPr>
        <w:pStyle w:val="TextoNormal"/>
      </w:pPr>
    </w:p>
    <w:p w:rsidR="005728DD" w:rsidRDefault="005728DD" w:rsidP="005728DD">
      <w:pPr>
        <w:pStyle w:val="TextoNormal"/>
      </w:pPr>
      <w:r>
        <w:t>En cuanto a la especificidad del delito de sedición nos remitimos a las consideraciones realizadas al resolver los incidentes promovidos por las respectivas defensas de los señores Cuixart y Forn. Es patente, por otro lado, que no nos hallamos ante una simple perturbación del orden público, como es claro que no concurren los presupuestos para la aplicación de la atenuante analógica pretendida, menos aún una eximente incompleta, tal y como ya se resolvió en la sentencia, a la que nos remitimos íntegramente”.</w:t>
      </w:r>
    </w:p>
    <w:p w:rsidR="005728DD" w:rsidRDefault="005728DD" w:rsidP="005728DD">
      <w:pPr>
        <w:pStyle w:val="TextoNormal"/>
      </w:pPr>
    </w:p>
    <w:p w:rsidR="005728DD" w:rsidRDefault="005728DD" w:rsidP="005728DD">
      <w:pPr>
        <w:pStyle w:val="TextoNormal"/>
      </w:pPr>
      <w:r>
        <w:t>Sin embargo, es en el apartado 2.5.2.2 del auto resolutorio del incidente de nulidad donde se ofrece una detallada y exhaustiva respuesta sobre esta cuestión, al resolver el incidente interpuesto por el señor Cuixart:</w:t>
      </w:r>
    </w:p>
    <w:p w:rsidR="005728DD" w:rsidRDefault="005728DD" w:rsidP="005728DD">
      <w:pPr>
        <w:pStyle w:val="TextoNormal"/>
      </w:pPr>
    </w:p>
    <w:p w:rsidR="005728DD" w:rsidRDefault="005728DD" w:rsidP="005728DD">
      <w:pPr>
        <w:pStyle w:val="TextoNormal"/>
      </w:pPr>
      <w:r>
        <w:t>“Las manifestaciones convocadas por las asociaciones civiles el día 1 de octubre de 2017, no se circunscribían a la mera reivindicación de un legítimo mensaje político. Tampoco eran la expresión de protestas que, pese a su hostilidad, tienen indudable encaje constitucional. Antes al contrario, eran acciones ejecutadas en un indisimulado lenguaje performativo. Simultáneamente a su desarrollo se implementaban apartados del Decreto dictado por el Govern en desarrollo de la inconstitucional normativa de secesión aprobada por el Parlament. Se trataba así de conferir una efectividad a esa ilegal norma de cobertura, con desprecio de su invalidez, posibilitando la celebración de un referéndum que eludía la eficacia de cualquier resolución judicial tendente a impedirlo. Se lograba de esta forma la realización simultánea por los convocantes de la acción evocada, celebración del ilegal referéndum, en cuanto contrario a la normativa electoral y estatuaria.</w:t>
      </w:r>
    </w:p>
    <w:p w:rsidR="005728DD" w:rsidRDefault="005728DD" w:rsidP="005728DD">
      <w:pPr>
        <w:pStyle w:val="TextoNormal"/>
      </w:pPr>
    </w:p>
    <w:p w:rsidR="005728DD" w:rsidRDefault="005728DD" w:rsidP="005728DD">
      <w:pPr>
        <w:pStyle w:val="TextoNormal"/>
      </w:pPr>
      <w:r>
        <w:t xml:space="preserve">No se trataba, pues, de la promoción de meras manifestaciones cuya ilicitud se asociara al incumplimiento de un requisito administrativo —como se contempla en las SSTEDH de 12 de junio de 2014, </w:t>
      </w:r>
      <w:r w:rsidRPr="005728DD">
        <w:rPr>
          <w:i/>
        </w:rPr>
        <w:t>Primov y otros c. Rusia</w:t>
      </w:r>
      <w:r>
        <w:t>, o de 27 de enero de 2009</w:t>
      </w:r>
      <w:r w:rsidRPr="005728DD">
        <w:rPr>
          <w:i/>
        </w:rPr>
        <w:t>, Karabulut c. Turqu</w:t>
      </w:r>
      <w:r>
        <w:t>ía—. Lo que sucedió y como tal fue objeto de enjuiciamiento eran graves comisiones delictivas en las que, a través de una conducta coactiva, se facilitaba e imponía una normativa antidemocrática, adoptada con menosprecio y conculcación de los derechos de un relevante número de parlamentarios autonómicos y de los ciudadanos a los que representaban, que superaban a la mitad de los votantes.</w:t>
      </w:r>
    </w:p>
    <w:p w:rsidR="005728DD" w:rsidRDefault="005728DD" w:rsidP="005728DD">
      <w:pPr>
        <w:pStyle w:val="TextoNormal"/>
      </w:pPr>
    </w:p>
    <w:p w:rsidR="005728DD" w:rsidRDefault="005728DD" w:rsidP="005728DD">
      <w:pPr>
        <w:pStyle w:val="TextoNormal"/>
      </w:pPr>
      <w:r>
        <w:t xml:space="preserve">No es posible, por tanto, afirmar que la sentencia cuya nulidad se insta condena por convocar manifestaciones pacíficas. Menos aún, que esa condena se limita a los hechos acaecidos el día 20 de septiembre. Quien así argumenta trocea de forma inadmisible lo verdaderamente acaecido. El día 20 de septiembre el registro judicial se desarrolló en una atmósfera de coacción, hasta el punto que impidió el desplazamiento de los investigados al registro de sus despachos, dadas las concertadas intervenciones intimidatorias de los convocados, ese mismo día, en diversos lugares. La propia brigada móvil de los Mossos (BRIMO) encontró fundados obstáculos para el desarrollo de su función. Ningún responsable de seguridad se comprometía a que los objetos incautados y la documentación intervenida durante el registro </w:t>
      </w:r>
      <w:r>
        <w:lastRenderedPageBreak/>
        <w:t>pudieran mantenerse en poder de los funcionarios que los custodiaban, si estos llegaran a abandonar la sede de la vicepresidencia con la multitud en la puerta utilizaran o no para ello el pasillo habilitado por los voluntarios de una de las asociaciones civiles convocantes. La letrada de la administración de justicia tuvo que salir del edificio de forma subrepticia, bajo indicaciones policiales, ante el riesgo serio que corría su integridad física y la de los funcionarios que practicaban el registro. Los ‘matan’, llegó a decir un responsable de seguridad. Tal era el ambiente coactivo en el que se desarrolló la diligencia judicial que cuando algunos agentes de los Mossos d’Esquadra fueron confundidos con practicantes del registro tuvieron que huir corriendo para refugiarse en un edificio próximo.</w:t>
      </w:r>
    </w:p>
    <w:p w:rsidR="005728DD" w:rsidRDefault="005728DD" w:rsidP="005728DD">
      <w:pPr>
        <w:pStyle w:val="TextoNormal"/>
      </w:pPr>
    </w:p>
    <w:p w:rsidR="005728DD" w:rsidRDefault="005728DD" w:rsidP="005728DD">
      <w:pPr>
        <w:pStyle w:val="TextoNormal"/>
      </w:pPr>
      <w:r>
        <w:t>La actuación de los convocados iba más allá del simple y legítimo ejercicio del derecho de reunión. La multitud, no solo se manifestaba, sino que cumplimentaba la expresiva llamada por parte del recurrente ‘en defensa de les nostres institucions’. Unas instituciones sobre las que, dicho sea de paso, ningún peligro se cernía, más allá del demoledor efecto que para su vigencia y desarrollo habría tenido, en su caso, la efectiva vigencia de las ilícitas leyes de transitoriedad y referéndum. Las manifestaciones objeto de la concurrencia pública, en modo alguno resultaban amparadas por el derecho a la libertad de expresión, en cuanto conllevaban un levantamiento con el objetivo de implementar una normativa antidemocrática y afectaban potencialmente y de forma mediata a la integridad territorial. (vid. decisión del Tribunal Europeo de Derechos Humanos de 28 de mayo de 2019</w:t>
      </w:r>
      <w:r w:rsidRPr="005728DD">
        <w:rPr>
          <w:i/>
        </w:rPr>
        <w:t>, Maria Carme Forcadell i Lluis y otros c. Espa</w:t>
      </w:r>
      <w:r>
        <w:t>ña, demanda núm. 75147-2017).</w:t>
      </w:r>
    </w:p>
    <w:p w:rsidR="005728DD" w:rsidRDefault="005728DD" w:rsidP="005728DD">
      <w:pPr>
        <w:pStyle w:val="TextoNormal"/>
      </w:pPr>
    </w:p>
    <w:p w:rsidR="005728DD" w:rsidRDefault="005728DD" w:rsidP="005728DD">
      <w:pPr>
        <w:pStyle w:val="TextoNormal"/>
      </w:pPr>
      <w:r>
        <w:t>También por la vía coactiva se procuró la realización del referéndum como desautorizado instrumento jurídico que obligaba, de forma automática, a la consecutiva proclamación de la república catalana. Y por más formal y simbólica que fuese, esa declaración asentaba un hito más en las vías de hecho hacia una independencia cuyo itinerario había sido diseñado por los autores o, al menos, asumido por estos.</w:t>
      </w:r>
    </w:p>
    <w:p w:rsidR="005728DD" w:rsidRDefault="005728DD" w:rsidP="005728DD">
      <w:pPr>
        <w:pStyle w:val="TextoNormal"/>
      </w:pPr>
    </w:p>
    <w:p w:rsidR="005728DD" w:rsidRDefault="005728DD" w:rsidP="005728DD">
      <w:pPr>
        <w:pStyle w:val="TextoNormal"/>
      </w:pPr>
      <w:r>
        <w:t>Cuando se afirma en defensa de la nulidad de nuestra sentencia el hecho de que se han condenado ideas, se prescinde de una realidad incontrovertida, a saber, que la independencia como aspiración política nunca ha sido objeto de procedimiento penal. No lo fue cuando, como cada anualidad, el 11 de septiembre se celebró la diada, con asistencia —según las fuentes que se consulten— de entre trescientas cincuenta mil y un millón de personas. Una reunión pacífica que incluía, entre otros lemas, la afirmación de que ‘votaremos, quieran o no quieran’, en directa alusión al deseo colectivo de ignorar la prohibición de la celebración del referéndum que tuvo lugar unos días después. Tampoco hubo persecución penal cuando, una y otra vez, se proclamaba la insumisión a los tribunales y gobiernos ‘[…] que solo quieren preservar la indivisible unidad de la patria’.</w:t>
      </w:r>
    </w:p>
    <w:p w:rsidR="005728DD" w:rsidRDefault="005728DD" w:rsidP="005728DD">
      <w:pPr>
        <w:pStyle w:val="TextoNormal"/>
      </w:pPr>
    </w:p>
    <w:p w:rsidR="005728DD" w:rsidRDefault="005728DD" w:rsidP="005728DD">
      <w:pPr>
        <w:pStyle w:val="TextoNormal"/>
      </w:pPr>
      <w:r>
        <w:t xml:space="preserve">En definitiva, la respuesta jurisdiccional a los hechos enjuiciados ha estado inspirada en la lógica observancia de nuestros principios constitucionales y de la propia doctrina del Tribunal Europeo de Derechos Humanos, manifestada en </w:t>
      </w:r>
      <w:r w:rsidRPr="005728DD">
        <w:rPr>
          <w:i/>
        </w:rPr>
        <w:t>Stankov y Organización Macedonia Unida Ilinden c. Bulgaria</w:t>
      </w:r>
      <w:r>
        <w:t xml:space="preserve">, de 2 de octubre de 2001, § 97, asuntos 29221-95 y 29225-95. Tampoco es posible proclamar que este proceso tuviera como fin un efecto disuasorio de la libertad de expresión. Conviene insistir en que los hechos por los que se ha dictado condena fueron, desde luego, algo más que una reunión de ciudadanos que con libertad expresan sus reivindicaciones ideológicas. No hemos criminalizado opiniones y protestas. Los hechos acaecidos los días 20 de septiembre y 1 de octubre buscaban implementar, en connivencia </w:t>
      </w:r>
      <w:r>
        <w:lastRenderedPageBreak/>
        <w:t>las autoridades autonómicas y los líderes asociativos que han resultado condenados, una normativa antidemocrática e inconstitucional. Un bloque jurídico —hay que insistir en ello— aprobado con desprecio de la mitad de las fuerzas políticas con representación en la Cámara, de los mandatos y advertencias del Tribunal Constitucional y de la Constitución y el Estatuto, norma rectora de la convivencia en el ámbito de la comunidad autónoma de Cataluña.</w:t>
      </w:r>
    </w:p>
    <w:p w:rsidR="005728DD" w:rsidRDefault="005728DD" w:rsidP="005728DD">
      <w:pPr>
        <w:pStyle w:val="TextoNormal"/>
      </w:pPr>
    </w:p>
    <w:p w:rsidR="005728DD" w:rsidRDefault="005728DD" w:rsidP="005728DD">
      <w:pPr>
        <w:pStyle w:val="TextoNormal"/>
      </w:pPr>
      <w:r>
        <w:t>De la ilicitud del referéndum es bien elocuente el hecho de que la presidencia de la Comisión de Venecia había comunicado, tras haberle sido notificada su celebración, que no puede presentarse como un referéndum democrático aquel que no se ajusta a la ley. Menos aún, si su finalidad es coactiva frente al Estado o su resultado se esgrime como una decisión suscrita por una sola parte de la población, relevante, pero solo de una parte que, por si fuera poco, está muy lejana a la mayoría. Una decisión, en fin, que incide sobre cuestiones como la integridad territorial, que es expresión del concepto mismo de soberanía nacional. En definitiva, la mera idea de votar, si el ejercicio de ese derecho se construye al margen de las previsiones legales, no resulta democráticamente amparable.</w:t>
      </w:r>
    </w:p>
    <w:p w:rsidR="005728DD" w:rsidRDefault="005728DD" w:rsidP="005728DD">
      <w:pPr>
        <w:pStyle w:val="TextoNormal"/>
      </w:pPr>
    </w:p>
    <w:p w:rsidR="005728DD" w:rsidRDefault="005728DD" w:rsidP="005728DD">
      <w:pPr>
        <w:pStyle w:val="TextoNormal"/>
      </w:pPr>
      <w:r>
        <w:t>El propio preámbulo del Convenio Europeo de Derecho Humanos, destaca la preeminencia del Derecho. Y la Unión Parlamentaria —organización mundial de parlamentos nacionales, integrada por 179 miembros—, en su Declaración Universal sobre la Democracia, realizada en El Cairo, precisó que la democracia está fundada en la primacía del Derecho y el ejercicio de los derechos fundamentales del hombre (cfr. punto 7). En un Estado democrático, todos los ciudadanos son iguales ante la ley y nadie está por encima de la ley.</w:t>
      </w:r>
    </w:p>
    <w:p w:rsidR="005728DD" w:rsidRDefault="005728DD" w:rsidP="005728DD">
      <w:pPr>
        <w:pStyle w:val="TextoNormal"/>
      </w:pPr>
    </w:p>
    <w:p w:rsidR="005728DD" w:rsidRDefault="005728DD" w:rsidP="005728DD">
      <w:pPr>
        <w:pStyle w:val="TextoNormal"/>
      </w:pPr>
      <w:r>
        <w:t>En conclusión, aunque se redujera la imputación a los levantamientos tumultuarios acaecidos los días 20 de septiembre y 1 de octubre, la aplicación coactiva de las leyes 19 y 20 de 2017, legítimamente suspendidas, en modo alguno podía estar amparada por el derecho de manifestación, sobre todo, tratándose de normas jurídicas aprobadas —insistimos— con desprecio de la legalidad democráticamente establecida y de una minoría parlamentaria que representaba a la mitad de los electores catalanes”.</w:t>
      </w:r>
    </w:p>
    <w:p w:rsidR="005728DD" w:rsidRDefault="005728DD" w:rsidP="005728DD">
      <w:pPr>
        <w:pStyle w:val="TextoNormal"/>
      </w:pPr>
    </w:p>
    <w:p w:rsidR="005728DD" w:rsidRDefault="005728DD" w:rsidP="005728DD">
      <w:pPr>
        <w:pStyle w:val="TextoNormal"/>
      </w:pPr>
      <w:r>
        <w:t>12.5.2.3</w:t>
      </w:r>
      <w:r w:rsidRPr="005728DD">
        <w:rPr>
          <w:i/>
        </w:rPr>
        <w:t>. Resolución de la que</w:t>
      </w:r>
      <w:r>
        <w:t>ja.</w:t>
      </w:r>
    </w:p>
    <w:p w:rsidR="005728DD" w:rsidRDefault="005728DD" w:rsidP="005728DD">
      <w:pPr>
        <w:pStyle w:val="TextoNormal"/>
      </w:pPr>
    </w:p>
    <w:p w:rsidR="005728DD" w:rsidRDefault="005728DD" w:rsidP="005728DD">
      <w:pPr>
        <w:pStyle w:val="TextoNormal"/>
      </w:pPr>
      <w:r>
        <w:t xml:space="preserve">a) El demandante persiste en la idea de que, al no haber sido acusados los ciudadanos que se alzaron, el órgano sentenciador ha estimado, implícitamente, que aquellos ejercieron legítimamente los derechos fundamentales antes mencionados. Este argumento ya se sustentó, en términos similares, en el planteamiento de la queja relativa al abandono selectivo del principio de la “accesoriedad limitada” en la participación. Y al resolver la referida queja, este tribunal consideró que esa circunstancia en absoluto autoriza a entender que aquellos ciudadanos hubieran actuado amparados por una causa de justificación pues, al no haber sido sometidos a un proceso penal, no cabe formular ninguna consideración de esta índole y, menos aún, en esta sede. Replanteada en lo sustancial esa pretensión, la respuesta que ahora ofrecemos coincide en lo esencial con la ya dada. Respecto de esos terceros no resulta procedente que este tribunal lleve a cabo valoración jurídico-penal alguna acerca del comportamiento de estos últimos, a fin de asumir o rechazar que se hallaban bajo la cobertura de la eximente que contempla el art. 20.7 CP, por obrar en ejercicio de los derechos fundamentales que se citan en la demanda. La sentencia recurrida no resuelve sobre este particular, ni siquiera implícitamente, por lo que este tribunal tampoco debe pronunciarse al </w:t>
      </w:r>
      <w:r>
        <w:lastRenderedPageBreak/>
        <w:t>respecto, no solo por imperativo del principio de subsidiariedad al que nos vemos sujetos, sino porque al no haber sido enjuiciados esos terceros, cualquier valoración que se formule sobre esa temática sería manifiestamente inapropiada.</w:t>
      </w:r>
    </w:p>
    <w:p w:rsidR="005728DD" w:rsidRDefault="005728DD" w:rsidP="005728DD">
      <w:pPr>
        <w:pStyle w:val="TextoNormal"/>
      </w:pPr>
    </w:p>
    <w:p w:rsidR="005728DD" w:rsidRDefault="005728DD" w:rsidP="005728DD">
      <w:pPr>
        <w:pStyle w:val="TextoNormal"/>
      </w:pPr>
      <w:r>
        <w:t>Sentado lo anterior, procede abordar otro aspecto de la queja, concretamente el denominado “efecto desalentador” que se atribuye a la desproporción en que, por su severidad, incurren las penas impuestas al demandante. En la STC 62/2019, de 7 de mayo, FJ 7 aparece recogida la doctrina sobre la incidencia en el ámbito penal del ejercicio de los derechos fundamentales, incluido el análisis del denominado “efecto desaliento”.</w:t>
      </w:r>
    </w:p>
    <w:p w:rsidR="005728DD" w:rsidRDefault="005728DD" w:rsidP="005728DD">
      <w:pPr>
        <w:pStyle w:val="TextoNormal"/>
      </w:pPr>
    </w:p>
    <w:p w:rsidR="005728DD" w:rsidRDefault="005728DD" w:rsidP="005728DD">
      <w:pPr>
        <w:pStyle w:val="TextoNormal"/>
      </w:pPr>
      <w:r>
        <w:t>Hemos señalado que “[e]ste tribunal ha tenido ocasión de pronunciarse sobre la vinculación de las conductas con relevancia penal en el contexto del ejercicio de los derechos fundamentales. Concretamente, en la STC 104/2011, de 20 de junio FJ 6, distinguimos los supuestos en que la conducta penal constituye un ejercicio regular del derecho fundamental, de aquellos otros en que se produce una extralimitación en su ejercicio. En relación con el primero de los supuestos, sostuvimos que: “Reiteradamente hemos afirmado que ‘los tipos penales no pueden interpretarse y aplicarse de forma contraria a los derechos fundamentales’ (SSTC 137/1997, de 21 de julio, FJ 2; 110/2000, de 5 de mayo, FJ 4; 297/2000, de 11 de diciembre, FJ 4; 299/2006, de 23 de octubre, FJ 6, o 108/2008, de 22 de septiembre, FJ 3). O desde el enfoque acogido, por ejemplo, en la STC 2/2001, de 15 de enero, FJ 2, o más recientemente en la STC 29/2009, de 26 de enero, FJ 3, que ‘los hechos probados no pueden ser a un mismo tiempo valorados como actos de ejercicio de un derecho fundamental y como conductas constitutivas de un delito’. Desde la perspectiva constitucional, entonces, la legitimidad de la intervención penal en los casos en que la aplicación de un tipo entra en colisión con el ejercicio de derechos fundamentales no viene determinada por los límites del ejercicio del derecho, sino por la delimitación de su contenido (según hemos señalado, por ejemplo, en las SSTC 137/1997, de 21 de julio, FJ 2; 110/2000, de 5 de mayo, FJ 4; o 185/2003, de 27 de octubre, FJ 5). De forma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 […])”.</w:t>
      </w:r>
    </w:p>
    <w:p w:rsidR="005728DD" w:rsidRDefault="005728DD" w:rsidP="005728DD">
      <w:pPr>
        <w:pStyle w:val="TextoNormal"/>
      </w:pPr>
    </w:p>
    <w:p w:rsidR="005728DD" w:rsidRDefault="005728DD" w:rsidP="005728DD">
      <w:pPr>
        <w:pStyle w:val="TextoNormal"/>
      </w:pPr>
      <w:r>
        <w:t>Respecto de la segunda situación enunciada, en el referido fundamento jurídico figura el siguiente argumento:</w:t>
      </w:r>
    </w:p>
    <w:p w:rsidR="005728DD" w:rsidRDefault="005728DD" w:rsidP="005728DD">
      <w:pPr>
        <w:pStyle w:val="TextoNormal"/>
      </w:pPr>
    </w:p>
    <w:p w:rsidR="005728DD" w:rsidRDefault="005728DD" w:rsidP="005728DD">
      <w:pPr>
        <w:pStyle w:val="TextoNormal"/>
      </w:pPr>
      <w:r>
        <w:t xml:space="preserve">«“Nuestra doctrina no se detiene en esta primera conclusión básica y previsible, aunque imprescindible, sino que cuestiona asimismo la aplicación de los tipos penales en aquellos supuestos en los que, pese a que puedan apreciarse excesos en el ejercicio del derecho fundamental, estos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w:t>
      </w:r>
      <w:r>
        <w:lastRenderedPageBreak/>
        <w:t>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solo dos terrenos, el de lo constitucionalmente protegido y el de lo punible, lo que no puede admitirse’. Así lo hemos declarado en la STC 110/2000, de 5 de mayo, respecto del ejercicio de las libertades de expresión e información [arts. 20.1 a) y d) CE], resolución en la que señalamos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(fundamento jurídico 5). O, en el mismo sentido, en un asunto relativo a la libertad sindical (art. 28.1 CE):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(STC 88/2003, de 19 de mayo, FJ 8 y las en ella citadas sobre el ‘efecto desaliento’)”.</w:t>
      </w:r>
    </w:p>
    <w:p w:rsidR="005728DD" w:rsidRDefault="005728DD" w:rsidP="005728DD">
      <w:pPr>
        <w:pStyle w:val="TextoNormal"/>
      </w:pPr>
    </w:p>
    <w:p w:rsidR="005728DD" w:rsidRDefault="005728DD" w:rsidP="005728DD">
      <w:pPr>
        <w:pStyle w:val="TextoNormal"/>
      </w:pPr>
      <w:r>
        <w:t>De la doctrina transcrita cabe extraer las siguientes consideraciones: i) cuando una conducta queda plenamente amparada por el ejercicio legítimo de un derecho fundamental no puede ser reputada antijurídica, aunque tal conducta sea subsumible en determinado tipo penal y ii) en supuestos de exceso o extralimitación en el ejercicio de un derecho fundamental puede llegar a plantearse la necesidad de ponderar si la sanción penal supone un sacrificio innecesario o desproporcionado del derecho o libertad del que se trate y, por ello, provoca un efecto desalentador».</w:t>
      </w:r>
    </w:p>
    <w:p w:rsidR="005728DD" w:rsidRDefault="005728DD" w:rsidP="005728DD">
      <w:pPr>
        <w:pStyle w:val="TextoNormal"/>
      </w:pPr>
    </w:p>
    <w:p w:rsidR="005728DD" w:rsidRDefault="005728DD" w:rsidP="005728DD">
      <w:pPr>
        <w:pStyle w:val="TextoNormal"/>
      </w:pPr>
      <w:r>
        <w:t>Con independencia de lo ya manifestado respecto de los derechos fundamentales de los ciudadanos que se movilizaron los días 20 de septiembre y 1 de octubre de 2017, debemos añadir que, en el contexto propio de un recurso de amparo que trae causa de un procedimiento penal seguido contra el demandante y otros acusados,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p>
    <w:p w:rsidR="005728DD" w:rsidRDefault="005728DD" w:rsidP="005728DD">
      <w:pPr>
        <w:pStyle w:val="TextoNormal"/>
      </w:pPr>
    </w:p>
    <w:p w:rsidR="005728DD" w:rsidRDefault="005728DD" w:rsidP="005728DD">
      <w:pPr>
        <w:pStyle w:val="TextoNormal"/>
      </w:pPr>
      <w:r>
        <w:t xml:space="preserve">Tampoco la queja resultaría de recibo, en el entendimiento de que son los derechos fundamentales del demandante los afectados por la sentencia, con motivo de su participación personal y directa en esos acontecimientos. En diferentes pasajes de las resoluciones impugnadas se ha puesto de relieve la intervención del recurrente en los hechos determinantes del delito de sedición por el que, a la postre, ha resultado condenado; siendo especialmente significativa su participación en los incidentes acaecidos el día 20 de septiembre de 2017 en las inmediaciones de la Consellería de Vicepresidencia, Economía y Hacienda, mediante el liderazgo que ejerció sobre los movilizados, a fin de impedir el normal desarrollo del registro acordado por la autoridad judicial, así como la promoción que llevó a cabo de la votación </w:t>
      </w:r>
      <w:r>
        <w:lastRenderedPageBreak/>
        <w:t>que tuvo lugar el día 1 de octubre del citado año, fruto todo ello de la estrategia urdida por los acusados. Por tanto, de conformidad con lo resuelto por el tribunal sentenciador, su condena no deriva del ejercicio o la promoción del ejercicio del derecho de reunión.</w:t>
      </w:r>
    </w:p>
    <w:p w:rsidR="005728DD" w:rsidRDefault="005728DD" w:rsidP="005728DD">
      <w:pPr>
        <w:pStyle w:val="TextoNormal"/>
      </w:pPr>
    </w:p>
    <w:p w:rsidR="005728DD" w:rsidRDefault="005728DD" w:rsidP="005728DD">
      <w:pPr>
        <w:pStyle w:val="TextoNormal"/>
      </w:pPr>
      <w:r>
        <w:t>En cuanto el ejercicio del derecho a la libertad ideológica, es cierto que la sentencia detalla que el demandante, al igual que otros acusados, actuó con una finalidad cuya naturaleza política es notoria; pero como se indica en diferentes apartados de la citada resolución, la ideología del recurrente no fue un factor determinante de su condena.</w:t>
      </w:r>
    </w:p>
    <w:p w:rsidR="005728DD" w:rsidRDefault="005728DD" w:rsidP="005728DD">
      <w:pPr>
        <w:pStyle w:val="TextoNormal"/>
      </w:pPr>
    </w:p>
    <w:p w:rsidR="005728DD" w:rsidRDefault="005728DD" w:rsidP="005728DD">
      <w:pPr>
        <w:pStyle w:val="TextoNormal"/>
      </w:pPr>
      <w:r>
        <w:t>En suma, según se detalla en la sentencia, el comportamiento del recurrente no consistió en el ejercicio de los derechos de reunión, expresión o manifestación. Como promotor de la sedición, alentó a los ciudadanos para que se movilizaran el día 20 de septiembre con la finalidad indicada; y el día señalado para el referéndum los convocó para que acudieran a votar, con la finalidad de activar la cláusula de automaticidad establecida en la ley de transitoriedad jurídica y fundacional de la república catalana para determinar la secesión; es decir, la sustitución del legítimo marco jurídico establecido por la Constitución y el Estatuto de Autonomía, por el diseñado en la citada ley de transitoriedad.</w:t>
      </w:r>
    </w:p>
    <w:p w:rsidR="005728DD" w:rsidRDefault="005728DD" w:rsidP="005728DD">
      <w:pPr>
        <w:pStyle w:val="TextoNormal"/>
      </w:pPr>
    </w:p>
    <w:p w:rsidR="005728DD" w:rsidRDefault="005728DD" w:rsidP="005728DD">
      <w:pPr>
        <w:pStyle w:val="TextoNormal"/>
      </w:pPr>
      <w:r>
        <w:t>En apoyo de la falta de proporcionalidad de las penas impuestas, también se esgrime que los organizadores de la convocatoria del día 1 de octubre propiciaron concentraciones masivas de personas para que votaran, pero no incitaron a ejercer la violencia; y no obstante ello, las penas que les han sido impuestas alcanzan una extraordinaria severidad, equiparables a las que se prevén para delitos graves contra la vida o la integridad física. En esencia, lo que el recurrente asevera es que el abierto reclamo de los ciudadanos para que participaran en la votación orquestada no fue más que una promoción del derecho de reunión, con la finalidad de llevar a cabo un acto de participación política que, en algunos casos, dio lugar a enfrentamientos con las fuerzas policiales, que no empecen el legítimo favorecimiento de ese derecho.</w:t>
      </w:r>
    </w:p>
    <w:p w:rsidR="005728DD" w:rsidRDefault="005728DD" w:rsidP="005728DD">
      <w:pPr>
        <w:pStyle w:val="TextoNormal"/>
      </w:pPr>
    </w:p>
    <w:p w:rsidR="005728DD" w:rsidRDefault="005728DD" w:rsidP="005728DD">
      <w:pPr>
        <w:pStyle w:val="TextoNormal"/>
      </w:pPr>
      <w:r>
        <w:t>Esta argumentación parte de una premisa que no se compadece con los fundamentos de su condena. Ciertamente, en la sentencia impugnada no se afirma que el recurrente exhortara a los ciudadanos que acudieron a votar a comportarse de manera violenta, de modo que la responsabilidad penal que se le atribuye tampoco dimana del hecho de haber inducido a los convocados a comportarse de modo agresivo.</w:t>
      </w:r>
    </w:p>
    <w:p w:rsidR="005728DD" w:rsidRDefault="005728DD" w:rsidP="005728DD">
      <w:pPr>
        <w:pStyle w:val="TextoNormal"/>
      </w:pPr>
    </w:p>
    <w:p w:rsidR="005728DD" w:rsidRDefault="005728DD" w:rsidP="005728DD">
      <w:pPr>
        <w:pStyle w:val="TextoNormal"/>
      </w:pPr>
      <w:r>
        <w:t xml:space="preserve">Para refutar esta queja, procede retomar la respuesta dada por el órgano judicial al pronunciarse sobre el ejercicio del derecho de reunión [apartado 17.5.2 del fundamento A) de la sentencia], lo que permite comprobar que la apreciada antijuridicidad del comportamiento del demandante y otros acusados no se basó en que fomentaran la exteriorización de una disidencia política o que promovieran protestas de carácter multitudinario. Por el contrario, para el órgano judicial la movilización de los ciudadanos tuvo por objeto implementar la estrategia previamente diseñada por los acusados, a fin de que aquellos llevaran a cabo una actividad que trasciende netamente del contorno del derecho de reunión concretamente, participar en la votación declarada ilegal por el Tribunal Constitucional y el Tribunal Superior de Justicia de Cataluña Por tanto, aun cuando los acusados no alentaran el acometimiento violento de los movilizados contra las fuerzas policiales, sin embargo, los enfrentamientos que se describen en el relato histórico de la sentencia recurrida han servido para configurar </w:t>
      </w:r>
      <w:r>
        <w:lastRenderedPageBreak/>
        <w:t>el delito de sedición que la referida resolución aprecia, al ser una consecuencia derivada del desarrollo de la estrategia a que se ha hecho mención.</w:t>
      </w:r>
    </w:p>
    <w:p w:rsidR="005728DD" w:rsidRDefault="005728DD" w:rsidP="005728DD">
      <w:pPr>
        <w:pStyle w:val="TextoNormal"/>
      </w:pPr>
    </w:p>
    <w:p w:rsidR="005728DD" w:rsidRDefault="005728DD" w:rsidP="005728DD">
      <w:pPr>
        <w:pStyle w:val="TextoNormal"/>
      </w:pPr>
      <w:r>
        <w:t>Si lo ya expuesto sirve para rechazar que la actuación del recurrente pudiera acogerse a la exención de responsabilidad penal que proclama el art. 20.7 CP, tampoco cabe apreciar el denominado “efecto desaliento”, bajo el alegato de que las penas impuestas desincentivan el ejercicio de esos derechos. La conducta del recurrente no constituye un mero exceso o extralimitación en el ejercicio de derechos fundamentales pues, como así se recoge en la sentencia, lo que aquel pretendía era neutralizar las decisiones adoptadas por este tribunal y los órganos judiciales sirviéndose de la movilización ciudadana para ese propósito. Por ello, tal conducta queda al margen del ejercicio de los mencionados derechos, de manera que no puede ampararse en un eventual “efecto desaliento” para tildar de desproporcionadas las penas impuestas.</w:t>
      </w:r>
    </w:p>
    <w:p w:rsidR="005728DD" w:rsidRDefault="005728DD" w:rsidP="005728DD">
      <w:pPr>
        <w:pStyle w:val="TextoNormal"/>
      </w:pPr>
    </w:p>
    <w:p w:rsidR="005728DD" w:rsidRDefault="005728DD" w:rsidP="005728DD">
      <w:pPr>
        <w:pStyle w:val="TextoNormal"/>
      </w:pPr>
      <w:r>
        <w:t>b) Al juicio favorable a la proporcionalidad de la sanción impuesta al recurrente no obsta que, en este caso, la conducta que se le imputa no se produjera en el ejercicio de un cargo público gubernamental o parlamentario. Como hemos reiterado, la sentencia relata en la declaración de hechos probados que la conducta del señor Sànchez formaba parte de una estrategia concertada, que incluía un reparto funcional de roles entre los miembros del Gobierno autonómico de Cataluña, la presidenta de su Parlamento y diversas organizaciones institucionales, culturales y ciudadanas, que mantenían un programa político común, en cuanto eran todas partidarias de la creación de un Estado catalán independiente en forma de república. En tal concierto cobraba especial relevancia la celebración de un referéndum vinculante que, en caso de obtener un resultado favorable justificaría la proclamación de Cataluña como un Estado independiente. Para alcanzar dicho objetivo era preciso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w:t>
      </w:r>
    </w:p>
    <w:p w:rsidR="005728DD" w:rsidRDefault="005728DD" w:rsidP="005728DD">
      <w:pPr>
        <w:pStyle w:val="TextoNormal"/>
      </w:pPr>
    </w:p>
    <w:p w:rsidR="005728DD" w:rsidRDefault="005728DD" w:rsidP="005728DD">
      <w:pPr>
        <w:pStyle w:val="TextoNormal"/>
      </w:pPr>
      <w:r>
        <w:t>Más específicamente, el recurrente —presidente de Asamblea Nacional Catalana— ha sido condenado al apreciar la Sala que, al igual que el presidente de Òmnium Cultural, pusieron esas organizaciones al servicio del propósito de hacer realidad dicho programa, que había sido previamente pactado con diversas fuerzas políticas que ya tenían representación parlamentaria autonómica. Se afirma también que la contribución movilizadora de ambas organizaciones ciudadanas resultó decisiva para los fines y la estrategia de consecución ideados que han sido descritos.</w:t>
      </w:r>
    </w:p>
    <w:p w:rsidR="005728DD" w:rsidRDefault="005728DD" w:rsidP="005728DD">
      <w:pPr>
        <w:pStyle w:val="TextoNormal"/>
      </w:pPr>
    </w:p>
    <w:p w:rsidR="005728DD" w:rsidRDefault="005728DD" w:rsidP="005728DD">
      <w:pPr>
        <w:pStyle w:val="TextoNormal"/>
      </w:pPr>
      <w:r>
        <w:t>Por tanto, en su conducta es sencillo disociar el mensaje de reivindicación y protesta que lo animaba, de la aceptación y promoción de los actos impeditivos que han sido penalmente sancionados. Es este último efecto generalizado en todo el territorio de Cataluña, e impeditivo del normal desarrollo de los medios de tutela del ordenamiento jurídico vulnerado, lo que ha dado lugar a la condena del recurrente, y no el mensaje reivindicativo de la independencia de Cataluña. Esa aspiración se manifiesta en la vida social y política catalana con plena normalidad. Desde el advenimiento de la democracia, tras la aprobación de la Constitución en 1978, no ha sufrido ni sufre merma alguna en su expresión y reivindicación, ni es el objeto de la condena penal que se cuestiona.</w:t>
      </w:r>
    </w:p>
    <w:p w:rsidR="005728DD" w:rsidRDefault="005728DD" w:rsidP="005728DD">
      <w:pPr>
        <w:pStyle w:val="TextoNormal"/>
      </w:pPr>
    </w:p>
    <w:p w:rsidR="005728DD" w:rsidRDefault="005728DD" w:rsidP="005728DD">
      <w:pPr>
        <w:pStyle w:val="TextoNormal"/>
      </w:pPr>
      <w:r>
        <w:t>En este punto, convenimos con la fundamentación expresada en la sentencia cuestionada [fundamento jurídico A), 17.5.2] cuando declara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w:t>
      </w:r>
    </w:p>
    <w:p w:rsidR="005728DD" w:rsidRDefault="005728DD" w:rsidP="005728DD">
      <w:pPr>
        <w:pStyle w:val="TextoNormal"/>
      </w:pPr>
    </w:p>
    <w:p w:rsidR="005728DD" w:rsidRDefault="005728DD" w:rsidP="005728DD">
      <w:pPr>
        <w:pStyle w:val="TextoNormal"/>
      </w:pPr>
      <w:r>
        <w:t>Pero hemos de reiterar que, atendiendo al juicio de autoría y tipicidad expresado en la sentencia de la Sala de lo Penal del Tribunal Supremo, el señor Sànchez ha sido condenado por movilizar a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 sido cautelarmente suspendida. Dicho de otro modo, se ha considerado que, con sus convocatorias públicas, promovió la oposición material a la ejecución policial de las decisiones del Tribunal Constitucional, o de otros tribunales, dirigidas a tutelar el ordenamiento jurídico vigente frente a las actuaciones encaminadas a desconocerlo o desbordarlo. Y es esa actuación, como ya hemos señalado en la STC 91/2021, la que ha justificado su condena y la que desborda con claridad los límites de lo que puede considerarse legítimo ejercicio del derecho de reunión para la exteriorización de la protesta o crítica por la actuación de los poderes públicos.</w:t>
      </w:r>
    </w:p>
    <w:p w:rsidR="005728DD" w:rsidRDefault="005728DD" w:rsidP="005728DD">
      <w:pPr>
        <w:pStyle w:val="TextoNormal"/>
      </w:pPr>
    </w:p>
    <w:p w:rsidR="005728DD" w:rsidRDefault="005728DD" w:rsidP="005728DD">
      <w:pPr>
        <w:pStyle w:val="TextoNormal"/>
      </w:pPr>
      <w:r>
        <w:t>La valoración de su llamamiento público a participar en el referéndum convocado por el Gobierno de la Generalitat para el día 1 de octubre de 2017 no puede dejar de lado su contenido (la pretendida independencia unilateralmente obtenida al margen de la Constitución y el Estatuto de Autonomía de Cataluña) ni tampoco la existencia de la prohibición expresa de su celebración, que derivaba de diversas resoluciones de este Tribunal Constitucional, que han sido antes enumeradas, y del mandato judicial expreso emitido por la Sala Penal del Tribunal Superior de Justicia de Cataluña, cuya efectividad trataba de impedir el recurrente.</w:t>
      </w:r>
    </w:p>
    <w:p w:rsidR="005728DD" w:rsidRDefault="005728DD" w:rsidP="005728DD">
      <w:pPr>
        <w:pStyle w:val="TextoNormal"/>
      </w:pPr>
    </w:p>
    <w:p w:rsidR="005728DD" w:rsidRDefault="005728DD" w:rsidP="005728DD">
      <w:pPr>
        <w:pStyle w:val="TextoNormal"/>
      </w:pPr>
      <w:r>
        <w:t>La necesidad en una sociedad democrática de proteger la efectividad de las resoluciones de los órganos judiciales y de este tribunal, como último garante de la Constitución, no puede ser razonadamente puesta en entredicho. No cabe ignorar que dicho referéndum, en el programa normativo del gobierno autonómico y la mayoría del Parlamento de Cataluña que lo apoyaba, era la llave que justificaba la proclamación unilateral de la independencia de su territorio. La objetiva gravedad de la pretensión de hacer efectivo un referéndum inconstitucional ha sido antes reseñada. Basta remitirse a los términos del enjuiciamiento constitucional de dicha pretensión que, antes de su convocatoria, había realizado este tribunal en reiteradas ocasiones para expresar su radical disconformidad con las bases de nuestra convivencia democrática (fundamento jurídico tercero de esta resolución).</w:t>
      </w:r>
    </w:p>
    <w:p w:rsidR="005728DD" w:rsidRDefault="005728DD" w:rsidP="005728DD">
      <w:pPr>
        <w:pStyle w:val="TextoNormal"/>
      </w:pPr>
    </w:p>
    <w:p w:rsidR="005728DD" w:rsidRDefault="005728DD" w:rsidP="005728DD">
      <w:pPr>
        <w:pStyle w:val="TextoNormal"/>
      </w:pPr>
      <w:r>
        <w:t xml:space="preserve">En conclusión, entendemos que, en términos absolutos, las penas asociadas al delito de sedición no incumplen los postulados establecidos por nuestra doctrina en materia de proporcionalidad. Tampoco presentan tal déficit las concretamente impuestas al recurrente. Con independencia del grado de eficacia o acierto técnico del legislador, aspectos que son </w:t>
      </w:r>
      <w:r>
        <w:lastRenderedPageBreak/>
        <w:t>ajenos al enjuiciamiento de este tribunal, no se constata que la regulación penal cuestionada comporte un desequilibrio manifiesto, excesivo o irrazonable entre el desvalor de la conducta penal y las sanciones a ella asociadas, de modo que la penalidad que cuestiona el recurrente produzca “un patente derroche inútil de coacción que convierte la norma en arbitraria y que socava los principios elementales de justicia inherentes a la dignidad de la persona y al Estado de Derecho” ( STC 136/1999, FJ 23). En atención a la gravedad de los intereses jurídicos tutelados en el caso presente a los que reiteradamente hemos hecho referencia, la conclusión expuesta es plenamente trasladable a las concretas penas impuestas al recurrente.</w:t>
      </w:r>
    </w:p>
    <w:p w:rsidR="005728DD" w:rsidRDefault="005728DD" w:rsidP="005728DD">
      <w:pPr>
        <w:pStyle w:val="TextoNormal"/>
      </w:pPr>
    </w:p>
    <w:p w:rsidR="005728DD" w:rsidRDefault="005728DD" w:rsidP="005728DD">
      <w:pPr>
        <w:pStyle w:val="TextoNormal"/>
      </w:pPr>
      <w:r>
        <w:t>Por todo lo razonado, se desestiman las quejas que aducen la vulneración del derecho a la legalidad penal reconocido por el art. 25 CE.</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Jordi Sànchez i Picanyol.</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dos de junio de dos mil veintiuno.</w:t>
      </w:r>
    </w:p>
    <w:p w:rsidR="005728DD" w:rsidRDefault="005728DD" w:rsidP="005728DD">
      <w:pPr>
        <w:pStyle w:val="ParrafoNormal"/>
      </w:pPr>
    </w:p>
    <w:p w:rsidR="005728DD" w:rsidRDefault="005728DD" w:rsidP="005728DD">
      <w:pPr>
        <w:pStyle w:val="TextoNormalNegritaCentrado"/>
        <w:keepNext/>
      </w:pPr>
      <w:r>
        <w:t>Voto particular que formulan el magistrado don Juan Antonio Xiol Ríos y la magistrada doña María Luisa Balaguer Callejón respecto de la sentencia pronunciada en el recurso de amparo avocado núm. 1406-2020</w:t>
      </w:r>
    </w:p>
    <w:p w:rsidR="005728DD" w:rsidRDefault="005728DD" w:rsidP="005728DD">
      <w:pPr>
        <w:pStyle w:val="TextoNormalNegritaCentrado"/>
        <w:keepNext/>
      </w:pPr>
    </w:p>
    <w:p w:rsidR="005728DD" w:rsidRDefault="005728DD" w:rsidP="005728DD">
      <w:pPr>
        <w:pStyle w:val="TextoNormal"/>
      </w:pPr>
      <w:r>
        <w:t>Con el máximo respeto a nuestros compañeros de Pleno, manifestamos nuestra discrepancia con parte de la fundamentación jurídica y con el fallo de la sentencia, que consideramos que debería haber sido estimatorio por vulneración del derecho de reunión (art. 21 CE), ya que se ha dado una severa respuesta penal frente al ejercicio —aunque fuera extralimitado— de este derecho fundamental generando un indeseado efecto desaliento sobre el mismo; o, en su caso, por vulneración del derecho a la legalidad sancionadora (art. 25.1 CE), en relación con los derechos a la libertad personal (art. 17.1 CE), a la libertad ideológica (art. 16 CE), y de reunión (art. 21 CE), ya que se ha impuesto una sanción desproporcionada penalmente.</w:t>
      </w:r>
    </w:p>
    <w:p w:rsidR="005728DD" w:rsidRDefault="005728DD" w:rsidP="005728DD">
      <w:pPr>
        <w:pStyle w:val="TextoNormal"/>
      </w:pPr>
    </w:p>
    <w:p w:rsidR="005728DD" w:rsidRDefault="005728DD" w:rsidP="005728DD">
      <w:pPr>
        <w:pStyle w:val="TextoNormal"/>
      </w:pPr>
      <w:r>
        <w:t xml:space="preserve">Al margen de nuestra discrepancia,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Se expresa con la intención de poner de manifiesto la posibilidad, técnica también, de formular un juicio distinto sobre la respuesta penal dispensada a los supuestos de ejercicio, aunque sea extralimitado, del derecho fundamental de reunión, más acorde con una interpretación evolucionada y concordante con la del Tribunal Europeo de Derechos Humanos de la evitación del efecto desaliento sobre los derechos fundamentales por el recurso a sanciones penales de muy alta gravedad frente a conductas que se desenvuelven dentro de su ámbito material de protección. E, igualmente, de formular un </w:t>
      </w:r>
      <w:r>
        <w:lastRenderedPageBreak/>
        <w:t>juicio distinto sobre la proporcionalidad de las penas impuestas, más acorde con una interpretación abierta del principio de legalidad y en sintonía con la que está presente en el ámbito de la cultura jurídica común de los países de la Unión Europea. Una visión de los derechos de reunión y a la legalidad sancionadora que encuentran su articulación óptima en la preservación del Estado de Derecho.</w:t>
      </w:r>
    </w:p>
    <w:p w:rsidR="005728DD" w:rsidRDefault="005728DD" w:rsidP="005728DD">
      <w:pPr>
        <w:pStyle w:val="TextoNormal"/>
      </w:pPr>
    </w:p>
    <w:p w:rsidR="005728DD" w:rsidRDefault="005728DD" w:rsidP="005728DD">
      <w:pPr>
        <w:pStyle w:val="TextoNormal"/>
      </w:pPr>
      <w:r>
        <w:t>1. Han sido muy diversos los derechos fundamentales invocados por el recurrente respecto del procedimiento penal desarrollado ante la Sala de lo Penal del Tribunal Supremo que ha culminado con su condena a nueve años de prisión y otros tantos de inhabilitación absoluta por la comisión de un delito de sedición.</w:t>
      </w:r>
    </w:p>
    <w:p w:rsidR="005728DD" w:rsidRDefault="005728DD" w:rsidP="005728DD">
      <w:pPr>
        <w:pStyle w:val="TextoNormal"/>
      </w:pPr>
    </w:p>
    <w:p w:rsidR="005728DD" w:rsidRDefault="005728DD" w:rsidP="005728DD">
      <w:pPr>
        <w:pStyle w:val="TextoNormal"/>
      </w:pPr>
      <w:r>
        <w:t>En sendos votos particulares que formulamos a las SSTC 91/2021, de 22 de abril, y 106/2021, de 11 de mayo, en relación con la condena de otros dos acusados en este mismo procedimiento, ya pusimos de manifiesto que nuestro principal desacuerdo con la posición mayoritaria en la que se sustentaban dichas resoluciones radicaba en lo que consideramos un análisis de constitucionalidad y una resolución final de la invocación del derecho a la legalidad sancionadora, especialmente en la proyección del principio de proporcionalidad penal a la cuantificación de la sanción impuesta por el órgano judicial sentenciador, alejado de la que entendemos una visión más flexible del principio de legalidad penal. Flexibilidad que, a su vez, vinculamos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005728DD" w:rsidRDefault="005728DD" w:rsidP="005728DD">
      <w:pPr>
        <w:pStyle w:val="TextoNormal"/>
      </w:pPr>
    </w:p>
    <w:p w:rsidR="005728DD" w:rsidRDefault="005728DD" w:rsidP="005728DD">
      <w:pPr>
        <w:pStyle w:val="TextoNormal"/>
      </w:pPr>
      <w:r>
        <w:t>Recordábamos que un análisis alternativo, que nosotros consideramos de mayor corrección constitucional y más respetuoso con el actual estándar en el derecho nacional y europeo de los derechos humanos, hubiera debido desembocar en sendas sentencias estimatorias. Incidíamos en que, sin negar la eventual relevancia penal de la conducta enjuiciada, hubiera debido acordarse en ambos casos la necesidad de una cuantificación de la pena acorde con el principio de proporcionalidad penal en atención a la gravedad de la conducta enjuiciada y a su vinculación con el contexto del ejercicio de derechos fundamentales sustantivos.</w:t>
      </w:r>
    </w:p>
    <w:p w:rsidR="005728DD" w:rsidRDefault="005728DD" w:rsidP="005728DD">
      <w:pPr>
        <w:pStyle w:val="TextoNormal"/>
      </w:pPr>
    </w:p>
    <w:p w:rsidR="005728DD" w:rsidRDefault="005728DD" w:rsidP="005728DD">
      <w:pPr>
        <w:pStyle w:val="TextoNormal"/>
      </w:pPr>
      <w:r>
        <w:t>En el presente caso, debemos remitirnos a los razonamientos expuestos en los citados votos particulares para insistir que también hubiera sido procedente estimar el presente recurso de amparo, al menos, por dicho motivo.</w:t>
      </w:r>
    </w:p>
    <w:p w:rsidR="005728DD" w:rsidRDefault="005728DD" w:rsidP="005728DD">
      <w:pPr>
        <w:pStyle w:val="TextoNormal"/>
      </w:pPr>
    </w:p>
    <w:p w:rsidR="005728DD" w:rsidRDefault="005728DD" w:rsidP="005728DD">
      <w:pPr>
        <w:pStyle w:val="TextoNormal"/>
      </w:pPr>
      <w:r>
        <w:t>2. En este recurso de amparo, además, concurren circunstancias singulares que, tal como también expusimos en la deliberación, abonaban la necesidad de establecer como causa principal de la estimación del recurso de amparo la vulneración del derecho de reunión (art. 21 CE) y no solo a la legalidad penal (art. 25.1 CE).</w:t>
      </w:r>
    </w:p>
    <w:p w:rsidR="005728DD" w:rsidRDefault="005728DD" w:rsidP="005728DD">
      <w:pPr>
        <w:pStyle w:val="TextoNormal"/>
      </w:pPr>
    </w:p>
    <w:p w:rsidR="005728DD" w:rsidRDefault="005728DD" w:rsidP="005728DD">
      <w:pPr>
        <w:pStyle w:val="TextoNormal"/>
      </w:pPr>
      <w:r>
        <w:t xml:space="preserve">La conducta de este recurrente, habida cuenta de su condición de presidente de una organización de la sociedad civil y de la concreta participación en los hechos por los que ha sido condenado, se desenvolvía dentro del ámbito material del derecho fundamental de reunión con mayor claridad que la de otros condenados. Por tanto, aun considerando que dicha conducta se extralimitara en el ejercicio legítimo de ese derecho fundamental, entendemos que recurrir al derecho penal y a la imposición de una pena privativa de libertad en la extensión que ha sido aplicada —nueve años de prisión y de inhabilitación absoluta— </w:t>
      </w:r>
      <w:r>
        <w:lastRenderedPageBreak/>
        <w:t>implica una respuesta indebida que provoca un efecto desaliento en el ejercicio de este derecho fundamental incompatible con su relevancia y posición institucional en una sociedad democrática plena y avanzada.</w:t>
      </w:r>
    </w:p>
    <w:p w:rsidR="005728DD" w:rsidRDefault="005728DD" w:rsidP="005728DD">
      <w:pPr>
        <w:pStyle w:val="TextoNormal"/>
      </w:pPr>
    </w:p>
    <w:p w:rsidR="005728DD" w:rsidRDefault="005728DD" w:rsidP="005728DD">
      <w:pPr>
        <w:pStyle w:val="TextoNormal"/>
      </w:pPr>
      <w:r>
        <w:t>El proceso argumental que nos ha llevado a defender esta conclusión durante la deliberación es, en parte, coincidente con el de la posición mayoritaria en la que se sustenta la sentencia. Compartimos con la posición mayoritaria el parámetro de control de constitucionalidad establecido para el análisis de la invocación del derecho de reunión y la amplitud con la que se valora el ámbito material de protección de este derecho fundamental. Esta argumentación es la que lleva a la posición mayoritaria a defender que la conducta del recurrente se desenvolvía dentro de dicho ámbito material. Sin embargo, disentimos con la posición mayoritaria respecto de las posibilidades de injerencia legítima en este derecho mediante el recurso al derecho penal, al sostener que en este caso una sanción penal de la gravedad de la impuesta es una injerencia legítima respetuosa con el derecho de reunión.</w:t>
      </w:r>
    </w:p>
    <w:p w:rsidR="005728DD" w:rsidRDefault="005728DD" w:rsidP="005728DD">
      <w:pPr>
        <w:pStyle w:val="TextoNormal"/>
      </w:pPr>
    </w:p>
    <w:p w:rsidR="005728DD" w:rsidRDefault="005728DD" w:rsidP="005728DD">
      <w:pPr>
        <w:pStyle w:val="TextoNormal"/>
      </w:pPr>
      <w:r>
        <w:t>A esos efectos, y para posibilitar la mayor claridad expositiva, aunque pueda resultar reiterativo con la posición expuesta por la mayoría, resulta adecuado abordar (i) el parámetro o estándar de constitucionalidad vinculado a la reacción penal frente al ejercicio de un derecho fundamental sustantivo; (ii) el análisis de los supuestos de injerencia legítima en el ejercicio del derecho de reunión y sus límites; para finalizar con (iii) la proyección y aplicación que consideramos hubiera sido más adecuada en este caso del derecho fundamental de reunión en respeto a su posición institucional en nuestro sistema constitucional —y de integración en el Consejo de Europa y la Unión Europea— de reconocimiento y protección de los derechos fundamentales.</w:t>
      </w:r>
    </w:p>
    <w:p w:rsidR="005728DD" w:rsidRDefault="005728DD" w:rsidP="005728DD">
      <w:pPr>
        <w:pStyle w:val="TextoNormal"/>
      </w:pPr>
    </w:p>
    <w:p w:rsidR="005728DD" w:rsidRDefault="005728DD" w:rsidP="005728DD">
      <w:pPr>
        <w:pStyle w:val="TextoNormal"/>
      </w:pPr>
      <w:r w:rsidRPr="005728DD">
        <w:rPr>
          <w:i/>
        </w:rPr>
        <w:t>I. Los problemas de constitucionalidad del uso de la sanción penal frente a conductas desarrolladas en el ámbito material del ejercicio de los derechos fundamentales</w:t>
      </w:r>
      <w:r>
        <w:t>.</w:t>
      </w:r>
    </w:p>
    <w:p w:rsidR="005728DD" w:rsidRDefault="005728DD" w:rsidP="005728DD">
      <w:pPr>
        <w:pStyle w:val="TextoNormal"/>
      </w:pPr>
    </w:p>
    <w:p w:rsidR="005728DD" w:rsidRDefault="005728DD" w:rsidP="005728DD">
      <w:pPr>
        <w:pStyle w:val="TextoNormal"/>
      </w:pPr>
      <w:r>
        <w:t>3. La posición mayoritaria en la que se sustenta la sentencia acepta que, de conformidad con la jurisprudencia constitucional y la del Tribunal Europeo de Derechos Humanos, el parámetro de constitucionalidad que debe aplicarse en aquellos casos en que se acude al sistema de justicia penal para sancionar conductas que se desenvuelven en el ámbito material del ejercicio de derechos fundamentales cuenta con tres secuencias de control:</w:t>
      </w:r>
    </w:p>
    <w:p w:rsidR="005728DD" w:rsidRDefault="005728DD" w:rsidP="005728DD">
      <w:pPr>
        <w:pStyle w:val="TextoNormal"/>
      </w:pPr>
    </w:p>
    <w:p w:rsidR="005728DD" w:rsidRDefault="005728DD" w:rsidP="005728DD">
      <w:pPr>
        <w:pStyle w:val="TextoNormal"/>
      </w:pPr>
      <w:r>
        <w:t>(i) La verificación de que la conducta objeto de sanción penal se desarrolla dentro del ámbito sobre el que se proyecta el derecho fundamental, lo que ya implicaría, por razón de la materia, la necesidad de ponderar la afectación del derecho fundamental concernido a partir de la respuesta penal.</w:t>
      </w:r>
    </w:p>
    <w:p w:rsidR="005728DD" w:rsidRDefault="005728DD" w:rsidP="005728DD">
      <w:pPr>
        <w:pStyle w:val="TextoNormal"/>
      </w:pPr>
    </w:p>
    <w:p w:rsidR="005728DD" w:rsidRDefault="005728DD" w:rsidP="005728DD">
      <w:pPr>
        <w:pStyle w:val="TextoNormal"/>
      </w:pPr>
      <w:r>
        <w:t xml:space="preserve">(ii) La comprobación de que la conducta penalmente sancionada, en atención al haz de garantías y posibilidades de actuación o resistencia que otorga el derecho fundamental concernido, se ha desarrollado plenamente dentro del ámbito constitucionalmente protegido por este derecho —esto es, representa un ejercicio legítimo del derecho—, lo que implicaría una inmunidad frente a cualquier actuación e injerencia del poder estatal, también la derivada de la potestad sancionatoria, a partir de la premisa de que una conducta no puede ser a un mismo tiempo valorada como un acto de ejercicio de un derecho fundamental y como constitutiva de un ilícito de cualquier naturaleza. En tal caso la reacción sancionatoria debe ser </w:t>
      </w:r>
      <w:r>
        <w:lastRenderedPageBreak/>
        <w:t>considerada una injerencia injustificada en el derecho fundamental sustantivo lesiva del mismo.</w:t>
      </w:r>
    </w:p>
    <w:p w:rsidR="005728DD" w:rsidRDefault="005728DD" w:rsidP="005728DD">
      <w:pPr>
        <w:pStyle w:val="TextoNormal"/>
      </w:pPr>
    </w:p>
    <w:p w:rsidR="005728DD" w:rsidRDefault="005728DD" w:rsidP="005728DD">
      <w:pPr>
        <w:pStyle w:val="TextoNormal"/>
      </w:pPr>
      <w:r>
        <w:t>(iii) La comprobación de que la sanción penal de la conducta —incluso cuando dicha conducta no pueda considerarse como legítimo ejercicio del derecho fundamental concernido por haberse sobrepasado sus límites de protección estricta— supone una injerencia en dicho derecho que, además de estar prevista expresamente como delito y perseguir un fin legítimo, resulta necesaria y proporcionada para la consecución de este fin legítimo en evitación del efecto desaliento que provocaría sobre el propio sujeto sancionada y la colectividad para el ejercicio del derecho fundamental. En tal caso la reacción penal deber ser considerada una injerencia desproporcionada en el derecho fundamental sustantivo lesiva del mismo.</w:t>
      </w:r>
    </w:p>
    <w:p w:rsidR="005728DD" w:rsidRDefault="005728DD" w:rsidP="005728DD">
      <w:pPr>
        <w:pStyle w:val="TextoNormal"/>
      </w:pPr>
    </w:p>
    <w:p w:rsidR="005728DD" w:rsidRDefault="005728DD" w:rsidP="005728DD">
      <w:pPr>
        <w:pStyle w:val="TextoNormal"/>
      </w:pPr>
      <w:r>
        <w:t>4. Ninguna objeción hay que realizar a esta posición de principio aceptada por la mayoría, que, por otra parte, viene a coincidir con la que ya mantuvimos en el voto particular que formulamos a la STC 192/2020, de 17 de diciembre, en un supuesto de sanción penal del ejercicio de la libertad de expresión.</w:t>
      </w:r>
    </w:p>
    <w:p w:rsidR="005728DD" w:rsidRDefault="005728DD" w:rsidP="005728DD">
      <w:pPr>
        <w:pStyle w:val="TextoNormal"/>
      </w:pPr>
    </w:p>
    <w:p w:rsidR="005728DD" w:rsidRDefault="005728DD" w:rsidP="005728DD">
      <w:pPr>
        <w:pStyle w:val="TextoNormal"/>
      </w:pPr>
      <w:r>
        <w:t>En aquel caso, como en el presente, nuestra discrepancia con la mayoría se fundamenta no tanto en la formulación general del parámetro de constitucionalidad aplicable en aquellos supuestos en que se acude al sistema de justicia penal para sancionar conductas que se desenvuelven en el contexto del ejercicio de derechos fundamentales como en el análisis de la amplitud del derecho fundamental concernido —en este caso, el derecho de reunión (art. 21 CE)— y, especialmente, las posibilidades de injerencia en este derecho mediante el recurso de la sanción penal a las conductas que se desenvuelven en conexión con su ámbito de protección y la valoración concretamente realizada sobre la legitimidad —justificación y proporcionalidad— de la injerencia en este derecho en forma de la sanción penal de nueve años de prisión impuesta al recurrente en el presente caso.</w:t>
      </w:r>
    </w:p>
    <w:p w:rsidR="005728DD" w:rsidRDefault="005728DD" w:rsidP="005728DD">
      <w:pPr>
        <w:pStyle w:val="TextoNormal"/>
      </w:pPr>
    </w:p>
    <w:p w:rsidR="005728DD" w:rsidRDefault="005728DD" w:rsidP="005728DD">
      <w:pPr>
        <w:pStyle w:val="TextoNormal"/>
      </w:pPr>
      <w:r w:rsidRPr="005728DD">
        <w:rPr>
          <w:i/>
        </w:rPr>
        <w:t>II. Las posibilidades de injerencia legítima —justificada y proporcional— mediante el recurso al sistema de justicia penal en el ejercicio del derecho de reunión</w:t>
      </w:r>
      <w:r>
        <w:t>.</w:t>
      </w:r>
    </w:p>
    <w:p w:rsidR="005728DD" w:rsidRDefault="005728DD" w:rsidP="005728DD">
      <w:pPr>
        <w:pStyle w:val="TextoNormal"/>
      </w:pPr>
    </w:p>
    <w:p w:rsidR="005728DD" w:rsidRDefault="005728DD" w:rsidP="005728DD">
      <w:pPr>
        <w:pStyle w:val="TextoNormal"/>
      </w:pPr>
      <w:r>
        <w:t>5. La posición mayoritaria en la que se sustenta la sentencia solo aborda el análisis de la eventual afectación al derecho de reunión del recurrente por la imposición de la sanción penal con ocasión del juicio de proporcionalidad penal como garantía del derecho a la legalidad sancionadora (art. 25.1 CE). Ello ha implicado que no se haya profundizado en determinados aspectos relevantes para el más correcto enjuiciamiento del caso desde la perspectiva del derecho de reunión, sobre los que ha incidido especialmente la jurisprudencia del Tribunal Europeo de Derechos Humanos, que ha desarrollado un amplio y casuístico tratamiento de los supuestos de injerencia en este derecho. A esos efectos, es preciso destacar determinadas ideas tanto en relación con el propio ámbito material de protección de este derecho como, especialmente, respecto de la legitimidad de su injerencia mediante el recurso al sistema de justicia penal.</w:t>
      </w:r>
    </w:p>
    <w:p w:rsidR="005728DD" w:rsidRDefault="005728DD" w:rsidP="005728DD">
      <w:pPr>
        <w:pStyle w:val="TextoNormal"/>
      </w:pPr>
    </w:p>
    <w:p w:rsidR="005728DD" w:rsidRDefault="005728DD" w:rsidP="005728DD">
      <w:pPr>
        <w:pStyle w:val="TextoNormal"/>
      </w:pPr>
      <w:r>
        <w:t xml:space="preserve">6. El ámbito material de protección del derecho de reunión se extiende a cualquier tipo de reuniones o manifestaciones pacíficas, en el sentido de que los organizadores y los participantes no tengan intenciones violentas, inciten a la violencia o impliquen la negación de los fundamentos de una sociedad democrática (así, SSTEDH de 24 de julio de 2012, caso </w:t>
      </w:r>
      <w:r w:rsidRPr="005728DD">
        <w:rPr>
          <w:i/>
        </w:rPr>
        <w:lastRenderedPageBreak/>
        <w:t>Fáber c. Hungría</w:t>
      </w:r>
      <w:r>
        <w:t xml:space="preserve">, § 37; de 15 de octubre de 2015, caso </w:t>
      </w:r>
      <w:r w:rsidRPr="005728DD">
        <w:rPr>
          <w:i/>
        </w:rPr>
        <w:t>Kudrevičius y otros c. Lituania</w:t>
      </w:r>
      <w:r>
        <w:t xml:space="preserve">, § 92; de 25 de julio de 2017, caso </w:t>
      </w:r>
      <w:r w:rsidRPr="005728DD">
        <w:rPr>
          <w:i/>
        </w:rPr>
        <w:t>Annenkov y otros c. Rusia</w:t>
      </w:r>
      <w:r>
        <w:t>, § 122, o de 15 de noviembre de 2018, cas</w:t>
      </w:r>
      <w:r w:rsidRPr="005728DD">
        <w:rPr>
          <w:i/>
        </w:rPr>
        <w:t>o Navalnyy c. Rus</w:t>
      </w:r>
      <w:r>
        <w:t>ia, § 98).</w:t>
      </w:r>
    </w:p>
    <w:p w:rsidR="005728DD" w:rsidRDefault="005728DD" w:rsidP="005728DD">
      <w:pPr>
        <w:pStyle w:val="TextoNormal"/>
      </w:pPr>
    </w:p>
    <w:p w:rsidR="005728DD" w:rsidRDefault="005728DD" w:rsidP="005728DD">
      <w:pPr>
        <w:pStyle w:val="TextoNormal"/>
      </w:pPr>
      <w:r>
        <w:t xml:space="preserve">El Tribunal Europeo de Derechos Humanos ha hecho especial incidencia en que lo relevante para que la reunión se desenvuelva dentro del ámbito material de protección de este derecho no es tanto que se hayan producido actos de violencia en el contexto de la reunión o manifestación, sino que, incluso tratándose de manifestaciones prohibidas, no quede acreditada una intención violenta en sus convocantes o participantes. Así, se establece que una persona no deja de disfrutar del derecho de reunión pacífica como resultado de violencia esporádica u otros actos punibles cometidos por otros en el curso de la manifestación si la persona en cuestión permanece pacífica en sus propias intenciones o comportamiento (SSTEDH de 12 de junio de 2014, caso </w:t>
      </w:r>
      <w:r w:rsidRPr="005728DD">
        <w:rPr>
          <w:i/>
        </w:rPr>
        <w:t>Primov y otros c. Rusia</w:t>
      </w:r>
      <w:r>
        <w:t xml:space="preserve">, § 155; de 15 de octubre de 2015, caso </w:t>
      </w:r>
      <w:r w:rsidRPr="005728DD">
        <w:rPr>
          <w:i/>
        </w:rPr>
        <w:t>Kudrevičius y otros c. Lituania</w:t>
      </w:r>
      <w:r>
        <w:t xml:space="preserve">, § 94; de 25 de julio de 2017, caso </w:t>
      </w:r>
      <w:r w:rsidRPr="005728DD">
        <w:rPr>
          <w:i/>
        </w:rPr>
        <w:t>Annenkov y otros c. Rusia</w:t>
      </w:r>
      <w:r>
        <w:t xml:space="preserve">, § 124; o de 6 de octubre de 2020, caso </w:t>
      </w:r>
      <w:r w:rsidRPr="005728DD">
        <w:rPr>
          <w:i/>
        </w:rPr>
        <w:t>Laguna Guzmán c. España</w:t>
      </w:r>
      <w:r>
        <w:t xml:space="preserve">, § 35). Igualmente, que, incluso si existe un riesgo real de que una manifestación pública sea la causa de disturbios debido a eventos fuera del control de los organizadores, esta manifestación, por esta sola razón, no queda fuera de la protección del este derecho, siendo exigible que cualquier restricción impuesta cumpla las exigencias de la legitimidad de la limitación del derecho (así, STEDH de 18 de junio de 2013, caso </w:t>
      </w:r>
      <w:r w:rsidRPr="005728DD">
        <w:rPr>
          <w:i/>
        </w:rPr>
        <w:t>Gün y otros c. Turquía</w:t>
      </w:r>
      <w:r>
        <w:t xml:space="preserve">, § 51; de 15 de mayo de 2014, caso </w:t>
      </w:r>
      <w:r w:rsidRPr="005728DD">
        <w:rPr>
          <w:i/>
        </w:rPr>
        <w:t>Taranenko c. Rusia</w:t>
      </w:r>
      <w:r>
        <w:t xml:space="preserve">, § 66; o de 15 de octubre de 2015, caso </w:t>
      </w:r>
      <w:r w:rsidRPr="005728DD">
        <w:rPr>
          <w:i/>
        </w:rPr>
        <w:t>Kudrevičius y otros c. Lituania</w:t>
      </w:r>
      <w:r>
        <w:t>, § 94).</w:t>
      </w:r>
    </w:p>
    <w:p w:rsidR="005728DD" w:rsidRDefault="005728DD" w:rsidP="005728DD">
      <w:pPr>
        <w:pStyle w:val="TextoNormal"/>
      </w:pPr>
    </w:p>
    <w:p w:rsidR="005728DD" w:rsidRDefault="005728DD" w:rsidP="005728DD">
      <w:pPr>
        <w:pStyle w:val="TextoNormal"/>
      </w:pPr>
      <w:r>
        <w:t xml:space="preserve">Por lo que se refiere al contenido y objeto de la reunión o manifestación, el Tribunal Europeo de Derechos Humanos ha establecido que queda protegido por el derecho de reunión pacífica cualquier manifestación que puede molestar u ofender a personas que se oponen a las ideas que se pretenden promover por muy chocantes e inaceptables que puedan parecer a las autoridades determinadas opiniones (STEDH de 15 de octubre de 2015, caso </w:t>
      </w:r>
      <w:r w:rsidRPr="005728DD">
        <w:rPr>
          <w:i/>
        </w:rPr>
        <w:t>Kudrevičius y otros c. Lituania</w:t>
      </w:r>
      <w:r>
        <w:t xml:space="preserve">, § 145). Ese ámbito de protección se extiende también a los casos en que el objeto de la reunión o manifestación implique la promoción de cambios constitucionales radicales, incluyendo reivindicaciones independentistas de una parte del territorio (así, decisión del Tribunal Europeo de Derechos Humanos de 7 de mayo de 2019, caso </w:t>
      </w:r>
      <w:r w:rsidRPr="005728DD">
        <w:rPr>
          <w:i/>
        </w:rPr>
        <w:t>Forcadell i Lluis y otros c. España</w:t>
      </w:r>
      <w:r>
        <w:t xml:space="preserve">, en relación con la STEDH de 30 de junio de 2009, caso </w:t>
      </w:r>
      <w:r w:rsidRPr="005728DD">
        <w:rPr>
          <w:i/>
        </w:rPr>
        <w:t>Herri Batasuna y Batasuna c. España</w:t>
      </w:r>
      <w:r>
        <w:t xml:space="preserve">, § 79). Sin embargo, no quedan protegidas por el ámbito material de este derecho la promoción, aunque sea de forma no violenta, de ideas contrarias a los principios materiales de una sociedad democrática como pueden ser, por ejemplo, posiciones antisemitas (así, decisión del Tribunal Europeo de Derechos Humanos de 12 de junio de 2012, caso </w:t>
      </w:r>
      <w:r w:rsidRPr="005728DD">
        <w:rPr>
          <w:i/>
        </w:rPr>
        <w:t>Partido de la Liberación y otros c. Alemania</w:t>
      </w:r>
      <w:r>
        <w:t>).</w:t>
      </w:r>
    </w:p>
    <w:p w:rsidR="005728DD" w:rsidRDefault="005728DD" w:rsidP="005728DD">
      <w:pPr>
        <w:pStyle w:val="TextoNormal"/>
      </w:pPr>
    </w:p>
    <w:p w:rsidR="005728DD" w:rsidRDefault="005728DD" w:rsidP="005728DD">
      <w:pPr>
        <w:pStyle w:val="TextoNormal"/>
      </w:pPr>
      <w:r>
        <w:t xml:space="preserve">Por otra parte, la jurisprudencia del Tribunal Europeo de Derechos Humanos también ha destacado que el mero hecho de que pueda existir en los convocantes o participantes una intención o conducta penalmente ilícita, siempre que no resulte violenta, tampoco es suficiente para excluir el ámbito de aplicación de este derecho fundamental. Así, por ejemplo, en la STEDH de 15 de mayo de 2014, caso </w:t>
      </w:r>
      <w:r w:rsidRPr="005728DD">
        <w:rPr>
          <w:i/>
        </w:rPr>
        <w:t>Taranenko c. Rusia</w:t>
      </w:r>
      <w:r>
        <w:t xml:space="preserve">, no hubo ninguna objeción por razón de la materia para considerar concernido el derecho de reunión pacífica —e incluso para concluir que fue lesionado— un supuesto de ocupación por manifestantes de la zona de recepción de un edificio público, en las que provocaron daños, exigiendo una reunión con los responsables de la administración pública y denunciando el incumplimiento </w:t>
      </w:r>
      <w:r>
        <w:lastRenderedPageBreak/>
        <w:t xml:space="preserve">de la Constitución; como tampoco en la STEDH de 25 de julio de 2017, caso </w:t>
      </w:r>
      <w:r w:rsidRPr="005728DD">
        <w:rPr>
          <w:i/>
        </w:rPr>
        <w:t>Annenkov y otros c. Rusia</w:t>
      </w:r>
      <w:r>
        <w:t xml:space="preserve">, referido a la ocupación permanente de un inmueble de propiedad privada en protesta por su cesión a una empresa privada y hasta que se aclararan los aspectos relativos a la legalidad de su demolición; o en la STEDH de 9 de abril de 2002, caso </w:t>
      </w:r>
      <w:r w:rsidRPr="005728DD">
        <w:rPr>
          <w:i/>
        </w:rPr>
        <w:t>Cisse c. Francia</w:t>
      </w:r>
      <w:r>
        <w:t xml:space="preserve">, ante la ocupación durante casi dos meses de una iglesia católica. Lo mismo sucedió en el caso de la STEDH de 15 de octubre de 2015, caso </w:t>
      </w:r>
      <w:r w:rsidRPr="005728DD">
        <w:rPr>
          <w:i/>
        </w:rPr>
        <w:t>Kudrevičius y otros c. Lituania</w:t>
      </w:r>
      <w:r>
        <w:t>, referido al mantenimiento del bloqueo al tráfico rodado de una vía pública durante tres días.</w:t>
      </w:r>
    </w:p>
    <w:p w:rsidR="005728DD" w:rsidRDefault="005728DD" w:rsidP="005728DD">
      <w:pPr>
        <w:pStyle w:val="TextoNormal"/>
      </w:pPr>
    </w:p>
    <w:p w:rsidR="005728DD" w:rsidRDefault="005728DD" w:rsidP="005728DD">
      <w:pPr>
        <w:pStyle w:val="TextoNormal"/>
      </w:pPr>
      <w:r>
        <w:t xml:space="preserve">Del mismo modo, el Tribunal Europeo de Derechos Humanos tampoco ha excluido por razón de la materia la aplicación del parámetro de control relativo al derecho de reunión pacífica de aquellos supuestos en los que las manifestaciones se desarrollan en protesta, oposición o contradicción con resoluciones de las autoridades estatales. Así, por ejemplo, el Tribunal Europeo de Derechos Humanos no excluyó que se tratara de una reunión pacífica el llamamiento de un candidato presidencial a sus seguidores para que se concentraran contra las irregularidades que supuestamente habían ocurrido en el proceso electoral, anunciando que las elecciones no habían sido libres ni justas, a pesar de que la comisión electoral había ratificado el resultado de las elecciones, provocando con ellos la celebración de reuniones públicas masivas de protesta diarias en muchas ciudades del país, algunas con ocupaciones continuadas durante días de espacios públicos, teniendo una activa participación con la emisión de discursos dos o tres veces diarias a los congregados en la que pedía regularmente que continuaran las protestas masivas. Todo ello culminó con la dispersión por la fuerza pública de los manifestantes que se mantuvieron en situación de reuniones masivas en otros lugares de la ciudad produciéndose enfrentamientos entre manifestantes y agentes del orden con el resultado de diez muertos y numerosos heridos (STEDH de 25 de abril de 2019, caso </w:t>
      </w:r>
      <w:r w:rsidRPr="005728DD">
        <w:rPr>
          <w:i/>
        </w:rPr>
        <w:t>Ter-Petrosyan c. Armenia</w:t>
      </w:r>
      <w:r>
        <w:t xml:space="preserve">, § 8 a 25 y 53). También puede citarse el supuesto de celebración de una reunión, cuyo objetivo era denunciar y condenar la conducta de malversación de fondos públicos, que había sido prohibida porque las autoridades policiales, de la fiscalía y de control contable ya habían investigado esas acusaciones y habían llegado a la conclusión de que no tenían fundamento (STEDH de 12 de junio de 2014, caso </w:t>
      </w:r>
      <w:r w:rsidRPr="005728DD">
        <w:rPr>
          <w:i/>
        </w:rPr>
        <w:t>Primov y otros c. Rusia</w:t>
      </w:r>
      <w:r>
        <w:t>, § 7) o la negativa a disolver una reunión tras recibir un requerimiento expreso de la autoridad competente, haciendo un llamamiento a mantener la concentración (STEDH de 5 de enero de 2016, cas</w:t>
      </w:r>
      <w:r w:rsidRPr="005728DD">
        <w:rPr>
          <w:i/>
        </w:rPr>
        <w:t>o Frumkin c. Rus</w:t>
      </w:r>
      <w:r>
        <w:t>ia).</w:t>
      </w:r>
    </w:p>
    <w:p w:rsidR="005728DD" w:rsidRDefault="005728DD" w:rsidP="005728DD">
      <w:pPr>
        <w:pStyle w:val="TextoNormal"/>
      </w:pPr>
    </w:p>
    <w:p w:rsidR="005728DD" w:rsidRDefault="005728DD" w:rsidP="005728DD">
      <w:pPr>
        <w:pStyle w:val="TextoNormal"/>
      </w:pPr>
      <w:r>
        <w:t xml:space="preserve">Otros casos relevantes en que tampoco se niega que quedan dentro del ámbito material de protección del derecho de reunión pacífica a pesar de ser en oposición a resoluciones de cortes constitucionales, son (i) el resuelto en la STEDH de 11 de octubre de 2018, caso </w:t>
      </w:r>
      <w:r w:rsidRPr="005728DD">
        <w:rPr>
          <w:i/>
        </w:rPr>
        <w:t>Tuskia y otros c. Georgia</w:t>
      </w:r>
      <w:r>
        <w:t xml:space="preserve">, en que diversos manifestantes, incluyendo algunos miembros del gran consejo académico de una universidad, que había desaparecido en virtud de una norma estatal cuya constitucionalidad había sido confirmada por el Tribunal Constitucional, afirmaron mantener sus competencias, en desacato del mismo, nombrando un nuevo rector de la universidad, ocupando determinadas dependencias de la universidad e invadiendo el despacho del rector nombrado por la nueva norma estatal exigiéndole su dimisión; y (ii) el resuelto en la decisión del Tribunal Europeo de Derechos Humanos de 7 de mayo de 2019, caso </w:t>
      </w:r>
      <w:r w:rsidRPr="005728DD">
        <w:rPr>
          <w:i/>
        </w:rPr>
        <w:t>Forcadell i Lluis y otros c. España</w:t>
      </w:r>
      <w:r>
        <w:t>, en que tampoco se objetó la posibilidad de analizar bajo la invocación del derecho de reunión la suspensión de una sesión parlamentaria en aplicación de una resolución de este Tribunal Constitucional.</w:t>
      </w:r>
    </w:p>
    <w:p w:rsidR="005728DD" w:rsidRDefault="005728DD" w:rsidP="005728DD">
      <w:pPr>
        <w:pStyle w:val="TextoNormal"/>
      </w:pPr>
    </w:p>
    <w:p w:rsidR="005728DD" w:rsidRDefault="005728DD" w:rsidP="005728DD">
      <w:pPr>
        <w:pStyle w:val="TextoNormal"/>
      </w:pPr>
      <w:r>
        <w:lastRenderedPageBreak/>
        <w:t>En conclusión, a nuestro juicio, habría sido necesario, con fundamento en el art. 10.2 CE, en relación con la jurisprudencia del Tribunal Europeo de Derechos Humanos, que se hubiera concretado, dentro del parámetro de control de constitucionalidad relativo al derecho de reunión, de manera más precisa y matizada lo siguiente:</w:t>
      </w:r>
    </w:p>
    <w:p w:rsidR="005728DD" w:rsidRDefault="005728DD" w:rsidP="005728DD">
      <w:pPr>
        <w:pStyle w:val="TextoNormal"/>
      </w:pPr>
    </w:p>
    <w:p w:rsidR="005728DD" w:rsidRDefault="005728DD" w:rsidP="005728DD">
      <w:pPr>
        <w:pStyle w:val="TextoNormal"/>
      </w:pPr>
      <w:r>
        <w:t>(i) El ámbito de protección material de este derecho alcanza a toda reunión o manifestación pacífica, entendiendo por tal aquella que, con independencia de la radicalidad del mensaje y de las reivindicaciones sostenidas, los organizadores y los participantes no tengan intenciones violentas, ni inciten a la violencia o impliquen la negación de los fundamentos de una sociedad democrática.</w:t>
      </w:r>
    </w:p>
    <w:p w:rsidR="005728DD" w:rsidRDefault="005728DD" w:rsidP="005728DD">
      <w:pPr>
        <w:pStyle w:val="TextoNormal"/>
      </w:pPr>
    </w:p>
    <w:p w:rsidR="005728DD" w:rsidRDefault="005728DD" w:rsidP="005728DD">
      <w:pPr>
        <w:pStyle w:val="TextoNormal"/>
      </w:pPr>
      <w:r>
        <w:t>(ii) El carácter pacífico de una reunión o manifestación no queda negado (a) por la circunstancia de que se hayan producido actos de violencia en su contexto, incluso si existía un riesgo real de que por la naturaleza de la situación pudieran causarse disturbios, si la persona en cuestión permanece pacífica en sus propias intenciones o comportamiento, (b) ni por el mero hecho de que pudiera existir en los convocantes o participantes una intención o conducta penalmente ilícita, siempre que no resulte violenta —ocupaciones, pequeños daños, obstrucción de la circulación, etc.— (c) ni que se desarrollen en protesta, oposición o contradicción con resoluciones de las autoridades competentes, incluyendo reuniones expresamente prohibidas.</w:t>
      </w:r>
    </w:p>
    <w:p w:rsidR="005728DD" w:rsidRDefault="005728DD" w:rsidP="005728DD">
      <w:pPr>
        <w:pStyle w:val="TextoNormal"/>
      </w:pPr>
    </w:p>
    <w:p w:rsidR="005728DD" w:rsidRDefault="005728DD" w:rsidP="005728DD">
      <w:pPr>
        <w:pStyle w:val="TextoNormal"/>
      </w:pPr>
      <w:r>
        <w:t>7. La circunstancia de que una determinada conducta o acto quede dentro del ámbito material del derecho de reunión no implica, lógicamente, que cualquier restricción o injerencia quede constitucionalmente prohibida. No obstante, las eventuales restricciones o injerencias de que sea objeto quedan sometidas a los estrictos requisitos que legitiman este tipo de limitaciones: previsión normativa, persecución de un fin legítimo, necesidad y proporcionalidad.</w:t>
      </w:r>
    </w:p>
    <w:p w:rsidR="005728DD" w:rsidRDefault="005728DD" w:rsidP="005728DD">
      <w:pPr>
        <w:pStyle w:val="TextoNormal"/>
      </w:pPr>
    </w:p>
    <w:p w:rsidR="005728DD" w:rsidRDefault="005728DD" w:rsidP="005728DD">
      <w:pPr>
        <w:pStyle w:val="TextoNormal"/>
      </w:pPr>
      <w:r>
        <w:t>Las injerencias o restricciones que plantean mayores problemas son, precisamente, las que consisten en la represión penal de las conductas que se desenvuelven en el ámbito material del derecho de reunión. Estas injerencias, en principio, no suelen plantear problemas desde la perspectiva de su previsión normativa —protegida además por el derecho a la legalidad sancionadora— ni la persecución de un fin legítimo —normalmente vinculado a la protección del orden público o de los intereses o valores constitucionalmente tutelados por el tipo penal correspondiente—. Sin embargo, deben ser objeto de un muy especial e intenso escrutinio desde la perspectiva de su necesidad y proporcionalidad por suponer la más grave injerencia en el derecho de reunión en atención a la radicalidad de la respuesta estatal que afecta a otros derechos fundamentales sustantivos —los que son objeto de privación como consecuencia de la pena— y por su especial intensidad sobre el propio derecho de reunión por el devastador efecto desaliento y desincentivador que tiene tanto sobre el sujeto sancionado como sobre la colectividad en el ejercicio de una libertad pública sin la que no puede entenderse el concepto mismo de democracia constitucional. Ese escrutinio debe ser más estricto cuanto más severa en lo cualitativo y en lo cuantitativo es la respuesta sancionadora estatal.</w:t>
      </w:r>
    </w:p>
    <w:p w:rsidR="005728DD" w:rsidRDefault="005728DD" w:rsidP="005728DD">
      <w:pPr>
        <w:pStyle w:val="TextoNormal"/>
      </w:pPr>
    </w:p>
    <w:p w:rsidR="005728DD" w:rsidRDefault="005728DD" w:rsidP="005728DD">
      <w:pPr>
        <w:pStyle w:val="TextoNormal"/>
      </w:pPr>
      <w:r>
        <w:t xml:space="preserve">La jurisprudencia del Tribunal Europeo de Derechos Humanos se desarrolla en este contexto de pensamiento, al establecer de manera reiterada que dentro del término restricciones o injerencias aplicables al derecho de reunión pacífica están las medidas punitivas adoptadas </w:t>
      </w:r>
      <w:r>
        <w:lastRenderedPageBreak/>
        <w:t xml:space="preserve">como consecuencia del desarrollo de la reunión siempre que (i) exista un vínculo claro y reconocido entre el ejercicio de ese derecho y la sanción impuesta (así, SSTEDH de 4 de diciembre de 2014, caso </w:t>
      </w:r>
      <w:r w:rsidRPr="005728DD">
        <w:rPr>
          <w:i/>
        </w:rPr>
        <w:t>Navalnyy y Yashin c. Rusia</w:t>
      </w:r>
      <w:r>
        <w:t xml:space="preserve">, § 52, o de 14 de enero de 2020, caso </w:t>
      </w:r>
      <w:r w:rsidRPr="005728DD">
        <w:rPr>
          <w:i/>
        </w:rPr>
        <w:t>Varoğlu Atik y otros c. Turquía</w:t>
      </w:r>
      <w:r>
        <w:t xml:space="preserve">, § 29), que se extiende incluso a los casos de absolución derivado del mero hecho de la existencia de un procesamiento penal (SSTEDH de 29 de noviembre de 2007, caso </w:t>
      </w:r>
      <w:r w:rsidRPr="005728DD">
        <w:rPr>
          <w:i/>
        </w:rPr>
        <w:t>Balçık y otros c. Turquía</w:t>
      </w:r>
      <w:r>
        <w:t xml:space="preserve">, § 41, o de 18 de diciembre de 2007, caso </w:t>
      </w:r>
      <w:r w:rsidRPr="005728DD">
        <w:rPr>
          <w:i/>
        </w:rPr>
        <w:t>Nurettin Aldemir y otros c. Turquía</w:t>
      </w:r>
      <w:r>
        <w:t xml:space="preserve">, § 34-35), y (ii) se persiga un objetivo legítimo de preservación del orden público y/o la protección de los derechos y libertades de terceros (STEDH de 15 de octubre de 2015, caso </w:t>
      </w:r>
      <w:r w:rsidRPr="005728DD">
        <w:rPr>
          <w:i/>
        </w:rPr>
        <w:t>Kudrevičius y otros c. Lituania</w:t>
      </w:r>
      <w:r>
        <w:t xml:space="preserve">, § 140), lo que suele estar presente en aquellos supuestos en que en el ejercicio del derecho de reunión, aunque se desarrolle de manera pacífica, concurran intenciones que no formen parte del núcleo esencial del este derecho como es la obstrucción al cumplimiento de decisiones adoptadas legítimamente por las autoridades competentes (STEDH de 11 de octubre de 2018, caso </w:t>
      </w:r>
      <w:r w:rsidRPr="005728DD">
        <w:rPr>
          <w:i/>
        </w:rPr>
        <w:t>Tuskia y otros c. Georgia</w:t>
      </w:r>
      <w:r>
        <w:t>, § 76 a 87; o la decisión de 7 de mayo de 2019, cas</w:t>
      </w:r>
      <w:r w:rsidRPr="005728DD">
        <w:rPr>
          <w:i/>
        </w:rPr>
        <w:t>o Forcadell i Lluis y otros c. Espa</w:t>
      </w:r>
      <w:r>
        <w:t>ña, § 32 y 33).</w:t>
      </w:r>
    </w:p>
    <w:p w:rsidR="005728DD" w:rsidRDefault="005728DD" w:rsidP="005728DD">
      <w:pPr>
        <w:pStyle w:val="TextoNormal"/>
      </w:pPr>
    </w:p>
    <w:p w:rsidR="005728DD" w:rsidRDefault="005728DD" w:rsidP="005728DD">
      <w:pPr>
        <w:pStyle w:val="TextoNormal"/>
      </w:pPr>
      <w:r>
        <w:t xml:space="preserve">Igualmente, la jurisprudencia del Tribunal Europeo de Derechos Humanos ha incidido en que no basta con que la sanción impuesta persiga un fin legítimo, sino que es exigible, además, que sea necesaria en una sociedad democrática, lo que implica que exista una proporcionalidad de esta respuesta penal con el fin legítimo perseguido, en el sentido de que se ponderen debidamente, por un lado, la presencia de los fines legitimadores de esta intervención punitiva, su necesidad para la protección los intereses y valores que se pretenden tutelar y, por otro, el sacrificio que todo ello implica del derecho de reunión (SSTEDH de 15 de octubre de 2015, caso </w:t>
      </w:r>
      <w:r w:rsidRPr="005728DD">
        <w:rPr>
          <w:i/>
        </w:rPr>
        <w:t>Kudrevičius y otros c. Lituania</w:t>
      </w:r>
      <w:r>
        <w:t>, § 144; o de 15 de noviembre de 2018, cas</w:t>
      </w:r>
      <w:r w:rsidRPr="005728DD">
        <w:rPr>
          <w:i/>
        </w:rPr>
        <w:t>o Navalnny c. Rus</w:t>
      </w:r>
      <w:r>
        <w:t>ia, § 128).</w:t>
      </w:r>
    </w:p>
    <w:p w:rsidR="005728DD" w:rsidRDefault="005728DD" w:rsidP="005728DD">
      <w:pPr>
        <w:pStyle w:val="TextoNormal"/>
      </w:pPr>
    </w:p>
    <w:p w:rsidR="005728DD" w:rsidRDefault="005728DD" w:rsidP="005728DD">
      <w:pPr>
        <w:pStyle w:val="TextoNormal"/>
      </w:pPr>
      <w:r>
        <w:t xml:space="preserve">Del mismo modo, la jurisprudencia del Tribunal Europeo de Derechos Humanos  ha hecho especial énfasis en que cualquier injerencia en forma de intervención del sistema penal o de cualquier respuesta punitiva conlleva un efecto de disuasión sobre quienes resultan afectados por estas restricciones y sobre las personas que pudieran tener interés en ejercitar este derecho en el futuro —bien organizando bien participando en reuniones similares—, con el empobrecimiento de un debate público abierto que ello supone (STEDH de 29 de noviembre de 2007, caso </w:t>
      </w:r>
      <w:r w:rsidRPr="005728DD">
        <w:rPr>
          <w:i/>
        </w:rPr>
        <w:t>Balçık y otros c. Turquía</w:t>
      </w:r>
      <w:r>
        <w:t>, § 41), destacando que el efecto desaliento puede quedar amplificado cuando estas medidas represivas se dirigen a una figura pública conocida o relevante (STEDH de 31 de julio de 2014, cas</w:t>
      </w:r>
      <w:r w:rsidRPr="005728DD">
        <w:rPr>
          <w:i/>
        </w:rPr>
        <w:t>o Nemtsov c. Rus</w:t>
      </w:r>
      <w:r>
        <w:t>ia, § 78).</w:t>
      </w:r>
    </w:p>
    <w:p w:rsidR="005728DD" w:rsidRDefault="005728DD" w:rsidP="005728DD">
      <w:pPr>
        <w:pStyle w:val="TextoNormal"/>
      </w:pPr>
    </w:p>
    <w:p w:rsidR="005728DD" w:rsidRDefault="005728DD" w:rsidP="005728DD">
      <w:pPr>
        <w:pStyle w:val="TextoNormal"/>
      </w:pPr>
      <w:r>
        <w:t xml:space="preserve">Por último, también la jurisprudencia del Tribunal Europeo de Derechos Humanos ha establecido que la naturaleza y la gravedad de las sanciones impuestas son factores que deben tenerse en cuenta al evaluar la proporcionalidad de la injerencia o restricción, incidiendo en que (i) una manifestación pacífica no debería, en principio, quedar sujeto a la amenaza de una sanción penal y particularmente a una pena privativa de libertad y (ii) las sanciones de naturaleza penal requieren una justificación particular debiendo ser objeto de un examen especialmente cuidadoso (SSTEDH de 15 de octubre de 2015, caso </w:t>
      </w:r>
      <w:r w:rsidRPr="005728DD">
        <w:rPr>
          <w:i/>
        </w:rPr>
        <w:t>Kudrevičius y otros c. Lituania</w:t>
      </w:r>
      <w:r>
        <w:t xml:space="preserve">, § 146 o de 15 de noviembre de 2018, caso </w:t>
      </w:r>
      <w:r w:rsidRPr="005728DD">
        <w:rPr>
          <w:i/>
        </w:rPr>
        <w:t>Navalnny c. Rusia</w:t>
      </w:r>
      <w:r>
        <w:t xml:space="preserve">, § 128). En ese sentido, también el Tribunal Europeo de Derechos Humanos ha puesto de manifiesto que la imposición de largas penas de prisión puede ser considerada desproporcionada en los casos de enfrentamientos sin armas con la policía o situaciones como el lanzamiento de piedras u otros objetos sin causar lesiones graves (SSTEDH 19 de enero de 2016, caso </w:t>
      </w:r>
      <w:r w:rsidRPr="005728DD">
        <w:rPr>
          <w:i/>
        </w:rPr>
        <w:t xml:space="preserve">Gülcü </w:t>
      </w:r>
      <w:r w:rsidRPr="005728DD">
        <w:rPr>
          <w:i/>
        </w:rPr>
        <w:lastRenderedPageBreak/>
        <w:t>c. Turquía</w:t>
      </w:r>
      <w:r>
        <w:t xml:space="preserve">, § 115; de 4 de octubre de 2016, caso </w:t>
      </w:r>
      <w:r w:rsidRPr="005728DD">
        <w:rPr>
          <w:i/>
        </w:rPr>
        <w:t>Yaroslav Belousov c. Rusia</w:t>
      </w:r>
      <w:r>
        <w:t>, § 177 a 180, o de 30 de enero de 2018, cas</w:t>
      </w:r>
      <w:r w:rsidRPr="005728DD">
        <w:rPr>
          <w:i/>
        </w:rPr>
        <w:t>o Barabanov c. Rus</w:t>
      </w:r>
      <w:r>
        <w:t>ia, § 74-75).</w:t>
      </w:r>
    </w:p>
    <w:p w:rsidR="005728DD" w:rsidRDefault="005728DD" w:rsidP="005728DD">
      <w:pPr>
        <w:pStyle w:val="TextoNormal"/>
      </w:pPr>
    </w:p>
    <w:p w:rsidR="005728DD" w:rsidRDefault="005728DD" w:rsidP="005728DD">
      <w:pPr>
        <w:pStyle w:val="TextoNormal"/>
      </w:pPr>
      <w:r>
        <w:t>En conclusión, a nuestro juicio, habría sido necesario, con fundamento en el art. 10.2 CE, en relación con la jurisprudencia del Tribunal Europeo de Derechos Humanos , que se hubiera concretado, dentro del parámetro de control de constitucionalidad relativo al derecho de reunión, de manera más precisa y matizada lo siguiente:</w:t>
      </w:r>
    </w:p>
    <w:p w:rsidR="005728DD" w:rsidRDefault="005728DD" w:rsidP="005728DD">
      <w:pPr>
        <w:pStyle w:val="TextoNormal"/>
      </w:pPr>
    </w:p>
    <w:p w:rsidR="005728DD" w:rsidRDefault="005728DD" w:rsidP="005728DD">
      <w:pPr>
        <w:pStyle w:val="TextoNormal"/>
      </w:pPr>
      <w:r>
        <w:t>(i) La sanción penal como consecuencia de la convocatoria o participación en una reunión pacífica es una injerencia en el derecho de reunión pacífica por lo que, además de ser una medida prevista legalmente, debe (a) perseguir un objetivo legítimo de preservación del orden público y/o la protección de los derechos y libertades de terceros; y (b) ser necesaria y proporcionada con el sacrificio que implica tanto para el derecho afectado por el contenido de la sanción impuesta como para el propio derecho de reunión por el efecto desaliento que puede generar sobre su ejercicio, exigiendo una justificación y análisis de legitimidad especialmente intensos.</w:t>
      </w:r>
    </w:p>
    <w:p w:rsidR="005728DD" w:rsidRDefault="005728DD" w:rsidP="005728DD">
      <w:pPr>
        <w:pStyle w:val="TextoNormal"/>
      </w:pPr>
    </w:p>
    <w:p w:rsidR="005728DD" w:rsidRDefault="005728DD" w:rsidP="005728DD">
      <w:pPr>
        <w:pStyle w:val="TextoNormal"/>
      </w:pPr>
      <w:r>
        <w:t>(ii) La sanción penal consistente en largas penas de prisión por la convocatoria o participación en reuniones pacíficas en que pueda haber enfrentamientos sin armas con fuerzas del orden público u otros incidentes como lanzamientos de objetos sin causar lesiones graves deben ser consideradas, en principio, desproporcionadas.</w:t>
      </w:r>
    </w:p>
    <w:p w:rsidR="005728DD" w:rsidRDefault="005728DD" w:rsidP="005728DD">
      <w:pPr>
        <w:pStyle w:val="TextoNormal"/>
      </w:pPr>
    </w:p>
    <w:p w:rsidR="005728DD" w:rsidRDefault="005728DD" w:rsidP="005728DD">
      <w:pPr>
        <w:pStyle w:val="TextoNormal"/>
      </w:pPr>
      <w:r w:rsidRPr="005728DD">
        <w:rPr>
          <w:i/>
        </w:rPr>
        <w:t>III. La aplicación del parámetro de constitucionalidad del derecho de reunión a la conducta por la que fue condenado el recurrente a una pena de nueves años de prisión y de inhabilitación absoluta</w:t>
      </w:r>
      <w:r>
        <w:t>.</w:t>
      </w:r>
    </w:p>
    <w:p w:rsidR="005728DD" w:rsidRDefault="005728DD" w:rsidP="005728DD">
      <w:pPr>
        <w:pStyle w:val="TextoNormal"/>
      </w:pPr>
    </w:p>
    <w:p w:rsidR="005728DD" w:rsidRDefault="005728DD" w:rsidP="005728DD">
      <w:pPr>
        <w:pStyle w:val="TextoNormal"/>
      </w:pPr>
      <w:r>
        <w:t>8. Las resoluciones judiciales impugnadas en este recurso de amparo han mantenido que no cabía tomar en consideración la invocación del derecho de reunión (art. 21 CE) con la siguiente argumentación:</w:t>
      </w:r>
    </w:p>
    <w:p w:rsidR="005728DD" w:rsidRDefault="005728DD" w:rsidP="005728DD">
      <w:pPr>
        <w:pStyle w:val="TextoNormal"/>
      </w:pPr>
    </w:p>
    <w:p w:rsidR="005728DD" w:rsidRDefault="005728DD" w:rsidP="005728DD">
      <w:pPr>
        <w:pStyle w:val="TextoNormal"/>
      </w:pPr>
      <w:r>
        <w:t>(i) La conducta del recurrente era de oposición activa y concertada, mediante la interposición física de las personas a las que convocaban, frente a actuaciones de agentes de la autoridad que contaban con respaldo legal y constitucional encaminadas a dar cumplimiento a un específico y muy concreto mandato judicial como era impedir que una votación prohibida se llevase a cabo, desbordando “totalmente los linderos de lo que ha de considerarse legítimo derecho de reunión para la exteriorización de la protesta o crítica por la actuación de los poderes públicos” (apartado 17.5.2 de la sentencia condenatoria impugnada).</w:t>
      </w:r>
    </w:p>
    <w:p w:rsidR="005728DD" w:rsidRDefault="005728DD" w:rsidP="005728DD">
      <w:pPr>
        <w:pStyle w:val="TextoNormal"/>
      </w:pPr>
    </w:p>
    <w:p w:rsidR="005728DD" w:rsidRDefault="005728DD" w:rsidP="005728DD">
      <w:pPr>
        <w:pStyle w:val="TextoNormal"/>
      </w:pPr>
      <w:r>
        <w:t>(ii) Según el auto impugnado en amparo, la jurisprudencia del Tribunal Europeo de Derechos Humanos excluye del ámbito material de protección del derecho de reunión pacífica, no solo la incitación a la violencia, sino también “al levantamiento (</w:t>
      </w:r>
      <w:r w:rsidRPr="005728DD">
        <w:rPr>
          <w:i/>
        </w:rPr>
        <w:t>soulèvement</w:t>
      </w:r>
      <w:r>
        <w:t xml:space="preserve"> en versión francesa, </w:t>
      </w:r>
      <w:r w:rsidRPr="005728DD">
        <w:rPr>
          <w:i/>
        </w:rPr>
        <w:t>uprising</w:t>
      </w:r>
      <w:r>
        <w:t xml:space="preserve"> en la versión inglesa) o a cualquier otra forma de rechazo a los principios democráticos”; concluyendo que “en tales supuestos de exclusión de la protección del derecho de reunión o manifestación no concurre necesariamente la violencia. Se presentan como una modalidad alternativa a la violencia, en cuanto que no resulta amparable la manifestación que comporta desprecio de los principios democráticos. Esta idea se refuerza si, como en el caso que centra nuestra atención, se recurre a vías de hecho que conducen a la imposición de una normativa anticonstitucional, aprobada con desprecio de las minorías”. </w:t>
      </w:r>
      <w:r>
        <w:lastRenderedPageBreak/>
        <w:t>A partir de ello, se insiste en que la conducta del recurrente no queda amparada en el concepto de reunión pacífica (apartado 2.5 del auto desestimatorio del incidente de nulidad de actuaciones impugnado, al que se remitiría el apartado 4.2.5 de dicho auto para resolver la invocación del recurrente).</w:t>
      </w:r>
    </w:p>
    <w:p w:rsidR="005728DD" w:rsidRDefault="005728DD" w:rsidP="005728DD">
      <w:pPr>
        <w:pStyle w:val="TextoNormal"/>
      </w:pPr>
    </w:p>
    <w:p w:rsidR="005728DD" w:rsidRDefault="005728DD" w:rsidP="005728DD">
      <w:pPr>
        <w:pStyle w:val="TextoNormal"/>
      </w:pPr>
      <w:r>
        <w:t>Por tanto, en la vía judicial ordinaria, el argumento para excluir cualquier tipo de consideración del derecho de reunión es que la conducta del recurrente se desarrolló fuera de su ámbito material de protección. Los actos convocados por el recurrente y su participación en los mismos carecían de la connotación de una “reunión pacífica”, ya que su objetivo era evitar de manera coactiva, mediante su capacidad de movilización pública y masiva, la ejecución de una resolución judicial cuyo objetivo era impedir la imposición de una normativa antidemocrática por haber sido aprobada con desprecio a las reglas esenciales del Derecho y el respeto a las minorías.</w:t>
      </w:r>
    </w:p>
    <w:p w:rsidR="005728DD" w:rsidRDefault="005728DD" w:rsidP="005728DD">
      <w:pPr>
        <w:pStyle w:val="TextoNormal"/>
      </w:pPr>
    </w:p>
    <w:p w:rsidR="005728DD" w:rsidRDefault="005728DD" w:rsidP="005728DD">
      <w:pPr>
        <w:pStyle w:val="TextoNormal"/>
      </w:pPr>
      <w:r>
        <w:t>9. La posición mayoritaria en la que se sustenta la sentencia, por el contrario, parece no controvertir que la conducta del recurrente se desarrollaba dentro del ámbito material de protección del derecho de reunión. Concentra su fuerza argumental en que el derecho de reunión no es un derecho absoluto y que, en este caso, la restricción que supone la respuesta penal supone una injerencia necesaria, ya que estaba dirigida al fin legítimo de la protección de la efectividad de resoluciones jurisdiccionales tendentes a evitar la proclamación de la independencia de una parte del territorio fuera de los cauces constitucionales que lo hubieran posibilitado [apartado 12.5.2.3 B)].</w:t>
      </w:r>
    </w:p>
    <w:p w:rsidR="005728DD" w:rsidRDefault="005728DD" w:rsidP="005728DD">
      <w:pPr>
        <w:pStyle w:val="TextoNormal"/>
      </w:pPr>
    </w:p>
    <w:p w:rsidR="005728DD" w:rsidRDefault="005728DD" w:rsidP="005728DD">
      <w:pPr>
        <w:pStyle w:val="TextoNormal"/>
      </w:pPr>
      <w:r>
        <w:t>10. Una recta interpretación del derecho de reunión, en línea con la efectuada por el Tribunal Europeo de Derechos Humanos, determina que la conducta del recurrente queda dentro del ámbito material de protección del derecho de reunión pacífica. El argumento sostenido en las resoluciones judiciales impugnadas de que los actos desarrollados el 20 de septiembre y 1 de octubre de 2017 no tienen siquiera cobertura en el concepto de reunión pacífica —presupuesto para que pueda ser tomada en consideración las garantías del derecho de reunión— no es acorde con la jurisprudencia de este tribunal y del Tribunal Europeo de Derechos Humanos en la materia.</w:t>
      </w:r>
    </w:p>
    <w:p w:rsidR="005728DD" w:rsidRDefault="005728DD" w:rsidP="005728DD">
      <w:pPr>
        <w:pStyle w:val="TextoNormal"/>
      </w:pPr>
    </w:p>
    <w:p w:rsidR="005728DD" w:rsidRDefault="005728DD" w:rsidP="005728DD">
      <w:pPr>
        <w:pStyle w:val="TextoNormal"/>
      </w:pPr>
      <w:r>
        <w:t>No es controvertido por las resoluciones judiciales impugnadas que, con carácter general, los hechos en que se fundamenta la condena del recurrente no implicaron un nivel de violencia necesario para excluir su calificación de concentraciones de carácter pacífico a los efectos del ámbito material del derecho fundamental de reunión. De hecho, la condena del recurrente se basó en un precepto penal que no exige como medio comisivo la violencia y en la resolución impugnada se hizo especial incidencia en que el medio comisivo concurrente era el “extravío —actuar fuera de las vías legales—, del procedimiento ordenado a los ilícitos e inconstitucionales objetivos”. Por otra parte, también es destacable que las resoluciones impugnadas no establecen ninguna conexión del recurrente como convocante o participante con los esporádicos actos de violencia que pudieran estar presentes en estas concentraciones y que reconocen expresamente el concreto compromiso del recurrente con la no violencia y los generales llamamientos de los convocantes a que las concentraciones se desarrollaran de manera pacífica y sin enfrentamientos con los agentes de la autoridad.</w:t>
      </w:r>
    </w:p>
    <w:p w:rsidR="005728DD" w:rsidRDefault="005728DD" w:rsidP="005728DD">
      <w:pPr>
        <w:pStyle w:val="TextoNormal"/>
      </w:pPr>
    </w:p>
    <w:p w:rsidR="005728DD" w:rsidRDefault="005728DD" w:rsidP="005728DD">
      <w:pPr>
        <w:pStyle w:val="TextoNormal"/>
      </w:pPr>
      <w:r>
        <w:t xml:space="preserve">Ahora bien, no se comparte la posición de la resolución judicial impugnada de incluir en la categoría de “reunión que de cualquier otro modo implique el rechazo a los fundamentos </w:t>
      </w:r>
      <w:r>
        <w:lastRenderedPageBreak/>
        <w:t xml:space="preserve">de una sociedad democrática”, a la que se refiere la jurisprudencia del Tribunal Europeo de Derechos Humanos, para justificar que, </w:t>
      </w:r>
      <w:r w:rsidRPr="005728DD">
        <w:rPr>
          <w:i/>
        </w:rPr>
        <w:t>prima facie</w:t>
      </w:r>
      <w:r>
        <w:t>, queda al margen del ámbito material del derecho de reunión. Las razones por las que rechazamos esta consideración de las resoluciones impugnadas son las siguientes:</w:t>
      </w:r>
    </w:p>
    <w:p w:rsidR="005728DD" w:rsidRDefault="005728DD" w:rsidP="005728DD">
      <w:pPr>
        <w:pStyle w:val="TextoNormal"/>
      </w:pPr>
    </w:p>
    <w:p w:rsidR="005728DD" w:rsidRDefault="005728DD" w:rsidP="005728DD">
      <w:pPr>
        <w:pStyle w:val="TextoNormal"/>
      </w:pPr>
      <w:r>
        <w:t xml:space="preserve">(i) La jurisprudencia del Tribunal Europeo de Derechos Humanos, como ya se ha desarrollado anteriormente, solo excluye el carácter pacífico de la reunión en los supuestos de que las concentraciones tengan intenciones violentas, inciten a la violencia o impliquen la negación de los fundamentos de una sociedad democrática (así, por ejemplo, STEDH de 15 de noviembre de 2018, caso </w:t>
      </w:r>
      <w:r w:rsidRPr="005728DD">
        <w:rPr>
          <w:i/>
        </w:rPr>
        <w:t>Navalnyy c. Rusia</w:t>
      </w:r>
      <w:r>
        <w:t xml:space="preserve">, § 98). Las referencias contenidas en el auto desestimatorio del incidente de nulidad de actuaciones impugnado a la idea de “incitación a un levantamiento” como excluyente de reunión pacífica se fundamenta en sendas resoluciones del Tribunal Europeo de Derechos Humanos [SSTEDH de 8 de diciembre de 1999, caso </w:t>
      </w:r>
      <w:r w:rsidRPr="005728DD">
        <w:rPr>
          <w:i/>
        </w:rPr>
        <w:t>Partido de la libertad y de la democracia (ÖZDEP) c. Turquía</w:t>
      </w:r>
      <w:r>
        <w:t xml:space="preserve">, § 40, y de 3 de febrero de 2005, caso </w:t>
      </w:r>
      <w:r w:rsidRPr="005728DD">
        <w:rPr>
          <w:i/>
        </w:rPr>
        <w:t>Partido comunista (Nepeceristi) y Ungureanu c. Rumania</w:t>
      </w:r>
      <w:r>
        <w:t xml:space="preserve">, § 54], que no aparecen directamente referidas al derecho de reunión pacífica sino de asociación o creación de partidos políticos y se utiliza como parámetro de control de análisis de decisiones de disoluciones de partidos políticos con referencia directa al objetivo de subvertir el orden establecido por medios del uso de la violencia. De hecho, esa misma referencia aparece en idénticos contextos en las SSTEDH 25 de mayo de 1998, caso </w:t>
      </w:r>
      <w:r w:rsidRPr="005728DD">
        <w:rPr>
          <w:i/>
        </w:rPr>
        <w:t>Partido socialista y otros c. Turquía</w:t>
      </w:r>
      <w:r>
        <w:t>, § 46, y de 25 de septiembre de 2012, cas</w:t>
      </w:r>
      <w:r w:rsidRPr="005728DD">
        <w:rPr>
          <w:i/>
        </w:rPr>
        <w:t>o Sindicato de Trabajadores de la Educación y la Ciencia c. Turqu</w:t>
      </w:r>
      <w:r>
        <w:t>ía, § 75.</w:t>
      </w:r>
    </w:p>
    <w:p w:rsidR="005728DD" w:rsidRDefault="005728DD" w:rsidP="005728DD">
      <w:pPr>
        <w:pStyle w:val="TextoNormal"/>
      </w:pPr>
    </w:p>
    <w:p w:rsidR="005728DD" w:rsidRDefault="005728DD" w:rsidP="005728DD">
      <w:pPr>
        <w:pStyle w:val="TextoNormal"/>
      </w:pPr>
      <w:r>
        <w:t>Por otra parte, en atención a la propia valoración que se hace en las resoluciones condenatorias de que la pretensión real de los condenados “era presionar al Gobierno de la Nación para negociar un referéndum, este sí, susceptible de homologación” (apartado 5.2.3 del auto desestimatorio del incidente de nulidad de actuaciones, con reproducción literal de la sentencia condenatoria), parece difícil asumir como posición de principio para excluir del ámbito material del derecho de reunión que la conducta del recurrente venía animada por la intención de incitar a un levantamiento en el sentido utilizado por la jurisprudencia del Tribunal Europeo de Derechos Humanos.</w:t>
      </w:r>
    </w:p>
    <w:p w:rsidR="005728DD" w:rsidRDefault="005728DD" w:rsidP="005728DD">
      <w:pPr>
        <w:pStyle w:val="TextoNormal"/>
      </w:pPr>
    </w:p>
    <w:p w:rsidR="005728DD" w:rsidRDefault="005728DD" w:rsidP="005728DD">
      <w:pPr>
        <w:pStyle w:val="TextoNormal"/>
      </w:pPr>
      <w:r>
        <w:t>(ii) Tampoco cabe asumir como argumento para excluir la conducta del recurrente del ámbito material del derecho de reunión, el utilizado en las resoluciones judiciales impugnadas de que implicaba una negación de los principios democráticos, por el hecho de tener como telón de fondo la oposición abierta o resistencia activa a la ejecución de resoluciones judiciales cuyo objetivo era impedir la imposición de una normativa antidemocrática aprobada con desprecio a las reglas esenciales del derecho y el respeto a las minorías parlamentarias.</w:t>
      </w:r>
    </w:p>
    <w:p w:rsidR="005728DD" w:rsidRDefault="005728DD" w:rsidP="005728DD">
      <w:pPr>
        <w:pStyle w:val="TextoNormal"/>
      </w:pPr>
    </w:p>
    <w:p w:rsidR="005728DD" w:rsidRDefault="005728DD" w:rsidP="005728DD">
      <w:pPr>
        <w:pStyle w:val="TextoNormal"/>
      </w:pPr>
      <w:r>
        <w:t xml:space="preserve">Ya se ha destacado anteriormente que la jurisprudencia del Tribunal Europeo de Derechos Humanos utiliza la referencia a la negación de los valores y principios democráticos —con efectos equivalentes al uso o incitación de la violencia para negar el carácter pacífico de una reunión— a que tengan como objeto la promoción de ideas conexas a las que pueden ser consideradas discurso del odio. Además, es constante la referencia que en la jurisprudencia de Tribunal Europeo de Derechos Humanos se hace a que el carácter pacífico de una reunión, como presupuesto para considerar que se desenvuelve dentro del ámbito material de protección de este derecho, no queda negado por el mero hecho de que pudiera existir en </w:t>
      </w:r>
      <w:r>
        <w:lastRenderedPageBreak/>
        <w:t xml:space="preserve">los convocantes o participantes una intención o conducta penalmente ilícita o que se desarrollara en protesta, oposición o abierta contradicción con resoluciones de las autoridades competentes, incluyendo las judiciales. Ya se han citado ejemplos de resoluciones del tribunal de Estrasburgo en que la circunstancia de que la convocatoria lo fuera en abierto desacato y contradicción con decisiones de cortes constitucionales no era suficiente para negarles su carácter de reunión pacífica, sin perjuicio de la posibilidad de que fueran objeto de restricciones legítimas (así, por ejemplo, STEDH de 11 de octubre de 2018, caso </w:t>
      </w:r>
      <w:r w:rsidRPr="005728DD">
        <w:rPr>
          <w:i/>
        </w:rPr>
        <w:t>Tuskia y otros c. Georgia</w:t>
      </w:r>
      <w:r>
        <w:t>, o decisión de inadmisión de 7 de mayo de 2019, cas</w:t>
      </w:r>
      <w:r w:rsidRPr="005728DD">
        <w:rPr>
          <w:i/>
        </w:rPr>
        <w:t>o Forcadell i Lluis y otros c. Espa</w:t>
      </w:r>
      <w:r>
        <w:t>ña).</w:t>
      </w:r>
    </w:p>
    <w:p w:rsidR="005728DD" w:rsidRDefault="005728DD" w:rsidP="005728DD">
      <w:pPr>
        <w:pStyle w:val="TextoNormal"/>
      </w:pPr>
    </w:p>
    <w:p w:rsidR="005728DD" w:rsidRDefault="005728DD" w:rsidP="005728DD">
      <w:pPr>
        <w:pStyle w:val="TextoNormal"/>
      </w:pPr>
      <w:r>
        <w:t>Por tanto, debemos insistir en que, con independencia de la relevancia que pueda tener en la valoración sobre la legitimidad de la restricción aplicada en forma de sanción penal, no resulta posible excluir la conducta del recurrente del ámbito material de afectación del derecho de reunión.</w:t>
      </w:r>
    </w:p>
    <w:p w:rsidR="005728DD" w:rsidRDefault="005728DD" w:rsidP="005728DD">
      <w:pPr>
        <w:pStyle w:val="TextoNormal"/>
      </w:pPr>
    </w:p>
    <w:p w:rsidR="005728DD" w:rsidRDefault="005728DD" w:rsidP="005728DD">
      <w:pPr>
        <w:pStyle w:val="TextoNormal"/>
      </w:pPr>
      <w:r>
        <w:t>11. Coincidimos con la posición mayoritaria en la que se sustenta la sentencia en que la conducta del recurrente de convocar y participar en las concentraciones de los días 20 de septiembre y 1 de octubre de 2017, precisamente por estar animadas por la finalidad no solo de protestar contra unas concretas decisiones jurisdiccionales sino de impedir o, al menos, obstaculizar su efectividad, podía ser objeto de una restricción legítima con fundamento en razones de protección del orden público. No creemos que sea necesario insistir ni profundizar en ello.</w:t>
      </w:r>
    </w:p>
    <w:p w:rsidR="005728DD" w:rsidRDefault="005728DD" w:rsidP="005728DD">
      <w:pPr>
        <w:pStyle w:val="TextoNormal"/>
      </w:pPr>
    </w:p>
    <w:p w:rsidR="005728DD" w:rsidRDefault="005728DD" w:rsidP="005728DD">
      <w:pPr>
        <w:pStyle w:val="TextoNormal"/>
      </w:pPr>
      <w:r>
        <w:t>12. El problema central del control de constitucionalidad de la decisión judicial de imponer al recurrente una pena de nueve años de prisión y de inhabilitación por la convocatoria y participación en los hechos del día 20 de septiembre y 1 de octubre de 2017 es, por tanto, determinar si esa decisión judicial supuso una injerencia necesaria y proporcionada en su derecho de reunión para la consecución del objetivo legítimo de preservación de valores constitucionales prevalentes.</w:t>
      </w:r>
    </w:p>
    <w:p w:rsidR="005728DD" w:rsidRDefault="005728DD" w:rsidP="005728DD">
      <w:pPr>
        <w:pStyle w:val="TextoNormal"/>
      </w:pPr>
    </w:p>
    <w:p w:rsidR="005728DD" w:rsidRDefault="005728DD" w:rsidP="005728DD">
      <w:pPr>
        <w:pStyle w:val="TextoNormal"/>
      </w:pPr>
      <w:r>
        <w:t>A esos efectos, tal como sostuvimos en la deliberación, al margen de los problemas de proporcionalidad estrictamente penal que planteaba la condena —en línea con lo que ya argumentamos en los votos particulares formulados a las SSTC 91/2021, de 22 de abril, y 106/2021, de 11 de mayo—, consideramos que, en las circunstancias del caso, el recurso mismo al sistema de justicia penal para imponer una sanción de tal gravedad al recurrente es desproporcionado y lesivo del derecho de reunión por el efecto desaliento que para el ejercicio de este derecho puede implicar. Las razones que nos llevan a sustentar esta conclusión son las siguientes:</w:t>
      </w:r>
    </w:p>
    <w:p w:rsidR="005728DD" w:rsidRDefault="005728DD" w:rsidP="005728DD">
      <w:pPr>
        <w:pStyle w:val="TextoNormal"/>
      </w:pPr>
    </w:p>
    <w:p w:rsidR="005728DD" w:rsidRDefault="005728DD" w:rsidP="005728DD">
      <w:pPr>
        <w:pStyle w:val="TextoNormal"/>
      </w:pPr>
      <w:r>
        <w:t xml:space="preserve">(i) El recurrente era el líder de una asociación de la sociedad civil y no un político en el momento de los hechos por los que ha sido condenado. La consideración del derecho de reunión como una de las libertades esenciales de la democracia, por su conexión con la garantía de asegurar un foro para el debate público y la expresión abierta de protesta incluso en relación con temas que puedan incomodar o molestar al poder, adquiere su máxima dimensión en relación con la actuación de grupos sociales y asociaciones, ya que, como ha destacado la jurisprudencia constitucional, “su configuración como expresión del principio democrático participativo adquiere mayor relevancia, si cabe, al ser este derecho, en la práctica, para muchos grupos sociales ‘uno de los pocos medios de los que disponen para poder </w:t>
      </w:r>
      <w:r>
        <w:lastRenderedPageBreak/>
        <w:t>expresar públicamente sus ideas y reivindicaciones’” (STC 172/2020, de 19 de noviembre, FJ 6). Por otra parte, el hecho de que fuera el máximo representante de un grupo de la sociedad civil de gran proyección pública y de que su condena haya sido acompañada de la del líder de otra organización de la sociedad civil de igual relevancia pública inciden, en los términos ya expuestos por el Tribunal Europeo de Derechos Humanos, en la amplificación del efecto desaliento (STEDH de 31 de julio de 2014, cas</w:t>
      </w:r>
      <w:r w:rsidRPr="005728DD">
        <w:rPr>
          <w:i/>
        </w:rPr>
        <w:t>o Nemtsov c. Rus</w:t>
      </w:r>
      <w:r>
        <w:t>ia, § 78).</w:t>
      </w:r>
    </w:p>
    <w:p w:rsidR="005728DD" w:rsidRDefault="005728DD" w:rsidP="005728DD">
      <w:pPr>
        <w:pStyle w:val="TextoNormal"/>
      </w:pPr>
    </w:p>
    <w:p w:rsidR="005728DD" w:rsidRDefault="005728DD" w:rsidP="005728DD">
      <w:pPr>
        <w:pStyle w:val="TextoNormal"/>
      </w:pPr>
      <w:r>
        <w:t>De ese modo, si con carácter general cualquier limitación al derecho de reunión debe ser objeto de una interpretación restrictiva, en el recurrente concurren las citadas circunstancias subjetivas que hubieran debido llevar a hacer un especial escrutinio sobre la singular afectación que su represión penal podría generar en el derecho fundamental de reunión.</w:t>
      </w:r>
    </w:p>
    <w:p w:rsidR="005728DD" w:rsidRDefault="005728DD" w:rsidP="005728DD">
      <w:pPr>
        <w:pStyle w:val="TextoNormal"/>
      </w:pPr>
    </w:p>
    <w:p w:rsidR="005728DD" w:rsidRDefault="005728DD" w:rsidP="005728DD">
      <w:pPr>
        <w:pStyle w:val="TextoNormal"/>
      </w:pPr>
      <w:r>
        <w:t>(ii) La circunstancia que ha legitimado la restricción del derecho de reunión del recurrente ha sido, en los términos expuestos por la resolución condenatoria impugnada, su contribución, dentro de una actuación concertada con otros actores políticos y sociales, a la movilización ciudadana para “neutralizar cualquier manifestación de poder emanada de las autoridades judiciales y gubernativas del Estado” contra la efectividad de la cobertura jurídica creada para la consecución del acto fundacional de la República de Cataluña (hecho probado 3), que se había concretado, por un lado, en sucesivas suspensiones de normativa autonómica por el Tribunal Constitucional y, por otro, en diversas decisiones judiciales para hacer efectivo su cumplimiento, como eran una diligencia de entrada y registro fijada para el 20 de septiembre de 2017 en una sede de la administración autonómica (hecho probado 9) y la orden de incautación de todo el material electoral y de prohibición de celebración de los actos de votación (hecho probado 10).</w:t>
      </w:r>
    </w:p>
    <w:p w:rsidR="005728DD" w:rsidRDefault="005728DD" w:rsidP="005728DD">
      <w:pPr>
        <w:pStyle w:val="TextoNormal"/>
      </w:pPr>
    </w:p>
    <w:p w:rsidR="005728DD" w:rsidRDefault="005728DD" w:rsidP="005728DD">
      <w:pPr>
        <w:pStyle w:val="TextoNormal"/>
      </w:pPr>
      <w:r>
        <w:t>Las conductas de “neutralización” realizadas por el recurrente, junto con el líder de otra organización de la sociedad civil también condenado, que se consideran punibles en la resolución impugnada son:</w:t>
      </w:r>
    </w:p>
    <w:p w:rsidR="005728DD" w:rsidRDefault="005728DD" w:rsidP="005728DD">
      <w:pPr>
        <w:pStyle w:val="TextoNormal"/>
      </w:pPr>
    </w:p>
    <w:p w:rsidR="005728DD" w:rsidRDefault="005728DD" w:rsidP="005728DD">
      <w:pPr>
        <w:pStyle w:val="TextoNormal"/>
      </w:pPr>
      <w:r>
        <w:t>a) El 20 de septiembre de 2017, la movilización de la ciudadanía ante la sede administrativa que iba a ser objeto de registro judicial publicitando por medio de las redes sociales esa actuación judicial, con el resultado de que la alta concentración de personas, en la que tuvieron una activa participación directiva ambos líderes sociales, impidió el normal desarrollo de la diligencia y se causaron desperfectos en vehículos policiales (hecho probado 9).</w:t>
      </w:r>
    </w:p>
    <w:p w:rsidR="005728DD" w:rsidRDefault="005728DD" w:rsidP="005728DD">
      <w:pPr>
        <w:pStyle w:val="TextoNormal"/>
      </w:pPr>
    </w:p>
    <w:p w:rsidR="005728DD" w:rsidRDefault="005728DD" w:rsidP="005728DD">
      <w:pPr>
        <w:pStyle w:val="TextoNormal"/>
      </w:pPr>
      <w:r>
        <w:t>b) El 1 de octubre de 2017,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(hecho probado 9.2), con el resultado de que la cifra total de personas que fueron a votar ascendió a 2 286 217 (hecho probado 4) y de que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y, en otros, las agentes policiales debieron desistir de su objetivo ante la imposibilidad de vencer la resistencia de esos grupos de personas (hecho probado 12).</w:t>
      </w:r>
    </w:p>
    <w:p w:rsidR="005728DD" w:rsidRDefault="005728DD" w:rsidP="005728DD">
      <w:pPr>
        <w:pStyle w:val="TextoNormal"/>
      </w:pPr>
    </w:p>
    <w:p w:rsidR="005728DD" w:rsidRDefault="005728DD" w:rsidP="005728DD">
      <w:pPr>
        <w:pStyle w:val="TextoNormal"/>
      </w:pPr>
      <w:r>
        <w:lastRenderedPageBreak/>
        <w:t>Este relato de hechos probados pone de manifiesto que tanto las convocatorias como la propia participación del recurrente en ambos días lo fueron en términos estrictamente pacíficos, aunque con esporádicos actos de violencia física que, aun pudiendo ser previsible en atención a la situación social e institucional concurrente en aquellos momentos en Cataluña, se produjeron fuera del control del recurrente que, de manera reconocida, permaneció pacífico en sus propias intenciones y comportamiento.</w:t>
      </w:r>
    </w:p>
    <w:p w:rsidR="005728DD" w:rsidRDefault="005728DD" w:rsidP="005728DD">
      <w:pPr>
        <w:pStyle w:val="TextoNormal"/>
      </w:pPr>
    </w:p>
    <w:p w:rsidR="005728DD" w:rsidRDefault="005728DD" w:rsidP="005728DD">
      <w:pPr>
        <w:pStyle w:val="TextoNormal"/>
      </w:pPr>
      <w:r>
        <w:t>Los llamamientos a la movilización lo fueron con la finalidad expresa de promover una actitud desobediente a resoluciones jurisdiccionales pronunciadas en defensa del respeto a procedimientos democráticos de decisión, lo que posibilita justificar una restricción legítima del derecho de reunión en forma de sanción para preservar el valor constitucional ínsito en el cumplimiento de las resoluciones judiciales y el respeto a las reglas democráticas. No obstante, hay que insistir en que acudir a la represión penal de estas conductas y a la imposición de penas privativas de libertad de tan larga duración como las aplicadas al recurrente en ausencia de violencia tiene un tan severo impacto desalentador sobre el ejercicio del derecho fundamental de reunión, que ha llevado a la jurisprudencia del Tribunal Europeo de Derechos Humanos a considerar que es una injerencia desproporcionada (SSTEDH de 15 de octubre de 2015, cas</w:t>
      </w:r>
      <w:r w:rsidRPr="005728DD">
        <w:rPr>
          <w:i/>
        </w:rPr>
        <w:t>o Kudrevičius y otros c. Lituan</w:t>
      </w:r>
      <w:r>
        <w:t>ia, § 146 o de 15 de noviembre de 2018, cas</w:t>
      </w:r>
      <w:r w:rsidRPr="005728DD">
        <w:rPr>
          <w:i/>
        </w:rPr>
        <w:t>o Navalnny c. Rus</w:t>
      </w:r>
      <w:r>
        <w:t>ia, § 128).</w:t>
      </w:r>
    </w:p>
    <w:p w:rsidR="005728DD" w:rsidRDefault="005728DD" w:rsidP="005728DD">
      <w:pPr>
        <w:pStyle w:val="TextoNormal"/>
      </w:pPr>
    </w:p>
    <w:p w:rsidR="005728DD" w:rsidRDefault="005728DD" w:rsidP="005728DD">
      <w:pPr>
        <w:pStyle w:val="TextoNormal"/>
      </w:pPr>
      <w:r>
        <w:t>(iii) La consideración de que la respuesta penal a la conducta del recurrente y la severa limitación que ello implica de su derecho de reunión resulta proporcionada se ha hecho radicar en la gravedad de los valores constitucionales lesionados con su conducta. El relato de hechos probados que ha dado lugar a la condena del recurrente pone de manifiesto, como ya se ha expuesto, que la real gravedad de la conducta no reside tanto en que las convocatorias se celebraran con la finalidad de oponerse a la ejecución de una resolución jurisdiccional, sino en que dicha finalidad era, además, instrumental para un objetivo de mayor lesividad constitucional como posibilitar dar efectividad a la cobertura jurídica creada para la consecución del acto fundacional de la Republica de Cataluña con infracción de los procedimientos constitucionales vigentes.</w:t>
      </w:r>
    </w:p>
    <w:p w:rsidR="005728DD" w:rsidRDefault="005728DD" w:rsidP="005728DD">
      <w:pPr>
        <w:pStyle w:val="TextoNormal"/>
      </w:pPr>
    </w:p>
    <w:p w:rsidR="005728DD" w:rsidRDefault="005728DD" w:rsidP="005728DD">
      <w:pPr>
        <w:pStyle w:val="TextoNormal"/>
      </w:pPr>
      <w:r>
        <w:t>No cabe negar la justificación de una injerencia en el derecho de reunión del recurrente mediante la imposición de una sanción administrativa derivada de una convocatoria pública que tiene el objetivo de obstruir la ejecución de resoluciones jurisdiccionales. Sin embargo, no podemos compartir que el recurso a la represión penal del recurrente se fundamente en que, además, resultara necesario tomar en consideración el supuesto riesgo de que con su conducta pudiera darse efectividad, al margen de los mecanismos y procedimientos constitucionales establecidos al efecto, a la independencia de Cataluña.</w:t>
      </w:r>
    </w:p>
    <w:p w:rsidR="005728DD" w:rsidRDefault="005728DD" w:rsidP="005728DD">
      <w:pPr>
        <w:pStyle w:val="TextoNormal"/>
      </w:pPr>
    </w:p>
    <w:p w:rsidR="005728DD" w:rsidRDefault="005728DD" w:rsidP="005728DD">
      <w:pPr>
        <w:pStyle w:val="TextoNormal"/>
      </w:pPr>
      <w:r>
        <w:t xml:space="preserve">El relato de hechos probados es categórico al establecer que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w:t>
      </w:r>
      <w:r>
        <w:lastRenderedPageBreak/>
        <w:t>políticos y asociativos de presionar al Gobierno de la Nación para la negociación de una consulta popular” (hecho probado 14). Esta afirmación queda también desarrollada en la fundamentación jurídica de las resoluciones judiciales impugnadas cuando se menciona que la pretensión real de los condenados “era presionar al Gobierno de la nación para negociar un referéndum, este sí, susceptible de homologación” (apartado 5.2.3 del auto desestimatorio del incidente de nulidad de actuaciones, con reproducción literal de la sentencia condenatoria). Por tanto, es el propio relato de hechos probados el que desmiente en la intención de los condenados, también del recurrente, una intención secesionista al margen de una negociación con el Estado.</w:t>
      </w:r>
    </w:p>
    <w:p w:rsidR="005728DD" w:rsidRDefault="005728DD" w:rsidP="005728DD">
      <w:pPr>
        <w:pStyle w:val="TextoNormal"/>
      </w:pPr>
    </w:p>
    <w:p w:rsidR="005728DD" w:rsidRDefault="005728DD" w:rsidP="005728DD">
      <w:pPr>
        <w:pStyle w:val="TextoNormal"/>
      </w:pPr>
      <w:r>
        <w:t>Por otra parte, desde una perspectiva estrictamente jurídica, la preservación de esos valores constitucionales que pudieran haberse puesto en riesgo con la celebración del llamado referéndum estaba asegurada, en cuanto a la imposibilidad de desplegar efecto alguno, mediante la actuación del Tribunal Constitucional, que ya había suspendido sucesivamente la diferente normativa autonómica aprobada con esa finalidad, lo que impedía la efectividad de una declaración de independencia fuera del marco constitucional vigente.</w:t>
      </w:r>
    </w:p>
    <w:p w:rsidR="005728DD" w:rsidRDefault="005728DD" w:rsidP="005728DD">
      <w:pPr>
        <w:pStyle w:val="TextoNormal"/>
      </w:pPr>
    </w:p>
    <w:p w:rsidR="005728DD" w:rsidRDefault="005728DD" w:rsidP="005728DD">
      <w:pPr>
        <w:pStyle w:val="TextoNormal"/>
      </w:pPr>
      <w:r>
        <w:t>De ese modo, tampoco en la gravedad del riesgo o lesión de valores constitucionales cabe sustentar una necesidad imperiosa en que su preservación exigiera una represión penal de las características de la impuesta al recurrente.</w:t>
      </w:r>
    </w:p>
    <w:p w:rsidR="005728DD" w:rsidRDefault="005728DD" w:rsidP="005728DD">
      <w:pPr>
        <w:pStyle w:val="TextoNormal"/>
      </w:pPr>
    </w:p>
    <w:p w:rsidR="005728DD" w:rsidRDefault="005728DD" w:rsidP="005728DD">
      <w:pPr>
        <w:pStyle w:val="TextoNormal"/>
      </w:pPr>
      <w:r>
        <w:t>13. En conclusión, consideramos que, en el presente caso, la injerencia en el derecho de reunión del recurrente mediante el recurso a la sanción penal resulta desproporcionada atendiendo a la triple circunstancia de que se trata de la conducta de (i) un líder social cuyas posibilidades de participación e interlocución en el debate público están especialmente garantizadas por este derecho; (ii) se desarrolló por medios estrictamente pacíficos, aunque tuviera la finalidad de obstruir la efectividad de resoluciones jurisdiccionales; y (iii) su objetivo mediato no era propiciar un levantamiento social que posibilitara la declaración de independencia de Cataluña, fuera de los cauces y procedimientos constitucionales, sino presionar al Gobierno de la Nación para la negociación de una consulta popular en ese sentido.</w:t>
      </w:r>
    </w:p>
    <w:p w:rsidR="005728DD" w:rsidRDefault="005728DD" w:rsidP="005728DD">
      <w:pPr>
        <w:pStyle w:val="TextoNormal"/>
      </w:pPr>
    </w:p>
    <w:p w:rsidR="005728DD" w:rsidRDefault="005728DD" w:rsidP="005728DD">
      <w:pPr>
        <w:pStyle w:val="TextoNormal"/>
      </w:pPr>
      <w:r>
        <w:t>En esas circunstancias, una adecuada ponderación de todos estos hechos en el contexto del derecho fundamental de reunión y las posibilidades de injerencia en el mismo mediante el recurso al sistema de justicia penal con la finalidad de preservar valores constitucionales prevalentes, hubiera debido llevar a la conclusión, mantenida por nosotros en la deliberación, de que una sanción penal resultaba desproporcionada y con un indeseable efecto desaliento en el ejercicio de un derecho fundamental.</w:t>
      </w:r>
    </w:p>
    <w:p w:rsidR="005728DD" w:rsidRDefault="005728DD" w:rsidP="005728DD">
      <w:pPr>
        <w:pStyle w:val="TextoNormal"/>
      </w:pPr>
    </w:p>
    <w:p w:rsidR="005728DD" w:rsidRDefault="005728DD" w:rsidP="005728DD">
      <w:pPr>
        <w:pStyle w:val="TextoNormal"/>
      </w:pPr>
      <w:r>
        <w:t>La respuesta penal, especialmente con la severidad de la impuesta al recurrente, frente a la mera convocatoria de actos que, aunque lo fueran para oponerse a la ejecución de resoluciones judiciales, tenían como objetivo último presionar al Gobierno en favor de una negociación política que posibilitara abordar la cuestión de la independencia de Cataluña, supone una injerencia en el derecho de reunión, con un devastador efecto desaliento sobre este derecho, que amenaza con empobrecer nuestra democracia, con alinearnos con sociedades disciplinadas por el abuso del sistema penal en la represión de conductas que se desenvuelven en el ámbito material de derechos fundamentales y con alejarnos, en definitiva, de la necesidad de una interpretación y aplicación progresiva de aquellos derechos que posibilitan la normal participación de la ciudadanía en las democracias plenas.</w:t>
      </w:r>
    </w:p>
    <w:p w:rsidR="005728DD" w:rsidRDefault="005728DD" w:rsidP="005728DD">
      <w:pPr>
        <w:pStyle w:val="TextoNormal"/>
      </w:pPr>
    </w:p>
    <w:p w:rsidR="005728DD" w:rsidRDefault="005728DD" w:rsidP="005728DD">
      <w:pPr>
        <w:pStyle w:val="TextoNormal"/>
      </w:pPr>
      <w:r>
        <w:t>Madrid, a dos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5" w:name="SENTENCIA_2021_122"/>
      <w:r>
        <w:lastRenderedPageBreak/>
        <w:t>SENTENCIA 122/2021, de 2 de junio de 2021</w:t>
      </w:r>
    </w:p>
    <w:bookmarkEnd w:id="125"/>
    <w:p w:rsidR="005728DD" w:rsidRDefault="005728DD" w:rsidP="005728DD">
      <w:pPr>
        <w:pStyle w:val="TtuloResolucin"/>
      </w:pPr>
      <w:r>
        <w:t>Pleno</w:t>
      </w:r>
    </w:p>
    <w:p w:rsidR="005728DD" w:rsidRDefault="005728DD" w:rsidP="005728DD">
      <w:pPr>
        <w:pStyle w:val="TtuloBOE"/>
      </w:pPr>
      <w:r>
        <w:t>(BOE núm. 161, de 7 de julio de 2021)</w:t>
      </w:r>
    </w:p>
    <w:p w:rsidR="005728DD" w:rsidRDefault="005728DD" w:rsidP="005728DD">
      <w:pPr>
        <w:pStyle w:val="TextoNormalCentrado"/>
      </w:pPr>
      <w:r>
        <w:t>ECLI:ES:TC:2021:122</w:t>
      </w:r>
    </w:p>
    <w:p w:rsidR="005728DD" w:rsidRDefault="005728DD" w:rsidP="005728DD">
      <w:pPr>
        <w:pStyle w:val="TextoNormalCentrado"/>
      </w:pPr>
    </w:p>
    <w:p w:rsidR="005728DD" w:rsidRDefault="005728DD" w:rsidP="005728DD">
      <w:pPr>
        <w:pStyle w:val="SntesisDescriptiva"/>
      </w:pPr>
      <w:r>
        <w:t>Recurso de amparo 1474-2020. Promovido por don Jordi Cuixart i Navarro respecto de la sentencia de la Sala de lo Penal del Tribunal Supremo que le condenó por un delito de sedición.</w:t>
      </w:r>
    </w:p>
    <w:p w:rsidR="005728DD" w:rsidRDefault="005728DD" w:rsidP="005728DD">
      <w:pPr>
        <w:pStyle w:val="SntesisDescriptiva"/>
      </w:pPr>
    </w:p>
    <w:p w:rsidR="005728DD" w:rsidRDefault="005728DD" w:rsidP="005728DD">
      <w:pPr>
        <w:pStyle w:val="SntesisAnaltica"/>
      </w:pPr>
      <w:r>
        <w:t>Supuesta vulneración de los derechos a la tutela judicial efectiva, al juez imparcial y ordinario predeterminado por la ley, de reunión y a la legalidad penal: sentencia dictada en causa especial en cuya tramitación se observaron las garantías procesales y en la que se impuso una pena que no puede considerarse desproporcionada o que desaliente el ejercicio de otros derechos fundamentales. Voto particular.</w:t>
      </w:r>
    </w:p>
    <w:p w:rsidR="005728DD" w:rsidRDefault="005728DD" w:rsidP="005728DD">
      <w:pPr>
        <w:pStyle w:val="SntesisAnaltica"/>
      </w:pPr>
    </w:p>
    <w:p w:rsidR="005728DD" w:rsidRDefault="005728DD" w:rsidP="005728DD">
      <w:pPr>
        <w:pStyle w:val="Extracto"/>
      </w:pPr>
      <w:r>
        <w:t>1.</w:t>
      </w:r>
      <w:r>
        <w:tab/>
      </w:r>
      <w:r w:rsidRPr="005728DD">
        <w:rPr>
          <w:i/>
        </w:rPr>
        <w:t>Derecho al juez ordinario predeterminado por la ley.</w:t>
      </w:r>
      <w:r>
        <w:t xml:space="preserve"> </w:t>
      </w:r>
    </w:p>
    <w:p w:rsidR="005728DD" w:rsidRDefault="005728DD" w:rsidP="005728DD">
      <w:pPr>
        <w:pStyle w:val="Extracto"/>
      </w:pPr>
    </w:p>
    <w:p w:rsidR="005728DD" w:rsidRDefault="005728DD" w:rsidP="005728DD">
      <w:pPr>
        <w:pStyle w:val="Extracto"/>
      </w:pPr>
      <w:r>
        <w:t>2.</w:t>
      </w:r>
      <w:r>
        <w:tab/>
        <w:t>El derecho constitucional al juez ordinario predeterminado por la ley es una consecuencia necesaria del principio de división de poderes y su contenido exige que el órgano judicial haya sido creado previamente por la norma jurídica, que esta le haya investido de jurisdicción y competencia con anterioridad al hecho y que su régimen orgánico y procesal no permita calificarle de órgano especial o excepcional [FJ 4].</w:t>
      </w:r>
    </w:p>
    <w:p w:rsidR="005728DD" w:rsidRDefault="005728DD" w:rsidP="005728DD">
      <w:pPr>
        <w:pStyle w:val="Extracto"/>
      </w:pPr>
    </w:p>
    <w:p w:rsidR="005728DD" w:rsidRDefault="005728DD" w:rsidP="005728DD">
      <w:pPr>
        <w:pStyle w:val="Extracto"/>
      </w:pPr>
      <w:r>
        <w:t>3.</w:t>
      </w:r>
      <w:r>
        <w:tab/>
        <w:t>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y 93/1988) [FJ 4].</w:t>
      </w:r>
    </w:p>
    <w:p w:rsidR="005728DD" w:rsidRDefault="005728DD" w:rsidP="005728DD">
      <w:pPr>
        <w:pStyle w:val="Extracto"/>
      </w:pPr>
    </w:p>
    <w:p w:rsidR="005728DD" w:rsidRDefault="005728DD" w:rsidP="005728DD">
      <w:pPr>
        <w:pStyle w:val="Extracto"/>
      </w:pPr>
      <w:r>
        <w:t>4.</w:t>
      </w:r>
      <w:r>
        <w:tab/>
        <w:t>Le compete al Tribunal revisar que la interpretación y aplicación de las normas de competencia realizadas por el órgano jurisdiccional ordinario sean fundadas en Derecho, no resultando arbitrarias, manifiestamente irrazonables o consecuencia de un error fáctico patente (STC 70/2007) [FJ 4].</w:t>
      </w:r>
    </w:p>
    <w:p w:rsidR="005728DD" w:rsidRDefault="005728DD" w:rsidP="005728DD">
      <w:pPr>
        <w:pStyle w:val="Extracto"/>
      </w:pPr>
    </w:p>
    <w:p w:rsidR="005728DD" w:rsidRDefault="005728DD" w:rsidP="005728DD">
      <w:pPr>
        <w:pStyle w:val="Extracto"/>
      </w:pPr>
      <w:r>
        <w:t>5.</w:t>
      </w:r>
      <w:r>
        <w:tab/>
        <w:t>Doctrina del TEDH en relación con el derecho al juez ordinario predeterminado por la ley [FJ 4].</w:t>
      </w:r>
    </w:p>
    <w:p w:rsidR="005728DD" w:rsidRDefault="005728DD" w:rsidP="005728DD">
      <w:pPr>
        <w:pStyle w:val="Extracto"/>
      </w:pPr>
    </w:p>
    <w:p w:rsidR="005728DD" w:rsidRDefault="005728DD" w:rsidP="005728DD">
      <w:pPr>
        <w:pStyle w:val="Extracto"/>
        <w:rPr>
          <w:i/>
        </w:rPr>
      </w:pPr>
      <w:r>
        <w:t>6.</w:t>
      </w:r>
      <w:r>
        <w:tab/>
      </w:r>
      <w:r w:rsidRPr="005728DD">
        <w:rPr>
          <w:i/>
        </w:rPr>
        <w:t xml:space="preserve">Derecho al doble grado de jurisdicción en los procesos penales desarrollados en instancia única ante el Tribunal Supremo. </w:t>
      </w:r>
    </w:p>
    <w:p w:rsidR="005728DD" w:rsidRDefault="005728DD" w:rsidP="005728DD">
      <w:pPr>
        <w:pStyle w:val="Extracto"/>
      </w:pPr>
    </w:p>
    <w:p w:rsidR="005728DD" w:rsidRDefault="005728DD" w:rsidP="005728DD">
      <w:pPr>
        <w:pStyle w:val="Extracto"/>
      </w:pPr>
      <w:r>
        <w:t>7.</w:t>
      </w:r>
      <w:r>
        <w:tab/>
        <w:t>La restricción del derecho a someter la declaración de la pena y la culpabilidad a un tribunal superior encuentra justificación suficiente incluso cuando, en atención a las reglas procesales de conexión, el enjuiciamiento se extienda a personas no aforadas [FJ 5].</w:t>
      </w:r>
    </w:p>
    <w:p w:rsidR="005728DD" w:rsidRDefault="005728DD" w:rsidP="005728DD">
      <w:pPr>
        <w:pStyle w:val="Extracto"/>
      </w:pPr>
    </w:p>
    <w:p w:rsidR="005728DD" w:rsidRDefault="005728DD" w:rsidP="005728DD">
      <w:pPr>
        <w:pStyle w:val="Extracto"/>
      </w:pPr>
      <w:r>
        <w:lastRenderedPageBreak/>
        <w:t>8.</w:t>
      </w:r>
      <w:r>
        <w:tab/>
        <w:t>Dentro de las exigencias de una buena administración de justicia en materia penal se encuentra la necesidad de coordinar la apreciación de los hechos y de las responsabilidades de los intervinientes cuando la realización del delito se atribuye al concurso de una pluralidad de personas o a la realización conjunta de una pluralidad de hechos [FJ 5].</w:t>
      </w:r>
    </w:p>
    <w:p w:rsidR="005728DD" w:rsidRDefault="005728DD" w:rsidP="005728DD">
      <w:pPr>
        <w:pStyle w:val="Extracto"/>
      </w:pPr>
    </w:p>
    <w:p w:rsidR="005728DD" w:rsidRDefault="005728DD" w:rsidP="005728DD">
      <w:pPr>
        <w:pStyle w:val="Extracto"/>
      </w:pPr>
      <w:r>
        <w:t>9.</w:t>
      </w:r>
      <w:r>
        <w:tab/>
        <w:t>El Protocolo núm. 7 del CEDH establece una excepción significativa al admitir que los Estados contratantes excluyan el derecho al doble grado en la instancia penal cuando el culpable haya sido juzgado en primera instancia por el más alto tribunal [FJ 5].</w:t>
      </w:r>
    </w:p>
    <w:p w:rsidR="005728DD" w:rsidRDefault="005728DD" w:rsidP="005728DD">
      <w:pPr>
        <w:pStyle w:val="Extracto"/>
      </w:pPr>
    </w:p>
    <w:p w:rsidR="005728DD" w:rsidRDefault="005728DD" w:rsidP="005728DD">
      <w:pPr>
        <w:pStyle w:val="Extracto"/>
      </w:pPr>
      <w:r>
        <w:t>10.</w:t>
      </w:r>
      <w:r>
        <w:tab/>
      </w:r>
      <w:r w:rsidRPr="005728DD">
        <w:rPr>
          <w:i/>
        </w:rPr>
        <w:t>Derechos de defensa y a no ser discriminado por razón de lengua.</w:t>
      </w:r>
      <w:r>
        <w:t xml:space="preserve"> </w:t>
      </w:r>
    </w:p>
    <w:p w:rsidR="005728DD" w:rsidRDefault="005728DD" w:rsidP="005728DD">
      <w:pPr>
        <w:pStyle w:val="Extracto"/>
      </w:pPr>
    </w:p>
    <w:p w:rsidR="005728DD" w:rsidRDefault="005728DD" w:rsidP="005728DD">
      <w:pPr>
        <w:pStyle w:val="Extracto"/>
      </w:pPr>
      <w:r>
        <w:t>11.</w:t>
      </w:r>
      <w:r>
        <w:tab/>
        <w:t>Doctrina sobre el derecho de defensa [FJ 6].</w:t>
      </w:r>
    </w:p>
    <w:p w:rsidR="005728DD" w:rsidRDefault="005728DD" w:rsidP="005728DD">
      <w:pPr>
        <w:pStyle w:val="Extracto"/>
      </w:pPr>
    </w:p>
    <w:p w:rsidR="005728DD" w:rsidRDefault="005728DD" w:rsidP="005728DD">
      <w:pPr>
        <w:pStyle w:val="Extracto"/>
      </w:pPr>
      <w:r>
        <w:t>12.</w:t>
      </w:r>
      <w:r>
        <w:tab/>
        <w:t>La procedencia, en cada caso, de la asistencia de intérprete, exige valorar no sólo el derecho y deber de conocer el castellano (art. 3 CE), sino el hecho concreto de la ignorancia o conocimiento precario de nuestra lengua común, en cuanto afecte al ejercicio del derecho fundamental de defensa (STC 71/1988) [FJ 6].</w:t>
      </w:r>
    </w:p>
    <w:p w:rsidR="005728DD" w:rsidRDefault="005728DD" w:rsidP="005728DD">
      <w:pPr>
        <w:pStyle w:val="Extracto"/>
      </w:pPr>
    </w:p>
    <w:p w:rsidR="005728DD" w:rsidRDefault="005728DD" w:rsidP="005728DD">
      <w:pPr>
        <w:pStyle w:val="Extracto"/>
      </w:pPr>
      <w:r>
        <w:t>13.</w:t>
      </w:r>
      <w:r>
        <w:tab/>
      </w:r>
      <w:r w:rsidRPr="005728DD">
        <w:rPr>
          <w:i/>
        </w:rPr>
        <w:t>Derecho a un juez imparcial.</w:t>
      </w:r>
      <w:r>
        <w:t xml:space="preserve"> </w:t>
      </w:r>
    </w:p>
    <w:p w:rsidR="005728DD" w:rsidRDefault="005728DD" w:rsidP="005728DD">
      <w:pPr>
        <w:pStyle w:val="Extracto"/>
      </w:pPr>
    </w:p>
    <w:p w:rsidR="005728DD" w:rsidRDefault="005728DD" w:rsidP="005728DD">
      <w:pPr>
        <w:pStyle w:val="Extracto"/>
      </w:pPr>
      <w:r>
        <w:t>14.</w:t>
      </w:r>
      <w:r>
        <w:tab/>
        <w:t>La obligación de ser ajeno al litigio puede resumirse en dos reglas: que el juez no puede asumir procesalmente funciones de parte y que no puede realizar actos ni mantener con las partes relaciones jurídicas o conexiones de hecho que puedan poner de manifiesto o exteriorizar una previa toma de posición anímica a su favor o en contra (STC 5/2004) [FJ 7].</w:t>
      </w:r>
    </w:p>
    <w:p w:rsidR="005728DD" w:rsidRDefault="005728DD" w:rsidP="005728DD">
      <w:pPr>
        <w:pStyle w:val="Extracto"/>
      </w:pPr>
    </w:p>
    <w:p w:rsidR="005728DD" w:rsidRDefault="005728DD" w:rsidP="005728DD">
      <w:pPr>
        <w:pStyle w:val="Extracto"/>
      </w:pPr>
      <w:r>
        <w:t>15.</w:t>
      </w:r>
      <w:r>
        <w:tab/>
        <w:t xml:space="preserve">La imparcialidad subjetiva garantiza que el juez no ha mantenido relaciones indebidas con las partes y la imparcialidad objetiva se asegura que el juez se acerca al </w:t>
      </w:r>
      <w:r w:rsidRPr="005728DD">
        <w:rPr>
          <w:i/>
        </w:rPr>
        <w:t xml:space="preserve">thema decidendi </w:t>
      </w:r>
      <w:r>
        <w:t>sin haber tomado postura en relación con él (STC 47/2011) [FJ 7].</w:t>
      </w:r>
    </w:p>
    <w:p w:rsidR="005728DD" w:rsidRDefault="005728DD" w:rsidP="005728DD">
      <w:pPr>
        <w:pStyle w:val="Extracto"/>
      </w:pPr>
    </w:p>
    <w:p w:rsidR="005728DD" w:rsidRDefault="005728DD" w:rsidP="005728DD">
      <w:pPr>
        <w:pStyle w:val="Extracto"/>
      </w:pPr>
      <w:r>
        <w:t>16.</w:t>
      </w:r>
      <w:r>
        <w:tab/>
        <w:t>La imparcialidad del juez ha de presumirse y las sospechas sobre su idoneidad han de ser probadas y han de fundarse en causas tasadas e interpretadas restrictivamente sin posibilidad de aplicaciones extensivas o analógicas (STC 60/2008) [FJ 7].</w:t>
      </w:r>
    </w:p>
    <w:p w:rsidR="005728DD" w:rsidRDefault="005728DD" w:rsidP="005728DD">
      <w:pPr>
        <w:pStyle w:val="Extracto"/>
      </w:pPr>
    </w:p>
    <w:p w:rsidR="005728DD" w:rsidRDefault="005728DD" w:rsidP="005728DD">
      <w:pPr>
        <w:pStyle w:val="Extracto"/>
      </w:pPr>
      <w:r>
        <w:t>17.</w:t>
      </w:r>
      <w:r>
        <w:tab/>
        <w:t>Es lícito que el legislador imponga la carga de impugnar la idoneidad subjetiva con premura y que, en consecuencia, limite o excluya la posibilidad de invocación tardía de la causa de recusación cuando esta se dirija a anular lo ya decidido definitivamente por él [FJ 7].</w:t>
      </w:r>
    </w:p>
    <w:p w:rsidR="005728DD" w:rsidRDefault="005728DD" w:rsidP="005728DD">
      <w:pPr>
        <w:pStyle w:val="Extracto"/>
      </w:pPr>
    </w:p>
    <w:p w:rsidR="005728DD" w:rsidRDefault="005728DD" w:rsidP="005728DD">
      <w:pPr>
        <w:pStyle w:val="Extracto"/>
      </w:pPr>
      <w:r>
        <w:t>18.</w:t>
      </w:r>
      <w:r>
        <w:tab/>
        <w:t>Doctrina del TEDH sobre el derecho a un juez imparcial [FJ 7].</w:t>
      </w:r>
    </w:p>
    <w:p w:rsidR="005728DD" w:rsidRDefault="005728DD" w:rsidP="005728DD">
      <w:pPr>
        <w:pStyle w:val="Extracto"/>
      </w:pPr>
    </w:p>
    <w:p w:rsidR="005728DD" w:rsidRDefault="005728DD" w:rsidP="005728DD">
      <w:pPr>
        <w:pStyle w:val="Extracto"/>
      </w:pPr>
      <w:r>
        <w:t>19.</w:t>
      </w:r>
      <w:r>
        <w:tab/>
        <w:t>Cualquier duda basada en convicciones personales o criterios subjetivos o en hechos u opiniones de terceros no puede implicar la tacha de parcialidad de un ma</w:t>
      </w:r>
      <w:r>
        <w:lastRenderedPageBreak/>
        <w:t>gistrado, al margen de su comportamiento, porque entonces se estaría reconociendo un inexistente derecho del ciudadano a conformar el tribunal a su conveniencia [FJ 7].</w:t>
      </w:r>
    </w:p>
    <w:p w:rsidR="005728DD" w:rsidRDefault="005728DD" w:rsidP="005728DD">
      <w:pPr>
        <w:pStyle w:val="Extracto"/>
      </w:pPr>
    </w:p>
    <w:p w:rsidR="005728DD" w:rsidRDefault="005728DD" w:rsidP="005728DD">
      <w:pPr>
        <w:pStyle w:val="Extracto"/>
      </w:pPr>
      <w:r>
        <w:t>20.</w:t>
      </w:r>
      <w:r>
        <w:tab/>
      </w:r>
      <w:r w:rsidRPr="005728DD">
        <w:rPr>
          <w:i/>
        </w:rPr>
        <w:t>Derecho a la presunción de inocencia.</w:t>
      </w:r>
      <w:r>
        <w:t xml:space="preserve"> </w:t>
      </w:r>
    </w:p>
    <w:p w:rsidR="005728DD" w:rsidRDefault="005728DD" w:rsidP="005728DD">
      <w:pPr>
        <w:pStyle w:val="Extracto"/>
      </w:pPr>
    </w:p>
    <w:p w:rsidR="005728DD" w:rsidRDefault="005728DD" w:rsidP="005728DD">
      <w:pPr>
        <w:pStyle w:val="Extracto"/>
      </w:pPr>
      <w:r>
        <w:t>21.</w:t>
      </w:r>
      <w:r>
        <w:tab/>
        <w:t>Doctrina sobre el derecho a la presunción de inocencia [FJ 8].</w:t>
      </w:r>
    </w:p>
    <w:p w:rsidR="005728DD" w:rsidRDefault="005728DD" w:rsidP="005728DD">
      <w:pPr>
        <w:pStyle w:val="Extracto"/>
      </w:pPr>
    </w:p>
    <w:p w:rsidR="005728DD" w:rsidRDefault="005728DD" w:rsidP="005728DD">
      <w:pPr>
        <w:pStyle w:val="Extracto"/>
      </w:pPr>
      <w:r>
        <w:t>22.</w:t>
      </w:r>
      <w:r>
        <w:tab/>
      </w:r>
      <w:r w:rsidRPr="005728DD">
        <w:rPr>
          <w:i/>
        </w:rPr>
        <w:t>Derecho de reunión pacífica.</w:t>
      </w:r>
      <w:r>
        <w:t xml:space="preserve"> </w:t>
      </w:r>
    </w:p>
    <w:p w:rsidR="005728DD" w:rsidRDefault="005728DD" w:rsidP="005728DD">
      <w:pPr>
        <w:pStyle w:val="Extracto"/>
      </w:pPr>
    </w:p>
    <w:p w:rsidR="005728DD" w:rsidRDefault="005728DD" w:rsidP="005728DD">
      <w:pPr>
        <w:pStyle w:val="Extracto"/>
      </w:pPr>
      <w:r>
        <w:t>23.</w:t>
      </w:r>
      <w:r>
        <w:tab/>
        <w:t>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[FJ 9].</w:t>
      </w:r>
    </w:p>
    <w:p w:rsidR="005728DD" w:rsidRDefault="005728DD" w:rsidP="005728DD">
      <w:pPr>
        <w:pStyle w:val="Extracto"/>
      </w:pPr>
    </w:p>
    <w:p w:rsidR="005728DD" w:rsidRDefault="005728DD" w:rsidP="005728DD">
      <w:pPr>
        <w:pStyle w:val="Extracto"/>
      </w:pPr>
      <w:r>
        <w:t>24.</w:t>
      </w:r>
      <w:r>
        <w:tab/>
        <w:t xml:space="preserve">El TEDH califica la libertad de expresión como </w:t>
      </w:r>
      <w:r w:rsidRPr="005728DD">
        <w:rPr>
          <w:i/>
        </w:rPr>
        <w:t xml:space="preserve">lex generalis </w:t>
      </w:r>
      <w:r>
        <w:t xml:space="preserve">en relación con la libertad de reunión (art. 11 CEDH), que de aquella sería </w:t>
      </w:r>
      <w:r w:rsidRPr="005728DD">
        <w:rPr>
          <w:i/>
        </w:rPr>
        <w:t xml:space="preserve">lex specialis </w:t>
      </w:r>
      <w:r>
        <w:t xml:space="preserve">(STEDH de 5 de marzo de 2009, asunto </w:t>
      </w:r>
      <w:r w:rsidRPr="005728DD">
        <w:rPr>
          <w:i/>
        </w:rPr>
        <w:t>Barraco c. Francia</w:t>
      </w:r>
      <w:r>
        <w:t>) [FJ 9].</w:t>
      </w:r>
    </w:p>
    <w:p w:rsidR="005728DD" w:rsidRDefault="005728DD" w:rsidP="005728DD">
      <w:pPr>
        <w:pStyle w:val="Extracto"/>
      </w:pPr>
    </w:p>
    <w:p w:rsidR="005728DD" w:rsidRDefault="005728DD" w:rsidP="005728DD">
      <w:pPr>
        <w:pStyle w:val="Extracto"/>
      </w:pPr>
      <w:r>
        <w:t>25.</w:t>
      </w:r>
      <w:r>
        <w:tab/>
        <w:t>El contenido del derecho de reunión puede verse modulado por los límites a su ejercicio que forzosamente impone la protección de otros bienes o derechos constitucionales [FJ 9].</w:t>
      </w:r>
    </w:p>
    <w:p w:rsidR="005728DD" w:rsidRDefault="005728DD" w:rsidP="005728DD">
      <w:pPr>
        <w:pStyle w:val="Extracto"/>
      </w:pPr>
    </w:p>
    <w:p w:rsidR="005728DD" w:rsidRDefault="005728DD" w:rsidP="005728DD">
      <w:pPr>
        <w:pStyle w:val="Extracto"/>
      </w:pPr>
      <w:r>
        <w:t>26.</w:t>
      </w:r>
      <w:r>
        <w:tab/>
        <w:t>Únicamente serán admisibles las limitaciones del derecho (i) previstas por la ley (ii) que persigan una finalidad legítima y (iii) que sean proporcionales al fin de protección que las justifica (SSTC 59/1990 y 85/1992) [FJ 9].</w:t>
      </w:r>
    </w:p>
    <w:p w:rsidR="005728DD" w:rsidRDefault="005728DD" w:rsidP="005728DD">
      <w:pPr>
        <w:pStyle w:val="Extracto"/>
      </w:pPr>
    </w:p>
    <w:p w:rsidR="005728DD" w:rsidRDefault="005728DD" w:rsidP="005728DD">
      <w:pPr>
        <w:pStyle w:val="Extracto"/>
      </w:pPr>
      <w:r>
        <w:t>27.</w:t>
      </w:r>
      <w:r>
        <w:tab/>
        <w:t>No cabe considerar ejercicio legítimo de la libertad de expresión, reunión o manifestación aquellos mensajes o conductas que, por su contenido o por la forma de desarrollarse, persigan una finalidad ilícita o sean causa de efectos prohibidos por la ley (STC 171/1990) [FJ 9].</w:t>
      </w:r>
    </w:p>
    <w:p w:rsidR="005728DD" w:rsidRDefault="005728DD" w:rsidP="005728DD">
      <w:pPr>
        <w:pStyle w:val="Extracto"/>
      </w:pPr>
    </w:p>
    <w:p w:rsidR="005728DD" w:rsidRDefault="005728DD" w:rsidP="005728DD">
      <w:pPr>
        <w:pStyle w:val="Extracto"/>
      </w:pPr>
      <w:r>
        <w:t>28.</w:t>
      </w:r>
      <w:r>
        <w:tab/>
        <w:t>La necesidad en una sociedad democrática de proteger la efectividad de las resoluciones de los órganos judiciales y de este tribunal como último garante de la Constitución no puede ser razonadamente puesta en entredicho [FJ 9].</w:t>
      </w:r>
    </w:p>
    <w:p w:rsidR="005728DD" w:rsidRDefault="005728DD" w:rsidP="005728DD">
      <w:pPr>
        <w:pStyle w:val="Extracto"/>
      </w:pPr>
    </w:p>
    <w:p w:rsidR="005728DD" w:rsidRDefault="005728DD" w:rsidP="005728DD">
      <w:pPr>
        <w:pStyle w:val="Extracto"/>
        <w:rPr>
          <w:i/>
        </w:rPr>
      </w:pPr>
      <w:r>
        <w:t>29.</w:t>
      </w:r>
      <w:r>
        <w:tab/>
      </w:r>
      <w:r w:rsidRPr="005728DD">
        <w:rPr>
          <w:i/>
        </w:rPr>
        <w:t xml:space="preserve">Derecho fundamental a la legalidad penal. </w:t>
      </w:r>
    </w:p>
    <w:p w:rsidR="005728DD" w:rsidRDefault="005728DD" w:rsidP="005728DD">
      <w:pPr>
        <w:pStyle w:val="Extracto"/>
      </w:pPr>
    </w:p>
    <w:p w:rsidR="005728DD" w:rsidRDefault="005728DD" w:rsidP="005728DD">
      <w:pPr>
        <w:pStyle w:val="Extracto"/>
      </w:pPr>
      <w:r>
        <w:t>30.</w:t>
      </w:r>
      <w:r>
        <w:tab/>
        <w:t>El derecho fundamental a la legalidad penal contiene una garantía formal, anudada al rango exigible a la norma sancionadora, y otra de carácter material, vinculada a la exigencia de certeza y concreción del precepto penal (STC 24/2004) [FJ 10].</w:t>
      </w:r>
    </w:p>
    <w:p w:rsidR="005728DD" w:rsidRDefault="005728DD" w:rsidP="005728DD">
      <w:pPr>
        <w:pStyle w:val="Extracto"/>
      </w:pPr>
    </w:p>
    <w:p w:rsidR="005728DD" w:rsidRDefault="005728DD" w:rsidP="005728DD">
      <w:pPr>
        <w:pStyle w:val="Extracto"/>
      </w:pPr>
      <w:r>
        <w:t>31.</w:t>
      </w:r>
      <w:r>
        <w:tab/>
        <w:t>Doctrina sobre el principio de taxatividad [FJ 10].</w:t>
      </w:r>
    </w:p>
    <w:p w:rsidR="005728DD" w:rsidRDefault="005728DD" w:rsidP="005728DD">
      <w:pPr>
        <w:pStyle w:val="Extracto"/>
      </w:pPr>
    </w:p>
    <w:p w:rsidR="005728DD" w:rsidRDefault="005728DD" w:rsidP="005728DD">
      <w:pPr>
        <w:pStyle w:val="Extracto"/>
      </w:pPr>
      <w:r>
        <w:t>32.</w:t>
      </w:r>
      <w:r>
        <w:tab/>
        <w:t xml:space="preserve">Doctrina sobre la aplicación de la analogía </w:t>
      </w:r>
      <w:r w:rsidRPr="005728DD">
        <w:rPr>
          <w:i/>
        </w:rPr>
        <w:t xml:space="preserve">in malam partem </w:t>
      </w:r>
      <w:r>
        <w:t>y las interpretaciones extensivas de la norma penal por parte de los órganos judiciales [FJ 10].</w:t>
      </w:r>
    </w:p>
    <w:p w:rsidR="005728DD" w:rsidRDefault="005728DD" w:rsidP="005728DD">
      <w:pPr>
        <w:pStyle w:val="Extracto"/>
      </w:pPr>
    </w:p>
    <w:p w:rsidR="005728DD" w:rsidRDefault="005728DD" w:rsidP="005728DD">
      <w:pPr>
        <w:pStyle w:val="Extracto"/>
      </w:pPr>
      <w:r>
        <w:t>33.</w:t>
      </w:r>
      <w:r>
        <w:tab/>
        <w:t>Doctrina sobre la subsunción de los hechos en la norma penal [FJ 10].</w:t>
      </w:r>
    </w:p>
    <w:p w:rsidR="005728DD" w:rsidRDefault="005728DD" w:rsidP="005728DD">
      <w:pPr>
        <w:pStyle w:val="Extracto"/>
      </w:pPr>
    </w:p>
    <w:p w:rsidR="005728DD" w:rsidRDefault="005728DD" w:rsidP="005728DD">
      <w:pPr>
        <w:pStyle w:val="Extracto"/>
      </w:pPr>
      <w:r>
        <w:t>34.</w:t>
      </w:r>
      <w:r>
        <w:tab/>
        <w:t>Doctrina sobre el principio de proporcionalidad de las penas [FJ 10].</w:t>
      </w:r>
    </w:p>
    <w:p w:rsidR="005728DD" w:rsidRDefault="005728DD" w:rsidP="005728DD">
      <w:pPr>
        <w:pStyle w:val="Extracto"/>
      </w:pPr>
    </w:p>
    <w:p w:rsidR="005728DD" w:rsidRDefault="005728DD" w:rsidP="005728DD">
      <w:pPr>
        <w:pStyle w:val="Extracto"/>
      </w:pPr>
      <w:r>
        <w:t>35.</w:t>
      </w:r>
      <w:r>
        <w:tab/>
      </w:r>
      <w:r w:rsidRPr="005728DD">
        <w:rPr>
          <w:i/>
        </w:rPr>
        <w:t>Delito de sedición.</w:t>
      </w:r>
      <w:r>
        <w:t xml:space="preserve"> </w:t>
      </w:r>
    </w:p>
    <w:p w:rsidR="005728DD" w:rsidRDefault="005728DD" w:rsidP="005728DD">
      <w:pPr>
        <w:pStyle w:val="Extracto"/>
      </w:pPr>
    </w:p>
    <w:p w:rsidR="005728DD" w:rsidRDefault="005728DD" w:rsidP="005728DD">
      <w:pPr>
        <w:pStyle w:val="Extracto"/>
      </w:pPr>
      <w:r>
        <w:t>36.</w:t>
      </w:r>
      <w:r>
        <w:tab/>
        <w:t>El delito de sedición surge cuando la reunión de una colectividad de sujetos, además de ser tumultuaria y pública, acude como medios comisivos a actos de fuerza o fuera de las vías legales [FJ 10].</w:t>
      </w:r>
    </w:p>
    <w:p w:rsidR="005728DD" w:rsidRDefault="005728DD" w:rsidP="005728DD">
      <w:pPr>
        <w:pStyle w:val="Extracto"/>
      </w:pPr>
    </w:p>
    <w:p w:rsidR="005728DD" w:rsidRDefault="005728DD" w:rsidP="005728DD">
      <w:pPr>
        <w:pStyle w:val="Extracto"/>
      </w:pPr>
      <w:r>
        <w:t>37.</w:t>
      </w:r>
      <w:r>
        <w:tab/>
        <w:t>En la conducta típica del delito de sedición la actuación del grupo debe tener la finalidad de derogar de hecho la efectividad de las leyes o el cumplimiento de órdenes o resoluciones de funcionarios en el ejercicio legítimo de sus funciones [FJ 10].</w:t>
      </w:r>
    </w:p>
    <w:p w:rsidR="005728DD" w:rsidRDefault="005728DD" w:rsidP="005728DD">
      <w:pPr>
        <w:pStyle w:val="Extracto"/>
      </w:pPr>
    </w:p>
    <w:p w:rsidR="005728DD" w:rsidRDefault="005728DD" w:rsidP="005728DD">
      <w:pPr>
        <w:pStyle w:val="Extracto"/>
      </w:pPr>
      <w:r>
        <w:t>38.</w:t>
      </w:r>
      <w:r>
        <w:tab/>
        <w:t>La trascendencia de esas normas, actos y resoluciones, así como los medios que se empleen para intentar dejarlos sin efecto los que de forma determinante aporten el desvalor que requiere el delito será lo que marcará la integración en el tipo penal [FJ 10].</w:t>
      </w:r>
    </w:p>
    <w:p w:rsidR="005728DD" w:rsidRDefault="005728DD" w:rsidP="005728DD">
      <w:pPr>
        <w:pStyle w:val="Extracto"/>
      </w:pPr>
    </w:p>
    <w:p w:rsidR="005728DD" w:rsidRDefault="005728DD" w:rsidP="005728DD">
      <w:pPr>
        <w:pStyle w:val="Extracto"/>
        <w:rPr>
          <w:i/>
        </w:rPr>
      </w:pPr>
      <w:r>
        <w:t>39.</w:t>
      </w:r>
      <w:r>
        <w:tab/>
      </w:r>
      <w:r w:rsidRPr="005728DD">
        <w:rPr>
          <w:i/>
        </w:rPr>
        <w:t xml:space="preserve">Limitación de la aplicación de las restricciones de derechos del artículo 18 CEDH. </w:t>
      </w:r>
    </w:p>
    <w:p w:rsidR="005728DD" w:rsidRDefault="005728DD" w:rsidP="005728DD">
      <w:pPr>
        <w:pStyle w:val="Extracto"/>
      </w:pPr>
    </w:p>
    <w:p w:rsidR="005728DD" w:rsidRDefault="005728DD" w:rsidP="005728DD">
      <w:pPr>
        <w:pStyle w:val="Extracto"/>
      </w:pPr>
      <w:r>
        <w:t>40.</w:t>
      </w:r>
      <w:r>
        <w:tab/>
        <w:t xml:space="preserve">El artículo 18 CEDH solo puede aplicarse de forma conjunta con un precepto que establezca un derecho y en tanto no sea un derecho absoluto, sino que admita restricciones (STEDH de 28 de noviembre de 2017, asunto </w:t>
      </w:r>
      <w:r w:rsidRPr="005728DD">
        <w:rPr>
          <w:i/>
        </w:rPr>
        <w:t>Merabishvili c. Georgia</w:t>
      </w:r>
      <w:r>
        <w:t>) [FJ 11].</w:t>
      </w:r>
    </w:p>
    <w:p w:rsidR="005728DD" w:rsidRDefault="005728DD" w:rsidP="005728DD">
      <w:pPr>
        <w:pStyle w:val="Extracto"/>
      </w:pPr>
    </w:p>
    <w:p w:rsidR="005728DD" w:rsidRDefault="005728DD" w:rsidP="005728DD">
      <w:pPr>
        <w:pStyle w:val="Extracto"/>
      </w:pPr>
      <w:r>
        <w:t>41.</w:t>
      </w:r>
      <w:r>
        <w:tab/>
        <w:t xml:space="preserve">El artículo 18 CEDH prohíbe expresamente la limitación de los derechos para fines no previstos en el Convenio, y, en tal medida, es autónomo (STEDH de 28 de noviembre de 2017, asunto </w:t>
      </w:r>
      <w:r w:rsidRPr="005728DD">
        <w:rPr>
          <w:i/>
        </w:rPr>
        <w:t>Merabishvili c. Georgia</w:t>
      </w:r>
      <w:r>
        <w:t>) [FJ 11].</w:t>
      </w:r>
    </w:p>
    <w:p w:rsidR="005728DD" w:rsidRDefault="005728DD" w:rsidP="005728DD">
      <w:pPr>
        <w:pStyle w:val="Extracto"/>
      </w:pPr>
    </w:p>
    <w:p w:rsidR="005728DD" w:rsidRDefault="005728DD" w:rsidP="005728DD">
      <w:pPr>
        <w:pStyle w:val="Extracto"/>
      </w:pPr>
      <w:r>
        <w:t>42.</w:t>
      </w:r>
      <w:r>
        <w:tab/>
        <w:t xml:space="preserve">En situaciones continuadas o ante restricciones reiteradas, las finalidades que motivan la limitación pueden variar y, con ello, la valoración de la finalidad predominante, por lo que debe revisarse cuál es esa finalidad a lo largo del tiempo (STEDH de 28 de noviembre de 2017, asunto </w:t>
      </w:r>
      <w:r w:rsidRPr="005728DD">
        <w:rPr>
          <w:i/>
        </w:rPr>
        <w:t>Merabishvili c. Georgia</w:t>
      </w:r>
      <w:r>
        <w:t>) [FJ 11].</w:t>
      </w:r>
    </w:p>
    <w:p w:rsidR="005728DD" w:rsidRDefault="005728DD" w:rsidP="005728DD">
      <w:pPr>
        <w:pStyle w:val="Extracto"/>
      </w:pPr>
    </w:p>
    <w:p w:rsidR="005728DD" w:rsidRDefault="005728DD" w:rsidP="005728DD">
      <w:pPr>
        <w:pStyle w:val="Extracto"/>
      </w:pPr>
      <w:r>
        <w:t>43.</w:t>
      </w:r>
      <w:r>
        <w:tab/>
        <w:t xml:space="preserve">La significación política de una persona y su liderazgo no puede generar una inmunidad penal cuando lo que se enjuicia son conductas que trascienden la actividad reivindicativa para pasar a integrar una estrategia política impuesta mediante la sinergia de mecanismos normativos inconstitucionales y vías de hecho impuestas por la fuerza (STEDH de 31 de mayo de 2011, asunto </w:t>
      </w:r>
      <w:r w:rsidRPr="005728DD">
        <w:rPr>
          <w:i/>
        </w:rPr>
        <w:t>Khodorkovskiy c. Rusia</w:t>
      </w:r>
      <w:r>
        <w:t>) [FJ 11].</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 xml:space="preserve">El Pleno del Tribunal Constitucional, compuesto por el magistrado don Juan José González Rivas, presidente; la magistrada doña Encarnación Roca Trías; los magistrados don Andrés Ollero Tassara, don Santiago Martínez-Vares García, don Juan Antonio Xiol Ríos, </w:t>
      </w:r>
      <w:r>
        <w:lastRenderedPageBreak/>
        <w:t>don Pedro José González-Trevijano Sánchez, don Alfredo Montoya Melgar, don Ricardo Enríquez Sancho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avocado núm. 1474-2020, promovido por don Jordi Cuixart i Navarro, representado por el procurador de los tribunales don Luis Fernando Granados Bravo y asistido por el letrado don Benet Salellas i Vilar, contra: (i) la sentencia núm. 459/2019, de 14 de octubre, dictada en la causa especial núm. 20907-2017, y (ii) el auto de fecha 29 de enero de 2020, que desestimó los incidentes de nulidad interpuestos contra la sentencia antes indicada. Han comparecido el abogado del Estado,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presidente don Juan José González Rivas.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5 de marzo de 2020, don Luis Fernando Granados Bravo, procurador de los tribunales, en nombre y representación de don Jordi Cuixart i Navarro, interpuso recurso de amparo contra las resoluciones judiciales a las que se ha hecho mención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Son antecedentes procesales relevantes para resolver el presente recurso, los siguientes:</w:t>
      </w:r>
    </w:p>
    <w:p w:rsidR="005728DD" w:rsidRDefault="005728DD" w:rsidP="005728DD">
      <w:pPr>
        <w:pStyle w:val="TextoNormal"/>
      </w:pPr>
    </w:p>
    <w:p w:rsidR="005728DD" w:rsidRDefault="005728DD" w:rsidP="005728DD">
      <w:pPr>
        <w:pStyle w:val="TextoNormal"/>
      </w:pPr>
      <w:r>
        <w:t xml:space="preserve">a) El 22 de septiembre de 2017, el teniente fiscal de la Audiencia Nacional formuló denuncia ante esta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(ANC), entre otros, que se valoraban como obstruccionistas de la actividad policial. Las únicas personas que fueron nominalmente citadas en dicha denuncia fueron don Jordi Sànchez i Picanyol, presidente de la ANC, y don Jordi Cuixart i Navarro, presidente de la entidad Òmnium Cultural.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w:t>
      </w:r>
      <w:r>
        <w:lastRenderedPageBreak/>
        <w:t>curso de las cuales se practicaron diversas diligencias de investigación y se adoptaron medidas cautelares personales respecto de los citados denunciados.</w:t>
      </w:r>
    </w:p>
    <w:p w:rsidR="005728DD" w:rsidRDefault="005728DD" w:rsidP="005728DD">
      <w:pPr>
        <w:pStyle w:val="TextoNormal"/>
      </w:pPr>
    </w:p>
    <w:p w:rsidR="005728DD" w:rsidRDefault="005728DD" w:rsidP="005728DD">
      <w:pPr>
        <w:pStyle w:val="TextoNormal"/>
      </w:pPr>
      <w:r>
        <w:t>b) El 30 de octubre de 2017, el fiscal general del Estado presentó dos querellas por unos mismos hechos que consideraba podían ser constitutivos de los delitos de rebelión (art. 472 CP), sedición (art. 544 CP) y malversación de caudales públicos (art. 432 CP) y/o desobediencia (art. 410 CP).</w:t>
      </w:r>
    </w:p>
    <w:p w:rsidR="005728DD" w:rsidRDefault="005728DD" w:rsidP="005728DD">
      <w:pPr>
        <w:pStyle w:val="TextoNormal"/>
      </w:pPr>
    </w:p>
    <w:p w:rsidR="005728DD" w:rsidRDefault="005728DD" w:rsidP="005728DD">
      <w:pPr>
        <w:pStyle w:val="TextoNormal"/>
      </w:pPr>
      <w:r>
        <w:t>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005728DD" w:rsidRDefault="005728DD" w:rsidP="005728DD">
      <w:pPr>
        <w:pStyle w:val="TextoNormal"/>
      </w:pPr>
    </w:p>
    <w:p w:rsidR="005728DD" w:rsidRDefault="005728DD" w:rsidP="005728DD">
      <w:pPr>
        <w:pStyle w:val="TextoNormal"/>
      </w:pPr>
      <w:r>
        <w:t>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005728DD" w:rsidRDefault="005728DD" w:rsidP="005728DD">
      <w:pPr>
        <w:pStyle w:val="TextoNormal"/>
      </w:pPr>
    </w:p>
    <w:p w:rsidR="005728DD" w:rsidRDefault="005728DD" w:rsidP="005728DD">
      <w:pPr>
        <w:pStyle w:val="TextoNormal"/>
      </w:pPr>
      <w:r>
        <w:t>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005728DD" w:rsidRDefault="005728DD" w:rsidP="005728DD">
      <w:pPr>
        <w:pStyle w:val="TextoNormal"/>
      </w:pPr>
    </w:p>
    <w:p w:rsidR="005728DD" w:rsidRDefault="005728DD" w:rsidP="005728DD">
      <w:pPr>
        <w:pStyle w:val="TextoNormal"/>
      </w:pPr>
      <w:r>
        <w:t>“(i)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005728DD" w:rsidRDefault="005728DD" w:rsidP="005728DD">
      <w:pPr>
        <w:pStyle w:val="TextoNormal"/>
      </w:pPr>
    </w:p>
    <w:p w:rsidR="005728DD" w:rsidRDefault="005728DD" w:rsidP="005728DD">
      <w:pPr>
        <w:pStyle w:val="TextoNormal"/>
      </w:pPr>
      <w:r>
        <w:t>(ii)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005728DD" w:rsidRDefault="005728DD" w:rsidP="005728DD">
      <w:pPr>
        <w:pStyle w:val="TextoNormal"/>
      </w:pPr>
    </w:p>
    <w:p w:rsidR="005728DD" w:rsidRDefault="005728DD" w:rsidP="005728DD">
      <w:pPr>
        <w:pStyle w:val="TextoNormal"/>
      </w:pPr>
      <w:r>
        <w:t xml:space="preserve">d) En aplicación de lo establecido en el art. 21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w:t>
      </w:r>
      <w:r>
        <w:lastRenderedPageBreak/>
        <w:t>Estado en la querella, se tramitaban en dicho juzgado en relación con los hechos también denunciados en la causa especial núm. 20907-2017.</w:t>
      </w:r>
    </w:p>
    <w:p w:rsidR="005728DD" w:rsidRDefault="005728DD" w:rsidP="005728DD">
      <w:pPr>
        <w:pStyle w:val="TextoNormal"/>
      </w:pPr>
    </w:p>
    <w:p w:rsidR="005728DD" w:rsidRDefault="005728DD" w:rsidP="005728DD">
      <w:pPr>
        <w:pStyle w:val="TextoNormal"/>
      </w:pPr>
      <w:r>
        <w:t>Recibida la información solicitada, el magistrado instructor dictó auto de fecha 24 de noviembre de 2017 en el que, apreciando conexidad entre las tres causas, extendió la investigación a los presidentes de las asociaciones Òmnium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005728DD" w:rsidRDefault="005728DD" w:rsidP="005728DD">
      <w:pPr>
        <w:pStyle w:val="TextoNormal"/>
      </w:pPr>
    </w:p>
    <w:p w:rsidR="005728DD" w:rsidRDefault="005728DD" w:rsidP="005728DD">
      <w:pPr>
        <w:pStyle w:val="TextoNormal"/>
      </w:pPr>
      <w:r>
        <w:t>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005728DD" w:rsidRDefault="005728DD" w:rsidP="005728DD">
      <w:pPr>
        <w:pStyle w:val="TextoNormal"/>
      </w:pPr>
    </w:p>
    <w:p w:rsidR="005728DD" w:rsidRDefault="005728DD" w:rsidP="005728DD">
      <w:pPr>
        <w:pStyle w:val="TextoNormal"/>
      </w:pPr>
      <w:r>
        <w:t>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005728DD" w:rsidRDefault="005728DD" w:rsidP="005728DD">
      <w:pPr>
        <w:pStyle w:val="TextoNormal"/>
      </w:pPr>
    </w:p>
    <w:p w:rsidR="005728DD" w:rsidRDefault="005728DD" w:rsidP="005728DD">
      <w:pPr>
        <w:pStyle w:val="TextoNormal"/>
      </w:pPr>
      <w:r>
        <w:t>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005728DD" w:rsidRDefault="005728DD" w:rsidP="005728DD">
      <w:pPr>
        <w:pStyle w:val="TextoNormal"/>
      </w:pPr>
    </w:p>
    <w:p w:rsidR="005728DD" w:rsidRDefault="005728DD" w:rsidP="005728DD">
      <w:pPr>
        <w:pStyle w:val="TextoNormal"/>
      </w:pPr>
      <w:r>
        <w:t xml:space="preserve">e) Por auto de 21 de marzo de 2018 se acordó, entre otros pronunciamientos, el procesamiento del demandante de amparo, junto con otros encausados, por presunto delito de rebelión del art. 472 y concordantes del Código penal. Por auto de 9 de mayo de 2018 se desestimaron los recursos de reforma interpuestos contra la anterior resolución; y por auto de 26 </w:t>
      </w:r>
      <w:r>
        <w:lastRenderedPageBreak/>
        <w:t>de junio de 2018, se desestimaron los recursos de apelación entablados contra el auto de 9 de mayo de 2018.</w:t>
      </w:r>
    </w:p>
    <w:p w:rsidR="005728DD" w:rsidRDefault="005728DD" w:rsidP="005728DD">
      <w:pPr>
        <w:pStyle w:val="TextoNormal"/>
      </w:pPr>
    </w:p>
    <w:p w:rsidR="005728DD" w:rsidRDefault="005728DD" w:rsidP="005728DD">
      <w:pPr>
        <w:pStyle w:val="TextoNormal"/>
      </w:pPr>
      <w:r>
        <w:t>f) Una vez ratificado el procesamiento, el magistrado instructor declaró concluso el sumario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5 de octubre de 2018, el demandante de amparo interesó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el recurrente por el mismo delito por el que había sido procesado.</w:t>
      </w:r>
    </w:p>
    <w:p w:rsidR="005728DD" w:rsidRDefault="005728DD" w:rsidP="005728DD">
      <w:pPr>
        <w:pStyle w:val="TextoNormal"/>
      </w:pPr>
    </w:p>
    <w:p w:rsidR="005728DD" w:rsidRDefault="005728DD" w:rsidP="005728DD">
      <w:pPr>
        <w:pStyle w:val="TextoNormal"/>
      </w:pPr>
      <w:r>
        <w:t>g) En sus conclusiones provisionales, el Ministerio Fiscal calificó los hechos atribuidos al demandante como constitutivos de un delito de rebelión de los arts. 472.1, 5 y 7, 473, inciso primero (promotores y/o jefes principales) y 478 del Código penal, por el que interesó la imposición de las penas de diecisiete años de prisión y de diecisiete años de inhabilitación absoluta y la condena en costas. No se ejercitó la acción civil, sin perjuicio de la remisión de particulares y de la sentencia al Tribunal de Cuentas, de conformidad con lo previsto en los arts. 18.2 de la Ley Orgánica 1/1982, de 12 de mayo, del Tribunal de Cuentas (LOTCu), y 16, 17 y 49.3 de la Ley 7/1988, de 5 de abril, de Funcionamiento del Tribunal de Cuentas (LFTCu), para el establecimiento y reclamación definitiva de las cantidades totales desviadas.</w:t>
      </w:r>
    </w:p>
    <w:p w:rsidR="005728DD" w:rsidRDefault="005728DD" w:rsidP="005728DD">
      <w:pPr>
        <w:pStyle w:val="TextoNormal"/>
      </w:pPr>
    </w:p>
    <w:p w:rsidR="005728DD" w:rsidRDefault="005728DD" w:rsidP="005728DD">
      <w:pPr>
        <w:pStyle w:val="TextoNormal"/>
      </w:pPr>
      <w:r>
        <w:t>El abogado del Estado calificó los hechos cometidos por el recurrente como constitutivos de un delito de sedición de los arts. 544 y 545.1 CP; y solicitó la imposición de las penas de 8 años de prisión y al mismo tiempo de inhabilitación absoluta, condena en costas y la responsabilidad civil en los términos solicitados por el Ministerio Fiscal.</w:t>
      </w:r>
    </w:p>
    <w:p w:rsidR="005728DD" w:rsidRDefault="005728DD" w:rsidP="005728DD">
      <w:pPr>
        <w:pStyle w:val="TextoNormal"/>
      </w:pPr>
    </w:p>
    <w:p w:rsidR="005728DD" w:rsidRDefault="005728DD" w:rsidP="005728DD">
      <w:pPr>
        <w:pStyle w:val="TextoNormal"/>
      </w:pPr>
      <w:r>
        <w:t xml:space="preserve">La acusación popular consideró que la conducta del recurrente era constitutiva de los siguientes delitos: (i) dos delitos de rebelión de los arts. 472.5 y 7, 473.1 y 2 y 478 CP; (ii) alternativamente, de dos delitos de sedición de los arts. 544 y 545.1 CP, y (iii) un delito de organización criminal de los arts. 570. </w:t>
      </w:r>
      <w:r w:rsidRPr="005728DD">
        <w:rPr>
          <w:i/>
        </w:rPr>
        <w:t>Bis</w:t>
      </w:r>
      <w:r>
        <w:t xml:space="preserve"> 1 y 2 a) y c) y 570 </w:t>
      </w:r>
      <w:r w:rsidRPr="005728DD">
        <w:rPr>
          <w:i/>
        </w:rPr>
        <w:t>quáter</w:t>
      </w:r>
      <w:r>
        <w:t xml:space="preserve"> 2 del Código penal. Por cada delito de rebelión interesó la imposición de las penas de veinticinco años de prisión y de veinte años de inhabilitación absoluta; alternativamente, por cada delito de sedición solicitó las penas de quince años de prisión y de inhabilitación absoluta; y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Nada reclamó respecto del recurrente en concepto de responsabilidad civil y pidió la condena en costas de los acusados.</w:t>
      </w:r>
    </w:p>
    <w:p w:rsidR="005728DD" w:rsidRDefault="005728DD" w:rsidP="005728DD">
      <w:pPr>
        <w:pStyle w:val="TextoNormal"/>
      </w:pPr>
    </w:p>
    <w:p w:rsidR="005728DD" w:rsidRDefault="005728DD" w:rsidP="005728DD">
      <w:pPr>
        <w:pStyle w:val="TextoNormal"/>
      </w:pPr>
      <w:r>
        <w:t xml:space="preserve">h) Mediante escrito de fecha 20 de noviembre de 2018, el demandante promovió, al amparo de los arts. 666.1 y siguientes de la Ley de enjuiciamiento criminal, la declinatoria de jurisdicción como artículo de previo pronunciamiento. En síntesis, consideró que los hechos debían ser conocidos por el Tribunal Superior de Justicia de Cataluña y no por la Sala Segunda del Tribunal Supremo. Afirma que el Tribunal Supremo ha modificado su criterio </w:t>
      </w:r>
      <w:r>
        <w:lastRenderedPageBreak/>
        <w:t>establecido históricamente durante años, y que este “cambio inexplicable de criterio” se presenta como indicio de la voluntad de atraer hacia sí el conocimiento de la causa, constituyendo una sospecha de falta de imparcialidad. Se refiere a un auto de 12 de noviembre de 2014 dictado con ocasión de una querella formulada a raíz de una consulta sobre la independencia de Cataluña celebrada el 9 de noviembre de este mismo año y cita varias distintas causas penales relacionadas con el “proceso soberanista” en las que otros órganos judiciales, principalmente el Tribunal Superior de Justicia de Cataluña, habrían afirmado su competencia para el conocimiento de las querellas formuladas por acusaciones populares. El dictamen del fiscal, favorable a esa competencia, reforzaría las razones para la estimación de la declinatoria de jurisdicción, sobre todo, si se tiene en cuenta —se insiste— en que don Jordi Cuixart no ha tenido nunca la condición de aforado.</w:t>
      </w:r>
    </w:p>
    <w:p w:rsidR="005728DD" w:rsidRDefault="005728DD" w:rsidP="005728DD">
      <w:pPr>
        <w:pStyle w:val="TextoNormal"/>
      </w:pPr>
    </w:p>
    <w:p w:rsidR="005728DD" w:rsidRDefault="005728DD" w:rsidP="005728DD">
      <w:pPr>
        <w:pStyle w:val="TextoNormal"/>
      </w:pPr>
      <w:r>
        <w:t>i) Por auto de fecha 27 de diciembre de 2018, la Sala de lo Penal del Tribunal Supremo desestimó la declinatoria de jurisdicción promovida por el demandante. Dicho órgano resolvió confirmar su competencia para conocer de los hechos que las partes acusadoras consideran constitutivos de los delitos de rebelión, sedición, malversación de caudales públicos y desobediencia.</w:t>
      </w:r>
    </w:p>
    <w:p w:rsidR="005728DD" w:rsidRDefault="005728DD" w:rsidP="005728DD">
      <w:pPr>
        <w:pStyle w:val="TextoNormal"/>
      </w:pPr>
    </w:p>
    <w:p w:rsidR="005728DD" w:rsidRDefault="005728DD" w:rsidP="005728DD">
      <w:pPr>
        <w:pStyle w:val="TextoNormal"/>
      </w:pPr>
      <w:r>
        <w:t>j) En fecha 15 de enero de 2019, el demandante presentó el escrito de conclusiones provisionales, conforme a lo dispuesto en el art. 652 LECrim, en el que interesó su libre absolución. Dicho escrito comenzaba con una extensa exposición en que ponía de manifiesto que el juicio se celebraría en un contexto de vulneración de derechos fundamentales entre los cuales se refería a las libertades de expresión y reunión, el derecho de autodeterminación, la prohibición de tortura, y los derechos al juez natural, al doble grado de jurisdicción, a un tribunal independiente e imparcial, al proceso debido, a la legalidad penal, a la presunción de inocencia y a la libertad personal. Asimismo, propuso la prueba que consideró pertinente y manifestó hacer suya la prueba propuesta por el Ministerio Fiscal y demás partes comparecidas.</w:t>
      </w:r>
    </w:p>
    <w:p w:rsidR="005728DD" w:rsidRDefault="005728DD" w:rsidP="005728DD">
      <w:pPr>
        <w:pStyle w:val="TextoNormal"/>
      </w:pPr>
    </w:p>
    <w:p w:rsidR="005728DD" w:rsidRDefault="005728DD" w:rsidP="005728DD">
      <w:pPr>
        <w:pStyle w:val="TextoNormal"/>
      </w:pPr>
      <w:r>
        <w:t>k) Mediante auto de 1 de febrero de 2019 se señalaron las fechas de celebración del juicio oral, cuyo inicio se fijó para el día 12 de febrero y su finalización para el 1 de junio del 2019. Asimismo, el órgano de enjuiciamiento resolvió sobre la admisión de las pruebas propuestas por las partes. En concreto, en el fundamento jurídico quinto (págs. 76 a 92) figuran las pruebas interesadas por el recurrente con indicación de las que fueron admitidas y las que se rechazaron por considerarse impertinentes.</w:t>
      </w:r>
    </w:p>
    <w:p w:rsidR="005728DD" w:rsidRDefault="005728DD" w:rsidP="005728DD">
      <w:pPr>
        <w:pStyle w:val="TextoNormal"/>
      </w:pPr>
    </w:p>
    <w:p w:rsidR="005728DD" w:rsidRDefault="005728DD" w:rsidP="005728DD">
      <w:pPr>
        <w:pStyle w:val="TextoNormal"/>
      </w:pPr>
      <w:r>
        <w:t xml:space="preserve">l) Con fecha 12 de febrero de 2019 y antes del comienzo de la práctica de la prueba en el juicio oral, el recurrente alegó cuestiones previas basadas en vulneraciones de derechos fundamentales respecto de las cuales se remitió a su escrito de defensa. En la exposición oral se refiere a los siguientes derechos: (i) derecho a la prueba y a la igualdad de armas en el proceso por la denegación, por el citado auto de 1 de febrero de 2019, de pruebas testificales y periciales propuestas; (ii) libertades de expresión y de reunión, en cuanto la conducta del procesado estaría amparada por el ejercicio de tales derechos; (iii) prohibición de la tortura, en cuanto no se hace referencia en el escrito de acusación de la fiscalía a los ciudadanos lesionados por la acción policial; (iv) derechos procesales, entre los que cita el derecho a un juez ordinario predeterminado por la ley, por la incompetencia del Tribunal Supremo, a un tribunal independiente e imparcial y a un proceso con todas las garantías, haciendo especial hincapié en que el registro practicado el 20 de septiembre de 2017 no estaba autorizado en </w:t>
      </w:r>
      <w:r>
        <w:lastRenderedPageBreak/>
        <w:t>su mayoría por la autoridad judicial, pues el auto que lo acordó se circunscribía a cuatro despachos; y en lo resuelto en la STEDH de 7 de junio del 2018, en el asunt</w:t>
      </w:r>
      <w:r w:rsidRPr="005728DD">
        <w:rPr>
          <w:i/>
        </w:rPr>
        <w:t>o Rashad Hasanov c. Azerbaiy</w:t>
      </w:r>
      <w:r>
        <w:t>án.</w:t>
      </w:r>
    </w:p>
    <w:p w:rsidR="005728DD" w:rsidRDefault="005728DD" w:rsidP="005728DD">
      <w:pPr>
        <w:pStyle w:val="TextoNormal"/>
      </w:pPr>
    </w:p>
    <w:p w:rsidR="005728DD" w:rsidRDefault="005728DD" w:rsidP="005728DD">
      <w:pPr>
        <w:pStyle w:val="TextoNormal"/>
      </w:pPr>
      <w:r>
        <w:t>m) En sus conclusiones definitivas, las partes acusadoras mantuvieron sus calificaciones jurídicas y peticiones de penas respecto del demandante. Por su parte, este último modificó sus conclusiones provisionales, en el sentido de interesar, en la conclusión cuarta, la apreciación de la circunstancia eximente (art. 20.7 CP) de obrar en el legítimo ejercicio de los derechos a la libertad de expresión (art. 20 CE), ideológica (art. 16 CE), de asociación (art. 22 CE) y de participación en asuntos públicos (art. 23 CE).</w:t>
      </w:r>
    </w:p>
    <w:p w:rsidR="005728DD" w:rsidRDefault="005728DD" w:rsidP="005728DD">
      <w:pPr>
        <w:pStyle w:val="TextoNormal"/>
      </w:pPr>
    </w:p>
    <w:p w:rsidR="005728DD" w:rsidRDefault="005728DD" w:rsidP="005728DD">
      <w:pPr>
        <w:pStyle w:val="TextoNormal"/>
      </w:pPr>
      <w:r>
        <w:t>En el momento de elevar a definitivas sus conclusiones, la defensa del recurrente dio por reproducidas las consideraciones efectuadas con anterioridad sobre la vulneración de sus derechos fundamentales.</w:t>
      </w:r>
    </w:p>
    <w:p w:rsidR="005728DD" w:rsidRDefault="005728DD" w:rsidP="005728DD">
      <w:pPr>
        <w:pStyle w:val="TextoNormal"/>
      </w:pPr>
    </w:p>
    <w:p w:rsidR="005728DD" w:rsidRDefault="005728DD" w:rsidP="005728DD">
      <w:pPr>
        <w:pStyle w:val="TextoNormal"/>
      </w:pPr>
      <w:r>
        <w:t>n) En fecha 14 de octubre de 2019 recayó sentencia en la referida causa especial, en virtud de la cual el demandante fue considerado autor de un delito de sedición previsto en los arts. 544 y 545.1 CP, y condenado a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una veinticuatroava parte del total de las costas procesales. El demandante fue absuelto de los delitos de rebelión y de organización criminal.</w:t>
      </w:r>
    </w:p>
    <w:p w:rsidR="005728DD" w:rsidRDefault="005728DD" w:rsidP="005728DD">
      <w:pPr>
        <w:pStyle w:val="TextoNormal"/>
      </w:pPr>
    </w:p>
    <w:p w:rsidR="005728DD" w:rsidRDefault="005728DD" w:rsidP="005728DD">
      <w:pPr>
        <w:pStyle w:val="TextoNormal"/>
      </w:pPr>
      <w:r>
        <w:t>ñ) En las páginas 24 a 60 de la sentencia condenatoria se consignan los hechos que el tribunal consideró probados, cuyo tenor literal, es el siguiente:</w:t>
      </w:r>
    </w:p>
    <w:p w:rsidR="005728DD" w:rsidRDefault="005728DD" w:rsidP="005728DD">
      <w:pPr>
        <w:pStyle w:val="TextoNormal"/>
      </w:pPr>
    </w:p>
    <w:p w:rsidR="005728DD" w:rsidRDefault="005728DD" w:rsidP="005728DD">
      <w:pPr>
        <w:pStyle w:val="TextoNormal"/>
      </w:pPr>
      <w:r>
        <w:t>“1. Con fecha 8 de septiembre de 2017, el ‘Diario Oficial de la Generalitat’ núm. 7451-A publicó la Ley del Parlament de Cataluña 20/2017, 8 de septiembre, de transitoriedad jurídica y fundacional de la República.</w:t>
      </w:r>
    </w:p>
    <w:p w:rsidR="005728DD" w:rsidRDefault="005728DD" w:rsidP="005728DD">
      <w:pPr>
        <w:pStyle w:val="TextoNormal"/>
      </w:pPr>
    </w:p>
    <w:p w:rsidR="005728DD" w:rsidRDefault="005728DD" w:rsidP="005728DD">
      <w:pPr>
        <w:pStyle w:val="TextoNormal"/>
      </w:pPr>
      <w:r>
        <w:t>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005728DD" w:rsidRDefault="005728DD" w:rsidP="005728DD">
      <w:pPr>
        <w:pStyle w:val="TextoNormal"/>
      </w:pPr>
    </w:p>
    <w:p w:rsidR="005728DD" w:rsidRDefault="005728DD" w:rsidP="005728DD">
      <w:pPr>
        <w:pStyle w:val="TextoNormal"/>
      </w:pPr>
      <w:r>
        <w:t>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w:t>
      </w:r>
      <w:r>
        <w:lastRenderedPageBreak/>
        <w:t>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005728DD" w:rsidRDefault="005728DD" w:rsidP="005728DD">
      <w:pPr>
        <w:pStyle w:val="TextoNormal"/>
      </w:pPr>
    </w:p>
    <w:p w:rsidR="005728DD" w:rsidRDefault="005728DD" w:rsidP="005728DD">
      <w:pPr>
        <w:pStyle w:val="TextoNormal"/>
      </w:pPr>
      <w:r>
        <w:t>Se atribuía al Parlament, a propuesta del Gobierno de la Generalidad, una vez oída la Sala de Gobierno del Tribunal Supremo, el nombramiento del Fiscal General de Cataluña.</w:t>
      </w:r>
    </w:p>
    <w:p w:rsidR="005728DD" w:rsidRDefault="005728DD" w:rsidP="005728DD">
      <w:pPr>
        <w:pStyle w:val="TextoNormal"/>
      </w:pPr>
    </w:p>
    <w:p w:rsidR="005728DD" w:rsidRDefault="005728DD" w:rsidP="005728DD">
      <w:pPr>
        <w:pStyle w:val="TextoNormal"/>
      </w:pPr>
      <w:r>
        <w:t>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005728DD" w:rsidRDefault="005728DD" w:rsidP="005728DD">
      <w:pPr>
        <w:pStyle w:val="TextoNormal"/>
      </w:pPr>
    </w:p>
    <w:p w:rsidR="005728DD" w:rsidRDefault="005728DD" w:rsidP="005728DD">
      <w:pPr>
        <w:pStyle w:val="TextoNormal"/>
      </w:pPr>
      <w:r>
        <w:t>2. La Ley 19/2017, de 6 de septiembre, reguladora del llamado referéndum de autodeterminación, fue publicada en el ‘Diario Oficial de la Generalitat’ núm. 7449A, de 6 de septiembre de 2017.</w:t>
      </w:r>
    </w:p>
    <w:p w:rsidR="005728DD" w:rsidRDefault="005728DD" w:rsidP="005728DD">
      <w:pPr>
        <w:pStyle w:val="TextoNormal"/>
      </w:pPr>
    </w:p>
    <w:p w:rsidR="005728DD" w:rsidRDefault="005728DD" w:rsidP="005728DD">
      <w:pPr>
        <w:pStyle w:val="TextoNormal"/>
      </w:pPr>
      <w:r>
        <w:t>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005728DD" w:rsidRDefault="005728DD" w:rsidP="005728DD">
      <w:pPr>
        <w:pStyle w:val="TextoNormal"/>
      </w:pPr>
    </w:p>
    <w:p w:rsidR="005728DD" w:rsidRDefault="005728DD" w:rsidP="005728DD">
      <w:pPr>
        <w:pStyle w:val="TextoNormal"/>
      </w:pPr>
      <w:r>
        <w:t>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005728DD" w:rsidRDefault="005728DD" w:rsidP="005728DD">
      <w:pPr>
        <w:pStyle w:val="TextoNormal"/>
      </w:pPr>
    </w:p>
    <w:p w:rsidR="005728DD" w:rsidRDefault="005728DD" w:rsidP="005728DD">
      <w:pPr>
        <w:pStyle w:val="TextoNormal"/>
      </w:pPr>
      <w: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Dña. Carme Forcadell Lluís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w:t>
      </w:r>
      <w:r>
        <w:lastRenderedPageBreak/>
        <w:t>i Solé, Consejera de Gobernación, Administraciones Públicas y Vivienda; y D. Carles Mundó i Blanch, Consejero de Justicia.</w:t>
      </w:r>
    </w:p>
    <w:p w:rsidR="005728DD" w:rsidRDefault="005728DD" w:rsidP="005728DD">
      <w:pPr>
        <w:pStyle w:val="TextoNormal"/>
      </w:pPr>
    </w:p>
    <w:p w:rsidR="005728DD" w:rsidRDefault="005728DD" w:rsidP="005728DD">
      <w:pPr>
        <w:pStyle w:val="TextoNormal"/>
      </w:pPr>
      <w:r>
        <w:t>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005728DD" w:rsidRDefault="005728DD" w:rsidP="005728DD">
      <w:pPr>
        <w:pStyle w:val="TextoNormal"/>
      </w:pPr>
    </w:p>
    <w:p w:rsidR="005728DD" w:rsidRDefault="005728DD" w:rsidP="005728DD">
      <w:pPr>
        <w:pStyle w:val="TextoNormal"/>
      </w:pPr>
      <w:r>
        <w:t>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Sànchez Picanyol y D. Jordi Cuixart Navarro. Eran los líderes respectivos de la Asamblea Nacional Catalana y de Òmnium Cultural, organizaciones ciudadanas que fueron puestas por sus dos principales dirigentes al servicio de la maniobra de presión política que había sido ideada de forma concertada con el resto de los acusados.</w:t>
      </w:r>
    </w:p>
    <w:p w:rsidR="005728DD" w:rsidRDefault="005728DD" w:rsidP="005728DD">
      <w:pPr>
        <w:pStyle w:val="TextoNormal"/>
      </w:pPr>
    </w:p>
    <w:p w:rsidR="005728DD" w:rsidRDefault="005728DD" w:rsidP="005728DD">
      <w:pPr>
        <w:pStyle w:val="TextoNormal"/>
      </w:pPr>
      <w: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w:t>
      </w:r>
      <w:r w:rsidRPr="005728DD">
        <w:rPr>
          <w:i/>
        </w:rPr>
        <w:t>ope legis</w:t>
      </w:r>
      <w:r>
        <w:t xml:space="preserve"> la independencia de Cataluña, a la que debería seguir una declaración formal del Parlament, concretando sus efectos e iniciando el proceso constituyente.</w:t>
      </w:r>
    </w:p>
    <w:p w:rsidR="005728DD" w:rsidRDefault="005728DD" w:rsidP="005728DD">
      <w:pPr>
        <w:pStyle w:val="TextoNormal"/>
      </w:pPr>
    </w:p>
    <w:p w:rsidR="005728DD" w:rsidRDefault="005728DD" w:rsidP="005728DD">
      <w:pPr>
        <w:pStyle w:val="TextoNormal"/>
      </w:pPr>
      <w:r>
        <w:t>Según los datos hechos públicos por el gobierno de la Generalitat, el referéndum arrojó el siguiente resultado: de un total de 5500000 personas con derecho a voto, la cifra total de votantes ascendió a 2286217 personas. Se contabilizaron 2044058 votos favorables al ‘Sí’, cifra esta que representaba el 37 por 100 del censo electoral y poco más de una cuarta parte (el 27%) de la población total de Cataluña en esas fechas.</w:t>
      </w:r>
    </w:p>
    <w:p w:rsidR="005728DD" w:rsidRDefault="005728DD" w:rsidP="005728DD">
      <w:pPr>
        <w:pStyle w:val="TextoNormal"/>
      </w:pPr>
    </w:p>
    <w:p w:rsidR="005728DD" w:rsidRDefault="005728DD" w:rsidP="005728DD">
      <w:pPr>
        <w:pStyle w:val="TextoNormal"/>
      </w:pPr>
      <w:r>
        <w:t>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005728DD" w:rsidRDefault="005728DD" w:rsidP="005728DD">
      <w:pPr>
        <w:pStyle w:val="TextoNormal"/>
      </w:pPr>
    </w:p>
    <w:p w:rsidR="005728DD" w:rsidRDefault="005728DD" w:rsidP="005728DD">
      <w:pPr>
        <w:pStyle w:val="TextoNormal"/>
      </w:pPr>
      <w:r>
        <w:t>La inexistencia de un censo con garantías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005728DD" w:rsidRDefault="005728DD" w:rsidP="005728DD">
      <w:pPr>
        <w:pStyle w:val="TextoNormal"/>
      </w:pPr>
    </w:p>
    <w:p w:rsidR="005728DD" w:rsidRDefault="005728DD" w:rsidP="005728DD">
      <w:pPr>
        <w:pStyle w:val="TextoNormal"/>
      </w:pPr>
      <w:r>
        <w:lastRenderedPageBreak/>
        <w:t>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005728DD" w:rsidRDefault="005728DD" w:rsidP="005728DD">
      <w:pPr>
        <w:pStyle w:val="TextoNormal"/>
      </w:pPr>
    </w:p>
    <w:p w:rsidR="005728DD" w:rsidRDefault="005728DD" w:rsidP="005728DD">
      <w:pPr>
        <w:pStyle w:val="TextoNormal"/>
      </w:pPr>
      <w:r>
        <w:t>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005728DD" w:rsidRDefault="005728DD" w:rsidP="005728DD">
      <w:pPr>
        <w:pStyle w:val="TextoNormal"/>
      </w:pPr>
    </w:p>
    <w:p w:rsidR="005728DD" w:rsidRDefault="005728DD" w:rsidP="005728DD">
      <w:pPr>
        <w:pStyle w:val="TextoNormal"/>
      </w:pPr>
      <w:r>
        <w:t>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005728DD" w:rsidRDefault="005728DD" w:rsidP="005728DD">
      <w:pPr>
        <w:pStyle w:val="TextoNormal"/>
      </w:pPr>
    </w:p>
    <w:p w:rsidR="005728DD" w:rsidRDefault="005728DD" w:rsidP="005728DD">
      <w:pPr>
        <w:pStyle w:val="TextoNormal"/>
      </w:pPr>
      <w:r>
        <w:t>2º) Que, por tanto, carecen de todo valor los que se vienen presentando como resultados del llamado referéndum de autodeterminación.</w:t>
      </w:r>
    </w:p>
    <w:p w:rsidR="005728DD" w:rsidRDefault="005728DD" w:rsidP="005728DD">
      <w:pPr>
        <w:pStyle w:val="TextoNormal"/>
      </w:pPr>
    </w:p>
    <w:p w:rsidR="005728DD" w:rsidRDefault="005728DD" w:rsidP="005728DD">
      <w:pPr>
        <w:pStyle w:val="TextoNormal"/>
      </w:pPr>
      <w:r>
        <w:t>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005728DD" w:rsidRDefault="005728DD" w:rsidP="005728DD">
      <w:pPr>
        <w:pStyle w:val="TextoNormal"/>
      </w:pPr>
    </w:p>
    <w:p w:rsidR="005728DD" w:rsidRDefault="005728DD" w:rsidP="005728DD">
      <w:pPr>
        <w:pStyle w:val="TextoNormal"/>
      </w:pPr>
      <w: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w:t>
      </w:r>
      <w:r>
        <w:lastRenderedPageBreak/>
        <w:t>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005728DD" w:rsidRDefault="005728DD" w:rsidP="005728DD">
      <w:pPr>
        <w:pStyle w:val="TextoNormal"/>
      </w:pPr>
    </w:p>
    <w:p w:rsidR="005728DD" w:rsidRDefault="005728DD" w:rsidP="005728DD">
      <w:pPr>
        <w:pStyle w:val="TextoNormal"/>
      </w:pPr>
      <w:r>
        <w:t>La suscripción de este documento se realizó fuera del Salón de Plenos de la Cámara.</w:t>
      </w:r>
    </w:p>
    <w:p w:rsidR="005728DD" w:rsidRDefault="005728DD" w:rsidP="005728DD">
      <w:pPr>
        <w:pStyle w:val="TextoNormal"/>
      </w:pPr>
    </w:p>
    <w:p w:rsidR="005728DD" w:rsidRDefault="005728DD" w:rsidP="005728DD">
      <w:pPr>
        <w:pStyle w:val="TextoNormal"/>
      </w:pPr>
      <w:r>
        <w:t>6. El 27 de octubre de 2017 cuatro parlamentarios que no son ahora objeto de juicio, pertenecientes a los grupos Junts pel Si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005728DD" w:rsidRDefault="005728DD" w:rsidP="005728DD">
      <w:pPr>
        <w:pStyle w:val="TextoNormal"/>
      </w:pPr>
    </w:p>
    <w:p w:rsidR="005728DD" w:rsidRDefault="005728DD" w:rsidP="005728DD">
      <w:pPr>
        <w:pStyle w:val="TextoNormal"/>
      </w:pPr>
      <w:r>
        <w:t>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005728DD" w:rsidRDefault="005728DD" w:rsidP="005728DD">
      <w:pPr>
        <w:pStyle w:val="TextoNormal"/>
      </w:pPr>
    </w:p>
    <w:p w:rsidR="005728DD" w:rsidRDefault="005728DD" w:rsidP="005728DD">
      <w:pPr>
        <w:pStyle w:val="TextoNormal"/>
      </w:pPr>
      <w:r>
        <w:t>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005728DD" w:rsidRDefault="005728DD" w:rsidP="005728DD">
      <w:pPr>
        <w:pStyle w:val="TextoNormal"/>
      </w:pPr>
    </w:p>
    <w:p w:rsidR="005728DD" w:rsidRDefault="005728DD" w:rsidP="005728DD">
      <w:pPr>
        <w:pStyle w:val="TextoNormal"/>
      </w:pPr>
      <w:r>
        <w:t>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005728DD" w:rsidRDefault="005728DD" w:rsidP="005728DD">
      <w:pPr>
        <w:pStyle w:val="TextoNormal"/>
      </w:pPr>
    </w:p>
    <w:p w:rsidR="005728DD" w:rsidRDefault="005728DD" w:rsidP="005728DD">
      <w:pPr>
        <w:pStyle w:val="TextoNormal"/>
      </w:pPr>
      <w: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w:t>
      </w:r>
      <w:r>
        <w:lastRenderedPageBreak/>
        <w:t>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005728DD" w:rsidRDefault="005728DD" w:rsidP="005728DD">
      <w:pPr>
        <w:pStyle w:val="TextoNormal"/>
      </w:pPr>
    </w:p>
    <w:p w:rsidR="005728DD" w:rsidRDefault="005728DD" w:rsidP="005728DD">
      <w:pPr>
        <w:pStyle w:val="TextoNormal"/>
      </w:pPr>
      <w:r>
        <w:t>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005728DD" w:rsidRDefault="005728DD" w:rsidP="005728DD">
      <w:pPr>
        <w:pStyle w:val="TextoNormal"/>
      </w:pPr>
    </w:p>
    <w:p w:rsidR="005728DD" w:rsidRDefault="005728DD" w:rsidP="005728DD">
      <w:pPr>
        <w:pStyle w:val="TextoNormal"/>
      </w:pPr>
      <w:r>
        <w:t>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 —en adelante, ‘DOGC’— 6 de septiembre de 2017), y 20/2017, de 8 de septiembre, de transitoriedad jurídica y fundacional de la república (‘DOGC’ de 8 de septiembre de 2017).</w:t>
      </w:r>
    </w:p>
    <w:p w:rsidR="005728DD" w:rsidRDefault="005728DD" w:rsidP="005728DD">
      <w:pPr>
        <w:pStyle w:val="TextoNormal"/>
      </w:pPr>
    </w:p>
    <w:p w:rsidR="005728DD" w:rsidRDefault="005728DD" w:rsidP="005728DD">
      <w:pPr>
        <w:pStyle w:val="TextoNormal"/>
      </w:pPr>
      <w:r>
        <w:t>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005728DD" w:rsidRDefault="005728DD" w:rsidP="005728DD">
      <w:pPr>
        <w:pStyle w:val="TextoNormal"/>
      </w:pPr>
    </w:p>
    <w:p w:rsidR="005728DD" w:rsidRDefault="005728DD" w:rsidP="005728DD">
      <w:pPr>
        <w:pStyle w:val="TextoNormal"/>
      </w:pPr>
      <w:r>
        <w:t>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005728DD" w:rsidRDefault="005728DD" w:rsidP="005728DD">
      <w:pPr>
        <w:pStyle w:val="TextoNormal"/>
      </w:pPr>
    </w:p>
    <w:p w:rsidR="005728DD" w:rsidRDefault="005728DD" w:rsidP="005728DD">
      <w:pPr>
        <w:pStyle w:val="TextoNormal"/>
      </w:pPr>
      <w:r>
        <w:t xml:space="preserve">7.1. Las impugnaciones que presidieron el devenir parlamentario de las Leyes 19 y 20 de 2017 estaban en línea con toda una batería de recursos y requerimientos promovidos por el </w:t>
      </w:r>
      <w:r>
        <w:lastRenderedPageBreak/>
        <w:t>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005728DD" w:rsidRDefault="005728DD" w:rsidP="005728DD">
      <w:pPr>
        <w:pStyle w:val="TextoNormal"/>
      </w:pPr>
    </w:p>
    <w:p w:rsidR="005728DD" w:rsidRDefault="005728DD" w:rsidP="005728DD">
      <w:pPr>
        <w:pStyle w:val="TextoNormal"/>
      </w:pPr>
      <w:r>
        <w:t>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005728DD" w:rsidRDefault="005728DD" w:rsidP="005728DD">
      <w:pPr>
        <w:pStyle w:val="TextoNormal"/>
      </w:pPr>
    </w:p>
    <w:p w:rsidR="005728DD" w:rsidRDefault="005728DD" w:rsidP="005728DD">
      <w:pPr>
        <w:pStyle w:val="TextoNormal"/>
      </w:pPr>
      <w:r>
        <w:t>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005728DD" w:rsidRDefault="005728DD" w:rsidP="005728DD">
      <w:pPr>
        <w:pStyle w:val="TextoNormal"/>
      </w:pPr>
    </w:p>
    <w:p w:rsidR="005728DD" w:rsidRDefault="005728DD" w:rsidP="005728DD">
      <w:pPr>
        <w:pStyle w:val="TextoNormal"/>
      </w:pPr>
      <w:r>
        <w:t>Fue admitida a trámite por la mesa e impugnada ante el Tribunal Constitucional que, mediante su sentencia 259/2015, de 2 diciembre, la declaró inconstitucional.</w:t>
      </w:r>
    </w:p>
    <w:p w:rsidR="005728DD" w:rsidRDefault="005728DD" w:rsidP="005728DD">
      <w:pPr>
        <w:pStyle w:val="TextoNormal"/>
      </w:pPr>
    </w:p>
    <w:p w:rsidR="005728DD" w:rsidRDefault="005728DD" w:rsidP="005728DD">
      <w:pPr>
        <w:pStyle w:val="TextoNormal"/>
      </w:pPr>
      <w:r>
        <w:t>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005728DD" w:rsidRDefault="005728DD" w:rsidP="005728DD">
      <w:pPr>
        <w:pStyle w:val="TextoNormal"/>
      </w:pPr>
    </w:p>
    <w:p w:rsidR="005728DD" w:rsidRDefault="005728DD" w:rsidP="005728DD">
      <w:pPr>
        <w:pStyle w:val="TextoNormal"/>
      </w:pPr>
      <w:r>
        <w:t>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005728DD" w:rsidRDefault="005728DD" w:rsidP="005728DD">
      <w:pPr>
        <w:pStyle w:val="TextoNormal"/>
      </w:pPr>
    </w:p>
    <w:p w:rsidR="005728DD" w:rsidRDefault="005728DD" w:rsidP="005728DD">
      <w:pPr>
        <w:pStyle w:val="TextoNormal"/>
      </w:pPr>
      <w:r>
        <w:t>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005728DD" w:rsidRDefault="005728DD" w:rsidP="005728DD">
      <w:pPr>
        <w:pStyle w:val="TextoNormal"/>
      </w:pPr>
    </w:p>
    <w:p w:rsidR="005728DD" w:rsidRDefault="005728DD" w:rsidP="005728DD">
      <w:pPr>
        <w:pStyle w:val="TextoNormal"/>
      </w:pPr>
      <w:r>
        <w:lastRenderedPageBreak/>
        <w:t>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005728DD" w:rsidRDefault="005728DD" w:rsidP="005728DD">
      <w:pPr>
        <w:pStyle w:val="TextoNormal"/>
      </w:pPr>
    </w:p>
    <w:p w:rsidR="005728DD" w:rsidRDefault="005728DD" w:rsidP="005728DD">
      <w:pPr>
        <w:pStyle w:val="TextoNormal"/>
      </w:pPr>
      <w:r>
        <w:t>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005728DD" w:rsidRDefault="005728DD" w:rsidP="005728DD">
      <w:pPr>
        <w:pStyle w:val="TextoNormal"/>
      </w:pPr>
    </w:p>
    <w:p w:rsidR="005728DD" w:rsidRDefault="005728DD" w:rsidP="005728DD">
      <w:pPr>
        <w:pStyle w:val="TextoNormal"/>
      </w:pPr>
      <w:r>
        <w:t>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005728DD" w:rsidRDefault="005728DD" w:rsidP="005728DD">
      <w:pPr>
        <w:pStyle w:val="TextoNormal"/>
      </w:pPr>
    </w:p>
    <w:p w:rsidR="005728DD" w:rsidRDefault="005728DD" w:rsidP="005728DD">
      <w:pPr>
        <w:pStyle w:val="TextoNormal"/>
      </w:pPr>
      <w:r>
        <w:t>El Tribunal Europeo de Derechos Humanos de Estrasburgo ha inadmitido la demanda núm. 70219-17 promovida por una de las personas a la que se impusieron las multas coercitivas por formar parte de esa administración electoral, en decisió</w:t>
      </w:r>
      <w:r w:rsidRPr="005728DD">
        <w:rPr>
          <w:i/>
        </w:rPr>
        <w:t>n Aumatell i Arnau vs Espa</w:t>
      </w:r>
      <w:r>
        <w:t>ña de 11 de septiembre de 2018.</w:t>
      </w:r>
    </w:p>
    <w:p w:rsidR="005728DD" w:rsidRDefault="005728DD" w:rsidP="005728DD">
      <w:pPr>
        <w:pStyle w:val="TextoNormal"/>
      </w:pPr>
    </w:p>
    <w:p w:rsidR="005728DD" w:rsidRDefault="005728DD" w:rsidP="005728DD">
      <w:pPr>
        <w:pStyle w:val="TextoNormal"/>
      </w:pPr>
      <w:r>
        <w:t>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005728DD" w:rsidRDefault="005728DD" w:rsidP="005728DD">
      <w:pPr>
        <w:pStyle w:val="TextoNormal"/>
      </w:pPr>
    </w:p>
    <w:p w:rsidR="005728DD" w:rsidRDefault="005728DD" w:rsidP="005728DD">
      <w:pPr>
        <w:pStyle w:val="TextoNormal"/>
      </w:pPr>
      <w:r>
        <w:t>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005728DD" w:rsidRDefault="005728DD" w:rsidP="005728DD">
      <w:pPr>
        <w:pStyle w:val="TextoNormal"/>
      </w:pPr>
    </w:p>
    <w:p w:rsidR="005728DD" w:rsidRDefault="005728DD" w:rsidP="005728DD">
      <w:pPr>
        <w:pStyle w:val="TextoNormal"/>
      </w:pPr>
      <w:r>
        <w:t xml:space="preserve">El 6 de octubre de 2017, el Gobierno de la Generalitat, mediante una carta firmada por el Vicepresidente del Gobierno de la Generalitat D. Oriol Junqueras, su portavoz D. Jordi </w:t>
      </w:r>
      <w:r>
        <w:lastRenderedPageBreak/>
        <w:t>Turull y el consejero de Asuntos Exteriores D. Raül Romeva comunicó al Parlament el resultado del referéndum, afirmando que había ganado el ‘Sí’ con un 90,18 por 100 de los votos emitidos.</w:t>
      </w:r>
    </w:p>
    <w:p w:rsidR="005728DD" w:rsidRDefault="005728DD" w:rsidP="005728DD">
      <w:pPr>
        <w:pStyle w:val="TextoNormal"/>
      </w:pPr>
    </w:p>
    <w:p w:rsidR="005728DD" w:rsidRDefault="005728DD" w:rsidP="005728DD">
      <w:pPr>
        <w:pStyle w:val="TextoNormal"/>
      </w:pPr>
      <w:r>
        <w:t>7.6. Con anterioridad, el impulso a lo que se presentaba como el camino hacia la independencia, con palmario incumplimiento de las bases de nuestro sistema normativo, había conocido otros hitos fundamentales.</w:t>
      </w:r>
    </w:p>
    <w:p w:rsidR="005728DD" w:rsidRDefault="005728DD" w:rsidP="005728DD">
      <w:pPr>
        <w:pStyle w:val="TextoNormal"/>
      </w:pPr>
    </w:p>
    <w:p w:rsidR="005728DD" w:rsidRDefault="005728DD" w:rsidP="005728DD">
      <w:pPr>
        <w:pStyle w:val="TextoNormal"/>
      </w:pPr>
      <w:r>
        <w:t>Así, el día 30 de marzo de 2015 se formalizó el concierto de actuación ilegal mediante el acuerdo de una hoja de ruta respecto del proceso de independencia entre los partidos políticos Convergencia Democrática de Cataluña (representada por D. Josep Rull Andreu) y Esquerra Republicana de Cataluña, con las entidades soberanistas Òmnium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005728DD" w:rsidRDefault="005728DD" w:rsidP="005728DD">
      <w:pPr>
        <w:pStyle w:val="TextoNormal"/>
      </w:pPr>
    </w:p>
    <w:p w:rsidR="005728DD" w:rsidRDefault="005728DD" w:rsidP="005728DD">
      <w:pPr>
        <w:pStyle w:val="TextoNormal"/>
      </w:pPr>
      <w:r>
        <w:t>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005728DD" w:rsidRDefault="005728DD" w:rsidP="005728DD">
      <w:pPr>
        <w:pStyle w:val="TextoNormal"/>
      </w:pPr>
    </w:p>
    <w:p w:rsidR="005728DD" w:rsidRDefault="005728DD" w:rsidP="005728DD">
      <w:pPr>
        <w:pStyle w:val="TextoNormal"/>
      </w:pPr>
      <w:r>
        <w:t>El 12 de abril de 2015 la ANC —un mes antes de que el acusado D. Jordi Sànchez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005728DD" w:rsidRDefault="005728DD" w:rsidP="005728DD">
      <w:pPr>
        <w:pStyle w:val="TextoNormal"/>
      </w:pPr>
    </w:p>
    <w:p w:rsidR="005728DD" w:rsidRDefault="005728DD" w:rsidP="005728DD">
      <w:pPr>
        <w:pStyle w:val="TextoNormal"/>
      </w:pPr>
      <w:r>
        <w:t>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005728DD" w:rsidRDefault="005728DD" w:rsidP="005728DD">
      <w:pPr>
        <w:pStyle w:val="TextoNormal"/>
      </w:pPr>
    </w:p>
    <w:p w:rsidR="005728DD" w:rsidRDefault="005728DD" w:rsidP="005728DD">
      <w:pPr>
        <w:pStyle w:val="TextoNormal"/>
      </w:pPr>
      <w:r>
        <w:t xml:space="preserve">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w:t>
      </w:r>
      <w:r>
        <w:lastRenderedPageBreak/>
        <w:t>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005728DD" w:rsidRDefault="005728DD" w:rsidP="005728DD">
      <w:pPr>
        <w:pStyle w:val="TextoNormal"/>
      </w:pPr>
    </w:p>
    <w:p w:rsidR="005728DD" w:rsidRDefault="005728DD" w:rsidP="005728DD">
      <w:pPr>
        <w:pStyle w:val="TextoNormal"/>
      </w:pPr>
      <w:r>
        <w:t>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 Jordi Jané por el acusado D. Joaquín Forn, para que respaldara sin reservas la celebración del referéndum. Unos días más tarde, ante el rumbo que tomaban los acontecimientos, también dimitió́ el hasta entonces Director General de Policía de la Generalitat, D. Albert Batlle.</w:t>
      </w:r>
    </w:p>
    <w:p w:rsidR="005728DD" w:rsidRDefault="005728DD" w:rsidP="005728DD">
      <w:pPr>
        <w:pStyle w:val="TextoNormal"/>
      </w:pPr>
    </w:p>
    <w:p w:rsidR="005728DD" w:rsidRDefault="005728DD" w:rsidP="005728DD">
      <w:pPr>
        <w:pStyle w:val="TextoNormal"/>
      </w:pPr>
      <w:r>
        <w:t>Por el mismo motivo y en la misma época, fueron cesadas las consejeras de Enseñanza, Dña. Meritxell Ruiz Isem, y de la presidencia, Dña. Neus Munté Fernández, pasando a ocupar sus cargos Dña. Clara Ponsatí y el acusado D. Jordi Turull. También en ese momento fue cesado el consejero de Industria D. Jordi Baiget, a raíz de haber manifestado en una entrevista que consideraba una irresponsabilidad la celebración de un referéndum unilateral.</w:t>
      </w:r>
    </w:p>
    <w:p w:rsidR="005728DD" w:rsidRDefault="005728DD" w:rsidP="005728DD">
      <w:pPr>
        <w:pStyle w:val="TextoNormal"/>
      </w:pPr>
    </w:p>
    <w:p w:rsidR="005728DD" w:rsidRDefault="005728DD" w:rsidP="005728DD">
      <w:pPr>
        <w:pStyle w:val="TextoNormal"/>
      </w:pPr>
      <w:r>
        <w:t>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 Oriol Junqueras.</w:t>
      </w:r>
    </w:p>
    <w:p w:rsidR="005728DD" w:rsidRDefault="005728DD" w:rsidP="005728DD">
      <w:pPr>
        <w:pStyle w:val="TextoNormal"/>
      </w:pPr>
    </w:p>
    <w:p w:rsidR="005728DD" w:rsidRDefault="005728DD" w:rsidP="005728DD">
      <w:pPr>
        <w:pStyle w:val="TextoNormal"/>
      </w:pPr>
      <w:r>
        <w:t>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005728DD" w:rsidRDefault="005728DD" w:rsidP="005728DD">
      <w:pPr>
        <w:pStyle w:val="TextoNormal"/>
      </w:pPr>
    </w:p>
    <w:p w:rsidR="005728DD" w:rsidRDefault="005728DD" w:rsidP="005728DD">
      <w:pPr>
        <w:pStyle w:val="TextoNormal"/>
      </w:pPr>
      <w: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 Oriol Junqueras. El Pleno del Tribunal Constitucional, por providencia </w:t>
      </w:r>
      <w:r>
        <w:lastRenderedPageBreak/>
        <w:t>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005728DD" w:rsidRDefault="005728DD" w:rsidP="005728DD">
      <w:pPr>
        <w:pStyle w:val="TextoNormal"/>
      </w:pPr>
    </w:p>
    <w:p w:rsidR="005728DD" w:rsidRDefault="005728DD" w:rsidP="005728DD">
      <w:pPr>
        <w:pStyle w:val="TextoNormal"/>
      </w:pPr>
      <w:r>
        <w:t>8.4. En septiembre de 2017, la interventora general de la Generalidad dejó de remitir información al Ministerio de Hacienda comunicando que el vicepresidente y consejero de Economía y Hacienda, D.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005728DD" w:rsidRDefault="005728DD" w:rsidP="005728DD">
      <w:pPr>
        <w:pStyle w:val="TextoNormal"/>
      </w:pPr>
    </w:p>
    <w:p w:rsidR="005728DD" w:rsidRDefault="005728DD" w:rsidP="005728DD">
      <w:pPr>
        <w:pStyle w:val="TextoNormal"/>
      </w:pPr>
      <w:r>
        <w:t>Mediante acuerdo del Gobierno de la Generalitat de fecha 7 de septiembre de 2017 —a propuesta del Vicepresidente, D. Oriol Junqueras, y de los Consejeros de Presidencia, D. Jordi Turull, y de Asuntos Institucionales y Exteriores, D. Raül Romeva— se autorizó a los diferentes departamentos para que realizaran las acciones y contrataciones necesarias para la realización del referéndum.</w:t>
      </w:r>
    </w:p>
    <w:p w:rsidR="005728DD" w:rsidRDefault="005728DD" w:rsidP="005728DD">
      <w:pPr>
        <w:pStyle w:val="TextoNormal"/>
      </w:pPr>
    </w:p>
    <w:p w:rsidR="005728DD" w:rsidRDefault="005728DD" w:rsidP="005728DD">
      <w:pPr>
        <w:pStyle w:val="TextoNormal"/>
      </w:pPr>
      <w:r>
        <w:t>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005728DD" w:rsidRDefault="005728DD" w:rsidP="005728DD">
      <w:pPr>
        <w:pStyle w:val="TextoNormal"/>
      </w:pPr>
    </w:p>
    <w:p w:rsidR="005728DD" w:rsidRDefault="005728DD" w:rsidP="005728DD">
      <w:pPr>
        <w:pStyle w:val="TextoNormal"/>
      </w:pPr>
      <w:r>
        <w:t>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 b) la elaboración del censo electoral, su comunicación formal y trámite, si hace falta, a los ciudadanos y ciudadanas, y su impresión para su utili</w:t>
      </w:r>
      <w:r>
        <w:lastRenderedPageBreak/>
        <w:t>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005728DD" w:rsidRDefault="005728DD" w:rsidP="005728DD">
      <w:pPr>
        <w:pStyle w:val="TextoNormal"/>
      </w:pPr>
    </w:p>
    <w:p w:rsidR="005728DD" w:rsidRDefault="005728DD" w:rsidP="005728DD">
      <w:pPr>
        <w:pStyle w:val="TextoNormal"/>
      </w:pPr>
      <w:r>
        <w:t>Añadía el último apartado que ‘las decisiones y actuaciones nombradas serán tomadas de forma colectiva y colegiada por parte de los miembros del Gobierno, y asumidas de manera solidaria’.</w:t>
      </w:r>
    </w:p>
    <w:p w:rsidR="005728DD" w:rsidRDefault="005728DD" w:rsidP="005728DD">
      <w:pPr>
        <w:pStyle w:val="TextoNormal"/>
      </w:pPr>
    </w:p>
    <w:p w:rsidR="005728DD" w:rsidRDefault="005728DD" w:rsidP="005728DD">
      <w:pPr>
        <w:pStyle w:val="TextoNormal"/>
      </w:pPr>
      <w:r>
        <w:t>9. Los acusados D. Jordi Sànchez Picanyol y D. Jordi Cuixart Navarro eran los líderes respectivos de la Asamblea Nacional Catalana y Òmnium Cultural. Su contribución resultaba decisiva para los fines ideados. Ambas asociaciones cuentan con una amplia e histórica trayectoria de movilización popular. Los Sres.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005728DD" w:rsidRDefault="005728DD" w:rsidP="005728DD">
      <w:pPr>
        <w:pStyle w:val="TextoNormal"/>
      </w:pPr>
    </w:p>
    <w:p w:rsidR="005728DD" w:rsidRDefault="005728DD" w:rsidP="005728DD">
      <w:pPr>
        <w:pStyle w:val="TextoNormal"/>
      </w:pPr>
      <w:r>
        <w:t>El día 20 de septiembre de 2017, los acusados D. Jordi Sànchez Picanyol y D.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005728DD" w:rsidRDefault="005728DD" w:rsidP="005728DD">
      <w:pPr>
        <w:pStyle w:val="TextoNormal"/>
      </w:pPr>
    </w:p>
    <w:p w:rsidR="005728DD" w:rsidRDefault="005728DD" w:rsidP="005728DD">
      <w:pPr>
        <w:pStyle w:val="TextoNormal"/>
      </w:pPr>
      <w:r>
        <w:t xml:space="preserve">Las entidades ANC y Òmnium Cultural, a través de la página web ‘www.crídademocracia.cat’ —concretamente en la subpágina ‘www.cridademocracia.cat/whatsappi’— ofrecieron la opción de unirse a grupos de </w:t>
      </w:r>
      <w:r w:rsidRPr="005728DD">
        <w:rPr>
          <w:i/>
        </w:rPr>
        <w:t>WhatsApp</w:t>
      </w:r>
      <w:r>
        <w:t xml:space="preserve"> desde donde se invitó a la movilización y a estar conectados permanentemente para recibir alertas y poder estar organizados en caso de necesidad. De hecho, ese día 20 de septiembre, Òmnium Cultural, mediante mensajes de </w:t>
      </w:r>
      <w:r>
        <w:lastRenderedPageBreak/>
        <w:t>WhatsApp, a las 8:55 horas llamó a concentrarse, además de en la sede de Vicepresidencia, Economía y Hacienda, en las Consejerías de Exteriores, Bienestar y Familia, y Gobernación.</w:t>
      </w:r>
    </w:p>
    <w:p w:rsidR="005728DD" w:rsidRDefault="005728DD" w:rsidP="005728DD">
      <w:pPr>
        <w:pStyle w:val="TextoNormal"/>
      </w:pPr>
    </w:p>
    <w:p w:rsidR="005728DD" w:rsidRDefault="005728DD" w:rsidP="005728DD">
      <w:pPr>
        <w:pStyle w:val="TextoNormal"/>
      </w:pPr>
      <w:r>
        <w:t>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005728DD" w:rsidRDefault="005728DD" w:rsidP="005728DD">
      <w:pPr>
        <w:pStyle w:val="TextoNormal"/>
      </w:pPr>
    </w:p>
    <w:p w:rsidR="005728DD" w:rsidRDefault="005728DD" w:rsidP="005728DD">
      <w:pPr>
        <w:pStyle w:val="TextoNormal"/>
      </w:pPr>
      <w:r>
        <w:t>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005728DD" w:rsidRDefault="005728DD" w:rsidP="005728DD">
      <w:pPr>
        <w:pStyle w:val="TextoNormal"/>
      </w:pPr>
    </w:p>
    <w:p w:rsidR="005728DD" w:rsidRDefault="005728DD" w:rsidP="005728DD">
      <w:pPr>
        <w:pStyle w:val="TextoNormal"/>
      </w:pPr>
      <w:r>
        <w:t>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005728DD" w:rsidRDefault="005728DD" w:rsidP="005728DD">
      <w:pPr>
        <w:pStyle w:val="TextoNormal"/>
      </w:pPr>
    </w:p>
    <w:p w:rsidR="005728DD" w:rsidRDefault="005728DD" w:rsidP="005728DD">
      <w:pPr>
        <w:pStyle w:val="TextoNormal"/>
      </w:pPr>
      <w:r>
        <w:t>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005728DD" w:rsidRDefault="005728DD" w:rsidP="005728DD">
      <w:pPr>
        <w:pStyle w:val="TextoNormal"/>
      </w:pPr>
    </w:p>
    <w:p w:rsidR="005728DD" w:rsidRDefault="005728DD" w:rsidP="005728DD">
      <w:pPr>
        <w:pStyle w:val="TextoNormal"/>
      </w:pPr>
      <w:r>
        <w:t>Las entidades sociales que animaban la convocatoria montaron una tarima y repartieron agua y bocadillos entre los asistentes.</w:t>
      </w:r>
    </w:p>
    <w:p w:rsidR="005728DD" w:rsidRDefault="005728DD" w:rsidP="005728DD">
      <w:pPr>
        <w:pStyle w:val="TextoNormal"/>
      </w:pPr>
    </w:p>
    <w:p w:rsidR="005728DD" w:rsidRDefault="005728DD" w:rsidP="005728DD">
      <w:pPr>
        <w:pStyle w:val="TextoNormal"/>
      </w:pPr>
      <w:r>
        <w:t>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005728DD" w:rsidRDefault="005728DD" w:rsidP="005728DD">
      <w:pPr>
        <w:pStyle w:val="TextoNormal"/>
      </w:pPr>
    </w:p>
    <w:p w:rsidR="005728DD" w:rsidRDefault="005728DD" w:rsidP="005728DD">
      <w:pPr>
        <w:pStyle w:val="TextoNormal"/>
      </w:pPr>
      <w:r>
        <w:lastRenderedPageBreak/>
        <w:t>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005728DD" w:rsidRDefault="005728DD" w:rsidP="005728DD">
      <w:pPr>
        <w:pStyle w:val="TextoNormal"/>
      </w:pPr>
    </w:p>
    <w:p w:rsidR="005728DD" w:rsidRDefault="005728DD" w:rsidP="005728DD">
      <w:pPr>
        <w:pStyle w:val="TextoNormal"/>
      </w:pPr>
      <w:r>
        <w:t>La efectiva dispersión de los últimos manifestantes tuvo lugar, ya entrada la madrugada, a raíz de unas cargas policiales ejecutadas por la brigada antidisturbios de los Mossos.</w:t>
      </w:r>
    </w:p>
    <w:p w:rsidR="005728DD" w:rsidRDefault="005728DD" w:rsidP="005728DD">
      <w:pPr>
        <w:pStyle w:val="TextoNormal"/>
      </w:pPr>
    </w:p>
    <w:p w:rsidR="005728DD" w:rsidRDefault="005728DD" w:rsidP="005728DD">
      <w:pPr>
        <w:pStyle w:val="TextoNormal"/>
      </w:pPr>
      <w:r>
        <w:t>Durante los disturbios, el acusado D.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005728DD" w:rsidRDefault="005728DD" w:rsidP="005728DD">
      <w:pPr>
        <w:pStyle w:val="TextoNormal"/>
      </w:pPr>
    </w:p>
    <w:p w:rsidR="005728DD" w:rsidRDefault="005728DD" w:rsidP="005728DD">
      <w:pPr>
        <w:pStyle w:val="TextoNormal"/>
      </w:pPr>
      <w:r>
        <w:t>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Sànchez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005728DD" w:rsidRDefault="005728DD" w:rsidP="005728DD">
      <w:pPr>
        <w:pStyle w:val="TextoNormal"/>
      </w:pPr>
    </w:p>
    <w:p w:rsidR="005728DD" w:rsidRDefault="005728DD" w:rsidP="005728DD">
      <w:pPr>
        <w:pStyle w:val="TextoNormal"/>
      </w:pPr>
      <w:r>
        <w:t>Desde la llegada al lugar del acusado D. Jordi Cuixart, este y D. Jordi Sànchez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005728DD" w:rsidRDefault="005728DD" w:rsidP="005728DD">
      <w:pPr>
        <w:pStyle w:val="TextoNormal"/>
      </w:pPr>
    </w:p>
    <w:p w:rsidR="005728DD" w:rsidRDefault="005728DD" w:rsidP="005728DD">
      <w:pPr>
        <w:pStyle w:val="TextoNormal"/>
      </w:pPr>
      <w:r>
        <w:t>Tras esta intervención, tomó la palabra el acusado D.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005728DD" w:rsidRDefault="005728DD" w:rsidP="005728DD">
      <w:pPr>
        <w:pStyle w:val="TextoNormal"/>
      </w:pPr>
    </w:p>
    <w:p w:rsidR="005728DD" w:rsidRDefault="005728DD" w:rsidP="005728DD">
      <w:pPr>
        <w:pStyle w:val="TextoNormal"/>
      </w:pPr>
      <w:r>
        <w:lastRenderedPageBreak/>
        <w:t>Sobre las 23:41 horas, ambos acusados D. Jordi Sànchez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‘desde ese altar’ —en clara referencia al vehículo policial— el Sr. Sànchez y él querían convocar a todos los asistentes a una movilización permanente en defensa de los detenidos, emplazándoles a una concentración que tendría lugar a las 12:00 horas del día siguiente, en el Tribunal Superior de Justicia de Cataluña. Por su parte, D.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005728DD" w:rsidRDefault="005728DD" w:rsidP="005728DD">
      <w:pPr>
        <w:pStyle w:val="TextoNormal"/>
      </w:pPr>
    </w:p>
    <w:p w:rsidR="005728DD" w:rsidRDefault="005728DD" w:rsidP="005728DD">
      <w:pPr>
        <w:pStyle w:val="TextoNormal"/>
      </w:pPr>
      <w:r>
        <w:t>Estos actos fueron promovidos, dirigidos y queridos por los acusados Sres.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005728DD" w:rsidRDefault="005728DD" w:rsidP="005728DD">
      <w:pPr>
        <w:pStyle w:val="TextoNormal"/>
      </w:pPr>
    </w:p>
    <w:p w:rsidR="005728DD" w:rsidRDefault="005728DD" w:rsidP="005728DD">
      <w:pPr>
        <w:pStyle w:val="TextoNormal"/>
      </w:pPr>
      <w:r>
        <w:t>9.1. Hechos similares orientados a impedir el funcionamiento normal de la administración de Justicia tuvieron lugar con ocasión de otros registros y detenciones acordadas por el Juzgado de Instrucción núm. 13 citado.</w:t>
      </w:r>
    </w:p>
    <w:p w:rsidR="005728DD" w:rsidRDefault="005728DD" w:rsidP="005728DD">
      <w:pPr>
        <w:pStyle w:val="TextoNormal"/>
      </w:pPr>
    </w:p>
    <w:p w:rsidR="005728DD" w:rsidRDefault="005728DD" w:rsidP="005728DD">
      <w:pPr>
        <w:pStyle w:val="TextoNormal"/>
      </w:pPr>
      <w:r>
        <w:t>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005728DD" w:rsidRDefault="005728DD" w:rsidP="005728DD">
      <w:pPr>
        <w:pStyle w:val="TextoNormal"/>
      </w:pPr>
    </w:p>
    <w:p w:rsidR="005728DD" w:rsidRDefault="005728DD" w:rsidP="005728DD">
      <w:pPr>
        <w:pStyle w:val="TextoNormal"/>
      </w:pPr>
      <w:r>
        <w:t>Los acusados Sres. Junqueras, Turull, Rull, Romeva, Forn, Sànchez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005728DD" w:rsidRDefault="005728DD" w:rsidP="005728DD">
      <w:pPr>
        <w:pStyle w:val="TextoNormal"/>
      </w:pPr>
    </w:p>
    <w:p w:rsidR="005728DD" w:rsidRDefault="005728DD" w:rsidP="005728DD">
      <w:pPr>
        <w:pStyle w:val="TextoNormal"/>
      </w:pPr>
      <w:r>
        <w:t>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w:t>
      </w:r>
      <w:r>
        <w:lastRenderedPageBreak/>
        <w:t>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Sànchez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005728DD" w:rsidRDefault="005728DD" w:rsidP="005728DD">
      <w:pPr>
        <w:pStyle w:val="TextoNormal"/>
      </w:pPr>
    </w:p>
    <w:p w:rsidR="005728DD" w:rsidRDefault="005728DD" w:rsidP="005728DD">
      <w:pPr>
        <w:pStyle w:val="TextoNormal"/>
      </w:pPr>
      <w:r>
        <w:t>9.2. El día 21 de septiembre de 2017 se congregaron frente a la sede del Tribunal Superior de Justicia de Cataluña unas 20000 personas, convocadas por los Sres. Sànchez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005728DD" w:rsidRDefault="005728DD" w:rsidP="005728DD">
      <w:pPr>
        <w:pStyle w:val="TextoNormal"/>
      </w:pPr>
    </w:p>
    <w:p w:rsidR="005728DD" w:rsidRDefault="005728DD" w:rsidP="005728DD">
      <w:pPr>
        <w:pStyle w:val="TextoNormal"/>
      </w:pPr>
      <w:r>
        <w:t>En el cuartel de la Guardia Civil en Travesera de Gracia, lugar donde los detenidos estaban custodiados, se congregaron 300 personas que llegaron a cortar la circulación.</w:t>
      </w:r>
    </w:p>
    <w:p w:rsidR="005728DD" w:rsidRDefault="005728DD" w:rsidP="005728DD">
      <w:pPr>
        <w:pStyle w:val="TextoNormal"/>
      </w:pPr>
    </w:p>
    <w:p w:rsidR="005728DD" w:rsidRDefault="005728DD" w:rsidP="005728DD">
      <w:pPr>
        <w:pStyle w:val="TextoNormal"/>
      </w:pPr>
      <w:r>
        <w:t>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005728DD" w:rsidRDefault="005728DD" w:rsidP="005728DD">
      <w:pPr>
        <w:pStyle w:val="TextoNormal"/>
      </w:pPr>
    </w:p>
    <w:p w:rsidR="005728DD" w:rsidRDefault="005728DD" w:rsidP="005728DD">
      <w:pPr>
        <w:pStyle w:val="TextoNormal"/>
      </w:pPr>
      <w:r>
        <w:t>En la Ciudad de la Justicia, cuando los detenidos fueron puestos a disposición judicial, se concentraron unas 2000 personas, entre las que se hallaban los acusados Sra. Forcadell y los Sres. Romeva y Junqueras.</w:t>
      </w:r>
    </w:p>
    <w:p w:rsidR="005728DD" w:rsidRDefault="005728DD" w:rsidP="005728DD">
      <w:pPr>
        <w:pStyle w:val="TextoNormal"/>
      </w:pPr>
    </w:p>
    <w:p w:rsidR="005728DD" w:rsidRDefault="005728DD" w:rsidP="005728DD">
      <w:pPr>
        <w:pStyle w:val="TextoNormal"/>
      </w:pPr>
      <w:r>
        <w:t>El 22 de septiembre de 2017 se produjeron concentraciones, con similar inspiración, ante los cuarteles de la Guardia Civil de Canovelles, Vilanova y Ripoll y se empapelaron las oficinas del DNI de la Policía Nacional de Barcelona.</w:t>
      </w:r>
    </w:p>
    <w:p w:rsidR="005728DD" w:rsidRDefault="005728DD" w:rsidP="005728DD">
      <w:pPr>
        <w:pStyle w:val="TextoNormal"/>
      </w:pPr>
    </w:p>
    <w:p w:rsidR="005728DD" w:rsidRDefault="005728DD" w:rsidP="005728DD">
      <w:pPr>
        <w:pStyle w:val="TextoNormal"/>
      </w:pPr>
      <w:r>
        <w:t xml:space="preserve">En relación con la votación, el día 1 de octubre los acusados D. Jordi Sànchez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w:t>
      </w:r>
      <w:r>
        <w:lastRenderedPageBreak/>
        <w:t>Tribunal Constitucional y del Tribunal Superior de Justicia de Cataluña— y a que protegieran después el recuento de los votos frente a las actuaciones que pudieran desarrollar los Cuerpos y Fuerzas de Seguridad del Estado.</w:t>
      </w:r>
    </w:p>
    <w:p w:rsidR="005728DD" w:rsidRDefault="005728DD" w:rsidP="005728DD">
      <w:pPr>
        <w:pStyle w:val="TextoNormal"/>
      </w:pPr>
    </w:p>
    <w:p w:rsidR="005728DD" w:rsidRDefault="005728DD" w:rsidP="005728DD">
      <w:pPr>
        <w:pStyle w:val="TextoNormal"/>
      </w:pPr>
      <w:r>
        <w:t>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005728DD" w:rsidRDefault="005728DD" w:rsidP="005728DD">
      <w:pPr>
        <w:pStyle w:val="TextoNormal"/>
      </w:pPr>
    </w:p>
    <w:p w:rsidR="005728DD" w:rsidRDefault="005728DD" w:rsidP="005728DD">
      <w:pPr>
        <w:pStyle w:val="TextoNormal"/>
      </w:pPr>
      <w:r>
        <w:t>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005728DD" w:rsidRDefault="005728DD" w:rsidP="005728DD">
      <w:pPr>
        <w:pStyle w:val="TextoNormal"/>
      </w:pPr>
    </w:p>
    <w:p w:rsidR="005728DD" w:rsidRDefault="005728DD" w:rsidP="005728DD">
      <w:pPr>
        <w:pStyle w:val="TextoNormal"/>
      </w:pPr>
      <w:r>
        <w:t>Líbrense los oficios oportunos a los respectivos mandos de Mossos d’Esquadra, Guardia Civil y Policía Nacional’.</w:t>
      </w:r>
    </w:p>
    <w:p w:rsidR="005728DD" w:rsidRDefault="005728DD" w:rsidP="005728DD">
      <w:pPr>
        <w:pStyle w:val="TextoNormal"/>
      </w:pPr>
    </w:p>
    <w:p w:rsidR="005728DD" w:rsidRDefault="005728DD" w:rsidP="005728DD">
      <w:pPr>
        <w:pStyle w:val="TextoNormal"/>
      </w:pPr>
      <w:r>
        <w:t xml:space="preserve">En el Fundamento Jurídico 2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w:t>
      </w:r>
      <w:r>
        <w:lastRenderedPageBreak/>
        <w:t>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005728DD" w:rsidRDefault="005728DD" w:rsidP="005728DD">
      <w:pPr>
        <w:pStyle w:val="TextoNormal"/>
      </w:pPr>
    </w:p>
    <w:p w:rsidR="005728DD" w:rsidRDefault="005728DD" w:rsidP="005728DD">
      <w:pPr>
        <w:pStyle w:val="TextoNormal"/>
      </w:pPr>
      <w:r>
        <w:t>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42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Lluís Trapero —jefe policial de los Mossos— de la posible concurrencia a la votación de 2 millones de personas, con el riesgo subsiguiente de graves incidentes entre agentes policiales y ciudadanos.</w:t>
      </w:r>
    </w:p>
    <w:p w:rsidR="005728DD" w:rsidRDefault="005728DD" w:rsidP="005728DD">
      <w:pPr>
        <w:pStyle w:val="TextoNormal"/>
      </w:pPr>
    </w:p>
    <w:p w:rsidR="005728DD" w:rsidRDefault="005728DD" w:rsidP="005728DD">
      <w:pPr>
        <w:pStyle w:val="TextoNormal"/>
      </w:pPr>
      <w:r>
        <w:t>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005728DD" w:rsidRDefault="005728DD" w:rsidP="005728DD">
      <w:pPr>
        <w:pStyle w:val="TextoNormal"/>
      </w:pPr>
    </w:p>
    <w:p w:rsidR="005728DD" w:rsidRDefault="005728DD" w:rsidP="005728DD">
      <w:pPr>
        <w:pStyle w:val="TextoNormal"/>
      </w:pPr>
      <w:r>
        <w:t>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005728DD" w:rsidRDefault="005728DD" w:rsidP="005728DD">
      <w:pPr>
        <w:pStyle w:val="TextoNormal"/>
      </w:pPr>
    </w:p>
    <w:p w:rsidR="005728DD" w:rsidRDefault="005728DD" w:rsidP="005728DD">
      <w:pPr>
        <w:pStyle w:val="TextoNormal"/>
      </w:pPr>
      <w:r>
        <w:t>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005728DD" w:rsidRDefault="005728DD" w:rsidP="005728DD">
      <w:pPr>
        <w:pStyle w:val="TextoNormal"/>
      </w:pPr>
    </w:p>
    <w:p w:rsidR="005728DD" w:rsidRDefault="005728DD" w:rsidP="005728DD">
      <w:pPr>
        <w:pStyle w:val="TextoNormal"/>
      </w:pPr>
      <w:r>
        <w:t xml:space="preserve">Esa desleal actuación del acusado Sr. Forn tuvo como efecto que los centros no fueran sustraídos a la disponibilidad de los ciudadanos llamados a movilizarse para gestionar y hacer posible la jornada de votación. Con esa actitud se evidenció la firme decisión de la </w:t>
      </w:r>
      <w:r>
        <w:lastRenderedPageBreak/>
        <w:t>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005728DD" w:rsidRDefault="005728DD" w:rsidP="005728DD">
      <w:pPr>
        <w:pStyle w:val="TextoNormal"/>
      </w:pPr>
    </w:p>
    <w:p w:rsidR="005728DD" w:rsidRDefault="005728DD" w:rsidP="005728DD">
      <w:pPr>
        <w:pStyle w:val="TextoNormal"/>
      </w:pPr>
      <w:r>
        <w:t>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005728DD" w:rsidRDefault="005728DD" w:rsidP="005728DD">
      <w:pPr>
        <w:pStyle w:val="TextoNormal"/>
      </w:pPr>
    </w:p>
    <w:p w:rsidR="005728DD" w:rsidRDefault="005728DD" w:rsidP="005728DD">
      <w:pPr>
        <w:pStyle w:val="TextoNormal"/>
      </w:pPr>
      <w:r>
        <w:t>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005728DD" w:rsidRDefault="005728DD" w:rsidP="005728DD">
      <w:pPr>
        <w:pStyle w:val="TextoNormal"/>
      </w:pPr>
    </w:p>
    <w:p w:rsidR="005728DD" w:rsidRDefault="005728DD" w:rsidP="005728DD">
      <w:pPr>
        <w:pStyle w:val="TextoNormal"/>
      </w:pPr>
      <w:r>
        <w:t>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005728DD" w:rsidRDefault="005728DD" w:rsidP="005728DD">
      <w:pPr>
        <w:pStyle w:val="TextoNormal"/>
      </w:pPr>
    </w:p>
    <w:p w:rsidR="005728DD" w:rsidRDefault="005728DD" w:rsidP="005728DD">
      <w:pPr>
        <w:pStyle w:val="TextoNormal"/>
      </w:pPr>
      <w:r>
        <w:t>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005728DD" w:rsidRDefault="005728DD" w:rsidP="005728DD">
      <w:pPr>
        <w:pStyle w:val="TextoNormal"/>
      </w:pPr>
    </w:p>
    <w:p w:rsidR="005728DD" w:rsidRDefault="005728DD" w:rsidP="005728DD">
      <w:pPr>
        <w:pStyle w:val="TextoNormal"/>
      </w:pPr>
      <w: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w:t>
      </w:r>
      <w:r>
        <w:lastRenderedPageBreak/>
        <w:t>las instrucciones que tenían desistían de su objetivo ante la obvia imposibilidad de vencer la resistencia de esos grupos de personas.</w:t>
      </w:r>
    </w:p>
    <w:p w:rsidR="005728DD" w:rsidRDefault="005728DD" w:rsidP="005728DD">
      <w:pPr>
        <w:pStyle w:val="TextoNormal"/>
      </w:pPr>
    </w:p>
    <w:p w:rsidR="005728DD" w:rsidRDefault="005728DD" w:rsidP="005728DD">
      <w:pPr>
        <w:pStyle w:val="TextoNormal"/>
      </w:pPr>
      <w:r>
        <w:t>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5728DD" w:rsidRDefault="005728DD" w:rsidP="005728DD">
      <w:pPr>
        <w:pStyle w:val="TextoNormal"/>
      </w:pPr>
    </w:p>
    <w:p w:rsidR="005728DD" w:rsidRDefault="005728DD" w:rsidP="005728DD">
      <w:pPr>
        <w:pStyle w:val="TextoNormal"/>
      </w:pPr>
      <w:r>
        <w:t>A primeras horas de la tarde, dado que el uso de la fuerza podría devenir desproporcionado, los agentes de Policía Nacional y Guardia Civil recibieron órdenes y se vieron irremediablemente forzadas a declinar el propósito inicial.</w:t>
      </w:r>
    </w:p>
    <w:p w:rsidR="005728DD" w:rsidRDefault="005728DD" w:rsidP="005728DD">
      <w:pPr>
        <w:pStyle w:val="TextoNormal"/>
      </w:pPr>
    </w:p>
    <w:p w:rsidR="005728DD" w:rsidRDefault="005728DD" w:rsidP="005728DD">
      <w:pPr>
        <w:pStyle w:val="TextoNormal"/>
      </w:pPr>
      <w:r>
        <w:t>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w:t>
      </w:r>
      <w:r w:rsidRPr="005728DD">
        <w:rPr>
          <w:i/>
        </w:rPr>
        <w:t>o sup</w:t>
      </w:r>
      <w:r>
        <w:t>ra— inicialmente suspendidas y luego anuladas por el Tribunal Constitucional.</w:t>
      </w:r>
    </w:p>
    <w:p w:rsidR="005728DD" w:rsidRDefault="005728DD" w:rsidP="005728DD">
      <w:pPr>
        <w:pStyle w:val="TextoNormal"/>
      </w:pPr>
    </w:p>
    <w:p w:rsidR="005728DD" w:rsidRDefault="005728DD" w:rsidP="005728DD">
      <w:pPr>
        <w:pStyle w:val="TextoNormal"/>
      </w:pPr>
      <w:r>
        <w:t>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005728DD" w:rsidRDefault="005728DD" w:rsidP="005728DD">
      <w:pPr>
        <w:pStyle w:val="TextoNormal"/>
      </w:pPr>
    </w:p>
    <w:p w:rsidR="005728DD" w:rsidRDefault="005728DD" w:rsidP="005728DD">
      <w:pPr>
        <w:pStyle w:val="TextoNormal"/>
      </w:pPr>
      <w:r>
        <w:t>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005728DD" w:rsidRDefault="005728DD" w:rsidP="005728DD">
      <w:pPr>
        <w:pStyle w:val="TextoNormal"/>
      </w:pPr>
    </w:p>
    <w:p w:rsidR="005728DD" w:rsidRDefault="005728DD" w:rsidP="005728DD">
      <w:pPr>
        <w:pStyle w:val="TextoNormal"/>
      </w:pPr>
      <w:r>
        <w:lastRenderedPageBreak/>
        <w:t>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5728DD" w:rsidRDefault="005728DD" w:rsidP="005728DD">
      <w:pPr>
        <w:pStyle w:val="TextoNormal"/>
      </w:pPr>
    </w:p>
    <w:p w:rsidR="005728DD" w:rsidRDefault="005728DD" w:rsidP="005728DD">
      <w:pPr>
        <w:pStyle w:val="TextoNormal"/>
      </w:pPr>
      <w:r>
        <w:t>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005728DD" w:rsidRDefault="005728DD" w:rsidP="005728DD">
      <w:pPr>
        <w:pStyle w:val="TextoNormal"/>
      </w:pPr>
    </w:p>
    <w:p w:rsidR="005728DD" w:rsidRDefault="005728DD" w:rsidP="005728DD">
      <w:pPr>
        <w:pStyle w:val="TextoNormal"/>
      </w:pPr>
      <w:r>
        <w:t>Y el 4 de julio, fue presentada como acontecimiento social y político, en el Teatro Nacional de Cataluña, la futura Ley de referéndum. Fue el Grupo Parlamentario Junts Pel Si,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005728DD" w:rsidRDefault="005728DD" w:rsidP="005728DD">
      <w:pPr>
        <w:pStyle w:val="TextoNormal"/>
      </w:pPr>
    </w:p>
    <w:p w:rsidR="005728DD" w:rsidRDefault="005728DD" w:rsidP="005728DD">
      <w:pPr>
        <w:pStyle w:val="TextoNormal"/>
      </w:pPr>
      <w:r>
        <w:t>Uno de los conductores del acto fue el propio Sr.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17 690,20 €, fue abonada por medio de transferencia bancaria tramitada por la oficina con el número 5000 de la sucursal de la entidad Caixabanc, con data del día anterior a la celebración de esa presentación.</w:t>
      </w:r>
    </w:p>
    <w:p w:rsidR="005728DD" w:rsidRDefault="005728DD" w:rsidP="005728DD">
      <w:pPr>
        <w:pStyle w:val="TextoNormal"/>
      </w:pPr>
    </w:p>
    <w:p w:rsidR="005728DD" w:rsidRDefault="005728DD" w:rsidP="005728DD">
      <w:pPr>
        <w:pStyle w:val="TextoNormal"/>
      </w:pPr>
      <w: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w:t>
      </w:r>
      <w:r>
        <w:lastRenderedPageBreak/>
        <w:t>plasmado por escrito el 6 de septiembre de 2017 y que fue la diáfana expresión de su consorcio delictivo:</w:t>
      </w:r>
    </w:p>
    <w:p w:rsidR="005728DD" w:rsidRDefault="005728DD" w:rsidP="005728DD">
      <w:pPr>
        <w:pStyle w:val="TextoNormal"/>
      </w:pPr>
    </w:p>
    <w:p w:rsidR="005728DD" w:rsidRDefault="005728DD" w:rsidP="005728DD">
      <w:pPr>
        <w:pStyle w:val="TextoNormal"/>
      </w:pPr>
      <w: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43 341 €; (ii) contratación de un equipo de investigación experto en elecciones internacionales, en inglés </w:t>
      </w:r>
      <w:r w:rsidRPr="005728DD">
        <w:rPr>
          <w:i/>
        </w:rPr>
        <w:t>International Election Expert Research Team</w:t>
      </w:r>
      <w:r>
        <w:t xml:space="preserve"> (IEERT), dirigido por Dña. Helena Catt: 177 304,90 €; (iii) contratación con MN2</w:t>
      </w:r>
      <w:r w:rsidRPr="005728DD">
        <w:rPr>
          <w:i/>
        </w:rPr>
        <w:t>S Managemet Limit</w:t>
      </w:r>
      <w:r>
        <w:t>ed de un equipo en el estuviera el político holandés D. Willem —Wim— Kok, en los días del referéndum: 54 030 €; si bien este importe fue devuelto porque la prestación no se realizó.</w:t>
      </w:r>
    </w:p>
    <w:p w:rsidR="005728DD" w:rsidRDefault="005728DD" w:rsidP="005728DD">
      <w:pPr>
        <w:pStyle w:val="TextoNormal"/>
      </w:pPr>
    </w:p>
    <w:p w:rsidR="005728DD" w:rsidRDefault="005728DD" w:rsidP="005728DD">
      <w:pPr>
        <w:pStyle w:val="TextoNormal"/>
      </w:pPr>
      <w: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w:t>
      </w:r>
      <w:r w:rsidRPr="005728DD">
        <w:rPr>
          <w:i/>
        </w:rPr>
        <w:t>lobby</w:t>
      </w:r>
      <w:r>
        <w:t xml:space="preserve"> en defensa de la celebración del referéndum: 60 000 €; (ii) contratación de los servicios de la institució</w:t>
      </w:r>
      <w:r w:rsidRPr="005728DD">
        <w:rPr>
          <w:i/>
        </w:rPr>
        <w:t>n The Hague Center for Strategic Studi</w:t>
      </w:r>
      <w:r>
        <w:t>es, como observadores internacionales para verificar el referéndum del 1 de octubre: 167 065 €, si bien restan 47 635 € por abonar.</w:t>
      </w:r>
    </w:p>
    <w:p w:rsidR="005728DD" w:rsidRDefault="005728DD" w:rsidP="005728DD">
      <w:pPr>
        <w:pStyle w:val="TextoNormal"/>
      </w:pPr>
    </w:p>
    <w:p w:rsidR="005728DD" w:rsidRDefault="005728DD" w:rsidP="005728DD">
      <w:pPr>
        <w:pStyle w:val="TextoNormal"/>
      </w:pPr>
      <w:r>
        <w:t>c) A través del Departamento de Vicepresidencia y Economía fueron acordados los siguientes gastos: (i) encargo a la empresa Unipost para la distribución de las notificaciones del nombramiento de los integrantes de las mesas electorales: 193 899,98 €.</w:t>
      </w:r>
    </w:p>
    <w:p w:rsidR="005728DD" w:rsidRDefault="005728DD" w:rsidP="005728DD">
      <w:pPr>
        <w:pStyle w:val="TextoNormal"/>
      </w:pPr>
    </w:p>
    <w:p w:rsidR="005728DD" w:rsidRDefault="005728DD" w:rsidP="005728DD">
      <w:pPr>
        <w:pStyle w:val="TextoNormal"/>
      </w:pPr>
      <w:r>
        <w:t xml:space="preserve">d) Por medio del Departamento de Presidencia se lideró: (i) la puesta en marcha a través del Centro de Telecomunicaciones y Tecnologías de la Información (en adelante, CTTI), de la ‘web referéndum.cat’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w:t>
      </w:r>
      <w:r w:rsidRPr="005728DD">
        <w:rPr>
          <w:i/>
        </w:rPr>
        <w:t>T-Systems</w:t>
      </w:r>
      <w:r>
        <w:t xml:space="preserve">,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w:t>
      </w:r>
      <w:r>
        <w:lastRenderedPageBreak/>
        <w:t>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198871,8 €.</w:t>
      </w:r>
    </w:p>
    <w:p w:rsidR="005728DD" w:rsidRDefault="005728DD" w:rsidP="005728DD">
      <w:pPr>
        <w:pStyle w:val="TextoNormal"/>
      </w:pPr>
    </w:p>
    <w:p w:rsidR="005728DD" w:rsidRDefault="005728DD" w:rsidP="005728DD">
      <w:pPr>
        <w:pStyle w:val="TextoNormal"/>
      </w:pPr>
      <w:r>
        <w:t>e) El Departamento de Trabajo posibilitó los siguientes gastos: (i) encargo a la empresa Unipost para la distribución de las notificaciones del nombramiento de los integrantes de las mesas electorales: 197 492,04 €.</w:t>
      </w:r>
    </w:p>
    <w:p w:rsidR="005728DD" w:rsidRDefault="005728DD" w:rsidP="005728DD">
      <w:pPr>
        <w:pStyle w:val="TextoNormal"/>
      </w:pPr>
    </w:p>
    <w:p w:rsidR="005728DD" w:rsidRDefault="005728DD" w:rsidP="005728DD">
      <w:pPr>
        <w:pStyle w:val="TextoNormal"/>
      </w:pPr>
      <w:r>
        <w:t>f) El Departamento de Salud también encomendó a Unipost para distribución de las notificaciones del nombramiento de los integrantes de las mesas electorales: 192 711,20 €.</w:t>
      </w:r>
    </w:p>
    <w:p w:rsidR="005728DD" w:rsidRDefault="005728DD" w:rsidP="005728DD">
      <w:pPr>
        <w:pStyle w:val="TextoNormal"/>
      </w:pPr>
    </w:p>
    <w:p w:rsidR="005728DD" w:rsidRDefault="005728DD" w:rsidP="005728DD">
      <w:pPr>
        <w:pStyle w:val="TextoNormal"/>
      </w:pPr>
      <w:r>
        <w:t>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005728DD" w:rsidRDefault="005728DD" w:rsidP="005728DD">
      <w:pPr>
        <w:pStyle w:val="TextoNormal"/>
      </w:pPr>
    </w:p>
    <w:p w:rsidR="005728DD" w:rsidRDefault="005728DD" w:rsidP="005728DD">
      <w:pPr>
        <w:pStyle w:val="TextoNormal"/>
      </w:pPr>
      <w:r>
        <w:t>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005728DD" w:rsidRDefault="005728DD" w:rsidP="005728DD">
      <w:pPr>
        <w:pStyle w:val="TextoNormal"/>
      </w:pPr>
    </w:p>
    <w:p w:rsidR="005728DD" w:rsidRDefault="005728DD" w:rsidP="005728DD">
      <w:pPr>
        <w:pStyle w:val="TextoNormal"/>
      </w:pPr>
      <w:r>
        <w:t xml:space="preserve">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 los arts. 432.1 y 3, párrafo último,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544 y 545 </w:t>
      </w:r>
      <w:r>
        <w:lastRenderedPageBreak/>
        <w:t>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finalidad perseguida por los partícipes, que en el caso de la sedición atañe “al impedimento u obstrucción de la legítima voluntad legislativa, gubernativa o jurisdiccional”.</w:t>
      </w:r>
    </w:p>
    <w:p w:rsidR="005728DD" w:rsidRDefault="005728DD" w:rsidP="005728DD">
      <w:pPr>
        <w:pStyle w:val="TextoNormal"/>
      </w:pPr>
    </w:p>
    <w:p w:rsidR="005728DD" w:rsidRDefault="005728DD" w:rsidP="005728DD">
      <w:pPr>
        <w:pStyle w:val="TextoNormal"/>
      </w:pPr>
      <w:r>
        <w:t>Posteriormente, tras poner de relieve que el delito de sedición constituye u</w:t>
      </w:r>
      <w:r w:rsidRPr="005728DD">
        <w:rPr>
          <w:i/>
        </w:rPr>
        <w:t>n ali</w:t>
      </w:r>
      <w:r>
        <w:t>ud respecto de otras infracciones reguladas en el título vigésimo segundo del Código penal, la sala expone los requisitos de esa figura penal, a saber:</w:t>
      </w:r>
    </w:p>
    <w:p w:rsidR="005728DD" w:rsidRDefault="005728DD" w:rsidP="005728DD">
      <w:pPr>
        <w:pStyle w:val="TextoNormal"/>
      </w:pPr>
    </w:p>
    <w:p w:rsidR="005728DD" w:rsidRDefault="005728DD" w:rsidP="005728DD">
      <w:pPr>
        <w:pStyle w:val="TextoNormal"/>
      </w:pPr>
      <w:r>
        <w:t>(i)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005728DD" w:rsidRDefault="005728DD" w:rsidP="005728DD">
      <w:pPr>
        <w:pStyle w:val="TextoNormal"/>
      </w:pPr>
    </w:p>
    <w:p w:rsidR="005728DD" w:rsidRDefault="005728DD" w:rsidP="005728DD">
      <w:pPr>
        <w:pStyle w:val="TextoNormal"/>
      </w:pPr>
      <w:r>
        <w:t>(ii)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del diccionario de la Real Academia Española vincula los términos “alzar”, “alzarse” o “tumultuario”, de modo exclusivo con el empleo de violencia.</w:t>
      </w:r>
    </w:p>
    <w:p w:rsidR="005728DD" w:rsidRDefault="005728DD" w:rsidP="005728DD">
      <w:pPr>
        <w:pStyle w:val="TextoNormal"/>
      </w:pPr>
    </w:p>
    <w:p w:rsidR="005728DD" w:rsidRDefault="005728DD" w:rsidP="005728DD">
      <w:pPr>
        <w:pStyle w:val="TextoNormal"/>
      </w:pPr>
      <w:r>
        <w:t>(iii)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005728DD" w:rsidRDefault="005728DD" w:rsidP="005728DD">
      <w:pPr>
        <w:pStyle w:val="TextoNormal"/>
      </w:pPr>
    </w:p>
    <w:p w:rsidR="005728DD" w:rsidRDefault="005728DD" w:rsidP="005728DD">
      <w:pPr>
        <w:pStyle w:val="TextoNormal"/>
      </w:pPr>
      <w:r>
        <w:t>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005728DD" w:rsidRDefault="005728DD" w:rsidP="005728DD">
      <w:pPr>
        <w:pStyle w:val="TextoNormal"/>
      </w:pPr>
    </w:p>
    <w:p w:rsidR="005728DD" w:rsidRDefault="005728DD" w:rsidP="005728DD">
      <w:pPr>
        <w:pStyle w:val="TextoNormal"/>
      </w:pPr>
      <w:r>
        <w:t xml:space="preserve">En relación con lo acontecido el día 1 de octubre, se señala que los congregados hicieron un uso suficiente de fuerza para neutralizar a los agentes que trataban de impedir la votación, </w:t>
      </w:r>
      <w:r>
        <w:lastRenderedPageBreak/>
        <w:t>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 se aprecia que las referidas conductas supusieron un intento de “derogación de la legislación válida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t>Dentro de este apartado cabe destacar que, para el órgano sentenciador, el derecho a la protesta “no puede mutar en un exótico derecho a no dar cumplimiento a un mandato judicial y hacerlo de una forma generalizada en toda la extensión de una comunidad autónoma, en la que por un día quedó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005728DD" w:rsidRDefault="005728DD" w:rsidP="005728DD">
      <w:pPr>
        <w:pStyle w:val="TextoNormal"/>
      </w:pPr>
    </w:p>
    <w:p w:rsidR="005728DD" w:rsidRDefault="005728DD" w:rsidP="005728DD">
      <w:pPr>
        <w:pStyle w:val="TextoNormal"/>
      </w:pPr>
      <w:r>
        <w:t>p) En el apartado C) de los fundamentos jurídicos queda reflejado el denominado “juicio de autoría” de los acusados que fueron condenados.</w:t>
      </w:r>
    </w:p>
    <w:p w:rsidR="005728DD" w:rsidRDefault="005728DD" w:rsidP="005728DD">
      <w:pPr>
        <w:pStyle w:val="TextoNormal"/>
      </w:pPr>
    </w:p>
    <w:p w:rsidR="005728DD" w:rsidRDefault="005728DD" w:rsidP="005728DD">
      <w:pPr>
        <w:pStyle w:val="TextoNormal"/>
      </w:pPr>
      <w:r>
        <w:t>(i) En el punto 1 se vierten unas consideraciones respecto del delito de sedición que atañen a al recurrente en amparo, a don Oriol Junqueras, don Raül Romeva, doña Carme Forcadell, don Jordi Turull, don Josep Rull, don Jordi Sànchez, doña Dolors Bassa y don Joaquim Forn.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al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w:t>
      </w:r>
      <w:r w:rsidRPr="005728DD">
        <w:rPr>
          <w:i/>
        </w:rPr>
        <w:t xml:space="preserve">, </w:t>
      </w:r>
      <w:r>
        <w:t>a</w:t>
      </w:r>
      <w:r w:rsidRPr="005728DD">
        <w:rPr>
          <w:i/>
        </w:rPr>
        <w:t>b init</w:t>
      </w:r>
      <w:r>
        <w:t>io o de manera sobrevenida”.</w:t>
      </w:r>
    </w:p>
    <w:p w:rsidR="005728DD" w:rsidRDefault="005728DD" w:rsidP="005728DD">
      <w:pPr>
        <w:pStyle w:val="TextoNormal"/>
      </w:pPr>
    </w:p>
    <w:p w:rsidR="005728DD" w:rsidRDefault="005728DD" w:rsidP="005728DD">
      <w:pPr>
        <w:pStyle w:val="TextoNormal"/>
      </w:pPr>
      <w:r>
        <w:t xml:space="preserve">Tras hacer algunas consideraciones sobre los acusados miembros del Govern y la presidencia del Parlament, se pone de relieve que, con base en los informes técnicos elaborados por los responsables policiales, los comportamientos lesivos para el orden público eran “de previsibilidad adecuada a la falta de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 extraña al comportamiento de los acusados, pues estuvo preordenada y fue </w:t>
      </w:r>
      <w:r>
        <w:lastRenderedPageBreak/>
        <w:t xml:space="preserve">promovida </w:t>
      </w:r>
      <w:r w:rsidRPr="005728DD">
        <w:rPr>
          <w:i/>
        </w:rPr>
        <w:t>ex ante</w:t>
      </w:r>
      <w:r>
        <w:t xml:space="preserve"> por estos últimos, “como imprescindiblemente funcional para crear el riesgo de inaplicación de leyes e incumplimiento de decisiones legítimas de órganos judiciales,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005728DD" w:rsidRDefault="005728DD" w:rsidP="005728DD">
      <w:pPr>
        <w:pStyle w:val="TextoNormal"/>
      </w:pPr>
    </w:p>
    <w:p w:rsidR="005728DD" w:rsidRDefault="005728DD" w:rsidP="005728DD">
      <w:pPr>
        <w:pStyle w:val="TextoNormal"/>
      </w:pPr>
      <w:r>
        <w:t>(ii) En el punto 1.9 se reflejan las razones específicamente tenidas en cuenta para considerar al recurrente autor de un delito de sedición, previsto y penado en los arts. 544 y 545.1 CP.</w:t>
      </w:r>
    </w:p>
    <w:p w:rsidR="005728DD" w:rsidRDefault="005728DD" w:rsidP="005728DD">
      <w:pPr>
        <w:pStyle w:val="TextoNormal"/>
      </w:pPr>
    </w:p>
    <w:p w:rsidR="005728DD" w:rsidRDefault="005728DD" w:rsidP="005728DD">
      <w:pPr>
        <w:pStyle w:val="TextoNormal"/>
      </w:pPr>
      <w:r>
        <w:t>En concreto, se detalla que don Jordi Cuixart, “junto al coacusado presidente de ANC— era uno de los pilares del movimiento sedicioso” y su condición de líder de Òmnium Cultural, asociación de arraigo histórico en Cataluña, puso su “capacidad de movilización al servicio de un proyecto político que incluía la creación de una legalidad de ruptura con las bases de nuestro sistema jurídico y la presión al Gobierno de la Nación mediante la celebración de una consulta ciudadana que iba a ser presentada ante la opinión pública —sin serlo— como la genuina expresión del ejercicio del derecho de autodeterminación. Para ello era indispensable la movilización de miles de ciudadanos que, llegado el momento, pudieran oponer una resistencia activa —también pacífica— al cumplimiento de los mandatos dictados por los jueces y tribunales”.</w:t>
      </w:r>
    </w:p>
    <w:p w:rsidR="005728DD" w:rsidRDefault="005728DD" w:rsidP="005728DD">
      <w:pPr>
        <w:pStyle w:val="TextoNormal"/>
      </w:pPr>
    </w:p>
    <w:p w:rsidR="005728DD" w:rsidRDefault="005728DD" w:rsidP="005728DD">
      <w:pPr>
        <w:pStyle w:val="TextoNormal"/>
      </w:pPr>
      <w:r>
        <w:t xml:space="preserve">“En su actuación se produce un progresivo </w:t>
      </w:r>
      <w:r w:rsidRPr="005728DD">
        <w:rPr>
          <w:i/>
        </w:rPr>
        <w:t>in crescendo</w:t>
      </w:r>
      <w:r>
        <w:t xml:space="preserve"> que le llevará a dar el salto desde las llamadas a la protesta, a las manifestaciones, a la movilización legítima —todo ello sin relevancia penal alguna— a empujar a la ciudadanía simpatizante con el movimiento secesionista a la resistencia activa, a la oposición por vías de hecho al cumplimiento de órdenes judiciales, o de cualesquiera decisiones de las autoridades que contradijesen u obstaculizasen ese propósito firme de realizar un referéndum basado en un supuesto derecho de autodeterminación”.</w:t>
      </w:r>
    </w:p>
    <w:p w:rsidR="005728DD" w:rsidRDefault="005728DD" w:rsidP="005728DD">
      <w:pPr>
        <w:pStyle w:val="TextoNormal"/>
      </w:pPr>
    </w:p>
    <w:p w:rsidR="005728DD" w:rsidRDefault="005728DD" w:rsidP="005728DD">
      <w:pPr>
        <w:pStyle w:val="TextoNormal"/>
      </w:pPr>
      <w:r>
        <w:t>Tras describir las fuentes probatorias sobre lo acontecido el día 20 de septiembre de 2017 (testimonios de los agentes de la policía, de los ciudadanos y responsables políticos, vídeos exhibidos en el plenario, la lectura de algunos mensajes enviados por redes sociales y la declaración del propio Sr. Cuixart), la sentencia detalla en varios subapartados los hechos protagonizados por el recurrente y descarta también las alegaciones efectuadas en su defensa sobre la “desobediencia civil”.</w:t>
      </w:r>
    </w:p>
    <w:p w:rsidR="005728DD" w:rsidRDefault="005728DD" w:rsidP="005728DD">
      <w:pPr>
        <w:pStyle w:val="TextoNormal"/>
      </w:pPr>
    </w:p>
    <w:p w:rsidR="005728DD" w:rsidRDefault="005728DD" w:rsidP="005728DD">
      <w:pPr>
        <w:pStyle w:val="TextoNormal"/>
      </w:pPr>
      <w:r>
        <w:t>En relación con la preparación del supuesto referéndum de autodeterminación, pone de manifiesto como el Sr. Cuixart, el 11 de junio de 2017, con ocasión de una concentración multitudinaria en que se leyó un manifiesto instando a la participación y movilización de todos los partidarios de la independencia, “aseguró que las entidades independentistas se constituían en garantes de que el referéndum que había de celebrarse fuese vinculante, porque tendría consecuencias al día siguiente de su celebración”, al tiempo que el coacusado don Jordi Sànchez “lanzaba una advertencia al Gobierno de España, al declarar que la única forma de impedir el referéndum era llevando a cabo actos impropios, pues la voluntad de la gente era seguir adelante y no dar marcha atrás”.</w:t>
      </w:r>
    </w:p>
    <w:p w:rsidR="005728DD" w:rsidRDefault="005728DD" w:rsidP="005728DD">
      <w:pPr>
        <w:pStyle w:val="TextoNormal"/>
      </w:pPr>
    </w:p>
    <w:p w:rsidR="005728DD" w:rsidRDefault="005728DD" w:rsidP="005728DD">
      <w:pPr>
        <w:pStyle w:val="TextoNormal"/>
      </w:pPr>
      <w:r>
        <w:lastRenderedPageBreak/>
        <w:t>Se refiere también a la Diada de 11 de septiembre de 2017 y a los acontecimientos del día 20 de septiembre siguiente, en que agentes de la unidad de policía judicial de la Guardia Civil de Barcelona, por orden judicial, practicaron varias detenciones y diligencias de registro, entre ellas el registro de las instalaciones de la vicepresidencia y de la Consejería de Economía y Hacienda. Señala al respecto que “el acusado Sr. Cuixart en acción conjunta con el Sr. Sànchez, convocó a la población desde primeras horas de la mañana a través de las cuentas de Twitter, tanto las de las asociaciones que presidían como de las suyas particulares, para que los ciudadanos comparecieran ante la sede de la consejería citada. 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Agrega que en la tarde del día 20, don Jordi Cuixart “se dirigió a los congregados y exigió la liberación de todos los detenidos”, y tras expresar “¡no pasarán!”,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005728DD" w:rsidRDefault="005728DD" w:rsidP="005728DD">
      <w:pPr>
        <w:pStyle w:val="TextoNormal"/>
      </w:pPr>
    </w:p>
    <w:p w:rsidR="005728DD" w:rsidRDefault="005728DD" w:rsidP="005728DD">
      <w:pPr>
        <w:pStyle w:val="TextoNormal"/>
      </w:pPr>
      <w:r>
        <w:t>Respecto de la consulta ciudadana celebrada el día 1 de octubre de 2017, destaca la sentencia que el movimiento ‘Escoles Obertes’, ideado para mantener abiertos los puntos de votación, “fue apoyado, estimulado, multiplicado y alentado por D. Jordi Cuixart, D. Jordi Sànchez y sus respectivas organizaciones”. Relata que se empleó para ello una “auténtica resistencia […] cuando los agentes de la autoridad, en ejecución del mandato judicial, trataban de hacer efectiva la orden y tropezaban con ciudadanos que habían asumido las persuasivas y medidas consignas de movilización canalizadas, entre muchos otros, por los acusados D. Jordi Sànchez, D. Jordi Cuixart y sus respectivas organizaciones”. Describe la tal fuerza como “la acumulación de personas, la superioridad numérica aplastante y disuasoria, la actitud de resistencia pasiva que […] no pocas veces se mutaba en activa”, agregando que “era un hecho seguro —y más que previsible— que la eventual disciplina de no violencia —que también por sí es resistencia, fuerza, y vía de hecho— se rompiese, generando esporádicos pero reales episodios de agresión que en todo caso no serían imprescindibles para colmar la morfología conductual que integra la tipicidad del delito de sedición”.</w:t>
      </w:r>
    </w:p>
    <w:p w:rsidR="005728DD" w:rsidRDefault="005728DD" w:rsidP="005728DD">
      <w:pPr>
        <w:pStyle w:val="TextoNormal"/>
      </w:pPr>
    </w:p>
    <w:p w:rsidR="005728DD" w:rsidRDefault="005728DD" w:rsidP="005728DD">
      <w:pPr>
        <w:pStyle w:val="TextoNormal"/>
      </w:pPr>
      <w:r>
        <w:t>Se refiere después la sentencia a lo declarado por el recurrente sobre la “desobediencia civil” y a la diferencia entre la desobediencia y la sedición para recalcar que lo “sucedido el 1 de octubre no fue solo una manifestación o un acto masivo de protesta ciudadana. Si hubiese sido eso no habría reacción penal. Fue un levantamiento tumultuario alentado por el acusado entre muchas otras personas para convertir en papel mojado —con el uso de vías de hecho y fuerza física— unas decisiones judiciales del Tribunal Constitucional y del Tribunal Superior de Justicia de Cataluña”. Analiza varios mensajes en la red Twitter en los que el recurrente llamaba a la resistencia para impedir el cierre de los locales electorales, concluyendo que “no eran llamamientos para votar sino para hacer ‘fuerza o resistencia’ a la acción policial”. Insiste en que “aunque se adjetive con la evocación de la paz, la resistencia es resistencia, supone fuerza física e intimidatoria, supone presión, supone oposición a la actuación policial dirigida a hacer efectivos mandamientos judiciales”.</w:t>
      </w:r>
    </w:p>
    <w:p w:rsidR="005728DD" w:rsidRDefault="005728DD" w:rsidP="005728DD">
      <w:pPr>
        <w:pStyle w:val="TextoNormal"/>
      </w:pPr>
    </w:p>
    <w:p w:rsidR="005728DD" w:rsidRDefault="005728DD" w:rsidP="005728DD">
      <w:pPr>
        <w:pStyle w:val="TextoNormal"/>
      </w:pPr>
      <w:r>
        <w:t>q) En el apartado D) de la fundamentación jurídica de la sentencia se contiene la justificación de la individualización de las penas impuestas. En lo que se refiere al recurrente, en el apartado 2, tras referirse a la Sra. Forcadell y a los Sres. Forn y Rull, quienes participaban del carácter de autoridad, agrega que “no es el caso, sin embargo, de los acusados Sres. Sànchez y Cuixart. Su marco penal se mueve, por mandato del art. 545.1 del CP entre ocho y diez años de prisión, duración reservada a los que ‘hubieren inducido, sostenido o dirigido la sedición o aparecieren en ella como sus principales autores’. En el juicio histórico hemos reflejado su condición de líderes sociales de vanguardia que, concertados en los fines sediciosos con los demás acusados, se mostraron como verdaderos conductores de los episodios acaecidos los días 20 de septiembre y 1 de octubre”. Concluye señalando que procede imponer a don Jordi Cuixart, “como autor de un delito de sedición,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5728DD" w:rsidRDefault="005728DD" w:rsidP="005728DD">
      <w:pPr>
        <w:pStyle w:val="TextoNormal"/>
      </w:pPr>
    </w:p>
    <w:p w:rsidR="005728DD" w:rsidRDefault="005728DD" w:rsidP="005728DD">
      <w:pPr>
        <w:pStyle w:val="TextoNormal"/>
      </w:pPr>
      <w:r>
        <w:t>r) Con fecha 12 de noviembre de 2019, el recurrente en amparo formalizó escrito de nulidad de actuaciones contra la sentencia de 14 de octubre de 2019. Tras reiterar las vulneraciones de derechos fundamentales que denunció en anteriores fases procesales, a fin de poner de relieve su manifiesta voluntad impugnativa respecto de la sentencia condenatoria, cuya nulidad interesa expresamente, considera que se han producido las siguientes lesiones: (i) vulneración del derecho fundamental a un juez predeterminado por la ley independiente e imparcial (arts. 6.1 CEDH y 24.2 CE); (ii) vulneración del derecho fundamental a la presunción de inocencia [arts. 24.2 CE, 6.2 Convenio europeo de derechos humanos (CEDH) y 14.2 del Pacto internacional de derechos civiles y políticos (PIDCP)] y (iii) vulneración del derecho a la legalidad penal y derechos fundamentales de reunión, libertad de expresión, libertad de pensamiento y prohibición de abuso en las restricciones de derechos (arts. 17, 20 y 21 CE, y 7, 11, 10, 9 y 18 CEDH).</w:t>
      </w:r>
    </w:p>
    <w:p w:rsidR="005728DD" w:rsidRDefault="005728DD" w:rsidP="005728DD">
      <w:pPr>
        <w:pStyle w:val="TextoNormal"/>
      </w:pPr>
    </w:p>
    <w:p w:rsidR="005728DD" w:rsidRDefault="005728DD" w:rsidP="005728DD">
      <w:pPr>
        <w:pStyle w:val="TextoNormal"/>
      </w:pPr>
      <w:r>
        <w:t>s) Por auto de fecha 29 de enero de 2020, la Sala de lo Penal del Tribunal Supremo desestimó todos los incidentes de nulidad que le fueron planteados.</w:t>
      </w:r>
    </w:p>
    <w:p w:rsidR="005728DD" w:rsidRDefault="005728DD" w:rsidP="005728DD">
      <w:pPr>
        <w:pStyle w:val="TextoNormal"/>
      </w:pPr>
    </w:p>
    <w:p w:rsidR="005728DD" w:rsidRDefault="005728DD" w:rsidP="005728DD">
      <w:pPr>
        <w:pStyle w:val="TextoNormal"/>
      </w:pPr>
      <w:r w:rsidRPr="005728DD">
        <w:rPr>
          <w:rStyle w:val="NumeroAFNegritaCaracter"/>
        </w:rPr>
        <w:t>3</w:t>
      </w:r>
      <w:r>
        <w:t>. En la demanda de amparo, el recurrente alega las siguientes vulneraciones de sus derechos fundamentales:</w:t>
      </w:r>
    </w:p>
    <w:p w:rsidR="005728DD" w:rsidRDefault="005728DD" w:rsidP="005728DD">
      <w:pPr>
        <w:pStyle w:val="TextoNormal"/>
      </w:pPr>
    </w:p>
    <w:p w:rsidR="005728DD" w:rsidRDefault="005728DD" w:rsidP="005728DD">
      <w:pPr>
        <w:pStyle w:val="TextoNormal"/>
      </w:pPr>
      <w:r>
        <w:t>3.1. Vulneración del derecho fundamental al juez predeterminado por la ley (arts. 24.2 CE y 6.1 CEDH). Bajo esta rúbrica, la demanda pone en cuestión la competencia de la Sala de lo Penal del Tribunal Supremo para la instrucción y enjuiciamiento de los hechos.</w:t>
      </w:r>
    </w:p>
    <w:p w:rsidR="005728DD" w:rsidRDefault="005728DD" w:rsidP="005728DD">
      <w:pPr>
        <w:pStyle w:val="TextoNormal"/>
      </w:pPr>
    </w:p>
    <w:p w:rsidR="005728DD" w:rsidRDefault="005728DD" w:rsidP="005728DD">
      <w:pPr>
        <w:pStyle w:val="TextoNormal"/>
      </w:pPr>
      <w:r>
        <w:t xml:space="preserve">3.1.1. A juicio del recurrente, el órgano judicial “se ha conferido la competencia para la instrucción y conocimiento de una causa judicial concreta, modificando el criterio establecido de forma reiterada durante años y que además se ha negado a la revisión de dicha decisión por la vía de recursos y cuestiones de competencia remitiéndose a la previsión establecida en un texto preconstitucional como es el artículo 21.1 LECrim”, que impide promover cuestiones de competencia contra el Tribunal Supremo y que incurre en inconstitucionalidad sobrevenida (STC 4/1981, de 2 de febrero). Sobre este extremo argumenta que el legislador procesal español no ha incurrido en ninguna prohibición similar en las normas </w:t>
      </w:r>
      <w:r>
        <w:lastRenderedPageBreak/>
        <w:t>dictadas durante la vigencia de la Constitución de 1978, tales como la Ley Orgánica del Poder Judicial de 1985, en la que ni en la regulación de los conflictos de competencia (arts. 42 y ss.) ni en la relativa a las cuestiones de competencia (arts. 51 y ss.) prevé exclusión alguna del Tribunal Supremo; la Ley de la jurisdicción contencioso- administrativa de 1998; y la Ley de enjuiciamiento civil de 2000. Señala que ninguna de estas normas prevé para los respectivos órdenes jurisdiccionales que regulan un precepto del tenor literal del art. 21.1 LECrim.</w:t>
      </w:r>
    </w:p>
    <w:p w:rsidR="005728DD" w:rsidRDefault="005728DD" w:rsidP="005728DD">
      <w:pPr>
        <w:pStyle w:val="TextoNormal"/>
      </w:pPr>
    </w:p>
    <w:p w:rsidR="005728DD" w:rsidRDefault="005728DD" w:rsidP="005728DD">
      <w:pPr>
        <w:pStyle w:val="TextoNormal"/>
      </w:pPr>
      <w:r>
        <w:t>3.1.2. En segundo lugar, la demanda señala que el Tribunal Supremo ha modificado su propio criterio “establecido históricamente y durante años” en materia de la investigación y enjuiciamiento de casos similares por la actuación de aforados en Cataluña, cambio que califica de inexplicable y no razonado, lo que considera un indicio de la voluntad de ese tribunal de atraer hacia sí mismo el conocimiento de la causa. A fin de justificar lo dicho, se refiere al auto de 12 de noviembre de 2014 dictado con ocasión de la querella formulada por el partido político UPyD contra el presidente de la Generalitat, la presidenta del Parlamento y otros representantes políticos a raíz de la celebración de la consulta sobre la independencia de Cataluña el día 9 de noviembre del citado año a instancias del Gobierno de la Generalitat. En dicho auto, el Tribunal Supremo asumió la posición defendida por el Ministerio Fiscal y rechazó su competencia para declarar la del Tribunal Superior de Justicia. Alude también a diversos autos dictados por el Tribunal Superior de Justicia de Cataluña en los que asume su competencia para conocer de las querellas formuladas contra personas aforadas según el Estatuto de Autonomía de Cataluña (auto núm. 37/2014, de 24 de marzo, sobre la querella núm. 7-2014 en causa por rebelión y sedición; auto núm. 8/2015, de 8 de enero, sobre la querella núm. 18-2014 en causa por rebelión y sedición; auto núm. 696/2015, de 2 de noviembre, sobre la querella núm. 12-2015 en causa por rebelión y sedición; auto núm. 175/2016, de 20 de junio, sobre la querella núm. 19-2015 en causa por sedición y prevaricación; auto núm. 11/2016, de 1 de febrero, sobre la querella núm. 18-2015 en causa por rebelión y sedición; auto núm. 10/2016, de 1 de febrero, sobre la querella núm. 10-2016 en causa por conspiración y sedición; auto núm. 13/2017, de 20 de febrero, en indeterminadas núm. 7-2017 en causa por sedición y rebelión; y auto núm. 59/2017, de 31 de julio, sobre la querella núm. 26-2017 en causa por rebelión y sedición), así como a causas abiertas, como las diligencias previas núm. 3-2017, en las que se investigaba la preparación del referéndum, luego acumulada a la causa especial seguida ante el Tribunal Supremo. Cita también las diligencias previas núm. 118-2018 del Juzgado de Instrucción núm. 13 de Barcelona, en la que también se investigaba la participación de los miembros del Gobierno y de la sociedad civil en la preparación del referéndum del 1 de octubre, y el sumario contra la “cúpula de interior” (sumario núm. 7-2018) del Juzgado Central de Instrucción núm. 3, en el que se encontraban investigados los Sres. Cuixart y Sànchez.</w:t>
      </w:r>
    </w:p>
    <w:p w:rsidR="005728DD" w:rsidRDefault="005728DD" w:rsidP="005728DD">
      <w:pPr>
        <w:pStyle w:val="TextoNormal"/>
      </w:pPr>
    </w:p>
    <w:p w:rsidR="005728DD" w:rsidRDefault="005728DD" w:rsidP="005728DD">
      <w:pPr>
        <w:pStyle w:val="TextoNormal"/>
      </w:pPr>
      <w:r>
        <w:t xml:space="preserve">3.1.3. La cuestión de la falta de competencia fue resuelta por la Sala Segunda del Tribunal Supremo mediante auto de 27 de diciembre del 2018. Según la demanda, esta resolución judicial se funda en cuatro argumentos que somete a crítica: (i) la “finalidad independentista”, respecto del que alega que para determinar la competencia lo relevante es “si los elementos del tipo se realizan dentro o fuera de la comunidad autónoma, siendo absolutamente inocuo desde una perspectiva de justicia que la finalidad subjetiva sea la de declarar la independencia o la de mantener la unidad territorial”; (ii) la “inescindibilidad del hecho”, criterio que “no tiene absolutamente nada que ver con la acusación contra el Sr. Jordi Cuixart, en relación al cual no se formulaban cargos relativos a la malversación”, y que resulta </w:t>
      </w:r>
      <w:r>
        <w:lastRenderedPageBreak/>
        <w:t>vacía en un contexto procesal en el que “existen otras causas penales por los mismos hechos pero con distintos sujetos”; (iii) la “diferencia de delitos imputados”, argumento que solo afecta a la competencia de la Audiencia Nacional; (iv) y la “interpretación restrictiva” en materia de competencia de aforados y de atribución al Tribunal Supremo, que no justifica el enjuiciamiento en un tribunal de aforados de don Jordi Cuixart, que no ostenta tal condición.</w:t>
      </w:r>
    </w:p>
    <w:p w:rsidR="005728DD" w:rsidRDefault="005728DD" w:rsidP="005728DD">
      <w:pPr>
        <w:pStyle w:val="TextoNormal"/>
      </w:pPr>
    </w:p>
    <w:p w:rsidR="005728DD" w:rsidRDefault="005728DD" w:rsidP="005728DD">
      <w:pPr>
        <w:pStyle w:val="TextoNormal"/>
      </w:pPr>
      <w:r>
        <w:t>3.1.4. La sentencia recurrida en amparo se refiere también a esta materia y, respecto de las alegaciones efectuadas por el recurrente, atiende a la “inescindibilidad del hecho” presentado por la acusación, “tanto respecto de aquellos acusados a los que se imputaban los delitos de rebelión y malversación, como respecto de aquellos otros en los que la imputación no incluía el delito de rebelión sino de forma conjunta, los de malversación y desobediencia”. A su juicio, este criterio no justifica la atribución de competencia “en relación a aquellos acusados que, como el Sr. Cuixart, no estaban siendo juzgados por malversación” y se encontraban fuera del Gobierno de la Generalitat.</w:t>
      </w:r>
    </w:p>
    <w:p w:rsidR="005728DD" w:rsidRDefault="005728DD" w:rsidP="005728DD">
      <w:pPr>
        <w:pStyle w:val="TextoNormal"/>
      </w:pPr>
    </w:p>
    <w:p w:rsidR="005728DD" w:rsidRDefault="005728DD" w:rsidP="005728DD">
      <w:pPr>
        <w:pStyle w:val="TextoNormal"/>
      </w:pPr>
      <w:r>
        <w:t>3.1.5. La demanda incide especialmente en lo que considera consecuencias de esa decisión sobre competencia, comenzando por la ausencia de recurso, lo que afectaría al derecho a la doble instancia penal. Aduce que la condena del recurrente implica una automática violación del derecho a un doble grado de jurisdicción, según lo previsto por el art. 14.5 PIDCP, pues el recurso de amparo no puede ser considerado como una revisión por un tribunal superior conforme a las exigencias del precepto citado. El argumento de la “compensación de garantías” por el fuero privilegiado es, a su juicio, cuestionable en este caso, en el que existen dudas sobre la apariencia de imparcialidad del tribunal que conoció de la causa, dada, además, la insuficiencia de la ley para dar cumplimiento a las exigencias internacionales. En tales circunstancias, la duda sobre la competencia debió resolverse en favor del tribunal inferior, a lo que se añade que, en este caso, se ha producido un cambio de criterio insuficientemente justificado “en el marco de una querella firmada por un antiguo miembro de la misma Sala”.</w:t>
      </w:r>
    </w:p>
    <w:p w:rsidR="005728DD" w:rsidRDefault="005728DD" w:rsidP="005728DD">
      <w:pPr>
        <w:pStyle w:val="TextoNormal"/>
      </w:pPr>
    </w:p>
    <w:p w:rsidR="005728DD" w:rsidRDefault="005728DD" w:rsidP="005728DD">
      <w:pPr>
        <w:pStyle w:val="TextoNormal"/>
      </w:pPr>
      <w:r>
        <w:t>3.1.6. La segunda consecuencia de la asunción de la competencia por el Tribunal Supremo es, según la demanda, la imposibilidad de desarrollar el juicio en lengua catalana.</w:t>
      </w:r>
    </w:p>
    <w:p w:rsidR="005728DD" w:rsidRDefault="005728DD" w:rsidP="005728DD">
      <w:pPr>
        <w:pStyle w:val="TextoNormal"/>
      </w:pPr>
    </w:p>
    <w:p w:rsidR="005728DD" w:rsidRDefault="005728DD" w:rsidP="005728DD">
      <w:pPr>
        <w:pStyle w:val="TextoNormal"/>
      </w:pPr>
      <w:r>
        <w:t>La exposición de la demanda sobre este materia comienza por reproducir parcialmente los argumentos contenidos al respecto en la sentencia (apartado 3 del fundamento de Derecho A) así como en el auto de 27 de diciembre de 2018. Consideración especial hace de las dos razones ofrecidas por la sentencia para rechazar el uso de la lengua catalana, cuales son que la traducción simultánea solicitada por las partes afecta al principio de publicidad y que el plurilingüismo en el sistema judicial español está construido normativamente a partir de una delimitación espacial o territorial de su vigencia.</w:t>
      </w:r>
    </w:p>
    <w:p w:rsidR="005728DD" w:rsidRDefault="005728DD" w:rsidP="005728DD">
      <w:pPr>
        <w:pStyle w:val="TextoNormal"/>
      </w:pPr>
    </w:p>
    <w:p w:rsidR="005728DD" w:rsidRDefault="005728DD" w:rsidP="005728DD">
      <w:pPr>
        <w:pStyle w:val="TextoNormal"/>
      </w:pPr>
      <w:r>
        <w:t xml:space="preserve">a) Sobre el primer argumento, sostiene que el Tribunal Supremo parte de una comprensión claramente parcial y desviada del principio de publicidad y que la misma —la publicidad de la vista oral— “nunca puede limitar los derechos procesales del acusado, y menos cuando […] se reconoce que se disponía de medios para que ello no fuera así”. A su entender, “un análisis de la cuestión desde los derechos fundamentales de los justiciables debería haber servido para amparar el uso de la lengua propia en las declaraciones y los interrogatorios de los acusados y, en particular, el derecho de autodefensa en sede penal […], en </w:t>
      </w:r>
      <w:r>
        <w:lastRenderedPageBreak/>
        <w:t xml:space="preserve">conjunción con el derecho a la vida privada”. En el discurso de la sentencia late una “confusión entre el derecho a no sufrir indefensión” y “el derecho (o garantías) de autodefensa aducidas por los letrados de las partes”. Según el recurrente, el art. 123 LECrim ha sido objeto de una “interpretación sesgada”, que desdibuja “el mandato normativo que establece la traducción simultánea como medio de interpretación ordinario, y solamente en el supuesto legalmente delimitado en el apartado segundo —‘en el caso de que no pueda disponerse del servicio de traducción simultánea’—, se autoriza que la interpretación de las actuaciones del juicio oral se realice ‘mediante una interpretación consecutiva’”. Agrega que “no se puede argüir la brillantez discursiva del acusado como argumento para rebatir el derecho a la traducción simultánea”, dado que la objeción de las partes “no versaba sobre la capacidad dialéctica de los intervinientes, sino sobre el respeto de sus derechos y la interpretación </w:t>
      </w:r>
      <w:r w:rsidRPr="005728DD">
        <w:rPr>
          <w:i/>
        </w:rPr>
        <w:t>pro libertatem</w:t>
      </w:r>
      <w:r>
        <w:t>”. En definitiva, “los derechos lingüísticos de los procesados no fueron en ningún momento adecuadamente ponderados”, “ya que se argumenta a partir de principios externos a los mismos (publicidad e indefensión), para acabar concluyendo que los primeros no fueron vulnerados”.</w:t>
      </w:r>
    </w:p>
    <w:p w:rsidR="005728DD" w:rsidRDefault="005728DD" w:rsidP="005728DD">
      <w:pPr>
        <w:pStyle w:val="TextoNormal"/>
      </w:pPr>
    </w:p>
    <w:p w:rsidR="005728DD" w:rsidRDefault="005728DD" w:rsidP="005728DD">
      <w:pPr>
        <w:pStyle w:val="TextoNormal"/>
      </w:pPr>
      <w:r>
        <w:t>b) Sobre la segunda de las razones dadas en la sentencia, según la cual la sede del Tribunal Supremo fuera del territorio de Cataluña explica y justifica la exclusión de esa posibilidad del uso del catalán, según la demanda, se “presenta como algo ‘evidente’, esto es no necesitado de justificación, aquello que en realidad no lo es”. A su juicio, el art. 231 Ley Orgánica del Poder Judicial (LOPJ) presenta serias dudas interpretativas y lo lógico hubiera sido reconocerlas. También aduce que el argumento relativo a la Carta de las lenguas regionales y minoritarias resulta contradictorio, pues lo que viene diciendo el Consejo de Europa, cuyos informes cita de forma indirecta el Tribunal Supremo, “es que el artículo 231 LOPJ, en su redacción actual, constituye el principal impedimento legal para poder cumplir las obligaciones asumidas por el Reino de España en el marco del art. 9 de la Carta, relativo a la justicia”. En el discurso de la sala sentenciadora se produce otro salto lógico cuando, en primer término, reconoce en el uso de la lengua la distinción activa (derecho de uso por el justiciable) y pasiva (derecho a ser atendido por el órgano judicial en la lengua de que se trata), para luego “restringir (a los acusados) o negar (en el caso de los testimonios) el uso del catalán en la sola dimensión activa”.</w:t>
      </w:r>
    </w:p>
    <w:p w:rsidR="005728DD" w:rsidRDefault="005728DD" w:rsidP="005728DD">
      <w:pPr>
        <w:pStyle w:val="TextoNormal"/>
      </w:pPr>
    </w:p>
    <w:p w:rsidR="005728DD" w:rsidRDefault="005728DD" w:rsidP="005728DD">
      <w:pPr>
        <w:pStyle w:val="TextoNormal"/>
      </w:pPr>
      <w:r>
        <w:t xml:space="preserve">A continuación se refiere la demanda al régimen jurídico del catalán comenzando por descalificar la expresión “lengua vernácula”, empleada por el tribunal sentenciador, que, a su juicio, constituye un “término sociológico y hoy totalmente en desuso por la sociolingüística, y que incluso denota cierto menosprecio respecto de su estatuto jurídico formal”. Su oficialidad fue destacada en la STC 31/2010 y si bien “el texto constitucional no identifica los derechos lingüísticos derivados de la oficialidad […] como derechos fundamentales”, es “también sabido que determinados derechos fundamentales pueden presentar un contenido lingüístico”, (como el derecho a la tutela judicial efectiva, el derecho a la educación o el derecho a la intimidad). Alude, además, al art. 10.2 CE, que incorpora un mandato de interpretación de las normas constitucionales sobre esta materia de conformidad con los tratados internacionales sobre derechos humanos ratificados por España, y al reconocimiento efectuado por el Tribunal Constitucional de que la “conexión del uso lingüístico con el ejercicio de un derecho fundamental debe modular la interpretación y aplicación de las previsiones legales restrictivas” (SSTC 48/2000 y 49/2000). Reitera que las partes consideraron el derecho de uso de la lengua catalana “en el marco de las garantías procesales dotadas de rango de derecho fundamental”, a partir de lo cual “el tribunal no podía obviar la </w:t>
      </w:r>
      <w:r>
        <w:lastRenderedPageBreak/>
        <w:t>obligación interpretativa del juzgador a favor de la libertad al interpretar el marco normativo existente (e integrar sus vacíos o carencias regulatorias antes señaladas), ponderando la afectación de los derechos lingüísticos de las partes”. Y agrega que esta exigencia era, si cabe, “más perentoria e ineludible” en el caso del recurrente, “que es presidente de la entidad cultural Òmnium Cultural entre cuyos objetivos fundacionales se encuentra la promoción y protección de la lengua catalana”. Completa lo anterior con los argumentos dados en la sentencia de la Sala Penal de la Audiencia Nacional de 24 de abril de 2008 —aportada a la causa— que analizó la cuestión del uso de la lengua catalana en la vista oral.</w:t>
      </w:r>
    </w:p>
    <w:p w:rsidR="005728DD" w:rsidRDefault="005728DD" w:rsidP="005728DD">
      <w:pPr>
        <w:pStyle w:val="TextoNormal"/>
      </w:pPr>
    </w:p>
    <w:p w:rsidR="005728DD" w:rsidRDefault="005728DD" w:rsidP="005728DD">
      <w:pPr>
        <w:pStyle w:val="TextoNormal"/>
      </w:pPr>
      <w:r>
        <w:t>A modo de conclusión, la demanda defiende que la decisión adoptada por la sala de enjuiciamiento sobre el empleo del catalán merece una censura constitucional en cuanto “expulsa las lenguas oficiales distintas al castellano de las instituciones centrales del Estado” y “resuelve los conflictos lingüísticos desde la perspectiva de los derechos del tribunal y no de los derechos de los justiciables”.</w:t>
      </w:r>
    </w:p>
    <w:p w:rsidR="005728DD" w:rsidRDefault="005728DD" w:rsidP="005728DD">
      <w:pPr>
        <w:pStyle w:val="TextoNormal"/>
      </w:pPr>
    </w:p>
    <w:p w:rsidR="005728DD" w:rsidRDefault="005728DD" w:rsidP="005728DD">
      <w:pPr>
        <w:pStyle w:val="TextoNormal"/>
      </w:pPr>
      <w:r>
        <w:t>3.2. Vulneración del derecho fundamental al juez independiente e imparcial (arts. 24.2 CE y 6 CEDH). La demanda cuestiona, en primer término, la imparcialidad objetiva de la sala de enjuiciamiento en base a dos motivos: la relación de los magistrados integrantes de la misma con el fiscal general del Estado firmante de la querella; y la relación de la sala con el Ejecutivo, que sustenta en determinadas declaraciones e incidentes relativos a destacados políticos (vicepresidenta del Gobierno, Sra. Sáenz de Santamaría; presidente, Sr. Sánchez; y senador, Sr. Cosidó). En segundo lugar, se argumenta sobre la ausencia de imparcialidad subjetiva del órgano de enjuiciamiento con fundamento en varias causas.</w:t>
      </w:r>
    </w:p>
    <w:p w:rsidR="005728DD" w:rsidRDefault="005728DD" w:rsidP="005728DD">
      <w:pPr>
        <w:pStyle w:val="TextoNormal"/>
      </w:pPr>
    </w:p>
    <w:p w:rsidR="005728DD" w:rsidRDefault="005728DD" w:rsidP="005728DD">
      <w:pPr>
        <w:pStyle w:val="TextoNormal"/>
      </w:pPr>
      <w:r>
        <w:t>3.2.1. La relación de la sala con el fiscal de la querella. La demanda relata que el fiscal firmante de la querella que da origen al proceso, don Manuel Maza, fue durante catorce años miembro de la Sala Segunda del Tribunal Supremo, el órgano judicial encargado de su instrucción y enjuiciamiento, de modo que los magistrados llamados a resolver el litigio han sido durante años compañeros de sala de una de las partes. Esa coincidencia, continúa diciendo, es de “especial calado con los magistrados que acordaron la admisión de la querella y la determinación de la competencia mediante el auto de 31 de octubre del 2017” (Sres. Marchena Gómez, Martínez Arrieta, Sánchez Melgar, Berdugo Gómez de la Torre y Varela Castro). Concluye señalado que “haber compartido sala con una de las partes durante nueve, doce o catorce años es un supuesto equiparable a la amistad íntima del artículo 219.9 LOPJ”, tratándose de una relación que, por su intensidad y calidad, puede generar “un temor objetivo a que el juzgador sea influenciado” en su comportamiento y decisión, afectando a la apariencia de imparcialidad objetiva.</w:t>
      </w:r>
    </w:p>
    <w:p w:rsidR="005728DD" w:rsidRDefault="005728DD" w:rsidP="005728DD">
      <w:pPr>
        <w:pStyle w:val="TextoNormal"/>
      </w:pPr>
    </w:p>
    <w:p w:rsidR="005728DD" w:rsidRDefault="005728DD" w:rsidP="005728DD">
      <w:pPr>
        <w:pStyle w:val="TextoNormal"/>
      </w:pPr>
      <w:r>
        <w:t>3.2.2. La relación de la sala con el ejecutivo. Bajo este título, la demanda se refiere a tres manifestaciones de destacados políticos que, a su juicio, “ponen en evidencia un contexto de interferencia del poder político en el poder judicial y que —ante una situación en la que no se ha tomado medida alguna para frenar, paliar o hacer cesar estas intromisiones— son indiciarias de una falta de independencia del tribunal encargado del enjuiciamiento. Se trata de: (i) las declaraciones de la vicepresidenta del Gobierno doña Soraya Sáenz de Santamaría, que el 16 de diciembre del 2018, en una rueda de prensa en Catalunya, dijo: “¿Quién ha hecho que hoy por hoy ERC, Junts per Catalunya y el resto de independentistas no tengan líderes porqué están descabezados? Mariano Rajoy y el Partido Popular”; y, en manifesta</w:t>
      </w:r>
      <w:r>
        <w:lastRenderedPageBreak/>
        <w:t>ciones en el Parlamento, afirmó, en relación con los encausados, que “están en prisión preventiva por haber cometido delitos”; (ii) el mensaje de WhatsApp del senador Sr. Cosidó acerca de la propuesta de nombramiento del Sr. Marchena como presidente del Consejo General del Poder Judicial y del Tribunal Supremo, lo que permitiría, en palabras del citado senador y portavoz del grupo parlamentario del Partido Popular, “controlar la Sala Segunda del Tribunal Supremo desde detrás”; (iii) y la declaración del entonces presidente en funciones del Gobierno español, Sr. Sànchez, que, en el marco de una debate electoral celebrado el 5 de noviembre de 2019, se comprometió personalmente a “traer de vuelta a España al Sr. Puigdemont”, con referencia a la presente causa. Al día siguiente, en declaraciones en Radio Nacional de España, preguntado sobre cómo iba a conseguir el propósito referido, manifestó: “¿De quién depende la fiscalía? La fiscalía depende del Gobierno, pues ya está”.</w:t>
      </w:r>
    </w:p>
    <w:p w:rsidR="005728DD" w:rsidRDefault="005728DD" w:rsidP="005728DD">
      <w:pPr>
        <w:pStyle w:val="TextoNormal"/>
      </w:pPr>
    </w:p>
    <w:p w:rsidR="005728DD" w:rsidRDefault="005728DD" w:rsidP="005728DD">
      <w:pPr>
        <w:pStyle w:val="TextoNormal"/>
      </w:pPr>
      <w:r>
        <w:t>3.2.3. Según la demanda, la ausencia de imparcialidad subjetiva del órgano de enjuiciamiento se funda en cinco causas:</w:t>
      </w:r>
    </w:p>
    <w:p w:rsidR="005728DD" w:rsidRDefault="005728DD" w:rsidP="005728DD">
      <w:pPr>
        <w:pStyle w:val="TextoNormal"/>
      </w:pPr>
    </w:p>
    <w:p w:rsidR="005728DD" w:rsidRDefault="005728DD" w:rsidP="005728DD">
      <w:pPr>
        <w:pStyle w:val="TextoNormal"/>
      </w:pPr>
      <w:r>
        <w:t>a) El contenido ideológico de la sentencia, que infiere de la “expresiones políticas” contenidas en la misma así como de un tratamiento, que califica de excesivo (veinte páginas), del denominado “derecho de autodeterminación”. Según el recurrente, en las páginas 199 y siguientes de la sentencia recurrida, bajo el epígrafe “la inexistencia del derecho a decidir en el marco jurídico internacional, nacional y estatutario” , se desarrollan un conjunto de consideraciones aparentemente jurídicas pero de clarísimo trasfondo político, entrando el tribunal a resolver una cuestión que fue vetada a las partes, que no forma parte del objeto del proceso penal y da una opinión política en materia de soberanía exactamente contraria a la idea defendida por los acusados. Esta toma de partido políticamente sobre el fondo, hace evidente, en opinión del recurrente, “la ausencia de neutralidad del tribunal juzgador”.</w:t>
      </w:r>
    </w:p>
    <w:p w:rsidR="005728DD" w:rsidRDefault="005728DD" w:rsidP="005728DD">
      <w:pPr>
        <w:pStyle w:val="TextoNormal"/>
      </w:pPr>
    </w:p>
    <w:p w:rsidR="005728DD" w:rsidRDefault="005728DD" w:rsidP="005728DD">
      <w:pPr>
        <w:pStyle w:val="TextoNormal"/>
      </w:pPr>
      <w:r>
        <w:t xml:space="preserve">b) El tratamiento procesal de la presunción de inocencia, pues, a su juicio, la sentencia se funda en un “prejuicio”, dada la inexistencia de valoración probatoria en relación con el demandante, lo que, a su vez, constituiría una vulneración del deber de motivación exigible </w:t>
      </w:r>
      <w:r w:rsidRPr="005728DD">
        <w:rPr>
          <w:i/>
        </w:rPr>
        <w:t>ex</w:t>
      </w:r>
      <w:r>
        <w:t xml:space="preserve"> art. 24.1 CE. Tras hacer referencia a la doctrina constitucional sobre la presunción de inocencia, el recurrente alega que la sentencia recurrida no contiene un apartado específico destinado a abordar la cuestión probatoria. La misma, tras un apartado relativo a los derechos fundamentales, “se adentra en el análisis de los juicios de tipicidad, autoría y penas, sin detenerse a desarrollar el análisis probatorio que ha permitido al tribunal alcanzar las conclusiones expresadas en el relato de hechos probados”, omisión que es “indiciaria de vulneración del derecho a la presunción de inocencia”.</w:t>
      </w:r>
    </w:p>
    <w:p w:rsidR="005728DD" w:rsidRDefault="005728DD" w:rsidP="005728DD">
      <w:pPr>
        <w:pStyle w:val="TextoNormal"/>
      </w:pPr>
    </w:p>
    <w:p w:rsidR="005728DD" w:rsidRDefault="005728DD" w:rsidP="005728DD">
      <w:pPr>
        <w:pStyle w:val="TextoNormal"/>
      </w:pPr>
      <w:r>
        <w:t>Este aspecto se desdobla en varios subapartados en los que cuestiona determinados hechos y su valoración:</w:t>
      </w:r>
    </w:p>
    <w:p w:rsidR="005728DD" w:rsidRDefault="005728DD" w:rsidP="005728DD">
      <w:pPr>
        <w:pStyle w:val="TextoNormal"/>
      </w:pPr>
    </w:p>
    <w:p w:rsidR="005728DD" w:rsidRDefault="005728DD" w:rsidP="005728DD">
      <w:pPr>
        <w:pStyle w:val="TextoNormal"/>
      </w:pPr>
      <w:r>
        <w:t xml:space="preserve">(i) La participación en la convocatoria del 20 de septiembre ante la sede de la Vicepresidencia del Govern y el desarrollo de la diligencia judicial. Según la sentencia, la contribución del recurrente a los hechos se limitó a convocar a los ciudadanos a manifestarse ante aquella sede a raíz de los registros judiciales acordados por parte del Juzgado de Instrucción núm. 13 de Barcelona. Sin embargo, no entra a valorar los horarios de la comisión judicial ni el cometido de los documentos videográficos sobre los incidentes, sin que concrete “qué parte o aspecto de la diligencia no pudo realizarse ya no por la actuación de los acusados sino por la mera existencia de la movilización”. Agrega que “de la prueba se deduce que la </w:t>
      </w:r>
      <w:r>
        <w:lastRenderedPageBreak/>
        <w:t>diligencia empezó y se desarrolló sin ningún problema derivado de la presencia de los manifestantes —que permanecieron ajenos en todo momento a la práctica de la diligencia judicial— y cuando fue el momento de acceder al despacho del Sr. Josep Mª. Jové, este renunció a estar presente en la misma, según consta, y la diligencia se cumplimentó sin problema alguno”. En el relato de hechos probados (pág. 44) se dice que “la movilización […] impidió que pudiera ser atendida la orden judicial con plena normalidad”, pero, más allá de que “se hace difícil imaginar la normalidad cuando el registro se practica en la vicepresidencia del Gobierno catalán en relación a la investigación de un referéndum”, la misma se desarrolló en su integridad. “Si normalidad se refiere a la cumplimentación judicial en el marco de una protesta multitudinaria, esta se materializó con normalidad y la sentencia no llega a concretar en qué momento, lugar y forma ello no fue así”. “Si normalidad se refiere a un escenario sin protesta, […] entonces se construye una normalidad de espaldas al concepto de estado democrático de derecho”.</w:t>
      </w:r>
    </w:p>
    <w:p w:rsidR="005728DD" w:rsidRDefault="005728DD" w:rsidP="005728DD">
      <w:pPr>
        <w:pStyle w:val="TextoNormal"/>
      </w:pPr>
    </w:p>
    <w:p w:rsidR="005728DD" w:rsidRDefault="005728DD" w:rsidP="005728DD">
      <w:pPr>
        <w:pStyle w:val="TextoNormal"/>
      </w:pPr>
      <w:r>
        <w:t>(ii) En relación a otras convocatorias e incidentes que, según el relato de hechos probados, tuvieron lugar en la misma fecha, aduce que aparecen sobredimensionados y, en un caso, como es el de Berga, que no llegó a producirse altercado alguno. En el caso del registro del Departamento de Exteriores, “se materializó sin ningún problema, hubo zarandeo y golpes en el coche del detenido”. En Bigues i Riells, se dice que hubo actitud hostil de un grupo de 200-250 personas”, lo que, según el recurrente, “no se corresponde con las grabaciones aportadas en las que aparecen veinte o veinticinco personas sentadas en el suelo”. Finalmente, el Juzgado de Instrucción núm. 13 de Barcelona no acordó diligencia alguna en la localidad de Berga, por lo que ni hubo registros judiciales ni se produjo incidente alguno.</w:t>
      </w:r>
    </w:p>
    <w:p w:rsidR="005728DD" w:rsidRDefault="005728DD" w:rsidP="005728DD">
      <w:pPr>
        <w:pStyle w:val="TextoNormal"/>
      </w:pPr>
    </w:p>
    <w:p w:rsidR="005728DD" w:rsidRDefault="005728DD" w:rsidP="005728DD">
      <w:pPr>
        <w:pStyle w:val="TextoNormal"/>
      </w:pPr>
      <w:r>
        <w:t>(iii) En relación con las llamadas a la participación en el referéndum del 1-O (pág. 54 se la sentencia), aduce la demanda que la argumentación de la sentencia resulta contradictoria al “declarar que la intervención policial fue necesaria en un primer momento y devino desproporcionada unas horas después cuando no se consigna al mismo tiempo como probado un relato fáctico que permita comprender esta conclusión evolutiva”. Además, no se concreta qué grabaciones se han visionado y valorado para concluir sobre lo que sucedió en los colegios electorales el 1 de octubre y, por otra parte, el relato fáctico no contiene el detalle suficiente para subsumir conducta en el tipo penal.</w:t>
      </w:r>
    </w:p>
    <w:p w:rsidR="005728DD" w:rsidRDefault="005728DD" w:rsidP="005728DD">
      <w:pPr>
        <w:pStyle w:val="TextoNormal"/>
      </w:pPr>
    </w:p>
    <w:p w:rsidR="005728DD" w:rsidRDefault="005728DD" w:rsidP="005728DD">
      <w:pPr>
        <w:pStyle w:val="TextoNormal"/>
      </w:pPr>
      <w:r>
        <w:t>(iv) Finalmente, critica el hecho relativo a la pérdida de la capacidad jurisdiccional por parte de los jueces de Cataluña (pág. 60 de la sentencia) que tiene reflejo, según dice la demanda, en la individualización de la pena. La actuación del recurrente, según se aduce, estuvo exclusivamente vinculada “a la protesta relativa a la realización del referéndum de autodeterminación y por lo tanto a la crítica y a la protesta en cuanto a la actuación de dos órganos judiciales muy concretos en relación a dos procedimientos muy concretos” (el Juzgado de Instrucción núm. 13 de Barcelona, el día 20 de setiembre, y el Tribunal Superior de Justicia de Catalunya, el día 1 de octubre). La desobediencia civil alegada no se ha predicado “en cuanto a todas las resoluciones judiciales, ni en cuanto a todas las leyes, a modo de absoluta anarquía normativa, sino como proceso consciente y reflexivo que se ciñe de forma selectiva y concreta en relación a preceptos y órdenes que se producen en el marco de conflictos colectivos en los que participan masivamente miles de ciudadanos”.</w:t>
      </w:r>
    </w:p>
    <w:p w:rsidR="005728DD" w:rsidRDefault="005728DD" w:rsidP="005728DD">
      <w:pPr>
        <w:pStyle w:val="TextoNormal"/>
      </w:pPr>
    </w:p>
    <w:p w:rsidR="005728DD" w:rsidRDefault="005728DD" w:rsidP="005728DD">
      <w:pPr>
        <w:pStyle w:val="TextoNormal"/>
      </w:pPr>
      <w:r>
        <w:t xml:space="preserve">c) Las manifestaciones del tribunal sobre los abogados fuera de la sala de enjuiciamiento. Se refiere aquí la demanda a las valoraciones efectuadas por los miembros tribunal sobre la </w:t>
      </w:r>
      <w:r>
        <w:lastRenderedPageBreak/>
        <w:t xml:space="preserve">estrategia de la defensa del recurrente al terminar la sesión de 14 de mayo de 2019, según la información facilitada por algunos medios (“Europa Press”, “La Vanguardia”, “El País” y “El Confidencial”) sobre “el profundo malestar de los siete magistrados” al respecto. Se argumenta que esas apreciaciones del tribunal constituyen un “prejuicio” que compromete su apariencia de imparcialidad. Cita y trascribe parte de las SSTEDH de 16 de septiembre de 1999, </w:t>
      </w:r>
      <w:r w:rsidRPr="005728DD">
        <w:rPr>
          <w:i/>
        </w:rPr>
        <w:t>Buscemi c. Italia</w:t>
      </w:r>
      <w:r>
        <w:t xml:space="preserve">; de 28 de noviembre de 2002, </w:t>
      </w:r>
      <w:r w:rsidRPr="005728DD">
        <w:rPr>
          <w:i/>
        </w:rPr>
        <w:t>Lavents c. Letonia</w:t>
      </w:r>
      <w:r>
        <w:t xml:space="preserve">, y de 5 de febrero del 2009, </w:t>
      </w:r>
      <w:r w:rsidRPr="005728DD">
        <w:rPr>
          <w:i/>
        </w:rPr>
        <w:t>Olujic c. Croacia</w:t>
      </w:r>
      <w:r>
        <w:t>, en relación a declaraciones de miembros de tribunales criticando la defensa y su impacto en el respeto del derecho fundamental al proceso debido del art. 6.1 CEDH.</w:t>
      </w:r>
    </w:p>
    <w:p w:rsidR="005728DD" w:rsidRDefault="005728DD" w:rsidP="005728DD">
      <w:pPr>
        <w:pStyle w:val="TextoNormal"/>
      </w:pPr>
    </w:p>
    <w:p w:rsidR="005728DD" w:rsidRDefault="005728DD" w:rsidP="005728DD">
      <w:pPr>
        <w:pStyle w:val="TextoNormal"/>
      </w:pPr>
      <w:r>
        <w:t>d) Las manifestaciones del tribunal sobre los abogados dentro de la sala. Valora en este apartado las intervenciones del presidente del tribunal de enjuiciamiento en el interrogatorio de los testigos don Javier Pacheco y doña Marina Garcés, expresivas, a juicio del recurrente, de la “predisposición del tribunal”. En el primer caso, destaca la expresión “yerra usted en la estrategia defensiva” dirigida al abogado del Sr. Cuixart; y en el segundo, la manifestación “correcto, mucho mejor” tras desistir esa defensa de seguir interrogando a la testigo mencionada.</w:t>
      </w:r>
    </w:p>
    <w:p w:rsidR="005728DD" w:rsidRDefault="005728DD" w:rsidP="005728DD">
      <w:pPr>
        <w:pStyle w:val="TextoNormal"/>
      </w:pPr>
    </w:p>
    <w:p w:rsidR="005728DD" w:rsidRDefault="005728DD" w:rsidP="005728DD">
      <w:pPr>
        <w:pStyle w:val="TextoNormal"/>
      </w:pPr>
      <w:r>
        <w:t xml:space="preserve">e) Las decisiones sobre admisión y práctica de las pruebas. Según la demanda, la forma en la que el tribunal abordó los interrogatorios de testigos por las defensas es indicadora de esta ausencia de imparcialidad. Se refiere específicamente al interrogatorio de la citada Sra. Garcés, del que destaca el “prejuicio absoluto” de la sala cuando afirma que sus contestaciones responden a “un guion predefinido, escrito de antemano” (pág.178) o “un guion en el que se transcribe hasta el tiempo que hacía que ‘no se tomaba un café’ con el Sr. Cuixart, su estado febril o grado de alucinación que le produjo la prohibición jurisdiccional del referéndum de 1 de octubre”. La misma predisposición se manifestó, según se relata en la demanda, en la inadmisión de veinte testificales propuestas por la defensa y, especialmente, de la pericial de don Hugh Orde y don Duncan Mc.Causland, sobre el análisis de los hechos acaecidos el 20 de septiembre y el 1 de octubre. A su juicio, esta decisión de inadmisión, de una prueba que considera decisiva, contrasta con la admisión de testificales de la acusación, como la de un agente del Cuerpo Nacional de Policía que había emitido un informe sobre en análisis de los videos del 1 de octubre, o la de agentes de la Guardia Civil que intervinieron en el atestado y que analizaban los “tweets” emitidos por el Sr. Cuixart. Esta circunstancia pone de manifiesto el trato desigual dado a las partes, tal y como señala el informe definitivo de la misión international </w:t>
      </w:r>
      <w:r w:rsidRPr="005728DD">
        <w:rPr>
          <w:i/>
        </w:rPr>
        <w:t>Trial Watch</w:t>
      </w:r>
      <w:r>
        <w:t xml:space="preserve"> sobre el procedimiento, que se acompaña a la demanda.</w:t>
      </w:r>
    </w:p>
    <w:p w:rsidR="005728DD" w:rsidRDefault="005728DD" w:rsidP="005728DD">
      <w:pPr>
        <w:pStyle w:val="TextoNormal"/>
      </w:pPr>
    </w:p>
    <w:p w:rsidR="005728DD" w:rsidRDefault="005728DD" w:rsidP="005728DD">
      <w:pPr>
        <w:pStyle w:val="TextoNormal"/>
      </w:pPr>
      <w:r>
        <w:t xml:space="preserve">A modo de cláusula final de la queja, la demanda señala que estas circunstancias fácticas, que permiten generar dudas sobre imparcialidad del tribunal de enjuiciamiento por parte de cualquier observador externo, “deben ser puestas en relación con otras alegaciones del presente recurso que complementan esta perspectiva”, como son la modificación del criterio de competencia </w:t>
      </w:r>
      <w:r w:rsidRPr="005728DD">
        <w:rPr>
          <w:i/>
        </w:rPr>
        <w:t>ad hoc</w:t>
      </w:r>
      <w:r>
        <w:t>, la cuestión relativa a los derechos lingüísticos y el mantenimiento de la prisión provisional del recurrente.</w:t>
      </w:r>
    </w:p>
    <w:p w:rsidR="005728DD" w:rsidRDefault="005728DD" w:rsidP="005728DD">
      <w:pPr>
        <w:pStyle w:val="TextoNormal"/>
      </w:pPr>
    </w:p>
    <w:p w:rsidR="005728DD" w:rsidRDefault="005728DD" w:rsidP="005728DD">
      <w:pPr>
        <w:pStyle w:val="TextoNormal"/>
      </w:pPr>
      <w:r>
        <w:t>3.3. Vulneración del derecho fundamental de reunión (arts. 21 CE y 11 CEDH).</w:t>
      </w:r>
    </w:p>
    <w:p w:rsidR="005728DD" w:rsidRDefault="005728DD" w:rsidP="005728DD">
      <w:pPr>
        <w:pStyle w:val="TextoNormal"/>
      </w:pPr>
    </w:p>
    <w:p w:rsidR="005728DD" w:rsidRDefault="005728DD" w:rsidP="005728DD">
      <w:pPr>
        <w:pStyle w:val="TextoNormal"/>
      </w:pPr>
      <w:r>
        <w:t xml:space="preserve">Tras una amplia exposición teórica sobre el contenido de los derechos de reunión y manifestación, de la noción de “orden público” como elemento delimitador del tipo penal del </w:t>
      </w:r>
      <w:r>
        <w:lastRenderedPageBreak/>
        <w:t>art. 544 CP, así como del tratamiento jurídico penal de estos supuestos “efecto desaliento”, se queja el recurrente de que la sentencia no contiene una verdadera ponderación, y sostiene que la conducta del Sr. Cuixart en relación con las concentraciones de 20 de septiembre y 1 de octubre se incardina en el contenido de este derecho fundamental. Se refiere también a la denominada “resistencia pasiva”, presenta los hechos como “conflicto social pacífico” y su comportamiento como amparado en un “derecho de desobediencia al Derecho”. Sobre esta última materia crítica el apartado 17.4 de la sentencia impugnada.</w:t>
      </w:r>
    </w:p>
    <w:p w:rsidR="005728DD" w:rsidRDefault="005728DD" w:rsidP="005728DD">
      <w:pPr>
        <w:pStyle w:val="TextoNormal"/>
      </w:pPr>
    </w:p>
    <w:p w:rsidR="005728DD" w:rsidRDefault="005728DD" w:rsidP="005728DD">
      <w:pPr>
        <w:pStyle w:val="TextoNormal"/>
      </w:pPr>
      <w:r>
        <w:t xml:space="preserve">Comienza el relato de este motivo de la demanda con un apartado introductorio en que expone, a la luz de la doctrina del Tribunal Europeo de Derechos Humanos, el contenido del derecho de reunión mediante la significación de las nociones de “reunión pacífica”, “actos violentos asilados” y límites generales del derecho, con referencia específica a las STEDH de 17 de julio de 2007, </w:t>
      </w:r>
      <w:r w:rsidRPr="005728DD">
        <w:rPr>
          <w:i/>
        </w:rPr>
        <w:t>Bukta y otros c. Hungría</w:t>
      </w:r>
      <w:r>
        <w:t xml:space="preserve">, y de 15 de septiembre 2007, </w:t>
      </w:r>
      <w:r w:rsidRPr="005728DD">
        <w:rPr>
          <w:i/>
        </w:rPr>
        <w:t>Galsytan c. Armenia</w:t>
      </w:r>
      <w:r>
        <w:t>. A continuación afirma que la participación, intervención pública y convocatoria de manifestaciones de carácter masivo y de naturaleza pacífica por parte don Jordi Cuixart “no pueden ser incriminadas ni ser sustrato de acusación alguna por delito porqué un mismo hecho no puede ser al mismo tiempo delito y ejercicio de un derecho fundamental”. Se apoya en que así lo han manifestado don Michel Forst y don David Kaye, relatores del sistema de protección de derechos humanos de Naciones Unidas. Añade que, además de los derechos fundamentales del demandante de amparo, el proceso penal “erosiona el derecho fundamental de reunión del conjunto de la ciudadanía a través del llamado efecto desaliento (</w:t>
      </w:r>
      <w:r w:rsidRPr="005728DD">
        <w:rPr>
          <w:i/>
        </w:rPr>
        <w:t>chilling effect</w:t>
      </w:r>
      <w:r>
        <w:t>)”. A partir de aquí la argumentación de la queja se desarrolla en los siguientes apartados:</w:t>
      </w:r>
    </w:p>
    <w:p w:rsidR="005728DD" w:rsidRDefault="005728DD" w:rsidP="005728DD">
      <w:pPr>
        <w:pStyle w:val="TextoNormal"/>
      </w:pPr>
    </w:p>
    <w:p w:rsidR="005728DD" w:rsidRDefault="005728DD" w:rsidP="005728DD">
      <w:pPr>
        <w:pStyle w:val="TextoNormal"/>
      </w:pPr>
      <w:r>
        <w:t>3.3.1. El imposible encuentro entre derechos fundamentales y condenas penales. Tras invocar la doctrina constitucional según la cual “los hechos probados no pueden ser a un mismo tiempo valorados como actos de ejercicio de un derecho fundamental y como conductas constitutivas de una infracción”, y, en consecuencia, es necesario un primer análisis sobre la delimitación del contenido de tal derecho (SSTC 127/2004, 185/2003 y 124/2005), aduce el recurrente que la sentencia impugnada no ha hecho ningún esfuerzo en el sentido indicado sino que, por el contrario, el “punto de partida se sitúa en el opuesto y hace encajar de forma directa hechos y conductas en tipos delictivos sin cuestionarse si podían estar amparadas por el contenido de un derecho fundamental”.</w:t>
      </w:r>
    </w:p>
    <w:p w:rsidR="005728DD" w:rsidRDefault="005728DD" w:rsidP="005728DD">
      <w:pPr>
        <w:pStyle w:val="TextoNormal"/>
      </w:pPr>
    </w:p>
    <w:p w:rsidR="005728DD" w:rsidRDefault="005728DD" w:rsidP="005728DD">
      <w:pPr>
        <w:pStyle w:val="TextoNormal"/>
      </w:pPr>
      <w:r>
        <w:t>3.3.2. El derecho fundamental de reunión en la sentencia recurrida. Al derecho de reunión se dedican tres páginas en la indicada resolución (pág. 244-247). Se omite, pues, la circunstancia de que lo que está en juego es un derecho fundamental, y se prescinde, así, de situar un primer análisis en el ámbito de la delimitación del contenido del derecho en cuestión.</w:t>
      </w:r>
    </w:p>
    <w:p w:rsidR="005728DD" w:rsidRDefault="005728DD" w:rsidP="005728DD">
      <w:pPr>
        <w:pStyle w:val="TextoNormal"/>
      </w:pPr>
    </w:p>
    <w:p w:rsidR="005728DD" w:rsidRDefault="005728DD" w:rsidP="005728DD">
      <w:pPr>
        <w:pStyle w:val="TextoNormal"/>
      </w:pPr>
      <w:r>
        <w:t xml:space="preserve">3.3.3. El orden público como elemento delimitador. Tras desarrollar una amplia disertación sobre las concepciones ideal y material de la noción de orden público, bien jurídico protegido por el delito de sedición del art. 544 CP y limite expreso al ejercicio del derecho de reunión (art. 21.2 CE), argumenta que este Tribunal Constitucional atiende al concepto material para limitar el derecho de reunión, “lo que incluye sólo peligros para personas o bienes derivados de las acciones violentas que puedan producirse en la celebración pacífica de la concentración, ‘ya sea porque la misma cree situaciones que provoquen directamente esos peligros, ya porque imposibilite la realización de actividades tendentes a evitar o a paliar los citados peligros’ (STC 66/1995)”. El contenido de las ideas o las reivindicaciones </w:t>
      </w:r>
      <w:r>
        <w:lastRenderedPageBreak/>
        <w:t>que pretenden expresarse y defenderse mediante el ejercicio de este derecho “no puede ser sometido a controles de oportunidad política, ni a juicios en los que se emplee como canon el sistema de valores que cimientan y dan cohesión al orden social en un momento histórico determinado”.</w:t>
      </w:r>
    </w:p>
    <w:p w:rsidR="005728DD" w:rsidRDefault="005728DD" w:rsidP="005728DD">
      <w:pPr>
        <w:pStyle w:val="TextoNormal"/>
      </w:pPr>
    </w:p>
    <w:p w:rsidR="005728DD" w:rsidRDefault="005728DD" w:rsidP="005728DD">
      <w:pPr>
        <w:pStyle w:val="TextoNormal"/>
      </w:pPr>
      <w:r>
        <w:t>3.3.4. El bien jurídico protegido de orden público en el sistema constitucional español. Según la comprensión democrática del bien jurídico, el único desorden penalmente relevante es aquel que más allá del orden público, afecta también a la paz pública. A juicio del recurrente, la definición que toma la sentencia impugnada “es absolutamente insuficiente para distinguir entre el concepto de orden público autoritario y el concepto de orden público democrático”, y no permite separar “la antijuridicidad administrativa que justifica la sedición administrativa” del art. 36.4 de la Ley Orgánica de protección de la seguridad ciudadana de la antijuridicidad del delito del artículo 544 del Código penal. Según la doctrina mayoritaria “solo hay antijuridicidad penal si se produce una afectación de la paz pública, sólo si se impide de forma duradera el ejercicio de los derechos fundamentales de los ciudadanos”. “La pena de naturaleza privativa de libertad que prevén las fórmulas del delito de sedición exige que la simple alteración del orden se proteja mediante el Derecho Administrativo y sea la lesión del valor paz pública la que se encauza a través del Derecho Penal”.</w:t>
      </w:r>
    </w:p>
    <w:p w:rsidR="005728DD" w:rsidRDefault="005728DD" w:rsidP="005728DD">
      <w:pPr>
        <w:pStyle w:val="TextoNormal"/>
      </w:pPr>
    </w:p>
    <w:p w:rsidR="005728DD" w:rsidRDefault="005728DD" w:rsidP="005728DD">
      <w:pPr>
        <w:pStyle w:val="TextoNormal"/>
      </w:pPr>
      <w:r>
        <w:t>Según la demanda, la sentencia recurrida “confunde el orden público con el orden político” sobre la base de “un especial elemento subjetivo, la finalidad política” que califica como “nueva invención del Tribunal Supremo”, “finalidad subversiva que aparece expresamente referida en los delitos de terrorismo, pero no en el vigente delito de sedición”. Desde su posición, defendida por los autores que cita, la noción de orden público debe ser interpretada “en sentido positivo y nunca como un límite implícito de los derechos fundamentales”, lo que se conecta con el tenor literal del art. 21.2 CE al referir la “alteración del orden público” a “peligro para personas o bienes”. En definitiva, el significado de “orden público” debe ser el mismo cuando este concepto opera como “justificador de la sanción penal” y como “delimitador del derecho fundamental de reunión”, por lo que resulta “injustificable desde la óptica de la lectura constitucional” el planteamiento de que existe “alteración del orden público porqué existe perturbación de la tranquilidad pública o alteración de la normalidad institucional”, tal y como se produce en la sentencia recurrida. El concepto negativo de orden público que mantiene la sentencia “cercena de forma evidente el ejercicio de los derechos fundamentales al entender que es posible limitarlos incluso cuando no exista la circunstancia prevista en el texto constitucional de peligro para bienes y personas”.</w:t>
      </w:r>
    </w:p>
    <w:p w:rsidR="005728DD" w:rsidRDefault="005728DD" w:rsidP="005728DD">
      <w:pPr>
        <w:pStyle w:val="TextoNormal"/>
      </w:pPr>
    </w:p>
    <w:p w:rsidR="005728DD" w:rsidRDefault="005728DD" w:rsidP="005728DD">
      <w:pPr>
        <w:pStyle w:val="TextoNormal"/>
      </w:pPr>
      <w:r>
        <w:t>3.3.5. La técnica de ponderación de derechos fundamentales. Partiendo de la conocida exigencia, cuando se enfrentan dos derechos fundamentales, de ponderar los derechos en conflicto, sostiene la demanda que en el presente caso, a diferencia del resuelto en la sentencia de la Sala de lo Penal del Tribunal Supremo núm. 812/2015, de 7 de marzo “Aturem el Parlament”, los derechos-reunión y participación política no se encuentran enfrentados. Por el contrario, “tanto el 20 de septiembre como el día 1 de octubre los representantes políticos de la ciudadanía se encontraban o en casa o precisamente entremezclados ejerciendo derechos”. Lo mismo puede decirse desde la perspectiva de los actores de la sociedad civil, como el recurrente, “al que difícilmente se le puede achacar la infracción de derechos fundamentales de terceros” que puedan llegar a concurrir con el alegado derecho fundamental de reunión. Reprocha a la sentencia recurrida no haber resuelto específicamente este debate y no haber empleado “la técnica de ponderación o balanceo”.</w:t>
      </w:r>
    </w:p>
    <w:p w:rsidR="005728DD" w:rsidRDefault="005728DD" w:rsidP="005728DD">
      <w:pPr>
        <w:pStyle w:val="TextoNormal"/>
      </w:pPr>
    </w:p>
    <w:p w:rsidR="005728DD" w:rsidRDefault="005728DD" w:rsidP="005728DD">
      <w:pPr>
        <w:pStyle w:val="TextoNormal"/>
      </w:pPr>
      <w:r>
        <w:t>3.3.6. La criminalización del ejercicio del derecho fundamental de reunión expresamente pacífica del Sr. Cuixart. Aduce la demanda, que a la vista de lo anterior, la conclusión es que “la actividad pública del recurrente, en relación con las concentraciones de 20 septiembre y 1 de octubre es perfectamente incardinable” en el contenido del derecho fundamental de reunión. Sus llamadas a concentrarse “siempre estuvieron condicionadas a que tales concentraciones se desarrollaran pacíficamente”, como reconoce la sentencia. En la manifestación del día 20 de septiembre “no hubo violencia ni fue ilícita”, “en tanto que en su ejecución no concurrieron ninguno de los límites establecidos por la Constitución (art. 21.2 CE)”, lo que también habría reconocido la sentencia; y en los hechos acaecidos el 1 de octubre, “la única violencia masiva […] fue la que emplearon los cuerpos y fuerzas de seguridad del Estado”. Frente a ello, el Tribunal Supremo, en la resolución impugnada, parte de “la consideración de que los tipos penales (en este caso, la sedición) operan como límites absolutos al ejercicio de los derechos fundamentales, omitiendo la exigencia constitucional de atender</w:t>
      </w:r>
      <w:r w:rsidRPr="005728DD">
        <w:rPr>
          <w:i/>
        </w:rPr>
        <w:t>, prima fac</w:t>
      </w:r>
      <w:r>
        <w:t>ie, al contenido de los mismos”.</w:t>
      </w:r>
    </w:p>
    <w:p w:rsidR="005728DD" w:rsidRDefault="005728DD" w:rsidP="005728DD">
      <w:pPr>
        <w:pStyle w:val="TextoNormal"/>
      </w:pPr>
    </w:p>
    <w:p w:rsidR="005728DD" w:rsidRDefault="005728DD" w:rsidP="005728DD">
      <w:pPr>
        <w:pStyle w:val="TextoNormal"/>
      </w:pPr>
      <w:r>
        <w:t>3.3.7. El “contexto” y la “multitud” como elementos de limitación del derecho fundamental de reunión del Sr. Cuixart. Según señala la demanda, la sentencia recurrida afirma que los actos del recurrente “deben interpretarse como sedición por ‘el contexto’ en que se daban y por la ‘clara superioridad numérica’ de los manifestantes”. Reproduce parcialmente varios pasajes de la sentencia (contenidos en las págs. 239, 281, 283, 392, 393 y 389) para argumentar que esta mantiene una concepción ideal del orden público incompatible con el derecho de reunión y que incurre en una confusión inaceptable entre “multitud” y “tumulto”, elemento típico del delito de sedición.</w:t>
      </w:r>
    </w:p>
    <w:p w:rsidR="005728DD" w:rsidRDefault="005728DD" w:rsidP="005728DD">
      <w:pPr>
        <w:pStyle w:val="TextoNormal"/>
      </w:pPr>
    </w:p>
    <w:p w:rsidR="005728DD" w:rsidRDefault="005728DD" w:rsidP="005728DD">
      <w:pPr>
        <w:pStyle w:val="TextoNormal"/>
      </w:pPr>
      <w:r>
        <w:t>3.3.8. “Orden público y conflicto pacífico en el Estado social”. Bajo este título la demanda insiste en que la sentencia de la Sala de lo Penal del Tribunal Supremo toma como punto de partida una noción de orden público ideal y no material, incompatible con el derecho de reunión y manifestación del art. 21 CE. Argumenta que en “el marco del Estado social y democrático de derecho, las protestas, reuniones y manifestaciones públicas han de ser entendidas no como presupuestos de alteración del orden público, sino como expresión de participación ciudadana en la reafirmación o confirmación del orden constitucional. El concepto de orden público ha de construirse integrado con el ejercicio de los derechos constitucionales y ello obliga a que los tipos penales no pueden configurarse en el sentido de que son los derechos de reunión y manifestación los que deben ceder ante cualquier alteración de la tranquilidad pública, sino que esta ha de adecuarse y adaptarse a la realización de los derechos en una situación de conflicto”.</w:t>
      </w:r>
    </w:p>
    <w:p w:rsidR="005728DD" w:rsidRDefault="005728DD" w:rsidP="005728DD">
      <w:pPr>
        <w:pStyle w:val="TextoNormal"/>
      </w:pPr>
    </w:p>
    <w:p w:rsidR="005728DD" w:rsidRDefault="005728DD" w:rsidP="005728DD">
      <w:pPr>
        <w:pStyle w:val="TextoNormal"/>
      </w:pPr>
      <w:r>
        <w:t xml:space="preserve">3.3.9. Garantía social, aplicabilidad directa y desobediencia civil en el derecho fundamental de reunión. En este apartado de la demanda el recurrente desarrolla una argumentación tendente a justificar “el derecho a desobedecer el derecho cuando se ejerce directamente un derecho fundamental”. Partiendo de que, a su entender, lo acaecido el 20 de septiembre, supuso “una mera expresión ordinaria del derecho fundamental de reunión de la ciudadanía”, en relación a lo acaecido el 1 de octubre, si bien es cierto que la actuación de la ciudadanía se produjo en el marco de vigencia de una resolución judicial dirigida a los poderes públicos en relación a la votación que había sido convocada para ese día, “frente a ellos y a su carácter injusto esta misma ciudadanía ejerció el derecho fundamental de reunión, el cual no había sido objeto de suspensión”. Tras una amplia exposición histórica </w:t>
      </w:r>
      <w:r>
        <w:lastRenderedPageBreak/>
        <w:t xml:space="preserve">sobre “el derecho a desobedecer el derecho”, se refiere al punto 17.4 de la sentencia recurrida en amparo, en que se trata de la cuestión relativa al “derecho de desobediencia civil como causa de exclusión de la antijuridicidad”, para afirmar que la posición del Tribunal Supremo es contraria “a propia la idea de Estado constitucional”. Dos serían las razones: en primer lugar, “el derecho a la desobediencia civil pacífica y proporcional es una forma de ejercer el derecho fundamental de reunión que deriva del principio de aplicabilidad directa e inmediata de los derechos de reunión y manifestación (art. 21 CE) y de participación (art. 23.1 CE)”; y, en segundo lugar, “el no reconocimiento del derecho a la desobediencia civil, ejercida de manera pacífica y proporcional, conlleva un vaciamiento y vulneración de los derechos citados de reunión y manifestación (art. 21 CE) y de participación (art. 23.1 CE)”. En definitiva, el principio de aplicación directa e inmediata de los derechos fundamentales “permite establecer una clara separación entre derechos y ley, que obliga a los jueces que se encuentren ante casos de desobediencia civil pacífica y proporcional donde el sujeto ejerce un derecho fundamental con el único fin de protegerse de una situación de vulneración de derechos, a considerar el caso como una expresión política legítima que merece un tratamiento que lo diferencie de los actos penales, aplicando la Constitución por encima del Código penal y no a la inversa, como hace el Tribunal Supremo en la sentencia recurrida”. Trae a colación la STEDH de 19 de noviembre del 2019, asunto </w:t>
      </w:r>
      <w:r w:rsidRPr="005728DD">
        <w:rPr>
          <w:i/>
        </w:rPr>
        <w:t>Obote c. Rusia</w:t>
      </w:r>
      <w:r>
        <w:t>, para concluir este apartado señalando que “no se trata tanto de reconocer en abstracto un derecho a la desobediencia civil”, sino de declarar “la preeminencia en nuestro ordenamiento de los derechos fundamentales y su capacidad de autoejecución y autoprotección en contextos de contradicción con el derecho vigente”.</w:t>
      </w:r>
    </w:p>
    <w:p w:rsidR="005728DD" w:rsidRDefault="005728DD" w:rsidP="005728DD">
      <w:pPr>
        <w:pStyle w:val="TextoNormal"/>
      </w:pPr>
    </w:p>
    <w:p w:rsidR="005728DD" w:rsidRDefault="005728DD" w:rsidP="005728DD">
      <w:pPr>
        <w:pStyle w:val="TextoNormal"/>
      </w:pPr>
      <w:r>
        <w:t>3.4. Vulneración de derecho fundamental a la legalidad penal (arts. 25 CE y 7 CEDH). Según la demanda, la vulneración de este derecho fundamental se produce desde una triple perspectiva:</w:t>
      </w:r>
    </w:p>
    <w:p w:rsidR="005728DD" w:rsidRDefault="005728DD" w:rsidP="005728DD">
      <w:pPr>
        <w:pStyle w:val="TextoNormal"/>
      </w:pPr>
    </w:p>
    <w:p w:rsidR="005728DD" w:rsidRDefault="005728DD" w:rsidP="005728DD">
      <w:pPr>
        <w:pStyle w:val="TextoNormal"/>
      </w:pPr>
      <w:r>
        <w:t xml:space="preserve">3.4.1. En cuanto a la operación de subsunción. Tras hacer una exposición de la doctrina constitucional sobre el principio de legalidad penal, prohibición de interpretaciones extensivas o analógicas </w:t>
      </w:r>
      <w:r w:rsidRPr="005728DD">
        <w:rPr>
          <w:i/>
        </w:rPr>
        <w:t>in malam partem</w:t>
      </w:r>
      <w:r>
        <w:t>, taxatividad y previsibilidad, sostiene que la sentencia impugnada incurre en interpretación contraria al sentido de las palabras contenidas en el tipo; efectúa una valoración ajena a los criterios del sistema constitucional de derechos fundamentales que convierte la norma en imprevisible; y vacía de contenido el ejercicio del derecho fundamental de reunión.</w:t>
      </w:r>
    </w:p>
    <w:p w:rsidR="005728DD" w:rsidRDefault="005728DD" w:rsidP="005728DD">
      <w:pPr>
        <w:pStyle w:val="TextoNormal"/>
      </w:pPr>
    </w:p>
    <w:p w:rsidR="005728DD" w:rsidRDefault="005728DD" w:rsidP="005728DD">
      <w:pPr>
        <w:pStyle w:val="TextoNormal"/>
      </w:pPr>
      <w:r>
        <w:t xml:space="preserve">a) En primer lugar, según la demanda, la resolución judicial recurrida interpreta los términos típicos de la norma aplicada de una manera contraria a su sentido semántico. A su entender “la frontera entre el alzamiento público y tumultuario del delito de sedición y una concentración de protesta se halla, entre otros elementos, en el de la existencia o no de violencia. Si no hay violencia, en principio, hay ejercicio del derecho de reunión”. La sentencia, ante la laxitud de las condiciones típicas del “alzamiento tumultuario” —“por la fuerza o fuera de las vías legales”—, califica de sedición “lo que no pasaron de ser, —como se lee en sus fundamentos— ‘comportamientos hostiles’”. Argumenta que “hostilidad” significa “agresión armada llevada a cabo por un grupo”, por lo que el razonamiento judicial, según el cual tumultuario debe interpretarse como “hostilidad o abierta hostilidad”, conduce a que “el alzamiento propio del tipo de sedición (armado) resultaría ser incluso más grave que el alzamiento propio de la rebelión (simplemente violento)”. Siguiendo este razonamiento, “si la propia sentencia concluye que en los hechos probados no se alcanzó el grado </w:t>
      </w:r>
      <w:r>
        <w:lastRenderedPageBreak/>
        <w:t>necesario de violencia (que no tuvo en ningún caso carácter armado) que requiere el tipo de rebelión, con mayor razón se debería rechazar la concurrencia del tipo de sedición que es, en principio, un delito menos grave”. Se insiste por ello en que las conductas descritas, “consistentes en impedir la aplicación de las leyes o el cumplimiento de funciones, acuerdos o resoluciones administrativas o judiciales, pero llevadas a cabo sin violencia o intimidación, deberían resultar atípicas al encontrarse amparadas por el ejercicio legítimo del derecho de reunión”.</w:t>
      </w:r>
    </w:p>
    <w:p w:rsidR="005728DD" w:rsidRDefault="005728DD" w:rsidP="005728DD">
      <w:pPr>
        <w:pStyle w:val="TextoNormal"/>
      </w:pPr>
    </w:p>
    <w:p w:rsidR="005728DD" w:rsidRDefault="005728DD" w:rsidP="005728DD">
      <w:pPr>
        <w:pStyle w:val="TextoNormal"/>
      </w:pPr>
      <w:r>
        <w:t>b) En segundo lugar, se vulnera el principio de legalidad porque la sentencia encuentra su soporte axiológico en una base valorativa ajena a los criterios que informan nuestro sistema constitucional de derechos fundamentales, lo que ha conducido a una solución esencialmente opuesta a la orientación material de la norma y, por ello, imprevisible para sus destinatarios. La apreciación de un “alzamiento tumultuario por la vía de hecho”, con base en nociones como “grupos de personas aglomerados y compactados”, “conglomerados de personas en clara superioridad numérica”, “aglomeraciones de personas impermeables a cualquier requerimiento”, o “fórmulas de resistencia no violenta”, supone una interpretación extensiva del art. 544 CP, contraria a la protección que el derecho de reunión brinda a quien convoca reuniones pacíficas de protesta e imprevisible para los destinatarios de la norma, como es el caso del recurrente en amparo.</w:t>
      </w:r>
    </w:p>
    <w:p w:rsidR="005728DD" w:rsidRDefault="005728DD" w:rsidP="005728DD">
      <w:pPr>
        <w:pStyle w:val="TextoNormal"/>
      </w:pPr>
    </w:p>
    <w:p w:rsidR="005728DD" w:rsidRDefault="005728DD" w:rsidP="005728DD">
      <w:pPr>
        <w:pStyle w:val="TextoNormal"/>
      </w:pPr>
      <w:r>
        <w:t>c) Finalmente, el demandante sostiene que la argumentación de la sentencia impugnada “es incongruente consigo misma y, por ello, vacía de contenido y criminaliza el ejercicio legítimo” del derecho de reunión, puesto que simplemente describe episodios de “mera resistencia pasiva o, como mucho, de mera desobediencia” que, en definitiva, no son sino fórmulas de “resistencia no violenta que” integran el contenido de aquel derecho fundamental.</w:t>
      </w:r>
    </w:p>
    <w:p w:rsidR="005728DD" w:rsidRDefault="005728DD" w:rsidP="005728DD">
      <w:pPr>
        <w:pStyle w:val="TextoNormal"/>
      </w:pPr>
    </w:p>
    <w:p w:rsidR="005728DD" w:rsidRDefault="005728DD" w:rsidP="005728DD">
      <w:pPr>
        <w:pStyle w:val="TextoNormal"/>
      </w:pPr>
      <w:r>
        <w:t>3.4.2. En cuanto a la pena. Según la demanda, también vulnera el principio de legalidad penal del art. 25.1 CE, en relación con los arts. 17 y 21 CE, la pena privativa de libertad impuesta de nueve años, al resultar la sanción desproporcionada tanto desde la perspectiva de la previsión legal que la comprende, como desde el exceso de la impuesta efectivamente. El desarrollo argumental de la demanda se refiere únicamente al precepto legal aplicado, del que se predica que no atiende a la debida proporcionalidad, con vulneración del art. 25.1 CE en relación con los arts. 17 y 21 CE. Para fundar la desproporción de la horquilla penal del art. 545 CP se utilizan dos clases de argumentos: el contraste con las penas previstas para otras figuras penales con las que el tipo aplicado presenta elementos comunes (delitos de atentado, resistencia, tenencia de armas, municiones o explosivos, y organizaciones y grupos criminales) y el derecho comparado (Alemania, Francia, Suiza e Italia). Con base en esta desproporción solicita el planteamiento de cuestión interna de inconstitucionalidad (art. 55.2 LOTC) sobre los arts. 544 y 545 CP.</w:t>
      </w:r>
    </w:p>
    <w:p w:rsidR="005728DD" w:rsidRDefault="005728DD" w:rsidP="005728DD">
      <w:pPr>
        <w:pStyle w:val="TextoNormal"/>
      </w:pPr>
    </w:p>
    <w:p w:rsidR="005728DD" w:rsidRDefault="005728DD" w:rsidP="005728DD">
      <w:pPr>
        <w:pStyle w:val="TextoNormal"/>
      </w:pPr>
      <w:r>
        <w:t xml:space="preserve">3.4.3. La tercera perspectiva de análisis es la que atañe al juicio de autoría. Bajo la rúbrica “principio de legalidad penal y personalidad de la pena”, cuestiona el demandante de amparo la realidad, declarada por la sentencia, de un acuerdo entre los acusados sobre la denominada “hoja de ruta”. A su juicio, la sentencia del Tribunal Supremo resuelve esta cuestión de modo insatisfactorio, pues no concreta de modo suficiente los términos de este supuesto “acuerdo” entre los partícipes ni la contribución de cada uno de ellos al proyecto común. En el caso del Sr. Cuixart, no se especifica si la adhesión al acuerdo fue inicial o sobrevenida, </w:t>
      </w:r>
      <w:r>
        <w:lastRenderedPageBreak/>
        <w:t>ni tampoco su contribución a la fase ejecutiva. No resulta viable la imputación de la responsabilidad por comisión por omisión “por no evitar que otros se alcen”, pues no es el de sedición un delito de resultado. Finalmente, tampoco cabe la atribución de responsabilidad a título de inducción a la sedición, pues, teniendo en cuenta que no consta la investigación por delito de sedición de las personas convocadas a las manifestaciones y centros de votación, “si no hay autores difícilmente puede sostenerse que haya inductores”.</w:t>
      </w:r>
    </w:p>
    <w:p w:rsidR="005728DD" w:rsidRDefault="005728DD" w:rsidP="005728DD">
      <w:pPr>
        <w:pStyle w:val="TextoNormal"/>
      </w:pPr>
    </w:p>
    <w:p w:rsidR="005728DD" w:rsidRDefault="005728DD" w:rsidP="005728DD">
      <w:pPr>
        <w:pStyle w:val="TextoNormal"/>
      </w:pPr>
      <w:r>
        <w:t>3.5. Vulneración de los arts. 5, 6, 7 y 11 CEDH, especialmente del derecho a la libertad (art. 17 CE) en relación con la prohibición de desviación de poder (art. 18 CEDH) y la limitación de restricciones de derechos de la cláusula de prohibición de desviación de poder.</w:t>
      </w:r>
    </w:p>
    <w:p w:rsidR="005728DD" w:rsidRDefault="005728DD" w:rsidP="005728DD">
      <w:pPr>
        <w:pStyle w:val="TextoNormal"/>
      </w:pPr>
    </w:p>
    <w:p w:rsidR="005728DD" w:rsidRDefault="005728DD" w:rsidP="005728DD">
      <w:pPr>
        <w:pStyle w:val="TextoNormal"/>
      </w:pPr>
      <w:r>
        <w:t xml:space="preserve">Con sustento en el art. 18 CEDH y en la jurisprudencia del Tribunal Europeo de Derechos Humanos (SSTEDH, Gran Sala, </w:t>
      </w:r>
      <w:r w:rsidRPr="005728DD">
        <w:rPr>
          <w:i/>
        </w:rPr>
        <w:t>Merabishvili c. Georgia</w:t>
      </w:r>
      <w:r>
        <w:t xml:space="preserve">, § 282-283; </w:t>
      </w:r>
      <w:r w:rsidRPr="005728DD">
        <w:rPr>
          <w:i/>
        </w:rPr>
        <w:t>Goussinski c. Rusia</w:t>
      </w:r>
      <w:r>
        <w:t xml:space="preserve">, y </w:t>
      </w:r>
      <w:r w:rsidRPr="005728DD">
        <w:rPr>
          <w:i/>
        </w:rPr>
        <w:t>Rashad Hasanov c. Azerbaiyán</w:t>
      </w:r>
      <w:r>
        <w:t>) en esta queja, que el recurrente encuadra en la vulneración del derecho a la libertad personal (art. 17 CE), se denuncia que la condena penal impugnada, que comprende la privación de libertad del Sr. Cuixart, obedece a una “finalidad escondida”, consistente en un castigo político al independentismo.</w:t>
      </w:r>
    </w:p>
    <w:p w:rsidR="005728DD" w:rsidRDefault="005728DD" w:rsidP="005728DD">
      <w:pPr>
        <w:pStyle w:val="TextoNormal"/>
      </w:pPr>
    </w:p>
    <w:p w:rsidR="005728DD" w:rsidRDefault="005728DD" w:rsidP="005728DD">
      <w:pPr>
        <w:pStyle w:val="TextoNormal"/>
      </w:pPr>
      <w:r>
        <w:t xml:space="preserve">Según el demandante, la causa judicial de que se trata, “incluida la prisión provisional y ahora la condena firme, ha tenido el objetivo de castigar el Sr. Cuixart y el conjunto de la entidad cultural Òmnium Cultural por su activismo político, social y cultural con el único fin de provocar el fin de las protestas en pro de la independencia y del derecho a la autodeterminación de Catalunya”. Su caso sería extraordinariamente parecido al abordado en la STEDH de 7 de junio del 2018, asunto </w:t>
      </w:r>
      <w:r w:rsidRPr="005728DD">
        <w:rPr>
          <w:i/>
        </w:rPr>
        <w:t>Rashad Hasanov c. Azerbaiyán</w:t>
      </w:r>
      <w:r>
        <w:t>, en la que el Tribunal de Estrasburgo llegó a la conclusión de que la finalidad real de las medidas impugnadas era silenciar y castigar a los demandantes por su compromiso activo social y político y sus actividades en la organización no gubernamental NIDA, que rechaza la violencia y usa exclusivamente métodos no violentos de lucha. En dicha sentencia (§ 122 y siguientes) se valoran: (i) “las declaraciones del fiscal general planteando abiertamente que las actividades de NIDA, colectivamente, eran actuaciones ilegales para desestabilizar socialmente el país, sin disponer de elementos de prueba”; (ii) “el hecho que los detenidos eran líderes de la sociedad civil”; (iii) “la utilización de cuerpos policiales y tribunales especiales”; (iv) “la existencia de informes de organismos internacionales de derechos humanos que informan de la degradación en materia de derechos humanos especialmente en relación a detenciones de activistas de la sociedad civil”.</w:t>
      </w:r>
    </w:p>
    <w:p w:rsidR="005728DD" w:rsidRDefault="005728DD" w:rsidP="005728DD">
      <w:pPr>
        <w:pStyle w:val="TextoNormal"/>
      </w:pPr>
    </w:p>
    <w:p w:rsidR="005728DD" w:rsidRDefault="005728DD" w:rsidP="005728DD">
      <w:pPr>
        <w:pStyle w:val="TextoNormal"/>
      </w:pPr>
      <w:r>
        <w:t>En sustento de la persecución de aquella “finalidad escondida” y su paralelismo con el caso citado, el demandante esgrime: (i) el discurso del fiscal general del Estado en la apertura del año judicial 2016 que el recurrente considera “centrado en la crítica al movimiento independentista catalán”, calificándolo como “peligro para la democracia”, el apelativo periodístico del fiscal general de “azote del independentismo” , y el nombre del archivo con el comunicado de prensa sobre la presentación de la querella que dio lugar a la causa especial, “más dura será la caída”; (ii) la condición de líder de la sociedad civil del demandante, como presidente de la principal entidad social de Cataluña y probablemente del propio Estado español —Òmnium Cultural—; (iii) la utilización de tribunales excepcionales, como la Audiencia Nacional y el Tribunal Supremo, “hurtando el juicio al juez predeterminado por la ley en Catalunya y el derecho a una doble instancia, modificando el criterio anterior</w:t>
      </w:r>
      <w:r>
        <w:lastRenderedPageBreak/>
        <w:t>mente establecido, juzgando un no aforado en un tribunal exclusivo para aforados y adoptando un criterio especial en relación al delito concreto que era objeto de enjuiciamiento y todo ello con las especiales circunstancias en materia de imparcialidad que han sido desarrolladas”; (iv) y los “posicionamientos de organizaciones e instituciones internacionales que se han pronunciado en términos críticos con la detención, persecución y condena” del recurrente.</w:t>
      </w:r>
    </w:p>
    <w:p w:rsidR="005728DD" w:rsidRDefault="005728DD" w:rsidP="005728DD">
      <w:pPr>
        <w:pStyle w:val="TextoNormal"/>
      </w:pPr>
    </w:p>
    <w:p w:rsidR="005728DD" w:rsidRDefault="005728DD" w:rsidP="005728DD">
      <w:pPr>
        <w:pStyle w:val="TextoNormal"/>
      </w:pPr>
      <w:r>
        <w:t>A modo de cierre, argumenta que las quejas desarrolladas con anterioridad en la demanda conducen a esa misma conclusión: “se ha utilizado el procedimiento con un objetivo político, como represalia al ejercicio de derechos”. Según el demandante de amparo, en el proceso seguido ante el Tribunal Supremo “la necesidad por parte de los magistrados de salvaguardar la unidad nacional frente a su amenaza por sujetos políticos percibidos como enemigos de la misma, ha actuado como justificación ‘legítima’ de la vulneración de sus derechos, eliminándose uno de los más importantes límites al poder propio del constitucionalismo democrático”.</w:t>
      </w:r>
    </w:p>
    <w:p w:rsidR="005728DD" w:rsidRDefault="005728DD" w:rsidP="005728DD">
      <w:pPr>
        <w:pStyle w:val="TextoNormal"/>
      </w:pPr>
    </w:p>
    <w:p w:rsidR="005728DD" w:rsidRDefault="005728DD" w:rsidP="005728DD">
      <w:pPr>
        <w:pStyle w:val="TextoNormal"/>
      </w:pPr>
      <w:r>
        <w:t>En el suplico de la demanda se interesa su admisión a trámite y que se dicte sentencia que otorgue al recurrente el amparo solicitado contra la sentencia y el auto recurridos, “y, en consecuencia: 1) Declare la vulneración del derecho fundamental previsto en el artículo 24.2 CE y la nulidad de la sentencia y auto mencionados, ordenando las medidas pertinentes para su restablecimiento. 2) Declare la vulneración de los derechos fundamentales previstos en los artículos 21, 25 y 17 CE (también en relación al art. 18 CEDH) y la nulidad de la Sentencia y Autos mencionados, ordenando las medidas pertinentes para su restablecimiento. 3) Declare la inconstitucionalidad de los artículos 544 y 545 CP”.</w:t>
      </w:r>
    </w:p>
    <w:p w:rsidR="005728DD" w:rsidRDefault="005728DD" w:rsidP="005728DD">
      <w:pPr>
        <w:pStyle w:val="TextoNormal"/>
      </w:pPr>
    </w:p>
    <w:p w:rsidR="005728DD" w:rsidRDefault="005728DD" w:rsidP="005728DD">
      <w:pPr>
        <w:pStyle w:val="TextoNormal"/>
      </w:pPr>
      <w:r>
        <w:t>Por otrosí primero se solicita en la demanda que se suspenda la pena de acuerdo con el art. 56.1 y 2 LOTC. Tras hacer mención de la doctrina constitucional, argumenta en favor de su pretensión cautelar que, aunque se trata de una pena “grave”, esta misma gravedad, es decir, la extensión de la pena, “es objeto de discusión en el presente recurso de amparo con lo que sería algo perverso jurídicamente que el criterio que se discute mediante este procedimiento sea utilizado como criterio único para justificar la prolongación de libertad” del Sr. Cuixart, siendo reconocido internacionalmente que el trato penal dado al recurrente es desproporcionado. Añade que no puede obviarse la actual discusión, impulsada por el Gobierno, sobre la revisión de las penas del delito de sedición así como el sentimiento mayoritario en Cataluña, y con un importante respaldo internacional, a favor de la amnistía para los independentistas perseguidos judicialmente, entre los que se encuentra el recurrente, no habiendo ninguna víctima de los hechos imputados al Sr. Jordi Cuixart.</w:t>
      </w:r>
    </w:p>
    <w:p w:rsidR="005728DD" w:rsidRDefault="005728DD" w:rsidP="005728DD">
      <w:pPr>
        <w:pStyle w:val="TextoNormal"/>
      </w:pPr>
    </w:p>
    <w:p w:rsidR="005728DD" w:rsidRDefault="005728DD" w:rsidP="005728DD">
      <w:pPr>
        <w:pStyle w:val="TextoNormal"/>
      </w:pPr>
      <w:r>
        <w:t>Por otrosí segundo se solicita el planteamiento de cuestión interna de inconstitucionalidad sobre los arts. 544 y 545 CP. En síntesis, argumenta, con remisión a los motivos tercero y cuarto de la demanda, que el delito de sedición previsto en los arts. 544 y 545 CP “lesiona derechos fundamentales, como mínimo el derecho fundamental de reunión del art. 21 CE y de legalidad penal del art. 25 CE con graves consecuencias en el derecho fundamental a la libertad del artículo 17 CE. Además, la ausencia de taxatividad y su abierta literalidad permiten, como denunciamos, el uso del delito —y la restricción de derechos fundamentales— de forma injustificada incurriendo en desviación de poder (18 CEDH)”.</w:t>
      </w:r>
    </w:p>
    <w:p w:rsidR="005728DD" w:rsidRDefault="005728DD" w:rsidP="005728DD">
      <w:pPr>
        <w:pStyle w:val="TextoNormal"/>
      </w:pPr>
    </w:p>
    <w:p w:rsidR="005728DD" w:rsidRDefault="005728DD" w:rsidP="005728DD">
      <w:pPr>
        <w:pStyle w:val="TextoNormal"/>
      </w:pPr>
      <w:r>
        <w:lastRenderedPageBreak/>
        <w:t>Por escrito registrado el 27 de marzo de 2020, la representación procesal del recurrente reiteró la solicitud de medida cautelar con invocación del art. 56.6 LOTC, añadiendo a lo dicho en la demanda que la situación de emergencia sanitaria provocada por la pandemia del COVID-19 exige la inmediata excarcelación, tal y como ha recomendado la alta comisionada para los Derechos Humanos de Naciones Unidas. Agrega que don Jordi Cuixart ha venido respetando el régimen penitenciario de semilibertad que le permitía, antes de su interrupción por la pandemia, salir diariamente durante doce horas para dirigir la empresa de la que es titular, lo que revela que no existe riesgo alguno de incumplimiento de la condena si el demandante es puesto en libertad durante la tramitación recurso de amparo. Termina dicho escrito suplicando la “suspensión de la pena privativa de libertad hasta el dictado de la sentencia del presente proceso de amparo constitucional o, subsidiariamente, la suspensión de la pena privativa de libertad con obligación de confinamiento domiciliario en su domicilio particular”.</w:t>
      </w:r>
    </w:p>
    <w:p w:rsidR="005728DD" w:rsidRDefault="005728DD" w:rsidP="005728DD">
      <w:pPr>
        <w:pStyle w:val="TextoNormal"/>
      </w:pPr>
    </w:p>
    <w:p w:rsidR="005728DD" w:rsidRDefault="005728DD" w:rsidP="005728DD">
      <w:pPr>
        <w:pStyle w:val="TextoNormal"/>
      </w:pPr>
      <w:r w:rsidRPr="005728DD">
        <w:rPr>
          <w:rStyle w:val="NumeroAFNegritaCaracter"/>
        </w:rPr>
        <w:t>4</w:t>
      </w:r>
      <w:r>
        <w:t>. El Pleno de este tribunal, por providencia de 6 de mayo de 2020, acordó, a propuesta de su presidente y de conformidad con lo que establece el art. 10.1 n) LOTC,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5728DD" w:rsidRDefault="005728DD" w:rsidP="005728DD">
      <w:pPr>
        <w:pStyle w:val="TextoNormal"/>
      </w:pPr>
    </w:p>
    <w:p w:rsidR="005728DD" w:rsidRDefault="005728DD" w:rsidP="005728DD">
      <w:pPr>
        <w:pStyle w:val="TextoNormal"/>
      </w:pPr>
      <w:r>
        <w:t>De conformidad con lo dispuesto en el art. 51 LOTC acordó también dirigir atenta comunicación a la Sala de lo Penal del Tribunal Supremo, a fin de que, en plazo que no exceda de diez días, remitiera certificación o fotocopia adverada de las actuaciones correspondientes al auto de 29 de enero de 2020 y a la sentencia de 14 de octubre de 2019 dictados en la causa especial núm. 20907-2017, y emplazara a quienes hubieran sido parte en el procedimiento, excepto la parte recurrente en amparo, para que en el plazo de diez días, pudieran comparecer en el proceso constitucional.</w:t>
      </w:r>
    </w:p>
    <w:p w:rsidR="005728DD" w:rsidRDefault="005728DD" w:rsidP="005728DD">
      <w:pPr>
        <w:pStyle w:val="TextoNormal"/>
      </w:pPr>
    </w:p>
    <w:p w:rsidR="005728DD" w:rsidRDefault="005728DD" w:rsidP="005728DD">
      <w:pPr>
        <w:pStyle w:val="TextoNormal"/>
      </w:pPr>
      <w:r>
        <w:t xml:space="preserve">En relación con la solicitud de suspensión formulada en la demanda de amparo mediante otrosí, el Pleno no apreció la urgencia excepcional a la que se refiere el art. 56.6 LOTC, que justificaría su adopción </w:t>
      </w:r>
      <w:r w:rsidRPr="005728DD">
        <w:rPr>
          <w:i/>
        </w:rPr>
        <w:t>inaudita parte</w:t>
      </w:r>
      <w:r>
        <w:t xml:space="preserve"> de forma inmotivada, por lo que, a fin de resolver sobre la misma, ordenó formar la oportuna pieza separada y, en ella, conceder un plazo de tres días al Ministerio Fiscal y al solicitante de amparo para que efectuaran alegaciones respecto a dicha petición. Evacuados los trámites correspondientes, mediante ATC 60/2020, de 17 de junio, se acordó denegar la petición de suspensión de las resoluciones impugnadas.</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registrado el 28 de mayo del 2020, la procuradora de tribunales doña Pilar Hidalgo López, en nombre y representación del partido político Vox y bajo la dirección de la letrada doña Marta Castro Fuertes, interesó que se la tuviera por personada y parte.</w:t>
      </w:r>
    </w:p>
    <w:p w:rsidR="005728DD" w:rsidRDefault="005728DD" w:rsidP="005728DD">
      <w:pPr>
        <w:pStyle w:val="TextoNormal"/>
      </w:pPr>
    </w:p>
    <w:p w:rsidR="005728DD" w:rsidRDefault="005728DD" w:rsidP="005728DD">
      <w:pPr>
        <w:pStyle w:val="TextoNormal"/>
      </w:pPr>
      <w:r w:rsidRPr="005728DD">
        <w:rPr>
          <w:rStyle w:val="NumeroAFNegritaCaracter"/>
        </w:rPr>
        <w:t>6</w:t>
      </w:r>
      <w:r>
        <w:t>. Por escrito de fecha 5 de junio del 2020, la abogacía del Estado, en la representación que le es propia, solicitó que se la tuviera por personada y parte.</w:t>
      </w:r>
    </w:p>
    <w:p w:rsidR="005728DD" w:rsidRDefault="005728DD" w:rsidP="005728DD">
      <w:pPr>
        <w:pStyle w:val="TextoNormal"/>
      </w:pPr>
    </w:p>
    <w:p w:rsidR="005728DD" w:rsidRDefault="005728DD" w:rsidP="005728DD">
      <w:pPr>
        <w:pStyle w:val="TextoNormal"/>
      </w:pPr>
      <w:r w:rsidRPr="005728DD">
        <w:rPr>
          <w:rStyle w:val="NumeroAFNegritaCaracter"/>
        </w:rPr>
        <w:t>7</w:t>
      </w:r>
      <w:r>
        <w:t>. El 18 de junio siguiente, el procurador de tribunales don Carlos Ricardo Estévez Sanz interesó que se le tuviera por personado y parte en nombre y representación de don Carles Puigdemont i Casamajó, con la asistencia del letrado don Gonzalo Boye Tuset.</w:t>
      </w:r>
    </w:p>
    <w:p w:rsidR="005728DD" w:rsidRDefault="005728DD" w:rsidP="005728DD">
      <w:pPr>
        <w:pStyle w:val="TextoNormal"/>
      </w:pPr>
    </w:p>
    <w:p w:rsidR="005728DD" w:rsidRDefault="005728DD" w:rsidP="005728DD">
      <w:pPr>
        <w:pStyle w:val="TextoNormal"/>
      </w:pPr>
      <w:r w:rsidRPr="005728DD">
        <w:rPr>
          <w:rStyle w:val="NumeroAFNegritaCaracter"/>
        </w:rPr>
        <w:t>8</w:t>
      </w:r>
      <w:r>
        <w:t>. Por diligencia de ordenación de 28 de septiembre de 2020, la secretaría del Pleno de este tribunal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005728DD" w:rsidRDefault="005728DD" w:rsidP="005728DD">
      <w:pPr>
        <w:pStyle w:val="TextoNormal"/>
      </w:pPr>
    </w:p>
    <w:p w:rsidR="005728DD" w:rsidRDefault="005728DD" w:rsidP="005728DD">
      <w:pPr>
        <w:pStyle w:val="TextoNormal"/>
      </w:pPr>
      <w:r w:rsidRPr="005728DD">
        <w:rPr>
          <w:rStyle w:val="NumeroAFNegritaCaracter"/>
        </w:rPr>
        <w:t>9</w:t>
      </w:r>
      <w:r>
        <w:t>. El abogado del Estado presentó su escrito de alegaciones el 27 de octubre de 2020. En el mismo termina suplicando que se desestime totalmente la demanda de amparo. Su sistemática se adecúa al siguiente esquema:</w:t>
      </w:r>
    </w:p>
    <w:p w:rsidR="005728DD" w:rsidRDefault="005728DD" w:rsidP="005728DD">
      <w:pPr>
        <w:pStyle w:val="TextoNormal"/>
      </w:pPr>
    </w:p>
    <w:p w:rsidR="005728DD" w:rsidRDefault="005728DD" w:rsidP="005728DD">
      <w:pPr>
        <w:pStyle w:val="TextoNormal"/>
      </w:pPr>
      <w:r>
        <w:t xml:space="preserve">9.1. En primer lugar, analiza la denuncia de vulneración del derecho al juez ordinario predeterminado por la ley (art. 24.2 CE). Tras extractar la doctrina constitucional que considera aplicable al caso, con transcripción parcial de la STC 159/2014, FJ 3, así como de la del Tribunal Europeo de Derechos Humanos, apunta que los órganos judiciales no han llevado a cabo una interpretación que suponga una manipulación manifiesta de las reglas legales sobre atribución de competencias ni que haya incurrido en error evidente,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delimitado la competencia en los términos reflejados en la pág. 256 de la sentencia, esto es, en función de un juicio </w:t>
      </w:r>
      <w:r w:rsidRPr="005728DD">
        <w:rPr>
          <w:i/>
        </w:rPr>
        <w:t>ex ante</w:t>
      </w:r>
      <w:r>
        <w:t xml:space="preserve"> que versa sobre la pretensión acusatoria, que no se puede ver revertido ni afectado por la decisión final. Trae a colación, como ejemplo de doctrina consolidada, el argumento que figura en la sentencia del Tribunal Supremo núm. 484/2010, de 26 de mayo: en, síntesis, “que son los hechos y la calificación jurídica de la acusación los que deben de servir de base para la determinación de la competencia objetiva a los efectos del art. 14.3 y 14.4 LECrim”.</w:t>
      </w:r>
    </w:p>
    <w:p w:rsidR="005728DD" w:rsidRDefault="005728DD" w:rsidP="005728DD">
      <w:pPr>
        <w:pStyle w:val="TextoNormal"/>
      </w:pPr>
    </w:p>
    <w:p w:rsidR="005728DD" w:rsidRDefault="005728DD" w:rsidP="005728DD">
      <w:pPr>
        <w:pStyle w:val="TextoNormal"/>
      </w:pPr>
      <w:r>
        <w:t>A juicio del abogado del Estado, el argumento sobre la inconstitucionalidad sobrevenida del art. 21 LECrim resulta “descabellado a la vista del artículo 123 CE” cuando establece que el Tribunal Supremo es el órgano jurisdiccional superior en todos los órdenes, salvo lo dispuesto en materia de garantías constitucionales, de donde deviene inviable constitucionalmente la promoción de cuestiones de competencia frente al Tribunal Supremo, a lo que se añade que no es cierto que no se hayan revisado los pronunciamientos sobre competencia, cuestión que se ha examinado en varias resoluciones del instructor, de la sala de recursos y de la sala de enjuiciamiento.</w:t>
      </w:r>
    </w:p>
    <w:p w:rsidR="005728DD" w:rsidRDefault="005728DD" w:rsidP="005728DD">
      <w:pPr>
        <w:pStyle w:val="TextoNormal"/>
      </w:pPr>
    </w:p>
    <w:p w:rsidR="005728DD" w:rsidRDefault="005728DD" w:rsidP="005728DD">
      <w:pPr>
        <w:pStyle w:val="TextoNormal"/>
      </w:pPr>
      <w:r>
        <w:t xml:space="preserve">En relación con el criterio de la “finalidad independentista” que, según la demanda, se toma como razón de la asunción de la competencia por el Tribunal Supremo, también trae colación el razonamiento expuesto en el auto de 18 de enero de 2019, que pone en valor la particular naturaleza de los delitos de rebelión y sedición; esto es, como delitos “de comisión plural”, en los que “no todos los sujetos realizan por sí los elementos nucleares del tipo”, y como infracciones de “resultado cortado”, cuyo aspecto diferencial, respecto de los delitos de lesión, reside en que para su consumación solo se requiere que se materialice el riesgo o </w:t>
      </w:r>
      <w:r>
        <w:lastRenderedPageBreak/>
        <w:t xml:space="preserve">peligro que se trata de precaver. A partir de ese entendimiento, queda esclarecido cuál es el lugar de comisión del delito de rebelión cuando la finalidad es declarar la independencia de una parte del territorio nacional, pues “aunque tal lesión no acaezca, el resultado al que ha de encaminarse afecta a las dos partes cuya unidad se pretende disolver, pues una y otra serían ya, de alcanzarse la lesión por efectividad del resultado, diversas en su identidad. Y tal disolución no es un efecto diferenciable </w:t>
      </w:r>
      <w:r w:rsidRPr="005728DD">
        <w:rPr>
          <w:i/>
        </w:rPr>
        <w:t>ex post</w:t>
      </w:r>
      <w:r>
        <w:t xml:space="preserve"> del resultado que se procura. Es el resultado mismo”.</w:t>
      </w:r>
    </w:p>
    <w:p w:rsidR="005728DD" w:rsidRDefault="005728DD" w:rsidP="005728DD">
      <w:pPr>
        <w:pStyle w:val="TextoNormal"/>
      </w:pPr>
    </w:p>
    <w:p w:rsidR="005728DD" w:rsidRDefault="005728DD" w:rsidP="005728DD">
      <w:pPr>
        <w:pStyle w:val="TextoNormal"/>
      </w:pPr>
      <w:r>
        <w:t>Sobre el argumento de la “inescindibilidad del hecho”, que, a juicio del demandante, no tiene absolutamente nada que ver con el mismo en cuanto no fue acusado por malversación, el abogado del Estado pone de relieve que tal inescindibilidad no se funda en la malversación, sino en la consideración, desde el inicio de la instrucción (auto de 24 de noviembre de 2017) de que su aportación era “necesaria para cometer el injusto”, pues “sólo la intervención coordinada de los miembros del Gobierno de la Generalidad de Cataluña, con la presidenta del Parlament y con la que desplegaron los presidentes de las asociaciones Òmnium y ANC, podía llenar el contenido del injusto contemplado en los delitos de rebelión y/o sedición”.</w:t>
      </w:r>
    </w:p>
    <w:p w:rsidR="005728DD" w:rsidRDefault="005728DD" w:rsidP="005728DD">
      <w:pPr>
        <w:pStyle w:val="TextoNormal"/>
      </w:pPr>
    </w:p>
    <w:p w:rsidR="005728DD" w:rsidRDefault="005728DD" w:rsidP="005728DD">
      <w:pPr>
        <w:pStyle w:val="TextoNormal"/>
      </w:pPr>
      <w:r>
        <w:t>9.2. Sobre la alegada privación del derecho a la doble instancia en materia penal, derivada de la anterior lesión, la abogacía del Estado también rechaza esa vulneración, pues el propio art. 2 del Protocolo 7 del art. 6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Esta segunda excepción es la que ha concurrido en el presente caso por razón de aforamiento, cuya constitucionalidad ha sido reconocida por este tribunal, amén de que tampoco resulta contraria a lo establecido en el art. 14.5 PIDCP.</w:t>
      </w:r>
    </w:p>
    <w:p w:rsidR="005728DD" w:rsidRDefault="005728DD" w:rsidP="005728DD">
      <w:pPr>
        <w:pStyle w:val="TextoNormal"/>
      </w:pPr>
    </w:p>
    <w:p w:rsidR="005728DD" w:rsidRDefault="005728DD" w:rsidP="005728DD">
      <w:pPr>
        <w:pStyle w:val="TextoNormal"/>
      </w:pPr>
      <w:r>
        <w:t>9.3. También rechaza que el derecho a utilizar la lengua catalana constituya un derecho tutelable autónomamente, al margen de las garantías del artículo 24.2 CE, y que tal derecho deba determinar la competencia jurisdiccional, con atribución de la misma a los juzgados y tribunales situados en territorio catalán o, al menos, el traslado de la sede de las sesiones del juicio oral a Cataluña, tal como defiende el recurrente. Según la abogacía del Estado, “esta queja debería inadmitirse, dada la configuración del régimen lingüístico por el bloque de la constitucionalidad en esta materia”. Tras transcribir lo argumentado por el órgano de enjuiciamiento en el fundamento jurídico 3.2, se colige que la configuración del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No obstante, señala que, en el presente caso, se pusieron traductores oficiales a disposición de la defensa y se concedió a los procesados la posibilidad de utilizar este idioma en sus respuestas.</w:t>
      </w:r>
    </w:p>
    <w:p w:rsidR="005728DD" w:rsidRDefault="005728DD" w:rsidP="005728DD">
      <w:pPr>
        <w:pStyle w:val="TextoNormal"/>
      </w:pPr>
    </w:p>
    <w:p w:rsidR="005728DD" w:rsidRDefault="005728DD" w:rsidP="005728DD">
      <w:pPr>
        <w:pStyle w:val="TextoNormal"/>
      </w:pPr>
      <w:r>
        <w:t>9.4. En el análisis de la denunciada vulneración del derecho al juez imparcial, el abogado del Estado distingue:</w:t>
      </w:r>
    </w:p>
    <w:p w:rsidR="005728DD" w:rsidRDefault="005728DD" w:rsidP="005728DD">
      <w:pPr>
        <w:pStyle w:val="TextoNormal"/>
      </w:pPr>
    </w:p>
    <w:p w:rsidR="005728DD" w:rsidRDefault="005728DD" w:rsidP="005728DD">
      <w:pPr>
        <w:pStyle w:val="TextoNormal"/>
      </w:pPr>
      <w:r>
        <w:t xml:space="preserve">a) Sobre la relación de la sala con el fiscal general del Estado que presentó la querella, considera, en coincidencia con lo afirmado en la sentencia recurrida (FJ A, apartado 5.5.4), </w:t>
      </w:r>
      <w:r>
        <w:lastRenderedPageBreak/>
        <w:t>que el argumento es descabellado, pues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 (auto de la Sala del art. 61 LOPJ núm. 3/2018, de 13 de septiembre, FJ 7).</w:t>
      </w:r>
    </w:p>
    <w:p w:rsidR="005728DD" w:rsidRDefault="005728DD" w:rsidP="005728DD">
      <w:pPr>
        <w:pStyle w:val="TextoNormal"/>
      </w:pPr>
    </w:p>
    <w:p w:rsidR="005728DD" w:rsidRDefault="005728DD" w:rsidP="005728DD">
      <w:pPr>
        <w:pStyle w:val="TextoNormal"/>
      </w:pPr>
      <w:r>
        <w:t xml:space="preserve">b) En cuanto a la relación de la sala con el Gobierno, aduce que la diferencia del supuesto es notable respecto del enjuiciado en la STEDH de 21 de diciembre del 2000, asunto </w:t>
      </w:r>
      <w:r w:rsidRPr="005728DD">
        <w:rPr>
          <w:i/>
        </w:rPr>
        <w:t>Wettstein c. Suiza</w:t>
      </w:r>
      <w:r>
        <w:t>, que consideró infringido el art 6.1 CEDH en un caso en que un abogado de la parte adversa formó sala como juez a tiempo parcial en procedimientos concomitantes en los cuales el demandado es parte. Por otra parte, las declaraciones de los cargos políticos a que se refiere la demanda son ajenas a la relación con la sala de enjuiciamiento.</w:t>
      </w:r>
    </w:p>
    <w:p w:rsidR="005728DD" w:rsidRDefault="005728DD" w:rsidP="005728DD">
      <w:pPr>
        <w:pStyle w:val="TextoNormal"/>
      </w:pPr>
    </w:p>
    <w:p w:rsidR="005728DD" w:rsidRDefault="005728DD" w:rsidP="005728DD">
      <w:pPr>
        <w:pStyle w:val="TextoNormal"/>
      </w:pPr>
      <w:r>
        <w:t>c) A propósito de las calificadas “expresiones políticas”, ajenas al derecho penal y contrarias a la presunción de inocencia, contenidas en la propia sentencia, el abogado del Estado considera que “el argumento es descabellado y supondría admitir la quiebra de la imparcialidad por la incorporación de un pronunciamiento desfavorable”. Concretamente: (i) en relación con la expresión de la presidencia “yerra usted en su estrategia defensiva”, tras rechazarse preguntas al secretario general de Comisiones Obreras en Cataluña, “no se razona ni acredita qué imparcialidad se ve comprometida”, cuando se trata “de contextualizar para poner de relieve la impertinencia de las preguntas”; (ii) respecto de la supuesta filtración de “unas opiniones del tribunal en cuanto a la estrategia de la defensa”, la alegación no se basa en actuaciones propias de los magistrados, sino de terceros, de modo que “bastaría con emitir mensajes u opiniones falaces sobre, por ejemplo, la persona o ideología de un magistrado para solicitar su recusación de manera inmediata”; (iii) en cuanto a la testifical de la Sra. Garcés, se remite al apartado 16.3.3 del fundamento de Derecho A; (iv) por lo que se refiere a la queja relativa al rechazo de la pericial de don Hugh Orde, no se considera ni se somete a crítica el motivo de denegación de tal prueba contenido en el auto de 1 de febrero de 2019, según el cual “[n]inguno de los peritos propuestos puede aportar a la Sala algo más que su apreciable experiencia en conflictos históricos desarrollados en otros países. La experiencia o el ejercicio de cargos asociativos de relieve en la policía del Reino Unido, sin embargo, no puede identificarse con una metodología científica susceptible de contradicción y análisis en el plenario”.</w:t>
      </w:r>
    </w:p>
    <w:p w:rsidR="005728DD" w:rsidRDefault="005728DD" w:rsidP="005728DD">
      <w:pPr>
        <w:pStyle w:val="TextoNormal"/>
      </w:pPr>
    </w:p>
    <w:p w:rsidR="005728DD" w:rsidRDefault="005728DD" w:rsidP="005728DD">
      <w:pPr>
        <w:pStyle w:val="TextoNormal"/>
      </w:pPr>
      <w:r>
        <w:t>9.5. Sobre la alegada vulneración del derecho a la presunción de inocencia, según el abogado del Estado, la queja encierra “una mera discrepancia de la valoración de la prueba que ha realizado el Tribunal, quedando esta disconformidad sin el soporte de ningún derecho fundamental vulnerado, extramuros del amparo”. La sentencia analiza de forma pormenorizada las pruebas que soportan la intervención del Sr. Cuixart, en el fundamento C, relativo al juicio de autoría, apartado 1.9. El auto resolutorio del incidente de nulidad de actuaciones se remite al citado apartado al rechazar la misma alegación señalando que “las pruebas valoradas por esta Sala para declarar probados los hechos por los que el Sr. Cuixart ha sido condenado, se explicitan en el apartado C) de los fundamentos de derecho, cuando se examina el juicio de autoría correspondiente (punto 1.9), e incluyen testificales, documentales, periciales y la propia declaración del acusado”.</w:t>
      </w:r>
    </w:p>
    <w:p w:rsidR="005728DD" w:rsidRDefault="005728DD" w:rsidP="005728DD">
      <w:pPr>
        <w:pStyle w:val="TextoNormal"/>
      </w:pPr>
    </w:p>
    <w:p w:rsidR="005728DD" w:rsidRDefault="005728DD" w:rsidP="005728DD">
      <w:pPr>
        <w:pStyle w:val="TextoNormal"/>
      </w:pPr>
      <w:r>
        <w:lastRenderedPageBreak/>
        <w:t>9.6. En relación con la vulneración del derecho de reunión (art. 21 CE), niega el abogado del Estado el fundamento del motivo afirmando que ninguno de los ciudadanos que asistieron a las manifestaciones que se describen en el juicio histórico ha resultado acusado, “ni los Sres. Cuixart y Sànchez —que desarrollaron un especial protagonismo en esos encuentros—, han sido acusados de un delito de reunión o manifestación ilícita”. No se han criminalizado, por tanto, actos de protesta, pero “una cosa bien distinta a la disidencia, canalizada a través de múltiples formas de participación política”, es la oposición activa y concertada frente a actuaciones de agentes de la autoridad, con respaldo legal y constitucional, encaminadas pura y llanamente a dar cumplimiento a un específico y muy concreto mandato judicial. La estrategia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 En definitiva, no puede quedar amparado en una causa de exclusión de la antijuridicidad (art. 20.7 CP),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5728DD" w:rsidRDefault="005728DD" w:rsidP="005728DD">
      <w:pPr>
        <w:pStyle w:val="TextoNormal"/>
      </w:pPr>
    </w:p>
    <w:p w:rsidR="005728DD" w:rsidRDefault="005728DD" w:rsidP="005728DD">
      <w:pPr>
        <w:pStyle w:val="TextoNormal"/>
      </w:pPr>
      <w:r>
        <w:t>Finalmente, sobre la alegada “desobediencia civil”, se remite a lo argumentado en la sentencia [fundamento de Derecho A, apartado 17.4, donde la examina como causa de justificación; y, en particular, a la hora de abordar la autoría del recurrente (fundamento de Derecho C, apartado 1.9.5)], que reproduce parcialmente.</w:t>
      </w:r>
    </w:p>
    <w:p w:rsidR="005728DD" w:rsidRDefault="005728DD" w:rsidP="005728DD">
      <w:pPr>
        <w:pStyle w:val="TextoNormal"/>
      </w:pPr>
    </w:p>
    <w:p w:rsidR="005728DD" w:rsidRDefault="005728DD" w:rsidP="005728DD">
      <w:pPr>
        <w:pStyle w:val="TextoNormal"/>
      </w:pPr>
      <w:r>
        <w:t>9.7. A continuación, la abogacía del Estado se pronuncia sobre la queja relativa al derecho a la legalidad penal (art. 25.1 CE). Trae a colación la doctrina constitucional que concierne a la subsunción de los hechos en la norma penal desde la perspectiva del derecho a la legalidad en materia penal (SSTC 137/1997, FJ 6; 13/2003, FJ 3, y 129/2008, FJ 3), para concluir que, en el presente supuesto, la sentencia lleva a cabo la aludida subsunción de manera lógica y acorde con principios interpretativos válidos y previsibles, sin contrariar el sentido literal del precepto aplicado.</w:t>
      </w:r>
    </w:p>
    <w:p w:rsidR="005728DD" w:rsidRDefault="005728DD" w:rsidP="005728DD">
      <w:pPr>
        <w:pStyle w:val="TextoNormal"/>
      </w:pPr>
    </w:p>
    <w:p w:rsidR="005728DD" w:rsidRDefault="005728DD" w:rsidP="005728DD">
      <w:pPr>
        <w:pStyle w:val="TextoNormal"/>
      </w:pPr>
      <w:r>
        <w:t>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Luego, tras transcribir el fundamento jurídico C, apartado 1.9.5, de la sentencia recurrida, concluye que el demandante no ha sido condenado por apoyar dos concentraciones multitudinarias de protesta y votación, ni tampoco cabe apreciar que la reacción penal haya sido imprevisible o desproporcionada. Es más, carece de fundamento cualquier intento de comparación de los hechos con la consulta “del 9-N”, pues entonces no se aprobaron leyes ma</w:t>
      </w:r>
      <w:r>
        <w:lastRenderedPageBreak/>
        <w:t>nifiestamente inconstitucionales, para dotar de una pretendida cobertura legal que confundiera a los ciudadanos; no hubo un despliegue policial a fin de impedir la votación; ni se alentó a la población para que “resistiera a toda esa actividad”.</w:t>
      </w:r>
    </w:p>
    <w:p w:rsidR="005728DD" w:rsidRDefault="005728DD" w:rsidP="005728DD">
      <w:pPr>
        <w:pStyle w:val="TextoNormal"/>
      </w:pPr>
    </w:p>
    <w:p w:rsidR="005728DD" w:rsidRDefault="005728DD" w:rsidP="005728DD">
      <w:pPr>
        <w:pStyle w:val="TextoNormal"/>
      </w:pPr>
      <w:r>
        <w:t>9.8. Seguidamente, el abogado del Estado analiza las quejas relativas a la proporcionalidad y personalidad de la pena.</w:t>
      </w:r>
    </w:p>
    <w:p w:rsidR="005728DD" w:rsidRDefault="005728DD" w:rsidP="005728DD">
      <w:pPr>
        <w:pStyle w:val="TextoNormal"/>
      </w:pPr>
    </w:p>
    <w:p w:rsidR="005728DD" w:rsidRDefault="005728DD" w:rsidP="005728DD">
      <w:pPr>
        <w:pStyle w:val="TextoNormal"/>
      </w:pPr>
      <w:r>
        <w:t>a) Sobre la proporcionalidad de la pena en abstracto, tras recordar la doctrina contenida en la STC 60/2010, aduce que el recurrente compara la pena del delito de sedición con la de otros delitos contra el orden público “pero no realiza sin embargo una comparación válida en la medida en que no se proyecta sobre las conductas concretas enjuiciadas ni la dimensión y alcance de las mismas, limitándose en consecuencia a un análisis teórico a espaldas de la realidad”. Tras ello reproduce lo dicho por la sentencia impugnada al razonar sobre las diferencias del delito de sedición con otras figuras delictivas a las que se hace referencia en la demanda.</w:t>
      </w:r>
    </w:p>
    <w:p w:rsidR="005728DD" w:rsidRDefault="005728DD" w:rsidP="005728DD">
      <w:pPr>
        <w:pStyle w:val="TextoNormal"/>
      </w:pPr>
    </w:p>
    <w:p w:rsidR="005728DD" w:rsidRDefault="005728DD" w:rsidP="005728DD">
      <w:pPr>
        <w:pStyle w:val="TextoNormal"/>
      </w:pPr>
      <w:r>
        <w:t>Agrega, en relación con la individualización de la pena impuesta al recurrente, que el marco penal se movía, de conformidad con los arts. 544 y 545.1 CP, entre ocho y diez años de prisión, y se fijó en nueve años “dada su condición de líder social concertado con los demás acusados con fines sediciosos, resaltándose su protagonismo como verdadero conductor, con el Sr. Sànchez, de los episodios tumultuarios de los días 20 de septiembre y 1 de octubre de 2017”.</w:t>
      </w:r>
    </w:p>
    <w:p w:rsidR="005728DD" w:rsidRDefault="005728DD" w:rsidP="005728DD">
      <w:pPr>
        <w:pStyle w:val="TextoNormal"/>
      </w:pPr>
    </w:p>
    <w:p w:rsidR="005728DD" w:rsidRDefault="005728DD" w:rsidP="005728DD">
      <w:pPr>
        <w:pStyle w:val="TextoNormal"/>
      </w:pPr>
      <w:r>
        <w:t>b) En cuanto al alegado quebranto de la “personalidad de la pena”, que, según la demanda, se produce al hacer al recurrente “responsable penalmente de los hechos delictivos cometidos por otras personas”, se niega esta premisa en cuanto “la condena del Sr. Cuixart por un delito de sedición, como consecuencia de las actuaciones desarrolladas, en su condición de líder de la asociación Òmnium Cultural y dentro de una estrategia de ruptura del orden constitucional, movilizando a las masas para impedir el cumplimiento de resoluciones judiciales (20 de septiembre) y para permitir la celebración de la consulta ciudadana del 1 de octubre” obedece exclusivamente a los hechos que le son directamente imputables y que se encuentran pormenorizadamente expuestos en el fundamento C, apartado 1.9. Esa pretendida infracción constitucional no es tal, a juicio de la abogacía del Estado, “sino el desacuerdo con el juicio de autoría realizado respecto del Sr. Cuixart”.</w:t>
      </w:r>
    </w:p>
    <w:p w:rsidR="005728DD" w:rsidRDefault="005728DD" w:rsidP="005728DD">
      <w:pPr>
        <w:pStyle w:val="TextoNormal"/>
      </w:pPr>
    </w:p>
    <w:p w:rsidR="005728DD" w:rsidRDefault="005728DD" w:rsidP="005728DD">
      <w:pPr>
        <w:pStyle w:val="TextoNormal"/>
      </w:pPr>
      <w:r>
        <w:t xml:space="preserve">9.9. Finalmente, el abogado del Estado se refiere a la denunciada desviación de poder (art. 18 CEDH). A su juicio, el intento por construir un paralelismo con el caso abordado por la STEDH de 7 de junio del 2018 (asunto </w:t>
      </w:r>
      <w:r w:rsidRPr="005728DD">
        <w:rPr>
          <w:i/>
        </w:rPr>
        <w:t>Rashad Hasanov c. Azerbaiyán</w:t>
      </w:r>
      <w:r>
        <w:t xml:space="preserve">) es artificioso. Refuta, acto seguido, las alegaciones efectuadas en la demanda señalando que la misma “incorpora una transcripción incorrecta y manipulada del discurso pronunciado por la Excma. fiscal general del Estado en la apertura del año judicial en 2016”; que al referirse a la “comunicación oficial del Ministerio Fiscal sobre la querella que inició la causa especial”, no se alude a la explicación ofrecida por la Fiscalía de que se trataba de un “documento anterior de carácter privado” y, además, no tenía “nada que ver con las causas por el proceso independentista”. Sobre la calificación del Tribunal Supremo como tribunal de excepción, se remite a lo argumentado respecto de la competencia del citado tribunal. Finalmente, respecto de los informes de “organismos internacionales” a que se refiere la demanda, afirma que “ninguno de ellos merece la calificación, en sentido estricto, de informe de “organismo </w:t>
      </w:r>
      <w:r>
        <w:lastRenderedPageBreak/>
        <w:t>internacional”, y todos ellos son anteriores a la sentencia a que se refiere el amparo. En el caso del llamado “informe del relator de la asamblea parlamentaria Consejo de Europa sobre la situación de los defensores de derechos humanos”, se trata del memorándum preliminar del diputado que lo suscribe, que ni siquiera ha sido votado en la asamblea parlamentaria; y, en el caso de la opinión del grupo de trabajo sobre detenciones arbitrarias, “ya fue invocado en el proceso y analizado extensamente por el Tribunal Supremo en auto de 21 de junio de 2019”, al que se remite, reproduciendo parte de su contenido.</w:t>
      </w:r>
    </w:p>
    <w:p w:rsidR="005728DD" w:rsidRDefault="005728DD" w:rsidP="005728DD">
      <w:pPr>
        <w:pStyle w:val="TextoNormal"/>
      </w:pPr>
    </w:p>
    <w:p w:rsidR="005728DD" w:rsidRDefault="005728DD" w:rsidP="005728DD">
      <w:pPr>
        <w:pStyle w:val="TextoNormal"/>
      </w:pPr>
      <w:r w:rsidRPr="005728DD">
        <w:rPr>
          <w:rStyle w:val="NumeroAFNegritaCaracter"/>
        </w:rPr>
        <w:t>10</w:t>
      </w:r>
      <w:r>
        <w:t>. El partido político Vox, personado en la causa penal como acusación popular, presentó sus alegaciones el día 30 de octubre de 2020.</w:t>
      </w:r>
    </w:p>
    <w:p w:rsidR="005728DD" w:rsidRDefault="005728DD" w:rsidP="005728DD">
      <w:pPr>
        <w:pStyle w:val="TextoNormal"/>
      </w:pPr>
    </w:p>
    <w:p w:rsidR="005728DD" w:rsidRDefault="005728DD" w:rsidP="005728DD">
      <w:pPr>
        <w:pStyle w:val="TextoNormal"/>
      </w:pPr>
      <w:r>
        <w:t>En primer lugar, cuestiona que la especial trascendencia constitucional del recurso de amparo haya sido debidamente justificada. A su juicio, la demanda se limita a señalar que “no existe doctrina del Tribunal Constitucional al respecto de las violaciones de derechos que —siempre según el demandante— se han producido”, lo que resulta defectuoso. Se ha limitado a plantear unas “pocas líneas genéricas para pretender justificar el cumplimiento del preceptivo trámite de admisión del recurso; en todo caso, absolutamente insuficiente”.</w:t>
      </w:r>
    </w:p>
    <w:p w:rsidR="005728DD" w:rsidRDefault="005728DD" w:rsidP="005728DD">
      <w:pPr>
        <w:pStyle w:val="TextoNormal"/>
      </w:pPr>
    </w:p>
    <w:p w:rsidR="005728DD" w:rsidRDefault="005728DD" w:rsidP="005728DD">
      <w:pPr>
        <w:pStyle w:val="TextoNormal"/>
      </w:pPr>
      <w:r>
        <w:t>Seguidamente, lleva a cabo un análisis de las diferentes lesiones denunciadas en la demanda, que rechaza en su totalidad.</w:t>
      </w:r>
    </w:p>
    <w:p w:rsidR="005728DD" w:rsidRDefault="005728DD" w:rsidP="005728DD">
      <w:pPr>
        <w:pStyle w:val="TextoNormal"/>
      </w:pPr>
    </w:p>
    <w:p w:rsidR="005728DD" w:rsidRDefault="005728DD" w:rsidP="005728DD">
      <w:pPr>
        <w:pStyle w:val="TextoNormal"/>
      </w:pPr>
      <w:r>
        <w:t>10.1.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005728DD" w:rsidRDefault="005728DD" w:rsidP="005728DD">
      <w:pPr>
        <w:pStyle w:val="TextoNormal"/>
      </w:pPr>
    </w:p>
    <w:p w:rsidR="005728DD" w:rsidRDefault="005728DD" w:rsidP="005728DD">
      <w:pPr>
        <w:pStyle w:val="TextoNormal"/>
      </w:pPr>
      <w:r>
        <w:t>Añade a continuación que, en el presente caso, resulta discutible fijar el ámbito geográfico en el que se produce el delito, pues es este matiz el que haría recaer la competencia en uno u otro órgano; por eso, cuando se duda del lugar de comisión debe acudirse a la teoría de la ubicuidad, expuesta en el acuerdo del Pleno no jurisdiccional de la Sala Segunda del Tribunal Supremo de 3 de febrero de 2005, que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005728DD" w:rsidRDefault="005728DD" w:rsidP="005728DD">
      <w:pPr>
        <w:pStyle w:val="TextoNormal"/>
      </w:pPr>
    </w:p>
    <w:p w:rsidR="005728DD" w:rsidRDefault="005728DD" w:rsidP="005728DD">
      <w:pPr>
        <w:pStyle w:val="TextoNormal"/>
      </w:pPr>
      <w:r>
        <w:t xml:space="preserve">A continuación, invoca el contenido del auto del Tribunal Supremo de 31 de octubre de 2017, por el que se admitió a trámite la querella del fiscal general del Estado,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 Añade que a lo anterior “hay que sumarle el </w:t>
      </w:r>
      <w:r>
        <w:lastRenderedPageBreak/>
        <w:t>contenido del art. 21 LECrim en el que se recoge que ‘el Tribunal Supremo no podrá formar ni promover competencias, y ningún juez, tribunal o parte podrá promoverlas contra él’”.</w:t>
      </w:r>
    </w:p>
    <w:p w:rsidR="005728DD" w:rsidRDefault="005728DD" w:rsidP="005728DD">
      <w:pPr>
        <w:pStyle w:val="TextoNormal"/>
      </w:pPr>
    </w:p>
    <w:p w:rsidR="005728DD" w:rsidRDefault="005728DD" w:rsidP="005728DD">
      <w:pPr>
        <w:pStyle w:val="TextoNormal"/>
      </w:pPr>
      <w:r>
        <w:t>Dentro de este mismo epígrafe se pronuncia esta parte sobre la queja relativa al empleo de la lengua catalana en el juicio. Para ello evoca la STC 74/1987, en la que recoge que, conforme se establece en el art. 3.1 CE, todos los españoles tienen el deber de conocer el castellano, que es la lengua española oficial del Estado; y ese deber genera una presunción de conocimiento que puede ser desvirtuada cuando de manera verosímil se alega ignorancia o conocimiento insuficiente. Entiende que, en el presente caso, ha quedado acreditado en el proceso que el demandante conocía perfectamente el castellano, por lo que el alegato que formula, por no habérsele permitido declarar en catalán con un sistema de traducción simultánea, no es más que una argucia para salvar sus responsabilidades penales.</w:t>
      </w:r>
    </w:p>
    <w:p w:rsidR="005728DD" w:rsidRDefault="005728DD" w:rsidP="005728DD">
      <w:pPr>
        <w:pStyle w:val="TextoNormal"/>
      </w:pPr>
    </w:p>
    <w:p w:rsidR="005728DD" w:rsidRDefault="005728DD" w:rsidP="005728DD">
      <w:pPr>
        <w:pStyle w:val="TextoNormal"/>
      </w:pPr>
      <w:r>
        <w:t>10.2. No existe, a juicio del partido político Vox, la vulneración del derecho al juez imparcial. Afirma que el recurrente no ha justificado las razones de esta supuesta lesión y se refiere específicamente a la queja que cuestiona la imparcialidad judicial con fundamento en la inadmisión de pruebas. Recuerda la doctrina contenida en la STC 33/2003 y afirma que “todos los hechos puestos de manifiesto por la condenada no pasan de ser minucias procesales cuando no interpretaciones interesadas respecto al alegado trato desfavorable, pero que al final ni han supuesto anular al condenado su posibilidad de proponer y practicar los elementos de prueba propuestos por el mismo, ni tampoco afectan al sentido del fallo —de hecho el condenado no ha argumentado nada respecto a esta relevante cuestión—, por lo que no puede considerarse vulnerado el principio de igualdad de armas planteado”. Expone después el significado jurídico de las nociones de “pertinencia” de la prueba, su “necesidad” y la diferencia entre “prueba pertinente y necesaria”, a lo que agrega que debe ser “relevante”, “posible”, que debe explicarse la influencia que tendría o hubiera tenido la admisión de la prueba en el juicio así como la trascendencia de la inadmisión. Concluye señalando que, a la vista de lo actuado por el Tribunal Supremo durante el procedimiento, no debe estimarse el motivo de amparo.</w:t>
      </w:r>
    </w:p>
    <w:p w:rsidR="005728DD" w:rsidRDefault="005728DD" w:rsidP="005728DD">
      <w:pPr>
        <w:pStyle w:val="TextoNormal"/>
      </w:pPr>
    </w:p>
    <w:p w:rsidR="005728DD" w:rsidRDefault="005728DD" w:rsidP="005728DD">
      <w:pPr>
        <w:pStyle w:val="TextoNormal"/>
      </w:pPr>
      <w:r>
        <w:t>10.3. Tampoco existe, según el partido político Vox, vulneración del derecho de reunión ni del resto de libertades del recurrente.</w:t>
      </w:r>
    </w:p>
    <w:p w:rsidR="005728DD" w:rsidRDefault="005728DD" w:rsidP="005728DD">
      <w:pPr>
        <w:pStyle w:val="TextoNormal"/>
      </w:pPr>
    </w:p>
    <w:p w:rsidR="005728DD" w:rsidRDefault="005728DD" w:rsidP="005728DD">
      <w:pPr>
        <w:pStyle w:val="TextoNormal"/>
      </w:pPr>
      <w:r>
        <w:t>Después de reproducir parte de la STC 136/1999, de 20 de julio, sostiene que, en este caso, el orden público alterado “afectaba, ni más ni menos, que a la unidad política y territorial de la Nación española (art. 2 CE), unido a que una pena inferior a la impuesta no hubiera sido suficientemente desmotivadora para reiterar las mismas conductas en el futuro —no puede obviarse que los condenados, aún hoy, mantienen públicamente que volverán a repetir los mismos hechos delictivos— y que la injerencia en los supuestos derechos fundamentales que el condenado alega vulnerados fueron realizados por miembros y dirigentes de partidos políticos que ocupaban cargos públicos representando al Gobierno de España en el territorio de Cataluña, agrava la respuesta penal que ha de darse, ya que lo contrario produciría un desvalor del tipo penal en este caso, y una vulneración del principio de igualdad de los españoles ante la ley (14 CE), al ofrecer un castigo penal al mismo nivel al que tendría que se plantearía a particulares que hubieran cometido los mismos hechos, lo que lleva a la desestimación del presente motivo”.</w:t>
      </w:r>
    </w:p>
    <w:p w:rsidR="005728DD" w:rsidRDefault="005728DD" w:rsidP="005728DD">
      <w:pPr>
        <w:pStyle w:val="TextoNormal"/>
      </w:pPr>
    </w:p>
    <w:p w:rsidR="005728DD" w:rsidRDefault="005728DD" w:rsidP="005728DD">
      <w:pPr>
        <w:pStyle w:val="TextoNormal"/>
      </w:pPr>
      <w:r>
        <w:t>10.4. En lo que concierne al derecho a la legalidad penal (art. 25.1 CE), alega lo siguiente:</w:t>
      </w:r>
    </w:p>
    <w:p w:rsidR="005728DD" w:rsidRDefault="005728DD" w:rsidP="005728DD">
      <w:pPr>
        <w:pStyle w:val="TextoNormal"/>
      </w:pPr>
    </w:p>
    <w:p w:rsidR="005728DD" w:rsidRDefault="005728DD" w:rsidP="005728DD">
      <w:pPr>
        <w:pStyle w:val="TextoNormal"/>
      </w:pPr>
      <w:r>
        <w:t xml:space="preserve">a) A su juicio, el órgano judicial no llevó a cabo una interpretación analógica </w:t>
      </w:r>
      <w:r w:rsidRPr="005728DD">
        <w:rPr>
          <w:i/>
        </w:rPr>
        <w:t>in malam partem</w:t>
      </w:r>
      <w:r>
        <w:t xml:space="preserve"> del delito de sedición. Reitera que no hubo imprevisibilidad al valorar los hechos atribuidos al recurrente, como un delito de sedición, de acuerdo a lo expresado en la sentencia, según la cual, “el acusado sabía que la desatención a los requerimientos del Tribunal Constitucional ya había sido considerada por esta Sala como un delito de desobediencia. Y tenía que prever también que si la acción imputada no se limitaba a una conducta omisiva de rechazo al mandato, sino que incluía la creación de una legalidad paralela para promover la inobservancia de las leyes y, además, la celebración de un referéndum prohibido que se pretende hacer realidad mediante una tumultuaria movilización ciudadana para rechazar el cumplimiento de las resoluciones judiciales, el título de imputación se agravaba”.</w:t>
      </w:r>
    </w:p>
    <w:p w:rsidR="005728DD" w:rsidRDefault="005728DD" w:rsidP="005728DD">
      <w:pPr>
        <w:pStyle w:val="TextoNormal"/>
      </w:pPr>
    </w:p>
    <w:p w:rsidR="005728DD" w:rsidRDefault="005728DD" w:rsidP="005728DD">
      <w:pPr>
        <w:pStyle w:val="TextoNormal"/>
      </w:pPr>
      <w:r>
        <w:t>b) No existe imposición de pena desproporcionada. De nuevo, trascribe parte de la STC 136/1999, para reiterar lo dicho al contestar la queja relativa al derecho de reunión.</w:t>
      </w:r>
    </w:p>
    <w:p w:rsidR="005728DD" w:rsidRDefault="005728DD" w:rsidP="005728DD">
      <w:pPr>
        <w:pStyle w:val="TextoNormal"/>
      </w:pPr>
    </w:p>
    <w:p w:rsidR="005728DD" w:rsidRDefault="005728DD" w:rsidP="005728DD">
      <w:pPr>
        <w:pStyle w:val="TextoNormal"/>
      </w:pPr>
      <w:r>
        <w:t>c) No existe vulneración del principio de personalidad de la pena, pues la sentencia recurrida “recoge detalladamente las acciones llevadas a cabo por cada uno de los miembros que participaron en la sedición que ha quedado probada y con ello […], se recoge la pena que debe imponerse a cada uno de los condenados” de acuerdo con sus circunstancias, de modo que carece de base la afirmación del recurrente de que “se produce una indeterminación en cuanto a su participación en el alzamiento sedicioso”.</w:t>
      </w:r>
    </w:p>
    <w:p w:rsidR="005728DD" w:rsidRDefault="005728DD" w:rsidP="005728DD">
      <w:pPr>
        <w:pStyle w:val="TextoNormal"/>
      </w:pPr>
    </w:p>
    <w:p w:rsidR="005728DD" w:rsidRDefault="005728DD" w:rsidP="005728DD">
      <w:pPr>
        <w:pStyle w:val="TextoNormal"/>
      </w:pPr>
      <w:r>
        <w:t>Finalmente, el escrito contiene alegaciones sobre la medida cautelar de suspensión de los efectos de la sentencia condenatoria y sobre el planteamiento de cuestión interna de inconstitucionalidad, pedimentos, ambos, comprendidos en la demanda de amparo.</w:t>
      </w:r>
    </w:p>
    <w:p w:rsidR="005728DD" w:rsidRDefault="005728DD" w:rsidP="005728DD">
      <w:pPr>
        <w:pStyle w:val="TextoNormal"/>
      </w:pPr>
    </w:p>
    <w:p w:rsidR="005728DD" w:rsidRDefault="005728DD" w:rsidP="005728DD">
      <w:pPr>
        <w:pStyle w:val="TextoNormal"/>
      </w:pPr>
      <w:r w:rsidRPr="005728DD">
        <w:rPr>
          <w:rStyle w:val="NumeroAFNegritaCaracter"/>
        </w:rPr>
        <w:t>11</w:t>
      </w:r>
      <w:r>
        <w:t>. El 12 de noviembre de 2020 tuvo entrada en este tribunal el escrito de alegaciones formulado por el Ministerio Fiscal.</w:t>
      </w:r>
    </w:p>
    <w:p w:rsidR="005728DD" w:rsidRDefault="005728DD" w:rsidP="005728DD">
      <w:pPr>
        <w:pStyle w:val="TextoNormal"/>
      </w:pPr>
    </w:p>
    <w:p w:rsidR="005728DD" w:rsidRDefault="005728DD" w:rsidP="005728DD">
      <w:pPr>
        <w:pStyle w:val="TextoNormal"/>
      </w:pPr>
      <w:r>
        <w:t>Después de describir los antecedentes fácticos de la causa judicial previa y las quejas enunciadas por el recurrente, el fiscal ante el Tribunal Constitucional analiza los motivos por el orden seguido en la demanda de amparo. A continuación se sintetizan sus alegaciones.</w:t>
      </w:r>
    </w:p>
    <w:p w:rsidR="005728DD" w:rsidRDefault="005728DD" w:rsidP="005728DD">
      <w:pPr>
        <w:pStyle w:val="TextoNormal"/>
      </w:pPr>
    </w:p>
    <w:p w:rsidR="005728DD" w:rsidRDefault="005728DD" w:rsidP="005728DD">
      <w:pPr>
        <w:pStyle w:val="TextoNormal"/>
      </w:pPr>
      <w:r>
        <w:t>11.1. Juez ordinario predeterminado por la ley, doble instancia penal y derechos lingüísticos. Se refiere aquí el ministerio público a la alegada falta de competencia del Tribunal Supremo y, anudado a su conocimiento del proceso, a la merma de la posibilidad de revisión de sus decisiones y de los derechos lingüísticos del recurrente.</w:t>
      </w:r>
    </w:p>
    <w:p w:rsidR="005728DD" w:rsidRDefault="005728DD" w:rsidP="005728DD">
      <w:pPr>
        <w:pStyle w:val="TextoNormal"/>
      </w:pPr>
    </w:p>
    <w:p w:rsidR="005728DD" w:rsidRDefault="005728DD" w:rsidP="005728DD">
      <w:pPr>
        <w:pStyle w:val="TextoNormal"/>
      </w:pPr>
      <w:r>
        <w:t xml:space="preserve">a) La supuesta vulneración principal del derecho al juez ordinario predeterminado por la ley. Tras relatar ampliamente la doctrina constitucional sobre el contenido esencial de este derecho fundamental (art. 24.2 CE) recogida en las SSTC 191/2011, de 12 de diciembre, FJ 5; 212/2014, de 18 de diciembre, FJ 5; 99/2015, de 25 de mayo, FJ 5; 266/2015, de 14 de diciembre, FJ 2, y 110/2017, de 5 de octubre, FJ 4 b), y cita el fiscal las respuestas judiciales dadas sobre esta materia a lo largo de toda la causa, que han ido dictándose por el magistrado instructor, por la salas de admisión y recursos (autos de 31 de octubre de 2017, 24 de noviembre de 2017, 15 de febrero de 2018, 9 de mayo de 2018, 31 de mayo de 2018 y 26 de junio de 2018) y, de forma singular, por el tribunal enjuiciador al resolver la declinatoria de </w:t>
      </w:r>
      <w:r>
        <w:lastRenderedPageBreak/>
        <w:t>jurisdicción (</w:t>
      </w:r>
      <w:r w:rsidRPr="005728DD">
        <w:rPr>
          <w:i/>
        </w:rPr>
        <w:t>ex</w:t>
      </w:r>
      <w:r>
        <w:t xml:space="preserve"> art 666.1 LECrim), por auto 27 de diciembre de 2018, y en la sentencia de 14 de octubre de 2019.</w:t>
      </w:r>
    </w:p>
    <w:p w:rsidR="005728DD" w:rsidRDefault="005728DD" w:rsidP="005728DD">
      <w:pPr>
        <w:pStyle w:val="TextoNormal"/>
      </w:pPr>
    </w:p>
    <w:p w:rsidR="005728DD" w:rsidRDefault="005728DD" w:rsidP="005728DD">
      <w:pPr>
        <w:pStyle w:val="TextoNormal"/>
      </w:pPr>
      <w:r>
        <w:t>Trascribe el Ministerio Fiscal parte del auto de 31 de octubre de 2017 y se refiere a las resoluciones dictadas durante la instrucción sobre esta materia, argumentado que la decisión sobre la competencia tuvo su fundamento en el artículo 57.2 del Estatuto de Autonomía de Cataluña, (conforme al que “en las causas contra los Diputados, es competente el Tribunal Superior de Justicia de Cataluña. Fuera del territorio de Cataluña la responsabilidad penal es exigible en los mismos términos ante la Sala de lo Penal del Tribunal Supremo”), cuyo contenido se interpretó valorando para los aforados un doble factor o criterio: la condición de diputados del Parlamento de Cataluña de buena parte de los investigados y el elemento geográfico basado en el lugar de comisión del hecho. El Tribunal Supremo afirma su propia competencia para la investigación y enjuiciamiento de los hechos, en ese momento,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uno de las cuales habría contribuido a ese objetivo desde el espacio funcional propio, y en el que se destaca una pluralidad de acciones desarrolladas fuera del territorio estatal que contribuyeron al objetivo perseguido.</w:t>
      </w:r>
    </w:p>
    <w:p w:rsidR="005728DD" w:rsidRDefault="005728DD" w:rsidP="005728DD">
      <w:pPr>
        <w:pStyle w:val="TextoNormal"/>
      </w:pPr>
    </w:p>
    <w:p w:rsidR="005728DD" w:rsidRDefault="005728DD" w:rsidP="005728DD">
      <w:pPr>
        <w:pStyle w:val="TextoNormal"/>
      </w:pPr>
      <w:r>
        <w:t>Se refiere después al auto mediante el que fueron resueltas las cuestiones previas, y al auto de 27 de diciembre de 2018, resolutorio de la declinatoria de jurisdicción. Este último, en respuesta a lo alegado por las defensas razonó que “la lectura de los escritos de acusación debe abordarse desde la tantas veces reiterada por esta Sala doctrina de la ubicuidad, según la cual, el delito se comete en cualquiera de los territorios donde se realizan algunos de los elementos del tipo. Y está fuera de dudas que cuando nuestros precedentes se refieren a los elementos del tipo estamos abarcando, tanto aquellos incluibles en el tipo objetivo como en el subjetivo. De ahí que la atribución por el fiscal a algunos de los procesados de actos ejecutivos, no necesariamente violentos pero vinculados al elemento tendencial del delito por el que se formula acusación (cfr. art. 472.5) justifica la aplicación del art. 57.2 del Estatuto de Autonomía que señala a esta Sala como el órgano competente para la investigación y enjuiciamiento de hechos ejecutados fuera del territorio de la comunidad autónoma”.</w:t>
      </w:r>
    </w:p>
    <w:p w:rsidR="005728DD" w:rsidRDefault="005728DD" w:rsidP="005728DD">
      <w:pPr>
        <w:pStyle w:val="TextoNormal"/>
      </w:pPr>
    </w:p>
    <w:p w:rsidR="005728DD" w:rsidRDefault="005728DD" w:rsidP="005728DD">
      <w:pPr>
        <w:pStyle w:val="TextoNormal"/>
      </w:pPr>
      <w:r>
        <w:t xml:space="preserve">Asume el fiscal lo razonado en la sentencia (FJ A, apartado 4), en cuanto descarta: (i) que el criterio de enjuiciamiento conjunto de los hechos atribuidos a los procesados contradiga el precedente representado por la causa especial núm. 20.249-2016, en la que fue enjuiciado el Sr. Homs, habida cuenta de la naturaleza individual de la responsabilidad de este al tratarse de un delito de desobediencia frente al carácter colectivo o de comisión plural de los delitos de rebelión y sedición; (ii) que se haya producido un tratamiento excepcional, con nuevos criterios competenciales </w:t>
      </w:r>
      <w:r w:rsidRPr="005728DD">
        <w:rPr>
          <w:i/>
        </w:rPr>
        <w:t>ad hoc</w:t>
      </w:r>
      <w:r>
        <w:t xml:space="preserve"> y distanciamiento respecto de otros supuestos antecedentes, existiendo, por el contrario, varios precedentes (entre otros, AATS de 1 de julio de 2009 y 24 de junio de 2015; y SSTS 152/2005, de 24 de febrero; y 597/2014, y también AATS de 29 junio 2006, 23 de junio de 2009 y 26 de enero de 2017), en los que, siguiendo la línea marcada por la jurisprudencia europea (SSTEDH de 2 de junio de 2005, asunto </w:t>
      </w:r>
      <w:r w:rsidRPr="005728DD">
        <w:rPr>
          <w:i/>
        </w:rPr>
        <w:t>Claes y otros c. Bélgica</w:t>
      </w:r>
      <w:r>
        <w:t xml:space="preserve">; y de 22 de junio de 2000, asunto </w:t>
      </w:r>
      <w:r w:rsidRPr="005728DD">
        <w:rPr>
          <w:i/>
        </w:rPr>
        <w:t>Coéme c. Bélgica</w:t>
      </w:r>
      <w:r>
        <w:t xml:space="preserve">) aforados y no aforados fueron investigados y enjuiciados conjuntamente sobre la base de la conexión </w:t>
      </w:r>
      <w:r>
        <w:lastRenderedPageBreak/>
        <w:t>material inescindible de los hechos y la conveniencia de la unidad de investigación y enjuiciamiento; (iii) y que puedan esgrimirse como vinculantes supuestos precedentes emanados de tribunales inferiores, máxime teniendo en cuenta lo dispuesto en el art. 123 CE.</w:t>
      </w:r>
    </w:p>
    <w:p w:rsidR="005728DD" w:rsidRDefault="005728DD" w:rsidP="005728DD">
      <w:pPr>
        <w:pStyle w:val="TextoNormal"/>
      </w:pPr>
    </w:p>
    <w:p w:rsidR="005728DD" w:rsidRDefault="005728DD" w:rsidP="005728DD">
      <w:pPr>
        <w:pStyle w:val="TextoNormal"/>
      </w:pPr>
      <w:r>
        <w:t>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 Por tanto, el criterio de asunción competencial del Tribunal Supremo no puede calificarse de "manipulación manifiestamente arbitraria de las reglas legales sobre atribución de competencias", sino que responde a una exégesis racional y razonable del art. 57.2 EAC, precepto que no ha sido cuestionado.</w:t>
      </w:r>
    </w:p>
    <w:p w:rsidR="005728DD" w:rsidRDefault="005728DD" w:rsidP="005728DD">
      <w:pPr>
        <w:pStyle w:val="TextoNormal"/>
      </w:pPr>
    </w:p>
    <w:p w:rsidR="005728DD" w:rsidRDefault="005728DD" w:rsidP="005728DD">
      <w:pPr>
        <w:pStyle w:val="TextoNormal"/>
      </w:pPr>
      <w:r>
        <w:t>b) La alegada conculcación asociada del derecho a la doble instancia (arts. 24.2 CE, 14.5 PIDCP y 2 del Protocolo 7 del CEDH).</w:t>
      </w:r>
    </w:p>
    <w:p w:rsidR="005728DD" w:rsidRDefault="005728DD" w:rsidP="005728DD">
      <w:pPr>
        <w:pStyle w:val="TextoNormal"/>
      </w:pPr>
    </w:p>
    <w:p w:rsidR="005728DD" w:rsidRDefault="005728DD" w:rsidP="005728DD">
      <w:pPr>
        <w:pStyle w:val="TextoNormal"/>
      </w:pPr>
      <w:r>
        <w:t>A juicio del fiscal, esta queja pierde su razón de ser y decae una vez confirmada la inexistencia de la vulneración principal del derecho al juez ordinario predeterminado por la ley.</w:t>
      </w:r>
    </w:p>
    <w:p w:rsidR="005728DD" w:rsidRDefault="005728DD" w:rsidP="005728DD">
      <w:pPr>
        <w:pStyle w:val="TextoNormal"/>
      </w:pPr>
    </w:p>
    <w:p w:rsidR="005728DD" w:rsidRDefault="005728DD" w:rsidP="005728DD">
      <w:pPr>
        <w:pStyle w:val="TextoNormal"/>
      </w:pPr>
      <w:r>
        <w:t xml:space="preserve">Por otra parte, la aplicación de la doctrina constitucional (por todas, STC 136/1999, de 20 de julio, FJ 11) determina también la desestimación del motivo, pues “la garantía que implica la instrucción y el enjuiciamiento de la causa por el tribunal más alto en el orden penal (art. 123.l CE) integra en parte —acceso a una instancia judicial superior a la que de ordinario enjuicia inicialmente este tipo de conflictos— y sustituye en lo demás —posibilidad de una segunda decisión— la garantía que ahora aducen los recurrentes, que presupone, precisamente, que la primera instancia no sea la instancia suprema en el orden jurisdiccional penal”. Se refiere también el Ministerio Fiscal a la STC 166/1993 según la cual “el privilegio del fuero, que es un </w:t>
      </w:r>
      <w:r w:rsidRPr="005728DD">
        <w:rPr>
          <w:i/>
        </w:rPr>
        <w:t>plus</w:t>
      </w:r>
      <w:r>
        <w:t>,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Finalmente destaca la fundamentación recogida en el apartado 4.1.5 del fundamento de Derecho A de la sentencia recurrida.</w:t>
      </w:r>
    </w:p>
    <w:p w:rsidR="005728DD" w:rsidRDefault="005728DD" w:rsidP="005728DD">
      <w:pPr>
        <w:pStyle w:val="TextoNormal"/>
      </w:pPr>
    </w:p>
    <w:p w:rsidR="005728DD" w:rsidRDefault="005728DD" w:rsidP="005728DD">
      <w:pPr>
        <w:pStyle w:val="TextoNormal"/>
      </w:pPr>
      <w:r>
        <w:t>c) La coligada infracción de los derechos lingüísticos (empleo de la lengua catalana como lengua del proceso).</w:t>
      </w:r>
    </w:p>
    <w:p w:rsidR="005728DD" w:rsidRDefault="005728DD" w:rsidP="005728DD">
      <w:pPr>
        <w:pStyle w:val="TextoNormal"/>
      </w:pPr>
    </w:p>
    <w:p w:rsidR="005728DD" w:rsidRDefault="005728DD" w:rsidP="005728DD">
      <w:pPr>
        <w:pStyle w:val="TextoNormal"/>
      </w:pPr>
      <w:r>
        <w:t>Al igual que en el supuesto anterior, afirma el fiscal que esta queja pierde su razón de ser y decae una vez confirmada la inexistencia de la vulneración principal del derecho al juez ordinario predeterminado por la ley.</w:t>
      </w:r>
    </w:p>
    <w:p w:rsidR="005728DD" w:rsidRDefault="005728DD" w:rsidP="005728DD">
      <w:pPr>
        <w:pStyle w:val="TextoNormal"/>
      </w:pPr>
    </w:p>
    <w:p w:rsidR="005728DD" w:rsidRDefault="005728DD" w:rsidP="005728DD">
      <w:pPr>
        <w:pStyle w:val="TextoNormal"/>
      </w:pPr>
      <w:r>
        <w:t xml:space="preserve">En cualquier caso, el ministerio público señala que a los acusados se les reconoció la posibilidad de valerse del catalán, habilitándose un sistema de traducción consecutiva; pero </w:t>
      </w:r>
      <w:r>
        <w:lastRenderedPageBreak/>
        <w:t>fue rechazada la posibilidad de traducción simultánea a partir de una doble perspectiva: la ponderación de la implicación para la publicidad del juicio y el significado constitucional del plurilingüismo en nuestro sistema, en el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En cualquier caso, los acusados, que eran perfectamente conocedores de la lengua castellana, renunciaron al empleo de su lengua vernácula y a la utilización de los dos intérpretes de lengua catalana que fueron puestos a su disposición.</w:t>
      </w:r>
    </w:p>
    <w:p w:rsidR="005728DD" w:rsidRDefault="005728DD" w:rsidP="005728DD">
      <w:pPr>
        <w:pStyle w:val="TextoNormal"/>
      </w:pPr>
    </w:p>
    <w:p w:rsidR="005728DD" w:rsidRDefault="005728DD" w:rsidP="005728DD">
      <w:pPr>
        <w:pStyle w:val="TextoNormal"/>
      </w:pPr>
      <w:r>
        <w:t>Recopila después la doctrina constitucional que confiere relevancia a la indefensión material, en cuanto que produce un efectivo y real menoscabo del derecho de defensa, con cita y trascripción de fragmentos de las SSTC 35/1989, de 14 de febrero; 52/1989, de 22 de febrero; 91/2000, de 30 de marzo; 2/2002, de 14 de enero, FJ 2; 109/2002, de 6 de mayo, FJ 2;, y 85/2003, de 8 de mayo, FJ 11. Concluye afirmando que, en el caso, ni siquiera existe infracción de norma procesal alguna, “una vez que el art. 231.3 LOPJ circunscribe la posibilidad de que las partes, sus representantes y quienes les dirijan, así como los testigos y peritos, utilicen en sus manifestaciones orales o escritas la lengua que sea también oficial en una comunidad autónoma exclusivamente a las actuaciones judiciales que tengan lugar en el territorio de esta”. Agrega que, en el caso de los testigos, “la irrelevancia del contenido y resultado de las declaraciones abona añadidamente cualquier incidencia en el derecho de defensa”.</w:t>
      </w:r>
    </w:p>
    <w:p w:rsidR="005728DD" w:rsidRDefault="005728DD" w:rsidP="005728DD">
      <w:pPr>
        <w:pStyle w:val="TextoNormal"/>
      </w:pPr>
    </w:p>
    <w:p w:rsidR="005728DD" w:rsidRDefault="005728DD" w:rsidP="005728DD">
      <w:pPr>
        <w:pStyle w:val="TextoNormal"/>
      </w:pPr>
      <w:r>
        <w:t>11.2. Juez independiente e imparcial.</w:t>
      </w:r>
    </w:p>
    <w:p w:rsidR="005728DD" w:rsidRDefault="005728DD" w:rsidP="005728DD">
      <w:pPr>
        <w:pStyle w:val="TextoNormal"/>
      </w:pPr>
    </w:p>
    <w:p w:rsidR="005728DD" w:rsidRDefault="005728DD" w:rsidP="005728DD">
      <w:pPr>
        <w:pStyle w:val="TextoNormal"/>
      </w:pPr>
      <w:r>
        <w:t xml:space="preserve">El fiscal ante el Tribunal Constitucional comienza la contestación a esta queja con un resumen de la respuesta dada a la misma en el auto de 29 de enero de 2020 resolutorio del incidente de nulidad de actuaciones y expone, acto seguido, la doctrina sobre la garantía de la imparcialidad judicial. Se refiere primero a la doctrina del Tribunal Europeo de Derechos Humanos con cita de las SSTEDH de 15 de octubre de 2009, asunto </w:t>
      </w:r>
      <w:r w:rsidRPr="005728DD">
        <w:rPr>
          <w:i/>
        </w:rPr>
        <w:t>Micallef c. Malta</w:t>
      </w:r>
      <w:r>
        <w:t xml:space="preserve">, y de 6 de noviembre de 2018, asunto </w:t>
      </w:r>
      <w:r w:rsidRPr="005728DD">
        <w:rPr>
          <w:i/>
        </w:rPr>
        <w:t>Otegi y otros c. España</w:t>
      </w:r>
      <w:r>
        <w:t>, y trascripción de los apartados 93 a 99 de la primera. A continuación, extracta la doctrina constitucional plasmada en la STC 60/2008, de 26 de mayo, FJ 3, en relación con la vertiente subjetiva de la imparcialidad, y en la STC 36/2008, de 25 de febrero, FJ 2, respecto de la perspectiva objetiva. Distingue, acto seguido, las diversas tachas de parcialidad formuladas por la parte recurrente.</w:t>
      </w:r>
    </w:p>
    <w:p w:rsidR="005728DD" w:rsidRDefault="005728DD" w:rsidP="005728DD">
      <w:pPr>
        <w:pStyle w:val="TextoNormal"/>
      </w:pPr>
    </w:p>
    <w:p w:rsidR="005728DD" w:rsidRDefault="005728DD" w:rsidP="005728DD">
      <w:pPr>
        <w:pStyle w:val="TextoNormal"/>
      </w:pPr>
      <w:r>
        <w:t>a) La primera denuncia de vulneración del derecho al juez imparcial cuestiona la imparcialidad por dos motivos: (i) la relación de los magistrados que integran la sala de enjuiciamiento con el fiscal general del Estado que firmó la querella; y (ii) la relación de la misma sala con el Ejecutivo, que apoya en la existencia de manifestaciones y mensajes de responsables políticos que implican interferencias del poder político en la causa penal.</w:t>
      </w:r>
    </w:p>
    <w:p w:rsidR="005728DD" w:rsidRDefault="005728DD" w:rsidP="005728DD">
      <w:pPr>
        <w:pStyle w:val="TextoNormal"/>
      </w:pPr>
    </w:p>
    <w:p w:rsidR="005728DD" w:rsidRDefault="005728DD" w:rsidP="005728DD">
      <w:pPr>
        <w:pStyle w:val="TextoNormal"/>
      </w:pPr>
      <w:r>
        <w:t xml:space="preserve">(i) En cuanto a la denuncia relativa a que el hecho de “haber compartido sala el fiscal firmante de la querella que da origen a la causa penal y los miembros del tribunal” constituye una situación equiparable a la causa de “amistad íntima” del art. 219.9 LOPJ, el fiscal considera que dicha situación no reúne las características de la amistad íntima. De la misma, se dice que “no es cualquier relación de amistad, sino aquella que aparezca connotada por la </w:t>
      </w:r>
      <w:r>
        <w:lastRenderedPageBreak/>
        <w:t>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(por todas, STC 162/1999, de 27 de septiembre, FJ 7; y AATC 17/2020, de 11 de febrero, FJ 3). Como señaló el auto de 13 de septiembre de 2018, dictado en la causa especial, en referencia a la relación existente entre el magistrado instructor y los restantes miembros de la Sala Segunda del Tribunal Supremo,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 En segundo lugar, según el ministerio público, no aporta el recurrente, pese a que resulta exigible para que prospere su queja, “elemento consistente y objetivo de ninguna naturaleza, que sirva como elemento probatorio, ni siquiera a nivel de indicio, sobre el que sustentar que en el caso concreto concurre en los magistrados un déficit de imparcialidad”.</w:t>
      </w:r>
    </w:p>
    <w:p w:rsidR="005728DD" w:rsidRDefault="005728DD" w:rsidP="005728DD">
      <w:pPr>
        <w:pStyle w:val="TextoNormal"/>
      </w:pPr>
    </w:p>
    <w:p w:rsidR="005728DD" w:rsidRDefault="005728DD" w:rsidP="005728DD">
      <w:pPr>
        <w:pStyle w:val="TextoNormal"/>
      </w:pPr>
      <w:r>
        <w:t>(ii) En cuanto a la segunda causa, según el fiscal, esta “viene a ser un supuesto de hetero-responsabilidad o responsabilidad por un hecho ajeno”, puesto que se imputa a los magistrados integrantes de la sala una falta de imparcialidad no por manifestaciones o actuaciones propias reveladoras de ausencia de objetividad e independencia, sino por la expresión por parte de terceros de manifestaciones dirigidas a la opinión pública o a compañeros de partido para justificar un eventual pacto con otra formación política, de manera que no estamos ante manifestaciones públicas procedentes de juzgadores de la causa. Al margen de cualquier valoración sobre su contenido, “tales declaraciones y mensaje no pueden considerarse como elemento acreditativo del interés de los miembros del tribunal en un resultado concreto del proceso, por propia intención o por anhelado deseo o no del Ejecutivo”.</w:t>
      </w:r>
    </w:p>
    <w:p w:rsidR="005728DD" w:rsidRDefault="005728DD" w:rsidP="005728DD">
      <w:pPr>
        <w:pStyle w:val="TextoNormal"/>
      </w:pPr>
    </w:p>
    <w:p w:rsidR="005728DD" w:rsidRDefault="005728DD" w:rsidP="005728DD">
      <w:pPr>
        <w:pStyle w:val="TextoNormal"/>
      </w:pPr>
      <w:r>
        <w:t>b) Respecto de las tachas de parcialidad que el recurrente sustenta en las expresiones vertidas en la sentencia sobre el derecho a la autodeterminación, el tratamiento procesal de la presunción de inocencia, las manifestaciones del tribunal sobre los letrados, dentro y fuera de la sala, y las decisiones del tribunal sobre admisión y práctica de la prueba, el Ministerio Fiscal argumenta lo siguiente:</w:t>
      </w:r>
    </w:p>
    <w:p w:rsidR="005728DD" w:rsidRDefault="005728DD" w:rsidP="005728DD">
      <w:pPr>
        <w:pStyle w:val="TextoNormal"/>
      </w:pPr>
    </w:p>
    <w:p w:rsidR="005728DD" w:rsidRDefault="005728DD" w:rsidP="005728DD">
      <w:pPr>
        <w:pStyle w:val="TextoNormal"/>
      </w:pPr>
      <w:r>
        <w:t>(i) En cuanto a las “expresiones políticas” que denotarían la supuesta “perspectiva ideológica previa" de los miembros del tribunal de enjuiciamiento, frente a los sostenido por el demandante de amparo, el tratamiento del alcance, contenido y vigencia del denominado “derecho de autodeterminación” era, a juicio del fiscal, necesario a fin de resolver sobre las vulneraciones de derechos que operarían como causa de justificación y que habían sido alegadas por las defensas. El “prejuicio político e ideológico bajo el que se pretende sostener la queja no es sino un revestimiento formal de la propia discrepancia del recurrente con las consideraciones de la sentencia sobre el mencionado alcance, contenido y vigencia de tal derecho, pero no acreditan déficit alguno de imparcialidad”.</w:t>
      </w:r>
    </w:p>
    <w:p w:rsidR="005728DD" w:rsidRDefault="005728DD" w:rsidP="005728DD">
      <w:pPr>
        <w:pStyle w:val="TextoNormal"/>
      </w:pPr>
    </w:p>
    <w:p w:rsidR="005728DD" w:rsidRDefault="005728DD" w:rsidP="005728DD">
      <w:pPr>
        <w:pStyle w:val="TextoNormal"/>
      </w:pPr>
      <w:r>
        <w:t xml:space="preserve">(ii) Respecto del tratamiento procesal de la presunción de inocencia (art. 24.2 CE), después de una referencia a la doctrina constitucional sobre este derecho fundamental (STC </w:t>
      </w:r>
      <w:r>
        <w:lastRenderedPageBreak/>
        <w:t>120/1999, de 28 de junio), no aprecia vulneración alguna del mencionado derecho fundamental “y siendo ello el presupuesto de la falta de imparcialidad que pretende aducir el recurrente, también decae todo fundamento de la tacha de parcialidad objetiva en este particular”. Ha existido suficiente actividad probatoria de cargo de la que puede deducirse la culpabilidad del encausado en relación con el concreto hecho por el que fue condenado (testificales, documentales, periciales y la propia declaración del acusado); dicha prueba se practicó con las debidas garantías procesales, y el órgano judicial “ha explicitado en el fundamento de Derecho C, dedicado al juicio de autoría, concretamente en su punto 1.9 (págs. 384 a 399) tanto las fuentes probatorias que han permitido tener como probado lo sucedido y el concreto protagonismo en ello de la conducta del recurrente, como su análisis y valoración de cara a alcanzar las conclusiones expresadas en la sentencia sobre los particulares atinentes al demandante”. Acto seguido reproduce el fiscal algunas de las consideraciones contenidas en la sentencia en relación con la conducta del recurrente para subrayar que la misma ha explicitado y razonado de modo suficiente “el proceso intelectivo que le lleva a deducir la tipicidad de la conducta analizada y el juicio de autoría realizado […] a partir de los datos fácticos reflejados en el relato de hechos probados en el que consta de forma precisa cuál ha sido la participación del recurrente, sin que en las conclusiones alcanzadas se adviertan inferencias tan excesivamente abiertas, débiles e indeterminadas” que hayan provocado una infracción de la presunción de inocencia (art. 24.2 CE).</w:t>
      </w:r>
    </w:p>
    <w:p w:rsidR="005728DD" w:rsidRDefault="005728DD" w:rsidP="005728DD">
      <w:pPr>
        <w:pStyle w:val="TextoNormal"/>
      </w:pPr>
    </w:p>
    <w:p w:rsidR="005728DD" w:rsidRDefault="005728DD" w:rsidP="005728DD">
      <w:pPr>
        <w:pStyle w:val="TextoNormal"/>
      </w:pPr>
      <w:r>
        <w:t>Añade que el cuestionamiento por parte del recurrente de aspectos fácticos relativos a su participación en los hechos acaecidos el 20 de septiembre y el 1 de octubre de 2017, “no es sino muestra de desacuerdo y discrepancia con el relato de hechos probados fijado por el tribunal”, que “está al margen de la competencia propia del Tribunal Constitucional” y “se mantiene en el ámbito que corresponde en exclusiva a la jurisdicción ordinaria de acuerdo con el art. 117 CE”.</w:t>
      </w:r>
    </w:p>
    <w:p w:rsidR="005728DD" w:rsidRDefault="005728DD" w:rsidP="005728DD">
      <w:pPr>
        <w:pStyle w:val="TextoNormal"/>
      </w:pPr>
    </w:p>
    <w:p w:rsidR="005728DD" w:rsidRDefault="005728DD" w:rsidP="005728DD">
      <w:pPr>
        <w:pStyle w:val="TextoNormal"/>
      </w:pPr>
      <w:r>
        <w:t>(iii) Por lo que se refiere a las denunciadas manifestaciones del tribunal sobre los abogados efectuadas al terminar la sesión de juicio oral de 14 de mayo de 2019, de las que se dice que fueron dirigidas a patentizar “el profundo malestar de los siete magistrados” con la estrategia de defensa del recurrente, según el fiscal, tienen su origen en la información facilitada por algunos medios de comunicación en relación, a su vez, con lo aparecido en un chat de WhatsApp de periodistas, en el que ninguno de los magistrados participa, “por lo que de nuevo se está ante un supuesto de manifestaciones efectuadas por tercero” que no sirven de elemento probatorio que permita afirmar que las sospechas o dudas de parcialidad se hallan objetiva y legítimamente justificadas.</w:t>
      </w:r>
    </w:p>
    <w:p w:rsidR="005728DD" w:rsidRDefault="005728DD" w:rsidP="005728DD">
      <w:pPr>
        <w:pStyle w:val="TextoNormal"/>
      </w:pPr>
    </w:p>
    <w:p w:rsidR="005728DD" w:rsidRDefault="005728DD" w:rsidP="005728DD">
      <w:pPr>
        <w:pStyle w:val="TextoNormal"/>
      </w:pPr>
      <w:r>
        <w:t>(iv) En cuanto a las manifestaciones del presidente del tribunal sobre la actuación de los abogados dentro de la sala durante en las sesiones de 6 y 14 de mayo, con ocasión de los interrogatorios de los testigos Sr. Pacheco y Sra. Garcés, a juicio del fiscal, las mismas se encuadran en las funciones de dirección de los debates, cuidando de impedir discusiones impertinentes (art. 683 LECrim), y en el desarrollo de la práctica de la prueba testifical. Tuvieron una justificación razonable desde la perspectiva de la relevancia, oportunidad, pertinencia e idoneidad de las preguntas realizadas y las respuestas brindadas, y “en modo alguno alteraron la igualdad de las partes con la causación de un menoscabo o desequilibrio sensible en las facultades de alegación, acreditación, réplica y contradicción”, por lo que difícilmente puede sustentarse una tacha de parcialidad objetiva.</w:t>
      </w:r>
    </w:p>
    <w:p w:rsidR="005728DD" w:rsidRDefault="005728DD" w:rsidP="005728DD">
      <w:pPr>
        <w:pStyle w:val="TextoNormal"/>
      </w:pPr>
    </w:p>
    <w:p w:rsidR="005728DD" w:rsidRDefault="005728DD" w:rsidP="005728DD">
      <w:pPr>
        <w:pStyle w:val="TextoNormal"/>
      </w:pPr>
      <w:r>
        <w:lastRenderedPageBreak/>
        <w:t xml:space="preserve">(v) Finalmente, el fiscal trata de la tacha de parcialidad objetiva por la inadmisión y práctica de pruebas. Una vez que aclara que este motivo de la demanda de amparo se vincula con el derecho a la prueba y, más concretamente, con el derecho a utilizar los medios de prueba pertinentes para la defensa (art. 24.2 CE), sintetiza la doctrina contenida en las SSTC 165/2001, de, 16 de julio, FJ 2; 359/2006 de 18 de diciembre, FJ 2, y, más recientemente, en las SSTC 212/2013, de 16 de diciembre, FJ 4, y 130/2017, de 13 de noviembre, FJ 2 que es acorde con la jurisprudencia europea (STEDH de 3 de octubre de 2019, asunto </w:t>
      </w:r>
      <w:r w:rsidRPr="005728DD">
        <w:rPr>
          <w:i/>
        </w:rPr>
        <w:t>Fleischner c. Alemania</w:t>
      </w:r>
      <w:r>
        <w:t>). Después de recordar que este Tribunal Constitucional tan sólo es competente para controlar las decisiones judiciales en esta materia cuando se hubieran inadmitido pruebas relevantes sin motivación alguna, o mediante una interpretación y aplicación de la legalidad arbitraria o irrazonable, aduce que, en el presente caso, el recurrente “no ha desplegado esfuerzo argumentativo alguno para demostrar que la actividad probatoria que no fue admitida era decisiva en términos de defensa, esto es, que hubiera podido tener una influencia decisiva en el pleito”. No pudiendo afirmarse la existencia de lesión al derecho a la prueba (art. 24.2 CE), resulta inverosímil la tacha de parcialidad “que pareciera conectarse con una desigualdad de trato, vulneradora del principio de igualdad de armas” que tampoco se habría justificado.</w:t>
      </w:r>
    </w:p>
    <w:p w:rsidR="005728DD" w:rsidRDefault="005728DD" w:rsidP="005728DD">
      <w:pPr>
        <w:pStyle w:val="TextoNormal"/>
      </w:pPr>
    </w:p>
    <w:p w:rsidR="005728DD" w:rsidRDefault="005728DD" w:rsidP="005728DD">
      <w:pPr>
        <w:pStyle w:val="TextoNormal"/>
      </w:pPr>
      <w:r>
        <w:t>11.3. Derecho de reunión.</w:t>
      </w:r>
    </w:p>
    <w:p w:rsidR="005728DD" w:rsidRDefault="005728DD" w:rsidP="005728DD">
      <w:pPr>
        <w:pStyle w:val="TextoNormal"/>
      </w:pPr>
    </w:p>
    <w:p w:rsidR="005728DD" w:rsidRDefault="005728DD" w:rsidP="005728DD">
      <w:pPr>
        <w:pStyle w:val="TextoNormal"/>
      </w:pPr>
      <w:r>
        <w:t xml:space="preserve">Según el Ministerio Fiscal, “la Sala Segunda del Tribunal Supremo ha satisfecho sobradamente las exigencias derivadas de la doctrina constitucional para los casos en los que en sede penal se plantea, se alega o está implicada como justificación de juridicidad de un determinado comportamiento el ejercicio de un derecho fundamental”. Extracta en primer término la doctrina constitucional (por todas, SSTC 89/2010, de 15 de noviembre, FJ 3; 177/2015, de 22 de julio, FJ 2, y 35/2020, de 25 de febrero, FJ 4), sobre las exigencias de ponderación judicial en estos supuestos acerca de si la conducta que se enjuicia constituye un ejercicio lícito del derecho implicado y, si una vez determinada la extralimitación en tal ejercicio, procede la aplicación de una respuesta penal. A continuación, tras desarrollar la doctrina constitucional y del Tribunal Europeo de Derechos Humanos sobre el derecho fundamental de reunión, sus límites (SSTC 14/2003, de 28 de enero, FJ 9, y 195/2003, de 27 de octubre, FJ 4 y SSTEDH de 11 de abril 2011, asunto </w:t>
      </w:r>
      <w:r w:rsidRPr="005728DD">
        <w:rPr>
          <w:i/>
        </w:rPr>
        <w:t>Alekxeiev c. Rusia</w:t>
      </w:r>
      <w:r>
        <w:t xml:space="preserve">, § 80; de 24 julio de 2012, asunto </w:t>
      </w:r>
      <w:r w:rsidRPr="005728DD">
        <w:rPr>
          <w:i/>
        </w:rPr>
        <w:t>Faber c. Hungría</w:t>
      </w:r>
      <w:r>
        <w:t xml:space="preserve">, § 37; y de 15 de noviembre de 2018, asunto </w:t>
      </w:r>
      <w:r w:rsidRPr="005728DD">
        <w:rPr>
          <w:i/>
        </w:rPr>
        <w:t>Navalnyy c. Rusia</w:t>
      </w:r>
      <w:r>
        <w:t>, § 98) y su incidencia en la aplicación de la ley penal [SSTC 278/2005, de 7 de noviembre, FJ 2; 177/2015, de 22 de julio, FJ 2 e); 24/2019, de 25 de febrero, FJ 3 a), y STC 104/1986, de 13 de agosto, FFJJ 6 y 7], afirma que la anterior doctrina no solo ha sido respetada sino que ha presidido tanto la sentencia condenatoria como el auto que resolvió el incidente de nulidad de actuaciones, resoluciones contra las que se dirige el presente recurso. En ambas resoluciones, “expresamente: (i) se examina, a partir de las circunstancias concurrentes en el caso, la conexión de los comportamientos enjuiciados con el contenido del derecho fundamental de reunión; (ii) se descarta que puedan encajar en un ejercicio legítimo del mismo; (iii) se determina y precisa la existencia y razón de la gravedad cuantitativa y cualitativa de la extralimitación que sobrepasa lo amparado por él; y (iv), una vez apreciada la intensidad de la ilegitimidad de la conducta y los principios, valores, bienes constitucionales violentados, se justifica la procedencia de la respuesta penal”.</w:t>
      </w:r>
    </w:p>
    <w:p w:rsidR="005728DD" w:rsidRDefault="005728DD" w:rsidP="005728DD">
      <w:pPr>
        <w:pStyle w:val="TextoNormal"/>
      </w:pPr>
    </w:p>
    <w:p w:rsidR="005728DD" w:rsidRDefault="005728DD" w:rsidP="005728DD">
      <w:pPr>
        <w:pStyle w:val="TextoNormal"/>
      </w:pPr>
      <w:r>
        <w:t>A fin de constatar lo anterior, el ministerio público hace un exhaustivo repaso por las resoluciones judiciales recurridas:</w:t>
      </w:r>
    </w:p>
    <w:p w:rsidR="005728DD" w:rsidRDefault="005728DD" w:rsidP="005728DD">
      <w:pPr>
        <w:pStyle w:val="TextoNormal"/>
      </w:pPr>
    </w:p>
    <w:p w:rsidR="005728DD" w:rsidRDefault="005728DD" w:rsidP="005728DD">
      <w:pPr>
        <w:pStyle w:val="TextoNormal"/>
      </w:pPr>
      <w:r>
        <w:t>a) Comenzando por la sentencia núm. 459/2019, de 14 de octubre, destaca el fiscal que aborda específicamente, como causas de exclusión de la antijuridicidad, no única y exclusivamente el ejercicio legítimo del derecho de reunión (fundamento de Derecho A, apartado 17.5.2, págs. 244 a 246) sino otras relacionadas con dicho ejercicio, como la desobediencia civil (fundamento de Derecho A, apartado 17.4, págs. 234 a 242) —que el demandante considera ínsito en el anterior si su ejercicio es pacífico y proporcional—, así como el ejercicio legítimo de las libertades de expresión (fundamento de Derecho A, apartado 17.5.1, págs. 242 a 244), e ideológica (fundamento de Derecho A, apartado 17.5.3, pág. 247). Efectúa también una ponderación sobre la extralimitación y las razones de pertinencia de la sanción penal por aplicación del tipo penal (544 CP) cuando explicita el juicio de tipicidad (fundamento de Derecho B, apartado 4.6, págs. 284 y 285) y el juicio de autoría sobre el demandante (fundamento de Derecho C, apartado 1.9, págs. 385 a 399), abundando en consideraciones añadidas que descartan el encuadre de las conductas en el efecto justificativo de las causas de exclusión de la antijuridicidad. Además trata, en el apartado 2 del fundamento de Derecho A (págs. 63 a 68), de la cuestión suscitada por el recurrente en torno al supuesto sacrificio de derechos fundamentales en aras de “una pretendida defensa de la indisoluble nación española”, materia estrechamente relacionada con la queja relativa a la cláusula del art. 18 CEDH.</w:t>
      </w:r>
    </w:p>
    <w:p w:rsidR="005728DD" w:rsidRDefault="005728DD" w:rsidP="005728DD">
      <w:pPr>
        <w:pStyle w:val="TextoNormal"/>
      </w:pPr>
    </w:p>
    <w:p w:rsidR="005728DD" w:rsidRDefault="005728DD" w:rsidP="005728DD">
      <w:pPr>
        <w:pStyle w:val="TextoNormal"/>
      </w:pPr>
      <w:r>
        <w:t>El escrito del fiscal reproduce acto seguido algunos de los párrafos del apartado 17.4.2, sobre el respeto a la disidencia y sus límites; del apartado 17.4.3.1, acerca de las conductas llevadas a cabo por aquellos procesados con responsabilidades políticas; y del apartado 17.4.3.2, en relación con la conducta concreta del recurrente. Termina trascribiendo el motivo central dado por la sentencia para descartar la aplicación de la causa de justificación al demandante y al Sr. Sànchez i Picanyol: “el ámbito legítimo de protesta y de lucha por las propias ideas políticas y sociales quedó desbordado cuando los Sres. Sànchez y Cuixart lideraron el impedimento material de ejecución de decisiones judiciales, cuando abanderaron la derogación de facto —impuesta— de los principios constitucionales, en un determinado territorio y en unas determinadas fechas. Y ese desbordamiento les convierte directamente en responsables de las consecuencias penales que el ordenamiento jurídico asocia a esas conductas de aniquilación del pacto constitucional”.</w:t>
      </w:r>
    </w:p>
    <w:p w:rsidR="005728DD" w:rsidRDefault="005728DD" w:rsidP="005728DD">
      <w:pPr>
        <w:pStyle w:val="TextoNormal"/>
      </w:pPr>
    </w:p>
    <w:p w:rsidR="005728DD" w:rsidRDefault="005728DD" w:rsidP="005728DD">
      <w:pPr>
        <w:pStyle w:val="TextoNormal"/>
      </w:pPr>
      <w:r>
        <w:t xml:space="preserve">Seguidamente, el ministerio público trascribe el contenido de los apartados de la sentencia dedicados a las libertades de expresión (17.5.1, págs. 242 a 244), reunión (17.5.2, págs. 244 a 247) e ideológica (17.5.3, pág. 247), y los pone en relación con el relato de hechos probados. En el mismo se declara existente una “estrategia concertada por los principales acusados”, cuyo objetivo era “crear una aparente cobertura jurídica que permitiera hacer creer a la ciudadanía que cuando depositara su voto estaría contribuyendo al acto fundacional de la República independiente de Cataluña” (pág. 26) y se subraya la importancia de la movilización ciudadana para “neutralizar cualquier manifestación de poder emanada de las autoridades judiciales y gubernativas del Estado”, señalando que para este fin “se sumaron al concierto los acusados don Jordi Sànchez Picanyol y don Jordi Cuixart Navarro”, líderes sociales y presidentes, respectivamente, de Asamblea Nacional Catalana y Òmnium Cultural, “organizaciones ciudadanas que fueron puestas por sus dos principales dirigentes al servicio de la maniobra de presión política que había sido ideada de forma concertada con el resto de los acusados” (pág. 27). Posteriormente, refiere que, en el apartado 9 (págs. 41 a 49), la contribución específica del aquí demandante —en acción conjunta con don Jordi </w:t>
      </w:r>
      <w:r>
        <w:lastRenderedPageBreak/>
        <w:t>Sànchez i Picanyol— a los fines sediciosos mediante su intervención tanto en los acontecimientos de los días 20 y 21 de septiembre de 2017 como en la celebración del conocido como “referéndum 1-O”.</w:t>
      </w:r>
    </w:p>
    <w:p w:rsidR="005728DD" w:rsidRDefault="005728DD" w:rsidP="005728DD">
      <w:pPr>
        <w:pStyle w:val="TextoNormal"/>
      </w:pPr>
    </w:p>
    <w:p w:rsidR="005728DD" w:rsidRDefault="005728DD" w:rsidP="005728DD">
      <w:pPr>
        <w:pStyle w:val="TextoNormal"/>
      </w:pPr>
      <w:r>
        <w:t>Después reproduce el fiscal el apartado 4.6 del fundamento de Derecho B de la misma sentencia, sobre el juicio de tipicidad (págs. 284 y 285), así como el apartado 1.8.3 del fundamento de Derecho C, sobre el juicio de autoría, en relación a la actuación conjunta del recurrente y de don Jordi Sànchez (págs. 377 a 380), destacando como la resolución judicial distingue claramente “lo que entiende cubierto por el derecho de reunión en ejercicio colectivo de la libertad de expresión y lo que es actuación fuera de la cobertura del contenido (extralimitación) del mismo”. Destaca también algunos pasajes dedicados al juicio de autoría sobre el recurrente (fundamento de Derecho C, apartado 1.9, págs. 385 a 399) que reflejan el “desborde de lo que supondría ejercicio legítimo del derecho de reunión”, trascribiendo algunos de los párrafos iniciales y finales y remitiéndose al resto del texto de tal epígrafe de la sentencia. Por último, recalca que si bien “no estuvo ausente la idea de que las acciones no fueron tampoco exclusivamente pacíficas” —el apartado 1.9.6 cita “otros incidentes protagonizados por ciudadanos que insultaron o vejaron a […] agentes con escupitajos, expresiones despectivas, gritos infamantes, e incluso palabras amenazantes, sin que faltaran abiertas agresiones”— añadiendo que “el órgano judicial no entró en las mismas porque no era objeto de su enjuiciamiento juzgar el comportamiento de otros participantes en las movilizaciones”.</w:t>
      </w:r>
    </w:p>
    <w:p w:rsidR="005728DD" w:rsidRDefault="005728DD" w:rsidP="005728DD">
      <w:pPr>
        <w:pStyle w:val="TextoNormal"/>
      </w:pPr>
    </w:p>
    <w:p w:rsidR="005728DD" w:rsidRDefault="005728DD" w:rsidP="005728DD">
      <w:pPr>
        <w:pStyle w:val="TextoNormal"/>
      </w:pPr>
      <w:r>
        <w:t>b) El auto de 29 de enero de 2020 dedica su apartado 2.5 a analizar si el comportamiento del recurrente Sr. Cuixart implicaba el libre ejercicio del derecho fundamental de reunión —y de ahí también la imprevisibilidad de su condena— con pronunciamientos que, a juicio del fiscal, igualmente satisfacen las exigencias del art. 21 CE de acuerdo con la doctrina constitucional y la jurisprudencia europea sobre el art. 11 CEDH. A continuación reproduce este apartado 2.5 prácticamente en su integridad así como el apartado 2.6 del mismo auto que contiene el “juicio de ponderación para establecer el canon de proporcionalidad entre los hechos y las restricciones que la sentencia penal supone para los derechos de reunión y expresión”.</w:t>
      </w:r>
    </w:p>
    <w:p w:rsidR="005728DD" w:rsidRDefault="005728DD" w:rsidP="005728DD">
      <w:pPr>
        <w:pStyle w:val="TextoNormal"/>
      </w:pPr>
    </w:p>
    <w:p w:rsidR="005728DD" w:rsidRDefault="005728DD" w:rsidP="005728DD">
      <w:pPr>
        <w:pStyle w:val="TextoNormal"/>
      </w:pPr>
      <w:r>
        <w:t>Concluye el examen de este motivo de amparo señalando el fiscal que, a la vista de todo lo anterior, “lo que subyace en la queja es una simple discrepancia o desacuerdo del recurrente con el tribunal en la valoración de los hechos y sobre el alcance del ejercicio del derecho de reunión, pero no hay vulneración alguna ni de su contenido, ni de su alcance, ni de su ejercicio legítimo”.</w:t>
      </w:r>
    </w:p>
    <w:p w:rsidR="005728DD" w:rsidRDefault="005728DD" w:rsidP="005728DD">
      <w:pPr>
        <w:pStyle w:val="TextoNormal"/>
      </w:pPr>
    </w:p>
    <w:p w:rsidR="005728DD" w:rsidRDefault="005728DD" w:rsidP="005728DD">
      <w:pPr>
        <w:pStyle w:val="TextoNormal"/>
      </w:pPr>
      <w:r>
        <w:t>11.4. Derecho la legalidad penal: exigencias para el aplicador normativo y para el legislador.</w:t>
      </w:r>
    </w:p>
    <w:p w:rsidR="005728DD" w:rsidRDefault="005728DD" w:rsidP="005728DD">
      <w:pPr>
        <w:pStyle w:val="TextoNormal"/>
      </w:pPr>
    </w:p>
    <w:p w:rsidR="005728DD" w:rsidRDefault="005728DD" w:rsidP="005728DD">
      <w:pPr>
        <w:pStyle w:val="TextoNormal"/>
      </w:pPr>
      <w:r>
        <w:t>El escrito del fiscal ante el Tribunal Constitucional ordena el examen de estas quejas relativas al derecho a la legalidad penal (art. 25.1 CE) en función del sujeto al que se atribuye la vulneración, abordando primero las dirigidas contra la subsunción judicial y el juicio de autoría, y después la vertida contra la previsión legal de una pena desproporcionada.</w:t>
      </w:r>
    </w:p>
    <w:p w:rsidR="005728DD" w:rsidRDefault="005728DD" w:rsidP="005728DD">
      <w:pPr>
        <w:pStyle w:val="TextoNormal"/>
      </w:pPr>
    </w:p>
    <w:p w:rsidR="005728DD" w:rsidRDefault="005728DD" w:rsidP="005728DD">
      <w:pPr>
        <w:pStyle w:val="TextoNormal"/>
      </w:pPr>
      <w:r>
        <w:t>a) Subsunción judicial.</w:t>
      </w:r>
    </w:p>
    <w:p w:rsidR="005728DD" w:rsidRDefault="005728DD" w:rsidP="005728DD">
      <w:pPr>
        <w:pStyle w:val="TextoNormal"/>
      </w:pPr>
    </w:p>
    <w:p w:rsidR="005728DD" w:rsidRDefault="005728DD" w:rsidP="005728DD">
      <w:pPr>
        <w:pStyle w:val="TextoNormal"/>
      </w:pPr>
      <w:r>
        <w:lastRenderedPageBreak/>
        <w:t xml:space="preserve">Señala el Ministerio Fiscal que aunque el demandante menciona el carácter sumamente abierto e impreciso de los términos de descripción típica del art. 544 CP, ciñe la tacha de vulneración del art. 25. 1 CE al juicio de subsunción realizado por el Tribunal Supremo. Según la doctrina constitucional, el derecho a la legalidad penal “se quiebra cuando la conducta enjuiciada, la ya delimitada como probada, es subsumida de un modo irrazonable en el tipo que resulta aplicado (por todas, SSTC 57/2010, de 4 de octubre, FJ 3; 153/2011, de 17 de octubre, FJ 8, 196/2013, de 2 de diciembre, FJ 5; 146/2015, de 25 de junio, FJ 2, y 150/2015, de 6 de julio, FJ 2). En el examen de la razonabilidad de la subsunción de los hechos probados en la norma penal “el primero de los criterios a utilizar es la compatibilidad de dicha subsunción con el tenor literal de la norma y con la consiguiente prohibición de la analogía </w:t>
      </w:r>
      <w:r w:rsidRPr="005728DD">
        <w:rPr>
          <w:i/>
        </w:rPr>
        <w:t>in malam partem</w:t>
      </w:r>
      <w:r>
        <w:t>”, criterio inicial al que “se añade un doble parámetro de razonabilidad: metodológico, dirigido a comprobar que la exégesis de la norma y subsunción en ella de las conductas contempladas no incurre en quiebras lógicas y resultan acordes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de 6 de noviembre, FJ 5, y 2/2015, de 19 de enero, FJ 8).</w:t>
      </w:r>
    </w:p>
    <w:p w:rsidR="005728DD" w:rsidRDefault="005728DD" w:rsidP="005728DD">
      <w:pPr>
        <w:pStyle w:val="TextoNormal"/>
      </w:pPr>
    </w:p>
    <w:p w:rsidR="005728DD" w:rsidRDefault="005728DD" w:rsidP="005728DD">
      <w:pPr>
        <w:pStyle w:val="TextoNormal"/>
      </w:pPr>
      <w:r>
        <w:t xml:space="preserve">Antes de acometer la tarea de proyectar la doctrina constitucional sobre el supuesto enjuiciado, destaca el fiscal que el carácter nuclear de esta queja y el hecho de que el reproche se dirija contra resoluciones del Tribunal Supremo, órgano judicial que encarna la más alta jurisdicción en el orden penal </w:t>
      </w:r>
      <w:r w:rsidRPr="005728DD">
        <w:rPr>
          <w:i/>
        </w:rPr>
        <w:t>ex</w:t>
      </w:r>
      <w:r>
        <w:t xml:space="preserve"> art. 123 CE y al que está conferida la función de interpretar la ley con el valor complementario que a la jurisprudencia atribuye el art. 1.6 del Código civil, demandan un detalle y rigor especial en el análisis de este motivo de amparo.</w:t>
      </w:r>
    </w:p>
    <w:p w:rsidR="005728DD" w:rsidRDefault="005728DD" w:rsidP="005728DD">
      <w:pPr>
        <w:pStyle w:val="TextoNormal"/>
      </w:pPr>
    </w:p>
    <w:p w:rsidR="005728DD" w:rsidRDefault="005728DD" w:rsidP="005728DD">
      <w:pPr>
        <w:pStyle w:val="TextoNormal"/>
      </w:pPr>
      <w:r>
        <w:t>A continuación, tras recordar el contenido de los tres criterios —gramatical, metodológico y axiológico— sobre los que se proyecta el examen de la argumentación empleada por la sentencia recurrida al efectuar el juicio de subsunción, trascribe de la misma la parte de la fundamentación jurídica comprensiva de dicho juicio, que se contiene en el fundamento de Derecho B, dedicado al juicio de tipicidad, apartado 4 (páginas 275 a 285). Destaca también los pasajes que se dedican a desarrollar el juicio de autoría respecto del recurrente (fundamento de Derecho C, apartado 1.9, págs. 384 a 399) y reproduce la respuesta dada a esta misma queja por el auto de 29 de enero de 2020 que desestimó el incidente de nulidad de actuaciones.</w:t>
      </w:r>
    </w:p>
    <w:p w:rsidR="005728DD" w:rsidRDefault="005728DD" w:rsidP="005728DD">
      <w:pPr>
        <w:pStyle w:val="TextoNormal"/>
      </w:pPr>
    </w:p>
    <w:p w:rsidR="005728DD" w:rsidRDefault="005728DD" w:rsidP="005728DD">
      <w:pPr>
        <w:pStyle w:val="TextoNormal"/>
      </w:pPr>
      <w:r>
        <w:t>A su juicio, la subsunción realizada por el Tribunal Supremo ostenta fundamento razonable y no resulta imprevisible ni contraria a la orientación material de la norma.</w:t>
      </w:r>
    </w:p>
    <w:p w:rsidR="005728DD" w:rsidRDefault="005728DD" w:rsidP="005728DD">
      <w:pPr>
        <w:pStyle w:val="TextoNormal"/>
      </w:pPr>
    </w:p>
    <w:p w:rsidR="005728DD" w:rsidRDefault="005728DD" w:rsidP="005728DD">
      <w:pPr>
        <w:pStyle w:val="TextoNormal"/>
      </w:pPr>
      <w:r>
        <w:t xml:space="preserve">(i) A partir de los hechos probados, la sentencia excluye la calificación como delito de rebelión, y, tras reproducir el tenor literal de los arts. 544 y 545 CP, pasa a analizar la estructura típica del delito de sedición y sus elementos diferenciales; primero, frente al delito de rebelión, poniendo el acento en los fines sediciosos como limitados al afán de impedimento u obstrucción de la legítima voluntad legislativa, gubernativa o jurisdiccional —la aplicación de leyes, el ejercicio de funciones por autoridad, corporación oficial o funcionario público, o el cumplimiento de sus acuerdos, resoluciones administrativas o judiciales—; y, segundo, “respecto de otras figuras típicas de menor relevancia lesiva, como los delitos alojados en el capítulo II del mismo título vigésimo segundo, desentrañando las diferencias </w:t>
      </w:r>
      <w:r>
        <w:lastRenderedPageBreak/>
        <w:t xml:space="preserve">entre el genérico concepto de orden público y el de paz pública, que permitiría construir un bien jurídico identificable con el interés de la sociedad en la aceptación del marco constitucional, de las leyes y de las decisiones de las autoridades legítimas, como presupuesto para el ejercicio y disfrute de los derechos fundamentales; y resaltando el criterio específico representado por la estructura típica del comportamiento penado, que implica un </w:t>
      </w:r>
      <w:r w:rsidRPr="005728DD">
        <w:rPr>
          <w:i/>
        </w:rPr>
        <w:t>aliud</w:t>
      </w:r>
      <w:r>
        <w:t xml:space="preserve"> y no meramente un </w:t>
      </w:r>
      <w:r w:rsidRPr="005728DD">
        <w:rPr>
          <w:i/>
        </w:rPr>
        <w:t>plus</w:t>
      </w:r>
      <w:r>
        <w:t xml:space="preserve"> o un </w:t>
      </w:r>
      <w:r w:rsidRPr="005728DD">
        <w:rPr>
          <w:i/>
        </w:rPr>
        <w:t>minus</w:t>
      </w:r>
      <w:r>
        <w:t xml:space="preserve"> respecto de los atentados, los meros desórdenes o la desobediencia clásica, subraya la necesidad de que el tumulto ponga en cuestión el funcionamiento del Estado democrático de derecho”.</w:t>
      </w:r>
    </w:p>
    <w:p w:rsidR="005728DD" w:rsidRDefault="005728DD" w:rsidP="005728DD">
      <w:pPr>
        <w:pStyle w:val="TextoNormal"/>
      </w:pPr>
    </w:p>
    <w:p w:rsidR="005728DD" w:rsidRDefault="005728DD" w:rsidP="005728DD">
      <w:pPr>
        <w:pStyle w:val="TextoNormal"/>
      </w:pPr>
      <w:r>
        <w:t>El Tribunal Supremo parte de que la sedición se caracteriza por ser cometida por la sucesión o acumulación de varios actos y exige un concierto de voluntades para el logro del fin compartido. Precisa que la mera reunión de una colectividad de sujetos no sería, sin más, delictiva, de manera que el delito surge cuando, además de ser tumultuaria y pública, acude, como medios comisivos, a actos de “fuerza” o de actuación “fuera de las vías legales”, para dirigirse con potencial funcionalidad a lograr que las leyes no se cumplan o que se obstruya la efectividad de las órdenes o resoluciones jurisdiccionales o administrativas. Se exige como medio comisivo el alzamiento público y tumultuario, pero se subraya que este no se caracteriza como “violento”. Tomado el precedente de la sentencia del Tribunal Supremo de 10 de octubre de 1980, que calificó el delito entonces vigente como “de actividad” o de “resultado cortado”, entiende que se consuma con el mero alzamiento, sin necesidad de logro de los fines propuestos, y equipara la “fuerza” al empleo de dos medios comisivos de forma alternativa: modos violentos y modos “fuera de las vías legales”, expresión esta última identificada con el empleo de un modo ejecutivo ilícito, ilegítimo o ilegal y no a través de los recursos o procedimientos de reclamación, protesta, disenso o de disconformidad que la ley permita, arbitre o prescriba. Se abona a la posición doctrinal que identifica la expresión "tumultuario" con la significación de “abierta hostilidad, y adiciona un contenido de hostilidad y violencia que no tiene por qué ser física ni entrañar el uso de la fuerza, como expresa la alternativa modal entre esta o ‘fuera de las vías legales’, pero que ha de vivificarse necesariamente en actitudes intimidatorias, amedrentatorias, injuriosas, etc.”. En cuanto a su consumación, la sentencia recurrida señala que “el impedimento no ha de ser logrado efectivamente por los autores (lo que pertenecería a la fase de agotamiento) ni la finalidad ha de ser pretendida por todos los autores de manera absoluta, bastando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y ello porque “esa pretensión disuasoria implica en sí misma una voluntad de impedir definitivamente, siquiera aplazada en el tiempo”.</w:t>
      </w:r>
    </w:p>
    <w:p w:rsidR="005728DD" w:rsidRDefault="005728DD" w:rsidP="005728DD">
      <w:pPr>
        <w:pStyle w:val="TextoNormal"/>
      </w:pPr>
    </w:p>
    <w:p w:rsidR="005728DD" w:rsidRDefault="005728DD" w:rsidP="005728DD">
      <w:pPr>
        <w:pStyle w:val="TextoNormal"/>
      </w:pPr>
      <w:r>
        <w:t xml:space="preserve">(ii) Tras delimitar los contornos típicos del delito de sedición, la sentencia aborda el análisis de los hechos acontecidos los días 20 de septiembre y 1 de octubre de 2017, y explica detalladamente las razones que llevan a afirmar que tales hechos satisfacen plenamente los elementos objetivos y subjetivos previamente identificados, con la necesaria ofensa y lesión del bien jurídico protegido, “una vez que en ambos casos se aprecian actuaciones grupales compactadas y aglomeradas de innumerables ciudadanos, así como el empleo de la fuerza suficiente o vías no legales incardinables en los comportamientos típicos de alzamiento público y tumultuario ejecutados con la finalidad de impedir o neutralizar con abierta hostilidad el normal cumplimiento y ejecución de órdenes emitidas por autoridades judiciales y del Tribunal Constitucional”. Las consideraciones plasmadas en los apartados 4.5 y 4.6 del </w:t>
      </w:r>
      <w:r>
        <w:lastRenderedPageBreak/>
        <w:t>apartado dedicado al juicio de tipicidad especifican con detalle las circunstancias que descartan que lo sucedido se tratase de una mera manifestación ciudadana de 40000 personas, en el caso de los hechos del día 20 de septiembre, o de una movilización ciudadana con el exclusivo propósito de votar, respecto de lo sucedido el 1 de octubre. En ambos supuestos se trataba de demostrar a toda la sociedad, por parte del aquí recurrente, entre otros, que “los jueces y magistrados, el Tribunal Constitucional y las autoridades de los poderes públicos del Estado habían perdido la capacidad de ejecutar sus resoluciones en Cataluña, provocando que los agentes policiales encargados de dicha ejecución llegasen a claudicar y desistir de hacer cumplir las correspondientes órdenes judiciales ante la constatada actitud de hostilidad, rebeldía y oposición a su ejecución por parte de conglomerados de personas en clara superioridad numérica”. El fiscal cita, como ejemplos ilustrativos de lo anterior, algunas afirmaciones contenidas en la sentencia como: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“levantamiento multitudinario, generalizado y proyectado de forma estratégica"; y “la autoridad del poder judicial quedó en suspenso sustituida por la propia voluntad —el referéndum se ha de celebrar— de los convocantes y de quienes secundaban la convocatoria, voluntad impuesta por la fuerza”.</w:t>
      </w:r>
    </w:p>
    <w:p w:rsidR="005728DD" w:rsidRDefault="005728DD" w:rsidP="005728DD">
      <w:pPr>
        <w:pStyle w:val="TextoNormal"/>
      </w:pPr>
    </w:p>
    <w:p w:rsidR="005728DD" w:rsidRDefault="005728DD" w:rsidP="005728DD">
      <w:pPr>
        <w:pStyle w:val="TextoNormal"/>
      </w:pPr>
      <w:r>
        <w:t>(iii) El pretendido efecto exoneratorio derivado de la derogación del delito de convocatoria de referéndum ilegal es analizado dentro del fundamento de Derecho A, punto 17.2 (págs. 223 a 225) de la fundamentación jurídica de la sentencia, justificando por qué lo acontecido y enjuiciado en este caso va más allá de lo que entrañaba la base objetiva y subjetiva del tipo derogado.</w:t>
      </w:r>
    </w:p>
    <w:p w:rsidR="005728DD" w:rsidRDefault="005728DD" w:rsidP="005728DD">
      <w:pPr>
        <w:pStyle w:val="TextoNormal"/>
      </w:pPr>
    </w:p>
    <w:p w:rsidR="005728DD" w:rsidRDefault="005728DD" w:rsidP="005728DD">
      <w:pPr>
        <w:pStyle w:val="TextoNormal"/>
      </w:pPr>
      <w:r>
        <w:t xml:space="preserve">A la vista de todo ello —concluye el fiscal ante el Tribunal Constitucional—, la subsunción efectuada satisface la triple exigencia de respeto por parte del intérprete o aplicador de la norma sancionadora a la semántica de los términos empleados en la proposición normativa, a las reglas compartidas de interpretación aceptadas por la comunidad jurídica (operadores jurídicos y estudiosos del Derecho) y a la axiología constitucional (los valores y principios constitucionales). Insiste en que la sentencia impugnada ha llevado a cabo “una interpretación posible que entra en los términos de la ley, sin haber caído en apreciaciones que impliquen una ruptura de su sujeción a la ley, contraria al imperio de la ley, y que, por ello, resultan prohibidas”. Ni hay ampliación, pues no se ha ido más allá del significado literal posible de los términos legales ni se ha incurrido en un exceso respecto de la más amplia de sus acepciones posibles (interpretación extensiva), ni concurre extensión alguna de la norma a supuestos que la ley no contempla (analogía </w:t>
      </w:r>
      <w:r w:rsidRPr="005728DD">
        <w:rPr>
          <w:i/>
        </w:rPr>
        <w:t>in malam partem</w:t>
      </w:r>
      <w:r>
        <w:t xml:space="preserve">). En segundo lugar, los argumentos y razonamientos empleados resultan razonables, coherentes y no extravagantes, ajustándose a criterios interpretativos lógicos, sistemáticos y teleológicos. Finalmente, en el plano axiológico, la actuación del Tribunal Supremo resulta intachable al haber considerado las alegaciones de la parte recurrente sobre el derecho de reunión y las libertades personal, de expresión e ideológica —amén de en el concreto juicio de autoría sobre el demandante (fundamento de Derecho C, subapartado 1.9, págs. 384 a 399)— en el capítulo dedicado a la vulneración de derechos fundamentales (fundamento de Derecho A, subapartado 17.2); y, “tras ponderar las invocaciones efectuadas, ha razonado y decidido su descarte con el valor de neutralizar la antijuridicidad del comportamiento del recurrente, justificando más que suficientemente el desborde y trasgresión del ejercicio legítimo de tales </w:t>
      </w:r>
      <w:r>
        <w:lastRenderedPageBreak/>
        <w:t>derechos” en atención a las circunstancias concurrentes, “con lo que la inexistencia del efecto desaliento ha quedado constatada”.</w:t>
      </w:r>
    </w:p>
    <w:p w:rsidR="005728DD" w:rsidRDefault="005728DD" w:rsidP="005728DD">
      <w:pPr>
        <w:pStyle w:val="TextoNormal"/>
      </w:pPr>
    </w:p>
    <w:p w:rsidR="005728DD" w:rsidRDefault="005728DD" w:rsidP="005728DD">
      <w:pPr>
        <w:pStyle w:val="TextoNormal"/>
      </w:pPr>
      <w:r>
        <w:t>Añade el fiscal que la previsibilidad de la respuesta penal, en el caso concreto del demandante, viene reforzada por la circunstancia de que ejecutó buena parte de los hechos por los que se le condena, en relación a la movilización respecto de la jornada del 1 de octubre, conociendo ya la existencia de una denuncia del Ministerio Fiscal contra él ante la Audiencia Nacional precisamente por delito de sedición. Sobre este particular destaca lo dicho en el auto de 29 de enero de 2020: “Adquieren ahora pleno sentido las declaraciones del Sr. Cuixart el día 27 de septiembre, recogidas en la sentencia cuya nulidad se postula: ‘si de lo que se nos acusa es de sedición, señor fiscal, señores de la Audiencia Nacional, si es por llamar a la movilización permanente, tienen ustedes razón, lo volveremos a hacer’”.</w:t>
      </w:r>
    </w:p>
    <w:p w:rsidR="005728DD" w:rsidRDefault="005728DD" w:rsidP="005728DD">
      <w:pPr>
        <w:pStyle w:val="TextoNormal"/>
      </w:pPr>
    </w:p>
    <w:p w:rsidR="005728DD" w:rsidRDefault="005728DD" w:rsidP="005728DD">
      <w:pPr>
        <w:pStyle w:val="TextoNormal"/>
      </w:pPr>
      <w:r>
        <w:t>b) Juicio de autoría.</w:t>
      </w:r>
    </w:p>
    <w:p w:rsidR="005728DD" w:rsidRDefault="005728DD" w:rsidP="005728DD">
      <w:pPr>
        <w:pStyle w:val="TextoNormal"/>
      </w:pPr>
    </w:p>
    <w:p w:rsidR="005728DD" w:rsidRDefault="005728DD" w:rsidP="005728DD">
      <w:pPr>
        <w:pStyle w:val="TextoNormal"/>
      </w:pPr>
      <w:r>
        <w:t>El Ministerio Fiscal, tras recordar la argumentación que da soporte a la queja y el contenido y vigencia, por imperativo del art. 25.l CE, del principio de la responsabilidad personal por hechos propios y no ajenos [SSTC 131/1987, de 20 de julio, FJ 6; 219/1988, de 22 de noviembre, FJ 3; 254/1988, de 21 de diciembre, FJ 5; 246/1991, de 19 de diciembre, FJ 2; 146/1994, de 12 de mayo, FJ 4 b); 93/1996, de 28 de mayo, FJ l; 137/1997, de 21 de julio, FJ 5; 125/2001, de 4 de junio, FJ 6, y 60/2010, de 7 de octubre, FJ 4], señala que el análisis del apartado 1.9 del fundamento de Derecho C de la sentencia impugnada, dedicado al juicio de autoría respecto del recurrente, “revela que no hay atisbo alguno de que se haya realizado una atribución de responsabilidad penal por hechos o actos cometidos por otras personas en relación al aquí demandante ni de que se haya efectuado una imputación colectiva de acciones delictivas a un grupo de personas que haya servido para condenar a cualquiera de ellas”. Por el contrario, su condena responde estrictamente a “hechos propios desarrollados por el recurrente, individualizando su contribución personal dentro de la acción concertada con responsables políticos en ejecución del plan preconcebido conforme al rol o papel que le había sido asignado en atención a su condición de líder social presidente de Òmnium Cultural”. En esta condición llevó a cabo las actuaciones descritas “dentro de una estrategia, común y conjunta con la de responsables políticos de la Generalitat y el Parlamento de Cataluña, de ruptura o aniquilación del pacto constitucional, mediante la movilización de masas de ciudadanía con el objetivo específico de impedir el cumplimiento de las leyes y de resoluciones y mandatos concretos emanados de autoridades jurisdiccionales para la práctica de diligencias en el curso de una causa penal y en seguimiento de decisiones del Tribunal Constitucional”.</w:t>
      </w:r>
    </w:p>
    <w:p w:rsidR="005728DD" w:rsidRDefault="005728DD" w:rsidP="005728DD">
      <w:pPr>
        <w:pStyle w:val="TextoNormal"/>
      </w:pPr>
    </w:p>
    <w:p w:rsidR="005728DD" w:rsidRDefault="005728DD" w:rsidP="005728DD">
      <w:pPr>
        <w:pStyle w:val="TextoNormal"/>
      </w:pPr>
      <w:r>
        <w:t>El escrito del fiscal reproduce diversos pasajes del apartado 1.9 del fundamento de Derecho C de la sentencia (págs. 384 a 399), relativo al juicio de autoría sobre el demandante, así como del apartado 2.5.2 del auto de 29 de enero de 2020, para concluir afirmando que, a la vista de ellos, “la condena del demandante se encuentra perfectamente especificada y particularizada conforme a actuaciones exclusivamente propias, de modo que es claramente perceptible que en absoluto su condena se produce por actos realizados por otras personas o mediante una especie de imputación colectiva de determinados actos penalmente reprochables a un grupo de personas para condenar a cualquiera de ellos”.</w:t>
      </w:r>
    </w:p>
    <w:p w:rsidR="005728DD" w:rsidRDefault="005728DD" w:rsidP="005728DD">
      <w:pPr>
        <w:pStyle w:val="TextoNormal"/>
      </w:pPr>
    </w:p>
    <w:p w:rsidR="005728DD" w:rsidRDefault="005728DD" w:rsidP="005728DD">
      <w:pPr>
        <w:pStyle w:val="TextoNormal"/>
      </w:pPr>
      <w:r>
        <w:t>c) Queja dirigida contra el legislador: desproporción de la pena legalmente prevista.</w:t>
      </w:r>
    </w:p>
    <w:p w:rsidR="005728DD" w:rsidRDefault="005728DD" w:rsidP="005728DD">
      <w:pPr>
        <w:pStyle w:val="TextoNormal"/>
      </w:pPr>
    </w:p>
    <w:p w:rsidR="005728DD" w:rsidRDefault="005728DD" w:rsidP="005728DD">
      <w:pPr>
        <w:pStyle w:val="TextoNormal"/>
      </w:pPr>
      <w:r>
        <w:t>Según el ministerio público, aunque esta alegación pareciera mixta en cuanto dirigida contra el legislador por la previsión de la pena abstracta y contra el aplicador normativo por la imposición efectiva de la pena concreta de nueve años, lo cierto es que la argumentación desplegada en la demanda se refiere exclusivamente al primer aspecto. A su juicio, sin embargo, las consideraciones que se esgrimen para estimar que el art. 545 CP —que contiene la previsión penal— es contrario al art. 25.l CE, en relación con el art. 9.3 CE, por desproporción de las penas, no pueden considerarse suficientes y no podrían ser acogidas.</w:t>
      </w:r>
    </w:p>
    <w:p w:rsidR="005728DD" w:rsidRDefault="005728DD" w:rsidP="005728DD">
      <w:pPr>
        <w:pStyle w:val="TextoNormal"/>
      </w:pPr>
    </w:p>
    <w:p w:rsidR="005728DD" w:rsidRDefault="005728DD" w:rsidP="005728DD">
      <w:pPr>
        <w:pStyle w:val="TextoNormal"/>
      </w:pPr>
      <w:r>
        <w:t xml:space="preserve">Comienza el fiscal por exponer la doctrina constitucional sobre el principio de proporcionalidad de las penas [por todas, SSTC 136/1999, de 20 de julio, FJ 22, y 60/2010, de 7 de octubre, FJ 7 b)] para destacar después “la altamente extraordinaria […] relevancia constitucional tanto del bien jurídico protegido por la norma cuestionada como de los fines inmediatos y mediatos de protección de la misma”. Subraya que la aplicación del marco constitucional, de las leyes y de las decisiones de las autoridades legítimas resulta ineludible para asegurar el funcionamiento del Estado democrático de Derecho y el ejercicio de los derechos fundamentales. La norma tutela dicho interés frente a actuaciones grupales que, además de ser tumultuarias y públicas, acuden como medios comisivos a actos de fuerza o “fuera de las vías legales”. Teniendo en cuenta las finalidades de prevención general y especial involucradas, el establecimiento de penas de prisión en abstracto, de ocho a diez años, para quienes —sin ser autoridades públicas— incitan, dirigen, sostienen o son los autores principales de tales actuaciones, “no puede estimarse como una medida inadecuada, ineficaz, no apta, inidónea o inútil para lograr aquellos fines, ni puede considerarse innecesaria en una sociedad democrática por existir medidas alternativas menos gravosas, o desproporcionada en sentido estricto si tras aplicar técnicas de </w:t>
      </w:r>
      <w:r w:rsidRPr="005728DD">
        <w:rPr>
          <w:i/>
        </w:rPr>
        <w:t>ad hoc balancing</w:t>
      </w:r>
      <w:r>
        <w:t xml:space="preserve"> o ponderación entre los sacrificios derivados para sus responsables en relación con el interés general preeminente en una sociedad democrática regida por un Estado de Derecho, se llega a la conclusión de que los mayores beneficios para este justifican aquellos”.</w:t>
      </w:r>
    </w:p>
    <w:p w:rsidR="005728DD" w:rsidRDefault="005728DD" w:rsidP="005728DD">
      <w:pPr>
        <w:pStyle w:val="TextoNormal"/>
      </w:pPr>
    </w:p>
    <w:p w:rsidR="005728DD" w:rsidRDefault="005728DD" w:rsidP="005728DD">
      <w:pPr>
        <w:pStyle w:val="TextoNormal"/>
      </w:pPr>
      <w:r>
        <w:t>Frente a la argumentación empleada por el recurrente de contraste de penas asignadas a otros delitos con elementos comunes, aduce el fiscal que “la sentencia marca importantes diferencias desde la perspectiva del bien jurídico protegido tal y como se refleja en el apartado 4.3 del fundamento de Derecho B, dedicado al juicio de tipicidad (págs. 277 a 280)”, que reproduce acto seguido. Esto “justificaría la diferencia penológica que hace improcedente la comparación que el demandante plantea sin reparar en la dimensión, alcance y gravedad de los comportamientos desde el prisma de los principios, valores y bienes constitucionales lesionados o puestos en riesgo”.</w:t>
      </w:r>
    </w:p>
    <w:p w:rsidR="005728DD" w:rsidRDefault="005728DD" w:rsidP="005728DD">
      <w:pPr>
        <w:pStyle w:val="TextoNormal"/>
      </w:pPr>
    </w:p>
    <w:p w:rsidR="005728DD" w:rsidRDefault="005728DD" w:rsidP="005728DD">
      <w:pPr>
        <w:pStyle w:val="TextoNormal"/>
      </w:pPr>
      <w:r>
        <w:t>Finalmente, el ministerio público pone de manifiesto que la legislación permite al aplicador rebajar la pena en uno o dos grados en el caso de que “la sedición no haya llegado a entorpecer de un modo grave el ejercicio de la autoridad pública y no haya ocasionado la perpetración de otro delito al que la ley señale penas graves” (art. 547 CP), de modo que la normatividad en ningún modo es comparable al supuesto de hecho de la STC 136/1999, en el que se reprochaba al precepto penal no incorporar previsión alguna para atemperar la sanción penal a la entidad de la conducta delictiva.</w:t>
      </w:r>
    </w:p>
    <w:p w:rsidR="005728DD" w:rsidRDefault="005728DD" w:rsidP="005728DD">
      <w:pPr>
        <w:pStyle w:val="TextoNormal"/>
      </w:pPr>
    </w:p>
    <w:p w:rsidR="005728DD" w:rsidRDefault="005728DD" w:rsidP="005728DD">
      <w:pPr>
        <w:pStyle w:val="TextoNormal"/>
      </w:pPr>
      <w:r>
        <w:t>11.5. Cláusula europea de prohibición de desviación de poder (art. 18 CEDH).</w:t>
      </w:r>
    </w:p>
    <w:p w:rsidR="005728DD" w:rsidRDefault="005728DD" w:rsidP="005728DD">
      <w:pPr>
        <w:pStyle w:val="TextoNormal"/>
      </w:pPr>
    </w:p>
    <w:p w:rsidR="005728DD" w:rsidRDefault="005728DD" w:rsidP="005728DD">
      <w:pPr>
        <w:pStyle w:val="TextoNormal"/>
      </w:pPr>
      <w:r>
        <w:lastRenderedPageBreak/>
        <w:t xml:space="preserve">Según el Ministerio Fiscal, este motivo se construye como una especie de enmienda a la totalidad de la causa penal, que, a juicio del demandante, habría obedecido a “la percepción, por parte de los magistrados del Tribunal Supremo y otros poderes del Estado, de amenaza a la unidad indisoluble de la nación y al </w:t>
      </w:r>
      <w:r w:rsidRPr="005728DD">
        <w:rPr>
          <w:i/>
        </w:rPr>
        <w:t>statu quo</w:t>
      </w:r>
      <w:r>
        <w:t xml:space="preserve"> les habría llevado a actuar desactivando la carta de derechos de la Constitución”, olvidando que “deben actuar como medio para hacer efectivos los derechos fundamentales y están subordinados a ellos, actuando estos como límite a su actuación”. Sobre esa cuestión, aunque suscitada sin la cita del art. 18 CEDH, se pronunció la sentencia recurrida en amparo, que se refiere a su planteamiento por el Sr. Cuixart en el apartado 2.1 del fundamento de Derecho A (págs. 63 y 64), y se contesta en el apartado 2.3, cuyo contenido se reproduce en el escrito del fiscal.</w:t>
      </w:r>
    </w:p>
    <w:p w:rsidR="005728DD" w:rsidRDefault="005728DD" w:rsidP="005728DD">
      <w:pPr>
        <w:pStyle w:val="TextoNormal"/>
      </w:pPr>
    </w:p>
    <w:p w:rsidR="005728DD" w:rsidRDefault="005728DD" w:rsidP="005728DD">
      <w:pPr>
        <w:pStyle w:val="TextoNormal"/>
      </w:pPr>
      <w:r>
        <w:t xml:space="preserve">Tras recordar que no corresponde al Tribunal Constitucional examinar la observancia de textos internacionales que obliguen a España, sino comprobar el respeto de los preceptos constitucionales que reconocen derechos fundamentales y libertades públicas susceptibles de amparo constitucional (arts. 53.2 CE y 49.l LOTC), sin perjuicio de que, por mandato del art. 10.2 CE, deban tales preceptos ser interpretados de conformidad con la Declaración Universal de Derechos Humanos y los tratados y acuerdos internacionales sobre la misma materia ratificados por España [SSTC 85/2003, de 8 de mayo, FJ 6 c), y 99/2004, de 27 de mayo, FJ 3 c)], argumenta que el art. 18 CEDH no reconoce ni proclama derecho fundamental alguno, sino que “es una mera garantía de derechos, de modo que su invocación como motivo en un recurso de amparo no tiene sentido ni virtualidad por sí misma de forma aislada, por cuanto se trata de una cláusula de cierre relacional y no autónoma o independiente, sino accesoria, asociada y dependiente de la invocación de uno o varios derechos fundamentales”. Además, destaca que esta cláusula se aplica muy excepcionalmente por la seriedad de la imputación que implica, citando al efecto la STEDH de 5 de febrero de 2002, asunto </w:t>
      </w:r>
      <w:r w:rsidRPr="005728DD">
        <w:rPr>
          <w:i/>
        </w:rPr>
        <w:t>Conka c. Bélgica</w:t>
      </w:r>
      <w:r>
        <w:t>, § 37, que señaló que “pretender que en una actuación impugnada concurre desviación de poder ‘es una acusación grave’ que ‘solo puede ser probada si la autoridad se moviera exclusivamente por razones ilícitas’, lo que apunta hacia un concepto restrictivo de este vicio ceñido solo a la persecución de fines ilegales y exclusivamente en relación con las restricciones establecidas por los Estados al amparo de las propias previsiones del convenio”.</w:t>
      </w:r>
    </w:p>
    <w:p w:rsidR="005728DD" w:rsidRDefault="005728DD" w:rsidP="005728DD">
      <w:pPr>
        <w:pStyle w:val="TextoNormal"/>
      </w:pPr>
    </w:p>
    <w:p w:rsidR="005728DD" w:rsidRDefault="005728DD" w:rsidP="005728DD">
      <w:pPr>
        <w:pStyle w:val="TextoNormal"/>
      </w:pPr>
      <w:r>
        <w:t xml:space="preserve">En el caso, una vez que se han descartado las vulneraciones de los derechos fundamentales principales del demandante [en resoluciones precedentes como la STC 30/2019, de 28 de febrero, se rechazó la infracción del art. 17.1 CE; y en estas alegaciones se han refutado las denunciadas de los derechos al juez ordinario predeterminado por la ley, a la doble instancia, a la defensa en sentido lingüístico, a la prueba y al juez independiente e imparcial, así como de los derechos de reunión (art. 21 CE) y a la legalidad penal (art. 25.1 CE)] no cabe sino desechar el fundamento de esta queja. En todo caso, contesta a lo alegado por la parte recurrente señalando lo siguiente: (i) en relación con las afirmaciones del discurso del fiscal general del Estado en la apertura del año judicial en 2016, no se trascriben “con arreglo a la realidad”. Lo que se hizo fue “significar la función primaria que la Constitución asigna al Ministerio Fiscal en su art. 124: la promoción de la acción de la justicia en defensa de la legalidad —también constitucional—, incluso, si fuera necesario, mediante la persecución de lo que constituyan hechos delictivos”; (ii) ni la Audiencia Nacional ni el Tribunal Supremo pueden calificarse de tribunales especiales, excepcionales o parciales desde la doctrina constitucional y europea reproducida en el propio escrito de alegaciones, ni los agentes de las fuerzas y cuerpos de seguridad del Estado, que han actuado en funciones de policía </w:t>
      </w:r>
      <w:r>
        <w:lastRenderedPageBreak/>
        <w:t>judicial o genérica, son “cuerpos policiales especiales”; (iii) los calificados informes de “organismos internacionales”, no son tales, y todos ellos —salvo el posicionamiento de Amnesty International de 19 de noviembre de 2019— son previos a la sentencia recurrida, con lo que difícilmente pueden servir de parámetro para sostener que una condena —entonces inexistente— vulnera derechos fundamentales. En especial, el denominado “informe del relator de la asamblea parlamentaria Consejo de Europa sobre la situación de los defensores de derechos humanos”, no pasa de ser un mero memorándum preliminar del diputado que lo suscribe, que ni siquiera ha sido votado en la Asamblea Parlamentaria; la llamada “opinión del grupo de trabajo sobre detenciones arbitrarias”, no constituye sino el criterio de un grupo de trabajo, puramente auxiliar e informativo de eventuales posicionamientos o declaraciones generales del Consejo de Derechos Humanos de Naciones Unidas, que, además, no es definitivo, al haberse solicitado su revisión por “falta de imparcialidad y objetividad en los miembros del grupo”, tal y como se hizo contar en la propia causa en el auto de la Sala de lo Penal del Tribunal Supremo de 21 de junio de 2019.</w:t>
      </w:r>
    </w:p>
    <w:p w:rsidR="005728DD" w:rsidRDefault="005728DD" w:rsidP="005728DD">
      <w:pPr>
        <w:pStyle w:val="TextoNormal"/>
      </w:pPr>
    </w:p>
    <w:p w:rsidR="005728DD" w:rsidRDefault="005728DD" w:rsidP="005728DD">
      <w:pPr>
        <w:pStyle w:val="TextoNormal"/>
      </w:pPr>
      <w:r>
        <w:t>Concluye el Ministerio Fiscal señalando que no existe persecución política ni penal alguna del independentismo. El recurrente podría haber defendido la pertinencia, la conveniencia o la aspiración de conseguir la independencia de Cataluña sin cometer delito alguno. “La propia existencia de un movimiento independentista catalán, apoyado por sectores amplios de la sociedad catalana, que se manifiesta cada vez que lo estima conveniente en defensa de sus postulados ideológicos, muestra bien a las claras que dicha ideología no es objeto de persecución ni de trato discriminatorio de ninguna índole, ni por el Tribunal Supremo ni por ninguna otra instancia judicial ni poder público del Estado”. Por las razones expuestas, interesa la desestimación también de este motivo y, con ello,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12</w:t>
      </w:r>
      <w:r>
        <w:t>. A fin de tramitar y resolver la petición de recusación del magistrado de este Tribunal Constitucional Sr. Narváez Rodríguez, planteada por el demandante en este proceso de amparo mediante escrito de fecha 21 de octubre de 2020, el Pleno, mediante providencia de fecha 17 de noviembre de 2020, con suspensión de las actuaciones correspondientes al presente recurso, acordó formar pieza separada.</w:t>
      </w:r>
    </w:p>
    <w:p w:rsidR="005728DD" w:rsidRDefault="005728DD" w:rsidP="005728DD">
      <w:pPr>
        <w:pStyle w:val="TextoNormal"/>
      </w:pPr>
    </w:p>
    <w:p w:rsidR="005728DD" w:rsidRDefault="005728DD" w:rsidP="005728DD">
      <w:pPr>
        <w:pStyle w:val="TextoNormal"/>
      </w:pPr>
      <w:r>
        <w:t>Con fecha 16 de febrero de 2021, el magistrado don Antonio Narváez Rodríguez formuló su abstención en relación con el presente proceso constitucional de amparo, abstención que, por unanimidad, fue considerada justificada por el Pleno en resolución de la misma fecha, lo que dio lugar a su aceptación y a acordar el archivo de la pieza separada de recusación formada en 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13</w:t>
      </w:r>
      <w:r>
        <w:t>. Por escrito registrado en este tribunal el 23 de marzo de 2021, don Luis Fernando Granados Bravo, procurador de los tribunales, en representación de don Jordi Cuixart i Navarro, promovió la recusación del magistrado don Cándido Conde-Pumpido Tourón.</w:t>
      </w:r>
    </w:p>
    <w:p w:rsidR="005728DD" w:rsidRDefault="005728DD" w:rsidP="005728DD">
      <w:pPr>
        <w:pStyle w:val="TextoNormal"/>
      </w:pPr>
    </w:p>
    <w:p w:rsidR="005728DD" w:rsidRDefault="005728DD" w:rsidP="005728DD">
      <w:pPr>
        <w:pStyle w:val="TextoNormal"/>
      </w:pPr>
      <w:r>
        <w:t>Con fecha 7 de abril de 2021, el magistrado don Cándido Conde-Pumpido Tourón formuló su abstención en relación con el presente proceso constitucional de amparo, abstención que, por unanimidad, fue considerada justificada por el Pleno en resolución de 20 de abril de 2021, lo que dio lugar a su apartamiento definitivo del presente recurso y de todas sus incidencias.</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14</w:t>
      </w:r>
      <w:r>
        <w:t>. Por providencia de 1 de junio de 2021, se señaló para la deliberación y votación de la presente sentencia el día 2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posiciones de las partes</w:t>
      </w:r>
      <w:r>
        <w:t>.</w:t>
      </w:r>
    </w:p>
    <w:p w:rsidR="005728DD" w:rsidRDefault="005728DD" w:rsidP="005728DD">
      <w:pPr>
        <w:pStyle w:val="TextoNormal"/>
      </w:pPr>
    </w:p>
    <w:p w:rsidR="005728DD" w:rsidRDefault="005728DD" w:rsidP="005728DD">
      <w:pPr>
        <w:pStyle w:val="TextoNormal"/>
      </w:pPr>
      <w:r>
        <w:t>El presente recurso de amparo se dirige contra la sentencia núm. 459/2019, de 14 de octubre, dictada por la Sala de lo Penal del Tribunal Supremo en la causa especial núm. 20907-2017, que condenó al demandante como autor de un delito de sedición previsto en los arts. 544 y 545.1 CP, a las penas de nueve años de prisión 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y el auto de fecha 29 de enero de 2020 que desestimó los incidentes de nulidad promovidos contra aquella sentencia.</w:t>
      </w:r>
    </w:p>
    <w:p w:rsidR="005728DD" w:rsidRDefault="005728DD" w:rsidP="005728DD">
      <w:pPr>
        <w:pStyle w:val="TextoNormal"/>
      </w:pPr>
    </w:p>
    <w:p w:rsidR="005728DD" w:rsidRDefault="005728DD" w:rsidP="005728DD">
      <w:pPr>
        <w:pStyle w:val="TextoNormal"/>
      </w:pPr>
      <w:r>
        <w:t>El recurrente alega en su escrito de demanda las siguientes vulneraciones de derechos fundamentales: a) del derecho al juez ordinario predeterminado por la ley (arts. 24.2 CE y 6 CEDH), por haber asumido el Tribunal Supremo la competencia para enjuiciar los hechos, privando adicionalmente al recurrente de su derecho a la doble instancia (art. 2 del Protocolo núm. 7 al CEDH) e imposibilitando el desarrollo del juicio en catalán; b) del derecho a un juez imparcial (arts. 24.2 CE y 6 CEDH), por la relación de los magistrados integrantes de la sala de enjuiciamiento con el fiscal general del Estado firmante de la querella y con el Gobierno, por algunas de las expresiones contenidas en la sentencia, por el tratamiento de la presunción de inocencia del demandante de amparo, las manifestaciones del tribunal dentro y fuera de la sala, y las decisiones sobre admisión y práctica de pruebas; c) del derecho fundamental de reunión (arts. 21 CE y 11 CEDH), por no contener la sentencia una verdadera ponderación y por hallarse justificada su conducta por el ejercicio de dicho derecho; d) del derecho fundamental a la legalidad penal (arts. 25.1 CE y 7 CEDH), en una triple vertiente: (i) en cuanto al juicio se subsunción, por ser contrario al sentido de las palabras contenidas en el tipo, efectuar una valoración ajena a los criterios del sistema constitucional de derechos fundamentales que convierte la norma en imprevisible, y vaciar de contenido el ejercicio del derecho fundamental de reunión; (ii) por la desproporción de la pena prevista para el delito de sedición en el Código penal; (iii) y por el juicio de autoría, al no resolver la sentencia de modo satisfactorio sobre las razones por las que se hace responsable al recurrente del delito de sedición por el que fue condenado; e) del derecho fundamental a la libertad personal (art. 17 CE), en relación con la cláusula de prohibición de desviación de poder (art. 18 CEDH), en cuanto el proceso y la condena penal del señor Cuixart obedecen a una “finalidad escondida”, consistente en un castigo político al independentismo.</w:t>
      </w:r>
    </w:p>
    <w:p w:rsidR="005728DD" w:rsidRDefault="005728DD" w:rsidP="005728DD">
      <w:pPr>
        <w:pStyle w:val="TextoNormal"/>
      </w:pPr>
    </w:p>
    <w:p w:rsidR="005728DD" w:rsidRDefault="005728DD" w:rsidP="005728DD">
      <w:pPr>
        <w:pStyle w:val="TextoNormal"/>
      </w:pPr>
      <w:r>
        <w:t>La abogacía del Estado interesó la desestimación del recurso de amparo. Por su parte, el partido político Vox opuso, como óbice procesal de admisibilidad, la insuficiente justificación de la especial trascendencia constitucional del recurso; y en cuanto al fondo, pidió igualmente su desestimación. Finalmente, el Ministerio Fiscal solicitó también la desestimación del recurso de amparo.</w:t>
      </w:r>
    </w:p>
    <w:p w:rsidR="005728DD" w:rsidRDefault="005728DD" w:rsidP="005728DD">
      <w:pPr>
        <w:pStyle w:val="TextoNormal"/>
      </w:pPr>
    </w:p>
    <w:p w:rsidR="005728DD" w:rsidRDefault="005728DD" w:rsidP="005728DD">
      <w:pPr>
        <w:pStyle w:val="TextoNormal"/>
      </w:pPr>
      <w:r>
        <w:lastRenderedPageBreak/>
        <w:t>Las alegaciones de las partes han sido ampliamente resumidas en los antecedentes de esta resolución. No obstante, una síntesis de estas será expuesta de nuevo al analizar cada una de las quejas.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Requisitos de admisibilidad: justificación de la especial transcendencia constitucional del recurso</w:t>
      </w:r>
      <w:r>
        <w:t>.</w:t>
      </w:r>
    </w:p>
    <w:p w:rsidR="005728DD" w:rsidRDefault="005728DD" w:rsidP="005728DD">
      <w:pPr>
        <w:pStyle w:val="TextoNormal"/>
      </w:pPr>
    </w:p>
    <w:p w:rsidR="005728DD" w:rsidRDefault="005728DD" w:rsidP="005728DD">
      <w:pPr>
        <w:pStyle w:val="TextoNormal"/>
      </w:pPr>
      <w:r>
        <w:t>Antes de llevar a cabo el análisis de las lesiones que se invocan en el escrito de demanda, procede resolver el óbice de admisibilidad alegado por el partido político Vox, referido a la insuficiente justificación de la especial trascendencia del recurso de amparo. No obstante, cabe adelantar que, de no ser estimado este primer motivo de inadmisión, los óbices procesales que se asocian a cada uno de los motivos de amparo serán resueltos al enjuiciar cada uno estos.</w:t>
      </w:r>
    </w:p>
    <w:p w:rsidR="005728DD" w:rsidRDefault="005728DD" w:rsidP="005728DD">
      <w:pPr>
        <w:pStyle w:val="TextoNormal"/>
      </w:pPr>
    </w:p>
    <w:p w:rsidR="005728DD" w:rsidRDefault="005728DD" w:rsidP="005728DD">
      <w:pPr>
        <w:pStyle w:val="TextoNormal"/>
      </w:pPr>
      <w:r>
        <w:t>Dicho partido político señala que la demanda dedica “pocas líneas genéricas” a justificar el cumplimiento del preceptivo requisito de admisión del recurso, limitándose a señalar que no existe doctrina del Tribunal Constitucional al respecto de las violaciones de los derechos fundamentales que, a su juicio, se han producido, lo que resulta defectuoso.</w:t>
      </w:r>
    </w:p>
    <w:p w:rsidR="005728DD" w:rsidRDefault="005728DD" w:rsidP="005728DD">
      <w:pPr>
        <w:pStyle w:val="TextoNormal"/>
      </w:pPr>
    </w:p>
    <w:p w:rsidR="005728DD" w:rsidRDefault="005728DD" w:rsidP="005728DD">
      <w:pPr>
        <w:pStyle w:val="TextoNormal"/>
      </w:pPr>
      <w:r>
        <w:t xml:space="preserve">A fin de dar respuesta a la objeción procesal opuesta, conviene recordar que la previsión del art. 49.1 </w:t>
      </w:r>
      <w:r w:rsidRPr="005728DD">
        <w:rPr>
          <w:i/>
        </w:rPr>
        <w:t>in fine</w:t>
      </w:r>
      <w:r>
        <w:t xml:space="preserv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5728DD" w:rsidRDefault="005728DD" w:rsidP="005728DD">
      <w:pPr>
        <w:pStyle w:val="TextoNormal"/>
      </w:pPr>
    </w:p>
    <w:p w:rsidR="005728DD" w:rsidRDefault="005728DD" w:rsidP="005728DD">
      <w:pPr>
        <w:pStyle w:val="TextoNormal"/>
      </w:pPr>
      <w:r>
        <w:t xml:space="preserve">El planteamiento del referido óbice nos lleva a considerar las razones dadas en el escrito de demanda para justificar la especial trascendencia constitucional del presente recurso. En dicho escrito, en un apartado específico —el séptimo—, se alegan tres causas subsumibles en el fundamento jurídico 2 de la citada STC 155/2009: (i) la novedad de algunas de la cuestiones suscitadas, sobre las que no hay doctrina del Tribunal Constitucional, como son la cuestión competencial, que fue rechazada por prematura en las SSTC 30/2019 y 62/2019, </w:t>
      </w:r>
      <w:r>
        <w:lastRenderedPageBreak/>
        <w:t>al plantearse en un estadio procesal anterior de la misma causa especial, la posible inconstitucionalidad del delito de sedición y su delimitación respecto del derecho fundamental de reunión; (ii) que una de las lesiones denunciadas procede de la ley (arts. 544 y 545 CP), lo que remite a la queja relativa a la desproporción de la pena; y (iii) la relevante repercusión social y política de “los hechos objeto de enjuiciamiento en el procedimiento penal del que deriva el presente recurso de amparo”.</w:t>
      </w:r>
    </w:p>
    <w:p w:rsidR="005728DD" w:rsidRDefault="005728DD" w:rsidP="005728DD">
      <w:pPr>
        <w:pStyle w:val="TextoNormal"/>
      </w:pPr>
    </w:p>
    <w:p w:rsidR="005728DD" w:rsidRDefault="005728DD" w:rsidP="005728DD">
      <w:pPr>
        <w:pStyle w:val="TextoNormal"/>
      </w:pPr>
      <w:r>
        <w:t xml:space="preserve">A la vista de lo anterior hemos de entender satisfecha la carga de justificar la especial trascendencia constitucional a la que se refiere el artículo 49.1 </w:t>
      </w:r>
      <w:r w:rsidRPr="005728DD">
        <w:rPr>
          <w:i/>
        </w:rPr>
        <w:t>in fine</w:t>
      </w:r>
      <w:r>
        <w:t xml:space="preserve"> LOTC, pues la parte recurrente ofrece argumentos suficientes sobre la proyección objetiva del presente recurso de amparo. De entre las causas indicadas en la demanda, tal y como se ha reseñado en los antecedentes de esta resolución, el tribunal apreció, para admitir el recurso, el supuesto de especial trascendencia del apartado a) del FJ 2 de la STC 155/2009, porque el mismo plantea un problema o afecta a una faceta de un derecho fundamental sobre el que no hay doctrina, lo que se conecta con varias de las cuestiones suscitadas por el recurrente, sin que, por otro lado, pueda descartarse la concurrencia de los otros supuestos también enunciados en la demanda.</w:t>
      </w:r>
    </w:p>
    <w:p w:rsidR="005728DD" w:rsidRDefault="005728DD" w:rsidP="005728DD">
      <w:pPr>
        <w:pStyle w:val="TextoNormal"/>
      </w:pPr>
    </w:p>
    <w:p w:rsidR="005728DD" w:rsidRDefault="005728DD" w:rsidP="005728DD">
      <w:pPr>
        <w:pStyle w:val="TextoNormal"/>
      </w:pPr>
      <w:r>
        <w:t>En consecuencia, el óbice debe ser desestimado.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Delimitación del fundamento fáctico y jurídico de la decisión de condena</w:t>
      </w:r>
      <w:r>
        <w:t>.</w:t>
      </w:r>
    </w:p>
    <w:p w:rsidR="005728DD" w:rsidRDefault="005728DD" w:rsidP="005728DD">
      <w:pPr>
        <w:pStyle w:val="TextoNormal"/>
      </w:pPr>
    </w:p>
    <w:p w:rsidR="005728DD" w:rsidRDefault="005728DD" w:rsidP="005728DD">
      <w:pPr>
        <w:pStyle w:val="TextoNormal"/>
      </w:pPr>
      <w:r>
        <w:t>El contenido del enjuiciamiento constitucional planteado en la demanda aconseja realizar, antes del análisis individualizado de cada una de las quejas, dos consideraciones previas, con la finalidad de facilitar la compresión del texto de esta sentencia.</w:t>
      </w:r>
    </w:p>
    <w:p w:rsidR="005728DD" w:rsidRDefault="005728DD" w:rsidP="005728DD">
      <w:pPr>
        <w:pStyle w:val="TextoNormal"/>
      </w:pPr>
    </w:p>
    <w:p w:rsidR="005728DD" w:rsidRDefault="005728DD" w:rsidP="005728DD">
      <w:pPr>
        <w:pStyle w:val="TextoNormal"/>
      </w:pPr>
      <w:r>
        <w:t>La primera tiene un doble objeto: está dirigida a delimitar la conducta del recurrente que ha sido considerada delictiva, así como las razones que han fundamentado dicha consideración (juicios de tipicidad y autoría).</w:t>
      </w:r>
    </w:p>
    <w:p w:rsidR="005728DD" w:rsidRDefault="005728DD" w:rsidP="005728DD">
      <w:pPr>
        <w:pStyle w:val="TextoNormal"/>
      </w:pPr>
    </w:p>
    <w:p w:rsidR="005728DD" w:rsidRDefault="005728DD" w:rsidP="005728DD">
      <w:pPr>
        <w:pStyle w:val="TextoNormal"/>
      </w:pPr>
      <w:r>
        <w:t>La segunda se dirige a destacar los pronunciamientos de este tribunal que, a lo largo del desarrollo de los hechos que han sido después enjuiciados penalmente, ha venido haciendo sobre la constitucionalidad de algunas iniciativas parlamentarias y gubernamentales, relacionadas con los hechos declarados probados, que estaban dirigidas a reivindicar y hacer efectivo el propósito de convocar y llevar a efecto un referéndum sobre la independencia de Cataluña, para dar soporte o continuidad al proceso de creación de un Estado catalán independiente en forma de república.</w:t>
      </w:r>
    </w:p>
    <w:p w:rsidR="005728DD" w:rsidRDefault="005728DD" w:rsidP="005728DD">
      <w:pPr>
        <w:pStyle w:val="TextoNormal"/>
      </w:pPr>
    </w:p>
    <w:p w:rsidR="005728DD" w:rsidRDefault="005728DD" w:rsidP="005728DD">
      <w:pPr>
        <w:pStyle w:val="TextoNormal"/>
      </w:pPr>
      <w:r>
        <w:t xml:space="preserve">3.1. </w:t>
      </w:r>
      <w:r w:rsidRPr="005728DD">
        <w:rPr>
          <w:i/>
        </w:rPr>
        <w:t>Delimitación de la conducta del recurrente que ha sido declarada delictiva</w:t>
      </w:r>
      <w:r>
        <w:t>.</w:t>
      </w:r>
    </w:p>
    <w:p w:rsidR="005728DD" w:rsidRDefault="005728DD" w:rsidP="005728DD">
      <w:pPr>
        <w:pStyle w:val="TextoNormal"/>
      </w:pPr>
    </w:p>
    <w:p w:rsidR="005728DD" w:rsidRDefault="005728DD" w:rsidP="005728DD">
      <w:pPr>
        <w:pStyle w:val="TextoNormal"/>
      </w:pPr>
      <w:r>
        <w:t xml:space="preserve">En los antecedentes de esta resolución hemos recogido íntegramente la declaración de hechos probados de la sentencia impugnada y hemos resumido los juicios de tipicidad y autoría que han justificado la condena por delito de sedición que se cuestiona. Dada su extensión, pues se refiere a diversos acusados que protagonizaron distintas conductas a lo largo de un dilatado período de tiempo, con la finalidad de facilitar su análisis, procederemos a continuación a exponer, a partir de los mismos, cuál es la conducta del recurrente que ha sido considerada penalmente relevante y cuál el contexto en que se desarrolló, así como las </w:t>
      </w:r>
      <w:r>
        <w:lastRenderedPageBreak/>
        <w:t>razones tomadas en consideración para fundamentar su declaración de culpabilidad como autor de un delito de sedición (arts. 544 y 545.1 CP).</w:t>
      </w:r>
    </w:p>
    <w:p w:rsidR="005728DD" w:rsidRDefault="005728DD" w:rsidP="005728DD">
      <w:pPr>
        <w:pStyle w:val="TextoNormal"/>
      </w:pPr>
    </w:p>
    <w:p w:rsidR="005728DD" w:rsidRDefault="005728DD" w:rsidP="005728DD">
      <w:pPr>
        <w:pStyle w:val="TextoNormal"/>
      </w:pPr>
      <w:r>
        <w:t>A) La sentencia relata en sus hechos probados que la conducta del señor Cuixart formaba parte de una estrategia concertada, que incluía un reparto funcional de roles entre los miembros del Gobierno autonómico de Cataluña, la presidenta de su Parlamento y diversas organizaciones institucionales, culturales y ciudadanas, que mantenían un programa político común, en cuanto eran todas partidarias de la creación de un Estado catalán independiente en forma de república. El objetivo mediato de la actuación conjunta de los acusados era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 En tal medida, en dicha estrategia común cobraba especial relevancia la celebración de un referéndum vinculante que, en caso de obtener un resultado favorable, cualquiera que fuera el índice de participación ciudadana, justificaría la proclamación de Cataluña como un Estado independiente, que era el objetivo final de la estrategia acordada.</w:t>
      </w:r>
    </w:p>
    <w:p w:rsidR="005728DD" w:rsidRDefault="005728DD" w:rsidP="005728DD">
      <w:pPr>
        <w:pStyle w:val="TextoNormal"/>
      </w:pPr>
    </w:p>
    <w:p w:rsidR="005728DD" w:rsidRDefault="005728DD" w:rsidP="005728DD">
      <w:pPr>
        <w:pStyle w:val="TextoNormal"/>
      </w:pPr>
      <w:r>
        <w:t xml:space="preserve">Dicho concierto estratégico, y la decisión de llevarlo a cabo, se había producido antes de las elecciones autonómicas celebradas el 27 de septiembre de 2015, mediante un preacuerdo político u </w:t>
      </w:r>
      <w:r w:rsidRPr="005728DD">
        <w:rPr>
          <w:i/>
        </w:rPr>
        <w:t>hoja de ruta</w:t>
      </w:r>
      <w:r>
        <w:t xml:space="preserve"> que las declaraba plebiscitarias;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005728DD" w:rsidRDefault="005728DD" w:rsidP="005728DD">
      <w:pPr>
        <w:pStyle w:val="TextoNormal"/>
      </w:pPr>
    </w:p>
    <w:p w:rsidR="005728DD" w:rsidRDefault="005728DD" w:rsidP="005728DD">
      <w:pPr>
        <w:pStyle w:val="TextoNormal"/>
      </w:pPr>
      <w:r>
        <w:t>Entre las entidades ciudadanas concertadas cobraron especial significación la Asamblea Nacional Catalana (ANC, fundada en 2011), presidida desde mayo de 2015 por el señor Sànchez i Picanyol —también condenado en la causa—, y Òmnium Cultural (OC, fundada en 1961), presidida desde finales del año 2015 por el recurrente, señor Cuixart. Ambas organizaciones tenían y mantienen entre sus objetivos hacer efectivo el que consideran derecho de los catalanes a elegir democrática y libremente su futuro político a través de un referéndum de autodeterminación.</w:t>
      </w:r>
    </w:p>
    <w:p w:rsidR="005728DD" w:rsidRDefault="005728DD" w:rsidP="005728DD">
      <w:pPr>
        <w:pStyle w:val="TextoNormal"/>
      </w:pPr>
    </w:p>
    <w:p w:rsidR="005728DD" w:rsidRDefault="005728DD" w:rsidP="005728DD">
      <w:pPr>
        <w:pStyle w:val="TextoNormal"/>
      </w:pPr>
      <w:r>
        <w:t>Según se afirma en la sentencia, a partir de 2015, ambos líderes pusieron las organizaciones al servicio del propósito de hacer realidad dicho programa, que había sido previamente pactado con diversas fuerzas políticas que ya tenían representación parlamentaria autonómica. Se afirma también que la contribución movilizadora de ambas organizaciones ciudadanas resultaba decisiva para los fines y la estrategia de consecución ideados que han sido descritos.</w:t>
      </w:r>
    </w:p>
    <w:p w:rsidR="005728DD" w:rsidRDefault="005728DD" w:rsidP="005728DD">
      <w:pPr>
        <w:pStyle w:val="TextoNormal"/>
      </w:pPr>
    </w:p>
    <w:p w:rsidR="005728DD" w:rsidRDefault="005728DD" w:rsidP="005728DD">
      <w:pPr>
        <w:pStyle w:val="TextoNormal"/>
      </w:pPr>
      <w:r>
        <w:t xml:space="preserve">B) Más adelante, el relato de hechos probados de la sentencia impugnada declara que, pese a su funcionamiento asambleario y su autonomía funcional y orgánica, la asociación Òmnium Cultural, liderada por el recurrente, conjuntamente con la entidad Asamblea Nacional Catalana y en estrecho contacto con los dirigentes políticos nacionalistas partidarios </w:t>
      </w:r>
      <w:r>
        <w:lastRenderedPageBreak/>
        <w:t>de la independencia de Cataluña, contribuyó a posibilitar la celebración del proyectado referéndum previsto en la ley autonómica y en los decretos de Gobierno suspendidos cautelarmente por este Tribunal Constitucional. Para ello, de forma coordinada, utilizaron su capacidad de movilización ciudadana convocando a la población a ocupar los espacios donde estaba prevista la votación, lo que se entendió preciso para asegurar tal objetivo, al tiempo que con ello se impedían las actuaciones de los poderes públicos dirigidas a hacer efectiva su suspensión, decretada por este tribunal.</w:t>
      </w:r>
    </w:p>
    <w:p w:rsidR="005728DD" w:rsidRDefault="005728DD" w:rsidP="005728DD">
      <w:pPr>
        <w:pStyle w:val="TextoNormal"/>
      </w:pPr>
    </w:p>
    <w:p w:rsidR="005728DD" w:rsidRDefault="005728DD" w:rsidP="005728DD">
      <w:pPr>
        <w:pStyle w:val="TextoNormal"/>
      </w:pPr>
      <w:r>
        <w:t>En el relato fáctico de la sentencia, dicha contribución aparece concretada con referencia específica a dos momentos:</w:t>
      </w:r>
    </w:p>
    <w:p w:rsidR="005728DD" w:rsidRDefault="005728DD" w:rsidP="005728DD">
      <w:pPr>
        <w:pStyle w:val="TextoNormal"/>
      </w:pPr>
    </w:p>
    <w:p w:rsidR="005728DD" w:rsidRDefault="005728DD" w:rsidP="005728DD">
      <w:pPr>
        <w:pStyle w:val="TextoNormal"/>
      </w:pPr>
      <w:r>
        <w:t>(i) El primero de ellos se produjo el 20 de septiembre de 2017. Guarda relación con la ejecución por la policía judicial de la decisión adoptada por el magistrado juez de instrucción núm. 13 de Barcelona dirigida a registrar, entre otras, la sede de la Consejería de Vicepresidencia, Economía y Hacienda de la Generalitat de Cataluña. El registro se produjo tras la detención de algunos de sus responsables, y tenía como objetivo el hallazgo de fuentes de prueba útiles para esclarecer las responsabilidades penales en que pudieran haber incurrido los detenidos, o sus colaboradores, como consecuencia de los preparativos del referéndum convocado el anterior día 6 de septiembre, así como, destacadamente, impedir su celebración. Los agentes de policía judicial que integraban la comisión llegaron a la sede de la consejería sobre las 8:00 horas, dejando los vehículos oficiales estacionados frente a su acceso.</w:t>
      </w:r>
    </w:p>
    <w:p w:rsidR="005728DD" w:rsidRDefault="005728DD" w:rsidP="005728DD">
      <w:pPr>
        <w:pStyle w:val="TextoNormal"/>
      </w:pPr>
    </w:p>
    <w:p w:rsidR="005728DD" w:rsidRDefault="005728DD" w:rsidP="005728DD">
      <w:pPr>
        <w:pStyle w:val="TextoNormal"/>
      </w:pPr>
      <w:r>
        <w:t>Continúa el relato señalando que, desde las 8:55 horas, mediante mensajes telemáticos difundidos desde las cuentas en redes sociales de los líderes de ANC y Òmnium Cultural, y desde las de las propias organizaciones que presidían, se convocó a la población a que compareciera, entre otras, ante dicha sede, emplazando a la ciudadanía a defender las instituciones catalanas, y a exigir la puesta en libertad de los detenidos, invitando a la movilización ciudadana. En dichos mensajes se decía que “no podrían con todos ellos”, que “las fuerzas del orden se habían equivocado” y que “habían declarado la guerra a quienes querían votar”.</w:t>
      </w:r>
    </w:p>
    <w:p w:rsidR="005728DD" w:rsidRDefault="005728DD" w:rsidP="005728DD">
      <w:pPr>
        <w:pStyle w:val="TextoNormal"/>
      </w:pPr>
    </w:p>
    <w:p w:rsidR="005728DD" w:rsidRDefault="005728DD" w:rsidP="005728DD">
      <w:pPr>
        <w:pStyle w:val="TextoNormal"/>
      </w:pPr>
      <w:r>
        <w:t>En los minutos siguientes la afluencia de personas se fue incrementando, hasta el punto de que a las 10:30 horas de esa mañana los manifestantes habían rodeado por completo el edificio impidiendo a la comisión judicial la normal realización de sus funciones. La concentración, en cifra aproximada de 40.000 personas, se desarrolló durante el resto del día 20 de septiembre, mientras la comisión judicial permanecía en el edificio que debía ser registrado, al que, debido a la concentración, no pudieron ser trasladados los propios detenidos que habían de estar presentes, dada la imposibilidad de atravesar en condiciones de seguridad la multitud. No se estableció un perímetro de seguridad, sino que solo fue abierto un estrecho pasillo humano, que no era controlado policialmente, sino por los propios voluntarios de la entidad convocante (ANC), que portaban chalecos identificativos.</w:t>
      </w:r>
    </w:p>
    <w:p w:rsidR="005728DD" w:rsidRDefault="005728DD" w:rsidP="005728DD">
      <w:pPr>
        <w:pStyle w:val="TextoNormal"/>
      </w:pPr>
    </w:p>
    <w:p w:rsidR="005728DD" w:rsidRDefault="005728DD" w:rsidP="005728DD">
      <w:pPr>
        <w:pStyle w:val="TextoNormal"/>
      </w:pPr>
      <w:r>
        <w:t xml:space="preserve">La situación de hecho a que dio lugar la convocatoria provocó que no pudieran ser extraídos del edificio los efectos intervenidos y que la comisión judicial no pudiera abandonar el edificio así rodeado. Solo a partir de las 12:00 de la noche, a través de la azotea del edificio contiguo, se consiguió evacuar camuflada a la letrada de la administración de justicia que dirigía la comisión judicial; el resto de sus integrantes, en su mayor parte agentes de policía </w:t>
      </w:r>
      <w:r>
        <w:lastRenderedPageBreak/>
        <w:t>judicial, pudieron hacerlo a partir de las 4:00 horas de la madrugada siguiente, una vez disuelta la concentración con cargas de agentes policiales antidisturbios, finalizando la evacuación a las 07:00 horas del día 21 de septiembre. Siete vehículos policiales en los que se había desplazado la comisión judicial sufrieron importantes destrozos materiales.</w:t>
      </w:r>
    </w:p>
    <w:p w:rsidR="005728DD" w:rsidRDefault="005728DD" w:rsidP="005728DD">
      <w:pPr>
        <w:pStyle w:val="TextoNormal"/>
      </w:pPr>
    </w:p>
    <w:p w:rsidR="005728DD" w:rsidRDefault="005728DD" w:rsidP="005728DD">
      <w:pPr>
        <w:pStyle w:val="TextoNormal"/>
      </w:pPr>
      <w:r>
        <w:t>Concluye el relato de estos hechos señalando que, durante el desarrollo de la concentración, los líderes de ANC y Òmnium Cultural se dirigieron en diversas ocasiones a la multitud. El señor Cuixart exigió la libertad de los detenidos y retó al Estado a incautar el material preparado para la jornada de referéndum. El líder de ANC, por su parte, proclamó que ese era el día en que había que salir a la calle a defender la dignidad, las instituciones catalanas y el referéndum, por lo que ni el presidente del Gobierno (señor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por delante una noche larga e intensa, y que habían de trabajar porque ellos eran el sueño de un nuevo país. Sobre las 23:41 horas, ambos líderes sociales se dirigieron a los concentrados desde lo alto de uno de los vehículos policiales destrozados. El recurrente manifestó hablar en nombre de las entidades soberanistas, así como del Partido Democrático de Cataluña, Esquerra Republicana de Cataluña y la CUP-CC (Candidatura de Unidad Popular- Llamada Constituyente), proclamando que todos estaban alzados para luchar por su libertad afirmando que desde ese altar —en clara referencia al vehículo policial— querían convocar a todos los asistentes a una movilización permanente en defensa de los detenidos, emplazándoles a una concentración que tendría lugar a las 12:00 horas del día siguiente, en el Tribunal Superior de Justicia de Cataluña para exigir la puesta en libertad de los detenidos; concentración a la que ambos líderes acudieron junto a otros responsables políticos y cargos públicos.</w:t>
      </w:r>
    </w:p>
    <w:p w:rsidR="005728DD" w:rsidRDefault="005728DD" w:rsidP="005728DD">
      <w:pPr>
        <w:pStyle w:val="TextoNormal"/>
      </w:pPr>
    </w:p>
    <w:p w:rsidR="005728DD" w:rsidRDefault="005728DD" w:rsidP="005728DD">
      <w:pPr>
        <w:pStyle w:val="TextoNormal"/>
      </w:pPr>
      <w:r>
        <w:t>El relato señala que, en todo momento, el presidente de ANC fue el interlocutor de la movilización ante los agentes policiales.</w:t>
      </w:r>
    </w:p>
    <w:p w:rsidR="005728DD" w:rsidRDefault="005728DD" w:rsidP="005728DD">
      <w:pPr>
        <w:pStyle w:val="TextoNormal"/>
      </w:pPr>
    </w:p>
    <w:p w:rsidR="005728DD" w:rsidRDefault="005728DD" w:rsidP="005728DD">
      <w:pPr>
        <w:pStyle w:val="TextoNormal"/>
      </w:pPr>
      <w:r>
        <w:t>(ii) Tras recoger otros episodios intermedios de reivindicación, llamamientos a participar en el referéndum, y convocatoria a la movilización permanente, la sentencia se detiene en los sucesos acaecidos en la víspera y la jornada en la que la votación había sido establecida. Es este segundo momento el que, en la conducta del señor Cuixart declarada penalmente relevante, se valora como nuclear. Tiene que ver con la preparación y desarrollo de la participación ciudadana en la consulta convocada para la jornada del 1 de octubre de 2017.</w:t>
      </w:r>
    </w:p>
    <w:p w:rsidR="005728DD" w:rsidRDefault="005728DD" w:rsidP="005728DD">
      <w:pPr>
        <w:pStyle w:val="TextoNormal"/>
      </w:pPr>
    </w:p>
    <w:p w:rsidR="005728DD" w:rsidRDefault="005728DD" w:rsidP="005728DD">
      <w:pPr>
        <w:pStyle w:val="TextoNormal"/>
      </w:pPr>
      <w:r>
        <w:t>La relación de hechos probados señala que tanto el recurrente —como también el líder de ANC—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y a que protegieran después el recuento de los votos frente a las actuaciones que pudieran desarrollar los cuerpos y fuerzas de seguridad del Estado.</w:t>
      </w:r>
    </w:p>
    <w:p w:rsidR="005728DD" w:rsidRDefault="005728DD" w:rsidP="005728DD">
      <w:pPr>
        <w:pStyle w:val="TextoNormal"/>
      </w:pPr>
    </w:p>
    <w:p w:rsidR="005728DD" w:rsidRDefault="005728DD" w:rsidP="005728DD">
      <w:pPr>
        <w:pStyle w:val="TextoNormal"/>
      </w:pPr>
      <w:r>
        <w:lastRenderedPageBreak/>
        <w:t>Tales llamamientos se produjeron antes y en la fecha en la que el referéndum había sido convocado, pese a que era ya entonces notorio que la magistrada instructora de las diligencias penales incoadas ante la Sala de lo Civil y Penal del Tribunal Superior de Justicia de Cataluña había dictado auto de fecha 27 de septiembre de 2017 por el que ordenó a la policía autonómica catalana y al resto de cuerpos policiales operativos en Cataluña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aquí se dispone, y con observancia de lo dispuesto en el artículo 46.2 de la Ley Orgánica de fuerzas y cuerpos de seguridad y en el artículo 2.3 a) del Decreto 770/2017, de 28 de julio. Líbrense los oficios oportunos a los respectivos mandos de Mossos d’Esquadra, Guardia Civil y Policía Nacional”.</w:t>
      </w:r>
    </w:p>
    <w:p w:rsidR="005728DD" w:rsidRDefault="005728DD" w:rsidP="005728DD">
      <w:pPr>
        <w:pStyle w:val="TextoNormal"/>
      </w:pPr>
    </w:p>
    <w:p w:rsidR="005728DD" w:rsidRDefault="005728DD" w:rsidP="005728DD">
      <w:pPr>
        <w:pStyle w:val="TextoNormal"/>
      </w:pPr>
      <w:r>
        <w:t>No obstante la prohibición judicial, los centros escolares permanecieron abiertos desde el día anterior a la votación y, en gran parte, fueron ocupados por partidarios del referéndum que respondieron a las convocatorias que promovieron su presencia para evitar el cierre de locales y espacios públicos que había sido ordenado judicialmente.</w:t>
      </w:r>
    </w:p>
    <w:p w:rsidR="005728DD" w:rsidRDefault="005728DD" w:rsidP="005728DD">
      <w:pPr>
        <w:pStyle w:val="TextoNormal"/>
      </w:pPr>
    </w:p>
    <w:p w:rsidR="005728DD" w:rsidRDefault="005728DD" w:rsidP="005728DD">
      <w:pPr>
        <w:pStyle w:val="TextoNormal"/>
      </w:pPr>
      <w:r>
        <w:t>El día 1 de octubre de 2017, multitud de ciudadanos, atendiendo a los reiterados llamamientos, tanto de los líderes de las entidades ya reseñadas, como de otros actores políticos y medios, acudieron y permanecieron en los centros señalados para la emisión de voto. A varios de estos acudieron agentes del Cuerpo Nacional de Policía y de la Guardia Civil, con el propósito de dar cumplimiento a lo ordenado por el Tribunal Superior de Justicia de Cataluña.</w:t>
      </w:r>
    </w:p>
    <w:p w:rsidR="005728DD" w:rsidRDefault="005728DD" w:rsidP="005728DD">
      <w:pPr>
        <w:pStyle w:val="TextoNormal"/>
      </w:pPr>
    </w:p>
    <w:p w:rsidR="005728DD" w:rsidRDefault="005728DD" w:rsidP="005728DD">
      <w:pPr>
        <w:pStyle w:val="TextoNormal"/>
      </w:pPr>
      <w:r>
        <w:t xml:space="preserve">El desarrollo de la jornada prevista para la votación se narra así en la decisión de condena: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 En la mayoría de </w:t>
      </w:r>
      <w:r>
        <w:lastRenderedPageBreak/>
        <w:t>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 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005728DD" w:rsidRDefault="005728DD" w:rsidP="005728DD">
      <w:pPr>
        <w:pStyle w:val="TextoNormal"/>
      </w:pPr>
    </w:p>
    <w:p w:rsidR="005728DD" w:rsidRDefault="005728DD" w:rsidP="005728DD">
      <w:pPr>
        <w:pStyle w:val="TextoNormal"/>
      </w:pPr>
      <w:r>
        <w:t>Según los datos hechos públicos por el gobierno de la Generalitat, el referéndum arrojó el siguiente resultado: de un total de 5 500 000 personas con derecho a voto, la cifra total de votantes ascendió a 2 286 217 personas.</w:t>
      </w:r>
    </w:p>
    <w:p w:rsidR="005728DD" w:rsidRDefault="005728DD" w:rsidP="005728DD">
      <w:pPr>
        <w:pStyle w:val="TextoNormal"/>
      </w:pPr>
    </w:p>
    <w:p w:rsidR="005728DD" w:rsidRDefault="005728DD" w:rsidP="005728DD">
      <w:pPr>
        <w:pStyle w:val="TextoNormal"/>
      </w:pPr>
      <w:r>
        <w:t xml:space="preserve">3.2. </w:t>
      </w:r>
      <w:r w:rsidRPr="005728DD">
        <w:rPr>
          <w:i/>
        </w:rPr>
        <w:t>La subsunción jurídica de la conducta del recurrente en el delito de sedición (arts. 544 y 545.1 CP</w:t>
      </w:r>
      <w:r>
        <w:t>).</w:t>
      </w:r>
    </w:p>
    <w:p w:rsidR="005728DD" w:rsidRDefault="005728DD" w:rsidP="005728DD">
      <w:pPr>
        <w:pStyle w:val="TextoNormal"/>
      </w:pPr>
    </w:p>
    <w:p w:rsidR="005728DD" w:rsidRDefault="005728DD" w:rsidP="005728DD">
      <w:pPr>
        <w:pStyle w:val="TextoNormal"/>
      </w:pPr>
      <w:r>
        <w:t>Atendiendo al juicio de tipicidad expresado en la sentencia cuestionada, cabe anticipar que el recurrente ha sido condenado por movilizar a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habían sido cautelarmente suspendidas.</w:t>
      </w:r>
    </w:p>
    <w:p w:rsidR="005728DD" w:rsidRDefault="005728DD" w:rsidP="005728DD">
      <w:pPr>
        <w:pStyle w:val="TextoNormal"/>
      </w:pPr>
    </w:p>
    <w:p w:rsidR="005728DD" w:rsidRDefault="005728DD" w:rsidP="005728DD">
      <w:pPr>
        <w:pStyle w:val="TextoNormal"/>
      </w:pPr>
      <w:r>
        <w:t>A) Dicha apreciación de la sala enjuiciadora se apoya en una comprensión del delito de sedición expresada en la decisión de condena en los siguientes términos:</w:t>
      </w:r>
    </w:p>
    <w:p w:rsidR="005728DD" w:rsidRDefault="005728DD" w:rsidP="005728DD">
      <w:pPr>
        <w:pStyle w:val="TextoNormal"/>
      </w:pPr>
    </w:p>
    <w:p w:rsidR="005728DD" w:rsidRDefault="005728DD" w:rsidP="005728DD">
      <w:pPr>
        <w:pStyle w:val="TextoNormal"/>
      </w:pPr>
      <w:r>
        <w:t>a) Pese a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al recurrente— actúan con la intención de impedir u obstruir la legítima voluntad legislativa, gubernativa o jurisdiccional, siendo indiferente a su calificación penal la finalidad última que anima dicha conducta obstativa.</w:t>
      </w:r>
    </w:p>
    <w:p w:rsidR="005728DD" w:rsidRDefault="005728DD" w:rsidP="005728DD">
      <w:pPr>
        <w:pStyle w:val="TextoNormal"/>
      </w:pPr>
    </w:p>
    <w:p w:rsidR="005728DD" w:rsidRDefault="005728DD" w:rsidP="005728DD">
      <w:pPr>
        <w:pStyle w:val="TextoNormal"/>
      </w:pPr>
      <w:r>
        <w:t>b) Pese a su ubicación sistemática como “delito contra el orden público” (título vigésimo segundo, capítulo primero, del Código penal) la Sala entiende más correcto, a efectos de ordenación, atender en cada caso concreto al interés protegido en cada uno de los distintos tipos penales incluidos en dicho título.</w:t>
      </w:r>
    </w:p>
    <w:p w:rsidR="005728DD" w:rsidRDefault="005728DD" w:rsidP="005728DD">
      <w:pPr>
        <w:pStyle w:val="TextoNormal"/>
      </w:pPr>
    </w:p>
    <w:p w:rsidR="005728DD" w:rsidRDefault="005728DD" w:rsidP="005728DD">
      <w:pPr>
        <w:pStyle w:val="TextoNormal"/>
      </w:pPr>
      <w: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w:t>
      </w:r>
      <w:r w:rsidRPr="005728DD">
        <w:rPr>
          <w:i/>
        </w:rPr>
        <w:t>aliud</w:t>
      </w:r>
      <w:r>
        <w:t xml:space="preserve">)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w:t>
      </w:r>
      <w:r>
        <w:lastRenderedPageBreak/>
        <w:t>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005728DD" w:rsidRDefault="005728DD" w:rsidP="005728DD">
      <w:pPr>
        <w:pStyle w:val="TextoNormal"/>
      </w:pPr>
    </w:p>
    <w:p w:rsidR="005728DD" w:rsidRDefault="005728DD" w:rsidP="005728DD">
      <w:pPr>
        <w:pStyle w:val="TextoNormal"/>
      </w:pPr>
      <w:r>
        <w:t>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005728DD" w:rsidRDefault="005728DD" w:rsidP="005728DD">
      <w:pPr>
        <w:pStyle w:val="TextoNormal"/>
      </w:pPr>
    </w:p>
    <w:p w:rsidR="005728DD" w:rsidRDefault="005728DD" w:rsidP="005728DD">
      <w:pPr>
        <w:pStyle w:val="TextoNormal"/>
      </w:pPr>
      <w:r>
        <w:t>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005728DD" w:rsidRDefault="005728DD" w:rsidP="005728DD">
      <w:pPr>
        <w:pStyle w:val="TextoNormal"/>
      </w:pPr>
    </w:p>
    <w:p w:rsidR="005728DD" w:rsidRDefault="005728DD" w:rsidP="005728DD">
      <w:pPr>
        <w:pStyle w:val="TextoNormal"/>
      </w:pPr>
      <w:r>
        <w:t>La aplicación de los anteriores criterios a los hechos declarados probados, hace a la Sala concluir que:</w:t>
      </w:r>
    </w:p>
    <w:p w:rsidR="005728DD" w:rsidRDefault="005728DD" w:rsidP="005728DD">
      <w:pPr>
        <w:pStyle w:val="TextoNormal"/>
      </w:pPr>
    </w:p>
    <w:p w:rsidR="005728DD" w:rsidRDefault="005728DD" w:rsidP="005728DD">
      <w:pPr>
        <w:pStyle w:val="TextoNormal"/>
      </w:pPr>
      <w:r>
        <w:t>(i)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5728DD" w:rsidRDefault="005728DD" w:rsidP="005728DD">
      <w:pPr>
        <w:pStyle w:val="TextoNormal"/>
      </w:pPr>
    </w:p>
    <w:p w:rsidR="005728DD" w:rsidRDefault="005728DD" w:rsidP="005728DD">
      <w:pPr>
        <w:pStyle w:val="TextoNormal"/>
      </w:pPr>
      <w:r>
        <w:t xml:space="preserve">(ii)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del tipo de rebelión, suponían un intento </w:t>
      </w:r>
      <w:r>
        <w:lastRenderedPageBreak/>
        <w:t>de derogación de la legislación válida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t>B) La consideración del recurrente como autor de un delito de sedición se justifica señalando que, en su condición de líder de la asociación Òmnium Cultural, puso su acreditada capacidad de movilización al servicio de un proyecto político que incluía la creación de una legalidad de ruptura con las bases del sistema constitucional, con el objetivo de presionar al Gobierno de la Nación mediante la celebración de una consulta ciudadana que fue presentada ante la opinión pública como la genuina expresión del ejercicio del derecho de autodeterminación. Se afirma que, para ello, era indispensable la movilización de miles de ciudadanos que, llegado el momento, pudieran oponer una resistencia activa, aunque pacífica, al cumplimiento de los mandatos dictados por los jueces y tribunales. La Sala reitera que ningún episodio de la trayectoria del recurrente promoviendo o liderando actuaciones reivindicativas de carácter independentista merece reproche penal, pero sí lo merece el hecho de promover la oposición material a la ejecución policial de las decisiones del Tribunal Constitucional, o de otros tribunales, dirigidas a tutelar el ordenamiento jurídico vigente frente a las actuaciones dirigidas a desconocerlo o desbordarlo.</w:t>
      </w:r>
    </w:p>
    <w:p w:rsidR="005728DD" w:rsidRDefault="005728DD" w:rsidP="005728DD">
      <w:pPr>
        <w:pStyle w:val="TextoNormal"/>
      </w:pPr>
    </w:p>
    <w:p w:rsidR="005728DD" w:rsidRDefault="005728DD" w:rsidP="005728DD">
      <w:pPr>
        <w:pStyle w:val="TextoNormal"/>
      </w:pPr>
      <w:r>
        <w:t>Tras recordar sus manifestaciones públicas a lo largo del año 2017, en diferentes movilizaciones y actos públicos en favor del referéndum sobre la independencia de Cataluña, la Sala se detiene en el protagonismo que mantuvo el día 20 de septiembre durante el desarrollo de la concentración antes reseñada; concentración de protesta que, según se afirma, fue promovida, una vez convocada la consulta, con el fin de impedir por la vía de los hechos el cumplimiento de las decisiones judiciales que habían acordado diversos registros en dependencias del Gobierno de la Generalitat de Cataluña, dirigidas a encontrar elementos y datos que permitieran depurar las responsabilidades derivadas de la preparación y convocatoria del referéndum.</w:t>
      </w:r>
    </w:p>
    <w:p w:rsidR="005728DD" w:rsidRDefault="005728DD" w:rsidP="005728DD">
      <w:pPr>
        <w:pStyle w:val="TextoNormal"/>
      </w:pPr>
    </w:p>
    <w:p w:rsidR="005728DD" w:rsidRDefault="005728DD" w:rsidP="005728DD">
      <w:pPr>
        <w:pStyle w:val="TextoNormal"/>
      </w:pPr>
      <w:r>
        <w:t>En lo que considera episodio clave del juicio de autoría, la Sala se refiere a la jornada de votación del 1 de octubre de 2017. Admite que la iniciativa de mantener abiertos desde el día anterior los locales públicos previstos para la votación, y su ocupación por partidarios del referéndum dirigida a hacer imposible el cumplimiento de las resoluciones judiciales que prohibían su celebración, no fue iniciativa directa del recurrente. No obstante lo cual, se afirma que ese movimiento fue apoyado, estimulado, multiplicado y alentado por el recurrente, como admitió en su declaración en el juicio oral. La Sala considera que la ocupación previa de los locales estaba indudablemente dirigida a impedir que los centros fuesen cerrados y a cerrar el paso a cualquier agente que pretendiese impedir u obstaculizar el desarrollo del referéndum. Los ciudadanos asistentes, convocados al efecto, impidieron físicamente a los agentes de la autoridad el acceso a los locales; lo hicieron mediante una oposición activa, una auténtica resistencia dirigida no ya a votar, sino a favorecer la participación de otros, impidiendo que se cerraran los centros de votación y se requisara el material preparado al efecto para hacerlo posible (urnas, papeletas y demás parafernalia). Señala el juicio de autoría que fue la acumulación de partidarios de la votación, en todo el territorio de Cataluña, su superioridad numérica aplastante y disuasoria y la actitud de resistencia pasiva —en ocasiones activa—, lo que impidió la tarea policial encomendada.</w:t>
      </w:r>
    </w:p>
    <w:p w:rsidR="005728DD" w:rsidRDefault="005728DD" w:rsidP="005728DD">
      <w:pPr>
        <w:pStyle w:val="TextoNormal"/>
      </w:pPr>
    </w:p>
    <w:p w:rsidR="005728DD" w:rsidRDefault="005728DD" w:rsidP="005728DD">
      <w:pPr>
        <w:pStyle w:val="TextoNormal"/>
      </w:pPr>
      <w:r>
        <w:lastRenderedPageBreak/>
        <w:t>La decisión de condena concluye con estas palabras: “Lo sucedido el 1 de octubre no fue solo una manifestación o un acto masivo de protesta ciudadana. Si hubiese sido eso no habría reacción penal. Fue un levantamiento tumultuario alentado por el acusado entre muchas otras personas para convertir en papel mojado —con el uso de vías de hecho y fuerza física— unas decisiones judiciales del Tribunal Constitucional y del Tribunal Superior de Justicia de Cataluña. Nada habría que reprochar si la actuación se hubiese concretado en concentraciones masivas, protestas multitudinarias, manifestaciones con lemas duros y combativos. Todo eso está no solo protegido sino incluso estimulado por el texto constitucional y el espíritu que lo anima. Pero lo que no puede tolerar nuestra Constitución ni la Ley Fundamental de ningún Estado democrático, es supeditar una de las más elementales exigencias del Estado de Derecho, esto es, el acatamiento de la decisión de un tribunal —que no adhesión ni aplauso, ni inmunidad ante la crítica— a la voluntad de una, diez, mil, miles o millones de personas. Máxime cuando hay otro tanto numérico de ciudadanos que confían en esa decisión y la respetan e incluso la comparten, y quieren confiar en que también ellos serán protegidos por el Estado de Derecho”.</w:t>
      </w:r>
    </w:p>
    <w:p w:rsidR="005728DD" w:rsidRDefault="005728DD" w:rsidP="005728DD">
      <w:pPr>
        <w:pStyle w:val="TextoNormal"/>
      </w:pPr>
    </w:p>
    <w:p w:rsidR="005728DD" w:rsidRDefault="005728DD" w:rsidP="005728DD">
      <w:pPr>
        <w:pStyle w:val="TextoNormal"/>
      </w:pPr>
      <w:r>
        <w:t xml:space="preserve">3.3. </w:t>
      </w:r>
      <w:r w:rsidRPr="005728DD">
        <w:rPr>
          <w:i/>
        </w:rPr>
        <w:t>Referencia a la actividad institucional relevante relacionada con los hechos enjuiciados, y a su enjuiciamiento constitucional</w:t>
      </w:r>
      <w:r>
        <w:t>.</w:t>
      </w:r>
    </w:p>
    <w:p w:rsidR="005728DD" w:rsidRDefault="005728DD" w:rsidP="005728DD">
      <w:pPr>
        <w:pStyle w:val="TextoNormal"/>
      </w:pPr>
    </w:p>
    <w:p w:rsidR="005728DD" w:rsidRDefault="005728DD" w:rsidP="005728DD">
      <w:pPr>
        <w:pStyle w:val="TextoNormal"/>
      </w:pPr>
      <w:r>
        <w:t>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las siguientes diez decisiones parlamentarias o gubernamentales sometidas a consideración ante este tribunal, que fueron declaradas inconstitucionales:</w:t>
      </w:r>
    </w:p>
    <w:p w:rsidR="005728DD" w:rsidRDefault="005728DD" w:rsidP="005728DD">
      <w:pPr>
        <w:pStyle w:val="TextoNormal"/>
      </w:pPr>
    </w:p>
    <w:p w:rsidR="005728DD" w:rsidRDefault="005728DD" w:rsidP="005728DD">
      <w:pPr>
        <w:pStyle w:val="TextoNormal"/>
      </w:pPr>
      <w:r>
        <w:t>(i)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005728DD" w:rsidRDefault="005728DD" w:rsidP="005728DD">
      <w:pPr>
        <w:pStyle w:val="TextoNormal"/>
      </w:pPr>
    </w:p>
    <w:p w:rsidR="005728DD" w:rsidRDefault="005728DD" w:rsidP="005728DD">
      <w:pPr>
        <w:pStyle w:val="TextoNormal"/>
      </w:pPr>
      <w:r>
        <w:t xml:space="preserve">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1/XI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w:t>
      </w:r>
      <w:r>
        <w:lastRenderedPageBreak/>
        <w:t>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005728DD" w:rsidRDefault="005728DD" w:rsidP="005728DD">
      <w:pPr>
        <w:pStyle w:val="TextoNormal"/>
      </w:pPr>
    </w:p>
    <w:p w:rsidR="005728DD" w:rsidRDefault="005728DD" w:rsidP="005728DD">
      <w:pPr>
        <w:pStyle w:val="TextoNormal"/>
      </w:pPr>
      <w:r>
        <w:t>(ii)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005728DD" w:rsidRDefault="005728DD" w:rsidP="005728DD">
      <w:pPr>
        <w:pStyle w:val="TextoNormal"/>
      </w:pPr>
    </w:p>
    <w:p w:rsidR="005728DD" w:rsidRDefault="005728DD" w:rsidP="005728DD">
      <w:pPr>
        <w:pStyle w:val="TextoNormal"/>
      </w:pPr>
      <w:r>
        <w:t>(iii)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005728DD" w:rsidRDefault="005728DD" w:rsidP="005728DD">
      <w:pPr>
        <w:pStyle w:val="TextoNormal"/>
      </w:pPr>
    </w:p>
    <w:p w:rsidR="005728DD" w:rsidRDefault="005728DD" w:rsidP="005728DD">
      <w:pPr>
        <w:pStyle w:val="TextoNormal"/>
      </w:pPr>
      <w:r>
        <w:t>(iv) Resolución 306/XI, de 4 de octubre de 2016,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005728DD" w:rsidRDefault="005728DD" w:rsidP="005728DD">
      <w:pPr>
        <w:pStyle w:val="TextoNormal"/>
      </w:pPr>
    </w:p>
    <w:p w:rsidR="005728DD" w:rsidRDefault="005728DD" w:rsidP="005728DD">
      <w:pPr>
        <w:pStyle w:val="TextoNormal"/>
      </w:pPr>
      <w:r>
        <w:t>Lo expuesto no impidió la convocatoria del proyectado referéndum, previa aprobación de su norma reguladora. Lo que dio lugar a nuevos pronunciamientos de este tribunal.</w:t>
      </w:r>
    </w:p>
    <w:p w:rsidR="005728DD" w:rsidRDefault="005728DD" w:rsidP="005728DD">
      <w:pPr>
        <w:pStyle w:val="TextoNormal"/>
      </w:pPr>
    </w:p>
    <w:p w:rsidR="005728DD" w:rsidRDefault="005728DD" w:rsidP="005728DD">
      <w:pPr>
        <w:pStyle w:val="TextoNormal"/>
      </w:pPr>
      <w:r>
        <w:t xml:space="preserve">(v)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w:t>
      </w:r>
      <w:r>
        <w:lastRenderedPageBreak/>
        <w:t>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005728DD" w:rsidRDefault="005728DD" w:rsidP="005728DD">
      <w:pPr>
        <w:pStyle w:val="TextoNormal"/>
      </w:pPr>
    </w:p>
    <w:p w:rsidR="005728DD" w:rsidRDefault="005728DD" w:rsidP="005728DD">
      <w:pPr>
        <w:pStyle w:val="TextoNormal"/>
      </w:pPr>
      <w:r>
        <w:t>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005728DD" w:rsidRDefault="005728DD" w:rsidP="005728DD">
      <w:pPr>
        <w:pStyle w:val="TextoNormal"/>
      </w:pPr>
    </w:p>
    <w:p w:rsidR="005728DD" w:rsidRDefault="005728DD" w:rsidP="005728DD">
      <w:pPr>
        <w:pStyle w:val="TextoNormal"/>
      </w:pPr>
      <w:r>
        <w:t>(vi)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005728DD" w:rsidRDefault="005728DD" w:rsidP="005728DD">
      <w:pPr>
        <w:pStyle w:val="TextoNormal"/>
      </w:pPr>
    </w:p>
    <w:p w:rsidR="005728DD" w:rsidRDefault="005728DD" w:rsidP="005728DD">
      <w:pPr>
        <w:pStyle w:val="TextoNormal"/>
      </w:pPr>
      <w:r>
        <w:t>(vii)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SSTC 121/2017 y 122/2017, de 31 de octubre.</w:t>
      </w:r>
    </w:p>
    <w:p w:rsidR="005728DD" w:rsidRDefault="005728DD" w:rsidP="005728DD">
      <w:pPr>
        <w:pStyle w:val="TextoNormal"/>
      </w:pPr>
    </w:p>
    <w:p w:rsidR="005728DD" w:rsidRDefault="005728DD" w:rsidP="005728DD">
      <w:pPr>
        <w:pStyle w:val="TextoNormal"/>
      </w:pPr>
      <w:r>
        <w:t>(viii)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005728DD" w:rsidRDefault="005728DD" w:rsidP="005728DD">
      <w:pPr>
        <w:pStyle w:val="TextoNormal"/>
      </w:pPr>
    </w:p>
    <w:p w:rsidR="005728DD" w:rsidRDefault="005728DD" w:rsidP="005728DD">
      <w:pPr>
        <w:pStyle w:val="TextoNormal"/>
      </w:pPr>
      <w:r>
        <w:t>(ix)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005728DD" w:rsidRDefault="005728DD" w:rsidP="005728DD">
      <w:pPr>
        <w:pStyle w:val="TextoNormal"/>
      </w:pPr>
    </w:p>
    <w:p w:rsidR="005728DD" w:rsidRDefault="005728DD" w:rsidP="005728DD">
      <w:pPr>
        <w:pStyle w:val="TextoNormal"/>
      </w:pPr>
      <w:r>
        <w:lastRenderedPageBreak/>
        <w:t>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005728DD" w:rsidRDefault="005728DD" w:rsidP="005728DD">
      <w:pPr>
        <w:pStyle w:val="TextoNormal"/>
      </w:pPr>
    </w:p>
    <w:p w:rsidR="005728DD" w:rsidRDefault="005728DD" w:rsidP="005728DD">
      <w:pPr>
        <w:pStyle w:val="TextoNormal"/>
      </w:pPr>
      <w:r>
        <w:t>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005728DD" w:rsidRDefault="005728DD" w:rsidP="005728DD">
      <w:pPr>
        <w:pStyle w:val="TextoNormal"/>
      </w:pPr>
    </w:p>
    <w:p w:rsidR="005728DD" w:rsidRDefault="005728DD" w:rsidP="005728DD">
      <w:pPr>
        <w:pStyle w:val="TextoNormal"/>
      </w:pPr>
      <w:r>
        <w:t>(x)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005728DD" w:rsidRDefault="005728DD" w:rsidP="005728DD">
      <w:pPr>
        <w:pStyle w:val="TextoNormal"/>
      </w:pPr>
    </w:p>
    <w:p w:rsidR="005728DD" w:rsidRDefault="005728DD" w:rsidP="005728DD">
      <w:pPr>
        <w:pStyle w:val="TextoNormal"/>
      </w:pPr>
      <w:r>
        <w:t xml:space="preserve">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w:t>
      </w:r>
      <w:r>
        <w:lastRenderedPageBreak/>
        <w:t>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005728DD" w:rsidRDefault="005728DD" w:rsidP="005728DD">
      <w:pPr>
        <w:pStyle w:val="TextoNormal"/>
      </w:pPr>
    </w:p>
    <w:p w:rsidR="005728DD" w:rsidRDefault="005728DD" w:rsidP="005728DD">
      <w:pPr>
        <w:pStyle w:val="TextoNormal"/>
      </w:pPr>
      <w:r>
        <w:t>La solicitud de adopción de dichas medidas y el acuerdo del Senado que las autorizó fueron sometidas a control de este tribunal en sendos recursos de inconstitucionalidad, que dieron lugar a las SSTC 89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005728DD" w:rsidRDefault="005728DD" w:rsidP="005728DD">
      <w:pPr>
        <w:pStyle w:val="TextoNormal"/>
      </w:pPr>
    </w:p>
    <w:p w:rsidR="005728DD" w:rsidRDefault="005728DD" w:rsidP="005728DD">
      <w:pPr>
        <w:pStyle w:val="TextoNormal"/>
      </w:pPr>
      <w:r>
        <w:t>Resulta oportuno destacar ahora que, al valorar la concurrencia del presupuesto habilitante recogido en el art. 155 de la Constitución,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005728DD" w:rsidRDefault="005728DD" w:rsidP="005728DD">
      <w:pPr>
        <w:pStyle w:val="TextoNormal"/>
      </w:pPr>
    </w:p>
    <w:p w:rsidR="005728DD" w:rsidRDefault="005728DD" w:rsidP="005728DD">
      <w:pPr>
        <w:pStyle w:val="TextoNormal"/>
      </w:pPr>
      <w:r>
        <w:t xml:space="preserve">Al ratificar las medidas adoptadas, señalamos en la STC 89/2019 cómo “ante la evidencia de un gobierno que ha provocado una grave crisis constitucional, con la proclamación de una ‘república catalana’ (ficticia en Derecho, pero afirmada y propugnada </w:t>
      </w:r>
      <w:r w:rsidRPr="005728DD">
        <w:rPr>
          <w:i/>
        </w:rPr>
        <w:t>de facto</w:t>
      </w:r>
      <w:r>
        <w:t>)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005728DD" w:rsidRDefault="005728DD" w:rsidP="005728DD">
      <w:pPr>
        <w:pStyle w:val="TextoNormal"/>
      </w:pPr>
    </w:p>
    <w:p w:rsidR="005728DD" w:rsidRDefault="005728DD" w:rsidP="005728DD">
      <w:pPr>
        <w:pStyle w:val="TextoNormal"/>
      </w:pPr>
      <w:r>
        <w:t>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005728DD" w:rsidRDefault="005728DD" w:rsidP="005728DD">
      <w:pPr>
        <w:pStyle w:val="TextoNormal"/>
      </w:pPr>
    </w:p>
    <w:p w:rsidR="005728DD" w:rsidRDefault="005728DD" w:rsidP="005728DD">
      <w:pPr>
        <w:pStyle w:val="TextoNormal"/>
      </w:pPr>
      <w:r>
        <w:t>En definitiva, cabe concluir que el intento de quebrar la unidad de la Nación española constituida en Estado social y democrático de Derecho (arts. 1, apartados 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005728DD" w:rsidRDefault="005728DD" w:rsidP="005728DD">
      <w:pPr>
        <w:pStyle w:val="TextoNormal"/>
      </w:pPr>
    </w:p>
    <w:p w:rsidR="005728DD" w:rsidRDefault="005728DD" w:rsidP="005728DD">
      <w:pPr>
        <w:pStyle w:val="TextoNormal"/>
      </w:pPr>
      <w:r>
        <w:t>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El derecho al juez ordinario predeterminado por la ley</w:t>
      </w:r>
      <w:r>
        <w:t>.</w:t>
      </w:r>
    </w:p>
    <w:p w:rsidR="005728DD" w:rsidRDefault="005728DD" w:rsidP="005728DD">
      <w:pPr>
        <w:pStyle w:val="TextoNormal"/>
      </w:pPr>
    </w:p>
    <w:p w:rsidR="005728DD" w:rsidRDefault="005728DD" w:rsidP="005728DD">
      <w:pPr>
        <w:pStyle w:val="TextoNormal"/>
      </w:pPr>
      <w:r>
        <w:t xml:space="preserve">4.1. </w:t>
      </w:r>
      <w:r w:rsidRPr="005728DD">
        <w:rPr>
          <w:i/>
        </w:rPr>
        <w:t>Posiciones de las partes</w:t>
      </w:r>
      <w:r>
        <w:t>.</w:t>
      </w:r>
    </w:p>
    <w:p w:rsidR="005728DD" w:rsidRDefault="005728DD" w:rsidP="005728DD">
      <w:pPr>
        <w:pStyle w:val="TextoNormal"/>
      </w:pPr>
    </w:p>
    <w:p w:rsidR="005728DD" w:rsidRDefault="005728DD" w:rsidP="005728DD">
      <w:pPr>
        <w:pStyle w:val="TextoNormal"/>
      </w:pPr>
      <w:r>
        <w:t>El primer motivo formulado en la demanda de amparo nos obliga a determinar si han vulnerado el derecho al juez ordinario predeterminado por la ley las decisiones por las que la Sala de lo Penal del Tribunal Supremo asumió, extendió y mantuvo la competencia objetiva para la averiguación y enjuiciamiento de los hechos que le fueron atribuidos como delictivos en la querella presentada por el Ministerio Fiscal ante la propia Sala y, previamente, en la denuncia formalizada ante la Audiencia Nacional.</w:t>
      </w:r>
    </w:p>
    <w:p w:rsidR="005728DD" w:rsidRDefault="005728DD" w:rsidP="005728DD">
      <w:pPr>
        <w:pStyle w:val="TextoNormal"/>
      </w:pPr>
    </w:p>
    <w:p w:rsidR="005728DD" w:rsidRDefault="005728DD" w:rsidP="005728DD">
      <w:pPr>
        <w:pStyle w:val="TextoNormal"/>
      </w:pPr>
      <w:r>
        <w:t xml:space="preserve">La queja se apoya en tres argumentos básicos: (i) el recurrente sostiene que el Tribunal Supremo se ha conferido la competencia para la instrucción y enjuiciamiento de la causa penal modificando de forma injustificada y </w:t>
      </w:r>
      <w:r w:rsidRPr="005728DD">
        <w:rPr>
          <w:i/>
        </w:rPr>
        <w:t>ad hoc</w:t>
      </w:r>
      <w:r>
        <w:t xml:space="preserve"> el criterio establecido de forma reiterada en diversas resoluciones citadas como referencia; (ii) afirma, además, que es inconstitucional la previsión establecida por el art. 21 LECrim, según la cual, la Sala de lo Penal del Tribunal Supremo no puede formar o promover competencias, y ningún juez, tribunal o parte podrá promoverlas contra él: considera que dicha previsión normativa debe entenderse derogada tras la aprobación de la Constitución, porque se opone al contenido del derecho al juez ordinario predeterminado por la ley y a un proceso con todas las garantías, en tanto impide al justiciable discutir o impugnar la competencia del Tribunal Supremo, durante el desarrollo de la causa, ante otro tribunal; (iii) por último, difiere de varios de los criterios utilizados para afirmar la propia competencia; específicamente de los que se refieren a la relevancia de las contribuciones fácticas concertadas no necesariamente violentas, pero vinculadas al elemento tendencial del delito de rebelión (proclamar la independencia), que, según la denuncia, la querella y los escritos de acusación, se desarrollaron fuera del territorio </w:t>
      </w:r>
      <w:r>
        <w:lastRenderedPageBreak/>
        <w:t>de Cataluña; a la inescindibilidad de los hechos investigados o enjuiciados, pues propugna en su favor una interpretación restrictiva de la previsión legal que permite enjuiciar conjuntamente los hechos que guarden entre sí conexión procesal (art. 17.3 LECrim) y, por fin, a la declarada diferencia entre los delitos objeto de acusación en cada caso, que impide dar a la presente causa la misma solución competencial que a los precedentes alegados.</w:t>
      </w:r>
    </w:p>
    <w:p w:rsidR="005728DD" w:rsidRDefault="005728DD" w:rsidP="005728DD">
      <w:pPr>
        <w:pStyle w:val="TextoNormal"/>
      </w:pPr>
    </w:p>
    <w:p w:rsidR="005728DD" w:rsidRDefault="005728DD" w:rsidP="005728DD">
      <w:pPr>
        <w:pStyle w:val="TextoNormal"/>
      </w:pPr>
      <w:r>
        <w:t xml:space="preserve">El abogado del Estado alega en favor de la desestimación de la queja. Aduce que los órganos judiciales no han llevado a cabo una interpretación que suponga una manipulación manifiesta de las reglas legales sobre atribución de competencias ni, al aplicarlas, han incurrido en error patente, irrazonabilidad manifiesta o arbitrariedad. Afirma que el demandante no ha cumplido con la carga de criticar fundadamente los argumentos expuestos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la competencia no ha sido judicialmente determinada mediante un criterio </w:t>
      </w:r>
      <w:r w:rsidRPr="005728DD">
        <w:rPr>
          <w:i/>
        </w:rPr>
        <w:t>ad hoc</w:t>
      </w:r>
      <w:r>
        <w:t xml:space="preserve"> que se aparte infundadamente de anteriores precedentes, sino atendiendo a un juicio </w:t>
      </w:r>
      <w:r w:rsidRPr="005728DD">
        <w:rPr>
          <w:i/>
        </w:rPr>
        <w:t>ex ante</w:t>
      </w:r>
      <w:r>
        <w:t xml:space="preserve"> que versa sobre el contenido fáctico y jurídico de la pretensión acusatoria, que no puede verse revertido ni afectado por la decisión final de condena. Descarta también la alegada inconstitucionalidad del art. 21 LECrim, dado el carácter de órgano jurisdiccional superior en todos los órdenes que corresponde al Tribunal Supremo. Comparte con la Sala enjuiciadora que parte de los hechos enjuiciados acaecieron fuera del territorio de Cataluña, dado que los delitos de rebelión y sedición de los que fue acusado el demandante son de comisión plural o colectiva, de forma que no todos sus autores realizan por sí los elementos nucleares del tipo (ATS de 18 de enero de 2019, que desestimó la súplica presentada sobre la declinatoria de jurisdicción). Por fin, sostiene que los hechos enjuiciados son procesalmente inescindibles, dado que, como razonó el magistrado instructor “solo la intervención coordinada de los miembros del Gobierno de la Generalitat de Cataluña, con la presidenta del Parlament y con la que desplegaron los presidentes de las asociaciones Òmnium y ANC, podía llenar el contenido del injusto contemplado en los delitos de rebelión y/o sedición de que fueron acusados, por lo que se justificaba la instrucción conjunta de su comportamiento, con independencia de que estuvieran o no aforados”.</w:t>
      </w:r>
    </w:p>
    <w:p w:rsidR="005728DD" w:rsidRDefault="005728DD" w:rsidP="005728DD">
      <w:pPr>
        <w:pStyle w:val="TextoNormal"/>
      </w:pPr>
    </w:p>
    <w:p w:rsidR="005728DD" w:rsidRDefault="005728DD" w:rsidP="005728DD">
      <w:pPr>
        <w:pStyle w:val="TextoNormal"/>
      </w:pPr>
      <w:r>
        <w:t>En sus alegaciones, el Ministerio Fiscal propone también la desestimación de la queja. Con apoyo en la previsión establecida en el art. 57.2 EAC, el relato de hechos y los delitos atribuidos al demandante en la denuncia inicial, la posterior querella y los escritos de acusación, considera que la determinación de la competencia se realizó fundadamente atendiendo a dos criterios previstos en la ley: la condición de diputados del Parlamento de Cataluña de buena parte de los investigados, y el elemento geográfico basado en el lugar de comisión de parte de los hechos investigados, sobre los que se apoyó la acusación. A partir de estas consideraciones, la coautoría que se imputaba al recurrente —no aforado— exigía su enjuiciamiento conjunto con el resto de las personas aforadas.</w:t>
      </w:r>
    </w:p>
    <w:p w:rsidR="005728DD" w:rsidRDefault="005728DD" w:rsidP="005728DD">
      <w:pPr>
        <w:pStyle w:val="TextoNormal"/>
      </w:pPr>
    </w:p>
    <w:p w:rsidR="005728DD" w:rsidRDefault="005728DD" w:rsidP="005728DD">
      <w:pPr>
        <w:pStyle w:val="TextoNormal"/>
      </w:pPr>
      <w:r>
        <w:t xml:space="preserve">Tras exponer la doctrina constitucional sobre el derecho alegado, que resume, el Ministerio Fiscal solicita la desestimación de la queja tras considerar fundada la aplicación, en este caso, de la denominada “doctrina de la ubicuidad”, según la cual, el delito se comete en cualquiera de los territorios donde se realizan algunos de los elementos del tipo. Por lo que concluye afirmando que “la argumentación desplegada tanto en las diversas resoluciones anteriores al juicio oral, como en la sentencia, ha sido fuertemente motivada y resulta más </w:t>
      </w:r>
      <w:r>
        <w:lastRenderedPageBreak/>
        <w:t>que suficientemente razonada y razonable, amén de no contradictoria con sus precedentes”. En la causa se habría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w:t>
      </w:r>
    </w:p>
    <w:p w:rsidR="005728DD" w:rsidRDefault="005728DD" w:rsidP="005728DD">
      <w:pPr>
        <w:pStyle w:val="TextoNormal"/>
      </w:pPr>
    </w:p>
    <w:p w:rsidR="005728DD" w:rsidRDefault="005728DD" w:rsidP="005728DD">
      <w:pPr>
        <w:pStyle w:val="TextoNormal"/>
      </w:pPr>
      <w:r>
        <w:t>Por su parte, la representación procesal del partido político Vox postula también la desestimación de esta queja. Con referencia a la STC 183/1999, de 11 de octubre, considera que “no se desprende del motivo desarrollado por el demandante una interpretación ‘manifiestamente errónea, irrazonable o arbitraria’ en el modo así considerado por este tribunal respecto a la competencia del Tribunal Supremo para enjuiciar los hechos de la que trae causa el presente recurso de amparo”. Añade que nunca podría darse la vulneración de este derecho puesto que el propio artículo 2 del Protocolo 7 CEDH, en su apartado segundo, establece que el derecho al doble grado de jurisdicción penal “podrá ser objeto de excepciones […] cuando el interesado haya sido juzgado en primera instancia por el más alto tribunal, lo que refuerza la falta de fundamento del presente motivo del recurso”. Admite que, aunque en este caso pueda ser sometido a debate el ámbito geográfico de los delitos investigados y enjuiciados, “cuando no se puede decidir la competencia exactamente porque no se conoce el lugar o porque se duda —como es el caso— debemos acudir a la teoría de la ubicuidad”, conforme a la cual, “[e]l delito se comete en todas las jurisdicciones en las que se haya realizado algún elemento del tipo. En consecuencia, el juez de cualquiera de ellas que primero haya iniciado las actuaciones procesales, será en principio competente para la instrucción de la causa” (acuerdo del Pleno no jurisdiccional de la Sala de lo Penal del Tribunal Supremo de 3 de febrero de 2005).</w:t>
      </w:r>
    </w:p>
    <w:p w:rsidR="005728DD" w:rsidRDefault="005728DD" w:rsidP="005728DD">
      <w:pPr>
        <w:pStyle w:val="TextoNormal"/>
      </w:pPr>
    </w:p>
    <w:p w:rsidR="005728DD" w:rsidRDefault="005728DD" w:rsidP="005728DD">
      <w:pPr>
        <w:pStyle w:val="TextoNormal"/>
      </w:pPr>
      <w:r>
        <w:t>Dado que lo que se cuestiona en la demanda es la interpretación que la Sala de lo Penal del Tribunal Supremo ha hecho de las normas que establecen la competencia para la averiguación y enjuiciamiento de los hechos y delitos atribuidos al recurrente y otros acusados, la cual ha sido cuestionada en reiteradas ocasiones durante el desarrollo de la causa penal, iniciaremos nuestro análisis exponiendo el razonamiento judicial que justificó la asunción inicial, la posterior extensión a otros investigados, y el mantenimiento de la competencia objetiva para enjuiciar las pretensiones acusatorias formuladas.</w:t>
      </w:r>
    </w:p>
    <w:p w:rsidR="005728DD" w:rsidRDefault="005728DD" w:rsidP="005728DD">
      <w:pPr>
        <w:pStyle w:val="TextoNormal"/>
      </w:pPr>
    </w:p>
    <w:p w:rsidR="005728DD" w:rsidRDefault="005728DD" w:rsidP="005728DD">
      <w:pPr>
        <w:pStyle w:val="TextoNormal"/>
      </w:pPr>
      <w:r>
        <w:t xml:space="preserve">4.2. </w:t>
      </w:r>
      <w:r w:rsidRPr="005728DD">
        <w:rPr>
          <w:i/>
        </w:rPr>
        <w:t>Respuesta del órgano judicial</w:t>
      </w:r>
      <w:r>
        <w:t>.</w:t>
      </w:r>
    </w:p>
    <w:p w:rsidR="005728DD" w:rsidRDefault="005728DD" w:rsidP="005728DD">
      <w:pPr>
        <w:pStyle w:val="TextoNormal"/>
      </w:pPr>
    </w:p>
    <w:p w:rsidR="005728DD" w:rsidRDefault="005728DD" w:rsidP="005728DD">
      <w:pPr>
        <w:pStyle w:val="TextoNormal"/>
      </w:pPr>
      <w:r>
        <w:t>4.2.1. La Sala de lo Penal del Tribunal Supremo asumió y mantuvo su competencia objetiva para la averiguación y el enjuiciamiento de los hechos atribuidos al demandante, y al resto de personas acusadas en la causa, en aplicación de la siguiente base normativa:</w:t>
      </w:r>
    </w:p>
    <w:p w:rsidR="005728DD" w:rsidRDefault="005728DD" w:rsidP="005728DD">
      <w:pPr>
        <w:pStyle w:val="TextoNormal"/>
      </w:pPr>
    </w:p>
    <w:p w:rsidR="005728DD" w:rsidRDefault="005728DD" w:rsidP="005728DD">
      <w:pPr>
        <w:pStyle w:val="TextoNormal"/>
      </w:pPr>
      <w:r>
        <w:t>(i) El art. 57.1.2 de la Ley Orgánica del Poder Judicial (LOPJ), conforme al cual:</w:t>
      </w:r>
    </w:p>
    <w:p w:rsidR="005728DD" w:rsidRDefault="005728DD" w:rsidP="005728DD">
      <w:pPr>
        <w:pStyle w:val="TextoNormal"/>
      </w:pPr>
    </w:p>
    <w:p w:rsidR="005728DD" w:rsidRDefault="005728DD" w:rsidP="005728DD">
      <w:pPr>
        <w:pStyle w:val="TextoNormal"/>
      </w:pPr>
      <w:r>
        <w:t>“1. La Sala de lo Penal del Tribunal Supremo conocerá:</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2. De la instrucción y enjuiciamiento […] de las causas que, en su caso, determinen los Estatutos de Autonomía”.</w:t>
      </w:r>
    </w:p>
    <w:p w:rsidR="005728DD" w:rsidRDefault="005728DD" w:rsidP="005728DD">
      <w:pPr>
        <w:pStyle w:val="TextoNormal"/>
      </w:pPr>
    </w:p>
    <w:p w:rsidR="005728DD" w:rsidRDefault="005728DD" w:rsidP="005728DD">
      <w:pPr>
        <w:pStyle w:val="TextoNormal"/>
      </w:pPr>
      <w:r>
        <w:t>(ii) El art. 57.1 y 2 del Estatuto de Autonomía de Cataluña (EAC; Ley Orgánica 6/2006, de 19 de julio, de reforma del Estatuto de Autonomía de Cataluña), que establece el aforamiento parlamentario de los diputados autonómicos:</w:t>
      </w:r>
    </w:p>
    <w:p w:rsidR="005728DD" w:rsidRDefault="005728DD" w:rsidP="005728DD">
      <w:pPr>
        <w:pStyle w:val="TextoNormal"/>
      </w:pPr>
    </w:p>
    <w:p w:rsidR="005728DD" w:rsidRDefault="005728DD" w:rsidP="005728DD">
      <w:pPr>
        <w:pStyle w:val="TextoNormal"/>
      </w:pPr>
      <w:r>
        <w:t>“1. Los miembros del Parlamento son inviolables por los votos y las opiniones que emitan en el ejercicio de su cargo. Durante su mandato tendrán inmunidad a los efectos concretos de no poder ser detenidos salvo en caso de flagrante delito.</w:t>
      </w:r>
    </w:p>
    <w:p w:rsidR="005728DD" w:rsidRDefault="005728DD" w:rsidP="005728DD">
      <w:pPr>
        <w:pStyle w:val="TextoNormal"/>
      </w:pPr>
    </w:p>
    <w:p w:rsidR="005728DD" w:rsidRDefault="005728DD" w:rsidP="005728DD">
      <w:pPr>
        <w:pStyle w:val="TextoNormal"/>
      </w:pPr>
      <w:r>
        <w:t>2. En las causas contra los diputados, es competente el Tribunal Superior de Justicia de Cataluña. Fuera del territorio de Cataluña la responsabilidad penal es exigible en los mismos términos ante la Sala de lo Penal del Tribunal Supremo”.</w:t>
      </w:r>
    </w:p>
    <w:p w:rsidR="005728DD" w:rsidRDefault="005728DD" w:rsidP="005728DD">
      <w:pPr>
        <w:pStyle w:val="TextoNormal"/>
      </w:pPr>
    </w:p>
    <w:p w:rsidR="005728DD" w:rsidRDefault="005728DD" w:rsidP="005728DD">
      <w:pPr>
        <w:pStyle w:val="TextoNormal"/>
      </w:pPr>
      <w:r>
        <w:t>(iii) El artículo 17.1 y 2 LECrim, que, al regular el enjuiciamiento de delitos conexos, señala:</w:t>
      </w:r>
    </w:p>
    <w:p w:rsidR="005728DD" w:rsidRDefault="005728DD" w:rsidP="005728DD">
      <w:pPr>
        <w:pStyle w:val="TextoNormal"/>
      </w:pPr>
    </w:p>
    <w:p w:rsidR="005728DD" w:rsidRDefault="005728DD" w:rsidP="005728DD">
      <w:pPr>
        <w:pStyle w:val="TextoNormal"/>
      </w:pPr>
      <w:r>
        <w:t>“1. Cada delito dará lugar a la formación de una única causa.</w:t>
      </w:r>
    </w:p>
    <w:p w:rsidR="005728DD" w:rsidRDefault="005728DD" w:rsidP="005728DD">
      <w:pPr>
        <w:pStyle w:val="TextoNormal"/>
      </w:pPr>
    </w:p>
    <w:p w:rsidR="005728DD" w:rsidRDefault="005728DD" w:rsidP="005728DD">
      <w:pPr>
        <w:pStyle w:val="TextoNormal"/>
      </w:pPr>
      <w:r>
        <w:t>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005728DD" w:rsidRDefault="005728DD" w:rsidP="005728DD">
      <w:pPr>
        <w:pStyle w:val="TextoNormal"/>
      </w:pPr>
    </w:p>
    <w:p w:rsidR="005728DD" w:rsidRDefault="005728DD" w:rsidP="005728DD">
      <w:pPr>
        <w:pStyle w:val="TextoNormal"/>
      </w:pPr>
      <w:r>
        <w:t>2. A los efectos de la atribución de jurisdicción y de la distribución de la competencia se consideran delitos conexos:</w:t>
      </w:r>
    </w:p>
    <w:p w:rsidR="005728DD" w:rsidRDefault="005728DD" w:rsidP="005728DD">
      <w:pPr>
        <w:pStyle w:val="TextoNormal"/>
      </w:pPr>
    </w:p>
    <w:p w:rsidR="005728DD" w:rsidRDefault="005728DD" w:rsidP="005728DD">
      <w:pPr>
        <w:pStyle w:val="TextoNormal"/>
      </w:pPr>
      <w:r>
        <w:t>1º Los cometidos por dos o más personas reunidas.</w:t>
      </w:r>
    </w:p>
    <w:p w:rsidR="005728DD" w:rsidRDefault="005728DD" w:rsidP="005728DD">
      <w:pPr>
        <w:pStyle w:val="TextoNormal"/>
      </w:pPr>
    </w:p>
    <w:p w:rsidR="005728DD" w:rsidRDefault="005728DD" w:rsidP="005728DD">
      <w:pPr>
        <w:pStyle w:val="TextoNormal"/>
      </w:pPr>
      <w:r>
        <w:t>2º Los cometidos por dos o más personas en distintos lugares o tiempos si hubiera precedido concierto para ello.</w:t>
      </w:r>
    </w:p>
    <w:p w:rsidR="005728DD" w:rsidRDefault="005728DD" w:rsidP="005728DD">
      <w:pPr>
        <w:pStyle w:val="TextoNormal"/>
      </w:pPr>
    </w:p>
    <w:p w:rsidR="005728DD" w:rsidRDefault="005728DD" w:rsidP="005728DD">
      <w:pPr>
        <w:pStyle w:val="TextoNormal"/>
      </w:pPr>
      <w:r>
        <w:t>3º Los cometidos como medio para perpetrar otros o facilitar su ejecución.</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(iv) El artículo 272, párrafos segundo y tercero LECrim, según el cual:</w:t>
      </w:r>
    </w:p>
    <w:p w:rsidR="005728DD" w:rsidRDefault="005728DD" w:rsidP="005728DD">
      <w:pPr>
        <w:pStyle w:val="TextoNormal"/>
      </w:pPr>
    </w:p>
    <w:p w:rsidR="005728DD" w:rsidRDefault="005728DD" w:rsidP="005728DD">
      <w:pPr>
        <w:pStyle w:val="TextoNormal"/>
      </w:pPr>
      <w:r>
        <w:t>“Si el querellado estuviere sometido, por disposición especial de la ley, a determinado tribunal, ante este se interpondrá la querella.</w:t>
      </w:r>
    </w:p>
    <w:p w:rsidR="005728DD" w:rsidRDefault="005728DD" w:rsidP="005728DD">
      <w:pPr>
        <w:pStyle w:val="TextoNormal"/>
      </w:pPr>
    </w:p>
    <w:p w:rsidR="005728DD" w:rsidRDefault="005728DD" w:rsidP="005728DD">
      <w:pPr>
        <w:pStyle w:val="TextoNormal"/>
      </w:pPr>
      <w:r>
        <w:t>Lo mismo se hará cuando fueren varios los querellados por un mismo delito o por dos o más conexos y alguno de aquellos estuviere sometido excepcionalmente a un tribunal que no fuere el llamado a conocer, por regla general, del delito”.</w:t>
      </w:r>
    </w:p>
    <w:p w:rsidR="005728DD" w:rsidRDefault="005728DD" w:rsidP="005728DD">
      <w:pPr>
        <w:pStyle w:val="TextoNormal"/>
      </w:pPr>
    </w:p>
    <w:p w:rsidR="005728DD" w:rsidRDefault="005728DD" w:rsidP="005728DD">
      <w:pPr>
        <w:pStyle w:val="TextoNormal"/>
      </w:pPr>
      <w:r>
        <w:t>4.2.2. De las decisiones adoptadas a lo largo de la causa se deriva que han sido tres los criterios concurrentes tomados en consideración por la Sala de lo Penal del Tribunal Supremo para afirmar su competencia objetiva:</w:t>
      </w:r>
    </w:p>
    <w:p w:rsidR="005728DD" w:rsidRDefault="005728DD" w:rsidP="005728DD">
      <w:pPr>
        <w:pStyle w:val="TextoNormal"/>
      </w:pPr>
    </w:p>
    <w:p w:rsidR="005728DD" w:rsidRDefault="005728DD" w:rsidP="005728DD">
      <w:pPr>
        <w:pStyle w:val="TextoNormal"/>
      </w:pPr>
      <w:r>
        <w:lastRenderedPageBreak/>
        <w:t>(i) La prerrogativa de aforamiento especial parlamentario: desde su inicio, y durante todo el desarrollo de la causa, una o varias de las personas a las que se refería la querella —después sometidas a investigación, procesadas o finalmente acusadas—, mantuvieron la condición de diputados del Parlamento de Cataluña.</w:t>
      </w:r>
    </w:p>
    <w:p w:rsidR="005728DD" w:rsidRDefault="005728DD" w:rsidP="005728DD">
      <w:pPr>
        <w:pStyle w:val="TextoNormal"/>
      </w:pPr>
    </w:p>
    <w:p w:rsidR="005728DD" w:rsidRDefault="005728DD" w:rsidP="005728DD">
      <w:pPr>
        <w:pStyle w:val="TextoNormal"/>
      </w:pPr>
      <w:r>
        <w:t>En el momento inicial, al ejercer el Ministerio Fiscal la acción penal ante el Tribunal Supremo,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las causas por conexidad procesal, otras personas coencausadas —no así el recurrente— se postularon y fueron elegidas para integrar el Parlamento constituido tras las elecciones autonómicas celebradas el 21 de diciembre de 2017. E iniciado ya el juicio oral ante la Sala de lo Penal del Tribunal Supremo en febrero de 2019, tras las elecciones generales celebradas el 28 de abril de 2019, algunos acusados pasaron a integrarse como diputados o senador en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005728DD" w:rsidRDefault="005728DD" w:rsidP="005728DD">
      <w:pPr>
        <w:pStyle w:val="TextoNormal"/>
      </w:pPr>
    </w:p>
    <w:p w:rsidR="005728DD" w:rsidRDefault="005728DD" w:rsidP="005728DD">
      <w:pPr>
        <w:pStyle w:val="TextoNormal"/>
      </w:pPr>
      <w:r>
        <w:t>(ii) La ubicación geográfica de los hechos imputados y enjuiciados: como veremos a continuación, el relato fáctico que dio sustento a la querella inicial y a los escritos de acusación formulados afirmaba, en cada caso, la realización de algunos hechos típicos fuera del territorio de la comunidad autónoma catalana (art. 57.2 EAC).</w:t>
      </w:r>
    </w:p>
    <w:p w:rsidR="005728DD" w:rsidRDefault="005728DD" w:rsidP="005728DD">
      <w:pPr>
        <w:pStyle w:val="TextoNormal"/>
      </w:pPr>
    </w:p>
    <w:p w:rsidR="005728DD" w:rsidRDefault="005728DD" w:rsidP="005728DD">
      <w:pPr>
        <w:pStyle w:val="TextoNormal"/>
      </w:pPr>
      <w:r>
        <w:t>(iii) La apreciación de conexidad procesal entre los delitos investigados en las diversas causas acumuladas: la Sala de lo Penal del Tribunal Supremo consideró que los hechos investigados en las actuaciones penales dirigidas contra varias personas acusadas no aforadas, entre ellas el recurrente, eran plenamente coincidentes con los de aquellas otras causas que se seguían contra los que sí tenían reconocida la prerrogativa parlamentaria de aforamiento ante la Sala Penal del Tribunal Supremo, de manera que los delitos a que se referían eran procesalmente conexos y debían ser investigados y enjuiciados en una sola causa (arts. 17.1 y 2, y 272 LECrim).</w:t>
      </w:r>
    </w:p>
    <w:p w:rsidR="005728DD" w:rsidRDefault="005728DD" w:rsidP="005728DD">
      <w:pPr>
        <w:pStyle w:val="TextoNormal"/>
      </w:pPr>
    </w:p>
    <w:p w:rsidR="005728DD" w:rsidRDefault="005728DD" w:rsidP="005728DD">
      <w:pPr>
        <w:pStyle w:val="TextoNormal"/>
      </w:pPr>
      <w:r>
        <w:t>Así se describe en las diversas resoluciones que, sobre la propia competencia, han sido dictadas en el desarrollo de la causa. Son paradigmáticos en este sentido el auto de 31 de octubre de 2017 (ratificado en súplica por auto de 18 de diciembre de 2017), por el que la querella fue admitida a trámite, y el auto de 27 de diciembre de 2018, por el que la sala de enjuiciamiento desestimó las peticiones de declinatoria de jurisdicción propuestas como artículo de previo pronunciamiento por los acusados (art. 666.1 LECrim), que fue también ratificado en súplica por auto de 18 de enero de 2019.</w:t>
      </w:r>
    </w:p>
    <w:p w:rsidR="005728DD" w:rsidRDefault="005728DD" w:rsidP="005728DD">
      <w:pPr>
        <w:pStyle w:val="TextoNormal"/>
      </w:pPr>
    </w:p>
    <w:p w:rsidR="005728DD" w:rsidRDefault="005728DD" w:rsidP="005728DD">
      <w:pPr>
        <w:pStyle w:val="TextoNormal"/>
      </w:pPr>
      <w:r>
        <w:t xml:space="preserve">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de los parlamentarios (art. 57.2 EAC), y aquella otra que permite afirmar que todos los querellados, </w:t>
      </w:r>
      <w:r>
        <w:lastRenderedPageBreak/>
        <w:t>menos uno, mantenían en ese momento su condición parlamentaria por formar parte de la diputación permanente de la entonces disuelta asamblea legislativa catalana [art. 24 d) del Reglamento del Parlamento de Cataluña].</w:t>
      </w:r>
    </w:p>
    <w:p w:rsidR="005728DD" w:rsidRDefault="005728DD" w:rsidP="005728DD">
      <w:pPr>
        <w:pStyle w:val="TextoNormal"/>
      </w:pPr>
    </w:p>
    <w:p w:rsidR="005728DD" w:rsidRDefault="005728DD" w:rsidP="005728DD">
      <w:pPr>
        <w:pStyle w:val="TextoNormal"/>
      </w:pPr>
      <w:r>
        <w:t>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005728DD" w:rsidRDefault="005728DD" w:rsidP="005728DD">
      <w:pPr>
        <w:pStyle w:val="TextoNormal"/>
      </w:pPr>
    </w:p>
    <w:p w:rsidR="005728DD" w:rsidRDefault="005728DD" w:rsidP="005728DD">
      <w:pPr>
        <w:pStyle w:val="TextoNormal"/>
      </w:pPr>
      <w:r>
        <w:t>Para determinar esta última circunstancia, la Sala atiende al relato de hechos que, en la querella, se afirman como delictivos, sin pronunciarse sobre su realidad o la existencia de indicios que los avalen.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005728DD" w:rsidRDefault="005728DD" w:rsidP="005728DD">
      <w:pPr>
        <w:pStyle w:val="TextoNormal"/>
      </w:pPr>
    </w:p>
    <w:p w:rsidR="005728DD" w:rsidRDefault="005728DD" w:rsidP="005728DD">
      <w:pPr>
        <w:pStyle w:val="TextoNormal"/>
      </w:pPr>
      <w:r>
        <w:t xml:space="preserve">Así, en la querella, considera el fiscal que la celebración de una consulta, a modo de referéndum, sobre la independencia del territorio de Cataluña, constituía el elemento central del delito de rebelión imputado a las personas querelladas, señalando que, en su fase preparatoria, el Gobierno de la Generalitat, decidido a promover y celebrar unilateralmente dicha consulta,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w:t>
      </w:r>
      <w:r w:rsidRPr="005728DD">
        <w:rPr>
          <w:i/>
        </w:rPr>
        <w:t>lobby</w:t>
      </w:r>
      <w:r>
        <w:t xml:space="preserve"> internacional realizando actividades de difusión de la pretensión de independencia (foros, visitas organizadas, información en Internet, formación de activistas como observadores en procesos electorales, diversos contratos con organizaciones de los países donde radican las sedes en el exterior para promover y favorecer la pretensión de independencia).</w:t>
      </w:r>
    </w:p>
    <w:p w:rsidR="005728DD" w:rsidRDefault="005728DD" w:rsidP="005728DD">
      <w:pPr>
        <w:pStyle w:val="TextoNormal"/>
      </w:pPr>
    </w:p>
    <w:p w:rsidR="005728DD" w:rsidRDefault="005728DD" w:rsidP="005728DD">
      <w:pPr>
        <w:pStyle w:val="TextoNormal"/>
      </w:pPr>
      <w:r>
        <w:t xml:space="preserve">Entre los hechos realizados en el exterior, se incluyen en la querella las páginas web internacionales creadas desde el Gobierno de la Generalitat para informar y facilitar la participación en la consulta ilegal promovida; sitios web que, tras ser clausurados judicialmente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w:t>
      </w:r>
      <w:r>
        <w:lastRenderedPageBreak/>
        <w:t xml:space="preserve">determinó como premisa que “no cabe confundir </w:t>
      </w:r>
      <w:r w:rsidRPr="005728DD">
        <w:rPr>
          <w:i/>
        </w:rPr>
        <w:t>el resultado</w:t>
      </w:r>
      <w:r>
        <w:t xml:space="preserve"> del delito con </w:t>
      </w:r>
      <w:r w:rsidRPr="005728DD">
        <w:rPr>
          <w:i/>
        </w:rPr>
        <w:t>los efectos</w:t>
      </w:r>
      <w:r>
        <w:t xml:space="preserve"> del delito, por más que estos puedan implicar, por su propia naturaleza, la destrucción del Estado de Derecho”.</w:t>
      </w:r>
    </w:p>
    <w:p w:rsidR="005728DD" w:rsidRDefault="005728DD" w:rsidP="005728DD">
      <w:pPr>
        <w:pStyle w:val="TextoNormal"/>
      </w:pPr>
    </w:p>
    <w:p w:rsidR="005728DD" w:rsidRDefault="005728DD" w:rsidP="005728DD">
      <w:pPr>
        <w:pStyle w:val="TextoNormal"/>
      </w:pPr>
      <w:r>
        <w:t>A partir de esta constatación, la sala de admisión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005728DD" w:rsidRDefault="005728DD" w:rsidP="005728DD">
      <w:pPr>
        <w:pStyle w:val="TextoNormal"/>
      </w:pPr>
    </w:p>
    <w:p w:rsidR="005728DD" w:rsidRDefault="005728DD" w:rsidP="005728DD">
      <w:pPr>
        <w:pStyle w:val="TextoNormal"/>
      </w:pPr>
      <w:r>
        <w:t>La resolución analizada concluye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005728DD" w:rsidRDefault="005728DD" w:rsidP="005728DD">
      <w:pPr>
        <w:pStyle w:val="TextoNormal"/>
      </w:pPr>
    </w:p>
    <w:p w:rsidR="005728DD" w:rsidRDefault="005728DD" w:rsidP="005728DD">
      <w:pPr>
        <w:pStyle w:val="TextoNormal"/>
      </w:pPr>
      <w:r>
        <w:t>La decisión de asumir la competencia objetiva para la investigación de los hechos objeto de querella indicó,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005728DD" w:rsidRDefault="005728DD" w:rsidP="005728DD">
      <w:pPr>
        <w:pStyle w:val="TextoNormal"/>
      </w:pPr>
    </w:p>
    <w:p w:rsidR="005728DD" w:rsidRDefault="005728DD" w:rsidP="005728DD">
      <w:pPr>
        <w:pStyle w:val="TextoNormal"/>
      </w:pPr>
      <w:r>
        <w:t>4.2.2.2. Siguiendo este último criterio de conexidad procesal entre los delitos investigados, el magistrado instructor acordó la extensión subjetiva del ámbito de investigación a otras personas, entonces no aforadas (auto de 24 de noviembre de 2017). Concretamente, al presidente de la asociación Asamblea Nacional Catalana y al recurrente que, por aquellas fechas, era presidente de la asociación Òmnium Cultural. La extendió también a quienes habían sido miembros del Gobierno de la Generalitat de Cataluña en la legislatura anterior, ya disuelta. Poco tiempo después, por medio de auto de 22 de diciembre de 2017, la investigación se amplió “a los presidentes y portavoces de los grupos parlamentarios independentistas del disuelto Parlamento de Cataluña”.</w:t>
      </w:r>
    </w:p>
    <w:p w:rsidR="005728DD" w:rsidRDefault="005728DD" w:rsidP="005728DD">
      <w:pPr>
        <w:pStyle w:val="TextoNormal"/>
      </w:pPr>
    </w:p>
    <w:p w:rsidR="005728DD" w:rsidRDefault="005728DD" w:rsidP="005728DD">
      <w:pPr>
        <w:pStyle w:val="TextoNormal"/>
      </w:pPr>
      <w:r>
        <w:t>La extensión de la competencia a los nuevos investigados no aforados se justificó en la existencia de plena coincidencia entre los hechos denunciados en las diversas actuaciones penales ya iniciadas; se apreció, además, la eventual existencia de “una estrategia concer</w:t>
      </w:r>
      <w:r>
        <w:lastRenderedPageBreak/>
        <w:t>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005728DD" w:rsidRDefault="005728DD" w:rsidP="005728DD">
      <w:pPr>
        <w:pStyle w:val="TextoNormal"/>
      </w:pPr>
    </w:p>
    <w:p w:rsidR="005728DD" w:rsidRDefault="005728DD" w:rsidP="005728DD">
      <w:pPr>
        <w:pStyle w:val="TextoNormal"/>
      </w:pPr>
      <w:r>
        <w:t>El instructor consideró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005728DD" w:rsidRDefault="005728DD" w:rsidP="005728DD">
      <w:pPr>
        <w:pStyle w:val="TextoNormal"/>
      </w:pPr>
    </w:p>
    <w:p w:rsidR="005728DD" w:rsidRDefault="005728DD" w:rsidP="005728DD">
      <w:pPr>
        <w:pStyle w:val="TextoNormal"/>
      </w:pPr>
      <w:r>
        <w:t>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005728DD" w:rsidRDefault="005728DD" w:rsidP="005728DD">
      <w:pPr>
        <w:pStyle w:val="TextoNormal"/>
      </w:pPr>
    </w:p>
    <w:p w:rsidR="005728DD" w:rsidRDefault="005728DD" w:rsidP="005728DD">
      <w:pPr>
        <w:pStyle w:val="TextoNormal"/>
      </w:pPr>
      <w:r>
        <w:t>4.2.2.3. A su vez, mediante auto de 27 de diciembre de 2018 (confirmado en súplica por otro de 18 de enero de 2019), una vez ratificada la conclusión del sumario, declarada la apertura del juicio oral y formulados los escritos de acusación, la sala de enjuiciamiento, al desestimar las diversas peticiones de declinatoria de jurisdicción planteadas por las defensas, se remitió a los criterios expuestos en los anteriores pronunciamientos dictados en la fase de instrucción, aplicándolos ahora a los hechos imputados en los escritos de calificación provisional.</w:t>
      </w:r>
    </w:p>
    <w:p w:rsidR="005728DD" w:rsidRDefault="005728DD" w:rsidP="005728DD">
      <w:pPr>
        <w:pStyle w:val="TextoNormal"/>
      </w:pPr>
    </w:p>
    <w:p w:rsidR="005728DD" w:rsidRDefault="005728DD" w:rsidP="005728DD">
      <w:pPr>
        <w:pStyle w:val="TextoNormal"/>
      </w:pPr>
      <w:r>
        <w:t xml:space="preserve">De nuevo, como presupuesto metodológico, destacó la Sala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w:t>
      </w:r>
      <w:r>
        <w:lastRenderedPageBreak/>
        <w:t>objeto de análisis y asocia a dicho relato la calificación jurídica pretendida y la pena imponible, para el caso de que los hechos que son presupuesto de la acusación resulten acreditados en el plenario.</w:t>
      </w:r>
    </w:p>
    <w:p w:rsidR="005728DD" w:rsidRDefault="005728DD" w:rsidP="005728DD">
      <w:pPr>
        <w:pStyle w:val="TextoNormal"/>
      </w:pPr>
    </w:p>
    <w:p w:rsidR="005728DD" w:rsidRDefault="005728DD" w:rsidP="005728DD">
      <w:pPr>
        <w:pStyle w:val="TextoNormal"/>
      </w:pPr>
      <w:r>
        <w:t>En tal medida, la Sala constata en su resolución que tanto la acusación del Ministerio Fiscal y de la acción popular por delito de rebelión, como el relato fáctico sobre el que se construye la pretensión acusatoria por el delito de malversación de caudales públicos (que no se imputa al demandante), incorpora también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005728DD" w:rsidRDefault="005728DD" w:rsidP="005728DD">
      <w:pPr>
        <w:pStyle w:val="TextoNormal"/>
      </w:pPr>
    </w:p>
    <w:p w:rsidR="005728DD" w:rsidRDefault="005728DD" w:rsidP="005728DD">
      <w:pPr>
        <w:pStyle w:val="TextoNormal"/>
      </w:pPr>
      <w:r>
        <w:t>Sucintamente expuestos, tal y como se recogen en los escritos de calificación, los hechos objeto de acusación realizados fuera de Cataluña por algunos de los investigados, luego acusados,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005728DD" w:rsidRDefault="005728DD" w:rsidP="005728DD">
      <w:pPr>
        <w:pStyle w:val="TextoNormal"/>
      </w:pPr>
    </w:p>
    <w:p w:rsidR="005728DD" w:rsidRDefault="005728DD" w:rsidP="005728DD">
      <w:pPr>
        <w:pStyle w:val="TextoNormal"/>
      </w:pPr>
      <w:r>
        <w:t>La Sala concluyó entonces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de nuevo la denominada “doctrina de la ubicuidad”, según la cual el delito se comete en cualquiera de los territorios donde se realizan algunos de los elementos objetivos o subjetivos del tipo, por lo que “la atribución por el fiscal a algunos de los pro</w:t>
      </w:r>
      <w:r>
        <w:lastRenderedPageBreak/>
        <w:t>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005728DD" w:rsidRDefault="005728DD" w:rsidP="005728DD">
      <w:pPr>
        <w:pStyle w:val="TextoNormal"/>
      </w:pPr>
    </w:p>
    <w:p w:rsidR="005728DD" w:rsidRDefault="005728DD" w:rsidP="005728DD">
      <w:pPr>
        <w:pStyle w:val="TextoNormal"/>
      </w:pPr>
      <w:r>
        <w:t>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w:t>
      </w:r>
    </w:p>
    <w:p w:rsidR="005728DD" w:rsidRDefault="005728DD" w:rsidP="005728DD">
      <w:pPr>
        <w:pStyle w:val="TextoNormal"/>
      </w:pPr>
    </w:p>
    <w:p w:rsidR="005728DD" w:rsidRDefault="005728DD" w:rsidP="005728DD">
      <w:pPr>
        <w:pStyle w:val="TextoNormal"/>
      </w:pPr>
      <w:r>
        <w:t>Y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el criterio razonado de decisión de la Sala no queda vinculado por los que hayan utilizado otros órganos judiciales al abordar las causas que a ellos se les han planteado.</w:t>
      </w:r>
    </w:p>
    <w:p w:rsidR="005728DD" w:rsidRDefault="005728DD" w:rsidP="005728DD">
      <w:pPr>
        <w:pStyle w:val="TextoNormal"/>
      </w:pPr>
    </w:p>
    <w:p w:rsidR="005728DD" w:rsidRDefault="005728DD" w:rsidP="005728DD">
      <w:pPr>
        <w:pStyle w:val="TextoNormal"/>
      </w:pPr>
      <w:r>
        <w:t>Por último, atendiendo objetivamente a la naturaleza colectiva y estructura subjetivamente plural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005728DD" w:rsidRDefault="005728DD" w:rsidP="005728DD">
      <w:pPr>
        <w:pStyle w:val="TextoNormal"/>
      </w:pPr>
    </w:p>
    <w:p w:rsidR="005728DD" w:rsidRDefault="005728DD" w:rsidP="005728DD">
      <w:pPr>
        <w:pStyle w:val="TextoNormal"/>
      </w:pPr>
      <w:r>
        <w:t xml:space="preserve">4.2.2.4. Estos mismos criterios fueron expuestos en la sentencia condenatoria, de 14 de octubre de 2019, al justificar la desestimación de las cuestiones previas planteadas por algunos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w:t>
      </w:r>
      <w:r>
        <w:lastRenderedPageBreak/>
        <w:t>de un tribunal superior de justicia tiene para el Tribunal Supremo. La decisión de condena fue ratificada en los mismos términos al desestimar las peticiones de nulidad de actuaciones planteadas por los condenados (auto de 29 de enero de 2020).</w:t>
      </w:r>
    </w:p>
    <w:p w:rsidR="005728DD" w:rsidRDefault="005728DD" w:rsidP="005728DD">
      <w:pPr>
        <w:pStyle w:val="TextoNormal"/>
      </w:pPr>
    </w:p>
    <w:p w:rsidR="005728DD" w:rsidRDefault="005728DD" w:rsidP="005728DD">
      <w:pPr>
        <w:pStyle w:val="TextoNormal"/>
      </w:pPr>
      <w:r>
        <w:t>4.3</w:t>
      </w:r>
      <w:r w:rsidRPr="005728DD">
        <w:rPr>
          <w:i/>
        </w:rPr>
        <w:t>. Doctrina jurisprudenci</w:t>
      </w:r>
      <w:r>
        <w:t>al.</w:t>
      </w:r>
    </w:p>
    <w:p w:rsidR="005728DD" w:rsidRDefault="005728DD" w:rsidP="005728DD">
      <w:pPr>
        <w:pStyle w:val="TextoNormal"/>
      </w:pPr>
    </w:p>
    <w:p w:rsidR="005728DD" w:rsidRDefault="005728DD" w:rsidP="005728DD">
      <w:pPr>
        <w:pStyle w:val="TextoNormal"/>
      </w:pPr>
      <w:r>
        <w:t>La perspectiva planteada por el demandante de amparo al fundamentar su queja es sustancialmente idéntica a la analizada por el Pleno en las recientes SSTC 34/2021, de 17 de febrero, y 91/2021, de 22 de abril, que resuelven las pretensiones de amparo presentadas por otras dos personas coacusadas que han sido condenadas en la misma causa penal; en tal medida, la doctrina constitucional que se sintetiza a continuación es en todo coincidente con la expuesta al fundamentar dichas resoluciones.</w:t>
      </w:r>
    </w:p>
    <w:p w:rsidR="005728DD" w:rsidRDefault="005728DD" w:rsidP="005728DD">
      <w:pPr>
        <w:pStyle w:val="TextoNormal"/>
      </w:pPr>
    </w:p>
    <w:p w:rsidR="005728DD" w:rsidRDefault="005728DD" w:rsidP="005728DD">
      <w:pPr>
        <w:pStyle w:val="TextoNormal"/>
      </w:pPr>
      <w:r>
        <w:t>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005728DD" w:rsidRDefault="005728DD" w:rsidP="005728DD">
      <w:pPr>
        <w:pStyle w:val="TextoNormal"/>
      </w:pPr>
    </w:p>
    <w:p w:rsidR="005728DD" w:rsidRDefault="005728DD" w:rsidP="005728DD">
      <w:pPr>
        <w:pStyle w:val="TextoNormal"/>
      </w:pPr>
      <w: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5728DD">
        <w:rPr>
          <w:i/>
        </w:rPr>
        <w:t>ad hoc</w:t>
      </w:r>
      <w:r>
        <w:t>;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005728DD" w:rsidRDefault="005728DD" w:rsidP="005728DD">
      <w:pPr>
        <w:pStyle w:val="TextoNormal"/>
      </w:pPr>
    </w:p>
    <w:p w:rsidR="005728DD" w:rsidRDefault="005728DD" w:rsidP="005728DD">
      <w:pPr>
        <w:pStyle w:val="TextoNormal"/>
      </w:pPr>
      <w:r>
        <w:t>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005728DD" w:rsidRDefault="005728DD" w:rsidP="005728DD">
      <w:pPr>
        <w:pStyle w:val="TextoNormal"/>
      </w:pPr>
    </w:p>
    <w:p w:rsidR="005728DD" w:rsidRDefault="005728DD" w:rsidP="005728DD">
      <w:pPr>
        <w:pStyle w:val="TextoNormal"/>
      </w:pPr>
      <w:r>
        <w:t>A través de ambas exigencias, que son fuente objetiva de legitimación de su función, se trata de garantizar la independencia e imparcialidad de los órganos judiciales, lo que constituye el interés directo protegido por el derecho al juez ordinario legalmente predeterminado que, como analizaremos más adelante, viene proclamado también expresamente, aunque con distinta dicción, en el art. 14.1 del Pacto internacional de derechos civiles y políticos y en el art. 6.1 del Convenio para la protección de los derechos humanos y de las libertades fundamentales.</w:t>
      </w:r>
    </w:p>
    <w:p w:rsidR="005728DD" w:rsidRDefault="005728DD" w:rsidP="005728DD">
      <w:pPr>
        <w:pStyle w:val="TextoNormal"/>
      </w:pPr>
    </w:p>
    <w:p w:rsidR="005728DD" w:rsidRDefault="005728DD" w:rsidP="005728DD">
      <w:pPr>
        <w:pStyle w:val="TextoNormal"/>
      </w:pPr>
      <w:r>
        <w:t>Dados los términos del debate que se plantea en la demanda, en tanto se cuestiona únicamente la competencia de la Sala de lo Penal del Tribunal Supremo para la investigación y enjuiciamiento de los hechos atribuidos al demandante, entre otros,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w:t>
      </w:r>
    </w:p>
    <w:p w:rsidR="005728DD" w:rsidRDefault="005728DD" w:rsidP="005728DD">
      <w:pPr>
        <w:pStyle w:val="TextoNormal"/>
      </w:pPr>
    </w:p>
    <w:p w:rsidR="005728DD" w:rsidRDefault="005728DD" w:rsidP="005728DD">
      <w:pPr>
        <w:pStyle w:val="TextoNormal"/>
      </w:pPr>
      <w:r>
        <w:t>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de la Constitución (SSTC 43/1985, de 22 de marzo, FJ 2, y 93/1988, antes citada). 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de la Constitución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005728DD" w:rsidRDefault="005728DD" w:rsidP="005728DD">
      <w:pPr>
        <w:pStyle w:val="TextoNormal"/>
      </w:pPr>
    </w:p>
    <w:p w:rsidR="005728DD" w:rsidRDefault="005728DD" w:rsidP="005728DD">
      <w:pPr>
        <w:pStyle w:val="TextoNormal"/>
      </w:pPr>
      <w:r>
        <w:t>No obstante, 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fáctico patente (ATC 262/1994, de 3 de octubre, FJ 1, y STC 70/2007, de 16 de abril, FJ 4), pues si así fuera, el efecto de tan improcedente aplicación de la norma desconocería el monopolio legislativo en la determinación previa del órgano judicial que ha de conocer del caso.</w:t>
      </w:r>
    </w:p>
    <w:p w:rsidR="005728DD" w:rsidRDefault="005728DD" w:rsidP="005728DD">
      <w:pPr>
        <w:pStyle w:val="TextoNormal"/>
      </w:pPr>
    </w:p>
    <w:p w:rsidR="005728DD" w:rsidRDefault="005728DD" w:rsidP="005728DD">
      <w:pPr>
        <w:pStyle w:val="TextoNormal"/>
      </w:pPr>
      <w:r>
        <w:t xml:space="preserve">b) Dado que forman parte de una cultura europea común, los criterios que definen la doctrina de este tribunal sobre la necesidad de predeterminación legal de los órganos judiciales, de quiénes han de integrarlos y de la competencia que les corresponde, son semejantes a los que, desde sus primeras resoluciones, se desprenden de la jurisprudencia del Tribunal Europeo de Derechos Humanos. La semejanza no se extiende solo a la definición del </w:t>
      </w:r>
      <w:r>
        <w:lastRenderedPageBreak/>
        <w:t>contenido del derecho y a su fundamento, sino también al criterio de análisis utilizado para abordar las quejas que en esta materia le han sido presentadas.</w:t>
      </w:r>
    </w:p>
    <w:p w:rsidR="005728DD" w:rsidRDefault="005728DD" w:rsidP="005728DD">
      <w:pPr>
        <w:pStyle w:val="TextoNormal"/>
      </w:pPr>
    </w:p>
    <w:p w:rsidR="005728DD" w:rsidRDefault="005728DD" w:rsidP="005728DD">
      <w:pPr>
        <w:pStyle w:val="TextoNormal"/>
      </w:pPr>
      <w:r>
        <w:t xml:space="preserve">De acuerdo con lo establecido en el art. 6.1 CEDH: “Toda persona tiene derecho a que su causa sea oída equitativa, públicamente y dentro de un plazo razonable, por un tribunal independiente e imparcial, </w:t>
      </w:r>
      <w:r w:rsidRPr="005728DD">
        <w:rPr>
          <w:i/>
        </w:rPr>
        <w:t>establecido por ley</w:t>
      </w:r>
      <w:r>
        <w:t xml:space="preserve">”.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w:t>
      </w:r>
      <w:r w:rsidRPr="005728DD">
        <w:rPr>
          <w:i/>
        </w:rPr>
        <w:t>Bulut c. Austria</w:t>
      </w:r>
      <w:r>
        <w:t>, § 29; de 22 de junio de 2000, asunt</w:t>
      </w:r>
      <w:r w:rsidRPr="005728DD">
        <w:rPr>
          <w:i/>
        </w:rPr>
        <w:t>o Coëme y otros c. Bélgi</w:t>
      </w:r>
      <w:r>
        <w:t>ca, y de 28 de noviembre de 2002, asunt</w:t>
      </w:r>
      <w:r w:rsidRPr="005728DD">
        <w:rPr>
          <w:i/>
        </w:rPr>
        <w:t>o Lavents c. Leton</w:t>
      </w:r>
      <w:r>
        <w:t>ia).</w:t>
      </w:r>
    </w:p>
    <w:p w:rsidR="005728DD" w:rsidRDefault="005728DD" w:rsidP="005728DD">
      <w:pPr>
        <w:pStyle w:val="TextoNormal"/>
      </w:pPr>
    </w:p>
    <w:p w:rsidR="005728DD" w:rsidRDefault="005728DD" w:rsidP="005728DD">
      <w:pPr>
        <w:pStyle w:val="TextoNormal"/>
      </w:pPr>
      <w:r>
        <w:t xml:space="preserve">En otros pronunciamientos (sentencia de 5 de octubre de 2010, asunto </w:t>
      </w:r>
      <w:r w:rsidRPr="005728DD">
        <w:rPr>
          <w:i/>
        </w:rPr>
        <w:t>DMD GROUP, A.S. c. Eslovaquia</w:t>
      </w:r>
      <w:r>
        <w:t xml:space="preserve">), el tribunal europeo ha destacado que la expresión “establecido por la ley” tiene por objeto asegurar “que la organización judicial en una sociedad democrática no dependa de la discrecionalidad del Poder Ejecutivo, sino que esté regulada por la ley emanada del Parlamento” (informe de la Comisión de 12 de octubre de 1978, asunto </w:t>
      </w:r>
      <w:r w:rsidRPr="005728DD">
        <w:rPr>
          <w:i/>
        </w:rPr>
        <w:t>Zand c. Austria</w:t>
      </w:r>
      <w:r>
        <w:t xml:space="preserve">).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(SSTEDH de 22 de junio de 2000, asunto </w:t>
      </w:r>
      <w:r w:rsidRPr="005728DD">
        <w:rPr>
          <w:i/>
        </w:rPr>
        <w:t>Coëme y otros c. Bélgica</w:t>
      </w:r>
      <w:r>
        <w:t xml:space="preserve">, antes citado, § 98, y de 28 de abril de 2009, asunto </w:t>
      </w:r>
      <w:r w:rsidRPr="005728DD">
        <w:rPr>
          <w:i/>
        </w:rPr>
        <w:t>Savino y otros c. Italia</w:t>
      </w:r>
      <w:r>
        <w:t>).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w:t>
      </w:r>
      <w:r w:rsidRPr="005728DD">
        <w:rPr>
          <w:i/>
        </w:rPr>
        <w:t>o Lavents c. Leton</w:t>
      </w:r>
      <w:r>
        <w:t>ia).</w:t>
      </w:r>
    </w:p>
    <w:p w:rsidR="005728DD" w:rsidRDefault="005728DD" w:rsidP="005728DD">
      <w:pPr>
        <w:pStyle w:val="TextoNormal"/>
      </w:pPr>
    </w:p>
    <w:p w:rsidR="005728DD" w:rsidRDefault="005728DD" w:rsidP="005728DD">
      <w:pPr>
        <w:pStyle w:val="TextoNormal"/>
      </w:pPr>
      <w:r>
        <w:t>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w:t>
      </w:r>
      <w:r w:rsidRPr="005728DD">
        <w:rPr>
          <w:i/>
        </w:rPr>
        <w:t>o Jorgic c. Aleman</w:t>
      </w:r>
      <w:r>
        <w:t>ia, § 64 a 72 referida al enjuiciamiento por actos de genocidio cometidos fuera de Alemania).</w:t>
      </w:r>
    </w:p>
    <w:p w:rsidR="005728DD" w:rsidRDefault="005728DD" w:rsidP="005728DD">
      <w:pPr>
        <w:pStyle w:val="TextoNormal"/>
      </w:pPr>
    </w:p>
    <w:p w:rsidR="005728DD" w:rsidRDefault="005728DD" w:rsidP="005728DD">
      <w:pPr>
        <w:pStyle w:val="TextoNormal"/>
      </w:pPr>
      <w:r>
        <w:t>4.4</w:t>
      </w:r>
      <w:r w:rsidRPr="005728DD">
        <w:rPr>
          <w:i/>
        </w:rPr>
        <w:t>. Resolución de la que</w:t>
      </w:r>
      <w:r>
        <w:t>ja.</w:t>
      </w:r>
    </w:p>
    <w:p w:rsidR="005728DD" w:rsidRDefault="005728DD" w:rsidP="005728DD">
      <w:pPr>
        <w:pStyle w:val="TextoNormal"/>
      </w:pPr>
    </w:p>
    <w:p w:rsidR="005728DD" w:rsidRDefault="005728DD" w:rsidP="005728DD">
      <w:pPr>
        <w:pStyle w:val="TextoNormal"/>
      </w:pPr>
      <w:r>
        <w:t>4.4.1. Como señalamos antes, el análisis de la queja planteada por el demandante permite distinguir tres motivos nucleares en los que sustenta la alegada vulneración del derecho al juez ordinario predeterminado por la ley.</w:t>
      </w:r>
    </w:p>
    <w:p w:rsidR="005728DD" w:rsidRDefault="005728DD" w:rsidP="005728DD">
      <w:pPr>
        <w:pStyle w:val="TextoNormal"/>
      </w:pPr>
    </w:p>
    <w:p w:rsidR="005728DD" w:rsidRDefault="005728DD" w:rsidP="005728DD">
      <w:pPr>
        <w:pStyle w:val="TextoNormal"/>
      </w:pPr>
      <w:r>
        <w:t xml:space="preserve">a) De una parte, el demandante sostiene que el Tribunal Supremo se ha atribuido la competencia para la instrucción y enjuiciamiento de la causa penal modificando el criterio establecido previamente de forma reiterada en diversas resoluciones que cita como referencia, </w:t>
      </w:r>
      <w:r>
        <w:lastRenderedPageBreak/>
        <w:t>y apartándose del utilizado por el Tribunal Superior de Justicia de Cataluña al resolver casos precedentes.</w:t>
      </w:r>
    </w:p>
    <w:p w:rsidR="005728DD" w:rsidRDefault="005728DD" w:rsidP="005728DD">
      <w:pPr>
        <w:pStyle w:val="TextoNormal"/>
      </w:pPr>
    </w:p>
    <w:p w:rsidR="005728DD" w:rsidRDefault="005728DD" w:rsidP="005728DD">
      <w:pPr>
        <w:pStyle w:val="TextoNormal"/>
      </w:pPr>
      <w:r>
        <w:t>b) En segundo lugar, difiere de varios de los criterios utilizados por la Sala para afirmar su propia competencia de investigación y enjuiciamiento de la causa.</w:t>
      </w:r>
    </w:p>
    <w:p w:rsidR="005728DD" w:rsidRDefault="005728DD" w:rsidP="005728DD">
      <w:pPr>
        <w:pStyle w:val="TextoNormal"/>
      </w:pPr>
    </w:p>
    <w:p w:rsidR="005728DD" w:rsidRDefault="005728DD" w:rsidP="005728DD">
      <w:pPr>
        <w:pStyle w:val="TextoNormal"/>
      </w:pPr>
      <w:r>
        <w:t>c) Por último, considera que es inconstitucional la previsión establecida en el art. 21 LECrim, según la cual, la Sala de lo Penal del Tribunal Supremo no puede formar o promover competencias, y ningún juez, tribunal o parte podrá promoverlas contra él; norma esta que considera derogada por la Constitución, pues la entiende contraria al contenido del derecho al juez legalmente predeterminado.</w:t>
      </w:r>
    </w:p>
    <w:p w:rsidR="005728DD" w:rsidRDefault="005728DD" w:rsidP="005728DD">
      <w:pPr>
        <w:pStyle w:val="TextoNormal"/>
      </w:pPr>
    </w:p>
    <w:p w:rsidR="005728DD" w:rsidRDefault="005728DD" w:rsidP="005728DD">
      <w:pPr>
        <w:pStyle w:val="TextoNormal"/>
      </w:pPr>
      <w:r>
        <w:t>A partir de la concreta vertiente del derecho fundamental alegado por el demandante y la doctrina jurisprudencial que sobre su contenido ha sido expuesta en el anterior subepígrafe tercero, la cuestión que hemos de resolver se concreta en determinar si las resoluciones judiciales por las que la Sala de lo Penal del Tribunal Supremo asumió la competencia para la investigación de los hechos atribuidos en la querella, la extendió después a los no aforados por razones de conexidad procesal e inescindibilidad de la causa y, finalmente, la mantuvo para el enjuiciamiento de los hechos que dieron sustento a la pretensión acusatoria se apoyan en razonamientos arbitrarios, irrazonables o basados en un error fáctico patente que deriva de las actuaciones. Como hemos señalado antes, solo en el caso de que pueda concluirse que el asunto ha sido sustraído de forma injustificada al órgano judicial al que la ley lo atribuye para su conocimiento, mediante una manipulación arbitraria de las normas legales aplicables, la discrepancia expresada por el demandante presentará relieve constitucional, más allá de exteriorizar una diferencia razonada de criterio con la interpretación judicial de la ley procesal aplicable.</w:t>
      </w:r>
    </w:p>
    <w:p w:rsidR="005728DD" w:rsidRDefault="005728DD" w:rsidP="005728DD">
      <w:pPr>
        <w:pStyle w:val="TextoNormal"/>
      </w:pPr>
    </w:p>
    <w:p w:rsidR="005728DD" w:rsidRDefault="005728DD" w:rsidP="005728DD">
      <w:pPr>
        <w:pStyle w:val="TextoNormal"/>
      </w:pPr>
      <w:r>
        <w:t>Dada la delimitación progresiva de su objeto, debemos hacer una consideración previa acerca de las peculiaridades que presenta el desarrollo del proceso penal en torno a la determinación de la competencia. En nuestro ordenamiento,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su calificación jurídica es provisional durante la fase de investigación e intermedia (SSTC 20/1987, de 19 de febrero, FJ 4, y 186/1990, de 15 de noviembre, FJ 4), pues solo después de practicar contradictoriamente la prueba en un juicio público, si se mantiene la acusación, pueden los hechos imputados ser afirmados como delictivos por el órgano de enjuiciamiento, tras subsumirlos en un concreto tipo penal.</w:t>
      </w:r>
    </w:p>
    <w:p w:rsidR="005728DD" w:rsidRDefault="005728DD" w:rsidP="005728DD">
      <w:pPr>
        <w:pStyle w:val="TextoNormal"/>
      </w:pPr>
    </w:p>
    <w:p w:rsidR="005728DD" w:rsidRDefault="005728DD" w:rsidP="005728DD">
      <w:pPr>
        <w:pStyle w:val="TextoNormal"/>
      </w:pPr>
      <w:r>
        <w:t xml:space="preserve">Expuesto de forma sintética el desarrollo del proceso penal, a tenor de las normas que lo regulan resulta jurídicamente indiscutible que la evaluación inicial de la competencia objetiva para la investigación de la causa solo puede tener como referencia los hechos atribuidos en la querella y su calificación jurídica provisional. Tampoco cabe discutir fundadamente que la acumulación de causas basada en su conexidad procesal, con la consiguiente extensión subjetiva del ámbito de investigación y enjuiciamiento, está expresamente prevista en la ley y tiene por finalidad facilitar el esclarecimiento de hechos complejos y determinar más fácilmente la responsabilidad penal procedente en el caso de delitos plurisubjetivos. </w:t>
      </w:r>
      <w:r>
        <w:lastRenderedPageBreak/>
        <w:t>Por último, la competencia para enjuiciamiento viene determinada en la ley a partir de la imputación fáctica y calificación provisional de los hechos realizada por las acusaciones.</w:t>
      </w:r>
    </w:p>
    <w:p w:rsidR="005728DD" w:rsidRDefault="005728DD" w:rsidP="005728DD">
      <w:pPr>
        <w:pStyle w:val="TextoNormal"/>
      </w:pPr>
    </w:p>
    <w:p w:rsidR="005728DD" w:rsidRDefault="005728DD" w:rsidP="005728DD">
      <w:pPr>
        <w:pStyle w:val="TextoNormal"/>
      </w:pPr>
      <w:r>
        <w:t>A partir de estos criterios y el ámbito de control que a este tribunal corresponde en garantía del derecho al juez predeterminado por la ley, analizaremos cada una de las decisiones que llevaron a la Sala de lo Penal del Tribunal Supremo a asumir la competencia inicial de investigación, a extenderla a los no aforados y a mantenerla para el enjuiciamiento de las pretensiones acusatorias formuladas.</w:t>
      </w:r>
    </w:p>
    <w:p w:rsidR="005728DD" w:rsidRDefault="005728DD" w:rsidP="005728DD">
      <w:pPr>
        <w:pStyle w:val="TextoNormal"/>
      </w:pPr>
    </w:p>
    <w:p w:rsidR="005728DD" w:rsidRDefault="005728DD" w:rsidP="005728DD">
      <w:pPr>
        <w:pStyle w:val="TextoNormal"/>
      </w:pPr>
      <w:r>
        <w:t>4.4.2. Al admitir a trámite la querella inicial (auto de 31 de octubre de 2017), para determinar su propia competencia, salvo que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A partir de dicho relato fáctico y su calificación jurídica, dada la condición parlamentaria de varias personas querelladas, resultaban determinantes su fuero especial y el lugar de comisión de los hechos que se les atribuían, a la vista de la regla especial establecida en el art. 57.2 EAC.</w:t>
      </w:r>
    </w:p>
    <w:p w:rsidR="005728DD" w:rsidRDefault="005728DD" w:rsidP="005728DD">
      <w:pPr>
        <w:pStyle w:val="TextoNormal"/>
      </w:pPr>
    </w:p>
    <w:p w:rsidR="005728DD" w:rsidRDefault="005728DD" w:rsidP="005728DD">
      <w:pPr>
        <w:pStyle w:val="TextoNormal"/>
      </w:pPr>
      <w:r>
        <w:t>Por tanto, no podemos compartir con el demandante que la asunción inicial de la competencia de investigación, en aplicación de los parámetros expuestos, se haya apoyado en valoraciones o razonamientos que puedan ser calificados como arbitrarios, manifiestamente irrazonables o fruto de un error patente que derive de las actuaciones.</w:t>
      </w:r>
    </w:p>
    <w:p w:rsidR="005728DD" w:rsidRDefault="005728DD" w:rsidP="005728DD">
      <w:pPr>
        <w:pStyle w:val="TextoNormal"/>
      </w:pPr>
    </w:p>
    <w:p w:rsidR="005728DD" w:rsidRDefault="005728DD" w:rsidP="005728DD">
      <w:pPr>
        <w:pStyle w:val="TextoNormal"/>
      </w:pPr>
      <w:r>
        <w:t>Los criterios jurídicos utilizados por la Sala de lo Penal del Tribunal Supremo —extensamente descritos en anteriores epígrafes— dan cuenta de la toma en consideración de los elementos nucleares de las normas legales de atribución de competencia: aforamiento especial parlamentario, lugar atribuido de la comisión del delito y conexidad procesal derivada de la necesidad de esclarecer y valorar conjuntamente los diversos hechos atribuidos a las distintas personas sometidas a investigación.</w:t>
      </w:r>
    </w:p>
    <w:p w:rsidR="005728DD" w:rsidRDefault="005728DD" w:rsidP="005728DD">
      <w:pPr>
        <w:pStyle w:val="TextoNormal"/>
      </w:pPr>
    </w:p>
    <w:p w:rsidR="005728DD" w:rsidRDefault="005728DD" w:rsidP="005728DD">
      <w:pPr>
        <w:pStyle w:val="TextoNormal"/>
      </w:pPr>
      <w:r>
        <w:t>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así como su carácter plurisubjetivo y colectivo, que fue expuesto por el Ministerio Fiscal en la querella como fruto de una estrategia concertada que presenta un elemento tendencial notorio: declarar la independencia de una parte del territorio español.</w:t>
      </w:r>
    </w:p>
    <w:p w:rsidR="005728DD" w:rsidRDefault="005728DD" w:rsidP="005728DD">
      <w:pPr>
        <w:pStyle w:val="TextoNormal"/>
      </w:pPr>
    </w:p>
    <w:p w:rsidR="005728DD" w:rsidRDefault="005728DD" w:rsidP="005728DD">
      <w:pPr>
        <w:pStyle w:val="TextoNormal"/>
      </w:pPr>
      <w:r>
        <w:t>Es precisamente la toma en consideración de que una pluralidad de sujetos intervino concertadamente en el hecho atribuido lo que justificó razonadamente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005728DD" w:rsidRDefault="005728DD" w:rsidP="005728DD">
      <w:pPr>
        <w:pStyle w:val="TextoNormal"/>
      </w:pPr>
    </w:p>
    <w:p w:rsidR="005728DD" w:rsidRDefault="005728DD" w:rsidP="005728DD">
      <w:pPr>
        <w:pStyle w:val="TextoNormal"/>
      </w:pPr>
      <w:r>
        <w:lastRenderedPageBreak/>
        <w:t>Por tanto, son razonamientos que tienen que ver con los diversos hechos atribuidos a las personas querelladas, con el lugar donde supuestamente se produjeron, con la calificación jurídica provisional expresada en la querella y con la condición parlamentaria de varios aforados. No parte la Sala de premisas inexistentes o patentemente erróneas. Y su desarrollo argumental no incurre en quiebras lógicas ni se aleja del tenor de la norma aplicada, sino que, descartando la identidad objetiva de los precedentes jurisprudenciales alegados por el demandante, se apoyan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 Que se utilizaran criterios jurisprudenciales nuevos para un caso complejo como el que era objeto de investigación no permite sostener, sin más, su arbitrariedad. El demandante discrepa de los utilizados para extender la autoría por colaboración a quienes realizaran tareas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ahora analizada, ni permite apreciar la arbitrariedad que alega en el tratamiento del presente caso.</w:t>
      </w:r>
    </w:p>
    <w:p w:rsidR="005728DD" w:rsidRDefault="005728DD" w:rsidP="005728DD">
      <w:pPr>
        <w:pStyle w:val="TextoNormal"/>
      </w:pPr>
    </w:p>
    <w:p w:rsidR="005728DD" w:rsidRDefault="005728DD" w:rsidP="005728DD">
      <w:pPr>
        <w:pStyle w:val="TextoNormal"/>
      </w:pPr>
      <w:r>
        <w:t>Tampoco resulta fundada la queja que se expresa utilizando como término de comparación la solución dada a anteriores acciones penales ya enjuiciadas pues, como extensamente ha argumentado la Sala de lo Penal del Tribunal Supremo al rechazar la declinatoria de jurisdicción, lo relevante es que se trata de casos distintos referidos a hechos diferentes, que no pueden ser utilizados como término de comparación válido para cuestionar la decisión adoptada en la presente causa. Es un razonamiento que no se basa en los delitos atribuidos sino en los hechos que sirven de sustento a dicha calificación. En aquellos supuestos que se proponen en la demanda como elemento de contraste, la imputación tuvo un presupuesto fáctico distinto, y no se extendió a los tipos penales que han sido enjuiciados en la presente causa penal, interconectados entre sí. En todo caso, más allá de expresar su discrepancia al respecto, el recurrente no hace el mínimo esfuerzo argumental en relación con la respuesta expresa que, sobre esta cuestión, ha recibido del Tribunal Supremo.</w:t>
      </w:r>
    </w:p>
    <w:p w:rsidR="005728DD" w:rsidRDefault="005728DD" w:rsidP="005728DD">
      <w:pPr>
        <w:pStyle w:val="TextoNormal"/>
      </w:pPr>
    </w:p>
    <w:p w:rsidR="005728DD" w:rsidRDefault="005728DD" w:rsidP="005728DD">
      <w:pPr>
        <w:pStyle w:val="TextoNormal"/>
      </w:pPr>
      <w:r>
        <w:t>En definitiva, en cuanto a la asunción de la competencia para la averiguación del delito denunciado, la conclusión alcanzada es consecuencia lógica de las razones jurídicas expuestas y no supone una manipulación arbitraria de la regla de distribución de competencias, por lo que la vulneración alegada ha de ser desestimada.</w:t>
      </w:r>
    </w:p>
    <w:p w:rsidR="005728DD" w:rsidRDefault="005728DD" w:rsidP="005728DD">
      <w:pPr>
        <w:pStyle w:val="TextoNormal"/>
      </w:pPr>
    </w:p>
    <w:p w:rsidR="005728DD" w:rsidRDefault="005728DD" w:rsidP="005728DD">
      <w:pPr>
        <w:pStyle w:val="TextoNormal"/>
      </w:pPr>
      <w:r>
        <w:t>4.4.3. Como ha quedado expuesto, la extensión subjetiva de la competencia al demandante y a otras personas no aforadas sometidas a investigación, fue acordada por auto del magistrado instructor de 24 de noviembre de 2017. Aunque el demandante carecía de la condición de aforado, la investigación y enjuiciamiento de los hechos que se le atribuían por la Sala de lo Penal del Tribunal Supremo estaban explícita y específicamente previstos por las normas de la Ley de enjuiciamiento criminal que establecen el enjuiciamiento conjunto en un solo proceso de los delitos conexos cuya inescindibilidad sea apreciada (arts. 17.1 y 2, y 272 LECrim).</w:t>
      </w:r>
    </w:p>
    <w:p w:rsidR="005728DD" w:rsidRDefault="005728DD" w:rsidP="005728DD">
      <w:pPr>
        <w:pStyle w:val="TextoNormal"/>
      </w:pPr>
    </w:p>
    <w:p w:rsidR="005728DD" w:rsidRDefault="005728DD" w:rsidP="005728DD">
      <w:pPr>
        <w:pStyle w:val="TextoNormal"/>
      </w:pPr>
      <w:r>
        <w:t xml:space="preserve">No cabe compartir la afirmación que se hace en la demanda, según la cual dicha apreciación se apoya en la necesidad de enjuiciamiento conjunto de los delitos de rebelión y malversación, pues la investigación y enjuiciamiento por delito de rebelión, dado su carácter </w:t>
      </w:r>
      <w:r>
        <w:lastRenderedPageBreak/>
        <w:t>complejo y plurisubjetivo, justificaban ya, en sí mismos, la conexidad procesal y la acumulación de causas. Se trata de normas procesales aplicadas diaria y ordinariamente en nuestra realidad jurídica cuando un solo hecho es cometido por dos o más personas reunidas, o un delito es medio para la comisión de otro o para facilitar su ejecución, o, en fin, cuando se aprecia la existencia de un concierto previo para la comisión de un delito plurisubjetivo en distintos lugares o tiempos (art. 17, apartados 1 a 3, LECrim).</w:t>
      </w:r>
    </w:p>
    <w:p w:rsidR="005728DD" w:rsidRDefault="005728DD" w:rsidP="005728DD">
      <w:pPr>
        <w:pStyle w:val="TextoNormal"/>
      </w:pPr>
    </w:p>
    <w:p w:rsidR="005728DD" w:rsidRDefault="005728DD" w:rsidP="005728DD">
      <w:pPr>
        <w:pStyle w:val="TextoNormal"/>
      </w:pPr>
      <w:r>
        <w:t>4.4.4. Igual suerte desestimatoria ha de correr, por las mismas razones, la vulneración que se asocia al auto de 27 de diciembre de 2018 que desestimó las diversas declinatorias de jurisdicción planteadas. Sus razonamientos son semejantes y abundan en los que ya han sido expuestos. El único elemento diferencial de su análisis radica específicamente en que la competencia de enjuiciamiento fue ratificada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(delito del que el demandante no fue acusado), incorporaban hechos que desbordaron el límite territorial de la comunidad autónoma catalana.</w:t>
      </w:r>
    </w:p>
    <w:p w:rsidR="005728DD" w:rsidRDefault="005728DD" w:rsidP="005728DD">
      <w:pPr>
        <w:pStyle w:val="TextoNormal"/>
      </w:pPr>
    </w:p>
    <w:p w:rsidR="005728DD" w:rsidRDefault="005728DD" w:rsidP="005728DD">
      <w:pPr>
        <w:pStyle w:val="TextoNormal"/>
      </w:pPr>
      <w:r>
        <w:t>En definitiva, el mantenimiento de la competencia para enjuiciamiento vino apoyado en todo momento en los elementos que, en el Estatuto de Autonomía de Cataluña, definen la regla estatutaria de atribución competencial.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005728DD" w:rsidRDefault="005728DD" w:rsidP="005728DD">
      <w:pPr>
        <w:pStyle w:val="TextoNormal"/>
      </w:pPr>
    </w:p>
    <w:p w:rsidR="005728DD" w:rsidRDefault="005728DD" w:rsidP="005728DD">
      <w:pPr>
        <w:pStyle w:val="TextoNormal"/>
      </w:pPr>
      <w:r>
        <w:t>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005728DD" w:rsidRDefault="005728DD" w:rsidP="005728DD">
      <w:pPr>
        <w:pStyle w:val="TextoNormal"/>
      </w:pPr>
    </w:p>
    <w:p w:rsidR="005728DD" w:rsidRDefault="005728DD" w:rsidP="005728DD">
      <w:pPr>
        <w:pStyle w:val="TextoNormal"/>
      </w:pPr>
      <w:r>
        <w:t>Lo expuesto permite apreciar que la Sala de lo Penal del Tribunal Supremo, en cuanto es el órgano judicial establecido por la ley para exigir responsabilidad por delito a los diputados autonómicos, cuando los hechos atribuidos tienen lugar fuera del territorio catalán —según establece el Estatuto de Autonomía de Cataluña—, permite afirmar razonadamente que lo es para investigar y enjuiciar las acciones penales que contra ellos se dirijan en esos casos; lo que nos lleva a concluir que las resoluciones impugnadas en amparo no vulneraron el derecho del recurrente al juez ordinario predeterminado por la ley.</w:t>
      </w:r>
    </w:p>
    <w:p w:rsidR="005728DD" w:rsidRDefault="005728DD" w:rsidP="005728DD">
      <w:pPr>
        <w:pStyle w:val="TextoNormal"/>
      </w:pPr>
    </w:p>
    <w:p w:rsidR="005728DD" w:rsidRDefault="005728DD" w:rsidP="005728DD">
      <w:pPr>
        <w:pStyle w:val="TextoNormal"/>
      </w:pPr>
      <w:r>
        <w:t>4.4.5. Al fundamentar la alegada vulneración del derecho al juez legal, afirma el recurrente la inconstitucionalidad sobrevenida del art. 21.1 LECrim, en cuanto impide, en el ámbito procesal penal, promover cuestión de competencia contra el Tribunal Supremo. En la demanda se presenta dicha prohibición legal como fundamento de la atribución de com</w:t>
      </w:r>
      <w:r>
        <w:lastRenderedPageBreak/>
        <w:t>petencia por parte del Tribunal Supremo. Sin embargo, basta lo expuesto y analizado anteriormente en esta resolución para poner de relieve que dicha interdicción legal no es el fundamento de la atribución de competencia, sino que lo han sido las razones ya reseñadas y valoradas.</w:t>
      </w:r>
    </w:p>
    <w:p w:rsidR="005728DD" w:rsidRDefault="005728DD" w:rsidP="005728DD">
      <w:pPr>
        <w:pStyle w:val="TextoNormal"/>
      </w:pPr>
    </w:p>
    <w:p w:rsidR="005728DD" w:rsidRDefault="005728DD" w:rsidP="005728DD">
      <w:pPr>
        <w:pStyle w:val="TextoNormal"/>
      </w:pPr>
      <w:r>
        <w:t>En tal sentido, resulta necesario recordar que, si bien con carácter general el recurso de amparo no ha sido concebido para el enjuiciamiento de las normas aplicadas por los tribunales, sin embargo, nuestra doctrina autoriza en ocasiones tal eventualidad, entre otras, cuando se reprocha a la aplicación del propio precepto la lesión de un derecho fundamental. Así, en la STC 34/2011, de 28 de marzo, FJ 1, tuvimos ocasión de señalar que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w:t>
      </w:r>
    </w:p>
    <w:p w:rsidR="005728DD" w:rsidRDefault="005728DD" w:rsidP="005728DD">
      <w:pPr>
        <w:pStyle w:val="TextoNormal"/>
      </w:pPr>
    </w:p>
    <w:p w:rsidR="005728DD" w:rsidRDefault="005728DD" w:rsidP="005728DD">
      <w:pPr>
        <w:pStyle w:val="TextoNormal"/>
      </w:pPr>
      <w:r>
        <w:t>En consecuencia, no concurre en este caso el presupuesto lógico que justificaría realizar en este proceso de amparo el enjuiciamiento abstracto de la disposición normativa cuya inconstitucionalidad se propugna, dado que el precepto cuestionado no constituye en modo alguno l</w:t>
      </w:r>
      <w:r w:rsidRPr="005728DD">
        <w:rPr>
          <w:i/>
        </w:rPr>
        <w:t>a rat</w:t>
      </w:r>
      <w:r>
        <w:t>io de la asunción de competencia impugnada.</w:t>
      </w:r>
    </w:p>
    <w:p w:rsidR="005728DD" w:rsidRDefault="005728DD" w:rsidP="005728DD">
      <w:pPr>
        <w:pStyle w:val="TextoNormal"/>
      </w:pPr>
    </w:p>
    <w:p w:rsidR="005728DD" w:rsidRDefault="005728DD" w:rsidP="005728DD">
      <w:pPr>
        <w:pStyle w:val="TextoNormal"/>
      </w:pPr>
      <w:r>
        <w:t>Adicionalmente, debemos destacar que esta cuestión no aparece planteada en el escrito de defensa, ni en el que planteó la declinatoria de jurisdicción, ni tampoco en el escrito por el que el recurrente —</w:t>
      </w:r>
      <w:r w:rsidRPr="005728DD">
        <w:rPr>
          <w:i/>
        </w:rPr>
        <w:t>ex</w:t>
      </w:r>
      <w:r>
        <w:t xml:space="preserve"> art. 241 LOPJ— suscitó la nulidad de la sentencia condenatoria, lo que desatiende frontalmente las exigencias de subsidiariedad que rigen en el proceso de amparo; de manera que ningún pronunciamiento sobre esta cuestión puede aquí realizarse. Por lo demás, no tratándose de una norma excepcional en el orden penal (art. 52 LOPJ), como se afirma en la demanda, tampoco apreciamos que el contenido del derecho al juez predeterminado por la ley incluya o exija la posibilidad de cuestionamiento de la competencia previamente determinada ante un tribunal distinto o funcionalmente superior; mucho menos cuando la misma lo ha sido por el Tribunal Supremo. En todo caso, las consecuencias de esta intervención en única instancia de la Sala de lo Penal constituyen el objeto de la queja que abordaremos a continuación.</w:t>
      </w:r>
    </w:p>
    <w:p w:rsidR="005728DD" w:rsidRDefault="005728DD" w:rsidP="005728DD">
      <w:pPr>
        <w:pStyle w:val="TextoNormal"/>
      </w:pPr>
    </w:p>
    <w:p w:rsidR="005728DD" w:rsidRDefault="005728DD" w:rsidP="005728DD">
      <w:pPr>
        <w:pStyle w:val="TextoNormal"/>
      </w:pPr>
      <w:r>
        <w:t>Procede, en consecuencia, desestimar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El derecho al doble grado de jurisdicción en los procesos penales desarrollados en única instancia ante el Tribunal Supremo</w:t>
      </w:r>
      <w:r>
        <w:t>.</w:t>
      </w:r>
    </w:p>
    <w:p w:rsidR="005728DD" w:rsidRDefault="005728DD" w:rsidP="005728DD">
      <w:pPr>
        <w:pStyle w:val="TextoNormal"/>
      </w:pPr>
    </w:p>
    <w:p w:rsidR="005728DD" w:rsidRDefault="005728DD" w:rsidP="005728DD">
      <w:pPr>
        <w:pStyle w:val="TextoNormal"/>
      </w:pPr>
      <w:r>
        <w:t xml:space="preserve">La desestimación del precedente motivo de amparo lleva consigo la del que, por conexión, denuncia la indebida limitación del derecho al doble grado jurisdiccional en materia penal. El demandante ha visto cómo la investigación y el enjuiciamiento de las imputaciones </w:t>
      </w:r>
      <w:r>
        <w:lastRenderedPageBreak/>
        <w:t>que pesaban sobre él se trasladaron ante la Sala de lo Penal del Tribunal Supremo debido a que algunas otras personas acusadas en la misma causa tenían la condición necesaria para el aforamiento parlamentario previsto en el art. 57.2 EAC, y a que se apreció identidad fáctica y conexidad procesal entre los hechos y delitos atribuidos inicialmente a los aforados y al demandante.</w:t>
      </w:r>
    </w:p>
    <w:p w:rsidR="005728DD" w:rsidRDefault="005728DD" w:rsidP="005728DD">
      <w:pPr>
        <w:pStyle w:val="TextoNormal"/>
      </w:pPr>
    </w:p>
    <w:p w:rsidR="005728DD" w:rsidRDefault="005728DD" w:rsidP="005728DD">
      <w:pPr>
        <w:pStyle w:val="TextoNormal"/>
      </w:pPr>
      <w:r>
        <w:t>Tal y como expresa la sentencia impugnada, este tribunal ya ha abordado en anteriores pronunciamientos dicha cuestión (por todas, SSTC 51/1985, de 10 de abril, FJ 3; 136/1999, de 20 de julio, FJ 11, y 64/2001, de 17 de marzo, FJ 5), y específicamente lo ha hecho al desestimar la misma queja planteada en amparo por dos personas coacusadas en la misma causa penal (SSTC 34/2021, de 17 de febrero, y 91/2021, de 22 de abril). En las resoluciones citadas la cuestión planteada ya ha sido resuelta por este tribunal en sentido contrario al ahora pretendido. Por ello, dado que el supuesto enjuiciado guarda una sustancial similitud con los anteriormente resueltos procede reiterar aquí la doctrina ya establecida. En ella hemos afirmado que la garantía que implica la instrucción y el enjuiciamiento de la causa por el tribunal más alto en el orden penal (art. 123.1 CE) integra en parte —acceso a una instancia judicial superior a la que de ordinario enjuicia inicialmente este tipo de conflictos— y sustituye en lo demás —posibilidad de una segunda decisión— la garantía que ahora aduce el recurrente, que presupone, precisamente, que la primera instancia no sea la instancia suprema en el orden jurisdiccional penal. Así, hemos señalado que el derecho de todo culpable a que “el fallo condenatorio y la pena que se le haya impuesto sean sometidos a un tribunal superior, conforme a lo prescrito por la ley”, en los términos expuestos en el art. 14.5 del Pacto internacional de derechos civiles y políticos, se integra en el contenido del derecho a un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encuentre justificación suficiente.</w:t>
      </w:r>
    </w:p>
    <w:p w:rsidR="005728DD" w:rsidRDefault="005728DD" w:rsidP="005728DD">
      <w:pPr>
        <w:pStyle w:val="TextoNormal"/>
      </w:pPr>
    </w:p>
    <w:p w:rsidR="005728DD" w:rsidRDefault="005728DD" w:rsidP="005728DD">
      <w:pPr>
        <w:pStyle w:val="TextoNormal"/>
      </w:pPr>
      <w:r>
        <w:t>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apreciación esta que ya hemos declarado razonada: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 o a la realización conjunta de una pluralidad de hechos.</w:t>
      </w:r>
    </w:p>
    <w:p w:rsidR="005728DD" w:rsidRDefault="005728DD" w:rsidP="005728DD">
      <w:pPr>
        <w:pStyle w:val="TextoNormal"/>
      </w:pPr>
    </w:p>
    <w:p w:rsidR="005728DD" w:rsidRDefault="005728DD" w:rsidP="005728DD">
      <w:pPr>
        <w:pStyle w:val="TextoNormal"/>
      </w:pPr>
      <w: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estimamos que “no había vulneración del derecho a la revisión de la condena cuando esta era pronunciada en única instancia por el Tribunal Supremo”. El propio </w:t>
      </w:r>
      <w:r>
        <w:lastRenderedPageBreak/>
        <w:t>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al doble grado de jurisdicción en materia penal para revisar el fallo condenatorio y la pena impuesta; lo que conlleva la desestimación de este motivo de amparo.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Los derechos de defensa y a no ser discriminado por razón de la lengua</w:t>
      </w:r>
      <w:r>
        <w:t>.</w:t>
      </w:r>
    </w:p>
    <w:p w:rsidR="005728DD" w:rsidRDefault="005728DD" w:rsidP="005728DD">
      <w:pPr>
        <w:pStyle w:val="TextoNormal"/>
      </w:pPr>
    </w:p>
    <w:p w:rsidR="005728DD" w:rsidRDefault="005728DD" w:rsidP="005728DD">
      <w:pPr>
        <w:pStyle w:val="TextoNormal"/>
      </w:pPr>
      <w:r>
        <w:t xml:space="preserve">6.1. </w:t>
      </w:r>
      <w:r w:rsidRPr="005728DD">
        <w:rPr>
          <w:i/>
        </w:rPr>
        <w:t>Posiciones de las partes</w:t>
      </w:r>
      <w:r>
        <w:t>.</w:t>
      </w:r>
    </w:p>
    <w:p w:rsidR="005728DD" w:rsidRDefault="005728DD" w:rsidP="005728DD">
      <w:pPr>
        <w:pStyle w:val="TextoNormal"/>
      </w:pPr>
    </w:p>
    <w:p w:rsidR="005728DD" w:rsidRDefault="005728DD" w:rsidP="005728DD">
      <w:pPr>
        <w:pStyle w:val="TextoNormal"/>
      </w:pPr>
      <w:r>
        <w:t>El recurrente se queja de la imposibilidad de desarrollar el juicio en lengua catalana dentro del motivo de amparo relativo a la vulneración del derecho al juez ordinario predeterminado por la ley (art. 24.2 CE) al tratarse, en su planteamiento, de un efecto asociado a la asunción de la competencia por el Tribunal Supremo.</w:t>
      </w:r>
    </w:p>
    <w:p w:rsidR="005728DD" w:rsidRDefault="005728DD" w:rsidP="005728DD">
      <w:pPr>
        <w:pStyle w:val="TextoNormal"/>
      </w:pPr>
    </w:p>
    <w:p w:rsidR="005728DD" w:rsidRDefault="005728DD" w:rsidP="005728DD">
      <w:pPr>
        <w:pStyle w:val="TextoNormal"/>
      </w:pPr>
      <w:r>
        <w:t>El cuerpo de la demanda, que ahora sintetizamos, desarrolla argumentalmente la existencia de vulneración de un pretendido derecho fundamental al uso de la lengua catalana. En concreto, como se indica pormenorizadamente en los antecedentes de esta sentencia, razona que el ofrecimiento por el Tribunal Supremo de un sistema de traducción consecutiva, en vez del postulado de traducción simultánea, parte de una comprensión parcial y desviada del principio de publicidad, pues la misma “nunca puede limitar los derechos procesales del acusado”, y que en el discurso de la sentencia late una “confusión entre el derecho a no sufrir indefensión” y “el derecho (o garantías) de autodefensa”, en el que fundaron las partes su solicitud al respecto. A su juicio, los derechos lingüísticos de los procesados no fueron adecuadamente ponderados, “ya que se argumenta a partir de principios externos a los mismos (publicidad e indefensión), para acabar concluyendo que los primeros no fueron vulnerados”. Tras ello, aduce que el argumento según el cual la sede del Tribunal Supremo, fuera del territorio de Cataluña, justifica la exclusión de la posibilidad del uso del catalán, no es “evidente”, que la oficialidad de esta lengua fue destacada en la STC 31/2010, y que, si bien el texto constitucional no identifica los derechos lingüísticos como derechos fundamentales, “determinados derechos fundamentales pueden presentar un contenido lingüístico”, entre los que cita el derecho a la tutela judicial efectiva, el derecho a la educación o el derecho a la intimidad, a lo que agrega el mandato del art. 10.2 CE, y el reconocimiento efectuado por este Tribunal Constitucional de que la “conexión del uso lingüístico con el ejercicio de un derecho fundamental debe modular la interpretación y aplicación de las previsiones legales restrictivas” (SSTC 48/2000 y 49/2000).</w:t>
      </w:r>
    </w:p>
    <w:p w:rsidR="005728DD" w:rsidRDefault="005728DD" w:rsidP="005728DD">
      <w:pPr>
        <w:pStyle w:val="TextoNormal"/>
      </w:pPr>
    </w:p>
    <w:p w:rsidR="005728DD" w:rsidRDefault="005728DD" w:rsidP="005728DD">
      <w:pPr>
        <w:pStyle w:val="TextoNormal"/>
      </w:pPr>
      <w:r>
        <w:lastRenderedPageBreak/>
        <w:t>El abogado del Estado niega el fundamento de esta queja al rechazar que el derecho a utilizar la lengua catalana constituya un derecho tutelable autónomamente, al margen de las garantías del art. 24.2 CE, y que tal derecho deba determinar la competencia jurisdiccional, con atribución de la misma a los juzgados y tribunales situados en territorio catalán o, al menos, el traslado de la sede de las sesiones del juicio oral a Cataluña. Añade que la configuración, en 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w:t>
      </w:r>
    </w:p>
    <w:p w:rsidR="005728DD" w:rsidRDefault="005728DD" w:rsidP="005728DD">
      <w:pPr>
        <w:pStyle w:val="TextoNormal"/>
      </w:pPr>
    </w:p>
    <w:p w:rsidR="005728DD" w:rsidRDefault="005728DD" w:rsidP="005728DD">
      <w:pPr>
        <w:pStyle w:val="TextoNormal"/>
      </w:pPr>
      <w:r>
        <w:t>Por su parte, la representación procesal del partido político Vox postula también la desestimación de este motivo de amparo. A su juicio, de la STC 74/1987, de 25 de mayo, se desprende que el deber de conocer el castellano, conforme se establece en el art. 3.1 CE, genera una presunción que puede ser desvirtuada cuando de manera verosímil se alega ignorancia o dominio insuficiente, lo que no se ha producido en este caso, en que ha quedado acreditado en el proceso que el demandante se expresaba perfectamente en castellano.</w:t>
      </w:r>
    </w:p>
    <w:p w:rsidR="005728DD" w:rsidRDefault="005728DD" w:rsidP="005728DD">
      <w:pPr>
        <w:pStyle w:val="TextoNormal"/>
      </w:pPr>
    </w:p>
    <w:p w:rsidR="005728DD" w:rsidRDefault="005728DD" w:rsidP="005728DD">
      <w:pPr>
        <w:pStyle w:val="TextoNormal"/>
      </w:pPr>
      <w:r>
        <w:t>Por último, el Ministerio Fiscal, tras afirmar que esta queja pierde su razón de ser una vez confirmada la inexistencia de la vulneración del derecho al juez ordinario predeterminado por la ley, interesa también la desestimación de la queja. Destaca que los acusados, que eran perfectamente conocedores de la lengua castellana, renunciaron al empleo de su lengua vernácula y a la utilización de los dos intérpretes que fueron puestos a su disposición. Tras efectuar un importante esfuerzo de compilación de la doctrina constitucional relativa a la indefensión material, señala que, a su entender, ni siquiera existe infracción de norma procesal alguna, ya que el art. 231.3 LOPJ circunscribe la posibilidad de empleo de la lengua cooficial exclusivamente a las actuaciones judiciales que tengan lugar en el territorio de la comunidad autónoma correspondiente.</w:t>
      </w:r>
    </w:p>
    <w:p w:rsidR="005728DD" w:rsidRDefault="005728DD" w:rsidP="005728DD">
      <w:pPr>
        <w:pStyle w:val="TextoNormal"/>
      </w:pPr>
    </w:p>
    <w:p w:rsidR="005728DD" w:rsidRDefault="005728DD" w:rsidP="005728DD">
      <w:pPr>
        <w:pStyle w:val="TextoNormal"/>
      </w:pPr>
      <w:r>
        <w:t xml:space="preserve">6.2. </w:t>
      </w:r>
      <w:r w:rsidRPr="005728DD">
        <w:rPr>
          <w:i/>
        </w:rPr>
        <w:t>Respuesta del órgano judicial</w:t>
      </w:r>
      <w:r>
        <w:t>.</w:t>
      </w:r>
    </w:p>
    <w:p w:rsidR="005728DD" w:rsidRDefault="005728DD" w:rsidP="005728DD">
      <w:pPr>
        <w:pStyle w:val="TextoNormal"/>
      </w:pPr>
    </w:p>
    <w:p w:rsidR="005728DD" w:rsidRDefault="005728DD" w:rsidP="005728DD">
      <w:pPr>
        <w:pStyle w:val="TextoNormal"/>
      </w:pPr>
      <w:r>
        <w:t>La sentencia recurrida en amparo se refiere a esta materia, que fue planteada por las defensas de varios procesados (concretamente los señores Junqueras, Romeva, Sànchez, Rull, Turull, Cuixart y la señora Forcadell), en el fundamento de Derecho A), apartado 3.</w:t>
      </w:r>
    </w:p>
    <w:p w:rsidR="005728DD" w:rsidRDefault="005728DD" w:rsidP="005728DD">
      <w:pPr>
        <w:pStyle w:val="TextoNormal"/>
      </w:pPr>
    </w:p>
    <w:p w:rsidR="005728DD" w:rsidRDefault="005728DD" w:rsidP="005728DD">
      <w:pPr>
        <w:pStyle w:val="TextoNormal"/>
      </w:pPr>
      <w:r>
        <w:t xml:space="preserve">Tras un capítulo introductorio, el tribunal sentenciador condensa su respuesta señalando que “como ya anticipó </w:t>
      </w:r>
      <w:r w:rsidRPr="005728DD">
        <w:rPr>
          <w:i/>
        </w:rPr>
        <w:t>in voce</w:t>
      </w:r>
      <w:r>
        <w:t xml:space="preserve"> al resolver la audiencia preliminar, reconoció el derecho de los acusados a valerse del idioma catalán, pero rechazó la posibilidad de que el interrogatorio se practicara mediante traducción simultánea, que habría exigido a los miembros del tribunal la utilización de auriculares”. La razón —señala— es doble: “la afectación que esa práctica podría conllevar respecto del principio de publicidad” y “el verdadero significado constitucional del plurilingüismo en nuestro sistema, construido normativamente a partir de una delimitación espacial o territorial de su respectiva vigencia”.</w:t>
      </w:r>
    </w:p>
    <w:p w:rsidR="005728DD" w:rsidRDefault="005728DD" w:rsidP="005728DD">
      <w:pPr>
        <w:pStyle w:val="TextoNormal"/>
      </w:pPr>
    </w:p>
    <w:p w:rsidR="005728DD" w:rsidRDefault="005728DD" w:rsidP="005728DD">
      <w:pPr>
        <w:pStyle w:val="TextoNormal"/>
      </w:pPr>
      <w:r>
        <w:t>A partir de este enunciado general, la sentencia aborda estos puntos en varios subapartados.</w:t>
      </w:r>
    </w:p>
    <w:p w:rsidR="005728DD" w:rsidRDefault="005728DD" w:rsidP="005728DD">
      <w:pPr>
        <w:pStyle w:val="TextoNormal"/>
      </w:pPr>
    </w:p>
    <w:p w:rsidR="005728DD" w:rsidRDefault="005728DD" w:rsidP="005728DD">
      <w:pPr>
        <w:pStyle w:val="TextoNormal"/>
      </w:pPr>
      <w:r>
        <w:t>a) El epígrafe 3.2.1 desarrolla la perspectiva del principio de publicidad procesal. Comienza declarando lo que sigue:</w:t>
      </w:r>
    </w:p>
    <w:p w:rsidR="005728DD" w:rsidRDefault="005728DD" w:rsidP="005728DD">
      <w:pPr>
        <w:pStyle w:val="TextoNormal"/>
      </w:pPr>
    </w:p>
    <w:p w:rsidR="005728DD" w:rsidRDefault="005728DD" w:rsidP="005728DD">
      <w:pPr>
        <w:pStyle w:val="TextoNormal"/>
      </w:pPr>
      <w:r>
        <w:t xml:space="preserve">“Admitir la exigencia de auriculares como única forma de garantizar el derecho a expresarse en la propia lengua, habría implicado el sacrificio del principio de publicidad. Si entender las preguntas de los letrados y las respuestas de los acusados hubiera exigido disponer de auriculares, habríamos excluido de forma injustificada a todas aquellas personas que, hallándose en la sala de juicios o siguiendo la retransmisión televisada del proceso, no tuvieran a su alcance esos dispositivos. Habríamos también excluido a quienes siguieran el juicio a través de una señal de transmisión cuyos responsables no consideraran oportuno o rentable incorporar una voz en </w:t>
      </w:r>
      <w:r w:rsidRPr="005728DD">
        <w:rPr>
          <w:i/>
        </w:rPr>
        <w:t>off</w:t>
      </w:r>
      <w:r>
        <w:t xml:space="preserve"> que efectuara la traducción”.</w:t>
      </w:r>
    </w:p>
    <w:p w:rsidR="005728DD" w:rsidRDefault="005728DD" w:rsidP="005728DD">
      <w:pPr>
        <w:pStyle w:val="TextoNormal"/>
      </w:pPr>
    </w:p>
    <w:p w:rsidR="005728DD" w:rsidRDefault="005728DD" w:rsidP="005728DD">
      <w:pPr>
        <w:pStyle w:val="TextoNormal"/>
      </w:pPr>
      <w:r>
        <w:t>A juicio de la Sala, “se trataría de un sacrificio innecesario e injustificado”. Argumenta que ofreció, “incluso a quienes no lo habían solicitado de forma expresa, la posibilidad de practicar en lengua catalana los actos procesales en los que debieran tener algún tipo de intervención”, a cuyo fin el tribunal dispuso de dos intérpretes jurados de catalán. “Sin embargo, ninguno de los acusados quiso valerse de intérprete para sus respuestas, renunciando expresamente a lo que reivindicaba como su derecho y contestando el interrogatorio en castellano. El juicio, por tanto,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w:t>
      </w:r>
    </w:p>
    <w:p w:rsidR="005728DD" w:rsidRDefault="005728DD" w:rsidP="005728DD">
      <w:pPr>
        <w:pStyle w:val="TextoNormal"/>
      </w:pPr>
    </w:p>
    <w:p w:rsidR="005728DD" w:rsidRDefault="005728DD" w:rsidP="005728DD">
      <w:pPr>
        <w:pStyle w:val="TextoNormal"/>
      </w:pPr>
      <w:r>
        <w:t>“[M]uestra de la fluidez, la precisión y el dominio de la lengua castellana que evidenciaron todos los procesados” es el soporte digital en el que consta la grabación del juicio. “Su capacidad argumental, la solidez dialéctica y, en algunos casos, la brillantez de sus exposiciones, disipan cualquier duda acerca de la alegada indefensión”.</w:t>
      </w:r>
    </w:p>
    <w:p w:rsidR="005728DD" w:rsidRDefault="005728DD" w:rsidP="005728DD">
      <w:pPr>
        <w:pStyle w:val="TextoNormal"/>
      </w:pPr>
    </w:p>
    <w:p w:rsidR="005728DD" w:rsidRDefault="005728DD" w:rsidP="005728DD">
      <w:pPr>
        <w:pStyle w:val="TextoNormal"/>
      </w:pPr>
      <w:r>
        <w:t>Tras insistir en que “se puso al alcance de todos los acusados que quisieran hablar en el idioma catalán” la posibilidad de hacerlo, sin sacrificio de la publicidad, mediante la alternativa del empleo de traductores jurados en interpretación sucesiva, lo que fue rechazado por los acusados, se niega la indefensión.</w:t>
      </w:r>
    </w:p>
    <w:p w:rsidR="005728DD" w:rsidRDefault="005728DD" w:rsidP="005728DD">
      <w:pPr>
        <w:pStyle w:val="TextoNormal"/>
      </w:pPr>
    </w:p>
    <w:p w:rsidR="005728DD" w:rsidRDefault="005728DD" w:rsidP="005728DD">
      <w:pPr>
        <w:pStyle w:val="TextoNormal"/>
      </w:pPr>
      <w:r>
        <w:t>Se refiere después a la interpretación y aplicación del art. 123 LECrim [apartado 2: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Señala que “[l]a primera conclusión que autoriza la lectura de este precepto es que el respeto al derecho fundamental de los imputados que no hablen o entiendan el castellano o la lengua oficial en la que se desarrolle el plenario, no se asocia a la utilización de un método de traducción simultánea. Su empleo no actúa como presupuesto de validez de la declaración de los procesados. Tan idónea, a efectos de su validez procesal, es la utilización de un mecanismo de traducción simultánea como el que se vale de la traducción sucesiva”. Y añade que, si bien es cierto que el precepto “condiciona la decisión por uno u otro sistema a que ‘[…] no pueda disponerse del servicio de interpretación simultánea’ […] no fue esta la razón que llevó a la Sala a optar por la segunda alternativa. No han sido razones económicas […]. Tampoco dificultades técnicas […]. La circunstancia que ha condicionado nuestra decisión está vinculada a la singularidad de este proceso, desarrollado en sesiones orales que se han prolongado durante cuatro meses y te</w:t>
      </w:r>
      <w:r>
        <w:lastRenderedPageBreak/>
        <w:t xml:space="preserve">levisado mediante </w:t>
      </w:r>
      <w:r w:rsidRPr="005728DD">
        <w:rPr>
          <w:i/>
        </w:rPr>
        <w:t>streaming</w:t>
      </w:r>
      <w:r>
        <w:t xml:space="preserve"> en su integridad. Constatada, por tanto, la ausencia de cualquier indefensión derivada del sistema de traducción sucesiva, hemos considerado necesario preservar todas las ventajas y garantías propias del principio de publicidad. Todo ciudadano que haya querido seguir el desarrollo de las sesiones del juicio oral ha podido hacerlo sin que la ausencia de auriculares a su alcance haya mermado su capacidad para formarse opinión de lo que estaba aconteciendo en la Sala”.</w:t>
      </w:r>
    </w:p>
    <w:p w:rsidR="005728DD" w:rsidRDefault="005728DD" w:rsidP="005728DD">
      <w:pPr>
        <w:pStyle w:val="TextoNormal"/>
      </w:pPr>
    </w:p>
    <w:p w:rsidR="005728DD" w:rsidRDefault="005728DD" w:rsidP="005728DD">
      <w:pPr>
        <w:pStyle w:val="TextoNormal"/>
      </w:pPr>
      <w:r>
        <w:t>b) En los apartados 3.2.2 y 3.2.3 de la sentencia se trata del aspecto relativo al plurilingüismo en España y su dimensión procesal.</w:t>
      </w:r>
    </w:p>
    <w:p w:rsidR="005728DD" w:rsidRDefault="005728DD" w:rsidP="005728DD">
      <w:pPr>
        <w:pStyle w:val="TextoNormal"/>
      </w:pPr>
    </w:p>
    <w:p w:rsidR="005728DD" w:rsidRDefault="005728DD" w:rsidP="005728DD">
      <w:pPr>
        <w:pStyle w:val="TextoNormal"/>
      </w:pPr>
      <w:r>
        <w:t>Comienza por reproducir el artículo 3 de la Constitución (“1. El castellano es la lengua española oficial del Estado. Todos los españoles tienen el deber de conocerla y el derecho a usarla. 2. Las demás lenguas españolas serán también oficiales en las respectivas Comunidades Autónomas de acuerdo con sus Estatutos. 3. La riqueza de las distintas modalidades lingüísticas de España es un patrimonio cultural que será objeto de especial respeto y protección”) y señala que la Sala rechazó la petición de la defensa de los señores Junqueras y Romeva relativa a que los letrados pudieran formular sus preguntas en lengua catalana en aplicación del artículo 231.1 LOPJ que “proclama que el castellano, en su condición de lengua oficial del Estado, será el idioma usado en todas las actuaciones judiciales”. Añade que “el apartado 3 de ese mismo precepto, en consonancia con la previsión del art. 3 de la CE, autoriza a las partes, a sus representantes, a los peritos, a los testigos y a los letrados, a valerse de una lengua cooficial cuando se trate de actos procesales practicados en el territorio de una comunidad autónoma. La sede del Tribunal Supremo, fuera de ese ámbito territorial explica y justifica la exclusión de esa posibilidad”.</w:t>
      </w:r>
    </w:p>
    <w:p w:rsidR="005728DD" w:rsidRDefault="005728DD" w:rsidP="005728DD">
      <w:pPr>
        <w:pStyle w:val="TextoNormal"/>
      </w:pPr>
    </w:p>
    <w:p w:rsidR="005728DD" w:rsidRDefault="005728DD" w:rsidP="005728DD">
      <w:pPr>
        <w:pStyle w:val="TextoNormal"/>
      </w:pPr>
      <w:r>
        <w:t>En relación con la Carta europea de las lenguas regionales o minoritarias, hecha en Estrasburgo el 5 de noviembre de 1992 (instrumento de ratificación publicado en el “BOE” núm. 222, de 15 de septiembre de 2001), invocada por las defensas, tras hacer una exhaustiva exposición en torno a su artículo 9 y al quinto informe sobre su cumplimiento en España, elaborado por el Ministerio de la Presidencia y para las Administraciones Territoriales, el tribunal sentenciador declara que “la limitación territorial al ámbito de las comunidades autónomas vuelve a hacer acto de presencia, en la misma línea que ya proclamara el precepto constitucional y su desarrollo orgánico (arts. 3 CE y 231.3 LOPJ)”. Esta misma restricción —añade— “está también definida, por ejemplo, en el informe sobre la aplicación de la Carta europea de lenguas regionales o minoritarias en Cataluña, correspondiente a los años 2006-2008”, así como en los apartados 2 y 5 del artículo 33 del Estatuto de Autonomía de Cataluña. Concluye señalando:</w:t>
      </w:r>
    </w:p>
    <w:p w:rsidR="005728DD" w:rsidRDefault="005728DD" w:rsidP="005728DD">
      <w:pPr>
        <w:pStyle w:val="TextoNormal"/>
      </w:pPr>
    </w:p>
    <w:p w:rsidR="005728DD" w:rsidRDefault="005728DD" w:rsidP="005728DD">
      <w:pPr>
        <w:pStyle w:val="TextoNormal"/>
      </w:pPr>
      <w:r>
        <w:t>“Todo apunta, en consecuencia, 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El territorio, por tanto, opera como verdadero criterio delimitador de la oficialidad”.</w:t>
      </w:r>
    </w:p>
    <w:p w:rsidR="005728DD" w:rsidRDefault="005728DD" w:rsidP="005728DD">
      <w:pPr>
        <w:pStyle w:val="TextoNormal"/>
      </w:pPr>
    </w:p>
    <w:p w:rsidR="005728DD" w:rsidRDefault="005728DD" w:rsidP="005728DD">
      <w:pPr>
        <w:pStyle w:val="TextoNormal"/>
      </w:pPr>
      <w:r>
        <w:t xml:space="preserve">A continuación, se refiere a la jurisprudencia constitucional (con cita y reproducción de parte de las SSTC 82/1986, de 26 de junio, y 31/2010, de 28 de junio) de donde extrae que “[n]o existe […] el derecho a la utilización de un mecanismo de traducción simultánea que obligue al Tribunal Supremo a presenciar el desarrollo de la práctica de la prueba y las </w:t>
      </w:r>
      <w:r>
        <w:lastRenderedPageBreak/>
        <w:t>alegaciones de las partes en un idioma distinto del idioma oficial”. Agrega que “[e]se derecho tampoco lo reconocen los instrumentos jurídicos de ámbito internacional suscritos por España para la protección de las lenguas regionales”, con referencia al “informe explicativo del Consejo de Europa sobre su alcance (</w:t>
      </w:r>
      <w:r w:rsidRPr="005728DD">
        <w:rPr>
          <w:i/>
        </w:rPr>
        <w:t>Explanatory Report to the European Charter for Regional or Minority Languages</w:t>
      </w:r>
      <w:r>
        <w:t>)”, que, “en su apartado 11, bajo el título ‘consideraciones generales’, proclama que ‘la Carta no otorga derechos individuales ni colectivos a los hablantes de una lengua minoritaria’, solo concede el derecho a reclamar la aplicación de los principios de la Carta, lo que conllevará un saludable efecto en la situación de esas comunidades y de sus miembros”.</w:t>
      </w:r>
    </w:p>
    <w:p w:rsidR="005728DD" w:rsidRDefault="005728DD" w:rsidP="005728DD">
      <w:pPr>
        <w:pStyle w:val="TextoNormal"/>
      </w:pPr>
    </w:p>
    <w:p w:rsidR="005728DD" w:rsidRDefault="005728DD" w:rsidP="005728DD">
      <w:pPr>
        <w:pStyle w:val="TextoNormal"/>
      </w:pPr>
      <w:r>
        <w:t>Pese a la “claridad del cuadro normativo”, insiste, la Sala de lo Penal del Tribunal Supremo “puso a disposición de las defensas […] dos traductores oficiales de la lengua catalana y concedió a los procesados la posibilidad de hacer uso de la lengua vernácula en sus respuestas”. Se optó, señala, “por una interpretación extensiva del derecho de opción lingüística que otorga el art. 33.1 del Estatuto de Autonomía de Cataluña, más allá incluso de los límites territoriales que enmarcan su ejercicio”.</w:t>
      </w:r>
    </w:p>
    <w:p w:rsidR="005728DD" w:rsidRDefault="005728DD" w:rsidP="005728DD">
      <w:pPr>
        <w:pStyle w:val="TextoNormal"/>
      </w:pPr>
    </w:p>
    <w:p w:rsidR="005728DD" w:rsidRDefault="005728DD" w:rsidP="005728DD">
      <w:pPr>
        <w:pStyle w:val="TextoNormal"/>
      </w:pPr>
      <w:r>
        <w:t>Finalmente reitera que “[n]o ha habido indefensión”. No existió ni en la fase de investigación ni en el acto del juicio oral, en el que “los acusados optaron por expresarse en castellano, renunciando de forma explícita al uso de la lengua vernácula” y a “valerse de los dos intérpretes de lengua catalana puestos a su disposición por el tribunal”.</w:t>
      </w:r>
    </w:p>
    <w:p w:rsidR="005728DD" w:rsidRDefault="005728DD" w:rsidP="005728DD">
      <w:pPr>
        <w:pStyle w:val="TextoNormal"/>
      </w:pPr>
    </w:p>
    <w:p w:rsidR="005728DD" w:rsidRDefault="005728DD" w:rsidP="005728DD">
      <w:pPr>
        <w:pStyle w:val="TextoNormal"/>
      </w:pPr>
      <w:r>
        <w:t>c) El apartado 3.2.4 se refiere al argumento, que ya fue respondido en el auto de 27 de diciembre de 2018 (que desestimó la declinatoria de jurisdicción), relativo a la conveniencia del desplazamiento de la sala de enjuiciamiento a Barcelona para el desarrollo de las sesiones del juicio oral en esa ciudad, como única forma garantizar los derechos lingüísticos de los acusados. Dice al respecto que “nuestro sistema constitucional no concede a los procesados el derecho a ser enjuiciados en las proximidades del domicilio familiar. Ningún sistema procesal contempla la cercanía domiciliaria como fuero determinante de la competencia en el proceso penal (cfr. arts. 14 y concordantes de la LECrim)”.</w:t>
      </w:r>
    </w:p>
    <w:p w:rsidR="005728DD" w:rsidRDefault="005728DD" w:rsidP="005728DD">
      <w:pPr>
        <w:pStyle w:val="TextoNormal"/>
      </w:pPr>
    </w:p>
    <w:p w:rsidR="005728DD" w:rsidRDefault="005728DD" w:rsidP="005728DD">
      <w:pPr>
        <w:pStyle w:val="TextoNormal"/>
      </w:pPr>
      <w:r>
        <w:t>d) Finalmente, en el subepígrafe 3.2.5 se da respuesta a la queja planteada respecto de los testigos, cuestión que no se plantea en el presente recurso de amparo.</w:t>
      </w:r>
    </w:p>
    <w:p w:rsidR="005728DD" w:rsidRDefault="005728DD" w:rsidP="005728DD">
      <w:pPr>
        <w:pStyle w:val="TextoNormal"/>
      </w:pPr>
    </w:p>
    <w:p w:rsidR="005728DD" w:rsidRDefault="005728DD" w:rsidP="005728DD">
      <w:pPr>
        <w:pStyle w:val="TextoNormal"/>
      </w:pPr>
      <w:r>
        <w:t>6.3</w:t>
      </w:r>
      <w:r w:rsidRPr="005728DD">
        <w:rPr>
          <w:i/>
        </w:rPr>
        <w:t>. Encuadramiento de la que</w:t>
      </w:r>
      <w:r>
        <w:t>ja.</w:t>
      </w:r>
    </w:p>
    <w:p w:rsidR="005728DD" w:rsidRDefault="005728DD" w:rsidP="005728DD">
      <w:pPr>
        <w:pStyle w:val="TextoNormal"/>
      </w:pPr>
    </w:p>
    <w:p w:rsidR="005728DD" w:rsidRDefault="005728DD" w:rsidP="005728DD">
      <w:pPr>
        <w:pStyle w:val="TextoNormal"/>
      </w:pPr>
      <w:r>
        <w:t>La demanda, de la que se ha dejado constancia más arriba, alude, como fundamento de este motivo del recurso, a varios derechos.</w:t>
      </w:r>
    </w:p>
    <w:p w:rsidR="005728DD" w:rsidRDefault="005728DD" w:rsidP="005728DD">
      <w:pPr>
        <w:pStyle w:val="TextoNormal"/>
      </w:pPr>
    </w:p>
    <w:p w:rsidR="005728DD" w:rsidRDefault="005728DD" w:rsidP="005728DD">
      <w:pPr>
        <w:pStyle w:val="TextoNormal"/>
      </w:pPr>
      <w:r>
        <w:t>En primer lugar, incluye la queja dentro del motivo de amparo relativo a la vulneración del derecho al juez ordinario predeterminado por la ley (art. 24.2 CE) al tratarse, a su juicio, de una consecuencia asociada a la asunción de la competencia para el enjuiciamiento de la causa por el Tribunal Supremo. Este planteamiento, en sí mismo inasumible en cuanto late una confusión entre la vulneración de un derecho fundamental y los efectos de dicha vulneración, de ser aceptado, nos llevaría, como señala el Ministerio Fiscal, a constatar el decaimiento de esta queja al haber sido rechazada la principal en que tendría su origen.</w:t>
      </w:r>
    </w:p>
    <w:p w:rsidR="005728DD" w:rsidRDefault="005728DD" w:rsidP="005728DD">
      <w:pPr>
        <w:pStyle w:val="TextoNormal"/>
      </w:pPr>
    </w:p>
    <w:p w:rsidR="005728DD" w:rsidRDefault="005728DD" w:rsidP="005728DD">
      <w:pPr>
        <w:pStyle w:val="TextoNormal"/>
      </w:pPr>
      <w:r>
        <w:lastRenderedPageBreak/>
        <w:t>El correcto encuadramiento de la queja, sin embargo, exige situar el motivo de amparo en el marco de los derechos reconocidos en el art. 24 CE y, específicamente, en el derecho de defensa. Así lo hemos señalado en la STC 91/2021, de 22 de abril, FJ 3, dictada con ocasión del recurso de amparo núm. 1403-2020, que seguimos también en este punto.</w:t>
      </w:r>
    </w:p>
    <w:p w:rsidR="005728DD" w:rsidRDefault="005728DD" w:rsidP="005728DD">
      <w:pPr>
        <w:pStyle w:val="TextoNormal"/>
      </w:pPr>
    </w:p>
    <w:p w:rsidR="005728DD" w:rsidRDefault="005728DD" w:rsidP="005728DD">
      <w:pPr>
        <w:pStyle w:val="TextoNormal"/>
      </w:pPr>
      <w:r>
        <w:t>La invocación de unos pretendidos “derechos lingüísticos” de los procesados, en conexión con otros derechos fundamentales —señaladamente, los derechos a la tutela judicial efectiva y a la “autodefensa”— hace necesario efectuar algunas aclaraciones.</w:t>
      </w:r>
    </w:p>
    <w:p w:rsidR="005728DD" w:rsidRDefault="005728DD" w:rsidP="005728DD">
      <w:pPr>
        <w:pStyle w:val="TextoNormal"/>
      </w:pPr>
    </w:p>
    <w:p w:rsidR="005728DD" w:rsidRDefault="005728DD" w:rsidP="005728DD">
      <w:pPr>
        <w:pStyle w:val="TextoNormal"/>
      </w:pPr>
      <w:r>
        <w:t>a) En nuestro sistema procesal no existe un genuino derecho de los intervinientes en juicio a utilizar la lengua cooficial en actuaciones judiciales desarrolladas fuera del territorio de la comunidad autónoma correspondiente. A pesar de reconocer esa posibilidad a los procesados, justificada explícitamente en la propia sentencia recurrida por haber optado por una interpretación extensiva del derecho de opción lingüística que otorga el art. 33.1 EAC, el Tribunal Supremo subraya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w:t>
      </w:r>
    </w:p>
    <w:p w:rsidR="005728DD" w:rsidRDefault="005728DD" w:rsidP="005728DD">
      <w:pPr>
        <w:pStyle w:val="TextoNormal"/>
      </w:pPr>
    </w:p>
    <w:p w:rsidR="005728DD" w:rsidRDefault="005728DD" w:rsidP="005728DD">
      <w:pPr>
        <w:pStyle w:val="TextoNormal"/>
      </w:pPr>
      <w:r>
        <w:t>Así es. La delimitación de la cooficialidad lingüística sobre la base del territorio en que tiene su sede el órgano del poder público de que se trate ha sido constante en la doctrina constitucional.</w:t>
      </w:r>
    </w:p>
    <w:p w:rsidR="005728DD" w:rsidRDefault="005728DD" w:rsidP="005728DD">
      <w:pPr>
        <w:pStyle w:val="TextoNormal"/>
      </w:pPr>
    </w:p>
    <w:p w:rsidR="005728DD" w:rsidRDefault="005728DD" w:rsidP="005728DD">
      <w:pPr>
        <w:pStyle w:val="TextoNormal"/>
      </w:pPr>
      <w:r>
        <w:t>La STC 82/1986, de 26 de junio, FJ 2, declaró al respecto: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005728DD" w:rsidRDefault="005728DD" w:rsidP="005728DD">
      <w:pPr>
        <w:pStyle w:val="TextoNormal"/>
      </w:pPr>
    </w:p>
    <w:p w:rsidR="005728DD" w:rsidRDefault="005728DD" w:rsidP="005728DD">
      <w:pPr>
        <w:pStyle w:val="TextoNormal"/>
      </w:pPr>
      <w:r>
        <w:t xml:space="preserve">Esta misma sentencia, como nos recuerda la STC 253/2005, de 11 de octubre, FJ 10, “abordó ya el tema de la regulación del uso de la lengua dentro de la administración de justicia concluyendo que en tanto en cuanto la Constitución reserva como competencias </w:t>
      </w:r>
      <w:r>
        <w:lastRenderedPageBreak/>
        <w:t>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123/1988, de 23 de junio)”.</w:t>
      </w:r>
    </w:p>
    <w:p w:rsidR="005728DD" w:rsidRDefault="005728DD" w:rsidP="005728DD">
      <w:pPr>
        <w:pStyle w:val="TextoNormal"/>
      </w:pPr>
    </w:p>
    <w:p w:rsidR="005728DD" w:rsidRDefault="005728DD" w:rsidP="005728DD">
      <w:pPr>
        <w:pStyle w:val="TextoNormal"/>
      </w:pPr>
      <w:r>
        <w:t>El uso de las lenguas en el seno de la administración de justicia se reguló en el art. 231 LOPJ. Respecto de este precepto, ya tuvimos ocasión de manifestar que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005728DD" w:rsidRDefault="005728DD" w:rsidP="005728DD">
      <w:pPr>
        <w:pStyle w:val="TextoNormal"/>
      </w:pPr>
    </w:p>
    <w:p w:rsidR="005728DD" w:rsidRDefault="005728DD" w:rsidP="005728DD">
      <w:pPr>
        <w:pStyle w:val="TextoNormal"/>
      </w:pPr>
      <w:r>
        <w:t>En relación con los órganos jurisdiccionales de ámbito estatal, condición que reconoce al Tribunal Supremo el artículo 123.1 de la Constitución, y respecto de la lengua catalana, la STC 31/2010, de 28 de junio, FJ 21, tomando como punto de partida la doctrina constitucional antes reseñada, declaró que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 Subrayó también que la actividad de estos órganos “se ejerce con referencia no a una determinada comunidad autónoma, sino a todo el territorio nacional, por lo que no puede tener cabida en ellos la cooficialidad idiomática”, y reiteró el criterio de delimitación competencial, de modo que, en este ámbito, corresponde al legislador estatal con entera libertad, dentro de los límites constitucionales (art. 3.1 CE), el reconocimiento o no de eficacia jurídica a las actuaciones desarrolladas en la lengua cooficial.</w:t>
      </w:r>
    </w:p>
    <w:p w:rsidR="005728DD" w:rsidRDefault="005728DD" w:rsidP="005728DD">
      <w:pPr>
        <w:pStyle w:val="TextoNormal"/>
      </w:pPr>
    </w:p>
    <w:p w:rsidR="005728DD" w:rsidRDefault="005728DD" w:rsidP="005728DD">
      <w:pPr>
        <w:pStyle w:val="TextoNormal"/>
      </w:pPr>
      <w:r>
        <w:t>De ahí que, de acuerdo con el régimen legal vigente, contenido en el citado artículo 231 LOPJ, la posición expresada en la sentencia impugnada, según la cual los procesados no disponían de un derecho autónomo a declarar en lengua catalana ante el Tribunal Supremo, con sede en la villa de Madrid (art. 53 LOPJ), debe ser avalada por este tribunal.</w:t>
      </w:r>
    </w:p>
    <w:p w:rsidR="005728DD" w:rsidRDefault="005728DD" w:rsidP="005728DD">
      <w:pPr>
        <w:pStyle w:val="TextoNormal"/>
      </w:pPr>
    </w:p>
    <w:p w:rsidR="005728DD" w:rsidRDefault="005728DD" w:rsidP="005728DD">
      <w:pPr>
        <w:pStyle w:val="TextoNormal"/>
      </w:pPr>
      <w:r>
        <w:t xml:space="preserve">b) A pesar de lo anterior y como se ha adelantado, hay que destacar que la Sala sentenciadora del Tribunal Supremo reconoció expresamente el derecho de los procesados a emplear la lengua catalana en sus declaraciones, si bien, como explica la propia sentencia impugnada, acordó que, para el caso de que se hiciera uso de esta posibilidad, habría de emplearse un sistema de traducción consecutiva —y no simultánea, como pedían las defensas—, en aras de la garantía de publicidad del proceso. No fue siquiera controvertido, por tanto, el pretendido derecho a usar la lengua catalana, que fue reconocido, sino exclusivamente el sistema que habría de habilitarse para su traducción al castellano, lo que, pudiendo </w:t>
      </w:r>
      <w:r>
        <w:lastRenderedPageBreak/>
        <w:t>incidir en el ámbito protegido por el derecho de defensa (art. 24 CE), como examinaremos después, descarta el presupuesto de la denuncia de ese supuesto derecho.</w:t>
      </w:r>
    </w:p>
    <w:p w:rsidR="005728DD" w:rsidRDefault="005728DD" w:rsidP="005728DD">
      <w:pPr>
        <w:pStyle w:val="TextoNormal"/>
      </w:pPr>
    </w:p>
    <w:p w:rsidR="005728DD" w:rsidRDefault="005728DD" w:rsidP="005728DD">
      <w:pPr>
        <w:pStyle w:val="TextoNormal"/>
      </w:pPr>
      <w:r>
        <w:t>c) El planteamiento del recurrente al invocar en juicio el derecho de “autodefensa” para fundar su solicitud de declarar en catalán, además de que carece de trascendencia en cuanto que, como se decía, se le permitió declarar en esa lengua, parte de una comprensión inexacta de su significado. El derecho de defensa, que comprende el aducido de defenderse personalmente o autodefensa (STC 181/1994, de 20 de junio, FJ 3), no confiere al interrogado la facultad de elegir libremente la lengua en la que habría de expresarse en juicio, para el caso de conocer varias, sino que, como no puede ser de otro modo, implica la de expresarse en la única lengua suficientemente conocida, aun cuando no fuera la oficial, con la consiguiente asistencia de intérprete. Esto es lo que exige el derecho de defensa, como veremos a continuación.</w:t>
      </w:r>
    </w:p>
    <w:p w:rsidR="005728DD" w:rsidRDefault="005728DD" w:rsidP="005728DD">
      <w:pPr>
        <w:pStyle w:val="TextoNormal"/>
      </w:pPr>
    </w:p>
    <w:p w:rsidR="005728DD" w:rsidRDefault="005728DD" w:rsidP="005728DD">
      <w:pPr>
        <w:pStyle w:val="TextoNormal"/>
      </w:pPr>
      <w:r>
        <w:t>6.4</w:t>
      </w:r>
      <w:r w:rsidRPr="005728DD">
        <w:rPr>
          <w:i/>
        </w:rPr>
        <w:t>. Doctrina constitucion</w:t>
      </w:r>
      <w:r>
        <w:t>al.</w:t>
      </w:r>
    </w:p>
    <w:p w:rsidR="005728DD" w:rsidRDefault="005728DD" w:rsidP="005728DD">
      <w:pPr>
        <w:pStyle w:val="TextoNormal"/>
      </w:pPr>
    </w:p>
    <w:p w:rsidR="005728DD" w:rsidRDefault="005728DD" w:rsidP="005728DD">
      <w:pPr>
        <w:pStyle w:val="TextoNormal"/>
      </w:pPr>
      <w:r>
        <w:t>El derecho de defensa contradictoria de las partes contendientes en todo proceso judicial constituye una de las manifestaciones del derecho fundamental a obtener la tutela judicial efectiva sin indefensión consagrado en el artículo 24 de la Constitución y comprende el deber los órganos judiciales de asegurar a las partes contendientes la oportunidad de alegar y probar procesalmente sus derechos o intereses (SSTC 25/1997, de 11 de febrero, FJ 2; 102/1998, de 18 de mayo, FJ 2; 18/1999, de 22 de febrero, FJ 3; 143/2001, de 18 de junio, FJ 3), así como de replicar dialécticamente las posiciones contrarias en el ejercicio del indispensable principio de contradicción en igualdad de condiciones con las demás partes procesales (SSTC 2/2002, de 14 de enero, FJ 2; y 25/2011, de 14 de marzo, FJ 7).</w:t>
      </w:r>
    </w:p>
    <w:p w:rsidR="005728DD" w:rsidRDefault="005728DD" w:rsidP="005728DD">
      <w:pPr>
        <w:pStyle w:val="TextoNormal"/>
      </w:pPr>
    </w:p>
    <w:p w:rsidR="005728DD" w:rsidRDefault="005728DD" w:rsidP="005728DD">
      <w:pPr>
        <w:pStyle w:val="TextoNormal"/>
      </w:pPr>
      <w:r>
        <w:t xml:space="preserve">a) En la STC 57/2012, de 29 de marzo, el Pleno de este tribunal ha sintetizado su doctrina en los siguientes términos: “‘[e]n el contexto del art. 24 de la Constitución la indefensión se caracteriza por suponer una privación o una limitación del derecho de 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5/2004, de 16 de enero, FJ 6; 141/2005, de 6 de junio, FJ 2; 160/2009, de 29 de junio, FJ 4, y 12/2011, de 28 de febrero, FJ 5)”.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w:t>
      </w:r>
      <w:r>
        <w:lastRenderedPageBreak/>
        <w:t>su posición procesal’ (STC 287/2005, de 7 de noviembre, FJ 2)” (SSTC 14/2008, de 31 de enero, FJ 3, y 62/2009, de 9 de marzo, FJ 4).</w:t>
      </w:r>
    </w:p>
    <w:p w:rsidR="005728DD" w:rsidRDefault="005728DD" w:rsidP="005728DD">
      <w:pPr>
        <w:pStyle w:val="TextoNormal"/>
      </w:pPr>
    </w:p>
    <w:p w:rsidR="005728DD" w:rsidRDefault="005728DD" w:rsidP="005728DD">
      <w:pPr>
        <w:pStyle w:val="TextoNormal"/>
      </w:pPr>
      <w:r>
        <w:t>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005728DD" w:rsidRDefault="005728DD" w:rsidP="005728DD">
      <w:pPr>
        <w:pStyle w:val="TextoNormal"/>
      </w:pPr>
    </w:p>
    <w:p w:rsidR="005728DD" w:rsidRDefault="005728DD" w:rsidP="005728DD">
      <w:pPr>
        <w:pStyle w:val="TextoNormal"/>
      </w:pPr>
      <w:r>
        <w:t>b) Este tribunal se ha pronunciado también sobre la proyección en el derecho de defensa del desconocimiento de la lengua utilizada en juicio. En esta materia, que es la aquí concernida, hemos reconocido que el derecho a ser asistido de intérprete, más allá de su reconocimiento legal expreso —en la Ley Orgánica del Poder Judicial y en la Ley de enjuiciamiento criminal—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de 25 de mayo, FFJJ 3 y 4; 71/1988, de 19 de abril, FJ 2; 30/1989, de 7 de febrero, FJ 3, y 188/1991, de 3 de octubre, FJ 3).</w:t>
      </w:r>
    </w:p>
    <w:p w:rsidR="005728DD" w:rsidRDefault="005728DD" w:rsidP="005728DD">
      <w:pPr>
        <w:pStyle w:val="TextoNormal"/>
      </w:pPr>
    </w:p>
    <w:p w:rsidR="005728DD" w:rsidRDefault="005728DD" w:rsidP="005728DD">
      <w:pPr>
        <w:pStyle w:val="TextoNormal"/>
      </w:pPr>
      <w:r>
        <w:t xml:space="preserve">En la STC 74/1987, a propósito de la constitucionalidad del art. 520.2 e) LECrim redactado por la Ley Orgánica 14/1983, de 12 de diciembre, sobre el derecho a la asistencia de intérprete por detenidos y presos, este tribunal declaró que “la atribución de este derecho [a ser asistido de un intérprete, que deriva del desconocimiento del idioma castellano que impide al detenido ser informado de sus derechos, hacerlos valer y formular las manifestaciones que considere pertinentes], a los españoles que no conozcan suficientemente el castellano y no solo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Añadió que “ciertamente, el deber de los españoles de conocer el castellano, antes aludido, hace suponer que ese conocimiento existe en la realidad, pero tal presunción puede quedar desvirtuada cuando </w:t>
      </w:r>
      <w:r>
        <w:lastRenderedPageBreak/>
        <w:t>el detenido o preso alega verosímilmente su ignorancia o conocimiento insuficiente o esta circunstancia se pone de manifiesto en el transcurso de las actuaciones policiales” (STC 74/1987, de 25 de mayo, FJ 3).</w:t>
      </w:r>
    </w:p>
    <w:p w:rsidR="005728DD" w:rsidRDefault="005728DD" w:rsidP="005728DD">
      <w:pPr>
        <w:pStyle w:val="TextoNormal"/>
      </w:pPr>
    </w:p>
    <w:p w:rsidR="005728DD" w:rsidRDefault="005728DD" w:rsidP="005728DD">
      <w:pPr>
        <w:pStyle w:val="TextoNormal"/>
      </w:pPr>
      <w:r>
        <w:t>De acuerdo con esta doctrina, íntegramente trasladable a la posición del procesado en juicio oral (la temprana STC 5/1984, de 24 de enero, FJ 2, ya reconoció que el derecho a la defensa comprende el derecho de toda persona acusada a ser asistida por un intérprete cuando no comprenda o no pueda expresarse fluidamente en el idioma utilizado en el Tribunal), la procedencia, en cada caso, de la asistencia de intérprete, exige valorar no sólo el derecho y deber de conocer el castellano (art. 3 CE) sino el hecho concreto de la ignorancia o conocimiento precario de nuestra lengua común, en cuanto afecte al ejercicio de un derecho fundamental, cual es el de defensa (STC 71/1988, de 19 de abril, FJ 2).</w:t>
      </w:r>
    </w:p>
    <w:p w:rsidR="005728DD" w:rsidRDefault="005728DD" w:rsidP="005728DD">
      <w:pPr>
        <w:pStyle w:val="TextoNormal"/>
      </w:pPr>
    </w:p>
    <w:p w:rsidR="005728DD" w:rsidRDefault="005728DD" w:rsidP="005728DD">
      <w:pPr>
        <w:pStyle w:val="TextoNormal"/>
      </w:pPr>
      <w:r>
        <w:t>6.5</w:t>
      </w:r>
      <w:r w:rsidRPr="005728DD">
        <w:rPr>
          <w:i/>
        </w:rPr>
        <w:t>. Resolución de la que</w:t>
      </w:r>
      <w:r>
        <w:t>ja.</w:t>
      </w:r>
    </w:p>
    <w:p w:rsidR="005728DD" w:rsidRDefault="005728DD" w:rsidP="005728DD">
      <w:pPr>
        <w:pStyle w:val="TextoNormal"/>
      </w:pPr>
    </w:p>
    <w:p w:rsidR="005728DD" w:rsidRDefault="005728DD" w:rsidP="005728DD">
      <w:pPr>
        <w:pStyle w:val="TextoNormal"/>
      </w:pPr>
      <w:r>
        <w:t>La aplicación de la doctrina que acabamos de sintetizar nos lleva a descartar el fundamento de la queja.</w:t>
      </w:r>
    </w:p>
    <w:p w:rsidR="005728DD" w:rsidRDefault="005728DD" w:rsidP="005728DD">
      <w:pPr>
        <w:pStyle w:val="TextoNormal"/>
      </w:pPr>
    </w:p>
    <w:p w:rsidR="005728DD" w:rsidRDefault="005728DD" w:rsidP="005728DD">
      <w:pPr>
        <w:pStyle w:val="TextoNormal"/>
      </w:pPr>
      <w:r>
        <w:t>a) El recurrente conoce y domina la lengua castellana, por lo que falta el presupuesto establecido por nuestra doctrina en que sustentar la alegada indefensión. Este es el dato determinante para rechazar la queja. La propia sentencia impugnada constata que “el juicio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 El tribunal sentenciador, que cuenta con la inestimable ventaja de la inmediación, apreció “la fluidez, la precisión y el dominio de la lengua castellana que evidenciaron todos los procesados” así como “su capacidad argumental, la solidez dialéctica y, en algunos casos, la brillantez de sus exposiciones”. Muestra de ello, dice, es el soporte digital en el que consta la grabación del juicio.</w:t>
      </w:r>
    </w:p>
    <w:p w:rsidR="005728DD" w:rsidRDefault="005728DD" w:rsidP="005728DD">
      <w:pPr>
        <w:pStyle w:val="TextoNormal"/>
      </w:pPr>
    </w:p>
    <w:p w:rsidR="005728DD" w:rsidRDefault="005728DD" w:rsidP="005728DD">
      <w:pPr>
        <w:pStyle w:val="TextoNormal"/>
      </w:pPr>
      <w:r>
        <w:t xml:space="preserve">El discurso argumental de la demanda cae enteramente en cuanto se constata que toma como punto de partida un presupuesto inexistente. Como ha quedado expuesto, el empleo en el interrogatorio de la lengua catalana, con la asistencia de intérprete, solo resultaría exigible </w:t>
      </w:r>
      <w:r w:rsidRPr="005728DD">
        <w:rPr>
          <w:i/>
        </w:rPr>
        <w:t>ex</w:t>
      </w:r>
      <w:r>
        <w:t xml:space="preserve"> art. 24.1 CE en caso de ignorancia o conocimiento precario del castellano, lo que ha sido negado.</w:t>
      </w:r>
    </w:p>
    <w:p w:rsidR="005728DD" w:rsidRDefault="005728DD" w:rsidP="005728DD">
      <w:pPr>
        <w:pStyle w:val="TextoNormal"/>
      </w:pPr>
    </w:p>
    <w:p w:rsidR="005728DD" w:rsidRDefault="005728DD" w:rsidP="005728DD">
      <w:pPr>
        <w:pStyle w:val="TextoNormal"/>
      </w:pPr>
      <w:r>
        <w:t>b) Si bien lo anterior descarta la indefensión, cabe agregar que todos los procesados, entre los que se encuentra el ahora recurrente, rehusaron la posibilidad conferida por el órgano de enjuiciamiento de declarar en catalán, siendo asistidos por un intérprete. La indefensión —que ya hemos descartado y que si seguimos considerando es solo por razones argumentativas— solo habría de imputarse a la conducta de la propia parte, debidamente asistida de abogado, lo que, como también veíamos, la excluye del ámbito protector del art. 24 CE.</w:t>
      </w:r>
    </w:p>
    <w:p w:rsidR="005728DD" w:rsidRDefault="005728DD" w:rsidP="005728DD">
      <w:pPr>
        <w:pStyle w:val="TextoNormal"/>
      </w:pPr>
    </w:p>
    <w:p w:rsidR="005728DD" w:rsidRDefault="005728DD" w:rsidP="005728DD">
      <w:pPr>
        <w:pStyle w:val="TextoNormal"/>
      </w:pPr>
      <w:r>
        <w:t xml:space="preserve">El tribunal sentenciador expresa profusamente las razones por las que no acogió el sistema de traducción simultánea solicitado por las defensas y que habría exigido a los miembros del órgano judicial la utilización de auriculares, y, en su lugar, puso a su disposición dos traductores jurados en interpretación sucesiva. Interesa ahora destacar que no fueron </w:t>
      </w:r>
      <w:r>
        <w:lastRenderedPageBreak/>
        <w:t xml:space="preserve">“razones económicas ligadas a los costes del proceso” ni “tampoco dificultades técnicas que hicieran inviable la traducción simultánea”, sino la garantía del principio de publicidad, que aquí cobra una especial significación por “la singularidad de este proceso, desarrollado en sesiones orales que se han prolongado durante cuatro meses y televisado mediante </w:t>
      </w:r>
      <w:r w:rsidRPr="005728DD">
        <w:rPr>
          <w:i/>
        </w:rPr>
        <w:t>streaming</w:t>
      </w:r>
      <w:r>
        <w:t xml:space="preserve"> en su integridad”. Debemos subrayar que el tribunal de enjuiciamiento trató así de tutelar un valor esencial, que tiene en nuestra Constitución la doble naturaleza de principio procesal (art. 120.1 CE) y derecho fundamental del justiciable en materia penal (art. 24.2 CE; art. 11 de la Declaración universal de derechos humanos; art. 14 del Pacto internacional de derechos civiles y políticos, y art. 6 CEDH). Según la doctrina de este tribunal, es el juicio oral, en el que se producen o reproducen las pruebas de cargo y descargo y se formulan las alegaciones y peticiones definitivas de la acusación y la defensa, el acto procesal en que cobra todo su sentido la publicidad del proceso en su verdadero significado de participación y control de la Justicia por la comunidad (STC 176/1988, de 4 de octubre, FJ 2, con cita de la STC 62/1982, de 15 de octubre, haciendo suya la jurisprudencia del Tribunal Europeo de Derechos Humanos expresada en las SSTEDH de 22 de febrero de 1984, asunto </w:t>
      </w:r>
      <w:r w:rsidRPr="005728DD">
        <w:rPr>
          <w:i/>
        </w:rPr>
        <w:t>Sutter c. Suiza</w:t>
      </w:r>
      <w:r>
        <w:t xml:space="preserve">, y de 8 de diciembre de 1983, asuntos </w:t>
      </w:r>
      <w:r w:rsidRPr="005728DD">
        <w:rPr>
          <w:i/>
        </w:rPr>
        <w:t>Pretto y otros c. Italia</w:t>
      </w:r>
      <w:r>
        <w:t xml:space="preserve">, y </w:t>
      </w:r>
      <w:r w:rsidRPr="005728DD">
        <w:rPr>
          <w:i/>
        </w:rPr>
        <w:t>Axen c. Alemania</w:t>
      </w:r>
      <w:r>
        <w:t>, y STC 174/2001, de 26 de julio, FJ 3). Hemos de recordar que la publicidad es garantía del justiciable frente a una justicia secreta que escape a la fiscalización del público, y constituye también un medio para preservar la confianza de los ciudadanos en los tribunales, de forma que, al dotar de transparencia a la administración de justicia, contribuye a realizar los fines del derecho al proceso justo (STEDH de 8 de diciembre de 1983, asunt</w:t>
      </w:r>
      <w:r w:rsidRPr="005728DD">
        <w:rPr>
          <w:i/>
        </w:rPr>
        <w:t>o Axen c. Aleman</w:t>
      </w:r>
      <w:r>
        <w:t>ia, § 25, y STC 83/2019, de 17 de junio, FJ 3).</w:t>
      </w:r>
    </w:p>
    <w:p w:rsidR="005728DD" w:rsidRDefault="005728DD" w:rsidP="005728DD">
      <w:pPr>
        <w:pStyle w:val="TextoNormal"/>
      </w:pPr>
    </w:p>
    <w:p w:rsidR="005728DD" w:rsidRDefault="005728DD" w:rsidP="005728DD">
      <w:pPr>
        <w:pStyle w:val="TextoNormal"/>
      </w:pPr>
      <w:r>
        <w:t>Se desprende con claridad de lo anterior que la publicidad del juicio oral no fue causa de limitación alguna de los derechos procesales del acusado, como afirma el recurrente. En la argumentación del Tribunal Supremo, la salvaguarda de tal garantía es la razón para optar por un determinado sistema de traducción para el hipotético suceso, que no llegó a tener realidad, de que alguno de los procesados quisiera emplear el catalán. Hemos dicho que el recurrente no disponía del derecho al uso de esa lengua, pero es que, en todo caso, tampoco lo tenía sobre el sistema de traducción que, eventualmente, habría de emplearse.</w:t>
      </w:r>
    </w:p>
    <w:p w:rsidR="005728DD" w:rsidRDefault="005728DD" w:rsidP="005728DD">
      <w:pPr>
        <w:pStyle w:val="TextoNormal"/>
      </w:pPr>
    </w:p>
    <w:p w:rsidR="005728DD" w:rsidRDefault="005728DD" w:rsidP="005728DD">
      <w:pPr>
        <w:pStyle w:val="TextoNormal"/>
      </w:pPr>
      <w:r>
        <w:t>No procede dirigir reproche en este aspecto al Tribunal Supremo, pues, no hallándose siguiera compelido por el art. 24.1 CE a ofrecer ningún sistema de traducción a los procesados, como hemos dejado sentado más arriba, atendió a tan esencial bien jurídico al habilitar un sistema de traducción como el citado, ponderando las superiores ventajas que ofrecía el mismo para la publicidad del proceso frente al inconveniente de la eventual superior duración de los interrogatorios. Como hemos adelantado, la aplicación de la doctrina constitucional sobre la indefensión conduce a afirmar que esa hipotética prolongación temporal de los interrogatorios y del propio juicio constituiría un leve inconveniente que asumió la sala de enjuiciamiento del Tribunal Supremo y que habría de soportar el recurrente en el ejercicio diligente del derecho de defensa, exigible conforme al art. 24 CE.</w:t>
      </w:r>
    </w:p>
    <w:p w:rsidR="005728DD" w:rsidRDefault="005728DD" w:rsidP="005728DD">
      <w:pPr>
        <w:pStyle w:val="TextoNormal"/>
      </w:pPr>
    </w:p>
    <w:p w:rsidR="005728DD" w:rsidRDefault="005728DD" w:rsidP="005728DD">
      <w:pPr>
        <w:pStyle w:val="TextoNormal"/>
      </w:pPr>
      <w:r>
        <w:t>Procede, en consecuencia, desestimar este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El derecho a un juez imparcial</w:t>
      </w:r>
      <w:r>
        <w:t>.</w:t>
      </w:r>
    </w:p>
    <w:p w:rsidR="005728DD" w:rsidRDefault="005728DD" w:rsidP="005728DD">
      <w:pPr>
        <w:pStyle w:val="TextoNormal"/>
      </w:pPr>
    </w:p>
    <w:p w:rsidR="005728DD" w:rsidRDefault="005728DD" w:rsidP="005728DD">
      <w:pPr>
        <w:pStyle w:val="TextoNormal"/>
      </w:pPr>
      <w:r>
        <w:t xml:space="preserve">El demandante de amparo alega la vulneración del derecho a un juez imparcial, con invocación expresa del art. 24 CE y del art. 6 CEDH. El planteamiento de este motivo del </w:t>
      </w:r>
      <w:r>
        <w:lastRenderedPageBreak/>
        <w:t>recurso se desarrolla, a su vez, en varias quejas concretas que, sin perjuicio de su relación con el derecho fundamental alegado y con algunas otras facetas de los derechos fundamentales integrados en el art. 24 CE, presentan distinta naturaleza y significación, por lo que deben ser examinadas de manera individualizada.</w:t>
      </w:r>
    </w:p>
    <w:p w:rsidR="005728DD" w:rsidRDefault="005728DD" w:rsidP="005728DD">
      <w:pPr>
        <w:pStyle w:val="TextoNormal"/>
      </w:pPr>
    </w:p>
    <w:p w:rsidR="005728DD" w:rsidRDefault="005728DD" w:rsidP="005728DD">
      <w:pPr>
        <w:pStyle w:val="TextoNormal"/>
      </w:pPr>
      <w:r>
        <w:t>Según la demanda, la vulneración se habría producido por la relación de los magistrados integrantes de la sala de enjuiciamiento con el fiscal general del Estado firmante de la querella y con el Gobierno, por algunas de las expresiones contenidas en la sentencia, por el tratamiento de la presunción de inocencia del recurrente en amparo, las manifestaciones del tribunal dentro y fuera de la sala, y las decisiones sobre admisión y práctica de pruebas.</w:t>
      </w:r>
    </w:p>
    <w:p w:rsidR="005728DD" w:rsidRDefault="005728DD" w:rsidP="005728DD">
      <w:pPr>
        <w:pStyle w:val="TextoNormal"/>
      </w:pPr>
    </w:p>
    <w:p w:rsidR="005728DD" w:rsidRDefault="005728DD" w:rsidP="005728DD">
      <w:pPr>
        <w:pStyle w:val="TextoNormal"/>
      </w:pPr>
      <w:r>
        <w:t>La pluralidad y heterogeneidad de los alegatos aconsejan, en este caso, iniciar su análisis mediante la reseña de la doctrina jurisprudencial sobre el derecho invocado.</w:t>
      </w:r>
    </w:p>
    <w:p w:rsidR="005728DD" w:rsidRDefault="005728DD" w:rsidP="005728DD">
      <w:pPr>
        <w:pStyle w:val="TextoNormal"/>
      </w:pPr>
    </w:p>
    <w:p w:rsidR="005728DD" w:rsidRDefault="005728DD" w:rsidP="005728DD">
      <w:pPr>
        <w:pStyle w:val="TextoNormal"/>
      </w:pPr>
      <w:r>
        <w:t xml:space="preserve">7.1. </w:t>
      </w:r>
      <w:r w:rsidRPr="005728DD">
        <w:rPr>
          <w:i/>
        </w:rPr>
        <w:t>Doctrina jurisprudencial</w:t>
      </w:r>
      <w:r>
        <w:t>.</w:t>
      </w:r>
    </w:p>
    <w:p w:rsidR="005728DD" w:rsidRDefault="005728DD" w:rsidP="005728DD">
      <w:pPr>
        <w:pStyle w:val="TextoNormal"/>
      </w:pPr>
    </w:p>
    <w:p w:rsidR="005728DD" w:rsidRDefault="005728DD" w:rsidP="005728DD">
      <w:pPr>
        <w:pStyle w:val="TextoNormal"/>
      </w:pPr>
      <w:r>
        <w:t xml:space="preserve">7.1.1. </w:t>
      </w:r>
      <w:r w:rsidRPr="005728DD">
        <w:rPr>
          <w:i/>
        </w:rPr>
        <w:t>Doctrina del Tribunal Constitucional</w:t>
      </w:r>
      <w:r>
        <w:t>.</w:t>
      </w:r>
    </w:p>
    <w:p w:rsidR="005728DD" w:rsidRDefault="005728DD" w:rsidP="005728DD">
      <w:pPr>
        <w:pStyle w:val="TextoNormal"/>
      </w:pPr>
    </w:p>
    <w:p w:rsidR="005728DD" w:rsidRDefault="005728DD" w:rsidP="005728DD">
      <w:pPr>
        <w:pStyle w:val="TextoNormal"/>
      </w:pPr>
      <w: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w:t>
      </w:r>
      <w:r w:rsidRPr="005728DD">
        <w:rPr>
          <w:i/>
        </w:rPr>
        <w:t>imparcial</w:t>
      </w:r>
      <w:r>
        <w:t>, establecido por ley”.</w:t>
      </w:r>
    </w:p>
    <w:p w:rsidR="005728DD" w:rsidRDefault="005728DD" w:rsidP="005728DD">
      <w:pPr>
        <w:pStyle w:val="TextoNormal"/>
      </w:pPr>
    </w:p>
    <w:p w:rsidR="005728DD" w:rsidRDefault="005728DD" w:rsidP="005728DD">
      <w:pPr>
        <w:pStyle w:val="TextoNormal"/>
      </w:pPr>
      <w: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en la interpretación del art. 6.1 CEDH, representada en aquel momento por las SSTEDH de 1 de octubre de 1982, asunto </w:t>
      </w:r>
      <w:r w:rsidRPr="005728DD">
        <w:rPr>
          <w:i/>
        </w:rPr>
        <w:t>Piersack c. Bélgica</w:t>
      </w:r>
      <w:r>
        <w:t xml:space="preserve">, y de 26 de octubre de 1984, asunto </w:t>
      </w:r>
      <w:r w:rsidRPr="005728DD">
        <w:rPr>
          <w:i/>
        </w:rPr>
        <w:t>De Cubber c. Bélgica</w:t>
      </w:r>
      <w:r>
        <w:t xml:space="preserve">, y plasmada posteriormente —entre otras muchas— en las SSTEDH de 24 de mayo de 1989, asunto </w:t>
      </w:r>
      <w:r w:rsidRPr="005728DD">
        <w:rPr>
          <w:i/>
        </w:rPr>
        <w:t>Hauschildt c. Dinamarca</w:t>
      </w:r>
      <w:r>
        <w:t xml:space="preserve">; de 25 de noviembre de 1993, asunto </w:t>
      </w:r>
      <w:r w:rsidRPr="005728DD">
        <w:rPr>
          <w:i/>
        </w:rPr>
        <w:t>Holm c. Suecia</w:t>
      </w:r>
      <w:r>
        <w:t xml:space="preserve">; de 28 de octubre de 1998, asunto </w:t>
      </w:r>
      <w:r w:rsidRPr="005728DD">
        <w:rPr>
          <w:i/>
        </w:rPr>
        <w:t>Castillo Algar c. España</w:t>
      </w:r>
      <w:r>
        <w:t xml:space="preserve">; de 22 de junio de 1989, asunto </w:t>
      </w:r>
      <w:r w:rsidRPr="005728DD">
        <w:rPr>
          <w:i/>
        </w:rPr>
        <w:t>Langborger c. Suecia</w:t>
      </w:r>
      <w:r>
        <w:t xml:space="preserve">, o más recientemente, en las SSTEDH de 6 de enero de 2010, asunto </w:t>
      </w:r>
      <w:r w:rsidRPr="005728DD">
        <w:rPr>
          <w:i/>
        </w:rPr>
        <w:t>Vera Fernández-Huidobro c. España</w:t>
      </w:r>
      <w:r>
        <w:t xml:space="preserve">, o de 6 de noviembre de 2018, asunto </w:t>
      </w:r>
      <w:r w:rsidRPr="005728DD">
        <w:rPr>
          <w:i/>
        </w:rPr>
        <w:t>Otegi Mondragón y otros c. España</w:t>
      </w:r>
      <w:r>
        <w:t>.</w:t>
      </w:r>
    </w:p>
    <w:p w:rsidR="005728DD" w:rsidRDefault="005728DD" w:rsidP="005728DD">
      <w:pPr>
        <w:pStyle w:val="TextoNormal"/>
      </w:pPr>
    </w:p>
    <w:p w:rsidR="005728DD" w:rsidRDefault="005728DD" w:rsidP="005728DD">
      <w:pPr>
        <w:pStyle w:val="TextoNormal"/>
      </w:pPr>
      <w:r>
        <w:t>Este tribunal ha conformado un cuerpo doctrinal sobre el derecho al juez imparcial que, de forma sistematizada y en lo que ahora interesa para la resolución de este recurso, puede exponerse de la siguiente manera:</w:t>
      </w:r>
    </w:p>
    <w:p w:rsidR="005728DD" w:rsidRDefault="005728DD" w:rsidP="005728DD">
      <w:pPr>
        <w:pStyle w:val="TextoNormal"/>
      </w:pPr>
    </w:p>
    <w:p w:rsidR="005728DD" w:rsidRDefault="005728DD" w:rsidP="005728DD">
      <w:pPr>
        <w:pStyle w:val="TextoNormal"/>
      </w:pPr>
      <w:r>
        <w:t>a) El derecho al juez imparcial es una garantía fundamental del sistema de justicia.</w:t>
      </w:r>
    </w:p>
    <w:p w:rsidR="005728DD" w:rsidRDefault="005728DD" w:rsidP="005728DD">
      <w:pPr>
        <w:pStyle w:val="TextoNormal"/>
      </w:pPr>
    </w:p>
    <w:p w:rsidR="005728DD" w:rsidRDefault="005728DD" w:rsidP="005728DD">
      <w:pPr>
        <w:pStyle w:val="TextoNormal"/>
      </w:pPr>
      <w: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w:t>
      </w:r>
      <w:r>
        <w:lastRenderedPageBreak/>
        <w:t>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005728DD" w:rsidRDefault="005728DD" w:rsidP="005728DD">
      <w:pPr>
        <w:pStyle w:val="TextoNormal"/>
      </w:pPr>
    </w:p>
    <w:p w:rsidR="005728DD" w:rsidRDefault="005728DD" w:rsidP="005728DD">
      <w:pPr>
        <w:pStyle w:val="TextoNormal"/>
      </w:pPr>
      <w:r>
        <w:t>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005728DD" w:rsidRDefault="005728DD" w:rsidP="005728DD">
      <w:pPr>
        <w:pStyle w:val="TextoNormal"/>
      </w:pPr>
    </w:p>
    <w:p w:rsidR="005728DD" w:rsidRDefault="005728DD" w:rsidP="005728DD">
      <w:pPr>
        <w:pStyle w:val="TextoNormal"/>
      </w:pPr>
      <w:r>
        <w:t>b) La imparcialidad judicial comprende dos vertientes: subjetiva y objetiva.</w:t>
      </w:r>
    </w:p>
    <w:p w:rsidR="005728DD" w:rsidRDefault="005728DD" w:rsidP="005728DD">
      <w:pPr>
        <w:pStyle w:val="TextoNormal"/>
      </w:pPr>
    </w:p>
    <w:p w:rsidR="005728DD" w:rsidRDefault="005728DD" w:rsidP="005728DD">
      <w:pPr>
        <w:pStyle w:val="TextoNormal"/>
      </w:pPr>
      <w: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5728DD">
        <w:rPr>
          <w:i/>
        </w:rPr>
        <w:t>thema decidendi</w:t>
      </w:r>
      <w:r>
        <w:t xml:space="preserve"> sin haber tomado postura en relación con él (así, SSTC 47/2011, de 12 de abril, FJ 9; 60/2008, de 26 de mayo, FJ 3, o 26/2007, de 12 de febrero, FJ 4)” (STC 133/2014, de 22 de julio, FJ 2).</w:t>
      </w:r>
    </w:p>
    <w:p w:rsidR="005728DD" w:rsidRDefault="005728DD" w:rsidP="005728DD">
      <w:pPr>
        <w:pStyle w:val="TextoNormal"/>
      </w:pPr>
    </w:p>
    <w:p w:rsidR="005728DD" w:rsidRDefault="005728DD" w:rsidP="005728DD">
      <w:pPr>
        <w:pStyle w:val="TextoNormal"/>
      </w:pPr>
      <w:r>
        <w:t>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005728DD" w:rsidRDefault="005728DD" w:rsidP="005728DD">
      <w:pPr>
        <w:pStyle w:val="TextoNormal"/>
      </w:pPr>
    </w:p>
    <w:p w:rsidR="005728DD" w:rsidRDefault="005728DD" w:rsidP="005728DD">
      <w:pPr>
        <w:pStyle w:val="TextoNormal"/>
      </w:pPr>
      <w:r>
        <w:t>c) La imparcialidad objetiva debe ser ponderada en cada caso concreto.</w:t>
      </w:r>
    </w:p>
    <w:p w:rsidR="005728DD" w:rsidRDefault="005728DD" w:rsidP="005728DD">
      <w:pPr>
        <w:pStyle w:val="TextoNormal"/>
      </w:pPr>
    </w:p>
    <w:p w:rsidR="005728DD" w:rsidRDefault="005728DD" w:rsidP="005728DD">
      <w:pPr>
        <w:pStyle w:val="TextoNormal"/>
      </w:pPr>
      <w: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w:t>
      </w:r>
      <w:r>
        <w:lastRenderedPageBreak/>
        <w:t xml:space="preserve">de 23 de mayo de 1991, caso </w:t>
      </w:r>
      <w:r w:rsidRPr="005728DD">
        <w:rPr>
          <w:i/>
        </w:rPr>
        <w:t>Oberschlick</w:t>
      </w:r>
      <w:r>
        <w:t xml:space="preserve">, § 48 a 52) o, más en general, el pronunciamiento sobre los hechos debatidos en un pleito anterior (SSTC 138/1994, de 9 de mayo, FJ 7; 47/1998, de 2 de marzo, FJ 4, y SSTEDH de 7 de agosto de 1996, caso </w:t>
      </w:r>
      <w:r w:rsidRPr="005728DD">
        <w:rPr>
          <w:i/>
        </w:rPr>
        <w:t>Ferrantelli y Santangelo</w:t>
      </w:r>
      <w:r>
        <w:t xml:space="preserve">, y de 26 de agosto de 1997, caso </w:t>
      </w:r>
      <w:r w:rsidRPr="005728DD">
        <w:rPr>
          <w:i/>
        </w:rPr>
        <w:t>De Haan</w:t>
      </w:r>
      <w:r>
        <w:t>).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005728DD" w:rsidRDefault="005728DD" w:rsidP="005728DD">
      <w:pPr>
        <w:pStyle w:val="TextoNormal"/>
      </w:pPr>
    </w:p>
    <w:p w:rsidR="005728DD" w:rsidRDefault="005728DD" w:rsidP="005728DD">
      <w:pPr>
        <w:pStyle w:val="TextoNormal"/>
      </w:pPr>
      <w:r>
        <w:t>“La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005728DD" w:rsidRDefault="005728DD" w:rsidP="005728DD">
      <w:pPr>
        <w:pStyle w:val="TextoNormal"/>
      </w:pPr>
    </w:p>
    <w:p w:rsidR="005728DD" w:rsidRDefault="005728DD" w:rsidP="005728DD">
      <w:pPr>
        <w:pStyle w:val="TextoNormal"/>
      </w:pPr>
      <w:r>
        <w:t>d) La imparcialidad judicial se presume.</w:t>
      </w:r>
    </w:p>
    <w:p w:rsidR="005728DD" w:rsidRDefault="005728DD" w:rsidP="005728DD">
      <w:pPr>
        <w:pStyle w:val="TextoNormal"/>
      </w:pPr>
    </w:p>
    <w:p w:rsidR="005728DD" w:rsidRDefault="005728DD" w:rsidP="005728DD">
      <w:pPr>
        <w:pStyle w:val="TextoNormal"/>
      </w:pPr>
      <w:r>
        <w:t>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005728DD" w:rsidRDefault="005728DD" w:rsidP="005728DD">
      <w:pPr>
        <w:pStyle w:val="TextoNormal"/>
      </w:pPr>
    </w:p>
    <w:p w:rsidR="005728DD" w:rsidRDefault="005728DD" w:rsidP="005728DD">
      <w:pPr>
        <w:pStyle w:val="TextoNormal"/>
      </w:pPr>
      <w:r>
        <w:t>e) El derecho al juez imparcial debe hacerse valer a través del incidente de recusación.</w:t>
      </w:r>
    </w:p>
    <w:p w:rsidR="005728DD" w:rsidRDefault="005728DD" w:rsidP="005728DD">
      <w:pPr>
        <w:pStyle w:val="TextoNormal"/>
      </w:pPr>
    </w:p>
    <w:p w:rsidR="005728DD" w:rsidRDefault="005728DD" w:rsidP="005728DD">
      <w:pPr>
        <w:pStyle w:val="TextoNormal"/>
      </w:pPr>
      <w: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w:t>
      </w:r>
      <w:r>
        <w:lastRenderedPageBreak/>
        <w:t>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005728DD" w:rsidRDefault="005728DD" w:rsidP="005728DD">
      <w:pPr>
        <w:pStyle w:val="TextoNormal"/>
      </w:pPr>
    </w:p>
    <w:p w:rsidR="005728DD" w:rsidRDefault="005728DD" w:rsidP="005728DD">
      <w:pPr>
        <w:pStyle w:val="TextoNormal"/>
      </w:pPr>
      <w:r>
        <w:t xml:space="preserve">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cuando esta se dirija, no ya a apartar al </w:t>
      </w:r>
      <w:r w:rsidRPr="005728DD">
        <w:rPr>
          <w:i/>
        </w:rPr>
        <w:t>iudex suspectus</w:t>
      </w:r>
      <w:r>
        <w:t xml:space="preserve">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005728DD" w:rsidRDefault="005728DD" w:rsidP="005728DD">
      <w:pPr>
        <w:pStyle w:val="TextoNormal"/>
      </w:pPr>
    </w:p>
    <w:p w:rsidR="005728DD" w:rsidRDefault="005728DD" w:rsidP="005728DD">
      <w:pPr>
        <w:pStyle w:val="TextoNormal"/>
      </w:pPr>
      <w:r>
        <w:t xml:space="preserve">7.1.2. </w:t>
      </w:r>
      <w:r w:rsidRPr="005728DD">
        <w:rPr>
          <w:i/>
        </w:rPr>
        <w:t>Doctrina del Tribunal Europeo de Derechos Humanos</w:t>
      </w:r>
      <w:r>
        <w:t>.</w:t>
      </w:r>
    </w:p>
    <w:p w:rsidR="005728DD" w:rsidRDefault="005728DD" w:rsidP="005728DD">
      <w:pPr>
        <w:pStyle w:val="TextoNormal"/>
      </w:pPr>
    </w:p>
    <w:p w:rsidR="005728DD" w:rsidRDefault="005728DD" w:rsidP="005728DD">
      <w:pPr>
        <w:pStyle w:val="TextoNormal"/>
      </w:pPr>
      <w:r>
        <w:t>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005728DD" w:rsidRDefault="005728DD" w:rsidP="005728DD">
      <w:pPr>
        <w:pStyle w:val="TextoNormal"/>
      </w:pPr>
    </w:p>
    <w:p w:rsidR="005728DD" w:rsidRDefault="005728DD" w:rsidP="005728DD">
      <w:pPr>
        <w:pStyle w:val="TextoNormal"/>
      </w:pPr>
      <w:r>
        <w:t xml:space="preserve">Así, en la STEDH de 6 de noviembre de 2018, asunto </w:t>
      </w:r>
      <w:r w:rsidRPr="005728DD">
        <w:rPr>
          <w:i/>
        </w:rPr>
        <w:t>Otegi Mondragón y otros c. España</w:t>
      </w:r>
      <w:r>
        <w:t>, § 52 a 57), con cita de otras anteriores, se realiza una exposición de los principios generales en esta materia que, en lo que ahora interesa, se pueden resumir de la siguiente manera.</w:t>
      </w:r>
    </w:p>
    <w:p w:rsidR="005728DD" w:rsidRDefault="005728DD" w:rsidP="005728DD">
      <w:pPr>
        <w:pStyle w:val="TextoNormal"/>
      </w:pPr>
    </w:p>
    <w:p w:rsidR="005728DD" w:rsidRDefault="005728DD" w:rsidP="005728DD">
      <w:pPr>
        <w:pStyle w:val="TextoNormal"/>
      </w:pPr>
      <w:r>
        <w:t xml:space="preserve">a) La imparcialidad judicial comprende dos perspectivas: subjetiva y objetiva. El tribunal europeo expone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w:t>
      </w:r>
      <w:r>
        <w:lastRenderedPageBreak/>
        <w:t xml:space="preserve">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w:t>
      </w:r>
      <w:r w:rsidRPr="005728DD">
        <w:rPr>
          <w:i/>
        </w:rPr>
        <w:t>Kyprianou c. Chipre</w:t>
      </w:r>
      <w:r>
        <w:t xml:space="preserve"> [GC], § 118, y de 15 de octubre de 2009, asunt</w:t>
      </w:r>
      <w:r w:rsidRPr="005728DD">
        <w:rPr>
          <w:i/>
        </w:rPr>
        <w:t>o Micallef c. Mal</w:t>
      </w:r>
      <w:r>
        <w:t>ta [GC], § 93)”.</w:t>
      </w:r>
    </w:p>
    <w:p w:rsidR="005728DD" w:rsidRDefault="005728DD" w:rsidP="005728DD">
      <w:pPr>
        <w:pStyle w:val="TextoNormal"/>
      </w:pPr>
    </w:p>
    <w:p w:rsidR="005728DD" w:rsidRDefault="005728DD" w:rsidP="005728DD">
      <w:pPr>
        <w:pStyle w:val="TextoNormal"/>
      </w:pPr>
      <w: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w:t>
      </w:r>
      <w:r w:rsidRPr="005728DD">
        <w:rPr>
          <w:i/>
        </w:rPr>
        <w:t>Kyprianou</w:t>
      </w:r>
      <w:r>
        <w:t xml:space="preserve">, anteriormente citado, § 119). Por ello, en aquellos casos en los que pudiera ser difícil encontrar pruebas en base a las cuales rebatir la presunción de imparcialidad subjetiva de un juez, la exigencia de imparcialidad objetiva proporciona una importante garantía adicional (véase </w:t>
      </w:r>
      <w:r w:rsidRPr="005728DD">
        <w:rPr>
          <w:i/>
        </w:rPr>
        <w:t>Pullar c. Reino Unido</w:t>
      </w:r>
      <w:r>
        <w:t>, de 10 de junio de 1996, § 32</w:t>
      </w:r>
      <w:r w:rsidRPr="005728DD">
        <w:rPr>
          <w:i/>
        </w:rPr>
        <w:t>, Inform</w:t>
      </w:r>
      <w:r>
        <w:t>es 1996-III)”.</w:t>
      </w:r>
    </w:p>
    <w:p w:rsidR="005728DD" w:rsidRDefault="005728DD" w:rsidP="005728DD">
      <w:pPr>
        <w:pStyle w:val="TextoNormal"/>
      </w:pPr>
    </w:p>
    <w:p w:rsidR="005728DD" w:rsidRDefault="005728DD" w:rsidP="005728DD">
      <w:pPr>
        <w:pStyle w:val="TextoNormal"/>
      </w:pPr>
      <w: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w:t>
      </w:r>
      <w:r w:rsidRPr="005728DD">
        <w:rPr>
          <w:i/>
        </w:rPr>
        <w:t>Kyprianou</w:t>
      </w:r>
      <w:r>
        <w:t xml:space="preserve">, anteriormente citado, § 119, y </w:t>
      </w:r>
      <w:r w:rsidRPr="005728DD">
        <w:rPr>
          <w:i/>
        </w:rPr>
        <w:t>Micallef</w:t>
      </w:r>
      <w:r>
        <w:t xml:space="preserve">, anteriormente citado, § 94). La imparcialidad personal de un juez debe presumirse mientras no se pruebe lo contrario (véase </w:t>
      </w:r>
      <w:r w:rsidRPr="005728DD">
        <w:rPr>
          <w:i/>
        </w:rPr>
        <w:t>Hauschildt c. Dinamarca</w:t>
      </w:r>
      <w:r>
        <w:t xml:space="preserve">, de 24 de mayo de 1989, § 47, Serie A núm. 154). Respecto del tipo de prueba que se requiere para ello, este tribunal, por ejemplo, requiere que se acredite si el juez ha mostrado hostilidad o animadversión por razones personales (véase </w:t>
      </w:r>
      <w:r w:rsidRPr="005728DD">
        <w:rPr>
          <w:i/>
        </w:rPr>
        <w:t>De Cubber c. Bélgica</w:t>
      </w:r>
      <w:r>
        <w:t>, de 26 de octubre de 1984, § 25, Serie A núm. 86)”.</w:t>
      </w:r>
    </w:p>
    <w:p w:rsidR="005728DD" w:rsidRDefault="005728DD" w:rsidP="005728DD">
      <w:pPr>
        <w:pStyle w:val="TextoNormal"/>
      </w:pPr>
    </w:p>
    <w:p w:rsidR="005728DD" w:rsidRDefault="005728DD" w:rsidP="005728DD">
      <w:pPr>
        <w:pStyle w:val="TextoNormal"/>
      </w:pPr>
      <w:r>
        <w:t>d) La imparcialidad ha de analizarse en función de las circunstancias del caso concreto. En relación con el criterio objetivo, se deben “analizar los vínculos jerárquicos o de otra naturaleza que existen entre el juez y los otros protagonistas de un procedimiento (</w:t>
      </w:r>
      <w:r w:rsidRPr="005728DD">
        <w:rPr>
          <w:i/>
        </w:rPr>
        <w:t>ibid</w:t>
      </w:r>
      <w:r>
        <w:t>. § 97). Por lo tanto, se debe analizar en cada caso concreto si dicho vínculo es de tal naturaleza e intensidad como para implicar una falta de imparcialidad por parte del tribunal (véas</w:t>
      </w:r>
      <w:r w:rsidRPr="005728DD">
        <w:rPr>
          <w:i/>
        </w:rPr>
        <w:t>e Pull</w:t>
      </w:r>
      <w:r>
        <w:t>ar, anteriormente citado, § 38)”.</w:t>
      </w:r>
    </w:p>
    <w:p w:rsidR="005728DD" w:rsidRDefault="005728DD" w:rsidP="005728DD">
      <w:pPr>
        <w:pStyle w:val="TextoNormal"/>
      </w:pPr>
    </w:p>
    <w:p w:rsidR="005728DD" w:rsidRDefault="005728DD" w:rsidP="005728DD">
      <w:pPr>
        <w:pStyle w:val="TextoNormal"/>
      </w:pPr>
      <w: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w:t>
      </w:r>
      <w:r w:rsidRPr="005728DD">
        <w:rPr>
          <w:i/>
        </w:rPr>
        <w:t>De Cubber</w:t>
      </w:r>
      <w:r>
        <w:t xml:space="preserve">,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w:t>
      </w:r>
      <w:r w:rsidRPr="005728DD">
        <w:rPr>
          <w:i/>
        </w:rPr>
        <w:t>Castillo Algar c. España</w:t>
      </w:r>
      <w:r>
        <w:t xml:space="preserve">, de 28 de octubre de 1998, § 45, </w:t>
      </w:r>
      <w:r w:rsidRPr="005728DD">
        <w:rPr>
          <w:i/>
        </w:rPr>
        <w:t>Informes 1998-VIII</w:t>
      </w:r>
      <w:r>
        <w:t xml:space="preserve">; </w:t>
      </w:r>
      <w:r w:rsidRPr="005728DD">
        <w:rPr>
          <w:i/>
        </w:rPr>
        <w:t>y Micall</w:t>
      </w:r>
      <w:r>
        <w:t>ef, anteriormente citado, § 98)”.</w:t>
      </w:r>
    </w:p>
    <w:p w:rsidR="005728DD" w:rsidRDefault="005728DD" w:rsidP="005728DD">
      <w:pPr>
        <w:pStyle w:val="TextoNormal"/>
      </w:pPr>
    </w:p>
    <w:p w:rsidR="005728DD" w:rsidRDefault="005728DD" w:rsidP="005728DD">
      <w:pPr>
        <w:pStyle w:val="TextoNormal"/>
      </w:pPr>
      <w:r>
        <w:t xml:space="preserve">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 tribunal carecen de imparcialidad, el punto de vista de la persona </w:t>
      </w:r>
      <w:r>
        <w:lastRenderedPageBreak/>
        <w:t>afectada es importante pero no decisivo. Lo que es decisivo es determinar si dicho temor puede considerarse objetivamente justificado (véas</w:t>
      </w:r>
      <w:r w:rsidRPr="005728DD">
        <w:rPr>
          <w:i/>
        </w:rPr>
        <w:t>e Micall</w:t>
      </w:r>
      <w:r>
        <w:t>ef, anteriormente citado, § 96)”.</w:t>
      </w:r>
    </w:p>
    <w:p w:rsidR="005728DD" w:rsidRDefault="005728DD" w:rsidP="005728DD">
      <w:pPr>
        <w:pStyle w:val="TextoNormal"/>
      </w:pPr>
    </w:p>
    <w:p w:rsidR="005728DD" w:rsidRDefault="005728DD" w:rsidP="005728DD">
      <w:pPr>
        <w:pStyle w:val="TextoNormal"/>
      </w:pPr>
      <w:r>
        <w:t xml:space="preserve">También ha señalado el tribunal de Estrasburgo que la existencia de procedimientos nacionales destinados a garantizar la imparcialidad, como las normas sobre la recusación de los jueces, es un factor relevante. Tales normas expresan la preocupación del legislador nacional por eliminar cualquier duda razonable sobre la imparcialidad de un juez o un tribunal y constituyen un intento de garantizar la imparcialidad mediante la eliminación de la causa de tales preocupaciones. Además de garantizar la ausencia real de sesgo, su objetivo es eliminar cualquier apariencia de parcialidad reforzando así la confianza que los tribunales de una sociedad democrática deben inspirar al público (véase </w:t>
      </w:r>
      <w:r w:rsidRPr="005728DD">
        <w:rPr>
          <w:i/>
        </w:rPr>
        <w:t>Micallef c. Malta</w:t>
      </w:r>
      <w:r>
        <w:t xml:space="preserve">, § 99, antes citado, y SSTEDH de 15 de julio de 2005, </w:t>
      </w:r>
      <w:r w:rsidRPr="005728DD">
        <w:rPr>
          <w:i/>
        </w:rPr>
        <w:t>Mežnarić c. Croacia</w:t>
      </w:r>
      <w:r>
        <w:t xml:space="preserve">, § 27, y de 20 de noviembre de 2012, </w:t>
      </w:r>
      <w:r w:rsidRPr="005728DD">
        <w:rPr>
          <w:i/>
        </w:rPr>
        <w:t>Harabin c. Eslovaquia</w:t>
      </w:r>
      <w:r>
        <w:t xml:space="preserve">, §132). El Tribunal Europeo tendrá en cuenta estas reglas para apreciar si el tribunal ha sido imparcial y, en particular, si las dudas del demandante pueden considerarse objetivamente justificadas (SSTEDH de 25 de febrero de 1992, </w:t>
      </w:r>
      <w:r w:rsidRPr="005728DD">
        <w:rPr>
          <w:i/>
        </w:rPr>
        <w:t>Pfeifer et Plankl c. Austria</w:t>
      </w:r>
      <w:r>
        <w:t xml:space="preserve">, § 6; de 23 de mayo de 1991, </w:t>
      </w:r>
      <w:r w:rsidRPr="005728DD">
        <w:rPr>
          <w:i/>
        </w:rPr>
        <w:t>Oberschlick c. Austria</w:t>
      </w:r>
      <w:r>
        <w:t xml:space="preserve"> —núm. 1—, § 50, y, mutatis mutandis, de 17 de junio de 2003</w:t>
      </w:r>
      <w:r w:rsidRPr="005728DD">
        <w:rPr>
          <w:i/>
        </w:rPr>
        <w:t>, Pescador Valero c. Espa</w:t>
      </w:r>
      <w:r>
        <w:t>ña, § 24 a 29).</w:t>
      </w:r>
    </w:p>
    <w:p w:rsidR="005728DD" w:rsidRDefault="005728DD" w:rsidP="005728DD">
      <w:pPr>
        <w:pStyle w:val="TextoNormal"/>
      </w:pPr>
    </w:p>
    <w:p w:rsidR="005728DD" w:rsidRDefault="005728DD" w:rsidP="005728DD">
      <w:pPr>
        <w:pStyle w:val="TextoNormal"/>
      </w:pPr>
      <w:r>
        <w:t>Una vez expuesta la doctrina de este tribunal y del Tribunal Europeo de Derechos Humanos procede abordar el análisis de las distintas quejas formuladas en la demanda que se agrupan bajo la denominación común de derecho al juez imparcial.</w:t>
      </w:r>
    </w:p>
    <w:p w:rsidR="005728DD" w:rsidRDefault="005728DD" w:rsidP="005728DD">
      <w:pPr>
        <w:pStyle w:val="TextoNormal"/>
      </w:pPr>
    </w:p>
    <w:p w:rsidR="005728DD" w:rsidRDefault="005728DD" w:rsidP="005728DD">
      <w:pPr>
        <w:pStyle w:val="TextoNormal"/>
      </w:pPr>
      <w:r>
        <w:t>7.2</w:t>
      </w:r>
      <w:r w:rsidRPr="005728DD">
        <w:rPr>
          <w:i/>
        </w:rPr>
        <w:t>. La relación de los magistrados con el fiscal general del Esta</w:t>
      </w:r>
      <w:r>
        <w:t>do.</w:t>
      </w:r>
    </w:p>
    <w:p w:rsidR="005728DD" w:rsidRDefault="005728DD" w:rsidP="005728DD">
      <w:pPr>
        <w:pStyle w:val="TextoNormal"/>
      </w:pPr>
    </w:p>
    <w:p w:rsidR="005728DD" w:rsidRDefault="005728DD" w:rsidP="005728DD">
      <w:pPr>
        <w:pStyle w:val="TextoNormal"/>
      </w:pPr>
      <w:r>
        <w:t>7.2.1</w:t>
      </w:r>
      <w:r w:rsidRPr="005728DD">
        <w:rPr>
          <w:i/>
        </w:rPr>
        <w:t>. Posiciones de las part</w:t>
      </w:r>
      <w:r>
        <w:t>es.</w:t>
      </w:r>
    </w:p>
    <w:p w:rsidR="005728DD" w:rsidRDefault="005728DD" w:rsidP="005728DD">
      <w:pPr>
        <w:pStyle w:val="TextoNormal"/>
      </w:pPr>
    </w:p>
    <w:p w:rsidR="005728DD" w:rsidRDefault="005728DD" w:rsidP="005728DD">
      <w:pPr>
        <w:pStyle w:val="TextoNormal"/>
      </w:pPr>
      <w:r>
        <w:t>La demanda cuestiona la imparcialidad de los miembros del tribunal de enjuiciamiento por su “amistad íntima” con el fiscal general del Estado, impulsor de la acción penal que dio lugar a la causa. A tal fin aduce el recurrente que dicha persona fue durante catorce años miembro de la Sala de lo Penal del Tribunal Supremo, de modo que los magistrados llamados a resolver el litigio han sido durante años compañeros de sala de una de las partes. Añade que esta coincidencia es de “especial calado con los magistrados que acordaron la admisión de la querella y la determinación de la competencia mediante el auto de 31 de octubre del 2017” (señores Marchena Gómez, Martínez Arrieta, Sánchez Melgar, Berdugo Gómez de la Torre y Varela Castro). A su juicio, haber compartido sala “con una de las partes durante nueve, doce o catorce años” es un supuesto equiparable a la amistad íntima del art. 219.9 LOPJ, tratándose de una relación que, por su intensidad y calidad, puede generar un temor objetivo a que el juzgador sea influenciado en su comportamiento y decisión, afectando a la apariencia de imparcialidad.</w:t>
      </w:r>
    </w:p>
    <w:p w:rsidR="005728DD" w:rsidRDefault="005728DD" w:rsidP="005728DD">
      <w:pPr>
        <w:pStyle w:val="TextoNormal"/>
      </w:pPr>
    </w:p>
    <w:p w:rsidR="005728DD" w:rsidRDefault="005728DD" w:rsidP="005728DD">
      <w:pPr>
        <w:pStyle w:val="TextoNormal"/>
      </w:pPr>
      <w:r>
        <w:t>La abogacía del Estado considera que el argumento es descabellado de acuerdo con razonado en la sentencia recurrida en amparo [fundamento de Derecho A), apartado 5.5.4]; mientras que el partido político Vox indica, con carácter general, que el recurrente no ha justificado las razones de esta supuesta vulneración del derecho al juez imparcial.</w:t>
      </w:r>
    </w:p>
    <w:p w:rsidR="005728DD" w:rsidRDefault="005728DD" w:rsidP="005728DD">
      <w:pPr>
        <w:pStyle w:val="TextoNormal"/>
      </w:pPr>
    </w:p>
    <w:p w:rsidR="005728DD" w:rsidRDefault="005728DD" w:rsidP="005728DD">
      <w:pPr>
        <w:pStyle w:val="TextoNormal"/>
      </w:pPr>
      <w:r>
        <w:t xml:space="preserve">El Ministerio Fiscal considera que la situación descrita no reúne las características de la amistad íntima, que “es afecto personal, puro y desinteresado, ordinariamente recíproco, que nace y se fortalece con el trato, y aparece caracterizado por la nota de la intimidad </w:t>
      </w:r>
      <w:r>
        <w:lastRenderedPageBreak/>
        <w:t>cuando penetra y se sitúa en la zona espiritual y reservada de la persona”. Tras remitirse a lo dicho en el auto núm. 3/2018, de 13 de septiembre, de la Sala del art. 61 LOPJ, a propósito de una queja relativa a la relación del magistrado instructor con los miembros del tribunal de enjuiciamiento, añade que el recurrente no aporta ningún elemento consistente y objetivo que sirva de sustento probatorio de lo que afirma.</w:t>
      </w:r>
    </w:p>
    <w:p w:rsidR="005728DD" w:rsidRDefault="005728DD" w:rsidP="005728DD">
      <w:pPr>
        <w:pStyle w:val="TextoNormal"/>
      </w:pPr>
    </w:p>
    <w:p w:rsidR="005728DD" w:rsidRDefault="005728DD" w:rsidP="005728DD">
      <w:pPr>
        <w:pStyle w:val="TextoNormal"/>
      </w:pPr>
      <w:r>
        <w:t>7.2.2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Esta queja recibió una primera respuesta en el auto núm. 7/2018, 5 de diciembre, de la Sala del art. 61 LOPJ. Posteriormente, la sentencia recurrida en amparo, en su fundamento de Derecho A), apartado 5.5.4, considera que esta denuncia de vulneración del derecho al juez imparcial ha de rechazarse por su falta de consistencia argumental. Razona lo que sigue:</w:t>
      </w:r>
    </w:p>
    <w:p w:rsidR="005728DD" w:rsidRDefault="005728DD" w:rsidP="005728DD">
      <w:pPr>
        <w:pStyle w:val="TextoNormal"/>
      </w:pPr>
    </w:p>
    <w:p w:rsidR="005728DD" w:rsidRDefault="005728DD" w:rsidP="005728DD">
      <w:pPr>
        <w:pStyle w:val="TextoNormal"/>
      </w:pPr>
      <w:r>
        <w:t>“[L]a recusación [se funda] en la proximidad de los integrantes de esta Sala con el ya fallecido Excmo. señor don José Manuel Maza. Su designación como fiscal general del Estado y el hecho de que estampara su firma en la querella que está en el origen del presente procedimiento, sirve a las defensas para construir una causa de recusación de carácter subjetivo, basada en la proximidad personal que, durante años, habría existido entre el querellante y los magistrados que integran la sala de enjuiciamiento.</w:t>
      </w:r>
    </w:p>
    <w:p w:rsidR="005728DD" w:rsidRDefault="005728DD" w:rsidP="005728DD">
      <w:pPr>
        <w:pStyle w:val="TextoNormal"/>
      </w:pPr>
    </w:p>
    <w:p w:rsidR="005728DD" w:rsidRDefault="005728DD" w:rsidP="005728DD">
      <w:pPr>
        <w:pStyle w:val="TextoNormal"/>
      </w:pPr>
      <w:r>
        <w:t>También se sugirió el planteamiento de una cuestión de inconstitucionalidad ‘[…] sobre las normas legales vigentes que permiten que quien es miembro permanente de un tribunal actúe en causas concretas como instructor de procedimientos que acaba juzgando su misma Sala’. Las razones de la inconstitucionalidad habría que situarlas —se arguye— en que el sistema no garantiza ‘[…] la aconsejable distancia física y personal que debe existir siempre entre instructor y sala de enjuiciamiento’.</w:t>
      </w:r>
    </w:p>
    <w:p w:rsidR="005728DD" w:rsidRDefault="005728DD" w:rsidP="005728DD">
      <w:pPr>
        <w:pStyle w:val="TextoNormal"/>
      </w:pPr>
    </w:p>
    <w:p w:rsidR="005728DD" w:rsidRDefault="005728DD" w:rsidP="005728DD">
      <w:pPr>
        <w:pStyle w:val="TextoNormal"/>
      </w:pPr>
      <w:r>
        <w:t>No es fácil, desde luego, entender a qué se refieren las defensas con la exigencia de ‘distancia física y personal’ entre los magistrados que componen una sala o, en palabras de la defensa de los señores Junqueras y Romeva, cuando se lamenta de ‘[…] la evidente e inevitable camaradería que podría interferir en una imparcial forma de analizar la querella presentada en su día por el fiscal general del Estado ante esta Excma. Sala donde durante tantos años ocupó dicho fiscal plaza’.</w:t>
      </w:r>
    </w:p>
    <w:p w:rsidR="005728DD" w:rsidRDefault="005728DD" w:rsidP="005728DD">
      <w:pPr>
        <w:pStyle w:val="TextoNormal"/>
      </w:pPr>
    </w:p>
    <w:p w:rsidR="005728DD" w:rsidRDefault="005728DD" w:rsidP="005728DD">
      <w:pPr>
        <w:pStyle w:val="TextoNormal"/>
      </w:pPr>
      <w:r>
        <w:t>El argumento es descabellado.</w:t>
      </w:r>
    </w:p>
    <w:p w:rsidR="005728DD" w:rsidRDefault="005728DD" w:rsidP="005728DD">
      <w:pPr>
        <w:pStyle w:val="TextoNormal"/>
      </w:pPr>
    </w:p>
    <w:p w:rsidR="005728DD" w:rsidRDefault="005728DD" w:rsidP="005728DD">
      <w:pPr>
        <w:pStyle w:val="TextoNormal"/>
      </w:pPr>
      <w:r>
        <w:t xml:space="preserve">No se comprende bien por qué la amistad tendría un efecto contaminante cuando uno de los magistrados asume funciones de investigación y, sin embargo, esa misma amistad no produciría el pretendido efecto invalidante, por ejemplo, en la deliberación en la fase de enjuiciamiento o cuando se tratara de resolver un recurso de casación. Conforme al entendimiento que anima la queja de la defensa, la ‘distancia física y personal’ a la que se refieren las defensas debería llevar a no contrariar jamás al ponente. Se rendiría así culto a la amistad en el proceso de deliberación y nunca quedaría erosionada la relación personal entre los magistrados de un órgano colegiado. Dicho en palabras de la Sala del artículo 61 de la LOPJ, ‘[…] ser compañeros en un mismo órgano jurisdiccional no conduce necesariamente a hacer confidencias irregulares, ni menos aún a quebrantar los propios deberes legales y deontológicos. Para que una alegación como la hecha por los recusantes mereciera algún crédito, </w:t>
      </w:r>
      <w:r>
        <w:lastRenderedPageBreak/>
        <w:t>sería necesario que aportasen algún elemento fáctico en que basarla; algo que simplemente no han hecho’ (cfr. auto 3/2018, de 13 de septiembre, FJ 7).</w:t>
      </w:r>
    </w:p>
    <w:p w:rsidR="005728DD" w:rsidRDefault="005728DD" w:rsidP="005728DD">
      <w:pPr>
        <w:pStyle w:val="TextoNormal"/>
      </w:pPr>
    </w:p>
    <w:p w:rsidR="005728DD" w:rsidRDefault="005728DD" w:rsidP="005728DD">
      <w:pPr>
        <w:pStyle w:val="TextoNormal"/>
      </w:pPr>
      <w:r>
        <w:t>Ya se trate de una distancia geográfica o de una distancia emocional, lo que parece fuera de dudas es que convertir esta exigencia en presupuesto para promover un incidente de recusación, solo puede entenderse como parte de una compartida estrategia de descalificación del órgano de enjuiciamiento”.</w:t>
      </w:r>
    </w:p>
    <w:p w:rsidR="005728DD" w:rsidRDefault="005728DD" w:rsidP="005728DD">
      <w:pPr>
        <w:pStyle w:val="TextoNormal"/>
      </w:pPr>
    </w:p>
    <w:p w:rsidR="005728DD" w:rsidRDefault="005728DD" w:rsidP="005728DD">
      <w:pPr>
        <w:pStyle w:val="TextoNormal"/>
      </w:pPr>
      <w:r>
        <w:t>7.2.3</w:t>
      </w:r>
      <w:r w:rsidRPr="005728DD">
        <w:rPr>
          <w:i/>
        </w:rPr>
        <w:t>. Resolución de la que</w:t>
      </w:r>
      <w:r>
        <w:t>ja.</w:t>
      </w:r>
    </w:p>
    <w:p w:rsidR="005728DD" w:rsidRDefault="005728DD" w:rsidP="005728DD">
      <w:pPr>
        <w:pStyle w:val="TextoNormal"/>
      </w:pPr>
    </w:p>
    <w:p w:rsidR="005728DD" w:rsidRDefault="005728DD" w:rsidP="005728DD">
      <w:pPr>
        <w:pStyle w:val="TextoNormal"/>
      </w:pPr>
      <w:r>
        <w:t>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005728DD" w:rsidRDefault="005728DD" w:rsidP="005728DD">
      <w:pPr>
        <w:pStyle w:val="TextoNormal"/>
      </w:pPr>
    </w:p>
    <w:p w:rsidR="005728DD" w:rsidRDefault="005728DD" w:rsidP="005728DD">
      <w:pPr>
        <w:pStyle w:val="TextoNormal"/>
      </w:pPr>
      <w:r>
        <w:t>La causa de recusación invocada es la prevista en el art. 219.9 LOPJ: amistad íntima con cualquiera de las partes. Hemos dicho que las causas de recusación han de ser interpretadas restrictivamente sin posibilidad de aplicaciones extensivas o analógicas (STC 60/2008, de 26 de mayo, FJ 3), de donde se sigue el rechazo del planteamiento del recurrente según el cual lo que aquí denuncia es “un supuesto equiparable a la amistad íntima”. O es amistad íntima o no es causa de recusación.</w:t>
      </w:r>
    </w:p>
    <w:p w:rsidR="005728DD" w:rsidRDefault="005728DD" w:rsidP="005728DD">
      <w:pPr>
        <w:pStyle w:val="TextoNormal"/>
      </w:pPr>
    </w:p>
    <w:p w:rsidR="005728DD" w:rsidRDefault="005728DD" w:rsidP="005728DD">
      <w:pPr>
        <w:pStyle w:val="TextoNormal"/>
      </w:pPr>
      <w:r>
        <w:t>Los términos con los que aparece formulada la queja, huérfana de datos fácticos, nos llevan a rechazarla.</w:t>
      </w:r>
    </w:p>
    <w:p w:rsidR="005728DD" w:rsidRDefault="005728DD" w:rsidP="005728DD">
      <w:pPr>
        <w:pStyle w:val="TextoNormal"/>
      </w:pPr>
    </w:p>
    <w:p w:rsidR="005728DD" w:rsidRDefault="005728DD" w:rsidP="005728DD">
      <w:pPr>
        <w:pStyle w:val="TextoNormal"/>
      </w:pPr>
      <w:r>
        <w:t>Este tribunal viene afirmando que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(ATC 226/1988, de 16 de febrero, FJ 3; con reiteración en la STC 162/1999, de 27 de septiembre, FJ 7, y en los AATC 238/2014, de 9 de octubre, FJ 5, y 17/2020, de 11 de febrero, FJ 3).</w:t>
      </w:r>
    </w:p>
    <w:p w:rsidR="005728DD" w:rsidRDefault="005728DD" w:rsidP="005728DD">
      <w:pPr>
        <w:pStyle w:val="TextoNormal"/>
      </w:pPr>
    </w:p>
    <w:p w:rsidR="005728DD" w:rsidRDefault="005728DD" w:rsidP="005728DD">
      <w:pPr>
        <w:pStyle w:val="TextoNormal"/>
      </w:pPr>
      <w:r>
        <w:t xml:space="preserve">El recurrente solo nos dice que el fiscal firmante de la querella, que fue magistrado de la Sala de lo Penal del Tribunal Supremo, y los miembros del tribunal de enjuiciamiento, compartieron sala; en algunos casos, durante varios años. No nos ofrece ningún hecho, dato o argumento que nos permita caracterizar la relación entre estas personas, su intensidad y calidad. En definitiva, no aporta la parte recurrente prueba o indicio alguno de la supuesta amistad íntima en que funda su recusación. Es significativo que la ausencia de elementos probatorios se proyecta en dos planos: (i) en el subjetivo, desde el punto de vista de las personas vinculadas, el recurrente se limita a apuntar la existencia de una relación de amistad, sin especificar si es predicable de quien ostentara el cargo de fiscal general del Estado </w:t>
      </w:r>
      <w:r>
        <w:lastRenderedPageBreak/>
        <w:t>con uno, varios o todos los magistrados integrantes de la sala de enjuiciamiento ni individualizar a los afectados; (ii) en un plano objetivo, sobre la naturaleza, calidad e intensidad de esas relaciones interpersonales, no se nos ofrece ni un solo dato a fin de cualificar los vínculos denunciados. De este modo, si bien puede resultar innegable la existencia, entre aquellos magistrados que compartieron sala, de una natural relación profesional entre personas que comparten destino en un órgano judicial colegiado, no contamos con ningún elemento de juicio que permita afirmar la existencia de una relación de amistad con ninguno de ellos, ni menos aún de la intimidad que adjetiva a la relación y que, en modo alguno, puede presumirse (ATC 54/2014, de 25 de febrero, FJ 5).</w:t>
      </w:r>
    </w:p>
    <w:p w:rsidR="005728DD" w:rsidRDefault="005728DD" w:rsidP="005728DD">
      <w:pPr>
        <w:pStyle w:val="TextoNormal"/>
      </w:pPr>
    </w:p>
    <w:p w:rsidR="005728DD" w:rsidRDefault="005728DD" w:rsidP="005728DD">
      <w:pPr>
        <w:pStyle w:val="TextoNormal"/>
      </w:pPr>
      <w:r>
        <w:t>Procede, en consecuencia, la desestimación de este motivo de amparo.</w:t>
      </w:r>
    </w:p>
    <w:p w:rsidR="005728DD" w:rsidRDefault="005728DD" w:rsidP="005728DD">
      <w:pPr>
        <w:pStyle w:val="TextoNormal"/>
      </w:pPr>
    </w:p>
    <w:p w:rsidR="005728DD" w:rsidRDefault="005728DD" w:rsidP="005728DD">
      <w:pPr>
        <w:pStyle w:val="TextoNormal"/>
      </w:pPr>
      <w:r>
        <w:t>7</w:t>
      </w:r>
      <w:r w:rsidRPr="005728DD">
        <w:rPr>
          <w:i/>
        </w:rPr>
        <w:t>.3. La relación de los magistrados integrantes de la Sala con el Gobi</w:t>
      </w:r>
      <w:r>
        <w:t>erno.</w:t>
      </w:r>
    </w:p>
    <w:p w:rsidR="005728DD" w:rsidRDefault="005728DD" w:rsidP="005728DD">
      <w:pPr>
        <w:pStyle w:val="TextoNormal"/>
      </w:pPr>
    </w:p>
    <w:p w:rsidR="005728DD" w:rsidRDefault="005728DD" w:rsidP="005728DD">
      <w:pPr>
        <w:pStyle w:val="TextoNormal"/>
      </w:pPr>
      <w:r>
        <w:t>7.3.1</w:t>
      </w:r>
      <w:r w:rsidRPr="005728DD">
        <w:rPr>
          <w:i/>
        </w:rPr>
        <w:t>. Posiciones de las part</w:t>
      </w:r>
      <w:r>
        <w:t>es.</w:t>
      </w:r>
    </w:p>
    <w:p w:rsidR="005728DD" w:rsidRDefault="005728DD" w:rsidP="005728DD">
      <w:pPr>
        <w:pStyle w:val="TextoNormal"/>
      </w:pPr>
    </w:p>
    <w:p w:rsidR="005728DD" w:rsidRDefault="005728DD" w:rsidP="005728DD">
      <w:pPr>
        <w:pStyle w:val="TextoNormal"/>
      </w:pPr>
      <w:r>
        <w:t>La demanda se refiere a tres manifestaciones de destacados políticos que, a su juicio, ponen en evidencia un contexto de interferencia del poder político en el Poder Judicial y que son indiciarias de una falta de independencia del tribunal encargado del enjuiciamiento. Se trata de: (i) las declaraciones de la vicepresidenta del Gobierno doña Soraya Sáenz de Santamaría, que el 16 de diciembre del 2018, en una rueda de prensa en Cataluña, dijo: “¿Quién ha hecho que hoy por hoy ERC, Junts per Catalunya y el resto de independentistas no tengan líderes porque están descabezados? Mariano Rajoy y el Partido Popular”; y, en manifestaciones en el Parlamento, afirmó, en relación con los encausados, que “están en prisión preventiva por haber cometido delitos”; (ii) el mensaje de Whatsapp del senador señor Cosidó acerca de la propuesta de nombramiento del señor Marchena como presidente del Consejo General del Poder Judicial y del Tribunal Supremo, lo que permitiría, en palabras del citado senador y portavoz del grupo parlamentario del Partido Popular, “controlar la Sala Segunda del Tribunal Supremo desde detrás”; y (iii) la declaración del entonces presidente en funciones del Gobierno español, señor Sánchez, que, en el marco de un debate electoral celebrado el 5 de noviembre de 2019, se comprometió personalmente a “traer de vuelta a España al señor Puigdemont”, con referencia a la presente causa. Al día siguiente, en declaraciones en Radio Nacional de España, preguntado sobre cómo iba a conseguir el propósito referido, manifestó: “¿De quién depende la fiscalía? La fiscalía depende del Gobierno, pues ya está”.</w:t>
      </w:r>
    </w:p>
    <w:p w:rsidR="005728DD" w:rsidRDefault="005728DD" w:rsidP="005728DD">
      <w:pPr>
        <w:pStyle w:val="TextoNormal"/>
      </w:pPr>
    </w:p>
    <w:p w:rsidR="005728DD" w:rsidRDefault="005728DD" w:rsidP="005728DD">
      <w:pPr>
        <w:pStyle w:val="TextoNormal"/>
      </w:pPr>
      <w:r>
        <w:t>Para el abogado del Estado, las declaraciones de los cargos políticos a que se refiere la demanda son ajenas a la relación con la sala de enjuiciamiento, mientras que el partido político Vox, como se ha señalado, ofrece una respuesta común según la cual el recurrente no ha justificado las razones de esta supuesta vulneración del derecho al juez imparcial.</w:t>
      </w:r>
    </w:p>
    <w:p w:rsidR="005728DD" w:rsidRDefault="005728DD" w:rsidP="005728DD">
      <w:pPr>
        <w:pStyle w:val="TextoNormal"/>
      </w:pPr>
    </w:p>
    <w:p w:rsidR="005728DD" w:rsidRDefault="005728DD" w:rsidP="005728DD">
      <w:pPr>
        <w:pStyle w:val="TextoNormal"/>
      </w:pPr>
      <w:r>
        <w:t xml:space="preserve">Según el fiscal, esta queja viene a ser un supuesto de “hetero-responsabilidad o responsabilidad por un hecho ajeno”, puesto que se imputa a los magistrados integrantes de la Sala una falta de imparcialidad no por manifestaciones o actuaciones propias reveladoras de ausencia de objetividad e independencia, sino por la expresión por parte de terceros de manifestaciones dirigidas a la opinión pública o a compañeros de partido para justificar un eventual pacto con otra formación política, de manera que no estamos ante manifestaciones públicas procedentes de juzgadores de la causa. Al margen de cualquier valoración sobre su </w:t>
      </w:r>
      <w:r>
        <w:lastRenderedPageBreak/>
        <w:t>contenido, “tales declaraciones y mensaje no pueden considerarse como elemento acreditativo del interés de los miembros del tribunal en un resultado concreto del proceso, por propia intención o por anhelado deseo o no del Ejecutivo”.</w:t>
      </w:r>
    </w:p>
    <w:p w:rsidR="005728DD" w:rsidRDefault="005728DD" w:rsidP="005728DD">
      <w:pPr>
        <w:pStyle w:val="TextoNormal"/>
      </w:pPr>
    </w:p>
    <w:p w:rsidR="005728DD" w:rsidRDefault="005728DD" w:rsidP="005728DD">
      <w:pPr>
        <w:pStyle w:val="TextoNormal"/>
      </w:pPr>
      <w:r>
        <w:t>7.3.2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El auto núm. 7/2018, de 5 de diciembre, de la Sala del art. 61 LOPJ, tras aludir a “las declaraciones de responsables políticos sobre los hechos del procedimiento penal en curso”, que se invocaron como motivo de recusación, señaló que “estos argumentos no pueden ser atendidos en la medida en que no se relacionan con una causa concreta de recusación y son, en realidad, una reiteración de los expuestos en las anteriores recusaciones resueltas por esta Sala en el auto de 13 de septiembre de 2018 (causa 5-2018). Estas consideraciones —que traslucen la idea de que todo el sistema, en su conjunto, plantea dudas de imparcialidad— ya fueron tratadas anteriormente y solo cabe examinar el motivo de recusación que surge, para las partes recusantes, del hecho nuevo consistente en las ‘negociaciones’ y acuerdo entre partidos políticos para la cobertura de la presidencia del Tribunal Supremo y del Consejo General del Poder Judicial por parte del Excmo. señor D. Manuel Marchena Gómez y del mensaje de Whatsapp citado” (FJ 4).</w:t>
      </w:r>
    </w:p>
    <w:p w:rsidR="005728DD" w:rsidRDefault="005728DD" w:rsidP="005728DD">
      <w:pPr>
        <w:pStyle w:val="TextoNormal"/>
      </w:pPr>
    </w:p>
    <w:p w:rsidR="005728DD" w:rsidRDefault="005728DD" w:rsidP="005728DD">
      <w:pPr>
        <w:pStyle w:val="TextoNormal"/>
      </w:pPr>
      <w:r>
        <w:t xml:space="preserve">Tras examinar detenidamente el fundamento de la recusación formulada contra el presidente de la Sala con causa en el citado mensaje telemático, el fundamento jurídico quinto rechaza que la tacha pudiera extenderse sobre el resto de los miembros del tribunal. Argumenta que: (i) si la recusación del presidente “hubiera sido estimada, el citado resultaría apartado de la causa y entonces el resto de la Sala no deliberaría con él. Sin tal deliberación no habría peligro de esa </w:t>
      </w:r>
      <w:r w:rsidRPr="005728DD">
        <w:rPr>
          <w:i/>
        </w:rPr>
        <w:t>vis</w:t>
      </w:r>
      <w:r>
        <w:t xml:space="preserve"> extensiva de su recusación”; (ii) si, por el contrario, la recusación “no se estima (como es el caso), eso significa que la imparcialidad del citado no se encuentra comprometida y, naturalmente, entonces tampoco se produce ninguna </w:t>
      </w:r>
      <w:r w:rsidRPr="005728DD">
        <w:rPr>
          <w:i/>
        </w:rPr>
        <w:t>vis</w:t>
      </w:r>
      <w:r>
        <w:t xml:space="preserve"> extensiva de su recusación al deliberar con resto de los magistrados (porque, por definición no hay pérdida de imparcialidad de ninguno de ellos)”.</w:t>
      </w:r>
    </w:p>
    <w:p w:rsidR="005728DD" w:rsidRDefault="005728DD" w:rsidP="005728DD">
      <w:pPr>
        <w:pStyle w:val="TextoNormal"/>
      </w:pPr>
    </w:p>
    <w:p w:rsidR="005728DD" w:rsidRDefault="005728DD" w:rsidP="005728DD">
      <w:pPr>
        <w:pStyle w:val="TextoNormal"/>
      </w:pPr>
      <w:r>
        <w:t>El auto de 13 de septiembre de 2018, también de la Sala del art. 61 LOPJ, al que se remite el anteriormente citado, también abordó esa causa de recusación. En el fundamento jurídico 10 de dicha resolución se indicaba al respecto lo que sigue:</w:t>
      </w:r>
    </w:p>
    <w:p w:rsidR="005728DD" w:rsidRDefault="005728DD" w:rsidP="005728DD">
      <w:pPr>
        <w:pStyle w:val="TextoNormal"/>
      </w:pPr>
    </w:p>
    <w:p w:rsidR="005728DD" w:rsidRDefault="005728DD" w:rsidP="005728DD">
      <w:pPr>
        <w:pStyle w:val="TextoNormal"/>
      </w:pPr>
      <w:r>
        <w:t>“Ninguna de esas consideraciones sirve para justificar la afirmación de que los magistrados recusados carecen de imparcialidad para juzgar la causa especial 20907-2017, fundamentalmente porque se trata de consideraciones puramente genéricas que en ningún momento se refieren a rasgos y comportamientos de los concretos magistrados recusados. Tratan, más bien, de transmitir una imagen global del Tribunal Supremo, dando a entender que no es el foro idóneo para que se celebre y decida un proceso penal como este con las debidas garantías. Pues bien, la mera constatación de que —al margen de los tres argumentos principales ya examinados— ninguna de las consideraciones de los recusantes se refiere específicamente a los magistrados recusados es razón suficiente para rechazarlas: la recusación debe apoyarse en circunstancias, debidamente acreditadas, que concurran en el concreto juez o magistrado recusado”.</w:t>
      </w:r>
    </w:p>
    <w:p w:rsidR="005728DD" w:rsidRDefault="005728DD" w:rsidP="005728DD">
      <w:pPr>
        <w:pStyle w:val="TextoNormal"/>
      </w:pPr>
    </w:p>
    <w:p w:rsidR="005728DD" w:rsidRDefault="005728DD" w:rsidP="005728DD">
      <w:pPr>
        <w:pStyle w:val="TextoNormal"/>
      </w:pPr>
      <w:r>
        <w:t xml:space="preserve">La cuestión fue abordada definitivamente en el fundamento de Derecho A), apartado 5.5.6, de la sentencia impugnada, con un extenso razonamiento en el que también se hacía </w:t>
      </w:r>
      <w:r>
        <w:lastRenderedPageBreak/>
        <w:t>una remisión expresa al citado auto núm. 7/2018, de 5 de diciembre, de la Sala del art. 61 LOPJ, en el que se desestimó esta pretensión en el incidente de recusación en su día planteado.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005728DD" w:rsidRDefault="005728DD" w:rsidP="005728DD">
      <w:pPr>
        <w:pStyle w:val="TextoNormal"/>
      </w:pPr>
    </w:p>
    <w:p w:rsidR="005728DD" w:rsidRDefault="005728DD" w:rsidP="005728DD">
      <w:pPr>
        <w:pStyle w:val="TextoNormal"/>
      </w:pPr>
      <w:r>
        <w:t>7.3.3</w:t>
      </w:r>
      <w:r w:rsidRPr="005728DD">
        <w:rPr>
          <w:i/>
        </w:rPr>
        <w:t>. Resolución de la que</w:t>
      </w:r>
      <w:r>
        <w:t>ja.</w:t>
      </w:r>
    </w:p>
    <w:p w:rsidR="005728DD" w:rsidRDefault="005728DD" w:rsidP="005728DD">
      <w:pPr>
        <w:pStyle w:val="TextoNormal"/>
      </w:pPr>
    </w:p>
    <w:p w:rsidR="005728DD" w:rsidRDefault="005728DD" w:rsidP="005728DD">
      <w:pPr>
        <w:pStyle w:val="TextoNormal"/>
      </w:pPr>
      <w:r>
        <w:t>El motivo de amparo pone en cuestión la imparcialidad del tribunal encargado de juzgar la causa sobre la base, única y exclusiva, de la conducta, plasmada en determinadas declaraciones, de terceras personas ajenas a dicho órgano y a su círculo más cercano.</w:t>
      </w:r>
    </w:p>
    <w:p w:rsidR="005728DD" w:rsidRDefault="005728DD" w:rsidP="005728DD">
      <w:pPr>
        <w:pStyle w:val="TextoNormal"/>
      </w:pPr>
    </w:p>
    <w:p w:rsidR="005728DD" w:rsidRDefault="005728DD" w:rsidP="005728DD">
      <w:pPr>
        <w:pStyle w:val="TextoNormal"/>
      </w:pPr>
      <w:r>
        <w:t>La aplicación de la doctrina reseñada nos lleva desestimar la queja a partir de las siguientes consideraciones.</w:t>
      </w:r>
    </w:p>
    <w:p w:rsidR="005728DD" w:rsidRDefault="005728DD" w:rsidP="005728DD">
      <w:pPr>
        <w:pStyle w:val="TextoNormal"/>
      </w:pPr>
    </w:p>
    <w:p w:rsidR="005728DD" w:rsidRDefault="005728DD" w:rsidP="005728DD">
      <w:pPr>
        <w:pStyle w:val="TextoNormal"/>
      </w:pPr>
      <w:r>
        <w:t>a) La cuestión relativa a la tacha de parcialidad del presidente de la Sala por causa del mensaje enviado a través de una aplicación de mensajería instantánea (Whatsapp) por el entonces senador del Partido Popular, don Ignacio Cosidó, a numerosas personas, ha sido abordada en la citada STC 91/2021, FJ 3.</w:t>
      </w:r>
    </w:p>
    <w:p w:rsidR="005728DD" w:rsidRDefault="005728DD" w:rsidP="005728DD">
      <w:pPr>
        <w:pStyle w:val="TextoNormal"/>
      </w:pPr>
    </w:p>
    <w:p w:rsidR="005728DD" w:rsidRDefault="005728DD" w:rsidP="005728DD">
      <w:pPr>
        <w:pStyle w:val="TextoNormal"/>
      </w:pPr>
      <w:r>
        <w:t>El texto del mensaje, recogido en el citado auto núm. 7/2018, de 5 de diciembre, de la Sala Especial del art. 61 LOPJ, presentaba el siguiente tenor literal:</w:t>
      </w:r>
    </w:p>
    <w:p w:rsidR="005728DD" w:rsidRDefault="005728DD" w:rsidP="005728DD">
      <w:pPr>
        <w:pStyle w:val="TextoNormal"/>
      </w:pPr>
    </w:p>
    <w:p w:rsidR="005728DD" w:rsidRDefault="005728DD" w:rsidP="005728DD">
      <w:pPr>
        <w:pStyle w:val="TextoNormal"/>
      </w:pPr>
      <w: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w:t>
      </w:r>
      <w:r w:rsidRPr="005728DD">
        <w:rPr>
          <w:i/>
        </w:rPr>
        <w:t>auctoritas</w:t>
      </w:r>
      <w:r>
        <w:t xml:space="preserve"> para que las </w:t>
      </w:r>
      <w:r>
        <w:lastRenderedPageBreak/>
        <w:t>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005728DD" w:rsidRDefault="005728DD" w:rsidP="005728DD">
      <w:pPr>
        <w:pStyle w:val="TextoNormal"/>
      </w:pPr>
    </w:p>
    <w:p w:rsidR="005728DD" w:rsidRDefault="005728DD" w:rsidP="005728DD">
      <w:pPr>
        <w:pStyle w:val="TextoNormal"/>
      </w:pPr>
      <w:r>
        <w:t>Rechazamos la queja con base en las siguientes consideraciones, siguiendo a la citada STC 91/2021, FJ 5.6.3 c):</w:t>
      </w:r>
    </w:p>
    <w:p w:rsidR="005728DD" w:rsidRDefault="005728DD" w:rsidP="005728DD">
      <w:pPr>
        <w:pStyle w:val="TextoNormal"/>
      </w:pPr>
    </w:p>
    <w:p w:rsidR="005728DD" w:rsidRDefault="005728DD" w:rsidP="005728DD">
      <w:pPr>
        <w:pStyle w:val="TextoNormal"/>
      </w:pPr>
      <w:r>
        <w:t>Se hace necesario insistir en que 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005728DD" w:rsidRDefault="005728DD" w:rsidP="005728DD">
      <w:pPr>
        <w:pStyle w:val="TextoNormal"/>
      </w:pPr>
    </w:p>
    <w:p w:rsidR="005728DD" w:rsidRDefault="005728DD" w:rsidP="005728DD">
      <w:pPr>
        <w:pStyle w:val="TextoNormal"/>
      </w:pPr>
      <w:r>
        <w:t>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005728DD" w:rsidRDefault="005728DD" w:rsidP="005728DD">
      <w:pPr>
        <w:pStyle w:val="TextoNormal"/>
      </w:pPr>
    </w:p>
    <w:p w:rsidR="005728DD" w:rsidRDefault="005728DD" w:rsidP="005728DD">
      <w:pPr>
        <w:pStyle w:val="TextoNormal"/>
      </w:pPr>
      <w: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 117 y ss. CE). No obstante, analizado en su </w:t>
      </w:r>
      <w:r>
        <w:lastRenderedPageBreak/>
        <w:t xml:space="preserve">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Consejo General del Poder Judicial, y con “capacidad de liderazgo </w:t>
      </w:r>
      <w:r w:rsidRPr="005728DD">
        <w:rPr>
          <w:i/>
        </w:rPr>
        <w:t>y auctorit</w:t>
      </w:r>
      <w:r>
        <w:t>as”.</w:t>
      </w:r>
    </w:p>
    <w:p w:rsidR="005728DD" w:rsidRDefault="005728DD" w:rsidP="005728DD">
      <w:pPr>
        <w:pStyle w:val="TextoNormal"/>
      </w:pPr>
    </w:p>
    <w:p w:rsidR="005728DD" w:rsidRDefault="005728DD" w:rsidP="005728DD">
      <w:pPr>
        <w:pStyle w:val="TextoNormal"/>
      </w:pPr>
      <w:r>
        <w:t>En cualquier caso, no corresponde a este tribunal hacer una valoración política sobre ese mensaje. En este apartado de la demanda solo se trata de valorar si su contenido permite descartar, por sí mismo, la imparcialidad de un magistrado. Y la respuesta solo puede ser negativa.</w:t>
      </w:r>
    </w:p>
    <w:p w:rsidR="005728DD" w:rsidRDefault="005728DD" w:rsidP="005728DD">
      <w:pPr>
        <w:pStyle w:val="TextoNormal"/>
      </w:pPr>
    </w:p>
    <w:p w:rsidR="005728DD" w:rsidRDefault="005728DD" w:rsidP="005728DD">
      <w:pPr>
        <w:pStyle w:val="TextoNormal"/>
      </w:pPr>
      <w:r>
        <w:t>El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005728DD" w:rsidRDefault="005728DD" w:rsidP="005728DD">
      <w:pPr>
        <w:pStyle w:val="TextoNormal"/>
      </w:pPr>
    </w:p>
    <w:p w:rsidR="005728DD" w:rsidRDefault="005728DD" w:rsidP="005728DD">
      <w:pPr>
        <w:pStyle w:val="TextoNormal"/>
      </w:pPr>
      <w:r>
        <w:t>“Las noticias divulgadas en los últimos días acerca de mi hipotética designación como presidente del Tribunal Supremo y del Consejo General del Poder Judicial, me obligan a hacer las siguientes precisiones:</w:t>
      </w:r>
    </w:p>
    <w:p w:rsidR="005728DD" w:rsidRDefault="005728DD" w:rsidP="005728DD">
      <w:pPr>
        <w:pStyle w:val="TextoNormal"/>
      </w:pPr>
    </w:p>
    <w:p w:rsidR="005728DD" w:rsidRDefault="005728DD" w:rsidP="005728DD">
      <w:pPr>
        <w:pStyle w:val="TextoNormal"/>
      </w:pPr>
      <w:r>
        <w:t>1. Jamás he concebido el ejercicio de la función jurisdiccional como un instrumento al servicio de una u otra opción política para controlar el desenlace de un proceso penal.</w:t>
      </w:r>
    </w:p>
    <w:p w:rsidR="005728DD" w:rsidRDefault="005728DD" w:rsidP="005728DD">
      <w:pPr>
        <w:pStyle w:val="TextoNormal"/>
      </w:pPr>
    </w:p>
    <w:p w:rsidR="005728DD" w:rsidRDefault="005728DD" w:rsidP="005728DD">
      <w:pPr>
        <w:pStyle w:val="TextoNormal"/>
      </w:pPr>
      <w:r>
        <w:t>2. Mi trayectoria como magistrado ha estado siempre presidida por la independencia como presupuesto de legitimidad de cualquier decisión jurisdiccional.</w:t>
      </w:r>
    </w:p>
    <w:p w:rsidR="005728DD" w:rsidRDefault="005728DD" w:rsidP="005728DD">
      <w:pPr>
        <w:pStyle w:val="TextoNormal"/>
      </w:pPr>
    </w:p>
    <w:p w:rsidR="005728DD" w:rsidRDefault="005728DD" w:rsidP="005728DD">
      <w:pPr>
        <w:pStyle w:val="TextoNormal"/>
      </w:pPr>
      <w:r>
        <w:t>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005728DD" w:rsidRDefault="005728DD" w:rsidP="005728DD">
      <w:pPr>
        <w:pStyle w:val="TextoNormal"/>
      </w:pPr>
    </w:p>
    <w:p w:rsidR="005728DD" w:rsidRDefault="005728DD" w:rsidP="005728DD">
      <w:pPr>
        <w:pStyle w:val="TextoNormal"/>
      </w:pPr>
      <w:r>
        <w:t>4. Por todo ello, anticipo públicamente mi decidida voluntad de no ser incluido, para el caso en que así fuera considerado, entre los candidatos al puesto de presidente del Tribunal Supremo y del Consejo General del Poder Judicial”.</w:t>
      </w:r>
    </w:p>
    <w:p w:rsidR="005728DD" w:rsidRDefault="005728DD" w:rsidP="005728DD">
      <w:pPr>
        <w:pStyle w:val="TextoNormal"/>
      </w:pPr>
    </w:p>
    <w:p w:rsidR="005728DD" w:rsidRDefault="005728DD" w:rsidP="005728DD">
      <w:pPr>
        <w:pStyle w:val="TextoNormal"/>
      </w:pPr>
      <w:r>
        <w:t>Como se puede ver, en ese comunicado no solo se negaba toda participación en aquella supuesta estrategia de control de una sala de Justicia al servicio de un partido político, sino que se descartaba de manera firme y decidida cualquier postulación para el cargo al que se aludía (presidente del Tribunal Supremo y del Consejo General del Poder Judicial).</w:t>
      </w:r>
    </w:p>
    <w:p w:rsidR="005728DD" w:rsidRDefault="005728DD" w:rsidP="005728DD">
      <w:pPr>
        <w:pStyle w:val="TextoNormal"/>
      </w:pPr>
    </w:p>
    <w:p w:rsidR="005728DD" w:rsidRDefault="005728DD" w:rsidP="005728DD">
      <w:pPr>
        <w:pStyle w:val="TextoNormal"/>
      </w:pPr>
      <w:r>
        <w:t xml:space="preserve">Sin embargo, el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w:t>
      </w:r>
      <w:r>
        <w:lastRenderedPageBreak/>
        <w:t>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005728DD" w:rsidRDefault="005728DD" w:rsidP="005728DD">
      <w:pPr>
        <w:pStyle w:val="TextoNormal"/>
      </w:pPr>
    </w:p>
    <w:p w:rsidR="005728DD" w:rsidRDefault="005728DD" w:rsidP="005728DD">
      <w:pPr>
        <w:pStyle w:val="TextoNormal"/>
      </w:pPr>
      <w:r>
        <w:t>b) Las mismas consideraciones resultan enteramente trasladables para dar respuesta a la queja relativa a otras manifestaciones de destacados cargos públicos a las que se refiere el demandante de amparo. Ninguna de ellas revela dato alguno que permita poner en duda la imparcialidad de alguno de los magistrados de la Sala de lo Penal del Tribunal Supremo que constituyeron el órgano juzgador.</w:t>
      </w:r>
    </w:p>
    <w:p w:rsidR="005728DD" w:rsidRDefault="005728DD" w:rsidP="005728DD">
      <w:pPr>
        <w:pStyle w:val="TextoNormal"/>
      </w:pPr>
    </w:p>
    <w:p w:rsidR="005728DD" w:rsidRDefault="005728DD" w:rsidP="005728DD">
      <w:pPr>
        <w:pStyle w:val="TextoNormal"/>
      </w:pPr>
      <w:r>
        <w:t>Al margen de que el contenido de esas declaraciones, de las que se ha dejado constancia más arriba, no pone de manifiesto la existencia de relación personal alguna entre los referidos cargos políticos y los miembros del tribunal de enjuiciamiento, no aporta la parte recurrente prueba, dato o argumento alguno a fin de justificar que tales expresiones pudieron perturbar la imparcialidad o la independencia de la sala sentenciadora, menoscabar el ánimo de alguno de sus miembros o comprometer su apariencia de imparcialidad.</w:t>
      </w:r>
    </w:p>
    <w:p w:rsidR="005728DD" w:rsidRDefault="005728DD" w:rsidP="005728DD">
      <w:pPr>
        <w:pStyle w:val="TextoNormal"/>
      </w:pPr>
    </w:p>
    <w:p w:rsidR="005728DD" w:rsidRDefault="005728DD" w:rsidP="005728DD">
      <w:pPr>
        <w:pStyle w:val="TextoNormal"/>
      </w:pPr>
      <w:r>
        <w:t>Cabe añadir que, en todo caso, con apuntamos en la STC 91/2021, ni el proceso penal del que dimana la condena impugnada ni, por tanto, el presente recurso de amparo, constituyen cauces para recabar la tutela judicial frente a declaraciones públicas de terceras personas que, por su contenido, pudieran inscribirse en el ámbito de la denominada dimensión extraprocesal de la presunción de inocencia (FJ 8.4).</w:t>
      </w:r>
    </w:p>
    <w:p w:rsidR="005728DD" w:rsidRDefault="005728DD" w:rsidP="005728DD">
      <w:pPr>
        <w:pStyle w:val="TextoNormal"/>
      </w:pPr>
    </w:p>
    <w:p w:rsidR="005728DD" w:rsidRDefault="005728DD" w:rsidP="005728DD">
      <w:pPr>
        <w:pStyle w:val="TextoNormal"/>
      </w:pPr>
      <w:r>
        <w:t>Por lo expuesto, el motivo no puede prosperar.</w:t>
      </w:r>
    </w:p>
    <w:p w:rsidR="005728DD" w:rsidRDefault="005728DD" w:rsidP="005728DD">
      <w:pPr>
        <w:pStyle w:val="TextoNormal"/>
      </w:pPr>
    </w:p>
    <w:p w:rsidR="005728DD" w:rsidRDefault="005728DD" w:rsidP="005728DD">
      <w:pPr>
        <w:pStyle w:val="TextoNormal"/>
      </w:pPr>
      <w:r>
        <w:t xml:space="preserve">7.4. </w:t>
      </w:r>
      <w:r w:rsidRPr="005728DD">
        <w:rPr>
          <w:i/>
        </w:rPr>
        <w:t>Las expresiones</w:t>
      </w:r>
      <w:r>
        <w:t xml:space="preserve"> políticas </w:t>
      </w:r>
      <w:r w:rsidRPr="005728DD">
        <w:rPr>
          <w:i/>
        </w:rPr>
        <w:t>contenidas en la sentencia, el tratamiento de la presunción de inocencia, las manifestaciones del tribunal dentro y fuera de la sala, y las decisiones sobre admisión y práctica de pruebas</w:t>
      </w:r>
      <w:r>
        <w:t>.</w:t>
      </w:r>
    </w:p>
    <w:p w:rsidR="005728DD" w:rsidRDefault="005728DD" w:rsidP="005728DD">
      <w:pPr>
        <w:pStyle w:val="TextoNormal"/>
      </w:pPr>
    </w:p>
    <w:p w:rsidR="005728DD" w:rsidRDefault="005728DD" w:rsidP="005728DD">
      <w:pPr>
        <w:pStyle w:val="TextoNormal"/>
      </w:pPr>
      <w:r>
        <w:t>7.4.1</w:t>
      </w:r>
      <w:r w:rsidRPr="005728DD">
        <w:rPr>
          <w:i/>
        </w:rPr>
        <w:t>. Posiciones de las part</w:t>
      </w:r>
      <w:r>
        <w:t>es.</w:t>
      </w:r>
    </w:p>
    <w:p w:rsidR="005728DD" w:rsidRDefault="005728DD" w:rsidP="005728DD">
      <w:pPr>
        <w:pStyle w:val="TextoNormal"/>
      </w:pPr>
    </w:p>
    <w:p w:rsidR="005728DD" w:rsidRDefault="005728DD" w:rsidP="005728DD">
      <w:pPr>
        <w:pStyle w:val="TextoNormal"/>
      </w:pPr>
      <w:r>
        <w:t>Un segundo grupo de causas que habrían comprometido la imparcialidad de la sala de enjuiciamiento, y que la demanda integra bajo la rúbrica “ausencia de imparcialidad subjetiva”, tiene que ver, con la excepción relativa a una determinada información periodística, con el comportamiento del propio órgano en el ejercicio de su jurisdicción, lo que integra desde las decisiones sobre inadmisión de pruebas hasta la redacción de la sentencia, pasando por el desarrollo del juicio oral.</w:t>
      </w:r>
    </w:p>
    <w:p w:rsidR="005728DD" w:rsidRDefault="005728DD" w:rsidP="005728DD">
      <w:pPr>
        <w:pStyle w:val="TextoNormal"/>
      </w:pPr>
    </w:p>
    <w:p w:rsidR="005728DD" w:rsidRDefault="005728DD" w:rsidP="005728DD">
      <w:pPr>
        <w:pStyle w:val="TextoNormal"/>
      </w:pPr>
      <w:r>
        <w:t xml:space="preserve">Tal y como ha quedado reflejado con detalle en los antecedentes de esta sentencia, la demanda cuestiona la imparcialidad del tribunal juzgador en base a las siguientes causas: (i) las “expresiones políticas” y el tratamiento excesivo del “derecho de autodeterminación” en la sentencia, que implica una toma de postura sobre la cuestión política de fondo y evidencia </w:t>
      </w:r>
      <w:r>
        <w:lastRenderedPageBreak/>
        <w:t xml:space="preserve">la ausencia de neutralidad; (ii) el defectuoso tratamiento procesal de la presunción de inocencia, dada la inexistencia de valoración probatoria en relación con el demandante, lo que, a su vez, constituiría una vulneración del deber de motivación exigible </w:t>
      </w:r>
      <w:r w:rsidRPr="005728DD">
        <w:rPr>
          <w:i/>
        </w:rPr>
        <w:t>ex</w:t>
      </w:r>
      <w:r>
        <w:t xml:space="preserve"> art. 24.1 CE; (iii) las manifestaciones de los miembros del tribunal fuera de la sala de enjuiciamiento al expresar su “profundo malestar” por la estrategia de defensa del recurrente; (iv) las manifestaciones del presidente de la Sala en el desarrollo del interrogatorio de los testigos don Javier Pacheco y doña Marina Garcés, expresivas de la “predisposición del tribunal”; (v) y las decisiones de inadmisión de determinadas pruebas (veinte testificales propuestas por la defensa y, especialmente, de la pericial de don Hugh Orde y don Duncan McCausland) en contraste con las admitidas a la acusación, así como la dirección por el presidente del interrogatorio de la citada señora Garcés, también indicativas de esa misma predisposición.</w:t>
      </w:r>
    </w:p>
    <w:p w:rsidR="005728DD" w:rsidRDefault="005728DD" w:rsidP="005728DD">
      <w:pPr>
        <w:pStyle w:val="TextoNormal"/>
      </w:pPr>
    </w:p>
    <w:p w:rsidR="005728DD" w:rsidRDefault="005728DD" w:rsidP="005728DD">
      <w:pPr>
        <w:pStyle w:val="TextoNormal"/>
      </w:pPr>
      <w:r>
        <w:t>Según el demandante, a las anteriores causas habría que añadir otras circunstancias alegadas como motivos distintos de amparo, como la modificación del criterio de competenci</w:t>
      </w:r>
      <w:r w:rsidRPr="005728DD">
        <w:rPr>
          <w:i/>
        </w:rPr>
        <w:t>a ad h</w:t>
      </w:r>
      <w:r>
        <w:t>oc, la cuestión relativa a los derechos lingüísticos y el mantenimiento de la prisión provisional del recurrente.</w:t>
      </w:r>
    </w:p>
    <w:p w:rsidR="005728DD" w:rsidRDefault="005728DD" w:rsidP="005728DD">
      <w:pPr>
        <w:pStyle w:val="TextoNormal"/>
      </w:pPr>
    </w:p>
    <w:p w:rsidR="005728DD" w:rsidRDefault="005728DD" w:rsidP="005728DD">
      <w:pPr>
        <w:pStyle w:val="TextoNormal"/>
      </w:pPr>
      <w:r>
        <w:t>El abogado del Estado rechaza el fundamento de este motivo de amparo con base en las siguientes consideraciones: (i) sobre las calificadas “expresiones políticas” contenidas en la sentencia considera que el argumento es descabellado y supondría admitir la quiebra de la imparcialidad por el hecho de que el pronunciamiento fuera desfavorable; (ii) en relación con la expresión de la presidencia durante el desarrollo de la testifical de don Javier Pacheco, se trató “de contextualizar para poner de relieve la impertinencia de las preguntas”, sin que se razone ni acredite por qué la imparcialidad se vio comprometida”; (iii) respecto de la supuesta filtración de unas opiniones del tribunal en cuanto a la estrategia de la defensa”, la alegación no se basa en actuaciones propias de los magistrados, sino de terceros; (iv) en cuanto a la testifical de la señora Garcés, se remite al apartado 16.3.3 del fundamento de Derecho A) de la sentencia; (v) por lo que se refiere a la queja relativa al rechazo de la pericial, no se considera ni se somete a crítica el motivo de denegación de tal prueba contenido en el auto de 1 de febrero de 2019. Como ha quedado expuesto, la alegación relativa al tratamiento de la presunción de inocencia es contestada de modo diferenciado, bajo el prisma del contenido de ese derecho fundamental.</w:t>
      </w:r>
    </w:p>
    <w:p w:rsidR="005728DD" w:rsidRDefault="005728DD" w:rsidP="005728DD">
      <w:pPr>
        <w:pStyle w:val="TextoNormal"/>
      </w:pPr>
    </w:p>
    <w:p w:rsidR="005728DD" w:rsidRDefault="005728DD" w:rsidP="005728DD">
      <w:pPr>
        <w:pStyle w:val="TextoNormal"/>
      </w:pPr>
      <w:r>
        <w:t>El partido político Vox, al margen la respuesta común reiterada en los apartados anteriores, se refiere específicamente a la queja que cuestiona la imparcialidad judicial con fundamento en la inadmisión y práctica de pruebas para afirmar que los hechos aducidos no constituyen sino “minucias procesales” que no menoscaban el derecho del recurrente de proponer y practicar pruebas ni tampoco afectan al sentido del fallo.</w:t>
      </w:r>
    </w:p>
    <w:p w:rsidR="005728DD" w:rsidRDefault="005728DD" w:rsidP="005728DD">
      <w:pPr>
        <w:pStyle w:val="TextoNormal"/>
      </w:pPr>
    </w:p>
    <w:p w:rsidR="005728DD" w:rsidRDefault="005728DD" w:rsidP="005728DD">
      <w:pPr>
        <w:pStyle w:val="TextoNormal"/>
      </w:pPr>
      <w:r>
        <w:t>El Ministerio Fiscal también interesa la desestimación del motivo de amparo. Las quejas específicas relativas al tratamiento de la presunción de inocencia y a la inadmisión y práctica de pruebas son analizadas, respectivamente, desde la perspectiva del derecho a la presunción de inocencia y del derecho a utilizar los medios de prueba pertinentes para la defensa (art. 24.2 CE). Tras descartar las vulneraciones de esos derechos fundamentales, rechaza, por inverosímil, la tacha de parcialidad que se anuda a ellas. Respecto de las otras tres causas que habrían comprometido la imparcialidad del tribunal, la posición del fiscal resulta de los siguientes argumentos: (i) el tratamiento en la sentencia del denominado “derecho de auto</w:t>
      </w:r>
      <w:r>
        <w:lastRenderedPageBreak/>
        <w:t>determinación” era necesario a fin de resolver sobre las vulneraciones de derechos que operarían como causa de justificación y que habían sido alegadas por las defensas. La queja expresa su discrepancia con el contenido de la sentencia en este aspecto, pero no acredita déficit alguno de imparcialidad; (ii) las denunciadas manifestaciones del tribunal sobre la “estrategia de la defensa” tuvieron su origen en la información facilitada por algunos medios de comunicación en relación, a su vez, con lo aparecido en un chat de Whatsapp de periodistas, en el que ninguno de los magistrados participaba, por lo que se trata de manifestaciones efectuadas por tercero que no sirven para afirmar que las sospechas o dudas de parcialidad se hallan objetiva y legítimamente justificadas; y, finalmente, (iii) las manifestaciones del presidente del tribunal, con ocasión de los interrogatorios de los testigos señor Pacheco y señora Garcés, se encuadran en las funciones de dirección de los debates y de práctica de la prueba testifical, tuvieron una justificación razonable y “en modo alguno alteraron la igualdad de las partes con la causación de un menoscabo o desequilibrio sensible en las facultades de alegación, acreditación, réplica y contradicción”.</w:t>
      </w:r>
    </w:p>
    <w:p w:rsidR="005728DD" w:rsidRDefault="005728DD" w:rsidP="005728DD">
      <w:pPr>
        <w:pStyle w:val="TextoNormal"/>
      </w:pPr>
    </w:p>
    <w:p w:rsidR="005728DD" w:rsidRDefault="005728DD" w:rsidP="005728DD">
      <w:pPr>
        <w:pStyle w:val="TextoNormal"/>
      </w:pPr>
      <w:r>
        <w:t>7.4.2</w:t>
      </w:r>
      <w:r w:rsidRPr="005728DD">
        <w:rPr>
          <w:i/>
        </w:rPr>
        <w:t>. Encuadramiento de las quej</w:t>
      </w:r>
      <w:r>
        <w:t>as.</w:t>
      </w:r>
    </w:p>
    <w:p w:rsidR="005728DD" w:rsidRDefault="005728DD" w:rsidP="005728DD">
      <w:pPr>
        <w:pStyle w:val="TextoNormal"/>
      </w:pPr>
    </w:p>
    <w:p w:rsidR="005728DD" w:rsidRDefault="005728DD" w:rsidP="005728DD">
      <w:pPr>
        <w:pStyle w:val="TextoNormal"/>
      </w:pPr>
      <w:r>
        <w:t>El desarrollo argumental de la demanda, en el punto concreto que examinamos, hace del derecho al juez imparcial una suerte de causa común en la que introduce, además de algunos motivos que atañen propiamente a la imparcialidad del tribunal de enjuiciamiento, un conjunto de quejas sobre la actividad jurisdiccional del citado tribunal. En el discurso del recurrente, todas aquellas decisiones de la Sala, tanto de naturaleza interlocutoria como las relativas al enjuiciamiento de fondo, contrarias a su interés e incursas en cualquier forma de infracción del ordenamiento jurídico, serían reveladoras de la falta de imparcialidad de los magistrados que colegiadamente las tomaron.</w:t>
      </w:r>
    </w:p>
    <w:p w:rsidR="005728DD" w:rsidRDefault="005728DD" w:rsidP="005728DD">
      <w:pPr>
        <w:pStyle w:val="TextoNormal"/>
      </w:pPr>
    </w:p>
    <w:p w:rsidR="005728DD" w:rsidRDefault="005728DD" w:rsidP="005728DD">
      <w:pPr>
        <w:pStyle w:val="TextoNormal"/>
      </w:pPr>
      <w:r>
        <w:t>Dicha fórmula argumental resulta inaceptable. Sin perjuicio de que este tribunal dará una respuesta a todas y cada una de esas quejas, el punto de partida para su correcto análisis reside en encuadrar cada una de ellas en el aspecto o faceta del derecho fundamental tutelable en amparo directamente afectado.</w:t>
      </w:r>
    </w:p>
    <w:p w:rsidR="005728DD" w:rsidRDefault="005728DD" w:rsidP="005728DD">
      <w:pPr>
        <w:pStyle w:val="TextoNormal"/>
      </w:pPr>
    </w:p>
    <w:p w:rsidR="005728DD" w:rsidRDefault="005728DD" w:rsidP="005728DD">
      <w:pPr>
        <w:pStyle w:val="TextoNormal"/>
      </w:pPr>
      <w:r>
        <w:t>De cuanto llevamos expuesto se desprende que, de las cinco causas indicadas, solo tres pueden encuadrarse en el marco del derecho fundamental al juez imparcial (24.2 CE). Las otras dos, a las que habría que sumar las tratadas separadamente en la demanda y que atañen a la competencia para el enjuiciamiento, a la cuestión lingüística y al mantenimiento en prisión provisional del recurrente, integrarían vulneraciones autónomas, y han de recibir, por ello, una respuesta separada.</w:t>
      </w:r>
    </w:p>
    <w:p w:rsidR="005728DD" w:rsidRDefault="005728DD" w:rsidP="005728DD">
      <w:pPr>
        <w:pStyle w:val="TextoNormal"/>
      </w:pPr>
    </w:p>
    <w:p w:rsidR="005728DD" w:rsidRDefault="005728DD" w:rsidP="005728DD">
      <w:pPr>
        <w:pStyle w:val="TextoNormal"/>
      </w:pPr>
      <w:r>
        <w:t>Concretamente, se sitúan en la órbita del derecho al juez imparcial las tachas relativas a las expresiones contenidas en la sentencia y a las manifestaciones de los magistrados integrantes de la sala de enjuiciamiento fuera y dentro de la sala. En cambio, las que conciernen al tratamiento de la presunción de inocencia y a la admisión y práctica de la prueba han de analizarse, respectivamente, como denuncias de vulneraciones del derecho a la presunción de inocencia y del derecho a la prueba (art. 24.2 CE).</w:t>
      </w:r>
    </w:p>
    <w:p w:rsidR="005728DD" w:rsidRDefault="005728DD" w:rsidP="005728DD">
      <w:pPr>
        <w:pStyle w:val="TextoNormal"/>
      </w:pPr>
    </w:p>
    <w:p w:rsidR="005728DD" w:rsidRDefault="005728DD" w:rsidP="005728DD">
      <w:pPr>
        <w:pStyle w:val="TextoNormal"/>
      </w:pPr>
      <w:r>
        <w:t>Recapitulando, a fin de aclarar el orden de examen en esta sentencia de los motivos de amparo agrupados bajo esta denominación común de “derecho al juez imparcial”, anuncia</w:t>
      </w:r>
      <w:r>
        <w:lastRenderedPageBreak/>
        <w:t>mos lo siguiente: (i) las quejas relativas a la competencia para el enjuiciamiento y a la cuestión lingüística han sido ya examinadas en fundamentos precedentes; (ii) la que versa sobre el derecho a la presunción de inocencia será analizada en el siguiente fundamento jurídico; (iii) abordamos a continuación las que restan y hemos encuadrado en la materia de imparcialidad y que cuestionan la misma por razón del contenido de la sentencia y del comportamiento del tribunal durante el juicio; y (iv) añadiremos al final de este mismo fundamento algunas consideraciones sobre las alegaciones del recurrente desde las perspectivas de la igualdad de armas en el proceso y del derecho a la prueba, además de incluir una reseña a propósito de la denunciada filtración de la opinión de los magistrados sobre la estrategia de la defensa durante el juicio oral.</w:t>
      </w:r>
    </w:p>
    <w:p w:rsidR="005728DD" w:rsidRDefault="005728DD" w:rsidP="005728DD">
      <w:pPr>
        <w:pStyle w:val="TextoNormal"/>
      </w:pPr>
    </w:p>
    <w:p w:rsidR="005728DD" w:rsidRDefault="005728DD" w:rsidP="005728DD">
      <w:pPr>
        <w:pStyle w:val="TextoNormal"/>
      </w:pPr>
      <w:r>
        <w:t>7.4.3</w:t>
      </w:r>
      <w:r w:rsidRPr="005728DD">
        <w:rPr>
          <w:i/>
        </w:rPr>
        <w:t>. Inadmisibilidad de las quejas relativas a las manifestaciones del tribunal dentro y fuera de la sa</w:t>
      </w:r>
      <w:r>
        <w:t>la.</w:t>
      </w:r>
    </w:p>
    <w:p w:rsidR="005728DD" w:rsidRDefault="005728DD" w:rsidP="005728DD">
      <w:pPr>
        <w:pStyle w:val="TextoNormal"/>
      </w:pPr>
    </w:p>
    <w:p w:rsidR="005728DD" w:rsidRDefault="005728DD" w:rsidP="005728DD">
      <w:pPr>
        <w:pStyle w:val="TextoNormal"/>
      </w:pPr>
      <w:r>
        <w:t>De las tres quejas que hemos considerado encuadrables en el derecho a un juez imparcial (art. 24.2 CE), las dos últimas, relativas las manifestaciones de los magistrados integrantes de la sala de enjuiciamiento fuera y dentro de la sala, incurren en la causa de inadmisión prevista en el art. 50.1 a) LOTC, en relación con el art. 44.1 c) LOTC, y con el art. 223.1 LOPJ, cuando señala que la recusación “deberá proponerse tan pronto como se tenga conocimiento de la causa en que se funde, pues, en otro caso, no se admitirá a trámite”.</w:t>
      </w:r>
    </w:p>
    <w:p w:rsidR="005728DD" w:rsidRDefault="005728DD" w:rsidP="005728DD">
      <w:pPr>
        <w:pStyle w:val="TextoNormal"/>
      </w:pPr>
    </w:p>
    <w:p w:rsidR="005728DD" w:rsidRDefault="005728DD" w:rsidP="005728DD">
      <w:pPr>
        <w:pStyle w:val="TextoNormal"/>
      </w:pPr>
      <w:r>
        <w:t>Al respecto, hemos de recordar que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w:t>
      </w:r>
    </w:p>
    <w:p w:rsidR="005728DD" w:rsidRDefault="005728DD" w:rsidP="005728DD">
      <w:pPr>
        <w:pStyle w:val="TextoNormal"/>
      </w:pPr>
    </w:p>
    <w:p w:rsidR="005728DD" w:rsidRDefault="005728DD" w:rsidP="005728DD">
      <w:pPr>
        <w:pStyle w:val="TextoNormal"/>
      </w:pPr>
      <w:r>
        <w:t>Como declaramos en la tantas veces citada STC 91/2021,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005728DD" w:rsidRDefault="005728DD" w:rsidP="005728DD">
      <w:pPr>
        <w:pStyle w:val="TextoNormal"/>
      </w:pPr>
    </w:p>
    <w:p w:rsidR="005728DD" w:rsidRDefault="005728DD" w:rsidP="005728DD">
      <w:pPr>
        <w:pStyle w:val="TextoNormal"/>
      </w:pPr>
      <w:r>
        <w:t>Un análisis de las actuaciones pone de manifiesto que los motivos indicados no fueron articulados en el momento procesal oportuno a través del cauce procesal indicado por la ley.</w:t>
      </w:r>
    </w:p>
    <w:p w:rsidR="005728DD" w:rsidRDefault="005728DD" w:rsidP="005728DD">
      <w:pPr>
        <w:pStyle w:val="TextoNormal"/>
      </w:pPr>
    </w:p>
    <w:p w:rsidR="005728DD" w:rsidRDefault="005728DD" w:rsidP="005728DD">
      <w:pPr>
        <w:pStyle w:val="TextoNormal"/>
      </w:pPr>
      <w:r>
        <w:t>En el escrito por el que la representación procesal del señor Cuixart promovió el incidente de nulidad de actuaciones contra la sentencia, bajo la rúbrica del “derecho fundamental a un proceso con todas las garantías y a un juez predeterminado por la ley independiente e imparcial”, se denunció como motivo principal la ausencia de neutralidad política de la Sala a consecuencia de las expresiones contenidas en la sentencia sobre el derecho a decidir, a lo que se agregaba, como “hechos procesales […] que complementan” la perspectiva expuesta, la modificación del criterio de competencia, la resolución de la cuestión relativa a los derechos lingüísticos, la decisión sobre medios de prueba, la forma en que el tribunal abordó los interrogatorios de los testigos de la defensa, las opiniones del tribunal en cuanto a la estrategia de la defensa, el mantenimiento de la prisión provisional del recurrente y la forma de abordar la presunción de inocencia. A la vulneración de este último derecho fundamental, sin embargo, dedicó un apartado independiente.</w:t>
      </w:r>
    </w:p>
    <w:p w:rsidR="005728DD" w:rsidRDefault="005728DD" w:rsidP="005728DD">
      <w:pPr>
        <w:pStyle w:val="TextoNormal"/>
      </w:pPr>
    </w:p>
    <w:p w:rsidR="005728DD" w:rsidRDefault="005728DD" w:rsidP="005728DD">
      <w:pPr>
        <w:pStyle w:val="TextoNormal"/>
      </w:pPr>
      <w:r>
        <w:t>Al margen de la alegación relativa a la presunción de inocencia, que tuvo un tratamiento separado (apartado 2.3), la respuesta específica del Tribunal Supremo, contenida en el fundamento jurídico 2.2 del auto de 29 de enero de 2020, se centró, como veremos, en la cuestión relativa a la denunciada ausencia de neutralidad política o ideológica. La razón es que esta causa surge a raíz del contenido de la propia sentencia, de modo que no pudo denunciarse con anterioridad.</w:t>
      </w:r>
    </w:p>
    <w:p w:rsidR="005728DD" w:rsidRDefault="005728DD" w:rsidP="005728DD">
      <w:pPr>
        <w:pStyle w:val="TextoNormal"/>
      </w:pPr>
    </w:p>
    <w:p w:rsidR="005728DD" w:rsidRDefault="005728DD" w:rsidP="005728DD">
      <w:pPr>
        <w:pStyle w:val="TextoNormal"/>
      </w:pPr>
      <w:r>
        <w:t>En cambio, en lo que ahora interesa y con independencia de que el correcto encuadramiento de esas otras quejas nos lleve a darles una respuesta de fondo desde la perspectiva de otro derecho fundamental o de otra faceta del mismo derecho, las causas que ponen en cuestión la imparcialidad por el comportamiento del tribunal durante el juicio debieron hacerse valer por medio de la recusación de los magistrados concernidos tan pronto tuvieron lugar las conductas que se tachan.</w:t>
      </w:r>
    </w:p>
    <w:p w:rsidR="005728DD" w:rsidRDefault="005728DD" w:rsidP="005728DD">
      <w:pPr>
        <w:pStyle w:val="TextoNormal"/>
      </w:pPr>
    </w:p>
    <w:p w:rsidR="005728DD" w:rsidRDefault="005728DD" w:rsidP="005728DD">
      <w:pPr>
        <w:pStyle w:val="TextoNormal"/>
      </w:pPr>
      <w:r>
        <w:t xml:space="preserve">Debemos insistir en que la exigencia de recusación no obedece a un entendimiento formalista del principio de subsidiariedad. Como hemos señalado, el instrumento de la recusación comprende una serie de garantías tendentes a asegurar el acierto de la decisión que son relevantes y no hemos de obviar, como son la audiencia del recusado y partes, la posibilidad de practicar prueba y la atribución de la decisión a un órgano judicial especialmente diseñado al efecto por la ley —en este caso, la Sala del art. 61 LOPJ—. Pero, sobre todo, este incidente constituye el único cauce que posibilita la reparación temprana e </w:t>
      </w:r>
      <w:r w:rsidRPr="005728DD">
        <w:rPr>
          <w:i/>
        </w:rPr>
        <w:t>in natura</w:t>
      </w:r>
      <w:r>
        <w:t xml:space="preserve"> de una eventual vulneración del derecho fundamental al juez imparcial (art. 24.2 CE). Por estas “poderosas razones” (en palabras de la citada STC 140/2004, FJ 5), no es admisible la denuncia tardía de la vulneración de dicho derecho fundamental con el objeto de obtener, no el apartamiento del juez cuya imparcialidad se entienda comprometida, sino la anulación de la resolución en la que dicho juez hubiera intervenido y que fuera desfavorable para el denunciante.</w:t>
      </w:r>
    </w:p>
    <w:p w:rsidR="005728DD" w:rsidRDefault="005728DD" w:rsidP="005728DD">
      <w:pPr>
        <w:pStyle w:val="TextoNormal"/>
      </w:pPr>
    </w:p>
    <w:p w:rsidR="005728DD" w:rsidRDefault="005728DD" w:rsidP="005728DD">
      <w:pPr>
        <w:pStyle w:val="TextoNormal"/>
      </w:pPr>
      <w:r>
        <w:t>Como se expresaba, el óbice afecta a la queja que tiene por causa el comportamiento del tribunal durante el juicio oral, pero no comprende el primero de los motivos examinados, pues la causa de esa denunciada pérdida de imparcialidad no pudo conocerse sino desde el momento en que se notificó la sentencia.</w:t>
      </w:r>
    </w:p>
    <w:p w:rsidR="005728DD" w:rsidRDefault="005728DD" w:rsidP="005728DD">
      <w:pPr>
        <w:pStyle w:val="TextoNormal"/>
      </w:pPr>
    </w:p>
    <w:p w:rsidR="005728DD" w:rsidRDefault="005728DD" w:rsidP="005728DD">
      <w:pPr>
        <w:pStyle w:val="TextoNormal"/>
      </w:pPr>
      <w:r>
        <w:t>7.4</w:t>
      </w:r>
      <w:r w:rsidRPr="005728DD">
        <w:rPr>
          <w:i/>
        </w:rPr>
        <w:t>.4. Sobre la queja relativa al contenido político de la sente</w:t>
      </w:r>
      <w:r>
        <w:t>ncia.</w:t>
      </w:r>
    </w:p>
    <w:p w:rsidR="005728DD" w:rsidRDefault="005728DD" w:rsidP="005728DD">
      <w:pPr>
        <w:pStyle w:val="TextoNormal"/>
      </w:pPr>
    </w:p>
    <w:p w:rsidR="005728DD" w:rsidRDefault="005728DD" w:rsidP="005728DD">
      <w:pPr>
        <w:pStyle w:val="TextoNormal"/>
      </w:pPr>
      <w:r>
        <w:t>7.4.4.1</w:t>
      </w:r>
      <w:r w:rsidRPr="005728DD">
        <w:rPr>
          <w:i/>
        </w:rPr>
        <w:t>. Respuesta del órgano judici</w:t>
      </w:r>
      <w:r>
        <w:t>al.</w:t>
      </w:r>
    </w:p>
    <w:p w:rsidR="005728DD" w:rsidRDefault="005728DD" w:rsidP="005728DD">
      <w:pPr>
        <w:pStyle w:val="TextoNormal"/>
      </w:pPr>
    </w:p>
    <w:p w:rsidR="005728DD" w:rsidRDefault="005728DD" w:rsidP="005728DD">
      <w:pPr>
        <w:pStyle w:val="TextoNormal"/>
      </w:pPr>
      <w:r>
        <w:t>Una vez que ha quedado acotado el objeto de nuestro enjuiciamiento a la queja relativa a la supuesta pérdida de la imparcialidad puesta de manifiesto por las “expresiones políticas” y el tratamiento del “derecho de autodeterminación” en la sentencia recurrida en amparo, comenzamos su examen con reproducción de la respuesta judicial que obtuvo la misma.</w:t>
      </w:r>
    </w:p>
    <w:p w:rsidR="005728DD" w:rsidRDefault="005728DD" w:rsidP="005728DD">
      <w:pPr>
        <w:pStyle w:val="TextoNormal"/>
      </w:pPr>
    </w:p>
    <w:p w:rsidR="005728DD" w:rsidRDefault="005728DD" w:rsidP="005728DD">
      <w:pPr>
        <w:pStyle w:val="TextoNormal"/>
      </w:pPr>
      <w:r>
        <w:t>Como se anticipó, la tacha recibió una respuesta expresa del tribunal sentenciador en el fundamento jurídico 2.2 del auto de 29 de enero de 2020 que resolvió los incidentes de nulidad de actuaciones promovidos contra aquella. Dice así:</w:t>
      </w:r>
    </w:p>
    <w:p w:rsidR="005728DD" w:rsidRDefault="005728DD" w:rsidP="005728DD">
      <w:pPr>
        <w:pStyle w:val="TextoNormal"/>
      </w:pPr>
    </w:p>
    <w:p w:rsidR="005728DD" w:rsidRDefault="005728DD" w:rsidP="005728DD">
      <w:pPr>
        <w:pStyle w:val="TextoNormal"/>
      </w:pPr>
      <w:r>
        <w:t>“Las alegaciones relativas a la vulneración del derecho fundamental a un proceso con todas las garantías y a un juez predeterminado por la ley independiente e imparcial, amparadas en una supuesta ‘perspectiva ideológica previa’ de los miembros de este tribunal, carecen de fundamento. Las meras apreciaciones subjetivas de la parte no pueden constituir sustento suficiente para afectar a la apariencia de imparcialidad de esta Sala.</w:t>
      </w:r>
    </w:p>
    <w:p w:rsidR="005728DD" w:rsidRDefault="005728DD" w:rsidP="005728DD">
      <w:pPr>
        <w:pStyle w:val="TextoNormal"/>
      </w:pPr>
    </w:p>
    <w:p w:rsidR="005728DD" w:rsidRDefault="005728DD" w:rsidP="005728DD">
      <w:pPr>
        <w:pStyle w:val="TextoNormal"/>
      </w:pPr>
      <w:r>
        <w:t>La discrepancia legítima sobre el análisis que la sentencia realiza acerca de cuestiones como el ‘derecho a decidir’ o el derecho a la autodeterminación, difícilmente puede fundar la parcialidad alegada. El análisis de esta cuestión viene motivado —como se explica en dicha resolución— por la necesidad de resolver las posibles vulneraciones de derechos que operarían como causa de justificación y que habían sido alegadas, de una forma u otra, por las defensas. Sorprende, pues, que en el escrito presentado se afirme que dicha cuestión ‘no forma parte del objeto del juicio penal y que no es ni pertinente ni necesaria en un análisis sobre hechos y aplicación de la ley penal como el que corresponde a un tribunal de la jurisdicción penal’, tratando así de imputar a esta Sala ‘un exceso’ que, como hemos dicho, carece de fundamento”.</w:t>
      </w:r>
    </w:p>
    <w:p w:rsidR="005728DD" w:rsidRDefault="005728DD" w:rsidP="005728DD">
      <w:pPr>
        <w:pStyle w:val="TextoNormal"/>
      </w:pPr>
    </w:p>
    <w:p w:rsidR="005728DD" w:rsidRDefault="005728DD" w:rsidP="005728DD">
      <w:pPr>
        <w:pStyle w:val="TextoNormal"/>
      </w:pPr>
      <w:r>
        <w:t>7.4.4</w:t>
      </w:r>
      <w:r w:rsidRPr="005728DD">
        <w:rPr>
          <w:i/>
        </w:rPr>
        <w:t>.2. Resolución de la q</w:t>
      </w:r>
      <w:r>
        <w:t>ueja.</w:t>
      </w:r>
    </w:p>
    <w:p w:rsidR="005728DD" w:rsidRDefault="005728DD" w:rsidP="005728DD">
      <w:pPr>
        <w:pStyle w:val="TextoNormal"/>
      </w:pPr>
    </w:p>
    <w:p w:rsidR="005728DD" w:rsidRDefault="005728DD" w:rsidP="005728DD">
      <w:pPr>
        <w:pStyle w:val="TextoNormal"/>
      </w:pPr>
      <w:r>
        <w:t>Las razones ofrecidas por el Tribunal Supremo al contestar la queja resultan, a juicio de este tribunal, suficientes a fin de rechazar la misma. Añadimos, no obstante, las siguientes consideraciones:</w:t>
      </w:r>
    </w:p>
    <w:p w:rsidR="005728DD" w:rsidRDefault="005728DD" w:rsidP="005728DD">
      <w:pPr>
        <w:pStyle w:val="TextoNormal"/>
      </w:pPr>
    </w:p>
    <w:p w:rsidR="005728DD" w:rsidRDefault="005728DD" w:rsidP="005728DD">
      <w:pPr>
        <w:pStyle w:val="TextoNormal"/>
      </w:pPr>
      <w:r>
        <w:t xml:space="preserve">a) La neutralidad ideológica o política no constituye una exigencia derivada la imparcialidad judicial [STC 162/1999, de 27 de septiembre, FJ 8 b)]. Lo que esta impone es que las convicciones personales del juez no se erijan en ideas preconcebidas, prevenciones o prejuicios en su ánimo que puedan incidir en la decisión que deba adoptar, suplantado el sometimiento al ordenamiento jurídico como exclusivo criterio de juicio. Y la imparcialidad judicial se presume. La parte recurrente deduce el alegado “prejuicio ideológico” no de lo dicho o hecho por los magistrados integrantes de la Sala con anterioridad, con ocasión de su intervención en el proceso que examinamos o al margen del mismo, sino a partir del contenido de la propia sentencia, expresión del juicio del tribunal sobre la cuestión sometida a su decisión. Esta forma de argumentar es metodológicamente incorrecta, pues no es posible tachar de “prejuicio” lo que es ya “juicio”. Dicho en otros términos, la inferencia de una </w:t>
      </w:r>
      <w:r>
        <w:lastRenderedPageBreak/>
        <w:t>determinada “toma de postura previa” o “prejuicio” no puede hacerse exclusivamente a partir del contenido de la decisión definitiva resultante de la acción de juzgar.</w:t>
      </w:r>
    </w:p>
    <w:p w:rsidR="005728DD" w:rsidRDefault="005728DD" w:rsidP="005728DD">
      <w:pPr>
        <w:pStyle w:val="TextoNormal"/>
      </w:pPr>
    </w:p>
    <w:p w:rsidR="005728DD" w:rsidRDefault="005728DD" w:rsidP="005728DD">
      <w:pPr>
        <w:pStyle w:val="TextoNormal"/>
      </w:pPr>
      <w:r>
        <w:t>b) El recurrente insiste en que la sala sentenciadora ha dejado constancia en la sentencia de una determinada posición política o ideológica. Este punto de partida es incierto.</w:t>
      </w:r>
    </w:p>
    <w:p w:rsidR="005728DD" w:rsidRDefault="005728DD" w:rsidP="005728DD">
      <w:pPr>
        <w:pStyle w:val="TextoNormal"/>
      </w:pPr>
    </w:p>
    <w:p w:rsidR="005728DD" w:rsidRDefault="005728DD" w:rsidP="005728DD">
      <w:pPr>
        <w:pStyle w:val="TextoNormal"/>
      </w:pPr>
      <w:r>
        <w:t>A lo largo de esas más de veinte páginas que la sentencia dedica al “‘derecho a decidir’ como pretendida causa de exclusión de la antijuridicidad” [apartado 17.1 del fundamento de Derecho A)], la sala sentenciadora no expresa su opinión ideológica o política sino su posición sobre una determinada cuestión jurídica que había sido suscitada por las partes. Se podrá discrepar de esta posición, de la calidad de la argumentación y del acierto de la conclusión alcanzada, pero no es posible identificar en todo el contenido de este fragmento expresión alguna que permita identificar una determinada postura ideológica o política por parte del tribunal de enjuiciamiento.</w:t>
      </w:r>
    </w:p>
    <w:p w:rsidR="005728DD" w:rsidRDefault="005728DD" w:rsidP="005728DD">
      <w:pPr>
        <w:pStyle w:val="TextoNormal"/>
      </w:pPr>
    </w:p>
    <w:p w:rsidR="005728DD" w:rsidRDefault="005728DD" w:rsidP="005728DD">
      <w:pPr>
        <w:pStyle w:val="TextoNormal"/>
      </w:pPr>
      <w:r>
        <w:t>c) Como señala el ministerio público, la queja expresa la discrepancia del recurrente con el contenido de la sentencia en este aspecto, pero no acredita déficit alguno de imparcialidad en los magistrados que la dictaron.</w:t>
      </w:r>
    </w:p>
    <w:p w:rsidR="005728DD" w:rsidRDefault="005728DD" w:rsidP="005728DD">
      <w:pPr>
        <w:pStyle w:val="TextoNormal"/>
      </w:pPr>
    </w:p>
    <w:p w:rsidR="005728DD" w:rsidRDefault="005728DD" w:rsidP="005728DD">
      <w:pPr>
        <w:pStyle w:val="TextoNormal"/>
      </w:pPr>
      <w:r>
        <w:t>La sentencia no solo no expresa una “posición política sobre la cuestión de la plurinacionalidad o uninacionalidad del Estado español”, que es lo que la demanda de amparo reprocha a la misma, sino que, como se encarga de reiterar la sala de enjuiciamiento y este tribunal constata, ese tema es absolutamente extraño al objeto de este proceso, y pese a los intentos de algunas de las partes de resaltar lo contrario, ha permanecido así, ajeno al debate judicial, durante todas sus fases. El fallo no es fruto de una posición ideológica o política de los miembros del tribunal sentenciador sino el resultado de una compleja labor de fijación de los hechos y de una extensa reflexión jurídica.</w:t>
      </w:r>
    </w:p>
    <w:p w:rsidR="005728DD" w:rsidRDefault="005728DD" w:rsidP="005728DD">
      <w:pPr>
        <w:pStyle w:val="TextoNormal"/>
      </w:pPr>
    </w:p>
    <w:p w:rsidR="005728DD" w:rsidRDefault="005728DD" w:rsidP="005728DD">
      <w:pPr>
        <w:pStyle w:val="TextoNormal"/>
      </w:pPr>
      <w:r>
        <w:t>7</w:t>
      </w:r>
      <w:r w:rsidRPr="005728DD">
        <w:rPr>
          <w:i/>
        </w:rPr>
        <w:t>.5. Consideraciones sobre la igualdad de partes en el proceso, el derecho a la pr</w:t>
      </w:r>
      <w:r>
        <w:t>ueb</w:t>
      </w:r>
      <w:r w:rsidRPr="005728DD">
        <w:rPr>
          <w:i/>
        </w:rPr>
        <w:t>a y la filtración de la supuesta opinión de los magistr</w:t>
      </w:r>
      <w:r>
        <w:t>a</w:t>
      </w:r>
      <w:r w:rsidRPr="005728DD">
        <w:rPr>
          <w:i/>
        </w:rPr>
        <w:t>dos sobre la estrategia de la def</w:t>
      </w:r>
      <w:r>
        <w:t>ensa.</w:t>
      </w:r>
    </w:p>
    <w:p w:rsidR="005728DD" w:rsidRDefault="005728DD" w:rsidP="005728DD">
      <w:pPr>
        <w:pStyle w:val="TextoNormal"/>
      </w:pPr>
    </w:p>
    <w:p w:rsidR="005728DD" w:rsidRDefault="005728DD" w:rsidP="005728DD">
      <w:pPr>
        <w:pStyle w:val="TextoNormal"/>
      </w:pPr>
      <w:r>
        <w:t>7.5.1</w:t>
      </w:r>
      <w:r w:rsidRPr="005728DD">
        <w:rPr>
          <w:i/>
        </w:rPr>
        <w:t>. Derecho a la igualdad de armas en el proce</w:t>
      </w:r>
      <w:r>
        <w:t>so.</w:t>
      </w:r>
    </w:p>
    <w:p w:rsidR="005728DD" w:rsidRDefault="005728DD" w:rsidP="005728DD">
      <w:pPr>
        <w:pStyle w:val="TextoNormal"/>
      </w:pPr>
    </w:p>
    <w:p w:rsidR="005728DD" w:rsidRDefault="005728DD" w:rsidP="005728DD">
      <w:pPr>
        <w:pStyle w:val="TextoNormal"/>
      </w:pPr>
      <w:r>
        <w:t>Como anticipábamos, las alegaciones del recurrente que cuestionan la imparcialidad —“predisposición negativa” dice la demanda— del tribunal de enjuiciamiento por el comportamiento de su presidente en el acto del juicio oral con ocasión del interrogatorio de dos testigos, pudieran encuadrarse en esta faceta del derecho fundamental a un proceso judicial con todas las garantías (art. 24.2 CE) (STC 130/2002, de 3 de junio).</w:t>
      </w:r>
    </w:p>
    <w:p w:rsidR="005728DD" w:rsidRDefault="005728DD" w:rsidP="005728DD">
      <w:pPr>
        <w:pStyle w:val="TextoNormal"/>
      </w:pPr>
    </w:p>
    <w:p w:rsidR="005728DD" w:rsidRDefault="005728DD" w:rsidP="005728DD">
      <w:pPr>
        <w:pStyle w:val="TextoNormal"/>
      </w:pPr>
      <w:r>
        <w:t xml:space="preserve">Muy sintéticamente conviene recordar que la igualdad de partes en el proceso constituye un principio constitucional integrado en el objeto del derecho a un proceso judicial con todas las garantías (art. 24.2 CE) y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w:t>
      </w:r>
      <w:r>
        <w:lastRenderedPageBreak/>
        <w:t>procesal distinto que resulte razonable, y sea adoptado con el fin precisamente de restablecer dichos equilibrio e igualdad (STC 101/1989, de 5 de junio, FJ 4)” (STC 130/2002, FJ 3).</w:t>
      </w:r>
    </w:p>
    <w:p w:rsidR="005728DD" w:rsidRDefault="005728DD" w:rsidP="005728DD">
      <w:pPr>
        <w:pStyle w:val="TextoNormal"/>
      </w:pPr>
    </w:p>
    <w:p w:rsidR="005728DD" w:rsidRDefault="005728DD" w:rsidP="005728DD">
      <w:pPr>
        <w:pStyle w:val="TextoNormal"/>
      </w:pPr>
      <w:r>
        <w:t>La STC 91/2021, en su fundamento jurídico sexto, dedicado a la alegada vulneración de este mismo derecho fundamental, valoró expresamente desde esta perspectiva, entre otros, el episodio del juicio oral que alega el demandante de amparo relativo al interrogatorio de la testigo doña Marina Garcés, materia a la que la sentencia recurrida dedica el apartado 16.3.3 del fundamento de Derecho A).</w:t>
      </w:r>
    </w:p>
    <w:p w:rsidR="005728DD" w:rsidRDefault="005728DD" w:rsidP="005728DD">
      <w:pPr>
        <w:pStyle w:val="TextoNormal"/>
      </w:pPr>
    </w:p>
    <w:p w:rsidR="005728DD" w:rsidRDefault="005728DD" w:rsidP="005728DD">
      <w:pPr>
        <w:pStyle w:val="TextoNormal"/>
      </w:pPr>
      <w:r>
        <w:t>Al respecto, además de remitirnos a lo que allí se expuso, lo que incluye la reseña pormenorizada de la respuesta dada por el Tribunal Supremo ante la alegación efectuada por otros procesados, reiteramos que, como concluimos entonces, este tribunal constata que no existió trato peyorativo hacia la defensa.</w:t>
      </w:r>
    </w:p>
    <w:p w:rsidR="005728DD" w:rsidRDefault="005728DD" w:rsidP="005728DD">
      <w:pPr>
        <w:pStyle w:val="TextoNormal"/>
      </w:pPr>
    </w:p>
    <w:p w:rsidR="005728DD" w:rsidRDefault="005728DD" w:rsidP="005728DD">
      <w:pPr>
        <w:pStyle w:val="TextoNormal"/>
      </w:pPr>
      <w:r>
        <w:t>Señalábamos allí que más allá de que todas y cada una de las valoraciones efectuadas sobre tales eventualidades han recibido una respuesta explícita en la sentencia recurrida, del acierto de tales respuestas (en términos de ajuste a la norma procesal), y de que, como también constatamos, esas incidencias carecen de relevancia para la formación del relato fáctico del que dimana la condena, estimamos que tales acontecimientos, valorados en su conjunto y en el contexto de todo el juicio oral, resultan manifiestamente insuficientes para fundar la existencia de un trato desfavorable.</w:t>
      </w:r>
    </w:p>
    <w:p w:rsidR="005728DD" w:rsidRDefault="005728DD" w:rsidP="005728DD">
      <w:pPr>
        <w:pStyle w:val="TextoNormal"/>
      </w:pPr>
    </w:p>
    <w:p w:rsidR="005728DD" w:rsidRDefault="005728DD" w:rsidP="005728DD">
      <w:pPr>
        <w:pStyle w:val="TextoNormal"/>
      </w:pPr>
      <w:r>
        <w:t>Tras repasar las respuestas dadas por el Tribunal Supremo a cada una de las quejas planteadas al respecto, concluíamos que ninguno de estos acontecimientos, considerados aisladamente, tiene la entidad suficiente como para deducir una quiebra de la imparcialidad judicial. Tomados conjuntamente y en el contexto del juicio, la tacha se desvanece por completo.</w:t>
      </w:r>
    </w:p>
    <w:p w:rsidR="005728DD" w:rsidRDefault="005728DD" w:rsidP="005728DD">
      <w:pPr>
        <w:pStyle w:val="TextoNormal"/>
      </w:pPr>
    </w:p>
    <w:p w:rsidR="005728DD" w:rsidRDefault="005728DD" w:rsidP="005728DD">
      <w:pPr>
        <w:pStyle w:val="TextoNormal"/>
      </w:pPr>
      <w:r>
        <w:t>Concretamente, respecto del interrogatorio de la testigo doña Marina Garcés, la sentencia impugnada, tras razonar extensamente sobre la irrelevancia para el juicio de las valoraciones personales de los testigos, se refiere específicamente a dicho interrogatorio. Reproduce reiteradas alusiones a sus percepciones personales o sentimientos (“teníamos la sensación de una curiosidad compartida […] que entrábamos en una nueva situación política”; “en ningún momento tuve la sensación de inquietud […] o de alarma”; “estupefacción y sorpresa generalizada”, “deshacer la inquietud y el miedo”; y “prohibición incomprensible y triste”, en relación con las resoluciones del Tribunal Constitucional) en respuesta a preguntas que “en ningún caso, fueron declaradas impertinentes, pese a su manifiesta irrelevancia”. Acto seguido explica la interrupción del presidente “en el momento en el que el testimonio llega a un punto en el que la declarante pretende explicar su grado de alucinación sobre lo que aconteció el 1 de octubre (‘yo aluciné’)”, por entender que la declaración no versaba sobre hechos sino sobre valoraciones personales, que no interesan al enjuiciamiento.</w:t>
      </w:r>
    </w:p>
    <w:p w:rsidR="005728DD" w:rsidRDefault="005728DD" w:rsidP="005728DD">
      <w:pPr>
        <w:pStyle w:val="TextoNormal"/>
      </w:pPr>
    </w:p>
    <w:p w:rsidR="005728DD" w:rsidRDefault="005728DD" w:rsidP="005728DD">
      <w:pPr>
        <w:pStyle w:val="TextoNormal"/>
      </w:pPr>
      <w:r>
        <w:t>Concluye este apartado el Tribunal Supremo con la justificación de la expresión “correcto. Mucho mejor”, empleada por la presidencia cuando el letrado puso fin al interrogatorio de la señora Garcés. Y señala que su testimonio fue “manifiestamente prescindible”. “Nada de lo que dijo, nada de lo que valoró, nada de lo que respondió […] ha tenido influencia en la proclamación de los hechos probados”.</w:t>
      </w:r>
    </w:p>
    <w:p w:rsidR="005728DD" w:rsidRDefault="005728DD" w:rsidP="005728DD">
      <w:pPr>
        <w:pStyle w:val="TextoNormal"/>
      </w:pPr>
    </w:p>
    <w:p w:rsidR="005728DD" w:rsidRDefault="005728DD" w:rsidP="005728DD">
      <w:pPr>
        <w:pStyle w:val="TextoNormal"/>
      </w:pPr>
      <w:r>
        <w:lastRenderedPageBreak/>
        <w:t>Más adelante, retoma el tribunal sentenciador el interrogatorio de doña Marina Garcés, para explicar por qué no se permitió a la citada testigo consultar notas escritas, lo que había sido criticado por alguna de las defensas. Según la sentencia de la Sala de lo Penal del Tribunal Supremo, en el caso de la señora Garcés, no se trató del empleo de “unas notas que le sirvan para refrescar la memoria respecto de datos de difícil evocación”, sino de que se valió de “un guion en el que se transcribe hasta el tiempo que hacía que ‘[…] no se tomaba un café’ con el señor Cuixart, su estado febril o el grado de alucinación que le produjo la prohibición jurisdiccional del referéndum del 1 de octubre”.</w:t>
      </w:r>
    </w:p>
    <w:p w:rsidR="005728DD" w:rsidRDefault="005728DD" w:rsidP="005728DD">
      <w:pPr>
        <w:pStyle w:val="TextoNormal"/>
      </w:pPr>
    </w:p>
    <w:p w:rsidR="005728DD" w:rsidRDefault="005728DD" w:rsidP="005728DD">
      <w:pPr>
        <w:pStyle w:val="TextoNormal"/>
      </w:pPr>
      <w:r>
        <w:t>Como destacábamos en la STC 91/2021, que seguimos, no corresponde valorar a esta jurisdicción constitucional el acierto o no de tales respuestas del tribunal sentenciador. Nuestro enjuiciamiento, mucho más limitado, se circunscribe a constatar que las quejas de la parte recurrente han recibido por parte del tribunal encargado del enjuiciamiento —insistimos en que, conforme a nuestra Constitución, se trata del órgano jurisdiccional superior en todos los órdenes, salvo lo dispuesto en materia de garantías constitucionales (art. 123.1 CE)—, una respuesta explícita, completa, razonada y razonable. La motivación expuesta, que cubre la totalidad de las protestas relativas a incidencias producidas en el debate y la dirección de este por el presidente, cumple así con el canon constitucional de razonabilidad que resulta aplicable, y elimina la sospecha de arbitrariedad y de trato desfavorable que suscita la parte recurrente. Todas y cada una de las decisiones adoptadas por el presidente en la dirección del juicio, que han merecido reproche por parte de las defensas, tienen una explicación razonada, siquiera no sea del agrado del demandante de amparo.</w:t>
      </w:r>
    </w:p>
    <w:p w:rsidR="005728DD" w:rsidRDefault="005728DD" w:rsidP="005728DD">
      <w:pPr>
        <w:pStyle w:val="TextoNormal"/>
      </w:pPr>
    </w:p>
    <w:p w:rsidR="005728DD" w:rsidRDefault="005728DD" w:rsidP="005728DD">
      <w:pPr>
        <w:pStyle w:val="TextoNormal"/>
      </w:pPr>
      <w:r>
        <w:t>Por las mismas razones expuestas, también en el supuesto examinado, los hechos que integran esta queja, según se relatan en la demanda de amparo formulada por el señor Cuixart, censurando lo que considera excesos verbales de la presidencia con ocasión del interrogatorio de los citados testigos, en el contexto de un juicio desarrollado en largas sesiones de mañana y tarde durante meses y en el que fueron interrogados más de quinientos testigos, constituyen acontecimientos no relevantes desde la perspectiva de la igualdad de armas y del derecho de defensa.</w:t>
      </w:r>
    </w:p>
    <w:p w:rsidR="005728DD" w:rsidRDefault="005728DD" w:rsidP="005728DD">
      <w:pPr>
        <w:pStyle w:val="TextoNormal"/>
      </w:pPr>
    </w:p>
    <w:p w:rsidR="005728DD" w:rsidRDefault="005728DD" w:rsidP="005728DD">
      <w:pPr>
        <w:pStyle w:val="TextoNormal"/>
      </w:pPr>
      <w:r>
        <w:t>7.5.2</w:t>
      </w:r>
      <w:r w:rsidRPr="005728DD">
        <w:rPr>
          <w:i/>
        </w:rPr>
        <w:t>. Derecho a la prue</w:t>
      </w:r>
      <w:r>
        <w:t>ba.</w:t>
      </w:r>
    </w:p>
    <w:p w:rsidR="005728DD" w:rsidRDefault="005728DD" w:rsidP="005728DD">
      <w:pPr>
        <w:pStyle w:val="TextoNormal"/>
      </w:pPr>
    </w:p>
    <w:p w:rsidR="005728DD" w:rsidRDefault="005728DD" w:rsidP="005728DD">
      <w:pPr>
        <w:pStyle w:val="TextoNormal"/>
      </w:pPr>
      <w:r>
        <w:t>Decíamos también que dentro del discurso del recurrente, según el cual todas aquellas decisiones de la Sala, contrarias a su interés e incursas en cualquier forma de infracción del ordenamiento jurídico, serían reveladoras de la falta de imparcialidad de los magistrados que las adoptaron, se integra una queja sobre las decisiones de inadmisión de determinadas pruebas y la práctica de la testifical de doña Marina Garcés. Según la demanda, la inadmisión de veinte testificales propuestas por la defensa y, especialmente, de la pericial de don Hugh Orde y don Duncan McCausland, lo que le habría provocado indefensión, en contraste con las testificales admitidas a la acusación, y la dirección por el presidente del interrogatorio de la citada señora Garcés, serían indicativas de esa misma “predisposición negativa”.</w:t>
      </w:r>
    </w:p>
    <w:p w:rsidR="005728DD" w:rsidRDefault="005728DD" w:rsidP="005728DD">
      <w:pPr>
        <w:pStyle w:val="TextoNormal"/>
      </w:pPr>
    </w:p>
    <w:p w:rsidR="005728DD" w:rsidRDefault="005728DD" w:rsidP="005728DD">
      <w:pPr>
        <w:pStyle w:val="TextoNormal"/>
      </w:pPr>
      <w:r>
        <w:t xml:space="preserve">Cabe recordar, siguiendo a la tantas veces citada STC 91/2021, FJ 7, en apretada síntesis, que para que este tribunal pueda apreciar una vulneración del derecho a la prueba, se exige que el recurrente demuestre la relación entre los hechos que se quisieron y no se pudieron probar, y las pruebas indebidamente inadmitidas o practicadas; y, por otro, que argumente de modo convincente que, si se hubieran admitido o se hubiera practicado correctamente la </w:t>
      </w:r>
      <w:r>
        <w:lastRenderedPageBreak/>
        <w:t>prueba admitida, la resolución final del proceso hubiera podido ser distinta (STC 101/1999, de 31 de mayo, FJ 5, con cita de las SSTC 147/1987, de 25 de septiembre; 357/1993, de 29 de noviembre; 1/1996, de 15 de enero; 217/1998 y 219/1998, de 16 de noviembre).</w:t>
      </w:r>
    </w:p>
    <w:p w:rsidR="005728DD" w:rsidRDefault="005728DD" w:rsidP="005728DD">
      <w:pPr>
        <w:pStyle w:val="TextoNormal"/>
      </w:pPr>
    </w:p>
    <w:p w:rsidR="005728DD" w:rsidRDefault="005728DD" w:rsidP="005728DD">
      <w:pPr>
        <w:pStyle w:val="TextoNormal"/>
      </w:pPr>
      <w:r>
        <w:t>En realidad, la queja del recurrente, en la que se incluye la simple afirmación de que tales decisiones le causaron indefensión, carece de contenido desde la perspectiva del derecho a la prueba. No se traen las razones por las que el auto de 1 de febrero de 2019, en el que la sala de enjuiciamiento resolvió sobre la proposición de prueba, rechazó dichas pruebas ni, por consiguiente, se someten a crítica. Tampoco la cuestión relativa al interrogatorio de la citada testigo, extensamente tratada en la sentencia del Tribunal Supremo [apartado 16.3.3 del fundamento de Derecho A)], es objeto de valoración crítica en la demanda. En tales circunstancias, ni es posible afirmar la existencia de indefensión, ni menos la “predisposición negativa” del tribunal de enjuiciamiento denunciada por la parte recurrente.</w:t>
      </w:r>
    </w:p>
    <w:p w:rsidR="005728DD" w:rsidRDefault="005728DD" w:rsidP="005728DD">
      <w:pPr>
        <w:pStyle w:val="TextoNormal"/>
      </w:pPr>
    </w:p>
    <w:p w:rsidR="005728DD" w:rsidRDefault="005728DD" w:rsidP="005728DD">
      <w:pPr>
        <w:pStyle w:val="TextoNormal"/>
      </w:pPr>
      <w:r>
        <w:t>7.5.3</w:t>
      </w:r>
      <w:r w:rsidRPr="005728DD">
        <w:rPr>
          <w:i/>
        </w:rPr>
        <w:t>. La filtración de la supuesta opinión de los magistrad</w:t>
      </w:r>
      <w:r>
        <w:t>o</w:t>
      </w:r>
      <w:r w:rsidRPr="005728DD">
        <w:rPr>
          <w:i/>
        </w:rPr>
        <w:t>s sobre la estrategia de la defen</w:t>
      </w:r>
      <w:r>
        <w:t>sa.</w:t>
      </w:r>
    </w:p>
    <w:p w:rsidR="005728DD" w:rsidRDefault="005728DD" w:rsidP="005728DD">
      <w:pPr>
        <w:pStyle w:val="TextoNormal"/>
      </w:pPr>
    </w:p>
    <w:p w:rsidR="005728DD" w:rsidRDefault="005728DD" w:rsidP="005728DD">
      <w:pPr>
        <w:pStyle w:val="TextoNormal"/>
      </w:pPr>
      <w:r>
        <w:t>Finalmente, una última consideración merece la alegación que pone en cuestión la imparcialidad de la sala de enjuiciamiento a partir de la información, publicada en determinados medios de comunicación, según la cual los magistrados que conformaron dicha sala habrían expresado una opinión crítica con la estrategia de la defensa del recurrente —mostrando su “profundo malestar”— durante las sesiones del juicio oral.</w:t>
      </w:r>
    </w:p>
    <w:p w:rsidR="005728DD" w:rsidRDefault="005728DD" w:rsidP="005728DD">
      <w:pPr>
        <w:pStyle w:val="TextoNormal"/>
      </w:pPr>
    </w:p>
    <w:p w:rsidR="005728DD" w:rsidRDefault="005728DD" w:rsidP="005728DD">
      <w:pPr>
        <w:pStyle w:val="TextoNormal"/>
      </w:pPr>
      <w:r>
        <w:t>El auto de 29 de enero de 2020 que desestimó el incidente de nulidad de actuaciones se refiere a esta tacha limitándose a señalar que “[e]s obvio, por último, que las informaciones periodísticas a las que alude la parte no pueden amparar una alegación como la que se formula” (último párrafo del apartado 2.2).</w:t>
      </w:r>
    </w:p>
    <w:p w:rsidR="005728DD" w:rsidRDefault="005728DD" w:rsidP="005728DD">
      <w:pPr>
        <w:pStyle w:val="TextoNormal"/>
      </w:pPr>
    </w:p>
    <w:p w:rsidR="005728DD" w:rsidRDefault="005728DD" w:rsidP="005728DD">
      <w:pPr>
        <w:pStyle w:val="TextoNormal"/>
      </w:pPr>
      <w:r>
        <w:t>Aunque escueta, la contestación anterior, es suficiente, a juicio de este tribunal, para rechazar el fundamento de esta tacha.</w:t>
      </w:r>
    </w:p>
    <w:p w:rsidR="005728DD" w:rsidRDefault="005728DD" w:rsidP="005728DD">
      <w:pPr>
        <w:pStyle w:val="TextoNormal"/>
      </w:pPr>
    </w:p>
    <w:p w:rsidR="005728DD" w:rsidRDefault="005728DD" w:rsidP="005728DD">
      <w:pPr>
        <w:pStyle w:val="TextoNormal"/>
      </w:pPr>
      <w:r>
        <w:t>No podemos tener por justificada la premisa de la que parte la queja en sentido de que la información publicada proceda de algún miembro del tribunal de enjuiciamiento o de su entorno. En segundo lugar, en tal información el “profundo malestar” que se atribuye a la sala, “según fuentes del tribunal”, aparece también conectado con el comportamiento de algunos testigos de la defensa durante su interrogatorio en una determinada sesión del juicio oral. No es posible entender acreditado, por tanto, que uno, varios o todos los magistrados integrantes de ese tribunal hayan expresado de ese modo una opinión negativa sobre la forma de conducirse la defensa del ahora demandante de amparo.</w:t>
      </w:r>
    </w:p>
    <w:p w:rsidR="005728DD" w:rsidRDefault="005728DD" w:rsidP="005728DD">
      <w:pPr>
        <w:pStyle w:val="TextoNormal"/>
      </w:pPr>
    </w:p>
    <w:p w:rsidR="005728DD" w:rsidRDefault="005728DD" w:rsidP="005728DD">
      <w:pPr>
        <w:pStyle w:val="TextoNormal"/>
      </w:pPr>
      <w:r>
        <w:t>Procede, por todo ello, desestimar el motivo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El derecho a la presunción de inocencia</w:t>
      </w:r>
      <w:r>
        <w:t>.</w:t>
      </w:r>
    </w:p>
    <w:p w:rsidR="005728DD" w:rsidRDefault="005728DD" w:rsidP="005728DD">
      <w:pPr>
        <w:pStyle w:val="TextoNormal"/>
      </w:pPr>
    </w:p>
    <w:p w:rsidR="005728DD" w:rsidRDefault="005728DD" w:rsidP="005728DD">
      <w:pPr>
        <w:pStyle w:val="TextoNormal"/>
      </w:pPr>
      <w:r>
        <w:t xml:space="preserve">8.1. </w:t>
      </w:r>
      <w:r w:rsidRPr="005728DD">
        <w:rPr>
          <w:i/>
        </w:rPr>
        <w:t>Posición de las partes</w:t>
      </w:r>
      <w:r>
        <w:t>.</w:t>
      </w:r>
    </w:p>
    <w:p w:rsidR="005728DD" w:rsidRDefault="005728DD" w:rsidP="005728DD">
      <w:pPr>
        <w:pStyle w:val="TextoNormal"/>
      </w:pPr>
    </w:p>
    <w:p w:rsidR="005728DD" w:rsidRDefault="005728DD" w:rsidP="005728DD">
      <w:pPr>
        <w:pStyle w:val="TextoNormal"/>
      </w:pPr>
      <w:r>
        <w:t xml:space="preserve">El demandante sitúa en el segundo motivo del recurso sus alegaciones sobre el indebido tratamiento del derecho a la presunción de inocencia, que no plantea formalmente como </w:t>
      </w:r>
      <w:r>
        <w:lastRenderedPageBreak/>
        <w:t>queja autónoma, sino como un factor acreditativo de la vulneración del derecho al juez imparcial que denuncia con base en múltiples causas. Sostiene aquí que la resolución impugnada carece de un apartado específico que aborde la cuestión probatoria y recoja la debida motivación del correspondiente análisis, de modo que no explica cuál es la fuente de prueba ni cómo se valora en orden a fijar el relato fáctico cuando entra en contradicción con la prueba de la defensa. Ejemplifica ese proceder contraponiendo los párrafos dedicados a explicitar la valoración probatoria en relación con su actuación en la jornada del 20 de septiembre de 2017 y los hechos declarados probados al respecto. Niega, en concreto, que las referencias a que se impidió atender la orden judicial con plena normalidad, a la existencia de disturbios o a la orientación a impedir el funcionamiento normal de la administración de justicia se siga de la prueba articulada por la defensa, sin que se expliciten las fuentes de prueba y la valoración que conducen a tales conclusiones. A su entender, ese proceder muestra un elemento de “prejuicio” determinante de la ausencia de imparcialidad subjetiva e, incluso, vulnera el deber de motivación de las resoluciones judiciales contenido en el art. 24.1 CE y el art. 6.1 CEDH.</w:t>
      </w:r>
    </w:p>
    <w:p w:rsidR="005728DD" w:rsidRDefault="005728DD" w:rsidP="005728DD">
      <w:pPr>
        <w:pStyle w:val="TextoNormal"/>
      </w:pPr>
    </w:p>
    <w:p w:rsidR="005728DD" w:rsidRDefault="005728DD" w:rsidP="005728DD">
      <w:pPr>
        <w:pStyle w:val="TextoNormal"/>
      </w:pPr>
      <w:r>
        <w:t>Desde tal valoración global, la demanda desarrolla en torno a cuatro hechos el cuestionamiento sobre los pronunciamientos fácticos que conciernen al recurrente en particular. Se defiende, en síntesis, que: a) la participación en la convocatoria del 20 de septiembre, que reconoce haber alentado y sitúa en el marco de un Estado democrático de Derecho, no impidió la diligencia judicial en la vicepresidencia del Govern; b) las otras convocatorias en esa fecha son actos de protesta, sin que se explique por qué se entienden dirigidos a impedir el funcionamiento normal de la administración de justicia, y los incidentes en el desarrollo de las distintas diligencias judiciales aparecen sobredimensionados y ayunos de prueba que permita imputárselos al demandante; c) las llamadas a la participación el 1 de octubre y la necesidad de utilizar la fuerza por parte de las fuerzas y cuerpos de seguridad del Estado que contiene el relato fáctico resulta contradictoria con la afirmación acto seguido de que más tarde tuvieron que declinar ese uso por poder devenir desproporcionado, a lo que se añade la falta de concreción de las grabaciones visionadas y valoradas para fijar lo ocurrido en los colegios electorales y, finalmente, la ausencia de un relato fáctico con la concreción y el detalle suficiente para subsumir la conducta en el tipo penal, y d) la finalidad atribuida a las movilizaciones de demostrar que los jueces habían perdido su capacidad jurisdiccional en Cataluña carece de fundamento, pues la conducta del recurrente se limita a la protesta por dos actuaciones judiciales concretas y no a cuestionar la institucionalidad judicial en su conjunto, con el añadido de que los jueces y tribunales continuaron desarrollando su función judicial con normalidad.</w:t>
      </w:r>
    </w:p>
    <w:p w:rsidR="005728DD" w:rsidRDefault="005728DD" w:rsidP="005728DD">
      <w:pPr>
        <w:pStyle w:val="TextoNormal"/>
      </w:pPr>
    </w:p>
    <w:p w:rsidR="005728DD" w:rsidRDefault="005728DD" w:rsidP="005728DD">
      <w:pPr>
        <w:pStyle w:val="TextoNormal"/>
      </w:pPr>
      <w:r>
        <w:t>El abogado del Estado opone que la demanda se limita a discrepar de la valoración de la prueba por el órgano judicial, disconformidad que no tiene soporte en derecho fundamental alguno, al tiempo que obvia el resto del relato de hechos probados e ignora las múltiples diligencias de prueba realizadas de las que se deriva. Precisa que esa prueba ha sido valorada a lo largo de la sentencia de forma motivada, aun cuando no contenga un apartado específico, como resulta del fundamento C), relativo al juicio de autoría, que analiza en su apartado 1.9 las pruebas que soportan la intervención del recurrente y que constituyen prueba de cargo suficiente para desvirtuar el derecho a la presunción de inocencia.</w:t>
      </w:r>
    </w:p>
    <w:p w:rsidR="005728DD" w:rsidRDefault="005728DD" w:rsidP="005728DD">
      <w:pPr>
        <w:pStyle w:val="TextoNormal"/>
      </w:pPr>
    </w:p>
    <w:p w:rsidR="005728DD" w:rsidRDefault="005728DD" w:rsidP="005728DD">
      <w:pPr>
        <w:pStyle w:val="TextoNormal"/>
      </w:pPr>
      <w:r>
        <w:t>El partido político Vox se limita a destacar que la sentencia detalla y motiva en todos sus apartados las conductas delictivas de todos y cada uno de los condenados.</w:t>
      </w:r>
    </w:p>
    <w:p w:rsidR="005728DD" w:rsidRDefault="005728DD" w:rsidP="005728DD">
      <w:pPr>
        <w:pStyle w:val="TextoNormal"/>
      </w:pPr>
    </w:p>
    <w:p w:rsidR="005728DD" w:rsidRDefault="005728DD" w:rsidP="005728DD">
      <w:pPr>
        <w:pStyle w:val="TextoNormal"/>
      </w:pPr>
      <w:r>
        <w:t>El fiscal descarta asimismo la vulneración del derecho a la presunción de inocencia conforme a la doctrina constitucional pertinente, con la consecuencia lógica de privar de su presupuesto a la falta de imparcialidad aducida. Defiende que ha existido una suficiente actividad probatoria de cargo, recordando la exposición de las fuentes de prueba y de su valoración por el Tribunal Supremo en el apartado 1.9 del fundamento de Derecho C) de la sentencia, dedicado al juicio de autoría del demandante. Según valora, en él se detallan asimismo los hechos que protagonizó y su intervención en un análisis motivado que debe ponerse en conexión con la valoración inicial conjunta (pág. 298) sobre la atribución a los acusados de la lesión de los bienes jurídicos en tanto que sus conductas individuales —en su caso, la actuación movilizadora a una resistencia activa y de oposición por las vías de hecho— se insertan en una estrategia delictiva, compartida desde el principio o de manera sobrevenida. El fiscal coincide con la abogacía del Estado en que los cuestionamientos fácticos que efectúa la demanda no pasan de ser un desacuerdo y una discrepancia con el relato de hechos probados, por lo que queda al margen de la competencia del Tribunal Constitucional.</w:t>
      </w:r>
    </w:p>
    <w:p w:rsidR="005728DD" w:rsidRDefault="005728DD" w:rsidP="005728DD">
      <w:pPr>
        <w:pStyle w:val="TextoNormal"/>
      </w:pPr>
    </w:p>
    <w:p w:rsidR="005728DD" w:rsidRDefault="005728DD" w:rsidP="005728DD">
      <w:pPr>
        <w:pStyle w:val="TextoNormal"/>
      </w:pPr>
      <w:r>
        <w:t xml:space="preserve">8.2. </w:t>
      </w:r>
      <w:r w:rsidRPr="005728DD">
        <w:rPr>
          <w:i/>
        </w:rPr>
        <w:t>Respuesta del órgano judicial y pronunciamientos concernidos</w:t>
      </w:r>
      <w:r>
        <w:t>.</w:t>
      </w:r>
    </w:p>
    <w:p w:rsidR="005728DD" w:rsidRDefault="005728DD" w:rsidP="005728DD">
      <w:pPr>
        <w:pStyle w:val="TextoNormal"/>
      </w:pPr>
    </w:p>
    <w:p w:rsidR="005728DD" w:rsidRDefault="005728DD" w:rsidP="005728DD">
      <w:pPr>
        <w:pStyle w:val="TextoNormal"/>
      </w:pPr>
      <w:r>
        <w:t>El auto del Tribunal Supremo de 29 de enero de 2020 desestima las alegaciones relacionadas con la posible vulneración del derecho fundamental a la presunción de inocencia que ahora se reproducen en sede de amparo en su razonamiento 2.3. Indica que las pruebas valoradas para declarar probados los hechos por los que ha sido condenado el recurrente, “se explicitan en el apartado C) de los fundamentos de Derecho, cuando se examina el juicio de autoría correspondiente (punto 1.9), e incluyen testificales, documentales, periciales y la propia declaración del acusado” y que las alegaciones “ponen de manifiesto una clara discrepancia con dicha valoración y con las inferencias que de ella se obtienen, pero ello no implica la insuficiencia de los medios de prueba analizados”.</w:t>
      </w:r>
    </w:p>
    <w:p w:rsidR="005728DD" w:rsidRDefault="005728DD" w:rsidP="005728DD">
      <w:pPr>
        <w:pStyle w:val="TextoNormal"/>
      </w:pPr>
    </w:p>
    <w:p w:rsidR="005728DD" w:rsidRDefault="005728DD" w:rsidP="005728DD">
      <w:pPr>
        <w:pStyle w:val="TextoNormal"/>
      </w:pPr>
      <w:r>
        <w:t>En el antecedente 2 p) de esta resolución se recogen con detalle los aspectos del citado fundamento C) “Juicio de Autoría” atinentes de modo expreso al recurrente (apartado 1.9), a los que debe sumarse la consideración global de los razonamientos sobre la prueba que contiene la sentencia a los que se hará alusión al analizar la queja.</w:t>
      </w:r>
    </w:p>
    <w:p w:rsidR="005728DD" w:rsidRDefault="005728DD" w:rsidP="005728DD">
      <w:pPr>
        <w:pStyle w:val="TextoNormal"/>
      </w:pPr>
    </w:p>
    <w:p w:rsidR="005728DD" w:rsidRDefault="005728DD" w:rsidP="005728DD">
      <w:pPr>
        <w:pStyle w:val="TextoNormal"/>
      </w:pPr>
      <w:r>
        <w:t xml:space="preserve">8.3. </w:t>
      </w:r>
      <w:r w:rsidRPr="005728DD">
        <w:rPr>
          <w:i/>
        </w:rPr>
        <w:t>Delimitación de la queja</w:t>
      </w:r>
      <w:r>
        <w:t>.</w:t>
      </w:r>
    </w:p>
    <w:p w:rsidR="005728DD" w:rsidRDefault="005728DD" w:rsidP="005728DD">
      <w:pPr>
        <w:pStyle w:val="TextoNormal"/>
      </w:pPr>
    </w:p>
    <w:p w:rsidR="005728DD" w:rsidRDefault="005728DD" w:rsidP="005728DD">
      <w:pPr>
        <w:pStyle w:val="TextoNormal"/>
      </w:pPr>
      <w:r>
        <w:t xml:space="preserve">Como hemos adelantado en el fundamento anterior, todavía en el motivo que denuncia la vulneración del derecho al juez imparcial trae el recurrente el tratamiento procesal de la presunción de inocencia, con invocación de los arts. 24.2 CE y 6.2 CEDH, como expresión de la falta de imparcialidad de los magistrados del Tribunal Supremo. Sin embargo, en el desarrollo posterior no se argumenta sobre la incidencia del tratamiento de la prueba del que discrepa en la garantía de imparcialidad del proceso debido. En realidad, bajo el enunciado de la queja reproduce la exposición que ya hiciera en el escrito del incidente de nulidad de actuaciones para defender la vulneración de su derecho a la presunción de inocencia, entonces planteada como lesión autónoma además de enunciada como indicio de falta de neutralidad. En su traslación literal a la demanda de amparo no se añade razonamiento alguno en orden a explicar y defender el alegado efecto de generar dudas o atestiguar la imparcialidad de los miembros del tribunal más allá de su inicial clasificación como elemento encuadrable </w:t>
      </w:r>
      <w:r>
        <w:lastRenderedPageBreak/>
        <w:t>en la ausencia de imparcialidad subjetiva revelador de un prejuicio. En atención a tal contenido impugnativo, la vulneración del derecho a la presunción de inocencia se analiza como queja con sustantividad propia.</w:t>
      </w:r>
    </w:p>
    <w:p w:rsidR="005728DD" w:rsidRDefault="005728DD" w:rsidP="005728DD">
      <w:pPr>
        <w:pStyle w:val="TextoNormal"/>
      </w:pPr>
    </w:p>
    <w:p w:rsidR="005728DD" w:rsidRDefault="005728DD" w:rsidP="005728DD">
      <w:pPr>
        <w:pStyle w:val="TextoNormal"/>
      </w:pPr>
      <w:r>
        <w:t xml:space="preserve">Debe aclararse, de cualquier manera, que no resulta ni mucho menos evidente la conexión pretendida entre una lesión del derecho a la presunción de inocencia y una indebida predisposición de los jueces o su apariencia. En términos abstractos, asumiendo a efectos meramente analíticos la hipótesis de que concurre una vulneración del derecho a la presunción de inocencia, resulta insostenible la regla de conexión que la demanda presupone. Esto es, que una condena penal asentada en una valoración irrazonable de la prueba, o a partir de prueba insuficiente, o, en fin, ayuna de la debida motivación, acredite una previa predisposición personal del juez sentenciador. El mismo salto lógico, cuando no mayor, existe entre una condena sin prueba suficiente o inmotivada tras el juicio oral y la generación </w:t>
      </w:r>
      <w:r w:rsidRPr="005728DD">
        <w:rPr>
          <w:i/>
        </w:rPr>
        <w:t>ex post</w:t>
      </w:r>
      <w:r>
        <w:t xml:space="preserve"> de dudas objetivamente justificadas sobre la imparcialidad del tribunal. En una reducción al absurdo, la tesis del recurrente conduciría a apreciar la lesión de la garantía del proceso debido siempre que se apreciara un tratamiento defectuoso de la presunción de inocencia, por considerarlo indicativo de un prejuicio, de “una perspectiva apriorística del tribunal”, como adujo en el incidente de nulidad. Confunde con ello el recurrente el ámbito de aplicación y el alcance de una y otra garantía del proceso debido, sin alegar hechos desconocidos hasta ese momento de los que pudiera inferirse la existencia de una tacha de imparcialidad, por otro lado, no canalizada a través del proceso específico de defensa del derecho que encarna el incidente de recusación. Como hemos dicho ya al examinar las tachas de parcialidad, de forma diversa, pero imposible de aceptar, pretende elevar a la categoría de hecho revelador de la imparcialidad el desenlace negativo del proceso fundado en una apreciación de la prueba que juzga deficitaria.</w:t>
      </w:r>
    </w:p>
    <w:p w:rsidR="005728DD" w:rsidRDefault="005728DD" w:rsidP="005728DD">
      <w:pPr>
        <w:pStyle w:val="TextoNormal"/>
      </w:pPr>
    </w:p>
    <w:p w:rsidR="005728DD" w:rsidRDefault="005728DD" w:rsidP="005728DD">
      <w:pPr>
        <w:pStyle w:val="TextoNormal"/>
      </w:pPr>
      <w:r>
        <w:t xml:space="preserve">Por lo demás, nada tiene que ver la queja del recurrente con la conexión entre la independencia e imparcialidad del juez y la eficacia extraprocesal o como regla de tratamiento del derecho a la presunción de inocencia. En ningún momento opone en este punto la existencia de declaraciones o manifestaciones de los miembros de la Sala de lo Penal sobre el asunto o el demandante, ni antes ni durante el juicio oral ni en el texto de la sentencia, denotadoras de un prejuicio de culpabilidad contrario a la presunción de inocencia y, de forma global, lesivo del derecho a un juicio justo por ausencia de un tribunal imparcial (en cambio, STC 162/1999, de 27 de septiembre, FJ 9; SSTEDH de 5 de febrero de 2009, asunto </w:t>
      </w:r>
      <w:r w:rsidRPr="005728DD">
        <w:rPr>
          <w:i/>
        </w:rPr>
        <w:t>Olujic c. Croacia</w:t>
      </w:r>
      <w:r>
        <w:t xml:space="preserve">, § 59; de 16 de septiembre de 1999, asunto </w:t>
      </w:r>
      <w:r w:rsidRPr="005728DD">
        <w:rPr>
          <w:i/>
        </w:rPr>
        <w:t>Buscemi c. Italia</w:t>
      </w:r>
      <w:r>
        <w:t xml:space="preserve">, § 68, y de 6 de noviembre de 2018, asunto </w:t>
      </w:r>
      <w:r w:rsidRPr="005728DD">
        <w:rPr>
          <w:i/>
        </w:rPr>
        <w:t>Otegi Mondragón c. España</w:t>
      </w:r>
      <w:r>
        <w:t>, § 65).</w:t>
      </w:r>
    </w:p>
    <w:p w:rsidR="005728DD" w:rsidRDefault="005728DD" w:rsidP="005728DD">
      <w:pPr>
        <w:pStyle w:val="TextoNormal"/>
      </w:pPr>
    </w:p>
    <w:p w:rsidR="005728DD" w:rsidRDefault="005728DD" w:rsidP="005728DD">
      <w:pPr>
        <w:pStyle w:val="TextoNormal"/>
      </w:pPr>
      <w:r>
        <w:t>Hecha la aclaración anterior sobre el deficiente planteamiento y desarrollo de la queja que conecta el tratamiento de la presunción de inocencia con la falta de imparcialidad, cabe anticipar que tampoco un examen de lo alegado desde la perspectiva del derecho a la presunción de inocencia, que se realiza a continuación, contribuye a sostener en concreto el vínculo que propugna la demanda. En tanto se concluye que existe prueba de cargo válida y lícita suficiente, cuya valoración razonable se expresa motivadamente, no puede apreciarse la lesión del derecho a la presunción de inocencia aducida como indicio de la existencia de un prejuicio y decae la premisa de la tacha de imparcialidad alegada en este punto.</w:t>
      </w:r>
    </w:p>
    <w:p w:rsidR="005728DD" w:rsidRDefault="005728DD" w:rsidP="005728DD">
      <w:pPr>
        <w:pStyle w:val="TextoNormal"/>
      </w:pPr>
    </w:p>
    <w:p w:rsidR="005728DD" w:rsidRDefault="005728DD" w:rsidP="005728DD">
      <w:pPr>
        <w:pStyle w:val="TextoNormal"/>
      </w:pPr>
      <w:r>
        <w:t>8.4</w:t>
      </w:r>
      <w:r w:rsidRPr="005728DD">
        <w:rPr>
          <w:i/>
        </w:rPr>
        <w:t>. Doctrina constitucion</w:t>
      </w:r>
      <w:r>
        <w:t>al</w:t>
      </w:r>
    </w:p>
    <w:p w:rsidR="005728DD" w:rsidRDefault="005728DD" w:rsidP="005728DD">
      <w:pPr>
        <w:pStyle w:val="TextoNormal"/>
      </w:pPr>
    </w:p>
    <w:p w:rsidR="005728DD" w:rsidRDefault="005728DD" w:rsidP="005728DD">
      <w:pPr>
        <w:pStyle w:val="TextoNormal"/>
      </w:pPr>
      <w:r>
        <w:lastRenderedPageBreak/>
        <w:t>La vulneración del derecho a la presunción de inocencia que alega el recurrente no atañe a la licitud o validez de las pruebas practicadas, tampoco a la clara consignación de lo que se consideran hechos probados. Se centra en la falta de explicitación de la prueba practicada y de su valoración, de la que discrepa parcialmente y, con ello, en la ausencia de prueba suficiente que sostenga los hechos probados.</w:t>
      </w:r>
    </w:p>
    <w:p w:rsidR="005728DD" w:rsidRDefault="005728DD" w:rsidP="005728DD">
      <w:pPr>
        <w:pStyle w:val="TextoNormal"/>
      </w:pPr>
    </w:p>
    <w:p w:rsidR="005728DD" w:rsidRDefault="005728DD" w:rsidP="005728DD">
      <w:pPr>
        <w:pStyle w:val="TextoNormal"/>
      </w:pPr>
      <w:r>
        <w:t>En concordancia con ese concreto planteamiento, hay que poner de manifiesto que es doctrina reiterada de este tribunal, como expone la STC 105/2016, de 6 de junio, FJ 8,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 este respecto, el tribunal ha manifestado en numerosas ocasiones su radical falta de competencia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005728DD" w:rsidRDefault="005728DD" w:rsidP="005728DD">
      <w:pPr>
        <w:pStyle w:val="TextoNormal"/>
      </w:pPr>
    </w:p>
    <w:p w:rsidR="005728DD" w:rsidRDefault="005728DD" w:rsidP="005728DD">
      <w:pPr>
        <w:pStyle w:val="TextoNormal"/>
      </w:pPr>
      <w:r>
        <w:t xml:space="preserve">Subraya también la citada STC 105/2016, FJ 8, que este tribunal ha hecho hincapié en que “la idoneidad incriminatoria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5728DD">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Ese específico deber de motivación </w:t>
      </w:r>
      <w:r w:rsidRPr="005728DD">
        <w:rPr>
          <w:i/>
        </w:rPr>
        <w:t>ex</w:t>
      </w:r>
      <w:r>
        <w:t xml:space="preserve"> art. 24.2 CE es diferente y más estricto que el genérico del derecho a la tutela judicial efectiva, “dado que está precisamente en juego aquel derecho y, en su caso, el que resulte restringido por la pena, que será el derecho a la libertad cuando […] la condena lo sea a penas de prisión” (SSTC 209/2002, de 11 de noviembre, FJ 3; 169/2004, de 6 de octubre, FJ 6; 143/2005, de 6 de junio, FJ 4; 12/2011, de 28 de febrero, FJ 6, y 22/2013, de 31 de enero, FJ 5). En este marco, la jurisprudencia constitucional también ha establecido que la presunción de inocencia se extiende a verificar si se ha dejado de someter a valoración la prueba de descargo aportada, exigiéndose una ponderación de la misma, pero sin que ello implique que esa ponderación se realice de modo pormenorizado, ni que la ponderación se lleve a cabo del modo pretendido por el recurrente, sino solamente que se ofrezca una explicación para su rechazo (así, </w:t>
      </w:r>
      <w:r>
        <w:lastRenderedPageBreak/>
        <w:t>SSTC 104/2011, de 20 de junio, FJ 2; 88/2013, de 11 de abril, FJ 12, o 2/2015, de 19 de enero, FJ 4).</w:t>
      </w:r>
    </w:p>
    <w:p w:rsidR="005728DD" w:rsidRDefault="005728DD" w:rsidP="005728DD">
      <w:pPr>
        <w:pStyle w:val="TextoNormal"/>
      </w:pPr>
    </w:p>
    <w:p w:rsidR="005728DD" w:rsidRDefault="005728DD" w:rsidP="005728DD">
      <w:pPr>
        <w:pStyle w:val="TextoNormal"/>
      </w:pPr>
      <w:r>
        <w:t>En síntesis, los órganos judiciales “han de exteriorizar razonadamente y de forma lógica los motivos que fundamentaron su convicción inculpatoria, más allá de toda duda razonable” (SSTC 129/1998, de 16 de junio, FJ 4, o 141/2001, de 18 de junio, FJ 6); y la función de este tribunal se ciñe a comprobar que el órgano judicial efectivamente expone las razones que le han conducido a fijar el relato fáctico a partir de la actividad probatoria practicada y efectuar un control externo del razonamiento lógico seguido respetuoso con el ámbito reservado a la jurisdicción ordinaria en orden a la fijación de los hechos (STC 67/2021, de 17 de marzo, FJ 3).</w:t>
      </w:r>
    </w:p>
    <w:p w:rsidR="005728DD" w:rsidRDefault="005728DD" w:rsidP="005728DD">
      <w:pPr>
        <w:pStyle w:val="TextoNormal"/>
      </w:pPr>
    </w:p>
    <w:p w:rsidR="005728DD" w:rsidRDefault="005728DD" w:rsidP="005728DD">
      <w:pPr>
        <w:pStyle w:val="TextoNormal"/>
      </w:pPr>
      <w:r>
        <w:t>8.5</w:t>
      </w:r>
      <w:r w:rsidRPr="005728DD">
        <w:rPr>
          <w:i/>
        </w:rPr>
        <w:t>. Resolución de la que</w:t>
      </w:r>
      <w:r>
        <w:t>ja.</w:t>
      </w:r>
    </w:p>
    <w:p w:rsidR="005728DD" w:rsidRDefault="005728DD" w:rsidP="005728DD">
      <w:pPr>
        <w:pStyle w:val="TextoNormal"/>
      </w:pPr>
    </w:p>
    <w:p w:rsidR="005728DD" w:rsidRDefault="005728DD" w:rsidP="005728DD">
      <w:pPr>
        <w:pStyle w:val="TextoNormal"/>
      </w:pPr>
      <w:r>
        <w:t>De acuerdo con esta conocida doctrina y a la vista del contenido de la resolución impugnada, resulta insostenible tanto el reproche general de falta de motivación sobre las fuentes y la valoración de la prueba que conduce al relato fáctico, como la denuncia específica de irrazonabilidad de la apreciación de la prueba que se predica de diversas conclusiones fácticas sobre la conducta individual del recurrente.</w:t>
      </w:r>
    </w:p>
    <w:p w:rsidR="005728DD" w:rsidRDefault="005728DD" w:rsidP="005728DD">
      <w:pPr>
        <w:pStyle w:val="TextoNormal"/>
      </w:pPr>
    </w:p>
    <w:p w:rsidR="005728DD" w:rsidRDefault="005728DD" w:rsidP="005728DD">
      <w:pPr>
        <w:pStyle w:val="TextoNormal"/>
      </w:pPr>
      <w:r>
        <w:t>A) Análisis probatorio en general.</w:t>
      </w:r>
    </w:p>
    <w:p w:rsidR="005728DD" w:rsidRDefault="005728DD" w:rsidP="005728DD">
      <w:pPr>
        <w:pStyle w:val="TextoNormal"/>
      </w:pPr>
    </w:p>
    <w:p w:rsidR="005728DD" w:rsidRDefault="005728DD" w:rsidP="005728DD">
      <w:pPr>
        <w:pStyle w:val="TextoNormal"/>
      </w:pPr>
      <w:r>
        <w:t>Frente a la queja global de ausencia de un apartado específico dedicado a la prueba y su valoración como suficiente, debe hacerse una doble precisión inicial. De un lado, que una exigencia formal de tratamiento autónomo como la que denuncia el recurrente ni se requiere por la ley ni es condición de respeto del derecho. De otro, que la exigencia de una motivación ilustrativa de los fundamentos probatorios forma parte del contenido del derecho del art. 24.2 CE y no constituye una lesión autónoma del derecho a la tutela judicial efectiva (art. 24.1 CE) como apunta la demanda (SSTC 143/2005, de 6 de junio, FFJJ 2 y 4, y 105/2016, FJ 3).</w:t>
      </w:r>
    </w:p>
    <w:p w:rsidR="005728DD" w:rsidRDefault="005728DD" w:rsidP="005728DD">
      <w:pPr>
        <w:pStyle w:val="TextoNormal"/>
      </w:pPr>
    </w:p>
    <w:p w:rsidR="005728DD" w:rsidRDefault="005728DD" w:rsidP="005728DD">
      <w:pPr>
        <w:pStyle w:val="TextoNormal"/>
      </w:pPr>
      <w:r>
        <w:t xml:space="preserve">Acotada la queja a la ausencia de motivación en un sentido material y situada en el marco de las exigencias del derecho a la presunción de inocencia, debe rechazarse el menoscabo del específico deber de explicitar la valoración probatoria y el razonamiento asentado en las reglas de la lógica y la experiencia que conecta la prueba con el relato de los hechos. La sentencia contiene un amplísimo apartado C) en los fundamentos (págs. 297 a 477), que, bajo la rúbrica “Juicio de autoría”, aborda el examen de las pruebas que fundan la descripción de hechos probados y, con ello, la conducta de cada acusado que consta en el </w:t>
      </w:r>
      <w:r w:rsidRPr="005728DD">
        <w:rPr>
          <w:i/>
        </w:rPr>
        <w:t>factum</w:t>
      </w:r>
      <w:r>
        <w:t xml:space="preserve"> así como la ulterior subsunción en el delito o delitos por los que finalmente cada uno resulta condenado. Ese análisis motivado se desenvuelve en torno a las calificaciones de sedición, malversación y desobediencia y respecto a los distintos acusados por tales delitos, sin perjuicio de las lógicas remisiones expresas e implícitas a lo dicho y razonado respecto a otros coacusados y de la debida consideración global del conjunto del material probatorio. En él se exponen las innumerables pruebas practicadas: declaraciones de los acusados, testimonios de los agentes y mandos de los distintos cuerpos y fuerzas de seguridad, de responsables políticos y de ciudadanos, numerosísima documental de variada índole (publicaciones oficiales, agenda, correos electrónicos, tuits, etc.), grabaciones de imagen y sonido o periciales, </w:t>
      </w:r>
      <w:r>
        <w:lastRenderedPageBreak/>
        <w:t>tanto de la acusación como de la defensa, y cómo se valoran en orden a inferir la responsabilidad individual.</w:t>
      </w:r>
    </w:p>
    <w:p w:rsidR="005728DD" w:rsidRDefault="005728DD" w:rsidP="005728DD">
      <w:pPr>
        <w:pStyle w:val="TextoNormal"/>
      </w:pPr>
    </w:p>
    <w:p w:rsidR="005728DD" w:rsidRDefault="005728DD" w:rsidP="005728DD">
      <w:pPr>
        <w:pStyle w:val="TextoNormal"/>
      </w:pPr>
      <w:r>
        <w:t>La sentencia explicita las bases probatorias del relato fáctico en el que se asienta la responsabilidad de cada condenado fruto de la subsunción de esos hechos en los tipos penales correspondientes que desmiente la alegada omisión general de un tratamiento de la prueba que permita conocer y combatir la sostenibilidad de las inferencias probatorias. Con el añadido de que, a tenor de lo expresado en la sentencia, son los propios acusados en sus declaraciones quienes en gran medida corroboran la narración de los escritos de acusación, y su defensa se contrae a cuestionar la relevancia penal de unos hechos no controvertidos. En esta misma línea de prevalencia de los aspectos valorativos sobre los probatorios se sitúa el recurso ahora examinado, que no denuncia formalmente la vulneración del derecho a la presunción de inocencia de manera autónoma, sino como elemento indiciario de la falta de imparcialidad.</w:t>
      </w:r>
    </w:p>
    <w:p w:rsidR="005728DD" w:rsidRDefault="005728DD" w:rsidP="005728DD">
      <w:pPr>
        <w:pStyle w:val="TextoNormal"/>
      </w:pPr>
    </w:p>
    <w:p w:rsidR="005728DD" w:rsidRDefault="005728DD" w:rsidP="005728DD">
      <w:pPr>
        <w:pStyle w:val="TextoNormal"/>
      </w:pPr>
      <w:r>
        <w:t xml:space="preserve">De conformidad con ese rechazo general, tampoco puede compartirse la queja específica aducida como ejemplo de los déficit explicativos de falta de explicitación y consiguiente soporte probatorio de lo relatado sobre lo ocurrido el 20 de septiembre con ocasión de la práctica de la diligencia judicial acordada por el Juzgado de Instrucción núm. 13 de Barcelona. Según el criterio del recurrente, el déficit se evidencia en los pocos párrafos destinados a explicitar la valoración probatoria sobre lo acaecido el 20 de septiembre y su intervención (págs. 386 y 387) y lo consignado al respecto en el relato fáctico (págs. 45, 46 y 47). Sin embargo, la lectura íntegra de la sentencia, de sus hechos probados y de sus fundamentos jurídicos, lleva a la conclusión opuesta. Obvia el recurrente que lo sucedido el 20 de septiembre no solo le concierne a él y a su actuación ese día ante la sede de la vicepresidencia del Govern y, en consonancia, no solo se analiza en el epígrafe 1.9 del fundamento de Derecho C), dedicado a individualizar su juicio de autoría tras haberse hecho lo propio respecto al resto de acusados. Como la propia sentencia indica en ese punto 1.9, el episodio se ha analizado al describir la autoría de otros coacusados —señaladamente, de los señores Forn y Sànchez—, siendo comunes las fuentes de prueba, que no se limitan a la declaración del recurrente o de los testigos de la defensa, como parece sugerir la demanda, sino que incluyen las declaraciones de otros acusados, el testimonio de los agentes de la policía estatal y autonómica presentes, de ciudadanos y responsables políticos, documental, grabaciones y mensajes enviados por las redes sociales. A esas fuentes y a los resultados de la prueba practicada en el plenario se refiere expresamente la resolución en diversos lugares del fundamento C), donde también efectúa su valoración, conducente a la fijación del relato de los hechos acaecidos el 20 de septiembre que consta en el </w:t>
      </w:r>
      <w:r w:rsidRPr="005728DD">
        <w:rPr>
          <w:i/>
        </w:rPr>
        <w:t>factum</w:t>
      </w:r>
      <w:r>
        <w:t>. En tal sentido, cabe destacar, sin ánimo de exhaustividad ni mayor detalle y en conexión con lo expuesto en los antecedentes y el fundamento tercero de esta resolución, las siguientes referencias:</w:t>
      </w:r>
    </w:p>
    <w:p w:rsidR="005728DD" w:rsidRDefault="005728DD" w:rsidP="005728DD">
      <w:pPr>
        <w:pStyle w:val="TextoNormal"/>
      </w:pPr>
    </w:p>
    <w:p w:rsidR="005728DD" w:rsidRDefault="005728DD" w:rsidP="005728DD">
      <w:pPr>
        <w:pStyle w:val="TextoNormal"/>
      </w:pPr>
      <w:r>
        <w:t>(i) Apartado 1.3: juicio de autoría de la señora Forcadell. Mensaje desde la cuenta de Twitter y declaración de la señora Forcadell sobre su presencia en la concentración ante la vicepresidencia en defensa de las instituciones y asegurando que se votaría el 1 de octubre.</w:t>
      </w:r>
    </w:p>
    <w:p w:rsidR="005728DD" w:rsidRDefault="005728DD" w:rsidP="005728DD">
      <w:pPr>
        <w:pStyle w:val="TextoNormal"/>
      </w:pPr>
    </w:p>
    <w:p w:rsidR="005728DD" w:rsidRDefault="005728DD" w:rsidP="005728DD">
      <w:pPr>
        <w:pStyle w:val="TextoNormal"/>
      </w:pPr>
      <w:r>
        <w:t xml:space="preserve">(ii) Apartado 1.6: juicio de autoría de la señora Bassa. Mensaje desde la cuenta de Twitter en defensa de la democracia, la libertad y el mandato de los catalanes, correo electrónico felicitando al personal de la consejería por su reacción de indignación con ocasión de los </w:t>
      </w:r>
      <w:r>
        <w:lastRenderedPageBreak/>
        <w:t>registros y las detenciones por una actuación de la fiscalía “injusta y lamentable” y declaración de la señora Bassa, así como declaraciones de los agentes que intervinieron en los registros en la Consejería de Trabajo manifestando que tuvieron que abandonarla a través de otra consejería.</w:t>
      </w:r>
    </w:p>
    <w:p w:rsidR="005728DD" w:rsidRDefault="005728DD" w:rsidP="005728DD">
      <w:pPr>
        <w:pStyle w:val="TextoNormal"/>
      </w:pPr>
    </w:p>
    <w:p w:rsidR="005728DD" w:rsidRDefault="005728DD" w:rsidP="005728DD">
      <w:pPr>
        <w:pStyle w:val="TextoNormal"/>
      </w:pPr>
      <w:r>
        <w:t>(iii) Apartado 1.7: juicio de autoría del señor Forn. Declaraciones del señor Sànchez; de diversos miembros de la Guardia Civil que actuaban como policía judicial en el registro de la Vicepresidencia y Consejería de Hacienda, sobre la imposibilidad de entrar con el detenido, al que algunos manifestantes intentaron sacar del vehículo en el que iba y que fue zarandeado, sobre las manifestaciones masivas de “no saldréis” o las advertencias de los señores Sànchez y Cuixart de que, si pretendían salir con la cajas con los efectos del registro, “os matan”; y declaración del señor Forn, documental y declaraciones de mandos y agentes de los Mossos d’Esquadra sobre la comunicación tardía y autorización de la protesta, la orden de conferir facultades mediadoras al señor Sànchez, que decidió aspectos como la entrada o no de los detenidos al lugar de los registros, no invitar a los recurrentes a apartarse del edificio o el momento de invitar a los manifestantes a disolverse y que, previamente, había reprochado al agente que dirigía la Brigada Móvil de Orden Público su presencia, realizando una llamada al señor Forn, quien luego llamó al agente para informarle de la aludida labor mediadora del señor Sànchez.</w:t>
      </w:r>
    </w:p>
    <w:p w:rsidR="005728DD" w:rsidRDefault="005728DD" w:rsidP="005728DD">
      <w:pPr>
        <w:pStyle w:val="TextoNormal"/>
      </w:pPr>
    </w:p>
    <w:p w:rsidR="005728DD" w:rsidRDefault="005728DD" w:rsidP="005728DD">
      <w:pPr>
        <w:pStyle w:val="TextoNormal"/>
      </w:pPr>
      <w:r>
        <w:t>(iv) Apartado 1.8: juicio de autoría del señor Sànchez. Testimonios de diversos miembros de los Mossos d’Esquadra y de la Guardia Civil sobre el liderazgo del señor Sànchez y su capacidad de decisión sobre lo que procedía o no hacer, incluida la indicación al jefe de la brigada de sacar de allí a la BRIMO (“esto que estás haciendo no es lo que hemos acordado, largaos de aquí”), la imposibilidad de acceder con los detenidos a la institución para el registro, que no se pudo hacer en la forma que dispone la ley, como acreditan las imágenes de este y otros registros, y testifical y análisis de los mensajes y páginas web que organizaron grupos de Whatsapp para la movilización, con llamadas acreditadas a concentrarse e intervenciones dirigidas a la multitud, todo ello junto al señor Cuixart y la entidad Òmnium Cultural.</w:t>
      </w:r>
    </w:p>
    <w:p w:rsidR="005728DD" w:rsidRDefault="005728DD" w:rsidP="005728DD">
      <w:pPr>
        <w:pStyle w:val="TextoNormal"/>
      </w:pPr>
    </w:p>
    <w:p w:rsidR="005728DD" w:rsidRDefault="005728DD" w:rsidP="005728DD">
      <w:pPr>
        <w:pStyle w:val="TextoNormal"/>
      </w:pPr>
      <w:r>
        <w:t xml:space="preserve">Después del examen de la prueba en relación con los otros ocho acusados, con expresión de las pruebas practicadas —entre otras, las arriba enunciadas— y su valoración como prueba de cargo de los elementos del delito, la Sala realiza el juicio de autoría del señor Cuixart en el apartado 1.9. Comienza enumerando la prueba practicada de la que extrae la convicción sobre lo ocurrido: “[l]a declaración de los agentes de la policía estatal y autonómica que estuvieron allí, el testimonio de los ciudadanos y responsables políticos que fueron llamados como testigos por acusación y defensa y, sobre todo, la declaración del propio señor Cuixart, permiten dibujar un escenario fiel a lo verdaderamente acontecido. Los vídeos exhibidos en el plenario —incluido el grabado por la cámara de seguridad que se hallaba en el interior del edificio que era objeto de registro— y la lectura de algunos de los mensajes enviados por redes sociales, refuerzan nuestras inferencias”. La Sala de lo Penal, asimismo, infiere el importante papel que atribuye al recurrente en el proceso de celebración del referéndum de sus propias intervenciones en diversos actos convocados por la asociación que presidía (Òmnium Cultural) junto con la ANC, con presencia y/o intervención de miembros del Govern y la presidenta del Parlament, recordando la concentración de 11 de junio de 2017 y la Diada de 11 de septiembre de 2017. También se recoge la convocatoria </w:t>
      </w:r>
      <w:r>
        <w:lastRenderedPageBreak/>
        <w:t>a través de diversas cuentas de Twitter desde primeras horas de la mañana del 20 de septiembre en acción conjunta con el señor Sànchez en las que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alentándoles diciendo que no podrían con todos ellos o que las fuerzas del orden se habían equivocado, y que habían declarado la guerra a los que querían votar”. Hechos no negados por el recurrente, como tampoco que la tarde del día 20 se dirigió a los congregados y exigió la liberación de todos los detenidos, apeló, pese a reivindicar el pacifismo de la movilización, “a la determinación mostrada en la guerra civil, empleando la expresión ‘¡no pasarán!’, y retó al Estado a acudir a incautar el material que se había preparado para el referéndum y que tenían escondido en determinados locales, acabando su alocución con las siguientes palabras; ‘hoy estamos decenas de miles aquí, mañana seremos centenares de miles allá donde se nos requiera […] no tengáis ninguna duda de que ganaremos nuestra libertad’”.</w:t>
      </w:r>
    </w:p>
    <w:p w:rsidR="005728DD" w:rsidRDefault="005728DD" w:rsidP="005728DD">
      <w:pPr>
        <w:pStyle w:val="TextoNormal"/>
      </w:pPr>
    </w:p>
    <w:p w:rsidR="005728DD" w:rsidRDefault="005728DD" w:rsidP="005728DD">
      <w:pPr>
        <w:pStyle w:val="TextoNormal"/>
      </w:pPr>
      <w:r>
        <w:t>Las numerosas y diversas pruebas mencionadas, unidas a lo referido al razonar sobre la responsabilidad del recurrente por sedición en el punto 1.9, desmienten la falta de motivación y la —pretendidamente conectada— inexistencia de prueba de cargo del relato fáctico sobre lo acontecido el 20 de septiembre ante la sede de la Vicepresidencia de la Generalitat, su incidencia en la práctica del registro y la intervención en los hechos del recurrente como promotor de una oposición material a la ejecución de los mandatos judiciales dirigidos a impedir el referéndum ilegal. Las declaraciones de los testigos y las imágenes muestran la existencia de una manifestación multitudinaria y las llamadas del recurrente y del señor Sànchez a tal concentración en orden a impedir la práctica judicial, cuyo desarrollo se describe en los términos fijados esencialmente por la prueba testifical y los vídeos. A la vista de la motivación judicial de la valoración del conjunto de la prueba, se aprecia de forma indubitada la razonabilidad de la versión judicial de los hechos.</w:t>
      </w:r>
    </w:p>
    <w:p w:rsidR="005728DD" w:rsidRDefault="005728DD" w:rsidP="005728DD">
      <w:pPr>
        <w:pStyle w:val="TextoNormal"/>
      </w:pPr>
    </w:p>
    <w:p w:rsidR="005728DD" w:rsidRDefault="005728DD" w:rsidP="005728DD">
      <w:pPr>
        <w:pStyle w:val="TextoNormal"/>
      </w:pPr>
      <w:r>
        <w:t>B) Pronunciamientos fácticos en relación con el recurrente.</w:t>
      </w:r>
    </w:p>
    <w:p w:rsidR="005728DD" w:rsidRDefault="005728DD" w:rsidP="005728DD">
      <w:pPr>
        <w:pStyle w:val="TextoNormal"/>
      </w:pPr>
    </w:p>
    <w:p w:rsidR="005728DD" w:rsidRDefault="005728DD" w:rsidP="005728DD">
      <w:pPr>
        <w:pStyle w:val="TextoNormal"/>
      </w:pPr>
      <w:r>
        <w:t>Tampoco puede compartirse el reproche de menoscabo del derecho a la presunción de inocencia por falta de motivación y de razonabilidad de la valoración de la prueba en su proyección singular a cuatro pronunciamientos fácticos vinculados con el demandante.</w:t>
      </w:r>
    </w:p>
    <w:p w:rsidR="005728DD" w:rsidRDefault="005728DD" w:rsidP="005728DD">
      <w:pPr>
        <w:pStyle w:val="TextoNormal"/>
      </w:pPr>
    </w:p>
    <w:p w:rsidR="005728DD" w:rsidRDefault="005728DD" w:rsidP="005728DD">
      <w:pPr>
        <w:pStyle w:val="TextoNormal"/>
      </w:pPr>
      <w:r>
        <w:t xml:space="preserve">Hay que recordar que, en lo que atañe al delito de sedición, único por el que se ha condenado al demandante, la Sala de lo Penal precisa con carácter general, antes del estudio particularizado de los juicios de autoría, cuáles son sus características típicas de conformidad con la interpretación del art. 544 CP que efectuó en el punto 4 del apartado B) dedicado al juicio de tipicidad. Destaca que se trata de un delito de resultado cortado y de consumación anticipada así como de peligro concreto, que protege “el cumplimiento de la legalidad y el acatamiento de las decisiones legítimas de la administración o la jurisdicción” frente a acciones obstaculizadoras tumultuarias, de modo que no precisa el resultado de impedir ese cumplimiento. Y sostiene, todavía con carácter común, que el comportamiento de los acusados permite atribuirles tal delito en tanto que sus conductas se insertan en una estrategia penalmente típica que cada uno de ellos asumió, desde el principio o de manera sobrevenida, de modo que es atribuible a cada acusado la creación de un riesgo de lesión de tales bienes jurídicos así como el recurso a comportamientos tumultuarios, en ocasiones violentos y, en </w:t>
      </w:r>
      <w:r>
        <w:lastRenderedPageBreak/>
        <w:t>todo caso, fuera de las vías legales, y las consecuencias de efectivas derogaciones de la legalidad y obstrucciones al cumplimiento de órdenes jurisdiccionales. Estas dos consideraciones y lo más arriba referido sobre el análisis probatorio a lo largo de todo el fundamento C) deben tenerse presentes al analizar las afirmaciones del demandante.</w:t>
      </w:r>
    </w:p>
    <w:p w:rsidR="005728DD" w:rsidRDefault="005728DD" w:rsidP="005728DD">
      <w:pPr>
        <w:pStyle w:val="TextoNormal"/>
      </w:pPr>
    </w:p>
    <w:p w:rsidR="005728DD" w:rsidRDefault="005728DD" w:rsidP="005728DD">
      <w:pPr>
        <w:pStyle w:val="TextoNormal"/>
      </w:pPr>
      <w:r>
        <w:t>a) Por lo que se refiere a los incidentes del 20 de septiembre de 2017 ante la sede de la Vicepresidencia de Govern y otros lugares y el desarrollo de las diligencias acordadas por el Juzgado de Instrucción núm. 13 de Barcelona, apela a un desarrollo de las diligencias judiciales en un contexto de protesta auspiciado por él que no impidió que se cumplimentaran, discutiendo la consideración de anormalidad de su desarrollo. Con ello no cuestiona la existencia de prueba ni la irrazonabilidad de las inferencias probatorias de la Sala, sino que expone las conclusiones fácticas bajo un prisma distinto y selectivo. Frente a tal visión parcial, se opone una convocatoria a través de las redes sociales con llamadas a defender las instituciones y exigir la puesta en libertad de los detenidos que, conforme a los hechos probados, concentró frente a la consejería a unos 40 000 manifestantes, animados a permanecer allí por el recurrente con los mismos objetivos de defensa y tras haber logrado ya impedir el desarrollo normal de la orden judicial. La multitud impidió a la comisión judicial la normal realización de sus funciones, iniciadas a las 8:00 horas, sin que pudieran acceder los detenidos conducidos por agentes de la Guardia Civil que legalmente debían estar presentes en los registros, ser trasladados los efectos intervenidos o circular los agentes. No discute el recurrente que la letrada de la administración de justicia abandonara el edifico muchas horas después, a las 00:00 horas, gracias a una operación clandestina de salida que precisó infiltrarla entre el público saliente del teatro colindante al que accedió desde la azotea. O que los agentes de la Guardia Civil solo pudieron salir de la sede de la vicepresidencia en dos turnos cuando la manifestación se había disuelto, a las 4:00 y, por fin, a las 7:00 de la mañana ya del día 21 de septiembre tras las cargas de los Mossos. Elementos que se valoran de forma razonable como acreditativos de un levantamiento tumultuario dirigido a impedir la actuación ordenada por la autoridad judicial con efectos, incluso, en la libertad deambulatoria de los miembros de la comisión judicial.</w:t>
      </w:r>
    </w:p>
    <w:p w:rsidR="005728DD" w:rsidRDefault="005728DD" w:rsidP="005728DD">
      <w:pPr>
        <w:pStyle w:val="TextoNormal"/>
      </w:pPr>
    </w:p>
    <w:p w:rsidR="005728DD" w:rsidRDefault="005728DD" w:rsidP="005728DD">
      <w:pPr>
        <w:pStyle w:val="TextoNormal"/>
      </w:pPr>
      <w:r>
        <w:t>La demanda, hay que insistir, no enfrenta la razonabilidad de lo inferido, ni siquiera especifica qué testimonios de los testigos de la defensa o qué vídeos discrepan, sino que se limita a valorar los hechos y construir un relato de lo acontecido que obvia tales circunstancias y describe lo sucedido como una actuación ordinaria de entrada y registro que nunca se pretendió alterar. Habla así de que la comisión judicial estaba dentro del edificio cuando empezaron las movilizaciones y sus integrantes, “una vez finalizado el registro, abandonaron el edificio con las debidas cautelas de materia de seguridad, llevando consigo todos aquellos hallazgos y pruebas la comisión judicial entendió pertinentes”. Conclusiones, estas sí, incompatibles con lo expresado por la prueba valorada por el Tribunal Supremo. O sostiene que no hubo un impedimento efectivo absoluto que, como se ha dicho, no es un requisito típico del delito de sedición según la interpretación que hace el Tribunal Supremo ni se afirma en la sentencia impugnada, que alude la imposibilidad de realizar los registros en la forma en que dispone la ley.</w:t>
      </w:r>
    </w:p>
    <w:p w:rsidR="005728DD" w:rsidRDefault="005728DD" w:rsidP="005728DD">
      <w:pPr>
        <w:pStyle w:val="TextoNormal"/>
      </w:pPr>
    </w:p>
    <w:p w:rsidR="005728DD" w:rsidRDefault="005728DD" w:rsidP="005728DD">
      <w:pPr>
        <w:pStyle w:val="TextoNormal"/>
      </w:pPr>
      <w:r>
        <w:t xml:space="preserve">b) Sobre otras convocatorias de la misma fecha y otros incidentes en el desarrollo de diligencias judiciales, cuestiona que las manifestaciones no se entiendan como actos de protesta y sí como tendentes a impedir el funcionamiento normal de la administración de justicia y considera sobredimensionada la incidencia en las actuaciones. No cuestiona, por tanto, </w:t>
      </w:r>
      <w:r>
        <w:lastRenderedPageBreak/>
        <w:t>la descripción de lo sucedido, sino la inferencia de la finalidad impeditiva en conexión con una valoración diversa de la gravedad de los hechos. Sin embargo, esa lectura obvia el sentido incriminatorio de elementos acreditados, como los zarandeos y golpes de vehículos que trasladan a detenidos, el impedimento de la salida de un vehículo policial del lugar de la detención, la actitud hostil que llevó a introducir a una letrada de la administración de justicia en un coche camuflado o que otro letrado abandonara así otro lugar, los intentos de sustraer a un detenido del control de los agentes o el daño a ocho furgones con el material intervenido, asentados en la prueba testifical de agentes y testigos participantes. Hechos que se ponen en conexión con la realización de convocatorias, que el recurrente asume y constan en los mensajes incorporados a la causa, para concentrarse no solo en la sede de la vicepresidencia, sino también en las Consejerías de Exteriores, Bienestar y Familia y Gobernación. En ellas se pide a los catalanes la movilización con el argumento de que “no podrían con todos ellos” o que “las fuerzas del orden se habían equivocado y habían declarado la guerra a los que querían votar”. En ellas se señala el lugar donde se estaba produciendo la actuación de la Guardia Civil dirigida a impedir el referéndum, emplazando a la ciudadanía a defender las instituciones catalanas y exigiendo la liberación de los detenidos. Son elementos de los que se infiere sin quiebra la finalidad impeditiva que anima la convocatoria y desarrollo de las concentraciones. Con el añadido de que la demanda vuelve a poner el acento en la falta de un impedimento absoluto de la práctica de las correspondientes diligencias judiciales que, como ya hemos advertido, ni exige el tipo penal conforme interpreta el tribunal sentenciador ni consigna la resolución impugnada.</w:t>
      </w:r>
    </w:p>
    <w:p w:rsidR="005728DD" w:rsidRDefault="005728DD" w:rsidP="005728DD">
      <w:pPr>
        <w:pStyle w:val="TextoNormal"/>
      </w:pPr>
    </w:p>
    <w:p w:rsidR="005728DD" w:rsidRDefault="005728DD" w:rsidP="005728DD">
      <w:pPr>
        <w:pStyle w:val="TextoNormal"/>
      </w:pPr>
      <w:r>
        <w:t>Tiene razón el recurrente en que no hay explicitación precisa sobre la base probatoria de los específicos episodios relativos a los registros realizados en Bigues i Riells y en Berga, pero se trata de aspectos incidentales no solo en relación con el relato completo de hechos probados, sino incluso en relación con los hechos relevantes acaecidos el 20 de septiembre y que no sostienen la declaración de culpabilidad del demandante.</w:t>
      </w:r>
    </w:p>
    <w:p w:rsidR="005728DD" w:rsidRDefault="005728DD" w:rsidP="005728DD">
      <w:pPr>
        <w:pStyle w:val="TextoNormal"/>
      </w:pPr>
    </w:p>
    <w:p w:rsidR="005728DD" w:rsidRDefault="005728DD" w:rsidP="005728DD">
      <w:pPr>
        <w:pStyle w:val="TextoNormal"/>
      </w:pPr>
      <w:r>
        <w:t>c) En relación con los acontecimientos del 1 de octubre, el recurrente considera contradictorio afirmar que los agentes policiales se vieron obligados al uso de la fuerza legalmente prevista, pero luego se vieron forzados a declinar el propósito inicial, dado que el uso de la fuerza podría devenir desproporcionado. Lo relevante de tal contradicción, subraya, estriba en que la legalidad de la actuación policial es determinante de la valoración de la reacción de la ciudadanía como elemento del conjunto fáctico que se le imputa, que, por otro lado, considera que no está descrita con precisión ni vinculada a claras fuentes de prueba en la sentencia.</w:t>
      </w:r>
    </w:p>
    <w:p w:rsidR="005728DD" w:rsidRDefault="005728DD" w:rsidP="005728DD">
      <w:pPr>
        <w:pStyle w:val="TextoNormal"/>
      </w:pPr>
    </w:p>
    <w:p w:rsidR="005728DD" w:rsidRDefault="005728DD" w:rsidP="005728DD">
      <w:pPr>
        <w:pStyle w:val="TextoNormal"/>
      </w:pPr>
      <w:r>
        <w:t xml:space="preserve">No discute el recurrente ni su importante papel en la estrategia de política global, articulada en torno a la producción normativa y la movilización ciudadana como mecanismos de consecución. Tampoco sus reiteradas llamadas a la movilización en orden a asegurar aquel programa, aun cuando declarado inconstitucional, frente a cualquier obstáculo y el carácter determinante de su actuación como líder ciudadano en el origen de las concentraciones masivas. Asimismo, defiende expresamente sus reiteradas llamadas al voto y su contribución a la iniciativa “Escoles Obertes” y reconoce la presencia masiva de ciudadanos en los puntos de votación designados, su efecto físicamente impeditivo de la actuación policial y la existencia de enfrentamientos de la ciudadanía y la policía, que actuaba por mandato judicial para ejecutar la prohibición de un referéndum suspendido por el Tribunal Constitucional. </w:t>
      </w:r>
      <w:r>
        <w:lastRenderedPageBreak/>
        <w:t>No cuestiona, en definitiva, los hechos probados que sirven de soporte fáctico a la calificación y la condena como autor de un delito de sedición. Su queja trasluce una diversa valoración de esos hechos desde unas exigencias típicas también diferentes a las fijadas en la sentencia, que apuntan a una violencia notoria que el tribunal sentenciador no considera imprescindible para colmar el tipo, sin perjuicio de considerar probado, con base en las testificales y los vídeos exhibidos, la deriva de la resistencia pasiva en activa, así como la previsibilidad de tales episodios.</w:t>
      </w:r>
    </w:p>
    <w:p w:rsidR="005728DD" w:rsidRDefault="005728DD" w:rsidP="005728DD">
      <w:pPr>
        <w:pStyle w:val="TextoNormal"/>
      </w:pPr>
    </w:p>
    <w:p w:rsidR="005728DD" w:rsidRDefault="005728DD" w:rsidP="005728DD">
      <w:pPr>
        <w:pStyle w:val="TextoNormal"/>
      </w:pPr>
      <w:r>
        <w:t>Cabe puntualizar, además, que no se aprecia la contradicción que denuncia entre apreciar la necesidad inicial de un uso policial de fuerza y el desistimiento de tal uso por poder devenir desproporcionado. Se trata de un desarrollo vinculado al desenvolvimiento de la jornada electoral desde la mañana del día de celebración del referéndum a primeras horas de la tarde de ese 1 de octubre.</w:t>
      </w:r>
    </w:p>
    <w:p w:rsidR="005728DD" w:rsidRDefault="005728DD" w:rsidP="005728DD">
      <w:pPr>
        <w:pStyle w:val="TextoNormal"/>
      </w:pPr>
    </w:p>
    <w:p w:rsidR="005728DD" w:rsidRDefault="005728DD" w:rsidP="005728DD">
      <w:pPr>
        <w:pStyle w:val="TextoNormal"/>
      </w:pPr>
      <w:r>
        <w:t>d) Por último, el demandante estima carente de sostén probatorio la inferencia de que la finalidad de las movilizaciones era demostrar que los jueces habían perdido su capacidad jurisdiccional en Cataluña. Lo cierto es que la sentencia no afirma ni, en consecuencia, condena en virtud de tal dato. En ningún momento apunta que haya una actuación dirigida a eliminar toda capacidad jurisdiccional en el territorio autonómico, tampoco que la finalidad fuera hacer notoria esa pérdida absoluta ni mucho menos que efectivamente se produjera una paralización global de la actividad judicial. Lo que considera acreditado es la finalidad de neutralizar en todo el territorio catalán toda actuación ordenada judicialmente para impedir la celebración del referéndum ilegal. El párrafo final de los hechos probados a que alude el recurrente se refiere a la movilización de los ciudadanos “para demostrar que los jueces en Cataluña habían perdido su capacidad jurisdiccional” después de concluir que los acusados propiciaron un entramado jurídico paralelo al vigente, desplazando el ordenamiento constitucional y estatutario, y promovieron un referéndum carente de todas las garantías democráticas. La pérdida de la capacidad jurisdiccional se vincula con una ilegalidad muy concreta y unas órdenes judiciales vinculadas a tal objeto, si bien presenta una dimensión territorial global en tanto que atañe a toda Cataluña. Lo que, de hecho, coincide con el argumento del demandante de que su conducta se vincula exclusivamente “a la protesta relativa a la realización del referéndum de autodeterminación y por lo tanto a la crítica y a la protesta en cuanto a la actuación de dos órganos judiciales muy concretos en relación a dos procedimientos muy concretos (el Juzgado de Instrucción núm. 13, el día 20 de setiembre, y el Tribunal Superior de Justicia de Cataluña, el día 1 de octubre)”, respecto a la que reivindica la desobediencia civil fruto de un “proceso consciente y reflexivo que se ciñe de forma selectiva y concreta en relación a preceptos y órdenes”.</w:t>
      </w:r>
    </w:p>
    <w:p w:rsidR="005728DD" w:rsidRDefault="005728DD" w:rsidP="005728DD">
      <w:pPr>
        <w:pStyle w:val="TextoNormal"/>
      </w:pPr>
    </w:p>
    <w:p w:rsidR="005728DD" w:rsidRDefault="005728DD" w:rsidP="005728DD">
      <w:pPr>
        <w:pStyle w:val="TextoNormal"/>
      </w:pPr>
      <w:r>
        <w:t xml:space="preserve">En realidad, la visión conjunta de las objeciones respecto a los cuatro pronunciamientos fácticos señalados sobre la actuación del recurrente pone de manifiesto que se reducen bien a mostrar una discrepancia con la valoración de la prueba sin mayores razonamientos o incluso una matización del sentido de los hechos probados que desemboca en un relato dulcificado de lo ocurrido, bien a apreciar la falta de prueba de hechos que no constan en el relato fáctico ni son relevantes en orden a calificar la conducta como sedición. Hay que volver a recordar que, como reitera la Sala de lo Penal, la condena del demandante se sustenta en su papel de pilar del movimiento sedicioso, cuya contribución estriba en poner su acreditada capacidad de movilización como líder de la asociación Òmnium Cultural al servicio de un proyecto político que incluía la creación de una legalidad de ruptura con las </w:t>
      </w:r>
      <w:r>
        <w:lastRenderedPageBreak/>
        <w:t>bases de nuestro sistema jurídico y la presión al Gobierno de la Nación mediante la celebración de un referéndum presentado ante la opinión pública como expresión del derecho de autodeterminación. La movilización masiva era indispensable para que, llegado el momento, miles de ciudadanos pudieran oponer una resistencia activa —también pacífica— al cumplimiento de los mandatos dictados por los jueces y tribunales para asegurar que no se celebraría el referéndum prohibido, como efectivamente aconteció. Esos elementos constan en los hechos probados, que la fundamentación jurídica de la sentencia vincula con la amplia y diversa prueba practicada, y son aceptados por el recurrente, cuando no defendidos por él al conectarlos con la desobediencia civil, poniendo de relieve que la controversia no es fáctica sino jurídica, relativa a la interpretación del delito de sedición, la calificación de los hechos probados como tal y la incidencia de los diversos derechos alegados en la atribución de responsabilidad penal y su extensión.</w:t>
      </w:r>
    </w:p>
    <w:p w:rsidR="005728DD" w:rsidRDefault="005728DD" w:rsidP="005728DD">
      <w:pPr>
        <w:pStyle w:val="TextoNormal"/>
      </w:pPr>
    </w:p>
    <w:p w:rsidR="005728DD" w:rsidRDefault="005728DD" w:rsidP="005728DD">
      <w:pPr>
        <w:pStyle w:val="TextoNormal"/>
      </w:pPr>
      <w:r>
        <w:t>De acuerdo con lo razonado, existe prueba de cargo suficiente y se ofrece una explicitación de los elementos de convicción en que se asienta la valoración de la prueba y las inferencias que sostienen los hechos probados y la correspondiente afirmación de los elementos típicos del delito de sedición, que no cabe calificar de irrazonable, por lo que debe desestimarse la vulneración del derecho a la presunción de inocencia alegada.</w:t>
      </w:r>
    </w:p>
    <w:p w:rsidR="005728DD" w:rsidRDefault="005728DD" w:rsidP="005728DD">
      <w:pPr>
        <w:pStyle w:val="TextoNormal"/>
      </w:pPr>
    </w:p>
    <w:p w:rsidR="005728DD" w:rsidRDefault="005728DD" w:rsidP="005728DD">
      <w:pPr>
        <w:pStyle w:val="TextoNormal"/>
      </w:pPr>
      <w:r w:rsidRPr="005728DD">
        <w:rPr>
          <w:rStyle w:val="NumeroAFNegritaCaracter"/>
        </w:rPr>
        <w:t>9</w:t>
      </w:r>
      <w:r>
        <w:t xml:space="preserve">. </w:t>
      </w:r>
      <w:r w:rsidRPr="005728DD">
        <w:rPr>
          <w:i/>
        </w:rPr>
        <w:t>El derecho de reunión pacífica</w:t>
      </w:r>
      <w:r>
        <w:t>.</w:t>
      </w:r>
    </w:p>
    <w:p w:rsidR="005728DD" w:rsidRDefault="005728DD" w:rsidP="005728DD">
      <w:pPr>
        <w:pStyle w:val="TextoNormal"/>
      </w:pPr>
    </w:p>
    <w:p w:rsidR="005728DD" w:rsidRDefault="005728DD" w:rsidP="005728DD">
      <w:pPr>
        <w:pStyle w:val="TextoNormal"/>
      </w:pPr>
      <w:r>
        <w:t xml:space="preserve">9.1. </w:t>
      </w:r>
      <w:r w:rsidRPr="005728DD">
        <w:rPr>
          <w:i/>
        </w:rPr>
        <w:t>Posiciones de las partes</w:t>
      </w:r>
      <w:r>
        <w:t>.</w:t>
      </w:r>
    </w:p>
    <w:p w:rsidR="005728DD" w:rsidRDefault="005728DD" w:rsidP="005728DD">
      <w:pPr>
        <w:pStyle w:val="TextoNormal"/>
      </w:pPr>
    </w:p>
    <w:p w:rsidR="005728DD" w:rsidRDefault="005728DD" w:rsidP="005728DD">
      <w:pPr>
        <w:pStyle w:val="TextoNormal"/>
      </w:pPr>
      <w:r>
        <w:t>Como con más detalle se recoge en los antecedentes, el recurrente considera que la condena penal que le ha sido impuesta vulnera el contenido del derecho de reunión pacífica y manifestación (art. 21.1 CE), íntimamente ligado al de expresión (art. 20 CE), en cuanto la conducta que le sirve de sustrato fáctico es ejercicio legítimo del derecho fundamental alegado.</w:t>
      </w:r>
    </w:p>
    <w:p w:rsidR="005728DD" w:rsidRDefault="005728DD" w:rsidP="005728DD">
      <w:pPr>
        <w:pStyle w:val="TextoNormal"/>
      </w:pPr>
    </w:p>
    <w:p w:rsidR="005728DD" w:rsidRDefault="005728DD" w:rsidP="005728DD">
      <w:pPr>
        <w:pStyle w:val="TextoNormal"/>
      </w:pPr>
      <w:r>
        <w:t xml:space="preserve">En apoyo de la pretensión de amparo expone de forma parcial la jurisprudencia del Tribunal Europeo de Derechos Humanos sobre el derecho de reunión, poniendo el acento en su relación con la libertad de expresión y su finalidad común, que no es otra que la formación de una opinión pública libre. Para el recurrente las reuniones han de ser consideradas “pacíficas”, en los términos del Convenio europeo de derechos humanos y la jurisprudencia que lo interpreta, siempre que sus promotores o participantes no tengan intenciones violentas, ni alienten a la violencia. Dado que, usualmente, las reuniones de protesta o reivindicación suelen expresarse en lugares públicos, el contenido del derecho protege también las conductas que pueden incomodar u ofender a quienes no compartan las ideas expresadas; incluso conductas que deliberadamente impiden u obstruyen las actividades de terceros: ya sea bloquear temporalmente una ruta, alterar la circulación viaria, provocar cortes de circulación, impedir el desarrollo de una obra o de una actividad cinegética u ocupar el espacio público en el que la reunión se produce o a través del que la manifestación se desarrolla. Ni siquiera el riesgo de que se produzcan esporádicos actos de violencia excluye a las convocatorias de la protección que da el derecho, sin que estos, de producirse, puedan ser imputados, </w:t>
      </w:r>
      <w:r w:rsidRPr="005728DD">
        <w:rPr>
          <w:i/>
        </w:rPr>
        <w:t>per se</w:t>
      </w:r>
      <w:r>
        <w:t>, a sus organizadores.</w:t>
      </w:r>
    </w:p>
    <w:p w:rsidR="005728DD" w:rsidRDefault="005728DD" w:rsidP="005728DD">
      <w:pPr>
        <w:pStyle w:val="TextoNormal"/>
      </w:pPr>
    </w:p>
    <w:p w:rsidR="005728DD" w:rsidRDefault="005728DD" w:rsidP="005728DD">
      <w:pPr>
        <w:pStyle w:val="TextoNormal"/>
      </w:pPr>
      <w:r>
        <w:t xml:space="preserve">A partir de estas consideraciones generales, recuerda el recurrente que una conducta no puede ser considerada, al mismo tiempo, ejercicio legítimo de un derecho y penalmente </w:t>
      </w:r>
      <w:r>
        <w:lastRenderedPageBreak/>
        <w:t>relevante, de manera que, siendo posible imponer restricciones al ejercicio del derecho de reunión, las que se pretendan se encuentran sometidas a un triple canon, que exige previsión legal, satisfacción de una finalidad legítima y reacción proporcionada en la protección de esta.</w:t>
      </w:r>
    </w:p>
    <w:p w:rsidR="005728DD" w:rsidRDefault="005728DD" w:rsidP="005728DD">
      <w:pPr>
        <w:pStyle w:val="TextoNormal"/>
      </w:pPr>
    </w:p>
    <w:p w:rsidR="005728DD" w:rsidRDefault="005728DD" w:rsidP="005728DD">
      <w:pPr>
        <w:pStyle w:val="TextoNormal"/>
      </w:pPr>
      <w:r>
        <w:t>Para el recurrente, la consideración penal de su conducta como típica, al amparo de los arts. 544 y 545.1 del Código penal, supone la vulneración del derecho de reunión pacífica porque se apoya en una concepción del orden público que es contraria a la Constitución. Alega que “el único desorden penalmente relevante es aquel que, más allá del orden público, afecta también a la paz pública”, es decir, el recurso a la pena es legítimo únicamente cuando “se impide de forma duradera el ejercicio de los derechos fundamentales de los ciudadanos”. Para el recurrente, el Tribunal Supremo ha reclamado y apreciado indebidamente la finalidad política de la sedición como exigencia típica adicional (elemento subjetivo del injusto), confundiendo de esta manera el orden público con el orden político, lo que le ha llevado a hacer referencia a la concurrencia en la conducta sediciosa de una finalidad subversiva que no viene exigida por el tipo penal. Se añade que, con su conducta, el recurrente no ha afectado a derechos fundamentales de terceros que puedan oponerse al ejercicio del derecho de reunión pacífica.</w:t>
      </w:r>
    </w:p>
    <w:p w:rsidR="005728DD" w:rsidRDefault="005728DD" w:rsidP="005728DD">
      <w:pPr>
        <w:pStyle w:val="TextoNormal"/>
      </w:pPr>
    </w:p>
    <w:p w:rsidR="005728DD" w:rsidRDefault="005728DD" w:rsidP="005728DD">
      <w:pPr>
        <w:pStyle w:val="TextoNormal"/>
      </w:pPr>
      <w:r>
        <w:t>Finalmente, señala que, al haberse apoyado su condena en hechos de naturaleza no violenta, no resulta proporcionada la injerencia en el derecho de reunión que pretenda ampararse en la protección de otros bienes constitucionalmente relevantes. Añade que su condena penal se apoya en apreciar que su conducta tenía un propósito delictivo, por lo que se le ha sancionado por la intencionalidad de la protesta, sobredimensionando el contexto en que se produjeron los hechos, así como la pacífica oposición colectiva al cumplimiento de la ley.</w:t>
      </w:r>
    </w:p>
    <w:p w:rsidR="005728DD" w:rsidRDefault="005728DD" w:rsidP="005728DD">
      <w:pPr>
        <w:pStyle w:val="TextoNormal"/>
      </w:pPr>
    </w:p>
    <w:p w:rsidR="005728DD" w:rsidRDefault="005728DD" w:rsidP="005728DD">
      <w:pPr>
        <w:pStyle w:val="TextoNormal"/>
      </w:pPr>
      <w:r>
        <w:t>Para el abogado del Estado, la queja debe ser desestimada en cuanto la condena del recurrente no ha supuesto la criminalización de actos de protesta, sino la de la oposición activa y concertada frente a agentes de la autoridad que actuaban con respaldo legal y constitucional para dar cumplimiento a un específico y muy concreto mandato judicial. Considera que la incitación pública a participar en el referéndum ilegítimamente convocado fue realizada para lograr que la votación prohibida se llevase a cabo, imposibilitando de hecho la actuación de los agentes de la autoridad, mediante la interposición física de los participantes. Y entiende indudable que ese llamamiento desborda totalmente los linderos de lo que ha de considerarse legítimo derecho de reunión para la exteriorización de la protesta o crítica por la actuación de los poderes públicos.</w:t>
      </w:r>
    </w:p>
    <w:p w:rsidR="005728DD" w:rsidRDefault="005728DD" w:rsidP="005728DD">
      <w:pPr>
        <w:pStyle w:val="TextoNormal"/>
      </w:pPr>
    </w:p>
    <w:p w:rsidR="005728DD" w:rsidRDefault="005728DD" w:rsidP="005728DD">
      <w:pPr>
        <w:pStyle w:val="TextoNormal"/>
      </w:pPr>
      <w:r>
        <w:t>También solicita la desestimación de la queja el partido político Vox. Con apoyo en los pronunciamientos de la STC 136/1999, de 20 de julio, destaca la gravedad de la conducta considerada punible, en cuanto afectó a la unidad política y territorial de la Nación española (art. 2 CE). Afirma que una pena inferior a la impuesta no hubiera sido suficientemente desmotivadora, lo que favorecería en el futuro la reiteración de las mismas conductas. Añade en sus alegaciones que, en la mayor parte de los acusados, su conducta ha de ser considerada agravada, dada su condición de cargos públicos que representaban al Gobierno de España en el territorio de Cataluña.</w:t>
      </w:r>
    </w:p>
    <w:p w:rsidR="005728DD" w:rsidRDefault="005728DD" w:rsidP="005728DD">
      <w:pPr>
        <w:pStyle w:val="TextoNormal"/>
      </w:pPr>
    </w:p>
    <w:p w:rsidR="005728DD" w:rsidRDefault="005728DD" w:rsidP="005728DD">
      <w:pPr>
        <w:pStyle w:val="TextoNormal"/>
      </w:pPr>
      <w:r>
        <w:t xml:space="preserve">En el mismo sentido desestimatorio se pronuncia el Ministerio Fiscal. Con apoyo en la jurisprudencia de este tribunal y del Tribunal Europeo de Derechos Humanos, señala que la </w:t>
      </w:r>
      <w:r>
        <w:lastRenderedPageBreak/>
        <w:t>Sala Segunda del Tribunal Supremo ha satisfecho sobradamente las exigencias derivadas de la doctrina constitucional para los casos en los que en sede penal se plantea, se alega o está implicada como justificación de juridicidad de un determinado comportamiento el ejercicio de un derecho fundamental. Coincide con la sentencia condenatoria en que, en este caso, pese a su relación con el contenido del derecho de reunión, no se ha producido un ejercicio legítimo del mismo, sino que su extralimitación tiene la suficiente gravedad como para justificar la respuesta penal cuestionada, en los términos en que se produjo.</w:t>
      </w:r>
    </w:p>
    <w:p w:rsidR="005728DD" w:rsidRDefault="005728DD" w:rsidP="005728DD">
      <w:pPr>
        <w:pStyle w:val="TextoNormal"/>
      </w:pPr>
    </w:p>
    <w:p w:rsidR="005728DD" w:rsidRDefault="005728DD" w:rsidP="005728DD">
      <w:pPr>
        <w:pStyle w:val="TextoNormal"/>
      </w:pPr>
      <w:r>
        <w:t xml:space="preserve">9.2. </w:t>
      </w:r>
      <w:r w:rsidRPr="005728DD">
        <w:rPr>
          <w:i/>
        </w:rPr>
        <w:t>Respuesta del órgano judicial</w:t>
      </w:r>
      <w:r>
        <w:t>.</w:t>
      </w:r>
    </w:p>
    <w:p w:rsidR="005728DD" w:rsidRDefault="005728DD" w:rsidP="005728DD">
      <w:pPr>
        <w:pStyle w:val="TextoNormal"/>
      </w:pPr>
    </w:p>
    <w:p w:rsidR="005728DD" w:rsidRDefault="005728DD" w:rsidP="005728DD">
      <w:pPr>
        <w:pStyle w:val="TextoNormal"/>
      </w:pPr>
      <w:r>
        <w:t>Tanto en el acto del juicio oral como al solicitar la nulidad de la decisión de condena, el demandante adujo ya, como hace en este recurso de amparo, que su conducta fue ejercicio legítimo del derecho de reunión y que, por ello, no podía ser sancionado penalmente al concurrir dicha circunstancia como causa de justificación penal.</w:t>
      </w:r>
    </w:p>
    <w:p w:rsidR="005728DD" w:rsidRDefault="005728DD" w:rsidP="005728DD">
      <w:pPr>
        <w:pStyle w:val="TextoNormal"/>
      </w:pPr>
    </w:p>
    <w:p w:rsidR="005728DD" w:rsidRDefault="005728DD" w:rsidP="005728DD">
      <w:pPr>
        <w:pStyle w:val="TextoNormal"/>
      </w:pPr>
      <w:r>
        <w:t>La Sala rechazó dichas alegaciones, tanto en la sentencia como al desestimar la petición de nulidad de actuaciones formulada.</w:t>
      </w:r>
    </w:p>
    <w:p w:rsidR="005728DD" w:rsidRDefault="005728DD" w:rsidP="005728DD">
      <w:pPr>
        <w:pStyle w:val="TextoNormal"/>
      </w:pPr>
    </w:p>
    <w:p w:rsidR="005728DD" w:rsidRDefault="005728DD" w:rsidP="005728DD">
      <w:pPr>
        <w:pStyle w:val="TextoNormal"/>
      </w:pPr>
      <w:r>
        <w:t>a) En la sentencia condenatoria la Sala recuerda que el derecho fundamental de reunión pacífica no está exento de límites; de hecho, el propio Código penal declara punibles las manifestaciones ilícitas, definiendo cuáles merecen tal consideración (arts. 513 y 514 CP). Añade que tal posibilidad es admitida por la jurisprudencia del Tribunal Europeo de Derechos Humanos siempre que la limitación sea proporcionada y no se dirija a controlar ideológicamente la finalidad de la manifestación.</w:t>
      </w:r>
    </w:p>
    <w:p w:rsidR="005728DD" w:rsidRDefault="005728DD" w:rsidP="005728DD">
      <w:pPr>
        <w:pStyle w:val="TextoNormal"/>
      </w:pPr>
    </w:p>
    <w:p w:rsidR="005728DD" w:rsidRDefault="005728DD" w:rsidP="005728DD">
      <w:pPr>
        <w:pStyle w:val="TextoNormal"/>
      </w:pPr>
      <w:r>
        <w:t>Destaca que, en este caso, no es la supuesta ilegitimidad de la convocatoria lo que ocasiona la reacción penal, no son los actos de protesta lo que se considera delictivo, sino la apreciación de una estrategia concertada y alentada por el recurrente para lograr que se llevase a cabo la votación prohibida en el referéndum, previamente declarado como “de autodeterminación”, imposibilitando de hecho, mediante la interposición física, la actuación de los agentes de la autoridad. Es esa actuación, consistente en el llamamiento a “la oposición activa y concertada, frente a actuaciones de agentes de la autoridad con respaldo legal y constitucional encaminadas pura y llanamente a dar cumplimiento a un específico y muy concreto mandato judicial”, lo que se considera que desborda totalmente los linderos del legítimo ejercicio del derecho de reunión dirigido a exteriorizar la protesta o crítica por la actuación de los poderes públicos.</w:t>
      </w:r>
    </w:p>
    <w:p w:rsidR="005728DD" w:rsidRDefault="005728DD" w:rsidP="005728DD">
      <w:pPr>
        <w:pStyle w:val="TextoNormal"/>
      </w:pPr>
    </w:p>
    <w:p w:rsidR="005728DD" w:rsidRDefault="005728DD" w:rsidP="005728DD">
      <w:pPr>
        <w:pStyle w:val="TextoNormal"/>
      </w:pPr>
      <w:r>
        <w:t>Al rechazar la concurrencia de la causa de justificación alegada, la Sala parte de un principio general que, en este caso, se considera desbordado. Y así, señala:</w:t>
      </w:r>
    </w:p>
    <w:p w:rsidR="005728DD" w:rsidRDefault="005728DD" w:rsidP="005728DD">
      <w:pPr>
        <w:pStyle w:val="TextoNormal"/>
      </w:pPr>
    </w:p>
    <w:p w:rsidR="005728DD" w:rsidRDefault="005728DD" w:rsidP="005728DD">
      <w:pPr>
        <w:pStyle w:val="TextoNormal"/>
      </w:pPr>
      <w:r>
        <w:t xml:space="preserve">“Todo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w:t>
      </w:r>
      <w:r>
        <w:lastRenderedPageBreak/>
        <w:t>Proclamas independentistas; críticas ácidas al Gobierno central; discursos que tratan de convencer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 [fundamento de Derecho A), 17.5.2].</w:t>
      </w:r>
    </w:p>
    <w:p w:rsidR="005728DD" w:rsidRDefault="005728DD" w:rsidP="005728DD">
      <w:pPr>
        <w:pStyle w:val="TextoNormal"/>
      </w:pPr>
    </w:p>
    <w:p w:rsidR="005728DD" w:rsidRDefault="005728DD" w:rsidP="005728DD">
      <w:pPr>
        <w:pStyle w:val="TextoNormal"/>
      </w:pPr>
      <w:r>
        <w:t>Por lo que concluye afirmando que, en este caso: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005728DD" w:rsidRDefault="005728DD" w:rsidP="005728DD">
      <w:pPr>
        <w:pStyle w:val="TextoNormal"/>
      </w:pPr>
    </w:p>
    <w:p w:rsidR="005728DD" w:rsidRDefault="005728DD" w:rsidP="005728DD">
      <w:pPr>
        <w:pStyle w:val="TextoNormal"/>
      </w:pPr>
      <w:r>
        <w:t>Como hemos expuesto en el fundamento jurídico anterior, al sintetizar el juicio de tipicidad de la conducta del recurrente —que lleva a considerarla constitutiva de un delito de sedición— la Sala entiende que “la hostilidad desplegada hizo inviable el día 20 de septiembre que los funcionarios dieran cumplimiento con normalidad a las órdenes del Juzgado de Instrucción núm. 13 de Barcelona”. Y en relación con la jornada de votación del 1 de octubre de 2017 y su víspera, se afirma que “los comportamientos del día 1 de octubre implicaron el uso de fuerza suficiente para neutralizar a los agentes de policía que legítimamente trataban de impedir la votación, según venían obligados por expreso mandato judicial”.</w:t>
      </w:r>
    </w:p>
    <w:p w:rsidR="005728DD" w:rsidRDefault="005728DD" w:rsidP="005728DD">
      <w:pPr>
        <w:pStyle w:val="TextoNormal"/>
      </w:pPr>
    </w:p>
    <w:p w:rsidR="005728DD" w:rsidRDefault="005728DD" w:rsidP="005728DD">
      <w:pPr>
        <w:pStyle w:val="TextoNormal"/>
      </w:pPr>
      <w:r>
        <w:t>b) Mayor extensión y apoyo jurisprudencial presenta la respuesta que dio la Sala al desestimar la solicitud de nulidad de actuaciones que, con el mismo fundamento, planteó el recurrente tras conocer el fallo condenatorio y los argumentos que lo sustentaban (ATS de 29 de enero de 2020, fundamento de Derecho 2.5).</w:t>
      </w:r>
    </w:p>
    <w:p w:rsidR="005728DD" w:rsidRDefault="005728DD" w:rsidP="005728DD">
      <w:pPr>
        <w:pStyle w:val="TextoNormal"/>
      </w:pPr>
    </w:p>
    <w:p w:rsidR="005728DD" w:rsidRDefault="005728DD" w:rsidP="005728DD">
      <w:pPr>
        <w:pStyle w:val="TextoNormal"/>
      </w:pPr>
      <w:r>
        <w:t>A partir del relato de hechos declarados probados que se refieren al señor Cuixart —que ha quedado resumido en el fundamento jurídico anterior—, la Sala reitera que su conducta no supuso el libre ejercicio de un derecho fundamental. A partir del contenido y posibilidades de restricción del derecho de reunión pacífica reconocidos por el art. 11 CEDH y la jurisprudencia que lo interpreta, destaca que el derecho de reunión no ampara convocatorias que conlleven una llamada a la violencia, al levantamiento colectivo o a cualquier otra forma de rechazo de los principios democráticos. Considera que es este último límite el que se ha sobrepasado con la conducta del recurrente, pues en su convocatoria masiva y reiterada invocó un abstracto mandato del pueblo para olvidar y desconocer el ordenamiento constitucional y sus instituciones. De esta forma, se afirma, negó toda validez, en forma proactiva, no meramente discursiva, a cualquier resolución del Tribunal Constitucional que los acusados entendían que se oponía a ese abstracto mandato del pueblo, pretendidamente recibido en las elecciones autonómicas de septiembre de 2015.</w:t>
      </w:r>
    </w:p>
    <w:p w:rsidR="005728DD" w:rsidRDefault="005728DD" w:rsidP="005728DD">
      <w:pPr>
        <w:pStyle w:val="TextoNormal"/>
      </w:pPr>
    </w:p>
    <w:p w:rsidR="005728DD" w:rsidRDefault="005728DD" w:rsidP="005728DD">
      <w:pPr>
        <w:pStyle w:val="TextoNormal"/>
      </w:pPr>
      <w:r>
        <w:lastRenderedPageBreak/>
        <w:t>Aclara la Sala, de nuevo, que el recurrente no ha sido condenado, como él afirma, por convocar una protesta contra determinadas actuaciones judiciales que en modo alguno se impidieron, ni por animar a participar en un acto masivo de expresión de opinión a través de una votación. Lo ha sido por impedir el cumplimiento de las leyes y de las decisiones judiciales, por las vías de hecho que se han declarado probadas. Añade que las manifestaciones convocadas por las asociaciones civiles el día 1 de octubre de 2017 no se circunscribían a la mera reivindicación de un legítimo mensaje político. Ni tampoco fueron la expresión de protestas que, pese a su hostilidad, tienen indudable encaje constitucional. Por el contrario, se trataba de una convocatoria ejecutada en un indisimulado lenguaje performativo, porque, “simultáneamente a su desarrollo se implementaban apartados del decreto dictado por el Govern en desarrollo de la inconstitucional normativa de secesión aprobada por el Parlament. Se trataba así de conferir una efectividad a esa ilegal norma de cobertura, con desprecio de su invalidez, posibilitando la celebración de un referéndum que eludía la eficacia de cualquier resolución judicial tendente a impedirlo. Se lograba de esta forma la realización simultánea por los convocantes de la acción evocada, celebración del ilegal referéndum, en cuanto contrario a la normativa electoral y estatuaria”. Su desarrollo, señala la Sala, supuso “graves comisiones delictivas en las que, a través de una conducta coactiva, se facilitaba e imponía una normativa antidemocrática, adoptada con menosprecio y conculcación de los derechos de un relevante número de parlamentarios autonómicos y de los ciudadanos a los que representaban, que superaban a la mitad de los votantes”.</w:t>
      </w:r>
    </w:p>
    <w:p w:rsidR="005728DD" w:rsidRDefault="005728DD" w:rsidP="005728DD">
      <w:pPr>
        <w:pStyle w:val="TextoNormal"/>
      </w:pPr>
    </w:p>
    <w:p w:rsidR="005728DD" w:rsidRDefault="005728DD" w:rsidP="005728DD">
      <w:pPr>
        <w:pStyle w:val="TextoNormal"/>
      </w:pPr>
      <w:r>
        <w:t xml:space="preserve">La pretensión de los acusados de convocar y llamar a los ciudadanos a la participación en un referéndum sobre la independencia de Cataluña, la califica como un intento de derogación fuera de las vías legales de la legislación válida vigente, además de una contumaz negativa a acatar las resoluciones dictadas por el Tribunal Constitucional. Pues no solo el Parlamento autonómico conocía que carecía de competencia para aprobar unilateralmente una norma sobre tal referéndum (y en tal sentido había sido expresamente advertido en resoluciones de este tribunal anteriores a su aprobación), sino que su tramitación parlamentaria forzada se desarrolló con visible desprecio a un relevante número de parlamentarios catalanes, próximos a la mitad de la composición de la Cámara (decisión del Tribunal Europeo de Derechos Humanos de 7 de mayo de 2019, asunto </w:t>
      </w:r>
      <w:r w:rsidRPr="005728DD">
        <w:rPr>
          <w:i/>
        </w:rPr>
        <w:t>Maria Carme Forcadell i Lluis, y otros, c. España</w:t>
      </w:r>
      <w:r>
        <w:t>).</w:t>
      </w:r>
    </w:p>
    <w:p w:rsidR="005728DD" w:rsidRDefault="005728DD" w:rsidP="005728DD">
      <w:pPr>
        <w:pStyle w:val="TextoNormal"/>
      </w:pPr>
    </w:p>
    <w:p w:rsidR="005728DD" w:rsidRDefault="005728DD" w:rsidP="005728DD">
      <w:pPr>
        <w:pStyle w:val="TextoNormal"/>
      </w:pPr>
      <w:r>
        <w:t>En defensa de su rechazo a admitir la causa de justificación alegada según la cual “se han condenado ideas”, recuerda la Sala que la independencia como aspiración política nunca ha sido objeto de procedimiento penal. No lo fue cuando, como cada anualidad, el 11 de septiembre se celebró la Diada, con asistencia —según las fuentes que se consulten— de entre trescientas cincuenta mil y un millón de personas. Una reunión pacífica que incluía, entre otros lemas, la afirmación de que “votaremos, quieran o no quieran”, en directa alusión al deseo colectivo de ignorar la prohibición de la celebración del referéndum que tuvo lugar unos días después. Tampoco hubo persecución penal cuando, una y otra vez, se proclamaba la insumisión a los tribunales y gobiernos “que solo quieren preservar la indivisible unidad de la patria”.</w:t>
      </w:r>
    </w:p>
    <w:p w:rsidR="005728DD" w:rsidRDefault="005728DD" w:rsidP="005728DD">
      <w:pPr>
        <w:pStyle w:val="TextoNormal"/>
      </w:pPr>
    </w:p>
    <w:p w:rsidR="005728DD" w:rsidRDefault="005728DD" w:rsidP="005728DD">
      <w:pPr>
        <w:pStyle w:val="TextoNormal"/>
      </w:pPr>
      <w:r>
        <w:t xml:space="preserve">Insiste la Sala en desligar la conducta del recurrente del libre ejercicio del derecho de reunión y manifestación recordando que no ha sido condenado por convocar una protesta, sino por impedir por la vía de hecho, a través de ella, el cumplimiento de las leyes y las </w:t>
      </w:r>
      <w:r>
        <w:lastRenderedPageBreak/>
        <w:t>decisiones judiciales. Así se considera que sucedió en la concentración convocada y desarrollada el 20 de septiembre para cuestionar, dificultar e impedir durante varias horas la actuación del juez de instrucción y de los agentes de policía judicial, que se limitaban a dar cumplimiento a sus decisiones en busca de fuentes de prueba de actividades presuntamente delictivas. En opinión de la Sala, tampoco se ha desalentado o disuadido el legítimo ejercicio de la libertad de expresión, por cuanto “las manifestaciones objeto de la concurrencia pública, en modo alguno resultaban amparadas por el derecho a la libertad de expresión, en cuanto conllevaban un levantamiento con el objetivo de implementar una normativa antidemocrática y afectaban potencialmente y de forma mediata a la integridad territorial”. Y así se reitera que ocurrió también la víspera y la jornada señalada para la votación del referéndum ilegal convocado al efecto.</w:t>
      </w:r>
    </w:p>
    <w:p w:rsidR="005728DD" w:rsidRDefault="005728DD" w:rsidP="005728DD">
      <w:pPr>
        <w:pStyle w:val="TextoNormal"/>
      </w:pPr>
    </w:p>
    <w:p w:rsidR="005728DD" w:rsidRDefault="005728DD" w:rsidP="005728DD">
      <w:pPr>
        <w:pStyle w:val="TextoNormal"/>
      </w:pPr>
      <w:r>
        <w:t xml:space="preserve">9.3. </w:t>
      </w:r>
      <w:r w:rsidRPr="005728DD">
        <w:rPr>
          <w:i/>
        </w:rPr>
        <w:t>Doctrina jurisprudencial: el ámbito constitucional de protección de las libertades de reunión y manifestación</w:t>
      </w:r>
      <w:r>
        <w:t>.</w:t>
      </w:r>
    </w:p>
    <w:p w:rsidR="005728DD" w:rsidRDefault="005728DD" w:rsidP="005728DD">
      <w:pPr>
        <w:pStyle w:val="TextoNormal"/>
      </w:pPr>
    </w:p>
    <w:p w:rsidR="005728DD" w:rsidRDefault="005728DD" w:rsidP="005728DD">
      <w:pPr>
        <w:pStyle w:val="TextoNormal"/>
      </w:pPr>
      <w:r>
        <w:t>Haciendo abstracción del contexto en que se produjo y de los efectos que provocó su convocatoria, el demandante invoca de forma conjunta sus derechos a la libertad de expresión, reunión y manifestación garantizados por los arts. 20 y 21 CE. Afirma que su participación en los hechos por los que ha sido condenado constituye un ejercicio legítimo de aquellos, por cuanto se limitó a convocar públicamente a los ciudadanos a manifestarse masiva y pacíficamente en favor del derecho de los catalanes a decidir libremente su futuro político a través de un referéndum de autodeterminación sobre la independencia de Cataluña, al que invitó a participar, precisamente, como reacción y protesta política frente a la prohibición judicial de su desarrollo, la cual consideraba injusta.</w:t>
      </w:r>
    </w:p>
    <w:p w:rsidR="005728DD" w:rsidRDefault="005728DD" w:rsidP="005728DD">
      <w:pPr>
        <w:pStyle w:val="TextoNormal"/>
      </w:pPr>
    </w:p>
    <w:p w:rsidR="005728DD" w:rsidRDefault="005728DD" w:rsidP="005728DD">
      <w:pPr>
        <w:pStyle w:val="TextoNormal"/>
      </w:pPr>
      <w:r>
        <w:t xml:space="preserve">En nuestra jurisprudencia hemos declarado el contenido constitucional del derecho de reunión, y sus límites internos y externos, con una doctrina que entronca con la del Tribunal Europeo de Derechos Humanos, cuyo contenido ha sido exhaustivamente expuesto en la STEDH de 5 de enero de 2016, asunto </w:t>
      </w:r>
      <w:r w:rsidRPr="005728DD">
        <w:rPr>
          <w:i/>
        </w:rPr>
        <w:t>Frumkin c. Rusia</w:t>
      </w:r>
      <w:r>
        <w:t>, § 93 a 99. Al igual que la libertad de expresión, el derecho de reunión y el de manifestación son libertades políticas básicas sobre las que se asienta nuestro orden político (art. 10.1 CE). En tal medida, las limitaciones a su ejercicio deben ser interpretadas restrictivamente. Así, hemos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señalado ya en la STC 85/1988, de 28 de abril, FJ 2, y desarrollado después, entre otras, en las SSTC 66/1995, de 8 de mayo, FJ 3; 196/2002, de 28 de octubre, FJ 4; 170/2008, de 15 de diciembre, FJ 3; 38/2009, de 9 de febrero, FJ 2, y 193/2011, de 12 de diciembre, FJ 3.</w:t>
      </w:r>
    </w:p>
    <w:p w:rsidR="005728DD" w:rsidRDefault="005728DD" w:rsidP="005728DD">
      <w:pPr>
        <w:pStyle w:val="TextoNormal"/>
      </w:pPr>
    </w:p>
    <w:p w:rsidR="005728DD" w:rsidRDefault="005728DD" w:rsidP="005728DD">
      <w:pPr>
        <w:pStyle w:val="TextoNormal"/>
      </w:pPr>
      <w:r>
        <w:t xml:space="preserve">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w:t>
      </w:r>
      <w:r>
        <w:lastRenderedPageBreak/>
        <w:t>(SSTC 66/1995, FJ 3; 196/2002, FJ 4; 195/2003, FJ 3; 110/2006, FJ 3; 301/2006, FJ 2, y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005728DD" w:rsidRDefault="005728DD" w:rsidP="005728DD">
      <w:pPr>
        <w:pStyle w:val="TextoNormal"/>
      </w:pPr>
    </w:p>
    <w:p w:rsidR="005728DD" w:rsidRDefault="005728DD" w:rsidP="005728DD">
      <w:pPr>
        <w:pStyle w:val="TextoNormal"/>
      </w:pPr>
      <w:r>
        <w:t xml:space="preserve">Esa caracterización pone de manifiesto el estrecho vínculo que existe entre el derecho de reunión y la libertad de expresión [art. 20.1 a) CE], y el de ambos derechos con la democracia, directa y representativa. Esta conexión ha sido enfatizada también por el Tribunal Europeo de Derechos Humanos, que califica la libertad de expresión (art. 10 CEDH) como </w:t>
      </w:r>
      <w:r w:rsidRPr="005728DD">
        <w:rPr>
          <w:i/>
        </w:rPr>
        <w:t>lex generalis</w:t>
      </w:r>
      <w:r>
        <w:t xml:space="preserve"> en relación con la libertad de reunión (art. 11 CEDH), que de aquella sería </w:t>
      </w:r>
      <w:r w:rsidRPr="005728DD">
        <w:rPr>
          <w:i/>
        </w:rPr>
        <w:t>lex specialis</w:t>
      </w:r>
      <w:r>
        <w:t xml:space="preserve"> (STEDH de 5 de marzo de 2009, asunto </w:t>
      </w:r>
      <w:r w:rsidRPr="005728DD">
        <w:rPr>
          <w:i/>
        </w:rPr>
        <w:t>Barraco c. Francia</w:t>
      </w:r>
      <w:r>
        <w:t>, § 26). Por tanto, pese a ser un derecho autónomo con ámbito de aplicación propio, cuando el objetivo del ejercicio del derecho de reunión es la expresión pacífica de opiniones propias en un foro público a través de la reivindicación o la protesta, su contenido debe también examinarse, de forma complementaria, a la luz del art. 10 CEDH (por todas, STEDH de 15 de octubre de 2015, de la Gran Sala, dictada en el asunt</w:t>
      </w:r>
      <w:r w:rsidRPr="005728DD">
        <w:rPr>
          <w:i/>
        </w:rPr>
        <w:t>o Kudrevičius y otros c. Lituan</w:t>
      </w:r>
      <w:r>
        <w:t>ia, § 85 y 86).</w:t>
      </w:r>
    </w:p>
    <w:p w:rsidR="005728DD" w:rsidRDefault="005728DD" w:rsidP="005728DD">
      <w:pPr>
        <w:pStyle w:val="TextoNormal"/>
      </w:pPr>
    </w:p>
    <w:p w:rsidR="005728DD" w:rsidRDefault="005728DD" w:rsidP="005728DD">
      <w:pPr>
        <w:pStyle w:val="TextoNormal"/>
      </w:pPr>
      <w:r>
        <w:t xml:space="preserve">Ahora bien, ya se trate de reuniones privadas o públicas, estáticas o en forma de manifestación, hemos de destacar que lo que el art. 21 CE reconoce y protege es el derecho de reunión pacífica (lo que descarta, obviamente, el uso de armas); pero no son las únicas excepciones, pues también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 de octubre de 2001, asuntos </w:t>
      </w:r>
      <w:r w:rsidRPr="005728DD">
        <w:rPr>
          <w:i/>
        </w:rPr>
        <w:t>Stankov y United Macedonian Organisation Ilinden c. Bulgaria</w:t>
      </w:r>
      <w:r>
        <w:t xml:space="preserve">; de 20 de octubre de 2005, </w:t>
      </w:r>
      <w:r w:rsidRPr="005728DD">
        <w:rPr>
          <w:i/>
        </w:rPr>
        <w:t>United Macedonian Organisation Ilinden e Ivanov c. Bulgaria</w:t>
      </w:r>
      <w:r>
        <w:t xml:space="preserve">, § 99; de 23 de octubre de 2008, asunto </w:t>
      </w:r>
      <w:r w:rsidRPr="005728DD">
        <w:rPr>
          <w:i/>
        </w:rPr>
        <w:t>Serguei Kouznetsov c. Rusia</w:t>
      </w:r>
      <w:r>
        <w:t xml:space="preserve">, § 45; de 21 de octubre de 2010, asunto </w:t>
      </w:r>
      <w:r w:rsidRPr="005728DD">
        <w:rPr>
          <w:i/>
        </w:rPr>
        <w:t>Alekseyev c. Rusia</w:t>
      </w:r>
      <w:r>
        <w:t>, § 80, o de 20 de septiembre de 2018, asunt</w:t>
      </w:r>
      <w:r w:rsidRPr="005728DD">
        <w:rPr>
          <w:i/>
        </w:rPr>
        <w:t>o Mushegh Saghatelyan c. Armen</w:t>
      </w:r>
      <w:r>
        <w:t>ia, § 227).</w:t>
      </w:r>
    </w:p>
    <w:p w:rsidR="005728DD" w:rsidRDefault="005728DD" w:rsidP="005728DD">
      <w:pPr>
        <w:pStyle w:val="TextoNormal"/>
      </w:pPr>
    </w:p>
    <w:p w:rsidR="005728DD" w:rsidRDefault="005728DD" w:rsidP="005728DD">
      <w:pPr>
        <w:pStyle w:val="TextoNormal"/>
      </w:pPr>
      <w:r>
        <w:t xml:space="preserve">Una vez definido, resta por señalar que el contenido del derecho de reunión puede verse modulado por los límites a su ejercicio que forzosamente impone la protección de otros bienes o derechos constitucionales. Como señalamos en la STC 193/2011, de 12 de diciembre, FJ 3,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recordamos en la STC 195/2003, de 27 de </w:t>
      </w:r>
      <w:r>
        <w:lastRenderedPageBreak/>
        <w:t>octubre, FJ 7, y en todas las que allí se citan, han de ser necesarios “para conseguir el fin perseguido, debiendo atender a la proporcionalidad entre el sacrificio del derecho y la situación en la que se halla aquel a quien se impone […] y, en todo caso, respetar su contenido esencial”.</w:t>
      </w:r>
    </w:p>
    <w:p w:rsidR="005728DD" w:rsidRDefault="005728DD" w:rsidP="005728DD">
      <w:pPr>
        <w:pStyle w:val="TextoNormal"/>
      </w:pPr>
    </w:p>
    <w:p w:rsidR="005728DD" w:rsidRDefault="005728DD" w:rsidP="005728DD">
      <w:pPr>
        <w:pStyle w:val="TextoNormal"/>
      </w:pPr>
      <w:r>
        <w:t>Así lo prevé expresamente también el Convenio europeo de derechos humanos cuando, en el párrafo segundo del art. 11, admite y advierte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w:t>
      </w:r>
    </w:p>
    <w:p w:rsidR="005728DD" w:rsidRDefault="005728DD" w:rsidP="005728DD">
      <w:pPr>
        <w:pStyle w:val="TextoNormal"/>
      </w:pPr>
    </w:p>
    <w:p w:rsidR="005728DD" w:rsidRDefault="005728DD" w:rsidP="005728DD">
      <w:pPr>
        <w:pStyle w:val="TextoNormal"/>
      </w:pPr>
      <w:r>
        <w:t>9.4</w:t>
      </w:r>
      <w:r w:rsidRPr="005728DD">
        <w:rPr>
          <w:i/>
        </w:rPr>
        <w:t>. Resolución de la que</w:t>
      </w:r>
      <w:r>
        <w:t>ja.</w:t>
      </w:r>
    </w:p>
    <w:p w:rsidR="005728DD" w:rsidRDefault="005728DD" w:rsidP="005728DD">
      <w:pPr>
        <w:pStyle w:val="TextoNormal"/>
      </w:pPr>
    </w:p>
    <w:p w:rsidR="005728DD" w:rsidRDefault="005728DD" w:rsidP="005728DD">
      <w:pPr>
        <w:pStyle w:val="TextoNormal"/>
      </w:pPr>
      <w:r>
        <w:t>9.4.1</w:t>
      </w:r>
      <w:r w:rsidRPr="005728DD">
        <w:rPr>
          <w:i/>
        </w:rPr>
        <w:t>. Interrelación de las pretensiones sustantivas plantead</w:t>
      </w:r>
      <w:r>
        <w:t>as.</w:t>
      </w:r>
    </w:p>
    <w:p w:rsidR="005728DD" w:rsidRDefault="005728DD" w:rsidP="005728DD">
      <w:pPr>
        <w:pStyle w:val="TextoNormal"/>
      </w:pPr>
    </w:p>
    <w:p w:rsidR="005728DD" w:rsidRDefault="005728DD" w:rsidP="005728DD">
      <w:pPr>
        <w:pStyle w:val="TextoNormal"/>
      </w:pPr>
      <w:r>
        <w:t>Como ya hemos expuesto, la impugnación sustantiva de la condena penal se realiza en la demanda de amparo desde dos perspectivas diferentes: (i) la de los derechos a la libertad de reunión y manifestación, puestos en relación con la libertad de expresión (arts. 20 y 21 CE), y (ii) la del derecho a la legalidad de las infracciones y sanciones (art. 25.1 CE). Tal perspectiva doble, en ocasiones coincidente, exige realizar una consideración adicional.</w:t>
      </w:r>
    </w:p>
    <w:p w:rsidR="005728DD" w:rsidRDefault="005728DD" w:rsidP="005728DD">
      <w:pPr>
        <w:pStyle w:val="TextoNormal"/>
      </w:pPr>
    </w:p>
    <w:p w:rsidR="005728DD" w:rsidRDefault="005728DD" w:rsidP="005728DD">
      <w:pPr>
        <w:pStyle w:val="TextoNormal"/>
      </w:pPr>
      <w:r>
        <w:t>Como tuvimos oportunidad de expresar en el ATC 4/2008, de 9 de enero, las diferentes perspectivas sustantivas desde las que el recurrente impugna la decisión de condena no responden, en principio, a una relación de consunción, de modo que una sola de ellas abarque todo el contenido de la otra, sino que son consecuencia de la diversidad de valores constitucionales que cada una de ellas incorpora. De una parte, a través de los arts. 20 y 21 CE, se establece la exigencia constitucional de no limitar indebidamente, ni disuadir, las conductas de los ciudadanos a través de las que, de forma verbal o simbólica, expresan públicamente sus opiniones y juicios de valor; singularmente, aquellas que se refieren a asuntos de interés general cuyo debate contribuye a la formación de una opinión pública libre; garantía esta que, como tantas veces hemos reiterado, es uno de los pilares de una sociedad libre y democrática (SSTC 137/1997, de 21 de julio, FFJJ 6 y 7, y 235/2007, de 7 de noviembre, FJ 4). De otra, la previsibilidad y proporcionalidad de las sanciones penales es una exigencia constitucional ineludible plasmada en el art. 25.1 CE que atiende a la especial incidencia que la reacción penal ha de tener sobre los derechos fundamentales; ya sean los implicados en la conducta sancionada —en este caso el derecho de reunión— o los que tienen que ver con la naturaleza privativa de libertad y otros derechos fundamentales de la pena impuesta.</w:t>
      </w:r>
    </w:p>
    <w:p w:rsidR="005728DD" w:rsidRDefault="005728DD" w:rsidP="005728DD">
      <w:pPr>
        <w:pStyle w:val="TextoNormal"/>
      </w:pPr>
    </w:p>
    <w:p w:rsidR="005728DD" w:rsidRDefault="005728DD" w:rsidP="005728DD">
      <w:pPr>
        <w:pStyle w:val="TextoNormal"/>
      </w:pPr>
      <w:r>
        <w:t xml:space="preserve">A pesar de la autonomía que mantienen, los argumentos que utiliza el recurrente sobre la exigencia de previsión legal, o acerca del carácter necesario y proporcionado de la injerencia, son en parte coincidentes y aparecen inevitablemente relacionados, lo que exigirá abordarlos con una perspectiva global atenta a los distintos intereses que unos y otros derechos alegados protegen. No podía ser de otra forma, pues la exigencia de previsión legal en la limitación de los derechos fundamentales es también el rasgo esencial que identifica el contenido del principio de legalidad sancionatoria, y —como expresamos en la STC 136/1999, de 20 de julio, FJ 21— la proporcionalidad en sentido estricto y la necesidad de la medida, además de exigencias constitucionales de la limitación de los derechos fundamentales, </w:t>
      </w:r>
      <w:r>
        <w:lastRenderedPageBreak/>
        <w:t>“constituyen dos elementos o perspectivas complementarias del principio de proporcionalidad de las sanciones penales”, ínsito, en supuestos como el presente, en la relación entre el art. 25.1 CE y los demás derechos fundamentales y libertades públicas concernidos: en este caso, las alegadas libertades de expresión y reunión reconocidas en los arts. 20 y 21 CE, la libertad personal reconocida en el art. 17 CE, y los derechos de acceso a los cargos públicos y participación política —dada la naturaleza de las penas impuestas al recurrente—.</w:t>
      </w:r>
    </w:p>
    <w:p w:rsidR="005728DD" w:rsidRDefault="005728DD" w:rsidP="005728DD">
      <w:pPr>
        <w:pStyle w:val="TextoNormal"/>
      </w:pPr>
    </w:p>
    <w:p w:rsidR="005728DD" w:rsidRDefault="005728DD" w:rsidP="005728DD">
      <w:pPr>
        <w:pStyle w:val="TextoNormal"/>
      </w:pPr>
      <w:r>
        <w:t>9.4.2</w:t>
      </w:r>
      <w:r w:rsidRPr="005728DD">
        <w:rPr>
          <w:i/>
        </w:rPr>
        <w:t>. Procedimiento de análisis de las pretensiones sustantivas plantead</w:t>
      </w:r>
      <w:r>
        <w:t>as.</w:t>
      </w:r>
    </w:p>
    <w:p w:rsidR="005728DD" w:rsidRDefault="005728DD" w:rsidP="005728DD">
      <w:pPr>
        <w:pStyle w:val="TextoNormal"/>
      </w:pPr>
    </w:p>
    <w:p w:rsidR="005728DD" w:rsidRDefault="005728DD" w:rsidP="005728DD">
      <w:pPr>
        <w:pStyle w:val="TextoNormal"/>
      </w:pPr>
      <w:r>
        <w:t>La variedad de pretensiones sustantivas acumuladas que plantea el recurrente, que fueron también nucleares en los alegatos defendidos en la vía judicial en favor de su absolución, evidencian la necesidad de abordar ordenadamente su examen, dado que, como hemos expresado, los diversos motivos de amparo se sustentan en ocasiones en argumentos coincidentes o complementarios cuya eventual estimación haría innecesario agotar el razonamiento sobre todos los planteados.</w:t>
      </w:r>
    </w:p>
    <w:p w:rsidR="005728DD" w:rsidRDefault="005728DD" w:rsidP="005728DD">
      <w:pPr>
        <w:pStyle w:val="TextoNormal"/>
      </w:pPr>
    </w:p>
    <w:p w:rsidR="005728DD" w:rsidRDefault="005728DD" w:rsidP="005728DD">
      <w:pPr>
        <w:pStyle w:val="TextoNormal"/>
      </w:pPr>
      <w:r>
        <w:t>Y así, conforme a nuestra jurisprudencia, en nuestro análisis cabe identificar los siguientes momentos:</w:t>
      </w:r>
    </w:p>
    <w:p w:rsidR="005728DD" w:rsidRDefault="005728DD" w:rsidP="005728DD">
      <w:pPr>
        <w:pStyle w:val="TextoNormal"/>
      </w:pPr>
    </w:p>
    <w:p w:rsidR="005728DD" w:rsidRDefault="005728DD" w:rsidP="005728DD">
      <w:pPr>
        <w:pStyle w:val="TextoNormal"/>
      </w:pPr>
      <w:r>
        <w:t>a) A partir de los hechos declarados probados por la Sala de lo Penal del Tribunal Supremo y del contenido de los derechos fundamentales sustantivos alegados, nuestro examen debe centrarse, en primer lugar, en la conducta que es presupuesto fáctico de la condena.</w:t>
      </w:r>
    </w:p>
    <w:p w:rsidR="005728DD" w:rsidRDefault="005728DD" w:rsidP="005728DD">
      <w:pPr>
        <w:pStyle w:val="TextoNormal"/>
      </w:pPr>
    </w:p>
    <w:p w:rsidR="005728DD" w:rsidRDefault="005728DD" w:rsidP="005728DD">
      <w:pPr>
        <w:pStyle w:val="TextoNormal"/>
      </w:pPr>
      <w:r>
        <w:t>Deberemos determinar si por su contenido, por la finalidad a que se orienta o por los medios empleados, puede encuadrarse en el ámbito de protección propio de los derechos y libertades de expresión y reunión que han sido alegados, al margen de cualquier consideración acerca de si su concreto ejercicio supuso o no una extralimitación. Nos situaremos, pues, no en el ámbito de las limitaciones o restricciones posibles al ejercicio del derecho de reunión, sino en el previo de la delimitación de su contenido y finalidad. Tal escrutinio permite identificar y excluir aquellos supuestos en los que la invocación del derecho fundamental se convierte en un mero pretexto o subterfugio para, a su pretendido amparo, cometer actos antijurídicos; lo que puede ocurrir cuando se desnaturaliza el ejercicio del derecho situándose, objetivamente, al margen del contenido propio del mismo (SSTC 185/2003, de 27 de octubre, FJ 5, y 104/2011, de 20 de junio, FJ 6).</w:t>
      </w:r>
    </w:p>
    <w:p w:rsidR="005728DD" w:rsidRDefault="005728DD" w:rsidP="005728DD">
      <w:pPr>
        <w:pStyle w:val="TextoNormal"/>
      </w:pPr>
    </w:p>
    <w:p w:rsidR="005728DD" w:rsidRDefault="005728DD" w:rsidP="005728DD">
      <w:pPr>
        <w:pStyle w:val="TextoNormal"/>
      </w:pPr>
      <w:r>
        <w:t>b) En segundo término, si concluyéramos que la conducta forma parte del ámbito de protección propio del derecho de reunión, será preciso examinar si, por ser ejercicio plenamente legítimo de su contenido, tal circunstancia opera como causa excluyente de su antijuridicidad [por todas, STC 24/2019, de 25 de febrero, FJ 3 a), y, muy recientemente, STC 190/2020, de 15 de diciembre, FJ 4]. El análisis se dirigirá entonces a determinar si la conducta sancionada se sitúa inequívocamente en el ámbito del contenido del derecho y, además, respeta los límites establecidos para su ejercicio. Dicho de otra forma, si puede ser calificada como ajustada al ejercicio regular del derecho fundamental, respondiendo por su contenido, finalidad única o concurrente, o por los medios empleados, a las posibilidades de actuación o resistencia que otorga (entre otras, SSTC 111/1993, de 25 de marzo, FFJJ 5 y 6; 137/1997, de 21 de julio, FJ 2; 110/2000, de 5 de mayo, FJ 4; 88/2003, de 19 de mayo, FJ 8; 299/2006, de 23 de octubre, FJ 6; 104/2011, de 20 de junio, FJ 6, y 177/2015, de 22 de julio, FJ 2).</w:t>
      </w:r>
    </w:p>
    <w:p w:rsidR="005728DD" w:rsidRDefault="005728DD" w:rsidP="005728DD">
      <w:pPr>
        <w:pStyle w:val="TextoNormal"/>
      </w:pPr>
    </w:p>
    <w:p w:rsidR="005728DD" w:rsidRDefault="005728DD" w:rsidP="005728DD">
      <w:pPr>
        <w:pStyle w:val="TextoNormal"/>
      </w:pPr>
      <w:r>
        <w:t>En caso afirmativo, las conductas enjuiciadas no podrían sufrir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005728DD" w:rsidRDefault="005728DD" w:rsidP="005728DD">
      <w:pPr>
        <w:pStyle w:val="TextoNormal"/>
      </w:pPr>
    </w:p>
    <w:p w:rsidR="005728DD" w:rsidRDefault="005728DD" w:rsidP="005728DD">
      <w:pPr>
        <w:pStyle w:val="TextoNormal"/>
      </w:pPr>
      <w:r>
        <w:t>Dicha doctrina, elaborada inicialmente en el marco del conflicto entre los derechos fundamentales al honor y las libertades de expresión e información (SSTC 104/1986, de 17 de julio, FJ 6; 107/1988, de 8 de junio, FJ 2, o 20/1990, de 15 de febrero, FJ 2), se ha trasladado también al examen de la respuesta penal a comportamientos relacionados con el ejercicio de otros derechos fundamentales (SSTC 254/1988, de 21 de diciembre, FJ 3, delito de coacciones en un contexto de huelga; 137/1997, de 21 de julio, FJ 3, falta de coacciones y derecho de huelga; 185/2003, de 27 de octubre, FJ 6, injurias y libertad sindical, y 104/2011, de 20 de junio, FJ 6, delito de desobediencia y derecho a la huelga) y, en particular, con el derecho de reunión pacífica (SSTC 196/2002, de 28 de octubre, FFJJ 5 y 6, delito electoral, y STC 88/2003, de 19 de mayo, FJ 8, allanamiento del domicilio de persona jurídico-pública en el contexto de una asamblea sindical). Por lo demás, la relación de exclusión entre el ejercicio legítimo de un derecho fundamental y su castigo orienta asimismo los pronunciamientos que se han analizado a la legitimidad de sanciones no penales vinculadas al ejercicio del derecho de reunión (SSTC 42/2002, de 14 de febrero, FJ 5; 124/2005, de 23 de mayo, FJ 3, y 110/2006, de 3 de abril, FJ 4).</w:t>
      </w:r>
    </w:p>
    <w:p w:rsidR="005728DD" w:rsidRDefault="005728DD" w:rsidP="005728DD">
      <w:pPr>
        <w:pStyle w:val="TextoNormal"/>
      </w:pPr>
    </w:p>
    <w:p w:rsidR="005728DD" w:rsidRDefault="005728DD" w:rsidP="005728DD">
      <w:pPr>
        <w:pStyle w:val="TextoNormal"/>
      </w:pPr>
      <w:r>
        <w:t>c) De concluir que la conducta analizada no es ejercicio plenamente legítimo del derecho de reunión aducido, el análisis constitucional de las quejas planteadas en la demanda no puede detenerse ni resolverse únicamente con un debate sobre si los derechos fundamentales alegados, así ejercitados, tienen o no valor preferente frente al fin de protección de la norma penal aplicada. Tan limitado examen aboca como soluciones únicas de la controversia a una decisión absolutoria, o a una de condena conforme con la extensión prevista legalmente en la previsión penal abstracta, lo que evita y dificulta analizar y graduar la necesidad e intensidad de la reacción penal dirigida a proteger su legítima finalidad.</w:t>
      </w:r>
    </w:p>
    <w:p w:rsidR="005728DD" w:rsidRDefault="005728DD" w:rsidP="005728DD">
      <w:pPr>
        <w:pStyle w:val="TextoNormal"/>
      </w:pPr>
    </w:p>
    <w:p w:rsidR="005728DD" w:rsidRDefault="005728DD" w:rsidP="005728DD">
      <w:pPr>
        <w:pStyle w:val="TextoNormal"/>
      </w:pPr>
      <w:r>
        <w:t>En tales casos, resulta obligado efectuar otras consideraciones que son complementarias a las anteriores, referidas únicamente a su carácter plenamente legítimo o antijurídico. Dicho análisis se dirige a determinar si en las circunstancias del caso, la sanción penal, atendida su naturaleza y su extensión, puede ser considerada una reacción proporcionada a las necesidades de protección que la justifican.</w:t>
      </w:r>
    </w:p>
    <w:p w:rsidR="005728DD" w:rsidRDefault="005728DD" w:rsidP="005728DD">
      <w:pPr>
        <w:pStyle w:val="TextoNormal"/>
      </w:pPr>
    </w:p>
    <w:p w:rsidR="005728DD" w:rsidRDefault="005728DD" w:rsidP="005728DD">
      <w:pPr>
        <w:pStyle w:val="TextoNormal"/>
      </w:pPr>
      <w:r>
        <w:t>En efecto, de apreciar que la conducta imputada debe ser calificada como una extralimitación en el ejercicio del derecho de reunión y manifestación, el examen debe centrarse entonces en la limitación impuesta, esto es, en la decisión de condena, dado que únicamente serán constitucionalmente admisibles aquellas limitaciones que (i) previstas por la ley (ii) persigan una finalidad legítima, y (iii) sean proporcionadas al fin de protección que las justifica (SSTC 59/1990, de 29 de marzo, FJ 7, y 85/1992, de 8 de junio, FJ 4).</w:t>
      </w:r>
    </w:p>
    <w:p w:rsidR="005728DD" w:rsidRDefault="005728DD" w:rsidP="005728DD">
      <w:pPr>
        <w:pStyle w:val="TextoNormal"/>
      </w:pPr>
    </w:p>
    <w:p w:rsidR="005728DD" w:rsidRDefault="005728DD" w:rsidP="005728DD">
      <w:pPr>
        <w:pStyle w:val="TextoNormal"/>
      </w:pPr>
      <w:r>
        <w:t xml:space="preserve">Como cabe ver, en este tercer momento el examen se desplaza de la conducta a la limitación. Y en él desempeña un papel decisivo el juicio sobre su proporcionalidad: evaluación que se dirige a garantizar que la reacción frente a dicha extralimitación no pueda producir </w:t>
      </w:r>
      <w:r>
        <w:lastRenderedPageBreak/>
        <w:t>por su severidad un sacrificio innecesario o desproporcionado de la libertad de la que priva o, aún más allá, un efecto disuasorio o desalentador del legítimo ejercicio de los derechos fundamentales implicados en la conducta sancionada. Como desarrollaremos más adelante, sobre la proscripción de tal “efecto desaliento” se ha pronunciado reiteradamente tanto la jurisprudencia constitucional como la del Tribunal Europeo de Derechos Humanos.</w:t>
      </w:r>
    </w:p>
    <w:p w:rsidR="005728DD" w:rsidRDefault="005728DD" w:rsidP="005728DD">
      <w:pPr>
        <w:pStyle w:val="TextoNormal"/>
      </w:pPr>
    </w:p>
    <w:p w:rsidR="005728DD" w:rsidRDefault="005728DD" w:rsidP="005728DD">
      <w:pPr>
        <w:pStyle w:val="TextoNormal"/>
      </w:pPr>
      <w:r>
        <w:t xml:space="preserve">d) En estrecha relación con este último análisis puede ser preciso tomar en consideración otras perspectivas de valoración con relevancia constitucional que, en parte coincidentes, derivan de la naturaleza penal de la limitación impuesta (art. 25.1 CE). Así lo propugna el recurrente en el presente caso: se trata de contenidos de protección específicos que conforman el derecho a la legalidad de las infracciones y sanciones, pues la Constitución impone a los poderes públicos exigencias adicionales de previsibilidad y proporcionalidad de la reacción cuando se trata de limitaciones del ejercicio de derechos fundamentales que derivan del ejercicio del </w:t>
      </w:r>
      <w:r w:rsidRPr="005728DD">
        <w:rPr>
          <w:i/>
        </w:rPr>
        <w:t>ius puniendi</w:t>
      </w:r>
      <w:r>
        <w:t xml:space="preserve"> estatal (SSTC 104/1986, 107/1988, 137/1997, 110/2000, 88/2003, y 104/2011, ya citadas, así como ATC 4/2008, de 9 de enero).</w:t>
      </w:r>
    </w:p>
    <w:p w:rsidR="005728DD" w:rsidRDefault="005728DD" w:rsidP="005728DD">
      <w:pPr>
        <w:pStyle w:val="TextoNormal"/>
      </w:pPr>
    </w:p>
    <w:p w:rsidR="005728DD" w:rsidRDefault="005728DD" w:rsidP="005728DD">
      <w:pPr>
        <w:pStyle w:val="TextoNormal"/>
      </w:pPr>
      <w:r>
        <w:t xml:space="preserve">9.4.3. </w:t>
      </w:r>
      <w:r w:rsidRPr="005728DD">
        <w:rPr>
          <w:i/>
        </w:rPr>
        <w:t>Las conductas imputadas al recurrente no son ejercicio plenamente legítimo de los derechos y libertades de expresión y reunión alegados</w:t>
      </w:r>
      <w:r>
        <w:t>.</w:t>
      </w:r>
    </w:p>
    <w:p w:rsidR="005728DD" w:rsidRDefault="005728DD" w:rsidP="005728DD">
      <w:pPr>
        <w:pStyle w:val="TextoNormal"/>
      </w:pPr>
    </w:p>
    <w:p w:rsidR="005728DD" w:rsidRDefault="005728DD" w:rsidP="005728DD">
      <w:pPr>
        <w:pStyle w:val="TextoNormal"/>
      </w:pPr>
      <w:r>
        <w:t>Haciendo abstracción del contexto en que se produjo y de los efectos que provocó su convocatoria, el demandante invoca de forma conjunta sus derechos a la libertad de expresión, reunión y manifestación garantizados por los arts. 20 y 21 CE. Afirma que su participación en los hechos por los que ha sido condenado constituye un ejercicio legítimo de aquellos, por cuanto se limitó a convocar públicamente a los ciudadanos a manifestarse masiva y pacíficamente en favor del derecho de los catalanes a decidir libremente su futuro político a través de un referéndum de autodeterminación sobre la independencia de Cataluña, al que invitó a participar, precisamente, como reacción y protesta política frente a la prohibición judicial de su desarrollo, la cual consideraba injusta.</w:t>
      </w:r>
    </w:p>
    <w:p w:rsidR="005728DD" w:rsidRDefault="005728DD" w:rsidP="005728DD">
      <w:pPr>
        <w:pStyle w:val="TextoNormal"/>
      </w:pPr>
    </w:p>
    <w:p w:rsidR="005728DD" w:rsidRDefault="005728DD" w:rsidP="005728DD">
      <w:pPr>
        <w:pStyle w:val="TextoNormal"/>
      </w:pPr>
      <w:r>
        <w:t>Aun manteniendo relación la conducta por la que el recurrente ha sido condenado con el ejercicio de los derechos alegados (arts. 20 y 21 CE) en cuanto expresaba su rechazo a la prohibición del ilegítimo referéndum convocado por el Gobierno de la Generalitat, no podemos compartir la afirmación formulada en la demanda, según la cual se trata de una conducta que ha de ser calificada como ejercicio plenamente legítimo de los derechos de libre expresión, reunión y manifestación.</w:t>
      </w:r>
    </w:p>
    <w:p w:rsidR="005728DD" w:rsidRDefault="005728DD" w:rsidP="005728DD">
      <w:pPr>
        <w:pStyle w:val="TextoNormal"/>
      </w:pPr>
    </w:p>
    <w:p w:rsidR="005728DD" w:rsidRDefault="005728DD" w:rsidP="005728DD">
      <w:pPr>
        <w:pStyle w:val="TextoNormal"/>
      </w:pPr>
      <w:r>
        <w:t>Recordemos que, como expusimos en el fundamento jurídico anterior de esta resolución, atendiendo al juicio de autoría y tipicidad expresado en la sentencia de la Sala de lo Penal del Tribunal Supremo, el señor Cuixart ha sido condenado por movilizar a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habían sido cautelarmente suspendidas. Dicho de otro modo, se ha considerado que, con sus convocatorias públicas, promovió la oposición material a la ejecución policial de las decisiones del Tribunal Constitucional, o de otros tribunales, dirigidas a tutelar el ordenamiento jurídico vigente frente a las actuaciones dirigidas a desconocerlo o desbordarlo.</w:t>
      </w:r>
    </w:p>
    <w:p w:rsidR="005728DD" w:rsidRDefault="005728DD" w:rsidP="005728DD">
      <w:pPr>
        <w:pStyle w:val="TextoNormal"/>
      </w:pPr>
    </w:p>
    <w:p w:rsidR="005728DD" w:rsidRDefault="005728DD" w:rsidP="005728DD">
      <w:pPr>
        <w:pStyle w:val="TextoNormal"/>
      </w:pPr>
      <w:r>
        <w:lastRenderedPageBreak/>
        <w:t>Por tanto, lo que ha justificado su condena no es el llamamiento abstracto a la movilización ciudadana, ni el contenido de protesta de la convocatoria asociado a la prohibición del referéndum, ni tampoco la propuesta política que la sustenta, sino la simultánea aceptación e incitación al incumplimiento de la Constitución, la ley y los mandatos judiciales emitidos para tutelarla.</w:t>
      </w:r>
    </w:p>
    <w:p w:rsidR="005728DD" w:rsidRDefault="005728DD" w:rsidP="005728DD">
      <w:pPr>
        <w:pStyle w:val="TextoNormal"/>
      </w:pPr>
    </w:p>
    <w:p w:rsidR="005728DD" w:rsidRDefault="005728DD" w:rsidP="005728DD">
      <w:pPr>
        <w:pStyle w:val="TextoNormal"/>
      </w:pPr>
      <w:r>
        <w:t>Hemos destacado en anteriores resoluciones, singularmente en las SSTC 136/1999, de 20 de julio, FJ 15, y 112/2016, de 20 de junio, FJ 2, que la libertad de expresión —de la que el derecho de reunión es una manifestación colectiva—, en cuanto es garantía del disentimiento razonado, otorga a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extensa amplitud ya que el bien jurídico tutelado por ella es la formación de una opinión pública libre. Sin embargo, en atención a tal fundamento, no cabe considerar ejercicio legítimo de la libertad de expresión, reunión o manifestación aquellos mensajes o conductas que, por su contenido o por la forma de desarrollarse, persigan una finalidad ilícita o sean causa de efectos prohibidos por la ley, es decir, aquellos casos en que los derechos se ejercitan de forma desmesurada y exorbitante en atención al fin al cual la Constitución le concede su protección preferente (STC 171/1990, de 12 de noviembre, FJ 6).</w:t>
      </w:r>
    </w:p>
    <w:p w:rsidR="005728DD" w:rsidRDefault="005728DD" w:rsidP="005728DD">
      <w:pPr>
        <w:pStyle w:val="TextoNormal"/>
      </w:pPr>
    </w:p>
    <w:p w:rsidR="005728DD" w:rsidRDefault="005728DD" w:rsidP="005728DD">
      <w:pPr>
        <w:pStyle w:val="TextoNormal"/>
      </w:pPr>
      <w:r>
        <w:t>Como ha señalado el Tribunal Europeo de Derechos Humanos, en las sociedades democráticas modernas, durante el ejercicio del derecho de reunión y manifestación en las vías públicas, no son infrecuentes las conductas físicas obstructivas que afectan al tráfico rodado o a la libre circulación de personas, de manera que quedan perturbadas de forma relevante las actividades que llevan a cabo los demás, e incluso las de los agentes encargados de garantizar la seguridad ciudadana y el orden público (SSTC 59/1990, de 29 de marzo, FJ 8, y 193/2011, antes citada). No obstante, se trata de conductas que no forman parte del núcleo de facultades de actuación que define la libertad que reconoce el artículo 11 CEDH; esto es, si bien —como hemos ya expuesto— no están excluidas del ámbito general de protección que el reconocimiento de tal derecho conlleva, no son el objeto principal de protección de esta libertad pública, por hallarse alejadas de su fundamento (STEDH de 15 de octubre de 2015, asunt</w:t>
      </w:r>
      <w:r w:rsidRPr="005728DD">
        <w:rPr>
          <w:i/>
        </w:rPr>
        <w:t>o Kudrevičius y otros c. Lituan</w:t>
      </w:r>
      <w:r>
        <w:t>ia, § 97).</w:t>
      </w:r>
    </w:p>
    <w:p w:rsidR="005728DD" w:rsidRDefault="005728DD" w:rsidP="005728DD">
      <w:pPr>
        <w:pStyle w:val="TextoNormal"/>
      </w:pPr>
    </w:p>
    <w:p w:rsidR="005728DD" w:rsidRDefault="005728DD" w:rsidP="005728DD">
      <w:pPr>
        <w:pStyle w:val="TextoNormal"/>
      </w:pPr>
      <w:r>
        <w:t>Se trata de conductas que admiten limitaciones, precisamente, en garantía de la seguridad y el orden público o la prevención de delitos. Dichas restricciones, en protección de estos bienes constitucionalmente relevantes, pueden tener carácter penal cuando, como en este caso, así lo prevé la ley con una respuesta proporcionada al fin de protección.</w:t>
      </w:r>
    </w:p>
    <w:p w:rsidR="005728DD" w:rsidRDefault="005728DD" w:rsidP="005728DD">
      <w:pPr>
        <w:pStyle w:val="TextoNormal"/>
      </w:pPr>
    </w:p>
    <w:p w:rsidR="005728DD" w:rsidRDefault="005728DD" w:rsidP="005728DD">
      <w:pPr>
        <w:pStyle w:val="TextoNormal"/>
      </w:pPr>
      <w:r>
        <w:t xml:space="preserve">Por ello, no podemos compartir la concepción del derecho de reunión pacífica expresada por el recurrente según la cual, cuando la convocatoria no tiene intenciones violentas, su ejercicio no admite límite alguno que no derive de la idea de control del orden público o paz pública que el recurrente propugna, es decir, únicamente cuando “se impide de forma duradera el ejercicio de los derechos fundamentales a los ciudadanos”. Como acabamos de exponer, al margen del contenido de los derechos fundamentales con los que debe coexistir en concordancia práctica, es posible confrontar las pretensiones de expresión, reunión o manifestación con otros bienes constitucionalmente relevantes que justifiquen su restricción, bien para impedir el desarrollo de la reunión, bien para exigir responsabilidades a quienes </w:t>
      </w:r>
      <w:r>
        <w:lastRenderedPageBreak/>
        <w:t>las promuevan o participen en ellas. Y desde luego, es posible tomar en consideración los efectos materiales que, sobre dichos bienes, pueden ocasionar dichas concentraciones convocadas en espacios públicos.</w:t>
      </w:r>
    </w:p>
    <w:p w:rsidR="005728DD" w:rsidRDefault="005728DD" w:rsidP="005728DD">
      <w:pPr>
        <w:pStyle w:val="TextoNormal"/>
      </w:pPr>
    </w:p>
    <w:p w:rsidR="005728DD" w:rsidRDefault="005728DD" w:rsidP="005728DD">
      <w:pPr>
        <w:pStyle w:val="TextoNormal"/>
      </w:pPr>
      <w:r>
        <w:t>En su argumentación, el recurrente presenta sus llamamientos a los ciudadanos obviando el contexto en el que se produjeron, la finalidad última que los animaba, y las consecuencias que desencadenaron. Siendo nuclear en su condena el llamamiento público a participar en el referéndum convocado por el Gobierno de la Generalitat para el día 1 de octubre de 2017, no podemos dejar de lado su contenido (la pretendida independencia unilateralmente obtenida al margen de la Constitución y el Estatuto de Autonomía de Cataluña) ni la existencia de la prohibición expresa de su celebración que derivaba de diversas resoluciones de este tribunal que han sido antes enumeradas, y del mandato judicial expreso emitido por la Sala Penal del Tribunal Superior de Justicia de Cataluña.</w:t>
      </w:r>
    </w:p>
    <w:p w:rsidR="005728DD" w:rsidRDefault="005728DD" w:rsidP="005728DD">
      <w:pPr>
        <w:pStyle w:val="TextoNormal"/>
      </w:pPr>
    </w:p>
    <w:p w:rsidR="005728DD" w:rsidRDefault="005728DD" w:rsidP="005728DD">
      <w:pPr>
        <w:pStyle w:val="TextoNormal"/>
      </w:pPr>
      <w:r>
        <w:t>La necesidad en una sociedad democrática de proteger la efectividad de las resoluciones de los órganos judiciales y de este tribunal como último garante de la Constitución no puede ser razonadamente puesta en entredicho. No cabe ignorar que dicho referéndum, en el programa normativo del Gobierno autonómico y la mayoría del Parlamento de Cataluña que lo apoyaba, era la llave que justificaba la proclamación de la independencia de su territorio. La objetiva gravedad de la pretensión de hacer efectivo un referéndum inconstitucional ha sido ya reseñada. Basta remitirse a los términos del enjuiciamiento constitucional de dicha pretensión que, en reiteradas ocasiones, antes de su convocatoria, había realizado este tribunal para expresar su radical disconformidad con las bases de nuestra convivencia democrática.</w:t>
      </w:r>
    </w:p>
    <w:p w:rsidR="005728DD" w:rsidRDefault="005728DD" w:rsidP="005728DD">
      <w:pPr>
        <w:pStyle w:val="TextoNormal"/>
      </w:pPr>
    </w:p>
    <w:p w:rsidR="005728DD" w:rsidRDefault="005728DD" w:rsidP="005728DD">
      <w:pPr>
        <w:pStyle w:val="TextoNormal"/>
      </w:pPr>
      <w:r>
        <w:t>Estas últimas garantías han sido invocadas en la demanda como vulneradas, desde la perspectiva del art. 25.1 CE, denunciando la imprevisibilidad y falta de proporcionalidad de la norma penal y de su aplicación al caso, cuestión esta que, a continuación, será analizada desde dichos parámetros.</w:t>
      </w:r>
    </w:p>
    <w:p w:rsidR="005728DD" w:rsidRDefault="005728DD" w:rsidP="005728DD">
      <w:pPr>
        <w:pStyle w:val="TextoNormal"/>
      </w:pPr>
    </w:p>
    <w:p w:rsidR="005728DD" w:rsidRDefault="005728DD" w:rsidP="005728DD">
      <w:pPr>
        <w:pStyle w:val="TextoNormal"/>
      </w:pPr>
      <w:r w:rsidRPr="005728DD">
        <w:rPr>
          <w:rStyle w:val="NumeroAFNegritaCaracter"/>
        </w:rPr>
        <w:t>10</w:t>
      </w:r>
      <w:r>
        <w:t xml:space="preserve">. </w:t>
      </w:r>
      <w:r w:rsidRPr="005728DD">
        <w:rPr>
          <w:i/>
        </w:rPr>
        <w:t>El derecho fundamental a la legalidad penal (arts. 25 CE</w:t>
      </w:r>
      <w:r>
        <w:t>).</w:t>
      </w:r>
    </w:p>
    <w:p w:rsidR="005728DD" w:rsidRDefault="005728DD" w:rsidP="005728DD">
      <w:pPr>
        <w:pStyle w:val="TextoNormal"/>
      </w:pPr>
    </w:p>
    <w:p w:rsidR="005728DD" w:rsidRDefault="005728DD" w:rsidP="005728DD">
      <w:pPr>
        <w:pStyle w:val="TextoNormal"/>
      </w:pPr>
      <w:r>
        <w:t>A continuación, procederemos a dar respuesta a las diferentes quejas que, todavía con invocación conjunta del contenido del derecho de reunión pacífica (art. 21 CE), se agrupan bajo el común denominador de aducir la vulneración del derecho a la legalidad de las infracciones y sanciones, reconocido en el art. 25.1 CE. La alegada vulneración se formula a través de tres quejas, diferenciadas, pero estrechamente relacionadas, con las que el recurrente cuestiona la decisión de condena. Sintéticamente expuestas son las siguientes:</w:t>
      </w:r>
    </w:p>
    <w:p w:rsidR="005728DD" w:rsidRDefault="005728DD" w:rsidP="005728DD">
      <w:pPr>
        <w:pStyle w:val="TextoNormal"/>
      </w:pPr>
    </w:p>
    <w:p w:rsidR="005728DD" w:rsidRDefault="005728DD" w:rsidP="005728DD">
      <w:pPr>
        <w:pStyle w:val="TextoNormal"/>
      </w:pPr>
      <w:r>
        <w:t>(i) afirma la indebida interpretación de los elementos que configuran el delito de sedición por el que ha sido condenado (arts. 544 y 545.1 CP) y, a partir de la que propone como adecuada, concluye que la subsunción típica de su conducta era imprevisible.</w:t>
      </w:r>
    </w:p>
    <w:p w:rsidR="005728DD" w:rsidRDefault="005728DD" w:rsidP="005728DD">
      <w:pPr>
        <w:pStyle w:val="TextoNormal"/>
      </w:pPr>
    </w:p>
    <w:p w:rsidR="005728DD" w:rsidRDefault="005728DD" w:rsidP="005728DD">
      <w:pPr>
        <w:pStyle w:val="TextoNormal"/>
      </w:pPr>
      <w:r>
        <w:t>(ii) denuncia la falta de proporcionalidad de las penas establecidas por el Código penal en la previsión legal abstracta del delito de sedición, así como de las que específicamente le han sido impuestas.</w:t>
      </w:r>
    </w:p>
    <w:p w:rsidR="005728DD" w:rsidRDefault="005728DD" w:rsidP="005728DD">
      <w:pPr>
        <w:pStyle w:val="TextoNormal"/>
      </w:pPr>
    </w:p>
    <w:p w:rsidR="005728DD" w:rsidRDefault="005728DD" w:rsidP="005728DD">
      <w:pPr>
        <w:pStyle w:val="TextoNormal"/>
      </w:pPr>
      <w:r>
        <w:lastRenderedPageBreak/>
        <w:t>(iii) sostiene que, al realizar el juicio de autoría, el tribunal sentenciador ha vulnerado el principio de personalidad de las penas.</w:t>
      </w:r>
    </w:p>
    <w:p w:rsidR="005728DD" w:rsidRDefault="005728DD" w:rsidP="005728DD">
      <w:pPr>
        <w:pStyle w:val="TextoNormal"/>
      </w:pPr>
    </w:p>
    <w:p w:rsidR="005728DD" w:rsidRDefault="005728DD" w:rsidP="005728DD">
      <w:pPr>
        <w:pStyle w:val="TextoNormal"/>
      </w:pPr>
      <w:r>
        <w:t>A partir de los razonamientos que fundamentan sus quejas, el recurrente interesa de este tribunal que, al amparo de lo previsto en el art. 55.2 LOTC, dé lugar al examen de la constitucionalidad de los preceptos penales aplicados planteando una cuestión interna de inconstitucionalidad, por cuanto la vulneración de sus derechos a la legalidad penal y de reunión pacífica es consecuencia de la ley aplicada.</w:t>
      </w:r>
    </w:p>
    <w:p w:rsidR="005728DD" w:rsidRDefault="005728DD" w:rsidP="005728DD">
      <w:pPr>
        <w:pStyle w:val="TextoNormal"/>
      </w:pPr>
    </w:p>
    <w:p w:rsidR="005728DD" w:rsidRDefault="005728DD" w:rsidP="005728DD">
      <w:pPr>
        <w:pStyle w:val="TextoNormal"/>
      </w:pPr>
      <w:r>
        <w:t xml:space="preserve">10.1. </w:t>
      </w:r>
      <w:r w:rsidRPr="005728DD">
        <w:rPr>
          <w:i/>
        </w:rPr>
        <w:t>Doctrina constitucional</w:t>
      </w:r>
      <w:r>
        <w:t>.</w:t>
      </w:r>
    </w:p>
    <w:p w:rsidR="005728DD" w:rsidRDefault="005728DD" w:rsidP="005728DD">
      <w:pPr>
        <w:pStyle w:val="TextoNormal"/>
      </w:pPr>
    </w:p>
    <w:p w:rsidR="005728DD" w:rsidRDefault="005728DD" w:rsidP="005728DD">
      <w:pPr>
        <w:pStyle w:val="TextoNormal"/>
      </w:pPr>
      <w:r>
        <w:t>Hecha la anterior precisión, procede compendiar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del producirse no constituyan delito, falta o infracción administrativa, según la legislación vigente en aquel momento”.</w:t>
      </w:r>
    </w:p>
    <w:p w:rsidR="005728DD" w:rsidRDefault="005728DD" w:rsidP="005728DD">
      <w:pPr>
        <w:pStyle w:val="TextoNormal"/>
      </w:pPr>
    </w:p>
    <w:p w:rsidR="005728DD" w:rsidRDefault="005728DD" w:rsidP="005728DD">
      <w:pPr>
        <w:pStyle w:val="TextoNormal"/>
      </w:pPr>
      <w:r>
        <w:t>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005728DD" w:rsidRDefault="005728DD" w:rsidP="005728DD">
      <w:pPr>
        <w:pStyle w:val="TextoNormal"/>
      </w:pPr>
    </w:p>
    <w:p w:rsidR="005728DD" w:rsidRDefault="005728DD" w:rsidP="005728DD">
      <w:pPr>
        <w:pStyle w:val="TextoNormal"/>
      </w:pPr>
      <w:r>
        <w:t>“a)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005728DD" w:rsidRDefault="005728DD" w:rsidP="005728DD">
      <w:pPr>
        <w:pStyle w:val="TextoNormal"/>
      </w:pPr>
    </w:p>
    <w:p w:rsidR="005728DD" w:rsidRDefault="005728DD" w:rsidP="005728DD">
      <w:pPr>
        <w:pStyle w:val="TextoNormal"/>
      </w:pPr>
      <w:r>
        <w:t>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005728DD" w:rsidRDefault="005728DD" w:rsidP="005728DD">
      <w:pPr>
        <w:pStyle w:val="TextoNormal"/>
      </w:pPr>
    </w:p>
    <w:p w:rsidR="005728DD" w:rsidRDefault="005728DD" w:rsidP="005728DD">
      <w:pPr>
        <w:pStyle w:val="TextoNormal"/>
      </w:pPr>
      <w:r>
        <w:t xml:space="preserve">b) Junto a la garantía formal, el principio de legalidad comprende una serie de garantías materiales que, en relación con el legislador, comportan fundamentalmente la exigencia de </w:t>
      </w:r>
      <w:r>
        <w:lastRenderedPageBreak/>
        <w:t xml:space="preserve">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5728DD">
        <w:rPr>
          <w:i/>
        </w:rPr>
        <w:t>ex ante</w:t>
      </w:r>
      <w:r>
        <w:t xml:space="preserv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005728DD" w:rsidRDefault="005728DD" w:rsidP="005728DD">
      <w:pPr>
        <w:pStyle w:val="TextoNormal"/>
      </w:pPr>
    </w:p>
    <w:p w:rsidR="005728DD" w:rsidRDefault="005728DD" w:rsidP="005728DD">
      <w:pPr>
        <w:pStyle w:val="TextoNormal"/>
      </w:pPr>
      <w:r>
        <w:t>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005728DD" w:rsidRDefault="005728DD" w:rsidP="005728DD">
      <w:pPr>
        <w:pStyle w:val="TextoNormal"/>
      </w:pPr>
    </w:p>
    <w:p w:rsidR="005728DD" w:rsidRDefault="005728DD" w:rsidP="005728DD">
      <w:pPr>
        <w:pStyle w:val="TextoNormal"/>
      </w:pPr>
      <w:r>
        <w:t>B) Este tribunal ha resaltado la importancia del mandato de taxatividad que el precepto constitucional objeto de cita contiene. Ejemplo de ello son los argumentos que figuran en la STC 146/2015, de 25 de junio, FJ 2, que a continuación se transcriben:</w:t>
      </w:r>
    </w:p>
    <w:p w:rsidR="005728DD" w:rsidRDefault="005728DD" w:rsidP="005728DD">
      <w:pPr>
        <w:pStyle w:val="TextoNormal"/>
      </w:pPr>
    </w:p>
    <w:p w:rsidR="005728DD" w:rsidRDefault="005728DD" w:rsidP="005728DD">
      <w:pPr>
        <w:pStyle w:val="TextoNormal"/>
      </w:pPr>
      <w:r>
        <w:t>“El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w:t>
      </w:r>
      <w:r w:rsidRPr="005728DD">
        <w:rPr>
          <w:i/>
        </w:rPr>
        <w:t>lex certa</w:t>
      </w:r>
      <w:r>
        <w:t xml:space="preserve">),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w:t>
      </w:r>
      <w:r>
        <w:lastRenderedPageBreak/>
        <w:t>la sanción de comportamientos no previstos en la norma correspondiente pero similares a los que sí contempla’ (STC 137/1997, de 21 de julio, FJ 6)”.</w:t>
      </w:r>
    </w:p>
    <w:p w:rsidR="005728DD" w:rsidRDefault="005728DD" w:rsidP="005728DD">
      <w:pPr>
        <w:pStyle w:val="TextoNormal"/>
      </w:pPr>
    </w:p>
    <w:p w:rsidR="005728DD" w:rsidRDefault="005728DD" w:rsidP="005728DD">
      <w:pPr>
        <w:pStyle w:val="TextoNormal"/>
      </w:pPr>
      <w:r>
        <w:t>La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005728DD" w:rsidRDefault="005728DD" w:rsidP="005728DD">
      <w:pPr>
        <w:pStyle w:val="TextoNormal"/>
      </w:pPr>
    </w:p>
    <w:p w:rsidR="005728DD" w:rsidRDefault="005728DD" w:rsidP="005728DD">
      <w:pPr>
        <w:pStyle w:val="TextoNormal"/>
      </w:pPr>
      <w:r>
        <w:t xml:space="preserve">“La garantía constitucional de </w:t>
      </w:r>
      <w:r w:rsidRPr="005728DD">
        <w:rPr>
          <w:i/>
        </w:rPr>
        <w:t>lex certa</w:t>
      </w:r>
      <w:r>
        <w:t>, como faceta específica del derecho a la legalidad sancionadora, se desenvuelve, en nuestra doctrina (</w:t>
      </w:r>
      <w:r w:rsidRPr="005728DD">
        <w:rPr>
          <w:i/>
        </w:rPr>
        <w:t>vid</w:t>
      </w:r>
      <w:r>
        <w:t>, por todas, las SSTC 146/2015, de 25 de junio, FJ 2; 219/2016, de 19 de diciembre, FJ 5, y 220/2016, de 19 de diciembre, FJ 5), en dos ámbitos distintos:</w:t>
      </w:r>
    </w:p>
    <w:p w:rsidR="005728DD" w:rsidRDefault="005728DD" w:rsidP="005728DD">
      <w:pPr>
        <w:pStyle w:val="TextoNormal"/>
      </w:pPr>
    </w:p>
    <w:p w:rsidR="005728DD" w:rsidRDefault="005728DD" w:rsidP="005728DD">
      <w:pPr>
        <w:pStyle w:val="TextoNormal"/>
      </w:pPr>
      <w:r>
        <w:t xml:space="preserve">a) Ámbito normativo. De un lado, la garantía de certeza puede resultar vulnerada por la insuficiente determinación </w:t>
      </w:r>
      <w:r w:rsidRPr="005728DD">
        <w:rPr>
          <w:i/>
        </w:rPr>
        <w:t>ex ante</w:t>
      </w:r>
      <w:r>
        <w:t xml:space="preserv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005728DD" w:rsidRDefault="005728DD" w:rsidP="005728DD">
      <w:pPr>
        <w:pStyle w:val="TextoNormal"/>
      </w:pPr>
    </w:p>
    <w:p w:rsidR="005728DD" w:rsidRDefault="005728DD" w:rsidP="005728DD">
      <w:pPr>
        <w:pStyle w:val="TextoNormal"/>
      </w:pPr>
      <w:r>
        <w:t xml:space="preserve">b) Ámbito aplicativo. En cambio, aun cuando la redacción de la norma sancionadora resulta suficientemente precisa, la garantía de </w:t>
      </w:r>
      <w:r w:rsidRPr="005728DD">
        <w:rPr>
          <w:i/>
        </w:rPr>
        <w:t>lex certa</w:t>
      </w:r>
      <w:r>
        <w:t xml:space="preserve"> puede verse afectada por la aplicación irrazonable de dicha norma, vertiente que se desdobla, a su vez, en dos planos, (i) el de la indebida interpretación </w:t>
      </w:r>
      <w:r w:rsidRPr="005728DD">
        <w:rPr>
          <w:i/>
        </w:rPr>
        <w:t>ad casum</w:t>
      </w:r>
      <w:r>
        <w:t xml:space="preserve"> del alcance semántico del precepto, más allá de su sentido literal posible (analogía </w:t>
      </w:r>
      <w:r w:rsidRPr="005728DD">
        <w:rPr>
          <w:i/>
        </w:rPr>
        <w:t>in malam partem</w:t>
      </w:r>
      <w:r>
        <w:t>),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005728DD" w:rsidRDefault="005728DD" w:rsidP="005728DD">
      <w:pPr>
        <w:pStyle w:val="TextoNormal"/>
      </w:pPr>
    </w:p>
    <w:p w:rsidR="005728DD" w:rsidRDefault="005728DD" w:rsidP="005728DD">
      <w:pPr>
        <w:pStyle w:val="TextoNormal"/>
      </w:pPr>
      <w:r>
        <w:t>No obstante, el principio de taxatividad no es incompatible con el empleo de conceptos jurídicos indeterminados o la utilización de una terminología con cierto grado de ambigüedad por parte del legislador, como así queda expuesto, entre otras, en la STC 37/2018, de 23 de abril, FJ 3:</w:t>
      </w:r>
    </w:p>
    <w:p w:rsidR="005728DD" w:rsidRDefault="005728DD" w:rsidP="005728DD">
      <w:pPr>
        <w:pStyle w:val="TextoNormal"/>
      </w:pPr>
    </w:p>
    <w:p w:rsidR="005728DD" w:rsidRDefault="005728DD" w:rsidP="005728DD">
      <w:pPr>
        <w:pStyle w:val="TextoNormal"/>
      </w:pPr>
      <w:r>
        <w:t xml:space="preserve">“A esa exigencia de </w:t>
      </w:r>
      <w:r w:rsidRPr="005728DD">
        <w:rPr>
          <w:i/>
        </w:rPr>
        <w:t>lex certa</w:t>
      </w:r>
      <w:r>
        <w:t xml:space="preserve">, a la que debe responder el legislador al definir los tipos penales, no se opone la utilización en los tipos penales de los llamados conceptos jurídicos indeterminados, máxime en aquellos supuestos en que los mismos responden a la protección </w:t>
      </w:r>
      <w:r>
        <w:lastRenderedPageBreak/>
        <w:t>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005728DD" w:rsidRDefault="005728DD" w:rsidP="005728DD">
      <w:pPr>
        <w:pStyle w:val="TextoNormal"/>
      </w:pPr>
    </w:p>
    <w:p w:rsidR="005728DD" w:rsidRDefault="005728DD" w:rsidP="005728DD">
      <w:pPr>
        <w:pStyle w:val="TextoNormal"/>
      </w:pPr>
      <w:r>
        <w:t xml:space="preserve">C) La aplicación de la analogía </w:t>
      </w:r>
      <w:r w:rsidRPr="005728DD">
        <w:rPr>
          <w:i/>
        </w:rPr>
        <w:t>in malam partem</w:t>
      </w:r>
      <w:r>
        <w:t xml:space="preserve">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005728DD" w:rsidRDefault="005728DD" w:rsidP="005728DD">
      <w:pPr>
        <w:pStyle w:val="TextoNormal"/>
      </w:pPr>
    </w:p>
    <w:p w:rsidR="005728DD" w:rsidRDefault="005728DD" w:rsidP="005728DD">
      <w:pPr>
        <w:pStyle w:val="TextoNormal"/>
      </w:pPr>
      <w:r>
        <w:t>“A este respecto, hemos destacado que ‘la garantía material del principio de legalidad comporta el mandato de taxatividad o certeza, que se traduce en la exigencia de predeterminación normativa de las conductas punibles y de sus correspondientes sanciones (</w:t>
      </w:r>
      <w:r w:rsidRPr="005728DD">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5728DD">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005728DD" w:rsidRDefault="005728DD" w:rsidP="005728DD">
      <w:pPr>
        <w:pStyle w:val="TextoNormal"/>
      </w:pPr>
    </w:p>
    <w:p w:rsidR="005728DD" w:rsidRDefault="005728DD" w:rsidP="005728DD">
      <w:pPr>
        <w:pStyle w:val="TextoNormal"/>
      </w:pPr>
      <w:r>
        <w:t>D) A su vez, este tribunal ha precisado las exigencias a que se deben sujetar los órganos judiciales al verificar la labor de subsunción de los hechos en la norma penal. Nuestra doctrina al respecto queda recogida con detalle en la STC 129/2008, de 27 de octubre, FJ 3, en los siguientes términos:</w:t>
      </w:r>
    </w:p>
    <w:p w:rsidR="005728DD" w:rsidRDefault="005728DD" w:rsidP="005728DD">
      <w:pPr>
        <w:pStyle w:val="TextoNormal"/>
      </w:pPr>
    </w:p>
    <w:p w:rsidR="005728DD" w:rsidRDefault="005728DD" w:rsidP="005728DD">
      <w:pPr>
        <w:pStyle w:val="TextoNormal"/>
      </w:pPr>
      <w:r>
        <w:t>“El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005728DD" w:rsidRDefault="005728DD" w:rsidP="005728DD">
      <w:pPr>
        <w:pStyle w:val="TextoNormal"/>
      </w:pPr>
    </w:p>
    <w:p w:rsidR="005728DD" w:rsidRDefault="005728DD" w:rsidP="005728DD">
      <w:pPr>
        <w:pStyle w:val="TextoNormal"/>
      </w:pPr>
      <w:r>
        <w:t>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005728DD" w:rsidRDefault="005728DD" w:rsidP="005728DD">
      <w:pPr>
        <w:pStyle w:val="TextoNormal"/>
      </w:pPr>
    </w:p>
    <w:p w:rsidR="005728DD" w:rsidRDefault="005728DD" w:rsidP="005728DD">
      <w:pPr>
        <w:pStyle w:val="TextoNormal"/>
      </w:pPr>
      <w:r>
        <w:t>E) También desde el prisma del derecho reconocido en el art. 25.1 CE ha sido objeto de análisis el principio de proporcionalidad de las penas. Dijimos en la STC 55/1996, de 28 de marzo, FJ 3, que el principio de proporcionalidad puede ser inferido de diversos preceptos constitucionales —arts. 1.1, 9.3 y 10.1 de la Constitución—. Se trata de un criterio de interpretación que no constituye en nuestro ordenamiento un canon de constitucionalidad autónomo cuya alegación pueda producirse de forma aislada, esto es, sin referencia a otros preceptos constitucionales (SSTC 62/1982, de 15 de octubre, FFJJ 3 y 5; 160/1987, de 27 de octubre, FJ 6; 177/2015, de 22 de julio, FJ 2, y 112/2016, de 20 de junio, FJ 2).</w:t>
      </w:r>
    </w:p>
    <w:p w:rsidR="005728DD" w:rsidRDefault="005728DD" w:rsidP="005728DD">
      <w:pPr>
        <w:pStyle w:val="TextoNormal"/>
      </w:pPr>
    </w:p>
    <w:p w:rsidR="005728DD" w:rsidRDefault="005728DD" w:rsidP="005728DD">
      <w:pPr>
        <w:pStyle w:val="TextoNormal"/>
      </w:pPr>
      <w:r>
        <w:t>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w:t>
      </w:r>
      <w:r>
        <w:lastRenderedPageBreak/>
        <w:t>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005728DD" w:rsidRDefault="005728DD" w:rsidP="005728DD">
      <w:pPr>
        <w:pStyle w:val="TextoNormal"/>
      </w:pPr>
    </w:p>
    <w:p w:rsidR="005728DD" w:rsidRDefault="005728DD" w:rsidP="005728DD">
      <w:pPr>
        <w:pStyle w:val="TextoNormal"/>
      </w:pPr>
      <w:r>
        <w:t>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del Convenio, admiten injerencias y restricciones de los derechos fundamentales cuando, previstas en la ley, son necesarias en una sociedad democrática para la satisfacción de un fin legítimo.</w:t>
      </w:r>
    </w:p>
    <w:p w:rsidR="005728DD" w:rsidRDefault="005728DD" w:rsidP="005728DD">
      <w:pPr>
        <w:pStyle w:val="TextoNormal"/>
      </w:pPr>
    </w:p>
    <w:p w:rsidR="005728DD" w:rsidRDefault="005728DD" w:rsidP="005728DD">
      <w:pPr>
        <w:pStyle w:val="TextoNormal"/>
      </w:pPr>
      <w:r>
        <w:t>Dos perspectivas no excluyentes son posibles: la que tiene que ver con la naturaleza y extensión de la sanción impuesta y la relacionada con la conducta que se sanciona:</w:t>
      </w:r>
    </w:p>
    <w:p w:rsidR="005728DD" w:rsidRDefault="005728DD" w:rsidP="005728DD">
      <w:pPr>
        <w:pStyle w:val="TextoNormal"/>
      </w:pPr>
    </w:p>
    <w:p w:rsidR="005728DD" w:rsidRDefault="005728DD" w:rsidP="005728DD">
      <w:pPr>
        <w:pStyle w:val="TextoNormal"/>
      </w:pPr>
      <w:r>
        <w:t>a) Poniendo su atención en la sanción prevista para el delito, este tribunal delimitó en la STC 136/1999, de 20 de julio, FJ 23, en los términos que a continuación se exponen, cuál es el alcance de la referida exigencia en relación con la naturaleza y extensión de la pena asociada por el delito al tipo de comportamiento incriminado:</w:t>
      </w:r>
    </w:p>
    <w:p w:rsidR="005728DD" w:rsidRDefault="005728DD" w:rsidP="005728DD">
      <w:pPr>
        <w:pStyle w:val="TextoNormal"/>
      </w:pPr>
    </w:p>
    <w:p w:rsidR="005728DD" w:rsidRDefault="005728DD" w:rsidP="005728DD">
      <w:pPr>
        <w:pStyle w:val="TextoNormal"/>
      </w:pPr>
      <w:r>
        <w:t>“El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005728DD" w:rsidRDefault="005728DD" w:rsidP="005728DD">
      <w:pPr>
        <w:pStyle w:val="TextoNormal"/>
      </w:pPr>
    </w:p>
    <w:p w:rsidR="005728DD" w:rsidRDefault="005728DD" w:rsidP="005728DD">
      <w:pPr>
        <w:pStyle w:val="TextoNormal"/>
      </w:pPr>
      <w:r>
        <w:t>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005728DD" w:rsidRDefault="005728DD" w:rsidP="005728DD">
      <w:pPr>
        <w:pStyle w:val="TextoNormal"/>
      </w:pPr>
    </w:p>
    <w:p w:rsidR="005728DD" w:rsidRDefault="005728DD" w:rsidP="005728DD">
      <w:pPr>
        <w:pStyle w:val="TextoNormal"/>
      </w:pPr>
      <w:r>
        <w:t>[...]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5728DD" w:rsidRDefault="005728DD" w:rsidP="005728DD">
      <w:pPr>
        <w:pStyle w:val="TextoNormal"/>
      </w:pPr>
    </w:p>
    <w:p w:rsidR="005728DD" w:rsidRDefault="005728DD" w:rsidP="005728DD">
      <w:pPr>
        <w:pStyle w:val="TextoNormal"/>
      </w:pPr>
      <w:r>
        <w:t>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005728DD" w:rsidRDefault="005728DD" w:rsidP="005728DD">
      <w:pPr>
        <w:pStyle w:val="TextoNormal"/>
      </w:pPr>
    </w:p>
    <w:p w:rsidR="005728DD" w:rsidRDefault="005728DD" w:rsidP="005728DD">
      <w:pPr>
        <w:pStyle w:val="TextoNormal"/>
      </w:pPr>
      <w:r>
        <w:lastRenderedPageBreak/>
        <w:t>b) Aún es posible otra perspectiva adicional de análisis, relacionada esta vez con el ejercicio de los derechos fundamentales a los que el recurrente anuda la conducta por la que ha sido penado.</w:t>
      </w:r>
    </w:p>
    <w:p w:rsidR="005728DD" w:rsidRDefault="005728DD" w:rsidP="005728DD">
      <w:pPr>
        <w:pStyle w:val="TextoNormal"/>
      </w:pPr>
    </w:p>
    <w:p w:rsidR="005728DD" w:rsidRDefault="005728DD" w:rsidP="005728DD">
      <w:pPr>
        <w:pStyle w:val="TextoNormal"/>
      </w:pPr>
      <w:r>
        <w:t xml:space="preserve">La STC 177/2015 ha puesto de manifiesto los riesgos derivados de la utilización del </w:t>
      </w:r>
      <w:r w:rsidRPr="005728DD">
        <w:rPr>
          <w:i/>
        </w:rPr>
        <w:t>ius puniendi</w:t>
      </w:r>
      <w:r>
        <w:t xml:space="preserve">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5728DD" w:rsidRDefault="005728DD" w:rsidP="005728DD">
      <w:pPr>
        <w:pStyle w:val="TextoNormal"/>
      </w:pPr>
    </w:p>
    <w:p w:rsidR="005728DD" w:rsidRDefault="005728DD" w:rsidP="005728DD">
      <w:pPr>
        <w:pStyle w:val="TextoNormal"/>
      </w:pPr>
      <w:r>
        <w:t xml:space="preserve">En nuestra jurisprudencia el juicio de proporcionalidad de las limitaciones de naturaleza penal ha sido específicamente abordado en reiteradas ocasiones en el ámbito de conductas relacionadas con las libertades de expresión e información, de las que —como anticipamos— la libertad de reunión es una modalidad concreta (STC 85/1988, de 28 de abril, FJ 2). En la ya citada STC 110/2000, destacamos que la dimensión objetiva de los derechos fundamentales, su carácter de elementos esenciales del ordenamiento jurídico, permiten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disuasorio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asunto </w:t>
      </w:r>
      <w:r w:rsidRPr="005728DD">
        <w:rPr>
          <w:i/>
        </w:rPr>
        <w:t>Tolstoy Miloslavsky c. Reino Unido</w:t>
      </w:r>
      <w:r>
        <w:t xml:space="preserve">, § 52 a 55; de 25 de noviembre de 1999, asunto </w:t>
      </w:r>
      <w:r w:rsidRPr="005728DD">
        <w:rPr>
          <w:i/>
        </w:rPr>
        <w:t>Nilsen y Johnsen c. Noruega</w:t>
      </w:r>
      <w:r>
        <w:t>, § 53, y de 29 de febrero de 2000, asunt</w:t>
      </w:r>
      <w:r w:rsidRPr="005728DD">
        <w:rPr>
          <w:i/>
        </w:rPr>
        <w:t>o Fuentes Bobo c. Espa</w:t>
      </w:r>
      <w:r>
        <w:t>ña, § 49 y 50.</w:t>
      </w:r>
    </w:p>
    <w:p w:rsidR="005728DD" w:rsidRDefault="005728DD" w:rsidP="005728DD">
      <w:pPr>
        <w:pStyle w:val="TextoNormal"/>
      </w:pPr>
    </w:p>
    <w:p w:rsidR="005728DD" w:rsidRDefault="005728DD" w:rsidP="005728DD">
      <w:pPr>
        <w:pStyle w:val="TextoNormal"/>
      </w:pPr>
      <w:r>
        <w:t xml:space="preserve">Pero tal límite no opera exclusivamente en el ámbito del art. 20.1 CE, sino en relación con todos los derechos fundamentales: SSTC 190/1996, de 25 de noviembre, FJ3,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w:t>
      </w:r>
      <w:r w:rsidRPr="005728DD">
        <w:rPr>
          <w:i/>
        </w:rPr>
        <w:t>Barfod c. Dinamarca</w:t>
      </w:r>
      <w:r>
        <w:t xml:space="preserve">, § 29; de 20 de mayo de 1999, asunto </w:t>
      </w:r>
      <w:r w:rsidRPr="005728DD">
        <w:rPr>
          <w:i/>
        </w:rPr>
        <w:t>Bladet Tromsø and Stensaas c. Noruega</w:t>
      </w:r>
      <w:r>
        <w:t xml:space="preserve">, § 64; de 21 de marzo de 2002, asunto </w:t>
      </w:r>
      <w:r w:rsidRPr="005728DD">
        <w:rPr>
          <w:i/>
        </w:rPr>
        <w:t>Nikula c. Finlandia</w:t>
      </w:r>
      <w:r>
        <w:t xml:space="preserve">, § 54; de 15 de diciembre de 2005, asunto </w:t>
      </w:r>
      <w:r w:rsidRPr="005728DD">
        <w:rPr>
          <w:i/>
        </w:rPr>
        <w:t>Kyprianou c. Chipre</w:t>
      </w:r>
      <w:r>
        <w:t xml:space="preserve">, § 175, 181 a 183; de 21 de julio de 2011, asunto </w:t>
      </w:r>
      <w:r w:rsidRPr="005728DD">
        <w:rPr>
          <w:i/>
        </w:rPr>
        <w:t>Heinisch c. Alemania</w:t>
      </w:r>
      <w:r>
        <w:t xml:space="preserve">, § 91 y 92; de 3 de octubre de 2013, asunto </w:t>
      </w:r>
      <w:r w:rsidRPr="005728DD">
        <w:rPr>
          <w:i/>
        </w:rPr>
        <w:t>Kasparov y otros c. Rusia</w:t>
      </w:r>
      <w:r>
        <w:t xml:space="preserve">, § 84; de 15 de mayo de 2014, asunto </w:t>
      </w:r>
      <w:r w:rsidRPr="005728DD">
        <w:rPr>
          <w:i/>
        </w:rPr>
        <w:t>Taranenko c. Rusia</w:t>
      </w:r>
      <w:r>
        <w:t xml:space="preserve">, § 95 y 96; de 14 de octubre de 2014, asunto </w:t>
      </w:r>
      <w:r w:rsidRPr="005728DD">
        <w:rPr>
          <w:i/>
        </w:rPr>
        <w:t>Yilmaz Yildiz y otros c. Turquía</w:t>
      </w:r>
      <w:r>
        <w:t xml:space="preserve">, § 33; de 15 de octubre de 2015, asunto </w:t>
      </w:r>
      <w:r w:rsidRPr="005728DD">
        <w:rPr>
          <w:i/>
        </w:rPr>
        <w:t>Gafgaz Mammadov c. Azerbaiyán</w:t>
      </w:r>
      <w:r>
        <w:t>, § 50, y, más recientemente, la STEDH de 4 de septiembre de 2018, asunt</w:t>
      </w:r>
      <w:r w:rsidRPr="005728DD">
        <w:rPr>
          <w:i/>
        </w:rPr>
        <w:t>o Fatih Taş c. Turqu</w:t>
      </w:r>
      <w:r>
        <w:t>ía —núm. 5—, § 40.</w:t>
      </w:r>
    </w:p>
    <w:p w:rsidR="005728DD" w:rsidRDefault="005728DD" w:rsidP="005728DD">
      <w:pPr>
        <w:pStyle w:val="TextoNormal"/>
      </w:pPr>
    </w:p>
    <w:p w:rsidR="005728DD" w:rsidRDefault="005728DD" w:rsidP="005728DD">
      <w:pPr>
        <w:pStyle w:val="TextoNormal"/>
      </w:pPr>
      <w:r>
        <w:lastRenderedPageBreak/>
        <w:t>F) También procede reflejar el parámetro al que se debe sujetar este tribunal para fiscalizar la interpretación y aplicación de la norma penal por parte de los juzgados y tribunales, que aparece recogido, entre otras resoluciones, en la STC 38/2003, de 27 de febrero, FJ 8:</w:t>
      </w:r>
    </w:p>
    <w:p w:rsidR="005728DD" w:rsidRDefault="005728DD" w:rsidP="005728DD">
      <w:pPr>
        <w:pStyle w:val="TextoNormal"/>
      </w:pPr>
    </w:p>
    <w:p w:rsidR="005728DD" w:rsidRDefault="005728DD" w:rsidP="005728DD">
      <w:pPr>
        <w:pStyle w:val="TextoNormal"/>
      </w:pPr>
      <w:r>
        <w:t>“[S]egún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 xml:space="preserve">Precisando nuestro canon de control de constitucionalidad, cabe hablar de aplicación analógica o extensiva </w:t>
      </w:r>
      <w:r w:rsidRPr="005728DD">
        <w:rPr>
          <w:i/>
        </w:rPr>
        <w:t>in malam partem</w:t>
      </w:r>
      <w:r>
        <w:t>,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005728DD" w:rsidRDefault="005728DD" w:rsidP="005728DD">
      <w:pPr>
        <w:pStyle w:val="TextoNormal"/>
      </w:pPr>
    </w:p>
    <w:p w:rsidR="005728DD" w:rsidRDefault="005728DD" w:rsidP="005728DD">
      <w:pPr>
        <w:pStyle w:val="TextoNormal"/>
      </w:pPr>
      <w:r>
        <w:t>Y en la ya citada STC 129/2008, FJ 3, se acota la fiscalización que corresponde llevar a cabo a este tribunal, en los siguientes términos:</w:t>
      </w:r>
    </w:p>
    <w:p w:rsidR="005728DD" w:rsidRDefault="005728DD" w:rsidP="005728DD">
      <w:pPr>
        <w:pStyle w:val="TextoNormal"/>
      </w:pPr>
    </w:p>
    <w:p w:rsidR="005728DD" w:rsidRDefault="005728DD" w:rsidP="005728DD">
      <w:pPr>
        <w:pStyle w:val="TextoNormal"/>
      </w:pPr>
      <w:r>
        <w:t>“No compete pues a este tribunal la determinación de la interpretación última, en cuanto más correcta, de un enunciado penal, ni siquiera desde los parámetros que delimitan los valores y principios constitucionales. Y tampoco le compete la demarcación de las interpre</w:t>
      </w:r>
      <w:r>
        <w:lastRenderedPageBreak/>
        <w:t>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w:t>
      </w:r>
    </w:p>
    <w:p w:rsidR="005728DD" w:rsidRDefault="005728DD" w:rsidP="005728DD">
      <w:pPr>
        <w:pStyle w:val="TextoNormal"/>
      </w:pPr>
    </w:p>
    <w:p w:rsidR="005728DD" w:rsidRDefault="005728DD" w:rsidP="005728DD">
      <w:pPr>
        <w:pStyle w:val="TextoNormal"/>
      </w:pPr>
      <w:r>
        <w:t>G) Finalmente, constatamos que este tribunal ha incardinado dentro del derecho fundamental reconocido en el art. 25.1 CE al denominado principio de personalidad de las penas, en los términos expuestos, entre otras, en la STC 125/2001, de 4 de junio, F J 6:</w:t>
      </w:r>
    </w:p>
    <w:p w:rsidR="005728DD" w:rsidRDefault="005728DD" w:rsidP="005728DD">
      <w:pPr>
        <w:pStyle w:val="TextoNormal"/>
      </w:pPr>
    </w:p>
    <w:p w:rsidR="005728DD" w:rsidRDefault="005728DD" w:rsidP="005728DD">
      <w:pPr>
        <w:pStyle w:val="TextoNormal"/>
      </w:pPr>
      <w:r>
        <w:t>“El principio de personalidad de las penas, que forma parte del de legalidad penal y se encuentra, por tanto, incluido en el art. 25.1 CE, implica que solo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pero la existencia de responsabilidades penales de terceros no excluye necesariamente la responsabilidad del recurrente por sus propios actos, ni la posibilidad de que su cooperación pueda ser reputada necesaria”.</w:t>
      </w:r>
    </w:p>
    <w:p w:rsidR="005728DD" w:rsidRDefault="005728DD" w:rsidP="005728DD">
      <w:pPr>
        <w:pStyle w:val="TextoNormal"/>
      </w:pPr>
    </w:p>
    <w:p w:rsidR="005728DD" w:rsidRDefault="005728DD" w:rsidP="005728DD">
      <w:pPr>
        <w:pStyle w:val="TextoNormal"/>
      </w:pPr>
      <w:r>
        <w:t>10</w:t>
      </w:r>
      <w:r w:rsidRPr="005728DD">
        <w:rPr>
          <w:i/>
        </w:rPr>
        <w:t>.2. Interpretación y aplicación del tipo penal de sedi</w:t>
      </w:r>
      <w:r>
        <w:t>ción.</w:t>
      </w:r>
    </w:p>
    <w:p w:rsidR="005728DD" w:rsidRDefault="005728DD" w:rsidP="005728DD">
      <w:pPr>
        <w:pStyle w:val="TextoNormal"/>
      </w:pPr>
    </w:p>
    <w:p w:rsidR="005728DD" w:rsidRDefault="005728DD" w:rsidP="005728DD">
      <w:pPr>
        <w:pStyle w:val="TextoNormal"/>
      </w:pPr>
      <w:r>
        <w:t>10.2.1</w:t>
      </w:r>
      <w:r w:rsidRPr="005728DD">
        <w:rPr>
          <w:i/>
        </w:rPr>
        <w:t>. Posiciones de las part</w:t>
      </w:r>
      <w:r>
        <w:t>es.</w:t>
      </w:r>
    </w:p>
    <w:p w:rsidR="005728DD" w:rsidRDefault="005728DD" w:rsidP="005728DD">
      <w:pPr>
        <w:pStyle w:val="TextoNormal"/>
      </w:pPr>
    </w:p>
    <w:p w:rsidR="005728DD" w:rsidRDefault="005728DD" w:rsidP="005728DD">
      <w:pPr>
        <w:pStyle w:val="TextoNormal"/>
      </w:pPr>
      <w:r>
        <w:t xml:space="preserve">Bajo el título “Prohibición de interpretaciones extensivas o analógicas </w:t>
      </w:r>
      <w:r w:rsidRPr="005728DD">
        <w:rPr>
          <w:i/>
        </w:rPr>
        <w:t>in malam partem</w:t>
      </w:r>
      <w:r>
        <w:t xml:space="preserve">; exigencia de taxatividad interpretativa y previsibilidad de las conductas punibles”, el demandante atribuye a la sentencia condenatoria la vulneración del derecho reconocido en el art. 25.1 CE, con fundamento en la quiebra de la garantía de taxatividad tanto por la labor exegética del intérprete como por la concreta aplicación de la norma a su conducta. A modo de introducción, pero sin concretar una queja específica, el recurrente efectúa una crítica global a la configuración legal del delito descrito en el art. 544 CP, del que, a su juicio, “podrían denunciarse su claro sesgo autoritario, su uso como instrumento de represión penal de las libertades públicas (básicamente, en el ámbito de los derechos de huelga y de reunión), el carácter sumamente abierto e impreciso de los términos con los que está descrito, en clara contradicción con las exigencias derivadas del principio de taxatividad penal o, desde la perspectiva comparada, el hecho de ser España de los pocos estados democráticos que aun contemplan tal trasnochado delito que necesitaría de una urgente reforma”. No obstante, puntualiza que en este apartado se ciñe expresamente a la concreta subsunción de los hechos en el delito de sedición que se lleva a cabo por la sentencia impugnada. Esta censura se bifurca en tres reproches a la citada resolución, a la que achaca que : a) “interpreta los términos típicos de la norma aplicada de una manera contraria a su sentido semántico”; </w:t>
      </w:r>
      <w:r>
        <w:lastRenderedPageBreak/>
        <w:t>b) “hace recaer su soporte axiológico en una base valorativa ajena a los criterios que informan nuestro sistema constitucional de derechos fundamentales, por lo que conduce a una solución esencialmente opuesta a la orientación material de la norma y, por ello, imprevisible para sus destinatarios”; y c) argumenta de forma “ incongruente consigo misma y, por ello, vacía de contenido y criminaliza el ejercicio legítimo de derechos constitucionales”.</w:t>
      </w:r>
    </w:p>
    <w:p w:rsidR="005728DD" w:rsidRDefault="005728DD" w:rsidP="005728DD">
      <w:pPr>
        <w:pStyle w:val="TextoNormal"/>
      </w:pPr>
    </w:p>
    <w:p w:rsidR="005728DD" w:rsidRDefault="005728DD" w:rsidP="005728DD">
      <w:pPr>
        <w:pStyle w:val="TextoNormal"/>
      </w:pPr>
      <w:r>
        <w:t>a) En primer término, en la demanda se afirma que la interpretación del delito de sedición resulta tan extensiva que vulnera la exigencia de taxatividad. En este apartado, el recurrente lleva a cabo un análisis de los elementos contenidos en el tipo descrito en el art. 544 CP y alcanza la conclusión de que, frente a lo que sostiene la resolución impugnada, la exigencia de violencia es inherente al delito de sedición, tanto desde una perspectiva literal, como desde una sistemática y atenta a la proximidad del delito con el ejercicio legítimo de la protesta. Por tanto, rechaza la argumentación judicial que considera que los términos “alzamiento” y “tumultuario” no implican necesariamente el ejercicio de violencia. Argumenta primero que la hostilidad a la que el Tribunal Supremo supedita la calificación de “alzamiento tumultuario” implica violencia conforme a una de las acepciones establecidas por la Real Academia Española (RAE): “agresión armada de un pueblo, ejército o grupo”. Añade, ya desde una perspectiva atenta a los derechos concurrentes, que las referencias al “carácter hostil, intimidatorio, amedrentatario o injurioso” no bastan para conformar el delito de sedición, pues esa interpretación convierte el referido delito en un instrumento represivo de las libertades públicas y del derecho de protesta.</w:t>
      </w:r>
    </w:p>
    <w:p w:rsidR="005728DD" w:rsidRDefault="005728DD" w:rsidP="005728DD">
      <w:pPr>
        <w:pStyle w:val="TextoNormal"/>
      </w:pPr>
    </w:p>
    <w:p w:rsidR="005728DD" w:rsidRDefault="005728DD" w:rsidP="005728DD">
      <w:pPr>
        <w:pStyle w:val="TextoNormal"/>
      </w:pPr>
      <w:r>
        <w:t>En apoyo de tal conclusión recuerda la especial importancia que este tribunal ha atribuido al derecho de reunión en el seno de una sociedad democrática y señala a continuación que, en ese contexto, el ejercicio del derecho a la manifestación constituye un poderoso instrumento de presión para alcanzar las finalidades perseguidas por los manifestantes, que “desemboca en muchas ocasiones en la aparición de un espacio de abierta hostilidad, que se transforma necesariamente en actividades intimidatorias, amedrentatorias o injuriosas”. Dado que, según defiende, el “enfrentamiento, la reivindicación y la protesta —con frecuencia enérgicas y hostiles— conforman el ámbito del ejercicio del derecho de reunión”, tales circunstancias no pueden constituir los límites penales al ejercicio de ese derecho. Por el contrario, esos límites —insiste— se sitúan en la utilización de violencia o intimidación, medios comisivos de los numerosos tipos penales recogidos bajo la rúbrica de delitos contra el orden público (atentados contra la autoridad, sus agentes y los funcionarios públicos, resistencia, desórdenes públicos). El demandante concluye que, por lógica sistemática y en atención a la gravedad de las penas previstas, esos medios también deben exigirse en el delito de sedición como figura más grave que abre el título vigésimo segundo, de modo que, conforme a la interpretación exigente del tipo de sedición del art. 544 CP a la que obliga el derecho de reunión, serán atípicas las conductas que describe llevadas a cabo sin violencia o intimidación, lo que obliga a una interpretación estricta de la referencia legal a la posibilidad de cometer el delito “fuera de las vías legales”.</w:t>
      </w:r>
    </w:p>
    <w:p w:rsidR="005728DD" w:rsidRDefault="005728DD" w:rsidP="005728DD">
      <w:pPr>
        <w:pStyle w:val="TextoNormal"/>
      </w:pPr>
    </w:p>
    <w:p w:rsidR="005728DD" w:rsidRDefault="005728DD" w:rsidP="005728DD">
      <w:pPr>
        <w:pStyle w:val="TextoNormal"/>
      </w:pPr>
      <w:r>
        <w:t>También afirma que se ha producido una aplicación del tipo penal sin la debida taxatividad en tanto que la sentencia no ha podido concretar cuándo se produjo el alzamiento tumultuario, toda vez que lo acontecido los días 20 de septiembre y 1 de octubre constituyó un legítimo ejercicio del derecho de reunión. Y sin alzamiento, no hay delito de sedición.</w:t>
      </w:r>
    </w:p>
    <w:p w:rsidR="005728DD" w:rsidRDefault="005728DD" w:rsidP="005728DD">
      <w:pPr>
        <w:pStyle w:val="TextoNormal"/>
      </w:pPr>
    </w:p>
    <w:p w:rsidR="005728DD" w:rsidRDefault="005728DD" w:rsidP="005728DD">
      <w:pPr>
        <w:pStyle w:val="TextoNormal"/>
      </w:pPr>
      <w:r>
        <w:lastRenderedPageBreak/>
        <w:t>b) En segundo lugar, el recurrente pone de relieve el carácter imprevisible de la subsunción de los hechos en el tipo penal de sedición con referencia a los distintos elementos del tipo. Reitera que, ante la indefinición de cuándo tuvo lugar el alzamiento o la inexistencia de actos violentos generalizados, se colma la exigencia típica de “alzamiento tumultuario” por la vía de hecho con actuaciones que podrían encuadrarse en el ejercicio del derecho de reunión, tales como “formación de ‘grupos de personas aglomerados y compactados’, ‘conglomerados de personas en clara superioridad numérica’, ‘aglomeraciones de personas impermeables a cualquier requerimiento’, o ‘fórmulas de resistencia no violenta’”. El demandante reprueba también que en la sentencia no se describa cuándo y cómo se impidió de forma generalizada la aplicación de la ley o el ejercicio de funciones públicas aun dando por sentado que el alzamiento tumultuario tuvo lugar los días antes indicados. Destaca que en la manifestación del día 20 de septiembre no se relatan actos de violencia, sin que tampoco se llegara a imposibilitar la realización de los registros en las condiciones señaladas en el art. 569 LECrim. Añade que el día 1 de octubre tampoco se impidió la aplicación de ninguna ley ni la ejecución de ninguna actuación pública, puesto que las concentraciones ante los colegios electorales no confirieron validez a una votación que nacía fuera del ámbito de lo jurídico. En suma, esos dos días lo que se produjo realmente fueron actos de protesta ciudadana y de opinión masiva a través de una votación convocada por una autoridad no competente, lo que desde el año 2005 no constituía delito alguno, de manera que la condena por sedición, con motivo de convocar reuniones pacíficas de protesta, no resultaba previsible para el demandante, vulnerando el derecho a la legalidad penal y su derecho de reunión.</w:t>
      </w:r>
    </w:p>
    <w:p w:rsidR="005728DD" w:rsidRDefault="005728DD" w:rsidP="005728DD">
      <w:pPr>
        <w:pStyle w:val="TextoNormal"/>
      </w:pPr>
    </w:p>
    <w:p w:rsidR="005728DD" w:rsidRDefault="005728DD" w:rsidP="005728DD">
      <w:pPr>
        <w:pStyle w:val="TextoNormal"/>
      </w:pPr>
      <w:r>
        <w:t>c) Finalmente, el recurrente atribuye a la sentencia la falta de congruencia interna, habida cuenta de que en diversos pasajes prescinde del criterio de “la abierta hostilidad” del alzamiento como elemento configurador del delito de sedición en su interpretación del tipo, para pasar a describir episodios de mera resistencia pasiva o desobediencia, formas no violentas que integran el contenido del derecho fundamental de reunión.</w:t>
      </w:r>
    </w:p>
    <w:p w:rsidR="005728DD" w:rsidRDefault="005728DD" w:rsidP="005728DD">
      <w:pPr>
        <w:pStyle w:val="TextoNormal"/>
      </w:pPr>
    </w:p>
    <w:p w:rsidR="005728DD" w:rsidRDefault="005728DD" w:rsidP="005728DD">
      <w:pPr>
        <w:pStyle w:val="TextoNormal"/>
      </w:pPr>
      <w:r>
        <w:t>Para la abogacía del Estado, la sentencia lleva a cabo la subsunción de los hechos en la norma de manera lógica y acorde con principios interpretativos válidos y previsibles, sin contrariar el sentido literal del precepto aplicado. 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Por tanto, el demandante no ha sido condenado por apoyar dos concentraciones multitudinarias de protesta y votación, y los hechos enjuiciados no son comparables con la consulta del “9-N”.</w:t>
      </w:r>
    </w:p>
    <w:p w:rsidR="005728DD" w:rsidRDefault="005728DD" w:rsidP="005728DD">
      <w:pPr>
        <w:pStyle w:val="TextoNormal"/>
      </w:pPr>
    </w:p>
    <w:p w:rsidR="005728DD" w:rsidRDefault="005728DD" w:rsidP="005728DD">
      <w:pPr>
        <w:pStyle w:val="TextoNormal"/>
      </w:pPr>
      <w:r>
        <w:t xml:space="preserve">Para el partido político Vox, el órgano judicial no llevó a cabo una interpretación analógica </w:t>
      </w:r>
      <w:r w:rsidRPr="005728DD">
        <w:rPr>
          <w:i/>
        </w:rPr>
        <w:t>in malam partem</w:t>
      </w:r>
      <w:r>
        <w:t xml:space="preserve"> del delito de sedición. Reitera que no hubo imprevisibilidad al valorar los hechos atribuidos al recurrente como un delito de sedición, de acuerdo a lo expresado en la sentencia. El recurrente tuvo que prever la exigencia de responsabilidad penal, toda vez que la acción imputada incluía la creación de una legalidad paralela para promover la </w:t>
      </w:r>
      <w:r>
        <w:lastRenderedPageBreak/>
        <w:t>inobservancia de las leyes y, además, la celebración de un referéndum prohibido que se pretendió hacer realidad mediante una tumultuaria movilización ciudadana para rechazar el cumplimiento de las resoluciones judiciales.</w:t>
      </w:r>
    </w:p>
    <w:p w:rsidR="005728DD" w:rsidRDefault="005728DD" w:rsidP="005728DD">
      <w:pPr>
        <w:pStyle w:val="TextoNormal"/>
      </w:pPr>
    </w:p>
    <w:p w:rsidR="005728DD" w:rsidRDefault="005728DD" w:rsidP="005728DD">
      <w:pPr>
        <w:pStyle w:val="TextoNormal"/>
      </w:pPr>
      <w:r>
        <w:t>El fiscal sostiene que la subsunción de los hechos en la norma penal realizada por el Tribunal Supremo ostenta fundamento razonable y no resulta imprevisible ni contraria a la orientación material de la norma. Tras analizar los aspectos más relevantes de la fundamentación jurídica de la sentencia impugnada sobre esta temática, concluye que la subsunción efectuada satisface la triple exigencia de respeto por parte del intérprete o aplicador de la norma sancionadora a la semántica de los términos empleados en la proposición normativa, a las reglas compartidas de interpretación aceptadas por la comunidad jurídica (operadores jurídicos y estudiosos del Derecho) y a la axiología constitucional (los valores y principios constitucionales).</w:t>
      </w:r>
    </w:p>
    <w:p w:rsidR="005728DD" w:rsidRDefault="005728DD" w:rsidP="005728DD">
      <w:pPr>
        <w:pStyle w:val="TextoNormal"/>
      </w:pPr>
    </w:p>
    <w:p w:rsidR="005728DD" w:rsidRDefault="005728DD" w:rsidP="005728DD">
      <w:pPr>
        <w:pStyle w:val="TextoNormal"/>
      </w:pPr>
      <w:r>
        <w:t xml:space="preserve">(i) Insiste en que la sentencia impugnada ha llevado a cabo “una interpretación posible que entra en los términos de la ley, sin haber caído en apreciaciones que impliquen una ruptura de su sujeción a la ley, contraria al imperio de la ley, y que, por ello, resultan prohibidas”. Ni hay ampliación, pues no se ha ido más allá del significado literal posible de los términos legales, ni se ha incurrido en un exceso respecto de la más amplia de sus acepciones posibles (interpretación extensiva), ni concurre extensión alguna de la norma a supuestos que la ley no contempla (analogía </w:t>
      </w:r>
      <w:r w:rsidRPr="005728DD">
        <w:rPr>
          <w:i/>
        </w:rPr>
        <w:t>in malam partem</w:t>
      </w:r>
      <w:r>
        <w:t>). (ii) Considera los argumentos y razonamientos empleados razonables, coherentes y no extravagantes, ajustándose a criterios interpretativos lógicos, sistemáticos y teleológicos. (iii) Finalmente, afirma que, en el plano axiológico, la actuación del Tribunal Supremo resulta intachable, ya que ha considerado las alegaciones de la parte recurrente sobre el derecho de reunión y las libertades de expresión e ideológica tanto en el fundamento dedicado a la vulneración de derechos fundamentales como en el concreto juicio de autoría sobre el demandante; y, “tras ponderar las invocaciones efectuadas, ha razonado y decidido su descarte con el valor de neutralizar la antijuridicidad del comportamiento del recurrente, justificando más que suficientemente el desborde y trasgresión del ejercicio legítimo de tales derechos” en atención a las circunstancias concurrentes, “con lo que la inexistencia del efecto desaliento ha quedado constatada”.</w:t>
      </w:r>
    </w:p>
    <w:p w:rsidR="005728DD" w:rsidRDefault="005728DD" w:rsidP="005728DD">
      <w:pPr>
        <w:pStyle w:val="TextoNormal"/>
      </w:pPr>
    </w:p>
    <w:p w:rsidR="005728DD" w:rsidRDefault="005728DD" w:rsidP="005728DD">
      <w:pPr>
        <w:pStyle w:val="TextoNormal"/>
      </w:pPr>
      <w:r>
        <w:t>Añade que la previsibilidad de la respuesta penal, en el caso concreto del demandante, viene reforzada por la circunstancia de que ejecutó buena parte de los hechos por los que se le condena —en relación con la movilización respecto de la jornada del 1 de octubre—, conociendo ya la existencia de una denuncia del Ministerio Fiscal contra él ante la Audiencia Nacional precisamente por delito de sedición. Sobre este particular destaca lo dicho en el auto de 29 de enero de 2020: “Adquieren ahora pleno sentido las declaraciones del señor Cuixart el día 27 de septiembre, recogidas en la sentencia cuya nulidad se postula: ‘[…] si de lo que se nos acusa es de sedición, señor fiscal, señores de la Audiencia Nacional, si es por llamar a la movilización permanente, tienen ustedes razón, lo volveremos a hacer’”.</w:t>
      </w:r>
    </w:p>
    <w:p w:rsidR="005728DD" w:rsidRDefault="005728DD" w:rsidP="005728DD">
      <w:pPr>
        <w:pStyle w:val="TextoNormal"/>
      </w:pPr>
    </w:p>
    <w:p w:rsidR="005728DD" w:rsidRDefault="005728DD" w:rsidP="005728DD">
      <w:pPr>
        <w:pStyle w:val="TextoNormal"/>
      </w:pPr>
      <w:r>
        <w:t>10.2.2</w:t>
      </w:r>
      <w:r w:rsidRPr="005728DD">
        <w:rPr>
          <w:i/>
        </w:rPr>
        <w:t>. Respuesta del órgano judici</w:t>
      </w:r>
      <w:r>
        <w:t>al.</w:t>
      </w:r>
    </w:p>
    <w:p w:rsidR="005728DD" w:rsidRDefault="005728DD" w:rsidP="005728DD">
      <w:pPr>
        <w:pStyle w:val="TextoNormal"/>
      </w:pPr>
    </w:p>
    <w:p w:rsidR="005728DD" w:rsidRDefault="005728DD" w:rsidP="005728DD">
      <w:pPr>
        <w:pStyle w:val="TextoNormal"/>
      </w:pPr>
      <w:r>
        <w:t xml:space="preserve">En el apartado 4 del fundamento de Derecho B) de la sentencia recurrida se analizan las características y naturaleza jurídica del delito de sedición. Por otro lado, el apartado 1.9 del fundamento de Derecho C) contiene el juicio de autoría relativo al demandante. En los antecedentes y el fundamento jurídico tercero de esta resolución se reflejan de manera sintética </w:t>
      </w:r>
      <w:r>
        <w:lastRenderedPageBreak/>
        <w:t>la interpretación del delito de sedición y la aplicación al demandante efectuada por el órgano de enjuiciamiento.</w:t>
      </w:r>
    </w:p>
    <w:p w:rsidR="005728DD" w:rsidRDefault="005728DD" w:rsidP="005728DD">
      <w:pPr>
        <w:pStyle w:val="TextoNormal"/>
      </w:pPr>
    </w:p>
    <w:p w:rsidR="005728DD" w:rsidRDefault="005728DD" w:rsidP="005728DD">
      <w:pPr>
        <w:pStyle w:val="TextoNormal"/>
      </w:pPr>
      <w:r>
        <w:t>No obstante, resulta de interés destacar las consideraciones que efectúa el órgano judicial para rechazar que el ejercicio de la violencia sea un requisito del delito de sedición en el fundamento de Derecho B) 4.4.</w:t>
      </w:r>
    </w:p>
    <w:p w:rsidR="005728DD" w:rsidRDefault="005728DD" w:rsidP="005728DD">
      <w:pPr>
        <w:pStyle w:val="TextoNormal"/>
      </w:pPr>
    </w:p>
    <w:p w:rsidR="005728DD" w:rsidRDefault="005728DD" w:rsidP="005728DD">
      <w:pPr>
        <w:pStyle w:val="TextoNormal"/>
      </w:pPr>
      <w:r>
        <w:t>«Resulta obligado subrayar que la descripción típica no anuda al alzamiento público, presupuesto compartido con el delito de rebelión, su expresa caracterización como violento.</w:t>
      </w:r>
    </w:p>
    <w:p w:rsidR="005728DD" w:rsidRDefault="005728DD" w:rsidP="005728DD">
      <w:pPr>
        <w:pStyle w:val="TextoNormal"/>
      </w:pPr>
    </w:p>
    <w:p w:rsidR="005728DD" w:rsidRDefault="005728DD" w:rsidP="005728DD">
      <w:pPr>
        <w:pStyle w:val="TextoNormal"/>
      </w:pPr>
      <w:r>
        <w:t>La sentencia de esta Sala, dictada con fecha 10 octubre 1980, al analizar la regulación del entonces artículo 218 del Código penal, además de interesantes referencias históricas y de Derecho comparado, resalta su forma colectiva y tumultuaria de alzamiento, calificándola como una infracción de actividad o de resultado cortado. También lo califica como delito de tendencia pues, por una parte, el alzamiento ha de encaminarse necesariamente a la consecución de alguno de los objetivos señalados en los cinco números del art. 218 citado —hoy 544— y, por otra, el alzamiento, por sí solo, consuma el delito aunque no se hayan logrado los fines propuestos. Pero se requiere que el alzamiento se encamine a la consecución de los fines indicados por la fuerza. Y ese precedente —no se olvide, referido a un precepto carente ya de vigencia— equipara la fuerza al empleo de dos modos ejecutivos que pueden operar de forma alternativa: a) modos violentos —violencia absoluta o compulsiva— que pueden recaer, tanto sobre las personas como sobre las cosas —</w:t>
      </w:r>
      <w:r w:rsidRPr="005728DD">
        <w:rPr>
          <w:i/>
        </w:rPr>
        <w:t>vis physica</w:t>
      </w:r>
      <w:r>
        <w:t xml:space="preserve"> o </w:t>
      </w:r>
      <w:r w:rsidRPr="005728DD">
        <w:rPr>
          <w:i/>
        </w:rPr>
        <w:t>vis in rebus</w:t>
      </w:r>
      <w:r>
        <w:t>—; b) modos fuera de las vías legales, es decir, que se desarrollan de manera ilícita, ilegítima o ilegal y no a través de recursos o procedimientos de reclamación, protesta, disenso o de disconformidad que la ley permita, arbitre o prescriba.</w:t>
      </w:r>
    </w:p>
    <w:p w:rsidR="005728DD" w:rsidRDefault="005728DD" w:rsidP="005728DD">
      <w:pPr>
        <w:pStyle w:val="TextoNormal"/>
      </w:pPr>
    </w:p>
    <w:p w:rsidR="005728DD" w:rsidRDefault="005728DD" w:rsidP="005728DD">
      <w:pPr>
        <w:pStyle w:val="TextoNormal"/>
      </w:pPr>
      <w:r>
        <w:t>Aquella sentencia —cuyo valor hermenéutico es más que limitado, al referirse a un artículo previgente— advertía que el modo violento no era solamente la agresión física sobre las personas. En el plano dogmático, cobra aquí especial valor el discurso argumental de una penalista —escrito y publicado con la misma solvencia técnica con la que asumió en el plenario la defensa de uno de los acusados— que, siguiendo autorizados criterios doctrinales, razonaba que la expresión “tumultuario” no puede tener otra significación que la de “abierta hostilidad, y adiciona un contenido de hostilidad y violencia que no tiene por qué ser física ni entrañar el uso de la fuerza, como expresa la alternativa modal entre esta o ‘fuera de las vías legales’, pero que ha de vivificarse necesariamente en actitudes intimidatorias, amedrentatorias, injuriosas, etc.”. Solo así —seguía razonando— puede deslindarse “[…] la sedición de la pacífica oposición colectiva a la ejecución de las leyes o al ejercicio de la función pública fuera del sistema legal de recursos o procedimientos de reclamación o de disconformidad que la ley arbitre o prescriba”.</w:t>
      </w:r>
    </w:p>
    <w:p w:rsidR="005728DD" w:rsidRDefault="005728DD" w:rsidP="005728DD">
      <w:pPr>
        <w:pStyle w:val="TextoNormal"/>
      </w:pPr>
    </w:p>
    <w:p w:rsidR="005728DD" w:rsidRDefault="005728DD" w:rsidP="005728DD">
      <w:pPr>
        <w:pStyle w:val="TextoNormal"/>
      </w:pPr>
      <w:r>
        <w:t>La Sala hace suyo este razonamiento.</w:t>
      </w:r>
    </w:p>
    <w:p w:rsidR="005728DD" w:rsidRDefault="005728DD" w:rsidP="005728DD">
      <w:pPr>
        <w:pStyle w:val="TextoNormal"/>
      </w:pPr>
    </w:p>
    <w:p w:rsidR="005728DD" w:rsidRDefault="005728DD" w:rsidP="005728DD">
      <w:pPr>
        <w:pStyle w:val="TextoNormal"/>
      </w:pPr>
      <w:r>
        <w:t xml:space="preserve">La descripción del tipo previsto en el art. 544 del CP —si se descartan otras interpretaciones voluntaristas— incluye una alternativa en la descripción del alzamiento público y tumultuario. En efecto, este puede ejecutarse “por la fuerza o fuera de las vías legales”. Quienes entienden que, pese a esa redacción en términos alternativos, la exigencia de violencia en el delito de sedición es inherente al vocablo “alzamiento”, se apartan del significado gramatical de esa palabra. En las veinticuatro acepciones que el diccionario de la RAE </w:t>
      </w:r>
      <w:r>
        <w:lastRenderedPageBreak/>
        <w:t>asocia a la voz “alzar” o “alzarse”, ninguna de ellas se vincula de modo exclusivo al empleo de violencia. Tampoco respalda esa tesis el significado gramatical del vocablo tumultuario”».</w:t>
      </w:r>
    </w:p>
    <w:p w:rsidR="005728DD" w:rsidRDefault="005728DD" w:rsidP="005728DD">
      <w:pPr>
        <w:pStyle w:val="TextoNormal"/>
      </w:pPr>
    </w:p>
    <w:p w:rsidR="005728DD" w:rsidRDefault="005728DD" w:rsidP="005728DD">
      <w:pPr>
        <w:pStyle w:val="TextoNormal"/>
      </w:pPr>
      <w:r>
        <w:t>Asimismo, en el apartado 4.6 se proclama la naturaleza delictiva de los hechos, al considerar que, conforme a lo expuesto en el relato fáctico, estos estuvieron lejos de una legítima y pacífica manifestación de protesta:</w:t>
      </w:r>
    </w:p>
    <w:p w:rsidR="005728DD" w:rsidRDefault="005728DD" w:rsidP="005728DD">
      <w:pPr>
        <w:pStyle w:val="TextoNormal"/>
      </w:pPr>
    </w:p>
    <w:p w:rsidR="005728DD" w:rsidRDefault="005728DD" w:rsidP="005728DD">
      <w:pPr>
        <w:pStyle w:val="TextoNormal"/>
      </w:pPr>
      <w:r>
        <w:t>“La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005728DD" w:rsidRDefault="005728DD" w:rsidP="005728DD">
      <w:pPr>
        <w:pStyle w:val="TextoNormal"/>
      </w:pPr>
    </w:p>
    <w:p w:rsidR="005728DD" w:rsidRDefault="005728DD" w:rsidP="005728DD">
      <w:pPr>
        <w:pStyle w:val="TextoNormal"/>
      </w:pPr>
      <w:r>
        <w:t>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005728DD" w:rsidRDefault="005728DD" w:rsidP="005728DD">
      <w:pPr>
        <w:pStyle w:val="TextoNormal"/>
      </w:pPr>
    </w:p>
    <w:p w:rsidR="005728DD" w:rsidRDefault="005728DD" w:rsidP="005728DD">
      <w:pPr>
        <w:pStyle w:val="TextoNormal"/>
      </w:pPr>
      <w:r>
        <w:t>Y tales resultados se procuraban totalmente fuera de las vías legales. En el hecho probado se ha expuesto la forzada interpretación del reglamento de la Cámara autonómica para proclamar esas disposiciones legales. La efectividad —que no validez— de las nuevas disposiciones se reflejó en la acomodación de los acusados a sus preceptos pese a los reiterados requerimientos del Tribunal Constitucional para no ponerlas en práctica”.</w:t>
      </w:r>
    </w:p>
    <w:p w:rsidR="005728DD" w:rsidRDefault="005728DD" w:rsidP="005728DD">
      <w:pPr>
        <w:pStyle w:val="TextoNormal"/>
      </w:pPr>
    </w:p>
    <w:p w:rsidR="005728DD" w:rsidRDefault="005728DD" w:rsidP="005728DD">
      <w:pPr>
        <w:pStyle w:val="TextoNormal"/>
      </w:pPr>
      <w:r>
        <w:t>En el apartado 2.4 del auto de 29 de enero de 2020 desestimatorio del incidente de nulidad de actuaciones, el órgano judicial descarta que el tipo penal de sedición adolezca de falta de taxatividad, si bien recalca que, en realidad, lo que el recurrente cuestiona es la subsunción jurídica realizada, por exceder del significado de los términos del precepto aplicado y por no respetar los criterios que informan nuestro sistema constitucional de Derecho. Al respecto, ofrece la siguiente respuesta:</w:t>
      </w:r>
    </w:p>
    <w:p w:rsidR="005728DD" w:rsidRDefault="005728DD" w:rsidP="005728DD">
      <w:pPr>
        <w:pStyle w:val="TextoNormal"/>
      </w:pPr>
    </w:p>
    <w:p w:rsidR="005728DD" w:rsidRDefault="005728DD" w:rsidP="005728DD">
      <w:pPr>
        <w:pStyle w:val="TextoNormal"/>
      </w:pPr>
      <w:r>
        <w:t>“El tipo penal de sedición de los artículos 544 y 545 CP no adolece de una inconcreción o imprecisión que impida conocer de antemano el ámbito de lo proscrito, que sería el primer nivel de análisis. Como se deriva del examen que la propia sentencia realiza del delito —</w:t>
      </w:r>
      <w:r>
        <w:lastRenderedPageBreak/>
        <w:t>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005728DD" w:rsidRDefault="005728DD" w:rsidP="005728DD">
      <w:pPr>
        <w:pStyle w:val="TextoNormal"/>
      </w:pPr>
    </w:p>
    <w:p w:rsidR="005728DD" w:rsidRDefault="005728DD" w:rsidP="005728DD">
      <w:pPr>
        <w:pStyle w:val="TextoNormal"/>
      </w:pPr>
      <w:r>
        <w:t>Esta conclusión es, por otro lado, perfectamente compatible con la necesidad de su interpretación jurisprudencial, como la que hace la sentencia que ahora se cuestiona. […]</w:t>
      </w:r>
    </w:p>
    <w:p w:rsidR="005728DD" w:rsidRDefault="005728DD" w:rsidP="005728DD">
      <w:pPr>
        <w:pStyle w:val="TextoNormal"/>
      </w:pPr>
    </w:p>
    <w:p w:rsidR="005728DD" w:rsidRDefault="005728DD" w:rsidP="005728DD">
      <w:pPr>
        <w:pStyle w:val="TextoNormal"/>
      </w:pPr>
      <w:r>
        <w:t>Estas alegaciones [sobre la subsunción jurídica] han de ser también desestimadas.</w:t>
      </w:r>
    </w:p>
    <w:p w:rsidR="005728DD" w:rsidRDefault="005728DD" w:rsidP="005728DD">
      <w:pPr>
        <w:pStyle w:val="TextoNormal"/>
      </w:pPr>
    </w:p>
    <w:p w:rsidR="005728DD" w:rsidRDefault="005728DD" w:rsidP="005728DD">
      <w:pPr>
        <w:pStyle w:val="TextoNormal"/>
      </w:pPr>
      <w:r>
        <w:t xml:space="preserve">[…] Este </w:t>
      </w:r>
      <w:r w:rsidRPr="005728DD">
        <w:rPr>
          <w:i/>
        </w:rPr>
        <w:t>factum</w:t>
      </w:r>
      <w:r>
        <w:t xml:space="preserve"> contiene, con la necesaria concreción, los elementos del tipo penal aplicado, permitiendo así que la subsunción jurídica respecto a la conducta imputada al señor Cuixart sea, como se deriva de los argumentos expuestos en la sentencia dictada, lógica y acorde a criterios interpretativos válidos, al margen de que dicha subsunción no se comparta y la parte continúe insistiendo en la atipicidad de la conducta, lo que no implica por sí mismo una quiebra del principio de legalidad penal [cfr. particularmente el punto 1.9 del apartado C)]. Adquieren ahora pleno sentido las declaraciones del señor Cuixart el día 27 de septiembre, recogidas en la sentencia cuya nulidad se postula: ‘[...] si de lo que se nos acusa es de sedición, señor fiscal, señores de la Audiencia Nacional, si es por llamar a la movilización permanente, tienen ustedes razón, lo volveremos a hacer’. En suma, mal puede hablarse de imprevisibilidad del tipo penal cuando el acusado conocía la existencia, incluso, de una denuncia del fiscal que incluía esa calificación”.</w:t>
      </w:r>
    </w:p>
    <w:p w:rsidR="005728DD" w:rsidRDefault="005728DD" w:rsidP="005728DD">
      <w:pPr>
        <w:pStyle w:val="TextoNormal"/>
      </w:pPr>
    </w:p>
    <w:p w:rsidR="005728DD" w:rsidRDefault="005728DD" w:rsidP="005728DD">
      <w:pPr>
        <w:pStyle w:val="TextoNormal"/>
      </w:pPr>
      <w:r>
        <w:t>Por su parte, en relación con el derecho de reunión y manifestación (art. 21 CE), cuyo legítimo ejercicio aduce el demandante como incompatible con la responsabilidad penal de la que ha sido acreedor, el Tribunal Supremo rechaza tal cobertura en el apartado 17.5.2 del fundamento de Derecho A) de la sentencia impugnada y en el apartado 2.5 del citado auto de 29 de enero de 2020, donde expresamente se pone en relación la aducida imprevisibilidad de la condena con el alegado ejercicio legítimo del derecho de reunión. Los razonamientos que conducen al órgano judicial a no acoger la tesis del recurrente han sido expuestos sintéticamente en esta resolución al abordar el motivo que denunciaba la vulneración del art. 21 CE (FJ 9). En este punto cabe limitarse a recordar las siguientes consideraciones del fundamento de Derecho A) 17.5.2.</w:t>
      </w:r>
    </w:p>
    <w:p w:rsidR="005728DD" w:rsidRDefault="005728DD" w:rsidP="005728DD">
      <w:pPr>
        <w:pStyle w:val="TextoNormal"/>
      </w:pPr>
    </w:p>
    <w:p w:rsidR="005728DD" w:rsidRDefault="005728DD" w:rsidP="005728DD">
      <w:pPr>
        <w:pStyle w:val="TextoNormal"/>
      </w:pPr>
      <w:r>
        <w:t xml:space="preserve">“Todo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convencer de que un territorio tiene derecho a romper amarras con el Estado español; argumentarios defendiendo para los habitantes de una determinada comunidad un supuesto derecho </w:t>
      </w:r>
      <w:r>
        <w:lastRenderedPageBreak/>
        <w:t>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convictivo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005728DD" w:rsidRDefault="005728DD" w:rsidP="005728DD">
      <w:pPr>
        <w:pStyle w:val="TextoNormal"/>
      </w:pPr>
    </w:p>
    <w:p w:rsidR="005728DD" w:rsidRDefault="005728DD" w:rsidP="005728DD">
      <w:pPr>
        <w:pStyle w:val="TextoNormal"/>
      </w:pPr>
      <w:r>
        <w:t>Por último, procede traer a colación el razonamiento que figura en el apartado 3.2.2.3 A) del auto de 29 de enero de 2020, que revisa la subsunción de los hechos en la norma penal y, en el párrafo final, reafirma que el delito de sedición es un delito de resultado cortado al responder a las alegaciones críticas de otro acusado, señor Forn, sobre tal subsunción.</w:t>
      </w:r>
    </w:p>
    <w:p w:rsidR="005728DD" w:rsidRDefault="005728DD" w:rsidP="005728DD">
      <w:pPr>
        <w:pStyle w:val="TextoNormal"/>
      </w:pPr>
    </w:p>
    <w:p w:rsidR="005728DD" w:rsidRDefault="005728DD" w:rsidP="005728DD">
      <w:pPr>
        <w:pStyle w:val="TextoNormal"/>
      </w:pPr>
      <w:r>
        <w:t>“No reiteraremos ahora el relato íntegro de hechos probados de la sentencia, sino solamente las líneas que resumen los presupuestos objetivos del tipo penal y delatan la artificiosa valoración que de lo ocurrido hace el incidente.</w:t>
      </w:r>
    </w:p>
    <w:p w:rsidR="005728DD" w:rsidRDefault="005728DD" w:rsidP="005728DD">
      <w:pPr>
        <w:pStyle w:val="TextoNormal"/>
      </w:pPr>
    </w:p>
    <w:p w:rsidR="005728DD" w:rsidRDefault="005728DD" w:rsidP="005728DD">
      <w:pPr>
        <w:pStyle w:val="TextoNormal"/>
      </w:pPr>
      <w:r>
        <w:t>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005728DD" w:rsidRDefault="005728DD" w:rsidP="005728DD">
      <w:pPr>
        <w:pStyle w:val="TextoNormal"/>
      </w:pPr>
    </w:p>
    <w:p w:rsidR="005728DD" w:rsidRDefault="005728DD" w:rsidP="005728DD">
      <w:pPr>
        <w:pStyle w:val="TextoNormal"/>
      </w:pPr>
      <w:r>
        <w:t xml:space="preserve">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w:t>
      </w:r>
      <w:r>
        <w:lastRenderedPageBreak/>
        <w:t>hubo de abandonar el edifico horas más tarde, huyendo del lugar a escondidas y por lugar ajeno a la función de entrada y salida de personas.</w:t>
      </w:r>
    </w:p>
    <w:p w:rsidR="005728DD" w:rsidRDefault="005728DD" w:rsidP="005728DD">
      <w:pPr>
        <w:pStyle w:val="TextoNormal"/>
      </w:pPr>
    </w:p>
    <w:p w:rsidR="005728DD" w:rsidRDefault="005728DD" w:rsidP="005728DD">
      <w:pPr>
        <w:pStyle w:val="TextoNormal"/>
      </w:pPr>
      <w:r>
        <w:t>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005728DD" w:rsidRDefault="005728DD" w:rsidP="005728DD">
      <w:pPr>
        <w:pStyle w:val="TextoNormal"/>
      </w:pPr>
    </w:p>
    <w:p w:rsidR="005728DD" w:rsidRDefault="005728DD" w:rsidP="005728DD">
      <w:pPr>
        <w:pStyle w:val="TextoNormal"/>
      </w:pPr>
      <w:r>
        <w:t>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005728DD" w:rsidRDefault="005728DD" w:rsidP="005728DD">
      <w:pPr>
        <w:pStyle w:val="TextoNormal"/>
      </w:pPr>
    </w:p>
    <w:p w:rsidR="005728DD" w:rsidRDefault="005728DD" w:rsidP="005728DD">
      <w:pPr>
        <w:pStyle w:val="TextoNormal"/>
      </w:pPr>
      <w:r>
        <w:t>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005728DD" w:rsidRDefault="005728DD" w:rsidP="005728DD">
      <w:pPr>
        <w:pStyle w:val="TextoNormal"/>
      </w:pPr>
    </w:p>
    <w:p w:rsidR="005728DD" w:rsidRDefault="005728DD" w:rsidP="005728DD">
      <w:pPr>
        <w:pStyle w:val="TextoNormal"/>
      </w:pPr>
      <w:r>
        <w:t xml:space="preserve">El programa delictivo de los penados preveía —como se proclama en el hecho probado 3— la estrategia de utilizar a multitudes de ciudadanos para ‘neutralizar cualquier manifestación de poder emanada de las autoridades judiciales y gubernativas del Estado’. En definitiva, a la ilicitud de la finalidad perseguida por los autores se une el extravío del procedimiento diseñado como medio. Se decidió actuar con desafío del ordenamiento jurídico que fue declarado derogado, sustituido y suplantado por las Leyes de referéndum y desconexión 6 y 7 de septiembre de 2017. Y en la medida que para esto era un óbice lo que habían ordenado el Tribunal Constitucional y derivadamente los juzgados núm. 13 de Barcelona y el Tribunal Superior de Justicia de Cataluña, llamaron a los ciudadanos a hacer imposible su cumplimiento.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w:t>
      </w:r>
      <w:r>
        <w:lastRenderedPageBreak/>
        <w:t>la sentencia califica como ‘abierta hostilidad’, descrita en el hecho probado 9, y ‘enfrentamientos’, de que da cuenta el hecho probado 12, con el modo de los comportamientos de mera resistencia pacífica, o no violencia activa.</w:t>
      </w:r>
    </w:p>
    <w:p w:rsidR="005728DD" w:rsidRDefault="005728DD" w:rsidP="005728DD">
      <w:pPr>
        <w:pStyle w:val="TextoNormal"/>
      </w:pPr>
    </w:p>
    <w:p w:rsidR="005728DD" w:rsidRDefault="005728DD" w:rsidP="005728DD">
      <w:pPr>
        <w:pStyle w:val="TextoNormal"/>
      </w:pPr>
      <w:r>
        <w:t>Ello no diluiría la tipicidad de los comportamientos. Y no solamente por la diferencia entre los supuestos de abierta tiranía o injusto colonialismo que han estado presentes en los contextos históricos que legitimaron aquellos movimientos. Basta para esa conclusión reparar en el contenido de las leyes antidemocráticas y sedicentes aprobadas los días 6 y 7 de septiembre de 2017, conforme al plan de los acusados como punto de partida. Puede ser suficiente considerar el estatuto político, social o económico que ha definido el entorno en que se han ejecutado los hechos o pensar, en fin, en la posición y los medios que a los autores del hecho concedía su integración en la estructura del Estado, cuyas leyes fueron derogadas y sus jueces abiertamente desobedecidos.</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005728DD" w:rsidRDefault="005728DD" w:rsidP="005728DD">
      <w:pPr>
        <w:pStyle w:val="TextoNormal"/>
      </w:pPr>
    </w:p>
    <w:p w:rsidR="005728DD" w:rsidRDefault="005728DD" w:rsidP="005728DD">
      <w:pPr>
        <w:pStyle w:val="TextoNormal"/>
      </w:pPr>
      <w:r>
        <w:t>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005728DD" w:rsidRDefault="005728DD" w:rsidP="005728DD">
      <w:pPr>
        <w:pStyle w:val="TextoNormal"/>
      </w:pPr>
    </w:p>
    <w:p w:rsidR="005728DD" w:rsidRDefault="005728DD" w:rsidP="005728DD">
      <w:pPr>
        <w:pStyle w:val="TextoNormal"/>
      </w:pPr>
      <w:r>
        <w:t>10.2.3</w:t>
      </w:r>
      <w:r w:rsidRPr="005728DD">
        <w:rPr>
          <w:i/>
        </w:rPr>
        <w:t>. Resolución de la que</w:t>
      </w:r>
      <w:r>
        <w:t>ja.</w:t>
      </w:r>
    </w:p>
    <w:p w:rsidR="005728DD" w:rsidRDefault="005728DD" w:rsidP="005728DD">
      <w:pPr>
        <w:pStyle w:val="TextoNormal"/>
      </w:pPr>
    </w:p>
    <w:p w:rsidR="005728DD" w:rsidRDefault="005728DD" w:rsidP="005728DD">
      <w:pPr>
        <w:pStyle w:val="TextoNormal"/>
      </w:pPr>
      <w:r>
        <w:t>A continuación, se procederá a dilucidar sobre las vulneraciones formuladas por el demandante, de conformidad con el orden seguido por este último. En tanto que quejas vinculadas a la interpretación y aplicación del art. 544 CP, que inaugura el capítulo primero —“Sedición”— del título vigésimo segundo del libro segundo del Código penal —“Delitos contra el orden público”—, resulta imprescindible tener presente su tenor literal:</w:t>
      </w:r>
    </w:p>
    <w:p w:rsidR="005728DD" w:rsidRDefault="005728DD" w:rsidP="005728DD">
      <w:pPr>
        <w:pStyle w:val="TextoNormal"/>
      </w:pPr>
    </w:p>
    <w:p w:rsidR="005728DD" w:rsidRDefault="005728DD" w:rsidP="005728DD">
      <w:pPr>
        <w:pStyle w:val="TextoNormal"/>
      </w:pPr>
      <w:r>
        <w:t>“Son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w:t>
      </w:r>
    </w:p>
    <w:p w:rsidR="005728DD" w:rsidRDefault="005728DD" w:rsidP="005728DD">
      <w:pPr>
        <w:pStyle w:val="TextoNormal"/>
      </w:pPr>
    </w:p>
    <w:p w:rsidR="005728DD" w:rsidRDefault="005728DD" w:rsidP="005728DD">
      <w:pPr>
        <w:pStyle w:val="TextoNormal"/>
      </w:pPr>
      <w:r>
        <w:t>10.2.3.1</w:t>
      </w:r>
      <w:r w:rsidRPr="005728DD">
        <w:rPr>
          <w:i/>
        </w:rPr>
        <w:t>. Interpretación judicial del delito de sedici</w:t>
      </w:r>
      <w:r>
        <w:t>ón.</w:t>
      </w:r>
    </w:p>
    <w:p w:rsidR="005728DD" w:rsidRDefault="005728DD" w:rsidP="005728DD">
      <w:pPr>
        <w:pStyle w:val="TextoNormal"/>
      </w:pPr>
    </w:p>
    <w:p w:rsidR="005728DD" w:rsidRDefault="005728DD" w:rsidP="005728DD">
      <w:pPr>
        <w:pStyle w:val="TextoNormal"/>
      </w:pPr>
      <w:r>
        <w:lastRenderedPageBreak/>
        <w:t>En primer lugar, reprueba el recurrente que el tribunal sentenciador haya efectuado una interpretación del precepto penal que considera extensiva en tanto excede del sentido semántico de sus términos y resulta incompatible con el derecho de reunión. El argumento nuclear de la queja reside en la necesidad de que concurra violencia en el comportamiento de los sujetos activos, toda vez que, a juicio del demandante, ese factor resulta inherente al alzamiento tumultuario a que se refiere el art. 544 CP y, en todo caso, constituye el elemento diferenciador entre una protesta típica y un ejercicio del derecho de reunión. No es suficiente, señala, que para incardinar los hechos en el tipo de sedición concurran circunstancias tales como la abierta hostilidad o se lleven a cabo actividades intimidatorias, amedrentadoras o injuriosas, toda vez que, si no se ejerce violencia, los hechos estarían amparados por el ejercicio legítimo del derecho de reunión.</w:t>
      </w:r>
    </w:p>
    <w:p w:rsidR="005728DD" w:rsidRDefault="005728DD" w:rsidP="005728DD">
      <w:pPr>
        <w:pStyle w:val="TextoNormal"/>
      </w:pPr>
    </w:p>
    <w:p w:rsidR="005728DD" w:rsidRDefault="005728DD" w:rsidP="005728DD">
      <w:pPr>
        <w:pStyle w:val="TextoNormal"/>
      </w:pPr>
      <w:r>
        <w:t xml:space="preserve">Como ha quedado reflejado al exponer la doctrina constitucional relativa al derecho fundamental reconocido en el art. 25.1 CE, el mandato de taxatividad también opera en el ámbito aplicativo. Aquí, la garantía de tipicidad conlleva la interdicción de una subsunción irrazonable, bien por conferir al precepto un alcance semántico que traspasa su sentido literal y vulnerar la prohibición de la analogía </w:t>
      </w:r>
      <w:r w:rsidRPr="005728DD">
        <w:rPr>
          <w:i/>
        </w:rPr>
        <w:t>in malam partem</w:t>
      </w:r>
      <w:r>
        <w:t>, bien porque, aun no desbordándose el significado posible de los términos legales, se incurre en irrazonabilidad metodológica o axiológica en tanto la exégesis y la aplicación de la norma caen en quiebras lógicas o discordancias con los modelos de argumentación aceptados por la comunidad jurídica o se aparta de las pautas valorativas que informan el ordenamiento constitucional. En línea con tal exigencia triple de razonabilidad para descartar la imprevisibilidad lesiva del derecho, la queja del recurrente transita desde una inicial alegación de irrazonabilidad gramatical al interpretar el requisito de alzamiento tumultuario (a) a la defensa de la necesidad axiológica y sistemática de una interpretación restrictiva que incluya la violencia (b).</w:t>
      </w:r>
    </w:p>
    <w:p w:rsidR="005728DD" w:rsidRDefault="005728DD" w:rsidP="005728DD">
      <w:pPr>
        <w:pStyle w:val="TextoNormal"/>
      </w:pPr>
    </w:p>
    <w:p w:rsidR="005728DD" w:rsidRDefault="005728DD" w:rsidP="005728DD">
      <w:pPr>
        <w:pStyle w:val="TextoNormal"/>
      </w:pPr>
      <w:r>
        <w:t>Antes de abordar ambos aspectos, resulta oportuno advertir que, de acuerdo al parámetro de valoración que nos concierne, nuestro enjuiciamiento no implicará la asunción de una tesis propia acerca del contenido y alcance del tipo penal aplicado, como si fuéramos un órgano jurisdiccional que cumple su función de interpretar y aplicar la legalidad ordinaria. Desde una perspectiva más modesta, nos limitaremos a pronunciarnos sobre si la exégesis realizada por el órgano de enjuiciamiento conculca la garantía referida, pero sin que ello suponga, para el caso de rechazar la censura, proclamar que la tesis judicial es la única adecuada desde el prisma de la legalidad constitucional ni, por supuesto, que sea la más correcta, oportuna o adecuada desde la perspectiva infraconstitucional.</w:t>
      </w:r>
    </w:p>
    <w:p w:rsidR="005728DD" w:rsidRDefault="005728DD" w:rsidP="005728DD">
      <w:pPr>
        <w:pStyle w:val="TextoNormal"/>
      </w:pPr>
    </w:p>
    <w:p w:rsidR="005728DD" w:rsidRDefault="005728DD" w:rsidP="005728DD">
      <w:pPr>
        <w:pStyle w:val="TextoNormal"/>
      </w:pPr>
      <w:r>
        <w:t>a) Previsibilidad semántica: interpretación dentro del tenor literal del art. 544 CP.</w:t>
      </w:r>
    </w:p>
    <w:p w:rsidR="005728DD" w:rsidRDefault="005728DD" w:rsidP="005728DD">
      <w:pPr>
        <w:pStyle w:val="TextoNormal"/>
      </w:pPr>
    </w:p>
    <w:p w:rsidR="005728DD" w:rsidRDefault="005728DD" w:rsidP="005728DD">
      <w:pPr>
        <w:pStyle w:val="TextoNormal"/>
      </w:pPr>
      <w:r>
        <w:t xml:space="preserve">Para elucidar la pertinencia de la censura inicial que se dirige contra el órgano sentenciador procede esclarecer si, en efecto, su interpretación de la conducta típica definida como “alzamiento tumultuario” excede de su significado gramatical por no incluir la exigencia de violencia. La respuesta inmediata es negativa. Como apunta el tribunal sentenciador y no discute el demandante, ninguna de las acepciones que el diccionario de la Real Academia Española asocia a las voces “alzar” o “alzarse” vincula tal verbo de modo exclusivo al empleo de violencia y tampoco el uso común del lenguaje identifica de forma necesaria el adjetivo “tumultuario” con la utilización de esa forma de comisión. Sobre ese particular, hemos de convenir con el órgano judicial que los términos indicados del tipo penal no se anudan exclusivamente al ejercicio de la violencia, pues si bien ambos vocablos no excluyen </w:t>
      </w:r>
      <w:r>
        <w:lastRenderedPageBreak/>
        <w:t xml:space="preserve">las eventuales agresiones o acometimientos que los partícipes puedan llevar a cabo, estas formas de actuación no constituyen, sin embargo, un requisito necesario para conformar la infracción penal objeto de análisis. Esta aserción no solo se sustenta en el argumento dado por la sentencia. La dicción del precepto, que, junto con el empleo de la fuerza, admite alternativamente que se actúe “fuera de las vías legales”, corrobora con solidez la referida interpretación, pues aunque se pretendiera asimilar el término “por la fuerza” al uso de la </w:t>
      </w:r>
      <w:r w:rsidRPr="005728DD">
        <w:rPr>
          <w:i/>
        </w:rPr>
        <w:t>vis physica</w:t>
      </w:r>
      <w:r>
        <w:t>, necesariamente habrá que aceptar que la acepción “fuera de las vías legales” admite la utilización de medios no violentos. Ni el sentido usual de los términos legales “alzamiento” y “tumultuario” ni su examen en el contexto íntegro de definición de la conducta típica conducen a la exigencia de violencia como requisito del delito de sedición.</w:t>
      </w:r>
    </w:p>
    <w:p w:rsidR="005728DD" w:rsidRDefault="005728DD" w:rsidP="005728DD">
      <w:pPr>
        <w:pStyle w:val="TextoNormal"/>
      </w:pPr>
    </w:p>
    <w:p w:rsidR="005728DD" w:rsidRDefault="005728DD" w:rsidP="005728DD">
      <w:pPr>
        <w:pStyle w:val="TextoNormal"/>
      </w:pPr>
      <w:r>
        <w:t>En realidad, el único argumento netamente gramatical que esgrime el demandante, la existencia de una acepción del término “hostilidad” que la define como “agresión armada de un pueblo, ejército o grupo”, no solo no rechaza que existen otras definiciones que no implican violencia, sino que ni siquiera se refiere a un término usado por el legislador, sino a una exigencia introducida por el Tribunal Supremo como elemento restrictivo del potencial ámbito típico del delito de sedición. La propia queja de falta de taxatividad del precepto por la vaguedad de la descripción típica y la defensa de la necesidad de una interpretación restrictiva del delito de sedición para evitar interferencias con el derecho de reunión, que reitera el recurrente en distintas partes del motivo y aun de la demanda, ponen de relieve que en ningún caso el problema de la interpretación y aplicación de los arts. 544 y 545 CP efectuada por la Sala de lo Penal puede ser la falta de sometimiento a las palabras de la ley. Distinto es que, como advertimos, no baste para afirmar la razonabilidad de una interpretación y aplicación de la norma penal que demanda la garantía de tipicidad con la previsibilidad gramatical, sino que es preciso también que la subsunción sea razonable metodológica y axiológicamente. De hecho, es la imprecisión y amplitud aplicativa que permite la definición legal del delito la que, según el recurrente, permitiría interpretaciones semánticamente posibles pero incompatibles con el derecho de reunión y alejadas de una interpretación sistemática y teleológicamente consistente del delito, como sería la sostenida en la sentencia impugnada.</w:t>
      </w:r>
    </w:p>
    <w:p w:rsidR="005728DD" w:rsidRDefault="005728DD" w:rsidP="005728DD">
      <w:pPr>
        <w:pStyle w:val="TextoNormal"/>
      </w:pPr>
    </w:p>
    <w:p w:rsidR="005728DD" w:rsidRDefault="005728DD" w:rsidP="005728DD">
      <w:pPr>
        <w:pStyle w:val="TextoNormal"/>
      </w:pPr>
      <w:r>
        <w:t>b) Razonabilidad metodológica y axiológica: interpretación restrictiva fruto de una reducción teleológica y sistemática del ámbito típico.</w:t>
      </w:r>
    </w:p>
    <w:p w:rsidR="005728DD" w:rsidRDefault="005728DD" w:rsidP="005728DD">
      <w:pPr>
        <w:pStyle w:val="TextoNormal"/>
      </w:pPr>
    </w:p>
    <w:p w:rsidR="005728DD" w:rsidRDefault="005728DD" w:rsidP="005728DD">
      <w:pPr>
        <w:pStyle w:val="TextoNormal"/>
      </w:pPr>
      <w:r>
        <w:t>El recurrente defiende la necesidad de exigir violencia o intimidación como requisito del delito de sedición por la vecindad de las conductas típicas con el ejercicio del derecho de reunión y la posibilidad de que ese ejercicio se traduzca en la aparición de un espacio de abierta hostilidad que, en tanto que amparado por el derecho, no puede ser penalmente relevante. En otras palabras, proyecta ahora la invocación del derecho de reunión a la exigencia de una interpretación del tipo conforme con los valores constitucionales, lo que se traduciría en la exigencia de violencia, y no tanto como causa de exclusión de la antijuridicidad de la conducta, como planteaba en el anterior motivo. Una interpretación restrictiva en tal sentido vendría exigida también, a su entender, por el lugar sistemático que ocupa el delito de sedición dentro de los delitos contra el orden público.</w:t>
      </w:r>
    </w:p>
    <w:p w:rsidR="005728DD" w:rsidRDefault="005728DD" w:rsidP="005728DD">
      <w:pPr>
        <w:pStyle w:val="TextoNormal"/>
      </w:pPr>
    </w:p>
    <w:p w:rsidR="005728DD" w:rsidRDefault="005728DD" w:rsidP="005728DD">
      <w:pPr>
        <w:pStyle w:val="TextoNormal"/>
      </w:pPr>
      <w:r>
        <w:t>Sin perjuicio de remitirnos a la exposición más detallada sobre el juicio de tipicidad contenido en el fundamento de Derecho B) de la sentencia impugnada efectuada en los antece</w:t>
      </w:r>
      <w:r>
        <w:lastRenderedPageBreak/>
        <w:t>dentes y el fundamento jurídico tercero de esta resolución, deben recordarse ahora los aspectos esenciales de la interpretación del Tribunal Supremo cuestionada en el motivo. En el apartado cuatro del referido fundamento, el órgano judicial primero (i) singulariza el delito, respecto del delito de rebelión y otros ilícitos contemplados bajo la rúbrica “Delitos contra el orden público” y, en atención a su estructura típica y su gravedad, sienta la necesidad de una afección severa al bien jurídico para apreciarlo como condición de respeto del principio de proporcionalidad. Fijado ese entendimiento exigente, (ii) desgrana los elementos objetivos y subjetivos del delito a partir del tenor literal del precepto y la reducción teleológica reseñada.</w:t>
      </w:r>
    </w:p>
    <w:p w:rsidR="005728DD" w:rsidRDefault="005728DD" w:rsidP="005728DD">
      <w:pPr>
        <w:pStyle w:val="TextoNormal"/>
      </w:pPr>
    </w:p>
    <w:p w:rsidR="005728DD" w:rsidRDefault="005728DD" w:rsidP="005728DD">
      <w:pPr>
        <w:pStyle w:val="TextoNormal"/>
      </w:pPr>
      <w:r>
        <w:t xml:space="preserve">(i) La Sala efectúa un análisis del objeto de protección desde la conciencia de la similitud de la estructura típica del delito de sedición con el delito de rebelión, pero también del diverso lugar sistemático que, sin embargo, ocupan ambos ilícitos —bajo los títulos vigésimo segundo “Delitos contra el orden público” y vigésimo primero “Delitos contra la Constitución”, respectivamente—, así como atento a la pluralidad de tipos incluidos en el título vigésimo segundo y la notable gravedad de algunos de ellos, que “desbordan los reducidos límites del concepto de orden público concebido como bien jurídico autónomo”. Opta por el concepto de paz pública, más amplio que el de orden público, como bien jurídico tutelado, sin perjuicio de delimitar en cada caso el interés protegido. En línea con pronunciamientos anteriores del propio tribunal, identifica ese objeto de protección “con el interés de la sociedad en la aceptación del marco constitucional, de las leyes y de las decisiones de las autoridades legítimas, como presupuesto para el ejercicio y disfrute de los derechos fundamentales”. La especificidad del delito de sedición radica, a juicio de la Sala, en los rasgos que, conforme a su estructura típica, lo cualifican frente a otros delitos contra el orden público, de modo que no alcanza a toda turbación de la paz o tranquilidad pública. Subraya que no solo constituye un supuesto cualificado por “la entidad de la lesión o el riesgo generado para el bien jurídico”, respecto a los tipos de atentado o mero desorden, sino también un </w:t>
      </w:r>
      <w:r w:rsidRPr="005728DD">
        <w:rPr>
          <w:i/>
        </w:rPr>
        <w:t>aliud</w:t>
      </w:r>
      <w:r>
        <w:t xml:space="preserve"> respecto a la desobediencia, dados los requisitos típicos de “conductas activas, alzamiento colectivo, vías de hecho, despliegue de resistencia”. Desde tal conciencia de un desvalor cualificado, que ancla asimismo en el principio de proporcionalidad penal, la Sala requiere que la conducta “afecte a la colectividad interesada en la efectividad de las funciones” ejercidas por las autoridades gubernativas y judiciales así como la valoración de “si el tumulto imputado a los autores pone efectivamente en cuestión el funcionamiento del Estado democrático de Derecho”.</w:t>
      </w:r>
    </w:p>
    <w:p w:rsidR="005728DD" w:rsidRDefault="005728DD" w:rsidP="005728DD">
      <w:pPr>
        <w:pStyle w:val="TextoNormal"/>
      </w:pPr>
    </w:p>
    <w:p w:rsidR="005728DD" w:rsidRDefault="005728DD" w:rsidP="005728DD">
      <w:pPr>
        <w:pStyle w:val="TextoNormal"/>
      </w:pPr>
      <w:r>
        <w:t>(ii) Sentado tal punto de partida, el órgano judicial fija los elementos típicos del delito:</w:t>
      </w:r>
    </w:p>
    <w:p w:rsidR="005728DD" w:rsidRDefault="005728DD" w:rsidP="005728DD">
      <w:pPr>
        <w:pStyle w:val="TextoNormal"/>
      </w:pPr>
    </w:p>
    <w:p w:rsidR="005728DD" w:rsidRDefault="005728DD" w:rsidP="005728DD">
      <w:pPr>
        <w:pStyle w:val="TextoNormal"/>
      </w:pPr>
      <w:r>
        <w:t>Primero, se trata de un delito compuesto, que se comete por la sucesión o acumulación de actos, y un delito plurisubjetivo de convergencia, que requiere una unión o concierto de voluntades.</w:t>
      </w:r>
    </w:p>
    <w:p w:rsidR="005728DD" w:rsidRDefault="005728DD" w:rsidP="005728DD">
      <w:pPr>
        <w:pStyle w:val="TextoNormal"/>
      </w:pPr>
    </w:p>
    <w:p w:rsidR="005728DD" w:rsidRDefault="005728DD" w:rsidP="005728DD">
      <w:pPr>
        <w:pStyle w:val="TextoNormal"/>
      </w:pPr>
      <w:r>
        <w:t xml:space="preserve">Segundo, el medio comisivo es el alzamiento tumultuario, lo que implica que la mera reunión de una colectividad de sujetos no es, sin más delictiva, sino que el delito surge cuando, además de ser tumultuaria y pública, acude como medios comisivos a actos de fuerza o fuera de las vías legales. Advierte aquí la Sala que, a diferencia del delito de rebelión, la descripción típica no exige que el alzamiento, que sí ha de ser público y puede responder a patrones organizativos, sea además violento, como ya constató en su sentencia de 10 de octubre de 1980, si bien al analizar el art. 218 del Código penal entonces vigente, </w:t>
      </w:r>
      <w:r>
        <w:lastRenderedPageBreak/>
        <w:t>dado que, junto a los modos violentos, absolutos o compulsivos, sobre las personas o las cosas, se contemplan los modos fuera de las vías legales. No obstante, el Tribunal Supremo hace suya aquí una interpretación restrictiva defendida por la doctrina en orden a deslindar la sedición de la pacífica oposición colectiva a la ejecución de las leyes o al ejercicio de la función pública. Se considera que la expresión “tumultuaria” significa abierta hostilidad, “y adiciona un contenido de hostilidad y violencia que no tiene por qué ser física ni entrañar el uso de la fuerza, como expresa la alternativa modal entre esta y ‘fuera de las vías legales’, pero que ha de vivificarse necesariamente en actitudes intimidatorias, amedrentatorias, injuriosas, etc.”. Matiza de este modo su entendimiento de 1980 con la exigencia de medios más incisivos.</w:t>
      </w:r>
    </w:p>
    <w:p w:rsidR="005728DD" w:rsidRDefault="005728DD" w:rsidP="005728DD">
      <w:pPr>
        <w:pStyle w:val="TextoNormal"/>
      </w:pPr>
    </w:p>
    <w:p w:rsidR="005728DD" w:rsidRDefault="005728DD" w:rsidP="005728DD">
      <w:pPr>
        <w:pStyle w:val="TextoNormal"/>
      </w:pPr>
      <w:r>
        <w:t>Tercero, la actuación del grupo debe tener la finalidad de derogar de hecho la efectividad de las leyes o el cumplimiento de órdenes o resoluciones de funcionarios en el ejercicio legítimo de sus funciones. Este requisito típico precisa, de un lado, funcionalidad objetiva respecto a la obstaculización del cumplimiento de las leyes o la efectividad de las resoluciones administrativas o judiciales. Pero, además, incorpora un elemento subjetivo de tendencia, sin que el impedimento tipificado tenga que ser logrado efectivamente. En tal medida se caracteriza como delito de resultado cortado, que se consuma con la realización de la conducta típica animada con tal finalidad.</w:t>
      </w:r>
    </w:p>
    <w:p w:rsidR="005728DD" w:rsidRDefault="005728DD" w:rsidP="005728DD">
      <w:pPr>
        <w:pStyle w:val="TextoNormal"/>
      </w:pPr>
    </w:p>
    <w:p w:rsidR="005728DD" w:rsidRDefault="005728DD" w:rsidP="005728DD">
      <w:pPr>
        <w:pStyle w:val="TextoNormal"/>
      </w:pPr>
      <w:r>
        <w:t>A la luz de la interpretación expuesta, el Tribunal Supremo se muestra consciente de la gravedad del tipo y de la necesidad de delimitarlo respecto a otros delitos —rebelión, atentado, desórdenes públicos y desobediencia—, pero también respecto a conductas que suponen el ejercicio de derechos. Procede la Sala, por ello, a una interpretación correctora o restrictiva, que tras identificar un bien jurídico protegido que trasciende el orden público, persigue expresamente excluir la posibilidad de que cualquier perturbación de la tranquilidad pública, incluso fruto de una actuación colectiva pacífica al margen de la vías legales, sea subsumible en el tipo con tal de perseguir una finalidad impeditiva cualquiera y, en general, dotar a la conducta típica de un desvalor congruente con la gravedad de las penas, en términos absolutos y en términos comparativos con otros ilícitos. Para tal fin, la interpretación incide en la necesidad de una pluralidad de actos; en la característica de convergencia subjetiva, que precisa la concurrencia no solo de varias personas, sino de un número considerable; acoge la interpretación del término “tumultuario” como abierta hostilidad, correctora del amplio campo de aplicación que dibuja la dualidad de medios fijada por el legislador —“por la fuerza o fuera de las vías legales”— al tiempo que la respeta, como no puede ser de otro modo; y cualifica la finalidad impeditiva con un efectivo cuestionamiento del funcionamiento del Estado democrático de Derecho.</w:t>
      </w:r>
    </w:p>
    <w:p w:rsidR="005728DD" w:rsidRDefault="005728DD" w:rsidP="005728DD">
      <w:pPr>
        <w:pStyle w:val="TextoNormal"/>
      </w:pPr>
    </w:p>
    <w:p w:rsidR="005728DD" w:rsidRDefault="005728DD" w:rsidP="005728DD">
      <w:pPr>
        <w:pStyle w:val="TextoNormal"/>
      </w:pPr>
      <w:r>
        <w:t xml:space="preserve">Ya aclaramos en el fundamento anterior que la relevancia penal de las conductas sancionadas en este tipo penal, que, evidentemente, no solo es susceptible de ser cometido mediante manifestaciones o protestas, no radica en llamar o participar en movilizaciones ciudadanas ni en el contenido reivindicativo de la protesta, sino en la instrumentalización simultánea para incitar y procurar el incumplimiento de la Constitución, la ley y los mandatos judiciales emitidos para tutelarla. La necesidad en una sociedad democrática de proteger la aplicación de las leyes y la efectividad de las resoluciones de los órganos judiciales y de este tribunal como último garante de la Constitución no puede ser razonadamente puesta en entredicho. Tampoco la necesidad de hacerlo, en concreto, frente a acciones especialmente </w:t>
      </w:r>
      <w:r>
        <w:lastRenderedPageBreak/>
        <w:t>idóneas para lograr la inaplicación de las leyes y el impedimento de las funciones administrativas y judiciales por su dimensión colectiva y su carácter violento o abiertamente hostil.</w:t>
      </w:r>
    </w:p>
    <w:p w:rsidR="005728DD" w:rsidRDefault="005728DD" w:rsidP="005728DD">
      <w:pPr>
        <w:pStyle w:val="TextoNormal"/>
      </w:pPr>
    </w:p>
    <w:p w:rsidR="005728DD" w:rsidRDefault="005728DD" w:rsidP="005728DD">
      <w:pPr>
        <w:pStyle w:val="TextoNormal"/>
      </w:pPr>
      <w:r>
        <w:t>En suma, conforme a la interpretación del órgano judicial, no todo acto ilegal que intente impedir la aplicación de las leyes, el ejercicio de las funciones judicial o administrativa o la ejecución de cualquier resolución integra el tipo penal, sino que será la trascendencia de esas normas, actos y resoluciones, así como los medios que se empleen para intentar dejarlos sin efecto los que de forma determinante aporten el desvalor que requiere el delito. Sin olvidar que nuestra tarea de amparo del derecho a la legalidad penal no presupone una valoración de la interpretación de la norma penal en términos de calidad o de oportunidad ni el análisis de la mayor o menor razonabilidad de la interpretación alternativa que propone el recurrente, este tribunal aprecia que la restricción del ámbito típico es una orientación común a ambas propuestas interpretativas, que, sin embargo, se encauza por vías diferentes. En el caso de la propuesta del recurrente, mediante la exigencia irrestricta de violencia; en la interpretación judicial, poniendo el acento en la definición y la afectación del bien jurídico y la exigencia de abierta hostilidad y no exclusivamente por la presencia de una violencia no exigida en el precepto a diferencia de otros. Se trata de una interpretación sistemática y teleológicamente consistente que encuentra eco en la doctrina, sin perjuicio de opciones interpretativas distintas.</w:t>
      </w:r>
    </w:p>
    <w:p w:rsidR="005728DD" w:rsidRDefault="005728DD" w:rsidP="005728DD">
      <w:pPr>
        <w:pStyle w:val="TextoNormal"/>
      </w:pPr>
    </w:p>
    <w:p w:rsidR="005728DD" w:rsidRDefault="005728DD" w:rsidP="005728DD">
      <w:pPr>
        <w:pStyle w:val="TextoNormal"/>
      </w:pPr>
      <w:r>
        <w:t>A la luz de lo expuesto y del parámetro de enjuiciamiento constitucional aplicable —adverar que se trata de una interpretación posible, en cuanto razonable y por ello previsible—, la vulneración del derecho a la legalidad penal aducida por el recurrente debe descartarse. La comprensión del delito cuestionada como una interpretación extensiva no extravasa el tenor literal de la norma ni utiliza métodos no aceptados en los medios jurídicos ni se sustenta en una base axiológica inconstitucional.</w:t>
      </w:r>
    </w:p>
    <w:p w:rsidR="005728DD" w:rsidRDefault="005728DD" w:rsidP="005728DD">
      <w:pPr>
        <w:pStyle w:val="TextoNormal"/>
      </w:pPr>
    </w:p>
    <w:p w:rsidR="005728DD" w:rsidRDefault="005728DD" w:rsidP="005728DD">
      <w:pPr>
        <w:pStyle w:val="TextoNormal"/>
      </w:pPr>
      <w:r>
        <w:t>10.2.3.2</w:t>
      </w:r>
      <w:r w:rsidRPr="005728DD">
        <w:rPr>
          <w:i/>
        </w:rPr>
        <w:t>. Subsunción de los hechos en el delito de sedici</w:t>
      </w:r>
      <w:r>
        <w:t>ón.</w:t>
      </w:r>
    </w:p>
    <w:p w:rsidR="005728DD" w:rsidRDefault="005728DD" w:rsidP="005728DD">
      <w:pPr>
        <w:pStyle w:val="TextoNormal"/>
      </w:pPr>
    </w:p>
    <w:p w:rsidR="005728DD" w:rsidRDefault="005728DD" w:rsidP="005728DD">
      <w:pPr>
        <w:pStyle w:val="TextoNormal"/>
      </w:pPr>
      <w:r>
        <w:t>El demandante afirma que la sentencia impugnada se asienta sobre un soporte axiológico ajeno a los principios que informan nuestro sistema constitucional, lo que conduce a una solución opuesta a la orientación material de la norma y resulta imprevisible para los destinatarios de esta. La queja que bajo esa denominación se articula se desdobla en diferentes aspectos.</w:t>
      </w:r>
    </w:p>
    <w:p w:rsidR="005728DD" w:rsidRDefault="005728DD" w:rsidP="005728DD">
      <w:pPr>
        <w:pStyle w:val="TextoNormal"/>
      </w:pPr>
    </w:p>
    <w:p w:rsidR="005728DD" w:rsidRDefault="005728DD" w:rsidP="005728DD">
      <w:pPr>
        <w:pStyle w:val="TextoNormal"/>
      </w:pPr>
      <w:r>
        <w:t xml:space="preserve">Comienza criticando que se aprecie la concurrencia de “un alzamiento tumultuario por la vía de hecho” con base en nociones como “grupos de personas aglomerados y compactados”, “conglomerados de personas en clara superioridad numérica”, “aglomeraciones de personas impermeables a cualquier requerimiento”, o “fórmulas de resistencia no violenta”, supone una interpretación extensiva del art. 544 CP, contraria a la protección que el derecho de reunión brinda a quien convoca reuniones pacíficas de protesta e imprevisible para los destinatarios de la norma, como es el caso del recurrente en amparo. Por otra parte reprocha a la sentencia que no describa cuándo y cómo se impidió de forma generalizada la aplicación de la ley o el ejercicio de funciones públicas, toda vez que la movilización que tuvo lugar el día 20 de septiembre de 2017 no impidió que se realizaran los registros encomendados y el día 1 de octubre de 2017 tampoco se imposibilitó la aplicación de ninguna ley, habida cuenta de que la suspensión de la ley que daba cobertura al referéndum privaba a la consulta de </w:t>
      </w:r>
      <w:r>
        <w:lastRenderedPageBreak/>
        <w:t>cualquier eficacia jurídica, de suerte que las concentraciones para votar no confirieron validez a la votación resultante. Finalmente, el recurrente sostiene que se limitó a convocar una protesta política para defender las instituciones y en contra de las detenciones practicadas, en referencia a los hechos ocurridos el día 20 de septiembre de 2017; y en relación con el día 1 de octubre de 2017, señala que su comportamiento consistió en animar a la ciudadanía a participar en un referéndum convocado por una autoridad no competente, lo cual desde el año 2005 no constituye delito.</w:t>
      </w:r>
    </w:p>
    <w:p w:rsidR="005728DD" w:rsidRDefault="005728DD" w:rsidP="005728DD">
      <w:pPr>
        <w:pStyle w:val="TextoNormal"/>
      </w:pPr>
    </w:p>
    <w:p w:rsidR="005728DD" w:rsidRDefault="005728DD" w:rsidP="005728DD">
      <w:pPr>
        <w:pStyle w:val="TextoNormal"/>
      </w:pPr>
      <w:r>
        <w:t>En el siguiente apartado de la demanda, el recurrente reprueba que la sentencia resulte incongruente, puesto que a la hora de interpretar el término “alzamiento tumultuario”, en algunos pasajes refiere que ese alzamiento implica comportamientos realizados con abierta hostilidad (que a su vez habrían de materializarse necesariamente en actitudes intimidatorias, amedrentadoras o injuriosas), como así sucede en las páginas 47, 48 y 284. Sin embargo, en la página 283 ya no califica el levantamiento como hostil, sino simplemente como multitudinario, generalizado y proyectado de forma estratégica, conformándose con mucho menos. De lo expuesto, el recurrente colige que la sentencia describe episodios de resistencia pasiva o, como mucho, de mera desobediencia, que constituyen fórmulas de resistencia no violenta que integran el contenido del derecho fundamental de reunión.</w:t>
      </w:r>
    </w:p>
    <w:p w:rsidR="005728DD" w:rsidRDefault="005728DD" w:rsidP="005728DD">
      <w:pPr>
        <w:pStyle w:val="TextoNormal"/>
      </w:pPr>
    </w:p>
    <w:p w:rsidR="005728DD" w:rsidRDefault="005728DD" w:rsidP="005728DD">
      <w:pPr>
        <w:pStyle w:val="TextoNormal"/>
      </w:pPr>
      <w:r>
        <w:t>Antes de analizar la sostenibilidad de lo argumentado, conviene puntualizar que, a la vista de su síntesis, el recurrente no cuestiona aquí la orientación axiológica de la interpretación del delito, sino la concreta subsunción de los hechos y su conducta en el delito de sedición, pero lo hace insistiendo implícitamente en la necesidad de apreciar violencia generalizada como elemento típico delimitador con el derecho de reunión. La respuesta a estas alegaciones debe partir de las consideraciones anteriormente efectuadas sobre la compatibilidad con los derechos de reunión y a la legalidad penal (arts. 21 y 25.1 CE) de la interpretación del delito de sedición efectuada por el Tribunal Supremo, que no requiere dicha violencia. Resulta descartable desde un principio que el entendimiento del que parte el órgano judicial de la conducta típica “alzamiento tumultuario” y del medio comisivo de actuación “fuera de las vías legales” como exigentes de una abierta hostilidad resulte un concepto sorpresivo por imprevisible. Cae así la premisa sobre la que en gran medida se construye la queja sobre la imprevisibilidad de la subsunción, esto es, un entendimiento distinto del tipo penal aplicado. Asimismo debe traerse aquí de nuevo lo dicho en el fundamento noveno de esta resolución, donde se descartó que la conducta del recurrente consistiera en un ejercicio legítimo del derecho de reunión.</w:t>
      </w:r>
    </w:p>
    <w:p w:rsidR="005728DD" w:rsidRDefault="005728DD" w:rsidP="005728DD">
      <w:pPr>
        <w:pStyle w:val="TextoNormal"/>
      </w:pPr>
    </w:p>
    <w:p w:rsidR="005728DD" w:rsidRDefault="005728DD" w:rsidP="005728DD">
      <w:pPr>
        <w:pStyle w:val="TextoNormal"/>
      </w:pPr>
      <w:r>
        <w:t>A esta inicial consideración global, hay que añadir las siguientes sobre los concretos aspectos de la subsunción cuestionados, sin olvidar que la garantía de tipicidad se quiebra cuando la conducta enjuiciada, la ya delimitada como probada en la resolución judicial y no la que considera acreditada el demandante, es subsumida de un modo irrazonable en el tipo penal que resulta aplicado.</w:t>
      </w:r>
    </w:p>
    <w:p w:rsidR="005728DD" w:rsidRDefault="005728DD" w:rsidP="005728DD">
      <w:pPr>
        <w:pStyle w:val="TextoNormal"/>
      </w:pPr>
    </w:p>
    <w:p w:rsidR="005728DD" w:rsidRDefault="005728DD" w:rsidP="005728DD">
      <w:pPr>
        <w:pStyle w:val="TextoNormal"/>
      </w:pPr>
      <w:r>
        <w:t>(i) Respecto de los hechos acaecidos el día 20 de septiembre de 2017, con ocasión de los registros acordados por la autoridad judicial, procede una doble respuesta a la doble queja de que no constituyeron alzamiento tumultuario y de que no se describe cuándo y cómo se impidió de forma generalizada la aplicación de la ley o el ejercicio de funciones públicas.</w:t>
      </w:r>
    </w:p>
    <w:p w:rsidR="005728DD" w:rsidRDefault="005728DD" w:rsidP="005728DD">
      <w:pPr>
        <w:pStyle w:val="TextoNormal"/>
      </w:pPr>
    </w:p>
    <w:p w:rsidR="005728DD" w:rsidRDefault="005728DD" w:rsidP="005728DD">
      <w:pPr>
        <w:pStyle w:val="TextoNormal"/>
      </w:pPr>
      <w:r>
        <w:lastRenderedPageBreak/>
        <w:t>Empezando por esta última, debe recordarse que el delito de sedición no precisa un impedimento efectivo de tal aplicación o ejercicio, sino la objetiva funcionalidad de la conducta y la subjetiva finalidad de tal impedimento. Esa naturaleza de delito de resultado cortado, que el recurrente no pone en duda, disuelve el argumento de la demanda, pues en realidad imputa a la resolución judicial una subsunción irrazonable por considerar una conducta que no imposibilita la actuación judicial como efectivamente impeditiva, pero ni ese efecto lo requiere el delito de sedición ni se afirma en la sentencia impugnada. Por el contrario, los hechos probados recogen los elementos de los que se infiere la orientación de la conducta del demandante a la finalidad obstructiva y su funcionalidad para tal fin, que son los requisitos típicos fijados por el Tribunal Supremo.</w:t>
      </w:r>
    </w:p>
    <w:p w:rsidR="005728DD" w:rsidRDefault="005728DD" w:rsidP="005728DD">
      <w:pPr>
        <w:pStyle w:val="TextoNormal"/>
      </w:pPr>
    </w:p>
    <w:p w:rsidR="005728DD" w:rsidRDefault="005728DD" w:rsidP="005728DD">
      <w:pPr>
        <w:pStyle w:val="TextoNormal"/>
      </w:pPr>
      <w:r>
        <w:t>En relación con tal finalidad y la existencia de un alzamiento tumultuario, procede reproducir la argumentación dada por este tribunal en el la STC 91/2021, de 22 de abril, FJ 11.4.3.1.2:</w:t>
      </w:r>
    </w:p>
    <w:p w:rsidR="005728DD" w:rsidRDefault="005728DD" w:rsidP="005728DD">
      <w:pPr>
        <w:pStyle w:val="TextoNormal"/>
      </w:pPr>
    </w:p>
    <w:p w:rsidR="005728DD" w:rsidRDefault="005728DD" w:rsidP="005728DD">
      <w:pPr>
        <w:pStyle w:val="TextoNormal"/>
      </w:pPr>
      <w:r>
        <w:t>“Coincidimos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005728DD" w:rsidRDefault="005728DD" w:rsidP="005728DD">
      <w:pPr>
        <w:pStyle w:val="TextoNormal"/>
      </w:pPr>
    </w:p>
    <w:p w:rsidR="005728DD" w:rsidRDefault="005728DD" w:rsidP="005728DD">
      <w:pPr>
        <w:pStyle w:val="TextoNormal"/>
      </w:pPr>
      <w:r>
        <w:t>También queda reflejado en la sentencia cuál era el propósito perseguido con la convocatoria, así como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005728DD" w:rsidRDefault="005728DD" w:rsidP="005728DD">
      <w:pPr>
        <w:pStyle w:val="TextoNormal"/>
      </w:pPr>
    </w:p>
    <w:p w:rsidR="005728DD" w:rsidRDefault="005728DD" w:rsidP="005728DD">
      <w:pPr>
        <w:pStyle w:val="TextoNormal"/>
      </w:pPr>
      <w:r>
        <w:t xml:space="preserve">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w:t>
      </w:r>
      <w:r>
        <w:lastRenderedPageBreak/>
        <w:t>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005728DD" w:rsidRDefault="005728DD" w:rsidP="005728DD">
      <w:pPr>
        <w:pStyle w:val="TextoNormal"/>
      </w:pPr>
    </w:p>
    <w:p w:rsidR="005728DD" w:rsidRDefault="005728DD" w:rsidP="005728DD">
      <w:pPr>
        <w:pStyle w:val="TextoNormal"/>
      </w:pPr>
      <w:r>
        <w:t>El recurrente alega que la concentración de protesta no facilitó la labor policial, pero tampoco impidió que se desarrollara. Ciertamente, ni el demandante ni ninguno de los concentrados tenía la obligación positiva de facilitar la realización de los registros. Pero a lo que sí venían obligados es a no obstaculizar ni entorpecer su práctica y, pese a ello, se produjeron los acontecimientos anteriormente reiterados, cuya finalidad aparece explicitada en la sentencia, siendo destacable la preeminente labor de dirección desarrollada por el demandante.</w:t>
      </w:r>
    </w:p>
    <w:p w:rsidR="005728DD" w:rsidRDefault="005728DD" w:rsidP="005728DD">
      <w:pPr>
        <w:pStyle w:val="TextoNormal"/>
      </w:pPr>
    </w:p>
    <w:p w:rsidR="005728DD" w:rsidRDefault="005728DD" w:rsidP="005728DD">
      <w:pPr>
        <w:pStyle w:val="TextoNormal"/>
      </w:pPr>
      <w:r>
        <w:t>A la vista de lo expuesto, hemos de indicar que, pese a los esfuerzos dialécticos del recurrente para restar valor incriminatorio a lo ocurrido durante la realización de los registros acordados judicialmente, el relato histórico es concluyente al reflejar los incidentes acontecidos durante la realización de esas diligencias. Y teniendo en cuenta el tenor del precepto aplicado (art. 544 CP) y la naturaleza jurídica de “delito de resultado cortado” que le atribuye el órgano sentenciador, desde la perspectiva en que se sitúa este tribunal, debemos colegir que la consideración de que esos incidentes constituyen un alzamiento tumultuario, dada la hostil obstaculización por los congregados, y fueron ejecutados para impedir el desarrollo de lo acordado judicialmente, en consonancia con una estrategia previamente concordada, no incurre en ninguno de los déficits que conforme a nuestra doctrina supondrían una quiebra del principio de taxatividad en la aplicación de la norma penal.</w:t>
      </w:r>
    </w:p>
    <w:p w:rsidR="005728DD" w:rsidRDefault="005728DD" w:rsidP="005728DD">
      <w:pPr>
        <w:pStyle w:val="TextoNormal"/>
      </w:pPr>
    </w:p>
    <w:p w:rsidR="005728DD" w:rsidRDefault="005728DD" w:rsidP="005728DD">
      <w:pPr>
        <w:pStyle w:val="TextoNormal"/>
      </w:pPr>
      <w:r>
        <w:t>(ii) En cuanto a los hechos acaecidos el día 1 de octubre de 2017, la argumentación que el recurrente ofrece en apoyo de su queja debe también rechazarse. En primer lugar, porque en este caso, sin ser preciso el efectivo impedimento de la aplicación de las leyes o de las resoluciones administrativas o judiciales, eso fue exactamente lo que ocurrió el referido día, habida cuenta de que el acto de la votación se llevó a cabo pese a su manifiesta inconstitucionalidad y su expresa prohibición imposibilitando la actuación pública dirigida a hacerla efectiva.</w:t>
      </w:r>
    </w:p>
    <w:p w:rsidR="005728DD" w:rsidRDefault="005728DD" w:rsidP="005728DD">
      <w:pPr>
        <w:pStyle w:val="TextoNormal"/>
      </w:pPr>
    </w:p>
    <w:p w:rsidR="005728DD" w:rsidRDefault="005728DD" w:rsidP="005728DD">
      <w:pPr>
        <w:pStyle w:val="TextoNormal"/>
      </w:pPr>
      <w:r>
        <w:t xml:space="preserve">La materialización de tan antijurídico propósito supuso la inaplicación de la Constitución española, toda vez que la votación trajo causa, como así lo refiere el recurrente, de una normativa que había sido privada de validez y eficacia jurídica por su contrariedad a los mandatos de la Carta Magna. Por ello, la preterición de la ley devino, precisamente, de la celebración de un acto manifiestamente opuesto a nuestra norma suprema. La declarada contrariedad a Derecho del sustrato normativo de la consulta no obsta la apreciación del propósito de inaplicación normativa que prevé el tipo penal. De asumirse la tesis del recurrente, el delito de sedición solamente se habría consumado si la normativa que daba cobertura al referéndum no hubiera sido privada de eficacia, lo cual aboca a un escenario absurdo. Así pues, concluimos que la realización de las votaciones en diferentes centros supuso, de </w:t>
      </w:r>
      <w:r>
        <w:lastRenderedPageBreak/>
        <w:t>hecho, la relegación de los mandatos constitucionales, cumpliéndose así una de las finalidades previstas en el art. 544 CP.</w:t>
      </w:r>
    </w:p>
    <w:p w:rsidR="005728DD" w:rsidRDefault="005728DD" w:rsidP="005728DD">
      <w:pPr>
        <w:pStyle w:val="TextoNormal"/>
      </w:pPr>
    </w:p>
    <w:p w:rsidR="005728DD" w:rsidRDefault="005728DD" w:rsidP="005728DD">
      <w:pPr>
        <w:pStyle w:val="TextoNormal"/>
      </w:pPr>
      <w:r>
        <w:t>Al margen de lo expuesto, debemos insistir en que la referida votación también resultó frontalmente contraria a lo resuelto por este tribunal, amén de lo acordado por el Tribunal Superior de Justicia de Cataluña, según se refleja en el apartado 10 del relato fáctico. Por tanto, no cabe albergar dudas sobre la finalidad de impedir el cumplimiento de las resoluciones judiciales que albergaba la votación llevada a cabo el día 1 de octubre de 2017.</w:t>
      </w:r>
    </w:p>
    <w:p w:rsidR="005728DD" w:rsidRDefault="005728DD" w:rsidP="005728DD">
      <w:pPr>
        <w:pStyle w:val="TextoNormal"/>
      </w:pPr>
    </w:p>
    <w:p w:rsidR="005728DD" w:rsidRDefault="005728DD" w:rsidP="005728DD">
      <w:pPr>
        <w:pStyle w:val="TextoNormal"/>
      </w:pPr>
      <w:r>
        <w:t>Tampoco el relato de hechos probados, al que estamos vinculados en este análisis, deja lugar a dudas sobre los comportamientos que implicaron el uso de fuerza suficiente para neutralizar a los agentes de policía que trataban legítimamente de impedir la votación, enmarcados en un levantamiento multitudinario proyectado de forma estratégica que se desarrolla a lo largo de toda la comunidad autónoma.</w:t>
      </w:r>
    </w:p>
    <w:p w:rsidR="005728DD" w:rsidRDefault="005728DD" w:rsidP="005728DD">
      <w:pPr>
        <w:pStyle w:val="TextoNormal"/>
      </w:pPr>
    </w:p>
    <w:p w:rsidR="005728DD" w:rsidRDefault="005728DD" w:rsidP="005728DD">
      <w:pPr>
        <w:pStyle w:val="TextoNormal"/>
      </w:pPr>
      <w:r>
        <w:t>(iii) El recurrente sostiene que se limitó a convocar una protesta política para defender las instituciones y en contra de las detenciones practicadas, en referencia a los hechos ocurridos el día 20 de septiembre de 2017; y en relación con el día 1 de octubre de 2017, señala que su comportamiento consistió en animar a la ciudadanía a participar en un referéndum convocado por la autoridad, (una autoridad no competente), lo cual desde el año 2005 no constituye delito. Con base a esas premisas, concluye que la subsunción de los hechos en la norma penal que fundamentó su condena no resulta previsible, pues transforma el ejercicio del derecho fundamental de reunión en la comisión de un delito de sedición.</w:t>
      </w:r>
    </w:p>
    <w:p w:rsidR="005728DD" w:rsidRDefault="005728DD" w:rsidP="005728DD">
      <w:pPr>
        <w:pStyle w:val="TextoNormal"/>
      </w:pPr>
    </w:p>
    <w:p w:rsidR="005728DD" w:rsidRDefault="005728DD" w:rsidP="005728DD">
      <w:pPr>
        <w:pStyle w:val="TextoNormal"/>
      </w:pPr>
      <w:r>
        <w:t>Nuevamente, el recurrente sustenta la vulneración de los derechos fundamentales en su particular entendimiento de las circunstancias que se tuvieron en cuenta para apuntalar su condena que, como es de ver, distan de ser las que el tribunal sentenciador refleja en la sentencia. El apartado 9 del relato fáctico describe con claridad el preeminente papel desempeñado por el recurrente, tanto en lo concerniente a la convocatoria de la concentración, en la que se dejó bien claro por qué y para qué se incitaba a la ciudadanía a concurrir al acto, como durante el desarrollo de la misma, desmintiendo que su conducta se limitara a convocar una pacífica protesta. En relación con los hechos que tuvieron lugar el 1 de octubre de 2017, basta con reiterar los argumentos ya dados para refutar el alegato relativo a la invalidez e ineficacia de la convocatoria, como circunstancia que obsta la inaplicación de la ley a que se refiere el art. 544 CP.</w:t>
      </w:r>
    </w:p>
    <w:p w:rsidR="005728DD" w:rsidRDefault="005728DD" w:rsidP="005728DD">
      <w:pPr>
        <w:pStyle w:val="TextoNormal"/>
      </w:pPr>
    </w:p>
    <w:p w:rsidR="005728DD" w:rsidRDefault="005728DD" w:rsidP="005728DD">
      <w:pPr>
        <w:pStyle w:val="TextoNormal"/>
      </w:pPr>
      <w:r>
        <w:t>Por último, respecto de la atipicidad de los hechos desde el año 2005, por la derogación del art. 50</w:t>
      </w:r>
      <w:r w:rsidRPr="005728DD">
        <w:rPr>
          <w:i/>
        </w:rPr>
        <w:t>6 b</w:t>
      </w:r>
      <w:r>
        <w:t>is CP, damos por reproducida la respuesta dada en la STC 91/2021, FJ 11.4.3.2.2.</w:t>
      </w:r>
    </w:p>
    <w:p w:rsidR="005728DD" w:rsidRDefault="005728DD" w:rsidP="005728DD">
      <w:pPr>
        <w:pStyle w:val="TextoNormal"/>
      </w:pPr>
    </w:p>
    <w:p w:rsidR="005728DD" w:rsidRDefault="005728DD" w:rsidP="005728DD">
      <w:pPr>
        <w:pStyle w:val="TextoNormal"/>
      </w:pPr>
      <w:r>
        <w:t xml:space="preserve">“La alegación dada por el recurrente debe rechazarse, pues ignora importantes aspectos que se consignan en el relato histórico, a cuyo través el órgano enjuiciador ha apuntalado el delito de sedición. Pero, en cualquier caso, debemos proclamar que las explicaciones dadas por el referido órgano para descartar la queja del demandante se ajustan plenamente al canon de razonabilidad asentado por la doctrina constitucional. Debe advertirse que el otrora vigente precepto se limitaba a sancionar ‘a la autoridad o funcionario público que, careciendo manifiestamente de competencias o atribuciones para ello, convocare o autorizare la convocatoria [...] de consultas populares por vía de referéndum en cualquiera de las modalidades </w:t>
      </w:r>
      <w:r>
        <w:lastRenderedPageBreak/>
        <w:t xml:space="preserve">previstas en la Constitución’. Si bien parece razonable colegir que la actuación llevada a cabo desde el poder público autonómico para convocar la consulta del día 1 de octubre de 2017 tendría acomodo en el referido precepto, lo cierto es que el órgano de enjuiciamiento consideró acreditada la concurrencia de factores adicionales que exceden del ámbito del derogado art. 506 </w:t>
      </w:r>
      <w:r w:rsidRPr="005728DD">
        <w:rPr>
          <w:i/>
        </w:rPr>
        <w:t>bis</w:t>
      </w:r>
      <w:r>
        <w:t xml:space="preserve"> CP y que, sin embargo, se acomodan a la descripción típica que ofrece el art. 544 CP: el alumbramiento de una legalidad paralela y la promoción de una movilización ciudadana para provocar la inobservancia de las leyes y obstaculizar el cumplimiento de los mandatos judiciales”.</w:t>
      </w:r>
    </w:p>
    <w:p w:rsidR="005728DD" w:rsidRDefault="005728DD" w:rsidP="005728DD">
      <w:pPr>
        <w:pStyle w:val="TextoNormal"/>
      </w:pPr>
    </w:p>
    <w:p w:rsidR="005728DD" w:rsidRDefault="005728DD" w:rsidP="005728DD">
      <w:pPr>
        <w:pStyle w:val="TextoNormal"/>
      </w:pPr>
      <w:r>
        <w:t>(iv) Frente a los argumentos ya examinados, donde el recurrente opone su entendimiento del delito de sedición al sostenido por el órgano sentenciador y, con ello, rechaza la subsunción efectuada, en el apartado c) de este punto de la demanda en que denuncia la incongruencia de la sentencia recurrida, realiza una crítica a la estricta operación de subsunción sin cuestionar simultáneamente la interpretación judicial del delito que la determina. Sin embargo, debemos rechazar que el tribunal sentenciador haya incurrido en la incongruencia que se le reprocha.</w:t>
      </w:r>
    </w:p>
    <w:p w:rsidR="005728DD" w:rsidRDefault="005728DD" w:rsidP="005728DD">
      <w:pPr>
        <w:pStyle w:val="TextoNormal"/>
      </w:pPr>
    </w:p>
    <w:p w:rsidR="005728DD" w:rsidRDefault="005728DD" w:rsidP="005728DD">
      <w:pPr>
        <w:pStyle w:val="TextoNormal"/>
      </w:pPr>
      <w:r>
        <w:t>En las páginas 47 y 48 de la sentencia aludidas por el recurrente (hechos probados), el órgano judicial se limita a reflejar cuál era la actitud de los concentrados durante los acontecimientos que allí se detallan, concretamente la realización de registros ordenados judicialmente y los actos de protesta ante dependencias policiales y hoteles donde se alojaban los miembros de los cuerpos y fuerzas de seguridad del Estado. Sin embargo, en las páginas 282 a 284 de la sentencia [apartado 4.5 del fundamento de Derecho B)], el tribunal lleva a cabo una labor interpretativa acerca de la consumación del delito de sedición, con especial referencia a los hechos acontecidos durante la votación del 1 de octubre de 2017 y una referencia expresa a la hostilidad desplegada el 20 de septiembre.</w:t>
      </w:r>
    </w:p>
    <w:p w:rsidR="005728DD" w:rsidRDefault="005728DD" w:rsidP="005728DD">
      <w:pPr>
        <w:pStyle w:val="TextoNormal"/>
      </w:pPr>
    </w:p>
    <w:p w:rsidR="005728DD" w:rsidRDefault="005728DD" w:rsidP="005728DD">
      <w:pPr>
        <w:pStyle w:val="TextoNormal"/>
      </w:pPr>
      <w:r>
        <w:t>Cuando la sentencia alude a un “levantamiento multitudinario, generalizado y proyectado de forma estratégica” no se refiere, en abstracto, a los requisitos típicos de la sedición. Está detallando algunas de las características del levantamiento que se produjo el día de la votación y no, por el contrario, a los acontecimientos que se detallan en sus páginas 47 y 48 o 284, al igual que en el referido apartado se describen otros aspectos relacionados con el comportamiento de quienes acudieron a los centros de votación. Y es el conjunto de circunstancias concurrentes, entre ellas las características del levantamiento a que se ha hecho mención, el que llevó al tribunal a apreciar la comisión del delito de sedición, siendo destacables la oposición a la ejecución de la tarea policial y el empleo de fuerza suficiente para neutralizar a los agentes actuantes, que trataban de impedir el desarrollo de una votación en cumplimiento de lo acordado en sede judicial y por este tribunal, sin olvidar que el relato fáctico consigna la existencia de episodios de genuina violencia. En su planteamiento, el recurrente efectúa una selección de manifestaciones de la sentencia que, en su debida contextualización y hecha la obligada lectura íntegra de la resolución, impide apreciar que el órgano jurisdiccional haya incurrido en las contradicciones o deficiencias que se le atribuyen.</w:t>
      </w:r>
    </w:p>
    <w:p w:rsidR="005728DD" w:rsidRDefault="005728DD" w:rsidP="005728DD">
      <w:pPr>
        <w:pStyle w:val="TextoNormal"/>
      </w:pPr>
    </w:p>
    <w:p w:rsidR="005728DD" w:rsidRDefault="005728DD" w:rsidP="005728DD">
      <w:pPr>
        <w:pStyle w:val="TextoNormal"/>
      </w:pPr>
      <w:r>
        <w:t>Por lo demás, al final, la queja se reconduce por el recurrente a la temática ya planteada en diversos apartados del recurso de amparo sobre la interferencia de la condena con el derecho de reunión, a cuyo análisis desestimatorio en este fundamento y el fundamento noveno debemos remitirnos una vez más.</w:t>
      </w:r>
    </w:p>
    <w:p w:rsidR="005728DD" w:rsidRDefault="005728DD" w:rsidP="005728DD">
      <w:pPr>
        <w:pStyle w:val="TextoNormal"/>
      </w:pPr>
    </w:p>
    <w:p w:rsidR="005728DD" w:rsidRDefault="005728DD" w:rsidP="005728DD">
      <w:pPr>
        <w:pStyle w:val="TextoNormal"/>
      </w:pPr>
      <w:r>
        <w:t>Conforme se ha expuesto, no existe una interpretación del delito de sedición ni una subsunción de la conducta del recurrente en ese tipo penal irrazonable y, por ello, determinante de una condena imprevisible, de modo que la conclusión no puede ser otra que la de desestimar la denuncia de vulneración del derecho a la legalidad penal.</w:t>
      </w:r>
    </w:p>
    <w:p w:rsidR="005728DD" w:rsidRDefault="005728DD" w:rsidP="005728DD">
      <w:pPr>
        <w:pStyle w:val="TextoNormal"/>
      </w:pPr>
    </w:p>
    <w:p w:rsidR="005728DD" w:rsidRDefault="005728DD" w:rsidP="005728DD">
      <w:pPr>
        <w:pStyle w:val="TextoNormal"/>
      </w:pPr>
      <w:r>
        <w:t>10</w:t>
      </w:r>
      <w:r w:rsidRPr="005728DD">
        <w:rPr>
          <w:i/>
        </w:rPr>
        <w:t>.3. La proporcionalidad de las penas impue</w:t>
      </w:r>
      <w:r>
        <w:t>stas.</w:t>
      </w:r>
    </w:p>
    <w:p w:rsidR="005728DD" w:rsidRDefault="005728DD" w:rsidP="005728DD">
      <w:pPr>
        <w:pStyle w:val="TextoNormal"/>
      </w:pPr>
    </w:p>
    <w:p w:rsidR="005728DD" w:rsidRDefault="005728DD" w:rsidP="005728DD">
      <w:pPr>
        <w:pStyle w:val="TextoNormal"/>
      </w:pPr>
      <w:r>
        <w:t>10.3.1</w:t>
      </w:r>
      <w:r w:rsidRPr="005728DD">
        <w:rPr>
          <w:i/>
        </w:rPr>
        <w:t>. Posiciones de las part</w:t>
      </w:r>
      <w:r>
        <w:t>es.</w:t>
      </w:r>
    </w:p>
    <w:p w:rsidR="005728DD" w:rsidRDefault="005728DD" w:rsidP="005728DD">
      <w:pPr>
        <w:pStyle w:val="TextoNormal"/>
      </w:pPr>
    </w:p>
    <w:p w:rsidR="005728DD" w:rsidRDefault="005728DD" w:rsidP="005728DD">
      <w:pPr>
        <w:pStyle w:val="TextoNormal"/>
      </w:pPr>
      <w:r>
        <w:t>En el escrito de demanda se alega la vulneración del derecho a la legalidad penal reconocido en el art. 25.1 CE, en relación con los de libertad y reunión pacífica (arts. 17 y 21 CE), por considerar que la pena privativa de libertad impuesta, de nueve años de duración, resulta desproporcionada tanto desde la perspectiva de la previsión legal que la comprende, como desde el exceso de la efectivamente impuesta. Considera el recurrente que el rigor de las penas impuestas propicia sacrificios innecesarios al derecho a la libertad personal. No obstante, como se ha indicado en los antecedentes de esta resolución, la argumentación de la demanda se centra exclusivamente en cuestionar el precepto legal aplicado, de cuya impugnación deriva el de la concreta pena impuesta.</w:t>
      </w:r>
    </w:p>
    <w:p w:rsidR="005728DD" w:rsidRDefault="005728DD" w:rsidP="005728DD">
      <w:pPr>
        <w:pStyle w:val="TextoNormal"/>
      </w:pPr>
    </w:p>
    <w:p w:rsidR="005728DD" w:rsidRDefault="005728DD" w:rsidP="005728DD">
      <w:pPr>
        <w:pStyle w:val="TextoNormal"/>
      </w:pPr>
      <w:r>
        <w:t>La queja se fundamenta en los siguientes argumentos, que pasamos a exponer de forma resumida:</w:t>
      </w:r>
    </w:p>
    <w:p w:rsidR="005728DD" w:rsidRDefault="005728DD" w:rsidP="005728DD">
      <w:pPr>
        <w:pStyle w:val="TextoNormal"/>
      </w:pPr>
    </w:p>
    <w:p w:rsidR="005728DD" w:rsidRDefault="005728DD" w:rsidP="005728DD">
      <w:pPr>
        <w:pStyle w:val="TextoNormal"/>
      </w:pPr>
      <w:r>
        <w:t>(i) Posición sistemática: en el Código penal de 1995, la rebelión ha pasado a ser un “delito contra la Constitución” (título vigésimo primero), mientras que la sedición ya no es una “rebelión en pequeño”, sino un delito autónomo “contra el orden público” (título vigésimo segundo), pese a lo cual, aún se le asocia una sanción que, por su entidad, se corresponde con la de un delito contra las instituciones básicas del Estado.</w:t>
      </w:r>
    </w:p>
    <w:p w:rsidR="005728DD" w:rsidRDefault="005728DD" w:rsidP="005728DD">
      <w:pPr>
        <w:pStyle w:val="TextoNormal"/>
      </w:pPr>
    </w:p>
    <w:p w:rsidR="005728DD" w:rsidRDefault="005728DD" w:rsidP="005728DD">
      <w:pPr>
        <w:pStyle w:val="TextoNormal"/>
      </w:pPr>
      <w:r>
        <w:t xml:space="preserve">(ii) Comparación con la penalidad de otros delitos del mismo título: la pena fijada para este delito —que el Tribunal Supremo admite que puede llegar a realizarse sin violencia— es muy superior a la de otras modalidades delictivas dirigidas también a proteger el orden público, tales como el delito de atentado (art. 550 CP), los de resistencia y desobediencia (art. 556 CP), los desórdenes públicos (arts. 557 y 560 CP), la tenencia de armas prohibidas (art. 563 CP) o los delitos relacionados con la organización criminal (art. 570 </w:t>
      </w:r>
      <w:r w:rsidRPr="005728DD">
        <w:rPr>
          <w:i/>
        </w:rPr>
        <w:t>bis</w:t>
      </w:r>
      <w:r>
        <w:t xml:space="preserve"> CP). Afirma también que la penalidad establecida en el art. 545.1 CP es superior a la fijada para algunos delitos contra las instituciones del Estado (arts. 493, 498 y 503 CP); infracciones, todas ellas, que siendo igual o más graves que el delito de sedición, sin embargo, son acreedoras de una pena notablemente inferior.</w:t>
      </w:r>
    </w:p>
    <w:p w:rsidR="005728DD" w:rsidRDefault="005728DD" w:rsidP="005728DD">
      <w:pPr>
        <w:pStyle w:val="TextoNormal"/>
      </w:pPr>
    </w:p>
    <w:p w:rsidR="005728DD" w:rsidRDefault="005728DD" w:rsidP="005728DD">
      <w:pPr>
        <w:pStyle w:val="TextoNormal"/>
      </w:pPr>
      <w:r>
        <w:t>(iii) Derecho comparado: se alega que no existe en nuestro entorno europeo una figura equiparable al delito de sedición. No obstante, señala el recurrente que en otros ordenamientos (con mención expresa a diferentes figuras delictivas de Alemania, Suiza, Francia, Bélgica e Italia) existen tipos penales que contemplan supuestos de resistencia colectiva violenta a la autoridad cuyo bien jurídico lesionado es el orden o la paz públicos, para finalmente colegir que las penas impuestas por el art. 545 CP son más severas que las fijadas por esos otros códigos penales europeos para unos comportamientos que, además, requieren la concurrencia de violencia, física o psíquica, grave y explícita.</w:t>
      </w:r>
    </w:p>
    <w:p w:rsidR="005728DD" w:rsidRDefault="005728DD" w:rsidP="005728DD">
      <w:pPr>
        <w:pStyle w:val="TextoNormal"/>
      </w:pPr>
    </w:p>
    <w:p w:rsidR="005728DD" w:rsidRDefault="005728DD" w:rsidP="005728DD">
      <w:pPr>
        <w:pStyle w:val="TextoNormal"/>
      </w:pPr>
      <w:r>
        <w:t>La abogacía del Estado, tras recordar la doctrina contenida en la STC 60/2010, aduce que el recurrente compara la pena del delito de sedición con la de otros delitos contra el orden público, pero no realiza una comparación válida en la medida en que no se proyecta sobre las conductas concretas enjuiciadas ni con la dimensión y alcance de estas, limitándose en consecuencia a un análisis teórico a espaldas de la realidad. Tras ello reproduce lo dicho por la sentencia impugnada al razonar sobre las diferencias del delito de sedición con otras figuras delictivas a las que se hace referencia en la demanda.</w:t>
      </w:r>
    </w:p>
    <w:p w:rsidR="005728DD" w:rsidRDefault="005728DD" w:rsidP="005728DD">
      <w:pPr>
        <w:pStyle w:val="TextoNormal"/>
      </w:pPr>
    </w:p>
    <w:p w:rsidR="005728DD" w:rsidRDefault="005728DD" w:rsidP="005728DD">
      <w:pPr>
        <w:pStyle w:val="TextoNormal"/>
      </w:pPr>
      <w:r>
        <w:t>Para el partido político Vox no se ha impuesto una pena desproporcionada, de acuerdo con los criterios expuestos en la STC 136/1999.</w:t>
      </w:r>
    </w:p>
    <w:p w:rsidR="005728DD" w:rsidRDefault="005728DD" w:rsidP="005728DD">
      <w:pPr>
        <w:pStyle w:val="TextoNormal"/>
      </w:pPr>
    </w:p>
    <w:p w:rsidR="005728DD" w:rsidRDefault="005728DD" w:rsidP="005728DD">
      <w:pPr>
        <w:pStyle w:val="TextoNormal"/>
      </w:pPr>
      <w:r>
        <w:t>El fiscal también rechaza la aducida desproporcionalidad de la pena. Considera que la pena en abstracto que cabe imponer al demandante, de ocho a diez años, no puede estimarse como una medida inadecuada, ineficaz, no apta, inidónea o inútil para lograr los fines que persigue, ni puede considerarse innecesaria en una sociedad democrática por existir medidas alternativas menos gravosas. Frente a la argumentación de contraste con penas asignadas a otros delitos con elementos comunes, el fiscal entiende que, conforme al análisis que lleva a cabo la sentencia en el apartado 4.3 del fundamento jurídico B), existen importantes diferencias desde la perspectiva del bien jurídico protegido, lo que justifica la diferencia penológica y hace improcedente la comparación que el demandante plantea.</w:t>
      </w:r>
    </w:p>
    <w:p w:rsidR="005728DD" w:rsidRDefault="005728DD" w:rsidP="005728DD">
      <w:pPr>
        <w:pStyle w:val="TextoNormal"/>
      </w:pPr>
    </w:p>
    <w:p w:rsidR="005728DD" w:rsidRDefault="005728DD" w:rsidP="005728DD">
      <w:pPr>
        <w:pStyle w:val="TextoNormal"/>
      </w:pPr>
      <w:r>
        <w:t xml:space="preserve">Finalmente, pone de manifiesto que la regulación legal permite al aplicador rebajar la pena en uno o dos grados en el supuesto previsto en el art. 547 CP, de modo que en ningún modo es comparable al caso analizado en la STC 136/1999, en el que se reprochaba al precepto penal aplicado, [art. </w:t>
      </w:r>
      <w:r w:rsidRPr="005728DD">
        <w:rPr>
          <w:i/>
        </w:rPr>
        <w:t>174</w:t>
      </w:r>
      <w:r>
        <w:t xml:space="preserve"> bis a) del Código penal, texto refundido de 1973, que tipificaba la colaboración con banda armada], no incorporar previsión alguna que permitiera atemperar la sanción penal prevista a la entidad de la conducta delictiva.</w:t>
      </w:r>
    </w:p>
    <w:p w:rsidR="005728DD" w:rsidRDefault="005728DD" w:rsidP="005728DD">
      <w:pPr>
        <w:pStyle w:val="TextoNormal"/>
      </w:pPr>
    </w:p>
    <w:p w:rsidR="005728DD" w:rsidRDefault="005728DD" w:rsidP="005728DD">
      <w:pPr>
        <w:pStyle w:val="TextoNormal"/>
      </w:pPr>
      <w:r>
        <w:t>10.3.2</w:t>
      </w:r>
      <w:r w:rsidRPr="005728DD">
        <w:rPr>
          <w:i/>
        </w:rPr>
        <w:t>. Respuesta del órgano judici</w:t>
      </w:r>
      <w:r>
        <w:t>al.</w:t>
      </w:r>
    </w:p>
    <w:p w:rsidR="005728DD" w:rsidRDefault="005728DD" w:rsidP="005728DD">
      <w:pPr>
        <w:pStyle w:val="TextoNormal"/>
      </w:pPr>
    </w:p>
    <w:p w:rsidR="005728DD" w:rsidRDefault="005728DD" w:rsidP="005728DD">
      <w:pPr>
        <w:pStyle w:val="TextoNormal"/>
      </w:pPr>
      <w:r>
        <w:t>En el ya mencionado apartado 4.3 del fundamento jurídico B) de la sentencia combatida, al analizar las especificidades propias del delito de sedición respecto de otras modalidades delictivas contra el orden público, se formulan algunas consideraciones vinculadas a la idea de la proporcionalidad:</w:t>
      </w:r>
    </w:p>
    <w:p w:rsidR="005728DD" w:rsidRDefault="005728DD" w:rsidP="005728DD">
      <w:pPr>
        <w:pStyle w:val="TextoNormal"/>
      </w:pPr>
    </w:p>
    <w:p w:rsidR="005728DD" w:rsidRDefault="005728DD" w:rsidP="005728DD">
      <w:pPr>
        <w:pStyle w:val="TextoNormal"/>
      </w:pPr>
      <w:r>
        <w:t>“Emparentada por la rúbrica del título de ubicación, la sedición difiere de otras figuras típicas de menor relevancia penal por la finalidad lesiva del sujeto sedicioso, como es el caso de los delitos de desórdenes públicos, alojados en el capítulo II del mismo título XXII. El genérico concepto de orden púbico no es de pacífica configuración en la doctrina ni en la literatura del propio Código penal. Suele recurrirse a conceptos de seguridad en un sentido material como presupuestos de pacífica convivencia, reflejo de principios inderogables de alcance constitucional que, en todo caso, deben diferenciarse de la mera tranquilidad pública. Se trataría, en fin, de la protección penal del normal funcionamiento de las instituciones y servicios públicos, del ejercicio por las autoridades gubernativas y judiciales de sus funciones —siempre de acuerdo con los principios democráticos que confieren legitimidad a su actuación— y del conjunto de condiciones que permiten el normal desarrollo de la vida ciudadana en el marco convivencial de la organización democrática del Estado.</w:t>
      </w:r>
    </w:p>
    <w:p w:rsidR="005728DD" w:rsidRDefault="005728DD" w:rsidP="005728DD">
      <w:pPr>
        <w:pStyle w:val="TextoNormal"/>
      </w:pPr>
    </w:p>
    <w:p w:rsidR="005728DD" w:rsidRDefault="005728DD" w:rsidP="005728DD">
      <w:pPr>
        <w:pStyle w:val="TextoNormal"/>
      </w:pPr>
      <w:r>
        <w:t>La diversidad de tipos incluidos en el Título XXII —desórdenes públicos, atentados, resistencia, desobediencia, tenencia, tráfico y depósito de armas, municiones o explosivos, organizaciones y grupos criminales y terrorismo— y la gravedad de la respuesta penal asociada a algunos de ellos, constituyen un óbice a ese reduccionismo en la configuración del bien jurídico protegido. De hecho, algunos de los delitos de terrorismo alojados bajo la rúbrica de delitos contra el orden público exigen un elemento tendencial, encaminado a ‘[…] subvertir el orden constitucional’ (cfr. art. 573.1.1 CP). Son preceptos, por tanto, que desbordan los reducidos límites del concepto de orden público concebido como bien jurídico autónomo. Todo ello ha llevado a diferenciar el orden público de otros conceptos como el de paz pública, que permitiría construir un bien jurídico identificable con el interés de la sociedad en la aceptación del marco constitucional, de las leyes y de las decisiones de las autoridades legítimas, como presupuesto para el ejercicio y disfrute de los derechos fundamentales. E incluso a negar la funcionalidad taxonómica del concepto de orden público que se ve comprometido en la práctica totalidad de delitos, hasta el punto de que se ha visto en ese enunciado una cláusula puramente formal, que exige acudir, en cada caso concreto, al interés protegido en los distintos tipos penales incluidos bajo su ámbito.</w:t>
      </w:r>
    </w:p>
    <w:p w:rsidR="005728DD" w:rsidRDefault="005728DD" w:rsidP="005728DD">
      <w:pPr>
        <w:pStyle w:val="TextoNormal"/>
      </w:pPr>
    </w:p>
    <w:p w:rsidR="005728DD" w:rsidRDefault="005728DD" w:rsidP="005728DD">
      <w:pPr>
        <w:pStyle w:val="TextoNormal"/>
      </w:pPr>
      <w:r>
        <w:t>Esta Sala ha tenido ocasión de pronunciarse acerca de esa diferencia. Decíamos en la STS 1154/2010, 12 de enero, que ‘[…] se ha discutido si la noción de orden público es coincidente con la de paz pública. A pesar de su proximidad y de las dificultades para su distinción, esta resulta obligatoria […]’. Las definiciones han sido variadas, pero puede entenderse que la paz pública hace referencia a la normalidad de la convivencia con un uso pacífico de los derechos, especialmente los derechos fundamentales, mientras que el orden público se refiere al funcionamiento normal de las instituciones y de los servicios. De esta forma podría decirse que la paz pública puede subsistir en condiciones de un cierto desorden, aun cuando al concebir este como un elemento de aquella, una grave alteración del mismo conllevaría ordinariamente su afectación. En este sentido, en la STS 987/2009, 13 de octubre, se precisaba que: ‘tanto la doctrina científica como la jurisprudencia de esta Sala distinguen entre orden público y paz pública, en el sentido de que aquel es el simple orden en la calle, en tanto que la paz pública, concepto más amplio se integraría por el conjunto de condiciones externas que permiten el normal desarrollo de la convivencia ciudadana, el orden de la comunidad y en definitiva la observancia de las reglas que facilitan esa convivencia […] y por tanto permiten el ejercicio de los derechos fundamentales de las personas’ (cfr. SSTS 865/2011, 20 de julio, 987/2009, 13 de octubre y 1622/2001, 21 de septiembre).</w:t>
      </w:r>
    </w:p>
    <w:p w:rsidR="005728DD" w:rsidRDefault="005728DD" w:rsidP="005728DD">
      <w:pPr>
        <w:pStyle w:val="TextoNormal"/>
      </w:pPr>
    </w:p>
    <w:p w:rsidR="005728DD" w:rsidRDefault="005728DD" w:rsidP="005728DD">
      <w:pPr>
        <w:pStyle w:val="TextoNormal"/>
      </w:pPr>
      <w:r>
        <w:t xml:space="preserve">Criterio específico es el de la estructura típica del concreto comportamiento penado. Atiende el legislador a la entidad de la lesión o riesgo generado para el bien jurídico. No es equivalente para el legislador la sedición y el atentado o el mero desorden. La desobediencia clásica y simple es un delito muy distinto a la sedición. Pero la sedición es un </w:t>
      </w:r>
      <w:r w:rsidRPr="005728DD">
        <w:rPr>
          <w:i/>
        </w:rPr>
        <w:t>aliud</w:t>
      </w:r>
      <w:r>
        <w:t xml:space="preserve"> y no meramente u</w:t>
      </w:r>
      <w:r w:rsidRPr="005728DD">
        <w:rPr>
          <w:i/>
        </w:rPr>
        <w:t>n pl</w:t>
      </w:r>
      <w:r>
        <w:t>us o u</w:t>
      </w:r>
      <w:r w:rsidRPr="005728DD">
        <w:rPr>
          <w:i/>
        </w:rPr>
        <w:t>n min</w:t>
      </w:r>
      <w:r>
        <w:t>us. Implica conductas activas, alzamiento colectivo, vías de hecho, despliegue de resistencia. La concreta gravedad del delito de sedición radica en su especificidad típica respecto de los otros tipos de la rúbrica. La sedición no alcanza a toda turbación de la paz o tranquilidad pública.</w:t>
      </w:r>
    </w:p>
    <w:p w:rsidR="005728DD" w:rsidRDefault="005728DD" w:rsidP="005728DD">
      <w:pPr>
        <w:pStyle w:val="TextoNormal"/>
      </w:pPr>
    </w:p>
    <w:p w:rsidR="005728DD" w:rsidRDefault="005728DD" w:rsidP="005728DD">
      <w:pPr>
        <w:pStyle w:val="TextoNormal"/>
      </w:pPr>
      <w:r>
        <w:t>Aunque sea dudosa la exigencia —no siempre ausente en la jurisprudencia—, de una específica finalidad política o social, será necesario que afecte a la colectividad interesada en la efectividad de las funciones a que hicimos referencia.</w:t>
      </w:r>
    </w:p>
    <w:p w:rsidR="005728DD" w:rsidRDefault="005728DD" w:rsidP="005728DD">
      <w:pPr>
        <w:pStyle w:val="TextoNormal"/>
      </w:pPr>
    </w:p>
    <w:p w:rsidR="005728DD" w:rsidRDefault="005728DD" w:rsidP="005728DD">
      <w:pPr>
        <w:pStyle w:val="TextoNormal"/>
      </w:pPr>
      <w:r>
        <w:t>En definitiva, el principio de proporcionalidad propio del Derecho penal democrático exige valorar si el tumulto imputado a los autores pone efectivamente en cuestión el funcionamiento del Estado democrático de Derecho. Así lo impone, no solo la vigencia de los principios que informan la aplicación del Derecho penal en nuestro sistema constitucional, sino la necesidad de no incurrir en perturbadoras interferencias entre el ámbito típico del delito de sedición y otras respuestas del Derecho administrativo sancionador, que miran a formas de obstrucción no encajables en el tipo penal descrito en el art. 544 del CP (cfr. art. 36.4 de la Ley Orgánica 4/2015, de protección de la seguridad ciudadana)”.</w:t>
      </w:r>
    </w:p>
    <w:p w:rsidR="005728DD" w:rsidRDefault="005728DD" w:rsidP="005728DD">
      <w:pPr>
        <w:pStyle w:val="TextoNormal"/>
      </w:pPr>
    </w:p>
    <w:p w:rsidR="005728DD" w:rsidRDefault="005728DD" w:rsidP="005728DD">
      <w:pPr>
        <w:pStyle w:val="TextoNormal"/>
      </w:pPr>
      <w:r>
        <w:t>Por su parte, en el apartado 2.6 del auto de 29 de enero de 2020 que resuelve los incidentes de nulidad planteados, se ofrece la siguiente respuesta a la queja del recurrente acerca de la lesión del principio de proporcionalidad de las penas:</w:t>
      </w:r>
    </w:p>
    <w:p w:rsidR="005728DD" w:rsidRDefault="005728DD" w:rsidP="005728DD">
      <w:pPr>
        <w:pStyle w:val="TextoNormal"/>
      </w:pPr>
    </w:p>
    <w:p w:rsidR="005728DD" w:rsidRDefault="005728DD" w:rsidP="005728DD">
      <w:pPr>
        <w:pStyle w:val="TextoNormal"/>
      </w:pPr>
      <w:r>
        <w:t>“La resolución dictada por esta Sala no vulnera el principio de proporcionalidad de las penas.</w:t>
      </w:r>
    </w:p>
    <w:p w:rsidR="005728DD" w:rsidRDefault="005728DD" w:rsidP="005728DD">
      <w:pPr>
        <w:pStyle w:val="TextoNormal"/>
      </w:pPr>
    </w:p>
    <w:p w:rsidR="005728DD" w:rsidRDefault="005728DD" w:rsidP="005728DD">
      <w:pPr>
        <w:pStyle w:val="TextoNormal"/>
      </w:pPr>
      <w:r>
        <w:t>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005728DD" w:rsidRDefault="005728DD" w:rsidP="005728DD">
      <w:pPr>
        <w:pStyle w:val="TextoNormal"/>
      </w:pPr>
    </w:p>
    <w:p w:rsidR="005728DD" w:rsidRDefault="005728DD" w:rsidP="005728DD">
      <w:pPr>
        <w:pStyle w:val="TextoNormal"/>
      </w:pPr>
      <w:r>
        <w:t>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005728DD" w:rsidRDefault="005728DD" w:rsidP="005728DD">
      <w:pPr>
        <w:pStyle w:val="TextoNormal"/>
      </w:pPr>
    </w:p>
    <w:p w:rsidR="005728DD" w:rsidRDefault="005728DD" w:rsidP="005728DD">
      <w:pPr>
        <w:pStyle w:val="TextoNormal"/>
      </w:pPr>
      <w:r>
        <w:t>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005728DD" w:rsidRDefault="005728DD" w:rsidP="005728DD">
      <w:pPr>
        <w:pStyle w:val="TextoNormal"/>
      </w:pPr>
    </w:p>
    <w:p w:rsidR="005728DD" w:rsidRDefault="005728DD" w:rsidP="005728DD">
      <w:pPr>
        <w:pStyle w:val="TextoNormal"/>
      </w:pPr>
      <w: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w:t>
      </w:r>
      <w:r>
        <w:lastRenderedPageBreak/>
        <w:t>la administración de justicia, hasta el punto de que hubo de llevarse a cabo una forzada evacuación de la misma.</w:t>
      </w:r>
    </w:p>
    <w:p w:rsidR="005728DD" w:rsidRDefault="005728DD" w:rsidP="005728DD">
      <w:pPr>
        <w:pStyle w:val="TextoNormal"/>
      </w:pPr>
    </w:p>
    <w:p w:rsidR="005728DD" w:rsidRDefault="005728DD" w:rsidP="005728DD">
      <w:pPr>
        <w:pStyle w:val="TextoNormal"/>
      </w:pPr>
      <w:r>
        <w:t>El dominio de los convocantes sobre los miles de manifestantes allí reunidos era de tal naturaleza que, pese a su ilícita finalidad, los responsables del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005728DD" w:rsidRDefault="005728DD" w:rsidP="005728DD">
      <w:pPr>
        <w:pStyle w:val="TextoNormal"/>
      </w:pPr>
    </w:p>
    <w:p w:rsidR="005728DD" w:rsidRDefault="005728DD" w:rsidP="005728DD">
      <w:pPr>
        <w:pStyle w:val="TextoNormal"/>
      </w:pPr>
      <w:r>
        <w:t>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005728DD" w:rsidRDefault="005728DD" w:rsidP="005728DD">
      <w:pPr>
        <w:pStyle w:val="TextoNormal"/>
      </w:pPr>
    </w:p>
    <w:p w:rsidR="005728DD" w:rsidRDefault="005728DD" w:rsidP="005728DD">
      <w:pPr>
        <w:pStyle w:val="TextoNormal"/>
      </w:pPr>
      <w:r>
        <w:t>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005728DD" w:rsidRDefault="005728DD" w:rsidP="005728DD">
      <w:pPr>
        <w:pStyle w:val="TextoNormal"/>
      </w:pPr>
    </w:p>
    <w:p w:rsidR="005728DD" w:rsidRDefault="005728DD" w:rsidP="005728DD">
      <w:pPr>
        <w:pStyle w:val="TextoNormal"/>
      </w:pPr>
      <w:r>
        <w:t>La efectividad de la convocatoria de la población, y correlativo incremento de la gravedad del plan de los acusados, se garantizaba por parte de las asociaciones civiles Òmnium Cultural y Asamblea Nacional Catalana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005728DD" w:rsidRDefault="005728DD" w:rsidP="005728DD">
      <w:pPr>
        <w:pStyle w:val="TextoNormal"/>
      </w:pPr>
    </w:p>
    <w:p w:rsidR="005728DD" w:rsidRDefault="005728DD" w:rsidP="005728DD">
      <w:pPr>
        <w:pStyle w:val="TextoNormal"/>
      </w:pPr>
      <w:r>
        <w:t>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005728DD" w:rsidRDefault="005728DD" w:rsidP="005728DD">
      <w:pPr>
        <w:pStyle w:val="TextoNormal"/>
      </w:pPr>
    </w:p>
    <w:p w:rsidR="005728DD" w:rsidRDefault="005728DD" w:rsidP="005728DD">
      <w:pPr>
        <w:pStyle w:val="TextoNormal"/>
      </w:pPr>
      <w:r>
        <w:t>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005728DD" w:rsidRDefault="005728DD" w:rsidP="005728DD">
      <w:pPr>
        <w:pStyle w:val="TextoNormal"/>
      </w:pPr>
    </w:p>
    <w:p w:rsidR="005728DD" w:rsidRDefault="005728DD" w:rsidP="005728DD">
      <w:pPr>
        <w:pStyle w:val="TextoNormal"/>
      </w:pPr>
      <w:r>
        <w:t xml:space="preserve">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w:t>
      </w:r>
      <w:r w:rsidRPr="005728DD">
        <w:rPr>
          <w:i/>
        </w:rPr>
        <w:t>la ‘legal</w:t>
      </w:r>
      <w:r>
        <w:t>idad’ que derivaba de sus instituciones autonómicas”.</w:t>
      </w:r>
    </w:p>
    <w:p w:rsidR="005728DD" w:rsidRDefault="005728DD" w:rsidP="005728DD">
      <w:pPr>
        <w:pStyle w:val="TextoNormal"/>
      </w:pPr>
    </w:p>
    <w:p w:rsidR="005728DD" w:rsidRDefault="005728DD" w:rsidP="005728DD">
      <w:pPr>
        <w:pStyle w:val="TextoNormal"/>
      </w:pPr>
      <w:r>
        <w:t>10.3.3</w:t>
      </w:r>
      <w:r w:rsidRPr="005728DD">
        <w:rPr>
          <w:i/>
        </w:rPr>
        <w:t>. Resolución de la que</w:t>
      </w:r>
      <w:r>
        <w:t>ja.</w:t>
      </w:r>
    </w:p>
    <w:p w:rsidR="005728DD" w:rsidRDefault="005728DD" w:rsidP="005728DD">
      <w:pPr>
        <w:pStyle w:val="TextoNormal"/>
      </w:pPr>
    </w:p>
    <w:p w:rsidR="005728DD" w:rsidRDefault="005728DD" w:rsidP="005728DD">
      <w:pPr>
        <w:pStyle w:val="TextoNormal"/>
      </w:pPr>
      <w:r>
        <w:t>Con la argumentación que ha sido antes resumida, el demandante denuncia específicamente la falta de proporcionalidad de las penas establecidas en el art. 545.1 CP. La vulneración del art. 25.1 CE derivaría en este caso de la aplicación de un precepto penal que establece una consecuencia jurídica que, por su gravedad, en relación con la entidad del supuesto de hecho que justifica su condena, incurre en manifiesta desproporción. La lesión se atribuye directamente al precepto penal que estatuye las penas asociadas al delito de sedición, y se transmite a la duración de las que específicamente han sido impuestas al recurrente, pese a ser las previstas en la ley en su mitad inferior: nueve años de prisión (y de inhabilitación absoluta, debemos añadir).</w:t>
      </w:r>
    </w:p>
    <w:p w:rsidR="005728DD" w:rsidRDefault="005728DD" w:rsidP="005728DD">
      <w:pPr>
        <w:pStyle w:val="TextoNormal"/>
      </w:pPr>
    </w:p>
    <w:p w:rsidR="005728DD" w:rsidRDefault="005728DD" w:rsidP="005728DD">
      <w:pPr>
        <w:pStyle w:val="TextoNormal"/>
      </w:pPr>
      <w:r>
        <w:t xml:space="preserve">Llegados a este punto, resulta oportuno recordar que, si bien el recurso de amparo no ha sido concebido para el enjuiciamiento de las disposiciones de carácter general, sin embargo, nuestra doctrina autoriza tal eventualidad cuando se reprocha a la aplicación del propio precepto la lesión de un derecho fundamental, lo que en el presente caso acontece. Y así, entre otras resoluciones, en la STC 167/2013, de 7 de octubre, FJ 2, este tribunal razonó en los siguientes términos: “Como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w:t>
      </w:r>
      <w:r>
        <w:lastRenderedPageBreak/>
        <w:t>órganos judiciales, ya lo sea para valorar si la concreta vulneración de los derechos y libertades fundamentales proviene de la propia disposición’ (STC 34/2011, de 28 de marzo, FJ 1)”.</w:t>
      </w:r>
    </w:p>
    <w:p w:rsidR="005728DD" w:rsidRDefault="005728DD" w:rsidP="005728DD">
      <w:pPr>
        <w:pStyle w:val="TextoNormal"/>
      </w:pPr>
    </w:p>
    <w:p w:rsidR="005728DD" w:rsidRDefault="005728DD" w:rsidP="005728DD">
      <w:pPr>
        <w:pStyle w:val="TextoNormal"/>
      </w:pPr>
      <w:r>
        <w:t>Para resolver la denuncia que se suscita, procede retomar la doctrina establecida por este tribunal en relación con la necesaria proporcionalidad de las penas. De sus pronunciamientos cabe destacar el que reconoce al legislador un amplio margen de libertad, que deriva de su específica legitimidad democrática, para configurar, dentro de los límites de la Constitución, el tipo y cuantía de las sanciones penales y la proporción que debe mediar entre la tutela del fin esencial y directo de protección al que responde la norma, las conductas que se pretenden evitar y las penas con que intenta conseguirlo. También existen otros fines legítimos que puede perseguir la pena que han de ser atendidos: son sus funciones o fines inmediatos, dirigidos a influir sobre el comportamiento de los destinatarios de la norma, que han sido clasificados doctrinalmente como fines de prevención general y especial. Por ello, hemos reiterado que el juicio sobre la proporcionalidad de las normas penales que, en protección de los derechos fundamentales procede en sede de amparo, debe ser muy cauteloso; ha de dirigirse únicamente a descartar aquellas normas que produzcan “[…]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(STC 136/1999, FJ 23). Hemos señalado también que el juicio que procede efectuar en sede constitucional resulta ajeno a la conveniencia de la pena, su cualidad, perfectibilidad o relación con otras posibles alternativas, pues únicamente se circunscribe a la adecuación de aquella a la Constitución, sin implicar ningún otro tipo de valoración positiva. En consecuencia, solo cabrá considerar desproporcionada la norma o la sanción penales “cuando concurra un desequilibrio patente y excesivo o irrazonable entre la sanción y la finalidad de la norma, a partir de las pautas axiológicas constitucionalmente indiscutibles y de su concreción en la propia actividad legislativa” (STC 136/1999, FJ 23).</w:t>
      </w:r>
    </w:p>
    <w:p w:rsidR="005728DD" w:rsidRDefault="005728DD" w:rsidP="005728DD">
      <w:pPr>
        <w:pStyle w:val="TextoNormal"/>
      </w:pPr>
    </w:p>
    <w:p w:rsidR="005728DD" w:rsidRDefault="005728DD" w:rsidP="005728DD">
      <w:pPr>
        <w:pStyle w:val="TextoNormal"/>
      </w:pPr>
      <w:r>
        <w:t>Analizaremos a continuación la queja planteada distinguiendo los argumentos que la fundamentan.</w:t>
      </w:r>
    </w:p>
    <w:p w:rsidR="005728DD" w:rsidRDefault="005728DD" w:rsidP="005728DD">
      <w:pPr>
        <w:pStyle w:val="TextoNormal"/>
      </w:pPr>
    </w:p>
    <w:p w:rsidR="005728DD" w:rsidRDefault="005728DD" w:rsidP="005728DD">
      <w:pPr>
        <w:pStyle w:val="TextoNormal"/>
      </w:pPr>
      <w:r>
        <w:t>a) En una primera aproximación, a partir de la posición sistemática que el delito de sedición ocupa en el Código penal como cabecera de su título vigésimo segundo (“Delitos contra el orden público”), el demandante construye la queja tomando como premisa su particular exégesis de cuál sea el interés tutelado por la norma, pues considera que no puede ser otro que el concepto de “orden público” que propugna en su demanda. La impugnación, en parte ya analizada en sus argumentos, no puede ser compartida.</w:t>
      </w:r>
    </w:p>
    <w:p w:rsidR="005728DD" w:rsidRDefault="005728DD" w:rsidP="005728DD">
      <w:pPr>
        <w:pStyle w:val="TextoNormal"/>
      </w:pPr>
    </w:p>
    <w:p w:rsidR="005728DD" w:rsidRDefault="005728DD" w:rsidP="005728DD">
      <w:pPr>
        <w:pStyle w:val="TextoNormal"/>
      </w:pPr>
      <w:r>
        <w:t xml:space="preserve">En el anterior epígrafe 10.2.3.1 hemos destacado cómo la interpretación del delito de sedición que sustenta la decisión de condena es diferente de la que propone el demandante, y lo es precisamente en aquello que constituye la premisa de la queja a la que acabamos de hacer referencia. Al resumir antes los juicios de tipicidad y subsunción de la conducta del recurrente en el fundamento tercero, señalamos que, precisamente, es la gravedad de las penas previstas lo que ha justificado que la Sala haga del tipo penal una interpretación restrictiva y diferente de la que se propone en la demanda, exigiendo que la acción enjuiciada, </w:t>
      </w:r>
      <w:r>
        <w:lastRenderedPageBreak/>
        <w:t>para ser considerada típica, afecte a un bien jurídico más complejo y relevante que el tradicional orden público. En efecto, la Sala ha considerado que tanto la sedición como los delitos de terrorismo, ubicados en el mismo título vigésimo segundo, “desbordan los reducidos límites del concepto de orden público concebido como bien jurídico autónomo”. Y sobre tal disensión, hemos apreciado ya que esa interpretación más exigente, centrada en la idea de “paz pública” como interés protegido por la norma, identificada como “el interés de la sociedad en la aceptación del marco constitucional, de las leyes y de las decisiones de las autoridades legítimas, como presupuesto para el ejercicio y disfrute de los derechos fundamentales”, no puede ser calificada como irrazonable ni, por ello, indebida.</w:t>
      </w:r>
    </w:p>
    <w:p w:rsidR="005728DD" w:rsidRDefault="005728DD" w:rsidP="005728DD">
      <w:pPr>
        <w:pStyle w:val="TextoNormal"/>
      </w:pPr>
    </w:p>
    <w:p w:rsidR="005728DD" w:rsidRDefault="005728DD" w:rsidP="005728DD">
      <w:pPr>
        <w:pStyle w:val="TextoNormal"/>
      </w:pPr>
      <w:r>
        <w:t>El tenor literal del art. 544 CP revela que, a diferencia de otras infracciones penales contra el orden público, en el delito de sedición concurre además un aspecto teleológico que lo singulariza: el propósito de impedir, por la fuerza o fuera de las vías legales, “la aplicación de las leyes o a cualquier autoridad, corporación oficial o funcionario público, el legítimo ejercicio de sus funciones o el cumplimiento de sus acuerdos o de las resoluciones administrativas o judiciales”. Este elemento diferencial supone que, al margen de la protección del orden público, el precepto penal pretende precaver el potencial daño que la conducta de los sujetos activos pudiera ocasionar en la organización estatal, al tratar de socavar la eficacia de las leyes o la ejecución de los acuerdos o resoluciones adoptados en el ámbito administrativo o judicial. Ese factor tendencial concierne a un aspecto medular del funcionamiento regular del Estado, en tanto que, conforme a lo establecido en el art. 1.1 CE, España se constituye en un “Estado social y democrático de Derecho”. La acción, por otra parte, debe realizarse a través de un alzamiento público y tumultuario, expresivo de la mayor gravedad de la conducta. Por tanto, el propósito neutralizador descrito comporta un plus de gravedad cuya repercusión en las penas establecidas no parece cuestionable al hacer el juicio comparativo propuesto.</w:t>
      </w:r>
    </w:p>
    <w:p w:rsidR="005728DD" w:rsidRDefault="005728DD" w:rsidP="005728DD">
      <w:pPr>
        <w:pStyle w:val="TextoNormal"/>
      </w:pPr>
    </w:p>
    <w:p w:rsidR="005728DD" w:rsidRDefault="005728DD" w:rsidP="005728DD">
      <w:pPr>
        <w:pStyle w:val="TextoNormal"/>
      </w:pPr>
      <w:r>
        <w:t>De esta forma, para el tribunal sentenciador, únicamente aquellas conductas que son aptas para impedir u obstruir de forma grave la legítima voluntad legislativa, gubernativa o jurisdiccional, solo en caso de que se realicen a través de un alzamiento público y tumultuario, podrán ser consideradas sediciosas.</w:t>
      </w:r>
    </w:p>
    <w:p w:rsidR="005728DD" w:rsidRDefault="005728DD" w:rsidP="005728DD">
      <w:pPr>
        <w:pStyle w:val="TextoNormal"/>
      </w:pPr>
    </w:p>
    <w:p w:rsidR="005728DD" w:rsidRDefault="005728DD" w:rsidP="005728DD">
      <w:pPr>
        <w:pStyle w:val="TextoNormal"/>
      </w:pPr>
      <w:r>
        <w:t>Como hemos dicho, según la interpretación judicial, han de ser conductas que afecten a la paz pública, concebida de forma rigurosa como el interés de la sociedad en el mantenimiento del marco constitucional, de las leyes y de las decisiones de las autoridades legítimas, ya sean judiciales o gubernativas, así como de la actuación de sus agentes, debidamente habilitados. Por ello, cabe afirmar que la sala de enjuiciamiento interpreta con severidad los elementos del delito de sedición cuando impone como requisito de su apreciación la aptitud de la conducta para poner en cuestión el funcionamiento del Estado democrático de Derecho; para derogar de hecho la efectividad de las leyes o el cumplimiento de órdenes o resoluciones dictadas en el ejercicio legítimo de las funciones públicas atribuidas. Solo estas conductas especialmente graves por el efecto al que se dirigen pueden ser calificadas como sedición.</w:t>
      </w:r>
    </w:p>
    <w:p w:rsidR="005728DD" w:rsidRDefault="005728DD" w:rsidP="005728DD">
      <w:pPr>
        <w:pStyle w:val="TextoNormal"/>
      </w:pPr>
    </w:p>
    <w:p w:rsidR="005728DD" w:rsidRDefault="005728DD" w:rsidP="005728DD">
      <w:pPr>
        <w:pStyle w:val="TextoNormal"/>
      </w:pPr>
      <w:r>
        <w:t xml:space="preserve">Desde un punto de vista abstracto, este entendimiento restrictivo del tipo penal, en atención a la mayor necesidad de tutela que deriva del interés que protege, impide valorar como desproporcionadas las penas previstas en la ley. En tal sentido pierden cualquier fuerza de convicción los argumentos de tipo sistemático que en la demanda ponen en relación el delito </w:t>
      </w:r>
      <w:r>
        <w:lastRenderedPageBreak/>
        <w:t>de sedición con otros recogidos en el título vigésimo segundo del Código penal, pues, en ninguno de ellos se exige ni el propósito que la impulsa, ni el modo de actuación tumultuario que la caracteriza ni, en fin, se produce esta especial afección al interés protegido definido como paz pública.</w:t>
      </w:r>
    </w:p>
    <w:p w:rsidR="005728DD" w:rsidRDefault="005728DD" w:rsidP="005728DD">
      <w:pPr>
        <w:pStyle w:val="TextoNormal"/>
      </w:pPr>
    </w:p>
    <w:p w:rsidR="005728DD" w:rsidRDefault="005728DD" w:rsidP="005728DD">
      <w:pPr>
        <w:pStyle w:val="TextoNormal"/>
      </w:pPr>
      <w:r>
        <w:t>En consecuencia, debemos rechazar que pueda fundadamente ponerse en cuestión la proporcionalidad de la pena a través de un análisis comparativo del delito de sedición con el resto de los tipos que integran el título vigésimo segundo del Código penal, que encabeza como conducta más grave, tanto en atención al medio comisivo como al interés social que tutela.</w:t>
      </w:r>
    </w:p>
    <w:p w:rsidR="005728DD" w:rsidRDefault="005728DD" w:rsidP="005728DD">
      <w:pPr>
        <w:pStyle w:val="TextoNormal"/>
      </w:pPr>
    </w:p>
    <w:p w:rsidR="005728DD" w:rsidRDefault="005728DD" w:rsidP="005728DD">
      <w:pPr>
        <w:pStyle w:val="TextoNormal"/>
      </w:pPr>
      <w:r>
        <w:t>b) Adicionalmente, todavía en un plano abstracto, cabe añadir que la regulación como delito de la sedición permite atemperar la respuesta penal a la gravedad de la acción, pues se construye y ordena en el Código penal a través de diversos grados de penalidad que atienden, singularmente, a varios factores: (i) la intensidad de la conducta en relación con el interés protegido; (ii) la simultánea comisión de otros delitos que tengan atribuidas penas graves (art. 547 CP); (iii) el grado de participación que se haya tenido en la conducta sediciosa, distinguiendo la de quien simplemente participa en el alzamiento (art. 545.2 CP) y la de aquellos que la hubieren inducido, sostenido, dirigido o aparecieren en ella como autores principales (art. 545.1 CP); y (iv) por último, se prevé una modalidad doblemente agravada cuando, en el caso precedente, se trate de personas que estuvieren constituidas en autoridad.</w:t>
      </w:r>
    </w:p>
    <w:p w:rsidR="005728DD" w:rsidRDefault="005728DD" w:rsidP="005728DD">
      <w:pPr>
        <w:pStyle w:val="TextoNormal"/>
      </w:pPr>
    </w:p>
    <w:p w:rsidR="005728DD" w:rsidRDefault="005728DD" w:rsidP="005728DD">
      <w:pPr>
        <w:pStyle w:val="TextoNormal"/>
      </w:pPr>
      <w:r>
        <w:t>Por tanto, en la regulación de la sedición, dejando al margen los actos preparatorios (provocación, conspiración y proposición), la penalidad prevista se extiende por una escala gradual que permite imponer desde uno hasta quince años de prisión e inhabilitación absoluta. La pena del tipo básico de sedición, la de los simples participantes, es de cuatro a ocho años de prisión. Cuando la sedición no llegue a entorpecer de modo grave el ejercicio de la autoridad y no haya ocasionado la comisión de otro delito castigado con pena grave, la pena prevista es de uno a cuatro años de prisión. Solo los líderes o promotores, directores o quienes aparezcan como principales autores de la sedición ven elevada la cuantía de su pena abstracta imponible (de ocho a diez años). La previsión penal más agravada (de diez a quince años de duración) se establece únicamente cuando estos últimos fueren personas constituidas en autoridad, dado el especial deber de lealtad con la Constitución y el resto del ordenamiento jurídico que contraen al acceder a dicha posición pública.</w:t>
      </w:r>
    </w:p>
    <w:p w:rsidR="005728DD" w:rsidRDefault="005728DD" w:rsidP="005728DD">
      <w:pPr>
        <w:pStyle w:val="TextoNormal"/>
      </w:pPr>
    </w:p>
    <w:p w:rsidR="005728DD" w:rsidRDefault="005728DD" w:rsidP="005728DD">
      <w:pPr>
        <w:pStyle w:val="TextoNormal"/>
      </w:pPr>
      <w:r>
        <w:t xml:space="preserve">c) El demandante también funda la falta de proporcionalidad de las penas establecidas en el art. 545 CP en la comparación que efectúa con la penalidad asignada a otras modalidades delictivas relacionadas con el funcionamiento del Congreso de los Diputados o con la sede del Consejo de Ministros. Conforme a nuestra doctrina, para valorar la constitucionalidad de una pena desde la perspectiva de su necesidad, “el control constitucional debe partir de pautas valorativas constitucionalmente indiscutibles, atendiendo en su caso a la concreción efectuada por el legislador en supuestos análogos, al objeto de comprobar si la pena prevista para un determinado tipo se aparta arbitraria o irrazonablemente de la establecida para dichos supuestos. Solo a partir de estas premisas cabría afirmar que se ha producido un patente derroche inútil de coacción que convierte la norma en arbitraria y que socava los principios elementales de justicia inherentes a la dignidad de la persona y al Estado de Derecho” (STC 55/1996, de 28 de marzo, FJ 8). Sin embargo, en sintonía con lo afirmado por el fiscal, los supuestos traídos a comparación por el recurrente no presentan el grado de </w:t>
      </w:r>
      <w:r>
        <w:lastRenderedPageBreak/>
        <w:t>analogía exigido, habida cuenta de las finalidades que la acción típica debe perseguir en el delito de sedición y la pluralidad de bienes jurídicos que esta infracción penal protege. Por ello, las penas establecidas para las infracciones penales que cita el recurrente no acreditan la desproporción invocada en la demanda.</w:t>
      </w:r>
    </w:p>
    <w:p w:rsidR="005728DD" w:rsidRDefault="005728DD" w:rsidP="005728DD">
      <w:pPr>
        <w:pStyle w:val="TextoNormal"/>
      </w:pPr>
    </w:p>
    <w:p w:rsidR="005728DD" w:rsidRDefault="005728DD" w:rsidP="005728DD">
      <w:pPr>
        <w:pStyle w:val="TextoNormal"/>
      </w:pPr>
      <w:r>
        <w:t>d) Tampoco es posible fundar ni apreciar la falta de proporción de la regulación legal atendiendo a la propuesta de comparación que se formula con las elegidas figuras afines extraídas del Derecho extranjero. Sin perjuicio de que esta concreta alegación no fue planteada con anterioridad en la vía judicial, cabe subrayar de principio que, conforme a nuestra doctrina,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(STC 160/2012, de 20 de septiembre, FJ 2). Cada sistema penal responde a su propia estructura interna. La dosimetría penal entre sus previsiones responde en cada sociedad a características históricas y sociales singulares que no la hacen apta para ponerla en relación con otros modelos punitivos distintos vigentes en otras sociedades, por más que compartan valores similares en su organización. Tampoco se toman en consideración en la propuesta de comparación las formas de ejecución de las penas, los beneficios penitenciarios, las formas de agravación de las conductas o la existencia de otros preceptos que se refieran a conductas afines y pueden dar cuenta de la proporcionalidad de la reacción penal. En definitiva, en términos constitucionales no cabe sustentar el juicio de proporcionalidad en tan exiguos datos, sin poner en cuestión toda la dosimetría del Código penal.</w:t>
      </w:r>
    </w:p>
    <w:p w:rsidR="005728DD" w:rsidRDefault="005728DD" w:rsidP="005728DD">
      <w:pPr>
        <w:pStyle w:val="TextoNormal"/>
      </w:pPr>
    </w:p>
    <w:p w:rsidR="005728DD" w:rsidRDefault="005728DD" w:rsidP="005728DD">
      <w:pPr>
        <w:pStyle w:val="TextoNormal"/>
      </w:pPr>
      <w:r>
        <w:t>e) Una última reflexión resta por realizar en relación con la finalidad que, en este caso, perseguía el mandato judicial cuya ejecución impidieron quienes atendieron la convocatoria del recurrente, realizada los días previos al 1 de octubre. Lo que los agentes de la autoridad trataron de impedir fue el desarrollo de un aparente referéndum de cuyo resultado se pretendía hacer depender unilateralmente la decisión acerca de la independencia de Cataluña. Esta propuesta, expresada en las normas aprobadas por el Parlamento de Cataluña, había sido suspendida por este Tribunal Constitucional, en cuanto era formal y materialmente contraria a la Constitución y al Estatuto de Autonomía de Cataluña. La gravedad constitucional de esta pretensión, cuya consumación no dependía del recurrente, sino de la voluntad de los representantes políticos y cargos públicos con los que actuó concertadamente, ha sido ya puesta de manifiesto al describir la actividad institucional, parlamentaria y gubernamental que, en favor de esta, fue desarrollada a lo largo de la legislatura (fundamento jurídico tercero de esta resolución). Es precisamente esa gravedad del caso concreto la que permite descartar la falta de proporcionalidad de las penas impuestas.</w:t>
      </w:r>
    </w:p>
    <w:p w:rsidR="005728DD" w:rsidRDefault="005728DD" w:rsidP="005728DD">
      <w:pPr>
        <w:pStyle w:val="TextoNormal"/>
      </w:pPr>
    </w:p>
    <w:p w:rsidR="005728DD" w:rsidRDefault="005728DD" w:rsidP="005728DD">
      <w:pPr>
        <w:pStyle w:val="TextoNormal"/>
      </w:pPr>
      <w:r>
        <w:t>f) Al juicio favorable a la proporcionalidad de la sanción impuesta al recurrente no obsta la alegada relación de su conducta con el ejercicio del derecho de reunión pacífica (art. 21 CE). Ya hemos advertido al analizar dicha queja que en ella es sencillo disociar el mensaje de reivindicación y protesta que lo animaba, de la aceptación y promoción de los actos im</w:t>
      </w:r>
      <w:r>
        <w:lastRenderedPageBreak/>
        <w:t>peditivos que han sido penalmente sancionados. Es este último efecto impeditivo, y generalizado en todo el territorio de Cataluña, del normal desarrollo de los medios de tutela del ordenamiento jurídico vulnerado, lo que ha dado lugar a la condena del recurrente, y no el mensaje reivindicativo de la independencia de Cataluña. Esa reclamación política está presente en la vida social y política catalana con plena normalidad. Desde el advenimiento de la democracia, tras la aprobación de la Constitución en 1978, no ha sufrido ni sufre merma alguna en su expresión y reivindicación, ni es el objeto de la condena penal que se cuestiona.</w:t>
      </w:r>
    </w:p>
    <w:p w:rsidR="005728DD" w:rsidRDefault="005728DD" w:rsidP="005728DD">
      <w:pPr>
        <w:pStyle w:val="TextoNormal"/>
      </w:pPr>
    </w:p>
    <w:p w:rsidR="005728DD" w:rsidRDefault="005728DD" w:rsidP="005728DD">
      <w:pPr>
        <w:pStyle w:val="TextoNormal"/>
      </w:pPr>
      <w:r>
        <w:t>En este punto, convenimos con la fundamentación expresada en la sentencia cuestionada [fundamento de Derecho A) 17.5.2] cuando reitera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 Pero la condena del recurrente no se ha producido por alentar y fomentar dicha discrepancia, sino por promover la oposición activa y concertada, frente a la actuación de los agentes de la autoridad que cumplían un mandato judicial respaldado legal y constitucionalmente. Su actuación ha sido considerada dirigida a lograr que la votación prohibida se llevase a cabo imposibilitando de hecho, mediante la interposición física, la actuación de los agentes de la autoridad. Y es esa actuación, como ya hemos señalado en la STC 91/2021, la que ha justificado su condena y la que desborda totalmente los linderos de lo que ha de considerarse legítimo derecho de reunión para la exteriorización de la protesta o crítica por la actuación de los poderes públicos.</w:t>
      </w:r>
    </w:p>
    <w:p w:rsidR="005728DD" w:rsidRDefault="005728DD" w:rsidP="005728DD">
      <w:pPr>
        <w:pStyle w:val="TextoNormal"/>
      </w:pPr>
    </w:p>
    <w:p w:rsidR="005728DD" w:rsidRDefault="005728DD" w:rsidP="005728DD">
      <w:pPr>
        <w:pStyle w:val="TextoNormal"/>
      </w:pPr>
      <w:r>
        <w:t>En conclusión, entendemos que, en términos absolutos, las penas asociadas al delito de sedición no incumplen los postulados establecidos por nuestra doctrina en materia de proporcionalidad. Tampoco presentan tal déficit las concretamente impuestas al recurrente. Con independencia del grado de eficacia o acierto técnico del legislador, aspectos que son ajenos al enjuiciamiento de este tribunal, no se constata que la regulación penal cuestionada comporte un desequilibrio manifiesto, excesivo o irrazonable entre el desvalor de la conducta penal y las sanciones a ella asociadas, de modo que la penalidad que cuestiona el recurrente produzca “un patente derroche inútil de coacción que convierte la norma en arbitraria y que socava los principios elementales de justicia inherentes a la dignidad de la persona y al Estado de Derecho” ( STC 136/1999, FJ 23). En atención a la gravedad de los intereses jurídicos tutelados en el caso presente, a los que reiteradamente hemos hecho referencia, la conclusión expuesta es plenamente trasladable a las concretas penas impuestas al recurrente.</w:t>
      </w:r>
    </w:p>
    <w:p w:rsidR="005728DD" w:rsidRDefault="005728DD" w:rsidP="005728DD">
      <w:pPr>
        <w:pStyle w:val="TextoNormal"/>
      </w:pPr>
    </w:p>
    <w:p w:rsidR="005728DD" w:rsidRDefault="005728DD" w:rsidP="005728DD">
      <w:pPr>
        <w:pStyle w:val="TextoNormal"/>
      </w:pPr>
      <w:r>
        <w:t>Los razonamientos expresados sirven para descartar la pertinencia de plantear la cuestión interna de inconstitucionalidad, por la pretendida falta de proporcionalidad de las penas asociadas al delito de sedición.</w:t>
      </w:r>
    </w:p>
    <w:p w:rsidR="005728DD" w:rsidRDefault="005728DD" w:rsidP="005728DD">
      <w:pPr>
        <w:pStyle w:val="TextoNormal"/>
      </w:pPr>
    </w:p>
    <w:p w:rsidR="005728DD" w:rsidRDefault="005728DD" w:rsidP="005728DD">
      <w:pPr>
        <w:pStyle w:val="TextoNormal"/>
      </w:pPr>
      <w:r>
        <w:t>10</w:t>
      </w:r>
      <w:r w:rsidRPr="005728DD">
        <w:rPr>
          <w:i/>
        </w:rPr>
        <w:t xml:space="preserve">.4. Principio de legalidad y personalidad de la </w:t>
      </w:r>
      <w:r>
        <w:t>pena.</w:t>
      </w:r>
    </w:p>
    <w:p w:rsidR="005728DD" w:rsidRDefault="005728DD" w:rsidP="005728DD">
      <w:pPr>
        <w:pStyle w:val="TextoNormal"/>
      </w:pPr>
    </w:p>
    <w:p w:rsidR="005728DD" w:rsidRDefault="005728DD" w:rsidP="005728DD">
      <w:pPr>
        <w:pStyle w:val="TextoNormal"/>
      </w:pPr>
      <w:r>
        <w:t>10.4.1</w:t>
      </w:r>
      <w:r w:rsidRPr="005728DD">
        <w:rPr>
          <w:i/>
        </w:rPr>
        <w:t>. Posiciones de la part</w:t>
      </w:r>
      <w:r>
        <w:t>es.</w:t>
      </w:r>
    </w:p>
    <w:p w:rsidR="005728DD" w:rsidRDefault="005728DD" w:rsidP="005728DD">
      <w:pPr>
        <w:pStyle w:val="TextoNormal"/>
      </w:pPr>
    </w:p>
    <w:p w:rsidR="005728DD" w:rsidRDefault="005728DD" w:rsidP="005728DD">
      <w:pPr>
        <w:pStyle w:val="TextoNormal"/>
      </w:pPr>
      <w:r>
        <w:lastRenderedPageBreak/>
        <w:t>Bajo la rúbrica indicada, el demandante de amparo asienta su queja en los siguientes aspectos: (i) La condena del recurrente va más allá de los hechos que se le imputan, pues se limitó a convocar, con otros, una concentración de protesta el día 20 de septiembre y animó a participar en concentraciones en las que se iba a expresar una determinada opción sobre el futuro político de Cataluña; pero en ningún caso organizó alzamientos tumultuarios violentos. (ii) La sentencia combatida no concreta de modo suficiente los términos del supuesto “acuerdo” entre los partícipes ni la contribución de cada uno de ellos al proyecto común. En el caso del recurrente, no se especifica si la adhesión al acuerdo fue inicial o sobrevenida, ni tampoco cuál fue su contribución a la fase ejecutiva. Y aunque hubiera existido un reparto de funciones, afirma que lo que resulta incompatible con el derecho reconocido en el art. 25.1 CE es que se aprecie una sedición y que ninguno de los coautores haya llevado a cabo actos consustanciales al núcleo del tipo (alzarse tumultuariamente), sin que tampoco se haya imputado a ninguno de los partícipes en los actos de protesta del 20 de septiembre y el 1 de octubre del 2017. (iii) En el juicio de autoría parece aflorar la imputación de la responsabilidad por comisión por omisión, por no evitar que otros se alcen. Esa fórmula se emplea también para ampliar la responsabilidad a los líderes de la sociedad civil, lo cual es contrario al principio de legalidad penal porque el delito de sedición no ha sido concebido por el órgano judicial como un delito que consista en “la producción de un resultado”, sino como un delito de “resultado cortado”. (iv) Tampoco cabe fundar la atribución de responsabilidad a título de inducción a la sedición, al amparo del art. 545 CP, dado que, como no se ha seguido procedimiento penal por el delito indicado contra las personas concurrentes a las manifestaciones y centros de votación, no puede sostenerse, sin vulnerar el principio de accesoriedad limitada en la participación, que haya inductores sin la existencia de autores.</w:t>
      </w:r>
    </w:p>
    <w:p w:rsidR="005728DD" w:rsidRDefault="005728DD" w:rsidP="005728DD">
      <w:pPr>
        <w:pStyle w:val="TextoNormal"/>
      </w:pPr>
    </w:p>
    <w:p w:rsidR="005728DD" w:rsidRDefault="005728DD" w:rsidP="005728DD">
      <w:pPr>
        <w:pStyle w:val="TextoNormal"/>
      </w:pPr>
      <w:r>
        <w:t>La abogacía del Estado niega que el demandante haya sido considerado penalmente responsable por la conducta de otros, toda vez que su condena trae causa de hechos que le son directamente imputables [fundamento de Derecho C), apartado 1.9], en su condición de líder de la asociación Òmnium Cultural y dentro de una estrategia de ruptura del orden constitucional, movilizando a las masas para impedir el cumplimiento de resoluciones judiciales (20 de septiembre) y para permitir la celebración de la consulta ciudadana del 1 de octubre.</w:t>
      </w:r>
    </w:p>
    <w:p w:rsidR="005728DD" w:rsidRDefault="005728DD" w:rsidP="005728DD">
      <w:pPr>
        <w:pStyle w:val="TextoNormal"/>
      </w:pPr>
    </w:p>
    <w:p w:rsidR="005728DD" w:rsidRDefault="005728DD" w:rsidP="005728DD">
      <w:pPr>
        <w:pStyle w:val="TextoNormal"/>
      </w:pPr>
      <w:r>
        <w:t>Para el partido político Vox no existe vulneración del principio de personalidad de la pena, pues la sentencia recurrida “recoge detalladamente las acciones llevadas a cabo por cada uno de los miembros que participaron en la sedición que ha quedado probada y con ello […], se recoge la pena que debe imponerse a cada uno de los condenados” de acuerdo con sus circunstancias, de modo que carece de base la afirmación del recurrente de que “se produce una indeterminación en cuanto a su participación en el alzamiento sedicioso”.</w:t>
      </w:r>
    </w:p>
    <w:p w:rsidR="005728DD" w:rsidRDefault="005728DD" w:rsidP="005728DD">
      <w:pPr>
        <w:pStyle w:val="TextoNormal"/>
      </w:pPr>
    </w:p>
    <w:p w:rsidR="005728DD" w:rsidRDefault="005728DD" w:rsidP="005728DD">
      <w:pPr>
        <w:pStyle w:val="TextoNormal"/>
      </w:pPr>
      <w:r>
        <w:t xml:space="preserve">El fiscal alega que, conforme al análisis del apartado 1.9 del fundamento de Derecho C) de la sentencia impugnada, no hay atisbo alguno de que se haya realizado una atribución de responsabilidad penal por hechos o actos cometidos por otras personas, ni de que se haya efectuado una imputación colectiva de acciones delictivas a un grupo de personas que haya servido para condenar a cualquiera de ellas. Según señala, la condena del demandante responde estrictamente a hechos por él realizados, que el tribunal individualiza dentro de la acción concertada con responsables políticos en ejecución del plan preconcebido, conforme al rol o papel que le había sido asignado en atención a su condición de líder social presidente de Òmnium Cultural. En esta condición, llevó a cabo un comportamiento dentro de una </w:t>
      </w:r>
      <w:r>
        <w:lastRenderedPageBreak/>
        <w:t>estrategia, común y conjunta con la de responsables políticos de la Generalitat y el Parlamento de Cataluña, de ruptura o aniquilación del pacto constitucional, mediante la movilización de masas de ciudadanía con el objetivo específico de impedir el cumplimiento de las leyes y de resoluciones y mandatos concretos emanados de autoridades jurisdiccionales.</w:t>
      </w:r>
    </w:p>
    <w:p w:rsidR="005728DD" w:rsidRDefault="005728DD" w:rsidP="005728DD">
      <w:pPr>
        <w:pStyle w:val="TextoNormal"/>
      </w:pPr>
    </w:p>
    <w:p w:rsidR="005728DD" w:rsidRDefault="005728DD" w:rsidP="005728DD">
      <w:pPr>
        <w:pStyle w:val="TextoNormal"/>
      </w:pPr>
      <w:r>
        <w:t>10.4</w:t>
      </w:r>
      <w:r w:rsidRPr="005728DD">
        <w:rPr>
          <w:i/>
        </w:rPr>
        <w:t>.2. Respuesta judi</w:t>
      </w:r>
      <w:r>
        <w:t>cial.</w:t>
      </w:r>
    </w:p>
    <w:p w:rsidR="005728DD" w:rsidRDefault="005728DD" w:rsidP="005728DD">
      <w:pPr>
        <w:pStyle w:val="TextoNormal"/>
      </w:pPr>
    </w:p>
    <w:p w:rsidR="005728DD" w:rsidRDefault="005728DD" w:rsidP="005728DD">
      <w:pPr>
        <w:pStyle w:val="TextoNormal"/>
      </w:pPr>
      <w:r>
        <w:t>Con anterioridad, ha quedado sintetizado el contenido del apartado 2.5 del auto de 29 de enero de 2020, en el que se refuta que el demandante fuera condenado por convocar una protesta contra determinadas actuaciones judiciales, que en modo alguno se impidieron, ni por animar a participar en un acto masivo de expresión de opinión a través de una votación.</w:t>
      </w:r>
    </w:p>
    <w:p w:rsidR="005728DD" w:rsidRDefault="005728DD" w:rsidP="005728DD">
      <w:pPr>
        <w:pStyle w:val="TextoNormal"/>
      </w:pPr>
    </w:p>
    <w:p w:rsidR="005728DD" w:rsidRDefault="005728DD" w:rsidP="005728DD">
      <w:pPr>
        <w:pStyle w:val="TextoNormal"/>
      </w:pPr>
      <w:r>
        <w:t>10.4</w:t>
      </w:r>
      <w:r w:rsidRPr="005728DD">
        <w:rPr>
          <w:i/>
        </w:rPr>
        <w:t>.3. Resolución de la q</w:t>
      </w:r>
      <w:r>
        <w:t>ueja.</w:t>
      </w:r>
    </w:p>
    <w:p w:rsidR="005728DD" w:rsidRDefault="005728DD" w:rsidP="005728DD">
      <w:pPr>
        <w:pStyle w:val="TextoNormal"/>
      </w:pPr>
    </w:p>
    <w:p w:rsidR="005728DD" w:rsidRDefault="005728DD" w:rsidP="005728DD">
      <w:pPr>
        <w:pStyle w:val="TextoNormal"/>
      </w:pPr>
      <w:r>
        <w:t>De los cuatro argumentos que se han compendiado al inicio de este apartado, solamente el primero de ellos se esgrime en el escrito por el que se promueve el incidente de nulidad de actuaciones; de manera que los restantes no fueron planteados ante el órgano judicial. No obstante ello, en esta sede se dará respuesta a todos ellos.</w:t>
      </w:r>
    </w:p>
    <w:p w:rsidR="005728DD" w:rsidRDefault="005728DD" w:rsidP="005728DD">
      <w:pPr>
        <w:pStyle w:val="TextoNormal"/>
      </w:pPr>
    </w:p>
    <w:p w:rsidR="005728DD" w:rsidRDefault="005728DD" w:rsidP="005728DD">
      <w:pPr>
        <w:pStyle w:val="TextoNormal"/>
      </w:pPr>
      <w:r>
        <w:t>(i) En el apartado 1.9 del fundamento de Derecho C), el órgano judicial expone las razones por las que considera al recurrente autor del delito de sedición. Como es de ver, esa consideración no se asienta en hechos ajenos a su proceder, tal y como ha quedado reflejado sintéticamente en los antecedentes de esta resolución, sino en las conductas que llevó a cabo. En realidad, bajo el alegato de una pretendida vulneración del principio de personalidad de las penas, lo que se cuestiona, una vez más, es la valoración jurídica de los incidentes ocurridos los días 20 de septiembre y 1 de octubre de 2017, pues para el recurrente, su conducta, lejos de ser delictiva, constituyó un ejercicio legítimo del derecho de reunión.</w:t>
      </w:r>
    </w:p>
    <w:p w:rsidR="005728DD" w:rsidRDefault="005728DD" w:rsidP="005728DD">
      <w:pPr>
        <w:pStyle w:val="TextoNormal"/>
      </w:pPr>
    </w:p>
    <w:p w:rsidR="005728DD" w:rsidRDefault="005728DD" w:rsidP="005728DD">
      <w:pPr>
        <w:pStyle w:val="TextoNormal"/>
      </w:pPr>
      <w:r>
        <w:t>Al respecto, hemos de indicar que el principio de personalidad de las penas resulta ajeno a la temática suscitada. Dicho principio exige que la responsabilidad penal se asiente en hechos propios, quedando vedada la exigencia de tal responsabilidad con base en lo realizado exclusivamente por terceros. Por ello, cuando la controversia gira, como acontece en el presente caso, sobre si los hechos atribuidos al afectado son o no delictivos, el principio anteriormente citado no resulta concernido.</w:t>
      </w:r>
    </w:p>
    <w:p w:rsidR="005728DD" w:rsidRDefault="005728DD" w:rsidP="005728DD">
      <w:pPr>
        <w:pStyle w:val="TextoNormal"/>
      </w:pPr>
    </w:p>
    <w:p w:rsidR="005728DD" w:rsidRDefault="005728DD" w:rsidP="005728DD">
      <w:pPr>
        <w:pStyle w:val="TextoNormal"/>
      </w:pPr>
      <w:r>
        <w:t>(ii) La aportación del demandante a la ejecución del delito de sedición por el que fue condenado queda perfectamente constatada en el referido apartado 1.9 del fundamento de Derecho C). En él, el tribunal sentenciador concluye que el demandante fue uno de los pilares del movimiento sedicioso, que puso su capacidad de movilización, en su condición de líder de la asociación Òmnium Cultural, al servicio del proyecto político concebido de consuno con otros partícipes, para cuyo logro era indispensable la movilización masiva de ciudadanos, a fin de oponer, llegado el momento, resistencia al cumplimiento de los mandatos judiciales.</w:t>
      </w:r>
    </w:p>
    <w:p w:rsidR="005728DD" w:rsidRDefault="005728DD" w:rsidP="005728DD">
      <w:pPr>
        <w:pStyle w:val="TextoNormal"/>
      </w:pPr>
    </w:p>
    <w:p w:rsidR="005728DD" w:rsidRDefault="005728DD" w:rsidP="005728DD">
      <w:pPr>
        <w:pStyle w:val="TextoNormal"/>
      </w:pPr>
      <w:r>
        <w:t xml:space="preserve">Destaca el órgano judicial que la función movilizadora del recurrente se desarrolla progresivamente </w:t>
      </w:r>
      <w:r w:rsidRPr="005728DD">
        <w:rPr>
          <w:i/>
        </w:rPr>
        <w:t>in crescendo</w:t>
      </w:r>
      <w:r>
        <w:t xml:space="preserve">, hasta culminar en los incidentes recogidos en el relato histórico de la sentencia, siendo particularmente destacable el comportamiento desempeñado, en unión de don Jordi Sànchez, en los sucesos que tuvieron lugar el día 20 de septiembre de </w:t>
      </w:r>
      <w:r>
        <w:lastRenderedPageBreak/>
        <w:t>2017, cuya entidad y significación se constata sin dificultad. Asimismo, queda también reflejada la vinculación del recurrente con el movimiento “Escoles Obertes”. Sobre este particular, el resumen que obra en los antecedentes de esta resolución resulta esclarecedor, al poner de manifiesto que ese movimiento fue ideado para mantener los puntos de votación abiertos y “fue apoyado, estimulado, multiplicado y alentado por don Jordi Cuixart, don Jordi Sànchez y sus respectivas organizaciones”. En suma, la actividad que el tribunal enjuiciador atribuye al recurrente refleja con nitidez la importancia cuantitativa y cualitativa de su participación en el delito por el que resultó condenado.</w:t>
      </w:r>
    </w:p>
    <w:p w:rsidR="005728DD" w:rsidRDefault="005728DD" w:rsidP="005728DD">
      <w:pPr>
        <w:pStyle w:val="TextoNormal"/>
      </w:pPr>
    </w:p>
    <w:p w:rsidR="005728DD" w:rsidRDefault="005728DD" w:rsidP="005728DD">
      <w:pPr>
        <w:pStyle w:val="TextoNormal"/>
      </w:pPr>
      <w:r>
        <w:t xml:space="preserve">Y aunque aquel cuestione que la sentencia no refleja su aportación al supuesto plan común, lo cierto es que, tanto del contenido de </w:t>
      </w:r>
      <w:r w:rsidRPr="005728DD">
        <w:rPr>
          <w:i/>
        </w:rPr>
        <w:t>factum</w:t>
      </w:r>
      <w:r>
        <w:t xml:space="preserve"> de la sentencia impugnada como de los extremos consignados en el “juicio de autoría” que figura en la fundamentación jurídica de la referida resolución, se desprende la existencia de una estrategia concertada por los intervinientes, a cuyo desarrollo contribuyó el recurrente. Por lo demás, a fin de evitar reiteraciones innecesarias, nos remitimos a lo ya razonado al resolver sobre la queja relativa al derecho a la presunción de inocencia, tanto en lo referente al análisis probatorio en general como a los pronunciamientos fácticos en relación con el recurrente (FJ 8.5).</w:t>
      </w:r>
    </w:p>
    <w:p w:rsidR="005728DD" w:rsidRDefault="005728DD" w:rsidP="005728DD">
      <w:pPr>
        <w:pStyle w:val="TextoNormal"/>
      </w:pPr>
    </w:p>
    <w:p w:rsidR="005728DD" w:rsidRDefault="005728DD" w:rsidP="005728DD">
      <w:pPr>
        <w:pStyle w:val="TextoNormal"/>
      </w:pPr>
      <w:r>
        <w:t>(iii) Alega el demandante que en el presente supuesto no cabe apreciar la autoría con base en la figura conocida como “comisión por omisión”. Señala que el delito de sedición no ha sido concebido por el órgano sentenciador como una infracción que consista en la producción de un resultado, sino como un delito de “resultado cortado”. También apunta que en el presente caso no existe la obligación legal o contractual de actuar que requiere el art. 11 CP, de suerte que no pueden ensancharse las formas comisivas de la manera en que lo hace la sentencia. El recurrente selecciona un párrafo que figura en la página 300, a fin de demostrar la ampliación de la responsabilidad por omisión a los líderes de la sociedad civil, cuyo tenor es el siguiente: “[l]a ausencia de titularidad de poder público no excluye que particulares puedan contribuir a producir ese mismo riesgo si su comportamiento como dirigentes de movilizaciones sociales coopera en la medida necesaria a la misma lesión de aquel bien jurídico origen de la tipicidad del comportamiento sedicioso”.</w:t>
      </w:r>
    </w:p>
    <w:p w:rsidR="005728DD" w:rsidRDefault="005728DD" w:rsidP="005728DD">
      <w:pPr>
        <w:pStyle w:val="TextoNormal"/>
      </w:pPr>
    </w:p>
    <w:p w:rsidR="005728DD" w:rsidRDefault="005728DD" w:rsidP="005728DD">
      <w:pPr>
        <w:pStyle w:val="TextoNormal"/>
      </w:pPr>
      <w:r>
        <w:t>Lo primero que cumple decir es que del contenido del párrafo transcrito en último lugar en absoluto se desprende que la responsabilidad de los líderes sociales se vincule a la comisión por omisión, habida cuenta de que la referencia al “comportamiento como dirigentes de movilizaciones sociales” alude con claridad a una forma de actuar netamente activa. Por otro lado, en relación con el recurrente de amparo, en las páginas 394 y 395 de la sentencia se descarta que la responsabilidad penal del demandante se fundara en su comportamiento omisivo:</w:t>
      </w:r>
    </w:p>
    <w:p w:rsidR="005728DD" w:rsidRDefault="005728DD" w:rsidP="005728DD">
      <w:pPr>
        <w:pStyle w:val="TextoNormal"/>
      </w:pPr>
    </w:p>
    <w:p w:rsidR="005728DD" w:rsidRDefault="005728DD" w:rsidP="005728DD">
      <w:pPr>
        <w:pStyle w:val="TextoNormal"/>
      </w:pPr>
      <w:r>
        <w:t>“La conducta imputada a don Jordi Cuixart no es una conducta omisiva. Cuando la desobediencia civil plasma en un llamamiento generalizado a toda la población de una comunidad autónoma a oponerse y desafiar, mediante el uso de la fuerza colectiva y una resistencia que rebasa el ámbito de lo puramente omisivo, expresas órdenes judiciales que provenían, no solo del Tribunal Superior de Justicia, sino también del Tribunal Constitucional, estamos ante algo más que el tratamiento penal de una conducta omisiva”.</w:t>
      </w:r>
    </w:p>
    <w:p w:rsidR="005728DD" w:rsidRDefault="005728DD" w:rsidP="005728DD">
      <w:pPr>
        <w:pStyle w:val="TextoNormal"/>
      </w:pPr>
    </w:p>
    <w:p w:rsidR="005728DD" w:rsidRDefault="005728DD" w:rsidP="005728DD">
      <w:pPr>
        <w:pStyle w:val="TextoNormal"/>
      </w:pPr>
      <w:r>
        <w:lastRenderedPageBreak/>
        <w:t>Conforme a lo expuesto, resulta que el propio órgano judicial descarta expresamente la atribución al demandante de responsabilidad penal derivada de un comportamiento meramente omisivo, lo que de por sí excluye que haya fundado su condena como coautor de un delito de sedición en la aplicación del art. 11 CP. A lo dicho cabe añadir que, al margen del párrafo del escrito de demanda transcrito, el recurrente no ha aportado argumentación alguna para justificar esa pretendida sustentación de su autoría en la “comisión por omisión”.</w:t>
      </w:r>
    </w:p>
    <w:p w:rsidR="005728DD" w:rsidRDefault="005728DD" w:rsidP="005728DD">
      <w:pPr>
        <w:pStyle w:val="TextoNormal"/>
      </w:pPr>
    </w:p>
    <w:p w:rsidR="005728DD" w:rsidRDefault="005728DD" w:rsidP="005728DD">
      <w:pPr>
        <w:pStyle w:val="TextoNormal"/>
      </w:pPr>
      <w:r>
        <w:t>(iv) Por último, el demandante censura que haya sido condenado como inductor a la sedición, sin que hayan resultado condenados los supuestos miles de autores materiales que se agolparon frente a los centros de votación. Por ello, sostiene que si no hay autores difícilmente puede entenderse que haya inductores, sin contravenir el principio de accesoriedad limitada de la participación y, en definitiva, el principio de personalidad de la pena.</w:t>
      </w:r>
    </w:p>
    <w:p w:rsidR="005728DD" w:rsidRDefault="005728DD" w:rsidP="005728DD">
      <w:pPr>
        <w:pStyle w:val="TextoNormal"/>
      </w:pPr>
    </w:p>
    <w:p w:rsidR="005728DD" w:rsidRDefault="005728DD" w:rsidP="005728DD">
      <w:pPr>
        <w:pStyle w:val="TextoNormal"/>
      </w:pPr>
      <w:r>
        <w:t>La temática que suscita el demandante coincide en lo esencial con la planteada en el recurso de amparo núm. 1403-2020, razón por la que nos remitimos en su integridad a la respuesta dada en la STC 91/2021, FJ 11.3.3, a fin de desestimar su alegato:</w:t>
      </w:r>
    </w:p>
    <w:p w:rsidR="005728DD" w:rsidRDefault="005728DD" w:rsidP="005728DD">
      <w:pPr>
        <w:pStyle w:val="TextoNormal"/>
      </w:pPr>
    </w:p>
    <w:p w:rsidR="005728DD" w:rsidRDefault="005728DD" w:rsidP="005728DD">
      <w:pPr>
        <w:pStyle w:val="TextoNormal"/>
      </w:pPr>
      <w:r>
        <w:t>“A la vista de lo expuesto, debemos convenir que el órgano de enjuiciamiento no ha vulnerado el derecho reconocido en el art. 25.1 CE por el motivo que le imputa el recurrente. El hecho de que la participación del demandante se considere como la propia de un autor en sentido estricto, con base en argumentos tales como que el delito de sedición es de naturaleza ‘plurisubjetiva’ y de ‘consumación anticipada’; que el comportamiento de los condenados supuso un incremento del riesgo para el bien jurídico protegido; y que el demandante realizó, conforme a lo ideado de consuno, la aportación individual para la consecución de la finalidad delictiva, de manera que a todos los autores les es imputable lo realizado por los otros, no son razones que quepa tildar de aberrantes, irrazonables o arbitrarias, sin que tampoco se aprecie contrariedad al parámetro de razonabilidad metodológica y axiológica asentado por nuestra doctrina.</w:t>
      </w:r>
    </w:p>
    <w:p w:rsidR="005728DD" w:rsidRDefault="005728DD" w:rsidP="005728DD">
      <w:pPr>
        <w:pStyle w:val="TextoNormal"/>
      </w:pPr>
    </w:p>
    <w:p w:rsidR="005728DD" w:rsidRDefault="005728DD" w:rsidP="005728DD">
      <w:pPr>
        <w:pStyle w:val="TextoNormal"/>
      </w:pPr>
      <w:r>
        <w:t>Por otro lado, que los terceros que participaron en los actos multitudinarios no hayan sido enjuiciados por los hechos que han dado lugar a la condena del demandante, no autoriza a colegir que actuaran amparados por una causa de justificación, en su acepción jurídico-penal; circunstancia esta que, de haberse apreciado respecto de los autores, permitiría excluir la responsabilidad criminal de los partícipes, con fundamento en la teoría de la accesoriedad limitada. Sin embargo, como aquellos terceros no han estado sujetos a un procedimiento penal, cualquier valoración sobre la relevancia de su conducta en ese ámbito resulta improcedente, más aún en esta sede constitucional.</w:t>
      </w:r>
    </w:p>
    <w:p w:rsidR="005728DD" w:rsidRDefault="005728DD" w:rsidP="005728DD">
      <w:pPr>
        <w:pStyle w:val="TextoNormal"/>
      </w:pPr>
    </w:p>
    <w:p w:rsidR="005728DD" w:rsidRDefault="005728DD" w:rsidP="005728DD">
      <w:pPr>
        <w:pStyle w:val="TextoNormal"/>
      </w:pPr>
      <w:r>
        <w:t>El hecho de que la actuación de la multitud de personas que, según se describe en el relato fáctico de la sentencia, intervino en los hechos acaecidos los días 20 de septiembre y 1 de octubre de 2017, sí se haya valorado en su dimensión colectiva para apreciar del delito de sedición, no obsta la anterior conclusión. Como ya hemos advertido, el objeto de nuestro pronunciamiento respecto de este motivo no se proyecta sobre la problemática que, en toda su extensión, pueda suscitar el concreto grado de participación que se atribuye al demandante. El alcance de nuestra respuesta es más limitado, pues se circunscribe a dirimir si el órgano enjuiciador ha efectuado una exclusió</w:t>
      </w:r>
      <w:r w:rsidRPr="005728DD">
        <w:rPr>
          <w:i/>
        </w:rPr>
        <w:t>n ad cas</w:t>
      </w:r>
      <w:r>
        <w:t>um del principio de accesoriedad que resulte contraria al mandato del art. 25 CE. Y como ya se ha indicado, sobre ese concreto aspecto no se vislumbra que se haya producido la vulneración denunciada.</w:t>
      </w:r>
    </w:p>
    <w:p w:rsidR="005728DD" w:rsidRDefault="005728DD" w:rsidP="005728DD">
      <w:pPr>
        <w:pStyle w:val="TextoNormal"/>
      </w:pPr>
    </w:p>
    <w:p w:rsidR="005728DD" w:rsidRDefault="005728DD" w:rsidP="005728DD">
      <w:pPr>
        <w:pStyle w:val="TextoNormal"/>
      </w:pPr>
      <w:r>
        <w:t>Finalmente, hemos de añadir que no le corresponde a este tribunal pronunciarse sobre si las respuestas dadas por el órgano judicial son las únicas que se ajustan a Derecho, pues ello supondría adentrarse en una labor que queda extramuros de nuestro cometido. Ahora bien, de acuerdo con la función de control que nos compete, reiteramos que el tribunal sentenciador ofrece una argumentación que, de manera razonable, descarta que haya existido un abandono selectivo e interesado del principio de accesoriedad limitada en la participación, en el entendimiento de que no concurrieron los presupuestos para la aplicación de ese principio, al entender que el demandante, junto a otros encausados, fue coautor de los hechos”.</w:t>
      </w:r>
    </w:p>
    <w:p w:rsidR="005728DD" w:rsidRDefault="005728DD" w:rsidP="005728DD">
      <w:pPr>
        <w:pStyle w:val="TextoNormal"/>
      </w:pPr>
    </w:p>
    <w:p w:rsidR="005728DD" w:rsidRDefault="005728DD" w:rsidP="005728DD">
      <w:pPr>
        <w:pStyle w:val="TextoNormal"/>
      </w:pPr>
      <w:r>
        <w:t>Por todo lo expuesto, procede desestimar todas las quejas formuladas por vulneración del derecho a la legalidad penal reconocido en el art. 25.1 CE.</w:t>
      </w:r>
    </w:p>
    <w:p w:rsidR="005728DD" w:rsidRDefault="005728DD" w:rsidP="005728DD">
      <w:pPr>
        <w:pStyle w:val="TextoNormal"/>
      </w:pPr>
    </w:p>
    <w:p w:rsidR="005728DD" w:rsidRDefault="005728DD" w:rsidP="005728DD">
      <w:pPr>
        <w:pStyle w:val="TextoNormal"/>
      </w:pPr>
      <w:r w:rsidRPr="005728DD">
        <w:rPr>
          <w:rStyle w:val="NumeroAFNegritaCaracter"/>
        </w:rPr>
        <w:t>11</w:t>
      </w:r>
      <w:r>
        <w:t xml:space="preserve">. </w:t>
      </w:r>
      <w:r w:rsidRPr="005728DD">
        <w:rPr>
          <w:i/>
        </w:rPr>
        <w:t>La limitación de las restricciones de los derechos (art. 18 CEDH</w:t>
      </w:r>
      <w:r>
        <w:t>).</w:t>
      </w:r>
    </w:p>
    <w:p w:rsidR="005728DD" w:rsidRDefault="005728DD" w:rsidP="005728DD">
      <w:pPr>
        <w:pStyle w:val="TextoNormal"/>
      </w:pPr>
    </w:p>
    <w:p w:rsidR="005728DD" w:rsidRDefault="005728DD" w:rsidP="005728DD">
      <w:pPr>
        <w:pStyle w:val="TextoNormal"/>
      </w:pPr>
      <w:r>
        <w:t xml:space="preserve">11.1. </w:t>
      </w:r>
      <w:r w:rsidRPr="005728DD">
        <w:rPr>
          <w:i/>
        </w:rPr>
        <w:t>Posiciones de las partes</w:t>
      </w:r>
      <w:r>
        <w:t>.</w:t>
      </w:r>
    </w:p>
    <w:p w:rsidR="005728DD" w:rsidRDefault="005728DD" w:rsidP="005728DD">
      <w:pPr>
        <w:pStyle w:val="TextoNormal"/>
      </w:pPr>
    </w:p>
    <w:p w:rsidR="005728DD" w:rsidRDefault="005728DD" w:rsidP="005728DD">
      <w:pPr>
        <w:pStyle w:val="TextoNormal"/>
      </w:pPr>
      <w:r>
        <w:t>El último motivo de la demanda, que el recurrente titula “vulneración de la cláusula de prohibición de desviación de poder”, denuncia la “vulneración de los artículos 5, 6, 7 y 11 CEDH, especialmente del derecho a la libertad (17 CE), en relación con el art. 18 CEDH y la limitación de restricciones de derechos”. Bajo tal planteamiento se aduce que el art. 18 CEDH se infringe cuando las medidas restrictivas de derechos —singularmente la prisión provisional y la condena penal—, pese a justificarse conforme a uno de los criterios previstos en el Convenio Europeo de Derechos Humanos, responden a una finalidad adicional predominante inadmisible.</w:t>
      </w:r>
    </w:p>
    <w:p w:rsidR="005728DD" w:rsidRDefault="005728DD" w:rsidP="005728DD">
      <w:pPr>
        <w:pStyle w:val="TextoNormal"/>
      </w:pPr>
    </w:p>
    <w:p w:rsidR="005728DD" w:rsidRDefault="005728DD" w:rsidP="005728DD">
      <w:pPr>
        <w:pStyle w:val="TextoNormal"/>
      </w:pPr>
      <w:r>
        <w:t xml:space="preserve">El recurrente expone que, para el Tribunal Europeo de Derechos Humanos son factores relevantes a la hora de averiguar la existencia de un procedimiento penal con objetivos políticos el contexto político amplio, saber si la acusación y el poder judicial tenían objetivos no declarados, la presencia o ausencia de indicios de que los tribunales no son lo suficientemente independientes del poder ejecutivo, la manera en que se ha llevado a cabo el procedimiento, determinar si las acusaciones son reales y se fundan en razones plausibles sobre la comisión del delito y saber si se relacionan con actividades políticas o con delitos comunes. Esos factores, según entiende, se valoran en el caso </w:t>
      </w:r>
      <w:r w:rsidRPr="005728DD">
        <w:rPr>
          <w:i/>
        </w:rPr>
        <w:t>Rashad Hasanov y otros c. Azerbaiyán</w:t>
      </w:r>
      <w:r>
        <w:t>, STEDH de 7 de junio de 2018, que atañe a una situación que juzga muy parecida a la propia, donde se concluyó que la finalidad real de la prisión provisional era silenciar y castigar a los demandantes, que formaban parte de una organización no gubernamental, por su compromiso activo social y político y se apreció la violación del art. 5 CEDH (derecho a la libertad) en relación con el art. 18 CEDH.</w:t>
      </w:r>
    </w:p>
    <w:p w:rsidR="005728DD" w:rsidRDefault="005728DD" w:rsidP="005728DD">
      <w:pPr>
        <w:pStyle w:val="TextoNormal"/>
      </w:pPr>
    </w:p>
    <w:p w:rsidR="005728DD" w:rsidRDefault="005728DD" w:rsidP="005728DD">
      <w:pPr>
        <w:pStyle w:val="TextoNormal"/>
      </w:pPr>
      <w:r>
        <w:t xml:space="preserve">La demanda defiende la proximidad entre el referido supuesto y su caso, donde la prisión provisional primero y la condena penal después habrían tenido como objetivo castigar al demandante y al conjunto de la entidad que lidera “por su activismo político, social y cultural con el único fin de provocar el fin de las protestas en pro de la independencia y del derecho a la autodeterminación de Catalunya”. Desde tal apreciación de similitud en la finalidad real de la medida restrictiva, proyecta el paralelismo con el asunto </w:t>
      </w:r>
      <w:r w:rsidRPr="005728DD">
        <w:rPr>
          <w:i/>
        </w:rPr>
        <w:t>Rashad Hasanov</w:t>
      </w:r>
      <w:r>
        <w:t xml:space="preserve"> también a los datos que fueron decisivos para la conclusión del Tribunal Europeo de Derechos Humanos sobre la finalidad escondida, que estarían presentes en su caso.</w:t>
      </w:r>
    </w:p>
    <w:p w:rsidR="005728DD" w:rsidRDefault="005728DD" w:rsidP="005728DD">
      <w:pPr>
        <w:pStyle w:val="TextoNormal"/>
      </w:pPr>
    </w:p>
    <w:p w:rsidR="005728DD" w:rsidRDefault="005728DD" w:rsidP="005728DD">
      <w:pPr>
        <w:pStyle w:val="TextoNormal"/>
      </w:pPr>
      <w:r>
        <w:t>(i) El papel notorio y evidente de la fiscalía en la persecución del independentismo civil. Funda esa afirmación en el contenido del discurso de la fiscal general del Estado en la apertura del año judicial en septiembre de 2016, que calificó al independentismo catalán de “peligro para la democracia”, al apelativo periodístico del fiscal general de “azote del independentismo” o al nombre del archivo con el comunicado de prensa sobre la presentación de la querella que dio lugar a la causa especial, “más dura será la caída”.</w:t>
      </w:r>
    </w:p>
    <w:p w:rsidR="005728DD" w:rsidRDefault="005728DD" w:rsidP="005728DD">
      <w:pPr>
        <w:pStyle w:val="TextoNormal"/>
      </w:pPr>
    </w:p>
    <w:p w:rsidR="005728DD" w:rsidRDefault="005728DD" w:rsidP="005728DD">
      <w:pPr>
        <w:pStyle w:val="TextoNormal"/>
      </w:pPr>
      <w:r>
        <w:t>(ii) La condición de líder de la sociedad civil del demandante, presidente de la principal entidad social de Cataluña.</w:t>
      </w:r>
    </w:p>
    <w:p w:rsidR="005728DD" w:rsidRDefault="005728DD" w:rsidP="005728DD">
      <w:pPr>
        <w:pStyle w:val="TextoNormal"/>
      </w:pPr>
    </w:p>
    <w:p w:rsidR="005728DD" w:rsidRDefault="005728DD" w:rsidP="005728DD">
      <w:pPr>
        <w:pStyle w:val="TextoNormal"/>
      </w:pPr>
      <w:r>
        <w:t>(iii) La utilización de un tribunal excepcional que hurta el derecho al juez ordinario predeterminado por la ley y el derecho a la doble instancia penal, en las especiales circunstancias en materia de imparcialidad expresadas en el motivo segundo del recurso.</w:t>
      </w:r>
    </w:p>
    <w:p w:rsidR="005728DD" w:rsidRDefault="005728DD" w:rsidP="005728DD">
      <w:pPr>
        <w:pStyle w:val="TextoNormal"/>
      </w:pPr>
    </w:p>
    <w:p w:rsidR="005728DD" w:rsidRDefault="005728DD" w:rsidP="005728DD">
      <w:pPr>
        <w:pStyle w:val="TextoNormal"/>
      </w:pPr>
      <w:r>
        <w:t>(iv) La existencia de informes de organismos internacionales “críticos con la detención, la persecución y la condena” del acusado. Menciona en concreto el posicionamiento de la Organización Mundial contra la Tortura, de 22 de noviembre de 2018, los posicionamientos de Amnesty International, de 15 de octubre 2018, 16 de octubre 2018 y 19 de noviembre 2019, el posicionamiento de la organización Front Line Defenders, de 23 de noviembre 2018, la opinión del grupo de trabajo sobre detenciones arbitrarias de Naciones Unidas, de 13 de junio del 2019, y el informe del relator de la asamblea parlamentaria Consejo de Europa sobre la situación de los defensores de derechos humanos en Estados miembros, de 26 de junio de 2019 [AS/Jur (2019) 31].</w:t>
      </w:r>
    </w:p>
    <w:p w:rsidR="005728DD" w:rsidRDefault="005728DD" w:rsidP="005728DD">
      <w:pPr>
        <w:pStyle w:val="TextoNormal"/>
      </w:pPr>
    </w:p>
    <w:p w:rsidR="005728DD" w:rsidRDefault="005728DD" w:rsidP="005728DD">
      <w:pPr>
        <w:pStyle w:val="TextoNormal"/>
      </w:pPr>
      <w:r>
        <w:t>(v) La falta de plausibilidad de las acusaciones vertidas contra él, conforme ha sostenido en su defensa a lo largo del procedimiento.</w:t>
      </w:r>
    </w:p>
    <w:p w:rsidR="005728DD" w:rsidRDefault="005728DD" w:rsidP="005728DD">
      <w:pPr>
        <w:pStyle w:val="TextoNormal"/>
      </w:pPr>
    </w:p>
    <w:p w:rsidR="005728DD" w:rsidRDefault="005728DD" w:rsidP="005728DD">
      <w:pPr>
        <w:pStyle w:val="TextoNormal"/>
      </w:pPr>
      <w:r>
        <w:t>El motivo finaliza manifestando que los magistrados del Tribunal Supremo y otros poderes públicos, ante la amenaza a la unidad indisoluble de la nación, han actuado desactivando la carta de derechos de la Constitución, de modo que la condena por un delito de sedición carente de sostén solo obedece al objetivo político del procedimiento. En tal medida, concluye, la prisión provisional es arbitraria y la condena ilegal, esto es, contrarias a los arts. 5, 6, 7 y 11 CEDH, pero también vulneran el art. 18 CEDH por cuanto tienen un objetivo político de represalia que va más allá de la responsabilidad penal individual.</w:t>
      </w:r>
    </w:p>
    <w:p w:rsidR="005728DD" w:rsidRDefault="005728DD" w:rsidP="005728DD">
      <w:pPr>
        <w:pStyle w:val="TextoNormal"/>
      </w:pPr>
    </w:p>
    <w:p w:rsidR="005728DD" w:rsidRDefault="005728DD" w:rsidP="005728DD">
      <w:pPr>
        <w:pStyle w:val="TextoNormal"/>
      </w:pPr>
      <w:r>
        <w:t xml:space="preserve">El abogado del Estado, tras recordar la respuesta del Tribunal Supremo a una queja parecida relativa a un supuesto contexto persecutorio (fundamento de Derecho 2.3), rechaza el paralelismo que se quiere construir entre el caso </w:t>
      </w:r>
      <w:r w:rsidRPr="005728DD">
        <w:rPr>
          <w:i/>
        </w:rPr>
        <w:t>Rashad Hasano</w:t>
      </w:r>
      <w:r>
        <w:t xml:space="preserve">v resuelto por la STEDH de 7 de junio de 2018 y la situación del demandante. Opone que el discurso del fiscal general del Estado en 2016 se incorpora mediante una transcripción incorrecta y manipulada y que el nombre del archivo informático correspondía al nombre de un documento anterior de carácter privado sobre el que se escribió, de modo que esa denominación no era visible y solo podía conocerse accediendo a metadatos. Descarta asimismo la existencia de un tribunal de excepción remitiéndose a su oposición al motivo de la demanda que lo denuncia. Y, por último, niega que los informes aludidos en la demanda sean, en sentido estricto, informes de “organismos internacionales”, destacando que el llamado “informe del relator de la asamblea parlamentaria Consejo de Europa sobre la situación de los defensores de derechos </w:t>
      </w:r>
      <w:r>
        <w:lastRenderedPageBreak/>
        <w:t>humanos” es un memorándum preliminar del diputado que lo suscribe que ni siquiera ha sido votado en la asamblea parlamentaria. Y respecto a la opinión del grupo de trabajo sobre detenciones arbitrarias, invocado ya en el proceso, trae lo dicho en el auto del Tribunal Supremo de 21 de junio de 2019, que sitúa tal opinión como criterio de un grupo puramente auxiliar e informativo de eventuales y futuros posicionamientos o declaraciones generales del Consejo de Derechos Humanos de Naciones Unidas; y advierte que tampoco es un examen definitivo, porque la abogacía del Estado ha solicitado su revisión por concurrir causa de abstención en los miembros del grupo.</w:t>
      </w:r>
    </w:p>
    <w:p w:rsidR="005728DD" w:rsidRDefault="005728DD" w:rsidP="005728DD">
      <w:pPr>
        <w:pStyle w:val="TextoNormal"/>
      </w:pPr>
    </w:p>
    <w:p w:rsidR="005728DD" w:rsidRDefault="005728DD" w:rsidP="005728DD">
      <w:pPr>
        <w:pStyle w:val="TextoNormal"/>
      </w:pPr>
      <w:r>
        <w:t>El partido político Vox niega de forma conjunta la existencia de las distintas vulneraciones de derechos aducidas en la demanda apelando a la afectación al orden público y la unidad política y territorial.</w:t>
      </w:r>
    </w:p>
    <w:p w:rsidR="005728DD" w:rsidRDefault="005728DD" w:rsidP="005728DD">
      <w:pPr>
        <w:pStyle w:val="TextoNormal"/>
      </w:pPr>
    </w:p>
    <w:p w:rsidR="005728DD" w:rsidRDefault="005728DD" w:rsidP="005728DD">
      <w:pPr>
        <w:pStyle w:val="TextoNormal"/>
      </w:pPr>
      <w:r>
        <w:t xml:space="preserve">El fiscal rechaza la queja que atribuye una finalidad ilegítima a todas las restricciones de los derechos fundamentales del demandante a lo largo del proceso penal y en la sentencia definitiva así como el paralelismo con el caso </w:t>
      </w:r>
      <w:r w:rsidRPr="005728DD">
        <w:rPr>
          <w:i/>
        </w:rPr>
        <w:t>Rashad Hasanov</w:t>
      </w:r>
      <w:r>
        <w:t>. Comienza llamando la atención sobre el carácter global del motivo, que califica como “una especie de enmienda a la totalidad de la causa penal”, y el hecho de que fue suscitado en su momento —aunque no bajo la invocación del art. 18 CEDH— al cuestionar la utilización del proceso penal para fines ajenos a sus principios legitimadores [fundamento de Derecho A) apartado 2.1, págs. 63 y 64] y contestado en la sentencia impugnada (apartado 2.3, págs. 67 y 68). A continuación argumenta en un cuádruple sentido para defender la desestimación de la queja.</w:t>
      </w:r>
    </w:p>
    <w:p w:rsidR="005728DD" w:rsidRDefault="005728DD" w:rsidP="005728DD">
      <w:pPr>
        <w:pStyle w:val="TextoNormal"/>
      </w:pPr>
    </w:p>
    <w:p w:rsidR="005728DD" w:rsidRDefault="005728DD" w:rsidP="005728DD">
      <w:pPr>
        <w:pStyle w:val="TextoNormal"/>
      </w:pPr>
      <w:r>
        <w:t>(i) Advierte que, a pesar de la invocación de diversos preceptos del Convenio Europeo de Derechos Humanos, no le corresponde al Tribual Constitucional examinar su observancia, como ha reiterado la doctrina constitucional, sino el respeto o la lesión de los derechos fundamentales susceptibles de amparo constitucional, que, eso sí, deben ser interpretados de conformidad con esos preceptos convencionales en virtud del mandato del art. 10.2 CE.</w:t>
      </w:r>
    </w:p>
    <w:p w:rsidR="005728DD" w:rsidRDefault="005728DD" w:rsidP="005728DD">
      <w:pPr>
        <w:pStyle w:val="TextoNormal"/>
      </w:pPr>
    </w:p>
    <w:p w:rsidR="005728DD" w:rsidRDefault="005728DD" w:rsidP="005728DD">
      <w:pPr>
        <w:pStyle w:val="TextoNormal"/>
      </w:pPr>
      <w:r>
        <w:t>(ii) Conforme a la jurisprudencia europea, el art. 18 CEDH no reconoce un derecho fundamental, sino que es una garantía de derechos, una cláusula de cierre relacional dependiente de la invocación de uno o varios derechos, que supone, en todo caso, una imputación muy seria que solo puede ser probada si la autoridad se mueve exclusivamente por razones ilícitas. Descartadas las vulneraciones de los derechos en cuestión, tanto por resoluciones del propio Tribunal Constitucional sobre la invocación del art. 17.1 CE para cuestionar la prisión provisional (STC 30/2019) como con base en los argumentos dados en su propio escrito de alegaciones, el fiscal considera que debe desecharse el fundamento de los argumentos vertidos en este motivo del recurso.</w:t>
      </w:r>
    </w:p>
    <w:p w:rsidR="005728DD" w:rsidRDefault="005728DD" w:rsidP="005728DD">
      <w:pPr>
        <w:pStyle w:val="TextoNormal"/>
      </w:pPr>
    </w:p>
    <w:p w:rsidR="005728DD" w:rsidRDefault="005728DD" w:rsidP="005728DD">
      <w:pPr>
        <w:pStyle w:val="TextoNormal"/>
      </w:pPr>
      <w:r>
        <w:t xml:space="preserve">(iii) Respecto a los puntos de conexión con el caso </w:t>
      </w:r>
      <w:r w:rsidRPr="005728DD">
        <w:rPr>
          <w:i/>
        </w:rPr>
        <w:t>Rashad Hasanov</w:t>
      </w:r>
      <w:r>
        <w:t xml:space="preserve"> que afirma la demanda, opone que las alegaciones sobre las afirmaciones puntuales del discurso del fiscal general en 2016 no se trascriben con arreglo a la realidad, habiéndose ocupado en él de significar la función primaria que la Constitución asigna al Ministerio Fiscal en su art. 124. Tampoco comparte que se califique a la Audiencia Nacional o al Tribunal Supremo como tribunales especiales, excepcionales o parciales ni a los agentes de las fuerzas y cuerpos de seguridad del Estado que han actuado en funciones de policía judicial o genérica como “cuerpos policiales especiales”. Y alerta de que lo que se califica de informes de “organismos internacionales”, no lo son en sentido estricto, con argumentos coincidentes con los </w:t>
      </w:r>
      <w:r>
        <w:lastRenderedPageBreak/>
        <w:t>manejados por el abogado del Estado en tal sentido, y de que todos, salvo el de Amnesty International, son previos a la sentencia impugnada, de modo que difícilmente pueden servir de parámetro para sostener que la condena, entonces desconocida, vulnera derechos del Convenio.</w:t>
      </w:r>
    </w:p>
    <w:p w:rsidR="005728DD" w:rsidRDefault="005728DD" w:rsidP="005728DD">
      <w:pPr>
        <w:pStyle w:val="TextoNormal"/>
      </w:pPr>
    </w:p>
    <w:p w:rsidR="005728DD" w:rsidRDefault="005728DD" w:rsidP="005728DD">
      <w:pPr>
        <w:pStyle w:val="TextoNormal"/>
      </w:pPr>
      <w:r>
        <w:t>(iv) El fiscal recuerda por último que “ni en nuestro sistema constitucional ni en nuestro ordenamiento jurídico existe prohibición o limitación alguna para sostener tesis independentistas en los distintos territorios del Estado, ni para constituir partidos políticos que acojan un ideario independentista, ni para su expresión pública individual o colectiva, lo que resulta de toda evidencia, dada la ideología de los partidos políticos a los que pertenecen buena parte de los condenados y con los que muchos de ellos han concurrido con éxito a las elecciones al Parlamento Europeo y las Cortes Generales, partidos que despliegan su actividad sin ningún tipo de cortapisa dentro y fuera del correspondiente arco parlamentario. No existe persecución política ni penal alguna del independentismo. El recurrente podría haber defendido la pertinencia, la conveniencia o la aspiración de conseguir la independencia de Cataluña sin cometer hecho calificado de delito alguno a través de los cauces que el ordenamiento jurídico prevé para propugnarlo. La propia existencia de un movimiento independentista catalán, apoyado por sectores amplios de la sociedad catalana, que se manifiesta cada vez que lo estima conveniente en defensa de sus postulados ideológicos muestra bien a•1as claras que dicha ideología no es objeto de persecución ni de trato discriminatorio de ninguna índole, ni por el Tribunal Supremo ni por ninguna otra instancia judicial ni poder público del Estado”.</w:t>
      </w:r>
    </w:p>
    <w:p w:rsidR="005728DD" w:rsidRDefault="005728DD" w:rsidP="005728DD">
      <w:pPr>
        <w:pStyle w:val="TextoNormal"/>
      </w:pPr>
    </w:p>
    <w:p w:rsidR="005728DD" w:rsidRDefault="005728DD" w:rsidP="005728DD">
      <w:pPr>
        <w:pStyle w:val="TextoNormal"/>
      </w:pPr>
      <w:r>
        <w:t xml:space="preserve">11.2. </w:t>
      </w:r>
      <w:r w:rsidRPr="005728DD">
        <w:rPr>
          <w:i/>
        </w:rPr>
        <w:t>Pronunciamientos del órgano judicial</w:t>
      </w:r>
      <w:r>
        <w:t>.</w:t>
      </w:r>
    </w:p>
    <w:p w:rsidR="005728DD" w:rsidRDefault="005728DD" w:rsidP="005728DD">
      <w:pPr>
        <w:pStyle w:val="TextoNormal"/>
      </w:pPr>
    </w:p>
    <w:p w:rsidR="005728DD" w:rsidRDefault="005728DD" w:rsidP="005728DD">
      <w:pPr>
        <w:pStyle w:val="TextoNormal"/>
      </w:pPr>
      <w:r>
        <w:t>La defensa del señor Cuixart encabezó sus alegaciones de vulneración de derechos fundamentales en las cuestiones previas con la consideración global de que la salvaguardia de la indisolubilidad territorial española ha determinado un clima de excepcionalidad jurídica que margina los derechos fundamentales. A esta queja de un “contexto de vulneración de derechos fundamentales” responde el Tribunal Supremo en los puntos 2.2 y 2.3 del fundamento A) “vulneración de derechos fundamentales” de la sentencia impugnada, sin perjuicio de que sea asimismo pertinente atender a lo respondido por la sala de forma individual a las específicas denuncias de lesión de distintos derechos en los puntos siguientes, contenido que hemos expuesto en los fundamentos anteriores de esta resolución al hilo del examen de los correspondientes motivos de amparo.</w:t>
      </w:r>
    </w:p>
    <w:p w:rsidR="005728DD" w:rsidRDefault="005728DD" w:rsidP="005728DD">
      <w:pPr>
        <w:pStyle w:val="TextoNormal"/>
      </w:pPr>
    </w:p>
    <w:p w:rsidR="005728DD" w:rsidRDefault="005728DD" w:rsidP="005728DD">
      <w:pPr>
        <w:pStyle w:val="TextoNormal"/>
      </w:pPr>
      <w:r>
        <w:t>En el punto 2.2 aludido la sala recuerda, con carácter previo, que la protección de la unidad territorial no es una extravagancia de nuestro sistema constitucional, sino una previsión constitucional habitual, protegida incluso con mayor rigor que en la Constitución española, como acreditan las múltiples referencias de derecho comparado que recoge. Y en el apartado 2.3 rechaza la denuncia, a la que opone que:</w:t>
      </w:r>
    </w:p>
    <w:p w:rsidR="005728DD" w:rsidRDefault="005728DD" w:rsidP="005728DD">
      <w:pPr>
        <w:pStyle w:val="TextoNormal"/>
      </w:pPr>
    </w:p>
    <w:p w:rsidR="005728DD" w:rsidRDefault="005728DD" w:rsidP="005728DD">
      <w:pPr>
        <w:pStyle w:val="TextoNormal"/>
      </w:pPr>
      <w:r>
        <w:t>“Lo que la defensa del señor Cuixart denomina una sobreprotección de la unidad territorial no fue sino la legítima actuación de dos órganos jurisdiccionales —Juzgado de Instrucción núm. 13 de Barcelona y Tribunal Superior de Justicia de Cataluña— para la investigación y enjuiciamiento de unos hechos que, en el plano indiciario que se corresponde con el momento inicial de cualquier investigación, presentaban los caracteres de delito. Esa actua</w:t>
      </w:r>
      <w:r>
        <w:lastRenderedPageBreak/>
        <w:t>ción judicial no puede ser etiquetada como una reacción llamada a desbordar el Estado democrático de Derecho. Tampoco lo fueron las acciones promovidas por el Ministerio Fiscal. Ninguna anomalía democrática se esconde en el hecho de que los poderes del Estado, respetando sus respectivos espacios funcionales, pongan en marcha los mecanismos institucionales para la defensa de los valores propios de una sociedad democrática. Las órdenes impartidas por el fiscal o un órgano jurisdiccional a las fuerzas y cuerpos de seguridad del Estado nunca pueden ser tomadas como la expresión patológica de una política represiva. Las decisiones judiciales son susceptibles de recurso y los excesos que se cometan en ejecución de lo resuelto pueden ser —están siendo— objeto de investigación.</w:t>
      </w:r>
    </w:p>
    <w:p w:rsidR="005728DD" w:rsidRDefault="005728DD" w:rsidP="005728DD">
      <w:pPr>
        <w:pStyle w:val="TextoNormal"/>
      </w:pPr>
    </w:p>
    <w:p w:rsidR="005728DD" w:rsidRDefault="005728DD" w:rsidP="005728DD">
      <w:pPr>
        <w:pStyle w:val="TextoNormal"/>
      </w:pPr>
      <w:r>
        <w:t>En consecuencia, cuando para el análisis de las posibles vulneraciones de derechos fundamentales se arranca de un presupuesto contextualizador que todo lo explicaría, se está incurriendo en un error. Se nubla el análisis y se convierten las legítimas actuaciones del Estado en actos represivos llamados a subyugar un pueblo”.</w:t>
      </w:r>
    </w:p>
    <w:p w:rsidR="005728DD" w:rsidRDefault="005728DD" w:rsidP="005728DD">
      <w:pPr>
        <w:pStyle w:val="TextoNormal"/>
      </w:pPr>
    </w:p>
    <w:p w:rsidR="005728DD" w:rsidRDefault="005728DD" w:rsidP="005728DD">
      <w:pPr>
        <w:pStyle w:val="TextoNormal"/>
      </w:pPr>
      <w:r>
        <w:t>El recurrente invocó expresamente el art. 18 CEDH en el motivo del incidente de nulidad de actuaciones que sostiene la vulneración del derecho fundamental a la legalidad penal (arts. 25 CE y 7 CEDH) con repercusión en los derechos fundamentales de reunión (arts. 21 CE y 11 CEDH), libertad de expresión (arts. 20 CE y 10 CEDH) y libertad ideológica (arts. 16 CE y 9 CEDH) que vincula con la prohibición de abuso de la restricción de derechos que contiene tal precepto. No obstante, en el desarrollo del motivo no existe alusión alguna a la cláusula del art. 18 CEDH, que tampoco se examina expresamente por el Tribunal Supremo en su respuesta desestimatoria del motivo debido a que no aprecia las lesiones denunciadas por las razones que se han ido consignando en los anteriores fundamentos de nuestra resolución.</w:t>
      </w:r>
    </w:p>
    <w:p w:rsidR="005728DD" w:rsidRDefault="005728DD" w:rsidP="005728DD">
      <w:pPr>
        <w:pStyle w:val="TextoNormal"/>
      </w:pPr>
    </w:p>
    <w:p w:rsidR="005728DD" w:rsidRDefault="005728DD" w:rsidP="005728DD">
      <w:pPr>
        <w:pStyle w:val="TextoNormal"/>
      </w:pPr>
      <w:r>
        <w:t xml:space="preserve">11.3. </w:t>
      </w:r>
      <w:r w:rsidRPr="005728DD">
        <w:rPr>
          <w:i/>
        </w:rPr>
        <w:t>El art. 18 CEDH: doctrina y práctica del Tribunal Europeo de Derechos Humanos</w:t>
      </w:r>
      <w:r>
        <w:t>.</w:t>
      </w:r>
    </w:p>
    <w:p w:rsidR="005728DD" w:rsidRDefault="005728DD" w:rsidP="005728DD">
      <w:pPr>
        <w:pStyle w:val="TextoNormal"/>
      </w:pPr>
    </w:p>
    <w:p w:rsidR="005728DD" w:rsidRDefault="005728DD" w:rsidP="005728DD">
      <w:pPr>
        <w:pStyle w:val="TextoNormal"/>
      </w:pPr>
      <w:r>
        <w:t>A) Doctrina.</w:t>
      </w:r>
    </w:p>
    <w:p w:rsidR="005728DD" w:rsidRDefault="005728DD" w:rsidP="005728DD">
      <w:pPr>
        <w:pStyle w:val="TextoNormal"/>
      </w:pPr>
    </w:p>
    <w:p w:rsidR="005728DD" w:rsidRDefault="005728DD" w:rsidP="005728DD">
      <w:pPr>
        <w:pStyle w:val="TextoNormal"/>
      </w:pPr>
      <w:r>
        <w:t>Bajo la rúbrica “limitación de la aplicación de las restricciones de derechos”, el art. 18 CEDH establece que “[l]as restricciones que, en los términos del presente Convenio, se impongan a los citados derechos y libertades no podrán ser aplicadas más que con la finalidad para la cual hayan sido previstas”.</w:t>
      </w:r>
    </w:p>
    <w:p w:rsidR="005728DD" w:rsidRDefault="005728DD" w:rsidP="005728DD">
      <w:pPr>
        <w:pStyle w:val="TextoNormal"/>
      </w:pPr>
    </w:p>
    <w:p w:rsidR="005728DD" w:rsidRDefault="005728DD" w:rsidP="005728DD">
      <w:pPr>
        <w:pStyle w:val="TextoNormal"/>
      </w:pPr>
      <w:r>
        <w:t xml:space="preserve">La doctrina sobre el significado, alcance y criterios de aplicación del precepto ha sido objeto de una importante actualización en la STEDH de 28 de noviembre de 2017, [GS], asunto </w:t>
      </w:r>
      <w:r w:rsidRPr="005728DD">
        <w:rPr>
          <w:i/>
        </w:rPr>
        <w:t>Merabishvili c. Georgia</w:t>
      </w:r>
      <w:r>
        <w:t>, donde el Tribunal Europeo de Derechos Humanos, después de analizar su jurisprudencia previa, profundiza en la interpretación del art. 18 CEDH para enriquecerla y modificarla en una línea luego seguida en varias resoluciones recientes. De manera señalada, abandona la presunción de buena fe de las autoridades nacionales de la que partía en su análisis así como la práctica de centrar su examen en la existencia de una prueba irrefutable de mala fe (§ 282 a 284, 310 y ss.).</w:t>
      </w:r>
    </w:p>
    <w:p w:rsidR="005728DD" w:rsidRDefault="005728DD" w:rsidP="005728DD">
      <w:pPr>
        <w:pStyle w:val="TextoNormal"/>
      </w:pPr>
    </w:p>
    <w:p w:rsidR="005728DD" w:rsidRDefault="005728DD" w:rsidP="005728DD">
      <w:pPr>
        <w:pStyle w:val="TextoNormal"/>
      </w:pPr>
      <w:r>
        <w:t>Dado que la alegación es novedosa en este tribunal, resulta necesario detenerse en la exposición de la doctrina actual sobre la cláusula del art. 18 CEDH, que presenta los siguientes rasgos.</w:t>
      </w:r>
    </w:p>
    <w:p w:rsidR="005728DD" w:rsidRDefault="005728DD" w:rsidP="005728DD">
      <w:pPr>
        <w:pStyle w:val="TextoNormal"/>
      </w:pPr>
    </w:p>
    <w:p w:rsidR="005728DD" w:rsidRDefault="005728DD" w:rsidP="005728DD">
      <w:pPr>
        <w:pStyle w:val="TextoNormal"/>
      </w:pPr>
      <w:r>
        <w:lastRenderedPageBreak/>
        <w:t>a) El art. 18 CEDH, cuyo origen vincula el tribunal con la figura del Derecho administrativo de la desviación de poder (</w:t>
      </w:r>
      <w:r w:rsidRPr="005728DD">
        <w:rPr>
          <w:i/>
        </w:rPr>
        <w:t>Merabishvili c. Georgia</w:t>
      </w:r>
      <w:r>
        <w:t>, 2017, § 306), carece de existencia independiente, de modo que solo puede aplicarse de forma conjunta con un precepto que establezca un derecho y en tanto no sea un derecho absoluto —como la prohibición de la tortura—, sino que admita restricciones (</w:t>
      </w:r>
      <w:r w:rsidRPr="005728DD">
        <w:rPr>
          <w:i/>
        </w:rPr>
        <w:t>Merabishvili c. Georgia</w:t>
      </w:r>
      <w:r>
        <w:t>, 2017, § 287 y 290). Como es sabido, diversos preceptos del Convenio no solo enuncian derechos, sino que expresan también las condiciones en que pueden limitarse. La previsión del art. 18 CEDH opera como complemento de esas cláusulas expresas de fines que pueden legitimar una injerencia en el derecho en cuestión</w:t>
      </w:r>
      <w:r w:rsidRPr="005728DD">
        <w:rPr>
          <w:i/>
        </w:rPr>
        <w:t xml:space="preserve"> (Merabishvili c. Georg</w:t>
      </w:r>
      <w:r>
        <w:t>ia, 2017, § 283 y 293).</w:t>
      </w:r>
    </w:p>
    <w:p w:rsidR="005728DD" w:rsidRDefault="005728DD" w:rsidP="005728DD">
      <w:pPr>
        <w:pStyle w:val="TextoNormal"/>
      </w:pPr>
    </w:p>
    <w:p w:rsidR="005728DD" w:rsidRDefault="005728DD" w:rsidP="005728DD">
      <w:pPr>
        <w:pStyle w:val="TextoNormal"/>
      </w:pPr>
      <w:r>
        <w:t xml:space="preserve">La jurisprudencia europea ha examinado quejas de desviación de poder en relación con los arts. 5, 6, 8, 9, 10 y 11 CEDH, o el art. 1 del Protocolo número 1, si bien ha constatado una violación del art. 18 CEDH de modo muy predominante en conjunción con el derecho a la libertad del art. 5 CEDH (SSTEDH de 19 de mayo de 2004, asunto </w:t>
      </w:r>
      <w:r w:rsidRPr="005728DD">
        <w:rPr>
          <w:i/>
        </w:rPr>
        <w:t>Gusinskiy c. Rusia</w:t>
      </w:r>
      <w:r>
        <w:t xml:space="preserve">; de 13 de noviembre de 2007, asunto </w:t>
      </w:r>
      <w:r w:rsidRPr="005728DD">
        <w:rPr>
          <w:i/>
        </w:rPr>
        <w:t>Cebotari c. Moldavia</w:t>
      </w:r>
      <w:r>
        <w:t xml:space="preserve">; de 3 de julio de 2012, asunto </w:t>
      </w:r>
      <w:r w:rsidRPr="005728DD">
        <w:rPr>
          <w:i/>
        </w:rPr>
        <w:t>Lutsenko c. Ucrania</w:t>
      </w:r>
      <w:r>
        <w:t xml:space="preserve">; de 30 de abril de 2013, asunto </w:t>
      </w:r>
      <w:r w:rsidRPr="005728DD">
        <w:rPr>
          <w:i/>
        </w:rPr>
        <w:t>Tymoshenko c. Ucrania</w:t>
      </w:r>
      <w:r>
        <w:t xml:space="preserve">; de 22 de mayo de 2014, asunto </w:t>
      </w:r>
      <w:r w:rsidRPr="005728DD">
        <w:rPr>
          <w:i/>
        </w:rPr>
        <w:t>Ilgar</w:t>
      </w:r>
      <w:r>
        <w:t xml:space="preserve"> </w:t>
      </w:r>
      <w:r w:rsidRPr="005728DD">
        <w:rPr>
          <w:i/>
        </w:rPr>
        <w:t>Mammadov c. Azerbaiyán</w:t>
      </w:r>
      <w:r>
        <w:t xml:space="preserve">; de 17 de marzo de 2016, asunto </w:t>
      </w:r>
      <w:r w:rsidRPr="005728DD">
        <w:rPr>
          <w:i/>
        </w:rPr>
        <w:t>Rasul Jafarov c. Azerbaiyán</w:t>
      </w:r>
      <w:r>
        <w:t xml:space="preserve">; de 28 de noviembre de 2017, asunto </w:t>
      </w:r>
      <w:r w:rsidRPr="005728DD">
        <w:rPr>
          <w:i/>
        </w:rPr>
        <w:t>Merabishvili c. Georgia</w:t>
      </w:r>
      <w:r>
        <w:t xml:space="preserve"> [GS]; de 19 de abril de 2018, asunto </w:t>
      </w:r>
      <w:r w:rsidRPr="005728DD">
        <w:rPr>
          <w:i/>
        </w:rPr>
        <w:t>Mammadli c. Azerbaiyán</w:t>
      </w:r>
      <w:r>
        <w:t xml:space="preserve">; de 7 de junio de 2018, asunto </w:t>
      </w:r>
      <w:r w:rsidRPr="005728DD">
        <w:rPr>
          <w:i/>
        </w:rPr>
        <w:t>Rashad Hasanov y otros c. Azerbaiyán</w:t>
      </w:r>
      <w:r>
        <w:t xml:space="preserve">; de 20 de septiembre de 2018, asunto </w:t>
      </w:r>
      <w:r w:rsidRPr="005728DD">
        <w:rPr>
          <w:i/>
        </w:rPr>
        <w:t>Aliyev c. Azerbaiyán</w:t>
      </w:r>
      <w:r>
        <w:t xml:space="preserve">; de 15 de noviembre de 2018, asunto </w:t>
      </w:r>
      <w:r w:rsidRPr="005728DD">
        <w:rPr>
          <w:i/>
        </w:rPr>
        <w:t>Navalnyy c. Rusia</w:t>
      </w:r>
      <w:r>
        <w:t xml:space="preserve"> [GS], § 176; de 9 de abril de 2019, asunto </w:t>
      </w:r>
      <w:r w:rsidRPr="005728DD">
        <w:rPr>
          <w:i/>
        </w:rPr>
        <w:t>Navalnyy c. Rusia</w:t>
      </w:r>
      <w:r>
        <w:t xml:space="preserve"> —núm. 2—; de 7 de noviembre de 2019, asunto </w:t>
      </w:r>
      <w:r w:rsidRPr="005728DD">
        <w:rPr>
          <w:i/>
        </w:rPr>
        <w:t>Natig Jafarov c. Azerbaiyán</w:t>
      </w:r>
      <w:r>
        <w:t xml:space="preserve">; de 10 de diciembre de 2019, asunto </w:t>
      </w:r>
      <w:r w:rsidRPr="005728DD">
        <w:rPr>
          <w:i/>
        </w:rPr>
        <w:t>Kavala c. Turquía</w:t>
      </w:r>
      <w:r>
        <w:t xml:space="preserve">; de 13 de febrero de 2020, asunto </w:t>
      </w:r>
      <w:r w:rsidRPr="005728DD">
        <w:rPr>
          <w:i/>
        </w:rPr>
        <w:t>Ibrahimov y Mammadov c. Azerbaiyán</w:t>
      </w:r>
      <w:r>
        <w:t xml:space="preserve">, § 158; de 27 de febrero de 2020, asunto </w:t>
      </w:r>
      <w:r w:rsidRPr="005728DD">
        <w:rPr>
          <w:i/>
        </w:rPr>
        <w:t>Khadija Ismayilova c. Azerbaiyán</w:t>
      </w:r>
      <w:r>
        <w:t xml:space="preserve"> —núm. 2—; de 16 de julio de 2020, asunto </w:t>
      </w:r>
      <w:r w:rsidRPr="005728DD">
        <w:rPr>
          <w:i/>
        </w:rPr>
        <w:t>Yunusova y Yunusov c. Azerbaiyán</w:t>
      </w:r>
      <w:r>
        <w:t xml:space="preserve"> —núm. 2—; de 22 de diciembre de 2020, asunto </w:t>
      </w:r>
      <w:r w:rsidRPr="005728DD">
        <w:rPr>
          <w:i/>
        </w:rPr>
        <w:t>Selahattin Demirtaş c. Turquía</w:t>
      </w:r>
      <w:r>
        <w:t xml:space="preserve"> —núm. 2— [GS]; de 18 de febrero de 2021, asunto </w:t>
      </w:r>
      <w:r w:rsidRPr="005728DD">
        <w:rPr>
          <w:i/>
        </w:rPr>
        <w:t>Azizov y Novruzlu c. Azerbaiyán</w:t>
      </w:r>
      <w:r>
        <w:t>) y mucho más puntualmente en relación con el derecho al respeto a la vida privada y familiar del art. 8 CEDH (</w:t>
      </w:r>
      <w:r w:rsidRPr="005728DD">
        <w:rPr>
          <w:i/>
        </w:rPr>
        <w:t>Aliyev c. Azerbaiyán</w:t>
      </w:r>
      <w:r>
        <w:t>, 2018) y la libertad de reunión y asociación del art. 11 CEDH</w:t>
      </w:r>
      <w:r w:rsidRPr="005728DD">
        <w:rPr>
          <w:i/>
        </w:rPr>
        <w:t xml:space="preserve"> (Navalnyy c. Rus</w:t>
      </w:r>
      <w:r>
        <w:t>ia [GS], 2018).</w:t>
      </w:r>
    </w:p>
    <w:p w:rsidR="005728DD" w:rsidRDefault="005728DD" w:rsidP="005728DD">
      <w:pPr>
        <w:pStyle w:val="TextoNormal"/>
      </w:pPr>
    </w:p>
    <w:p w:rsidR="005728DD" w:rsidRDefault="005728DD" w:rsidP="005728DD">
      <w:pPr>
        <w:pStyle w:val="TextoNormal"/>
      </w:pPr>
      <w:r>
        <w:t>El carácter relacional del precepto no impide que pueda verse infringido aun cuando no haya una vulneración del precepto material, ya que el art. 18 CEDH no se limita a aclarar el alcance las cláusulas de restricción recogidas en los arts. 8 a 11 CEDH o en el art. 5.1 CEDH, sino que prohíbe expresamente la limitación de los derechos para fines no previstos en el Convenio; y, en tal medida, es autónomo (</w:t>
      </w:r>
      <w:r w:rsidRPr="005728DD">
        <w:rPr>
          <w:i/>
        </w:rPr>
        <w:t>Merabishvili c. Georgia</w:t>
      </w:r>
      <w:r>
        <w:t xml:space="preserve">, § 288; </w:t>
      </w:r>
      <w:r w:rsidRPr="005728DD">
        <w:rPr>
          <w:i/>
        </w:rPr>
        <w:t>Aliyev c. Azerbaiyán</w:t>
      </w:r>
      <w:r>
        <w:t xml:space="preserve">, 2018, § 198, </w:t>
      </w:r>
      <w:r w:rsidRPr="005728DD">
        <w:rPr>
          <w:i/>
        </w:rPr>
        <w:t>y Navalnyy c. Rus</w:t>
      </w:r>
      <w:r>
        <w:t>ia [GS], 2018, § 164).</w:t>
      </w:r>
    </w:p>
    <w:p w:rsidR="005728DD" w:rsidRDefault="005728DD" w:rsidP="005728DD">
      <w:pPr>
        <w:pStyle w:val="TextoNormal"/>
      </w:pPr>
    </w:p>
    <w:p w:rsidR="005728DD" w:rsidRDefault="005728DD" w:rsidP="005728DD">
      <w:pPr>
        <w:pStyle w:val="TextoNormal"/>
      </w:pPr>
      <w:r>
        <w:t>b) El examen adicional o por separado de una restricción desde la óptica del art. 18 CEDH, aun cuando no cumpla todos los requisitos fijados en la correspondiente disposición sustantiva y la medida sea, por tanto, ilegítima, solo se justifica si la denuncia de una injerencia desviada de las finalidades convencionales se erige en un aspecto fundamental del caso (</w:t>
      </w:r>
      <w:r w:rsidRPr="005728DD">
        <w:rPr>
          <w:i/>
        </w:rPr>
        <w:t>Merabishvili c. Georgia</w:t>
      </w:r>
      <w:r>
        <w:t xml:space="preserve"> [GS], 2017, § 291; </w:t>
      </w:r>
      <w:r w:rsidRPr="005728DD">
        <w:rPr>
          <w:i/>
        </w:rPr>
        <w:t>Navalnyy c. Rusia</w:t>
      </w:r>
      <w:r>
        <w:t xml:space="preserve"> [GS], 2018, § 164; </w:t>
      </w:r>
      <w:r w:rsidRPr="005728DD">
        <w:rPr>
          <w:i/>
        </w:rPr>
        <w:t>Kavala c. Turquía</w:t>
      </w:r>
      <w:r>
        <w:t xml:space="preserve">, 2019, § 198; </w:t>
      </w:r>
      <w:r w:rsidRPr="005728DD">
        <w:rPr>
          <w:i/>
        </w:rPr>
        <w:t>Ibrahimov y Mammadov c. Azerbaiyán</w:t>
      </w:r>
      <w:r>
        <w:t>, 2020, § 150). No será así si las alegaciones son esencialmente las mismas que las que defienden la indebida injerencia en el derecho desde el precepto sustantivo en cuestión, dado que la cuestión se examina desde ese prisma (STEDH de 19 de noviembre de 2019, asunt</w:t>
      </w:r>
      <w:r w:rsidRPr="005728DD">
        <w:rPr>
          <w:i/>
        </w:rPr>
        <w:t>o Razvozzhayev c. Rusia y Ucrania y Udaltsov c. Rus</w:t>
      </w:r>
      <w:r>
        <w:t>ia, § 305).</w:t>
      </w:r>
    </w:p>
    <w:p w:rsidR="005728DD" w:rsidRDefault="005728DD" w:rsidP="005728DD">
      <w:pPr>
        <w:pStyle w:val="TextoNormal"/>
      </w:pPr>
    </w:p>
    <w:p w:rsidR="005728DD" w:rsidRDefault="005728DD" w:rsidP="005728DD">
      <w:pPr>
        <w:pStyle w:val="TextoNormal"/>
      </w:pPr>
      <w:r>
        <w:t>c) Una finalidad ulterior es una finalidad que no está estipulada por el precepto pertinente del Convenio y que es diferente de la proclamada por las autoridades (o la que puede inferirse razonablemente del contexto) (</w:t>
      </w:r>
      <w:r w:rsidRPr="005728DD">
        <w:rPr>
          <w:i/>
        </w:rPr>
        <w:t>Merabishvili c. Georgia</w:t>
      </w:r>
      <w:r>
        <w:t xml:space="preserve"> [GS], 2017, § 292; STEDH de 31 de mayo de 2011, </w:t>
      </w:r>
      <w:r w:rsidRPr="005728DD">
        <w:rPr>
          <w:i/>
        </w:rPr>
        <w:t>Khodorkovskiy c. Rusia</w:t>
      </w:r>
      <w:r>
        <w:t xml:space="preserve">, § 255; </w:t>
      </w:r>
      <w:r w:rsidRPr="005728DD">
        <w:rPr>
          <w:i/>
        </w:rPr>
        <w:t>Lutsenko c. Ucrania</w:t>
      </w:r>
      <w:r>
        <w:t xml:space="preserve">, 2012, § 106; </w:t>
      </w:r>
      <w:r w:rsidRPr="005728DD">
        <w:rPr>
          <w:i/>
        </w:rPr>
        <w:t>Timoshenko c. Ucrania</w:t>
      </w:r>
      <w:r>
        <w:t xml:space="preserve">, 2013, § 294; </w:t>
      </w:r>
      <w:r w:rsidRPr="005728DD">
        <w:rPr>
          <w:i/>
        </w:rPr>
        <w:t>Ilgar Mammadov c. Azerbaiyán</w:t>
      </w:r>
      <w:r>
        <w:t>, 2014, § 137</w:t>
      </w:r>
      <w:r w:rsidRPr="005728DD">
        <w:rPr>
          <w:i/>
        </w:rPr>
        <w:t>; Rasul Jafarov c. Azerbaiy</w:t>
      </w:r>
      <w:r>
        <w:t>án, 2016, § 153).</w:t>
      </w:r>
    </w:p>
    <w:p w:rsidR="005728DD" w:rsidRDefault="005728DD" w:rsidP="005728DD">
      <w:pPr>
        <w:pStyle w:val="TextoNormal"/>
      </w:pPr>
    </w:p>
    <w:p w:rsidR="005728DD" w:rsidRDefault="005728DD" w:rsidP="005728DD">
      <w:pPr>
        <w:pStyle w:val="TextoNormal"/>
      </w:pPr>
      <w:r>
        <w:t xml:space="preserve">En la jurisprudencia europea se ha examinado la alegación sobre fines ulteriores (i) de intimidación y presión para obtener información u otras ventajas (por ejemplo, </w:t>
      </w:r>
      <w:r w:rsidRPr="005728DD">
        <w:rPr>
          <w:i/>
        </w:rPr>
        <w:t>Gusinskiy c. Rusia</w:t>
      </w:r>
      <w:r>
        <w:t xml:space="preserve">, 2004, § 76; </w:t>
      </w:r>
      <w:r w:rsidRPr="005728DD">
        <w:rPr>
          <w:i/>
        </w:rPr>
        <w:t>Cebotari c. Moldavia</w:t>
      </w:r>
      <w:r>
        <w:t xml:space="preserve">, 2007, § 53; </w:t>
      </w:r>
      <w:r w:rsidRPr="005728DD">
        <w:rPr>
          <w:i/>
        </w:rPr>
        <w:t>Merabishvili c. Georgia</w:t>
      </w:r>
      <w:r>
        <w:t xml:space="preserve"> [GS], 2017, § 353); (ii) de castigo, silenciamiento y/o impedimento de actividades (por ejemplo, </w:t>
      </w:r>
      <w:r w:rsidRPr="005728DD">
        <w:rPr>
          <w:i/>
        </w:rPr>
        <w:t>Lutsenko c. Ucrania</w:t>
      </w:r>
      <w:r>
        <w:t xml:space="preserve">, 2012, § 109; </w:t>
      </w:r>
      <w:r w:rsidRPr="005728DD">
        <w:rPr>
          <w:i/>
        </w:rPr>
        <w:t>Tymoshenko c. Ucrania</w:t>
      </w:r>
      <w:r>
        <w:t xml:space="preserve">, 2013, § 299; </w:t>
      </w:r>
      <w:r w:rsidRPr="005728DD">
        <w:rPr>
          <w:i/>
        </w:rPr>
        <w:t>Rasul Jafarov c. Azerbaiyán</w:t>
      </w:r>
      <w:r>
        <w:t xml:space="preserve">, 2016, § 162; </w:t>
      </w:r>
      <w:r w:rsidRPr="005728DD">
        <w:rPr>
          <w:i/>
        </w:rPr>
        <w:t>Mammadli c. Azerbaiyán</w:t>
      </w:r>
      <w:r>
        <w:t xml:space="preserve">, 2018, § 104; </w:t>
      </w:r>
      <w:r w:rsidRPr="005728DD">
        <w:rPr>
          <w:i/>
        </w:rPr>
        <w:t>Rashad Hasanov y otros c. Azerbaiyán</w:t>
      </w:r>
      <w:r>
        <w:t xml:space="preserve">, 2018, § 125; </w:t>
      </w:r>
      <w:r w:rsidRPr="005728DD">
        <w:rPr>
          <w:i/>
        </w:rPr>
        <w:t>Natig Jafarov c. Azerbaiyán</w:t>
      </w:r>
      <w:r>
        <w:t xml:space="preserve">, 2019, § 70; </w:t>
      </w:r>
      <w:r w:rsidRPr="005728DD">
        <w:rPr>
          <w:i/>
        </w:rPr>
        <w:t>Kavala c. Turquía</w:t>
      </w:r>
      <w:r>
        <w:t xml:space="preserve">, 2019, § 232; o </w:t>
      </w:r>
      <w:r w:rsidRPr="005728DD">
        <w:rPr>
          <w:i/>
        </w:rPr>
        <w:t>Ibrahimov y Mammadov c. Azerbaiyán</w:t>
      </w:r>
      <w:r>
        <w:t xml:space="preserve">, 2020, § 157); (iii) de motivación política y/o económica subyacente al proceso penal y ulteriores (por ejemplo, </w:t>
      </w:r>
      <w:r w:rsidRPr="005728DD">
        <w:rPr>
          <w:i/>
        </w:rPr>
        <w:t>Khodorkovskiy c. Rusia</w:t>
      </w:r>
      <w:r>
        <w:t xml:space="preserve">, 2011, § 254; SSTEDH de 20 de septiembre de 2011, asunto </w:t>
      </w:r>
      <w:r w:rsidRPr="005728DD">
        <w:rPr>
          <w:i/>
        </w:rPr>
        <w:t>OAO Neftyanaya Kompaniya Yukos c. Rusia</w:t>
      </w:r>
      <w:r>
        <w:t xml:space="preserve">, § 665; de 25 de julio de 2013, asunto </w:t>
      </w:r>
      <w:r w:rsidRPr="005728DD">
        <w:rPr>
          <w:i/>
        </w:rPr>
        <w:t>Khodorkovskiy y Lebedev c. Rusia</w:t>
      </w:r>
      <w:r>
        <w:t xml:space="preserve">, § 889; </w:t>
      </w:r>
      <w:r w:rsidRPr="005728DD">
        <w:rPr>
          <w:i/>
        </w:rPr>
        <w:t>Merabishvili c. Georgia</w:t>
      </w:r>
      <w:r>
        <w:t xml:space="preserve"> [GS], 2017, § 332; SSTEDH de 10 de octubre de 2019, asunto </w:t>
      </w:r>
      <w:r w:rsidRPr="005728DD">
        <w:rPr>
          <w:i/>
        </w:rPr>
        <w:t>Batiashvili c. Georgia</w:t>
      </w:r>
      <w:r>
        <w:t xml:space="preserve">, § 101 a 103, o de 4 de julio de 2019, </w:t>
      </w:r>
      <w:r w:rsidRPr="005728DD">
        <w:rPr>
          <w:i/>
        </w:rPr>
        <w:t>Korban c. Ucrania</w:t>
      </w:r>
      <w:r>
        <w:t>, § 203), y (iv) de supresión del pluralismo político (</w:t>
      </w:r>
      <w:r w:rsidRPr="005728DD">
        <w:rPr>
          <w:i/>
        </w:rPr>
        <w:t>Navalnyy c. Rusia</w:t>
      </w:r>
      <w:r>
        <w:t xml:space="preserve"> [GS], 2018, § 175, </w:t>
      </w:r>
      <w:r w:rsidRPr="005728DD">
        <w:rPr>
          <w:i/>
        </w:rPr>
        <w:t>y Navalnyy c. Rus</w:t>
      </w:r>
      <w:r>
        <w:t>ia —núm. 2—, 2019, § 98).</w:t>
      </w:r>
    </w:p>
    <w:p w:rsidR="005728DD" w:rsidRDefault="005728DD" w:rsidP="005728DD">
      <w:pPr>
        <w:pStyle w:val="TextoNormal"/>
      </w:pPr>
    </w:p>
    <w:p w:rsidR="005728DD" w:rsidRDefault="005728DD" w:rsidP="005728DD">
      <w:pPr>
        <w:pStyle w:val="TextoNormal"/>
      </w:pPr>
      <w:r>
        <w:t>d) Las restricciones de derechos pueden obedecer a una sola finalidad no contemplada en la norma convencional aplicable, pero es posible también que respondan tanto a un propósito ulterior como a uno previsto en el Convenio, supuesto en el que corresponde determinar la finalidad predominante (</w:t>
      </w:r>
      <w:r w:rsidRPr="005728DD">
        <w:rPr>
          <w:i/>
        </w:rPr>
        <w:t>Merabishvili c. Georgia</w:t>
      </w:r>
      <w:r>
        <w:t xml:space="preserve"> [GS], 2017, § 292 y 309). En tal caso, ni la mera presencia de una finalidad no comprendida en la cláusula convencional de restricción determina la infracción del art. 18 CEDH, ni la constatación de que la restricción persigue una finalidad dispuesta en el Convenio excluye necesariamente la infracción del art. 18 CEDH (</w:t>
      </w:r>
      <w:r w:rsidRPr="005728DD">
        <w:rPr>
          <w:i/>
        </w:rPr>
        <w:t>Merabishvili c. Georgia</w:t>
      </w:r>
      <w:r>
        <w:t xml:space="preserve"> [GS], 2017, § 303-304). Resulta decisivo fijar la finalidad predominante, que se define como aquella que realmente impulsó a las autoridades y fue el objetivo principal de su actuación (</w:t>
      </w:r>
      <w:r w:rsidRPr="005728DD">
        <w:rPr>
          <w:i/>
        </w:rPr>
        <w:t>Merabishvili c. Georgia</w:t>
      </w:r>
      <w:r>
        <w:t xml:space="preserve"> [GC], 2017, § 303; </w:t>
      </w:r>
      <w:r w:rsidRPr="005728DD">
        <w:rPr>
          <w:i/>
        </w:rPr>
        <w:t>Navalnyy c. Rusia</w:t>
      </w:r>
      <w:r>
        <w:t xml:space="preserve"> [GS], 2018, § 165, y </w:t>
      </w:r>
      <w:r w:rsidRPr="005728DD">
        <w:rPr>
          <w:i/>
        </w:rPr>
        <w:t>Korban c. Ucrania</w:t>
      </w:r>
      <w:r>
        <w:t>, 2019, § 211 a 213). Si tal propósito predominante es el fin ulterior, aun cuando la restricción persiga también un objetivo compatible con las previsiones del Convenio, habrá violación del art. 18 CEDH, porque la finalidad prevista, aunque esté presente, es una mera cobertura o tapadera (</w:t>
      </w:r>
      <w:r w:rsidRPr="005728DD">
        <w:rPr>
          <w:i/>
        </w:rPr>
        <w:t>simply a cover</w:t>
      </w:r>
      <w:r>
        <w:t>) que permite a las autoridades alcanzar un propósito ajeno, que era el objetivo primordial de su actuación. Por el contrario, si el fin contemplado en el Convenio era el principal, el que verdaderamente movía a las autoridades, aunque también quisieran obtener algún otro provecho, la restricción no es contraria al art. 18 CEDH (</w:t>
      </w:r>
      <w:r w:rsidRPr="005728DD">
        <w:rPr>
          <w:i/>
        </w:rPr>
        <w:t>Merabishvili c. Georgia</w:t>
      </w:r>
      <w:r>
        <w:t xml:space="preserve"> [GC], 2017, § 305 y 318; </w:t>
      </w:r>
      <w:r w:rsidRPr="005728DD">
        <w:rPr>
          <w:i/>
        </w:rPr>
        <w:t>Navalnyy c. Rusia</w:t>
      </w:r>
      <w:r>
        <w:t xml:space="preserve"> [GS], 2018, § 165, </w:t>
      </w:r>
      <w:r w:rsidRPr="005728DD">
        <w:rPr>
          <w:i/>
        </w:rPr>
        <w:t>y Korban c. Ucran</w:t>
      </w:r>
      <w:r>
        <w:t>ia, 2019, § 211 a 213).</w:t>
      </w:r>
    </w:p>
    <w:p w:rsidR="005728DD" w:rsidRDefault="005728DD" w:rsidP="005728DD">
      <w:pPr>
        <w:pStyle w:val="TextoNormal"/>
      </w:pPr>
    </w:p>
    <w:p w:rsidR="005728DD" w:rsidRDefault="005728DD" w:rsidP="005728DD">
      <w:pPr>
        <w:pStyle w:val="TextoNormal"/>
      </w:pPr>
      <w:r>
        <w:t xml:space="preserve">e) La existencia de un propósito ulterior y si fue la finalidad predominante se infiere de todas las circunstancias del caso, admitiéndose tanto prueba directa como indiciaria, a la que se aplica el estándar de prueba común ante el tribunal europeo. No se aplica ya la presunción general de buena fe de las autoridades nacionales ni un estándar más estricto. En la </w:t>
      </w:r>
      <w:r>
        <w:lastRenderedPageBreak/>
        <w:t>valoración se atiende a la naturaleza y el grado de reprochabilidad de la supuesta finalidad ulterior y se tiene presente que el Convenio fue concebido para mantener y promover los ideales y valores de una sociedad democrática regida por el Estado de Derecho (</w:t>
      </w:r>
      <w:r w:rsidRPr="005728DD">
        <w:rPr>
          <w:i/>
        </w:rPr>
        <w:t>Merabishvili c. Georgia</w:t>
      </w:r>
      <w:r>
        <w:t xml:space="preserve"> [GS], 2017, § 307 y 310; </w:t>
      </w:r>
      <w:r w:rsidRPr="005728DD">
        <w:rPr>
          <w:i/>
        </w:rPr>
        <w:t>Navalnyy c. Rusia</w:t>
      </w:r>
      <w:r>
        <w:t xml:space="preserve"> [GS], 2018, § 165; </w:t>
      </w:r>
      <w:r w:rsidRPr="005728DD">
        <w:rPr>
          <w:i/>
        </w:rPr>
        <w:t>Korban c. Ucrania</w:t>
      </w:r>
      <w:r>
        <w:t xml:space="preserve">, 2019, § 214, y STEDH de 13 de abril de 2021, asunto </w:t>
      </w:r>
      <w:r w:rsidRPr="005728DD">
        <w:rPr>
          <w:i/>
        </w:rPr>
        <w:t>Ahmet Hüsrev Altan c. Turquía</w:t>
      </w:r>
      <w:r>
        <w:t>, § 236). Se examina el impacto de la restricción impugnada y el alcance de la gravedad de la finalidad ulterior que se denuncie. En particular, si la medida afecta solo al solicitante o a sus compañeros activistas o a sus apoyos o a la esencia misma de la democracia como sistema de organización de la sociedad en la que la libertad individual solo puede limitarse en aras del interés general (</w:t>
      </w:r>
      <w:r w:rsidRPr="005728DD">
        <w:rPr>
          <w:i/>
        </w:rPr>
        <w:t>Navalnyy c. Rusia</w:t>
      </w:r>
      <w:r>
        <w:t xml:space="preserve"> [GS], 2018, § 173 a 174; </w:t>
      </w:r>
      <w:r w:rsidRPr="005728DD">
        <w:rPr>
          <w:i/>
        </w:rPr>
        <w:t>Natig Jafarov c. Azerbaiyán</w:t>
      </w:r>
      <w:r>
        <w:t xml:space="preserve">, 2019, § 69, </w:t>
      </w:r>
      <w:r w:rsidRPr="005728DD">
        <w:rPr>
          <w:i/>
        </w:rPr>
        <w:t>y Kavala c. Turqu</w:t>
      </w:r>
      <w:r>
        <w:t>ía, 2019, § 231).</w:t>
      </w:r>
    </w:p>
    <w:p w:rsidR="005728DD" w:rsidRDefault="005728DD" w:rsidP="005728DD">
      <w:pPr>
        <w:pStyle w:val="TextoNormal"/>
      </w:pPr>
    </w:p>
    <w:p w:rsidR="005728DD" w:rsidRDefault="005728DD" w:rsidP="005728DD">
      <w:pPr>
        <w:pStyle w:val="TextoNormal"/>
      </w:pPr>
      <w:r>
        <w:t>En situaciones continuadas o ante restricciones reiteradas, las finalidades que motivan la limitación pueden variar y, con ello, la valoración de la finalidad predominante, por lo que debe revisarse cuál es esa finalidad a lo largo del tiempo (</w:t>
      </w:r>
      <w:r w:rsidRPr="005728DD">
        <w:rPr>
          <w:i/>
        </w:rPr>
        <w:t>Merabishvili c. Georgia</w:t>
      </w:r>
      <w:r>
        <w:t xml:space="preserve"> [GS], 2017, § 308 y 351</w:t>
      </w:r>
      <w:r w:rsidRPr="005728DD">
        <w:rPr>
          <w:i/>
        </w:rPr>
        <w:t>, y Navalnyy c. R</w:t>
      </w:r>
      <w:r>
        <w:t>usia [GS], 2018, § 171).</w:t>
      </w:r>
    </w:p>
    <w:p w:rsidR="005728DD" w:rsidRDefault="005728DD" w:rsidP="005728DD">
      <w:pPr>
        <w:pStyle w:val="TextoNormal"/>
      </w:pPr>
    </w:p>
    <w:p w:rsidR="005728DD" w:rsidRDefault="005728DD" w:rsidP="005728DD">
      <w:pPr>
        <w:pStyle w:val="TextoNormal"/>
      </w:pPr>
      <w:r>
        <w:t>B) Panorama aplicativo.</w:t>
      </w:r>
    </w:p>
    <w:p w:rsidR="005728DD" w:rsidRDefault="005728DD" w:rsidP="005728DD">
      <w:pPr>
        <w:pStyle w:val="TextoNormal"/>
      </w:pPr>
    </w:p>
    <w:p w:rsidR="005728DD" w:rsidRDefault="005728DD" w:rsidP="005728DD">
      <w:pPr>
        <w:pStyle w:val="TextoNormal"/>
      </w:pPr>
      <w:r>
        <w:t>En aplicación de la doctrina expuesta, el Tribunal Europeo de Derechos Humanos ha apreciado la vulneración del art. 18 CEDH de forma prácticamente exclusiva en relación con privaciones cautelares de libertad ilegítimas en tanto que no concurría ninguna de las causas de restricción que arbitra el art. 5.1 CEDH, que, además, considera motivadas únicamente por el fin ulterior ilegítimo. Se afirma así una doble vulneración: una primera lesión del derecho a la libertad por no concurrir los requisitos del art. 5.1 CEDH, señaladamente, la ausencia de indicios racionales de comisión de un delito, y, debido a que se aprecia una finalidad ulterior ilegítima, una adicional violación del art. 5 CEDH en relación con el art. 18 CEDH.</w:t>
      </w:r>
    </w:p>
    <w:p w:rsidR="005728DD" w:rsidRDefault="005728DD" w:rsidP="005728DD">
      <w:pPr>
        <w:pStyle w:val="TextoNormal"/>
      </w:pPr>
    </w:p>
    <w:p w:rsidR="005728DD" w:rsidRDefault="005728DD" w:rsidP="005728DD">
      <w:pPr>
        <w:pStyle w:val="TextoNormal"/>
      </w:pPr>
      <w:r>
        <w:t>En estos supuestos, el tribunal deshace la aparente concurrencia de fines legítimos e ilegítimos, rechazando la presencia del primero, que, a la postre, no sería más que una finalidad aparente y no real. Descarta que las razones aducidas por las autoridades para la detención o la prisión provisional correspondan a las finalidades a las que condiciona el Convenio tales medidas restrictivas de la libertad, bien por invocarse motivos distintos de los consignados en el art. 5 CEDH (</w:t>
      </w:r>
      <w:r w:rsidRPr="005728DD">
        <w:rPr>
          <w:i/>
        </w:rPr>
        <w:t>Lutsenko c. Ucrania</w:t>
      </w:r>
      <w:r>
        <w:t xml:space="preserve">, 2012, § 63 a 65 y 67 a 72; </w:t>
      </w:r>
      <w:r w:rsidRPr="005728DD">
        <w:rPr>
          <w:i/>
        </w:rPr>
        <w:t>Tymoshenko c. Ucrania</w:t>
      </w:r>
      <w:r>
        <w:t xml:space="preserve">, 2013, § 269 a 271; </w:t>
      </w:r>
      <w:r w:rsidRPr="005728DD">
        <w:rPr>
          <w:i/>
        </w:rPr>
        <w:t>Navalnyy c. Rusia</w:t>
      </w:r>
      <w:r>
        <w:t xml:space="preserve"> [GS], 2018, § 71, y </w:t>
      </w:r>
      <w:r w:rsidRPr="005728DD">
        <w:rPr>
          <w:i/>
        </w:rPr>
        <w:t>Navalnyy c. Rusia</w:t>
      </w:r>
      <w:r>
        <w:t xml:space="preserve"> —núm. 2—, 2019, § 93), bien porque los motivos aparentemente idóneos relativos a la posible comisión de un delito no están presentes, ya que no existía fáctica —ausencia de indicios— o jurídicamente —ausencia de tipicidad— una sospecha razonable de comisión de un delito, tal y como exige el art. 5.1 c) CEDH (</w:t>
      </w:r>
      <w:r w:rsidRPr="005728DD">
        <w:rPr>
          <w:i/>
        </w:rPr>
        <w:t>Cebotari c. Moldavi</w:t>
      </w:r>
      <w:r>
        <w:t xml:space="preserve">a, 2007, § 52; </w:t>
      </w:r>
      <w:r w:rsidRPr="005728DD">
        <w:rPr>
          <w:i/>
        </w:rPr>
        <w:t>Ilgar Mammadov c. Azerbaiyán</w:t>
      </w:r>
      <w:r>
        <w:t xml:space="preserve">, 2014, § 100; </w:t>
      </w:r>
      <w:r w:rsidRPr="005728DD">
        <w:rPr>
          <w:i/>
        </w:rPr>
        <w:t>Rasul Jafarov c. Azerbaiyán</w:t>
      </w:r>
      <w:r>
        <w:t xml:space="preserve">, 2016, § 133; </w:t>
      </w:r>
      <w:r w:rsidRPr="005728DD">
        <w:rPr>
          <w:i/>
        </w:rPr>
        <w:t>Mammadli c. Azerbaiyán</w:t>
      </w:r>
      <w:r>
        <w:t xml:space="preserve">, 2018, § 96; </w:t>
      </w:r>
      <w:r w:rsidRPr="005728DD">
        <w:rPr>
          <w:i/>
        </w:rPr>
        <w:t>Rashad Hasanov y otros c. Azerbaiyán</w:t>
      </w:r>
      <w:r>
        <w:t xml:space="preserve">, 2018, § 119; </w:t>
      </w:r>
      <w:r w:rsidRPr="005728DD">
        <w:rPr>
          <w:i/>
        </w:rPr>
        <w:t>Aliyev c. Azerbaiyán</w:t>
      </w:r>
      <w:r>
        <w:t xml:space="preserve">, 2018, § 164; </w:t>
      </w:r>
      <w:r w:rsidRPr="005728DD">
        <w:rPr>
          <w:i/>
        </w:rPr>
        <w:t>Natig Jafarov c. Azerbaiyán</w:t>
      </w:r>
      <w:r>
        <w:t xml:space="preserve">, 2019, § 68; </w:t>
      </w:r>
      <w:r w:rsidRPr="005728DD">
        <w:rPr>
          <w:i/>
        </w:rPr>
        <w:t>Kavala c. Turquía</w:t>
      </w:r>
      <w:r>
        <w:t xml:space="preserve">, 2019, § 218; </w:t>
      </w:r>
      <w:r w:rsidRPr="005728DD">
        <w:rPr>
          <w:i/>
        </w:rPr>
        <w:t>Ibrahimov y Mammadov c. Azerbaiyán</w:t>
      </w:r>
      <w:r>
        <w:t xml:space="preserve">, 2020, § 149; </w:t>
      </w:r>
      <w:r w:rsidRPr="005728DD">
        <w:rPr>
          <w:i/>
        </w:rPr>
        <w:t>Khadija Ismayilova c. Azerbaiyán</w:t>
      </w:r>
      <w:r>
        <w:t xml:space="preserve"> —núm. 2—, 2020, § 111; </w:t>
      </w:r>
      <w:r w:rsidRPr="005728DD">
        <w:rPr>
          <w:i/>
        </w:rPr>
        <w:t>Yunusova y Yunusov c. Azerbaiyán</w:t>
      </w:r>
      <w:r>
        <w:t xml:space="preserve"> —núm. 2—, 2020, § 185, y </w:t>
      </w:r>
      <w:r w:rsidRPr="005728DD">
        <w:rPr>
          <w:i/>
        </w:rPr>
        <w:t>Selahattin Demirtaş c. Turquía</w:t>
      </w:r>
      <w:r>
        <w:t xml:space="preserve"> —núm. 2— [GS], 2020, § 340). La injerencia, en definitiva, a la vista de las circunstancias, solo responde a un propósito ulterior impropio o desviado, </w:t>
      </w:r>
      <w:r>
        <w:lastRenderedPageBreak/>
        <w:t>que se infiere precisamente, entre otros indicios, de esa ausencia de la finalidad convencional de la detención o prisión preventiva.</w:t>
      </w:r>
    </w:p>
    <w:p w:rsidR="005728DD" w:rsidRDefault="005728DD" w:rsidP="005728DD">
      <w:pPr>
        <w:pStyle w:val="TextoNormal"/>
      </w:pPr>
    </w:p>
    <w:p w:rsidR="005728DD" w:rsidRDefault="005728DD" w:rsidP="005728DD">
      <w:pPr>
        <w:pStyle w:val="TextoNormal"/>
      </w:pPr>
      <w:r>
        <w:t xml:space="preserve">También en los puntuales casos en los que el Tribunal de Estrasburgo ha declarado el carácter desviado de la limitación de otros derechos, lo hace tras haber apreciado previamente la vulneración del correspondiente precepto material por ausencia de la finalidad convencional afecta. En el asunto </w:t>
      </w:r>
      <w:r w:rsidRPr="005728DD">
        <w:rPr>
          <w:i/>
        </w:rPr>
        <w:t>Aliyev c. Azerbaiyán</w:t>
      </w:r>
      <w:r>
        <w:t xml:space="preserve">, 2018, constató la violación del derecho al respeto a la vida privada y familiar del art. 8 CEDH respecto al registro e incautación en el domicilio y oficina del demandante, que no había perseguido ninguno de los fines legítimos del art. 8.2 CEDH (§ 187), solo la finalidad ulterior de silenciar y castigar al demandante por su compromiso y actividad política y de impedirle llevarla a cabo (§ 215). En el caso </w:t>
      </w:r>
      <w:r w:rsidRPr="005728DD">
        <w:rPr>
          <w:i/>
        </w:rPr>
        <w:t>Navalnyy c. Rusia</w:t>
      </w:r>
      <w:r>
        <w:t xml:space="preserve"> [GS], 2018, la lesión de la libertad de reunión y asociación del art. 11 CEDH por sí sola se apreció respecto a dos sanciones que no solo resultaban desproporcionadas sino ajenas a los fines a los que el art. 11.2 CEDH vincula las restricciones del derecho, lo que, dada la finalidad ulterior de eliminar el pluralismo político, inferida del contexto político amplio, condujo a constatar la violación del art. 18 en conexión con el art. 11 CEDH.</w:t>
      </w:r>
    </w:p>
    <w:p w:rsidR="005728DD" w:rsidRDefault="005728DD" w:rsidP="005728DD">
      <w:pPr>
        <w:pStyle w:val="TextoNormal"/>
      </w:pPr>
    </w:p>
    <w:p w:rsidR="005728DD" w:rsidRDefault="005728DD" w:rsidP="005728DD">
      <w:pPr>
        <w:pStyle w:val="TextoNormal"/>
      </w:pPr>
      <w:r>
        <w:t xml:space="preserve">Al habitual patrón de restricción de derechos en atención exclusivamente a una finalidad ulterior impropia pertenece el caso </w:t>
      </w:r>
      <w:r w:rsidRPr="005728DD">
        <w:rPr>
          <w:i/>
        </w:rPr>
        <w:t>Rashad Hasanov y otros c. Azerbaiyán</w:t>
      </w:r>
      <w:r>
        <w:t xml:space="preserve"> (STEDH de 7 de junio de 2018) invocado en la demanda como modelo de vulneración susceptible de ser proyectado a la actuación de los poderes públicos en la causa penal contra el recurrente. El asunto se inserta en una serie de condenas a Azerbaiyán en las que el Tribunal Europeo de Derechos Humanos percibe un patrón de abuso de poder en atención a la práctica reiterada de arrestos y detenciones arbitrarias de críticos del gobierno, activistas de la sociedad civil, políticos de la oposición y defensores de los derechos humanos y aprecia el propósito ulterior de silenciar o castigar a los demandantes por sus actividades e impedirlas. En el asunto </w:t>
      </w:r>
      <w:r w:rsidRPr="005728DD">
        <w:rPr>
          <w:i/>
        </w:rPr>
        <w:t>Rashad Hasanov</w:t>
      </w:r>
      <w:r>
        <w:t xml:space="preserve"> en particular, los demandantes eran activistas de la sociedad civil y miembros de la junta directiva de la ONG NIDA, uno de los movimientos juveniles más activos de Azerbaiyán, que había estado detrás de repetidas protestas contra el gobierno, y habían participado activamente, junto con otros miembros de la ONG, en la organización y realización de protestas pacíficas contra la muerte de soldados azerbaiyanos en situaciones de no combate. Tres días antes de una de las manifestaciones programadas, algunos miembros de NIDA fueron detenidos y acusados de posesión de drogas y cócteles molotov (terrorismo). La fiscalía general y el Ministerio de Seguridad Nacional afirmaron en un comunicado de prensa conjunto que los miembros de NIDA detenidos habían participado activamente en una serie de actividades ilegales de la organización y planeaban incitar a la violencia y a los disturbios civiles. El comunicado también denunciaba los intentos ilegales de socavar la estabilidad sociopolítica del país por parte de algunas fuerzas radicales destructivas. Unos días más tarde, los demandantes fueron puestos en prisión preventiva y acusados de obtener ilegalmente los cócteles molotov y de organizar su almacenamiento en los pisos de miembros de NIDA previamente detenidos. El tribunal europeo consideró primero que se había violado el art. 5.1 CEDH por sí solo, ya que las autoridades de la acusación nunca mostraron información o prueba alguna que demostrara que los demandantes tuvieran alguna relación con los cócteles molotov en cuestión y que, por lo tanto, proporcionara una “sospecha razonable” para justificar su arresto y detención. En ausencia de tal sospecha y en el contexto general de una represión de la sociedad civil en Azerbaiyán ya apreciada en </w:t>
      </w:r>
      <w:r>
        <w:lastRenderedPageBreak/>
        <w:t>otras ocasiones y las detenciones de otros activistas, la corte concluyó asimismo que el objetivo real de la detención de los demandantes era silenciarlos y castigarlos por su actividad social y compromiso político y sus actividades en NIDA y que, por lo tanto, hubo una violación del art. 18 CEDH en relación con el art. 5 CEDH (§ 122 a 125).</w:t>
      </w:r>
    </w:p>
    <w:p w:rsidR="005728DD" w:rsidRDefault="005728DD" w:rsidP="005728DD">
      <w:pPr>
        <w:pStyle w:val="TextoNormal"/>
      </w:pPr>
    </w:p>
    <w:p w:rsidR="005728DD" w:rsidRDefault="005728DD" w:rsidP="005728DD">
      <w:pPr>
        <w:pStyle w:val="TextoNormal"/>
      </w:pPr>
      <w:r>
        <w:t xml:space="preserve">Por último, hay que puntualizar que, como se ha expuesto, el tribunal europeo admite conceptualmente una lesión del art. 18 CEDH desligada de la vulneración autónoma del derecho en cuestión, pero el repaso por la jurisprudencia pertinente muestra que solo excepcionalmente se ha apreciado la compatibilidad de la prisión preventiva con el art. 5.1 CEDH y, sin embargo, declarado la violación del art. 18 CEDH en conjunción con el art. 5 CEDH en tanto que la finalidad predominante no era llevar al preso ante una autoridad judicial, sino coaccionarle para que vendiera unas acciones (STEDH de 19 de mayo de 2004, asunto </w:t>
      </w:r>
      <w:r w:rsidRPr="005728DD">
        <w:rPr>
          <w:i/>
        </w:rPr>
        <w:t>Gusinskiy c. Rusia</w:t>
      </w:r>
      <w:r>
        <w:t>, § 76) o proporcionara información sobre otras investigaciones (</w:t>
      </w:r>
      <w:r w:rsidRPr="005728DD">
        <w:rPr>
          <w:i/>
        </w:rPr>
        <w:t>Merabishvili c. Georgia</w:t>
      </w:r>
      <w:r>
        <w:t>, § 353) o castigarle y silenciarlo como miembro de una ONG por su participación activa en las manifestaciones celebradas contra el gobierno (</w:t>
      </w:r>
      <w:r w:rsidRPr="005728DD">
        <w:rPr>
          <w:i/>
        </w:rPr>
        <w:t>Azizov y Novruzlu c. Azerbaiyán</w:t>
      </w:r>
      <w:r>
        <w:t>, § 79). Pero incluso en estos dos últimos casos existe un mantenimiento de la detención que deja de ser regular y se vincula la vulneración de la cláusula de garantía con la existencia de una privación de libertad ilícita en tanto que injustificadamente prolongada (art. 5.3 CEDH).</w:t>
      </w:r>
    </w:p>
    <w:p w:rsidR="005728DD" w:rsidRDefault="005728DD" w:rsidP="005728DD">
      <w:pPr>
        <w:pStyle w:val="TextoNormal"/>
      </w:pPr>
    </w:p>
    <w:p w:rsidR="005728DD" w:rsidRDefault="005728DD" w:rsidP="005728DD">
      <w:pPr>
        <w:pStyle w:val="TextoNormal"/>
      </w:pPr>
      <w:r>
        <w:t xml:space="preserve">En el relevante caso </w:t>
      </w:r>
      <w:r w:rsidRPr="005728DD">
        <w:rPr>
          <w:i/>
        </w:rPr>
        <w:t>Merabishvili c. Georgia</w:t>
      </w:r>
      <w:r>
        <w:t xml:space="preserve">, la corte consideró que la prisión provisional era inicialmente legítima conforme al art. 5.1 CEDH por acordarse en orden a la investigación de delitos sobre los que existían sospechas razonables respecto al demandante (§ 206 a 28, 229 a 230). Sin embargo, como se trata de una situación continuada sometida a permanente revisión, aprecia que la prisión devino ilegítima en su prolongación y, por ello, lesiva del art. 5.3 CEDH, al no justificarse el mantenimiento por los riesgos para el proceso por los que se había acordado (§ 234 a 235), y finalmente sirvió a una finalidad ulterior impropia tras decaer la base inicial que justificó la medida (§ 352), como era obtener información sobre otras investigaciones (§ 353). En el asunto </w:t>
      </w:r>
      <w:r w:rsidRPr="005728DD">
        <w:rPr>
          <w:i/>
        </w:rPr>
        <w:t>Azizov y Novruzlu c. Azerbaiyán</w:t>
      </w:r>
      <w:r>
        <w:t xml:space="preserve">, se da la circunstancia de que el tribunal no pudo analizar la vulneración del art. 5.1. CEDH por no haberse cuestionado la detención preventiva por los demandantes en la jurisdicción nacional (§ 70), pero infirió la conexión predominante de la prisión con el fin espurio del encaje del caso en el patrón de abuso de poder antes descrito respecto al caso </w:t>
      </w:r>
      <w:r w:rsidRPr="005728DD">
        <w:rPr>
          <w:i/>
        </w:rPr>
        <w:t>Rashad Hasanov y otros c. Azerbaiyán</w:t>
      </w:r>
      <w:r>
        <w:t>, que aludía a detenciones y prisiones arbitrarias dada la ausencia de sospechas razonables de comisión de un delito como finalidad legítima de la detención (§ 76 a 77) y de la prolongación injustificada de la medida lesiva del art. 5.3 CEDH (§ 78).</w:t>
      </w:r>
    </w:p>
    <w:p w:rsidR="005728DD" w:rsidRDefault="005728DD" w:rsidP="005728DD">
      <w:pPr>
        <w:pStyle w:val="TextoNormal"/>
      </w:pPr>
    </w:p>
    <w:p w:rsidR="005728DD" w:rsidRDefault="005728DD" w:rsidP="005728DD">
      <w:pPr>
        <w:pStyle w:val="TextoNormal"/>
      </w:pPr>
      <w:r>
        <w:t>En suma, no se afirma, por tanto, que la sola finalidad desviada de la medida restrictiva acredite la violación del art. 18 CEDH en conexión con el art. 5 CEDH a pesar de existir una restricción de la libertad conforme con los requisitos de tal precepto, sino que la relevancia de la desviación se debe en gran medida a la previa existencia de una situación privativa de libertad ilícita o que ha devenido ilícita, que se constata, a su vez, por la presencia de una finalidad ulterior, poniendo de relieve un juicio global sobre la orientación teleológica de la medida.</w:t>
      </w:r>
    </w:p>
    <w:p w:rsidR="005728DD" w:rsidRDefault="005728DD" w:rsidP="005728DD">
      <w:pPr>
        <w:pStyle w:val="TextoNormal"/>
      </w:pPr>
    </w:p>
    <w:p w:rsidR="005728DD" w:rsidRDefault="005728DD" w:rsidP="005728DD">
      <w:pPr>
        <w:pStyle w:val="TextoNormal"/>
      </w:pPr>
      <w:r>
        <w:t>11</w:t>
      </w:r>
      <w:r w:rsidRPr="005728DD">
        <w:rPr>
          <w:i/>
        </w:rPr>
        <w:t>.4. Resolución de la q</w:t>
      </w:r>
      <w:r>
        <w:t>ueja.</w:t>
      </w:r>
    </w:p>
    <w:p w:rsidR="005728DD" w:rsidRDefault="005728DD" w:rsidP="005728DD">
      <w:pPr>
        <w:pStyle w:val="TextoNormal"/>
      </w:pPr>
    </w:p>
    <w:p w:rsidR="005728DD" w:rsidRDefault="005728DD" w:rsidP="005728DD">
      <w:pPr>
        <w:pStyle w:val="TextoNormal"/>
      </w:pPr>
      <w:r>
        <w:t>11.4.1</w:t>
      </w:r>
      <w:r w:rsidRPr="005728DD">
        <w:rPr>
          <w:i/>
        </w:rPr>
        <w:t>. Encuadramiento y sentido constitucional de la que</w:t>
      </w:r>
      <w:r>
        <w:t>ja.</w:t>
      </w:r>
    </w:p>
    <w:p w:rsidR="005728DD" w:rsidRDefault="005728DD" w:rsidP="005728DD">
      <w:pPr>
        <w:pStyle w:val="TextoNormal"/>
      </w:pPr>
    </w:p>
    <w:p w:rsidR="005728DD" w:rsidRDefault="005728DD" w:rsidP="005728DD">
      <w:pPr>
        <w:pStyle w:val="TextoNormal"/>
      </w:pPr>
      <w:r>
        <w:t>Antes de resolver el motivo debe hacerse una doble precisión sobre el objeto y contenido impugnativo de la queja a partir de un doble recordatorio sobre la incidencia del Convenio Europeo de Derechos Humanos en el examen constitucional que incumbe a este tribunal.</w:t>
      </w:r>
    </w:p>
    <w:p w:rsidR="005728DD" w:rsidRDefault="005728DD" w:rsidP="005728DD">
      <w:pPr>
        <w:pStyle w:val="TextoNormal"/>
      </w:pPr>
    </w:p>
    <w:p w:rsidR="005728DD" w:rsidRDefault="005728DD" w:rsidP="005728DD">
      <w:pPr>
        <w:pStyle w:val="TextoNormal"/>
      </w:pPr>
      <w:r>
        <w:t xml:space="preserve">(i) El primero de esos recordatorios es que, aun cuando en la demanda se invoquen como lesionados los arts. 5, 6, 7 y 11 CEDH en relación con el art. 18 CEDH, “no le corresponde a este tribunal, al conocer un recurso de amparo, examinar la observancia o inobservancia, </w:t>
      </w:r>
      <w:r w:rsidRPr="005728DD">
        <w:rPr>
          <w:i/>
        </w:rPr>
        <w:t>per se</w:t>
      </w:r>
      <w:r>
        <w:t>,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tales preceptos deban ser interpretados de conformidad con la Declaración universal de derechos humanos y con los tratados y acuerdos internacionales sobre las mismas materias ratificados por España” (SSTC 107/2005, de 9 de mayo, FJ 3; 244/2007, de 10 de diciembre, FJ 2; 126/2009, de 21 de mayo, FJ 3; 66/2011, de 5 de mayo, FJ 2, y 138/2012, de 20 de junio, FJ 3, entre muchas).</w:t>
      </w:r>
    </w:p>
    <w:p w:rsidR="005728DD" w:rsidRDefault="005728DD" w:rsidP="005728DD">
      <w:pPr>
        <w:pStyle w:val="TextoNormal"/>
      </w:pPr>
    </w:p>
    <w:p w:rsidR="005728DD" w:rsidRDefault="005728DD" w:rsidP="005728DD">
      <w:pPr>
        <w:pStyle w:val="TextoNormal"/>
      </w:pPr>
      <w:r>
        <w:t>(ii) El segundo, que el tribunal ha destacado de manera específica que el art. 10.2 CE respalda la incorporación a la jurisprudencia constitucional del método de análisis de las limitaciones a los derechos que emplea el Tribunal de Estrasburgo. “Desde nuestras primeras resoluciones (</w:t>
      </w:r>
      <w:r w:rsidRPr="005728DD">
        <w:rPr>
          <w:i/>
        </w:rPr>
        <w:t>vid</w:t>
      </w:r>
      <w:r>
        <w:t>. STC 62/1982) hasta las más recientes (</w:t>
      </w:r>
      <w:r w:rsidRPr="005728DD">
        <w:rPr>
          <w:i/>
        </w:rPr>
        <w:t>vid</w:t>
      </w:r>
      <w:r>
        <w:t>. especialmente, SSTC 55/1996 y 161/1997) hemos consagrado el principio de proporcionalidad como un principio general que puede inferirse a través de diversos preceptos constitucionales (en especial, de la proclamación constitucional del Estado de Derecho en el art. 1.1 CE y de la referencia del art. 10.2 CE a los arts. 10.2 y 18 del Convenio europeo para la protección de los derechos fundamentales y las libertades públicas) y que, en el ámbito de los derechos fundamentales constituye una regla de interpretación que, por su mismo contenido, se erige en límite de toda injerencia estatal en los mismos, incorporando, incluso frente a la ley, exigencias positivas y negativas” (STC 49/1999, de 5 de abril, FJ 7).</w:t>
      </w:r>
    </w:p>
    <w:p w:rsidR="005728DD" w:rsidRDefault="005728DD" w:rsidP="005728DD">
      <w:pPr>
        <w:pStyle w:val="TextoNormal"/>
      </w:pPr>
    </w:p>
    <w:p w:rsidR="005728DD" w:rsidRDefault="005728DD" w:rsidP="005728DD">
      <w:pPr>
        <w:pStyle w:val="TextoNormal"/>
      </w:pPr>
      <w:r>
        <w:t>De acuerdo con tales criterios, debe hacerse la anunciada doble precisión.</w:t>
      </w:r>
    </w:p>
    <w:p w:rsidR="005728DD" w:rsidRDefault="005728DD" w:rsidP="005728DD">
      <w:pPr>
        <w:pStyle w:val="TextoNormal"/>
      </w:pPr>
    </w:p>
    <w:p w:rsidR="005728DD" w:rsidRDefault="005728DD" w:rsidP="005728DD">
      <w:pPr>
        <w:pStyle w:val="TextoNormal"/>
      </w:pPr>
      <w:r>
        <w:t>a) La primera concierne a los términos impugnativos del recurso de amparo. La queja debe entenderse referida a los preceptos constitucionales que reflejan los contenidos iusfundamentales de las normas convencionales invocadas, esto es, los derechos a la libertad, a un proceso con todas las garantías, a la legalidad penal y de reunión. En definitiva, a los arts. 17, 24.2, 25.1 y 21 CE, cuya infracción, por lo demás, viene denunciando el recurrente a lo largo de toda la causa penal. Sin perjuicio de que sea el derecho a la libertad y, por tanto, el art. 17 CE, el principalmente concernido, como subraya la demanda expresamente y se sigue de la doctrina europea invocada, relativa al art. 5 CEDH, desde el inicial momento en el que se acordó la prisión provisional hasta el resultado condenatorio y la responsabilidad penal que fija.</w:t>
      </w:r>
    </w:p>
    <w:p w:rsidR="005728DD" w:rsidRDefault="005728DD" w:rsidP="005728DD">
      <w:pPr>
        <w:pStyle w:val="TextoNormal"/>
      </w:pPr>
    </w:p>
    <w:p w:rsidR="005728DD" w:rsidRDefault="005728DD" w:rsidP="005728DD">
      <w:pPr>
        <w:pStyle w:val="TextoNormal"/>
      </w:pPr>
      <w:r>
        <w:t xml:space="preserve">b) La segunda atañe al significado constitucional de la previsión del art. 18 CEDH. La función hermenéutica fundamental atribuida en el art. 10.2 CE al Convenio europeo de derechos humanos puesta en relación con el carácter relacional del art. 18 CEDH y su comprensión en la doctrina del Tribunal Europeo de Derechos Humanos como cláusula de complemento y de garantía de las singulares cláusulas habilitadoras de la restricción de derechos </w:t>
      </w:r>
      <w:r>
        <w:lastRenderedPageBreak/>
        <w:t>—de limitación de las limitaciones de los derechos—, permite vincular sin mayores dificultades la prohibición de uso desviado de las restricciones de derechos con la exigencia constitucional de supeditar toda injerencia en los derechos fundamentales a la persecución de un fin legítimo con el que la actuación del poder público debe mostrarse congruente. El hecho de que nuestra Constitución no contenga un precepto análogo al art. 18 CEDH en relación con las limitaciones de los derechos fundamentales, aunque sí proclama el sometimiento de la actuación administrativa a los fines que la justifican (art. 106 CE), en modo alguno supone que ese criterio interpretativo de la legitimidad de las medidas restrictivas y su función de cláusula de garantía de los derechos no opere en nuestro ordenamiento constitucional.</w:t>
      </w:r>
    </w:p>
    <w:p w:rsidR="005728DD" w:rsidRDefault="005728DD" w:rsidP="005728DD">
      <w:pPr>
        <w:pStyle w:val="TextoNormal"/>
      </w:pPr>
    </w:p>
    <w:p w:rsidR="005728DD" w:rsidRDefault="005728DD" w:rsidP="005728DD">
      <w:pPr>
        <w:pStyle w:val="TextoNormal"/>
      </w:pPr>
      <w:r>
        <w:t>En efecto, hemos reiterado que la existencia de una previsión legal, la justificación por un fin legítimo y el juicio de proporcionalidad resultan exigencias imprescindibles para la constitucionalidad de cualquier medida restrictiva de derechos fundamentales en orden a evitar un sacrificio excesivo e innecesario de los derechos que la Constitución garantiza (SSTC 62/1982, de 15 de octubre, FJ 5; 66/1985,de 23 de mayo, FJ 1; 19/1988, de 16 de febrero, FJ 8; 85/1992, de 8 de junio, FJ 5; 50/1995, de 23 de febrero, FJ 7; 55/1996, de 28 de marzo, FJ 3; 136/1999, de 20 de julio, FJ 22; 60/2010, de 7 de octubre, FJ 7, y 96/2012, de 7 de mayo, FJ 10). Una medida que restringe derechos, directa o indirectamente, está sujeta a un canon de control que, aunque no se agota en ellos (art. 53.1 CE), comprende la satisfacción por parte de la medida de dos presupuestos de constitucionalidad, la persecución de una finalidad constitucionalmente legítima y el cumplimiento del principio de proporcionalidad, cuya verificación exige, conforme a nuestra doctrina, comprobar sucesivamente que la medida es susceptible de conseguir el objetivo propuesto (juicio de idoneidad), resulta necesaria en tanto no existe otra medida menos restrictiva e igualmente eficaz (juicio de necesidad), y es ponderada o equilibrada, por derivarse de ella más beneficios o ventajas que perjuicios (juicio de proporcionalidad en sentido estricto) (entre muchas, SSTC 207/1996, de 16 de diciembre, FJ 4; 49/1999, de 5 de abril, FJ 7; 136/1999, de 20 de julio, FJ 23; 159/2009, de 29 de junio, FJ 3; 86/2006, de 27 de marzo, FJ 3; 206/2007, de 24 de septiembre, FJ 6; 60/2010, de 7 de octubre, FJ 9; 173/2011, de 7 de noviembre, FJ 2, y 56/2019, de 6 de mayo, FJ 5).</w:t>
      </w:r>
    </w:p>
    <w:p w:rsidR="005728DD" w:rsidRDefault="005728DD" w:rsidP="005728DD">
      <w:pPr>
        <w:pStyle w:val="TextoNormal"/>
      </w:pPr>
    </w:p>
    <w:p w:rsidR="005728DD" w:rsidRDefault="005728DD" w:rsidP="005728DD">
      <w:pPr>
        <w:pStyle w:val="TextoNormal"/>
      </w:pPr>
      <w:r>
        <w:t>El primero de los dos presupuestos aludidos obliga a la persecución de fines legítimos, pasando acto seguido a valorarse si la medida restrictiva resulta funcional para tal fin, de modo que la justificación teleológica de las medidas transita por esos dos pasos prácticamente sin solución de continuidad. Ya en la temprana STC 62/1982, el tribunal vinculó el art. 18 CEDH con las garantías frente a las limitaciones de los derechos, aun cuando lo fueran en atención a fines legítimos, restringiendo su aplicación a la finalidad para la cual se han previsto [FJ 3 B)]. La legitimación instrumental de la injerencia se estratifica en la previsión abstracta de la fuente de restricción y la efectiva orientación de la medida a la finalidad habilitante, que no solo requiere funcionalidad respecto al propósito legítimo, sino la armonía, congruencia o correspondencia entre los medios utilizados y la finalidad perseguida atendidas todas las circunstancias [SSTC 207/1996, de 16 de diciembre, FJ 4, y 25/2005, de 14 de febrero, FJ 6 c)]. Solo ante los límites que la propia Constitución expresamente imponga al definir cada derecho o ante los que de manera mediata o indirecta de la misma se infieran al resultar justificados por la necesidad de preservar otros derechos constitucionalmente protegidos, pueden ceder los derechos fundamentales (SSTC 120/1990, de 27 de junio, FJ 8, y 37/2011, de 28 de marzo, FJ 4).</w:t>
      </w:r>
    </w:p>
    <w:p w:rsidR="005728DD" w:rsidRDefault="005728DD" w:rsidP="005728DD">
      <w:pPr>
        <w:pStyle w:val="TextoNormal"/>
      </w:pPr>
    </w:p>
    <w:p w:rsidR="005728DD" w:rsidRDefault="005728DD" w:rsidP="005728DD">
      <w:pPr>
        <w:pStyle w:val="TextoNormal"/>
      </w:pPr>
      <w:r>
        <w:lastRenderedPageBreak/>
        <w:t>Se trata de un planteamiento y un esquema metodológico con evidentes similitudes al empleado por el Tribunal Europeo de Derechos Humanos cuando revisa las medidas restrictivas de derechos, en el que verifica que la medida tiene cobertura legal, persigue un fin legítimo y es necesaria en una sociedad democrática para alcanzar ese objetivo, y con el carácter relacional del propio art. 18 CEDH como recordatorio y ocasión específica para verificar la concordancia de fines. Conforme muestra la doctrina y las resoluciones del Tribunal Europeo de Derechos Humanos expuestas, también la jurisprudencia europea relaciona el lugar del art. 18 CEDH en el esquema general del Convenio con las cláusulas de restricción convencionales y la evaluación de que la injerencia persigue un objetivo legítimo, donde, desde la flexibilidad interpretativa y el respeto al amplio margen de apreciación que se reconoce a los Estados, incidiría el art. 18 CEDH con la prohibición de restricciones adoptadas para satisfacer una finalidad predominante —no meramente concurrente— distinta de las convencionales. La cláusula, más allá de determinar formalmente la violación del art. 18 CEDH, materialmente refuerza o complementa el examen sobre la orientación y congruencia teleológica de las medidas limitadoras de derechos con ocasión del examen en virtud de las concretas disposiciones sustantivas del Convenio. La garantía que se presenta como complementaria y adicional en el art. 18 CEDH y que refuerza la exigencia de estricta sujeción al objetivo legítimo que dispone el Convenio para las restricciones de derechos se corresponde así con la exigencia de congruencia estricta con el fin constitucionalmente legítimo como condición de constitucionalidad de toda medida restrictiva de derechos fundamentales.</w:t>
      </w:r>
    </w:p>
    <w:p w:rsidR="005728DD" w:rsidRDefault="005728DD" w:rsidP="005728DD">
      <w:pPr>
        <w:pStyle w:val="TextoNormal"/>
      </w:pPr>
    </w:p>
    <w:p w:rsidR="005728DD" w:rsidRDefault="005728DD" w:rsidP="005728DD">
      <w:pPr>
        <w:pStyle w:val="TextoNormal"/>
      </w:pPr>
      <w:r>
        <w:t>En suma, en el análisis constitucional que nos es propio, esta suerte de “prohibición de desviación de poder” opera como exigencia de verificar en concreto, ante un panorama indiciario de una posible finalidad ulterior oculta y en atención a todas las circunstancias del caso, que la restricción iusfundamental sirve a la finalidad legítima que en abstracto la permite y no a otra impropia. En el mismo sentido, el Tribunal Europeo de Derechos humanos en sus razonamientos conecta la violación del art. 18 CEDH con la previa vulneración del derecho —por sí solo— en términos que llevarían también a este tribunal a declarar el menoscabo del derecho, pues apreciar que la restricción (normalmente la privación de libertad) obedece principalmente al propósito ulterior impropio, implica la ausencia de una finalidad legítima o, cuando menos, el decaimiento de tal finalidad. En ambos casos, en definitiva, la presencia de un objetivo legítimo en sentido propio y no como mera cobertura o tapadera impide apreciar una lesión del derecho en cuestión, debiéndose continuar, en su caso, con el examen de la necesidad y la proporcionalidad de la medida.</w:t>
      </w:r>
    </w:p>
    <w:p w:rsidR="005728DD" w:rsidRDefault="005728DD" w:rsidP="005728DD">
      <w:pPr>
        <w:pStyle w:val="TextoNormal"/>
      </w:pPr>
    </w:p>
    <w:p w:rsidR="005728DD" w:rsidRDefault="005728DD" w:rsidP="005728DD">
      <w:pPr>
        <w:pStyle w:val="TextoNormal"/>
      </w:pPr>
      <w:r>
        <w:t>De acuerdo con lo razonado, el presente motivo de amparo obliga a revisar la legitimidad de las restricciones de derechos cuestionadas desde la perspectiva de los objetivos que las han determinado, para verificar, en atención a una visión contextualizada, si se corresponden con los fines constitucionalmente legítimos que el ordenamiento persigue con ellas o existe una finalidad impropia a la que obedecen de forma predominante.</w:t>
      </w:r>
    </w:p>
    <w:p w:rsidR="005728DD" w:rsidRDefault="005728DD" w:rsidP="005728DD">
      <w:pPr>
        <w:pStyle w:val="TextoNormal"/>
      </w:pPr>
    </w:p>
    <w:p w:rsidR="005728DD" w:rsidRDefault="005728DD" w:rsidP="005728DD">
      <w:pPr>
        <w:pStyle w:val="TextoNormal"/>
      </w:pPr>
      <w:r>
        <w:t>11.4.2</w:t>
      </w:r>
      <w:r w:rsidRPr="005728DD">
        <w:rPr>
          <w:i/>
        </w:rPr>
        <w:t>. Análisis de la que</w:t>
      </w:r>
      <w:r>
        <w:t>ja.</w:t>
      </w:r>
    </w:p>
    <w:p w:rsidR="005728DD" w:rsidRDefault="005728DD" w:rsidP="005728DD">
      <w:pPr>
        <w:pStyle w:val="TextoNormal"/>
      </w:pPr>
    </w:p>
    <w:p w:rsidR="005728DD" w:rsidRDefault="005728DD" w:rsidP="005728DD">
      <w:pPr>
        <w:pStyle w:val="TextoNormal"/>
      </w:pPr>
      <w:r>
        <w:t>11.4.2.1. Inexistencia de las vulneraciones de derechos alegadas y, con ello, de una causa penal con finalidad política.</w:t>
      </w:r>
    </w:p>
    <w:p w:rsidR="005728DD" w:rsidRDefault="005728DD" w:rsidP="005728DD">
      <w:pPr>
        <w:pStyle w:val="TextoNormal"/>
      </w:pPr>
    </w:p>
    <w:p w:rsidR="005728DD" w:rsidRDefault="005728DD" w:rsidP="005728DD">
      <w:pPr>
        <w:pStyle w:val="TextoNormal"/>
      </w:pPr>
      <w:r>
        <w:lastRenderedPageBreak/>
        <w:t>El demandante defiende que la causa penal, incluida la prisión provisional y la condena, ha tenido como fin castigarle junto con la entidad Òmnium Cultural por su activismo político, social y cultural con el fin de provocar el fin de las protestas en apoyo de la independencia y el derecho a la autodeterminación de Cataluña, de modo que la prisión provisional vulneró el art. 5 CEDH y el art. 18 CEDH, y la condena los arts. 6, 7 y 11 CEDH con el art. 18 CEDH. Queja que, en su trasunto a los márgenes de este proceso constitucional de amparo, supone la denuncia de que se han lesionado sus derechos a la libertad, a un proceso con todas las garantías, a la legalidad sancionadora y de reunión por cuanto la injerencia que en tales derechos conlleva la prisión provisional y la condena penal no persigue los fines de aseguramiento del proceso penal y de tutela de bienes jurídicos que, respectivamente, condicionan su legitimidad, sino una finalidad ulterior de represión política.</w:t>
      </w:r>
    </w:p>
    <w:p w:rsidR="005728DD" w:rsidRDefault="005728DD" w:rsidP="005728DD">
      <w:pPr>
        <w:pStyle w:val="TextoNormal"/>
      </w:pPr>
    </w:p>
    <w:p w:rsidR="005728DD" w:rsidRDefault="005728DD" w:rsidP="005728DD">
      <w:pPr>
        <w:pStyle w:val="TextoNormal"/>
      </w:pPr>
      <w:r>
        <w:t>Es de observar en tal sentido que el último motivo de la demanda trae la esencia del planteamiento con que la defensa del recurrente iniciaba sus alegaciones en el juicio oral sobre la existencia de múltiples vulneraciones de derechos fundamentales fruto de la causa penal, extendida ahora también a la condena, que las asocia con una finalidad política de castigar al independentismo en orden a proteger la unidad territorial española como razón de esa lesión masiva. Planteamiento que también se efectúa en el fundamento introductorio de la demanda, donde bajo el título “la situación de excepcionalidad en materia de derechos fundamentales en la presente causa”, se anuncia que “intentaremos argumentar como todas y cada una de estas vulneraciones son expresiones de una situación de excepción a la regla general, son síntomas de una respuesta absolutamente excepcional del sistema institucional del Estado a un conflicto de naturaleza política, que ha obviado la totalidad de las garantías penales proclamadas en el espíritu constitucional que tanto se dice proteger”. Se trata, por tanto, de una reiteración de las vulneraciones ya examinadas que se sitúan en este punto bajo el prisma de la desviación de poder, esto es, bajo el paraguas de una supuesta finalidad real oculta bajo la apariencia formal de la limitación constitucionalmente adecuada de los derechos fundamentales.</w:t>
      </w:r>
    </w:p>
    <w:p w:rsidR="005728DD" w:rsidRDefault="005728DD" w:rsidP="005728DD">
      <w:pPr>
        <w:pStyle w:val="TextoNormal"/>
      </w:pPr>
    </w:p>
    <w:p w:rsidR="005728DD" w:rsidRDefault="005728DD" w:rsidP="005728DD">
      <w:pPr>
        <w:pStyle w:val="TextoNormal"/>
      </w:pPr>
      <w:r>
        <w:t xml:space="preserve">Hecha la traducción constitucional y contextualización anteriores, nuestro examen debe empezar recordando que, a lo largo de los fundamentos precedentes, se han descartado motivadamente las vulneraciones de los derechos alegadas por el recurrente. El planteamiento circular y repetitivo de la propia demanda, que comienza y termina con un cuestionamiento global de la causa penal por su supuesta finalidad política y que reitera en cada motivo la conexión de la lesión con el pretendido fin político, ha obligado a descartar en el tratamiento de cada una de las denuncias individualizadas de lesión la existencia de manipulación en las decisiones judiciales debida a un posicionamiento sobre lo que el recurrente llama el conflicto político catalán. En ellos no solo hemos constatado que las actuaciones judiciales cuestionadas no han lesionado las garantías del proceso debido ni el derecho a la presunción de inocencia, como tampoco se ha menoscabado el derecho de reunión en relación con el derecho a la legalidad sancionadora y el principio de proporcionalidad penal. También hemos descartado específicamente (i) que la competencia del Tribunal Supremo obedezca a la finalidad de hurtársela a los tribunales radicados en Cataluña, que el recurrente considera implícitamente más favorables a sus tesis (FJ 4.4); (ii) que los miembros de la Sala de lo Penal adolezcan de falta de parcialidad por sus convicciones ideológicas contrarias al independentismo que él defiende (FJ 7.4.4.2); (iii) que el procedimiento y la condena sancionen su ejercicio legítimo del derecho de libertad de expresión y de reunión en defensa de una ideología política (FJ 9.4.3) y, en fin, (iv) que se haya aplicado un tipo penal que castigue </w:t>
      </w:r>
      <w:r>
        <w:lastRenderedPageBreak/>
        <w:t>la protesta y la movilización ciudadana ayuno de un bien jurídico merecedor de la protección que la gravedad de la pena refleja (FJ 10.2.3).</w:t>
      </w:r>
    </w:p>
    <w:p w:rsidR="005728DD" w:rsidRDefault="005728DD" w:rsidP="005728DD">
      <w:pPr>
        <w:pStyle w:val="TextoNormal"/>
      </w:pPr>
    </w:p>
    <w:p w:rsidR="005728DD" w:rsidRDefault="005728DD" w:rsidP="005728DD">
      <w:pPr>
        <w:pStyle w:val="TextoNormal"/>
      </w:pPr>
      <w:r>
        <w:t>De igual manera, este tribunal tuvo ocasión de pronunciarse sobre la constitucionalidad de la prisión provisional del demandante —que no ha sido objeto del presente proceso de amparo— en las SSTC 30/2019, de 26 de marzo, y 62/2019, de 7 de mayo, donde asimismo verificamos la concurrencia de las finalidades constitucionales consagradas en la ley como único objetivo de la medida cautelar, tras apreciar que concurría el presupuesto de indicios racionales de la comisión de un hecho delictivo y los fines de aseguramiento del normal desarrollo del proceso penal necesarios para que la prisión provisional sea constitucionalmente admisible (FJ 5 y FFJJ 5 y 6, respectivamente).</w:t>
      </w:r>
    </w:p>
    <w:p w:rsidR="005728DD" w:rsidRDefault="005728DD" w:rsidP="005728DD">
      <w:pPr>
        <w:pStyle w:val="TextoNormal"/>
      </w:pPr>
    </w:p>
    <w:p w:rsidR="005728DD" w:rsidRDefault="005728DD" w:rsidP="005728DD">
      <w:pPr>
        <w:pStyle w:val="TextoNormal"/>
      </w:pPr>
      <w:r>
        <w:t>Dicho brevemente, hemos rechazado ya que el procedimiento penal y la condena obedezcan a una finalidad espuria de persecución o castigo por la posición política del demandante o esté conectada, siquiera, con ese posicionamiento y activismo ideológico. Nada puede añadirse a lo ya dicho sobre la inexistencia de la pretendida triple excepcionalidad, procesal, en materia de derechos civiles y en derecho penal sustantivo.</w:t>
      </w:r>
    </w:p>
    <w:p w:rsidR="005728DD" w:rsidRDefault="005728DD" w:rsidP="005728DD">
      <w:pPr>
        <w:pStyle w:val="TextoNormal"/>
      </w:pPr>
    </w:p>
    <w:p w:rsidR="005728DD" w:rsidRDefault="005728DD" w:rsidP="005728DD">
      <w:pPr>
        <w:pStyle w:val="TextoNormal"/>
      </w:pPr>
      <w:r>
        <w:t>11.4.2.2</w:t>
      </w:r>
      <w:r w:rsidRPr="005728DD">
        <w:rPr>
          <w:i/>
        </w:rPr>
        <w:t>. Ausencia de paralelismo con el caso Rashad Hasan</w:t>
      </w:r>
      <w:r>
        <w:t>ov.</w:t>
      </w:r>
    </w:p>
    <w:p w:rsidR="005728DD" w:rsidRDefault="005728DD" w:rsidP="005728DD">
      <w:pPr>
        <w:pStyle w:val="TextoNormal"/>
      </w:pPr>
    </w:p>
    <w:p w:rsidR="005728DD" w:rsidRDefault="005728DD" w:rsidP="005728DD">
      <w:pPr>
        <w:pStyle w:val="TextoNormal"/>
      </w:pPr>
      <w:r>
        <w:t>En consonancia con el rechazo de la aducida motivación política y la consecuente distorsión teleológica, debe aclararse que tampoco los elementos subrayados por el recurrente en el motivo, en un forzado intento de construir un paralelismo con el cas</w:t>
      </w:r>
      <w:r w:rsidRPr="005728DD">
        <w:rPr>
          <w:i/>
        </w:rPr>
        <w:t>o Rashad Hasan</w:t>
      </w:r>
      <w:r>
        <w:t>ov, pueden valorarse como indicios de ese propósito ulterior, menos aún, admitirse la alegada analogía.</w:t>
      </w:r>
    </w:p>
    <w:p w:rsidR="005728DD" w:rsidRDefault="005728DD" w:rsidP="005728DD">
      <w:pPr>
        <w:pStyle w:val="TextoNormal"/>
      </w:pPr>
    </w:p>
    <w:p w:rsidR="005728DD" w:rsidRDefault="005728DD" w:rsidP="005728DD">
      <w:pPr>
        <w:pStyle w:val="TextoNormal"/>
      </w:pPr>
      <w:r>
        <w:t>Aun a riesgo de incurrir en reiteraciones, inevitables conforme al expreso planteamiento y esquema de la demanda, debe indicarse lo siguiente sobre los referidos indicios.</w:t>
      </w:r>
    </w:p>
    <w:p w:rsidR="005728DD" w:rsidRDefault="005728DD" w:rsidP="005728DD">
      <w:pPr>
        <w:pStyle w:val="TextoNormal"/>
      </w:pPr>
    </w:p>
    <w:p w:rsidR="005728DD" w:rsidRDefault="005728DD" w:rsidP="005728DD">
      <w:pPr>
        <w:pStyle w:val="TextoNormal"/>
      </w:pPr>
      <w:r>
        <w:t>(i) De forma principal no puede apreciarse la falta de sospechas razonables de comisión de un delito en el momento de acordar la prisión preventiva del demandante ni la inexistencia de prueba de cargo de los hechos y de su intervención en ellos que determinan su condena penal como autor de un delito de sedición.</w:t>
      </w:r>
    </w:p>
    <w:p w:rsidR="005728DD" w:rsidRDefault="005728DD" w:rsidP="005728DD">
      <w:pPr>
        <w:pStyle w:val="TextoNormal"/>
      </w:pPr>
    </w:p>
    <w:p w:rsidR="005728DD" w:rsidRDefault="005728DD" w:rsidP="005728DD">
      <w:pPr>
        <w:pStyle w:val="TextoNormal"/>
      </w:pPr>
      <w:r>
        <w:t>En la STC 30/2019 apreciamos que la prisión preventiva se había acordado con base en un “sustrato factual y jurídico en que se incardinaba la actuación del recurrente […] adecuadamente singularizado, debidamente explicitado y suficientemente razonado” (FJ 5). En el mismo sentido, en la STC 62/2019, constatamos que “el órgano judicial expuso con detalle la secuencia fáctica en la que intervino el demandante de amparo; identificó las fuentes de las que extrae la información para fundar su relato histórico; finalmente, argumentó en Derecho sobre motivos por los que entendió que cabía apreciar indicios racionales de participación del recurrente en el delito de rebelión” [FJ 5 a)], así como argumentó razonablemente sobre la calificación jurídico-penal de la que, indiciariamente, es tributaria esa conducta [FJ 5 b)].</w:t>
      </w:r>
    </w:p>
    <w:p w:rsidR="005728DD" w:rsidRDefault="005728DD" w:rsidP="005728DD">
      <w:pPr>
        <w:pStyle w:val="TextoNormal"/>
      </w:pPr>
    </w:p>
    <w:p w:rsidR="005728DD" w:rsidRDefault="005728DD" w:rsidP="005728DD">
      <w:pPr>
        <w:pStyle w:val="TextoNormal"/>
      </w:pPr>
      <w:r>
        <w:t xml:space="preserve">En el fundamento octavo de la presente resolución hemos desestimado la vulneración del derecho a la presunción de inocencia, al fundarse el relato fáctico en la amplia actividad </w:t>
      </w:r>
      <w:r>
        <w:lastRenderedPageBreak/>
        <w:t>probatoria practicada y ser fruto de una valoración razonable de sus resultados como suficientemente acreditativos de los elementos objetivos y subjetivos del delito. Y en el fundamento décimo hemos rechazado la lesión derecho a la legalidad penal tras descartar que la condena penal se asiente en una interpretación semántica o axiológicamente imprevisible del delito de sedición y que se haya incurrido en analogía en la subsunción de los hechos. De nuevo debemos remitirnos a nuestros argumentos previos.</w:t>
      </w:r>
    </w:p>
    <w:p w:rsidR="005728DD" w:rsidRDefault="005728DD" w:rsidP="005728DD">
      <w:pPr>
        <w:pStyle w:val="TextoNormal"/>
      </w:pPr>
    </w:p>
    <w:p w:rsidR="005728DD" w:rsidRDefault="005728DD" w:rsidP="005728DD">
      <w:pPr>
        <w:pStyle w:val="TextoNormal"/>
      </w:pPr>
      <w:r>
        <w:t>(ii) Respecto al papel de la fiscalía “en la persecución del independentismo civil”, se aprecia en el planteamiento una exposición artificiosa de los hechos. La demanda se hace eco de aspectos ajenos a la actuación de la fiscalía, como los calificativos periodísticos del fiscal general señor Maza o el nombre del archivo informático que se envió a los periodistas con ocasión de la presentación de la querella con la que se inició la causa. Y se ofrece por referencia a una noticia de prensa una visión mutilada de las declaraciones de la fiscal general del Estado en el discurso pronunciado en septiembre de 2016 en el acto de apertura del año judicial, que manipula su contenido y desvirtúa su sentido, convirtiendo el compromiso con la defensa de la legalidad y la obligación de perseguir los delitos en un fin de persecución política.</w:t>
      </w:r>
    </w:p>
    <w:p w:rsidR="005728DD" w:rsidRDefault="005728DD" w:rsidP="005728DD">
      <w:pPr>
        <w:pStyle w:val="TextoNormal"/>
      </w:pPr>
    </w:p>
    <w:p w:rsidR="005728DD" w:rsidRDefault="005728DD" w:rsidP="005728DD">
      <w:pPr>
        <w:pStyle w:val="TextoNormal"/>
      </w:pPr>
      <w:r>
        <w:t xml:space="preserve">En la búsqueda de una similitud inexistente con el caso </w:t>
      </w:r>
      <w:r w:rsidRPr="005728DD">
        <w:rPr>
          <w:i/>
        </w:rPr>
        <w:t>Hasanov</w:t>
      </w:r>
      <w:r>
        <w:t xml:space="preserve"> se pretenden equivalentes las afirmaciones que sesgadamente se destacan —la alusión por la fiscal general del Estado más de un año antes de los hechos enjuiciados al papel de la fiscalía en la defensa del Estado de Derecho en línea con los pronunciamientos del Tribunal Constitucional (STC 259/2015, de 2 de diciembre) sobre actuaciones del poder público en Cataluña y ante su reiterado incumplimiento— y las aseveraciones tenidas en cuenta entonces por el Tribunal Europeo de Derechos Humanos —las declaraciones en un comunicado conjunto de la fiscalía y el Poder Ejecutivo (Ministerio de Seguridad Nacional) inmediatamente posteriores a la detención de los demandantes aseverando su actuación delictiva y su intención de incitar a la violencia y los disturbios civiles—.</w:t>
      </w:r>
    </w:p>
    <w:p w:rsidR="005728DD" w:rsidRDefault="005728DD" w:rsidP="005728DD">
      <w:pPr>
        <w:pStyle w:val="TextoNormal"/>
      </w:pPr>
    </w:p>
    <w:p w:rsidR="005728DD" w:rsidRDefault="005728DD" w:rsidP="005728DD">
      <w:pPr>
        <w:pStyle w:val="TextoNormal"/>
      </w:pPr>
      <w:r>
        <w:t>No puede olvidarse, por último, que la condena del recurrente lo ha sido como autor de un delito de sedición, que no corresponde a la calificación más grave sostenida por la fiscalía, que calificó su conducta como constitutiva de un delito de rebelión, dato que desmiente la falta de independencia del Tribunal Supremo y el implícito nexo con la aducida finalidad de persecución política</w:t>
      </w:r>
      <w:r w:rsidRPr="005728DD">
        <w:rPr>
          <w:i/>
        </w:rPr>
        <w:t xml:space="preserve"> (Merabishvili c. Georg</w:t>
      </w:r>
      <w:r>
        <w:t xml:space="preserve">ia [GS], 2017, § 324, </w:t>
      </w:r>
      <w:r w:rsidRPr="005728DD">
        <w:rPr>
          <w:i/>
        </w:rPr>
        <w:t>y Batiashvili c. Georg</w:t>
      </w:r>
      <w:r>
        <w:t>ia, 2019, § 102).</w:t>
      </w:r>
    </w:p>
    <w:p w:rsidR="005728DD" w:rsidRDefault="005728DD" w:rsidP="005728DD">
      <w:pPr>
        <w:pStyle w:val="TextoNormal"/>
      </w:pPr>
    </w:p>
    <w:p w:rsidR="005728DD" w:rsidRDefault="005728DD" w:rsidP="005728DD">
      <w:pPr>
        <w:pStyle w:val="TextoNormal"/>
      </w:pPr>
      <w:r>
        <w:t>(iii) Por lo que atañe a su condición de líder de la sociedad civil, el propio Tribunal Supremo reconoce tal carácter al señor Cuixart, que aquí tampoco se discute, como también pone de manifiesto en los hechos probados la intensa actividad desarrollada por el recurrente en defensa de la independencia de Cataluña durante los años que precedieron a la celebración del referéndum ilegal, en apoyo y con apoyo del gobierno autonómico y sin injerencia de poder público alguno. Activismo que tanto el Tribunal Supremo en la sentencia impugnada como este tribunal en los fundamentos previos ha ponderado desde la perspectiva de su contribución al debate democrático. Como es obvio, la significación política de una persona y su liderazgo no puede generar una inmunidad penal (</w:t>
      </w:r>
      <w:r w:rsidRPr="005728DD">
        <w:rPr>
          <w:i/>
        </w:rPr>
        <w:t>Khodorkovskiy c. Rusia</w:t>
      </w:r>
      <w:r>
        <w:t xml:space="preserve">, 2011, § 258, y </w:t>
      </w:r>
      <w:r w:rsidRPr="005728DD">
        <w:rPr>
          <w:i/>
        </w:rPr>
        <w:t>Khodorkovskiy y Lebedev c. Rusia</w:t>
      </w:r>
      <w:r>
        <w:t xml:space="preserve">, 2013, § 903) cuando lo que se enjuicia son conductas que trascienden la actividad reivindicativa para pasar a integrar una estrategia </w:t>
      </w:r>
      <w:r>
        <w:lastRenderedPageBreak/>
        <w:t>política impuesta mediante la sinergia de mecanismos normativos inconstitucionales y vías de hecho impuestas por la fuerza.</w:t>
      </w:r>
    </w:p>
    <w:p w:rsidR="005728DD" w:rsidRDefault="005728DD" w:rsidP="005728DD">
      <w:pPr>
        <w:pStyle w:val="TextoNormal"/>
      </w:pPr>
    </w:p>
    <w:p w:rsidR="005728DD" w:rsidRDefault="005728DD" w:rsidP="005728DD">
      <w:pPr>
        <w:pStyle w:val="TextoNormal"/>
      </w:pPr>
      <w:r>
        <w:t>(iv) Ni el Tribunal Supremo tiene institucionalmente carácter de tribunal especial o excepcional, sino que es el órgano jurisdiccional superior ordinario en todos los órdenes, salvo lo dispuesto en materia de garantías constitucionales (art. 123 CE); ni su competencia se ha determinado con vulneración de las normas aplicables o con base en una interpretación forzada de las mismas, como razonamos en el fundamento cuarto. Tampoco la imparcialidad de sus miembros ofrece dudas (FJ 7).</w:t>
      </w:r>
    </w:p>
    <w:p w:rsidR="005728DD" w:rsidRDefault="005728DD" w:rsidP="005728DD">
      <w:pPr>
        <w:pStyle w:val="TextoNormal"/>
      </w:pPr>
    </w:p>
    <w:p w:rsidR="005728DD" w:rsidRDefault="005728DD" w:rsidP="005728DD">
      <w:pPr>
        <w:pStyle w:val="TextoNormal"/>
      </w:pPr>
      <w:r>
        <w:t>(v) Relaciona el recurrente diversos documentos, que califica de “informes de organismos internacionales” a pesar de que, en sentido estricto, no lo son, de fecha previa a la de la sentencia impugnada, sobre la que no se pronuncian, salvo en el caso de los posicionamientos de Amnistía Internacional. Como advierten el abogado del Estado y el fiscal en sus escritos, el llamado “informe del relator de la asamblea parlamentaria Consejo de Europa sobre la situación de los defensores de derechos humanos”, es, en realidad, el memorándum preliminar del diputado que lo suscribe, que ni siquiera ha sido votado en la asamblea parlamentaria. Asimismo la opinión del grupo de trabajo sobre detenciones arbitrarias, en la que insiste el recurrente, tal y como aclaró el Tribunal Supremo en un auto de 21 de junio de 2019, no refleja sino el criterio de un grupo de trabajo, puramente auxiliar e informativo de eventuales y futuros posicionamientos o declaraciones generales del Consejo de Derechos Humanos de Naciones Unidas. No se trata, por tanto, de dictámenes o declaraciones oficiales de organismos internacionales, sin perjuicio del respeto a la opinión de los expertos independientes.</w:t>
      </w:r>
    </w:p>
    <w:p w:rsidR="005728DD" w:rsidRDefault="005728DD" w:rsidP="005728DD">
      <w:pPr>
        <w:pStyle w:val="TextoNormal"/>
      </w:pPr>
    </w:p>
    <w:p w:rsidR="005728DD" w:rsidRDefault="005728DD" w:rsidP="005728DD">
      <w:pPr>
        <w:pStyle w:val="TextoNormal"/>
      </w:pPr>
      <w:r>
        <w:t>De cualquier manera, los pronunciamientos invocados, en términos del propio demandante, son “críticos” con su detención, enjuiciamiento y condena, mostrándose preocupados, en esencia, por la interferencia de la prisión provisional del recurrente con el ejercicio de los derechos a la libertad de expresión y reunión. Como es evidente, tal crítica difiere sustancialmente del contexto general de ofensiva contra la sociedad civil y la degradación en materia de derechos humanos, esencialmente en relación con detenciones de activistas, que apuntaban los informes y opiniones de varias instancias internacionales de derechos humanos que se valoraron en el asunt</w:t>
      </w:r>
      <w:r w:rsidRPr="005728DD">
        <w:rPr>
          <w:i/>
        </w:rPr>
        <w:t>o Rashad Hasan</w:t>
      </w:r>
      <w:r>
        <w:t>ov (§ 79 a 81, 125).</w:t>
      </w:r>
    </w:p>
    <w:p w:rsidR="005728DD" w:rsidRDefault="005728DD" w:rsidP="005728DD">
      <w:pPr>
        <w:pStyle w:val="TextoNormal"/>
      </w:pPr>
    </w:p>
    <w:p w:rsidR="005728DD" w:rsidRDefault="005728DD" w:rsidP="005728DD">
      <w:pPr>
        <w:pStyle w:val="TextoNormal"/>
      </w:pPr>
      <w:r>
        <w:t xml:space="preserve">Se trata de una situación radicalmente diversa de la que dibuja el sistema constitucional de derechos y libertades español y el funcionamiento de los poderes públicos. En general, como atestiguan numerosos informes y estudios de diversas instancias internacionales, y, en lo que aquí importa y a la simple vista de los hechos, en lo relativo a la actuación de los poderes públicos respecto al recurrente o sus compañeros de activismo. Como destaca el fiscal en sus alegaciones, ni en nuestro sistema constitucional ni en nuestro ordenamiento jurídico existe prohibición o limitación alguna para sostener tesis independentistas en los distintos territorios del Estado, ni para constituir partidos políticos que acojan un ideario independentista y concurran a las elecciones, ni para su expresión pública individual o colectiva. Así lo atestigua la propia existencia de un movimiento independentista catalán apoyado por sectores amplios de la sociedad catalana y vinculado a los partidos políticos que detentan el gobierno autonómico, que ejerce su libertad de expresión y de reunión en defensa de sus postulados ideológicos sin cortapisas, evidenciando que tal ideología no es objeto de persecución ni de trato discriminatorio de ninguna índole, ni por el Tribunal Supremo ni por </w:t>
      </w:r>
      <w:r>
        <w:lastRenderedPageBreak/>
        <w:t xml:space="preserve">ninguna otra instancia judicial o poder público del Estado. Rechazar la estrategia política independentista estrictamente por su contrariedad a la Constitución y sostener la legitimidad de defender el cumplimiento de las decisiones constitucionales y, con ellas, los derechos de todos los ciudadanos, como ha hecho el propio Tribunal Europeo de Derechos Humanos (Decisión del Tribunal Europeo de Derechos Humanos de 7 de mayo de 2019, asunto </w:t>
      </w:r>
      <w:r w:rsidRPr="005728DD">
        <w:rPr>
          <w:i/>
        </w:rPr>
        <w:t>Maria Carme Forcadell y Lluis y otros c. España</w:t>
      </w:r>
      <w:r>
        <w:t>, § 33, 37 a 38), en ningún caso puede entenderse como acreditativo o indiciario de un uso político del proceso penal.</w:t>
      </w:r>
    </w:p>
    <w:p w:rsidR="005728DD" w:rsidRDefault="005728DD" w:rsidP="005728DD">
      <w:pPr>
        <w:pStyle w:val="TextoNormal"/>
      </w:pPr>
    </w:p>
    <w:p w:rsidR="005728DD" w:rsidRDefault="005728DD" w:rsidP="005728DD">
      <w:pPr>
        <w:pStyle w:val="TextoNormal"/>
      </w:pPr>
      <w:r>
        <w:t>Conforme a lo razonado, la queja del demandante —que desde el momento de su detención el proceso penal perseguía una finalidad ulterior de represión política— ya ha sido descartada al resolver las sucesivas denuncias de vulneración de sus derechos fundamentales, sin que haga referencia ahora a ninguna alegación estrictamente nueva que no haya sido examinada. El motivo debe desestimarse y con él el recurso.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Jordi Cuixart i Navarro.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dos de junio de dos mil veintiuno.</w:t>
      </w:r>
    </w:p>
    <w:p w:rsidR="005728DD" w:rsidRDefault="005728DD" w:rsidP="005728DD">
      <w:pPr>
        <w:pStyle w:val="ParrafoNormal"/>
      </w:pPr>
    </w:p>
    <w:p w:rsidR="005728DD" w:rsidRDefault="005728DD" w:rsidP="005728DD">
      <w:pPr>
        <w:pStyle w:val="TextoNormalNegritaCentrado"/>
        <w:keepNext/>
      </w:pPr>
      <w:r>
        <w:t>Voto particular que formulan el magistrado don Juan Antonio Xiol Ríos y la magistrada doña María Luisa Balaguer Callejón respecto de la sentencia pronunciada en el recurso de amparo avocado núm. 1474-2020</w:t>
      </w:r>
    </w:p>
    <w:p w:rsidR="005728DD" w:rsidRDefault="005728DD" w:rsidP="005728DD">
      <w:pPr>
        <w:pStyle w:val="TextoNormalNegritaCentrado"/>
        <w:keepNext/>
      </w:pPr>
    </w:p>
    <w:p w:rsidR="005728DD" w:rsidRDefault="005728DD" w:rsidP="005728DD">
      <w:pPr>
        <w:pStyle w:val="TextoNormal"/>
      </w:pPr>
      <w:r>
        <w:t>Con el máximo respeto a nuestros compañeros de Pleno, manifestamos nuestra discrepancia con parte de la fundamentación jurídica y con el fallo de la sentencia, que consideramos que debería haber sido estimatorio por vulneración del derecho de reunión (art. 21 CE), ya que se ha dado una severa respuesta penal frente al ejercicio —aunque fuera extralimitado— de este derecho fundamental generando un indeseado efecto desaliento sobre el mismo; o, en su caso, por vulneración del derecho a la legalidad sancionadora (art. 25.1 CE), en relación con los derechos a la libertad personal (art. 17.1 CE), a la libertad ideológica (art. 16 CE), y de reunión (art. 21 CE), ya que se ha impuesto una sanción desproporcionada penalmente.</w:t>
      </w:r>
    </w:p>
    <w:p w:rsidR="005728DD" w:rsidRDefault="005728DD" w:rsidP="005728DD">
      <w:pPr>
        <w:pStyle w:val="TextoNormal"/>
      </w:pPr>
    </w:p>
    <w:p w:rsidR="005728DD" w:rsidRDefault="005728DD" w:rsidP="005728DD">
      <w:pPr>
        <w:pStyle w:val="TextoNormal"/>
      </w:pPr>
      <w:r>
        <w:t xml:space="preserve">Al margen de nuestra discrepancia,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Se expresa con la intención de poner de manifiesto la posibilidad, técnica también, de formular un juicio distinto sobre la respuesta penal dispensada a los supuestos de ejercicio, aunque sea extralimitado, del derecho fundamental de reunión, más acorde con una interpretación evolucionada y concordante con la del Tribunal Europeo de Derechos Humanos de la evitación del efecto desaliento sobre los derechos fundamentales por el recurso a sanciones penales de muy alta gravedad frente a conductas que </w:t>
      </w:r>
      <w:r>
        <w:lastRenderedPageBreak/>
        <w:t>se desenvuelven dentro de su ámbito material de protección. E, igualmente, de formular un juicio distinto sobre la proporcionalidad de las penas impuestas, más acorde con una interpretación abierta del principio de legalidad y en sintonía con la que está presente en el ámbito de la cultura jurídica común de los países de la Unión Europea. Una visión de los derechos de reunión y a la legalidad sancionadora que encuentran su articulación óptima en la preservación del Estado de Derecho.</w:t>
      </w:r>
    </w:p>
    <w:p w:rsidR="005728DD" w:rsidRDefault="005728DD" w:rsidP="005728DD">
      <w:pPr>
        <w:pStyle w:val="TextoNormal"/>
      </w:pPr>
    </w:p>
    <w:p w:rsidR="005728DD" w:rsidRDefault="005728DD" w:rsidP="005728DD">
      <w:pPr>
        <w:pStyle w:val="TextoNormal"/>
      </w:pPr>
      <w:r>
        <w:t>1. Han sido muy diversos los derechos fundamentales invocados por el recurrente respecto del procedimiento penal desarrollado ante la Sala de lo Penal del Tribunal Supremo que ha culminado con su condena a nueve años de prisión y otros tantos de inhabilitación absoluta por la comisión de un delito de sedición.</w:t>
      </w:r>
    </w:p>
    <w:p w:rsidR="005728DD" w:rsidRDefault="005728DD" w:rsidP="005728DD">
      <w:pPr>
        <w:pStyle w:val="TextoNormal"/>
      </w:pPr>
    </w:p>
    <w:p w:rsidR="005728DD" w:rsidRDefault="005728DD" w:rsidP="005728DD">
      <w:pPr>
        <w:pStyle w:val="TextoNormal"/>
      </w:pPr>
      <w:r>
        <w:t>En sendos votos particulares que formulamos a las SSTC 91/2021, de 22 de abril, y 106/2021, de 11 de mayo, en relación con la condena de otros dos acusados en este mismo procedimiento, ya pusimos de manifiesto que nuestro principal desacuerdo con la posición mayoritaria en la que se sustentaban dichas resoluciones radicaba en lo que consideramos un análisis de constitucionalidad y una resolución final de la invocación del derecho a la legalidad sancionadora, especialmente en la proyección del principio de proporcionalidad penal a la cuantificación de la sanción impuesta por el órgano judicial sentenciador, alejado de la que entendemos una visión más flexible del principio de legalidad penal. Flexibilidad que, a su vez, vinculamos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005728DD" w:rsidRDefault="005728DD" w:rsidP="005728DD">
      <w:pPr>
        <w:pStyle w:val="TextoNormal"/>
      </w:pPr>
    </w:p>
    <w:p w:rsidR="005728DD" w:rsidRDefault="005728DD" w:rsidP="005728DD">
      <w:pPr>
        <w:pStyle w:val="TextoNormal"/>
      </w:pPr>
      <w:r>
        <w:t>Recordábamos que un análisis alternativo, que nosotros consideramos de mayor corrección constitucional y más respetuoso con el actual estándar en el Derecho nacional y europeo de los derechos humanos, hubiera debido desembocar en sendas sentencias estimatorias. Incidíamos en que, sin negar la eventual relevancia penal de la conducta enjuiciada, hubiera debido acordarse en ambos casos la necesidad de una cuantificación de la pena acorde con el principio de proporcionalidad penal en atención a la gravedad de la conducta enjuiciada y a su vinculación con el contexto del ejercicio de derechos fundamentales sustantivos.</w:t>
      </w:r>
    </w:p>
    <w:p w:rsidR="005728DD" w:rsidRDefault="005728DD" w:rsidP="005728DD">
      <w:pPr>
        <w:pStyle w:val="TextoNormal"/>
      </w:pPr>
    </w:p>
    <w:p w:rsidR="005728DD" w:rsidRDefault="005728DD" w:rsidP="005728DD">
      <w:pPr>
        <w:pStyle w:val="TextoNormal"/>
      </w:pPr>
      <w:r>
        <w:t>En el presente caso, debemos remitirnos a los razonamientos expuestos en los citados votos particulares para insistir que también hubiera sido procedente estimar el presente recurso de amparo, al menos, por dicho motivo.</w:t>
      </w:r>
    </w:p>
    <w:p w:rsidR="005728DD" w:rsidRDefault="005728DD" w:rsidP="005728DD">
      <w:pPr>
        <w:pStyle w:val="TextoNormal"/>
      </w:pPr>
    </w:p>
    <w:p w:rsidR="005728DD" w:rsidRDefault="005728DD" w:rsidP="005728DD">
      <w:pPr>
        <w:pStyle w:val="TextoNormal"/>
      </w:pPr>
      <w:r>
        <w:t>2. En este recurso de amparo, además, concurren circunstancias singulares que, tal como también expusimos en la deliberación, abonaban la necesidad de establecer como causa principal de la estimación del recurso de amparo la vulneración del derecho de reunión (art. 21 CE) y no solo a la legalidad penal (art. 25.1 CE).</w:t>
      </w:r>
    </w:p>
    <w:p w:rsidR="005728DD" w:rsidRDefault="005728DD" w:rsidP="005728DD">
      <w:pPr>
        <w:pStyle w:val="TextoNormal"/>
      </w:pPr>
    </w:p>
    <w:p w:rsidR="005728DD" w:rsidRDefault="005728DD" w:rsidP="005728DD">
      <w:pPr>
        <w:pStyle w:val="TextoNormal"/>
      </w:pPr>
      <w:r>
        <w:t xml:space="preserve">La conducta de este recurrente, habida cuenta de su condición de presidente de una organización de la sociedad civil y de la concreta participación en los hechos por los que ha sido condenado, se desenvolvía dentro del ámbito material del derecho fundamental de reunión con mayor claridad que la de otros condenados. Por tanto, aun considerando que dicha conducta se extralimitara en el ejercicio legítimo de ese derecho fundamental, entendemos que recurrir al derecho penal y a la imposición de una pena privativa de libertad en </w:t>
      </w:r>
      <w:r>
        <w:lastRenderedPageBreak/>
        <w:t>la extensión que ha sido aplicada —nueve años de prisión y de inhabilitación absoluta— implica una respuesta indebida que provoca un efecto desaliento en el ejercicio de este derecho fundamental incompatible con su relevancia y posición institucional en una sociedad democrática plena y avanzada.</w:t>
      </w:r>
    </w:p>
    <w:p w:rsidR="005728DD" w:rsidRDefault="005728DD" w:rsidP="005728DD">
      <w:pPr>
        <w:pStyle w:val="TextoNormal"/>
      </w:pPr>
    </w:p>
    <w:p w:rsidR="005728DD" w:rsidRDefault="005728DD" w:rsidP="005728DD">
      <w:pPr>
        <w:pStyle w:val="TextoNormal"/>
      </w:pPr>
      <w:r>
        <w:t>El proceso argumental que nos ha llevado a defender esta conclusión durante la deliberación es, en parte, coincidente con el de la posición mayoritaria en la que se sustenta la sentencia. Compartimos con la posición mayoritaria el parámetro de control de constitucionalidad establecido para el análisis de la invocación del derecho de reunión y la amplitud con la que se valora el ámbito material de protección de este derecho fundamental. Esta argumentación es la que lleva a la posición mayoritaria a defender que la conducta del recurrente se desenvolvía dentro de dicho ámbito material. Sin embargo, disentimos con la posición mayoritaria respecto de las posibilidades de injerencia legítima en este derecho mediante el recurso al derecho penal, al sostener que en este caso una sanción penal de la gravedad de la impuesta es una injerencia legítima respetuosa con el derecho de reunión.</w:t>
      </w:r>
    </w:p>
    <w:p w:rsidR="005728DD" w:rsidRDefault="005728DD" w:rsidP="005728DD">
      <w:pPr>
        <w:pStyle w:val="TextoNormal"/>
      </w:pPr>
    </w:p>
    <w:p w:rsidR="005728DD" w:rsidRDefault="005728DD" w:rsidP="005728DD">
      <w:pPr>
        <w:pStyle w:val="TextoNormal"/>
      </w:pPr>
      <w:r>
        <w:t>A esos efectos, y para posibilitar la mayor claridad expositiva, aunque pueda resultar reiterativo con la posición expuesta por la mayoría, resulta adecuado abordar (i) el parámetro o estándar de constitucionalidad vinculado a la reacción penal frente al ejercicio de un derecho fundamental sustantivo; (ii) el análisis de los supuestos de injerencia legítima en el ejercicio del derecho de reunión y sus límites; para finalizar con (iii) la proyección y aplicación que consideramos hubiera sido más adecuada en este caso del derecho fundamental de reunión en respeto a su posición institucional en nuestro sistema constitucional —y de integración en el Consejo de Europa y la Unión Europea— de reconocimiento y protección de los derechos fundamentales.</w:t>
      </w:r>
    </w:p>
    <w:p w:rsidR="005728DD" w:rsidRDefault="005728DD" w:rsidP="005728DD">
      <w:pPr>
        <w:pStyle w:val="TextoNormal"/>
      </w:pPr>
    </w:p>
    <w:p w:rsidR="005728DD" w:rsidRDefault="005728DD" w:rsidP="005728DD">
      <w:pPr>
        <w:pStyle w:val="TextoNormal"/>
      </w:pPr>
      <w:r w:rsidRPr="005728DD">
        <w:rPr>
          <w:i/>
        </w:rPr>
        <w:t>I. Los problemas de constitucionalidad del uso de la sanción penal frente a conductas desarrolladas en el ámbito material del ejercicio de los derechos fundamentales</w:t>
      </w:r>
      <w:r>
        <w:t>.</w:t>
      </w:r>
    </w:p>
    <w:p w:rsidR="005728DD" w:rsidRDefault="005728DD" w:rsidP="005728DD">
      <w:pPr>
        <w:pStyle w:val="TextoNormal"/>
      </w:pPr>
    </w:p>
    <w:p w:rsidR="005728DD" w:rsidRDefault="005728DD" w:rsidP="005728DD">
      <w:pPr>
        <w:pStyle w:val="TextoNormal"/>
      </w:pPr>
      <w:r>
        <w:t>3. La posición mayoritaria en la que se sustenta la sentencia acepta que, de conformidad con la jurisprudencia constitucional y la del Tribunal Europeo de Derechos Humanos, el parámetro de constitucionalidad que debe aplicarse en aquellos casos en que se acude al sistema de justicia penal para sancionar conductas que se desenvuelven en el ámbito material del ejercicio de derechos fundamentales cuenta con tres secuencias de control:</w:t>
      </w:r>
    </w:p>
    <w:p w:rsidR="005728DD" w:rsidRDefault="005728DD" w:rsidP="005728DD">
      <w:pPr>
        <w:pStyle w:val="TextoNormal"/>
      </w:pPr>
    </w:p>
    <w:p w:rsidR="005728DD" w:rsidRDefault="005728DD" w:rsidP="005728DD">
      <w:pPr>
        <w:pStyle w:val="TextoNormal"/>
      </w:pPr>
      <w:r>
        <w:t>(i) La verificación de que la conducta objeto de sanción penal se desarrolla dentro del ámbito sobre el que se proyecta el derecho fundamental, lo que ya implicaría, por razón de la materia, la necesidad de ponderar la afectación del derecho fundamental concernido a partir de la respuesta penal.</w:t>
      </w:r>
    </w:p>
    <w:p w:rsidR="005728DD" w:rsidRDefault="005728DD" w:rsidP="005728DD">
      <w:pPr>
        <w:pStyle w:val="TextoNormal"/>
      </w:pPr>
    </w:p>
    <w:p w:rsidR="005728DD" w:rsidRDefault="005728DD" w:rsidP="005728DD">
      <w:pPr>
        <w:pStyle w:val="TextoNormal"/>
      </w:pPr>
      <w:r>
        <w:t xml:space="preserve">(ii) La comprobación de que la conducta penalmente sancionada, en atención al haz de garantías y posibilidades de actuación o resistencia que otorga el derecho fundamental concernido, se ha desarrollado plenamente dentro del ámbito constitucionalmente protegido por este derecho —esto es, representa un ejercicio legítimo del derecho—, lo que implicaría una inmunidad frente a cualquier actuación e injerencia del poder estatal, también la derivada de la potestad sancionatoria, a partir de la premisa de que una conducta no puede ser a un mismo tiempo valorada como un acto de ejercicio de un derecho fundamental y como constitutiva de un ilícito de cualquier naturaleza. En tal caso la reacción sancionatoria debe ser </w:t>
      </w:r>
      <w:r>
        <w:lastRenderedPageBreak/>
        <w:t>considerada una injerencia injustificada en el derecho fundamental sustantivo lesiva del mismo.</w:t>
      </w:r>
    </w:p>
    <w:p w:rsidR="005728DD" w:rsidRDefault="005728DD" w:rsidP="005728DD">
      <w:pPr>
        <w:pStyle w:val="TextoNormal"/>
      </w:pPr>
    </w:p>
    <w:p w:rsidR="005728DD" w:rsidRDefault="005728DD" w:rsidP="005728DD">
      <w:pPr>
        <w:pStyle w:val="TextoNormal"/>
      </w:pPr>
      <w:r>
        <w:t>(iii) La comprobación de que la sanción penal de la conducta —incluso cuando dicha conducta no pueda considerarse como legítimo ejercicio del derecho fundamental concernido por haberse sobrepasado sus límites de protección estricta— supone una injerencia en dicho derecho que, además de estar prevista expresamente como delito y perseguir un fin legítimo, resulta necesaria y proporcionada para la consecución de este fin legítimo en evitación del efecto desaliento que provocaría sobre el propio sujeto sancionado y la colectividad para el ejercicio del derecho fundamental. En tal caso la reacción penal deber ser considerada una injerencia desproporcionada en el derecho fundamental sustantivo lesiva del mismo.</w:t>
      </w:r>
    </w:p>
    <w:p w:rsidR="005728DD" w:rsidRDefault="005728DD" w:rsidP="005728DD">
      <w:pPr>
        <w:pStyle w:val="TextoNormal"/>
      </w:pPr>
    </w:p>
    <w:p w:rsidR="005728DD" w:rsidRDefault="005728DD" w:rsidP="005728DD">
      <w:pPr>
        <w:pStyle w:val="TextoNormal"/>
      </w:pPr>
      <w:r>
        <w:t>4. Ninguna objeción hay que realizar a esta posición de principio aceptada por la mayoría, que, por otra parte, viene a coincidir con la que ya mantuvimos en el voto particular que formulamos a la STC 192/2020, de 17 de diciembre, en un supuesto de sanción penal del ejercicio de la libertad de expresión.</w:t>
      </w:r>
    </w:p>
    <w:p w:rsidR="005728DD" w:rsidRDefault="005728DD" w:rsidP="005728DD">
      <w:pPr>
        <w:pStyle w:val="TextoNormal"/>
      </w:pPr>
    </w:p>
    <w:p w:rsidR="005728DD" w:rsidRDefault="005728DD" w:rsidP="005728DD">
      <w:pPr>
        <w:pStyle w:val="TextoNormal"/>
      </w:pPr>
      <w:r>
        <w:t>En aquel caso, como en el presente, nuestra discrepancia con la mayoría se fundamenta no tanto en la formulación general del parámetro de constitucionalidad aplicable en aquellos supuestos en que se acude al sistema de justicia penal para sancionar conductas que se desenvuelven en el contexto del ejercicio de derechos fundamentales como en el análisis de la amplitud del derecho fundamental concernido —en este caso, el derecho de reunión (art. 21 CE)— y, especialmente, las posibilidades de injerencia en este derecho mediante el recurso de la sanción penal a las conductas que se desenvuelven en conexión con su ámbito de protección y la valoración concretamente realizada sobre la legitimidad —justificación y proporcionalidad— de la injerencia en este derecho en forma de la sanción penal de nueve años de prisión impuesta al recurrente en el presente caso.</w:t>
      </w:r>
    </w:p>
    <w:p w:rsidR="005728DD" w:rsidRDefault="005728DD" w:rsidP="005728DD">
      <w:pPr>
        <w:pStyle w:val="TextoNormal"/>
      </w:pPr>
    </w:p>
    <w:p w:rsidR="005728DD" w:rsidRDefault="005728DD" w:rsidP="005728DD">
      <w:pPr>
        <w:pStyle w:val="TextoNormal"/>
      </w:pPr>
      <w:r w:rsidRPr="005728DD">
        <w:rPr>
          <w:i/>
        </w:rPr>
        <w:t>II. Las posibilidades de injerencia legítima —justificada y proporcional— mediante el recurso al sistema de justicia penal en el ejercicio del derecho de reunión</w:t>
      </w:r>
      <w:r>
        <w:t>.</w:t>
      </w:r>
    </w:p>
    <w:p w:rsidR="005728DD" w:rsidRDefault="005728DD" w:rsidP="005728DD">
      <w:pPr>
        <w:pStyle w:val="TextoNormal"/>
      </w:pPr>
    </w:p>
    <w:p w:rsidR="005728DD" w:rsidRDefault="005728DD" w:rsidP="005728DD">
      <w:pPr>
        <w:pStyle w:val="TextoNormal"/>
      </w:pPr>
      <w:r>
        <w:t>5. La posición mayoritaria en la que se sustenta la sentencia expone el ámbito constitucional de protección del derecho de reunión (art. 21 CE) incidiendo en alguno de sus aspectos esenciales: (i) El carácter básico de este derecho, que se constituye como un pilar fundamental de una sociedad democrática; (ii) su configuración como una manifestación colectiva de la libertad de expresión al servicio del libre intercambio de ideas y reivindicaciones en el contexto de una democracia participativa; (iii) un ámbito material de protección vinculado al carácter pacífico de la reunión; (iv) la posibilidad de limitaciones o injerencias proporcionadas en el ejercicio del derecho justificada en la prevalencia de otros intereses o valores constitucionales; y (v) la necesidad de que las limitaciones a su ejercicio sean interpretadas y aplicadas restrictivamente.</w:t>
      </w:r>
    </w:p>
    <w:p w:rsidR="005728DD" w:rsidRDefault="005728DD" w:rsidP="005728DD">
      <w:pPr>
        <w:pStyle w:val="TextoNormal"/>
      </w:pPr>
    </w:p>
    <w:p w:rsidR="005728DD" w:rsidRDefault="005728DD" w:rsidP="005728DD">
      <w:pPr>
        <w:pStyle w:val="TextoNormal"/>
      </w:pPr>
      <w:r>
        <w:t>Compartimos tales premisas; sin embargo, a nuestro juicio, hubiera sido preciso profundizar en determinados aspectos relevantes para el más correcto enjuiciamiento del caso, sobre los que ha incidido especialmente la jurisprudencia del Tribunal Europeo de Derechos Humanos, que ha desarrollado un amplio y casuístico tratamiento de los supuestos de inje</w:t>
      </w:r>
      <w:r>
        <w:lastRenderedPageBreak/>
        <w:t>rencia en este derecho. A esos efectos, es preciso destacar determinadas ideas tanto en relación con el propio ámbito material de protección de este derecho como, especialmente, respecto de la legitimidad de su injerencia mediante el recurso al sistema de justicia penal.</w:t>
      </w:r>
    </w:p>
    <w:p w:rsidR="005728DD" w:rsidRDefault="005728DD" w:rsidP="005728DD">
      <w:pPr>
        <w:pStyle w:val="TextoNormal"/>
      </w:pPr>
    </w:p>
    <w:p w:rsidR="005728DD" w:rsidRDefault="005728DD" w:rsidP="005728DD">
      <w:pPr>
        <w:pStyle w:val="TextoNormal"/>
      </w:pPr>
      <w:r>
        <w:t xml:space="preserve">6. El ámbito material de protección del derecho de reunión se extiende a cualquier tipo de reuniones o manifestaciones pacíficas, en el sentido de que los organizadores y los participantes no tengan intenciones violentas, inciten a la violencia o impliquen la negación de los fundamentos de una sociedad democrática (así, SSTEDH de 24 de julio de 2012, caso </w:t>
      </w:r>
      <w:r w:rsidRPr="005728DD">
        <w:rPr>
          <w:i/>
        </w:rPr>
        <w:t>Fáber c. Hungría</w:t>
      </w:r>
      <w:r>
        <w:t xml:space="preserve">, § 37; de 15 de octubre de 2015, caso </w:t>
      </w:r>
      <w:r w:rsidRPr="005728DD">
        <w:rPr>
          <w:i/>
        </w:rPr>
        <w:t>Kudrevičius y otros c. Lituania</w:t>
      </w:r>
      <w:r>
        <w:t xml:space="preserve">, § 92; de 25 de julio de 2017, caso </w:t>
      </w:r>
      <w:r w:rsidRPr="005728DD">
        <w:rPr>
          <w:i/>
        </w:rPr>
        <w:t>Annenkov y otros c. Rusia</w:t>
      </w:r>
      <w:r>
        <w:t>, § 122, o de 15 de noviembre de 2018, cas</w:t>
      </w:r>
      <w:r w:rsidRPr="005728DD">
        <w:rPr>
          <w:i/>
        </w:rPr>
        <w:t>o Navalnyy c. Rus</w:t>
      </w:r>
      <w:r>
        <w:t>ia, § 98).</w:t>
      </w:r>
    </w:p>
    <w:p w:rsidR="005728DD" w:rsidRDefault="005728DD" w:rsidP="005728DD">
      <w:pPr>
        <w:pStyle w:val="TextoNormal"/>
      </w:pPr>
    </w:p>
    <w:p w:rsidR="005728DD" w:rsidRDefault="005728DD" w:rsidP="005728DD">
      <w:pPr>
        <w:pStyle w:val="TextoNormal"/>
      </w:pPr>
      <w:r>
        <w:t xml:space="preserve">El Tribunal Europeo de Derechos Humanos ha hecho especial incidencia en que lo relevante para que la reunión se desenvuelva dentro del ámbito material de protección de este derecho no es tanto que se hayan producido actos de violencia en el contexto de la reunión o manifestación, sino que, incluso tratándose de manifestaciones prohibidas, no quede acreditada una intención violenta en sus convocantes o participantes. Así, se establece que una persona no deja de disfrutar del derecho de reunión pacífica como resultado de violencia esporádica u otros actos punibles cometidos por otros en el curso de la manifestación si la persona en cuestión permanece pacífica en sus propias intenciones o comportamiento (SSTEDH de 12 de junio de 2014, caso </w:t>
      </w:r>
      <w:r w:rsidRPr="005728DD">
        <w:rPr>
          <w:i/>
        </w:rPr>
        <w:t>Primov y otros c. Rusia</w:t>
      </w:r>
      <w:r>
        <w:t xml:space="preserve">, § 155; de 15 de octubre de 2015, caso </w:t>
      </w:r>
      <w:r w:rsidRPr="005728DD">
        <w:rPr>
          <w:i/>
        </w:rPr>
        <w:t>Kudrevičius y otros c. Lituania</w:t>
      </w:r>
      <w:r>
        <w:t xml:space="preserve">, § 94; de 25 de julio de 2017, caso </w:t>
      </w:r>
      <w:r w:rsidRPr="005728DD">
        <w:rPr>
          <w:i/>
        </w:rPr>
        <w:t>Annenkov y otros c. Rusia</w:t>
      </w:r>
      <w:r>
        <w:t xml:space="preserve">, § 124; o de 6 de octubre de 2020, caso </w:t>
      </w:r>
      <w:r w:rsidRPr="005728DD">
        <w:rPr>
          <w:i/>
        </w:rPr>
        <w:t>Laguna Guzmán c. España</w:t>
      </w:r>
      <w:r>
        <w:t xml:space="preserve">, § 35). Igualmente, que, incluso si existe un riesgo real de que una manifestación pública sea la causa de disturbios debido a eventos fuera del control de los organizadores, esta manifestación, por esta sola razón, no queda fuera de la protección del este derecho, siendo exigible que cualquier restricción impuesta cumpla las exigencias de la legitimidad de la limitación del derecho (así, SSTEDH de 18 de junio de 2013, caso </w:t>
      </w:r>
      <w:r w:rsidRPr="005728DD">
        <w:rPr>
          <w:i/>
        </w:rPr>
        <w:t>Gün y otros c. Turquía</w:t>
      </w:r>
      <w:r>
        <w:t xml:space="preserve">, § 51; de 15 de mayo de 2014, caso </w:t>
      </w:r>
      <w:r w:rsidRPr="005728DD">
        <w:rPr>
          <w:i/>
        </w:rPr>
        <w:t>Taranenko c. Rusia</w:t>
      </w:r>
      <w:r>
        <w:t>, § 66, o de 15 de octubre de 2015, cas</w:t>
      </w:r>
      <w:r w:rsidRPr="005728DD">
        <w:rPr>
          <w:i/>
        </w:rPr>
        <w:t>o Kudrevičius y otros c. Lituan</w:t>
      </w:r>
      <w:r>
        <w:t>ia, § 94).</w:t>
      </w:r>
    </w:p>
    <w:p w:rsidR="005728DD" w:rsidRDefault="005728DD" w:rsidP="005728DD">
      <w:pPr>
        <w:pStyle w:val="TextoNormal"/>
      </w:pPr>
    </w:p>
    <w:p w:rsidR="005728DD" w:rsidRDefault="005728DD" w:rsidP="005728DD">
      <w:pPr>
        <w:pStyle w:val="TextoNormal"/>
      </w:pPr>
      <w:r>
        <w:t xml:space="preserve">Por lo que se refiere al contenido y objeto de la reunión o manifestación, el Tribunal Europeo de Derechos Humanos ha establecido que queda protegido por el derecho de reunión pacífica cualquier manifestación que puede molestar u ofender a personas que se oponen a las ideas que se pretenden promover por muy chocantes e inaceptables que puedan parecer a las autoridades determinadas opiniones (STEDH de 15 de octubre de 2015, caso </w:t>
      </w:r>
      <w:r w:rsidRPr="005728DD">
        <w:rPr>
          <w:i/>
        </w:rPr>
        <w:t>Kudrevičius y otros c. Lituania</w:t>
      </w:r>
      <w:r>
        <w:t xml:space="preserve">, § 145). Ese ámbito de protección se extiende también a los casos en que el objeto de la reunión o manifestación implique la promoción de cambios constitucionales radicales, incluyendo reivindicaciones independentistas de una parte del territorio (así, decisión del Tribunal Europeo de Derechos Humanos de 7 de mayo de 2019, caso </w:t>
      </w:r>
      <w:r w:rsidRPr="005728DD">
        <w:rPr>
          <w:i/>
        </w:rPr>
        <w:t>Forcadell i Lluis y otros c. España</w:t>
      </w:r>
      <w:r>
        <w:t xml:space="preserve">, en relación con la STEDH de 30 de junio de 2009, caso </w:t>
      </w:r>
      <w:r w:rsidRPr="005728DD">
        <w:rPr>
          <w:i/>
        </w:rPr>
        <w:t>Herri Batasuna y Batasuna c. España</w:t>
      </w:r>
      <w:r>
        <w:t xml:space="preserve">, § 79). Sin embargo, no quedan protegidas por el ámbito material de este derecho la promoción, aunque sea de forma no violenta, de ideas contrarias a los principios materiales de una sociedad democrática como pueden ser, por ejemplo, posiciones antisemitas (así, decisión del Tribunal Europeo de Derechos Humanos de 12 de junio de 2012, caso </w:t>
      </w:r>
      <w:r w:rsidRPr="005728DD">
        <w:rPr>
          <w:i/>
        </w:rPr>
        <w:t>Partido de la Liberación y otros c. Alemania</w:t>
      </w:r>
      <w:r>
        <w:t>).</w:t>
      </w:r>
    </w:p>
    <w:p w:rsidR="005728DD" w:rsidRDefault="005728DD" w:rsidP="005728DD">
      <w:pPr>
        <w:pStyle w:val="TextoNormal"/>
      </w:pPr>
    </w:p>
    <w:p w:rsidR="005728DD" w:rsidRDefault="005728DD" w:rsidP="005728DD">
      <w:pPr>
        <w:pStyle w:val="TextoNormal"/>
      </w:pPr>
      <w:r>
        <w:lastRenderedPageBreak/>
        <w:t xml:space="preserve">Por otra parte, la jurisprudencia del Tribunal Europeo de Derechos Humanos también ha destacado que el mero hecho de que pueda existir en los convocantes o participantes una intención o conducta penalmente ilícita, siempre que no resulte violenta, tampoco es suficiente para excluir el ámbito de aplicación de este derecho fundamental. Así, por ejemplo, en la STEDH de 15 de mayo de 2014, caso </w:t>
      </w:r>
      <w:r w:rsidRPr="005728DD">
        <w:rPr>
          <w:i/>
        </w:rPr>
        <w:t>Taranenko c. Rusia</w:t>
      </w:r>
      <w:r>
        <w:t xml:space="preserve">, no hubo ninguna objeción por razón de la materia para considerar concernido el derecho de reunión pacífica —e incluso para concluir que fue lesionado— un supuesto de ocupación por manifestantes de la zona de recepción de un edificio público, en las que provocaron daños, exigiendo una reunión con los responsables de la administración pública y denunciando el incumplimiento de la Constitución; como tampoco en la STEDH de 25 de julio de 2017, caso </w:t>
      </w:r>
      <w:r w:rsidRPr="005728DD">
        <w:rPr>
          <w:i/>
        </w:rPr>
        <w:t>Annenkov y otros c. Rusia</w:t>
      </w:r>
      <w:r>
        <w:t xml:space="preserve">, referido a la ocupación permanente de un inmueble de propiedad privada en protesta por su cesión a una empresa privada y hasta que se aclararan los aspectos relativos a la legalidad de su demolición; o en la STEDH de 9 de abril de 2002, caso </w:t>
      </w:r>
      <w:r w:rsidRPr="005728DD">
        <w:rPr>
          <w:i/>
        </w:rPr>
        <w:t>Cisse c. Francia</w:t>
      </w:r>
      <w:r>
        <w:t xml:space="preserve">, ante la ocupación durante casi dos meses de una iglesia católica. Lo mismo sucedió en el caso de la STEDH de 15 de octubre de 2015, caso </w:t>
      </w:r>
      <w:r w:rsidRPr="005728DD">
        <w:rPr>
          <w:i/>
        </w:rPr>
        <w:t>Kudrevičius y otros c. Lituania</w:t>
      </w:r>
      <w:r>
        <w:t>, referido al mantenimiento del bloqueo al tráfico rodado de una vía pública durante tres días.</w:t>
      </w:r>
    </w:p>
    <w:p w:rsidR="005728DD" w:rsidRDefault="005728DD" w:rsidP="005728DD">
      <w:pPr>
        <w:pStyle w:val="TextoNormal"/>
      </w:pPr>
    </w:p>
    <w:p w:rsidR="005728DD" w:rsidRDefault="005728DD" w:rsidP="005728DD">
      <w:pPr>
        <w:pStyle w:val="TextoNormal"/>
      </w:pPr>
      <w:r>
        <w:t xml:space="preserve">Del mismo modo, el Tribunal Europeo de Derechos Humanos tampoco ha excluido por razón de la materia la aplicación del parámetro de control relativo al derecho de reunión pacífica de aquellos supuestos en los que las manifestaciones se desarrollan en protesta, oposición o contradicción con resoluciones de las autoridades estatales. Así, por ejemplo, el Tribunal Europeo de Derechos Humanos no excluyó que se tratara de una reunión pacífica el llamamiento de un candidato presidencial a sus seguidores para que se concentraran contra las irregularidades que supuestamente habían ocurrido en el proceso electoral, anunciando que las elecciones no habían sido libres ni justas, a pesar de que la comisión electoral había ratificado el resultado de las elecciones, provocando con ellos la celebración de reuniones públicas masivas de protesta diarias en muchas ciudades del país, algunas con ocupaciones continuadas durante días de espacios públicos, teniendo una activa participación con la emisión de discursos dos o tres veces diarias a los congregados en la que pedía regularmente que continuaran las protestas masivas. Todo ello culminó con la dispersión por la fuerza pública de los manifestantes que se mantuvieron en situación de reuniones masivas en otros lugares de la ciudad produciéndose enfrentamientos entre manifestantes y agentes del orden con el resultado de diez muertos y numerosos heridos (STEDH de 25 de abril de 2019, caso </w:t>
      </w:r>
      <w:r w:rsidRPr="005728DD">
        <w:rPr>
          <w:i/>
        </w:rPr>
        <w:t>Ter-Petrosyan c. Armenia</w:t>
      </w:r>
      <w:r>
        <w:t xml:space="preserve">, § 8 a 25 y 53). También puede citarse el supuesto de celebración de una reunión, cuyo objetivo era denunciar y condenar la conducta de malversación de fondos públicos, que había sido prohibida porque las autoridades policiales, de la fiscalía y de control contable ya habían investigado esas acusaciones y habían llegado a la conclusión de que no tenían fundamento (STEDH de 12 de junio de 2014, caso </w:t>
      </w:r>
      <w:r w:rsidRPr="005728DD">
        <w:rPr>
          <w:i/>
        </w:rPr>
        <w:t>Primov y otros c. Rusia</w:t>
      </w:r>
      <w:r>
        <w:t>, § 7) o la negativa a disolver una reunión tras recibir un requerimiento expreso de la autoridad competente, haciendo un llamamiento a mantener la concentración (STEDH de 5 de enero de 2016, cas</w:t>
      </w:r>
      <w:r w:rsidRPr="005728DD">
        <w:rPr>
          <w:i/>
        </w:rPr>
        <w:t>o Frumkin c. Rus</w:t>
      </w:r>
      <w:r>
        <w:t>ia).</w:t>
      </w:r>
    </w:p>
    <w:p w:rsidR="005728DD" w:rsidRDefault="005728DD" w:rsidP="005728DD">
      <w:pPr>
        <w:pStyle w:val="TextoNormal"/>
      </w:pPr>
    </w:p>
    <w:p w:rsidR="005728DD" w:rsidRDefault="005728DD" w:rsidP="005728DD">
      <w:pPr>
        <w:pStyle w:val="TextoNormal"/>
      </w:pPr>
      <w:r>
        <w:t xml:space="preserve">Otros casos relevantes en que tampoco se niega que quedan dentro del ámbito material de protección del derecho de reunión pacífica a pesar de ser en oposición a resoluciones de cortes constitucionales, son (i) el resuelto en la STEDH de 11 de octubre de 2018, caso </w:t>
      </w:r>
      <w:r w:rsidRPr="005728DD">
        <w:rPr>
          <w:i/>
        </w:rPr>
        <w:t>Tuskia y otros c. Georgia</w:t>
      </w:r>
      <w:r>
        <w:t xml:space="preserve">, en que diversos manifestantes, incluyendo algunos miembros del gran consejo académico de una universidad, que había desaparecido en virtud de una norma </w:t>
      </w:r>
      <w:r>
        <w:lastRenderedPageBreak/>
        <w:t xml:space="preserve">estatal cuya constitucionalidad había sido confirmada por el Tribunal Constitucional, afirmaron mantener sus competencias, en desacato del mismo, nombrando un nuevo rector de la universidad, ocupando determinadas dependencias de la universidad e invadiendo el despacho del rector nombrado por la nueva norma estatal exigiéndole su dimisión; y (ii) el resuelto en la decisión del Tribunal Europeo de Derechos Humanos de 7 de mayo de 2019, caso </w:t>
      </w:r>
      <w:r w:rsidRPr="005728DD">
        <w:rPr>
          <w:i/>
        </w:rPr>
        <w:t>Forcadell i Lluis y otros c. España</w:t>
      </w:r>
      <w:r>
        <w:t>, en que tampoco se objetó la posibilidad de analizar bajo la invocación del derecho de reunión la suspensión de una sesión parlamentaria en aplicación de una resolución de este Tribunal Constitucional.</w:t>
      </w:r>
    </w:p>
    <w:p w:rsidR="005728DD" w:rsidRDefault="005728DD" w:rsidP="005728DD">
      <w:pPr>
        <w:pStyle w:val="TextoNormal"/>
      </w:pPr>
    </w:p>
    <w:p w:rsidR="005728DD" w:rsidRDefault="005728DD" w:rsidP="005728DD">
      <w:pPr>
        <w:pStyle w:val="TextoNormal"/>
      </w:pPr>
      <w:r>
        <w:t>En conclusión, a nuestro juicio, habría sido necesario, con fundamento en el art. 10.2 CE, en relación con la jurisprudencia del Tribunal Europeo de Derechos Humanos, que se hubiera concretado, dentro del parámetro de control de constitucionalidad relativo al derecho de reunión, de manera más precisa y matizada lo siguiente:</w:t>
      </w:r>
    </w:p>
    <w:p w:rsidR="005728DD" w:rsidRDefault="005728DD" w:rsidP="005728DD">
      <w:pPr>
        <w:pStyle w:val="TextoNormal"/>
      </w:pPr>
    </w:p>
    <w:p w:rsidR="005728DD" w:rsidRDefault="005728DD" w:rsidP="005728DD">
      <w:pPr>
        <w:pStyle w:val="TextoNormal"/>
      </w:pPr>
      <w:r>
        <w:t>(i) El ámbito de protección material de este derecho alcanza a toda reunión o manifestación pacífica, entendiendo por tal aquella que, con independencia de la radicalidad del mensaje y de las reivindicaciones sostenidas, los organizadores y los participantes no tengan intenciones violentas, ni inciten a la violencia o impliquen la negación de los fundamentos de una sociedad democrática.</w:t>
      </w:r>
    </w:p>
    <w:p w:rsidR="005728DD" w:rsidRDefault="005728DD" w:rsidP="005728DD">
      <w:pPr>
        <w:pStyle w:val="TextoNormal"/>
      </w:pPr>
    </w:p>
    <w:p w:rsidR="005728DD" w:rsidRDefault="005728DD" w:rsidP="005728DD">
      <w:pPr>
        <w:pStyle w:val="TextoNormal"/>
      </w:pPr>
      <w:r>
        <w:t>(ii) El carácter pacífico de una reunión o manifestación no queda negado (a) por la circunstancia de que se hayan producido actos de violencia en su contexto, incluso si existía un riesgo real de que por la naturaleza de la situación pudieran causarse disturbios, si la persona en cuestión permanece pacífica en sus propias intenciones o comportamiento, (b) ni por el mero hecho de que pudiera existir en los convocantes o participantes una intención o conducta penalmente ilícita, siempre que no resulte violenta —ocupaciones, pequeños daños, obstrucción de la circulación, etc.—, (c) ni que se desarrollen en protesta, oposición o contradicción con resoluciones de las autoridades competentes, incluyendo reuniones expresamente prohibidas.</w:t>
      </w:r>
    </w:p>
    <w:p w:rsidR="005728DD" w:rsidRDefault="005728DD" w:rsidP="005728DD">
      <w:pPr>
        <w:pStyle w:val="TextoNormal"/>
      </w:pPr>
    </w:p>
    <w:p w:rsidR="005728DD" w:rsidRDefault="005728DD" w:rsidP="005728DD">
      <w:pPr>
        <w:pStyle w:val="TextoNormal"/>
      </w:pPr>
      <w:r>
        <w:t>7. La circunstancia de que una determinada conducta o acto quede dentro del ámbito material del derecho de reunión no implica, lógicamente, que cualquier restricción o injerencia quede constitucionalmente prohibida. No obstante, las eventuales restricciones o injerencias de que sea objeto quedan sometidas a los estrictos requisitos que legitiman este tipo de limitaciones: previsión normativa, persecución de un fin legítimo, necesidad y proporcionalidad.</w:t>
      </w:r>
    </w:p>
    <w:p w:rsidR="005728DD" w:rsidRDefault="005728DD" w:rsidP="005728DD">
      <w:pPr>
        <w:pStyle w:val="TextoNormal"/>
      </w:pPr>
    </w:p>
    <w:p w:rsidR="005728DD" w:rsidRDefault="005728DD" w:rsidP="005728DD">
      <w:pPr>
        <w:pStyle w:val="TextoNormal"/>
      </w:pPr>
      <w:r>
        <w:t xml:space="preserve">Las injerencias o restricciones que plantean mayores problemas son, precisamente, las que consisten en la represión penal de las conductas que se desenvuelven en el ámbito material del derecho de reunión. Estas injerencias, en principio, no suelen plantear problemas desde la perspectiva de su previsión normativa —protegida además por el derecho a la legalidad sancionadora— ni la persecución de un fin legítimo —normalmente vinculado a la protección del orden público o de los intereses o valores constitucionalmente tutelados por el tipo penal correspondiente—. Sin embargo, deben ser objeto de un muy especial e intenso escrutinio desde la perspectiva de su necesidad y proporcionalidad por suponer la más grave injerencia en el derecho de reunión en atención a la radicalidad de la respuesta estatal que afecta a otros derechos fundamentales sustantivos —los que son objeto de privación como consecuencia de la pena— y por su especial intensidad sobre el propio derecho de reunión </w:t>
      </w:r>
      <w:r>
        <w:lastRenderedPageBreak/>
        <w:t>por el devastador efecto desaliento y desincentivador que tiene tanto sobre el sujeto sancionado como sobre la colectividad en el ejercicio de una libertad pública sin la que no puede entenderse el concepto mismo de democracia constitucional. Ese escrutinio debe ser más estricto cuanto más severa en lo cualitativo y en lo cuantitativo es la respuesta sancionadora estatal.</w:t>
      </w:r>
    </w:p>
    <w:p w:rsidR="005728DD" w:rsidRDefault="005728DD" w:rsidP="005728DD">
      <w:pPr>
        <w:pStyle w:val="TextoNormal"/>
      </w:pPr>
    </w:p>
    <w:p w:rsidR="005728DD" w:rsidRDefault="005728DD" w:rsidP="005728DD">
      <w:pPr>
        <w:pStyle w:val="TextoNormal"/>
      </w:pPr>
      <w:r>
        <w:t xml:space="preserve">La jurisprudencia del Tribunal Europeo de Derechos Humanos se desarrolla en este contexto de pensamiento, al establecer de manera reiterada que dentro del término restricciones o injerencias aplicables al derecho de reunión pacífica están las medidas punitivas adoptadas como consecuencia del desarrollo de la reunión siempre que (i) exista un vínculo claro y reconocido entre el ejercicio de ese derecho y la sanción impuesta (así, SSTEDH de 4 de diciembre de 2014, caso </w:t>
      </w:r>
      <w:r w:rsidRPr="005728DD">
        <w:rPr>
          <w:i/>
        </w:rPr>
        <w:t>Navalnyy y Yashin c. Rusia</w:t>
      </w:r>
      <w:r>
        <w:t xml:space="preserve">, § 52, o de 14 de enero de 2020, caso </w:t>
      </w:r>
      <w:r w:rsidRPr="005728DD">
        <w:rPr>
          <w:i/>
        </w:rPr>
        <w:t>Varoğlu Atik y otros c, Turquía</w:t>
      </w:r>
      <w:r>
        <w:t xml:space="preserve">, § 29), que se extiende incluso a los casos de absolución derivado del mero hecho de la existencia de un procesamiento penal (SSTEDH de 29 de noviembre de 2007, caso </w:t>
      </w:r>
      <w:r w:rsidRPr="005728DD">
        <w:rPr>
          <w:i/>
        </w:rPr>
        <w:t>Balçık y otros c. Turquía</w:t>
      </w:r>
      <w:r>
        <w:t xml:space="preserve">, § 41, o de 18 de diciembre de 2007, caso </w:t>
      </w:r>
      <w:r w:rsidRPr="005728DD">
        <w:rPr>
          <w:i/>
        </w:rPr>
        <w:t>Nurettin Aldemir y otros c. Turquía</w:t>
      </w:r>
      <w:r>
        <w:t xml:space="preserve">, § 34-35), y (ii) se persiga un objetivo legítimo de preservación del orden público y/o la protección de los derechos y libertades de terceros (STEDH de 15 de octubre de 2015, caso </w:t>
      </w:r>
      <w:r w:rsidRPr="005728DD">
        <w:rPr>
          <w:i/>
        </w:rPr>
        <w:t>Kudrevičius y otros c. Lituania</w:t>
      </w:r>
      <w:r>
        <w:t xml:space="preserve">, § 140), lo que suele estar presente en aquellos supuestos en que en el ejercicio del derecho de reunión, aunque se desarrolle de manera pacífica, concurran intenciones que no formen parte del núcleo esencial del este derecho como es la obstrucción al cumplimiento de decisiones adoptadas legítimamente por las autoridades competentes (STEDH de 11 de octubre de 2018, caso </w:t>
      </w:r>
      <w:r w:rsidRPr="005728DD">
        <w:rPr>
          <w:i/>
        </w:rPr>
        <w:t>Tuskia y otros c. Georgia</w:t>
      </w:r>
      <w:r>
        <w:t>, § 76 a 87; o decisión del Tribunal Europeo de Derechos Humanos de 7 de mayo de 2019, cas</w:t>
      </w:r>
      <w:r w:rsidRPr="005728DD">
        <w:rPr>
          <w:i/>
        </w:rPr>
        <w:t>o Forcadell i Lluis y otros c. Espa</w:t>
      </w:r>
      <w:r>
        <w:t>ña, § 32 y 33).</w:t>
      </w:r>
    </w:p>
    <w:p w:rsidR="005728DD" w:rsidRDefault="005728DD" w:rsidP="005728DD">
      <w:pPr>
        <w:pStyle w:val="TextoNormal"/>
      </w:pPr>
    </w:p>
    <w:p w:rsidR="005728DD" w:rsidRDefault="005728DD" w:rsidP="005728DD">
      <w:pPr>
        <w:pStyle w:val="TextoNormal"/>
      </w:pPr>
      <w:r>
        <w:t xml:space="preserve">Igualmente, la jurisprudencia del Tribunal Europeo de Derechos Humanos ha incidido en que no basta con que la sanción impuesta persiga un fin legítimo, sino que es exigible, además, que sea necesaria en una sociedad democrática, lo que implica que exista una proporcionalidad de esta respuesta penal con el fin legítimo perseguido, en el sentido de que se ponderen debidamente, por un lado, la presencia de los fines legitimadores de esta intervención punitiva, su necesidad para la protección de los intereses y valores que se pretenden tutelar y, por otro, el sacrificio que todo ello implica del derecho de reunión (SSTEDH de 15 de octubre de 2015, caso </w:t>
      </w:r>
      <w:r w:rsidRPr="005728DD">
        <w:rPr>
          <w:i/>
        </w:rPr>
        <w:t>Kudrevičius y otros c. Lituania</w:t>
      </w:r>
      <w:r>
        <w:t>, § 144, o de 15 de noviembre de 2018, cas</w:t>
      </w:r>
      <w:r w:rsidRPr="005728DD">
        <w:rPr>
          <w:i/>
        </w:rPr>
        <w:t>o Navalnny c. Rus</w:t>
      </w:r>
      <w:r>
        <w:t>ia, § 128).</w:t>
      </w:r>
    </w:p>
    <w:p w:rsidR="005728DD" w:rsidRDefault="005728DD" w:rsidP="005728DD">
      <w:pPr>
        <w:pStyle w:val="TextoNormal"/>
      </w:pPr>
    </w:p>
    <w:p w:rsidR="005728DD" w:rsidRDefault="005728DD" w:rsidP="005728DD">
      <w:pPr>
        <w:pStyle w:val="TextoNormal"/>
      </w:pPr>
      <w:r>
        <w:t xml:space="preserve">Del mismo modo, la jurisprudencia del Tribunal Europeo de Derechos Humanos ha hecho especial énfasis en que cualquier injerencia en forma de intervención del sistema penal o de cualquier respuesta punitiva conlleva un efecto de disuasión sobre quienes resultan afectados por estas restricciones y sobre las personas que pudieran tener interés en ejercitar este derecho en el futuro —bien organizando bien participando en reuniones similares—, con el empobrecimiento de un debate público abierto que ello supone (STEDH de 29 de noviembre de 2007, caso </w:t>
      </w:r>
      <w:r w:rsidRPr="005728DD">
        <w:rPr>
          <w:i/>
        </w:rPr>
        <w:t>Balçık y otros c. Turquía</w:t>
      </w:r>
      <w:r>
        <w:t>, § 41), destacando que el efecto desaliento puede quedar amplificado cuando estas medidas represivas se dirigen a una figura pública conocida o relevante (STEDH de 31 de julio de 2014, cas</w:t>
      </w:r>
      <w:r w:rsidRPr="005728DD">
        <w:rPr>
          <w:i/>
        </w:rPr>
        <w:t>o Nemtsov c. Rus</w:t>
      </w:r>
      <w:r>
        <w:t>ia, § 78).</w:t>
      </w:r>
    </w:p>
    <w:p w:rsidR="005728DD" w:rsidRDefault="005728DD" w:rsidP="005728DD">
      <w:pPr>
        <w:pStyle w:val="TextoNormal"/>
      </w:pPr>
    </w:p>
    <w:p w:rsidR="005728DD" w:rsidRDefault="005728DD" w:rsidP="005728DD">
      <w:pPr>
        <w:pStyle w:val="TextoNormal"/>
      </w:pPr>
      <w:r>
        <w:t xml:space="preserve">Por último, también la jurisprudencia del Tribunal Europeo de Derechos Humanos ha establecido que la naturaleza y la gravedad de las sanciones impuestas son factores que </w:t>
      </w:r>
      <w:r>
        <w:lastRenderedPageBreak/>
        <w:t xml:space="preserve">deben tenerse en cuenta al evaluar la proporcionalidad de la injerencia o restricción, incidiendo en que (i) una manifestación pacífica no debería, en principio, quedar sujeto a la amenaza de una sanción penal y particularmente a una pena privativa de libertad y (ii) las sanciones de naturaleza penal requieren una justificación particular debiendo ser objeto de un examen especialmente cuidadoso (SSTEDH de 15 de octubre de 2015, caso </w:t>
      </w:r>
      <w:r w:rsidRPr="005728DD">
        <w:rPr>
          <w:i/>
        </w:rPr>
        <w:t>Kudrevičius y otros c. Lituania</w:t>
      </w:r>
      <w:r>
        <w:t xml:space="preserve">, § 146, o de 15 de noviembre de 2018, caso </w:t>
      </w:r>
      <w:r w:rsidRPr="005728DD">
        <w:rPr>
          <w:i/>
        </w:rPr>
        <w:t>Navalnny c. Rusia</w:t>
      </w:r>
      <w:r>
        <w:t xml:space="preserve">, § 128). En ese sentido, también el Tribunal Europeo de Derechos Humanos ha puesto de manifiesto que la imposición de largas penas de prisión puede ser considerada desproporcionada en los casos de enfrentamientos sin armas con la policía o situaciones como el lanzamiento de piedras u otros objetos sin causar lesiones graves (SSTEDH 19 de enero de 2016, caso </w:t>
      </w:r>
      <w:r w:rsidRPr="005728DD">
        <w:rPr>
          <w:i/>
        </w:rPr>
        <w:t>Gülcü c. Turquía</w:t>
      </w:r>
      <w:r>
        <w:t xml:space="preserve">, § 115; de 4 de octubre de 2016, caso </w:t>
      </w:r>
      <w:r w:rsidRPr="005728DD">
        <w:rPr>
          <w:i/>
        </w:rPr>
        <w:t>Yaroslav Belousov c. Rusia</w:t>
      </w:r>
      <w:r>
        <w:t>, § 177 a 180, o de 30 de enero de 2018, cas</w:t>
      </w:r>
      <w:r w:rsidRPr="005728DD">
        <w:rPr>
          <w:i/>
        </w:rPr>
        <w:t>o Barabanov c. Rus</w:t>
      </w:r>
      <w:r>
        <w:t>ia, § 74-75).</w:t>
      </w:r>
    </w:p>
    <w:p w:rsidR="005728DD" w:rsidRDefault="005728DD" w:rsidP="005728DD">
      <w:pPr>
        <w:pStyle w:val="TextoNormal"/>
      </w:pPr>
    </w:p>
    <w:p w:rsidR="005728DD" w:rsidRDefault="005728DD" w:rsidP="005728DD">
      <w:pPr>
        <w:pStyle w:val="TextoNormal"/>
      </w:pPr>
      <w:r>
        <w:t>En conclusión, a nuestro juicio, habría sido necesario, con fundamento en el art. 10.2 CE, en relación con la jurisprudencia del Tribunal Europeo de Derechos Humanos, que se hubiera concretado, dentro del parámetro de control de constitucionalidad relativo al derecho de reunión, de manera más precisa y matizada lo siguiente:</w:t>
      </w:r>
    </w:p>
    <w:p w:rsidR="005728DD" w:rsidRDefault="005728DD" w:rsidP="005728DD">
      <w:pPr>
        <w:pStyle w:val="TextoNormal"/>
      </w:pPr>
    </w:p>
    <w:p w:rsidR="005728DD" w:rsidRDefault="005728DD" w:rsidP="005728DD">
      <w:pPr>
        <w:pStyle w:val="TextoNormal"/>
      </w:pPr>
      <w:r>
        <w:t>(i) La sanción penal como consecuencia de la convocatoria o participación en una reunión pacífica es una injerencia en el derecho de reunión pacífica por lo que, además de ser una medida prevista legalmente, debe (a) perseguir un objetivo legítimo de preservación del orden público y/o la protección de los derechos y libertades de terceros; y (b) ser necesaria y proporcionada con el sacrificio que implica tanto para el derecho afectado por el contenido de la sanción impuesta como para el propio derecho de reunión por el efecto desaliento que puede generar sobre su ejercicio, exigiendo una justificación y análisis de legitimidad especialmente intensos.</w:t>
      </w:r>
    </w:p>
    <w:p w:rsidR="005728DD" w:rsidRDefault="005728DD" w:rsidP="005728DD">
      <w:pPr>
        <w:pStyle w:val="TextoNormal"/>
      </w:pPr>
    </w:p>
    <w:p w:rsidR="005728DD" w:rsidRDefault="005728DD" w:rsidP="005728DD">
      <w:pPr>
        <w:pStyle w:val="TextoNormal"/>
      </w:pPr>
      <w:r>
        <w:t>(ii) La sanción penal consistente en largas penas de prisión por la convocatoria o participación en reuniones pacíficas en que pueda haber enfrentamientos sin armas con fuerzas del orden público u otros incidentes como lanzamientos de objetos sin causar lesiones graves deben ser consideradas, en principio, desproporcionadas.</w:t>
      </w:r>
    </w:p>
    <w:p w:rsidR="005728DD" w:rsidRDefault="005728DD" w:rsidP="005728DD">
      <w:pPr>
        <w:pStyle w:val="TextoNormal"/>
      </w:pPr>
    </w:p>
    <w:p w:rsidR="005728DD" w:rsidRDefault="005728DD" w:rsidP="005728DD">
      <w:pPr>
        <w:pStyle w:val="TextoNormal"/>
      </w:pPr>
      <w:r w:rsidRPr="005728DD">
        <w:rPr>
          <w:i/>
        </w:rPr>
        <w:t>III. La aplicación del parámetro de constitucionalidad del derecho de reunión a la conducta por la que fue condenado el recurrente a una pena de nueve años de prisión y de inhabilitación absoluta</w:t>
      </w:r>
      <w:r>
        <w:t>:</w:t>
      </w:r>
    </w:p>
    <w:p w:rsidR="005728DD" w:rsidRDefault="005728DD" w:rsidP="005728DD">
      <w:pPr>
        <w:pStyle w:val="TextoNormal"/>
      </w:pPr>
    </w:p>
    <w:p w:rsidR="005728DD" w:rsidRDefault="005728DD" w:rsidP="005728DD">
      <w:pPr>
        <w:pStyle w:val="TextoNormal"/>
      </w:pPr>
      <w:r>
        <w:t>8. Las resoluciones judiciales impugnadas en este recurso de amparo han mantenido que no cabía tomar en consideración la invocación del derecho de reunión (art. 21 CE) con la siguiente argumentación:</w:t>
      </w:r>
    </w:p>
    <w:p w:rsidR="005728DD" w:rsidRDefault="005728DD" w:rsidP="005728DD">
      <w:pPr>
        <w:pStyle w:val="TextoNormal"/>
      </w:pPr>
    </w:p>
    <w:p w:rsidR="005728DD" w:rsidRDefault="005728DD" w:rsidP="005728DD">
      <w:pPr>
        <w:pStyle w:val="TextoNormal"/>
      </w:pPr>
      <w:r>
        <w:t>(i) La conducta del recurrente era de oposición activa y concertada, mediante la interposición física de las personas a las que convocaban, frente a actuaciones de agentes de la autoridad que contaban con respaldo legal y constitucional encaminadas a dar cumplimiento a un específico y muy concreto mandato judicial como era impedir que una votación prohibida se llevase a cabo, desbordando “totalmente los linderos de lo que ha de considerarse legítimo derecho de reunión para la exteriorización de la protesta o crítica por la actuación de los poderes públicos” (apartado 17.5.2 de la sentencia condenatoria impugnada).</w:t>
      </w:r>
    </w:p>
    <w:p w:rsidR="005728DD" w:rsidRDefault="005728DD" w:rsidP="005728DD">
      <w:pPr>
        <w:pStyle w:val="TextoNormal"/>
      </w:pPr>
    </w:p>
    <w:p w:rsidR="005728DD" w:rsidRDefault="005728DD" w:rsidP="005728DD">
      <w:pPr>
        <w:pStyle w:val="TextoNormal"/>
      </w:pPr>
      <w:r>
        <w:lastRenderedPageBreak/>
        <w:t>(ii) Según el auto impugnado en amparo, la jurisprudencia del Tribunal Europeo de Derechos Humanos excluye del ámbito material de protección del derecho de reunión pacífica, no solo la incitación a la violencia, sino también “al levantamiento (</w:t>
      </w:r>
      <w:r w:rsidRPr="005728DD">
        <w:rPr>
          <w:i/>
        </w:rPr>
        <w:t>soulèvement</w:t>
      </w:r>
      <w:r>
        <w:t xml:space="preserve"> en versión francesa, </w:t>
      </w:r>
      <w:r w:rsidRPr="005728DD">
        <w:rPr>
          <w:i/>
        </w:rPr>
        <w:t>uprising</w:t>
      </w:r>
      <w:r>
        <w:t xml:space="preserve"> en la versión inglesa) o a cualquier otra forma de rechazo a los principios democráticos”; concluyendo que “en tales supuestos de exclusión de la protección del derecho de reunión o manifestación no concurre necesariamente la violencia. Se presentan como una modalidad alternativa a la violencia, en cuanto que no resulta amparable la manifestación que comporta desprecio de los principios democráticos. Esta idea se refuerza si, como en el caso que centra nuestra atención, se recurre a vías de hecho que conducen a la imposición de una normativa anticonstitucional, aprobada con desprecio de las minorías”. A partir de ello, se insiste en que la conducta del recurrente no queda amparada en el concepto de reunión pacífica (apartado 2.5 del auto desestimatorio del incidente de nulidad de actuaciones impugnado).</w:t>
      </w:r>
    </w:p>
    <w:p w:rsidR="005728DD" w:rsidRDefault="005728DD" w:rsidP="005728DD">
      <w:pPr>
        <w:pStyle w:val="TextoNormal"/>
      </w:pPr>
    </w:p>
    <w:p w:rsidR="005728DD" w:rsidRDefault="005728DD" w:rsidP="005728DD">
      <w:pPr>
        <w:pStyle w:val="TextoNormal"/>
      </w:pPr>
      <w:r>
        <w:t>Por tanto, en la vía judicial ordinaria, el argumento para excluir cualquier tipo de consideración del derecho de reunión es que la conducta del recurrente se desarrolló fuera de su ámbito material de protección. Los actos convocados por el recurrente y su participación en los mismos carecían de la connotación de una “reunión pacífica”, ya que su objetivo era evitar de manera coactiva, mediante su capacidad de movilización pública y masiva, la ejecución de una resolución judicial cuyo objetivo era impedir la imposición de una normativa antidemocrática por haber sido aprobada con desprecio a las reglas esenciales del derecho y el respeto a las minorías.</w:t>
      </w:r>
    </w:p>
    <w:p w:rsidR="005728DD" w:rsidRDefault="005728DD" w:rsidP="005728DD">
      <w:pPr>
        <w:pStyle w:val="TextoNormal"/>
      </w:pPr>
    </w:p>
    <w:p w:rsidR="005728DD" w:rsidRDefault="005728DD" w:rsidP="005728DD">
      <w:pPr>
        <w:pStyle w:val="TextoNormal"/>
      </w:pPr>
      <w:r>
        <w:t>9. La posición mayoritaria en la que se sustenta la sentencia, por el contrario, no controvierte que la conducta del recurrente se desarrollaba dentro del ámbito material de protección del derecho de reunión. Concentra su fuerza argumental en que el derecho de reunión no es un derecho absoluto y que, en este caso, la restricción que supone la respuesta penal supone una injerencia necesaria, ya que estaba dirigida al fin legítimo de la protección de la efectividad de resoluciones jurisdiccionales tendentes a evitar la proclamación de la independencia de una parte del territorio fuera de los cauces constitucionales que lo hubieran posibilitado (apartado 9.4.3).</w:t>
      </w:r>
    </w:p>
    <w:p w:rsidR="005728DD" w:rsidRDefault="005728DD" w:rsidP="005728DD">
      <w:pPr>
        <w:pStyle w:val="TextoNormal"/>
      </w:pPr>
    </w:p>
    <w:p w:rsidR="005728DD" w:rsidRDefault="005728DD" w:rsidP="005728DD">
      <w:pPr>
        <w:pStyle w:val="TextoNormal"/>
      </w:pPr>
      <w:r>
        <w:t>De manera complementaria, aunque lo fuera ya en análisis de la invocación del derecho a la legalidad sancionadora, la posición mayoritaria en la que se sustenta la sentencia insiste en que la sanción resulta proporcionada porque se vincula con la promoción a la oposición activa y concertada frente a la actuación de los agentes de la autoridad que cumplían un mandato judicial respaldado legal y constitucionalmente [apartado 10.3.3 f)].</w:t>
      </w:r>
    </w:p>
    <w:p w:rsidR="005728DD" w:rsidRDefault="005728DD" w:rsidP="005728DD">
      <w:pPr>
        <w:pStyle w:val="TextoNormal"/>
      </w:pPr>
    </w:p>
    <w:p w:rsidR="005728DD" w:rsidRDefault="005728DD" w:rsidP="005728DD">
      <w:pPr>
        <w:pStyle w:val="TextoNormal"/>
      </w:pPr>
      <w:r>
        <w:t>10. Coincidimos con la posición mayoritaria en la que se sustenta la sentencia en que una recta interpretación del derecho de reunión, en línea con la efectuada por el Tribunal Europeo de Derechos Humanos, determina que la conducta del recurrente queda dentro del ámbito material de protección del derecho de reunión pacífica. El argumento sostenido en las resoluciones judiciales impugnadas de que los actos desarrollados el 20 de septiembre y 1 de octubre de 2017 no tienen siquiera cobertura en el concepto de reunión pacífica —presupuesto para que pueda ser tomada en consideración las garantías del derecho de reunión— no es acorde, en efecto, con la jurisprudencia de este tribunal y del Tribunal Europeo de Derechos Humanos en la materia.</w:t>
      </w:r>
    </w:p>
    <w:p w:rsidR="005728DD" w:rsidRDefault="005728DD" w:rsidP="005728DD">
      <w:pPr>
        <w:pStyle w:val="TextoNormal"/>
      </w:pPr>
    </w:p>
    <w:p w:rsidR="005728DD" w:rsidRDefault="005728DD" w:rsidP="005728DD">
      <w:pPr>
        <w:pStyle w:val="TextoNormal"/>
      </w:pPr>
      <w:r>
        <w:lastRenderedPageBreak/>
        <w:t>No es controvertido por las resoluciones judiciales impugnadas que, con carácter general, los hechos en que se fundamenta la condena del recurrente no implicaron un nivel de violencia necesario para excluir su calificación de concentraciones de carácter pacífico a los efectos del ámbito material del derecho fundamental de reunión. De hecho, la condena del recurrente se basó en un precepto penal que no exige como medio comisivo la violencia y en la resolución impugnada se hizo especial incidencia en que el medio comisivo concurrente era el “extravío —actuar fuera de las vías legales—, del procedimiento ordenado a los ilícitos e inconstitucionales objetivos”. Por otra parte, también es destacable que las resoluciones impugnadas no establecen ninguna conexión del recurrente como convocante o participante con los esporádicos actos de violencia que pudieran estar presentes en estas concentraciones y que reconocen expresamente el concreto compromiso del recurrente con la no violencia y los generales llamamientos de los convocantes a que las concentraciones se desarrollaran de manera pacífica y sin enfrentamientos con los agentes de la autoridad.</w:t>
      </w:r>
    </w:p>
    <w:p w:rsidR="005728DD" w:rsidRDefault="005728DD" w:rsidP="005728DD">
      <w:pPr>
        <w:pStyle w:val="TextoNormal"/>
      </w:pPr>
    </w:p>
    <w:p w:rsidR="005728DD" w:rsidRDefault="005728DD" w:rsidP="005728DD">
      <w:pPr>
        <w:pStyle w:val="TextoNormal"/>
      </w:pPr>
      <w:r>
        <w:t xml:space="preserve">Ahora bien, no se comparte la posición de la resolución judicial impugnada de incluir en la categoría de “reunión que de cualquier otro modo implique el rechazo a los fundamentos de una sociedad democrática”, a la que se refiere la jurisprudencia del Tribunal Europeo de Derechos Humanos, para justificar que, </w:t>
      </w:r>
      <w:r w:rsidRPr="005728DD">
        <w:rPr>
          <w:i/>
        </w:rPr>
        <w:t>prima facie</w:t>
      </w:r>
      <w:r>
        <w:t>, queda al margen del ámbito material del derecho de reunión. Las razones por las que, de manera coincidente con la posición mayoritaria en la que se sustenta la sentencia, rechazamos esta consideración de las resoluciones impugnadas son las siguientes:</w:t>
      </w:r>
    </w:p>
    <w:p w:rsidR="005728DD" w:rsidRDefault="005728DD" w:rsidP="005728DD">
      <w:pPr>
        <w:pStyle w:val="TextoNormal"/>
      </w:pPr>
    </w:p>
    <w:p w:rsidR="005728DD" w:rsidRDefault="005728DD" w:rsidP="005728DD">
      <w:pPr>
        <w:pStyle w:val="TextoNormal"/>
      </w:pPr>
      <w:r>
        <w:t xml:space="preserve">(i) La jurisprudencia del Tribunal Europeo de Derechos Humanos, como ya se ha desarrollado anteriormente, solo excluye el carácter pacífico de la reunión en los supuestos de que las concentraciones tengan intenciones violentas, inciten a la violencia o impliquen la negación de los fundamentos de una sociedad democrática (así, por ejemplo, STEDH de 15 de noviembre de 2018, caso </w:t>
      </w:r>
      <w:r w:rsidRPr="005728DD">
        <w:rPr>
          <w:i/>
        </w:rPr>
        <w:t>Navalnyy c. Rusia</w:t>
      </w:r>
      <w:r>
        <w:t xml:space="preserve">, § 98). Las referencias contenidas en el auto desestimatorio del incidente de nulidad de actuaciones impugnado a la idea de “incitación a un levantamiento” como excluyente de reunión pacífica se fundamenta en sendas resoluciones del Tribunal Europeo de Derechos Humanos (SSTEDH de 8 de diciembre de 1999, caso </w:t>
      </w:r>
      <w:r w:rsidRPr="005728DD">
        <w:rPr>
          <w:i/>
        </w:rPr>
        <w:t>Partido de la libertad y de la democracia (ÖZDEP</w:t>
      </w:r>
      <w:r>
        <w:t xml:space="preserve">) </w:t>
      </w:r>
      <w:r w:rsidRPr="005728DD">
        <w:rPr>
          <w:i/>
        </w:rPr>
        <w:t>c. Turquía</w:t>
      </w:r>
      <w:r>
        <w:t xml:space="preserve">, § 40, y de 3 de febrero de 2005, caso </w:t>
      </w:r>
      <w:r w:rsidRPr="005728DD">
        <w:rPr>
          <w:i/>
        </w:rPr>
        <w:t>Partido comunista (Nepeceristi) y Ungureanu c. Rumania</w:t>
      </w:r>
      <w:r>
        <w:t xml:space="preserve">, § 54), que no aparecen directamente referidas al derecho de reunión pacífica sino de asociación o creación de partidos políticos y se utiliza como parámetro de control de análisis de decisiones de disoluciones de partidos políticos con referencia directa al objetivo de subvertir el orden establecido por medios del uso de la violencia. De hecho, esa misma referencia aparece en idénticos contextos en las SSTEDH 25 de mayo de 1998, caso </w:t>
      </w:r>
      <w:r w:rsidRPr="005728DD">
        <w:rPr>
          <w:i/>
        </w:rPr>
        <w:t>Partido socialista y otros c. Turquía</w:t>
      </w:r>
      <w:r>
        <w:t>, § 46, y de 25 de septiembre de 2012, cas</w:t>
      </w:r>
      <w:r w:rsidRPr="005728DD">
        <w:rPr>
          <w:i/>
        </w:rPr>
        <w:t>o Sindicato de Trabajadores de la Educación y la Ciencia c. Turqu</w:t>
      </w:r>
      <w:r>
        <w:t>ía, § 75.</w:t>
      </w:r>
    </w:p>
    <w:p w:rsidR="005728DD" w:rsidRDefault="005728DD" w:rsidP="005728DD">
      <w:pPr>
        <w:pStyle w:val="TextoNormal"/>
      </w:pPr>
    </w:p>
    <w:p w:rsidR="005728DD" w:rsidRDefault="005728DD" w:rsidP="005728DD">
      <w:pPr>
        <w:pStyle w:val="TextoNormal"/>
      </w:pPr>
      <w:r>
        <w:t>Por otra parte, en atención a la propia valoración que se hace en las resoluciones condenatorias de que la pretensión real de los condenados “era presionar al Gobierno de la Nación para negociar un referéndum, este sí, susceptible de homologación” (apartado 5.2.3 del auto desestimatorio del incidente de nulidad de actuaciones, con reproducción literal de la sentencia condenatoria), parece difícil asumir como posición de principio para excluir del ámbito material del derecho de reunión que la conducta del recurrente venía animada por la intención de incitar a un levantamiento en el sentido utilizado por la jurisprudencia del Tribunal Europeo de Derechos Humanos.</w:t>
      </w:r>
    </w:p>
    <w:p w:rsidR="005728DD" w:rsidRDefault="005728DD" w:rsidP="005728DD">
      <w:pPr>
        <w:pStyle w:val="TextoNormal"/>
      </w:pPr>
    </w:p>
    <w:p w:rsidR="005728DD" w:rsidRDefault="005728DD" w:rsidP="005728DD">
      <w:pPr>
        <w:pStyle w:val="TextoNormal"/>
      </w:pPr>
      <w:r>
        <w:t>(ii) Tampoco cabe asumir como argumento para excluir la conducta del recurrente del ámbito material del derecho de reunión, el utilizado en las resoluciones judiciales impugnadas de que implicaba una negación de los principios democráticos, por el hecho de tener como telón de fondo la oposición abierta o resistencia activa a la ejecución de resoluciones judiciales cuyo objetivo era impedir la imposición de una normativa antidemocrática aprobada con desprecio a las reglas esenciales del derecho y el respeto a las minorías parlamentarias.</w:t>
      </w:r>
    </w:p>
    <w:p w:rsidR="005728DD" w:rsidRDefault="005728DD" w:rsidP="005728DD">
      <w:pPr>
        <w:pStyle w:val="TextoNormal"/>
      </w:pPr>
    </w:p>
    <w:p w:rsidR="005728DD" w:rsidRDefault="005728DD" w:rsidP="005728DD">
      <w:pPr>
        <w:pStyle w:val="TextoNormal"/>
      </w:pPr>
      <w:r>
        <w:t xml:space="preserve">Ya se ha destacado anteriormente que la jurisprudencia del Tribunal Europeo de Derechos Humanos utiliza la referencia a la negación de los valores y principios democráticos —con efectos equivalentes al uso o incitación de la violencia para negar el carácter pacífico de una reunión— a que tengan como objeto la promoción de ideas conexas a las que pueden ser consideradas discurso del odio. Además, es constante la referencia que en la jurisprudencia de Tribunal Europeo de Derechos Humanos se hace a que el carácter pacífico de una reunión, como presupuesto para considerar que se desenvuelve dentro del ámbito material de protección de este derecho, no queda negado por el mero hecho de que pudiera existir en los convocantes o participantes una intención o conducta penalmente ilícita o que se desarrollara en protesta, oposición o abierta contradicción con resoluciones de las autoridades competentes, incluyendo las judiciales. Ya se han citado ejemplos de resoluciones del Tribunal Europeo de Derechos Humanos en que la circunstancia de que la convocatoria lo fuera en abierto desacato y contradicción con decisiones de cortes constitucionales no era suficiente para negarles su carácter de reunión pacífica, sin perjuicio de la posibilidad de que fueran objeto de restricciones legítimas (así, por ejemplo, STEDH de 11 de octubre de 2018, caso </w:t>
      </w:r>
      <w:r w:rsidRPr="005728DD">
        <w:rPr>
          <w:i/>
        </w:rPr>
        <w:t>Tuskia y otros c. Georgia</w:t>
      </w:r>
      <w:r>
        <w:t>, o decisión de inadmisión de 7 de mayo de 2019, cas</w:t>
      </w:r>
      <w:r w:rsidRPr="005728DD">
        <w:rPr>
          <w:i/>
        </w:rPr>
        <w:t>o Forcadell i Lluis y otros c. Espa</w:t>
      </w:r>
      <w:r>
        <w:t>ña).</w:t>
      </w:r>
    </w:p>
    <w:p w:rsidR="005728DD" w:rsidRDefault="005728DD" w:rsidP="005728DD">
      <w:pPr>
        <w:pStyle w:val="TextoNormal"/>
      </w:pPr>
    </w:p>
    <w:p w:rsidR="005728DD" w:rsidRDefault="005728DD" w:rsidP="005728DD">
      <w:pPr>
        <w:pStyle w:val="TextoNormal"/>
      </w:pPr>
      <w:r>
        <w:t>Por tanto, debemos insistir en que, con independencia de la relevancia que pueda tener en la valoración sobre la legitimidad de la restricción aplicada en forma de sanción penal, estamos plenamente de acuerdo con la posición mayoritaria en la que se sustenta la sentencia en que no resulta posible excluir la conducta del recurrente del ámbito material de afectación del derecho de reunión, desautorizando en ese concreto aspecto a las resoluciones judiciales impugnadas.</w:t>
      </w:r>
    </w:p>
    <w:p w:rsidR="005728DD" w:rsidRDefault="005728DD" w:rsidP="005728DD">
      <w:pPr>
        <w:pStyle w:val="TextoNormal"/>
      </w:pPr>
    </w:p>
    <w:p w:rsidR="005728DD" w:rsidRDefault="005728DD" w:rsidP="005728DD">
      <w:pPr>
        <w:pStyle w:val="TextoNormal"/>
      </w:pPr>
      <w:r>
        <w:t>11. También coincidimos con la posición mayoritaria en la que se sustenta la sentencia en que la conducta del recurrente de convocar y participar en las concentraciones de los días 20 de septiembre y 1 de octubre de 2017, precisamente por estar animadas por la finalidad no solo de protestar contra unas concretas decisiones jurisdiccionales sino de impedir o, al menos, obstaculizar su efectividad, podía ser objeto de una restricción legítima con fundamento en razones de protección del orden público. No creemos que sea necesario insistir ni profundizar en ello.</w:t>
      </w:r>
    </w:p>
    <w:p w:rsidR="005728DD" w:rsidRDefault="005728DD" w:rsidP="005728DD">
      <w:pPr>
        <w:pStyle w:val="TextoNormal"/>
      </w:pPr>
    </w:p>
    <w:p w:rsidR="005728DD" w:rsidRDefault="005728DD" w:rsidP="005728DD">
      <w:pPr>
        <w:pStyle w:val="TextoNormal"/>
      </w:pPr>
      <w:r>
        <w:t>12. El problema central del control de constitucionalidad de la decisión judicial de imponer al recurrente una pena de nueve años de prisión y de inhabilitación por la convocatoria y participación en los hechos del día 20 de septiembre y 1 de octubre de 2017 es, por tanto, determinar si esa decisión judicial supuso una injerencia necesaria y proporcionada en su derecho de reunión para la consecución del objetivo legítimo de preservación de valores constitucionales prevalentes.</w:t>
      </w:r>
    </w:p>
    <w:p w:rsidR="005728DD" w:rsidRDefault="005728DD" w:rsidP="005728DD">
      <w:pPr>
        <w:pStyle w:val="TextoNormal"/>
      </w:pPr>
    </w:p>
    <w:p w:rsidR="005728DD" w:rsidRDefault="005728DD" w:rsidP="005728DD">
      <w:pPr>
        <w:pStyle w:val="TextoNormal"/>
      </w:pPr>
      <w:r>
        <w:t>A esos efectos, tal como sostuvimos en la deliberación, al margen de los problemas de proporcionalidad estrictamente penal que planteaba la condena —en línea con lo que ya argumentamos en los votos particulares formulados a las SSTC 91/2021, de 22 de abril, y 106/2021, de 11 de mayo—, consideramos que, en las circunstancias del caso, el recurso mismo al sistema de justicia penal para imponer una sanción de tal gravedad al recurrente es desproporcionado y lesivo del derecho de reunión por el efecto desaliento que para el ejercicio de este derecho puede implicar. Las razones que nos llevan a sustentar esta conclusión son las siguientes:</w:t>
      </w:r>
    </w:p>
    <w:p w:rsidR="005728DD" w:rsidRDefault="005728DD" w:rsidP="005728DD">
      <w:pPr>
        <w:pStyle w:val="TextoNormal"/>
      </w:pPr>
    </w:p>
    <w:p w:rsidR="005728DD" w:rsidRDefault="005728DD" w:rsidP="005728DD">
      <w:pPr>
        <w:pStyle w:val="TextoNormal"/>
      </w:pPr>
      <w:r>
        <w:t>(i) El recurrente era el líder de una asociación de la sociedad civil y no un político en el momento de los hechos por los que ha sido condenado. La consideración del derecho de reunión como una de las libertades esenciales de la democracia, por su conexión con la garantía de asegurar un foro para el debate público y la expresión abierta de protesta incluso en relación con temas que puedan incomodar o molestar al poder, adquiere su máxima dimensión en relación con la actuación de grupos sociales y asociaciones, ya que, como ha destacado la jurisprudencia constitucional, “su configuración como expresión del principio democrático participativo adquiere mayor relevancia, si cabe, al ser este derecho, en la práctica, para muchos grupos sociales ‘uno de los pocos medios de los que disponen para poder expresar públicamente sus ideas y reivindicaciones’” (STC 172/2020, de 19 de noviembre, FJ 6). Por otra parte, el hecho de que fuera el máximo representante de un grupo de la sociedad civil de gran proyección pública y de que su condena haya sido acompañada de la del líder de otra organización de la sociedad civil de igual relevancia pública inciden, en los términos ya expuestos por el Tribunal Europeo de Derechos Humanos, en la amplificación del efecto desaliento (STEDH de 31 de julio de 2014, cas</w:t>
      </w:r>
      <w:r w:rsidRPr="005728DD">
        <w:rPr>
          <w:i/>
        </w:rPr>
        <w:t>o Nemtsov c. Rus</w:t>
      </w:r>
      <w:r>
        <w:t>ia, § 78).</w:t>
      </w:r>
    </w:p>
    <w:p w:rsidR="005728DD" w:rsidRDefault="005728DD" w:rsidP="005728DD">
      <w:pPr>
        <w:pStyle w:val="TextoNormal"/>
      </w:pPr>
    </w:p>
    <w:p w:rsidR="005728DD" w:rsidRDefault="005728DD" w:rsidP="005728DD">
      <w:pPr>
        <w:pStyle w:val="TextoNormal"/>
      </w:pPr>
      <w:r>
        <w:t>De ese modo, si con carácter general cualquier limitación al derecho de reunión debe ser objeto de una interpretación restrictiva, en el recurrente concurren las citadas circunstancias subjetivas que hubieran debido llevar a hacer un especial escrutinio sobre la singular afectación que su represión penal podría generar en el derecho fundamental de reunión.</w:t>
      </w:r>
    </w:p>
    <w:p w:rsidR="005728DD" w:rsidRDefault="005728DD" w:rsidP="005728DD">
      <w:pPr>
        <w:pStyle w:val="TextoNormal"/>
      </w:pPr>
    </w:p>
    <w:p w:rsidR="005728DD" w:rsidRDefault="005728DD" w:rsidP="005728DD">
      <w:pPr>
        <w:pStyle w:val="TextoNormal"/>
      </w:pPr>
      <w:r>
        <w:t>(ii) La circunstancia que ha legitimado la restricción del derecho de reunión del recurrente ha sido, en los términos expuestos por la resolución condenatoria impugnada, su contribución, dentro de una actuación concertada con otros actores políticos y sociales, a la movilización ciudadana para “neutralizar cualquier manifestación de poder emanada de las autoridades judiciales y gubernativas del Estado” contra la efectividad de la cobertura jurídica creada para la consecución del acto fundacional de la República de Cataluña (hecho probado 3), que se había concretado, por un lado, en sucesivas suspensiones de normativa autonómica por el Tribunal Constitucional y, por otro, en diversas decisiones judiciales para hacer efectivo su cumplimiento, como eran una diligencia de entrada y registro fijada para el 20 de septiembre de 2017 en una sede de la administración autonómica (hecho probado 9) y la orden de incautación de todo el material electoral y de prohibición de celebración de los actos de votación (hecho probado 10).</w:t>
      </w:r>
    </w:p>
    <w:p w:rsidR="005728DD" w:rsidRDefault="005728DD" w:rsidP="005728DD">
      <w:pPr>
        <w:pStyle w:val="TextoNormal"/>
      </w:pPr>
    </w:p>
    <w:p w:rsidR="005728DD" w:rsidRDefault="005728DD" w:rsidP="005728DD">
      <w:pPr>
        <w:pStyle w:val="TextoNormal"/>
      </w:pPr>
      <w:r>
        <w:t>Las conductas de “neutralización” realizadas por el recurrente, junto con el líder de otra organización de la sociedad civil también condenado, que se consideran punibles en la resolución impugnada son:</w:t>
      </w:r>
    </w:p>
    <w:p w:rsidR="005728DD" w:rsidRDefault="005728DD" w:rsidP="005728DD">
      <w:pPr>
        <w:pStyle w:val="TextoNormal"/>
      </w:pPr>
    </w:p>
    <w:p w:rsidR="005728DD" w:rsidRDefault="005728DD" w:rsidP="005728DD">
      <w:pPr>
        <w:pStyle w:val="TextoNormal"/>
      </w:pPr>
      <w:r>
        <w:lastRenderedPageBreak/>
        <w:t>a) El 20 de septiembre de 2017, la movilización de la ciudadanía ante la sede administrativa que iba a ser objeto de registro judicial publicitando por medio de las redes sociales esa actuación judicial, con el resultado de que la alta concentración de personas, en la que tuvieron una activa participación directiva ambos líderes sociales, impidió el normal desarrollo de la diligencia y se causaron desperfectos en vehículos policiales (hecho probado 9).</w:t>
      </w:r>
    </w:p>
    <w:p w:rsidR="005728DD" w:rsidRDefault="005728DD" w:rsidP="005728DD">
      <w:pPr>
        <w:pStyle w:val="TextoNormal"/>
      </w:pPr>
    </w:p>
    <w:p w:rsidR="005728DD" w:rsidRDefault="005728DD" w:rsidP="005728DD">
      <w:pPr>
        <w:pStyle w:val="TextoNormal"/>
      </w:pPr>
      <w:r>
        <w:t>b) El 1 de octubre de 2017,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(hecho probado 9.2), con el resultado de que la cifra total de personas que fueron a votar ascendió a 2 286 217 (hecho probado 4) y de que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y, en otros, las agentes policiales debieron desistir de su objetivo ante la imposibilidad de vencer la resistencia de esos grupos de personas (hecho probado 12).</w:t>
      </w:r>
    </w:p>
    <w:p w:rsidR="005728DD" w:rsidRDefault="005728DD" w:rsidP="005728DD">
      <w:pPr>
        <w:pStyle w:val="TextoNormal"/>
      </w:pPr>
    </w:p>
    <w:p w:rsidR="005728DD" w:rsidRDefault="005728DD" w:rsidP="005728DD">
      <w:pPr>
        <w:pStyle w:val="TextoNormal"/>
      </w:pPr>
      <w:r>
        <w:t>Este relato de hechos probados pone de manifiesto que tanto las convocatorias como la propia participación del recurrente en ambos días lo fueron en términos estrictamente pacíficos, aunque con esporádicos actos de violencia física que, aun pudiendo ser previsible en atención a la situación social e institucional concurrente en aquellos momentos en Cataluña, se produjeron fuera del control del recurrente que, de manera reconocida, permaneció pacífico en sus propias intenciones y comportamiento.</w:t>
      </w:r>
    </w:p>
    <w:p w:rsidR="005728DD" w:rsidRDefault="005728DD" w:rsidP="005728DD">
      <w:pPr>
        <w:pStyle w:val="TextoNormal"/>
      </w:pPr>
    </w:p>
    <w:p w:rsidR="005728DD" w:rsidRDefault="005728DD" w:rsidP="005728DD">
      <w:pPr>
        <w:pStyle w:val="TextoNormal"/>
      </w:pPr>
      <w:r>
        <w:t>Los llamamientos a la movilización lo fueron con la finalidad expresa de promover una actitud desobediente a resoluciones jurisdiccionales pronunciadas en defensa del respeto a procedimientos democráticos de decisión, lo que posibilita justificar una restricción legítima del derecho de reunión en forma de sanción para preservar el valor constitucional ínsito en el cumplimiento de las resoluciones judiciales y el respeto a las reglas democráticas. No obstante, hay que insistir en que acudir a la represión penal de estas conductas y a la imposición de penas privativas de libertad de tan larga duración como las aplicadas al recurrente en ausencia de violencia tiene un tan severo impacto desalentador sobre el ejercicio del derecho fundamental de reunión, que ha llevado a la jurisprudencia del Tribunal Europeo de Derechos Humanos a considerar que es una injerencia desproporcionada (SSTEDH de 15 de octubre de 2015, cas</w:t>
      </w:r>
      <w:r w:rsidRPr="005728DD">
        <w:rPr>
          <w:i/>
        </w:rPr>
        <w:t>o Kudrevičius y otros c. Lituan</w:t>
      </w:r>
      <w:r>
        <w:t>ia, § 146 o de 15 de noviembre de 2018, cas</w:t>
      </w:r>
      <w:r w:rsidRPr="005728DD">
        <w:rPr>
          <w:i/>
        </w:rPr>
        <w:t>o Navalnny c. Rus</w:t>
      </w:r>
      <w:r>
        <w:t>ia, § 128).</w:t>
      </w:r>
    </w:p>
    <w:p w:rsidR="005728DD" w:rsidRDefault="005728DD" w:rsidP="005728DD">
      <w:pPr>
        <w:pStyle w:val="TextoNormal"/>
      </w:pPr>
    </w:p>
    <w:p w:rsidR="005728DD" w:rsidRDefault="005728DD" w:rsidP="005728DD">
      <w:pPr>
        <w:pStyle w:val="TextoNormal"/>
      </w:pPr>
      <w:r>
        <w:t>(iii) La consideración de que la respuesta penal a la conducta del recurrente y la severa limitación que ello implica de su derecho de reunión resulta proporcionada se ha hecho radicar en la gravedad de los valores constitucionales lesionados con su conducta. El relato de hechos probados que ha dado lugar a la condena del recurrente pone de manifiesto, como ya se ha expuesto, que la real gravedad de la conducta no reside tanto en que las convocatorias se celebraran con la finalidad de oponerse a la ejecución de una resolución jurisdiccional, sino en que dicha finalidad era, además, instrumental para un objetivo de mayor lesividad constitucional como posibilitar dar efectividad a la cobertura jurídica creada para la consecución del acto fundacional de la Republica de Cataluña con infracción de los procedimientos constitucionales vigentes.</w:t>
      </w:r>
    </w:p>
    <w:p w:rsidR="005728DD" w:rsidRDefault="005728DD" w:rsidP="005728DD">
      <w:pPr>
        <w:pStyle w:val="TextoNormal"/>
      </w:pPr>
    </w:p>
    <w:p w:rsidR="005728DD" w:rsidRDefault="005728DD" w:rsidP="005728DD">
      <w:pPr>
        <w:pStyle w:val="TextoNormal"/>
      </w:pPr>
      <w:r>
        <w:t>No cabe negar la justificación de una injerencia en el derecho de reunión del recurrente mediante la imposición de una sanción administrativa derivada de una convocatoria pública que tiene el objetivo de obstruir la ejecución de resoluciones jurisdiccionales. Sin embargo, no podemos compartir que el recurso a la represión penal del recurrente se fundamente en que, además, resultara necesario tomar en consideración el supuesto riesgo de que con su conducta pudiera darse efectividad, al margen de los mecanismos y procedimientos constitucionales establecidos al efecto, a la independencia de Cataluña.</w:t>
      </w:r>
    </w:p>
    <w:p w:rsidR="005728DD" w:rsidRDefault="005728DD" w:rsidP="005728DD">
      <w:pPr>
        <w:pStyle w:val="TextoNormal"/>
      </w:pPr>
    </w:p>
    <w:p w:rsidR="005728DD" w:rsidRDefault="005728DD" w:rsidP="005728DD">
      <w:pPr>
        <w:pStyle w:val="TextoNormal"/>
      </w:pPr>
      <w:r>
        <w:t>El relato de hechos probados es categórico al establecer que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(hecho probado 14). Esta afirmación queda también desarrollada en la fundamentación jurídica de las resoluciones judiciales impugnadas cuando se menciona que la pretensión real de los condenados “era presionar al Gobierno de la nación para negociar un referéndum, este sí, susceptible de homologación” (apartado 5.2.3 del auto desestimatorio del incidente de nulidad de actuaciones, con reproducción literal de la sentencia condenatoria). Por tanto, es el propio relato de hechos probados el que desmiente en la intención de los condenados, también del recurrente, una intención secesionista al margen de una negociación con el Estado.</w:t>
      </w:r>
    </w:p>
    <w:p w:rsidR="005728DD" w:rsidRDefault="005728DD" w:rsidP="005728DD">
      <w:pPr>
        <w:pStyle w:val="TextoNormal"/>
      </w:pPr>
    </w:p>
    <w:p w:rsidR="005728DD" w:rsidRDefault="005728DD" w:rsidP="005728DD">
      <w:pPr>
        <w:pStyle w:val="TextoNormal"/>
      </w:pPr>
      <w:r>
        <w:t>Por otra parte, desde una perspectiva estrictamente jurídica, la preservación de esos valores constitucionales que pudieran haberse puesto en riesgo con la celebración del llamado referéndum estaba asegurada, en cuanto a la imposibilidad de desplegar efecto alguno, mediante la actuación del Tribunal Constitucional, que ya había suspendido sucesivamente la diferente normativa autonómica aprobada con esa finalidad, lo que impedía la efectividad de una declaración de independencia fuera del marco constitucional vigente.</w:t>
      </w:r>
    </w:p>
    <w:p w:rsidR="005728DD" w:rsidRDefault="005728DD" w:rsidP="005728DD">
      <w:pPr>
        <w:pStyle w:val="TextoNormal"/>
      </w:pPr>
    </w:p>
    <w:p w:rsidR="005728DD" w:rsidRDefault="005728DD" w:rsidP="005728DD">
      <w:pPr>
        <w:pStyle w:val="TextoNormal"/>
      </w:pPr>
      <w:r>
        <w:t>De ese modo, tampoco en la gravedad del riesgo o lesión de valores constitucionales cabe sustentar una necesidad imperiosa en que su preservación exigiera una represión penal de las características de la impuesta al recurrente.</w:t>
      </w:r>
    </w:p>
    <w:p w:rsidR="005728DD" w:rsidRDefault="005728DD" w:rsidP="005728DD">
      <w:pPr>
        <w:pStyle w:val="TextoNormal"/>
      </w:pPr>
    </w:p>
    <w:p w:rsidR="005728DD" w:rsidRDefault="005728DD" w:rsidP="005728DD">
      <w:pPr>
        <w:pStyle w:val="TextoNormal"/>
      </w:pPr>
      <w:r>
        <w:t>13. En conclusión, consideramos que, en el presente caso, la injerencia en el derecho de reunión del recurrente mediante el recurso a la sanción penal resulta desproporcionada atendiendo a la triple circunstancia de que se trata de la conducta de (i) un líder social cuyas posibilidades de participación e interlocución en el debate público están especialmente garantizadas por este derecho; (ii) se desarrolló por medios estrictamente pacíficos, aunque tuviera la finalidad de obstruir la efectividad de resoluciones jurisdiccionales; y (iii) su objetivo mediato no era propiciar un levantamiento social que posibilitara la declaración de independencia de Cataluña, fuera de los cauces y procedimientos constitucionales, sino presionar al Gobierno de la Nación para la negociación de una consulta popular en ese sentido.</w:t>
      </w:r>
    </w:p>
    <w:p w:rsidR="005728DD" w:rsidRDefault="005728DD" w:rsidP="005728DD">
      <w:pPr>
        <w:pStyle w:val="TextoNormal"/>
      </w:pPr>
    </w:p>
    <w:p w:rsidR="005728DD" w:rsidRDefault="005728DD" w:rsidP="005728DD">
      <w:pPr>
        <w:pStyle w:val="TextoNormal"/>
      </w:pPr>
      <w:r>
        <w:t>En esas circunstancias, una adecuada ponderación de todos estos hechos en el contexto del derecho fundamental de reunión y las posibilidades de injerencia en el mismo mediante el recurso al sistema de justicia penal con la finalidad de preservar valores constitucionales prevalentes, hubiera debido llevar a la conclusión, mantenida por nosotros en la deliberación, de que una sanción penal resultaba desproporcionada y con un indeseable efecto desaliento en el ejercicio de un derecho fundamental.</w:t>
      </w:r>
    </w:p>
    <w:p w:rsidR="005728DD" w:rsidRDefault="005728DD" w:rsidP="005728DD">
      <w:pPr>
        <w:pStyle w:val="TextoNormal"/>
      </w:pPr>
    </w:p>
    <w:p w:rsidR="005728DD" w:rsidRDefault="005728DD" w:rsidP="005728DD">
      <w:pPr>
        <w:pStyle w:val="TextoNormal"/>
      </w:pPr>
      <w:r>
        <w:t>La respuesta penal, especialmente con la severidad de la impuesta al recurrente, frente a la mera convocatoria de actos que, aunque lo fueran para oponerse a la ejecución de resoluciones judiciales, tenían como objetivo último presionar al Gobierno en favor de una negociación política que posibilitara abordar la cuestión de la independencia de Cataluña, supone una injerencia en el derecho de reunión, con un devastador efecto desaliento sobre este derecho, que amenaza con empobrecer nuestra democracia, con alinearnos con sociedades disciplinadas por el abuso del sistema penal en la represión de conductas que se desenvuelven en el ámbito material de derechos fundamentales y con alejarnos, en definitiva, de la necesidad de una interpretación y aplicación progresiva de aquellos derechos que posibilitan la normal participación de la ciudadanía en las democracias plenas.</w:t>
      </w:r>
    </w:p>
    <w:p w:rsidR="005728DD" w:rsidRDefault="005728DD" w:rsidP="005728DD">
      <w:pPr>
        <w:pStyle w:val="TextoNormal"/>
      </w:pPr>
    </w:p>
    <w:p w:rsidR="005728DD" w:rsidRDefault="005728DD" w:rsidP="005728DD">
      <w:pPr>
        <w:pStyle w:val="TextoNormal"/>
      </w:pPr>
      <w:r>
        <w:t>Madrid, a dos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6" w:name="SENTENCIA_2021_123"/>
      <w:r>
        <w:lastRenderedPageBreak/>
        <w:t>SENTENCIA 123/2021, de 3 de junio de 2021</w:t>
      </w:r>
    </w:p>
    <w:bookmarkEnd w:id="126"/>
    <w:p w:rsidR="005728DD" w:rsidRDefault="005728DD" w:rsidP="005728DD">
      <w:pPr>
        <w:pStyle w:val="TtuloResolucin"/>
      </w:pPr>
      <w:r>
        <w:t>Pleno</w:t>
      </w:r>
    </w:p>
    <w:p w:rsidR="005728DD" w:rsidRDefault="005728DD" w:rsidP="005728DD">
      <w:pPr>
        <w:pStyle w:val="TtuloBOE"/>
      </w:pPr>
      <w:r>
        <w:t>(BOE núm. 161, de 7 de julio de 2021)</w:t>
      </w:r>
    </w:p>
    <w:p w:rsidR="005728DD" w:rsidRDefault="005728DD" w:rsidP="005728DD">
      <w:pPr>
        <w:pStyle w:val="TextoNormalCentrado"/>
      </w:pPr>
      <w:r>
        <w:t>ECLI:ES:TC:2021:123</w:t>
      </w:r>
    </w:p>
    <w:p w:rsidR="005728DD" w:rsidRDefault="005728DD" w:rsidP="005728DD">
      <w:pPr>
        <w:pStyle w:val="TextoNormalCentrado"/>
      </w:pPr>
    </w:p>
    <w:p w:rsidR="005728DD" w:rsidRDefault="005728DD" w:rsidP="005728DD">
      <w:pPr>
        <w:pStyle w:val="SntesisDescriptiva"/>
      </w:pPr>
      <w:r>
        <w:t>Cuestión de inconstitucionalidad 1514-2020. Planteada por la Sección Segunda de la Sala de lo Contencioso-Administrativo del Tribunal Superior de Justicia de Andalucía con sede en Sevilla, en relación con las letras a) y c) del artículo 40.4 de la Ley del Parlamento de Andalucía 7/2007, de 9 de julio, de gestión integrada de la calidad ambiental.</w:t>
      </w:r>
    </w:p>
    <w:p w:rsidR="005728DD" w:rsidRDefault="005728DD" w:rsidP="005728DD">
      <w:pPr>
        <w:pStyle w:val="SntesisDescriptiva"/>
      </w:pPr>
    </w:p>
    <w:p w:rsidR="005728DD" w:rsidRDefault="005728DD" w:rsidP="005728DD">
      <w:pPr>
        <w:pStyle w:val="SntesisAnaltica"/>
      </w:pPr>
      <w:r>
        <w:t>Competencias en materia de protección ambiental: constitucionalidad del precepto legal autonómico que exceptúa de evaluación ambiental estratégica los estudios de detalle.</w:t>
      </w:r>
    </w:p>
    <w:p w:rsidR="005728DD" w:rsidRDefault="005728DD" w:rsidP="005728DD">
      <w:pPr>
        <w:pStyle w:val="SntesisAnaltica"/>
      </w:pPr>
    </w:p>
    <w:p w:rsidR="005728DD" w:rsidRDefault="005728DD" w:rsidP="005728DD">
      <w:pPr>
        <w:pStyle w:val="Extracto"/>
      </w:pPr>
      <w:r>
        <w:t>1.</w:t>
      </w:r>
      <w:r>
        <w:tab/>
        <w:t>Los recursos suscitados sobre supuestos de inconstitucionalidad mediata o indirecta versan sobre la posible infracción constitucional, no de la incompatibilidad directa de las disposiciones impugnadas con la Constitución, sino de su eventual contradicción con preceptos básicos adoptados por el Estado [FJ 3].</w:t>
      </w:r>
    </w:p>
    <w:p w:rsidR="005728DD" w:rsidRDefault="005728DD" w:rsidP="005728DD">
      <w:pPr>
        <w:pStyle w:val="Extracto"/>
      </w:pPr>
    </w:p>
    <w:p w:rsidR="005728DD" w:rsidRDefault="005728DD" w:rsidP="005728DD">
      <w:pPr>
        <w:pStyle w:val="Extracto"/>
      </w:pPr>
      <w:r>
        <w:t>2.</w:t>
      </w:r>
      <w:r>
        <w:tab/>
        <w:t>Para apreciar la existencia de una contradicción entre un precepto legal autonómico y la ley básica estatal que pudiese generar una infracción constitucional es necesario comprobar que la norma estatal infringida por la ley autonómica sea, en el doble sentido material y formal, una norma básica, dictada legítimamente al amparo del correspondiente título competencial que la Constitución haya reservado al Estado y que la contradicción entre ambas normas, estatal y autonómica, sea efectiva e insalvable por vía interpretativa (STC 161/2019) [FJ 3].</w:t>
      </w:r>
    </w:p>
    <w:p w:rsidR="005728DD" w:rsidRDefault="005728DD" w:rsidP="005728DD">
      <w:pPr>
        <w:pStyle w:val="Extracto"/>
      </w:pPr>
    </w:p>
    <w:p w:rsidR="005728DD" w:rsidRDefault="005728DD" w:rsidP="005728DD">
      <w:pPr>
        <w:pStyle w:val="Extracto"/>
      </w:pPr>
      <w:r>
        <w:t>3.</w:t>
      </w:r>
      <w:r>
        <w:tab/>
        <w:t>A efectos de precisar el canon de enjuiciamiento, debe tenerse en cuenta que la normativa básica en materia de protección de medio ambiente tiene por objeto fijar el nivel de protección ambiental mínimo de aplicación a todo el territorio nacional; mínimo que ha de ser respetado por las comunidades autónomas en el ejercicio de sus competencias en materia de desarrollo legislativo y ejecución de las bases, complementando o reforzando los niveles de protección establecidos en la normativa básica (SSTC 109/2017 y 161/2019) [FJ 3].</w:t>
      </w:r>
    </w:p>
    <w:p w:rsidR="005728DD" w:rsidRDefault="005728DD" w:rsidP="005728DD">
      <w:pPr>
        <w:pStyle w:val="Extracto"/>
      </w:pPr>
    </w:p>
    <w:p w:rsidR="005728DD" w:rsidRDefault="005728DD" w:rsidP="005728DD">
      <w:pPr>
        <w:pStyle w:val="Extracto"/>
      </w:pPr>
      <w:r>
        <w:t>4.</w:t>
      </w:r>
      <w:r>
        <w:tab/>
        <w:t>Ya en la STC 306/2000, consideramos básica la identificación por una norma estatal de las actividades sujetas a evaluación de impacto ambiental y, de acuerdo con esta doctrina, procede comprobar si existe contradicción efectiva e insalvable por vía interpretativa, entre la norma autonómica y la ley estatal de evaluación ambiental. Para llevar a cabo este enjuiciamiento hemos de tener presente, por una parte, el objeto y alcance de las normas básicas de contraste, junto con la doctrina constitucional recaída sobre las mismas; y, por otra, el alcance de la norma autonómica objeto de la cuestión, para determinar si rebaja el nivel de protección establecido por la normativa básica [FJ 3].</w:t>
      </w:r>
    </w:p>
    <w:p w:rsidR="005728DD" w:rsidRDefault="005728DD" w:rsidP="005728DD">
      <w:pPr>
        <w:pStyle w:val="Extracto"/>
      </w:pPr>
    </w:p>
    <w:p w:rsidR="005728DD" w:rsidRDefault="005728DD" w:rsidP="005728DD">
      <w:pPr>
        <w:pStyle w:val="Extracto"/>
      </w:pPr>
      <w:r>
        <w:t>5.</w:t>
      </w:r>
      <w:r>
        <w:tab/>
        <w:t xml:space="preserve">La ejecución del Derecho de la Unión Europea debe hacerse con arreglo a las normas internas que establecen el orden constitucional de distribución de competencias (SSTC 80/1993 o 54/2018), sin perjuicio de que la normativa comunitaria </w:t>
      </w:r>
      <w:r>
        <w:lastRenderedPageBreak/>
        <w:t>pueda ser utilizada como elemento interpretativo útil para encuadrar materialmente la cuestión (STC 33/2005) [FJ 4].</w:t>
      </w:r>
    </w:p>
    <w:p w:rsidR="005728DD" w:rsidRDefault="005728DD" w:rsidP="005728DD">
      <w:pPr>
        <w:pStyle w:val="Extracto"/>
      </w:pPr>
    </w:p>
    <w:p w:rsidR="005728DD" w:rsidRDefault="005728DD" w:rsidP="005728DD">
      <w:pPr>
        <w:pStyle w:val="Extracto"/>
      </w:pPr>
      <w:r>
        <w:t>6.</w:t>
      </w:r>
      <w:r>
        <w:tab/>
        <w:t xml:space="preserve">La doctrina del </w:t>
      </w:r>
      <w:r w:rsidRPr="005728DD">
        <w:rPr>
          <w:i/>
        </w:rPr>
        <w:t>ius superveniens</w:t>
      </w:r>
      <w:r>
        <w:t>, según la cual el control de las normas que incurren en un posible exceso competencial ha de hacerse de acuerdo con las normas del bloque de la constitucionalidad vigentes al momento de dictar sentencia, no resulta aplicable a las cuestiones de inconstitucionalidad (STC 134/2019). De modo que su resolución exige el análisis de las normas legales aplicables al proceso en el que surgió la duda de constitucionalidad y de cuya validez dependa la decisión a adoptar en el mismo (STC 120/2018) [FJ 4].</w:t>
      </w:r>
    </w:p>
    <w:p w:rsidR="005728DD" w:rsidRDefault="005728DD" w:rsidP="005728DD">
      <w:pPr>
        <w:pStyle w:val="Extracto"/>
      </w:pPr>
    </w:p>
    <w:p w:rsidR="005728DD" w:rsidRDefault="005728DD" w:rsidP="005728DD">
      <w:pPr>
        <w:pStyle w:val="Extracto"/>
      </w:pPr>
      <w:r>
        <w:t>7.</w:t>
      </w:r>
      <w:r>
        <w:tab/>
        <w:t>Jurisprudencia y doctrina de este Tribunal sobre la inconstitucionalidad mediata de normas autonómicas contra las que se alegaba que rebajaban el nivel de protección ambiental establecido la ley estatal, al eximir de evaluación ambiental estratégica bien varias categorías completas de planes de ordenación del territorio y urbanismo (SSTC 109/2017 y STC 161/2019), bien ciertos tipos de planes concretos como los estudios de detalle (STC 86/2019) [FJ 4].</w:t>
      </w:r>
    </w:p>
    <w:p w:rsidR="005728DD" w:rsidRDefault="005728DD" w:rsidP="005728DD">
      <w:pPr>
        <w:pStyle w:val="Extracto"/>
      </w:pPr>
    </w:p>
    <w:p w:rsidR="005728DD" w:rsidRDefault="005728DD" w:rsidP="005728DD">
      <w:pPr>
        <w:pStyle w:val="Extracto"/>
      </w:pPr>
      <w:r>
        <w:t>8.</w:t>
      </w:r>
      <w:r>
        <w:tab/>
        <w:t>No entran en contradicción con la Ley estatal de evaluación ambiental, ni incurren en vulneración mediata del art. 149.1.23 CE, las disposiciones autonómicas que no someten a evaluación ambiental estratégica determinados planes o programas de ordenación del territorio o uso del suelo cuando, por razón del objeto y del alcance limitado que les atribuya la normativa aplicable, no puedan constituir en ningún caso el marco para la futura autorización de proyectos legalmente sometidos a evaluación ambiental, ni tampoco el marco para la futura aprobación de otros proyectos; y se pueda determinar a priori —atendiendo a su objeto, extensión y los espacios afectados— que no son susceptibles de tener un impacto significativo en el medio ambiente [FJ 4].</w:t>
      </w:r>
    </w:p>
    <w:p w:rsidR="005728DD" w:rsidRDefault="005728DD" w:rsidP="005728DD">
      <w:pPr>
        <w:pStyle w:val="Extracto"/>
      </w:pPr>
    </w:p>
    <w:p w:rsidR="005728DD" w:rsidRDefault="005728DD" w:rsidP="005728DD">
      <w:pPr>
        <w:pStyle w:val="Extracto"/>
      </w:pPr>
      <w:r>
        <w:t>9.</w:t>
      </w:r>
      <w:r>
        <w:tab/>
        <w:t xml:space="preserve">La exclusión en la normativa autonómica de categorías o tipos completos de planes y programas que cumplan con los requisitos establecidos en la Ley de evaluación ambiental vulnera de forma mediata el art. 149.1.23 CE, por implicar una rebaja del nivel de protección ambiental establecido por el legislador básico. Este es el caso de aquellos planes a los que se les presume en todo caso, </w:t>
      </w:r>
      <w:r w:rsidRPr="005728DD">
        <w:rPr>
          <w:i/>
        </w:rPr>
        <w:t>iuris et de iure</w:t>
      </w:r>
      <w:r>
        <w:t>, efectos significativos en el medio ambiente; o que, pudiendo tener dichos efectos, deban someterse a evaluación ambiental estratégica simplificada para determinarlo mediante un informe de impacto ambiental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lastRenderedPageBreak/>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la cuestión de inconstitucionalidad núm. 1514-2020 promovida por la Sección Segunda de la Sala de lo Contencioso-Administrativo del Tribunal Superior de Justicia de Andalucía con sede en Sevilla, en relación con el art. 40.4, apartado a) y c) de la Ley del Parlamento de Andalucía 7/2007, de 9 de julio, de gestión integrada de la calidad ambiental. Han comparecido y formulado alegaciones el abogado del Estado, la fiscal general del Estado, la Junta de Andalucía y el Parlamento de Andalucía y la representación procesal de la Federación Ecologistas en Acción-Sevilla.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Con fecha de 9 de marzo de 2020 tuvo entrada en el registro general de este tribunal un escrito de la Sala de lo Contencioso-Administrativo del Tribunal Superior de Justicia de Andalucía, con sede en Sevilla, por el que se remite, junto con el testimonio del procedimiento correspondiente, el auto de 10 de febrero de 2020, por el que se acuerda plantear cuestión de inconstitucionalidad respecto del art. 40.4, apartado a) y c) de la Ley del Parlamento de Andalucía 7/2007, de 9 de julio, de gestión integrada de la calidad ambiental, por posible vulneración del art. 149.1.23 CE.</w:t>
      </w:r>
    </w:p>
    <w:p w:rsidR="005728DD" w:rsidRDefault="005728DD" w:rsidP="005728DD">
      <w:pPr>
        <w:pStyle w:val="TextoNormal"/>
      </w:pPr>
    </w:p>
    <w:p w:rsidR="005728DD" w:rsidRDefault="005728DD" w:rsidP="005728DD">
      <w:pPr>
        <w:pStyle w:val="TextoNormal"/>
      </w:pPr>
      <w:r>
        <w:t>El precepto cuestionado dispone:</w:t>
      </w:r>
    </w:p>
    <w:p w:rsidR="005728DD" w:rsidRDefault="005728DD" w:rsidP="005728DD">
      <w:pPr>
        <w:pStyle w:val="TextoNormal"/>
      </w:pPr>
    </w:p>
    <w:p w:rsidR="005728DD" w:rsidRDefault="005728DD" w:rsidP="005728DD">
      <w:pPr>
        <w:pStyle w:val="TextoNormal"/>
      </w:pPr>
      <w:r>
        <w:t>“Artículo 40. Evaluación ambiental de los instrumentos de planeamiento urbanístico.</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4. No se encuentran sometidos a evaluación ambiental estratégica, teniendo en cuenta su objeto y alcance de acuerdo con lo establecido en la Ley 7/2002, de 17 de diciembre, los siguientes instrumentos de planeamiento urbanístico:</w:t>
      </w:r>
    </w:p>
    <w:p w:rsidR="005728DD" w:rsidRDefault="005728DD" w:rsidP="005728DD">
      <w:pPr>
        <w:pStyle w:val="TextoNormal"/>
      </w:pPr>
    </w:p>
    <w:p w:rsidR="005728DD" w:rsidRDefault="005728DD" w:rsidP="005728DD">
      <w:pPr>
        <w:pStyle w:val="TextoNormal"/>
      </w:pPr>
      <w:r>
        <w:t>a) Estudios de detalle.</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c) Las revisiones o modificaciones de los instrumentos de planeamiento de desarrollo recogidos en los apartados a) y b) anteriores”.</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de hecho del planteamiento de la presente cuestión de inconstitucionalidad son los siguientes:</w:t>
      </w:r>
    </w:p>
    <w:p w:rsidR="005728DD" w:rsidRDefault="005728DD" w:rsidP="005728DD">
      <w:pPr>
        <w:pStyle w:val="TextoNormal"/>
      </w:pPr>
    </w:p>
    <w:p w:rsidR="005728DD" w:rsidRDefault="005728DD" w:rsidP="005728DD">
      <w:pPr>
        <w:pStyle w:val="TextoNormal"/>
      </w:pPr>
      <w:r>
        <w:lastRenderedPageBreak/>
        <w:t xml:space="preserve">a) El 23 de noviembre de 2016, la Federación Ecologistas en Acción-Sevilla interpuso recurso contencioso-administrativo contra el acuerdo del Pleno del Ayuntamiento de Sevilla por el que se aprueba definitivamente el modificado del estudio de detalle de la parcela ZE N1 del SUNP-GU-1 “Palmas Altas” promovido por Lar España Shopping Centres VIII, S.L.U., por entender que dicho acuerdo no era conforme a Derecho. La actora invoca como fundamento de su demanda, entre otros motivos, que el modificado del estudio de detalle establece el uso de “Gran superficie comercial” que no está contemplado en el planeamiento de superior jerarquía —el plan de sectorización de 2005—, y que además hace una ordenación de volúmenes y dotaciones que contradice las determinaciones de ese planeamiento superior, y que, siendo indudable que esa actuación tendrá importantes repercusiones ambientales, no se ha sometido a evaluación ambiental estratégica, desarrollándose en el marco de una planificación urbanística que, </w:t>
      </w:r>
      <w:r w:rsidRPr="005728DD">
        <w:rPr>
          <w:i/>
        </w:rPr>
        <w:t>ratione temporis</w:t>
      </w:r>
      <w:r>
        <w:t>, tampoco fue objeto de dicha evaluación.</w:t>
      </w:r>
    </w:p>
    <w:p w:rsidR="005728DD" w:rsidRDefault="005728DD" w:rsidP="005728DD">
      <w:pPr>
        <w:pStyle w:val="TextoNormal"/>
      </w:pPr>
    </w:p>
    <w:p w:rsidR="005728DD" w:rsidRDefault="005728DD" w:rsidP="005728DD">
      <w:pPr>
        <w:pStyle w:val="TextoNormal"/>
      </w:pPr>
      <w:r>
        <w:t>b) Tanto la administración demandada (el Ayuntamiento de Sevilla) como la entidad codemandada comparecida (Lar España Shopping Centres VIII, S.L.U.) sostuvieron en sus escritos de contestación a la demanda y conclusiones la inexistencia de la causa de nulidad alegada, porque el art. 40.4 a) y c), de la Ley del Parlamento de Andalucía 7/2007, de 9 de julio, de gestión integrada de la calidad ambiental (en adelante, Ley andaluza 7/2007), excluye de evaluación ambiental estratégica los estudios de detalle y sus modificaciones.</w:t>
      </w:r>
    </w:p>
    <w:p w:rsidR="005728DD" w:rsidRDefault="005728DD" w:rsidP="005728DD">
      <w:pPr>
        <w:pStyle w:val="TextoNormal"/>
      </w:pPr>
    </w:p>
    <w:p w:rsidR="005728DD" w:rsidRDefault="005728DD" w:rsidP="005728DD">
      <w:pPr>
        <w:pStyle w:val="TextoNormal"/>
      </w:pPr>
      <w:r>
        <w:t>c) La Sala, por providencia de 26 de septiembre de 2019, acordó oír a las partes personadas y al Ministerio Fiscal sobre la pertinencia de plantear cuestión de inconstitucionalidad en relación con el art. 40.4 a) de la Ley andaluza 7/2007, o sobre el fondo de esta, por posible vulneración de los arts. 6 y 8 de la Ley 21/2013, de 9 de diciembre, de evaluación ambiental, y, mediatamente, del art. 149.1.23 CE.</w:t>
      </w:r>
    </w:p>
    <w:p w:rsidR="005728DD" w:rsidRDefault="005728DD" w:rsidP="005728DD">
      <w:pPr>
        <w:pStyle w:val="TextoNormal"/>
      </w:pPr>
    </w:p>
    <w:p w:rsidR="005728DD" w:rsidRDefault="005728DD" w:rsidP="005728DD">
      <w:pPr>
        <w:pStyle w:val="TextoNormal"/>
      </w:pPr>
      <w:r>
        <w:t>d) La Federación Ecologistas en Acción-Sevilla mostró su conformidad con el planteamiento de la cuestión de inconstitucionalidad. La administración demandada y las entidades codemandadas, por el contrario, se opusieron a su planteamiento argumentando que no existía contradicción entre el precepto autonómico cuestionado y el estatal, que propone el órgano judicial como parámetro de contraste. El fiscal, por último, no se opuso al planteamiento de la cuestión.</w:t>
      </w:r>
    </w:p>
    <w:p w:rsidR="005728DD" w:rsidRDefault="005728DD" w:rsidP="005728DD">
      <w:pPr>
        <w:pStyle w:val="TextoNormal"/>
      </w:pPr>
    </w:p>
    <w:p w:rsidR="005728DD" w:rsidRDefault="005728DD" w:rsidP="005728DD">
      <w:pPr>
        <w:pStyle w:val="TextoNormal"/>
      </w:pPr>
      <w:r>
        <w:t>e) Por auto de 10 de febrero de 2020, la Sala acordó plantear cuestión de inconstitucionalidad en relación con el art. 40.4, apartados a) y c), de la Ley del Parlamento de Andalucía 7/2007, de 9 de julio, de gestión integrada de la calidad ambiental.</w:t>
      </w:r>
    </w:p>
    <w:p w:rsidR="005728DD" w:rsidRDefault="005728DD" w:rsidP="005728DD">
      <w:pPr>
        <w:pStyle w:val="TextoNormal"/>
      </w:pPr>
    </w:p>
    <w:p w:rsidR="005728DD" w:rsidRDefault="005728DD" w:rsidP="005728DD">
      <w:pPr>
        <w:pStyle w:val="TextoNormal"/>
      </w:pPr>
      <w:r w:rsidRPr="005728DD">
        <w:rPr>
          <w:rStyle w:val="NumeroAFNegritaCaracter"/>
        </w:rPr>
        <w:t>3</w:t>
      </w:r>
      <w:r>
        <w:t>. Del contenido del auto interesa destacar lo siguiente:</w:t>
      </w:r>
    </w:p>
    <w:p w:rsidR="005728DD" w:rsidRDefault="005728DD" w:rsidP="005728DD">
      <w:pPr>
        <w:pStyle w:val="TextoNormal"/>
      </w:pPr>
    </w:p>
    <w:p w:rsidR="005728DD" w:rsidRDefault="005728DD" w:rsidP="005728DD">
      <w:pPr>
        <w:pStyle w:val="TextoNormal"/>
      </w:pPr>
      <w:r>
        <w:t xml:space="preserve">a) El auto comienza sus razonamientos jurídicos afirmando que concurren los presupuestos formales para el planteamiento de la cuestión. Destaca que la actora ha invocado como fundamento de su demanda la ausencia de una evaluación ambiental estratégica de la modificación del estudio de detalle aprobada por el ayuntamiento y que, si bien las partes aceptan que se ha omitido esa actuación, las demandadas la consideran innecesaria invocando el artículo 40.4 de la Ley andaluza 7/2007, que excepciona de la obligación de someter a evaluación ambiental estratégica a los Estudios de detalle y a sus revisiones o modificaciones. El tribunal aprecia que si la evaluación ambiental estratégica en este tipo de instrumentos </w:t>
      </w:r>
      <w:r>
        <w:lastRenderedPageBreak/>
        <w:t>de planeamiento resulta preceptiva por exigencia de la legislación básica estatal de evaluación ambiental, la inconstitucional de dicho precepto abocaría forzosamente a la estimación de la demanda.</w:t>
      </w:r>
    </w:p>
    <w:p w:rsidR="005728DD" w:rsidRDefault="005728DD" w:rsidP="005728DD">
      <w:pPr>
        <w:pStyle w:val="TextoNormal"/>
      </w:pPr>
    </w:p>
    <w:p w:rsidR="005728DD" w:rsidRDefault="005728DD" w:rsidP="005728DD">
      <w:pPr>
        <w:pStyle w:val="TextoNormal"/>
      </w:pPr>
      <w:r>
        <w:t>b) A continuación expone las razones por las que considera que el artículo 40.4 a) y c) de la Ley andaluza 7/2007 puede incurrir en inconstitucionalidad mediata: entiende que la norma autonómica en cuestión contradice los arts. 6 y 8 de la Ley 21/2013, de 9 de diciembre, de evaluación ambiental (Ley estatal de evaluación ambiental, en adelante), adoptados sobre la base del art. 149.1.23 CE como legislación básica estatal de protección del medio ambiente, tal y como declara en la disposición final octava de la Ley. La Sala considera que, siendo el estudio de detalle un instrumento de ordenación urbanística —en concreto un plan de desarrollo según la Ley 7/2002, de 17 de diciembre, de ordenación urbanística de Andalucía—, debe quedar sujeto a la exigencia de evaluación ambiental del art. 6.1 de la Ley estatal de evaluación ambiental, que no reconoce excepciones; además, a ese mismo precepto —art. 6 de la Ley estatal de evaluación ambiental— remite el art. 22.1 del texto refundido de la Ley de suelo y rehabilitación urbana, también de carácter básico de acuerdo con su disposición final segunda; concluye, finalmente, que el precepto cuestionado no puede ampararse en los artículos 56 y 57 del Estatuto de Autonomía de Andalucía por exceder de las competencias que ambos reconocen.</w:t>
      </w:r>
    </w:p>
    <w:p w:rsidR="005728DD" w:rsidRDefault="005728DD" w:rsidP="005728DD">
      <w:pPr>
        <w:pStyle w:val="TextoNormal"/>
      </w:pPr>
    </w:p>
    <w:p w:rsidR="005728DD" w:rsidRDefault="005728DD" w:rsidP="005728DD">
      <w:pPr>
        <w:pStyle w:val="TextoNormal"/>
      </w:pPr>
      <w:r>
        <w:t>El auto prosigue analizando la Directiva 2001/42/CE del Parlamento Europeo y del Consejo, de 27 de junio, relativa a la evaluación de los efectos de determinados planes y programas en el medio ambiente (en adelante Directiva 2001/42/CE), que se incorpora al ordenamiento interno mediante la Ley 21/2013 de evaluación ambiental —modificada por la Ley 9/2018, de 5 de diciembre—, y recuerda que aunque el Derecho europeo no es canon de constitucionalidad, puede ayudar a interpretar las normas nacionales dictadas en su desarrollo. Examina el art. 3 de la Directiva 2001/42/CE, que sujeta a evaluación todos los planes y programas que se elaboren con respecto a la ordenación del territorio urbano y rural o la utilización del suelo y que establezcan el marco para la autorización en el futuro de proyectos enumerados en los anexos I y II de la antes Directiva 85/337/CEE del Consejo, de 27 de junio de 1985, relativa a la evaluación de las repercusiones de determinados proyectos públicos y privados sobre el medio ambiente (derogada y sustituida por la Directiva 2011/92/UE del Parlamento Europeo y del Consejo, de 13 de diciembre de 2011, relativa a la evaluación de las repercusiones de determinados proyectos públicos y privados sobre el medio ambiente). Pone de relieve, asimismo, que su apartado 3 permite a los Estados exigir la evaluación ambiental cuando los planes o programas afecten al uso de zonas pequeñas a nivel local o introduzcan modificaciones menores en planes y programas mencionados en el apartado anterior, si consideran que pueden producir efectos significativos en el medio ambiente.</w:t>
      </w:r>
    </w:p>
    <w:p w:rsidR="005728DD" w:rsidRDefault="005728DD" w:rsidP="005728DD">
      <w:pPr>
        <w:pStyle w:val="TextoNormal"/>
      </w:pPr>
    </w:p>
    <w:p w:rsidR="005728DD" w:rsidRDefault="005728DD" w:rsidP="005728DD">
      <w:pPr>
        <w:pStyle w:val="TextoNormal"/>
      </w:pPr>
      <w:r>
        <w:t>Considera, por otra parte, que el art. 15 de la Ley 7/2002, de 17 de diciembre, de ordenación urbanística de Andalucía reconoce cierta amplitud a los estudios de detalle, los cuales puede producir efectos significativos en el medio ambiente y, por consiguiente, deben ser objeto de evaluación ambiental de conformidad con el art. 3 de la citada directiva.</w:t>
      </w:r>
    </w:p>
    <w:p w:rsidR="005728DD" w:rsidRDefault="005728DD" w:rsidP="005728DD">
      <w:pPr>
        <w:pStyle w:val="TextoNormal"/>
      </w:pPr>
    </w:p>
    <w:p w:rsidR="005728DD" w:rsidRDefault="005728DD" w:rsidP="005728DD">
      <w:pPr>
        <w:pStyle w:val="TextoNormal"/>
      </w:pPr>
      <w:r>
        <w:t xml:space="preserve">En relación con este instrumento de planificación urbanística, el auto destaca que el anexo II de la Directiva 2011/92/UE, del Parlamento Europeo y del Consejo, de 13 de diciembre, relativa a la evaluación de las repercusiones de determinados proyectos públicos y </w:t>
      </w:r>
      <w:r>
        <w:lastRenderedPageBreak/>
        <w:t>privados sobre el medio ambiente (Directiva 2011/92/UE, en adelante), también incorporada al Derecho interno por la Ley estatal de evaluación ambiental, incluye los proyectos de urbanizaciones —y en concreto la construcción de centros comerciales y de aparcamientos objeto del modificado recurrido—, entre los contemplados en el apartado 2 del artículo 4 (es decir, aquellos para los cuales los Estados miembros determinarán si serán objeto de una evaluación mediante un estudio caso por caso o estableciendo umbrales o criterios). El tribunal que promueve la cuestión prejudicial concluye, a la luz de estas disposiciones, que la Ley estatal de evaluación ambiental ha optado por exigir evaluación ambiental simplificada para la aprobación de todo instrumento de ordenación urbanística, incluso los de menor categoría como los estudios de detalle.</w:t>
      </w:r>
    </w:p>
    <w:p w:rsidR="005728DD" w:rsidRDefault="005728DD" w:rsidP="005728DD">
      <w:pPr>
        <w:pStyle w:val="TextoNormal"/>
      </w:pPr>
    </w:p>
    <w:p w:rsidR="005728DD" w:rsidRDefault="005728DD" w:rsidP="005728DD">
      <w:pPr>
        <w:pStyle w:val="TextoNormal"/>
      </w:pPr>
      <w:r>
        <w:t>Finalmente se refiere a la doctrina constitucional sobre la Ley estatal de evaluación ambiental, prestando especial atención a las SSTC 109/2017, de 21 de septiembre, y 161/2019, de 12 de diciembre, como precedentes de interés en cuanto declararon inconstitucionales las disposiciones de otras Comunidades Autónomas (Illes Balears y Murcia, respectivamente) que excluían de evaluación ambiental a determinados instrumentos urbanísticos. Destaca que la STC 109/2017 declara inconstitucional el art. 9.4 de la Ley del Parlamento de las Illes Balears 12/2016, de 17 de agosto, de evaluación ambiental por razones similares a las que ha expuesto el órgano de remisión en el auto para considerar inconstitucional el art. 40 de la Ley andaluza 7/2007. Considera, sin embargo, que la STC 86/2019 llega a otra conclusión diferente respecto del art. 150.4 de la Ley 4/2017, de 13 de julio, del suelo y de los espacios naturales protegidos de Canarias, pero que no le corresponde interpretar si la STC 86/2019 matiza o rectifica la doctrina constitucional precedente, ni tampoco comprobar si se basa en el particular contenido del estudio de detalle en cada legislación autonómica o exige una aplicación casuística. Tras afirmar el Tribunal Superior de Justicia de Andalucía que carece de jurisdicción para llegar a esa conclusión respecto de la andaluza e “inaplicar o reinterpretar una ley postconstitucional tan taxativa como el art. 6 de la Ley estatal de evaluación ambiental”, destaca como “muy relevante” que la STC 161/2019, posterior a la STC 86/2019, vuelve a aplicar expresamente la doctrina de la STC 109/2017, en la que se declara inconstitucional el art. 154 de la Ley 13/2015, de 30 de marzo, de ordenación territorial y urbanística de la Región de Murcia (en su redacción modificada por la Ley de la Asamblea Regional de Murcia 10/2018).</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30 de junio de 2020, el Pleno, a propuesta de la Sección Cuarta, acuerda admitir a trámite la presente cuestión y reservarse para sí el conocimiento de la misma; dar traslado de las actuaciones recibidas, conforme establece el artículo 37.3 de la Ley Orgánica del Tribunal Constitucional (LOTC), al Congreso de los Diputados y al Senado, por conducto de sus presidentes, al Gobierno, por conducto del ministro de Justicia, y a la fiscal general del Estado, así como al Parlamento de Andalucía y al Gobierno de la Junta de Andalucía, por conducto de sus presidentes, al objeto de que, en el improrrogable plazo de quince días, puedan personarse en el proceso y formular las alegaciones que estimen convenientes; comunicar la presente resolución a la Sala de lo Contencioso-Administrativo del Tribunal Superior de Justicia de Andalucía, a fin de que, de conformidad con lo dispuesto en el art. 35.3 LOTC, permanezca suspendido el proceso hasta que este tribunal resuelva definitivamente la presente cuestión. Finalmente se ordenó publicar la incoación de la cuestión en el “Boletín Oficial del Estado” y en el “Boletín Oficial de la Junta de Andalucía”.</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5</w:t>
      </w:r>
      <w:r>
        <w:t>. La presidenta del Congreso de los Diputados, en escrito registrado con fecha 14 de julio de 2020, comunicó a este tribunal que la mesa de la cámara adoptó el acuerdo de personarse en el proceso, ofreciendo su colaboración a los efectos del art. 88.1 LOTC. Idéntica comunicación efectuó el presidente del Senado mediante escrito registrado en este tribunal el mismo día 14 de julio de 2020.</w:t>
      </w:r>
    </w:p>
    <w:p w:rsidR="005728DD" w:rsidRDefault="005728DD" w:rsidP="005728DD">
      <w:pPr>
        <w:pStyle w:val="TextoNormal"/>
      </w:pPr>
    </w:p>
    <w:p w:rsidR="005728DD" w:rsidRDefault="005728DD" w:rsidP="005728DD">
      <w:pPr>
        <w:pStyle w:val="TextoNormal"/>
      </w:pPr>
      <w:r w:rsidRPr="005728DD">
        <w:rPr>
          <w:rStyle w:val="NumeroAFNegritaCaracter"/>
        </w:rPr>
        <w:t>6</w:t>
      </w:r>
      <w:r>
        <w:t>. El 24 de julio de 2020 se personó en el proceso el abogado del Estado, en nombre del Gobierno, e interesó la estimación de la cuestión por las razones que a continuación se resumen.</w:t>
      </w:r>
    </w:p>
    <w:p w:rsidR="005728DD" w:rsidRDefault="005728DD" w:rsidP="005728DD">
      <w:pPr>
        <w:pStyle w:val="TextoNormal"/>
      </w:pPr>
    </w:p>
    <w:p w:rsidR="005728DD" w:rsidRDefault="005728DD" w:rsidP="005728DD">
      <w:pPr>
        <w:pStyle w:val="TextoNormal"/>
      </w:pPr>
      <w:r>
        <w:t>Una vez presentado sumariamente el objeto de la cuestión, expone el contenido de la legislación básica en materia de evaluación ambiental estratégica y la sujeción a la misma de los instrumentos urbanísticos, en particular los arts. 6 (“Ámbito de aplicación de la evaluación ambiental estratégica”) y 8 (“Supuestos excluidos de evaluación ambiental y proyectos exceptuables”), concluyendo que la norma básica no prevé que las comunidades autónomas puedan establecer categorías genéricas de planes y programas excluidos, al implicar una rebaja de la protección ambiental.</w:t>
      </w:r>
    </w:p>
    <w:p w:rsidR="005728DD" w:rsidRDefault="005728DD" w:rsidP="005728DD">
      <w:pPr>
        <w:pStyle w:val="TextoNormal"/>
      </w:pPr>
    </w:p>
    <w:p w:rsidR="005728DD" w:rsidRDefault="005728DD" w:rsidP="005728DD">
      <w:pPr>
        <w:pStyle w:val="TextoNormal"/>
      </w:pPr>
      <w:r>
        <w:t>En relación con el concepto de evaluación ambiental, advierte que la Ley 9/2018 modificó también el art. 5 de la Ley 21/2013, ampliando el ámbito de la evaluación ambiental y concretando un conjunto de aspectos que deben evaluarse al analizar un plan o programa. Argumenta que la Ley estatal de evaluación ambiental, siguiendo a las directivas comunitarias, regula el procedimiento de exclusión de un plan o programa en concreto, pero prohíbe la exclusión de categorías genéricas de planes y programas. Razón por la cual la STC 107/2017 declaró inconstitucional el art. 9.4 de la Ley del Parlamento de las Illes Balears 12/2016, de 17 de agosto, de evaluación ambiental que excluía, por su menor impacto medio ambiental, categorías completas de planes y programas entre ellos los estudios de detalle. A continuación, pasa a analizar la legislación andaluza, según la cual el estudio de detalle puede implicar “la ordenación de los volúmenes, el trazado local del viario secundario y la localización del suelo dotacional público, fijar las alineaciones y rasantes de cualquier viario, y reajustarlas”. Entiende que no puede considerarse que este conjunto de posibles previsiones urbanísticas tengan “un escaso efecto en el ámbito de la evaluación ambiental definida por el derecho europeo”, el cual exige el análisis de los efectos de estos planes sobre los siguientes factores: la población, la salud humana, la flora, la fauna, la biodiversidad, la geodiversidad, la tierra, el suelo, el subsuelo, el aire, el agua, el clima, el cambio climático, el paisaje, los bienes materiales, incluido el patrimonio cultural, y la interacción entre todos los factores mencionados. Concluye, en definitiva, que es necesario analizar el plan en concreto y el ámbito donde se aplican sus previsiones para ver el impacto en todos estos factores y en el medio ambiente.</w:t>
      </w:r>
    </w:p>
    <w:p w:rsidR="005728DD" w:rsidRDefault="005728DD" w:rsidP="005728DD">
      <w:pPr>
        <w:pStyle w:val="TextoNormal"/>
      </w:pPr>
    </w:p>
    <w:p w:rsidR="005728DD" w:rsidRDefault="005728DD" w:rsidP="005728DD">
      <w:pPr>
        <w:pStyle w:val="TextoNormal"/>
      </w:pPr>
      <w:r>
        <w:t xml:space="preserve">Llama la atención sobre el hecho de que en la STC 86/2019, en el caso de la normativa canaria, el tribunal declaró que los estudios de detalles podían ser excluidos con carácter general de la evaluación ambiental estratégica por su escasa entidad innovadora, pese a que el objeto de la evaluación ambiental estratégica es precisamente definir los efectos del plan y que esta puede concluir declarando, en cada caso concreto, que tiene escasa entidad a los efectos de la evaluación medio ambiental. Considera, por el contrario, que esta conclusión no se puede definir a priori y con carácter genérico. Reitera, para sostener esta conclusión, que el legislador básico, al transponer las directivas comunitarias, ha querido que todos los </w:t>
      </w:r>
      <w:r>
        <w:lastRenderedPageBreak/>
        <w:t>planes y proyectos estén sujetos a evaluación ambiental estratégica —ya sea ordinaria o simplificada— y que no existan exclusiones genéricas de instrumentos de planeamiento, sino que se regula en todo caso un procedimiento para la exclusión singular de algunos casos. De modo que, a la luz de la jurisprudencia constitucional sobre la distribución de competencias en materia de medio ambiente, el art. 40.1 a) de la Ley andaluza 7/2007 infringe la legislación básica del estado al reducir el ámbito de protección medioambiental de determinados instrumentos de planeamiento.</w:t>
      </w:r>
    </w:p>
    <w:p w:rsidR="005728DD" w:rsidRDefault="005728DD" w:rsidP="005728DD">
      <w:pPr>
        <w:pStyle w:val="TextoNormal"/>
      </w:pPr>
    </w:p>
    <w:p w:rsidR="005728DD" w:rsidRDefault="005728DD" w:rsidP="005728DD">
      <w:pPr>
        <w:pStyle w:val="TextoNormal"/>
      </w:pPr>
      <w:r w:rsidRPr="005728DD">
        <w:rPr>
          <w:rStyle w:val="NumeroAFNegritaCaracter"/>
        </w:rPr>
        <w:t>7</w:t>
      </w:r>
      <w:r>
        <w:t>. Por escrito registrado con fecha 31 de julio de 2020 formuló sus alegaciones el letrado del Parlamento de Andalucía solicitando la inadmisión de la cuestión o, subsidiariamente, su desestimación.</w:t>
      </w:r>
    </w:p>
    <w:p w:rsidR="005728DD" w:rsidRDefault="005728DD" w:rsidP="005728DD">
      <w:pPr>
        <w:pStyle w:val="TextoNormal"/>
      </w:pPr>
    </w:p>
    <w:p w:rsidR="005728DD" w:rsidRDefault="005728DD" w:rsidP="005728DD">
      <w:pPr>
        <w:pStyle w:val="TextoNormal"/>
      </w:pPr>
      <w:r>
        <w:t xml:space="preserve">a) Alega, en primer lugar, que la cuestión ha de ser inadmitida por error en la identificación del precepto cuya constitucionalidad se cuestiona, y que afecta tanto a la correcta tramitación de la cuestión de inconstitucionalidad, como al juicio de relevancia al que obliga el art. 35 LOTC. Expone que en la providencia de 26 de septiembre de 2019, por la que la Sala acordó abrir el trámite de audiencia previsto en el art. 35. 2 LOTC, se identifica como precepto cuya constitucionalidad se cuestiona el de la letra a) del apartado 4 del artículo 40 de la Ley andaluza 7/2007. Sin embargo, en el auto de 10 de febrero de 2020 en el que se plantea la presente cuestión se mencionan como objeto de la misma tanto la letra a) como la letra c) del art 40.4 de la Ley andaluza 7/2007. La referencia a la letra c), que exime de evaluación ambiental a las modificaciones de los estudios de detalle junto a las de otros instrumentos, se incluye así </w:t>
      </w:r>
      <w:r w:rsidRPr="005728DD">
        <w:rPr>
          <w:i/>
        </w:rPr>
        <w:t>ex novo</w:t>
      </w:r>
      <w:r>
        <w:t xml:space="preserve"> y de forma extemporánea, sin haber sido previamente comunicado a las partes, por lo que las mismas no se han podido pronunciar, como exige el apartado 2 del art. 35 LOTC, sobre la procedencia de plantear la cuestión ante el Tribunal Constitucional en relación con el contenido de dicha letra [con cita de la doctrina constitucional contenida en el ATC 401/2006, de 8 de noviembre, FJ 2; STC 114/1994, de 14 de abril, FJ 2 c), y ATC 166/2017, de 12 de diciembre, FJ 3]. A lo anterior añade que no cabe plantear la cuestión de inconstitucionalidad en relación con la letra a) del citado artículo 40.4 porque las cuestiones de inconstitucionalidad constituyen un medio de control concreto, y no abstracto, sobre la constitucionalidad de un precepto que guarda conexión directa con el proceso judicial en curso, y para cuyo fallo resulta determinante (con cita de la STC 64/2019, de 9 de mayo, FJ 3). Y, en este caso, puesto que el objeto del recurso presentado por el demandante se dirige contra un acuerdo del Ayuntamiento de Sevilla que aprueba un modificado del estudio de detalle y no el estudio en sí, la letra a) del art. 40.4 de Ley andaluza 7/2007 no guarda conexión con el objeto del litigio de origen, ya que versa sobre los estudios de detalle y no sobre sus modificaciones.</w:t>
      </w:r>
    </w:p>
    <w:p w:rsidR="005728DD" w:rsidRDefault="005728DD" w:rsidP="005728DD">
      <w:pPr>
        <w:pStyle w:val="TextoNormal"/>
      </w:pPr>
    </w:p>
    <w:p w:rsidR="005728DD" w:rsidRDefault="005728DD" w:rsidP="005728DD">
      <w:pPr>
        <w:pStyle w:val="TextoNormal"/>
      </w:pPr>
      <w:r>
        <w:t>b) En segundo lugar, examina si se dan los presupuestos para declarar la inconstitucionalidad indirecta o mediata del precepto autonómico en cuestión en relación con el art. 149.1.23 CE: que la norma estatal infringida por la ley autonómica sea, en el doble sentido material y formal, una norma básica; que la contradicción entre la norma estatal y autonómica sea efectiva e insalvable por vía interpretativa; y que la norma autonómica implique una reducción del nivel mínimo de protección medioambiental fijado por la normativa básica del Estado.</w:t>
      </w:r>
    </w:p>
    <w:p w:rsidR="005728DD" w:rsidRDefault="005728DD" w:rsidP="005728DD">
      <w:pPr>
        <w:pStyle w:val="TextoNormal"/>
      </w:pPr>
    </w:p>
    <w:p w:rsidR="005728DD" w:rsidRDefault="005728DD" w:rsidP="005728DD">
      <w:pPr>
        <w:pStyle w:val="TextoNormal"/>
      </w:pPr>
      <w:r>
        <w:t xml:space="preserve">Tras constatar que los artículos 6 y 8 de la Ley estatal de evaluación ambiental son normas básicas estatales, dictadas de acuerdo con el orden competencial constitucionalmente </w:t>
      </w:r>
      <w:r>
        <w:lastRenderedPageBreak/>
        <w:t>vigente (tal y como declara la STC 109/2017, FJ 3), analiza si la norma autonómica entra en contradicción con las mismas de forma efectiva e insalvable. A tales efectos revisa en primer lugar la jurisprudencia constitucional aplicable a la exigencia de evaluación ambiental estratégica a los estudios de detalle. Señala que la STC 109/2017 (que declaró la inconstitucionalidad del artículo 9.4 de la Ley 12/2016, de evaluación ambiental de las Islas Baleares)  y la STC 86/2019 (que declaró la constitucionalidad del artículo 150.4 de la Ley 4/2017, del suelo y de los espacios naturales protegidos de Canarias) no son contradictorias, sino complementarias, a la luz de las divergencias subyacentes en los preceptos cuestionados: mientras que la STC 109/2017 declara la inconstitucionalidad de una norma muy amplia, que exime de evaluación ambiental a un conjunto heterogéneo de instrumentos de planeamiento urbanístico, por lo que el pronunciamiento recogido en el fallo es genérico y muy amplio (sin distinguir entre las distintas figuras contendidas en el art. 9.4 de la Ley balear), el fallo de la posterior sentencia 86/2019 contiene una decisión concreta y específica sobre el apartado cuyo único objeto es la exclusión de los estudios de detalle de dicha evaluación ambiental. Considera, por ello, que es esta última la doctrina es la que debe tomarse como canon de constitucionalidad para el enjuiciamiento del presente litigio.</w:t>
      </w:r>
    </w:p>
    <w:p w:rsidR="005728DD" w:rsidRDefault="005728DD" w:rsidP="005728DD">
      <w:pPr>
        <w:pStyle w:val="TextoNormal"/>
      </w:pPr>
    </w:p>
    <w:p w:rsidR="005728DD" w:rsidRDefault="005728DD" w:rsidP="005728DD">
      <w:pPr>
        <w:pStyle w:val="TextoNormal"/>
      </w:pPr>
      <w:r>
        <w:t xml:space="preserve">Prosigue con el examen del régimen jurídico de los estudios de detalle en la legislación andaluza. Destaca que conforme al art. 15 de la Ley del Parlamento de Andalucía 7/2002, los estudios de detalle tienen por objeto completar o adaptar algunas determinaciones del planeamiento en áreas de suelos urbanos de ámbito reducido, y que a tal fin pueden, en desarrollo de los objetivos definidos por otros planes, establecer o fijar la ordenación de los volúmenes, el trazado local del viario secundario y la localización del suelo dotacional público, así como fijar o reajustar alineaciones y rasantes (apartado 1). No obstante, no pueden modificar el uso urbanístico del suelo fuera de los límites del apartado anterior, incrementar el aprovechamiento urbanístico, suprimir o reducir el suelo dotacional público, o afectar negativamente a su funcionalidad, ni alterar las condiciones de la ordenación de los terrenos o construcciones colindantes (apartado 2). Por su parte, el artículo 36.1 </w:t>
      </w:r>
      <w:r w:rsidRPr="005728DD">
        <w:rPr>
          <w:i/>
        </w:rPr>
        <w:t>in fine</w:t>
      </w:r>
      <w:r>
        <w:t xml:space="preserve"> de la Ley andaluza 7/2002 dispone que las innovaciones que el propio planeamiento permita realizar mediante estudio de detalle queden excluidas del régimen general, el cual exige que cualquier innovación deberá llevarse a cabo por la misma clase de instrumento, observando iguales determinaciones y procedimiento regulados para su aprobación, publicidad y publicación. De estas disposiciones extrae la conclusión de que los estudios de detalle, a pesar de su introducción como último eslabón del planeamiento de desarrollo según la citada ley, no constituyen más que instrumentos complementarios y plenamente subordinados a los verdaderos planes urbanísticos desde el punto de vista de sus efectos y contenido. Y destaca como “especialmente significativo” que la legislación andaluza regule el ámbito material de los estudios de detalle de forma más restrictiva que la canaria (en particular, porque mientras el artículo 15.1 de la Ley andaluza 7/2002 limita el estudio de detalle al suelo urbano, el artículo 150.1 de la Ley canaria 4/2017 permite su uso en suelo urbano y el urbanizable, si bien en ambos casos con idéntico objeto: completar o adaptar las determinaciones del planeamiento urbanístico). A mayor abundamiento, llama la atención sobre el hecho de que la normativa de diversas Comunidades Autónomas consideren los estudios de detalle como un instrumento urbanístico diferenciado del planeamiento de desarrollo.</w:t>
      </w:r>
    </w:p>
    <w:p w:rsidR="005728DD" w:rsidRDefault="005728DD" w:rsidP="005728DD">
      <w:pPr>
        <w:pStyle w:val="TextoNormal"/>
      </w:pPr>
    </w:p>
    <w:p w:rsidR="005728DD" w:rsidRDefault="005728DD" w:rsidP="005728DD">
      <w:pPr>
        <w:pStyle w:val="TextoNormal"/>
      </w:pPr>
      <w:r>
        <w:t xml:space="preserve">A la luz de la doctrina constitucional examinada, y de la regulación de los estudios de detalle en la legislación andaluza, concluye que los criterios mantenidos en la STC 86/2019, FJ 11 B) a), se dan en la normativa andaluza: (i) escasa entidad de los estudios de detalle </w:t>
      </w:r>
      <w:r>
        <w:lastRenderedPageBreak/>
        <w:t>que solo se utilizan para áreas de suelo urbano de ámbito muy reducido; (ii) casi nula capacidad innovadora y subordinación a planes ya sujetos a evaluación ambiental, porque se limitan a completar o aplicar determinaciones de otros planes, como es el caso del plan general de ordenación urbanística, plan parcial o plan especial que si son objeto de evaluación ambiental estratégica; (iii) y no producen efectos significativos sobre el medio ambiente, dada la limitación del espacio geográfico afectado, su reserva al suelo urbano y la sujeción a evaluación ambiental de aquellos planes que se completan o aplican por los estudios de detalle, justifican que su aprobación no produzca efectos significativos para el medio ambiente.</w:t>
      </w:r>
    </w:p>
    <w:p w:rsidR="005728DD" w:rsidRDefault="005728DD" w:rsidP="005728DD">
      <w:pPr>
        <w:pStyle w:val="TextoNormal"/>
      </w:pPr>
    </w:p>
    <w:p w:rsidR="005728DD" w:rsidRDefault="005728DD" w:rsidP="005728DD">
      <w:pPr>
        <w:pStyle w:val="TextoNormal"/>
      </w:pPr>
      <w:r>
        <w:t>En atención a lo expuesto, concluye que no existe una incompatibilidad absoluta e insalvable con la normativa básica estatal puesto que la evaluación ambiental estratégica solo resulta aplicable a aquellos planes y programas urbanísticos que producen efectos significativos sobre el medio ambiente, lo que no sucede con los estudios de detalle regulados en la legislación autonómica andaluza por las razones ya expuestas, los cuales respetan el canon de constitucionalidad exigido para que este instrumento no quede sujeto a evaluación ambiental, conforme a la STC 86/2019 FJ 11 B) a). Por lo que no cabe entender infringida la prohibición de reducir el nivel de tutela medioambiental previsto en la legislación básica y, en definitiva, el artículo 40.4, letras a) y c), de la Ley andaluza 7/2007 no vulnera el art. 149.1.23 CE.</w:t>
      </w:r>
    </w:p>
    <w:p w:rsidR="005728DD" w:rsidRDefault="005728DD" w:rsidP="005728DD">
      <w:pPr>
        <w:pStyle w:val="TextoNormal"/>
      </w:pPr>
    </w:p>
    <w:p w:rsidR="005728DD" w:rsidRDefault="005728DD" w:rsidP="005728DD">
      <w:pPr>
        <w:pStyle w:val="TextoNormal"/>
      </w:pPr>
      <w:r w:rsidRPr="005728DD">
        <w:rPr>
          <w:rStyle w:val="NumeroAFNegritaCaracter"/>
        </w:rPr>
        <w:t>8</w:t>
      </w:r>
      <w:r>
        <w:t>. Mediante escrito registrado el día 2 de septiembre de 2020 formuló sus alegaciones la representación procesal de la Junta de Andalucía interesando la inadmisión de la cuestión y, subsidiariamente, su desestimación.</w:t>
      </w:r>
    </w:p>
    <w:p w:rsidR="005728DD" w:rsidRDefault="005728DD" w:rsidP="005728DD">
      <w:pPr>
        <w:pStyle w:val="TextoNormal"/>
      </w:pPr>
    </w:p>
    <w:p w:rsidR="005728DD" w:rsidRDefault="005728DD" w:rsidP="005728DD">
      <w:pPr>
        <w:pStyle w:val="TextoNormal"/>
      </w:pPr>
      <w:r>
        <w:t>En primer lugar, pone de relieve que el auto por el que se plantea la cuestión de inconstitucionalidad solo identifica como objeto del recurso interpuesto por la Federación de Ecologistas en Acción la modificación del estudio de detalle de 2016 —puesto que no puede pronunciarse sobre el estudio de detalle de 2008, al haber quedado firme y consentido—, y que esta ha de ser inadmitida ya que el juicio de relevancia que efectúa el órgano jurisdiccional resulta notoriamente insuficiente respecto al apartado a) del art. 40.4, e inexistente con respecto al apartado c) del art. 40.4, siendo este último el precepto que tendrá que aplicar al ser el que consagra la exoneración de evaluación ambiental estratégica de la modificación del estudio de detalle.</w:t>
      </w:r>
    </w:p>
    <w:p w:rsidR="005728DD" w:rsidRDefault="005728DD" w:rsidP="005728DD">
      <w:pPr>
        <w:pStyle w:val="TextoNormal"/>
      </w:pPr>
    </w:p>
    <w:p w:rsidR="005728DD" w:rsidRDefault="005728DD" w:rsidP="005728DD">
      <w:pPr>
        <w:pStyle w:val="TextoNormal"/>
      </w:pPr>
      <w:r>
        <w:t>Precisa que la cuestión debe ser inadmitida en relación con el apartado a) art. 40.4 de la Ley andaluza 7/2007 porque el órgano jurisdiccional se vería abocado a aplicar tal precepto solo si se considerase que cabe la impugnación indirecta del estudio de detalle de 2008 al amparo del artículo 26 de la Ley reguladora de la jurisdicción contencioso-administrativa, por considerar la modificación del estudio de detalle como un acto de aplicación del anterior. Naturaleza que el letrado de la Junta de Andalucía niega. Añade que el auto argumenta por qué considera contrario a la legislación básica y a la Constitución la no sujeción de los estudios de detalle a evaluación ambiental estratégica, pero que nada dice sobre las razones por las que considera contrario a la Constitución el apartado c) del art. 40.4 (la no sujeción de los modificados de los estudios de detalle), pese a que una cosa sea la aprobación de un instrumento de planeamiento y otra diferente la modificación del mismo. En su opinión, tal silencio debe llevar a la inadmisión de la cuestión también respecto al apartado c) del art. 40.4.</w:t>
      </w:r>
    </w:p>
    <w:p w:rsidR="005728DD" w:rsidRDefault="005728DD" w:rsidP="005728DD">
      <w:pPr>
        <w:pStyle w:val="TextoNormal"/>
      </w:pPr>
    </w:p>
    <w:p w:rsidR="005728DD" w:rsidRDefault="005728DD" w:rsidP="005728DD">
      <w:pPr>
        <w:pStyle w:val="TextoNormal"/>
      </w:pPr>
      <w:r>
        <w:t>Subsidiariamente alega que la cuestión de inconstitucionalidad debe ser desestimada porque la no sujeción a evaluación ambiental estratégica de los estudios de detalle y de sus modificaciones, conforme al 40.4 a) y c) de la Ley andaluza 7/2007, no entran en contradicción efectiva e insalvable con la legislación básica estatal en materia de medio ambiente, y deben por tanto entenderse conformes con la Constitución. El principal argumento para sostener la constitucionalidad de dichas disposiciones lo extrae de la STC 86/2019, FJ 11, en que el tribunal declara conforme a la Constitución la exclusión de evaluación ambiental que el legislador canario establece respecto a los estudios de detalle: considera que el estudio de detalle regulado en la Ley 7/2002 de ordenación urbanística de Andalucía resulta sustancialmente análogo al estudio de detalle de la Ley canaria 4/2017 en cuanto a escasa entidad, casi nula capacidad innovadora y subordinación clara a planes que sí son objeto de evaluación ambiental. Concluye, en consecuencia, que los estudios de detalle regulados por la normativa andaluza carecen de efectos significativos sobre el medio ambiente en los términos indicados por la referida sentencia, por lo que la exclusión de evaluación ambiental estratégica que dispone las letras a) y c) del art. 40.4 de la Ley andaluza 7/2007 son conformes con la Constitución.</w:t>
      </w:r>
    </w:p>
    <w:p w:rsidR="005728DD" w:rsidRDefault="005728DD" w:rsidP="005728DD">
      <w:pPr>
        <w:pStyle w:val="TextoNormal"/>
      </w:pPr>
    </w:p>
    <w:p w:rsidR="005728DD" w:rsidRDefault="005728DD" w:rsidP="005728DD">
      <w:pPr>
        <w:pStyle w:val="TextoNormal"/>
      </w:pPr>
      <w:r w:rsidRPr="005728DD">
        <w:rPr>
          <w:rStyle w:val="NumeroAFNegritaCaracter"/>
        </w:rPr>
        <w:t>9</w:t>
      </w:r>
      <w:r>
        <w:t>. Por escrito registrado con fecha 27 de julio de 2020 se personó en el proceso la representación de la Federación Ecologistas en Acción-Sevilla y formuló sus alegaciones mediante escrito registrado el día 12 de agosto de 2020.</w:t>
      </w:r>
    </w:p>
    <w:p w:rsidR="005728DD" w:rsidRDefault="005728DD" w:rsidP="005728DD">
      <w:pPr>
        <w:pStyle w:val="TextoNormal"/>
      </w:pPr>
    </w:p>
    <w:p w:rsidR="005728DD" w:rsidRDefault="005728DD" w:rsidP="005728DD">
      <w:pPr>
        <w:pStyle w:val="TextoNormal"/>
      </w:pPr>
      <w:r>
        <w:t>Sostiene que el estudio de detalle contiene determinaciones con evidentes repercusiones ambientales, y que no han sido sometidas a ningún tipo de evaluación ambiental estratégica conforme a los arts. 6 y 8 de la Ley estatal de evaluación ambiental. Dado que la parte demandada invoca el art 40.4 a) de la Ley andaluza 7/2007 (modificada por la ley 3/2015, de 29 de diciembre, para adaptarla a la ley 21/2013 estatal) cuestiona la constitucionalidad de aquel precepto autonómico en relación con el art. 149.1.23 CE.</w:t>
      </w:r>
    </w:p>
    <w:p w:rsidR="005728DD" w:rsidRDefault="005728DD" w:rsidP="005728DD">
      <w:pPr>
        <w:pStyle w:val="TextoNormal"/>
      </w:pPr>
    </w:p>
    <w:p w:rsidR="005728DD" w:rsidRDefault="005728DD" w:rsidP="005728DD">
      <w:pPr>
        <w:pStyle w:val="TextoNormal"/>
      </w:pPr>
      <w:r>
        <w:t>Expone que el estudio de detalle de 2008 se adoptó en ejecución de un plan de sectorización con ordenación pormenorizada que delegaba y difería a la redacción del primero, entre otros, la ordenación de volúmenes, mientras que el modificado de 2016 alteró dicha ordenación volumétrica. Destaca que tanto el estudio de detalle de 2008 como el modificado de 2016 proceden, a su vez, de un plan que tampoco fue sometido a evaluación ambiental estratégica, pese a que ya les era de aplicación las disposiciones de la directiva y de la Ley 9/2006, de 28 de abril, sobre evaluación de los efectos de determinados planes y programas. Destaca también que, además de ordenar los volúmenes que conformarán el paisaje, el estudio de detalle y su modificado establecen el marco para la autorización de un proyecto de edificación que debe ser sometido a Evaluación de impacto ambiental. En definitiva, defiende que las determinaciones confiadas al estudio de detalle tienen en este caso probables efectos ambientales que debieron ser evaluados en una evaluación ambiental estratégica, al menos simplificada, y que el art. 40.4 a) de la Ley andaluza 7/2007, al vulnerar la normativa básica estatal de evaluación ambiental, incurre en inconstitucionalidad mediata.</w:t>
      </w:r>
    </w:p>
    <w:p w:rsidR="005728DD" w:rsidRDefault="005728DD" w:rsidP="005728DD">
      <w:pPr>
        <w:pStyle w:val="TextoNormal"/>
      </w:pPr>
    </w:p>
    <w:p w:rsidR="005728DD" w:rsidRDefault="005728DD" w:rsidP="005728DD">
      <w:pPr>
        <w:pStyle w:val="TextoNormal"/>
      </w:pPr>
      <w:r w:rsidRPr="005728DD">
        <w:rPr>
          <w:rStyle w:val="NumeroAFNegritaCaracter"/>
        </w:rPr>
        <w:t>10</w:t>
      </w:r>
      <w:r>
        <w:t>. El 1 de septiembre 2020 la fiscal general del Estado presentó su escrito de alegaciones interesando la estimación de la cuestión por las razones que se resumen a continuación.</w:t>
      </w:r>
    </w:p>
    <w:p w:rsidR="005728DD" w:rsidRDefault="005728DD" w:rsidP="005728DD">
      <w:pPr>
        <w:pStyle w:val="TextoNormal"/>
      </w:pPr>
    </w:p>
    <w:p w:rsidR="005728DD" w:rsidRDefault="005728DD" w:rsidP="005728DD">
      <w:pPr>
        <w:pStyle w:val="TextoNormal"/>
      </w:pPr>
      <w:r>
        <w:lastRenderedPageBreak/>
        <w:t>Tras exponer los antecedentes de hecho de los que trae causa esta cuestión de inconstitucionalidad y resumir el auto de planteamiento, examina el cumplimiento de los requisitos procesales que exige el art. 35.2 LOTC sin encontrar óbice procesal alguno.</w:t>
      </w:r>
    </w:p>
    <w:p w:rsidR="005728DD" w:rsidRDefault="005728DD" w:rsidP="005728DD">
      <w:pPr>
        <w:pStyle w:val="TextoNormal"/>
      </w:pPr>
    </w:p>
    <w:p w:rsidR="005728DD" w:rsidRDefault="005728DD" w:rsidP="005728DD">
      <w:pPr>
        <w:pStyle w:val="TextoNormal"/>
      </w:pPr>
      <w:r>
        <w:t>Analiza a continuación el contenido de la cuestión de inconstitucionalidad, y la doctrina de este tribunal que va a tomar en consideración como canon de enjuiciamiento. Cita, en primer lugar la STC 53/2017, de 11 de mayo, en la que se analiza el carácter básico, conforme al art. 149.1.23 CE, de diversas disposiciones de la Ley estatal 21/2013 de evaluación ambiental. Le sigue una exposición de sentencias posteriores en las que el tribunal se ha pronunciado sobre la evaluación ambiental de instrumentos de planificación urbanística y, en concreto, los estudios de detalle, regulados por diversas comunidades autónomas: destaca que en la STC 109/2017, FJ 3, el tribunal constata el carácter básico de los arts. 6 y 8 de la Ley 21/2013 como norma de contraste, y declara la inconstitucionalidad mediata de la disposición de la Ley balear 12/2016 que excluía de evaluación determinadas categorías de planes y sus modificaciones, en tanto que dicha evaluación era preceptiva conforme a la legislación básica vulnerada. Examina a continuación la STC 86/2019, en la que el tribunal declara que el art. 150.4 de la Ley 4/2017, de 13 de julio, del suelo y de los espacios naturales protegidos de Canarias, que excluye los estudios de detalle y sus modificaciones de evaluación ambiental es conforme con dichas disposiciones básicas de la Ley estatal de evaluación ambiental y, por tanto, con el art. 149.1.23 CE, “al no tener efectos significativos sobre el medio ambiente que impliquen un menor nivel de protección". Por último, examina la STC 161/2019 en la que el tribunal declara inconstitucional —por los mismos motivos que la STC 109/2017— el art. 154 de la Ley 13/2015, de 30 de marzo, de ordenación territorial y urbanística de la Región de Murcia (en su redacción modificada por la Ley de Asamblea Regional de Murcia 10/2018) que excluía de evaluación de impacto ambiental diversos instrumentos de planeamiento urbanístico, entre otros los estudios de detalle, por considerar que suponía, por sí misma, la reducción de los niveles mínimos de protección establecidos por la legislación básica en cuestión, con la consiguiente vulneración de la competencia estatal en materia de medio ambiente.</w:t>
      </w:r>
    </w:p>
    <w:p w:rsidR="005728DD" w:rsidRDefault="005728DD" w:rsidP="005728DD">
      <w:pPr>
        <w:pStyle w:val="TextoNormal"/>
      </w:pPr>
    </w:p>
    <w:p w:rsidR="005728DD" w:rsidRDefault="005728DD" w:rsidP="005728DD">
      <w:pPr>
        <w:pStyle w:val="TextoNormal"/>
      </w:pPr>
      <w:r>
        <w:t>A la luz de los arts. 6 y 8 de la Ley estatal de evaluación ambiental y de la normativa andaluza aplicable a este caso, llega a la conclusión de que el art 40.4 a) de la Ley andaluza 7/2002, que excluye de evaluación ambiental los estudios de detalle es contraria al art. 6 Ley estatal de evaluación ambiental. Aduce que la exclusión de una categoría completa de un instrumento de planeamiento como esta excluye cualquier evaluación de los posibles efectos significativos de dicha categoría, cuando la propia Ley estatal, de acuerdo con los criterios de las directivas —y conforme aprecia la doctrina constitucional arriba examinada—, prevé un mecanismo —el de la evaluación simplificada— a través del cual corresponde al órgano ambiental competente analizar la posible existencia de efectos significativos en el medio ambiente. Por lo que la exclusión cuestionada supone, a su juicio, una disminución del nivel mínimo de protección establecido por la legislación básica contraria al art. 149.1.24 CE, y sustrae al órgano ambiental correspondiente la posibilidad de efectuar una evaluación ambiental simplificada determinando la existencia o no de efectos significativos para el medio ambiente.</w:t>
      </w:r>
    </w:p>
    <w:p w:rsidR="005728DD" w:rsidRDefault="005728DD" w:rsidP="005728DD">
      <w:pPr>
        <w:pStyle w:val="TextoNormal"/>
      </w:pPr>
    </w:p>
    <w:p w:rsidR="005728DD" w:rsidRDefault="005728DD" w:rsidP="005728DD">
      <w:pPr>
        <w:pStyle w:val="TextoNormal"/>
      </w:pPr>
      <w:r>
        <w:t xml:space="preserve">En virtud de las anteriores consideraciones, la fiscal general del Estado interesa que se declare la inconstitucionalidad de los apartados a) y c) del art. 40.4 de la Ley andaluza 7/2007, por resultar contrarios al art. 149.1 .23 de la Constitución Española, en relación a la </w:t>
      </w:r>
      <w:r>
        <w:lastRenderedPageBreak/>
        <w:t>regulación básica estatal contenida en los arts. 6 y 8 de la Ley 21 /2013 de 9 de diciembre de evaluación ambiental.</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1 de junio de 2021, se señaló para deliberación y votación del presente recurso el día 3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 y posiciones de las partes</w:t>
      </w:r>
      <w:r>
        <w:t>.</w:t>
      </w:r>
    </w:p>
    <w:p w:rsidR="005728DD" w:rsidRDefault="005728DD" w:rsidP="005728DD">
      <w:pPr>
        <w:pStyle w:val="TextoNormal"/>
      </w:pPr>
    </w:p>
    <w:p w:rsidR="005728DD" w:rsidRDefault="005728DD" w:rsidP="005728DD">
      <w:pPr>
        <w:pStyle w:val="TextoNormal"/>
      </w:pPr>
      <w:r>
        <w:t>La Sección Segunda de la Sala de lo Contencioso-Administrativo del Tribunal Superior de Justicia de Andalucía, con sede en Sevilla, promueve cuestión de inconstitucionalidad en relación con el art. 40.4, apartado a) y c), de la Ley del Parlamento de Andalucía 7/2007, de 9 de julio, de gestión integrada de la calidad ambiental (en adelante, Ley andaluza 7/2007), por posible vulneración del art. 149.1.23 CE.</w:t>
      </w:r>
    </w:p>
    <w:p w:rsidR="005728DD" w:rsidRDefault="005728DD" w:rsidP="005728DD">
      <w:pPr>
        <w:pStyle w:val="TextoNormal"/>
      </w:pPr>
    </w:p>
    <w:p w:rsidR="005728DD" w:rsidRDefault="005728DD" w:rsidP="005728DD">
      <w:pPr>
        <w:pStyle w:val="TextoNormal"/>
      </w:pPr>
      <w:r>
        <w:t>El precepto cuestionado dispone lo siguiente:</w:t>
      </w:r>
    </w:p>
    <w:p w:rsidR="005728DD" w:rsidRDefault="005728DD" w:rsidP="005728DD">
      <w:pPr>
        <w:pStyle w:val="TextoNormal"/>
      </w:pPr>
    </w:p>
    <w:p w:rsidR="005728DD" w:rsidRDefault="005728DD" w:rsidP="005728DD">
      <w:pPr>
        <w:pStyle w:val="TextoNormal"/>
      </w:pPr>
      <w:r>
        <w:t>“Artículo 40. Evaluación ambiental de los instrumentos de planeamiento urbanístico.</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4. No se encuentran sometidos a evaluación ambiental estratégica, teniendo en cuenta su objeto y alcance de acuerdo con lo establecido en la Ley 7/2002, de 17 de diciembre, los siguientes instrumentos de planeamiento urbanístico:</w:t>
      </w:r>
    </w:p>
    <w:p w:rsidR="005728DD" w:rsidRDefault="005728DD" w:rsidP="005728DD">
      <w:pPr>
        <w:pStyle w:val="TextoNormal"/>
      </w:pPr>
    </w:p>
    <w:p w:rsidR="005728DD" w:rsidRDefault="005728DD" w:rsidP="005728DD">
      <w:pPr>
        <w:pStyle w:val="TextoNormal"/>
      </w:pPr>
      <w:r>
        <w:t>a) Estudios de detalle.</w:t>
      </w:r>
    </w:p>
    <w:p w:rsidR="005728DD" w:rsidRDefault="005728DD" w:rsidP="005728DD">
      <w:pPr>
        <w:pStyle w:val="TextoNormal"/>
      </w:pPr>
    </w:p>
    <w:p w:rsidR="005728DD" w:rsidRDefault="005728DD" w:rsidP="005728DD">
      <w:pPr>
        <w:pStyle w:val="TextoNormal"/>
      </w:pPr>
      <w:r>
        <w:t>[…]</w:t>
      </w:r>
    </w:p>
    <w:p w:rsidR="005728DD" w:rsidRDefault="005728DD" w:rsidP="005728DD">
      <w:pPr>
        <w:pStyle w:val="TextoNormal"/>
      </w:pPr>
    </w:p>
    <w:p w:rsidR="005728DD" w:rsidRDefault="005728DD" w:rsidP="005728DD">
      <w:pPr>
        <w:pStyle w:val="TextoNormal"/>
      </w:pPr>
      <w:r>
        <w:t>c) Las revisiones o modificaciones de los instrumentos de planeamiento de desarrollo recogidos en los apartados a) y b) anteriores”.</w:t>
      </w:r>
    </w:p>
    <w:p w:rsidR="005728DD" w:rsidRDefault="005728DD" w:rsidP="005728DD">
      <w:pPr>
        <w:pStyle w:val="TextoNormal"/>
      </w:pPr>
    </w:p>
    <w:p w:rsidR="005728DD" w:rsidRDefault="005728DD" w:rsidP="005728DD">
      <w:pPr>
        <w:pStyle w:val="TextoNormal"/>
      </w:pPr>
      <w:r>
        <w:t>Como ha quedado detallado en los antecedentes, el órgano promotor de la cuestión considera que tales disposiciones podrían incurrir en un supuesto de inconstitucionalidad mediata o indirecta, por ser contrarios a los arts. 6 y 8 de la Ley 21/2013, de 9 de diciembre, de evaluación ambiental, adoptados por el Estado como legislación básica sobre protección del medio ambiente al amparo del art. 149.1.23 CE, por rebajar el nivel de protección del medio ambiente establecido en dichas normas básicas en las que se regula el “ámbito de aplicación de la evaluación ambiental estratégica” y los “supuestos excluidos de evaluación ambiental y proyectos exceptuables”, respectivamente.</w:t>
      </w:r>
    </w:p>
    <w:p w:rsidR="005728DD" w:rsidRDefault="005728DD" w:rsidP="005728DD">
      <w:pPr>
        <w:pStyle w:val="TextoNormal"/>
      </w:pPr>
    </w:p>
    <w:p w:rsidR="005728DD" w:rsidRDefault="005728DD" w:rsidP="005728DD">
      <w:pPr>
        <w:pStyle w:val="TextoNormal"/>
      </w:pPr>
      <w:r>
        <w:t xml:space="preserve">Tanto la fiscal general del Estado, como el abogado del Estado piden la estimación de la cuestión de inconstitucionalidad por considerar que concurre la vulneración constitucional apreciada por el órgano judicial, lo que también ha hecho la representación procesal de la organización ecologista comparecida en el presente proceso. Por su parte, tanto el letrado </w:t>
      </w:r>
      <w:r>
        <w:lastRenderedPageBreak/>
        <w:t>del Parlamento de Andalucía como la el de la Junta de Andalucía se oponen en primer término a la admisión por razones procesales y, subsidiariamente, interesan la desestimación al no apreciar contradicción efectiva e insalvable entre ambas normas.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Cuestiones procesales: Examen de las causas de inadmisibilidad alegadas; desestimación</w:t>
      </w:r>
      <w:r>
        <w:t>.</w:t>
      </w:r>
    </w:p>
    <w:p w:rsidR="005728DD" w:rsidRDefault="005728DD" w:rsidP="005728DD">
      <w:pPr>
        <w:pStyle w:val="TextoNormal"/>
      </w:pPr>
    </w:p>
    <w:p w:rsidR="005728DD" w:rsidRDefault="005728DD" w:rsidP="005728DD">
      <w:pPr>
        <w:pStyle w:val="TextoNormal"/>
      </w:pPr>
      <w:r>
        <w:t>Como cuestión previa, hemos de abordar los óbices procesales alegados por el Parlamento de Andalucía y por la Junta de Andalucía frente a la admisión de esta cuestión de constitucionalidad.</w:t>
      </w:r>
    </w:p>
    <w:p w:rsidR="005728DD" w:rsidRDefault="005728DD" w:rsidP="005728DD">
      <w:pPr>
        <w:pStyle w:val="TextoNormal"/>
      </w:pPr>
    </w:p>
    <w:p w:rsidR="005728DD" w:rsidRDefault="005728DD" w:rsidP="005728DD">
      <w:pPr>
        <w:pStyle w:val="TextoNormal"/>
      </w:pPr>
      <w:r>
        <w:t>En síntesis, el letrado del Parlamento de Andalucía alega que la Sala ha incurrido en un error en la identificación del precepto objeto de la cuestión de inconstitucionalidad en la providencia de 26 de septiembre de 2019 por la que se da traslado a las partes para que hagan alegaciones sobre la conveniencia de plantear la cuestión conforme al artículo 35.2 LOTC, con menoscabo de la correcta tramitación del trámite de audiencia a las partes y al Ministerio Fiscal, así como del juicio de aplicabilidad y de relevancia al que obliga el art. 35.2 LOTC. Por su parte, el letrado de la Junta de Andalucía, considera que el juicio de relevancia que efectúa el órgano jurisdiccional resulta notoriamente insuficiente respecto del artículo 40.4 a), e inexistente respecto del artículo 40.4 c) de la Ley andaluza 7/2007, siendo este último el precepto que tendrá que aplicar al ser el que consagra la exoneración de evaluación ambiental estratégica de la modificación del estudio de detalle.</w:t>
      </w:r>
    </w:p>
    <w:p w:rsidR="005728DD" w:rsidRDefault="005728DD" w:rsidP="005728DD">
      <w:pPr>
        <w:pStyle w:val="TextoNormal"/>
      </w:pPr>
    </w:p>
    <w:p w:rsidR="005728DD" w:rsidRDefault="005728DD" w:rsidP="005728DD">
      <w:pPr>
        <w:pStyle w:val="TextoNormal"/>
      </w:pPr>
      <w:r>
        <w:t>a) Comenzando por la primera objeción, tal como pone de manifiesto el letrado del Parlamento de Andalucía se produce la siguiente discrepancia entre la providencia abriendo el trámite de audiencia exigido por el art. 35.2 LOTC y el auto de planteamiento de la cuestión de inconstitucionalidad: la providencia solamente hace referencia expresa a la letra a) de art. 40.4 de la Ley andaluza 7/2007 (que incluye los “Estudios de detalle” entre los instrumentos de ordenación urbanística no sometidos a evaluación estratégica); pero no cita la letra c) (que excepciona también “Las revisiones o modificaciones de los instrumentos de planeamiento de desarrollo recogidos en los apartados a) y b) anteriores”); el auto, por el contrario, cita ya, también de forma expresa, la letra c).</w:t>
      </w:r>
    </w:p>
    <w:p w:rsidR="005728DD" w:rsidRDefault="005728DD" w:rsidP="005728DD">
      <w:pPr>
        <w:pStyle w:val="TextoNormal"/>
      </w:pPr>
    </w:p>
    <w:p w:rsidR="005728DD" w:rsidRDefault="005728DD" w:rsidP="005728DD">
      <w:pPr>
        <w:pStyle w:val="TextoNormal"/>
      </w:pPr>
      <w:r>
        <w:t xml:space="preserve">Este tribunal ha insistido reiteradamente en la importancia que tiene la tramitación correcta de las cuestiones de inconstitucionalidad, en concreto, el cumplimiento de las formalidades previas a su planteamiento formal (por todos ATC 467/2007, de 17 diciembre, FJ 2). En relación con el trámite de audiencia, en particular, ha precisado que “aunque la identificación de los preceptos legales que se cuestionan es, con carácter general, un requisito inexcusable para poder considerar debidamente evacuado el trámite de audiencia, deben admitirse excepciones a esta doctrina en los casos en los que ‘el defecto en que incurre la providencia de apertura del trámite de audiencia no alcanza a producir confusión en los destinatarios, de modo que estos pueden superar ese defecto y entender correctamente cuál era la duda que se les plantea, pues en estos casos no se habrá impedido a las partes el efectivo ejercicio de su derecho de audiencia en el trámite previsto por el art. 35.2 LOTC’ (ATC 183/2015, de 3 noviembre, FJ 3)” [STC 149/2020, de 22 de octubre, FJ 2 b)]. Además, tal y como recuerda la STC 50/2015, de 9 de abril, FJ 2 b), “Para cumplir adecuadamente con el trámite previsto en el artículo 35.2 LOTC, el juez no está obligado a detallar cada uno de los extremos de la cuestión de inconstitucionalidad sobre cuya conveniencia pueden </w:t>
      </w:r>
      <w:r>
        <w:lastRenderedPageBreak/>
        <w:t>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rsidR="005728DD" w:rsidRDefault="005728DD" w:rsidP="005728DD">
      <w:pPr>
        <w:pStyle w:val="TextoNormal"/>
      </w:pPr>
    </w:p>
    <w:p w:rsidR="005728DD" w:rsidRDefault="005728DD" w:rsidP="005728DD">
      <w:pPr>
        <w:pStyle w:val="TextoNormal"/>
      </w:pPr>
      <w:r>
        <w:t>Conforme a dicha doctrina el óbice no puede ser admitido pues, en este caso, el error de precisión que se imputa al órgano judicial resulta salvable, sin menoscabo de la finalidad del trámite de audiencia, a la luz tanto del contenido de la providencia de 26 de septiembre de 2019, como de las disposiciones objeto de la cuestión de inconstitucionalidad.</w:t>
      </w:r>
    </w:p>
    <w:p w:rsidR="005728DD" w:rsidRDefault="005728DD" w:rsidP="005728DD">
      <w:pPr>
        <w:pStyle w:val="TextoNormal"/>
      </w:pPr>
    </w:p>
    <w:p w:rsidR="005728DD" w:rsidRDefault="005728DD" w:rsidP="005728DD">
      <w:pPr>
        <w:pStyle w:val="TextoNormal"/>
      </w:pPr>
      <w:r>
        <w:t>Por lo que se refiere al contenido de la providencia, si bien la Sala no cita la letra c) del art. 40.4 de la Ley andaluza en cuestión, sí identifica el ámbito objetivo de la duda de constitucionalidad planteada en los siguientes términos: “La cuestión versa sobre la exigencia de evaluación ambiental estratégica en la aprobación y modificación de los estudios de detalle. El objeto de este proceso es la impugnación del acuerdo del Ayuntamiento de Sevilla de 29 de julio de 2016, que aprueba definitivamente el modificado del estudio de detalle de la parcela ZE N1 del SUNP-G0-1 ‘Palmas Altas’” (apartado 2). Incluye, por tanto, una referencia expresa a la exclusión de la evaluación ambiental estratégica en las modificaciones de los estudios de detalle. Posteriormente, la Sala expone que la inconstitucionalidad afectaría al artículo 40.4 a) de dicha Ley [omitiendo citar la letra c)], y precisa como precepto constitucional vulnerado, de forma mediata por infracción la legislación básica de medio ambiente en materia de evaluación ambiental, el art. 149.1.23 CE. Por otra parte, la providencia confronta la norma andaluza, entre otras disposiciones, con el art. 6.1 de la Ley estatal de evaluación ambiental, que ordena someter a evaluación ambiental estratégica los planes y programas, “así como sus modificaciones”, en aquellos casos en que se cumplan los requisitos establecidos en dicha disposición. Resulta evidente, en definitiva, que la providencia identifica la exclusión de la obligación de someter a evaluación ambiental a los estudios de detalle que establece el art. 40.4 de la Ley andaluza 7/2007, tanto en su aprobación [letra (a) que cita luego expresamente], como en su modificación [letra c), cuya cita expresa omite], así como las razones por las que exclusión podría ser contraria, de forma mediata, al art. 149.1.23 CE.</w:t>
      </w:r>
    </w:p>
    <w:p w:rsidR="005728DD" w:rsidRDefault="005728DD" w:rsidP="005728DD">
      <w:pPr>
        <w:pStyle w:val="TextoNormal"/>
      </w:pPr>
    </w:p>
    <w:p w:rsidR="005728DD" w:rsidRDefault="005728DD" w:rsidP="005728DD">
      <w:pPr>
        <w:pStyle w:val="TextoNormal"/>
      </w:pPr>
      <w:r>
        <w:t xml:space="preserve">Por otra parte, el examen de la estructura y contenido del art. 40.4 de la Ley andaluza 7/2007 pone de manifiesto que el supuesto que enuncia su letra c) no tiene entidad autónoma propia desde la perspectiva del problema constitucional que se plantea, en tanto que se remite a las letras precedentes para identificar los instrumentos urbanísticos cuya modificación queda también —al igual que su aprobación— eximida de evaluación ambiental estratégica. En consecuencia, la referencia a la letra a) [“Estudios de detalle”] es en todo caso imprescindible para integrar el contenido y determinar el alcance de la posible inconstitucionalidad mediata de la letra c). Además, la cuestión constitucional que se plantea afecta a ambas a la luz de lo dispuesto en la legislación básica estatal de evaluación ambiental, que dispone la evaluación ambiental integrada tanto en la adopción como en la modificación de los planes y programas sometidos a ella. De tal manera que la declaración de inconstitucionalidad de la letra a) conllevaría por conexión la de la letra c) en lo que esta se refiera a la primera (art. 39.1 LOTC). De hecho, el debate trabado entre las partes sobre esta cuestión </w:t>
      </w:r>
      <w:r>
        <w:lastRenderedPageBreak/>
        <w:t>pone de manifiesto que tanto los argumentos a favor de exigir preceptivamente la evaluación ambiental estratégica a los estudios de detalle (basados en que lo dispuesto en el art. 40.4 de la Ley andaluza 7/2007 es contrario a la legislación estatal básica), como los argumentos que defienden que no es necesaria dicha evaluación (basado en la exención expresamente prevista en la normativa andaluza, y que no rebaja los niveles de protección de la legislación básica estatal), se aplican indistintamente tanto a los casos de adopción como de la modificación de estos instrumentos de ordenación urbanística.</w:t>
      </w:r>
    </w:p>
    <w:p w:rsidR="005728DD" w:rsidRDefault="005728DD" w:rsidP="005728DD">
      <w:pPr>
        <w:pStyle w:val="TextoNormal"/>
      </w:pPr>
    </w:p>
    <w:p w:rsidR="005728DD" w:rsidRDefault="005728DD" w:rsidP="005728DD">
      <w:pPr>
        <w:pStyle w:val="TextoNormal"/>
      </w:pPr>
      <w:r>
        <w:t>En definitiva, atendiendo a la redacción de la providencia, a la estructura y contenido del art. 40.4 de la Ley andaluza 7/2007, y a las circunstancias del litigio concreto, se deduce sin dificultad cuál es el problema constitucional que se plantea y, más en concreto, cuáles son las disposiciones sobre cuya constitucionalidad se duda y los motivos que conducen al juzgador a plantear la cuestión de inconstitucionalidad ante este tribunal. De modo que las partes pudieron pronunciarse sobre la pertinencia de dicho planteamiento sin menoscabo de la finalidad del trámite de audiencia.</w:t>
      </w:r>
    </w:p>
    <w:p w:rsidR="005728DD" w:rsidRDefault="005728DD" w:rsidP="005728DD">
      <w:pPr>
        <w:pStyle w:val="TextoNormal"/>
      </w:pPr>
    </w:p>
    <w:p w:rsidR="005728DD" w:rsidRDefault="005728DD" w:rsidP="005728DD">
      <w:pPr>
        <w:pStyle w:val="TextoNormal"/>
      </w:pPr>
      <w:r>
        <w:t>Dejar sin respuesta a la Sala por razón del defecto alegado implicaría, por el contrario, incurrir en un formalismo riguroso en detrimento de la imprescindible cooperación entre los órganos judiciales y el Tribunal Constitucional para depurar el ordenamiento jurídico de preceptos presuntamente inconstitucionales (STC 133/2004, de 22 de julio, FJ 1, y las allí citadas).</w:t>
      </w:r>
    </w:p>
    <w:p w:rsidR="005728DD" w:rsidRDefault="005728DD" w:rsidP="005728DD">
      <w:pPr>
        <w:pStyle w:val="TextoNormal"/>
      </w:pPr>
    </w:p>
    <w:p w:rsidR="005728DD" w:rsidRDefault="005728DD" w:rsidP="005728DD">
      <w:pPr>
        <w:pStyle w:val="TextoNormal"/>
      </w:pPr>
      <w:r>
        <w:t>No se aprecia, por consiguiente, la concurrencia del óbice alegado.</w:t>
      </w:r>
    </w:p>
    <w:p w:rsidR="005728DD" w:rsidRDefault="005728DD" w:rsidP="005728DD">
      <w:pPr>
        <w:pStyle w:val="TextoNormal"/>
      </w:pPr>
    </w:p>
    <w:p w:rsidR="005728DD" w:rsidRDefault="005728DD" w:rsidP="005728DD">
      <w:pPr>
        <w:pStyle w:val="TextoNormal"/>
      </w:pPr>
      <w:r>
        <w:t>b) En cuanto a la deficiente formulación en el auto de los juicios de aplicabilidad y relevancia, que alegan tanto el letrado del Parlamento como de la Junta de Andalucía, debemos recordar la doctrina constitucional, reiterada entre otras por la STC 23/2017, de 16 de febrero, FJ 2, según la cual “corresponde al órgano judicial proponente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 (STC 43/2015, de 2 de marzo, FJ 3). En tales casos, solo, mediante la revisión del juicio de aplicabilidad y relevancia es posible garantizar el control concreto de constitucionalidad que corresponde a la cuestión de inconstitucionalidad, en los términos en que esta es definida por el art. 163 CE [SSTC 87/2012, de 18 de abril, FJ 2; 146/2012, de 5 de julio, FJ 3; 60/2013, de 13 de marzo, FJ 1 b); 53/2014, de 10 de abril, FJ 1 b), y 82/2014, de 28 de mayo, FJ 2 a)]”.</w:t>
      </w:r>
    </w:p>
    <w:p w:rsidR="005728DD" w:rsidRDefault="005728DD" w:rsidP="005728DD">
      <w:pPr>
        <w:pStyle w:val="TextoNormal"/>
      </w:pPr>
    </w:p>
    <w:p w:rsidR="005728DD" w:rsidRDefault="005728DD" w:rsidP="005728DD">
      <w:pPr>
        <w:pStyle w:val="TextoNormal"/>
      </w:pPr>
      <w:r>
        <w:t xml:space="preserve">En el presente asunto el auto de planteamiento razona de forma suficientemente motivada por qué, a juicio de la Sala, es aplicable el art. 40.4 de la Ley andaluza 7/2007 para dirimir el recurso presentado por la actora contra el acuerdo del Pleno del Ayuntamiento de Sevilla </w:t>
      </w:r>
      <w:r>
        <w:lastRenderedPageBreak/>
        <w:t>impugnado —consistente en la modificación de un estudio de detalle—, sin que su argumentación pueda ser calificada en modo alguno de inconsistente o equivocada. El auto expone que la Federación de Ecologistas en Acción-Sevilla invoca como fundamento de su demanda la ausencia de una evaluación ambiental estratégica, mientras que las partes demandadas justifican tal ausencia en que el art. 40, si bien exige con carácter general la evaluación ambiental estratégica de los instrumentos de ordenación urbanística, su apartado 4 excluye de dicha evaluación a los estudios de detalle. Además, por las razones arriba ya expuestas en relación con el contenido y estructura de dicha disposición, no cabe apreciar el óbice de error en el juicio de aplicabilidad, ya que la identificación de la norma merecedora de cuestionamiento por parte del Tribunal Superior de Justicia no responde a un criterio de aplicabilidad que resulte notoriamente infundado.</w:t>
      </w:r>
    </w:p>
    <w:p w:rsidR="005728DD" w:rsidRDefault="005728DD" w:rsidP="005728DD">
      <w:pPr>
        <w:pStyle w:val="TextoNormal"/>
      </w:pPr>
    </w:p>
    <w:p w:rsidR="005728DD" w:rsidRDefault="005728DD" w:rsidP="005728DD">
      <w:pPr>
        <w:pStyle w:val="TextoNormal"/>
      </w:pPr>
      <w:r>
        <w:t>Por lo que se refiere a la alegación de inadecuada formulación del juicio de relevancia se llega a similar conclusión. La fundamentación de la cuestión es, en este aspecto, también suficiente. Del razonamiento del órgano judicial se desprenden las razones por las que considera que el pronunciamiento de este tribunal es necesario para resolver el caso sometido a su consideración: argumenta que el fallo sobre la legalidad del modificado del estudio de detalle de la parcela ZE N1 del SUNP-G0-1 “Palmas Altas” puede depender —en la interpretación del Tribunal Superior de Justicia— de la validez del art. 40.4 de la Ley andaluza 7/2007, en la medida en que la exclusión de evaluación ambiental estratégica que este dispone para los estudios de detalle y sus ulteriores modificaciones podría implicar una rebaja del nivel de protección establecido en la legislación básica sobre evaluación ambiental y, por consiguiente, vulnerar de forma mediata el art. 149.1.23 CE. De modo que la posible inconstitucionalidad de este precepto es relevante para la resolución del litigio.</w:t>
      </w:r>
    </w:p>
    <w:p w:rsidR="005728DD" w:rsidRDefault="005728DD" w:rsidP="005728DD">
      <w:pPr>
        <w:pStyle w:val="TextoNormal"/>
      </w:pPr>
    </w:p>
    <w:p w:rsidR="005728DD" w:rsidRDefault="005728DD" w:rsidP="005728DD">
      <w:pPr>
        <w:pStyle w:val="TextoNormal"/>
      </w:pPr>
      <w:r>
        <w:t>En conclusión, conforme al control meramente externo que nos corresponde realizar, el auto de planteamiento ha cumplido el requisito de “especificar o justificar en qué medida la decisión del proceso depende de la validez de la norma en cuestión”. Han de rechazarse, en definitiva, las causas de inadmisibilidad aducidas.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Inconstitucionalidad mediata o indirecta: carácter formal y materialmente básico de los arts. 6 y 8 de la Ley 21/2013 de evaluación ambiental</w:t>
      </w:r>
      <w:r>
        <w:t>.</w:t>
      </w:r>
    </w:p>
    <w:p w:rsidR="005728DD" w:rsidRDefault="005728DD" w:rsidP="005728DD">
      <w:pPr>
        <w:pStyle w:val="TextoNormal"/>
      </w:pPr>
    </w:p>
    <w:p w:rsidR="005728DD" w:rsidRDefault="005728DD" w:rsidP="005728DD">
      <w:pPr>
        <w:pStyle w:val="TextoNormal"/>
      </w:pPr>
      <w:r>
        <w:t>La duda planteada por la Sección Segunda de la Sala de lo Contencioso-Administrativo del Tribunal Superior de Justicia de Andalucía tiene carácter exclusivamente competencial, y suscita un supuesto de inconstitucionalidad mediata o indirecta por derivar la posible infracción constitucional, no de la incompatibilidad directa de las disposiciones impugnadas con la Constitución, sino de su eventual contradicción con preceptos básicos adoptados por el Estado. En concreto, plantea la posible contradicción de lo dispuesto por el art. 40.4 a) y c) de la Ley andaluza 7/2007, que exime de evaluación ambiental estratégica a los estudios de detalle y su modificación, con los arts. 6 y 8 de la Ley 21/2013 de evaluación ambiental, adoptados sobre la base del art. 149.1.23 CE como legislación básica estatal de protección del medio ambiente, tal y como declara en la disposición final octava de la ley.</w:t>
      </w:r>
    </w:p>
    <w:p w:rsidR="005728DD" w:rsidRDefault="005728DD" w:rsidP="005728DD">
      <w:pPr>
        <w:pStyle w:val="TextoNormal"/>
      </w:pPr>
    </w:p>
    <w:p w:rsidR="005728DD" w:rsidRDefault="005728DD" w:rsidP="005728DD">
      <w:pPr>
        <w:pStyle w:val="TextoNormal"/>
      </w:pPr>
      <w:r>
        <w:t xml:space="preserve">El art. 6 de la Ley 21/2013 regula el “ámbito de aplicación de la evaluación ambiental estratégica”. Conforme a su apartado 1, serán objeto de una evaluación ambiental estratégica ordinaria los planes y programas, así como sus modificaciones, que se adopten o aprueben </w:t>
      </w:r>
      <w:r>
        <w:lastRenderedPageBreak/>
        <w:t>por una administración pública y cuya elaboración y aprobación venga exigida por una disposición legal o reglamentaria o por acuerdo del Consejo de Ministros o del Consejo de Gobierno de una comunidad autónoma, cuando: “a) Establezcan el marco para la futura autorización de proyectos legalmente sometidos a evaluación de impacto ambiental y se refieran a la agricultura, ganadería, silvicultura, acuicultura, pesca, energía, minería, industria, transporte, gestión de residuos, gestión de recursos hídricos, ocupación del dominio público marítimo terrestre, utilización del medio marino, telecomunicaciones, turismo, ordenación del territorio urbano y rural, o del uso del suelo; b) Requieran una evaluación por afectar a espacios Red Natura 2000 en los términos previstos en la Ley 42/2007, de 13 de diciembre, del patrimonio natural y de la biodiversidad; c) Los comprendidos en el apartado 2 cuando así lo decida caso por caso el órgano ambiental en el informe ambiental estratégico de acuerdo con los criterios del anexo V; d) Los planes y programas incluidos en el apartado 2, cuando así lo determine el órgano ambiental, a solicitud del promotor”. Conforme a su apartado 2, serán objeto de evaluación ambiental estratégica simplificada “a) Las modificaciones menores de los planes y programas mencionados en el apartado anterior; b) Los planes y programas mencionados en el apartado anterior que establezcan el uso, a nivel municipal, de zonas de reducida extensión; así como c) Los planes y programas que, estableciendo un marco para la autorización en el futuro de proyectos, no cumplan los demás requisitos mencionados en el apartado anterior”.</w:t>
      </w:r>
    </w:p>
    <w:p w:rsidR="005728DD" w:rsidRDefault="005728DD" w:rsidP="005728DD">
      <w:pPr>
        <w:pStyle w:val="TextoNormal"/>
      </w:pPr>
    </w:p>
    <w:p w:rsidR="005728DD" w:rsidRDefault="005728DD" w:rsidP="005728DD">
      <w:pPr>
        <w:pStyle w:val="TextoNormal"/>
      </w:pPr>
      <w:r>
        <w:t>El art. 8 (“Supuestos excluidos de evaluación ambiental y proyectos exceptuables”), precisa en su apartado 1 dos tipos de planes o programas excluidos del ámbito objetivo de aplicación de la ley y que no quedan sujetos, por consiguiente, a evaluación ambiental estratégica: los planes y programas que tengan como único objeto la defensa nacional o la protección civil en casos de emergencia; y los de tipo financiero o presupuestario. Los apartados 2, 3 y 4 regulan, por otra parte, la exclusión de evaluación ambiental de ciertos tipos de “proyectos”, así como el procedimiento para excluir, excepcionalmente y caso a caso, un “proyecto determinado” de los que quedan en principio sometidos a tal evaluación.</w:t>
      </w:r>
    </w:p>
    <w:p w:rsidR="005728DD" w:rsidRDefault="005728DD" w:rsidP="005728DD">
      <w:pPr>
        <w:pStyle w:val="TextoNormal"/>
      </w:pPr>
    </w:p>
    <w:p w:rsidR="005728DD" w:rsidRDefault="005728DD" w:rsidP="005728DD">
      <w:pPr>
        <w:pStyle w:val="TextoNormal"/>
      </w:pPr>
      <w:r>
        <w:t>Constituye doctrina constitucional reiterada que, para poder apreciar la existencia de una infracción constitucional de esta naturaleza, es necesario comprobar las dos circunstancias que la sustentarían: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161/2019, de 12 de diciembre, FJ 6).</w:t>
      </w:r>
    </w:p>
    <w:p w:rsidR="005728DD" w:rsidRDefault="005728DD" w:rsidP="005728DD">
      <w:pPr>
        <w:pStyle w:val="TextoNormal"/>
      </w:pPr>
    </w:p>
    <w:p w:rsidR="005728DD" w:rsidRDefault="005728DD" w:rsidP="005728DD">
      <w:pPr>
        <w:pStyle w:val="TextoNormal"/>
      </w:pPr>
      <w:r>
        <w:t xml:space="preserve">Debemos tener en cuenta asimismo, a efectos de precisar el canon de enjuiciamiento, que la normativa básica en materia de protección de medio ambiente tiene por objeto fijar el nivel de protección ambiental mínimo de aplicación a todo el territorio nacional. Mínimos que, como recuerda entre otras muchas la STC 161/2019, de 12 de diciembre, FJ 6, “han de ser respetados por las comunidades autónomas en el ejercicio de sus competencias en materia de desarrollo legislativo y ejecución de las bases, complementando o reforzando los niveles de protección establecidos en la normativa básica. Por tanto, el examen de los párrafos impugnados desde la perspectiva de su adecuación al orden de distribución de competencias exigirá valorar si efectivamente se produce la reducción del nivel de protección </w:t>
      </w:r>
      <w:r>
        <w:lastRenderedPageBreak/>
        <w:t>con respecto a la fijada por el Estado con carácter básico, dado que ello determinará la apreciación de la vulneración competencial señalada por el recurrente (en el mismo sentido, STC 109/2017, de 21 de septiembre, FJ 2)”.</w:t>
      </w:r>
    </w:p>
    <w:p w:rsidR="005728DD" w:rsidRDefault="005728DD" w:rsidP="005728DD">
      <w:pPr>
        <w:pStyle w:val="TextoNormal"/>
      </w:pPr>
    </w:p>
    <w:p w:rsidR="005728DD" w:rsidRDefault="005728DD" w:rsidP="005728DD">
      <w:pPr>
        <w:pStyle w:val="TextoNormal"/>
      </w:pPr>
      <w:r>
        <w:t>En este caso el Tribunal ha confirmado ya, en la STC 109/2017, FJ 3, el carácter formal y materialmente básico del art. 6 y del art. 8 de la 21/2013, “por cuanto fijan una norma mínima de protección ambiental. Responden a la función que cumple la legislación básica en este ámbito, que persigue el objetivo de que todas las administraciones públicas valoren el medio ambiente cuando ejercen sus competencias sobre cualquiera de las obras, instalaciones u otras actividades de su competencia”. En dicha sentencia el Tribunal precisa que “[e]s claro que los dos preceptos, en tanto que formulan la regla general y su posible excepción son básicos (STC 56/2014, de 10 de abril, FJ 4 y las que allí se citan), y se ajustan a los anteriores criterios, pues se vinculan a la finalidad primordial de garantizar en todo el territorio del Estado un elevado nivel de protección ambiental, conforme a lo que declara la Ley 21/2013 en su artículo 1. Criterios que se basan en la imposibilidad de exclusión de categorías generales de planes, tal como hace la norma impugnada. Por lo demás, ya en la STC 306/2000, de 12 de diciembre, FJ 10, consideramos básica la identificación por una norma estatal de las actividades sujetas a evaluación de impacto ambiental”.</w:t>
      </w:r>
    </w:p>
    <w:p w:rsidR="005728DD" w:rsidRDefault="005728DD" w:rsidP="005728DD">
      <w:pPr>
        <w:pStyle w:val="TextoNormal"/>
      </w:pPr>
    </w:p>
    <w:p w:rsidR="005728DD" w:rsidRDefault="005728DD" w:rsidP="005728DD">
      <w:pPr>
        <w:pStyle w:val="TextoNormal"/>
      </w:pPr>
      <w:r>
        <w:t>De acuerdo con esta doctrina, procede comprobar a continuación si existe una contradicción efectiva e insalvable por vía interpretativa, entre la norma autonómica aquí en cuestión y los arts. 6 y 8 de la Ley estatal de evaluación ambiental. Para llevar a cabo este enjuiciamiento hemos de tener presente, por una parte, el objeto y alcance de las normas básicas de contraste traídas al caso, junto con la doctrina constitucional recaída sobre las mismas; y, por otra, el alcance de la norma autonómica objeto de la cuestión, para determinar si esta última rebaja el nivel de protección establecido por la normativa básica.</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Objeto y alcance de las normas básicas de contraste: doctrina constitucional y canon de enjuiciamiento</w:t>
      </w:r>
      <w:r>
        <w:t>.</w:t>
      </w:r>
    </w:p>
    <w:p w:rsidR="005728DD" w:rsidRDefault="005728DD" w:rsidP="005728DD">
      <w:pPr>
        <w:pStyle w:val="TextoNormal"/>
      </w:pPr>
    </w:p>
    <w:p w:rsidR="005728DD" w:rsidRDefault="005728DD" w:rsidP="005728DD">
      <w:pPr>
        <w:pStyle w:val="TextoNormal"/>
      </w:pPr>
      <w:r>
        <w:t>A juicio de la Sala que plantea la cuestión de inconstitucionalidad, la legislación básica estatal extiende la exigencia de evaluación ambiental estratégica a todo instrumento de planificación urbanística, lo que impide excluir de evaluación ambiental a los estudios de detalle so pretexto de que regulan una superficie muy concreta y limitada o que su contenido está predeterminado por planes de rango superior. Argumenta que el Derecho comunitario marca unos mínimos que la legislación nacional puede aumentar, como considera que ha hecho la legislación básica del Estado, y constata que existen diversos pronunciamientos de este tribunal sobre esta cuestión, cuya interpretación no le compete, y que carece de jurisdicción para inaplicar o reinterpretar una ley postconstitucional tan taxativa como la que, a su juicio, da lugar a esta cuestión.</w:t>
      </w:r>
    </w:p>
    <w:p w:rsidR="005728DD" w:rsidRDefault="005728DD" w:rsidP="005728DD">
      <w:pPr>
        <w:pStyle w:val="TextoNormal"/>
      </w:pPr>
    </w:p>
    <w:p w:rsidR="005728DD" w:rsidRDefault="005728DD" w:rsidP="005728DD">
      <w:pPr>
        <w:pStyle w:val="TextoNormal"/>
      </w:pPr>
      <w:r>
        <w:t xml:space="preserve">Por su parte, el abogado del Estado y la fiscal general del Estado alegan que los arts. 6 y 8 de la Ley estatal de evaluación ambiental no permiten excepcionar categorías genéricas de planes y programas de la obligación de someterlos a evaluación ambiental estratégica, al implicar una rebaja del nivel de protección ambiental establecida en la normativa básica; en apoyo de estas alegaciones invocan las SSTC 109/2017, FJ 3, y STC 161/2019, de 12 de diciembre. La Federación Ecologistas en Acción-Sevilla afirma, por su parte, que estamos </w:t>
      </w:r>
      <w:r>
        <w:lastRenderedPageBreak/>
        <w:t>ante un caso en el que las determinaciones confiadas al estudio de detalle tienen probables efectos ambientales que debieron ser evaluados conforme a la legislación básica estatal.</w:t>
      </w:r>
    </w:p>
    <w:p w:rsidR="005728DD" w:rsidRDefault="005728DD" w:rsidP="005728DD">
      <w:pPr>
        <w:pStyle w:val="TextoNormal"/>
      </w:pPr>
    </w:p>
    <w:p w:rsidR="005728DD" w:rsidRDefault="005728DD" w:rsidP="005728DD">
      <w:pPr>
        <w:pStyle w:val="TextoNormal"/>
      </w:pPr>
      <w:r>
        <w:t>El abogado del Estado, en particular, argumenta que la Ley 9/2018 modificó el art. 5 de la Ley 21/2013 “ampliando el ámbito de la evaluación ambiental”, y que la ley básica regula el procedimiento de exclusión de un plan o programa concreto, pero “prohíbe” la exclusión de categorías genéricas de planes o programas. Manifiesta su desacuerdo con la STC 86/2019, en la que el Tribunal declaró que la exclusión de evaluación de impacto de los estudios de detalle prevista en la legislación canaria no vulneraba el art. 149.1.23 CE, por considerar que corresponde en todo caso a la evaluación ambiental estratégica definir los efectos del plan, sin que tal conclusión se pueda definir con carácter genérico. En sentido contrario argumentan los representantes procesales del Parlamento y de la Junta de Andalucía, que consideran que el estudio de detalle regulado en la Ley de ordenación urbanística de Andalucía respeta la legislación básica estatal de evaluación ambiental y, por tanto, el art. 149.1.23 CE, por su escasa entidad, casi nula capacidad innovadora y subordinación clara a planes que sí son objeto de evaluación ambiental, conforme a los parámetros establecidos por la STC 86/2019 FJ 11. La entidad promotora Lar España Shopping Centres VIII, S.L.U., alega, en sentido similar, que los estudios de detalle no están sometidos a evaluación ambiental.</w:t>
      </w:r>
    </w:p>
    <w:p w:rsidR="005728DD" w:rsidRDefault="005728DD" w:rsidP="005728DD">
      <w:pPr>
        <w:pStyle w:val="TextoNormal"/>
      </w:pPr>
    </w:p>
    <w:p w:rsidR="005728DD" w:rsidRDefault="005728DD" w:rsidP="005728DD">
      <w:pPr>
        <w:pStyle w:val="TextoNormal"/>
      </w:pPr>
      <w:r>
        <w:t>Para responder debidamente a la cuestión aquí planteada hemos de examinar, en primer lugar, el objeto y alcance de las normas básicas de contraste traídas al caso, junto a las sentencias dictadas por este tribunal en relación con las mismas en el contexto en el que fueron dictadas:</w:t>
      </w:r>
    </w:p>
    <w:p w:rsidR="005728DD" w:rsidRDefault="005728DD" w:rsidP="005728DD">
      <w:pPr>
        <w:pStyle w:val="TextoNormal"/>
      </w:pPr>
    </w:p>
    <w:p w:rsidR="005728DD" w:rsidRDefault="005728DD" w:rsidP="005728DD">
      <w:pPr>
        <w:pStyle w:val="TextoNormal"/>
      </w:pPr>
      <w:r>
        <w:t>A) La Ley 21/2013 tiene como objeto establecer “las bases que deben regir la evaluación ambiental de los planes, programas y proyectos que puedan tener efectos significativos sobre el medio ambiente, garantizando en todo el territorio del Estado un elevado nivel de protección ambiental, con el fin de promover un desarrollo sostenible” (art. 1). Con ella se transpone al ordenamiento jurídico español tanto la Directiva 2001/42/CE, de 27 de junio, sobre evaluación de las repercusiones de determinados planes y programas en el medio ambiente (en adelante Directiva de evaluación estratégica), como a la Directiva 2011/92/UE, de 13 de diciembre, de evaluación de las repercusiones de determinados proyectos públicos y privados sobre el medio ambiente (en adelante, Directiva de evaluación de proyectos), tal y como declara su preámbulo y la disposición adicional sexta.</w:t>
      </w:r>
    </w:p>
    <w:p w:rsidR="005728DD" w:rsidRDefault="005728DD" w:rsidP="005728DD">
      <w:pPr>
        <w:pStyle w:val="TextoNormal"/>
      </w:pPr>
    </w:p>
    <w:p w:rsidR="005728DD" w:rsidRDefault="005728DD" w:rsidP="005728DD">
      <w:pPr>
        <w:pStyle w:val="TextoNormal"/>
      </w:pPr>
      <w:r>
        <w:t>Por lo que aquí interesa, el apartado 1 a) del art. 6 de la Ley 21/2013 exige la evaluación estratégica ordinaria de todos aquellos planes de ordenación del territorio urbano y rural, o del uso del suelo que “establezcan el marco para la futura autorización de proyectos legalmente sometidos a evaluación de impacto ambiental”. Mientras que el apartado 2 del art. 6 somete a evaluación ambiental estratégica simplificada, para determinar si pueden o no tener dicho impacto con la necesaria intervención del órgano ambiental, las “modificaciones menores” de los planes y programas previstos en el apartado primero [letra (a)], así como los planes y programas del mismo apartado 1 cuando se limitan a establecer “el uso, a nivel municipal, de zonas de reducida extensión” [letra (b)]. Además, el apartado el apartado 2 c) incluye los planes y programas que, “estableciendo un marco para la autorización en el futuro de proyectos, no cumplan los demás requisitos mencionados en el apartado anterior”.</w:t>
      </w:r>
    </w:p>
    <w:p w:rsidR="005728DD" w:rsidRDefault="005728DD" w:rsidP="005728DD">
      <w:pPr>
        <w:pStyle w:val="TextoNormal"/>
      </w:pPr>
    </w:p>
    <w:p w:rsidR="005728DD" w:rsidRDefault="005728DD" w:rsidP="005728DD">
      <w:pPr>
        <w:pStyle w:val="TextoNormal"/>
      </w:pPr>
      <w:r>
        <w:lastRenderedPageBreak/>
        <w:t>La evaluación ambiental estratégica tiene por objeto planes y programas y tanto se desarrolle como evaluación ordinaria o simplificada ambas tienen en común [aparte de las especialidades de su afectación a la Red Natura 2000, del art. 6.1, apartado b)] que, en principio, ha de tratarse de planes o programas que establezcan el marco para la futura autorización de proyectos legalmente sometidos a evaluación de impacto ambiental y se refieran, entre otros, a la ordenación del territorio urbano y rural o del uso del suelo, lo que impone la consideración de anexos I y II de esta ley, en que se relacionan todos los proyectos que han de someterse a la correspondiente evaluación, bien sea, también, ordinaria o simplificada. Como cláusula de cierre, la letra c) del apartado 2 del art. 6 somete a evaluación estratégica simplificada los planes y programas que, aun no cumpliendo con alguna de los requisitos del apartado 1 del mismo artículo. 6, sean el marco para la aprobación de proyectos puedan tener efectos significativos sobre el medio ambiente a la luz de los criterios establecidos en el anexo V de la Ley 21/2013 (en el que se establecen los criterios —mencionados en el art. 31— para “determinar si un plan o programa sometido a evaluación ambiental estratégica simplificada debe someterse a una evaluación ambiental estratégica ordinaria” por razón de sus posibles impactos en el medio ambiente).</w:t>
      </w:r>
    </w:p>
    <w:p w:rsidR="005728DD" w:rsidRDefault="005728DD" w:rsidP="005728DD">
      <w:pPr>
        <w:pStyle w:val="TextoNormal"/>
      </w:pPr>
    </w:p>
    <w:p w:rsidR="005728DD" w:rsidRDefault="005728DD" w:rsidP="005728DD">
      <w:pPr>
        <w:pStyle w:val="TextoNormal"/>
      </w:pPr>
      <w:r>
        <w:t>Del análisis de estos preceptos resulta que lo determinante para someter un plan urbanístico a la correspondiente evaluación ambiental es que establezcan el marco para la futura autorización de proyectos legalmente sometidos a evaluación del impacto ambiental o que puedan tener efectos significativos en el medio ambiente.</w:t>
      </w:r>
    </w:p>
    <w:p w:rsidR="005728DD" w:rsidRDefault="005728DD" w:rsidP="005728DD">
      <w:pPr>
        <w:pStyle w:val="TextoNormal"/>
      </w:pPr>
    </w:p>
    <w:p w:rsidR="005728DD" w:rsidRDefault="005728DD" w:rsidP="005728DD">
      <w:pPr>
        <w:pStyle w:val="TextoNormal"/>
      </w:pPr>
      <w:r>
        <w:t>Dicho de otro modo, no todo plan urbanístico ha de ser sometido a esta evaluación sino solo los que establezcan el marco para la elaboración de un proyecto que traduzca sus determinaciones en una previsión concreta de obras que produzcan la efectiva transformación física del terreno sobre el que se actúa.</w:t>
      </w:r>
    </w:p>
    <w:p w:rsidR="005728DD" w:rsidRDefault="005728DD" w:rsidP="005728DD">
      <w:pPr>
        <w:pStyle w:val="TextoNormal"/>
      </w:pPr>
    </w:p>
    <w:p w:rsidR="005728DD" w:rsidRDefault="005728DD" w:rsidP="005728DD">
      <w:pPr>
        <w:pStyle w:val="TextoNormal"/>
      </w:pPr>
      <w:r>
        <w:t>A esto se añade que, tal como pone de relieve el auto de planteamiento de la cuestión de inconstitucionalidad, la Directiva de evaluación de proyectos incluye en su anexo II los “[p]royectos de urbanizaciones, incluida la construcción de centros comerciales y de aparcamientos”•. En ejecución de dicha previsión, la ley básica estatal menciona en su anexo II entre los proyectos que quedan sometidos a evaluación ambiental simplificada, los “[p]royectos situados fuera de áreas urbanizadas de urbanizaciones, incluida la construcción de centros comerciales y aparcamientos y que en superficie ocupen más de 1 ha” [Grupo 7: Proyecto de infraestructuras. Punto b)]. Previamente, el anexo I, había incluido entre los proyectos que deberían someterse a la evaluación ordinaria la “construcción de centros comerciales y aparcamientos, fuera de suelo urbanizable y que en superficie ocupen más de 1 ha” (Grupo 9. Otros proyectos. Punto 10).</w:t>
      </w:r>
    </w:p>
    <w:p w:rsidR="005728DD" w:rsidRDefault="005728DD" w:rsidP="005728DD">
      <w:pPr>
        <w:pStyle w:val="TextoNormal"/>
      </w:pPr>
    </w:p>
    <w:p w:rsidR="005728DD" w:rsidRDefault="005728DD" w:rsidP="005728DD">
      <w:pPr>
        <w:pStyle w:val="TextoNormal"/>
      </w:pPr>
      <w:r>
        <w:t>Por otra parte, y como ya se ha expuesto, el apartado 1 del art. 8 establece que “no serán objeto de evaluación ambiental” los planes y programas “que tengan como único objeto la defensa nacional o la protección civil en casos de emergencia” (a); y “los de tipo financiero y presupuestario”.</w:t>
      </w:r>
    </w:p>
    <w:p w:rsidR="005728DD" w:rsidRDefault="005728DD" w:rsidP="005728DD">
      <w:pPr>
        <w:pStyle w:val="TextoNormal"/>
      </w:pPr>
    </w:p>
    <w:p w:rsidR="005728DD" w:rsidRDefault="005728DD" w:rsidP="005728DD">
      <w:pPr>
        <w:pStyle w:val="TextoNormal"/>
      </w:pPr>
      <w:r>
        <w:t xml:space="preserve">Conviene destacar en este punto que, según el preámbulo de la ley, los motivos que han llevado a la diferenciación entre procedimiento ordinario y simplificado de evaluación ambiental “se encuentran en las propias directivas comunitarias, que obligan a realizar una evaluación ambiental con carácter previo de todo plan, programa o proyecto ‘que puedan </w:t>
      </w:r>
      <w:r>
        <w:lastRenderedPageBreak/>
        <w:t xml:space="preserve">tener efectos significativos sobre el medio ambiente’”. Explica en su parte II que la Directiva de evaluación estratégica “parte de la presunción </w:t>
      </w:r>
      <w:r w:rsidRPr="005728DD">
        <w:rPr>
          <w:i/>
        </w:rPr>
        <w:t>iuris et de iure</w:t>
      </w:r>
      <w:r>
        <w:t xml:space="preserve"> de que determinados tipos de planes y programas, y proyectos, tendrán en todo caso efectos significativos sobre el medio ambiente, por lo que deben ser evaluados en todo caso antes de su aprobación, adopción o autorización, de acuerdo con el procedimiento ordinario”. Entre estos incluye los relativos a “la ordenación del territorio urbano y rural o la utilización del suelo” y que “establezcan el marco para la autorización en el futuro de proyectos enumerados en los anexos I y II de la Directiva 85/337/CEE” (esto es, los proyectos que deban ser sometidos a evaluación de impacto ambiental conforme a la actual Directiva 2011/92/UE). Por lo que se refiere a los planes y programas que establezcan “el uso de zonas pequeñas a nivel local” o las “modificaciones menores” de dichos planes o programas, el art. 3.3 de la Directiva dispone que “únicamente requerirán una evaluación medioambiental si los Estados miembros deciden que es probable que tengan efectos significativos en el medio ambiente”. En relación con estos últimos, la Directiva obliga a los Estados a determinar “bien caso a caso, bien mediante umbrales o bien combinando ambas técnicas”, si dichos planes o programas tienen “efectos significativos sobre el medio ambiente”. Es importante destacar que el preámbulo de la Ley 21/2013 aclara que este análisis “es lo que se ha denominado procedimiento de evaluación simplificado y si concluyese que el plan, programa o proyecto tiene efectos significativos sobre el medio ambiente, deberá realizarse una evaluación ordinaria”. De esta forma, concluye el preámbulo de la ley, “se garantiza el correcto cumplimiento de las directivas comunitarias, de acuerdo con la interpretación efectuada por el Tribunal de Justicia de la Unión Europea”.</w:t>
      </w:r>
    </w:p>
    <w:p w:rsidR="005728DD" w:rsidRDefault="005728DD" w:rsidP="005728DD">
      <w:pPr>
        <w:pStyle w:val="TextoNormal"/>
      </w:pPr>
    </w:p>
    <w:p w:rsidR="005728DD" w:rsidRDefault="005728DD" w:rsidP="005728DD">
      <w:pPr>
        <w:pStyle w:val="TextoNormal"/>
      </w:pPr>
      <w:r>
        <w:t>En este contexto, hay que recordar que es doctrina consolidada de este tribunal que la ejecución del Derecho de la Unión Europea debe hacerse con arreglo a las normas internas que establecen el orden constitucional de distribución de competencias (entre otras muchas, SSTC 80/1993, de 8 de marzo, FJ 3; 148/1998, de 2 de julio, FJ 4; 22/2012, de 16 de febrero, FJ 5, y 54/2018, de 24 de mayo, FJ 6), sin perjuicio de que “la normativa comunitaria pueda ser utilizada como elemento interpretativo útil para encuadrar materialmente la cuestión” (STC 33/2005, FJ 3).</w:t>
      </w:r>
    </w:p>
    <w:p w:rsidR="005728DD" w:rsidRDefault="005728DD" w:rsidP="005728DD">
      <w:pPr>
        <w:pStyle w:val="TextoNormal"/>
      </w:pPr>
    </w:p>
    <w:p w:rsidR="005728DD" w:rsidRDefault="005728DD" w:rsidP="005728DD">
      <w:pPr>
        <w:pStyle w:val="TextoNormal"/>
      </w:pPr>
      <w:r>
        <w:t xml:space="preserve">Por último, y en relación con la cuestión de la definición de evaluación ambiental del art. 5.1.a), tal y como alega el abogado del Estado, esta ha sido modificada por la Ley 9/2018, de 5 de diciembre. A raíz de dicha modificación, la evaluación ambiental se define como “un proceso a través del cual se analizan los efectos significativos que tienen o pueden tener los planes, programas y proyectos, antes de su adopción, aprobación o autorización sobre el medio ambiente”, enumerándose ahora en este apartado los aspectos que deben evaluarse al analizar un plan o programa, y que antes se precisaban en otras disposiciones de la ley. Sin embargo, en relación con las alegaciones que se refieren a esta modificación (y lo mismo sería aplicable a las introducidas en los apartados 2 a 5 del art. 8 de la Ley 21/2013) hay que recordar que “la doctrina del </w:t>
      </w:r>
      <w:r w:rsidRPr="005728DD">
        <w:rPr>
          <w:i/>
        </w:rPr>
        <w:t>ius superveniens</w:t>
      </w:r>
      <w:r>
        <w:t xml:space="preserve">, según la cual el control de las normas que incurren en un posible exceso competencial ha de hacerse de acuerdo con las normas del bloque de la constitucionalidad vigentes al momento de dictar sentencia […], no resulta aplicable a las cuestiones de inconstitucionalidad” (STC 134/2019, de 13 de noviembre, FJ 3 y las allí citadas). De modo que su resolución exige que analicemos las normas legales aplicables al proceso en el que surgió la duda de constitucionalidad y de cuya validez dependa la decisión a adoptar en el mismo (por todas, STC 120/2018, de 31 de octubre, FJ 2), </w:t>
      </w:r>
      <w:r>
        <w:lastRenderedPageBreak/>
        <w:t>y que son los arts. 6 y 8.1 de la ley básica, cuya redacción original no se ha visto, por otra parte, modificada.</w:t>
      </w:r>
    </w:p>
    <w:p w:rsidR="005728DD" w:rsidRDefault="005728DD" w:rsidP="005728DD">
      <w:pPr>
        <w:pStyle w:val="TextoNormal"/>
      </w:pPr>
    </w:p>
    <w:p w:rsidR="005728DD" w:rsidRDefault="005728DD" w:rsidP="005728DD">
      <w:pPr>
        <w:pStyle w:val="TextoNormal"/>
      </w:pPr>
      <w:r>
        <w:t>B) Tal y como pone de relieve la Sala de lo Contencioso-Administrativo del Tribunal Superior de Justicia de Andalucía, este tribunal se ha pronunciado en tres ocasiones distintas sobre la inconstitucionalidad mediata de otras normas autonómicas contra las que se alegaba, como aquí, que rebajaban el nivel de protección ambiental establecido en los arts. 6 y 8 de la Ley 21/2013 al eximir de evaluación ambiental estratégica bien varias categorías completas de planes de ordenación del territorio y urbanismo (SSTC 109/2017 ya citada, y STC 161/2019 de 12 de diciembre), bien ciertos tipos de planes concretos como los estudios de detalle (STC 86/2019, de 20 de junio):</w:t>
      </w:r>
    </w:p>
    <w:p w:rsidR="005728DD" w:rsidRDefault="005728DD" w:rsidP="005728DD">
      <w:pPr>
        <w:pStyle w:val="TextoNormal"/>
      </w:pPr>
    </w:p>
    <w:p w:rsidR="005728DD" w:rsidRDefault="005728DD" w:rsidP="005728DD">
      <w:pPr>
        <w:pStyle w:val="TextoNormal"/>
      </w:pPr>
      <w:r>
        <w:t xml:space="preserve">a) En la STC 109/2017 el Tribunal enjuició si el art. 9.4 de la Ley del Parlamento de las Illes Balears 12/2016, de 17 de agosto, de evaluación ambiental vulneraba los arts. 6 y 8 de la Ley estatal por excluir de la obligación de someter a evaluación ambiental estratégica un variado elenco de planes o de sus modificaciones (entre los que se encontraban también los estudios de detalle). En este caso el Tribunal, declaró que “los preceptos estatales fijan una regla general: el sometimiento a evaluación ambiental estratégica, sea ordinaria o simplificada, de todo plan o programa y sus modificaciones relativos a sectores materiales con incidencia medioambiental, admitiendo solamente excepciones tasadas en función del objeto del plan o programa”, concluyendo que la disposición autonómica en cuestión incurría en la vulneración competencial denunciada porque “excluye de evaluación ambiental determinadas categorías de planes y sus modificaciones que sí están sometidos a la misma de conformidad con la legislación básica. La exclusión de esos planes de la evaluación ambiental estratégica prescrita por las normas estatales supone, por sí misma, la reducción de los niveles mínimos de protección establecidos por la legislación básica, con la consiguiente vulneración de la competencia estatal en materia de medio ambiente”. Fueron desestimadas las alegaciones de la representación procesal del Gobierno autonómico que argumentaban, atendiendo a la naturaleza de los planes excepcionados, que la falta de evaluación ambiental estratégica no suponía una rebaja de la protección medioambiental que deriva de la norma básica, concluyendo que “no es posible en ese caso determinar </w:t>
      </w:r>
      <w:r w:rsidRPr="005728DD">
        <w:rPr>
          <w:i/>
        </w:rPr>
        <w:t>a priori</w:t>
      </w:r>
      <w:r>
        <w:t xml:space="preserve"> que todos los planes o sus modificaciones a las que se refiere el precepto impugnado puedan considerarse ‘beneficiosos o respetuosos con el medio ambiente’, y esa es, precisamente, la perspectiva que adopta la norma estatal, al exigir, como regla general, que este tipo de planes se sometan a evaluación ambiental estratégica” (FJ 3). A esta doctrina se acoge en el caso que ahora enjuiciamos tanto el abogado del Estado, como la fiscal general del Estado para concluir que el art. 40.4 a) y c) es inconstitucional.</w:t>
      </w:r>
    </w:p>
    <w:p w:rsidR="005728DD" w:rsidRDefault="005728DD" w:rsidP="005728DD">
      <w:pPr>
        <w:pStyle w:val="TextoNormal"/>
      </w:pPr>
    </w:p>
    <w:p w:rsidR="005728DD" w:rsidRDefault="005728DD" w:rsidP="005728DD">
      <w:pPr>
        <w:pStyle w:val="TextoNormal"/>
      </w:pPr>
      <w:r>
        <w:t xml:space="preserve">b) Posteriormente, en la STC 86/2019 el Tribunal examinó el art. 150.4 la Ley 4/2017, de 13 de julio, del suelo y de los espacios naturales protegidos de Canarias, que excluye del procedimiento de evaluación ambiental los estudios de detalle. El Tribunal concluyó que esta disposición no vulnera el art. 149.1.23 CE por no entrar en contradicción efectiva con la normativa básica estatal sobre evaluación ambiental estratégica, a la luz de la “escasa dimensión e impacto” de estos instrumentos de ordenación urbanística. Declara así que “[u]n examen de la regulación contenida en el artículo 150, en su conjunto, revela que los estudios de detalle son instrumentos complementarios, bien del plan general —suelo urbano—, bien del plan parcial —suelo urbanizable—, limitándose su objeto a completar o adaptar la ordenación pormenorizada —alineaciones y rasantes, volúmenes edificables, </w:t>
      </w:r>
      <w:r>
        <w:lastRenderedPageBreak/>
        <w:t>ocupaciones y retranqueos, accesibilidad y eficiencia energética, características estéticas y compositivas— (apartados 1 y 2); no pudiendo, en ningún caso, modificar la clasificación del suelo, incrementar el aprovechamiento urbanístico o incidir negativamente en la funcionalidad de las dotaciones públicas (apartado 3). La escasa entidad de los estudios de detalle, su casi nula capacidad innovadora desde el punto de vista de la ordenación urbanística, y su subordinación a planes que ya han sido objeto de evaluación ambiental, justifican la opción del legislador canario. Se ha de desestimar, por tanto, el motivo de impugnación por no apreciarse infracción del artículo 6 LEA [Ley de evaluación ambiental], al no tener los estudios de detalles efectos significativos sobre el medio ambiente que impliquen un menor nivel de protección” [FJ 11 B) a)]. Este es el canon que tanto el letrado del Parlamento de Andalucía como el de la Junta de Andalucía, y la sociedad promotora, consideran aplicable al caso del art. 40.4 a) y c) de la Ley andaluza 7/2007.</w:t>
      </w:r>
    </w:p>
    <w:p w:rsidR="005728DD" w:rsidRDefault="005728DD" w:rsidP="005728DD">
      <w:pPr>
        <w:pStyle w:val="TextoNormal"/>
      </w:pPr>
    </w:p>
    <w:p w:rsidR="005728DD" w:rsidRDefault="005728DD" w:rsidP="005728DD">
      <w:pPr>
        <w:pStyle w:val="TextoNormal"/>
      </w:pPr>
      <w:r>
        <w:t xml:space="preserve">c) Finalmente, en la STC 161/2019 el Tribunal declara inconstitucional el art. 22.9 de la Ley de la Asamblea Regional de Murcia 10/2018, de 9 de noviembre, de aceleración de la transformación del modelo económico regional para la generación de empleo estable de calidad, por rebajar el nivel de protección ambiental de los arts. 6 y 8 de la Ley estatal de evaluación ambiental. Dicha disposición modificaba el art. 145.4 de la Ley 13/2015, de 30 de marzo, de ordenación territorial y urbanística de la Región de Murcia, introduciendo dos párrafos finales, para permitir “en casos excepcionales” la suspensión de forma total o parcial de la vigencia de los instrumentos de planeamiento urbanístico, la cual se concretaría en “normas transitorias sin la consideración de instrumento de planeamiento a efectos urbanísticos ni ambientales” cuando no introdujera cambios en la clasificación del suelo prevista en el planeamiento y no estableciera el marco para la futura autorización de proyectos legalmente sometidos a evaluación de impacto ambiental, por referirse exclusivamente a suelo urbano, suelo urbanizable que haya iniciado el proceso urbanizador o núcleos rurales. Precisaba, asimismo, que su alcance y objeto estaría limitado a establecer “el mínimo contenido normativo necesario que permita el normal ejercicio de las facultades urbanísticas en los suelos consolidados anteriores, sin producirse una transformación que suponga efectos significativos para el medio ambiente”. En aplicación de la doctrina sentada en la STC 109/2017 el Tribunal declara en este caso que “con independencia de la calificación formal que le otorgue el legislador murciano, las normas transitorias a las que se refiere el precepto pretenden regular el uso del suelo (se busca con este tipo de norma que ‘permita el normal ejercicio de las facultades urbanísticas en los suelos consolidados anteriores’), por lo que, aunque formalmente no sean un plan urbanístico o su modificación, produce sus efectos, y, por tanto, se subsumen en el concepto material de plan que la norma básica emplea para determinar si procede exigir la evaluación ambiental”. Y llega a la conclusión de que, de modo similar al supuesto ya enjuiciado por la mencionada STC 109/2017, “[l]a norma autonómica excluye de evaluación ambiental determinadas categorías de planes y sus modificaciones que sí están sometidos a la misma de conformidad con la legislación básica. La exclusión de esos planes de la evaluación ambiental estratégica prescrita por las normas estatales supone, por sí misma, la reducción de los niveles mínimos de protección establecidos por la legislación básica, con la consiguiente vulneración de la competencia estatal en materia de medio ambiente”. En este contexto específico el tribunal va a considerar que “lo relevante no es si dichas normas provisionales fijan o no el marco para la futura autorización de proyectos legalmente sometidos a evaluación de impacto ambiental, sino que las mismas operan como una modificación transitoria de un instrumento de planeamiento urbanístico </w:t>
      </w:r>
      <w:r>
        <w:lastRenderedPageBreak/>
        <w:t>que estaba sometido a evaluación ambiental estratégica (art. 6.2 de la Ley 21/2013)” [FJ 6 c)].</w:t>
      </w:r>
    </w:p>
    <w:p w:rsidR="005728DD" w:rsidRDefault="005728DD" w:rsidP="005728DD">
      <w:pPr>
        <w:pStyle w:val="TextoNormal"/>
      </w:pPr>
    </w:p>
    <w:p w:rsidR="005728DD" w:rsidRDefault="005728DD" w:rsidP="005728DD">
      <w:pPr>
        <w:pStyle w:val="TextoNormal"/>
      </w:pPr>
      <w:r>
        <w:t xml:space="preserve">En definitiva, estamos ante casos distintos: en las SSTC 109/2017 y 169/2019 el tribunal se pronunció sobre la contradicción con la normativa básica de disposiciones autonómicas que excluían de evaluación ambiental estratégica varias categorías enteras de planes de ordenación del territorio o urbanismo (o “normas transitorias” que, al margen del </w:t>
      </w:r>
      <w:r w:rsidRPr="005728DD">
        <w:rPr>
          <w:i/>
        </w:rPr>
        <w:t>nomen iuris</w:t>
      </w:r>
      <w:r>
        <w:t xml:space="preserve">, pretendían regular el uso del suelo); y en estos casos concluyó que no era posible determinar </w:t>
      </w:r>
      <w:r w:rsidRPr="005728DD">
        <w:rPr>
          <w:i/>
        </w:rPr>
        <w:t>a priori</w:t>
      </w:r>
      <w:r>
        <w:t xml:space="preserve"> que todos los planes o modificaciones a las que se referían los preceptos impugnados estuvieran exentos de tener un impacto significativo en el medio ambiente, por lo que se producía una rebaja del nivel de protección establecido por la norma básica. En la STC 86/2019, por otra parte, examinó la exención de evaluación ambiental en relación con un instrumento de planeamiento urbanístico concreto: los estudios de detalle; a la luz del objeto y alcance limitado que les atribuye la norma autonómica en cuestión, en este caso declaró que no incurría en contradicción con la legislación básica estatal, al no ser dicho instrumento, conforme a la regulación examinada, susceptible de tener efectos significativos sobre el medio ambiente.</w:t>
      </w:r>
    </w:p>
    <w:p w:rsidR="005728DD" w:rsidRDefault="005728DD" w:rsidP="005728DD">
      <w:pPr>
        <w:pStyle w:val="TextoNormal"/>
      </w:pPr>
    </w:p>
    <w:p w:rsidR="005728DD" w:rsidRDefault="005728DD" w:rsidP="005728DD">
      <w:pPr>
        <w:pStyle w:val="TextoNormal"/>
      </w:pPr>
      <w:r>
        <w:t>C) De la lectura del auto, así como de las alegaciones de algunas de las partes, se desprende que tales pronunciamientos han podido generar cierta confusión, por lo que, la cuestión aquí planteada da la ocasión a este tribunal de precisar y completar la doctrina que acabamos de exponer, en relación con el objeto y alcance de los arts. 6 y 8, y su aplicación, en concreto, a los planes y programas regulados en los apartados 1, letra a) y 2, letras a) y b) del art. 6.</w:t>
      </w:r>
    </w:p>
    <w:p w:rsidR="005728DD" w:rsidRDefault="005728DD" w:rsidP="005728DD">
      <w:pPr>
        <w:pStyle w:val="TextoNormal"/>
      </w:pPr>
    </w:p>
    <w:p w:rsidR="005728DD" w:rsidRDefault="005728DD" w:rsidP="005728DD">
      <w:pPr>
        <w:pStyle w:val="TextoNormal"/>
      </w:pPr>
      <w:r>
        <w:t>Del tenor del art. 6, y a la luz del preámbulo y del objeto que el art. 1 atribuye a esta ley, se infiere que deben ser objeto de evaluación ambiental estratégica ordinaria todos los planes y programas a los que, por cumplir con los requisitos objetivos establecidos en el apartado 1 del art. 6, se les presume en todo caso que tienen “efectos significativos en el medio ambiente”; deben ser objeto de evaluación ambiental estratégica simplificada, por otra parte, aquellos planes o programas de los que no cabe descartar a priori que “puedan” tener tales efectos por cumplir con los requisitos del apartado 2 del mismo artículo.</w:t>
      </w:r>
    </w:p>
    <w:p w:rsidR="005728DD" w:rsidRDefault="005728DD" w:rsidP="005728DD">
      <w:pPr>
        <w:pStyle w:val="TextoNormal"/>
      </w:pPr>
    </w:p>
    <w:p w:rsidR="005728DD" w:rsidRDefault="005728DD" w:rsidP="005728DD">
      <w:pPr>
        <w:pStyle w:val="TextoNormal"/>
      </w:pPr>
      <w:r>
        <w:t>De modo que, por lo que aquí interesa en particular:</w:t>
      </w:r>
    </w:p>
    <w:p w:rsidR="005728DD" w:rsidRDefault="005728DD" w:rsidP="005728DD">
      <w:pPr>
        <w:pStyle w:val="TextoNormal"/>
      </w:pPr>
    </w:p>
    <w:p w:rsidR="005728DD" w:rsidRDefault="005728DD" w:rsidP="005728DD">
      <w:pPr>
        <w:pStyle w:val="TextoNormal"/>
      </w:pPr>
      <w:r>
        <w:t>(i) Quedan sometidos a evaluación ambiental estratégica ordinaria, según el apartado 1, letra a), los planes que se refieren, entre otros sectores o materias, a la “ordenación del territorio urbano y rural, o del uso del suelo” y que “[e]stablezcan el marco para la futura autorización de proyectos legalmente sometidos a evaluación de impacto ambiental”.</w:t>
      </w:r>
    </w:p>
    <w:p w:rsidR="005728DD" w:rsidRDefault="005728DD" w:rsidP="005728DD">
      <w:pPr>
        <w:pStyle w:val="TextoNormal"/>
      </w:pPr>
    </w:p>
    <w:p w:rsidR="005728DD" w:rsidRDefault="005728DD" w:rsidP="005728DD">
      <w:pPr>
        <w:pStyle w:val="TextoNormal"/>
      </w:pPr>
      <w:r>
        <w:t>(ii) Quedan sometidos a evaluación ambiental estratégica simplificada, según el apartado 2, las “modificaciones menores” de los planes del apartado 1 [letra a)], o los planes también del apartado 1 que “establezcan a nivel municipal de zonas de reducida extensión” [letra b)], y los planes que, pese a no cumplir alguno de los requisitos del apartado 1, sean el marco para la aprobación de proyectos que puedan tener efectos significativos sobre el medio ambiente [letra c)]. De manera que, en estos casos, compete al órgano ambiental determinar si pueden o no tener “efectos significativos en el medio ambiente” mediante la emisión de un informe ambiental estratégico [art. 5.2 e)].</w:t>
      </w:r>
    </w:p>
    <w:p w:rsidR="005728DD" w:rsidRDefault="005728DD" w:rsidP="005728DD">
      <w:pPr>
        <w:pStyle w:val="TextoNormal"/>
      </w:pPr>
    </w:p>
    <w:p w:rsidR="005728DD" w:rsidRDefault="005728DD" w:rsidP="005728DD">
      <w:pPr>
        <w:pStyle w:val="TextoNormal"/>
      </w:pPr>
      <w:r>
        <w:t xml:space="preserve">En definitiva, tanto en los supuestos del apartado 1 letra a), como del apartado 2, letra a) o letra b) del art. 6, la normativa básica establece como requisito, en todo caso, no solo que se refieran al ámbito material de “ordenación del territorio urbano y rural, o del uso del suelo”, sino también que dichos planes o programas “establezcan el marco para la futura autorización de proyectos legalmente sometidos a evaluación de impacto ambiental”. En el caso de la letra c) ha de tratarse de planes que sean el marco para la aprobación de proyectos de los que, aunque no cumplan con alguno de los requisitos del apartado 1, no pueda descartarse </w:t>
      </w:r>
      <w:r w:rsidRPr="005728DD">
        <w:rPr>
          <w:i/>
        </w:rPr>
        <w:t>a priori</w:t>
      </w:r>
      <w:r>
        <w:t xml:space="preserve"> que puedan tener efectos significativos sobre el medio ambiente [letra c)].</w:t>
      </w:r>
    </w:p>
    <w:p w:rsidR="005728DD" w:rsidRDefault="005728DD" w:rsidP="005728DD">
      <w:pPr>
        <w:pStyle w:val="TextoNormal"/>
      </w:pPr>
    </w:p>
    <w:p w:rsidR="005728DD" w:rsidRDefault="005728DD" w:rsidP="005728DD">
      <w:pPr>
        <w:pStyle w:val="TextoNormal"/>
      </w:pPr>
      <w:r>
        <w:t xml:space="preserve">Dado que estos requisitos responden a lo dispuesto por el artículo 3, apartado 2, letra a), apartado 3 y 4 de la Directiva 2001/42/CE de evaluación ambiental estratégica, procede tomar en consideración que el Tribunal de Justicia de la Unión Europea ha declarado que para determinar si los planes o programas “establecen el marco para la autorización en el futuro de proyectos enumerados en los anexos I y II de la Directiva 85/337, debe examinarse el contenido y la finalidad de tales programas, habida cuenta del alcance de la evaluación medioambiental de los proyectos, tal como se prevé en dicha directiva” [STJUE de 17 de junio de 2010, </w:t>
      </w:r>
      <w:r w:rsidRPr="005728DD">
        <w:rPr>
          <w:i/>
        </w:rPr>
        <w:t>Terre wallonne ASBL</w:t>
      </w:r>
      <w:r>
        <w:t xml:space="preserve"> (C-105/09) y </w:t>
      </w:r>
      <w:r w:rsidRPr="005728DD">
        <w:rPr>
          <w:i/>
        </w:rPr>
        <w:t>Inter-Environnement Wallonie ASBL</w:t>
      </w:r>
      <w:r>
        <w:t xml:space="preserve"> (C-110/09), </w:t>
      </w:r>
      <w:r w:rsidRPr="005728DD">
        <w:rPr>
          <w:i/>
        </w:rPr>
        <w:t>contra Région wallonne</w:t>
      </w:r>
      <w:r>
        <w:t xml:space="preserve">, ECLI:EU:C:2010:355, apartado 45]. Ha precisado también que “la obligación de efectuar la evaluación medioambiental prevista en el artículo 3, apartado 4, de la Directiva EME [evaluación medioambiental estratégica], al igual que la obligación que se deriva del artículo 3, apartado 2, letra a), de la misma directiva, depende de si el plan o programa en cuestión establece un marco para la autorización de proyectos en el futuro (STJUE de 12 de junio de 2019, </w:t>
      </w:r>
      <w:r w:rsidRPr="005728DD">
        <w:rPr>
          <w:i/>
        </w:rPr>
        <w:t>Terre wallonne ASBL</w:t>
      </w:r>
      <w:r>
        <w:t xml:space="preserve">, ECLI:EU:C:2019:484, apartado 40). Además, ha aclarado que el concepto “planes y programas” comprende, a tales efectos, “cualquier acto que establezca, definiendo reglas y procedimientos de control aplicables al sector de que se trate, un conjunto significativo de criterios y condiciones para la autorización y la ejecución de uno o de varios proyectos que puedan tener efectos significativos en el medio ambiente”, y que “el concepto de ‘conjunto significativo de criterios y condiciones’ debe entenderse de manera cualitativa y no cuantitativa”, a los efectos de “atajar posibles estrategias dirigidas a eludir las obligaciones establecidas por la Directiva EMEA [Directiva 2001/42/CE] que podrían concretarse en una fragmentación de las medidas, reduciendo de este modo el efecto útil de esta directiva” (STJUE de 7 de junio de 2018, </w:t>
      </w:r>
      <w:r w:rsidRPr="005728DD">
        <w:rPr>
          <w:i/>
        </w:rPr>
        <w:t>Thybaut y otros</w:t>
      </w:r>
      <w:r>
        <w:t xml:space="preserve">, C-160/17, ECLI:EU:C:2018:401, apartados 54-55 y jurisprudencia citada). Asimismo, en el marco de una cuestión prejudicial sobre la interpretación de los apartados 2 , 3 y 5 del art. 3 de la Directiva 2001/42/CE, y su aplicación a la ordenación del territorio de pequeñas zonas a escala local, el Tribunal de Justicia de la Unión Europea ha precisado que “si un Estado miembro estableciese un criterio que tuviera como consecuencia que, en la práctica, la totalidad de los planes de una determinada categoría quedase de antemano exenta de la obligación de someterse a una evaluación de impacto ambiental, sobrepasaría el margen de apreciación de que dispone en virtud del artículo 3, apartado 5, de la Directiva 2001/42/CE, en relación con los apartados 2 y 3 de ese mismo artículo, salvo que, basándose en criterios pertinentes tales como su objeto, la extensión del territorio que abarcan o la sensibilidad de los espacios naturales afectados, pudiese considerarse que ninguno de los proyectos excluidos podría tener efectos significativos en el medio ambiente” (STJUE de 22 de septiembre de 2011, </w:t>
      </w:r>
      <w:r w:rsidRPr="005728DD">
        <w:rPr>
          <w:i/>
        </w:rPr>
        <w:t>Valčiukienė y otros</w:t>
      </w:r>
      <w:r>
        <w:t>, C 295/10, ECLI:EU:C:2011:608, apartado 47)”. Criterios interpretativos que han de guiar la aplicación de estas disposiciones a través del Derecho interno, sin perjuicio del marco constitucional de distribución de competencias.</w:t>
      </w:r>
    </w:p>
    <w:p w:rsidR="005728DD" w:rsidRDefault="005728DD" w:rsidP="005728DD">
      <w:pPr>
        <w:pStyle w:val="TextoNormal"/>
      </w:pPr>
    </w:p>
    <w:p w:rsidR="005728DD" w:rsidRDefault="005728DD" w:rsidP="005728DD">
      <w:pPr>
        <w:pStyle w:val="TextoNormal"/>
      </w:pPr>
      <w:r>
        <w:t xml:space="preserve">Por lo que se refiere al art. 8 de la Ley básica, hemos de tomar en consideración en este caso su apartado 1, que precisa dos tipos de planes o programas que se excluyen expresamente del ámbito objetivo de la ley: los que tengan como único objeto la defensa nacional o la protección civil en casos de emergencia; y los de tipo financiero o presupuestario. Por el contrario, los apartados 2, 3 y 4 de este artículo no regulan —como alega el abogado del Estado— el procedimiento de exclusión caso a caso de planes y programas, sino que se refieren únicamente a la exclusión de determinados tipos de proyectos y al procedimiento previsto para la exclusión, caso a caso, de estos. Debemos puntualizar, además, que el hecho de que el apartado 1 del art. 8 excluya expresamente dos tipos de planes o programas del ámbito objetivo de esta ley no implica </w:t>
      </w:r>
      <w:r w:rsidRPr="005728DD">
        <w:rPr>
          <w:i/>
        </w:rPr>
        <w:t>per se</w:t>
      </w:r>
      <w:r>
        <w:t xml:space="preserve"> que no pueda haber otros planes o programas que, por no cumplir con los requisitos establecidos por el art. 6 de la Ley básica, no están sometidos a evaluación ambiental estratégica en los términos exigidos por la legislación básica. Este es el caso de aquellos instrumentos que por su objeto y alcance no puedan concebirse en ningún caso como “el marco para la futura autorización de proyectos legalmente sometidos a evaluación ambiental” y en relación con los cuales pueda considerarse con carácter general que no son susceptibles de “tener efectos significativos en el medio ambiente”.</w:t>
      </w:r>
    </w:p>
    <w:p w:rsidR="005728DD" w:rsidRDefault="005728DD" w:rsidP="005728DD">
      <w:pPr>
        <w:pStyle w:val="TextoNormal"/>
      </w:pPr>
    </w:p>
    <w:p w:rsidR="005728DD" w:rsidRDefault="005728DD" w:rsidP="005728DD">
      <w:pPr>
        <w:pStyle w:val="TextoNormal"/>
      </w:pPr>
      <w:r>
        <w:t xml:space="preserve">No entran por tanto en contradicción con el art. 6 y 8 de la Ley estatal de evaluación ambiental, ni incurren en vulneración mediata del art. 149.1.23 CE, las disposiciones autonómicas que no someten a evaluación ambiental estratégica determinados planes o programas de ordenación del territorio o uso del suelo cuando, por razón del objeto y del alcance limitado que les atribuya la normativa aplicable, no puedan constituir en ningún caso “el marco para la futura autorización de proyectos legalmente sometidos a evaluación ambiental”, ni tampoco el marco para la futura aprobación de otros proyectos, y se pueda determinar </w:t>
      </w:r>
      <w:r w:rsidRPr="005728DD">
        <w:rPr>
          <w:i/>
        </w:rPr>
        <w:t>a priori</w:t>
      </w:r>
      <w:r>
        <w:t xml:space="preserve"> —atendiendo a su objeto, extensión y los espacios afectados— que no son susceptibles de tener un impacto significativo en el medio ambiente.</w:t>
      </w:r>
    </w:p>
    <w:p w:rsidR="005728DD" w:rsidRDefault="005728DD" w:rsidP="005728DD">
      <w:pPr>
        <w:pStyle w:val="TextoNormal"/>
      </w:pPr>
    </w:p>
    <w:p w:rsidR="005728DD" w:rsidRDefault="005728DD" w:rsidP="005728DD">
      <w:pPr>
        <w:pStyle w:val="TextoNormal"/>
      </w:pPr>
      <w:r>
        <w:t xml:space="preserve">En síntesis, la exclusión en la normativa autonómica de categorías o tipos completos de planes y programas que cumplan con los requisitos establecidos en el art. 6 de la Ley de evaluación ambiental vulnera de forma mediata el art. 149.1.23 CE, por implicar una rebaja del nivel de protección ambiental establecido por el legislador básico. Este es el caso, en particular de aquellos planes a los que se les presume en todo caso, </w:t>
      </w:r>
      <w:r w:rsidRPr="005728DD">
        <w:rPr>
          <w:i/>
        </w:rPr>
        <w:t>iuris et de iure</w:t>
      </w:r>
      <w:r>
        <w:t>, efectos significativos en el medio ambiente (apartado 1); o que, pudiendo tener dichos efectos (apartado 2), deberán someterse a evaluación ambiental estratégica simplificada para determinarlo mediante un informe de impacto ambiental. En el caso de los planes o programas relativos a “ordenación del territorio urbano y rural, o al uso del suelo”, en concreto, quedan sometidos evaluación ordinaria [en el caso de la letra a) del apartado 1], o simplificada [en los casos de las letras a), b) y c) del apartado 2], cuando establezcan el marco para la autorización en el futuro de proyectos sometidos legalmente a evaluación de impacto ambiental, o que puedan tener efectos significativos en el medio ambiente. Requisito este último cuyo cumplimiento habrá que verificar a la luz del contenido y finalidad de los mismos.</w:t>
      </w:r>
    </w:p>
    <w:p w:rsidR="005728DD" w:rsidRDefault="005728DD" w:rsidP="005728DD">
      <w:pPr>
        <w:pStyle w:val="TextoNormal"/>
      </w:pPr>
    </w:p>
    <w:p w:rsidR="005728DD" w:rsidRDefault="005728DD" w:rsidP="005728DD">
      <w:pPr>
        <w:pStyle w:val="TextoNormal"/>
      </w:pPr>
      <w:r>
        <w:t xml:space="preserve">De este modo, el alcance objetivo del art. 6, apartado 1 y 2 b), de la Ley 21/2013, solo puede determinarse finalmente poniéndolo en relación con los anexos I y II de la propia ley que precisan, en el ámbito urbanístico en que nos desenvolvemos, qué tipos de proyectos han de someterse a evaluación ambiental, sea ordinaria o simplificada. Y dentro del primer </w:t>
      </w:r>
      <w:r>
        <w:lastRenderedPageBreak/>
        <w:t>grupo, en el anexo I figuran entre los proyectos que exigen para su realización de una evaluación de impacto ambiental ordinaria los “que requieran la urbanización del suelo para […] [c]onstrucción de centros comerciales y aparcamientos, fuera de suelo urbanizable y que en superficie ocupen más de 1 ha.” (Grupo 9, apartado 10) aludiendo a esos supuestos en que por razones de interés social es permitido ese tipo de construcciones al margen de cualquier plan urbanístico previo. Y en el anexo II, entre los proyectos que han de someterse a evaluación de impacto ambiental simplificada se incluyen los “[p]royectos situados fuera de áreas urbanizadas de urbanizaciones, incluida la construcción de centros comerciales y aparcamientos y que en superficie ocupen más de 1 ha [Grupo 7, apartado b)], que comprenden todos los proyectos de urbanización que permitan la transformación del suelo rural en suelo urbanizado. Por lo que respecta al apartado 2 c) del art. 6, ha de analizarse tomando en consideración los criterios establecidos en el anexo V de la propia ley en relación con las características de los planes, y de los posibles efectos y del área probablemente afectada, así como los indicados en el art. 7.2 c) en cuanto a los efectos sobre el medio ambiente que la modificación de los proyectos incluidos en los anexos I y II puedan suponer.</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Aplicación del canon anterior al art. 40.4 a) y c) de la Ley del Parlamento de Andalucía</w:t>
      </w:r>
      <w:r>
        <w:t xml:space="preserve"> 7/2007.</w:t>
      </w:r>
    </w:p>
    <w:p w:rsidR="005728DD" w:rsidRDefault="005728DD" w:rsidP="005728DD">
      <w:pPr>
        <w:pStyle w:val="TextoNormal"/>
      </w:pPr>
    </w:p>
    <w:p w:rsidR="005728DD" w:rsidRDefault="005728DD" w:rsidP="005728DD">
      <w:pPr>
        <w:pStyle w:val="TextoNormal"/>
      </w:pPr>
      <w:r>
        <w:t>Procede examinar ya, a la luz del canon que acabamos de precisar, si el art. 40.4 a y c) de la Ley andaluza 7/2007 entra en contradicción efectiva e insalvable por vía de interpretación con el art. 6 de la Ley 21/2013 de evaluación ambiental y anexos, vulnerando por ello de forma mediata el art. 149.1.23 CE. Hemos de analizar, en consecuencia, el contenido y finalidad de dicha norma y, en particular, el objeto y alcance de los estudios de detalle en los términos que están regulados por la Ley del Parlamento de Andalucía 7/2002, de 17 de diciembre, de ordenación urbanística de Andalucía, para determinar si cumplen o no con los requisitos objetivos establecidos por el art. 6 de la Ley estatal para quedar sometidos a evaluación de impacto ambiental estratégica.</w:t>
      </w:r>
    </w:p>
    <w:p w:rsidR="005728DD" w:rsidRDefault="005728DD" w:rsidP="005728DD">
      <w:pPr>
        <w:pStyle w:val="TextoNormal"/>
      </w:pPr>
    </w:p>
    <w:p w:rsidR="005728DD" w:rsidRDefault="005728DD" w:rsidP="005728DD">
      <w:pPr>
        <w:pStyle w:val="TextoNormal"/>
      </w:pPr>
      <w:r>
        <w:t>a) El art. 40 de Ley 7/2007, que regula la “[e]valuación ambiental de los instrumentos de planeamiento urbanístico”, enumera en su apartado 2 aquellos que quedan sometidos a evaluación ambiental estratégica ordinaria, entre los que se encuentran, “a) Los instrumentos de planeamiento general, así como sus revisiones totales o parciales”. En su apartado 3 enumera, por otra parte, los instrumentos sometidos a evaluación ambiental estratégica simplificada, entre los que debemos destacar los previstos en la letra b) [“Las modificaciones que afecten a la ordenación pormenorizada de los instrumentos de planeamiento general que posibiliten la implantación de actividades o instalaciones cuyos proyectos deban someterse a evaluación de impacto ambiental de acuerdo con el anexo I de esta ley”], y en la letra (d) [“Las innovaciones de instrumentos de planeamiento de desarrollo que alteren el uso del suelo o posibiliten la implantación de actividades o instalaciones cuyos proyectos deban someterse a evaluación de impacto ambiental de acuerdo con el anexo I de esta ley”]. Finalmente, el apartado 4 excluye de cualquier forma de evaluación los estudios de detalle [letra a)] y a su modificaciones [letra c)], que son el objeto de la actual cuestión.</w:t>
      </w:r>
    </w:p>
    <w:p w:rsidR="005728DD" w:rsidRDefault="005728DD" w:rsidP="005728DD">
      <w:pPr>
        <w:pStyle w:val="TextoNormal"/>
      </w:pPr>
    </w:p>
    <w:p w:rsidR="005728DD" w:rsidRDefault="005728DD" w:rsidP="005728DD">
      <w:pPr>
        <w:pStyle w:val="TextoNormal"/>
      </w:pPr>
      <w:r>
        <w:t xml:space="preserve">El hecho de que la Ley 21/2013 solo imponga la sumisión a evaluación ambiental estratégica de los planes o programas que constituyan el marco para la futura autorización de proyectos legalmente sometidos a evaluación de impacto ambiental o, en su caso, que puedan tener impactos significativos en el medio ambiente, obliga a determinar si los estudios </w:t>
      </w:r>
      <w:r>
        <w:lastRenderedPageBreak/>
        <w:t>de detalle que regula la Ley 7/2002 de ordenación urbanística de Andalucía constituyen el marco para la autorización de dichos proyectos, pues si así fuera también aquel instrumento de planeamiento debería someterse a evaluación ambiental estratégica.</w:t>
      </w:r>
    </w:p>
    <w:p w:rsidR="005728DD" w:rsidRDefault="005728DD" w:rsidP="005728DD">
      <w:pPr>
        <w:pStyle w:val="TextoNormal"/>
      </w:pPr>
    </w:p>
    <w:p w:rsidR="005728DD" w:rsidRDefault="005728DD" w:rsidP="005728DD">
      <w:pPr>
        <w:pStyle w:val="TextoNormal"/>
      </w:pPr>
      <w:r>
        <w:t>b) No cabe intentar una aproximación general a la figura del estudio de detalle porque no todas las comunidades autónomas lo han regulado de la misma manera e incluso alguna lo desconoce (texto refundido de la ley de urbanismo de Cataluña, aprobado por Decreto legislativo 1/2010, de 3 de agosto, art. 55).</w:t>
      </w:r>
    </w:p>
    <w:p w:rsidR="005728DD" w:rsidRDefault="005728DD" w:rsidP="005728DD">
      <w:pPr>
        <w:pStyle w:val="TextoNormal"/>
      </w:pPr>
    </w:p>
    <w:p w:rsidR="005728DD" w:rsidRDefault="005728DD" w:rsidP="005728DD">
      <w:pPr>
        <w:pStyle w:val="TextoNormal"/>
      </w:pPr>
      <w:r>
        <w:t>Y entre las que sí lo han regulado, aparte de la común coincidencia de que en todas representa el último escalón en el esquema de ordenación jerárquica de los distintos tipos de planes urbanísticos, existe una gran variedad. En algunas, el estudio de detalle es un instrumento de ordenación no necesario, pero en otras sí lo es, porque el plan inmediatamente anterior remite al estudio de detalle para completar alguna de sus determinaciones; algunas comunidades autónomas habilitan a los estudios de detalle para intervenir tanto en suelo urbano como urbanizable, y en otras, en fin, atribuyen al estudio de detalle un carácter innovador frente a los planes anteriores que otras le niegan. Esto puede explicar en gran parte las aparentes contradicciones que parece observarse en las sentencias de este tribunal antes citadas y a las que el auto de planteamiento de la presente cuestión de inconstitucionalidad hace referencia.</w:t>
      </w:r>
    </w:p>
    <w:p w:rsidR="005728DD" w:rsidRDefault="005728DD" w:rsidP="005728DD">
      <w:pPr>
        <w:pStyle w:val="TextoNormal"/>
      </w:pPr>
    </w:p>
    <w:p w:rsidR="005728DD" w:rsidRDefault="005728DD" w:rsidP="005728DD">
      <w:pPr>
        <w:pStyle w:val="TextoNormal"/>
      </w:pPr>
      <w:r>
        <w:t>Por lo que se refiere a la regulación de los estudios de detalle, el art. 7.1 de la Ley 7/2002, de 17 de diciembre, de ordenación urbanística de Andalucía los incluye entre los instrumentos de planeamiento de desarrollo (“planes de desarrollo”) y los regula en el art. 15, dentro del capítulo segundo del título primero, sobre “los instrumentos de planeamiento”. Conforme al apartado primero de dicha disposición, los estudios de detalle “tienen por objeto completar o adaptar algunas determinaciones del planeamiento en áreas de suelos urbanos de ámbito reducido”, para lo que se les habilita a “a) Establecer, en desarrollo de los objetivos definidos por los planes generales de ordenación urbanística, parciales de ordenación o planes especiales, la ordenación de los volúmenes, el trazado local del viario secundario y la localización del suelo dotacional público”. También tiene como función “b) Fijar las alineaciones y rasantes de cualquier viario, y reajustarlas, así como las determinaciones de ordenación referidas en la letra anterior, en caso de que estén establecidas en dichos instrumentos de planeamiento”. En el apartado 2 se precisan los límites que estos instrumentos no pueden, en ningún caso, sobrepasar: “a) Modificar el uso urbanístico del suelo, fuera de los límites del apartado anterior. b) Incrementar el aprovechamiento urbanístico. c) Suprimir o reducir el suelo dotacional público, o afectar negativamente a su funcionalidad, por disposición inadecuada de su superficie. d) Alterar las condiciones de la ordenación de los terrenos o construcciones colindantes”.</w:t>
      </w:r>
    </w:p>
    <w:p w:rsidR="005728DD" w:rsidRDefault="005728DD" w:rsidP="005728DD">
      <w:pPr>
        <w:pStyle w:val="TextoNormal"/>
      </w:pPr>
    </w:p>
    <w:p w:rsidR="005728DD" w:rsidRDefault="005728DD" w:rsidP="005728DD">
      <w:pPr>
        <w:pStyle w:val="TextoNormal"/>
      </w:pPr>
      <w:r>
        <w:t xml:space="preserve">Conforme a la limitada finalidad y contenido que esta regulación atribuye al “estudio de detalle”, este se configura, en definitiva, como un instrumento de planeamiento complementario y subordinado a los planes superiores que desarrolla, quedando estos últimos sometidos a evaluación ambiental estratégica conforme a lo dispuesto en los apartados 2 y 3 del art. 40. Los estudios de detalle no pueden afectar al uso urbanístico del suelo más allá de lo que el plan que desarrolla le permita en relación con los concretos aspectos que precisa el apartado 1 del art. 15 (el trazado de viario secundario, la ordenación de volúmenes y la </w:t>
      </w:r>
      <w:r>
        <w:lastRenderedPageBreak/>
        <w:t>ubicación del suelo dotacional ya planificado); y en ningún caso pueden alterar el uso urbanístico del suelo establecido por los planes superiores, incrementar el aprovechamiento o suprimir o reducir el suelo dotacional público. No pueden, en definitiva, asumir o suplantar la función ordenadora propia de los instrumentos urbanísticos que desarrollan ni, en consecuencia, posibilitar y establecer por sí mismos el marco para la futura instalación de proyectos que deban someterse a evaluación de impacto ambiental o, en su caso, el marco para la futura autorización de otros proyectos que puedan tener efectos significativos en el medio ambiente. Dicho marco quedará delimitado por los planes superiores que tienen atribuido determinar el uso y aprovechamiento del suelo a nivel municipal, de zonas de reducida extensión, y que reúnen los requisitos objetivos que establece el art. 6.2 b) de la Ley básica para quedar sometidos a evaluación ambiental estratégica simplificada, por contener los elementos básicos para que pueda autorizarse o limitarse el tipo de actividad o de proyecto que pueda autorizarse en una determinada zona, su ubicación, dimensiones o características esenciales.</w:t>
      </w:r>
    </w:p>
    <w:p w:rsidR="005728DD" w:rsidRDefault="005728DD" w:rsidP="005728DD">
      <w:pPr>
        <w:pStyle w:val="TextoNormal"/>
      </w:pPr>
    </w:p>
    <w:p w:rsidR="005728DD" w:rsidRDefault="005728DD" w:rsidP="005728DD">
      <w:pPr>
        <w:pStyle w:val="TextoNormal"/>
      </w:pPr>
      <w:r>
        <w:t xml:space="preserve">No pueden constituir, en modo alguno, el marco para la instalación de proyectos que deban someterse a evaluación de impacto ambiental porque el anexo II, grupo 7, apartado b) no comprende entre los proyectos que han de someterse a evaluación de impacto ambiental simplificada, los proyectos que han de ejecutarse en suelo urbano y porque, aunque el art. 40.3 b) y d) de la Ley andaluza 7/2007 somete expresamente a evaluación estratégica simplificada las modificaciones o innovaciones de instrumentos de planeamiento de desarrollo “que alteren el uso del suelo o posibiliten la implantación de actividades o instalaciones cuyos proyectos deban someterse a evaluación ambiental”, los estudios de detalle regulados en esa ley tienen como uno de los límites que no pueden sobrepasar el modificar el uso urbanístico del suelo establecido en el instrumento de planeamiento superior. Por esta última razón, no pueden ser tampoco el marco para la autorización de proyectos que puedan tener, </w:t>
      </w:r>
      <w:r w:rsidRPr="005728DD">
        <w:rPr>
          <w:i/>
        </w:rPr>
        <w:t>per se</w:t>
      </w:r>
      <w:r>
        <w:t>, efectos significativos en el medio ambiente.</w:t>
      </w:r>
    </w:p>
    <w:p w:rsidR="005728DD" w:rsidRDefault="005728DD" w:rsidP="005728DD">
      <w:pPr>
        <w:pStyle w:val="TextoNormal"/>
      </w:pPr>
    </w:p>
    <w:p w:rsidR="005728DD" w:rsidRDefault="005728DD" w:rsidP="005728DD">
      <w:pPr>
        <w:pStyle w:val="TextoNormal"/>
      </w:pPr>
      <w:r>
        <w:t>Corresponde a jueces y tribunales controlar, en su caso, que los estudios de detalle no vulneren los límites que les impone la normativa examinada, ya sea suplantando la función ordenadora propia de los planes urbanísticos superiores que deben ser sometidos a evaluación ambiental estratégica, o estableciendo cualquier previsión de ordenación urbanística que no tenga cobertura en dichos planes y que pueda ser determinante para la futura autorización de proyectos sometidos a evaluación de impacto ambiental conforme al anexo II de la Ley básica.</w:t>
      </w:r>
    </w:p>
    <w:p w:rsidR="005728DD" w:rsidRDefault="005728DD" w:rsidP="005728DD">
      <w:pPr>
        <w:pStyle w:val="TextoNormal"/>
      </w:pPr>
    </w:p>
    <w:p w:rsidR="005728DD" w:rsidRDefault="005728DD" w:rsidP="005728DD">
      <w:pPr>
        <w:pStyle w:val="TextoNormal"/>
      </w:pPr>
      <w:r>
        <w:t xml:space="preserve">c) En definitiva, el examen del art. 15 de la Ley del Parlamento de Andalucía 7/2002 de ordenación urbanística de Andalucía conduce a la conclusión de que los estudios de detalle son instrumentos complementarios —bien del planeamiento general, o de otros planes de desarrollo, como los planes de sectorización, los planes parciales o los planes especiales— y que se caracterizan por su escasa entidad y casi nula capacidad innovadora desde el punto de vista de la ordenación urbanística, quedando subordinados a otros planes que han de ser objeto de evaluación ambiental. A la luz de su objeto y limitado alcance no pueden concebirse </w:t>
      </w:r>
      <w:r w:rsidRPr="005728DD">
        <w:rPr>
          <w:i/>
        </w:rPr>
        <w:t>per se</w:t>
      </w:r>
      <w:r>
        <w:t xml:space="preserve"> como el marco para la futura autorización de proyectos sometidos a evaluación de impacto ambiental conforme al anexo II de la Ley básica, ni susceptibles de tener efectos significativos en el medio ambiente, por lo que no puede por ello reprocharse al legislador autonómico que el art. 40.4 a) y c) de la Ley andaluza 7/2007 de gestión integrada de la calidad ambiental no los someta a evaluación ambiental.</w:t>
      </w:r>
    </w:p>
    <w:p w:rsidR="005728DD" w:rsidRDefault="005728DD" w:rsidP="005728DD">
      <w:pPr>
        <w:pStyle w:val="TextoNormal"/>
      </w:pPr>
    </w:p>
    <w:p w:rsidR="005728DD" w:rsidRDefault="005728DD" w:rsidP="005728DD">
      <w:pPr>
        <w:pStyle w:val="TextoNormal"/>
      </w:pPr>
      <w:r>
        <w:t>Debemos concluir, por tanto, que las letras a) y c), del art. 40.4 de la Ley 7/2007 de gestión integrada de la calidad ambiental no entran en contradicción efectiva con lo establecido en los artículos 6 y 8.1 de la Ley 21/2013 de evaluación ambiental, y no vulneran de forma mediata el art. 149.1.23 CE.</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Desestimación de la cuestión de inconstitucionalidad</w:t>
      </w:r>
      <w:r>
        <w:t>.</w:t>
      </w:r>
    </w:p>
    <w:p w:rsidR="005728DD" w:rsidRDefault="005728DD" w:rsidP="005728DD">
      <w:pPr>
        <w:pStyle w:val="TextoNormal"/>
      </w:pPr>
    </w:p>
    <w:p w:rsidR="005728DD" w:rsidRDefault="005728DD" w:rsidP="005728DD">
      <w:pPr>
        <w:pStyle w:val="TextoNormal"/>
      </w:pPr>
      <w:r>
        <w:t>En consecuencia, y dado que el precepto autonómico cuestionado no es inconstitucional, procede desestimar la cuestión de inconstitucionalidad planteada por la Sección Segunda de la Sala de lo Contencioso-Administrativo del Tribunal Superior de Justicia de Andalucía con sede en Sevilla.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la presente cuestión de inconstitucionalidad.</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7" w:name="SENTENCIA_2021_124"/>
      <w:r>
        <w:lastRenderedPageBreak/>
        <w:t>SENTENCIA 124/2021, de 3 de junio de 2021</w:t>
      </w:r>
    </w:p>
    <w:bookmarkEnd w:id="127"/>
    <w:p w:rsidR="005728DD" w:rsidRDefault="005728DD" w:rsidP="005728DD">
      <w:pPr>
        <w:pStyle w:val="TtuloResolucin"/>
      </w:pPr>
      <w:r>
        <w:t>Pleno</w:t>
      </w:r>
    </w:p>
    <w:p w:rsidR="005728DD" w:rsidRDefault="005728DD" w:rsidP="005728DD">
      <w:pPr>
        <w:pStyle w:val="TtuloBOE"/>
      </w:pPr>
      <w:r>
        <w:t>(BOE núm. 161, de 7 de julio de 2021)</w:t>
      </w:r>
    </w:p>
    <w:p w:rsidR="005728DD" w:rsidRDefault="005728DD" w:rsidP="005728DD">
      <w:pPr>
        <w:pStyle w:val="TextoNormalCentrado"/>
      </w:pPr>
      <w:r>
        <w:t>ECLI:ES:TC:2021:124</w:t>
      </w:r>
    </w:p>
    <w:p w:rsidR="005728DD" w:rsidRDefault="005728DD" w:rsidP="005728DD">
      <w:pPr>
        <w:pStyle w:val="TextoNormalCentrado"/>
      </w:pPr>
    </w:p>
    <w:p w:rsidR="005728DD" w:rsidRDefault="005728DD" w:rsidP="005728DD">
      <w:pPr>
        <w:pStyle w:val="SntesisDescriptiva"/>
      </w:pPr>
      <w:r>
        <w:t>Recurso de inconstitucionalidad 2035-2020. Interpuesto por más de cincuenta senadores del Grupo Parlamentario Popular respecto de la disposición final segunda del Real Decreto-ley 8/2020, de 17 de marzo, de medidas urgentes extraordinarias para hacer frente al impacto económico y social del COVID-19.</w:t>
      </w:r>
    </w:p>
    <w:p w:rsidR="005728DD" w:rsidRDefault="005728DD" w:rsidP="005728DD">
      <w:pPr>
        <w:pStyle w:val="SntesisDescriptiva"/>
      </w:pPr>
    </w:p>
    <w:p w:rsidR="005728DD" w:rsidRDefault="005728DD" w:rsidP="005728DD">
      <w:pPr>
        <w:pStyle w:val="SntesisAnaltica"/>
      </w:pPr>
      <w:r>
        <w:t>Límites materiales de los decretos leyes: extinción del proceso cuyo objeto ha sido anulado por la sentencia 110/2021, de 13 de mayo. Voto particular.</w:t>
      </w:r>
    </w:p>
    <w:p w:rsidR="005728DD" w:rsidRDefault="005728DD" w:rsidP="005728DD">
      <w:pPr>
        <w:pStyle w:val="SntesisAnaltica"/>
      </w:pPr>
    </w:p>
    <w:p w:rsidR="005728DD" w:rsidRDefault="005728DD" w:rsidP="005728DD">
      <w:pPr>
        <w:pStyle w:val="Extracto"/>
      </w:pPr>
      <w:r>
        <w:t>1.</w:t>
      </w:r>
      <w:r>
        <w:tab/>
        <w:t>La expulsión del ordenamiento jurídico de un precepto determina la pérdida de objeto de un posterior recurso de inconstitucionalidad sobre el mismo precepto (STC 139/2011). Esta desaparición sobrevenida del objeto, aunque no está contemplada en el artículo 86.1 LOTC, es una de las causas de terminación extraordinaria de los distintos procesos constitucionales, incluidos los recursos de inconstitucionalidad (ATC 114/2017) [FJ 2].</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2035-2020, interpuesto por más de cincuenta senadores del Grupo Parlamentario Popular en el Senado contra la disposición final segunda del Real Decreto-ley 8/2020, de 17 de marzo, de medidas urgentes extraordinarias para hacer frente al impacto económico y social del COVID-19. Ha comparecido y formulado alegaciones el Gobierno de la Nación.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Mediante escrito registrado en este tribunal el 27 de abril de 2020 se formula recurso de inconstitucionalidad por más de cincuenta senadores del Grupo Parlamentario Popular </w:t>
      </w:r>
      <w:r>
        <w:lastRenderedPageBreak/>
        <w:t>en el Senado, contra la disposición final segunda del Real Decreto-ley 8/2020, de 17 de marzo, de medidas urgentes extraordinarias para hacer frente al impacto económico y social del COVID-19.</w:t>
      </w:r>
    </w:p>
    <w:p w:rsidR="005728DD" w:rsidRDefault="005728DD" w:rsidP="005728DD">
      <w:pPr>
        <w:pStyle w:val="TextoNormal"/>
      </w:pPr>
    </w:p>
    <w:p w:rsidR="005728DD" w:rsidRDefault="005728DD" w:rsidP="005728DD">
      <w:pPr>
        <w:pStyle w:val="TextoNormal"/>
      </w:pPr>
      <w:r>
        <w:t>La demanda expone los hechos que a continuación se resumen.</w:t>
      </w:r>
    </w:p>
    <w:p w:rsidR="005728DD" w:rsidRDefault="005728DD" w:rsidP="005728DD">
      <w:pPr>
        <w:pStyle w:val="TextoNormal"/>
      </w:pPr>
    </w:p>
    <w:p w:rsidR="005728DD" w:rsidRDefault="005728DD" w:rsidP="005728DD">
      <w:pPr>
        <w:pStyle w:val="TextoNormal"/>
      </w:pPr>
      <w:r>
        <w:t>El Real Decreto 399/2020, de 25 de febrero, por el que se establecen las comisiones delegadas del Gobierno, dispone, en su artículo 4.2 que: “de acuerdo con lo previsto en los apartados 2 y 3 del artículo 6 de la Ley 11/2002, de 6 de mayo, asistirán a las reuniones de la Comisión Delegada del Gobierno para Asuntos de Inteligencia las ministras de Asuntos Exteriores, Unión Europea y Cooperación y de Defensa; el ministro del Interior; el vicepresidente segundo y ministro de Derechos Sociales y Agenda 2030, y la vicepresidenta tercera y ministra de Asuntos Económicos y Transformación Digital”. El Partido Popular interpuso recurso contencioso-administrativo (núm. 75-2020) contra dicha regulación por entender que vulnera el principio de jerarquía normativa (artículo 9.3 CE) por contradecir los apartados 2 y 3 del artículo 6 de la Ley 11/2002, de 6 de mayo, reguladora del Centro Nacional de Inteligencia, que prevén una composición específica de dicha comisión en la que no cabe entender incardinado al señor vicepresidente segundo y ministro de Derechos Sociales y Agenda 2030. Dicha Comisión, se aduce, no se había reunido a la fecha de interposición del presente recurso de inconstitucionalidad.</w:t>
      </w:r>
    </w:p>
    <w:p w:rsidR="005728DD" w:rsidRDefault="005728DD" w:rsidP="005728DD">
      <w:pPr>
        <w:pStyle w:val="TextoNormal"/>
      </w:pPr>
    </w:p>
    <w:p w:rsidR="005728DD" w:rsidRDefault="005728DD" w:rsidP="005728DD">
      <w:pPr>
        <w:pStyle w:val="TextoNormal"/>
      </w:pPr>
      <w:r>
        <w:t>Tras la declaración del estado de alarma, se aprueba el Real Decreto-ley 8/2020, de 17 de marzo, de medidas urgentes extraordinarias para hacer frente al impacto económico y social del COVID-19, que funda la “extraordinaria y urgente necesidad” en el súbito e inevitable impacto en la economía de las medidas tomadas para la contención de la propagación vertiginosa de la infección entre la población española, tal y como se infiere de su exposición de motivos. En dicha norma se toman, entre otras, medidas dirigidas a proporcionar apoyo a los trabajadores, familias y colectivos vulnerables, a flexibilizar los mecanismos de ajuste temporal de actividad para evitar despidos, a garantizar la liquidez de empresas, autónomos y particulares para sostener la actividad económica durante las excepcionales circunstancias del estado de alarma o eliminar obstáculos laborales y económicos para el pleno despliegue de las capacidades de investigación del virus COVID-19, junto a otras medidas de flexibilización de carácter económico y social. En dicho real decreto-ley se incluye la disposición final segunda ahora impugnada, que no tiene relación con el contenido de dicha norma ni tiene su extraordinaria y urgente necesidad. En la exposición de motivos del real decreto-ley solo hay una referencia a tal precepto en el apartado VI, en que se acomete “una vaga, general y vacía fórmula auto justificativa” del siguiente tenor: “Las modificaciones de la Ley reguladora del Centro Nacional de Inteligencia y de la Ley de la Ciencia, la Tecnología y la Innovación, que se operan por medio de las disposiciones finales segunda y tercera de este real decreto-ley no pueden ser aprobadas mediante el procedimiento ordinario de tramitación parlamentaria, pues ello implicaría que, hasta la aprobación de tales reformas legislativas, la estructura de órganos colegiados del Gobierno no estaría en condiciones de desarrollar sus funciones con arreglo a las necesidades organizativas apreciadas en el momento actual por la Presidencia del Gobierno, motivo que justifica la extraordinaria y urgente necesidad de la situación y la conexión con ella de las medidas adoptadas”.</w:t>
      </w:r>
    </w:p>
    <w:p w:rsidR="005728DD" w:rsidRDefault="005728DD" w:rsidP="005728DD">
      <w:pPr>
        <w:pStyle w:val="TextoNormal"/>
      </w:pPr>
    </w:p>
    <w:p w:rsidR="005728DD" w:rsidRDefault="005728DD" w:rsidP="005728DD">
      <w:pPr>
        <w:pStyle w:val="TextoNormal"/>
      </w:pPr>
      <w:r>
        <w:t xml:space="preserve">Se destaca, asimismo, que en el trámite de convalidación del real decreto-ley no se permitió la votación separada de dicha disposición final del resto del contenido de dicha norma, </w:t>
      </w:r>
      <w:r>
        <w:lastRenderedPageBreak/>
        <w:t>lo que se puso de manifiesto en la sesión de convalidación, por un diputado del grupo parlamentario popular en el Congreso. Asimismo, se señala que se acordó la tramitación del real decreto-ley como proyecto de ley por el procedimiento de urgencia; procedimiento de urgencia que se encontraba paralizado con fecha de 13 de abril de 2020.</w:t>
      </w:r>
    </w:p>
    <w:p w:rsidR="005728DD" w:rsidRDefault="005728DD" w:rsidP="005728DD">
      <w:pPr>
        <w:pStyle w:val="TextoNormal"/>
      </w:pPr>
    </w:p>
    <w:p w:rsidR="005728DD" w:rsidRDefault="005728DD" w:rsidP="005728DD">
      <w:pPr>
        <w:pStyle w:val="TextoNormal"/>
      </w:pPr>
      <w:r>
        <w:t>Tras dicha modificación de la Ley 11/2002 se procedió, a su vez, a la modificación del citado Real Decreto 399/2020, de 25 de febrero, por el Real Decreto 464/2020, de 17 de marzo que se entiende por la demanda que “parece servir como un intento de justificación artificiosa de la reforma de la Ley”.</w:t>
      </w:r>
    </w:p>
    <w:p w:rsidR="005728DD" w:rsidRDefault="005728DD" w:rsidP="005728DD">
      <w:pPr>
        <w:pStyle w:val="TextoNormal"/>
      </w:pPr>
    </w:p>
    <w:p w:rsidR="005728DD" w:rsidRDefault="005728DD" w:rsidP="005728DD">
      <w:pPr>
        <w:pStyle w:val="TextoNormal"/>
      </w:pPr>
      <w:r>
        <w:t>En cuanto a los motivos del recurso de inconstitucionalidad, la demanda alega lo que resumidamente se expone a continuación.</w:t>
      </w:r>
    </w:p>
    <w:p w:rsidR="005728DD" w:rsidRDefault="005728DD" w:rsidP="005728DD">
      <w:pPr>
        <w:pStyle w:val="TextoNormal"/>
      </w:pPr>
    </w:p>
    <w:p w:rsidR="005728DD" w:rsidRDefault="005728DD" w:rsidP="005728DD">
      <w:pPr>
        <w:pStyle w:val="TextoNormal"/>
      </w:pPr>
      <w:r>
        <w:t>El primer motivo es la vulneración del artículo 86.1 CE porque no concurre respecto a la disposición final segunda del Real Decreto-ley 8/2020 el presupuesto habilitante de la extraordinaria y urgente necesidad de dicha norma: la excepcional situación derivada de la aplicación de las medidas dirigidas a superar la crisis sanitaria provocada por la pandemia mundial del virus COVID-19.</w:t>
      </w:r>
    </w:p>
    <w:p w:rsidR="005728DD" w:rsidRDefault="005728DD" w:rsidP="005728DD">
      <w:pPr>
        <w:pStyle w:val="TextoNormal"/>
      </w:pPr>
    </w:p>
    <w:p w:rsidR="005728DD" w:rsidRDefault="005728DD" w:rsidP="005728DD">
      <w:pPr>
        <w:pStyle w:val="TextoNormal"/>
      </w:pPr>
      <w:r>
        <w:t xml:space="preserve">La demanda tras exponer la doctrina constitucional sobre el presupuesto habilitante del artículo 86.1 CE (con cita de las SSTC 29/1982, de 31 de mayo, y 14/2020, de 28 de enero, FJ 5), precisa que el recurso de inconstitucionalidad no cuestiona el presupuesto habilitante del Real Decreto-ley 8/2020. Sin embargo, considera que dicho presupuesto no concurre respecto de la disposición final segunda, por lo que, conforme a la doctrina constitucional que cita (STC 29/2015, de 19 de febrero, FJ 3) considera que la necesaria justificación </w:t>
      </w:r>
      <w:r w:rsidRPr="005728DD">
        <w:rPr>
          <w:i/>
        </w:rPr>
        <w:t>ad casum</w:t>
      </w:r>
      <w:r>
        <w:t xml:space="preserve"> de la “extraordinaria y urgente necesidad” ha de ser apreciada en relación precisamente con el precepto impugnado.</w:t>
      </w:r>
    </w:p>
    <w:p w:rsidR="005728DD" w:rsidRDefault="005728DD" w:rsidP="005728DD">
      <w:pPr>
        <w:pStyle w:val="TextoNormal"/>
      </w:pPr>
    </w:p>
    <w:p w:rsidR="005728DD" w:rsidRDefault="005728DD" w:rsidP="005728DD">
      <w:pPr>
        <w:pStyle w:val="TextoNormal"/>
      </w:pPr>
      <w:r>
        <w:t>Expone la demanda que, de acuerdo con la STC 61/2018, de 7 de junio, han de valorarse los motivos que han sido tenidos en cuenta por el Gobierno en su aprobación: a) la motivación contenida en la exposición de motivos del Real Decreto-ley 8/2020, b) los hechos previos relacionados con la modificación legislativa realizada y c) el debate parlamentario del Pleno que convalidó el Real Decreto-ley 8/2020.</w:t>
      </w:r>
    </w:p>
    <w:p w:rsidR="005728DD" w:rsidRDefault="005728DD" w:rsidP="005728DD">
      <w:pPr>
        <w:pStyle w:val="TextoNormal"/>
      </w:pPr>
    </w:p>
    <w:p w:rsidR="005728DD" w:rsidRDefault="005728DD" w:rsidP="005728DD">
      <w:pPr>
        <w:pStyle w:val="TextoNormal"/>
      </w:pPr>
      <w:r>
        <w:t xml:space="preserve">En relación con los cuales, se alega que: a) Respecto a la motivación contenida en el apartado VI de la exposición de motivos del real decreto-ley, que se ha reproducido anteriormente, no se aporta ningún dato que permita vislumbrar la extrema y urgente necesidad, sino que simplemente se hace referencia a la necesidad de desarrollar funciones con arreglo a necesidades organizativas apreciadas por la Presidencia del Gobierno; b) Además, la modificación impugnada no tiene como sustento la actual situación sanitaria que motiva el presupuesto habilitante del conjunto del Real Decreto-ley 8/2020, sino que se sustenta exclusivamente en el interés del Gobierno en modificar órganos creados mediante leyes; c) Finalmente, en el debate parlamentario de convalidación del Real Decreto-ley 8/2020 (“Diario de Sesiones del Congreso de los Diputados”. Año 2020 XIV legislatura. Núm. 16. Sesión plenaria núm. 15 celebrada el miércoles, 25 de marzo de 2020), ni el Gobierno, ni los grupos parlamentarios a los que pertenecen buena parte de los miembros de este, hicieron mención alguna a la extrema y urgente necesidad que motiva la reforma objeto del presente recurso, </w:t>
      </w:r>
      <w:r>
        <w:lastRenderedPageBreak/>
        <w:t>pese a la intervención de los portavoces de diferentes grupos parlamentarios que se refirieron expresamente a la misma.</w:t>
      </w:r>
    </w:p>
    <w:p w:rsidR="005728DD" w:rsidRDefault="005728DD" w:rsidP="005728DD">
      <w:pPr>
        <w:pStyle w:val="TextoNormal"/>
      </w:pPr>
    </w:p>
    <w:p w:rsidR="005728DD" w:rsidRDefault="005728DD" w:rsidP="005728DD">
      <w:pPr>
        <w:pStyle w:val="TextoNormal"/>
      </w:pPr>
      <w:r>
        <w:t>En definitiva, no existe razonamiento alguno, ni en la propia exposición de motivos, ni en la tramitación parlamentaria, ni en los hechos previos que motivan la reforma, que justifique el presupuesto habilitante para la utilización del real decreto-ley como instrumento legislativo de urgencia.</w:t>
      </w:r>
    </w:p>
    <w:p w:rsidR="005728DD" w:rsidRDefault="005728DD" w:rsidP="005728DD">
      <w:pPr>
        <w:pStyle w:val="TextoNormal"/>
      </w:pPr>
    </w:p>
    <w:p w:rsidR="005728DD" w:rsidRDefault="005728DD" w:rsidP="005728DD">
      <w:pPr>
        <w:pStyle w:val="TextoNormal"/>
      </w:pPr>
      <w:r>
        <w:t>En segundo lugar se considera que no hay conexión de sentido entre la situación definida y las medidas que se adoptan en la disposición final segunda del Real Decreto-ley 8/2020, de 17 de marzo. Para ello se analiza el “pretendido” (</w:t>
      </w:r>
      <w:r w:rsidRPr="005728DD">
        <w:rPr>
          <w:i/>
        </w:rPr>
        <w:t>sic</w:t>
      </w:r>
      <w:r>
        <w:t>) presupuesto habilitante (la “necesidad de desarrollar funciones con arreglo a necesidades organizativas apreciadas por la Presidencia del Gobierno”) y el contenido material de la modificación (“una definición específica de los componentes de la comisión”) y se concluye que dicha motivación se proyecta sobre una “circunstancia manifiestamente inexistente”. A este respecto se pone de manifiesto que la comisión delegada para asuntos de inteligencia no se ha convocado desde la aprobación del Real Decreto 399/2020 hasta la fecha de presentación del recurso de inconstitucionalidad. Asimismo, no se aprecia la imposibilidad “de desarrollar funciones con arreglo a necesidades organizativas apreciadas por la Presidencia del Gobierno”, en tanto la misma ya estaba integrada en el ordenamiento jurídico por vía reglamentaria.</w:t>
      </w:r>
    </w:p>
    <w:p w:rsidR="005728DD" w:rsidRDefault="005728DD" w:rsidP="005728DD">
      <w:pPr>
        <w:pStyle w:val="TextoNormal"/>
      </w:pPr>
    </w:p>
    <w:p w:rsidR="005728DD" w:rsidRDefault="005728DD" w:rsidP="005728DD">
      <w:pPr>
        <w:pStyle w:val="TextoNormal"/>
      </w:pPr>
      <w:r>
        <w:t>Finalmente, se aduce la conculcación del principio de seguridad jurídica (artículo 9.3 CE). La demanda aplica la doctrina del Tribunal Constitucional sobre el contenido de las leyes de presupuestos (cita la STC 122/2018, de 31 de octubre, FJ 3), al contenido de los decretos-leyes y afirma que no hay una conexión “directa e inmediata”, entre un real decreto-ley dirigido a aprobar medidas para hacer frente al impacto social y económico de las medidas tomadas para evitar la expansión de la pandemia provocada por el virus COVID-19 y la actualización del artículo de la Ley 11/2002, de 6 de mayo, cuyo tenor, según la demanda, presumiblemente, habría infringido el nombramiento del señor vicepresidente segundo como miembro de la Comisión Delegada del Gobierno para Asuntos de Inteligencia. Además, hay una total y absoluta omisión de toda justificación de la conexión entre dicha disposición final segunda, y la extraordinaria y urgente necesidad que da lugar al real decreto-ley y, por lo demás, el resto de medidas de corte social y económico adoptadas en el mismo para hacer frente a dicha necesidad.</w:t>
      </w:r>
    </w:p>
    <w:p w:rsidR="005728DD" w:rsidRDefault="005728DD" w:rsidP="005728DD">
      <w:pPr>
        <w:pStyle w:val="TextoNormal"/>
      </w:pPr>
    </w:p>
    <w:p w:rsidR="005728DD" w:rsidRDefault="005728DD" w:rsidP="005728DD">
      <w:pPr>
        <w:pStyle w:val="TextoNormal"/>
      </w:pPr>
      <w:r>
        <w:t>Se concluye que la disposición final segunda ha vulnerado el principio de seguridad jurídica (art. 9.3 CE) así como la norma rectora del real decreto-ley (artículo 86.1 CE) como norma de contenido constitucionalmente delimitado.</w:t>
      </w:r>
    </w:p>
    <w:p w:rsidR="005728DD" w:rsidRDefault="005728DD" w:rsidP="005728DD">
      <w:pPr>
        <w:pStyle w:val="TextoNormal"/>
      </w:pPr>
    </w:p>
    <w:p w:rsidR="005728DD" w:rsidRDefault="005728DD" w:rsidP="005728DD">
      <w:pPr>
        <w:pStyle w:val="TextoNormal"/>
      </w:pPr>
      <w:r w:rsidRPr="005728DD">
        <w:rPr>
          <w:rStyle w:val="NumeroAFNegritaCaracter"/>
        </w:rPr>
        <w:t>2</w:t>
      </w:r>
      <w:r>
        <w:t>. Por providencia de 6 de mayo de 2020, el Pleno del Tribunal, a propuesta de la Sección Segunda, acordó admitir a trámite el recurso de inconstitucionalidad, dar traslado de la demanda y documentos presentados al Congreso de los Diputados y al Senado, por conducto de sus presidentes, y al Gobierno, a través del ministro de Justicia, al objeto de que en plazo de quince días pudieran personarse en el proceso y formular las alegaciones que estimaren convenientes, y ordenar la publicación de la incoación del recurso en el “Boletín Oficial del Estado”.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3</w:t>
      </w:r>
      <w:r>
        <w:t>. En escrito que tuvo entrada en este tribunal el día 21 de mayo de 2020, la presidenta del Senado comunicó el acuerdo de la mesa en orden a que se diera por personada a la cámara en el procedimiento y por ofrecida su colaboración a los efectos del artículo 88.1 de la Ley Orgánica del Tribunal Constitucional (LOTC).</w:t>
      </w:r>
    </w:p>
    <w:p w:rsidR="005728DD" w:rsidRDefault="005728DD" w:rsidP="005728DD">
      <w:pPr>
        <w:pStyle w:val="TextoNormal"/>
      </w:pPr>
    </w:p>
    <w:p w:rsidR="005728DD" w:rsidRDefault="005728DD" w:rsidP="005728DD">
      <w:pPr>
        <w:pStyle w:val="TextoNormal"/>
      </w:pPr>
      <w:r w:rsidRPr="005728DD">
        <w:rPr>
          <w:rStyle w:val="NumeroAFNegritaCaracter"/>
        </w:rPr>
        <w:t>4</w:t>
      </w:r>
      <w:r>
        <w:t>. En escrito registrado el 12 de junio de 2020, la presidenta del Congreso de los Diputados comunicó el acuerdo de la mesa en orden a que se diera por personada a la cámara en el procedimiento y por ofrecida su colaboración a los efectos del artículo 88.1 LOTC.</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que tuvo entrada en el Tribunal el día 19 de junio de 2020, el abogado del Estado se personó en el procedimiento en nombre del Gobierno, y solicitó prórroga para formular alegaciones, habida cuenta del número de asuntos pendientes ante dicha abogacía. Por diligencia de ordenación de 22 de junio se tuvo por personado al abogado del Estado en la representación que legalmente ostenta y se prorrogó en ocho días más el plazo concedido por providencia de 6 de mayo de 2020, a contar desde el siguiente al de expiración del ordinario.</w:t>
      </w:r>
    </w:p>
    <w:p w:rsidR="005728DD" w:rsidRDefault="005728DD" w:rsidP="005728DD">
      <w:pPr>
        <w:pStyle w:val="TextoNormal"/>
      </w:pPr>
    </w:p>
    <w:p w:rsidR="005728DD" w:rsidRDefault="005728DD" w:rsidP="005728DD">
      <w:pPr>
        <w:pStyle w:val="TextoNormal"/>
      </w:pPr>
      <w:r w:rsidRPr="005728DD">
        <w:rPr>
          <w:rStyle w:val="NumeroAFNegritaCaracter"/>
        </w:rPr>
        <w:t>6</w:t>
      </w:r>
      <w:r>
        <w:t>. En fecha 6 de julio de 2020, presentó sus alegaciones la abogacía del Estado. Tras una síntesis de lo expuesto en la demanda, y una extensa referencia a la doctrina constitucional sobre el presupuesto habilitante de la extraordinaria y urgente necesidad contemplado en el artículo 86.1 CE, se descarta la pretensión adicional del recurso de inconstitucionalidad de invalidez de la disposición impugnada por pretendida analogía con otra categoría de leyes, como las leyes de presupuestos. Expone el abogado del Estado que el recurso intenta efectuar un paralelismo o analogía con la doctrina constitucional sobre la naturaleza de las leyes de presupuestos (art. 134 CE) y de la limitación en cuanto al alcance de dicho tipo de leyes, para su aplicación a los reales decretos-leyes. Este planteamiento ha de ser descartado puesto que el límite material del decreto-ley es el previsto en el artículo 86.1 CE (no afectar a las instituciones básicas del Estado, a los derechos, deberes y libertades regulados en el título I, al régimen de las comunidades autónomas, ni al Derecho electoral general), y fuera de esos ámbitos un decreto-ley puede abarcar cualquier materia sustantiva, no así la ley de presupuestos.</w:t>
      </w:r>
    </w:p>
    <w:p w:rsidR="005728DD" w:rsidRDefault="005728DD" w:rsidP="005728DD">
      <w:pPr>
        <w:pStyle w:val="TextoNormal"/>
      </w:pPr>
    </w:p>
    <w:p w:rsidR="005728DD" w:rsidRDefault="005728DD" w:rsidP="005728DD">
      <w:pPr>
        <w:pStyle w:val="TextoNormal"/>
      </w:pPr>
      <w:r>
        <w:t>A continuación se aborda el examen del alcance de la reforma operada mediante la disposición impugnada, así como la justificación de la misma.</w:t>
      </w:r>
    </w:p>
    <w:p w:rsidR="005728DD" w:rsidRDefault="005728DD" w:rsidP="005728DD">
      <w:pPr>
        <w:pStyle w:val="TextoNormal"/>
      </w:pPr>
    </w:p>
    <w:p w:rsidR="005728DD" w:rsidRDefault="005728DD" w:rsidP="005728DD">
      <w:pPr>
        <w:pStyle w:val="TextoNormal"/>
      </w:pPr>
      <w:r>
        <w:t xml:space="preserve">En cuanto al encaje de la norma controvertida, se observa que la única modificación del artículo 6.2 de la Ley 11/2002 operada por la disposición impugnada consiste en añadir a la composición de la comisión delegada a los vicepresidentes designados por el presidente del Gobierno y al director del gabinete de la Presidencia del Gobierno. A dichos efectos se trae a colación el Real Decreto 399/2020, de 25 de febrero, aprobado apenas un mes antes que el Real Decreto-ley 8/2020, y regulador, en general, del régimen de las comisiones delegadas del Gobierno bajo la cobertura del artículo 6 de la Ley 50/1997, de 27 de noviembre, del Gobierno, que dispone explícitamente en su artículo 4.2 la presencia en esta Comisión Delegada para Asuntos de Inteligencia (aparte de otros ministros y altos cargos) de los siguientes vicepresidentes del Gobierno: vicepresidenta primera y ministra de la Presidencia, quien preside la comisión; vicepresidente segundo y ministro de derechos sociales y agenda 2030; y vicepresidenta tercera y ministra de asuntos económicos y transformación digital. </w:t>
      </w:r>
      <w:r>
        <w:lastRenderedPageBreak/>
        <w:t>Este Real Decreto 399/2020 se halla impugnado y pendiente de resolución en vía contenciosa, habiéndose solicitado por los recurrentes en ese proceso una medida cautelar de suspensión del precepto impugnado en cuanto prevé la incorporación a la comisión delegada del vicepresidente segundo y ministro de derechos sociales y agenda 2030, al entender que dicha incorporación vulneraría el artículo 6.2 de la Ley 11/2002, la cual establece una composición cerrada de aquella, con lo cual se alteraría por mero real decreto la composición de la comisión; si bien es cierto que, con posterioridad, varias modificaciones y adaptaciones de la composición de la misma comisión se han efectuado mediante real decreto, como se verá después.</w:t>
      </w:r>
    </w:p>
    <w:p w:rsidR="005728DD" w:rsidRDefault="005728DD" w:rsidP="005728DD">
      <w:pPr>
        <w:pStyle w:val="TextoNormal"/>
      </w:pPr>
    </w:p>
    <w:p w:rsidR="005728DD" w:rsidRDefault="005728DD" w:rsidP="005728DD">
      <w:pPr>
        <w:pStyle w:val="TextoNormal"/>
      </w:pPr>
      <w:r>
        <w:t>Señala el abogado del Estado que la argumentación de los recurrentes según la cual la norma estaría animada por una razón de orden político, como sería “blindar” el nombramiento del vicepresidente segundo como miembro de la comisión, constituye la deducción de una intencionalidad política que no se desprende de modo explícito del texto literal de la norma impugnada, por lo cual no se considerará en esta contestación al recurso, en donde se analizarán solo las objeciones planteadas por el recurso respecto del carácter urgente de la norma.</w:t>
      </w:r>
    </w:p>
    <w:p w:rsidR="005728DD" w:rsidRDefault="005728DD" w:rsidP="005728DD">
      <w:pPr>
        <w:pStyle w:val="TextoNormal"/>
      </w:pPr>
    </w:p>
    <w:p w:rsidR="005728DD" w:rsidRDefault="005728DD" w:rsidP="005728DD">
      <w:pPr>
        <w:pStyle w:val="TextoNormal"/>
      </w:pPr>
      <w:r>
        <w:t xml:space="preserve">En cuanto al requisito de la extraordinaria y urgente necesidad, se señala en la demanda que su justificación, conforme a la jurisprudencia constitucional, no puede ser meramente ritual o genérica, como sería, en el caso presente, la situación de pandemia que padece España y la necesidad, de acuerdo con el </w:t>
      </w:r>
      <w:r w:rsidRPr="005728DD">
        <w:rPr>
          <w:i/>
        </w:rPr>
        <w:t>nomen</w:t>
      </w:r>
      <w:r>
        <w:t xml:space="preserve"> del propio real decreto-ley, de adoptar medidas en el orden económico, cuando nos hallamos ante un precepto que, sin otra explicación, dispone una simple alteración en la composición de un órgano colegiado. Según esa jurisprudencia, habría de ofrecerse efectivamente una razón concreta, haciendo patente la relación directa de la medida adoptada y su estricta necesidad como medio imprescindible para resolver con la mayor inmediatez y celeridad la situación generada o para coadyuvar decisivamente a ello. Añade el recurso que esta relación de instrumentalidad no se formula de manera específica y concreta, y nada justificaría la extrema urgencia de que formen parte de la comisión dos vicepresidentes que eventualmente puedan designarse por el presidente del Gobierno, cuando ya, conforme al ordenamiento vigente, formaban parte de la comisión tres vicepresidentes del Gobierno (Real Decreto 399/2020).</w:t>
      </w:r>
    </w:p>
    <w:p w:rsidR="005728DD" w:rsidRDefault="005728DD" w:rsidP="005728DD">
      <w:pPr>
        <w:pStyle w:val="TextoNormal"/>
      </w:pPr>
    </w:p>
    <w:p w:rsidR="005728DD" w:rsidRDefault="005728DD" w:rsidP="005728DD">
      <w:pPr>
        <w:pStyle w:val="TextoNormal"/>
      </w:pPr>
      <w:r>
        <w:t>Frente a esta alegación, entiende la abogacía del Estado que la disposición final segunda que se impugna, podría entenderse justificada formalmente en la necesidad de una norma con rango de ley para llevar a cabo la modificación de la composición de la comisión, en la medida en que el artículo 6.2 de la Ley 11/2002 establecía una composición cerrada de esta comisión, siendo esta ley una ley especial en comparación con la Ley 50/1997, del Gobierno, cuyo artículo 6.1 dispone que la creación, modificación y supresión de las comisiones delegadas será acordada por el Consejo de Ministros mediante real decreto, a propuesta del presidente del Gobierno, prevaleciendo el régimen contemplado en la Ley 11/2002 y en concreto la composición de la comisión según su artículo 6.2.</w:t>
      </w:r>
    </w:p>
    <w:p w:rsidR="005728DD" w:rsidRDefault="005728DD" w:rsidP="005728DD">
      <w:pPr>
        <w:pStyle w:val="TextoNormal"/>
      </w:pPr>
    </w:p>
    <w:p w:rsidR="005728DD" w:rsidRDefault="005728DD" w:rsidP="005728DD">
      <w:pPr>
        <w:pStyle w:val="TextoNormal"/>
      </w:pPr>
      <w:r>
        <w:t xml:space="preserve">En todo caso, y al margen de esta posible justificación acerca del rango formal necesario de la norma introducida, la tesis que defiende el recurso es que el precepto carece de explicación en cuanto a la razón por la que la composición originaria que contemplaba aquel artículo 6.2 de la Ley 11/2002 no servía supuestamente para que la comisión delegada cumpliera sus funciones propias; y ello con tal gravedad e inmediatez que resultara preciso, para </w:t>
      </w:r>
      <w:r>
        <w:lastRenderedPageBreak/>
        <w:t>su solución, alterar la composición del órgano mediante la aprobación de una legislación de urgencia.</w:t>
      </w:r>
    </w:p>
    <w:p w:rsidR="005728DD" w:rsidRDefault="005728DD" w:rsidP="005728DD">
      <w:pPr>
        <w:pStyle w:val="TextoNormal"/>
      </w:pPr>
    </w:p>
    <w:p w:rsidR="005728DD" w:rsidRDefault="005728DD" w:rsidP="005728DD">
      <w:pPr>
        <w:pStyle w:val="TextoNormal"/>
      </w:pPr>
      <w:r>
        <w:t>El recurso también argumenta la falta de conexión de sentido entre la medida concreta y la situación de urgencia o de exigencia de inmediatez en su solución. Señala el abogado del Estado que las consecuencias jurídicas accesorias, que integrasen normativamente de modo complementario el marco regulador, esto es, el régimen jurídico derivado de la propia eficacia restauradora del decreto-ley, no se incluirían, por eso solo al menos, en la justificación que fundamentara la aprobación del real decreto-ley, si a la vez no se hallare cumplida y pormenorizadamente justificada la conexión de sentido entre la extraordinaria y urgente necesidad y cada una de las consecuencias jurídico-normativas accesorias o complementarias previstas en el decreto-ley. Así, por ejemplo, se apreció por el Tribunal Constitucional la existencia de suficiente conexión de sentido en la previsión legal para que se produjese el nombramiento de vocales provisionales de la junta general de un organismo público para acometer el bloqueo en el funcionamiento de un servicio esencial (STC 103/2017, de 6 de septiembre).</w:t>
      </w:r>
    </w:p>
    <w:p w:rsidR="005728DD" w:rsidRDefault="005728DD" w:rsidP="005728DD">
      <w:pPr>
        <w:pStyle w:val="TextoNormal"/>
      </w:pPr>
    </w:p>
    <w:p w:rsidR="005728DD" w:rsidRDefault="005728DD" w:rsidP="005728DD">
      <w:pPr>
        <w:pStyle w:val="TextoNormal"/>
      </w:pPr>
      <w:r>
        <w:t>En cuanto a la justificación de la medida, señala el abogado del Estado que el análisis de la concurrencia del presupuesto habilitante no puede hacerse de manera global, mediante una invocación genérica y abstracta de los efectos beneficiosos de la eventual eficacia inmediata de la medida (STC 61/2018, de 7 de junio). Tampoco sobre la sola apreciación objetiva de la gravedad, relevancia e imprevisibilidad de la situación surgida o mediante descripciones de la perentoriedad de la necesidad acaecida, junto a la valoración de su remedio, a través de fórmulas rituales o genéricas, siendo precisa la referencia a una situación o situaciones concretas y a su conexión de sentido con el remedio normativo específico legalmente configurado al caso por el legislador de urgencia en el plano sustantivo. Tampoco es suficiente la sola referencia a la bondad o conveniencia de una retroacción en el tiempo de los efectos de las medidas. Cada una de las diferentes medidas incluidas en el correspondiente decreto-ley debe tener su justificación propia en función de su específica naturaleza en cuanto al presupuesto habilitante de la extraordinaria y urgente necesidad, sin que quepa una justificación global de la norma en su conjunto. El tribunal debe analizar no solo la eventual concurrencia de la urgencia en sí misma, sino la íntima conexión de sentido de la realidad de las circunstancias ocasionales acaecidas con la adecuación de los medios configurados para su solución, así como el que no sea posible abordar dicha situación por los medios normativos ordinarios.</w:t>
      </w:r>
    </w:p>
    <w:p w:rsidR="005728DD" w:rsidRDefault="005728DD" w:rsidP="005728DD">
      <w:pPr>
        <w:pStyle w:val="TextoNormal"/>
      </w:pPr>
    </w:p>
    <w:p w:rsidR="005728DD" w:rsidRDefault="005728DD" w:rsidP="005728DD">
      <w:pPr>
        <w:pStyle w:val="TextoNormal"/>
      </w:pPr>
      <w:r>
        <w:t>Dicho lo anterior, añade, es preciso tener en cuenta el carácter discrecional de la valoración por parte del Gobierno de la razón de extraordinaria y urgente necesidad, sin que ello pueda suponer una cláusula vacía de contenido. El que realiza el Gobierno es siempre un juicio político, pues es solo dicho órgano el que diseña, por la simple razón de su perspectiva única o privilegiada, desde su posición institucional, los objetivos precisos y convenientes para la gobernación del país.</w:t>
      </w:r>
    </w:p>
    <w:p w:rsidR="005728DD" w:rsidRDefault="005728DD" w:rsidP="005728DD">
      <w:pPr>
        <w:pStyle w:val="TextoNormal"/>
      </w:pPr>
    </w:p>
    <w:p w:rsidR="005728DD" w:rsidRDefault="005728DD" w:rsidP="005728DD">
      <w:pPr>
        <w:pStyle w:val="TextoNormal"/>
      </w:pPr>
      <w:r>
        <w:t>Señalado lo anterior, y en contestación a los argumentos expuestos en la demanda, se afirma lo siguiente:</w:t>
      </w:r>
    </w:p>
    <w:p w:rsidR="005728DD" w:rsidRDefault="005728DD" w:rsidP="005728DD">
      <w:pPr>
        <w:pStyle w:val="TextoNormal"/>
      </w:pPr>
    </w:p>
    <w:p w:rsidR="005728DD" w:rsidRDefault="005728DD" w:rsidP="005728DD">
      <w:pPr>
        <w:pStyle w:val="TextoNormal"/>
      </w:pPr>
      <w:r>
        <w:t xml:space="preserve">(i) Es cierto que la justificación contenida en el preámbulo del real decreto-ley no menciona expresamente los intereses sanitarios, pero no habría que olvidar que el Covid-19 ha </w:t>
      </w:r>
      <w:r>
        <w:lastRenderedPageBreak/>
        <w:t>afectado de manera muy sensible al ámbito económico y que la actividad de cooperación y colaboración de España con organismos internacionales [se cita el apartado c) del artículo 4 del Real Decreto-ley], y en concreto con la Organización Mundial de la Salud, podría en un momento dado exigir una reserva y un sigilo especiales, valorables discrecionalmente por el Gobierno, como asimismo podrían serlo las relaciones con otros países o agentes internacionales sobre esta misma materia o relacionadas con la pandemia, y la necesidad de protección de la información, si a esta a su vez se le diera o se le hubiera dado legalmente el carácter de clasificada como secreta o como reservada con arreglo a la Ley de secretos oficiales, por razones que solo el Gobierno conocería.</w:t>
      </w:r>
    </w:p>
    <w:p w:rsidR="005728DD" w:rsidRDefault="005728DD" w:rsidP="005728DD">
      <w:pPr>
        <w:pStyle w:val="TextoNormal"/>
      </w:pPr>
    </w:p>
    <w:p w:rsidR="005728DD" w:rsidRDefault="005728DD" w:rsidP="005728DD">
      <w:pPr>
        <w:pStyle w:val="TextoNormal"/>
      </w:pPr>
      <w:r>
        <w:t>(ii) Ahora bien, la razón o justificación (al margen de cuáles hubieran sido las “intenciones” del legislador) consistiría más bien, vista la sucesión de normas que han regulado la composición de la comisión, en devolver la participación en ella al jefe del gabinete de la Presidencia del Gobierno, alto cargo que siempre formó parte de la comisión, con independencia del signo político del Gobierno de turno y que, sin embargo, no aparecía en la remodelación operada por el artículo 6.2 de la Ley 11/2002. Cita al respecto el abogado del Estado, en primer lugar, el Real Decreto 639/2009, de 17 de abril, sobre comisiones delegadas del Gobierno (dictado en aplicación o ejecución del artículo 6.1 de la Ley 50/1997, del Gobierno), cuyo artículo 2 establecía la integración en la comisión que nos ocupa (denominada entonces Comisión Delegada del Gobierno sobre Situaciones de Crisis) del director del gabinete de la Presidencia del Gobierno; en segundo lugar, el artículo 2 del Real Decreto 1331/2010, de 22 de octubre, que dispuso lo propio para la misma comisión delegada para asuntos de crisis; en tercer lugar, los Reales Decretos 1025 y 1886, de 11 de julio y de 30 de diciembre de 2011, respectivamente, relativos ya a la denominada comisión delegada de asuntos de inteligencia, en los que se dispuso (artículo 4 de cada uno de estos decretos) que formaría parte de la misma el mentado director del gabinete; y, en fin, el Real Decreto 385/2013, de 31 de mayo, que modificó el Real Decreto 1886/2011 en relación con el Centro Nacional de Inteligencia (art. 1.1), que mantuvo la composición de la comisión delegada en cuanto a la integración en ella del jefe del gabinete de la Presidencia del Gobierno.</w:t>
      </w:r>
    </w:p>
    <w:p w:rsidR="005728DD" w:rsidRDefault="005728DD" w:rsidP="005728DD">
      <w:pPr>
        <w:pStyle w:val="TextoNormal"/>
      </w:pPr>
    </w:p>
    <w:p w:rsidR="005728DD" w:rsidRDefault="005728DD" w:rsidP="005728DD">
      <w:pPr>
        <w:pStyle w:val="TextoNormal"/>
      </w:pPr>
      <w:r>
        <w:t>Con independencia, pues, del rango formal de ley de la norma anterior a la promulgación de todos estos reales decretos (artículo 6.2 de la Ley 11/2002), y de la cuestión (ajena a este proceso constitucional) de si era posible o no alterar por decreto la composición del órgano colegiado de que se trata sobre la base de lo dispuesto en el artículo 6.1 de la Ley 50/1997, del Gobierno, las necesidades organizativas de la Presidencia del Gobierno (como dice el preámbulo del Real Decreto-ley 8/2020) consistían en introducir al alto cargo referido en la Comisión Delegada para Asuntos de Inteligencia, respecto del que existe o existió la idea compartida por todos los gobiernos, fueren del signo que fueren, de que debía dicho alto cargo (probablemente por la proximidad y primera o inmediata confianza del Presidente de turno) formar siempre parte de la misma.</w:t>
      </w:r>
    </w:p>
    <w:p w:rsidR="005728DD" w:rsidRDefault="005728DD" w:rsidP="005728DD">
      <w:pPr>
        <w:pStyle w:val="TextoNormal"/>
      </w:pPr>
    </w:p>
    <w:p w:rsidR="005728DD" w:rsidRDefault="005728DD" w:rsidP="005728DD">
      <w:pPr>
        <w:pStyle w:val="TextoNormal"/>
      </w:pPr>
      <w:r>
        <w:t xml:space="preserve">En contra de la presunción de los recurrentes, no es el supuesto “blindaje” del vicepresidente segundo del Gobierno como componente de la comisión lo que habría regido la aprobación de la norma. Lo que sucede es que el artículo 6.2 de la Ley 11/2002 no incluyó en su redacción originaria al director o jefe del gabinete del presidente del Gobierno y que los decretos posteriores mencionados sí incluían, todos ellos, al alto cargo de confianza, cuya “preterición” se quiso corregir mediante la disposición impugnada. Y a fin de evitar problemas de índole jurídica, de legalidad ordinaria, relativos a la discusión o inseguridad acerca </w:t>
      </w:r>
      <w:r>
        <w:lastRenderedPageBreak/>
        <w:t>del rango de la norma, se arbitró la incorporación a la comisión de dicho alto cargo mediante esta norma con rango de ley. El alto cargo que así se incluía en la comisión no era por así decir opcional, sino el que por su posición institucional dentro de la estructura de la administración del Estado, y del organigrama del Gobierno, supondría ser el cargo de más confianza de su presidente. Y, como elemento interpretativo añadido, dentro de las específicas circunstancias en las que se encontraba el país al aprobarse el Real Decreto-ley 8/2020, la necesidad de introducir en la composición de la comisión al alto cargo que siempre se mantuvo en todas las remodelaciones que sobre la base del artículo 6.1 de la Ley 50/1997 tuvieron lugar respecto de la composición de la misma. De ahí las necesidades organizativas de la Presidencia del Gobierno a las que se refiere el preámbulo del Real Decreto-ley 8/2020 y la perentoriedad en asegurar así, por razones de confianza inherentes al cargo, la integración del director del gabinete de la Presidencia del Gobierno, como ya era habitual y constante en las remodelaciones normativas anteriores.</w:t>
      </w:r>
    </w:p>
    <w:p w:rsidR="005728DD" w:rsidRDefault="005728DD" w:rsidP="005728DD">
      <w:pPr>
        <w:pStyle w:val="TextoNormal"/>
      </w:pPr>
    </w:p>
    <w:p w:rsidR="005728DD" w:rsidRDefault="005728DD" w:rsidP="005728DD">
      <w:pPr>
        <w:pStyle w:val="TextoNormal"/>
      </w:pPr>
      <w:r>
        <w:t>Se concluyó con la súplica de que se desestimara el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7</w:t>
      </w:r>
      <w:r>
        <w:t>. Por providencia de uno de junio de dos mil veintiuno, se señaló para deliberación y votación de la presente sentencia el día tres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La presente sentencia resuelve el recurso de inconstitucionalidad formulado por más de cincuenta senadores del Grupo Parlamentario Popular en el Senado, contra la disposición final segunda del Real Decreto-ley 8/2020, de 17 de marzo, de medidas urgentes extraordinarias para hacer frente al impacto económico y social del COVID-19, que establece lo siguiente:</w:t>
      </w:r>
    </w:p>
    <w:p w:rsidR="005728DD" w:rsidRDefault="005728DD" w:rsidP="005728DD">
      <w:pPr>
        <w:pStyle w:val="TextoNormal"/>
      </w:pPr>
    </w:p>
    <w:p w:rsidR="005728DD" w:rsidRDefault="005728DD" w:rsidP="005728DD">
      <w:pPr>
        <w:pStyle w:val="TextoNormal"/>
      </w:pPr>
      <w:r>
        <w:t>“Disposición final segunda. Modificación de la Ley 11/2002, de 6 de mayo, reguladora del Centro Nacional de Inteligencia.</w:t>
      </w:r>
    </w:p>
    <w:p w:rsidR="005728DD" w:rsidRDefault="005728DD" w:rsidP="005728DD">
      <w:pPr>
        <w:pStyle w:val="TextoNormal"/>
      </w:pPr>
    </w:p>
    <w:p w:rsidR="005728DD" w:rsidRDefault="005728DD" w:rsidP="005728DD">
      <w:pPr>
        <w:pStyle w:val="TextoNormal"/>
      </w:pPr>
      <w:r>
        <w:t>Se modifica el apartado 2 del artículo 6 de la Ley 11/2002, de 6 de mayo, reguladora del Centro Nacional de Inteligencia, con la siguiente redacción:</w:t>
      </w:r>
    </w:p>
    <w:p w:rsidR="005728DD" w:rsidRDefault="005728DD" w:rsidP="005728DD">
      <w:pPr>
        <w:pStyle w:val="TextoNormal"/>
      </w:pPr>
    </w:p>
    <w:p w:rsidR="005728DD" w:rsidRDefault="005728DD" w:rsidP="005728DD">
      <w:pPr>
        <w:pStyle w:val="TextoNormal"/>
      </w:pPr>
      <w:r>
        <w:t>2. La Comisión estará presidida por el vicepresidente del Gobierno que designe su presidente, e integrada por los vicepresidentes designados por el presidente del Gobierno, las ministras de Asuntos Exteriores, Unión Europea y Cooperación, y de Defensa, el ministro del Interior y la ministra de Asuntos Económicos y Transformación Digital, así como por el director del gabinete de la Presidencia del Gobierno, el secretario de Estado de Seguridad y la secretaria de Estado Directora del Centro Nacional de Inteligencia, que actuará como secretaria”.</w:t>
      </w:r>
    </w:p>
    <w:p w:rsidR="005728DD" w:rsidRDefault="005728DD" w:rsidP="005728DD">
      <w:pPr>
        <w:pStyle w:val="TextoNormal"/>
      </w:pPr>
    </w:p>
    <w:p w:rsidR="005728DD" w:rsidRDefault="005728DD" w:rsidP="005728DD">
      <w:pPr>
        <w:pStyle w:val="TextoNormal"/>
      </w:pPr>
      <w:r>
        <w:t>La impugnación se fundamenta en que esta disposición final segunda se habría adoptado sin la concurrencia del presupuesto habilitante que al efecto prescribe el artículo 86.1 CE y que no existiría ninguna conexión de sentido entre la disposición impugnada y el Real Decreto-ley 8/2020. Asimismo, la demanda aduce la vulneración del artículo 9.3 CE.</w:t>
      </w:r>
    </w:p>
    <w:p w:rsidR="005728DD" w:rsidRDefault="005728DD" w:rsidP="005728DD">
      <w:pPr>
        <w:pStyle w:val="TextoNormal"/>
      </w:pPr>
    </w:p>
    <w:p w:rsidR="005728DD" w:rsidRDefault="005728DD" w:rsidP="005728DD">
      <w:pPr>
        <w:pStyle w:val="TextoNormal"/>
      </w:pPr>
      <w:r>
        <w:lastRenderedPageBreak/>
        <w:t>La abogacía del Estado, en los términos en los que se ha dejado constancia en los antecedentes de esta sentencia, solicita la desestimación del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2</w:t>
      </w:r>
      <w:r>
        <w:t>. La disposición final segunda del Real Decreto-Ley 8/2020, de 17 de marzo, de medidas urgentes extraordinarias para hacer frente al impacto económico y social del COVID-19, ha sido ya objeto de examen en la STC 110/2021, de 13 de mayo, resolutoria del recurso de inconstitucionalidad núm. 1813-2020, interpuesto por más de cincuenta diputados del Grupo Parlamentario Vox en el Congreso. La indicada sentencia cobra relevancia en este proceso ya que el presente recurso impugna la misma disposición final segunda del Real Decreto-Ley 8/2020, de 17 de marzo, que la STC 110/2021 ha declarado ya inconstitucional y nula.</w:t>
      </w:r>
    </w:p>
    <w:p w:rsidR="005728DD" w:rsidRDefault="005728DD" w:rsidP="005728DD">
      <w:pPr>
        <w:pStyle w:val="TextoNormal"/>
      </w:pPr>
    </w:p>
    <w:p w:rsidR="005728DD" w:rsidRDefault="005728DD" w:rsidP="005728DD">
      <w:pPr>
        <w:pStyle w:val="TextoNormal"/>
      </w:pPr>
      <w:r>
        <w:t>De acuerdo con la consolidada doctrina constitucional [por todas, STC 139/2011, de 14 de septiembre, FJ 3 b)], la expulsión del ordenamiento jurídico de esta disposición final segunda del Real Decreto-ley 8/2020, de 17 de marzo, por la STC 110/2021 determina la pérdida sobrevenida de objeto del presente recurso de inconstitucionalidad. Esta desaparición sobrevenida del objeto, aunque no está contemplada en el artículo 86.1 LOTC, es una de las causas de terminación extraordinaria de los distintos procesos constitucionales, incluidos los recursos de inconstitucionalidad (ATC 114/2017, de 18 de julio, FJ único).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r>
        <w:t>Declarar la extinción, por pérdida sobrevenida de objeto, del presente recurso de inconstitucionalidad interpuesto por más de cincuenta senadores del Grupo Parlamentario Popular en el Senado contra la disposición final segunda del Real Decreto-ley 8/2020, de 17 de marzo, de medidas urgentes extraordinarias para hacer frente al impacto económico y social del COVID-19.</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junio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Cándido Conde-Pumpido Tourón respecto de la sentencia dictada en el recurso de inconstitucionalidad núm. 2035-2020</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inconstitucionalidad núm. 2035-2020.</w:t>
      </w:r>
    </w:p>
    <w:p w:rsidR="005728DD" w:rsidRDefault="005728DD" w:rsidP="005728DD">
      <w:pPr>
        <w:pStyle w:val="TextoNormal"/>
      </w:pPr>
    </w:p>
    <w:p w:rsidR="005728DD" w:rsidRDefault="005728DD" w:rsidP="005728DD">
      <w:pPr>
        <w:pStyle w:val="TextoNormal"/>
      </w:pPr>
      <w:r>
        <w:t xml:space="preserve">Las razones de mi discrepancia son las mismas que tuve ocasión de defender en el voto particular formulado a la STC 110/2021, de 13 de mayo, y que resolvió la misma cuestión que se plantea de nuevo ahora, por lo que en el presente voto me remito íntegramente a lo allí sostenido y a la conclusión que del mismo cabía extraer: el principio de separación de poderes establecido en nuestra Constitución supone que debe ser el Gobierno el que tome </w:t>
      </w:r>
      <w:r>
        <w:lastRenderedPageBreak/>
        <w:t>las decisiones urgentes sobre los reajustes administrativos necesarios para su constitución y organización, no pudiéndole ser tales decisiones totalmente sustraídas sin poner en cuestión la propia separación de poderes y la atribución constitucional de potestades y funciones.</w:t>
      </w:r>
    </w:p>
    <w:p w:rsidR="005728DD" w:rsidRDefault="005728DD" w:rsidP="005728DD">
      <w:pPr>
        <w:pStyle w:val="TextoNormal"/>
      </w:pPr>
    </w:p>
    <w:p w:rsidR="005728DD" w:rsidRDefault="005728DD" w:rsidP="005728DD">
      <w:pPr>
        <w:pStyle w:val="TextoNormal"/>
      </w:pPr>
      <w:r>
        <w:t xml:space="preserve">No obstante lo anterior, me parece necesario profundizar en una perspectiva que tiene asimismo la máxima relevancia como es la relativa a que la opinión de la mayoría recogida en la STC 110/2021, de 13 de mayo, y ahora ratificada en la sentencia de la que nuevamente discrepo, ha incurrido en un inmotivado </w:t>
      </w:r>
      <w:r w:rsidRPr="005728DD">
        <w:rPr>
          <w:i/>
        </w:rPr>
        <w:t>overruling</w:t>
      </w:r>
      <w:r>
        <w:t xml:space="preserve"> respecto de lo que constituía la doctrina previa de este tribunal en la materia.</w:t>
      </w:r>
    </w:p>
    <w:p w:rsidR="005728DD" w:rsidRDefault="005728DD" w:rsidP="005728DD">
      <w:pPr>
        <w:pStyle w:val="TextoNormal"/>
      </w:pPr>
    </w:p>
    <w:p w:rsidR="005728DD" w:rsidRDefault="005728DD" w:rsidP="005728DD">
      <w:pPr>
        <w:pStyle w:val="TextoNormal"/>
      </w:pPr>
      <w:r>
        <w:t>En efecto, este tribunal había tenido ya la ocasión de pronunciarse en relación con la concurrencia del presupuesto de hecho habilitante de un real decreto-ley mediante el que se procedía a ordenar la composición de un Gobierno, a establecer sus departamentos ministeriales, y a la adopción de las medidas de reorganización administrativas necesarias para ello.</w:t>
      </w:r>
    </w:p>
    <w:p w:rsidR="005728DD" w:rsidRDefault="005728DD" w:rsidP="005728DD">
      <w:pPr>
        <w:pStyle w:val="TextoNormal"/>
      </w:pPr>
    </w:p>
    <w:p w:rsidR="005728DD" w:rsidRDefault="005728DD" w:rsidP="005728DD">
      <w:pPr>
        <w:pStyle w:val="TextoNormal"/>
      </w:pPr>
      <w:r>
        <w:t>En concreto, la STC 60/1986, de 20 de mayo, resolvió una impugnación planteada frente al Real Decreto-ley 22/1982, de 7 de diciembre, sobre medidas urgentes de reforma administrativa, adoptado por el nuevo Gobierno surgido de las elecciones generales del 28 de octubre de 1982.</w:t>
      </w:r>
    </w:p>
    <w:p w:rsidR="005728DD" w:rsidRDefault="005728DD" w:rsidP="005728DD">
      <w:pPr>
        <w:pStyle w:val="TextoNormal"/>
      </w:pPr>
    </w:p>
    <w:p w:rsidR="005728DD" w:rsidRDefault="005728DD" w:rsidP="005728DD">
      <w:pPr>
        <w:pStyle w:val="TextoNormal"/>
      </w:pPr>
      <w:r>
        <w:t>La referida STC 60/1986, de la que fue ponente el magistrado Jesús Leguina, y que era conocida por aquellos que han apoyado la STC 110/2021, de 13 de mayo, que la ha incluido en su texto, fue dictada por unanimidad por el Pleno, y se puede considerar que constituía la doctrina tradicional de este tribunal sobre la cuestión a la que debíamos dar respuesta en los dos recursos de inconstitucionalidad planteados frente a la disposición final segunda del Real Decreto-ley 8/2020, de 17 de marzo.</w:t>
      </w:r>
    </w:p>
    <w:p w:rsidR="005728DD" w:rsidRDefault="005728DD" w:rsidP="005728DD">
      <w:pPr>
        <w:pStyle w:val="TextoNormal"/>
      </w:pPr>
    </w:p>
    <w:p w:rsidR="005728DD" w:rsidRDefault="005728DD" w:rsidP="005728DD">
      <w:pPr>
        <w:pStyle w:val="TextoNormal"/>
      </w:pPr>
      <w:r>
        <w:t>En efecto, el precedente Real Decreto-ley 22/1982, de 7 de diciembre, también se impugnó, entre otros motivos, por considerarse que no cumplía el presupuesto de hecho habilitante de la extraordinaria y urgente necesidad exigido por el art. 86.1 de la Constitución.</w:t>
      </w:r>
    </w:p>
    <w:p w:rsidR="005728DD" w:rsidRDefault="005728DD" w:rsidP="005728DD">
      <w:pPr>
        <w:pStyle w:val="TextoNormal"/>
      </w:pPr>
    </w:p>
    <w:p w:rsidR="005728DD" w:rsidRDefault="005728DD" w:rsidP="005728DD">
      <w:pPr>
        <w:pStyle w:val="TextoNormal"/>
      </w:pPr>
      <w:r>
        <w:t>Las razones dadas entonces por el preámbulo de la norma impugnada de 1982 fueron que «la reforma administrativa que constituye uno de los objetivos fundamentales de la política de Gobierno requiere la adopción de una serie de medidas urgentes, destinadas a hacer posible el ordenado desarrollo del programa que en las pasadas elecciones ha obtenido el voto mayoritariamente favorable de los ciudadanos». Por su parte, el ministro de la Presidencia en el trámite de convalidación se limitó a señalar, por un lado, que “las razones de urgente necesidad que reclama la Constitución, por su obviedad, al tratarse del primer Gobierno nacido después de las elecciones del 28 de octubre, no necesitan una mayor justificación”, y, por otro, que “razones de urgencia derivada del cambio político acontecido a raíz de las elecciones del 28 de octubre han motivado la promulgación de este Decreto-ley” (“Diario de Sesiones del Congreso de los Diputados” núm. 6, de 28 de diciembre de 1982, págs. 159 y 160).</w:t>
      </w:r>
    </w:p>
    <w:p w:rsidR="005728DD" w:rsidRDefault="005728DD" w:rsidP="005728DD">
      <w:pPr>
        <w:pStyle w:val="TextoNormal"/>
      </w:pPr>
    </w:p>
    <w:p w:rsidR="005728DD" w:rsidRDefault="005728DD" w:rsidP="005728DD">
      <w:pPr>
        <w:pStyle w:val="TextoNormal"/>
      </w:pPr>
      <w:r>
        <w:t xml:space="preserve">Razones muy parecidas son las que se han dado por el actual Gobierno para justificar la extraordinaria y urgente necesidad de la disposición final segunda del Real Decreto-ley 8/2020, de 17 de marzo, pues en su preámbulo se afirma que las modificaciones de la Ley </w:t>
      </w:r>
      <w:r>
        <w:lastRenderedPageBreak/>
        <w:t>reguladora del Centro Nacional de Inteligencia no pueden ser aprobadas mediante el procedimiento ordinario de tramitación parlamentaria, “pues ello implicaría que, hasta la aprobación de tal reforma legislativa, la estructura de órganos colegiados del Gobierno no estaría en condiciones de desarrollar sus funciones con arreglo a las necesidades organizativas apreciadas en el momento actual por la Presidencia del Gobierno, motivo que justifica la extraordinaria y urgente necesidad de la situación y la conexión con ella de las medidas adoptadas”.</w:t>
      </w:r>
    </w:p>
    <w:p w:rsidR="005728DD" w:rsidRDefault="005728DD" w:rsidP="005728DD">
      <w:pPr>
        <w:pStyle w:val="TextoNormal"/>
      </w:pPr>
    </w:p>
    <w:p w:rsidR="005728DD" w:rsidRDefault="005728DD" w:rsidP="005728DD">
      <w:pPr>
        <w:pStyle w:val="TextoNormal"/>
      </w:pPr>
      <w:r>
        <w:t>En este punto no es aceptable la afirmación de la STC 110/2021, de 13 de mayo, de la que discrepo, de que no existía razón jurídico-constitucional alguna para que en el cuerpo unitario del real decreto-ley se injertase una regla que respondía a una supuesta circunstancia de extraordinaria y urgente necesidad diferente de la que anima y da sentido a ese texto normativo en su conjunto, pues con carácter previo este tribunal ya había aceptado la constitucionalidad de reales decretos-ley con contenidos diversos, siempre que cada uno de estos contenidos llevase aparejada su especifica justificación del presupuesto de hecho habilitante.</w:t>
      </w:r>
    </w:p>
    <w:p w:rsidR="005728DD" w:rsidRDefault="005728DD" w:rsidP="005728DD">
      <w:pPr>
        <w:pStyle w:val="TextoNormal"/>
      </w:pPr>
    </w:p>
    <w:p w:rsidR="005728DD" w:rsidRDefault="005728DD" w:rsidP="005728DD">
      <w:pPr>
        <w:pStyle w:val="TextoNormal"/>
      </w:pPr>
      <w:r>
        <w:t>Las razones dadas en 1982 y en 2020 por el autor de la norma para incluir la reorganización administrativa necesaria para la constitución del nuevo Gobierno en un real decreto-ley son exactamente las mismas, debiendo tomarse en consideración que, así como en 1982 se trató de un cambio del partido gobernante, en 2020 se trató de la conformación del primer Gobierno de coalición a nivel nacional desde la aprobación de la Constitución, lo que constituye una circunstancia extraordinaria que exige la adopción urgente de las medidas organizativas necesaria para adaptar el gobierno a su nueva composición.</w:t>
      </w:r>
    </w:p>
    <w:p w:rsidR="005728DD" w:rsidRDefault="005728DD" w:rsidP="005728DD">
      <w:pPr>
        <w:pStyle w:val="TextoNormal"/>
      </w:pPr>
    </w:p>
    <w:p w:rsidR="005728DD" w:rsidRDefault="005728DD" w:rsidP="005728DD">
      <w:pPr>
        <w:pStyle w:val="TextoNormal"/>
      </w:pPr>
      <w:r>
        <w:t>Pues bien, tiene el máximo interés examinar como la STC 60/1986 asumió tales razones en la desestimación del recurso, pues en el momento de examinar el cumplimiento del presupuesto de hecho habilitante señaló que “en este punto, hay que convenir, desde luego, que lo que legitima la adopción del Decreto-ley [...] [es], como observa acertadamente el abogado del Estado, la circunstancia concreta en que se encontraba el nuevo Gobierno ante la organización departamental existente y la razonabilidad de modificar esta sin demora por decreto-ley, en vez de mediante ley, para adecuar de modo inmediato el aparato administrativo a los nuevos objetivos de la acción gubernamental”.</w:t>
      </w:r>
    </w:p>
    <w:p w:rsidR="005728DD" w:rsidRDefault="005728DD" w:rsidP="005728DD">
      <w:pPr>
        <w:pStyle w:val="TextoNormal"/>
      </w:pPr>
    </w:p>
    <w:p w:rsidR="005728DD" w:rsidRDefault="005728DD" w:rsidP="005728DD">
      <w:pPr>
        <w:pStyle w:val="TextoNormal"/>
      </w:pPr>
      <w:r>
        <w:t>Para la STC 60/1986 “puede apreciarse razonablemente la concurrencia de la extraordinaria y urgente necesidad en la adopción de unas medidas de reorganización administrativa tras la toma de posesión de un nuevo Gobierno apoyado por una mayoría parlamentaria distinta de la del Gobierno anterior a las elecciones legislativas de las que aquel trae causa, Gobierno que trata así con mayor o menor acierto, aspecto irrelevante en este momento de afrontar una situación que es nueva, en la medida en que el grupo parlamentario que lo sostiene se hallaba con anterioridad en la oposición”.</w:t>
      </w:r>
    </w:p>
    <w:p w:rsidR="005728DD" w:rsidRDefault="005728DD" w:rsidP="005728DD">
      <w:pPr>
        <w:pStyle w:val="TextoNormal"/>
      </w:pPr>
    </w:p>
    <w:p w:rsidR="005728DD" w:rsidRDefault="005728DD" w:rsidP="005728DD">
      <w:pPr>
        <w:pStyle w:val="TextoNormal"/>
      </w:pPr>
      <w:r>
        <w:t>Esta doctrina constitucional sobre la idoneidad del decreto-ley para adecuar de modo inmediato el aparato administrativo a los nuevos objetivos de la acción gubernamental, es la misma doctrina con la que el actual Gobierno justificó la disposición final segunda del Real Decreto-ley 8/2020, de 17 de marzo; y la doctrina que debió ser aplicada para resolver el recurso planteado, lo que nos hubiera llevado a asumir que la necesidad política de reor</w:t>
      </w:r>
      <w:r>
        <w:lastRenderedPageBreak/>
        <w:t>denar parcialmente la composición de una comisión delegada para adaptarla a las peculiaridades de un gobierno de coalición, justificaba claramente la extraordinaria y urgente necesidad de la disposición impugnada.</w:t>
      </w:r>
    </w:p>
    <w:p w:rsidR="005728DD" w:rsidRDefault="005728DD" w:rsidP="005728DD">
      <w:pPr>
        <w:pStyle w:val="TextoNormal"/>
      </w:pPr>
    </w:p>
    <w:p w:rsidR="005728DD" w:rsidRDefault="005728DD" w:rsidP="005728DD">
      <w:pPr>
        <w:pStyle w:val="TextoNormal"/>
      </w:pPr>
      <w:r>
        <w:t xml:space="preserve">Sin embargo, la mayoría ha realizado un </w:t>
      </w:r>
      <w:r w:rsidRPr="005728DD">
        <w:rPr>
          <w:i/>
        </w:rPr>
        <w:t>overruling</w:t>
      </w:r>
      <w:r>
        <w:t xml:space="preserve"> de nuestra doctrina previa sin adoptar las mínimas cautelas que podrían justificar dicho proceder.</w:t>
      </w:r>
    </w:p>
    <w:p w:rsidR="005728DD" w:rsidRDefault="005728DD" w:rsidP="005728DD">
      <w:pPr>
        <w:pStyle w:val="TextoNormal"/>
      </w:pPr>
    </w:p>
    <w:p w:rsidR="005728DD" w:rsidRDefault="005728DD" w:rsidP="005728DD">
      <w:pPr>
        <w:pStyle w:val="TextoNormal"/>
      </w:pPr>
      <w:r>
        <w:t>En efecto, si bien es cierto que el Tribunal Constitucional únicamente se encuentra vinculado por la Constitución y por su propia Ley Orgánica, de manera que puede separarse de sus sentencias anteriores, también lo es que debe hacerlo motivando expresamente tal separación. El respeto que la doctrina previa del Tribunal se merece hubiese exigido que en la STC 110/2021, de 13 de mayo, se contuviese una motivación sobre el apartamiento que se estaba produciendo de nuestra doctrina previa.</w:t>
      </w:r>
    </w:p>
    <w:p w:rsidR="005728DD" w:rsidRDefault="005728DD" w:rsidP="005728DD">
      <w:pPr>
        <w:pStyle w:val="TextoNormal"/>
      </w:pPr>
    </w:p>
    <w:p w:rsidR="005728DD" w:rsidRDefault="005728DD" w:rsidP="005728DD">
      <w:pPr>
        <w:pStyle w:val="TextoNormal"/>
      </w:pPr>
      <w:r>
        <w:t xml:space="preserve">El </w:t>
      </w:r>
      <w:r w:rsidRPr="005728DD">
        <w:rPr>
          <w:i/>
        </w:rPr>
        <w:t>overruling</w:t>
      </w:r>
      <w:r>
        <w:t xml:space="preserve"> o cambio de doctrina jurisprudencial por parte de este tribunal puede ser necesario o conveniente en ciertos casos, pero no debería ser subrepticio o encubierto, sino reconocido y expresamente justificado. En el caso actual no se han cumplido estos dos presupuestos, y se ha modificado una doctrina tradicional de este tribunal (STC 60/1986, de 13 de mayo: “puede apreciarse razonablemente la concurrencia de la extraordinaria y urgente necesidad en las medidas de reorganización administrativa tras la toma de posesión de un nuevo gobierno apoyado por una mayoría distinta de la del gobierno anterior a las elecciones legislativas de las que aquel trae causa”), establecida hace más de treinta años, en una sentencia del Pleno aprobada sin voto particular alguno y no cuestionada con posterioridad, sin reconocerse ni justificarse en absoluto dicha modificación.</w:t>
      </w:r>
    </w:p>
    <w:p w:rsidR="005728DD" w:rsidRDefault="005728DD" w:rsidP="005728DD">
      <w:pPr>
        <w:pStyle w:val="TextoNormal"/>
      </w:pPr>
    </w:p>
    <w:p w:rsidR="005728DD" w:rsidRDefault="005728DD" w:rsidP="005728DD">
      <w:pPr>
        <w:pStyle w:val="TextoNormal"/>
      </w:pPr>
      <w:r>
        <w:t>Por las razones expuestas, y con todo respeto a la sentencia mayoritaria, reitero mi oposición y ratifico el voto particular formulado en la STC 110/2021, de 13 de mayo, de la que trae causa la actual.</w:t>
      </w:r>
    </w:p>
    <w:p w:rsidR="005728DD" w:rsidRDefault="005728DD" w:rsidP="005728DD">
      <w:pPr>
        <w:pStyle w:val="TextoNormal"/>
      </w:pPr>
    </w:p>
    <w:p w:rsidR="005728DD" w:rsidRDefault="005728DD" w:rsidP="005728DD">
      <w:pPr>
        <w:pStyle w:val="TextoNormal"/>
      </w:pPr>
      <w:r>
        <w:t>Madrid, a tres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8" w:name="SENTENCIA_2021_125"/>
      <w:r>
        <w:lastRenderedPageBreak/>
        <w:t>SENTENCIA 125/2021, de 3 de junio de 2021</w:t>
      </w:r>
    </w:p>
    <w:bookmarkEnd w:id="128"/>
    <w:p w:rsidR="005728DD" w:rsidRDefault="005728DD" w:rsidP="005728DD">
      <w:pPr>
        <w:pStyle w:val="TtuloResolucin"/>
      </w:pPr>
      <w:r>
        <w:t>Pleno</w:t>
      </w:r>
    </w:p>
    <w:p w:rsidR="005728DD" w:rsidRDefault="005728DD" w:rsidP="005728DD">
      <w:pPr>
        <w:pStyle w:val="TtuloBOE"/>
      </w:pPr>
      <w:r>
        <w:t>(BOE núm. 161, de 7 de julio de 2021)</w:t>
      </w:r>
    </w:p>
    <w:p w:rsidR="005728DD" w:rsidRDefault="005728DD" w:rsidP="005728DD">
      <w:pPr>
        <w:pStyle w:val="TextoNormalCentrado"/>
      </w:pPr>
      <w:r>
        <w:t>ECLI:ES:TC:2021:125</w:t>
      </w:r>
    </w:p>
    <w:p w:rsidR="005728DD" w:rsidRDefault="005728DD" w:rsidP="005728DD">
      <w:pPr>
        <w:pStyle w:val="TextoNormalCentrado"/>
      </w:pPr>
    </w:p>
    <w:p w:rsidR="005728DD" w:rsidRDefault="005728DD" w:rsidP="005728DD">
      <w:pPr>
        <w:pStyle w:val="SntesisDescriptiva"/>
      </w:pPr>
      <w:r>
        <w:t>Recurso de inconstitucionalidad 4192-2020. Interpuesto por más de cincuenta diputados del Grupo Parlamentario Popular respecto del artículo 5 de la Ley del Parlamento de Cataluña 5/2020, de 29 de abril, de medidas fiscales, financieras, administrativas y del sector público y de creación del impuesto sobre instalaciones que inciden en el medio ambiente.</w:t>
      </w:r>
    </w:p>
    <w:p w:rsidR="005728DD" w:rsidRDefault="005728DD" w:rsidP="005728DD">
      <w:pPr>
        <w:pStyle w:val="SntesisDescriptiva"/>
      </w:pPr>
    </w:p>
    <w:p w:rsidR="005728DD" w:rsidRDefault="005728DD" w:rsidP="005728DD">
      <w:pPr>
        <w:pStyle w:val="SntesisAnaltica"/>
      </w:pPr>
      <w:r>
        <w:t>Límites de la potestad tributaria de las comunidades autónomas: constitucionalidad de la regulación del impuesto sobre estancias en establecimientos turísticos.</w:t>
      </w:r>
    </w:p>
    <w:p w:rsidR="005728DD" w:rsidRDefault="005728DD" w:rsidP="005728DD">
      <w:pPr>
        <w:pStyle w:val="SntesisAnaltica"/>
      </w:pPr>
    </w:p>
    <w:p w:rsidR="005728DD" w:rsidRDefault="005728DD" w:rsidP="005728DD">
      <w:pPr>
        <w:pStyle w:val="Extracto"/>
      </w:pPr>
      <w:r>
        <w:t>1.</w:t>
      </w:r>
      <w:r>
        <w:tab/>
        <w:t>La extensión de la inconstitucionalidad por conexión o consecuencia solo puede ejercerse por este tribunal sobre disposiciones o normas de la misma ley, a salvo de excepciones, como el caso de los textos refundidos (SSTC 11/1981 o 102/2017) [FJ 2].</w:t>
      </w:r>
    </w:p>
    <w:p w:rsidR="005728DD" w:rsidRDefault="005728DD" w:rsidP="005728DD">
      <w:pPr>
        <w:pStyle w:val="Extracto"/>
      </w:pPr>
    </w:p>
    <w:p w:rsidR="005728DD" w:rsidRDefault="005728DD" w:rsidP="005728DD">
      <w:pPr>
        <w:pStyle w:val="Extracto"/>
      </w:pPr>
      <w:r>
        <w:t>2.</w:t>
      </w:r>
      <w:r>
        <w:tab/>
        <w:t>Con las prohibiciones de equivalencia de los tributos autonómicos con los estatales y locales que establece la LOFCA, no se pretende impedir sin más la doble imposición, sino que se produzcan dobles imposiciones no coordinadas, garantizando de esta manera que el ejercicio de poder tributario por los distintos niveles territoriales sea compatible con la existencia de ‘un sistema’ tributario en los términos exigidos por el art. 31.1 CE (SSTC 19/1987 o 84/2020) [FJ 3].</w:t>
      </w:r>
    </w:p>
    <w:p w:rsidR="005728DD" w:rsidRDefault="005728DD" w:rsidP="005728DD">
      <w:pPr>
        <w:pStyle w:val="Extracto"/>
      </w:pPr>
    </w:p>
    <w:p w:rsidR="005728DD" w:rsidRDefault="005728DD" w:rsidP="005728DD">
      <w:pPr>
        <w:pStyle w:val="Extracto"/>
      </w:pPr>
      <w:r>
        <w:t>3.</w:t>
      </w:r>
      <w:r>
        <w:tab/>
        <w:t>El precepto de la LOFCA, que establece que los tributos que establezcan las comunidades autónomas no podrán recaer sobre hechos imponibles gravados por el Estado, no debe ser entendido como prohibición de “materia imponible” u “objeto del tributo”. Habida cuenta de que la realidad económica en sus diferentes manifestaciones está toda ella virtualmente cubierta por tributos estatales, ello conduciría a negar la posibilidad de que se creen nuevos tributos autonómicos (SSTC 37/1987 o 43/2019) [FJ 3].</w:t>
      </w:r>
    </w:p>
    <w:p w:rsidR="005728DD" w:rsidRDefault="005728DD" w:rsidP="005728DD">
      <w:pPr>
        <w:pStyle w:val="Extracto"/>
      </w:pPr>
    </w:p>
    <w:p w:rsidR="005728DD" w:rsidRDefault="005728DD" w:rsidP="005728DD">
      <w:pPr>
        <w:pStyle w:val="Extracto"/>
      </w:pPr>
      <w:r>
        <w:t>4.</w:t>
      </w:r>
      <w:r>
        <w:tab/>
        <w:t>Para apreciar la coincidencia o no entre hechos imponibles, se exige atender a todos los elementos esenciales de los tributos que se comparan (hecho imponible, sujetos pasivos, exenciones y supuestos de no sujeción, devengo, eventual periodo impositivo, base imponible, tipo de gravamen, cuota tributaria, y finalidad fiscal o extrafiscal) con el objeto de determinar, no solo la riqueza gravada o materia imponible, sino la manera en que dicha riqueza o fuente de capacidad económica es sometida a gravamen en la estructura del tributo (SSTC 122/2012, o 87/2019) [FJ 3].</w:t>
      </w:r>
    </w:p>
    <w:p w:rsidR="005728DD" w:rsidRDefault="005728DD" w:rsidP="005728DD">
      <w:pPr>
        <w:pStyle w:val="Extracto"/>
      </w:pPr>
    </w:p>
    <w:p w:rsidR="005728DD" w:rsidRDefault="005728DD" w:rsidP="005728DD">
      <w:pPr>
        <w:pStyle w:val="Extracto"/>
      </w:pPr>
      <w:r>
        <w:t>5.</w:t>
      </w:r>
      <w:r>
        <w:tab/>
        <w:t xml:space="preserve">Se recurre al método tradicional de examen de las prohibiciones de equivalencia de la LOFCA, -consistente en un análisis comparativo en paralelo de todos los elementos esenciales de los tributos contrastados-, en los supuestos en los que la doble imposición se predica de dos tributos pertenecientes a la misma categoría tributaria y, en concreto, de dos impuestos. En cambio, cuando los tributos objeto de comparación son dos tasas, la coexistencia de tasas autonómicas y estatales debe </w:t>
      </w:r>
      <w:r>
        <w:lastRenderedPageBreak/>
        <w:t>interpretarse de acuerdo con el principio de que la competencia para crear tasas por servicios deriva necesariamente de la que se ostenta para crear las instituciones y organizar los servicios públicos correspondientes  y el mandato expreso de la LOFCA [FJ 3].</w:t>
      </w:r>
    </w:p>
    <w:p w:rsidR="005728DD" w:rsidRDefault="005728DD" w:rsidP="005728DD">
      <w:pPr>
        <w:pStyle w:val="Extracto"/>
      </w:pPr>
    </w:p>
    <w:p w:rsidR="005728DD" w:rsidRDefault="005728DD" w:rsidP="005728DD">
      <w:pPr>
        <w:pStyle w:val="Extracto"/>
      </w:pPr>
      <w:r>
        <w:t>6.</w:t>
      </w:r>
      <w:r>
        <w:tab/>
        <w:t>Doctrina del principio “la tasa sigue al servicio” (SSTC 37/1981 o 27/2017) [FJ 3].</w:t>
      </w:r>
    </w:p>
    <w:p w:rsidR="005728DD" w:rsidRDefault="005728DD" w:rsidP="005728DD">
      <w:pPr>
        <w:pStyle w:val="Extracto"/>
      </w:pPr>
    </w:p>
    <w:p w:rsidR="005728DD" w:rsidRDefault="005728DD" w:rsidP="005728DD">
      <w:pPr>
        <w:pStyle w:val="Extracto"/>
      </w:pPr>
      <w:r>
        <w:t>7.</w:t>
      </w:r>
      <w:r>
        <w:tab/>
        <w:t>Los impuestos se basan fundamentalmente en la capacidad económica, que encuentra reflejo en su hecho imponible, sin que su pago implique una contraprestación o beneficio concreto o inmediato para el contribuyente. Frente a ello, las tasas se basan en el principio de equivalencia, sin perjuicio de que no puedan desconocer la capacidad económica, de manera que su hecho imponible encierra un sinalagma (SSTC 296/1994 o 106/2000), que consiste en la utilización privativa o el aprovechamiento especial del dominio público, la prestación de servicios o la realización de actividades en régimen de derecho público que se refieran, afecten o beneficien de modo particular al obligado tributario [FJ 4].</w:t>
      </w:r>
    </w:p>
    <w:p w:rsidR="005728DD" w:rsidRDefault="005728DD" w:rsidP="005728DD">
      <w:pPr>
        <w:pStyle w:val="Extracto"/>
      </w:pPr>
    </w:p>
    <w:p w:rsidR="005728DD" w:rsidRDefault="005728DD" w:rsidP="005728DD">
      <w:pPr>
        <w:pStyle w:val="Extracto"/>
      </w:pPr>
      <w:r>
        <w:t>8.</w:t>
      </w:r>
      <w:r>
        <w:tab/>
        <w:t>El hecho de que el tributo sea finalista o afectado a un determinado fin extrafiscal  no significa que el tributo tenga finalidad primordialmente extrafiscal. Ni siquiera es prueba de ello su afirmación expresa en la propia norma que lo regula. Debe atenderse al reflejo que dicha finalidad extrafiscal encuentre en los elementos centrales de la estructura del tributo (SSTC 53/2014 o 87/2019) [FJ 4].</w:t>
      </w:r>
    </w:p>
    <w:p w:rsidR="005728DD" w:rsidRDefault="005728DD" w:rsidP="005728DD">
      <w:pPr>
        <w:pStyle w:val="Extracto"/>
      </w:pPr>
    </w:p>
    <w:p w:rsidR="005728DD" w:rsidRDefault="005728DD" w:rsidP="005728DD">
      <w:pPr>
        <w:pStyle w:val="Extracto"/>
      </w:pPr>
      <w:r>
        <w:t>9.</w:t>
      </w:r>
      <w:r>
        <w:tab/>
        <w:t>La unidad de mercado tiene como rasgos fundamentales: (i) ser un espacio donde se encuentren garantizadas la libre circulación de personas y bienes, y (ii) ser un espacio donde las condiciones esenciales de ejercicio de la actividad económica sean iguales. Para su consecución, la Constitución ha establecido garantías, denominadas estructurales, que suponen un límite en sí a la diversidad regulatoria de las comunidades autónomas en el ejercicio de sus competencias, como son, entre otras, la reserva competencial al Estado de ámbitos materiales concretos de manera exclusiva y excluyente (por ejemplo, en el art. 149.1.6, 7, 8 y 9 CE) o los principios del art. 139 CE [FJ 5].</w:t>
      </w:r>
    </w:p>
    <w:p w:rsidR="005728DD" w:rsidRDefault="005728DD" w:rsidP="005728DD">
      <w:pPr>
        <w:pStyle w:val="Extracto"/>
      </w:pPr>
    </w:p>
    <w:p w:rsidR="005728DD" w:rsidRDefault="005728DD" w:rsidP="005728DD">
      <w:pPr>
        <w:pStyle w:val="Extracto"/>
      </w:pPr>
      <w:r>
        <w:t>10.</w:t>
      </w:r>
      <w:r>
        <w:tab/>
        <w:t xml:space="preserve">Cuando las garantías estructurales se demuestren insuficientes para imponer los rasgos del mercado único, el Estado podrá, si así lo decide, intervenir normativamente ejerciendo sus competencias transversales </w:t>
      </w:r>
      <w:r w:rsidRPr="005728DD">
        <w:rPr>
          <w:i/>
        </w:rPr>
        <w:t>ex</w:t>
      </w:r>
      <w:r>
        <w:t xml:space="preserve"> art. 149.1.1 y 13 CE, con el objetivo de promover dichos rasgos (SSTC 79/2017 o 152/2020) [FJ 5].</w:t>
      </w:r>
    </w:p>
    <w:p w:rsidR="005728DD" w:rsidRDefault="005728DD" w:rsidP="005728DD">
      <w:pPr>
        <w:pStyle w:val="Extracto"/>
      </w:pPr>
    </w:p>
    <w:p w:rsidR="005728DD" w:rsidRDefault="005728DD" w:rsidP="005728DD">
      <w:pPr>
        <w:pStyle w:val="Extracto"/>
      </w:pPr>
      <w:r>
        <w:t>11.</w:t>
      </w:r>
      <w:r>
        <w:tab/>
        <w:t>El art. 139.2 CE asegura la libre circulación de mercancías y personas en todo el territorio español. Proscribe con ello las regulaciones o medidas de signo proteccionista; esto es, las que dificulten injustificadamente en un territorio la comercialización de productos de otras zonas o el ejercicio de actividades empresariales por parte de personas procedentes de otros lugares (STC 111/2017) [FJ 5].</w:t>
      </w:r>
    </w:p>
    <w:p w:rsidR="005728DD" w:rsidRDefault="005728DD" w:rsidP="005728DD">
      <w:pPr>
        <w:pStyle w:val="Extracto"/>
      </w:pPr>
    </w:p>
    <w:p w:rsidR="005728DD" w:rsidRDefault="005728DD" w:rsidP="005728DD">
      <w:pPr>
        <w:pStyle w:val="Extracto"/>
      </w:pPr>
      <w:r>
        <w:t>12.</w:t>
      </w:r>
      <w:r>
        <w:tab/>
        <w:t xml:space="preserve">No toda medida que en la práctica produzca efectos restrictivos onerosos, de hecho o de derecho, sobre las personas o bienes provenientes de fuera contradice necesariamente el art. 139.2 CE;  únicamente lo hará cuando persiga de forma intencionada la finalidad de obstaculizar la libre circulación o genere consecuencias </w:t>
      </w:r>
      <w:r>
        <w:lastRenderedPageBreak/>
        <w:t>objetivas que impliquen el surgimiento de obstáculos que no guarden relación y sean desproporcionados respecto del fin constitucionalmente lícito que pretenda la medida adoptada (SSTC 66/1991, 111/2017 o 68/2021) [FJ 5].</w:t>
      </w:r>
    </w:p>
    <w:p w:rsidR="005728DD" w:rsidRDefault="005728DD" w:rsidP="005728DD">
      <w:pPr>
        <w:pStyle w:val="Extracto"/>
      </w:pPr>
    </w:p>
    <w:p w:rsidR="005728DD" w:rsidRDefault="005728DD" w:rsidP="005728DD">
      <w:pPr>
        <w:pStyle w:val="Extracto"/>
      </w:pPr>
      <w:r>
        <w:t>13.</w:t>
      </w:r>
      <w:r>
        <w:tab/>
        <w:t>13.</w:t>
      </w:r>
      <w:r>
        <w:tab/>
        <w:t>La diversidad en las condiciones de ejercicio de la actividad económica en las diferentes partes del territorio nacional derivada del ejercicio por las comunidades autónomas de sus propias competencias no constituye en sí misma una vulneración constitucional, dado que la potestad legislativa de que las comunidades autónomas gozan potencialmente da a nuestro ordenamiento una estructura compuesta, por obra de la cual puede ser distinta la posición jurídica de los ciudadanos en las distintas partes del territorio nacional (STC 37/1981) [FJ 5].</w:t>
      </w:r>
    </w:p>
    <w:p w:rsidR="005728DD" w:rsidRDefault="005728DD" w:rsidP="005728DD">
      <w:pPr>
        <w:pStyle w:val="Extracto"/>
      </w:pPr>
    </w:p>
    <w:p w:rsidR="005728DD" w:rsidRDefault="005728DD" w:rsidP="005728DD">
      <w:pPr>
        <w:pStyle w:val="Extracto"/>
      </w:pPr>
      <w:r>
        <w:t>14.</w:t>
      </w:r>
      <w:r>
        <w:tab/>
        <w:t>Si bien el derecho a desarrollar una actividad económica en condiciones de igualdad es, indudablemente, una manifestación de la libertad de empresa, tal derecho se impone en cada ordenamiento, estatal o autonómico, individualmente considerado (SSTC 53/2014, 30/2016 y 89/2017). No es posible considerar, por tanto, que ni del referido derecho ni del art. 139.2 CE se derive la exigencia de que las concretas condiciones de ejercicio de la actividad económica tengan que ser las mismas en todo el territorio nacional [FJ 5].</w:t>
      </w:r>
    </w:p>
    <w:p w:rsidR="005728DD" w:rsidRDefault="005728DD" w:rsidP="005728DD">
      <w:pPr>
        <w:pStyle w:val="Extracto"/>
      </w:pPr>
    </w:p>
    <w:p w:rsidR="005728DD" w:rsidRDefault="005728DD" w:rsidP="005728DD">
      <w:pPr>
        <w:pStyle w:val="Extracto"/>
      </w:pPr>
      <w:r>
        <w:t>15.</w:t>
      </w:r>
      <w:r>
        <w:tab/>
        <w:t>La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[FJ 6].</w:t>
      </w:r>
    </w:p>
    <w:p w:rsidR="005728DD" w:rsidRDefault="005728DD" w:rsidP="005728DD">
      <w:pPr>
        <w:pStyle w:val="Extracto"/>
      </w:pPr>
    </w:p>
    <w:p w:rsidR="005728DD" w:rsidRDefault="005728DD" w:rsidP="005728DD">
      <w:pPr>
        <w:pStyle w:val="Extracto"/>
      </w:pPr>
      <w:r>
        <w:t>16.</w:t>
      </w:r>
      <w:r>
        <w:tab/>
        <w:t>Lo que prohíbe el principio de igualdad son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 materia tributaria, SSTC 76/1990, 60/2015 o 77/2015) [FJ 6].</w:t>
      </w:r>
    </w:p>
    <w:p w:rsidR="005728DD" w:rsidRDefault="005728DD" w:rsidP="005728DD">
      <w:pPr>
        <w:pStyle w:val="Extracto"/>
      </w:pPr>
    </w:p>
    <w:p w:rsidR="005728DD" w:rsidRDefault="005728DD" w:rsidP="005728DD">
      <w:pPr>
        <w:pStyle w:val="Extracto"/>
      </w:pPr>
      <w:r>
        <w:t>17.</w:t>
      </w:r>
      <w:r>
        <w:tab/>
        <w:t>La igualdad ha de valorarse, en cada caso, teniendo en cuenta el régimen jurídico sustantivo del ámbito de relaciones en que se proyecte. En materia tributaria es la propia Constitución la que ha concretado y modulado el alcance de su art. 14 en un precepto, el art. 31.1, pues la igualdad ante la ley tributaria resulta indisociable de los principios de generalidad, capacidad, justicia y progresividad (SSTC 27/1981 o 10/2005) [FJ 6].</w:t>
      </w:r>
    </w:p>
    <w:p w:rsidR="005728DD" w:rsidRDefault="005728DD" w:rsidP="005728DD">
      <w:pPr>
        <w:pStyle w:val="Extracto"/>
      </w:pPr>
    </w:p>
    <w:p w:rsidR="005728DD" w:rsidRDefault="005728DD" w:rsidP="005728DD">
      <w:pPr>
        <w:pStyle w:val="Extracto"/>
      </w:pPr>
      <w:r>
        <w:t>18.</w:t>
      </w:r>
      <w:r>
        <w:tab/>
        <w:t>El deber de contribuir al sostenimiento de los gastos públicos según la capacidad económica de cada contribuyente configura un mandato que vincula, no solo a los ciudadanos, sino también a los poderes públicos (STC 76/1990). Y en cuanto mandato para los poderes públicos, lo que el art. 31.1 CE prohíbe es que, salvo que exista una justificación razonable, el legislador grave de manera diferente idénticas manifestaciones de riqueza (SSTC 57/2005 o 19/2012) [FJ 6].</w:t>
      </w:r>
    </w:p>
    <w:p w:rsidR="005728DD" w:rsidRDefault="005728DD" w:rsidP="005728DD">
      <w:pPr>
        <w:pStyle w:val="Extracto"/>
      </w:pPr>
    </w:p>
    <w:p w:rsidR="005728DD" w:rsidRDefault="005728DD" w:rsidP="005728DD">
      <w:pPr>
        <w:pStyle w:val="Extracto"/>
      </w:pPr>
      <w:r>
        <w:lastRenderedPageBreak/>
        <w:t>19.</w:t>
      </w:r>
      <w:r>
        <w:tab/>
        <w:t>Un recargo no cambia su naturaleza jurídica en función de la entidad de su cuantía ni de la carencia de la naturaleza extrafiscal del tributo sobre el que recae [FJ 7].</w:t>
      </w:r>
    </w:p>
    <w:p w:rsidR="005728DD" w:rsidRDefault="005728DD" w:rsidP="005728DD">
      <w:pPr>
        <w:pStyle w:val="Extracto"/>
      </w:pPr>
    </w:p>
    <w:p w:rsidR="005728DD" w:rsidRDefault="005728DD" w:rsidP="005728DD">
      <w:pPr>
        <w:pStyle w:val="Extracto"/>
      </w:pPr>
      <w:r>
        <w:t>20.</w:t>
      </w:r>
      <w:r>
        <w:tab/>
        <w:t>El principio de autonomía local en la vertiente del gasto (arts. 140 y 142 CE) implica no solo la plena disponibilidad de las corporaciones locales sobre sus ingresos, sino también la libre decisión sobre el destino de sus fondos siempre que sea, eso sí, para el desempeño de los fines públicos que tengan legalmente atribuidos (SSTC 109/1998 y 83/2020) [FJ 7].</w:t>
      </w:r>
    </w:p>
    <w:p w:rsidR="005728DD" w:rsidRDefault="005728DD" w:rsidP="005728DD">
      <w:pPr>
        <w:pStyle w:val="Extracto"/>
      </w:pPr>
    </w:p>
    <w:p w:rsidR="005728DD" w:rsidRDefault="005728DD" w:rsidP="005728DD">
      <w:pPr>
        <w:pStyle w:val="Extracto"/>
      </w:pPr>
      <w:r>
        <w:t>21.</w:t>
      </w:r>
      <w:r>
        <w:tab/>
        <w:t xml:space="preserve">No invade competencia exclusiva estatal al crear </w:t>
      </w:r>
      <w:r w:rsidRPr="005728DD">
        <w:rPr>
          <w:i/>
        </w:rPr>
        <w:t xml:space="preserve">ex novo </w:t>
      </w:r>
      <w:r>
        <w:t>un recargo municipal sobre un impuesto autonómico y configurar sus elementos esenciales. Primero, porque solo la comunidad autónoma, en virtud de su competencia exclusiva para crear tributos propios, tiene competencia para crear, a su favor o a favor de otro ente público, un recargo sobre sus propios impuestos. Y, segundo, porque es precisamente el legislador estatal, en el ejercicio legítimo de su competencia exclusiva sobre hacienda general (art. 149.1.14 CE), el que expresamente prevé la posibilidad de que la comunidad autónoma habilite a los ayuntamientos a establecer recargos sobre los impuestos autonómicos, con la sola exigencia de que así se prevea explícitamente en una ley autonómica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4192-2020, promovido por más de cincuenta diputados del Grupo Parlamentario Popular contra el art. 5 de la Ley del Parlamento de Cataluña 5/2020, de 29 de abril, de medidas fiscales, financieras, administrativas y del sector público y de creación del impuesto sobre instalaciones que inciden en el medio ambiente, publicada en el “Diari Oficial de la Generalitat de Catalunya” núm. 8124, de 30 de abril de 2020. Han comparecido y formulado alegaciones la Generalitat y el Parlamento de Cataluña. Ha sido ponente la magistrada doña Encarnación Roca Trías.</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Mediante escrito registrado en este tribunal el 4 de septiembre de 2020, don Manuel Sánchez-Puelles González-Carvajal, procurador de los Tribunales, en nombre y representación de más de cincuenta diputados del Grupo Parlamentario Popular, interpuso recurso de inconstitucionalidad contra el art. 5 de la Ley del Parlamento de Cataluña 5/2020, de 29 de abril, de medidas fiscales, financieras, administrativas y del sector público y de creación del impuesto sobre instalaciones que inciden en el medio ambiente (en adelante, Ley 5/2020). Este precepto modifica la regulación del impuesto sobre estancias en establecimientos turísticos contenida en la Ley del Parlamento de Cataluña 5/2017, de 28 de marzo, de medidas fiscales, financieras, administrativas y del sector público y de creación y regulación de los impuestos sobre grandes establecimientos comerciales, sobre estancias en establecimientos turísticos, sobre elementos radiotóxicos, sobre bebidas azucaradas envasadas y sobre emisiones de dióxido de carbono (en adelante, Ley 5/2017). Por un lado, da nueva redacción al apartado 1 del art. 26 de la Ley 5/2017 ampliando el hecho imponible del impuesto a las estancias en embarcaciones de crucero turístico en puertos del territorio de la Comunidad Autónoma de Cataluña (art. 5.2 de la Ley 5/2020); y, por otro, introduce un nuevo art. 34 </w:t>
      </w:r>
      <w:r w:rsidRPr="005728DD">
        <w:rPr>
          <w:i/>
        </w:rPr>
        <w:t>bis</w:t>
      </w:r>
      <w:r>
        <w:t xml:space="preserve"> en la Ley 5/2017 habilitando al Ayuntamiento de Barcelona a establecer mediante ordenanza municipal un recargo sobre las tarifas del referido impuesto con arreglo a determinados límites y condiciones (art. 5.4 de la Ley 5/2020).</w:t>
      </w:r>
    </w:p>
    <w:p w:rsidR="005728DD" w:rsidRDefault="005728DD" w:rsidP="005728DD">
      <w:pPr>
        <w:pStyle w:val="TextoNormal"/>
      </w:pPr>
    </w:p>
    <w:p w:rsidR="005728DD" w:rsidRDefault="005728DD" w:rsidP="005728DD">
      <w:pPr>
        <w:pStyle w:val="TextoNormal"/>
      </w:pPr>
      <w:r>
        <w:t xml:space="preserve">A) La demanda comienza afirmando, en un fundamento denominado “preliminar”, que la pretensión de este recurso es la declaración de inconstitucionalidad de la regulación del impuesto sobre estancias en establecimientos turísticos establecida por el art. 5 de la Ley 5/2020 en su aplicación a las embarcaciones de crucero turístico. De una parte, la inconstitucionalidad del art. 34 </w:t>
      </w:r>
      <w:r w:rsidRPr="005728DD">
        <w:rPr>
          <w:i/>
        </w:rPr>
        <w:t>bis</w:t>
      </w:r>
      <w:r>
        <w:t xml:space="preserve"> de la Ley 5/2017 (introducido por el art. 5.4 de la Ley 5/2020) por vulneración de los arts. 2, 31.3 y 133.1 CE, dada la incompetencia de la Comunidad Autónoma de Cataluña para crear nuevos tributos municipales; y, de otra parte, la inconstitucionalidad del nuevo art. 26.1 de la Ley 5/2017 (introducido por el art. 5.2 de la Ley 5/2020), primero, por conculcar el principio de igualdad tributaria del art. 31.1 CE, en relación con el art. 14 CE y, segundo, por contravenir el sistema de distribución de competencias tributarias al gravar las estancias en embarcaciones de crucero turístico en contra del art. 6.2 de la Ley Orgánica 8/1980, de 22 de septiembre, de financiación de las comunidades autónomas (en adelante, LOFCA) y de los arts. 157.2 CE y 9 c) LOFCA. Asimismo, se solicita que la anulación de todos los artículos de la Ley 5/2017 aprobados por el art. 5 de la Ley 5/2020 conlleve también la anulación de los demás preceptos de la Ley 5/2017 relativos a la aplicación del impuesto sobre estancias en establecimientos turísticos a las estancias en embarcaciones de crucero turístico, exigiendo así la nulidad de las siguientes disposiciones de la misma: en su integridad, de los arts. 24.2, 28.2, 34 </w:t>
      </w:r>
      <w:r w:rsidRPr="005728DD">
        <w:rPr>
          <w:i/>
        </w:rPr>
        <w:t>bis</w:t>
      </w:r>
      <w:r>
        <w:t xml:space="preserve">, 46 y 50 </w:t>
      </w:r>
      <w:r w:rsidRPr="005728DD">
        <w:rPr>
          <w:i/>
        </w:rPr>
        <w:t>bis</w:t>
      </w:r>
      <w:r>
        <w:t>; y, únicamente en lo regulado expresamente para estancias en embarcaciones de crucero turístico, de los arts. 26.1, 3 y 4; 34.1 y 35.</w:t>
      </w:r>
    </w:p>
    <w:p w:rsidR="005728DD" w:rsidRDefault="005728DD" w:rsidP="005728DD">
      <w:pPr>
        <w:pStyle w:val="TextoNormal"/>
      </w:pPr>
    </w:p>
    <w:p w:rsidR="005728DD" w:rsidRDefault="005728DD" w:rsidP="005728DD">
      <w:pPr>
        <w:pStyle w:val="TextoNormal"/>
      </w:pPr>
      <w:r>
        <w:t xml:space="preserve">B) El primer motivo de impugnación contra el nuevo art. 26.1 de la Ley 5/2017, introducido por el art. 5.2 de la Ley 5/2020, es la falta de habilitación competencial autonómica para someter a gravamen las estancias en embarcaciones de crucero turístico en el impuesto sobre estancias en establecimientos turísticos. Y ello porque con dicha sujeción al impuesto propio autonómico se incurre en un supuesto de doble imposición prohibida en el art. 6.2 LOFCA con la tasa (estatal) portuaria del buque (T-1) prevista en el texto refundido de la </w:t>
      </w:r>
      <w:r>
        <w:lastRenderedPageBreak/>
        <w:t>Ley de puertos del Estado y de la marina mercante, aprobado por el Real Decreto Legislativo 2/2011, de 5 de septiembre. Tras una exposición de los límites del poder tributario autonómico y, dentro de ellos, de la prohibición de equivalencia con tributos estatales del art. 6.2 LOFCA, los recurrentes parten de la doctrina que sobre este precepto ha elaborado este tribunal (tomando como referencia la STC 94/2017, de 6 de julio, FFJJ 4 y 5) para afirmar que la violación del art. 6.2 LOFCA concurre al coincidir ambos tributos en el hecho imponible, en los sujetos pasivos y en el devengo.</w:t>
      </w:r>
    </w:p>
    <w:p w:rsidR="005728DD" w:rsidRDefault="005728DD" w:rsidP="005728DD">
      <w:pPr>
        <w:pStyle w:val="TextoNormal"/>
      </w:pPr>
    </w:p>
    <w:p w:rsidR="005728DD" w:rsidRDefault="005728DD" w:rsidP="005728DD">
      <w:pPr>
        <w:pStyle w:val="TextoNormal"/>
      </w:pPr>
      <w:r>
        <w:t>(i) Por lo que se refiere a la coincidencia material en el hecho imponible, y una vez definido este elemento esencial [art. 20 de la Ley 58/2003, de 17 de diciembre, general tributaria (en adelante, LGT)], la presente demanda deduce esta identidad del tenor literal de los preceptos reguladores de los concretos hechos imponibles de los tributos en liza (el art. 26.1 de la Ley 5/2017, introducido por el art. 5.2 de la Ley 5/2020, en caso del impuesto sobre estancias en establecimientos turísticos, y el art. 194 del texto refundido de la Ley de puertos del Estado y de la marina mercante, para la tasa de buque): los dos tributos gravan (materialmente) la estancia del buque (amarre o fondeo) en la zona del puerto. La razón esgrimida es que el impuesto catalán grava a la totalidad de los pasajeros de los buques que fondeen o amarren en un puerto dentro del territorio de la comunidad autónoma catalana, sin distinguir entre aquellos que desembarcan y visitan la ciudad, y los que permanecen en la embarcación. Al no discriminar entre pasajeros y sujetar a todos ellos al impuesto, este impuesto autonómico no está sometiendo a gravamen la estancia de los pasajeros en las embarcaciones de cruceros turísticos ni en una ciudad catalana sino la estancia de la propia embarcación en el puerto (esto es, el amarre o fondeo del buque en sí mismo en el puerto), al igual que la tasa portuaria de buque.</w:t>
      </w:r>
    </w:p>
    <w:p w:rsidR="005728DD" w:rsidRDefault="005728DD" w:rsidP="005728DD">
      <w:pPr>
        <w:pStyle w:val="TextoNormal"/>
      </w:pPr>
    </w:p>
    <w:p w:rsidR="005728DD" w:rsidRDefault="005728DD" w:rsidP="005728DD">
      <w:pPr>
        <w:pStyle w:val="TextoNormal"/>
      </w:pPr>
      <w:r>
        <w:t>(ii) En cuanto al análisis de los sujetos pasivos, tras reproducir el art. 36 LGT sobre el concepto de sujeto pasivo y sus clases (contribuyente y sustituto) y los preceptos concernientes a la configuración del elemento subjetivo de ambos tributos (art. 195 del texto refundido de la Ley de puertos del Estado y de la marina mercante, sobre los contribuyentes solidarios de la tasa de buque, y los arts. 29 y 30 sobre el contribuyente y el sustituto del impuesto sobre estancias en establecimientos turísticos, respectivamente), el escrito de interposición asevera, de una parte, que el explotador del crucero es tanto el contribuyente de la tasa del buque como el sustituto del contribuyente en el impuesto y, de otra, que ambos tributos son soportados en último término por los pasajeros de la embarcación de crucero turístico. Para llegar a esa conclusión, se extrapola la doctrina sentada en la STC 94/2017, FJ 8 b), en la que se examina la doble imposición con el IVA del “impuesto catalán sobre la provisión de contenidos por parte de los prestadores de servicios de comunicaciones electrónicas y de fomento del sector y la difusión de la cultura digital” (art. 6.2 LOFCA). En ella se declara que lo relevante es que ambos impuestos someten a tributación la manifestación de capacidad económica que supone el consumo y lo hacen en la persona del consumidor, si bien en el primero (IVA) se produce una traslación directa (jurídica) del importe del tributo del prestador del servicio al consumidor, mientras que en el segundo (impuesto catalán), esa traslación se efectúa de una manera indirecta (económica).</w:t>
      </w:r>
    </w:p>
    <w:p w:rsidR="005728DD" w:rsidRDefault="005728DD" w:rsidP="005728DD">
      <w:pPr>
        <w:pStyle w:val="TextoNormal"/>
      </w:pPr>
    </w:p>
    <w:p w:rsidR="005728DD" w:rsidRDefault="005728DD" w:rsidP="005728DD">
      <w:pPr>
        <w:pStyle w:val="TextoNormal"/>
      </w:pPr>
      <w:r>
        <w:t xml:space="preserve">(iii) Por lo que concierne al devengo, esta demanda alega que en ambos tributos nace la obligación tributaria al inicio de la estancia en la zona portuaria [“en el momento en el que el buque hace escala en algún puerto de Cataluña” (art. 28 de la Ley 5/2017) o “cuando el buque entre en las aguas de la zona del servicio del puerto” (art. 196 del texto refundido de </w:t>
      </w:r>
      <w:r>
        <w:lastRenderedPageBreak/>
        <w:t>la Ley de puertos del Estado y de la marina mercante)] y se mide el tiempo de estancia desde el momento en el que lanza el primer cabo a punto de amarre o se fondee el ancla hasta el momento de soltar el buque la última amarra o de levar el ancla del fondo (nuevo art. 26.1 de la Ley 5/2017 y art. 200 del citado texto refundido).</w:t>
      </w:r>
    </w:p>
    <w:p w:rsidR="005728DD" w:rsidRDefault="005728DD" w:rsidP="005728DD">
      <w:pPr>
        <w:pStyle w:val="TextoNormal"/>
      </w:pPr>
    </w:p>
    <w:p w:rsidR="005728DD" w:rsidRDefault="005728DD" w:rsidP="005728DD">
      <w:pPr>
        <w:pStyle w:val="TextoNormal"/>
      </w:pPr>
      <w:r>
        <w:t>C) El segundo motivo de impugnación contra el nuevo art. 26.1 de la Ley 5/2017 es que, al sujetar al impuesto sobre estancias en establecimientos turísticos las estancias en embarcaciones de crucero turístico, crea una restricción injustificada a la libre circulación de personas y servicios dentro del territorio nacional [arts. 157.2 CE y 9 c) LOFCA]. Tras recordar la doctrina constitucional sobre la unidad de mercado, las garantías del art. 139 CE y su proyección en materia tributaria en los arts. 157.2 CE y 9 c) LOFCA, se ofrecen dos argumentos que, según los recurrentes, permiten constatar esta restricción: Primero, que el impuesto controvertido genera un condicionante económico para el potencial consumidor al encarecer la estancia en embarcaciones de crucero turístico en los puertos de Cataluña, incluso aquella sin pernoctación (ya que el impuesto se exige aun cuando la embarcación esté amarrada o fondeada menos de doce horas en el puerto). Y, segundo, que el impuesto sobre estancias en establecimientos turísticos presenta complejidades para los operadores turísticos nacionales e internacionales dedicados al sector de los cruceros, que son los sustitutos del contribuyente en este impuesto; complejidades, no solo de índole económica sino de asunción de las obligaciones formales de gestión del mismo, que pueden causar que estos desvíen parte de su demanda a otros destinos similares y con precios más competitivos, con un consiguiente impacto negativo en el balance del sector turístico. En suma, que este impuesto provoca una distorsión en la libre circulación de las empresas titulares de embarcaciones de cruceros turísticos.</w:t>
      </w:r>
    </w:p>
    <w:p w:rsidR="005728DD" w:rsidRDefault="005728DD" w:rsidP="005728DD">
      <w:pPr>
        <w:pStyle w:val="TextoNormal"/>
      </w:pPr>
    </w:p>
    <w:p w:rsidR="005728DD" w:rsidRDefault="005728DD" w:rsidP="005728DD">
      <w:pPr>
        <w:pStyle w:val="TextoNormal"/>
      </w:pPr>
      <w:r>
        <w:t>D) El tercer motivo de impugnación contra el nuevo art. 26.1 de la Ley 5/2017 consiste en la vulneración del principio de igualdad tributaria del art. 31.1 CE, como manifestación del derecho de igualdad del art. 14 CE en materia tributaria. Tras sintetizar la doctrina constitucional sobre este principio material de justicia (con cita de las SSTC 76/1990, de 26 de abril; 46/2000, de 17 de febrero, y 295/2006, de 11 de octubre), se exponen las desigualdades tributarias que, a juicio de los recurrentes, provoca el sometimiento a gravamen de las estancias en embarcaciones de crucero turístico en el impuesto sobre estancias en establecimientos turísticos.</w:t>
      </w:r>
    </w:p>
    <w:p w:rsidR="005728DD" w:rsidRDefault="005728DD" w:rsidP="005728DD">
      <w:pPr>
        <w:pStyle w:val="TextoNormal"/>
      </w:pPr>
    </w:p>
    <w:p w:rsidR="005728DD" w:rsidRDefault="005728DD" w:rsidP="005728DD">
      <w:pPr>
        <w:pStyle w:val="TextoNormal"/>
      </w:pPr>
      <w:r>
        <w:t>a) En primer lugar, se aprecia una desigualdad en el tratamiento tributario de los pasajeros de las embarcaciones de crucero turístico que no pernoctan (contribuyentes del impuesto sobre estancias en establecimientos turísticos) frente al resto de visitantes que no pernoctan y llegan a una ciudad catalana mediante otro medio de transporte (tren, autobús, vehículo particular…), no sujetos este impuesto; desigualdad de trato que es contraria al art. 31.1 CE. Según los recurrentes, la ley discrimina en función del medio de transporte utilizado para visitar una ciudad catalana sin una justificación objetiva y razonable, ya que las externalidades que causa el turismo, cuya corrección fundamenta la exacción del impuesto (art. 23 de la Ley 5/2017), también se provocan por los visitantes que llegan a Cataluña con cualquier otro medio de transporte.</w:t>
      </w:r>
    </w:p>
    <w:p w:rsidR="005728DD" w:rsidRDefault="005728DD" w:rsidP="005728DD">
      <w:pPr>
        <w:pStyle w:val="TextoNormal"/>
      </w:pPr>
    </w:p>
    <w:p w:rsidR="005728DD" w:rsidRDefault="005728DD" w:rsidP="005728DD">
      <w:pPr>
        <w:pStyle w:val="TextoNormal"/>
      </w:pPr>
      <w:r>
        <w:t xml:space="preserve">b) En segundo lugar, se aduce que la regulación del impuesto sobre estancias en establecimientos turísticos (art. 26.1 Ley 5/2017) es contraria al principio de igualdad tributaria, </w:t>
      </w:r>
      <w:r>
        <w:lastRenderedPageBreak/>
        <w:t>en su vertiente negativa, al someter a gravamen a dos tipos diferentes de pasajeros de embarcaciones de crucero turístico: los que pernoctan y que por tanto podrían generar externalidades desembarcando, y los que no pernoctan y consecuentemente no las generan al no desembarcar; atribuyendo así una misma consecuencia jurídica a dos situaciones no comparables.</w:t>
      </w:r>
    </w:p>
    <w:p w:rsidR="005728DD" w:rsidRDefault="005728DD" w:rsidP="005728DD">
      <w:pPr>
        <w:pStyle w:val="TextoNormal"/>
      </w:pPr>
    </w:p>
    <w:p w:rsidR="005728DD" w:rsidRDefault="005728DD" w:rsidP="005728DD">
      <w:pPr>
        <w:pStyle w:val="TextoNormal"/>
      </w:pPr>
      <w:r>
        <w:t>c) Finalmente, se denuncia una discriminación en función del tipo de embarcación que permanece en un puerto del territorio catalán. Comienza la argumentación con el art. 26.4 de la Ley 5/2017, donde se establece qué debe entenderse por “embarcación de crucero turístico” a efectos del impuesto sobre estancias en establecimientos turísticos “según lo definido por la normativa de la Unión Europea”. Los recurrentes, tras recoger tres definiciones de “crucero” diferentes [art. 2.17 del Reglamento 2016/399/UE, de 9 de marzo, por el que se establece un código de normas de la Unión para el cruce de personas por las fronteras; art. 2 i) de la Directiva 2009/42/CE, del Parlamento Europeo y del Consejo, de 6 de mayo, sobre la relación estadística del transporte marítimo de mercancías y pasajeros; y el art. 6 i) de la Ley del Parlamento de Cataluña 10/2019, de 23 de diciembre, de puertos y transporte en aguas marítimas y continentales], concluyen que en la definición legal del art. 26.4 de la Ley 5/2017 no tienen cabida y, por tanto, no quedan sujetas al impuesto que nos ocupa, las siguientes embarcaciones: (i) las dedicadas a la náutica de recreo (art. 2.1 del Real Decreto 1434/1999, de 10 de septiembre, “por el que se establecen los reconocimientos e inspecciones de las embarcaciones de recreo para garantizar la seguridad de la vida humana y se determinan las condiciones que deben reunir las entidades colaboradoras de la inspección”); (ii) las que son objeto de la actividad de “chárter náutico”; (iii) los denominados “buques turísticos locales” [art. 6 m) de la Ley 10/2019], y (iv) las de uso particular. Y no existe, a juicio de los diputados demandantes, ninguna justificación objetiva para gravar únicamente las estancias en las embarcaciones de crucero y no las realizadas en otro tipo de embarcaciones de recreo, puesto que todas permanecen en un puerto del territorio catalán y provocan externalidades al ser turismo.</w:t>
      </w:r>
    </w:p>
    <w:p w:rsidR="005728DD" w:rsidRDefault="005728DD" w:rsidP="005728DD">
      <w:pPr>
        <w:pStyle w:val="TextoNormal"/>
      </w:pPr>
    </w:p>
    <w:p w:rsidR="005728DD" w:rsidRDefault="005728DD" w:rsidP="005728DD">
      <w:pPr>
        <w:pStyle w:val="TextoNormal"/>
      </w:pPr>
      <w:r>
        <w:t xml:space="preserve">E) Por su parte, el art. 34 </w:t>
      </w:r>
      <w:r w:rsidRPr="005728DD">
        <w:rPr>
          <w:i/>
        </w:rPr>
        <w:t>bis</w:t>
      </w:r>
      <w:r>
        <w:t xml:space="preserve"> de la Ley 5/2017, introducido por el art. 5.4 de la Ley 5/2020, se impugna en tanto permite al ayuntamiento de Barcelona establecer mediante ordenanza municipal un recargo sobre las tarifas del impuesto sobre estancias en establecimientos turísticos previstas en el art. 34 de la Ley 5/2017 (modificado por el art. 5.3 de la Ley 5/2020) a las estancias en embarcaciones de cruceros turísticos, contraviniendo los arts. 2, 31.3 y 133.1 CE.</w:t>
      </w:r>
    </w:p>
    <w:p w:rsidR="005728DD" w:rsidRDefault="005728DD" w:rsidP="005728DD">
      <w:pPr>
        <w:pStyle w:val="TextoNormal"/>
      </w:pPr>
    </w:p>
    <w:p w:rsidR="005728DD" w:rsidRDefault="005728DD" w:rsidP="005728DD">
      <w:pPr>
        <w:pStyle w:val="TextoNormal"/>
      </w:pPr>
      <w:r>
        <w:t xml:space="preserve">a) Según esta demanda, si bien el art. 38.2 del texto refundido de la Ley reguladora de las haciendas locales, aprobado por el Real Decreto Legislativo 2/2004, de 5 de marzo (en adelante, TRLHL), permite a las entidades locales el establecimiento de recargos sobre los impuestos propios autonómicos “en los casos expresamente previstos en las leyes de la comunidad autónoma”, la figura tributaria introducida por el art. 5.4 de la Ley 5/2020 en el art. 34 </w:t>
      </w:r>
      <w:r w:rsidRPr="005728DD">
        <w:rPr>
          <w:i/>
        </w:rPr>
        <w:t>bis</w:t>
      </w:r>
      <w:r>
        <w:t xml:space="preserve"> de la Ley 5/2017 no es materialmente un recargo sino un tributo. Y ello por dos razones. En primer lugar, debido a que, como dispone el art. 24 de la Ley 5/2017 (en su redacción dada por el art. 5.1 de la Ley 5/2020), mientras los ingresos derivados del impuesto sobre estancias en establecimientos turísticos quedan afectados a la dotación de un fondo para el fomento del turismo, los ingresos derivados del recargo no se integran en ese fondo ni se afectan a los fines determinados por este. En segundo lugar, porque el carácter accesorio inherente a los recargos [art. 25.1 LGT y la STC 4/2019, de 17 de enero, FJ 6 c)] </w:t>
      </w:r>
      <w:r>
        <w:lastRenderedPageBreak/>
        <w:t>se desnaturaliza debido a la elevada cuantía del importe máximo legalmente establecido. Así, se habilita al Ayuntamiento de Barcelona a instaurar un recargo de hasta cuatro euros, cifra muy superior a las propias tarifas generales del impuesto para cualquier tipo de establecimiento y, en concreto, en el caso de embarcaciones de crucero turístico con una estancia igual o inferior a doce horas, un 400 por 100 mayor que la tarifa general del impuesto para la ciudad de Barcelona (un euro).</w:t>
      </w:r>
    </w:p>
    <w:p w:rsidR="005728DD" w:rsidRDefault="005728DD" w:rsidP="005728DD">
      <w:pPr>
        <w:pStyle w:val="TextoNormal"/>
      </w:pPr>
    </w:p>
    <w:p w:rsidR="005728DD" w:rsidRDefault="005728DD" w:rsidP="005728DD">
      <w:pPr>
        <w:pStyle w:val="TextoNormal"/>
      </w:pPr>
      <w:r>
        <w:t xml:space="preserve">b) De ahí que, a juicio de los recurrentes, la comunidad autónoma no establece un recargo local sobre un impuesto autonómico, sino que crea </w:t>
      </w:r>
      <w:r w:rsidRPr="005728DD">
        <w:rPr>
          <w:i/>
        </w:rPr>
        <w:t>ex nihilo</w:t>
      </w:r>
      <w:r>
        <w:t xml:space="preserve"> un nuevo tributo municipal, invadiendo la competencia estatal en virtud de los arts. 2, 31.3 y 133.1 CE. En este sentido, arguyen que la reserva de ley en materia tributaria del art. 31.3 CE, que consiste en la creación </w:t>
      </w:r>
      <w:r w:rsidRPr="005728DD">
        <w:rPr>
          <w:i/>
        </w:rPr>
        <w:t>ex novo</w:t>
      </w:r>
      <w:r>
        <w:t xml:space="preserve"> de tributos y en la regulación de sus elementos esenciales, se plasma, en cuanto a impuesto locales se refiere, en el art. 59 TRLHL. Para corroborar esta afirmación, se reproduce el fundamento jurídico 140 de la STC 31/2010, de 28 de junio, en el que, con cita en la STC 233/1999, de 16 de diciembre (“según resulta de los arts. 31.3 y 133.1 y 2 CE, la creación de tributos locales ha de operarse a través del legislador estatal”, FJ 22), se declaró inconstitucional el inciso del art. 218.2 de la Ley Orgánica 6/2006, de 19 de julio, de reforma del Estatuto de Autonomía de Cataluña (en adelante, EAC), que consideraba el posible establecimiento de tributos municipales dentro de la competencia de la Generalitat en materia de financiación local.</w:t>
      </w:r>
    </w:p>
    <w:p w:rsidR="005728DD" w:rsidRDefault="005728DD" w:rsidP="005728DD">
      <w:pPr>
        <w:pStyle w:val="TextoNormal"/>
      </w:pPr>
    </w:p>
    <w:p w:rsidR="005728DD" w:rsidRDefault="005728DD" w:rsidP="005728DD">
      <w:pPr>
        <w:pStyle w:val="TextoNormal"/>
      </w:pPr>
      <w:r>
        <w:t>F) El escrito de interposición concluye solicitando la inconstitucionalidad y nulidad del art. 5 de la Ley 5/2020 con el alcance expresado en sus fundamentos; esto es, en su aplicación a las embarcaciones de crucero turístico.</w:t>
      </w:r>
    </w:p>
    <w:p w:rsidR="005728DD" w:rsidRDefault="005728DD" w:rsidP="005728DD">
      <w:pPr>
        <w:pStyle w:val="TextoNormal"/>
      </w:pPr>
    </w:p>
    <w:p w:rsidR="005728DD" w:rsidRDefault="005728DD" w:rsidP="005728DD">
      <w:pPr>
        <w:pStyle w:val="TextoNormal"/>
      </w:pPr>
      <w:r w:rsidRPr="005728DD">
        <w:rPr>
          <w:rStyle w:val="NumeroAFNegritaCaracter"/>
        </w:rPr>
        <w:t>2</w:t>
      </w:r>
      <w:r>
        <w:t>. El Pleno del Tribunal Constitucional, a propuesta de la Sección Tercera, y mediante providencia de 22 de septiembre de 2020, acordó admitir a trámite el presente recurso de inconstitucionalidad, dando traslado de la demanda y documentos presentados, conforme establece el art. 34 LOTC, al Congreso de los Diputados y al Senado, por conducto de sus presidentas, y al Gobierno, a través del Ministro de Justicia, así como al Gobierno de la Generalitat y al Parlamento de Cataluña, por conducto de sus presidentes, al objeto de que, en el plazo de quince días, pudieran personarse en el proceso y formular las alegaciones que estimaren pertinentes. Asimismo, se acordó publicar la incoación del recurso en el “Boletín Oficial del Estado” y en el “Diari Oficial de la Generalitat de Catalunya”.</w:t>
      </w:r>
    </w:p>
    <w:p w:rsidR="005728DD" w:rsidRDefault="005728DD" w:rsidP="005728DD">
      <w:pPr>
        <w:pStyle w:val="TextoNormal"/>
      </w:pPr>
    </w:p>
    <w:p w:rsidR="005728DD" w:rsidRDefault="005728DD" w:rsidP="005728DD">
      <w:pPr>
        <w:pStyle w:val="TextoNormal"/>
      </w:pPr>
      <w:r w:rsidRPr="005728DD">
        <w:rPr>
          <w:rStyle w:val="NumeroAFNegritaCaracter"/>
        </w:rPr>
        <w:t>3</w:t>
      </w:r>
      <w:r>
        <w:t>. Mediante escrito registrado en fecha 7 de octubre de 2020, la presidenta del Senado comunicó el acuerdo de la mesa de la cámara en el sentido de darse por personada en el proceso y por ofrecida su colaboración a los efectos del art. 88.1 LOTC. Lo mismo hizo la presidenta del Congreso de los Diputados en escrito registrado en este tribunal ese mismo día, en el que también acordó la remisión a la Dirección de estudios, análisis y publicaciones y a la asesoría jurídica de la Secretaría General.</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El abogado del Estado, en escrito registrado el 14 de octubre de 2020, se personó en nombre del Gobierno, manifestando su intención de no formular alegaciones y solicitando que en su día se le notifiquen las resoluciones que en él se dicten. Adicionalmente declaró que la subcomisión de seguimiento normativo, prevención y solución de conflictos de la Comisión Bilateral Generalitat de Cataluña-Estado había adoptado el acuerdo, notificado a </w:t>
      </w:r>
      <w:r>
        <w:lastRenderedPageBreak/>
        <w:t>este tribunal al amparo del art. 33 LOTC, de iniciar negociaciones para resolver las discrepancias competenciales suscitadas, entre otros, por el art. 5 de la Ley 5/2020 aquí impugnado.</w:t>
      </w:r>
    </w:p>
    <w:p w:rsidR="005728DD" w:rsidRDefault="005728DD" w:rsidP="005728DD">
      <w:pPr>
        <w:pStyle w:val="TextoNormal"/>
      </w:pPr>
    </w:p>
    <w:p w:rsidR="005728DD" w:rsidRDefault="005728DD" w:rsidP="005728DD">
      <w:pPr>
        <w:pStyle w:val="TextoNormal"/>
      </w:pPr>
      <w:r w:rsidRPr="005728DD">
        <w:rPr>
          <w:rStyle w:val="NumeroAFNegritaCaracter"/>
        </w:rPr>
        <w:t>5</w:t>
      </w:r>
      <w:r>
        <w:t>. El letrado del Parlamento de Cataluña, en su representación, mediante escrito registrado el 22 de octubre de 2020 en este tribunal, comunicó el acuerdo de la mesa de la cámara de personarse en el procedimiento, solicitando una prórroga del plazo concedido para formular alegaciones. Por providencia de 23 de octubre de 2020, se acordó tenerle por personado y prorrogarle en ocho días más el plazo inicialmente concedido.</w:t>
      </w:r>
    </w:p>
    <w:p w:rsidR="005728DD" w:rsidRDefault="005728DD" w:rsidP="005728DD">
      <w:pPr>
        <w:pStyle w:val="TextoNormal"/>
      </w:pPr>
    </w:p>
    <w:p w:rsidR="005728DD" w:rsidRDefault="005728DD" w:rsidP="005728DD">
      <w:pPr>
        <w:pStyle w:val="TextoNormal"/>
      </w:pPr>
      <w:r w:rsidRPr="005728DD">
        <w:rPr>
          <w:rStyle w:val="NumeroAFNegritaCaracter"/>
        </w:rPr>
        <w:t>6</w:t>
      </w:r>
      <w:r>
        <w:t>. La abogada de la Generalitat de Cataluña, en la representación que legalmente ostenta, por escrito registrado en este tribunal el 22 de octubre de 2020, se personó en nombre de la misma y presentó el escrito de alegaciones, instando la inadmisibilidad por extemporaneidad respecto de la inclusión de las embarcaciones de crucero turístico en el hecho imponible del impuesto sobre estancias en establecimientos turísticos y la desestimación del resto de impugnaciones o, subsidiariamente, la íntegra desestimación del recurso.</w:t>
      </w:r>
    </w:p>
    <w:p w:rsidR="005728DD" w:rsidRDefault="005728DD" w:rsidP="005728DD">
      <w:pPr>
        <w:pStyle w:val="TextoNormal"/>
      </w:pPr>
    </w:p>
    <w:p w:rsidR="005728DD" w:rsidRDefault="005728DD" w:rsidP="005728DD">
      <w:pPr>
        <w:pStyle w:val="TextoNormal"/>
      </w:pPr>
      <w:r>
        <w:t>Una vez realizada la síntesis del objeto de la demanda y los motivos de impugnación, y expuesta la evolución normativa del impuesto sobre estancias en establecimientos turísticos hasta su modificación por el art. 5 de la Ley 5/2020, se formulan las siguientes alegaciones en defensa de constitucionalidad del precepto impugnado.</w:t>
      </w:r>
    </w:p>
    <w:p w:rsidR="005728DD" w:rsidRDefault="005728DD" w:rsidP="005728DD">
      <w:pPr>
        <w:pStyle w:val="TextoNormal"/>
      </w:pPr>
    </w:p>
    <w:p w:rsidR="005728DD" w:rsidRDefault="005728DD" w:rsidP="005728DD">
      <w:pPr>
        <w:pStyle w:val="TextoNormal"/>
      </w:pPr>
      <w:r>
        <w:t xml:space="preserve">A) Con carácter previo, se solicita la inadmisibilidad del recurso por extemporaneidad respecto de la sujeción al impuesto de las embarcaciones de crucero turístico. Se argumenta que el art. 5 de la Ley 5/2020 no ha incluido </w:t>
      </w:r>
      <w:r w:rsidRPr="005728DD">
        <w:rPr>
          <w:i/>
        </w:rPr>
        <w:t>ex novo</w:t>
      </w:r>
      <w:r>
        <w:t>, como alegan los recurrentes, las estancias en embarcaciones de crucero turístico en el hecho imponible [pues formaban parte del mismo desde la creación del impuesto por la Ley 5/2012, de 20 de marzo, de medidas fiscales, financieras y administrativas (en adelante, Ley 5/2012)], ni tampoco tal precepto ha modificado otros elementos esenciales del tributo respecto de dichas estancias, ya configurados en la Ley 5/2012 y modificados (algunos) por la Ley 5/2017. Las novedades introducidas por la Ley 5/2020 en el impuesto sobre estancias en establecimientos turísticos se reducen, primero, a la ampliación del hecho imponible a las estancias en embarcaciones de crucero turístico que estén fondeadas (no solo amarradas) en un puerto en territorio de Cataluña (nuevo art. 26.1 de la Ley 5/2017) y, segundo, al incremento de las tarifas del impuesto aplicables a todo tipo de establecimientos turísticos (entre ellos, las embarcaciones de crucero turístico), regulado en el nuevo art. 34.1 de la Ley 5/2017.</w:t>
      </w:r>
    </w:p>
    <w:p w:rsidR="005728DD" w:rsidRDefault="005728DD" w:rsidP="005728DD">
      <w:pPr>
        <w:pStyle w:val="TextoNormal"/>
      </w:pPr>
    </w:p>
    <w:p w:rsidR="005728DD" w:rsidRDefault="005728DD" w:rsidP="005728DD">
      <w:pPr>
        <w:pStyle w:val="TextoNormal"/>
      </w:pPr>
      <w:r>
        <w:t>Al no alegarse ningún motivo de impugnación específico contra la ampliación a las embarcaciones que fondeen en los puertos de Cataluña, el recurso de inconstitucionalidad contra el art. 5 de la Ley 5/2020 constituye una desviación procesal y un fraude de ley [art. 6.4 C) c)], puesto que se utiliza para anular un elemento esencial del impuesto (gravamen de las estancias en embarcaciones de crucero turístico) que ya no puede ser enjuiciado ante este tribunal vía recurso de inconstitucionalidad, al haber transcurrido el plazo de los tres meses posteriores a la publicación de las leyes que lo establecieron (art. 33.1 de la Ley Orgánica 2/1979, de 3 de octubre, del Tribunal Constitucional; en adelante, LOTC). De ahí que se arguya la extemporaneidad no solo de las impugnaciones de los nuevos arts. 26.1 y 34 de la Ley 5/2017 porque el art 5 de la Ley 5/2020 únicamente extiende el gravamen a las embar</w:t>
      </w:r>
      <w:r>
        <w:lastRenderedPageBreak/>
        <w:t>caciones de crucero que fondeen en el puerto y modifica la cuantía de las tarifas ya existentes para las embarcaciones, respectivamente; sino también de las impugnaciones del resto de preceptos y/o regulación de la Ley 5/2017, en lo que afecta a las embarcaciones de crucero turístico, que no han sido modificados por el art. 5 de la Ley 5/2020 [en concreto, de los arts. 26.3 c), 26.4, 28.2 y 46].</w:t>
      </w:r>
    </w:p>
    <w:p w:rsidR="005728DD" w:rsidRDefault="005728DD" w:rsidP="005728DD">
      <w:pPr>
        <w:pStyle w:val="TextoNormal"/>
      </w:pPr>
    </w:p>
    <w:p w:rsidR="005728DD" w:rsidRDefault="005728DD" w:rsidP="005728DD">
      <w:pPr>
        <w:pStyle w:val="TextoNormal"/>
      </w:pPr>
      <w:r>
        <w:t>B) Sobre la vulneración del art. 6.2 LOFCA, tras un estudio comparativo, no solo de los hechos imponibles, sino de todos los elementos esenciales que integran la estructura de ambos tributos, la abogada de la Generalitat dice que el impuesto sobre estancias en establecimientos turísticos y la tasa del buque no son figuras tributarias equivalentes o coincidentes por las siguientes razones:</w:t>
      </w:r>
    </w:p>
    <w:p w:rsidR="005728DD" w:rsidRDefault="005728DD" w:rsidP="005728DD">
      <w:pPr>
        <w:pStyle w:val="TextoNormal"/>
      </w:pPr>
    </w:p>
    <w:p w:rsidR="005728DD" w:rsidRDefault="005728DD" w:rsidP="005728DD">
      <w:pPr>
        <w:pStyle w:val="TextoNormal"/>
      </w:pPr>
      <w:r>
        <w:t>a) Sus hechos imponibles difieren porque se trata de categorías tributarias diferentes (impuesto y tasa, respectivamente), como establece el art. 2.2 LGT, el art. 6 de la Ley 8/1989, de 13 de abril de tasas y precios públicos, y como reconoce el propio Tribunal Constitucional (SSTC 296/1994, de 10 de noviembre, FJ 4, y 16/2003, de 30 de enero, FJ 3). En este sentido, de una comparación del tenor literal de los arts. 26.1 de la Ley 5/2017 y 194 del texto refundido de la Ley de puertos del Estado y de la marina mercante se aprecia que el hecho imponible del impuesto sobre estancias en establecimientos turísticos se basa en un hecho demostrativo de capacidad económica del contribuyente, cual es la estancia de una persona física en un establecimiento turístico (entre ellos, la embarcación de crucero), y el hecho imponible de la tasa del buque es la utilización privativa del dominio público portuario por parte de la embarcación de crucero. Así pues, el hecho de que el impuesto sujete a gravamen a todos los pasajeros, desembarquen o no en el puerto, no lleva a concluir, como aducen los recurrentes, que grave realmente la estancia del buque en el puerto, sino que grava efectivamente la estancia (alojamiento) de los pasajeros en embarcaciones de crucero con independencia de la conducta turística que desarrollen. Además, se recuerda que el impuesto sobre estancias en establecimientos turísticos solo grava a los pasajeros en tránsito y no a los que embarcan e inician su viaje en un puerto de Cataluña ni a los que desembarcan en dichos puertos como destino final (art. 28.2 de la Ley 5/2017).</w:t>
      </w:r>
    </w:p>
    <w:p w:rsidR="005728DD" w:rsidRDefault="005728DD" w:rsidP="005728DD">
      <w:pPr>
        <w:pStyle w:val="TextoNormal"/>
      </w:pPr>
    </w:p>
    <w:p w:rsidR="005728DD" w:rsidRDefault="005728DD" w:rsidP="005728DD">
      <w:pPr>
        <w:pStyle w:val="TextoNormal"/>
      </w:pPr>
      <w:r>
        <w:t>b) No solo las figuras del contribuyente y del sustituto del impuesto (arts. 29 y 30 de la Ley 5/2017) recaen sobre personas distintas, al igual que sucede con el contribuyente y el sustituto de la tasa del buque (art. 195.1 y 2 del texto refundido de la Ley de puertos del Estado y de la marina mercante), sino que no existe coincidencia alguna: (i) entre los contribuyentes de ambos impuestos (en el impuesto sobre estancias en establecimientos turísticos, la persona física que realiza la estancia en la embarcación de crucero turístico o la persona jurídica a cuyo nombre se entrega la factura por dicha estancia; y en la tasa del buque, solidariamente, el propietario, el naviero y el capitán del mismo); y (ii) entre los sustitutos del contribuyente de ambos tributos [en el impuesto sobre estancias en establecimientos turísticos, el titular de la explotación de embarcación de crucero turístico; y en la tasa del buque, solidariamente, el consignatario (si este se encuentra consignado) y el concesionario o autorizado, en los muelles, pantalanes e instalaciones portuarias de atraque otorgadas en concesión o autorización]. No puede mezclarse, como hace la parte recurrente, el sustituto del contribuyente con el mismo contribuyente, ya que su cometido es facilitar la gestión del impuesto y el presupuesto legal que llama al sustituto a ocupar esa situación debe ser, necesariamente, un presupuesto jurídico distinto del hecho imponible (STC 94/2017, FJ 7).</w:t>
      </w:r>
    </w:p>
    <w:p w:rsidR="005728DD" w:rsidRDefault="005728DD" w:rsidP="005728DD">
      <w:pPr>
        <w:pStyle w:val="TextoNormal"/>
      </w:pPr>
    </w:p>
    <w:p w:rsidR="005728DD" w:rsidRDefault="005728DD" w:rsidP="005728DD">
      <w:pPr>
        <w:pStyle w:val="TextoNormal"/>
      </w:pPr>
      <w:r>
        <w:t>c) El hecho de que estos tributos se devenguen en el mismo momento (art. 28 de la Ley 5/2017 y art. 196 del texto refundido de la Ley de puertos del Estado y de la marina mercante) no evidencia que sean tributos equivalentes. Prueba de ello es que tampoco lo son el impuesto sobre bienes inmuebles (IBI), el impuesto sobre actividades económicas (IAE) y el impuesto sobre vehículos de tracción mecánica (IVTM), devengándose todos el 1 de enero de cada año; ni el impuesto sobre la renta de las personas físicas (IRPF) y el impuesto de patrimonio, haciéndolo ambos el 31 de diciembre de cada año.</w:t>
      </w:r>
    </w:p>
    <w:p w:rsidR="005728DD" w:rsidRDefault="005728DD" w:rsidP="005728DD">
      <w:pPr>
        <w:pStyle w:val="TextoNormal"/>
      </w:pPr>
    </w:p>
    <w:p w:rsidR="005728DD" w:rsidRDefault="005728DD" w:rsidP="005728DD">
      <w:pPr>
        <w:pStyle w:val="TextoNormal"/>
      </w:pPr>
      <w:r>
        <w:t xml:space="preserve">d) Otros elementos diferenciadores entre ambos tributos son: (i) en primer lugar, su objeto. Según el art. 23 de la Ley 5/2017, en el impuesto sobre estancias en establecimientos turísticos conviven las dos finalidades que </w:t>
      </w:r>
      <w:r w:rsidRPr="005728DD">
        <w:rPr>
          <w:i/>
        </w:rPr>
        <w:t>ex</w:t>
      </w:r>
      <w:r>
        <w:t xml:space="preserve"> art. 2 LGT puede tener un tributo: la recaudatoria, contribuyendo al sostenimiento de las cargas públicas al gravar la capacidad económica manifestada por la persona física al realizar estancias en establecimientos y equipamientos turísticos, y la extrafiscal, al pretender internalizar las posibles externalidades que el turismo puede causar en las zonas de alta concentración turística. En cambio, la tasa tiene finalidad retributiva por la utilización privativa del dominio público portuario. (ii) En segundo lugar, por el principio de capacidad económica, inherente al concepto de impuesto (art. 2.2 c LGT) y solo de aplicación a las tasas “cuando lo permitan las características del tributo” (art. 8 de la Ley 8/1989). (iii) En tercer lugar, el régimen de exenciones establecido para el impuesto sobre estancias en establecimientos turísticos en el art. 27 de la Ley 5/2017 (estancias por causas de salud o por fuerza mayor, las subvencionadas por programas sociales de una administración pública o la de los menores de dieciséis años), del que carece la tasa del buque. (iv) En cuarto lugar, los elementos cuantificadores. Por un lado, en cuanto a la base imponible, en el impuesto sobre estancias en establecimientos turísticos es el número de unidades de estancia del contribuyente en el mismo establecimiento durante un tiempo continuado, computadas por días o fracciones, con un máximo de siete (art. 33 de la Ley 5/2017); mientras que en la tasa del buque se constituye multiplicando el arqueo bruto del buque por el tiempo de estancia en el puerto, computado por horas o fracciones, con un mínimo de tres horas por estancia y un máximo de quince horas por escala de veinticuatro horas (art. 197-199 del texto refundido de la Ley de puertos del Estado y de la marina mercante). Por otro lado, en cuanto al tipo de gravamen y la cuota, en el impuesto sobre estancias en establecimientos turísticos esta se obtiene multiplicando el número de estancias por el tipo de gravamen en función del tipo de establecimiento y localización, de acuerdo con las tarifas establecidas en el art. 34.1 de la Ley 5/2017 (una general en función del tipo de establecimiento y de su localización en Barcelona ciudad o en el resto de Cataluña, y una especial para establecimientos ubicados en centros recreativos turísticos). En cambio, en la tasa del buque (T-1), la cuota se halla teniendo en cuenta el arqueo bruto del buque, la zona del puerto en la que se atraca o fondea y la aplicación de unos coeficientes que atienden a diferentes circunstancias que se integran dentro de los supuestos de atraque (o fondeo en aguas) otorgado o no en régimen de concesión o autorización (arts. 197-199 del texto refundido de la Ley de puertos del Estado y de la marina mercante). (v) En último lugar, el carácter finalista del impuesto sobre estancias en establecimientos turísticos, cuya recaudación se afecta a la dotación del fondo de fomento del turismo, para financiar políticas turísticas para la mejora de la competitividad de Cataluña como destino turístico y garantizar su sostenibilidad, mientras que la finalidad de la tasa del buque es exclusivamente recaudatoria.</w:t>
      </w:r>
    </w:p>
    <w:p w:rsidR="005728DD" w:rsidRDefault="005728DD" w:rsidP="005728DD">
      <w:pPr>
        <w:pStyle w:val="TextoNormal"/>
      </w:pPr>
    </w:p>
    <w:p w:rsidR="005728DD" w:rsidRDefault="005728DD" w:rsidP="005728DD">
      <w:pPr>
        <w:pStyle w:val="TextoNormal"/>
      </w:pPr>
      <w:r>
        <w:lastRenderedPageBreak/>
        <w:t>C) Para la representación de la Generalitat, la sujeción al impuesto de las estancias en embarcaciones de crucero turístico (nuevo art. 26.1 de la Ley 5/2017) no supone una restricción injustificada a la libre circulación de personas y servicios dentro del territorio nacional prohibida por los arts. 157.2 CE y 9 c) LOFCA.</w:t>
      </w:r>
    </w:p>
    <w:p w:rsidR="005728DD" w:rsidRDefault="005728DD" w:rsidP="005728DD">
      <w:pPr>
        <w:pStyle w:val="TextoNormal"/>
      </w:pPr>
    </w:p>
    <w:p w:rsidR="005728DD" w:rsidRDefault="005728DD" w:rsidP="005728DD">
      <w:pPr>
        <w:pStyle w:val="TextoNormal"/>
      </w:pPr>
      <w:r>
        <w:t>a) La citada sujeción al impuesto sobre estancias en establecimientos turísticos se justifica no solo en la competencia autonómica para crear tributos propios [arts. 133.2 y 157.1 b) CE y arts. 202.3 a) y 203.5 EAC], sino en la competencia en materia de tributos con finalidad extrafiscal, siempre que dicha finalidad sea de competencia autonómica (STC 37/2017, de 26 de marzo, FJ 13), como lo es mejorar la competitividad de Cataluña como destino turístico y garantizar su sostenibilidad (art. 171 EAC).</w:t>
      </w:r>
    </w:p>
    <w:p w:rsidR="005728DD" w:rsidRDefault="005728DD" w:rsidP="005728DD">
      <w:pPr>
        <w:pStyle w:val="TextoNormal"/>
      </w:pPr>
    </w:p>
    <w:p w:rsidR="005728DD" w:rsidRDefault="005728DD" w:rsidP="005728DD">
      <w:pPr>
        <w:pStyle w:val="TextoNormal"/>
      </w:pPr>
      <w:r>
        <w:t>b) Se alega que es mínimo el encarecimiento de las estancias, argüida por los recurrentes, frente a las realizadas en otros puertos españoles, ya que la mayor parte de los cruceros realizan estancias de menos de un día (computada como una estancia) y el importe del impuesto sobre estancias en establecimientos turísticos por persona (exceptuando las exentas) es, a partir del 1 de enero de 2021, de tres euros, si el crucero amarra o fondea más de doce horas o de un euro si lo hace durante doce horas o menos. Y por lo que respecta a las empresas turísticas, sustitutos del contribuyente en el impuesto, se asevera que al elaborar el proyecto de reglamento del impuesto (Decreto 141/2017, de 18 de diciembre) se estimó el coste de presentar dos autoliquidaciones al año en veinte euros anuales por crucero, teniendo en cuenta que esta tarea se efectúa por personal administrativo y generalmente son por los consignatarios en nombre y por cuenta de aquellas quienes la realizan. De ahí que se afirme que ese incremento no tiene la entidad suficiente para comportar una alteración en el comportamiento de los agentes del mercado del sector de los cruceros turísticos.</w:t>
      </w:r>
    </w:p>
    <w:p w:rsidR="005728DD" w:rsidRDefault="005728DD" w:rsidP="005728DD">
      <w:pPr>
        <w:pStyle w:val="TextoNormal"/>
      </w:pPr>
    </w:p>
    <w:p w:rsidR="005728DD" w:rsidRDefault="005728DD" w:rsidP="005728DD">
      <w:pPr>
        <w:pStyle w:val="TextoNormal"/>
      </w:pPr>
      <w:r>
        <w:t xml:space="preserve">c) Se aporta documentación oficial sobre el número de viajeros que visitaron Cataluña en 2019 (39,3 millones, con un total de 89 millones de pernoctaciones) y sobre la evolución al alza del volumen de cruceristas en el puerto de Barcelona desde el 2012 (fecha de creación del impuesto sobre estancias en establecimientos turísticos, 2 408 618) hasta el ejercicio 2019 (3 137 918), según los informes estadísticos del tráfico de pasajeros del Puerto de Barcelona. Asimismo, se analiza que la aplicación del impuesto a las embarcaciones de crucero turístico no afecta a la libre circulación de servicios </w:t>
      </w:r>
      <w:r w:rsidRPr="005728DD">
        <w:rPr>
          <w:i/>
        </w:rPr>
        <w:t>ex</w:t>
      </w:r>
      <w:r>
        <w:t xml:space="preserve"> art. 56 del Tratado de funcionamiento de la Unión Europea (TFUE) (al contener una regulación que no distingue en función de la nacionalidad de las empresas que explotan este servicio y que grava de la misma forma a los contribuyentes del impuesto independientemente de su nacionalidad), ni contraviene las prohibiciones de los arts. 96.1 y 110 TFUE por la misma razón.</w:t>
      </w:r>
    </w:p>
    <w:p w:rsidR="005728DD" w:rsidRDefault="005728DD" w:rsidP="005728DD">
      <w:pPr>
        <w:pStyle w:val="TextoNormal"/>
      </w:pPr>
    </w:p>
    <w:p w:rsidR="005728DD" w:rsidRDefault="005728DD" w:rsidP="005728DD">
      <w:pPr>
        <w:pStyle w:val="TextoNormal"/>
      </w:pPr>
      <w:r>
        <w:t>D) Sobre las diversas vulneraciones del principio de igualdad tributaria del art. 31.1 CE en relación con el art. 14 CE, la abogada de la Generalitat alega que no existe discriminación en el impuesto en función del medio de transporte utilizado por el visitante para llegar a Cataluña, al someter a gravamen únicamente a quienes llegan en embarcaciones de crucero turístico, puesto que la manifestación de riqueza gravada por el impuesto sobre estancias en establecimientos turísticos es el consumo de servicios de estancia o alojamiento, con o sin pernoctación, en establecimientos o equipamientos turísticos, aunque sea por unas horas. Con lo cual, la embarcación de crucero turístico no se considera en el impuesto como un medio de transporte sino como alojamiento, que es lo gravado en este impuesto.</w:t>
      </w:r>
    </w:p>
    <w:p w:rsidR="005728DD" w:rsidRDefault="005728DD" w:rsidP="005728DD">
      <w:pPr>
        <w:pStyle w:val="TextoNormal"/>
      </w:pPr>
    </w:p>
    <w:p w:rsidR="005728DD" w:rsidRDefault="005728DD" w:rsidP="005728DD">
      <w:pPr>
        <w:pStyle w:val="TextoNormal"/>
      </w:pPr>
      <w:r>
        <w:lastRenderedPageBreak/>
        <w:t>a) Asimismo se argumenta, de un lado, que la exclusión de las embarcaciones de crucero turístico del ámbito del impuesto sobre estancias en establecimientos turísticos produciría una quiebra del principio de generalidad (art. 31.1 CE) al exceptuar de gravamen la estancia o alojamiento en un concreto establecimiento turístico; y, de otro, que el número de horas de duración de la estancia en cruceros turísticos no es significativo para la configuración del hecho imponible sino para calcular la cuota, porque tienen una tarifa superior en dos euros las que sobrepasan de doce horas.</w:t>
      </w:r>
    </w:p>
    <w:p w:rsidR="005728DD" w:rsidRDefault="005728DD" w:rsidP="005728DD">
      <w:pPr>
        <w:pStyle w:val="TextoNormal"/>
      </w:pPr>
    </w:p>
    <w:p w:rsidR="005728DD" w:rsidRDefault="005728DD" w:rsidP="005728DD">
      <w:pPr>
        <w:pStyle w:val="TextoNormal"/>
      </w:pPr>
      <w:r>
        <w:t>b) Por último, se afirma que el hecho de que el impuesto sobre estancias en establecimientos turísticos pretenda internalizar las posibles externalidades que provoca el turismo en las zonas de alta concentración turística no significa, como entienden los recurrentes, que se deba gravar a todos los visitantes que permanezcan en un puerto de Cataluña independientemente del tipo de embarcación. Y ello porque toda embarcación de recreo en la que los pasajeros puedan realizar estancias o alojarse a bordo son cruceros turísticos, de acuerdo con la normativa europea y la Ley catalana 10/2009 y, por tanto, objeto de gravamen. La abogada de la Generalitat se apoya en la consulta tributaria núm. 343E/12, de 5 de noviembre, de la Dirección General de Tributos de la Generalitat de Cataluña, donde se entiende que aquellas embarcaciones de crucero turístico que realizan excursiones en línea regular de una hora y media y hasta cuatro horas de duración (o incluso hasta doce horas) en las que no se ofrecen servicios de alojamiento, no se gravan por el impuesto.</w:t>
      </w:r>
    </w:p>
    <w:p w:rsidR="005728DD" w:rsidRDefault="005728DD" w:rsidP="005728DD">
      <w:pPr>
        <w:pStyle w:val="TextoNormal"/>
      </w:pPr>
    </w:p>
    <w:p w:rsidR="005728DD" w:rsidRDefault="005728DD" w:rsidP="005728DD">
      <w:pPr>
        <w:pStyle w:val="TextoNormal"/>
      </w:pPr>
      <w:r>
        <w:t xml:space="preserve">E) En cuanto al art. 34 </w:t>
      </w:r>
      <w:r w:rsidRPr="005728DD">
        <w:rPr>
          <w:i/>
        </w:rPr>
        <w:t>bis</w:t>
      </w:r>
      <w:r>
        <w:t xml:space="preserve"> de la Ley 5/2017, la representación autonómica se basa en el Dictamen 4/2020, de 17 de abril, del Consell de Garanties Estatutàries de Catalunya para defender su constitucionalidad.</w:t>
      </w:r>
    </w:p>
    <w:p w:rsidR="005728DD" w:rsidRDefault="005728DD" w:rsidP="005728DD">
      <w:pPr>
        <w:pStyle w:val="TextoNormal"/>
      </w:pPr>
    </w:p>
    <w:p w:rsidR="005728DD" w:rsidRDefault="005728DD" w:rsidP="005728DD">
      <w:pPr>
        <w:pStyle w:val="TextoNormal"/>
      </w:pPr>
      <w:r>
        <w:t>a) Comienza justificando en los arts. 2.1 b) y 38.2 TRLHL la posibilidad de que la comunidad autónoma autorice a los entes locales a establecer un recargo sobre un impuesto autonómico propio. De igual forma, justifica el hecho de que se habilite únicamente al Ayuntamiento de Barcelona, de un lado, en el régimen jurídico especial del municipio de Barcelona reconocido en el art. 89 EAC y en la Carta municipal de Barcelona (Ley catalana 22/1998, de 30 de diciembre, art. 5.1) y, de otro, en el régimen financiero especial que le reconoce en el art. 161 TRLHL y que se plasmó en la Ley 1/2006, de 13 de marzo, reguladora del régimen especial del municipio de Barcelona, concretamente en el art. 39 f), que incluye como recursos de la hacienda municipal los recargos legalmente establecidos sobre tributos autonómicos. Además, es fácilmente constatable, asegura la abogada de la Generalitat, que la concentración turística que se produce en la ciudad de Barcelona durante todo el año no es equiparable a ningún otro municipio de Cataluña y que el recargo pretende compensar los efectos de esa superior densidad turística. También argumenta brevemente que la creación de este recargo no conculca: (i) el principio de reserva de ley (art. 31.3 CE); (ii) el principio de capacidad económica (art. 31.1 CE); (iii) el principio de igualdad tributaria (ni por razones subjetivas del art. 14 CE ni por razones objetivas del art. 31.1 CE); (iv) ni la prohibición de equivalencia de los arts. 6.2 y 6.3 LOFCA.</w:t>
      </w:r>
    </w:p>
    <w:p w:rsidR="005728DD" w:rsidRDefault="005728DD" w:rsidP="005728DD">
      <w:pPr>
        <w:pStyle w:val="TextoNormal"/>
      </w:pPr>
    </w:p>
    <w:p w:rsidR="005728DD" w:rsidRDefault="005728DD" w:rsidP="005728DD">
      <w:pPr>
        <w:pStyle w:val="TextoNormal"/>
      </w:pPr>
      <w:r>
        <w:t xml:space="preserve">b) Acto seguido afirma que el carácter accesorio de este recargo impide que se le pueda considerar un nuevo impuesto, como asevera el escrito de interposición. En efecto, según la doctrina constitucional, la accesoriedad exige que el recargo no se configure de forma autónoma al impuesto sobre el que recae, ya que la habilitación legal es para incrementar su tarifa y no para alterar sus elementos esenciales; dicha accesoriedad se mantiene en el art. </w:t>
      </w:r>
      <w:r>
        <w:lastRenderedPageBreak/>
        <w:t xml:space="preserve">34 </w:t>
      </w:r>
      <w:r w:rsidRPr="005728DD">
        <w:rPr>
          <w:i/>
        </w:rPr>
        <w:t>bis</w:t>
      </w:r>
      <w:r>
        <w:t xml:space="preserve"> de la Ley 5/2017, donde se prevé: (i) que el importe máximo sea de cuatro euros; (ii) que sea único para todas las categorías incluidas en cada tipo de establecimiento en el art. 34 de la Ley 5/2017, y (iii) que, respetando los límites anteriores, se puedan establecer diferentes importes en función del código postal de ubicación de los establecimientos. Con ello, se confirma, primero, la no existencia en el precepto autonómico impugnado de una habilitación, en blanco para el Ayuntamiento de Barcelona, puesto que el único requisito impuesto por el Tribunal Constitucional es que el importe máximo del recargo se imponga por ley; y, segundo, el carácter accesorio del recargo, que se predica de la dependencia del impuesto sobre el que recae y no de la cuantía del mismo; cuantía que, de ser desorbitada, podría cuestionarse únicamente su proporcionalidad y no su accesoriedad. Asimismo, aduce que el hecho de que se imponga un límite máximo, no significa que el recargo que cree el Ayuntamiento de Barcelona vaya a ser de cuatro euros. De hecho, la ordenanza municipal, que a fecha de interposición de este recurso está en fase de información pública, establece un periodo transitorio de aplicación entre los años 2021 y 2023, durante los cuales se irá aplicando un incremento progresivo hasta alcanzar los 4 € en el ejercicio 2024, de acuerdo con la siguiente escala: año 2021 – 0,75 €; año 2022 – 1,75 €; y año 2023 – 2,75 €.</w:t>
      </w:r>
    </w:p>
    <w:p w:rsidR="005728DD" w:rsidRDefault="005728DD" w:rsidP="005728DD">
      <w:pPr>
        <w:pStyle w:val="TextoNormal"/>
      </w:pPr>
    </w:p>
    <w:p w:rsidR="005728DD" w:rsidRDefault="005728DD" w:rsidP="005728DD">
      <w:pPr>
        <w:pStyle w:val="TextoNormal"/>
      </w:pPr>
      <w:r>
        <w:t>c) Tampoco comparte la alegación de los recurrentes de que el recargo sea materialmente un nuevo tributo local porque carezca de la finalidad extrafiscal que tiene el impuesto sobre estancias en establecimientos turísticos (art. 24 de la Ley 5/2014). Y ello porque los tributos no responden exclusivamente a una sola finalidad, sin que la introducción de otras finalidades (fiscales o extrafiscales) en sus elementos accesorios le hagan cambiar de naturaleza; doctrina que se extiende también a los recargos (STC 4/2019, FJ 6).</w:t>
      </w:r>
    </w:p>
    <w:p w:rsidR="005728DD" w:rsidRDefault="005728DD" w:rsidP="005728DD">
      <w:pPr>
        <w:pStyle w:val="TextoNormal"/>
      </w:pPr>
    </w:p>
    <w:p w:rsidR="005728DD" w:rsidRDefault="005728DD" w:rsidP="005728DD">
      <w:pPr>
        <w:pStyle w:val="TextoNormal"/>
      </w:pPr>
      <w:r>
        <w:t>d) Por todo lo anterior queda acreditado, a juicio de la abogada de la Generalitat, que el recargo sobre el impuesto sobre estancias en establecimientos turísticos creado por la Ley 5/2020 al amparo del art. 203.5 EAC solo es un elemento más de cuantificación del impuesto, inserto en su regulación, en concreto en la parte destinada al tipo de gravamen y la cuota (art. 34), que es respetuoso con la competencia del Estado en materia de hacienda general (art. 149.1.14 CE) y con la prohibición de doble tributación del art. 6.2 LOFCA, y que no crea un nuevo tributo municipal, siendo conforme por tanto a los arts. 2, 9.3, 14, 31.1 y 3, y 133.2 CE.</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escrito registrado en este tribunal el 17 de noviembre de 2020, el letrado del Parlamento de Cataluña, en la representación que ostenta, presenta sus alegaciones, solicitando que se declare la plena constitucionalidad del art. 5 de la Ley 5/2020 y haciendo suyas en lo esencial las alegaciones de la abogada de la Generalitat resumidas anteriormente.</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1 de junio de 2021, se señaló para deliberación y votación de la presente sentencia el 3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inconstitucionalidad y posiciones de las partes</w:t>
      </w:r>
      <w:r>
        <w:t>.</w:t>
      </w:r>
    </w:p>
    <w:p w:rsidR="005728DD" w:rsidRDefault="005728DD" w:rsidP="005728DD">
      <w:pPr>
        <w:pStyle w:val="TextoNormal"/>
      </w:pPr>
    </w:p>
    <w:p w:rsidR="005728DD" w:rsidRDefault="005728DD" w:rsidP="005728DD">
      <w:pPr>
        <w:pStyle w:val="TextoNormal"/>
      </w:pPr>
      <w:r>
        <w:t xml:space="preserve">El presente recurso de inconstitucionalidad ha sido promovido por más de cincuenta diputados del Grupo Parlamentario Popular contra el art. 5 de la Ley del Parlamento de </w:t>
      </w:r>
      <w:r>
        <w:lastRenderedPageBreak/>
        <w:t>Cataluña 5/2020, de 29 de abril, de medidas fiscales, financieras, administrativas y del sector público y de creación del impuesto sobre instalaciones que inciden en el medio ambiente (en adelante, Ley 5/2020).</w:t>
      </w:r>
    </w:p>
    <w:p w:rsidR="005728DD" w:rsidRDefault="005728DD" w:rsidP="005728DD">
      <w:pPr>
        <w:pStyle w:val="TextoNormal"/>
      </w:pPr>
    </w:p>
    <w:p w:rsidR="005728DD" w:rsidRDefault="005728DD" w:rsidP="005728DD">
      <w:pPr>
        <w:pStyle w:val="TextoNormal"/>
      </w:pPr>
      <w:r>
        <w:t>a) El precepto autonómico impugnado, que consta de seis apartados, modifica la regulación del impuesto sobre estancias en establecimientos turísticos contenida en la Ley del Parlamento de Cataluña 5/2017, de 28 de marzo, de medidas fiscales, financieras, administrativas y del sector público y de creación y regulación de los impuestos sobre grandes establecimientos comerciales, sobre estancias en establecimientos turísticos, sobre elementos radiotóxicos, sobre bebidas azucaradas envasadas y sobre emisiones de dióxido de carbono (en adelante, Ley 5/2017).</w:t>
      </w:r>
    </w:p>
    <w:p w:rsidR="005728DD" w:rsidRDefault="005728DD" w:rsidP="005728DD">
      <w:pPr>
        <w:pStyle w:val="TextoNormal"/>
      </w:pPr>
    </w:p>
    <w:p w:rsidR="005728DD" w:rsidRDefault="005728DD" w:rsidP="005728DD">
      <w:pPr>
        <w:pStyle w:val="TextoNormal"/>
      </w:pPr>
      <w:r>
        <w:t xml:space="preserve">Por un lado, en lo que concierne al impuesto sobre estancias en establecimientos turísticos </w:t>
      </w:r>
      <w:r w:rsidRPr="005728DD">
        <w:rPr>
          <w:i/>
        </w:rPr>
        <w:t>stricto sensu</w:t>
      </w:r>
      <w:r>
        <w:t>, dos de los apartados del art. 5 de la Ley 5/2020 dan nueva redacción a dos artículos de la Ley 5/2017: al art. 26.1, ampliando el hecho imponible a las estancias en embarcaciones de crucero turístico fondeadas en los puertos del territorio de la Comunidad Autónoma de Cataluña (apartado 2 del art. 5 de la Ley 5/2020), y al art. 34.1, incrementando tanto las tarifas generales establecidas en función del tipo de establecimiento y su ubicación en Barcelona ciudad o en el resto de Cataluña, como las tarifas especiales para los establecimientos situados en las áreas en que se admiten actividades de juego y apuestas dentro los centros recreativos turísticos (apartado 3 del art. 5 de la Ley 5/2020).</w:t>
      </w:r>
    </w:p>
    <w:p w:rsidR="005728DD" w:rsidRDefault="005728DD" w:rsidP="005728DD">
      <w:pPr>
        <w:pStyle w:val="TextoNormal"/>
      </w:pPr>
    </w:p>
    <w:p w:rsidR="005728DD" w:rsidRDefault="005728DD" w:rsidP="005728DD">
      <w:pPr>
        <w:pStyle w:val="TextoNormal"/>
      </w:pPr>
      <w:r>
        <w:t xml:space="preserve">Se introducen </w:t>
      </w:r>
      <w:r w:rsidRPr="005728DD">
        <w:rPr>
          <w:i/>
        </w:rPr>
        <w:t>ex novo</w:t>
      </w:r>
      <w:r>
        <w:t xml:space="preserve"> dos preceptos en la Ley 5/2017 (arts. 34 </w:t>
      </w:r>
      <w:r w:rsidRPr="005728DD">
        <w:rPr>
          <w:i/>
        </w:rPr>
        <w:t>bis</w:t>
      </w:r>
      <w:r>
        <w:t xml:space="preserve"> y 50 </w:t>
      </w:r>
      <w:r w:rsidRPr="005728DD">
        <w:rPr>
          <w:i/>
        </w:rPr>
        <w:t>bis</w:t>
      </w:r>
      <w:r>
        <w:t xml:space="preserve">) mediante los apartados 4 y 6 del art. 5 de la Ley 5/2020, habilitando al Ayuntamiento de Barcelona a establecer un recargo sobre el impuesto y estableciendo un régimen transitorio para su aplicación, respectivamente. Asimismo, se incluyen referencias expresas sobre el citado recargo municipal en tres preceptos de la Ley 5/2017: (i) En el art. 24 (“afectación de ingresos”) se añade que los ingresos derivados del recargo no se afectarán, a diferencia de los recaudados del impuesto sobre estancias en establecimientos turísticos, a la dotación del fondo para el fomento del turismo ni a las finalidades que para él se determinan en el art. 49 de la Ley 5/2017 (apartado 1 del art. 5 de la Ley 5/2020); (ii) en el art. 34.3 (“tipos de gravamen y cuota”) se explicita que, en caso de reserva anticipada del alojamiento, la tarifa aplicable será la vigente en el momento en que se realiza dicha reserva “siempre que se satisfaga en ese momento el importe de la reserva y del impuesto incluido, en su caso, el recargo al que se refiere el artículo 34 </w:t>
      </w:r>
      <w:r w:rsidRPr="005728DD">
        <w:rPr>
          <w:i/>
        </w:rPr>
        <w:t>bis</w:t>
      </w:r>
      <w:r>
        <w:t xml:space="preserve">” (apartado 3 del art. 5 de la Ley 5/2020); y (iii) en el art. 35 (“facturación”) se precisa que, en el caso de establecimientos situados en la ciudad de Barcelona, la cuota del impuesto que debe reflejarse en la factura “se determinará por la aplicación, al número de unidades de estancia, del importe resultante de sumar el tipo de gravamen del apartado 1 del artículo 34 y el recargo que haya aprobado el ayuntamiento de acuerdo con el artículo 34 </w:t>
      </w:r>
      <w:r w:rsidRPr="005728DD">
        <w:rPr>
          <w:i/>
        </w:rPr>
        <w:t>bis</w:t>
      </w:r>
      <w:r>
        <w:t>” (apartado 5 del art. 5 de la Ley 5/2020).</w:t>
      </w:r>
    </w:p>
    <w:p w:rsidR="005728DD" w:rsidRDefault="005728DD" w:rsidP="005728DD">
      <w:pPr>
        <w:pStyle w:val="TextoNormal"/>
      </w:pPr>
    </w:p>
    <w:p w:rsidR="005728DD" w:rsidRDefault="005728DD" w:rsidP="005728DD">
      <w:pPr>
        <w:pStyle w:val="TextoNormal"/>
      </w:pPr>
      <w:r>
        <w:t xml:space="preserve">Resta resaltar que la entrada en vigor del referido incremento de tarifas del impuesto del art. 34.1 de la Ley 5/2017 y la aplicación del recargo sobre el impuesto sobre estancias en establecimientos turísticos, aprobado por el Ayuntamiento de Barcelona y prevista en el art. 50 </w:t>
      </w:r>
      <w:r w:rsidRPr="005728DD">
        <w:rPr>
          <w:i/>
        </w:rPr>
        <w:t>bis</w:t>
      </w:r>
      <w:r>
        <w:t xml:space="preserve"> de la Ley 5/2017, fijadas ambas inicialmente el 1 de julio de 2020 por los arts. 5.3 y 5.6 de la Ley 5/2020, se han aplazado en dos ocasiones: (i) al 1 de enero de 2021, en virtud del art. 1 del Decreto-ley del Parlamento de Cataluña 23/2020, de 9 de junio, de medidas urgentes en materia tributaria; y (ii) al 1 de junio de 2021, mediante el art. 1 del Decreto-</w:t>
      </w:r>
      <w:r>
        <w:lastRenderedPageBreak/>
        <w:t>ley del Parlamento de Cataluña 36/2020, de 3 de noviembre, de medidas urgentes en el ámbito del impuesto sobre las estancias en establecimientos turísticos y del impuesto sobre la renta de las personas físicas. En lo que afecta al aumento de las tarifas del impuesto, el artículo único del Decreto-ley del Parlamento de Cataluña 12/2021, de 18 de mayo, relativo al impuesto sobre las estancias en establecimientos turísticos, ha pospuesto de nuevo su entrada en vigor al 1 de octubre de 2021.</w:t>
      </w:r>
    </w:p>
    <w:p w:rsidR="005728DD" w:rsidRDefault="005728DD" w:rsidP="005728DD">
      <w:pPr>
        <w:pStyle w:val="TextoNormal"/>
      </w:pPr>
    </w:p>
    <w:p w:rsidR="005728DD" w:rsidRDefault="005728DD" w:rsidP="005728DD">
      <w:pPr>
        <w:pStyle w:val="TextoNormal"/>
      </w:pPr>
      <w:r>
        <w:t xml:space="preserve">b) Los diputados recurrentes solicitan la inconstitucionalidad y nulidad del art. 5 de la Ley 5/2020 en su aplicación a las embarcaciones de crucero turístico, así como del resto de la regulación del impuesto sobre estancias en establecimientos turísticos contenida en la Ley 5/2017 que se refiera a las estancias en dichas embarcaciones. En este sentido, denuncian que la inclusión en el hecho imponible de las estancias en embarcaciones de crucero turístico (art. 26.1 de la Ley 5/2017 en su redacción por el art. 5.2 de la Ley 5/2020) comporta tres vicios de inconstitucionalidad, basados en los argumentos ya recogidos en los antecedentes. Primero, una doble imposición prohibida por el art. 6.2 LOFCA. Segundo, una restricción injustificada a la libre circulación de personas y servicios, contraria a los arts. 157.2 CE y 9 c) LOFCA. Y, tercero, una contravención del principio de igualdad tributaria del art. 31.1 CE en relación con el art. 14 CE. Adicionalmente, imputan al art. 34 </w:t>
      </w:r>
      <w:r w:rsidRPr="005728DD">
        <w:rPr>
          <w:i/>
        </w:rPr>
        <w:t>bis</w:t>
      </w:r>
      <w:r>
        <w:t xml:space="preserve"> de la Ley 5/2017, introducido por el art. 5.4 de la Ley 5/2020, una vulneración de los arts. 2, 31.3 y 133.1 CE, dada la incompetencia de la Comunidad Autónoma de Cataluña para crear nuevos tributos municipales.</w:t>
      </w:r>
    </w:p>
    <w:p w:rsidR="005728DD" w:rsidRDefault="005728DD" w:rsidP="005728DD">
      <w:pPr>
        <w:pStyle w:val="TextoNormal"/>
      </w:pPr>
    </w:p>
    <w:p w:rsidR="005728DD" w:rsidRDefault="005728DD" w:rsidP="005728DD">
      <w:pPr>
        <w:pStyle w:val="TextoNormal"/>
      </w:pPr>
      <w:r>
        <w:t>Por su parte, tanto la abogada de la Generalitat como el letrado del Parlament de Cataluña formulan alegaciones en defensa de la constitucionalidad del art. 5 de la Ley 5/2020, en los términos que se sintetizan en los antecedentes.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objeto del recurso y resolución de óbices procesales</w:t>
      </w:r>
      <w:r>
        <w:t>.</w:t>
      </w:r>
    </w:p>
    <w:p w:rsidR="005728DD" w:rsidRDefault="005728DD" w:rsidP="005728DD">
      <w:pPr>
        <w:pStyle w:val="TextoNormal"/>
      </w:pPr>
    </w:p>
    <w:p w:rsidR="005728DD" w:rsidRDefault="005728DD" w:rsidP="005728DD">
      <w:pPr>
        <w:pStyle w:val="TextoNormal"/>
      </w:pPr>
      <w:r>
        <w:t>Es preciso realizar algunas consideraciones previas para el más adecuado análisis del óbice procesal opuesto por las representaciones autonómicas.</w:t>
      </w:r>
    </w:p>
    <w:p w:rsidR="005728DD" w:rsidRDefault="005728DD" w:rsidP="005728DD">
      <w:pPr>
        <w:pStyle w:val="TextoNormal"/>
      </w:pPr>
    </w:p>
    <w:p w:rsidR="005728DD" w:rsidRDefault="005728DD" w:rsidP="005728DD">
      <w:pPr>
        <w:pStyle w:val="TextoNormal"/>
      </w:pPr>
      <w:r>
        <w:t>A) Sobre la correcta delimitación del objeto del recurso de inconstitucionalidad, este tribunal ha reiterado [por todas, STC 83/2020, de 15 de julio, FJ 2 b), con cita en la STC 19/2020, de 31 de enero, FJ 2 b)]: (i) que el suplico es la parte decisiva del mismo para reconocer y concretar su objeto, de manera que, en principio, el examen debe contraerse exclusivamente a las disposiciones que en él se contienen; y (ii) que, una interpretación del art. 33 LOTC alejada de rigorismos formales, permite asimismo sostener que “la no reproducción de un precepto en el suplico no debe constituir obstáculo alguno para entender que ha sido recurrido si dicha omisión puede achacarse a un simple error (SSTC 178/1989, FJ 9, y 214/1994, FJ 3), lo que sucederá cuando de las alegaciones expuestas en el cuerpo del recurso se desprenda con toda claridad la voluntad de su impugnación (SSTC 214/1994, FJ 3; 68/1996, FJ 1, y 118/1996, FJ 23)” (STC 236/2007, de 7 de noviembre, FJ 10).</w:t>
      </w:r>
    </w:p>
    <w:p w:rsidR="005728DD" w:rsidRDefault="005728DD" w:rsidP="005728DD">
      <w:pPr>
        <w:pStyle w:val="TextoNormal"/>
      </w:pPr>
    </w:p>
    <w:p w:rsidR="005728DD" w:rsidRDefault="005728DD" w:rsidP="005728DD">
      <w:pPr>
        <w:pStyle w:val="TextoNormal"/>
      </w:pPr>
      <w:r>
        <w:t>Teniendo en cuenta que, en este caso, en el suplico consta que el recurso se interpone “contra el art. 5 de la Ley del Parlamento de Cataluña 5/2020” y se solicita que se “dicte sentencia declarando la inconstitucionalidad y nulidad con el alcance que se expresa en los fundamentos de este escrito”, pueden extraerse las siguientes consecuencias:</w:t>
      </w:r>
    </w:p>
    <w:p w:rsidR="005728DD" w:rsidRDefault="005728DD" w:rsidP="005728DD">
      <w:pPr>
        <w:pStyle w:val="TextoNormal"/>
      </w:pPr>
    </w:p>
    <w:p w:rsidR="005728DD" w:rsidRDefault="005728DD" w:rsidP="005728DD">
      <w:pPr>
        <w:pStyle w:val="TextoNormal"/>
      </w:pPr>
      <w:r>
        <w:lastRenderedPageBreak/>
        <w:t xml:space="preserve">a) A pesar de que en el suplico se impugne el art. 5 de la Ley 5/2020 en su integridad, quedan al margen del objeto del proceso los apartados 1, 3, 5 y 6 del mismo, ya que en el cuerpo de la demanda únicamente se realizan impugnaciones concretas contra los apartados 2 y 4 (arts. 26.1 y 34 </w:t>
      </w:r>
      <w:r w:rsidRPr="005728DD">
        <w:rPr>
          <w:i/>
        </w:rPr>
        <w:t>bis</w:t>
      </w:r>
      <w:r>
        <w:t xml:space="preserve"> de la Ley 5/2017, respectivamente), siendo el resto impugnados por conexión o consecuencia. Ciertamente, como destaca este tribunal, no cabe acoger una pretensión de inconstitucionalidad por conexión o consecuencia, pues dicha extensión es, cuando proceda, prerrogativa de este tribunal sin que pueda ser objeto de pretensión de parte (por todas, SSTC 81/2003, de 30 de abril, FJ 7; 126/2008, de 27 de octubre, FJ 1; 49/2018, de 10 de mayo, FJ 2; 68/2018, de 21 de junio, FJ 2; 89/2019, de 10 de julio, FJ 2; 83/2020, de 15 de julio, FJ 2, y 134/2020, de 23 de septiembre, FJ 2). Y, según la STC 11/1981, de 8 de abril, FJ 27, la aplicación por el Tribunal Constitucional de la facultad prevista en el art. 39.1 LOTC “requiere la concurrencia de tres requisitos, que son: 1º) que la sentencia sea declaratoria de la inconstitucionalidad de los preceptos impugnados o de alguno de ellos; 2º) que exista una relación de conexión o de consecuencia entre los preceptos declarados inconstitucionales y aquellos otros a los que la inconstitucionalidad se extiende o se propaga, y 3º) que estos últimos pertenezcan o queden comprendidos en la misma ley, disposición o acto con fuerza de ley”.</w:t>
      </w:r>
    </w:p>
    <w:p w:rsidR="005728DD" w:rsidRDefault="005728DD" w:rsidP="005728DD">
      <w:pPr>
        <w:pStyle w:val="TextoNormal"/>
      </w:pPr>
    </w:p>
    <w:p w:rsidR="005728DD" w:rsidRDefault="005728DD" w:rsidP="005728DD">
      <w:pPr>
        <w:pStyle w:val="TextoNormal"/>
      </w:pPr>
      <w:r>
        <w:t xml:space="preserve">Así, solo si se declara inconstitucional la sujeción al impuesto sobre estancias en establecimientos turísticos de las embarcaciones de crucero turístico del art. 26.1 de la Ley 5/2017 (art. 5.2 de la Ley 5/2020), podrá este tribunal extender dicha declaración, </w:t>
      </w:r>
      <w:r w:rsidRPr="005728DD">
        <w:rPr>
          <w:i/>
        </w:rPr>
        <w:t>ex</w:t>
      </w:r>
      <w:r>
        <w:t xml:space="preserve"> art. 39 LOTC, a las tarifas que para las estancias en dichas embarcaciones prevé el art. 34.1 de la Ley 5/2017 (art. 5.3 de la Ley 5/2020); al igual que, en principio, solo en el supuesto de declaración de inconstitucionalidad del recargo municipal sobre el impuesto (art. 34 </w:t>
      </w:r>
      <w:r w:rsidRPr="005728DD">
        <w:rPr>
          <w:i/>
        </w:rPr>
        <w:t>bis</w:t>
      </w:r>
      <w:r>
        <w:t xml:space="preserve"> de la Ley 5/2017 introducido por el art. 5.4 de la Ley 5/2020), podría extenderla, por conexión o consecuencia, a las referencias a dicho recargo previstas en los arts. 24.2, 34.3, 35 y 50 </w:t>
      </w:r>
      <w:r w:rsidRPr="005728DD">
        <w:rPr>
          <w:i/>
        </w:rPr>
        <w:t>bis</w:t>
      </w:r>
      <w:r>
        <w:t xml:space="preserve"> de la Ley 5/2017, aprobados por los apartados 1, 3, 5 y 6 del art. 5 de la Ley 5/2020.</w:t>
      </w:r>
    </w:p>
    <w:p w:rsidR="005728DD" w:rsidRDefault="005728DD" w:rsidP="005728DD">
      <w:pPr>
        <w:pStyle w:val="TextoNormal"/>
      </w:pPr>
    </w:p>
    <w:p w:rsidR="005728DD" w:rsidRDefault="005728DD" w:rsidP="005728DD">
      <w:pPr>
        <w:pStyle w:val="TextoNormal"/>
      </w:pPr>
      <w:r>
        <w:t xml:space="preserve">b) Consecuentemente, el presente recurso se ciñe a los arts. 26.1 y 34 </w:t>
      </w:r>
      <w:r w:rsidRPr="005728DD">
        <w:rPr>
          <w:i/>
        </w:rPr>
        <w:t>bis</w:t>
      </w:r>
      <w:r>
        <w:t xml:space="preserve"> de la Ley 5/2017, en la redacción dada por el art. 5.2 y 4 de la Ley 5/2020, si bien, como se concluye de la remisión del suplico al cuerpo de la demanda, la pretensión de inconstitucionalidad queda circunscrita a la aplicación del impuesto sobre estancias en establecimientos turísticos y del recargo municipal sobre el impuesto a las embarcaciones de crucero turístico; articulándose, pues, de forma subsidiaria las quejas contra los arts. 26.1 y 34 </w:t>
      </w:r>
      <w:r w:rsidRPr="005728DD">
        <w:rPr>
          <w:i/>
        </w:rPr>
        <w:t>bis</w:t>
      </w:r>
      <w:r>
        <w:t xml:space="preserve"> de la Ley 5/2017. Al no pretender los recurrentes la inconstitucionalidad total del recargo sobre el impuesto (al que el art. 34 </w:t>
      </w:r>
      <w:r w:rsidRPr="005728DD">
        <w:rPr>
          <w:i/>
        </w:rPr>
        <w:t>bis</w:t>
      </w:r>
      <w:r>
        <w:t xml:space="preserve"> habilita a establecer al Ayuntamiento de Barcelona dentro de unos límites), sino en tanto recaiga sobre las estancias en embarcaciones de crucero turístico, una eventual expulsión de las mismas del hecho imponible del impuesto sobre estancias en establecimientos turísticos establecido por el nuevo art. 26.1 de la Ley 5/2017 por parte de este tribunal conllevaría, previa constatación de que la figura tributaria establecida en el art. 34 </w:t>
      </w:r>
      <w:r w:rsidRPr="005728DD">
        <w:rPr>
          <w:i/>
        </w:rPr>
        <w:t>bis</w:t>
      </w:r>
      <w:r>
        <w:t xml:space="preserve"> es un verdadero recargo sobre el impuesto, el decaimiento de la única queja (competencial) argüida contra este último.</w:t>
      </w:r>
    </w:p>
    <w:p w:rsidR="005728DD" w:rsidRDefault="005728DD" w:rsidP="005728DD">
      <w:pPr>
        <w:pStyle w:val="TextoNormal"/>
      </w:pPr>
    </w:p>
    <w:p w:rsidR="005728DD" w:rsidRDefault="005728DD" w:rsidP="005728DD">
      <w:pPr>
        <w:pStyle w:val="TextoNormal"/>
      </w:pPr>
      <w:r>
        <w:t xml:space="preserve">B) Siguiendo con la delimitación del objeto del recurso, y dejando de lado la regulación del nuevo recargo barcelonés sobre el impuesto, procede ahora examinar la tacha de inadmisibilidad parcial por extemporaneidad que las representaciones autonómicas imputan exclusivamente a la sujeción al impuesto sobre estancias en establecimientos turísticos de las embarcaciones de crucero turístico. Se alega que (i) las estancias en las embarcaciones de </w:t>
      </w:r>
      <w:r>
        <w:lastRenderedPageBreak/>
        <w:t>crucero turístico “amarradas” en un puerto del territorio de Cataluña forman parte del hecho imponible del impuesto sobre estancias en establecimientos turísticos desde su creación por la Ley 5/2012, de 20 de marzo, de medidas fiscales, financieras y administrativas, pasando asimismo a la regulación del impuesto contenida en la Ley 5/2017 originaria, y (ii) que, por tanto, los recurrentes han aprovechado la modificación parcial del impuesto de la Ley 5/2017, operada por el art. 5 de la Ley 5/2020, para exigir la anulación de todos los preceptos de la Ley 5/2017 sobre la aplicación del impuesto a embarcaciones de crucero turístico, independientemente de su efectiva modificación por la ley posterior aquí impugnada y del alcance material de la modificación efectuada, eludiendo con ello el plazo de interposición del recurso de inconstitucionalidad del art. 33 LOTC.</w:t>
      </w:r>
    </w:p>
    <w:p w:rsidR="005728DD" w:rsidRDefault="005728DD" w:rsidP="005728DD">
      <w:pPr>
        <w:pStyle w:val="TextoNormal"/>
      </w:pPr>
    </w:p>
    <w:p w:rsidR="005728DD" w:rsidRDefault="005728DD" w:rsidP="005728DD">
      <w:pPr>
        <w:pStyle w:val="TextoNormal"/>
      </w:pPr>
      <w:r>
        <w:t>a) Es doctrina constitucional consolidada que los requisitos procesales son de orden público y no se hallan a disposición de las partes. En concreto, el art. 33.1 LOTC dispone, con carácter general, que el recurso de inconstitucionalidad “se formulará dentro del plazo de tres meses a partir de la publicación de la ley, disposición o acto con fuerza de ley impugnado”; plazo que debe entenderse de caducidad y que empieza a contar desde el día siguiente al de la publicación de la ley impugnada, teniendo en cuenta que, por tratarse de una norma legal emanada de un parlamento autonómico, será el diario oficial de la comunidad autónoma el que determine el inicio de dicho plazo [por todas, STC 83/2020, FJ 2 b)].</w:t>
      </w:r>
    </w:p>
    <w:p w:rsidR="005728DD" w:rsidRDefault="005728DD" w:rsidP="005728DD">
      <w:pPr>
        <w:pStyle w:val="TextoNormal"/>
      </w:pPr>
    </w:p>
    <w:p w:rsidR="005728DD" w:rsidRDefault="005728DD" w:rsidP="005728DD">
      <w:pPr>
        <w:pStyle w:val="TextoNormal"/>
      </w:pPr>
      <w:r>
        <w:t>b) De un lado, por lo que concierne al precepto sobre el impuesto sobre estancias en establecimientos turísticos de la Ley 5/2017 (art. 26.1) que ha sido modificado por el art. 5 de la Ley 5/2020 (recuérdese que el art. 34.1 ya ha sido excluido del objeto del recurso), cabe señalar que, aunque materialmente la ley posterior (Ley 5/2020) solo extiende el hecho imponible a las estancias en embarcaciones de crucero turístico que “fondeen” (ya no solo que “amarren”) en un puerto del territorio de Cataluña, lo cierto es que al transcribirse en la Ley 5/2020 el texto íntegro del art. 26.1, el precepto impugnado queda formalmente modificado, abriéndose el plazo del art. 33 LOTC para que el artículo así reformado pueda ser recurrido en la redacción que le ha dado la ley modificadora. Y ello con independencia del grado de coincidencia material con el contenido originario (en este mismo sentido, SSTC 8/2013, de 17 de enero, FJ 2, y 103/2013, de 25 de abril, FJ 5). Comoquiera que formalmente se trata de una nueva ley, no procede, pues, apreciar la extemporaneidad de la impugnación contra el nuevo art. 26.1 de la Ley 5/2017, dada la naturaleza abstracta del recurso de inconstitucionalidad, orientado a la depuración objetiva del ordenamiento jurídico (por todas, STC 1/2012, de 13 de enero, FJ 3).</w:t>
      </w:r>
    </w:p>
    <w:p w:rsidR="005728DD" w:rsidRDefault="005728DD" w:rsidP="005728DD">
      <w:pPr>
        <w:pStyle w:val="TextoNormal"/>
      </w:pPr>
    </w:p>
    <w:p w:rsidR="005728DD" w:rsidRDefault="005728DD" w:rsidP="005728DD">
      <w:pPr>
        <w:pStyle w:val="TextoNormal"/>
      </w:pPr>
      <w:r>
        <w:t xml:space="preserve">c) De otro lado, en cambio, quedan excluidos del objeto de esta </w:t>
      </w:r>
      <w:r w:rsidRPr="005728DD">
        <w:rPr>
          <w:i/>
        </w:rPr>
        <w:t>litis</w:t>
      </w:r>
      <w:r>
        <w:t>, por la extemporaneidad de su impugnación, el resto de regulación del impuesto de la Ley 5/2017 que no haya sido modificada por el art. 5 de la Ley 5/2020, cuya consiguiente inconstitucionalidad se exige, en lo que se refiere a las embarcaciones de crucero turístico, no ya en el suplico sino en los fundamentos del escrito de interposición: En concreto, el art. 26.3 c) que incluye a las embarcaciones de crucero turístico en la enumeración de establecimientos turísticos sujetos al impuesto; el art. 26.4 sobre el concepto embarcaciones de crucero turístico a efectos del impuesto sobre estancias en establecimientos turísticos; el art. 28.2, sobre el devengo en caso de estancias en embarcaciones de crucero turístico; y el art. 46 sobre la obligación de suministro de información de las autoridades portuarias. La razón es que, aunque la Ley 5/2017 haya sido parcialmente modificada, en la parte que permanece con la redacción ini</w:t>
      </w:r>
      <w:r>
        <w:lastRenderedPageBreak/>
        <w:t>cialmente aprobada, resulta inatacable directamente por la vía del recurso de inconstitucionalidad, cuando, como es el caso, ya han transcurrido más que sobradamente los plazos en los que el art. 33 LOTC permite su interposición.</w:t>
      </w:r>
    </w:p>
    <w:p w:rsidR="005728DD" w:rsidRDefault="005728DD" w:rsidP="005728DD">
      <w:pPr>
        <w:pStyle w:val="TextoNormal"/>
      </w:pPr>
    </w:p>
    <w:p w:rsidR="005728DD" w:rsidRDefault="005728DD" w:rsidP="005728DD">
      <w:pPr>
        <w:pStyle w:val="TextoNormal"/>
      </w:pPr>
      <w:r>
        <w:t>De igual forma, conviene resaltar que, en tanto dichas impugnaciones pudieran entenderse pretendidas “por conexión o consecuencia”, quedarían fuera no solo del objeto de este recurso (al no ser pretensión de parte), sino también de la propia prerrogativa del art. 39.1 LOTC, puesto que, de acuerdo con los requisitos que exige la STC 11/1981 (anteriormente expuestos), la extensión de la inconstitucionalidad por conexión o consecuencia solo puede ejercerse por este tribunal sobre disposiciones o normas “de la misma ley”, a salvo de excepciones, como el caso de los textos refundidos, que son ahora irrelevantes (STC 102/2017, de 20 de julio, FJ 3, y doctrina allí citada). Y el art. 5 de la Ley 5/2020, aunque tenga como objeto modificar una ley anterior, es formalmente un texto legal diferente de la Ley 5/2017 [en este mismo sentido, SSTC 131/2020, FJ 3, con cita en la STC 83/2020, FJ 2 b)].</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Primera impugnación contra el nuevo art. 26.1 de la Ley 5/2017: Vulneración del art. 6.2 LOFCA. Doctrina constitucional aplicable</w:t>
      </w:r>
      <w:r>
        <w:t>.</w:t>
      </w:r>
    </w:p>
    <w:p w:rsidR="005728DD" w:rsidRDefault="005728DD" w:rsidP="005728DD">
      <w:pPr>
        <w:pStyle w:val="TextoNormal"/>
      </w:pPr>
    </w:p>
    <w:p w:rsidR="005728DD" w:rsidRDefault="005728DD" w:rsidP="005728DD">
      <w:pPr>
        <w:pStyle w:val="TextoNormal"/>
      </w:pPr>
      <w:r>
        <w:t>Entrando ya en el fondo del asunto, procede examinar la alegada infracción de la prohibición de equivalencia del art. 6.2 LOFCA para determinar si el impuesto sobre estancias en establecimientos turísticos, al sujetar las estancias en las embarcaciones de crucero turístico, recae sobre el mismo hecho imponible gravado ya con la tasa (estatal) portuaria del buque (T-1) prevista en el texto refundido de la Ley de puertos del Estado y de la marina mercante, aprobado por el Real Decreto Legislativo 2/2011, de 5 de septiembre.</w:t>
      </w:r>
    </w:p>
    <w:p w:rsidR="005728DD" w:rsidRDefault="005728DD" w:rsidP="005728DD">
      <w:pPr>
        <w:pStyle w:val="TextoNormal"/>
      </w:pPr>
    </w:p>
    <w:p w:rsidR="005728DD" w:rsidRDefault="005728DD" w:rsidP="005728DD">
      <w:pPr>
        <w:pStyle w:val="TextoNormal"/>
      </w:pPr>
      <w:r>
        <w:t>a) La doctrina constitucional sobre el art. 6.2 LOFCA ha permanecido invariable desde su formulación en la STC 37/1987, de 27 de marzo, y ha sido aplicada por este tribunal en numerosas ocasiones (en las SSTC 186/1993, 14/1998, 122/2012, 210/2012, 60/2013, 196/2013, 110/2014, 30/2015, 107/2015, 108/2015, 111/2015, 202/2015, 74/2016, 94/2017, 28/2019, 43/2019, 87/2019 y 84/2020). Se extiende como doctrina aplicable a la nueva redacción del art. 6.3 LOFCA tras la Ley Orgánica 3/2009, de 18 de diciembre, de modificación de la LOFCA (en las SSTC 122/2012, 197/2012, 210/2012, 85/2013, 96/2013, 98/2018, 120/2018, 4/2019, 22/2019, 28/2019 y 43/2019). Con estas prohibiciones de equivalencia de los tributos autonómicos con los estatales y locales (art. 6 LOFCA), no se pretende impedir sin más la doble imposición, sino “que se produzcan dobles imposiciones no coordinadas, garantizando de esta manera que el ejercicio de poder tributario por los distintos niveles territoriales sea compatible con la existencia de ‘un sistema’ tributario en los términos exigidos por el art. 31.1 CE” [entre otras, SSTC 19/1987, de 17 de febrero, FJ 4; 19/2012, de 15 de febrero, FJ 3 b); 210/2012, de 14 de noviembre, FJ 4; 53/2014, de 10 de abril, FJ 3 a); 4/2019, de 17 de enero, FJ 3.c), y 84/2020, de 15 de julio, FJ 2].</w:t>
      </w:r>
    </w:p>
    <w:p w:rsidR="005728DD" w:rsidRDefault="005728DD" w:rsidP="005728DD">
      <w:pPr>
        <w:pStyle w:val="TextoNormal"/>
      </w:pPr>
    </w:p>
    <w:p w:rsidR="005728DD" w:rsidRDefault="005728DD" w:rsidP="005728DD">
      <w:pPr>
        <w:pStyle w:val="TextoNormal"/>
      </w:pPr>
      <w:r>
        <w:t xml:space="preserve">b) Cabe subrayar que, por una parte, este tribunal dejó sentado desde sus inicios que la prohibición del art. 6.2 LOFCA (“Los tributos que establezcan las comunidades autónomas no podrán recaer sobre hechos imponibles gravados por el Estado”) no debía ser entendida como prohibición de “materia imponible” u “objeto del tributo”, “habida cuenta que la realidad económica en sus diferentes manifestaciones está toda ella virtualmente cubierta por tributos estatales, ello conduciría […] a negar la posibilidad de que se creen, al menos por </w:t>
      </w:r>
      <w:r>
        <w:lastRenderedPageBreak/>
        <w:t>el momento, nuevos tributos autonómicos (STC 37/1987, de 27 de marzo, FJ 14)” (por todas, SSTC 110/2014, de 26 de junio, FJ 5; 74/2016, de 14 de abril, FJ 2, y 43/2019, de 27 de marzo, FJ 3).</w:t>
      </w:r>
    </w:p>
    <w:p w:rsidR="005728DD" w:rsidRDefault="005728DD" w:rsidP="005728DD">
      <w:pPr>
        <w:pStyle w:val="TextoNormal"/>
      </w:pPr>
    </w:p>
    <w:p w:rsidR="005728DD" w:rsidRDefault="005728DD" w:rsidP="005728DD">
      <w:pPr>
        <w:pStyle w:val="TextoNormal"/>
      </w:pPr>
      <w:r>
        <w:t>Por otra parte, este límite al poder tributario autonómico (art. 6.2 LOFCA) nunca se ha interpretado literalmente, puesto que bastaría la introducción de una leve modificación en el hecho imponible del tributo autonómico para eludir tal restricción legal. De ahí que, para apreciar la coincidencia o no entre hechos imponibles, que es lo prohibido en el artículo 6 LOFCA, se exija atender a todos los elementos esenciales de los tributos que se comparan (hecho imponible, sujetos pasivos, exenciones y supuestos de no sujeción, devengo, eventual periodo impositivo, base imponible, tipo de gravamen, cuota tributaria, y finalidad fiscal o extrafiscal), “con el objeto de determinar no solo la riqueza gravada o materia imponible […] sino la manera en que dicha riqueza o fuente de capacidad económica es sometida a gravamen en la estructura del tributo” [por todas, SSTC 122/2012, de 5 de junio, FJ 3; 210/2012, de 14 de noviembre, FJ 4; 96/2013, de 23 de abril, FJ 11; 74/2016, de 14 de abril, FJ 2; 120/2018, de 31 de octubre, FJ 3 d); 4/2019, de 17 de enero, FJ 2 d), y 87/2019, de 20 de junio, FJ 3].</w:t>
      </w:r>
    </w:p>
    <w:p w:rsidR="005728DD" w:rsidRDefault="005728DD" w:rsidP="005728DD">
      <w:pPr>
        <w:pStyle w:val="TextoNormal"/>
      </w:pPr>
    </w:p>
    <w:p w:rsidR="005728DD" w:rsidRDefault="005728DD" w:rsidP="005728DD">
      <w:pPr>
        <w:pStyle w:val="TextoNormal"/>
      </w:pPr>
      <w:r>
        <w:t>c) Finalmente, debe precisarse que se recurre al método tradicional de examen de las prohibiciones de equivalencia del art. 6 LOFCA, consistente en un análisis comparativo en paralelo de todos los elementos esenciales de los tributos contrastados, en los supuestos en los que la doble imposición se predica de dos tributos pertenecientes a la misma categoría tributaria y, en concreto, de dos impuestos. En cambio, cuando los tributos objeto de comparación son dos tasas, de acuerdo con la reiterada doctrina acerca de su vinculación a la competencia material [“la coexistencia de tasas autonómicas y estatales debe interpretarse de acuerdo con “el principio de que la competencia para crear tasas por servicios deriva necesariamente de la que se ostenta para crear las instituciones y organizar los servicios públicos correspondientes (STC 37/1981, FJ 3) y el mandato expreso de la LOFCA”, y en concreto, el contenido en los arts. 7.1 y 17 LOFCA, doctrina ésta que recoge el principio de que la tasa sigue al servicio (SSTC 37/1981, de 16 de noviembre, FJ 4; 149/1991, de 4 de julio, FJ 5, y 204/2002, de 31 de octubre, FJ 3)”; SSTC 71/2014, de 6 de mayo, FJ 3; 85/2014, de 29 de mayo, FJ 3 a), y 27/2017, de 16 de febrero, FJ 3 d)], el análisis comienza verificando esa efectiva competencia autonómica material a la que se supedita la competencia tributaria en materia de tasas. “Cumplida esta condición esencial, resultará entonces respetado también el límite contenido en el art. 6 LOFCA, pues el hecho imponible de las tasas se refiere precisamente a dicha competencia material, siendo así que los límites contenidos en los arts. 6.2 y 7 LOFCA son dos caras de la misma moneda” (STC 71/2014, de 6 de marzo, FJ 3).</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Enjuiciamiento de la alegada duplicidad entre el impuesto sobre estancias en establecimientos turísticos (autonómico) y la tasa estatal del buque (T</w:t>
      </w:r>
      <w:r>
        <w:t>-1).</w:t>
      </w:r>
    </w:p>
    <w:p w:rsidR="005728DD" w:rsidRDefault="005728DD" w:rsidP="005728DD">
      <w:pPr>
        <w:pStyle w:val="TextoNormal"/>
      </w:pPr>
    </w:p>
    <w:p w:rsidR="005728DD" w:rsidRDefault="005728DD" w:rsidP="005728DD">
      <w:pPr>
        <w:pStyle w:val="TextoNormal"/>
      </w:pPr>
      <w:r>
        <w:t xml:space="preserve">Dado que el tributo sometido a contraste con el impuesto autonómico impugnado resulta ser una tasa estatal, este tribunal debe determinar </w:t>
      </w:r>
      <w:r w:rsidRPr="005728DD">
        <w:rPr>
          <w:i/>
        </w:rPr>
        <w:t>ab initio</w:t>
      </w:r>
      <w:r>
        <w:t xml:space="preserve"> si efectivamente estos poseen la naturaleza propia y específica de la categoría tributaria que le atribuyen sus denominaciones legales respectivas. De ser así, y precisamente por pertenecer a categorías tributarias distintas, no podría apreciarse la pretendida identidad entre el IIET y la tasa del buque y, por tanto, la vulneración del art. 6.2 LOFCA.</w:t>
      </w:r>
    </w:p>
    <w:p w:rsidR="005728DD" w:rsidRDefault="005728DD" w:rsidP="005728DD">
      <w:pPr>
        <w:pStyle w:val="TextoNormal"/>
      </w:pPr>
    </w:p>
    <w:p w:rsidR="005728DD" w:rsidRDefault="005728DD" w:rsidP="005728DD">
      <w:pPr>
        <w:pStyle w:val="TextoNormal"/>
      </w:pPr>
      <w:r>
        <w:t>A) Como se ha recordado en la STC 63/2019, de 9 de mayo (con cita en la STC 71/2014) “[p]artiendo de la idea de que el sistema tributario, en su conjunto, tiene como finalidad el sostenimiento del gasto público (art. 31.1 CE), de acuerdo con los principios que deben informar el conjunto del sistema tributario (art. 31.1 y 3 CE), las distintas categorías tributarias representan también formas distintas de allegar dichos recursos, en la medida en que implican opciones distintas de reparto de la carga tributaria. Así, por lo que se refiere a los impuestos y las tasas, dicho reparto de la carga o del gasto público a financiar se realizará, bien entre todos los ciudadanos y en función de su capacidad económica (en el caso de los impuestos), bien entre quienes de forma inmediata se vean beneficiados por la acción de la administración pública (en el caso de las tasas). Así, los impuestos se basan fundamentalmente en la capacidad económica, que encuentra reflejo en su hecho imponible, sin que su pago implique una contraprestación o beneficio concreto o inmediato para el contribuyente. Frente a ello, las tasas se basan en el principio de equivalencia, sin perjuicio de que no puedan desconocer la capacidad económica, de manera que su hecho imponible encierra un sinalagma (SSTC 296/1994, de 10 de noviembre, FJ 4; 233/1999, de 16 de diciembre, FJ 9, y 106/2000, de 4 de mayo, FJ 2), que consiste ‘en la utilización privativa o el aprovechamiento especial del dominio público, la prestación de servicios o la realización de actividades en régimen de derecho público que se refieran, afecten o beneficien de modo particular al obligado tributario’” [art. 2.2 a) de la LGT].</w:t>
      </w:r>
    </w:p>
    <w:p w:rsidR="005728DD" w:rsidRDefault="005728DD" w:rsidP="005728DD">
      <w:pPr>
        <w:pStyle w:val="TextoNormal"/>
      </w:pPr>
    </w:p>
    <w:p w:rsidR="005728DD" w:rsidRDefault="005728DD" w:rsidP="005728DD">
      <w:pPr>
        <w:pStyle w:val="TextoNormal"/>
      </w:pPr>
      <w:r>
        <w:t>B) Siendo la tasa del buque T-1 una de las seis “tasas de utilización” aplicables en los puertos de interés general por la utilización/uso especial de las instalaciones portuarias [art. 161.2 c)], de un análisis de su régimen jurídico (arts. 194 a 204 del texto refundido de la Ley de puertos del Estado y de la marina mercante), se extrae la conclusión de que este tributo estatal posee el carácter sinalagmático inherente a las tasas, como ya confirmó la STC 102/2005, de 20 de abril (FFJJ 6 y 7).</w:t>
      </w:r>
    </w:p>
    <w:p w:rsidR="005728DD" w:rsidRDefault="005728DD" w:rsidP="005728DD">
      <w:pPr>
        <w:pStyle w:val="TextoNormal"/>
      </w:pPr>
    </w:p>
    <w:p w:rsidR="005728DD" w:rsidRDefault="005728DD" w:rsidP="005728DD">
      <w:pPr>
        <w:pStyle w:val="TextoNormal"/>
      </w:pPr>
      <w:r>
        <w:t>a) En primer lugar, su hecho imponible se vincula, como todas las tasas, por utilización privativa o aprovechamiento especial del dominio público, a la autorización administrativa requerida y, en este caso, viene constituido, primero, por “la utilización por los buques de las aguas de la zona de servicio del puerto y de las obras e instalaciones portuarias que permiten el acceso marítimo al puesto de atraque o de fondeo que les haya sido asignado y la estancia en el mismo”; y, segundo, por la “prestación de los servicios comunes de titularidad de la respectiva autoridad portuaria de los que se benefician los usuarios sin necesidad de solicitud, relacionados con los anteriores elementos del dominio público” (art. 194).</w:t>
      </w:r>
    </w:p>
    <w:p w:rsidR="005728DD" w:rsidRDefault="005728DD" w:rsidP="005728DD">
      <w:pPr>
        <w:pStyle w:val="TextoNormal"/>
      </w:pPr>
    </w:p>
    <w:p w:rsidR="005728DD" w:rsidRDefault="005728DD" w:rsidP="005728DD">
      <w:pPr>
        <w:pStyle w:val="TextoNormal"/>
      </w:pPr>
      <w:r>
        <w:t>b) En segundo lugar, el sujeto pasivo se determina por referencia a la actuación administrativa que implica el hecho imponible; esto es, el beneficiario de la utilización especial del dominio público portuario y prestatario de los servicios comunes de titularidad de la autoridad portuaria inherentes a esos elementos del dominio público que se utilizan. En este sentido, según el art. 195 del texto refundido de la Ley de puertos del Estado y de la marina mercante, son contribuyentes de la tasa del buque, de forma solidaria, el propietario, el naviero y el capitán del mismo. Y son sustitutos del contribuyente, el consignatario del buque, si éste se encuentra consignado, o el concesionario o autorizado, en los muelles, pantalanes e instalaciones portuarias de atraque otorgadas en concesión o autorización.</w:t>
      </w:r>
    </w:p>
    <w:p w:rsidR="005728DD" w:rsidRDefault="005728DD" w:rsidP="005728DD">
      <w:pPr>
        <w:pStyle w:val="TextoNormal"/>
      </w:pPr>
    </w:p>
    <w:p w:rsidR="005728DD" w:rsidRDefault="005728DD" w:rsidP="005728DD">
      <w:pPr>
        <w:pStyle w:val="TextoNormal"/>
      </w:pPr>
      <w:r>
        <w:lastRenderedPageBreak/>
        <w:t>c) Finalmente, el importe de la cuota se fija, esencialmente, tomando en consideración la utilidad derivada de la utilización de las infraestructuras portuarias [art. 164.2 c)], con la que tiene una relación, más o menos intensa, de contraprestación. Aquí, atendiendo a la intensidad del uso del dominio público portuario en cada caso teniendo en cuenta parámetros de espacio y tiempo. Se establecen legalmente tres cuotas tributarias: Atraque o fondeo en zona I o aguas interiores; atraque en zona II o aguas exteriores (cuya cuantía es el 30 por 100 de la cuota anterior); y fondeo en zona II (arts. 197 a 199). Para hallarlas, se parte de una cuota fija a la que se le multiplica el tiempo de estancia (por horas o días dependiendo de la zona I o II) y una parte del arqueo bruto del buque, y se le aplica un coeficiente corrector establecido por la autoridad portuaria y unos coeficientes reductores que varían en función: (i) de que el atraque se haya otorgado o no en régimen de concesión o autorización (o del fondeo en la zona II en aguas otorgadas o no en concesión); (ii) de que el amarre se realice de costado, de punta, en muelles o pantalanes, en boyas…; (iii) de que el atraque o fondeo se realice solamente para avituallamiento, aprovisionamiento o reparación, y (iv) de la utilización prolongada de las instalaciones de atraque o fondeo. Adicionalmente, si se trata de buques de crucero turístico, debe aplicarse otro coeficiente reductor que varía en función de si se trata o no del puerto base, y del número de escalas anuales o de tráfico estacional como puerto base realizadas por la compañía de cruceros a la que pertenece.</w:t>
      </w:r>
    </w:p>
    <w:p w:rsidR="005728DD" w:rsidRDefault="005728DD" w:rsidP="005728DD">
      <w:pPr>
        <w:pStyle w:val="TextoNormal"/>
      </w:pPr>
    </w:p>
    <w:p w:rsidR="005728DD" w:rsidRDefault="005728DD" w:rsidP="005728DD">
      <w:pPr>
        <w:pStyle w:val="TextoNormal"/>
      </w:pPr>
      <w:r>
        <w:t>d) Constatada ya su naturaleza tributaria de tasa por su evidente carácter sinalagmático, cabría realizar una precisión. Aunque pudiera aceptarse, como afirma un sector doctrinal, que las tasas por utilización privativa o especial del dominio público portuario, como la tasa del buque, además de la naturaleza retributiva propia de las tasas participan también de la naturaleza contributiva propia de los impuestos (ya que dicha utilización es expresión de la capacidad económica del sujeto pasivo al incorporarse a su patrimonio un derecho de uso y disfrute de contenido económico), cabría convenir que la expresión de capacidad económica gravada en esta tasa no es, en ningún caso, como se verá, la establecida en el hecho imponible del impuesto sobre estancias en establecimientos turísticos.</w:t>
      </w:r>
    </w:p>
    <w:p w:rsidR="005728DD" w:rsidRDefault="005728DD" w:rsidP="005728DD">
      <w:pPr>
        <w:pStyle w:val="TextoNormal"/>
      </w:pPr>
    </w:p>
    <w:p w:rsidR="005728DD" w:rsidRDefault="005728DD" w:rsidP="005728DD">
      <w:pPr>
        <w:pStyle w:val="TextoNormal"/>
      </w:pPr>
      <w:r>
        <w:t xml:space="preserve">C) En cuanto al impuesto sobre estancias en establecimientos turísticos, regulado actualmente en los arts. 26 a 50 </w:t>
      </w:r>
      <w:r w:rsidRPr="005728DD">
        <w:rPr>
          <w:i/>
        </w:rPr>
        <w:t>bis</w:t>
      </w:r>
      <w:r>
        <w:t xml:space="preserve"> de la Ley 5/2017, y partiendo de la definición de impuesto del art. 2.2 c) LGT (“Son tributos sin contraprestación, cuyo hecho imponible está constituido por negocios, actos o hechos que ponen de manifiesto la capacidad económica del contribuyente”), puede afirmarse que el tributo autonómico tiene naturaleza impositiva y, además, finalidad predominantemente fiscal o recaudatoria.</w:t>
      </w:r>
    </w:p>
    <w:p w:rsidR="005728DD" w:rsidRDefault="005728DD" w:rsidP="005728DD">
      <w:pPr>
        <w:pStyle w:val="TextoNormal"/>
      </w:pPr>
    </w:p>
    <w:p w:rsidR="005728DD" w:rsidRDefault="005728DD" w:rsidP="005728DD">
      <w:pPr>
        <w:pStyle w:val="TextoNormal"/>
      </w:pPr>
      <w:r>
        <w:t xml:space="preserve">a) En primer lugar, su hecho imponible es la estancia del contribuyente (persona física) en los establecimientos y equipamientos turísticos situados en Cataluña (art. 26.1), entre los que se encuentran las embarcaciones de crucero turístico [art. 26.3 c)] que estén amarradas o fondeadas en un puerto del territorio de Cataluña. Se determina que el buque: (i) queda amarrado a un puerto “desde el momento en que se lanza el primer cabo durante el atraque hasta el momento en el que aquel suelta la última amarra”, o (ii) está fondeado en un puerto “desde el momento en que se fondea el ancla hasta el momento en que se quita el ancla del fondo” (art. 26.1 </w:t>
      </w:r>
      <w:r w:rsidRPr="005728DD">
        <w:rPr>
          <w:i/>
        </w:rPr>
        <w:t>in fine</w:t>
      </w:r>
      <w:r>
        <w:t xml:space="preserve">). No hay, pues, en el hecho imponible intervención administrativa alguna que beneficie de forma particular al contribuyente, como ocurre en las tasas. Al tener por objeto “la singular capacidad económica de las personas físicas que se pone de manifiesto en la estancia en los establecimientos y equipamientos turísticos” (art. 23), se configura como un impuesto indirecto que grava un consumo específico, cual es el consumo de </w:t>
      </w:r>
      <w:r>
        <w:lastRenderedPageBreak/>
        <w:t>servicios turísticos y, dentro de ellos, el consumo de servicios de estancia en establecimientos turísticos, entendiendo por estancia “el disfrute del servicio de alojamiento, por día o fracción, con pernoctación o sin ella” (art. 26.2). Y siendo precisamente ese el elemento objetivo del hecho imponible (disfrute del servicio de alojamiento), solo devengarán el impuesto sobre estancias en establecimientos turísticos los pasajeros en tránsito en el momento que la embarcación de crucero turístico haga escala en un puerto del territorio catalán, y no los que se hallen en régimen de embarque o desembarque en dichos puertos (art. 28.2).</w:t>
      </w:r>
    </w:p>
    <w:p w:rsidR="005728DD" w:rsidRDefault="005728DD" w:rsidP="005728DD">
      <w:pPr>
        <w:pStyle w:val="TextoNormal"/>
      </w:pPr>
    </w:p>
    <w:p w:rsidR="005728DD" w:rsidRDefault="005728DD" w:rsidP="005728DD">
      <w:pPr>
        <w:pStyle w:val="TextoNormal"/>
      </w:pPr>
      <w:r>
        <w:t>b) En segundo lugar, el contribuyente se determina por referencia a la manifestación de capacidad económica contenida en el hecho imponible, siendo la persona física que realiza la estancia en un establecimiento turístico (art. 29), en este caso, en una embarcación de crucero turístico amarrada o fondeada en un puerto del territorio catalán. Ahora bien, aunque el legislador autonómico no prevé formalmente la repercusión del tributo por parte del contribuyente al consumidor final, como en otros impuestos sobre consumos específicos (ya que en el impuesto sobre estancias en establecimientos turísticos el contribuyente es el propio consumidor del servicio turístico gravado), lo cierto es que se introduce en la Ley 5/2017 un mecanismo de sustitución con repercusión, por lo que sí hay traslación jurídica de la carga tributaria hacia la persona que realiza el acto o hecho indicativo de capacidad económica descrito en el hecho imponible:</w:t>
      </w:r>
    </w:p>
    <w:p w:rsidR="005728DD" w:rsidRDefault="005728DD" w:rsidP="005728DD">
      <w:pPr>
        <w:pStyle w:val="TextoNormal"/>
      </w:pPr>
    </w:p>
    <w:p w:rsidR="005728DD" w:rsidRDefault="005728DD" w:rsidP="005728DD">
      <w:pPr>
        <w:pStyle w:val="TextoNormal"/>
      </w:pPr>
      <w:r>
        <w:t xml:space="preserve">(i) De una parte, con el fin de facilitar la gestión del impuesto (ATC 456/2007, de 12 de diciembre, FJ 7, o STC 94/2017, FJ 7), el art. 30 establece un sustituto del contribuyente, que ocupa su lugar por mandato legal y queda obligado a cumplir con la obligación tributaria principal y con las obligaciones formales inherentes al tributo (art. 36.1 LGT): el titular de la explotación de la embarcación de crucero turístico, presumiéndose </w:t>
      </w:r>
      <w:r w:rsidRPr="005728DD">
        <w:rPr>
          <w:i/>
        </w:rPr>
        <w:t>iuris tantum</w:t>
      </w:r>
      <w:r>
        <w:t xml:space="preserve"> que lo es el titular de la licencia de turismo.</w:t>
      </w:r>
    </w:p>
    <w:p w:rsidR="005728DD" w:rsidRDefault="005728DD" w:rsidP="005728DD">
      <w:pPr>
        <w:pStyle w:val="TextoNormal"/>
      </w:pPr>
    </w:p>
    <w:p w:rsidR="005728DD" w:rsidRDefault="005728DD" w:rsidP="005728DD">
      <w:pPr>
        <w:pStyle w:val="TextoNormal"/>
      </w:pPr>
      <w:r>
        <w:t>(ii) Por otro lado, el art. 35 contempla la repercusión al contribuyente al disponer que “el sustituto del contribuyente debe consignar en la factura que emita a sus clientes, de forma diferenciada de la contraprestación por sus servicios, el importe de la cuota del impuesto con indicación del número de unidades de estancia y del tipo de gravamen aplicado”. En este sentido, de no haberse previsto legalmente la repercusión al contribuyente, este impuesto no gravaría el consumo por parte del usuario del servicio turístico de alojamiento (en nuestro caso, por parte del pasajero en tránsito de una embarcación de crucero turístico), sino la prestación misma de este servicio y, por ende, la renta obtenida del ejercicio de esa actividad económica por parte de la empresa prestadora del servicio (en nuestro caso, por parte del titular de la explotación de la embarcación de crucero).</w:t>
      </w:r>
    </w:p>
    <w:p w:rsidR="005728DD" w:rsidRDefault="005728DD" w:rsidP="005728DD">
      <w:pPr>
        <w:pStyle w:val="TextoNormal"/>
      </w:pPr>
    </w:p>
    <w:p w:rsidR="005728DD" w:rsidRDefault="005728DD" w:rsidP="005728DD">
      <w:pPr>
        <w:pStyle w:val="TextoNormal"/>
      </w:pPr>
      <w:r>
        <w:t xml:space="preserve">c) Finalmente, los elementos cuantificadores del impuesto sobre estancias en establecimientos turísticos calculan la cuota en función de la capacidad económica expresada en el hecho imponible, y no como contraprestación de una autorización administrativa. Así, la base imponible es el número de unidades de estancia en el mismo establecimiento turístico durante un período continuado, computados en días o fracciones, con un máximo de siete (art. 33).El tipo de gravamen o tarifa, expresado en euros, varía en función de la categoría o tipo de establecimiento, formando cinco grupos, y de su ubicación en Barcelona ciudad o en cualquier otro municipio de Cataluña; oscila entre 2,25 € y 0,45 € hasta el 1 de octubre de 2021 y entre 3,00 € y 0,60 € a partir de esa fecha (art. 34.1). En concreto, para las embarcaciones de crucero turístico (grupo 5), existen, además, diferentes tarifas dependiendo </w:t>
      </w:r>
      <w:r>
        <w:lastRenderedPageBreak/>
        <w:t>del tiempo de duración de la escala: (i) si es de más de doce horas, es de 2,25 € (o de 3,00 € a partir del 1 de octubre de 2021) para todos los puertos del territorio de Cataluña, y (ii) si es de doce horas o inferior, solo existe una tarifa de 0,65 € aplicable exclusivamente a Barcelona ciudad, que a partir del 1 de octubre de 2021 se incrementa a 1,00 € y será exigible en todos los puertos de Cataluña. Asimismo, se establecen unas tarifas especiales para estancias en los establecimientos que, dentro de un centro recreativo turístico, estén situados en las áreas en las que se admiten actividades de juego y apuestas, entre los que no se encuentran las embarcaciones de crucero turístico. En suma, se trata de un tributo de cuota variable, dado que cuantas más unidades temporales de estancia, más base imponible, y cuanta más categoría tenga el establecimiento turístico donde se realiza la estancia, mayor cuantía de la tarifa y, por tanto, más impuesto a pagar.</w:t>
      </w:r>
    </w:p>
    <w:p w:rsidR="005728DD" w:rsidRDefault="005728DD" w:rsidP="005728DD">
      <w:pPr>
        <w:pStyle w:val="TextoNormal"/>
      </w:pPr>
    </w:p>
    <w:p w:rsidR="005728DD" w:rsidRDefault="005728DD" w:rsidP="005728DD">
      <w:pPr>
        <w:pStyle w:val="TextoNormal"/>
      </w:pPr>
      <w:r>
        <w:t>d) También debe señalarse que, del estudio de la estructura de este impuesto autonómico, se extrae que el art. 23, al determinar que el impuesto sobre estancias en establecimientos turísticos “pretende internalizar las posibles externalidades que el turismo puede causar en las zonas de alta concentración turística” no hace sino confirmar su finalidad primordialmente recaudatoria.</w:t>
      </w:r>
    </w:p>
    <w:p w:rsidR="005728DD" w:rsidRDefault="005728DD" w:rsidP="005728DD">
      <w:pPr>
        <w:pStyle w:val="TextoNormal"/>
      </w:pPr>
    </w:p>
    <w:p w:rsidR="005728DD" w:rsidRDefault="005728DD" w:rsidP="005728DD">
      <w:pPr>
        <w:pStyle w:val="TextoNormal"/>
      </w:pPr>
      <w:r>
        <w:t>Y ello porque la citada pretensión de internalización solo se consigue, en este impuesto sobre estancias en establecimientos turísticos, afectando los ingresos derivados de su recaudación a la dotación al fondo de fomento del turismo (art. 24), destinado a financiar “políticas turísticas para la mejora de la competitividad de Cataluña como destino turístico y garantizar su sostenibilidad” (art. 48), como lo son los proyectos o actuaciones que persigan alguno de los siguientes objetivos: i) la promoción turística de Cataluña; ii) el impulso del turismo sostenible, responsable y de calidad, y la protección, preservación, recuperación y mejora de los recursos turísticos; iii) el fomento, la creación y la mejora de los productos turísticos; iv) la mejora de los servicios de control e inspección sobre los establecimientos y equipamientos turísticos, y v) el desarrollo de infraestructuras y servicios relacionados con el turismo (art. 49). Así, a mayor consumo de servicios de alojamiento en establecimientos turísticos, mayor recaudación por el impuesto, mayor dotación del fondo para el fomento del turismo y, a la vista de los fines públicos por él financiados, una mejora cualitativa en la oferta turística catalana.</w:t>
      </w:r>
    </w:p>
    <w:p w:rsidR="005728DD" w:rsidRDefault="005728DD" w:rsidP="005728DD">
      <w:pPr>
        <w:pStyle w:val="TextoNormal"/>
      </w:pPr>
    </w:p>
    <w:p w:rsidR="005728DD" w:rsidRDefault="005728DD" w:rsidP="005728DD">
      <w:pPr>
        <w:pStyle w:val="TextoNormal"/>
      </w:pPr>
      <w:r>
        <w:t>En este sentido, es doctrina constitucional reiterada que el hecho de que el tributo sea finalista o afectado a un determinado fin extrafiscal (en este caso, mejora de la competitividad de Cataluña como destino turístico y garantizar su sostenibilidad) no significa que el tributo tenga finalidad primordialmente extrafiscal. Ni siquiera es prueba de ello su afirmación expresa en la propia exposición de motivos de su ley creadora, que no fue el caso de la Ley 5/2012, que reconoce precisamente que la creación del impuesto sobre estancias en establecimientos turísticos es una medida dirigida a incrementar los ingresos dado el contexto de crisis económica y financiera internacional en el que Cataluña se encuentra. Debe atenderse, pues, al reflejo que dicha finalidad extrafiscal encuentre en los elementos centrales de la estructura del tributo [por todas, STC 87/2019, de 20 de junio, FJ 19, con cita de las SSTC 289/2000, de 30 de noviembre, FJ 5, y 53/2014, de 10 de abril, FJ a)].</w:t>
      </w:r>
    </w:p>
    <w:p w:rsidR="005728DD" w:rsidRDefault="005728DD" w:rsidP="005728DD">
      <w:pPr>
        <w:pStyle w:val="TextoNormal"/>
      </w:pPr>
    </w:p>
    <w:p w:rsidR="005728DD" w:rsidRDefault="005728DD" w:rsidP="005728DD">
      <w:pPr>
        <w:pStyle w:val="TextoNormal"/>
      </w:pPr>
      <w:r>
        <w:t>Y, en este caso, esa finalidad extrafiscal de mejora de la competitividad de Cataluña como destino turístico (y de garantía de su sostenibilidad) no se aprecia en el hecho impo</w:t>
      </w:r>
      <w:r>
        <w:lastRenderedPageBreak/>
        <w:t>nible (que grava sin más el consumo de servicios de alojamiento en establecimientos turísticos) ni en sus elementos cuantificadores, ya que la cuantía del impuesto sobre estancias en establecimientos turísticos aumenta en función no solo del tiempo de estancia sino de la categoría del establecimiento turístico utilizado por los contribuyentes. Es precisamente porque es la capacidad económica gravada en el hecho imponible (y no la finalidad extrafiscal) la que funciona como criterio de imposición, la razón por la que este impuesto posee una finalidad primordialmente recaudatoria. Todo ello sin perjuicio de que existan previsiones en el impuesto que quizá pudieran considerarse promotoras de un determinado turismo, como son las exenciones de las estancias subvencionadas por programas sociales de una administración pública de cualquier Estado miembro de la Unión Europea o las efectuadas por personas de edad igual o inferior a dieciséis años (art. 27) para la promoción del turismo social o familiar, respectivamente; o el hecho de no computar más de siete unidades de estancia por persona como base imponible, para la promoción del turismo de larga duración (art. 33.1), ya que, como se ha reiterado, “la naturaleza extrafiscal o recaudatoria de un tributo es una cuestión de grado, por lo que difícilmente existirán casos ‘puros’”[por todas, SSTC 120/2018, de 31 de octubre, FJ 3 d); 4/2019, de 17 de enero, FJ 3 d) ,y 22/2019, de 14 de febrero, FJ 3 d)].</w:t>
      </w:r>
    </w:p>
    <w:p w:rsidR="005728DD" w:rsidRDefault="005728DD" w:rsidP="005728DD">
      <w:pPr>
        <w:pStyle w:val="TextoNormal"/>
      </w:pPr>
    </w:p>
    <w:p w:rsidR="005728DD" w:rsidRDefault="005728DD" w:rsidP="005728DD">
      <w:pPr>
        <w:pStyle w:val="TextoNormal"/>
      </w:pPr>
      <w:r>
        <w:t>D) Llegados a este punto, dado que la diferente naturaleza tributaria entre impuesto y tasa radica en el contenido de su hecho imponible (art. 2 LGT), procede desestimar la impugnación del nuevo art. 26.1 de la Ley 5/2017 por vulneración del art. 6.2 LOFCA (por la coincidencia material de hechos imponibles, sujetos pasivos y devengo afirmada por los recurrentes), de la misma forma que se hizo con el nuevo art. 6.3 LOFCA en las SSTC 85/2013, de 11 de abril (FJ 4), y 98/2018, de 19 de septiembre (FJ 4) (sobre el impuesto vasco sobre el agua y la tasa municipal por distribución de agua, y el impuesto aragonés sobre contaminación de aguas y la tasa municipal de depuración, respectivamente).</w:t>
      </w:r>
    </w:p>
    <w:p w:rsidR="005728DD" w:rsidRDefault="005728DD" w:rsidP="005728DD">
      <w:pPr>
        <w:pStyle w:val="TextoNormal"/>
      </w:pPr>
    </w:p>
    <w:p w:rsidR="005728DD" w:rsidRDefault="005728DD" w:rsidP="005728DD">
      <w:pPr>
        <w:pStyle w:val="TextoNormal"/>
      </w:pPr>
      <w:r>
        <w:t>a) En primer lugar, como ya se ha anticipado, en relación con las embarcaciones de crucero turístico, el hecho imponible del impuesto sobre estancias en establecimientos turísticos grava la manifestación indirecta de capacidad económica (consumo) que se manifiesta con la estancia en dichas embarcaciones cuando estén amarradas o fondeadas en un puerto del territorio de Cataluña (art. 26.1 de la Ley 5/2017), mientras que el de la tasa del buque es la utilización especial del dominio público portuario durante la estancia del buque (de crucero turístico) en un puerto de interés general (art. 194 del texto refundido de la Ley de puertos del Estado y de la marina mercante). No puede admitirse, como argumentan los recurrentes, que el impuesto grave en realidad la estancia del buque en el puerto, como la tasa estatal, porque someta a tributación a todos los pasajeros del buque con independencia de que desembarquen o no en el puerto para visitar el municipio: Primero, porque el impuesto sobre estancias en establecimientos turísticos no grava a todos los pasajeros del crucero turístico, sino solo a los que se hallan en tránsito en un puerto de Cataluña (art. 28.2); y, segundo, porque la irrelevancia a efectos del impuesto de la conducta turística que lleve a cabo el pasajero en tránsito durante su escala en un puerto del territorio de Cataluña es signo inequívoco de que este impuesto autonómico grava, formal y materialmente, la estancia o disfrute del servicio de alojamiento de estos pasajeros en dicha embarcación.</w:t>
      </w:r>
    </w:p>
    <w:p w:rsidR="005728DD" w:rsidRDefault="005728DD" w:rsidP="005728DD">
      <w:pPr>
        <w:pStyle w:val="TextoNormal"/>
      </w:pPr>
    </w:p>
    <w:p w:rsidR="005728DD" w:rsidRDefault="005728DD" w:rsidP="005728DD">
      <w:pPr>
        <w:pStyle w:val="TextoNormal"/>
      </w:pPr>
      <w:r>
        <w:t xml:space="preserve">b) En segundo lugar, tampoco puede aceptarse que haya identidad de sujetos pasivos porque el titular de la explotación del buque sea el sustituto del impuesto sobre estancias en establecimientos turísticos y el contribuyente de la tasa del buque. Primero, porque el art. </w:t>
      </w:r>
      <w:r>
        <w:lastRenderedPageBreak/>
        <w:t xml:space="preserve">6.2 LOFCA exige coincidencia en la misma clase de sujetos pasivos, dado que cada uno cumple una función en la relación jurídico-tributaria. Segundo, porque, como ya se ha expuesto, en el impuesto que nos ocupa el titular de la explotación del buque (sustituto del contribuyente </w:t>
      </w:r>
      <w:r w:rsidRPr="005728DD">
        <w:rPr>
          <w:i/>
        </w:rPr>
        <w:t>ex</w:t>
      </w:r>
      <w:r>
        <w:t xml:space="preserve"> art. 30 de la Ley 5/2017) debe repercutir la cuota devengada al usuario del servicio de alojamiento en la embarcación de crucero turístico, como se deduce de la regulación de la facturación de tal servicio turístico establecida en el art. 35 de la Ley 5/2017, siendo, por tanto, el pasajero contribuyente quien soporta la carga tributaria. En cambio, en la tasa del buque, aun habiéndose previsto como sustitutos al consignatario o al concesionario o autorizado, en caso de existir (art. 195.2 del texto refundido de la Ley de puertos del Estado y de la marina mercante), estos podrán solicitar el reembolso al contribuyente </w:t>
      </w:r>
      <w:r w:rsidRPr="005728DD">
        <w:rPr>
          <w:i/>
        </w:rPr>
        <w:t>ex</w:t>
      </w:r>
      <w:r>
        <w:t xml:space="preserve"> art. 36.3 </w:t>
      </w:r>
      <w:r w:rsidRPr="005728DD">
        <w:rPr>
          <w:i/>
        </w:rPr>
        <w:t>in fine</w:t>
      </w:r>
      <w:r>
        <w:t xml:space="preserve"> LGT (“El sustituto podrá exigir del contribuyente el importe de las obligaciones tributarias satisfechas, salvo que la ley señale otra cosa”), siendo el beneficiario de la utilización especial de las instalaciones portuarias durante la estancia del buque en el puerto de interés general (que el art. 195.1 del mencionado texto refundido identifica, solidariamente, en el propietario, el naviero y el capitán del buque) el que acabe, como contribuyente, soportando la carga tributaria. En suma, ni los sustitutos son los mismos en cada tributo, ni tampoco lo son los contribuyentes.</w:t>
      </w:r>
    </w:p>
    <w:p w:rsidR="005728DD" w:rsidRDefault="005728DD" w:rsidP="005728DD">
      <w:pPr>
        <w:pStyle w:val="TextoNormal"/>
      </w:pPr>
    </w:p>
    <w:p w:rsidR="005728DD" w:rsidRDefault="005728DD" w:rsidP="005728DD">
      <w:pPr>
        <w:pStyle w:val="TextoNormal"/>
      </w:pPr>
      <w:r>
        <w:t>Procede, asimismo, rechazar la alegación de los recurrentes, basada en la STC 94/2017 [FJ 8 b)], de que ambos tributos acaban siendo soportados en último término por los pasajeros de la embarcación de crucero turístico: en uno, mediante una traslación directa (jurídica) y en otro a través de una traslación indirecta (económica). Y ello porque la traslación económica de la tasa del buque vía precios no es debida al régimen jurídico de la citada tasa y, por tanto, debe quedar extramuros del análisis comparativo, exclusivamente jurídico, que compete a este tribunal en virtud del art. 6.2 LOFCA.</w:t>
      </w:r>
    </w:p>
    <w:p w:rsidR="005728DD" w:rsidRDefault="005728DD" w:rsidP="005728DD">
      <w:pPr>
        <w:pStyle w:val="TextoNormal"/>
      </w:pPr>
    </w:p>
    <w:p w:rsidR="005728DD" w:rsidRDefault="005728DD" w:rsidP="005728DD">
      <w:pPr>
        <w:pStyle w:val="TextoNormal"/>
      </w:pPr>
      <w:r>
        <w:t>c) Finalmente, es cierto que, en caso de embarcaciones de crucero turístico, hay similitud: (i) en los devengos de ambos tributos [en la tasa, cuando el buque entre en las aguas de la zona de servicio del puerto (art. 196 del texto refundido de la Ley de puertos del Estado y de la marina mercante) y, en el impuesto sobre estancias en establecimientos turísticos, al inicio de la estancia cuando el buque haga escala (amarre o fondee) en algún puerto de Cataluña (arts. 26.1 y 28.2 de la Ley 5/2017)], y (ii) en el cómputo del tiempo de estancia en el puerto para hallar las cuotas tributarias: desde el momento en que se dé el primer cabo a punto de amarre, o se fondee el ancla, hasta el momento de largar el buque la última amarra o levar el ancla del fondo (art. 200.1 del citado texto refundido y art. 26.1 de la Ley 5/2017). Ello no obstante, no habiendo coincidencia formal ni material en los hechos imponibles (en este caso al tratarse de distinta clase de tributos), resulta indiferente que los elementos temporales sean semejantes o incluso, aunque no sea el caso, se devenguen por el mismo sujeto. Piénsese que una misma persona es susceptible de realizar diversos hechos imponibles devengando tributos diferentes incluso el mismo día (el IRPF y el índice de precios al consumo a 31 de diciembre, o el IBI, el IAE y el IVTM a 1 de enero).</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Segunda impugnación contra el nuevo art. 26.1 de la Ley 5/2017: Vulneración de los arts. 157.2 y 9 c) LOFCA</w:t>
      </w:r>
      <w:r>
        <w:t>.</w:t>
      </w:r>
    </w:p>
    <w:p w:rsidR="005728DD" w:rsidRDefault="005728DD" w:rsidP="005728DD">
      <w:pPr>
        <w:pStyle w:val="TextoNormal"/>
      </w:pPr>
    </w:p>
    <w:p w:rsidR="005728DD" w:rsidRDefault="005728DD" w:rsidP="005728DD">
      <w:pPr>
        <w:pStyle w:val="TextoNormal"/>
      </w:pPr>
      <w:r>
        <w:t xml:space="preserve">Los recurrentes denuncian que la sujeción al impuesto sobre estancias en establecimientos turísticos de las estancias en embarcaciones de crucero turístico en el nuevo art. 26.1 de </w:t>
      </w:r>
      <w:r>
        <w:lastRenderedPageBreak/>
        <w:t>la Ley 5/2017 supone una restricción injustificada de la libre circulación de personas y servicios en el territorio nacional proscrita en los arts. 157.2 CE y 9 c) LOFCA, como expresión ambos del art. 139.2 CE en materia tributaria. Por un lado, en relación con los potenciales consumidores, porque encarece dichas estancias, incluso aunque su duración sea inferior a doce horas, frente a las que puedan realizar en otros puertos españoles; y, por otro, en relación con los operadores de cruceros turísticos, nacionales e internacionales, porque el coste económico y de gestión del impuesto puede causar que desvíen parte de su demanda a destinos similares y con precios más competitivos, provocando así una distorsión en la libre circulación de empresas titulares de embarcaciones de crucero turístico.</w:t>
      </w:r>
    </w:p>
    <w:p w:rsidR="005728DD" w:rsidRDefault="005728DD" w:rsidP="005728DD">
      <w:pPr>
        <w:pStyle w:val="TextoNormal"/>
      </w:pPr>
    </w:p>
    <w:p w:rsidR="005728DD" w:rsidRDefault="005728DD" w:rsidP="005728DD">
      <w:pPr>
        <w:pStyle w:val="TextoNormal"/>
      </w:pPr>
      <w:r>
        <w:t>Los representantes autonómicos aseveran que el impuesto sobre estancias en establecimientos turísticos se justifica en el ejercicio legítimo del poder tributario de la comunidad autónoma [arts. 133.2 y 157.1 b) CE, y 202.3 a) y 203.5 EAC] y en el reconocimiento constitucional implícito de la instrumentalidad fiscal en la esfera de la imposición autonómica desde la STC 37/1987, de 26 de marzo (FJ 13), al tener la competencia exclusiva sobre turismo (art. 171 EAC). Asimismo, entienden que las cuantías (un euro en el caso de los pasajeros contribuyentes, dado que las escalas suelen ser de menos de un día; y alrededor de veinte euros anuales por crucero por gastos de gestión del impuesto en el caso de los explotadores de las embarcaciones, no poseen la suficiente entidad para provocar una distorsión indebida en la libertad de circulación en el territorio nacional. También aportan datos oficiales del puerto de Barcelona sobre el incremento de cruceristas desde el 2012 (año de creación del impuesto sobre estancias en establecimientos turísticos) hasta 2019.</w:t>
      </w:r>
    </w:p>
    <w:p w:rsidR="005728DD" w:rsidRDefault="005728DD" w:rsidP="005728DD">
      <w:pPr>
        <w:pStyle w:val="TextoNormal"/>
      </w:pPr>
    </w:p>
    <w:p w:rsidR="005728DD" w:rsidRDefault="005728DD" w:rsidP="005728DD">
      <w:pPr>
        <w:pStyle w:val="TextoNormal"/>
      </w:pPr>
      <w:r>
        <w:t>A) En cuanto a la doctrina constitucional aplicable, es conveniente recordar que este tribunal ha señalado que la unidad de mercado tiene como rasgos fundamentales: (i) ser un espacio donde se encuentren garantizadas la libre circulación de personas y bienes, y (ii) ser un espacio donde las condiciones esenciales de ejercicio de la actividad económica sean iguales. Para su consecución, la Constitución ha establecido unas garantías, denominadas estructurales, que suponen un límite en sí a la diversidad regulatoria de las comunidades autónomas en el ejercicio de sus competencias, como son, entre otras, la reserva competencial al Estado de ámbitos materiales concretos de manera exclusiva y excluyente (por ejemplo, en el art. 149.1.6, 7, 8 y 9 CE) o los principios del art. 139 CE. Adicionalmente, cuando las referidas garantías estructurales se demuestren insuficientes para imponer los rasgos del mercado único, el Estado podrá, si así lo decide, intervenir normativamente ejerciendo sus competencias transversales (art. 149.1.1 y 13 CE) con el objetivo de promover dichos rasgos [por todas, SSTC 79/2017, de 22 de junio, FJ 2 a), o 152/2020, de 22 de octubre, FJ 4 B)].</w:t>
      </w:r>
    </w:p>
    <w:p w:rsidR="005728DD" w:rsidRDefault="005728DD" w:rsidP="005728DD">
      <w:pPr>
        <w:pStyle w:val="TextoNormal"/>
      </w:pPr>
    </w:p>
    <w:p w:rsidR="005728DD" w:rsidRDefault="005728DD" w:rsidP="005728DD">
      <w:pPr>
        <w:pStyle w:val="TextoNormal"/>
      </w:pPr>
      <w:r>
        <w:t xml:space="preserve">a) Sobre el diferente propósito de los arts. 38 y 139.2 CE y el diferente escrutinio al que someten a las actuaciones de los poderes públicos, tuvo ocasión de pronunciarse este tribunal en la STC 111/2017, de 5 de octubre, cuyo FJ 4 a) debe darse por reproducido. Teniendo en cuenta que la medida tributaria enjuiciada en este recurso es un impuesto sobre un consumo específico que grava a los usuarios y que afecta únicamente a los operadores económicos </w:t>
      </w:r>
      <w:r w:rsidRPr="005728DD">
        <w:rPr>
          <w:i/>
        </w:rPr>
        <w:t>stricto sensu</w:t>
      </w:r>
      <w:r>
        <w:t xml:space="preserve"> en cuanto a los costes de su gestión, interesa resaltar aquí solo dos premisas fundamentales: (i) “el art. 139.2 CE asegura la libre circulación de mercancías y personas en todo el territorio español. Proscribe con ello las regulaciones o medidas de signo proteccionista; esto es, las que dificulten injustificadamente en un territorio la comercialización de productos de otras zonas o el ejercicio de actividades empresariales por parte de personas procedentes de otros lugares”, y (ii) no toda medida que en la práctica produzca </w:t>
      </w:r>
      <w:r>
        <w:lastRenderedPageBreak/>
        <w:t>efectos restrictivos más onerosos, de hecho o de derecho, sobre las personas o bienes provenientes de fuera contradice necesariamente el art. 139.2 CE: “únicamente lo hará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(STC 66/1991, de 22 de marzo, FJ 2, que cita la STC 37/1981, de 16 de noviembre, FJ 2) [en este sentido, por todas, SSTC 111/2017, de 5 de octubre, FJ 4 a); 7/2018, de 25 de enero, FJ 8, y 68/2021, de 18 de marzo, FJ 6 G)].</w:t>
      </w:r>
    </w:p>
    <w:p w:rsidR="005728DD" w:rsidRDefault="005728DD" w:rsidP="005728DD">
      <w:pPr>
        <w:pStyle w:val="TextoNormal"/>
      </w:pPr>
    </w:p>
    <w:p w:rsidR="005728DD" w:rsidRDefault="005728DD" w:rsidP="005728DD">
      <w:pPr>
        <w:pStyle w:val="TextoNormal"/>
      </w:pPr>
      <w:r>
        <w:t>b) Siendo los arts. 157.2 CE [“Las Comunidades Autónomas no podrán en ningún caso adoptar medidas tributarias […] que supongan obstáculo para la libre circulación de mercancías o servicios”] y 9 c) LOFCA [“Las Comunidades Autónomas podrán establecer sus propios impuestos, respetando, además de lo establecido en el artículo sexto de esta ley, los siguientes principios: […] c) No podrán suponer obstáculo para la libre circulación de personas, mercancías y servicios capitales”] una especificación del art. 139.2 CE en el ámbito tributario, les es extrapolable la doctrina constitucional anteriormente expuesta, por lo que en virtud de los referidos preceptos quedaría prohibido el establecimiento autonómico de medidas tributarias proteccionistas. En este sentido, producirán un obstáculo a la libre circulación de personas y bienes contrario a los arts. 157.2 CE y 9 c) LOFCA aquellas diferencias tributarias de trato, de hecho o de derecho, que establezcan las comunidades autónomas entre residentes y no residentes sin justificación suficiente (STC 96/2013, FJ 9, con cita en la STC 210/2012, FJ 9) y sean desproporcionadas respecto del fin constitucionalmente lícito que persiguen (SSTC 37/1981, de 16 de noviembre, FJ 2; 233/1999, de 13 de diciembre, FJ 26; 168/2004, de 6 de octubre, FJ 5; 100/2012, de 8 de mayo, FJ 4, y 210/2012, FJ 9).</w:t>
      </w:r>
    </w:p>
    <w:p w:rsidR="005728DD" w:rsidRDefault="005728DD" w:rsidP="005728DD">
      <w:pPr>
        <w:pStyle w:val="TextoNormal"/>
      </w:pPr>
    </w:p>
    <w:p w:rsidR="005728DD" w:rsidRDefault="005728DD" w:rsidP="005728DD">
      <w:pPr>
        <w:pStyle w:val="TextoNormal"/>
      </w:pPr>
      <w:r>
        <w:t>c) Sentado lo anterior, debe tenerse también presente, como ha recordado recientemente este tribunal [por todas, STC 135/2019 de 13 de noviembre, FJ 6, con cita en la STC 79/2017, FJ 2 a)] (i) que “nuestro texto constitucional garantiza tanto la unidad de España como la autonomía de sus nacionalidades y regiones, lo que necesariamente obliga a buscar un adecuado equilibrio entre ambos principios”, y (ii) que los preceptos constitucionales que garantizan la unidad de mercado, entre los que se encuentra el art. 139.2 CE [y, por ende, los arts. 157.2 CE y 9 c) LOFCA], “no exigen un tratamiento jurídico uniforme de los derechos y deberes de los ciudadanos en todo tipo de materias y en todo el territorio del Estado, lo que sería frontalmente incompatible con la autonomía”. De ahí que, en lo que aquí importa, la diversidad en las condiciones de ejercicio de la actividad económica en las diferentes partes del territorio nacional derivada del ejercicio por las comunidades autónomas de sus propias competencias no constituye en sí misma una vulneración constitucional, dado que “la potestad legislativa de que las comunidades autónomas gozan potencialmente da a nuestro ordenamiento una estructura compuesta, por obra de la cual puede ser distinta la posición jurídica de los ciudadanos en las distintas partes del territorio nacional” (STC 37/1981, de 16 de noviembre, FJ 2). Así, si bien el derecho a desarrollar una actividad económica en condiciones de igualdad es, indudablemente, una manifestación de la libertad de empresa, este se impone, como ha declarado este tribunal, en cada ordenamiento, estatal o autonómico, individualmente considerado (SSTC 53/2014, FJ 7; 30/2016, FJ 6, y 89/2017, FJ 15). No es posible considerar, por tanto, que ni del referido derecho ni del art. 139.2 CE se derive la exigencia de que las concretas condiciones de ejercicio de la actividad económica tengan que ser las mismas en todo el territorio nacional.</w:t>
      </w:r>
    </w:p>
    <w:p w:rsidR="005728DD" w:rsidRDefault="005728DD" w:rsidP="005728DD">
      <w:pPr>
        <w:pStyle w:val="TextoNormal"/>
      </w:pPr>
    </w:p>
    <w:p w:rsidR="005728DD" w:rsidRDefault="005728DD" w:rsidP="005728DD">
      <w:pPr>
        <w:pStyle w:val="TextoNormal"/>
      </w:pPr>
      <w:r>
        <w:t>B) Aplicando esta doctrina constitucional al caso que nos ocupa, debe rechazarse que la sujeción de las estancias en embarcaciones de crucero turístico al impuesto sobre estancias en establecimientos turísticos constituya una restricción a la libre circulación en el territorio nacional proscrita por los arts. 157.2 CE y 9 c) LOFCA, en relación con el art. 139.2 CE. Aunque no puede desconocerse que, en un marco de libre competencia, las medidas tributarias afectan al libre ejercicio de las actividades económicas, tanto a la oferta como a la demanda, el legislador tributario autonómico no establece en este impuesto, y en relación con las embarcaciones de crucero turístico, una diferencia de trato de corte proteccionista entre los residentes y los no residentes en su territorio.</w:t>
      </w:r>
    </w:p>
    <w:p w:rsidR="005728DD" w:rsidRDefault="005728DD" w:rsidP="005728DD">
      <w:pPr>
        <w:pStyle w:val="TextoNormal"/>
      </w:pPr>
    </w:p>
    <w:p w:rsidR="005728DD" w:rsidRDefault="005728DD" w:rsidP="005728DD">
      <w:pPr>
        <w:pStyle w:val="TextoNormal"/>
      </w:pPr>
      <w:r>
        <w:t>Es cierto que el establecimiento de un impuesto a los usuarios de los servicios de alojamiento en un establecimiento turístico sito en Cataluña, y más concretamente en una embarcación de crucero turístico amarrada o fondeada en un puerto del territorio catalán, supone un coste suplementario respecto de otros destinos dentro del territorio nacional; al igual que los costes de gestión del impuesto sobre estancias en establecimientos turísticos lo son para los explotadores de dichos establecimientos turísticos (como sustitutos de los contribuyentes) respecto de la prestación de estos mismos servicios turísticos de estancia en establecimientos turísticos en otras comunidades autónomas. Ello no obstante, estos costes derivados del impuesto no tienen el resultado específico adicional de tener un efecto restrictivo más oneroso, de hecho o de derecho, (i) sobre el acceso a esos servicios turísticos de estancia en establecimientos turísticos sitos en Cataluña para los usuarios provenientes de fuera de la comunidad autónoma que para los residentes en ella, (ii) ni sobre el acceso o el ejercicio de esa actividad económica para los operadores económicos procedentes de fuera de la comunidad autónoma que para los residentes en Cataluña, que es lo prohibido por el art. 139.2 CE [y más específicamente por los arts. 157.2 CE y 9 c) LOFCA] siempre que la medida tributaria que provocara tal efecto restrictivo fuera injustificada y desproporcionada.</w:t>
      </w:r>
    </w:p>
    <w:p w:rsidR="005728DD" w:rsidRDefault="005728DD" w:rsidP="005728DD">
      <w:pPr>
        <w:pStyle w:val="TextoNormal"/>
      </w:pPr>
    </w:p>
    <w:p w:rsidR="005728DD" w:rsidRDefault="005728DD" w:rsidP="005728DD">
      <w:pPr>
        <w:pStyle w:val="TextoNormal"/>
      </w:pPr>
      <w:r>
        <w:t xml:space="preserve">Así, como ya se ha expuesto en el fundamento jurídico 4 C).b), tanto los usuarios como los prestadores de estos servicios turísticos de alojamiento disfrutan y prestan, respectivamente, dichos servicios en las mismas condiciones que los residentes en esta comunidad autónoma. En efecto, en caso de estancias en embarcaciones de crucero turístico amarradas o fondeadas en un puerto del territorio de Cataluña, tanto los contribuyentes (pasajeros en tránsito), como los sustitutos del contribuyente (titulares de la explotación de la embarcación) se determinan legalmente con independencia de su residencia o no en Cataluña. En este sentido, es preciso señalar, primero, que son los propios recurrentes los que alegan que serán los explotadores de cruceros turísticos nacionales e internacionales (indistintamente) los que, como sustitutos del contribuyente, soporten la carga de gestión del impuesto sobre estancias en establecimientos turísticos. Y, segundo, en relación con los usuarios contribuyentes, si bien es cierto que no será usual que sean pasajeros en tránsito los residentes de la ciudad catalana donde se encuentra el puerto en el que haga escala una embarcación de crucero turístico, no tiene por qué no serlo en relación al resto de residentes de la comunidad autónoma catalana, pues nada impide a los residentes en territorio catalán visitar otras ciudades de su comunidad autónoma en una embarcación de crucero y ser, por tanto, gravados por el impuesto </w:t>
      </w:r>
      <w:r w:rsidRPr="005728DD">
        <w:rPr>
          <w:i/>
        </w:rPr>
        <w:t>ex</w:t>
      </w:r>
      <w:r>
        <w:t xml:space="preserve"> arts. 28.2 y 29 de la Ley 5/2017.</w:t>
      </w:r>
    </w:p>
    <w:p w:rsidR="005728DD" w:rsidRDefault="005728DD" w:rsidP="005728DD">
      <w:pPr>
        <w:pStyle w:val="TextoNormal"/>
      </w:pPr>
    </w:p>
    <w:p w:rsidR="005728DD" w:rsidRDefault="005728DD" w:rsidP="005728DD">
      <w:pPr>
        <w:pStyle w:val="TextoNormal"/>
      </w:pPr>
      <w:r>
        <w:lastRenderedPageBreak/>
        <w:t>En suma, al no tener la regulación tributaria autonómica efectos diferenciados más onerosos sobre los usuarios y operadores foráneos que sobre los usuarios y operadores residentes en la Comunidad Autónoma de Cataluña, no se da el presupuesto para someter el nuevo art. 26.1 de la Ley 5/2017 al control de su justificación y proporcionalidad bajo el parámetro de los arts. 139.2 y 157.2 CE y 9 c) LOFCA, por lo que el recurso debe ser desestimado en este punto.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Tercera impugnación contra el nuevo art. 26.1 de la Ley 5/2017: Vulneración del principio de igualdad tributaria (art. 31.1 CE en relación con el art. 14 CE</w:t>
      </w:r>
      <w:r>
        <w:t>).</w:t>
      </w:r>
    </w:p>
    <w:p w:rsidR="005728DD" w:rsidRDefault="005728DD" w:rsidP="005728DD">
      <w:pPr>
        <w:pStyle w:val="TextoNormal"/>
      </w:pPr>
    </w:p>
    <w:p w:rsidR="005728DD" w:rsidRDefault="005728DD" w:rsidP="005728DD">
      <w:pPr>
        <w:pStyle w:val="TextoNormal"/>
      </w:pPr>
      <w:r>
        <w:t>Asimismo, se argumenta que con la sujeción al impuesto sobre estancias en establecimientos turísticos de las embarcaciones de crucero turístico, el nuevo art. 26.1 de la Ley 5/2017 contraviene el principio de igualdad tributaria del art. 31.1 CE, como manifestación del derecho a la igualdad establecido en el art. 14 CE.</w:t>
      </w:r>
    </w:p>
    <w:p w:rsidR="005728DD" w:rsidRDefault="005728DD" w:rsidP="005728DD">
      <w:pPr>
        <w:pStyle w:val="TextoNormal"/>
      </w:pPr>
    </w:p>
    <w:p w:rsidR="005728DD" w:rsidRDefault="005728DD" w:rsidP="005728DD">
      <w:pPr>
        <w:pStyle w:val="TextoNormal"/>
      </w:pPr>
      <w:r>
        <w:t>A) Por un lado, es doctrina constitucional reiterada que la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en materia tributaria, las SSTC 76/1990, de 26 de abril, FJ 9; 214/1994, de 14 de julio, FJ 8; 200/2001, de 4 de octubre, FJ 4 a); 39/2002, de 14 de febrero, FJ 4; 96/2002, de 25 de abril, FJ 7; 152/2003, de 17 de julo, FJ 5 c); 255/2004, de 22 de diciembre, FJ 4; 10/2005, de 20 de enero, FJ 5; 195/2006, de 11 de octubre, FJ 5; 83/2014, de 29 de mayo, FJ 7; 60/2015, de 18 de marzo, FJ 4, y 77/2015, de 27 de abril, FJ 3 a)].</w:t>
      </w:r>
    </w:p>
    <w:p w:rsidR="005728DD" w:rsidRDefault="005728DD" w:rsidP="005728DD">
      <w:pPr>
        <w:pStyle w:val="TextoNormal"/>
      </w:pPr>
    </w:p>
    <w:p w:rsidR="005728DD" w:rsidRDefault="005728DD" w:rsidP="005728DD">
      <w:pPr>
        <w:pStyle w:val="TextoNormal"/>
      </w:pPr>
      <w:r>
        <w:t xml:space="preserve">Por otro lado, este tribunal ha precisado que “la igualdad ha de valorarse, en cada caso, teniendo en cuenta el régimen jurídico sustantivo del ámbito de relaciones en que se proyecte, y en la materia tributaria es la propia Constitución la que ha concretado y modulado el alcance de su art. 14 en un precepto, el art. 31.1 […], pues la igualdad ante la ley tributaria resulta indisociable de los principios de generalidad, capacidad, justicia y progresividad” (SSTC 27/1981, de 20 de julio, FJ 4; 19/1987, de 17 de febrero, FJ 3; 209/1988, de 10 de noviembre, FJ 6; 45/1989, de 20 de febrero, FJ 4; 221/1992, de 11 de diciembre, FJ 4; 54/1993, de 15 de febrero, FJ 1; 214/1994, de 14 de julio, FJ 5; 134/1996, de 22 de julio, FJ 6; 46/2000, de 17 de febrero, FJ 4; 193/2004, de 4 de noviembre, FJ 3; 255/2004, de 22 de diciembre, FJ 4, y 10/2005, de 20 de enero, FJ 5). Esta recepción constitucional del deber de contribuir al sostenimiento de los gastos públicos según la capacidad económica de cada contribuyente configura un mandato que vincula, no solo a los ciudadanos, sino también a los poderes públicos (STC 76/1990, de 26 de abril, FJ 3) ya que, si los unos están obligados a contribuir al sostenimiento de los gastos públicos de acuerdo con su capacidad económica, los poderes públicos están obligados, en principio, a exigir esa contribución a todos los contribuyentes cuya situación ponga de manifiesto una capacidad económica susceptible de ser sometida a tributación (STC 96/2002, de 25 de abril, FJ 7). Y en cuanto mandato para </w:t>
      </w:r>
      <w:r>
        <w:lastRenderedPageBreak/>
        <w:t>los poderes públicos, “lo que el art. 31.1 CE prohíbe es que, salvo que exista una justificación razonable, el legislador grave de manera diferente ‘idénticas manifestaciones de riqueza’” (SSTC 57/2005, de 14 de marzo, FJ 3; 33/2006, de 13 de febrero, FJ 3; 295/2006, de 11 de octubre, FJ 5, y 19/2012, de 15 de febrero, FJ 7).</w:t>
      </w:r>
    </w:p>
    <w:p w:rsidR="005728DD" w:rsidRDefault="005728DD" w:rsidP="005728DD">
      <w:pPr>
        <w:pStyle w:val="TextoNormal"/>
      </w:pPr>
    </w:p>
    <w:p w:rsidR="005728DD" w:rsidRDefault="005728DD" w:rsidP="005728DD">
      <w:pPr>
        <w:pStyle w:val="TextoNormal"/>
      </w:pPr>
      <w:r>
        <w:t xml:space="preserve">B) Tres son las tachas de inconstitucionalidad que, sobre principio de igualdad en la ley tributaria, se imputan al nuevo art. 26.1 de la Ley 5/2017. En relación con dos de ellas, el juicio de comparabilidad debe partir de dos premisas fundamentales: (i) El impuesto sobre estancias en establecimientos turísticos grava la manifestación de capacidad económica que supone la estancia en establecimientos y equipamientos turísticos situados en Cataluña, entre los que se encuentran las embarcaciones de crucero turístico amarradas o fondeadas en un puerto del territorio catalán, y no “las posibles externalidades que el turismo puede causar en las zonas de alta concentración turística “ (art. 23 </w:t>
      </w:r>
      <w:r w:rsidRPr="005728DD">
        <w:rPr>
          <w:i/>
        </w:rPr>
        <w:t>in fine</w:t>
      </w:r>
      <w:r>
        <w:t xml:space="preserve"> de la Ley 5/2017), y (ii) el impuesto no grava el consumo de servicios turísticos en general, sino únicamente la estancia en establecimientos turísticos, entendiendo por estancia “el disfrute del servicio de alojamiento, por día o fracción, con pernoctación o sin ella” (art. 26.2 de la Ley 5/2017).</w:t>
      </w:r>
    </w:p>
    <w:p w:rsidR="005728DD" w:rsidRDefault="005728DD" w:rsidP="005728DD">
      <w:pPr>
        <w:pStyle w:val="TextoNormal"/>
      </w:pPr>
    </w:p>
    <w:p w:rsidR="005728DD" w:rsidRDefault="005728DD" w:rsidP="005728DD">
      <w:pPr>
        <w:pStyle w:val="TextoNormal"/>
      </w:pPr>
      <w:r>
        <w:t>a) Se denuncia, en primer lugar, un trato discriminatorio en la ley tributaria autonómica contrario al art. 31.1 CE, en relación con el art. 14 CE, por someter a gravamen únicamente a los visitantes que no pernoctan en una ciudad de Cataluña y llegan a ella en una embarcación de crucero turístico, quedando fuera del ámbito del impuesto sobre estancias en establecimientos turísticos aquellos visitantes que, también sin pernoctar, llegan a territorio catalán en otros medios de transporte (tren, autobús, vehículo particular,…); desigualdad tributaria que no puede fundamentarse, según los recurrentes, en las externalidades que provoca el turismo cuya reparación pretende el impuesto controvertido (art. 23 de la Ley 5/2017) puesto que todos los visitantes las generan.</w:t>
      </w:r>
    </w:p>
    <w:p w:rsidR="005728DD" w:rsidRDefault="005728DD" w:rsidP="005728DD">
      <w:pPr>
        <w:pStyle w:val="TextoNormal"/>
      </w:pPr>
    </w:p>
    <w:p w:rsidR="005728DD" w:rsidRDefault="005728DD" w:rsidP="005728DD">
      <w:pPr>
        <w:pStyle w:val="TextoNormal"/>
      </w:pPr>
      <w:r>
        <w:t xml:space="preserve">A la luz de las dos premisas arriba expuestas puede afirmarse que no existe en la ley tributaria autonómica, discriminación entre visitantes de Cataluña sin pernoctación en función del medio de transporte por el que se llegue a una ciudad de esta comunidad, porque este impuesto no somete a gravamen las visitas turísticas a ciudades catalanas sino las estancias en establecimientos turísticos situados en Cataluña, por ello debe concluirse que no se someten a comparación situaciones iguales de capacidad económica. Como afirman las representaciones autonómicas, a efectos del impuesto sobre estancias en establecimientos turísticos, la embarcación de crucero turístico no es considerada medio de transporte, sino establecimiento turístico susceptible de prestar los servicios de alojamiento, que es lo gravado por el impuesto autonómico. Falla, por tanto, la identidad sustancial del </w:t>
      </w:r>
      <w:r w:rsidRPr="005728DD">
        <w:rPr>
          <w:i/>
        </w:rPr>
        <w:t>tertium comparationis</w:t>
      </w:r>
      <w:r>
        <w:t xml:space="preserve"> alegado.</w:t>
      </w:r>
    </w:p>
    <w:p w:rsidR="005728DD" w:rsidRDefault="005728DD" w:rsidP="005728DD">
      <w:pPr>
        <w:pStyle w:val="TextoNormal"/>
      </w:pPr>
    </w:p>
    <w:p w:rsidR="005728DD" w:rsidRDefault="005728DD" w:rsidP="005728DD">
      <w:pPr>
        <w:pStyle w:val="TextoNormal"/>
      </w:pPr>
      <w:r>
        <w:t>b) Se imputa, en segundo lugar, una desigualdad inconstitucional en la ley tributaria autonómica, por sujetar a gravamen únicamente a las embarcaciones de crucero turístico sin pernoctación y no a otro tipo de embarcaciones (como las embarcaciones de recreo, las que son objeto de chárter náutico, las de uso particular o los denominados buques turísticos locales) que también permanecen sin pernoctación en los puertos del territorio de Cataluña generando las externalidades que el impuesto sobre estancias en establecimientos turísticos pretende reparar.</w:t>
      </w:r>
    </w:p>
    <w:p w:rsidR="005728DD" w:rsidRDefault="005728DD" w:rsidP="005728DD">
      <w:pPr>
        <w:pStyle w:val="TextoNormal"/>
      </w:pPr>
    </w:p>
    <w:p w:rsidR="005728DD" w:rsidRDefault="005728DD" w:rsidP="005728DD">
      <w:pPr>
        <w:pStyle w:val="TextoNormal"/>
      </w:pPr>
      <w:r>
        <w:lastRenderedPageBreak/>
        <w:t xml:space="preserve">A los efectos del impuesto sobre estancias en establecimientos turísticos, se considera embarcación de crucero turístico, </w:t>
      </w:r>
      <w:r w:rsidRPr="005728DD">
        <w:rPr>
          <w:i/>
        </w:rPr>
        <w:t>ex</w:t>
      </w:r>
      <w:r>
        <w:t xml:space="preserve"> art. 26.4 de la Ley 5/2017, “la que realiza transporte por mar o por vías navegables con la única finalidad de placer o recreo, complementado con otros servicios y con estancia a bordo superior a dos noches, según lo definido por la normativa de la Unión Europea”, habiéndose extrapolado esta definición legal del art. 3 t) del Reglamento (UE) núm. 1177/2010, del Parlamento Europeo y del Consejo de 24 de noviembre de 2010 sobre los derechos de los pasajeros que viajan por mar y por vías navegables. En este sentido, aunque los recurrentes aseveren que las embarcaciones antes aludidas están excluidas del concepto legal de crucero turístico, generándose así un tratamiento legal discriminatorio para los cruceros sin justificación objetiva y razonable, debe convenirse con las representaciones autonómicas que no existe discriminación alguna en el impuesto que nos ocupa: Toda embarcación de recreo en la que los pasajeros disfruten de los servicios turísticos de alojamiento o estancia (pernocten o no), al manifestar la capacidad económica tipificada en el hecho imponible, quedará sujeta al impuesto, ya sea porque cumpla los requisitos del art. 26.4 de la Ley 5/2017 y sea considerada crucero turístico a efectos del impuesto, ya sea porque no los cumpla y sea considerada “(c)ualquier establecimiento o equipamiento en el que se presten servicios turísticos de alojamiento”, en virtud de la cláusula de cierre [apartado d)] de la lista de establecimientos y equipamientos turísticos sujetos al impuesto sobre estancias en establecimientos turísticos del art. 26.3 de la Ley 5/2017.</w:t>
      </w:r>
    </w:p>
    <w:p w:rsidR="005728DD" w:rsidRDefault="005728DD" w:rsidP="005728DD">
      <w:pPr>
        <w:pStyle w:val="TextoNormal"/>
      </w:pPr>
    </w:p>
    <w:p w:rsidR="005728DD" w:rsidRDefault="005728DD" w:rsidP="005728DD">
      <w:pPr>
        <w:pStyle w:val="TextoNormal"/>
      </w:pPr>
      <w:r>
        <w:t>Adicionalmente, como lo gravado en el impuesto sobre estancias en establecimientos turísticos no es el consumo de cualquier servicio turístico en todo tipo de embarcaciones sitas en un puerto del territorio catalán (ni las externalidades generadas), sino el consumo de los servicios turísticos de estancia u hospedaje en las embarcaciones en las que se presten dichos servicios turísticos, las meras permanencias (que no estancias o alojamientos) en las embarcaciones en las que no se preste tal servicio turístico no quedarán sujetas al impuesto al no evidenciar la misma situación de capacidad económica gravada, quebrando aquí también la idoneidad del término de comparación. En consecuencia, debe, pues, desestimarse la pretensión de inconstitucionalidad dirimida.</w:t>
      </w:r>
    </w:p>
    <w:p w:rsidR="005728DD" w:rsidRDefault="005728DD" w:rsidP="005728DD">
      <w:pPr>
        <w:pStyle w:val="TextoNormal"/>
      </w:pPr>
    </w:p>
    <w:p w:rsidR="005728DD" w:rsidRDefault="005728DD" w:rsidP="005728DD">
      <w:pPr>
        <w:pStyle w:val="TextoNormal"/>
      </w:pPr>
      <w:r>
        <w:t>C) Tampoco puede acogerse la tercera vulneración del principio de igualdad promovida por los recurrentes (art. 31.1 CE), consistente en el tratamiento igualitario que el legislador tributario autonómico dispensa a todos los pasajeros de la embarcación de crucero turístico, que resultan igualmente gravados con independencia de la generación de externalidades debido a la pernoctación en el puerto y consiguiente desembarco para visitar la ciudad o de su no generación por la no pernoctación en el puerto y su consiguiente permanencia en el buque.</w:t>
      </w:r>
    </w:p>
    <w:p w:rsidR="005728DD" w:rsidRDefault="005728DD" w:rsidP="005728DD">
      <w:pPr>
        <w:pStyle w:val="TextoNormal"/>
      </w:pPr>
    </w:p>
    <w:p w:rsidR="005728DD" w:rsidRDefault="005728DD" w:rsidP="005728DD">
      <w:pPr>
        <w:pStyle w:val="TextoNormal"/>
      </w:pPr>
      <w:r>
        <w:t>Abstracción hecha de que la no pernoctación también puede generar externalidades, puesto que una escala en un puerto del territorio catalán de una duración igual o inferior a doce horas no impide el desembarco y de que las externalidades son solo compensadas por los ingresos recaudados por este impuesto (pero no gravadas por él), ha de concluirse que no existe un tratamiento igual en la ley tributaria autonómica para todos los pasajeros de una embarcación de crucero turístico por dos razones.</w:t>
      </w:r>
    </w:p>
    <w:p w:rsidR="005728DD" w:rsidRDefault="005728DD" w:rsidP="005728DD">
      <w:pPr>
        <w:pStyle w:val="TextoNormal"/>
      </w:pPr>
    </w:p>
    <w:p w:rsidR="005728DD" w:rsidRDefault="005728DD" w:rsidP="005728DD">
      <w:pPr>
        <w:pStyle w:val="TextoNormal"/>
      </w:pPr>
      <w:r>
        <w:t>En primer lugar, como el hecho imponible es la estancia u hospedaje en dicha embarcación (art. 26.1 de la Ley 5/2017), solo los pasajeros que hacen escala en un puerto de Cata</w:t>
      </w:r>
      <w:r>
        <w:lastRenderedPageBreak/>
        <w:t>luña son contribuyentes del impuesto sobre estancias en establecimientos turísticos, no quedando sujetos aquellos pasajeros del crucero en régimen de embarque o desembarque en uno de estos puertos (art. 28.2 de la Ley 5/2017). Y, en segundo lugar, si bien el legislador autonómico somete a gravamen a todos los pasajeros de la embarcación de crucero turístico en tránsito (puesto que todos ellos realizan el hecho imponible), lo cierto es que sí tiene en cuenta la duración de la escala de estos pasajeros en un puerto del territorio catalán en cuanto a la tarifa general aplicable (art. 34.1 de la Ley 5/2017, en redacción del art. 5.3 de la Ley 5/2020 y aplicable a partir del 1 de octubre de 2021): (i) si es de doce horas o menos la tarifa será de un euro, coincidiendo con la cuota a pagar y (ii) si dura más de doce horas, la tarifa será de tres euros por día o fracción, con un máximo de cuota de veintiún euros por siete días o más de escala (art. 33.1 de la Ley 5/2017). Debe desecharse, pues, que este impuesto autonómico trate igual supuestos disímiles, dado que el tratamiento tributario dispensado en el impuesto a los pasajeros en tránsito varía en función de la intensidad con la que se realiza el hecho imponible.</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Impugnación subsidiaria contra el nuevo art. 34 bis de la Ley 5/2017: Vulneración de los arts. 2, 31.3 y 133.1 CE</w:t>
      </w:r>
      <w:r>
        <w:t>.</w:t>
      </w:r>
    </w:p>
    <w:p w:rsidR="005728DD" w:rsidRDefault="005728DD" w:rsidP="005728DD">
      <w:pPr>
        <w:pStyle w:val="TextoNormal"/>
      </w:pPr>
    </w:p>
    <w:p w:rsidR="005728DD" w:rsidRDefault="005728DD" w:rsidP="005728DD">
      <w:pPr>
        <w:pStyle w:val="TextoNormal"/>
      </w:pPr>
      <w:r>
        <w:t xml:space="preserve">Una vez confirmada la constitucionalidad de la sujeción al impuesto sobre estancias en establecimientos turísticos de las estancias en embarcaciones de crucero turístico, corresponde enjuiciar la impugnación del nuevo art. 34 </w:t>
      </w:r>
      <w:r w:rsidRPr="005728DD">
        <w:rPr>
          <w:i/>
        </w:rPr>
        <w:t>bis</w:t>
      </w:r>
      <w:r>
        <w:t xml:space="preserve"> de la Ley 5/2017, introducido por el art. 5.4 de la Ley 5/2020, en cuanto aplicable a las estancias en dichas embarcaciones, por violar los arts. 2, 31.3 y 133.1 CE.</w:t>
      </w:r>
    </w:p>
    <w:p w:rsidR="005728DD" w:rsidRDefault="005728DD" w:rsidP="005728DD">
      <w:pPr>
        <w:pStyle w:val="TextoNormal"/>
      </w:pPr>
    </w:p>
    <w:p w:rsidR="005728DD" w:rsidRDefault="005728DD" w:rsidP="005728DD">
      <w:pPr>
        <w:pStyle w:val="TextoNormal"/>
      </w:pPr>
      <w:r>
        <w:t>a) El precepto autonómico impugnado (“recargo para la ciudad de Barcelona”) dispone que el Ayuntamiento de Barcelona puede establecer por ordenanza municipal un recargo sobre las tarifas del impuesto sobre estancias en establecimientos turísticos previstas para Barcelona ciudad en el art. 34.1 de la Ley 5/2017, siempre que su aprobación se ajuste a los siguientes requisitos, límites y condiciones: (i) que el importe máximo para cada categoría de establecimiento no supere los cuatro euros; (ii) que sea único para todas las categorías incluidas en cada tipo de establecimiento en que se divide la tarifa del art. 34.1 de la Ley 5/2017; y (iii) que, respetando los límites anteriores, se puedan establecer diferentes importes en función del código postal de ubicación de los establecimientos. Adicionalmente, se prevé en el segundo párrafo que en los términos, plazos y condiciones que se acuerden por convenio, la Generalidad de Cataluña transferirá al Ayuntamiento de Barcelona las cantidades recaudadas por este concepto, minoradas en el importe que resulte del cálculo de los costes soportados por la Agencia Tributaria derivados de la gestión y recaudación del recargo.</w:t>
      </w:r>
    </w:p>
    <w:p w:rsidR="005728DD" w:rsidRDefault="005728DD" w:rsidP="005728DD">
      <w:pPr>
        <w:pStyle w:val="TextoNormal"/>
      </w:pPr>
    </w:p>
    <w:p w:rsidR="005728DD" w:rsidRDefault="005728DD" w:rsidP="005728DD">
      <w:pPr>
        <w:pStyle w:val="TextoNormal"/>
      </w:pPr>
      <w:r>
        <w:t xml:space="preserve">Los diputados recurrentes alegan que la figura tributaria creada por el art. 34 </w:t>
      </w:r>
      <w:r w:rsidRPr="005728DD">
        <w:rPr>
          <w:i/>
        </w:rPr>
        <w:t>bis</w:t>
      </w:r>
      <w:r>
        <w:t xml:space="preserve"> de la Ley 5/2017 no es un recargo sobre un impuesto autonómico a favor del municipio de Barcelona, sino un nuevo tributo local, para cuyo establecimiento la comunidad autónoma carece de competencia </w:t>
      </w:r>
      <w:r w:rsidRPr="005728DD">
        <w:rPr>
          <w:i/>
        </w:rPr>
        <w:t>ex</w:t>
      </w:r>
      <w:r>
        <w:t xml:space="preserve"> arts. 2, 31.3 y 133.1 CE. Dos son los argumentos esgrimidos para sustentar esta afirmación: (i) que su elevada cuantía (hasta cuatro euros por unidad de estancia) desnaturaliza el carácter accesorio inherente a todo recargo [art. 25.2 LGT y STC 4/2019, FJ 6 c)]; y (ii) que, como dispone el nuevo art. 24 de la Ley 5/2017 (modificado por el art. 5.1 de la Ley 5/2020), los ingresos derivados de este recargo no quedan afectados, como sí lo hacen los del impuesto sobre estancias en establecimientos turísticos, al fondo </w:t>
      </w:r>
      <w:r>
        <w:lastRenderedPageBreak/>
        <w:t>de fomento del turismo. De contrario, las representaciones autonómicas defienden la naturaleza jurídica de recargo del instituto en liza rebatiendo los argumentos como se expone en los antecedentes.</w:t>
      </w:r>
    </w:p>
    <w:p w:rsidR="005728DD" w:rsidRDefault="005728DD" w:rsidP="005728DD">
      <w:pPr>
        <w:pStyle w:val="TextoNormal"/>
      </w:pPr>
    </w:p>
    <w:p w:rsidR="005728DD" w:rsidRDefault="005728DD" w:rsidP="005728DD">
      <w:pPr>
        <w:pStyle w:val="TextoNormal"/>
      </w:pPr>
      <w:r>
        <w:t xml:space="preserve">b) Sobre la impugnación de los recurrentes deben realizarse tres precisiones: En primer lugar, como consta en el fundamento jurídico 2 A) b), se denuncia el art. 34 </w:t>
      </w:r>
      <w:r w:rsidRPr="005728DD">
        <w:rPr>
          <w:i/>
        </w:rPr>
        <w:t>bis</w:t>
      </w:r>
      <w:r>
        <w:t xml:space="preserve"> de la Ley 5/2017 únicamente en tanto que habilita al Ayuntamiento de Barcelona a establecer un recargo sobre las tarifas de impuesto sobre estancias en establecimientos turísticos aplicables a las estancias en embarcaciones de crucero turístico amarradas o fondeadas en el puerto de Barcelona. En segundo lugar, no se entienden vulnerados los arts. 2, 31.3 y 133.1 CE porque el legislador autonómico, al prever este recargo como recurso tributario potestativo del municipio de Barcelona, haya dejado de configurar los elementos esenciales del mismo, habilitando en blanco al Ayuntamiento de Barcelona. Bajo la invocación formal de los arts. 2, 31.3 y 133.1 CE, se deduce una queja de fondo de carácter exclusivamente competencial, consistente en la creación autonómica </w:t>
      </w:r>
      <w:r w:rsidRPr="005728DD">
        <w:rPr>
          <w:i/>
        </w:rPr>
        <w:t>ex novo</w:t>
      </w:r>
      <w:r>
        <w:t xml:space="preserve"> de un impuesto local que invade la competencia exclusiva del Estado sobre hacienda general (art. 149.1.14 CE). Por último, resulta incontrovertido para las partes en conflicto, que corresponde exclusivamente al Estado, mediante ley, la competencia para el establecimiento </w:t>
      </w:r>
      <w:r w:rsidRPr="005728DD">
        <w:rPr>
          <w:i/>
        </w:rPr>
        <w:t>ex novo</w:t>
      </w:r>
      <w:r>
        <w:t xml:space="preserve"> de tributos locales y la configuración de sus elementos esenciales en virtud del art. 149.1.14 CE (por todas, STC 31/2010, de 28 de junio, FJ 140, con cita en la STC 233/1999, FJ 22) y que el art. 38.2 TRLHL prevé que las comunidades autónomas autoricen, por ley, a los entes locales a establecer recargos sobre los impuestos propios autonómicos (“las entidades locales podrán establecer recargos sobre los impuestos propios de la respectiva comunidad autónoma y de otras entidades locales en los casos previstos en las leyes de la comunidad autónoma”).</w:t>
      </w:r>
    </w:p>
    <w:p w:rsidR="005728DD" w:rsidRDefault="005728DD" w:rsidP="005728DD">
      <w:pPr>
        <w:pStyle w:val="TextoNormal"/>
      </w:pPr>
    </w:p>
    <w:p w:rsidR="005728DD" w:rsidRDefault="005728DD" w:rsidP="005728DD">
      <w:pPr>
        <w:pStyle w:val="TextoNormal"/>
      </w:pPr>
      <w:r>
        <w:t xml:space="preserve">c) Esta pretensión de inconstitucionalidad no puede prosperar. Un recargo no cambia su naturaleza jurídica, como alegan los recurrentes, en función de la entidad de su cuantía ni de la carencia de la naturaleza extrafiscal del tributo sobre el que recae. En primer lugar, porque el impuesto sobre estancias en establecimientos turísticos no es un tributo primordialmente extrafiscal, sino afectado al cumplimiento de unos fines de su competencia (mejorar la competitividad de Cataluña como destino turístico y garantizar su sostenibilidad </w:t>
      </w:r>
      <w:r w:rsidRPr="005728DD">
        <w:rPr>
          <w:i/>
        </w:rPr>
        <w:t>ex</w:t>
      </w:r>
      <w:r>
        <w:t xml:space="preserve"> art. 177 EAC). En este sentido, la desafectación del recargo del fondo autonómico de fomento del turismo al que se afecta el impuesto (art. 24 de la Ley 5/2017 redactado por el art. 5.1 de la Ley 5/2020) no es más que una más firme expresión del principio de autonomía local en la vertiente del gasto (arts. 140 y 142 CE), que implica no solo la plena disponibilidad de las corporaciones locales sobre sus ingresos, sino también la libre decisión sobre el destino de sus fondos siempre que sea, eso sí, para el desempeño de los fines públicos que tengan legalmente atribuidos [por todas, STC 83/2020, de 15 de julio, FJ 7 b), con cita en la STC 109/1998, de 21 de mayo, FJ 10]. Y, en segundo lugar, porque lo determinante de un recargo no es su cuantía, sino su particular estructura: se trata de una prestación patrimonial coactiva de naturaleza tributaria que se adhiere a un tributo, con elementos comunes de este y al tiempo propio. En este caso, comparte con el impuesto sobre estancias en establecimientos turísticos el hecho imponible, exenciones, sujetos pasivos y demás obligados tributarios, devengo y base imponible, siendo sus elementos básicos el propio tributo base (impuesto sobre estancias en establecimientos turísticos), el parámetro de aplicación del recargo (la base imponible del impuesto), el tipo del recargo, a determinar mediante ordenanza municipal por la corporación local barcelonesa con los límites y condiciones establecidos por la ley autonómica, y la cuota del recargo. Se trata, pues, de prestación patrimonial </w:t>
      </w:r>
      <w:r>
        <w:lastRenderedPageBreak/>
        <w:t>coactiva de naturaleza tributaria que persigue finalidades principalmente recaudatorias en favor de un beneficiario, generalmente distinto del ente público titular del tributo sobre el que recae.</w:t>
      </w:r>
    </w:p>
    <w:p w:rsidR="005728DD" w:rsidRDefault="005728DD" w:rsidP="005728DD">
      <w:pPr>
        <w:pStyle w:val="TextoNormal"/>
      </w:pPr>
    </w:p>
    <w:p w:rsidR="005728DD" w:rsidRDefault="005728DD" w:rsidP="005728DD">
      <w:pPr>
        <w:pStyle w:val="TextoNormal"/>
      </w:pPr>
      <w:r>
        <w:t xml:space="preserve">Por tanto, el art. 34 </w:t>
      </w:r>
      <w:r w:rsidRPr="005728DD">
        <w:rPr>
          <w:i/>
        </w:rPr>
        <w:t>bis</w:t>
      </w:r>
      <w:r>
        <w:t xml:space="preserve"> de la Ley 5/2017 no invade competencia exclusiva estatal al crear </w:t>
      </w:r>
      <w:r w:rsidRPr="005728DD">
        <w:rPr>
          <w:i/>
        </w:rPr>
        <w:t>ex novo</w:t>
      </w:r>
      <w:r>
        <w:t xml:space="preserve"> un recargo municipal sobre un impuesto autonómico y configurar sus elementos esenciales. Primero, porque solo la comunidad autónoma, en virtud de su competencia exclusiva para crear tributos propios </w:t>
      </w:r>
      <w:r w:rsidRPr="005728DD">
        <w:rPr>
          <w:i/>
        </w:rPr>
        <w:t>ex</w:t>
      </w:r>
      <w:r>
        <w:t xml:space="preserve"> art. 203.5 EAC, tiene competencia para crear, a su favor o a favor de otro ente público, un recargo sobre sus propios impuestos. Y, segundo, porque es precisamente el legislador estatal (art. 38.2 TRLHL) en el ejercicio legítimo de su competencia exclusiva sobre hacienda general (art. 149.1.14 CE), el que expresamente prevé la posibilidad de que la comunidad autónoma habilite a los ayuntamientos a establecer recargos sobre los impuestos autonómicos, con la sola exigencia de que así se prevea explícitamente en una ley autonómica. De esta forma, el precepto legal autonómico recurrido se inserta en el marco previamente definido por el Estado, según el art. 149.1.14 CE, para que las entidades locales puedan establecer recargos sobre impuestos autonómicos; esto es, que sea una ley autonómica la que cree </w:t>
      </w:r>
      <w:r w:rsidRPr="005728DD">
        <w:rPr>
          <w:i/>
        </w:rPr>
        <w:t>ex novo</w:t>
      </w:r>
      <w:r>
        <w:t xml:space="preserve"> dicho recargo (en este caso, potestativo) y fije condiciones y un tope máximo a las tarifas del mismo, como preceptúa el principio de reserva de ley en materia tributaria, para que la corporación local pueda ejercer su potestad tributaria normativa, mediante ordenanza municipal, poniendo en vigor el referido recargo y determinando sus tarifas con arreglo a los límites legalmente impuestos por la comunidad autónoma, salvaguardando con ello asimismo el principio de autonomía local (en sentido similar, la STC 179/1985, de 19 de diciembre, FJ 3, sobre un recargo municipal sobre el IRPF creado </w:t>
      </w:r>
      <w:r w:rsidRPr="005728DD">
        <w:rPr>
          <w:i/>
        </w:rPr>
        <w:t>ex novo</w:t>
      </w:r>
      <w:r>
        <w:t xml:space="preserve"> por ley estatal). Procede, así, desestimar también el recurso en este extremo.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presente recurso de inconstitucionalidad contra el art. 5 de la Ley del Parlamento de Cataluña 5/2020, de 29 de abril, de medidas fiscales, financieras, administrativas y del sector público y de creación del impuesto sobre instalaciones que inciden en el medio ambiente.</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29" w:name="SENTENCIA_2021_126"/>
      <w:r>
        <w:lastRenderedPageBreak/>
        <w:t>SENTENCIA 126/2021, de 3 de junio de 2021</w:t>
      </w:r>
    </w:p>
    <w:bookmarkEnd w:id="129"/>
    <w:p w:rsidR="005728DD" w:rsidRDefault="005728DD" w:rsidP="005728DD">
      <w:pPr>
        <w:pStyle w:val="TtuloResolucin"/>
      </w:pPr>
      <w:r>
        <w:t>Pleno</w:t>
      </w:r>
    </w:p>
    <w:p w:rsidR="005728DD" w:rsidRDefault="005728DD" w:rsidP="005728DD">
      <w:pPr>
        <w:pStyle w:val="TtuloBOE"/>
      </w:pPr>
      <w:r>
        <w:t>(BOE núm. 161, de 7 de julio de 2021)</w:t>
      </w:r>
    </w:p>
    <w:p w:rsidR="005728DD" w:rsidRDefault="005728DD" w:rsidP="005728DD">
      <w:pPr>
        <w:pStyle w:val="TextoNormalCentrado"/>
      </w:pPr>
      <w:r>
        <w:t>ECLI:ES:TC:2021:126</w:t>
      </w:r>
    </w:p>
    <w:p w:rsidR="005728DD" w:rsidRDefault="005728DD" w:rsidP="005728DD">
      <w:pPr>
        <w:pStyle w:val="TextoNormalCentrado"/>
      </w:pPr>
    </w:p>
    <w:p w:rsidR="005728DD" w:rsidRDefault="005728DD" w:rsidP="005728DD">
      <w:pPr>
        <w:pStyle w:val="SntesisDescriptiva"/>
      </w:pPr>
      <w:r>
        <w:t>Cuestión de inconstitucionalidad 5246-2020. Planteada por la Sección Sexta de la Audiencia Provincial de Barcelona en relación con el artículo 137 de la Ley Orgánica 5/1985, de 19 de junio, del régimen electoral general.</w:t>
      </w:r>
    </w:p>
    <w:p w:rsidR="005728DD" w:rsidRDefault="005728DD" w:rsidP="005728DD">
      <w:pPr>
        <w:pStyle w:val="SntesisDescriptiva"/>
      </w:pPr>
    </w:p>
    <w:p w:rsidR="005728DD" w:rsidRDefault="005728DD" w:rsidP="005728DD">
      <w:pPr>
        <w:pStyle w:val="SntesisAnaltica"/>
      </w:pPr>
      <w:r>
        <w:t>Principio de legalidad penal (taxatividad) en relación con el derecho a la participación política: interpretación conforme del precepto legal que prevé la imposición de la pena de inhabilitación especial para el derecho de sufragio pasivo.</w:t>
      </w:r>
    </w:p>
    <w:p w:rsidR="005728DD" w:rsidRDefault="005728DD" w:rsidP="005728DD">
      <w:pPr>
        <w:pStyle w:val="SntesisAnaltica"/>
      </w:pPr>
    </w:p>
    <w:p w:rsidR="005728DD" w:rsidRDefault="005728DD" w:rsidP="005728DD">
      <w:pPr>
        <w:pStyle w:val="Extracto"/>
      </w:pPr>
      <w:r>
        <w:t>1.</w:t>
      </w:r>
      <w:r>
        <w:tab/>
        <w:t xml:space="preserve">Sobre el denominado “juicio de relevancia”, a este Tribunal únicamente le corresponde un control externo sobre el juicio realizado, que excluye la revisión del criterio sentado por el órgano judicial salvo que resulte con toda evidencia errado, porque sea notoriamente inconsistente o equivocada la argumentación judicial sobre la aplicabilidad de la norma al caso o porque de manera patente, sin necesidad de examinar el fondo debatido y conforme a principios jurídicos básicos, se advierta que el razonamiento en relación con el juicio de relevancia resulta falto de consistencia (STC 151/2017); a fin de garantizar el control concreto de constitucionalidad que corresponde a la cuestión de inconstitucionalidad </w:t>
      </w:r>
      <w:r w:rsidRPr="005728DD">
        <w:rPr>
          <w:i/>
        </w:rPr>
        <w:t xml:space="preserve">ex </w:t>
      </w:r>
      <w:r>
        <w:t>art. 163 CE [FJ 2].</w:t>
      </w:r>
    </w:p>
    <w:p w:rsidR="005728DD" w:rsidRDefault="005728DD" w:rsidP="005728DD">
      <w:pPr>
        <w:pStyle w:val="Extracto"/>
      </w:pPr>
    </w:p>
    <w:p w:rsidR="005728DD" w:rsidRDefault="005728DD" w:rsidP="005728DD">
      <w:pPr>
        <w:pStyle w:val="Extracto"/>
      </w:pPr>
      <w:r>
        <w:t>2.</w:t>
      </w:r>
      <w:r>
        <w:tab/>
        <w:t>El derecho a la legalidad penal que protege el art. 25.1 CE se articula a través de una doble garantía, formal y material, que se refiere no solo a la tipificación de las conductas punibles, sino también al establecimiento de las sanciones aplicables [FJ 3].</w:t>
      </w:r>
    </w:p>
    <w:p w:rsidR="005728DD" w:rsidRDefault="005728DD" w:rsidP="005728DD">
      <w:pPr>
        <w:pStyle w:val="Extracto"/>
      </w:pPr>
    </w:p>
    <w:p w:rsidR="005728DD" w:rsidRDefault="005728DD" w:rsidP="005728DD">
      <w:pPr>
        <w:pStyle w:val="Extracto"/>
      </w:pPr>
      <w:r>
        <w:t>3.</w:t>
      </w:r>
      <w:r>
        <w:tab/>
        <w:t>La garantía material trae causa del mandato de taxatividad (</w:t>
      </w:r>
      <w:r w:rsidRPr="005728DD">
        <w:rPr>
          <w:i/>
        </w:rPr>
        <w:t>lex certa</w:t>
      </w:r>
      <w:r>
        <w:t>) y se concreta en la exigencia de predeterminación normativa de las conductas ilícitas y de las sanciones correspondientes. Hace recaer sobre el legislador el deber de configurarlas con la mayor precisión posible para que los ciudadanos puedan conocer de antemano el ámbito de lo proscrito y prever así las consecuencias de sus acciones (SSTC 133/1987, 219/1989, 61/1990, 260/2007 y 144/2011) [FJ 3].</w:t>
      </w:r>
    </w:p>
    <w:p w:rsidR="005728DD" w:rsidRDefault="005728DD" w:rsidP="005728DD">
      <w:pPr>
        <w:pStyle w:val="Extracto"/>
      </w:pPr>
    </w:p>
    <w:p w:rsidR="005728DD" w:rsidRDefault="005728DD" w:rsidP="005728DD">
      <w:pPr>
        <w:pStyle w:val="Extracto"/>
      </w:pPr>
      <w:r>
        <w:t>4.</w:t>
      </w:r>
      <w:r>
        <w:tab/>
        <w:t xml:space="preserve">La garantía de certeza puede resultar vulnerada por la insuficiente determinación </w:t>
      </w:r>
      <w:r w:rsidRPr="005728DD">
        <w:rPr>
          <w:i/>
        </w:rPr>
        <w:t xml:space="preserve">ex ante </w:t>
      </w:r>
      <w:r>
        <w:t>de la conducta sancionable o de la pena a imponer, como defecto inmanente a la redacción legal del precepto sancionador objeto de escrutinio; vulneración que afectaría a la calidad de la ley, esto es, a la accesibilidad y previsibilidad del alcance de la norma en el ámbito penal (SSTC 184/2003 y 261/2015) [FJ 3].</w:t>
      </w:r>
    </w:p>
    <w:p w:rsidR="005728DD" w:rsidRDefault="005728DD" w:rsidP="005728DD">
      <w:pPr>
        <w:pStyle w:val="Extracto"/>
      </w:pPr>
    </w:p>
    <w:p w:rsidR="005728DD" w:rsidRDefault="005728DD" w:rsidP="005728DD">
      <w:pPr>
        <w:pStyle w:val="Extracto"/>
      </w:pPr>
      <w:r>
        <w:t>5.</w:t>
      </w:r>
      <w:r>
        <w:tab/>
        <w:t>El juicio de constitucionalidad no se ocupa de cuestiones referidas a la eficacia, conveniencia o acierto técnico de la norma, en su triple dimensión de corrección técnica, oportunidad o utilidad de las leyes, sino únicamente a enjuiciar si se han respetado los límites externos que a la intervención legislativa imponen los principios constitucionales (SSTC 341/1993  o 40/2018) [FFJJ 3 y 6].</w:t>
      </w:r>
    </w:p>
    <w:p w:rsidR="005728DD" w:rsidRDefault="005728DD" w:rsidP="005728DD">
      <w:pPr>
        <w:pStyle w:val="Extracto"/>
      </w:pPr>
    </w:p>
    <w:p w:rsidR="005728DD" w:rsidRDefault="005728DD" w:rsidP="005728DD">
      <w:pPr>
        <w:pStyle w:val="Extracto"/>
      </w:pPr>
      <w:r>
        <w:lastRenderedPageBreak/>
        <w:t>6.</w:t>
      </w:r>
      <w:r>
        <w:tab/>
        <w:t>En la medida en que las normas aparecen integradas en un ordenamiento jurídico determinado, los aparentes vacíos que en su regulación existan, pueden ser integrados a partir de reglas de ese mismo ordenamiento, por lo que las omisiones no vician de inconstitucionalidad la norma; si bien, dependiendo de la intensidad de la laguna u omisión, el juicio de constitucionalidad puede decantarse en otro sentido [FJ 6].</w:t>
      </w:r>
    </w:p>
    <w:p w:rsidR="005728DD" w:rsidRDefault="005728DD" w:rsidP="005728DD">
      <w:pPr>
        <w:pStyle w:val="Extracto"/>
      </w:pPr>
    </w:p>
    <w:p w:rsidR="005728DD" w:rsidRDefault="005728DD" w:rsidP="005728DD">
      <w:pPr>
        <w:pStyle w:val="Extracto"/>
      </w:pPr>
      <w:r>
        <w:t>7.</w:t>
      </w:r>
      <w:r>
        <w:tab/>
        <w:t>El principio de conservación de la ley hace necesario apurar todas las posibilidades de interpretar los preceptos de conformidad con la Constitución, siempre que se trate de atribuirle significados respetuosos tanto de la literalidad como del contenido de la norma cuestionada (STC 65/2020), descartando aquellos otros con las que el precepto incurra en inconstitucionalidad (SSTC 168/2016 o 76/2019). Tarea que impide la reconstrucción de la norma no explicitada debidamente en el texto legal y, por ende, la creación de una norma nueva, con la consiguiente asunción por el Tribunal Constitucional de una función de legislador positivo que institucionalmente no le corresponde (SSTC 45/1989 o  273/2005) [FJ 6].</w:t>
      </w:r>
    </w:p>
    <w:p w:rsidR="005728DD" w:rsidRDefault="005728DD" w:rsidP="005728DD">
      <w:pPr>
        <w:pStyle w:val="Extracto"/>
      </w:pPr>
    </w:p>
    <w:p w:rsidR="005728DD" w:rsidRDefault="005728DD" w:rsidP="005728DD">
      <w:pPr>
        <w:pStyle w:val="Extracto"/>
      </w:pPr>
      <w:r>
        <w:t>8.</w:t>
      </w:r>
      <w:r>
        <w:tab/>
        <w:t>El Código penal asume un papel integrador respecto a la legislación penal especial, como la de la LOREG, en la medida en que se aplica en todo aquello que la legislación penal especial no prevea. Esta interpretación elimina  el riesgo de una aplicación judicial de la legislación poco coherente o imprevisible que pudiera conducir a una infracción del art. 25 CE [FJ 7].</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la cuestión de inconstitucionalidad núm. 5246-2020 promovida por la Sección Sexta de la Audiencia Provincial de Barcelona en relación con el art. 137 de la Ley Orgánica 5/1985, de 19 de junio, del régimen electoral general. Han comparecido y formulado alegaciones el abogado del Estado y el Ministerio Fiscal. Ha sido ponente el magistrado don Alfredo Montoya Melgar.</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día 4 de noviembre de 2020 tuvo entrada en el registro de este tribunal el escrito de la Sección Sexta de la Audiencia Provincial de Barcelona por el que remite, junto con las actuaciones correspondientes (procedimiento abreviado 76-2020), testimonio del auto de 22 de octubre de 2020, en el que se acuerda plantear cuestión de inconstitucionalidad respecto al art. 137 de la Ley Orgánica 5/1985, de 19 de junio, del régimen electoral general (LOREG, en adelante).</w:t>
      </w:r>
    </w:p>
    <w:p w:rsidR="005728DD" w:rsidRDefault="005728DD" w:rsidP="005728DD">
      <w:pPr>
        <w:pStyle w:val="TextoNormal"/>
      </w:pPr>
    </w:p>
    <w:p w:rsidR="005728DD" w:rsidRDefault="005728DD" w:rsidP="005728DD">
      <w:pPr>
        <w:pStyle w:val="TextoNormal"/>
      </w:pPr>
      <w:r>
        <w:t>El precepto cuestionado, incluido en la sección I, “Disposiciones generales” del capítulo VIII, “Delitos e infracciones electorales”, del Título Primero, “Disposiciones comunes para las elecciones por sufragio universal directo”, de la LOREG dispone que:</w:t>
      </w:r>
    </w:p>
    <w:p w:rsidR="005728DD" w:rsidRDefault="005728DD" w:rsidP="005728DD">
      <w:pPr>
        <w:pStyle w:val="TextoNormal"/>
      </w:pPr>
    </w:p>
    <w:p w:rsidR="005728DD" w:rsidRDefault="005728DD" w:rsidP="005728DD">
      <w:pPr>
        <w:pStyle w:val="TextoNormal"/>
      </w:pPr>
      <w:r>
        <w:t>“Artículo ciento treinta y siete</w:t>
      </w:r>
    </w:p>
    <w:p w:rsidR="005728DD" w:rsidRDefault="005728DD" w:rsidP="005728DD">
      <w:pPr>
        <w:pStyle w:val="TextoNormal"/>
      </w:pPr>
    </w:p>
    <w:p w:rsidR="005728DD" w:rsidRDefault="005728DD" w:rsidP="005728DD">
      <w:pPr>
        <w:pStyle w:val="TextoNormal"/>
      </w:pPr>
      <w:r>
        <w:t>Por todos los delitos a que se refiere este capítulo se impondrá, además de la pena señalada en los artículos siguientes, la de inhabilitación especial para el derecho del sufragio pasivo”.</w:t>
      </w:r>
    </w:p>
    <w:p w:rsidR="005728DD" w:rsidRDefault="005728DD" w:rsidP="005728DD">
      <w:pPr>
        <w:pStyle w:val="TextoNormal"/>
      </w:pPr>
    </w:p>
    <w:p w:rsidR="005728DD" w:rsidRDefault="005728DD" w:rsidP="005728DD">
      <w:pPr>
        <w:pStyle w:val="TextoNormal"/>
      </w:pPr>
      <w:r w:rsidRPr="005728DD">
        <w:rPr>
          <w:rStyle w:val="NumeroAFNegritaCaracter"/>
        </w:rPr>
        <w:t>2</w:t>
      </w:r>
      <w:r>
        <w:t>. Los antecedentes de hecho de la presente cuestión de inconstitucionalidad son, en síntesis, los siguientes:</w:t>
      </w:r>
    </w:p>
    <w:p w:rsidR="005728DD" w:rsidRDefault="005728DD" w:rsidP="005728DD">
      <w:pPr>
        <w:pStyle w:val="TextoNormal"/>
      </w:pPr>
    </w:p>
    <w:p w:rsidR="005728DD" w:rsidRDefault="005728DD" w:rsidP="005728DD">
      <w:pPr>
        <w:pStyle w:val="TextoNormal"/>
      </w:pPr>
      <w:r>
        <w:t>a) El Juzgado de Instrucción núm. 29 de Barcelona instruyó las diligencias previas 1411-2019 por la presunta comisión del delito electoral previsto en el art. 143 LOREG, al haber dejado el ahora acusado de comparecer y personarse, sin causa legítima y sin haber formulado previamente ante la junta electoral excusa o aviso previo, a la constitución de la mesa electoral U, Sección 74, Distrito 08 del municipio de Barcelona, para la que había sido designado como presidente segundo suplente en la jornada de votación del día 26 de mayo de 2019 de las elecciones municipales y europeas. Una vez concluso lo remitió a la Audiencia Provincial de Barcelona para su tramitación como procedimiento abreviado 76-2020.</w:t>
      </w:r>
    </w:p>
    <w:p w:rsidR="005728DD" w:rsidRDefault="005728DD" w:rsidP="005728DD">
      <w:pPr>
        <w:pStyle w:val="TextoNormal"/>
      </w:pPr>
    </w:p>
    <w:p w:rsidR="005728DD" w:rsidRDefault="005728DD" w:rsidP="005728DD">
      <w:pPr>
        <w:pStyle w:val="TextoNormal"/>
      </w:pPr>
      <w:r>
        <w:t>b) En el juicio oral el acusado reconoció los hechos, mostrando su conformidad con las penas solicitadas por el Ministerio Fiscal (seis meses de multa, con una cuota diaria de tres euros y seis meses de inhabilitación especial para el derecho de sufragio pasivo).</w:t>
      </w:r>
    </w:p>
    <w:p w:rsidR="005728DD" w:rsidRDefault="005728DD" w:rsidP="005728DD">
      <w:pPr>
        <w:pStyle w:val="TextoNormal"/>
      </w:pPr>
    </w:p>
    <w:p w:rsidR="005728DD" w:rsidRDefault="005728DD" w:rsidP="005728DD">
      <w:pPr>
        <w:pStyle w:val="TextoNormal"/>
      </w:pPr>
      <w:r>
        <w:t xml:space="preserve">c) Declarado el proceso concluso para sentencia, el órgano judicial dictó providencia, el 28 de septiembre de 2020, para iniciar los trámites para la eventual presentación de cuestión de inconstitucionalidad respecto del art. 137 LOREG por posible vulneración del principio de legalidad (art. 25.1 CE) y del derecho de sufragio pasivo (art. 23.2 CE). La providencia señala que la redacción de dicho precepto es contraria al principio de legalidad en su vertiente material, pues establece una pena preceptiva de inhabilitación especial para el ejercicio del derecho de sufragio pasivo para todos los delitos electorales de duración indeterminada, al no fijar sus límites, ni resultar posible su fijación sobre la base de interpretaciones no reconstructivas. La providencia indica que el precepto no establece límites mínimos ni máximos para esa pena. Además, de entenderse que dichos límites se encuentran en el art. 40.1 del Código penal (CP), se daría lugar a una pena con márgenes excesivamente amplios, por lo que el establecimiento de la correspondencia necesaria entre los ilícitos contemplados </w:t>
      </w:r>
      <w:r>
        <w:lastRenderedPageBreak/>
        <w:t>en los arts. 139 a 150 LOREG y la sanción de inhabilitación especial acabaría encomendándose a la discrecionalidad judicial. Tal situación implicaría una violación adicional del derecho de sufragio pasivo.</w:t>
      </w:r>
    </w:p>
    <w:p w:rsidR="005728DD" w:rsidRDefault="005728DD" w:rsidP="005728DD">
      <w:pPr>
        <w:pStyle w:val="TextoNormal"/>
      </w:pPr>
    </w:p>
    <w:p w:rsidR="005728DD" w:rsidRDefault="005728DD" w:rsidP="005728DD">
      <w:pPr>
        <w:pStyle w:val="TextoNormal"/>
      </w:pPr>
      <w:r>
        <w:t>Por lo anterior concede a las partes un plazo de diez días para que aleguen sobre la oportunidad de promover cuestión de inconstitucionalidad en relación con el art. 137 LOREG, tanto en relación a las “condiciones procesales de interposición como a las materiales relativas a la posible contradicción del precepto con los derechos y reglas constitucionales antes indicadas”.</w:t>
      </w:r>
    </w:p>
    <w:p w:rsidR="005728DD" w:rsidRDefault="005728DD" w:rsidP="005728DD">
      <w:pPr>
        <w:pStyle w:val="TextoNormal"/>
      </w:pPr>
    </w:p>
    <w:p w:rsidR="005728DD" w:rsidRDefault="005728DD" w:rsidP="005728DD">
      <w:pPr>
        <w:pStyle w:val="TextoNormal"/>
      </w:pPr>
      <w:r>
        <w:t>d) La representación procesal del acusado manifestó su parecer favorable al planteamiento de la cuestión, cosa que también hizo el Ministerio Fiscal.</w:t>
      </w:r>
    </w:p>
    <w:p w:rsidR="005728DD" w:rsidRDefault="005728DD" w:rsidP="005728DD">
      <w:pPr>
        <w:pStyle w:val="TextoNormal"/>
      </w:pPr>
    </w:p>
    <w:p w:rsidR="005728DD" w:rsidRDefault="005728DD" w:rsidP="005728DD">
      <w:pPr>
        <w:pStyle w:val="TextoNormal"/>
      </w:pPr>
      <w:r>
        <w:t>e) El órgano judicial dictó auto de 22 de octubre de 2020 por el que acuerda promover cuestión de inconstitucionalidad en relación con el art. 137 LOREG “en la medida en que vulnera el principio de legalidad en su vertiente material, principio que reconoce el artículo 25 de la Constitución y el derecho de sufragio pasivo reconocido en el artículo 23.2 de la Constitución”.</w:t>
      </w:r>
    </w:p>
    <w:p w:rsidR="005728DD" w:rsidRDefault="005728DD" w:rsidP="005728DD">
      <w:pPr>
        <w:pStyle w:val="TextoNormal"/>
      </w:pPr>
    </w:p>
    <w:p w:rsidR="005728DD" w:rsidRDefault="005728DD" w:rsidP="005728DD">
      <w:pPr>
        <w:pStyle w:val="TextoNormal"/>
      </w:pPr>
      <w:r w:rsidRPr="005728DD">
        <w:rPr>
          <w:rStyle w:val="NumeroAFNegritaCaracter"/>
        </w:rPr>
        <w:t>3</w:t>
      </w:r>
      <w:r>
        <w:t>. Del contenido del auto de planteamiento interesa resaltar lo siguiente:</w:t>
      </w:r>
    </w:p>
    <w:p w:rsidR="005728DD" w:rsidRDefault="005728DD" w:rsidP="005728DD">
      <w:pPr>
        <w:pStyle w:val="TextoNormal"/>
      </w:pPr>
    </w:p>
    <w:p w:rsidR="005728DD" w:rsidRDefault="005728DD" w:rsidP="005728DD">
      <w:pPr>
        <w:pStyle w:val="TextoNormal"/>
      </w:pPr>
      <w:r>
        <w:t>El auto reproduce el precepto cuestionado y señala que, de acuerdo con él, la comisión de cualquier delito electoral de los previstos en los arts. 139 a 150 LOREG lleva aparejada, además de las penas previstas en esos preceptos, la inhabilitación especial para el ejercicio del derecho de sufragio pasivo.</w:t>
      </w:r>
    </w:p>
    <w:p w:rsidR="005728DD" w:rsidRDefault="005728DD" w:rsidP="005728DD">
      <w:pPr>
        <w:pStyle w:val="TextoNormal"/>
      </w:pPr>
    </w:p>
    <w:p w:rsidR="005728DD" w:rsidRDefault="005728DD" w:rsidP="005728DD">
      <w:pPr>
        <w:pStyle w:val="TextoNormal"/>
      </w:pPr>
      <w:r>
        <w:t>El órgano judicial entiende que este art. 137 LOREG impone una pena de duración indeterminada, por cuanto no fija límites máximos ni mínimos a dicha pena de inhabilitación especial. Podría estimarse que esa insuficiencia puede cubrirse completando el régimen aplicable con lo dispuesto en el art. 40.1 CP, pero la función de este precepto no es la de fijar el marco penal asociado a la correspondiente figura delictiva, sino los límites máximo y mínimo de duración de ese tipo de sanción. Por otra parte, de acudirse a esta vía se daría lugar a una pena con márgenes excesivamente amplios de duración (de tres meses a veinte años), lo que supondría encomendar a la discrecionalidad judicial el establecimiento de la correspondencia necesaria entre los delitos electorales y la sanción de inhabilitación especial para el ejercicio del derecho de sufragio pasivo.</w:t>
      </w:r>
    </w:p>
    <w:p w:rsidR="005728DD" w:rsidRDefault="005728DD" w:rsidP="005728DD">
      <w:pPr>
        <w:pStyle w:val="TextoNormal"/>
      </w:pPr>
    </w:p>
    <w:p w:rsidR="005728DD" w:rsidRDefault="005728DD" w:rsidP="005728DD">
      <w:pPr>
        <w:pStyle w:val="TextoNormal"/>
      </w:pPr>
      <w:r>
        <w:t xml:space="preserve">Se recuerda a continuación la doctrina constitucional en relación con el principio de legalidad penal, en su doble vertiente formal y material, señalando que aquí se ve afectada la denominada garantía material. El órgano judicial promotor de la cuestión destaca que el precepto cuestionado colisiona con la garantía material de taxatividad que exige precisión no solo en el supuesto de hecho de la norma penal, sino también en su consecuencia, de modo que las normas punitivas deben permitir predecir, con suficiente certeza, el tipo y grado de sanción determinado del que puede hacerse merecedor quien cometa una o más infracciones concretas. Y la sanción incurrirá en imprecisión cuando la norma que la contempla establece marcos penales demasiado amplios, convirtiéndose en imprevisible. Por otra parte, esta exigencia de taxatividad se refuerza en aquellos casos en los que la sanción afecta a un derecho fundamental, como sucede en el caso del derecho de sufragio pasivo, lo </w:t>
      </w:r>
      <w:r>
        <w:lastRenderedPageBreak/>
        <w:t>que implica también una correlativa lesión del derecho del art. 23.2 CE. En el parecer del órgano judicial, no solo las condiciones concretas en las que un ciudadano puede ser privado de su derecho, sino también el alcance temporal de tal privación, así como el conocimiento de ambos, deben entenderse elementos esenciales del derecho fundamental. Indica que el Tribunal Europeo de Derechos Humanos ha subrayado la idea de que la exigencia de precisión y proporcionalidad en la identificación de causas y condiciones que pueden justificar la privación del sufragio es consustancial al sistema democrático.</w:t>
      </w:r>
    </w:p>
    <w:p w:rsidR="005728DD" w:rsidRDefault="005728DD" w:rsidP="005728DD">
      <w:pPr>
        <w:pStyle w:val="TextoNormal"/>
      </w:pPr>
    </w:p>
    <w:p w:rsidR="005728DD" w:rsidRDefault="005728DD" w:rsidP="005728DD">
      <w:pPr>
        <w:pStyle w:val="TextoNormal"/>
      </w:pPr>
      <w:r>
        <w:t>El órgano judicial considera que la pena que deriva del art. 137 LOREG es indeterminada o desproporcionada, sin que tales defectos puedan ser salvados por la aplicación del Código penal al que remite el art. 135 LOREG. Dicho Código penal contempla la inhabilitación especial como una pena privativa de derechos (art. 39), regula su duración (art. 40.1) y fija su contenido, consistente en la privación, durante el tiempo de la condena, del derecho a ser elegido para cargos públicos (art. 44). Se encuentra prevista como pena principal para determinados delitos y como accesoria en el art. 56. Cuando se establece como pena principal, el propio Código penal fija el marco penal en la disposición normativa que la prevé para cada figura delictiva. Cuando se trata de una pena accesoria, el art. 33.6 CP señala que tendrá la misma duración que la pena principal.</w:t>
      </w:r>
    </w:p>
    <w:p w:rsidR="005728DD" w:rsidRDefault="005728DD" w:rsidP="005728DD">
      <w:pPr>
        <w:pStyle w:val="TextoNormal"/>
      </w:pPr>
    </w:p>
    <w:p w:rsidR="005728DD" w:rsidRDefault="005728DD" w:rsidP="005728DD">
      <w:pPr>
        <w:pStyle w:val="TextoNormal"/>
      </w:pPr>
      <w:r>
        <w:t>El auto entiende que la inhabilitación especial del art. 137 LOREG es una pena principal (cita la STS 322/2016, de 19 de abril), pues dicho precepto no establece que determinadas penas de las previstas para los delitos de los arts. 139 a 150 lleven asociadas las de inhabilitación especial, sino que impone dicha pena para todas esas figuras delictivas, de modo que hay un vínculo directo entre la inhabilitación especial y las figuras delictivas, no entre aquella y las penas principales. Como tal pena principal es una pena que carece de marco penal, pues el art. 40.1 CP tiene por objeto regular los límites de la duración máxima y mínima de la pena de inhabilitación, pero, en ningún caso, configurar un marco penal, concepto referido a delitos específicos. En consecuencia, estos delitos electorales carecerían de marco penal y, por tanto, tendrían una pena indeterminada. En todo caso, de entenderse el art. 40.1 CP como un marco penal, a los efectos de colmar una supuesta laguna del art. 137 LOREG, el resultado sería que se dejaría un amplio margen al juzgador en la fijación de la duración de la pena a imponer (entre tres meses y veinte años) sin garantizar mínimamente su seguridad jurídica, lo que constituiría una técnica legislativa infractora del art. 25.1 CE, de acuerdo con la doctrina de las SSTC 25/2002 y 207/1990, al encomendar por entero a la discrecionalidad judicial el establecimiento de la correspondencia necesaria entre los ilícitos y las sanciones. Ese marco se aplicaría, además, a un grupo de conductas muy heterogéneas (todos los delitos electorales) a las que el legislador asocia otras penas principales (prisión o multa) que ha graduado específicamente en función de su gravedad, sin proporcionar ninguna indicación que permita precisar la extensión de la inhabilitación especial. Los espacios de determinación legal de la pena e individualización judicial acaban así confundidos, de modo que es el juez quien tiene todo el poder para establecer la correspondencia entre la infracción y la sanción. Por otra parte, la excesiva amplitud del marco penal podría impedir, en casos concretos, la adecuada individualización, determinando una respuesta desproporcionada.</w:t>
      </w:r>
    </w:p>
    <w:p w:rsidR="005728DD" w:rsidRDefault="005728DD" w:rsidP="005728DD">
      <w:pPr>
        <w:pStyle w:val="TextoNormal"/>
      </w:pPr>
    </w:p>
    <w:p w:rsidR="005728DD" w:rsidRDefault="005728DD" w:rsidP="005728DD">
      <w:pPr>
        <w:pStyle w:val="TextoNormal"/>
      </w:pPr>
      <w:r>
        <w:t xml:space="preserve">El órgano judicial también descarta la aplicación por analogía </w:t>
      </w:r>
      <w:r w:rsidRPr="005728DD">
        <w:rPr>
          <w:i/>
        </w:rPr>
        <w:t>in bonam partem</w:t>
      </w:r>
      <w:r>
        <w:t xml:space="preserve"> de las reglas del Código penal para las penas accesorias, a fin de posibilitar una mayor determinación de la posible extensión de la pena. Estima que ninguna de las opciones disponibles </w:t>
      </w:r>
      <w:r>
        <w:lastRenderedPageBreak/>
        <w:t>despejaría los problemas de indeterminación y confundiría los espacios reservados al legislador y al juez, esto es, la determinación legal de la pena y la individualización judicial de la misma. La primera opción sería acudir a la regla del art. 33.6 CP, de modo que la extensión de la pena de inhabilitación coincidiera con la extensión de la otra pena aplicable al caso. Otra alternativa pasaría por entender que la duración de la pena de inhabilitación especial sería la de la pena de prisión [aplicando el art. 6.2 a) LOREG en relación con el art. 56.1.2 CP] y, finalmente, como tercera opción, se podría considerar que cuando correspondiera imponer una pena de multa, o, en los supuestos en los que la única pena prevista fuera aquella, resultaría aplicable el parámetro de conversión del art. 53 CP, de modo que la duración de la inhabilitación impuesta sería la resultante de aplicar dicho parámetro de conversión.</w:t>
      </w:r>
    </w:p>
    <w:p w:rsidR="005728DD" w:rsidRDefault="005728DD" w:rsidP="005728DD">
      <w:pPr>
        <w:pStyle w:val="TextoNormal"/>
      </w:pPr>
    </w:p>
    <w:p w:rsidR="005728DD" w:rsidRDefault="005728DD" w:rsidP="005728DD">
      <w:pPr>
        <w:pStyle w:val="TextoNormal"/>
      </w:pPr>
      <w:r>
        <w:t>Ninguna de esas soluciones le parece admisible al órgano judicial. Por lo que respecta a la primera, la operación en virtud de la cual se colma la ausencia de regla sobre la duración implicaría la toma de una decisión cuasilegislativa en el momento de aplicación de la ley y no en el de su formulación, lo que podría suponer una violación adicional del principio de legalidad en su vertiente formal. Además, no se despejaría la incertidumbre, pues, en los casos de penas cumulativas de prisión y multa, subsistiría el problema de identificar qué pena debería ser tratada como principal. En cuanto a la segunda opción, no existe identidad de razón entre la regla del art. 6.2 a) LOREG y el art. 137 LOREG, pues el primer precepto declara inelegible a quien haya sido condenado por delitos ajenos al proceso electoral, siempre que se haya impuesto pena de prisión y durante el tiempo de duración de la pena, mientras que el segundo regula las consecuencias sancionadoras de la comisión de un delito electoral. Además, se encuentra con el óbice, ya anticipado, de que hay delitos para los que solo se contempla pena de multa y otros para los que hay penas alternativas de prisión o multa, siendo así que en tales casos la inhabilitación seguiría siendo preceptiva por imponerlo el art. 137 LOREG. La tercera alternativa maneja la regla del art. 53 CP para calcular la duración de la inhabilitación especial, lo que no deja de ser artificioso dada la diversidad de supuestos de hecho entre el contemplado en dicho artículo y el previsto en el art. 137 LOREG. Que el legislador haya establecido, en los supuestos de insolvencia o impago de la multa, una regla que convierte dos días de multa en un día de privación de libertad no significa que haya aceptado también dicha equivalencia respecto de la inhabilitación especial para el ejercicio del derecho de sufragio pasivo. Por otra parte, si, habiéndose optado por la modalidad de pena más benigna (multa frente a prisión), la inhabilitación especial sigue teniendo la misma extensión que tendría si se hubiera optado por la más gravosa (prisión), la consecuencia carecería de toda lógica político criminal.</w:t>
      </w:r>
    </w:p>
    <w:p w:rsidR="005728DD" w:rsidRDefault="005728DD" w:rsidP="005728DD">
      <w:pPr>
        <w:pStyle w:val="TextoNormal"/>
      </w:pPr>
    </w:p>
    <w:p w:rsidR="005728DD" w:rsidRDefault="005728DD" w:rsidP="005728DD">
      <w:pPr>
        <w:pStyle w:val="TextoNormal"/>
      </w:pPr>
      <w:r>
        <w:t>Por tanto, para el órgano judicial tales soluciones son inadmisibles desde la perspectiva del principio de taxatividad, ya que la subsistencia de la disposición permitiría la convivencia de interpretaciones diversas, que implicaría la necesidad de que un juez interpretara la norma en un determinado sentido y no en otros, lo que privaría de certeza a la disposición, con la consecuencia de que sus destinatarios no estarían en condiciones de prever con el suficiente grado de seguridad los efectos jurídicos anudados a sus acciones.</w:t>
      </w:r>
    </w:p>
    <w:p w:rsidR="005728DD" w:rsidRDefault="005728DD" w:rsidP="005728DD">
      <w:pPr>
        <w:pStyle w:val="TextoNormal"/>
      </w:pPr>
    </w:p>
    <w:p w:rsidR="005728DD" w:rsidRDefault="005728DD" w:rsidP="005728DD">
      <w:pPr>
        <w:pStyle w:val="TextoNormal"/>
      </w:pPr>
      <w:r>
        <w:t xml:space="preserve">Por ello, el tribunal </w:t>
      </w:r>
      <w:r w:rsidRPr="005728DD">
        <w:rPr>
          <w:i/>
        </w:rPr>
        <w:t>a quo</w:t>
      </w:r>
      <w:r>
        <w:t xml:space="preserve"> considera que el art. 137 LOREG fija una pena preceptiva para todos los delitos electorales, pero no su duración, sin que tal laguna pueda ser suplida por el art. 40.1 CP, que contempla los umbrales máximo y mínimo para cualquier tipo de inhabilitación especial. Esto es, fija la duración de este tipo de sanción, pero no el marco penal </w:t>
      </w:r>
      <w:r>
        <w:lastRenderedPageBreak/>
        <w:t>abstracto para cada uno de los delitos a los que se refiere el art. 137 LOREG. Y, aun de aplicarse el art. 40.1 citado, la horquilla penológica sería excesivamente amplia y contraria al principio de proporcionalidad.</w:t>
      </w:r>
    </w:p>
    <w:p w:rsidR="005728DD" w:rsidRDefault="005728DD" w:rsidP="005728DD">
      <w:pPr>
        <w:pStyle w:val="TextoNormal"/>
      </w:pPr>
    </w:p>
    <w:p w:rsidR="005728DD" w:rsidRDefault="005728DD" w:rsidP="005728DD">
      <w:pPr>
        <w:pStyle w:val="TextoNormal"/>
      </w:pPr>
      <w:r>
        <w:t>Por último, en relación con los requisitos a los que los Estados miembros del Consejo de Europa pueden someter los derechos de sufragio activo y pasivo, es esencial que tengan finalidad legítima y se instauren medios que guarden la debida proporción. Para el órgano promotor de la cuestión, la mera posibilidad de que una conducta no especialmente grave, como algunas de las contempladas en los arts. 139 a 150 LOREG, pueda llevar asociada una pena abstracta de veinte años de inhabilitación para el ejercicio del derecho de sufragio pasivo constituye una desproporción evidente que descalifica, por ilegítima, la sanción.</w:t>
      </w:r>
    </w:p>
    <w:p w:rsidR="005728DD" w:rsidRDefault="005728DD" w:rsidP="005728DD">
      <w:pPr>
        <w:pStyle w:val="TextoNormal"/>
      </w:pPr>
    </w:p>
    <w:p w:rsidR="005728DD" w:rsidRDefault="005728DD" w:rsidP="005728DD">
      <w:pPr>
        <w:pStyle w:val="TextoNormal"/>
      </w:pPr>
      <w:r>
        <w:t>Según el auto, la existencia de un problema estructural de indeterminación de la extensión de la pena del art. 137 LOREG se pone de manifiesto en las resoluciones judiciales que la han aplicado. Cita ejemplos de la Audiencia Provincial de Barcelona y del Tribunal Supremo en los que se muestra la disparidad de resultados a la hora de determinar la extensión de la pena de inhabilitación especial. En relación con las sentencias de la Audiencia Provincial de Barcelona, recalca que existe una praxis aplicativa que atribuye a aquélla el conocimiento de los delitos electorales precisamente con el argumento de que la pena puede exceder en abstracto de los diez años y el hecho de que muchas son conformadas sin que se advierta uniformidad de criterio en las peticiones penológicas formuladas por el Ministerio Fiscal. Afirma que de su observación se desprende que ni existen decisiones penológicas previsibles ni criterios claros a tal efecto, pues hay resoluciones que establecen idéntica duración para la pena de inhabilitación especial que para la de multa, así como otras que la duplican o la triplican, e incluso que igualan la duración de la pena de prisión o la duplican. Y similar situación aprecia en lo que advierte en las sentencias del Tribunal Supremo, tres de las cuales se refieren al delito electoral del art. 143 LOREG, si bien solo dos de estas impusieron la pena de inhabilitación especial concernida.</w:t>
      </w:r>
    </w:p>
    <w:p w:rsidR="005728DD" w:rsidRDefault="005728DD" w:rsidP="005728DD">
      <w:pPr>
        <w:pStyle w:val="TextoNormal"/>
      </w:pPr>
    </w:p>
    <w:p w:rsidR="005728DD" w:rsidRDefault="005728DD" w:rsidP="005728DD">
      <w:pPr>
        <w:pStyle w:val="TextoNormal"/>
      </w:pPr>
      <w:r>
        <w:t>A tenor de lo expuesto, el órgano judicial considera evidente que no hay aplicación del art. 137 LOREG coherente y previsible, lo que demuestra que la disposición sancionadora carece del grado de taxatividad exigible y, en consecuencia, lesiona tanto el principio de legalidad penal como el derecho de sufragio pasivo.</w:t>
      </w:r>
    </w:p>
    <w:p w:rsidR="005728DD" w:rsidRDefault="005728DD" w:rsidP="005728DD">
      <w:pPr>
        <w:pStyle w:val="TextoNormal"/>
      </w:pPr>
    </w:p>
    <w:p w:rsidR="005728DD" w:rsidRDefault="005728DD" w:rsidP="005728DD">
      <w:pPr>
        <w:pStyle w:val="TextoNormal"/>
      </w:pPr>
      <w:r>
        <w:t>Expuesta en tales términos la duda, el auto formula lo que denomina “juicio de relevancia procesal”, indicando que la declaración de inconstitucionalidad que se promueve resulta especialmente relevante en relación con el propio objeto del proceso penal. Señala al respecto que no es posible imponer la pena de conformidad solicitada por el Ministerio Fiscal (seis meses de inhabilitación especial) precisamente por carecer el precepto de marco penal y ser una carencia que no puede ser solucionada por vía interpretativa, bien mediante el entendimiento del art. 40.1 CP como marco penal abstracto o bien a través de la aplicación de las reglas fijadas en el mismo código para las penas accesorias a fin de posibilitar una mayor delimitación de la extensión de esta pena de inhabilitación especial. Afirma también que “el contenido del fallo de la sentencia no dependería de la validez de la norma legal sancionadora aplicable si se hubiera solicitado la pena de inhabilitación especial en la extensión de tres meses pues, conforme al artículo 40.1 del Código penal, esa es la duración mínima para dicha pena en todo caso, pero no es el caso, puesto que la pena sobre la que se proyecta la conformidad es de seis meses, lo que nos obliga a plantear la cuestión”.</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15 de diciembre de 2020, el Pleno, a propuesta de la Sección Primera, acordó admitir a trámite la cuestión de inconstitucionalidad planteada por la Sección Sexta de la Audiencia Provincial de Barcelona, en el procedimiento abreviado núm. 76-2020, en relación con el art. 137 LOREG, por posible vulneración de los arts. 23.2 y 25.1 CE; de conformidad con lo dispuesto en el art. 10.1 c) de la Ley Orgánica del Tribunal Constitucional (LOTC), reservar para sí el conocimiento de la presente cuestión; dar traslado de las actuaciones recibidas, conforme establece el art. 37.3 LOTC, al Congreso de los Diputados y al Senado, por conducto de sus presidentas, al Gobierno, por conducto del ministro de Justicia, y a la fiscal general del Estado, al objeto de que, en el improrrogable plazo de quince días, puedan personarse en el proceso y formular las alegaciones que estimen convenientes; comunicar la presente resolución a la Sección Sexta de la Audiencia Provincial de Barcelona a fin de que, de conformidad con lo dispuesto en el art. 35.3 LOTC, permanezca suspendido el proceso hasta que este tribunal resuelva definitivamente la presente cuestión y publicar la incoación de la cuestión en el “Boletín Oficial del Estado”.</w:t>
      </w:r>
    </w:p>
    <w:p w:rsidR="005728DD" w:rsidRDefault="005728DD" w:rsidP="005728DD">
      <w:pPr>
        <w:pStyle w:val="TextoNormal"/>
      </w:pPr>
    </w:p>
    <w:p w:rsidR="005728DD" w:rsidRDefault="005728DD" w:rsidP="005728DD">
      <w:pPr>
        <w:pStyle w:val="TextoNormal"/>
      </w:pPr>
      <w:r w:rsidRPr="005728DD">
        <w:rPr>
          <w:rStyle w:val="NumeroAFNegritaCaracter"/>
        </w:rPr>
        <w:t>5</w:t>
      </w:r>
      <w:r>
        <w:t>. El abogado del Estado se personó en el proceso por escrito registrado el día 15 de enero de 2021 en el que interesa la inadmisión de la cuestión o, subsidiariamente, su desestimación.</w:t>
      </w:r>
    </w:p>
    <w:p w:rsidR="005728DD" w:rsidRDefault="005728DD" w:rsidP="005728DD">
      <w:pPr>
        <w:pStyle w:val="TextoNormal"/>
      </w:pPr>
    </w:p>
    <w:p w:rsidR="005728DD" w:rsidRDefault="005728DD" w:rsidP="005728DD">
      <w:pPr>
        <w:pStyle w:val="TextoNormal"/>
      </w:pPr>
      <w:r>
        <w:t>En cuanto a lo primero, considera que el juicio de relevancia no se ha formulado adecuadamente, con lo que se incumplen los requisitos procesales que exige el art. 35.2 LOTC, concurrencia que puede ser examinada no solo en el trámite de admisión previsto en el art. 37 LOTC, sino también en la sentencia que ponga fin al proceso constitucional.</w:t>
      </w:r>
    </w:p>
    <w:p w:rsidR="005728DD" w:rsidRDefault="005728DD" w:rsidP="005728DD">
      <w:pPr>
        <w:pStyle w:val="TextoNormal"/>
      </w:pPr>
    </w:p>
    <w:p w:rsidR="005728DD" w:rsidRDefault="005728DD" w:rsidP="005728DD">
      <w:pPr>
        <w:pStyle w:val="TextoNormal"/>
      </w:pPr>
      <w:r>
        <w:t>Recuerda que, de acuerdo con el art. 35.1 LOTC, es requisito necesario para la admisión de la cuestión de inconstitucionalidad que la norma legal cuestionada sea aplicable al caso y que el fallo dependa de su validez. No discutiéndose la aplicabilidad de la norma cuestionada, la objeción en este supuesto se refiere al juicio de relevancia. Alude, a tal efecto, a la doctrina sobre el significado del juicio de relevancia (citando el ATC 144/2020) y sobre la posibilidad de que el Tribunal declare inadmisible la cuestión por estimar inconsistente o errada la argumentación judicial sobre la aplicabilidad y relevancia de la norma cuestionada (citando el ATC 134/2019). Estima que, en este caso, la propia duda de constitucionalidad y, por ende, el juicio de relevancia, se formulan con un carácter ciertamente abstracto.</w:t>
      </w:r>
    </w:p>
    <w:p w:rsidR="005728DD" w:rsidRDefault="005728DD" w:rsidP="005728DD">
      <w:pPr>
        <w:pStyle w:val="TextoNormal"/>
      </w:pPr>
    </w:p>
    <w:p w:rsidR="005728DD" w:rsidRDefault="005728DD" w:rsidP="005728DD">
      <w:pPr>
        <w:pStyle w:val="TextoNormal"/>
      </w:pPr>
      <w:r>
        <w:t xml:space="preserve">El auto argumenta que la indeterminación de la pena a imponer que deriva del art. 137 LOREG conduce a una excesiva discrecionalidad judicial y a falta de proporcionalidad de la pena, motivos que determinan la duda de constitucionalidad a la luz del art. 25.1 CE en relación con el art. 23.2 CE. Sin embargo, el abogado del Estado defiende que esos motivos que fundamentan la duda de constitucionalidad y el juicio de relevancia no son aplicables al caso concreto enjuiciado en el proceso </w:t>
      </w:r>
      <w:r w:rsidRPr="005728DD">
        <w:rPr>
          <w:i/>
        </w:rPr>
        <w:t>a quo</w:t>
      </w:r>
      <w:r>
        <w:t xml:space="preserve">. Para aceptar el juicio de relevancia sería necesario que en el caso de autos se produjese una indeterminación de la pena a imponer que sólo podría resolverse discrecionalmente, o una excesiva punición. Pero la aplicación del art. 137 LOREG en el caso concreto no merece ninguno de los dos reproches. En primer término, no cabe hablar de que el órgano judicial se encuentre ante la indeterminación de la pena a imponer, por tratarse de un supuesto de conformidad entre el Ministerio Fiscal y el acusado, supuesto en que únicamente le cabe al juzgado o tribunal sentenciador comprobar </w:t>
      </w:r>
      <w:r>
        <w:lastRenderedPageBreak/>
        <w:t>—</w:t>
      </w:r>
      <w:r w:rsidRPr="005728DD">
        <w:rPr>
          <w:i/>
        </w:rPr>
        <w:t>ex</w:t>
      </w:r>
      <w:r>
        <w:t xml:space="preserve"> art. 787.3 de la Ley de enjuiciamiento criminal (LECrim) para el procedimiento abreviado— si la pena conformada es procedente según la calificación, algo que no arroja duda para el órgano </w:t>
      </w:r>
      <w:r w:rsidRPr="005728DD">
        <w:rPr>
          <w:i/>
        </w:rPr>
        <w:t>a quo</w:t>
      </w:r>
      <w:r>
        <w:t xml:space="preserve">. Desapareciendo la discrecionalidad y, por ende, la indeterminación, el único motivo de duda de constitucionalidad sería el reproche por falta de proporcionalidad, algo que no se razona en el auto, por cuanto la pena conformada asciende a seis meses de inhabilitación. No cabe sostener, y de hecho no lo hace el auto, que el art. 137 LOREG, en su aplicación al supuesto enjuiciado por el órgano </w:t>
      </w:r>
      <w:r w:rsidRPr="005728DD">
        <w:rPr>
          <w:i/>
        </w:rPr>
        <w:t>a quo</w:t>
      </w:r>
      <w:r>
        <w:t xml:space="preserve"> determine un derroche inútil de coacción, conforme exige la doctrina constitucional. El abogado del Estado concluye que la duda, en el caso concreto, es aparente. Ni existe discrecionalidad judicial, ni exceso de punición, por lo que se está planteando una cuestión desconectada del caso enjuiciado.</w:t>
      </w:r>
    </w:p>
    <w:p w:rsidR="005728DD" w:rsidRDefault="005728DD" w:rsidP="005728DD">
      <w:pPr>
        <w:pStyle w:val="TextoNormal"/>
      </w:pPr>
    </w:p>
    <w:p w:rsidR="005728DD" w:rsidRDefault="005728DD" w:rsidP="005728DD">
      <w:pPr>
        <w:pStyle w:val="TextoNormal"/>
      </w:pPr>
      <w:r>
        <w:t>Subsidiariamente, solicita la desestimación de la cuestión en atención a lo que seguidamente se expone.</w:t>
      </w:r>
    </w:p>
    <w:p w:rsidR="005728DD" w:rsidRDefault="005728DD" w:rsidP="005728DD">
      <w:pPr>
        <w:pStyle w:val="TextoNormal"/>
      </w:pPr>
    </w:p>
    <w:p w:rsidR="005728DD" w:rsidRDefault="005728DD" w:rsidP="005728DD">
      <w:pPr>
        <w:pStyle w:val="TextoNormal"/>
      </w:pPr>
      <w:r>
        <w:t>El art. 9 CP establece que “[l]as disposiciones de este título se aplicarán a los delitos que se hallen penados por leyes especiales. Las restantes disposiciones de este código se aplicarán como supletorias en lo no previsto expresamente por aquéllas”. Las leyes penales especiales se someten en consecuencia a la totalidad del libro primero del Código penal, para todo aquello que la ley penal especial no haya previsto. Además de las penas que para cada delito señala la LOREG, el art. 137 recoge una pena de aplicación a todos los delitos electorales, consistente en la inhabilitación especial para el derecho de sufragio pasivo.</w:t>
      </w:r>
    </w:p>
    <w:p w:rsidR="005728DD" w:rsidRDefault="005728DD" w:rsidP="005728DD">
      <w:pPr>
        <w:pStyle w:val="TextoNormal"/>
      </w:pPr>
    </w:p>
    <w:p w:rsidR="005728DD" w:rsidRDefault="005728DD" w:rsidP="005728DD">
      <w:pPr>
        <w:pStyle w:val="TextoNormal"/>
      </w:pPr>
      <w:r>
        <w:t>Según el abogado del Estado, la LOREG no precisa la extensión que habrá de tener dicha pena. En la normativa electoral cabe entender que no se impone como pena principal, sino como pena accesoria, interpretación que es preferible pues la ubicación sistemática de la pena dentro de la sección primera del capítulo octavo, dedicada a las disposiciones generales, lleva a entender que la inhabilitación especial para el derecho de sufragio pasivo es una pena accesoria. Esa previsión como accesoria en la legislación especial hace posible aplicarla aunque la pena impuesta no sea la de prisión (que es la única que tiene accesorias de conformidad con el Código penal), sino la multa. Su duración, en todo caso, es la misma que la de la pena principal a la que acompaña, lo que, visto que el sistema de multa elegido para los delitos electorales es el de días multa, no plantea ningún problema. Si se entiende como pena accesoria, de conformidad con el Código penal, tendrá la duración que tenga la principal a la que acompañe.</w:t>
      </w:r>
    </w:p>
    <w:p w:rsidR="005728DD" w:rsidRDefault="005728DD" w:rsidP="005728DD">
      <w:pPr>
        <w:pStyle w:val="TextoNormal"/>
      </w:pPr>
    </w:p>
    <w:p w:rsidR="005728DD" w:rsidRDefault="005728DD" w:rsidP="005728DD">
      <w:pPr>
        <w:pStyle w:val="TextoNormal"/>
      </w:pPr>
      <w:r>
        <w:t xml:space="preserve">En caso de entenderse que el art. 137 LOREG contiene una pena principal y no accesoria, podrían aplicarse, </w:t>
      </w:r>
      <w:r w:rsidRPr="005728DD">
        <w:rPr>
          <w:i/>
        </w:rPr>
        <w:t>in bonam partem</w:t>
      </w:r>
      <w:r>
        <w:t>, las reglas anteriores establecidas en el Código penal para las penas accesorias. Esta solución consistiría en mantener la consideración de pena principal entendiendo que su duración es la que correspondería a la pena privativa de libertad a la que acompañe.</w:t>
      </w:r>
    </w:p>
    <w:p w:rsidR="005728DD" w:rsidRDefault="005728DD" w:rsidP="005728DD">
      <w:pPr>
        <w:pStyle w:val="TextoNormal"/>
      </w:pPr>
    </w:p>
    <w:p w:rsidR="005728DD" w:rsidRDefault="005728DD" w:rsidP="005728DD">
      <w:pPr>
        <w:pStyle w:val="TextoNormal"/>
      </w:pPr>
      <w:r>
        <w:t>Por todo lo expuesto, el abogado del Estado concluye que la norma examinada sería correcta desde el punto de vista de su adecuación al orden constitucional, al no transgredir el principio de legalidad ni lesionar el derecho de sufragio pasivo.</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Mediante escrito registrado el día 19 de enero de 2021, la presidenta del Congreso de los Diputados comunicó el acuerdo de la mesa de la Cámara, por la que se persona en el </w:t>
      </w:r>
      <w:r>
        <w:lastRenderedPageBreak/>
        <w:t>proceso y ofrece su colaboración a los efectos del art. 88.1 LOTC. Lo mismo hizo la presidenta del Senado por escrito que tuvo entrada en este tribunal el día 28 de enero de 2021.</w:t>
      </w:r>
    </w:p>
    <w:p w:rsidR="005728DD" w:rsidRDefault="005728DD" w:rsidP="005728DD">
      <w:pPr>
        <w:pStyle w:val="TextoNormal"/>
      </w:pPr>
    </w:p>
    <w:p w:rsidR="005728DD" w:rsidRDefault="005728DD" w:rsidP="005728DD">
      <w:pPr>
        <w:pStyle w:val="TextoNormal"/>
      </w:pPr>
      <w:r w:rsidRPr="005728DD">
        <w:rPr>
          <w:rStyle w:val="NumeroAFNegritaCaracter"/>
        </w:rPr>
        <w:t>7</w:t>
      </w:r>
      <w:r>
        <w:t>. La fiscal general del Estado formuló sus alegaciones por escrito registrado el día 25 de febrero de 2021, en el que interesa la desestimación de la presente cuestión de inconstitucionalidad.</w:t>
      </w:r>
    </w:p>
    <w:p w:rsidR="005728DD" w:rsidRDefault="005728DD" w:rsidP="005728DD">
      <w:pPr>
        <w:pStyle w:val="TextoNormal"/>
      </w:pPr>
    </w:p>
    <w:p w:rsidR="005728DD" w:rsidRDefault="005728DD" w:rsidP="005728DD">
      <w:pPr>
        <w:pStyle w:val="TextoNormal"/>
      </w:pPr>
      <w:r>
        <w:t xml:space="preserve">Comienza exponiendo las circunstancias del caso y el </w:t>
      </w:r>
      <w:r w:rsidRPr="005728DD">
        <w:rPr>
          <w:i/>
        </w:rPr>
        <w:t>iter</w:t>
      </w:r>
      <w:r>
        <w:t xml:space="preserve"> procesal seguido por el mismo. Alude a continuación a la disposición legal cuestionada y al contenido del auto de planteamiento, exponiendo la duda de constitucionalidad del órgano proponente.</w:t>
      </w:r>
    </w:p>
    <w:p w:rsidR="005728DD" w:rsidRDefault="005728DD" w:rsidP="005728DD">
      <w:pPr>
        <w:pStyle w:val="TextoNormal"/>
      </w:pPr>
    </w:p>
    <w:p w:rsidR="005728DD" w:rsidRDefault="005728DD" w:rsidP="005728DD">
      <w:pPr>
        <w:pStyle w:val="TextoNormal"/>
      </w:pPr>
      <w:r>
        <w:t>Tras lo anterior, examina si concurren óbices procesales en la cuestión de inconstitucionalidad, apreciando que la norma cuestionada tiene rango de ley, la cuestión se ha planteado en el momento procesal oportuno y el trámite de audiencia a las partes y al Ministerio Fiscal se ha realizado adecuadamente. Respecto a los juicios de aplicabilidad y relevancia, estima que debe determinarse si para la resolución del proceso, que se basa en la impugnación de la procedencia de la imposición de la pena de inhabilitación especial para el ejercicio del derecho de sufragio pasivo por tiempo de seis meses aceptada por el acusado en el acto de juicio oral, es necesario someter al juicio de constitucionalidad el precepto legal que ahora es cuestionado. El órgano judicial promotor justifica la relevancia del planteamiento con base en que el precepto cuya constitucionalidad o inconstitucionalidad se discute es directamente aplicable al caso, pues el Ministerio Fiscal calificó los hechos como constitutivos de un delito del art. 143 LOREG y solicitó una pena de seis meses de multa, con una cuota diaria de tres euros y otra de seis meses de inhabilitación especial para el ejercicio del derecho de sufragio pasivo al amparo de los arts. 137 y 143 LOREG. El acusado mostró su conformidad con los hechos, con la calificación jurídica y con las penas solicitadas, quedando el juicio pendiente de dictar sentencia. Precisa que el contenido del fallo no dependería de la validez del precepto cuestionado si la pena de inhabilitación especial se hubiera solicitado en la extensión de tres meses pues, conforme con el art. 40.1 CP, es la duración mínima en todo caso, pero al haberse solicitado seis meses, resulta obligatorio plantear la cuestión.</w:t>
      </w:r>
    </w:p>
    <w:p w:rsidR="005728DD" w:rsidRDefault="005728DD" w:rsidP="005728DD">
      <w:pPr>
        <w:pStyle w:val="TextoNormal"/>
      </w:pPr>
    </w:p>
    <w:p w:rsidR="005728DD" w:rsidRDefault="005728DD" w:rsidP="005728DD">
      <w:pPr>
        <w:pStyle w:val="TextoNormal"/>
      </w:pPr>
      <w:r>
        <w:t xml:space="preserve">Para el Ministerio Fiscal no se alcanza a entender bien la razón por la que la pena de inhabilitación especial por tiempo de seis meses, que es la interesada por el Ministerio Fiscal y aceptada por el acusado en un trámite de conformidad, es desproporcionada, genera el problema de constitucionalidad y sostiene la relevancia; y no generaría tal problema ni implicaría la concurrencia de relevancia si se limitase a tres meses (su cuantía mínima). Si el problema es de inconstitucionalidad por omisión que implica absoluta indeterminación y desproporción de la pena, igualmente lo sería al margen de dicha circunstancia. Además, el margen real del que disponía el tribunal en el supuesto concreto no era otro que el de solo seis meses, al haberse generado una zona de consenso entre el Ministerio Fiscal y la defensa en dicha extensión, y no más. Para el Ministerio Fiscal, las circunstancias del caso hacen especialmente difícil afirmar que en el supuesto específico sometido a su enjuiciamiento —y no en otros— se estaba ante una pena que permitía la imposición por el órgano jurisdiccional de la inhabilitación para el sufragio pasivo en hasta veinte años libre y arbitrariamente, de tal modo que, infringiendo el principio de legalidad también en el caso sometido a su enjuiciamiento, la efectividad del grado de sanción dependía de una decisión prácticamente libre y arbitraria del intérprete y juzgador. E incluso cabe añadir que la desproporción, </w:t>
      </w:r>
      <w:r>
        <w:lastRenderedPageBreak/>
        <w:t>al igual que la indeterminación, en el caso concreto subyacente resulta extraordinariamente difícil de apreciar en relación con la conducta enjuiciada dada la muy escasa extensión temporal de la pena conformada. A la vista de todo ello, a la fiscal general del Estado le cabe la duda sobre si el planteamiento de la cuestión obedece más al problema competencial general que subraya el auto sobre la asunción del enjuiciamiento por las audiencias provinciales por razón del carácter grave del delito electoral que enjuicia a la vista de que la pena que cuestiona en abstracto puede exceder de la cuantía que, con arreglo al art. 14 LECrim, determina la competencia de aquellas.</w:t>
      </w:r>
    </w:p>
    <w:p w:rsidR="005728DD" w:rsidRDefault="005728DD" w:rsidP="005728DD">
      <w:pPr>
        <w:pStyle w:val="TextoNormal"/>
      </w:pPr>
    </w:p>
    <w:p w:rsidR="005728DD" w:rsidRDefault="005728DD" w:rsidP="005728DD">
      <w:pPr>
        <w:pStyle w:val="TextoNormal"/>
      </w:pPr>
      <w:r>
        <w:t>Pese a lo anteriormente expuesto, el ministerio público considera que no cabe duda de que el art. 137 LOREG es uno de los preceptos aplicables en el caso, y que, en lo que respecta a su relevancia, resulta incuestionable la trascendencia, de cara a un fallo sobre delitos electorales, de que el precepto resulte válido o no desde la perspectiva constitucional. El problema relevante es si es admisible o no desde la perspectiva constitucional que en dicho precepto se omita una referencia explícita a la extensión de la pena de inhabilitación especial para el ejercicio del derecho de sufragio pasivo por no existir ningún mecanismo para cubrir tal ausencia. Si la previsión que contiene resulta acorde con la Constitución, la pena podría ser impuesta por cualquier órgano judicial promotor en cualquier supuesto. Si por el contrario, infringe la garantía material ínsita en el principio de legalidad del art. 25.1 CE, la pena de inhabilitación especial para el ejercicio del derecho de sufragio pasivo no podría tener eficacia. Dado que en un sistema de jurisdicción constitucional concentrada como el nuestro, únicamente el Tribunal Constitucional puede expulsar del ordenamiento jurídico normas con rango de ley aprobadas por el Parlamento, el planteamiento de la cuestión estaría en principio justificado.</w:t>
      </w:r>
    </w:p>
    <w:p w:rsidR="005728DD" w:rsidRDefault="005728DD" w:rsidP="005728DD">
      <w:pPr>
        <w:pStyle w:val="TextoNormal"/>
      </w:pPr>
    </w:p>
    <w:p w:rsidR="005728DD" w:rsidRDefault="005728DD" w:rsidP="005728DD">
      <w:pPr>
        <w:pStyle w:val="TextoNormal"/>
      </w:pPr>
      <w:r>
        <w:t xml:space="preserve">En cuanto al fondo del asunto, señala que el objeto de la cuestión es determinar si el art. 137 LOREG, al omitir cualquier determinación posible de la pena a imponer, colisiona e infringe el principio de legalidad penal del art. 25 CE y también, por derivación, el derecho de participación política del art. 23.2 CE por incidir en el derecho de sufragio pasivo, en cuanto se impone con carácter preceptivo en todos los delitos electorales y, conforme al art. 44 CP, priva al penado durante el tiempo de la condena del derecho a ser elegido para cargos públicos. Esa omisión no sería posible cubrirla ni por previsiones establecidas en el texto de la LOREG, ni por la remisión que esta norma hace al Código penal. Se estaría, por tanto, ante una insuficiencia normativa determinante de una “inconstitucionalidad por omisión” en la que habría incurrido el legislador en la LOREG al no haber establecido, pese a tratarse de una pena principal, la duración de la inhabilitación especial para el sufragio pasivo en cada una de las figuras delictivas que se contemplan en los arts. 139 a 150 LOREG, y al no ser posible cubrir dicha deficiencia ni recurriendo al resto de las disposiciones de la propia LOREG ni acudiendo al art. 40.1 CP, en el que se regulan tan solo los límites de duración mínima y máxima de la pena de inhabilitación especial en cualquiera de sus modalidades (de tres meses a veinte años), pero no se configura en ningún caso un marco penal abstracto referido a delitos específicos; ni aplicando </w:t>
      </w:r>
      <w:r w:rsidRPr="005728DD">
        <w:rPr>
          <w:i/>
        </w:rPr>
        <w:t>in bonam partem</w:t>
      </w:r>
      <w:r>
        <w:t xml:space="preserve"> las reglas establecidas en el Código penal para las penas accesorias. La laguna o deficiencia omisiva es la carencia de un marco penal abstracto en lo que respecta a la pena de inhabilitación especial para el derecho de sufragio pasivo en todos y cada uno de los delitos electorales, que tendrían una pena indeterminada en lo que respecta a la concreta consecuencia jurídica de privación de tal derecho, ya que ninguna de las opciones interpretativas para hacer posible una mayor determinación de la extensión de la pena sería conforme con la Constitución.</w:t>
      </w:r>
    </w:p>
    <w:p w:rsidR="005728DD" w:rsidRDefault="005728DD" w:rsidP="005728DD">
      <w:pPr>
        <w:pStyle w:val="TextoNormal"/>
      </w:pPr>
    </w:p>
    <w:p w:rsidR="005728DD" w:rsidRDefault="005728DD" w:rsidP="005728DD">
      <w:pPr>
        <w:pStyle w:val="TextoNormal"/>
      </w:pPr>
      <w:r>
        <w:t>A continuación el escrito del ministerio público recuerda la doctrina constitucional en relación con el principio de legalidad en materia sancionadora penal reconocido en el art. 25.1 CE, en lo que atañe, más concretamente, a la garantía material que el mismo comporta y, muy en especial, respecto de las sanciones. A tal efecto recuerda que la garantía de orden material, que es la que aquí se considera vulnerada, es de alcance absoluto y refleja la especial trascendencia del principio de seguridad (art. 9.3 CE) en el ámbito penal limitativo de la libertad individual. Mandato de taxatividad o certeza que se traduce en la imperiosa exigencia de predeterminación normativa de las conductas ilícitas y de las sanciones correspondientes mediante una tipificación previa lo más precisa y taxativa posible en la descripción que incorpora para que, de este modo, los ciudadanos puedan conocer de antemano el ámbito de lo prohibido y prever así las consecuencias de sus acciones. Por consiguiente, en lo que respecta al legislador, la predeterminación normativa implica la existencia de preceptos jurídicos (</w:t>
      </w:r>
      <w:r w:rsidRPr="005728DD">
        <w:rPr>
          <w:i/>
        </w:rPr>
        <w:t>lex previa</w:t>
      </w:r>
      <w:r>
        <w:t>) que permitan predecir con suficiente grado de certeza (</w:t>
      </w:r>
      <w:r w:rsidRPr="005728DD">
        <w:rPr>
          <w:i/>
        </w:rPr>
        <w:t>lex certa</w:t>
      </w:r>
      <w:r>
        <w:t>) las conductas infractoras y conocer de antemano a qué atenerse en cuanto a la aneja responsabilidad y a la eventual sanción de que pueda hacerse merecedor el infractor.</w:t>
      </w:r>
    </w:p>
    <w:p w:rsidR="005728DD" w:rsidRDefault="005728DD" w:rsidP="005728DD">
      <w:pPr>
        <w:pStyle w:val="TextoNormal"/>
      </w:pPr>
    </w:p>
    <w:p w:rsidR="005728DD" w:rsidRDefault="005728DD" w:rsidP="005728DD">
      <w:pPr>
        <w:pStyle w:val="TextoNormal"/>
      </w:pPr>
      <w:r>
        <w:t>Planteada en tales términos la duda de constitucionalidad, el Ministerio Fiscal estima que lo determinante para su resolución es si la legislación penal, contemplada de manera integrada y sistemática, dispone de mecanismos para suplir la imprevisión legislativa del art. 137 LOREG, y, por tanto, si es posible una interpretación acomodada al ordenamiento constitucional de la disposición cuestionada, ya sea por sí sola o ya sea en relación y junto con otras de la propia LOREG o el Código penal. Cita al respecto los arts. 6.2 a) y 138 LOREG, así como los arts. 9, 33, 39, 40, 44, 54 y 56 CP, indicando que “a la vista del contenido de todos estos preceptos el Ministerio Fiscal se inclina por entender que la imprevisión en el art. 137 LOREG de la duración de la pena de inhabilitación especial para el derecho de sufragio pasivo en los delitos electorales puede ser suplida mediante la integración del precepto con el resto de las disposiciones reseñadas”. El art. 137 LOREG puede y debe integrarse con lo establecido en dichos preceptos del Código penal tanto en cuanto a sus términos y efectos como en sus plazos de duración, tal y como se desprende no solo del reenvío explícitamente previsto en el art. 138 LOREG, sino también de las reseñadas disposiciones del Código penal que proclaman su aplicación supletoria general para los delitos penados por leyes especiales y su aplicación específica para las penas privativas de derechos previstas en los mismos. No existe, por tanto, una laguna determinante de un vacío legal irresoluble, sino que expresamente se han establecido por el legislador mecanismos de reenvío y aplicación supletoria que determinan la aplicación de las disposiciones generales y específicas que el Código penal prevé para las penas de inhabilitación especial. La interpretación acomodada más simple y primaria pasaría por tratar la pena de inhabilitación especial para el sufragio pasivo como accesoria, caso en el que se aplicaría la regla general de que tendrá “la misma duración que la pena principal” de acuerdo con el art. 33.6 CP. En los casos de imposición de multa se podría recurrir tanto a la duración de la pena de multa como a la equivalencia del mecanismo de conversión a responsabilidad personal subsidiaria del art. 53 CP. Finalmente, en los casos de imposición de penas cumulativas de prisión y multa, la inhabilitación especial podría imponerse tomando como parámetro el que se desprende de la pena de prisión.</w:t>
      </w:r>
    </w:p>
    <w:p w:rsidR="005728DD" w:rsidRDefault="005728DD" w:rsidP="005728DD">
      <w:pPr>
        <w:pStyle w:val="TextoNormal"/>
      </w:pPr>
    </w:p>
    <w:p w:rsidR="005728DD" w:rsidRDefault="005728DD" w:rsidP="005728DD">
      <w:pPr>
        <w:pStyle w:val="TextoNormal"/>
      </w:pPr>
      <w:r>
        <w:t xml:space="preserve">El ministerio público también indica que si la referida inhabilitación se tratase, a la vista del pronunciamiento del Tribunal Supremo, como pena principal, sería posible descartar </w:t>
      </w:r>
      <w:r>
        <w:lastRenderedPageBreak/>
        <w:t>que el precepto tenga una formulación tan abierta que no se ajuste a las exigencias de la doctrina constitucional. El reenvío de la LOREG al Código penal conduce directamente a la aplicación de las previsiones de los arts. 44 y 40.1 y 6 CP, que respectivamente se refieren a los efectos y la duración de la pena cuestionada, de modo que en realidad la problemática de indeterminación infractora del art. 25.1 CE se desplazaría al contenido del art. 40 CP. Independientemente de la mayor o menor fortuna de la fórmula empleada, no puede considerarse como un precepto en el que el legislador haya incurrido en desproporción penológica abstracta, o en el que la extensión prevista en el mismo conduzca inexorablemente a una indeterminación absoluta que no pueda ser objeto de una adecuada individualización de la pena. Respecto a la desproporción de la pena, recuerda la fiscal general del Estado el amplio margen de configuración que, conforme a la doctrina constitucional, corresponde al legislador tanto en la determinación de los bienes penalmente protegibles, como en la de los comportamientos reprensibles y el tipo y la cuantía de las sanciones a imponer. A partir de lo anterior, el juicio del tribunal debe limitarse a verificar que la norma penal no produzca un patente derroche inútil de coacción que convierta la norma en arbitraria y que socave los derechos y libertades fundamentales de la persona. Tampoco cabe deducir del art. 25.1 CE un derecho fundamental a la proporcionalidad abstracta de la pena en relación con la gravedad del delito, teniendo en cuenta, además, que el principio de proporcionalidad no constituye en nuestro ordenamiento constitucional un canon de constitucionalidad autónomo cuya alegación pueda producirse de forma aislada respecto de otros preceptos constitucionales.</w:t>
      </w:r>
    </w:p>
    <w:p w:rsidR="005728DD" w:rsidRDefault="005728DD" w:rsidP="005728DD">
      <w:pPr>
        <w:pStyle w:val="TextoNormal"/>
      </w:pPr>
    </w:p>
    <w:p w:rsidR="005728DD" w:rsidRDefault="005728DD" w:rsidP="005728DD">
      <w:pPr>
        <w:pStyle w:val="TextoNormal"/>
      </w:pPr>
      <w:r>
        <w:t xml:space="preserve">La fiscal general del Estado considera que el órgano judicial no aporta razones suficientes para justificar el reproche de desproporción que formula. Con cita de la STC 136/1999, entiende que “la argumentación empleada y aportada por el órgano promotor en sustento de su afirmación de desproporción no atiende a ninguno de los parámetros relacionados como determinantes del juicio de constitucionalidad y se basa en afirmaciones genéricas y globales sin descender a conductas ni datos empíricos o penológicos comparativos concretos, por lo que su reproche abstracto de desproporción en la previsión del legislador, existiendo como existen interpretaciones alternativas, carece de un adecuado sustento para apreciar la desproporción punitiva, máxime cuando es posible la eventualidad de conductas que por su significativa gravedad cualitativa y cuantitativa junto con la concurrencia de determinadas circunstancias casuísticas, subjetivas, objetivas o mixtas, modificativas de la responsabilidad criminal a tenor de las reglas establecidas en el art. 66 CP, puedan hacerse merecedoras de consecuencias jurídicas de elevada duración en lo que al tiempo de inelegibilidad se refiere”. A la fiscal general del Estado le llama poderosamente la atención que “en el supuesto fáctico que sirve como subyacente para elevar la presente cuestión la pena que tendría que imponer por conformidad entre el Ministerio Fiscal y la defensa del acusado que reconoce los hechos y aceptó la pena aquí cuestionada tendría una duración de tan solo seis meses, lo que estaría extraordinariamente próximo al límite inferior de la pena que se dice desproporcionada”, lo que le lleva a afirmar que se suscita un control abstracto, por cuanto “la inquietud de desproporción no estaría conectada al caso que enjuicia y sirve para cuestionar la desproporción de la pena”. A juicio del Ministerio Fiscal, “al menos en este punto de la desproporción, el órgano promotor debiera haber intensificado su esfuerzo a la hora de proporcionar al Tribunal Constitucional las razones por las que entiende existente la desproporción a nivel empírico, justificando sus afirmaciones en conexión con conductas, sanciones y justificaciones de individualizaciones de pena concretas”, por lo que no ha levantado en la denuncia de desproporción de la pena la carga de colaborar con la justicia del Tribunal, </w:t>
      </w:r>
      <w:r>
        <w:lastRenderedPageBreak/>
        <w:t>lo que determinaría la inadmisibilidad de la cuestión. La existencia de interpretaciones alternativas del precepto cuestionado obligaba al órgano judicial a intensificar “su esfuerzo a la hora de proporcionar a ese tribunal las razones por las que la interpretación que constituye el presupuesto normativo de su duda de constitucionalidad resulta preferible a la interpretación que descarta”.</w:t>
      </w:r>
    </w:p>
    <w:p w:rsidR="005728DD" w:rsidRDefault="005728DD" w:rsidP="005728DD">
      <w:pPr>
        <w:pStyle w:val="TextoNormal"/>
      </w:pPr>
    </w:p>
    <w:p w:rsidR="005728DD" w:rsidRDefault="005728DD" w:rsidP="005728DD">
      <w:pPr>
        <w:pStyle w:val="TextoNormal"/>
      </w:pPr>
      <w:r>
        <w:t>En segundo lugar, además, la afirmación de indeterminación absoluta que preconiza el órgano promotor posibilitadora de libertad y arbitrariedad del intérprete o juzgador no se puede compartir, ya que no es el juez quien tiene todo el poder para establecer la correspondencia entre la infracción y la sanción, por lo que no cabe concluir que se confundan los espacios de determinación legal de la pena e individualización judicial. La individualización judicial de esta pena ha de respetar los criterios legales que proporciona el art. 66 CP. Por otro lado, la razonabilidad, la proporcionalidad y la prohibición de excesos han de presidir la ponderación judicial que ha de concretar dicha individualización y las exigencias constitucionales concretadas en el deber de motivación reforzada propia de toda afección de un derecho fundamental sustantivo constituyen una garantía indudable en favor de los condenados a la pena de inhabilitación para el derecho de sufragio pasivo.</w:t>
      </w:r>
    </w:p>
    <w:p w:rsidR="005728DD" w:rsidRDefault="005728DD" w:rsidP="005728DD">
      <w:pPr>
        <w:pStyle w:val="TextoNormal"/>
      </w:pPr>
    </w:p>
    <w:p w:rsidR="005728DD" w:rsidRDefault="005728DD" w:rsidP="005728DD">
      <w:pPr>
        <w:pStyle w:val="TextoNormal"/>
      </w:pPr>
      <w:r>
        <w:t>En definitiva, según el ministerio público, la vinculación a principios y factores jurídicos de motivación presidirá la individualización y, si no es así, el control constitucional es posible a través de los recursos ordinarios y el recurso de amparo constitucional, en punto a las exigencias de motivación de la concreta decisión. Deber de motivación que incluye no solo la obligación de fundamentar los hechos y la calificación jurídica, sino también la pena finalmente impuesta en concreto. El contexto legal y la actuación judicial permitiría colmar, a través de la subsunción motivada, el aparente déficit de precisión del precepto legal aquí cuestionado. La individualización de la pena, dentro de la horquilla legal y en atención a los mecanismos y criterios que se derivan tanto de los preceptos contenidos en el Código penal y la LOREG como de las exigencias constitucionales, corresponde a los órganos del orden jurisdiccional penal ordinario, y la función del Tribunal Constitucional en un eventual proceso de amparo se extendería a verificar la corrección de la motivación desarrollada para justificar la concreción de la sanción penal atendidas las circunstancias concurrentes en el caso.</w:t>
      </w:r>
    </w:p>
    <w:p w:rsidR="005728DD" w:rsidRDefault="005728DD" w:rsidP="005728DD">
      <w:pPr>
        <w:pStyle w:val="TextoNormal"/>
      </w:pPr>
    </w:p>
    <w:p w:rsidR="005728DD" w:rsidRDefault="005728DD" w:rsidP="005728DD">
      <w:pPr>
        <w:pStyle w:val="TextoNormal"/>
      </w:pPr>
      <w:r>
        <w:t>Por todo lo expuesto, la Fiscal General del Estado interesa la desestimación de la cuestión de inconstitucionalidad, por apreciar que no concurre la insuficiencia normativa propia de la inconstitucionalidad por omisión.</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1 de junio de 2021 se señaló para deliberación y fallo de esta sentencia el día 3 de dicho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proceso y posiciones de las partes</w:t>
      </w:r>
      <w:r>
        <w:t>.</w:t>
      </w:r>
    </w:p>
    <w:p w:rsidR="005728DD" w:rsidRDefault="005728DD" w:rsidP="005728DD">
      <w:pPr>
        <w:pStyle w:val="TextoNormal"/>
      </w:pPr>
    </w:p>
    <w:p w:rsidR="005728DD" w:rsidRDefault="005728DD" w:rsidP="005728DD">
      <w:pPr>
        <w:pStyle w:val="TextoNormal"/>
      </w:pPr>
      <w:r>
        <w:t>La Sección Sexta de la Audiencia Provincial de Barcelona ha promovido una cuestión de inconstitucionalidad en relación con el art. 137 de la Ley Orgánica 5/1985, de 19 de junio, del régimen electoral general.</w:t>
      </w:r>
    </w:p>
    <w:p w:rsidR="005728DD" w:rsidRDefault="005728DD" w:rsidP="005728DD">
      <w:pPr>
        <w:pStyle w:val="TextoNormal"/>
      </w:pPr>
    </w:p>
    <w:p w:rsidR="005728DD" w:rsidRDefault="005728DD" w:rsidP="005728DD">
      <w:pPr>
        <w:pStyle w:val="TextoNormal"/>
      </w:pPr>
      <w:r>
        <w:t>El precepto cuestionado, incluido en la sección primera, “Disposiciones generales” del capítulo octavo, “Delitos e infracciones electorales”, del título primero, “Disposiciones comunes para las elecciones por sufragio universal directo”, de la LOREG dispone:</w:t>
      </w:r>
    </w:p>
    <w:p w:rsidR="005728DD" w:rsidRDefault="005728DD" w:rsidP="005728DD">
      <w:pPr>
        <w:pStyle w:val="TextoNormal"/>
      </w:pPr>
    </w:p>
    <w:p w:rsidR="005728DD" w:rsidRDefault="005728DD" w:rsidP="005728DD">
      <w:pPr>
        <w:pStyle w:val="TextoNormal"/>
      </w:pPr>
      <w:r>
        <w:t>“Artículo ciento treinta y siete</w:t>
      </w:r>
    </w:p>
    <w:p w:rsidR="005728DD" w:rsidRDefault="005728DD" w:rsidP="005728DD">
      <w:pPr>
        <w:pStyle w:val="TextoNormal"/>
      </w:pPr>
    </w:p>
    <w:p w:rsidR="005728DD" w:rsidRDefault="005728DD" w:rsidP="005728DD">
      <w:pPr>
        <w:pStyle w:val="TextoNormal"/>
      </w:pPr>
      <w:r>
        <w:t>Por todos los delitos a que se refiere este capítulo se impondrá, además de la pena señalada en los artículos siguientes, la de inhabilitación especial para el derecho del sufragio pasivo”.</w:t>
      </w:r>
    </w:p>
    <w:p w:rsidR="005728DD" w:rsidRDefault="005728DD" w:rsidP="005728DD">
      <w:pPr>
        <w:pStyle w:val="TextoNormal"/>
      </w:pPr>
    </w:p>
    <w:p w:rsidR="005728DD" w:rsidRDefault="005728DD" w:rsidP="005728DD">
      <w:pPr>
        <w:pStyle w:val="TextoNormal"/>
      </w:pPr>
      <w:r>
        <w:t>El art. 137 LOREG determina la imposición de la pena de inhabilitación especial para el derecho del sufragio pasivo en el caso de que se cometa cualquier delito electoral de los previstos en los arts. 139 a 150 LOREG. Dicha pena de inhabilitación especial, conforme al art. 44 del Código penal, priva al penado del derecho a ser elegido para cargos públicos y es de preceptiva imposición en los delitos electorales. En ese contexto, el órgano judicial considera que el precepto no predetermina la duración posible de dicha pena, en cuanto no aparece vinculada directamente a las que prevé la LOREG para cada uno de los delitos electorales, sin que esa deficiencia pueda ser suplida con la remisión que la LOREG hace al Código penal, en la medida en que entiende que el art. 40.1 CP define la duración mínima y máxima de la pena con carácter general, lo que debe trasladarse, y no se hace, a los tipos penales concretos previstos en la LOREG. También descarta otras opciones interpretativas que vinculen la extensión de la pena de inhabilitación especial con la de la duración de la pena de cada delito electoral a la que acompaña. Todo lo anterior determina que se entienda vulnerado el principio de legalidad penal del art. 25 CE y, dado el carácter de la pena impuesta, el art. 23.2 CE.</w:t>
      </w:r>
    </w:p>
    <w:p w:rsidR="005728DD" w:rsidRDefault="005728DD" w:rsidP="005728DD">
      <w:pPr>
        <w:pStyle w:val="TextoNormal"/>
      </w:pPr>
    </w:p>
    <w:p w:rsidR="005728DD" w:rsidRDefault="005728DD" w:rsidP="005728DD">
      <w:pPr>
        <w:pStyle w:val="TextoNormal"/>
      </w:pPr>
      <w:r>
        <w:t>Como ha quedado expuesto en los antecedentes, el abogado del Estado ha interesado la inadmisión de la cuestión, por considerar que se incumple el juicio de relevancia y, subsidiariamente, su desestimación, mientras que la fiscal general del Estado considera que la cuestión debe ser desestimada.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Cuestiones previas</w:t>
      </w:r>
      <w:r>
        <w:t>.</w:t>
      </w:r>
    </w:p>
    <w:p w:rsidR="005728DD" w:rsidRDefault="005728DD" w:rsidP="005728DD">
      <w:pPr>
        <w:pStyle w:val="TextoNormal"/>
      </w:pPr>
    </w:p>
    <w:p w:rsidR="005728DD" w:rsidRDefault="005728DD" w:rsidP="005728DD">
      <w:pPr>
        <w:pStyle w:val="TextoNormal"/>
      </w:pPr>
      <w:r>
        <w:t>Antes de examinar el fondo de la duda de constitucionalidad, es necesario dar respuesta a la causa de inadmisión planteada por el abogado del Estado, teniendo en cuenta que la concurrencia de los requisitos procesales exigidos por el art. 35 LOTC puede ser examinada no solo en el trámite de admisión previsto en el art. 37 LOTC, sino también en la sentencia que ponga fin al proceso constitucional (por todas, STC 96/2020, de 21 de julio, FJ 2).</w:t>
      </w:r>
    </w:p>
    <w:p w:rsidR="005728DD" w:rsidRDefault="005728DD" w:rsidP="005728DD">
      <w:pPr>
        <w:pStyle w:val="TextoNormal"/>
      </w:pPr>
    </w:p>
    <w:p w:rsidR="005728DD" w:rsidRDefault="005728DD" w:rsidP="005728DD">
      <w:pPr>
        <w:pStyle w:val="TextoNormal"/>
      </w:pPr>
      <w:r>
        <w:t xml:space="preserve">El abogado del Estado considera que la cuestión ha de ser inadmitida por no haberse formulado adecuadamente el juicio de relevancia. Entiende que los motivos que expone el órgano judicial para fundamentar su duda y el juicio de relevancia no son aplicables al caso concreto, de modo que el precepto no sería decisivo para la resolución del proceso. En el caso </w:t>
      </w:r>
      <w:r w:rsidRPr="005728DD">
        <w:rPr>
          <w:i/>
        </w:rPr>
        <w:t>a quo</w:t>
      </w:r>
      <w:r>
        <w:t xml:space="preserve"> se plantea la procedencia de la imposición de la pena de inhabilitación especial para el ejercicio del derecho de sufragio pasivo por un tiempo de seis meses, pena aceptada por el acusado, por lo que, conforme al art. 787.3 LECrim, esa pena debería ser impuesta </w:t>
      </w:r>
      <w:r>
        <w:lastRenderedPageBreak/>
        <w:t>por el tribunal sentenciador en razón de dicha conformidad, con lo que no habría aquí indeterminación de la pena a imponer y la duda tendría una carácter marcadamente abstracto, desvinculada del caso que ha de resolverse.</w:t>
      </w:r>
    </w:p>
    <w:p w:rsidR="005728DD" w:rsidRDefault="005728DD" w:rsidP="005728DD">
      <w:pPr>
        <w:pStyle w:val="TextoNormal"/>
      </w:pPr>
    </w:p>
    <w:p w:rsidR="005728DD" w:rsidRDefault="005728DD" w:rsidP="005728DD">
      <w:pPr>
        <w:pStyle w:val="TextoNormal"/>
      </w:pPr>
      <w:r>
        <w:t>Los apartados primero y segundo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Como ha señalado reiteradamente este tribunal [STC 72/2017, de 5 de junio, FJ 1 b)], es función exclusiva de los órganos judiciales (art. 117.3 CE) la de formular el pertinente juicio de aplicabilidad, de la misma manera que, una vez seleccionada la norma aplicable, les corresponde exteriorizar el esquema argumental dirigido a probar que el fallo del proceso judicial depende de la validez de la norma cuestionada, por cuanto a su través se garantiza el control concreto de la constitucionalidad de la ley, impidiendo que el órgano judicial convierta dicho control en abstracto.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005728DD" w:rsidRDefault="005728DD" w:rsidP="005728DD">
      <w:pPr>
        <w:pStyle w:val="TextoNormal"/>
      </w:pPr>
    </w:p>
    <w:p w:rsidR="005728DD" w:rsidRDefault="005728DD" w:rsidP="005728DD">
      <w:pPr>
        <w:pStyle w:val="TextoNormal"/>
      </w:pPr>
      <w:r>
        <w:t>Sobre tal juicio de relevancia a este tribunal “únicamente le corresponde un control externo sobre el juicio realizado, que excluye la revisión del criterio sentado por el órgano judicial salvo que resulte con toda evidencia errado, porque sea notoriamente inconsistente o equivocada la argumentación judicial sobre la aplicabilidad de la norma al caso o porque de manera patente, sin necesidad de examinar el fondo debatido y conforme a principios jurídicos básicos, se advierta que el razonamiento en relación con el juicio de relevancia resulta falto de consistencia” (STC 151/2017, de 21 de diciembre, FJ 2 y las que cita), ya que en tales casos solo mediante la revisión del juicio de relevancia es posible garantizar el control concreto de constitucionalidad que corresponde a la cuestión de inconstitucionalidad en los términos en que ésta es definida por el art. 163 CE. A ello se une que el control que corresponde al Tribunal Constitucional ha de ser flexible para no incurrir en la suplantación de funciones que primaria y privativamente corresponden a los órganos judiciales (STC 96/2020, FJ 2). Por tanto, con independencia de su mayor o menor extensión, “lo relevante es que el razonamiento desarrollado en el auto planteando la cuestión de inconstitucionalidad aporte suficientes elementos expresivos del carácter determinante del proceso constitucional solicitado” [STC 150/2020, FJ 2 b)].</w:t>
      </w:r>
    </w:p>
    <w:p w:rsidR="005728DD" w:rsidRDefault="005728DD" w:rsidP="005728DD">
      <w:pPr>
        <w:pStyle w:val="TextoNormal"/>
      </w:pPr>
    </w:p>
    <w:p w:rsidR="005728DD" w:rsidRDefault="005728DD" w:rsidP="005728DD">
      <w:pPr>
        <w:pStyle w:val="TextoNormal"/>
      </w:pPr>
      <w:r>
        <w:t>Teniendo presente lo anterior y atendiendo a la naturaleza del control que compete a este tribunal, ha de rechazarse el óbice procesal planteado por el abogado del Estado, ya que los argumentos en los que el órgano judicial funda el juicio de relevancia no son, de manera notoria, inconsistentes, único supuesto en el que el tribunal puede entrar a revisar este juicio [por todas, STC 149/2020, de 22 de octubre, FJ 2 a)].</w:t>
      </w:r>
    </w:p>
    <w:p w:rsidR="005728DD" w:rsidRDefault="005728DD" w:rsidP="005728DD">
      <w:pPr>
        <w:pStyle w:val="TextoNormal"/>
      </w:pPr>
    </w:p>
    <w:p w:rsidR="005728DD" w:rsidRDefault="005728DD" w:rsidP="005728DD">
      <w:pPr>
        <w:pStyle w:val="TextoNormal"/>
      </w:pPr>
      <w:r>
        <w:t xml:space="preserve">En primer lugar, porque la imposición de una pena de conformidad requiere, en los términos del art. 787.3 LECrim., que el juez entienda que la calificación aceptada es correcta y que la pena es procedente según dicha calificación. La duda del órgano judicial se centra, </w:t>
      </w:r>
      <w:r>
        <w:lastRenderedPageBreak/>
        <w:t>precisamente, en la imposibilidad de imponer una pena que, en el ámbito en el que su imposición se ha suscitado, se juzga inconstitucional, en la medida en que la regulación cuestionada, y cuya aplicabilidad al caso no se discute, no cumple, por sus deficiencias, con los mandatos de certeza y previsibilidad que le son exigibles. De ahí la trascendencia de cara a una condena por la comisión de un delito electoral de que el precepto resulte válido o no desde la perspectiva constitucional, ya que si la previsión cuestionada resulta acorde con la Constitución, la pena podría ser impuesta por el órgano judicial promotor, mientras que si, por el contrario, no se adecuase a las exigencias constitucionales no podría ser impuesta, con independencia de la conformidad o no de las partes al respecto.</w:t>
      </w:r>
    </w:p>
    <w:p w:rsidR="005728DD" w:rsidRDefault="005728DD" w:rsidP="005728DD">
      <w:pPr>
        <w:pStyle w:val="TextoNormal"/>
      </w:pPr>
    </w:p>
    <w:p w:rsidR="005728DD" w:rsidRDefault="005728DD" w:rsidP="005728DD">
      <w:pPr>
        <w:pStyle w:val="TextoNormal"/>
      </w:pPr>
      <w:r>
        <w:t xml:space="preserve">Por lo demás, el auto razona suficientemente que la validez de la norma cuestionada es determinante del fallo que debe dictarse, en lo relativo a la pena de inhabilitación especial a imponer por el órgano judicial, una vez admitida en el proceso </w:t>
      </w:r>
      <w:r w:rsidRPr="005728DD">
        <w:rPr>
          <w:i/>
        </w:rPr>
        <w:t>a quo</w:t>
      </w:r>
      <w:r>
        <w:t xml:space="preserve"> la comisión de la conducta proscrita por el art. 143 LOREG. El órgano judicial argumenta que no es legalmente posible imponer la pena solicitada, ya que, a su juicio, carece de marco penal y esa omisión no puede ser salvada por vía interpretativa, añadiendo, además, que alguna de las interpretaciones posibles plantea, a su vez, problemas de proporcionalidad. Es indiscutible, por tanto, que, en el presente caso, el órgano judicial ha justificado que el sentido del fallo a dictar depende de la validez de la norma legal cuestionada en cuanto que regula una de las penas a imponer. Y también ha expuesto las razones por las que, a su juicio, dicha pena no puede ser impuesta si no se despeja antes la duda de constitucionalidad que plantea. Se expresa así la relación entre la norma cuya constitucionalidad se cuestiona por el órgano judicial y el fallo a dictar en el proceso.</w:t>
      </w:r>
    </w:p>
    <w:p w:rsidR="005728DD" w:rsidRDefault="005728DD" w:rsidP="005728DD">
      <w:pPr>
        <w:pStyle w:val="TextoNormal"/>
      </w:pPr>
    </w:p>
    <w:p w:rsidR="005728DD" w:rsidRDefault="005728DD" w:rsidP="005728DD">
      <w:pPr>
        <w:pStyle w:val="TextoNormal"/>
      </w:pPr>
      <w:r>
        <w:t>En definitiva, no cabe oponer frente al juicio de relevancia formulado por el órgano judicial un reproche de irrazonabilidad manifiesta o falta notoria de consistencia, únicos supuestos en los que este tribunal puede enmendar el criterio formulado por aquel a la hora de realizar el juicio de relevancia, por lo que procede concluir que se ha dado el debido cumplimiento al requisito establecido en el art. 35.2 LOTC.</w:t>
      </w:r>
    </w:p>
    <w:p w:rsidR="005728DD" w:rsidRDefault="005728DD" w:rsidP="005728DD">
      <w:pPr>
        <w:pStyle w:val="TextoNormal"/>
      </w:pPr>
    </w:p>
    <w:p w:rsidR="005728DD" w:rsidRDefault="005728DD" w:rsidP="005728DD">
      <w:pPr>
        <w:pStyle w:val="TextoNormal"/>
      </w:pPr>
      <w:r>
        <w:t>Resuelto en sentido negativo el motivo de inadmisión señalado, debe comenzar a examinarse el fondo del asunto, comenzando por la duda relativa a la vulneración del principio de legalidad penal del art. 25.1 CE, pues es claro que la vinculada a la posible infracción del art. 23.2 CE está estrechamente relacionada con la anterior.</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constitucional sobre el principio de legalidad penal del art. 25.1 CE</w:t>
      </w:r>
      <w:r>
        <w:t>.</w:t>
      </w:r>
    </w:p>
    <w:p w:rsidR="005728DD" w:rsidRDefault="005728DD" w:rsidP="005728DD">
      <w:pPr>
        <w:pStyle w:val="TextoNormal"/>
      </w:pPr>
    </w:p>
    <w:p w:rsidR="005728DD" w:rsidRDefault="005728DD" w:rsidP="005728DD">
      <w:pPr>
        <w:pStyle w:val="TextoNormal"/>
      </w:pPr>
      <w:r>
        <w:t>El derecho a la legalidad penal que protege el art. 25.1 CE se articula a través de una doble garantía, formal y material, que se refiere no solo a la tipificación de las conductas punibles, sino también al establecimiento de las sanciones aplicables.</w:t>
      </w:r>
    </w:p>
    <w:p w:rsidR="005728DD" w:rsidRDefault="005728DD" w:rsidP="005728DD">
      <w:pPr>
        <w:pStyle w:val="TextoNormal"/>
      </w:pPr>
    </w:p>
    <w:p w:rsidR="005728DD" w:rsidRDefault="005728DD" w:rsidP="005728DD">
      <w:pPr>
        <w:pStyle w:val="TextoNormal"/>
      </w:pPr>
      <w:r>
        <w:t>La denominada garantía formal no se ve concernida en el presente proceso, por lo que basta con señalar que, como destaca la STC 166/2012, de 1 octubre, FJ 5, hace referencia al rango necesario de las normas tipificadoras de esas conductas y sanciones, y sostiene, siguiendo la constante doctrina de este tribunal, que la expresión “legislación vigente” contenida en el art. 25.1 CE es expresiva de una reserva de ley en materia sancionadora (por todas STC 77/2006, de 13 de marzo, FJ único y doctrina allí citada).</w:t>
      </w:r>
    </w:p>
    <w:p w:rsidR="005728DD" w:rsidRDefault="005728DD" w:rsidP="005728DD">
      <w:pPr>
        <w:pStyle w:val="TextoNormal"/>
      </w:pPr>
    </w:p>
    <w:p w:rsidR="005728DD" w:rsidRDefault="005728DD" w:rsidP="005728DD">
      <w:pPr>
        <w:pStyle w:val="TextoNormal"/>
      </w:pPr>
      <w:r>
        <w:lastRenderedPageBreak/>
        <w:t>El principio de legalidad penal comprende también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La garantía material lleva consigo la exigencia de que la norma punitiva permita “predecir con suficiente grado de certeza las conductas que constituyen infracción y el tipo y grado de sanción del que puede hacerse merecedor quien la cometa" [STC 116/1993, de 29 de marzo, FJ 3 y, en los mismos o parecidos términos, SSTC 53/1994, de 24 de febrero, FJ 4 A); 151/1997, de 29 de septiembre, FJ 3; 124/2000, de 19 de julio, FJ 4; y 113/2002, de 9 de mayo, FJ 3]. Esto es, la norma penal debe permitir conocer de antemano no solo la conducta proscrita, sino también la eventual sanción que pueda merecer el infractor.</w:t>
      </w:r>
    </w:p>
    <w:p w:rsidR="005728DD" w:rsidRDefault="005728DD" w:rsidP="005728DD">
      <w:pPr>
        <w:pStyle w:val="TextoNormal"/>
      </w:pPr>
    </w:p>
    <w:p w:rsidR="005728DD" w:rsidRDefault="005728DD" w:rsidP="005728DD">
      <w:pPr>
        <w:pStyle w:val="TextoNormal"/>
      </w:pPr>
      <w:r>
        <w:t>Esta garantía material trae causa, por lo que ahora interesa, del mandato de taxatividad (</w:t>
      </w:r>
      <w:r w:rsidRPr="005728DD">
        <w:rPr>
          <w:i/>
        </w:rPr>
        <w:t>lex certa</w:t>
      </w:r>
      <w:r>
        <w:t xml:space="preserve">) y se concreta en la exigencia de predeterminación normativa de las conductas ilícitas y de las sanciones correspondientes. Hace recaer sobre el legislador el deber de configurarlas con la mayor precisión posible para que los ciudadanos puedan conocer de antemano el ámbito de lo proscrito y prever así las consecuencias de sus acciones (SSTC 133/1987, de 21 de julio, FJ 4; 219/1989, de 21 de diciembre, FJ 4; 61/1990, de 29 de marzo, FJ 7; 260/2007, de 20 de diciembre, FJ 7, y 144/2011, de 26 de septiembre, entre otras muchas). Esta garantía de certeza puede resultar vulnerada por la insuficiente determinación </w:t>
      </w:r>
      <w:r w:rsidRPr="005728DD">
        <w:rPr>
          <w:i/>
        </w:rPr>
        <w:t>ex ante</w:t>
      </w:r>
      <w:r>
        <w:t xml:space="preserve"> de la conducta sancionable o de la pena a imponer, como defecto inmanente a la redacción legal del precepto sancionador objeto de escrutinio; vulneración que afectaría a la calidad de la ley, esto es, a la accesibilidad y previsibilidad del alcance de la norma en el ámbito penal (SSTC 184/2003, de 23 de octubre, FJ 3, y 261/2015, de 14 de diciembre, FJ 5).</w:t>
      </w:r>
    </w:p>
    <w:p w:rsidR="005728DD" w:rsidRDefault="005728DD" w:rsidP="005728DD">
      <w:pPr>
        <w:pStyle w:val="TextoNormal"/>
      </w:pPr>
    </w:p>
    <w:p w:rsidR="005728DD" w:rsidRDefault="005728DD" w:rsidP="005728DD">
      <w:pPr>
        <w:pStyle w:val="TextoNormal"/>
      </w:pPr>
      <w:r>
        <w:t>La garantía material tiene un alcance absoluto, de manera que la norma punitiva aplicable ha de permitir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(STC 104/2009, de 4 de mayo, FJ 2 y doctrina allí citada). Se trata, por tanto, no solo de predecir con suficiente grado de certeza las conductas infractoras, sino también de conocer de antemano a qué atenerse en cuanto a la aneja responsabilidad y a la eventual sanción de que pueda hacerse merecedor el infractor (STC 113/2002, de 9 de mayo, FJ 3 y las que cita).</w:t>
      </w:r>
    </w:p>
    <w:p w:rsidR="005728DD" w:rsidRDefault="005728DD" w:rsidP="005728DD">
      <w:pPr>
        <w:pStyle w:val="TextoNormal"/>
      </w:pPr>
    </w:p>
    <w:p w:rsidR="005728DD" w:rsidRDefault="005728DD" w:rsidP="005728DD">
      <w:pPr>
        <w:pStyle w:val="TextoNormal"/>
      </w:pPr>
      <w:r>
        <w:t>Sentado lo anterior, conviene también poner de manifiesto con carácter previo —por lo que de relevante tiene para el alcance de nuestro enjuiciamiento—, que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El juicio de consti</w:t>
      </w:r>
      <w:r>
        <w:lastRenderedPageBreak/>
        <w:t>tucionalidad que nos atañe no se ocupa, en consecuencia, de cuestiones referidas a la eficacia, conveniencia o acierto técnico de la norma, sino únicamente a enjuiciar si se han respetado los límites externos que a la intervención legislativa imponen los principios constitucionales ya señalados.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Duda de constitucionalidad planteada</w:t>
      </w:r>
      <w:r>
        <w:t>.</w:t>
      </w:r>
    </w:p>
    <w:p w:rsidR="005728DD" w:rsidRDefault="005728DD" w:rsidP="005728DD">
      <w:pPr>
        <w:pStyle w:val="TextoNormal"/>
      </w:pPr>
    </w:p>
    <w:p w:rsidR="005728DD" w:rsidRDefault="005728DD" w:rsidP="005728DD">
      <w:pPr>
        <w:pStyle w:val="TextoNormal"/>
      </w:pPr>
      <w:r>
        <w:t>Lo que se plantea por el órgano judicial es la vulneración del principio de legalidad en su vertiente material proyectado sobre el legislador, no sobre el intérprete o aplicador de la norma, por cuanto se trata de defectos inmanentes al precepto penal, que no resultaría acorde con el principio de taxatividad, en cuanto que no garantizaría mínimamente la seguridad jurídica de los ciudadanos, que ignorarían la totalidad de las consecuencias que han de seguirse de la realización de una conducta tipificada como delito por la LOREG.</w:t>
      </w:r>
    </w:p>
    <w:p w:rsidR="005728DD" w:rsidRDefault="005728DD" w:rsidP="005728DD">
      <w:pPr>
        <w:pStyle w:val="TextoNormal"/>
      </w:pPr>
    </w:p>
    <w:p w:rsidR="005728DD" w:rsidRDefault="005728DD" w:rsidP="005728DD">
      <w:pPr>
        <w:pStyle w:val="TextoNormal"/>
      </w:pPr>
      <w:r>
        <w:t xml:space="preserve">Concretamente, la duda planteada respecto al art. 137 LOREG es la laguna o deficiencia omisiva por la carencia de un marco penal abstracto en lo que respecta a la pena de inhabilitación especial para el derecho de sufragio pasivo. Pena de imposición obligatoria en todos y cada uno de los delitos electorales, los cuales tendrían una pena de duración indeterminada en lo que respecta a la concreta consecuencia jurídica de privación de tal derecho. Se vulneraría la garantía de certeza por la deficiente configuración </w:t>
      </w:r>
      <w:r w:rsidRPr="005728DD">
        <w:rPr>
          <w:i/>
        </w:rPr>
        <w:t>ex ante</w:t>
      </w:r>
      <w:r>
        <w:t xml:space="preserve"> de la duración de la pena a imponer en el precepto cuestionado, lo que afecta a la calidad de la ley, esto es, a la accesibilidad y previsibilidad del precepto en el ámbito penal. Para el órgano judicial, ninguna de las opciones interpretativas para hacer posible una mayor determinación de la extensión de la pena sería conforme con la Constitución, puesto que, por un lado, no se solventarían los problemas de indeterminación y se confundirían los espacios reservados al legislador —a quien compete la determinación de la pena— y al juzgador —al que corresponde la individualización judicial de la misma— y, por otro, alguna de las interpretaciones propuestas, como la relativa a la aplicación del art. 40.1 CP, determinaría una excesiva amplitud del marco penal determinante, a su vez, de una respuesta punitiva desproporcionada.</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Regulación de la pena de inhabilitación especial para el ejercicio del derecho de sufragio pasivo</w:t>
      </w:r>
      <w:r>
        <w:t>.</w:t>
      </w:r>
    </w:p>
    <w:p w:rsidR="005728DD" w:rsidRDefault="005728DD" w:rsidP="005728DD">
      <w:pPr>
        <w:pStyle w:val="TextoNormal"/>
      </w:pPr>
    </w:p>
    <w:p w:rsidR="005728DD" w:rsidRDefault="005728DD" w:rsidP="005728DD">
      <w:pPr>
        <w:pStyle w:val="TextoNormal"/>
      </w:pPr>
      <w:r>
        <w:t xml:space="preserve">La LOREG recoge una serie de conductas calificadas como “delitos electorales”, para los que en su art. 137 prevé expresamente que: “[p]or todos los delitos a que se refiere este capítulo se impondrá, además de la pena señalada en los artículos siguientes, la de inhabilitación especial para el derecho del sufragio pasivo”. La previsión de la pena de inhabilitación especial para el ejercicio del sufragio pasivo mantiene una vinculación con la naturaleza del delito cometido, de forma que se castiga con la imposibilidad de ser elegido para cargos públicos a quien realiza un comportamiento doloso contrario a la normativa electoral. De esta manera, el fundamento de esta pena privativa de derechos se encuentra en la relación entre el derecho inhabilitado y el delito cometido. De acuerdo con el art. 137 LOREG, se trata de una pena de imposición necesaria u obligatoria en todos los delitos electorales, lo que no carece de justificación puesto que se aplica en función de la mencionada naturaleza del delito cometido, pero no tiene sustantividad propia en la medida en que se dispone su aplicación cumulativa a las penas previstas para los ilícitos electorales en los arts. 139 a 150 LOREG, penas que son privativas de libertad, como únicas o como alternativas a la de </w:t>
      </w:r>
      <w:r>
        <w:lastRenderedPageBreak/>
        <w:t>multa. En todo caso, el art. 137 LOREG no crea una pena de contenido diferente a las previstas en el Código penal, de manera que la referencia a la inhabilitación especial para el ejercicio del sufragio pasivo del texto electoral debe interpretarse como una remisión a la regulación de esta pena prevista en el Código penal. De hecho, el art. 138 LOREG, remite a la aplicación del Código penal, remisión que se corresponde con el art. 9 CP cuando dispone que “[l]as disposiciones de este título se aplicarán a los delitos que se hallen penados por leyes especiales. Las restantes disposiciones de este código se aplicarán como supletorias en lo no previsto expresamente por aquellas”.</w:t>
      </w:r>
    </w:p>
    <w:p w:rsidR="005728DD" w:rsidRDefault="005728DD" w:rsidP="005728DD">
      <w:pPr>
        <w:pStyle w:val="TextoNormal"/>
      </w:pPr>
    </w:p>
    <w:p w:rsidR="005728DD" w:rsidRDefault="005728DD" w:rsidP="005728DD">
      <w:pPr>
        <w:pStyle w:val="TextoNormal"/>
      </w:pPr>
      <w:r>
        <w:t>Esta pena de inhabilitación para el ejercicio del derecho de sufragio pasivo, aparece enumerada en el catálogo de penas privativas de derechos diferentes a la libertad del art. 39 CP, incluida dentro de las inhabilitaciones especiales. Como tal pena, puede ser impuesta con carácter principal cuando así se prevea expresamente, como ocurre, por ejemplo, en muchos de los delitos contra la administración pública a raíz de la aprobación de la Ley Orgánica 1/2015, de 30 de marzo, por la que se modifica la Ley Orgánica 10/1995, de 23 de noviembre, del Código penal, o con carácter accesorio a otra (art. 32 CP en relación con el art. 56.1 CP). Cuando se impone como pena principal, el propio Código penal fija el marco penal en el precepto que la prevé para cada figura delictiva. Cuando se trata de una pena accesoria tendrá la duración que respectivamente tenga la pena principal, excepto lo que dispongan expresamente otros preceptos del Código penal (art. 33.6 CP). Será considerada como pena grave si su duración es superior a cinco años [art. 33.2 c) CP], y como pena menos grave si su duración es inferior a cinco años [art. 33.3 b) CP]. En cuanto a su contenido, conforme al art. 44 CP, la inhabilitación especial para el derecho de sufragio pasivo priva al penado, durante el tiempo de la condena, del derecho a ser elegido para cargos públicos. Privación aplicable a todos los procesos electorales enumerados en el art. 1 LOREG y todos los cargos públicos electivos que, en principio, tiene una duración mínima de tres meses y una máxima de veinte años, conforme al art. 40.1 CP, precepto aplicable a todo tipo de inhabilitaciones especiales.</w:t>
      </w:r>
    </w:p>
    <w:p w:rsidR="005728DD" w:rsidRDefault="005728DD" w:rsidP="005728DD">
      <w:pPr>
        <w:pStyle w:val="TextoNormal"/>
      </w:pPr>
    </w:p>
    <w:p w:rsidR="005728DD" w:rsidRDefault="005728DD" w:rsidP="005728DD">
      <w:pPr>
        <w:pStyle w:val="TextoNormal"/>
      </w:pPr>
      <w:r>
        <w:t>Es de todo punto evidente que la LOREG no indica la duración de la pena de inhabilitación especial en el caso de que se trate de los delitos electorales que regula, en cuanto que omite indicar intervalo punitivo alguno, omisión que, en el parecer del órgano judicial, es determinante de su inconstitucionalidad. El problema relevante es, por tanto, si es admisible o no desde la perspectiva constitucional que en dicho precepto se omita una referencia explícita a la extensión de la pena de inhabilitación especial para el ejercicio del derecho de sufragio pasivo, en tanto en cuanto no exista ninguna posibilidad interpretativa para cubrir tal ausencia, de forma que la duración de la pena a imponer sería imprevisible para los autores de las conductas sancionadas por el legislador como delitos electorales.</w:t>
      </w:r>
    </w:p>
    <w:p w:rsidR="005728DD" w:rsidRDefault="005728DD" w:rsidP="005728DD">
      <w:pPr>
        <w:pStyle w:val="TextoNormal"/>
      </w:pPr>
    </w:p>
    <w:p w:rsidR="005728DD" w:rsidRDefault="005728DD" w:rsidP="005728DD">
      <w:pPr>
        <w:pStyle w:val="TextoNormal"/>
      </w:pPr>
      <w:r>
        <w:t>Eso obliga a determinar si, como argumenta el órgano judicial, no existe efectivamente posibilidad interpretativa alguna para salvar la omisión que aprecia en el precepto y, con ella, una falta de taxatividad constitucionalmente inadmisible.</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Presupuestos para la resolución de la duda de constitucionalidad planteada</w:t>
      </w:r>
      <w:r>
        <w:t>.</w:t>
      </w:r>
    </w:p>
    <w:p w:rsidR="005728DD" w:rsidRDefault="005728DD" w:rsidP="005728DD">
      <w:pPr>
        <w:pStyle w:val="TextoNormal"/>
      </w:pPr>
    </w:p>
    <w:p w:rsidR="005728DD" w:rsidRDefault="005728DD" w:rsidP="005728DD">
      <w:pPr>
        <w:pStyle w:val="TextoNormal"/>
      </w:pPr>
      <w:r>
        <w:t xml:space="preserve">Como se ha expuesto en los antecedentes, el órgano judicial, al exponer la duda de constitucionalidad que plantea, descarta que exista posibilidad interpretativa alguna que subsane la omisión apreciada, bien mediante el entendimiento del art. 40.1 CP como marco penal </w:t>
      </w:r>
      <w:r>
        <w:lastRenderedPageBreak/>
        <w:t>abstracto o bien a través de la aplicación de las reglas fijadas en el mismo Código penal para las penas accesorias a fin de posibilitar una mayor delimitación de la extensión de esta pena de inhabilitación especial.</w:t>
      </w:r>
    </w:p>
    <w:p w:rsidR="005728DD" w:rsidRDefault="005728DD" w:rsidP="005728DD">
      <w:pPr>
        <w:pStyle w:val="TextoNormal"/>
      </w:pPr>
    </w:p>
    <w:p w:rsidR="005728DD" w:rsidRDefault="005728DD" w:rsidP="005728DD">
      <w:pPr>
        <w:pStyle w:val="TextoNormal"/>
      </w:pPr>
      <w:r>
        <w:t>Por tanto, atendiendo al tenor del precepto cuestionado y también al planteamiento del órgano judicial, lo decisivo para la resolución de la presente cuestión de inconstitucionalidad es determinar si la legislación penal, contemplada de manera integrada y sistemática, dispone de mecanismos para suplir la imprevisión legislativa del art. 137 LOREG, y, por tanto, si es posible una interpretación acomodada al ordenamiento constitucional de la disposición cuestionada, ya sea en relación y junto con otras de la propia LOREG o el Código penal.</w:t>
      </w:r>
    </w:p>
    <w:p w:rsidR="005728DD" w:rsidRDefault="005728DD" w:rsidP="005728DD">
      <w:pPr>
        <w:pStyle w:val="TextoNormal"/>
      </w:pPr>
    </w:p>
    <w:p w:rsidR="005728DD" w:rsidRDefault="005728DD" w:rsidP="005728DD">
      <w:pPr>
        <w:pStyle w:val="TextoNormal"/>
      </w:pPr>
      <w:r>
        <w:t>Señalado lo anterior, la valoración de las alternativas interpretativas propuestas y descartadas por el órgano judicial exige tomar en cuenta una serie de circunstancias, susceptibles de fundamentar nuestro enjuiciamiento.</w:t>
      </w:r>
    </w:p>
    <w:p w:rsidR="005728DD" w:rsidRDefault="005728DD" w:rsidP="005728DD">
      <w:pPr>
        <w:pStyle w:val="TextoNormal"/>
      </w:pPr>
    </w:p>
    <w:p w:rsidR="005728DD" w:rsidRDefault="005728DD" w:rsidP="005728DD">
      <w:pPr>
        <w:pStyle w:val="TextoNormal"/>
      </w:pPr>
      <w:r>
        <w:t>La primera es que el juicio de constitucionalidad no es un juicio de técnica legislativa, sin que nos corresponda efectuar valoración alguna sobre la eficacia, conveniencia o calidad de la norma impugnada,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 Ahora bien, teniendo en cuenta “[l]a imprecisa línea que delimita el ámbito de la constitucionalidad de la ley y de la falta de calidad de la misma” (STC 135/2018, de 13 de diciembre, FJ 5), no es posible aplicar “soluciones apriorísticas o criterios de general aplicación” (STC 147/1986, de 25 de noviembre, FJ 4), puesto que “cada caso problemático puede presentar facetas propias y específicas, será preciso valorar las circunstancias concurrentes” (STC 147/1986, FJ 4).</w:t>
      </w:r>
    </w:p>
    <w:p w:rsidR="005728DD" w:rsidRDefault="005728DD" w:rsidP="005728DD">
      <w:pPr>
        <w:pStyle w:val="TextoNormal"/>
      </w:pPr>
    </w:p>
    <w:p w:rsidR="005728DD" w:rsidRDefault="005728DD" w:rsidP="005728DD">
      <w:pPr>
        <w:pStyle w:val="TextoNormal"/>
      </w:pPr>
      <w:r>
        <w:t>La segunda, ya mencionada, es que el objeto de la presente cuestión es una omisión del legislador, ya que no es la regulación expresamente contenida en el precepto cuestionado la que pueda estimarse contraria al principio de legalidad sancionadora, sino su imperfección por no contemplar aquello que debiendo ser necesariamente incluido por el legislador fue, sin embargo, omitido (en un sentido similar, SSTC 41/2017, de 24 de abril, FJ 4, y 120/2010, de 24 de noviembre, FJ 6). Como ya se ha expuesto antes, lo que el órgano judicial plantea es que el precepto incumple las exigencias del art. 25.1 CE, pero no en lo que específicamente regula, la pena a imponer, sino en lo que no regula, su duración, vulnerando con ello el citado precepto constitucional en su vertiente de garantía de la legalidad material, y, a su través, el art. 23.2 CE, por la consiguiente indeterminación de la duración de la privación del derecho de sufragio pasivo. En suma “la razón de la inconstitucionalidad del precepto reside, no en determinación textual alguna de este, sino en su omisión” (en el mismo sentido, las SSTC 222/1992, de 11 de diciembre, FJ 7; 96/1996, de 30 de mayo, FJ 22; y 235/1999, de 20 de diciembre, FJ 13).</w:t>
      </w:r>
    </w:p>
    <w:p w:rsidR="005728DD" w:rsidRDefault="005728DD" w:rsidP="005728DD">
      <w:pPr>
        <w:pStyle w:val="TextoNormal"/>
      </w:pPr>
    </w:p>
    <w:p w:rsidR="005728DD" w:rsidRDefault="005728DD" w:rsidP="005728DD">
      <w:pPr>
        <w:pStyle w:val="TextoNormal"/>
      </w:pPr>
      <w:r>
        <w:t xml:space="preserve">En principio, en tanto que las normas aparecen integradas en un ordenamiento jurídico determinado, los aparentes vacíos que en su regulación existan, pueden ser integrados a partir de reglas de ese mismo ordenamiento, por lo que las omisiones no vician de inconstitucionalidad la norma, si bien, dependiendo de la intensidad de la laguna u omisión, el juicio </w:t>
      </w:r>
      <w:r>
        <w:lastRenderedPageBreak/>
        <w:t>de constitucionalidad puede decantarse en otro sentido. Consecuentemente, lo que debe determinarse es si el art. 137 LOREG incurre en una insuficiencia normativa de grado tal, en relación con las exigencias de los preceptos constitucionales que se entienden infringidos, que no puede ser salvada y es determinante de su inconstitucionalidad, pues en ese caso debería ser el legislador, dentro de la libertad de configuración de que goza, derivada de su posición constitucional y, en última instancia, de su específica legitimidad democrática, el que debiera dar respuesta normativa a la situación planteada.</w:t>
      </w:r>
    </w:p>
    <w:p w:rsidR="005728DD" w:rsidRDefault="005728DD" w:rsidP="005728DD">
      <w:pPr>
        <w:pStyle w:val="TextoNormal"/>
      </w:pPr>
    </w:p>
    <w:p w:rsidR="005728DD" w:rsidRDefault="005728DD" w:rsidP="005728DD">
      <w:pPr>
        <w:pStyle w:val="TextoNormal"/>
      </w:pPr>
      <w:r>
        <w:t>En tercer lugar, en la operación de averiguar si la omisión del precepto es determinante de su inconstitucionalidad se debe tener presente también que el principio de conservación de la ley hace necesario apurar todas las posibilidades de interpretar los preceptos de conformidad con la Constitución, siempre que se trate de atribuirle significados respetuosos tanto de la literalidad como del contenido de la norma cuestionada [por todas, STC 65/2020, de 18 de junio, FJ 2 b)], descartando aquellos otros con las que el precepto incurra en inconstitucionalidad [SSTC 168/2016, FJ 4 b); 55/2018, FJ 11 f); 97/2018, FJ 7; 51/2019, FJ7, y 76/2019, FJ 8, por todas]. Tarea que, en todo caso, impide “la reconstrucción de la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184/2003, de 23 de octubre, FJ 7, y 273/2005, de 27 de octubre, FJ 8).</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Resolución de la duda de constitucionalidad</w:t>
      </w:r>
      <w:r>
        <w:t>.</w:t>
      </w:r>
    </w:p>
    <w:p w:rsidR="005728DD" w:rsidRDefault="005728DD" w:rsidP="005728DD">
      <w:pPr>
        <w:pStyle w:val="TextoNormal"/>
      </w:pPr>
    </w:p>
    <w:p w:rsidR="005728DD" w:rsidRDefault="005728DD" w:rsidP="005728DD">
      <w:pPr>
        <w:pStyle w:val="TextoNormal"/>
      </w:pPr>
      <w:r>
        <w:t xml:space="preserve">Aplicando los anteriores criterios al caso aquí planteado, para efectuar un correcto enjuiciamiento debemos tomar en consideración el “contexto ordinamental en el que se inserta” la norma (STC 150/1990, FJ 8), de manera que el precepto incurriría en la inconstitucionalidad que ha apreciado el órgano judicial </w:t>
      </w:r>
      <w:r w:rsidRPr="005728DD">
        <w:rPr>
          <w:i/>
        </w:rPr>
        <w:t>a quo</w:t>
      </w:r>
      <w:r>
        <w:t>, sólo si en el ordenamiento jurídico en que se integra, y teniendo en cuenta las reglas de interpretación admisibles en derecho penal, la aparente omisión del texto cuestionado lo fuera realmente y no pudiera ser colmada,</w:t>
      </w:r>
    </w:p>
    <w:p w:rsidR="005728DD" w:rsidRDefault="005728DD" w:rsidP="005728DD">
      <w:pPr>
        <w:pStyle w:val="TextoNormal"/>
      </w:pPr>
    </w:p>
    <w:p w:rsidR="005728DD" w:rsidRDefault="005728DD" w:rsidP="005728DD">
      <w:pPr>
        <w:pStyle w:val="TextoNormal"/>
      </w:pPr>
      <w:r>
        <w:t xml:space="preserve">a) Cabe coincidir con el órgano judicial en la imposibilidad de que el art. 40.1 CP sirva para colmar la laguna. Este precepto, en coherencia con su aplicación a todo tipo de inhabilitaciones especiales, tiene por objeto regular los límites de la duración máxima y mínima de la pena de inhabilitación en cualquiera de sus modalidades, pero, contemplando únicamente los umbrales máximo y mínimo, en ningún caso viene a configurar un marco penal abstracto a partir de tales umbrales, ya que este concepto viene referido a delitos específicos como son, en el caso, los establecidos en los preceptos de la LOREG relativos a los delitos electorales, los cuales nada dicen al respecto. Además, la estimación como pena principal de la inhabilitación aquí cuestionada, permitiría abrir un abanico temporal que iría de los tres meses a los veinte años, tal y como recoge el art. 40.1 CP, posibilitando al juez o tribunal imponer, motivadamente dentro de ese amplio intervalo un determinado tiempo de inhabilitación para el ejercicio del derecho de sufragio pasivo, al margen de otra pena que pudiera corresponderle al sujeto por el delito electoral cometido. De este modo se solventaría la laguna normativa mediante una extensión de los marcos de penalidad muy poco respetuosa de la garantía penal del principio de legalidad, otorgando un espacio de discrecionalidad judicial sobre la individualización de la pena en relación con ilícitos de diferente gravedad </w:t>
      </w:r>
      <w:r>
        <w:lastRenderedPageBreak/>
        <w:t>claramente excesivo, lo que determinaría tanto la imprevisibilidad de las consecuencias, cuanto su eventual desproporción.</w:t>
      </w:r>
    </w:p>
    <w:p w:rsidR="005728DD" w:rsidRDefault="005728DD" w:rsidP="005728DD">
      <w:pPr>
        <w:pStyle w:val="TextoNormal"/>
      </w:pPr>
    </w:p>
    <w:p w:rsidR="005728DD" w:rsidRDefault="005728DD" w:rsidP="005728DD">
      <w:pPr>
        <w:pStyle w:val="TextoNormal"/>
      </w:pPr>
      <w:r>
        <w:t>Descartada esta interpretación, no procede tampoco examinar la queja de respuesta penal desproporcionada, pues el órgano judicial vinculaba directamente esa tacha de falta de proporcionalidad a la aplicación del art. 40.1 CP como medio para integrar la laguna del art. 137 LOREG, extremo que acabamos de desechar.</w:t>
      </w:r>
    </w:p>
    <w:p w:rsidR="005728DD" w:rsidRDefault="005728DD" w:rsidP="005728DD">
      <w:pPr>
        <w:pStyle w:val="TextoNormal"/>
      </w:pPr>
    </w:p>
    <w:p w:rsidR="005728DD" w:rsidRDefault="005728DD" w:rsidP="005728DD">
      <w:pPr>
        <w:pStyle w:val="TextoNormal"/>
      </w:pPr>
      <w:r>
        <w:t>b) No obstante, que no sea posible aplicar el art. 40.1 CP no significa que el art. 137 LOREG sea inconstitucional.</w:t>
      </w:r>
    </w:p>
    <w:p w:rsidR="005728DD" w:rsidRDefault="005728DD" w:rsidP="005728DD">
      <w:pPr>
        <w:pStyle w:val="TextoNormal"/>
      </w:pPr>
    </w:p>
    <w:p w:rsidR="005728DD" w:rsidRDefault="005728DD" w:rsidP="005728DD">
      <w:pPr>
        <w:pStyle w:val="TextoNormal"/>
      </w:pPr>
      <w:r>
        <w:t>El Tribunal considera, en atención a los ya expuestos principios de presunción de constitucionalidad y de conservación de la ley, que, en una interpretación global de la normativa penal aplicable, la omisión o laguna que se achaca a la regulación cuestionada, y que se entiende por el órgano judicial como determinante de su inconstitucionalidad, no es tal.</w:t>
      </w:r>
    </w:p>
    <w:p w:rsidR="005728DD" w:rsidRDefault="005728DD" w:rsidP="005728DD">
      <w:pPr>
        <w:pStyle w:val="TextoNormal"/>
      </w:pPr>
    </w:p>
    <w:p w:rsidR="005728DD" w:rsidRDefault="005728DD" w:rsidP="005728DD">
      <w:pPr>
        <w:pStyle w:val="TextoNormal"/>
      </w:pPr>
      <w:r>
        <w:t>Como también han apuntado el abogado del Estado y, sobre todo, la fiscal general del Estado, esa omisión puede ser salvada por vía interpretativa, de tal manera que el art. 137 LOREG pueda ser entendido de modo compatible con las exigencias derivadas del principio de legalidad (art. 25.1 CE). Como recuerda la STC 135/2018, FJ 5, citando la STC 150/1990, de 4 de octubre, FJ 8,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El ordenamiento jurídico es una realidad compleja e integrada dentro de la cual adquieren sentido y significación propia —también en el ámbito penal— cada uno de los preceptos singulares, lo que determina que la omisión denunciada pueda ser salvada al integrarla con otras normas del ordenamiento penal del modo que seguidamente se expone, sin perjuicio de advertir ya que, pese a que las carencias detectadas en el precepto resultan superables de acuerdo con las pautas que a continuación se establecen, es deseable que el legislador resuelva de forma expresa tales carencias.</w:t>
      </w:r>
    </w:p>
    <w:p w:rsidR="005728DD" w:rsidRDefault="005728DD" w:rsidP="005728DD">
      <w:pPr>
        <w:pStyle w:val="TextoNormal"/>
      </w:pPr>
    </w:p>
    <w:p w:rsidR="005728DD" w:rsidRDefault="005728DD" w:rsidP="005728DD">
      <w:pPr>
        <w:pStyle w:val="TextoNormal"/>
      </w:pPr>
      <w:r>
        <w:t>El art. 138 LOREG, en coherencia con la consideración del capítulo VIII como una ley penal especial, remite a la aplicación del Código penal “[e]n lo que no se encuentre expresamente regulado en este capítulo”. Esta remisión concuerda con el art. 9 CP cuando establece que “[l]as disposiciones de este título se aplicarán a los delitos que se hallen penados por leyes especiales. Las restantes disposiciones de este código se aplicarán como supletorias en lo no previsto expresamente por aquellas”.</w:t>
      </w:r>
    </w:p>
    <w:p w:rsidR="005728DD" w:rsidRDefault="005728DD" w:rsidP="005728DD">
      <w:pPr>
        <w:pStyle w:val="TextoNormal"/>
      </w:pPr>
    </w:p>
    <w:p w:rsidR="005728DD" w:rsidRDefault="005728DD" w:rsidP="005728DD">
      <w:pPr>
        <w:pStyle w:val="TextoNormal"/>
      </w:pPr>
      <w:r>
        <w:t>Es, por tanto, indudable que el Código penal asume un papel integrador respecto a la legislación penal especial como la de la LOREG, en la medida en que se aplica en todo aquello que la legislación penal especial no prevea.</w:t>
      </w:r>
    </w:p>
    <w:p w:rsidR="005728DD" w:rsidRDefault="005728DD" w:rsidP="005728DD">
      <w:pPr>
        <w:pStyle w:val="TextoNormal"/>
      </w:pPr>
    </w:p>
    <w:p w:rsidR="005728DD" w:rsidRDefault="005728DD" w:rsidP="005728DD">
      <w:pPr>
        <w:pStyle w:val="TextoNormal"/>
      </w:pPr>
      <w:r>
        <w:t xml:space="preserve">Esa es la situación en la que se coloca el art. 137 LOREG, en la medida en que no prevé expresamente cuál es el marco legal de aplicación de la pena de inhabilitación especial para el derecho del sufragio pasivo, en relación específicamente con cada una de las infracciones penales previstas en los arts. 139 a 150 LOREG, preceptos que, sin embargo, sí disponen de marco penal expreso en relación con la penas de prisión o multa que fijan. Sin embargo, </w:t>
      </w:r>
      <w:r>
        <w:lastRenderedPageBreak/>
        <w:t>esa supuesta laguna puede ser salvada por remisión a lo dispuesto en el art. 33.6 en relación con el art. 56.1 CP, cuando, en referencia, entre otras, a la pena de inhabilitación especial para el derecho de sufragio pasivo, dispone que “tendrán la duración que respectivamente tenga la pena principal” o aluden a que la privación del derecho de sufragio pasivo lo es “durante el tiempo de la condena”. Aplicando la remisión que la LOREG formula al Código penal en su art. 138, es factible entender que dicha regla es aplicable a lo concretamente cuestionado en el presente proceso, en el sentido de que es útil para colmar la carencia de marco penal expreso que ha apreciado el órgano judicial en el art. 137 LOREG.</w:t>
      </w:r>
    </w:p>
    <w:p w:rsidR="005728DD" w:rsidRDefault="005728DD" w:rsidP="005728DD">
      <w:pPr>
        <w:pStyle w:val="TextoNormal"/>
      </w:pPr>
    </w:p>
    <w:p w:rsidR="005728DD" w:rsidRDefault="005728DD" w:rsidP="005728DD">
      <w:pPr>
        <w:pStyle w:val="TextoNormal"/>
      </w:pPr>
      <w:r>
        <w:t>Esta interpretación es también coherente con la ubicación sistemática del precepto en relación con el conjunto de las normas penales en materia electoral, pues se trata de una disposición general aplicable a todas las que prevén las conductas punibles y las correspondientes sanciones. No se opone tampoco al tenor literal del precepto (“se impondrá, además de la pena señalada en los artículos siguientes”) que indica que la inhabilitación se añade a la condena impuesta por la comisión del concreto delito electoral de que se trate, lo que, además de indicar que se trata de una pena de imposición preceptiva (Sentencia de la Sala Segunda del Tribunal Supremo núm. 322/2016, de 19 de abril) aproxima su regulación al art. 54 CP, en punto a la accesoriedad de las penas de inhabilitación. Se adecúa así la duración de la inhabilitación en función de la gravedad de la conducta, atendiendo a la graduación específica de las otras penas a imponer. Y tampoco convierte al art. 137 LOREG en un precepto reiterativo e innecesario, pues también así entendido resulta que la cláusula general del art. 137 LOREG incluye un contenido regulador propio, en el sentido de que hace posible aplicar la pena de inhabilitación que prevé, aunque la pena impuesta no sea la de prisión, a diferencia de lo que deriva del art. 56 CP.</w:t>
      </w:r>
    </w:p>
    <w:p w:rsidR="005728DD" w:rsidRDefault="005728DD" w:rsidP="005728DD">
      <w:pPr>
        <w:pStyle w:val="TextoNormal"/>
      </w:pPr>
    </w:p>
    <w:p w:rsidR="005728DD" w:rsidRDefault="005728DD" w:rsidP="005728DD">
      <w:pPr>
        <w:pStyle w:val="TextoNormal"/>
      </w:pPr>
      <w:r>
        <w:t>Ese criterio presenta conexiones con aquel que, bien que para un supuesto diferente, aplica el art. 6.2 a) LOREG, cuando considera inelegibles a “los condenados por sentencia firme, a pena privativa de libertad, en el período que dure la pena”, y puede ser aplicado aquí ya que el que el art. 6.2 LOREG mencione solo algunas causas de inelegibilidad derivadas de sanciones penales, no significa que el Código penal no pueda prever otras (en un sentido parecido, STC 158/1991, de 15 de julio, FJ 2, citando la STC 80/1987, de 27 de mayo, FJ 3) y nada impide que el criterio que expresa este precepto de la LOREG pueda ser tomado en consideración a los efectos de interpretar otro precepto de la misma norma legal, a los mismos efectos.</w:t>
      </w:r>
    </w:p>
    <w:p w:rsidR="005728DD" w:rsidRDefault="005728DD" w:rsidP="005728DD">
      <w:pPr>
        <w:pStyle w:val="TextoNormal"/>
      </w:pPr>
    </w:p>
    <w:p w:rsidR="005728DD" w:rsidRDefault="005728DD" w:rsidP="005728DD">
      <w:pPr>
        <w:pStyle w:val="TextoNormal"/>
      </w:pPr>
      <w:r>
        <w:t>Ello significa que ha de entenderse que el art. 137 LOREG no incurre en la indeterminación que aprecia el órgano judicial, por cuanto la pena de inhabilitación que prevé ha de tener una duración equivalente a la de la respectiva pena privativa de libertad impuesta en caso de comisión de cada uno de esos delitos, aplicando, en el caso de que la pena impuesta sea la de multa, el mecanismo de conversión a responsabilidad personal subsidiaria del art. 53 CP. Se elimina también así el riesgo que el órgano judicial aprecia en relación con una aplicación judicial del precepto poco coherente o imprevisible que pudiera conducir a una infracción del art. 25 CE.</w:t>
      </w:r>
    </w:p>
    <w:p w:rsidR="005728DD" w:rsidRDefault="005728DD" w:rsidP="005728DD">
      <w:pPr>
        <w:pStyle w:val="TextoNormal"/>
      </w:pPr>
    </w:p>
    <w:p w:rsidR="005728DD" w:rsidRDefault="005728DD" w:rsidP="005728DD">
      <w:pPr>
        <w:pStyle w:val="TextoNormal"/>
      </w:pPr>
      <w:r>
        <w:t>El art. 137 LOREG, en lo que concretamente ha sido cuestionado, no supone así una formulación tan abierta e indefinida que su aplicación dependa en último término de una decisión prácticamente libre y arbitraria del intérprete y juzgador encargado de su aplica</w:t>
      </w:r>
      <w:r>
        <w:lastRenderedPageBreak/>
        <w:t>ción, lo que sería constitucionalmente incompatible con el principio de legalidad que garantiza el art. 25.1 CE. Entendido el precepto en los términos que se acaban de referir, hay que concluir que se cumplen las exigencias de predeterminación normativa y certeza que se derivan de los preceptos constitucionales; interpretación que se llevará al fallo.</w:t>
      </w:r>
    </w:p>
    <w:p w:rsidR="005728DD" w:rsidRDefault="005728DD" w:rsidP="005728DD">
      <w:pPr>
        <w:pStyle w:val="TextoNormal"/>
      </w:pPr>
    </w:p>
    <w:p w:rsidR="005728DD" w:rsidRDefault="005728DD" w:rsidP="005728DD">
      <w:pPr>
        <w:pStyle w:val="TextoNormal"/>
      </w:pPr>
      <w:r>
        <w:t>A su vez, lo anteriormente razonado permite descartar la denunciada vulneración del art. 23.2 CE, vulneración que, en todo caso, tenía como premisa que el precepto fuera contrario al art. 25 CE, lo que ya ha quedado descartado.</w:t>
      </w:r>
    </w:p>
    <w:p w:rsidR="005728DD" w:rsidRDefault="005728DD" w:rsidP="005728DD">
      <w:pPr>
        <w:pStyle w:val="TextoNormal"/>
      </w:pPr>
    </w:p>
    <w:p w:rsidR="005728DD" w:rsidRDefault="005728DD" w:rsidP="005728DD">
      <w:pPr>
        <w:pStyle w:val="TextoNormal"/>
      </w:pPr>
      <w:r>
        <w:t>De conformidad con todo lo expuesto, ha de declararse que el art. 137 LOREG no es contrario a la Constitución, interpretado en el sentido que acabamos de exponer; todo ello sin perjuicio de dejar constancia de la conveniencia de una pronta reforma legislativa en esta materia (en un sentido similar, SSTC 36/1991, de 14 de febrero, FJ 7, y 24/2004, de 24 de febrero, FJ 8).</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la cuestión de inconstitucionalidad núm. 5246-2020 y declarar que el art. 137 LOREG no es inconstitucional interpretado en los términos del fundamento jurídico 7 b).</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tres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0" w:name="SENTENCIA_2021_127"/>
      <w:r>
        <w:lastRenderedPageBreak/>
        <w:t>SENTENCIA 127/2021, de 21 de junio de 2021</w:t>
      </w:r>
    </w:p>
    <w:bookmarkEnd w:id="130"/>
    <w:p w:rsidR="005728DD" w:rsidRDefault="005728DD" w:rsidP="005728DD">
      <w:pPr>
        <w:pStyle w:val="TtuloResolucin"/>
      </w:pPr>
      <w:r>
        <w:t>Sala Primera</w:t>
      </w:r>
    </w:p>
    <w:p w:rsidR="005728DD" w:rsidRDefault="005728DD" w:rsidP="005728DD">
      <w:pPr>
        <w:pStyle w:val="TtuloBOE"/>
      </w:pPr>
      <w:r>
        <w:t>(BOE núm. 182, de 31 de julio de 2021)</w:t>
      </w:r>
    </w:p>
    <w:p w:rsidR="005728DD" w:rsidRDefault="005728DD" w:rsidP="005728DD">
      <w:pPr>
        <w:pStyle w:val="TextoNormalCentrado"/>
      </w:pPr>
      <w:r>
        <w:t>ECLI:ES:TC:2021:127</w:t>
      </w:r>
    </w:p>
    <w:p w:rsidR="005728DD" w:rsidRDefault="005728DD" w:rsidP="005728DD">
      <w:pPr>
        <w:pStyle w:val="TextoNormalCentrado"/>
      </w:pPr>
    </w:p>
    <w:p w:rsidR="005728DD" w:rsidRDefault="005728DD" w:rsidP="005728DD">
      <w:pPr>
        <w:pStyle w:val="SntesisDescriptiva"/>
      </w:pPr>
      <w:r>
        <w:t>Recurso de amparo 4163-2019. Promovido por don Juan Carlos Asenjo Grande en relación con la sentencia de un juzgado central de lo contencioso-administrativo en procedimiento por responsabilidad patrimonial de la administración de Justicia.</w:t>
      </w:r>
    </w:p>
    <w:p w:rsidR="005728DD" w:rsidRDefault="005728DD" w:rsidP="005728DD">
      <w:pPr>
        <w:pStyle w:val="SntesisDescriptiva"/>
      </w:pPr>
    </w:p>
    <w:p w:rsidR="005728DD" w:rsidRDefault="005728DD" w:rsidP="005728DD">
      <w:pPr>
        <w:pStyle w:val="SntesisAnaltica"/>
      </w:pPr>
      <w:r>
        <w:t>Vulneración de los derechos a la igualdad y a la presunción de inocencia: STC 125/2019 (denegación de indemnización resultante de la aplicación del precepto legal anulado por la STC 85/2019, de 19 de junio).</w:t>
      </w:r>
    </w:p>
    <w:p w:rsidR="005728DD" w:rsidRDefault="005728DD" w:rsidP="005728DD">
      <w:pPr>
        <w:pStyle w:val="SntesisAnaltica"/>
      </w:pPr>
    </w:p>
    <w:p w:rsidR="005728DD" w:rsidRDefault="005728DD" w:rsidP="005728DD">
      <w:pPr>
        <w:pStyle w:val="Extracto"/>
      </w:pPr>
      <w:r>
        <w:t>1.</w:t>
      </w:r>
      <w:r>
        <w:tab/>
        <w:t>Aplicación de doctrina sobre indemnización por responsabilidad patrimonial de la Administración de Justicia en casos de prisión provisional seguida de absolución (SSTC 85/2019 y 125/2019)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4163-2019, interpuesto por don Juan Carlos Asenjo Grande, representado por la procuradora de los tribunales doña Teresa del Rosario Campos Fraguas y asistido por la abogada doña María Dolores Pena Rey, contra la sentencia del Juzgado Central de lo Contencioso-Administrativo núm. 1 de 11 de abril de 2019 (procedimiento abreviado núm. 15-2019), que desestimó el recurso contencioso-administrativo interpuesto contra la resolución dictada por el secretario de Estado de Justicia, por delegación de la ministra de Justicia, de 31 de agosto de 2018 (expediente núm. 373-2017), que denegó la indemnización solicitada en concepto de responsabilidad patrimonial del Estado por prisión preventiva. Han intervenido el abogado del Estado y el Ministerio Fiscal. Ha sido ponente el magistrado don Alfredo Montoya Melgar.</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Mediante escrito presentado en el registro general de este tribunal el 3 de julio de 2019, la procuradora de los tribunales doña Teresa del Rosario Campos Fraguas, en nombre y representación de don Juan Carlos Asenjo Grande y bajo la dirección de la abogada doña </w:t>
      </w:r>
      <w:r>
        <w:lastRenderedPageBreak/>
        <w:t>María Dolores Pena Rey, interpuso recurso de amparo contra las resoluciones mencionadas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resolver este recurso de amparo son los siguientes:</w:t>
      </w:r>
    </w:p>
    <w:p w:rsidR="005728DD" w:rsidRDefault="005728DD" w:rsidP="005728DD">
      <w:pPr>
        <w:pStyle w:val="TextoNormal"/>
      </w:pPr>
    </w:p>
    <w:p w:rsidR="005728DD" w:rsidRDefault="005728DD" w:rsidP="005728DD">
      <w:pPr>
        <w:pStyle w:val="TextoNormal"/>
      </w:pPr>
      <w:r>
        <w:t>a) Con fecha 10 de julio de 2017, el recurrente en amparo formuló ante el Ministerio de Justicia reclamación indemnizatoria por responsabilidad patrimonial del Estado por la vía del art. 294 de la Ley Orgánica del Poder Judicial (LOPJ). Solicitó una indemnización de 10 000 € —más los intereses legales procedentes— con base en que había estado privado de libertad en situación de prisión preventiva desde el 22 de septiembre al 8 de octubre de 2019 en virtud de auto del Juzgado de Instrucción núm. 20 de Madrid, acordado en actuaciones judiciales seguidas por delitos de estafa, falsedad y usurpación de estado civil. De esta causa finalmente resultó absuelto, primero por sentencia núm. 392/2016 de la Sección Decimosexta de la Audiencia Provincial de Madrid de 11 de julio de 2016, posteriormente confirmada por sentencia de la Sala de lo Penal del Tribunal Supremo núm. 284/2017, de 19 de abril de 2017, al ser desestimado el recurso de casación interpuesto por la acusación particular.</w:t>
      </w:r>
    </w:p>
    <w:p w:rsidR="005728DD" w:rsidRDefault="005728DD" w:rsidP="005728DD">
      <w:pPr>
        <w:pStyle w:val="TextoNormal"/>
      </w:pPr>
    </w:p>
    <w:p w:rsidR="005728DD" w:rsidRDefault="005728DD" w:rsidP="005728DD">
      <w:pPr>
        <w:pStyle w:val="TextoNormal"/>
      </w:pPr>
      <w:r>
        <w:t>b) Esta reclamación dio lugar a la incoación del expediente de responsabilidad patrimonial del Estado núm. 373-2017, en el que su pretensión fue finalmente desestimada, de acuerdo con el criterio del Consejo de Estado, mediante resolución del secretario de Estado de Justicia de 31 de agosto de 2018, dictada por delegación de la ministra de Justicia, por entender que su absolución no se había producido por inexistencia objetiva del hecho.</w:t>
      </w:r>
    </w:p>
    <w:p w:rsidR="005728DD" w:rsidRDefault="005728DD" w:rsidP="005728DD">
      <w:pPr>
        <w:pStyle w:val="TextoNormal"/>
      </w:pPr>
    </w:p>
    <w:p w:rsidR="005728DD" w:rsidRDefault="005728DD" w:rsidP="005728DD">
      <w:pPr>
        <w:pStyle w:val="TextoNormal"/>
      </w:pPr>
      <w:r>
        <w:t>c) Contra la desestimación de la reclamación promovida, la representación procesal de don Juan Carlos Asenjo Grande interpuso recurso contencioso-administrativo el 17 de agosto de 2017, tramitándose como el procedimiento abreviado núm. 15-2019 de los de su clase, ante el Juzgado Central de lo Contencioso-Administrativo núm. 1.</w:t>
      </w:r>
    </w:p>
    <w:p w:rsidR="005728DD" w:rsidRDefault="005728DD" w:rsidP="005728DD">
      <w:pPr>
        <w:pStyle w:val="TextoNormal"/>
      </w:pPr>
    </w:p>
    <w:p w:rsidR="005728DD" w:rsidRDefault="005728DD" w:rsidP="005728DD">
      <w:pPr>
        <w:pStyle w:val="TextoNormal"/>
      </w:pPr>
      <w:r>
        <w:t>d) Por sentencia núm. 58/2019, de 11 de abril, el Juzgado Central de lo Contencioso-Administrativo núm. 1 desestimó el recurso conforme al siguiente razonamiento:</w:t>
      </w:r>
    </w:p>
    <w:p w:rsidR="005728DD" w:rsidRDefault="005728DD" w:rsidP="005728DD">
      <w:pPr>
        <w:pStyle w:val="TextoNormal"/>
      </w:pPr>
    </w:p>
    <w:p w:rsidR="005728DD" w:rsidRDefault="005728DD" w:rsidP="005728DD">
      <w:pPr>
        <w:pStyle w:val="TextoNormal"/>
      </w:pPr>
      <w:r>
        <w:t>“En definitiva, el art. 294 LOPJ se refiere un supuesto específico de error judicial que no requiere la previa declaración judicial del mismo, por referirse a supuesto en que la resolución penal de absolución o sobreseimiento libre se produce por ‘inexistencia de hecho imputado’ y no genéricamente por otros casos de absolución o sobreseimiento libre, por lo que cuando no concurre tal supuesto queda abierta la vía del art. 293.2 LOPJ para el caso que venía siendo indemnizado como inexistencia subjetiva.</w:t>
      </w:r>
    </w:p>
    <w:p w:rsidR="005728DD" w:rsidRDefault="005728DD" w:rsidP="005728DD">
      <w:pPr>
        <w:pStyle w:val="TextoNormal"/>
      </w:pPr>
    </w:p>
    <w:p w:rsidR="005728DD" w:rsidRDefault="005728DD" w:rsidP="005728DD">
      <w:pPr>
        <w:pStyle w:val="TextoNormal"/>
      </w:pPr>
      <w:r>
        <w:t>Pues bien, en el presente caso expresa la resolución recurrida que en el fallo de la sentencia de la sección decimosexta de la Audiencia Provincial de Madrid, el 11 de julio de 2016, no se declara la inexistencia del hecho imputado, requisito fijado por el art. 294 LOPJ para tener derecho a ser indemnizado […].</w:t>
      </w:r>
    </w:p>
    <w:p w:rsidR="005728DD" w:rsidRDefault="005728DD" w:rsidP="005728DD">
      <w:pPr>
        <w:pStyle w:val="TextoNormal"/>
      </w:pPr>
    </w:p>
    <w:p w:rsidR="005728DD" w:rsidRDefault="005728DD" w:rsidP="005728DD">
      <w:pPr>
        <w:pStyle w:val="TextoNormal"/>
      </w:pPr>
      <w:r>
        <w:t>Se ha de añadir que tales conclusiones no son contrarias a lo razonado en la STC 8/2017 de 19 de enero, que no altera la regulación legal expresada centrándose en la formación de los razonamientos argumentales en relación con la presunción de inocencia, por lo que acuerda es la retroacción de actuaciones” (FJ 2).</w:t>
      </w:r>
    </w:p>
    <w:p w:rsidR="005728DD" w:rsidRDefault="005728DD" w:rsidP="005728DD">
      <w:pPr>
        <w:pStyle w:val="TextoNormal"/>
      </w:pPr>
    </w:p>
    <w:p w:rsidR="005728DD" w:rsidRDefault="005728DD" w:rsidP="005728DD">
      <w:pPr>
        <w:pStyle w:val="TextoNormal"/>
      </w:pPr>
      <w:r w:rsidRPr="005728DD">
        <w:rPr>
          <w:rStyle w:val="NumeroAFNegritaCaracter"/>
        </w:rPr>
        <w:t>3</w:t>
      </w:r>
      <w:r>
        <w:t>. El recurrente alega vulneración de los artículos 17.1, 14 y 24.2 CE en relación con los artículos 6.2 y 5 del Convenio europeo de derechos humanos.</w:t>
      </w:r>
    </w:p>
    <w:p w:rsidR="005728DD" w:rsidRDefault="005728DD" w:rsidP="005728DD">
      <w:pPr>
        <w:pStyle w:val="TextoNormal"/>
      </w:pPr>
    </w:p>
    <w:p w:rsidR="005728DD" w:rsidRDefault="005728DD" w:rsidP="005728DD">
      <w:pPr>
        <w:pStyle w:val="TextoNormal"/>
      </w:pPr>
      <w:r>
        <w:t>Alega el recurrente, en primer lugar, que la sentencia recurrida “otorga, en aplicación del artículo 294 LOPJ, un tratamiento distinto a supuestos de hecho idénticos vulnerando el artículo 14 CE”. Con cita de la STC 60/2015, FJ 4, se argumenta que “el trato diferente que se aplica a quienes no son condenados por haberse probado la inexistencia del hecho y quienes lo han sido por otras razones, carece de justificación, es desproporcionada y vulnera el derecho a la igualdad”.</w:t>
      </w:r>
    </w:p>
    <w:p w:rsidR="005728DD" w:rsidRDefault="005728DD" w:rsidP="005728DD">
      <w:pPr>
        <w:pStyle w:val="TextoNormal"/>
      </w:pPr>
    </w:p>
    <w:p w:rsidR="005728DD" w:rsidRDefault="005728DD" w:rsidP="005728DD">
      <w:pPr>
        <w:pStyle w:val="TextoNormal"/>
      </w:pPr>
      <w:r>
        <w:t xml:space="preserve">Por lo que se refiere al derecho a la presunción de inocencia (arts. 24.2 CE y 6.2 CEDH), apoyándose en las SSTEDH de 25 de abril de 2006, caso </w:t>
      </w:r>
      <w:r w:rsidRPr="005728DD">
        <w:rPr>
          <w:i/>
        </w:rPr>
        <w:t>Puig Panella c. España</w:t>
      </w:r>
      <w:r>
        <w:t xml:space="preserve"> y de 13 de julio de 2010, caso </w:t>
      </w:r>
      <w:r w:rsidRPr="005728DD">
        <w:rPr>
          <w:i/>
        </w:rPr>
        <w:t>Tendam c. España</w:t>
      </w:r>
      <w:r>
        <w:t>, y en la STC 8/2017, se considera infringido porque “para decidir sobre si concurre o no responsabilidad de la administración de justicia por prisión provisional no seguida de condena no podrán utilizarse argumentos que directa o indirectamente afecten a la presunción de inocencia, puesto que violaría este derecho cualquier razonamiento que ponga en duda la inocencia del demandante, como el afirmar que la razón de la absolución deriva de la aplicación de los principios del proceso penal (presunción de inocencia) y no de la inexistencia del hecho delictivo”.</w:t>
      </w:r>
    </w:p>
    <w:p w:rsidR="005728DD" w:rsidRDefault="005728DD" w:rsidP="005728DD">
      <w:pPr>
        <w:pStyle w:val="TextoNormal"/>
      </w:pPr>
    </w:p>
    <w:p w:rsidR="005728DD" w:rsidRDefault="005728DD" w:rsidP="005728DD">
      <w:pPr>
        <w:pStyle w:val="TextoNormal"/>
      </w:pPr>
      <w:r>
        <w:t xml:space="preserve">Por último, en cuanto al derecho de libertad (art. 17.1 CE), alega que es cierto que todo ciudadano tiene el deber de tolerar las medidas legítimas que se adopten por el Estado en el seno de una investigación, pues no es otra cosa que el ejercicio del </w:t>
      </w:r>
      <w:r w:rsidRPr="005728DD">
        <w:rPr>
          <w:i/>
        </w:rPr>
        <w:t>ius puniendi</w:t>
      </w:r>
      <w:r>
        <w:t xml:space="preserve"> en aras del interés general. Pero, a su juicio, la privación legítima de libertad alcanza tal grado de injerencia sobre el ciudadano que supera toda obligación soportable en aras del interés general. Considera que esto lo ha tenido en cuenta el legislador cuando ha incluido en nuestro cuerpo normativo el artículo 294.1 LOPJ, y, sin embargo, en casos como el presente, el Estado no compensa a los ciudadanos que han sido absueltos por aplicación del principio de presunción de inocencia bajo el paraguas de un razonamiento retorcido que, como ha establecido el Tribunal Europeo Derechos Humanos y, recientemente, el Tribunal Constitucional en su sentencia de 20 de junio de 2019, vulnera los derechos fundamentales a la presunción de inocencia, a la igualdad y a la libertad.</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25 de enero de 2021, la Sección Primera de este tribunal acordó la admisión a trámite de la demanda de amparo presentada, apreciando que concurre en el recurso especial trascendencia constitucional porque la posible vulneración del derecho fundamental que se denuncia pudiera provenir de la ley o de otra disposición de carácter general [STC 155/2009, FJ 2 c)].</w:t>
      </w:r>
    </w:p>
    <w:p w:rsidR="005728DD" w:rsidRDefault="005728DD" w:rsidP="005728DD">
      <w:pPr>
        <w:pStyle w:val="TextoNormal"/>
      </w:pPr>
    </w:p>
    <w:p w:rsidR="005728DD" w:rsidRDefault="005728DD" w:rsidP="005728DD">
      <w:pPr>
        <w:pStyle w:val="TextoNormal"/>
      </w:pPr>
      <w:r>
        <w:t xml:space="preserve">En aplicación de lo dispuesto en el art. 51 LOTC se acordó dirigir igualmente comunicación al Juzgado Central de lo Contencioso-Administrativo núm. 1 a fin de que, en plazo que no exceda de diez días, remita certificación o fotocopia adverada de las actuaciones correspondientes al procedimiento abreviado 15-2019 debiendo previamente emplazarse, para que en el plazo de días puedan comparecer, si lo desean, en el recurso de amparo, a quienes hubieran sido parte en el procedimiento, excepto la parte recurrente en amparo. Y al ser el abogado del Estado, en representación de la administración, parte interesada, se acuerda también notificarle esta resolución, que le servirá de emplazamiento, para que en el </w:t>
      </w:r>
      <w:r>
        <w:lastRenderedPageBreak/>
        <w:t>plazo de diez días pueda comparecer, si lo estima pertinente, con traslado asimismo y a dichos efectos de copia de la demanda presentada.</w:t>
      </w:r>
    </w:p>
    <w:p w:rsidR="005728DD" w:rsidRDefault="005728DD" w:rsidP="005728DD">
      <w:pPr>
        <w:pStyle w:val="TextoNormal"/>
      </w:pPr>
    </w:p>
    <w:p w:rsidR="005728DD" w:rsidRDefault="005728DD" w:rsidP="005728DD">
      <w:pPr>
        <w:pStyle w:val="TextoNormal"/>
      </w:pPr>
      <w:r w:rsidRPr="005728DD">
        <w:rPr>
          <w:rStyle w:val="NumeroAFNegritaCaracter"/>
        </w:rPr>
        <w:t>5</w:t>
      </w:r>
      <w:r>
        <w:t>. El secretario de justicia de la Sección Primera de este tribunal, por diligencia de ordenación de 22 de febrero de 2021, acordó tener por personado al abogado del Estado.</w:t>
      </w:r>
    </w:p>
    <w:p w:rsidR="005728DD" w:rsidRDefault="005728DD" w:rsidP="005728DD">
      <w:pPr>
        <w:pStyle w:val="TextoNormal"/>
      </w:pPr>
    </w:p>
    <w:p w:rsidR="005728DD" w:rsidRDefault="005728DD" w:rsidP="005728DD">
      <w:pPr>
        <w:pStyle w:val="TextoNormal"/>
      </w:pPr>
      <w:r>
        <w:t>Por diligencia de ordenación de 23 de marzo de 2021 se tienen por recibidos los testimonios de las actuaciones remitidos por el Juzgado Central de lo Contencioso-Administrativo núm. 1, y, constando ya personado en la actuaciones el abogado del Estado en nombre y representación de la administración pública, a tenor de lo dispuesto en el art. 52 LOTC, se acuerda dar vista de las actuaciones al Ministerio Fiscal y a las partes personadas por plazo común de veinte días, para que dentro de dicho término puedan presentar las alegaciones que estimen pertinentes.</w:t>
      </w:r>
    </w:p>
    <w:p w:rsidR="005728DD" w:rsidRDefault="005728DD" w:rsidP="005728DD">
      <w:pPr>
        <w:pStyle w:val="TextoNormal"/>
      </w:pPr>
    </w:p>
    <w:p w:rsidR="005728DD" w:rsidRDefault="005728DD" w:rsidP="005728DD">
      <w:pPr>
        <w:pStyle w:val="TextoNormal"/>
      </w:pPr>
      <w:r w:rsidRPr="005728DD">
        <w:rPr>
          <w:rStyle w:val="NumeroAFNegritaCaracter"/>
        </w:rPr>
        <w:t>6</w:t>
      </w:r>
      <w:r>
        <w:t>. El demandante presentó sus alegaciones mediante escrito registrado el 16 de abril de 2021, reproduciendo, en esencia, las formuladas en su demanda de amparo.</w:t>
      </w:r>
    </w:p>
    <w:p w:rsidR="005728DD" w:rsidRDefault="005728DD" w:rsidP="005728DD">
      <w:pPr>
        <w:pStyle w:val="TextoNormal"/>
      </w:pPr>
    </w:p>
    <w:p w:rsidR="005728DD" w:rsidRDefault="005728DD" w:rsidP="005728DD">
      <w:pPr>
        <w:pStyle w:val="TextoNormal"/>
      </w:pPr>
      <w:r w:rsidRPr="005728DD">
        <w:rPr>
          <w:rStyle w:val="NumeroAFNegritaCaracter"/>
        </w:rPr>
        <w:t>7</w:t>
      </w:r>
      <w:r>
        <w:t>. El Ministerio Fiscal, por escrito registrado en este tribunal el 5 de mayo de 2021, interesa el otorgamiento del amparo “una vez que el origen de las lesiones al derecho a la presunción de inocencia y al derecho a la igualdad (art. 14 CE) se hallaría en la norma legal”. Entiende que, dado que en buena parte los planteamientos sustantivos introducidos en el debate son sustancialmente coincidentes con los abordados en la STC 125/2019, de 31 de octubre, se debe “reconocer el derecho del recurrente a que la decisión sobre su solicitud de indemnización se adopte, en cuanto a sus criterios rectores, de acuerdo a las exigencias constitucionales del art. 14 CE y del art. 24.2 CE señaladas en las SSTC 85/2019 y 125/2019”. En la primera de ellas, los incisos “por inexistencia objetiva del hecho imputado” y “por esta misma causa” del art. 294.1 LOPJ son declarados inconstitucionales y nulos por vulneración de los citados artículos.</w:t>
      </w:r>
    </w:p>
    <w:p w:rsidR="005728DD" w:rsidRDefault="005728DD" w:rsidP="005728DD">
      <w:pPr>
        <w:pStyle w:val="TextoNormal"/>
      </w:pPr>
    </w:p>
    <w:p w:rsidR="005728DD" w:rsidRDefault="005728DD" w:rsidP="005728DD">
      <w:pPr>
        <w:pStyle w:val="TextoNormal"/>
      </w:pPr>
      <w:r w:rsidRPr="005728DD">
        <w:rPr>
          <w:rStyle w:val="NumeroAFNegritaCaracter"/>
        </w:rPr>
        <w:t>8</w:t>
      </w:r>
      <w:r>
        <w:t>. El abogado del Estado, mediante escrito registrado el 21 de abril de 2021, interesa se dicte sentencia conforme a Derecho y, en caso de estimación del recurso, “se ordene […] la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aunque resulta de aplicación la STC 85/2019, de 19 de junio, y, por ello, ha de declararse la vulneración del derecho a la presunción de inocencia al haberse aplicado un inciso del art. 294.1 LOPJ declarado inconstitucional por su contradicción con el art. 24.2 CE, el fallo de la citada resolución “deja incólume la expresión ‘siempre que se hayan arrogado perjuicios’”, lo que implica que el resarcimiento no es automático y que no le corresponde al Tribunal Constitucional pronunciarse sobre la procedencia del resarcimiento determinando la realidad de los daños sino a la administración una vez depurado el art. 294.1 LOPJ de sus incisos inconstitucionales.</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17 de junio de 2021 se señaló para la deliberación y votación de la presente sentencia el día 21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TextoNormalNegritaCaracter"/>
        </w:rPr>
        <w:t xml:space="preserve">Único. </w:t>
      </w:r>
      <w:r w:rsidRPr="005728DD">
        <w:rPr>
          <w:i/>
        </w:rPr>
        <w:t>Remisión a las SSTC 85/2019 y</w:t>
      </w:r>
      <w:r>
        <w:t xml:space="preserve"> 125/2019.</w:t>
      </w:r>
    </w:p>
    <w:p w:rsidR="005728DD" w:rsidRDefault="005728DD" w:rsidP="005728DD">
      <w:pPr>
        <w:pStyle w:val="TextoNormal"/>
      </w:pPr>
    </w:p>
    <w:p w:rsidR="005728DD" w:rsidRDefault="005728DD" w:rsidP="005728DD">
      <w:pPr>
        <w:pStyle w:val="TextoNormal"/>
      </w:pPr>
      <w:r>
        <w:t>El presente recurso de amparo tiene por objeto la sentencia núm. 58/2019, de 11 de abril, del Juzgado Central de lo Contencioso-Administrativo núm. 1, recaída en procedimiento abreviado núm. 15-2019, y la resolución de 31 de agosto de 2018 del secretario de Estado del Ministerio de Justicia, denegatoria de la indemnización solicitada por haber sufrido el recurrente prisión provisional y ser absuelto posteriormente.</w:t>
      </w:r>
    </w:p>
    <w:p w:rsidR="005728DD" w:rsidRDefault="005728DD" w:rsidP="005728DD">
      <w:pPr>
        <w:pStyle w:val="TextoNormal"/>
      </w:pPr>
    </w:p>
    <w:p w:rsidR="005728DD" w:rsidRDefault="005728DD" w:rsidP="005728DD">
      <w:pPr>
        <w:pStyle w:val="TextoNormal"/>
      </w:pPr>
      <w:r>
        <w:t>Tanto el objeto del presente proceso constitucional como los planteamientos introducidos por las partes en el debate son sustancialmente coincidentes con los abordados por el Pleno del Tribunal Constitucional en la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5728DD" w:rsidRDefault="005728DD" w:rsidP="005728DD">
      <w:pPr>
        <w:pStyle w:val="TextoNormal"/>
      </w:pPr>
    </w:p>
    <w:p w:rsidR="005728DD" w:rsidRDefault="005728DD" w:rsidP="005728DD">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de 19 de junio, y 125/2019, de 31 de octubre. Por ello, la retroacción debe remontarse al momento anterior a dictarse la resolución del secretario de Estado de justicia de 31 de agosto de 2018,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la STC 125/2019, FJ 5.</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Juan Carlos Asenjo Grande y, en consecuencia:</w:t>
      </w:r>
    </w:p>
    <w:p w:rsidR="005728DD" w:rsidRDefault="005728DD" w:rsidP="005728DD">
      <w:pPr>
        <w:pStyle w:val="TextoNormal"/>
      </w:pPr>
    </w:p>
    <w:p w:rsidR="005728DD" w:rsidRDefault="005728DD" w:rsidP="005728DD">
      <w:pPr>
        <w:pStyle w:val="TextoNormal"/>
      </w:pPr>
      <w:r>
        <w:t>1º Declarar que han sido vulnerados sus derechos a la igualdad (art. 14 CE) y a la presunción de inocencia (art. 24.2 CE).</w:t>
      </w:r>
    </w:p>
    <w:p w:rsidR="005728DD" w:rsidRDefault="005728DD" w:rsidP="005728DD">
      <w:pPr>
        <w:pStyle w:val="TextoNormal"/>
      </w:pPr>
    </w:p>
    <w:p w:rsidR="005728DD" w:rsidRDefault="005728DD" w:rsidP="005728DD">
      <w:pPr>
        <w:pStyle w:val="TextoNormal"/>
      </w:pPr>
      <w:r>
        <w:t>2º Restablecerle en sus derechos y, a tal fin, declarar la nulidad de la sentencia núm. 58/2019, de 11 de abril, del Juzgado Central de lo Contencioso-Administrativo núm. 1, recaída en procedimiento abreviado núm. 15-2019, y de la resolución de 31 de agosto de 2018 del secretario de Estado del Ministerio de Justicia dictada en el expediente núm. 373-2017.</w:t>
      </w:r>
    </w:p>
    <w:p w:rsidR="005728DD" w:rsidRDefault="005728DD" w:rsidP="005728DD">
      <w:pPr>
        <w:pStyle w:val="TextoNormal"/>
      </w:pPr>
    </w:p>
    <w:p w:rsidR="005728DD" w:rsidRDefault="005728DD" w:rsidP="005728DD">
      <w:pPr>
        <w:pStyle w:val="TextoNormal"/>
      </w:pPr>
      <w:r>
        <w:lastRenderedPageBreak/>
        <w:t>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veintiuno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1" w:name="SENTENCIA_2021_128"/>
      <w:r>
        <w:lastRenderedPageBreak/>
        <w:t>SENTENCIA 128/2021, de 21 de junio de 2021</w:t>
      </w:r>
    </w:p>
    <w:bookmarkEnd w:id="131"/>
    <w:p w:rsidR="005728DD" w:rsidRDefault="005728DD" w:rsidP="005728DD">
      <w:pPr>
        <w:pStyle w:val="TtuloResolucin"/>
      </w:pPr>
      <w:r>
        <w:t>Sala Primera</w:t>
      </w:r>
    </w:p>
    <w:p w:rsidR="005728DD" w:rsidRDefault="005728DD" w:rsidP="005728DD">
      <w:pPr>
        <w:pStyle w:val="TtuloBOE"/>
      </w:pPr>
      <w:r>
        <w:t>(BOE núm. 182, de 31 de julio de 2021)</w:t>
      </w:r>
    </w:p>
    <w:p w:rsidR="005728DD" w:rsidRDefault="005728DD" w:rsidP="005728DD">
      <w:pPr>
        <w:pStyle w:val="TextoNormalCentrado"/>
      </w:pPr>
      <w:r>
        <w:t>ECLI:ES:TC:2021:128</w:t>
      </w:r>
    </w:p>
    <w:p w:rsidR="005728DD" w:rsidRDefault="005728DD" w:rsidP="005728DD">
      <w:pPr>
        <w:pStyle w:val="TextoNormalCentrado"/>
      </w:pPr>
    </w:p>
    <w:p w:rsidR="005728DD" w:rsidRDefault="005728DD" w:rsidP="005728DD">
      <w:pPr>
        <w:pStyle w:val="SntesisDescriptiva"/>
      </w:pPr>
      <w:r>
        <w:t>Recurso de amparo 7161-2019. Promovido por don Mauricio Ospina Villegas en relación con las resoluciones dictadas por las salas de lo contencioso-administrativo del Tribunal Supremo y de la Audiencia Nacional en procedimiento por responsabilidad patrimonial de la administración de Justicia.</w:t>
      </w:r>
    </w:p>
    <w:p w:rsidR="005728DD" w:rsidRDefault="005728DD" w:rsidP="005728DD">
      <w:pPr>
        <w:pStyle w:val="SntesisDescriptiva"/>
      </w:pPr>
    </w:p>
    <w:p w:rsidR="005728DD" w:rsidRDefault="005728DD" w:rsidP="005728DD">
      <w:pPr>
        <w:pStyle w:val="SntesisAnaltica"/>
      </w:pPr>
      <w:r>
        <w:t>Vulneración de los derechos a la igualdad y a la presunción de inocencia: STC 125/2019 (denegación de indemnización resultante de la aplicación del precepto legal anulado por la STC 85/2019, de 19 de junio).</w:t>
      </w:r>
    </w:p>
    <w:p w:rsidR="005728DD" w:rsidRDefault="005728DD" w:rsidP="005728DD">
      <w:pPr>
        <w:pStyle w:val="SntesisAnaltica"/>
      </w:pPr>
    </w:p>
    <w:p w:rsidR="005728DD" w:rsidRDefault="005728DD" w:rsidP="005728DD">
      <w:pPr>
        <w:pStyle w:val="Extracto"/>
      </w:pPr>
      <w:r>
        <w:t>1.</w:t>
      </w:r>
      <w:r>
        <w:tab/>
        <w:t>Aplicación de doctrina sobre indemnización por responsabilidad patrimonial de la Administración de Justicia en casos de prisión provisional seguida de absolución (SSTC 85/2019 y 125/2019)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7161-2019, interpuesto por el procurador de los tribunales don Leonardo Ruiz Benito, en nombre y representación de don Mauricio Ospina Villegas, asistido por la abogada doña Sandra Saavedra Arias, contra la sentencia de 4 de abril de 2019 de la Sección Tercera de la Sala de lo Contencioso-Administrativo de la Audiencia Nacional. En ella se desestima el recurso contencioso-administrativo núm. 61-2018 interpuesto frente a la resolución del secretario de Estado de justicia de 2 de junio de 2017 (expediente núm. 211-2016), denegatoria de la indemnización solicitada por haber sufrido prisión provisional y ser absuelto posteriormente. Fue confirmada en reposición por resolución de 9 de abril de 2018. Del mismo modo contra la providencia de la Sección Primera de la Sala de lo Contencioso-Administrativo del Tribunal Supremo de 11 de noviembre de 2019, que inadmite el recurso de casación núm. 4591-2019 interpuesto contra la referida sentencia. Han intervenido el abogado del Estado y el Ministerio Fiscal. Ha sido ponente el magistrado don Andrés Ollero Tassara.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11 de diciembre de 2019, el procurador de los tribunales don Leonardo Ruiz Benito, en nombre y representación de don Mauricio Ospina Villegas, interpuso recurso de amparo contra las resoluciones judiciales mencionadas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en que se fundamenta la demanda de amparo son, en síntesis, los que seguidamente se relacionan.</w:t>
      </w:r>
    </w:p>
    <w:p w:rsidR="005728DD" w:rsidRDefault="005728DD" w:rsidP="005728DD">
      <w:pPr>
        <w:pStyle w:val="TextoNormal"/>
      </w:pPr>
    </w:p>
    <w:p w:rsidR="005728DD" w:rsidRDefault="005728DD" w:rsidP="005728DD">
      <w:pPr>
        <w:pStyle w:val="TextoNormal"/>
      </w:pPr>
      <w:r>
        <w:t>a) El demandante de amparo presentó el 3 de mayo de 2016 ante el Ministerio de Justicia reclamación indemnizatoria por responsabilidad patrimonial del Estado por la vía del art. 294 de la Ley Orgánica del Poder Judicial (en adelante, LOPJ). La reclamación se fundaba en que había sufrido privación de libertad desde el 22 de diciembre de 2012 hasta el 30 de diciembre de 2013; primero como detenido y luego en prisión provisional, al ser imputado por un presunto delito contra la salud pública, siendo finalmente absuelto de todos los cargos por sentencia de 4 de mayo de 2015 de la Sección Quinta de la Audiencia Provincial de Valencia (procedimiento ordinario núm. 61-2018).</w:t>
      </w:r>
    </w:p>
    <w:p w:rsidR="005728DD" w:rsidRDefault="005728DD" w:rsidP="005728DD">
      <w:pPr>
        <w:pStyle w:val="TextoNormal"/>
      </w:pPr>
    </w:p>
    <w:p w:rsidR="005728DD" w:rsidRDefault="005728DD" w:rsidP="005728DD">
      <w:pPr>
        <w:pStyle w:val="TextoNormal"/>
      </w:pPr>
      <w:r>
        <w:t xml:space="preserve">b) Contra la desestimación presunta de su reclamación interpuso el demandante de amparo recurso contencioso-administrativo, dando lugar al procedimiento ordinario núm. 61-2019 de la Sección Tercera de la Sala de lo Contencioso-Administrativo de la Audiencia Nacional. En su demanda, con invocación de la sentencia del Tribunal Europeo de Derechos Humanos de 13 de julio de 2010, asunto </w:t>
      </w:r>
      <w:r w:rsidRPr="005728DD">
        <w:rPr>
          <w:i/>
        </w:rPr>
        <w:t>Tendam c. España</w:t>
      </w:r>
      <w:r>
        <w:t>, alegaba la vulneración del derecho a la presunción de inocencia y solicitaba ser indemnizado, conforme a lo previsto en el art. 121 CE y en los arts. 292.1 y 294.1 LOPJ, en la suma total de 326 629,90 €, por los daños derivados de la privación de libertad sufrida.</w:t>
      </w:r>
    </w:p>
    <w:p w:rsidR="005728DD" w:rsidRDefault="005728DD" w:rsidP="005728DD">
      <w:pPr>
        <w:pStyle w:val="TextoNormal"/>
      </w:pPr>
    </w:p>
    <w:p w:rsidR="005728DD" w:rsidRDefault="005728DD" w:rsidP="005728DD">
      <w:pPr>
        <w:pStyle w:val="TextoNormal"/>
      </w:pPr>
      <w:r>
        <w:t>Como quiera que la reclamación fuera al fin desestimada expresamente por resolución de 2 de junio de 2017 del secretario de Estado de Justicia (por delegación del ministro), el demandante interpuso contra la misma recurso de reposición, que fue desestimado por resolución de 9 de abril de 2018. Frente a ambas resoluciones amplió el demandante su recurso contencioso-administrativo.</w:t>
      </w:r>
    </w:p>
    <w:p w:rsidR="005728DD" w:rsidRDefault="005728DD" w:rsidP="005728DD">
      <w:pPr>
        <w:pStyle w:val="TextoNormal"/>
      </w:pPr>
    </w:p>
    <w:p w:rsidR="005728DD" w:rsidRDefault="005728DD" w:rsidP="005728DD">
      <w:pPr>
        <w:pStyle w:val="TextoNormal"/>
      </w:pPr>
      <w:r>
        <w:t>c) Por sentencia de 4 de abril de 2019, la Sección Tercera de la Sala de lo Contencioso-Administrativo de la Audiencia Nacional desestimó la pretensión del demandante. Se razona que, conforme al cambio de criterio jurisprudencial sobre el art. 294.1 LOPJ, introducido por el Tribunal Supremo en dos sentencias de 23 de noviembre de 2010, solo cabría responsabilidad patrimonial por funcionamiento anormal de la administración de justicia por la vía del art. 294.1 LOPJ cuando estuviésemos ante la inexistencia objetiva del hecho. Esta no se aprecia en el presente caso, ya que si bien la sentencia de la Sección Quinta de la Audiencia Provincial de Valencia absolvió al demandante, tal absolución no se fundó en la inexistencia objetiva de los hechos que subyacían en la acusación, que se declararon probados en una anterior sentencia del mismo tribunal de 3 de noviembre de 2011 respecto de otra acusada, que resultó así condenada. El tribunal estimó que contra el demandante no había prueba consistente para un pronunciamiento condenatorio, al existir una alternativa posible a la tesis de la acusación.</w:t>
      </w:r>
    </w:p>
    <w:p w:rsidR="005728DD" w:rsidRDefault="005728DD" w:rsidP="005728DD">
      <w:pPr>
        <w:pStyle w:val="TextoNormal"/>
      </w:pPr>
    </w:p>
    <w:p w:rsidR="005728DD" w:rsidRDefault="005728DD" w:rsidP="005728DD">
      <w:pPr>
        <w:pStyle w:val="TextoNormal"/>
      </w:pPr>
      <w:r>
        <w:t>Por ello concluye la Audiencia Nacional que la reclamación de indemnización del demandante ha de desestimarse, “pues en la actual configuración de la institución de la responsabilidad patrimonial por prisión preventiva en el ordenamiento jurídico español la indemnización no está ligada sin más a un pronunciamiento absolutorio, sino que requiere además que dicho pronunciamiento se deba a la acreditada inexistencia del hecho imputado, siendo así que en el supuesto enjuiciado este último requisito no concurre”.</w:t>
      </w:r>
    </w:p>
    <w:p w:rsidR="005728DD" w:rsidRDefault="005728DD" w:rsidP="005728DD">
      <w:pPr>
        <w:pStyle w:val="TextoNormal"/>
      </w:pPr>
    </w:p>
    <w:p w:rsidR="005728DD" w:rsidRDefault="005728DD" w:rsidP="005728DD">
      <w:pPr>
        <w:pStyle w:val="TextoNormal"/>
      </w:pPr>
      <w:r>
        <w:t>d) Contra la sentencia de la Audiencia Nacional interpuso el demandante recurso de casación, que fue inadmitido por providencia de la Sección Primera de la Sala de lo Contencioso-Administrativo del Tribunal Supremo de 11 de noviembre de 2019 (recurso de casación núm. 4591-2019), por incumplimiento de las exigencias que para el escrito de preparación establece el art. 89.2 LJCA. En particular, por falta de fundamentación suficiente de la concurrencia de los supuestos que permiten apreciar el interés casacional objetivo y la conveniencia de un pronunciamiento del Tribunal Supremo.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En la demanda de amparo se aduce la vulneración de los derechos a la igualdad ante la ley (art. 14 CE), a la libertad (art. 17.1 CE), a la tutela judicial efectiva (art. 24.1 CE), y a un proceso con todas las garantías, así como a la presunción de inocencia (art. 24.2 CE). Con cita de doctrina constitucional (SSTC 8/2017, de 19 de enero, 10/2017, de 30 de enero, y 85/2019, de 19 de junio), así como del Tribunal Europeo de Derechos Humanos (sentencias de 13 de julio de 2010, asunto </w:t>
      </w:r>
      <w:r w:rsidRPr="005728DD">
        <w:rPr>
          <w:i/>
        </w:rPr>
        <w:t>Tendam c. España</w:t>
      </w:r>
      <w:r>
        <w:t xml:space="preserve">, y de 25 de abril de 2016, asunto </w:t>
      </w:r>
      <w:r w:rsidRPr="005728DD">
        <w:rPr>
          <w:i/>
        </w:rPr>
        <w:t>Puig Panella c. España</w:t>
      </w:r>
      <w:r>
        <w:t>), El demandante sostiene que los derechos fundamentales invocados resultan vulnerados al denegársele indebidamente la compensación reclamada por los daños sufridos como consecuencia del tiempo que estuvo privado de libertad, al haber sido acordada su prisión preventiva en una causa penal en la que finalmente resultó absuelto.</w:t>
      </w:r>
    </w:p>
    <w:p w:rsidR="005728DD" w:rsidRDefault="005728DD" w:rsidP="005728DD">
      <w:pPr>
        <w:pStyle w:val="TextoNormal"/>
      </w:pPr>
    </w:p>
    <w:p w:rsidR="005728DD" w:rsidRDefault="005728DD" w:rsidP="005728DD">
      <w:pPr>
        <w:pStyle w:val="TextoNormal"/>
      </w:pPr>
      <w:r w:rsidRPr="005728DD">
        <w:rPr>
          <w:rStyle w:val="NumeroAFNegritaCaracter"/>
        </w:rPr>
        <w:t>4</w:t>
      </w:r>
      <w:r>
        <w:t>. Por providencia de 15 de febrero de 2021, la Sección Segunda de este tribunal acordó admitir a trámite el recurso de amparo, apreciando que concurre una especial trascendencia constitucional (art. 50.1 LOTC), como consecuencia de que la vulneración del derecho fundamental que se denuncia pudiera provenir de la ley o de otra disposición de carácter general [STC 155/2009, FJ 2 c)]. Por ello, en aplicación de lo dispuesto en el art. 51 de la Ley Orgánica del Tribunal Constitucional (LOTC), se ordena dirigir atenta comunicación a la Sección Primera de la Sala de lo Contencioso-Administrativo del Tribunal Supremo y a la Sección Tercera de la Sala de lo Contencioso-Administrativo de la Audiencia Nacional, para que, en plazo que no exceda de diez días, remitan respectivamente certificación o fotocopia adverada de las actuaciones correspondientes al recurso de casación núm. 4591-2019 y al procedimiento ordinario núm. 61-2018; debiendo asimismo emplazarse a quienes hubieran sido parte en dicho procedimiento, excepto al recurrente en amparo, a fin de que puedan comparecer, si lo desean, en el presente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Primera de este Tribunal, por diligencia de ordenación de 22 de marzo de 2021, acordó tener por personado y parte en el presente proceso constitucional al abogado del Estado. Acordó asimismo dar vista de las actuaciones recibidas a las partes personadas y al Ministerio Fiscal, por plazo común de veinte días, para presentar las alegaciones que estimasen pertinentes, de conformidad con el art. 52.1 LOTC.</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6</w:t>
      </w:r>
      <w:r>
        <w:t>. El 22 de abril de 2021 tuvo entrada en el registro de este tribunal el escrito de alegaciones del abogado del Estado.</w:t>
      </w:r>
    </w:p>
    <w:p w:rsidR="005728DD" w:rsidRDefault="005728DD" w:rsidP="005728DD">
      <w:pPr>
        <w:pStyle w:val="TextoNormal"/>
      </w:pPr>
    </w:p>
    <w:p w:rsidR="005728DD" w:rsidRDefault="005728DD" w:rsidP="005728DD">
      <w:pPr>
        <w:pStyle w:val="TextoNormal"/>
      </w:pPr>
      <w:r>
        <w:t>Después de resumir los antecedentes que consideró relevantes, puso de relieve que la STC 85/2019, de 19 de junio, en la que se declara la inconstitucionalidad y nulidad de los incisos del art. 294.1 LOPJ “por inexistencia del hecho imputado” y “por esta misma causa” deja incólume el inciso de ese precepto que dice: “siempre que se le hayan irrogado perjuicios”. De esta constatación, deduce que la sola acreditación del tiempo pasado en prisión preventiva, seguida de absolución, no genera un derecho automático al resarcimiento, pues el interesado ha de probar los supuestos daños acaecidos, más allá solo del hecho de haber padecido prisión por un tiempo determinado, “de acuerdo con la aplicación de criterios propios del Derecho general de daños”, conforme a las razones asentadas en el fundamento jurídico 13 de la indicada STC 85/2019. En aplicación de este principio, entiende la abogacía del Estado que la determinación de los posibles daños y perjuicios a resarcir, en su caso, no le corresponde al Tribunal Constitucional, sino que debe hacerse en un procedimiento autónomo y estrictamente sujeto a las reglas sustantivas y procesales del Derecho de daños.</w:t>
      </w:r>
    </w:p>
    <w:p w:rsidR="005728DD" w:rsidRDefault="005728DD" w:rsidP="005728DD">
      <w:pPr>
        <w:pStyle w:val="TextoNormal"/>
      </w:pPr>
    </w:p>
    <w:p w:rsidR="005728DD" w:rsidRDefault="005728DD" w:rsidP="005728DD">
      <w:pPr>
        <w:pStyle w:val="TextoNormal"/>
      </w:pPr>
      <w:r>
        <w:t>Por ello, en primer lugar solicita el abogado del Estado que se dicte sentencia conforme a Derecho. Y para el caso de que la sentencia que se dictase fuera de carácter estimatorio del amparo formulado, interesa que se ordene la retroacción de las actuaciones a la vía administrativa, a fin de que, de acuerdo con lo que dispone el art. 294 LOPJ y siguiendo siempre el cauce procedimental adecuado, se acrediten los posibles daños y perjuicios que, en su caso, hubiera podido sufrir el recurrente.</w:t>
      </w:r>
    </w:p>
    <w:p w:rsidR="005728DD" w:rsidRDefault="005728DD" w:rsidP="005728DD">
      <w:pPr>
        <w:pStyle w:val="TextoNormal"/>
      </w:pPr>
    </w:p>
    <w:p w:rsidR="005728DD" w:rsidRDefault="005728DD" w:rsidP="005728DD">
      <w:pPr>
        <w:pStyle w:val="TextoNormal"/>
      </w:pPr>
      <w:r w:rsidRPr="005728DD">
        <w:rPr>
          <w:rStyle w:val="NumeroAFNegritaCaracter"/>
        </w:rPr>
        <w:t>7</w:t>
      </w:r>
      <w:r>
        <w:t>. El Ministerio Fiscal, mediante escrito presentado en este tribunal el 5 de mayo de 2021, formuló sus alegaciones, solicitando la estimación del recurso de amparo.</w:t>
      </w:r>
    </w:p>
    <w:p w:rsidR="005728DD" w:rsidRDefault="005728DD" w:rsidP="005728DD">
      <w:pPr>
        <w:pStyle w:val="TextoNormal"/>
      </w:pPr>
    </w:p>
    <w:p w:rsidR="005728DD" w:rsidRDefault="005728DD" w:rsidP="005728DD">
      <w:pPr>
        <w:pStyle w:val="TextoNormal"/>
      </w:pPr>
      <w:r>
        <w:t>Tras compendiar los antecedentes que estimó de interés y el contenido de la demanda de amparo, trae a colación la doctrina establecida en los fundamentos jurídicos 4 y 5 de la STC 125/2019, de 31 de octubre. En ellos se determinaron los efectos que sobre el recurso de amparo, que aquella sentencia había de resolver, debía producir la STC 85/2019, que declaró la inconstitucionalidad de los incisos “inexistencia del hecho imputado” y “por esta misma causa” del art. 294.1 LOPJ y concretó el alcance que la estimación del amparo debía generar. En consecuencia, el fiscal estima que procede otorgar el amparo y reconocer el derecho del recurrente a que la decisión sobre su solicitud de indemnización se adopte, en cuanto a sus criterios rectores, de acuerdo con las exigencias de los arts. 14 y 24.2 CE señaladas en las SSTC 85/2019 y 125/2019.</w:t>
      </w:r>
    </w:p>
    <w:p w:rsidR="005728DD" w:rsidRDefault="005728DD" w:rsidP="005728DD">
      <w:pPr>
        <w:pStyle w:val="TextoNormal"/>
      </w:pPr>
    </w:p>
    <w:p w:rsidR="005728DD" w:rsidRDefault="005728DD" w:rsidP="005728DD">
      <w:pPr>
        <w:pStyle w:val="TextoNormal"/>
      </w:pPr>
      <w:r>
        <w:t xml:space="preserve">Advierte por último que, si bien de la literalidad del precepto depurado de su tacha de inconstitucionalidad cabría entender que cuando el proceso penal concluya con un pronunciamiento absolutorio (o de sobreseimiento libre) procederá la indemnización, resulta no obstante que de lo establecido en la STC 85/2019 no se desprende, por sí solo, que el derecho a la indemnización sea automático, por el mero hecho de que el solicitante haya sufrido prisión preventiva. En efecto, para determinar si procede la indemnización deberán aplicarse los criterios propios del Derecho general de daños (como puede ser la </w:t>
      </w:r>
      <w:r w:rsidRPr="005728DD">
        <w:rPr>
          <w:i/>
        </w:rPr>
        <w:t>compensatio lucri cum damno</w:t>
      </w:r>
      <w:r>
        <w:t xml:space="preserve"> o la relevancia causal de la conducta de la propia víctima). Por ello, “también en el caso subyacente, cabría el juego de estos criterios de atemperación o incluso rechazo </w:t>
      </w:r>
      <w:r>
        <w:lastRenderedPageBreak/>
        <w:t>total o parcial, tomando en cuenta las particulares circunstancias concurrentes que podrán valorar las autoridades administrativas y, en su caso, judiciales”.</w:t>
      </w:r>
    </w:p>
    <w:p w:rsidR="005728DD" w:rsidRDefault="005728DD" w:rsidP="005728DD">
      <w:pPr>
        <w:pStyle w:val="TextoNormal"/>
      </w:pPr>
    </w:p>
    <w:p w:rsidR="005728DD" w:rsidRDefault="005728DD" w:rsidP="005728DD">
      <w:pPr>
        <w:pStyle w:val="TextoNormal"/>
      </w:pPr>
      <w:r>
        <w:t>Por todo lo expuesto, el fiscal interesa que se declaren vulnerados los derechos fundamentales del demandante a la igualdad (art. 14 CE) y a la presunción de inocencia (art. 24.2 CE); que se anulen tanto las resoluciones judiciales impugnadas como la resolución del secretario de Estado de Justicia que denegó la reclamación de responsabilidad patrimonial formulada por el demandante, así como la que la confirma en reposición. Igualmente que se retrotraigan las actuaciones al momento anterior al dictado de la resolución administrativa inicial, para que la administración resuelva esa reclamación en términos respetuosos con los derechos fundamentales del demandante a la igualdad y a la presunción de inocencia.</w:t>
      </w:r>
    </w:p>
    <w:p w:rsidR="005728DD" w:rsidRDefault="005728DD" w:rsidP="005728DD">
      <w:pPr>
        <w:pStyle w:val="TextoNormal"/>
      </w:pPr>
    </w:p>
    <w:p w:rsidR="005728DD" w:rsidRDefault="005728DD" w:rsidP="005728DD">
      <w:pPr>
        <w:pStyle w:val="TextoNormal"/>
      </w:pPr>
      <w:r w:rsidRPr="005728DD">
        <w:rPr>
          <w:rStyle w:val="NumeroAFNegritaCaracter"/>
        </w:rPr>
        <w:t>8</w:t>
      </w:r>
      <w:r>
        <w:t>. El procurador del demandante de amparo no formuló alegaciones.</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17 de junio de 2021 se señaló para la deliberación y votación de la presente sentencia el día 21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TextoNormalNegritaCaracter"/>
        </w:rPr>
        <w:t xml:space="preserve">Único. </w:t>
      </w:r>
      <w:r w:rsidRPr="005728DD">
        <w:rPr>
          <w:i/>
        </w:rPr>
        <w:t>Remisión a lo resuelto en las SSTC 85/2019, de 19 de junio, y 125/2019, de 31 de octubre</w:t>
      </w:r>
      <w:r>
        <w:t>.</w:t>
      </w:r>
    </w:p>
    <w:p w:rsidR="005728DD" w:rsidRDefault="005728DD" w:rsidP="005728DD">
      <w:pPr>
        <w:pStyle w:val="TextoNormal"/>
      </w:pPr>
    </w:p>
    <w:p w:rsidR="005728DD" w:rsidRDefault="005728DD" w:rsidP="005728DD">
      <w:pPr>
        <w:pStyle w:val="TextoNormal"/>
      </w:pPr>
      <w:r>
        <w:t>El presente recurso de amparo tiene por objeto la resolución del secretario de Estado de justicia de 2 de junio de 2017 (expediente núm. 211-2016), confirmada en reposición por resolución de 9 de abril de 2018, que rechazó la reclamación formulada por el recurrente de responsabilidad patrimonial del Estado por haber sufrido prisión provisional, siendo posteriormente absuelto. Igualmente la sentencia de 4 de abril de 2019 de la Sección Tercera de la Sala de lo Contencioso-Administrativo de la Audiencia Nacional, que desestimó el recurso contencioso-administrativo núm. 61-2018 interpuesto contra dicha resolución; así como la providencia de la Sección Primera de la Sala de lo Contencioso-Administrativo del Tribunal Supremo de 11 de noviembre de 2019, que inadmite el recurso de casación núm. 4519-2019, interpuesto contra dicha sentencia.</w:t>
      </w:r>
    </w:p>
    <w:p w:rsidR="005728DD" w:rsidRDefault="005728DD" w:rsidP="005728DD">
      <w:pPr>
        <w:pStyle w:val="TextoNormal"/>
      </w:pPr>
    </w:p>
    <w:p w:rsidR="005728DD" w:rsidRDefault="005728DD" w:rsidP="005728DD">
      <w:pPr>
        <w:pStyle w:val="TextoNormal"/>
      </w:pPr>
      <w:r>
        <w:t>Tanto el objeto del presente proceso constitucional como los planteamientos sustantivos introducidos por las partes en el debate de este recurso son sustancialmente coincidentes con los que ya han sido abordados por el Pleno del Tribunal Constitucional en los fundamentos jurídicos 4 y 5 de la STC 125/2019, de 31 de octubre. En ella se determinaron los efectos que, sobre el recurso de amparo que se resuelve en esa sentencia, debía producir la STC 85/2019, de 19 de junio, del Pleno, por la que se declaró la inconstitucionalidad de los incisos “inexistencia del hecho imputado” y “por esta misma causa” del art. 294.1 de la Ley Orgánica del Poder Judicial, concretándose el alcance que la estimación del amparo debía producir. Por tanto, a tales fundamentos jurídicos hemos de remitirnos.</w:t>
      </w:r>
    </w:p>
    <w:p w:rsidR="005728DD" w:rsidRDefault="005728DD" w:rsidP="005728DD">
      <w:pPr>
        <w:pStyle w:val="TextoNormal"/>
      </w:pPr>
    </w:p>
    <w:p w:rsidR="005728DD" w:rsidRDefault="005728DD" w:rsidP="005728DD">
      <w:pPr>
        <w:pStyle w:val="TextoNormal"/>
      </w:pPr>
      <w:r>
        <w:t xml:space="preserve">Procede, en consecuencia, otorgar el amparo y reconocer el derecho del recurrente a que la decisión sobre su solicitud de indemnización se adopte, en cuanto a sus criterios rectores, de acuerdo con las exigencias constitucionales del art. 14 CE y del art. 24.2 CE señaladas </w:t>
      </w:r>
      <w:r>
        <w:lastRenderedPageBreak/>
        <w:t>en las SSTC 85/2019 y 125/2019. Por ello, la retroacción debe remontarse al momento anterior a dictarse la resolución del secretario de Estado de justicia de 2 de junio de 2017, que denegó la indemnización y que origina la lesión de los derechos fundamentales a la igualdad y a la presunción de inocencia, para que la administración resuelva de nuevo la controversia planteada conforme a las exigencias de los arts. 14 y 24.2 CE, en los términos indicados en las SSTC 85/2019, FJ 13, y 125/2019, FJ 5.</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Mauricio Ospina Villegas y, en su virtud:</w:t>
      </w:r>
    </w:p>
    <w:p w:rsidR="005728DD" w:rsidRDefault="005728DD" w:rsidP="005728DD">
      <w:pPr>
        <w:pStyle w:val="TextoNormal"/>
      </w:pPr>
    </w:p>
    <w:p w:rsidR="005728DD" w:rsidRDefault="005728DD" w:rsidP="005728DD">
      <w:pPr>
        <w:pStyle w:val="TextoNormal"/>
      </w:pPr>
      <w:r>
        <w:t>1º Declarar que han sido vulnerados sus derechos a la igualdad (art. 14 CE) y a la presunción de inocencia (art. 24.2 CE).</w:t>
      </w:r>
    </w:p>
    <w:p w:rsidR="005728DD" w:rsidRDefault="005728DD" w:rsidP="005728DD">
      <w:pPr>
        <w:pStyle w:val="TextoNormal"/>
      </w:pPr>
    </w:p>
    <w:p w:rsidR="005728DD" w:rsidRDefault="005728DD" w:rsidP="005728DD">
      <w:pPr>
        <w:pStyle w:val="TextoNormal"/>
      </w:pPr>
      <w:r>
        <w:t>2º Restablecerlo en sus derechos y, a tal fin, declarar la nulidad de la providencia de la Sección Primera de la Sala de lo Contencioso-Administrativo del Tribunal Supremo de 11 de noviembre de 2019, dictada en el recurso de casación núm. 4591-2019; la de la sentencia de 4 de abril de 2019 de la Sección Tercera de la Sala de lo Contencioso-Administrativo de la Audiencia Nacional, dictada en el procedimiento ordinario núm. 61-2018; y la de la resolución del secretario de Estado de justicia de 2 de junio de 2017, recaída en el expediente núm. 211-2016, así como la de la resolución de 9 de abril de 2018, que la confirma en reposición.</w:t>
      </w:r>
    </w:p>
    <w:p w:rsidR="005728DD" w:rsidRDefault="005728DD" w:rsidP="005728DD">
      <w:pPr>
        <w:pStyle w:val="TextoNormal"/>
      </w:pPr>
    </w:p>
    <w:p w:rsidR="005728DD" w:rsidRDefault="005728DD" w:rsidP="005728DD">
      <w:pPr>
        <w:pStyle w:val="TextoNormal"/>
      </w:pPr>
      <w:r>
        <w:t>3º Retrotraer las actuaciones al momento anterior al dictado de la resolución de 2 de junio de 2017, para que se resuelva la reclamación de responsabilidad patrimonial de forma respetuosa con los derechos fundamentales vulnerados.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veintiuno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2" w:name="SENTENCIA_2021_129"/>
      <w:r>
        <w:lastRenderedPageBreak/>
        <w:t>SENTENCIA 129/2021, de 21 de junio de 2021</w:t>
      </w:r>
    </w:p>
    <w:bookmarkEnd w:id="132"/>
    <w:p w:rsidR="005728DD" w:rsidRDefault="005728DD" w:rsidP="005728DD">
      <w:pPr>
        <w:pStyle w:val="TtuloResolucin"/>
      </w:pPr>
      <w:r>
        <w:t>Sala Primera</w:t>
      </w:r>
    </w:p>
    <w:p w:rsidR="005728DD" w:rsidRDefault="005728DD" w:rsidP="005728DD">
      <w:pPr>
        <w:pStyle w:val="TtuloBOE"/>
      </w:pPr>
      <w:r>
        <w:t>(BOE núm. 182, de 31 de julio de 2021)</w:t>
      </w:r>
    </w:p>
    <w:p w:rsidR="005728DD" w:rsidRDefault="005728DD" w:rsidP="005728DD">
      <w:pPr>
        <w:pStyle w:val="TextoNormalCentrado"/>
      </w:pPr>
      <w:r>
        <w:t>ECLI:ES:TC:2021:129</w:t>
      </w:r>
    </w:p>
    <w:p w:rsidR="005728DD" w:rsidRDefault="005728DD" w:rsidP="005728DD">
      <w:pPr>
        <w:pStyle w:val="TextoNormalCentrado"/>
      </w:pPr>
    </w:p>
    <w:p w:rsidR="005728DD" w:rsidRDefault="005728DD" w:rsidP="005728DD">
      <w:pPr>
        <w:pStyle w:val="SntesisDescriptiva"/>
      </w:pPr>
      <w:r>
        <w:t>Recurso de amparo 7583-2019.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5728DD" w:rsidRDefault="005728DD" w:rsidP="005728DD">
      <w:pPr>
        <w:pStyle w:val="SntesisAnaltica"/>
      </w:pPr>
    </w:p>
    <w:p w:rsidR="005728DD" w:rsidRDefault="005728DD" w:rsidP="005728DD">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(STC  40/2020)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7583-2019, promovido por Penrei Inversiones, S.L., representada por la procuradora de los tribunales doña Blanca Berriatua Horta y bajo la dirección de la letrada doña Anju Nirmala Benavent Rodríguez, contra los autos de 20 de noviembre de 2018 y 11 de septiembre de 2019 dictados por el Juzgado de Primera Instancia e Instrucción núm. 4 de Lorca en el proceso de ejecución hipotecaria núm. 362-2018. Ha intervenido la entidad Pera Assets Designated Activity Company, representada por la procuradora delos tribunales doña maría Claudia Munteanu y asistida por el abogado don Alejandro Ingram Solís. Ha intervenido el Ministerio Fiscal. Ha sido ponente el magistrado don Andrés Ollero Tassara.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30 de diciembre de 2019 la entidad mercantil Penrei Inversiones, S.L., representada por la procuradora de los tribunales doña Blanca Berriatua Horta, con asistencia letrada de doña Anju Nirmala Rodríguez Benavent, interpone recurso contra las resoluciones mencionadas en el encabezamiento de esta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resolver el presente recurso de amparo son los siguientes:</w:t>
      </w:r>
    </w:p>
    <w:p w:rsidR="005728DD" w:rsidRDefault="005728DD" w:rsidP="005728DD">
      <w:pPr>
        <w:pStyle w:val="TextoNormal"/>
      </w:pPr>
    </w:p>
    <w:p w:rsidR="005728DD" w:rsidRDefault="005728DD" w:rsidP="005728DD">
      <w:pPr>
        <w:pStyle w:val="TextoNormal"/>
      </w:pPr>
      <w:r>
        <w:t>a) En el Juzgado de Primera Instancia e Instrucción núm. 4 de Lorca se sigue procedimiento de ejecución hipotecaria núm. 362-2018 promovido por la entidad Banco de Sabadell, S.A., frente a la sociedad Penrei Inversiones, S.L., en calidad de titular de un derecho de uso respecto del inmueble afectado.</w:t>
      </w:r>
    </w:p>
    <w:p w:rsidR="005728DD" w:rsidRDefault="005728DD" w:rsidP="005728DD">
      <w:pPr>
        <w:pStyle w:val="TextoNormal"/>
      </w:pPr>
    </w:p>
    <w:p w:rsidR="005728DD" w:rsidRDefault="005728DD" w:rsidP="005728DD">
      <w:pPr>
        <w:pStyle w:val="TextoNormal"/>
      </w:pPr>
      <w:r>
        <w:t>b) Despachada ejecución por auto de 26 de junio de 2018, el servicio de notificaciones de la Fábrica Nacional de Moneda y Timbre remite a la demandante de amparo, a través de la dirección electrónica habilitada, un aviso de notificación. Informa de que la notificación estará disponible desde el 3 de julio hasta el 18 de agosto. El 3 de agosto la recurrente de amparo accede efectivamente a la página web y a la notificación.</w:t>
      </w:r>
    </w:p>
    <w:p w:rsidR="005728DD" w:rsidRDefault="005728DD" w:rsidP="005728DD">
      <w:pPr>
        <w:pStyle w:val="TextoNormal"/>
      </w:pPr>
    </w:p>
    <w:p w:rsidR="005728DD" w:rsidRDefault="005728DD" w:rsidP="005728DD">
      <w:pPr>
        <w:pStyle w:val="TextoNormal"/>
      </w:pPr>
      <w:r>
        <w:t>c) El 31 de agosto de 2018, la sociedad demandada formula oposición a la ejecución despachada. Por auto de 20 de noviembre del mismo año fue inadmitida por extemporánea.</w:t>
      </w:r>
    </w:p>
    <w:p w:rsidR="005728DD" w:rsidRDefault="005728DD" w:rsidP="005728DD">
      <w:pPr>
        <w:pStyle w:val="TextoNormal"/>
      </w:pPr>
    </w:p>
    <w:p w:rsidR="005728DD" w:rsidRDefault="005728DD" w:rsidP="005728DD">
      <w:pPr>
        <w:pStyle w:val="TextoNormal"/>
      </w:pPr>
      <w:r>
        <w:t>d) La sociedad ejecutada interpone recurso de reposición. Alega que las diligencias de notificación y requerimiento se realizaron el 3 de agosto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005728DD" w:rsidRDefault="005728DD" w:rsidP="005728DD">
      <w:pPr>
        <w:pStyle w:val="TextoNormal"/>
      </w:pPr>
    </w:p>
    <w:p w:rsidR="005728DD" w:rsidRDefault="005728DD" w:rsidP="005728DD">
      <w:pPr>
        <w:pStyle w:val="TextoNormal"/>
      </w:pPr>
      <w:r>
        <w:t>e) El recurso fue desestimado por auto de 11 de septiembre de 2019. El órgano judicial reafirma que la notificación se practicó el 29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términos procesales.</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5728DD" w:rsidRDefault="005728DD" w:rsidP="005728DD">
      <w:pPr>
        <w:pStyle w:val="TextoNormal"/>
      </w:pPr>
    </w:p>
    <w:p w:rsidR="005728DD" w:rsidRDefault="005728DD" w:rsidP="005728DD">
      <w:pPr>
        <w:pStyle w:val="TextoNormal"/>
      </w:pPr>
      <w:r w:rsidRPr="005728DD">
        <w:rPr>
          <w:rStyle w:val="NumeroAFNegritaCaracter"/>
        </w:rPr>
        <w:t>4</w:t>
      </w:r>
      <w:r>
        <w:t>. Mediante providencia de 29 de junio de 2020, la Sección Segunda de este tribunal acuerda inadmitir a trámite el recurso de amparo por carecer de especial trascendencia constitucional. Recurrida en súplica por el Ministerio Fiscal, la Sección, mediante ATC 118/2020, de 9 de octubre, la declara nula y acuerda admitir a trámite 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diligencia de ordenación de 21 de octubre de 2020, el secretario de justicia acuerda formar la oportuna pieza para dar trámite al incidente de suspensión. Cumplido dicho trámite, la Sala Primera de este tribunal, mediante ATC 162/2020, de 14 de diciembre, deniega la suspensión cautelar solicitada y ordena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escrito registrado el 18 de diciembre de 2020, la entidad Pera Assets Designated Activity Company, representada por la procuradora de los tribunales doña María Claudia Munteanu y bajo la dirección letrada de don Alejandro Ingram Solís, hace constar que la entidad Banco Sabadell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diligencia de ordenación de 6 de abril de 2021, la secretaria de justicia de la Sala Primera tiene por recibidos los testimonios de las actuaciones remitidos por el juzgado y por personada en el presente proceso a la mercantil Pera Assets Designated Activity Company. Conforme al art. 52 LOTC, da un plazo de veinte días al Ministerio Fiscal y a las partes para la vista del expediente y la formulación de las alegaciones que a su derecho convengan.</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El Ministerio Fiscal presenta su escrito de alegaciones, registrado en este tribunal el 27 de abril de 2021.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47/2019,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trasladar al referido demandado las copias presentadas en papel. A la vista de tales preceptos y de la referida STC 47/2019, el fiscal concluye que el juzgado no debió prescindir de la notificación personal. Al hacerlo, habría vulnerado el art. 24.1 CE. Además, el juez no tuvo en cuenta que la información contenida en el aviso llevó a la ejecutada a la creencia de que disponía de plazo para acceder a la notificación. Destaca, en fin, que la doctrina de aquella sentencia está reiterándose en todas y cada una de las que están resolviendo recursos de </w:t>
      </w:r>
      <w:r>
        <w:lastRenderedPageBreak/>
        <w:t>amparo interpuestos por Euroinversiones Inmobiliarias Costa Sur, S.L., y Penrei Inversiones, S.L., contra autos de idéntico contenido a los aquí impugnados.</w:t>
      </w:r>
    </w:p>
    <w:p w:rsidR="005728DD" w:rsidRDefault="005728DD" w:rsidP="005728DD">
      <w:pPr>
        <w:pStyle w:val="TextoNormal"/>
      </w:pPr>
    </w:p>
    <w:p w:rsidR="005728DD" w:rsidRDefault="005728DD" w:rsidP="005728DD">
      <w:pPr>
        <w:pStyle w:val="TextoNormal"/>
      </w:pPr>
      <w:r w:rsidRPr="005728DD">
        <w:rPr>
          <w:rStyle w:val="NumeroAFNegritaCaracter"/>
        </w:rPr>
        <w:t>9</w:t>
      </w:r>
      <w:r>
        <w:t>. El 7 de mayo de 2021 tiene entrada en el registro de este tribunal escrito de la recurrente en amparo, que ratifica las alegaciones expuestas en la demanda y trascribe en parte los fundamentos jurídicos de la STC 47/2019, de 8 de abril.</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17 de junio de 2021 se señala para votación y fallo del presente recurso el día 21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TextoNormalNegritaCaracter"/>
        </w:rPr>
        <w:t xml:space="preserve">Único. </w:t>
      </w:r>
      <w:r>
        <w:t>El presente recurso de amparo tiene por objeto la impugnación de los autos de 20 de noviembre de 2018 y 11 de septiembre de 2019 dictados por el Juzgado de Primera Instancia núm. 4 de Lorca en el proceso de ejecución hipotecaria núm. 362-2018. Según la entidad mercantil demandante de amparo, una interpretación irrazonable de la legislación procesal le habría privado injustamente de su derecho a formular oposición a la ejecución hipotecaria. El requerimiento de pago y alternativo derecho a oponerse a la demanda ejecutiva debió realizarse de manera personal en su domicilio social con entrega en papel de la documentación, al tratarse de un primer emplazamiento. Al dar por buena su notificación mediante el servicio de dirección electrónica habilitada de la Fábrica Nacional de Moneda y Timbre e inadmitir por extemporánea la oposición a la ejecución,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20 de noviembre de 2018, a fin de que el juzgado admita a trámite su oposición al despacho de ejecución.</w:t>
      </w:r>
    </w:p>
    <w:p w:rsidR="005728DD" w:rsidRDefault="005728DD" w:rsidP="005728DD">
      <w:pPr>
        <w:pStyle w:val="TextoNormal"/>
      </w:pPr>
    </w:p>
    <w:p w:rsidR="005728DD" w:rsidRDefault="005728DD" w:rsidP="005728DD">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5728DD" w:rsidRDefault="005728DD" w:rsidP="005728DD">
      <w:pPr>
        <w:pStyle w:val="TextoNormal"/>
      </w:pPr>
    </w:p>
    <w:p w:rsidR="005728DD" w:rsidRDefault="005728DD" w:rsidP="005728DD">
      <w:pPr>
        <w:pStyle w:val="TextoNormal"/>
      </w:pPr>
      <w:r>
        <w:t xml:space="preserve">La STC 40/2020, de 27 de febrero, ha estimado un recurso de amparo basado en los mismos motivos y dirigido contra autos de contenido muy similar de otro juzgado de primera instancia e instrucción de Lorca. Corresponde dar por reproducidos los fundamentos jurídicos de aquella sentencia y, en consecuencia, declarar que los autos de 20 de noviembre de 2018 y 11 de septiembre de 2019 del Juzgado de Primera Instancia e Instrucción núm. 4 de Lorca han vulnerado el derecho a la tutela judicial efectiva de la recurrente en amparo (art. 24.1 CE). Como en aquel caso y en los otros muchos en que hemos alcanzado análoga conclusión respecto de resoluciones del mismo tenor (por todas, STC 86/2021, de 19 de abril), la estimación del amparo trae consigo la nulidad de los autos recurridos, así como de todo lo actuado en el procedimiento hipotecario </w:t>
      </w:r>
      <w:r w:rsidRPr="005728DD">
        <w:rPr>
          <w:i/>
        </w:rPr>
        <w:t>a quo</w:t>
      </w:r>
      <w:r>
        <w:t xml:space="preserve"> desde el momento en que se proveyó al emplazamiento de la entidad mercantil solicitante de amparo a través de la dirección electrónica habilitada.</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mercantil Penrei Inversiones, S.L., y, en su virtud:</w:t>
      </w:r>
    </w:p>
    <w:p w:rsidR="005728DD" w:rsidRDefault="005728DD" w:rsidP="005728DD">
      <w:pPr>
        <w:pStyle w:val="TextoNormal"/>
      </w:pPr>
    </w:p>
    <w:p w:rsidR="005728DD" w:rsidRDefault="005728DD" w:rsidP="005728DD">
      <w:pPr>
        <w:pStyle w:val="TextoNormal"/>
      </w:pPr>
      <w:r>
        <w:t>1º Declarar que ha sido vulnerado el derecho fundamental de la recurrente en amparo a la tutela judicial efectiva sin indefensión (art. 24.1 CE).</w:t>
      </w:r>
    </w:p>
    <w:p w:rsidR="005728DD" w:rsidRDefault="005728DD" w:rsidP="005728DD">
      <w:pPr>
        <w:pStyle w:val="TextoNormal"/>
      </w:pPr>
    </w:p>
    <w:p w:rsidR="005728DD" w:rsidRDefault="005728DD" w:rsidP="005728DD">
      <w:pPr>
        <w:pStyle w:val="TextoNormal"/>
      </w:pPr>
      <w:r>
        <w:t>2º Restablecerla en su derecho y, en consecuencia, declarar la nulidad de los autos de 20 de noviembre de 2018 y 11 de septiembre de 2019 dictados por el Juzgado de Primera Instancia e Instrucción núm. 4 de Lorca en el proceso de ejecución hipotecaria núm. 362-2018, así como la nulidad de las actuaciones realizadas a partir del emplazamiento de la entidad recurrente a través de la dirección electrónica habilitada.</w:t>
      </w:r>
    </w:p>
    <w:p w:rsidR="005728DD" w:rsidRDefault="005728DD" w:rsidP="005728DD">
      <w:pPr>
        <w:pStyle w:val="TextoNormal"/>
      </w:pPr>
    </w:p>
    <w:p w:rsidR="005728DD" w:rsidRDefault="005728DD" w:rsidP="005728DD">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veintiuno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3" w:name="SENTENCIA_2021_130"/>
      <w:r>
        <w:lastRenderedPageBreak/>
        <w:t>SENTENCIA 130/2021, de 21 de junio de 2021</w:t>
      </w:r>
    </w:p>
    <w:bookmarkEnd w:id="133"/>
    <w:p w:rsidR="005728DD" w:rsidRDefault="005728DD" w:rsidP="005728DD">
      <w:pPr>
        <w:pStyle w:val="TtuloResolucin"/>
      </w:pPr>
      <w:r>
        <w:t>Sala Primera</w:t>
      </w:r>
    </w:p>
    <w:p w:rsidR="005728DD" w:rsidRDefault="005728DD" w:rsidP="005728DD">
      <w:pPr>
        <w:pStyle w:val="TtuloBOE"/>
      </w:pPr>
      <w:r>
        <w:t>(BOE núm. 182, de 31 de julio de 2021)</w:t>
      </w:r>
    </w:p>
    <w:p w:rsidR="005728DD" w:rsidRDefault="005728DD" w:rsidP="005728DD">
      <w:pPr>
        <w:pStyle w:val="TextoNormalCentrado"/>
      </w:pPr>
      <w:r>
        <w:t>ECLI:ES:TC:2021:130</w:t>
      </w:r>
    </w:p>
    <w:p w:rsidR="005728DD" w:rsidRDefault="005728DD" w:rsidP="005728DD">
      <w:pPr>
        <w:pStyle w:val="TextoNormalCentrado"/>
      </w:pPr>
    </w:p>
    <w:p w:rsidR="005728DD" w:rsidRDefault="005728DD" w:rsidP="005728DD">
      <w:pPr>
        <w:pStyle w:val="SntesisDescriptiva"/>
      </w:pPr>
      <w:r>
        <w:t>Recurso de amparo 872-2020. Promovido por la Confederación General del Trabajo respecto de la sentencia dictada por la Sala de lo Social del Tribunal Supremo en proceso de conflicto colectivo.</w:t>
      </w:r>
    </w:p>
    <w:p w:rsidR="005728DD" w:rsidRDefault="005728DD" w:rsidP="005728DD">
      <w:pPr>
        <w:pStyle w:val="SntesisDescriptiva"/>
      </w:pPr>
    </w:p>
    <w:p w:rsidR="005728DD" w:rsidRDefault="005728DD" w:rsidP="005728DD">
      <w:pPr>
        <w:pStyle w:val="SntesisAnaltica"/>
      </w:pPr>
      <w:r>
        <w:t>Supuesta vulneración de los derechos a la tutela judicial efectiva y a libertad sindical en relación con el derecho de huelga: calificación de huelga abusiva resultante de la negativa de los cinco comités de huelga actuantes a constituir una comisión negociadora con composición ajustada a la normativa reguladora.</w:t>
      </w:r>
    </w:p>
    <w:p w:rsidR="005728DD" w:rsidRDefault="005728DD" w:rsidP="005728DD">
      <w:pPr>
        <w:pStyle w:val="SntesisAnaltica"/>
      </w:pPr>
    </w:p>
    <w:p w:rsidR="005728DD" w:rsidRDefault="005728DD" w:rsidP="005728DD">
      <w:pPr>
        <w:pStyle w:val="Extracto"/>
      </w:pPr>
      <w:r>
        <w:t>1.</w:t>
      </w:r>
      <w:r>
        <w:tab/>
        <w:t xml:space="preserve">Dada la trascendencia que para la tutela judicial tienen las decisiones de denegación de acceso a la jurisdicción, su control constitucional ha de verificarse de forma especialmente intensa, a través de los criterios que proporciona el principio </w:t>
      </w:r>
      <w:r w:rsidRPr="005728DD">
        <w:rPr>
          <w:i/>
        </w:rPr>
        <w:t>pro actione</w:t>
      </w:r>
      <w:r>
        <w:t>,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(SSTC 112/2019, 80/2020, 89/2020 o 141/2020) [FJ 2].</w:t>
      </w:r>
    </w:p>
    <w:p w:rsidR="005728DD" w:rsidRDefault="005728DD" w:rsidP="005728DD">
      <w:pPr>
        <w:pStyle w:val="Extracto"/>
      </w:pPr>
    </w:p>
    <w:p w:rsidR="005728DD" w:rsidRDefault="005728DD" w:rsidP="005728DD">
      <w:pPr>
        <w:pStyle w:val="Extracto"/>
      </w:pPr>
      <w:r>
        <w:t>2.</w:t>
      </w:r>
      <w:r>
        <w:tab/>
        <w:t>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(164/2002) [FJ 2].</w:t>
      </w:r>
    </w:p>
    <w:p w:rsidR="005728DD" w:rsidRDefault="005728DD" w:rsidP="005728DD">
      <w:pPr>
        <w:pStyle w:val="Extracto"/>
      </w:pPr>
    </w:p>
    <w:p w:rsidR="005728DD" w:rsidRDefault="005728DD" w:rsidP="005728DD">
      <w:pPr>
        <w:pStyle w:val="Extracto"/>
      </w:pPr>
      <w:r>
        <w:t>3.</w:t>
      </w:r>
      <w:r>
        <w:tab/>
        <w:t>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y 164/2002) [FJ 2].</w:t>
      </w:r>
    </w:p>
    <w:p w:rsidR="005728DD" w:rsidRDefault="005728DD" w:rsidP="005728DD">
      <w:pPr>
        <w:pStyle w:val="Extracto"/>
      </w:pPr>
    </w:p>
    <w:p w:rsidR="005728DD" w:rsidRDefault="005728DD" w:rsidP="005728DD">
      <w:pPr>
        <w:pStyle w:val="Extracto"/>
      </w:pPr>
      <w:r>
        <w:t>4.</w:t>
      </w:r>
      <w:r>
        <w:tab/>
        <w:t>Dentro del contenido esencial del derecho a la libertad sindical se integra el derecho de huelga. En efecto, el artículo 28.1 CE integra, además de la vertiente organizativa de la libertad sindical, los derechos de actividad y medios de acción de los sindicatos —huelga, negociación colectiva, promoción de conflictos—, que constituyen el núcleo mínimo, indispensable e indisponible de la libertad sindical (SSTC 64/2016 o 123/2018) [FJ 3].</w:t>
      </w:r>
    </w:p>
    <w:p w:rsidR="005728DD" w:rsidRDefault="005728DD" w:rsidP="005728DD">
      <w:pPr>
        <w:pStyle w:val="Extracto"/>
      </w:pPr>
    </w:p>
    <w:p w:rsidR="005728DD" w:rsidRDefault="005728DD" w:rsidP="005728DD">
      <w:pPr>
        <w:pStyle w:val="Extracto"/>
      </w:pPr>
      <w:r>
        <w:t>5.</w:t>
      </w:r>
      <w:r>
        <w:tab/>
        <w:t xml:space="preserve">Aun cuando del tenor literal del art. 28.1 CE pudiera deducirse la restricción del contenido de la libertad sindical a una vertiente exclusivamente organizativa o </w:t>
      </w:r>
      <w:r>
        <w:lastRenderedPageBreak/>
        <w:t>asociativa, en virtud de una interpretación sistemática de los arts. 7 y 28 CE, efectuada según el canon hermenéutico del art. 10.2 CE -que llama a los textos internacionales ratificados por España y, en este caso, convenios de la Organización Internacional del Trabajo núms. 87 y 98, señaladamente-, la  enumeración de derechos efectuada en el mencionado art. 28.1. CE no se realiza con el carácter de</w:t>
      </w:r>
      <w:r w:rsidRPr="005728DD">
        <w:rPr>
          <w:i/>
        </w:rPr>
        <w:t xml:space="preserve"> numerus clausus </w:t>
      </w:r>
      <w:r>
        <w:t>(SSTC 94/1995 o 281/2005) [FJ 3].</w:t>
      </w:r>
    </w:p>
    <w:p w:rsidR="005728DD" w:rsidRDefault="005728DD" w:rsidP="005728DD">
      <w:pPr>
        <w:pStyle w:val="Extracto"/>
      </w:pPr>
    </w:p>
    <w:p w:rsidR="005728DD" w:rsidRDefault="005728DD" w:rsidP="005728DD">
      <w:pPr>
        <w:pStyle w:val="Extracto"/>
      </w:pPr>
      <w:r>
        <w:t>6.</w:t>
      </w:r>
      <w:r>
        <w:tab/>
        <w:t>En el contenido del art. 28.1 CE se integra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(SSTC 94/1995 o 281/2005). Las anteriores expresiones del derecho fundamental (organizativas o asociativas y funcionales o de actividad) constituyen su núcleo mínimo e indisponible, el contenido esencial de la libertad sindical [FJ 3].</w:t>
      </w:r>
    </w:p>
    <w:p w:rsidR="005728DD" w:rsidRDefault="005728DD" w:rsidP="005728DD">
      <w:pPr>
        <w:pStyle w:val="Extracto"/>
      </w:pPr>
    </w:p>
    <w:p w:rsidR="005728DD" w:rsidRDefault="005728DD" w:rsidP="005728DD">
      <w:pPr>
        <w:pStyle w:val="Extracto"/>
      </w:pPr>
      <w:r>
        <w:t>7.</w:t>
      </w:r>
      <w:r>
        <w:tab/>
        <w:t xml:space="preserve">El derecho de los sindicatos a la huelga es un derecho constitucional reconocido en el art. 28.2 CE; derecho atribuido a los trabajadores </w:t>
      </w:r>
      <w:r w:rsidRPr="005728DD">
        <w:rPr>
          <w:i/>
        </w:rPr>
        <w:t>uti singuli</w:t>
      </w:r>
      <w:r>
        <w:t>, aunque tenga que ser ejercitado colectivamente mediante concierto o acuerdo entre ellos. Se incluyen en el ejercicio colectivo las facultades del derecho de huelga: la convocatoria o llamada, el establecimiento de las reivindicaciones, la publicidad o proyección, la negociación y, finalmente, la decisión de darla por terminada  (STC 11/1981) [FJ 3].</w:t>
      </w:r>
    </w:p>
    <w:p w:rsidR="005728DD" w:rsidRDefault="005728DD" w:rsidP="005728DD">
      <w:pPr>
        <w:pStyle w:val="Extracto"/>
      </w:pPr>
    </w:p>
    <w:p w:rsidR="005728DD" w:rsidRDefault="005728DD" w:rsidP="005728DD">
      <w:pPr>
        <w:pStyle w:val="Extracto"/>
      </w:pPr>
      <w:r>
        <w:t>8.</w:t>
      </w:r>
      <w:r>
        <w:tab/>
        <w:t>Si bien la titularidad del derecho de huelga pertenece a los trabajadores y que a cada uno de ellos corresponde el derecho de sumarse o no a las huelgas declaradas, las facultades en que consiste el ejercicio del derecho de huelga, en cuanto acción colectiva y concertada, corresponden tanto a los trabajadores como a sus representantes y a las organizaciones sindicales (STC 11/1981) [FJ 3].</w:t>
      </w:r>
    </w:p>
    <w:p w:rsidR="005728DD" w:rsidRDefault="005728DD" w:rsidP="005728DD">
      <w:pPr>
        <w:pStyle w:val="Extracto"/>
      </w:pPr>
    </w:p>
    <w:p w:rsidR="005728DD" w:rsidRDefault="005728DD" w:rsidP="005728DD">
      <w:pPr>
        <w:pStyle w:val="Extracto"/>
      </w:pPr>
      <w:r>
        <w:t>9.</w:t>
      </w:r>
      <w:r>
        <w:tab/>
        <w:t>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aceptados legalmente (STC 123/1992) [FJ 3].</w:t>
      </w:r>
    </w:p>
    <w:p w:rsidR="005728DD" w:rsidRDefault="005728DD" w:rsidP="005728DD">
      <w:pPr>
        <w:pStyle w:val="Extracto"/>
      </w:pPr>
    </w:p>
    <w:p w:rsidR="005728DD" w:rsidRDefault="005728DD" w:rsidP="005728DD">
      <w:pPr>
        <w:pStyle w:val="Extracto"/>
      </w:pPr>
      <w:r>
        <w:t>10.</w:t>
      </w:r>
      <w:r>
        <w:tab/>
        <w:t>El ejercicio del derecho de huelga puede quedar sometido en virtud de la ley a procedimiento o a algún tipo de formalismo o formalidad, porque el art. 53. CE permite que el legislador regule las ‘condiciones de ejercicio’ de los derechos fundamentales, siendo preciso que tales procedimientos y formalismos no sean arbitrarios, tengan por objeto proteger bienes e intereses constitucionalmente protegidos y que no sean tan rígidos o difíciles de cumplir que en la práctica hagan imposible el ejercicio del deber (STC 332/1994) [FJ 3].</w:t>
      </w:r>
    </w:p>
    <w:p w:rsidR="005728DD" w:rsidRDefault="005728DD" w:rsidP="005728DD">
      <w:pPr>
        <w:pStyle w:val="Extracto"/>
      </w:pPr>
    </w:p>
    <w:p w:rsidR="005728DD" w:rsidRDefault="005728DD" w:rsidP="005728DD">
      <w:pPr>
        <w:pStyle w:val="Extracto"/>
      </w:pPr>
      <w:r>
        <w:lastRenderedPageBreak/>
        <w:t>11.</w:t>
      </w:r>
      <w:r>
        <w:tab/>
        <w:t>La existencia del comité de huelga posee plena justificación. La huelga es un instrumento de defensa de intereses; tiene por objeto abrir una negociación, forzarla si se quiere y llegar a un compromiso o pacto. Es clara, por ello, la necesidad de decidir quiénes son las personas que tienen que llevar a cabo la negociación (STC 11/1981) [FJ 3].</w:t>
      </w:r>
    </w:p>
    <w:p w:rsidR="005728DD" w:rsidRDefault="005728DD" w:rsidP="005728DD">
      <w:pPr>
        <w:pStyle w:val="Extracto"/>
      </w:pPr>
    </w:p>
    <w:p w:rsidR="005728DD" w:rsidRDefault="005728DD" w:rsidP="005728DD">
      <w:pPr>
        <w:pStyle w:val="Extracto"/>
      </w:pPr>
      <w:r>
        <w:t>12.</w:t>
      </w:r>
      <w:r>
        <w:tab/>
        <w:t>El pacto de finalización de la huelga alcanza el mismo valor que el convenio colectivo. Tiene por ello que existir un instrumento de la negociación y la exigencia de la formación del comité de huelga responde claramente a esta necesidad. No se puede tildar de inconstitucional el deber de comunicar al empresario la formación del comité, ni la competencia que a este se atribuye para participar en las actuaciones (STC 11/1981) [FJ 3].</w:t>
      </w:r>
    </w:p>
    <w:p w:rsidR="005728DD" w:rsidRDefault="005728DD" w:rsidP="005728DD">
      <w:pPr>
        <w:pStyle w:val="Extracto"/>
      </w:pPr>
    </w:p>
    <w:p w:rsidR="005728DD" w:rsidRDefault="005728DD" w:rsidP="005728DD">
      <w:pPr>
        <w:pStyle w:val="Extracto"/>
      </w:pPr>
      <w:r>
        <w:t>13.</w:t>
      </w:r>
      <w:r>
        <w:tab/>
        <w:t>La necesaria designación de los componentes del comité de huelga entre trabajadores del centro afectado por el conflicto, se corresponde con la naturaleza y con las funciones del comité y no desconoce el protagonismo que corresponde a los sindicatos en el proceso de huelga. El comité es, por un lado, órgano de defensa y negociación con el objeto de llegar a una solución del conflicto y, además, debe garantizar durante la huelga la prestación de los servicios necesarios de seguridad y mantenimiento  (STC 11/1981) [FJ 3].</w:t>
      </w:r>
    </w:p>
    <w:p w:rsidR="005728DD" w:rsidRDefault="005728DD" w:rsidP="005728DD">
      <w:pPr>
        <w:pStyle w:val="Extracto"/>
      </w:pPr>
    </w:p>
    <w:p w:rsidR="005728DD" w:rsidRDefault="005728DD" w:rsidP="005728DD">
      <w:pPr>
        <w:pStyle w:val="Extracto"/>
      </w:pPr>
      <w:r>
        <w:t>14.</w:t>
      </w:r>
      <w:r>
        <w:tab/>
        <w:t>La afirmación de que el contenido esencial del derecho de huelga consiste en la cesación del trabajo en cualquiera de sus manifestaciones, no excluye por sí sola que el legislador al regular las condiciones de ejercicio del derecho de huelga, pueda entender que algunas particulares modalidades de cesación del trabajo pueden resultar abusivas; asimismo, es posible que remita este juicio en determinados casos a los tribunales de justicia (STC 11/1981) [FJ 3].</w:t>
      </w:r>
    </w:p>
    <w:p w:rsidR="005728DD" w:rsidRDefault="005728DD" w:rsidP="005728DD">
      <w:pPr>
        <w:pStyle w:val="Extracto"/>
      </w:pPr>
    </w:p>
    <w:p w:rsidR="005728DD" w:rsidRDefault="005728DD" w:rsidP="005728DD">
      <w:pPr>
        <w:pStyle w:val="Extracto"/>
      </w:pPr>
      <w:r>
        <w:t>15.</w:t>
      </w:r>
      <w:r>
        <w:tab/>
        <w:t>Los huelguistas tienen el derecho de incumplir transitoriamente el contrato, pero su ejercicio supone una limitación a la libertad del empresario y por ello exige una proporcionalidad y unos sacrificios mutuos, que hacen que cuando tales exigencias no se observen, las huelgas puedan considerarse abusivas  (STC 11/1981) [FJ 3].</w:t>
      </w:r>
    </w:p>
    <w:p w:rsidR="005728DD" w:rsidRDefault="005728DD" w:rsidP="005728DD">
      <w:pPr>
        <w:pStyle w:val="Extracto"/>
      </w:pPr>
    </w:p>
    <w:p w:rsidR="005728DD" w:rsidRDefault="005728DD" w:rsidP="005728DD">
      <w:pPr>
        <w:pStyle w:val="Extracto"/>
      </w:pPr>
      <w:r>
        <w:t>16.</w:t>
      </w:r>
      <w:r>
        <w:tab/>
        <w:t>Para que una huelga sea calificada de abusiva, no basta con que origine un daño a la empresa, sino que es preciso que el daño sea grave y que haya sido buscado por los huelguistas más allá de lo que es razonablemente requerido por la propia actividad conflictiva y por las exigencias inherentes a la presión que la huelga necesariamente implica (STC 41/1984) [FJ 4].</w:t>
      </w:r>
    </w:p>
    <w:p w:rsidR="005728DD" w:rsidRDefault="005728DD" w:rsidP="005728DD">
      <w:pPr>
        <w:pStyle w:val="Extracto"/>
      </w:pPr>
    </w:p>
    <w:p w:rsidR="005728DD" w:rsidRDefault="005728DD" w:rsidP="005728DD">
      <w:pPr>
        <w:pStyle w:val="Extracto"/>
      </w:pPr>
      <w:r>
        <w:t>17.</w:t>
      </w:r>
      <w:r>
        <w:tab/>
        <w:t xml:space="preserve">Si el comité de huelga con el que se llega a un acuerdo tiene legitimación suficiente para negociar un convenio colectivo, de acuerdo con lo dispuesto en el Estatuto de los trabajadores, ese acuerdo tendrá el valor de convenio colectivo estatutario con eficacia </w:t>
      </w:r>
      <w:r w:rsidRPr="005728DD">
        <w:rPr>
          <w:i/>
        </w:rPr>
        <w:t xml:space="preserve">erga omnes </w:t>
      </w:r>
      <w:r>
        <w:t>y los sindicatos minoritarios convocantes habrán quedado excluidos de su negociación, con el consiguiente riesgo de que el acuerdo pueda ser declarado nulo [FJ 4].</w:t>
      </w:r>
    </w:p>
    <w:p w:rsidR="005728DD" w:rsidRDefault="005728DD" w:rsidP="005728DD">
      <w:pPr>
        <w:pStyle w:val="Extracto"/>
      </w:pPr>
    </w:p>
    <w:p w:rsidR="005728DD" w:rsidRDefault="005728DD" w:rsidP="005728DD">
      <w:pPr>
        <w:pStyle w:val="Extracto"/>
      </w:pPr>
      <w:r>
        <w:lastRenderedPageBreak/>
        <w:t>18.</w:t>
      </w:r>
      <w:r>
        <w:tab/>
        <w:t>La exclusión de un sindicato de algunas comisiones creadas, por un pacto que no ha firmado ni al que se ha adherido, puede constituir lesión del derecho a la libertad sindical en cuanto que suponga una limitación y un desconocimiento del derecho a la negociación colectiva; y ello cuando se trata de comisiones ‘negociadoras’, con la función de establecer modificaciones del convenio o nuevas reglas no contenidas en el mismo (SSTC 73/1984 o 213/1991)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El recurso de amparo núm. 872-2020, ha sido promovido por la Confederación General del Trabajo, representada por la procuradora de los tribunales doña Valentina López Valero y asistida por el abogado don Raúl Maíllo García contra la sentencia de la Sala de lo Social del Tribunal Supremo de 25 de abril de 2019, que estimó el recurso de casación interpuesto por la representación legal de Ferrovial Servicios, S.A., contra la sentencia dictada por la Sala de lo Social de la Audiencia Nacional de 18 de julio de 2017, en actuaciones núm. 134/2017, y frente al auto de 20 de noviembre de 2019 dictado por el mismo órgano judicial en el que se desestimó el incidente de nulidad de actuaciones formulado contra la anterior resolución. Ha comparecido la mercantil Ferrovial Servicios, S.A., representada por el procurador de los tribunales don Álvaro Armando García de la Noceda de las Alas Pumariño, bajo la dirección letrada de don Óscar Muela Gijón, la Federación de Servicios a la Ciudadanía de Comisiones Obreras, representada por la procuradora de los tribunales doña María Jesús Ruíz Esteban, bajo la dirección letrada de don Enrique Lillo Pérez, y el Sindicato Ferroviario SF-Intersindical, representado por la procuradora de los tribunales doña Virginia Sánchez de León Herencia, bajo la dirección letrada de don Juan Durán Fuentes. Ha intervenido el Ministerio Fiscal. Ha sido ponente el magistrado don Santiago Martínez-Vares García.</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Por escrito presentado en el registro general de este tribunal el día 10 de febrero de 2020, la procuradora de los tribunales doña Valentina López Valero, actuando en nombre y representación de la Confederación General del Trabajo (CGT), asistida por el letrado don Raúl Maíllo Valero, interpuso recurso de amparo contra las dos resoluciones citadas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Los hechos de los que trae causa la presente demanda de amparo, relevantes para la resolución del recurso, son los siguientes:</w:t>
      </w:r>
    </w:p>
    <w:p w:rsidR="005728DD" w:rsidRDefault="005728DD" w:rsidP="005728DD">
      <w:pPr>
        <w:pStyle w:val="TextoNormal"/>
      </w:pPr>
    </w:p>
    <w:p w:rsidR="005728DD" w:rsidRDefault="005728DD" w:rsidP="005728DD">
      <w:pPr>
        <w:pStyle w:val="TextoNormal"/>
      </w:pPr>
      <w:r>
        <w:t>a) El 12 de enero de 2016 se constituyó la mesa negociadora del convenio colectivo de Ferrovial Servicios, S.A., para el personal de restauración y atención a bordo de los trenes de Red Nacional de los Ferrocarriles Españoles (RENFE), actuando por la parte social el comité intercentros, compuesto por siete representantes de Comisiones Obreras (CCOO), tres de la Unión General de Trabajadores (UGT), dos de CGT y uno del Sindicado Ferroviario (SF).</w:t>
      </w:r>
    </w:p>
    <w:p w:rsidR="005728DD" w:rsidRDefault="005728DD" w:rsidP="005728DD">
      <w:pPr>
        <w:pStyle w:val="TextoNormal"/>
      </w:pPr>
    </w:p>
    <w:p w:rsidR="005728DD" w:rsidRDefault="005728DD" w:rsidP="005728DD">
      <w:pPr>
        <w:pStyle w:val="TextoNormal"/>
      </w:pPr>
      <w:r>
        <w:t>b) El 9 de febrero de 2017 los sindicatos CCOO, UGT, CGT, SF y Unión Sindical Obrera (USO) intentaron alcanzar acuerdo ante la comisión paritaria del convenio con el fin de evitar la huelga, sin que la reunión llegara a buen fin. Ese mismo día los sindicatos señalados promovieron papeleta de mediación previa a la huelga. Los motivos de la huelga fueron los siguientes:</w:t>
      </w:r>
    </w:p>
    <w:p w:rsidR="005728DD" w:rsidRDefault="005728DD" w:rsidP="005728DD">
      <w:pPr>
        <w:pStyle w:val="TextoNormal"/>
      </w:pPr>
    </w:p>
    <w:p w:rsidR="005728DD" w:rsidRDefault="005728DD" w:rsidP="005728DD">
      <w:pPr>
        <w:pStyle w:val="TextoNormal"/>
      </w:pPr>
      <w:r>
        <w:t>“- La empresa ha comunicado a los representantes de los trabajadores mediante carta al efecto remitida a la comisión negociadora del convenio colectivo, la pérdida y decaimiento del convenio actual, siendo esta una agresión frontal a la negociación colectiva y a las relaciones laborales en su conjunto.</w:t>
      </w:r>
    </w:p>
    <w:p w:rsidR="005728DD" w:rsidRDefault="005728DD" w:rsidP="005728DD">
      <w:pPr>
        <w:pStyle w:val="TextoNormal"/>
      </w:pPr>
    </w:p>
    <w:p w:rsidR="005728DD" w:rsidRDefault="005728DD" w:rsidP="005728DD">
      <w:pPr>
        <w:pStyle w:val="TextoNormal"/>
      </w:pPr>
      <w:r>
        <w:t>- Que el 12 de enero de 2016 se iniciaron las negociaciones del convenio colectivo, habiéndose celebrado un gran número de reuniones en las cuales ha quedado demostrado las posturas totalmente antagónicas en aspectos esenciales de la negociación, tanto en los aspectos sociales como económicos, llegando a trasladar ofertas económicas cercanas a la congelación salarial que claramente generarían pérdidas de poder adquisitivo al conjunto de los trabajadores.</w:t>
      </w:r>
    </w:p>
    <w:p w:rsidR="005728DD" w:rsidRDefault="005728DD" w:rsidP="005728DD">
      <w:pPr>
        <w:pStyle w:val="TextoNormal"/>
      </w:pPr>
    </w:p>
    <w:p w:rsidR="005728DD" w:rsidRDefault="005728DD" w:rsidP="005728DD">
      <w:pPr>
        <w:pStyle w:val="TextoNormal"/>
      </w:pPr>
      <w:r>
        <w:t>- La empresa ha introducido durante todo el proceso de negociación un elemento que ha generado gran conflicto, pretendiendo modificar un importante número de acuerdos incluidos en el convenio colectivo que regula el sistema de programación de los turnos de trabajo con incidencia directa en materia económica y notable perjuicio en la conciliación de la vida personal y familiar.</w:t>
      </w:r>
    </w:p>
    <w:p w:rsidR="005728DD" w:rsidRDefault="005728DD" w:rsidP="005728DD">
      <w:pPr>
        <w:pStyle w:val="TextoNormal"/>
      </w:pPr>
    </w:p>
    <w:p w:rsidR="005728DD" w:rsidRDefault="005728DD" w:rsidP="005728DD">
      <w:pPr>
        <w:pStyle w:val="TextoNormal"/>
      </w:pPr>
      <w:r>
        <w:t>- La postura defendida por la empresa desde el inicio de las negociaciones entendemos que es desregular y empeora en su conjunto las condiciones laborales, destacando a modo de ejemplo las medidas que afectan a la jornada de trabajo del personal que presta servicio a bordo de los trenes, siendo por el contrario el objeto de la representación legal de los trabajadores el concluir avances en el objetivo de solucionar aspectos que vienen generando conflictos.</w:t>
      </w:r>
    </w:p>
    <w:p w:rsidR="005728DD" w:rsidRDefault="005728DD" w:rsidP="005728DD">
      <w:pPr>
        <w:pStyle w:val="TextoNormal"/>
      </w:pPr>
    </w:p>
    <w:p w:rsidR="005728DD" w:rsidRDefault="005728DD" w:rsidP="005728DD">
      <w:pPr>
        <w:pStyle w:val="TextoNormal"/>
      </w:pPr>
      <w:r>
        <w:t>- La empresa viene interpretando y aplicando el convenio colectivo con posicionamientos unilaterales y restrictivos que están generando un efecto desregulador de las condiciones laborales reduciendo los márgenes posibles de negociación en cada uno de los conflictos que se vienen produciendo.</w:t>
      </w:r>
    </w:p>
    <w:p w:rsidR="005728DD" w:rsidRDefault="005728DD" w:rsidP="005728DD">
      <w:pPr>
        <w:pStyle w:val="TextoNormal"/>
      </w:pPr>
    </w:p>
    <w:p w:rsidR="005728DD" w:rsidRDefault="005728DD" w:rsidP="005728DD">
      <w:pPr>
        <w:pStyle w:val="TextoNormal"/>
      </w:pPr>
      <w:r>
        <w:lastRenderedPageBreak/>
        <w:t>- Las posturas de las partes están alejadas en todas las materias que han venido siendo objeto de negociación recibiendo propuestas de la empresa que han sido trasladadas a la plantilla siendo rechazadas de forma mayoritaria.</w:t>
      </w:r>
    </w:p>
    <w:p w:rsidR="005728DD" w:rsidRDefault="005728DD" w:rsidP="005728DD">
      <w:pPr>
        <w:pStyle w:val="TextoNormal"/>
      </w:pPr>
    </w:p>
    <w:p w:rsidR="005728DD" w:rsidRDefault="005728DD" w:rsidP="005728DD">
      <w:pPr>
        <w:pStyle w:val="TextoNormal"/>
      </w:pPr>
      <w:r>
        <w:t>- La empresa ha comunicado a la representación legal de los trabajadores el inicio de un expediente de regulación temporal de empleo, habiendo citado a los representantes para iniciar el proceso el pasado 3 de febrero de 2017. Esta iniciativa influye de manera determinante en la situación actual generando un mayor grado de conflictividad”.</w:t>
      </w:r>
    </w:p>
    <w:p w:rsidR="005728DD" w:rsidRDefault="005728DD" w:rsidP="005728DD">
      <w:pPr>
        <w:pStyle w:val="TextoNormal"/>
      </w:pPr>
    </w:p>
    <w:p w:rsidR="005728DD" w:rsidRDefault="005728DD" w:rsidP="005728DD">
      <w:pPr>
        <w:pStyle w:val="TextoNormal"/>
      </w:pPr>
      <w:r>
        <w:t>El 14 de febrero de 2017 se intentó sin acuerdo la mediación ante el Servicio Interconfederal de Mediación y Arbitraje (SIMA).</w:t>
      </w:r>
    </w:p>
    <w:p w:rsidR="005728DD" w:rsidRDefault="005728DD" w:rsidP="005728DD">
      <w:pPr>
        <w:pStyle w:val="TextoNormal"/>
      </w:pPr>
    </w:p>
    <w:p w:rsidR="005728DD" w:rsidRDefault="005728DD" w:rsidP="005728DD">
      <w:pPr>
        <w:pStyle w:val="TextoNormal"/>
      </w:pPr>
      <w:r>
        <w:t>c) El 14 de febrero de 2017 CCOO convocó huelga en la empresa para los días 26 de febrero de 2017 hasta el 5 de marzo de 2017, notificándoselo a la Dirección General de Empleo, Los motivos de la huelga son los reflejados para la mediación conjunta. El comité de huelga estaba compuesto por doce miembros.</w:t>
      </w:r>
    </w:p>
    <w:p w:rsidR="005728DD" w:rsidRDefault="005728DD" w:rsidP="005728DD">
      <w:pPr>
        <w:pStyle w:val="TextoNormal"/>
      </w:pPr>
    </w:p>
    <w:p w:rsidR="005728DD" w:rsidRDefault="005728DD" w:rsidP="005728DD">
      <w:pPr>
        <w:pStyle w:val="TextoNormal"/>
      </w:pPr>
      <w:r>
        <w:t>d) El 15 de febrero de 2017 UGT convocó huelga para los mismos días y los mismos objetivos de CCOO, notificándoselo a la autoridad laboral. El comité de huelga estaba formado por once miembros.</w:t>
      </w:r>
    </w:p>
    <w:p w:rsidR="005728DD" w:rsidRDefault="005728DD" w:rsidP="005728DD">
      <w:pPr>
        <w:pStyle w:val="TextoNormal"/>
      </w:pPr>
    </w:p>
    <w:p w:rsidR="005728DD" w:rsidRDefault="005728DD" w:rsidP="005728DD">
      <w:pPr>
        <w:pStyle w:val="TextoNormal"/>
      </w:pPr>
      <w:r>
        <w:t>e) El 14 de febrero de 2017 convocó huelga CGT en las mismas fechas y con los mismos objetivos que CCOO y UGT. El comité de huelga estaba formado por seis miembros.</w:t>
      </w:r>
    </w:p>
    <w:p w:rsidR="005728DD" w:rsidRDefault="005728DD" w:rsidP="005728DD">
      <w:pPr>
        <w:pStyle w:val="TextoNormal"/>
      </w:pPr>
    </w:p>
    <w:p w:rsidR="005728DD" w:rsidRDefault="005728DD" w:rsidP="005728DD">
      <w:pPr>
        <w:pStyle w:val="TextoNormal"/>
      </w:pPr>
      <w:r>
        <w:t>f) El 15 de febrero de 2017 convocó huelga USO en las mismas condiciones expuestas. El comité de huelga estaba formado por cinco miembros.</w:t>
      </w:r>
    </w:p>
    <w:p w:rsidR="005728DD" w:rsidRDefault="005728DD" w:rsidP="005728DD">
      <w:pPr>
        <w:pStyle w:val="TextoNormal"/>
      </w:pPr>
    </w:p>
    <w:p w:rsidR="005728DD" w:rsidRDefault="005728DD" w:rsidP="005728DD">
      <w:pPr>
        <w:pStyle w:val="TextoNormal"/>
      </w:pPr>
      <w:r>
        <w:t>g) El 15 de febrero de 2017 convocó huelga el Sindicato Ferroviario SF-Intersindical por los mismos motivos que los anteriores sindicatos. El comité de huelga estaba formado por nueve miembros.</w:t>
      </w:r>
    </w:p>
    <w:p w:rsidR="005728DD" w:rsidRDefault="005728DD" w:rsidP="005728DD">
      <w:pPr>
        <w:pStyle w:val="TextoNormal"/>
      </w:pPr>
    </w:p>
    <w:p w:rsidR="005728DD" w:rsidRDefault="005728DD" w:rsidP="005728DD">
      <w:pPr>
        <w:pStyle w:val="TextoNormal"/>
      </w:pPr>
      <w:r>
        <w:t>h) El 15 de febrero de 2017 la empresa se reunió con los comités de huelga y les instó al nombramiento de uno solo, por considerar ilegal que haya cinco comités de huelga, sin que se alcanzara acuerdo en ese extremo, ni tampoco en la determinación de los servicios mínimos.</w:t>
      </w:r>
    </w:p>
    <w:p w:rsidR="005728DD" w:rsidRDefault="005728DD" w:rsidP="005728DD">
      <w:pPr>
        <w:pStyle w:val="TextoNormal"/>
      </w:pPr>
    </w:p>
    <w:p w:rsidR="005728DD" w:rsidRDefault="005728DD" w:rsidP="005728DD">
      <w:pPr>
        <w:pStyle w:val="TextoNormal"/>
      </w:pPr>
      <w:r>
        <w:t>i) El 19 de abril de 2017 se presentó demanda de conflicto colectivo por Ferrovial Servicios, S.A., promoviendo la declaración de ilegalidad de la huelga por irregularidades en su convocatoria y consecuente ejercicio abusivo del derecho de huelga, contra Sindicato Federal Ferroviario de CGT, Sindicato Federal Ferroviario de UGT, USO, Sección Sindical Estatal de CCOO en Ferrovial servicio de antención a bordo (SAB), y los comités de huelga designados por CCOO, UGT, CGT, SF-Intersindical y USO.</w:t>
      </w:r>
    </w:p>
    <w:p w:rsidR="005728DD" w:rsidRDefault="005728DD" w:rsidP="005728DD">
      <w:pPr>
        <w:pStyle w:val="TextoNormal"/>
      </w:pPr>
    </w:p>
    <w:p w:rsidR="005728DD" w:rsidRDefault="005728DD" w:rsidP="005728DD">
      <w:pPr>
        <w:pStyle w:val="TextoNormal"/>
      </w:pPr>
      <w:r>
        <w:t xml:space="preserve">La pretensión de la empresa se basaba en que los motivos y objeto de las convocatorias de huelga eran los mismos en los cinco casos, lo que, realmente suponía un único proceso de huelga, pese a lo que se habían constituido cinco comités de huelga diferentes que contaban con cuarenta y tres miembros en lugar de los doce que como máximo debe tener un comité de huelga (art. 5  del Real Decreto-ley 17/1977, de 4 de marzo, sobre relaciones de </w:t>
      </w:r>
      <w:r>
        <w:lastRenderedPageBreak/>
        <w:t>trabajo), lo que además hacía que esa composición fuese ineficaz para una negociación ágil, pues el número de negociadores de la parte social entorpecía y dificultaba la negociación. Por ello, entendía la empresa que se había hecho un uso abusivo y en fraude de ley del derecho de huelga, al convocar cinco diferentes con idéntico objeto, inicio y duración lo que hacía ilícitas las convocatorias y obligaba a los convocantes a repararle los perjuicios causados, pretensión esta última de la que desistió.</w:t>
      </w:r>
    </w:p>
    <w:p w:rsidR="005728DD" w:rsidRDefault="005728DD" w:rsidP="005728DD">
      <w:pPr>
        <w:pStyle w:val="TextoNormal"/>
      </w:pPr>
    </w:p>
    <w:p w:rsidR="005728DD" w:rsidRDefault="005728DD" w:rsidP="005728DD">
      <w:pPr>
        <w:pStyle w:val="TextoNormal"/>
      </w:pPr>
      <w:r>
        <w:t>j) La sentencia de la Sala de lo Social de la Audiencia Nacional de 18 de julio de 2017 desestimó la demanda de conflicto colectivo al entender, sustancialmente, que era lícito que cada sindicato hiciese una convocatoria de huelga, así como la forma en que esa convocatoria se había realizado, sin que apreciase ilegalidad alguna, ni que los convocantes hubiesen actuado en fraude de ley o de mala fe.</w:t>
      </w:r>
    </w:p>
    <w:p w:rsidR="005728DD" w:rsidRDefault="005728DD" w:rsidP="005728DD">
      <w:pPr>
        <w:pStyle w:val="TextoNormal"/>
      </w:pPr>
    </w:p>
    <w:p w:rsidR="005728DD" w:rsidRDefault="005728DD" w:rsidP="005728DD">
      <w:pPr>
        <w:pStyle w:val="TextoNormal"/>
      </w:pPr>
      <w:r>
        <w:t>Las razones de la desestimación de la demanda están en los fundamentos de derecho sexto y séptimo.</w:t>
      </w:r>
    </w:p>
    <w:p w:rsidR="005728DD" w:rsidRDefault="005728DD" w:rsidP="005728DD">
      <w:pPr>
        <w:pStyle w:val="TextoNormal"/>
      </w:pPr>
    </w:p>
    <w:p w:rsidR="005728DD" w:rsidRDefault="005728DD" w:rsidP="005728DD">
      <w:pPr>
        <w:pStyle w:val="TextoNormal"/>
      </w:pPr>
      <w:r>
        <w:t>Señala la Audiencia Nacional que “la negociación múltiple no es necesariamente un escenario indeseable para las empresas, quienes pueden alcanzar acuerdos con algunos comités de huelga y con otros no, lo cual no significa que la huelga vaya a prolongarse artificiosamente, puesto que, si los acuerdos alcanzados son positivos para los trabajadores, la consecuencia lógica será que no se mantengan en huelga, lo cual sucederá normalmente, cuando se alcancen acuerdos con los sindicatos mayoritarios, igual que sucedería en una negociación conjunta, debiendo destacarse, en cualquier caso, que si se alcanzara acuerdo con sujetos colectivos mayoritarios, lo acordado tendría valor de convenio colectivo, a tenor con lo dispuesto en el art. 8.2 del Real Decreto-ley sobre relaciones de trabajo, que será estatutario, cuando se cumplan los demás requisitos contenidos en el título III LET, en cuyo caso podría suceder que las demás huelgas se convirtieran sobrevenidamente en ilegales, de conformidad con el art. 11 d) del Real Decreto-ley sobre relaciones de trabajo”.</w:t>
      </w:r>
    </w:p>
    <w:p w:rsidR="005728DD" w:rsidRDefault="005728DD" w:rsidP="005728DD">
      <w:pPr>
        <w:pStyle w:val="TextoNormal"/>
      </w:pPr>
    </w:p>
    <w:p w:rsidR="005728DD" w:rsidRDefault="005728DD" w:rsidP="005728DD">
      <w:pPr>
        <w:pStyle w:val="TextoNormal"/>
      </w:pPr>
      <w:r>
        <w:t>La Sala considera que Ferrovial Servicios, S.A., no ha probado ni el fraude de ley, ni el abuso de derecho, “aunque sea cierto que requirió a los sindicatos convocantes para que nombraran un solo comité de huelga, puesto que dicho requerimiento no se ajustó a derecho, ya que se habían convocado legítimamente cinco huelgas, siendo exigible, por consiguiente, que se nombrara un comité de huelga en cada una de ellas por las razones ya expuestas. Por lo demás, se ha probado que la empresa convocó conjuntamente a los comités de huelga, quienes acudieron a las reuniones, sin que se haya probado, de ningún modo, que obstaculizaran la negociación, siendo llamativo que la empresa no convocara jamás a los comités de huelga de manera separada, lo que hubiera servido, tal vez, para comprobar si estaban dispuestos a negociar lealmente y, en su caso, a desconvocar la huelga”.</w:t>
      </w:r>
    </w:p>
    <w:p w:rsidR="005728DD" w:rsidRDefault="005728DD" w:rsidP="005728DD">
      <w:pPr>
        <w:pStyle w:val="TextoNormal"/>
      </w:pPr>
    </w:p>
    <w:p w:rsidR="005728DD" w:rsidRDefault="005728DD" w:rsidP="005728DD">
      <w:pPr>
        <w:pStyle w:val="TextoNormal"/>
      </w:pPr>
      <w:r>
        <w:t>k) Contra esta resolución interpuso la empresa recurso de casación que fue estimado por sentencia de la Sala de lo Social del Tribunal Supremo de 25 de abril de 2019.</w:t>
      </w:r>
    </w:p>
    <w:p w:rsidR="005728DD" w:rsidRDefault="005728DD" w:rsidP="005728DD">
      <w:pPr>
        <w:pStyle w:val="TextoNormal"/>
      </w:pPr>
    </w:p>
    <w:p w:rsidR="005728DD" w:rsidRDefault="005728DD" w:rsidP="005728DD">
      <w:pPr>
        <w:pStyle w:val="TextoNormal"/>
      </w:pPr>
      <w:r>
        <w:t>La sentencia rechaza la alegación de ilicitud de varias convocatorias de huelga con el mismo objeto y en fechas coincidentes, porque cada organización sindical es libre de convocar una huelga y, también, de desconvocarla, posteriormente, sin venir condicionada por lo que hagan las demás convocantes de la huelga.</w:t>
      </w:r>
    </w:p>
    <w:p w:rsidR="005728DD" w:rsidRDefault="005728DD" w:rsidP="005728DD">
      <w:pPr>
        <w:pStyle w:val="TextoNormal"/>
      </w:pPr>
    </w:p>
    <w:p w:rsidR="005728DD" w:rsidRDefault="005728DD" w:rsidP="005728DD">
      <w:pPr>
        <w:pStyle w:val="TextoNormal"/>
      </w:pPr>
      <w:r>
        <w:lastRenderedPageBreak/>
        <w:t>Por lo que se refiere al hecho de que cada sindicato convocante nombre un comité de huelga independiente, el Tribunal Supremo comienza recordando en primer lugar lo dispuesto en el art. 5 del Real Decreto-ley 17/1977, de 4 de marzo, sobre relaciones de trabajo, y la interpretación que dio del mismo el Tribunal Constitucional en su sentencia 11/1981, de 8 de abril. A partir de ello llega a la conclusión de que “se considera esencial la titularidad del derecho de huelga de los sindicatos en su vertiente colectiva, especialmente en cuanto se refiere a la convocatoria y desconvocatoria, elección de objetivos y adopción de estrategias de actuación, conjunta o separada con otros, y aprobación de los acuerdos que les pongan fin. Pero no se estima esencial el derecho de los convocantes de la huelga a formar un comité de huelga con cuarenta y tres miembros, so pretexto de que se han hecho cinco convocatorias de huelga distintas, ni obligar a la empresa a negociar con todos ellos simultáneamente”. Ello se fundamenta en las siguientes razones:</w:t>
      </w:r>
    </w:p>
    <w:p w:rsidR="005728DD" w:rsidRDefault="005728DD" w:rsidP="005728DD">
      <w:pPr>
        <w:pStyle w:val="TextoNormal"/>
      </w:pPr>
    </w:p>
    <w:p w:rsidR="005728DD" w:rsidRDefault="005728DD" w:rsidP="005728DD">
      <w:pPr>
        <w:pStyle w:val="TextoNormal"/>
      </w:pPr>
      <w:r>
        <w:t>“Primera. El Tribunal Constitucional en su sentencia 11/1981 ya dijo ‘La limitación numérica es un criterio sensato en la medida que los comités demasiado amplios dificultan los acuerdos’, así como que el derecho de huelga se reconoce por el artículo 28.2 de la Constitución a los trabajadores para la defensa de sus intereses, lo que comporta la apertura de una negociación en la que se debe perseguir la obtención de un acuerdo que le ponga fin. Si ese es el objetivo perseguido, no resulta que sea fácil de lograr si en la negociación abierta intervienen directamente en defensa de unas posiciones cuarenta y tres personas pertenecientes a diferentes sindicatos y con distintas estrategias que podrían acabar provocando el que la construcción del acuerdo se convirtiera en la de una nueva Torre de Babel.</w:t>
      </w:r>
    </w:p>
    <w:p w:rsidR="005728DD" w:rsidRDefault="005728DD" w:rsidP="005728DD">
      <w:pPr>
        <w:pStyle w:val="TextoNormal"/>
      </w:pPr>
    </w:p>
    <w:p w:rsidR="005728DD" w:rsidRDefault="005728DD" w:rsidP="005728DD">
      <w:pPr>
        <w:pStyle w:val="TextoNormal"/>
      </w:pPr>
      <w:r>
        <w:t>Para evitar esas dificultades, nuestro Tribunal Constitucional consideró razonable que el comité de huelga lo compusieran doce miembros, lo que hizo sin desconocer que el artículo 8.2 del Real Decreto-ley 17/1977 admite la posibilidad de que existan distintos comités de huelga, supuesto en el que la negociación se llevará a cabo entre la empresa y los representantes designados por los comités de huelga afectados y en su caso por las empresas afectadas de otro lado, precepto que muestra que la norma no quiere una comisión negociadora muy numerosa.</w:t>
      </w:r>
    </w:p>
    <w:p w:rsidR="005728DD" w:rsidRDefault="005728DD" w:rsidP="005728DD">
      <w:pPr>
        <w:pStyle w:val="TextoNormal"/>
      </w:pPr>
    </w:p>
    <w:p w:rsidR="005728DD" w:rsidRDefault="005728DD" w:rsidP="005728DD">
      <w:pPr>
        <w:pStyle w:val="TextoNormal"/>
      </w:pPr>
      <w:r>
        <w:t>Segunda. Porque esta solución la avala el hecho de que el art. 8.2 del Real Decreto-ley 17/1977 dé valor y eficacia de convenio colectivo al pacto que ponga fin a la huelga, por cuanto, si, conforme al artículo 87.1 LET, el convenio colectivo de empresa puede ser negociado por la representación legal de los trabajadores (el comité intercentros de la empresa recurrente tiene trece miembros y venía negociando el nuevo convenio cuando se convocó la huelga), resultaría absurdo por desproporcionado, imponer una comisión negociadora por la parte social de cuarenta y tres miembros, motivo por el que la rebaja de ese número no atenta contra el derecho de huelga al ser proporcionado y razonable en atención a los fines perseguidos.</w:t>
      </w:r>
    </w:p>
    <w:p w:rsidR="005728DD" w:rsidRDefault="005728DD" w:rsidP="005728DD">
      <w:pPr>
        <w:pStyle w:val="TextoNormal"/>
      </w:pPr>
    </w:p>
    <w:p w:rsidR="005728DD" w:rsidRDefault="005728DD" w:rsidP="005728DD">
      <w:pPr>
        <w:pStyle w:val="TextoNormal"/>
      </w:pPr>
      <w:r>
        <w:t xml:space="preserve">Tercera. Porque la convocatoria simultánea de cinco huelgas por separado no puede fundar la constitución de un comité negociador por la parte social que sea cuantitativamente desmesurado y contrario a las disposiciones de los artículos 5 y 8.2 del Real Decreto-ley 17/1977 en los términos antes señalados. Consiguientemente, la postura adoptada por los cinco comités de huelga nombrados por las centrales sindicales convocantes de la huelga, consistente en negociar los cuarenta y tres miembros de los diferentes comités de empresa y negarse a nombrar un comité negociador menos numeroso, puede calificarse de abusiva, </w:t>
      </w:r>
      <w:r>
        <w:lastRenderedPageBreak/>
        <w:t>porque, al mantener que, como existían cinco convocatorias de huelga cinco debían ser los comités de huelga, se olvidaba que las cinco convocatorias de huelga encubrían realmente una sola convocatoria por tener el mismo objeto y coincidir los paros con los mismos días en todas las convocatorias, así como que esa unidad de acción, tácitamente reconocida, implicaba una perturbación de la negociación contraria a los principios que la debían regir y, conforme a lo dispuesto en los citados artículos 5 y 8.2 del Real Decreto-ley 17/1977 , especialmente del último de ellos que implícitamente establece la necesidad de que cuando existan varios comités de huelga los miembros de los mismos deban nombrar a quienes los representen en la comisión que negociará con los representantes de la empresa la solución del conflicto existente. […]</w:t>
      </w:r>
    </w:p>
    <w:p w:rsidR="005728DD" w:rsidRDefault="005728DD" w:rsidP="005728DD">
      <w:pPr>
        <w:pStyle w:val="TextoNormal"/>
      </w:pPr>
    </w:p>
    <w:p w:rsidR="005728DD" w:rsidRDefault="005728DD" w:rsidP="005728DD">
      <w:pPr>
        <w:pStyle w:val="TextoNormal"/>
      </w:pPr>
      <w:r>
        <w:t>Cuarta. Porque frente a lo dicho no cabe alegar que las cinco convocatorias separadas de huelga los mismos días constituyese una acción concertada ilegal, buscada para coordinar e integrar la actuación de todas las centrales sindicales convocantes aunando sus voluntades y bloqueando la posibilidad de desligarse de ese acuerdo, ya que, como se dijo antes, el ejercicio del derecho de huelga es libre y corresponde en su vertiente colectiva a cada sindicato que, por ende, puede desconvocar, al igual que convocar, la huelga con independencia de lo que hagan los demás. Si ello es así, la constitución de una comisión negociadora única se adecúa a lo previsto en la norma, siempre que se respete la representatividad de cada sindicato. El posible pacto que se alcance, conforme al inciso final del art. 8.2 del Real Decreto-ley 17/1977, tendrá valor de convenio colectivo, siempre y cuando que la decisión de la parte social que vote a favor del acuerdo se acomode a los requisitos de mayoría representativa que establece la Ley del estatuto de los trabajadores en su título III para la aprobación de los convenios colectivos estatutarios, pues en otro caso el acuerdo de fin de huelga tendrá eficacia de simple pacto contractual que obliga a los firmantes del mismo, lo que comportará que en ambos casos los disidentes puedan acordar seguir adelante con la huelga si lo consideran oportuno y asumen las responsabilidades que de ello se derive, ex artículo 11 del citado RDL, pudiendo también adherirse a ese pacto.</w:t>
      </w:r>
    </w:p>
    <w:p w:rsidR="005728DD" w:rsidRDefault="005728DD" w:rsidP="005728DD">
      <w:pPr>
        <w:pStyle w:val="TextoNormal"/>
      </w:pPr>
    </w:p>
    <w:p w:rsidR="005728DD" w:rsidRDefault="005728DD" w:rsidP="005728DD">
      <w:pPr>
        <w:pStyle w:val="TextoNormal"/>
      </w:pPr>
      <w:r>
        <w:t>Tampoco son acogibles las argumentaciones relativas a que el pluralismo sindical viabiliza la posibilidad de negociaciones separadas con los distintos comités de huelga, esa negociación múltiple que ve viable la sentencia recurrida, para que se alcancen acuerdos por separado entre la empresa y los sindicatos mayoritarios, no resulta tan fácil articular en la práctica, máxime cuando sobre esos posibles acuerdos pende el riesgo de su anulación por haberse excluido de la negociación de los mismos a los minoritarios, quienes pueden alegar la violación de su derecho a tomar parte en la negociación de un acuerdo con valor de convenio colectivo o de pacto contractual. En este sentido conviene recordar que esta Sala en sus sentencias de 22 de julio de 2015 y 18 de noviembre de 2015, contempla un caso en el que se estimó y aceptó que se habían vulnerado los derechos a la libertad sindical y a la negociación colectiva excluyendo de la negociación de un acuerdo final sobre modificación sustancial de condiciones de trabajo a ciertas secciones sindicales legitimadas. Esta doctrina podría haber sido de aplicación a un supuesto como el presente en el que los sindicatos demandados presentaron conjuntamente la papeleta de conciliación previa a la huelga, ante el SIMA con los mismos objetivos y luego promovieron la celebración de la huelga los mismos días con el mismo objeto.</w:t>
      </w:r>
    </w:p>
    <w:p w:rsidR="005728DD" w:rsidRDefault="005728DD" w:rsidP="005728DD">
      <w:pPr>
        <w:pStyle w:val="TextoNormal"/>
      </w:pPr>
    </w:p>
    <w:p w:rsidR="005728DD" w:rsidRDefault="005728DD" w:rsidP="005728DD">
      <w:pPr>
        <w:pStyle w:val="TextoNormal"/>
      </w:pPr>
      <w:r>
        <w:t xml:space="preserve">Las precedentes consideraciones obligan a calificar de ilegal por abusiva de una huelga iniciada legalmente y que devino en ilegal, conforme al artículo 11 d) del Real Decreto-ley </w:t>
      </w:r>
      <w:r>
        <w:lastRenderedPageBreak/>
        <w:t>17/1977, por la conducta adoptada por los miembros de los comités de huelga al negarse a constituir una comisión negociadora con una composición más ajustada a las disposiciones de la norma reguladora, lo que impidió el desarrollo de una negociación que podría haber facilitado un acuerdo sobre el final de la huelga”.</w:t>
      </w:r>
    </w:p>
    <w:p w:rsidR="005728DD" w:rsidRDefault="005728DD" w:rsidP="005728DD">
      <w:pPr>
        <w:pStyle w:val="TextoNormal"/>
      </w:pPr>
    </w:p>
    <w:p w:rsidR="005728DD" w:rsidRDefault="005728DD" w:rsidP="005728DD">
      <w:pPr>
        <w:pStyle w:val="TextoNormal"/>
      </w:pPr>
      <w:r>
        <w:t>l) Frente a esta sentencia la Confederación General del Trabajo (CGT) formuló incidente de nulidad de actuaciones alegando vulneración del derecho a la tutela judicial efectiva y del derecho de libertad sindical. El incidente fue desestimado por auto de la Sala de lo Social del Tribunal Supremo de 20 de noviembre de 2019.</w:t>
      </w:r>
    </w:p>
    <w:p w:rsidR="005728DD" w:rsidRDefault="005728DD" w:rsidP="005728DD">
      <w:pPr>
        <w:pStyle w:val="TextoNormal"/>
      </w:pPr>
    </w:p>
    <w:p w:rsidR="005728DD" w:rsidRDefault="005728DD" w:rsidP="005728DD">
      <w:pPr>
        <w:pStyle w:val="TextoNormal"/>
      </w:pPr>
      <w:r>
        <w:t>Afirma este auto que el incidente debe ser desestimado porque “lo que se pretende con el incidente promovido es un nuevo examen de cuestiones ya resueltas por esta Sala, a fin de que se revisen las soluciones que dio, lo que no es posible, máxime cuando la parte actora no concreta y razona sobre las normas esenciales del procedimiento infringidas, ni que ello le haya causado indefensión, y porque con la pretensión de nulidad de actuaciones, formulada solo por uno de los sindicatos de los siete sindicatos demandados en el presente proceso de conflicto colectivo, lo que se persigue es que se vuelvan a estudiar cuestiones ya examinadas y resueltas por la sentencia cuya nulidad se interesa, al no ser del gusto de quien propone el incidente los argumentos en que se funda el fallo”.</w:t>
      </w:r>
    </w:p>
    <w:p w:rsidR="005728DD" w:rsidRDefault="005728DD" w:rsidP="005728DD">
      <w:pPr>
        <w:pStyle w:val="TextoNormal"/>
      </w:pPr>
    </w:p>
    <w:p w:rsidR="005728DD" w:rsidRDefault="005728DD" w:rsidP="005728DD">
      <w:pPr>
        <w:pStyle w:val="TextoNormal"/>
      </w:pPr>
      <w:r>
        <w:t>Añade el auto que “no se desconoció la libertad sindical de la promotora del incidente, ni su derecho a convocar la huelga y a nombrar un comité de huelga, sino que, simplemente, se dijo que no cabían negociaciones separadas de la empresa con los distintos comités de huelga y que tampoco procedía un comité negociador único con numerosos componentes porque ello dificultaba la negociación. Consiguientemente la huelga convocada se declaró ilegal no porque fuera fraudulenta, sino porque era abusiva, entendido este término como abuso del propio derecho, por intentarse imponer una comisión negociadora que dificultaba obtener acuerdos y conseguir el objetivo perseguido por las normas que regulan la huelga”.</w:t>
      </w:r>
    </w:p>
    <w:p w:rsidR="005728DD" w:rsidRDefault="005728DD" w:rsidP="005728DD">
      <w:pPr>
        <w:pStyle w:val="TextoNormal"/>
      </w:pPr>
    </w:p>
    <w:p w:rsidR="005728DD" w:rsidRDefault="005728DD" w:rsidP="005728DD">
      <w:pPr>
        <w:pStyle w:val="TextoNormal"/>
      </w:pPr>
      <w:r w:rsidRPr="005728DD">
        <w:rPr>
          <w:rStyle w:val="NumeroAFNegritaCaracter"/>
        </w:rPr>
        <w:t>3</w:t>
      </w:r>
      <w:r>
        <w:t>. El 10 de febrero de 2020 se registró en este tribunal la demanda de amparo interpuesta por la representación de la Confederación General del Trabajo contra el auto de la Sala de lo Social del Tribunal Supremo de 20 de noviembre de 2019, que confirma la sentencia de la Sala de lo Social del Tribunal Supremo de 25 de abril de 2019.</w:t>
      </w:r>
    </w:p>
    <w:p w:rsidR="005728DD" w:rsidRDefault="005728DD" w:rsidP="005728DD">
      <w:pPr>
        <w:pStyle w:val="TextoNormal"/>
      </w:pPr>
    </w:p>
    <w:p w:rsidR="005728DD" w:rsidRDefault="005728DD" w:rsidP="005728DD">
      <w:pPr>
        <w:pStyle w:val="TextoNormal"/>
      </w:pPr>
      <w:r>
        <w:t>En la demanda se alegan las siguientes vulneraciones:</w:t>
      </w:r>
    </w:p>
    <w:p w:rsidR="005728DD" w:rsidRDefault="005728DD" w:rsidP="005728DD">
      <w:pPr>
        <w:pStyle w:val="TextoNormal"/>
      </w:pPr>
    </w:p>
    <w:p w:rsidR="005728DD" w:rsidRDefault="005728DD" w:rsidP="005728DD">
      <w:pPr>
        <w:pStyle w:val="TextoNormal"/>
      </w:pPr>
      <w:r>
        <w:t>-Vulneración del art. 24 CE respecto del ejercicio de los derechos fundamentales de libertad sindical y de huelga, en conexión con los principios de seguridad jurídica e interdicción de la arbitrariedad.</w:t>
      </w:r>
    </w:p>
    <w:p w:rsidR="005728DD" w:rsidRDefault="005728DD" w:rsidP="005728DD">
      <w:pPr>
        <w:pStyle w:val="TextoNormal"/>
      </w:pPr>
    </w:p>
    <w:p w:rsidR="005728DD" w:rsidRDefault="005728DD" w:rsidP="005728DD">
      <w:pPr>
        <w:pStyle w:val="TextoNormal"/>
      </w:pPr>
      <w:r>
        <w:t>Afirma el sindicato recurrente que las resoluciones impugnadas vulneran el art. 24 CE en su vertiente de acceso a los tribunales por la restricción del derecho de huelga que realiza el Tribunal Supremo, que ha hecho una interpretación limitadora del derecho sin que dicha limitación aparezca en la norma.</w:t>
      </w:r>
    </w:p>
    <w:p w:rsidR="005728DD" w:rsidRDefault="005728DD" w:rsidP="005728DD">
      <w:pPr>
        <w:pStyle w:val="TextoNormal"/>
      </w:pPr>
    </w:p>
    <w:p w:rsidR="005728DD" w:rsidRDefault="005728DD" w:rsidP="005728DD">
      <w:pPr>
        <w:pStyle w:val="TextoNormal"/>
      </w:pPr>
      <w:r>
        <w:t>Señala que la sentencia del Tribunal Supremo recurrida establece que “ no se estima esencial el derecho de los convocantes de la huelga a formar un comité de huelga con cua</w:t>
      </w:r>
      <w:r>
        <w:lastRenderedPageBreak/>
        <w:t xml:space="preserve">renta y tres miembros, so pretexto de que se han hecho cinco convocatorias de huelga distintas, ni a obligar a la empresa a negociar con todos ellos simultáneamente”, obviando, que </w:t>
      </w:r>
      <w:r w:rsidRPr="005728DD">
        <w:rPr>
          <w:i/>
        </w:rPr>
        <w:t>per saltum</w:t>
      </w:r>
      <w:r>
        <w:t>, tras no considerarlo esencial acude a considerarlo abusivo, y por tanto ilegal, la huelga, con las graves consecuencias que ello genera, sin que exista norma escrita alguna vulnerada, ni actuación fraudulenta alguna acreditada y probada.</w:t>
      </w:r>
    </w:p>
    <w:p w:rsidR="005728DD" w:rsidRDefault="005728DD" w:rsidP="005728DD">
      <w:pPr>
        <w:pStyle w:val="TextoNormal"/>
      </w:pPr>
    </w:p>
    <w:p w:rsidR="005728DD" w:rsidRDefault="005728DD" w:rsidP="005728DD">
      <w:pPr>
        <w:pStyle w:val="TextoNormal"/>
      </w:pPr>
      <w:r>
        <w:t>Afirma que el Real Decreto-ley 17/1977 no hace referencia alguna a cuando nos encontramos ante una pluralidad de convocatorias de huelga, pues la limitación de doce personas no hace referencia a diferentes convocatorias de huelga y a distintos convocantes.</w:t>
      </w:r>
    </w:p>
    <w:p w:rsidR="005728DD" w:rsidRDefault="005728DD" w:rsidP="005728DD">
      <w:pPr>
        <w:pStyle w:val="TextoNormal"/>
      </w:pPr>
    </w:p>
    <w:p w:rsidR="005728DD" w:rsidRDefault="005728DD" w:rsidP="005728DD">
      <w:pPr>
        <w:pStyle w:val="TextoNormal"/>
      </w:pPr>
      <w:r>
        <w:t>Entiende la organización sindical recurrente que la norma no hace referencia a comité de huelga único constituido por representantes de los distintos sindicatos convocantes, sino que habla de la designación de representantes de distintos comités de huelga, pero no para constituir un nuevo comité de huelga, de segundo grado, conforme a criterios de audiencia electoral, sino para la negociación, por lo que el límite de doce personas, ni tan siquiera está afectando a dicho espacio negociador, al recoger el propio artículo supuestamente vulnerado en su apartado 2 lo siguiente: “Desde el momento del preaviso y durante la huelga, el comité de huelga y el empresario, y en su caso los representantes designados por los distintos comités de huelga y por los empresarios afectados, deberán negociar para llegar a un acuerdo, sin perjuicio de que en cualquier momento los trabajadores pueden dar por terminada aquella. El pacto que ponga fin a la huelga tendrá la misma eficacia que lo acordado en convenio colectivo”. Es decir, a juicio del sindicato recurrente, el que se designen representantes nombrados por los distintos comités de huelga, no impone que la limitación de doce personas se traslade a dicha negociación, en la medida en que la limitación se establece para el comité de huelga, pero no para estos representantes, a los que no se establece ni límite, ni composición alguna.</w:t>
      </w:r>
    </w:p>
    <w:p w:rsidR="005728DD" w:rsidRDefault="005728DD" w:rsidP="005728DD">
      <w:pPr>
        <w:pStyle w:val="TextoNormal"/>
      </w:pPr>
    </w:p>
    <w:p w:rsidR="005728DD" w:rsidRDefault="005728DD" w:rsidP="005728DD">
      <w:pPr>
        <w:pStyle w:val="TextoNormal"/>
      </w:pPr>
      <w:r>
        <w:t>Considera que la sentencia recurrida establece de forma tautológica que el número de representantes conllevaba en sí mismo una vulneración del deber de negociar que corresponde al comité de huelga y a la empresa.</w:t>
      </w:r>
    </w:p>
    <w:p w:rsidR="005728DD" w:rsidRDefault="005728DD" w:rsidP="005728DD">
      <w:pPr>
        <w:pStyle w:val="TextoNormal"/>
      </w:pPr>
    </w:p>
    <w:p w:rsidR="005728DD" w:rsidRDefault="005728DD" w:rsidP="005728DD">
      <w:pPr>
        <w:pStyle w:val="TextoNormal"/>
      </w:pPr>
      <w:r>
        <w:t>Se sostiene su abusividad sin acreditarse ni su carácter fraudulento, ni la elusión del deber de negociar.</w:t>
      </w:r>
    </w:p>
    <w:p w:rsidR="005728DD" w:rsidRDefault="005728DD" w:rsidP="005728DD">
      <w:pPr>
        <w:pStyle w:val="TextoNormal"/>
      </w:pPr>
    </w:p>
    <w:p w:rsidR="005728DD" w:rsidRDefault="005728DD" w:rsidP="005728DD">
      <w:pPr>
        <w:pStyle w:val="TextoNormal"/>
      </w:pPr>
      <w:r>
        <w:t>Para el sindicato recurrente, si las cinco convocatorias de huelga son válidas pese a coincidir en objetivos y momento temporal de convocatoria, el reconducirlas a un único comité de huelga conforme a las reglas de representatividad en el seno de la empresa, conlleva una importante limitación del pluralismo sindical, y de la libertad sindical de cada organización sindical convocante, en la medida en que el derecho de huelga se convierte en un derecho proporcional, y limitado conforme a la representación que cada sindicato tuviera en la empresa. En la medida en que la huelga es convocada por distintos sindicatos, y no conlleva actuación fraudulenta alguna como reconoce la propia sentencia, al ser reconducida a un comité de huelga único, reduce la capacidad de negociación de los sindicatos convocantes.</w:t>
      </w:r>
    </w:p>
    <w:p w:rsidR="005728DD" w:rsidRDefault="005728DD" w:rsidP="005728DD">
      <w:pPr>
        <w:pStyle w:val="TextoNormal"/>
      </w:pPr>
    </w:p>
    <w:p w:rsidR="005728DD" w:rsidRDefault="005728DD" w:rsidP="005728DD">
      <w:pPr>
        <w:pStyle w:val="TextoNormal"/>
      </w:pPr>
      <w:r>
        <w:t xml:space="preserve">Añade que existe incongruencia en la sentencia recurrida, dado que si no hay fraude, el carácter abusivo debe acreditarse, como detalla la continuada jurisprudencia del Tribunal Supremo. Y que también hay una incongruencia interna entre lo que se afirma en los hechos </w:t>
      </w:r>
      <w:r>
        <w:lastRenderedPageBreak/>
        <w:t>probados y las conclusiones que se extraen de los mismos al presuponer un abuso carente de apoyo en los hechos probados.</w:t>
      </w:r>
    </w:p>
    <w:p w:rsidR="005728DD" w:rsidRDefault="005728DD" w:rsidP="005728DD">
      <w:pPr>
        <w:pStyle w:val="TextoNormal"/>
      </w:pPr>
    </w:p>
    <w:p w:rsidR="005728DD" w:rsidRDefault="005728DD" w:rsidP="005728DD">
      <w:pPr>
        <w:pStyle w:val="TextoNormal"/>
      </w:pPr>
      <w:r>
        <w:t>-Vulneración de los arts. 7 y 28 CE y de los derechos fundamentales a la actividad sindical.</w:t>
      </w:r>
    </w:p>
    <w:p w:rsidR="005728DD" w:rsidRDefault="005728DD" w:rsidP="005728DD">
      <w:pPr>
        <w:pStyle w:val="TextoNormal"/>
      </w:pPr>
    </w:p>
    <w:p w:rsidR="005728DD" w:rsidRDefault="005728DD" w:rsidP="005728DD">
      <w:pPr>
        <w:pStyle w:val="TextoNormal"/>
      </w:pPr>
      <w:r>
        <w:t>Considera el sindicato recurrente que si la convocatoria de huelga se realiza por distintas organizaciones sindicales, deben ser estas las que mantengan su capacidad negociadora, de desconvocar dicho ejercicio del derecho, de llegar a acuerdo parcial o total en el seno de la misma o incluso por meros criterios de oportunidad.</w:t>
      </w:r>
    </w:p>
    <w:p w:rsidR="005728DD" w:rsidRDefault="005728DD" w:rsidP="005728DD">
      <w:pPr>
        <w:pStyle w:val="TextoNormal"/>
      </w:pPr>
    </w:p>
    <w:p w:rsidR="005728DD" w:rsidRDefault="005728DD" w:rsidP="005728DD">
      <w:pPr>
        <w:pStyle w:val="TextoNormal"/>
      </w:pPr>
      <w:r>
        <w:t>La declaración de ilegalidad de la huelga por abusividad requiere establecer un abuso de derecho por parte de los sindicatos convocantes, no establecer una presunción de que el abuso se ha producido por existir varios comités de huelga. Se ha realizado una presunción arbitraria de que la huelga con cuarenta y tres miembros de distintos comités de huelga, impediría llegar a acuerdo, y que además, supuestamente debió realizarse con tal intención. Por ello, a su juicio, la sentencia es arbitraria y ha vulnerado el derecho a la tutela judicial efectiva, en conexión con el derecho de huelga y de actividad sindical. No cabe apreciar el abuso de derecho en quien actúa dentro de las previsiones legales, haciendo uso de los mecanismos para hacer valer su derecho.</w:t>
      </w:r>
    </w:p>
    <w:p w:rsidR="005728DD" w:rsidRDefault="005728DD" w:rsidP="005728DD">
      <w:pPr>
        <w:pStyle w:val="TextoNormal"/>
      </w:pPr>
    </w:p>
    <w:p w:rsidR="005728DD" w:rsidRDefault="005728DD" w:rsidP="005728DD">
      <w:pPr>
        <w:pStyle w:val="TextoNormal"/>
      </w:pPr>
      <w:r>
        <w:t>A su entender, una cuestión es permitir el límite de número de miembros del comité de huelga, y otra muy diferente, que el medio de conflicto colectivo de la organización sindical, y su libertad de negociación, pasen, por medio de la interpretación del Tribunal Supremo a quedar fuera de la voluntad del convocante de la huelga y negociador durante el ejercicio de la misma, al quedar sometido a las reglas de toma de decisión mayoritaria en el seno de una empresa si se convoca durante el mismo tiempo y por los mismos motivos, más aún, cuando el efecto limitado de cualquier posible perjuicio ante tal situación está amparado por medio de los acuerdos que pudieran realizarse y que ya eluden cualquier posible abuso por parte de los múltiples actores.</w:t>
      </w:r>
    </w:p>
    <w:p w:rsidR="005728DD" w:rsidRDefault="005728DD" w:rsidP="005728DD">
      <w:pPr>
        <w:pStyle w:val="TextoNormal"/>
      </w:pPr>
    </w:p>
    <w:p w:rsidR="005728DD" w:rsidRDefault="005728DD" w:rsidP="005728DD">
      <w:pPr>
        <w:pStyle w:val="TextoNormal"/>
      </w:pPr>
      <w:r>
        <w:t>Además, afirma que se vulnera la proporcionalidad, razonabilidad e idoneidad del límite establecido de acudir al comité de huelga conjunto, porque el límite establecido jurisprudencialmente, que no consta en la norma interpretada, además, es desproporcionado, pues puede ser limitado cuando nos encontremos precisamente ante supuestos acreditados fácticamente, tanto objetiva, como subjetivamente, de abusos de derecho, y está limitado igualmente por el límite de no poder utilizar el medio de conflicto colectivo frente a lo acordado en conflicto colectivo.</w:t>
      </w:r>
    </w:p>
    <w:p w:rsidR="005728DD" w:rsidRDefault="005728DD" w:rsidP="005728DD">
      <w:pPr>
        <w:pStyle w:val="TextoNormal"/>
      </w:pPr>
    </w:p>
    <w:p w:rsidR="005728DD" w:rsidRDefault="005728DD" w:rsidP="005728DD">
      <w:pPr>
        <w:pStyle w:val="TextoNormal"/>
      </w:pPr>
      <w:r>
        <w:t>Concluye que la sentencia impugnada ha establecido un límite a las organizaciones sindicales convocantes de una huelga en las mismas fechas y por los mismos motivos, al obligar, sin amparo normativo alguno, a la toma de decisiones de forma mancomunada en todos ellos.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Por providencia de 19 de octubre de 2020, la Sala Primera acordó la admisión a trámite de la demanda de amparo, al apreciar que concurría en la misma una especial trascendencia constitucional [art. 50.1 de la Ley Orgánica del Tribunal Constitucional (LOTC)] porque el </w:t>
      </w:r>
      <w:r>
        <w:lastRenderedPageBreak/>
        <w:t>recurso planteaba un problema o afectaba a una faceta de un derecho fundamental sobre el que no hay doctrina del tribunal [STC 155/2009, FJ 2 a)].</w:t>
      </w:r>
    </w:p>
    <w:p w:rsidR="005728DD" w:rsidRDefault="005728DD" w:rsidP="005728DD">
      <w:pPr>
        <w:pStyle w:val="TextoNormal"/>
      </w:pPr>
    </w:p>
    <w:p w:rsidR="005728DD" w:rsidRDefault="005728DD" w:rsidP="005728DD">
      <w:pPr>
        <w:pStyle w:val="TextoNormal"/>
      </w:pPr>
      <w:r>
        <w:t>En aplicación de lo previsto en el art. 51 LOTC, acordó dirigir atenta comunicación a la Sala de lo Social del Tribunal Supremo y a la Sala de lo Social de la Audiencia Nacional, para que en el plazo de diez días remitiesen certificación o fotocopia adverada de las actuaciones correspondientes al recurso de casación núm. 236-2017 y al procedimiento núm. 125-2017; debiendo previamente emplazarse, para que en el plazo de diez días pudieran comparecer, si así lo deseaban,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Primera de este tribunal, por diligencia de ordenación de 21 de enero de 2020, acordó tener por recibidos los testimonios de las actuaciones remitidas por las Salas de lo Social del Tribunal Supremo y de la Audiencia Nacional, de los que se acusará recibo, y escrito de los procuradores don Álvaro Armando García de la Noceda de las Alas Pumariño, doña María Jesús Ruiz Esteban y doña Virginia Sánchez de León Herencia, a quienes se tiene por personados y parte en nombre y representación respectivamente de Ferrovial Servicios, S.A., Federación de Servicios a la Ciudadanía de Comisiones Obreras y Sindicato Ferroviario SF-Intersindical, con quienes se entenderán la presente y sucesivas diligencias.</w:t>
      </w:r>
    </w:p>
    <w:p w:rsidR="005728DD" w:rsidRDefault="005728DD" w:rsidP="005728DD">
      <w:pPr>
        <w:pStyle w:val="TextoNormal"/>
      </w:pPr>
    </w:p>
    <w:p w:rsidR="005728DD" w:rsidRDefault="005728DD" w:rsidP="005728DD">
      <w:pPr>
        <w:pStyle w:val="TextoNormal"/>
      </w:pPr>
      <w:r>
        <w:t>Se tiene por no personada a la Federación Estatal de Servicios, Movilidad y Consumo de la Unión General de Trabajadores, toda vez que no ha subsanado la falta de postulación para la que fue requerido el letrado de dicha central sindical don José Vaquero Turiño.</w:t>
      </w:r>
    </w:p>
    <w:p w:rsidR="005728DD" w:rsidRDefault="005728DD" w:rsidP="005728DD">
      <w:pPr>
        <w:pStyle w:val="TextoNormal"/>
      </w:pPr>
    </w:p>
    <w:p w:rsidR="005728DD" w:rsidRDefault="005728DD" w:rsidP="005728DD">
      <w:pPr>
        <w:pStyle w:val="TextoNormal"/>
      </w:pPr>
      <w:r>
        <w:t>A tenor de lo dispuesto en el art. 52 LOTC, se da vista de todas las actuaciones del presente recurso de amparo, en la secretaría de esta Sala, por un plazo común de veinte días, al Ministerio Fiscal y a las partes personadas, para que dentro de dicho término puedan presentar las alegaciones que a su derecho convenga.</w:t>
      </w:r>
    </w:p>
    <w:p w:rsidR="005728DD" w:rsidRDefault="005728DD" w:rsidP="005728DD">
      <w:pPr>
        <w:pStyle w:val="TextoNormal"/>
      </w:pPr>
    </w:p>
    <w:p w:rsidR="005728DD" w:rsidRDefault="005728DD" w:rsidP="005728DD">
      <w:pPr>
        <w:pStyle w:val="TextoNormal"/>
      </w:pPr>
      <w:r w:rsidRPr="005728DD">
        <w:rPr>
          <w:rStyle w:val="NumeroAFNegritaCaracter"/>
        </w:rPr>
        <w:t>6</w:t>
      </w:r>
      <w:r>
        <w:t>. El 9 de febrero de 2021 presentó su escrito de alegaciones la mercantil Ferrovial Servicios, S.A.</w:t>
      </w:r>
    </w:p>
    <w:p w:rsidR="005728DD" w:rsidRDefault="005728DD" w:rsidP="005728DD">
      <w:pPr>
        <w:pStyle w:val="TextoNormal"/>
      </w:pPr>
    </w:p>
    <w:p w:rsidR="005728DD" w:rsidRDefault="005728DD" w:rsidP="005728DD">
      <w:pPr>
        <w:pStyle w:val="TextoNormal"/>
      </w:pPr>
      <w:r>
        <w:t>En relación con la alegada vulneración del derecho a la tutela judicial efectiva, señala que la parte recurrente pretende defender que no hay aportes fácticos concretos en la sentencia que permitan mantener la existencia de mala fe más allá del número de representantes, pero únicamente se pretende sustituir la interpretación del juzgador por la suya propia.</w:t>
      </w:r>
    </w:p>
    <w:p w:rsidR="005728DD" w:rsidRDefault="005728DD" w:rsidP="005728DD">
      <w:pPr>
        <w:pStyle w:val="TextoNormal"/>
      </w:pPr>
    </w:p>
    <w:p w:rsidR="005728DD" w:rsidRDefault="005728DD" w:rsidP="005728DD">
      <w:pPr>
        <w:pStyle w:val="TextoNormal"/>
      </w:pPr>
      <w:r>
        <w:t>A su juicio, sí existen en la sentencia valoraciones fácticas suficientes en los hechos probados segundo y cuarto para poder mantener la existencia de una conducta abusiva por parte de los comités de huelga. La conducta de las cinco centrales sindicales convocantes, negándose a nombrar un comité negociador menos numeroso, se ha calificado de abusiva porque, al mantener que debían ser cinco los comités de huelga, se olvidaba que las cinco convocatorias de huelga encubrían realmente una sola convocatoria por tener el mismo objeto y coincidir los paros con los mismos días en todas las convocatorias, así como que esa unidad de acción, tácitamente reconocida, implicaba una perturbación de la negociación contraria a los principios que la debían regir.</w:t>
      </w:r>
    </w:p>
    <w:p w:rsidR="005728DD" w:rsidRDefault="005728DD" w:rsidP="005728DD">
      <w:pPr>
        <w:pStyle w:val="TextoNormal"/>
      </w:pPr>
    </w:p>
    <w:p w:rsidR="005728DD" w:rsidRDefault="005728DD" w:rsidP="005728DD">
      <w:pPr>
        <w:pStyle w:val="TextoNormal"/>
      </w:pPr>
      <w:r>
        <w:lastRenderedPageBreak/>
        <w:t>Afirma que al estar bajo la ficción de cinco huelgas distintas cuando materialmente se trataba de una sola huelga, la aplicación correcta del art. 5 del Real Decreto-ley 17/1977, de 4 de marzo, implicaba un comité de huelga que no excediese de doce personas. No solo porque lo dice literalmente el precepto, sino para evitar contradecir la doctrina constitucional recogida en la STC 11/1981 en cuanto a la referida limitación numérica.</w:t>
      </w:r>
    </w:p>
    <w:p w:rsidR="005728DD" w:rsidRDefault="005728DD" w:rsidP="005728DD">
      <w:pPr>
        <w:pStyle w:val="TextoNormal"/>
      </w:pPr>
    </w:p>
    <w:p w:rsidR="005728DD" w:rsidRDefault="005728DD" w:rsidP="005728DD">
      <w:pPr>
        <w:pStyle w:val="TextoNormal"/>
      </w:pPr>
      <w:r>
        <w:t>Señala que las organizaciones convocantes eran conocedoras de que mantener la negociación separada dificultaba la adopción de acuerdos y que la incongruencia alegada en cuanto a los hechos probados es insostenible porque la incongruencia debe plantearse en relación con las peticiones de las partes.</w:t>
      </w:r>
    </w:p>
    <w:p w:rsidR="005728DD" w:rsidRDefault="005728DD" w:rsidP="005728DD">
      <w:pPr>
        <w:pStyle w:val="TextoNormal"/>
      </w:pPr>
    </w:p>
    <w:p w:rsidR="005728DD" w:rsidRDefault="005728DD" w:rsidP="005728DD">
      <w:pPr>
        <w:pStyle w:val="TextoNormal"/>
      </w:pPr>
      <w:r>
        <w:t>Por lo que se refiere a la vulneración de los arts. 7 y 28 CE, sostiene que la constitución de un comité de huelga de cuarenta y tres miembros no forma parte del contenido del derecho de huelga y considera que el Tribunal Supremo ha evitado que el pluralismo sindical afectase al núcleo esencial del derecho de huelga, a la capacidad para llegar a acuerdos que desconvoquen los paros.</w:t>
      </w:r>
    </w:p>
    <w:p w:rsidR="005728DD" w:rsidRDefault="005728DD" w:rsidP="005728DD">
      <w:pPr>
        <w:pStyle w:val="TextoNormal"/>
      </w:pPr>
    </w:p>
    <w:p w:rsidR="005728DD" w:rsidRDefault="005728DD" w:rsidP="005728DD">
      <w:pPr>
        <w:pStyle w:val="TextoNormal"/>
      </w:pPr>
      <w:r>
        <w:t>Afirma que la táctica sindical elegida por la parte social buscaba alterar la proporción de las representaciones de los distintos sindicatos presentes en la plantilla. Con la convocatoria de cinco huelgas en vez de una, cualquier posible acuerdo debía adoptarse por unanimidad de todas las organizaciones sindicales, en cada uno de los comités de huelga, sorteando el régimen legal de mayorías.</w:t>
      </w:r>
    </w:p>
    <w:p w:rsidR="005728DD" w:rsidRDefault="005728DD" w:rsidP="005728DD">
      <w:pPr>
        <w:pStyle w:val="TextoNormal"/>
      </w:pPr>
    </w:p>
    <w:p w:rsidR="005728DD" w:rsidRDefault="005728DD" w:rsidP="005728DD">
      <w:pPr>
        <w:pStyle w:val="TextoNormal"/>
      </w:pPr>
      <w:r>
        <w:t>Concluye que una de las virtudes de la tesis del Tribunal Supremo está en que esta solución no impediría que los disidentes con el acuerdo alcanzado pudiesen seguir adelante con la huelga si lo considerasen oportuno, siendo cada sindicato responsable de desconvocar, al igual que de convocar, la huelga con independencia de lo que hagan los demás.</w:t>
      </w:r>
    </w:p>
    <w:p w:rsidR="005728DD" w:rsidRDefault="005728DD" w:rsidP="005728DD">
      <w:pPr>
        <w:pStyle w:val="TextoNormal"/>
      </w:pPr>
    </w:p>
    <w:p w:rsidR="005728DD" w:rsidRDefault="005728DD" w:rsidP="005728DD">
      <w:pPr>
        <w:pStyle w:val="TextoNormal"/>
      </w:pPr>
      <w:r w:rsidRPr="005728DD">
        <w:rPr>
          <w:rStyle w:val="NumeroAFNegritaCaracter"/>
        </w:rPr>
        <w:t>7</w:t>
      </w:r>
      <w:r>
        <w:t>. La Federación de Servicios a la Ciudadanía de Comisiones Obreras presentó su escrito de alegaciones el 22 de febrero de 2021.</w:t>
      </w:r>
    </w:p>
    <w:p w:rsidR="005728DD" w:rsidRDefault="005728DD" w:rsidP="005728DD">
      <w:pPr>
        <w:pStyle w:val="TextoNormal"/>
      </w:pPr>
    </w:p>
    <w:p w:rsidR="005728DD" w:rsidRDefault="005728DD" w:rsidP="005728DD">
      <w:pPr>
        <w:pStyle w:val="TextoNormal"/>
      </w:pPr>
      <w:r>
        <w:t>La Federación de Servicios a la Ciudadanía de Comisiones Obreras reproduce los hechos probados en la sentencia de la Audiencia Nacional y también los fundamentos jurídicos de esta sentencia. De ellos deduce que la sentencia establece que la incomodidad que para la empresa supone esta negociación múltiple no puede justificar una interpretación restrictiva del ejercicio del derecho fundamental de huelga, que prive a cada sindicato de su derecho a autoorganizarse y a designar su propio comité de huelga, puesto que la empresa puede establecer su propia estrategia empresarial de alcanzar acuerdos con los sindicatos mayoritarios para dotar al acuerdo de la validez de convenio y, por lo tanto, ahora sí la huelga contra el convenio sería ilegal. Insiste en que la comodidad empresarial o la perturbación que para su gestión pueda suponer la pluralidad de convocatorias de huelga y pluralidad de comités de huelga no justifican que se establezca judicialmente la existencia de un abuso de derecho o de un fraude de ley.</w:t>
      </w:r>
    </w:p>
    <w:p w:rsidR="005728DD" w:rsidRDefault="005728DD" w:rsidP="005728DD">
      <w:pPr>
        <w:pStyle w:val="TextoNormal"/>
      </w:pPr>
    </w:p>
    <w:p w:rsidR="005728DD" w:rsidRDefault="005728DD" w:rsidP="005728DD">
      <w:pPr>
        <w:pStyle w:val="TextoNormal"/>
      </w:pPr>
      <w:r>
        <w:t>A su juicio, de la argumentación de la sentencia del Tribunal Supremo recurrida en amparo se deriva que la titularidad del sindicato para convocar y ejercer el derecho de huelga implica que es titular del derecho pero que según la sentencia del Tribunal Supremo si con</w:t>
      </w:r>
      <w:r>
        <w:lastRenderedPageBreak/>
        <w:t>voca una huelga en coincidencia y objetivos con otros sindicatos no puede designar específico comité de huelga sindical, sino que necesariamente debe ponerse de acuerdo con los restantes sindicatos para entre todos fijar un comité de huelga de un máximo de doce. Añade que esta interpretación es incompatible con el derecho fundamental de libertad sindical en su vertiente de autoorganización o autonomía sindical y además constituye una interpretación que no está basada en la letra del Real Decreto-ley 17/1977, que en absoluto contempla esta exigencia en el caso de que haya una pluralidad de huelgas convocadas por pluralidad de sindicatos.</w:t>
      </w:r>
    </w:p>
    <w:p w:rsidR="005728DD" w:rsidRDefault="005728DD" w:rsidP="005728DD">
      <w:pPr>
        <w:pStyle w:val="TextoNormal"/>
      </w:pPr>
    </w:p>
    <w:p w:rsidR="005728DD" w:rsidRDefault="005728DD" w:rsidP="005728DD">
      <w:pPr>
        <w:pStyle w:val="TextoNormal"/>
      </w:pPr>
      <w:r>
        <w:t>Por lo tanto, afirma la federación sindical que la interpretación judicial al imponer un gravamen no previsto en la letra de la ley constituye una interpretación restrictiva carente de fundamento legal suficiente como para justificar esta intromisión en el ejercicio de los derechos fundamentales de huelga y libertad sindical.</w:t>
      </w:r>
    </w:p>
    <w:p w:rsidR="005728DD" w:rsidRDefault="005728DD" w:rsidP="005728DD">
      <w:pPr>
        <w:pStyle w:val="TextoNormal"/>
      </w:pPr>
    </w:p>
    <w:p w:rsidR="005728DD" w:rsidRDefault="005728DD" w:rsidP="005728DD">
      <w:pPr>
        <w:pStyle w:val="TextoNormal"/>
      </w:pPr>
      <w:r w:rsidRPr="005728DD">
        <w:rPr>
          <w:rStyle w:val="NumeroAFNegritaCaracter"/>
        </w:rPr>
        <w:t>8</w:t>
      </w:r>
      <w:r>
        <w:t>. El 10 de marzo de 2021 presentó su escrito de alegaciones el Ministerio Fiscal interesando el otorgamiento del amparo por vulneración del derecho de libertad sindical en relación con el derecho a la huelga.</w:t>
      </w:r>
    </w:p>
    <w:p w:rsidR="005728DD" w:rsidRDefault="005728DD" w:rsidP="005728DD">
      <w:pPr>
        <w:pStyle w:val="TextoNormal"/>
      </w:pPr>
    </w:p>
    <w:p w:rsidR="005728DD" w:rsidRDefault="005728DD" w:rsidP="005728DD">
      <w:pPr>
        <w:pStyle w:val="TextoNormal"/>
      </w:pPr>
      <w:r>
        <w:t>Tras exponer los antecedentes del asunto, señala que en los dos motivos de impugnación alegados en el recurso de amparo se expresa una argumentación concurrente. Se alega en esencia que la sentencia impugnada ha interpretado los arts. 5 y 8.2 del Real Decreto-ley sobre relaciones de trabajo y la STC 11/1981 de un modo contrario al contenido esencial del derecho a la libertad sindical en relación con el derecho de huelga, al establecer unas limitaciones en la actuación de los sindicatos en cuanto a la negociación de la huelga que no se contienen en la normativa legal, ni resultan de la mencionada sentencia. Asimismo, se viene a alegar en ambos motivos que las conclusiones que extrae la sentencia impugnada de los hechos probados no son lógicas ni tampoco acordes con el derecho de libertad sindical y el derecho de huelga.</w:t>
      </w:r>
    </w:p>
    <w:p w:rsidR="005728DD" w:rsidRDefault="005728DD" w:rsidP="005728DD">
      <w:pPr>
        <w:pStyle w:val="TextoNormal"/>
      </w:pPr>
    </w:p>
    <w:p w:rsidR="005728DD" w:rsidRDefault="005728DD" w:rsidP="005728DD">
      <w:pPr>
        <w:pStyle w:val="TextoNormal"/>
      </w:pPr>
      <w:r>
        <w:t>Indica que en sus alegaciones va a tratar de referirse a la violación de cada derecho fundamental, según el motivo que se recoge en su encabezado, con independencia de que las alegaciones hechas en la demanda de amparo relativas a uno u otro de los derechos fundamentales analizados, estén repartidas o de algún modo repetidas en ambos motivos.</w:t>
      </w:r>
    </w:p>
    <w:p w:rsidR="005728DD" w:rsidRDefault="005728DD" w:rsidP="005728DD">
      <w:pPr>
        <w:pStyle w:val="TextoNormal"/>
      </w:pPr>
    </w:p>
    <w:p w:rsidR="005728DD" w:rsidRDefault="005728DD" w:rsidP="005728DD">
      <w:pPr>
        <w:pStyle w:val="TextoNormal"/>
      </w:pPr>
      <w:r>
        <w:t>A continuación, expone la doctrina constitucional sobre el derecho a la tutela judicial efectiva y sobre el derecho de libertad sindical en relación con el derecho de huelga, reproduciendo distintas sentencias del Tribunal Constitucional. Y por lo que se refiere a las huelgas abusivas y las reglas de la carga de la prueba a este respecto reproduce el fundamento jurídico 10 de la STC 11/1981, de 8 de abril.</w:t>
      </w:r>
    </w:p>
    <w:p w:rsidR="005728DD" w:rsidRDefault="005728DD" w:rsidP="005728DD">
      <w:pPr>
        <w:pStyle w:val="TextoNormal"/>
      </w:pPr>
    </w:p>
    <w:p w:rsidR="005728DD" w:rsidRDefault="005728DD" w:rsidP="005728DD">
      <w:pPr>
        <w:pStyle w:val="TextoNormal"/>
      </w:pPr>
      <w:r>
        <w:t>Una vez expuesta la doctrina constitucional sobre los derechos fundamentales alegados el Ministerio Fiscal trata de aplicar dicha doctrina a la presente causa.</w:t>
      </w:r>
    </w:p>
    <w:p w:rsidR="005728DD" w:rsidRDefault="005728DD" w:rsidP="005728DD">
      <w:pPr>
        <w:pStyle w:val="TextoNormal"/>
      </w:pPr>
    </w:p>
    <w:p w:rsidR="005728DD" w:rsidRDefault="005728DD" w:rsidP="005728DD">
      <w:pPr>
        <w:pStyle w:val="TextoNormal"/>
      </w:pPr>
      <w:r>
        <w:t xml:space="preserve">Respecto a la vulneración del derecho a la tutela judicial efectiva, señala que en lo relativo al derecho de acceso a la jurisdicción que se plantea al inicio de este motivo en la demanda de amparo, el sindicato demandante no ha tenido problemas de acceso a la jurisdicción, puesto que se le ha dado traslado de la demanda planteada frente a él, se le ha permitido contestarla y aportar pruebas, se efectuó una vista con todas las garantías y hubo </w:t>
      </w:r>
      <w:r>
        <w:lastRenderedPageBreak/>
        <w:t xml:space="preserve">un pronunciamiento sobre el fondo en el que incluso se le dio la razón. Asimismo, tras el recurso de la contraparte, se le permitió intervenir en el mismo y lo único que ha sucedido es que en esta segunda instancia ha existido un pronunciamiento de fondo contrario a sus propuestas. A juicio del fiscal esto no es contrario al derecho a la tutela judicial efectiva en el aspecto del derecho al acceso a la jurisdicción y no hay vulneración del principio </w:t>
      </w:r>
      <w:r w:rsidRPr="005728DD">
        <w:rPr>
          <w:i/>
        </w:rPr>
        <w:t>pro actione</w:t>
      </w:r>
      <w:r>
        <w:t xml:space="preserve"> en la interpretación y aplicación de los requisitos procesales, pues no se obstaculizó el derecho a que un órgano judicial conozca y resuelva en derecho sobre la pretensión a él sometida.</w:t>
      </w:r>
    </w:p>
    <w:p w:rsidR="005728DD" w:rsidRDefault="005728DD" w:rsidP="005728DD">
      <w:pPr>
        <w:pStyle w:val="TextoNormal"/>
      </w:pPr>
    </w:p>
    <w:p w:rsidR="005728DD" w:rsidRDefault="005728DD" w:rsidP="005728DD">
      <w:pPr>
        <w:pStyle w:val="TextoNormal"/>
      </w:pPr>
      <w:r>
        <w:t>En cuanto a las alegaciones de que la argumentación del Tribunal Supremo es ilógica o arbitraria, el fiscal considera que la argumentación que realiza el Tribunal Supremo no tiene ningún error, ni resulta arbitraria ni irracional. En su mayor parte es coincidente con la sentencia de la Audiencia Nacional y por tanto con los argumentos de la entidad demandante de amparo. El punto en el que discrepa, señala el fiscal, la entidad demandante de amparo es en la interpretación que hace el Tribunal Supremo del Real Decreto-ley sobre relaciones de trabajo y la de la doctrina constitucional de la STC 11/1981. En concreto, cuando dice el Tribunal Supremo que en este caso, al resultar que son cinco los comités de huelga y cuarenta y tres el número total de miembros de los mismos, que acuden todos cuando son convocados a una reunión conjunta, los sindicatos abusaron de su derecho cuando se negaron al requerimiento del empresario de que formasen un único comité de huelga y no redujeron el número de los miembros del comité de huelga que acudían a negociar, porque no tenían derecho a tener cuarenta y tres miembros en la comisión negociadora.</w:t>
      </w:r>
    </w:p>
    <w:p w:rsidR="005728DD" w:rsidRDefault="005728DD" w:rsidP="005728DD">
      <w:pPr>
        <w:pStyle w:val="TextoNormal"/>
      </w:pPr>
    </w:p>
    <w:p w:rsidR="005728DD" w:rsidRDefault="005728DD" w:rsidP="005728DD">
      <w:pPr>
        <w:pStyle w:val="TextoNormal"/>
      </w:pPr>
      <w:r>
        <w:t>Considera el fiscal que esta argumentación basada en una interpretación del espíritu del Real Decreto-ley sobre relaciones de trabajo y de lo que dice la STC 11/1981, no es irracional ni absurda, es una de las interpretaciones posibles y por tanto desde el punto de vista del canon constitucional ordinario de la tutela judicial efectiva, no hay infracción de este derecho fundamental.</w:t>
      </w:r>
    </w:p>
    <w:p w:rsidR="005728DD" w:rsidRDefault="005728DD" w:rsidP="005728DD">
      <w:pPr>
        <w:pStyle w:val="TextoNormal"/>
      </w:pPr>
    </w:p>
    <w:p w:rsidR="005728DD" w:rsidRDefault="005728DD" w:rsidP="005728DD">
      <w:pPr>
        <w:pStyle w:val="TextoNormal"/>
      </w:pPr>
      <w:r>
        <w:t>Alega también el sindicato recurrente que es arbitraria la motivación de la sentencia porque el Tribunal Supremo parte de la idea de que los sindicatos realizaron las cinco convocatorias de huelga iguales, crearon los cinco comités de huelga y no accedieron a esa comisión reducida de los miembros de los comités de huelga, porque en realidad no querían negociar, sino que querían prolongar la huelga. Para el fiscal la argumentación del Tribunal Supremo en este punto tampoco es irracional o absurda, pues además de realizar una construcción lógica, se basa en las declaraciones realizadas por un sindicalista de CGT, que pueden interpretarse en tal sentido, pues según los hechos probados dijo que “la convocatoria de huelga por cada sindicato pretendía evitar que los cambios en la correlación de fuerzas dentro del comité de huelga, dejara sin efecto la huelga”.</w:t>
      </w:r>
    </w:p>
    <w:p w:rsidR="005728DD" w:rsidRDefault="005728DD" w:rsidP="005728DD">
      <w:pPr>
        <w:pStyle w:val="TextoNormal"/>
      </w:pPr>
    </w:p>
    <w:p w:rsidR="005728DD" w:rsidRDefault="005728DD" w:rsidP="005728DD">
      <w:pPr>
        <w:pStyle w:val="TextoNormal"/>
      </w:pPr>
      <w:r>
        <w:t xml:space="preserve">En definitiva, el fiscal no considera que la sentencia del Tribunal Supremo se pueda calificar en ningún punto de irracional, absurda o que contenga un error evidente en el sentido de la doctrina constitucional de la tutela judicial efectiva. A su entender, la cuestión de si la interpretación que realizó el Tribunal Supremo de las normas mencionadas, de la doctrina constitucional y de la actuación de los sindicatos en cumplimiento de las normas reguladoras del derecho de huelga, es o no conforme con el contenido esencial del derecho a la actividad sindical en relación o en ejercicio del derecho de huelga, no debe tratarse en el análisis del </w:t>
      </w:r>
      <w:r>
        <w:lastRenderedPageBreak/>
        <w:t>motivo de la vulneración del derecho a la tutela judicial efectiva, estimando que esta cuestión queda absorbida por la valoración de la posible violación del derecho a la libertad sindical en relación con el ejercicio del derecho de huelga que es objeto del segundo motivo de la demanda de amparo.</w:t>
      </w:r>
    </w:p>
    <w:p w:rsidR="005728DD" w:rsidRDefault="005728DD" w:rsidP="005728DD">
      <w:pPr>
        <w:pStyle w:val="TextoNormal"/>
      </w:pPr>
    </w:p>
    <w:p w:rsidR="005728DD" w:rsidRDefault="005728DD" w:rsidP="005728DD">
      <w:pPr>
        <w:pStyle w:val="TextoNormal"/>
      </w:pPr>
      <w:r>
        <w:t>Seguidamente, analiza el fiscal la vulneración del derecho de libertad sindical en relación con el derecho de huelga. Lo que en opinión del fiscal es la cuestión esencial del recurso es la afirmación que hace la sentencia del Tribunal Supremo en el fundamento jurídico quinto, que la huelga es abusiva porque “iniciada legalmente, devino en ilegal, conforme al art. 11 d) del Real Decreto-ley sobre relaciones de trabajo, por la conducta adoptada por los miembros de los comités de huelga al negarse a constituir una comisión negociadora con una composición más ajustada a las disposiciones de la norma reguladora, lo que impidió el desarrollo de una negociación que podría haber facilitado un acuerdo sobre el final de la huelga”.</w:t>
      </w:r>
    </w:p>
    <w:p w:rsidR="005728DD" w:rsidRDefault="005728DD" w:rsidP="005728DD">
      <w:pPr>
        <w:pStyle w:val="TextoNormal"/>
      </w:pPr>
    </w:p>
    <w:p w:rsidR="005728DD" w:rsidRDefault="005728DD" w:rsidP="005728DD">
      <w:pPr>
        <w:pStyle w:val="TextoNormal"/>
      </w:pPr>
      <w:r>
        <w:t>Señala que lo que viene a decir el Tribunal Supremo es que la negativa de los miembros de los comités de huelga a constituir una comisión negociadora con un número reducido de miembros de los comités de huelga, no se ajusta a las disposiciones del Real Decreto-ley sobre relaciones de trabajo. A su entender, la argumentación del Tribunal Supremo supone decir que, para que la huelga no fuera abusiva, los sindicatos deberían haber aceptado la exigencia que hace la empresa de que nombren una comisión negociadora con un número reducido de miembros, de manera que el Tribunal Supremo crea una limitación a la capacidad de negociación de los sindicatos, no establecida en la ley, realizando una interpretación extensiva, casi analógica, de la limitación contemplada en el art. 5 del Real Decreto-ley sobre relaciones de trabajo, para aplicarla a lo dispuesto en el art. 8.2. Esa interpretación, afirma el fiscal, vulnera la doctrina constitucional sobre cómo deben interpretarse las normas limitadoras de derechos fundamentales, pues esa interpretación limita el derecho a la negociación colectiva de los sindicatos.</w:t>
      </w:r>
    </w:p>
    <w:p w:rsidR="005728DD" w:rsidRDefault="005728DD" w:rsidP="005728DD">
      <w:pPr>
        <w:pStyle w:val="TextoNormal"/>
      </w:pPr>
    </w:p>
    <w:p w:rsidR="005728DD" w:rsidRDefault="005728DD" w:rsidP="005728DD">
      <w:pPr>
        <w:pStyle w:val="TextoNormal"/>
      </w:pPr>
      <w:r>
        <w:t>El fiscal tampoco considera acertada desde el punto de vista del contenido esencial del derecho a la libertad sindical, la valoración que hace la sentencia en cuanto a que los sindicatos impidieron el desarrollo de la negociación que podría haber facilitado un acuerdo sobre el final de la huelga, al negarse a constituir una comisión negociadora, con un número reducido de representantes de los comités de huelga, para que esa comisión negociase conjuntamente un acuerdo que pusiera fin a las cinco huelgas. Para el fiscal esa valoración olvida que fue la empresa la que pretendió imponer una limitación no prevista legalmente, y que no fueron los sindicatos quienes pretendían tener derecho a “obligar a la empresa a negociar con todos ellos conjuntamente”, fue la empresa la que ni siquiera una vez intentó la negociación por separado y la que les convocó para negociar conjuntamente, pero luego quería que los sindicatos se plegasen a hacerlo del modo que a ella le venía bien, aunque no estuviera previsto en la ley.</w:t>
      </w:r>
    </w:p>
    <w:p w:rsidR="005728DD" w:rsidRDefault="005728DD" w:rsidP="005728DD">
      <w:pPr>
        <w:pStyle w:val="TextoNormal"/>
      </w:pPr>
    </w:p>
    <w:p w:rsidR="005728DD" w:rsidRDefault="005728DD" w:rsidP="005728DD">
      <w:pPr>
        <w:pStyle w:val="TextoNormal"/>
      </w:pPr>
      <w:r>
        <w:t xml:space="preserve">Señala que la sentencia parte de la idea de que la unidad de acción de los sindicatos implicaba una perturbación de la negociación contraria a los principios que la debían regir, sin embargo el fiscal entiende que no queda claro por qué la unidad de acción es perturbadora para la negociación. En su opinión, si los sindicatos no han pretendido aumentar el daño a la empresa con las cinco convocatorias de huelga, pues han acordado los mismos </w:t>
      </w:r>
      <w:r>
        <w:lastRenderedPageBreak/>
        <w:t>días de paro y tampoco han planteado finalidades diferentes, que harían más difícil la negociación, no se cumple el requisito exigido por la doctrina constitucional para considerar una huelga abusiva que expresan las SSTC 41/1984, de 21 de marzo, FJ 2 y 72/1982, de 2 de diciembre, FJ 4. Para el fiscal si los sindicatos eligieron hacer una huelga cada uno, presumiblemente por desconfianza entre ellos, pero luego eligieron coordinarse para que los paros fueran los mismos días adoptando una unidad de acción, de modo que no se perjudicase a la empresa más de lo necesario, no parece que se les pueda imputar ese daño grave “buscado por los huelguistas más allá de lo que es razonablemente requerido por la propia actividad conflictiva y por las exigencias inherentes a la presión que la huelga necesariamente implica”, que sería necesaria para entender que han abusado de su derecho.</w:t>
      </w:r>
    </w:p>
    <w:p w:rsidR="005728DD" w:rsidRDefault="005728DD" w:rsidP="005728DD">
      <w:pPr>
        <w:pStyle w:val="TextoNormal"/>
      </w:pPr>
    </w:p>
    <w:p w:rsidR="005728DD" w:rsidRDefault="005728DD" w:rsidP="005728DD">
      <w:pPr>
        <w:pStyle w:val="TextoNormal"/>
      </w:pPr>
      <w:r>
        <w:t>Por otra parte, señala el fiscal que la argumentación de la sentencia parte de una consideración que parece evidente: para la empresa es más fácil negociar si la representación de los trabajadores tiene un menor número de personas. Pero, en su opinión la mayor o menor dificultad vendrá dada por la calidad de los negociadores, más que por su número, y no está claro que sea más difícil negociar con cada comité de huelga por separado que hacerlo de forma conjunta, pues en la sentencia de la Audiencia Nacional hay argumentos respecto a las ventajas e inconvenientes que puede suponer para la empresa la negociación por separado.</w:t>
      </w:r>
    </w:p>
    <w:p w:rsidR="005728DD" w:rsidRDefault="005728DD" w:rsidP="005728DD">
      <w:pPr>
        <w:pStyle w:val="TextoNormal"/>
      </w:pPr>
    </w:p>
    <w:p w:rsidR="005728DD" w:rsidRDefault="005728DD" w:rsidP="005728DD">
      <w:pPr>
        <w:pStyle w:val="TextoNormal"/>
      </w:pPr>
      <w:r>
        <w:t>Considera que es la empresa la que pretendía un criterio restrictivo de representación, no previsto en la ley, para negociar conjuntamente y no intentó una negociación por separado. Luego fue la estrategia negociadora de la empresa la que impidió el desarrollo de la negociación, o al menos tuvo la misma responsabilidad que los sindicatos, al pretender una limitación de los representantes de los trabajadores no prevista legalmente y que, en las circunstancias que se daban en ese conflicto, con cinco huelgas diferentes, sabía que muy probablemente no podría ser llevada a cabo por los sindicatos, pues requería un acuerdo entre ellos sobre el número de representantes que cada uno enviaba.</w:t>
      </w:r>
    </w:p>
    <w:p w:rsidR="005728DD" w:rsidRDefault="005728DD" w:rsidP="005728DD">
      <w:pPr>
        <w:pStyle w:val="TextoNormal"/>
      </w:pPr>
    </w:p>
    <w:p w:rsidR="005728DD" w:rsidRDefault="005728DD" w:rsidP="005728DD">
      <w:pPr>
        <w:pStyle w:val="TextoNormal"/>
      </w:pPr>
      <w:r>
        <w:t>En definitiva, en cuanto a la negociación para llegar a un acuerdo exigida por el art. 8.2 del Real Decreto-ley sobre relaciones de trabajo señala el fiscal lo siguiente:</w:t>
      </w:r>
    </w:p>
    <w:p w:rsidR="005728DD" w:rsidRDefault="005728DD" w:rsidP="005728DD">
      <w:pPr>
        <w:pStyle w:val="TextoNormal"/>
      </w:pPr>
    </w:p>
    <w:p w:rsidR="005728DD" w:rsidRDefault="005728DD" w:rsidP="005728DD">
      <w:pPr>
        <w:pStyle w:val="TextoNormal"/>
      </w:pPr>
      <w:r>
        <w:t>a) Los sindicatos llevaron su particular estrategia en la convocatoria de las huelgas y en la negociación con la empresa sin que resulte de los hechos probados que en ningún momento se negasen a negociar dentro del marco normativo que establece el Real Decreto-ley sobre relaciones de trabajo, ni que pretendiesen causar a la empresa un daño grave, más allá “de lo que es razonablemente requerido por la propia actividad conflictiva y por las exigencias inherentes a la presión que la huelga necesariamente implica”.</w:t>
      </w:r>
    </w:p>
    <w:p w:rsidR="005728DD" w:rsidRDefault="005728DD" w:rsidP="005728DD">
      <w:pPr>
        <w:pStyle w:val="TextoNormal"/>
      </w:pPr>
    </w:p>
    <w:p w:rsidR="005728DD" w:rsidRDefault="005728DD" w:rsidP="005728DD">
      <w:pPr>
        <w:pStyle w:val="TextoNormal"/>
      </w:pPr>
      <w:r>
        <w:t>b) La empresa llevó a cabo su estrategia negociadora pretendiendo un órgano negociador conjunto de las cinco huelgas, pero con un número reducido de miembros que no está previsto en la norma que regula la cuestión, lo que suponía presionar a los sindicatos que, por las cinco convocatorias y las declaraciones de los sindicalistas mencionadas en los hechos probados, se podía apreciar que desconfiaban unos de otros.</w:t>
      </w:r>
    </w:p>
    <w:p w:rsidR="005728DD" w:rsidRDefault="005728DD" w:rsidP="005728DD">
      <w:pPr>
        <w:pStyle w:val="TextoNormal"/>
      </w:pPr>
    </w:p>
    <w:p w:rsidR="005728DD" w:rsidRDefault="005728DD" w:rsidP="005728DD">
      <w:pPr>
        <w:pStyle w:val="TextoNormal"/>
      </w:pPr>
      <w:r>
        <w:t xml:space="preserve">Con estos datos, considera el fiscal que la interpretación de la normativa reguladora del derecho de huelga que hace el Tribunal Supremo, no es acorde con el contenido esencial del derecho a la libertad sindical en relación con el derecho de huelga, puesto que las normas </w:t>
      </w:r>
      <w:r>
        <w:lastRenderedPageBreak/>
        <w:t>restrictivas de derechos deben interpretarse restrictivamente. A su juicio, que el Tribunal Constitucional considerase acorde con la constitución la norma que limita a doce el número de miembros de un comité de huelga, porque de este modo se facilita la negociación, no quiere decir que los tribunales puedan hacer una interpretación extensiva o analógica, en caso de varias huelgas y por tanto de varios comités de huelga, para establecer una limitación del número de los miembros del comité de huelga que puedan acudir a una reunión conjunta con el empresario para negociar la salida de las huelgas, considerando la huelga abusiva por no acceder a esa limitación, restringiendo sin una norma legal expresa el derecho a la libertad sindical en relación con el derecho de huelga.</w:t>
      </w:r>
    </w:p>
    <w:p w:rsidR="005728DD" w:rsidRDefault="005728DD" w:rsidP="005728DD">
      <w:pPr>
        <w:pStyle w:val="TextoNormal"/>
      </w:pPr>
    </w:p>
    <w:p w:rsidR="005728DD" w:rsidRDefault="005728DD" w:rsidP="005728DD">
      <w:pPr>
        <w:pStyle w:val="TextoNormal"/>
      </w:pPr>
      <w:r>
        <w:t>Y, el fiscal, tampoco estima acorde con el contenido esencial del derecho a la libertad sindical, considerar que es un ejercicio abusivo del derecho a la huelga en relación con la negociación colectiva, la estrategia negociadora de los sindicatos, permitida por la ley, de convocar cinco huelgas creando así cinco comités de huelga, pero acordando unos mismos días de paro de forma que no se perjudicaba más de lo necesario a la empresa, si cuando han sido convocados han acudido a la reunión para negociar conjuntamente y solo se han negado a crear una comisión más reducida no prevista legalmente, para negociar con la empresa.</w:t>
      </w:r>
    </w:p>
    <w:p w:rsidR="005728DD" w:rsidRDefault="005728DD" w:rsidP="005728DD">
      <w:pPr>
        <w:pStyle w:val="TextoNormal"/>
      </w:pPr>
    </w:p>
    <w:p w:rsidR="005728DD" w:rsidRDefault="005728DD" w:rsidP="005728DD">
      <w:pPr>
        <w:pStyle w:val="TextoNormal"/>
      </w:pPr>
      <w:r>
        <w:t>Por todo ello, el fiscal considera que la sentencia del Tribunal Supremo vulneró el derecho a la libertad sindical en relación con el derecho de huelga al declarar esta como abusiva.</w:t>
      </w:r>
    </w:p>
    <w:p w:rsidR="005728DD" w:rsidRDefault="005728DD" w:rsidP="005728DD">
      <w:pPr>
        <w:pStyle w:val="TextoNormal"/>
      </w:pPr>
    </w:p>
    <w:p w:rsidR="005728DD" w:rsidRDefault="005728DD" w:rsidP="005728DD">
      <w:pPr>
        <w:pStyle w:val="TextoNormal"/>
      </w:pPr>
      <w:r w:rsidRPr="005728DD">
        <w:rPr>
          <w:rStyle w:val="NumeroAFNegritaCaracter"/>
        </w:rPr>
        <w:t>9</w:t>
      </w:r>
      <w:r>
        <w:t>. La Confederación General del Trabajo y el Sindicato Ferroviario SF-Intersindical no presentaron escritos de alegaciones.</w:t>
      </w:r>
    </w:p>
    <w:p w:rsidR="005728DD" w:rsidRDefault="005728DD" w:rsidP="005728DD">
      <w:pPr>
        <w:pStyle w:val="TextoNormal"/>
      </w:pPr>
    </w:p>
    <w:p w:rsidR="005728DD" w:rsidRDefault="005728DD" w:rsidP="005728DD">
      <w:pPr>
        <w:pStyle w:val="TextoNormal"/>
      </w:pPr>
      <w:r w:rsidRPr="005728DD">
        <w:rPr>
          <w:rStyle w:val="NumeroAFNegritaCaracter"/>
        </w:rPr>
        <w:t>10</w:t>
      </w:r>
      <w:r>
        <w:t>. Por providencia de 17 de junio de 2021, se señaló para la deliberación y votación de la presente sentencia el día 21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w:t>
      </w:r>
      <w:r>
        <w:t>.</w:t>
      </w:r>
    </w:p>
    <w:p w:rsidR="005728DD" w:rsidRDefault="005728DD" w:rsidP="005728DD">
      <w:pPr>
        <w:pStyle w:val="TextoNormal"/>
      </w:pPr>
    </w:p>
    <w:p w:rsidR="005728DD" w:rsidRDefault="005728DD" w:rsidP="005728DD">
      <w:pPr>
        <w:pStyle w:val="TextoNormal"/>
      </w:pPr>
      <w:r>
        <w:t>El presente recurso de amparo se dirige contra la sentencia de la Sala de lo Social del Tribunal Supremo de 25 de abril de 2019, que estimó el recurso de casación interpuesto por la representación legal de Ferrovial Servicios, S.A., contra la sentencia dictada por la Sala de lo Social de la Audiencia Nacional de 18 de julio de 2017 que desestimó la pretensión de la empresa de declarar ilegal la huelga, convocada por separado por cinco sindicatos, y celebrada en la empresa, así como contra el auto del mismo órgano judicial de 20 de noviembre de 2019 que desestimó el incidente de nulidad de actuaciones interpuesto contra la anterior resolución.</w:t>
      </w:r>
    </w:p>
    <w:p w:rsidR="005728DD" w:rsidRDefault="005728DD" w:rsidP="005728DD">
      <w:pPr>
        <w:pStyle w:val="TextoNormal"/>
      </w:pPr>
    </w:p>
    <w:p w:rsidR="005728DD" w:rsidRDefault="005728DD" w:rsidP="005728DD">
      <w:pPr>
        <w:pStyle w:val="TextoNormal"/>
      </w:pPr>
      <w:r>
        <w:t xml:space="preserve">El sindicato demandante alega vulneración del derecho a la tutela judicial efectiva (art. 24.1 CE) porque la argumentación de la sentencia del Tribunal Supremo resulta ilógica y arbitraria, dado que si no hay fraude en la convocatoria de las cinco huelgas, el carácter abusivo de la huelga debe acreditarse, y en el presente supuesto nada se ha acreditado respecto de que la constitución de cinco comités de huelga impidiera el desarrollo de la negociación. Alega también vulneración del derecho de libertad sindical en relación con el derecho de huelga (art. 28 CE), al establecer las resoluciones recurridas que las organizaciones </w:t>
      </w:r>
      <w:r>
        <w:lastRenderedPageBreak/>
        <w:t>sindicales convocantes de una huelga, en las mismas fechas y por los mismos motivos, deben constituir un único comité de huelga cuando esta previsión no cuenta con amparo normativo alguno.</w:t>
      </w:r>
    </w:p>
    <w:p w:rsidR="005728DD" w:rsidRDefault="005728DD" w:rsidP="005728DD">
      <w:pPr>
        <w:pStyle w:val="TextoNormal"/>
      </w:pPr>
    </w:p>
    <w:p w:rsidR="005728DD" w:rsidRDefault="005728DD" w:rsidP="005728DD">
      <w:pPr>
        <w:pStyle w:val="TextoNormal"/>
      </w:pPr>
      <w:r>
        <w:t>La representación de la mercantil Ferrovial Servicios, S.A., solicita la desestimación del recurso de amparo pues, a su juicio, la constitución de un comité de huelga de cuarenta y tres miembros no forma parte esencial del derecho de huelga y el respeto a la pluralidad sindical no está por encima de otros derechos también necesitados de protección. La Federación de Servicios a la Ciudadanía de Comisiones Obreras solicita la estimación del amparo porque la resolución recurrida impone un gravamen no previsto en la ley a los sindicatos convocantes de la huelga que supone una intromisión en el ejercicio de los derechos de libertad sindical y de huelga. Por su parte, el Ministerio Fiscal solicita la estimación del recurso de amparo al entender, por los motivos recogidos en los antecedentes de hecho, que la sentencia del Tribunal Supremo vulneró el derecho a la libertad sindical en relación con el derecho de huelga al declarar esta como abusiva.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Vulneración del derecho a la tutela judicial efectiva</w:t>
      </w:r>
      <w:r>
        <w:t>.</w:t>
      </w:r>
    </w:p>
    <w:p w:rsidR="005728DD" w:rsidRDefault="005728DD" w:rsidP="005728DD">
      <w:pPr>
        <w:pStyle w:val="TextoNormal"/>
      </w:pPr>
    </w:p>
    <w:p w:rsidR="005728DD" w:rsidRDefault="005728DD" w:rsidP="005728DD">
      <w:pPr>
        <w:pStyle w:val="TextoNormal"/>
      </w:pPr>
      <w:r>
        <w:t>Comenzaremos el análisis de los motivos alegados por el relativo a la vulneración del derecho a la tutela judicial efectiva.</w:t>
      </w:r>
    </w:p>
    <w:p w:rsidR="005728DD" w:rsidRDefault="005728DD" w:rsidP="005728DD">
      <w:pPr>
        <w:pStyle w:val="TextoNormal"/>
      </w:pPr>
    </w:p>
    <w:p w:rsidR="005728DD" w:rsidRDefault="005728DD" w:rsidP="005728DD">
      <w:pPr>
        <w:pStyle w:val="TextoNormal"/>
      </w:pPr>
      <w:r>
        <w:t>El sindicato recurrente, al exponer las razones por las que entiende que las resoluciones recurridas vulneran el derecho a la tutela judicial efectiva, realiza escuetas referencias a aspectos concretos de este derecho fundamental de tal manera que la gran mayoría de los argumentos que, bajo el encabezamiento de “vulneración del derecho a la tutela judicial efectiva”, se plantean en la demanda, hacen referencia a la vulneración del contenido esencial del derecho a la libertad sindical en relación con el derecho de huelga. Por otro lado, cuando expone los motivos por los que considera vulnerado este último derecho, realiza alguna referencia al derecho a la tutela judicial efectiva que no se incluye en el apartado correspondiente. Por ello, en este fundamento jurídico analizaremos las alegaciones de la demanda de amparo que efectivamente afectan al derecho a la tutela judicial efectiva, incluidas de forma discrecional en uno u otro apartado de la demanda. Estas alegaciones pueden sintetizarse en dos: vulneración del derecho a la tutela judicial efectiva en su vertiente de derecho de acceso a la jurisdicción y arbitrariedad de la sentencia recurrida.</w:t>
      </w:r>
    </w:p>
    <w:p w:rsidR="005728DD" w:rsidRDefault="005728DD" w:rsidP="005728DD">
      <w:pPr>
        <w:pStyle w:val="TextoNormal"/>
      </w:pPr>
    </w:p>
    <w:p w:rsidR="005728DD" w:rsidRDefault="005728DD" w:rsidP="005728DD">
      <w:pPr>
        <w:pStyle w:val="TextoNormal"/>
      </w:pPr>
      <w:r>
        <w:t xml:space="preserve">El derecho de acceso a la jurisdicción tiene su fundamento directo en el derecho a la tutela judicial (art. 24.1 CE), en donde el principio </w:t>
      </w:r>
      <w:r w:rsidRPr="005728DD">
        <w:rPr>
          <w:i/>
        </w:rPr>
        <w:t>pro actione</w:t>
      </w:r>
      <w:r>
        <w:t xml:space="preserve"> opera con la máxima intensidad para obtener del órgano judicial una resolución sobre el fondo de las pretensiones, aunque también pueda ser esta satisfecha con una decisión de inadmisión, por razones formales o materiales, siempre que sea motivada y se funde en la existencia de una causa legal que resulte aplicada razonablemente. En lo que se refiere al derecho a la tutela judicial efectiva (art. 24.1 CE), en su vertiente de derecho de acceso a la jurisdicción y la aplicación del principio </w:t>
      </w:r>
      <w:r w:rsidRPr="005728DD">
        <w:rPr>
          <w:i/>
        </w:rPr>
        <w:t>pro actione</w:t>
      </w:r>
      <w:r>
        <w:t xml:space="preserve">, el tribunal mantiene, “que, dada la trascendencia que para la tutela judicial tienen las decisiones de denegación de acceso a la jurisdicción, su control constitucional ha de verificarse de forma especialmente intensa, a través de los criterios que proporciona el principio </w:t>
      </w:r>
      <w:r w:rsidRPr="005728DD">
        <w:rPr>
          <w:i/>
        </w:rPr>
        <w:t>pro actione</w:t>
      </w:r>
      <w:r>
        <w:t xml:space="preserve">, entendido no como la forzosa selección de la interpretación más favorable a la admisión de entre todas las posibles de las normas que la regulan, sino como la interdicción de aquellas decisiones impeditivas de un pronunciamiento sobre el </w:t>
      </w:r>
      <w:r>
        <w:lastRenderedPageBreak/>
        <w:t>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ratio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(STC 141/2020, de 19 de octubre, FJ 3).</w:t>
      </w:r>
    </w:p>
    <w:p w:rsidR="005728DD" w:rsidRDefault="005728DD" w:rsidP="005728DD">
      <w:pPr>
        <w:pStyle w:val="TextoNormal"/>
      </w:pPr>
    </w:p>
    <w:p w:rsidR="005728DD" w:rsidRDefault="005728DD" w:rsidP="005728DD">
      <w:pPr>
        <w:pStyle w:val="TextoNormal"/>
      </w:pPr>
      <w:r>
        <w:t>Pues bien, teniendo en cuenta esta doctrina, no se alcanza a comprender en qué manera el sindicato recurrente puede entender que ha sido vulnerado el derecho a la tutela judicial efectiva en su vertiente de derecho de acceso a la jurisdicción porque en ningún momento se ha denegado su derecho de acceso y ha podido intervenir en el procedimiento, tanto en la Audiencia Nacional como en el Tribunal Supremo, donde se han dictado las resoluciones de fondo correspondientes. No ha habido, por tanto, ninguna resolución que haya impedido la obtención de una respuesta judicial sobre el fondo de los derechos e intereses sometidos a tutela. Lo que ha sucedido es que el Tribunal Supremo ha dictado un pronunciamiento de fondo contrario a las propuestas del sindicato recurrente, pero esto no es contrario al derecho a la tutela judicial efectiva.</w:t>
      </w:r>
    </w:p>
    <w:p w:rsidR="005728DD" w:rsidRDefault="005728DD" w:rsidP="005728DD">
      <w:pPr>
        <w:pStyle w:val="TextoNormal"/>
      </w:pPr>
    </w:p>
    <w:p w:rsidR="005728DD" w:rsidRDefault="005728DD" w:rsidP="005728DD">
      <w:pPr>
        <w:pStyle w:val="TextoNormal"/>
      </w:pPr>
      <w:r>
        <w:t>Por lo que se refiere a las alegaciones del sindicato recurrente acerca del razonamiento ilógico o arbitrario de la sentencia del Tribunal Supremo, hemos de recordar que, según reiterada doctrina de este tribunal, recogida, entre otras, en la STC 308/2006, de 23 de octubre, FJ 5,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artículo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005728DD" w:rsidRDefault="005728DD" w:rsidP="005728DD">
      <w:pPr>
        <w:pStyle w:val="TextoNormal"/>
      </w:pPr>
    </w:p>
    <w:p w:rsidR="005728DD" w:rsidRDefault="005728DD" w:rsidP="005728DD">
      <w:pPr>
        <w:pStyle w:val="TextoNormal"/>
      </w:pPr>
      <w:r>
        <w:t xml:space="preserve">Ello implica, en primer lugar, que la resolución ha de estar motivada, es decir, contener los elementos y razones de juicio que permitan conocer cuáles han sido los criterios jurídicos que fundamentan la decisión (SSTC 58/1997, de 18 de marzo, FJ 2, y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w:t>
      </w:r>
      <w:r>
        <w:lastRenderedPageBreak/>
        <w:t>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(por todas, SSTC 25/2000, de 31 de enero, FJ 2, y 221/2001, de 31 de octubre, FJ 6). En suma, el art. 24 CE impone a los órganos judiciales no solo la obligación de ofrecer una respuesta motivada a las pretensiones deducidas, sino que, además, esta ha de tener contenido jurídico y no resultar arbitraria (entre otras, STC 8/2005, de 17 de enero, FJ 3)”.</w:t>
      </w:r>
    </w:p>
    <w:p w:rsidR="005728DD" w:rsidRDefault="005728DD" w:rsidP="005728DD">
      <w:pPr>
        <w:pStyle w:val="TextoNormal"/>
      </w:pPr>
    </w:p>
    <w:p w:rsidR="005728DD" w:rsidRDefault="005728DD" w:rsidP="005728DD">
      <w:pPr>
        <w:pStyle w:val="TextoNormal"/>
      </w:pPr>
      <w:r>
        <w:t>El sindicato recurrente discrepa de la interpretación que el Tribunal Supremo hace del Real Decreto-ley sobre relaciones de trabajo y de la doctrina de la STC 11/1981, pero, aplicando la doctrina constitucional expuesta, debemos concluir que la argumentación de las resoluciones recurridas no es arbitraria ni irracional sino una de las interpretaciones posibles en aras a facilitar la negociación para llegar a un acuerdo que ponga fin a la huelga.</w:t>
      </w:r>
    </w:p>
    <w:p w:rsidR="005728DD" w:rsidRDefault="005728DD" w:rsidP="005728DD">
      <w:pPr>
        <w:pStyle w:val="TextoNormal"/>
      </w:pPr>
    </w:p>
    <w:p w:rsidR="005728DD" w:rsidRDefault="005728DD" w:rsidP="005728DD">
      <w:pPr>
        <w:pStyle w:val="TextoNormal"/>
      </w:pPr>
      <w:r>
        <w:t>Se alega también que la motivación de la sentencia es arbitraria porque, para llegar a la conclusión de que la huelga es abusiva, el Tribunal Supremo parte de la idea de que los sindicatos realizaron las cinco convocatorias de huelga iguales, crearon los cinco comités de huelga y no accedieron a esa comisión reducida de los miembros de los comités de huelga, porque en realidad no querían negociar sino prolongar la huelga.</w:t>
      </w:r>
    </w:p>
    <w:p w:rsidR="005728DD" w:rsidRDefault="005728DD" w:rsidP="005728DD">
      <w:pPr>
        <w:pStyle w:val="TextoNormal"/>
      </w:pPr>
    </w:p>
    <w:p w:rsidR="005728DD" w:rsidRDefault="005728DD" w:rsidP="005728DD">
      <w:pPr>
        <w:pStyle w:val="TextoNormal"/>
      </w:pPr>
      <w:r>
        <w:t>Para dar respuesta a la anterior cuestión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164/2002, de 27 de septiembre, FJ 4).</w:t>
      </w:r>
    </w:p>
    <w:p w:rsidR="005728DD" w:rsidRDefault="005728DD" w:rsidP="005728DD">
      <w:pPr>
        <w:pStyle w:val="TextoNormal"/>
      </w:pPr>
    </w:p>
    <w:p w:rsidR="005728DD" w:rsidRDefault="005728DD" w:rsidP="005728DD">
      <w:pPr>
        <w:pStyle w:val="TextoNormal"/>
      </w:pPr>
      <w:r>
        <w:t>Esto no ocurre en el presente caso en el que no puede apreciarse ningún defecto relevante en el enjuiciamiento del Tribunal Supremo que permita calificar de irrazonable la conclusión alcanzada. La argumentación del Tribunal Supremo no es irracional porque se basa en el hecho de que las cinco huelgas tenían el mismo objeto y coincidían los paros con los mismos días en todas las convocatorias, de donde se puede deducir que las cinco convocatorias de huelga encubrían realmente una sola convocatoria. El razonamiento del Tribunal Supremo no resulta ajeno a la lógica ni puede considerarse arbitrario, pues no parte de premisas falsas, ni de las mismas extrae una consecuencia que no pueda derivar de ellas.</w:t>
      </w:r>
    </w:p>
    <w:p w:rsidR="005728DD" w:rsidRDefault="005728DD" w:rsidP="005728DD">
      <w:pPr>
        <w:pStyle w:val="TextoNormal"/>
      </w:pPr>
    </w:p>
    <w:p w:rsidR="005728DD" w:rsidRDefault="005728DD" w:rsidP="005728DD">
      <w:pPr>
        <w:pStyle w:val="TextoNormal"/>
      </w:pPr>
      <w:r>
        <w:t>Por lo tanto, no cabe apreciar la vulneración del derecho a la tutela judicial efectiva alegada por el sindicato recurrente.</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Vulneración del derecho de libertad sindical en relación con el derecho de huelga</w:t>
      </w:r>
      <w:r>
        <w:t>.</w:t>
      </w:r>
    </w:p>
    <w:p w:rsidR="005728DD" w:rsidRDefault="005728DD" w:rsidP="005728DD">
      <w:pPr>
        <w:pStyle w:val="TextoNormal"/>
      </w:pPr>
    </w:p>
    <w:p w:rsidR="005728DD" w:rsidRDefault="005728DD" w:rsidP="005728DD">
      <w:pPr>
        <w:pStyle w:val="TextoNormal"/>
      </w:pPr>
      <w:r>
        <w:t>Sostiene el sindicato recurrente que se ha vulnerado el derecho a la actividad sindical, incluido en el derecho de libertad sindical, al limitarse el ejercicio del derecho de huelga sin amparo en ninguna norma previa. A su juicio, se ha vulnerado su derecho a la libertad sindical en relación con el derecho de huelga porque la sentencia del Tribunal Supremo calificó la huelga de abusiva por la conducta adoptada por los miembros de los comités de huelga al negarse a constituir una comisión negociadora con una composición más ajustada a las disposiciones de la norma reguladora. Considera que la resolución recurrida declara ilegal la huelga por abusiva en base a la mera presunción de que un número menor de representantes hubiera facilitado un acuerdo.</w:t>
      </w:r>
    </w:p>
    <w:p w:rsidR="005728DD" w:rsidRDefault="005728DD" w:rsidP="005728DD">
      <w:pPr>
        <w:pStyle w:val="TextoNormal"/>
      </w:pPr>
    </w:p>
    <w:p w:rsidR="005728DD" w:rsidRDefault="005728DD" w:rsidP="005728DD">
      <w:pPr>
        <w:pStyle w:val="TextoNormal"/>
      </w:pPr>
      <w:r>
        <w:t>Antes de adentrarnos en el fondo del asunto debemos recordar la doctrina constitucional sobre los derechos fundamentales alegados.</w:t>
      </w:r>
    </w:p>
    <w:p w:rsidR="005728DD" w:rsidRDefault="005728DD" w:rsidP="005728DD">
      <w:pPr>
        <w:pStyle w:val="TextoNormal"/>
      </w:pPr>
    </w:p>
    <w:p w:rsidR="005728DD" w:rsidRDefault="005728DD" w:rsidP="005728DD">
      <w:pPr>
        <w:pStyle w:val="TextoNormal"/>
      </w:pPr>
      <w:r>
        <w:t xml:space="preserve">Según reiterada doctrina constitucional, dentro del contenido esencial del derecho a la libertad sindical se integra el derecho de huelga. En efecto, “el artículo 28.1 CE integra, además de la vertiente organizativa de la libertad sindical, los derechos de actividad y medios de acción de los sindicatos —huelga, negociación colectiva, promoción de conflictos—, que constituyen el núcleo mínimo, indispensable e indisponible de la libertad sindical (por todas, recogiendo reiterada doctrina, STC 64/2016, de 11 de abril, FJ 4)” (STC 123/2018, de 12 de noviembre, FJ 4). Como recuerda la STC 281/2005, de 7 de noviembre, FJ 3, “aun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w:t>
      </w:r>
      <w:r w:rsidRPr="005728DD">
        <w:rPr>
          <w:i/>
        </w:rPr>
        <w:t>numerus clausus</w:t>
      </w:r>
      <w:r>
        <w:t>, sino que en el contenido de dicho precepto se integra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Las anteriores expresiones del derecho fundamental (organizativas o asociativas y funcionales o de actividad) constituyen su núcleo mínimo e indisponible, el contenido esencial de la libertad sindical. En particular, en coherencia con la vertiente funcional del derecho, la Ley Orgánica de libertad sindical (LOLS) establece que la libertad sindical comprende el derecho a la actividad sindical [art. 2.1 d)] y, de otra parte, que las organizaciones sindicales, en el ejercicio de su libertad sindical, tienen derecho a desarrollar actividades sindicales en la empresa o fuera de ella [art. 2.2 d)]”.</w:t>
      </w:r>
    </w:p>
    <w:p w:rsidR="005728DD" w:rsidRDefault="005728DD" w:rsidP="005728DD">
      <w:pPr>
        <w:pStyle w:val="TextoNormal"/>
      </w:pPr>
    </w:p>
    <w:p w:rsidR="005728DD" w:rsidRDefault="005728DD" w:rsidP="005728DD">
      <w:pPr>
        <w:pStyle w:val="TextoNormal"/>
      </w:pPr>
      <w:r>
        <w:t xml:space="preserve">El derecho de los sindicatos a la huelga reconocido en el art. 2.2 d) LOLS es un derecho constitucional reconocido en el art. 28.2 CE. “Define el derecho de huelga el ser un derecho atribuido a los trabajadores </w:t>
      </w:r>
      <w:r w:rsidRPr="005728DD">
        <w:rPr>
          <w:i/>
        </w:rPr>
        <w:t>uti singuli</w:t>
      </w:r>
      <w:r>
        <w:t xml:space="preserve">, aunque tenga que ser ejercitado colectivamente mediante concierto o acuerdo entre ellos. Para aclarar lo que se entiende por ejercicio colectivo </w:t>
      </w:r>
      <w:r>
        <w:lastRenderedPageBreak/>
        <w:t>debe señalarse que son facultades del derecho de huelga la convocatoria o llamada, el establecimiento de las reivindicaciones, la publicidad o proyección exterior, la negociación y, finalmente, la decisión de darla por terminada. Se puede, por ello, decir que si bien la titularidad del derecho de huelga pertenece a los trabajadores y que a cada uno de ellos corresponde el derecho de sumarse o no a las huelgas declaradas, las facultades en que consiste el ejercicio del derecho de huelga, en cuanto acción colectiva y concertada, corresponden tanto a los trabajadores como a sus representantes y a las organizaciones sindicales” (STC 11/1981, de 8 de abril, FJ 11).</w:t>
      </w:r>
    </w:p>
    <w:p w:rsidR="005728DD" w:rsidRDefault="005728DD" w:rsidP="005728DD">
      <w:pPr>
        <w:pStyle w:val="TextoNormal"/>
      </w:pPr>
    </w:p>
    <w:p w:rsidR="005728DD" w:rsidRDefault="005728DD" w:rsidP="005728DD">
      <w:pPr>
        <w:pStyle w:val="TextoNormal"/>
      </w:pPr>
      <w:r>
        <w:t>El ejercicio del derecho de huelga admite ciertas limitaciones pues ningún derecho constitucional es un derecho ilimitado. “Como todos, el de huelga ha de tener los suyos, que derivan […] no solo de su posible conexión con otros derechos constitucionales, sino también con otros bienes constitucionalmente protegidos” (STC 11/1981, FJ 9).</w:t>
      </w:r>
    </w:p>
    <w:p w:rsidR="005728DD" w:rsidRDefault="005728DD" w:rsidP="005728DD">
      <w:pPr>
        <w:pStyle w:val="TextoNormal"/>
      </w:pPr>
    </w:p>
    <w:p w:rsidR="005728DD" w:rsidRDefault="005728DD" w:rsidP="005728DD">
      <w:pPr>
        <w:pStyle w:val="TextoNormal"/>
      </w:pPr>
      <w:r>
        <w:t>“Como cualquier otro derecho, el de huelga ha de moverse dentro de un perímetro que marcan, por una parte, su conexión o su oposición respecto de otros derechos con asiento en la Constitución, más o menos intensamente protegidos y, por la otra, los límites cuyo establecimiento se deja a la ley, siempre que en ningún caso se llegue a negar o menoscabar su contenido esencial. Este, en principio, consiste en la cesación del trabajo en cualquiera de sus manifestaciones, núcleo que implica a su vez la facultad de declararse en huelga, estableciendo su causa, motivo y fin y la de elegir la modalidad que se considera más idónea al respecto, dentro de los tipos aceptados legalmente” (STC 123/1992, de 28 de septiembre, FJ 4). Por lo tanto, el ejercicio del derecho de huelga puede quedar sometido en virtud de la ley a procedimiento o a algún tipo de formalismo o formalidad “porque el art. 53. CE permite que el legislador regule las ‘condiciones de ejercicio’ de los derechos fundamentales, siendo preciso que tales procedimientos y formalismos no sean arbitrarios, tengan por objeto proteger bienes e intereses constitucionalmente protegidos y que no sean tan rígidos o difíciles de cumplir que en la práctica hagan imposible el ejercicio del deber” (STC 332/1994, de 19 de diciembre, FJ 5).</w:t>
      </w:r>
    </w:p>
    <w:p w:rsidR="005728DD" w:rsidRDefault="005728DD" w:rsidP="005728DD">
      <w:pPr>
        <w:pStyle w:val="TextoNormal"/>
      </w:pPr>
    </w:p>
    <w:p w:rsidR="005728DD" w:rsidRDefault="005728DD" w:rsidP="005728DD">
      <w:pPr>
        <w:pStyle w:val="TextoNormal"/>
      </w:pPr>
      <w:r>
        <w:t xml:space="preserve">El procedimiento previsto por la ley para el ejercicio del derecho de huelga prevé la constitución de un comité de huelga cuya función es la de “participar en cuantas actuaciones sindicales, administrativas o judiciales se realicen para la solución del conflicto” (art. 5 del Real Decreto-ley sobre relaciones de trabajo). La exposición de motivos de este real decreto-ley reconoce al comité de huelga como “órgano de representación de los trabajadores en conflicto”. Como señaló la STC 11/1981, FJ 16, la existencia del comité de huelga posee plena justificación. En efecto, “la huelga es un instrumento de defensa de intereses. Tiene por objeto abrir una negociación, forzarla si se quiere y llegar a un compromiso o pacto. Es clara, por ello, la necesidad de decidir quiénes son las personas que tienen que llevar a cabo la negociación. Además, el pacto de finalización de la huelga alcanza el mismo valor que el convenio colectivo. Tiene por ello que existir un instrumento de la negociación y la exigencia de la formación del comité responde claramente a esta necesidad. No se puede tildar de inconstitucional el deber de comunicar al empresario la formación del comité, ni la competencia que a este se atribuye para participar en las actuaciones. La limitación numérica es un criterio sensato en la medida en que los comités demasiado amplios dificultan los acuerdos. La necesaria designación de los componentes del comité de huelga entre trabajadores del centro afectado por el conflicto, se corresponde con la naturaleza y con las funciones del comité y no desconoce, en la interpretación que damos, el protagonismo que corresponde a </w:t>
      </w:r>
      <w:r>
        <w:lastRenderedPageBreak/>
        <w:t>los sindicatos en el proceso de huelga. El comité es, por un lado, órgano de defensa y negociación con el objeto de llegar a una solución del conflicto. Al comité de huelga le corresponde garantizar durante la misma, la prestación de los servicios necesarios de seguridad y mantenimiento. Desde ambos cometidos, es claro que solo trabajadores afectados por el conflicto pueden ser designados como componentes del comité de huelga. La participación de los sindicatos deberá obtenerse mediante las representaciones sindicales en el seno de la empresa o de los sectores afectados por el conflicto, todo ello dentro del marco de la presencia sindical en el ámbito de las empresas”.</w:t>
      </w:r>
    </w:p>
    <w:p w:rsidR="005728DD" w:rsidRDefault="005728DD" w:rsidP="005728DD">
      <w:pPr>
        <w:pStyle w:val="TextoNormal"/>
      </w:pPr>
    </w:p>
    <w:p w:rsidR="005728DD" w:rsidRDefault="005728DD" w:rsidP="005728DD">
      <w:pPr>
        <w:pStyle w:val="TextoNormal"/>
      </w:pPr>
      <w:r>
        <w:t>Por último, hay que recordar que “la afirmación de que el contenido esencial del derecho de huelga consiste en la cesación del trabajo en cualquiera de sus manifestaciones, no excluye por sí sola que el legislador al regular las condiciones de ejercicio del derecho de huelga, pueda entender que algunas particulares modalidades de cesación del trabajo pueden resultar abusivas, como es posible que remita este juicio en determinados casos a los tribunales de justicia” (STC 11/1981, de 8 de abril, FJ 10). Los huelguistas tienen el derecho de incumplir transitoriamente el contrato, pero su ejercicio supone una limitación a la libertad del empresario y por ello exige “una proporcionalidad y unos sacrificios mutuos, que hacen que cuando tales exigencias no se observen, las huelgas puedan considerarse abusivas” (STC 11/1981, FJ 10).</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doctrina constitucional al caso concreto</w:t>
      </w:r>
      <w:r>
        <w:t>.</w:t>
      </w:r>
    </w:p>
    <w:p w:rsidR="005728DD" w:rsidRDefault="005728DD" w:rsidP="005728DD">
      <w:pPr>
        <w:pStyle w:val="TextoNormal"/>
      </w:pPr>
    </w:p>
    <w:p w:rsidR="005728DD" w:rsidRDefault="005728DD" w:rsidP="005728DD">
      <w:pPr>
        <w:pStyle w:val="TextoNormal"/>
      </w:pPr>
      <w:r>
        <w:t>La empresa planteó ante los órganos judiciales que el hecho de que se hayan efectuado cinco convocatorias de huelga no permite que cada sindicato convocante nombre un comité de huelga independiente, dada la coincidencia de las convocatorias en sus objetivos y fechas de inactividad laboral, pues la constitución de cinco comités de huelga independientes o la creación de uno con cuarenta y tres miembros (suma de los cinco comités) no se adecúa a lo dispuesto en el art. 5 del Real Decreto-ley sobre relaciones de trabajo y en cualquier caso, se trataría de un proceder constitutivo de un fraude de ley o de un abuso de derecho, porque con ellas se estaría dificultando la negociación y la consecución de un acuerdo que pusiera fin al conflicto. La sentencia de la Sala de lo Social de la Audiencia Nacional de 18 de julio de 2017 desestimó la demanda de conflicto colectivo al entender que no hay fraude de ley ni abuso de derecho, porque el requerimiento de la empresa a los sindicatos convocantes para que nombraran un solo comité de huelga no se ajustó a derecho. Por el contrario, la sentencia de la Sala de lo Social del Tribunal Supremo de 25 de abril de 2019, entendió que la huelga debe considerarse como abusiva por la conducta adoptada por los comités de huelga “al negarse a constituir una comisión negociadora con una composición más ajustada a las disposiciones de la norma reguladora, lo que impidió el desarrollo de una negociación que podría facilitar un acuerdo sobre el final de la huelga”.</w:t>
      </w:r>
    </w:p>
    <w:p w:rsidR="005728DD" w:rsidRDefault="005728DD" w:rsidP="005728DD">
      <w:pPr>
        <w:pStyle w:val="TextoNormal"/>
      </w:pPr>
    </w:p>
    <w:p w:rsidR="005728DD" w:rsidRDefault="005728DD" w:rsidP="005728DD">
      <w:pPr>
        <w:pStyle w:val="TextoNormal"/>
      </w:pPr>
      <w:r>
        <w:t xml:space="preserve">Son facultades del derecho de huelga “la convocatoria o llamada, el establecimiento de las reivindicaciones, la publicidad o proyección exterior, la negociación y, finalmente la decisión de darla por terminada” (STC 11/1981, de 8 de abril, FJ 11). Por ello, como señala la sentencia recurrida, no son ilícitas varias convocatorias de huelga con el mismo objeto y en fechas coincidentes, porque cada organización sindical es libre de convocar una huelga y, también, de desconvocarla posteriormente, sin venir condicionada por lo que hagan los demás convocantes de la huelga. En esta situación, cada sindicato convocante nombrará su propio comité de huelga de acuerdo con lo previsto en el art. 5 del Real Decreto-ley sobre </w:t>
      </w:r>
      <w:r>
        <w:lastRenderedPageBreak/>
        <w:t>relaciones de trabajo  según el cual: “Solo podrán ser elegidos miembros del comité de huelga trabajadores del propio centro de trabajo afectados por el conflicto. La composición del comité de huelga no podrá exceder de doce personas. Corresponde al comité de huelga participar en cuantas actuaciones sindicales, administrativas o judiciales se realicen para la solución del conflicto”.</w:t>
      </w:r>
    </w:p>
    <w:p w:rsidR="005728DD" w:rsidRDefault="005728DD" w:rsidP="005728DD">
      <w:pPr>
        <w:pStyle w:val="TextoNormal"/>
      </w:pPr>
    </w:p>
    <w:p w:rsidR="005728DD" w:rsidRDefault="005728DD" w:rsidP="005728DD">
      <w:pPr>
        <w:pStyle w:val="TextoNormal"/>
      </w:pPr>
      <w:r>
        <w:t>Sentado lo anterior, la cuestión que se plantea en el presente recurso de amparo es si el empresario puede requerir a los sindicatos convocantes para que nombren un solo comité de huelga formado por representantes de los cinco comités y si la negativa a hacerlo puede conllevar la calificación de la huelga como ilegal por abusiva al impedir el desarrollo de una negociación que podría facilitar un acuerdo sobre su final.</w:t>
      </w:r>
    </w:p>
    <w:p w:rsidR="005728DD" w:rsidRDefault="005728DD" w:rsidP="005728DD">
      <w:pPr>
        <w:pStyle w:val="TextoNormal"/>
      </w:pPr>
    </w:p>
    <w:p w:rsidR="005728DD" w:rsidRDefault="005728DD" w:rsidP="005728DD">
      <w:pPr>
        <w:pStyle w:val="TextoNormal"/>
      </w:pPr>
      <w:r>
        <w:t>El sindicato recurrente entiende que no existe amparo normativo alguno para exigir la constitución de un único comité negociador y que si cada sindicato puede convocar huelga con el mismo objeto y en las mismas fechas, la constitución de un comité de huelga único reduce la capacidad de negociación de los sindicatos convocantes.</w:t>
      </w:r>
    </w:p>
    <w:p w:rsidR="005728DD" w:rsidRDefault="005728DD" w:rsidP="005728DD">
      <w:pPr>
        <w:pStyle w:val="TextoNormal"/>
      </w:pPr>
    </w:p>
    <w:p w:rsidR="005728DD" w:rsidRDefault="005728DD" w:rsidP="005728DD">
      <w:pPr>
        <w:pStyle w:val="TextoNormal"/>
      </w:pPr>
      <w:r>
        <w:t>Es necesario recordar que el comité de huelga es, por un lado, “órgano de defensa y negociación con el objeto de llegar a una solución del conflicto” y, por otro lado, al comité “le corresponde garantizar durante la misma, la prestación de los servicios necesarios de seguridad y mantenimiento” (STC 11/1981, FJ 16). Tiene asignadas, por tanto, una diversidad de funciones, para lo que no necesariamente tiene que intervenir el mismo órgano en todas ellas. En este sentido, el art. 8.2 del Real Decreto-ley sobre relaciones de trabajo establece la posibilidad de que se nombre por los distintos comités de huelga un comité que se encargará de las funciones de negociación. En efecto, el art. 8.2 del Real Decreto-ley introduce la previsión de la obligación de negociación, desde el momento del preaviso, y mientras dure la huelga, por parte, en su caso de “los representantes designados por los distintos comités de huelga” y los empresarios afectados. Puede así, crearse, a efectos de negociación, un comité formado por representantes de los distintos comités de huelga.</w:t>
      </w:r>
    </w:p>
    <w:p w:rsidR="005728DD" w:rsidRDefault="005728DD" w:rsidP="005728DD">
      <w:pPr>
        <w:pStyle w:val="TextoNormal"/>
      </w:pPr>
    </w:p>
    <w:p w:rsidR="005728DD" w:rsidRDefault="005728DD" w:rsidP="005728DD">
      <w:pPr>
        <w:pStyle w:val="TextoNormal"/>
      </w:pPr>
      <w:r>
        <w:t>Como hemos recogido en el fundamento jurídico anterior, la STC 11/1981, FJ 16, ya señaló que “la limitación numérica es un criterio sensato en la medida que los comités demasiado amplios dificultan los acuerdos”. La creación de un comité formado por representantes de los distintos comités, previsto en el art. 8.2 del Real Decreto-ley sobre relaciones de trabajo, responde a esta idea. Resulta significativo, a este respecto, que un órgano con similar función a la del comité de huelga, como es la comisión negociadora del convenio colectivo, encuentre idéntica limitación numérica en orden a garantizar su eficacia (art. 88.4 de la Ley del estatuto de los trabajadores: LET).</w:t>
      </w:r>
    </w:p>
    <w:p w:rsidR="005728DD" w:rsidRDefault="005728DD" w:rsidP="005728DD">
      <w:pPr>
        <w:pStyle w:val="TextoNormal"/>
      </w:pPr>
    </w:p>
    <w:p w:rsidR="005728DD" w:rsidRDefault="005728DD" w:rsidP="005728DD">
      <w:pPr>
        <w:pStyle w:val="TextoNormal"/>
      </w:pPr>
      <w:r>
        <w:t>En el presente supuesto, la empresa requirió a los sindicatos para que nombraran un solo comité de huelga o, en su defecto, una comisión delegada de todos ellos, sin obtener respuesta alguna. Esta petición de la empresa no atenta contra el derecho de huelga porque, como señala la sentencia de la Sala de lo Social del Tribunal Supremo recurrida, resulta proporcionada y razonable en atención al fin perseguido, que no es otro que la negociación para llegar a un acuerdo que ponga fin a la huelga. La petición de la empresa se encuentra avalada, como acabamos de indicar, por el art. 8.2 del Real Decreto-ley sobre relaciones de trabajo.</w:t>
      </w:r>
    </w:p>
    <w:p w:rsidR="005728DD" w:rsidRDefault="005728DD" w:rsidP="005728DD">
      <w:pPr>
        <w:pStyle w:val="TextoNormal"/>
      </w:pPr>
    </w:p>
    <w:p w:rsidR="005728DD" w:rsidRDefault="005728DD" w:rsidP="005728DD">
      <w:pPr>
        <w:pStyle w:val="TextoNormal"/>
      </w:pPr>
      <w:r>
        <w:lastRenderedPageBreak/>
        <w:t>La postura adoptada por los cinco comités de huelga nombrados por las centrales sindicales convocantes de la huelga es calificada de abusiva por el Tribunal Supremo, porque, “al mantener que, como existían cinco convocatorias de huelga cinco debían ser los comités de huelga, se olvidaba que las cinco convocatorias de huelga encubrían realmente una sola convocatoria por tener el mismo objeto y coincidir los paros con los mismos días en todas las convocatorias, así como que esa unidad de acción, tácitamente reconocida, implicaba una perturbación de la negociación contraria a los principios que la debían regir”.</w:t>
      </w:r>
    </w:p>
    <w:p w:rsidR="005728DD" w:rsidRDefault="005728DD" w:rsidP="005728DD">
      <w:pPr>
        <w:pStyle w:val="TextoNormal"/>
      </w:pPr>
    </w:p>
    <w:p w:rsidR="005728DD" w:rsidRDefault="005728DD" w:rsidP="005728DD">
      <w:pPr>
        <w:pStyle w:val="TextoNormal"/>
      </w:pPr>
      <w:r>
        <w:t>Este tribunal comparte esta conclusión. La actuación de los cinco comités de huelga debe ser calificada de ilícita por abusiva, al ser contraria al espíritu que informa la ley.</w:t>
      </w:r>
    </w:p>
    <w:p w:rsidR="005728DD" w:rsidRDefault="005728DD" w:rsidP="005728DD">
      <w:pPr>
        <w:pStyle w:val="TextoNormal"/>
      </w:pPr>
    </w:p>
    <w:p w:rsidR="005728DD" w:rsidRDefault="005728DD" w:rsidP="005728DD">
      <w:pPr>
        <w:pStyle w:val="TextoNormal"/>
      </w:pPr>
      <w:r>
        <w:t>Para que una huelga sea calificada de abusiva no basta con que la huelga origine un daño a la empresa, sino que es preciso que el daño sea grave y que haya sido buscado por los huelguistas más allá de lo que es razonablemente requerido por la propia actividad conflictiva y por las exigencias inherentes a la presión que la huelga necesariamente implica (STC 41/1984, de 21 de marzo, FJ 2).</w:t>
      </w:r>
    </w:p>
    <w:p w:rsidR="005728DD" w:rsidRDefault="005728DD" w:rsidP="005728DD">
      <w:pPr>
        <w:pStyle w:val="TextoNormal"/>
      </w:pPr>
    </w:p>
    <w:p w:rsidR="005728DD" w:rsidRDefault="005728DD" w:rsidP="005728DD">
      <w:pPr>
        <w:pStyle w:val="TextoNormal"/>
      </w:pPr>
      <w:r>
        <w:t>Al comité de huelga, junto con el empresario, compete la obligación de negociar para intentar llegar a un acuerdo, de manera que una huelga en la que el comité de huelga se niegue a negociar podrá ser considerada ilícita por abusiva, al igual que la huelga en la que el comité no participe en la adopción de las medidas de seguridad (STC 11/1981, de 8 de abril, FJ 20). En el presente supuesto los cinco comités de huelga no se negaron a negociar cada uno de ellos con la empresa, sino que se negaron a crear una comisión negociadora formada con representantes de los cinco comités de huelga. Esta negativa ha de considerarse desproporcionada y abusiva pues las cinco huelgas convocadas en la empresa por distintos sindicatos tenían los mismos objetivos y fueron convocadas los mismos días, por lo que la petición del empresario resultaba razonable si tenemos en cuenta que el posible pacto que se alcance tiene valor de convenio colectivo (art. 8.2 del Real Decreto-ley sobre relaciones de trabajo). Tener que negociar un acuerdo con cada uno de los cinco comités de huelga, o tener que reunirse con los cinco comités de huelga a la vez y, por tanto, con cuarenta y tres personas, dificulta, más allá de lo que es razonable en toda huelga, la posibilidad de llegar a un acuerdo que la ponga fin.</w:t>
      </w:r>
    </w:p>
    <w:p w:rsidR="005728DD" w:rsidRDefault="005728DD" w:rsidP="005728DD">
      <w:pPr>
        <w:pStyle w:val="TextoNormal"/>
      </w:pPr>
    </w:p>
    <w:p w:rsidR="005728DD" w:rsidRDefault="005728DD" w:rsidP="005728DD">
      <w:pPr>
        <w:pStyle w:val="TextoNormal"/>
      </w:pPr>
      <w:r>
        <w:t xml:space="preserve">En efecto, aunque el art. 8.2 del Real Decreto-ley sobre relaciones de trabajo atribuye al pacto que ponga fin a la huelga “la misma eficacia que lo acordado en convenio colectivo”, para que este pacto tenga eficacia </w:t>
      </w:r>
      <w:r w:rsidRPr="005728DD">
        <w:rPr>
          <w:i/>
        </w:rPr>
        <w:t>erga omnes</w:t>
      </w:r>
      <w:r>
        <w:t>, los sujetos negociadores deben reunir la legitimación suficiente para negociar de acuerdo con lo dispuesto en el título III del estatuto de los trabajadores. Es decir, si la huelga afecta a una empresa, como en este caso, para que el pacto tenga la eficacia de un convenio colectivo estatutario, la parte social que vote a favor del acuerdo debe reunir los requisitos de mayoría representativa previstos en el art. 87 LET y, por lo tanto, deberá representar a la mayoría de los miembros del comité de empresa. Si no se alcanza esta representación, el pacto que ponga fin a la huelga tendrá la eficacia de un simple pacto contractual que obliga solo a los sujetos que lo han negociado, por lo que aquellos que no lo han hecho podrán continuar si lo consideran oportuno con la huelga. De este modo, en el presente caso, si la empresa llega a un acuerdo con uno de los cinco comités de huelga, pero ese comité no representa a la mayoría de los miembros del comité de empresa, el acuerdo solo afectará a los sujetos que lo han negociado, y el resto de comités de huelga podrían continuar con la misma.</w:t>
      </w:r>
    </w:p>
    <w:p w:rsidR="005728DD" w:rsidRDefault="005728DD" w:rsidP="005728DD">
      <w:pPr>
        <w:pStyle w:val="TextoNormal"/>
      </w:pPr>
    </w:p>
    <w:p w:rsidR="005728DD" w:rsidRDefault="005728DD" w:rsidP="005728DD">
      <w:pPr>
        <w:pStyle w:val="TextoNormal"/>
      </w:pPr>
      <w:r>
        <w:t xml:space="preserve">Por el contrario, si el comité de huelga con el que se llega a un acuerdo tiene legitimación suficiente para negociar un convenio colectivo, de acuerdo con lo dispuesto en el título III del Estatuto de los trabajadores, ese acuerdo tendrá el valor de convenio colectivo estatutario con eficacia </w:t>
      </w:r>
      <w:r w:rsidRPr="005728DD">
        <w:rPr>
          <w:i/>
        </w:rPr>
        <w:t>erga omnes</w:t>
      </w:r>
      <w:r>
        <w:t xml:space="preserve"> y los sindicatos minoritarios convocantes habrán quedado excluidos de su negociación, con el consiguiente riesgo de que el acuerdo pueda ser declarado nulo. En este sentido, la jurisprudencia de este tribunal, partiendo de la doctrina establecida en la STC 73/1984, y continuada por las SSTC 9/1986 y 39/1986, ha reconocido que “la exclusión de un sindicato de algunas comisiones creadas por un pacto que no ha firmado ni al que se ha adherido, puede constituir lesión del derecho a la libertad sindical en cuanto que suponga una limitación y un desconocimiento del derecho a la negociación colectiva, y ello cuando se trata de comisiones ‘negociadoras’, con la función de establecer modificaciones del convenio o nuevas reglas no contenidas en el mismo” (STC 213/1991, de 11 de noviembre, FJ 1).</w:t>
      </w:r>
    </w:p>
    <w:p w:rsidR="005728DD" w:rsidRDefault="005728DD" w:rsidP="005728DD">
      <w:pPr>
        <w:pStyle w:val="TextoNormal"/>
      </w:pPr>
    </w:p>
    <w:p w:rsidR="005728DD" w:rsidRDefault="005728DD" w:rsidP="005728DD">
      <w:pPr>
        <w:pStyle w:val="TextoNormal"/>
      </w:pPr>
      <w:r>
        <w:t>Por este motivo, la conducta adoptada por los miembros de los comités de huelga, negándose a constituir una comisión negociadora formada por representantes de los cinco comités, cuando las cinco convocatorias de huelga era idénticas en su modalidad, duración y tabla reivindicativa, debe considerarse abusiva pues supone un obstáculo a la negociación de un pacto que ponga fin a la huelga. La creación de esta comisión negociadora no reduciría la capacidad de negociación de los sindicatos convocantes ya que su composición debería respetar la representatividad de cada uno de ellos, sin que los sindicatos minoritarios pudieran quedar excluidos de dicha comisión y, por tanto, de la negociación de un acuerdo con valor de convenio colectivo.</w:t>
      </w:r>
    </w:p>
    <w:p w:rsidR="005728DD" w:rsidRDefault="005728DD" w:rsidP="005728DD">
      <w:pPr>
        <w:pStyle w:val="TextoNormal"/>
      </w:pPr>
    </w:p>
    <w:p w:rsidR="005728DD" w:rsidRDefault="005728DD" w:rsidP="005728DD">
      <w:pPr>
        <w:pStyle w:val="TextoNormal"/>
      </w:pPr>
      <w:r>
        <w:t>Por todo lo razonado, se desestima la queja de vulneración del derecho de libertad sindical en relación con el derecho de huelga y, con ello, el recurso en su integridad.</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la Confederación General del Trabajo.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veintiuno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4" w:name="SENTENCIA_2021_131"/>
      <w:r>
        <w:lastRenderedPageBreak/>
        <w:t>SENTENCIA 131/2021, de 21 de junio de 2021</w:t>
      </w:r>
    </w:p>
    <w:bookmarkEnd w:id="134"/>
    <w:p w:rsidR="005728DD" w:rsidRDefault="005728DD" w:rsidP="005728DD">
      <w:pPr>
        <w:pStyle w:val="TtuloResolucin"/>
      </w:pPr>
      <w:r>
        <w:t>Sala Primera</w:t>
      </w:r>
    </w:p>
    <w:p w:rsidR="005728DD" w:rsidRDefault="005728DD" w:rsidP="005728DD">
      <w:pPr>
        <w:pStyle w:val="TtuloBOE"/>
      </w:pPr>
      <w:r>
        <w:t>(BOE núm. 182, de 31 de julio de 2021)</w:t>
      </w:r>
    </w:p>
    <w:p w:rsidR="005728DD" w:rsidRDefault="005728DD" w:rsidP="005728DD">
      <w:pPr>
        <w:pStyle w:val="TextoNormalCentrado"/>
      </w:pPr>
      <w:r>
        <w:t>ECLI:ES:TC:2021:131</w:t>
      </w:r>
    </w:p>
    <w:p w:rsidR="005728DD" w:rsidRDefault="005728DD" w:rsidP="005728DD">
      <w:pPr>
        <w:pStyle w:val="TextoNormalCentrado"/>
      </w:pPr>
    </w:p>
    <w:p w:rsidR="005728DD" w:rsidRDefault="005728DD" w:rsidP="005728DD">
      <w:pPr>
        <w:pStyle w:val="SntesisDescriptiva"/>
      </w:pPr>
      <w:r>
        <w:t>Recurso de amparo 1921-2020. Promovido por Penrei Inversiones, S.L., respecto de las resoluciones dictadas por un juzgado de primera instancia e instrucción de Lorca en procedimiento de ejecución hipotecaria.</w:t>
      </w:r>
    </w:p>
    <w:p w:rsidR="005728DD" w:rsidRDefault="005728DD" w:rsidP="005728DD">
      <w:pPr>
        <w:pStyle w:val="SntesisDescriptiva"/>
      </w:pPr>
    </w:p>
    <w:p w:rsidR="005728DD" w:rsidRDefault="005728DD" w:rsidP="005728DD">
      <w:pPr>
        <w:pStyle w:val="SntesisAnaltica"/>
      </w:pPr>
      <w:r>
        <w:t>Supuesta vulneración del derecho a la tutela judicial efectiva: pretendida vertiente negativa del derecho de acceso al proceso del poseedor con título inscrito llamado a la ejecución.</w:t>
      </w:r>
    </w:p>
    <w:p w:rsidR="005728DD" w:rsidRDefault="005728DD" w:rsidP="005728DD">
      <w:pPr>
        <w:pStyle w:val="SntesisAnaltica"/>
      </w:pPr>
    </w:p>
    <w:p w:rsidR="005728DD" w:rsidRDefault="005728DD" w:rsidP="005728DD">
      <w:pPr>
        <w:pStyle w:val="Extracto"/>
      </w:pPr>
      <w:r>
        <w:t>1.</w:t>
      </w:r>
      <w:r>
        <w:tab/>
        <w:t>Sobre los elementos de juicio que permiten conocer el criterio jurídico que justifique la llamada al proceso del tercer poseedor, desde la óptica del derecho fundamental a la tutela judicial efectiva sin indefensión, en su vertiente de acceso a la jurisdicción (art. 24.1 CE), lo relevante, más allá del plano de la legalidad infraconstitucional (art. 662.1 LEC), es el derecho del tercer poseedor a acceder al proceso, no que este lo ejercite una vez tiene conocimiento de este (SSTC 148/1988 o 208/2015) [FJ 2].</w:t>
      </w:r>
    </w:p>
    <w:p w:rsidR="005728DD" w:rsidRDefault="005728DD" w:rsidP="005728DD">
      <w:pPr>
        <w:pStyle w:val="Extracto"/>
      </w:pPr>
    </w:p>
    <w:p w:rsidR="005728DD" w:rsidRDefault="005728DD" w:rsidP="005728DD">
      <w:pPr>
        <w:pStyle w:val="Extracto"/>
      </w:pPr>
      <w:r>
        <w:t>2.</w:t>
      </w:r>
      <w:r>
        <w:tab/>
        <w:t>En materia de acceso a la jurisdicción, especialmente en lo que se refiere al procedimiento de ejecución hipotecaria,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(STC 180/2015), sin perjuicio del pronunciamiento que pueda recaer y de la posible existencia de otras acciones que puedan corresponder a los afectados (STC 43/2010) [FJ 3].</w:t>
      </w:r>
    </w:p>
    <w:p w:rsidR="005728DD" w:rsidRDefault="005728DD" w:rsidP="005728DD">
      <w:pPr>
        <w:pStyle w:val="Extracto"/>
      </w:pPr>
    </w:p>
    <w:p w:rsidR="005728DD" w:rsidRDefault="005728DD" w:rsidP="005728DD">
      <w:pPr>
        <w:pStyle w:val="Extracto"/>
      </w:pPr>
      <w:r>
        <w:t>3.</w:t>
      </w:r>
      <w:r>
        <w:tab/>
        <w:t>La validez global de la estructura procedimental de la ejecución hipotecaria en modo alguno admite excepciones al derecho de defensa de los interesados, no siendo admisibles lecturas restrictivas de la intervención de quienes son titulares de derechos e intereses legítimos, entre los que figuran los denominados legalmente como “terceros poseedores” (STC 79/2013) [FJ 3].</w:t>
      </w:r>
    </w:p>
    <w:p w:rsidR="005728DD" w:rsidRDefault="005728DD" w:rsidP="005728DD">
      <w:pPr>
        <w:pStyle w:val="Extracto"/>
      </w:pPr>
    </w:p>
    <w:p w:rsidR="005728DD" w:rsidRDefault="005728DD" w:rsidP="005728DD">
      <w:pPr>
        <w:pStyle w:val="Extracto"/>
      </w:pPr>
      <w:r>
        <w:t>4.</w:t>
      </w:r>
      <w:r>
        <w:tab/>
        <w:t>En materia de acceso al proceso en general (art. 24.1 CE), y al procedimiento de ejecución hipotecaria en particular, debe darse la oportunidad de participar al tercer poseedor de la finca hipotecada, contradictoriamente, en la fase de ejecución de este procedimiento especial, al existir una posición privilegiada del acreedor derivada de la fuerza ejecutiva del título. No cabe aceptar la vertiente negativa del derecho de acceso a la jurisdicción (STC 79/2013) [FJ 3].</w:t>
      </w:r>
    </w:p>
    <w:p w:rsidR="005728DD" w:rsidRDefault="005728DD" w:rsidP="005728DD">
      <w:pPr>
        <w:pStyle w:val="Extracto"/>
      </w:pPr>
    </w:p>
    <w:p w:rsidR="005728DD" w:rsidRDefault="005728DD" w:rsidP="005728DD">
      <w:pPr>
        <w:pStyle w:val="Extracto"/>
      </w:pPr>
      <w:r>
        <w:t>5.</w:t>
      </w:r>
      <w:r>
        <w:tab/>
        <w:t xml:space="preserve">Se cumple con el canon de motivación cuando la resolución judicial contiene los elementos y razones de juicio que permiten conocer los criterios jurídicos utilizados, y además incluye la puesta en conocimiento del proceso de ejecución al tercer poseedor con título inscrito. La finalidad que preside dicho llamamiento tiene una doble faz: de un lado, asegurar el derecho fundamental a la tutela judicial efectiva de quienes el propio registro publicita como titulares de derechos inscritos; y, de </w:t>
      </w:r>
      <w:r>
        <w:lastRenderedPageBreak/>
        <w:t>otro, preservar la observancia de las garantías del proceso al propio ejecutante para evitar dilaciones en la tramitación inevitablemente asociadas a la falta de notificación al titular de derechos inscritos [FJ 3].</w:t>
      </w:r>
    </w:p>
    <w:p w:rsidR="005728DD" w:rsidRDefault="005728DD" w:rsidP="005728DD">
      <w:pPr>
        <w:pStyle w:val="Extracto"/>
      </w:pPr>
    </w:p>
    <w:p w:rsidR="005728DD" w:rsidRDefault="005728DD" w:rsidP="005728DD">
      <w:pPr>
        <w:pStyle w:val="Extracto"/>
      </w:pPr>
      <w:r>
        <w:t>6.</w:t>
      </w:r>
      <w:r>
        <w:tab/>
        <w:t>Si al tercer poseedor con título inscrito no se le permite personarse en los autos, tampoco podrá tener intervención alguna en su desarrollo, ni, por consiguiente, ejercitar las facultades que la normativa que rige el procedimiento de ejecución hipotecaria le reconoce (STC 208/2015) [FJ 3].</w:t>
      </w:r>
    </w:p>
    <w:p w:rsidR="005728DD" w:rsidRDefault="005728DD" w:rsidP="005728DD">
      <w:pPr>
        <w:pStyle w:val="Extracto"/>
      </w:pPr>
    </w:p>
    <w:p w:rsidR="005728DD" w:rsidRDefault="005728DD" w:rsidP="005728DD">
      <w:pPr>
        <w:pStyle w:val="Extracto"/>
      </w:pPr>
      <w:r>
        <w:t>7.</w:t>
      </w:r>
      <w:r>
        <w:tab/>
        <w:t>La intervención del tercer poseedor resulta facultativa, pero produce una lesión del derecho fundamental la omisión o negativa del órgano judicial a participarle la existencia del proceso y, en su caso, a admitir su personación [FJ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1921-2020, promovido por Penrei Inversiones, S.L., representada por la procuradora de los tribunales doña Blanca Berriatua Horta y asistida por la letrada doña Anju Nirmala Benavent Rodríguez, contra el auto del Juzgado de Primera Instancia e Instrucción núm. 1 de Lorca, de 3 de mayo de 2019, que desestima la oposición a la ejecución formulada por dicha mercantil, en el procedimiento de ejecución hipotecaria núm. 348-2018; y contra el auto de la Sección Primera de la Audiencia Provincial de Murcia, de 10 de febrero de 2020, que desestimó el recurso de apelación interpuesto contra la anterior resolución. Ha sido parte la entidad Pera Assets Designated Activity Company, representada por la procuradora de los tribunales doña María Claudida Munteanu y asistida del letrado don Alejandro Ingram Solís.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general de este tribunal el 16 de abril de 2020, la procuradora de los tribunales doña Blanca Berriatua Horta, actuando en nombre y representación de Penrei Inversiones, S.L., interpuso recurso de amparo contra las resoluciones mencionadas en el encabezamiento.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2</w:t>
      </w:r>
      <w:r>
        <w:t>. Los hechos con relevancia para la resolución del presente recurso de amparo y a los que se refiere la demanda presentada, son los siguientes:</w:t>
      </w:r>
    </w:p>
    <w:p w:rsidR="005728DD" w:rsidRDefault="005728DD" w:rsidP="005728DD">
      <w:pPr>
        <w:pStyle w:val="TextoNormal"/>
      </w:pPr>
    </w:p>
    <w:p w:rsidR="005728DD" w:rsidRDefault="005728DD" w:rsidP="005728DD">
      <w:pPr>
        <w:pStyle w:val="TextoNormal"/>
      </w:pPr>
      <w:r>
        <w:t>a) La entidad Banco de Sabadell, S.A., interpuso demanda de ejecución sobre bienes hipotecados contra las mercantiles Euroinversiones Inmobiliarias Costa Sur, S.L., y Penrei Inversiones, S.L., en relación con la finca registral núm. 43.459, sita en el término municipal de Lorca, resultando la primera de las demandadas la deudora hipotecaria y, la segunda, titular de un derecho de uso y disfrute sobre dicho inmueble. El procedimiento de ejecución hipotecaria se siguió ante el Juzgado de Primera Instancia e Instrucción núm. 1 de Lorca, bajo el núm. 348-2018.</w:t>
      </w:r>
    </w:p>
    <w:p w:rsidR="005728DD" w:rsidRDefault="005728DD" w:rsidP="005728DD">
      <w:pPr>
        <w:pStyle w:val="TextoNormal"/>
      </w:pPr>
    </w:p>
    <w:p w:rsidR="005728DD" w:rsidRDefault="005728DD" w:rsidP="005728DD">
      <w:pPr>
        <w:pStyle w:val="TextoNormal"/>
      </w:pPr>
      <w:r>
        <w:t>b) Ambas sociedades formularon, en tiempo hábil, oposición al despacho de ejecución. La deducida por la recurrente se fundaba en su falta de legitimación para ser llamada al proceso por no hallarse en ninguno de los casos expresados en el apartado primero del art. 685 de la Ley de enjuiciamiento civil (LEC), al ostentar un mero derecho de uso. Los motivos de oposición alegados por ambas sociedades fueron resueltos por auto de 3 de mayo de 2019 que, en lo que al sostenido por la demandante de amparo se refiere, fue desestimado al constatar su condición de tercer poseedor adquirida con anterioridad a la interposición de la demanda ejecutiva.</w:t>
      </w:r>
    </w:p>
    <w:p w:rsidR="005728DD" w:rsidRDefault="005728DD" w:rsidP="005728DD">
      <w:pPr>
        <w:pStyle w:val="TextoNormal"/>
      </w:pPr>
    </w:p>
    <w:p w:rsidR="005728DD" w:rsidRDefault="005728DD" w:rsidP="005728DD">
      <w:pPr>
        <w:pStyle w:val="TextoNormal"/>
      </w:pPr>
      <w:r>
        <w:t>c) También ambas demandadas interpusieron sendos recursos de apelación, de los que conoció la Sección Primera de la Audiencia Provincial de Murcia, y que fueron desestimados por auto de 10 de febrero de 2020. En lo que afectaba a la sociedad Penrei Inversiones, S.L., descarta el órgano de apelación la infracción del art.685.1 LEC y subraya que, aunque, en efecto, esta apelante no era propietaria del bien hipotecado, ni siquiera hipotecante no deudora, debía ser llamada al proceso en atención a su condición de titular registral de un derecho de uso y disfrute de la finca hipotecada, posterior a la hipoteca, y que, en razón de tal derecho y circunstancias, la inscripción a su favor sería objeto de cancelación de consumarse la realización del bien, por lo que no ofrecía duda su condición de interesada en la ejecución.</w:t>
      </w:r>
    </w:p>
    <w:p w:rsidR="005728DD" w:rsidRDefault="005728DD" w:rsidP="005728DD">
      <w:pPr>
        <w:pStyle w:val="TextoNormal"/>
      </w:pPr>
    </w:p>
    <w:p w:rsidR="005728DD" w:rsidRDefault="005728DD" w:rsidP="005728DD">
      <w:pPr>
        <w:pStyle w:val="TextoNormal"/>
      </w:pPr>
      <w:r>
        <w:t>Notificado el auto de 10 de febrero de 2020, por la indicada mercantil se interpuso el presente recurso.</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alega que las resoluciones judiciales impugnadas causaron la vulneración del derecho de la entidad recurrente a la tutela judicial efectiva sin indefensión del art. 24.1 CE, en sus modalidades del derecho a un procedimiento con las debidas garantías y en la de obtener una resolución judicial motivada, que excluya interpretaciones arbitrarias, manifiestamente irrazonables o fruto de un error patente, que, en el caso, conecta con la vertiente de acceso a la jurisdicción por haber sido obligada a intervenir en un proceso judicial como demandada, pese a no encontrarse en ninguno de los supuestos de legitimación pasiva que expresa el art. 685.1 LEC. Percibe esta llamada como una imposición arbitraria y desproporcionada, por excesivamente formalista, e incompatible con el derecho de tutela judicial efectiva.</w:t>
      </w:r>
    </w:p>
    <w:p w:rsidR="005728DD" w:rsidRDefault="005728DD" w:rsidP="005728DD">
      <w:pPr>
        <w:pStyle w:val="TextoNormal"/>
      </w:pPr>
    </w:p>
    <w:p w:rsidR="005728DD" w:rsidRDefault="005728DD" w:rsidP="005728DD">
      <w:pPr>
        <w:pStyle w:val="TextoNormal"/>
      </w:pPr>
      <w:r>
        <w:t>Por medio de un “segundo otrosí digo”, el escrito de demanda argumentó “que la continuación de la ejecución derivadas (</w:t>
      </w:r>
      <w:r w:rsidRPr="005728DD">
        <w:rPr>
          <w:i/>
        </w:rPr>
        <w:t>sic</w:t>
      </w:r>
      <w:r>
        <w:t xml:space="preserve">) de los pronunciamientos judiciales que han sido objeto de impugnación, con la celebración de subasta y la eventual adjudicación a terceros, </w:t>
      </w:r>
      <w:r>
        <w:lastRenderedPageBreak/>
        <w:t>pueden hacer perder al recurso de amparo su finalidad, por lo que solicitó la suspensión de la continuación del procedimiento de ejecución hipotecaria 348-2018 seguido ante el Juzgado de Primera Instancia e Instrucción núm. 1 de Lorca, hasta tanto sea resuelto el presente recurso de amparo, poniéndolo en conocimiento del órgano judicial”.</w:t>
      </w:r>
    </w:p>
    <w:p w:rsidR="005728DD" w:rsidRDefault="005728DD" w:rsidP="005728DD">
      <w:pPr>
        <w:pStyle w:val="TextoNormal"/>
      </w:pPr>
    </w:p>
    <w:p w:rsidR="005728DD" w:rsidRDefault="005728DD" w:rsidP="005728DD">
      <w:pPr>
        <w:pStyle w:val="TextoNormal"/>
      </w:pPr>
      <w:r w:rsidRPr="005728DD">
        <w:rPr>
          <w:rStyle w:val="NumeroAFNegritaCaracter"/>
        </w:rPr>
        <w:t>4</w:t>
      </w:r>
      <w:r>
        <w:t>. Una vez recibidas las actuaciones, la Sección Segunda de este tribunal dictó providencia el 6 de julio de 2020, por la que acordó no admitirlo a trámite por no apreciar en el mismo la especial trascendencia constitucional que, como condición para su admisión, requiere el art. 50.1 b) de la Ley Orgánica del Tribunal Constitucional (LOTC) (STC 155/2009, de 25 de junio, FJ 2).</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de 1 de septiembre de 2020, el fiscal ante el Tribunal Constitucional interpuso recurso de súplica frente a la providencia de inadmisión. Afirmaba, en síntesis, que el contenido de la demanda era idéntico al de otras muchas interpuestas por Penrei Inversiones, S.L. —demandante de amparo en este recurso—, o por Euroinversiones Inmobiliarias Costa Sur, S.L. —demandante de amparo en otros recursos—, contra resoluciones idénticas de diversos juzgados de primera instancia de Lorca, dictadas en diferentes procedimientos de ejecución hipotecaria en los que las demandantes son parte ejecutada y que habían sido admitidas a trámite por este tribunal, y alertaba sobre la contradicción lesiva de la seguridad jurídica asociada al distinto tratamiento observado en la providencia de inadmisión.</w:t>
      </w:r>
    </w:p>
    <w:p w:rsidR="005728DD" w:rsidRDefault="005728DD" w:rsidP="005728DD">
      <w:pPr>
        <w:pStyle w:val="TextoNormal"/>
      </w:pPr>
    </w:p>
    <w:p w:rsidR="005728DD" w:rsidRDefault="005728DD" w:rsidP="005728DD">
      <w:pPr>
        <w:pStyle w:val="TextoNormal"/>
      </w:pPr>
      <w:r w:rsidRPr="005728DD">
        <w:rPr>
          <w:rStyle w:val="NumeroAFNegritaCaracter"/>
        </w:rPr>
        <w:t>6</w:t>
      </w:r>
      <w:r>
        <w:t>. En escrito presentado el 10 de septiembre de 2020, la sociedad recurrente expresó su conformidad con las alegaciones contenidas en el recurso de súplica del fiscal, añadiendo que la especial trascendencia constitucional del recurso derivaba de la desestimación por parte de los órganos judiciales de la falta de legitimación opuesta por dicha parte en el proceso de ejecución de origen.</w:t>
      </w:r>
    </w:p>
    <w:p w:rsidR="005728DD" w:rsidRDefault="005728DD" w:rsidP="005728DD">
      <w:pPr>
        <w:pStyle w:val="TextoNormal"/>
      </w:pPr>
    </w:p>
    <w:p w:rsidR="005728DD" w:rsidRDefault="005728DD" w:rsidP="005728DD">
      <w:pPr>
        <w:pStyle w:val="TextoNormal"/>
      </w:pPr>
      <w:r w:rsidRPr="005728DD">
        <w:rPr>
          <w:rStyle w:val="NumeroAFNegritaCaracter"/>
        </w:rPr>
        <w:t>7</w:t>
      </w:r>
      <w:r>
        <w:t>. La Sección Segunda del Tribunal Constitucional estimó el recurso de súplica por ATC 131/2020, de 22 de diciembre, y, al propio tiempo, acordó la admisión a trámite del recurso y la formación de la pieza separada para la tramitación del incidente de suspensión, concediendo el plazo de tres días a la recurrente y al Ministerio Fiscal para que alegaran lo que estimaran oportuno.</w:t>
      </w:r>
    </w:p>
    <w:p w:rsidR="005728DD" w:rsidRDefault="005728DD" w:rsidP="005728DD">
      <w:pPr>
        <w:pStyle w:val="TextoNormal"/>
      </w:pPr>
    </w:p>
    <w:p w:rsidR="005728DD" w:rsidRDefault="005728DD" w:rsidP="005728DD">
      <w:pPr>
        <w:pStyle w:val="TextoNormal"/>
      </w:pPr>
      <w:r w:rsidRPr="005728DD">
        <w:rPr>
          <w:rStyle w:val="NumeroAFNegritaCaracter"/>
        </w:rPr>
        <w:t>8</w:t>
      </w:r>
      <w:r>
        <w:t>. Respecto de la solicitud de suspensión formulada por la recurrente en amparo, mediante otrosí de su escrito de demanda, en virtud del ATC 169/2020, de 14 de diciembre, la Sala denegó la suspensión cautelar solicitada del procedimiento de ejecución hipotecaria núm. 348-2018, acordando, no obstante, la anotación preventiva de la demanda de amparo en el registro de la propiedad.</w:t>
      </w:r>
    </w:p>
    <w:p w:rsidR="005728DD" w:rsidRDefault="005728DD" w:rsidP="005728DD">
      <w:pPr>
        <w:pStyle w:val="TextoNormal"/>
      </w:pPr>
    </w:p>
    <w:p w:rsidR="005728DD" w:rsidRDefault="005728DD" w:rsidP="005728DD">
      <w:pPr>
        <w:pStyle w:val="TextoNormal"/>
      </w:pPr>
      <w:r w:rsidRPr="005728DD">
        <w:rPr>
          <w:rStyle w:val="NumeroAFNegritaCaracter"/>
        </w:rPr>
        <w:t>9</w:t>
      </w:r>
      <w:r>
        <w:t>. Por diligencia de ordenación de 23 de octubre de 2020, la secretaría de justicia de la Sala Primera interesó de los órganos judiciales concernidos la remisión de testimonio de las correspondientes actuaciones, e instó del Juzgado de Primera Instancia e Instrucción núm. 1 de Lorca el previo emplazamiento de las partes intervinientes en el proceso, con excepción de la sociedad recurrente en amparo, para que pudieran comparecer en el plazo de diez días en este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10</w:t>
      </w:r>
      <w:r>
        <w:t>. Por escrito presentado en el registro de este tribunal el 3 de febrero de 2021,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Sabadell, S.A., y que se entendieran con ella las actuaciones sucesivas de este proceso. Justificaba su petición en la escritura de cesión onerosa de créditos hipotecarios suscrita con Banco Sabadell, S.A., como cedente, otorgada el 23 de julio de 2019, y en su efectiva personación en el proceso de ejecución donde fue acordado su emplazamiento ante este tribunal.</w:t>
      </w:r>
    </w:p>
    <w:p w:rsidR="005728DD" w:rsidRDefault="005728DD" w:rsidP="005728DD">
      <w:pPr>
        <w:pStyle w:val="TextoNormal"/>
      </w:pPr>
    </w:p>
    <w:p w:rsidR="005728DD" w:rsidRDefault="005728DD" w:rsidP="005728DD">
      <w:pPr>
        <w:pStyle w:val="TextoNormal"/>
      </w:pPr>
      <w:r w:rsidRPr="005728DD">
        <w:rPr>
          <w:rStyle w:val="NumeroAFNegritaCaracter"/>
        </w:rPr>
        <w:t>11</w:t>
      </w:r>
      <w:r>
        <w:t>. Por diligencia de ordenación de 8 de febrero de 2021 se tuvieron por recibidas las actuaciones de los órganos judiciales requeridos, y por personada y parte en el procedimiento a la procuradora doña María Claudia Munteanu, en nombre y representación de la sociedad Pera Assets Designated Activity Company. Asimismo, se acordó dar vista de las actuaciones, de acuerdo con lo dispuesto en el art. 52 LOTC, al Ministerio Fiscal, a la parte personada y a la recurrente en amparo.</w:t>
      </w:r>
    </w:p>
    <w:p w:rsidR="005728DD" w:rsidRDefault="005728DD" w:rsidP="005728DD">
      <w:pPr>
        <w:pStyle w:val="TextoNormal"/>
      </w:pPr>
    </w:p>
    <w:p w:rsidR="005728DD" w:rsidRDefault="005728DD" w:rsidP="005728DD">
      <w:pPr>
        <w:pStyle w:val="TextoNormal"/>
      </w:pPr>
      <w:r w:rsidRPr="005728DD">
        <w:rPr>
          <w:rStyle w:val="NumeroAFNegritaCaracter"/>
        </w:rPr>
        <w:t>12</w:t>
      </w:r>
      <w:r>
        <w:t>. El fiscal ante este Tribunal Constitucional presentó escrito de alegaciones el 10 de marzo de 2021, por el que interesó que se dictara sentencia denegando el amparo a la recurrente.</w:t>
      </w:r>
    </w:p>
    <w:p w:rsidR="005728DD" w:rsidRDefault="005728DD" w:rsidP="005728DD">
      <w:pPr>
        <w:pStyle w:val="TextoNormal"/>
      </w:pPr>
    </w:p>
    <w:p w:rsidR="005728DD" w:rsidRDefault="005728DD" w:rsidP="005728DD">
      <w:pPr>
        <w:pStyle w:val="TextoNormal"/>
      </w:pPr>
      <w:r>
        <w:t>Tras identificar el recurso como “uno de los que componen la serie de los interpuestos por Euroinversiones Inmobiliarias Costa Sur, S.L., y Penrei Inversiones, S.L., frente a diversos autos dictados en procedimientos hipotecarios tramitados por diferentes juzgados de primera instancia de Lorca”, repara en la diferencia que ofrece este recurso respecto de los que conforman la serie aludida, pues, aunque la recurrente efectúe alguna mención al derecho de acceder a la jurisdicción, lo que realmente cuestiona es la arbitrariedad o el error patente en el que incurren los dos autos contra los que se plantea el recurso de amparo, como manifestación del derecho a la tutela judicial efectiva sin indefensión, del artículo 24.1 CE.</w:t>
      </w:r>
    </w:p>
    <w:p w:rsidR="005728DD" w:rsidRDefault="005728DD" w:rsidP="005728DD">
      <w:pPr>
        <w:pStyle w:val="TextoNormal"/>
      </w:pPr>
    </w:p>
    <w:p w:rsidR="005728DD" w:rsidRDefault="005728DD" w:rsidP="005728DD">
      <w:pPr>
        <w:pStyle w:val="TextoNormal"/>
      </w:pPr>
      <w:r>
        <w:t>Interpreta la queja como una especie de derecho de acceso en negativo, dado que lo que cuestiona la demandante de amparo es que se le haya obligado a ser parte en el proceso indebidamente. Recuerda que ese derecho de acceso a la jurisdicción no tiene una cara opuesta que pudiera definirse como el derecho fundamental a no ser traído a un procedimiento en el que no debía ser parte, “pues al contrario que en el primer caso, si se encuentra formando parte de la relación procesal, el ciudadano podrá plantear cualquier reivindicación jurídica, incluida la falta de legitimación pasiva, que es lo que sucedió en este caso, que Penrei Inversiones, S.L., lo planteó en las dos instancias, no se le causó por ello indefensión alguna”.</w:t>
      </w:r>
    </w:p>
    <w:p w:rsidR="005728DD" w:rsidRDefault="005728DD" w:rsidP="005728DD">
      <w:pPr>
        <w:pStyle w:val="TextoNormal"/>
      </w:pPr>
    </w:p>
    <w:p w:rsidR="005728DD" w:rsidRDefault="005728DD" w:rsidP="005728DD">
      <w:pPr>
        <w:pStyle w:val="TextoNormal"/>
      </w:pPr>
      <w:r>
        <w:t>Destaca el Ministerio Fiscal que la verdadera denuncia se sitúa en el ámbito de la motivación, percibida por la recurrente como arbitraria, errónea o irrazonable. Centrado así el objeto de la queja, recuerda la doctrina del tribunal sobre la motivación y el error patente y su tratamiento constitucional que, aplicada al caso objeto de su análisis, determina el re</w:t>
      </w:r>
      <w:r>
        <w:lastRenderedPageBreak/>
        <w:t>chazo del amparo solicitado por no darse ninguno de los calificativos negativos de las resoluciones judiciales cuestionadas pues descarta que estén inmotivadas, incurran en arbitrariedad, sean irrazonables o incurran en error patente.</w:t>
      </w:r>
    </w:p>
    <w:p w:rsidR="005728DD" w:rsidRDefault="005728DD" w:rsidP="005728DD">
      <w:pPr>
        <w:pStyle w:val="TextoNormal"/>
      </w:pPr>
    </w:p>
    <w:p w:rsidR="005728DD" w:rsidRDefault="005728DD" w:rsidP="005728DD">
      <w:pPr>
        <w:pStyle w:val="TextoNormal"/>
      </w:pPr>
      <w:r w:rsidRPr="005728DD">
        <w:rPr>
          <w:rStyle w:val="NumeroAFNegritaCaracter"/>
        </w:rPr>
        <w:t>13</w:t>
      </w:r>
      <w:r>
        <w:t>. La representación procesal de la entidad recurrente presentó su escrito de alegaciones el 11 de marzo de 2021, en el que, tras reiterar las alegaciones efectuadas en el trámite ofrecido para sustanciar el recurso de súplica, interesó que se dictara resolución estimatoria del recurso de amparo.</w:t>
      </w:r>
    </w:p>
    <w:p w:rsidR="005728DD" w:rsidRDefault="005728DD" w:rsidP="005728DD">
      <w:pPr>
        <w:pStyle w:val="TextoNormal"/>
      </w:pPr>
    </w:p>
    <w:p w:rsidR="005728DD" w:rsidRDefault="005728DD" w:rsidP="005728DD">
      <w:pPr>
        <w:pStyle w:val="TextoNormal"/>
      </w:pPr>
      <w:r w:rsidRPr="005728DD">
        <w:rPr>
          <w:rStyle w:val="NumeroAFNegritaCaracter"/>
        </w:rPr>
        <w:t>14</w:t>
      </w:r>
      <w:r>
        <w:t>. También el 11 de marzo de 2021 presentó su escrito de alegaciones la entidad Pera Assets Designated Activity Company, en el que expresaba su oposición al recurso de amparo; subrayaba el fundamento de la llamada al proceso de la sociedad recurrente en amparo no como deudora sino como titular de un derecho real inscrito a su favor, precisamente para evitar situaciones de indefensión que acarrearían inexorablemente la nulidad de las actuaciones. Abundaba en argumentos de derecho que justificaban esta llamada al proceso con cita de numerosas resoluciones de la Dirección General de los Registros y del Notariado y, destacadamente, de la doctrina recogida en la STC 79/2013, de 8 de abril.</w:t>
      </w:r>
    </w:p>
    <w:p w:rsidR="005728DD" w:rsidRDefault="005728DD" w:rsidP="005728DD">
      <w:pPr>
        <w:pStyle w:val="TextoNormal"/>
      </w:pPr>
    </w:p>
    <w:p w:rsidR="005728DD" w:rsidRDefault="005728DD" w:rsidP="005728DD">
      <w:pPr>
        <w:pStyle w:val="TextoNormal"/>
      </w:pPr>
      <w:r w:rsidRPr="005728DD">
        <w:rPr>
          <w:rStyle w:val="NumeroAFNegritaCaracter"/>
        </w:rPr>
        <w:t>15</w:t>
      </w:r>
      <w:r>
        <w:t>. Mediante providencia de 17 de junio de 2021, se señaló para deliberación y votación de la presente sentencia el día 21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w:t>
      </w:r>
      <w:r>
        <w:t>.</w:t>
      </w:r>
    </w:p>
    <w:p w:rsidR="005728DD" w:rsidRDefault="005728DD" w:rsidP="005728DD">
      <w:pPr>
        <w:pStyle w:val="TextoNormal"/>
      </w:pPr>
    </w:p>
    <w:p w:rsidR="005728DD" w:rsidRDefault="005728DD" w:rsidP="005728DD">
      <w:pPr>
        <w:pStyle w:val="TextoNormal"/>
      </w:pPr>
      <w:r>
        <w:t>El presente recurso de amparo tiene por objeto la impugnación del auto del Juzgado de Primera Instancia e Instrucción núm. 1 de Lorca, de 3 de mayo de 2019, por el que se desestimó la oposición a la ejecución formulada por la entidad Penrei Inversiones, S.L., en el procedimiento de ejecución hipotecaria núm. 348-2018, en el que había sido demandada como titular inscrita de un derecho de uso y disfrute, y del auto de la Sección Primera de la Audiencia Provincial de Murcia, de 10 de febrero de 2020, que desestimó el recurso de apelación interpuesto contra la anterior resolución.</w:t>
      </w:r>
    </w:p>
    <w:p w:rsidR="005728DD" w:rsidRDefault="005728DD" w:rsidP="005728DD">
      <w:pPr>
        <w:pStyle w:val="TextoNormal"/>
      </w:pPr>
    </w:p>
    <w:p w:rsidR="005728DD" w:rsidRDefault="005728DD" w:rsidP="005728DD">
      <w:pPr>
        <w:pStyle w:val="TextoNormal"/>
      </w:pPr>
      <w:r>
        <w:t>Para la recurrente las decisiones judiciales han vulnerado su derecho a la tutela judicial efectiva (art. 24.1 CE), en su vertiente del derecho a una resolución motivada, no incursa en irrazonabilidad, arbitrariedad o error patente. También considera vulnerado el invocado derecho fundamental en su vertiente de acceso al proceso, en cuya formulación parece incluir el derecho a no ser llamado a este. Abunda en ese planteamiento, que justifica en el propio título objeto de ejecución, en tanto no menciona a la sociedad poseedora, y en el art. 685.1 LEC que, considera la demandante de amparo, acota el lado pasivo de la relación jurídica procesal dentro de las particularidades de la ejecución sobre bienes hipotecados o pignorados.</w:t>
      </w:r>
    </w:p>
    <w:p w:rsidR="005728DD" w:rsidRDefault="005728DD" w:rsidP="005728DD">
      <w:pPr>
        <w:pStyle w:val="TextoNormal"/>
      </w:pPr>
    </w:p>
    <w:p w:rsidR="005728DD" w:rsidRDefault="005728DD" w:rsidP="005728DD">
      <w:pPr>
        <w:pStyle w:val="TextoNormal"/>
      </w:pPr>
      <w:r>
        <w:t xml:space="preserve">El Ministerio Fiscal, por su parte, solicita la desestimación del recurso de amparo, pues, aunque admite que el recurso contiene alguna referencia a la tutela judicial efectiva en su modalidad del derecho de acceso a la jurisdicción, sin embargo, reconfigura esta vertiente </w:t>
      </w:r>
      <w:r>
        <w:lastRenderedPageBreak/>
        <w:t>al entender que lo que plantea la recurrente no es que se le haya privado de la posibilidad de acudir a los tribunales sino, al contrario, que se le haya obligado a ser parte, en una especie de derecho de acceso en negativo, considerando que la verdadera denuncia de la recurrente queda residenciada en un problema de motivación de las resoluciones que mantuvieron la procedencia de su llamada al proceso, en las que, a juicio del fiscal no concurre el vicio que se les imputa.</w:t>
      </w:r>
    </w:p>
    <w:p w:rsidR="005728DD" w:rsidRDefault="005728DD" w:rsidP="005728DD">
      <w:pPr>
        <w:pStyle w:val="TextoNormal"/>
      </w:pPr>
    </w:p>
    <w:p w:rsidR="005728DD" w:rsidRDefault="005728DD" w:rsidP="005728DD">
      <w:pPr>
        <w:pStyle w:val="TextoNormal"/>
      </w:pPr>
      <w:r>
        <w:t>Finalmente, la sociedad recurrida también solicita la desestimación del recurso de amparo, sosteniendo, en síntesis, que las resoluciones judiciales impugnadas contienen una motivación racional, lógica y preservadora del derecho fundamental invocado en la demanda.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Cuestión previa y doctrina constitucional aplicable</w:t>
      </w:r>
      <w:r>
        <w:t>.</w:t>
      </w:r>
    </w:p>
    <w:p w:rsidR="005728DD" w:rsidRDefault="005728DD" w:rsidP="005728DD">
      <w:pPr>
        <w:pStyle w:val="TextoNormal"/>
      </w:pPr>
    </w:p>
    <w:p w:rsidR="005728DD" w:rsidRDefault="005728DD" w:rsidP="005728DD">
      <w:pPr>
        <w:pStyle w:val="TextoNormal"/>
      </w:pPr>
      <w:r>
        <w:t>Antes de entrar en el examen del fondo de la queja planteada por la demandante de amparo, es preciso aclarar una cuestión previa. Como bien señala el Ministerio Fiscal, en la demanda se invoca el derecho de acceso a la jurisdicción, alegando una vertiente negativa, en el sentido de un pretendido derecho a no ser parte en el procedimiento, al tiempo que se queja de un vicio en la motivación de las resoluciones impugnadas, que no se encontrarían fundadas en Derecho. En realidad, lo que aparentan ser dos quejas han de ser reconducida a una sola: el defecto en la motivación de las resoluciones judiciales, que han considerado parte a la actora en el procedimiento de ejecución hipotecaria, cuando, a su juicio, no debería haberlo sido, en virtud de un pretendido derecho negativo de acceso a la jurisdicción.</w:t>
      </w:r>
    </w:p>
    <w:p w:rsidR="005728DD" w:rsidRDefault="005728DD" w:rsidP="005728DD">
      <w:pPr>
        <w:pStyle w:val="TextoNormal"/>
      </w:pPr>
    </w:p>
    <w:p w:rsidR="005728DD" w:rsidRDefault="005728DD" w:rsidP="005728DD">
      <w:pPr>
        <w:pStyle w:val="TextoNormal"/>
      </w:pPr>
      <w:r>
        <w:t>Efectuada esta precisión previa, la cuestión queda, pues, reducida a determinar si la decisión adoptada por el órgano ejecutor, posteriormente ratificada en grado de apelación, de mantener al tercer poseedor en el proceso, vulneró el derecho fundamental de la recurrente a la tutela judicial efectiva (art. 24.1 CE), en la vertiente del derecho a una resolución motivada y fundada en Derecho.</w:t>
      </w:r>
    </w:p>
    <w:p w:rsidR="005728DD" w:rsidRDefault="005728DD" w:rsidP="005728DD">
      <w:pPr>
        <w:pStyle w:val="TextoNormal"/>
      </w:pPr>
    </w:p>
    <w:p w:rsidR="005728DD" w:rsidRDefault="005728DD" w:rsidP="005728DD">
      <w:pPr>
        <w:pStyle w:val="TextoNormal"/>
      </w:pPr>
      <w:r>
        <w:t>Para valorar si la decisión judicial recurrida vulneró o no el derecho a la tutela judicial efectiva del art. 24.1 CE, en su vertiente de derecho a la motivación de las resoluciones judiciales, conviene recordar en primer término, la consolidada doctrina constitucional sobre el derecho a obtener de los órganos judiciales una resolución motivada como primaria garantía reconocida en el art. 24.1 CE: que contenga los elementos y razones de juicio que permitan conocer cuáles han sido los criterios jurídicos que fundamentan la decisión y que la motivación esté fundada en Derecho, exigencia que no queda cumplida con la mera emisión de una declaración de voluntad en un sentido u otro, sino que debe ser consecuencia de una exégesis racional del ordenamiento jurídico y no fruto de la arbitrariedad (por todas, STC 142/2012, de 2 de julio, FJ 4).</w:t>
      </w:r>
    </w:p>
    <w:p w:rsidR="005728DD" w:rsidRDefault="005728DD" w:rsidP="005728DD">
      <w:pPr>
        <w:pStyle w:val="TextoNormal"/>
      </w:pPr>
    </w:p>
    <w:p w:rsidR="005728DD" w:rsidRDefault="005728DD" w:rsidP="005728DD">
      <w:pPr>
        <w:pStyle w:val="TextoNormal"/>
      </w:pPr>
      <w:r>
        <w:t xml:space="preserve">Sobre los elementos de juicio que permiten conocer el criterio jurídico que justifique la llamada al proceso del tercer poseedor, como proyección concreta de la decisión judicial adoptada, también se ha pronunciado este tribunal desde muy temprana jurisprudencia iniciada con la STC 148/1988, de 14 de julio, hasta la más reciente STC 208/2015, de 5 de octubre, desde la óptica del derecho fundamental a la tutela judicial efectiva sin indefensión, en su vertiente de acceso a la jurisdicción (art. 24.1 CE). Lo relevante, más allá del plano de </w:t>
      </w:r>
      <w:r>
        <w:lastRenderedPageBreak/>
        <w:t>la legalidad infraconstitucional (art. 662.1 LEC), es el derecho del tercer poseedor a acceder al proceso, no que este lo ejercite una vez tiene conocimiento de este.</w:t>
      </w:r>
    </w:p>
    <w:p w:rsidR="005728DD" w:rsidRDefault="005728DD" w:rsidP="005728DD">
      <w:pPr>
        <w:pStyle w:val="TextoNormal"/>
      </w:pPr>
    </w:p>
    <w:p w:rsidR="005728DD" w:rsidRDefault="005728DD" w:rsidP="005728DD">
      <w:pPr>
        <w:pStyle w:val="TextoNormal"/>
      </w:pPr>
      <w:r>
        <w:t>Es consolidada doctrina constitucional que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Pero también hemos declarado en multitud de ocasiones que una resolución judicial vulnera el derecho a la tutela judicial efectiva cuando el razonamiento que la funda incurre en tal grado de arbitrariedad, irrazonabilidad o error que, por su evidencia y contenido, sean tan manifiestos y graves que para cualquier observador resulte patente que la resolución de hecho carece de toda motivación o razonamiento. En estos casos, ciertamente excepcionales,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y 133/2013, de 5 de junio, FJ 5, entre otras muchas).</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Análisis de la pretensión de amparo: no apreciación de la vulneración del derecho a la tutela judicial efectiva sin indefensión del art. 24.1 CE</w:t>
      </w:r>
      <w:r>
        <w:t>.</w:t>
      </w:r>
    </w:p>
    <w:p w:rsidR="005728DD" w:rsidRDefault="005728DD" w:rsidP="005728DD">
      <w:pPr>
        <w:pStyle w:val="TextoNormal"/>
      </w:pPr>
    </w:p>
    <w:p w:rsidR="005728DD" w:rsidRDefault="005728DD" w:rsidP="005728DD">
      <w:pPr>
        <w:pStyle w:val="TextoNormal"/>
      </w:pPr>
      <w:r>
        <w:t xml:space="preserve">A la vista de la doctrina constitucional que acabamos de recordar, debemos dilucidar ahora si la motivación expresada por los órganos judiciales para mantener la validez de la llamada al proceso de la recurrente en su condición de tercer poseedor con título inscrito, es conforme con nuestro canon constitucional de motivación </w:t>
      </w:r>
      <w:r w:rsidRPr="005728DD">
        <w:rPr>
          <w:i/>
        </w:rPr>
        <w:t>ex</w:t>
      </w:r>
      <w:r>
        <w:t xml:space="preserve"> art. 24.1 CE. Dicho de otro modo, al igual que en otros supuestos semejantes, debe insistirse también ahora en que únicamente nos corresponde comprobar si la interpretación de las normas procesales efectuada por las resoluciones impugnadas es o no respetuosa con el derecho a la tutela judicial efectiva de la demandante de amparo.</w:t>
      </w:r>
    </w:p>
    <w:p w:rsidR="005728DD" w:rsidRDefault="005728DD" w:rsidP="005728DD">
      <w:pPr>
        <w:pStyle w:val="TextoNormal"/>
      </w:pPr>
    </w:p>
    <w:p w:rsidR="005728DD" w:rsidRDefault="005728DD" w:rsidP="005728DD">
      <w:pPr>
        <w:pStyle w:val="TextoNormal"/>
      </w:pPr>
      <w:r>
        <w:t>Como ya se ha expuesto anteriormente, la demandante de amparo considera que su llamada al proceso resulta irrazonable en virtud de una pretendida “vertiente negativa” del derecho de acceso a la jurisdicción. La visión de la cuestión que se realiza en la demanda resulta contradictoria con la doctrina de este tribunal en materia de acceso a la jurisdicción, especialmente en lo que se refiere al procedimiento de ejecución hipotecaria. En efecto,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(por todas, STC 180/2015, de 7 de septiembre, FJ 4), sin perjuicio del pronunciamiento que pueda recaer y de la posible existencia de otras acciones que puedan corresponder a los afectados (STC 43/2010, de 26 de julio, FJ 2).</w:t>
      </w:r>
    </w:p>
    <w:p w:rsidR="005728DD" w:rsidRDefault="005728DD" w:rsidP="005728DD">
      <w:pPr>
        <w:pStyle w:val="TextoNormal"/>
      </w:pPr>
    </w:p>
    <w:p w:rsidR="005728DD" w:rsidRDefault="005728DD" w:rsidP="005728DD">
      <w:pPr>
        <w:pStyle w:val="TextoNormal"/>
      </w:pPr>
      <w:r>
        <w:t xml:space="preserve">En particular, en lo que se refiere al procedimiento de ejecución hipotecaria, hicimos hincapié en la STC 79/2013, de 8 de abril, FJ 3, en la idea de que “la validez global de la estructura procedimental de la ejecución hipotecaria en modo alguno admite excepciones al </w:t>
      </w:r>
      <w:r>
        <w:lastRenderedPageBreak/>
        <w:t>derecho de defensa de los interesados, no siendo admisibles lecturas restrictivas de la intervención de quienes son titulares de derechos e intereses legítimos, entre los que figuran los denominados legalmente como ‘terceros poseedores’”. Y, en su fundamento jurídico 4, sostuvimos que “una línea constante y uniforme de este tribunal en materia de acceso al proceso en general (art. 24.1 CE), y al procedimiento de ejecución hipotecaria en particular, ha promovido la defensa, dando la oportunidad de participar, contradictoriamente, en la fase de ejecución de este procedimiento especial, al existir una posición privilegiada del acreedor derivada de la fuerza ejecutiva del título”; posibilidad de intervenir que se refirió específicamente al tercer poseedor de la finca hipotecada. Así pues, de acuerdo con dicha doctrina, no cabe aceptar la vertiente negativa del derecho de acceso a la jurisdicción en la que pretende escudarse la demandante de amparo.</w:t>
      </w:r>
    </w:p>
    <w:p w:rsidR="005728DD" w:rsidRDefault="005728DD" w:rsidP="005728DD">
      <w:pPr>
        <w:pStyle w:val="TextoNormal"/>
      </w:pPr>
    </w:p>
    <w:p w:rsidR="005728DD" w:rsidRDefault="005728DD" w:rsidP="005728DD">
      <w:pPr>
        <w:pStyle w:val="TextoNormal"/>
      </w:pPr>
      <w:r>
        <w:t>En este sentido, la respuesta ofrecida en las resoluciones judiciales recurridas en amparo no solo cumple el canon de motivación requerido, al contener los elementos y razones de juicio que permiten conocer los criterios jurídicos utilizados, sino que adecuan el sentido de su decisión a la doctrina constitucional sobre la concreta cuestión suscitada: la puesta en conocimiento del proceso de ejecución al tercer poseedor con título inscrito. La finalidad que preside dicho llamamiento tiene una doble faz: de un lado, asegurar el derecho fundamental a la tutela judicial efectiva de quienes el propio registro publicita como titulares de derechos inscritos; y, de otro, preservar la observancia de las garantías del proceso al propio ejecutante para evitar dilaciones en la tramitación inevitablemente asociadas a la falta de notificación al titular de derechos inscritos.</w:t>
      </w:r>
    </w:p>
    <w:p w:rsidR="005728DD" w:rsidRDefault="005728DD" w:rsidP="005728DD">
      <w:pPr>
        <w:pStyle w:val="TextoNormal"/>
      </w:pPr>
    </w:p>
    <w:p w:rsidR="005728DD" w:rsidRDefault="005728DD" w:rsidP="005728DD">
      <w:pPr>
        <w:pStyle w:val="TextoNormal"/>
      </w:pPr>
      <w:r>
        <w:t>Como nos recuerda la STC 208/2015, de 5 de octubre, FJ 4, la personación en el proceso de ejecución hipotecaria del tercer poseedor, en cualquiera de sus modalidades asimiladas (art. 662.2 LEC), le faculta para que en cualquier momento anterior a la aprobación del remate o a la adjudicación al acreedor, pueda liberar el inmueble satisfaciendo lo que se deba al acreedor por principal, intereses y costas, dentro de los límites de la responsabilidad a que esté sujeto el bien (art. 662.3 LEC); intervenir en la subasta tomando parte en ella, instando su celebración (art. 691.1 LEC), presentar tercero que mejore la postura y promover el declarativo ordinario contra lo actuado en el proceso (698.1 LEC). Como es fácil de entender, si a este tercer poseedor no se le permite personarse en los autos, tampoco podrá tener intervención alguna en su desarrollo, ni, por consiguiente, ejercitar las facultades que la normativa que rige el procedimiento de ejecución hipotecaria le reconoce.</w:t>
      </w:r>
    </w:p>
    <w:p w:rsidR="005728DD" w:rsidRDefault="005728DD" w:rsidP="005728DD">
      <w:pPr>
        <w:pStyle w:val="TextoNormal"/>
      </w:pPr>
    </w:p>
    <w:p w:rsidR="005728DD" w:rsidRDefault="005728DD" w:rsidP="005728DD">
      <w:pPr>
        <w:pStyle w:val="TextoNormal"/>
      </w:pPr>
      <w:r>
        <w:t>Desde esta perspectiva, como razona en sus alegaciones el Ministerio Fiscal, el amparo debe ser rechazado, al no concurrir ninguna de las causas atribuidas a la motivación de las resoluciones judiciales cuestionadas, que se evidencia suficiente, razonable y no arbitraria, en cuanto coincidente con la doctrina constitucional en la materia, y, desde luego, sin conexión material con la doctrina sobre el error patente: error de hecho verificable e incontrovertible a partir de las actuaciones judiciales, y determinante de la decisión. La intervención del tercer poseedor resulta, como acontece en la mayoría de los procesos civiles, facultativa, pero es obvio que la lesión del derecho fundamental no la produciría su llamada al proceso, sino la omisión o negativa del órgano judicial a participárselo y, en su caso, a admitir su personación.</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Penrei Inversiones, S.L.</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veintiuno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5" w:name="SENTENCIA_2021_132"/>
      <w:r>
        <w:lastRenderedPageBreak/>
        <w:t>SENTENCIA 132/2021, de 21 de junio de 2021</w:t>
      </w:r>
    </w:p>
    <w:bookmarkEnd w:id="135"/>
    <w:p w:rsidR="005728DD" w:rsidRDefault="005728DD" w:rsidP="005728DD">
      <w:pPr>
        <w:pStyle w:val="TtuloResolucin"/>
      </w:pPr>
      <w:r>
        <w:t>Sala Primera</w:t>
      </w:r>
    </w:p>
    <w:p w:rsidR="005728DD" w:rsidRDefault="005728DD" w:rsidP="005728DD">
      <w:pPr>
        <w:pStyle w:val="TtuloBOE"/>
      </w:pPr>
      <w:r>
        <w:t>(BOE núm. 182, de 31 de julio de 2021)</w:t>
      </w:r>
    </w:p>
    <w:p w:rsidR="005728DD" w:rsidRDefault="005728DD" w:rsidP="005728DD">
      <w:pPr>
        <w:pStyle w:val="TextoNormalCentrado"/>
      </w:pPr>
      <w:r>
        <w:t>ECLI:ES:TC:2021:132</w:t>
      </w:r>
    </w:p>
    <w:p w:rsidR="005728DD" w:rsidRDefault="005728DD" w:rsidP="005728DD">
      <w:pPr>
        <w:pStyle w:val="TextoNormalCentrado"/>
      </w:pPr>
    </w:p>
    <w:p w:rsidR="005728DD" w:rsidRDefault="005728DD" w:rsidP="005728DD">
      <w:pPr>
        <w:pStyle w:val="SntesisDescriptiva"/>
      </w:pPr>
      <w:r>
        <w:t>Recurso de amparo 4265-2020. Promovido por doña Rachida Kaouay respecto de la sentencia de la Audiencia Provincial de Málaga que agravó, en apelación, la condena que le había sido impuesta por un juzgado de lo penal de Melilla como autora de un delito de tráfico de drogas.</w:t>
      </w:r>
    </w:p>
    <w:p w:rsidR="005728DD" w:rsidRDefault="005728DD" w:rsidP="005728DD">
      <w:pPr>
        <w:pStyle w:val="SntesisDescriptiva"/>
      </w:pPr>
    </w:p>
    <w:p w:rsidR="005728DD" w:rsidRDefault="005728DD" w:rsidP="005728DD">
      <w:pPr>
        <w:pStyle w:val="SntesisAnaltica"/>
      </w:pPr>
      <w:r>
        <w:t>Vulneración de los derechos a la tutela judicial efectiva (reformatio in peius) y a un proceso con todas las garantías: sentencia que agrava la condena impuesta fundándose en la existencia de un error, padecido en la primera instancia, en la aplicación de la ley y sin que mediara petición al respecto de las partes acusadoras.</w:t>
      </w:r>
    </w:p>
    <w:p w:rsidR="005728DD" w:rsidRDefault="005728DD" w:rsidP="005728DD">
      <w:pPr>
        <w:pStyle w:val="SntesisAnaltica"/>
      </w:pPr>
    </w:p>
    <w:p w:rsidR="005728DD" w:rsidRDefault="005728DD" w:rsidP="005728DD">
      <w:pPr>
        <w:pStyle w:val="Extracto"/>
      </w:pPr>
      <w:r>
        <w:t>1.</w:t>
      </w:r>
      <w:r>
        <w:tab/>
        <w:t xml:space="preserve">Doctrina previa sobre el derecho a la tutela judicial efectiva, en su vertiente de la prohibición de </w:t>
      </w:r>
      <w:r w:rsidRPr="005728DD">
        <w:rPr>
          <w:i/>
        </w:rPr>
        <w:t>reformatio in peius</w:t>
      </w:r>
      <w:r>
        <w:t xml:space="preserve"> (art. 24.1 CE) [FJ 2].</w:t>
      </w:r>
    </w:p>
    <w:p w:rsidR="005728DD" w:rsidRDefault="005728DD" w:rsidP="005728DD">
      <w:pPr>
        <w:pStyle w:val="Extracto"/>
      </w:pPr>
    </w:p>
    <w:p w:rsidR="005728DD" w:rsidRDefault="005728DD" w:rsidP="005728DD">
      <w:pPr>
        <w:pStyle w:val="Extracto"/>
      </w:pPr>
      <w:r>
        <w:t>2.</w:t>
      </w:r>
      <w:r>
        <w:tab/>
        <w:t xml:space="preserve">La doctrina de este Tribunal Constitucional ha identificado la </w:t>
      </w:r>
      <w:r w:rsidRPr="005728DD">
        <w:rPr>
          <w:i/>
        </w:rPr>
        <w:t xml:space="preserve">reformatio in peius </w:t>
      </w:r>
      <w:r>
        <w:t>con el empeoramiento o agravación de la situación jurídica del recurrente declarada en la resolución impugnada en virtud de su propio recurso, de modo que la decisión judicial que lo resuelve conduce a un efecto contrario al perseguido por el recurrente, cual es anular o suavizar la sanción aplicada en la resolución objeto de impugnación (SSTC 9/1998 o 126/2010) [FJ 2].</w:t>
      </w:r>
    </w:p>
    <w:p w:rsidR="005728DD" w:rsidRDefault="005728DD" w:rsidP="005728DD">
      <w:pPr>
        <w:pStyle w:val="Extracto"/>
      </w:pPr>
    </w:p>
    <w:p w:rsidR="005728DD" w:rsidRDefault="005728DD" w:rsidP="005728DD">
      <w:pPr>
        <w:pStyle w:val="Extracto"/>
      </w:pPr>
      <w:r>
        <w:t>3.</w:t>
      </w:r>
      <w:r>
        <w:tab/>
        <w:t>Lo relevante no es si existe una</w:t>
      </w:r>
      <w:r w:rsidRPr="005728DD">
        <w:rPr>
          <w:i/>
        </w:rPr>
        <w:t xml:space="preserve"> reformatio</w:t>
      </w:r>
      <w:r>
        <w:t xml:space="preserve">, sino si es </w:t>
      </w:r>
      <w:r w:rsidRPr="005728DD">
        <w:rPr>
          <w:i/>
        </w:rPr>
        <w:t>in peius</w:t>
      </w:r>
      <w:r>
        <w:t xml:space="preserve">, y los términos de comparación para ponderar si la reforma ha sido peyorativa han de ser, en el caso, las respectivas condenas: es decir, si la recaída en segunda instancia empeora la situación que establece el fallo condenatorio de la dictada por el juzgador </w:t>
      </w:r>
      <w:r w:rsidRPr="005728DD">
        <w:rPr>
          <w:i/>
        </w:rPr>
        <w:t>a quo</w:t>
      </w:r>
      <w:r>
        <w:t>, y no la relación existente entre la pretensión absolutoria del actor recurrente y el sentido del fallo condenatorio derivado del recurso (SSTC 183/2005 y 203/2007) [FJ 2].</w:t>
      </w:r>
    </w:p>
    <w:p w:rsidR="005728DD" w:rsidRDefault="005728DD" w:rsidP="005728DD">
      <w:pPr>
        <w:pStyle w:val="Extracto"/>
      </w:pPr>
    </w:p>
    <w:p w:rsidR="005728DD" w:rsidRDefault="005728DD" w:rsidP="005728DD">
      <w:pPr>
        <w:pStyle w:val="Extracto"/>
      </w:pPr>
      <w:r>
        <w:t>4.</w:t>
      </w:r>
      <w:r>
        <w:tab/>
        <w:t>No resultan asumibles, desde la óptica del principio acusatorio, las acusaciones implícitas; así, no existiendo en segunda instancia quien sostenga una pretensión punitiva, siquiera en su grado mínimo (STC 47/1991), el órgano judicial no está habilitado para suplir un vacío. La simple subsunción jurídica de los hechos probados en el tipo penal, no permite extraer una consecuencia sancionadora obtenida no solo en quiebra de las reglas de contradicción y defensa que le deben preceder, sino también de la imparcialidad que ha de presidir la labor del órgano judicial llamado a decidir (STC 47/2020) [FJ 2].</w:t>
      </w:r>
    </w:p>
    <w:p w:rsidR="005728DD" w:rsidRDefault="005728DD" w:rsidP="005728DD">
      <w:pPr>
        <w:pStyle w:val="Extracto"/>
      </w:pPr>
    </w:p>
    <w:p w:rsidR="005728DD" w:rsidRDefault="005728DD" w:rsidP="005728DD">
      <w:pPr>
        <w:pStyle w:val="Extracto"/>
      </w:pPr>
      <w:r>
        <w:t>5.</w:t>
      </w:r>
      <w:r>
        <w:tab/>
        <w:t xml:space="preserve">Por exigencia del deber de congruencia entre acusación y fallo como manifestación del principio acusatorio, solicitada por las acusaciones la imposición de una pena dentro del marco legalmente previsto para el delito formalmente imputado, el órgano judicial no puede imponer pena que exceda, por su gravedad, naturaleza o cuantía, de la pedida por las acusaciones, cualquiera que sea el tipo de procedimiento por el que se sustancia la causa, aunque la pena en cuestión no transgreda </w:t>
      </w:r>
      <w:r>
        <w:lastRenderedPageBreak/>
        <w:t>los márgenes de la legalmente prevista para el tipo penal que resulte de la calificación de los hechos formulada en la acusación y debatida en el proceso [FJ 3].</w:t>
      </w:r>
    </w:p>
    <w:p w:rsidR="005728DD" w:rsidRDefault="005728DD" w:rsidP="005728DD">
      <w:pPr>
        <w:pStyle w:val="Extracto"/>
      </w:pPr>
    </w:p>
    <w:p w:rsidR="005728DD" w:rsidRDefault="005728DD" w:rsidP="005728DD">
      <w:pPr>
        <w:pStyle w:val="Extracto"/>
      </w:pPr>
      <w:r>
        <w:t>6.</w:t>
      </w:r>
      <w:r>
        <w:tab/>
        <w:t>La pretensión acusatoria debe constar debidamente exteriorizada, rechazándose las formas tácitas o implícitas como manera de satisfacer el principio acusatorio exigible en cada una de las instancias penales (SSTC 163/1986 y 47/1991) [FJ 3].</w:t>
      </w:r>
    </w:p>
    <w:p w:rsidR="005728DD" w:rsidRDefault="005728DD" w:rsidP="005728DD">
      <w:pPr>
        <w:pStyle w:val="Extracto"/>
      </w:pPr>
    </w:p>
    <w:p w:rsidR="005728DD" w:rsidRDefault="005728DD" w:rsidP="005728DD">
      <w:pPr>
        <w:pStyle w:val="Extracto"/>
      </w:pPr>
      <w:r>
        <w:t>7.</w:t>
      </w:r>
      <w:r>
        <w:tab/>
        <w:t>Debe tenerse especial cuidado en no confundir la inexistencia de acusación con la calificación jurídica errónea que hayan podido efectuar el Ministerio Fiscal u otras acusaciones, puesto que el órgano judicial, si así lo considera, no estaría vinculado por la tipificación o imputación que en ella se efectúe (SSTC 163/1986, 47/1991 y 11/1992) [FJ 3].</w:t>
      </w:r>
    </w:p>
    <w:p w:rsidR="005728DD" w:rsidRDefault="005728DD" w:rsidP="005728DD">
      <w:pPr>
        <w:pStyle w:val="Extracto"/>
      </w:pPr>
    </w:p>
    <w:p w:rsidR="005728DD" w:rsidRDefault="005728DD" w:rsidP="005728DD">
      <w:pPr>
        <w:pStyle w:val="Extracto"/>
      </w:pPr>
      <w:r>
        <w:t>8.</w:t>
      </w:r>
      <w:r>
        <w:tab/>
        <w:t>La seguridad jurídica de la condenada sobre la inmutabilidad de la sentencia en su perjuicio, si no media recurso de parte contraria, veda la agravación de oficio, aunque fuera absolutamente evidente su procedencia legal, pues las garantías constitucionales deben prevalecer sobre el principio de estricta sumisión del juez a la ley, incluso para corregir de oficio en la alzada errores evidentes en la aplicación de la misma en la instancia (SSTC 153/1990 o 246/2010) [FJ 4].</w:t>
      </w:r>
    </w:p>
    <w:p w:rsidR="005728DD" w:rsidRDefault="005728DD" w:rsidP="005728DD">
      <w:pPr>
        <w:pStyle w:val="Extracto"/>
      </w:pPr>
    </w:p>
    <w:p w:rsidR="005728DD" w:rsidRDefault="005728DD" w:rsidP="005728DD">
      <w:pPr>
        <w:pStyle w:val="Extracto"/>
      </w:pPr>
      <w:r>
        <w:t>9.</w:t>
      </w:r>
      <w:r>
        <w:tab/>
        <w:t>Ni siquiera la evidencia de una errónea calificación autoriza a los órganos judiciales ante los que se recurre a optar por la calificación correcta si esta conduce a un empeoramiento de la situación de quien impugna en solitario, salvo que concurran razones de orden público procesal (STC 223/2015)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4265-2020, promovido por doña Rachida Kaouay, representada por el procurador de los tribunales don José Luis Ybancos Torres, bajo la dirección letrada de don José Antonio Palau Cuevas, contra la providencia de la Sección Séptima de la Audiencia Provincial de Málaga de 28 de julio de 2020, que no admitió a trámite el incidente de nulidad de actuaciones promovido frente a la sentencia de 24 de junio de 2020 (rollo de apelación núm. 16-2020), que revocó parcialmente la sentencia del Juzgado de lo Penal núm. 2 de Melilla de 26 de noviembre de 2019 (procedimiento abreviado núm. 87-</w:t>
      </w:r>
      <w:r>
        <w:lastRenderedPageBreak/>
        <w:t>2019), condenatoria de la recurrente como autora de un delito de tráfico de drogas. Ha intervenido el Ministerio Fiscal.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procurador de los tribunales don José Luis Ybancos Torres, en nombre y representación de doña Rachida Kaouay, y bajo la dirección del letrado don José Antonio Palau Cuevas, interpuso recurso de amparo contra las resoluciones judiciales que se mencionan en el encabezamiento de esta sentencia, mediante escrito registrado en este tribunal el 9 de septiembre de 2020.</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t>a) La recurrente fue condenada por sentencia de 26 de noviembre de 2019, del Juzgado de lo Penal núm. 2 de Melilla (procedimiento abreviado núm. 87-2019), como autora de un delito contra la salud pública del art. 368 del Código Penal (CP), en relación con el art. 369.1.5 CP, a la pena de dos años de prisión, inhabilitación especial para ejercer el sufragio pasivo durante el tiempo de la condena, y multa de 2 700 000 €, con seis meses de responsabilidad personal subsidiara para el caso de impago. En dicha resolución se acordaba, asimismo, la suspensión de la pena de prisión impuesta por un plazo de cuatro años (art. 80 CP), condicionando la misma a la no comisión de hechos delictivos durante el periodo de suspensión.</w:t>
      </w:r>
    </w:p>
    <w:p w:rsidR="005728DD" w:rsidRDefault="005728DD" w:rsidP="005728DD">
      <w:pPr>
        <w:pStyle w:val="TextoNormal"/>
      </w:pPr>
    </w:p>
    <w:p w:rsidR="005728DD" w:rsidRDefault="005728DD" w:rsidP="005728DD">
      <w:pPr>
        <w:pStyle w:val="TextoNormal"/>
      </w:pPr>
      <w:r>
        <w:t>Los hechos probados refieren que el día 4 de junio de 2015, tras un seguimiento previo, agentes de la Policía Local y de la Policía Nacional, efectuaron entrada y registro en una vivienda propiedad de la señora Kaouay, donde fueron incautados cuarenta y nueve paquetes de diferentes formas y tamaños con un peso total de 554 kilogramos de una sustancia que, una vez analizada, resultó ser hachís en la siguiente composición: (i) M1-Hachís con una riqueza media del 17,5 por 100 y con un peso neto de 298,89 gramos, valorado en 468 501,66 €; (ii) M2-Hachís con una riqueza media del 20 por 100 y con un peso neto de 86,40 gramos, valorado en 135 388,8 €; (iii) M3-Hachís con una riqueza media del 27,6 por 100 y con un peso neto de 132,60 gramos, valorado en 207 784,20 €; (iv) M4-Hachís con una riqueza media del 17,4 por 100 y con un peso neto de 34,30 gramos, valorado en 53 748,10 euros; (v) M5-Hachís con una riqueza media del 13,4 por 100 y con un peso neto de 965 gramos, valorado en 5307,50 €. El valor total de la sustancia en el mercado ilícito era de 870 307,26 €. La sentencia consignaba que la finalidad de la misma era ser distribuida posteriormente por la península.</w:t>
      </w:r>
    </w:p>
    <w:p w:rsidR="005728DD" w:rsidRDefault="005728DD" w:rsidP="005728DD">
      <w:pPr>
        <w:pStyle w:val="TextoNormal"/>
      </w:pPr>
    </w:p>
    <w:p w:rsidR="005728DD" w:rsidRDefault="005728DD" w:rsidP="005728DD">
      <w:pPr>
        <w:pStyle w:val="TextoNormal"/>
      </w:pPr>
      <w:r>
        <w:t xml:space="preserve">En el fundamento jurídico segundo se califican penalmente los hechos como un delito contra la salud pública, previsto y penado en el art. 368 CP en relación con el art. 369.1.5 CP, en su modalidad de sustancias que no causan grave daño a la salud pública. En el fundamento jurídico tercero se motiva la individualización de la pena señalando que “[e]n el ámbito de la individualización penológica resultan de aplicación los artículos 368 y 66 CP; debiendo condenarse a la acusada, en relación a la comisión del referido delito contra la salud pública previsto y penado en el artículo 368 y 369.5 CP, en su ámbito mínimo, dadas las circunstancias personales y sociales de la misma, con la aplicación de la agravante del </w:t>
      </w:r>
      <w:r>
        <w:lastRenderedPageBreak/>
        <w:t>369.1.5 CP, así como decomiso de la sustancia intervenida, y demás efectos, cumpliendo las penas adecuadamente las finalidades de prevención general y especial, estimando proporcional y adecuada a la vista de las características que revisten los hechos cometidos y la gravedad y repercusión social de los mismos y conforme a la petición de la parte acusadora”.</w:t>
      </w:r>
    </w:p>
    <w:p w:rsidR="005728DD" w:rsidRDefault="005728DD" w:rsidP="005728DD">
      <w:pPr>
        <w:pStyle w:val="TextoNormal"/>
      </w:pPr>
    </w:p>
    <w:p w:rsidR="005728DD" w:rsidRDefault="005728DD" w:rsidP="005728DD">
      <w:pPr>
        <w:pStyle w:val="TextoNormal"/>
      </w:pPr>
      <w:r>
        <w:t>b) La defensa de la recurrente interpuso recurso de apelación alegando: (i) infracción del derecho a obtener una resolución motivada; (ii) infracción del derecho a la presunción de inocencia por inexistencia de prueba para dictar sentencia condenatoria; (iii) nulidad de la entrada y registro practicada. El Ministerio Fiscal, por escrito calendado el 21 de enero de 2020, impugnó el recurso de apelación presentado interesando que se confirmara la sentencia recurrida.</w:t>
      </w:r>
    </w:p>
    <w:p w:rsidR="005728DD" w:rsidRDefault="005728DD" w:rsidP="005728DD">
      <w:pPr>
        <w:pStyle w:val="TextoNormal"/>
      </w:pPr>
    </w:p>
    <w:p w:rsidR="005728DD" w:rsidRDefault="005728DD" w:rsidP="005728DD">
      <w:pPr>
        <w:pStyle w:val="TextoNormal"/>
      </w:pPr>
      <w:r>
        <w:t>En fecha 24 de junio de 2020 fue dictada, por la Sección Séptima de la Audiencia Provincial de Málaga, sentencia desestimando el recurso de apelación presentado por la recurrente. Aceptando los hechos declarados probados de la sentencia recurrida, se constata un evidente error de transcripción en las cantidades de sustancia aprehendidas, y expone que deberá entenderse: (i) 298 980 gramos en lugar de 298,89; (ii) 86 400 gramos en lugar de 86,40; (iii) 132 600 gramos en lugar de 132,60; y (iv) 34 300 gramos en lugar de 34,30.</w:t>
      </w:r>
    </w:p>
    <w:p w:rsidR="005728DD" w:rsidRDefault="005728DD" w:rsidP="005728DD">
      <w:pPr>
        <w:pStyle w:val="TextoNormal"/>
      </w:pPr>
    </w:p>
    <w:p w:rsidR="005728DD" w:rsidRDefault="005728DD" w:rsidP="005728DD">
      <w:pPr>
        <w:pStyle w:val="TextoNormal"/>
      </w:pPr>
      <w:r>
        <w:t>Tras rechazar los motivos de nulidad de la entrada y registro domiciliaria y de lesión del derecho a la presunción de inocencia, la sentencia impugnada en amparo señalaba en su fundamento jurídico quinto: “Existe un claro error en la extensión de la pena impuesta. Siendo un supuesto en que ha de apreciarse la agravante de notoria importancia y en el que consiguientemente se ha de imponer la pena superior en grado, el mínimo a imponer es de tres años y de un día de prisión. Así pues, procederemos a corregir la pena impuesta, fijando su extensión mínima, de conformidad con la posibilidad declarada por el Pleno no Jurisdiccional de la Sala Segunda del Tribunal Supremo de 27 de diciembre de 2007, que literalmente dice ‘El anterior acuerdo de esta Sala, de fecha 20 de diciembre de 2006, debe ser entendido en el sentido de que el tribunal no puede imponer pena superior a la más grave de las pedidas por las acusaciones, siempre que la pena solicitada se corresponda con las previsiones legales al respecto, de modo que cuando la pena se omite o no alcanza el mínimo previsto en la ley, la sentencia de imponer, en todo caso, la pena mínima establecida para el delito objeto de condena’”.</w:t>
      </w:r>
    </w:p>
    <w:p w:rsidR="005728DD" w:rsidRDefault="005728DD" w:rsidP="005728DD">
      <w:pPr>
        <w:pStyle w:val="TextoNormal"/>
      </w:pPr>
    </w:p>
    <w:p w:rsidR="005728DD" w:rsidRDefault="005728DD" w:rsidP="005728DD">
      <w:pPr>
        <w:pStyle w:val="TextoNormal"/>
      </w:pPr>
      <w:r>
        <w:t>En base a este razonamiento, la Sección Séptima de la Audiencia Provincial de Málaga revocaba parcialmente la sentencia impugnada, elevando la pena de los dos años de prisión inicialmente impuestos por el juzgado de lo penal, a tres años y un día de prisión.</w:t>
      </w:r>
    </w:p>
    <w:p w:rsidR="005728DD" w:rsidRDefault="005728DD" w:rsidP="005728DD">
      <w:pPr>
        <w:pStyle w:val="TextoNormal"/>
      </w:pPr>
    </w:p>
    <w:p w:rsidR="005728DD" w:rsidRDefault="005728DD" w:rsidP="005728DD">
      <w:pPr>
        <w:pStyle w:val="TextoNormal"/>
      </w:pPr>
      <w:r>
        <w:t>c) Por la demandante de amparo se presentó el 3 de julio de 2020, escrito de preparación de recurso de casación por infracción de ley. Dicha preparación fue denegada por auto de 6 de julio de 2020 en base a que los hechos objeto de enjuiciamiento eran anteriores a la publicación y entrada en vigor de la Ley 41/2015, de 5 de octubre, que modificó el art. 792.4 de la Ley de enjuiciamiento criminal (LECrim).</w:t>
      </w:r>
    </w:p>
    <w:p w:rsidR="005728DD" w:rsidRDefault="005728DD" w:rsidP="005728DD">
      <w:pPr>
        <w:pStyle w:val="TextoNormal"/>
      </w:pPr>
    </w:p>
    <w:p w:rsidR="005728DD" w:rsidRDefault="005728DD" w:rsidP="005728DD">
      <w:pPr>
        <w:pStyle w:val="TextoNormal"/>
      </w:pPr>
      <w:r>
        <w:t xml:space="preserve">d) La recurrente interpuso incidente extraordinario de nulidad de actuaciones contra la sentencia de la Audiencia Provincial de Málaga. En dicho incidente se alegaba vulneración del derecho a la tutela judicial efectiva (art. 24.1 CE) por infracción del principio acusatorio y de prohibición de </w:t>
      </w:r>
      <w:r w:rsidRPr="005728DD">
        <w:rPr>
          <w:i/>
        </w:rPr>
        <w:t>reformatio in peius</w:t>
      </w:r>
      <w:r>
        <w:t xml:space="preserve">, al haberse excedido el órgano de apelación de los </w:t>
      </w:r>
      <w:r>
        <w:lastRenderedPageBreak/>
        <w:t>límites en los que estaba planteado el recurso, acordando una agravación de la sentencia impugnada que tenía su origen en un recurso interpuesto por la propia recurrente. Tras consignar jurisprudencia constitucional sobre la materia, la recurrente señalaba: “En definitiva, la reforma peyorativa está constitucionalmente prohibida y el empeoramiento de la situación de la recurrente ha de resultar únicamente de la pretensión impugnatoria de la parte acusadora, tal cual sucede en el presente caso, en el que el recurso de apelación interpuesto contra la sentencia recaída en primera instancia, argumentaba como motivos impugnatorios la nulidad de la entrada y registro domiciliario y el error en la valoración de la prueba, siendo dicho recurso únicamente opuesto por el Ministerio Fiscal quien interesa mediante escrito de fecha 21 de enero de 2020 la confirmación de la sentencia recurrida por estimarla, por sus propios fundamentos, ajustada a derecho”. En relación con el fondo del asunto, la recurrente consideraba que la extensión de la pena fijada en primera instancia se había fundamentado en la aplicación conjunta del subtipo agravado del art. 369.1.5 CP y el subtipo atenuado del art. 368.2 CP, por lo que la Audiencia Provincial había incurrido en un error en la fijación de la pena finalmente impuesta.</w:t>
      </w:r>
    </w:p>
    <w:p w:rsidR="005728DD" w:rsidRDefault="005728DD" w:rsidP="005728DD">
      <w:pPr>
        <w:pStyle w:val="TextoNormal"/>
      </w:pPr>
    </w:p>
    <w:p w:rsidR="005728DD" w:rsidRDefault="005728DD" w:rsidP="005728DD">
      <w:pPr>
        <w:pStyle w:val="TextoNormal"/>
      </w:pPr>
      <w:r>
        <w:t>El incidente fue inadmitido mediante providencia de 28 de julio de 2020 en la que se indicaba: “No ha lugar a admitir dicho incidente por cuanto lo que con él se pretende es abrir una vía de impugnación que no existe, dado que, como ya se dijo en auto que denegó tener preparado recurso de casación, los hechos juzgados son anteriores a la entrada en vigor de la posibilidad de usar dicho recurso. Por otra parte, la defensa de la promotora afirma que la juez de instancia apreció el tipo privilegiado del párrafo segundo del art. 368 CP cuando lo que literalmente recoge el fundamento jurídico tercero de la sentencia recurrida es que se trata de un ‘delito contra la salud pública previsto y penado en los arts. 368 y 369.1.5 CP’ lo que se repite en el fallo, de manera que no ha habido error de lectura y/o interpretación que permita sustentar el referido incidente”.</w:t>
      </w:r>
    </w:p>
    <w:p w:rsidR="005728DD" w:rsidRDefault="005728DD" w:rsidP="005728DD">
      <w:pPr>
        <w:pStyle w:val="TextoNormal"/>
      </w:pPr>
    </w:p>
    <w:p w:rsidR="005728DD" w:rsidRDefault="005728DD" w:rsidP="005728DD">
      <w:pPr>
        <w:pStyle w:val="TextoNormal"/>
      </w:pPr>
      <w:r w:rsidRPr="005728DD">
        <w:rPr>
          <w:rStyle w:val="NumeroAFNegritaCaracter"/>
        </w:rPr>
        <w:t>3</w:t>
      </w:r>
      <w:r>
        <w:t>. La recurrente en amparo aduce en su demanda que se ha vulnerado su derecho a la tutela judicial efectiva (art. 24.1 CE), en su vertiente de no padecer una reforma peyorativa, solicitando, por tanto, la nulidad del pronunciamiento de agravación de la condena mantenido por la sentencia de 24 de julio de 2020.</w:t>
      </w:r>
    </w:p>
    <w:p w:rsidR="005728DD" w:rsidRDefault="005728DD" w:rsidP="005728DD">
      <w:pPr>
        <w:pStyle w:val="TextoNormal"/>
      </w:pPr>
    </w:p>
    <w:p w:rsidR="005728DD" w:rsidRDefault="005728DD" w:rsidP="005728DD">
      <w:pPr>
        <w:pStyle w:val="TextoNormal"/>
      </w:pPr>
      <w:r>
        <w:t xml:space="preserve">Estas quejas se fundamentan en el argumento de que la interpretación que la Audiencia Provincial hizo del acuerdo de 27 de noviembre de 2007, del Pleno no jurisdiccional de la Sala Segunda del Tribunal Supremo, era contrario a la prohibición de </w:t>
      </w:r>
      <w:r w:rsidRPr="005728DD">
        <w:rPr>
          <w:i/>
        </w:rPr>
        <w:t>reformatio in peius</w:t>
      </w:r>
      <w:r>
        <w:t>. Así, tras recordar que la parte acusadora (en ese caso, el Ministerio Fiscal) no había impugnado la sentencia dictada en primera instancia, la demandante de amparo señala que se habría producido una agravación de la condena en base al recurso de apelación de la propia recurrente.</w:t>
      </w:r>
    </w:p>
    <w:p w:rsidR="005728DD" w:rsidRDefault="005728DD" w:rsidP="005728DD">
      <w:pPr>
        <w:pStyle w:val="TextoNormal"/>
      </w:pPr>
    </w:p>
    <w:p w:rsidR="005728DD" w:rsidRDefault="005728DD" w:rsidP="005728DD">
      <w:pPr>
        <w:pStyle w:val="TextoNormal"/>
      </w:pPr>
      <w:r>
        <w:t xml:space="preserve">Para la demandante de amparo, la trascendencia constitucional del presente recurso estribaría en que “de no admitirse el amparo solicitado, la resolución del órgano jurisdiccional (Audiencia Provincial) si bien fundada en el Pleno de carácter no jurisdiccional de la Sala Segunda del Tribunal Supremo […] permitiría una </w:t>
      </w:r>
      <w:r w:rsidRPr="005728DD">
        <w:rPr>
          <w:i/>
        </w:rPr>
        <w:t>reformatio in peius</w:t>
      </w:r>
      <w:r>
        <w:t xml:space="preserve"> constitucionalmente prohibida cuando, como es el caso, la sentencia de instancia no es impugnada por la parte acusadora, donde el Ministerio Fiscal se limitó a solicitar la confirmación de dicha sentencia. Viene ello a configurar lo que la doctrina ha denominado la dimensión sustantiva de la trascendencia constitucional del asunto definida en el art. 50.1 b) LOTC”. En base a ello, la </w:t>
      </w:r>
      <w:r>
        <w:lastRenderedPageBreak/>
        <w:t>demandante de amparo considera que estaríamos ante un supuesto de negativa manifiesta a acatar la doctrina constitucional [STC 155/2009, FJ 2 f)].</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Segunda de este tribunal, por providencia de 14 de diciembre del 2020, acordó la admisión a trámite del presente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y, en consecuencia, dirigir atenta comunicación a la Sección Séptima de la Audiencia Provincial de Málaga, y al Juzgado de lo Penal núm. 2 de Melilla, a fin de que remitiesen certificación o fotocopia adverada de las actuaciones correspondientes. En la misma resolución se emplazó a quienes hubieran sido parte en el procedimiento, a excepción de la recurrente, para que pudiesen comparecer en el plazo de diez días en el presente proceso de amparo.</w:t>
      </w:r>
    </w:p>
    <w:p w:rsidR="005728DD" w:rsidRDefault="005728DD" w:rsidP="005728DD">
      <w:pPr>
        <w:pStyle w:val="TextoNormal"/>
      </w:pPr>
    </w:p>
    <w:p w:rsidR="005728DD" w:rsidRDefault="005728DD" w:rsidP="005728DD">
      <w:pPr>
        <w:pStyle w:val="TextoNormal"/>
      </w:pPr>
      <w:r>
        <w:t>Asimismo se acordó la formación de pieza separada de suspensión. Por auto de 15 de febrero de 2021, la Sala Primera de este tribunal acordó conceder la suspensión de la ejecución de la pena privativa de libertad.</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Primera de este tribunal, por diligencia de 24 de febrero de 2021, acordó dar vista de las actuaciones recibidas a las partes personadas, y al Ministerio Fiscal, para que pudiesen presentar las alegaciones que a su derecho convenga, por un plazo de veinte días, de conformidad con el art. 52 LOTC.</w:t>
      </w:r>
    </w:p>
    <w:p w:rsidR="005728DD" w:rsidRDefault="005728DD" w:rsidP="005728DD">
      <w:pPr>
        <w:pStyle w:val="TextoNormal"/>
      </w:pPr>
    </w:p>
    <w:p w:rsidR="005728DD" w:rsidRDefault="005728DD" w:rsidP="005728DD">
      <w:pPr>
        <w:pStyle w:val="TextoNormal"/>
      </w:pPr>
      <w:r w:rsidRPr="005728DD">
        <w:rPr>
          <w:rStyle w:val="NumeroAFNegritaCaracter"/>
        </w:rPr>
        <w:t>6</w:t>
      </w:r>
      <w:r>
        <w:t>. El Ministerio Fiscal, en escrito registrado el 26 de marzo de 2021, interesó que se otorgara el amparo por vulneración del derecho a la tutela judicial efectiva (art. 24.1 CE), con anulación de las resoluciones de 24 de junio de 2020, y de 28 de julio de 2020, y retroacción de las actuaciones al momento inmediatamente anterior al pronunciamiento de la primera de las citadas resoluciones, para que el órgano judicial dicte una nueva sentencia respetuosa con el derecho fundamental afectado.</w:t>
      </w:r>
    </w:p>
    <w:p w:rsidR="005728DD" w:rsidRDefault="005728DD" w:rsidP="005728DD">
      <w:pPr>
        <w:pStyle w:val="TextoNormal"/>
      </w:pPr>
    </w:p>
    <w:p w:rsidR="005728DD" w:rsidRDefault="005728DD" w:rsidP="005728DD">
      <w:pPr>
        <w:pStyle w:val="TextoNormal"/>
      </w:pPr>
      <w:r>
        <w:t xml:space="preserve">El Ministerio Fiscal aduce que la lesión que habría padecido la recurrente comprendería la vulneración del derecho a la tutela judicial efectiva (art. 24.1 CE) desde la perspectiva de la prohibición de </w:t>
      </w:r>
      <w:r w:rsidRPr="005728DD">
        <w:rPr>
          <w:i/>
        </w:rPr>
        <w:t>reformatio in peius</w:t>
      </w:r>
      <w:r>
        <w:t xml:space="preserve"> y del principio acusatorio. Tras referenciar doctrina de este tribunal (el Ministerio Fiscal se remite a los argumentos acogidos en las SSTC 223/2015, de 2 de noviembre, FJ 2; 198/2009, de 28 de septiembre, FJ 2, y 47/2020, de 15 de junio, FJ 3), así como los antecedentes fácticos que dan lugar al presente de recurso amparo, el fiscal señala que la Audiencia Provincial carecía de habilitación para agravar la pena impuesta en primera instancia, toda vez que no tenía la cobertura derivada del propio recurso de apelación, ni existía petición de la acusación en dicho sentido. En este punto, mantiene —con cita de la STC 47/2020, de 15 de junio, FJ 3— que, aunque por el Ministerio Fiscal se había interesado la pena de tres años y nueve meses de prisión ante el Juzgado de lo Penal, dicha pretensión había quedado acotada a primera instancia sin haberse proyectado una reiteración de dicha petición en el recurso de apelación. Consecuentemente, “no cabía suplir la falta de nueva pretensión penológica agravatoria del Ministerio Fiscal en apelación, transmutando su conducta procesal de confirmación de la sentencia apelada en una implícita petición de la pena originaria en primera instancia, no solo no reiterada en segunda instancia </w:t>
      </w:r>
      <w:r>
        <w:lastRenderedPageBreak/>
        <w:t>sino contraria a la posición acusatoria mantenida en la apelación, siendo necesario una petición expresa y explicita que resultaba inexistente”.</w:t>
      </w:r>
    </w:p>
    <w:p w:rsidR="005728DD" w:rsidRDefault="005728DD" w:rsidP="005728DD">
      <w:pPr>
        <w:pStyle w:val="TextoNormal"/>
      </w:pPr>
    </w:p>
    <w:p w:rsidR="005728DD" w:rsidRDefault="005728DD" w:rsidP="005728DD">
      <w:pPr>
        <w:pStyle w:val="TextoNormal"/>
      </w:pPr>
      <w:r>
        <w:t>Para el Ministerio Fiscal, el acuerdo no jurisdiccional del Pleno de la Sala Segunda del Tribunal Supremo invocado por la Audiencia Provincial no prestaría cobertura a la modificación agravatoria realizada. A esta conclusión llega en base a los siguientes argumentos: (i) para la aplicación del citado acuerdo es necesario una petición de pena. En este caso, la petición de pena se había producido ante el Juzgado de lo Penal y no ante la Audiencia Provincial a través del recurso de apelación. No resulta concebible considerar que la impugnación del recurso de apelación presentado por la condenada suponga una petición implícita de pena; (ii) la decisión de la Audiencia Provincial habría generado una situación de indefensión a la recurrente, toda vez que la concreción de la pena es una pretensión frente a la cual la recurrente ha de defenderse; (iii) la agravación deriva del recurso de apelación de la condenada, lo que es contrario al principio de seguridad jurídica en cuanto ha de respetarse la inmutabilidad de la sentencia en su perjuicio si no media recurso de parte contraria; y (iv) la agravación penológica tiene en este caso una especial relevancia si se tiene en cuenta que, precisamente, por el Juzgado de lo Penal se había dejado en suspenso el cumplimiento de la pena de dos años de prisión impuesta, y que la extensión de la nueva pena (tres años y un día) impedía el acceso a dicho beneficio (art. 80 CP).</w:t>
      </w:r>
    </w:p>
    <w:p w:rsidR="005728DD" w:rsidRDefault="005728DD" w:rsidP="005728DD">
      <w:pPr>
        <w:pStyle w:val="TextoNormal"/>
      </w:pPr>
    </w:p>
    <w:p w:rsidR="005728DD" w:rsidRDefault="005728DD" w:rsidP="005728DD">
      <w:pPr>
        <w:pStyle w:val="TextoNormal"/>
      </w:pPr>
      <w:r w:rsidRPr="005728DD">
        <w:rPr>
          <w:rStyle w:val="NumeroAFNegritaCaracter"/>
        </w:rPr>
        <w:t>7</w:t>
      </w:r>
      <w:r>
        <w:t>. Por providencia de 17 de junio de 2021 se señaló para la deliberación y votación de la presente sentencia el día 21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El objeto del presente recurso de amparo exige determinar si la resolución de 24 de junio de 2020 (dictada por la Sección Séptima de la Audiencia Provincial de Málaga), y que condenó a la demandante de amparo como autora de un delito contra la salud pública, previsto y penado en el art. 368 CP en relación con el art. 369.1.5 CP, en su modalidad de sustancias que no causan grave daño a la salud pública, a la pena de tres años y un día de prisión, ha vulnerado su derecho a la tutela judicial efectiva (art. 24 CE) en la vertiente de interdicción de reforma peyorativa en fase de recurso y de respeto al principio acusatorio, ya que la Audiencia Provincial de Málaga agravó la condena impuesta por el Juzgado de lo Penal fundamentándose en un error en la aplicación de la ley y sin petición al respecto de las partes acusadoras (el Ministerio Fiscal había interesado la confirmación de la sentencia apelada).</w:t>
      </w:r>
    </w:p>
    <w:p w:rsidR="005728DD" w:rsidRDefault="005728DD" w:rsidP="005728DD">
      <w:pPr>
        <w:pStyle w:val="TextoNormal"/>
      </w:pPr>
    </w:p>
    <w:p w:rsidR="005728DD" w:rsidRDefault="005728DD" w:rsidP="005728DD">
      <w:pPr>
        <w:pStyle w:val="TextoNormal"/>
      </w:pPr>
      <w:r>
        <w:t xml:space="preserve">El Ministerio Fiscal interesa que se otorgue el amparo solicitado por entender que el tribunal </w:t>
      </w:r>
      <w:r w:rsidRPr="005728DD">
        <w:rPr>
          <w:i/>
        </w:rPr>
        <w:t>ad quem</w:t>
      </w:r>
      <w:r>
        <w:t>, al agravar la pena impuesta en primera instancia sin mediar petición de la parte acusadora, vulneró el derecho a la tutela judicial efectiva y el principio acusatorio (art. 24.1 y 2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Doctrina previa sobre el derecho a la tutela judicial efectiva, en su vertiente de la prohibición de</w:t>
      </w:r>
      <w:r>
        <w:t xml:space="preserve"> reformatio in peius (</w:t>
      </w:r>
      <w:r w:rsidRPr="005728DD">
        <w:rPr>
          <w:i/>
        </w:rPr>
        <w:t>art. 24.1 CE</w:t>
      </w:r>
      <w:r>
        <w:t>).</w:t>
      </w:r>
    </w:p>
    <w:p w:rsidR="005728DD" w:rsidRDefault="005728DD" w:rsidP="005728DD">
      <w:pPr>
        <w:pStyle w:val="TextoNormal"/>
      </w:pPr>
    </w:p>
    <w:p w:rsidR="005728DD" w:rsidRDefault="005728DD" w:rsidP="005728DD">
      <w:pPr>
        <w:pStyle w:val="TextoNormal"/>
      </w:pPr>
      <w:r>
        <w:lastRenderedPageBreak/>
        <w:t xml:space="preserve">La doctrina de este Tribunal Constitucional ha identificado la </w:t>
      </w:r>
      <w:r w:rsidRPr="005728DD">
        <w:rPr>
          <w:i/>
        </w:rPr>
        <w:t>reformatio in peius</w:t>
      </w:r>
      <w:r>
        <w:t xml:space="preserve"> con el empeoramiento o agravación de la situación jurídica del recurrente declarada en la resolución impugnada en virtud de su propio recurso, de modo que la decisión judicial que lo resuelve conduce a un efecto contrario al perseguido por el recurrente, cual es anular o suavizar la sanción aplicada en la resolución objeto de impugnación (entre muchas, SSTC 9/1998, de 13 de enero, FJ 2; 196/1999, de 25 de octubre, FJ 3; 203/2007, de 24 de septiembre, FJ 2, o 126/2010, de 20 de noviembre, FJ 3).</w:t>
      </w:r>
    </w:p>
    <w:p w:rsidR="005728DD" w:rsidRDefault="005728DD" w:rsidP="005728DD">
      <w:pPr>
        <w:pStyle w:val="TextoNormal"/>
      </w:pPr>
    </w:p>
    <w:p w:rsidR="005728DD" w:rsidRDefault="005728DD" w:rsidP="005728DD">
      <w:pPr>
        <w:pStyle w:val="TextoNormal"/>
      </w:pPr>
      <w:r>
        <w:t xml:space="preserve">Desde las primeras resoluciones de este tribunal se afirmó que la prohibición de la reforma peyorativa ostenta dimensión constitucional, aunque no se encuentre expresamente enunciada en el art. 24 CE. De un lado, se pone el acento en que representa un principio procesal que forma parte del derecho a la tutela judicial efectiva a través del régimen de garantías legales de los recursos, que deriva en todo caso de la prohibición constitucional de indefensión (entre otras, SSTC 54/1985, de 18 de abril, FJ 7; 141/2008, de 30 de octubre, FJ 5, y 126/2010, de 29 de noviembre, FJ 3) y que, en ocasiones, se ha vinculado al principio dispositivo (STC 28/2003, de 10 de febrero, FJ 2) y al principio de rogación (STC 54/1985, FJ 7). De otro lado, se identifica la prohibición de empeoramiento como “una proyección de la congruencia en el segundo o posterior grado jurisdiccional, que impide al órgano judicial </w:t>
      </w:r>
      <w:r w:rsidRPr="005728DD">
        <w:rPr>
          <w:i/>
        </w:rPr>
        <w:t>ad quem</w:t>
      </w:r>
      <w:r>
        <w:t xml:space="preserve"> exceder los límites en que esté planteado el recurso, acordando una agravación de la sentencia impugnada que tenga origen exclusivo en la propia interposición de este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(STC 310/2005, de 12 de diciembre, FJ 2, por todas).</w:t>
      </w:r>
    </w:p>
    <w:p w:rsidR="005728DD" w:rsidRDefault="005728DD" w:rsidP="005728DD">
      <w:pPr>
        <w:pStyle w:val="TextoNormal"/>
      </w:pPr>
    </w:p>
    <w:p w:rsidR="005728DD" w:rsidRDefault="005728DD" w:rsidP="005728DD">
      <w:pPr>
        <w:pStyle w:val="TextoNormal"/>
      </w:pPr>
      <w:r>
        <w:t xml:space="preserve">Por lo que atañe al orden penal, ese anclaje constitucional al derecho a la tutela judicial efectiva se completa, en algunas resoluciones, con el respaldo del principio acusatorio, de modo que la exclusión de la </w:t>
      </w:r>
      <w:r w:rsidRPr="005728DD">
        <w:rPr>
          <w:i/>
        </w:rPr>
        <w:t>reformatio in peius</w:t>
      </w:r>
      <w:r>
        <w:t xml:space="preserve"> entronca con el destierro de toda actuación inquisitiva por parte del tribunal de segunda instancia. Conforme a esa jurisprudencia, es trasladable al recurso de apelación contra sentencias penales, lo dispuesto en el art. 902 de la Ley de enjuiciamiento criminal para el recurso de casación, a fin de preservar el principio acusatorio y evitar el agravamiento de la situación del condenado apelante por su solo recurso cuando ejercita el derecho a la segunda instancia en el orden penal, que es producto de la conexión de los arts. 24.1 y 10.2 CE (SSTC 54/1985, FJ 7; 16/2000, de 31 de enero, FJ 5; 200/2000, de 24 de julio, FJ 2; 310/2005, de 12 de diciembre, FJ 2, y 141/2008, de 30 de octubre, FJ 5).</w:t>
      </w:r>
    </w:p>
    <w:p w:rsidR="005728DD" w:rsidRDefault="005728DD" w:rsidP="005728DD">
      <w:pPr>
        <w:pStyle w:val="TextoNormal"/>
      </w:pPr>
    </w:p>
    <w:p w:rsidR="005728DD" w:rsidRDefault="005728DD" w:rsidP="005728DD">
      <w:pPr>
        <w:pStyle w:val="TextoNormal"/>
      </w:pPr>
      <w:r>
        <w:t xml:space="preserve">En la doctrina constitucional se destaca asimismo que, con ello, se agrega a la prohibición general de reforma peyorativa el nuevo matiz, constitucionalmente relevante, de la seguridad jurídica del condenado sobre la inmutabilidad de la sentencia en su perjuicio, si no media recurso de parte contraria. Así, está absolutamente vedada la agravación de oficio, aunque fuera absolutamente evidente su procedencia legal, pues las garantías constitucionales deben prevalecer sobre el principio de estricta sumisión del juez a la ley, incluso para corregir de oficio en la alzada errores evidentes en la aplicación de la misma en la instancia (SSTC 153/1990, de 15 de octubre, FJ 5; 70/1999, de 26 de abril, FJ 8; 28/2003, de 10 de febrero, FJ 5; 310/2005, de 12 de diciembre, FJ 2; 141/2008, de 30 de octubre, FJ 5; </w:t>
      </w:r>
      <w:r>
        <w:lastRenderedPageBreak/>
        <w:t>124/2010, de 29 de noviembre, FJ 2, y 246/2010, de 10 de octubre, FJ 5). En otras palabras, “lo que juega, con relevancia constitucional, es la agravación del resultado que tal decisión de oficio determina, aunque fuere absolutamente evidente su procedencia legal, de suerte que queda así constitucionalizado el principio de la no reforma peyorativa y fundado no solo en el juego del principio acusatorio sino en el de la garantía procesal derivada de una sentencia penal no impugnada de contrario” (SSTC 153/1990, de 15 de octubre, FJ 5; 17/2000, de 31 de enero, FJ 5; 124/2010, de 29 de noviembre, FJ 2, y 246/2010, de 10 de octubre, FJ 5).</w:t>
      </w:r>
    </w:p>
    <w:p w:rsidR="005728DD" w:rsidRDefault="005728DD" w:rsidP="005728DD">
      <w:pPr>
        <w:pStyle w:val="TextoNormal"/>
      </w:pPr>
    </w:p>
    <w:p w:rsidR="005728DD" w:rsidRDefault="005728DD" w:rsidP="005728DD">
      <w:pPr>
        <w:pStyle w:val="TextoNormal"/>
      </w:pPr>
      <w:r>
        <w:t>En tal sentido, para que pueda apreciarse la existencia de reforma peyorativa, constitucionalmente prohibida, el empeoramiento de la situación del recurrente ha de resultar de su propio recurso, sin mediación de pretensión impugnatoria de otra parte, y con excepción del daño que derive de la aplicación de normas de orden público procesal (por todas, SSTC 15/1987, de 11 de febrero, FJ 4; 17/1989, de 30 de enero, FJ 7, y 70/1999, de 26 de abril, FJ 5), “cuya recta aplicación es siempre deber del juez, con independencia de que sea o no pedida por las partes” (SSTC 214/2000, de 16 de octubre, FJ 3; 28/2003, de 10 de febrero, FJ 3; 249/2005, de 15 de noviembre, FJ 5, y 126/2010, FJ 3).</w:t>
      </w:r>
    </w:p>
    <w:p w:rsidR="005728DD" w:rsidRDefault="005728DD" w:rsidP="005728DD">
      <w:pPr>
        <w:pStyle w:val="TextoNormal"/>
      </w:pPr>
    </w:p>
    <w:p w:rsidR="005728DD" w:rsidRDefault="005728DD" w:rsidP="005728DD">
      <w:pPr>
        <w:pStyle w:val="TextoNormal"/>
      </w:pPr>
      <w:r>
        <w:t xml:space="preserve">A partir de esa reiterada proclamación, la jurisprudencia constitucional ha ido perfilando el alcance de la interdicción de </w:t>
      </w:r>
      <w:r w:rsidRPr="005728DD">
        <w:rPr>
          <w:i/>
        </w:rPr>
        <w:t>reformatio in peius</w:t>
      </w:r>
      <w:r>
        <w:t xml:space="preserve"> de la mano de su vinculación a la prohibición de indefensión, contraria a la tutela judicial efectiva (art. 24.1 CE), y el principio acusatorio en el marco del derecho a un proceso con todas las garantías (art. 24.2 CE). En concreto, en las SSTC 123/2005, de 12 de mayo; 183/2005, de 4 de julio, y 203/2007, de 24 de septiembre, se puso el acento en la distinción entre la interdicción de la reforma peyorativa y el alcance del principio acusatorio en la segunda instancia, que se modula respecto a su proyección en la primera instancia, pero encuentra su límite precisamente en el empeoramiento de la situación del recurrente con origen en su propio recurso. En las mencionadas resoluciones, este tribunal ha defendido que lo relevante no es si existe una </w:t>
      </w:r>
      <w:r w:rsidRPr="005728DD">
        <w:rPr>
          <w:i/>
        </w:rPr>
        <w:t>reformatio</w:t>
      </w:r>
      <w:r>
        <w:t xml:space="preserve">, sino si es </w:t>
      </w:r>
      <w:r w:rsidRPr="005728DD">
        <w:rPr>
          <w:i/>
        </w:rPr>
        <w:t>in peius</w:t>
      </w:r>
      <w:r>
        <w:t xml:space="preserve">, y ha especificado que “los términos de comparación para ponderar si la reforma ha sido peyorativa han de ser, en el caso, las respectivas condenas: es decir, si la recaída en segunda instancia empeora la situación que establece el fallo condenatorio de la dictada por el juzgador </w:t>
      </w:r>
      <w:r w:rsidRPr="005728DD">
        <w:rPr>
          <w:i/>
        </w:rPr>
        <w:t>a quo</w:t>
      </w:r>
      <w:r>
        <w:t>, y no la relación existente entre la pretensión absolutoria del actor recurrente y el sentido del fallo condenatorio derivado del recurso” (SSTC 183/2005, FJ 3, y 203/2007, FJ 2).</w:t>
      </w:r>
    </w:p>
    <w:p w:rsidR="005728DD" w:rsidRDefault="005728DD" w:rsidP="005728DD">
      <w:pPr>
        <w:pStyle w:val="TextoNormal"/>
      </w:pPr>
    </w:p>
    <w:p w:rsidR="005728DD" w:rsidRDefault="005728DD" w:rsidP="005728DD">
      <w:pPr>
        <w:pStyle w:val="TextoNormal"/>
      </w:pPr>
      <w:r>
        <w:t xml:space="preserve">En aplicación de esta doctrina hemos considerado (STC 223/2015, de 2 de noviembre) que se había vulnerado el derecho a la tutela judicial efectiva (art. 24.1 CE) en relación con el principio acusatorio y prohibición de </w:t>
      </w:r>
      <w:r w:rsidRPr="005728DD">
        <w:rPr>
          <w:i/>
        </w:rPr>
        <w:t>reformatio in peius</w:t>
      </w:r>
      <w:r>
        <w:t xml:space="preserve">, en un supuesto en el que el órgano </w:t>
      </w:r>
      <w:r w:rsidRPr="005728DD">
        <w:rPr>
          <w:i/>
        </w:rPr>
        <w:t>ad quem</w:t>
      </w:r>
      <w:r>
        <w:t xml:space="preserve">, con ocasión del recurso de apelación interpuesto por la defensa, había realizado una modificación de la calificación jurídica sin que la misma hubiera sido solicitada por ninguna de las partes en segunda instancia. En aquel caso ya señalábamos —fundamento jurídico 4— que “el tribunal </w:t>
      </w:r>
      <w:r w:rsidRPr="005728DD">
        <w:rPr>
          <w:i/>
        </w:rPr>
        <w:t>ad quem</w:t>
      </w:r>
      <w:r>
        <w:t xml:space="preserve"> está limitado a ejercitar su actividad jurisdiccional sujetándose a las peticiones de los recurrentes, en el caso de un único apelante no cabe modificar la resolución recurrida en su perjuicio. Únicamente podrá confirmarla o reformarla en beneficio del apelante, pero no revocarla para empeorar su situación”. Y terminábamos concluyendo que en aquel caso “El recurrente se encuentra tras la apelación con una calificación jurídica más grave, en una especie de retorno a la petición de la acusación </w:t>
      </w:r>
      <w:r>
        <w:lastRenderedPageBreak/>
        <w:t>en primera instancia, petición que fue entonces rechazada en sentencia y que ahora reaparece como efecto sorpresivo de su propio recurso, pues no hubo pretensión impugnatoria de la otra parte que activara aquella acusación de nuevo. En consecuencia, el recurrente no tuvo oportunidad efectiva de debatir en fase de apelación ese cambio de calificación. En conclusión, la estimación parcial del recurso, que debiera haber conducido a una rebaja de la pena, se asocia por el órgano de apelación a una respuesta penológica cuantitativamente pareja en el mejor de los casos, y que se asienta en una revisión sobre extremos valorados en la instancia, concretamente, la entidad de la violencia e intimidación, que no fueron objeto del recurso y que se consintieron por la parte que no recurrió”.</w:t>
      </w:r>
    </w:p>
    <w:p w:rsidR="005728DD" w:rsidRDefault="005728DD" w:rsidP="005728DD">
      <w:pPr>
        <w:pStyle w:val="TextoNormal"/>
      </w:pPr>
    </w:p>
    <w:p w:rsidR="005728DD" w:rsidRDefault="005728DD" w:rsidP="005728DD">
      <w:pPr>
        <w:pStyle w:val="TextoNormal"/>
      </w:pPr>
      <w:r>
        <w:t xml:space="preserve">Y más recientemente, en la STC 47/2020, de 15 de junio, también estimamos el amparo, en un supuesto de condena en segunda instancia donde la acusación había solicitado la revocación de la sentencia absolutoria y su sustitución por otra de signo condenatorio, si bien el </w:t>
      </w:r>
      <w:r w:rsidRPr="005728DD">
        <w:rPr>
          <w:i/>
        </w:rPr>
        <w:t>petitum</w:t>
      </w:r>
      <w:r>
        <w:t xml:space="preserve"> se refería únicamente a la condena a la responsabilidad civil </w:t>
      </w:r>
      <w:r w:rsidRPr="005728DD">
        <w:rPr>
          <w:i/>
        </w:rPr>
        <w:t>ex delicto</w:t>
      </w:r>
      <w:r>
        <w:t>. La falta de sostenimiento de pretensión punitiva en el suplico del recurso provocó, consecuentemente, que la Audiencia Provincial al estimar el recurso, y condenar por el delito leve de apropiación indebida, vulnerara el principio acusatorio al imponer una pena superior a la solicitada por las acusaciones. En aquel caso acabamos señalando que “no resultan asumibles, desde la óptica del principio acusatorio, las acusaciones implícitas. No existiendo en segunda instancia quien sostuviera una pretensión punitiva, siquiera en su grado mínimo (en similares términos, STC 47/1991, de 28 de febrero, FFJJ 2 y 3), el órgano judicial no estaba habilitado para suplir un vacío que además, en este caso, cabe entender consciente. La simple subsunción jurídica de los hechos probados en el tipo penal, no permite extraer una consecuencia sancionadora obtenida no solo en quiebra de las reglas de contradicción y defensa que le deben preceder, sino también de la imparcialidad que ha de presidir la labor del órgano judicial llamado a decidir. Al condenar a quien hoy es recurrente en amparo la Audiencia Provincial vulneró el deber de congruencia entre acusación y fallo, a la par que el deber de imparcialidad que le incumbía” (FJ 4).</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jurisprudencial respecto del derecho a la tutela judicial efectiva y el principio acusatorio (art. 24.2 CE</w:t>
      </w:r>
      <w:r>
        <w:t>).</w:t>
      </w:r>
    </w:p>
    <w:p w:rsidR="005728DD" w:rsidRDefault="005728DD" w:rsidP="005728DD">
      <w:pPr>
        <w:pStyle w:val="TextoNormal"/>
      </w:pPr>
    </w:p>
    <w:p w:rsidR="005728DD" w:rsidRDefault="005728DD" w:rsidP="005728DD">
      <w:pPr>
        <w:pStyle w:val="TextoNormal"/>
      </w:pPr>
      <w:r>
        <w:t>En relación con el principio acusatorio, que aparece también irremediablemente vinculado a la prohibición de reforma peyorativa, en la STC 123/2005, de 12 de mayo, este tribunal afirmaba que aun cuando tal principio no aparece expresamente mencionado entre los derechos constitucionales que disciplinan el proceso penal, ello no es óbice para reconocer como protegidos en el art. 24.2 CE ciertos derechos fundamentales que configuran los elementos estructurales de dicho principio, que trasciende el derecho a ser informado de la acusación y comprende un haz de garantías adicionales. En este sentido, se resaltaba tanto la vinculación del principio acusatorio con los derechos constitucionales de defensa y a conocer la acusación, como con la garantía constitucional de la imparcialidad judicial (STC 123/2005, FJ 3 y doctrina constitucional allí citada).</w:t>
      </w:r>
    </w:p>
    <w:p w:rsidR="005728DD" w:rsidRDefault="005728DD" w:rsidP="005728DD">
      <w:pPr>
        <w:pStyle w:val="TextoNormal"/>
      </w:pPr>
    </w:p>
    <w:p w:rsidR="005728DD" w:rsidRDefault="005728DD" w:rsidP="005728DD">
      <w:pPr>
        <w:pStyle w:val="TextoNormal"/>
      </w:pPr>
      <w:r>
        <w:t xml:space="preserve">Así, se pone en relación directa el derecho a un proceso con todas las garantías (art. 24.2 CE) con los derechos a la defensa y a estar informado de la acusación, pues si se produce una extralimitación del juzgador en el fallo, apreciando unos hechos o una calificación jurídica diferente a las pretendidas por las acusaciones, se privaría a la defensa de la necesaria </w:t>
      </w:r>
      <w:r>
        <w:lastRenderedPageBreak/>
        <w:t>contradicción. En este sentido, se recordaba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(STC 123/2005, de 12 de mayo, FJ 4; doctrina reiterada, entre otras, en las SSTC 247/2005, de 10 de octubre, FJ 2; 170/2006, de 5 de junio, FJ 2)” (STC 123/2005, FJ 4).</w:t>
      </w:r>
    </w:p>
    <w:p w:rsidR="005728DD" w:rsidRDefault="005728DD" w:rsidP="005728DD">
      <w:pPr>
        <w:pStyle w:val="TextoNormal"/>
      </w:pPr>
    </w:p>
    <w:p w:rsidR="005728DD" w:rsidRDefault="005728DD" w:rsidP="005728DD">
      <w:pPr>
        <w:pStyle w:val="TextoNormal"/>
      </w:pPr>
      <w:r>
        <w:t>Por lo tanto, “la vinculación entre la pretensión punitiva de las partes acusadoras y el fallo de la sentencia judicial, como contenido propio del principio acusatorio, implica que el órgano de enjuiciamiento debe dictar una resolución congruente con dicha pretensión, lo que responde a la necesidad, no solo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este modo, el análisis del respeto a la garantía del deber de congruencia entre la acusación y fallo por parte de una resolución judicial debe venir dado, no solo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(STC 123/2005, FJ 4).</w:t>
      </w:r>
    </w:p>
    <w:p w:rsidR="005728DD" w:rsidRDefault="005728DD" w:rsidP="005728DD">
      <w:pPr>
        <w:pStyle w:val="TextoNormal"/>
      </w:pPr>
    </w:p>
    <w:p w:rsidR="005728DD" w:rsidRDefault="005728DD" w:rsidP="005728DD">
      <w:pPr>
        <w:pStyle w:val="TextoNormal"/>
      </w:pPr>
      <w:r>
        <w:t>Este deber de congruencia alcanza también a la pretensión punitiva que, en definitiva, viene a constituir el condicionamiento jurídico al que está sometido el juez por parte de las acusaciones. En este sentido, este tribunal tiene declarado con carácter general que la vinculación del órgano judicial al principio acusatorio, si bien impide la imposición de una pena mayor o más grave que la correspondiente al delito efectivamente imputado en el proceso, no impide, sin embargo, que el juzgador imponga pena superior a la solicitada por las acusaciones, cuando no se alteren los hechos aducidos en el proceso, y se lleve a cabo dentro de los márgenes de la pena correspondiente al tipo penal que resulte de la calificación de los hechos formulada en la acusación y debatida en el proceso, pues el juez se halla sometido a la ley y debe, por tanto, aplicar las penas que, a su juicio, procedan legalmente en relación con un determinado delito (SSTC 17/1988, de 16 de febrero, FJ 6; 21/1993, de 18 de enero, FJ 2; 161/1994, de 23 de mayo, FJ 2; 43/1997, de 10 de marzo, FJ 3; 228/2002, de 9 de diciembre, FJ 6; 174/2003, de 29 de septiembre, FJ 9; 163/2004, de 4 de octubre, FJ 4; 71/2005, de 4 de abril, FJ 7; 347/2006, de 11 de diciembre, FJ 3, entre otras). Así pues, de conformidad con esta doctrina constitucional, la vinculación del juzgador a los hechos y a su calificación jurídica no impide que puedan imponerse penas superiores a las solicitadas por las acusaciones, dentro de los límites de la señalada por la ley al tipo penal incriminado, siempre que la calificación como tal de unos hechos, y los hechos mismos, hayan sido objeto del correspondiente debate.</w:t>
      </w:r>
    </w:p>
    <w:p w:rsidR="005728DD" w:rsidRDefault="005728DD" w:rsidP="005728DD">
      <w:pPr>
        <w:pStyle w:val="TextoNormal"/>
      </w:pPr>
    </w:p>
    <w:p w:rsidR="005728DD" w:rsidRDefault="005728DD" w:rsidP="005728DD">
      <w:pPr>
        <w:pStyle w:val="TextoNormal"/>
      </w:pPr>
      <w:r>
        <w:t xml:space="preserve">La doctrina expuesta, sin embargo, fue matizada en la STC 155/2009, de 25 de junio, donde se señaló la necesidad de replantear la cuestión desde la perspectiva constitucional, </w:t>
      </w:r>
      <w:r>
        <w:lastRenderedPageBreak/>
        <w:t>“en el sentido de estimar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(FJ 6).</w:t>
      </w:r>
    </w:p>
    <w:p w:rsidR="005728DD" w:rsidRDefault="005728DD" w:rsidP="005728DD">
      <w:pPr>
        <w:pStyle w:val="TextoNormal"/>
      </w:pPr>
    </w:p>
    <w:p w:rsidR="005728DD" w:rsidRDefault="005728DD" w:rsidP="005728DD">
      <w:pPr>
        <w:pStyle w:val="TextoNormal"/>
      </w:pPr>
      <w:r>
        <w:t xml:space="preserve">Este tribunal también ha reiterado que la ausencia de indefensión debe respetarse en cada instancia. Lo cual, desde la perspectiva del principio acusatorio, implica que el sostenimiento de pretensiones acusatorias resulta igualmente exigible en la fase de apelación de la sentencia (por todas STC 283/1993, de 27 de septiembre, FFJJ 4 y 5 y jurisprudencia allí citada). De este modo, no basta con que el principio acusatorio haya tenido efectividad en la primera instancia, para entender cumplidas sus exigencias en la segunda instancia, si no se reformula en ella la pretensión: la correlación entre la acusación y el fallo de la sentencia debe existir en todas las instancias judiciales (STC 100/1992, de 25 de junio, FJ 2, entre otras). Conforme a ello, la inexistencia de acusación en la apelación o su defectuoso planteamiento en dicho grado no pueden entenderse suplidos, en modo alguno, por la primera acusación, ya que “en un sistema acusatorio deben entenderse igualmente excepcionales los poderes de actuación </w:t>
      </w:r>
      <w:r w:rsidRPr="005728DD">
        <w:rPr>
          <w:i/>
        </w:rPr>
        <w:t>ex officio</w:t>
      </w:r>
      <w:r>
        <w:t xml:space="preserve"> del juez lo mismo en la primera que en la segunda instancia” (STC 240/1988, de 19 de diciembre, FJ 3, por remisión a la STC 84/1985, de 8 de julio).</w:t>
      </w:r>
    </w:p>
    <w:p w:rsidR="005728DD" w:rsidRDefault="005728DD" w:rsidP="005728DD">
      <w:pPr>
        <w:pStyle w:val="TextoNormal"/>
      </w:pPr>
    </w:p>
    <w:p w:rsidR="005728DD" w:rsidRDefault="005728DD" w:rsidP="005728DD">
      <w:pPr>
        <w:pStyle w:val="TextoNormal"/>
      </w:pPr>
      <w:r>
        <w:t xml:space="preserve">La pretensión acusatoria debe constar, además, debidamente exteriorizada, rechazándose las formas tácitas o implícitas como manera de satisfacer el principio acusatorio exigible en cada una de las instancias penales (STC 47/1991, de 28 de febrero, FJ 2, por remisión a la STC 163/1986). Este tribunal no se refiere con ello a supuestos de simple confirmación de la sentencia de primera instancia, sino a aquellos casos en los que, sin formularse acusación en grado de apelación, sea condenado quien no lo fue en la instancia anterior, bien porque no fue acusado, bien porque resultó absuelto (SSTC 163/1986; 53/1987, de 7 de mayo, o 11/1992, de 27 de enero), así como a aquellos casos en los que el tribunal </w:t>
      </w:r>
      <w:r w:rsidRPr="005728DD">
        <w:rPr>
          <w:i/>
        </w:rPr>
        <w:t>ad quem</w:t>
      </w:r>
      <w:r>
        <w:t xml:space="preserve"> agrave la sentencia de instancia sin previa solicitud por alguna de las partes personadas (SSTC 17/1987, de 13 de febrero, y 19/1992, de 14 de febrero). Ahora bien, debe tenerse especial cuidado en no confundir la inexistencia de acusación con la calificación jurídica errónea que hayan podido efectuar el Ministerio Fiscal u otras acusaciones, puesto que el órgano judicial, si así lo considera, no estaría vinculado por la tipificación o imputación que en ella se efectúe (SSTC 163/1986, 47/1991 y 11/1992).</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Aplicación de la jurisprudencia sobre tutela judicial efectiva, prohibición de</w:t>
      </w:r>
      <w:r>
        <w:t xml:space="preserve"> reformatio in peius, </w:t>
      </w:r>
      <w:r w:rsidRPr="005728DD">
        <w:rPr>
          <w:i/>
        </w:rPr>
        <w:t>y principio acusatorio (art. 24 CE), al supuesto de hecho del actual recurso de amparo</w:t>
      </w:r>
      <w:r>
        <w:t>.</w:t>
      </w:r>
    </w:p>
    <w:p w:rsidR="005728DD" w:rsidRDefault="005728DD" w:rsidP="005728DD">
      <w:pPr>
        <w:pStyle w:val="TextoNormal"/>
      </w:pPr>
    </w:p>
    <w:p w:rsidR="005728DD" w:rsidRDefault="005728DD" w:rsidP="005728DD">
      <w:pPr>
        <w:pStyle w:val="TextoNormal"/>
      </w:pPr>
      <w:r>
        <w:t>Examinados los antecedentes fácticos del presente recurso de amparo, se constata que:</w:t>
      </w:r>
    </w:p>
    <w:p w:rsidR="005728DD" w:rsidRDefault="005728DD" w:rsidP="005728DD">
      <w:pPr>
        <w:pStyle w:val="TextoNormal"/>
      </w:pPr>
    </w:p>
    <w:p w:rsidR="005728DD" w:rsidRDefault="005728DD" w:rsidP="005728DD">
      <w:pPr>
        <w:pStyle w:val="TextoNormal"/>
      </w:pPr>
      <w:r>
        <w:t>a) El juzgado de lo penal dictó sentencia condenando a la recurrente a la pena de dos años de prisión por la comisión de un delito contra la salud pública del art. 368 CP en rela</w:t>
      </w:r>
      <w:r>
        <w:lastRenderedPageBreak/>
        <w:t>ción con el art. 369.1.5 CP. Al individualizar la pena finalmente impuesta, la sentencia incurre en una argumentación ambigua porque, pese no calificar explícitamente los hechos como subsumibles en el tipo atenuado del art. 368.2 CP, la pena se encuentra dentro del marco penal abstracto de este último señalándose, además, que se valoran las “circunstancias personales y sociales” de la señora Kaouay a la hora de fijar la pena en su ámbito mínimo.</w:t>
      </w:r>
    </w:p>
    <w:p w:rsidR="005728DD" w:rsidRDefault="005728DD" w:rsidP="005728DD">
      <w:pPr>
        <w:pStyle w:val="TextoNormal"/>
      </w:pPr>
    </w:p>
    <w:p w:rsidR="005728DD" w:rsidRDefault="005728DD" w:rsidP="005728DD">
      <w:pPr>
        <w:pStyle w:val="TextoNormal"/>
      </w:pPr>
      <w:r>
        <w:t>b) La representación procesal de la demandante de amparo interpuso contra esta sentencia recurso de apelación basado en los siguientes motivos: (i) infracción del derecho a la presunción de inocencia por insuficiencia del material probatorio para dictar sentencia condenatoria; (ii) nulidad de la entrada y registro domiciliario; y (iii) vulneración del derecho a una resolución motivada. En base a ello se interesaba el dictado de una sentencia absolutoria.</w:t>
      </w:r>
    </w:p>
    <w:p w:rsidR="005728DD" w:rsidRDefault="005728DD" w:rsidP="005728DD">
      <w:pPr>
        <w:pStyle w:val="TextoNormal"/>
      </w:pPr>
    </w:p>
    <w:p w:rsidR="005728DD" w:rsidRDefault="005728DD" w:rsidP="005728DD">
      <w:pPr>
        <w:pStyle w:val="TextoNormal"/>
      </w:pPr>
      <w:r>
        <w:t>c) Evacuado traslado del citado recurso, el Ministerio Fiscal solicitó la confirmación de la sentencia por sus propios términos. Así se deduce, de hecho, del suplico del citado escrito donde textualmente se señala “el fiscal interesa que se tenga por presentado este escrito, por hechas las manifestaciones contenidas en el mismo, y por impugnado el recurso de apelación interpuesto y, desestimando el mismo, se confirme la sentencia recurrida de fecha 26 de noviembre de 2019”. Por lo tanto, el Ministerio Fiscal (única acusación personada en la causa), no promovió ningún incidente impugnatorio de extremos contenidos en la sentencia de instancia, aquietándose a la resolución dictada por el Juzgado de lo Penal, sin advertir —o advirtiéndolo pero adhiriéndose a los argumentos dados por el juzgador— que la pena finalmente impuesta se correspondía con la aplicación del tipo atenuado del art. 368.2 CP.</w:t>
      </w:r>
    </w:p>
    <w:p w:rsidR="005728DD" w:rsidRDefault="005728DD" w:rsidP="005728DD">
      <w:pPr>
        <w:pStyle w:val="TextoNormal"/>
      </w:pPr>
    </w:p>
    <w:p w:rsidR="005728DD" w:rsidRDefault="005728DD" w:rsidP="005728DD">
      <w:pPr>
        <w:pStyle w:val="TextoNormal"/>
      </w:pPr>
      <w:r>
        <w:t>d) Finalmente, la Audiencia Provincial, en su sentencia 24 de junio de 2020, revocó parcialmente la resolución de instancia imponiendo una pena de prisión de tres años y un día. La nueva extensión de la pena se fundamentaba, señala la citada sentencia, en un aparente error cometido por el Juzgado de lo Penal ya que la determinación penológica de los tipos contemplados en el art. 368.1 y 369.1.5 CP obligaba a la imposición de una pena mínima de tres años y un día de prisión.</w:t>
      </w:r>
    </w:p>
    <w:p w:rsidR="005728DD" w:rsidRDefault="005728DD" w:rsidP="005728DD">
      <w:pPr>
        <w:pStyle w:val="TextoNormal"/>
      </w:pPr>
    </w:p>
    <w:p w:rsidR="005728DD" w:rsidRDefault="005728DD" w:rsidP="005728DD">
      <w:pPr>
        <w:pStyle w:val="TextoNormal"/>
      </w:pPr>
      <w:r>
        <w:t xml:space="preserve">Sin necesidad de entrar en el debate relativo a cuál fue el tipo penal finalmente aplicado, o si nos encontramos ante un error en el proceso de individualización de la pena, hay que recordar que, en el marco de la apelación y según la jurisprudencia constitucional que acaba de ser ampliamente expuesta, el tribunal </w:t>
      </w:r>
      <w:r w:rsidRPr="005728DD">
        <w:rPr>
          <w:i/>
        </w:rPr>
        <w:t>ad quem</w:t>
      </w:r>
      <w:r>
        <w:t xml:space="preserve"> está limitado a ejercitar su actividad jurisdiccional sujetándose a las peticiones de los recurrentes. Por lo tanto, en el caso de un único apelante no cabe modificar la resolución recurrida en perjuicio de este. En estos casos, el órgano jurisdiccional de alzada únicamente puede confirmar, o reformar en beneficio del apelante, la sentencia objeto de recurso, no pudiendo, por el contrario, revocarla para empeorar su situación.</w:t>
      </w:r>
    </w:p>
    <w:p w:rsidR="005728DD" w:rsidRDefault="005728DD" w:rsidP="005728DD">
      <w:pPr>
        <w:pStyle w:val="TextoNormal"/>
      </w:pPr>
    </w:p>
    <w:p w:rsidR="005728DD" w:rsidRDefault="005728DD" w:rsidP="005728DD">
      <w:pPr>
        <w:pStyle w:val="TextoNormal"/>
      </w:pPr>
      <w:r>
        <w:t xml:space="preserve">Por ello, a pesar de que el órgano de apelación argumente que existió un error en la determinación de la pena y se ampare en el texto literal del Pleno no jurisdiccional de la Sala Segunda de 27 de diciembre de 2007, lo cierto es que con la resolución dictada en alzada se produjo una </w:t>
      </w:r>
      <w:r w:rsidRPr="005728DD">
        <w:rPr>
          <w:i/>
        </w:rPr>
        <w:t>reformatio</w:t>
      </w:r>
      <w:r>
        <w:t xml:space="preserve"> y esta fue </w:t>
      </w:r>
      <w:r w:rsidRPr="005728DD">
        <w:rPr>
          <w:i/>
        </w:rPr>
        <w:t>in peius</w:t>
      </w:r>
      <w:r>
        <w:t xml:space="preserve"> toda vez que, sin mediar pretensión impugnatoria al respecto, se elevó la pena finalmente impuesta de dos años a tres años y un día.</w:t>
      </w:r>
    </w:p>
    <w:p w:rsidR="005728DD" w:rsidRDefault="005728DD" w:rsidP="005728DD">
      <w:pPr>
        <w:pStyle w:val="TextoNormal"/>
      </w:pPr>
    </w:p>
    <w:p w:rsidR="005728DD" w:rsidRDefault="005728DD" w:rsidP="005728DD">
      <w:pPr>
        <w:pStyle w:val="TextoNormal"/>
      </w:pPr>
      <w:r>
        <w:t>Como ha venido exponiéndose, el principio acusatorio requiere, en su contenido constitucional, que la pretensión punitiva se exteriorice en cada una de las instancias, siendo inadmisibles las acusaciones implícitas. Por otro lado, la seguridad jurídica de la condenada sobre la inmutabilidad de la sentencia en su perjuicio, si no media recurso de parte contraria, veda la agravación de oficio, aunque fuera absolutamente evidente su procedencia legal, pues las garantías constitucionales deben prevalecer sobre el principio de estricta sumisión del juez a la ley, incluso para corregir de oficio en la alzada errores evidentes en la aplicación de la misma en la instancia (SSTC 153/1990, de 15 de octubre, FJ 5; 70/1999, de 26 de abril, FJ 8; 28/2003, de 10 de febrero, FJ 5; 310/2005, de 12 de diciembre, FJ 2; 141/2008, de 30 de octubre, FJ 5; 124/2010, de 29 de noviembre, FJ 2, y 246/2010, de 10 de octubre, FJ 5).</w:t>
      </w:r>
    </w:p>
    <w:p w:rsidR="005728DD" w:rsidRDefault="005728DD" w:rsidP="005728DD">
      <w:pPr>
        <w:pStyle w:val="TextoNormal"/>
      </w:pPr>
    </w:p>
    <w:p w:rsidR="005728DD" w:rsidRDefault="005728DD" w:rsidP="005728DD">
      <w:pPr>
        <w:pStyle w:val="TextoNormal"/>
      </w:pPr>
      <w:r>
        <w:t xml:space="preserve">Por lo tanto, habida cuenta de que en este caso la acusación no sostuvo ninguna petición agravatoria que autorizara la imposición de una pena superior, la agravación penológica acordada por la Audiencia Provincial carecía de cobertura acusatoria. No resultan asumibles, desde la óptica del principio acusatorio y de la prohibición de </w:t>
      </w:r>
      <w:r w:rsidRPr="005728DD">
        <w:rPr>
          <w:i/>
        </w:rPr>
        <w:t>reformatio in peius</w:t>
      </w:r>
      <w:r>
        <w:t xml:space="preserve">, las acusaciones implícitas. No existiendo en segunda instancia quien sostuviera la imposición de una pena superior, el tribunal </w:t>
      </w:r>
      <w:r w:rsidRPr="005728DD">
        <w:rPr>
          <w:i/>
        </w:rPr>
        <w:t>ad quem</w:t>
      </w:r>
      <w:r>
        <w:t xml:space="preserve"> se encontraba limitado por las peticiones de los recurrentes, por lo que, siendo única apelante la propia condenada, no podía modificar la resolución recurrida en su perjuicio. En definitiva, su ámbito de actuación quedaba constreñida por las peticiones de la parte recurrente, quedando limitado el órgano de segunda instancia a confirmar la sentencia impugnada, o a modificarla en beneficio de la apelante.</w:t>
      </w:r>
    </w:p>
    <w:p w:rsidR="005728DD" w:rsidRDefault="005728DD" w:rsidP="005728DD">
      <w:pPr>
        <w:pStyle w:val="TextoNormal"/>
      </w:pPr>
    </w:p>
    <w:p w:rsidR="005728DD" w:rsidRDefault="005728DD" w:rsidP="005728DD">
      <w:pPr>
        <w:pStyle w:val="TextoNormal"/>
      </w:pPr>
      <w:r>
        <w:t>Como insiste la doctrina de este tribunal anteriormente citada “ni siquiera la evidencia de una errónea calificación autoriza a los órganos judiciales ante los que se recurre a optar por la calificación correcta si esta conduce a un empeoramiento de la situación de quien impugna en solitario, salvo que concurran razones de orden público procesal que no se hallan presentes aquí” (STC 223/2015, de 11 de diciembre, FJ 4).</w:t>
      </w:r>
    </w:p>
    <w:p w:rsidR="005728DD" w:rsidRDefault="005728DD" w:rsidP="005728DD">
      <w:pPr>
        <w:pStyle w:val="TextoNormal"/>
      </w:pPr>
    </w:p>
    <w:p w:rsidR="005728DD" w:rsidRDefault="005728DD" w:rsidP="005728DD">
      <w:pPr>
        <w:pStyle w:val="TextoNormal"/>
      </w:pPr>
      <w:r>
        <w:t>Debemos considerar, por tanto, infringidos los derechos invocados por la recurrente en amparo por la sentencia núm. 27/2020, de 24 de junio de 2020, de la Audiencia Provincial de Málaga. La imposición de una pena superior a la inicialmente acordada por la sentencia dictada en primera instancia, unida a inexistencia de petición al respecto, supone una agravación de la condena no solicitada por los acusadores que lesiona la interdicción de reforma peyorativa, así como el principio acusatorio, como parte del derecho a la tutela judicial efectiva (art. 24.1 CE) y a un proceso con todas las garantías (art. 24.2 CE).</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Efectos de la estimación del recurso de amparo</w:t>
      </w:r>
      <w:r>
        <w:t>.</w:t>
      </w:r>
    </w:p>
    <w:p w:rsidR="005728DD" w:rsidRDefault="005728DD" w:rsidP="005728DD">
      <w:pPr>
        <w:pStyle w:val="TextoNormal"/>
      </w:pPr>
    </w:p>
    <w:p w:rsidR="005728DD" w:rsidRDefault="005728DD" w:rsidP="005728DD">
      <w:pPr>
        <w:pStyle w:val="TextoNormal"/>
      </w:pPr>
      <w:r>
        <w:t xml:space="preserve">Conforme a lo dispuesto en el art. 55.1 LOTC, la estimación del recurso de amparo ha de comportar la nulidad de la sentencia recaída en apelación. Debe implicar también la de la providencia de 28 de julio de 2020, que denegó </w:t>
      </w:r>
      <w:r w:rsidRPr="005728DD">
        <w:rPr>
          <w:i/>
        </w:rPr>
        <w:t>a limine</w:t>
      </w:r>
      <w:r>
        <w:t xml:space="preserve"> la promoción por la demandante de un incidente de nulidad frente a la condena. En consecuencia, deben retrotraerse las actuaciones al momento inmediatamente anterior al pronunciamiento de la sentencia de la Sección Séptima de la Audiencia Provincial de Málaga de 24 de junio de 2020 para que el órgano judicial dicte una nueva resolución respetuosa con el derecho fundamental vulnerado.</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doña Rachida Kaouay y, en su virtud:</w:t>
      </w:r>
    </w:p>
    <w:p w:rsidR="005728DD" w:rsidRDefault="005728DD" w:rsidP="005728DD">
      <w:pPr>
        <w:pStyle w:val="TextoNormal"/>
      </w:pPr>
    </w:p>
    <w:p w:rsidR="005728DD" w:rsidRDefault="005728DD" w:rsidP="005728DD">
      <w:pPr>
        <w:pStyle w:val="TextoNormal"/>
      </w:pPr>
      <w:r>
        <w:t>1º Declarar que ha sido vulnerado el derecho fundamental de la demandante de amparo a la tutela judicial efectiva (art. 24.1 CE) y a un proceso con todas las garantías (art. 24.2 CE).</w:t>
      </w:r>
    </w:p>
    <w:p w:rsidR="005728DD" w:rsidRDefault="005728DD" w:rsidP="005728DD">
      <w:pPr>
        <w:pStyle w:val="TextoNormal"/>
      </w:pPr>
    </w:p>
    <w:p w:rsidR="005728DD" w:rsidRDefault="005728DD" w:rsidP="005728DD">
      <w:pPr>
        <w:pStyle w:val="TextoNormal"/>
      </w:pPr>
      <w:r>
        <w:t>2º Restablecerla en su derecho y, a tal fin, declarar la nulidad de la sentencia de la Audiencia Provincial de Málaga (Sección Séptima) de 24 de junio de 2020, así como de la providencia de 28 de julio de 2020 que inadmitió el incidente de nulidad promovido contra dicha sentencia.</w:t>
      </w:r>
    </w:p>
    <w:p w:rsidR="005728DD" w:rsidRDefault="005728DD" w:rsidP="005728DD">
      <w:pPr>
        <w:pStyle w:val="TextoNormal"/>
      </w:pPr>
    </w:p>
    <w:p w:rsidR="005728DD" w:rsidRDefault="005728DD" w:rsidP="005728DD">
      <w:pPr>
        <w:pStyle w:val="TextoNormal"/>
      </w:pPr>
      <w:r>
        <w:t>3º Retrotraer las actuaciones al momento inmediatamente anterior al pronunciamiento de la primera de las citadas resoluciones para que el órgano judicial dicte una nueva sentencia respetuosa con el derecho fundamental vulnerado.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veintiuno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6" w:name="SENTENCIA_2021_133"/>
      <w:r>
        <w:lastRenderedPageBreak/>
        <w:t>SENTENCIA 133/2021, de 24 de junio de 2021</w:t>
      </w:r>
    </w:p>
    <w:bookmarkEnd w:id="136"/>
    <w:p w:rsidR="005728DD" w:rsidRDefault="005728DD" w:rsidP="005728DD">
      <w:pPr>
        <w:pStyle w:val="TtuloResolucin"/>
      </w:pPr>
      <w:r>
        <w:t>Pleno</w:t>
      </w:r>
    </w:p>
    <w:p w:rsidR="005728DD" w:rsidRDefault="005728DD" w:rsidP="005728DD">
      <w:pPr>
        <w:pStyle w:val="TtuloBOE"/>
      </w:pPr>
      <w:r>
        <w:t>(BOE núm. 182, de 31 de julio de 2021)</w:t>
      </w:r>
    </w:p>
    <w:p w:rsidR="005728DD" w:rsidRDefault="005728DD" w:rsidP="005728DD">
      <w:pPr>
        <w:pStyle w:val="TextoNormalCentrado"/>
      </w:pPr>
      <w:r>
        <w:t>ECLI:ES:TC:2021:133</w:t>
      </w:r>
    </w:p>
    <w:p w:rsidR="005728DD" w:rsidRDefault="005728DD" w:rsidP="005728DD">
      <w:pPr>
        <w:pStyle w:val="TextoNormalCentrado"/>
      </w:pPr>
    </w:p>
    <w:p w:rsidR="005728DD" w:rsidRDefault="005728DD" w:rsidP="005728DD">
      <w:pPr>
        <w:pStyle w:val="SntesisDescriptiva"/>
      </w:pPr>
      <w:r>
        <w:t>Recursos de amparo 4037-2015, 4098-2015 (acumulados). Promovidos por doña Ángela Bergillos Alguacil y cuatro personas más respecto de la sentencia de la Sala de lo Penal del Tribunal Supremo que les condenó por un delito contra las instituciones del Estado.</w:t>
      </w:r>
    </w:p>
    <w:p w:rsidR="005728DD" w:rsidRDefault="005728DD" w:rsidP="005728DD">
      <w:pPr>
        <w:pStyle w:val="SntesisDescriptiva"/>
      </w:pPr>
    </w:p>
    <w:p w:rsidR="005728DD" w:rsidRDefault="005728DD" w:rsidP="005728DD">
      <w:pPr>
        <w:pStyle w:val="SntesisAnaltica"/>
      </w:pPr>
      <w:r>
        <w:t>Supuesta vulneración de los derechos a la libertad de expresión, de reunión y manifestación, de participación política, a la tutela judicial efectiva, a un proceso con todas las garantías y a la legalidad penal: concentración frente a la sede del Parlamento de Cataluña con la que se trataba de impedir el debate y aprobación de los presupuestos de la Generalitat. Votos particulares.</w:t>
      </w:r>
    </w:p>
    <w:p w:rsidR="005728DD" w:rsidRDefault="005728DD" w:rsidP="005728DD">
      <w:pPr>
        <w:pStyle w:val="SntesisAnaltica"/>
      </w:pPr>
    </w:p>
    <w:p w:rsidR="005728DD" w:rsidRDefault="005728DD" w:rsidP="005728DD">
      <w:pPr>
        <w:pStyle w:val="Extracto"/>
      </w:pPr>
      <w:r>
        <w:t>1.</w:t>
      </w:r>
      <w:r>
        <w:tab/>
        <w:t>El derecho de reunión, por cuanto es una manifestación colectiva de la libertad de expresión, no solo es uno de los derechos inviolables inherentes que fundamentan el orden político y la paz social (art. 10.1 CE), sino que, por su finalidad, constituye un cauce del principio democrático participativo (SSTC 101/1985 y 85/1988) [FJ 4].</w:t>
      </w:r>
    </w:p>
    <w:p w:rsidR="005728DD" w:rsidRDefault="005728DD" w:rsidP="005728DD">
      <w:pPr>
        <w:pStyle w:val="Extracto"/>
      </w:pPr>
    </w:p>
    <w:p w:rsidR="005728DD" w:rsidRDefault="005728DD" w:rsidP="005728DD">
      <w:pPr>
        <w:pStyle w:val="Extracto"/>
      </w:pPr>
      <w:r>
        <w:t>2.</w:t>
      </w:r>
      <w:r>
        <w:tab/>
        <w:t>El ejercicio de las libertades de reunión, manifestación y expresión no es ilimitado, dado que tiene como límites los que exija la protección de otros bienes o valores constitucionales, entre los que, sin duda, se encuentran aquellos que, como los derechos de participación política del art. 23 CE, tienen el carácter de derechos fundamentales en sí mismos. Lo anterior hace que sea precisa la determinación concreta de cuál sea la situación jurídica de derecho fundamental que, en colisión con otra de la misma condición, deba prevalecer en atención a las circunstancias del caso [FJ 5].</w:t>
      </w:r>
    </w:p>
    <w:p w:rsidR="005728DD" w:rsidRDefault="005728DD" w:rsidP="005728DD">
      <w:pPr>
        <w:pStyle w:val="Extracto"/>
      </w:pPr>
    </w:p>
    <w:p w:rsidR="005728DD" w:rsidRDefault="005728DD" w:rsidP="005728DD">
      <w:pPr>
        <w:pStyle w:val="Extracto"/>
      </w:pPr>
      <w:r>
        <w:t>3.</w:t>
      </w:r>
      <w:r>
        <w:tab/>
        <w:t>La libertad de expresión —de la que el derecho de reunión es una manifestación colectiva—, por cuanto es garantía del disentimiento razonado, otorga a todos los ciudadanos el derecho a expresar sus juicios de valor sin sufrir intromisiones por parte de los poderes públicos que no estén apoyadas en leyes que impongan límites constitucionalmente admisibles. Cuando el ejercicio de los derechos fundamentales pueda llevar a los ciudadanos a no ejercer plena y libremente sus derechos ante el temor de que cualquier extralimitación sea severamente sancionada, se habla de “efecto desalentador” (STC 177/2015) [FJ 5].</w:t>
      </w:r>
    </w:p>
    <w:p w:rsidR="005728DD" w:rsidRDefault="005728DD" w:rsidP="005728DD">
      <w:pPr>
        <w:pStyle w:val="Extracto"/>
      </w:pPr>
    </w:p>
    <w:p w:rsidR="005728DD" w:rsidRDefault="005728DD" w:rsidP="005728DD">
      <w:pPr>
        <w:pStyle w:val="Extracto"/>
      </w:pPr>
      <w:r>
        <w:t>4.</w:t>
      </w:r>
      <w:r>
        <w:tab/>
        <w:t>Si la opinión es instrumento de participación política o se refiere a asuntos de interés general, su protección adquiere una mayor amplitud ya que el bien jurídico tutelado por ella es la formación de una opinión pública libre (SSTC 136/1999 y 112/2016) [FJ 5].</w:t>
      </w:r>
    </w:p>
    <w:p w:rsidR="005728DD" w:rsidRDefault="005728DD" w:rsidP="005728DD">
      <w:pPr>
        <w:pStyle w:val="Extracto"/>
      </w:pPr>
    </w:p>
    <w:p w:rsidR="005728DD" w:rsidRDefault="005728DD" w:rsidP="005728DD">
      <w:pPr>
        <w:pStyle w:val="Extracto"/>
      </w:pPr>
      <w:r>
        <w:t>5.</w:t>
      </w:r>
      <w:r>
        <w:tab/>
        <w:t xml:space="preserve">No cabe considerar ejercicio legítimo de la libertad de expresión, reunión o manifestación a aquellos mensajes que, por su contenido o por la forma de expresarlos, incorporen amenazas o intimidaciones a los demás, es decir, aquellos casos en que </w:t>
      </w:r>
      <w:r>
        <w:lastRenderedPageBreak/>
        <w:t>los derechos se ejerciten de forma desmesurada y exorbitante en atención al fin al cual la Constitución le concede su protección preferente (STC 171/1990) [FJ 5].</w:t>
      </w:r>
    </w:p>
    <w:p w:rsidR="005728DD" w:rsidRDefault="005728DD" w:rsidP="005728DD">
      <w:pPr>
        <w:pStyle w:val="Extracto"/>
      </w:pPr>
    </w:p>
    <w:p w:rsidR="005728DD" w:rsidRDefault="005728DD" w:rsidP="005728DD">
      <w:pPr>
        <w:pStyle w:val="Extracto"/>
      </w:pPr>
      <w:r>
        <w:t>6.</w:t>
      </w:r>
      <w:r>
        <w:tab/>
        <w:t>El mandato de taxatividad o certeza se traduce en la exigencia de predeterminación normativa de las conductas y de sus correspondientes sanciones (</w:t>
      </w:r>
      <w:r w:rsidRPr="005728DD">
        <w:rPr>
          <w:i/>
        </w:rPr>
        <w:t>lex certa</w:t>
      </w:r>
      <w:r>
        <w:t>), en virtud del cual el legislador debe promulgar normas concretas, precisas, claras e inteligibles, para que los ciudadanos puedan conocer de antemano el ámbito de lo proscrito y prever, así, las consecuencias de sus acciones (SSTC 185/2014, 146/2015 y 91/2021) [FJ 6].</w:t>
      </w:r>
    </w:p>
    <w:p w:rsidR="005728DD" w:rsidRDefault="005728DD" w:rsidP="005728DD">
      <w:pPr>
        <w:pStyle w:val="Extracto"/>
      </w:pPr>
    </w:p>
    <w:p w:rsidR="005728DD" w:rsidRDefault="005728DD" w:rsidP="005728DD">
      <w:pPr>
        <w:pStyle w:val="Extracto"/>
      </w:pPr>
      <w:r>
        <w:t>7.</w:t>
      </w:r>
      <w:r>
        <w:tab/>
        <w:t xml:space="preserve">La garantía de certeza no solo opera respecto de las normas penales o sancionadoras (ámbito normativo), pues también se proyecta a la interpretación y aplicación de estas por los órganos judiciales a los concretos supuestos de hecho (ámbito aplicativo). En este sentido, los órganos judiciales deberán huir de la interpretación extensiva o de la analogía </w:t>
      </w:r>
      <w:r w:rsidRPr="005728DD">
        <w:rPr>
          <w:i/>
        </w:rPr>
        <w:t xml:space="preserve">in malam partem </w:t>
      </w:r>
      <w:r>
        <w:t>(SSTC 229/2007 y 14/2021) [FJ 6].</w:t>
      </w:r>
    </w:p>
    <w:p w:rsidR="005728DD" w:rsidRDefault="005728DD" w:rsidP="005728DD">
      <w:pPr>
        <w:pStyle w:val="Extracto"/>
      </w:pPr>
    </w:p>
    <w:p w:rsidR="005728DD" w:rsidRDefault="005728DD" w:rsidP="005728DD">
      <w:pPr>
        <w:pStyle w:val="Extracto"/>
      </w:pPr>
      <w:r>
        <w:t>8.</w:t>
      </w:r>
      <w:r>
        <w:tab/>
        <w:t>Son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91/2011) [FJ 6].</w:t>
      </w:r>
    </w:p>
    <w:p w:rsidR="005728DD" w:rsidRDefault="005728DD" w:rsidP="005728DD">
      <w:pPr>
        <w:pStyle w:val="Extracto"/>
      </w:pPr>
    </w:p>
    <w:p w:rsidR="005728DD" w:rsidRDefault="005728DD" w:rsidP="005728DD">
      <w:pPr>
        <w:pStyle w:val="Extracto"/>
      </w:pPr>
      <w:r>
        <w:t>9.</w:t>
      </w:r>
      <w:r>
        <w:tab/>
        <w:t>No compete a este Tribunal sustituir a los órganos judiciales en el ejercicio de la función de subsumir los hechos en las normas, pues se trata de una labor que corresponde en exclusiva a los jueces y tribunales ordinarios, conforme a lo establecido en el art. 117.3 CE. Hemos de limitarnos a verificar un juicio externo sobre la compatibilidad de la interpretación realizada con el tenor literal de la norma y sobre su razonabilidad metodológica y axiológica (STC 91/2021) [FJ 6].</w:t>
      </w:r>
    </w:p>
    <w:p w:rsidR="005728DD" w:rsidRDefault="005728DD" w:rsidP="005728DD">
      <w:pPr>
        <w:pStyle w:val="Extracto"/>
      </w:pPr>
    </w:p>
    <w:p w:rsidR="005728DD" w:rsidRDefault="005728DD" w:rsidP="005728DD">
      <w:pPr>
        <w:pStyle w:val="Extracto"/>
      </w:pPr>
      <w:r>
        <w:t>10.</w:t>
      </w:r>
      <w:r>
        <w:tab/>
        <w:t>Doctrina sobre el juicio de proporcionalidad de la pena, que constituye un elemento esencial para la configuración de la tipología penal de los hechos delictivos (SSTC 136/1999, 91/2021 y 106/2021) [FJ 7].</w:t>
      </w:r>
    </w:p>
    <w:p w:rsidR="005728DD" w:rsidRDefault="005728DD" w:rsidP="005728DD">
      <w:pPr>
        <w:pStyle w:val="Extracto"/>
      </w:pPr>
    </w:p>
    <w:p w:rsidR="005728DD" w:rsidRDefault="005728DD" w:rsidP="005728DD">
      <w:pPr>
        <w:pStyle w:val="Extracto"/>
      </w:pPr>
      <w:r>
        <w:t>11.</w:t>
      </w:r>
      <w:r>
        <w:tab/>
        <w:t>El juicio en sede de amparo, en protección de derechos fundamentales, debe limitarse a verificar que la norma penal no produzca un patente derroche inútil de coacción que convierte la norma en arbitraria y que socava los principios elementales de justicia inherentes a la dignidad de la persona y al Estado de Derecho o una actividad pública arbitraria y no respetuosa con la dignidad de la persona y, con ello, de los derechos y libertades fundamentales de la misma (STC 55/1996) [FJ 7].</w:t>
      </w:r>
    </w:p>
    <w:p w:rsidR="005728DD" w:rsidRDefault="005728DD" w:rsidP="005728DD">
      <w:pPr>
        <w:pStyle w:val="Extracto"/>
      </w:pPr>
    </w:p>
    <w:p w:rsidR="005728DD" w:rsidRDefault="005728DD" w:rsidP="005728DD">
      <w:pPr>
        <w:pStyle w:val="Extracto"/>
      </w:pPr>
      <w:r>
        <w:t>12.</w:t>
      </w:r>
      <w:r>
        <w:tab/>
        <w:t>La reacción penal es proporcionada cuando la norma persiga la preservación de bienes o intereses que no estén constitucionalmente proscritos ni sean socialmente irrelevantes, y cuando la pena sea instrumentalmente apta para dicha persecución [FJ 7].</w:t>
      </w:r>
    </w:p>
    <w:p w:rsidR="005728DD" w:rsidRDefault="005728DD" w:rsidP="005728DD">
      <w:pPr>
        <w:pStyle w:val="Extracto"/>
      </w:pPr>
    </w:p>
    <w:p w:rsidR="005728DD" w:rsidRDefault="005728DD" w:rsidP="005728DD">
      <w:pPr>
        <w:pStyle w:val="Extracto"/>
      </w:pPr>
      <w:r>
        <w:lastRenderedPageBreak/>
        <w:t>13.</w:t>
      </w:r>
      <w:r>
        <w:tab/>
        <w:t>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(SSTC 55/1996) [FJ 7].</w:t>
      </w:r>
    </w:p>
    <w:p w:rsidR="005728DD" w:rsidRDefault="005728DD" w:rsidP="005728DD">
      <w:pPr>
        <w:pStyle w:val="Extracto"/>
      </w:pPr>
    </w:p>
    <w:p w:rsidR="005728DD" w:rsidRDefault="005728DD" w:rsidP="005728DD">
      <w:pPr>
        <w:pStyle w:val="Extracto"/>
      </w:pPr>
      <w:r>
        <w:t>14.</w:t>
      </w:r>
      <w:r>
        <w:tab/>
        <w:t>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En estos casos se debe igualmente atender a la exigencia de la audiencia personal del acusado como garantía específica vinculada al derecho de defensa (art. 24.2 CE) (STC 184/2009) [FJ 8].</w:t>
      </w:r>
    </w:p>
    <w:p w:rsidR="005728DD" w:rsidRDefault="005728DD" w:rsidP="005728DD">
      <w:pPr>
        <w:pStyle w:val="Extracto"/>
      </w:pPr>
    </w:p>
    <w:p w:rsidR="005728DD" w:rsidRDefault="005728DD" w:rsidP="005728DD">
      <w:pPr>
        <w:pStyle w:val="Extracto"/>
      </w:pPr>
      <w:r>
        <w:t>15.</w:t>
      </w:r>
      <w:r>
        <w:tab/>
        <w:t>Vulnera el derecho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la que se desarrolle la necesaria actividad probatoria con las garantías de publicidad, inmediación y contradicción que le son propias y se dé al acusado la posibilidad de defenderse exponiendo su testimonio personal (STC 18/2021) [FJ 8].</w:t>
      </w:r>
    </w:p>
    <w:p w:rsidR="005728DD" w:rsidRDefault="005728DD" w:rsidP="005728DD">
      <w:pPr>
        <w:pStyle w:val="Extracto"/>
      </w:pPr>
    </w:p>
    <w:p w:rsidR="005728DD" w:rsidRDefault="005728DD" w:rsidP="005728DD">
      <w:pPr>
        <w:pStyle w:val="Extracto"/>
      </w:pPr>
      <w:r>
        <w:t>16.</w:t>
      </w:r>
      <w:r>
        <w:tab/>
        <w:t>No cabe efectuar reproche constitucional cuando la condena o la agravación de la situación, a pesar de no haberse celebrado vista pública, tenga origen en una controversia estrictamente jurídica entre los órganos judiciales de primera y segunda instancia en la que no estén implicadas las garantías de publicidad, inmediación y contradicción y para cuya resolución no resulte necesario oír al acusado. Ninguna incidencia podría tener la audiencia en la decisión que pudiera adoptarse y la posición de la parte puede entenderse debidamente garantizada por la presencia de su abogado (STC 18/2021) [FJ 8].</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lastRenderedPageBreak/>
        <w:t>SENTENCIA</w:t>
      </w:r>
    </w:p>
    <w:p w:rsidR="005728DD" w:rsidRDefault="005728DD" w:rsidP="005728DD">
      <w:pPr>
        <w:pStyle w:val="TextoNormalCentrado"/>
        <w:keepNext/>
      </w:pPr>
    </w:p>
    <w:p w:rsidR="005728DD" w:rsidRDefault="005728DD" w:rsidP="005728DD">
      <w:pPr>
        <w:pStyle w:val="TextoNormal"/>
      </w:pPr>
      <w:r>
        <w:t>En los recursos de amparo acumulados núms. 4037-2015 y 4098-2015, promovidos, respectivamente, por doña Ángela Bergillos Alguacil, don Carlos Munter Domec, don Rubén Molina Marín y don Francisco José Cobos García, así como por don Jordi Raymond Parra, contra el auto de 19 de mayo de 2015 de la Sala Segunda del Tribunal Supremo, que desestimó el incidente de nulidad de actuaciones formulado contra la sentencia de 17 de marzo de 2015 de esa misma Sala del Tribunal Supremo, dictada en el recurso de casación núm. 1828-2014, que revocó la sentencia absolutoria de la Sección Primera de la Sala Penal de la Audiencia Nacional de 7 de julio de 2014, dictada en el rollo de sala núm. 6-2013, y condenó a los recurrentes como autores de un delito contra las instituciones del Estado (art. 498 del Código penal).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registrado en este tribunal el día 16 de junio de 2015, la representación procesal y letrada de don Ciro Morales Rodríguez y don José María Vázquez Moreno, interpuso demanda de amparo contra las resoluciones que se mencionan en el encabezamiento, en el que alegó la supuesta vulneración de sus derechos a un proceso con todas las garantías como consecuencia de su condena en casación (art. 24.2 CE), así como de su derecho a la presunción de inocencia, afirmando que su conducta era penalmente atípica (recurso de amparo núm. 3536-2015). Una vez examinado, la Sección Tercera de la Sala Segunda, mediante providencia de fecha 8 de septiembre de 2015, acordó su inadmisión a trámite por apreciar que incurría en el defecto insubsanable consistente en no haber satisfecho debidamente la carga consistente en justificar la especial trascendencia constitucional del recurso [art. 49.1 de la Ley Orgánica del Tribunal Constitucional (LOTC)].</w:t>
      </w:r>
    </w:p>
    <w:p w:rsidR="005728DD" w:rsidRDefault="005728DD" w:rsidP="005728DD">
      <w:pPr>
        <w:pStyle w:val="TextoNormal"/>
      </w:pPr>
    </w:p>
    <w:p w:rsidR="005728DD" w:rsidRDefault="005728DD" w:rsidP="005728DD">
      <w:pPr>
        <w:pStyle w:val="TextoNormal"/>
      </w:pPr>
      <w:r>
        <w:t>Mediante escrito registrado en este tribunal el día 7 de julio de 2015, la representación procesal y letrada de doña Olga Álvarez Juan, interpuso demanda de amparo contra las mismas resoluciones, en el que alegó la supuesta vulneración de sus derechos a un proceso con todas las garantías, de defensa y a la presunción de inocencia, como consecuencia de su condena en casación (art. 24.2 CE), así como de sus derechos a la libertad de expresión y reunión (arts. 20 y 21 CE) y, por último, de su derecho a la legalidad penal y proporcionalidad de las penas (art. 25.1 CE). Registrado como recurso de amparo núm. 4036-2015, una vez examinado, la Sección Tercera de la Sala Segunda, mediante providencia de fecha 24 de noviembre de 2015, acordó su inadmisión a trámite por apreciar que incurría en el defecto insubsanable consistente en no haber satisfecho en modo alguno la carga consistente en justificar la especial trascendencia constitucional del recurso (art. 49.1 LOTC).</w:t>
      </w:r>
    </w:p>
    <w:p w:rsidR="005728DD" w:rsidRDefault="005728DD" w:rsidP="005728DD">
      <w:pPr>
        <w:pStyle w:val="TextoNormal"/>
      </w:pPr>
    </w:p>
    <w:p w:rsidR="005728DD" w:rsidRDefault="005728DD" w:rsidP="005728DD">
      <w:pPr>
        <w:pStyle w:val="TextoNormal"/>
      </w:pPr>
      <w:r w:rsidRPr="005728DD">
        <w:rPr>
          <w:rStyle w:val="NumeroAFNegritaCaracter"/>
        </w:rPr>
        <w:t>2</w:t>
      </w:r>
      <w:r>
        <w:t>. Por medio de escrito registrado en este tribunal el día 7 de julio de 2015, la procuradora de los tribunales doña Isabel Alfonso Rodríguez, en nombre y representación de doña Ángela Bergillos Alguacil, don Carlos Munter Domec, don Rubén Molina Marín y don Francisco José Cobos García, con la asistencia letrada del abogado don Eduardo Cáliz Robles, interpuso demanda de amparo contra las resoluciones que se mencionan en el encabezamiento, dando lugar al recurso de amparo núm. 4037-2015. Por otrosí solicitó la suspensión de la ejecución de las resoluciones impugnadas.</w:t>
      </w:r>
    </w:p>
    <w:p w:rsidR="005728DD" w:rsidRDefault="005728DD" w:rsidP="005728DD">
      <w:pPr>
        <w:pStyle w:val="TextoNormal"/>
      </w:pPr>
    </w:p>
    <w:p w:rsidR="005728DD" w:rsidRDefault="005728DD" w:rsidP="005728DD">
      <w:pPr>
        <w:pStyle w:val="TextoNormal"/>
      </w:pPr>
      <w:r>
        <w:t>Mediante escrito registrado en este tribunal el día 9 de julio de 2015, la procuradora de los tribunales doña Isabel Alfonso Rodríguez, en nombre y representación de don Jordi Raymond Parra, con la asistencia letrada de la abogada doña Laia Serra Perelló, interpuso demanda de amparo contra las resoluciones que se mencionan en el encabezamiento, dando lugar al recurso de amparo núm. 4098-2015.</w:t>
      </w:r>
    </w:p>
    <w:p w:rsidR="005728DD" w:rsidRDefault="005728DD" w:rsidP="005728DD">
      <w:pPr>
        <w:pStyle w:val="TextoNormal"/>
      </w:pPr>
    </w:p>
    <w:p w:rsidR="005728DD" w:rsidRDefault="005728DD" w:rsidP="005728DD">
      <w:pPr>
        <w:pStyle w:val="TextoNormal"/>
      </w:pPr>
      <w:r w:rsidRPr="005728DD">
        <w:rPr>
          <w:rStyle w:val="NumeroAFNegritaCaracter"/>
        </w:rPr>
        <w:t>3</w:t>
      </w:r>
      <w:r>
        <w:t>. Sintéticamente expuestos, según se deduce del contenido de las actuaciones recibidas, los hechos y antecedentes procesales en los que tiene su origen el presente recurso de amparo son los siguientes:</w:t>
      </w:r>
    </w:p>
    <w:p w:rsidR="005728DD" w:rsidRDefault="005728DD" w:rsidP="005728DD">
      <w:pPr>
        <w:pStyle w:val="TextoNormal"/>
      </w:pPr>
    </w:p>
    <w:p w:rsidR="005728DD" w:rsidRDefault="005728DD" w:rsidP="005728DD">
      <w:pPr>
        <w:pStyle w:val="TextoNormal"/>
      </w:pPr>
      <w:r>
        <w:t>A) La Sección Primera de la Sala Penal de la Audiencia Nacional dictó sentencia núm. 31/2014, de 7 de julio, en el procedimiento abreviado núm. 6-2013, en la que absolvió a las diecinueve personas acusadas de los delitos contra las instituciones del Estado (art. 498 del Código penal, en adelante CP), atentado agravado (arts. 550 y 551.2 CP) y asociación ilícita (art. 515.1 CP) por los que se había formulado acusación. La sentencia sí condenó a uno de los acusados, don José María Vázquez Moreno, como autor de una falta de daños del art. 625 CP, a la pena de cuatro días de localización permanente.</w:t>
      </w:r>
    </w:p>
    <w:p w:rsidR="005728DD" w:rsidRDefault="005728DD" w:rsidP="005728DD">
      <w:pPr>
        <w:pStyle w:val="TextoNormal"/>
      </w:pPr>
    </w:p>
    <w:p w:rsidR="005728DD" w:rsidRDefault="005728DD" w:rsidP="005728DD">
      <w:pPr>
        <w:pStyle w:val="TextoNormal"/>
      </w:pPr>
      <w:r>
        <w:t>(i) En los hechos probados consta que:</w:t>
      </w:r>
    </w:p>
    <w:p w:rsidR="005728DD" w:rsidRDefault="005728DD" w:rsidP="005728DD">
      <w:pPr>
        <w:pStyle w:val="TextoNormal"/>
      </w:pPr>
    </w:p>
    <w:p w:rsidR="005728DD" w:rsidRDefault="005728DD" w:rsidP="005728DD">
      <w:pPr>
        <w:pStyle w:val="TextoNormal"/>
      </w:pPr>
      <w:r>
        <w:t>“1. El movimiento de protesta surgido en las plazas de las grandes ciudades a lo largo de la primavera del año 2011, conocido como 15M, convocó los días 14 y 15 de junio una concentración ante el Parlament de Catalunya con ocasión de la aprobación de los presupuestos de la Comunidad para aquel año, en protesta por la reducción del gasto social. El lema de la movilización era ‘Aturem el Parlament, no deixarem que aprovin retallades’ (Paremos al/el Parlament, no permitiremos que aprueben recortes). La manifestación fue comunicada a la autoridad por las organizaciones que la convocaban, el movimiento L’Acampada de Barcelona y las asociaciones de vecinos de la ciudad, y publicitada por varios medios, entre otros una rueda de prensa, celebrada el 10 de junio, en la que dos portavoces de los movimientos sociales declararon que no pretendían impedir el funcionamiento del Parlament sino detener el ataque contra los derechos sociales y los servicios públicos que significaban las medidas presupuestarias que se iban a aprobar. La autoridad gubernativa no adoptó medida alguna para regular la manifestación.</w:t>
      </w:r>
    </w:p>
    <w:p w:rsidR="005728DD" w:rsidRDefault="005728DD" w:rsidP="005728DD">
      <w:pPr>
        <w:pStyle w:val="TextoNormal"/>
      </w:pPr>
    </w:p>
    <w:p w:rsidR="005728DD" w:rsidRDefault="005728DD" w:rsidP="005728DD">
      <w:pPr>
        <w:pStyle w:val="TextoNormal"/>
      </w:pPr>
      <w:r>
        <w:t>2. La tarde del 14 de junio unas mil personas se reunieron junto al Parc de la Ciutadella, pero la policía les impidió acceder a dicho espacio, que se cerró durante la noche. Los manifestantes acamparon en un lugar próximo, en la encrucijada del Pasaje Picasso y la Avenida del Marqués de Argentera. A primera hora de la mañana, la policía disolvió por la fuerza, en varias ocasiones, a los manifestantes para abrir la puerta 7, situada frente al número 37 de la Calle Pujades, única que se había decidido dejar franca para que accedieran los parlamentarios. En ningún momento se acotó un perímetro o se levantó un cordón policial para garantizar el tránsito por aquella vía.</w:t>
      </w:r>
    </w:p>
    <w:p w:rsidR="005728DD" w:rsidRDefault="005728DD" w:rsidP="005728DD">
      <w:pPr>
        <w:pStyle w:val="TextoNormal"/>
      </w:pPr>
    </w:p>
    <w:p w:rsidR="005728DD" w:rsidRDefault="005728DD" w:rsidP="005728DD">
      <w:pPr>
        <w:pStyle w:val="TextoNormal"/>
      </w:pPr>
      <w:r>
        <w:t>3. A partir de las 8:00 h. los diputados fueron entrando, algunos encontraron problemas debido al número de personas allí congregadas, que en ciertos momentos ascendía a más de seiscientas. El inicio de la sesión estaba señalado para las 10:00 h.</w:t>
      </w:r>
    </w:p>
    <w:p w:rsidR="005728DD" w:rsidRDefault="005728DD" w:rsidP="005728DD">
      <w:pPr>
        <w:pStyle w:val="TextoNormal"/>
      </w:pPr>
    </w:p>
    <w:p w:rsidR="005728DD" w:rsidRDefault="005728DD" w:rsidP="005728DD">
      <w:pPr>
        <w:pStyle w:val="TextoNormal"/>
      </w:pPr>
      <w:r>
        <w:lastRenderedPageBreak/>
        <w:t>4. Hacia las 9:25 h. el president de la Generalitat D. Artur Mas i Gavarro ocupaba el vehículo oficial, junto a los diputados de Convergencia i Unió (CiU) D Josep María Llop i Rigol y don Antoni Fernández Teixidor, en una comitiva de cuatro vehículos —en uno de ellos iba la Presidenta del Parlament— y otras tantas motocicletas conducidas por agentes de policía. Circulaban, por la avenida Meridiana en dirección al Parc de la Ciutadella con la intención de atravesar por la puerta 7; antes de llegar se encontraron con un grupo de manifestantes que ocupaban la calzada y obstaculizaban su marcha. Los automóviles no llevaban distintivo alguno. Al constatar la dificultad para atravesar por aquella puerta, rectificaron su dirección y regresaron por la misma vía, alejándose del lugar.</w:t>
      </w:r>
    </w:p>
    <w:p w:rsidR="005728DD" w:rsidRDefault="005728DD" w:rsidP="005728DD">
      <w:pPr>
        <w:pStyle w:val="TextoNormal"/>
      </w:pPr>
    </w:p>
    <w:p w:rsidR="005728DD" w:rsidRDefault="005728DD" w:rsidP="005728DD">
      <w:pPr>
        <w:pStyle w:val="TextoNormal"/>
      </w:pPr>
      <w:r>
        <w:t>En el momento que cambiaban de sentido de marcha para eludir a la manifestación, un grupo de personas —ignorantes de qué autoridades viajaban en los vehículos— se aproximó a la comitiva. El encuentro entre los manifestantes y la cadena de coches duró escasos segundos. Un individuo levantó la mano y el brazo derecho cuando el automóvil presidencial giraba, otros se acercaron al vehículo, llegando a tocar la carrocería, alguien intentó abrir las puertas —que se hallaban aseguradas— y lanzó varios golpes. Cuando la comitiva abandonaba el cruce, un individuo arrojó un cono de plástico de señalización a la calzada. […]</w:t>
      </w:r>
    </w:p>
    <w:p w:rsidR="005728DD" w:rsidRDefault="005728DD" w:rsidP="005728DD">
      <w:pPr>
        <w:pStyle w:val="TextoNormal"/>
      </w:pPr>
    </w:p>
    <w:p w:rsidR="005728DD" w:rsidRDefault="005728DD" w:rsidP="005728DD">
      <w:pPr>
        <w:pStyle w:val="TextoNormal"/>
      </w:pPr>
      <w:r>
        <w:t>5. Hacia las 8:30 h. la diputada del grupo parlamentario del Partit dels Socialistes de Catalunya (PSC) Dª. Monserrat Tura i Camafreita caminaba por el parque hacia el Parlament, dialogando con una mujer que allí se manifestaba y que le comunicaba la situación de sus hijos, universitarios y en paro, cuando D. José María Vázquez Moreno se le acercó por detrás y le pintó en la espalda de la chaqueta dos trazos negros con un espray, que ensuciaron también el bolso que llevaba en bandolera. La Sra. Tura reparó en el incidente una vez que entró en el edificio del Parlament y se quitó la prenda.</w:t>
      </w:r>
    </w:p>
    <w:p w:rsidR="005728DD" w:rsidRDefault="005728DD" w:rsidP="005728DD">
      <w:pPr>
        <w:pStyle w:val="TextoNormal"/>
      </w:pPr>
    </w:p>
    <w:p w:rsidR="005728DD" w:rsidRDefault="005728DD" w:rsidP="005728DD">
      <w:pPr>
        <w:pStyle w:val="TextoNormal"/>
      </w:pPr>
      <w:r>
        <w:t>6. El diputado D. Joan Boada i Masoliver, de Iniciativa per Catalunya Verds-Esquerra Unida (ICV-EU), se vio obligado a variar de rumbo al encontrarse, hacia las 9:00 h., la puerta 7 taponada por un grupo de manifestantes que le impidieron el paso, le increparon y siguieron. Al final, acompañado por varios agentes de la Guardia Urbana pudo ganar el cordón policial. No consta que Dª. Marta Pi i Morera increpara al parlamentario, ni siquiera que se interpusiera en su camino. Tampoco consta que D. Rubén Molina Marín hubiera perseguido, bloqueado, acometido ni empujado al Sr. Boada i Masoliver.</w:t>
      </w:r>
    </w:p>
    <w:p w:rsidR="005728DD" w:rsidRDefault="005728DD" w:rsidP="005728DD">
      <w:pPr>
        <w:pStyle w:val="TextoNormal"/>
      </w:pPr>
    </w:p>
    <w:p w:rsidR="005728DD" w:rsidRDefault="005728DD" w:rsidP="005728DD">
      <w:pPr>
        <w:pStyle w:val="TextoNormal"/>
      </w:pPr>
      <w:r>
        <w:t>7. Los diputados D. Gerard María Figueres Alba, de Convergencia i Unió, y D. Alfons López i Tena, de Solidaritat Catalana, también se vieron incapaces de entrar por la puerta 7 del parque. Unas cien personas les impidieron el paso, les increparon y derramaron sobre sus ropas líquidos. Ambos decidieron explorar otra vía, momento en que alguien arrebató al Sr. Figueres Alba un bolso de mano; los diputados se separaron, siguiendo caminos distintos (al Sr. López i Tena le quitaron unos papeles que llevaba en las manos, así como un paquete de tabaco y un mechero, que guardaba en el bolsillo). Desde ese momento fueron seguidos por manifestantes, que chillaban consignas contra los representantes políticos, hasta que fueron atendidos por agentes de policía que los trasladaron en coche a la sede del Parlament.</w:t>
      </w:r>
    </w:p>
    <w:p w:rsidR="005728DD" w:rsidRDefault="005728DD" w:rsidP="005728DD">
      <w:pPr>
        <w:pStyle w:val="TextoNormal"/>
      </w:pPr>
    </w:p>
    <w:p w:rsidR="005728DD" w:rsidRDefault="005728DD" w:rsidP="005728DD">
      <w:pPr>
        <w:pStyle w:val="TextoNormal"/>
      </w:pPr>
      <w:r>
        <w:t>D. Francisco José López Cobos (</w:t>
      </w:r>
      <w:r w:rsidRPr="005728DD">
        <w:rPr>
          <w:i/>
        </w:rPr>
        <w:t>sic</w:t>
      </w:r>
      <w:r>
        <w:t xml:space="preserve">, debe decir Cobos García) se interpuso con los brazos en cruz ante los parlamentarios, en un momento dado. No consta que les escupiera. Siguió </w:t>
      </w:r>
      <w:r>
        <w:lastRenderedPageBreak/>
        <w:t>al diputado autonómico Sr. López i Tena con las manos alzadas, gritando las consignas de la reunión. […]</w:t>
      </w:r>
    </w:p>
    <w:p w:rsidR="005728DD" w:rsidRDefault="005728DD" w:rsidP="005728DD">
      <w:pPr>
        <w:pStyle w:val="TextoNormal"/>
      </w:pPr>
    </w:p>
    <w:p w:rsidR="005728DD" w:rsidRDefault="005728DD" w:rsidP="005728DD">
      <w:pPr>
        <w:pStyle w:val="TextoNormal"/>
      </w:pPr>
      <w:r>
        <w:t>Dª. Angela Bergillos Alguacil siguió, en algún momento, al Sr. López i Tena con los brazos en alto, moviendo las manos, coreando consignas de la manifestación. No consta que le hubiera empujado.</w:t>
      </w:r>
    </w:p>
    <w:p w:rsidR="005728DD" w:rsidRDefault="005728DD" w:rsidP="005728DD">
      <w:pPr>
        <w:pStyle w:val="TextoNormal"/>
      </w:pPr>
    </w:p>
    <w:p w:rsidR="005728DD" w:rsidRDefault="005728DD" w:rsidP="005728DD">
      <w:pPr>
        <w:pStyle w:val="TextoNormal"/>
      </w:pPr>
      <w:r>
        <w:t>8. Los diputados de CiU D. Josep María Llop i Rigol y D. Jordi Turull i Negre caminaban hacia el Parlament cuando varios manifestantes se confrontaron con ellos. D. Jordi Raymond Parra pedía que no les dejaran pasar, para que no votaran, al tiempo que desplegaba una pancarta para exhibir una leyenda; otros manifestantes le contestaron que solo había que hablar con los parlamentarios. Los señores Llop y Turull evitaron al grupo y se retiraron con sus acompañantes, un conductor y una secretaria. Posteriormente, tuvieron un altercado con otros manifestantes, que les rodearon en la puerta de un garaje, y decidieron buscar la protección de agentes de policía. Llegaron al Parlament en un helicóptero, hacia las 10:20 h.</w:t>
      </w:r>
    </w:p>
    <w:p w:rsidR="005728DD" w:rsidRDefault="005728DD" w:rsidP="005728DD">
      <w:pPr>
        <w:pStyle w:val="TextoNormal"/>
      </w:pPr>
    </w:p>
    <w:p w:rsidR="005728DD" w:rsidRDefault="005728DD" w:rsidP="005728DD">
      <w:pPr>
        <w:pStyle w:val="TextoNormal"/>
      </w:pPr>
      <w:r>
        <w:t>9. El diputado del PSC, D. Ernest Maragall i Mira se vio obligado a atravesar entre un grupo nutrido de manifestantes, que con las manos abiertas y los brazos en alto trataban de que no llegara al Parlament. Fue ayudado por dos mossos d'esquadra que le escoltaron hasta el cordón policial. Entre las personas que le rodeaban y coreaban los lemas de la manifestación se hallaba D. Ciro Morales Rodríguez, siempre a su espalda. […]</w:t>
      </w:r>
    </w:p>
    <w:p w:rsidR="005728DD" w:rsidRDefault="005728DD" w:rsidP="005728DD">
      <w:pPr>
        <w:pStyle w:val="TextoNormal"/>
      </w:pPr>
    </w:p>
    <w:p w:rsidR="005728DD" w:rsidRDefault="005728DD" w:rsidP="005728DD">
      <w:pPr>
        <w:pStyle w:val="TextoNormal"/>
      </w:pPr>
      <w:r>
        <w:t>10. La diputada de CiU, Dª Ana Isabel Marcos i Vilar se encontró con un grupo de manifestantes cuando intentaba entrar al parque con otras dos parlamentarias, quienes salieron corriendo. Algunas personas le dirigieron gritos y le rociaron un líquido por encima, al tiempo que un desconocido la sujetaba del brazo. […] Cuando la diputada reaccionó, regresó por la misma calle y fue trasladada al Parlament en un coche policial. La Sra. Marcos i Vilar sufrió una crisis de ansiedad y precisó de ansiolíticos.</w:t>
      </w:r>
    </w:p>
    <w:p w:rsidR="005728DD" w:rsidRDefault="005728DD" w:rsidP="005728DD">
      <w:pPr>
        <w:pStyle w:val="TextoNormal"/>
      </w:pPr>
    </w:p>
    <w:p w:rsidR="005728DD" w:rsidRDefault="005728DD" w:rsidP="005728DD">
      <w:pPr>
        <w:pStyle w:val="TextoNormal"/>
      </w:pPr>
      <w:r>
        <w:t>11. D. Salvador Mila i Solsona, diputado de ICV-EU, intercambió opiniones con varios manifestantes mientras caminaba por el parque hacia el edificio legislativo. Algunos le recriminaron que entrara a votar al Parlament. […]</w:t>
      </w:r>
    </w:p>
    <w:p w:rsidR="005728DD" w:rsidRDefault="005728DD" w:rsidP="005728DD">
      <w:pPr>
        <w:pStyle w:val="TextoNormal"/>
      </w:pPr>
    </w:p>
    <w:p w:rsidR="005728DD" w:rsidRDefault="005728DD" w:rsidP="005728DD">
      <w:pPr>
        <w:pStyle w:val="TextoNormal"/>
      </w:pPr>
      <w:r>
        <w:t>12. El diputado D Santi Vila i Vicente, de CiU, se encontró con un grupo de manifestantes cuando se dirigía al Parlament, quienes le recriminaron las políticas de recortes de gasto público y le dijeron que no les representaba. Entre los que protestaban estaban Dª Olga Álvarez Juan, D. Rubén Molina Marín y D. Carlos Munter Domec. Agentes de policía acompañaron al diputado para que superara a los manifestantes. No consta que fuera agredido, ni empujado”.</w:t>
      </w:r>
    </w:p>
    <w:p w:rsidR="005728DD" w:rsidRDefault="005728DD" w:rsidP="005728DD">
      <w:pPr>
        <w:pStyle w:val="TextoNormal"/>
      </w:pPr>
    </w:p>
    <w:p w:rsidR="005728DD" w:rsidRDefault="005728DD" w:rsidP="005728DD">
      <w:pPr>
        <w:pStyle w:val="TextoNormal"/>
      </w:pPr>
      <w:r>
        <w:t xml:space="preserve">(ii) En relación con la prueba de los hechos y la convocatoria de la manifestación, la sentencia de la Audiencia Nacional expone —punto 1.2.1 del apartado de motivación— que fue hecha pública en una rueda de prensa que ofrecieron los portavoces de dos de los movimientos sociales convocantes y que su lema era “Aturem el Parlament, no deixarem que aprovin retallades” (Paremos el Parlamento, no dejaremos que aprueben recortes). Señala, a continuación, que uno de esos portavoces, testigo de la defensa, explicó que su intención era trasladar a los diputados su falta de legitimidad para acordar los recortes presupuestarios </w:t>
      </w:r>
      <w:r>
        <w:lastRenderedPageBreak/>
        <w:t>mediante una manifestación pacífica y simbólica y que no pretendían paralizar la actividad parlamentaria, pero sí tratar de impedir la aprobación del proyecto de presupuestos. Y recoge que el agente instructor del primer atestado confirmó que la convocatoria se había hecho en esos términos, “según los organizadores sería una manifestación pacífica, ante la que los diputados tendrían que decidir si entraban o no a la sesión”.</w:t>
      </w:r>
    </w:p>
    <w:p w:rsidR="005728DD" w:rsidRDefault="005728DD" w:rsidP="005728DD">
      <w:pPr>
        <w:pStyle w:val="TextoNormal"/>
      </w:pPr>
    </w:p>
    <w:p w:rsidR="005728DD" w:rsidRDefault="005728DD" w:rsidP="005728DD">
      <w:pPr>
        <w:pStyle w:val="TextoNormal"/>
      </w:pPr>
      <w:r>
        <w:t>Asimismo, destaca la Sala de instancia que “[e]l dispositivo de seguridad dejó abierta la puerta 7 para que entraran los parlamentarios. Por lo tanto, no fueron los manifestantes quienes obstruyeron las diversas vías de acceso […]. Según el atestado, la entrada 7 obligaba a caminar trescientos metros hasta ganar el edificio”. Concluye que “sin que la autoridad gubernativa adoptara hasta bien entrada la mañana la medida de levantar un cordón policial para permitir el tránsito de personas hacia el parlamento, los manifestantes se concentraron en la puerta 7, única vía abierta, y la confrontación de los diputados con ellos se hizo inevitable”.</w:t>
      </w:r>
    </w:p>
    <w:p w:rsidR="005728DD" w:rsidRDefault="005728DD" w:rsidP="005728DD">
      <w:pPr>
        <w:pStyle w:val="TextoNormal"/>
      </w:pPr>
    </w:p>
    <w:p w:rsidR="005728DD" w:rsidRDefault="005728DD" w:rsidP="005728DD">
      <w:pPr>
        <w:pStyle w:val="TextoNormal"/>
      </w:pPr>
      <w:r>
        <w:t>(iii) Ya en el apartado 2 de la motivación de la sentencia —con el epígrafe “Derecho aplicable”—, el tribunal de instancia razona la decisión de absolver del delito contra las instituciones del Estado (art. 498 CP), conforme a un esquema argumentativo que se asienta en la definición del contenido de los derechos de reunión y manifestación, en general y en su proyección al contexto, para destacar los límites de la intervención penal cuando se refiere a conductas relacionadas con el ejercicio de tales derechos fundamentales. A su juicio, esa intervención no se excluye solo frente a conductas que suponen el ejercicio del derecho, sino también frente a conductas que, si bien suponen un exceso o abuso, están íntimamente vinculadas al derecho, que se vería lesionado por el efecto disuasorio de la respuesta penal. Sostiene así que “la libertad de expresión y el derecho de reunión y manifestación, íntimamente vinculados como cauces de la democracia participativa, gozan de una posición preferente en el orden constitucional, por lo que han de ser objeto de una especial protección y necesitan ‘de un amplio espacio exento de coacción, lo suficientemente generoso como para que pueda desenvolverse sin angostura; esto es, sin timidez ni temor’ (STC 110/2000, FJ 5). Cuando los cauces de expresión y de acceso al espacio público se encuentran controlados por medios de comunicación privados, cuando sectores de la sociedad tienen una gran dificultad para hacerse oír o para intervenir en el debate político y social, resulta obligado admitir cierto exceso en el ejercicio de las libertades de expresión o manifestación si se quiere dotar de un mínimo de eficacia a la protesta y a la crítica, como mecanismos de imprescindible contrapeso en una democracia que se sustenta sobre el pluralismo, valor esencial, y que promueve la libre igualdad de personas y grupos para que los derechos sean reales y efectivos, como enuncia la Constitución en su título preliminar”.</w:t>
      </w:r>
    </w:p>
    <w:p w:rsidR="005728DD" w:rsidRDefault="005728DD" w:rsidP="005728DD">
      <w:pPr>
        <w:pStyle w:val="TextoNormal"/>
      </w:pPr>
    </w:p>
    <w:p w:rsidR="005728DD" w:rsidRDefault="005728DD" w:rsidP="005728DD">
      <w:pPr>
        <w:pStyle w:val="TextoNormal"/>
      </w:pPr>
      <w:r>
        <w:t xml:space="preserve">Desde esta premisa de partida, se excluye la relevancia penal de la mayoría de las conductas que se declaran probadas por entender que “solo podemos afirmar su presencia en el lugar por donde los diputados se vieron obligados a transitar para acceder al Parlament y en algún caso la confrontación con ellos”, de modo que se encuadran claramente en el ejercicio del derecho fundamental de manifestación. Entre ellas estarían la de los ahora recurrentes en amparo, señor Molina Marín y señor Munter Domec. Otras conductas, que reconoce que pudieran tener un significado añadido, como las realizadas por el señor Cobos García, la señora Bergillos o el señor Raymond Parra, deben contextualizarse en la propia dinámica de la manifestación. La sentencia aduce que “[s]e encuentran singularmente vinculadas al ejercicio del derecho de manifestación en los términos en los que había sido convocada: las </w:t>
      </w:r>
      <w:r>
        <w:lastRenderedPageBreak/>
        <w:t>conductas tuvieron lugar en el tiempo y espacio de la protesta, estaban destinadas a reivindicar los derechos sociales y los servicios públicos frente a los recortes presupuestarios y a expresar el divorcio entre representantes y representados; fueron actos de confrontación con los parlamentarios, inevitables en el modo que la autoridad gubernativa había planteado el ejercicio del derecho”.</w:t>
      </w:r>
    </w:p>
    <w:p w:rsidR="005728DD" w:rsidRDefault="005728DD" w:rsidP="005728DD">
      <w:pPr>
        <w:pStyle w:val="TextoNormal"/>
      </w:pPr>
    </w:p>
    <w:p w:rsidR="005728DD" w:rsidRDefault="005728DD" w:rsidP="005728DD">
      <w:pPr>
        <w:pStyle w:val="TextoNormal"/>
      </w:pPr>
      <w:r>
        <w:t>No obstante, la Sala de instancia admite que la conducta del señor Cobos García podría entenderse como un acto de constreñimiento de la voluntad de los diputados, como una coacción. Sin embargo, como colofón de su planteamiento, descarta la aplicación del art. 498 CP a esas acciones, que descontextualizadas pudieran tener un cierto significado de exceso o abuso del derecho de manifestación. En su resolución, el tribunal se apoya en una interpretación del tipo penal acorde con los derechos concernidos, por cuanto “son conductas íntima e inequívocamente conectadas con el derecho a la protesta que allí se ejercitaba” y es preciso evitar el efecto desaliento, desincentivador de la participación democrática directa de los ciudadanos en las cosas comunes y del ejercicio de la crítica política. A su entender, incluso las acciones que se han atribuido al acusado señor Cobos García deben entenderse irrelevantes desde la perspectiva del tipo penal y, en cualquier caso, justificadas por el ejercicio fundamental del derecho de manifestación (art. 20.7 CP). Razona “que formalmente esas conductas pudieran parecer como coactivas; pero materialmente carecían de la idoneidad necesaria y de la entidad suficiente como para ser consideradas típicas. Conclusión a la que llegamos atendiendo: 1) Al contexto de producción —una manifestación previamente convocada y publicitada con un lema como el señalado, Aturem el Parlament—, 2) A los términos del planteamiento de la autoridad gubernativa para la escenificación de la protesta —cierre de accesos, no delimitación del espacio y cargas policiales intermitentes— y, sobre todo, 3) A la capacidad que se supone al sujeto pasivo para determinar su voluntad —parlamentarios que acudían a una sesión plenaria importante, convencidos de su posición, sobre la que previamente habían reflexionado individualmente y deliberado colectivamente, que se encuentran sometidos a la disciplina del grupo al que pertenecen, lo que forma parte de su hábito profesional”.</w:t>
      </w:r>
    </w:p>
    <w:p w:rsidR="005728DD" w:rsidRDefault="005728DD" w:rsidP="005728DD">
      <w:pPr>
        <w:pStyle w:val="TextoNormal"/>
      </w:pPr>
    </w:p>
    <w:p w:rsidR="005728DD" w:rsidRDefault="005728DD" w:rsidP="005728DD">
      <w:pPr>
        <w:pStyle w:val="TextoNormal"/>
      </w:pPr>
      <w:r>
        <w:t>Por todo ello, “[l]a prohibición de exceso aconseja una interpretación estricta del tipo penal ante una acción íntimamente relacionada, por su contenido y fines, con el ámbito constitucionalmente protegido del derecho fundamental, dejando fuera de lo prohibido conductas de escasa lesividad, que carecen de la capacidad suficiente como para comprometer el bien jurídico [normal ejercicio de las funciones de los parlamentarios], ya que no tenían idoneidad para impedir a los diputados la asistencia a la reunión del Parlament o para coartar, siquiera influir, su libertad de opinión o de voto”.</w:t>
      </w:r>
    </w:p>
    <w:p w:rsidR="005728DD" w:rsidRDefault="005728DD" w:rsidP="005728DD">
      <w:pPr>
        <w:pStyle w:val="TextoNormal"/>
      </w:pPr>
    </w:p>
    <w:p w:rsidR="005728DD" w:rsidRDefault="005728DD" w:rsidP="005728DD">
      <w:pPr>
        <w:pStyle w:val="TextoNormal"/>
      </w:pPr>
      <w:r>
        <w:t xml:space="preserve">(iv) La decisión judicial absolutoria viene acompañada de un voto particular discrepante redactado por el presidente de la Sección Primera de la Sala de lo Penal de la Audiencia Nacional. Desde la valoración de toda la prueba aportada al acto del juicio oral, parte de la cual se excluyó por la mayoría, el magistrado hace un relato de hechos distinto al reflejado en la sentencia y considera acreditado el acuerdo en grupos minoritarios de personas para acometer física y verbalmente a distintos diputados del Parlament con la finalidad de impedir que acudieran al pleno o lo hicieran con un sentimiento de intranquilidad susceptible de perturbar el correcto desarrollo de sus responsabilidades. En el seno de esos grupos, concluye, se encontraban varios de los acusados, que, a su entender, debieron ser condenados como autores de un delito contra las instituciones del Estado del art. 498 CP, como era el </w:t>
      </w:r>
      <w:r>
        <w:lastRenderedPageBreak/>
        <w:t>caso de los ahora recurrentes don Rubén Molina Marín, don Francisco José Cobos García y don Carlos Munter Domec, si bien la conducta que les atribuye el magistrado disidente es distinta (físicamente más agresiva) que la descrita en los hechos probados de la sentencia de la Audiencia Nacional.</w:t>
      </w:r>
    </w:p>
    <w:p w:rsidR="005728DD" w:rsidRDefault="005728DD" w:rsidP="005728DD">
      <w:pPr>
        <w:pStyle w:val="TextoNormal"/>
      </w:pPr>
    </w:p>
    <w:p w:rsidR="005728DD" w:rsidRDefault="005728DD" w:rsidP="005728DD">
      <w:pPr>
        <w:pStyle w:val="TextoNormal"/>
      </w:pPr>
      <w:r>
        <w:t>Por el contrario, a su entender, procedía la absolución por aquel delito del resto de acusados, entre los que se hallaban los ahora demandantes doña Ángela Bergillos Alguacil y don Jordi Raymond Parra, cuya conducta se describía por el magistrado discrepante en los mismos términos que en el relato de hechos probados de la sentencia.</w:t>
      </w:r>
    </w:p>
    <w:p w:rsidR="005728DD" w:rsidRDefault="005728DD" w:rsidP="005728DD">
      <w:pPr>
        <w:pStyle w:val="TextoNormal"/>
      </w:pPr>
    </w:p>
    <w:p w:rsidR="005728DD" w:rsidRDefault="005728DD" w:rsidP="005728DD">
      <w:pPr>
        <w:pStyle w:val="TextoNormal"/>
      </w:pPr>
      <w:r>
        <w:t>B) Contra la sentencia absolutoria de la instancia interpusieron recurso de casación el Ministerio Fiscal y las acusaciones particulares (Generalitat y Parlament de Catalunya), que se tramitaron con el núm. 1828/2014 ante la Sala de lo Penal del Tribunal Supremo, celebrándose vista el día 18 de febrero de 2015, en la que comparecieron el Ministerio Fiscal, las representaciones procesales de las acusaciones recurrentes y los letrados defensores de los acusados.</w:t>
      </w:r>
    </w:p>
    <w:p w:rsidR="005728DD" w:rsidRDefault="005728DD" w:rsidP="005728DD">
      <w:pPr>
        <w:pStyle w:val="TextoNormal"/>
      </w:pPr>
    </w:p>
    <w:p w:rsidR="005728DD" w:rsidRDefault="005728DD" w:rsidP="005728DD">
      <w:pPr>
        <w:pStyle w:val="TextoNormal"/>
      </w:pPr>
      <w:r>
        <w:t>C) La Sala de lo Penal del Tribunal Supremo dictó la sentencia núm. 161/2015, de 17 de marzo, que estimó parcialmente el cuarto motivo del recurso de casación del fiscal, por infracción de ley del art. 849.1 de la Ley de enjuiciamiento criminal (LECrim), error de derecho por la indebida inaplicación de los arts. 498, 550, 551.2 y 77 CP, y casó y anuló la sentencia de la Audiencia Nacional. Dictó segunda sentencia, por la que condenó a los acusados José María Vázquez Moreno, Francisco José López Cobos [</w:t>
      </w:r>
      <w:r w:rsidRPr="005728DD">
        <w:rPr>
          <w:i/>
        </w:rPr>
        <w:t>sic</w:t>
      </w:r>
      <w:r>
        <w:t>, debe decir Cobos García], Angela Bergillos Alguacil, Jordi Raymond Parra, Ciro Morales Rodríguez, Olga Álvarez Juan, Rubén Molina Marín y Carlos Munter Domec, como autores de un delito contra las instituciones del Estado del art. 498 CP, a la pena de tres años de prisión, con la accesoria de inhabilitación especial para el derecho de sufragio pasivo durante el tiempo de la condena, manteniendo el resto de los pronunciamientos de la sentencia dictada en la instancia en lo que no se opusiera a la recaída en casación.</w:t>
      </w:r>
    </w:p>
    <w:p w:rsidR="005728DD" w:rsidRDefault="005728DD" w:rsidP="005728DD">
      <w:pPr>
        <w:pStyle w:val="TextoNormal"/>
      </w:pPr>
    </w:p>
    <w:p w:rsidR="005728DD" w:rsidRDefault="005728DD" w:rsidP="005728DD">
      <w:pPr>
        <w:pStyle w:val="TextoNormal"/>
      </w:pPr>
      <w:r>
        <w:t>(i) En sus razonamientos, la Sala se separa de forma expresa del razonamiento absolutorio de instancia afirmando que incurre en un patente error en la identificación y solución de los valores constitucionales en juego, a los que afecta la pretensión de condena penal de la conducta imputada a los acusados. Entiende que dicha errónea identificación se refiere al juicio de ponderación exigible entre pretensiones que se dicen amparadas en el ejercicio de derechos fundamentales, pues infravalora el peso constitucional del derecho de participación política de los ciudadanos a través de sus representantes parlamentarios, libremente elegidos que reconoce el art. 23 CE, lo que se considera lastra la tarea jurisdiccional de ponderación efectuada. A su entender, el conflicto planteado —distinto del que se presenta cuando se alza el honor como fundamento de una pretendida limitación de la libertad de expresión— implica en este caso los derechos de quienes quisieron reunirse y expresar libremente su desacuerdo con las políticas aprobadas por el Parlament, así como el derecho de los parlamentarios a ejercer sin cortapisas su función representativa, destacando que ese libre ejercicio es presupuesto del derecho de todos sus ciudadanos a participar en los asuntos públicos (art. 23 CE). Se destaca que esa dimensión del derecho de participación enriquece su significado instrumental como medio para hacer valer otros bienes constitucionales del máximo rango axiológico, que conectan con principios como la libertad y el pluralismo político, que el art. 1 CE proclama como valores superiores del ordenamiento jurídico.</w:t>
      </w:r>
    </w:p>
    <w:p w:rsidR="005728DD" w:rsidRDefault="005728DD" w:rsidP="005728DD">
      <w:pPr>
        <w:pStyle w:val="TextoNormal"/>
      </w:pPr>
    </w:p>
    <w:p w:rsidR="005728DD" w:rsidRDefault="005728DD" w:rsidP="005728DD">
      <w:pPr>
        <w:pStyle w:val="TextoNormal"/>
      </w:pPr>
      <w:r>
        <w:t>La Sala concluye que “el ejercicio de la libertad de expresión y del derecho de reunión no pueden operar como elementos neutralizantes de otros derechos y principios indispensables para la vigencia del sistema constitucional. Paralizar el trabajo ordinario del órgano legislativo supone afectar, no ya el derecho fundamental de participación política de los representantes políticos y, en general, de los ciudadanos catalanes, sino atacar los valores superiores del orden democrático”. Y, en fin, rechaza que los hechos probados puedan verse amparados por la causa de justificación prevista en art. 20.7 CP, esto es, el ejercicio legítimo de un derecho.</w:t>
      </w:r>
    </w:p>
    <w:p w:rsidR="005728DD" w:rsidRDefault="005728DD" w:rsidP="005728DD">
      <w:pPr>
        <w:pStyle w:val="TextoNormal"/>
      </w:pPr>
    </w:p>
    <w:p w:rsidR="005728DD" w:rsidRDefault="005728DD" w:rsidP="005728DD">
      <w:pPr>
        <w:pStyle w:val="TextoNormal"/>
      </w:pPr>
      <w:r>
        <w:t xml:space="preserve">(ii) Descartada esa posibilidad, la Sala de casación afronta la queja del fiscal y las restantes acusaciones que denunciaron error jurídico de subsunción de los hechos, por no haberse calificado como constitutivos de un delito del art. 498 CP. Al hacerlo, recuerda la doctrina constitucional y del Tribunal Europeo de Derechos Humanos según la cual la anulación de una sentencia absolutoria y su sustitución por otra de condena, está sometida a límites estrictos que derivan de la necesidad de no transgredir el significado del principio de inmediación en la valoración de la prueba y la vigencia del derecho de defensa [FJ 4  B)]. Esa necesidad, según expresa, supone que solo en el caso de que el tribunal </w:t>
      </w:r>
      <w:r w:rsidRPr="005728DD">
        <w:rPr>
          <w:i/>
        </w:rPr>
        <w:t>ad quem</w:t>
      </w:r>
      <w:r>
        <w:t xml:space="preserve"> aborde cuestiones estrictamente jurídicas cabe prescindir de la audiencia al acusado para condenarle </w:t>
      </w:r>
      <w:r w:rsidRPr="005728DD">
        <w:rPr>
          <w:i/>
        </w:rPr>
        <w:t>ex novo</w:t>
      </w:r>
      <w:r>
        <w:t>, lo que supone que solo la vía casacional del art. 849.1 LECrim —que presupone el mantenimiento de los hechos declarados probados en la instancia—, permite justificar en casación una decisión condenatoria como consecuencia de la adopción de un distinto criterio jurídico.</w:t>
      </w:r>
    </w:p>
    <w:p w:rsidR="005728DD" w:rsidRDefault="005728DD" w:rsidP="005728DD">
      <w:pPr>
        <w:pStyle w:val="TextoNormal"/>
      </w:pPr>
    </w:p>
    <w:p w:rsidR="005728DD" w:rsidRDefault="005728DD" w:rsidP="005728DD">
      <w:pPr>
        <w:pStyle w:val="TextoNormal"/>
      </w:pPr>
      <w:r>
        <w:t>Sostiene la Sala que, corregida la errónea ponderación efectuada por la Audiencia Nacional, el examen de los hechos probados, cuya narración no se modifica, evidencia que algunos de los partícipes en los incidentes allí narrados cometieron el delito previsto en el art. 498 CP. Y, desde su comprensión del conflicto de derechos subyacente, define los elementos típicos del delito de forma diversa a como hizo la Audiencia Nacional. Se trata, a su entender, de un delito de tendencia, que se consuma cuando se hace destinatario a un diputado de un acto violento o intimidatorio o del empleo de fuerza o de una amenaza grave con la finalidad de impedir su asistencia a las sesiones o de coartar en ellas su libertad de expresión o de voto. Es, además, un delito pluriofensivo, en el que al atentado a la libertad de los diputados se suma el que incide en el derecho de participación reconocido en el art. 23 CE, del parlamentario y de los ciudadanos, en tanto la conducta se dirige a perturbar el normal funcionamiento del órgano parlamentario. Esa intelección del delito conduce a la Sala a descartar la autoría de todos aquellos respecto a los que el tribunal de instancia solo había estimado probada su presencia en el lugar de los hechos, sin relación directa con los incidentes que se describen en el juicio histórico. Sin embargo, considera autores del delito previsto en el art. 498 CP a los acusados que realizaron una conducta más activa. En concreto, a José María Vázquez Moreno, Francisco José López Cobos [</w:t>
      </w:r>
      <w:r w:rsidRPr="005728DD">
        <w:rPr>
          <w:i/>
        </w:rPr>
        <w:t>sic</w:t>
      </w:r>
      <w:r>
        <w:t>, debe decir Cobos García], Ángela Bergillos Alguacil, Jordi Raymond Parra, Ciro Morales Rodríguez, Olga Álvarez Juan, Rubén Molina Marín y Carlos Munter Domec.</w:t>
      </w:r>
    </w:p>
    <w:p w:rsidR="005728DD" w:rsidRDefault="005728DD" w:rsidP="005728DD">
      <w:pPr>
        <w:pStyle w:val="TextoNormal"/>
      </w:pPr>
    </w:p>
    <w:p w:rsidR="005728DD" w:rsidRDefault="005728DD" w:rsidP="005728DD">
      <w:pPr>
        <w:pStyle w:val="TextoNormal"/>
      </w:pPr>
      <w:r>
        <w:t xml:space="preserve">(iii) Para ello, en el fundamento jurídico 5 G) el Tribunal Supremo afirma que el contexto en el que esos altercados se produjeron revela que la finalidad de la manifestación era impedir el normal desarrollo parlamentario y no expresar el desacuerdo con las políticas presupuestarias restrictivas y, continúa, que ese contexto y finalidad determina la significación </w:t>
      </w:r>
      <w:r>
        <w:lastRenderedPageBreak/>
        <w:t>penal de las actuaciones de los finalmente condenados, que serían, en expresión utilizada en la sentencia, concreción del fin colectivo perseguido por los manifestantes, aportaciones particulares al lema de la convocatoria. Y así, señala:</w:t>
      </w:r>
    </w:p>
    <w:p w:rsidR="005728DD" w:rsidRDefault="005728DD" w:rsidP="005728DD">
      <w:pPr>
        <w:pStyle w:val="TextoNormal"/>
      </w:pPr>
    </w:p>
    <w:p w:rsidR="005728DD" w:rsidRDefault="005728DD" w:rsidP="005728DD">
      <w:pPr>
        <w:pStyle w:val="TextoNormal"/>
      </w:pPr>
      <w:r>
        <w:t>“La concentración tenía, pues, un objetivo bien claro. Así lo proclamaba el lema de su convocatoria: ‘aturem el Parlament, no deixarem que aprovin retalladles (paremos el Parlament, no permitiremos que aprueben recortes)’.</w:t>
      </w:r>
    </w:p>
    <w:p w:rsidR="005728DD" w:rsidRDefault="005728DD" w:rsidP="005728DD">
      <w:pPr>
        <w:pStyle w:val="TextoNormal"/>
      </w:pPr>
    </w:p>
    <w:p w:rsidR="005728DD" w:rsidRDefault="005728DD" w:rsidP="005728DD">
      <w:pPr>
        <w:pStyle w:val="TextoNormal"/>
      </w:pPr>
      <w:r>
        <w:t>Como expresa su significado gramatical, ‘parar’ es ‘detener’, ‘impedir’ el normal desarrollo de la función parlamentaria. Y hacerlo además con ocasión del debate previsto para reformas presupuestarias que, a juicio de los acusados, iban a implicar un recorte de los derechos sociales y los servicios públicos. No se trataba, por tanto, de expresar el desacuerdo con las políticas presupuestarias restrictivas mediante una concentración en las proximidades del Parlament. Tampoco tenía aquella manifestación como objetivo servir de vehículo para proclamar la indignación colectiva frente a esas políticas. […] Su finalidad no era otra —así lo describe el hecho probado— que provocar que el órgano de representación política del pueblo catalán se viera incapacitado para el debate y la acción política mediante la conformación de las mayorías que siguen al ejercicio del derecho al voto. […] Lo que perseguían los allí concentrados era atacar las raíces mismas del sistema democrático. […]. Despojar al órgano que expresa la voluntad popular de toda posibilidad de creación normativa (‘no deixarem que aprovin / no permitiremos que aprueben’).</w:t>
      </w:r>
    </w:p>
    <w:p w:rsidR="005728DD" w:rsidRDefault="005728DD" w:rsidP="005728DD">
      <w:pPr>
        <w:pStyle w:val="TextoNormal"/>
      </w:pPr>
    </w:p>
    <w:p w:rsidR="005728DD" w:rsidRDefault="005728DD" w:rsidP="005728DD">
      <w:pPr>
        <w:pStyle w:val="TextoNormal"/>
      </w:pPr>
      <w:r>
        <w:t>Y esta finalidad no queda oscurecida, desde luego, por el hecho de que en una rueda de prensa celebrada días antes ‘dos portavoces de los movimientos sociales (declararan) que no pretendían impedir el funcionamiento del Parlament sino detener el ataque contra los derechos sociales y los servicios públicos que significaban las medidas presupuestarias que se iban a aprobar’. Ninguna interferencia provoca esa proclamación fáctica para el juicio de subsunción. De una parte, porque esa afirmación acerca de la finalidad que animaba la convocatoria se pone en boca de dos portavoces no identificados, de cuya participación en los hechos nada dice el juicio histórico. De otra parte, porque encierra una contradicción insalvable afirmar que no se pretende impedir el funcionamiento del Parlament y añadir inmediatamente después que lo que verdaderamente se persigue es ‘detener el ataque contra los derechos sociales y los servicios públicos [...] que se iban a aprobar’. Y es que mal se puede evitar la aprobación de unas medidas legislativas sin impedir u obstaculizar el funcionamiento del órgano parlamentario en el que aquellas van a ser aprobadas.</w:t>
      </w:r>
    </w:p>
    <w:p w:rsidR="005728DD" w:rsidRDefault="005728DD" w:rsidP="005728DD">
      <w:pPr>
        <w:pStyle w:val="TextoNormal"/>
      </w:pPr>
    </w:p>
    <w:p w:rsidR="005728DD" w:rsidRDefault="005728DD" w:rsidP="005728DD">
      <w:pPr>
        <w:pStyle w:val="TextoNormal"/>
      </w:pPr>
      <w:r>
        <w:t>Sobre el fin que perseguían los acusados, es también claro el relato de hechos probados cuando explica que ‘a primera hora de la mañana, la policía disolvió por la fuerza, en varias ocasiones, a los manifestantes para abrir la puerta 7, situada frente al número 37 de la calle Pujades, única que se había decidido dejar franca para que accedieran los parlamentarios’. Fue necesario, en consecuencia, el empleo de la compulsión personal por parte de los agentes para alejar a los manifestantes y dejar expedita una vía de tránsito que permitiera el acceso de los parlamentarios al edificio que constituye la sede del órgano legislativo. […]</w:t>
      </w:r>
    </w:p>
    <w:p w:rsidR="005728DD" w:rsidRDefault="005728DD" w:rsidP="005728DD">
      <w:pPr>
        <w:pStyle w:val="TextoNormal"/>
      </w:pPr>
    </w:p>
    <w:p w:rsidR="005728DD" w:rsidRDefault="005728DD" w:rsidP="005728DD">
      <w:pPr>
        <w:pStyle w:val="TextoNormal"/>
      </w:pPr>
      <w:r>
        <w:t xml:space="preserve">El ataque al bien jurídico protegido por el art. 498 CP no puede verse minimizado por la comprensión que algunos de los diputados llegaron a mostrar, durante su declaración como testigos, a la acción desplegada por los acusados. Estamos en presencia de un bien jurídico que, al menos en su dimensión de derecho de los ciudadanos a la participación política que, </w:t>
      </w:r>
      <w:r>
        <w:lastRenderedPageBreak/>
        <w:t>como tal, es indisponible por quien no es titular del mismo. Tampoco afecta a la consumación del hecho delictivo, tal y como hemos delimitado el alcance típico del art. 498, el dato de que la práctica totalidad de los diputados no padeciera en su integridad física o porque los daños a la propiedad causados fueran de escasa relevancia. Y, por supuesto, el juicio de tipicidad no se ve alterado por el mayor o menor acierto de los agentes de la autoridad en el momento de fijar los perímetros de seguridad que podría haber aconsejado la aglomeración de ciudadanos en las inmediaciones del Parlament.</w:t>
      </w:r>
    </w:p>
    <w:p w:rsidR="005728DD" w:rsidRDefault="005728DD" w:rsidP="005728DD">
      <w:pPr>
        <w:pStyle w:val="TextoNormal"/>
      </w:pPr>
    </w:p>
    <w:p w:rsidR="005728DD" w:rsidRDefault="005728DD" w:rsidP="005728DD">
      <w:pPr>
        <w:pStyle w:val="TextoNormal"/>
      </w:pPr>
      <w:r>
        <w:t>Son muchos los fragmentos del juicio histórico en los que la lesión del bien jurídico —el normal funcionamiento del órgano parlamentario— se dibuja con absoluta nitidez. Así, en el apartado 3° se apunta el temprano inicio de la acción obstaculizadora por parte de los manifestantes, que generó problemas para algunos de los representantes […].</w:t>
      </w:r>
    </w:p>
    <w:p w:rsidR="005728DD" w:rsidRDefault="005728DD" w:rsidP="005728DD">
      <w:pPr>
        <w:pStyle w:val="TextoNormal"/>
      </w:pPr>
    </w:p>
    <w:p w:rsidR="005728DD" w:rsidRDefault="005728DD" w:rsidP="005728DD">
      <w:pPr>
        <w:pStyle w:val="TextoNormal"/>
      </w:pPr>
      <w:r>
        <w:t>Especialmente descriptivo es el pasaje en el que se narra el intento frustrado del president de la Generalitat y de otros diputados de acceder por la puerta que había sido habilitada por los agentes. […] [E]l episodio descrito es buena muestra del clima coactivo creado para llevar a buen fin el lema de la convocatoria que, como venimos insistiendo, incluía una llamada a parar el Parlament e impedir la aprobación de medidas presupuestarias de carácter restrictivo. […]</w:t>
      </w:r>
    </w:p>
    <w:p w:rsidR="005728DD" w:rsidRDefault="005728DD" w:rsidP="005728DD">
      <w:pPr>
        <w:pStyle w:val="TextoNormal"/>
      </w:pPr>
    </w:p>
    <w:p w:rsidR="005728DD" w:rsidRDefault="005728DD" w:rsidP="005728DD">
      <w:pPr>
        <w:pStyle w:val="TextoNormal"/>
      </w:pPr>
      <w:r>
        <w:t>Es, por tanto, en ese clima coactivo, en esa atmósfera intimidatoria descrita en el hecho probado, en el que se desarrollan varios intentos frustrados por acceder en condiciones de normalidad a la sede parlamentaria, entre ellos el del president de la Generalitat y varios diputados. Y es en ese contexto en el que las acciones protagonizadas por algunos de los acusados adquieren significación penal”.</w:t>
      </w:r>
    </w:p>
    <w:p w:rsidR="005728DD" w:rsidRDefault="005728DD" w:rsidP="005728DD">
      <w:pPr>
        <w:pStyle w:val="TextoNormal"/>
      </w:pPr>
    </w:p>
    <w:p w:rsidR="005728DD" w:rsidRDefault="005728DD" w:rsidP="005728DD">
      <w:pPr>
        <w:pStyle w:val="TextoNormal"/>
      </w:pPr>
      <w:r>
        <w:t>(iv) Singularmente, respecto a la participación de cada uno de los demandantes de amparo, la sentencia de casación razona como sigue:</w:t>
      </w:r>
    </w:p>
    <w:p w:rsidR="005728DD" w:rsidRDefault="005728DD" w:rsidP="005728DD">
      <w:pPr>
        <w:pStyle w:val="TextoNormal"/>
      </w:pPr>
    </w:p>
    <w:p w:rsidR="005728DD" w:rsidRDefault="005728DD" w:rsidP="005728DD">
      <w:pPr>
        <w:pStyle w:val="TextoNormal"/>
      </w:pPr>
      <w:r>
        <w:t>a) Afirma el Tribunal Supremo que el escenario intimidatorio y coactivo en el que el acusado Francisco José Cobos García desplegó la acción típica está descrito con claridad en el apartado 7 del juicio fáctico. Frente a la consideración de la Audiencia Nacional de que la conducta es atípica, la Sala estima que, en ese entorno tumultuario “interponerse en el camino de dos diputados que solo pretendían acceder al órgano en el que habían de desplegar su función representativa, y hacerlo con los brazos en cruz, supone ejecutar un acto intimidatorio, que no es otra cosa que la materialización de las consignas difundidas por los convocantes de la manifestación. Francisco José hace realidad su propósito de paralizar el Parlament e impedir la aprobación de las medidas de recorte. Y lo hace como puede, aprovechando el escenario que le brinda la actuación concertada de cien personas que se han propuesto entorpecer las tareas legislativas. Solo así puede encontrar sentido el contumaz seguimiento que, respecto de uno de los diputados, protagonizó el acusado mientras gritaba las consignas de la manifestación”.</w:t>
      </w:r>
    </w:p>
    <w:p w:rsidR="005728DD" w:rsidRDefault="005728DD" w:rsidP="005728DD">
      <w:pPr>
        <w:pStyle w:val="TextoNormal"/>
      </w:pPr>
    </w:p>
    <w:p w:rsidR="005728DD" w:rsidRDefault="005728DD" w:rsidP="005728DD">
      <w:pPr>
        <w:pStyle w:val="TextoNormal"/>
      </w:pPr>
      <w:r>
        <w:t xml:space="preserve">b) A partir de lo consignado en el mismo apartado 7, la Sala indica que, “en esa situación de acorralamiento que están padeciendo los dos diputados, en el momento en que están sufriendo el hostigamiento de unas cien personas, algunas de las cuales —no identificadas— les escupen, increpan y derraman sobre sus ropas líquidos”, no puede ver un simple alarde gestual en la conducta de la acusada Ángela Bergillos Alguacil —que les siguió con los </w:t>
      </w:r>
      <w:r>
        <w:lastRenderedPageBreak/>
        <w:t>brazos en alto, al tiempo que se gritan las consignas de la manifestación—. Y afirma que “[l]a acusada sabe, porque forma parte del grupo de los cien manifestantes a los que se refiere el hecho probado, que está acosando a un representante ciudadano democráticamente elegido para desempeñar sus tareas en el órgano legislativo. Conoce que mientras el diputado está intentando acceder por la única vía que ha sido habilitada, ella le persigue y corea la consigna que da sentido a la acción ejecutada […] ejecuta su particular aportación al acto colectivo de obstaculización de las tareas parlamentarias”.</w:t>
      </w:r>
    </w:p>
    <w:p w:rsidR="005728DD" w:rsidRDefault="005728DD" w:rsidP="005728DD">
      <w:pPr>
        <w:pStyle w:val="TextoNormal"/>
      </w:pPr>
    </w:p>
    <w:p w:rsidR="005728DD" w:rsidRDefault="005728DD" w:rsidP="005728DD">
      <w:pPr>
        <w:pStyle w:val="TextoNormal"/>
      </w:pPr>
      <w:r>
        <w:t>c) El apartado 8 del relato de hechos probados también habla por sí solo, a juicio de la Sala de casación, sobre la eficacia de la acción intimidatoria desplegada por el acusado Jordi Raymond Parra y la finalidad de entorpecimiento de las tareas legislativas. El acusado “sabe que está acosando a dos diputados, en unión de otras personas que no han sido identificadas, y pide expresamente que se les impida el paso. No lo hacía con cualquier finalidad ajena al lema de la convocatoria, sino ‘para que no votaran’. Para rubricar la motivación de sus actos, exhibe una pancarta. […] El juicio de subsunción se manifiesta con absoluta nitidez. El acusado se vale de la atmósfera de coacción ejercida por otras cien personas, cuya identidad no ha quedado acreditada, y pide a otros manifestantes que obstaculicen el paso de los diputados […] para que, por su obligada ausencia, no puedan votar”.</w:t>
      </w:r>
    </w:p>
    <w:p w:rsidR="005728DD" w:rsidRDefault="005728DD" w:rsidP="005728DD">
      <w:pPr>
        <w:pStyle w:val="TextoNormal"/>
      </w:pPr>
    </w:p>
    <w:p w:rsidR="005728DD" w:rsidRDefault="005728DD" w:rsidP="005728DD">
      <w:pPr>
        <w:pStyle w:val="TextoNormal"/>
      </w:pPr>
      <w:r>
        <w:t xml:space="preserve">d) El Tribunal Supremo recuerda que, conforme al último de los apartados del </w:t>
      </w:r>
      <w:r w:rsidRPr="005728DD">
        <w:rPr>
          <w:i/>
        </w:rPr>
        <w:t>factum</w:t>
      </w:r>
      <w:r>
        <w:t>, en el momento en que un diputado se encamina hacia el Parlament por la única vía practicable, se topa con un grupo de manifestantes, entre los que están los dos recurrentes —Rubén Molina Marín y Carlos Munter Domec— junto a otra acusada también condenada, quienes les expresan su desacuerdo con las políticas de austeridad y le anuncian “que no les representaba”. La superación del obstáculo representado por los manifestantes solo es posible como consecuencia de la actuación policial que escolta al diputado, no es consecuencia de la decisión de los manifestantes, una vez agotado su discurso de deslegitimación, por más que no conste que fuera agredido o empujado. Concluye que los acusados son “manifestantes concertados con un lema que filtraba todos sus actos y que llamaba a paralizar las actividades parlamentarias encaminadas a la aprobación de determinadas medidas presupuestarias e impidieron de forma coactiva al diputado el libre tránsito hacia el órgano depositario de la representación del pueblo catalán”.</w:t>
      </w:r>
    </w:p>
    <w:p w:rsidR="005728DD" w:rsidRDefault="005728DD" w:rsidP="005728DD">
      <w:pPr>
        <w:pStyle w:val="TextoNormal"/>
      </w:pPr>
    </w:p>
    <w:p w:rsidR="005728DD" w:rsidRDefault="005728DD" w:rsidP="005728DD">
      <w:pPr>
        <w:pStyle w:val="TextoNormal"/>
      </w:pPr>
      <w:r>
        <w:t>(v) La sentencia cuenta con el voto particular discrepante de uno de los magistrados que integran la Sala de lo Penal del Tribunal Supremo, que defiende el mantenimiento de la absolución por no considerar típicas las acciones descritas en los hechos probados a la luz del art. 498 CP, dado que no alcanzaron el estándar de gravedad que el delito requiere, pues no tienen en sí el marchamo de violencia o intimidación que demanda el tipo penal, ni puede atribuírseles por el hecho de que existieran grupos de manifestantes violentos no identificados, cuando los hechos probados denotan la falta de un propósito de forzar, violentar, intimidar o amenazar gravemente.</w:t>
      </w:r>
    </w:p>
    <w:p w:rsidR="005728DD" w:rsidRDefault="005728DD" w:rsidP="005728DD">
      <w:pPr>
        <w:pStyle w:val="TextoNormal"/>
      </w:pPr>
    </w:p>
    <w:p w:rsidR="005728DD" w:rsidRDefault="005728DD" w:rsidP="005728DD">
      <w:pPr>
        <w:pStyle w:val="TextoNormal"/>
      </w:pPr>
      <w:r>
        <w:t xml:space="preserve">D) Contra la sentencia del Tribunal Supremo se promovió incidente extraordinario de nulidad de actuaciones por la representación procesal de, entre otros, doña Angela Bergillos Alguacil, don Carlos Munter Domec, don Rubén Molina Marín y don Francisco José Cobos García. La representación procesal de don Jordi Raymond Parra planteó también incidente de nulidad de actuaciones. Ambos escritos coinciden en denunciar (i) la vulneración de los derechos fundamentales a un proceso debido (art. 24.2 CE), (ii) a la libertad de expresión, </w:t>
      </w:r>
      <w:r>
        <w:lastRenderedPageBreak/>
        <w:t>de reunión y de manifestación [arts. 20.1 a) y 21 CE] y (iii) de los principios de legalidad penal y de proporcionalidad (arts. 25.1 y 24.1 CE).</w:t>
      </w:r>
    </w:p>
    <w:p w:rsidR="005728DD" w:rsidRDefault="005728DD" w:rsidP="005728DD">
      <w:pPr>
        <w:pStyle w:val="TextoNormal"/>
      </w:pPr>
    </w:p>
    <w:p w:rsidR="005728DD" w:rsidRDefault="005728DD" w:rsidP="005728DD">
      <w:pPr>
        <w:pStyle w:val="TextoNormal"/>
      </w:pPr>
      <w:r>
        <w:t>La Sala de lo Penal del Tribunal Supremo desestimó los incidentes de nulidad de actuaciones por auto de 19 de mayo de 2015. En él aduce que no se lesiona el derecho a un proceso debido en tanto se respetan en todo momento los hechos probados y se corrige un error de subsunción. Destaca que la sentencia revocada no declaró probado que la concentración no pretendiera impedir el funcionamiento del Parlament, sino que así lo manifestaron dos portavoces de los movimientos sociales, y la Sala se limitó a partir del dato objetivo del fin de la manifestación conforme a su lema y a predicar su relevancia a los efectos de subsunción en el art. 498 CP.</w:t>
      </w:r>
    </w:p>
    <w:p w:rsidR="005728DD" w:rsidRDefault="005728DD" w:rsidP="005728DD">
      <w:pPr>
        <w:pStyle w:val="TextoNormal"/>
      </w:pPr>
    </w:p>
    <w:p w:rsidR="005728DD" w:rsidRDefault="005728DD" w:rsidP="005728DD">
      <w:pPr>
        <w:pStyle w:val="TextoNormal"/>
      </w:pPr>
      <w:r>
        <w:t xml:space="preserve">Rechaza, asimismo, la vulneración de los derechos de libertad de expresión y reunión defendiendo la corrección de su ponderación, atenta al valor del art. 23 CE, que en absoluto criminaliza la protesta ciudadana en la vía pública. Tampoco acoge la queja sobre la interpretación y aplicación del tipo penal, pues lleva a cabo una aplicación estricta del art. 498 CP, dado el </w:t>
      </w:r>
      <w:r w:rsidRPr="005728DD">
        <w:rPr>
          <w:i/>
        </w:rPr>
        <w:t>factum</w:t>
      </w:r>
      <w:r>
        <w:t xml:space="preserve"> de la resolución recurrida. Por lo demás, añade, los términos del precepto son lo suficientemente claros y están lo suficientemente definidos como para que cualquier persona pueda conocer qué actos le hacen penalmente responsables conforme a él.</w:t>
      </w:r>
    </w:p>
    <w:p w:rsidR="005728DD" w:rsidRDefault="005728DD" w:rsidP="005728DD">
      <w:pPr>
        <w:pStyle w:val="TextoNormal"/>
      </w:pPr>
    </w:p>
    <w:p w:rsidR="005728DD" w:rsidRDefault="005728DD" w:rsidP="005728DD">
      <w:pPr>
        <w:pStyle w:val="TextoNormal"/>
      </w:pPr>
      <w:r w:rsidRPr="005728DD">
        <w:rPr>
          <w:rStyle w:val="NumeroAFNegritaCaracter"/>
        </w:rPr>
        <w:t>4</w:t>
      </w:r>
      <w:r>
        <w:t>. Los recurrentes denuncian en sus demandas que se han vulnerado sus derechos fundamentales, al proceso debido en la segunda instancia en relación con el derecho de defensa del art. 24.2 CE, a la libertad de expresión y de reunión y manifestación de los arts. 20.1 a) y 21 CE y a la legalidad penal y proporcionalidad del art. 25.1, en relación con el art. 24.1 CE. En consecuencia, solicitan de este Tribunal Constitucional que anule la sentencia condenatoria acordada al resolver el recurso de casación. Lo hacen con las siguientes razones, esencialmente coincidentes:</w:t>
      </w:r>
    </w:p>
    <w:p w:rsidR="005728DD" w:rsidRDefault="005728DD" w:rsidP="005728DD">
      <w:pPr>
        <w:pStyle w:val="TextoNormal"/>
      </w:pPr>
    </w:p>
    <w:p w:rsidR="005728DD" w:rsidRDefault="005728DD" w:rsidP="005728DD">
      <w:pPr>
        <w:pStyle w:val="TextoNormal"/>
      </w:pPr>
      <w:r>
        <w:t xml:space="preserve">a) Vulneración del derecho a un proceso debido y con todas las garantías y a la presunción de inocencia (art. 24.2 CE) en relación con el derecho a “un procedimiento debido y equitativo” [art. 6 del Convenio europeo para la protección de los derechos humanos y de las libertades fundamentales (CEDH)]. En los dos recursos se alega que el Tribunal Supremo extiende indebidamente su ámbito de cognición a la revisión de los hechos, y no solo del derecho aplicado, respecto a la concurrencia del elemento subjetivo del delito contra las instituciones del Estado imputado; aspecto que forma parte de la cuestión de hecho, por más que sea fruto de un juicio de inferencia. Los recurrentes denuncian que no es una cuestión de </w:t>
      </w:r>
      <w:r w:rsidRPr="005728DD">
        <w:rPr>
          <w:i/>
        </w:rPr>
        <w:t>error iuris</w:t>
      </w:r>
      <w:r>
        <w:t xml:space="preserve">, como insiste el Tribunal Supremo, sino que la Sala de casación, al concluir que la finalidad de todos los participantes en la manifestación era obstaculizar y frenar la actividad parlamentaria en esa fecha, ha modificado de forma no declarada el relato de hechos probados, en el que se describe un contexto general contrario a esa finalidad. Para ello, añaden, se aparta de lo razonado por el tribunal de instancia y realiza una valoración alternativa de la prueba, con revisión de prueba personal, cual es el contenido y declaraciones testificales de los dos portavoces de la convocatoria. Esa forma de proceder, concluyen, vulnera las garantías fijadas por el Tribunal Europeo de Derechos Humanos y por el Tribunal Constitucional en el marco del derecho a un proceso debido (jurisprudencia de ambos tribunales ampliamente reflejada en el recurso de amparo núm. 4037-2015), pues no ha existido el debido debate público que, con participación de los acusados, les permitiera rebatir las cuestiones de hecho y de derecho que se estaban ventilando en relación con su </w:t>
      </w:r>
      <w:r>
        <w:lastRenderedPageBreak/>
        <w:t>culpabilidad e inocencia, respetando de esta forma los principios de inmediación y contradicción y el derecho de defensa.</w:t>
      </w:r>
    </w:p>
    <w:p w:rsidR="005728DD" w:rsidRDefault="005728DD" w:rsidP="005728DD">
      <w:pPr>
        <w:pStyle w:val="TextoNormal"/>
      </w:pPr>
    </w:p>
    <w:p w:rsidR="005728DD" w:rsidRDefault="005728DD" w:rsidP="005728DD">
      <w:pPr>
        <w:pStyle w:val="TextoNormal"/>
      </w:pPr>
      <w:r>
        <w:t>b) Vulneración del derecho a la libertad de expresión y de reunión [arts. 20.1 a) y 21 CE y arts. 10 y 11 CEDH]. En ambas demandas de amparo se expresa discrepancia con la sentencia de casación en cuanto consideran que identifica erróneamente el contenido de los derechos de participación política (art. 23 CE) y libertad de expresión, reunión y manifestación (arts. 20 y 21 CE) y su mutua interrelación. Cuestionan, específicamente, que se identifique el derecho de participación política con el derecho de los parlamentarios a transitar libremente por las calles adyacentes al Parlamento, en las que se desarrollaba una concentración pública y manifestación, obviando así que dichas formas de libre expresión son también formas de participación política. En tal medida, asumiendo los argumentos de la sentencia absolutoria de instancia, defienden que la conducta que les ha sido imputada fue ejercicio legítimo de los derechos fundamentales reseñados y que tal consideración debió dar lugar a apreciar la concurrencia de una eximente que justificaba su absolución. Los demandantes destacan también que la acción de cortar el paso a alguien no es, en el contexto de una protesta política, un acto violento, sino parte del contenido normal del derecho de manifestación y, por ello, relacionan las molestias que dicho ejercicio puede producir con el reconocimiento jurisprudencial de las opiniones hirientes o desabridas que expresan protesta y disidencia (STC 235/2007, de 7 de noviembre).</w:t>
      </w:r>
    </w:p>
    <w:p w:rsidR="005728DD" w:rsidRDefault="005728DD" w:rsidP="005728DD">
      <w:pPr>
        <w:pStyle w:val="TextoNormal"/>
      </w:pPr>
    </w:p>
    <w:p w:rsidR="005728DD" w:rsidRDefault="005728DD" w:rsidP="005728DD">
      <w:pPr>
        <w:pStyle w:val="TextoNormal"/>
      </w:pPr>
      <w:r>
        <w:t xml:space="preserve">Al justificar su pretensión de amparo aducen jurisprudencia del Tribunal Europeo de Derechos Humanos que reconoce el carácter nuclear que la libertad de expresión desempeña en las sociedades democráticas. Y hacen expresa mención a la metodología que emplea cuando analiza pretensiones o quejas sobre supuestas limitaciones indebidas de derechos fundamentales, o conflictos entre ellos, que consiste en realizar un juicio externo sobre la proporcionalidad de la injerencia; juicio en el que ha de valorarse la necesidad de la limitación en una sociedad democrática, lo que remite a analizar si las restricciones impuestas responden a una necesidad social imperiosa (SSTEDH de 8 de julio de 1999, </w:t>
      </w:r>
      <w:r w:rsidRPr="005728DD">
        <w:rPr>
          <w:i/>
        </w:rPr>
        <w:t>Sürek c. Turquía</w:t>
      </w:r>
      <w:r>
        <w:t xml:space="preserve">; y de 10 de julio de 2008, </w:t>
      </w:r>
      <w:r w:rsidRPr="005728DD">
        <w:rPr>
          <w:i/>
        </w:rPr>
        <w:t>Soulas y otros c. Francia</w:t>
      </w:r>
      <w:r>
        <w:t>).</w:t>
      </w:r>
    </w:p>
    <w:p w:rsidR="005728DD" w:rsidRDefault="005728DD" w:rsidP="005728DD">
      <w:pPr>
        <w:pStyle w:val="TextoNormal"/>
      </w:pPr>
    </w:p>
    <w:p w:rsidR="005728DD" w:rsidRDefault="005728DD" w:rsidP="005728DD">
      <w:pPr>
        <w:pStyle w:val="TextoNormal"/>
      </w:pPr>
      <w:r>
        <w:t>Por último, con referencia expresa a la jurisprudencia constitucional, destacan que, en sus pronunciamientos, el Tribunal Constitucional ha reconocido a la libertad de expresión, y con ella a los derechos de reunión y manifestación, un lugar preeminente en el sistema de derechos fundamentales, lo que impone una rigurosa justificación a cualquier limitación de su contenido que se pretenda. Y así, se refieren a la STC 192/2003, que define el espacio urbano como un ámbito de participación, y a la STC 236/2007 que censuró la restricción del derecho de reunión a determinados ciudadanos extranjeros en España, reconociendo que es “en la práctica, uno de los pocos medios de los que disponen para poder expresar públicamente sus ideas y reivindicaciones”. Finalizan sus alegaciones poniendo de relieve que, en el caso presente, los destinatarios de la protesta eran cargos públicos representativos que deben asumir un mayor nivel de crítica e interpelación por parte de los ciudadanos. A lo que, según entienden, se ha de sumar que no se produjeron hechos que desbordaran el ejercicio de los derechos fundamentales en los que sustentan su pretensión de amparo.</w:t>
      </w:r>
    </w:p>
    <w:p w:rsidR="005728DD" w:rsidRDefault="005728DD" w:rsidP="005728DD">
      <w:pPr>
        <w:pStyle w:val="TextoNormal"/>
      </w:pPr>
    </w:p>
    <w:p w:rsidR="005728DD" w:rsidRDefault="005728DD" w:rsidP="005728DD">
      <w:pPr>
        <w:pStyle w:val="TextoNormal"/>
      </w:pPr>
      <w:r>
        <w:t>c) Vulneración del derecho a la legalidad penal y a la proporcionalidad (art. 25.1 CE en relación con el art. 24.1 CE). Los recursos cuestionan la subsunción de las conductas probadas en el delito tipificado en el art. 498 CP, aludiendo a su escasa entidad.</w:t>
      </w:r>
    </w:p>
    <w:p w:rsidR="005728DD" w:rsidRDefault="005728DD" w:rsidP="005728DD">
      <w:pPr>
        <w:pStyle w:val="TextoNormal"/>
      </w:pPr>
    </w:p>
    <w:p w:rsidR="005728DD" w:rsidRDefault="005728DD" w:rsidP="005728DD">
      <w:pPr>
        <w:pStyle w:val="TextoNormal"/>
      </w:pPr>
      <w:r>
        <w:t xml:space="preserve">En el recurso de amparo núm. 4037-2015 se denuncia la vulneración de la garantía material de taxatividad o mandato de certeza, que pesa sobre el legislador, pero también sobre el juez, para garantizar la predeterminación normativa y la previsibilidad de las conductas penalmente relevantes. A su juicio, siguiendo los razonamientos del voto particular a la sentencia del Tribunal Supremo, el órgano judicial habría incurrido en una aplicación analógica o extensiva </w:t>
      </w:r>
      <w:r w:rsidRPr="005728DD">
        <w:rPr>
          <w:i/>
        </w:rPr>
        <w:t>in malam partem</w:t>
      </w:r>
      <w:r>
        <w:t xml:space="preserve"> del art. 498 CP, al incluir en él las conductas declaradas probadas, dado que no son expresivas de fuerza, violencia, intimidación o amenaza grave, que son los verbos que describen la acción típica. El dato contextual de que cientos de manifestantes participaran en la protesta no permite —al margen de la voluntad de sus autores— transformarlas hasta alterar de manera esencial su naturaleza, dotándolas de un marchamo violento o intimidante que no tenían en sí mismas. Menos aún, remarcan, concurriría la gravedad que exige el tipo conforme a una interpretación atenta a la evolución del precepto desde su redacción original, que sí preveía como típicas, aunque de forma atenuada, las acciones de carácter no grave.</w:t>
      </w:r>
    </w:p>
    <w:p w:rsidR="005728DD" w:rsidRDefault="005728DD" w:rsidP="005728DD">
      <w:pPr>
        <w:pStyle w:val="TextoNormal"/>
      </w:pPr>
    </w:p>
    <w:p w:rsidR="005728DD" w:rsidRDefault="005728DD" w:rsidP="005728DD">
      <w:pPr>
        <w:pStyle w:val="TextoNormal"/>
      </w:pPr>
      <w:r>
        <w:t>En el recurso de amparo núm. 4098-2015, se insiste asimismo en que el carácter leve de la conducta imputada al demandante no puede ver alterada su naturaleza por el hecho de que concurriera con la participación en la protesta de centenares de manifestantes que realizaron conductas similares o de análoga significación. De otro lado, se destaca que nunca había sido aplicado el art. 498 CP, de forma que no existían criterios jurisprudenciales previos sobre su contenido genérico. Tal vacío aplicativo, según se alega, permite apreciar que los propios manifestantes actuaban convencidos de la licitud de su conducta de protesta, dado que existían precedentes que no habían sido valorados como punibles —la manifestación “Rodea el Congreso” en Madrid—, se contaba con la legitimidad de las reivindicaciones del “movimiento 15-M” y su forma pacífica de expresarse, y sabían —se dice– que el lema era simbólico, que la concentración había sido permitida por la autoridad pública y, por tanto, con ella se estaba ejerciendo el derecho a la libertad de expresión y manifestación. Todo ello, concluye el recurrente, revela que conocía que la actuación no podía alterar el normal desarrollo de las funciones parlamentarias y que la protesta se enmarcaba en un plano simbólico de desaprobación de la función representativa que los parlamentarios venían ejerciendo. Para la resolución del caso citan, como precedentes aplicables, tanto la STC 110/2000, de 5 de mayo, que proscribe el efecto desaliento del ejercicio de los derechos fundamentales que se produce cuando se aplica la ley penal desproporcionadamente a conductas relacionadas con el ejercicio de derechos fundamentales; como la STC 66/1995, de 8 de mayo, sobre los requisitos del juicio de proporcionalidad preciso para valorar la conformidad a la Constitución de las decisiones limitativas de derechos fundamentales (en el mismo sentido, STC 104/2011, de 20 de junio).</w:t>
      </w:r>
    </w:p>
    <w:p w:rsidR="005728DD" w:rsidRDefault="005728DD" w:rsidP="005728DD">
      <w:pPr>
        <w:pStyle w:val="TextoNormal"/>
      </w:pPr>
    </w:p>
    <w:p w:rsidR="005728DD" w:rsidRDefault="005728DD" w:rsidP="005728DD">
      <w:pPr>
        <w:pStyle w:val="TextoNormal"/>
      </w:pPr>
      <w:r>
        <w:t xml:space="preserve">Ambas demandas cifran la especial trascendencia constitucional en la novedad de la delimitación de derechos fundamentales que plantea el caso analizado, relativa a los derechos a la libertad de manifestación y a la libertad de expresión y a la participación en los asuntos públicos, apuntando al papel del Derecho penal en estas situaciones. También se remarca la trascendencia general y social del marco jurídico que se defina para el derecho de reunión. En el recurso núm. 4037-2015 se apunta, además, que la demanda ofrece la posibilidad de ajustar la doctrina constitucional sobre las garantías procesales de la segunda instancia a la jurisprudencia del Tribunal Europeo de Derechos Humanos, que ha condenado de forma </w:t>
      </w:r>
      <w:r>
        <w:lastRenderedPageBreak/>
        <w:t>reiterada a España en supuestos de condena en segunda instancia con modificación del elemento subjetivo del delito, como sería el caso.</w:t>
      </w:r>
    </w:p>
    <w:p w:rsidR="005728DD" w:rsidRDefault="005728DD" w:rsidP="005728DD">
      <w:pPr>
        <w:pStyle w:val="TextoNormal"/>
      </w:pPr>
    </w:p>
    <w:p w:rsidR="005728DD" w:rsidRDefault="005728DD" w:rsidP="005728DD">
      <w:pPr>
        <w:pStyle w:val="TextoNormal"/>
      </w:pPr>
      <w:r>
        <w:t>En las demandas se solicita genéricamente, en consecuencia, la anulación de la sentencia condenatoria dictada por la Sala de lo Penal del Tribunal Supremo, lo que significa mantener la decisión absolutoria acordada en la instancia.</w:t>
      </w:r>
    </w:p>
    <w:p w:rsidR="005728DD" w:rsidRDefault="005728DD" w:rsidP="005728DD">
      <w:pPr>
        <w:pStyle w:val="TextoNormal"/>
      </w:pPr>
    </w:p>
    <w:p w:rsidR="005728DD" w:rsidRDefault="005728DD" w:rsidP="005728DD">
      <w:pPr>
        <w:pStyle w:val="TextoNormal"/>
      </w:pPr>
      <w:r w:rsidRPr="005728DD">
        <w:rPr>
          <w:rStyle w:val="NumeroAFNegritaCaracter"/>
        </w:rPr>
        <w:t>5</w:t>
      </w:r>
      <w:r>
        <w:t>. La Sala Primera de este Tribunal, mediante providencias de 28 de noviembre de 2016, acordó admitir a trámite las demandas de amparo tras apreciar que ofrecen especial trascendencia constitucional (art. 50.1 LOTC), porque los recursos plantean un problema o afectan a una faceta de un derecho fundamental sobre el que no hay doctrina del tribunal [STC 155/2009, FJ 2 a)].</w:t>
      </w:r>
    </w:p>
    <w:p w:rsidR="005728DD" w:rsidRDefault="005728DD" w:rsidP="005728DD">
      <w:pPr>
        <w:pStyle w:val="TextoNormal"/>
      </w:pPr>
    </w:p>
    <w:p w:rsidR="005728DD" w:rsidRDefault="005728DD" w:rsidP="005728DD">
      <w:pPr>
        <w:pStyle w:val="TextoNormal"/>
      </w:pPr>
      <w:r>
        <w:t>En aplicación de lo dispuesto en el art. 51 LOTC, también se acordó requerir atentamente de los órganos judiciales la remisión del testimonio de las actuaciones y el emplazamiento de quienes hubieran sido parte en el procedimiento, a excepción de la parte recurrente, para que pudiesen comparecer en el plazo de diez días en el presente proceso de amparo.</w:t>
      </w:r>
    </w:p>
    <w:p w:rsidR="005728DD" w:rsidRDefault="005728DD" w:rsidP="005728DD">
      <w:pPr>
        <w:pStyle w:val="TextoNormal"/>
      </w:pPr>
    </w:p>
    <w:p w:rsidR="005728DD" w:rsidRDefault="005728DD" w:rsidP="005728DD">
      <w:pPr>
        <w:pStyle w:val="TextoNormal"/>
      </w:pPr>
      <w:r w:rsidRPr="005728DD">
        <w:rPr>
          <w:rStyle w:val="NumeroAFNegritaCaracter"/>
        </w:rPr>
        <w:t>6</w:t>
      </w:r>
      <w:r>
        <w:t>. En la providencia de 28 de noviembre de 2016, que acordó admitir a trámite el recurso de amparo núm. 4037-2015, se acordó asimismo la formación de la pieza separada de suspensión. Por escrito registrado en este tribunal el día 7 de diciembre de 2016, la representación procesal de don Jordi Raymond Parra solicitó, tras la admisión a trámite de su recurso de amparo (núm. 4098-2015), la formación de la pieza separada de suspensión cautelar respecto a la pena privativa de libertad. Mediante AATC 2 y 3/2017, de 16 de enero, la Sala Primera de este tribunal acordó denegar la suspensión solicitada por todos los demandantes, por cuanto en el proceso judicial previo se había acordado ya la suspensión de la ejecución de la pena privativa de libertad impuesta, a la espera de la tramitación del indulto solicitado (auto de la Sala Primera de la Audiencia Nacional de 16 de junio de 2015), por lo que no concurría el presupuesto del que parte el art. 56.2 LOTC para otorgar la suspensión; esto es, que la ejecución de la pena impuesta en la resolución impugnada en amparo hubiere de ocasionar un perjuicio que le haría perder su finalidad.</w:t>
      </w:r>
    </w:p>
    <w:p w:rsidR="005728DD" w:rsidRDefault="005728DD" w:rsidP="005728DD">
      <w:pPr>
        <w:pStyle w:val="TextoNormal"/>
      </w:pPr>
    </w:p>
    <w:p w:rsidR="005728DD" w:rsidRDefault="005728DD" w:rsidP="005728DD">
      <w:pPr>
        <w:pStyle w:val="TextoNormal"/>
      </w:pPr>
      <w:r w:rsidRPr="005728DD">
        <w:rPr>
          <w:rStyle w:val="NumeroAFNegritaCaracter"/>
        </w:rPr>
        <w:t>7</w:t>
      </w:r>
      <w:r>
        <w:t>. El día 24 de febrero de 2017, mediante diligencia de ordenación, se acordó dar vista de las actuaciones en relación con el recurso de amparo núm. 4037-2015 y el recurso de amparo núm. 4098-2015 a la parte recurrente, al Ministerio Fiscal y a las partes personadas por plazo común de veinte días para presentar las alegaciones que a su derecho conviniera, de conformidad con el art. 52.1 LOTC. En las diligencias se indicó que, de conformidad con el art. 83 LOTC, podían alegar en los diez primeros días del plazo sobre la posible acumulación del recurso de amparo núm. 4098-2015 al recurso de amparo núm. 4037-2015.</w:t>
      </w:r>
    </w:p>
    <w:p w:rsidR="005728DD" w:rsidRDefault="005728DD" w:rsidP="005728DD">
      <w:pPr>
        <w:pStyle w:val="TextoNormal"/>
      </w:pPr>
    </w:p>
    <w:p w:rsidR="005728DD" w:rsidRDefault="005728DD" w:rsidP="005728DD">
      <w:pPr>
        <w:pStyle w:val="TextoNormal"/>
      </w:pPr>
      <w:r w:rsidRPr="005728DD">
        <w:rPr>
          <w:rStyle w:val="NumeroAFNegritaCaracter"/>
        </w:rPr>
        <w:t>8</w:t>
      </w:r>
      <w:r>
        <w:t>. Por ATC 82/2017, de 22 de mayo, de conformidad con lo alegado por los recurrentes y el Ministerio Fiscal, se acordó acumular el recurso de amparo núm. 4098-2015 al recurso de amparo núm. 4037-2015, por cuanto concurre la conexión que requiere el art. 83 LOTC, dado que, si bien han sido interpuestos por distintos demandantes que actúan bajo una diferente asistencia letrada, impugnan idénticas resoluciones judiciales con una motivación jurídica coincidente.</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9</w:t>
      </w:r>
      <w:r>
        <w:t>. Los recurrentes, señora Bergillos, señor Munter, Sr. Molina y señor Cobos, en escrito registrado el día 28 de marzo de 2017, se ratificaron en las alegaciones formuladas en su demanda de amparo y se adhirieron a las efectuadas por la parte demandante en el recurso de amparo núm. 4098-2015.</w:t>
      </w:r>
    </w:p>
    <w:p w:rsidR="005728DD" w:rsidRDefault="005728DD" w:rsidP="005728DD">
      <w:pPr>
        <w:pStyle w:val="TextoNormal"/>
      </w:pPr>
    </w:p>
    <w:p w:rsidR="005728DD" w:rsidRDefault="005728DD" w:rsidP="005728DD">
      <w:pPr>
        <w:pStyle w:val="TextoNormal"/>
      </w:pPr>
      <w:r>
        <w:t>El recurrente señor Raymond Parra, en escrito registrado el 28 de marzo de 2017, ratificó las alegaciones formuladas en su demanda de amparo, con el solo añadido de entender que la queja se ve reforzada por estar pendientes de ser resueltas por el Tribunal Europeo de Derechos Humanos dos demandas de otros condenados en la misma causa.</w:t>
      </w:r>
    </w:p>
    <w:p w:rsidR="005728DD" w:rsidRDefault="005728DD" w:rsidP="005728DD">
      <w:pPr>
        <w:pStyle w:val="TextoNormal"/>
      </w:pPr>
    </w:p>
    <w:p w:rsidR="005728DD" w:rsidRDefault="005728DD" w:rsidP="005728DD">
      <w:pPr>
        <w:pStyle w:val="TextoNormal"/>
      </w:pPr>
      <w:r w:rsidRPr="005728DD">
        <w:rPr>
          <w:rStyle w:val="NumeroAFNegritaCaracter"/>
        </w:rPr>
        <w:t>10</w:t>
      </w:r>
      <w:r>
        <w:t>. La fiscal ante el Tribunal Constitucional, en escritos registrados el día 28 de abril de 2017, interesó la estimación parcial de los recursos de amparo por vulneración del derecho a un proceso con todas las garantías, en relación con el derecho de defensa de los acusados (art. 24.2 CE) y por vulneración del derecho al principio de legalidad penal y de proporcionalidad de la pena (art. 25.1 CE), con desestimación de la alegada lesión de los derechos fundamentales de libertad de expresión, reunión y manifestación [arts. 20.1 a) y 21 CE]. Igualmente, solicitó la declaración de nulidad de las resoluciones judiciales impugnadas.</w:t>
      </w:r>
    </w:p>
    <w:p w:rsidR="005728DD" w:rsidRDefault="005728DD" w:rsidP="005728DD">
      <w:pPr>
        <w:pStyle w:val="TextoNormal"/>
      </w:pPr>
    </w:p>
    <w:p w:rsidR="005728DD" w:rsidRDefault="005728DD" w:rsidP="005728DD">
      <w:pPr>
        <w:pStyle w:val="TextoNormal"/>
      </w:pPr>
      <w:r>
        <w:t>a) Por lo que se refiere a la alegada lesión del derecho a un proceso con todas las garantías (art. 24.2 CE), advierte que la sentencia de instancia, junto a los concretos actos realizados por los recurrentes durante su participación en la manifestación, declaró probados, también, otros hechos a partir de los cuales estableció el elemento subjetivo de la conducta imputada; hechos que se refieren a la finalidad perseguida por la manifestación convocada y a las circunstancias concurrentes a su desarrollo, lo que, finalmente justificó su absolución al entender preponderante la finalidad de protesta. Esos elementos fácticos, sin embargo, son valorados por el Tribunal Supremo en sentido opuesto, lo que le lleva a afirmar la culpabilidad de los recurrentes, al apreciar que la finalidad de la manifestación, según evidencian los hechos, era alterar o impedir el normal funcionamiento del Parlament; finalidad esta que se atribuye también a los recurrentes, que participaron activamente en la manifestación de protesta.</w:t>
      </w:r>
    </w:p>
    <w:p w:rsidR="005728DD" w:rsidRDefault="005728DD" w:rsidP="005728DD">
      <w:pPr>
        <w:pStyle w:val="TextoNormal"/>
      </w:pPr>
    </w:p>
    <w:p w:rsidR="005728DD" w:rsidRDefault="005728DD" w:rsidP="005728DD">
      <w:pPr>
        <w:pStyle w:val="TextoNormal"/>
      </w:pPr>
      <w:r>
        <w:t>La fiscal razona que ese pronunciamiento de culpabilidad, asentado en una distinta valoración de elementos subjetivos, no ha cumplido debidamente con las garantías constitucionales que deben regir en la segunda instancia de acuerdo con la doctrina establecida por el Tribunal Constitucional, en cuya evolución se ha asentado como necesaria la garantía de audiencia del acusado para poder revocar un pronunciamiento absolutorio o para agravar una condena sobre la base de una nueva valoración del elemento subjetivo de culpabilidad de la conducta típica (SSTC 88/2013, de 11 de abril, FFJJ 8 y 9, y 172/2016, FFJJ 7 y 8). Concluye el Ministerio Fiscal sus alegaciones señalando que debe ser apreciada la lesión del derecho fundamental de los recurrentes al proceso debido, en relación con el derecho de defensa en la segunda instancia y, en orden al restablecimiento del derecho vulnerado, procede declarar la nulidad de las resoluciones judiciales impugnadas dictadas por el Tribunal Supremo.</w:t>
      </w:r>
    </w:p>
    <w:p w:rsidR="005728DD" w:rsidRDefault="005728DD" w:rsidP="005728DD">
      <w:pPr>
        <w:pStyle w:val="TextoNormal"/>
      </w:pPr>
    </w:p>
    <w:p w:rsidR="005728DD" w:rsidRDefault="005728DD" w:rsidP="005728DD">
      <w:pPr>
        <w:pStyle w:val="TextoNormal"/>
      </w:pPr>
      <w:r>
        <w:t xml:space="preserve">b) Subsidiariamente, para el caso de que la anterior pretensión no fuera estimada, en su análisis, el Ministerio Fiscal descarta la lesión del derecho a la libertad de expresión y de los derechos de reunión y manifestación [arts. 20.1 a) y 21.1 y 2 CE], que se alegan por los recurrentes, en tanto coincide con la apreciación del Tribunal Supremo, según la cual la </w:t>
      </w:r>
      <w:r>
        <w:lastRenderedPageBreak/>
        <w:t>sentencia de instancia ha equivocado las claves de constitucionalidad con las que ha realizado el juicio de ponderación de los derechos fundamentales concurrentes. En concreto, censura que, al justificar la decisión absolutoria, lejos de hacer una verdadera ponderación de pretensiones en conflicto, se haya otorgado a los derechos de reunión y manifestación una prevalencia abstracta y preferente sobre cualquier otro bien constitucionalmente relevante; prevalencia que se apoya en la consideración de que representan formas de democracia directa, pero que no realiza una confrontación con el valor que constitucionalmente debe otorgarse al derecho fundamental a la participación política de los ciudadanos a través de sus legítimos representantes, elegidos libremente en elecciones periódicas (art. 23.1 CE), que sea acorde con los principios constitucionales en los que se asienta nuestro sistema democrático.</w:t>
      </w:r>
    </w:p>
    <w:p w:rsidR="005728DD" w:rsidRDefault="005728DD" w:rsidP="005728DD">
      <w:pPr>
        <w:pStyle w:val="TextoNormal"/>
      </w:pPr>
    </w:p>
    <w:p w:rsidR="005728DD" w:rsidRDefault="005728DD" w:rsidP="005728DD">
      <w:pPr>
        <w:pStyle w:val="TextoNormal"/>
      </w:pPr>
      <w:r>
        <w:t xml:space="preserve">La fiscal subraya que los hechos declarados probados muestran que, en este caso, no estamos ante un supuesto de mera sospecha o conjetura de que el derecho de participación política a través de los representantes libremente elegidos pudiera haberse visto afectado por el ejercicio del derecho de reunión, lo que no permitiría sacrificar este derecho en aplicación del principio </w:t>
      </w:r>
      <w:r w:rsidRPr="005728DD">
        <w:rPr>
          <w:i/>
        </w:rPr>
        <w:t>favor libertatis</w:t>
      </w:r>
      <w:r>
        <w:t>, como apuntaron las SSTC 170/2008, 37/2009, 38/2009 y 96/2010 (manifestaciones en período electoral, con posible incidencia en la libre conformación de la voluntad popular en la elección de los representantes políticos). Por el contrario, han existido actos concretos protagonizados por los manifestantes que, como admitió la sentencia de instancia, supusieron un exceso y abuso del ejercicio del derecho de reunión y manifestación, y comprometieron indebidamente el derecho fundamental de participación política del art. 23 CE. Concluye que “ante esa concurrencia de derechos fundamentales, no es posible reconocer un amparo constitucional prioritario al ejercicio del derecho de reunión con sacrificio del derecho de participación política de los ciudadanos”.</w:t>
      </w:r>
    </w:p>
    <w:p w:rsidR="005728DD" w:rsidRDefault="005728DD" w:rsidP="005728DD">
      <w:pPr>
        <w:pStyle w:val="TextoNormal"/>
      </w:pPr>
    </w:p>
    <w:p w:rsidR="005728DD" w:rsidRDefault="005728DD" w:rsidP="005728DD">
      <w:pPr>
        <w:pStyle w:val="TextoNormal"/>
      </w:pPr>
      <w:r>
        <w:t>Añade el Ministerio Fiscal que es constitucionalmente legítima la previsión abstracta de sanción penal establecida en el art. 498 CP, a través de la que el legislador ha establecido un límite externo del derecho de reunión y manifestación en atención a la garantía de la inviolabilidad de los Parlamentos (art. 66.3 CE y 55.3 del Estatuto de Cataluña), y en orden a preservar el normal funcionamiento del órgano constitucional que tiene atribuida la potestad legislativa y representa la voluntad popular. A su entender, “la respuesta sancionadora del art. 498 CP debe considerarse necesaria para garantizar el correcto funcionamiento del propio sistema democrático constitucional, aún en el caso de que los actos sancionados se hayan producido en relación con el ejercicio de otros derechos fundamentales, en cuanto que los actos violentos que describe suponen un ataque a la participación política representativa de los ciudadanos, encarnada en las Cortes Generales y los Parlamentos autonómicos”. En apoyo de tal conclusión acerca de la legitimidad constitucional de la restricción, apela a la STC 112/2016, FJ 2, donde “se acoge la legitimidad de la restricción que supone la aplicación del delito de enaltecimiento del terrorismo cuando el ejercicio de la libertad de expresión y de la libertad de ideología supone una manifestación del discurso de odio, que de manera indirecta propicia una situación de riesgo para las personas o derechos de terceros o para el propio sistema de libertades”.</w:t>
      </w:r>
    </w:p>
    <w:p w:rsidR="005728DD" w:rsidRDefault="005728DD" w:rsidP="005728DD">
      <w:pPr>
        <w:pStyle w:val="TextoNormal"/>
      </w:pPr>
    </w:p>
    <w:p w:rsidR="005728DD" w:rsidRDefault="005728DD" w:rsidP="005728DD">
      <w:pPr>
        <w:pStyle w:val="TextoNormal"/>
      </w:pPr>
      <w:r>
        <w:t>c) Por último, al analizar la queja que denuncia la vulneración del derecho a la legalidad penal y a la proporcionalidad (art. 25.1 en relación con el art. 24.1 CE), el Ministerio Fiscal aborda específicamente la concreta respuesta penal sancionadora que ha tenido el caso en la sentencia del Tribunal Supremo dictada al resolver el recurso de casación.</w:t>
      </w:r>
    </w:p>
    <w:p w:rsidR="005728DD" w:rsidRDefault="005728DD" w:rsidP="005728DD">
      <w:pPr>
        <w:pStyle w:val="TextoNormal"/>
      </w:pPr>
    </w:p>
    <w:p w:rsidR="005728DD" w:rsidRDefault="005728DD" w:rsidP="005728DD">
      <w:pPr>
        <w:pStyle w:val="TextoNormal"/>
      </w:pPr>
      <w:r>
        <w:t>De un lado, se ocupa de analizar si el razonamiento que la sentencia condenatoria realiza para subsumir los actos atribuidos a los recurrentes en el tipo penal del artículo 498 CP ha podido infringir la garantía material del principio de legalidad, por suponer una aplicación extensiva de la literalidad de la norma, o bien una interpretación de esta que no responde a los criterios de interpretación axiológica admisibles. A juicio de la fiscal, “la sentencia dictada por el Tribunal Supremo ha realizado una atribución de la responsabilidad penal que establece el artículo 498 CP basada en la presencia de los recurrentes en algunos de los distintos grupos de manifestantes que abordaron a los diferentes diputados, algunos de los cuales, que no fueron identificados, desarrollaron actos violentos de entidad, entendiendo que era posible exigirles a los recurrentes esa responsabilidad por ‘el clima coactivo y atmosfera intimidatoria’ generada por el conjunto de los actos que se produjeron por la actuación de distintas personas que integraban los grupos de manifestantes que abordaban a los Diputados”. Ese proceder, según argumenta, omite una verdadera individualización de la responsabilidad penal de los recurrentes, como impone el canon de la responsabilidad subjetiva reforzada, que no admite la extensión de la responsabilidad penal por el mero hecho de participar en el grupo (STC 69/2016, FJ 2). En opinión de la fiscal, los actos concretos que se han atribuido a los recurrentes (colocarse delante de los diputados con los brazos abiertos, seguirles con los brazos alzados, o extender pancartas ante los mismos, al mismo tiempo que coreaban los lemas de la manifestación contrarios a los recortes presupuestarios y diciendo que no les representaban) carecen de la entidad reclamada por el art. 498 CP, que impone una pena privativa de libertad de tres a cinco años de duración y tiene como presupuesto fáctico la realización de actos graves de violencia, intimidación o amenaza a un parlamentario con la finalidad de impedirle acudir a sus reuniones o coartar el ejercicio de sus responsabilidades representativas, por lo que su sanción puede considerarse como una aplicación extensiva y desproporcionada del tipo, en relación con la finalidad legítima perseguida por el mismo.</w:t>
      </w:r>
    </w:p>
    <w:p w:rsidR="005728DD" w:rsidRDefault="005728DD" w:rsidP="005728DD">
      <w:pPr>
        <w:pStyle w:val="TextoNormal"/>
      </w:pPr>
    </w:p>
    <w:p w:rsidR="005728DD" w:rsidRDefault="005728DD" w:rsidP="005728DD">
      <w:pPr>
        <w:pStyle w:val="TextoNormal"/>
      </w:pPr>
      <w:r>
        <w:t xml:space="preserve">Por otra parte, si bien en íntima conexión, el Ministerio Fiscal analiza la respuesta sancionadora a las conductas vinculadas al ejercicio de derechos fundamentales desde los criterios de necesidad y proporcionalidad que, en su jurisprudencia, utiliza tanto el Tribunal Europeo de Derechos Humanos (SSTEDH 10 de julio 2008 </w:t>
      </w:r>
      <w:r w:rsidRPr="005728DD">
        <w:rPr>
          <w:i/>
        </w:rPr>
        <w:t>Soulas y otros</w:t>
      </w:r>
      <w:r>
        <w:t xml:space="preserve"> c. </w:t>
      </w:r>
      <w:r w:rsidRPr="005728DD">
        <w:rPr>
          <w:i/>
        </w:rPr>
        <w:t>Francia</w:t>
      </w:r>
      <w:r>
        <w:t xml:space="preserve">, § 32 y 33; y 15 de marzo de 2011, </w:t>
      </w:r>
      <w:r w:rsidRPr="005728DD">
        <w:rPr>
          <w:i/>
        </w:rPr>
        <w:t>Otegui</w:t>
      </w:r>
      <w:r>
        <w:t xml:space="preserve"> c. </w:t>
      </w:r>
      <w:r w:rsidRPr="005728DD">
        <w:rPr>
          <w:i/>
        </w:rPr>
        <w:t>España</w:t>
      </w:r>
      <w:r>
        <w:t>, § 51 y ss.) como el propio Tribunal Constitucional (STC 88/2003, FJ 8). En atención a ellos, muy singularmente, entiende que debe evitarse el “efecto desaliento” fruto de la severidad de la respuesta frente a conductas que, estando relacionadas con el ejercicio de derechos fundamentales, sobrepasan incluso las fronteras de la protección constitucional. Considera la fiscal que en la subsunción de la conducta en el tipo penal aplicado, que prevé penas privativas de libertad de tres a cinco años de prisión, la sentencia de casación ha prescindido de otorgar relevancia a las circunstancias concurrentes en el desenvolvimiento de la manifestación (déficits organizativos de la autoridad pública) o a cuál fue la efectiva lesión causada por los actos enjuiciados al bien jurídico protegido en el tipo (retraso de once minutos en el comienzo de la sesión parlamentaria y alteración en el tratamiento del orden del día), lo que permite concluir que la reacción penal fue desproporcionada.</w:t>
      </w:r>
    </w:p>
    <w:p w:rsidR="005728DD" w:rsidRDefault="005728DD" w:rsidP="005728DD">
      <w:pPr>
        <w:pStyle w:val="TextoNormal"/>
      </w:pPr>
    </w:p>
    <w:p w:rsidR="005728DD" w:rsidRDefault="005728DD" w:rsidP="005728DD">
      <w:pPr>
        <w:pStyle w:val="TextoNormal"/>
      </w:pPr>
      <w:r>
        <w:t xml:space="preserve">Por lo expuesto, la fiscal interesa se dicte sentencia que estime parcialmente los recursos de amparo interpuestos, declarando que la sentencia condenatoria dictada en casación ha vulnerado el derecho fundamental al proceso debido en la segunda instancia en relación con </w:t>
      </w:r>
      <w:r>
        <w:lastRenderedPageBreak/>
        <w:t>el derecho de defensa de los acusados del art. 24.2 CE, y el derecho al principio de legalidad y proporcionalidad del art. 25.1 CE.</w:t>
      </w:r>
    </w:p>
    <w:p w:rsidR="005728DD" w:rsidRDefault="005728DD" w:rsidP="005728DD">
      <w:pPr>
        <w:pStyle w:val="TextoNormal"/>
      </w:pPr>
    </w:p>
    <w:p w:rsidR="005728DD" w:rsidRDefault="005728DD" w:rsidP="005728DD">
      <w:pPr>
        <w:pStyle w:val="TextoNormal"/>
      </w:pPr>
      <w:r w:rsidRPr="005728DD">
        <w:rPr>
          <w:rStyle w:val="NumeroAFNegritaCaracter"/>
        </w:rPr>
        <w:t>11</w:t>
      </w:r>
      <w:r>
        <w:t>. Presentado escrito de avocación al Pleno por tres magistrados el día 11 de junio de 2019, por providencia de 13 de junio de 2019 se ha acordado su avocación.</w:t>
      </w:r>
    </w:p>
    <w:p w:rsidR="005728DD" w:rsidRDefault="005728DD" w:rsidP="005728DD">
      <w:pPr>
        <w:pStyle w:val="TextoNormal"/>
      </w:pPr>
    </w:p>
    <w:p w:rsidR="005728DD" w:rsidRDefault="005728DD" w:rsidP="005728DD">
      <w:pPr>
        <w:pStyle w:val="TextoNormal"/>
      </w:pPr>
      <w:r w:rsidRPr="005728DD">
        <w:rPr>
          <w:rStyle w:val="NumeroAFNegritaCaracter"/>
        </w:rPr>
        <w:t>12</w:t>
      </w:r>
      <w:r>
        <w:t>. Habiendo declinado la ponencia el magistrado Excmo. señor don Cándido Conde-Pumpido Tourón, mediante acuerdo de 2 de junio de 2021 del Excmo. señor presidente de este tribunal y al amparo de lo dispuesto en el art. 80 LOTC en relación con el art. 206 de la Ley Orgánica del Poder Judicial (LOPJ), ha sido designado como nuevo ponente de este recurso el Excmo. señor don Antonio Narváez Rodríguez.</w:t>
      </w:r>
    </w:p>
    <w:p w:rsidR="005728DD" w:rsidRDefault="005728DD" w:rsidP="005728DD">
      <w:pPr>
        <w:pStyle w:val="TextoNormal"/>
      </w:pPr>
    </w:p>
    <w:p w:rsidR="005728DD" w:rsidRDefault="005728DD" w:rsidP="005728DD">
      <w:pPr>
        <w:pStyle w:val="TextoNormal"/>
      </w:pPr>
      <w:r w:rsidRPr="005728DD">
        <w:rPr>
          <w:rStyle w:val="NumeroAFNegritaCaracter"/>
        </w:rPr>
        <w:t>13</w:t>
      </w:r>
      <w:r>
        <w:t>. Por providencia de fecha 22 de junio de 2021, se señaló para deliberación y fallo de la sentencia el día 24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amparo y pretensiones planteadas</w:t>
      </w:r>
      <w:r>
        <w:t>.</w:t>
      </w:r>
    </w:p>
    <w:p w:rsidR="005728DD" w:rsidRDefault="005728DD" w:rsidP="005728DD">
      <w:pPr>
        <w:pStyle w:val="TextoNormal"/>
      </w:pPr>
    </w:p>
    <w:p w:rsidR="005728DD" w:rsidRDefault="005728DD" w:rsidP="005728DD">
      <w:pPr>
        <w:pStyle w:val="TextoNormal"/>
      </w:pPr>
      <w:r>
        <w:t>a) En los presentes recursos de amparo acumulados los demandantes impugnan la sentencia de 17 de marzo de 2015, dictada en trámite de casación por la Sala de lo Penal del Tribunal Supremo, que revocó la decisión absolutoria previa adoptada por la Sección Primera de la Sala de lo Penal de la Audiencia Nacional, recaída en fecha 7 de julio de 2014. Igualmente, han interesado la nulidad del auto de 19 de mayo de 2015 de la misma Sala del Tribunal Supremo, que desestimó los incidentes extraordinarios de nulidad de actuaciones promovidos contra aquella sentencia revocatoria de la de instancia.</w:t>
      </w:r>
    </w:p>
    <w:p w:rsidR="005728DD" w:rsidRDefault="005728DD" w:rsidP="005728DD">
      <w:pPr>
        <w:pStyle w:val="TextoNormal"/>
      </w:pPr>
    </w:p>
    <w:p w:rsidR="005728DD" w:rsidRDefault="005728DD" w:rsidP="005728DD">
      <w:pPr>
        <w:pStyle w:val="TextoNormal"/>
      </w:pPr>
      <w:r>
        <w:t>Tras apreciar el órgano de casación que, en el curso de una concentración de protesta en la vía pública debidamente comunicada a la autoridad gubernativa, emplearon violencia o intimidación sobre varios diputados autonómicos con la finalidad de impedir que votaran a favor de los presupuestos anuales que, ese mismo día, se iban a debatir en el Parlamento de Cataluña, los recurrentes fueron condenados, como autores de un delito contra las instituciones del Estado del art. 498 CP, a la pena de tres años de prisión e inhabilitación especial para el derecho de sufragio pasivo durante el tiempo de la condena.</w:t>
      </w:r>
    </w:p>
    <w:p w:rsidR="005728DD" w:rsidRDefault="005728DD" w:rsidP="005728DD">
      <w:pPr>
        <w:pStyle w:val="TextoNormal"/>
      </w:pPr>
    </w:p>
    <w:p w:rsidR="005728DD" w:rsidRDefault="005728DD" w:rsidP="005728DD">
      <w:pPr>
        <w:pStyle w:val="TextoNormal"/>
      </w:pPr>
      <w:r>
        <w:t>El precepto penal aplicado en este caso (art. 498 CP, en la redacción dada por la Ley Orgánica 10/1995, de 23 de noviembre) castiga con pena de prisión de tres a cinco años a “los que emplearen fuerza, violencia, intimidación o amenaza grave para impedir a un miembro del Congreso de los Diputados, del Senado o de una Asamblea Legislativa de Comunidad Autónoma asistir a sus reuniones, o, por los mismos medios, coartaren la libre manifestación de sus opiniones o la emisión de su voto”.</w:t>
      </w:r>
    </w:p>
    <w:p w:rsidR="005728DD" w:rsidRDefault="005728DD" w:rsidP="005728DD">
      <w:pPr>
        <w:pStyle w:val="TextoNormal"/>
      </w:pPr>
    </w:p>
    <w:p w:rsidR="005728DD" w:rsidRDefault="005728DD" w:rsidP="005728DD">
      <w:pPr>
        <w:pStyle w:val="TextoNormal"/>
      </w:pPr>
      <w:r>
        <w:t>b) Tres son las cuestiones nucleares, diferenciadas por motivos, que se plantean en las demandas: la primera, de carácter procesal y las dos restantes de naturaleza sustantiva. Son las siguientes:</w:t>
      </w:r>
    </w:p>
    <w:p w:rsidR="005728DD" w:rsidRDefault="005728DD" w:rsidP="005728DD">
      <w:pPr>
        <w:pStyle w:val="TextoNormal"/>
      </w:pPr>
    </w:p>
    <w:p w:rsidR="005728DD" w:rsidRDefault="005728DD" w:rsidP="005728DD">
      <w:pPr>
        <w:pStyle w:val="TextoNormal"/>
      </w:pPr>
      <w:r>
        <w:lastRenderedPageBreak/>
        <w:t>(i) En primer lugar, los límites constitucionales de la pretensión de revisar en casación una previa decisión absolutoria (cuestión que ha sido abordada reiterada y recientemente por este tribunal): los demandantes, con invocación de la jurisprudencia constitucional y la del Tribunal Europeo de Derechos Humanos, consideran vulnerado su derecho a un proceso con todas las garantías (art. 24.2 CE), por haber sido condenados en casación sin haber sido oídos personalmente sobre la base de estimar concurrente un elemento subjetivo del tipo que no había sido apreciado en la instancia; específicamente, el de que los acusados actuaron con la intención de impedir a los diputados autonómicos el acceso al Parlament de Cataluña, para que pudieran debatir sobre el proyecto de presupuestos de la Generalitat que figuraba en el orden del día.</w:t>
      </w:r>
    </w:p>
    <w:p w:rsidR="005728DD" w:rsidRDefault="005728DD" w:rsidP="005728DD">
      <w:pPr>
        <w:pStyle w:val="TextoNormal"/>
      </w:pPr>
    </w:p>
    <w:p w:rsidR="005728DD" w:rsidRDefault="005728DD" w:rsidP="005728DD">
      <w:pPr>
        <w:pStyle w:val="TextoNormal"/>
      </w:pPr>
      <w:r>
        <w:t>(ii) En segundo término, la delimitación de contenidos entre los derechos de libertad de expresión, reunión y manifestación (arts. 20.1 y 21 CE), y el derecho a la participación política representativa (art. 23 CE), que se le opone como límite penal propiciando la sanción de las conductas que afecten a su contenido. La condena impugnada se fundamenta en la necesidad de protección penal del normal desarrollo de la actividad parlamentaria, que es expresión del derecho de los ciudadanos a participar en los asuntos públicos a través de sus representantes libremente elegidos, y también del derecho de los propios representantes a ejercer, con los requisitos que señalen las leyes, las funciones anejas al cargo público representativo parlamentario que habían obtenido en las elecciones autonómicas catalanas. Los recurrentes (cuyas conductas han sido descritas en el antecedente tercero de esta resolución) afirman, por el contrario, que, como participantes en una concentración de protesta en la vía pública, se confrontaron con los parlamentarios, haciéndolo en el legítimo ejercicio de sus derechos de reunión y libre expresión, por lo que debieron ser absueltos.</w:t>
      </w:r>
    </w:p>
    <w:p w:rsidR="005728DD" w:rsidRDefault="005728DD" w:rsidP="005728DD">
      <w:pPr>
        <w:pStyle w:val="TextoNormal"/>
      </w:pPr>
    </w:p>
    <w:p w:rsidR="005728DD" w:rsidRDefault="005728DD" w:rsidP="005728DD">
      <w:pPr>
        <w:pStyle w:val="TextoNormal"/>
      </w:pPr>
      <w:r>
        <w:t xml:space="preserve">(iii) Por último, en tercer lugar y desde otra perspectiva estrechamente relacionada con la anterior, discuten los recurrentes la previsibilidad, necesidad e intensidad de la reacción penal que se impugna (arts. 24.1 y 25.1, en relación con los arts. 20 y 21 CE). Afirman que las conductas declaradas probadas por las que han sido condenados no tienen encaje en el tenor del art. 498 CP, por lo que, para justificar su condena, ese precepto habría sido interpretado y aplicado por el Tribunal Supremo de forma extensiva, </w:t>
      </w:r>
      <w:r w:rsidRPr="005728DD">
        <w:rPr>
          <w:i/>
        </w:rPr>
        <w:t>in malam partem</w:t>
      </w:r>
      <w:r>
        <w:t>, y sin la necesaria atención a los derechos fundamentales implicados, lo que, en cualquier caso, hubiera exigido una respuesta penal proporcionada.</w:t>
      </w:r>
    </w:p>
    <w:p w:rsidR="005728DD" w:rsidRDefault="005728DD" w:rsidP="005728DD">
      <w:pPr>
        <w:pStyle w:val="TextoNormal"/>
      </w:pPr>
    </w:p>
    <w:p w:rsidR="005728DD" w:rsidRDefault="005728DD" w:rsidP="005728DD">
      <w:pPr>
        <w:pStyle w:val="TextoNormal"/>
      </w:pPr>
      <w:r>
        <w:t>El Ministerio Fiscal interesa que se otorgue parcialmente el amparo solicitado, por cuanto la decisión de condena ha vulnerado el derecho fundamental a un proceso con todas las garantías, puesto en relación con el derecho de defensa de los acusados del art. 24.2 CE, y, también el derecho al principio de legalidad y proporcionalidad de las sanciones penales (art. 25.1 CE). En consecuencia, solicita que este tribunal decrete la nulidad de la sentencia condenatoria dictada en casación.</w:t>
      </w:r>
    </w:p>
    <w:p w:rsidR="005728DD" w:rsidRDefault="005728DD" w:rsidP="005728DD">
      <w:pPr>
        <w:pStyle w:val="TextoNormal"/>
      </w:pPr>
    </w:p>
    <w:p w:rsidR="005728DD" w:rsidRDefault="005728DD" w:rsidP="005728DD">
      <w:pPr>
        <w:pStyle w:val="TextoNormal"/>
      </w:pPr>
      <w:r>
        <w:t>Considera, en primer lugar, que la sentencia de casación ha vulnerado el derecho a un proceso con todas las garantías invocado por los demandantes (art. 24.2 CE) en cuanto, para establecer su culpabilidad y apreciar la concurrencia del elemento subjetivo del delito imputado (el ánimo de impedir el acceso de los diputados al Parlamento de Cataluña y el desarrollo de la sesión parlamentaria), se apoya en una nueva valoración de pruebas personales que, para garantizar el derecho de defensa contradictoria, habría exigido dar audiencia a los acusados absueltos en la instancia.</w:t>
      </w:r>
    </w:p>
    <w:p w:rsidR="005728DD" w:rsidRDefault="005728DD" w:rsidP="005728DD">
      <w:pPr>
        <w:pStyle w:val="TextoNormal"/>
      </w:pPr>
    </w:p>
    <w:p w:rsidR="005728DD" w:rsidRDefault="005728DD" w:rsidP="005728DD">
      <w:pPr>
        <w:pStyle w:val="TextoNormal"/>
      </w:pPr>
      <w:r>
        <w:t>Por otra parte, entiende que la sentencia dictada en casación ha vulnerado también el derecho a la legalidad penal y el principio de proporcionalidad de las infracciones y sanciones (art. 25.1 CE), en la medida en que los demandantes fueron considerados autores de un delito previsto en el art. 498 CP pese a que, a tenor de las circunstancias concurrentes, las conductas declaradas probadas no alcanzaron individualizadamente el estándar de gravedad típica exigido, sin que el clima de violencia intimidatoria generada por otros pueda ser tenido en cuenta para valorar la entidad de sus conductas. En cuanto a la concreta respuesta penal sancionadora, considera que debe evitarse el efecto desaliento fruto de la severidad de la pena impuesta, lo que permite apreciar que la decisión de condena fue desproporcionada por no otorgar relevancia a las circunstancias concurrentes en el desarrollo de la manifestación y a la efectiva lesión causada al normal desarrollo de la actividad parlamentaria.</w:t>
      </w:r>
    </w:p>
    <w:p w:rsidR="005728DD" w:rsidRDefault="005728DD" w:rsidP="005728DD">
      <w:pPr>
        <w:pStyle w:val="TextoNormal"/>
      </w:pPr>
    </w:p>
    <w:p w:rsidR="005728DD" w:rsidRDefault="005728DD" w:rsidP="005728DD">
      <w:pPr>
        <w:pStyle w:val="TextoNormal"/>
      </w:pPr>
      <w:r>
        <w:t>Por el contrario, no aprecia la fiscal que hayan sido vulnerados los derechos a la libertad de expresión, reunión y manifestación de los demandantes. Considera que la previsión legislativa penal abstracta que ha sido aplicada en este caso (art. 498 CP) es constitucionalmente legítima, dado que el derecho fundamental a la participación política de los ciudadanos a través de sus legítimos representantes elegidos libremente en elecciones periódicas (art. 23.1 CE), constituye una finalidad constitucionalmente relevante que permite limitar penalmente el derecho de reunión y manifestación. Afirma que, en la ponderación de los intereses en conflicto en este caso, el derecho de reunión y manifestación no alcanza un valor preferente por cuanto las conductas enjuiciadas constituyeron una extralimitación o abuso y no su ejercicio legítimo, apreciación esta última que, de forma errónea, fundamentó la sentencia de instancia.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Orden de análisis de los motivos de amparo</w:t>
      </w:r>
      <w:r>
        <w:t>.</w:t>
      </w:r>
    </w:p>
    <w:p w:rsidR="005728DD" w:rsidRDefault="005728DD" w:rsidP="005728DD">
      <w:pPr>
        <w:pStyle w:val="TextoNormal"/>
      </w:pPr>
    </w:p>
    <w:p w:rsidR="005728DD" w:rsidRDefault="005728DD" w:rsidP="005728DD">
      <w:pPr>
        <w:pStyle w:val="TextoNormal"/>
      </w:pPr>
      <w:r>
        <w:t>La STC (Pleno) 146/2017, de 14 de diciembre, FJ 2, que se remite a otras anteriores, ha declarado que, en función de los intereses constitucionales en juego en el caso sometido a consideración, su eventual novedad y la naturaleza de las quejas planteadas, permite a este tribunal determinar, no solo el orden de examen de los motivos de amparo aducidos, sino también, si resulta necesario o conveniente pronunciarse en la sentencia sobre todas las vulneraciones de derechos fundamentales alegadas, una vez se haya apreciado la concurrencia de alguna de ellas con los efectos correspondientes.</w:t>
      </w:r>
    </w:p>
    <w:p w:rsidR="005728DD" w:rsidRDefault="005728DD" w:rsidP="005728DD">
      <w:pPr>
        <w:pStyle w:val="TextoNormal"/>
      </w:pPr>
    </w:p>
    <w:p w:rsidR="005728DD" w:rsidRDefault="005728DD" w:rsidP="005728DD">
      <w:pPr>
        <w:pStyle w:val="TextoNormal"/>
      </w:pPr>
      <w:r>
        <w:t>Como ya expusimos en los antecedentes, los recursos fueron admitidos a trámite después de apreciar que concurre en los mismos una especial trascendencia constitucional porque plantean un problema o afectan a una faceta de un derecho fundamental sobre el que no hay doctrina de este tribunal [STC 155/2009, FJ 2 a)]. Dicha conclusión se aprecia de manera singular en las dos últimas cuestiones planteadas en las demandas, que tienen naturaleza sustantiva. En ellas, se impugna como indebida y excesiva la reacción penal frente a conductas que, según se afirma, aunque incidieron sobre los derechos de participación política representativa reconocidos en el art. 23.1 CE, estaban amparadas por los derechos de libre expresión, reunión y manifestación o, al menos, estrechamente relacionadas con su ejercicio.</w:t>
      </w:r>
    </w:p>
    <w:p w:rsidR="005728DD" w:rsidRDefault="005728DD" w:rsidP="005728DD">
      <w:pPr>
        <w:pStyle w:val="TextoNormal"/>
      </w:pPr>
    </w:p>
    <w:p w:rsidR="005728DD" w:rsidRDefault="005728DD" w:rsidP="005728DD">
      <w:pPr>
        <w:pStyle w:val="TextoNormal"/>
      </w:pPr>
      <w:r>
        <w:t xml:space="preserve">Por tanto, nuestro análisis comenzará por dichas quejas sustantivas; así lo justifica también su contenido material, esto es, tanto el conflicto de pretensiones amparadas en derechos </w:t>
      </w:r>
      <w:r>
        <w:lastRenderedPageBreak/>
        <w:t>fundamentales, que se presenta como presupuesto de la petición de amparo, como los pronunciamientos judiciales sobre el mismo que fundamentaron la absolución en la instancia y, después, la condena en la casación.</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Interrelación de las pretensiones sustantivas planteadas</w:t>
      </w:r>
      <w:r>
        <w:t>.</w:t>
      </w:r>
    </w:p>
    <w:p w:rsidR="005728DD" w:rsidRDefault="005728DD" w:rsidP="005728DD">
      <w:pPr>
        <w:pStyle w:val="TextoNormal"/>
      </w:pPr>
    </w:p>
    <w:p w:rsidR="005728DD" w:rsidRDefault="005728DD" w:rsidP="005728DD">
      <w:pPr>
        <w:pStyle w:val="TextoNormal"/>
      </w:pPr>
      <w:r>
        <w:t>Como ya hemos expuesto, la impugnación sustantiva de la condena penal se realiza en los recursos desde dos perspectivas diferentes: (i) la de los derechos a la libertad de expresión, reunión, manifestación y participación política (arts. 20, 21 y 23 CE), de una parte, y (ii) la del derecho a la legalidad de las infracciones y sanciones (art. 25.1 CE), de otra. Al respecto, son precisas dos consideraciones adicionales:</w:t>
      </w:r>
    </w:p>
    <w:p w:rsidR="005728DD" w:rsidRDefault="005728DD" w:rsidP="005728DD">
      <w:pPr>
        <w:pStyle w:val="TextoNormal"/>
      </w:pPr>
    </w:p>
    <w:p w:rsidR="005728DD" w:rsidRDefault="005728DD" w:rsidP="005728DD">
      <w:pPr>
        <w:pStyle w:val="TextoNormal"/>
      </w:pPr>
      <w:r>
        <w:t>a) Al fundamentar su demanda, los recurrentes afirman, también, haber actuado en ejercicio de su derecho a la participación directa de los ciudadanos en los asuntos públicos (art. 23.1 CE). Dicha alegación no puede considerarse autónoma, sino retórica, pues solo expresa una argumentación reforzada, que coincide con la invocada vulneración de las libertades de reunión, manifestación y expresión, cuyo ejercicio, en el presente caso, se refería a asuntos de indudable relevancia pública e interés general, como lo son las decisiones políticas y económicas de ingresos y gastos públicos, sometidas a la deliberación del Parlament a través de la ley de presupuestos.</w:t>
      </w:r>
    </w:p>
    <w:p w:rsidR="005728DD" w:rsidRDefault="005728DD" w:rsidP="005728DD">
      <w:pPr>
        <w:pStyle w:val="TextoNormal"/>
      </w:pPr>
    </w:p>
    <w:p w:rsidR="005728DD" w:rsidRDefault="005728DD" w:rsidP="005728DD">
      <w:pPr>
        <w:pStyle w:val="TextoNormal"/>
      </w:pPr>
      <w:r>
        <w:t>No es posible restar importancia alguna al modelo democrático que caracteriza en nuestra Constitución el Estado social de Derecho, así como a la decisión que residencia la soberanía en el pueblo (art. 1 CE) y expresa el compromiso de los poderes públicos de facilitar la participación de todos en la vida política (art. 9.2 CE). Son principios y decisiones constitucionales que permiten interpretar de modo coherente todos los institutos del ordenamiento sobre la participación de los ciudadanos en la vida política. Pero aun así, resulta evidente en este caso que, por la finalidad y objeto de la convocatoria, la concentración pública de protesta no era, en principio, sino una forma de expresión constitucionalmente reconocida y cualificada por versar sobre asuntos de interés general, por lo que no es posible enjuiciar de forma autónoma la justificación de las conductas imputadas a partir del derecho a la participación política directa que reconoce el art. 23.1 CE sino, con mayor corrección, como parte de los también alegados derechos de libre expresión, reunión y manifestación.</w:t>
      </w:r>
    </w:p>
    <w:p w:rsidR="005728DD" w:rsidRDefault="005728DD" w:rsidP="005728DD">
      <w:pPr>
        <w:pStyle w:val="TextoNormal"/>
      </w:pPr>
    </w:p>
    <w:p w:rsidR="005728DD" w:rsidRDefault="005728DD" w:rsidP="005728DD">
      <w:pPr>
        <w:pStyle w:val="TextoNormal"/>
      </w:pPr>
      <w:r>
        <w:t>No en vano, como veremos, este tribunal viene reiterando desde sus primeras resoluciones que el derecho de reunión, en tanto es una manifestación colectiva de la libertad de expresión, no solo es uno de los derechos inviolables inherentes que fundamentan el orden político y la paz social (art. 10.1 CE), sino que, por su finalidad, constituye un cauce del principio democrático participativo (SSTC 101/1985, de 4 de octubre, FJ 2, y 85/1988, de 28 de abril, FJ 2).</w:t>
      </w:r>
    </w:p>
    <w:p w:rsidR="005728DD" w:rsidRDefault="005728DD" w:rsidP="005728DD">
      <w:pPr>
        <w:pStyle w:val="TextoNormal"/>
      </w:pPr>
    </w:p>
    <w:p w:rsidR="005728DD" w:rsidRDefault="005728DD" w:rsidP="005728DD">
      <w:pPr>
        <w:pStyle w:val="TextoNormal"/>
      </w:pPr>
      <w:r>
        <w:t xml:space="preserve">b) Como tuvo este tribunal oportunidad de expresar en el ATC 4/2008, de 9 de enero, las diferentes perspectivas sustantivas desde las que los recurrentes impugnan la decisión de condena no responden, en principio, a una relación de consunción, de modo que una sola de ellas abarque todo el contenido de la otra, sino que son consecuencia de la diversidad de valores constitucionales que cada uno de ellas incorpora: de una parte, a través de los arts. 20 y 21 CE, se establece la exigencia constitucional de no limitar indebidamente, ni disuadir, las conductas de los ciudadanos a través de las que, de forma verbal o simbólica, expresan </w:t>
      </w:r>
      <w:r>
        <w:lastRenderedPageBreak/>
        <w:t>públicamente sus opiniones y juicios de valor; singularmente, aquellas que se refieren a asuntos de interés general cuyo debate contribuye a la formación de una opinión pública libre; garantía esta que, como tantas veces hemos reiterado, es uno de los pilares de una sociedad libre y democrática (SSTC 137/1997, de 21 de julio, FFJJ 6 y 7, y 235/2007, de 7 de noviembre, FJ 4); y de otra, la necesaria previsibilidad y proporcionalidad de las sanciones penales es una exigencia constitucional plasmada en el art. 25.1 CE, que atiende a la especial incidencia que la reacción penal ha de tener sobre los derechos fundamentales, ya sean los implicados en la conducta sancionada o los que tienen que ver con la naturaleza de la pena impuesta.</w:t>
      </w:r>
    </w:p>
    <w:p w:rsidR="005728DD" w:rsidRDefault="005728DD" w:rsidP="005728DD">
      <w:pPr>
        <w:pStyle w:val="TextoNormal"/>
      </w:pPr>
    </w:p>
    <w:p w:rsidR="005728DD" w:rsidRDefault="005728DD" w:rsidP="005728DD">
      <w:pPr>
        <w:pStyle w:val="TextoNormal"/>
      </w:pPr>
      <w:r>
        <w:t>A pesar de la autonomía que mantienen, los argumentos que se utilizan por las partes sobre la exigencia de previsión legal, o acerca del carácter necesario y proporcionado de la limitación, son en parte coincidentes y aparecen inevitablemente relacionados, lo que exigirá abordarlos con una perspectiva global, atenta a los distintos intereses que unos y otros derechos alegados protegen. No podía ser de otra forma pues la exigencia de previsión legal en la limitación de los derechos fundamentales es también el rasgo esencial que identifica el contenido del principio de legalidad sancionatoria, y —como expresó la STC 136/1999, de 20 de julio, FJ 21—, la proporcionalidad en sentido estricto y la necesidad de la medida, además de exigencias constitucionales de la limitación de los derechos fundamentales, “constituyen dos elementos o perspectivas complementarias del principio de proporcionalidad de las sanciones penales”, ínsito en la relación entre el art. 25.1 CE y los demás derechos fundamentales y libertades públicas concernidos: en este caso, la libertad personal del art. 17 CE —pues las penas impuestas son privativas de libertad—, y las alegadas libertades reconocidas en los arts. 20 y 21 CE.</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Delimitación de los derechos afectados: Libertades de reunión y manifestación y derecho de participación política</w:t>
      </w:r>
      <w:r>
        <w:t>.</w:t>
      </w:r>
    </w:p>
    <w:p w:rsidR="005728DD" w:rsidRDefault="005728DD" w:rsidP="005728DD">
      <w:pPr>
        <w:pStyle w:val="TextoNormal"/>
      </w:pPr>
    </w:p>
    <w:p w:rsidR="005728DD" w:rsidRDefault="005728DD" w:rsidP="005728DD">
      <w:pPr>
        <w:pStyle w:val="TextoNormal"/>
      </w:pPr>
      <w:r>
        <w:t>La variedad de pretensiones sustantivas acumuladas que plantean los recurrentes (arts. 20, 21, 23.1 y 25.1 CE), los argumentos coincidentes que fundamentaron en la instancia su absolución y los que, en contraposición, justificaron en casación su condena penal (arts. 23.1, 66.3, 67.2 y 71.1 CE), evidencian la necesidad de abordar ordenadamente su examen, dado que, como hemos expresado, los diversos motivos de amparo se sustentan en ocasiones en argumentos coincidentes o complementarios, cuya estimación haría innecesario agotar el razonamiento sobre todos los demás planteados.</w:t>
      </w:r>
    </w:p>
    <w:p w:rsidR="005728DD" w:rsidRDefault="005728DD" w:rsidP="005728DD">
      <w:pPr>
        <w:pStyle w:val="TextoNormal"/>
      </w:pPr>
    </w:p>
    <w:p w:rsidR="005728DD" w:rsidRDefault="005728DD" w:rsidP="005728DD">
      <w:pPr>
        <w:pStyle w:val="TextoNormal"/>
      </w:pPr>
      <w:r>
        <w:t>Por ello, debemos proceder, primeramente, a la delimitación de los derechos fundamentales en conflicto para luego realizar el debido juicio de ponderación entre ellos, no sin antes advertir que, cuando en un recurso de amparo se alega la vulneración del contenido de un derecho fundamental sustantivo, la tarea encomendada al Tribunal Constitucional no tiene por objeto el enjuiciamiento de la ponderación o de las valoraciones efectuadas por las resoluciones judiciales sometidas a nuestro control, sino el examen directo e inmediato de los hechos declarados probados por estas para determinar si, al enjuiciarlos, han sido o no respetados (SSTC 200/1998, de 14 de octubre, FJ 4, y 88/2003, de 19 de mayo, FJ 1), “aunque para este fin sea preciso utilizar criterios distintos de los aplicados por los órganos jurisdiccionales, ya que sus razones no vinculan a este tribunal” [SSTC 23/2010, de 27 de abril, FJ 2; 176/2013, de 21 de octubre, FJ 4, y las allí citadas; así como, recientemente, la STC 25/2019, de 25 de febrero, FJ 2 g)].</w:t>
      </w:r>
    </w:p>
    <w:p w:rsidR="005728DD" w:rsidRDefault="005728DD" w:rsidP="005728DD">
      <w:pPr>
        <w:pStyle w:val="TextoNormal"/>
      </w:pPr>
    </w:p>
    <w:p w:rsidR="005728DD" w:rsidRDefault="005728DD" w:rsidP="005728DD">
      <w:pPr>
        <w:pStyle w:val="TextoNormal"/>
      </w:pPr>
      <w:r>
        <w:t>A partir, pues, de estas consideraciones iniciales, dedicaremos este fundamento jurídico al examen de la cuestión relativa a la delimitación de los derechos fundamentales en conflicto.</w:t>
      </w:r>
    </w:p>
    <w:p w:rsidR="005728DD" w:rsidRDefault="005728DD" w:rsidP="005728DD">
      <w:pPr>
        <w:pStyle w:val="TextoNormal"/>
      </w:pPr>
    </w:p>
    <w:p w:rsidR="005728DD" w:rsidRDefault="005728DD" w:rsidP="005728DD">
      <w:pPr>
        <w:pStyle w:val="TextoNormal"/>
      </w:pPr>
      <w:r>
        <w:t>a) Los demandantes invocan de forma conjunta sus derechos a la libertad de expresión, reunión y manifestación, garantizados por los arts. 20 y 21 CE, en cuanto que, según afirman, la concentración pública ante el Parlament de Cataluña, cuya convocatoria había sido comunicada a las autoridades con carácter previo, se dirigía a expresar una protesta política sobre los criterios de gasto que, a través de la ley de presupuestos, se iban a debatir en sede parlamentaria. Se apoyan, para ello, en la fundamentación de la sentencia de la Audiencia Nacional que solo tuvo en cuenta el análisis del ejercicio de estos derechos para entender que los actores y el contexto en que se desenvolvieron sus conductas individuales estaban amparadas por el ejercicio de aquellos derechos y constituían una causa de justificación (fundamento jurídico 2 de la sentencia de 7 de julio de 2014), que, por no ser antijurídica, exoneraba de toda responsabilidad a los recurrentes en cuanto participantes en aquel acto colectivo de libertad. Por el contrario, la sentencia del Tribunal Supremo contrapone al ejercicio de aquellos derechos de los recurrentes, el de participación política de los diputados que pretendían asistir al Pleno del Parlament (art. 23 CE), entendiendo que este último debe prevalecer sobre el anterior.</w:t>
      </w:r>
    </w:p>
    <w:p w:rsidR="005728DD" w:rsidRDefault="005728DD" w:rsidP="005728DD">
      <w:pPr>
        <w:pStyle w:val="TextoNormal"/>
      </w:pPr>
    </w:p>
    <w:p w:rsidR="005728DD" w:rsidRDefault="005728DD" w:rsidP="005728DD">
      <w:pPr>
        <w:pStyle w:val="TextoNormal"/>
      </w:pPr>
      <w:r>
        <w:t>b) Nuestro juicio de ponderación entre el ejercicio de aquellos derechos y el de participación política del art. 23 CE debe partir del reconocimiento, en este último derecho, de la existencia de una doble dimensión: (i) de ámbito individual, en el sentido de que todos y cada uno de los diputados del Parlamento de Cataluña tenían el derecho al libre ejercicio de sus cargos públicos y, en consecuencia, a poder acceder aquel día al Parlamento para desempeñar con libertad sus funciones como parlamentarios; y (ii) también una dimensión colectiva, toda vez que las acciones tendentes a obstruir o impedir la entrada a la sede parlamentaria, constituyeron un impedimento al ejercicio del propio derecho de los ciudadanos a participar en los asuntos públicos a través de sus representantes legítimos, toda vez que lo pretendido era impedir que el Parlamento pudiera desempeñar con libertad su función parlamentaria.</w:t>
      </w:r>
    </w:p>
    <w:p w:rsidR="005728DD" w:rsidRDefault="005728DD" w:rsidP="005728DD">
      <w:pPr>
        <w:pStyle w:val="TextoNormal"/>
      </w:pPr>
    </w:p>
    <w:p w:rsidR="005728DD" w:rsidRDefault="005728DD" w:rsidP="005728DD">
      <w:pPr>
        <w:pStyle w:val="TextoNormal"/>
      </w:pPr>
      <w:r>
        <w:t>Al igual que la libertad de expresión, el derecho de reunión y el de manifestación son libertades políticas básicas sobre las que se asienta nuestro orden político (art. 10.1 CE). En tal medida, las limitaciones a su ejercicio deben ser interpretadas restrictivamente. En nuestra jurisprudencia, hemos desarrollado el contenido constitucional del derecho de reunión y sus límites —del que el derecho de manifestación es una vertiente— con una doctrina que entronca con la del Tribunal Europeo de Derechos Humanos.</w:t>
      </w:r>
    </w:p>
    <w:p w:rsidR="005728DD" w:rsidRDefault="005728DD" w:rsidP="005728DD">
      <w:pPr>
        <w:pStyle w:val="TextoNormal"/>
      </w:pPr>
    </w:p>
    <w:p w:rsidR="005728DD" w:rsidRDefault="005728DD" w:rsidP="005728DD">
      <w:pPr>
        <w:pStyle w:val="TextoNormal"/>
      </w:pPr>
      <w:r>
        <w:t xml:space="preserve">Así, este tribunal ha expresado que el derecho de reunión es una manifestación colectiva de la libertad de expresión efectuada a través de una asociación transitoria de personas que opera de manera instrumental al servicio del intercambio o exposición de ideas, de defensa de intereses o de publicidad de problemas y reivindicaciones, constituyendo un cauce del principio democrático participativo. Sus elementos configuradores son el subjetivo (agrupación de personas), el temporal (duración transitoria), el finalista (licitud de la finalidad perseguida) y el real u objetivo (lugar de celebración): así aparece ya en la STC 85/1988, de 28 de abril, FJ 2, y después, entre otras, en las SSTC 66/1995, de 8 de mayo, FJ 3; 196/2002, </w:t>
      </w:r>
      <w:r>
        <w:lastRenderedPageBreak/>
        <w:t>de 28 de octubre, FJ 4; 170/2008, de 15 de diciembre, FJ 3; 38/2009, de 9 de febrero, FJ 2; 193/2011, de 12 de diciembre, FJ 3, y 172/2020, de 19 de noviembre, FJ 6 B).</w:t>
      </w:r>
    </w:p>
    <w:p w:rsidR="005728DD" w:rsidRDefault="005728DD" w:rsidP="005728DD">
      <w:pPr>
        <w:pStyle w:val="TextoNormal"/>
      </w:pPr>
    </w:p>
    <w:p w:rsidR="005728DD" w:rsidRDefault="005728DD" w:rsidP="005728DD">
      <w:pPr>
        <w:pStyle w:val="TextoNormal"/>
      </w:pPr>
      <w:r>
        <w:t>Hemos resaltado también “el relieve fundamental que este derecho —cauce del principio democrático participativo— posee, tanto en su dimensión subjetiva como en la objetiva, en un Estado social y democrático de Derecho como el proclamado en la Constitución”, señalando que “para muchos grupos sociales este derecho es, en la práctica, uno de los pocos medios de los que disponen para poder expresar públicamente sus ideas y reivindicaciones” (SSTC 66/1995, FJ 3; 196/2002, FJ 4; 195/2003, FJ 3; 110/2006, FJ 3; 301/2006, FJ 2, y 170/2008,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005728DD" w:rsidRDefault="005728DD" w:rsidP="005728DD">
      <w:pPr>
        <w:pStyle w:val="TextoNormal"/>
      </w:pPr>
    </w:p>
    <w:p w:rsidR="005728DD" w:rsidRDefault="005728DD" w:rsidP="005728DD">
      <w:pPr>
        <w:pStyle w:val="TextoNormal"/>
      </w:pPr>
      <w:r>
        <w:t xml:space="preserve">Esa caracterización pone de manifiesto el estrecho vínculo que existe entre el derecho de reunión y la libertad de expresión [art. 20.1 a) CE], y el de ambos derechos con la democracia, directa y representativa. Esta conexión ha sido enfatizada por el Tribunal Europeo de Derechos Humanos, que califica el art. 10 CEDH, que proclama la libertad de expresión, como </w:t>
      </w:r>
      <w:r w:rsidRPr="005728DD">
        <w:rPr>
          <w:i/>
        </w:rPr>
        <w:t>lex generalis</w:t>
      </w:r>
      <w:r>
        <w:t xml:space="preserve"> en relación con el art. 11 CEDH, que contempla la libertad de reunión (</w:t>
      </w:r>
      <w:r w:rsidRPr="005728DD">
        <w:rPr>
          <w:i/>
        </w:rPr>
        <w:t>lex specialis</w:t>
      </w:r>
      <w:r>
        <w:t xml:space="preserve">). Pese a ser un derecho autónomo con ámbito de aplicación propio, cuando —como ocurre en este caso— el objetivo del ejercicio del derecho de reunión es la expresión de opiniones propias en un foro público a través de la reivindicación o la protesta, su contenido debe examinarse, también, a la luz del art. 10 CEDH (por todas, STEDH de 15 de octubre de 2015, de la Gran Sala, dictada en el asunto </w:t>
      </w:r>
      <w:r w:rsidRPr="005728DD">
        <w:rPr>
          <w:i/>
        </w:rPr>
        <w:t>Kudrevičius y otros c. Lituania</w:t>
      </w:r>
      <w:r>
        <w:t>, § 85-86).</w:t>
      </w:r>
    </w:p>
    <w:p w:rsidR="005728DD" w:rsidRDefault="005728DD" w:rsidP="005728DD">
      <w:pPr>
        <w:pStyle w:val="TextoNormal"/>
      </w:pPr>
    </w:p>
    <w:p w:rsidR="005728DD" w:rsidRDefault="005728DD" w:rsidP="005728DD">
      <w:pPr>
        <w:pStyle w:val="TextoNormal"/>
      </w:pPr>
      <w:r>
        <w:t xml:space="preserve">Ahora bien, ya se trate de reuniones privadas o públicas, estáticas o en forma de manifestación, hemos de destacar que lo que el art. 21 CE reconoce y protege es el derecho de reunión pacífica (lo que descarta, obviamente, el uso de armas); de esta forma quedan excluidas de su ámbito de protección aquellas reuniones o manifestaciones en las que sus organizadores o participantes tengan intenciones violentas, pretendan inducir a otros a ejercerla o, de otra manera, rechacen los fundamentos de una sociedad democrática (STEDH de 20 de septiembre de 2018, </w:t>
      </w:r>
      <w:r w:rsidRPr="005728DD">
        <w:rPr>
          <w:i/>
        </w:rPr>
        <w:t>Mushegh Saghatelyan c. Armenia</w:t>
      </w:r>
      <w:r>
        <w:t>, § 227).</w:t>
      </w:r>
    </w:p>
    <w:p w:rsidR="005728DD" w:rsidRDefault="005728DD" w:rsidP="005728DD">
      <w:pPr>
        <w:pStyle w:val="TextoNormal"/>
      </w:pPr>
    </w:p>
    <w:p w:rsidR="005728DD" w:rsidRDefault="005728DD" w:rsidP="005728DD">
      <w:pPr>
        <w:pStyle w:val="TextoNormal"/>
      </w:pPr>
      <w:r>
        <w:t xml:space="preserve">La exigencia de que la reunión o manifestación sea pacífica y sin armas es un requisito constitucional de protección (SSTC 59/1990, de 29 de marzo, FJ 5; 196/2002, de 28 de octubre, FJ 4), que puede ser evaluado antes o después de su desarrollo. De modo que toda reunión con intenciones violentas puede ser prohibida en tanto queda fuera del contenido constitucional del derecho fundamental tutelado en el art. 21 CE. De otra parte, dado que las reuniones y manifestaciones son, en muchas ocasiones, espacios de visibilización de intereses no satisfechos y de reivindicación, la exigencia del carácter pacífico de la reunión </w:t>
      </w:r>
      <w:r>
        <w:lastRenderedPageBreak/>
        <w:t>sirve también para excluir del ámbito constitucionalmente tutelado las reuniones y manifestaciones durante las que se alcancen de forma generalizada determinados niveles de ejercicio intencional de violencia, en particular, cuando se den excesos agresivos de cierta intensidad contra las personas o los bienes.</w:t>
      </w:r>
    </w:p>
    <w:p w:rsidR="005728DD" w:rsidRDefault="005728DD" w:rsidP="005728DD">
      <w:pPr>
        <w:pStyle w:val="TextoNormal"/>
      </w:pPr>
    </w:p>
    <w:p w:rsidR="005728DD" w:rsidRDefault="005728DD" w:rsidP="005728DD">
      <w:pPr>
        <w:pStyle w:val="TextoNormal"/>
      </w:pPr>
      <w:r>
        <w:t>c) El otro derecho fundamental que debe ser objeto de este juicio de ponderación es el derecho de participación política en la doble dimensión anteriormente enunciada.</w:t>
      </w:r>
    </w:p>
    <w:p w:rsidR="005728DD" w:rsidRDefault="005728DD" w:rsidP="005728DD">
      <w:pPr>
        <w:pStyle w:val="TextoNormal"/>
      </w:pPr>
    </w:p>
    <w:p w:rsidR="005728DD" w:rsidRDefault="005728DD" w:rsidP="005728DD">
      <w:pPr>
        <w:pStyle w:val="TextoNormal"/>
      </w:pPr>
      <w:r>
        <w:t>El derecho del diputado miembro de una asamblea parlamentaria se extiende a la permanencia en el ejercicio del cargo público y a desempeñarlo de acuerdo con la ley, sin constricciones o perturbaciones ilegítimas [SSTC 10/1983, de 21 de febrero, FJ 2; 32/1985, de 6 de marzo, FJ 3; 220/1991, de 25 de noviembre, FJ 5; 71/1994, de 3 de marzo, FJ 6; 109/2016, de 7 de junio, FJ 3 a); 11/2017, de 10 de enero, FJ 3 a), y 139/2017, de 29 de noviembre, FJ 4 a)], pues “la norma constitucional perdería toda eficacia si, respetado el acceso a la función o cargo público en condiciones de igualdad, su ejercicio pudiera resultar mediatizado o impedido sin remedio jurídico” (STC 161/1988, de 20 de septiembre, FJ 6). Esta garantía adquiere especial relevancia cuando se trata de representantes parlamentarios en defensa del ejercicio de sus funciones, ya que ello comporta defender también el derecho mismo de los ciudadanos a participar a través de la institución de la representación en los asuntos públicos reconocido en el art. 23.1 CE [STC 32/2017, de 27 de febrero, FJ 3, con cita de las SSTC 161/1988, de 20 de septiembre, FJ 6; 177/2002, de 14 de octubre, FJ 3, y 40/2003, de 27 de febrero, FJ 2 a)].</w:t>
      </w:r>
    </w:p>
    <w:p w:rsidR="005728DD" w:rsidRDefault="005728DD" w:rsidP="005728DD">
      <w:pPr>
        <w:pStyle w:val="TextoNormal"/>
      </w:pPr>
    </w:p>
    <w:p w:rsidR="005728DD" w:rsidRDefault="005728DD" w:rsidP="005728DD">
      <w:pPr>
        <w:pStyle w:val="TextoNormal"/>
      </w:pPr>
      <w:r>
        <w:t>En efecto, sobre esta relación de derechos reconocidos en los dos apartados del art. 23 CE, este tribunal tiene dicho que, cuando se trata de cargos representativos, el derecho enunciado en el artículo 23.2 CE ha de ponerse en conexión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participar en los asuntos públicos, al margen ahora del carácter directo que el propio precepto garantiza. Se trata de “dos derechos que encarnan la participación política de los ciudadanos en el sistema democrático, en conexión con los principios de soberanía del pueblo y el pluralismo político consagrados en el art. 1 CE”, que se presuponen mutuamente y aparecen “como modalidades o variantes del mismo principio de representación política” [STC 185/1999, FJ 4 c), con cita de las SSTC 119/1985, de 11 de octubre, FJ 2, y 71/1989, de 20 de abril, FJ 3; doctrina que reitera STC 139/2017, FJ 4 d)]. De suerte que el derecho del artículo 23.2 CE, así como indirectamente el que el artículo 23.1 CE reconoce a los ciudadanos, quedaría vacío de contenido, o sería ineficaz, si el representante político se viese privado del mismo o perturbado ilegalmente en su ejercicio [SSTC 119/2011, de 5 de julio, FJ 3; 109/2016, FJ 3 a); 11/2017, FJ 3 a); 139/2017, FJ 4 d), y 49/2018, de 10 de mayo, FJ 4].</w:t>
      </w:r>
    </w:p>
    <w:p w:rsidR="005728DD" w:rsidRDefault="005728DD" w:rsidP="005728DD">
      <w:pPr>
        <w:pStyle w:val="TextoNormal"/>
      </w:pPr>
    </w:p>
    <w:p w:rsidR="005728DD" w:rsidRDefault="005728DD" w:rsidP="005728DD">
      <w:pPr>
        <w:pStyle w:val="TextoNormal"/>
      </w:pPr>
      <w:r>
        <w:t xml:space="preserve">Como tendremos ocasión de analizar, determinados diputados del Parlament de Cataluña, cuyos datos identificativos han quedado reflejados en el relato de hechos probados, se vieron, en algunos casos, impedidos de poder acceder a la cámara catalana por sus propios medios, otros hallaron dificultades en dicho acceso y, finalmente, algunos de ellos tuvieron que ingresar en el Parlamento utilizando medios de transporte extraordinarios (helicóptero), </w:t>
      </w:r>
      <w:r>
        <w:lastRenderedPageBreak/>
        <w:t>por lo que la dimensión personalizada e individual del derecho de participación política cobra aquí necesaria relevancia para el juicio de ponderación que debamos realizar.</w:t>
      </w:r>
    </w:p>
    <w:p w:rsidR="005728DD" w:rsidRDefault="005728DD" w:rsidP="005728DD">
      <w:pPr>
        <w:pStyle w:val="TextoNormal"/>
      </w:pPr>
    </w:p>
    <w:p w:rsidR="005728DD" w:rsidRDefault="005728DD" w:rsidP="005728DD">
      <w:pPr>
        <w:pStyle w:val="TextoNormal"/>
      </w:pPr>
      <w:r>
        <w:t>La actuación de un grupo más o menos numeroso de personas concentradas frente a la sede parlamentaria, ya lo sea, como alegan los recurrentes, para realizar protestas que afectaban a sus derechos sociales o económicos, ya lo sea, como sostiene el Tribunal Supremo, para tratar de impedir el acceso de los diputados a sus instalaciones al objeto de celebrar una sesión plenaria, afecta también al derecho de participación política de aquellos representantes parlamentarios, que, por ello mismo, merece ser incluido en el juicio de ponderación de derechos que preceda al examen de los hechos.</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Juicio de ponderación entre los anteriores derechos</w:t>
      </w:r>
      <w:r>
        <w:t>.</w:t>
      </w:r>
    </w:p>
    <w:p w:rsidR="005728DD" w:rsidRDefault="005728DD" w:rsidP="005728DD">
      <w:pPr>
        <w:pStyle w:val="TextoNormal"/>
      </w:pPr>
    </w:p>
    <w:p w:rsidR="005728DD" w:rsidRDefault="005728DD" w:rsidP="005728DD">
      <w:pPr>
        <w:pStyle w:val="TextoNormal"/>
      </w:pPr>
      <w:r>
        <w:t xml:space="preserve">A) </w:t>
      </w:r>
      <w:r w:rsidRPr="005728DD">
        <w:rPr>
          <w:i/>
        </w:rPr>
        <w:t>Planteamiento</w:t>
      </w:r>
      <w:r>
        <w:t>.</w:t>
      </w:r>
    </w:p>
    <w:p w:rsidR="005728DD" w:rsidRDefault="005728DD" w:rsidP="005728DD">
      <w:pPr>
        <w:pStyle w:val="TextoNormal"/>
      </w:pPr>
    </w:p>
    <w:p w:rsidR="005728DD" w:rsidRDefault="005728DD" w:rsidP="005728DD">
      <w:pPr>
        <w:pStyle w:val="TextoNormal"/>
      </w:pPr>
      <w:r>
        <w:t>a) En el anterior fundamento jurídico nos hemos limitado a detallar los derechos fundamentales que confluyen y que, incluso, han llegado a entrar en conflicto en el caso de autos. Se trata ahora de realizar el juicio de ponderación que corresponde a este tribunal en relación con aquellos derechos fundamentales que hemos identificado como comprometidos en su ejercicio, a partir de lo contenido en el relato de hechos probados de la sentencia de la Audiencia Nacional.</w:t>
      </w:r>
    </w:p>
    <w:p w:rsidR="005728DD" w:rsidRDefault="005728DD" w:rsidP="005728DD">
      <w:pPr>
        <w:pStyle w:val="TextoNormal"/>
      </w:pPr>
    </w:p>
    <w:p w:rsidR="005728DD" w:rsidRDefault="005728DD" w:rsidP="005728DD">
      <w:pPr>
        <w:pStyle w:val="TextoNormal"/>
      </w:pPr>
      <w:r>
        <w:t>Desde luego, hemos ya de descartar anticipadamente el planteamiento de la Sala de instancia, que únicamente tomó en consideración los derechos fundamentales de reunión, manifestación y libertad de expresión invocados por los recurrentes, dado que se trataría de un visionado incompleto de la problemática constitucional sometida a nuestro enjuiciamiento. Por el contrario, debemos acoger, como criterio de partida de nuestro análisis, el mejor conformado juicio de ponderación entre los anteriores derechos y el de participación política al que se refirió la Sala de casación en su sentencia.</w:t>
      </w:r>
    </w:p>
    <w:p w:rsidR="005728DD" w:rsidRDefault="005728DD" w:rsidP="005728DD">
      <w:pPr>
        <w:pStyle w:val="TextoNormal"/>
      </w:pPr>
    </w:p>
    <w:p w:rsidR="005728DD" w:rsidRDefault="005728DD" w:rsidP="005728DD">
      <w:pPr>
        <w:pStyle w:val="TextoNormal"/>
      </w:pPr>
      <w:r>
        <w:t>b) Seguidamente, para poder llevar a efecto el juicio de ponderación, es preciso que partamos de la descripción del contexto en que se desarrollaron los hechos y determinar, también, cuál fue la actuación de los cinco recurrentes, para después valorarlas desde la perspectiva de los derechos fundamentales que invocan.</w:t>
      </w:r>
    </w:p>
    <w:p w:rsidR="005728DD" w:rsidRDefault="005728DD" w:rsidP="005728DD">
      <w:pPr>
        <w:pStyle w:val="TextoNormal"/>
      </w:pPr>
    </w:p>
    <w:p w:rsidR="005728DD" w:rsidRDefault="005728DD" w:rsidP="005728DD">
      <w:pPr>
        <w:pStyle w:val="TextoNormal"/>
      </w:pPr>
      <w:r>
        <w:t xml:space="preserve">B) </w:t>
      </w:r>
      <w:r w:rsidRPr="005728DD">
        <w:rPr>
          <w:i/>
        </w:rPr>
        <w:t>Contexto y conductas específicamente imputadas a los recurrentes</w:t>
      </w:r>
      <w:r>
        <w:t>.</w:t>
      </w:r>
    </w:p>
    <w:p w:rsidR="005728DD" w:rsidRDefault="005728DD" w:rsidP="005728DD">
      <w:pPr>
        <w:pStyle w:val="TextoNormal"/>
      </w:pPr>
    </w:p>
    <w:p w:rsidR="005728DD" w:rsidRDefault="005728DD" w:rsidP="005728DD">
      <w:pPr>
        <w:pStyle w:val="TextoNormal"/>
      </w:pPr>
      <w:r>
        <w:t>De los hechos declarados probados por la sentencia de la Audiencia Nacional, a los que hemos hecho mención en los antecedentes, podemos extraer, de una parte, el contexto en el que se desarrollaron los acontecimientos en que se incardinan las conductas de los recurrentes y, de otro lado, una exposición de cada una de sus propias conductas individuales:</w:t>
      </w:r>
    </w:p>
    <w:p w:rsidR="005728DD" w:rsidRDefault="005728DD" w:rsidP="005728DD">
      <w:pPr>
        <w:pStyle w:val="TextoNormal"/>
      </w:pPr>
    </w:p>
    <w:p w:rsidR="005728DD" w:rsidRDefault="005728DD" w:rsidP="005728DD">
      <w:pPr>
        <w:pStyle w:val="TextoNormal"/>
      </w:pPr>
      <w:r>
        <w:t xml:space="preserve">a) En este sentido, la decisión de condena considera relevante el contexto que tuvo lugar en la jornada del 15 de junio de 2011. Del mismo cabe destacar los siguientes datos: (i) la sede del Parlamento de Cataluña está situada en el interior del Parc de la Ciutadella de Barcelona; según se describe en la decisión de condena, los hechos imputados a los demandantes se produjeron en el curso de una concentración en la vía pública, previamente publicitada y debidamente comunicada a la autoridad, con el lema “Aturem el Parlament, no deixarem </w:t>
      </w:r>
      <w:r>
        <w:lastRenderedPageBreak/>
        <w:t>que aprovin retallades” —Paremos el Parlament, no permitiremos que aprueben recortes—; (ii) la concentración fue convocada para los días 14 y 15 de junio de 2011, fecha esta última en la que estaba prevista la primera votación parlamentaria sobre los presupuestos anuales de la comunidad autónoma; (iii) a la concentración acudieron entre seiscientas y mil personas que pasaron la noche en el lugar; (iv) desde las 08:00 horas del día 15, los diputados se desplazaron a pie a la sede del Parlamento para acceder por la puerta 7, única del Parc de la Ciutadella que, con custodia policial, se determinó como puerta de acceso una vez disuelta por la fuerza policial la concentración que había frente a ella; (v) en aquel instante, los congregados ocuparon en varias ocasiones la calzada, impidiendo el acceso de vehículos u obstaculizando su marcha; (vi) al tiempo que trataban de acceder al parque en el que se encuentra el Parlament, varios diputados fueron increpados por los manifestantes, que se confrontaron personalmente con ellos expresándoles su desacuerdo con las políticas de gasto que se iban a someter a votación y el resultado previsto de la misma; (vii) paralelamente, en el curso de la protesta, cuando trató de acceder al parque, la prenda de abrigo de una de las diputadas fue rociada con un spray de pintura; (viii) una comitiva de vehículos y motocicletas en la que se desplazaban el presidente de la Generalidad y la del Parlament, hubo de desistir en su intento de acceder al recinto con los vehículos, ante la multitud congregada que ocupaba la calzada; (ix) varios diputados recabaron ayuda policial para poder así acceder a pie al recinto donde se ubica la sede parlamentaria, después de intentarlo infructuosamente debido a las barreras humanas que se formaron, alguno de cuyos componentes arrojó líquidos sobre dos diputados; (x) a uno de los diputados le fue arrebatado un bolso de mano que portaba, y a otro los documentos que llevaba en la mano, así como un paquete de tabaco y un mechero; por último, (xi) dos diputados tuvieron un altercado con un grupo de manifestantes, que les rodearon en la puerta de un garaje y tuvieron que buscar la protección de agentes de policía. Finalmente, llegaron al Parlament en un helicóptero, hacia las 10:20 horas.</w:t>
      </w:r>
    </w:p>
    <w:p w:rsidR="005728DD" w:rsidRDefault="005728DD" w:rsidP="005728DD">
      <w:pPr>
        <w:pStyle w:val="TextoNormal"/>
      </w:pPr>
    </w:p>
    <w:p w:rsidR="005728DD" w:rsidRDefault="005728DD" w:rsidP="005728DD">
      <w:pPr>
        <w:pStyle w:val="TextoNormal"/>
      </w:pPr>
      <w:r>
        <w:t>b) Según el relato histórico de la sentencia, la conducta individual de cada uno de los recurrentes fue la siguiente:</w:t>
      </w:r>
    </w:p>
    <w:p w:rsidR="005728DD" w:rsidRDefault="005728DD" w:rsidP="005728DD">
      <w:pPr>
        <w:pStyle w:val="TextoNormal"/>
      </w:pPr>
    </w:p>
    <w:p w:rsidR="005728DD" w:rsidRDefault="005728DD" w:rsidP="005728DD">
      <w:pPr>
        <w:pStyle w:val="TextoNormal"/>
      </w:pPr>
      <w:r>
        <w:t>(i) Don Francisco José Cobos García se interpuso con los brazos en cruz ante dos parlamentarios que habían sido antes increpados por un centenar de manifestantes cuando caminaban por la vía pública hacia el Parlament y, a continuación, siguió a otro parlamentario con las manos alzadas, gritando las consignas de la manifestación; mientras que doña Angela Bergillos Alguacil, siguió al mismo parlamentario con las manos en alto, moviéndolas, y coreando las consignas de la manifestación.</w:t>
      </w:r>
    </w:p>
    <w:p w:rsidR="005728DD" w:rsidRDefault="005728DD" w:rsidP="005728DD">
      <w:pPr>
        <w:pStyle w:val="TextoNormal"/>
      </w:pPr>
    </w:p>
    <w:p w:rsidR="005728DD" w:rsidRDefault="005728DD" w:rsidP="005728DD">
      <w:pPr>
        <w:pStyle w:val="TextoNormal"/>
      </w:pPr>
      <w:r>
        <w:t>(ii) A don Jordi Raymond Parra se le imputa haberse confrontado personalmente con dos diputados pidiendo en voz alta a otros manifestantes, que ya les habían increpado, que no les dejaran pasar al recinto donde se ubica el Parlament, desplegando al tiempo una pancarta, lo que provocó que los diputados pidieran la protección de los agentes de policía para acceder al recinto donde se encuentra situado el Parlament.</w:t>
      </w:r>
    </w:p>
    <w:p w:rsidR="005728DD" w:rsidRDefault="005728DD" w:rsidP="005728DD">
      <w:pPr>
        <w:pStyle w:val="TextoNormal"/>
      </w:pPr>
    </w:p>
    <w:p w:rsidR="005728DD" w:rsidRDefault="005728DD" w:rsidP="005728DD">
      <w:pPr>
        <w:pStyle w:val="TextoNormal"/>
      </w:pPr>
      <w:r>
        <w:t xml:space="preserve">(iii) Don Rubén Molina Marín y don Carlos Munter Domec se encontraban en un grupo de manifestantes que, cuando un diputado se encaminaba al Parlament por la única vía practicable, le recriminaron las políticas de gastos público recogidas en los presupuestos y le dijeron que, apoyándolas, a ellos no les representaba; ante el nutrido grupo de manifestantes, </w:t>
      </w:r>
      <w:r>
        <w:lastRenderedPageBreak/>
        <w:t>cinco agentes antidisturbios de la policía acompañaron al parlamentario que, con tal apoyo, superó a los manifestantes y accedió al Parlament.</w:t>
      </w:r>
    </w:p>
    <w:p w:rsidR="005728DD" w:rsidRDefault="005728DD" w:rsidP="005728DD">
      <w:pPr>
        <w:pStyle w:val="TextoNormal"/>
      </w:pPr>
    </w:p>
    <w:p w:rsidR="005728DD" w:rsidRDefault="005728DD" w:rsidP="005728DD">
      <w:pPr>
        <w:pStyle w:val="TextoNormal"/>
      </w:pPr>
      <w:r>
        <w:t>C)</w:t>
      </w:r>
      <w:r w:rsidRPr="005728DD">
        <w:rPr>
          <w:i/>
        </w:rPr>
        <w:t xml:space="preserve"> Juicio de ponderació</w:t>
      </w:r>
      <w:r>
        <w:t>n.</w:t>
      </w:r>
    </w:p>
    <w:p w:rsidR="005728DD" w:rsidRDefault="005728DD" w:rsidP="005728DD">
      <w:pPr>
        <w:pStyle w:val="TextoNormal"/>
      </w:pPr>
    </w:p>
    <w:p w:rsidR="005728DD" w:rsidRDefault="005728DD" w:rsidP="005728DD">
      <w:pPr>
        <w:pStyle w:val="TextoNormal"/>
      </w:pPr>
      <w:r>
        <w:t>a) El primer motivo de amparo invoca la vulneración de las libertades de reunión, manifestación y expresión de los recurrentes, pues la aplicación del tipo penal a sus conductas contraviene el contenido constitucionalmente protegido de esas libertades. Atendiendo a este planteamiento, solo si esta libertad se ejerció sin exceso, teniendo en cuenta que también se ve concernido, en lo que ahora importa, el derecho de participación política de los diputados del Parlamento de Cataluña, sería reconocible y procedería la estimación de este motivo del recurso de amparo.</w:t>
      </w:r>
    </w:p>
    <w:p w:rsidR="005728DD" w:rsidRDefault="005728DD" w:rsidP="005728DD">
      <w:pPr>
        <w:pStyle w:val="TextoNormal"/>
      </w:pPr>
    </w:p>
    <w:p w:rsidR="005728DD" w:rsidRDefault="005728DD" w:rsidP="005728DD">
      <w:pPr>
        <w:pStyle w:val="TextoNormal"/>
      </w:pPr>
      <w:r>
        <w:t>Conforme a la doctrina que ya se ha expuesto, el ejercicio de las libertades de reunión, manifestación y expresión no es ilimitado, dado que tiene como límites los que exija la protección de otros bienes o valores constitucionales, entre los que, sin duda, se encuentran aquellos que, como los derechos de participación política del art. 23 CE, tienen el carácter de derechos fundamentales en sí mismos. Lo anterior hace que sea precisa la determinación concreta de cuál sea la situación jurídica de derecho fundamental que, en colisión con otra de la misma condición, deba prevalecer en atención a las circunstancias del caso.</w:t>
      </w:r>
    </w:p>
    <w:p w:rsidR="005728DD" w:rsidRDefault="005728DD" w:rsidP="005728DD">
      <w:pPr>
        <w:pStyle w:val="TextoNormal"/>
      </w:pPr>
    </w:p>
    <w:p w:rsidR="005728DD" w:rsidRDefault="005728DD" w:rsidP="005728DD">
      <w:pPr>
        <w:pStyle w:val="TextoNormal"/>
      </w:pPr>
      <w:r>
        <w:t>En el supuesto enjuiciado debemos valorar, como cuestión previa al juicio de constitucionalidad sobre la propia aplicación del tipo penal y atendiendo siempre a las circunstancias concurrentes del caso, si la conducta enjuiciada constituyó el ejercicio lícito de las libertades de reunión y manifestación en íntima conexión con la libertad de expresión y, en consecuencia, si se justificaba por el valor predominante de esta. En tal examen llegamos a una conclusión negativa, pues tal conducta no quedó amparada por el ejercicio de esos derechos, toda vez que aquella actuación de los recurrentes, pretextando el ejercicio de sus derechos, afectó a los derechos de terceros (diputados del Parlament) que, en aquella situación, debían prevalecer, atendiendo al modo, tiempo y lugar en el que la protesta se hizo efectiva.</w:t>
      </w:r>
    </w:p>
    <w:p w:rsidR="005728DD" w:rsidRDefault="005728DD" w:rsidP="005728DD">
      <w:pPr>
        <w:pStyle w:val="TextoNormal"/>
      </w:pPr>
    </w:p>
    <w:p w:rsidR="005728DD" w:rsidRDefault="005728DD" w:rsidP="005728DD">
      <w:pPr>
        <w:pStyle w:val="TextoNormal"/>
      </w:pPr>
      <w:r>
        <w:t>Nuestro juicio de ponderación debe atender, de una parte, al valor que las libertades de reunión, manifestación y expresión entrañan en una sociedad democrática, que se ven aquí concernidas; y, de otro lado, a las necesidades de protección de otros derechos fundamentales, como el de participación política, en la doble dimensión anteriormente enunciada del ejercicio del cargo público representativo y del derecho de los ciudadanos a aquella participación a través de sus representantes en una asamblea parlamentaria. Y, atendidas las circunstancias del caso, la puesta en valor de uno y otro derecho, el contexto en que aquellas circunstancias se desarrollaron y las conductas de los acusados, debe prevalecer el derecho fundamental del art. 23 CE.</w:t>
      </w:r>
    </w:p>
    <w:p w:rsidR="005728DD" w:rsidRDefault="005728DD" w:rsidP="005728DD">
      <w:pPr>
        <w:pStyle w:val="TextoNormal"/>
      </w:pPr>
    </w:p>
    <w:p w:rsidR="005728DD" w:rsidRDefault="005728DD" w:rsidP="005728DD">
      <w:pPr>
        <w:pStyle w:val="TextoNormal"/>
      </w:pPr>
      <w:r>
        <w:t xml:space="preserve">b) Este tribunal constata que un grupo numeroso de personas se concentró frente a una sede parlamentaria y realizó actos de protesta y reivindicación que, a su programación inicial de convocatoria de reunión pública y manifestación para realizar críticas políticas y de carácter social en defensa de sus intereses, le siguió, en realidad, un contexto, descrito en el relato histórico de la sentencia de la Audiencia Nacional, con empleo de actos, gestos y </w:t>
      </w:r>
      <w:r>
        <w:lastRenderedPageBreak/>
        <w:t>expresiones innecesariamente coercitivas a las que se unió la conducta de los ahora recurrentes, igualmente recogida en los hechos probados y puesta de manifiesto en aquel entorno coercitivo.</w:t>
      </w:r>
    </w:p>
    <w:p w:rsidR="005728DD" w:rsidRDefault="005728DD" w:rsidP="005728DD">
      <w:pPr>
        <w:pStyle w:val="TextoNormal"/>
      </w:pPr>
    </w:p>
    <w:p w:rsidR="005728DD" w:rsidRDefault="005728DD" w:rsidP="005728DD">
      <w:pPr>
        <w:pStyle w:val="TextoNormal"/>
      </w:pPr>
      <w:r>
        <w:t>Tal cúmulo de circunstancias obliga a que nuestro juicio de ponderación parta de la necesidad de decir que aquellos derechos de libertad que invocan los recurrentes admiten limitaciones justificadas en protección de otros derechos y bienes constitucionalmente relevantes que, previstos por la ley, sean proporcionados a esa finalidad legítima.</w:t>
      </w:r>
    </w:p>
    <w:p w:rsidR="005728DD" w:rsidRDefault="005728DD" w:rsidP="005728DD">
      <w:pPr>
        <w:pStyle w:val="TextoNormal"/>
      </w:pPr>
    </w:p>
    <w:p w:rsidR="005728DD" w:rsidRDefault="005728DD" w:rsidP="005728DD">
      <w:pPr>
        <w:pStyle w:val="TextoNormal"/>
      </w:pPr>
      <w:r>
        <w:t xml:space="preserve">c) Ciertamente, la condena penal impuesta a los recurrentes por los hechos imputados supuso objetivamente una restricción de sus derechos de reunión y manifestación, interpretados a la luz de la libertad de expresión, en tanto tal interferencia no solo opera cuando las reuniones son prohibidas o, una vez autorizadas, son disueltas coercitivamente, sino también cuando, una vez finalizadas, sus organizadores o quienes han participado en ellas son sancionados por las conductas protagonizadas durante su desarrollo (SSTEDH de 26 de abril de 1991, </w:t>
      </w:r>
      <w:r w:rsidRPr="005728DD">
        <w:rPr>
          <w:i/>
        </w:rPr>
        <w:t>Ezelin c. Francia</w:t>
      </w:r>
      <w:r>
        <w:t xml:space="preserve">; de 15 de mayo de 2014, </w:t>
      </w:r>
      <w:r w:rsidRPr="005728DD">
        <w:rPr>
          <w:i/>
        </w:rPr>
        <w:t>Taranenko c. Rusia</w:t>
      </w:r>
      <w:r>
        <w:t xml:space="preserve">;de 15 de octubre de 2015, </w:t>
      </w:r>
      <w:r w:rsidRPr="005728DD">
        <w:rPr>
          <w:i/>
        </w:rPr>
        <w:t>Kudrevičius y otros c. Lituania</w:t>
      </w:r>
      <w:r>
        <w:t>; y de 20 de septiembre de 2018</w:t>
      </w:r>
      <w:r w:rsidRPr="005728DD">
        <w:rPr>
          <w:i/>
        </w:rPr>
        <w:t>, Mushegh Saghatelyan c. Armen</w:t>
      </w:r>
      <w:r>
        <w:t>ia).</w:t>
      </w:r>
    </w:p>
    <w:p w:rsidR="005728DD" w:rsidRDefault="005728DD" w:rsidP="005728DD">
      <w:pPr>
        <w:pStyle w:val="TextoNormal"/>
      </w:pPr>
    </w:p>
    <w:p w:rsidR="005728DD" w:rsidRDefault="005728DD" w:rsidP="005728DD">
      <w:pPr>
        <w:pStyle w:val="TextoNormal"/>
      </w:pPr>
      <w:r>
        <w:t>Para el Tribunal Supremo, las conductas de los recurrentes, individualizadas en el relato de hechos probados, adquirieron relevancia penal, precisamente, por haberse ejecutado “en un escenario y clima coactivo, en una atmósfera intimidatoria”, en el que centenares de personas abogaban por un mismo objetivo común: cuestionar la propuesta presupuestaria dificultando y obstaculizando el acceso de los diputados al parque urbano en cuyo interior se encuentra ubicado el Parlament de Cataluña.</w:t>
      </w:r>
    </w:p>
    <w:p w:rsidR="005728DD" w:rsidRDefault="005728DD" w:rsidP="005728DD">
      <w:pPr>
        <w:pStyle w:val="TextoNormal"/>
      </w:pPr>
    </w:p>
    <w:p w:rsidR="005728DD" w:rsidRDefault="005728DD" w:rsidP="005728DD">
      <w:pPr>
        <w:pStyle w:val="TextoNormal"/>
      </w:pPr>
      <w:r>
        <w:t>Coincidimos con la valoración expuesta por la Sala de lo Penal del Tribunal Supremo en que la evaluación del carácter coercitivo o intimidatorio de las conductas imputadas no puede aislarse del contexto en el que se desarrollaron. Con carácter previo o coetáneo a las acciones enjuiciadas, otros manifestantes protagonizaron otras específicamente intimidatorias (lanzamiento de objetos y líquidos a los diputados, rociado con pintura de la prenda de abrigo de una diputada, e incluso la sustracción de objetos personales a otro parlamentario). Tales hechos dan cuenta de un clima de tensión física que no pudo pasar inadvertido a los diputados. Un clima en el cual la interposición de los recurrentes, su confrontación personal con los diputados, los gestos y aspavientos con las manos, la petición a voces a otros manifestantes para que les impidieran el paso, o las increpaciones personales que les dirigieron cuestionando la propuesta presupuestaria sometida a votación, son conductas objetivamente capaces de incidir sobre quienes trataban de acceder al recinto, parcialmente bloqueado, para ejercer en su sede la función parlamentaria representativa.</w:t>
      </w:r>
    </w:p>
    <w:p w:rsidR="005728DD" w:rsidRDefault="005728DD" w:rsidP="005728DD">
      <w:pPr>
        <w:pStyle w:val="TextoNormal"/>
      </w:pPr>
    </w:p>
    <w:p w:rsidR="005728DD" w:rsidRDefault="005728DD" w:rsidP="005728DD">
      <w:pPr>
        <w:pStyle w:val="TextoNormal"/>
      </w:pPr>
      <w:r>
        <w:t>No cabe olvidar que, tanto por la antelación y duración con la que la concentración fue convocada —desde la tarde anterior a la votación—, como por el carácter hiperbólico de su lema —“Paremos el Parlament, no permitiremos que aprueben recortes”—– y por el número de personas que acudieron —entre 600 y 1000—, el dispositivo policial de protección de la sede parlamentaria dispuso el cierre de todas las puertas de acceso al Parc de la Ciutadella, excepto una, por la que, en vehículo o a pie, necesariamente debían transitar los parlamentarios que quedaron así obligados y expuestos a confrontarse directa y personalmente con los manifestantes que se habían congregado en las inmediaciones de dicha puerta.</w:t>
      </w:r>
    </w:p>
    <w:p w:rsidR="005728DD" w:rsidRDefault="005728DD" w:rsidP="005728DD">
      <w:pPr>
        <w:pStyle w:val="TextoNormal"/>
      </w:pPr>
    </w:p>
    <w:p w:rsidR="005728DD" w:rsidRDefault="005728DD" w:rsidP="005728DD">
      <w:pPr>
        <w:pStyle w:val="TextoNormal"/>
      </w:pPr>
      <w:r>
        <w:t>Como ha señalado el Tribunal Europeo Derechos Humanos, en las sociedades democráticas modernas no son infrecuentes las conductas físicas obstructivas que afectan al tráfico rodado o a la libre circulación de personas, de manera que quedan perturbadas de forma relevante las actividades que realizan los demás. Y tampoco es inusual que se lleven a cabo cuando se ejerce la libertad de reunión o manifestación (STC 59/1990, de 29 de marzo, FJ 8). No obstante, se trata de conductas que no forman parte del núcleo de facultades de actuación que define la libertad que reconoce el artículo 11 CEDH; esto es, por hallarse alejadas de su fundamento, no son el objeto principal de protección de esta libertad pública, si bien —como hemos ya expuesto— no están excluidas del ámbito general de protección que el reconocimiento de tal derecho conlleva (STEDH de 15 de octubre de 2015</w:t>
      </w:r>
      <w:r w:rsidRPr="005728DD">
        <w:rPr>
          <w:i/>
        </w:rPr>
        <w:t>, Kudrevičius y otros c. Lituan</w:t>
      </w:r>
      <w:r>
        <w:t>ia, § 97).</w:t>
      </w:r>
    </w:p>
    <w:p w:rsidR="005728DD" w:rsidRDefault="005728DD" w:rsidP="005728DD">
      <w:pPr>
        <w:pStyle w:val="TextoNormal"/>
      </w:pPr>
    </w:p>
    <w:p w:rsidR="005728DD" w:rsidRDefault="005728DD" w:rsidP="005728DD">
      <w:pPr>
        <w:pStyle w:val="TextoNormal"/>
      </w:pPr>
      <w:r>
        <w:t>d) Hemos destacado en anteriores resoluciones, singularmente en la SSTC 136/1999, de 20 de julio, FJ 15, y 112/2016, de 20 de junio, FJ 2, que la libertad de expresión —de la que el derecho de reunión es una manifestación colectiva—, en cuanto es garantía del disentimiento razonado, otorga a todos los ciudadanos el derecho a expresar sus juicios de valor sin sufrir intromisiones por parte de los poderes públicos que no estén apoyadas en leyes que impongan límites constitucionalmente admisibles. Cuando la opinión es instrumento de participación política o se refiere a asuntos de interés general, su protección adquiere una mayor amplitud ya que el bien jurídico tutelado por ella es la formación de una opinión pública libre.</w:t>
      </w:r>
    </w:p>
    <w:p w:rsidR="005728DD" w:rsidRDefault="005728DD" w:rsidP="005728DD">
      <w:pPr>
        <w:pStyle w:val="TextoNormal"/>
      </w:pPr>
    </w:p>
    <w:p w:rsidR="005728DD" w:rsidRDefault="005728DD" w:rsidP="005728DD">
      <w:pPr>
        <w:pStyle w:val="TextoNormal"/>
      </w:pPr>
      <w:r>
        <w:t>Sin embargo, en atención a tal fundamento, no cabe considerar ejercicio legítimo de la libertad de expresión, reunión o manifestación a aquellos mensajes que, por su contenido o por la forma de expresarlos, incorporen amenazas o intimidaciones a los demás, es decir, aquellos casos en que los derechos se ejerciten de forma desmesurada y exorbitante en atención al fin al cual la Constitución le concede su protección preferente (STC 171/1990, de 12 de noviembre, FJ 6).</w:t>
      </w:r>
    </w:p>
    <w:p w:rsidR="005728DD" w:rsidRDefault="005728DD" w:rsidP="005728DD">
      <w:pPr>
        <w:pStyle w:val="TextoNormal"/>
      </w:pPr>
    </w:p>
    <w:p w:rsidR="005728DD" w:rsidRDefault="005728DD" w:rsidP="005728DD">
      <w:pPr>
        <w:pStyle w:val="TextoNormal"/>
      </w:pPr>
      <w:r>
        <w:t>Ya entonces señaló este tribunal la improcedencia de intentar definir en abstracto qué mensajes o comunicaciones tienen carácter amenazante o intimidatorio y cuáles no. Es una cuestión que ha de ser abordada caso a caso, conscientes de la dificultad de “trazar la lábil línea divisoria entre los mensajes amenazantes y los que no lo son” (STC 136/1999, FJ 16). En el caso presente, sin embargo, dichas dificultades no se presentan por cuanto la limitación penal impuesta no trata de coartar el contenido del mensaje de protesta —el desacuerdo con la política de gasto pendiente de aprobación parlamentaria—, sino la forma exorbitante e intimidatoria en que dicho desacuerdo se hizo visible, esto es, dificultando con su conducta el acceso de los diputados a la sede del Parlamento para que este pudiera desarrollar normalmente la sesión plenaria convocada y abordar el orden del día programado, en el que figuraba el debate sobre los presupuestos generales de la comunidad autónoma y, por ende, las decisiones anuales de gasto público, a cuyos eventuales recortes había orientado sus protestas la convocatoria de la concentración.</w:t>
      </w:r>
    </w:p>
    <w:p w:rsidR="005728DD" w:rsidRDefault="005728DD" w:rsidP="005728DD">
      <w:pPr>
        <w:pStyle w:val="TextoNormal"/>
      </w:pPr>
    </w:p>
    <w:p w:rsidR="005728DD" w:rsidRDefault="005728DD" w:rsidP="005728DD">
      <w:pPr>
        <w:pStyle w:val="TextoNormal"/>
      </w:pPr>
      <w:r>
        <w:t xml:space="preserve">En la conducta desarrollada por los demandantes es sencillo disociar el mensaje de protesta y los actos impeditivos que se sancionan penalmente, de forma tal que dichos actos, en cuanto objetivamente intimidatorios, pueden ser objeto de limitación, incluso penal, si concurren en ellos los elementos que conforman el delito tipificado por la ley y si, además, su </w:t>
      </w:r>
      <w:r>
        <w:lastRenderedPageBreak/>
        <w:t>aplicación no produce, por su severidad, un sacrificio innecesario o desproporcionado de la libertad concernida o un efecto que, en otras muchas resoluciones anteriores, hemos calificado de desalentador del ejercicio de los derechos fundamentales implicados en las conductas sancionadas [STC 177/2015, de 22 de julio, FJ 2 d)]; efecto que puede llevar a los ciudadanos a no ejercer plena y libremente sus derechos ante el temor de que cualquier extralimitación sea severamente sancionada.</w:t>
      </w:r>
    </w:p>
    <w:p w:rsidR="005728DD" w:rsidRDefault="005728DD" w:rsidP="005728DD">
      <w:pPr>
        <w:pStyle w:val="TextoNormal"/>
      </w:pPr>
    </w:p>
    <w:p w:rsidR="005728DD" w:rsidRDefault="005728DD" w:rsidP="005728DD">
      <w:pPr>
        <w:pStyle w:val="TextoNormal"/>
      </w:pPr>
      <w:r>
        <w:t>D</w:t>
      </w:r>
      <w:r w:rsidRPr="005728DD">
        <w:rPr>
          <w:i/>
        </w:rPr>
        <w:t>) Desestimaci</w:t>
      </w:r>
      <w:r>
        <w:t>ón.</w:t>
      </w:r>
    </w:p>
    <w:p w:rsidR="005728DD" w:rsidRDefault="005728DD" w:rsidP="005728DD">
      <w:pPr>
        <w:pStyle w:val="TextoNormal"/>
      </w:pPr>
    </w:p>
    <w:p w:rsidR="005728DD" w:rsidRDefault="005728DD" w:rsidP="005728DD">
      <w:pPr>
        <w:pStyle w:val="TextoNormal"/>
      </w:pPr>
      <w:r>
        <w:t>En el caso de autos, después de haber realizado este necesario juicio de ponderación entre los derechos fundamentales invocados por los recurrentes y los del art. 23 CE, para determinar si la conducta sometida a enjuiciamiento constituye un ejercicio lícito de las libertades de reunión, manifestación y expresión, en confrontación con el derecho a la participación política de los diputados del Parlament, hemos llegado a la conclusión de que no es posible reconocer el ejercicio legítimo de aquellos derechos por parte de los recurrentes, a la vista de las diversas circunstancias concurrentes en el caso, de los actos individuales de cada uno de ellos, así como del contexto en que estos fueron realizados, por lo que aquellas conductas no se encontraban dentro del ámbito objetivo de protección de dichas libertades que decían ejercitar.</w:t>
      </w:r>
    </w:p>
    <w:p w:rsidR="005728DD" w:rsidRDefault="005728DD" w:rsidP="005728DD">
      <w:pPr>
        <w:pStyle w:val="TextoNormal"/>
      </w:pPr>
    </w:p>
    <w:p w:rsidR="005728DD" w:rsidRDefault="005728DD" w:rsidP="005728DD">
      <w:pPr>
        <w:pStyle w:val="TextoNormal"/>
      </w:pPr>
      <w:r>
        <w:t>Por todo ello, esta primera queja del recurso de amparo ha de ser desestimada.</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Derecho a la legalidad penal</w:t>
      </w:r>
      <w:r>
        <w:t>.</w:t>
      </w:r>
    </w:p>
    <w:p w:rsidR="005728DD" w:rsidRDefault="005728DD" w:rsidP="005728DD">
      <w:pPr>
        <w:pStyle w:val="TextoNormal"/>
      </w:pPr>
    </w:p>
    <w:p w:rsidR="005728DD" w:rsidRDefault="005728DD" w:rsidP="005728DD">
      <w:pPr>
        <w:pStyle w:val="TextoNormal"/>
      </w:pPr>
      <w:r>
        <w:t xml:space="preserve">A) </w:t>
      </w:r>
      <w:r w:rsidRPr="005728DD">
        <w:rPr>
          <w:i/>
        </w:rPr>
        <w:t>Planteamiento</w:t>
      </w:r>
      <w:r>
        <w:t>.</w:t>
      </w:r>
    </w:p>
    <w:p w:rsidR="005728DD" w:rsidRDefault="005728DD" w:rsidP="005728DD">
      <w:pPr>
        <w:pStyle w:val="TextoNormal"/>
      </w:pPr>
    </w:p>
    <w:p w:rsidR="005728DD" w:rsidRDefault="005728DD" w:rsidP="005728DD">
      <w:pPr>
        <w:pStyle w:val="TextoNormal"/>
      </w:pPr>
      <w:r>
        <w:t>El segundo de los motivos de amparo, denunciado por ambos recursos acumulados bajo la invocada vulneración del derecho a la legalidad penal (art. 25.1 CE), engloba, en realidad, dos quejas: (i) De una parte, se cuestiona la subsunción de las conductas de los recurrentes en el tipo penal del art. 498 CP, debido a la escasa entidad de las descritas e imputadas a cada uno de ellos en el relato histórico del caso. Según exponen las demandas aquellas conductas eran atípicas y el Tribunal Supremo ha incurrido en una aplicación analógica o extensiva del tipo del art. 498 CP. (ii) De otro lado, se alega, también, la infracción del principio de proporcionalidad de las penas, al considerar que las privativas de libertad impuestas a aquellos, tres años de prisión para cada uno de los cinco recurrentes, resultan desproporcionadas, lo que, a su vez, genera un “efecto desaliento” del ejercicio de derechos fundamentales cuando se aplica la ley penal de forma desproporcionada.</w:t>
      </w:r>
    </w:p>
    <w:p w:rsidR="005728DD" w:rsidRDefault="005728DD" w:rsidP="005728DD">
      <w:pPr>
        <w:pStyle w:val="TextoNormal"/>
      </w:pPr>
    </w:p>
    <w:p w:rsidR="005728DD" w:rsidRDefault="005728DD" w:rsidP="005728DD">
      <w:pPr>
        <w:pStyle w:val="TextoNormal"/>
      </w:pPr>
      <w:r>
        <w:t>A continuación y en apartados separados, examinaremos ambas quejas.</w:t>
      </w:r>
    </w:p>
    <w:p w:rsidR="005728DD" w:rsidRDefault="005728DD" w:rsidP="005728DD">
      <w:pPr>
        <w:pStyle w:val="TextoNormal"/>
      </w:pPr>
    </w:p>
    <w:p w:rsidR="005728DD" w:rsidRDefault="005728DD" w:rsidP="005728DD">
      <w:pPr>
        <w:pStyle w:val="TextoNormal"/>
      </w:pPr>
      <w:r>
        <w:t xml:space="preserve">B) </w:t>
      </w:r>
      <w:r w:rsidRPr="005728DD">
        <w:rPr>
          <w:i/>
        </w:rPr>
        <w:t>Invocada vulneración de la garantía material (taxatividad o mandato de certeza</w:t>
      </w:r>
      <w:r>
        <w:t>).</w:t>
      </w:r>
    </w:p>
    <w:p w:rsidR="005728DD" w:rsidRDefault="005728DD" w:rsidP="005728DD">
      <w:pPr>
        <w:pStyle w:val="TextoNormal"/>
      </w:pPr>
    </w:p>
    <w:p w:rsidR="005728DD" w:rsidRDefault="005728DD" w:rsidP="005728DD">
      <w:pPr>
        <w:pStyle w:val="TextoNormal"/>
      </w:pPr>
      <w:r>
        <w:t>a) En relación con este motivo de amparo, no se quejan los recurrentes de la norma penal en abstracto, esto es del tipo penal del art. 498 CP en sí mismo considerado y de la garantía formal anudada al principio de legalidad, que es propia de las normas penales. Por el contrario, la pretensión de amparo se localiza en la garantía material de este derecho fundamental reconocido en el art. 25.1 CE. Más concretamente, en la aplicación judicial al caso con</w:t>
      </w:r>
      <w:r>
        <w:lastRenderedPageBreak/>
        <w:t>creto del referido precepto penal, que las dos demandas plantean desde una doble perspectiva: (i) de una parte, denuncian que, en la medida en que es la primera vez que ha sido aplicado el tipo penal a un supuesto concreto y no haber jurisprudencia anterior sobre su configuración penal, adolecería aquel ámbito material de falta de previsibilidad y de adecuación de la conducta a lo que es conforme a la norma de prohibición que contiene este tipo penal; (ii) y, como se ha anticipado, la levedad de las conductas individuales de cada uno de los recurrentes tendría que haber llevado a un pronunciamiento final absolutorio de la Sala de casación por atipicidad de aquellas conductas.</w:t>
      </w:r>
    </w:p>
    <w:p w:rsidR="005728DD" w:rsidRDefault="005728DD" w:rsidP="005728DD">
      <w:pPr>
        <w:pStyle w:val="TextoNormal"/>
      </w:pPr>
    </w:p>
    <w:p w:rsidR="005728DD" w:rsidRDefault="005728DD" w:rsidP="005728DD">
      <w:pPr>
        <w:pStyle w:val="TextoNormal"/>
      </w:pPr>
      <w:r>
        <w:t xml:space="preserve">b) Descartada, pues, toda impugnación relacionada con la garantía formal del principio de legalidad penal y centradas las quejas en la garantía material de aquel derecho fundamental, hemos de recordar que este tribunal ha declarado muy recientemente que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5728DD">
        <w:rPr>
          <w:i/>
        </w:rPr>
        <w:t>ex ante</w:t>
      </w:r>
      <w:r>
        <w:t xml:space="preserv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 [STC 91/2021, de 22 de abril, FJ 11.1 A) b)].</w:t>
      </w:r>
    </w:p>
    <w:p w:rsidR="005728DD" w:rsidRDefault="005728DD" w:rsidP="005728DD">
      <w:pPr>
        <w:pStyle w:val="TextoNormal"/>
      </w:pPr>
    </w:p>
    <w:p w:rsidR="005728DD" w:rsidRDefault="005728DD" w:rsidP="005728DD">
      <w:pPr>
        <w:pStyle w:val="TextoNormal"/>
      </w:pPr>
      <w:r>
        <w:t>También, este tribunal ha insistido en la importancia del “mandato de taxatividad” y, con cita de su doctrina reiterada, que ahora resumimos (en especial de la STC 146/2015, de 25 de junio, FJ 2), se afirma que aquel mandato de certeza o taxatividad “se traduce en la exigencia de predeterminación normativa de las conductas y de sus correspondientes sanciones (</w:t>
      </w:r>
      <w:r w:rsidRPr="005728DD">
        <w:rPr>
          <w:i/>
        </w:rPr>
        <w:t>lex certa</w:t>
      </w:r>
      <w:r>
        <w:t>), en virtud del cual el legislador debe promulgar normas concretas, precisas, claras e inteligibles, para que los ciudadanos puedan conocer de antemano el ámbito de lo proscrito y prever, así, las consecuencias de sus acciones (STC 185/2014, de 6 de noviembre, FJ 8)”. [STC 91/2021, FJ 11.1 B)].</w:t>
      </w:r>
    </w:p>
    <w:p w:rsidR="005728DD" w:rsidRDefault="005728DD" w:rsidP="005728DD">
      <w:pPr>
        <w:pStyle w:val="TextoNormal"/>
      </w:pPr>
    </w:p>
    <w:p w:rsidR="005728DD" w:rsidRDefault="005728DD" w:rsidP="005728DD">
      <w:pPr>
        <w:pStyle w:val="TextoNormal"/>
      </w:pPr>
      <w:r>
        <w:t xml:space="preserve">Además, tal garantía de certeza,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 [STC 91/2021, FJ 11.1 B), ya citado]. En este sentido, los órganos judiciales deberán huir de la interpretación extensiva o de la analogía </w:t>
      </w:r>
      <w:r w:rsidRPr="005728DD">
        <w:rPr>
          <w:i/>
        </w:rPr>
        <w:t>in malam partem</w:t>
      </w:r>
      <w:r>
        <w:t xml:space="preserve"> (por todas, STC 229/2007, de 5 de noviembre, FJ 4, a la que nos remitimos).</w:t>
      </w:r>
    </w:p>
    <w:p w:rsidR="005728DD" w:rsidRDefault="005728DD" w:rsidP="005728DD">
      <w:pPr>
        <w:pStyle w:val="TextoNormal"/>
      </w:pPr>
    </w:p>
    <w:p w:rsidR="005728DD" w:rsidRDefault="005728DD" w:rsidP="005728DD">
      <w:pPr>
        <w:pStyle w:val="TextoNormal"/>
      </w:pPr>
      <w:r>
        <w:t>Igualmente, este tribunal ha precisado las exigencias a que se deben sujetar los órganos judiciales, al verificar la labor de subsunción de los hechos en la norma penal, habiendo afirmado (con cita de la STC 129/2008, de 27 de octubre, FJ 3, a la que, igualmente, nos remitimos) que el derecho a la legalidad penal se quiebra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 [STC.91/2021, FJ 11.1 D)].</w:t>
      </w:r>
    </w:p>
    <w:p w:rsidR="005728DD" w:rsidRDefault="005728DD" w:rsidP="005728DD">
      <w:pPr>
        <w:pStyle w:val="TextoNormal"/>
      </w:pPr>
    </w:p>
    <w:p w:rsidR="005728DD" w:rsidRDefault="005728DD" w:rsidP="005728DD">
      <w:pPr>
        <w:pStyle w:val="TextoNormal"/>
      </w:pPr>
      <w:r>
        <w:t>También hemos declarado que la razonabilidad de la subsunción de los hechos probados en la norma penal obedece a una serie de criterios, que ahora exponemos de modo resumido: (i) “respeto al tenor literal de la norma”, lo que implica que la subsunción del supuesto de hecho en el tipo penal aplicable no debe ser ajeno al significado posible de los términos de la norma aplicada; (ii) razonabilidad del discurso lógico, que “habrá de ser analizada desde las pautas axiológicas que informan nuestro texto constitucional […] y desde modelos de argumentación aceptados por la propia comunidad jurídica”. (iii) Finalmente,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91/2021, FJ 11.1 D)].</w:t>
      </w:r>
    </w:p>
    <w:p w:rsidR="005728DD" w:rsidRDefault="005728DD" w:rsidP="005728DD">
      <w:pPr>
        <w:pStyle w:val="TextoNormal"/>
      </w:pPr>
    </w:p>
    <w:p w:rsidR="005728DD" w:rsidRDefault="005728DD" w:rsidP="005728DD">
      <w:pPr>
        <w:pStyle w:val="TextoNormal"/>
      </w:pPr>
      <w:r>
        <w:t>Por último, señalar que no compete a este tribunal sustituir a los órganos judiciales en el ejercicio de la función de subsumir los hechos en las normas, pues se trata de una labor que “corresponde en exclusiva a los jueces y tribunales ordinarios, conforme a lo establecido en el art. 117.3 CE. Ello implica que, en esta sede, no procede auspiciar alternativas interpretativas a la sustentada por el tribunal sentenciador, incluso si se considerasen más adecuadas o de mayor fuste. Hemos de limitarnos, pues, a verificar un juicio externo sobre la compatibilidad de la interpretación realizada con el tenor literal de la norma y sobre su razonabilidad metodológica y axiológica”. [STC 91/2021, FJ 11.1 F)].</w:t>
      </w:r>
    </w:p>
    <w:p w:rsidR="005728DD" w:rsidRDefault="005728DD" w:rsidP="005728DD">
      <w:pPr>
        <w:pStyle w:val="TextoNormal"/>
      </w:pPr>
    </w:p>
    <w:p w:rsidR="005728DD" w:rsidRDefault="005728DD" w:rsidP="005728DD">
      <w:pPr>
        <w:pStyle w:val="TextoNormal"/>
      </w:pPr>
      <w:r>
        <w:t>c) En el caso de autos, el tipo penal aparece redactado en términos claros y precisos, toda vez que sanciona el empleo de una serie de medios coercitivos, físicos y psicológicos —a fuerza, la violencia física, la intimidación o la amenaza grave— como instrumentos destinados a una serie de fines típicos recogidos en el precepto. En el caso de autos, el relato histórico revela que aquellas actuaciones de las personas concentradas frente al Parlament, entre las que se encontraban los recurrentes, estaban encaminadas a “impedir” a los diputados el acceso a la sede parlamentaria catalana con el objetivo de que no se constituyera el pleno de la cámara y no resultaran aprobados los presupuestos de la comunidad autónoma.</w:t>
      </w:r>
    </w:p>
    <w:p w:rsidR="005728DD" w:rsidRDefault="005728DD" w:rsidP="005728DD">
      <w:pPr>
        <w:pStyle w:val="TextoNormal"/>
      </w:pPr>
    </w:p>
    <w:p w:rsidR="005728DD" w:rsidRDefault="005728DD" w:rsidP="005728DD">
      <w:pPr>
        <w:pStyle w:val="TextoNormal"/>
      </w:pPr>
      <w:r>
        <w:t xml:space="preserve">Establecida en el juicio de ponderación la prevalencia del derecho de participación política de los parlamentarios catalanes y descartado, por otra parte, el ejercicio de los derechos de reunión, manifestación y libertad de expresión que pretextaban los recurrentes para legitimar constitucionalmente su acción, el lema de la pancarta que había originado la convocatoria “aturem el Parlament, no deixarem que aprovin retallades” es lo suficientemente </w:t>
      </w:r>
      <w:r>
        <w:lastRenderedPageBreak/>
        <w:t>expresivo de aquel objetivo perseguido como para acoger con naturalidad la tesis de la Sala de lo Penal del Tribunal Supremo de que no se trataba “de expresar el desacuerdo con las políticas presupuestarias restrictivas mediante una concentración en las proximidades del Parlament. Tampoco tenía aquella manifestación como objetivo servir de vehículo para proclamar la indignación colectiva frente a esas políticas”, sino que su finalidad era la de “provocar que el órgano de representación política del pueblo catalán se viera incapacitado para el debate y la acción política”, y en definitiva subrayar que “[l]o que perseguían los allí concentrados era atacar las raíces mismas del sistema democrático. Despojar al órgano que expresa la voluntad popular de toda posibilidad de creación normativa (“no deixarem que aprovin/no permitiremos que aprueben”)”.</w:t>
      </w:r>
    </w:p>
    <w:p w:rsidR="005728DD" w:rsidRDefault="005728DD" w:rsidP="005728DD">
      <w:pPr>
        <w:pStyle w:val="TextoNormal"/>
      </w:pPr>
    </w:p>
    <w:p w:rsidR="005728DD" w:rsidRDefault="005728DD" w:rsidP="005728DD">
      <w:pPr>
        <w:pStyle w:val="TextoNormal"/>
      </w:pPr>
      <w:r>
        <w:t>Este tribunal aprecia, de conformidad con lo argumentado por el Tribunal Supremo, que el tipo penal del art. 498 CP protege, no solo la libertad individual de los diputados y el derecho de estos, en cuanto representantes de la voluntad popular, a acceder a la sede parlamentaria para desempeñar con plenitud sus funciones parlamentarias, sino también, se orienta a evitar que determinadas concentraciones o manifestaciones ante las instituciones parlamentarias, utilizando los medios coactivos expresados en el tipo, tengan como objetivo impedir “el normal funcionamiento del órgano parlamentario, con el consiguiente menoscabo del derecho de participación reconocido en el art. 23 de la CE” [FJ 5 F) de la STS de 17 de marzo de 2015, impugnada], a lo que debe añadirse la especial significación constitucional que tiene la sede que alberga el poder legislativo en un sistema de democracia parlamentaria como el que ha diseñado la Constitución de 1978, en el que, como sucede en este caso, el Parlamento catalán y su sede constituyen el órgano representativo de la voluntad popular de los ciudadanos catalanes, en donde “se expresa preferentemente el pluralismo y se hace público el debate político” (art. 55 del Estatuto de Autonomía de Cataluña, aprobado mediante Ley Orgánica 6/2006, de 19 de julio).</w:t>
      </w:r>
    </w:p>
    <w:p w:rsidR="005728DD" w:rsidRDefault="005728DD" w:rsidP="005728DD">
      <w:pPr>
        <w:pStyle w:val="TextoNormal"/>
      </w:pPr>
    </w:p>
    <w:p w:rsidR="005728DD" w:rsidRDefault="005728DD" w:rsidP="005728DD">
      <w:pPr>
        <w:pStyle w:val="TextoNormal"/>
      </w:pPr>
      <w:r>
        <w:t>d) Por lo demás, como ya hemos dicho, no compete a este tribunal sustituir a los órganos judiciales en el ejercicio de la función de subsumir los hechos en las normas, pues ese cometido corresponde en exclusiva a los jueces y tribunales ordinarios, conforme a lo establecido en el art. 117.3 CE. Hemos de limitarnos, pues, a verificar un juicio externo sobre la compatibilidad de la interpretación realizada con el tenor literal de la norma y sobre su razonabilidad metodológica y axiológica. Y este tribunal considera que la labor de subsunción de los hechos en la norma penal aplicada se ajusta al canon expuesto.</w:t>
      </w:r>
    </w:p>
    <w:p w:rsidR="005728DD" w:rsidRDefault="005728DD" w:rsidP="005728DD">
      <w:pPr>
        <w:pStyle w:val="TextoNormal"/>
      </w:pPr>
    </w:p>
    <w:p w:rsidR="005728DD" w:rsidRDefault="005728DD" w:rsidP="005728DD">
      <w:pPr>
        <w:pStyle w:val="TextoNormal"/>
      </w:pPr>
      <w:r>
        <w:t>La Sala de lo Penal del Tribunal Supremo, con apoyo en el relato de hechos probados, aporta hasta diez elementos de hecho, además del lema de la convocatoria, para deducir la existencia de un contexto de coerción destinado a impedir a los diputados que llegaran hasta la sede del Parlament, que fue de la suficiente entidad sobre el ánimo de los parlamentarios que algunos de ellos se vieron en dificultades para acceder a la Cámara, otros tuvieron que abrirse paso auxiliados por las fuerzas policiales y, finalmente, otros tuvieron que acudir al Parlamento utilizando medios extraordinarios de transporte. Igualmente, se describe la conducta de cada uno de los ahora recurrentes de amparo, dentro de aquel contexto y en sintonía con el mismo [fundamento jurídico 6 B) de esta sentencia], por lo que, desde el juicio externo de razonabilidad que corresponde realizar a este tribunal, la argumentación de la Sala Penal respeta la literalidad del precepto penal aplicado, su razonamiento se ajusta a las reglas de la lógica y no se aparta de la orientación material de la norma y de los elementos típicos que la configuran.</w:t>
      </w:r>
    </w:p>
    <w:p w:rsidR="005728DD" w:rsidRDefault="005728DD" w:rsidP="005728DD">
      <w:pPr>
        <w:pStyle w:val="TextoNormal"/>
      </w:pPr>
    </w:p>
    <w:p w:rsidR="005728DD" w:rsidRDefault="005728DD" w:rsidP="005728DD">
      <w:pPr>
        <w:pStyle w:val="TextoNormal"/>
      </w:pPr>
      <w:r>
        <w:t>En consecuencia, la denuncia por alegada infracción del principio de taxatividad de la norma penal y, por tanto, del principio de legalidad penal debe ser desestimada.</w:t>
      </w:r>
    </w:p>
    <w:p w:rsidR="005728DD" w:rsidRDefault="005728DD" w:rsidP="005728DD">
      <w:pPr>
        <w:pStyle w:val="TextoNormal"/>
      </w:pPr>
    </w:p>
    <w:p w:rsidR="005728DD" w:rsidRDefault="005728DD" w:rsidP="005728DD">
      <w:pPr>
        <w:pStyle w:val="TextoNormal"/>
      </w:pPr>
      <w:r w:rsidRPr="005728DD">
        <w:rPr>
          <w:rStyle w:val="NumeroAFNegritaCaracter"/>
        </w:rPr>
        <w:t>7</w:t>
      </w:r>
      <w:r>
        <w:t xml:space="preserve">. </w:t>
      </w:r>
      <w:r w:rsidRPr="005728DD">
        <w:rPr>
          <w:i/>
        </w:rPr>
        <w:t>Principio de proporcionalidad</w:t>
      </w:r>
      <w:r>
        <w:t>.</w:t>
      </w:r>
    </w:p>
    <w:p w:rsidR="005728DD" w:rsidRDefault="005728DD" w:rsidP="005728DD">
      <w:pPr>
        <w:pStyle w:val="TextoNormal"/>
      </w:pPr>
    </w:p>
    <w:p w:rsidR="005728DD" w:rsidRDefault="005728DD" w:rsidP="005728DD">
      <w:pPr>
        <w:pStyle w:val="TextoNormal"/>
      </w:pPr>
      <w:r>
        <w:t xml:space="preserve">7.1. </w:t>
      </w:r>
      <w:r w:rsidRPr="005728DD">
        <w:rPr>
          <w:i/>
        </w:rPr>
        <w:t>Planteamiento</w:t>
      </w:r>
      <w:r>
        <w:t>.</w:t>
      </w:r>
    </w:p>
    <w:p w:rsidR="005728DD" w:rsidRDefault="005728DD" w:rsidP="005728DD">
      <w:pPr>
        <w:pStyle w:val="TextoNormal"/>
      </w:pPr>
    </w:p>
    <w:p w:rsidR="005728DD" w:rsidRDefault="005728DD" w:rsidP="005728DD">
      <w:pPr>
        <w:pStyle w:val="TextoNormal"/>
      </w:pPr>
      <w:r>
        <w:t>Las demandas de amparo acumuladas denuncian, también, una segunda vulneración del derecho fundamental a la legalidad penal, en este caso respecto del principio de proporcionalidad, en relación con los derechos fundamentales de reunión, manifestación y libertad de expresión que invocan en su ejercicio.</w:t>
      </w:r>
    </w:p>
    <w:p w:rsidR="005728DD" w:rsidRDefault="005728DD" w:rsidP="005728DD">
      <w:pPr>
        <w:pStyle w:val="TextoNormal"/>
      </w:pPr>
    </w:p>
    <w:p w:rsidR="005728DD" w:rsidRDefault="005728DD" w:rsidP="005728DD">
      <w:pPr>
        <w:pStyle w:val="TextoNormal"/>
      </w:pPr>
      <w:r>
        <w:t>En concreto, alegan, en primer lugar, la aplicación de penas desproporcionadas, toda vez que sostienen la levedad de las conductas cometidas y, por ello, las penas impuestas han resultado desproporcionadas en función de aquellas conductas y de los derechos fundamentales expresados. En el parecer de los actores, la condena a cada uno de ellos de una pena de tres años de prisión resulta desproporcionada teniendo en cuenta la eventual participación individual que, según el relato histórico, habrían tenido en los hechos. Y, en segundo término, que la reacción punitiva aplicada por la sentencia del Tribunal Supremo produce un “efecto desalentador” en el ejercicio de los derechos fundamentales, reiteradamente proscrito por la jurisprudencia del Tribunal Europeo de Derechos Humanos y por la doctrina de este tribunal.</w:t>
      </w:r>
    </w:p>
    <w:p w:rsidR="005728DD" w:rsidRDefault="005728DD" w:rsidP="005728DD">
      <w:pPr>
        <w:pStyle w:val="TextoNormal"/>
      </w:pPr>
    </w:p>
    <w:p w:rsidR="005728DD" w:rsidRDefault="005728DD" w:rsidP="005728DD">
      <w:pPr>
        <w:pStyle w:val="TextoNormal"/>
      </w:pPr>
      <w:r>
        <w:t>Así pues, aunque la queja se articule bajo el enunciado de una única vulneración, lo cierto es que presenta dos aspectos diferenciados que, pese a estar relacionados entre sí, justifican un tratamiento separado: (i) el de la proporcionalidad de las penas privativas de libertad impuestas, teniendo en cuenta la levedad de las conductas de los recurrentes; (ii) la afectación de los derechos fundamentales a las libertades de reunión, manifestación y expresión por la falta de proporcionalidad de las penas impuestas.</w:t>
      </w:r>
    </w:p>
    <w:p w:rsidR="005728DD" w:rsidRDefault="005728DD" w:rsidP="005728DD">
      <w:pPr>
        <w:pStyle w:val="TextoNormal"/>
      </w:pPr>
    </w:p>
    <w:p w:rsidR="005728DD" w:rsidRDefault="005728DD" w:rsidP="005728DD">
      <w:pPr>
        <w:pStyle w:val="TextoNormal"/>
      </w:pPr>
      <w:r>
        <w:t>Por razones metodológicas, nuestro análisis invertirá el orden de enjuiciamiento de los dos aspectos del principio de proporcionalidad de las penas alegado por los recurrentes, toda vez que, de modo principal, vinculan aquellos la vulneración de su derecho a la legalidad penal con el ejercicio de los derechos fundamentales a las libertades de reunión, manifestación y expresión.</w:t>
      </w:r>
    </w:p>
    <w:p w:rsidR="005728DD" w:rsidRDefault="005728DD" w:rsidP="005728DD">
      <w:pPr>
        <w:pStyle w:val="TextoNormal"/>
      </w:pPr>
    </w:p>
    <w:p w:rsidR="005728DD" w:rsidRDefault="005728DD" w:rsidP="005728DD">
      <w:pPr>
        <w:pStyle w:val="TextoNormal"/>
      </w:pPr>
      <w:r>
        <w:t xml:space="preserve">7.2. </w:t>
      </w:r>
      <w:r w:rsidRPr="005728DD">
        <w:rPr>
          <w:i/>
        </w:rPr>
        <w:t>Afectación de otros derechos fundamentales por la falta de proporcionalidad de las penas</w:t>
      </w:r>
      <w:r>
        <w:t>.</w:t>
      </w:r>
    </w:p>
    <w:p w:rsidR="005728DD" w:rsidRDefault="005728DD" w:rsidP="005728DD">
      <w:pPr>
        <w:pStyle w:val="TextoNormal"/>
      </w:pPr>
    </w:p>
    <w:p w:rsidR="005728DD" w:rsidRDefault="005728DD" w:rsidP="005728DD">
      <w:pPr>
        <w:pStyle w:val="TextoNormal"/>
      </w:pPr>
      <w:r>
        <w:t xml:space="preserve">7.2.1. </w:t>
      </w:r>
      <w:r w:rsidRPr="005728DD">
        <w:rPr>
          <w:i/>
        </w:rPr>
        <w:t>Doctrina constitucional</w:t>
      </w:r>
      <w:r>
        <w:t>.</w:t>
      </w:r>
    </w:p>
    <w:p w:rsidR="005728DD" w:rsidRDefault="005728DD" w:rsidP="005728DD">
      <w:pPr>
        <w:pStyle w:val="TextoNormal"/>
      </w:pPr>
    </w:p>
    <w:p w:rsidR="005728DD" w:rsidRDefault="005728DD" w:rsidP="005728DD">
      <w:pPr>
        <w:pStyle w:val="TextoNormal"/>
      </w:pPr>
      <w:r>
        <w:t>a) Determinar si la decisión de condena penal privativa de libertad impugnada ha vulnerado materialmente el art. 25.1 CE, requiere analizar las exigencias de proporcionalidad que se proyectan sobre la limitación de las libertades de reunión pacífica, manifestación, expresión y, en última instancia, a través de la pena impuesta, sobre la libertad personal.</w:t>
      </w:r>
    </w:p>
    <w:p w:rsidR="005728DD" w:rsidRDefault="005728DD" w:rsidP="005728DD">
      <w:pPr>
        <w:pStyle w:val="TextoNormal"/>
      </w:pPr>
    </w:p>
    <w:p w:rsidR="005728DD" w:rsidRDefault="005728DD" w:rsidP="005728DD">
      <w:pPr>
        <w:pStyle w:val="TextoNormal"/>
      </w:pPr>
      <w:r>
        <w:lastRenderedPageBreak/>
        <w:t>Este tribunal declaró en la STC 55/1996, de 28 de marzo, FJ 3, que el principio de proporcionalidad puede ser inferido de diversos preceptos constitucionales —arts. 1.1, 9.3 y 10.1 CE—. Se trata de un criterio de interpretación que no constituye en nuestro ordenamiento un canon de constitucionalidad autónomo cuya alegación pueda producirse de forma aislada, esto es, sin referencia a otros preceptos constitucionales (STC 62/1982, de 15 de octubre, FFJJ 3 y 5; 160/1987, de 27 de octubre, FJ 6; 177/2015, de 22 de julio, FJ 2, y 112/2016, de 20 de junio, FJ 2).</w:t>
      </w:r>
    </w:p>
    <w:p w:rsidR="005728DD" w:rsidRDefault="005728DD" w:rsidP="005728DD">
      <w:pPr>
        <w:pStyle w:val="TextoNormal"/>
      </w:pPr>
    </w:p>
    <w:p w:rsidR="005728DD" w:rsidRDefault="005728DD" w:rsidP="005728DD">
      <w:pPr>
        <w:pStyle w:val="TextoNormal"/>
      </w:pPr>
      <w:r>
        <w:t>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005728DD" w:rsidRDefault="005728DD" w:rsidP="005728DD">
      <w:pPr>
        <w:pStyle w:val="TextoNormal"/>
      </w:pPr>
    </w:p>
    <w:p w:rsidR="005728DD" w:rsidRDefault="005728DD" w:rsidP="005728DD">
      <w:pPr>
        <w:pStyle w:val="TextoNormal"/>
      </w:pPr>
      <w:r>
        <w:t xml:space="preserve">Por lo expuesto, tanto la configuración legislativa de las limitaciones de los derechos fundamentales, como su aplicación judicial o administrativa concreta, ha de quedar reducida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el convenio, admiten restricciones de los derechos fundamentales cuando, previstas en la ley, son necesarias en una sociedad democrática para la satisfacción de un fin legítimo (SSTEDH de 13 de julio de 1995, </w:t>
      </w:r>
      <w:r w:rsidRPr="005728DD">
        <w:rPr>
          <w:i/>
        </w:rPr>
        <w:t>Tolstoy Milovslasky c. Reino Unido</w:t>
      </w:r>
      <w:r>
        <w:t xml:space="preserve">, § 52 a 55; de 25 de noviembre de 1999, </w:t>
      </w:r>
      <w:r w:rsidRPr="005728DD">
        <w:rPr>
          <w:i/>
        </w:rPr>
        <w:t>Nilsen y Johnsen c. Noruega</w:t>
      </w:r>
      <w:r>
        <w:t xml:space="preserve">, § 53 y de 29 de febrero de 2000, </w:t>
      </w:r>
      <w:r w:rsidRPr="005728DD">
        <w:rPr>
          <w:i/>
        </w:rPr>
        <w:t>Fuentes Bobo c. España</w:t>
      </w:r>
      <w:r>
        <w:t>, § 49 y 50).</w:t>
      </w:r>
    </w:p>
    <w:p w:rsidR="005728DD" w:rsidRDefault="005728DD" w:rsidP="005728DD">
      <w:pPr>
        <w:pStyle w:val="TextoNormal"/>
      </w:pPr>
    </w:p>
    <w:p w:rsidR="005728DD" w:rsidRDefault="005728DD" w:rsidP="005728DD">
      <w:pPr>
        <w:pStyle w:val="TextoNormal"/>
      </w:pPr>
      <w:r>
        <w:t>b) A partir de las anteriores consideraciones generales, este tribunal ha tenido ocasión de pronunciarse sobre la vinculación de las conductas de relevancia penal en el contexto del ejercicio de los derechos fundamentales. En concreto, en las SSTC 104/2011, de 20 de junio, FJ 6, y 62/2019, de 7 de mayo, FJ 7, ha concretado los criterios que, de modo resumido, pueden sintetizarse en los siguientes aspectos:</w:t>
      </w:r>
    </w:p>
    <w:p w:rsidR="005728DD" w:rsidRDefault="005728DD" w:rsidP="005728DD">
      <w:pPr>
        <w:pStyle w:val="TextoNormal"/>
      </w:pPr>
    </w:p>
    <w:p w:rsidR="005728DD" w:rsidRDefault="005728DD" w:rsidP="005728DD">
      <w:pPr>
        <w:pStyle w:val="TextoNormal"/>
      </w:pPr>
      <w:r>
        <w:t>(1). Conducta que “constituye un ejercicio regular del derecho fundamental”. En tales casos, el Tribunal ha declarado que:</w:t>
      </w:r>
    </w:p>
    <w:p w:rsidR="005728DD" w:rsidRDefault="005728DD" w:rsidP="005728DD">
      <w:pPr>
        <w:pStyle w:val="TextoNormal"/>
      </w:pPr>
    </w:p>
    <w:p w:rsidR="005728DD" w:rsidRDefault="005728DD" w:rsidP="005728DD">
      <w:pPr>
        <w:pStyle w:val="TextoNormal"/>
      </w:pPr>
      <w:r>
        <w:t>(i) “[L]os tipos penales no pueden interpretarse y aplicarse de forma contraria a los derechos fundamentales” [SSTC 299/2006, de 23 de octubre, FJ 6, o 108/2008, de 22 de septiembre, FJ 3]. También, se ha afirmado en este punto que “los hechos probados no pueden ser a un mismo tiempo valorados como actos de ejercicio de un derecho fundamental y como conductas constitutivas de un delito” [SSTC 2/2001, de 15 de enero, FJ 2, o 29/2009, de 26 de enero, FJ 3].</w:t>
      </w:r>
    </w:p>
    <w:p w:rsidR="005728DD" w:rsidRDefault="005728DD" w:rsidP="005728DD">
      <w:pPr>
        <w:pStyle w:val="TextoNormal"/>
      </w:pPr>
    </w:p>
    <w:p w:rsidR="005728DD" w:rsidRDefault="005728DD" w:rsidP="005728DD">
      <w:pPr>
        <w:pStyle w:val="TextoNormal"/>
      </w:pPr>
      <w:r>
        <w:t xml:space="preserve">(ii) “La legitimidad de la intervención penal en los casos en que la aplicación de un tipo entra en colisión con el ejercicio de derechos fundamentales no viene determinada por los </w:t>
      </w:r>
      <w:r>
        <w:lastRenderedPageBreak/>
        <w:t>límites del ejercicio del derecho, sino por la delimitación de su contenido (según hemos señalado, por ejemplo, en las SSTC 137/1997, de 21 de julio, FJ 2; 110/2000, de 5 de mayo, FJ 4, o 185/2003, de 27 de octubre, FJ 5)” [STC 62/2019. FJ 7].</w:t>
      </w:r>
    </w:p>
    <w:p w:rsidR="005728DD" w:rsidRDefault="005728DD" w:rsidP="005728DD">
      <w:pPr>
        <w:pStyle w:val="TextoNormal"/>
      </w:pPr>
    </w:p>
    <w:p w:rsidR="005728DD" w:rsidRDefault="005728DD" w:rsidP="005728DD">
      <w:pPr>
        <w:pStyle w:val="TextoNormal"/>
      </w:pPr>
      <w:r>
        <w:t>(iii)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w:t>
      </w:r>
    </w:p>
    <w:p w:rsidR="005728DD" w:rsidRDefault="005728DD" w:rsidP="005728DD">
      <w:pPr>
        <w:pStyle w:val="TextoNormal"/>
      </w:pPr>
    </w:p>
    <w:p w:rsidR="005728DD" w:rsidRDefault="005728DD" w:rsidP="005728DD">
      <w:pPr>
        <w:pStyle w:val="TextoNormal"/>
      </w:pPr>
      <w:r>
        <w:t>(iv) En resumen, “cuando una conducta queda amparada por el ejercicio legítimo de un derecho no puede ser reputada antijurídica, aunque tal conducta sea subsumible en un tipo penal” [STC 62/2019, FJ 7].</w:t>
      </w:r>
    </w:p>
    <w:p w:rsidR="005728DD" w:rsidRDefault="005728DD" w:rsidP="005728DD">
      <w:pPr>
        <w:pStyle w:val="TextoNormal"/>
      </w:pPr>
    </w:p>
    <w:p w:rsidR="005728DD" w:rsidRDefault="005728DD" w:rsidP="005728DD">
      <w:pPr>
        <w:pStyle w:val="TextoNormal"/>
      </w:pPr>
      <w:r>
        <w:t>(2). Conducta en que se aprecien excesos en el ejercicio de un derecho fundamental, aunque tales excesos no alcancen a “desnaturalizarlo o desfigurarlo”: La doctrina de este tribunal ha prescrito que:</w:t>
      </w:r>
    </w:p>
    <w:p w:rsidR="005728DD" w:rsidRDefault="005728DD" w:rsidP="005728DD">
      <w:pPr>
        <w:pStyle w:val="TextoNormal"/>
      </w:pPr>
    </w:p>
    <w:p w:rsidR="005728DD" w:rsidRDefault="005728DD" w:rsidP="005728DD">
      <w:pPr>
        <w:pStyle w:val="TextoNormal"/>
      </w:pPr>
      <w:r>
        <w:t>(i) Se trata de los supuestos en que “se aprecie inequívocamente que el acto se encuadra en su contenido y finalidad y, por tanto, en la razón de ser de su consagración constitucional”. En estos casos,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[STC 62/2019, FJ 7].</w:t>
      </w:r>
    </w:p>
    <w:p w:rsidR="005728DD" w:rsidRDefault="005728DD" w:rsidP="005728DD">
      <w:pPr>
        <w:pStyle w:val="TextoNormal"/>
      </w:pPr>
    </w:p>
    <w:p w:rsidR="005728DD" w:rsidRDefault="005728DD" w:rsidP="005728DD">
      <w:pPr>
        <w:pStyle w:val="TextoNormal"/>
      </w:pPr>
      <w:r>
        <w:t>(ii) En estos supuestos “puede llegar a plantearse la necesidad de ponderar si la sanción penal supone un sacrificio innecesario o desproporcionado del derecho o libertad del que se trate y, por ello, provoca un efecto desalentador” [STC 62/2019, FJ 7].</w:t>
      </w:r>
    </w:p>
    <w:p w:rsidR="005728DD" w:rsidRDefault="005728DD" w:rsidP="005728DD">
      <w:pPr>
        <w:pStyle w:val="TextoNormal"/>
      </w:pPr>
    </w:p>
    <w:p w:rsidR="005728DD" w:rsidRDefault="005728DD" w:rsidP="005728DD">
      <w:pPr>
        <w:pStyle w:val="TextoNormal"/>
      </w:pPr>
      <w:r>
        <w:t>(3). Supuestos que quedan excluidos de la protección del derecho fundamental, que son aquellos “en los que la invocación del derecho fundamental se convierte en un mero pretexto o subterfugio para, a su pretendido amparo, cometer actos antijurídicos” [STC 62/2019, FJ 7]. “El instrumento penal solo será constitucionalmente lícito cuando, con independencia de lo alegado por el recurrente, pueda afirmarse que estamos solo frente a un aparente ejercicio de un derecho fundamental y que la conducta enjuiciada, por su contenido, por la finalidad a la que se orienta o por los medios empleados, desnaturaliza el ejercicio del derecho y se sitúa objetivamente, al margen del contenido propio del mismo y, por ello, en su caso, en el ámbito de lo potencialmente punible” [STC 185/2003, de 27 de octubre, FJ 5].</w:t>
      </w:r>
    </w:p>
    <w:p w:rsidR="005728DD" w:rsidRDefault="005728DD" w:rsidP="005728DD">
      <w:pPr>
        <w:pStyle w:val="TextoNormal"/>
      </w:pPr>
    </w:p>
    <w:p w:rsidR="005728DD" w:rsidRDefault="005728DD" w:rsidP="005728DD">
      <w:pPr>
        <w:pStyle w:val="TextoNormal"/>
      </w:pPr>
      <w:r>
        <w:t>7.2.2</w:t>
      </w:r>
      <w:r w:rsidRPr="005728DD">
        <w:rPr>
          <w:i/>
        </w:rPr>
        <w:t>. Enjuiciamiento y desestimaci</w:t>
      </w:r>
      <w:r>
        <w:t>ón.</w:t>
      </w:r>
    </w:p>
    <w:p w:rsidR="005728DD" w:rsidRDefault="005728DD" w:rsidP="005728DD">
      <w:pPr>
        <w:pStyle w:val="TextoNormal"/>
      </w:pPr>
    </w:p>
    <w:p w:rsidR="005728DD" w:rsidRDefault="005728DD" w:rsidP="005728DD">
      <w:pPr>
        <w:pStyle w:val="TextoNormal"/>
      </w:pPr>
      <w:r>
        <w:t>Podemos adelantar ya que, de los tres supuestos anteriormente expuestos, el de autos hemos de situarlo en el tercero de ellos, esto es en el de que la invocación del derecho fundamental se convierte en un pretexto para la comisión de un hecho antijurídico.</w:t>
      </w:r>
    </w:p>
    <w:p w:rsidR="005728DD" w:rsidRDefault="005728DD" w:rsidP="005728DD">
      <w:pPr>
        <w:pStyle w:val="TextoNormal"/>
      </w:pPr>
    </w:p>
    <w:p w:rsidR="005728DD" w:rsidRDefault="005728DD" w:rsidP="005728DD">
      <w:pPr>
        <w:pStyle w:val="TextoNormal"/>
      </w:pPr>
      <w:r>
        <w:lastRenderedPageBreak/>
        <w:t>En el fundamento jurídico 6 hemos realizado un juicio de ponderación entre los derechos fundamentales que, de una parte, han invocado los recurrentes, el ejercicio de sus libertades de reunión, manifestación y expresión; y, de otro lado, el de participación política que quedó doblemente afectado, en los términos allí expuestos. Y hemos llegado a la conclusión de que, como pone de manifiesto la sentencia del Tribunal Supremo, la concentración tenía “un objetivo bien claro” [FJ 5 G) de la STS de 17 de marzo de 2015], el que aparecía recogido en el lema que guiaba a los concentrados, entre los que se encontraban los recurrentes.</w:t>
      </w:r>
    </w:p>
    <w:p w:rsidR="005728DD" w:rsidRDefault="005728DD" w:rsidP="005728DD">
      <w:pPr>
        <w:pStyle w:val="TextoNormal"/>
      </w:pPr>
    </w:p>
    <w:p w:rsidR="005728DD" w:rsidRDefault="005728DD" w:rsidP="005728DD">
      <w:pPr>
        <w:pStyle w:val="TextoNormal"/>
      </w:pPr>
      <w:r>
        <w:t>El relato de hechos probados pone de manifiesto la constatación de un escenario en la mañana del día 15 de junio de 2011, horas antes de que el Parlament de Cataluña celebrara sesión plenaria para el debate del proyecto de ley de presupuestos de aquella comunidad autónoma, en que un grupo numeroso de personas, entre seiscientas y mil, del que formaban parte los recurrentes, se concentraron frente a las puertas del Parlament atendiendo al lema de “Aturem el Parlament, no deixarem que aprovin retallades” (Paremos el Parlamento, no permitiremos que aprueben recortes).</w:t>
      </w:r>
    </w:p>
    <w:p w:rsidR="005728DD" w:rsidRDefault="005728DD" w:rsidP="005728DD">
      <w:pPr>
        <w:pStyle w:val="TextoNormal"/>
      </w:pPr>
    </w:p>
    <w:p w:rsidR="005728DD" w:rsidRDefault="005728DD" w:rsidP="005728DD">
      <w:pPr>
        <w:pStyle w:val="TextoNormal"/>
      </w:pPr>
      <w:r>
        <w:t>Según precisa la sentencia del Tribunal Supremo, con aquella concentración y con el contexto coercitivo recogido en el relato histórico (referenciado en el fundamento jurídico 6 B de nuestra sentencia), se trataba de impedirles a los diputados el acceso a la sede parlamentaria, ocupando en varias ocasiones la calzada, impidiendo el acceso de vehículos u obstaculizando su marcha, increpando verbalmente a algunos de los parlamentarios, rociando con un spray de pintura la prenda de abrigo de una diputada, haciendo desistir de su intento de acceder al recinto al presidente de la Generalitat y a otros diputados que trataban de hacerlo en vehículos oficiales. Aquella obstrucción llegó al punto de que algunos de los representantes populares tuvieron que recurrir a servirse de un helicóptero para poder evitar el cerco de los que rodeaban el Parlamento y acceder así al interior de la Cámara.</w:t>
      </w:r>
    </w:p>
    <w:p w:rsidR="005728DD" w:rsidRDefault="005728DD" w:rsidP="005728DD">
      <w:pPr>
        <w:pStyle w:val="TextoNormal"/>
      </w:pPr>
    </w:p>
    <w:p w:rsidR="005728DD" w:rsidRDefault="005728DD" w:rsidP="005728DD">
      <w:pPr>
        <w:pStyle w:val="TextoNormal"/>
      </w:pPr>
      <w:r>
        <w:t>Hemos de coincidir con la sentencia del Tribunal Supremo en la apreciación de que el lema de la convocatoria de la concentración fue decisivo para determinar el objetivo perseguido por la conducta antijurídica de los recurrentes. Aquel lema revelaba la verdadera finalidad de la convocatoria y de los que la secundaron. La sentencia del Alto Tribunal explica con precisión que, pese a lo pretextado por dos portavoces no identificados en el relato de hechos probados y pese, también, a que la convocatoria con el lema había sido comunicada a la autoridad gubernativa, se recogía en los hechos que lo que verdaderamente se perseguía era “detener el ataque contra los derechos sociales y los servicios públicos […] que se iban a aprobar”. Es decir, impedir que el Pleno del Parlament pudiera constituirse, debatir y, en su caso, aprobar el proyecto de presupuestos que figuraba en el orden del día de la sesión. En el auto resolviendo el incidente de nulidad de actuaciones, se destaca precisamente “la relevancia” que el contenido de estas declaraciones tuvo “para la calificación penal de los hechos”, en el enjuiciamiento que la Sala Penal del Tribunal Supremo ha hecho del relato histórico proporcionado por la sentencia de instancia.</w:t>
      </w:r>
    </w:p>
    <w:p w:rsidR="005728DD" w:rsidRDefault="005728DD" w:rsidP="005728DD">
      <w:pPr>
        <w:pStyle w:val="TextoNormal"/>
      </w:pPr>
    </w:p>
    <w:p w:rsidR="005728DD" w:rsidRDefault="005728DD" w:rsidP="005728DD">
      <w:pPr>
        <w:pStyle w:val="TextoNormal"/>
      </w:pPr>
      <w:r>
        <w:t xml:space="preserve">Así pues, no nos hallamos, ni en un supuesto de ejercicio legítimo de un derecho, ni tampoco en el de un exceso de aquel ejercicio, pues la conducta de aquellos, en cuanto partícipes de aquella concentración, tenía un objetivo, el de “parar el Parlament”, esto es el de impedir el funcionamiento normal de la Cámara y, además, hacerlo cuando esta iba a celebrar un pleno en el que se iba a debatir una de las iniciativas legislativas más importantes </w:t>
      </w:r>
      <w:r>
        <w:lastRenderedPageBreak/>
        <w:t>de todo curso político como es la del proyecto de ley de presupuestos de aquella comunidad autónoma.</w:t>
      </w:r>
    </w:p>
    <w:p w:rsidR="005728DD" w:rsidRDefault="005728DD" w:rsidP="005728DD">
      <w:pPr>
        <w:pStyle w:val="TextoNormal"/>
      </w:pPr>
    </w:p>
    <w:p w:rsidR="005728DD" w:rsidRDefault="005728DD" w:rsidP="005728DD">
      <w:pPr>
        <w:pStyle w:val="TextoNormal"/>
      </w:pPr>
      <w:r>
        <w:t>Para ello, se trataba de poner obstáculos al acceso de los diputados al interior de la Cámara. Como destaca la sentencia, no estaban allí los concentrados y los recurrentes entre ellos, para mostrar su rechazo a determinadas iniciativas presupuestarias que pudieran suponer recortes de derechos sociales y de servicios públicos, sino para “provocar” que la Cámara catalana se viera “incapacitad[a] para el debate y la acción política”.</w:t>
      </w:r>
    </w:p>
    <w:p w:rsidR="005728DD" w:rsidRDefault="005728DD" w:rsidP="005728DD">
      <w:pPr>
        <w:pStyle w:val="TextoNormal"/>
      </w:pPr>
    </w:p>
    <w:p w:rsidR="005728DD" w:rsidRDefault="005728DD" w:rsidP="005728DD">
      <w:pPr>
        <w:pStyle w:val="TextoNormal"/>
      </w:pPr>
      <w:r>
        <w:t>Ante este relato histórico, hemos de reiterar que no puede hablarse del ejercicio legítimo de un derecho y de la concurrencia de una causa de justificación que exonerara a los recurrentes de la conducta antijurídica cometida; tampoco es posible hablar de un exceso en el ejercicio de aquel derecho, desde el punto y hora en que el objetivo de la concentración convocada era el de paralizar la actividad de la Cámara y que el proyecto de presupuestos no fuera aprobado. Para ello, todas las actuaciones realizadas por los recurrentes, que aparecen recogidas en los hechos probados y el contexto en que se produjeron, tendían a obstaculizar e impedir el acceso de los diputados a la sede de la Cámara.</w:t>
      </w:r>
    </w:p>
    <w:p w:rsidR="005728DD" w:rsidRDefault="005728DD" w:rsidP="005728DD">
      <w:pPr>
        <w:pStyle w:val="TextoNormal"/>
      </w:pPr>
    </w:p>
    <w:p w:rsidR="005728DD" w:rsidRDefault="005728DD" w:rsidP="005728DD">
      <w:pPr>
        <w:pStyle w:val="TextoNormal"/>
      </w:pPr>
      <w:r>
        <w:t>En consecuencia, debe ser desestimado este primer aspecto de la queja de los demandantes, referida a la eventual desproporción de las penas impuestas por hallarse en el ejercicio legítimo de derechos fundamentales o, al menos, en una situación de exceso en aquel ejercicio, lo que impide también la apreciación de que la condena penal haya podido generar un “efecto desalentador” del ejercicio de los derechos fundamentales en las conductas sancionadas. Más bien, a falta de la cobertura constitucional que proporcionan los derechos fundamentales, las penas impuestas cumplen la finalidad de prevención, general y especial, que es característica propia de la respuesta del estado de derecho a la realización de hechos delictivos.</w:t>
      </w:r>
    </w:p>
    <w:p w:rsidR="005728DD" w:rsidRDefault="005728DD" w:rsidP="005728DD">
      <w:pPr>
        <w:pStyle w:val="TextoNormal"/>
      </w:pPr>
    </w:p>
    <w:p w:rsidR="005728DD" w:rsidRDefault="005728DD" w:rsidP="005728DD">
      <w:pPr>
        <w:pStyle w:val="TextoNormal"/>
      </w:pPr>
      <w:r>
        <w:t>7.3</w:t>
      </w:r>
      <w:r w:rsidRPr="005728DD">
        <w:rPr>
          <w:i/>
        </w:rPr>
        <w:t>. El principio de proporcionalidad de las pen</w:t>
      </w:r>
      <w:r>
        <w:t>as:</w:t>
      </w:r>
    </w:p>
    <w:p w:rsidR="005728DD" w:rsidRDefault="005728DD" w:rsidP="005728DD">
      <w:pPr>
        <w:pStyle w:val="TextoNormal"/>
      </w:pPr>
    </w:p>
    <w:p w:rsidR="005728DD" w:rsidRDefault="005728DD" w:rsidP="005728DD">
      <w:pPr>
        <w:pStyle w:val="TextoNormal"/>
      </w:pPr>
      <w:r>
        <w:t xml:space="preserve">7.3.1. </w:t>
      </w:r>
      <w:r w:rsidRPr="005728DD">
        <w:rPr>
          <w:i/>
        </w:rPr>
        <w:t>Doctrina constitucional sobre el principio de proporcionalidad de las penas</w:t>
      </w:r>
      <w:r>
        <w:t>.</w:t>
      </w:r>
    </w:p>
    <w:p w:rsidR="005728DD" w:rsidRDefault="005728DD" w:rsidP="005728DD">
      <w:pPr>
        <w:pStyle w:val="TextoNormal"/>
      </w:pPr>
    </w:p>
    <w:p w:rsidR="005728DD" w:rsidRDefault="005728DD" w:rsidP="005728DD">
      <w:pPr>
        <w:pStyle w:val="TextoNormal"/>
      </w:pPr>
      <w:r>
        <w:t>Descartada la anterior queja, procede ahora el análisis de la segunda de las alegadas en las demandas acumuladas, que está referida, en este caso, a la denunciada desproporción entre las penas impuestas a los recurrentes y la entidad de sus actos, teniendo en cuenta, según afirman, la levedad de las conductas apreciadas en los hechos probados. Para ello, comenzaremos por exponer, en breve síntesis, la doctrina de este tribunal sobre el principio de proporcionalidad de las penas.</w:t>
      </w:r>
    </w:p>
    <w:p w:rsidR="005728DD" w:rsidRDefault="005728DD" w:rsidP="005728DD">
      <w:pPr>
        <w:pStyle w:val="TextoNormal"/>
      </w:pPr>
    </w:p>
    <w:p w:rsidR="005728DD" w:rsidRDefault="005728DD" w:rsidP="005728DD">
      <w:pPr>
        <w:pStyle w:val="TextoNormal"/>
      </w:pPr>
      <w:r>
        <w:t>a) El juicio de proporcionalidad de la pena, que constituye un elemento esencial para la configuración de la tipología penal de los hechos delictivos, fue objeto de estudio por la ya lejana STC 136/1999, de 20 de julio, cuya doctrina es, sin embargo, de plena actualidad por haber sido ratificada por este Tribunal recientemente [SSTC 91/2021, de 22 de abril, FJ 11.5.1.3, y 106/2021, de 11 de mayo, FJ 11 E), entre otras]. Son, resumidamente, expuestos los criterios configuradores de esa doctrina los siguientes (STC 136/1999, FJ 23):</w:t>
      </w:r>
    </w:p>
    <w:p w:rsidR="005728DD" w:rsidRDefault="005728DD" w:rsidP="005728DD">
      <w:pPr>
        <w:pStyle w:val="TextoNormal"/>
      </w:pPr>
    </w:p>
    <w:p w:rsidR="005728DD" w:rsidRDefault="005728DD" w:rsidP="005728DD">
      <w:pPr>
        <w:pStyle w:val="TextoNormal"/>
      </w:pPr>
      <w:r>
        <w:t xml:space="preserve">(i) Es potestad exclusiva del legislador la configuración de “los bienes penalmente protegidos, los comportamientos penalmente reprensibles, el tipo y la cuantía de las sanciones </w:t>
      </w:r>
      <w:r>
        <w:lastRenderedPageBreak/>
        <w:t>penales, y la proporción entre las conductas que pretende evitar y las penas con las que intenta conseguirlo”. Con los límites establecidos por la Constitución, el legislador goza de un amplio margen de libertad “que deriva de su posición constitucional y, en última instancia, de su específica legitimidad democrática”.</w:t>
      </w:r>
    </w:p>
    <w:p w:rsidR="005728DD" w:rsidRDefault="005728DD" w:rsidP="005728DD">
      <w:pPr>
        <w:pStyle w:val="TextoNormal"/>
      </w:pPr>
    </w:p>
    <w:p w:rsidR="005728DD" w:rsidRDefault="005728DD" w:rsidP="005728DD">
      <w:pPr>
        <w:pStyle w:val="TextoNormal"/>
      </w:pPr>
      <w:r>
        <w:t>(ii) “La relación de proporción que deba guardar un comportamiento penalmente típico con la sanción que se le asigna será el fruto de un complejo juicio de oportunidad que no supone una mera ejecución o aplicación de la Constitución, y para el que ha de atender” al “fin esencial y directo de protección al que responde la norma” y a “otros fines legítimos que pueda perseguir con la pena”, así como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w:t>
      </w:r>
    </w:p>
    <w:p w:rsidR="005728DD" w:rsidRDefault="005728DD" w:rsidP="005728DD">
      <w:pPr>
        <w:pStyle w:val="TextoNormal"/>
      </w:pPr>
    </w:p>
    <w:p w:rsidR="005728DD" w:rsidRDefault="005728DD" w:rsidP="005728DD">
      <w:pPr>
        <w:pStyle w:val="TextoNormal"/>
      </w:pPr>
      <w:r>
        <w:t>(iii) Estos efectos de la pena dependerán, a su vez, “de factores tales como la gravedad del comportamiento que se pretende disuadir, las posibilidades fácticas de su detección y sanción y las percepciones sociales relativas a la adecuación entre delito y pena”.</w:t>
      </w:r>
    </w:p>
    <w:p w:rsidR="005728DD" w:rsidRDefault="005728DD" w:rsidP="005728DD">
      <w:pPr>
        <w:pStyle w:val="TextoNormal"/>
      </w:pPr>
    </w:p>
    <w:p w:rsidR="005728DD" w:rsidRDefault="005728DD" w:rsidP="005728DD">
      <w:pPr>
        <w:pStyle w:val="TextoNormal"/>
      </w:pPr>
      <w:r>
        <w:t>(iv) El juicio en sede de amparo, en protección de derechos fundamentales, “debe ser por ello muy cauteloso. Debe limitarse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w:t>
      </w:r>
    </w:p>
    <w:p w:rsidR="005728DD" w:rsidRDefault="005728DD" w:rsidP="005728DD">
      <w:pPr>
        <w:pStyle w:val="TextoNormal"/>
      </w:pPr>
    </w:p>
    <w:p w:rsidR="005728DD" w:rsidRDefault="005728DD" w:rsidP="005728DD">
      <w:pPr>
        <w:pStyle w:val="TextoNormal"/>
      </w:pPr>
      <w:r>
        <w:t>(v) La reacción penal es proporcionada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Y lo será “si el bien jurídico protegido por la norma cuestionada o, mejor, si los fines inmediatos y mediatos de protección de la misma, son suficientemente relevantes”. Además,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005728DD" w:rsidRDefault="005728DD" w:rsidP="005728DD">
      <w:pPr>
        <w:pStyle w:val="TextoNormal"/>
      </w:pPr>
    </w:p>
    <w:p w:rsidR="005728DD" w:rsidRDefault="005728DD" w:rsidP="005728DD">
      <w:pPr>
        <w:pStyle w:val="TextoNormal"/>
      </w:pPr>
      <w:r>
        <w:t>(vi) La norma penal o la sanción penal incluida en el precepto debe calificarse de “innecesaria” cuando “resulta evidente la manifiesta suficiencia de un medio alternativo menos restrictivo de derechos para la consecución igualmente eficaz de las finalidades deseadas por el legislador”.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w:t>
      </w:r>
    </w:p>
    <w:p w:rsidR="005728DD" w:rsidRDefault="005728DD" w:rsidP="005728DD">
      <w:pPr>
        <w:pStyle w:val="TextoNormal"/>
      </w:pPr>
    </w:p>
    <w:p w:rsidR="005728DD" w:rsidRDefault="005728DD" w:rsidP="005728DD">
      <w:pPr>
        <w:pStyle w:val="TextoNormal"/>
      </w:pPr>
      <w:r>
        <w:t>7.3.2</w:t>
      </w:r>
      <w:r w:rsidRPr="005728DD">
        <w:rPr>
          <w:i/>
        </w:rPr>
        <w:t>. Enjuiciamiento y desestimaci</w:t>
      </w:r>
      <w:r>
        <w:t>ón.</w:t>
      </w:r>
    </w:p>
    <w:p w:rsidR="005728DD" w:rsidRDefault="005728DD" w:rsidP="005728DD">
      <w:pPr>
        <w:pStyle w:val="TextoNormal"/>
      </w:pPr>
    </w:p>
    <w:p w:rsidR="005728DD" w:rsidRDefault="005728DD" w:rsidP="005728DD">
      <w:pPr>
        <w:pStyle w:val="TextoNormal"/>
      </w:pPr>
      <w:r>
        <w:t>a) La aplicación de los criterios expuestos a las pretensiones de amparo planteadas se dirige a analizar si la decisión de condena acordada en este caso, en cuanto es privativa de libertad, lo fue en protección de un fin constitucionalmente legítimo (lo que parece incontestable) y si, además, representó un sacrificio útil, necesario y proporcionado a la consecución de dicho fin (art. 25.1 CE).</w:t>
      </w:r>
    </w:p>
    <w:p w:rsidR="005728DD" w:rsidRDefault="005728DD" w:rsidP="005728DD">
      <w:pPr>
        <w:pStyle w:val="TextoNormal"/>
      </w:pPr>
    </w:p>
    <w:p w:rsidR="005728DD" w:rsidRDefault="005728DD" w:rsidP="005728DD">
      <w:pPr>
        <w:pStyle w:val="TextoNormal"/>
      </w:pPr>
      <w:r>
        <w:t>Desde la perspectiva del art. 25.1 de la Constitución, lo que se cuestiona en los recursos acumulados no es la norma penal, ni tampoco la pena prevista en abstracto para el tipo del art. 498 CP (tres a cinco años de prisión), sino su aplicación judicial al caso concreto. Dicho de otra forma, la cuestión constitucional planteada en los recursos no tiene que ver con la previsión legal abstracta recogida en el art. 498 CP, dado que los bienes jurídicos que protege son suficientemente relevantes para merecer protección penal, sino con la proporcionalidad en sentido estricto de la concreta respuesta penal adoptada en este caso.</w:t>
      </w:r>
    </w:p>
    <w:p w:rsidR="005728DD" w:rsidRDefault="005728DD" w:rsidP="005728DD">
      <w:pPr>
        <w:pStyle w:val="TextoNormal"/>
      </w:pPr>
    </w:p>
    <w:p w:rsidR="005728DD" w:rsidRDefault="005728DD" w:rsidP="005728DD">
      <w:pPr>
        <w:pStyle w:val="TextoNormal"/>
      </w:pPr>
      <w:r>
        <w:t>b) Como anticipamos, la norma penal aplicada persigue un fin legítimo, no es indeterminada y está prevista en la ley de forma accesible y previsible. Ninguna duda razonada ni razonable cabe sobre la relevancia y legitimidad de la finalidad del tipo penal aplicado, pues se dirige a proteger el desarrollo normal y sin coacciones de la actividad parlamentaria representativa. En pronunciamientos recientes cuyo contenido debemos aquí reiterar (SSTC 19/2019, de 12 de febrero, FJ 5, y 45/2019, de 27 de marzo, FJ 6) ha destacado este tribunal la importancia de la sede del Parlamento como espacio que garantiza que los diputados puedan ejercer su función representativa sin perturbaciones; hemos añadido allí que la sede del Parlamento “cumple también una función simbólica, al ser ese el único lugar en el que el sujeto inmaterial que es el pueblo se hace presente ante la ciudadanía como unidad de imputación y se evidencia la centralidad de esta institución; […] es la sede donde se expresa preferentemente el pluralismo político y se hace público el debate político”. En esa medida, el bien jurídico protegido por la norma penal constituye, sin duda, un interés público esencial.</w:t>
      </w:r>
    </w:p>
    <w:p w:rsidR="005728DD" w:rsidRDefault="005728DD" w:rsidP="005728DD">
      <w:pPr>
        <w:pStyle w:val="TextoNormal"/>
      </w:pPr>
    </w:p>
    <w:p w:rsidR="005728DD" w:rsidRDefault="005728DD" w:rsidP="005728DD">
      <w:pPr>
        <w:pStyle w:val="TextoNormal"/>
      </w:pPr>
      <w:r>
        <w:t>Por otra parte, la dicción del art. 498 CP es accesible y previsible, dado que expresa un mandato claro de no impedir asistir a sus reuniones, mediante fuerza, violencia, intimidación o amenaza grave a un miembro de una asamblea legislativa de comunidad autónoma, o no coartar la libre manifestación de sus opiniones o la emisión de su voto.</w:t>
      </w:r>
    </w:p>
    <w:p w:rsidR="005728DD" w:rsidRDefault="005728DD" w:rsidP="005728DD">
      <w:pPr>
        <w:pStyle w:val="TextoNormal"/>
      </w:pPr>
    </w:p>
    <w:p w:rsidR="005728DD" w:rsidRDefault="005728DD" w:rsidP="005728DD">
      <w:pPr>
        <w:pStyle w:val="TextoNormal"/>
      </w:pPr>
      <w:r>
        <w:t>c) Por ello, nuestro análisis se centrará en la proporcionalidad de la sanción penal impuesta, criterio de juicio que, con énfasis, ha sido también cuestionado por los recurrentes en sus alegaciones, puesto que entienden que la pena impuesta no se corresponde, en términos de proporcionalidad, con la levedad de las conductas que, respecto de cada uno de ellos, queda reflejada en el relato de hechos probados de la sentencia de la Audiencia Nacional, que es el que ha tomado en cuenta el Tribunal Supremo para apreciar su participación en los hechos. Además, denuncian que a todos se les ha impuesto la misma pena, sin que, incluso, sus conductas reflejadas en aquel relato hayan sido idénticas.</w:t>
      </w:r>
    </w:p>
    <w:p w:rsidR="005728DD" w:rsidRDefault="005728DD" w:rsidP="005728DD">
      <w:pPr>
        <w:pStyle w:val="TextoNormal"/>
      </w:pPr>
    </w:p>
    <w:p w:rsidR="005728DD" w:rsidRDefault="005728DD" w:rsidP="005728DD">
      <w:pPr>
        <w:pStyle w:val="TextoNormal"/>
      </w:pPr>
      <w:r>
        <w:t>En consecuencia, deberemos hacer una serie de consideraciones de carácter general antes de abordar el enjuiciamiento de esta queja:</w:t>
      </w:r>
    </w:p>
    <w:p w:rsidR="005728DD" w:rsidRDefault="005728DD" w:rsidP="005728DD">
      <w:pPr>
        <w:pStyle w:val="TextoNormal"/>
      </w:pPr>
    </w:p>
    <w:p w:rsidR="005728DD" w:rsidRDefault="005728DD" w:rsidP="005728DD">
      <w:pPr>
        <w:pStyle w:val="TextoNormal"/>
      </w:pPr>
      <w:r>
        <w:lastRenderedPageBreak/>
        <w:t>(i) En primer lugar, habiendo desestimado la pretensión anterior de los recurrentes, relativa a la denunciada vulneración del principio de legalidad penal y de la imposición de una pena por hallarse en el ejercicio legítimo de derechos fundamentales, o, al menos, de modo subsidiario, en un supuesto de exceso en el ejercicio de aquellos derechos, el punto de partida de nuestro análisis no puede ser otro que el de entender que aquellas conductas fueron realizadas bajo la pretextada apariencia del ejercicio de derechos fundamentales que no pueden servir de causa de justificación de las acciones antijurídicas que hayan podido realizar los recurrentes.</w:t>
      </w:r>
    </w:p>
    <w:p w:rsidR="005728DD" w:rsidRDefault="005728DD" w:rsidP="005728DD">
      <w:pPr>
        <w:pStyle w:val="TextoNormal"/>
      </w:pPr>
    </w:p>
    <w:p w:rsidR="005728DD" w:rsidRDefault="005728DD" w:rsidP="005728DD">
      <w:pPr>
        <w:pStyle w:val="TextoNormal"/>
      </w:pPr>
      <w:r>
        <w:t>(ii) En segundo término, que el juicio de subsunción de las conductas reflejadas en el relato de hechos probados dentro del delito del art. 498 CP, la concurrencia de los elementos del tipo, la delimitación de sus partícipes y la determinación del grado de participación individualizada, así como la penalidad impuesta a cada uno de ellos es, en principio, una tarea que corresponde en exclusiva a la jurisdicción ordinaria, en este caso al Tribunal Supremo, en su exclusiva potestad de juzgar y hacer ejecutar lo juzgado (art. 117.3 CE). En relación con estos aspectos no nos corresponde hacer un juicio sobre la constitucionalidad del grado de participación de cada uno de los recurrentes y sobre si, en función de aquel grado participativo, la pena impuesta a cada uno ellos ha resultado proporcionada a su grado de participación. Nuestro juicio debe limitarse únicamente a valorar si los razonamientos ofrecidos por la sentencia del Tribunal Supremo son o no arbitrarios, manifiestamente irrazonables, pueden ser tildados de aberrantes o se aprecia contrariedad al parámetro de razonabilidad axiológica asentado por nuestra doctrina.</w:t>
      </w:r>
    </w:p>
    <w:p w:rsidR="005728DD" w:rsidRDefault="005728DD" w:rsidP="005728DD">
      <w:pPr>
        <w:pStyle w:val="TextoNormal"/>
      </w:pPr>
    </w:p>
    <w:p w:rsidR="005728DD" w:rsidRDefault="005728DD" w:rsidP="005728DD">
      <w:pPr>
        <w:pStyle w:val="TextoNormal"/>
      </w:pPr>
      <w:r>
        <w:t>(iii) Finalmente, la demanda no cuestiona la constitucionalidad del art. 498 CP ni de la pena prevista en abstracto. Tampoco invita al Tribunal Constitucional a plantearse una cuestión (interna) de inconstitucionalidad. Por lo tanto, el respeto a los hechos probados impide apreciar la concurrencia de un ejercicio legítimo de los derechos a la libertad de expresión, reunión o manifestación, lo que, a su vez, no permite apreciar la concurrencia de una eximente o de una atenuante, que correspondería, en todo caso, a la jurisdicción ordinaria. Como se recuerda en la ponencia, los hechos no pueden ser, al mismo tiempo, ejercicio de un derecho y una conducta delictiva.</w:t>
      </w:r>
    </w:p>
    <w:p w:rsidR="005728DD" w:rsidRDefault="005728DD" w:rsidP="005728DD">
      <w:pPr>
        <w:pStyle w:val="TextoNormal"/>
      </w:pPr>
    </w:p>
    <w:p w:rsidR="005728DD" w:rsidRDefault="005728DD" w:rsidP="005728DD">
      <w:pPr>
        <w:pStyle w:val="TextoNormal"/>
      </w:pPr>
      <w:r>
        <w:t>Sobre la base de las anteriores consideraciones generales debemos ahora realizar el análisis de la queja planteada. Así, podemos advertir que:</w:t>
      </w:r>
    </w:p>
    <w:p w:rsidR="005728DD" w:rsidRDefault="005728DD" w:rsidP="005728DD">
      <w:pPr>
        <w:pStyle w:val="TextoNormal"/>
      </w:pPr>
    </w:p>
    <w:p w:rsidR="005728DD" w:rsidRDefault="005728DD" w:rsidP="005728DD">
      <w:pPr>
        <w:pStyle w:val="TextoNormal"/>
      </w:pPr>
      <w:r>
        <w:t>(i) La Sala de casación descarta la autoría por este delito “de todos aquellos respecto de los que la Audiencia Nacional solo ha estimado probada su presencia en el lugar de los hechos, sin relación directa con los incidentes que en el juicio histórico se describen”. Por tanto, establece una preliminar delimitación entre las personas que, estando presentes en la concentración, no quedó acreditada su participación en los hechos delictivos, y a las que sí se hizo referencia en los mismos.</w:t>
      </w:r>
    </w:p>
    <w:p w:rsidR="005728DD" w:rsidRDefault="005728DD" w:rsidP="005728DD">
      <w:pPr>
        <w:pStyle w:val="TextoNormal"/>
      </w:pPr>
    </w:p>
    <w:p w:rsidR="005728DD" w:rsidRDefault="005728DD" w:rsidP="005728DD">
      <w:pPr>
        <w:pStyle w:val="TextoNormal"/>
      </w:pPr>
      <w:r>
        <w:t xml:space="preserve">(ii) En la descripción de los distintos elementos del tipo, los apartados F) y G) del fundamento jurídico 5 de la sentencia del Tribunal Supremo, determinan, para el supuesto típico enjuiciado, la configuración legal del delito del art. 498 CP, como delito de tendencia, esto es como tipo delictivo que, para su consumación, no exige la producción del resultado querido o esperado por los partícipes en el hecho delictivo, sino que, por decisión legislativa, </w:t>
      </w:r>
      <w:r>
        <w:lastRenderedPageBreak/>
        <w:t>se anticipa la protección penal de los bienes jurídicos protegidos bastando la mera acreditación de aquel fin u objetivo. Se constata, igualmente, la utilización de los instrumentos de violencia física y psíquica que caracterizan la acción típica; y, posteriormente, sobre la base del relato de hechos probados, la sentencia identifica los autores del tipo penal entre los que incluye a los cinco recurrentes, haciendo, más adelante, una relación detallada e individualizada de los actos singulares que, en el contexto de “clima coactivo” y en la “atmósfera intimidatoria descrita en el hecho probado”, realizaron cada uno de los demandantes de amparo, con la misma finalidad en todos ellos de tratar de “paralizar las actividades parlamentarias que preveían la aprobación de medidas presupuestarias de restricción del gasto público”.</w:t>
      </w:r>
    </w:p>
    <w:p w:rsidR="005728DD" w:rsidRDefault="005728DD" w:rsidP="005728DD">
      <w:pPr>
        <w:pStyle w:val="TextoNormal"/>
      </w:pPr>
    </w:p>
    <w:p w:rsidR="005728DD" w:rsidRDefault="005728DD" w:rsidP="005728DD">
      <w:pPr>
        <w:pStyle w:val="TextoNormal"/>
      </w:pPr>
      <w:r>
        <w:t>(iii) Igualmente, la sentencia del Tribunal Supremo ha reputado autores del delito del art. 498 CP a los cinco recurrentes. En cuanto a la valoración sobre la concreta conducta de cada uno de los recurrentes, la propia descripción típica recogida en el art. 498 CP nos sitúa ante lo que la doctrina denomina “tipos colectivos”. En ocasiones, el legislador utiliza expresiones que abarcan tanto una sola acción prohibida como varias del mismo tenor. De esta forma, con una sola de ellas ya queda perfeccionado el delito, de modo que su repetición o la concurrencia de varios sujetos activos no implica otro/s delito/s a añadir. Por eso, en este caso, no procede hacer distinciones sobre la mayor o menor incidencia de la participación individual. La acción de cada uno de ellos contribuye a la comisión del hecho, porque con su conducta coactiva ejercida en un contexto general de intimidación ambiental, contribuyen causalmente a la realización de la conducta típica. La sentencia pone de relieve que los ahora recurrentes actuaron bajo acuerdo común y con el mismo objetivo, el de evitar que los diputados entraran en la sede del Parlament para que la Cámara no pudiera desarrollar con normalidad su actividad legislativa.</w:t>
      </w:r>
    </w:p>
    <w:p w:rsidR="005728DD" w:rsidRDefault="005728DD" w:rsidP="005728DD">
      <w:pPr>
        <w:pStyle w:val="TextoNormal"/>
      </w:pPr>
    </w:p>
    <w:p w:rsidR="005728DD" w:rsidRDefault="005728DD" w:rsidP="005728DD">
      <w:pPr>
        <w:pStyle w:val="TextoNormal"/>
      </w:pPr>
      <w:r>
        <w:t>En cualquier caso, la falta de una individualización concreta de la participación de cada uno de los recurrentes puede considerarse inocua desde la perspectiva de la proporcionalidad de la pena, por cuanto se ha impuesto la pena mínima a todos ellos, esto es la de tres años de prisión.</w:t>
      </w:r>
    </w:p>
    <w:p w:rsidR="005728DD" w:rsidRDefault="005728DD" w:rsidP="005728DD">
      <w:pPr>
        <w:pStyle w:val="TextoNormal"/>
      </w:pPr>
    </w:p>
    <w:p w:rsidR="005728DD" w:rsidRDefault="005728DD" w:rsidP="005728DD">
      <w:pPr>
        <w:pStyle w:val="TextoNormal"/>
      </w:pPr>
      <w:r>
        <w:t>(iv) Por lo que se refiere a la gravedad intrínseca de la pena de tres años de prisión impuesta a cada uno de ellos, se trata de la pena mínima y se corresponde con la relevancia del bien jurídico protegido al que hemos hecho mención anteriormente. No ha de olvidarse que las sedes parlamentarias “revisten una doble trascendencia que las hace dignas de protección jurídica. Por un lado albergan el desenvolvimiento efectivo de las funciones representativas por medio del funcionamiento del órgano legislativo en sus distintas formas y composiciones. Por otro lado, resulta inherente a ellas, incluso cuando están inactivas, su carácter de representación institucional de la voluntad popular, de modo que constituyen un símbolo del más alto valor constitucional” [STC 172/2020, de 19 de noviembre, FJ 6 C c)].</w:t>
      </w:r>
    </w:p>
    <w:p w:rsidR="005728DD" w:rsidRDefault="005728DD" w:rsidP="005728DD">
      <w:pPr>
        <w:pStyle w:val="TextoNormal"/>
      </w:pPr>
    </w:p>
    <w:p w:rsidR="005728DD" w:rsidRDefault="005728DD" w:rsidP="005728DD">
      <w:pPr>
        <w:pStyle w:val="TextoNormal"/>
      </w:pPr>
      <w:r>
        <w:t xml:space="preserve">El tipo del art. 498 CP protege un conjunto de bienes jurídicos de especial significación y relevancia para la arquitectura constitucional del Estado democrático de Derecho y para el sistema de democracia parlamentaria diseñado por la Constitución de 1978. De ahí que la pena privativa de libertad prevista para ese delito tenga en abstracto una determinada gravedad, entre tres y cinco años, que en el catálogo de penas del art. 33.3 CP alcanza la condición de pena menos grave, con una carga punitiva intermedia. La sentencia ha reputado como autores de este delito a los cinco recurrentes y les ha impuesto la pena mínima </w:t>
      </w:r>
      <w:r>
        <w:lastRenderedPageBreak/>
        <w:t>prevista para los mismos, por lo que, desde la estricta perspectiva de la reacción del poder punitivo del Estado, la respuesta penal aplicada por la sentencia del Tribunal Supremo al delito cometido ha sido la mínima.</w:t>
      </w:r>
    </w:p>
    <w:p w:rsidR="005728DD" w:rsidRDefault="005728DD" w:rsidP="005728DD">
      <w:pPr>
        <w:pStyle w:val="TextoNormal"/>
      </w:pPr>
    </w:p>
    <w:p w:rsidR="005728DD" w:rsidRDefault="005728DD" w:rsidP="005728DD">
      <w:pPr>
        <w:pStyle w:val="TextoNormal"/>
      </w:pPr>
      <w:r>
        <w:t>(v) Por último, desde la perspectiva del juicio y control externo de constitucionalidad que a este tribunal incumbe, hemos de llegar a la conclusión de que la sentencia del Tribunal Supremo ha ofrecido una argumentación que, de manera razonable, ha hecho un juicio de calificación jurídica de los hechos, ha apreciado la concurrencia en los cinco recurrentes de un acuerdo común de actuar en pos de un mismo objetivo, el de tratar de impedir el acceso al recinto parlamentario de los diputados que cada uno de ellos encontró; ha asumido el relato de hechos probados que proporcionó la sentencia de instancia y, sobre la base de aquel relato histórico, ha individualizado los actos de fuerza e intimidación que, en el seno del contexto igualmente descrito en el relato histórico, realizaron cada uno de los recurrentes, siendo razonado y razonable que el análisis individual de aquellas conductas se realice en el precitado contexto colectivo.</w:t>
      </w:r>
    </w:p>
    <w:p w:rsidR="005728DD" w:rsidRDefault="005728DD" w:rsidP="005728DD">
      <w:pPr>
        <w:pStyle w:val="TextoNormal"/>
      </w:pPr>
    </w:p>
    <w:p w:rsidR="005728DD" w:rsidRDefault="005728DD" w:rsidP="005728DD">
      <w:pPr>
        <w:pStyle w:val="TextoNormal"/>
      </w:pPr>
      <w:r>
        <w:t>Por todo ello, resulta razonable también que la pena a imponer sea la misma, habida cuenta de que a todos ellos se les ha calificado jurídicamente con la misma categoría participativa como autores de aquel delito, tratándose, además, de la pena mínima prevista por la norma penal para su comisión.</w:t>
      </w:r>
    </w:p>
    <w:p w:rsidR="005728DD" w:rsidRDefault="005728DD" w:rsidP="005728DD">
      <w:pPr>
        <w:pStyle w:val="TextoNormal"/>
      </w:pPr>
    </w:p>
    <w:p w:rsidR="005728DD" w:rsidRDefault="005728DD" w:rsidP="005728DD">
      <w:pPr>
        <w:pStyle w:val="TextoNormal"/>
      </w:pPr>
      <w:r>
        <w:t>En consecuencia, debemos desestimar esta última queja vinculada al principio de legalidad penal y al de proporcionalidad de las penas.</w:t>
      </w:r>
    </w:p>
    <w:p w:rsidR="005728DD" w:rsidRDefault="005728DD" w:rsidP="005728DD">
      <w:pPr>
        <w:pStyle w:val="TextoNormal"/>
      </w:pPr>
    </w:p>
    <w:p w:rsidR="005728DD" w:rsidRDefault="005728DD" w:rsidP="005728DD">
      <w:pPr>
        <w:pStyle w:val="TextoNormal"/>
      </w:pPr>
      <w:r w:rsidRPr="005728DD">
        <w:rPr>
          <w:rStyle w:val="NumeroAFNegritaCaracter"/>
        </w:rPr>
        <w:t>8</w:t>
      </w:r>
      <w:r>
        <w:t xml:space="preserve">. </w:t>
      </w:r>
      <w:r w:rsidRPr="005728DD">
        <w:rPr>
          <w:i/>
        </w:rPr>
        <w:t>Derecho a un proceso con todas las garantías y derecho de defensa</w:t>
      </w:r>
      <w:r>
        <w:t>.</w:t>
      </w:r>
    </w:p>
    <w:p w:rsidR="005728DD" w:rsidRDefault="005728DD" w:rsidP="005728DD">
      <w:pPr>
        <w:pStyle w:val="TextoNormal"/>
      </w:pPr>
    </w:p>
    <w:p w:rsidR="005728DD" w:rsidRDefault="005728DD" w:rsidP="005728DD">
      <w:pPr>
        <w:pStyle w:val="TextoNormal"/>
      </w:pPr>
      <w:r>
        <w:t xml:space="preserve">A) </w:t>
      </w:r>
      <w:r w:rsidRPr="005728DD">
        <w:rPr>
          <w:i/>
        </w:rPr>
        <w:t>Planteamiento</w:t>
      </w:r>
      <w:r>
        <w:t>.</w:t>
      </w:r>
    </w:p>
    <w:p w:rsidR="005728DD" w:rsidRDefault="005728DD" w:rsidP="005728DD">
      <w:pPr>
        <w:pStyle w:val="TextoNormal"/>
      </w:pPr>
    </w:p>
    <w:p w:rsidR="005728DD" w:rsidRDefault="005728DD" w:rsidP="005728DD">
      <w:pPr>
        <w:pStyle w:val="TextoNormal"/>
      </w:pPr>
      <w:r>
        <w:t>a) Junto a las pretensiones sustantivas ya analizadas, los demandantes aducen otra vulneración de naturaleza procesal. Denuncian en sus demandas que la decisión de condena ha desconocido sus derechos a un proceso con todas las garantías y a la presunción de inocencia (art. 24.2 CE), en relación con el derecho a “un procedimiento debido y equitativo” (art. 6 CEDH).</w:t>
      </w:r>
    </w:p>
    <w:p w:rsidR="005728DD" w:rsidRDefault="005728DD" w:rsidP="005728DD">
      <w:pPr>
        <w:pStyle w:val="TextoNormal"/>
      </w:pPr>
    </w:p>
    <w:p w:rsidR="005728DD" w:rsidRDefault="005728DD" w:rsidP="005728DD">
      <w:pPr>
        <w:pStyle w:val="TextoNormal"/>
      </w:pPr>
      <w:r>
        <w:t>En ambos recursos acumulados se alega que el Tribunal Supremo ha extendido indebidamente su ámbito de cognición a la revisión de los hechos imputados al apreciar la concurrencia del elemento subjetivo del delito contra las instituciones del Estado por el que han sido condenados. Entienden que, al concluir que la finalidad de todos los participantes en la manifestación era impedir el normal desarrollo de la actividad parlamentaria convocada para el día 15 de junio de 2011, ha modificado de forma no declarada el relato de hechos probados de instancia, que describe un contexto general contrario a esa finalidad. Añaden que, de esta forma, se ha realizado un juicio fáctico alternativo que valora las pruebas personales practicadas, singularmente las declaraciones testificales de los dos portavoces de las organizaciones sociales convocantes de la protesta.</w:t>
      </w:r>
    </w:p>
    <w:p w:rsidR="005728DD" w:rsidRDefault="005728DD" w:rsidP="005728DD">
      <w:pPr>
        <w:pStyle w:val="TextoNormal"/>
      </w:pPr>
    </w:p>
    <w:p w:rsidR="005728DD" w:rsidRDefault="005728DD" w:rsidP="005728DD">
      <w:pPr>
        <w:pStyle w:val="TextoNormal"/>
      </w:pPr>
      <w:r>
        <w:t xml:space="preserve">Tal forma de proceder, concluyen, vulnera las garantías fijadas por el Tribunal Europeo de Derechos Humanos y por el Tribunal Constitucional en el marco del derecho a un proceso justo, pues no ha existido en el proceso de casación el obligado debate público que, con </w:t>
      </w:r>
      <w:r>
        <w:lastRenderedPageBreak/>
        <w:t>participación de los acusados, les hubiera permitido contestar personalmente las cuestiones de hecho y de Derecho que, en relación con su culpabilidad e inocencia, sustentaban los recursos de casación que impugnaron. Como cabe colegir de este razonamiento, la referencia al derecho a la presunción de inocencia no es autónoma, sino un simple refuerzo nominal argumentativo de la lesión denunciada.</w:t>
      </w:r>
    </w:p>
    <w:p w:rsidR="005728DD" w:rsidRDefault="005728DD" w:rsidP="005728DD">
      <w:pPr>
        <w:pStyle w:val="TextoNormal"/>
      </w:pPr>
    </w:p>
    <w:p w:rsidR="005728DD" w:rsidRDefault="005728DD" w:rsidP="005728DD">
      <w:pPr>
        <w:pStyle w:val="TextoNormal"/>
      </w:pPr>
      <w:r>
        <w:t>b) El Ministerio Fiscal apoya esta pretensión de amparo. Considera que la Sala de casación, en sentido opuesto a la sentencia de instancia, ha valorado los elementos fácticos que le permiten inferir el propósito que guiaba la actuación de los demandantes. Mientras la sentencia de instancia aprecia como preponderante la finalidad de protesta, la Sala de lo Penal del Tribunal Supremo afirma la culpabilidad de los recurrentes tras apreciar que tanto su intención, como la finalidad de la manifestación, no eran otra que alterar o impedir el normal funcionamiento del Parlament. Para la fiscal, dicho pronunciamiento desborda los límites de la posibilidad de revisión en casación de una decisión absolutoria por no haber dado audiencia personal a los acusados absueltos, razón por la que solicita la nulidad de las resoluciones impugnadas dictadas por el Tribunal Supremo.</w:t>
      </w:r>
    </w:p>
    <w:p w:rsidR="005728DD" w:rsidRDefault="005728DD" w:rsidP="005728DD">
      <w:pPr>
        <w:pStyle w:val="TextoNormal"/>
      </w:pPr>
    </w:p>
    <w:p w:rsidR="005728DD" w:rsidRDefault="005728DD" w:rsidP="005728DD">
      <w:pPr>
        <w:pStyle w:val="TextoNormal"/>
      </w:pPr>
      <w:r>
        <w:t xml:space="preserve">B) </w:t>
      </w:r>
      <w:r w:rsidRPr="005728DD">
        <w:rPr>
          <w:i/>
        </w:rPr>
        <w:t>Doctrina constitucional</w:t>
      </w:r>
      <w:r>
        <w:t>.</w:t>
      </w:r>
    </w:p>
    <w:p w:rsidR="005728DD" w:rsidRDefault="005728DD" w:rsidP="005728DD">
      <w:pPr>
        <w:pStyle w:val="TextoNormal"/>
      </w:pPr>
    </w:p>
    <w:p w:rsidR="005728DD" w:rsidRDefault="005728DD" w:rsidP="005728DD">
      <w:pPr>
        <w:pStyle w:val="TextoNormal"/>
      </w:pPr>
      <w:r>
        <w:t>a) La reciente STC 18/2021, de 15 de febrero, hace una detallada exposición de la doctrina de este Tribunal sobre “las exigencias que debe reunir una condena penal o agravación en segunda o ulteriores instancias para respetar el derecho a un proceso con todas las garantías. En la reciente STC 35/2020, de 25 de febrero, FJ 2, el Pleno de este tribunal recuerda haberla resumido en las SSTC 88/2013, de 11 de abril, FFJJ 7 a 9; 146/2017, de 14 de diciembre, FFJJ 6 y 7, y 1/2020, de 14 de enero, FJ 4. En todas ellas se pone de relieve que la cuestión ha sido objeto de un detenido y extenso análisis en numerosas resoluciones —inspiradas en los pronunciamientos del Tribunal Europeo de Derechos Humanos— que arrancan de la STC 167/2002, de 18 de diciembre, FFJJ 9 a 11. Entonces, este tribunal en pleno declaró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Esta doctrina fue complementada con la STC 184/2009, de 7 de septiembre, FJ 3, en la que señalamos que también en estos casos se debe igualmente atender a la exigencia de la audiencia personal del acusado como garantía específica vinculada al derecho de defensa (art. 24.2 CE)” (FJ 3).</w:t>
      </w:r>
    </w:p>
    <w:p w:rsidR="005728DD" w:rsidRDefault="005728DD" w:rsidP="005728DD">
      <w:pPr>
        <w:pStyle w:val="TextoNormal"/>
      </w:pPr>
    </w:p>
    <w:p w:rsidR="005728DD" w:rsidRDefault="005728DD" w:rsidP="005728DD">
      <w:pPr>
        <w:pStyle w:val="TextoNormal"/>
      </w:pPr>
      <w:r>
        <w:t xml:space="preserve">La indicada STC 18/2021 resume, en este sentido, los aspectos más relevantes, fijando los márgenes de la revisión: “(i) Vulnera el derecho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la que se desarrolle la necesaria actividad probatoria con las garantías de publicidad, inmediación y contradicción que le son propias y se dé al acusado la posibilidad de defenderse exponiendo su testimonio personal. (ii) No cabe efectuar este reproche constitucional cuando la condena o la agravación de la situación, a pesar de no haberse celebrado vista pública, tenga origen </w:t>
      </w:r>
      <w:r>
        <w:lastRenderedPageBreak/>
        <w:t>en una controversia estrictamente jurídica entre los órganos judiciales de primera y segunda instancia en la que no estén implicadas las garantías de publicidad, inmediación y contradicción y para cuya resolución no resulte necesario oír al acusado. Ninguna incidencia podría tener la audiencia en la decisión que pudiera adoptarse y la posición de la parte puede entenderse debidamente garantizada por la presencia de su abogado” (FJ 3).</w:t>
      </w:r>
    </w:p>
    <w:p w:rsidR="005728DD" w:rsidRDefault="005728DD" w:rsidP="005728DD">
      <w:pPr>
        <w:pStyle w:val="TextoNormal"/>
      </w:pPr>
    </w:p>
    <w:p w:rsidR="005728DD" w:rsidRDefault="005728DD" w:rsidP="005728DD">
      <w:pPr>
        <w:pStyle w:val="TextoNormal"/>
      </w:pPr>
      <w:r>
        <w:t xml:space="preserve">Descendiendo hasta planos más concretos de la revisión y teniendo en cuenta que el objeto principal de la queja formulada por los recurrentes en el caso de autos se localiza en el elemento subjetivo del injusto, característico del tipo penal del art. 498 CP, toda vez que entienden aquellos que la Sala de casación, aun sin haber modificado el relato histórico de la sentencia de la Audiencia Nacional, ha efectuado una nueva valoración de las pruebas personales, sin haber dado audiencia a los recurrentes en la vista oral del recurso que se celebró en el Tribunal Supremo, también la STC 35/2020, de 25 de febrero ha declarado que “[e]n relación con la cuestión relativa a la subsunción de los elementos subjetivos del delito, el tribunal ha afirmado que ‘el Tribunal Europeo de Derechos Humanos ha dejado claro que todo el juicio de inferencia sobre el elemento subjetivo del delito, el ánimo de delinquir, es cuestión de hecho que cuando está articulado a partir de los datos extraídos de pruebas personales, exige la celebración de vista cuando se trata de revocar una sentencia absolutoria o empeorar la condena. Esta jurisprudencia resulta de aplicación incluso si el control se hace en casación y la Sala de lo Penal del Tribunal Supremo aduce que no puede celebrar vista, lo que ha traído consigo que precisamente resoluciones del Tribunal Supremo, y de este Tribunal Constitucional que las confirmaban, hayan sido declaradas contrarias al art. 6.1 del Convenio europeo para la protección de los derechos humanos y de las libertades fundamentales, por ejemplo, en las SSTEDH de 22 de noviembre de 2011, asunto </w:t>
      </w:r>
      <w:r w:rsidRPr="005728DD">
        <w:rPr>
          <w:i/>
        </w:rPr>
        <w:t>Lacadena Calero c. España</w:t>
      </w:r>
      <w:r>
        <w:t xml:space="preserve">; 20 marzo 2012, </w:t>
      </w:r>
      <w:r w:rsidRPr="005728DD">
        <w:rPr>
          <w:i/>
        </w:rPr>
        <w:t>asunto Serrano Contreras c. España</w:t>
      </w:r>
      <w:r>
        <w:t xml:space="preserve">, o 27 de noviembre de 2012, </w:t>
      </w:r>
      <w:r w:rsidRPr="005728DD">
        <w:rPr>
          <w:i/>
        </w:rPr>
        <w:t>asunto Vilanova Goterris y Llop García c. España</w:t>
      </w:r>
      <w:r>
        <w:t xml:space="preserve">. Estas mismas resoluciones señalan que el derecho a la inmediación supone una vista con práctica de esa prueba personal. Así se afirma que ‘no es posible proceder a valorar jurídicamente la actuación del acusado sin tratar de acreditar previamente la realidad de dicha actuación, lo que implica necesariamente la comprobación de la intención del acusado en relación con los hechos que se le imputan’ (SSTEDH de 22 de noviembre de 2011, </w:t>
      </w:r>
      <w:r w:rsidRPr="005728DD">
        <w:rPr>
          <w:i/>
        </w:rPr>
        <w:t>asunto Lacadena Calero c. España</w:t>
      </w:r>
      <w:r>
        <w:t xml:space="preserve">, § 47, o 20 marzo 2012, asunto </w:t>
      </w:r>
      <w:r w:rsidRPr="005728DD">
        <w:rPr>
          <w:i/>
        </w:rPr>
        <w:t>Serrano Contreras c. España</w:t>
      </w:r>
      <w:r>
        <w:t xml:space="preserve">; § 38); que ‘las cuestiones que deben ser examinadas por el Tribunal Supremo necesitan la valoración directa del testimonio del imputado o de otros testigos’ (STEDH 20 marzo 2012, asunto </w:t>
      </w:r>
      <w:r w:rsidRPr="005728DD">
        <w:rPr>
          <w:i/>
        </w:rPr>
        <w:t>Serrano Contreras c. España</w:t>
      </w:r>
      <w:r>
        <w:t xml:space="preserve">, § 40); o que ‘el imputado no fue oído personalmente sobre una cuestión de hecho determinante para la valoración de su credibilidad’ (SSTEDH 20 marzo 2012, asunto </w:t>
      </w:r>
      <w:r w:rsidRPr="005728DD">
        <w:rPr>
          <w:i/>
        </w:rPr>
        <w:t>Serrano Contreras c. España</w:t>
      </w:r>
      <w:r>
        <w:t xml:space="preserve">; § 41, o 27 de noviembre de 2012, asunto </w:t>
      </w:r>
      <w:r w:rsidRPr="005728DD">
        <w:rPr>
          <w:i/>
        </w:rPr>
        <w:t>Vilanova Goterris y Llop García c. España</w:t>
      </w:r>
      <w:r>
        <w:t>, § 35)” (SSTC 172/2016, de 17 de octubre, FJ 8, y 1/2020, de 14 de febrero, FJ 4).</w:t>
      </w:r>
    </w:p>
    <w:p w:rsidR="005728DD" w:rsidRDefault="005728DD" w:rsidP="005728DD">
      <w:pPr>
        <w:pStyle w:val="TextoNormal"/>
      </w:pPr>
    </w:p>
    <w:p w:rsidR="005728DD" w:rsidRDefault="005728DD" w:rsidP="005728DD">
      <w:pPr>
        <w:pStyle w:val="TextoNormal"/>
      </w:pPr>
      <w:r>
        <w:t>Por último, también la jurisprudencia constitucional ha destacado que no cabe efectuar reproche constitucional alguno por el hecho de que la condena pronunciada en la segunda instancia o la agravación de la situación, a pesar de no haberse celebrado vista pública, traiga causa de una controversia sobre la subsunción de los elementos subjetivos del tipo cuando dicha controversia se basa en erróneas consideraciones jurídicas sobre su necesaria concurrencia, es decir, si se trata de errores en la calificación jurídica (STC 125/2017, de 13 de noviembre, FJ 6)” (FJ 2).</w:t>
      </w:r>
    </w:p>
    <w:p w:rsidR="005728DD" w:rsidRDefault="005728DD" w:rsidP="005728DD">
      <w:pPr>
        <w:pStyle w:val="TextoNormal"/>
      </w:pPr>
    </w:p>
    <w:p w:rsidR="005728DD" w:rsidRDefault="005728DD" w:rsidP="005728DD">
      <w:pPr>
        <w:pStyle w:val="TextoNormal"/>
      </w:pPr>
      <w:r>
        <w:lastRenderedPageBreak/>
        <w:t xml:space="preserve">Precisamente, en esta última tesis ha insistido la más reciente STC 18/2021, antes citada, cuando, después de recoger la doctrina general anteriormente expuesta, ha señalado que “[n]o obstante, debe distinguirse el enjuiciamiento relativo a la concurrencia del hecho subjetivo de la estricta calificación jurídica que deba asignarse a ese hecho una vez acreditada su existencia. No cabe objeción constitucional a la condena o la agravación en vía de recurso, a pesar de no haberse celebrado vista pública, en tanto traiga causa de erróneas consideraciones jurídicas sobre su necesaria concurrencia, es decir, si se trata de la corrección de errores de subsunción jurídica a partir de los elementos fácticos reflejados en la resolución impugnada (SSTC 125/2017, FJ 6, y 35/2020, FJ 2). En tal caso, el debate desarrollado en la jurisdicción revisora no atañe a cuestiones de hecho y de Derecho, donde sería precisa la celebración de audiencia pública con participación del acusado, sino a aspectos puramente jurídicos, objeto de la contradicción imprescindible para el derecho de defensa a través de la intervención de su abogado (SSTEDH de 22 de octubre de 2013, caso </w:t>
      </w:r>
      <w:r w:rsidRPr="005728DD">
        <w:rPr>
          <w:i/>
        </w:rPr>
        <w:t>Naranjo Acevedo c. España</w:t>
      </w:r>
      <w:r>
        <w:t xml:space="preserve">, § 17 a 19, y de 23 de febrero de 2016, caso </w:t>
      </w:r>
      <w:r w:rsidRPr="005728DD">
        <w:rPr>
          <w:i/>
        </w:rPr>
        <w:t>Pérez Martínez c. España</w:t>
      </w:r>
      <w:r>
        <w:t>, § 37, 39 y 40)” (FJ 3).</w:t>
      </w:r>
    </w:p>
    <w:p w:rsidR="005728DD" w:rsidRDefault="005728DD" w:rsidP="005728DD">
      <w:pPr>
        <w:pStyle w:val="TextoNormal"/>
      </w:pPr>
    </w:p>
    <w:p w:rsidR="005728DD" w:rsidRDefault="005728DD" w:rsidP="005728DD">
      <w:pPr>
        <w:pStyle w:val="TextoNormal"/>
      </w:pPr>
      <w:r>
        <w:t xml:space="preserve">C) </w:t>
      </w:r>
      <w:r w:rsidRPr="005728DD">
        <w:rPr>
          <w:i/>
        </w:rPr>
        <w:t>Enjuiciamiento: Desestimación</w:t>
      </w:r>
      <w:r>
        <w:t>.</w:t>
      </w:r>
    </w:p>
    <w:p w:rsidR="005728DD" w:rsidRDefault="005728DD" w:rsidP="005728DD">
      <w:pPr>
        <w:pStyle w:val="TextoNormal"/>
      </w:pPr>
    </w:p>
    <w:p w:rsidR="005728DD" w:rsidRDefault="005728DD" w:rsidP="005728DD">
      <w:pPr>
        <w:pStyle w:val="TextoNormal"/>
      </w:pPr>
      <w:r>
        <w:t>a) La doctrina de este tribunal, que tuvo su origen en la ya añeja STC 167/2002, de 18 de septiembre, FJ 9 y que ha venido siendo reiterada y sucesivamente enriquecida con diferentes elementos valorativos, en razón a circunstancias concretas concurrentes en los supuestos suscitados, revela como aspecto importante del enjuiciamiento el de su profundo casuismo y el de su necesario ajuste a aquellas circunstancias específicas.</w:t>
      </w:r>
    </w:p>
    <w:p w:rsidR="005728DD" w:rsidRDefault="005728DD" w:rsidP="005728DD">
      <w:pPr>
        <w:pStyle w:val="TextoNormal"/>
      </w:pPr>
    </w:p>
    <w:p w:rsidR="005728DD" w:rsidRDefault="005728DD" w:rsidP="005728DD">
      <w:pPr>
        <w:pStyle w:val="TextoNormal"/>
      </w:pPr>
      <w:r>
        <w:t>Ciertamente, los criterios generales de la doctrina de este tribunal han permanecido invariables desde entonces, habiendo sido, además, fortalecidos con importantes aclaraciones, diferentes matizaciones o incluso complementarias puntualizaciones, que han contribuido a reforzar la vigencia y efectividad de la garantía de la inmediación como manifestación y soporte esencial del derecho a un proceso con todas las garantías dentro, en este caso, del ámbito del proceso penal. Esta doctrina, por otra parte, ha venido siendo asumida, como no podría ser de otra forma (art. 5.1 LOPJ), por los juzgados y tribunales en el ejercicio de sus funciones jurisdiccionales, lo que no impide que, en algunos supuestos, se vuelvan a reproducir denuncias por vulneración de este derecho fundamental en determinados procesos, como consecuencia de la aplicación de dicha doctrina al caso concreto.</w:t>
      </w:r>
    </w:p>
    <w:p w:rsidR="005728DD" w:rsidRDefault="005728DD" w:rsidP="005728DD">
      <w:pPr>
        <w:pStyle w:val="TextoNormal"/>
      </w:pPr>
    </w:p>
    <w:p w:rsidR="005728DD" w:rsidRDefault="005728DD" w:rsidP="005728DD">
      <w:pPr>
        <w:pStyle w:val="TextoNormal"/>
      </w:pPr>
      <w:r>
        <w:t>Particular significación, por las peculiaridades propias del recurso de casación ante la Sala de lo Penal del Tribunal Supremo derivadas de la naturaleza procesal de aquel medio de impugnación, ha tenido el enjuiciamiento por este Tribunal Constitucional de las quejas suscitadas por recurrentes de amparo, en relación con la vigencia del principio de inmediación y la efectividad del derecho a un proceso con todas las garantías, cuando el objeto de su impugnación han sido las sentencias dictadas por aquel Alto Tribunal, que hayan sido revocatorias de las previamente absolutorias de los tribunales inferiores pronunciadas en la instancia (STC 172/2016, de 17 de octubre, FJ 8). La ejecución y llevanza a la práctica forense de los fallos dictados por el Tribunal Constitucional, estimando la vulneración del derecho fundamental, ha suscitado paralelamente notables problemas en su aplicación (STC 146/2017, de 14 de diciembre).</w:t>
      </w:r>
    </w:p>
    <w:p w:rsidR="005728DD" w:rsidRDefault="005728DD" w:rsidP="005728DD">
      <w:pPr>
        <w:pStyle w:val="TextoNormal"/>
      </w:pPr>
    </w:p>
    <w:p w:rsidR="005728DD" w:rsidRDefault="005728DD" w:rsidP="005728DD">
      <w:pPr>
        <w:pStyle w:val="TextoNormal"/>
      </w:pPr>
      <w:r>
        <w:lastRenderedPageBreak/>
        <w:t>En consecuencia, la aplicación de nuestra doctrina general como, también, la de los supuestos en que no opera el principio de inmediación por tratarse de juicios de revisión de carácter jurídico, en lo que no queden afectadas cuestiones de hecho suscitadas, debe ajustarse a las circunstancias del caso concreto sometido a su enjuiciamiento y realizar una valoración específica de lo actuado por el tribunal superior (de apelación o casación), en relación con el pronunciamiento dictado por el órgano judicial inferior.</w:t>
      </w:r>
    </w:p>
    <w:p w:rsidR="005728DD" w:rsidRDefault="005728DD" w:rsidP="005728DD">
      <w:pPr>
        <w:pStyle w:val="TextoNormal"/>
      </w:pPr>
    </w:p>
    <w:p w:rsidR="005728DD" w:rsidRDefault="005728DD" w:rsidP="005728DD">
      <w:pPr>
        <w:pStyle w:val="TextoNormal"/>
      </w:pPr>
      <w:r>
        <w:t>Singular dificultad supone, además, delimitar la aplicación de la garantía de la inmediación y determinar si el juicio de revisión del tribunal superior ha entrañado una nueva valoración de la prueba, para lo que debería haberse exigido la previa audiencia del acusado con celebración de vista, o, por el contrario, ha versado sobre una cuestión jurídica, en cuyo caso, no habría precisado de vista. Aquellos supuestos en que el objeto de la cuestión controvertida radica en la apreciación de los elementos subjetivos del tipo penal, de modo particular en aquellos delitos en que, por su configuración legal, solamente admiten una culpabilidad dolosa, se plantea una dificultad añadida que exige de la máxima precisión para determinar caso por caso si la resolución impugnada ha incurrido o no en vulneración de la precitada garantía de la inmediación. Por ello, las soluciones ofrecidas por este Tribunal han sido contrarias, en función de la problemática constitucional suscitada en cada caso. En ocasiones el pronunciamiento de este tribunal ha sido estimatorio de las vulneraciones del derecho fundamental denunciadas (SSTC 172/2016, de 17 de octubre; 125/2017, de 13 de noviembre; 146/2017, de 14 de diciembre; 149/2019, de 25 de noviembre, o 172/2019, de 16 de diciembre), mientras que en otros supuestos lo ha sido en sentido desestimatorio (SSTC 1/2020, de 14 de enero; 35/2020, de 25 de febrero, o 18/2021, de 15 de febrero).</w:t>
      </w:r>
    </w:p>
    <w:p w:rsidR="005728DD" w:rsidRDefault="005728DD" w:rsidP="005728DD">
      <w:pPr>
        <w:pStyle w:val="TextoNormal"/>
      </w:pPr>
    </w:p>
    <w:p w:rsidR="005728DD" w:rsidRDefault="005728DD" w:rsidP="005728DD">
      <w:pPr>
        <w:pStyle w:val="TextoNormal"/>
      </w:pPr>
      <w:r>
        <w:t>b) A partir de las anteriores consideraciones generales, debemos ya analizar el supuesto de hecho al que se refiere el presente recurso de amparo.</w:t>
      </w:r>
    </w:p>
    <w:p w:rsidR="005728DD" w:rsidRDefault="005728DD" w:rsidP="005728DD">
      <w:pPr>
        <w:pStyle w:val="TextoNormal"/>
      </w:pPr>
    </w:p>
    <w:p w:rsidR="005728DD" w:rsidRDefault="005728DD" w:rsidP="005728DD">
      <w:pPr>
        <w:pStyle w:val="TextoNormal"/>
      </w:pPr>
      <w:r>
        <w:t>La sentencia de 17 de marzo de 2015 del Tribunal Supremo ahora impugnada, casa y anula la precedente sentencia absolutoria de 7 de julio de 2014 de la Audiencia Nacional, a partir de la estimación parcial de un motivo de casación, promovido por el Ministerio Fiscal al amparo de lo dispuesto del art. 849.1 LECrim, que denunció infracción de ley por error de derecho sustentado en la, a su entender, indebida inaplicación, entre otros, del art. 498 CP. Error que el fiscal lo hizo extender a una eventualmente incorrecta aplicación de la causa de justificación prevista en el art. 20.7 CP, en cuanto que la sala de instancia hubo entendido la concurrencia del ejercicio legítimo de derechos fundamentales, en concreto de las libertades de reunión, manifestación y expresión, que habrían excluido la antijuridicidad de la conducta y, en consecuencia, la exención de responsabilidad penal de los actores.</w:t>
      </w:r>
    </w:p>
    <w:p w:rsidR="005728DD" w:rsidRDefault="005728DD" w:rsidP="005728DD">
      <w:pPr>
        <w:pStyle w:val="TextoNormal"/>
      </w:pPr>
    </w:p>
    <w:p w:rsidR="005728DD" w:rsidRDefault="005728DD" w:rsidP="005728DD">
      <w:pPr>
        <w:pStyle w:val="TextoNormal"/>
      </w:pPr>
      <w:r>
        <w:t>A partir del relato histórico de la sentencia de instancia y, sin modificarlo ni alterarlo, el Tribunal Supremo hace un doble juicio de aquellos hechos:</w:t>
      </w:r>
    </w:p>
    <w:p w:rsidR="005728DD" w:rsidRDefault="005728DD" w:rsidP="005728DD">
      <w:pPr>
        <w:pStyle w:val="TextoNormal"/>
      </w:pPr>
    </w:p>
    <w:p w:rsidR="005728DD" w:rsidRDefault="005728DD" w:rsidP="005728DD">
      <w:pPr>
        <w:pStyle w:val="TextoNormal"/>
      </w:pPr>
      <w:r>
        <w:t xml:space="preserve">(i) En primer lugar, un juicio de ponderación de los derechos fundamentales en conflicto como consecuencia de los hechos enjuiciados. Según refiere el Alto Tribunal, la sentencia de la Audiencia Nacional únicamente había tenido en cuenta los derechos fundamentales invocados por los recurrentes, esto es las libertades de reunión, manifestación y expresión, para, sobre la base de su reconocimiento, limitar su labor de enjuiciamiento a afirmar que la actuación de los entonces acusados estaba fundamentada sobre el ejercicio de aquellos derechos que habían invocado y, por tanto, amparada constitucionalmente por los arts. 20.1 </w:t>
      </w:r>
      <w:r>
        <w:lastRenderedPageBreak/>
        <w:t>a) y 21 CE. Había apoyado su valoración en que la convocatoria de la concentración ante la sede del Parlament de Cataluña fue comunicada previamente a la autoridad gubernativa correspondiente, que no había puesto reparos a su celebración, así como a las declaraciones de dos personas promotoras de la convocatoria que, pese al lema “Aturem el Parlament, no deixarem que aprovin retallades” (Paremos al/el Parlament, no permitiremos que aprueben recortes) que iba a presidir la concentración, el sentido del acto colectivo tenía dos mensajes precisos, el del rechazo de los recortes económicos previstos en el proyecto de ley de presupuestos que se iba a debatir y, posiblemente, aprobar en la sede parlamentaria, y la afirmación de que los diputados que adoptaran aquellas decisiones no les representaban ya.</w:t>
      </w:r>
    </w:p>
    <w:p w:rsidR="005728DD" w:rsidRDefault="005728DD" w:rsidP="005728DD">
      <w:pPr>
        <w:pStyle w:val="TextoNormal"/>
      </w:pPr>
    </w:p>
    <w:p w:rsidR="005728DD" w:rsidRDefault="005728DD" w:rsidP="005728DD">
      <w:pPr>
        <w:pStyle w:val="TextoNormal"/>
      </w:pPr>
      <w:r>
        <w:t xml:space="preserve">En el criterio de la Sala de casación, la sentencia de instancia incurrió “en un patente error a la hora de solucionar el conflicto surgido”, pues entiende que hubo “un llamativo desenfoque” acerca de los valores constitucionales en juego. El Tribunal Supremo considera que la sentencia precedente debería haber efectuado un juicio de ponderación en el que, además de los derechos fundamentales invocados por los recurrentes, tendría que haber sido objeto de valoración, también, el derecho de participación política del art. 23 CE, en la doble dimensión analizada </w:t>
      </w:r>
      <w:r w:rsidRPr="005728DD">
        <w:rPr>
          <w:i/>
        </w:rPr>
        <w:t>supra</w:t>
      </w:r>
      <w:r>
        <w:t>, de los diputados del Parlament de Cataluña, que fueron objeto de los actos descritos en e</w:t>
      </w:r>
      <w:r w:rsidRPr="005728DD">
        <w:rPr>
          <w:i/>
        </w:rPr>
        <w:t>l fact</w:t>
      </w:r>
      <w:r>
        <w:t>um de la sentencia de instancia.</w:t>
      </w:r>
    </w:p>
    <w:p w:rsidR="005728DD" w:rsidRDefault="005728DD" w:rsidP="005728DD">
      <w:pPr>
        <w:pStyle w:val="TextoNormal"/>
      </w:pPr>
    </w:p>
    <w:p w:rsidR="005728DD" w:rsidRDefault="005728DD" w:rsidP="005728DD">
      <w:pPr>
        <w:pStyle w:val="TextoNormal"/>
      </w:pPr>
      <w:r>
        <w:t>(ii) Un juicio, según refiere la sentencia de casación, de subsunción del elemento subjetivo del tipo penal relativo al fin perseguido por los acusados, pues, a diferencia de lo dicho por aquella, el verdadero objetivo de los ahora demandantes de amparo, que acudieron a aquella convocatoria era el de la propia dicción del lema que les había llevado a situarse frente a la sede parlamentaria, esto es, el de “aturem el Parlament”/parar el Parlamento y para ello impedir que los diputados pudieran acceder a la Cámara e iniciar la sesión plenaria del debate presupuestario.</w:t>
      </w:r>
    </w:p>
    <w:p w:rsidR="005728DD" w:rsidRDefault="005728DD" w:rsidP="005728DD">
      <w:pPr>
        <w:pStyle w:val="TextoNormal"/>
      </w:pPr>
    </w:p>
    <w:p w:rsidR="005728DD" w:rsidRDefault="005728DD" w:rsidP="005728DD">
      <w:pPr>
        <w:pStyle w:val="TextoNormal"/>
      </w:pPr>
      <w:r>
        <w:t>c) De los dos juicios valorativos realizados por la sentencia del Tribunal Supremo, es el segundo de los citados el que ahora es de interés para resolver la queja de los recurrentes, toda vez que, de una parte, es en este en el que localizan el fundamento de su denunciada vulneración del derecho fundamental al proceso con todas las garantías, anudado al derecho de defensa y a la presunción de inocencia; y, de otro lado, hemos resuelto ya las quejas específicamente dirigidas por las demandas de amparo contra el primero de los actos de enjuiciamiento (juicio de ponderación entre derechos fundamentales) realizados por la sentencia de casación.</w:t>
      </w:r>
    </w:p>
    <w:p w:rsidR="005728DD" w:rsidRDefault="005728DD" w:rsidP="005728DD">
      <w:pPr>
        <w:pStyle w:val="TextoNormal"/>
      </w:pPr>
    </w:p>
    <w:p w:rsidR="005728DD" w:rsidRDefault="005728DD" w:rsidP="005728DD">
      <w:pPr>
        <w:pStyle w:val="TextoNormal"/>
      </w:pPr>
      <w:r>
        <w:t xml:space="preserve">Pues bien, ya podemos adelantar que no nos hallamos ante una nueva valoración de la prueba sino ante un acto de subsunción del elemento subjetivo del tipo penal del art. 498 CP, realizado por el tribunal superior a partir del propio relato de hechos probados de la sentencia del órgano judicial inferior. Aquel puede revisar la coherencia lógica entre el relato histórico y la calificación jurídica de los hechos, de manera que, si del propio relato se infiere la concurrencia de un elemento subjetivo del tipo que no haya sido apreciada por el órgano </w:t>
      </w:r>
      <w:r w:rsidRPr="005728DD">
        <w:rPr>
          <w:i/>
        </w:rPr>
        <w:t>a quo</w:t>
      </w:r>
      <w:r>
        <w:t>, la sentencia de instancia puede y debe ser revisada. La apreciación del elemento subjetivo se convierte, así en una cuestión jurídica.</w:t>
      </w:r>
    </w:p>
    <w:p w:rsidR="005728DD" w:rsidRDefault="005728DD" w:rsidP="005728DD">
      <w:pPr>
        <w:pStyle w:val="TextoNormal"/>
      </w:pPr>
    </w:p>
    <w:p w:rsidR="005728DD" w:rsidRDefault="005728DD" w:rsidP="005728DD">
      <w:pPr>
        <w:pStyle w:val="TextoNormal"/>
      </w:pPr>
      <w:r>
        <w:t xml:space="preserve">En efecto, a diferencia de otros supuestos que ha tenido ocasión de analizar este tribunal, en los que la Sala de apelación o, en su caso, la de casación, dedujo el elemento subjetivo del tipo, sin modificar el relato de hechos probados de la sentencia del órgano inferior, pero </w:t>
      </w:r>
      <w:r>
        <w:lastRenderedPageBreak/>
        <w:t>extrayendo de aquel relato el elemento subjetivo del tipo o la culpabilidad de los acusados sin que en dicho relato constara expresamente tal ánimo tendencial o culpabilidad de los recurrentes, en el caso de autos se da, sin embargo, una particular situación y es que aquel ánimo tendencial que configura el elemento subjetivo del tipo del art. 498 CP viene también explicitado en el propio relato de hechos probados de la sentencia.</w:t>
      </w:r>
    </w:p>
    <w:p w:rsidR="005728DD" w:rsidRDefault="005728DD" w:rsidP="005728DD">
      <w:pPr>
        <w:pStyle w:val="TextoNormal"/>
      </w:pPr>
    </w:p>
    <w:p w:rsidR="005728DD" w:rsidRDefault="005728DD" w:rsidP="005728DD">
      <w:pPr>
        <w:pStyle w:val="TextoNormal"/>
      </w:pPr>
      <w:r>
        <w:t>Ilustra muy bien este razonamiento la cita de la STC 125/2017, de 13 de noviembre, en la que este tribunal estimó la vulneración del derecho a un proceso con todas las garantías por infracción del principio de inmediación porque el órgano judicial de casación revocó la inicial sentencia absolutoria y condenó por delito de falsedad documental imprudente, afirmando la culpa del acusado (ni siquiera esbozada en el relato de hechos probados), a partir de unos elementos objetivos del carácter falaz del documento (que sí venían expresados en el relato de hechos probados). Lo que había hecho en este caso el Tribunal Supremo y de ahí la infracción del principio de inmediación, fue que puso en relación el propio relato de hechos probados con otros elementos probatorios de carácter personal (testigos), de tal manera que dedujo la culpabilidad imprudente del delito de falsedad documental incorporando un elemento valorativo, el de la culpa del acusado, que no venía expresado en el relato de hechos probados.</w:t>
      </w:r>
    </w:p>
    <w:p w:rsidR="005728DD" w:rsidRDefault="005728DD" w:rsidP="005728DD">
      <w:pPr>
        <w:pStyle w:val="TextoNormal"/>
      </w:pPr>
    </w:p>
    <w:p w:rsidR="005728DD" w:rsidRDefault="005728DD" w:rsidP="005728DD">
      <w:pPr>
        <w:pStyle w:val="TextoNormal"/>
      </w:pPr>
      <w:r>
        <w:t xml:space="preserve">Otro tanto sucede con el supuesto de hecho analizado en la STC 149/2019, de 25 de noviembre, también con fallo estimatorio de este tribunal y de apreciada vulneración del derecho fundamental de referencia. Al igual que en el anterior supuesto, en este caso la Sala de apelación, sin estar explicitado en el relato de hechos probados de la sentencia del órgano </w:t>
      </w:r>
      <w:r w:rsidRPr="005728DD">
        <w:rPr>
          <w:i/>
        </w:rPr>
        <w:t>a quo</w:t>
      </w:r>
      <w:r>
        <w:t xml:space="preserve"> el ánimo tendencial delictivo del acusado, revocó el inicial pronunciamiento absolutorio y lo sustituyó por otro condenatorio, haciéndolo a partir de una nueva valoración de las pruebas, documental (un vídeo) y personal.</w:t>
      </w:r>
    </w:p>
    <w:p w:rsidR="005728DD" w:rsidRDefault="005728DD" w:rsidP="005728DD">
      <w:pPr>
        <w:pStyle w:val="TextoNormal"/>
      </w:pPr>
    </w:p>
    <w:p w:rsidR="005728DD" w:rsidRDefault="005728DD" w:rsidP="005728DD">
      <w:pPr>
        <w:pStyle w:val="TextoNormal"/>
      </w:pPr>
      <w:r>
        <w:t>Pues bien, a diferencia de los anteriores, en el caso de autos el elemento subjetivo del tipo penal, esto es el ánimo u objetivo de “impedir” a los parlamentarios entrar en la sede parlamentaria para la celebración de una sesión plenaria, mediante el empleo de la fuerza física o intimidatoria, está recogido expresamente en el relato de hechos probados de la sentencia de instancia, de tal manera que el órgano de casación no ha tenido necesidad de hacer una nueva valoración de la prueba, sino que simplemente se ha limitado a señalar que el tenor literal de lo allí expresado en el relato de hechos probados identifica expresamente la concurrencia del elemento subjetivo del injusto exigido por el art. 498 CP. La labor, pues, del Tribunal Supremo en este caso ha consistido simplemente en recoger ese ánimo tendencial expreso en los hechos probados y entender que el mismo cubre la exigencia típica del elemento subjetivo de este delito.</w:t>
      </w:r>
    </w:p>
    <w:p w:rsidR="005728DD" w:rsidRDefault="005728DD" w:rsidP="005728DD">
      <w:pPr>
        <w:pStyle w:val="TextoNormal"/>
      </w:pPr>
    </w:p>
    <w:p w:rsidR="005728DD" w:rsidRDefault="005728DD" w:rsidP="005728DD">
      <w:pPr>
        <w:pStyle w:val="TextoNormal"/>
      </w:pPr>
      <w:r>
        <w:t xml:space="preserve">La sentencia de casación no ha tenido nada que añadir o deducir. El lema de la convocatoria, ya repetido reiteradas veces, “Aturem el Parlament”, que recoge el relato de hechos probados de la sentencia de instancia, es en sí mismo lo suficientemente elocuente y refleja el sentido de la llamada a los que se concentraran ante la sede del Parlament que no es necesario hacer juicio valorativo alguno, descartado como ha hecho el Tribunal Supremo en su precedente juicio de ponderación de la pretextada invocación del ejercicio de los derechos fundamentales de reunión, manifestación y expresión por parte de los recurrentes. A lo expuesto y como complemento de lo anterior, la segunda parte del lema de la convocatoria afianza aún más ese ánimo tendencial de que el objetivo de los acusados era impedir que </w:t>
      </w:r>
      <w:r>
        <w:lastRenderedPageBreak/>
        <w:t>el Parlament pudiera aprobar el proyecto de presupuestos. Los términos “no deixarem que aprovin retallades/no permitiremos que aprueben recortes”, no requieren de ninguna valoración probatoria, sino que, por su propio contenido gramatical, reflejan ya en sí mismos ese ánimo tendencial.</w:t>
      </w:r>
    </w:p>
    <w:p w:rsidR="005728DD" w:rsidRDefault="005728DD" w:rsidP="005728DD">
      <w:pPr>
        <w:pStyle w:val="TextoNormal"/>
      </w:pPr>
    </w:p>
    <w:p w:rsidR="005728DD" w:rsidRDefault="005728DD" w:rsidP="005728DD">
      <w:pPr>
        <w:pStyle w:val="TextoNormal"/>
      </w:pPr>
      <w:r>
        <w:t>Por tanto, a diferencia de otros supuestos en que el órgano judicial que resolvió el recurso, hubo de deducir el elemento subjetivo del tipo o la culpabilidad de los acusados del relato de hechos probados agregando a este su propia valoración de la prueba practicada, en el presente caso ese ánimo tendencial configurador del elemento subjetivo del injusto típico aparece reflejado expresamente en los propios hechos probados, de tal manera que el Tribunal Supremo no ha tenido que realizar ninguna valoración, sino simplemente un acto de calificación jurídica consistente en subsumir todos los elementos, objetivos y subjetivos, del tipo del art. 498 CP, reflejados en los hechos probados, y entender que, en cuanto que se han cumplido todos ellos, los recurrentes son autores del art. 498 CP, por lo que ha llegado finalmente a un pronunciamiento revocatorio de la sentencia de instancia.</w:t>
      </w:r>
    </w:p>
    <w:p w:rsidR="005728DD" w:rsidRDefault="005728DD" w:rsidP="005728DD">
      <w:pPr>
        <w:pStyle w:val="TextoNormal"/>
      </w:pPr>
    </w:p>
    <w:p w:rsidR="005728DD" w:rsidRDefault="005728DD" w:rsidP="005728DD">
      <w:pPr>
        <w:pStyle w:val="TextoNormal"/>
      </w:pPr>
      <w:r>
        <w:t>d) No obstante lo anterior, este tribunal, en su labor de extremar el análisis de la queja formulada por los recurrentes, no puede detener su examen en lo hasta ahora afirmado, sino que, en aras de agotar toda posibilidad de determinar si la sentencia de la Sala de lo Penal del Tribunal Supremo llevó a efecto finalmente esa tarea de subsunción del elemento subjetivo del tipo a partir de los hechos probados o, por el contrario, realizó una nueva valoración de la prueba practicada, no puede dejar pasar por alto el propio relato de hechos probados y, en concreto, la referencia a que la convocatoria de la concentración con el lema de la misma había sido comunicada a la autoridad gubernativa, sin que se hubiera adoptado medida alguna por parte de esta última; y a que en la rueda de prensa celebrada antes del día de los hechos, los dos portavoces de los movimientos sociales convocantes hubieran declarado que no pretendían impedir el funcionamiento del Parlament.</w:t>
      </w:r>
    </w:p>
    <w:p w:rsidR="005728DD" w:rsidRDefault="005728DD" w:rsidP="005728DD">
      <w:pPr>
        <w:pStyle w:val="TextoNormal"/>
      </w:pPr>
    </w:p>
    <w:p w:rsidR="005728DD" w:rsidRDefault="005728DD" w:rsidP="005728DD">
      <w:pPr>
        <w:pStyle w:val="TextoNormal"/>
      </w:pPr>
      <w:r>
        <w:t>A partir de esta descripción, que aparece en el apartado primero de los hechos probados, esta subsunción del elemento subjetivo del tipo “no queda oscurecida”, como señala la sentencia del Tribunal Supremo, por la parte del relato de hechos citada:</w:t>
      </w:r>
    </w:p>
    <w:p w:rsidR="005728DD" w:rsidRDefault="005728DD" w:rsidP="005728DD">
      <w:pPr>
        <w:pStyle w:val="TextoNormal"/>
      </w:pPr>
    </w:p>
    <w:p w:rsidR="005728DD" w:rsidRDefault="005728DD" w:rsidP="005728DD">
      <w:pPr>
        <w:pStyle w:val="TextoNormal"/>
      </w:pPr>
      <w:r>
        <w:t>(i) En primer lugar, porque transcurre un lapso de tiempo lo suficientemente amplio, cinco días entre la celebración de la rueda de prensa y el de la concentración (del 10 al 15 de junio de 2011), que si no se pierde, al menos puede difuminarse el vínculo entre los deseos e intenciones de los convocantes manifestados en aquel acto comunicativo y lo que sucedió en días posteriores y a raíz de la propia convocatoria difundida. Además, tampoco el contenido de lo allí manifestado se apartaba del propio lema de la convocatoria, pues aquellos portavoces hablaron de “detener el ataque contra los derechos sociales y los servicios públicos que significaban las medidas presupuestarias que se iban a aprobar”.</w:t>
      </w:r>
    </w:p>
    <w:p w:rsidR="005728DD" w:rsidRDefault="005728DD" w:rsidP="005728DD">
      <w:pPr>
        <w:pStyle w:val="TextoNormal"/>
      </w:pPr>
    </w:p>
    <w:p w:rsidR="005728DD" w:rsidRDefault="005728DD" w:rsidP="005728DD">
      <w:pPr>
        <w:pStyle w:val="TextoNormal"/>
      </w:pPr>
      <w:r>
        <w:t>(ii) En segundo lugar, la intensidad de los términos del lema de la convocatoria “aturem el Parlament” era lo suficientemente expresiva como para exteriorizar un objetivo a alcanzar con la concentración, que difería sustancialmente de la intención inicial que cinco días antes pudieran albergar los promotores de la convocatoria. Buena prueba de ello fue la posterior secuencia de hechos que, descritos en los apartados segundo al décimo segundo del relato histórico, siguieron a aquel lema, que se corresponden directamente con el objetivo expresado en el propio lema.</w:t>
      </w:r>
    </w:p>
    <w:p w:rsidR="005728DD" w:rsidRDefault="005728DD" w:rsidP="005728DD">
      <w:pPr>
        <w:pStyle w:val="TextoNormal"/>
      </w:pPr>
    </w:p>
    <w:p w:rsidR="005728DD" w:rsidRDefault="005728DD" w:rsidP="005728DD">
      <w:pPr>
        <w:pStyle w:val="TextoNormal"/>
      </w:pPr>
      <w:r>
        <w:t>(iii) Por si hubiera algún resquicio de duda sobre el objetivo de la convocatoria, otros términos completaban la razón de ser de la concentración; el lema inicial se completaba con la frase “no deixarem que aprovin retallades/no permitiremos que aprueben recortes”, que clarifican las razones por las que se pretendía “parar” el Parlament.</w:t>
      </w:r>
    </w:p>
    <w:p w:rsidR="005728DD" w:rsidRDefault="005728DD" w:rsidP="005728DD">
      <w:pPr>
        <w:pStyle w:val="TextoNormal"/>
      </w:pPr>
    </w:p>
    <w:p w:rsidR="005728DD" w:rsidRDefault="005728DD" w:rsidP="005728DD">
      <w:pPr>
        <w:pStyle w:val="TextoNormal"/>
      </w:pPr>
      <w:r>
        <w:t>(iv) La comunicación previa de la convocatoria a la autoridad gubernativa y el que, como señalan los hechos probados, aquella no hubiere adoptado medida alguna para regular el correcto discurrir de la concentración, en nada atenúa la constatación del ánimo tendencial apreciado en el lema de la misma, toda vez que la cuestión relacionada con la eventual acción o inacción de la autoridad gubernativa que siguió a la comunicación recibida sobre el lema de la convocatoria y la concentración que iba a tener lugar días después frente a la sede del Parlament, no afecta para nada a como se fuera a desarrollar aquella actuación colectiva, pues, en todo caso, se trataría de una cuestión afectante a terceros y ajena a los recurrentes, cuya única consecuencia a que hubiera podido conducir es a que, en su caso, la eventual inacción de la autoridad gubernativa hubiera contribuido a facilitar el objetivo de aquella concentración, que venía expresado en el lema de la convocatoria. Sin embargo, la acreditación de que la concentración fue comunicada días antes a la autoridad competente no confiere ninguna legitimidad constitucional al contenido del mensaje difundido con aquel lema, cuyo objetivo, hemos de reiterar, fue tratado de ser llevado a la práctica, entre otros, por los recurrentes.</w:t>
      </w:r>
    </w:p>
    <w:p w:rsidR="005728DD" w:rsidRDefault="005728DD" w:rsidP="005728DD">
      <w:pPr>
        <w:pStyle w:val="TextoNormal"/>
      </w:pPr>
    </w:p>
    <w:p w:rsidR="005728DD" w:rsidRDefault="005728DD" w:rsidP="005728DD">
      <w:pPr>
        <w:pStyle w:val="TextoNormal"/>
      </w:pPr>
      <w:r>
        <w:t>En consecuencia, la queja de los recurrentes relativa a la denunciada vulneración del derecho a un proceso con todas las garantías debe ser también desestimada. Igualmente, procede desestimar las invocadas del derecho de defensa y a la presunción de inocencia que, por estar asociadas a la anterior y no haber ofrecido las demandas de amparo carga argumental autónoma, deben conducir al mismo resultado desestimatorio.</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doña Ángela Bergillos Alguacil, don Carlos Munter Domec, don Rubén Molina Marín, don Francisco José Cobos García y don Jordi Raymond Parra, contra la sentencia de 17 de marzo de 2015 de la Sala de lo Penal del Tribunal Supremo y contra el posterior auto de 19 de mayo de 2015, de la misma Sala.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veinticuatro de junio de dos mil veintiuno.</w:t>
      </w:r>
    </w:p>
    <w:p w:rsidR="005728DD" w:rsidRDefault="005728DD" w:rsidP="005728DD">
      <w:pPr>
        <w:pStyle w:val="ParrafoNormal"/>
      </w:pPr>
    </w:p>
    <w:p w:rsidR="005728DD" w:rsidRDefault="005728DD" w:rsidP="005728DD">
      <w:pPr>
        <w:pStyle w:val="TextoNormalNegritaCentrado"/>
        <w:keepNext/>
      </w:pPr>
      <w:r>
        <w:t>Voto particular discrepante que formula la magistrada doña Encarnación Roca Trías a la sentencia dictada en los recursos de amparo avocados núms. 4037 y 4098 -2015</w:t>
      </w:r>
    </w:p>
    <w:p w:rsidR="005728DD" w:rsidRDefault="005728DD" w:rsidP="005728DD">
      <w:pPr>
        <w:pStyle w:val="TextoNormalNegritaCentrado"/>
        <w:keepNext/>
      </w:pPr>
    </w:p>
    <w:p w:rsidR="005728DD" w:rsidRDefault="005728DD" w:rsidP="005728DD">
      <w:pPr>
        <w:pStyle w:val="TextoNormal"/>
      </w:pPr>
      <w:r>
        <w:t xml:space="preserve">En el ejercicio de la facultad que me reconoce el art. 90.2 de la Ley Orgánica del Tribunal Constitucional, y con el mayor respeto a la opinión de la mayoría, expreso mi discrepancia con la decisión de desestimación de los recursos de amparo formulados. Considero, por el </w:t>
      </w:r>
      <w:r>
        <w:lastRenderedPageBreak/>
        <w:t>contrario, que debieron ser estimados por vulnerar el derecho a un proceso con todas las garantías (art. 24.2 CE) de los demandantes de amparo, dado que la revisión de la absolución en casación exigía haberles dado previa audiencia.</w:t>
      </w:r>
    </w:p>
    <w:p w:rsidR="005728DD" w:rsidRDefault="005728DD" w:rsidP="005728DD">
      <w:pPr>
        <w:pStyle w:val="TextoNormal"/>
      </w:pPr>
    </w:p>
    <w:p w:rsidR="005728DD" w:rsidRDefault="005728DD" w:rsidP="005728DD">
      <w:pPr>
        <w:pStyle w:val="TextoNormal"/>
      </w:pPr>
      <w:r>
        <w:t xml:space="preserve">Me remito a la doctrina constitucional y europea expuesta en la sentencia de la que discrepo. No obstante, quiero resaltar un párrafo en concreto de la STEDH de 22 de noviembre de 2011, asunto </w:t>
      </w:r>
      <w:r w:rsidRPr="005728DD">
        <w:rPr>
          <w:i/>
        </w:rPr>
        <w:t>Lacadena Calero c. España</w:t>
      </w:r>
      <w:r>
        <w:t>, § 47: “En opinión del tribunal, el Tribunal Supremo se apartó de la sentencia de instancia después de haberse pronunciado sobre elementos de hecho y de derecho que le permitieron determinar la culpabilidad del acusado. A este respecto, es obligado constatar que, cuando la inferencia de un tribunal ha tenido relación con elementos subjetivos (como en este caso la existencia de dolo eventual), no es posible proceder a la valoración jurídica de la actuación del acusado sin haber tratado previamente de probar la realidad de esta actuación, lo que implica necesariamente la verificación de la intención del acusado en relación con los hechos que se le imputan”.</w:t>
      </w:r>
    </w:p>
    <w:p w:rsidR="005728DD" w:rsidRDefault="005728DD" w:rsidP="005728DD">
      <w:pPr>
        <w:pStyle w:val="TextoNormal"/>
      </w:pPr>
    </w:p>
    <w:p w:rsidR="005728DD" w:rsidRDefault="005728DD" w:rsidP="005728DD">
      <w:pPr>
        <w:pStyle w:val="TextoNormal"/>
      </w:pPr>
      <w:r>
        <w:t xml:space="preserve">Para la sentencia de la mayoría, en este caso, “no nos hallamos ante una nueva valoración de la prueba sino ante un acto de subsunción del elemento subjetivo del tipo penal del art. 498 CP, realizado por el tribunal superior a partir del propio relato de hechos probados de la sentencia del órgano judicial inferior”, de manera tal, que, “si del propio relato se infiere la concurrencia de un elemento subjetivo del tipo que no haya sido apreciada por el órgano </w:t>
      </w:r>
      <w:r w:rsidRPr="005728DD">
        <w:rPr>
          <w:i/>
        </w:rPr>
        <w:t>a quo</w:t>
      </w:r>
      <w:r>
        <w:t>, la sentencia de instancia puede y debe ser revisada. La apreciación del elemento subjetivo se convierte, así, en una cuestión jurídica” [FJ 8 C) c)]. Se da, por tanto, “una particular situación”, que es que “aquel ánimo tendencial que configura el elemento subjetivo del tipo del art. 498 CP viene también explicitado en el propio relato de hechos probados de la sentencia” [FJ 8 C) c)].</w:t>
      </w:r>
    </w:p>
    <w:p w:rsidR="005728DD" w:rsidRDefault="005728DD" w:rsidP="005728DD">
      <w:pPr>
        <w:pStyle w:val="TextoNormal"/>
      </w:pPr>
    </w:p>
    <w:p w:rsidR="005728DD" w:rsidRDefault="005728DD" w:rsidP="005728DD">
      <w:pPr>
        <w:pStyle w:val="TextoNormal"/>
      </w:pPr>
      <w:r>
        <w:t>La mayoría de los magistrados considera que el elemento subjetivo del ánimo de impedir a los parlamentarios entrar en la sede parlamentaria para la celebración de una sesión plenaria se encontraba recogido expresamente en el relato de hechos probados al desprenderse del lema de la convocatoria: “Aturem el Parlament” (paremos el Parlament), así como de otras expresiones o lemas como “no deixarem que aprovin retallades” (no permitiremos que aprueben recortes). Sin embargo, este tribunal ha dicho que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(SSTC 125/2017, de 13 de noviembre, FJ 6, y 149/2019, de 25 de noviembre, FJ 2). A mi juicio, en consonancia con lo expuesto, el ánimo tendencial de los demandantes de amparo no puede deducirse únicamente del “propio contenido gramatical” [FJ 8 C) c)] del lema de la convocatoria que, hay que tenerlo en cuenta, fue autorizada por la autoridad gubernativa correspondiente. Necesitaba, aunque el ánimo de delinquir estuviera articulado a partir de los datos que constan en los hechos probados, de un debate público en el que los acusados hubieran podido intervenir.</w:t>
      </w:r>
    </w:p>
    <w:p w:rsidR="005728DD" w:rsidRDefault="005728DD" w:rsidP="005728DD">
      <w:pPr>
        <w:pStyle w:val="TextoNormal"/>
      </w:pPr>
    </w:p>
    <w:p w:rsidR="005728DD" w:rsidRDefault="005728DD" w:rsidP="005728DD">
      <w:pPr>
        <w:pStyle w:val="TextoNormal"/>
      </w:pPr>
      <w:r>
        <w:t xml:space="preserve">Como se advierte en la sentencia a la que se formula este voto particular, la doctrina de este Tribunal revela como aspecto importante del enjuiciamiento de quejas planteadas en relación con la aplicación del principio de inmediación y la efectividad del derecho a un </w:t>
      </w:r>
      <w:r>
        <w:lastRenderedPageBreak/>
        <w:t>proceso con todas las garantías, “el de su profundo casuismo y el de su necesario ajuste a aquellas circunstancias específicas” [FJ 8 C) a)]. En este caso, y con independencia de las peculiaridades propias del recurso de casación penal, considero que las circunstancias del caso obligaban a la previa audiencia de los acusados antes de condenarles tras haber sido absueltos en la instancia, ofreciéndoles la posibilidad de defender sus intereses contradictoriamente. No creo que se pueda inferir, sin hacer juicio valorativo alguno acerca del comportamiento de cada uno de ellos, cuál era realmente su intención, más allá de constatar, en su caso, que hubo fuerza, violencia, intimidación o amenaza grave. Argumentos tales como que las declaraciones de dos portavoces de los movimientos sociales convocantes realizadas en rueda de prensa, en la que se afirmaba que no pretendían impedir el funcionamiento del Parlament, fueron realizadas en un lapso de tiempo suficiente —cinco días antes de la concentración— como para difuminar el vínculo entre sus intenciones y lo ocurrido, o la intensidad de los términos empleados en la convocatoria y en las frases que los completaban, no permiten, a mi juicio, al margen de su suficiencia o insuficiencia para inferir el elemento subjetivo, apreciar la intencionalidad de los recurrentes sin antes haberles oído, como exige nuestra jurisprudencia en consonancia con la del Tribunal Europeo Derechos Humanos.</w:t>
      </w:r>
    </w:p>
    <w:p w:rsidR="005728DD" w:rsidRDefault="005728DD" w:rsidP="005728DD">
      <w:pPr>
        <w:pStyle w:val="TextoNormal"/>
      </w:pPr>
    </w:p>
    <w:p w:rsidR="005728DD" w:rsidRDefault="005728DD" w:rsidP="005728DD">
      <w:pPr>
        <w:pStyle w:val="TextoNormal"/>
      </w:pPr>
      <w:r>
        <w:t>Así pues, y por los motivos expuestos, considero que la queja denunciada de vulneración del derecho a un proceso con todas las garantías y del derecho de defensa (art. 24.2 CE) debió ser estimada por apreciar la sentencia de casación, tras la absolución en la instancia, la concurrencia del elemento subjetivo del delito imputado, esto es, la intención de los acusados de alterar o impedir el normal desarrollo de la función parlamentaria, sin la previa audiencia de los condenados. Sin darles, por tanto, la oportunidad de exponer su versión personal sobre su participación en los hechos. Dicha estimación hacía innecesario conocer de las restantes quejas invocadas que, a mi juicio, debían ser resueltas tras su previo enjuiciamiento.</w:t>
      </w:r>
    </w:p>
    <w:p w:rsidR="005728DD" w:rsidRDefault="005728DD" w:rsidP="005728DD">
      <w:pPr>
        <w:pStyle w:val="TextoNormal"/>
      </w:pPr>
    </w:p>
    <w:p w:rsidR="005728DD" w:rsidRDefault="005728DD" w:rsidP="005728DD">
      <w:pPr>
        <w:pStyle w:val="TextoNormal"/>
      </w:pPr>
      <w:r>
        <w:t>Y en este sentido emito mi voto particular.</w:t>
      </w:r>
    </w:p>
    <w:p w:rsidR="005728DD" w:rsidRDefault="005728DD" w:rsidP="005728DD">
      <w:pPr>
        <w:pStyle w:val="TextoNormal"/>
      </w:pPr>
    </w:p>
    <w:p w:rsidR="005728DD" w:rsidRDefault="005728DD" w:rsidP="005728DD">
      <w:pPr>
        <w:pStyle w:val="TextoNormal"/>
      </w:pPr>
      <w:r>
        <w:t>Madrid, a veinticuatro de junio de dos mil veintiuno.</w:t>
      </w:r>
    </w:p>
    <w:p w:rsidR="005728DD" w:rsidRDefault="005728DD" w:rsidP="005728DD">
      <w:pPr>
        <w:pStyle w:val="TextoNormal"/>
      </w:pPr>
    </w:p>
    <w:p w:rsidR="005728DD" w:rsidRDefault="005728DD" w:rsidP="005728DD">
      <w:pPr>
        <w:pStyle w:val="TextoNormalNegritaCentrado"/>
        <w:keepNext/>
      </w:pPr>
      <w:r>
        <w:t>Voto particular que formulan el magistrado don Juan Antonio Xiol Ríos y la magistrada doña María Luisa Balaguer Callejón respecto de la sentencia pronunciada en los recursos de amparo avocados acumulados núms. 4037-2015 y 4098-2015</w:t>
      </w:r>
    </w:p>
    <w:p w:rsidR="005728DD" w:rsidRDefault="005728DD" w:rsidP="005728DD">
      <w:pPr>
        <w:pStyle w:val="TextoNormalNegritaCentrado"/>
        <w:keepNext/>
      </w:pPr>
    </w:p>
    <w:p w:rsidR="005728DD" w:rsidRDefault="005728DD" w:rsidP="005728DD">
      <w:pPr>
        <w:pStyle w:val="TextoNormal"/>
      </w:pPr>
      <w:r>
        <w:t>Con el máximo respeto a nuestros compañeros de Pleno, manifestamos nuestra discrepancia con la fundamentación jurídica y con el fallo de la sentencia, que consideramos que debería haber sido estimatorio por vulneración de los derechos a un proceso con todas las garantías y a la presunción de inocencia (art. 24.2 CE), ya que se ha producido una condena en segunda instancia con revocación de una previa absolución sin dar la oportunidad a las personas demandantes de amparo de dirigirse al tribunal que las ha condenado; y, en todo caso, por vulneración del derecho de reunión (art. 21 CE), ya que se ha dado una severa respuesta penal frente al ejercicio —aunque fuera extralimitado— de este derecho fundamental generando un indeseado efecto desaliento.</w:t>
      </w:r>
    </w:p>
    <w:p w:rsidR="005728DD" w:rsidRDefault="005728DD" w:rsidP="005728DD">
      <w:pPr>
        <w:pStyle w:val="TextoNormal"/>
      </w:pPr>
    </w:p>
    <w:p w:rsidR="005728DD" w:rsidRDefault="005728DD" w:rsidP="005728DD">
      <w:pPr>
        <w:pStyle w:val="TextoNormal"/>
      </w:pPr>
      <w:r>
        <w:lastRenderedPageBreak/>
        <w:t xml:space="preserve">1. Las razones por las que consideramos que en el presente caso se ha producido una vulneración de los derechos a un proceso con todas las garantías y a la presunción de inocencia (art. 24.2 CE), con motivo de la condena sufrida en el recurso de casación con anulación de la sentencia absolutoria impugnada sin haberse dado la posibilidad a las personas demandantes de amparo de dirigirse al órgano judicial que las ha condenado, responden a lo que entendemos hubiera debido ser una correcta aplicación de la jurisprudencia constitucional (así, entre las últimas, SSTC 125/2017, de 13 de noviembre; 36/2018 y 37/2018, de 23 de abril; 59/2018, de 4 de junio; 73/2019, de 20 de mayo; 88/2019, de 1 de julio; 172/2019, de 16 de diciembre; 1/2020, de 14 de enero) y del Tribunal Europeo Derechos Humanos, que ha condenado a España en sucesivas ocasiones por este motivo (así, entre las últimas, SSTEDH de 8 de marzo de 2016, caso </w:t>
      </w:r>
      <w:r w:rsidRPr="005728DD">
        <w:rPr>
          <w:i/>
        </w:rPr>
        <w:t>Porcel Terribas y otros c. España</w:t>
      </w:r>
      <w:r>
        <w:t xml:space="preserve">; de 29 de marzo de 2016, caso </w:t>
      </w:r>
      <w:r w:rsidRPr="005728DD">
        <w:rPr>
          <w:i/>
        </w:rPr>
        <w:t>Gómez Olmeda c. España</w:t>
      </w:r>
      <w:r>
        <w:t xml:space="preserve">; de 13 de junio de 2017, caso </w:t>
      </w:r>
      <w:r w:rsidRPr="005728DD">
        <w:rPr>
          <w:i/>
        </w:rPr>
        <w:t>Atutxa Mendiola y otros c. España</w:t>
      </w:r>
      <w:r>
        <w:t xml:space="preserve">; de 24 de septiembre de 2019, caso </w:t>
      </w:r>
      <w:r w:rsidRPr="005728DD">
        <w:rPr>
          <w:i/>
        </w:rPr>
        <w:t>Camacho Camacho c. España</w:t>
      </w:r>
      <w:r>
        <w:t xml:space="preserve">; de 14 de enero de 2020, caso </w:t>
      </w:r>
      <w:r w:rsidRPr="005728DD">
        <w:rPr>
          <w:i/>
        </w:rPr>
        <w:t>Pardo Campoy y Lozano Rodríguez c. España</w:t>
      </w:r>
      <w:r>
        <w:t xml:space="preserve">; o de 8 de septiembre de 2020, caso </w:t>
      </w:r>
      <w:r w:rsidRPr="005728DD">
        <w:rPr>
          <w:i/>
        </w:rPr>
        <w:t>Romero García c. España</w:t>
      </w:r>
      <w:r>
        <w:t>).</w:t>
      </w:r>
    </w:p>
    <w:p w:rsidR="005728DD" w:rsidRDefault="005728DD" w:rsidP="005728DD">
      <w:pPr>
        <w:pStyle w:val="TextoNormal"/>
      </w:pPr>
    </w:p>
    <w:p w:rsidR="005728DD" w:rsidRDefault="005728DD" w:rsidP="005728DD">
      <w:pPr>
        <w:pStyle w:val="TextoNormal"/>
      </w:pPr>
      <w:r>
        <w:t>La exposición desarrollada en el voto particular a esta sentencia por el magistrado don Cándido Conde-Pumpido Tourón es suficientemente clarificadora sobre este particular. A sus razonamientos nos remitimos para expresar nuestra discrepancia con la posición mayoritaria en la que se sustenta la sentencia por la desestimación de esta concreta invocación.</w:t>
      </w:r>
    </w:p>
    <w:p w:rsidR="005728DD" w:rsidRDefault="005728DD" w:rsidP="005728DD">
      <w:pPr>
        <w:pStyle w:val="TextoNormal"/>
      </w:pPr>
    </w:p>
    <w:p w:rsidR="005728DD" w:rsidRDefault="005728DD" w:rsidP="005728DD">
      <w:pPr>
        <w:pStyle w:val="TextoNormal"/>
      </w:pPr>
      <w:r>
        <w:t>2. La anterior vulneración, por el efecto anulatorio que hubiera tenido de la sentencia condenatoria impugnada y confirmatorio de la absolución acordada en la sentencia de instancia, habría sido suficiente para no tener que analizar la invocación del derecho de reunión (art. 21 CE). No obstante, como la opinión mayoritaria en la que se sustenta la sentencia también ha desestimado la invocación de este derecho, resulta necesario hacer algunas consideraciones para exponer nuestra disidencia con esta conclusión.</w:t>
      </w:r>
    </w:p>
    <w:p w:rsidR="005728DD" w:rsidRDefault="005728DD" w:rsidP="005728DD">
      <w:pPr>
        <w:pStyle w:val="TextoNormal"/>
      </w:pPr>
    </w:p>
    <w:p w:rsidR="005728DD" w:rsidRDefault="005728DD" w:rsidP="005728DD">
      <w:pPr>
        <w:pStyle w:val="TextoNormal"/>
      </w:pPr>
      <w:r>
        <w:t xml:space="preserve">Esta necesidad es tanto más acuciante por lo que apreciamos es una preocupante deriva de la jurisprudencia constitucional que, en el tratamiento de las condenas penales por conductas que se desarrollan en el ámbito material de los derechos a la libertad de expresión y de reunión, parece alejarse cada vez más de la jurisprudencia del Tribunal Europeo Derechos Humanos, como ya hemos puesto de manifiesto en sucesivos votos particulares (así, por ejemplo, SSTC 190/2020, de 15 de diciembre; 192/2020, de 17 de diciembre; 121/2021 y 122/2021, de 2 de junio). El abusivo recurso al sistema de justicia penal en detrimento de otras respuestas menos desalentadoras de derechos tan vinculados a la esencia misma de un sistema constitucional plenamente consolidado supone un objetivo empobrecimiento de la calidad de nuestra democracia. Así parecen confirmarlo las sucesivas condenas a España por parte del Tribunal Europeo Derechos Humanos en estas materias (así, por ejemplo, SSTEDH de 14 de junio de 2016, caso </w:t>
      </w:r>
      <w:r w:rsidRPr="005728DD">
        <w:rPr>
          <w:i/>
        </w:rPr>
        <w:t>Jiménez Losantos c. España</w:t>
      </w:r>
      <w:r>
        <w:t xml:space="preserve">; de 13 de marzo de 2018, caso </w:t>
      </w:r>
      <w:r w:rsidRPr="005728DD">
        <w:rPr>
          <w:i/>
        </w:rPr>
        <w:t>Stern Taulats y Roura Capellera c. España</w:t>
      </w:r>
      <w:r>
        <w:t xml:space="preserve">; de 20 de noviembre de 2018, caso </w:t>
      </w:r>
      <w:r w:rsidRPr="005728DD">
        <w:rPr>
          <w:i/>
        </w:rPr>
        <w:t>Toranzo Gómez c. España</w:t>
      </w:r>
      <w:r>
        <w:t xml:space="preserve">; de 9 de marzo de 2021, caso </w:t>
      </w:r>
      <w:r w:rsidRPr="005728DD">
        <w:rPr>
          <w:i/>
        </w:rPr>
        <w:t>Benítez Moriana e Íñigo Fernández c. España</w:t>
      </w:r>
      <w:r>
        <w:t xml:space="preserve">; de 22 junio de 2021, caso </w:t>
      </w:r>
      <w:r w:rsidRPr="005728DD">
        <w:rPr>
          <w:i/>
        </w:rPr>
        <w:t>Erkizia Almandoz c. España</w:t>
      </w:r>
      <w:r>
        <w:t>).</w:t>
      </w:r>
    </w:p>
    <w:p w:rsidR="005728DD" w:rsidRDefault="005728DD" w:rsidP="005728DD">
      <w:pPr>
        <w:pStyle w:val="TextoNormal"/>
      </w:pPr>
    </w:p>
    <w:p w:rsidR="005728DD" w:rsidRDefault="005728DD" w:rsidP="005728DD">
      <w:pPr>
        <w:pStyle w:val="TextoNormal"/>
      </w:pPr>
      <w:r>
        <w:t xml:space="preserve">Recientemente hemos hecho pública nuestra discrepancia, mediante sendos votos particulares formulados a las SSTC 121/2021 y 122/2021, de 2 de junio, acerca del análisis de la constitucionalidad de la injerencia que sobre el derecho de reunión supone la sanción </w:t>
      </w:r>
      <w:r>
        <w:lastRenderedPageBreak/>
        <w:t>penal de las conductas que, aunque de manera extralimitada, se desarrollan dentro del ámbito material de este derecho. En coherencia con la posición mantenida en aquellos votos particulares, creemos preciso reiterar ahora algunas de las ideas fundamentales que allí se establecían antes de entrar en la exposición de las razones por las que consideramos que también en este caso concreto se ha producido una vulneración del derecho de reunión de las personas demandantes de amparo.</w:t>
      </w:r>
    </w:p>
    <w:p w:rsidR="005728DD" w:rsidRDefault="005728DD" w:rsidP="005728DD">
      <w:pPr>
        <w:pStyle w:val="TextoNormal"/>
      </w:pPr>
    </w:p>
    <w:p w:rsidR="005728DD" w:rsidRDefault="005728DD" w:rsidP="005728DD">
      <w:pPr>
        <w:pStyle w:val="TextoNormal"/>
      </w:pPr>
      <w:r w:rsidRPr="005728DD">
        <w:rPr>
          <w:i/>
        </w:rPr>
        <w:t>I. Los problemas de constitucionalidad del uso de la sanción penal frente a conductas desarrolladas en el ámbito material del ejercicio de los derechos fundamentales</w:t>
      </w:r>
      <w:r>
        <w:t>.</w:t>
      </w:r>
    </w:p>
    <w:p w:rsidR="005728DD" w:rsidRDefault="005728DD" w:rsidP="005728DD">
      <w:pPr>
        <w:pStyle w:val="TextoNormal"/>
      </w:pPr>
    </w:p>
    <w:p w:rsidR="005728DD" w:rsidRDefault="005728DD" w:rsidP="005728DD">
      <w:pPr>
        <w:pStyle w:val="TextoNormal"/>
      </w:pPr>
      <w:r>
        <w:t>3. La jurisprudencia constitucional y la del Tribunal Europeo Derechos Humanos ha establecido que el parámetro de constitucionalidad a aplicar en aquellos casos en que se recurre al sistema de justicia penal para sancionar conductas que se desenvuelven en el ámbito material del ejercicio de derechos fundamentales cuenta con tres secuencias de control:</w:t>
      </w:r>
    </w:p>
    <w:p w:rsidR="005728DD" w:rsidRDefault="005728DD" w:rsidP="005728DD">
      <w:pPr>
        <w:pStyle w:val="TextoNormal"/>
      </w:pPr>
    </w:p>
    <w:p w:rsidR="005728DD" w:rsidRDefault="005728DD" w:rsidP="005728DD">
      <w:pPr>
        <w:pStyle w:val="TextoNormal"/>
      </w:pPr>
      <w:r>
        <w:t>(i) La verificación de que la conducta objeto de sanción penal se desarrolla dentro del ámbito de protección del derecho fundamental, lo que ya implicaría, por razón de la materia, la necesidad de ponderar la afectación del derecho fundamental concernido a partir de la respuesta penal.</w:t>
      </w:r>
    </w:p>
    <w:p w:rsidR="005728DD" w:rsidRDefault="005728DD" w:rsidP="005728DD">
      <w:pPr>
        <w:pStyle w:val="TextoNormal"/>
      </w:pPr>
    </w:p>
    <w:p w:rsidR="005728DD" w:rsidRDefault="005728DD" w:rsidP="005728DD">
      <w:pPr>
        <w:pStyle w:val="TextoNormal"/>
      </w:pPr>
      <w:r>
        <w:t>(ii) La comprobación de que la conducta penalmente sancionada, en atención al haz de garantías y posibilidades de actuación o resistencia que otorga el derecho fundamental concernido, se ha desarrollado plenamente dentro del ámbito constitucionalmente protegido por este derecho —esto es, representa un ejercicio legítimo del derecho—, lo que implicaría una inmunidad frente a cualquier actuación e injerencia del poder estatal, también la derivada de la potestad sancionatoria, a partir de la premisa de que una conducta no puede ser a un mismo tiempo valorada como un acto de ejercicio de un derecho fundamental y como constitutiva de un ilícito de cualquier naturaleza. En tal caso la reacción sancionatoria debe ser considerada una injerencia injustificada en el derecho fundamental sustantivo lesiva del mismo.</w:t>
      </w:r>
    </w:p>
    <w:p w:rsidR="005728DD" w:rsidRDefault="005728DD" w:rsidP="005728DD">
      <w:pPr>
        <w:pStyle w:val="TextoNormal"/>
      </w:pPr>
    </w:p>
    <w:p w:rsidR="005728DD" w:rsidRDefault="005728DD" w:rsidP="005728DD">
      <w:pPr>
        <w:pStyle w:val="TextoNormal"/>
      </w:pPr>
      <w:r>
        <w:t>(iii) La comprobación de que la sanción penal de la conducta —incluso cuando dicha conducta no pueda considerarse como legítimo ejercicio del derecho fundamental concernido por haberse sobrepasado sus límites de protección estricta— supone una injerencia en dicho derecho. En estos supuestos aunque la conducta realizada no pueda considerarse amparada por el derecho fundamental, al tratarse de conductas que tienen su origen en el ejercicio del referido derecho, su extralimitado ejercicio no puede castigarse acudiendo al derecho penal, salvo en aquellos casos en los que de forma manifiesta la conducta punible no tenga conexión alguna con el ámbito protegido por el derecho fundamental. De no ser así, la reacción penal deber ser considerada una injerencia desproporcionada en el derecho fundamental sustantivo lesiva del mismo incompatible con el efecto desaliento que provocaría sobre el propio sujeto sancionado y la colectividad para el ejercicio del derecho fundamental.</w:t>
      </w:r>
    </w:p>
    <w:p w:rsidR="005728DD" w:rsidRDefault="005728DD" w:rsidP="005728DD">
      <w:pPr>
        <w:pStyle w:val="TextoNormal"/>
      </w:pPr>
    </w:p>
    <w:p w:rsidR="005728DD" w:rsidRDefault="005728DD" w:rsidP="005728DD">
      <w:pPr>
        <w:pStyle w:val="TextoNormal"/>
      </w:pPr>
      <w:r>
        <w:t>4. En el presente caso, nuestra discrepancia con la posición mayoritaria en la que se sustenta la sentencia se fundamenta en el análisis de la amplitud del derecho fundamental concernido —en este caso, el derecho de reunión (art. 21 CE)— y, especialmente, en las posi</w:t>
      </w:r>
      <w:r>
        <w:lastRenderedPageBreak/>
        <w:t>bilidades de injerencia en este derecho mediante el recurso a la sanción penal de las conductas que se desenvuelven en conexión con su ámbito de protección y la valoración concretamente realizada sobre la legitimidad —justificación y proporcionalidad— de la injerencia en este derecho en forma de la sanción penal de tres años de prisión impuesta a las personas demandantes de amparo, a pesar del eventual conflicto que se pudiera plantear con el derecho de representación política de los entonces diputados del Parlamento de Cataluña.</w:t>
      </w:r>
    </w:p>
    <w:p w:rsidR="005728DD" w:rsidRDefault="005728DD" w:rsidP="005728DD">
      <w:pPr>
        <w:pStyle w:val="TextoNormal"/>
      </w:pPr>
    </w:p>
    <w:p w:rsidR="005728DD" w:rsidRDefault="005728DD" w:rsidP="005728DD">
      <w:pPr>
        <w:pStyle w:val="TextoNormal"/>
      </w:pPr>
      <w:r w:rsidRPr="005728DD">
        <w:rPr>
          <w:i/>
        </w:rPr>
        <w:t>II. Las posibilidades de injerencia legítima —justificada y proporcional— mediante el recurso al sistema de justicia penal en el ejercicio del derecho de reunión</w:t>
      </w:r>
      <w:r>
        <w:t>.</w:t>
      </w:r>
    </w:p>
    <w:p w:rsidR="005728DD" w:rsidRDefault="005728DD" w:rsidP="005728DD">
      <w:pPr>
        <w:pStyle w:val="TextoNormal"/>
      </w:pPr>
    </w:p>
    <w:p w:rsidR="005728DD" w:rsidRDefault="005728DD" w:rsidP="005728DD">
      <w:pPr>
        <w:pStyle w:val="TextoNormal"/>
      </w:pPr>
      <w:r>
        <w:t>5. La posición mayoritaria en la que se sustenta la sentencia expone el ámbito constitucional de protección del derecho de reunión (art. 21 CE) incidiendo en alguno de sus aspectos esenciales: (i) El carácter básico de este derecho, que se constituye como un pilar fundamental de una sociedad democrática; (ii) su configuración como una manifestación colectiva de la libertad de expresión al servicio del libre intercambio de ideas y reivindicaciones en el contexto de una democracia participativa; (iii) un ámbito material de protección vinculado al carácter pacífico de la reunión; (iv) la posibilidad de limitaciones o injerencias proporcionadas en el ejercicio del derecho justificada en la prevalencia de otros intereses o valores constitucionales, y (v) la necesidad de que las limitaciones a su ejercicio sean interpretadas y aplicadas restrictivamente.</w:t>
      </w:r>
    </w:p>
    <w:p w:rsidR="005728DD" w:rsidRDefault="005728DD" w:rsidP="005728DD">
      <w:pPr>
        <w:pStyle w:val="TextoNormal"/>
      </w:pPr>
    </w:p>
    <w:p w:rsidR="005728DD" w:rsidRDefault="005728DD" w:rsidP="005728DD">
      <w:pPr>
        <w:pStyle w:val="TextoNormal"/>
      </w:pPr>
      <w:r>
        <w:t>Sin embargo, a nuestro juicio, hubiera sido preciso profundizar en determinados aspectos relevantes para el más correcto enjuiciamiento del caso, sobre los que ha incidido especialmente la jurisprudencia del Tribunal Europeo Derechos Humanos, que ha desarrollado un amplio y casuístico tratamiento de los supuestos de injerencia en este derecho. A esos efectos, es preciso destacar determinadas ideas tanto en relación con el propio ámbito material de protección de este derecho como, especialmente, respecto de la legitimidad de su injerencia mediante el recurso al sistema de justicia penal.</w:t>
      </w:r>
    </w:p>
    <w:p w:rsidR="005728DD" w:rsidRDefault="005728DD" w:rsidP="005728DD">
      <w:pPr>
        <w:pStyle w:val="TextoNormal"/>
      </w:pPr>
    </w:p>
    <w:p w:rsidR="005728DD" w:rsidRDefault="005728DD" w:rsidP="005728DD">
      <w:pPr>
        <w:pStyle w:val="TextoNormal"/>
      </w:pPr>
      <w:r>
        <w:t xml:space="preserve">6. El ámbito material de protección del derecho de reunión se extiende a cualquier tipo de reuniones o manifestaciones pacíficas, en el sentido de que los organizadores y los participantes no tengan intenciones violentas, inciten a la violencia o impliquen la negación de los fundamentos de una sociedad democrática (así, SSTEDH de 24 de julio de 2012, caso </w:t>
      </w:r>
      <w:r w:rsidRPr="005728DD">
        <w:rPr>
          <w:i/>
        </w:rPr>
        <w:t>Fáber c. Hungría</w:t>
      </w:r>
      <w:r>
        <w:t xml:space="preserve">, § 37; de 15 de octubre de 2015, caso </w:t>
      </w:r>
      <w:r w:rsidRPr="005728DD">
        <w:rPr>
          <w:i/>
        </w:rPr>
        <w:t>Kudrevičius y otros c. Lituania</w:t>
      </w:r>
      <w:r>
        <w:t xml:space="preserve">, § 92; de 25 de julio de 2017, caso </w:t>
      </w:r>
      <w:r w:rsidRPr="005728DD">
        <w:rPr>
          <w:i/>
        </w:rPr>
        <w:t>Annenkov y otros c. Rusia</w:t>
      </w:r>
      <w:r>
        <w:t>, § 122; o de 15 de noviembre de 2018, cas</w:t>
      </w:r>
      <w:r w:rsidRPr="005728DD">
        <w:rPr>
          <w:i/>
        </w:rPr>
        <w:t>o Navalnyy c. Rus</w:t>
      </w:r>
      <w:r>
        <w:t>ia, § 98).</w:t>
      </w:r>
    </w:p>
    <w:p w:rsidR="005728DD" w:rsidRDefault="005728DD" w:rsidP="005728DD">
      <w:pPr>
        <w:pStyle w:val="TextoNormal"/>
      </w:pPr>
    </w:p>
    <w:p w:rsidR="005728DD" w:rsidRDefault="005728DD" w:rsidP="005728DD">
      <w:pPr>
        <w:pStyle w:val="TextoNormal"/>
      </w:pPr>
      <w:r>
        <w:t xml:space="preserve">El Tribunal Europeo Derechos Humanos ha hecho especial incidencia en que lo relevante para que la reunión se desenvuelva dentro del ámbito material de protección de este derecho no es tanto que se hayan producido actos de violencia en el contexto de la reunión o manifestación, sino que, incluso tratándose de manifestaciones prohibidas, no quede acreditada una intención violenta en sus convocantes o participantes. Así, se establece que una persona no deja de disfrutar del derecho de reunión pacífica como resultado de violencia esporádica u otros actos punibles cometidos por otros en el curso de la manifestación si la persona en cuestión permanece pacífica en sus propias intenciones o comportamiento (SSTEDH de 12 de junio de 2014, caso </w:t>
      </w:r>
      <w:r w:rsidRPr="005728DD">
        <w:rPr>
          <w:i/>
        </w:rPr>
        <w:t>Primov y otros c. Rusia</w:t>
      </w:r>
      <w:r>
        <w:t xml:space="preserve">, § 155; de 15 de octubre de 2015, caso </w:t>
      </w:r>
      <w:r w:rsidRPr="005728DD">
        <w:rPr>
          <w:i/>
        </w:rPr>
        <w:t>Kudrevičius y otros c. Lituania</w:t>
      </w:r>
      <w:r>
        <w:t xml:space="preserve">, § 94; de 25 de julio de 2017, caso </w:t>
      </w:r>
      <w:r w:rsidRPr="005728DD">
        <w:rPr>
          <w:i/>
        </w:rPr>
        <w:t>Annenkov y otros c. Rusia</w:t>
      </w:r>
      <w:r>
        <w:t xml:space="preserve">, § 124; o de 6 de octubre de 2020, caso </w:t>
      </w:r>
      <w:r w:rsidRPr="005728DD">
        <w:rPr>
          <w:i/>
        </w:rPr>
        <w:t>Laguna Guzmán c. España</w:t>
      </w:r>
      <w:r>
        <w:t xml:space="preserve">, § 35). Igualmente, que, </w:t>
      </w:r>
      <w:r>
        <w:lastRenderedPageBreak/>
        <w:t xml:space="preserve">incluso si existe un riesgo real de que una manifestación pública sea la causa de disturbios debido a eventos fuera del control de los organizadores, esta manifestación, por esta sola razón, no queda fuera de la protección del este derecho, siendo exigible que cualquier restricción impuesta cumpla las exigencias de la legitimidad de la limitación del derecho (así, STEDH de 18 de junio de 2013, caso </w:t>
      </w:r>
      <w:r w:rsidRPr="005728DD">
        <w:rPr>
          <w:i/>
        </w:rPr>
        <w:t>Gün y otros c. Turquía</w:t>
      </w:r>
      <w:r>
        <w:t xml:space="preserve">, § 51; de 15 de mayo de 2014, caso </w:t>
      </w:r>
      <w:r w:rsidRPr="005728DD">
        <w:rPr>
          <w:i/>
        </w:rPr>
        <w:t>Taranenko c. Rusia</w:t>
      </w:r>
      <w:r>
        <w:t xml:space="preserve">, § 66; o de 15 de octubre de 2015, caso </w:t>
      </w:r>
      <w:r w:rsidRPr="005728DD">
        <w:rPr>
          <w:i/>
        </w:rPr>
        <w:t>Kudrevičius y otros c. Lituania</w:t>
      </w:r>
      <w:r>
        <w:t>, § 94).</w:t>
      </w:r>
    </w:p>
    <w:p w:rsidR="005728DD" w:rsidRDefault="005728DD" w:rsidP="005728DD">
      <w:pPr>
        <w:pStyle w:val="TextoNormal"/>
      </w:pPr>
    </w:p>
    <w:p w:rsidR="005728DD" w:rsidRDefault="005728DD" w:rsidP="005728DD">
      <w:pPr>
        <w:pStyle w:val="TextoNormal"/>
      </w:pPr>
      <w:r>
        <w:t xml:space="preserve">Por otra parte, la jurisprudencia del Tribunal Europeo Derechos Humanos también ha destacado que el mero hecho de que pueda existir en los convocantes o participantes una intención o conducta penalmente ilícita, siempre que no resulte violenta, tampoco es suficiente para excluir el ámbito de aplicación de este derecho fundamental. Así, por ejemplo, en la STEDH de 15 de mayo de 2014, caso </w:t>
      </w:r>
      <w:r w:rsidRPr="005728DD">
        <w:rPr>
          <w:i/>
        </w:rPr>
        <w:t>Taranenko c. Rusia</w:t>
      </w:r>
      <w:r>
        <w:t xml:space="preserve">, no hubo ninguna objeción por razón de la materia para considerar concernido el derecho de reunión pacífica —e incluso para concluir que fue lesionado— un supuesto de ocupación por manifestantes de la zona de recepción de un edificio público, en las que provocaron daños, exigiendo una reunión con los responsables de la administración pública y denunciando el incumplimiento de la Constitución; como tampoco en la STEDH de 25 de julio de 2017, caso </w:t>
      </w:r>
      <w:r w:rsidRPr="005728DD">
        <w:rPr>
          <w:i/>
        </w:rPr>
        <w:t>Annenkov y otros c. Rusia</w:t>
      </w:r>
      <w:r>
        <w:t xml:space="preserve">, referido a la ocupación permanente de un inmueble de propiedad privada en protesta por su cesión a una empresa privada y hasta que se aclararan los aspectos relativos a la legalidad de su demolición; o en la STEDH de 9 de abril de 2002, caso </w:t>
      </w:r>
      <w:r w:rsidRPr="005728DD">
        <w:rPr>
          <w:i/>
        </w:rPr>
        <w:t>Cisse c. Francia</w:t>
      </w:r>
      <w:r>
        <w:t xml:space="preserve">, ante la ocupación durante casi dos meses de una iglesia católica. Lo mismo sucedió en el caso de la STEDH de 15 de octubre de 2015, caso </w:t>
      </w:r>
      <w:r w:rsidRPr="005728DD">
        <w:rPr>
          <w:i/>
        </w:rPr>
        <w:t>Kudrevičius y otros c. Lituania</w:t>
      </w:r>
      <w:r>
        <w:t>, referido al mantenimiento del bloqueo al tráfico rodado de una vía pública durante tres días.</w:t>
      </w:r>
    </w:p>
    <w:p w:rsidR="005728DD" w:rsidRDefault="005728DD" w:rsidP="005728DD">
      <w:pPr>
        <w:pStyle w:val="TextoNormal"/>
      </w:pPr>
    </w:p>
    <w:p w:rsidR="005728DD" w:rsidRDefault="005728DD" w:rsidP="005728DD">
      <w:pPr>
        <w:pStyle w:val="TextoNormal"/>
      </w:pPr>
      <w:r>
        <w:t>En conclusión, a nuestro juicio, habría sido necesario, con fundamento en el art. 10.2 CE, en relación con la jurisprudencia del Tribunal Europeo Derechos Humanos, que se hubiera concretado, dentro del parámetro de control de constitucionalidad relativo al derecho de reunión en lo que respecta a su ámbito material de protección, de manera más precisa y matizada lo siguiente:</w:t>
      </w:r>
    </w:p>
    <w:p w:rsidR="005728DD" w:rsidRDefault="005728DD" w:rsidP="005728DD">
      <w:pPr>
        <w:pStyle w:val="TextoNormal"/>
      </w:pPr>
    </w:p>
    <w:p w:rsidR="005728DD" w:rsidRDefault="005728DD" w:rsidP="005728DD">
      <w:pPr>
        <w:pStyle w:val="TextoNormal"/>
      </w:pPr>
      <w:r>
        <w:t>(i) El ámbito de protección material de este derecho alcanza a toda reunión o manifestación pacífica, entendiendo por tal aquella que, con independencia de la radicalidad del mensaje y de las reivindicaciones sostenidas, los organizadores y los participantes no tengan intenciones violentas, inciten a la violencia o impliquen la negación de los fundamentos de una sociedad democrática.</w:t>
      </w:r>
    </w:p>
    <w:p w:rsidR="005728DD" w:rsidRDefault="005728DD" w:rsidP="005728DD">
      <w:pPr>
        <w:pStyle w:val="TextoNormal"/>
      </w:pPr>
    </w:p>
    <w:p w:rsidR="005728DD" w:rsidRDefault="005728DD" w:rsidP="005728DD">
      <w:pPr>
        <w:pStyle w:val="TextoNormal"/>
      </w:pPr>
      <w:r>
        <w:t>(ii) El carácter pacífico de una reunión o manifestación no queda negado; (a) por la circunstancia de que se hayan producido actos de violencia en su contexto, incluso si existía un riesgo real de que por la naturaleza de la situación pudieran causarse disturbios, si la persona en cuestión permanece pacífica en sus propias intenciones o comportamiento; (b) ni por el mero hecho de que pudiera existir en los convocantes o participantes una intención o conducta penalmente ilícita, siempre que no resulte violenta —ocupaciones, pequeños daños, obstrucción de la circulación, etc.—; (c) ni que se desarrollen en protesta, oposición o contradicción con resoluciones de las autoridades competentes, incluyendo reuniones expresamente prohibidas.</w:t>
      </w:r>
    </w:p>
    <w:p w:rsidR="005728DD" w:rsidRDefault="005728DD" w:rsidP="005728DD">
      <w:pPr>
        <w:pStyle w:val="TextoNormal"/>
      </w:pPr>
    </w:p>
    <w:p w:rsidR="005728DD" w:rsidRDefault="005728DD" w:rsidP="005728DD">
      <w:pPr>
        <w:pStyle w:val="TextoNormal"/>
      </w:pPr>
      <w:r>
        <w:lastRenderedPageBreak/>
        <w:t>7. La circunstancia de que una determinada conducta o acto quede dentro del ámbito material del derecho de reunión no implica, lógicamente, que cualquier restricción o injerencia quede constitucionalmente prohibida. No obstante, las eventuales restricciones o injerencias de que sea objeto quedan sometidas a los estrictos requisitos que legitiman este tipo de limitaciones: previsión normativa, persecución de un fin legítimo, necesidad y proporcionalidad.</w:t>
      </w:r>
    </w:p>
    <w:p w:rsidR="005728DD" w:rsidRDefault="005728DD" w:rsidP="005728DD">
      <w:pPr>
        <w:pStyle w:val="TextoNormal"/>
      </w:pPr>
    </w:p>
    <w:p w:rsidR="005728DD" w:rsidRDefault="005728DD" w:rsidP="005728DD">
      <w:pPr>
        <w:pStyle w:val="TextoNormal"/>
      </w:pPr>
      <w:r>
        <w:t>Las injerencias o restricciones que plantean mayores problemas son, precisamente, las que consisten en la represión penal de las conductas que se desenvuelven en el ámbito material del derecho de reunión. Estas injerencias, en principio, no suelen plantear problemas desde la perspectiva de su previsión normativa —protegida además por el derecho a la legalidad sancionadora— ni la persecución de un fin legítimo —normalmente vinculado a la protección del orden público o de los intereses o valores constitucionalmente tutelados por el tipo penal correspondiente—. Sin embargo, deben ser objeto de un muy especial e intenso escrutinio desde la perspectiva de su necesidad y proporcionalidad por suponer la más graves injerencia en el derecho de reunión en atención a la radicalidad de la respuesta estatal que afecta a otros derechos fundamentales sustantivos —los que son objeto de privación como consecuencia de la pena— y por su especial intensidad sobre el propio derecho de reunión por el devastador efecto desaliento y desincentivador que tiene tanto sobre el sujeto sancionado como sobre la colectividad en el ejercicio de una libertad pública sin la que no puede entenderse el concepto mismo de democracia constitucional. Ese escrutinio debe ser más estricto cuanto más severa en lo cualitativo y en lo cuantitativo es la respuesta sancionadora estatal.</w:t>
      </w:r>
    </w:p>
    <w:p w:rsidR="005728DD" w:rsidRDefault="005728DD" w:rsidP="005728DD">
      <w:pPr>
        <w:pStyle w:val="TextoNormal"/>
      </w:pPr>
    </w:p>
    <w:p w:rsidR="005728DD" w:rsidRDefault="005728DD" w:rsidP="005728DD">
      <w:pPr>
        <w:pStyle w:val="TextoNormal"/>
      </w:pPr>
      <w:r>
        <w:t xml:space="preserve">La jurisprudencia del Tribunal Europeo Derechos Humanos se desarrolla en este contexto de pensamiento, al establecer de manera reiterada que dentro del término restricciones o injerencias aplicables al derecho de reunión pacífica están las medidas punitivas adoptadas como consecuencia del desarrollo de la reunión siempre que (i) exista un vínculo claro y reconocido entre el ejercicio de ese derecho y la sanción impuesta (así, SSTEH de 4 de diciembre de 2014, caso </w:t>
      </w:r>
      <w:r w:rsidRPr="005728DD">
        <w:rPr>
          <w:i/>
        </w:rPr>
        <w:t>Navalnyy y Yashin c. Rusia</w:t>
      </w:r>
      <w:r>
        <w:t xml:space="preserve">, § 52, o de 14 de enero de 2020, caso </w:t>
      </w:r>
      <w:r w:rsidRPr="005728DD">
        <w:rPr>
          <w:i/>
        </w:rPr>
        <w:t>Varoğlu Atik y otros c, Turquía</w:t>
      </w:r>
      <w:r>
        <w:t xml:space="preserve">, § 29), que se extiende incluso a los casos de absolución derivado del mero hecho de la existencia de un procesamiento penal (SSTEDH de 29 de noviembre de 2007, caso </w:t>
      </w:r>
      <w:r w:rsidRPr="005728DD">
        <w:rPr>
          <w:i/>
        </w:rPr>
        <w:t>Balçık y otros c. Turquía</w:t>
      </w:r>
      <w:r>
        <w:t xml:space="preserve">, § 41, o de 18 de diciembre de 2007, caso </w:t>
      </w:r>
      <w:r w:rsidRPr="005728DD">
        <w:rPr>
          <w:i/>
        </w:rPr>
        <w:t>Nurettin Aldemir y otros c. Turquía</w:t>
      </w:r>
      <w:r>
        <w:t xml:space="preserve">, § 34-35); y (ii) se persiga un objetivo legítimo de preservación del orden público y/o la protección de los derechos y libertades de terceros (STEDH de 15 de octubre de 2015, caso </w:t>
      </w:r>
      <w:r w:rsidRPr="005728DD">
        <w:rPr>
          <w:i/>
        </w:rPr>
        <w:t>Kudrevičius y otros c. Lituania</w:t>
      </w:r>
      <w:r>
        <w:t xml:space="preserve">, § 140), lo que suele estar presente en aquellos supuestos en que en el ejercicio del derecho de reunión, aunque se desarrolle de manera pacífica, concurran intenciones que no formen parte del núcleo esencial del este derecho, como pueden ser aquellas conductas que, para llamar la atención sobre los elementos o ideas a reivindicar, tienen el objetivo inmediato de entorpecer e incluso impedir el normal desarrollo del ejercicio de derechos fundamentales de terceros como pueden ser, por ejemplo, la ocupación de la zona de recepción de un edificio público impidiendo labores políticas y administrativas (STEDH de 15 de mayo de 2014, caso </w:t>
      </w:r>
      <w:r w:rsidRPr="005728DD">
        <w:rPr>
          <w:i/>
        </w:rPr>
        <w:t>Taranenko c. Rusia</w:t>
      </w:r>
      <w:r>
        <w:t xml:space="preserve">), de una iglesia católica, dificultando el ejercicio de la libertad de culto (STEDH de 9 de abril de 2002, caso </w:t>
      </w:r>
      <w:r w:rsidRPr="005728DD">
        <w:rPr>
          <w:i/>
        </w:rPr>
        <w:t>Cisse c. Francia</w:t>
      </w:r>
      <w:r>
        <w:t xml:space="preserve">), de instalaciones y despacho de una autoridad académica para impedirle desarrollar su trabajo (STEDH de 11 de octubre de 2018, caso </w:t>
      </w:r>
      <w:r w:rsidRPr="005728DD">
        <w:rPr>
          <w:i/>
        </w:rPr>
        <w:t>Tuskia y otros c. Georgia</w:t>
      </w:r>
      <w:r>
        <w:t>) o el bloqueo del tráfico rodado (STEDH de 15 de octubre de 2015, cas</w:t>
      </w:r>
      <w:r w:rsidRPr="005728DD">
        <w:rPr>
          <w:i/>
        </w:rPr>
        <w:t>o Kudrevičius y otros c. Lituan</w:t>
      </w:r>
      <w:r>
        <w:t>ia).</w:t>
      </w:r>
    </w:p>
    <w:p w:rsidR="005728DD" w:rsidRDefault="005728DD" w:rsidP="005728DD">
      <w:pPr>
        <w:pStyle w:val="TextoNormal"/>
      </w:pPr>
    </w:p>
    <w:p w:rsidR="005728DD" w:rsidRDefault="005728DD" w:rsidP="005728DD">
      <w:pPr>
        <w:pStyle w:val="TextoNormal"/>
      </w:pPr>
      <w:r>
        <w:t xml:space="preserve">Igualmente, la jurisprudencia del Tribunal Europeo Derechos Humanos ha incidido en que no basta con que la sanción impuesta persiga un fin legítimo, sino que es exigible, además, que sea necesaria en una sociedad democrática, lo que implica que exista una proporcionalidad de esta respuesta penal con el fin legítimo perseguido, en el sentido de que se ponderen debidamente, por un lado, la presencia de los fines legitimadores de esta intervención punitiva, su necesidad para la protección los intereses y valores que se pretenden tutelar y, por otro, el sacrificio que todo ello implica del derecho de reunión (SSTEDH de 15 de octubre de 2015, caso </w:t>
      </w:r>
      <w:r w:rsidRPr="005728DD">
        <w:rPr>
          <w:i/>
        </w:rPr>
        <w:t>Kudrevičius y otros c. Lituania</w:t>
      </w:r>
      <w:r>
        <w:t>, § 144, o de 15 de noviembre de 2018, cas</w:t>
      </w:r>
      <w:r w:rsidRPr="005728DD">
        <w:rPr>
          <w:i/>
        </w:rPr>
        <w:t>o Navalnny c. Rus</w:t>
      </w:r>
      <w:r>
        <w:t>ia, § 128).</w:t>
      </w:r>
    </w:p>
    <w:p w:rsidR="005728DD" w:rsidRDefault="005728DD" w:rsidP="005728DD">
      <w:pPr>
        <w:pStyle w:val="TextoNormal"/>
      </w:pPr>
    </w:p>
    <w:p w:rsidR="005728DD" w:rsidRDefault="005728DD" w:rsidP="005728DD">
      <w:pPr>
        <w:pStyle w:val="TextoNormal"/>
      </w:pPr>
      <w:r>
        <w:t>Del mismo modo, la jurisprudencia del Tribunal Europeo Derechos Humanos ha hecho especial énfasis en que cualquier injerencia en forma de intervención del sistema penal o de cualquier respuesta punitiva conlleva un efecto de disuasión sobre quienes resultan afectados por estas restricciones y sobre las personas que pudieran tener interés en ejercitar este derecho en el futuro —bien organizando bien participando en reuniones similares—, con el empobrecimiento de un debate público abierto que ello supone (STEDH de 29 de noviembre de 2007, cas</w:t>
      </w:r>
      <w:r w:rsidRPr="005728DD">
        <w:rPr>
          <w:i/>
        </w:rPr>
        <w:t>o Balçık y otros c. Turqu</w:t>
      </w:r>
      <w:r>
        <w:t>ía, § 41).</w:t>
      </w:r>
    </w:p>
    <w:p w:rsidR="005728DD" w:rsidRDefault="005728DD" w:rsidP="005728DD">
      <w:pPr>
        <w:pStyle w:val="TextoNormal"/>
      </w:pPr>
    </w:p>
    <w:p w:rsidR="005728DD" w:rsidRDefault="005728DD" w:rsidP="005728DD">
      <w:pPr>
        <w:pStyle w:val="TextoNormal"/>
      </w:pPr>
      <w:r>
        <w:t xml:space="preserve">Por último, también la jurisprudencia del Tribunal Europeo Derechos Humanos ha establecido que la naturaleza y la gravedad de las sanciones impuestas son factores que deben tenerse en cuenta al evaluar la proporcionalidad de la injerencia o restricción, incidiendo en que (i) una manifestación pacífica no debería, en principio, quedar sujeto a la amenaza de una sanción penal y particularmente a una pena privativa de libertad y (ii) las sanciones de naturaleza penal requieren una justificación particular debiendo ser objeto de un examen especialmente cuidadoso (SSTEDH de 15 de octubre de 2015, caso </w:t>
      </w:r>
      <w:r w:rsidRPr="005728DD">
        <w:rPr>
          <w:i/>
        </w:rPr>
        <w:t>Kudrevičius y otros c. Lituania</w:t>
      </w:r>
      <w:r>
        <w:t xml:space="preserve">, § 146, o de 15 de noviembre de 2018, caso </w:t>
      </w:r>
      <w:r w:rsidRPr="005728DD">
        <w:rPr>
          <w:i/>
        </w:rPr>
        <w:t>Navalnny c. Rusia</w:t>
      </w:r>
      <w:r>
        <w:t xml:space="preserve">, § 128). En ese sentido, también el Tribunal Europeo Derechos Humanos ha puesto de manifiesto que la imposición de largas penas de prisión puede ser considerada desproporcionada en los casos de enfrentamientos sin armas con la policía o situaciones como el lanzamiento de piedras u otros objetos sin causar lesiones graves (SSTEDH 19 de enero de 2016, caso </w:t>
      </w:r>
      <w:r w:rsidRPr="005728DD">
        <w:rPr>
          <w:i/>
        </w:rPr>
        <w:t>Gülcü c. Turquía</w:t>
      </w:r>
      <w:r>
        <w:t xml:space="preserve">, § 115; de 4 de octubre de 2016, caso </w:t>
      </w:r>
      <w:r w:rsidRPr="005728DD">
        <w:rPr>
          <w:i/>
        </w:rPr>
        <w:t>Yaroslav Belousov c. Rusia</w:t>
      </w:r>
      <w:r>
        <w:t>, § 177 a 180, o de 30 de enero de 2018</w:t>
      </w:r>
      <w:r w:rsidRPr="005728DD">
        <w:rPr>
          <w:i/>
        </w:rPr>
        <w:t>, caso Barabanov c. Rus</w:t>
      </w:r>
      <w:r>
        <w:t>ia, § 74-75).</w:t>
      </w:r>
    </w:p>
    <w:p w:rsidR="005728DD" w:rsidRDefault="005728DD" w:rsidP="005728DD">
      <w:pPr>
        <w:pStyle w:val="TextoNormal"/>
      </w:pPr>
    </w:p>
    <w:p w:rsidR="005728DD" w:rsidRDefault="005728DD" w:rsidP="005728DD">
      <w:pPr>
        <w:pStyle w:val="TextoNormal"/>
      </w:pPr>
      <w:r>
        <w:t>En conclusión, a nuestro juicio, habría sido necesario, con fundamento en el art. 10.2 CE, en relación con la jurisprudencia del Tribunal Europeo Derechos Humanos, que se hubiera concretado, dentro del parámetro de control de constitucionalidad relativo al derecho de reunión en lo que respecta al juicio de proporcionalidad de las medidas de injerencia consistente en sanciones penales, de manera más precisa y matizada lo siguiente:</w:t>
      </w:r>
    </w:p>
    <w:p w:rsidR="005728DD" w:rsidRDefault="005728DD" w:rsidP="005728DD">
      <w:pPr>
        <w:pStyle w:val="TextoNormal"/>
      </w:pPr>
    </w:p>
    <w:p w:rsidR="005728DD" w:rsidRDefault="005728DD" w:rsidP="005728DD">
      <w:pPr>
        <w:pStyle w:val="TextoNormal"/>
      </w:pPr>
      <w:r>
        <w:t>a) La sanción de penal como consecuencia de la convocatoria o participación en una reunión pacífica es una injerencia en el derecho de reunión pacífica por lo que, además de ser una medida prevista legalmente, debe (i) perseguir un objetivo legítimo de preservación del orden público y/o la protección de los derechos y libertades de terceros; y (ii) ser necesaria y proporcionada con el sacrificio que implica tanto para el derecho afectado por el contenido de la sanción impuesta como para el propio derecho de reunión por el efecto desaliento que puede generar sobre su ejercicio, exigiendo una justificación y análisis de legitimidad especialmente intensos.</w:t>
      </w:r>
    </w:p>
    <w:p w:rsidR="005728DD" w:rsidRDefault="005728DD" w:rsidP="005728DD">
      <w:pPr>
        <w:pStyle w:val="TextoNormal"/>
      </w:pPr>
    </w:p>
    <w:p w:rsidR="005728DD" w:rsidRDefault="005728DD" w:rsidP="005728DD">
      <w:pPr>
        <w:pStyle w:val="TextoNormal"/>
      </w:pPr>
      <w:r>
        <w:t>b) La sanción penal consistente en largas penas de prisión por la convocatoria o participación en reuniones pacíficas en que pueda haber enfrentamientos sin armas con fuerzas del orden público u otros incidentes como lanzamientos de objetos sin causar lesiones graves deben ser consideradas, en principio, desproporcionadas.</w:t>
      </w:r>
    </w:p>
    <w:p w:rsidR="005728DD" w:rsidRDefault="005728DD" w:rsidP="005728DD">
      <w:pPr>
        <w:pStyle w:val="TextoNormal"/>
      </w:pPr>
    </w:p>
    <w:p w:rsidR="005728DD" w:rsidRDefault="005728DD" w:rsidP="005728DD">
      <w:pPr>
        <w:pStyle w:val="TextoNormal"/>
      </w:pPr>
      <w:r w:rsidRPr="005728DD">
        <w:rPr>
          <w:i/>
        </w:rPr>
        <w:t>III. La aplicación del parámetro de constitucionalidad del derecho de reunión a la conducta por la que fueron condenadas las personas demandantes de amparo a penas de tres años de prisión e inhabilitación</w:t>
      </w:r>
      <w:r>
        <w:t>.</w:t>
      </w:r>
    </w:p>
    <w:p w:rsidR="005728DD" w:rsidRDefault="005728DD" w:rsidP="005728DD">
      <w:pPr>
        <w:pStyle w:val="TextoNormal"/>
      </w:pPr>
    </w:p>
    <w:p w:rsidR="005728DD" w:rsidRDefault="005728DD" w:rsidP="005728DD">
      <w:pPr>
        <w:pStyle w:val="TextoNormal"/>
      </w:pPr>
      <w:r>
        <w:t>8. Consideramos que una recta interpretación del derecho de reunión, en línea con la efectuada por la jurisprudencia del tribunal y del Tribunal Europeo Derechos Humanos, hubiera debido determinar que se estableciera que la conducta de las personas demandantes de amparo quedaba dentro del ámbito material de protección del derecho de reunión pacífica.</w:t>
      </w:r>
    </w:p>
    <w:p w:rsidR="005728DD" w:rsidRDefault="005728DD" w:rsidP="005728DD">
      <w:pPr>
        <w:pStyle w:val="TextoNormal"/>
      </w:pPr>
    </w:p>
    <w:p w:rsidR="005728DD" w:rsidRDefault="005728DD" w:rsidP="005728DD">
      <w:pPr>
        <w:pStyle w:val="TextoNormal"/>
      </w:pPr>
      <w:r>
        <w:t>No parece que pueda ser razonablemente controvertido el hecho de que la conducta por las que fueron finalmente condenadas las personas demandantes de amparo se desarrollaba en el contexto y en íntima vinculación con el ámbito material de protección del derecho de reunión pacífica, por las razones siguientes:</w:t>
      </w:r>
    </w:p>
    <w:p w:rsidR="005728DD" w:rsidRDefault="005728DD" w:rsidP="005728DD">
      <w:pPr>
        <w:pStyle w:val="TextoNormal"/>
      </w:pPr>
    </w:p>
    <w:p w:rsidR="005728DD" w:rsidRDefault="005728DD" w:rsidP="005728DD">
      <w:pPr>
        <w:pStyle w:val="TextoNormal"/>
      </w:pPr>
      <w:r>
        <w:t>(i) La concentración en la que se producen las conductas objeto de condena, en los términos expuestos en la propia declaración de hechos probados, fue debidamente comunicada por las organizaciones convocantes a la autoridad competente, que no consideró necesario adoptar ninguna medida especial en relación con los términos de la convocatoria —fecha, hora o lugar—, que fue publicitada por diversos medios y objeto de una rueda de prensa en la que se dio noticia y explicación pública de sus objetivos. Por tanto, se trata de un supuesto de ejercicio del derecho de reunión en que para su convocatoria se dio estricto cumplimiento a las exigencias previstas en la Ley Orgánica 9/1983, de 15 de julio, reguladora del derecho de reunión.</w:t>
      </w:r>
    </w:p>
    <w:p w:rsidR="005728DD" w:rsidRDefault="005728DD" w:rsidP="005728DD">
      <w:pPr>
        <w:pStyle w:val="TextoNormal"/>
      </w:pPr>
    </w:p>
    <w:p w:rsidR="005728DD" w:rsidRDefault="005728DD" w:rsidP="005728DD">
      <w:pPr>
        <w:pStyle w:val="TextoNormal"/>
      </w:pPr>
      <w:r>
        <w:t>(ii) La convocatoria, en los términos también expuestos en la declaración de hechos probados que dio lugar a las condenas, tenía como objeto una concentración ante el Parlamento de Cataluña con ocasión de la aprobación de los presupuestos de dicha comunidad autónoma en protesta por la pretendida reducción del gasto social. El lema de la movilización era “Aturem el Parlament, no deixarem que aprovin retalladles” (Paremos al/el Parlamento, no permitiremos que aprueben recortes). Días antes se celebró una rueda de prensa en la que los convocantes hicieron expreso que no pretendían impedir el funcionamiento del Parlamento sino detener el ataque contra los derechos sociales y los servicios públicos que significaban las medidas presupuestarias que se iban a aprobar. Por tanto, se trata de un supuesto en que también es concluyente que la reunión tiene un objetivo y pretensiones de desarrollo de carácter pacífico.</w:t>
      </w:r>
    </w:p>
    <w:p w:rsidR="005728DD" w:rsidRDefault="005728DD" w:rsidP="005728DD">
      <w:pPr>
        <w:pStyle w:val="TextoNormal"/>
      </w:pPr>
    </w:p>
    <w:p w:rsidR="005728DD" w:rsidRDefault="005728DD" w:rsidP="005728DD">
      <w:pPr>
        <w:pStyle w:val="TextoNormal"/>
      </w:pPr>
      <w:r>
        <w:t xml:space="preserve">(iii) En el concreto desarrollo de la concentración se produjeron determinadas situaciones de obstaculización del paso de los diputados a la sede del Parlamento, se les gritó e increpó y se llegó a derramar líquidos u otras sustancias sobre la ropa de los diputados y arrojar objetos no peligrosos a alguno de los coches que intentaron acceder a la sede. Esta situación </w:t>
      </w:r>
      <w:r>
        <w:lastRenderedPageBreak/>
        <w:t>se produce, tal como también reconoce el relato de hechos probados que da lugar a las condenas, en un contexto en que, por decisión de la propia autoridad pública, de los diversos accesos a la sede parlamentaria solo se deja franca una de las puertas para que accedieran los diputados y “en ningún momento se acotó un perímetro o se levantó un cordón policial para garantizar el tránsito por aquella vía”. La participación de las personas demandantes de amparo en concretos y puntuales actos de obstaculización, que se precisarán más adelante, son las que provocan su condena penal a tres años de prisión. Por tanto, si bien ha quedado acreditado que existieron actos esporádicos de presión singular sobre determinados diputados por parte de los concentrados, ello no impide considerar que la concentración tenía en su origen y desarrollo un carácter pacífico en el sentido afirmado por la jurisprudencia del Tribunal Europeo Derechos Humanos.</w:t>
      </w:r>
    </w:p>
    <w:p w:rsidR="005728DD" w:rsidRDefault="005728DD" w:rsidP="005728DD">
      <w:pPr>
        <w:pStyle w:val="TextoNormal"/>
      </w:pPr>
    </w:p>
    <w:p w:rsidR="005728DD" w:rsidRDefault="005728DD" w:rsidP="005728DD">
      <w:pPr>
        <w:pStyle w:val="TextoNormal"/>
      </w:pPr>
      <w:r>
        <w:t xml:space="preserve">A este respecto, es necesario hacer una precisión en relación con algunas de las consideraciones que se hacen tanto en la sentencia impugnada como por parte de la posición mayoritaria a partir de las cuales parece considerarse que se excluye, </w:t>
      </w:r>
      <w:r w:rsidRPr="005728DD">
        <w:rPr>
          <w:i/>
        </w:rPr>
        <w:t>a priori</w:t>
      </w:r>
      <w:r>
        <w:t>, el carácter pacífico de la concentración. Nos referimos a la afirmación de que el propio lema de la convocatoria, al hacer referencia a parar el Parlamento, en tanto que su significado gramatical es detener e impedir el normal desarrollo de la función parlamentaria, evidenciaba que su objetivo no era expresar el desacuerdo con las políticas presupuestarias restrictivas mediante una concentración en las proximidades del Parlamento o servir de vehículo para proclamar la indignación colectiva frente a esas políticas; sino “provocar que el órgano de representación política del pueblo catalán se viera incapacitado para el debate y la acción política mediante la conformación de las mayorías que siguen al ejercicio del derecho al voto”, lo que supone “atacar las raíces mismas del sistema democrático. […] Despojar al órgano que expresa la voluntad popular de toda posibilidad de creación normativa”.</w:t>
      </w:r>
    </w:p>
    <w:p w:rsidR="005728DD" w:rsidRDefault="005728DD" w:rsidP="005728DD">
      <w:pPr>
        <w:pStyle w:val="TextoNormal"/>
      </w:pPr>
    </w:p>
    <w:p w:rsidR="005728DD" w:rsidRDefault="005728DD" w:rsidP="005728DD">
      <w:pPr>
        <w:pStyle w:val="TextoNormal"/>
      </w:pPr>
      <w:r>
        <w:t>No podemos compartir una apreciación de esta naturaleza. (a) Resulta contradictoria con otras afirmaciones reconocidas en la propia declaración de hechos probados que desembocó en las condenas, que niegan esa finalidad, y sobre todo con el hecho probado de que, al menos en lo que se refiere a las personas demandantes de amparo, su conducta en ningún caso fue obstructiva del acceso de los diputados a la sede parlamentaria, sino, como se detallará más adelante, simplemente recriminatoria de su eventual apoyo a los presupuestos. (b) Parte de un simplista análisis gramatical que ignora el lenguaje hiperbólico, exagerado y excesivo propio de los lemas y eslóganes utilizados en el ejercicio del derecho de reunión. (c) Además, implica una profunda censura para la propia autoridad gubernativa a la que se comunicó la concentración. En última instancia, si tanto la sentencia impugnada como la posición mayoritaria en la que se sustenta la sentencia, afirman que el propio lema de la convocatoria, que ya era conocido con anterioridad por la autoridad a la que se debía comunicar la celebración de la concentración, ponía de manifiesto de manera objetiva su carácter delictivo, confrontado con el art. 498 CP, esta afirmación supone achacar un manifiesto incumplimiento de lo previsto en el art. 5 a) de la citada Ley Orgánica 9/1983, en que se establece que la autoridad gubernativa suspenderá las reuniones “cuando se consideren ilícitas de conformidad con las leyes penales”. (d) Por otra parte, tampoco parece constitucionalmente correcto transmitir lo que podrían ser intenciones de los convocantes, que son los que determinan el lema de la convocatoria al que tanta importancia otorgan la sentencia condenatoria y la posición mayoritaria en la que se sustenta la sentencia, a las personas condenadas que, al menos en atención a la declaración de hechos probados, eran meras participantes de la concentración y no sus convocantes.</w:t>
      </w:r>
    </w:p>
    <w:p w:rsidR="005728DD" w:rsidRDefault="005728DD" w:rsidP="005728DD">
      <w:pPr>
        <w:pStyle w:val="TextoNormal"/>
      </w:pPr>
    </w:p>
    <w:p w:rsidR="005728DD" w:rsidRDefault="005728DD" w:rsidP="005728DD">
      <w:pPr>
        <w:pStyle w:val="TextoNormal"/>
      </w:pPr>
      <w:r>
        <w:t>9. A partir de lo anterior, consideramos que el problema central del control de constitucionalidad de la decisión judicial de imponer a las personas demandantes de amparo una pena de tres años de prisión y de inhabilitación por las conductas que desarrollaron como participantes en la concentración convocada es determinar si esa decisión judicial supuso una injerencia necesaria y proporcionada en su derecho de reunión para la consecución del objetivo legítimo de preservación de valores constitucionales prevalentes como era, este caso, el derecho a la participación política de los diputados del Parlamento de Cataluña y el normal funcionamiento de esa institución.</w:t>
      </w:r>
    </w:p>
    <w:p w:rsidR="005728DD" w:rsidRDefault="005728DD" w:rsidP="005728DD">
      <w:pPr>
        <w:pStyle w:val="TextoNormal"/>
      </w:pPr>
    </w:p>
    <w:p w:rsidR="005728DD" w:rsidRDefault="005728DD" w:rsidP="005728DD">
      <w:pPr>
        <w:pStyle w:val="TextoNormal"/>
      </w:pPr>
      <w:r>
        <w:t>A esos efectos, tal como sostuvimos en la deliberación, consideramos que, en las circunstancias del caso, el recurso mismo al sistema de justicia penal para imponer una sanción de tal gravedad a las personas demandantes de amparo es desproporcionado y lesivo del derecho de reunión por el efecto desaliento que para el ejercicio de este derecho puede implicar. Las razones que nos llevan a sustentar esta conclusión son las siguientes:</w:t>
      </w:r>
    </w:p>
    <w:p w:rsidR="005728DD" w:rsidRDefault="005728DD" w:rsidP="005728DD">
      <w:pPr>
        <w:pStyle w:val="TextoNormal"/>
      </w:pPr>
    </w:p>
    <w:p w:rsidR="005728DD" w:rsidRDefault="005728DD" w:rsidP="005728DD">
      <w:pPr>
        <w:pStyle w:val="TextoNormal"/>
      </w:pPr>
      <w:r>
        <w:t>(i) La consideración del derecho de reunión como una de las libertades esenciales de la democracia, por su conexión con la garantía de asegurar un foro para el debate público y la expresión abierta de protesta incluso en relación con temas que puedan incomodar o molestar al poder, adquiere su máxima dimensión en relación con la actuación de grupos sociales y asociaciones, ya que, como ha destacado la jurisprudencia constitucional, “su configuración como expresión del principio democrático participativo adquiere mayor relevancia, si cabe, al ser este derecho, en la práctica, para muchos grupos sociales ‘uno de los pocos medios de los que disponen para poder expresar públicamente sus ideas y reivindicaciones’” (STC 172/2020, de 19 de noviembre, FJ 6). En el presente caso, las personas demandantes de amparo contaban con el ejercicio del derecho de reunión como uno de los instrumentos de conformación de la opinión colectiva respecto de un asunto de interés colectivo: la aprobación de los presupuestos autonómicos. Por tanto, si con carácter general cualquier limitación al derecho de reunión debe ser objeto de una interpretación restrictiva, en las personas condenadas concurran las citadas circunstancias que hubieran debido llevar a hacer un especial escrutinio sobre la singular afectación que su represión penal podría generar en el derecho fundamental de reunión.</w:t>
      </w:r>
    </w:p>
    <w:p w:rsidR="005728DD" w:rsidRDefault="005728DD" w:rsidP="005728DD">
      <w:pPr>
        <w:pStyle w:val="TextoNormal"/>
      </w:pPr>
    </w:p>
    <w:p w:rsidR="005728DD" w:rsidRDefault="005728DD" w:rsidP="005728DD">
      <w:pPr>
        <w:pStyle w:val="TextoNormal"/>
      </w:pPr>
      <w:r>
        <w:t>(ii) Las concretas conductas desarrolladas por cada una de las personas demandantes de amparo que en la resolución impugnada se han considerado merecedoras de una sanción penal de tres años de prisión como pretendidamente necesarias en una sociedad democrática han sido, según la declaración de hechos probados de la sentencia condenatoria, las siguientes:</w:t>
      </w:r>
    </w:p>
    <w:p w:rsidR="005728DD" w:rsidRDefault="005728DD" w:rsidP="005728DD">
      <w:pPr>
        <w:pStyle w:val="TextoNormal"/>
      </w:pPr>
    </w:p>
    <w:p w:rsidR="005728DD" w:rsidRDefault="005728DD" w:rsidP="005728DD">
      <w:pPr>
        <w:pStyle w:val="TextoNormal"/>
      </w:pPr>
      <w:r>
        <w:t>(a) La demandante de amparo doña Ángela Bergillos Alguacil siguió, en algún momento, a uno de los diputados que pretendían acceder a la sede parlamentaria “con los brazos en alto, moviendo las manos, coreando consignas de la manifestación. No consta que le hubiera empujado”.</w:t>
      </w:r>
    </w:p>
    <w:p w:rsidR="005728DD" w:rsidRDefault="005728DD" w:rsidP="005728DD">
      <w:pPr>
        <w:pStyle w:val="TextoNormal"/>
      </w:pPr>
    </w:p>
    <w:p w:rsidR="005728DD" w:rsidRDefault="005728DD" w:rsidP="005728DD">
      <w:pPr>
        <w:pStyle w:val="TextoNormal"/>
      </w:pPr>
      <w:r>
        <w:t>(b) Los demandantes de amparo don Carlos Munter Domec y don Rubén Molina Marín se encontraban entre un grupo de manifestantes con los que se encontró otro de los diputados al que “le recriminaron las políticas de recortes de gasto público y le dijeron que no les representaba. […] No consta que fuera agredido, ni empujado”.</w:t>
      </w:r>
    </w:p>
    <w:p w:rsidR="005728DD" w:rsidRDefault="005728DD" w:rsidP="005728DD">
      <w:pPr>
        <w:pStyle w:val="TextoNormal"/>
      </w:pPr>
    </w:p>
    <w:p w:rsidR="005728DD" w:rsidRDefault="005728DD" w:rsidP="005728DD">
      <w:pPr>
        <w:pStyle w:val="TextoNormal"/>
      </w:pPr>
      <w:r>
        <w:t>(c) El demandante de amparo don Francisco José Cobos García “se interpuso con los brazos en cruz ante los parlamentarios, en un momento dado. No consta que les escupiera”. Siguió a uno de los diputados “con las manos alzadas, gritando las consignas de la reunión”.</w:t>
      </w:r>
    </w:p>
    <w:p w:rsidR="005728DD" w:rsidRDefault="005728DD" w:rsidP="005728DD">
      <w:pPr>
        <w:pStyle w:val="TextoNormal"/>
      </w:pPr>
    </w:p>
    <w:p w:rsidR="005728DD" w:rsidRDefault="005728DD" w:rsidP="005728DD">
      <w:pPr>
        <w:pStyle w:val="TextoNormal"/>
      </w:pPr>
      <w:r>
        <w:t>(d) El demandante de amparo don Jordi Raymond Parra pedía a varios manifestantes, respecto de los diputados que pretendían acceder a la sede parlamentaria “que no les dejaran pasar, para que no votaran, al tiempo que desplegaba una pancarta para exhibir una leyenda”.</w:t>
      </w:r>
    </w:p>
    <w:p w:rsidR="005728DD" w:rsidRDefault="005728DD" w:rsidP="005728DD">
      <w:pPr>
        <w:pStyle w:val="TextoNormal"/>
      </w:pPr>
    </w:p>
    <w:p w:rsidR="005728DD" w:rsidRDefault="005728DD" w:rsidP="005728DD">
      <w:pPr>
        <w:pStyle w:val="TextoNormal"/>
      </w:pPr>
      <w:r>
        <w:t xml:space="preserve">No consideramos que estas conductas, aisladamente valoradas ni tampoco en el contexto general de la concentración, revistan la gravedad objetiva necesaria como para que la defensa de una sociedad democrática exija el recurso a una injerencia en el ámbito de protección del derecho de reunión de tal naturaleza restrictiva como la que representa el derecho penal. Se trata, con carácter general, de conductas que no parecen exceder de lo que puede ser propio del ejercicio de un derecho de conflicto como en algunas ocasiones, y el presente caso es un ejemplo, puede transmutarse el derecho de reunión. De hecho, en los términos ya expuestos, la jurisprudencia del Tribunal Europeo Derechos Humanos ha establecido que debe considerarse desproporcionada la imposición de penas de prisión en los casos de enfrentamientos sin armas o situaciones como el lanzamiento de otros objetos sin causar lesiones graves en situaciones de mayor tensión que las generadas en el presente caso (SSTEDH 19 de enero de 2016, caso </w:t>
      </w:r>
      <w:r w:rsidRPr="005728DD">
        <w:rPr>
          <w:i/>
        </w:rPr>
        <w:t>Gülcü c. Turquía</w:t>
      </w:r>
      <w:r>
        <w:t xml:space="preserve">, § 115; de 4 de octubre de 2016, caso </w:t>
      </w:r>
      <w:r w:rsidRPr="005728DD">
        <w:rPr>
          <w:i/>
        </w:rPr>
        <w:t>Yaroslav Belousov c. Rusia</w:t>
      </w:r>
      <w:r>
        <w:t xml:space="preserve">, § 177 a 180, o de 30 de enero de 2018, caso </w:t>
      </w:r>
      <w:r w:rsidRPr="005728DD">
        <w:rPr>
          <w:i/>
        </w:rPr>
        <w:t>Barabanov c. Rusia</w:t>
      </w:r>
      <w:r>
        <w:t>, § 74-75). Por tanto, la situación obstructiva que se pudo generar para el acceso a la sede parlamentaria a partir de la confluencia del número de los manifestantes concentrados, las conductas de algunos de ellos y la decisión de la autoridad de que el acceso quedara limitado a una sola puerta y sin la debida protección a los diputados que debían transitar por la misma, hubiera posibilitado la intervención estatal para dejar expedito el acceso a la sede parlamentaria —tal como se afirma en el relato de hechos probados que sucedió a primera hora de la mañana de aquel día para abrir la puerta de acceso—. Más allá de ello, la injerencia en el derecho de reunión de las personas demandantes de amparo en forma de una severa respuesta penal, confrontada con las concretas conductas que fueron desarrolladas por cada una de ellas, aparece como innecesaria, desproporcionada y desalentadora para el ejercicio del derecho de reunión.</w:t>
      </w:r>
    </w:p>
    <w:p w:rsidR="005728DD" w:rsidRDefault="005728DD" w:rsidP="005728DD">
      <w:pPr>
        <w:pStyle w:val="TextoNormal"/>
      </w:pPr>
    </w:p>
    <w:p w:rsidR="005728DD" w:rsidRDefault="005728DD" w:rsidP="005728DD">
      <w:pPr>
        <w:pStyle w:val="TextoNormal"/>
      </w:pPr>
      <w:r>
        <w:t>(iii) La consideración de que la respuesta penal a las conductas de las personas demandantes de amparo y la severa limitación que ello implica de sus derechos de reunión resulta proporcionada se ha hecho también radicar de manera coincidente en la sentencia impugnada y por la posición mayoritaria en la que se sustenta la sentencia en la gravedad de los valores constitucionales lesionados con la conducta desarrollada por las personas condenadas: la lesión del derecho de representación política de las diputados del Parlamento de Cataluña y el propio funcionamiento de esta institución legislativa. En concreto, se incide en que la gravedad penal de la conducta reside en que su real finalidad era incapacitar la acción legislativa de este órgano impidiendo la conformación de las mayorías que siguen al ejercicio del derecho al voto y, por tanto, despojarlo “de toda posibilidad de creación normativa”, obstruyendo el acceso de los diputados.</w:t>
      </w:r>
    </w:p>
    <w:p w:rsidR="005728DD" w:rsidRDefault="005728DD" w:rsidP="005728DD">
      <w:pPr>
        <w:pStyle w:val="TextoNormal"/>
      </w:pPr>
    </w:p>
    <w:p w:rsidR="005728DD" w:rsidRDefault="005728DD" w:rsidP="005728DD">
      <w:pPr>
        <w:pStyle w:val="TextoNormal"/>
      </w:pPr>
      <w:r>
        <w:lastRenderedPageBreak/>
        <w:t xml:space="preserve">No podemos compartir que el recurso a la represión penal de las personas demandantes de amparo se fundamente en que resultara necesario desvalorar un supuesto riesgo de que con su conducta pudiera darse efectividad al despojo del Parlamento de Cataluña de su capacidad de creación normativa por la vía de impedir el acceso a los diputados para conformar un </w:t>
      </w:r>
      <w:r w:rsidRPr="005728DD">
        <w:rPr>
          <w:i/>
        </w:rPr>
        <w:t>quorum</w:t>
      </w:r>
      <w:r>
        <w:t xml:space="preserve"> suficiente en la aprobación del presupuesto anual. El relato de hechos probados es categórico al establecer, tal como ya se ha reiterado, que la conducta de las personas condenadas era esencialmente de reproche a los diputados, a los que se le gritaban consignas de la concentración convocada, pero no pueden reconocerse que por su parte se ejecutaran actos concluyentes de obstrucción física a la sede parlamentaria ni otras acciones que por su componente violento o intimidatorio supusieran una concreta e individual compulsión sobre diputados singulares. Del mismo modo, y ya en relación con la celebración de la sesión parlamentaria, también se constata, como pone de relieve la sentencia absolutoria, que la perturbación generada en la sesión consistió en que sufrió el inicio de la sesión se retrasó once minutos y hubo de alterarse el orden del día.</w:t>
      </w:r>
    </w:p>
    <w:p w:rsidR="005728DD" w:rsidRDefault="005728DD" w:rsidP="005728DD">
      <w:pPr>
        <w:pStyle w:val="TextoNormal"/>
      </w:pPr>
    </w:p>
    <w:p w:rsidR="005728DD" w:rsidRDefault="005728DD" w:rsidP="005728DD">
      <w:pPr>
        <w:pStyle w:val="TextoNormal"/>
      </w:pPr>
      <w:r>
        <w:t>De ese modo, tampoco en la gravedad del riesgo o lesión de valores constitucionales cabe sustentar una necesidad imperiosa en que su preservación exigiera una represión penal de las características de las impuestas a las personas demandantes de amparo.</w:t>
      </w:r>
    </w:p>
    <w:p w:rsidR="005728DD" w:rsidRDefault="005728DD" w:rsidP="005728DD">
      <w:pPr>
        <w:pStyle w:val="TextoNormal"/>
      </w:pPr>
    </w:p>
    <w:p w:rsidR="005728DD" w:rsidRDefault="005728DD" w:rsidP="005728DD">
      <w:pPr>
        <w:pStyle w:val="TextoNormal"/>
      </w:pPr>
      <w:r>
        <w:t>10. En conclusión, consideramos que, en el presente caso, la injerencia en el derecho de reunión de las personas demandantes de amparo mediante el recurso a la sanción penal resulta desproporcionada atendiendo a las circunstancias de que (i) la concentración tenía unos objetivos y características de desarrollo que habían sido debidamente comunicada a la autoridad competente que pudo adoptar las medidas preventivas que considerara necesarias en protección de otros intereses constitucionales prevalentes incluidos aquellos tendentes a garantizar el acceso a la sede parlamentaria; (ii) la concentración, con carácter general, tuvo un carácter pacífico tanto en su convocatoria como en su desarrollo al margen de situaciones esporádicas de tensión; (iii) la conducta de las personas condenadas a prisión no era propiciar una paralización de la acción legislativa sino mostrar a los representantes políticos su disconformidad con las líneas ideológicas en que se sustentaba el proyecto de presupuestos a aprobar, tal como se deriva que la concreta actuación desarrollada por cada uno de ellos, que se concretó en emitir reproches a los diputados en línea con las ideas que llevaron a la convocatoria de la concentración pero sin que se aprecien actos concluyentes de obstrucción o impedimento violento para el acceso a la sede parlamentaria, y (iv) la concentración tuvo como consecuencia respecto de la sesión parlamentaria un mero retraso no significativo y una alteración del orden del día que no impidió su normal desarrollo.</w:t>
      </w:r>
    </w:p>
    <w:p w:rsidR="005728DD" w:rsidRDefault="005728DD" w:rsidP="005728DD">
      <w:pPr>
        <w:pStyle w:val="TextoNormal"/>
      </w:pPr>
    </w:p>
    <w:p w:rsidR="005728DD" w:rsidRDefault="005728DD" w:rsidP="005728DD">
      <w:pPr>
        <w:pStyle w:val="TextoNormal"/>
      </w:pPr>
      <w:r>
        <w:t>En esas circunstancias, una adecuada ponderación de todos estos hechos en el contexto del derecho fundamental de reunión y las posibilidades de injerencia en el mismo mediante el recurso al sistema de justicia penal con la finalidad de preservar valores constitucionales prevalentes, hubiera debido llevar a la conclusión, mantenida por nosotros en la deliberación, de que una sanción penal resultaba desproporcionada y con un indeseable efecto desaliento en el ejercicio de un derecho fundamental.</w:t>
      </w:r>
    </w:p>
    <w:p w:rsidR="005728DD" w:rsidRDefault="005728DD" w:rsidP="005728DD">
      <w:pPr>
        <w:pStyle w:val="TextoNormal"/>
      </w:pPr>
    </w:p>
    <w:p w:rsidR="005728DD" w:rsidRDefault="005728DD" w:rsidP="005728DD">
      <w:pPr>
        <w:pStyle w:val="TextoNormal"/>
      </w:pPr>
      <w:r>
        <w:t xml:space="preserve">Una respuesta penal, máxime de la severidad de las impuestas a las personas demandantes de amparo, que por su extensión implican un efectivo cumplimiento de prisión, frente a los concretos actos que estas desarrollaron durante su participación en la concentración, </w:t>
      </w:r>
      <w:r>
        <w:lastRenderedPageBreak/>
        <w:t>supone una injerencia en el derecho de reunión, que, como ya incidimos en los votos particulares a las SSTC 121/2021 y 122/2021, de 2 de junio, tiene un devastador efecto desaliento sobre el mismo, empobrece nuestra democracia, nos alinea con sociedades disciplinadas por el abuso del sistema penal en la represión de conductas que se desenvuelven en el ámbito material de derechos fundamentales y nos alejan, en definitiva, de la necesidad de una interpretación y aplicación progresiva de aquellos derechos que posibilitan la normal participación de la ciudadanía en las democracias plenas. A esa reflexión debemos añadir ahora que el cercenar de una forma tan radical el único medio de expresión colectivo que tiene la ciudadanía al margen de los cauces participativos propios de las democracias representativas, no solo puede implicar el ya mencionado efecto desaliento para los propios afectados y el resto de la ciudadanía para el ejercicio del derecho de reunión sino el más paradójico de propiciar y fomentar un indeseable desapego hacia un sistema político en cuya protección se ha pretendido justificar en este caso la imposición de la sanción penal.</w:t>
      </w:r>
    </w:p>
    <w:p w:rsidR="005728DD" w:rsidRDefault="005728DD" w:rsidP="005728DD">
      <w:pPr>
        <w:pStyle w:val="TextoNormal"/>
      </w:pPr>
    </w:p>
    <w:p w:rsidR="005728DD" w:rsidRDefault="005728DD" w:rsidP="005728DD">
      <w:pPr>
        <w:pStyle w:val="TextoNormal"/>
      </w:pPr>
      <w:r>
        <w:t>Madrid, a veinticuatro de junio de dos mil veintiuno.</w:t>
      </w:r>
    </w:p>
    <w:p w:rsidR="005728DD" w:rsidRDefault="005728DD" w:rsidP="005728DD">
      <w:pPr>
        <w:pStyle w:val="TextoNormal"/>
      </w:pPr>
    </w:p>
    <w:p w:rsidR="005728DD" w:rsidRDefault="005728DD" w:rsidP="005728DD">
      <w:pPr>
        <w:pStyle w:val="TextoNormalNegritaCentrado"/>
        <w:keepNext/>
      </w:pPr>
      <w:r>
        <w:t>Voto particular que formula el magistrado don Cándido Conde-Pumpido Tourón a la sentencia dictada en los recursos de amparo acumulados núms. 4037 y 4098-2015</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expresada por la mayoría, formulo el presente voto particular por discrepar tanto de la fundamentación como del fallo de la sentencia recaída en el presente proceso.</w:t>
      </w:r>
    </w:p>
    <w:p w:rsidR="005728DD" w:rsidRDefault="005728DD" w:rsidP="005728DD">
      <w:pPr>
        <w:pStyle w:val="TextoNormal"/>
      </w:pPr>
    </w:p>
    <w:p w:rsidR="005728DD" w:rsidRDefault="005728DD" w:rsidP="005728DD">
      <w:pPr>
        <w:pStyle w:val="TextoNormal"/>
      </w:pPr>
      <w:r>
        <w:t>Mi discrepancia con la opinión de la mayoría no es de matiz, sino básica y radical, en cuanto considero que expresa una concepción de los derechos fundamentales alegados y del método de análisis constitucional de las pretensiones en liza que se aleja de anteriores pronunciamientos consolidados por la jurisprudencia constitucional. Fue esta la razón que me llevó a declinar la ponencia que me había sido asignada, tras no ser aceptadas las soluciones propuestas al Pleno que, alejadas de la que ha sido finalmente adoptada, hubieran justificado la estimación del amparo solicitado.</w:t>
      </w:r>
    </w:p>
    <w:p w:rsidR="005728DD" w:rsidRDefault="005728DD" w:rsidP="005728DD">
      <w:pPr>
        <w:pStyle w:val="TextoNormal"/>
      </w:pPr>
    </w:p>
    <w:p w:rsidR="005728DD" w:rsidRDefault="005728DD" w:rsidP="005728DD">
      <w:pPr>
        <w:pStyle w:val="TextoNormal"/>
      </w:pPr>
      <w:r>
        <w:t>Mi disconformidad se extiende a las cuatro conclusiones en las que se apoya la decisión desestimatoria, en cuanto considera que la condena penal de los recurrentes como autores de un delito contra las instituciones del Estado (art. 498 del Código penal): (i) es respetuosa con las exigencias de tipicidad que impone el principio de legalidad penal (art. 25.1 CE); (ii) se refiere a conductas que no forman parte del ámbito objetivo de protección de los derechos de libertad de expresión, reunión y manifestación alegados (art. 20 y 21 CE); (iii) es en sí misma proporcionada y, finalmente; (iv) ha sido declarada por primera vez en casación con pleno respeto al derecho de defensa de los acusados y las garantías que conforman su derecho a un proceso justo (art. 24.2 CE).</w:t>
      </w:r>
    </w:p>
    <w:p w:rsidR="005728DD" w:rsidRDefault="005728DD" w:rsidP="005728DD">
      <w:pPr>
        <w:pStyle w:val="TextoNormal"/>
      </w:pPr>
    </w:p>
    <w:p w:rsidR="005728DD" w:rsidRDefault="005728DD" w:rsidP="005728DD">
      <w:pPr>
        <w:pStyle w:val="TextoNormal"/>
      </w:pPr>
      <w:r>
        <w:t xml:space="preserve">No obstante, para facilitar la lectura de esta opinión discordante seguiré el orden de análisis expuesto en la sentencia desestimatoria. En ella, para justificar la asunción acrítica y la ratificación íntegra de las conclusiones y razonamientos de la decisión condenatoria acordada en casación por la Sala de lo Penal del Tribunal Supremo, la mayoría se apoya en un </w:t>
      </w:r>
      <w:r>
        <w:lastRenderedPageBreak/>
        <w:t>presupuesto común que no puedo compartir: según se afirma, a partir de lema con el que se convocó la manifestación en cuyo curso se produjeron los actos enjuiciados, resulta procesal y materialmente ajustado a Derecho declarar que la finalidad de la convocatoria y el objetivo de todos los asistentes fue “paralizar la actividad de la Cámara [autonómica de Cataluña] y que el proyecto de presupuestos no fuera aprobado”, o, como afirma otro pasaje de la resolución: “provocar que la Cámara catalana se viera incapacitada para el debate y la acción política”.</w:t>
      </w:r>
    </w:p>
    <w:p w:rsidR="005728DD" w:rsidRDefault="005728DD" w:rsidP="005728DD">
      <w:pPr>
        <w:pStyle w:val="TextoNormal"/>
      </w:pPr>
    </w:p>
    <w:p w:rsidR="005728DD" w:rsidRDefault="005728DD" w:rsidP="005728DD">
      <w:pPr>
        <w:pStyle w:val="TextoNormal"/>
      </w:pPr>
      <w:r>
        <w:t>1. Sobre la relación de las conductas enjuiciadas con el ejercicio de las libertades de expresión, reunión y manifestación: método de análisis constitucional y conclusión desestimatoria.</w:t>
      </w:r>
    </w:p>
    <w:p w:rsidR="005728DD" w:rsidRDefault="005728DD" w:rsidP="005728DD">
      <w:pPr>
        <w:pStyle w:val="TextoNormal"/>
      </w:pPr>
    </w:p>
    <w:p w:rsidR="005728DD" w:rsidRDefault="005728DD" w:rsidP="005728DD">
      <w:pPr>
        <w:pStyle w:val="TextoNormal"/>
      </w:pPr>
      <w:r>
        <w:t>1.1. Con referencia a la jurisprudencia anterior, en la reciente STC 122/2021, de 2 de junio (FJ 9.4.2), el Pleno ha expuesto los diversos momentos de análisis que metodológicamente han de recorrerse para resolver las pretensiones de amparo en las que, como justificación de su conducta frente a una condena penal, los recurrentes alegan la indebida limitación de sus derechos fundamentales sustantivos.</w:t>
      </w:r>
    </w:p>
    <w:p w:rsidR="005728DD" w:rsidRDefault="005728DD" w:rsidP="005728DD">
      <w:pPr>
        <w:pStyle w:val="TextoNormal"/>
      </w:pPr>
    </w:p>
    <w:p w:rsidR="005728DD" w:rsidRDefault="005728DD" w:rsidP="005728DD">
      <w:pPr>
        <w:pStyle w:val="TextoNormal"/>
      </w:pPr>
      <w:r>
        <w:t>En coherencia con dicho pronunciamiento, el proceso de análisis de los recursos analizados debió ser el siguiente, y debió llevarse a cabo íntegramente:</w:t>
      </w:r>
    </w:p>
    <w:p w:rsidR="005728DD" w:rsidRDefault="005728DD" w:rsidP="005728DD">
      <w:pPr>
        <w:pStyle w:val="TextoNormal"/>
      </w:pPr>
    </w:p>
    <w:p w:rsidR="005728DD" w:rsidRDefault="005728DD" w:rsidP="005728DD">
      <w:pPr>
        <w:pStyle w:val="TextoNormal"/>
      </w:pPr>
      <w:r>
        <w:t>a) A partir de los hechos declarados probados por los órganos judiciales y del contenido de los derechos fundamentales sustantivos alegados, el examen debió centrarse, en primer lugar, en las conductas que son presupuesto fáctico de la condena, para determinar si por su naturaleza, por la finalidad a que se orientan o por los medios empleados, pueden encuadrarse en el ámbito de protección propio de los derechos y libertades que han sido alegados, al margen de cualquier consideración acerca de si su concreto ejercicio supuso o no una extralimitación. No se trata, en este primer momento, de analizar las limitaciones o restricciones posibles al ejercicio del derecho, sino de determinar y delimitar el contenido y finalidad del derecho de reunión y manifestación alegados. Tal escrutinio permite identificar y excluir aquellos supuestos en los que la invocación del derecho fundamental se convierte en un mero pretexto o subterfugio para, a su pretendido amparo, cometer actos antijurídicos; lo que puede ocurrir cuando se desnaturaliza el ejercicio del derecho situándose, objetivamente, al margen del contenido propio del mismo (SSTC 185/2003, de 27 de octubre, FJ 5, y 104/2011, de 20 de junio, FJ 6).</w:t>
      </w:r>
    </w:p>
    <w:p w:rsidR="005728DD" w:rsidRDefault="005728DD" w:rsidP="005728DD">
      <w:pPr>
        <w:pStyle w:val="TextoNormal"/>
      </w:pPr>
    </w:p>
    <w:p w:rsidR="005728DD" w:rsidRDefault="005728DD" w:rsidP="005728DD">
      <w:pPr>
        <w:pStyle w:val="TextoNormal"/>
      </w:pPr>
      <w:r>
        <w:t>b) En segundo término, si concluyéramos que las conductas enjuiciadas forman parte del ámbito de protección propio del derecho alegado, será preciso examinar si, por ser ejercicio plenamente legítimo de su contenido, tal circunstancia opera materialmente como causa excluyente de su antijuridicidad. El análisis se dirige entonces a determinar si la conducta sancionada se sitúa inequívocamente en el ámbito del contenido del derecho y, además, respeta los límites establecidos para su ejercicio (entre otras, SSTC 111/1993, de 25 de marzo, FFJJ 5 y 6; 137/1997, de 21 de julio, FJ 2; 110/2000, de 5 de mayo, FJ 4; 88/2003, de 19 de mayo, FJ 8; 299/2006, de 23 de octubre, FJ 6; 104/2011, de 20 de junio, FJ 6, y 177/2015, de 22 de julio, FJ 2).</w:t>
      </w:r>
    </w:p>
    <w:p w:rsidR="005728DD" w:rsidRDefault="005728DD" w:rsidP="005728DD">
      <w:pPr>
        <w:pStyle w:val="TextoNormal"/>
      </w:pPr>
    </w:p>
    <w:p w:rsidR="005728DD" w:rsidRDefault="005728DD" w:rsidP="005728DD">
      <w:pPr>
        <w:pStyle w:val="TextoNormal"/>
      </w:pPr>
      <w:r>
        <w:lastRenderedPageBreak/>
        <w:t>En caso afirmativo, las conductas enjuiciadas no podrían sufrir reproche jurídico alguno; tampoco debido a la aplicación de previsiones legales de naturaleza sancionadora cuya finalidad sea la protección de otros derechos o bienes constitucionalmente reconocidos, aunque la subsunción de los hechos en la norma fuera conforme a su tenor literal (en ese sentido, SSTC 185/2003, de 27 de octubre, FJ 5, y 108/2008, de 22 de septiembre, FJ 3).</w:t>
      </w:r>
    </w:p>
    <w:p w:rsidR="005728DD" w:rsidRDefault="005728DD" w:rsidP="005728DD">
      <w:pPr>
        <w:pStyle w:val="TextoNormal"/>
      </w:pPr>
    </w:p>
    <w:p w:rsidR="005728DD" w:rsidRDefault="005728DD" w:rsidP="005728DD">
      <w:pPr>
        <w:pStyle w:val="TextoNormal"/>
      </w:pPr>
      <w:r>
        <w:t>Dicha doctrina, elaborada inicialmente en el marco del conflicto entre los derechos fundamentales al honor y las libertades de expresión e información (SSTC 104/1986, de 17 de julio, FJ 6; 107/1988, de 8 de junio, FJ 2, o 20/1990, de 15 de febrero, FJ 2), se ha trasladado también al examen de la respuesta penal a comportamientos relacionados con el ejercicio de otros derechos fundamentales (SSTC 254/1988, de 21 de diciembre, FJ 3, delito de coacciones en un contexto de huelga; 137/1997, de 21 de julio, FJ 3, falta de coacciones y derecho de huelga; 104/2011, de 20 de junio, FJ 6, delito de desobediencia y derecho a la huelga; 185/2003, de 27 de octubre, FJ 6, injurias y libertad sindical) y, en particular, con el derecho de reunión pacífica (SSTC 196/2002, de 28 de octubre, FFJJ 5 y 6, delito electoral, y STC 88/2003, de 19 de mayo, FJ 8, allanamiento del domicilio de persona jurídico-pública en el contexto de una asamblea sindical). Por lo demás, la relación de exclusión entre el ejercicio legítimo de un derecho fundamental y su castigo orienta asimismo en los pronunciamientos que se han analizado la legitimidad de sanciones no penales vinculadas al ejercicio del derecho de reunión (SSTC 42/2002, de 14 de febrero, FJ 5; 124/2005, de 23 de mayo, FJ 3, y 110/2006, de 3 de abril, FJ 4).</w:t>
      </w:r>
    </w:p>
    <w:p w:rsidR="005728DD" w:rsidRDefault="005728DD" w:rsidP="005728DD">
      <w:pPr>
        <w:pStyle w:val="TextoNormal"/>
      </w:pPr>
    </w:p>
    <w:p w:rsidR="005728DD" w:rsidRDefault="005728DD" w:rsidP="005728DD">
      <w:pPr>
        <w:pStyle w:val="TextoNormal"/>
      </w:pPr>
      <w:r>
        <w:t>c) De concluir que la conducta analizada no es ejercicio plenamente legítimo del derecho de reunión aducido sino una extralimitación de su ejercicio, el análisis constitucional de las quejas planteadas en la demanda no puede detenerse ni resolverse únicamente con un debate sobre si los derechos fundamentales alegados, así ejercitados, tienen o no valor preferente frente al fin de protección de la norma penal aplicada. Tan limitado examen aboca como soluciones únicas de la controversia a una decisión absolutoria, o a una de condena conforme con la extensión prevista legalmente en la previsión penal abstracta, lo que evita y dificulta analizar y graduar la necesidad e intensidad de la reacción penal dirigida a proteger su legítima finalidad. Para evitar tal simplificación, en tales casos resulta obligado efectuar otras consideraciones que son complementarias a las anteriores, que únicamente analizaban su carácter plenamente legítimo o antijurídico.</w:t>
      </w:r>
    </w:p>
    <w:p w:rsidR="005728DD" w:rsidRDefault="005728DD" w:rsidP="005728DD">
      <w:pPr>
        <w:pStyle w:val="TextoNormal"/>
      </w:pPr>
    </w:p>
    <w:p w:rsidR="005728DD" w:rsidRDefault="005728DD" w:rsidP="005728DD">
      <w:pPr>
        <w:pStyle w:val="TextoNormal"/>
      </w:pPr>
      <w:r>
        <w:t>El análisis constitucional debe dirigirse entonces a determinar si, en las circunstancias del caso, la sanción penal, atendida su naturaleza y su extensión, puede ser considerada una reacción proporcionada a las necesidades de protección que la justifican. En este tercer momento el examen se desplaza de la conducta a la limitación. Y en él desempeña un papel decisivo el juicio sobre la proporcionalidad de la reacción penal. Su evaluación se dirige a garantizar que la condena penal no pueda producir por su severidad un sacrificio innecesario o desproporcionado de la libertad a la que afecta o, aún más allá, un efecto disuasorio o desalentador del legítimo ejercicio de los derechos fundamentales implicados en la conducta sancionada.</w:t>
      </w:r>
    </w:p>
    <w:p w:rsidR="005728DD" w:rsidRDefault="005728DD" w:rsidP="005728DD">
      <w:pPr>
        <w:pStyle w:val="TextoNormal"/>
      </w:pPr>
    </w:p>
    <w:p w:rsidR="005728DD" w:rsidRDefault="005728DD" w:rsidP="005728DD">
      <w:pPr>
        <w:pStyle w:val="TextoNormal"/>
      </w:pPr>
      <w:r>
        <w:t xml:space="preserve">En efecto, de apreciar que la conducta imputada debe ser calificada como una extralimitación en el ejercicio de la libertad o derechos alegados, el examen debe centrarse entonces en la limitación impuesta, esto es, en la decisión de condena, dado que únicamente serán </w:t>
      </w:r>
      <w:r>
        <w:lastRenderedPageBreak/>
        <w:t>constitucionalmente admisibles aquellas limitaciones que (i) previstas por la ley (ii) persigan una finalidad legítima, y (iii) sean proporcionadas al fin de protección que las justifica (SSTC 59/1990, de 29 de marzo, FJ 7, y 85/1992, de 8 de junio, FJ 4).</w:t>
      </w:r>
    </w:p>
    <w:p w:rsidR="005728DD" w:rsidRDefault="005728DD" w:rsidP="005728DD">
      <w:pPr>
        <w:pStyle w:val="TextoNormal"/>
      </w:pPr>
    </w:p>
    <w:p w:rsidR="005728DD" w:rsidRDefault="005728DD" w:rsidP="005728DD">
      <w:pPr>
        <w:pStyle w:val="TextoNormal"/>
      </w:pPr>
      <w:r>
        <w:t xml:space="preserve">d) En estrecha relación con este último análisis puede ser preciso tomar en consideración otras perspectivas de valoración con relevancia constitucional que, en parte coincidentes, derivan de la naturaleza penal de la limitación impuesta (art. 25.1 CE). Así lo propugna el recurrente en el presente caso: se trata de contenidos de protección específicos que conforman el derecho a la legalidad de las infracciones y sanciones, pues la Constitución impone a los poderes públicos exigencias adicionales de previsibilidad y proporcionalidad de la reacción cuando se trata de limitaciones del ejercicio de derechos fundamentales que derivan del ejercicio del </w:t>
      </w:r>
      <w:r w:rsidRPr="005728DD">
        <w:rPr>
          <w:i/>
        </w:rPr>
        <w:t>ius puniendi</w:t>
      </w:r>
      <w:r>
        <w:t xml:space="preserve"> estatal (SSTC 104/1986, 107/1988, 137/1997, 110/2000, 88/2003, y 104/2011, ya citadas, así como ATC 4/2008, de 9 de enero).</w:t>
      </w:r>
    </w:p>
    <w:p w:rsidR="005728DD" w:rsidRDefault="005728DD" w:rsidP="005728DD">
      <w:pPr>
        <w:pStyle w:val="TextoNormal"/>
      </w:pPr>
    </w:p>
    <w:p w:rsidR="005728DD" w:rsidRDefault="005728DD" w:rsidP="005728DD">
      <w:pPr>
        <w:pStyle w:val="TextoNormal"/>
      </w:pPr>
      <w:r>
        <w:t>1.2. Expresado de esta forma el método de análisis que considero debimos seguir y agotar, es ya momento de destacar que la decisión mayoritaria ha detenido indebidamente su examen en el primer momento de los que han sido descritos, tras considerar [FJ 5, c) y FJ 7.2.2] que por la finalidad a que se orientaba la manifestación —que no sería otra que paralizar la actividad del Parlamento de Cataluña y que los presupuestos no fueran aprobados—, la conducta de los recurrentes no formaba parte, ni tan siquiera, del ámbito de protección de los derechos fundamentales alegados porque afectó a los derechos de terceros (los diputados autonómicos) cuya protección “debe prevalecer” sobre aquellos, de manera que el alegado ejercicio de derechos fundamentales no es sino un pretexto o subterfugio para la comisión de un hecho antijurídico.</w:t>
      </w:r>
    </w:p>
    <w:p w:rsidR="005728DD" w:rsidRDefault="005728DD" w:rsidP="005728DD">
      <w:pPr>
        <w:pStyle w:val="TextoNormal"/>
      </w:pPr>
    </w:p>
    <w:p w:rsidR="005728DD" w:rsidRDefault="005728DD" w:rsidP="005728DD">
      <w:pPr>
        <w:pStyle w:val="TextoNormal"/>
      </w:pPr>
      <w:r>
        <w:t>En mi opinión, como expresé durante la deliberación, si bien las conductas enjuiciadas no constituyen ejercicio legítimo de las libertades de expresión, reunión y manifestación alegadas, están encuadradas sin duda alguna en el ámbito de protección de dichas libertades, por lo que era preciso continuar nuestro análisis para determinar si la posibilidad de limitación penal estaba prevista en la ley, era idónea y necesaria, y supuso una actuación proporcionada de protección del interés jurídico que constituye el objeto del tipo penal aplicado.</w:t>
      </w:r>
    </w:p>
    <w:p w:rsidR="005728DD" w:rsidRDefault="005728DD" w:rsidP="005728DD">
      <w:pPr>
        <w:pStyle w:val="TextoNormal"/>
      </w:pPr>
    </w:p>
    <w:p w:rsidR="005728DD" w:rsidRDefault="005728DD" w:rsidP="005728DD">
      <w:pPr>
        <w:pStyle w:val="TextoNormal"/>
      </w:pPr>
      <w:r>
        <w:t>a) Coincido con la mayoría en que las conductas enjuiciadas en la causa penal previa no son ejercicio legítimo de las libertades de expresión, reunión y manifestación alegadas. Dicha apreciación de su carácter antijurídico se apoya en constatar que la limitación penal impuesta no trata de coartar el contenido del mensaje de protesta —el desacuerdo con la política de gasto pendiente de aprobación parlamentaria—, sino la forma exorbitante e intimidatoria en que dicho desacuerdo se hizo visible, esto es, dificultando con su conducta el normal desarrollo de la sesión parlamentaria en la que se iniciaba el debate sobre dichas decisiones anuales de gasto público. Es por tanto posible disociar el mensaje de protesta y los actos impeditivos que fueron penalmente sancionados.</w:t>
      </w:r>
    </w:p>
    <w:p w:rsidR="005728DD" w:rsidRDefault="005728DD" w:rsidP="005728DD">
      <w:pPr>
        <w:pStyle w:val="TextoNormal"/>
      </w:pPr>
    </w:p>
    <w:p w:rsidR="005728DD" w:rsidRDefault="005728DD" w:rsidP="005728DD">
      <w:pPr>
        <w:pStyle w:val="TextoNormal"/>
      </w:pPr>
      <w:r>
        <w:t>b) Pero, muy al contrario que la mayoría de mis compañeros del colegio de magistrados, entiendo que, como sostiene el ministerio fiscal, dichas conductas solo pueden ser consideradas excesos innecesarios o extralimitaciones en el ejercicio de los derechos de protesta política en que dicen fundarse.</w:t>
      </w:r>
    </w:p>
    <w:p w:rsidR="005728DD" w:rsidRDefault="005728DD" w:rsidP="005728DD">
      <w:pPr>
        <w:pStyle w:val="TextoNormal"/>
      </w:pPr>
    </w:p>
    <w:p w:rsidR="005728DD" w:rsidRDefault="005728DD" w:rsidP="005728DD">
      <w:pPr>
        <w:pStyle w:val="TextoNormal"/>
      </w:pPr>
      <w:r>
        <w:lastRenderedPageBreak/>
        <w:t xml:space="preserve">Dado el momento y contexto en que se produjeron, así como su simple descripción, considero que las conductas que les han sido imputadas a los recurrentes constituyeron actos de protesta y reivindicación extralimitados que, pese a su naturaleza verbal y gestual innecesariamente coercitiva, se encuentran directamente relacionados con las críticas políticas y de carácter social que justificaron la convocatoria de la reunión pública y manifestación ante el Parlamento de Cataluña. Por esta razón no quedan fuera del marco general de protección que la Constitución otorga a los derechos de libre expresión, reunión y manifestación. La condena penal impuesta a los recurrentes por los hechos imputados supuso objetivamente una restricción de sus derechos de reunión y manifestación, interpretados a la luz de la libertad de expresión, en tanto tal interferencia no solo opera cuando las reuniones son prohibidas o, una vez autorizadas, son disueltas coercitivamente, sino también cuando, una vez finalizadas, sus organizadores o quienes han participado en ellas son sancionados por las conductas protagonizadas durante su desarrollo (SSTEDH de 26 de abril de 1991, </w:t>
      </w:r>
      <w:r w:rsidRPr="005728DD">
        <w:rPr>
          <w:i/>
        </w:rPr>
        <w:t>Ezelin c. Francia</w:t>
      </w:r>
      <w:r>
        <w:t xml:space="preserve">; de 15 de mayo de 2014, </w:t>
      </w:r>
      <w:r w:rsidRPr="005728DD">
        <w:rPr>
          <w:i/>
        </w:rPr>
        <w:t>Taranenko c. Rusia</w:t>
      </w:r>
      <w:r>
        <w:t xml:space="preserve">;de 15 de octubre de 2015, </w:t>
      </w:r>
      <w:r w:rsidRPr="005728DD">
        <w:rPr>
          <w:i/>
        </w:rPr>
        <w:t>Kudrevičius y otros c. Lituania</w:t>
      </w:r>
      <w:r>
        <w:t>; y de 20 de septiembre de 2018</w:t>
      </w:r>
      <w:r w:rsidRPr="005728DD">
        <w:rPr>
          <w:i/>
        </w:rPr>
        <w:t>, Mushegh Saghatelyan c. Armen</w:t>
      </w:r>
      <w:r>
        <w:t>ia).</w:t>
      </w:r>
    </w:p>
    <w:p w:rsidR="005728DD" w:rsidRDefault="005728DD" w:rsidP="005728DD">
      <w:pPr>
        <w:pStyle w:val="TextoNormal"/>
      </w:pPr>
    </w:p>
    <w:p w:rsidR="005728DD" w:rsidRDefault="005728DD" w:rsidP="005728DD">
      <w:pPr>
        <w:pStyle w:val="TextoNormal"/>
      </w:pPr>
      <w:r>
        <w:t xml:space="preserve">Tal y como reiteradamente ha declarado el Tribunal Europeo de Derechos Humanos en relación con el derecho de reunión pacífica, únicamente quedan excluidas de su ámbito de protección aquellas reuniones o manifestaciones en las que sus organizadores o participantes tengan intenciones violentas, pretendan inducir a otros a ejercer la violencia o, socaven de cualquier otra manera los fundamentos de una sociedad democrática. Esta última expresión ha sido siempre vinculada en la casuística jurisprudencia del tribunal europeo a llamamientos a la violencia, al odio o a la misma insurrección armada [SSTEDH de 20 de octubre de 2005 (asunto </w:t>
      </w:r>
      <w:r w:rsidRPr="005728DD">
        <w:rPr>
          <w:i/>
        </w:rPr>
        <w:t>Stankov y United Macedonian Organization Ilinden c. Bulgaria</w:t>
      </w:r>
      <w:r>
        <w:t xml:space="preserve">, y </w:t>
      </w:r>
      <w:r w:rsidRPr="005728DD">
        <w:rPr>
          <w:i/>
        </w:rPr>
        <w:t>United Macedonian Organization Ilinden e Ivanov c. Bulgaria</w:t>
      </w:r>
      <w:r>
        <w:t xml:space="preserve">), § 99; de 23 de octubre de 2008 (asunto </w:t>
      </w:r>
      <w:r w:rsidRPr="005728DD">
        <w:rPr>
          <w:i/>
        </w:rPr>
        <w:t>Sergey Kuznetsov c. Rusia</w:t>
      </w:r>
      <w:r>
        <w:t xml:space="preserve">), § 45; de 21 de octubre de 2010 (asunto </w:t>
      </w:r>
      <w:r w:rsidRPr="005728DD">
        <w:rPr>
          <w:i/>
        </w:rPr>
        <w:t>Alekseyev c. Rusia</w:t>
      </w:r>
      <w:r>
        <w:t xml:space="preserve">), § 80, o de 20 de septiembre de 2018 (asunto </w:t>
      </w:r>
      <w:r w:rsidRPr="005728DD">
        <w:rPr>
          <w:i/>
        </w:rPr>
        <w:t>Mushegh Saghatelyan c. Armenia</w:t>
      </w:r>
      <w:r>
        <w:t>), § 227]. Ninguna de estas circunstancias concurre en el caso analizado, por lo que la incidencia del contenido del derecho alegado sobre la respuesta penal cuestionada imponía realizar consideraciones complementarias que han sido eludidas en la decisión mayoritaria de la que discrepo.</w:t>
      </w:r>
    </w:p>
    <w:p w:rsidR="005728DD" w:rsidRDefault="005728DD" w:rsidP="005728DD">
      <w:pPr>
        <w:pStyle w:val="TextoNormal"/>
      </w:pPr>
    </w:p>
    <w:p w:rsidR="005728DD" w:rsidRDefault="005728DD" w:rsidP="005728DD">
      <w:pPr>
        <w:pStyle w:val="TextoNormal"/>
      </w:pPr>
      <w:r>
        <w:t>Por esta razón, nuestro análisis de la condena penal no debió detenerse en el carácter justificado o antijurídico de las conductas enjuiciadas, sino que debió analizar si concurren en ellas los elementos que conforman el delito tipificado por la ley y si, además, por su severidad, su aplicación produce o no un sacrificio innecesario o desproporcionado de la libertad concernida o un efecto que, en otras muchas resoluciones anteriores, hemos calificado de disuasorio o desalentador del ejercicio de los derechos fundamentales implicados en las conductas sancionadas [STC 177/2015, de 22 de julio, FJ 2, d)]; efecto que puede llevar a los ciudadanos a no ejercer plena y libremente sus derechos ante el temor de que cualquier extralimitación sea severamente sancionada. Analizaré estos extremos al examinar la proporcionalidad de la concreta condena impuesta.</w:t>
      </w:r>
    </w:p>
    <w:p w:rsidR="005728DD" w:rsidRDefault="005728DD" w:rsidP="005728DD">
      <w:pPr>
        <w:pStyle w:val="TextoNormal"/>
      </w:pPr>
    </w:p>
    <w:p w:rsidR="005728DD" w:rsidRDefault="005728DD" w:rsidP="005728DD">
      <w:pPr>
        <w:pStyle w:val="TextoNormal"/>
      </w:pPr>
      <w:r>
        <w:t>2. Sobre el carácter típico de las conductas enjuiciadas, a partir de la previsión legal establecida en el art. 498 del Código Penal.</w:t>
      </w:r>
    </w:p>
    <w:p w:rsidR="005728DD" w:rsidRDefault="005728DD" w:rsidP="005728DD">
      <w:pPr>
        <w:pStyle w:val="TextoNormal"/>
      </w:pPr>
    </w:p>
    <w:p w:rsidR="005728DD" w:rsidRDefault="005728DD" w:rsidP="005728DD">
      <w:pPr>
        <w:pStyle w:val="TextoNormal"/>
      </w:pPr>
      <w:r>
        <w:t xml:space="preserve">Dejando ahora al margen la alegada vulneración de los arts. 20 y 21 CE, los recurrentes, por referencia al voto particular disidente de la sentencia dictada en casación, denuncian </w:t>
      </w:r>
      <w:r>
        <w:lastRenderedPageBreak/>
        <w:t xml:space="preserve">también en sus recursos de amparo la vulneración de la garantía material del derecho a la legalidad de las infracciones y sanciones (art. 25.1 CE), en cuanto reconoce el principio de tipicidad, que impone al aplicador del Derecho una sujeción estricta a la ley penal, de forma que quedan vedadas tanto la interpretación extensiva como la aplicación analógica </w:t>
      </w:r>
      <w:r w:rsidRPr="005728DD">
        <w:rPr>
          <w:i/>
        </w:rPr>
        <w:t>in malam partem</w:t>
      </w:r>
      <w:r>
        <w:t xml:space="preserve"> de las normas penales, esto es, su exégesis y aplicación fuera de los supuestos y de los límites que ellas determinan (por todas, STC 137/1997, de 21 de julio, FJ 6).</w:t>
      </w:r>
    </w:p>
    <w:p w:rsidR="005728DD" w:rsidRDefault="005728DD" w:rsidP="005728DD">
      <w:pPr>
        <w:pStyle w:val="TextoNormal"/>
      </w:pPr>
    </w:p>
    <w:p w:rsidR="005728DD" w:rsidRDefault="005728DD" w:rsidP="005728DD">
      <w:pPr>
        <w:pStyle w:val="TextoNormal"/>
      </w:pPr>
      <w:r>
        <w:t>Para los recurrentes, sus conductas no expresan el empleo de una “fuerza, violencia, intimidación o amenaza grave” dirigida a impedir a un parlamentario asistir a sus reuniones o coartar la emisión de su voto. Rechazan, como lo hace el Ministerio Fiscal, que las conductas por ellos protagonizadas respondan a las exigencias típicas del precepto, ni tan siquiera en atención al contexto de protesta colectiva en que se desarrollaron. Entienden que el contexto no puede alterar hasta tal punto su naturaleza atribuyéndoles, al margen de la voluntad de sus autores, rasgos de violencia o intimidación grave que no tenían. El Ministerio Fiscal coincide en esta apreciación y propone también, por esta razón, la estimación de la pretensión de amparo.</w:t>
      </w:r>
    </w:p>
    <w:p w:rsidR="005728DD" w:rsidRDefault="005728DD" w:rsidP="005728DD">
      <w:pPr>
        <w:pStyle w:val="TextoNormal"/>
      </w:pPr>
    </w:p>
    <w:p w:rsidR="005728DD" w:rsidRDefault="005728DD" w:rsidP="005728DD">
      <w:pPr>
        <w:pStyle w:val="TextoNormal"/>
      </w:pPr>
      <w:r>
        <w:t xml:space="preserve">La conclusión de la mayoría, desestimatoria de esta queja, se apoya en un juicio de razonabilidad (FJ 6, </w:t>
      </w:r>
      <w:r w:rsidRPr="005728DD">
        <w:rPr>
          <w:i/>
        </w:rPr>
        <w:t>in fine</w:t>
      </w:r>
      <w:r>
        <w:t>) que lleva a considerar que son suficientes los elementos de hecho tomados en consideración por el tribunal de casación para deducir la existencia de un contexto de coerción destinado a impedir a los diputados que llegaran a la sede del Parlamento; contexto que tuvo la suficiente entidad sobre el ánimo de los parlamentarios, algunos de los cuales se vieron en dificultades para acceder a la Cámara, otros lo hicieron con auxilio policial, y otros tuvieron que asistir a la reunión utilizando medios extraordinarios de transporte.</w:t>
      </w:r>
    </w:p>
    <w:p w:rsidR="005728DD" w:rsidRDefault="005728DD" w:rsidP="005728DD">
      <w:pPr>
        <w:pStyle w:val="TextoNormal"/>
      </w:pPr>
    </w:p>
    <w:p w:rsidR="005728DD" w:rsidRDefault="005728DD" w:rsidP="005728DD">
      <w:pPr>
        <w:pStyle w:val="TextoNormal"/>
      </w:pPr>
      <w:r>
        <w:t>En este punto coincido con el Ministerio Fiscal en que se ha producido una aplicación extensiva de la norma penal. Considero que, excediendo de su significado gramatical y del uso común del lenguaje, ha sido indebidamente aplicada a supuestos que, por su menor entidad, no están comprendidos en su ámbito a partir del tenor literal de la norma penal, que exige la utilización de medios comisivos aptos para producir fuerza, violencia, intimidación o amenaza grave. Tampoco se respetan las pautas axiológicas que informan nuestro texto constitucional en relación con los derechos de expresión, reunión y manifestación pacífica sin armas, en tanto garantizan la posibilidad de expresar de forma simbólica, incluso desabrida e hiriente, el desacuerdo con las políticas presupuestarias y sociales que habían de ser sometidas a escrutinio parlamentario. Estos valores fundamentales no han tenido ninguna incidencia sobre la decisión de condena y su ratificación en esta sede.</w:t>
      </w:r>
    </w:p>
    <w:p w:rsidR="005728DD" w:rsidRDefault="005728DD" w:rsidP="005728DD">
      <w:pPr>
        <w:pStyle w:val="TextoNormal"/>
      </w:pPr>
    </w:p>
    <w:p w:rsidR="005728DD" w:rsidRDefault="005728DD" w:rsidP="005728DD">
      <w:pPr>
        <w:pStyle w:val="TextoNormal"/>
      </w:pPr>
      <w:r>
        <w:t xml:space="preserve">Para apoyar esta apreciación considero que debieran haber sido tomados en consideración de manera relevante los siguientes aspectos: (i) la menor gravedad de las conductas individuales protagonizadas por los recurrentes [que se describen en el FJ 5 B) b) de la decisión desestimatoria]; (ii) que no sido declarado probado un concierto previo entre los recurrentes, ni entre estos y el resto de los manifestantes, para cometer actos violentos o de hostigamiento grave a los parlamentarios; (iii) que, pese a su lema, tan relevante para la mayoría, la manifestación no fue prohibida por la autoridad gubernativa, ni fueron perseguidos sus convocantes; (iv) en fin, por más relevancia que para valorar las conductas sancionadas se dé al contexto en que se produjeron (la denominada intimidación ambiental), tal extrapolación no puede conducir a justificar la responsabilidad individual mediante su </w:t>
      </w:r>
      <w:r>
        <w:lastRenderedPageBreak/>
        <w:t>integración colectiva en los actos de coerción realizados por otras personas no identificadas, pues, en cualquier caso, solo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w:t>
      </w:r>
    </w:p>
    <w:p w:rsidR="005728DD" w:rsidRDefault="005728DD" w:rsidP="005728DD">
      <w:pPr>
        <w:pStyle w:val="TextoNormal"/>
      </w:pPr>
    </w:p>
    <w:p w:rsidR="005728DD" w:rsidRDefault="005728DD" w:rsidP="005728DD">
      <w:pPr>
        <w:pStyle w:val="TextoNormal"/>
      </w:pPr>
      <w:r>
        <w:t>3. Sobre la proporcionalidad de la reacción penal cuestionada.</w:t>
      </w:r>
    </w:p>
    <w:p w:rsidR="005728DD" w:rsidRDefault="005728DD" w:rsidP="005728DD">
      <w:pPr>
        <w:pStyle w:val="TextoNormal"/>
      </w:pPr>
    </w:p>
    <w:p w:rsidR="005728DD" w:rsidRDefault="005728DD" w:rsidP="005728DD">
      <w:pPr>
        <w:pStyle w:val="TextoNormal"/>
      </w:pPr>
      <w:r>
        <w:t>A las razones expuestas en el epígrafe anterior, se suman otras jurisprudenciales y de hecho que, en mi opinión, permiten apreciar que la condena privativa de libertad impuesta a cada uno de los recurrentes, de tres años de duración, es objetivamente desproporcionada, en atención a las conductas que protagonizaron y al contexto de protesta política en que se desarrollaron.</w:t>
      </w:r>
    </w:p>
    <w:p w:rsidR="005728DD" w:rsidRDefault="005728DD" w:rsidP="005728DD">
      <w:pPr>
        <w:pStyle w:val="TextoNormal"/>
      </w:pPr>
    </w:p>
    <w:p w:rsidR="005728DD" w:rsidRDefault="005728DD" w:rsidP="005728DD">
      <w:pPr>
        <w:pStyle w:val="TextoNormal"/>
      </w:pPr>
      <w:r>
        <w:t xml:space="preserve">3.1. La STC 177/2015 ha puesto de manifiesto los riesgos derivados de la utilización del </w:t>
      </w:r>
      <w:r w:rsidRPr="005728DD">
        <w:rPr>
          <w:i/>
        </w:rPr>
        <w:t>ius puniendi</w:t>
      </w:r>
      <w:r>
        <w:t xml:space="preserve"> en la respuesta estatal ante un eventual ejercicio, extralimitado o no, del derecho a la libertad de expresión, por la desproporción que puede suponer acudir a esta potestad y el efecto desaliento que ello puede generar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5728DD" w:rsidRDefault="005728DD" w:rsidP="005728DD">
      <w:pPr>
        <w:pStyle w:val="TextoNormal"/>
      </w:pPr>
    </w:p>
    <w:p w:rsidR="005728DD" w:rsidRDefault="005728DD" w:rsidP="005728DD">
      <w:pPr>
        <w:pStyle w:val="TextoNormal"/>
      </w:pPr>
      <w:r>
        <w:t xml:space="preserve">En nuestra jurisprudencia el juicio de proporcionalidad de las limitaciones de naturaleza penal ha sido específicamente abordado en reiteradas ocasiones en el ámbito de conductas relacionadas con las libertades de expresión e información, de las que la libertad de reunión es una modalidad concreta (STC 85/1988, de 28 de abril, FJ 2). En la ya citada STC 110/2000, destacamos que la dimensión objetiva de los derechos fundamentales, su carácter de elementos esenciales del ordenamiento jurídico, permite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w:t>
      </w:r>
      <w:r w:rsidRPr="005728DD">
        <w:rPr>
          <w:i/>
        </w:rPr>
        <w:t>Tolstoy Milovslasky c. Reino Unido</w:t>
      </w:r>
      <w:r>
        <w:t xml:space="preserve">, § 52 a 55; de 25 de noviembre de 1999, </w:t>
      </w:r>
      <w:r w:rsidRPr="005728DD">
        <w:rPr>
          <w:i/>
        </w:rPr>
        <w:t>Nilsen y Johnsen c. Noruega</w:t>
      </w:r>
      <w:r>
        <w:t>, § 53, y de 29 de febrero de 2000</w:t>
      </w:r>
      <w:r w:rsidRPr="005728DD">
        <w:rPr>
          <w:i/>
        </w:rPr>
        <w:t>, Fuentes Bobo c. Espa</w:t>
      </w:r>
      <w:r>
        <w:t>ña, § 49 y 50).</w:t>
      </w:r>
    </w:p>
    <w:p w:rsidR="005728DD" w:rsidRDefault="005728DD" w:rsidP="005728DD">
      <w:pPr>
        <w:pStyle w:val="TextoNormal"/>
      </w:pPr>
    </w:p>
    <w:p w:rsidR="005728DD" w:rsidRDefault="005728DD" w:rsidP="005728DD">
      <w:pPr>
        <w:pStyle w:val="TextoNormal"/>
      </w:pPr>
      <w:r>
        <w:t>Pero tal límite no opera exclusivamente en el ámbito del art. 20.1 CE, sino en relación con todos los derechos fundamentales: SSTC 190/1996, de 25 de noviembre, FJ3,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140/2016, de 21 de julio, FJ 10, sobre acceso a la justicia; 91/2021, de 22 de abril y 122/2021, de 2 de junio, sobre los mismos derechos y libertades alegadas en esta causa.</w:t>
      </w:r>
    </w:p>
    <w:p w:rsidR="005728DD" w:rsidRDefault="005728DD" w:rsidP="005728DD">
      <w:pPr>
        <w:pStyle w:val="TextoNormal"/>
      </w:pPr>
    </w:p>
    <w:p w:rsidR="005728DD" w:rsidRDefault="005728DD" w:rsidP="005728DD">
      <w:pPr>
        <w:pStyle w:val="TextoNormal"/>
      </w:pPr>
      <w:r>
        <w:lastRenderedPageBreak/>
        <w:t xml:space="preserve">En el mismo sentido se ha pronunciado, también de forma reiterada, el Tribunal Europeo de Derechos Humanos en las SSTEDH, de 22 de febrero de 1989, </w:t>
      </w:r>
      <w:r w:rsidRPr="005728DD">
        <w:rPr>
          <w:i/>
        </w:rPr>
        <w:t>Barfod c. Noruega</w:t>
      </w:r>
      <w:r>
        <w:t xml:space="preserve">, § 29; de 20 de mayo de 1999, </w:t>
      </w:r>
      <w:r w:rsidRPr="005728DD">
        <w:rPr>
          <w:i/>
        </w:rPr>
        <w:t>Bladet Tromsø and Stensaas c. Noruega</w:t>
      </w:r>
      <w:r>
        <w:t xml:space="preserve">, § 64; de 21 de marzo de 2002, </w:t>
      </w:r>
      <w:r w:rsidRPr="005728DD">
        <w:rPr>
          <w:i/>
        </w:rPr>
        <w:t>Nikula c. Finlandia</w:t>
      </w:r>
      <w:r>
        <w:t xml:space="preserve">, § 54; de 15 de diciembre de 2005, </w:t>
      </w:r>
      <w:r w:rsidRPr="005728DD">
        <w:rPr>
          <w:i/>
        </w:rPr>
        <w:t>Kyprianou c. Chipre</w:t>
      </w:r>
      <w:r>
        <w:t xml:space="preserve">, § 175, 181 a 183; de 21 de julio de 2011, </w:t>
      </w:r>
      <w:r w:rsidRPr="005728DD">
        <w:rPr>
          <w:i/>
        </w:rPr>
        <w:t>Heinisch c. Alemania</w:t>
      </w:r>
      <w:r>
        <w:t xml:space="preserve">, § 91 y 92; de 3 de octubre de 2013, </w:t>
      </w:r>
      <w:r w:rsidRPr="005728DD">
        <w:rPr>
          <w:i/>
        </w:rPr>
        <w:t>Kasparov y otros c. Rusia</w:t>
      </w:r>
      <w:r>
        <w:t xml:space="preserve">, § 84; de 15 de mayo de 2014, </w:t>
      </w:r>
      <w:r w:rsidRPr="005728DD">
        <w:rPr>
          <w:i/>
        </w:rPr>
        <w:t>Taranenko c. Rusia</w:t>
      </w:r>
      <w:r>
        <w:t xml:space="preserve">, § 95 y 96; de 14 de octubre de 2014, </w:t>
      </w:r>
      <w:r w:rsidRPr="005728DD">
        <w:rPr>
          <w:i/>
        </w:rPr>
        <w:t>Yilmaz Yildiz y otros c. Turquía</w:t>
      </w:r>
      <w:r>
        <w:t xml:space="preserve">, § 33; de 15 de octubre de 2015, </w:t>
      </w:r>
      <w:r w:rsidRPr="005728DD">
        <w:rPr>
          <w:i/>
        </w:rPr>
        <w:t>Gafgaz Mammadov c. Azerbayán</w:t>
      </w:r>
      <w:r>
        <w:t>, § 50; y, más recientemente, la STEDH de 4 de septiembre de 2018</w:t>
      </w:r>
      <w:r w:rsidRPr="005728DD">
        <w:rPr>
          <w:i/>
        </w:rPr>
        <w:t>, Fatih Taş c. Turqu</w:t>
      </w:r>
      <w:r>
        <w:t>ía (núm. 5), § 40.</w:t>
      </w:r>
    </w:p>
    <w:p w:rsidR="005728DD" w:rsidRDefault="005728DD" w:rsidP="005728DD">
      <w:pPr>
        <w:pStyle w:val="TextoNormal"/>
      </w:pPr>
    </w:p>
    <w:p w:rsidR="005728DD" w:rsidRDefault="005728DD" w:rsidP="005728DD">
      <w:pPr>
        <w:pStyle w:val="TextoNormal"/>
      </w:pPr>
      <w:r>
        <w:t>3.2. En las SSTC 55/1996, de 28 de marzo, FJ 9, y 161/1997, de 2 de octubre, FJ 12, hemos señalado que una sanción penal legalmente prevista puede ser catalogada como estrictamente desproporcionada “cuando concurra un desequilibrio patente y excesivo o irrazonable entre la sanción y la finalidad de la norma, a partir de las pautas axiológicas constitucionalmente indiscutibles y de su concreción en la propia actividad legislativa”.</w:t>
      </w:r>
    </w:p>
    <w:p w:rsidR="005728DD" w:rsidRDefault="005728DD" w:rsidP="005728DD">
      <w:pPr>
        <w:pStyle w:val="TextoNormal"/>
      </w:pPr>
    </w:p>
    <w:p w:rsidR="005728DD" w:rsidRDefault="005728DD" w:rsidP="005728DD">
      <w:pPr>
        <w:pStyle w:val="TextoNormal"/>
      </w:pPr>
      <w:r>
        <w:t>Examinar si una concreta condena privativa de libertad se ha ajustado o ha desconocido el principio de proporcionalidad exige determinar si, por su naturaleza y extensión, es necesaria para la protección del fin perseguido por la norma penal. Tal juicio valorativo ha de poner en relación la pena impuesta con su fin de protección, a partir de la entidad del delito imputado. Como se destacó ya en la STC 62/1982, de 15 de octubre (primera que abordó esta cuestión) no es posible ignorar la dificultad de aplicar a un caso concreto un principio general del Derecho que, formulado como concepto jurídico indeterminado, permite un margen de apreciación que ha de ser reconocido en favor de jueces y tribunales, a quienes corresponde también la tutela general de los derechos fundamentales y libertades públicas.</w:t>
      </w:r>
    </w:p>
    <w:p w:rsidR="005728DD" w:rsidRDefault="005728DD" w:rsidP="005728DD">
      <w:pPr>
        <w:pStyle w:val="TextoNormal"/>
      </w:pPr>
    </w:p>
    <w:p w:rsidR="005728DD" w:rsidRDefault="005728DD" w:rsidP="005728DD">
      <w:pPr>
        <w:pStyle w:val="TextoNormal"/>
      </w:pPr>
      <w:r>
        <w:t>En todo caso, desde la perspectiva constitucional que nos es propia, hay en el caso presente diversas circunstancias objetivas que debieron tomarse en cuenta al valorar la proporcionalidad de la concreta sanción impuesta:</w:t>
      </w:r>
    </w:p>
    <w:p w:rsidR="005728DD" w:rsidRDefault="005728DD" w:rsidP="005728DD">
      <w:pPr>
        <w:pStyle w:val="TextoNormal"/>
      </w:pPr>
    </w:p>
    <w:p w:rsidR="005728DD" w:rsidRDefault="005728DD" w:rsidP="005728DD">
      <w:pPr>
        <w:pStyle w:val="TextoNormal"/>
      </w:pPr>
      <w:r>
        <w:t>(i) Cabe destacar, en primer lugar, que no hay en la decisión de condena juicio de proporcionalidad alguno que relacione la extensión de la pena impuesta con la entidad de las conductas imputadas, ni tampoco sobre la eventual menor antijuridicidad de estas que pudiera derivar del contexto de protesta pública en el que se produjeron. A todos los demandantes, cuyas conductas no son idénticas, se les ha impuesto la misma pena: tres años de privación de libertad, coincidente con la cuantía mínima de la previsión penal legal abstracta. En el fundamento de derecho único de la sentencia condenatoria dictada como consecuencia de la de casación, tras calificar los hechos probados como constitutivos de un delito contra las instituciones del Estado, previsto y penado en el art. 498 CP, se expone lacónicamente: “La sala estima que procede la imposición de las penas mínimas previstas en el indicado precepto”. Eso es todo.</w:t>
      </w:r>
    </w:p>
    <w:p w:rsidR="005728DD" w:rsidRDefault="005728DD" w:rsidP="005728DD">
      <w:pPr>
        <w:pStyle w:val="TextoNormal"/>
      </w:pPr>
    </w:p>
    <w:p w:rsidR="005728DD" w:rsidRDefault="005728DD" w:rsidP="005728DD">
      <w:pPr>
        <w:pStyle w:val="TextoNormal"/>
      </w:pPr>
      <w:r>
        <w:t xml:space="preserve">Ya sea por entender que es adecuado y suficiente el juicio de proporcionalidad abstracto hecho por el legislador al fijar la cuantía mínima de la pena abstracta prevista, o por considerar que la relación de las conductas imputadas con el ejercicio de las libertades de expresión, reunión y manifestación no aporta nada a su concreta determinación, o ya se trate de una simple omisión, entiendo que no es posible realizar un juicio externo sobre las razones </w:t>
      </w:r>
      <w:r>
        <w:lastRenderedPageBreak/>
        <w:t>que la sala ha tomado en consideración, al no haber sido explicitadas. Tampoco de la fundamentación de la sentencia de casación puede extraerse ninguna conclusión específica sobre este aspecto.</w:t>
      </w:r>
    </w:p>
    <w:p w:rsidR="005728DD" w:rsidRDefault="005728DD" w:rsidP="005728DD">
      <w:pPr>
        <w:pStyle w:val="TextoNormal"/>
      </w:pPr>
    </w:p>
    <w:p w:rsidR="005728DD" w:rsidRDefault="005728DD" w:rsidP="005728DD">
      <w:pPr>
        <w:pStyle w:val="TextoNormal"/>
      </w:pPr>
      <w:r>
        <w:t>(ii) La pena impuesta es privativa de libertad. Y lo es en una extensión significativa —tres años de duración— que conforme a la legislación aplicable (art. 80 CP) no admite la suspensión de su ejecución; esto es, se trata de una pena de prisión de cumplimiento obligado.</w:t>
      </w:r>
    </w:p>
    <w:p w:rsidR="005728DD" w:rsidRDefault="005728DD" w:rsidP="005728DD">
      <w:pPr>
        <w:pStyle w:val="TextoNormal"/>
      </w:pPr>
    </w:p>
    <w:p w:rsidR="005728DD" w:rsidRDefault="005728DD" w:rsidP="005728DD">
      <w:pPr>
        <w:pStyle w:val="TextoNormal"/>
      </w:pPr>
      <w:r>
        <w:t xml:space="preserve">La naturaleza privativa de libertad de la pena impuesta es un elemento que, en sí mismo, no puede dejar de ser tomado en consideración en el juicio de proporcionalidad de las injerencias que afectan a la libertad de expresión (SSTEDH de 23 de septiembre de 1994, § 35, </w:t>
      </w:r>
      <w:r w:rsidRPr="005728DD">
        <w:rPr>
          <w:i/>
        </w:rPr>
        <w:t>Jersild c. Dinamarca</w:t>
      </w:r>
      <w:r>
        <w:t xml:space="preserve">; de 11 de abril de 2006, § 43, </w:t>
      </w:r>
      <w:r w:rsidRPr="005728DD">
        <w:rPr>
          <w:i/>
        </w:rPr>
        <w:t>Brasilier c. Francia</w:t>
      </w:r>
      <w:r>
        <w:t xml:space="preserve">; de 23 de abril de 2015, § 176, </w:t>
      </w:r>
      <w:r w:rsidRPr="005728DD">
        <w:rPr>
          <w:i/>
        </w:rPr>
        <w:t>Morice c. Francia</w:t>
      </w:r>
      <w:r>
        <w:t xml:space="preserve"> [Gran Sala], y de 12 de julio de 2016, § 73, </w:t>
      </w:r>
      <w:r w:rsidRPr="005728DD">
        <w:rPr>
          <w:i/>
        </w:rPr>
        <w:t>Reichman c. Francia</w:t>
      </w:r>
      <w:r>
        <w:t xml:space="preserve">). Conforme a los parámetros utilizados por el Tribunal Europeo Derechos Humanos en el contexto de actos relacionados con la libertad de expresión, se trata de una pena que ha de ser calificada como severa. Así se conceptúa una pena de un año y once meses de prisión (STEDH de 17 de julio de 2018, </w:t>
      </w:r>
      <w:r w:rsidRPr="005728DD">
        <w:rPr>
          <w:i/>
        </w:rPr>
        <w:t>Mariya Alekhina y otras c. Rusia</w:t>
      </w:r>
      <w:r>
        <w:t xml:space="preserve">, § 215) e incluso una pena de nueve meses multa, con responsabilidad personal subsidiaria para el caso de impago (STEDH de 12 de enero de 2016, </w:t>
      </w:r>
      <w:r w:rsidRPr="005728DD">
        <w:rPr>
          <w:i/>
        </w:rPr>
        <w:t>Rodríguez Ravelo c. España</w:t>
      </w:r>
      <w:r>
        <w:t xml:space="preserve">, § 44). También en la STEDH de 15 de mayo de 2014, </w:t>
      </w:r>
      <w:r w:rsidRPr="005728DD">
        <w:rPr>
          <w:i/>
        </w:rPr>
        <w:t>Taranenko c. Rusia</w:t>
      </w:r>
      <w:r>
        <w:t>, § 94 y 95, el tribunal europeo ha calificado como inusual y excepcionalmente severa, y por ende desproporcionada, una pena de prisión de tres años (suspendida en su ejecución) impuesta como consecuencia de acceder un grupo de cuarenta personas, apartando al guardia que intentaba impedirles el paso, al interior del edificio que alberga dependencias administrativas de la Presidencia del Gobierno, y permanecer encerrados durante horas en un despacho.</w:t>
      </w:r>
    </w:p>
    <w:p w:rsidR="005728DD" w:rsidRDefault="005728DD" w:rsidP="005728DD">
      <w:pPr>
        <w:pStyle w:val="TextoNormal"/>
      </w:pPr>
    </w:p>
    <w:p w:rsidR="005728DD" w:rsidRDefault="005728DD" w:rsidP="005728DD">
      <w:pPr>
        <w:pStyle w:val="TextoNormal"/>
      </w:pPr>
      <w:r>
        <w:t>En definitiva, por la severidad de la pena impuesta a los demandantes, no puede excluirse un efecto desalentador sobre futuros actos de protesta política.</w:t>
      </w:r>
    </w:p>
    <w:p w:rsidR="005728DD" w:rsidRDefault="005728DD" w:rsidP="005728DD">
      <w:pPr>
        <w:pStyle w:val="TextoNormal"/>
      </w:pPr>
    </w:p>
    <w:p w:rsidR="005728DD" w:rsidRDefault="005728DD" w:rsidP="005728DD">
      <w:pPr>
        <w:pStyle w:val="TextoNormal"/>
      </w:pPr>
      <w:r>
        <w:t>(iii) Destacaba antes que la decisión de condena, y su ratificación por la mayoría, ha otorgado de forma decisiva relevancia penal a las conductas individuales protagonizadas por cada uno de los demandantes en tanto se ejecutaron “en un escenario y clima coactivo, en una atmósfera intimidatoria” generada por la participación de centenares de manifestantes en la protesta, alguno de los cuales expresaron de forma enérgica, en ocasiones desabrida e ilícita, su desacuerdo con la propuesta presupuestaria del gobierno catalán que iba a ser sometida a debate parlamentario.</w:t>
      </w:r>
    </w:p>
    <w:p w:rsidR="005728DD" w:rsidRDefault="005728DD" w:rsidP="005728DD">
      <w:pPr>
        <w:pStyle w:val="TextoNormal"/>
      </w:pPr>
    </w:p>
    <w:p w:rsidR="005728DD" w:rsidRDefault="005728DD" w:rsidP="005728DD">
      <w:pPr>
        <w:pStyle w:val="TextoNormal"/>
      </w:pPr>
      <w:r>
        <w:t>Al valorar la proporcionalidad de la medida concreta de pena que se ha determinado como reacción penal, no es posible dejar de tomar en consideración que las conductas individualmente imputadas a cada uno de los recurrentes no constituyeron actos de agresión física o acometimiento personal, sino de confrontación verbal y gestual con los parlamentarios.</w:t>
      </w:r>
    </w:p>
    <w:p w:rsidR="005728DD" w:rsidRDefault="005728DD" w:rsidP="005728DD">
      <w:pPr>
        <w:pStyle w:val="TextoNormal"/>
      </w:pPr>
    </w:p>
    <w:p w:rsidR="005728DD" w:rsidRDefault="005728DD" w:rsidP="005728DD">
      <w:pPr>
        <w:pStyle w:val="TextoNormal"/>
      </w:pPr>
      <w:r>
        <w:t xml:space="preserve">La concentración pública en el lugar y día elegido fue debidamente comunicada y permitida por la autoridad gubernativa, que adoptó las medidas de prevención del orden público que consideró adecuadas. Su desarrollo fue mayoritariamente pacífico, aunque en la mañana del 15 de junio, durante el momento de acceso de los diputados al recinto donde se ubica la </w:t>
      </w:r>
      <w:r>
        <w:lastRenderedPageBreak/>
        <w:t>sede del Parlament, se registraron algunos actos violentos. La protesta era funcional al objetivo de canalizar reivindicaciones sociales que se consideraban legítimas sobre las que cabe toda controversia en una sociedad abierta. No consta que alguno de los recurrentes colaborara en los actos más violentos ya descritos que acaecieron durante la protesta, ni se ha declarado probado que hubiera existido un aprovechamiento intencional por parte de los recurrentes del clima intimidatorio aludido, ni tampoco que actuaran concertadamente con tal fin.</w:t>
      </w:r>
    </w:p>
    <w:p w:rsidR="005728DD" w:rsidRDefault="005728DD" w:rsidP="005728DD">
      <w:pPr>
        <w:pStyle w:val="TextoNormal"/>
      </w:pPr>
    </w:p>
    <w:p w:rsidR="005728DD" w:rsidRDefault="005728DD" w:rsidP="005728DD">
      <w:pPr>
        <w:pStyle w:val="TextoNormal"/>
      </w:pPr>
      <w:r>
        <w:t>(iv) Pese a que la exigencia de proporcionalidad de la limitación penal de un derecho fundamental pone en relación su fin de protección con el sacrificio que impone al derecho afectado, ha de convenirse con el Ministerio Fiscal cuando alega que, en la sentencia impugnada, no hay tampoco mención ni toma en consideración alguna a la efectiva incidencia que las conductas sancionadas tuvieron sobre el desenvolvimiento de la actividad parlamentaria programada para el día 15 de junio de 2011.</w:t>
      </w:r>
    </w:p>
    <w:p w:rsidR="005728DD" w:rsidRDefault="005728DD" w:rsidP="005728DD">
      <w:pPr>
        <w:pStyle w:val="TextoNormal"/>
      </w:pPr>
    </w:p>
    <w:p w:rsidR="005728DD" w:rsidRDefault="005728DD" w:rsidP="005728DD">
      <w:pPr>
        <w:pStyle w:val="TextoNormal"/>
      </w:pPr>
      <w:r>
        <w:t>En tal sentido, la sentencia condenatoria declara consumado el delito con los actos realizados por los recurrentes, en cuanto califica el tipo penal aplicado como “un delito de tendencia […] [que] no exige para su consumación que, como efecto de los medios empleados, el diputado no haya podido asistir a las reuniones, no haya votado efectivamente o haya experimentado una restricción efectiva de su libertad de expresión”. Se trata de una calificación jurídico-penal razonada y no arbitraria que no nos corresponde cuestionar por ser su determinación función exclusiva de los jueces y tribunales. No obstante, hemos de poner de relieve que, sin perjuicio de coincidir con la sentencia de casación en que se vio alterado el normal funcionamiento de la Cámara representativa por las dificultades de acceso reseñadas, apreciamos que, en orden a establecer la intensidad de la reacción penal, debió ser un elemento a considerar el efecto real que los actos de protesta imputados produjeron sobre la sesión parlamentaria, dado que, según reflejaron entonces los medios de comunicación, tal y como estaba programado, el debate y votación se desarrollaron en el día de la fecha —incluido el relativo a las enmiendas a la totalidad presentadas a la ley de presupuestos—, y pudo celebrarse pocos minutos después del horario previsto.</w:t>
      </w:r>
    </w:p>
    <w:p w:rsidR="005728DD" w:rsidRDefault="005728DD" w:rsidP="005728DD">
      <w:pPr>
        <w:pStyle w:val="TextoNormal"/>
      </w:pPr>
    </w:p>
    <w:p w:rsidR="005728DD" w:rsidRDefault="005728DD" w:rsidP="005728DD">
      <w:pPr>
        <w:pStyle w:val="TextoNormal"/>
      </w:pPr>
      <w:r>
        <w:t>(v) En el proceso judicial previo, la consideración de que las conductas enjuiciadas constituían ejercicio legítimo de las libertades alegadas fue precisamente la ratio de la sentencia absolutoria de instancia pues, sin realizar juicio alguno de tipicidad, apreció como causa de justificación la de obrar en ejercicio legítimo de un derecho (art. 20.7 CP). La decisión fue posteriormente revocada en casación cuestionando la ponderación de intereses hecha en la decisión absolutoria.</w:t>
      </w:r>
    </w:p>
    <w:p w:rsidR="005728DD" w:rsidRDefault="005728DD" w:rsidP="005728DD">
      <w:pPr>
        <w:pStyle w:val="TextoNormal"/>
      </w:pPr>
    </w:p>
    <w:p w:rsidR="005728DD" w:rsidRDefault="005728DD" w:rsidP="005728DD">
      <w:pPr>
        <w:pStyle w:val="TextoNormal"/>
      </w:pPr>
      <w:r>
        <w:t>Ya he señalado antes que, por su contenido coercitivo, las conductas imputadas no pueden ser consideradas ejercicio plenamente legítimo del derecho de reunión y manifestación; esto es, no constituyeron un ejercicio lícito de las libertades alegadas, por lo que pueden merecer sanción penal.</w:t>
      </w:r>
    </w:p>
    <w:p w:rsidR="005728DD" w:rsidRDefault="005728DD" w:rsidP="005728DD">
      <w:pPr>
        <w:pStyle w:val="TextoNormal"/>
      </w:pPr>
    </w:p>
    <w:p w:rsidR="005728DD" w:rsidRDefault="005728DD" w:rsidP="005728DD">
      <w:pPr>
        <w:pStyle w:val="TextoNormal"/>
      </w:pPr>
      <w:r>
        <w:t>En consecuencia, considero que la sentencia de instancia sobredimensionó el contenido constitucional del derecho de reunión y manifestación alegado incluyendo en su ejercicio plenamente legítimo conductas que, atendidas sus características y el contexto en que se produjeron, constituyeron una extralimitación de las facultades de actuación que reconoce.</w:t>
      </w:r>
    </w:p>
    <w:p w:rsidR="005728DD" w:rsidRDefault="005728DD" w:rsidP="005728DD">
      <w:pPr>
        <w:pStyle w:val="TextoNormal"/>
      </w:pPr>
    </w:p>
    <w:p w:rsidR="005728DD" w:rsidRDefault="005728DD" w:rsidP="005728DD">
      <w:pPr>
        <w:pStyle w:val="TextoNormal"/>
      </w:pPr>
      <w:r>
        <w:lastRenderedPageBreak/>
        <w:t>No obstante, las conductas enjuiciadas exteriorizaban una protesta política y social, estaban directamente relacionadas con el ejercicio de los derechos fundamentales alegados, sin que esta relevante circunstancia haya sido tomada en consideración en la sentencia de casación para determinar la pena imponible. No cuestiono que las conductas protagonizadas por los recurrentes hayan sido previstas y declaradas como delictivas, pero sí e</w:t>
      </w:r>
      <w:r w:rsidRPr="005728DD">
        <w:rPr>
          <w:i/>
        </w:rPr>
        <w:t>l quant</w:t>
      </w:r>
      <w:r>
        <w:t>um de la respuesta penal acordada, atendida su naturaleza privativa de libertad.</w:t>
      </w:r>
    </w:p>
    <w:p w:rsidR="005728DD" w:rsidRDefault="005728DD" w:rsidP="005728DD">
      <w:pPr>
        <w:pStyle w:val="TextoNormal"/>
      </w:pPr>
    </w:p>
    <w:p w:rsidR="005728DD" w:rsidRDefault="005728DD" w:rsidP="005728DD">
      <w:pPr>
        <w:pStyle w:val="TextoNormal"/>
      </w:pPr>
      <w:r>
        <w:t>En tal sentido, cabe apreciar que la decisión de la mayoría de la que disiento, al igual que hizo la sentencia de casación, minusvaloran el contenido del derecho fundamental alegado, no reconociéndole efecto alguno al determinar la pena aplicable. Sin embargo, la relación de las conductas imputadas con las facultades de actuación que el derecho de reunión y manifestación reconoce, junto con el resto de las circunstancias que hemos analizado, permite en este caso apreciar en ellas una menor antijuridicidad, un menor contenido lesivo que, de haber sido tenido en cuenta al valorar jurídico-penalmente la conducta de los recurrentes, hubiera llevado a atenuar la duración concreta de la pena privativa de libertad impuesta por debajo del mínimo legal abstracto establecido.</w:t>
      </w:r>
    </w:p>
    <w:p w:rsidR="005728DD" w:rsidRDefault="005728DD" w:rsidP="005728DD">
      <w:pPr>
        <w:pStyle w:val="TextoNormal"/>
      </w:pPr>
    </w:p>
    <w:p w:rsidR="005728DD" w:rsidRDefault="005728DD" w:rsidP="005728DD">
      <w:pPr>
        <w:pStyle w:val="TextoNormal"/>
      </w:pPr>
      <w:r>
        <w:t>Nuestro sistema jurídico penal es especialmente idóneo para materializar las exigencias de proporcionalidad que hemos analizado en aquellos supuestos en que las conductas imputadas supongan una extralimitación de un derecho fundamental. No solo porque la ley prevé para ellas una pena no determinada de extensión variable —un arco penológico que va desde un mínimo hasta un máximo—; un marco legal necesitado de concreción caso a caso en el que el juez puede apreciar “la mayor o menor gravedad del hecho” (art. 66.6 CP), sino porque a través de las reglas de aplicación de la pena es exigible graduar la respuesta cuando concurran plena o parcialmente circunstancias de atenuación o exención que así lo justifique.</w:t>
      </w:r>
    </w:p>
    <w:p w:rsidR="005728DD" w:rsidRDefault="005728DD" w:rsidP="005728DD">
      <w:pPr>
        <w:pStyle w:val="TextoNormal"/>
      </w:pPr>
    </w:p>
    <w:p w:rsidR="005728DD" w:rsidRDefault="005728DD" w:rsidP="005728DD">
      <w:pPr>
        <w:pStyle w:val="TextoNormal"/>
      </w:pPr>
      <w:r>
        <w:t>Para responder proporcionadamente a conductas relacionadas con el ejercicio de derechos fundamentales, el aplicador debe apreciar la exención de responsabilidad excluyendo la antijuridicidad de la conducta cuando esta es ejercicio legítimo de un derecho (art. 20.7 CP); lo que conllevará la absolución. En el mismo sentido, el art. 21 CP contempla como atenuantes las causas de exención “cuando no concurrieren todos los requisitos necesarios para eximir de responsabilidad en sus respectivos casos”, previsión legal a la que el art. 68 CP anuda como exigencia la imposición de “la pena inferior en uno o dos grados a la señalada por la ley”, graduación que, a su vez, depende del “número y la entidad de los requisitos que falten o concurran y las circunstancias personales de su autor”. A través de dicha previsión legal, atendidas las circunstancias del presente caso, no solo era posible, sino exigido, individualizar y atemperar la reacción penal a la antijuridicidad de las conductas valoradas, dada la limitada intensidad coercitiva de las mismas, el contexto de protesta política en el que se desarrollaron, su relación con el ejercicio del derecho de reunión y manifestación, y la real afección que produjeron al desarrollo de la sesión parlamentaria. Sin embargo, dicha posibilidad legal no fue examinada en la decisión de condena al determinar la pena que debía ser impuesta.</w:t>
      </w:r>
    </w:p>
    <w:p w:rsidR="005728DD" w:rsidRDefault="005728DD" w:rsidP="005728DD">
      <w:pPr>
        <w:pStyle w:val="TextoNormal"/>
      </w:pPr>
    </w:p>
    <w:p w:rsidR="005728DD" w:rsidRDefault="005728DD" w:rsidP="005728DD">
      <w:pPr>
        <w:pStyle w:val="TextoNormal"/>
      </w:pPr>
      <w:r>
        <w:t xml:space="preserve">En definitiva, la toma en consideración de los criterios y circunstancias expuestas me permite concluir que, al imponer a los recurrentes a la pena de prisión de tres años de duración sin apreciar la concurrencia de la citadas posibilidades de atenuación, la decisión de condena impuesta en la sentencia de casación impugnada, por su naturaleza y duración, no </w:t>
      </w:r>
      <w:r>
        <w:lastRenderedPageBreak/>
        <w:t>puede ser considerada proporcionada al objetivo legítimo perseguido por la norma penal aplicada; esto es, no expresa un justo equilibrio entre los derechos fundamentales alegados y los fines de protección que han justificado la condena. De lo que resulta que, atendiendo parcialmente las pretensiones de los recurrentes, apoyadas por el Ministerio Fiscal, entienda que debíamos haber declarado vulnerado el principio de legalidad penal (art. 25.1 CE) en cuanto comprensivo de la proscripción constitucional de penas desproporcionadas.</w:t>
      </w:r>
    </w:p>
    <w:p w:rsidR="005728DD" w:rsidRDefault="005728DD" w:rsidP="005728DD">
      <w:pPr>
        <w:pStyle w:val="TextoNormal"/>
      </w:pPr>
    </w:p>
    <w:p w:rsidR="005728DD" w:rsidRDefault="005728DD" w:rsidP="005728DD">
      <w:pPr>
        <w:pStyle w:val="TextoNormal"/>
      </w:pPr>
      <w:r>
        <w:t>Expresada de esta forma mi discrepancia con los motivos sustantivos alegados por los recurrentes (arts. 20, 21 y 25 CE), me resta por abordar un motivo de discrepancia que, pese a su naturaleza procesal, resulta en igual medida relevante para apartarme de la decisión mayoritaria de la que disiento. Tiene que ver con el hecho de que la decisión de condena haya sido establecida al resolver un recurso de casación formulado contra una previa sentencia absolutoria.</w:t>
      </w:r>
    </w:p>
    <w:p w:rsidR="005728DD" w:rsidRDefault="005728DD" w:rsidP="005728DD">
      <w:pPr>
        <w:pStyle w:val="TextoNormal"/>
      </w:pPr>
    </w:p>
    <w:p w:rsidR="005728DD" w:rsidRDefault="005728DD" w:rsidP="005728DD">
      <w:pPr>
        <w:pStyle w:val="TextoNormal"/>
      </w:pPr>
      <w:r>
        <w:t>4. Sobre los límites constitucionales de la revisión en casación de la decisión absolutoria adoptada en la instancia (art. 24.2 CE).</w:t>
      </w:r>
    </w:p>
    <w:p w:rsidR="005728DD" w:rsidRDefault="005728DD" w:rsidP="005728DD">
      <w:pPr>
        <w:pStyle w:val="TextoNormal"/>
      </w:pPr>
    </w:p>
    <w:p w:rsidR="005728DD" w:rsidRDefault="005728DD" w:rsidP="005728DD">
      <w:pPr>
        <w:pStyle w:val="TextoNormal"/>
      </w:pPr>
      <w:r>
        <w:t>Considero que la opinión de la mayoría reflejada en la sentencia dictada en el presente recurso ha incurrido en una errónea aplicación de la consolidada doctrina constitucional que este tribunal ha venido desarrollando desde la STC 167/2002 en relación con la imposibilidad procesal de apreciar en casación la concurrencia de elementos subjetivos del delito.</w:t>
      </w:r>
    </w:p>
    <w:p w:rsidR="005728DD" w:rsidRDefault="005728DD" w:rsidP="005728DD">
      <w:pPr>
        <w:pStyle w:val="TextoNormal"/>
      </w:pPr>
    </w:p>
    <w:p w:rsidR="005728DD" w:rsidRDefault="005728DD" w:rsidP="005728DD">
      <w:pPr>
        <w:pStyle w:val="TextoNormal"/>
      </w:pPr>
      <w:r>
        <w:t>4.1. Para facilitar la comprensión de mi desacuerdo resulta oportuno destacar que la inicial decisión absolutoria excluyó la antijuridicidad de la conducta de los acusados entendiendo que era ejercicio legítimo de los derechos de reunión y manifestación, razonamiento este al que dedicó su principal esfuerzo argumentativo. Es relevante reseñar que el análisis de la sentencia de instancia se detuvo en dicha consideración y, al descartar su antijuridicidad, obvió en su fundamentación el análisis sobre la tipicidad de las conductas que fundamentaron la acusación. En el relato de hechos probados no se recoge referencia alguna a la finalidad que pudiera animar a los recurrentes. Pese a ello, en su fundamentación jurídica, al razonar sobre la legitimidad de la conducta de los recurrentes (FJ 2.1.1) sí se afirma que la convocatoria y la acción colectiva de protesta tenían como finalidad “divulgar mensajes de protesta en relación a las decisiones legislativas, y para ello se trataba de ocupar los alrededores del edificio parlamentario para dirigir a los diputados, a los medios de comunicación y a la sociedad el rechazo de tales medidas de recorte del gasto social en detrimento de los servicios públicos y de la efectividad de los derechos sociales”. Se afirma también que el lema de la convocatoria —“Paremos el Parlamento, no permitiremos que aprueben recortes”— aunque problemático, era simbólico y contenía dos mensajes precisos, pues “quienes protestaban no querían las restricciones económicas de las prestaciones y de los servicios públicos; y quienes adoptaban tales decisiones ya no les representaban”.</w:t>
      </w:r>
    </w:p>
    <w:p w:rsidR="005728DD" w:rsidRDefault="005728DD" w:rsidP="005728DD">
      <w:pPr>
        <w:pStyle w:val="TextoNormal"/>
      </w:pPr>
    </w:p>
    <w:p w:rsidR="005728DD" w:rsidRDefault="005728DD" w:rsidP="005728DD">
      <w:pPr>
        <w:pStyle w:val="TextoNormal"/>
      </w:pPr>
      <w:r>
        <w:t xml:space="preserve">Por el contrario, tras descartar que las conductas imputadas a los recurrentes pudieran ser calificadas como ejercicio legítimo de los derechos de reunión y manifestación, la sentencia de casación se enfrenta por primera vez a la tarea —ahora imprescindible— de subsumir las conductas declaradas probadas en el delito previsto y penado en el art. 498 CP, el cual califica como un “delito de tendencia”, para cuya consumación basta que se realice la conducta típica con la finalidad de impedir la asistencia de los diputados a las sesiones parlamentarias programadas. Al subsumir las conductas de los demandantes en el delito en cuestión, el </w:t>
      </w:r>
      <w:r>
        <w:lastRenderedPageBreak/>
        <w:t>Tribunal Supremo afirma: (i) que las conductas tienen suficiente entidad, en atención al contexto, para ser calificadas como empleo de fuerza, violencia, intimidación o amenaza grave, y (ii) que estaban animadas por la finalidad de impedir a los parlamentarios asistir a las reuniones de la asamblea legislativa. Tal finalidad impeditiva la deduce del contexto coactivo descrito en el relato de hechos probados y del propio lema de la convocatoria. A partir de ambos factores, se afirma que la intención que guiaba la conducta de cada uno de los recurrentes no era protestar sino impedir a los diputados su asistencia al Parlament. De esta forma, quedan equiparadas la finalidad de la manifestación con la concreta finalidad que anima las acciones de los demandantes finalmente condenados, quienes realizaron aportaciones particulares al acto colectivo de obstaculización de las tareas parlamentarias.</w:t>
      </w:r>
    </w:p>
    <w:p w:rsidR="005728DD" w:rsidRDefault="005728DD" w:rsidP="005728DD">
      <w:pPr>
        <w:pStyle w:val="TextoNormal"/>
      </w:pPr>
    </w:p>
    <w:p w:rsidR="005728DD" w:rsidRDefault="005728DD" w:rsidP="005728DD">
      <w:pPr>
        <w:pStyle w:val="TextoNormal"/>
      </w:pPr>
      <w:r>
        <w:t>4.2. Mi discrepancia con la decisión mayoritaria no se refiere a la doctrina constitucional que se expresa en el fundamento jurídico 8 B) de la decisión mayoritaria, sino a su defectuosa aplicación que lleva a apreciar indebidamente que la audiencia personal de los acusados no era precisa en este caso por haber sido deducida la intención que animaba la conducta de los recurrentes del lema de la manifestación y del contexto coercitivo en que esta se produjo, datos que se describen en el relato de hechos probados y se consideran objetivos y, por ello valorables en casación.</w:t>
      </w:r>
    </w:p>
    <w:p w:rsidR="005728DD" w:rsidRDefault="005728DD" w:rsidP="005728DD">
      <w:pPr>
        <w:pStyle w:val="TextoNormal"/>
      </w:pPr>
    </w:p>
    <w:p w:rsidR="005728DD" w:rsidRDefault="005728DD" w:rsidP="005728DD">
      <w:pPr>
        <w:pStyle w:val="TextoNormal"/>
      </w:pPr>
      <w:r>
        <w:t>Me parece evidente que una vez más, la cuestión que se plantea en este motivo de amparo no es otra que la vulneración de las garantías procesales que, frente al acusado que niega haber realizado el hecho con la intención que se le imputa, deben observarse al resolver el recurso de casación para poder atender una pretensión de condena formulada contra una decisión absolutoria acordada en la instancia.</w:t>
      </w:r>
    </w:p>
    <w:p w:rsidR="005728DD" w:rsidRDefault="005728DD" w:rsidP="005728DD">
      <w:pPr>
        <w:pStyle w:val="TextoNormal"/>
      </w:pPr>
    </w:p>
    <w:p w:rsidR="005728DD" w:rsidRDefault="005728DD" w:rsidP="005728DD">
      <w:pPr>
        <w:pStyle w:val="TextoNormal"/>
      </w:pPr>
      <w:r>
        <w:t xml:space="preserve">Como detalladamente se expone en la STC 125/2017, de 13 de noviembre, FJ 3, el contenido de tales garantías procesales ha sido abordado por este tribunal en una jurisprudencia reiterada, complementaria y progresivamente ampliada que, rectificando pronunciamientos anteriores, tiene su momento inicial en la STC 167/2002 de 18 de septiembre (FFJJ 9 a 11). La doctrina fue ampliada a partir de la STEDH de 10 de marzo de 2009, </w:t>
      </w:r>
      <w:r w:rsidRPr="005728DD">
        <w:rPr>
          <w:i/>
        </w:rPr>
        <w:t>Igual Coll c. España</w:t>
      </w:r>
      <w:r>
        <w:t>, que puso de manifiesto la insuficiencia de la inicial perspectiva jurisprudencial. El Tribunal Europeo Derechos Humanos había declarado que cuando una instancia de revisión debe conocer un asunto de hecho y en Derecho y tiene la facultad de estudiar en su conjunto la cuestión de la culpabilidad o de la inocencia, no puede, por motivos de equidad del proceso, decidir estas cuestiones sin valoración directa de los medios de prueba presentados en persona por el acusado que afirma no haber cometido el acto considerado penalmente ilícito.</w:t>
      </w:r>
    </w:p>
    <w:p w:rsidR="005728DD" w:rsidRDefault="005728DD" w:rsidP="005728DD">
      <w:pPr>
        <w:pStyle w:val="TextoNormal"/>
      </w:pPr>
    </w:p>
    <w:p w:rsidR="005728DD" w:rsidRDefault="005728DD" w:rsidP="005728DD">
      <w:pPr>
        <w:pStyle w:val="TextoNormal"/>
      </w:pPr>
      <w:r>
        <w:t xml:space="preserve">La plena recepción de dicho criterio por este tribunal se inició en la STC 184/2009, de 7 de septiembre, FJ 3, conforme a cuya doctrina, lo constitucionalmente relevante es evaluar si la jurisdicción de revisión “efectúa una nueva apreciación de los hechos estimados probados en primera instancia y los reconsidera”, situándose así más allá de consideraciones estrictamente jurídicas; lo cual ocurre siempre que la revisión exprese “una toma de posición sobre hechos decisivos para la determinación de la culpabilidad del demandante”, esto es, se pronuncie sobre circunstancias subjetivas del acusado. Y así hemos señalado que “cuando la inferencia de un tribunal se refiere a elementos subjetivos (como, en este caso concreto, la finalidad que guiaba la conducta de los recurrentes), no es posible proceder a la valoración jurídica del comportamiento del acusado sin haber previamente intentado probar la realidad de este comportamiento, lo que implica necesariamente la comprobación de la intención del </w:t>
      </w:r>
      <w:r>
        <w:lastRenderedPageBreak/>
        <w:t xml:space="preserve">acusado con relación a los hechos que se le imputan” (SSTEDH de 22 de noviembre de 2011, </w:t>
      </w:r>
      <w:r w:rsidRPr="005728DD">
        <w:rPr>
          <w:i/>
        </w:rPr>
        <w:t>Lacadena Calero c. España</w:t>
      </w:r>
      <w:r>
        <w:t xml:space="preserve">, § 38; de 20 de marzo de 2012, </w:t>
      </w:r>
      <w:r w:rsidRPr="005728DD">
        <w:rPr>
          <w:i/>
        </w:rPr>
        <w:t>Serrano Contreras c. España</w:t>
      </w:r>
      <w:r>
        <w:t>, § 31; de 13 de junio de 2017</w:t>
      </w:r>
      <w:r w:rsidRPr="005728DD">
        <w:rPr>
          <w:i/>
        </w:rPr>
        <w:t>, Atutxa Mendiola y otros c. Espa</w:t>
      </w:r>
      <w:r>
        <w:t>ña, § 43, y de 24 de septiembre de 2019</w:t>
      </w:r>
      <w:r w:rsidRPr="005728DD">
        <w:rPr>
          <w:i/>
        </w:rPr>
        <w:t>, Camacho Camacho c. Espa</w:t>
      </w:r>
      <w:r>
        <w:t>ña, § 30).</w:t>
      </w:r>
    </w:p>
    <w:p w:rsidR="005728DD" w:rsidRDefault="005728DD" w:rsidP="005728DD">
      <w:pPr>
        <w:pStyle w:val="TextoNormal"/>
      </w:pPr>
    </w:p>
    <w:p w:rsidR="005728DD" w:rsidRDefault="005728DD" w:rsidP="005728DD">
      <w:pPr>
        <w:pStyle w:val="TextoNormal"/>
      </w:pPr>
      <w:r>
        <w:t>Resumiendo el doble contenido de dicha doctrina, la sentencia del Pleno 88/2013, de 11 de abril, concluyó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(FJ 9).</w:t>
      </w:r>
    </w:p>
    <w:p w:rsidR="005728DD" w:rsidRDefault="005728DD" w:rsidP="005728DD">
      <w:pPr>
        <w:pStyle w:val="TextoNormal"/>
      </w:pPr>
    </w:p>
    <w:p w:rsidR="005728DD" w:rsidRDefault="005728DD" w:rsidP="005728DD">
      <w:pPr>
        <w:pStyle w:val="TextoNormal"/>
      </w:pPr>
      <w:r>
        <w:t xml:space="preserve">Dicha evolución ha tenido una especial incidencia sobre el tratamiento de las decisiones de condena que revocan un pronunciamiento absolutorio con fundamento en la reconsideración de la concurrencia de los elementos subjetivos del delito (aquellos que tienen que ver con la intención que guía a su autor o el grado de compromiso con la acción ejecutada que cabe reprocharle). Si bien en un primer momento (STC 167/2002), cuando se apoyaban en prueba documental, los debates en torno a su concurrencia fueron valorados como “debates jurídicos” no necesitados de vista pública o inmediación ni de la presencia del acusado, la toma en consideración de la STEDH dictada en el caso </w:t>
      </w:r>
      <w:r w:rsidRPr="005728DD">
        <w:rPr>
          <w:i/>
        </w:rPr>
        <w:t>Igual Coll</w:t>
      </w:r>
      <w:r>
        <w:t xml:space="preserve"> modificó el sentido de los pronunciamientos de este tribunal (SSTC 184/2009, de 7 de septiembre, 45/2011, de 11 de abril, y 142/2011, de 26 de septiembre). Desde entonces, venimos afirmando reiteradamente que,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exigencias estas que, en nuestro ordenamiento jurídico, no se cohonestan con la actual estructura procesal del recurso de apelación y casación penal, cuyo ámbito de cognición ha quedado así delimitado” (STC 125/2017, FJ 6). Criterio consolidado y reiterado, entre las sentencias más recientes, en la STC 149/2019, de 25 de noviembre, FJ 2.</w:t>
      </w:r>
    </w:p>
    <w:p w:rsidR="005728DD" w:rsidRDefault="005728DD" w:rsidP="005728DD">
      <w:pPr>
        <w:pStyle w:val="TextoNormal"/>
      </w:pPr>
    </w:p>
    <w:p w:rsidR="005728DD" w:rsidRDefault="005728DD" w:rsidP="005728DD">
      <w:pPr>
        <w:pStyle w:val="TextoNormal"/>
      </w:pPr>
      <w:r>
        <w:t xml:space="preserve">En definitiva, constituye un criterio totalmente asentado en nuestra doctrina y coincidente con la consideración del Tribunal Europeo de Derechos Humanos que la revisión de los elementos subjetivos del delito constituye una cuestión de hecho y no una cuestión de calificación jurídica. Y, por ello, al margen de ser una inferencia razonadamente justificada, precisa siempre de la audiencia al acusado (SSTEDH de 29 de marzo de 2016, asunto </w:t>
      </w:r>
      <w:r w:rsidRPr="005728DD">
        <w:rPr>
          <w:i/>
        </w:rPr>
        <w:t>Gómez Olmeda c. España</w:t>
      </w:r>
      <w:r>
        <w:t xml:space="preserve">; 13 de junio de 2017, asunto </w:t>
      </w:r>
      <w:r w:rsidRPr="005728DD">
        <w:rPr>
          <w:i/>
        </w:rPr>
        <w:t>Atutxa Mendiola c. España</w:t>
      </w:r>
      <w:r>
        <w:t>, 13 de marzo de 2018, asunt</w:t>
      </w:r>
      <w:r w:rsidRPr="005728DD">
        <w:rPr>
          <w:i/>
        </w:rPr>
        <w:t>o Vilches Coronado y otros c. Espa</w:t>
      </w:r>
      <w:r>
        <w:t>ña; y 24 de septiembre de 2019, asunt</w:t>
      </w:r>
      <w:r w:rsidRPr="005728DD">
        <w:rPr>
          <w:i/>
        </w:rPr>
        <w:t>o Camacho Camacho c. Espa</w:t>
      </w:r>
      <w:r>
        <w:t>ña.</w:t>
      </w:r>
    </w:p>
    <w:p w:rsidR="005728DD" w:rsidRDefault="005728DD" w:rsidP="005728DD">
      <w:pPr>
        <w:pStyle w:val="TextoNormal"/>
      </w:pPr>
    </w:p>
    <w:p w:rsidR="005728DD" w:rsidRDefault="005728DD" w:rsidP="005728DD">
      <w:pPr>
        <w:pStyle w:val="TextoNormal"/>
      </w:pPr>
      <w:r>
        <w:t xml:space="preserve">Como ha señalado de modo reciente la sentencia 149/2019, de 25 de noviembre, en palabras del Tribunal Europeo de Derechos Humanos, “cuando el razonamiento de un tribunal </w:t>
      </w:r>
      <w:r>
        <w:lastRenderedPageBreak/>
        <w:t xml:space="preserve">se basa en elementos subjetivos, […] es imposible proceder a la valoración jurídica del comportamiento del acusado sin haber tratado previamente de probar la realidad de dicho comportamiento, lo que implica necesariamente la comprobación de la intencionalidad del acusado en relación con los hechos que le son imputados” (por todas, asunto </w:t>
      </w:r>
      <w:r w:rsidRPr="005728DD">
        <w:rPr>
          <w:i/>
        </w:rPr>
        <w:t>Lacadena Calero c. España</w:t>
      </w:r>
      <w:r>
        <w:t>, § 47). O, dicho con nuestras propias palabras,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(STC 125/2017, FJ 6)”.</w:t>
      </w:r>
    </w:p>
    <w:p w:rsidR="005728DD" w:rsidRDefault="005728DD" w:rsidP="005728DD">
      <w:pPr>
        <w:pStyle w:val="TextoNormal"/>
      </w:pPr>
    </w:p>
    <w:p w:rsidR="005728DD" w:rsidRDefault="005728DD" w:rsidP="005728DD">
      <w:pPr>
        <w:pStyle w:val="TextoNormal"/>
      </w:pPr>
      <w:r>
        <w:t>4.3. En mi opinión, la aplicación de los criterios expuestos al presente caso permite apreciar la existencia de la vulneración del derecho a un proceso con todas las garantías y del derecho de defensa (art. 24.2 CE), debido a la estimación realizada en la sentencia de casación recurrida de la concurrencia del elemento subjetivo del delito imputado: la intención de los acusados de impedir el normal desarrollo de la actividad parlamentaria.</w:t>
      </w:r>
    </w:p>
    <w:p w:rsidR="005728DD" w:rsidRDefault="005728DD" w:rsidP="005728DD">
      <w:pPr>
        <w:pStyle w:val="TextoNormal"/>
      </w:pPr>
    </w:p>
    <w:p w:rsidR="005728DD" w:rsidRDefault="005728DD" w:rsidP="005728DD">
      <w:pPr>
        <w:pStyle w:val="TextoNormal"/>
      </w:pPr>
      <w:r>
        <w:t>Tal y como expresan los demandantes y sostiene el Ministerio Fiscal en las alegaciones presentadas en este proceso constitucional, hemos de tener en cuenta que la doble afirmación realizada por la Sala Penal del Tribunal Supremo para justificar su condena [FJ 5 G)] —según la cual la manifestación y los participantes en ella tenían como finalidad impedir la actividad parlamentaria, y que ese era el concreto fin de los recurrentes pues actuaban en el marco de una suerte de acuerdo general de cometer las acciones típicas—, supone dar por probados elementos que no se contemplan en el relato factico de instancia y que, además, difieren de la valoración radicalmente discrepante allí efectuada.</w:t>
      </w:r>
    </w:p>
    <w:p w:rsidR="005728DD" w:rsidRDefault="005728DD" w:rsidP="005728DD">
      <w:pPr>
        <w:pStyle w:val="TextoNormal"/>
      </w:pPr>
    </w:p>
    <w:p w:rsidR="005728DD" w:rsidRDefault="005728DD" w:rsidP="005728DD">
      <w:pPr>
        <w:pStyle w:val="TextoNormal"/>
      </w:pPr>
      <w:r>
        <w:t xml:space="preserve">Por lo demás, el examen por el Tribunal Supremo de esos tres elementos —finalidad de la manifestación, intención de los recurrentes y existencia de un acuerdo implícito— no puede ser considerado como un pronunciamiento referido a cuestiones de Derecho, tal y como sostiene la decisión mayoritaria, en tanto implica valorar hechos que son decisivos para la determinación de la culpabilidad de los demandantes sobre los que se apoya la afirmación del significado coactivo y típico de su conducta. Se trata de una cuestión sobre la que no existía pronunciamiento previo del tribunal de primera instancia (al igual que en el caso </w:t>
      </w:r>
      <w:r w:rsidRPr="005728DD">
        <w:rPr>
          <w:i/>
        </w:rPr>
        <w:t>Igual Coll c. España</w:t>
      </w:r>
      <w:r>
        <w:t>, § 35). En ningún momento la sentencia de la Audiencia Nacional aprecia como definitorio del fin de la manifestación el impedimento de la actividad parlamentaria, ni siquiera imputa a la concentración una objetiva eficacia intimidatoria. De hecho, asume la afirmación de los portavoces de las organizaciones convocantes según la cual “no pretendían paralizar la actividad parlamentaria pero sí tratar de impedir la aprobación del proyecto de presupuestos”.</w:t>
      </w:r>
    </w:p>
    <w:p w:rsidR="005728DD" w:rsidRDefault="005728DD" w:rsidP="005728DD">
      <w:pPr>
        <w:pStyle w:val="TextoNormal"/>
      </w:pPr>
    </w:p>
    <w:p w:rsidR="005728DD" w:rsidRDefault="005728DD" w:rsidP="005728DD">
      <w:pPr>
        <w:pStyle w:val="TextoNormal"/>
      </w:pPr>
      <w:r>
        <w:t xml:space="preserve">Con tal proceder, el Tribunal Supremo, en vez de devolver la causa al tribunal de instancia para que completara su análisis realizando el juicio de tipicidad, ha efectuado una nueva valoración de los hechos, a los que otorga un significado y un peso específico diverso al que les confirió la sentencia de instancia y, a partir de ellos, ha realizado un pronunciamiento afirmativo sobre la culpabilidad de los acusados previamente absueltos. En tales condiciones, su audiencia personal era constitucionalmente obligada. La afirmación del Tribunal Supremo admitida por la mayoría, según la cual se respeta el </w:t>
      </w:r>
      <w:r w:rsidRPr="005728DD">
        <w:rPr>
          <w:i/>
        </w:rPr>
        <w:t>factum</w:t>
      </w:r>
      <w:r>
        <w:t xml:space="preserve"> de instancia y se trata </w:t>
      </w:r>
      <w:r>
        <w:lastRenderedPageBreak/>
        <w:t>solo de una cuestión de subsunción estrictamente jurídica, no se compadece con la dimensión de su intervención, donde —cuando menos— se produce una modificación inferencial del elemento subjetivo del delito que lleva a afirmar la culpabilidad de los recurrentes, por más que no se modifiquen explícitamente los hechos probados.</w:t>
      </w:r>
    </w:p>
    <w:p w:rsidR="005728DD" w:rsidRDefault="005728DD" w:rsidP="005728DD">
      <w:pPr>
        <w:pStyle w:val="TextoNormal"/>
      </w:pPr>
    </w:p>
    <w:p w:rsidR="005728DD" w:rsidRDefault="005728DD" w:rsidP="005728DD">
      <w:pPr>
        <w:pStyle w:val="TextoNormal"/>
      </w:pPr>
      <w:r>
        <w:t>En definitiva, tal y como concluimos en la STC 146/2017, de 14 de diciembre, FJ 8, para afirmar su culpabilidad, el razonamiento del Tribunal Supremo se extendió también en este caso a evaluar la intención de los acusados, que se infiere de los hechos probados completados y reinterpretados, por lo que la cuestión no podía ser resuelta sin darles la posibilidad de ser oídos personalmente.</w:t>
      </w:r>
    </w:p>
    <w:p w:rsidR="005728DD" w:rsidRDefault="005728DD" w:rsidP="005728DD">
      <w:pPr>
        <w:pStyle w:val="TextoNormal"/>
      </w:pPr>
    </w:p>
    <w:p w:rsidR="005728DD" w:rsidRDefault="005728DD" w:rsidP="005728DD">
      <w:pPr>
        <w:pStyle w:val="TextoNormal"/>
      </w:pPr>
      <w:r>
        <w:t>En consecuencia, considero que debía haber sido estimada la vulneración denunciada del derecho a un proceso con todas las garantías en relación con el derecho de defensa, de la que se sigue necesariamente en el caso actual, de conformidad con la doctrina jurisprudencial , la consiguiente vulneración del derecho a la presunción de inocencia, ya que la condena dictada en casación se fundamenta, de modo esencial y exclusivo, en la reconsideración de la actividad probatoria practicada en la primera instancia, para declarar la concurrencia de un elemento subjetivo del tipo que no había sido apreciado anteriormente por el tribunal sentenciador.</w:t>
      </w:r>
    </w:p>
    <w:p w:rsidR="005728DD" w:rsidRDefault="005728DD" w:rsidP="005728DD">
      <w:pPr>
        <w:pStyle w:val="TextoNormal"/>
      </w:pPr>
    </w:p>
    <w:p w:rsidR="005728DD" w:rsidRDefault="005728DD" w:rsidP="005728DD">
      <w:pPr>
        <w:pStyle w:val="TextoNormal"/>
      </w:pPr>
      <w:r>
        <w:t>En conclusión, mi discrepancia se extiende a la valoración que la mayoría hace de los tres motivos de amparo que han sido expuestos: entiendo que la conducta de los acusados enjuiciada, por su menor lesividad, no puede ser considerada típica sin desbordar los límites interpretativos que a los órganos jurisdiccionales corresponden (art. 25.1 CE); considero que la pena privativa de libertad impuesta, en la cuantía que lo ha sido, es manifiestamente desproporcionada, dada la evidente relación de las conductas enjuiciadas con el contenido de los derechos de reunión y manifestación alegados (art. 21 CE); aprecio, por fin, que no era constitucionalmente posible acordar en casación la condena de los recurrentes sin vulnerar sus derechos a un proceso con todas las garantías y de defensa (art. 24.1 y 2 CE), pues su audiencia personal era exigida para poder imputarles una intención delictiva que no había sido apreciada en la instancia. El amparo solicitado debió ser otorgado y, como efecto, debió ser declarada la nulidad de la sentencia condenatoria dictada en casación.</w:t>
      </w:r>
    </w:p>
    <w:p w:rsidR="005728DD" w:rsidRDefault="005728DD" w:rsidP="005728DD">
      <w:pPr>
        <w:pStyle w:val="TextoNormal"/>
      </w:pPr>
    </w:p>
    <w:p w:rsidR="005728DD" w:rsidRDefault="005728DD" w:rsidP="005728DD">
      <w:pPr>
        <w:pStyle w:val="TextoNormal"/>
      </w:pPr>
      <w:r>
        <w:t>Madrid, a veinticuatro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7" w:name="SENTENCIA_2021_134"/>
      <w:r>
        <w:lastRenderedPageBreak/>
        <w:t>SENTENCIA 134/2021, de 24 de junio de 2021</w:t>
      </w:r>
    </w:p>
    <w:bookmarkEnd w:id="137"/>
    <w:p w:rsidR="005728DD" w:rsidRDefault="005728DD" w:rsidP="005728DD">
      <w:pPr>
        <w:pStyle w:val="TtuloResolucin"/>
      </w:pPr>
      <w:r>
        <w:t>Pleno</w:t>
      </w:r>
    </w:p>
    <w:p w:rsidR="005728DD" w:rsidRDefault="005728DD" w:rsidP="005728DD">
      <w:pPr>
        <w:pStyle w:val="TtuloBOE"/>
      </w:pPr>
      <w:r>
        <w:t>(BOE núm. 182, de 31 de julio de 2021)</w:t>
      </w:r>
    </w:p>
    <w:p w:rsidR="005728DD" w:rsidRDefault="005728DD" w:rsidP="005728DD">
      <w:pPr>
        <w:pStyle w:val="TextoNormalCentrado"/>
      </w:pPr>
      <w:r>
        <w:t>ECLI:ES:TC:2021:134</w:t>
      </w:r>
    </w:p>
    <w:p w:rsidR="005728DD" w:rsidRDefault="005728DD" w:rsidP="005728DD">
      <w:pPr>
        <w:pStyle w:val="TextoNormalCentrado"/>
      </w:pPr>
    </w:p>
    <w:p w:rsidR="005728DD" w:rsidRDefault="005728DD" w:rsidP="005728DD">
      <w:pPr>
        <w:pStyle w:val="SntesisDescriptiva"/>
      </w:pPr>
      <w:r>
        <w:t>Recurso de inconstitucionalidad 3883-2018. Interpuesto por más de cincuenta diputados del Grupo Parlamentario Popular en el Congreso en relación con el Real Decreto-ley 4/2018, de 22 de junio, por el que se concreta, con carácter urgente, el régimen jurídico aplicable a la designación del consejo de administración de la Corporación de Radio y Televisión Española y de su presidente.</w:t>
      </w:r>
    </w:p>
    <w:p w:rsidR="005728DD" w:rsidRDefault="005728DD" w:rsidP="005728DD">
      <w:pPr>
        <w:pStyle w:val="SntesisDescriptiva"/>
      </w:pPr>
    </w:p>
    <w:p w:rsidR="005728DD" w:rsidRDefault="005728DD" w:rsidP="005728DD">
      <w:pPr>
        <w:pStyle w:val="SntesisAnaltica"/>
      </w:pPr>
      <w:r>
        <w:t>Límites materiales de los decretos leyes: nulidad de los preceptos legales que detallan o precisan aspectos de la regulación preexistente y que permiten la sustitución del Senado por el Congreso en la elección de los miembros del consejo de administración de la Corporación de Radio y Televisión Española. Votos particulares.</w:t>
      </w:r>
    </w:p>
    <w:p w:rsidR="005728DD" w:rsidRDefault="005728DD" w:rsidP="005728DD">
      <w:pPr>
        <w:pStyle w:val="SntesisAnaltica"/>
      </w:pPr>
    </w:p>
    <w:p w:rsidR="005728DD" w:rsidRDefault="005728DD" w:rsidP="005728DD">
      <w:pPr>
        <w:pStyle w:val="Extracto"/>
      </w:pPr>
      <w:r>
        <w:t>1.</w:t>
      </w:r>
      <w:r>
        <w:tab/>
        <w:t>Doctrina sobre el presupuesto habilitante de extraordinaria y urgente necesidad del artículo 86 CE y su control externo (SSTC 34/2017 y 150/2017) [FJ 3].</w:t>
      </w:r>
    </w:p>
    <w:p w:rsidR="005728DD" w:rsidRDefault="005728DD" w:rsidP="005728DD">
      <w:pPr>
        <w:pStyle w:val="Extracto"/>
      </w:pPr>
    </w:p>
    <w:p w:rsidR="005728DD" w:rsidRDefault="005728DD" w:rsidP="005728DD">
      <w:pPr>
        <w:pStyle w:val="Extracto"/>
      </w:pPr>
      <w:r>
        <w:t>2.</w:t>
      </w:r>
      <w:r>
        <w:tab/>
        <w:t>Para analizar los motivos explicitados por el Gobierno para la aprobación del Real Decreto-ley, debemos acudir a la exposición de motivos así como al debate parlamentario de convalidación y, en su caso, al expediente de elaboración de la norma de urgencia (STC 152/2017) [FJ 3].</w:t>
      </w:r>
    </w:p>
    <w:p w:rsidR="005728DD" w:rsidRDefault="005728DD" w:rsidP="005728DD">
      <w:pPr>
        <w:pStyle w:val="Extracto"/>
      </w:pPr>
    </w:p>
    <w:p w:rsidR="005728DD" w:rsidRDefault="005728DD" w:rsidP="005728DD">
      <w:pPr>
        <w:pStyle w:val="Extracto"/>
      </w:pPr>
      <w:r>
        <w:t>3.</w:t>
      </w:r>
      <w:r>
        <w:tab/>
        <w:t>Las razones explicitadas por el Gobierno para justificar la extraordinaria y urgente necesidad de un real decreto-ley deben referirse a la totalidad de sus preceptos; su carencia determina la no concurrencia del presupuesto habilitante de la mencionada norma (SSTC 61/2018 y 125/2016) [FJ 3].</w:t>
      </w:r>
    </w:p>
    <w:p w:rsidR="005728DD" w:rsidRDefault="005728DD" w:rsidP="005728DD">
      <w:pPr>
        <w:pStyle w:val="Extracto"/>
      </w:pPr>
    </w:p>
    <w:p w:rsidR="005728DD" w:rsidRDefault="005728DD" w:rsidP="005728DD">
      <w:pPr>
        <w:pStyle w:val="Extracto"/>
      </w:pPr>
      <w:r>
        <w:t>4.</w:t>
      </w:r>
      <w:r>
        <w:tab/>
        <w:t>Doctrina sobre los límites materiales de la regulación por decreto-ley, sobre la afectación del art. 20.3 CE –en particular, la del control parlamentario de los medios de comunicación públicos-, y sobre el contenido esencial del derecho a la comunicación y a la opinión pública libre [FJ 4].</w:t>
      </w:r>
    </w:p>
    <w:p w:rsidR="005728DD" w:rsidRDefault="005728DD" w:rsidP="005728DD">
      <w:pPr>
        <w:pStyle w:val="Extracto"/>
      </w:pPr>
    </w:p>
    <w:p w:rsidR="005728DD" w:rsidRDefault="005728DD" w:rsidP="005728DD">
      <w:pPr>
        <w:pStyle w:val="Extracto"/>
      </w:pPr>
      <w:r>
        <w:t>5.</w:t>
      </w:r>
      <w:r>
        <w:tab/>
        <w:t>La cláusula restrictiva del art. 86.1 CE ‘no podrán afectar’ debe ser entendida de modo tal que ni reduzca a la nada el Decreto-ley, ni permita que por Decreto-ley se regule el régimen general de los derechos, deberes y libertades del título I CE, ni dé pie para que por Decreto-ley se vaya en contra del contenido o elementos esenciales de alguno de tales derechos (STC 111/1983) ) [FJ 4].</w:t>
      </w:r>
    </w:p>
    <w:p w:rsidR="005728DD" w:rsidRDefault="005728DD" w:rsidP="005728DD">
      <w:pPr>
        <w:pStyle w:val="Extracto"/>
      </w:pPr>
    </w:p>
    <w:p w:rsidR="005728DD" w:rsidRDefault="005728DD" w:rsidP="005728DD">
      <w:pPr>
        <w:pStyle w:val="Extracto"/>
      </w:pPr>
      <w:r>
        <w:t>6.</w:t>
      </w:r>
      <w:r>
        <w:tab/>
        <w:t xml:space="preserve">La lectura armonizada del artículo 1, en sus apartados 1º y 2º CE, y del artículo 20.3 CE, permite deducir que el control parlamentario que se exige de los medios de comunicación social dependientes de las administraciones públicas, es un control cualificado sobre un ente público que, no solo articula un servicio público de interés social manifiesto (SSTC 12/1982 o 73/2014), sino que gestiona medios de comunicación que han de ser calificados como vehículo esencial de información y participación política de los ciudadanos, de formación de la opinión pública, de cooperación con el sistema educativo, de difusión de  cultura española y de sus </w:t>
      </w:r>
      <w:r>
        <w:lastRenderedPageBreak/>
        <w:t>nacionalidades y regiones, así como medio capital para contribuir a que la libertad y la igualdad sean reales y efectivas (SSTC 206/1990 o 20/2018) [FJ 4].</w:t>
      </w:r>
    </w:p>
    <w:p w:rsidR="005728DD" w:rsidRDefault="005728DD" w:rsidP="005728DD">
      <w:pPr>
        <w:pStyle w:val="Extracto"/>
      </w:pPr>
    </w:p>
    <w:p w:rsidR="005728DD" w:rsidRDefault="005728DD" w:rsidP="005728DD">
      <w:pPr>
        <w:pStyle w:val="Extracto"/>
      </w:pPr>
      <w:r>
        <w:t>7.</w:t>
      </w:r>
      <w:r>
        <w:tab/>
        <w:t>En la potestad de control parlamentario que contempla el art. 20.3 CE se integra la facultad de las dos Cámaras parlamentarias para nombrar a los integrantes de los órganos de gobierno de los medios públicos de comunicación social. El concreto diseño normativo de las modalidades de control parlamentario bicameral sobre los medios de comunicación de titularidad pública, entre las que se encuentra la facultad de designación, corresponde abordarlo al legislador, respetando la autonomía parlamentaria [FJ 4].</w:t>
      </w:r>
    </w:p>
    <w:p w:rsidR="005728DD" w:rsidRDefault="005728DD" w:rsidP="005728DD">
      <w:pPr>
        <w:pStyle w:val="Extracto"/>
      </w:pPr>
    </w:p>
    <w:p w:rsidR="005728DD" w:rsidRDefault="005728DD" w:rsidP="005728DD">
      <w:pPr>
        <w:pStyle w:val="Extracto"/>
      </w:pPr>
      <w:r>
        <w:t>8.</w:t>
      </w:r>
      <w:r>
        <w:tab/>
        <w:t>Supera los límites materiales del art. 86.1 CE, la alteración de las modalidades de control diseñadas por el legislador en cumplimiento de las exigencias que derivan del art. 20.3 CE, si dicha alteración afecta a un aspecto sustancial del mismo como es la intervención de una de las Cámaras legislativas en el proceso de designación de los integrantes de los órganos de gobierno del medio público de comunicación [FJ 4].</w:t>
      </w:r>
    </w:p>
    <w:p w:rsidR="005728DD" w:rsidRDefault="005728DD" w:rsidP="005728DD">
      <w:pPr>
        <w:pStyle w:val="Extracto"/>
      </w:pPr>
    </w:p>
    <w:p w:rsidR="005728DD" w:rsidRDefault="005728DD" w:rsidP="005728DD">
      <w:pPr>
        <w:pStyle w:val="Extracto"/>
      </w:pPr>
      <w:r>
        <w:t>9.</w:t>
      </w:r>
      <w:r>
        <w:tab/>
        <w:t>En cuanto a la dimensión del presupuesto habilitante de la legislación de urgencia consistente en la existencia de conexión de sentido entre la situación de necesidad definida y las medidas que en el Real Decreto-ley se adoptan, se afirma un doble criterio o perspectiva para valorar la existencia de la conexión de sentido: el contenido, por un lado, y la estructura, por otro, de las disposiciones incluidas en el Real Decreto-ley controvertido (SSTC 29/1982 y 39/2013) [FJ 5].</w:t>
      </w:r>
    </w:p>
    <w:p w:rsidR="005728DD" w:rsidRDefault="005728DD" w:rsidP="005728DD">
      <w:pPr>
        <w:pStyle w:val="Extracto"/>
      </w:pPr>
    </w:p>
    <w:p w:rsidR="005728DD" w:rsidRDefault="005728DD" w:rsidP="005728DD">
      <w:pPr>
        <w:pStyle w:val="Extracto"/>
      </w:pPr>
      <w:r>
        <w:t>10.</w:t>
      </w:r>
      <w:r>
        <w:tab/>
        <w:t>El control de constitucionalidad de leyes y disposiciones que lleva a cabo este Tribunal es un control ‘en abstracto’ de la norma recurrida, desvinculado de cualquier consideración concreta sobre su aplicación a un específico supuesto de hecho y también de un control ‘objetivo’, pues la regla controvertida ha de ser enjuiciada en atención a su propio sentido (STC 139/2017) [FJ 6].</w:t>
      </w:r>
    </w:p>
    <w:p w:rsidR="005728DD" w:rsidRDefault="005728DD" w:rsidP="005728DD">
      <w:pPr>
        <w:pStyle w:val="Extracto"/>
      </w:pPr>
    </w:p>
    <w:p w:rsidR="005728DD" w:rsidRDefault="005728DD" w:rsidP="005728DD">
      <w:pPr>
        <w:pStyle w:val="Extracto"/>
      </w:pPr>
      <w:r>
        <w:t>11.</w:t>
      </w:r>
      <w:r>
        <w:tab/>
        <w:t>El intento de la Cámara legislativa de procurar el mayor consenso posible respecto de la iniciativa sometida a votación responde a una finalidad legítima en aras de proteger más eficazmente los derechos e intereses de las minorías (SSTC 179/1989 y 238/2012), en relación con la necesidad de garantizar y preservar el pluralismo político en tanto que valor superior del ordenamiento jurídico y estimular la razonable búsqueda del acuerdo respecto a quienes vayan a ser elegidos por las distintas fuerzas parlamentarias [FJ 6].</w:t>
      </w:r>
    </w:p>
    <w:p w:rsidR="005728DD" w:rsidRDefault="005728DD" w:rsidP="005728DD">
      <w:pPr>
        <w:pStyle w:val="Extracto"/>
      </w:pPr>
    </w:p>
    <w:p w:rsidR="005728DD" w:rsidRDefault="005728DD" w:rsidP="005728DD">
      <w:pPr>
        <w:pStyle w:val="Extracto"/>
      </w:pPr>
      <w:r>
        <w:t>12.</w:t>
      </w:r>
      <w:r>
        <w:tab/>
        <w:t>El art. 66 CE establece un sistema representativo bicameral, en cuya configuración se aprecia la existencia de diferencias entre ambas cámaras; diferencias que derivan, en unos casos del propio texto constitucional (respecto al Congreso, arts. 86 respecto a la convalidación de los Decretos-leyes, arts. 88 a 90 sobre el procedimiento legislativo, art. 99 acerca de la investidura del presidente del Gobierno y arts. 112 a 114 respecto a la cuestión de confianza y la moción de censura, y, por lo que hace al Senado, art. 155 en punto a la autorización al Gobierno a la que se refiere el mencionado precepto) y, en otras ocasiones, de la legislación aplicable al caso concreto [FJ 6].</w:t>
      </w:r>
    </w:p>
    <w:p w:rsidR="005728DD" w:rsidRDefault="005728DD" w:rsidP="005728DD">
      <w:pPr>
        <w:pStyle w:val="Extracto"/>
      </w:pPr>
    </w:p>
    <w:p w:rsidR="005728DD" w:rsidRDefault="005728DD" w:rsidP="005728DD">
      <w:pPr>
        <w:pStyle w:val="Extracto"/>
      </w:pPr>
      <w:r>
        <w:t>13.</w:t>
      </w:r>
      <w:r>
        <w:tab/>
        <w:t>Respecto a la vertiente de derecho al ejercicio o desempeño del cargo público representativo, solo poseen relevancia constitucional los derechos o facultades atribuidos al representante que pertenezcan al núcleo de su función representativa parlamentaria. La configuración de los posibles modos de articular el control parlamentario es una cuestión que ha de determinar el legislador, ateniéndose al art. 23.2 CE y a la doctrina de este Tribunal [FJ 6].</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y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3883-2018 interpuesto por más de cincuenta diputados del Grupo Parlamentario Popular en el Congreso de los Diputados contra el Real Decreto-ley 4/2018, de 22 de junio, por el que se concreta, con carácter urgente, el régimen jurídico aplicable a la designación del consejo de administración de la Corporación de Radio y Televisión Española y de su presidente. Ha comparecido y formulado alegaciones el abogado del Estado. Ha sido ponente la magistrada doña María Luisa Balaguer Callejón.</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presentado en el registro de este tribunal el día 6 de julio de 2018 más de cincuenta diputados del Grupo Parlamentario Popular en el Congreso de los Diputados interpusieron recurso de inconstitucionalidad contra el Real Decreto-ley 4/2018, de 22 de junio, por el que se concreta, con carácter urgente, el régimen jurídico aplicable a la designación del consejo de administración de la Corporación de Radio y Televisión Española (RTVE) y de su presidente.</w:t>
      </w:r>
    </w:p>
    <w:p w:rsidR="005728DD" w:rsidRDefault="005728DD" w:rsidP="005728DD">
      <w:pPr>
        <w:pStyle w:val="TextoNormal"/>
      </w:pPr>
    </w:p>
    <w:p w:rsidR="005728DD" w:rsidRDefault="005728DD" w:rsidP="005728DD">
      <w:pPr>
        <w:pStyle w:val="TextoNormal"/>
      </w:pPr>
      <w:r>
        <w:t>Los motivos del recurso son, sucintamente expuestos, los siguientes:</w:t>
      </w:r>
    </w:p>
    <w:p w:rsidR="005728DD" w:rsidRDefault="005728DD" w:rsidP="005728DD">
      <w:pPr>
        <w:pStyle w:val="TextoNormal"/>
      </w:pPr>
    </w:p>
    <w:p w:rsidR="005728DD" w:rsidRDefault="005728DD" w:rsidP="005728DD">
      <w:pPr>
        <w:pStyle w:val="TextoNormal"/>
      </w:pPr>
      <w:r>
        <w:t>Los diputados recurrentes alegan que la norma impugnada no respeta, ni en lo formal ni en lo material, los límites y condiciones que impone el art. 86 CE a la acción del Gobierno para los casos en que decida hacer uso de la potestad normativa para la elaboración de decretos-leyes. Además se entiende vulnerada la autonomía de las Cortes Generales consagrada en el art. 72 CE, en relación con otros preceptos constitucionales.</w:t>
      </w:r>
    </w:p>
    <w:p w:rsidR="005728DD" w:rsidRDefault="005728DD" w:rsidP="005728DD">
      <w:pPr>
        <w:pStyle w:val="TextoNormal"/>
      </w:pPr>
    </w:p>
    <w:p w:rsidR="005728DD" w:rsidRDefault="005728DD" w:rsidP="005728DD">
      <w:pPr>
        <w:pStyle w:val="TextoNormal"/>
      </w:pPr>
      <w:r>
        <w:t>Con carácter introductorio, la demanda expone la evolución normativa de la regulación de la Corporación RTVE, descripción en la que se hace una extensa cita de la STC 150/2017, de 21 de diciembre. Se alude también al contenido de la Ley 5/2017, de 29 de septiembre, por la que se modifica la Ley 17/2006, de 5 de junio, de la radio y la televisión de titularidad estatal, para recuperar la independencia de la Corporación RTVE y el pluralismo en la elección parlamentaria de sus órganos. Las disposiciones transitorias de dicha norma regulan un procedimiento para seleccionar los miembros del consejo de administración y el presidente de la Corporación, procedimiento que exigía que, en el plazo de los tres meses siguientes a la entrada en vigor de la Ley 5/2017, las Cortes Generales hubieran aprobado la normativa que contemplase la mencionada selección por concurso público con la participación de un comité de expertos designados por los grupos parlamentarios. Este comité debe hacer públicos sus informes de evaluación y remitirlos a la comisión competente para la correspondiente audiencia de los candidatos. La demanda menciona las actuaciones llevadas a cabo por las Cortes Generales para aprobar la ya mencionada normativa que regulase el procedimiento de selección de los miembros del consejo de administración y de su presidente. Con todo ello, se pretende poner de manifiesto que la situación de hecho de la Corporación previa a la aprobación del Real Decreto-ley 4/2018, de 22 de junio, no era equivalente a la que justificó la aprobación, en su día, del Real Decreto-ley 15/2012, de 20 de abril, al que se refería la STC 150/2017, de 21 de diciembre.</w:t>
      </w:r>
    </w:p>
    <w:p w:rsidR="005728DD" w:rsidRDefault="005728DD" w:rsidP="005728DD">
      <w:pPr>
        <w:pStyle w:val="TextoNormal"/>
      </w:pPr>
    </w:p>
    <w:p w:rsidR="005728DD" w:rsidRDefault="005728DD" w:rsidP="005728DD">
      <w:pPr>
        <w:pStyle w:val="TextoNormal"/>
      </w:pPr>
      <w:r>
        <w:t>Se resalta en la demanda que el día previo a la aprobación del Real Decreto-ley por el Consejo de Ministros, el 22 de junio de 2018, se correspondía con la fecha en la que se producía la expiración del mandato del presidente, y ese mismo día se producía también el transcurso de los seis años de mandato de cuatro de los consejeros, que podrían continuar en funciones, como lo estaban los cuatro restantes nombrados con anterioridad a 2012. Estos argumentos hacen entender a los recurrentes que no existe, en el momento inmediatamente previo a la aprobación del Real Decreto-ley impugnado, una situación prolongada en la que la Corporación se vea afectada por falta de miembros del consejo de administración, situación que sí habría concurrido en el año 2012, cuando se aprobó el Real Decreto-ley 1/2012 validado casi en su totalidad por la STC 150/2017.</w:t>
      </w:r>
    </w:p>
    <w:p w:rsidR="005728DD" w:rsidRDefault="005728DD" w:rsidP="005728DD">
      <w:pPr>
        <w:pStyle w:val="TextoNormal"/>
      </w:pPr>
    </w:p>
    <w:p w:rsidR="005728DD" w:rsidRDefault="005728DD" w:rsidP="005728DD">
      <w:pPr>
        <w:pStyle w:val="TextoNormal"/>
      </w:pPr>
      <w:r>
        <w:t>Tras esta exposición introductoria, la demanda resume el contenido de la norma impugnada, afirmando que el Real Decreto-ley tiene la doble finalidad de: (i) crear un régimen “provisional” que sustituye el régimen transitorio de la Ley 5/2017, lo que se traduce en la dicción del artículo único del Real Decreto-ley; y (ii) modificar el régimen transitorio de la Ley 5/2017, lo que se materializa en la disposición final primera.</w:t>
      </w:r>
    </w:p>
    <w:p w:rsidR="005728DD" w:rsidRDefault="005728DD" w:rsidP="005728DD">
      <w:pPr>
        <w:pStyle w:val="TextoNormal"/>
      </w:pPr>
    </w:p>
    <w:p w:rsidR="005728DD" w:rsidRDefault="005728DD" w:rsidP="005728DD">
      <w:pPr>
        <w:pStyle w:val="TextoNormal"/>
      </w:pPr>
      <w:r>
        <w:t xml:space="preserve">El régimen provisional determina que, no habiéndose nombrado a los miembros del consejo de administración de la Corporación RTVE según el procedimiento establecido en las disposiciones transitorias de la Ley 5/2017, las Cortes Generales elegirán a los consejeros que deberán sustituir a aquellos cuyo mandato ha expirado conforme a lo previsto en el Real Decreto-ley. En este nuevo marco, la previsión de nombramiento de régimen provisional reduce los plazos para efectuar los nombramientos de consejeros y del presidente respecto de los previstos en el régimen transitorio de la Ley 5/2017 (apartado 1 del artículo único). Se fija un plazo de quince días naturales para elegir a los diez miembros del consejo, eligiendo seis el Congreso y cuatro el Senado. Y un segundo plazo de quince días naturales una vez elegidos los anteriores, para designar al presidente “en caso de que haya finalizado </w:t>
      </w:r>
      <w:r>
        <w:lastRenderedPageBreak/>
        <w:t>el mandado del mismo”. También se modifica el régimen de mayorías en segunda votación respecto del que prevé la Ley 5/2017 (apartado 2 del artículo único). Se prevé una sustitución de la potestad de nombramiento del Senado, que se devuelve al Congreso en el caso de que se supere el plazo de quince días naturales antes mencionado y la Cámara Alta no haya efectuado el nombramiento de los consejeros que le corresponden (apartado 3 del artículo único). Se establece que los consejeros y presidente, así nombrados, ejercerán sus funciones hasta que se nombren nuevos consejeros y presidente por el procedimiento previsto en las disposiciones transitorias de la Ley 5/2017, aunque también se prevé que aquellos puedan ser renovados (apartados 4 y 5 del artículo único). Se eleva a categoría de ley la figura de un administrador provisional único para la Corporación, que se encarga de su administración y representación, poniendo así de manifiesto, a juicio de los recurrentes, la máxima injerencia del ejecutivo sobre las facultades de las Cortes Generales y de la propia Corporación (apartado 6 del artículo único).</w:t>
      </w:r>
    </w:p>
    <w:p w:rsidR="005728DD" w:rsidRDefault="005728DD" w:rsidP="005728DD">
      <w:pPr>
        <w:pStyle w:val="TextoNormal"/>
      </w:pPr>
    </w:p>
    <w:p w:rsidR="005728DD" w:rsidRDefault="005728DD" w:rsidP="005728DD">
      <w:pPr>
        <w:pStyle w:val="TextoNormal"/>
      </w:pPr>
      <w:r>
        <w:t>La modificación del régimen transitorio de la Ley 5/2017 (disposición final primera) se traduce en el desarrollo de una serie de previsiones específicas en relación con la composición, designación y funciones del comité de expertos que participará en el concurso público para la selección de los miembros del consejo de administración y presidente de la Corporación RTVE. Se mantiene la necesidad de aprobar la normativa que contemple la selección de los miembros del consejo de administración y del presidente de la Corporación, en el plazo de tres meses siguientes a la entrada en vigor de la Ley, así como la exigencia de que la selección se haga por concurso público y la participación de un denominado comité de expertos. Y ahora se añade la composición de ese comité y su designación, atribuyendo la competencia a la comisión mixta de control parlamentario de la Corporación y detallando su funcionamiento interno.</w:t>
      </w:r>
    </w:p>
    <w:p w:rsidR="005728DD" w:rsidRDefault="005728DD" w:rsidP="005728DD">
      <w:pPr>
        <w:pStyle w:val="TextoNormal"/>
      </w:pPr>
    </w:p>
    <w:p w:rsidR="005728DD" w:rsidRDefault="005728DD" w:rsidP="005728DD">
      <w:pPr>
        <w:pStyle w:val="TextoNormal"/>
      </w:pPr>
      <w:r>
        <w:t xml:space="preserve">La demanda reproduce la exposición de motivos del Real Decreto-ley 4/2018 y alude a la situación de hecho posterior a su aprobación, en particular a las votaciones que tuvieron lugar en el Congreso y en el Senado. Se menciona que, en la segunda votación en el Congreso, se añade la exigencia de que los candidatos sean presentados por, al menos, la mitad de los grupos parlamentarios. Esta exigencia provoca que los ciento treinta y un votos de diputados del grupo parlamentario popular a favor de una candidatura, hayan sido considerados nulos, por no venir esta candidatura presentada por, al menos, cuatro grupos parlamentarios, </w:t>
      </w:r>
      <w:r w:rsidRPr="005728DD">
        <w:rPr>
          <w:i/>
        </w:rPr>
        <w:t>ex</w:t>
      </w:r>
      <w:r>
        <w:t xml:space="preserve"> art. único apartado segundo del Real Decreto-ley 4/2018. Lo mismo ocurre en la segunda votación que tuvo lugar en el Senado. Se hace referencia a continuación a la intervención de la vicepresidenta del Gobierno y ministra de la Presidencia, Relaciones con las Cortes e Igualdad en el debate de convalidación del Real Decreto-ley 4/2018, de la cual, según los recurrentes, se deduce que los argumentos en los que se justifica la extraordinaria y urgente necesidad son: la situación de “vacío” o “inoperancia” por finalización del mandato de los consejeros y el presidente; que las Cortes Generales no habían cumplido en el plazo de tres meses el mandato de las disposiciones transitorias de la Ley 5/2017 y que se pretende evitar una situación que “causaría un daño grave a los profesionales y a los instrumentos públicos financiados con los recursos públicos de todos los españoles”.</w:t>
      </w:r>
    </w:p>
    <w:p w:rsidR="005728DD" w:rsidRDefault="005728DD" w:rsidP="005728DD">
      <w:pPr>
        <w:pStyle w:val="TextoNormal"/>
      </w:pPr>
    </w:p>
    <w:p w:rsidR="005728DD" w:rsidRDefault="005728DD" w:rsidP="005728DD">
      <w:pPr>
        <w:pStyle w:val="TextoNormal"/>
      </w:pPr>
      <w:r>
        <w:t>Tras lo anterior, la demanda pasa a exponer los fundamentos jurídicos del recurso.</w:t>
      </w:r>
    </w:p>
    <w:p w:rsidR="005728DD" w:rsidRDefault="005728DD" w:rsidP="005728DD">
      <w:pPr>
        <w:pStyle w:val="TextoNormal"/>
      </w:pPr>
    </w:p>
    <w:p w:rsidR="005728DD" w:rsidRDefault="005728DD" w:rsidP="005728DD">
      <w:pPr>
        <w:pStyle w:val="TextoNormal"/>
      </w:pPr>
      <w:r>
        <w:t>a) En primer lugar, la vulneración del art. 86.1 CE por ausencia del presupuesto habilitante, vicio que afectaría a la totalidad del Real Decreto-ley 4/2018.</w:t>
      </w:r>
    </w:p>
    <w:p w:rsidR="005728DD" w:rsidRDefault="005728DD" w:rsidP="005728DD">
      <w:pPr>
        <w:pStyle w:val="TextoNormal"/>
      </w:pPr>
    </w:p>
    <w:p w:rsidR="005728DD" w:rsidRDefault="005728DD" w:rsidP="005728DD">
      <w:pPr>
        <w:pStyle w:val="TextoNormal"/>
      </w:pPr>
      <w:r>
        <w:t>Tras citar doctrina constitucional sobre la concurrencia del presupuesto habilitante de los decretos-leyes (cita de la STC 152/2017), los recurrentes exponen las razones que les llevan a entender que ni la exposición de motivos, ni el debate de convalidación del Real Decreto-ley 4/2018 ofrecen argumentos suficientes de la existencia de extraordinaria y urgente necesidad, que justificase la aprobación de esta disposición. La demanda entiende que los tres argumentos aportados son los siguientes: (i) la situación de “vacío” o “inoperancia” del consejo por finalización del mandato de los consejeros y el presidente; (ii) que las Cortes Generales no habían cumplido en el plazo de tres meses el mandato de la Ley 5/2017 en el sentido de elaborar la norma que hiciera posible la elección del nuevo consejo y (iii) que se pretende evitar una situación que “causaría un daño grave”.</w:t>
      </w:r>
    </w:p>
    <w:p w:rsidR="005728DD" w:rsidRDefault="005728DD" w:rsidP="005728DD">
      <w:pPr>
        <w:pStyle w:val="TextoNormal"/>
      </w:pPr>
    </w:p>
    <w:p w:rsidR="005728DD" w:rsidRDefault="005728DD" w:rsidP="005728DD">
      <w:pPr>
        <w:pStyle w:val="TextoNormal"/>
      </w:pPr>
      <w:r>
        <w:t>Pero a juicio de los recurrentes: (i) no existía una situación de bloqueo o de problemas de gestión de la Corporación RTVE, pues desde la entrada en vigor de la Ley 5/2017 habían transcurrido nueve meses y en tal periodo seguía existiendo un presidente cuyo mandato finalizaba el 22 de junio. De esta manera el Ejecutivo, en la elaboración del Real Decreto-ley, no ha podido evaluar situación alguna real de ineficacia o parálisis de funcionamiento del consejo por ausencia del presidente o similar, sino justamente lo contrario ya que la vida ordinaria de la sociedad ha seguido sus pautas normales; (ii) el procedimiento para la elección del nuevo consejo ya se había iniciado en las Cortes Generales destacando la creación de un grupo de trabajo, las reuniones de las mesas de Congreso y Senado, la solicitud de informes a la secretaria general del Congreso para conocer la pertinencia técnico-jurídica de propuestas de los partidos e incluso se llegó a aprobar una resolución por la mesa del Congreso para dar cumplimiento al mandato legal; (iii) no existe una situación real actual de daño, pues la Corporación ha seguido su normal curso con la presentación de las cuentas anuales, y el cumplimiento de las obligaciones de servicio público establecidas en la Ley.</w:t>
      </w:r>
    </w:p>
    <w:p w:rsidR="005728DD" w:rsidRDefault="005728DD" w:rsidP="005728DD">
      <w:pPr>
        <w:pStyle w:val="TextoNormal"/>
      </w:pPr>
    </w:p>
    <w:p w:rsidR="005728DD" w:rsidRDefault="005728DD" w:rsidP="005728DD">
      <w:pPr>
        <w:pStyle w:val="TextoNormal"/>
      </w:pPr>
      <w:r>
        <w:t>Adicionalmente, los recurrentes citan los mecanismos legales ya previstos en el ordenamiento para solventar eventuales situaciones de ineficacia de los órganos de administración de la Corporación, tales como la prórroga del mandato de los consejeros, la sustitución del presidente en caso de vacante o ausencia o el nombramiento por la junta general de accionistas de un administrador único.</w:t>
      </w:r>
    </w:p>
    <w:p w:rsidR="005728DD" w:rsidRDefault="005728DD" w:rsidP="005728DD">
      <w:pPr>
        <w:pStyle w:val="TextoNormal"/>
      </w:pPr>
    </w:p>
    <w:p w:rsidR="005728DD" w:rsidRDefault="005728DD" w:rsidP="005728DD">
      <w:pPr>
        <w:pStyle w:val="TextoNormal"/>
      </w:pPr>
      <w:r>
        <w:t>La demanda expone también una serie de argumentos sobre la inadecuación de las medidas adoptadas, para atender a una anomalía como la que se pretende describir en la exposición de motivos del Real Decreto-ley 4/2018 con el objeto de justificar la existencia de presupuesto habilitante. La finalidad de garantizar el pluralismo en el nombramiento de la Corporación, a fin de recuperar su independencia, no se puede conseguir con los breves plazos y las mayorías impuestas por la norma y, mucho menos, con la sustitución de la regla de la proporcionalidad propia de las decisiones de las cámaras, por la de conferir igual importancia a los grupos parlamentarios, sin importar su composición y peso.</w:t>
      </w:r>
    </w:p>
    <w:p w:rsidR="005728DD" w:rsidRDefault="005728DD" w:rsidP="005728DD">
      <w:pPr>
        <w:pStyle w:val="TextoNormal"/>
      </w:pPr>
    </w:p>
    <w:p w:rsidR="005728DD" w:rsidRDefault="005728DD" w:rsidP="005728DD">
      <w:pPr>
        <w:pStyle w:val="TextoNormal"/>
      </w:pPr>
      <w:r>
        <w:t xml:space="preserve">Por último, el recurso se opone a que, en el hipotético caso de que existiera presupuesto habilitante para aprobar el art. único del Real Decreto-ley 4/2018, pudiera entenderse que una reforma de la disposición transitoria segunda de la Ley 5/2017, que no va a ser aplicable de manera inmediata para elegir consejeros, dada la existencia del art. único precedente, pueda vincularse a la extraordinaria y urgente necesidad requerida para aprobar un Real Decreto-ley. El contenido de la modificación de la disposición transitoria segunda no </w:t>
      </w:r>
      <w:r>
        <w:lastRenderedPageBreak/>
        <w:t>atiende a las necesidades que supuestamente advierte el Ejecutivo y no tendría conexión con el presupuesto habilitante.</w:t>
      </w:r>
    </w:p>
    <w:p w:rsidR="005728DD" w:rsidRDefault="005728DD" w:rsidP="005728DD">
      <w:pPr>
        <w:pStyle w:val="TextoNormal"/>
      </w:pPr>
    </w:p>
    <w:p w:rsidR="005728DD" w:rsidRDefault="005728DD" w:rsidP="005728DD">
      <w:pPr>
        <w:pStyle w:val="TextoNormal"/>
      </w:pPr>
      <w:r>
        <w:t>b) En segundo lugar, se alega la vulneración del art. 86.1 CE por inobservancia de los límites materiales que impone el precepto, al resultar afectado el derecho fundamental contenido en el art. 20 CE, en particular en su apartado tercero (art. 20.3 CE) en relación con el art. 1.1 CE, en cuanto regula el pluralismo político. Este vicio se imputa por la demanda al apartado tercero del art. único en relación con el apartado primero del mismo artículo, al apartado sexto del art. único y a la disposición final primera del Real Decreto-ley 4/2018.</w:t>
      </w:r>
    </w:p>
    <w:p w:rsidR="005728DD" w:rsidRDefault="005728DD" w:rsidP="005728DD">
      <w:pPr>
        <w:pStyle w:val="TextoNormal"/>
      </w:pPr>
    </w:p>
    <w:p w:rsidR="005728DD" w:rsidRDefault="005728DD" w:rsidP="005728DD">
      <w:pPr>
        <w:pStyle w:val="TextoNormal"/>
      </w:pPr>
      <w:r>
        <w:t>La demanda entiende que la regulación mencionada vulnera, por contenerse en un decreto-ley, los límites materiales que el art. 86.1 CE impone, porque estos preceptos se refieren al pluralismo interno de los medios de comunicación de titularidad pública, característica que se configura como una exigencia organizativa derivada de la dimensión jurídico-objetiva de las libertades de comunicación, consagradas en el art. 20.1 CE, que se hace posible y se positiviza expresamente en el art. 20.3 CE, para consolidar la existencia de una opinión pública libre. Considera así que, además de constituir una base inescindible de las libertades constitucionalmente garantizadas en el art. 20.1 CE, este precepto contiene una reserva de ley y un mandato objetivo al legislador para que se regule el control parlamentario y garantice el acceso de los grupos sociales y políticos significativos. Esa reserva supone, a juicio de los recurrentes, una exigencia adicional sobre las potestades del ejecutivo para regular esta cuestión por decreto-ley, por razón de la configuración excepcional y naturaleza de este tipo de normas y la limitación material que tienen.</w:t>
      </w:r>
    </w:p>
    <w:p w:rsidR="005728DD" w:rsidRDefault="005728DD" w:rsidP="005728DD">
      <w:pPr>
        <w:pStyle w:val="TextoNormal"/>
      </w:pPr>
    </w:p>
    <w:p w:rsidR="005728DD" w:rsidRDefault="005728DD" w:rsidP="005728DD">
      <w:pPr>
        <w:pStyle w:val="TextoNormal"/>
      </w:pPr>
      <w:r>
        <w:t>La demanda menciona las SSTC 150/2017 y 103/2017, y pone de relieve las diferencias entre la legislación impugnada en los procedimientos que resultan en aquellos pronunciamientos, y la que actualmente es objeto de recurso, para concluir afirmando que la intensidad legislativa que introducen las novedades del apartado 3, en relación con el apartado 1, y el apartado 6 del art. único, así como la disposición final primera, apartado 1, párrafo 3, sobrepasan los límites impuestos al decreto-ley para regular el artículo 20.3 CE. Y esto sería así porque: (i) suprimen el control parlamentario, que el Senado debe hacer en aplicación del art. 20.3 CE sobre el medio público de comunicación social que es la Corporación RTVE a través del nombramiento de los miembros del consejo de administración que le corresponden, al ser la Cámara Alta sustituida por el Congreso en caso de no llegar a acuerdo para elegir los candidatos que corresponden al Senado; (ii) suprimen el control parlamentario del Congreso y del Senado, por medio de la sustitución de ambas Cámaras en la determinación del candidato propuesto como administrador único por parte del ejecutivo, eliminando el control parlamentario del Senado en la elección de dicho candidato; (iii) regulan la forma de organizar la Comisión Mixta de Control Parlamentario de la Corporación RTVE y sus sociedades, descendiendo al detalle en cuanto que se determinan la forma de proposición de los expertos, las votaciones sobre los mismos, y la asignación a los grupos parlamentarios de una posición determinante en la elección.</w:t>
      </w:r>
    </w:p>
    <w:p w:rsidR="005728DD" w:rsidRDefault="005728DD" w:rsidP="005728DD">
      <w:pPr>
        <w:pStyle w:val="TextoNormal"/>
      </w:pPr>
    </w:p>
    <w:p w:rsidR="005728DD" w:rsidRDefault="005728DD" w:rsidP="005728DD">
      <w:pPr>
        <w:pStyle w:val="TextoNormal"/>
      </w:pPr>
      <w:r>
        <w:t xml:space="preserve">c) En tercer lugar, se argumenta que la disposición final primera vulnera el art. 86.1 CE por inobservancia de los límites materiales que impone el precepto, al resultar afectadas, como instituciones básicas del Estado, el Congreso de los Diputados y el Senado (arts. 72, 66 y 75 CE). El vicio de inconstitucionalidad se vincula a la vulneración del límite material impuesto en el art. 86.1 CE, en la medida en que se regulan instituciones básicas del Estado, </w:t>
      </w:r>
      <w:r>
        <w:lastRenderedPageBreak/>
        <w:t>no ya la Corporación RTVE, sino el funcionamiento interno, en comisión, del Congreso y Senado, atribuyendo reglas respecto de dicho funcionamiento y descendiendo a detalles de autonomía, más propia de los Reglamentos respectivos, e, incluso, de las mesas. Por esta razón se puede imputar a la disposición final primera la vulneración del art. 66 CE, en relación con el art. 75 CE, y con las resoluciones de las mesas del Congreso de los Diputados y del Senado de 27 y 28 de septiembre de 2016, sobre composición de las comisiones mixtas del Congreso y del Senado.</w:t>
      </w:r>
    </w:p>
    <w:p w:rsidR="005728DD" w:rsidRDefault="005728DD" w:rsidP="005728DD">
      <w:pPr>
        <w:pStyle w:val="TextoNormal"/>
      </w:pPr>
    </w:p>
    <w:p w:rsidR="005728DD" w:rsidRDefault="005728DD" w:rsidP="005728DD">
      <w:pPr>
        <w:pStyle w:val="TextoNormal"/>
      </w:pPr>
      <w:r>
        <w:t>d) En cuarto lugar, sostienen los demandantes que los apartados primero, párrafos primero y segundo, este último en relación con el apartado tercero, y el apartado sexto del art. único son contrarios al art. 72 CE en conexión con el art. 23.2 CE, por invadir la autonomía de las Cortes Generales, y en particular del Senado, por supresión absoluta de sus funciones.</w:t>
      </w:r>
    </w:p>
    <w:p w:rsidR="005728DD" w:rsidRDefault="005728DD" w:rsidP="005728DD">
      <w:pPr>
        <w:pStyle w:val="TextoNormal"/>
      </w:pPr>
    </w:p>
    <w:p w:rsidR="005728DD" w:rsidRDefault="005728DD" w:rsidP="005728DD">
      <w:pPr>
        <w:pStyle w:val="TextoNormal"/>
      </w:pPr>
      <w:r>
        <w:t>Los demandantes consideran que la regulación impugnada hurta tanto al Congreso como al Senado, pero fundamentalmente a este último, la autonomía constitucional que le es propia, así como el ejercicio de todo control parlamentario, por la vía de la intervención en la selección de los miembros del consejo de administración y el presidente de la Corporación RTVE. Se pone de relieve que el apartado primero del art. único, hace desaparecer la intervención del Senado, puesto que si este no llega a un acuerdo es sustituido por el Congreso, lo que hace irrelevante la intervención del Senado en la elección, como ha demostrado la práctica sucesiva a la aprobación de la norma.</w:t>
      </w:r>
    </w:p>
    <w:p w:rsidR="005728DD" w:rsidRDefault="005728DD" w:rsidP="005728DD">
      <w:pPr>
        <w:pStyle w:val="TextoNormal"/>
      </w:pPr>
    </w:p>
    <w:p w:rsidR="005728DD" w:rsidRDefault="005728DD" w:rsidP="005728DD">
      <w:pPr>
        <w:pStyle w:val="TextoNormal"/>
      </w:pPr>
      <w:r>
        <w:t>La misma mediatización de la intervención parlamentaria vendría dada por la previsión de que el Gobierno pueda designar un administrador único. Supone que, incluso si el Senado hubiera respetado el plazo de quince días concedido y hubiera nombrado a sus candidatos, en el caso de que el Congreso no los hubiera nombrado, el ejecutivo tendría expedita la vía del nombramiento del administrador único, obviando de manera absoluta las facultades y autonomía del Senado.</w:t>
      </w:r>
    </w:p>
    <w:p w:rsidR="005728DD" w:rsidRDefault="005728DD" w:rsidP="005728DD">
      <w:pPr>
        <w:pStyle w:val="TextoNormal"/>
      </w:pPr>
    </w:p>
    <w:p w:rsidR="005728DD" w:rsidRDefault="005728DD" w:rsidP="005728DD">
      <w:pPr>
        <w:pStyle w:val="TextoNormal"/>
      </w:pPr>
      <w:r>
        <w:t>e) Finalmente, el art. único, apartado segundo, último inciso, y el apartado primero de la disposición final primera serían contrarios al art. 72 CE en relación con el principio de proporcionalidad del art. 9.3 CE, el pluralismo político del art. 1.1 CE y el sistema democrático de las mayorías del art. 79 CE, en relación con el art. 23.2 CE y los arts. 51 del Reglamento del Senado y 40.1 del Reglamento del Congreso.</w:t>
      </w:r>
    </w:p>
    <w:p w:rsidR="005728DD" w:rsidRDefault="005728DD" w:rsidP="005728DD">
      <w:pPr>
        <w:pStyle w:val="TextoNormal"/>
      </w:pPr>
    </w:p>
    <w:p w:rsidR="005728DD" w:rsidRDefault="005728DD" w:rsidP="005728DD">
      <w:pPr>
        <w:pStyle w:val="TextoNormal"/>
      </w:pPr>
      <w:r>
        <w:t>Entienden los recurrentes que el requisito de que la propuesta de candidatura venga, al menos, de la mitad de los grupos parlamentarios de la Cámara que corresponda, altera el valor del voto, coartando la facultad de voto de los diputados y, por ende, el núcleo esencial del 23.2 CE, puesto que no solo se les exige, para que su voto sea válido, que se produzca en los términos reglamentariamente establecidos en la Cámara en la que se emite, sino que, además, se les pone una barrera adicional para que su “opinión”, la emisión de la voluntad, que al fin y al cabo es representación de la voluntad de la soberanía nacional, cumpla con el requisito de estar avalada por otros grupos parlamentarios. Tal ingeniería jurídica no es fruto de la necesidad de consenso y aumento de mayorías, sino de una alteración de las reglas democráticas en beneficio de una candidatura que, en principio, no alcanzaría la mayoría.</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Por providencia de 18 de septiembre de 2018, el Pleno del tribunal, a propuesta de la sección segunda, acordó admitir a trámite el recurso de inconstitucionalidad; dar traslado de </w:t>
      </w:r>
      <w:r>
        <w:lastRenderedPageBreak/>
        <w:t>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5728DD" w:rsidRDefault="005728DD" w:rsidP="005728DD">
      <w:pPr>
        <w:pStyle w:val="TextoNormal"/>
      </w:pPr>
    </w:p>
    <w:p w:rsidR="005728DD" w:rsidRDefault="005728DD" w:rsidP="005728DD">
      <w:pPr>
        <w:pStyle w:val="TextoNormal"/>
      </w:pPr>
      <w:r w:rsidRPr="005728DD">
        <w:rPr>
          <w:rStyle w:val="NumeroAFNegritaCaracter"/>
        </w:rPr>
        <w:t>3</w:t>
      </w:r>
      <w:r>
        <w:t>. Mediante escrito registrado el día 27 de septiembre de 2018, el abogado del Estado, en la representación que ostenta, comparece en el proceso y solicita se le conceda prórroga del plazo para formular alegaciones. Petición a la que accedió el Pleno del tribunal el día 28 de septiembre de 2018, prorrogándole en ocho días el plazo de alegaciones inicialmente conferido.</w:t>
      </w:r>
    </w:p>
    <w:p w:rsidR="005728DD" w:rsidRDefault="005728DD" w:rsidP="005728DD">
      <w:pPr>
        <w:pStyle w:val="TextoNormal"/>
      </w:pPr>
    </w:p>
    <w:p w:rsidR="005728DD" w:rsidRDefault="005728DD" w:rsidP="005728DD">
      <w:pPr>
        <w:pStyle w:val="TextoNormal"/>
      </w:pPr>
      <w:r w:rsidRPr="005728DD">
        <w:rPr>
          <w:rStyle w:val="NumeroAFNegritaCaracter"/>
        </w:rPr>
        <w:t>4</w:t>
      </w:r>
      <w:r>
        <w:t>. Por escritos registrados en este tribunal el 1 y 3 de octubre de 2018, respectivamente, la presidenta del Congreso de los Diputados y el presidente del Senado comunican el acuerdo de las mesas de las Cámaras de personarse en el proceso, ofreciendo su colaboración a los efectos del art. 88.1 LOTC.</w:t>
      </w:r>
    </w:p>
    <w:p w:rsidR="005728DD" w:rsidRDefault="005728DD" w:rsidP="005728DD">
      <w:pPr>
        <w:pStyle w:val="TextoNormal"/>
      </w:pPr>
    </w:p>
    <w:p w:rsidR="005728DD" w:rsidRDefault="005728DD" w:rsidP="005728DD">
      <w:pPr>
        <w:pStyle w:val="TextoNormal"/>
      </w:pPr>
      <w:r w:rsidRPr="005728DD">
        <w:rPr>
          <w:rStyle w:val="NumeroAFNegritaCaracter"/>
        </w:rPr>
        <w:t>5</w:t>
      </w:r>
      <w:r>
        <w:t>. El abogado del Estado formuló sus alegaciones, interesando la desestimación del recurso, el día 25 de octubre de 2018.</w:t>
      </w:r>
    </w:p>
    <w:p w:rsidR="005728DD" w:rsidRDefault="005728DD" w:rsidP="005728DD">
      <w:pPr>
        <w:pStyle w:val="TextoNormal"/>
      </w:pPr>
    </w:p>
    <w:p w:rsidR="005728DD" w:rsidRDefault="005728DD" w:rsidP="005728DD">
      <w:pPr>
        <w:pStyle w:val="TextoNormal"/>
      </w:pPr>
      <w:r>
        <w:t>Se refiere al contenido de la norma impugnada, la cual regula la forma de la designación parlamentaria de los vocales y presidente de la Corporación RTVE de manera provisional, mientras no se puedan aplicar las previsiones de la Ley 5/2017, por no haber sido desarrollado el régimen en ella contenido, al incumplirse los plazos previstos en las disposiciones transitorias de la citada Ley. Además, la disposición final primera modifica la redacción de la disposición transitoria segunda de la Ley 5/2017, detallando el régimen para elegir al comité de expertos que participará en el concurso de selección de los miembros del consejo de administración, innovando, respecto de la disposición hasta entonces vigente, el procedimiento de su elección, la emisión del correspondiente informe de evaluación previo a la elección posterior de los consejeros de la Corporación por las Cámaras y la celebración de las comparecencias previstas en la Ley. Menciona a continuación los motivos de impugnación, señalando, en relación con la impugnación particular de cada uno de los preceptos, que se alegará en su momento que los recurrentes no han cumplido con el requisito de fundamentar la impugnación de cada uno de los preceptos.</w:t>
      </w:r>
    </w:p>
    <w:p w:rsidR="005728DD" w:rsidRDefault="005728DD" w:rsidP="005728DD">
      <w:pPr>
        <w:pStyle w:val="TextoNormal"/>
      </w:pPr>
    </w:p>
    <w:p w:rsidR="005728DD" w:rsidRDefault="005728DD" w:rsidP="005728DD">
      <w:pPr>
        <w:pStyle w:val="TextoNormal"/>
      </w:pPr>
      <w:r>
        <w:t xml:space="preserve">A continuación, el escrito del abogado del Estado recoge doctrina constitucional acerca de los reales decretos-leyes y los requisitos exigidos por el art. 86 CE (con cita de la STC 142/2014). Conforme a dicha doctrina el Gobierno debe justificar que concurren los requisitos de extraordinaria y urgente necesidad y que las decisiones adoptadas son proporcionadas y tienen “conexión de sentido” con dichos presupuestos. Existe un razonable margen de discrecionalidad en favor del Gobierno para la apreciación del caso de extraordinaria y urgente necesidad. Por otra parte, es necesario advertir que el intento de definir jurídicamente una situación fáctica designada de manera abstracta, como es la extraordinaria y urgente necesidad, podría traer consigo la emisión de juicios de valor difícilmente encuadrables entre los términos del razonamiento jurisdiccional. La “apreciación de la extraordinaria y urgente necesidad” ha de haber sido explicitada y razonada. El tribunal ha de comprobar que </w:t>
      </w:r>
      <w:r>
        <w:lastRenderedPageBreak/>
        <w:t>“los motivos que, habiendo sido tenidos en cuenta por el Gobierno en su aprobación, hayan sido explicitados de una forma razonada”. Para lo cual, según el abogado del Estado, se ha partido “tradicionalmente del examen del propio preámbulo del Decreto-ley impugnado, del debate parlamentario de convalidación y de su propio expediente de elaboración para valorar conjuntamente los factores que han llevado al Gobierno a acudir a esta concreta fuente del Derecho”. El tribunal exige que exista una conexión de sentido o relación de adecuación entre la situación definida que constituye el presupuesto habilitante y las medidas que en el Decreto-ley se adoptan (cita STC 29/1982), de manera que estas últimas guarden una relación directa o de congruencia con la situación que se trata de afrontar (cita STC 182/1997).</w:t>
      </w:r>
    </w:p>
    <w:p w:rsidR="005728DD" w:rsidRDefault="005728DD" w:rsidP="005728DD">
      <w:pPr>
        <w:pStyle w:val="TextoNormal"/>
      </w:pPr>
    </w:p>
    <w:p w:rsidR="005728DD" w:rsidRDefault="005728DD" w:rsidP="005728DD">
      <w:pPr>
        <w:pStyle w:val="TextoNormal"/>
      </w:pPr>
      <w:r>
        <w:t>El abogado del Estado señala que el precedente más inmediato en este caso es la STC 150/2017, de 21 de diciembre, la cual consideró que concurrían, aun parcialmente, los presupuestos habilitantes que justifican la adopción de este tipo de normas. El Real Decreto-ley 4/2018, que guarda una unidad de sentido, puesto que todo él está ordenado a la correcta e inmediata constitución de los órganos rectores de la Corporación RTVE, se ajusta perfectamente a los requisitos exigidos por la Constitución y la doctrina del tribunal. En apoyo de esta afirmación se aporta la memoria abreviada del impacto normativo de la norma y el discurso de convalidación en el Congreso de los Diputados de la señora vicepresidenta del Gobierno y ministra de Presidencia e Igualdad. Estos documentos, junto con la propia exposición de motivos, permiten concluir que concurren los presupuestos exigidos en la Constitución, sintetizados en la necesidad de que la Corporación RTVE disponga de órganos de gobierno capaces de hacer frente a su gestión ante la falta de designación conforme al ordenamiento vigente, de los miembros del consejo y de su presidente por las Cortes y para evitar que esta situación afecte a la correcta prestación de un servicio público tan esencial. Para ello se reproduce la parte de la exposición de motivos en la que el Gobierno describe la situación de urgencia a la que trata de hacer frente, así como la explicación de la conexión o unidad de sentido entre las medidas adoptadas y la situación de extraordinaria y urgente necesidad.</w:t>
      </w:r>
    </w:p>
    <w:p w:rsidR="005728DD" w:rsidRDefault="005728DD" w:rsidP="005728DD">
      <w:pPr>
        <w:pStyle w:val="TextoNormal"/>
      </w:pPr>
    </w:p>
    <w:p w:rsidR="005728DD" w:rsidRDefault="005728DD" w:rsidP="005728DD">
      <w:pPr>
        <w:pStyle w:val="TextoNormal"/>
      </w:pPr>
      <w:r>
        <w:t>Para el abogado del Estado, es notorio que las Cortes Generales no habían procedido, en el plazo previsto por la Ley 5/2017, al nombramiento de los consejeros, independientemente de que se hubieran iniciado trámites parlamentarios. El hecho cierto es que el resultado impuesto por la norma, la selección de los consejeros y del presidente, no se había producido en el momento en que se dicta el Real Decreto-ley 4/2018 lo que creó la necesidad de establecer mecanismos para la selección de los órganos de dirección de la Corporación RTVE que permitan su funcionamiento normal. Precisamente, se trata de evitar que la Corporación y con ella el servicio público que gestiona sufra las consecuencias de la falta de órganos gestores, que es constatable en el momento en que se dicta. El presidente, al que se atribuyen legal y estatutariamente funciones de vital importancia para el funcionamiento de la Corporación tanto en el ámbito mercantil como, sobre todo, en la gestión del servicio público, cesó en sus funciones el día anterior a la adopción del Real Decreto-ley 4/2018. El origen de la situación es ajeno al Gobierno puesto que dependía de las Cortes Generales el establecimiento del régimen jurídico para la selección de los consejeros de la Corporación a través de un comité de expertos y, de entre ellos, al presidente conforme a lo previsto en la Ley 5/2017. En todo caso, es una norma de vigencia temporal, dado que solo será aplicable hasta el nombramiento de los consejeros elegidos de acuerdo con el procedimiento regulado en las disposiciones transitorias de la Ley 5/2017. Estas mismas razones se reiteran en la memoria abreviada de análisis del impacto normativo y en el debate de convalidación.</w:t>
      </w:r>
    </w:p>
    <w:p w:rsidR="005728DD" w:rsidRDefault="005728DD" w:rsidP="005728DD">
      <w:pPr>
        <w:pStyle w:val="TextoNormal"/>
      </w:pPr>
    </w:p>
    <w:p w:rsidR="005728DD" w:rsidRDefault="005728DD" w:rsidP="005728DD">
      <w:pPr>
        <w:pStyle w:val="TextoNormal"/>
      </w:pPr>
      <w:r>
        <w:t>Se trataría, por tanto, de un supuesto similar al de la STC 150/2017 en la que se declaró que el Real Decreto-ley es un instrumento constitucionalmente lícito para “superar la situación de parálisis en el funcionamiento de la Corporación RTVE”. Según se afirma, es evidente y notorio que una entidad tan importante como la Corporación RTVE debe disponer de un gobierno efectivo, el cual se encontraba objetiva y realmente amenazado a la entrada en vigor de la norma. Los miembros del consejo han finalizado su mandato y no han sido designados nuevos consejeros, lo que impide que se pueda producir la elección de un nuevo presidente. El presidente, por su parte, también ha finalizado su mandato, no siendo posible, a diferencia de los consejeros, que pueda ser prorrogado en esta función. La situación que se creó por la falta de ejecución de las previsiones de la Ley 5/2017 es la de una falta de gobierno de la Corporación que impide su normal funcionamiento porque no existe un órgano habilitado para adoptar todas las decisiones de tipo estratégico, así como las ordinarias exigidas por la Ley, incluidas las que afectan a la vertiente mercantil.</w:t>
      </w:r>
    </w:p>
    <w:p w:rsidR="005728DD" w:rsidRDefault="005728DD" w:rsidP="005728DD">
      <w:pPr>
        <w:pStyle w:val="TextoNormal"/>
      </w:pPr>
    </w:p>
    <w:p w:rsidR="005728DD" w:rsidRDefault="005728DD" w:rsidP="005728DD">
      <w:pPr>
        <w:pStyle w:val="TextoNormal"/>
      </w:pPr>
      <w:r>
        <w:t>El abogado del Estado reconoce que no se aborda específicamente la justificación de la modificación de la disposición transitoria de la Ley 5/2017 por la disposición final primera del Real Decreto-ley 4/2018, pero afirma que la unidad de sentido con el art. único es evidente. Ambas decisiones guardan conexión de sentido con el objetivo claro de que el nombramiento ordinario de los órganos directivos se produzca a la mayor brevedad, de modo que se limite al máximo el régimen provisional y excepcional, pero absolutamente necesario, que establece el art. único. Finalmente, se pone de relieve como prueba de la necesidad de fijar este régimen de nombramiento provisional que, más de tres meses después de la entrada en vigor de la norma, no se ha podido proceder al nombramiento del nuevo consejo y de su presidente. Frente a ello, tampoco puede alegarse que el estatuto mercantil de la Corporación prevea la sustitución del presidente por un administrador, porque el nombramiento del administrador en el ámbito mercantil aparece motivado por circunstancias que nada tienen que ver con la situación planteada en este caso.</w:t>
      </w:r>
    </w:p>
    <w:p w:rsidR="005728DD" w:rsidRDefault="005728DD" w:rsidP="005728DD">
      <w:pPr>
        <w:pStyle w:val="TextoNormal"/>
      </w:pPr>
    </w:p>
    <w:p w:rsidR="005728DD" w:rsidRDefault="005728DD" w:rsidP="005728DD">
      <w:pPr>
        <w:pStyle w:val="TextoNormal"/>
      </w:pPr>
      <w:r>
        <w:t>En conclusión, para el abogado del Estado, la urgencia en la aprobación de la norma impugnada estribaría en: la imposibilidad de aplicar la Ley 5/2017, al no haberse cumplido el contenido de sus disposiciones transitorias; la eventual situación de un presidente en funciones; el carácter temporal del Real Decreto-ley para garantizar la transición del sistema de la Ley 17/2006 a la Ley 5/2017 y la situación parlamentaria actual que ha obligado a que se haya recurrido finalmente al nombramiento de un administrador único.</w:t>
      </w:r>
    </w:p>
    <w:p w:rsidR="005728DD" w:rsidRDefault="005728DD" w:rsidP="005728DD">
      <w:pPr>
        <w:pStyle w:val="TextoNormal"/>
      </w:pPr>
    </w:p>
    <w:p w:rsidR="005728DD" w:rsidRDefault="005728DD" w:rsidP="005728DD">
      <w:pPr>
        <w:pStyle w:val="TextoNormal"/>
      </w:pPr>
      <w:r>
        <w:t xml:space="preserve">Las medidas que se adoptan también respetarían, a juicio del abogado del Estado, los límites materiales aplicables a este tipo de norma. A este respecto, recuerda, en primer lugar, que, como se declaró en la STC 150/2017, la Corporación RTVE no es una institución básica del Estado. Sí lo son el Congreso y el Senado pero el Real Decreto-ley 4/2018 no afecta a tales instituciones, pues solamente regula un régimen de elección y designación de los miembros del consejo y de su presidente, lo que, conforme a la citada STC 150/2017, no incide ni en la regulación del Senado como institución básica, ni en la reserva al reglamento parlamentario de los denominados </w:t>
      </w:r>
      <w:r w:rsidRPr="005728DD">
        <w:rPr>
          <w:i/>
        </w:rPr>
        <w:t>interna corporis acta</w:t>
      </w:r>
      <w:r>
        <w:t xml:space="preserve">. Tampoco puede verse en la regulación una vulneración de la posición institucional del Senado y una merma de principios fundamentales como el pluralismo político o el control parlamentario de los medios de comunicación públicos. Respecto a lo primero, el abogado del Estado sostiene que la primacía del Congreso si el Senado no nombra a los candidatos es compatible con un sistema de </w:t>
      </w:r>
      <w:r>
        <w:lastRenderedPageBreak/>
        <w:t>bicameralismo imperfecto. Para algunas decisiones la Constitución, y, en este caso, el Real Decreto-ley 4/2018 diseñan un sistema en el que existe una prevalencia del Congreso, prevalencia que, en otros ámbitos, se predica del Senado. Por otra parte, la exigencia de que los candidatos estén avalados por la mitad de los grupos parlamentarios se incluía ya en la regulación anterior y viene a establecer un plus democrático a la elección de dichos candidatos, que asegure un mayor consenso en su elección. Alegar que con ello se evita la prevalencia de determinados grupos parlamentarios que dispongan de mayor número de diputados o senadores es contrario al legítimo objetivo de que las decisiones se adopten con el mayor consenso posible, a lo que debe unirse el carácter abstracto del control de constitucionalidad de las leyes, que no permite que su constitucionalidad dependa de su aplicación a casos concretos.</w:t>
      </w:r>
    </w:p>
    <w:p w:rsidR="005728DD" w:rsidRDefault="005728DD" w:rsidP="005728DD">
      <w:pPr>
        <w:pStyle w:val="TextoNormal"/>
      </w:pPr>
    </w:p>
    <w:p w:rsidR="005728DD" w:rsidRDefault="005728DD" w:rsidP="005728DD">
      <w:pPr>
        <w:pStyle w:val="TextoNormal"/>
      </w:pPr>
      <w:r>
        <w:t>El abogado del Estado analiza a continuación los preceptos impugnados.</w:t>
      </w:r>
    </w:p>
    <w:p w:rsidR="005728DD" w:rsidRDefault="005728DD" w:rsidP="005728DD">
      <w:pPr>
        <w:pStyle w:val="TextoNormal"/>
      </w:pPr>
    </w:p>
    <w:p w:rsidR="005728DD" w:rsidRDefault="005728DD" w:rsidP="005728DD">
      <w:pPr>
        <w:pStyle w:val="TextoNormal"/>
      </w:pPr>
      <w:r>
        <w:t xml:space="preserve">Sobre el art. único, apartado primero, indica que no hay argumentos impugnatorios bastantes que sustenten la pretensión de los recurrentes. Específicamente respecto al párrafo segundo y la vulneración de los arts. 72 y 23 CE señala que la STC 150/2017 ha declarado que las normas de elección de los consejeros de la Corporación RTVE corresponden a la ley y no forman parte de los actos reservados al reglamento o a la autonomía parlamentaria por no ser </w:t>
      </w:r>
      <w:r w:rsidRPr="005728DD">
        <w:rPr>
          <w:i/>
        </w:rPr>
        <w:t>interna corporis acta</w:t>
      </w:r>
      <w:r>
        <w:t>. Por otra parte, la imposición de un plazo de quince días a las cámaras forma parte de lo que constitucionalmente puede hacer un real decreto-ley que persigue la resolución urgente del nombramiento de los órganos rectores de la Corporación. Y lo mismo cabe mencionar del párrafo tercero.</w:t>
      </w:r>
    </w:p>
    <w:p w:rsidR="005728DD" w:rsidRDefault="005728DD" w:rsidP="005728DD">
      <w:pPr>
        <w:pStyle w:val="TextoNormal"/>
      </w:pPr>
    </w:p>
    <w:p w:rsidR="005728DD" w:rsidRDefault="005728DD" w:rsidP="005728DD">
      <w:pPr>
        <w:pStyle w:val="TextoNormal"/>
      </w:pPr>
      <w:r>
        <w:t>En cuanto a la impugnación del aparado segundo de este mismo art. único, no plantea problemas de constitucionalidad el hecho de que se modifique la mayoría requerida para el nombramiento de los dos tercios a la mayoría absoluta, formando parte del ámbito que se atribuye al legislador el exigir una mayoría más o menos reforzada para la elección. El requisito de que proceda de la mitad de los grupos parlamentarios de la Cámara compensa la exigencia de una mayoría absoluta en lugar de la de dos tercios e incrementa el apoyo democrático en la elección del presidente.</w:t>
      </w:r>
    </w:p>
    <w:p w:rsidR="005728DD" w:rsidRDefault="005728DD" w:rsidP="005728DD">
      <w:pPr>
        <w:pStyle w:val="TextoNormal"/>
      </w:pPr>
    </w:p>
    <w:p w:rsidR="005728DD" w:rsidRDefault="005728DD" w:rsidP="005728DD">
      <w:pPr>
        <w:pStyle w:val="TextoNormal"/>
      </w:pPr>
      <w:r>
        <w:t>Acerca del apartado tercero, se alega que se trata de una medida excepcional y que cabe encuadrar dentro del ya mencionado bicameralismo imperfecto que caracteriza nuestro sistema. En todo caso, no hay en la Constitución ningún precepto que atribuya al Senado obligatoriamente la función de elegir parte de los consejeros de la Corporación RTVE, por lo que el legislador puede, en el ámbito de su configuración legal, adoptar esta decisión. Tampoco se incide en el art. 20.3 CE, puesto que el control parlamentario de los medios de titularidad pública no resulta afectado, ya que es el Congreso de los Diputados, y no el Gobierno u otra entidad, quien procede a la elección de estos consejeros, entre los presentados por el Senado.</w:t>
      </w:r>
    </w:p>
    <w:p w:rsidR="005728DD" w:rsidRDefault="005728DD" w:rsidP="005728DD">
      <w:pPr>
        <w:pStyle w:val="TextoNormal"/>
      </w:pPr>
    </w:p>
    <w:p w:rsidR="005728DD" w:rsidRDefault="005728DD" w:rsidP="005728DD">
      <w:pPr>
        <w:pStyle w:val="TextoNormal"/>
      </w:pPr>
      <w:r>
        <w:t>Por lo que hace a los apartados cuarto y quinto, el abogado del Estado señala que no existe argumentación. Y respecto del apartado sexto, afirma que se corresponde con los objetivos perseguidos por la norma. Se trata de atender, como recurso excepcional y subsidiario, al gobierno de la Corporación evitando el vacío que produciría la no elección de acuerdo con el sistema ordinario de los consejeros.</w:t>
      </w:r>
    </w:p>
    <w:p w:rsidR="005728DD" w:rsidRDefault="005728DD" w:rsidP="005728DD">
      <w:pPr>
        <w:pStyle w:val="TextoNormal"/>
      </w:pPr>
    </w:p>
    <w:p w:rsidR="005728DD" w:rsidRDefault="005728DD" w:rsidP="005728DD">
      <w:pPr>
        <w:pStyle w:val="TextoNormal"/>
      </w:pPr>
      <w:r>
        <w:lastRenderedPageBreak/>
        <w:t>En cuanto a la disposición final primera, indica que los párrafos primero y segundo del apartado 1 no innovan lo previsto en la disposición transitoria original. El párrafo tercero no afectaría a la autonomía de las Cámaras al regular la denominada comisión mixta de control parlamentario. Lo único que se hace es establecer el régimen de elección de los miembros del comité de expertos y la forma en la que han de evacuar sus informes, comité cuya constitución es necesaria para la elección de los consejeros, todo ello, además, en desarrollo de las previsiones legales que no quedan afectadas. Estos mismos argumentos son aplicables al apartado 2. Respecto al apartado 3 nada se alega, por lo que ha de quedar excluido del enjuiciamiento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6</w:t>
      </w:r>
      <w:r>
        <w:t>. Por providencia de 22 de junio de 2021, se señaló para deliberación y votación de la presente sentencia el día 24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de inconstitucionalidad y del pronunciamiento del tribunal</w:t>
      </w:r>
      <w:r>
        <w:t>.</w:t>
      </w:r>
    </w:p>
    <w:p w:rsidR="005728DD" w:rsidRDefault="005728DD" w:rsidP="005728DD">
      <w:pPr>
        <w:pStyle w:val="TextoNormal"/>
      </w:pPr>
    </w:p>
    <w:p w:rsidR="005728DD" w:rsidRDefault="005728DD" w:rsidP="005728DD">
      <w:pPr>
        <w:pStyle w:val="TextoNormal"/>
      </w:pPr>
      <w:r>
        <w:t>El objeto de la presente resolución es resolver el recurso de inconstitucionalidad interpuesto por más de cincuenta diputados del Grupo Parlamentario Popular en el Congreso de los Diputados contra el Real Decreto-ley 4/2018, de 22 de junio, por el que se concreta, con carácter urgente, el régimen jurídico aplicable a la designación del consejo de administración de la Corporación de Radio y Televisión Española y de su presidente.</w:t>
      </w:r>
    </w:p>
    <w:p w:rsidR="005728DD" w:rsidRDefault="005728DD" w:rsidP="005728DD">
      <w:pPr>
        <w:pStyle w:val="TextoNormal"/>
      </w:pPr>
    </w:p>
    <w:p w:rsidR="005728DD" w:rsidRDefault="005728DD" w:rsidP="005728DD">
      <w:pPr>
        <w:pStyle w:val="TextoNormal"/>
      </w:pPr>
      <w:r>
        <w:t>El Real Decreto-ley 4/2018 está formado por un art. único y dos disposiciones finales.</w:t>
      </w:r>
    </w:p>
    <w:p w:rsidR="005728DD" w:rsidRDefault="005728DD" w:rsidP="005728DD">
      <w:pPr>
        <w:pStyle w:val="TextoNormal"/>
      </w:pPr>
    </w:p>
    <w:p w:rsidR="005728DD" w:rsidRDefault="005728DD" w:rsidP="005728DD">
      <w:pPr>
        <w:pStyle w:val="TextoNormal"/>
      </w:pPr>
      <w:r>
        <w:t>El art. único se divide en seis apartados. Regula, con carácter temporal, un procedimiento excepcional para que las Cortes Generales elijan, en el plazo de quince días naturales desde la entrada en vigor del Real Decreto-ley 4/2018, a los diez consejeros previstos en el apartado 1 del art. 10 de la Ley 17/2006, de 5 de junio, de la radio y la televisión de titularidad estatal, de acuerdo con el reparto entre ambas Cámaras previsto en el apartado 1 del art. 11 de la misma Ley. Elección que se mantendrá hasta que se produzca el nombramiento de los miembros del consejo de administración y del presidente de la Corporación RTVE, de acuerdo con las disposiciones transitorias de la Ley 5/2017, de 29 de septiembre, por la que se modifica la Ley 17/2006. Asimismo, se prevé que, una vez elegidos los consejeros, el Congreso de los Diputados designe, en el mismo plazo de quince días naturales, al consejero que desempeñará el cargo de presidente de la Corporación, en el caso de que haya finalizado su mandato. La disposición final primera modifica la redacción de la disposición transitoria segunda de la Ley 5/2017, que regula la selección de los miembros del consejo de administración y del presidente de la Corporación RTVE por concurso público con la participación de un comité de expertos. La disposición final segunda fija la entrada en vigor de la norma el mismo día de su publicación en el “Boletín Oficial del Estado”.</w:t>
      </w:r>
    </w:p>
    <w:p w:rsidR="005728DD" w:rsidRDefault="005728DD" w:rsidP="005728DD">
      <w:pPr>
        <w:pStyle w:val="TextoNormal"/>
      </w:pPr>
    </w:p>
    <w:p w:rsidR="005728DD" w:rsidRDefault="005728DD" w:rsidP="005728DD">
      <w:pPr>
        <w:pStyle w:val="TextoNormal"/>
      </w:pPr>
      <w:r>
        <w:t xml:space="preserve">Los diputados recurrentes consideran que la totalidad de la norma incurre en inconstitucionalidad por carecer del presupuesto habilitante de la extraordinaria y urgente necesidad, vulnerando el art. 86.1 CE. Asimismo, se denuncia la infracción de los límites materiales que el art. 86.1 CE impone a este tipo de normas, al resultar afectado el art. 20.3 CE en relación con el art. 1.1 CE, en cuanto regula el pluralismo político. Este vicio se imputa por </w:t>
      </w:r>
      <w:r>
        <w:lastRenderedPageBreak/>
        <w:t>la demanda al apartado tercero del art. único en relación con el apartado primero del mismo artículo, al apartado sexto del art. único y a la disposición final primera del Real Decreto-ley 4/2018. Esta misma disposición final primera tampoco observaría los límites materiales que impone el art. 86.1 CE, al afectar al Congreso y al Senado, en tanto que instituciones básicas del Estado (arts. 72, 66 y 75 CE). Además, se alega la invasión de la autonomía de las Cortes Generales y, en particular, del Senado, por la supresión de sus funciones en relación con el control parlamentario de la Corporación, a través de la intervención en la selección de los miembros de su consejo de administración, con infracción del art. 72 en relación con el art. 23.2 CE. Queja que se predica del apartado primero, primer párrafo; del segundo párrafo del mismo precepto, en relación con el apartado tercero, y del apartado sexto, todos ellos del art. único del Real Decreto-ley 4/2018. Por último, determinadas previsiones del Real Decreto-ley 4/2018 serían contrarias al art. 72 CE en relación con el principio de proporcionalidad del art. 9.3 CE, respecto a la composición de las comisiones parlamentarias, el pluralismo político del art.1.1 CE y el sistema democrático de mayorías del art. 79 CE, en relación con el art. 23.2 CE y los arts. 51 del Reglamento del Senado y 40.1 del Reglamento del Congreso. Este motivo se refiere al art. único, apartado segundo, último inciso, y también se hace extensivo a la disposición final primera, apartado primero, del Real Decreto-ley 4/2018.</w:t>
      </w:r>
    </w:p>
    <w:p w:rsidR="005728DD" w:rsidRDefault="005728DD" w:rsidP="005728DD">
      <w:pPr>
        <w:pStyle w:val="TextoNormal"/>
      </w:pPr>
    </w:p>
    <w:p w:rsidR="005728DD" w:rsidRDefault="005728DD" w:rsidP="005728DD">
      <w:pPr>
        <w:pStyle w:val="TextoNormal"/>
      </w:pPr>
      <w:r>
        <w:t>El abogado del Estado ha negado las vulneraciones constitucionales indicadas, interesando la íntegra desestimación del recurso. Considera que concurre la situación de extraordinaria y urgente necesidad que exige el art. 86.1 CE, sin que tampoco se vulneren los límites materiales que derivan del citado precepto constitucional. La regulación impugnada tampoco sería contraria a la autonomía parlamentaria, en particular del Senado, a la que se refiere el art. 72 CE.</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Contenido de las disposiciones impugnadas</w:t>
      </w:r>
      <w:r>
        <w:t>.</w:t>
      </w:r>
    </w:p>
    <w:p w:rsidR="005728DD" w:rsidRDefault="005728DD" w:rsidP="005728DD">
      <w:pPr>
        <w:pStyle w:val="TextoNormal"/>
      </w:pPr>
    </w:p>
    <w:p w:rsidR="005728DD" w:rsidRDefault="005728DD" w:rsidP="005728DD">
      <w:pPr>
        <w:pStyle w:val="TextoNormal"/>
      </w:pPr>
      <w:r>
        <w:t>Antes de entrar a analizar las cuestiones sometidas a la consideración de este tribunal y dado que el Real Decreto-ley 4/2018 afecta a lo dispuesto en la Ley 5/2017, resulta necesario hacer referencia al contenido de esta última y a las modificaciones que se introducen por la norma objeto de este proceso (a). Es también conveniente mencionar los trámites parlamentarios que, en aplicación de dichos cambios, han tenido lugar tanto en el Congreso como en el Senado (b).</w:t>
      </w:r>
    </w:p>
    <w:p w:rsidR="005728DD" w:rsidRDefault="005728DD" w:rsidP="005728DD">
      <w:pPr>
        <w:pStyle w:val="TextoNormal"/>
      </w:pPr>
    </w:p>
    <w:p w:rsidR="005728DD" w:rsidRDefault="005728DD" w:rsidP="005728DD">
      <w:pPr>
        <w:pStyle w:val="TextoNormal"/>
      </w:pPr>
      <w:r>
        <w:t xml:space="preserve">A) La Ley 5/2017 reforma la Ley 17/2006 en lo relativo al número y a la forma de elección de los miembros del consejo de administración de la Corporación RTVE. También dispone un régimen transitorio según el cual, en el plazo de tres meses y con el fin de adaptar la composición del número de miembros del consejo de administración de la Corporación a lo previsto en la norma, el Congreso y el Senado debían proceder a la selección de los candidatos y a la posterior elección de un nuevo consejo de administración y de un nuevo presidente de la misma, en cuya designación, de no alcanzarse en una primera votación la mayoría de dos tercios de la Cámara respectiva, bastará la mayoría absoluta en votación efectuada quince días después. Por otra parte, la misma Ley prevé, en su disposición transitoria segunda, que las Cortes Generales aprobasen, en ese mismo plazo de tres meses siguientes a la entrada en vigor de la Ley 5/2017, la normativa que contemple la selección de los miembros del consejo de administración y del presidente de la Corporación por concurso </w:t>
      </w:r>
      <w:r>
        <w:lastRenderedPageBreak/>
        <w:t>público con la participación de un comité de expertos designados por los grupos parlamentarios. Este comité debía hacer públicos sus informes de evaluación y remitirlos a la comisión competente para la correspondiente audiencia de los candidatos, prevista en el art. 11.3 de la Ley 17/2006, redactado conforme a la Ley 5/2017 (“Los candidatos propuestos deberán comparecer previamente en audiencia pública en el Congreso y el Senado, en la forma que reglamentariamente se determine, con el fin de que ambas Cámaras puedan informarse de su idoneidad para el cargo”). El apartado 2 de la citada disposición transitoria prescribe que, en tanto no se apruebe esta normativa, la elección y las comparecencias se lleven a cabo con arreglo al procedimiento vigente.</w:t>
      </w:r>
    </w:p>
    <w:p w:rsidR="005728DD" w:rsidRDefault="005728DD" w:rsidP="005728DD">
      <w:pPr>
        <w:pStyle w:val="TextoNormal"/>
      </w:pPr>
    </w:p>
    <w:p w:rsidR="005728DD" w:rsidRDefault="005728DD" w:rsidP="005728DD">
      <w:pPr>
        <w:pStyle w:val="TextoNormal"/>
      </w:pPr>
      <w:r>
        <w:t>El régimen transitorio fijado en la Ley 5/2017 se ve afectado por el mecanismo provisional dispuesto en la norma objeto de este proceso en dos ámbitos.</w:t>
      </w:r>
    </w:p>
    <w:p w:rsidR="005728DD" w:rsidRDefault="005728DD" w:rsidP="005728DD">
      <w:pPr>
        <w:pStyle w:val="TextoNormal"/>
      </w:pPr>
    </w:p>
    <w:p w:rsidR="005728DD" w:rsidRDefault="005728DD" w:rsidP="005728DD">
      <w:pPr>
        <w:pStyle w:val="TextoNormal"/>
      </w:pPr>
      <w:r>
        <w:t>a) En primer lugar, el art. único dispone una serie de modificaciones en la forma de elección de los miembros del consejo de administración y del presidente de la Corporación RTVE hasta que dicho nombramiento se lleve a cabo con sujeción a las disposiciones transitorias de la Ley 5/2017. De lo previsto en la norma de urgencia se deriva la elección de los vocales en los quince días naturales desde la entrada en vigor del Real Decreto-ley, de acuerdo con lo dispuesto en los artículos 10.1 y 11.1 de la Ley 17/2006. En los quince días siguientes a la elección de los vocales, el Congreso designará de entre ellos al que ejercerá las funciones de presidente del consejo de administración y de la Corporación. Se prevé la aplicación del régimen de mayorías previsto en la disposición transitoria primera de la Ley 5/2017 (dos tercios en primera votación, y mayoría absoluta en la segunda), pero con la salvedad de que el plazo para proceder a la segunda votación es de cuarenta y ocho horas en lugar de quince días y la propuesta de candidatura, además de obtener la mayoría absoluta, deberá proceder de, al menos, la mitad de los grupos parlamentarios de la Cámara que corresponda. En el caso de que el Senado no elija a sus vocales con arreglo a este procedimiento, se dispone que, excepcionalmente, lo hará el Congreso, respetando las candidaturas ya presentadas en el Senado. El mandato de los consejeros y del presidente así elegidos finalizará cuando sean nombrados los consejeros y el presidente por el procedimiento de las disposiciones transitorias de la Ley 5/2017, sin perjuicio de que los elegidos de acuerdo con lo previsto en este artículo puedan ser renovados. Finalmente, caso de no ser posible designar a los vocales y al presidente con arreglo a los plazos y mayorías previstos en el Real Decreto-ley 4/2018, se prevé el nombramiento de un administrador provisional único por parte del Congreso, a propuesta del Gobierno. En todo caso, se requiere la aprobación del nombramiento por parte del Congreso de los Diputados por mayoría de dos tercios en primera votación, o por mayoría absoluta en una segunda votación celebrada en las cuarenta y ocho horas siguientes.</w:t>
      </w:r>
    </w:p>
    <w:p w:rsidR="005728DD" w:rsidRDefault="005728DD" w:rsidP="005728DD">
      <w:pPr>
        <w:pStyle w:val="TextoNormal"/>
      </w:pPr>
    </w:p>
    <w:p w:rsidR="005728DD" w:rsidRDefault="005728DD" w:rsidP="005728DD">
      <w:pPr>
        <w:pStyle w:val="TextoNormal"/>
      </w:pPr>
      <w:r>
        <w:t>b) En segundo lugar, el Real Decreto-ley 4/2018, en su disposición final primera, modifica la disposición transitoria segunda de la Ley 5/2017, detallando el régimen para elegir al comité de expertos que participará en el concurso de selección de los miembros del consejo de administración. Innova respecto de la disposición hasta entonces vigente el procedimiento de designación de los miembros de dicho comité, la emisión del correspondiente informe de evaluación previo a la elección posterior de los consejeros por las Cámaras, la celebración de las comparecencias previstas en la Ley en la comisión correspondiente del Congreso y la posterior elección de los vocales por el Pleno. Lo mismo se regula para el Senado respecto a los candidatos que no hubieran sido elegidos por el Pleno del Congreso.</w:t>
      </w:r>
    </w:p>
    <w:p w:rsidR="005728DD" w:rsidRDefault="005728DD" w:rsidP="005728DD">
      <w:pPr>
        <w:pStyle w:val="TextoNormal"/>
      </w:pPr>
    </w:p>
    <w:p w:rsidR="005728DD" w:rsidRDefault="005728DD" w:rsidP="005728DD">
      <w:pPr>
        <w:pStyle w:val="TextoNormal"/>
      </w:pPr>
      <w:r>
        <w:t>B) A efectos de elegir a los seis miembros del consejo de administración de la Corporación RTVE que correspondía designar a la Cámara y en aplicación de lo previsto en el art. único del Real Decreto-ley 4/2018, el Congreso de los Diputados celebró una primera votación el día 2 de julio de 2018. En dicha votación no se alcanzó la mayoría de dos tercios requerida (“Diario de Sesiones del Congreso”, XII legislatura, núm. 134, de 2 de julio de 2018). En consecuencia, siguiendo las reglas del art. único, se procedió a una segunda votación en sesión plenaria el día 4 de julio, una vez transcurridas las cuarenta y ocho horas legalmente previstas. Conforme al último inciso del apartado 2 del art. único, la propuesta de candidatura debía obtener la mayoría absoluta y proceder de, al menos, la mitad de los grupos parlamentarios. En dicha votación resultaron elegidas seis personas en calidad de miembros del consejo de administración de la Corporación, por 177 votos a favor, tres votos en blanco y 131 nulos (“Diario de Sesiones del Congreso”, XII legislatura, núm. 135, de 4 de julio de 2018).</w:t>
      </w:r>
    </w:p>
    <w:p w:rsidR="005728DD" w:rsidRDefault="005728DD" w:rsidP="005728DD">
      <w:pPr>
        <w:pStyle w:val="TextoNormal"/>
      </w:pPr>
    </w:p>
    <w:p w:rsidR="005728DD" w:rsidRDefault="005728DD" w:rsidP="005728DD">
      <w:pPr>
        <w:pStyle w:val="TextoNormal"/>
      </w:pPr>
      <w:r>
        <w:t>El día 3 de julio, el Senado votó por primera vez la elección de los cuatro miembros que debía designar, sin que se alcanzase la mayoría de dos tercios requerida (“Diario de Sesiones del Senado”, XII legislatura, núm. 77, de 3 de julio de 2018). Consecuentemente se procedió a realizar una segunda votación el día 4 de julio. En esa segunda votación, en la que era necesaria la mayoría absoluta y la previa propuesta por parte de, al menos, la mitad de los grupos parlamentarios, ningún candidato alcanzó la mayoría (“Diario de Sesiones del Senado”, XII legislatura, núm. 78, de 5 de julio de 2018). Por ello, se comunicó el resultado al Congreso de los Diputados, a los efectos de lo previsto en el apartado 3 del art. único del Real Decreto-ley 4/2018, conforme al cual “si el Senado no hubiera elegido a los consejeros que le corresponden, el Congreso de los Diputados podrá, excepcionalmente y en el plazo de diez días naturales adicionales, proceder a la elección de estos. Dicha elección respetará las candidaturas que, en su caso, ya se hubieran presentado en el Senado”. En la primera votación sobre dichas candidaturas en el Congreso, el día 10 de julio de 2018, no se obtuvo la mayoría de dos tercios (“Diario de Sesiones del Congreso”, XII legislatura, núm. 136, de 10 de julio de 2018). El día 16 de julio se somete por segunda vez a votación la elección de miembros del consejo de administración de la Corporación RTVE, en la que los candidatos propuestos no obtienen el voto favorable de la mayoría absoluta de la Cámara (“Diario de Sesiones del Congreso”, XII legislatura, núm. 137, de 16 de julio de 2018). Finalmente, de acuerdo con lo dispuesto en el apartado 6 del art. único del Real Decreto-ley 4/2018, tuvo lugar una primera votación en el Congreso en la que la persona propuesta por el Gobierno, en virtud del acuerdo del Consejo de Ministros de 20 de julio de 2018, como administradora provisional única para la Corporación RTVE no alcanzó la mayoría de dos tercios exigida (“Diario de Sesiones del Congreso”, XII legislatura, núm. 140, de 25 de julio de 2018). En la votación que tuvo lugar cuarenta y ocho horas más tarde, la persona propuesta obtuvo la mayoría absoluta de los miembros de la Cámara, siendo elegida administradora provisional única para la Corporación (“Diario de Sesiones del Congreso”, XII legislatura, núm. 142, de 27 de julio de 2018).</w:t>
      </w:r>
    </w:p>
    <w:p w:rsidR="005728DD" w:rsidRDefault="005728DD" w:rsidP="005728DD">
      <w:pPr>
        <w:pStyle w:val="TextoNormal"/>
      </w:pPr>
    </w:p>
    <w:p w:rsidR="005728DD" w:rsidRDefault="005728DD" w:rsidP="005728DD">
      <w:pPr>
        <w:pStyle w:val="TextoNormal"/>
      </w:pPr>
      <w:r>
        <w:t xml:space="preserve">C) En paralelo, las mesas del Congreso de los Diputados y del Senado, por resolución de 10 de julio de 2018, aprobaron las normas para la renovación de los miembros del consejo de administración de la Corporación RTVE (“Boletín Oficial de las Cortes Generales” núm. 214, de 13 de julio de 2018), en ejecución del mandato contenido en la disposición transitoria segunda de la Ley 5/2017, de 29 de septiembre, de desarrollar en el plazo de los tres </w:t>
      </w:r>
      <w:r>
        <w:lastRenderedPageBreak/>
        <w:t>meses siguientes a la entrada en vigor de esta ley, la normativa que contemple la selección de los miembros del consejo de administración y del presidente de la Corporación RTVE y del consejo por concurso público. Esta disposición había sido modificada por la disposición final primera del Decreto-ley 4/2018, ahora impugnada, que reiteró, en su primer párrafo, el mandato de acometer el desarrollo normativo del procedimiento de selección en el plazo de los tres meses siguientes a la entrada en vigor de la Ley. Esta resolución normativa de las Cortes Generales desarrolla los criterios fijados en la disposición final primera del Decreto-ley 4/2018, en lo relativo a la composición del comité de expertos (apartado segundo de la resolución, que desarrolla el apartado primero de la disposición final primera), el contenido de su labor de evaluación (apartado tercero de la resolución, que desarrolla el apartado primero, último inciso, de la disposición final primera) y la comparecencia de los candidatos seleccionados por el comité de expertos para formar parte del consejo de administración así como su elección por el Pleno del Congreso y por el Pleno del Senado (apartado cuarto de la resolución, que desarrolla el apartado segundo de la disposición final primera).</w:t>
      </w:r>
    </w:p>
    <w:p w:rsidR="005728DD" w:rsidRDefault="005728DD" w:rsidP="005728DD">
      <w:pPr>
        <w:pStyle w:val="TextoNormal"/>
      </w:pPr>
    </w:p>
    <w:p w:rsidR="005728DD" w:rsidRDefault="005728DD" w:rsidP="005728DD">
      <w:pPr>
        <w:pStyle w:val="TextoNormal"/>
      </w:pPr>
      <w:r>
        <w:t>En el momento en que este tribunal emite el presente pronunciamiento, el procedimiento desarrollado en la resolución de 10 de julio de 2018, ha concluido con la designación como presidente de la Corporación RTVE de don José Manuel Pérez Tornero. Esta designación se realizó por el Pleno del Congreso de los Diputados, en su sesión de 25 de marzo de 2021, en primera votación y por mayoría de dos tercios de sus miembros, de conformidad con lo dispuesto en el artículo 11.4 de la Ley 17/2006, de 5 de junio, de la radio y la televisión de titularidad estatal y en la disposición transitoria primera de la Ley 5/2017, de 29 de septiembre (“Boletín Oficial de las Cortes Generales”. Congreso de los Diputados, serie D, núm. 250, de 31 de marzo de 2021). Previamente, y por lo que hace a la elección de miembros del consejo de administración de la Corporación RTVE, el Pleno del Congreso de los Diputados, eligió a los seis consejeros que le correspondían en sesión celebrada el 1 de marzo de 2021, en primera votación y por mayoría de dos tercios de sus miembros (“BOCG”. Congreso de los Diputados, serie D, núm. 230, de 1 de marzo de 2021), haciendo lo propio el Pleno del Senado, respecto de los cuatro consejeros que le correspondían, en sesión celebrada el día 24 de marzo de 2021, en primera votación y por mayoría de dos tercios de sus miembros (“BOCG”. Senado, apartado IV, núm. 164-1672, de 29 de marzo de 2021). En ambos casos los nombramientos se realizaron de conformidad con lo dispuesto en la disposición transitoria primera de la Ley 5/2017, de 29 de septiembre.</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Concurrencia del presupuesto habilitante de extraordinaria y urgente necesidad (art. 86 CE) y control sobre la justificación relativa a esa concurrencia</w:t>
      </w:r>
      <w:r>
        <w:t>.</w:t>
      </w:r>
    </w:p>
    <w:p w:rsidR="005728DD" w:rsidRDefault="005728DD" w:rsidP="005728DD">
      <w:pPr>
        <w:pStyle w:val="TextoNormal"/>
      </w:pPr>
    </w:p>
    <w:p w:rsidR="005728DD" w:rsidRDefault="005728DD" w:rsidP="005728DD">
      <w:pPr>
        <w:pStyle w:val="TextoNormal"/>
      </w:pPr>
      <w:r>
        <w:t>A la hora de dar respuesta a las tachas de inconstitucionalidad que se oponen a la norma impugnada debemos comenzar por la vinculada a la utilización del instrumento normativo de urgencia, ya que, conforme a doctrina reiterada (por todas, SSTC 1/2012, de 13 de enero, FJ 3, y 211/2016, de 15 de diciembre, FJ 3), el examen de las infracciones que se refieren al art. 86 CE ha de ser prioritario en el orden de nuestro enjuiciamiento, toda vez que la infracción denunciada incide directamente sobre la validez de la norma en función de su propia forma de aprobación, cuestionándose la legitimidad constitucional de la utilización en este ámbito de norma de urgencia, de modo que, si se estimaran las alegaciones relativas al art. 86 CE, resultaría innecesario el examen de las restantes.</w:t>
      </w:r>
    </w:p>
    <w:p w:rsidR="005728DD" w:rsidRDefault="005728DD" w:rsidP="005728DD">
      <w:pPr>
        <w:pStyle w:val="TextoNormal"/>
      </w:pPr>
    </w:p>
    <w:p w:rsidR="005728DD" w:rsidRDefault="005728DD" w:rsidP="005728DD">
      <w:pPr>
        <w:pStyle w:val="TextoNormal"/>
      </w:pPr>
      <w:r>
        <w:lastRenderedPageBreak/>
        <w:t>Como quedó reflejado en los antecedentes, los diputados recurrentes sostienen que en el Real Decreto-ley impugnado no concurre la “extraordinaria y urgente necesidad” que permite el uso de la facultad legislativa de urgencia, dado que las razones aportadas por el Gobierno no pueden justificar su aprobación.</w:t>
      </w:r>
    </w:p>
    <w:p w:rsidR="005728DD" w:rsidRDefault="005728DD" w:rsidP="005728DD">
      <w:pPr>
        <w:pStyle w:val="TextoNormal"/>
      </w:pPr>
    </w:p>
    <w:p w:rsidR="005728DD" w:rsidRDefault="005728DD" w:rsidP="005728DD">
      <w:pPr>
        <w:pStyle w:val="TextoNormal"/>
      </w:pPr>
      <w:r>
        <w:t>A) En numerosas sentencias este tribunal ha resumido la doctrina constitucional elaborada en relación con el presupuesto que habilita al Gobierno para aprobar normas provisionales con rango de ley, lo que nos dispensa de reiterarla una vez más (SSTC 34/2017, de 1 de marzo, FJ 3; 150/2017, de 21 de diciembre, FJ 4, y 61/2018, de 7 de junio, FJ 4, entre muchas otras). Bastará recordar ahora que esa doctrina ha considerado que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decretos-leyes.</w:t>
      </w:r>
    </w:p>
    <w:p w:rsidR="005728DD" w:rsidRDefault="005728DD" w:rsidP="005728DD">
      <w:pPr>
        <w:pStyle w:val="TextoNormal"/>
      </w:pPr>
    </w:p>
    <w:p w:rsidR="005728DD" w:rsidRDefault="005728DD" w:rsidP="005728DD">
      <w:pPr>
        <w:pStyle w:val="TextoNormal"/>
      </w:pPr>
      <w:r>
        <w:t>Ese control externo se concreta en la comprobación de dos elementos. En primer lugar, la presentación explícita y razonada de los motivos que han sido tenidos en cuenta por el Gobierno en su aprobación y que evidencian una situación de extraordinaria y urgente necesidad que precisa de una respuesta normativa con rango de ley (SSTC 29/1982, de 31 de mayo, FJ 3; 111/1983, de 2 de diciembre, FJ 5; 182/1997, de 20 de octubre, FJ 3, y 137/2003, de 3 de julio, FJ 4). En segundo lugar, la existencia de una necesaria conexión entre la situación de urgencia definida y las medidas concretas adoptadas para subvenir a ella (por todas, STC 39/2013, de 14 de febrero, FJ 5).</w:t>
      </w:r>
    </w:p>
    <w:p w:rsidR="005728DD" w:rsidRDefault="005728DD" w:rsidP="005728DD">
      <w:pPr>
        <w:pStyle w:val="TextoNormal"/>
      </w:pPr>
    </w:p>
    <w:p w:rsidR="005728DD" w:rsidRDefault="005728DD" w:rsidP="005728DD">
      <w:pPr>
        <w:pStyle w:val="TextoNormal"/>
      </w:pPr>
      <w:r>
        <w:t>B) Entrando, en primer lugar, a analizar los motivos explicitados por el Gobierno para la aprobación del Real Decreto-ley 4/2018, debemos acudir a la exposición de motivos así como al debate parlamentario de convalidación y, en su caso, al expediente de elaboración de la norma de urgencia (entre muchas otras, STC 152/2017, FJ 3).</w:t>
      </w:r>
    </w:p>
    <w:p w:rsidR="005728DD" w:rsidRDefault="005728DD" w:rsidP="005728DD">
      <w:pPr>
        <w:pStyle w:val="TextoNormal"/>
      </w:pPr>
    </w:p>
    <w:p w:rsidR="005728DD" w:rsidRDefault="005728DD" w:rsidP="005728DD">
      <w:pPr>
        <w:pStyle w:val="TextoNormal"/>
      </w:pPr>
      <w:r>
        <w:t xml:space="preserve">a) La exposición de motivos del Real Decreto-ley 4/2018 relata los antecedentes de la norma, refiriéndose a la Ley 17/2006 y al Real Decreto-ley 15/2012. Alude a la disposición transitoria segunda de la Ley 5/2017, que estableció “un plazo de tres meses, que venció el pasado 31 de diciembre de 2017, para que las Cortes Generales aprobaran la normativa por la que se elegiría al nuevo consejo de administración y al presidente de la Corporación RTVE. Este plazo ha sido superado ampliamente, y casi nueve meses después de la aprobación de la ley, el procedimiento para elegir este nuevo consejo no se ha iniciado en las Cámaras. Asegurar la independencia y el pluralismo en la elección parlamentaria de los órganos de la Corporación era el objetivo prioritario de la norma y esta tarea se encuentra ahora afectada por el bloqueo parlamentario producido en los últimos meses. Este real decreto ley persigue precisamente asegurar el fin de esta situación de parálisis que impide llevar a cabo objetivos que fueron fijados por las propias Cámaras al aprobar la ley en 2017”. A lo anterior se añade que “el actual consejo de administración de RTVE ha finalizado ya </w:t>
      </w:r>
      <w:r>
        <w:lastRenderedPageBreak/>
        <w:t>su mandato. Aunque existe una previsión en el artículo 12 de la Ley 17/2006 por la que los consejeros salientes puedan continuar en sus funciones hasta el nombramiento de los nuevos, no existe una previsión similar para el caso del presidente de la Corporación, con los problemas de gestión que tal circunstancia puede suponer”. Así, la norma pretende, para que la Corporación “pueda seguir prestando el servicio público de información y comunicación a los ciudadanos con plena eficacia y normalidad”, corregir con urgencia “la anomalía que supone que todos los consejeros hayan agotado su mandato y, sobre todo, evitar la parálisis que podría producirse en el funcionamiento ordinario del consejo de administración por la ausencia de un presidente con plenas capacidades, teniendo en cuenta que, como se ha mencionado, aún no se ha iniciado el procedimiento parlamentario de nombramiento de los nuevos miembros del consejo de administración de acuerdo con lo previsto en la Ley 5/2017”. Para desbloquear esta situación “el presente Real Decreto-ley establece una serie de modificaciones en el régimen jurídico de la elección de los miembros del consejo de administración y del presidente de la Corporación, con el exclusivo fin de resolver la situación actual hasta que sean nombrados los nuevos consejeros y el nuevo presidente por el sistema establecido en la Ley 5/2017”. La conclusión es que, según la exposición de motivos, “los contenidos del artículo único resuelven con urgencia la situación permitiendo, de manera provisional, a la Corporación ejercer eficazmente su función de servicio público hasta la elección del nuevo consejo de administración a través del procedimiento que las propias Cámaras aprobaron en 2017”, razón por la cual, a la vista de los hechos descritos, “la extraordinaria y urgente necesidad de este Real Decreto-ley resulta plenamente justificada”.</w:t>
      </w:r>
    </w:p>
    <w:p w:rsidR="005728DD" w:rsidRDefault="005728DD" w:rsidP="005728DD">
      <w:pPr>
        <w:pStyle w:val="TextoNormal"/>
      </w:pPr>
    </w:p>
    <w:p w:rsidR="005728DD" w:rsidRDefault="005728DD" w:rsidP="005728DD">
      <w:pPr>
        <w:pStyle w:val="TextoNormal"/>
      </w:pPr>
      <w:r>
        <w:t>b) En el debate parlamentario correspondiente al trámite de convalidación (“Diario de Sesiones del Congreso de los Diputados”, XII Legislatura, núm. 135, de 4 de julio), el Gobierno, por medio de la vicepresidenta del Gobierno y ministra de la Presidencia, Relaciones con las Cortes e Igualdad, abunda en la necesidad de evitar lo que califica de “vacío en la Corporación de Radiotelevisión Española” derivado de la “finalización del mandato de todos sus consejeros y consejeras, y especialmente de su Presidencia”. Para ello, se establece “un régimen transitorio para la renovación de este órgano hasta que el nuevo procedimiento sea desarrollado por las Cortes Generales y se elija un consejo y una presidencia”. La vicepresidenta recuerda que el procedimiento para elegir al nuevo consejo de administración no se ha puesto en marcha seis meses después de la aprobación de la Ley 5/2017 y añade que “el pasado viernes, 22 de junio, finalizó, además del mandato de los consejeros que no lo tenían caducado más el de los que ya lo tenían durante años, la propia situación de la presidencia del consejo de administración, de manera que todos sus miembros, incluido el presidente, tenían el mandato cumplido ya. A todo esto se añade, como ustedes bien saben, que el presidente no permanece en funciones —no puede—, lo cual limita la capacidad ejecutiva y genera graves dificultades —las podríamos estar generando— en la gestión de la Corporación y en su funcionamiento normalizado”. Por ello, sostuvo en el debate que “este decreto-ley tiene como objetivo fundamental desbloquear esta situación que nos hemos encontrado sin ningún horizonte de resolución rápido, dar una solución transitoria y puntual para que la Corporación pueda funcionar con normalidad hasta la puesta en marcha del procedimiento que afectará al concurso público. En ningún caso —repito, ningún caso— hemos pretendido sustituir la reforma que las Cámaras hicieron y que se contiene en la Ley 5/2017, sino todo lo contrario. Este decreto-ley respeta el espíritu y los postulados de esa reforma y, por esa razón, las mayorías exigidas no han sido modificadas”.</w:t>
      </w:r>
    </w:p>
    <w:p w:rsidR="005728DD" w:rsidRDefault="005728DD" w:rsidP="005728DD">
      <w:pPr>
        <w:pStyle w:val="TextoNormal"/>
      </w:pPr>
    </w:p>
    <w:p w:rsidR="005728DD" w:rsidRDefault="005728DD" w:rsidP="005728DD">
      <w:pPr>
        <w:pStyle w:val="TextoNormal"/>
      </w:pPr>
      <w:r>
        <w:lastRenderedPageBreak/>
        <w:t>c) Por último, ha de hacerse alusión al expediente de elaboración de la norma impugnada (STC 68/2018, de 7 de junio, FJ 5). Se trata del documento aportado a los autos por el abogado del Estado, elaborado por el Ministerio de la Presidencia, Relaciones con las Cortes e Igualdad y cuyo nombre completo es “Memoria abreviada del análisis de impacto normativo del proyecto de Real Decreto-ley por el que se concreta, con carácter urgente, el régimen jurídico aplicable a la designación del consejo de administración de la Corporación RTVE y de su presidente”. Su función es exponer la oportunidad de la propuesta, examinar jurídicamente su contenido y analizar los llamados “impactos” (adecuación al orden de competencias, impacto económico y presupuestario, impacto de género, etc.). Esta memoria reitera las ideas ya expuestas en el sentido de indicar que el objetivo de la norma es resolver la situación de bloqueo institucional en que se encuentra la Corporación como consecuencia de la falta de cumplimiento de lo previsto en la disposición transitoria segunda de la Ley 5/2017, al no haberse iniciado el procedimiento de nombramiento de los nuevos miembros del consejo de administración, pese a que el actual consejo ha finalizado su mandato. Así, señala que “los contenidos del artículo único resuelven la situación permitiendo a la Corporación ejercer su función de servicio público hasta que se produzca la elección del nuevo Consejo de Administración y del nuevo presidente de la Corporación y el consejo, a través del procedimiento que las propias Cámaras aprobaron en 2017”.</w:t>
      </w:r>
    </w:p>
    <w:p w:rsidR="005728DD" w:rsidRDefault="005728DD" w:rsidP="005728DD">
      <w:pPr>
        <w:pStyle w:val="TextoNormal"/>
      </w:pPr>
    </w:p>
    <w:p w:rsidR="005728DD" w:rsidRDefault="005728DD" w:rsidP="005728DD">
      <w:pPr>
        <w:pStyle w:val="TextoNormal"/>
      </w:pPr>
      <w:r>
        <w:t>d) En conclusión, la situación de extraordinaria y urgente necesidad apreciada por el Gobierno y puesta de manifiesto en los tres elementos citados reside en la falta de cumplimiento del mandato contenido en la disposición transitoria segunda de la Ley 5/2017, del que se desprende la imposibilidad de aplicar el procedimiento allí previsto para la elección de un nuevo consejo de administración y de un presidente de la Corporación RTVE. Procedimiento que pretendía asegurar el cumplimiento de los objetivos de la Ley 5/2017, en lo relativo a garantizar la independencia y el pluralismo en la elección parlamentaria de los órganos de la Corporación. Esa circunstancia, unida al vencimiento del mandato del consejo y, en particular, del presidente, podía provocar la parálisis en el funcionamiento del consejo, lo que ponía en riesgo la ordenada gestión de la Corporación, dadas las funciones que uno y otro tienen legalmente atribuidas, y, con ello, el adecuado cumplimiento de las funciones de servicio público que la Corporación tiene encomendadas.</w:t>
      </w:r>
    </w:p>
    <w:p w:rsidR="005728DD" w:rsidRDefault="005728DD" w:rsidP="005728DD">
      <w:pPr>
        <w:pStyle w:val="TextoNormal"/>
      </w:pPr>
    </w:p>
    <w:p w:rsidR="005728DD" w:rsidRDefault="005728DD" w:rsidP="005728DD">
      <w:pPr>
        <w:pStyle w:val="TextoNormal"/>
      </w:pPr>
      <w:r>
        <w:t>C) Ahora bien, conocidas las circunstancias y las razones explicitadas por el Gobierno para justificar la utilización del instrumento normativo excepcional del Real Decreto-ley 4/2018, ha de procederse al análisis específico de si las justificaciones expuestas se refieren a la totalidad de los preceptos impugnados del Decreto-ley, porque si no fuera este el caso, no sería necesario siquiera proceder al análisis sucesivo, relativo a la concurrencia del presupuesto habilitante en el caso concreto, y al examen de la conexión de sentido entre la situación de urgencia o necesidad y las medidas concretas adoptadas en el decreto ley impugnado.</w:t>
      </w:r>
    </w:p>
    <w:p w:rsidR="005728DD" w:rsidRDefault="005728DD" w:rsidP="005728DD">
      <w:pPr>
        <w:pStyle w:val="TextoNormal"/>
      </w:pPr>
    </w:p>
    <w:p w:rsidR="005728DD" w:rsidRDefault="005728DD" w:rsidP="005728DD">
      <w:pPr>
        <w:pStyle w:val="TextoNormal"/>
      </w:pPr>
      <w:r>
        <w:t>Y, en el sentido apuntado, cumple advertir, que, respecto de la disposición final primera, no se justifica la urgencia en su adopción, pues en relación con ella nada dicen ni la exposición de motivos, ni el debate de convalidación, ni tampoco la memoria de impacto normativo. Sí se justifica, en cambio, la concurrencia del presupuesto habilitante en conexión con el artículo único del Decreto-ley.</w:t>
      </w:r>
    </w:p>
    <w:p w:rsidR="005728DD" w:rsidRDefault="005728DD" w:rsidP="005728DD">
      <w:pPr>
        <w:pStyle w:val="TextoNormal"/>
      </w:pPr>
    </w:p>
    <w:p w:rsidR="005728DD" w:rsidRDefault="005728DD" w:rsidP="005728DD">
      <w:pPr>
        <w:pStyle w:val="TextoNormal"/>
      </w:pPr>
      <w:r>
        <w:lastRenderedPageBreak/>
        <w:t>Como ya se ha expuesto los motivos que han sido tenidos en cuenta por el Gobierno en la aprobación del Real Decreto-ley 4/2018 residen en la necesidad de evitar la situación de falta de gobierno de la Corporación RTVE que podría producirse como consecuencia de la conjunción de dos factores: la expiración del mandato del presidente y los consejeros y la inaplicación del sistema de nombramiento previsto en la disposición transitoria segunda de la Ley 5/2017. Finalidad que, en la exposición de motivos, en el posterior debate y en la memoria, sirve para fundamentar la urgencia en la adopción del excepcional y provisional procedimiento de designación que se contiene en el art. único, a fin de permitir la inmediata constitución de los órganos rectores de la Corporación. Pero específicamente sobre la disposición final primera no hay conexión de sentido, ni se vincula a la razón anteriormente expresada, pues su contenido está dirigido a detallar o precisar aspectos puntuales de la preexistente regulación de la disposición transitoria segunda de la Ley 5/2017 y no se refiere al procedimiento excepcional al que se dedica el art. único, precisamente para desplazar, siquiera provisionalmente, al previsto en la citada disposición transitoria segunda.</w:t>
      </w:r>
    </w:p>
    <w:p w:rsidR="005728DD" w:rsidRDefault="005728DD" w:rsidP="005728DD">
      <w:pPr>
        <w:pStyle w:val="TextoNormal"/>
      </w:pPr>
    </w:p>
    <w:p w:rsidR="005728DD" w:rsidRDefault="005728DD" w:rsidP="005728DD">
      <w:pPr>
        <w:pStyle w:val="TextoNormal"/>
      </w:pPr>
      <w:r>
        <w:t>La conclusión es, por tanto, la misma que, para un caso similar, ya se alcanzó en la STC 61/2018, FJ 6, en la que se afirmó que “[p]uesto que ‘la causa justificativa del Decreto-ley —la situación de extraordinaria y urgente necesidad— ha de ser explicitada por el propio Gobierno’ (STC 125/2016, de 7 de julio, FJ 2), su carencia determina que no podamos apreciar la concurrencia del presupuesto habilitante que los diputados recurrentes niegan, el Gobierno no acredita y este tribunal no puede presumir”.</w:t>
      </w:r>
    </w:p>
    <w:p w:rsidR="005728DD" w:rsidRDefault="005728DD" w:rsidP="005728DD">
      <w:pPr>
        <w:pStyle w:val="TextoNormal"/>
      </w:pPr>
    </w:p>
    <w:p w:rsidR="005728DD" w:rsidRDefault="005728DD" w:rsidP="005728DD">
      <w:pPr>
        <w:pStyle w:val="TextoNormal"/>
      </w:pPr>
      <w:r>
        <w:t>Por tanto, debemos declarar la inconstitucionalidad y nulidad de la disposición final primera del Real Decreto-ley 4/2018 por vulnerar el art. 86.1 CE. Ahora bien, los efectos de este pronunciamiento son meramente declarativos.</w:t>
      </w:r>
    </w:p>
    <w:p w:rsidR="005728DD" w:rsidRDefault="005728DD" w:rsidP="005728DD">
      <w:pPr>
        <w:pStyle w:val="TextoNormal"/>
      </w:pPr>
    </w:p>
    <w:p w:rsidR="005728DD" w:rsidRDefault="005728DD" w:rsidP="005728DD">
      <w:pPr>
        <w:pStyle w:val="TextoNormal"/>
      </w:pPr>
      <w:r>
        <w:t xml:space="preserve">La disposición declarada inconstitucional modificaba, como se ha expuesto previamente, la disposición transitoria segunda de la Ley 5/2017, de 29 de septiembre, que se limitaba a prever, en su apartado primero, que las Cortes Generales aprobarían “en el plazo de los tres meses siguientes a la entrada en vigor de esta Ley, la normativa que contemple la selección de los miembros del consejo de administración y del presidente de la Corporación RTVE por concurso público con la participación de un comité de expertos designados por los grupos parlamentarios. Este Comité hará públicos sus informes de evaluación y serán remitidos a la comisión competente para la correspondiente audiencia de los candidatos”. Este es el apartado modificado por la disposición final primera del Real Decreto-ley 4/2018, para prever, además del plazo de tres meses para el desarrollo normativo del procedimiento de selección, una serie de previsiones concretas que debían contenerse en dicha normativa respecto del comité de expertos y la fórmula de elección de los candidatos al consejo de administración en sede parlamentaria. Una vez elaborada dicha normativa es esta última la que rige el procedimiento de selección. Fueron las mesas del Congreso de los Diputados y del Senado, por resolución de 10 de julio de 2018, con una composición diversa de la actual, quienes aprobaron las normas para la renovación de los miembros del consejo de administración de la Corporación RTVE (“Boletín Oficial de las Cortes Generales”, Sección Cortes Generales, serie A, núm. 214, de 13 de julio de 2018). Esta resolución no ha sido impugnada, y se ha aplicado en la elección de los consejeros y el presidente de la Corporación. La declaración de inconstitucionalidad y nulidad, que se proyecta sobre la disposición final primera del Real Decreto-ley 4/2018, no despliega efecto alguno ni sobre la validez de la resolución de 10 de julio, ni sobre los nombramientos realizados con arreglo a la misma, sin </w:t>
      </w:r>
      <w:r>
        <w:lastRenderedPageBreak/>
        <w:t>perjuicio de que las mesas del Congreso y del Senado pueden modificar dicha resolución si así lo consideran oportuno.</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Límites materiales de la regulación por decreto-ley: afectación del art. 20.3 CE relativo al control parlamentario de los medios de comunicación públicos</w:t>
      </w:r>
      <w:r>
        <w:t>.</w:t>
      </w:r>
    </w:p>
    <w:p w:rsidR="005728DD" w:rsidRDefault="005728DD" w:rsidP="005728DD">
      <w:pPr>
        <w:pStyle w:val="TextoNormal"/>
      </w:pPr>
    </w:p>
    <w:p w:rsidR="005728DD" w:rsidRDefault="005728DD" w:rsidP="005728DD">
      <w:pPr>
        <w:pStyle w:val="TextoNormal"/>
      </w:pPr>
      <w:r>
        <w:t>a) En relación con el artículo único del Decreto-ley, el recurso plantea tanto la inexistencia de presupuesto habilitante, como la falta de respeto de los límites materiales previstos en el art. 86.1 CE. Antes de verificar el adecuado cumplimiento del requisito formal relativo a la concurrencia del presupuesto habilitante, y superada la mera y superficial constatación de que existe justificación expresa de dicho presupuesto respecto del artículo único, debemos pronunciarnos acerca de si este precepto vulnera uno de los límites materiales que derivan del art. 86.1 CE, la prohibición de que los reales decretos-leyes afecten a “los derechos, deberes y libertades de los ciudadanos regulados en el Título I” de la Constitución. Concretamente, los recurrentes consideran que el apartado tercero, en relación con el primero, y el apartado sexto del art. único incurrirían en dicho motivo de inconstitucionalidad.</w:t>
      </w:r>
    </w:p>
    <w:p w:rsidR="005728DD" w:rsidRDefault="005728DD" w:rsidP="005728DD">
      <w:pPr>
        <w:pStyle w:val="TextoNormal"/>
      </w:pPr>
    </w:p>
    <w:p w:rsidR="005728DD" w:rsidRDefault="005728DD" w:rsidP="005728DD">
      <w:pPr>
        <w:pStyle w:val="TextoNormal"/>
      </w:pPr>
      <w:r>
        <w:t>Por más que el orden de exposición en la demanda de los argumentos de inconstitucionalidad planteados por los recurrentes responda a otro orden lógico, este tribunal entiende que posee carácter prioritario la comprobación de que los límites materiales a la utilización del decreto-ley no hayan sido rebasados.</w:t>
      </w:r>
    </w:p>
    <w:p w:rsidR="005728DD" w:rsidRDefault="005728DD" w:rsidP="005728DD">
      <w:pPr>
        <w:pStyle w:val="TextoNormal"/>
      </w:pPr>
    </w:p>
    <w:p w:rsidR="005728DD" w:rsidRDefault="005728DD" w:rsidP="005728DD">
      <w:pPr>
        <w:pStyle w:val="TextoNormal"/>
      </w:pPr>
      <w:r>
        <w:t>El enjuiciamiento de la constitucionalidad de un decreto-ley, en los supuestos en que se plantean cuestiones relativas al respeto de los límites materiales, así como el examen de la concurrencia del presupuesto habilitante de la extraordinaria y urgente necesidad (art. 86.1 CE), debe comenzar descartando, o asumiendo, el respeto por parte de la norma impugnada de las condiciones materiales constitucionalmente previstas, porque solo en el caso en que se entienda que dichos límites han sido respetados tendría sentido examinar la concurrencia del presupuesto habilitante, aplicando la consolidada doctrina constitucional al respecto. En este sentido se pueden citar, entre otras muchas, las SSTC 189/2005 de 7 de julio; 237/2012, de 13 de diciembre; 107/2015, de 28 de mayo, y 73/2017, de 8 de junio.</w:t>
      </w:r>
    </w:p>
    <w:p w:rsidR="005728DD" w:rsidRDefault="005728DD" w:rsidP="005728DD">
      <w:pPr>
        <w:pStyle w:val="TextoNormal"/>
      </w:pPr>
    </w:p>
    <w:p w:rsidR="005728DD" w:rsidRDefault="005728DD" w:rsidP="005728DD">
      <w:pPr>
        <w:pStyle w:val="TextoNormal"/>
      </w:pPr>
      <w:r>
        <w:t>El apartado tercero del art. único prescribe:</w:t>
      </w:r>
    </w:p>
    <w:p w:rsidR="005728DD" w:rsidRDefault="005728DD" w:rsidP="005728DD">
      <w:pPr>
        <w:pStyle w:val="TextoNormal"/>
      </w:pPr>
    </w:p>
    <w:p w:rsidR="005728DD" w:rsidRDefault="005728DD" w:rsidP="005728DD">
      <w:pPr>
        <w:pStyle w:val="TextoNormal"/>
      </w:pPr>
      <w:r>
        <w:t>“Transcurrido el plazo de quince días naturales previsto en el párrafo segundo del apartado 1, si el Senado no hubiera elegido a los consejeros que le corresponden, el Congreso de los Diputados podrá, excepcionalmente y en el plazo de diez días naturales adicionales, proceder a la elección de estos. Dicha elección respetará las candidaturas que, en su caso, ya se hubieran presentado en el Senado”.</w:t>
      </w:r>
    </w:p>
    <w:p w:rsidR="005728DD" w:rsidRDefault="005728DD" w:rsidP="005728DD">
      <w:pPr>
        <w:pStyle w:val="TextoNormal"/>
      </w:pPr>
    </w:p>
    <w:p w:rsidR="005728DD" w:rsidRDefault="005728DD" w:rsidP="005728DD">
      <w:pPr>
        <w:pStyle w:val="TextoNormal"/>
      </w:pPr>
      <w:r>
        <w:t>Y el apartado sexto presenta la siguiente redacción:</w:t>
      </w:r>
    </w:p>
    <w:p w:rsidR="005728DD" w:rsidRDefault="005728DD" w:rsidP="005728DD">
      <w:pPr>
        <w:pStyle w:val="TextoNormal"/>
      </w:pPr>
    </w:p>
    <w:p w:rsidR="005728DD" w:rsidRDefault="005728DD" w:rsidP="005728DD">
      <w:pPr>
        <w:pStyle w:val="TextoNormal"/>
      </w:pPr>
      <w:r>
        <w:t xml:space="preserve">“Transcurrido el plazo de quince días naturales al que se refiere el apartado 1 o cualquier otro plazo referido al Congreso de los Diputados en este artículo, si dicha Cámara no hubiera procedido a la elección de los consejeros que le corresponden, el Gobierno propondrá el nombramiento de un administrador provisional único para la Corporación, que será sometido al Pleno del Congreso de los Diputados. La elección de dicho administrador en el Pleno del Congreso de los Diputados requerirá la obtención de la mayoría de dos tercios en primera </w:t>
      </w:r>
      <w:r>
        <w:lastRenderedPageBreak/>
        <w:t>votación. En el caso de no alcanzarse dicha mayoría, la propuesta será sometida de nuevo al Pleno de la Cámara, en el plazo de cuarenta y ocho horas. En esta segunda votación, la mayoría necesaria será la mayoría absoluta del Congreso de los Diputados.</w:t>
      </w:r>
    </w:p>
    <w:p w:rsidR="005728DD" w:rsidRDefault="005728DD" w:rsidP="005728DD">
      <w:pPr>
        <w:pStyle w:val="TextoNormal"/>
      </w:pPr>
    </w:p>
    <w:p w:rsidR="005728DD" w:rsidRDefault="005728DD" w:rsidP="005728DD">
      <w:pPr>
        <w:pStyle w:val="TextoNormal"/>
      </w:pPr>
      <w:r>
        <w:t>El administrador provisional único se encargará de la administración y representación de la Corporación hasta que se produzcan los nombramientos de los consejeros de acuerdo con la normativa a la que se refiere la disposición transitoria segunda de la Ley 5/2017, de 29 de septiembre, por la que se modifica la Ley 17/2006, de 5 de junio, de la radio y la televisión de titularidad estatal, para recuperar la independencia de la Corporación RTVE y el pluralismo en la elección parlamentaria de sus órganos. En el ejercicio de sus funciones, ostentará las competencias que la Ley 17/2006, de 5 de junio, de la radio y la televisión de titularidad estatal, atribuye al consejo de administración y al presidente de la Corporación RTVE y del consejo”.</w:t>
      </w:r>
    </w:p>
    <w:p w:rsidR="005728DD" w:rsidRDefault="005728DD" w:rsidP="005728DD">
      <w:pPr>
        <w:pStyle w:val="TextoNormal"/>
      </w:pPr>
    </w:p>
    <w:p w:rsidR="005728DD" w:rsidRDefault="005728DD" w:rsidP="005728DD">
      <w:pPr>
        <w:pStyle w:val="TextoNormal"/>
      </w:pPr>
      <w:r>
        <w:t>La demanda alega que lo previsto en ambas normas ha suprimido el control parlamentario del Senado, ya que, en el apartado tercero, se prevé su sustitución por el Congreso en el nombramiento de los miembros del consejo de administración que le corresponden. Supresión del control parlamentario por parte del Senado que también se imputa al modo de designación del administrador provisional único de la Corporación previsto en el apartado sexto del art. único. Ambos extremos sobrepasarían los límites impuestos por el art. 86.1 CE, pues se afectaría al art. 20.3 CE. Para el abogado del Estado, el régimen diseñado por el Real Decreto-ley 4/2018 es compatible con un sistema de bicameralismo imperfecto como el español, sin que resulte afectado el control parlamentario de los medios de comunicación de titularidad pública.</w:t>
      </w:r>
    </w:p>
    <w:p w:rsidR="005728DD" w:rsidRDefault="005728DD" w:rsidP="005728DD">
      <w:pPr>
        <w:pStyle w:val="TextoNormal"/>
      </w:pPr>
    </w:p>
    <w:p w:rsidR="005728DD" w:rsidRDefault="005728DD" w:rsidP="005728DD">
      <w:pPr>
        <w:pStyle w:val="TextoNormal"/>
      </w:pPr>
      <w:r>
        <w:t>La Constitución solo contempla como límites materiales para la elaboración de decretos-leyes, los contenidos en el párrafo 1 del art. 86 CE, referidos a la interdicción de regular mediante esta tipología normativa cuestiones que afecten “al ordenamiento de las instituciones básicas del Estado, a los derechos, deberes y libertades de los ciudadanos regulados en el Título I, al régimen de las Comunidades Autónomas ni al Derecho electoral general”. Los recurrentes afirman que la norma impugnada ha excedido los límites materiales del art. 86.1 CE, específicamente la prohibición de que los reales decretos-leyes “no podrán afectar […] los derechos, deberes y libertades de los ciudadanos regulados en el Título I” de la Constitución. Se invoca como conculcado el art. 20.3 CE, relativo al control parlamentario de los medios de comunicación públicos. La razón es que la concreta regulación cuestionada produce dos efectos respecto al Senado que infringirían el mencionado límite material. En primer lugar habilita excepcionalmente al Congreso para sustituir al Senado, en el caso de que este no hubiera elegido a los consejeros que le corresponden en el plazo previsto al efecto y, en segundo lugar, vincula únicamente la posibilidad de nombrar un administrador provisional único a que el Congreso “no hubiera procedido a la elección de los consejeros que le corresponden”, con lo que el nombramiento de dicho administrador provisional sería posible con independencia de la actuación del Senado.</w:t>
      </w:r>
    </w:p>
    <w:p w:rsidR="005728DD" w:rsidRDefault="005728DD" w:rsidP="005728DD">
      <w:pPr>
        <w:pStyle w:val="TextoNormal"/>
      </w:pPr>
    </w:p>
    <w:p w:rsidR="005728DD" w:rsidRDefault="005728DD" w:rsidP="005728DD">
      <w:pPr>
        <w:pStyle w:val="TextoNormal"/>
      </w:pPr>
      <w:r>
        <w:t xml:space="preserve">El examen de la queja así planteada exige recordar la doctrina del tribunal relativa al significado de la prohibición del art. 86.1 CE que ahora se trata, así como sobre el art. 20.3 CE, pues es el derecho fundamental que se vería afectado por lo dispuesto en los preceptos impugnados por esta razón. Por tanto, también debemos contrastar la regulación contenida </w:t>
      </w:r>
      <w:r>
        <w:lastRenderedPageBreak/>
        <w:t>en los preceptos impugnados con la configuración constitucional del derecho protegido por el art. 20.3 CE.</w:t>
      </w:r>
    </w:p>
    <w:p w:rsidR="005728DD" w:rsidRDefault="005728DD" w:rsidP="005728DD">
      <w:pPr>
        <w:pStyle w:val="TextoNormal"/>
      </w:pPr>
    </w:p>
    <w:p w:rsidR="005728DD" w:rsidRDefault="005728DD" w:rsidP="005728DD">
      <w:pPr>
        <w:pStyle w:val="TextoNormal"/>
      </w:pPr>
      <w:r>
        <w:t>b) En lo que atiende a la limitación material constitucionalmente establecida, nuestro enjuiciamiento debe partir de que “afectar” derechos constitucionales es, según la doctrina, una noción restringida, pues la STC 111/1983, de 2 de diciembre, FJ 8, sostuvo que “la cláusula restrictiva del art. 86.1 CE (‘no podrán afectar [...]’)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w:t>
      </w:r>
    </w:p>
    <w:p w:rsidR="005728DD" w:rsidRDefault="005728DD" w:rsidP="005728DD">
      <w:pPr>
        <w:pStyle w:val="TextoNormal"/>
      </w:pPr>
    </w:p>
    <w:p w:rsidR="005728DD" w:rsidRDefault="005728DD" w:rsidP="005728DD">
      <w:pPr>
        <w:pStyle w:val="TextoNormal"/>
      </w:pPr>
      <w:r>
        <w:t>De conformidad con ese criterio hermenéutico, lo que le está vedado al decreto-ley, por el juego del límite material ahora examinado, es la regulación del régimen general de los derechos, deberes y libertades del título I CE o que se vaya en contra del contenido o elementos esenciales de alguno de tales derechos de modo que de aquel límite se infiere que el decreto-ley no puede alterar ni el régimen general ni los elementos esenciales de los derechos, deberes y libertades del título I CE. La misma concepción estricta de la afectación de derechos constitucionales se ha reiterado, entre otras, en las SSTC 60/1986, de 20 de mayo, FJ 4; 182/1997, de 18 de octubre, FJ 6; 137/2003, de 3 de julio, FJ 6; 108/2004, de 30 de junio, FJ 7, y 329/2005, de 15 de diciembre, FJ 8. En todas ellas, de uno u otro modo, se añade que a lo que este tribunal debe atender al interpretar el límite material del art. 86.1 CE, es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FJ 8; 329/2005, FJ 8; 100/2012, FJ 9, y 35/2017, FJ 5, entre otras).</w:t>
      </w:r>
    </w:p>
    <w:p w:rsidR="005728DD" w:rsidRDefault="005728DD" w:rsidP="005728DD">
      <w:pPr>
        <w:pStyle w:val="TextoNormal"/>
      </w:pPr>
    </w:p>
    <w:p w:rsidR="005728DD" w:rsidRDefault="005728DD" w:rsidP="005728DD">
      <w:pPr>
        <w:pStyle w:val="TextoNormal"/>
      </w:pPr>
      <w:r>
        <w:t>Por su parte, el art. 20.3 CE establece una reserva de ley ordinaria para la regulación de los medios de comunicación públicos respecto de un doble objeto: la organización y control parlamentario de estos medios, así como la garantía del derecho de acceso a los mismos de los grupos sociales y políticos significativos, siendo en ambos casos el objetivo común el respeto al pluralismo de la sociedad y de las diversas lenguas de España. Se trata de un mandato dirigido al legislador para regular la organización y control parlamentario de los medios de comunicación social de titularidad pública y garantizar el acceso a dichos medios de los grupos sociales y políticos significativos. Y si la Constitución remite a una regulación legal, es porque “el artículo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artículo 1.2 de la Constitución, y que es la base de toda nuestra ordenación jurídico-política. La preservación de esta comunicación pública libre sin la cual no hay sociedad libre ni, por tanto, soberanía popular, exige la garantía de ciertos derechos fundamentales comunes a todos los ciudadanos, y la interdicción con carácter general de determinadas actuaciones del poder (</w:t>
      </w:r>
      <w:r w:rsidRPr="005728DD">
        <w:rPr>
          <w:i/>
        </w:rPr>
        <w:t>verbi gratia</w:t>
      </w:r>
      <w:r>
        <w:t xml:space="preserve"> las prohibidas en los apartados 2 y 5 del mismo art. 20), pero también una especial consideración a los medios que aseguran la comunicación social y, en razón de ello, a quienes profesionalmente los sirven” (STC 6/1981, de 6 de marzo, FJ 3).</w:t>
      </w:r>
    </w:p>
    <w:p w:rsidR="005728DD" w:rsidRDefault="005728DD" w:rsidP="005728DD">
      <w:pPr>
        <w:pStyle w:val="TextoNormal"/>
      </w:pPr>
    </w:p>
    <w:p w:rsidR="005728DD" w:rsidRDefault="005728DD" w:rsidP="005728DD">
      <w:pPr>
        <w:pStyle w:val="TextoNormal"/>
      </w:pPr>
      <w:r>
        <w:t>Por tanto, según la STC 20/2018, de 5 de marzo, FJ 3, “la lectura armonizada del artículo 1, en sus apartados primero y segundo CE, y del artículo 20.3 CE, permite deducir que el control parlamentario que se exige de los medios de comunicación social dependientes de las administraciones públicas, es un control cualificado sobre un ente público que, no solo articula un servicio público de interés social manifiesto (SSTC 12/1982, de 31 de marzo; 74/1982, de 7 de diciembre; 35/1983, de 11 de mayo; 206/1990, de 17 de diciembre; 127/1994, de 5 de mayo, y 73/2014, de 8 de mayo), sino que gestiona medios de comunicación que han de ser calificados como vehículo ‘esencial de información y participación política de los ciudadanos, de formación de la opinión pública, de cooperación con el sistema educativo, de difusión de [</w:t>
      </w:r>
      <w:r w:rsidRPr="005728DD">
        <w:rPr>
          <w:i/>
        </w:rPr>
        <w:t>sic</w:t>
      </w:r>
      <w:r>
        <w:t>] cultura española y de sus nacionalidades y regiones, así como medio capital para contribuir a que la libertad y la igualdad sean reales y efectivas’ (STC 206/1990, de 17 de diciembre, FJ 6, con cita de la STC 12/1982, de 31 de marzo, FJ 4)”.</w:t>
      </w:r>
    </w:p>
    <w:p w:rsidR="005728DD" w:rsidRDefault="005728DD" w:rsidP="005728DD">
      <w:pPr>
        <w:pStyle w:val="TextoNormal"/>
      </w:pPr>
    </w:p>
    <w:p w:rsidR="005728DD" w:rsidRDefault="005728DD" w:rsidP="005728DD">
      <w:pPr>
        <w:pStyle w:val="TextoNormal"/>
      </w:pPr>
      <w:r>
        <w:t>Así, en términos de la STC 20/2018, FJ 3, el control parlamentario al que alude el art. 20.3 CE, “pone de manifiesto la conexión de la radiotelevisión y de la regulación de la radiodifusión, con los derechos contenidos en el artículo 20 CE, y sitúa al legislador, nacional o autonómico, en la necesidad de articular su función de control parlamentario sobre los medios de comunicación social, sin perder de vista que dicho control tiende a garantizar el mejor ejercicio de derechos fundamentales que son básicos, entre otras cosas, para garantizar una institución fundamental, como es la opinión pública libre”. Asimismo, la STC 20/2018, FJ 3, destacó “la importancia que, en el ejercicio de la función de control, tiene el nombramiento de quienes integran el consejo de administración del ente público, tal y como se desprende del razonamiento contenido en la STC 150/2017, de 21 de diciembre”.</w:t>
      </w:r>
    </w:p>
    <w:p w:rsidR="005728DD" w:rsidRDefault="005728DD" w:rsidP="005728DD">
      <w:pPr>
        <w:pStyle w:val="TextoNormal"/>
      </w:pPr>
    </w:p>
    <w:p w:rsidR="005728DD" w:rsidRDefault="005728DD" w:rsidP="005728DD">
      <w:pPr>
        <w:pStyle w:val="TextoNormal"/>
      </w:pPr>
      <w:r>
        <w:t>Dicho en otros términos, la Constitución presupone que existirán medios públicos de comunicación social, asociando una suerte de garantía institucional al ejercicio de las libertades informativas, exigiendo el control parlamentario de dichos medios (STC 12/1982, de 31 de marzo, FJ 4) y atribuyendo a la ley la definición de la organización los mismos, así como de su control parlamentario (art. 20.3 CE).</w:t>
      </w:r>
    </w:p>
    <w:p w:rsidR="005728DD" w:rsidRDefault="005728DD" w:rsidP="005728DD">
      <w:pPr>
        <w:pStyle w:val="TextoNormal"/>
      </w:pPr>
    </w:p>
    <w:p w:rsidR="005728DD" w:rsidRDefault="005728DD" w:rsidP="005728DD">
      <w:pPr>
        <w:pStyle w:val="TextoNormal"/>
      </w:pPr>
      <w:r>
        <w:t>Conforme a la doctrina constitucional que se acaba de exponer, en la potestad de control parlamentario que contempla el art. 20.3 CE se integra la facultad de las Cámaras para nombrar a los integrantes de los órganos de gobierno de esos medios de comunicación. El concreto diseño normativo de las modalidades de control parlamentario sobre los medios de comunicación de titularidad pública, entre las que, como se acaba de exponer, se encuentra la facultad de designación, corresponde abordarlo al legislador, respetando la autonomía parlamentaria. Desde ese segundo punto de vista es patente que el legislador ha tenido presente la vinculación existente entre la supervisión de la actividad desplegada por la Corporación RTVE respecto de la referida a la designación de los miembros del consejo de administración. De los precedentes de la norma ahora impugnada se desprende que la regulación de esta cuestión se ha llevado a cabo estableciendo la intervención de ambas cámaras en la elección parlamentaria de los órganos de administración y gobierno de los medios de comunicación social dependientes del Estado o de cualquier ente público, de modo que cada cámara “ostenta la potestad, y la responsabilidad consiguiente, de designar, en el tiempo legalmente prescrito, los vocales de su elección” [STC 191/2016, de 15 de noviembre, FJ 8 b), allí en relación a la designación de los vocales del Consejo General del Poder Judicial].</w:t>
      </w:r>
    </w:p>
    <w:p w:rsidR="005728DD" w:rsidRDefault="005728DD" w:rsidP="005728DD">
      <w:pPr>
        <w:pStyle w:val="TextoNormal"/>
      </w:pPr>
    </w:p>
    <w:p w:rsidR="005728DD" w:rsidRDefault="005728DD" w:rsidP="005728DD">
      <w:pPr>
        <w:pStyle w:val="TextoNormal"/>
      </w:pPr>
      <w:r>
        <w:lastRenderedPageBreak/>
        <w:t>Así, según el art. 7 de la Ley 4/1980, de 10 de enero, de estatuto de la radio y la televisión, el consejo de administración del ente público RTVE estaba compuesto por doce miembros, elegidos para cada legislatura, la mitad por el Congreso y la mitad por el Senado, mediante mayoría de dos tercios de la Cámara, entre personas de relevantes méritos profesionales. Por su parte, el art. 11 de la Ley 17/2006, de 5 de junio, de la radio y la televisión de titularidad estatal, en sus diversas redacciones, ha dispuesto que los miembros del consejo de administración serán elegidos por las Cortes Generales, inicialmente “a razón de ocho por el Congreso de los Diputados y cuatro por el Senado”, posteriormente “cinco por el Congreso de los Diputados y cuatro por el Senado” (art. 1.2 de Real Decreto-ley 15/2012, de 20 de abril) y, finalmente, en la redacción dada por la Ley 5/2017, de 29 de septiembre, “seis por el Congreso de los Diputados y cuatro por el Senado”. La propia exposición de motivos de la citada Ley 5/2017 considera que la regla de elección parlamentaria con la exigencia de una determinada mayoría “se constituyó en un principio estructural del funcionamiento de la Corporación RTVE y uno de los fundamentos de la instauración de un modelo de radio y televisión pública, independiente, plural, viable y de calidad”.</w:t>
      </w:r>
    </w:p>
    <w:p w:rsidR="005728DD" w:rsidRDefault="005728DD" w:rsidP="005728DD">
      <w:pPr>
        <w:pStyle w:val="TextoNormal"/>
      </w:pPr>
    </w:p>
    <w:p w:rsidR="005728DD" w:rsidRDefault="005728DD" w:rsidP="005728DD">
      <w:pPr>
        <w:pStyle w:val="TextoNormal"/>
      </w:pPr>
      <w:r>
        <w:t>Por tanto, entre los mecanismos de control parlamentario de los medios de comunicación de titularidad pública que el legislador está constitucionalmente obligado a diseñar se encuentra, conforme a la doctrina constitucional que se ha citado, el régimen de elección o designación parlamentaria de los miembros del consejo de administración de la Corporación RTVE, pues, si bien es cierto que la creación de la citada Corporación es fruto de una opción legislativa que la Constitución no impone, también lo es que, una vez adoptada esa decisión por el legislador, es de aplicación a la misma lo dispuesto en el art. 20.3 CE. Así, por lo que hace al régimen de designación, este debe atender, como ha venido sucediendo hasta la aprobación del Decreto-ley en causa, al carácter bicameral de las Cortes Generales, sin perjuicio de que en las distintas concreciones de tal régimen pueda plasmarse la diferente posición que ocupan el Congreso de los Diputados y el Senado en un sistema parlamentario caracterizado por un “notorio bicameralismo imperfecto” (STC 155/2005, de 9 de junio, FJ 9).</w:t>
      </w:r>
    </w:p>
    <w:p w:rsidR="005728DD" w:rsidRDefault="005728DD" w:rsidP="005728DD">
      <w:pPr>
        <w:pStyle w:val="TextoNormal"/>
      </w:pPr>
    </w:p>
    <w:p w:rsidR="005728DD" w:rsidRDefault="005728DD" w:rsidP="005728DD">
      <w:pPr>
        <w:pStyle w:val="TextoNormal"/>
      </w:pPr>
      <w:r>
        <w:t>c) Conforme a cuanto llevamos expuesto procede examinar la impugnación del apartado tercero, que prevé que en determinados casos sea posible sustituir al Senado por el Congreso en el nombramiento de los miembros del consejo de administración que le corresponden.</w:t>
      </w:r>
    </w:p>
    <w:p w:rsidR="005728DD" w:rsidRDefault="005728DD" w:rsidP="005728DD">
      <w:pPr>
        <w:pStyle w:val="TextoNormal"/>
      </w:pPr>
    </w:p>
    <w:p w:rsidR="005728DD" w:rsidRDefault="005728DD" w:rsidP="005728DD">
      <w:pPr>
        <w:pStyle w:val="TextoNormal"/>
      </w:pPr>
      <w:r>
        <w:t>La doctrina constitucional expuesta, y que el presente pronunciamiento define con mayor claridad, permite deducir que la designación parlamentaria forma parte del ámbito protegido por el art. 20.3 CE, cuando alude al control de los medios de comunicación de titularidad pública, precisamente por la importancia que el nombramiento tiene para el adecuado ejercicio de control parlamentario que reclama el precepto constitucional. La modificación que aquí se cuestiona trata de aunar el respeto del mandato constitucional de control parlamentario con la necesidad de facilitar la composición de los órganos de administración de la Corporación RTVE, fijando un modo subsidiario de designación de los miembros del consejo de administración para hacer frente a eventuales situaciones de bloqueo parlamentario. Cumple advertir que en situaciones de normalidad institucional ambas cámaras han de proceder a sus propuestas, así como también que el legislador puede, como mecanismo de salvaguarda, disponer lo oportuno para el caso de que las previsiones normativas no garanticen “con su solo enunciado vinculante, la efectividad plena de lo dispuesto en ellas” [STC 191/2016, de 15 de noviembre, FJ 8 b)].</w:t>
      </w:r>
    </w:p>
    <w:p w:rsidR="005728DD" w:rsidRDefault="005728DD" w:rsidP="005728DD">
      <w:pPr>
        <w:pStyle w:val="TextoNormal"/>
      </w:pPr>
    </w:p>
    <w:p w:rsidR="005728DD" w:rsidRDefault="005728DD" w:rsidP="005728DD">
      <w:pPr>
        <w:pStyle w:val="TextoNormal"/>
      </w:pPr>
      <w:r>
        <w:t>Ahora bien, la anterior consideración no significa que el legislador y mucho menos, el Gobierno actuando como tal, sea enteramente libre de todo límite constitucional a la hora de decidir cómo hacer frente a ese supuesto excepcional. En este caso, teniendo en cuenta la configuración del derecho fundamental concernido que ya se ha expuesto, esta finalidad se persigue de modo tal que supera los límites materiales del art. 86.1 CE, por cuanto se alteran las modalidades de control diseñadas por el legislador en cumplimiento de las exigencias que derivan del art. 20.3 CE, afectando a un aspecto sustancial del mismo como es la intervención de una de las Cámaras en el proceso de designación de los integrantes de los órganos de gobierno del medio público de comunicación. La reforma del sistema de elección por el Congreso y el Senado de los miembros del consejo de administración de la Corporación RTVE que lleva a cabo la norma de urgencia hace, al preterir al Senado, que este no conserve plenamente el control parlamentario sobre la actuación de dicha Corporación que se deriva del art. 20.3 CE. De este modo, al impedir la designación por la Cámara Alta, se está afectando, de modo contrario al art. 86.1 CE, a ese derecho fundamental.</w:t>
      </w:r>
    </w:p>
    <w:p w:rsidR="005728DD" w:rsidRDefault="005728DD" w:rsidP="005728DD">
      <w:pPr>
        <w:pStyle w:val="TextoNormal"/>
      </w:pPr>
    </w:p>
    <w:p w:rsidR="005728DD" w:rsidRDefault="005728DD" w:rsidP="005728DD">
      <w:pPr>
        <w:pStyle w:val="TextoNormal"/>
      </w:pPr>
      <w:r>
        <w:t>No corresponde a este tribunal determinar cuál sea la fórmula adecuada en esa situación, pero sí pronunciarse sobre la que se ha cuestionado en este proceso. En el caso del apartado tercero, la previsión subsidiaria de nombramiento por el Congreso de los cuatro miembros del consejo de administración que corresponde designar al Senado, hace que el legislador de urgencia prive al Senado de su potestad de designación y, con ello, de una de las manifestaciones del control que dicha Cámara ha de desarrollar en cumplimiento del art. 20.3 CE. Esta modificación altera de modo sustantivo uno de los elementos esenciales del control parlamentario de la Corporación RTVE, esto es, que en la designación de los miembros de su consejo de administración concurran ambas cámaras, tal como, por otra parte, se regula en la Ley 17/2006 y en los actos parlamentarios que la han desarrollado, lo que, por implicar “afectación” en el sentido que a este concepto le atribuye la doctrina constitucional, está vedado a esta modalidad de disposición con fuerza de ley.</w:t>
      </w:r>
    </w:p>
    <w:p w:rsidR="005728DD" w:rsidRDefault="005728DD" w:rsidP="005728DD">
      <w:pPr>
        <w:pStyle w:val="TextoNormal"/>
      </w:pPr>
    </w:p>
    <w:p w:rsidR="005728DD" w:rsidRDefault="005728DD" w:rsidP="005728DD">
      <w:pPr>
        <w:pStyle w:val="TextoNormal"/>
      </w:pPr>
      <w:r>
        <w:t>Se prescinde del Senado, cuando se trata de una de las facultades que encuentran su fundamento último, no solo en el art. 20.3 CE, sino también en la garantía del pluralismo político en tanto que valor superior del ordenamiento. Se cuestiona con ello la defensa del interés público atribuido a las Cortes Generales en general y, en particular al Senado, en el ejercicio de la función de control a la que se refiere el art. 20.3 CE, lo que debe llevar a apreciar la infracción del límite material del art. 86.1 CE que había sido alegada por los recurrentes.</w:t>
      </w:r>
    </w:p>
    <w:p w:rsidR="005728DD" w:rsidRDefault="005728DD" w:rsidP="005728DD">
      <w:pPr>
        <w:pStyle w:val="TextoNormal"/>
      </w:pPr>
    </w:p>
    <w:p w:rsidR="005728DD" w:rsidRDefault="005728DD" w:rsidP="005728DD">
      <w:pPr>
        <w:pStyle w:val="TextoNormal"/>
      </w:pPr>
      <w:r>
        <w:t xml:space="preserve">En consecuencia, el apartado tercero del art. único del Real Decreto-ley 4/2018 es inconstitucional y nulo. Los efectos de este pronunciamiento, tal y como se estableció en relación con la disposición final, son meramente declarativos, por una razón adicional. El apartado primero del artículo único del Decreto-ley impugnado dispone en su primer párrafo, que “hasta el nombramiento de los miembros del consejo de administración de la Corporación RTVE y del presidente de la Corporación RTVE y del consejo de acuerdo con lo previsto en las disposiciones transitorias de la Ley 5/2017, de 29 de septiembre, por la que se modifica la Ley 17/2006, de 5 de junio, de la radio y la televisión de titularidad estatal, para recuperar la independencia de la Corporación RTVE y el pluralismo en la elección parlamentaria de sus órganos, las Cortes Generales elegirán a los consejeros que deberán sustituir a aquellos cuyo mandato ha expirado conforme a lo previsto en el presente Real </w:t>
      </w:r>
      <w:r>
        <w:lastRenderedPageBreak/>
        <w:t>Decreto-ley”. Por tanto, una vez nombrados los miembros del consejo de administración de la Corporación RTVE y su presidente, la disposición impugnada ha dejado de tener vigencia efectiva y, de hecho, nunca llegó a aplicarse la salvaguarda que el precepto declarado inconstitucional preveía en relación con la intervención del Senado en el nombramiento de los miembros del Consejo. Dicha previsión, queda sin efecto una vez efectuado el primer nombramiento, por lo que la declaración de inconstitucionalidad y nulidad, no despliega efecto alguno sobre los nombramientos ya efectuados.</w:t>
      </w:r>
    </w:p>
    <w:p w:rsidR="005728DD" w:rsidRDefault="005728DD" w:rsidP="005728DD">
      <w:pPr>
        <w:pStyle w:val="TextoNormal"/>
      </w:pPr>
    </w:p>
    <w:p w:rsidR="005728DD" w:rsidRDefault="005728DD" w:rsidP="005728DD">
      <w:pPr>
        <w:pStyle w:val="TextoNormal"/>
      </w:pPr>
      <w:r>
        <w:t>d) El examen del apartado sexto ha de llevar a una conclusión diferente atendiendo a que los únicos argumentos de los recurrentes hacen referencia a la desaparición de la intervención del Senado en la designación del administrador provisional único, que hace las veces de presidente de la Corporación RTVE en tanto en cuanto se procede al nombramiento de los consejeros.</w:t>
      </w:r>
    </w:p>
    <w:p w:rsidR="005728DD" w:rsidRDefault="005728DD" w:rsidP="005728DD">
      <w:pPr>
        <w:pStyle w:val="TextoNormal"/>
      </w:pPr>
    </w:p>
    <w:p w:rsidR="005728DD" w:rsidRDefault="005728DD" w:rsidP="005728DD">
      <w:pPr>
        <w:pStyle w:val="TextoNormal"/>
      </w:pPr>
      <w:r>
        <w:t>En este caso la facultad de designación del Senado no se ve desplazada, pues el apartado hace referencia únicamente al Congreso, ya que, frente a lo que la demanda sostiene, es a dicha Cámara y no al Gobierno a quien corresponde designar al administrador provisional único y, en realidad, se relaciona con un aspecto que los recurrentes no han cuestionado y en el que el Senado no tiene intervención directa, como es el de la elección parlamentaria del presidente de la Corporación RTVE, elección que, conforme al art. 11.4 de la Ley 17/2006, en la redacción dada por la Ley 5/2017, corresponde al Congreso de los Diputados.</w:t>
      </w:r>
    </w:p>
    <w:p w:rsidR="005728DD" w:rsidRDefault="005728DD" w:rsidP="005728DD">
      <w:pPr>
        <w:pStyle w:val="TextoNormal"/>
      </w:pPr>
    </w:p>
    <w:p w:rsidR="005728DD" w:rsidRDefault="005728DD" w:rsidP="005728DD">
      <w:pPr>
        <w:pStyle w:val="TextoNormal"/>
      </w:pPr>
      <w:r>
        <w:t>Por lo demás, las Cortes Generales, y en particular el Senado, conservan el papel que, para el control del cumplimiento de las funciones de servicio público de la Corporación RTVE, les atribuye la Ley 17/2006, en especial respecto al seguimiento del cumplimiento de los mandatos marco que las Cortes Generales formulan a la Corporación en los términos del art. 4 de la Ley 17/2006 y del contenido del contrato programa que desarrolla dicho mandato marco, así como de su ejecución y resultados anuales (art. 32.4). Igualmente se prevé la remisión de un informe referido a la ejecución del contrato programa y del mandato marco y una memoria sobre el cumplimiento de la función de servicio público encomendada, referido al conjunto de sus actividades, programaciones, servicios y emisiones (art. 39). Previsiones todas ellas que no se ven modificadas por la reforma que se cuestiona (al respecto, además de la Ley 17/2006, resoluciones de las mesas del Congreso de los Diputados y del Senado, de 27 de febrero de 2007, sobre la regulación del control parlamentario ejercido por la comisión mixta Congreso de los Diputados-Senado de control parlamentario de la Corporación RTVE y sus sociedades, y de 12 de noviembre de 2007, sobre el ejercicio de las funciones atribuidas a las Cortes Generales mediante la Ley 17/2006, de 5 de junio, de la radio y la televisión de titularidad estatal).</w:t>
      </w:r>
    </w:p>
    <w:p w:rsidR="005728DD" w:rsidRDefault="005728DD" w:rsidP="005728DD">
      <w:pPr>
        <w:pStyle w:val="TextoNormal"/>
      </w:pPr>
    </w:p>
    <w:p w:rsidR="005728DD" w:rsidRDefault="005728DD" w:rsidP="005728DD">
      <w:pPr>
        <w:pStyle w:val="TextoNormal"/>
      </w:pPr>
      <w:r>
        <w:t>Por tanto, este motivo de inconstitucionalidad ha de ser desestimado en lo que respecta al apartado sexto, ya que no se ha superado el límite material del art. 86.1 CE, por cuanto, con la regulación cuestionada, no se ha afectado a la posición institucional del Senado y, a su través, al art. 20.3 CE.</w:t>
      </w:r>
    </w:p>
    <w:p w:rsidR="005728DD" w:rsidRDefault="005728DD" w:rsidP="005728DD">
      <w:pPr>
        <w:pStyle w:val="TextoNormal"/>
      </w:pPr>
    </w:p>
    <w:p w:rsidR="005728DD" w:rsidRDefault="005728DD" w:rsidP="005728DD">
      <w:pPr>
        <w:pStyle w:val="TextoNormal"/>
      </w:pPr>
      <w:r>
        <w:t xml:space="preserve">Idéntico argumento sirve para descartar la inconstitucionalidad del apartado primero del artículo único, cuya única tacha, desde el punto de vista de la falta de respeto a los límites materiales del decreto-ley, también responde al desplazamiento del Senado en el nombramiento, en este caso, del presidente de la Corporación RTVE y del consejo. El art. 11.4 de </w:t>
      </w:r>
      <w:r>
        <w:lastRenderedPageBreak/>
        <w:t>la Ley 17/2006, de 5 de junio, de la radio y la televisión de titularidad estatal, prevé expresamente que será el Congreso de los Diputados, quien designará, de entre los diez consejeros electos, al que desempeñará el cargo de presidente de la Corporación RTVE y del consejo, requiriendo tal designación una mayoría de dos tercios de la Cámara. Esta previsión, modificada por el Real Decreto-ley 15/2012, de 20 de abril, no fue considerada inconstitucional por la STC 150/2017, de 21 de diciembre.</w:t>
      </w:r>
    </w:p>
    <w:p w:rsidR="005728DD" w:rsidRDefault="005728DD" w:rsidP="005728DD">
      <w:pPr>
        <w:pStyle w:val="TextoNormal"/>
      </w:pPr>
    </w:p>
    <w:p w:rsidR="005728DD" w:rsidRDefault="005728DD" w:rsidP="005728DD">
      <w:pPr>
        <w:pStyle w:val="TextoNormal"/>
      </w:pPr>
      <w:r w:rsidRPr="005728DD">
        <w:rPr>
          <w:rStyle w:val="NumeroAFNegritaCaracter"/>
        </w:rPr>
        <w:t>5</w:t>
      </w:r>
      <w:r>
        <w:t xml:space="preserve">. </w:t>
      </w:r>
      <w:r w:rsidRPr="005728DD">
        <w:rPr>
          <w:i/>
        </w:rPr>
        <w:t>La concurrencia del presupuesto habilitante de urgencia y necesidad, y la conexión de sentido de las medidas adoptadas por el artículo único del Real Decreto-ley</w:t>
      </w:r>
      <w:r>
        <w:t xml:space="preserve"> 4/2018.</w:t>
      </w:r>
    </w:p>
    <w:p w:rsidR="005728DD" w:rsidRDefault="005728DD" w:rsidP="005728DD">
      <w:pPr>
        <w:pStyle w:val="TextoNormal"/>
      </w:pPr>
    </w:p>
    <w:p w:rsidR="005728DD" w:rsidRDefault="005728DD" w:rsidP="005728DD">
      <w:pPr>
        <w:pStyle w:val="TextoNormal"/>
      </w:pPr>
      <w:r>
        <w:t>Llegados a este punto, el tribunal debe analizar el resto de las tachas de inconstitucionalidad que se imputan al artículo único del Real Decreto-ley 4/2018, en los apartados que no hemos declarado ya inconstitucionales.</w:t>
      </w:r>
    </w:p>
    <w:p w:rsidR="005728DD" w:rsidRDefault="005728DD" w:rsidP="005728DD">
      <w:pPr>
        <w:pStyle w:val="TextoNormal"/>
      </w:pPr>
    </w:p>
    <w:p w:rsidR="005728DD" w:rsidRDefault="005728DD" w:rsidP="005728DD">
      <w:pPr>
        <w:pStyle w:val="TextoNormal"/>
      </w:pPr>
      <w:r>
        <w:t>En primer término, debemos adentrarnos en el control de constitucionalidad de la concurrencia del presupuesto habilitante exigido por el artículo 86.1 CE, tanto en lo que se refiere a la situación de urgencia que pretende afrontarse, como en lo relativo a la necesaria conexión entre la situación de urgencia definida y las medidas adoptadas para subvenir a la misma en los apartados referidos.</w:t>
      </w:r>
    </w:p>
    <w:p w:rsidR="005728DD" w:rsidRDefault="005728DD" w:rsidP="005728DD">
      <w:pPr>
        <w:pStyle w:val="TextoNormal"/>
      </w:pPr>
    </w:p>
    <w:p w:rsidR="005728DD" w:rsidRDefault="005728DD" w:rsidP="005728DD">
      <w:pPr>
        <w:pStyle w:val="TextoNormal"/>
      </w:pPr>
      <w:r>
        <w:t>Con un razonamiento, que ya ha sido expuesto, y que se reitera tanto en el debate parlamentario como en la memoria de impacto normativo, el Gobierno ha ofrecido una justificación general vinculada a la imposibilidad de renovación de los órganos de gobierno y administración de la Corporación RTVE y al riesgo de parálisis en el funcionamiento ordinario del consejo por la ausencia de un presidente, con plenas capacidades, teniendo en cuenta que le corresponden las funciones de dirección ejecutiva ordinaria. Riesgo del que se deriva que el servicio público cuya realización compete a la Corporación (arts. 2 y 3 de la Ley 17/2006, de 5 de junio) no pudiera prestarse con normalidad, atendiendo a las relevantes funciones que el art. 20 de la Ley 17/2006 asigna al presidente de la misma y la imposibilidad legal de sustituirlo. Es preciso tener en cuenta que dicho presidente es, en el esquema diseñado por la Ley 17/2006, uno de los órganos esenciales de la Corporación, ya que no solo le corresponden las funciones propias de la legislación mercantil en relación con su condición de presidente del consejo de administración, sino que la propia Ley 17/2006 desdobla esas funciones de las que le asigna en relación con la dirección ejecutiva ordinaria de la Corporación RTVE.</w:t>
      </w:r>
    </w:p>
    <w:p w:rsidR="005728DD" w:rsidRDefault="005728DD" w:rsidP="005728DD">
      <w:pPr>
        <w:pStyle w:val="TextoNormal"/>
      </w:pPr>
    </w:p>
    <w:p w:rsidR="005728DD" w:rsidRDefault="005728DD" w:rsidP="005728DD">
      <w:pPr>
        <w:pStyle w:val="TextoNormal"/>
      </w:pPr>
      <w:r>
        <w:t>Además, estas razones han de valorarse en el contexto en el que se dicta la norma, cuando ya había transcurrido sobradamente el plazo para que, conforme a las disposiciones transitorias de la Ley 5/2017, las Cortes Generales procedieran “a la selección primero de los candidatos y a la posterior elección de un nuevo consejo de administración y de un nuevo presidente de la Corporación RTVE y del consejo”. Además, el carácter provisional de la norma no excluye, sino que reclama, la cobertura de las vacantes por el procedimiento parlamentario legalmente establecido. Así las medidas son, en principio, limitadas y temporales, pues solo pretenden asegurar el funcionamiento adecuado de la Corporación, en tanto se constituye el nuevo consejo de administración en la forma prevista en la Ley 5/2017 (en un sentido similar, STC 103/2017, de 6 de septiembre, FJ 5).</w:t>
      </w:r>
    </w:p>
    <w:p w:rsidR="005728DD" w:rsidRDefault="005728DD" w:rsidP="005728DD">
      <w:pPr>
        <w:pStyle w:val="TextoNormal"/>
      </w:pPr>
    </w:p>
    <w:p w:rsidR="005728DD" w:rsidRDefault="005728DD" w:rsidP="005728DD">
      <w:pPr>
        <w:pStyle w:val="TextoNormal"/>
      </w:pPr>
      <w:r>
        <w:lastRenderedPageBreak/>
        <w:t>De todo ello se concluye que las reformas que se proponen tratan de hacer frente a una situación excepcional actuando para evitar dificultades en el gobierno y gestión ordinaria de la Corporación RTVE (STC 150/2017, FJ 6) que pudieran poner en peligro que cumpliera la función de servicio público que tiene legalmente atribuida.</w:t>
      </w:r>
    </w:p>
    <w:p w:rsidR="005728DD" w:rsidRDefault="005728DD" w:rsidP="005728DD">
      <w:pPr>
        <w:pStyle w:val="TextoNormal"/>
      </w:pPr>
    </w:p>
    <w:p w:rsidR="005728DD" w:rsidRDefault="005728DD" w:rsidP="005728DD">
      <w:pPr>
        <w:pStyle w:val="TextoNormal"/>
      </w:pPr>
      <w:r>
        <w:t>Conforme al control externo que corresponde a este tribunal no cabe rechazar como abusiva o arbitraria la apreciación de que concurre en este caso la situación de extraordinaria y urgente necesidad que el Gobierno ha formulado, al efecto de dictar la legislación de urgencia cuya constitucionalidad se cuestiona en este proceso. Así, podemos considerar que el Gobierno ha satisfecho la exigencia de explicitar y razonar de forma suficiente la existencia de una situación de “extraordinaria y urgente necesidad” que le llevó a dictar el art. único del Real Decreto-ley 4/2018, de modo que la carga de justificar la concurrencia del presupuesto habilitante exigido por el art. 86.1 CE puede considerarse cumplida. No se trata de una descripción mediante fórmulas rituales o genéricas aplicables a todo tipo de realidades de un modo intercambiable, sino a través de una precisa referencia a una situación concreta, vinculada a los riesgos que corría la gestión ordinaria de la Corporación RTVE y, con ella, el adecuado cumplimiento de las funciones de servicio público que tiene encomendadas.</w:t>
      </w:r>
    </w:p>
    <w:p w:rsidR="005728DD" w:rsidRDefault="005728DD" w:rsidP="005728DD">
      <w:pPr>
        <w:pStyle w:val="TextoNormal"/>
      </w:pPr>
    </w:p>
    <w:p w:rsidR="005728DD" w:rsidRDefault="005728DD" w:rsidP="005728DD">
      <w:pPr>
        <w:pStyle w:val="TextoNormal"/>
      </w:pPr>
      <w:r>
        <w:t>En cuanto a la segunda dimensión del presupuesto habilitante de la legislación de urgencia —existencia de conexión de sentido entre la situación de necesidad definida y las medidas que en el Real Decreto-ley se adoptan— nuestra doctrina “ha afirmado un doble criterio o perspectiva para valorar la existencia de la conexión de sentido: el contenido, por un lado, y la estructura, por otro, de las disposiciones incluidas en el Real Decreto-ley controvertido” (SSTC 29/1982, FJ 3; 1/2012, de 13 de enero, FJ 11, y 39/2013, FJ 9). Respecto a este elemento de nuestro canon, atendiendo al control que corresponde a este tribunal, el cual debe respetar el margen de discrecionalidad política que en la apreciación de este requisito corresponde al Gobierno, podemos considerar que no se ha vulnerado la conexión de sentido entre las medidas adoptadas en este art. único y la situación de extraordinaria necesidad y urgencia definida. La reforma se ajusta a los objetivos que la propia exposición de motivos de la norma dice perseguir, respecto a la renovación del consejo de administración y del presidente de la Corporación RTVE. Las medidas adoptadas en el art. único del Real Decreto-ley impugnado son coherentes con la eventual situación de proceder a la mencionada renovación y modifican de modo inmediato la situación jurídica existente.</w:t>
      </w:r>
    </w:p>
    <w:p w:rsidR="005728DD" w:rsidRDefault="005728DD" w:rsidP="005728DD">
      <w:pPr>
        <w:pStyle w:val="TextoNormal"/>
      </w:pPr>
    </w:p>
    <w:p w:rsidR="005728DD" w:rsidRDefault="005728DD" w:rsidP="005728DD">
      <w:pPr>
        <w:pStyle w:val="TextoNormal"/>
      </w:pPr>
      <w:r>
        <w:t>En suma, el Tribunal aprecia que las circunstancias aludidas en la exposición de motivos del decreto-ley impugnado y puestas de manifiesto durante la fase de convalidación reflejan respecto del art. único, más allá de una mera conveniencia política, una situación de hecho que permite concluir, en el ámbito del control externo que compete realizar a este tribunal, que existen razones suficientes para apreciar la existencia de una situación de extraordinaria y urgente necesidad.</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w:t>
      </w:r>
      <w:r w:rsidRPr="005728DD">
        <w:rPr>
          <w:i/>
        </w:rPr>
        <w:t>La posición de los grupos parlamentarios en la propuesta de candidaturas a la Corporación RTVE y el ejercicio del derecho del art. 23.2 CE</w:t>
      </w:r>
      <w:r>
        <w:t>.</w:t>
      </w:r>
    </w:p>
    <w:p w:rsidR="005728DD" w:rsidRDefault="005728DD" w:rsidP="005728DD">
      <w:pPr>
        <w:pStyle w:val="TextoNormal"/>
      </w:pPr>
    </w:p>
    <w:p w:rsidR="005728DD" w:rsidRDefault="005728DD" w:rsidP="005728DD">
      <w:pPr>
        <w:pStyle w:val="TextoNormal"/>
      </w:pPr>
      <w:r>
        <w:t xml:space="preserve">Examinadas las tachas generales relacionadas con la vulneración del art. 86.1 CE, con el resultado que ha quedado expuesto, restan únicamente por enjuiciar las que los recurrentes formulan contra el último inciso del apartado segundo del art. único y contra el apartado sexto de ese mismo art. único, pues aunque la demanda menciona también los dos primeros </w:t>
      </w:r>
      <w:r>
        <w:lastRenderedPageBreak/>
        <w:t>párrafos del apartado primero del art. único, en realidad la queja que formula se centra en los ya mencionados apartados tercero —previamente declarado inconstitucional y por tanto excluido del presente examen— y sexto.</w:t>
      </w:r>
    </w:p>
    <w:p w:rsidR="005728DD" w:rsidRDefault="005728DD" w:rsidP="005728DD">
      <w:pPr>
        <w:pStyle w:val="TextoNormal"/>
      </w:pPr>
    </w:p>
    <w:p w:rsidR="005728DD" w:rsidRDefault="005728DD" w:rsidP="005728DD">
      <w:pPr>
        <w:pStyle w:val="TextoNormal"/>
      </w:pPr>
      <w:r>
        <w:t>a) Del apartado segundo del art. único se cuestiona en concreto la exigencia de que, en el caso de que no se alcance la mayoría de dos tercios en la primera votación para la elección de los consejeros, en la segunda votación, a celebrar cuarenta y ocho horas más tarde y en la que ha de obtenerse la mayoría absoluta, las propuestas de candidatura han de “proceder de, al menos, la mitad de los grupos parlamentarios de la Cámara que corresponda”.</w:t>
      </w:r>
    </w:p>
    <w:p w:rsidR="005728DD" w:rsidRDefault="005728DD" w:rsidP="005728DD">
      <w:pPr>
        <w:pStyle w:val="TextoNormal"/>
      </w:pPr>
    </w:p>
    <w:p w:rsidR="005728DD" w:rsidRDefault="005728DD" w:rsidP="005728DD">
      <w:pPr>
        <w:pStyle w:val="TextoNormal"/>
      </w:pPr>
      <w:r>
        <w:t>La demanda, apoyándose en lo sucedido al aplicarse el precepto, argumenta que este requisito altera el valor del voto, coartando la facultad de voto de los diputados y por ende, el núcleo esencial del 23.2 CE, puesto que no solo se les exige, para que su voto por una determinada candidatura sea válido, que se produzca en los términos reglamentariamente establecidos en la Cámara en la que se emite, sino que, además, se les impone que la expresión de su voluntad deba estar avalada por otros grupos parlamentarios. Para el abogado del Estado esta previsión incrementa el apoyo democrático en la elección y ya estaba establecida en la disposición transitoria primera de la Ley 5/2017.</w:t>
      </w:r>
    </w:p>
    <w:p w:rsidR="005728DD" w:rsidRDefault="005728DD" w:rsidP="005728DD">
      <w:pPr>
        <w:pStyle w:val="TextoNormal"/>
      </w:pPr>
    </w:p>
    <w:p w:rsidR="005728DD" w:rsidRDefault="005728DD" w:rsidP="005728DD">
      <w:pPr>
        <w:pStyle w:val="TextoNormal"/>
      </w:pPr>
      <w:r>
        <w:t>Tal como se ha planteado, la queja de los recurrentes debe ser desestimada.</w:t>
      </w:r>
    </w:p>
    <w:p w:rsidR="005728DD" w:rsidRDefault="005728DD" w:rsidP="005728DD">
      <w:pPr>
        <w:pStyle w:val="TextoNormal"/>
      </w:pPr>
    </w:p>
    <w:p w:rsidR="005728DD" w:rsidRDefault="005728DD" w:rsidP="005728DD">
      <w:pPr>
        <w:pStyle w:val="TextoNormal"/>
      </w:pPr>
      <w:r>
        <w:t>En primer lugar, el control de constitucionalidad de leyes y disposiciones que lleva a cabo este tribunal es “un control ‘en abstracto’ de la norma recurrida, desvinculado de cualquier consideración concreta sobre su aplicación a un específico supuesto de hecho y también de un control ‘objetivo’, pues la regla controvertida ha de ser enjuiciada en atención a su propio sentido” [STC 139/2017, de 29 de noviembre, FJ 2 c)]. Las referencias a los efectos que ha producido la aplicación de la norma impugnada son legítimas, desde la posición procesal que ostentan los diputados recurrentes, pero pretender analizar o inferir, a partir de tales efectos, los verdaderos motivos que han estado en la aprobación de dicho precepto es llevar el debate al campo de las intencionalidades políticas, lo que es ajeno a un proceso como el recurso de inconstitucionalidad. En un proceso de estas características, el precepto recurrido, cuya supuesta inconstitucionalidad se ventila, debe ser interpretado y enjuiciado en atención a su propio sentido y tenor literal, no a partir del contexto que la demanda trae a colación.</w:t>
      </w:r>
    </w:p>
    <w:p w:rsidR="005728DD" w:rsidRDefault="005728DD" w:rsidP="005728DD">
      <w:pPr>
        <w:pStyle w:val="TextoNormal"/>
      </w:pPr>
    </w:p>
    <w:p w:rsidR="005728DD" w:rsidRDefault="005728DD" w:rsidP="005728DD">
      <w:pPr>
        <w:pStyle w:val="TextoNormal"/>
      </w:pPr>
      <w:r>
        <w:t>De acuerdo con tal criterio resulta, en segundo lugar, que la regulación que cuestiona la demanda en nada afecta al régimen de votación de los miembros de la Cámara, sino que se refiere a un aspecto previo, los requisitos que ha de cumplir una determinada propuesta para ser sometida a la consideración de la Cámara, aspecto sobre el que nada se argumenta en la demanda. La norma reduce la mayoría exigible para la adopción del acuerdo, de una mayoría de dos tercios a la mayoría absoluta, pero articula de otro modo el intento de conseguir el mayor consenso posible respecto de la iniciativa sometida a votación. Responde así a una finalidad legítima “en aras de obtener un mayor consenso para proteger más eficazmente los derechos e intereses de las minorías o con otro objetivo razonable” (SSTC 179/1989, de 2 de noviembre, FJ 7, y 238/2012, de 13 de diciembre, FJ 4) relacionado con la necesidad de garantizar y preservar el pluralismo político en tanto que valor superior del ordenamiento jurídico y estimular la razonable búsqueda del acuerdo respecto a quienes vayan a ser elegidos por las distintas fuerzas parlamentarias.</w:t>
      </w:r>
    </w:p>
    <w:p w:rsidR="005728DD" w:rsidRDefault="005728DD" w:rsidP="005728DD">
      <w:pPr>
        <w:pStyle w:val="TextoNormal"/>
      </w:pPr>
    </w:p>
    <w:p w:rsidR="005728DD" w:rsidRDefault="005728DD" w:rsidP="005728DD">
      <w:pPr>
        <w:pStyle w:val="TextoNormal"/>
      </w:pPr>
      <w:r>
        <w:t>b) Al apartado sexto del art. único se le reprocha que hurta al Senado su autonomía y el ejercicio de todo control parlamentario, en cuanto prevé la designación por el Gobierno de un administrador único, sustituyendo la decisión del Senado. Asimismo, se pone en relación la injerencia en el art. 72 CE, con la lesión del art. 23.2 CE, en la medida en que los senadores pierden todo un haz de funciones de control de los medios de comunicación social dependientes del Estado, funciones inherentes al ejercicio del cargo para el que han sido elegidos democráticamente. Para el abogado del Estado, la previsión del apartado sexto es un recurso excepcional y subsidiario para responder a la necesidad de atender al gobierno de la Corporación RTVE.</w:t>
      </w:r>
    </w:p>
    <w:p w:rsidR="005728DD" w:rsidRDefault="005728DD" w:rsidP="005728DD">
      <w:pPr>
        <w:pStyle w:val="TextoNormal"/>
      </w:pPr>
    </w:p>
    <w:p w:rsidR="005728DD" w:rsidRDefault="005728DD" w:rsidP="005728DD">
      <w:pPr>
        <w:pStyle w:val="TextoNormal"/>
      </w:pPr>
      <w:r>
        <w:t>La tacha de vulneración del art. 72 CE por entrometerse la norma en la esfera de autonomía normativa reservada a las Cortes Generales no puede ser estimada, pues ya la STC 150/2017 señaló en su FJ 10 que “[l]a forma de elección de los miembros del consejo de administración y del presidente de la Corporación RTVE no es parte de la autonomía parlamentaria garantizada constitucionalmente por el artículo 72 CE al reconocer a las Cámaras el establecimiento de sus propios reglamentos”, siendo estas mismas consideraciones extensivas a la designación del administrador único.</w:t>
      </w:r>
    </w:p>
    <w:p w:rsidR="005728DD" w:rsidRDefault="005728DD" w:rsidP="005728DD">
      <w:pPr>
        <w:pStyle w:val="TextoNormal"/>
      </w:pPr>
    </w:p>
    <w:p w:rsidR="005728DD" w:rsidRDefault="005728DD" w:rsidP="005728DD">
      <w:pPr>
        <w:pStyle w:val="TextoNormal"/>
      </w:pPr>
      <w:r>
        <w:t>Atendiendo al planteamiento de los recurrentes también debe examinarse si la regulación cuestionada atenta contra las facultades de control parlamentario del Senado y contra el derecho fundamental del art. 23.2 CE del que gozan los integrantes de la Cámara.</w:t>
      </w:r>
    </w:p>
    <w:p w:rsidR="005728DD" w:rsidRDefault="005728DD" w:rsidP="005728DD">
      <w:pPr>
        <w:pStyle w:val="TextoNormal"/>
      </w:pPr>
    </w:p>
    <w:p w:rsidR="005728DD" w:rsidRDefault="005728DD" w:rsidP="005728DD">
      <w:pPr>
        <w:pStyle w:val="TextoNormal"/>
      </w:pPr>
      <w:r>
        <w:t>En cuanto a lo primero, en el examen de esta cuestión debemos partir de la constatación de que el art. 66 CE establece un sistema representativo bicameral, en cuya configuración se aprecia la existencia de diferencias entre ambas cámaras. Diferencias entre las atribuciones de las Cámaras que derivan, en unos casos del propio texto constitucional (así, respecto al Congreso, arts. 86 respecto a la convalidación de los Decretos-leyes, arts. 88 a 90 sobre el procedimiento legislativo, art. 99 acerca de la investidura del presidente del Gobierno y arts. 112 a 114 respecto a la cuestión de confianza y la moción de censura, y, por lo que hace al Senado, art. 155 en punto a la autorización al Gobierno a la que se refiere el mencionado precepto constitucional) y, en otras ocasiones, de la legislación aplicable al caso concreto. La propia Ley 17/2006, de 5 de junio, de la radio y la televisión de titularidad estatal, residencia determinadas atribuciones relacionadas con las que ahora se discuten en una de las Cámaras, el Congreso de los Diputados. Así sucede, por ejemplo, con la apreciación de las causas de cese de los consejeros previstas en el art. 13.1, apartados c) (separación a propuesta del consejo de administración, por causa de incapacidad permanente para el ejercicio del cargo, condena firme por cualquier delito doloso, incompatibilidad sobrevenida, o por acuerdo motivado) y d) (decisión del Congreso de los Diputados), en ambos casos por mayoría de dos tercios, o con la designación del consejero que ha de ser nombrado presidente del consejo de administración de la Corporación RTVE (art. 17).</w:t>
      </w:r>
    </w:p>
    <w:p w:rsidR="005728DD" w:rsidRDefault="005728DD" w:rsidP="005728DD">
      <w:pPr>
        <w:pStyle w:val="TextoNormal"/>
      </w:pPr>
    </w:p>
    <w:p w:rsidR="005728DD" w:rsidRDefault="005728DD" w:rsidP="005728DD">
      <w:pPr>
        <w:pStyle w:val="TextoNormal"/>
      </w:pPr>
      <w:r>
        <w:t xml:space="preserve">Atendiendo a lo anterior, la diferencia que la norma establece respecto a las atribuciones de ambas cámaras en punto al nombramiento del administrador único, en el apartado sexto del art. único no puede tacharse de inconstitucional, por cuanto entra dentro del margen de configuración del legislador al que compete regular la intervención de las Cortes Generales en esta designación. La Constitución remite a la ley la regulación del control parlamentario de los medios de comunicación, pero el legislador es libre para, dentro de la regulación </w:t>
      </w:r>
      <w:r>
        <w:lastRenderedPageBreak/>
        <w:t>relativa a la designación parlamentaria de la dirección del ente, introducir diferencias entre una y otra cámara, como es el caso, en el que se atribuye un mayor protagonismo al Congreso en un supuesto muy específico. Tal y como se ha expuesto en el fundamento jurídico cuarto, no se ve alterada la posición del Senado por no intervenir en la designación del administrador único, tarea que se encomienda al Congreso a propuesta del Gobierno. Se trata de una cuestión que queda a disposición del legislador, pudiendo recordarse ahora, en la perspectiva en la que los recurrentes se sitúan, que el Senado tampoco interviene en la designación del presidente de la Corporación.</w:t>
      </w:r>
    </w:p>
    <w:p w:rsidR="005728DD" w:rsidRDefault="005728DD" w:rsidP="005728DD">
      <w:pPr>
        <w:pStyle w:val="TextoNormal"/>
      </w:pPr>
    </w:p>
    <w:p w:rsidR="005728DD" w:rsidRDefault="005728DD" w:rsidP="005728DD">
      <w:pPr>
        <w:pStyle w:val="TextoNormal"/>
      </w:pPr>
      <w:r>
        <w:t>Igualmente debe descartarse la vulneración del art. 23.2 CE, la cual no se presenta argumentada, más allá de la cita de la STC 40/2003. Está en juego la vertiente de derecho al ejercicio o desempeño del cargo público representativo conforme a lo previsto en las leyes, en relación con la cual este tribunal ha venido insistiendo en que solo poseen relevancia constitucional, a estos efectos, los derechos o facultades atribuidos al representante que pertenezcan al núcleo de su función representativa parlamentaria. En este caso, ya se ha recordado que la configuración de los posibles modos de articular el control parlamentario es una cuestión que ha de determinar el legislador, sin que el modo en que lo ha hecho pueda reputarse contrario al art. 23.2 CE, en los términos de la doctrina constitucional.</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parcialmente el recurso de inconstitucionalidad interpuesto por más de cincuenta diputados del Grupo Parlamentario Popular en el Congreso de los Diputados y, en consecuencia:</w:t>
      </w:r>
    </w:p>
    <w:p w:rsidR="005728DD" w:rsidRDefault="005728DD" w:rsidP="005728DD">
      <w:pPr>
        <w:pStyle w:val="TextoNormal"/>
      </w:pPr>
    </w:p>
    <w:p w:rsidR="005728DD" w:rsidRDefault="005728DD" w:rsidP="005728DD">
      <w:pPr>
        <w:pStyle w:val="TextoNormal"/>
      </w:pPr>
      <w:r>
        <w:t>1º Declarar inconstitucional y nula la disposición final primera del Real Decreto-ley 4/2018, de 22 de junio, por el que se concreta, con carácter urgente, el régimen jurídico aplicable a la designación del consejo de administración de la Corporación RTVE y de su presidente, con los efectos previstos en el fundamento jurídico tercero.</w:t>
      </w:r>
    </w:p>
    <w:p w:rsidR="005728DD" w:rsidRDefault="005728DD" w:rsidP="005728DD">
      <w:pPr>
        <w:pStyle w:val="TextoNormal"/>
      </w:pPr>
    </w:p>
    <w:p w:rsidR="005728DD" w:rsidRDefault="005728DD" w:rsidP="005728DD">
      <w:pPr>
        <w:pStyle w:val="TextoNormal"/>
      </w:pPr>
      <w:r>
        <w:t>2º Declarar inconstitucional y nulo el apartado tercero, del artículo único del Real Decreto-ley 4/2018, de 22 de junio, por el que se concreta, con carácter urgente, el régimen jurídico aplicable a la designación del consejo de administración de la Corporación RTVE y de su presidente, con los efectos previstos en el fundamento jurídico cuatro c).</w:t>
      </w:r>
    </w:p>
    <w:p w:rsidR="005728DD" w:rsidRDefault="005728DD" w:rsidP="005728DD">
      <w:pPr>
        <w:pStyle w:val="TextoNormal"/>
      </w:pPr>
    </w:p>
    <w:p w:rsidR="005728DD" w:rsidRDefault="005728DD" w:rsidP="005728DD">
      <w:pPr>
        <w:pStyle w:val="TextoNormal"/>
      </w:pPr>
      <w:r>
        <w:t>3º Desestimar el recurso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veinticuatro de junio de dos mil veintiuno.</w:t>
      </w:r>
    </w:p>
    <w:p w:rsidR="005728DD" w:rsidRDefault="005728DD" w:rsidP="005728DD">
      <w:pPr>
        <w:pStyle w:val="ParrafoNormal"/>
      </w:pPr>
    </w:p>
    <w:p w:rsidR="005728DD" w:rsidRDefault="005728DD" w:rsidP="005728DD">
      <w:pPr>
        <w:pStyle w:val="TextoNormalNegritaCentrado"/>
        <w:keepNext/>
      </w:pPr>
      <w:r>
        <w:t xml:space="preserve">Voto particular que formula el magistrado don Andrés Ollero Tassara, al que se adhiere la magistrada doña Encarnación Roca Trías, en relación a la </w:t>
      </w:r>
      <w:r>
        <w:lastRenderedPageBreak/>
        <w:t>sentencia dictada por el Pleno del tribunal en el recurso de inconstitucionalidad núm. 3883-2018</w:t>
      </w:r>
    </w:p>
    <w:p w:rsidR="005728DD" w:rsidRDefault="005728DD" w:rsidP="005728DD">
      <w:pPr>
        <w:pStyle w:val="TextoNormalNegritaCentrado"/>
        <w:keepNext/>
      </w:pPr>
    </w:p>
    <w:p w:rsidR="005728DD" w:rsidRDefault="005728DD" w:rsidP="005728DD">
      <w:pPr>
        <w:pStyle w:val="TextoNormal"/>
      </w:pPr>
      <w:r>
        <w:t>Con el máximo respeto a la posición de la mitad del Pleno, enriquecida por el voto de calidad de su presidente, y en ejercicio de la facultad conferida por el artículo 90.2 LOTC, formulo voto particular respecto de la sentencia relativa al recurso citado en el encabezamiento.</w:t>
      </w:r>
    </w:p>
    <w:p w:rsidR="005728DD" w:rsidRDefault="005728DD" w:rsidP="005728DD">
      <w:pPr>
        <w:pStyle w:val="TextoNormal"/>
      </w:pPr>
    </w:p>
    <w:p w:rsidR="005728DD" w:rsidRDefault="005728DD" w:rsidP="005728DD">
      <w:pPr>
        <w:pStyle w:val="TextoNormal"/>
      </w:pPr>
      <w:r>
        <w:t>1. La sentencia, a propósito del artículo único, apartado 3, del Decreto-ley controvertido, que traslada la responsabilidad de elegir a consejeros de RTVE del Senado al Congreso, invita a “recordar la doctrina del tribunal relativa al significado de la prohibición del art. 86.1 CE” que excluye recurrir al Decreto-ley cuando pueda afectar a derechos fundamentales. Asume con ello que ocurriría en este caso “sobre el art. 20.3 CE, pues es el derecho fundamental que se vería afectado”. En realidad no hay doctrina del tribunal que respalde tal afirmación, sino que entiende que lo que encierra el citado artículo es una reserva de ley, al afirmar que “la ley regulará […] el control parlamentario de los medios de comunicación social dependientes del Estado”, sin que ello implique referencia expresa a un peculiar derecho fundamental. No cabe pues afirmar que, “al impedir la designación por la Cámara Alta, se está afectando, de modo contrario al art. 86 CE, a ese derecho fundamental” y que por tal motivo se estén desbordando los límites materiales del Decreto-ley.</w:t>
      </w:r>
    </w:p>
    <w:p w:rsidR="005728DD" w:rsidRDefault="005728DD" w:rsidP="005728DD">
      <w:pPr>
        <w:pStyle w:val="TextoNormal"/>
      </w:pPr>
    </w:p>
    <w:p w:rsidR="005728DD" w:rsidRDefault="005728DD" w:rsidP="005728DD">
      <w:pPr>
        <w:pStyle w:val="TextoNormal"/>
      </w:pPr>
      <w:r>
        <w:t>2. La sentencia da a entender que el control parlamentario previsto en el art. 20.3 CE debe ser bicameral, lo que convertiría en inconstitucional la previsión que hurta al Senado su capacidad de elección. El problema es otro; el control ha quedado reservado a una ley que habría de ser parlamentaria, dada la singularidad de la materia, lo que llevaría consigo la exclusión del recurso al decreto-ley. En consecuencia, el artículo único, apartado 3, no sería inconstitucional por confiar la designación de todos los consejeros a una sola de las cámaras, sino, sencillamente, por regular mecanismos de control parlamentario que solo el Parlamento puede regular. La doctrina constitucional ha precisado a este respecto que una reserva de ley parlamentaria excluye el juego, no solo del reglamento, sino también de las normas gubernamentales con rango de ley. Así lo entendió el Tribunal, a propósito de un estatuto autonómico en relación con la creación de impuestos, en la STC 107/2015, de 28 de mayo, de la que tuve el honor de ser ponente.</w:t>
      </w:r>
    </w:p>
    <w:p w:rsidR="005728DD" w:rsidRDefault="005728DD" w:rsidP="005728DD">
      <w:pPr>
        <w:pStyle w:val="TextoNormal"/>
      </w:pPr>
    </w:p>
    <w:p w:rsidR="005728DD" w:rsidRDefault="005728DD" w:rsidP="005728DD">
      <w:pPr>
        <w:pStyle w:val="TextoNormal"/>
      </w:pPr>
      <w:r>
        <w:t>3. La sentencia, sin embargo, no descarta que, si han fracasado todos los mecanismos previstos para la elección de consejeros de la RTVE, sea posible, sin incurrir en inconstitucionalidad, prescindir del Senado para que el Congreso de los Diputados pueda elegir un administrador provisional único, como prevé el artículo único en su apartado sexto. Se argumenta que, dado que al Congreso se encomienda la elección del presidente del consejo, podrá sin problema en un segundo intento hacer lo propio con el administrador provisional.</w:t>
      </w:r>
    </w:p>
    <w:p w:rsidR="005728DD" w:rsidRDefault="005728DD" w:rsidP="005728DD">
      <w:pPr>
        <w:pStyle w:val="TextoNormal"/>
      </w:pPr>
    </w:p>
    <w:p w:rsidR="005728DD" w:rsidRDefault="005728DD" w:rsidP="005728DD">
      <w:pPr>
        <w:pStyle w:val="TextoNormal"/>
      </w:pPr>
      <w:r>
        <w:t>Incurre con ello en una doble contradicción. Olvida la bicameralidad antes defendida, a pesar de que el citado administrador provisional no va a hacer solo de presidente, sino que sustituirá en sus funciones también a los consejeros. Si se considera inconstitucional el apartado tercero, por afectar a un inexistente derecho fundamental, también tendría que serlo el sexto, porque estaría regulando un presunto derecho fundamental, aunque no se lo entendiera vulnerado. Lo que sí se habría vulnerado, en ambos casos, sería la reserva de ley parlamentaria atribuible al artículo 20.3 CE.</w:t>
      </w:r>
    </w:p>
    <w:p w:rsidR="005728DD" w:rsidRDefault="005728DD" w:rsidP="005728DD">
      <w:pPr>
        <w:pStyle w:val="TextoNormal"/>
      </w:pPr>
    </w:p>
    <w:p w:rsidR="005728DD" w:rsidRDefault="005728DD" w:rsidP="005728DD">
      <w:pPr>
        <w:pStyle w:val="TextoNormal"/>
      </w:pPr>
      <w:r>
        <w:t>4. En cuanto a la disposición final, la sentencia afirma en su fundamento jurídico 3 C) y declara inconstitucional y nula en el fallo, que no se justifica la urgencia de su adopción. En realidad lo que ocurre no es tanto que no haya sido justificada, sino que su contenido (relativo a la composición de un comité de expertos) carece de conexión de sentido con la argumentación sí esgrimida para justificar la urgencia del Decreto-ley. En todo caso, compartiría igualmente la inconstitucionalidad defendida en este voto respecto a apartados anteriores.</w:t>
      </w:r>
    </w:p>
    <w:p w:rsidR="005728DD" w:rsidRDefault="005728DD" w:rsidP="005728DD">
      <w:pPr>
        <w:pStyle w:val="TextoNormal"/>
      </w:pPr>
    </w:p>
    <w:p w:rsidR="005728DD" w:rsidRDefault="005728DD" w:rsidP="005728DD">
      <w:pPr>
        <w:pStyle w:val="TextoNormal"/>
      </w:pPr>
      <w:r>
        <w:t>Y en este sentido formulamos este voto particular.</w:t>
      </w:r>
    </w:p>
    <w:p w:rsidR="005728DD" w:rsidRDefault="005728DD" w:rsidP="005728DD">
      <w:pPr>
        <w:pStyle w:val="TextoNormal"/>
      </w:pPr>
    </w:p>
    <w:p w:rsidR="005728DD" w:rsidRDefault="005728DD" w:rsidP="005728DD">
      <w:pPr>
        <w:pStyle w:val="TextoNormal"/>
      </w:pPr>
      <w:r>
        <w:t>Madrid, a veinticuatro de junio de dos mil veintiuno.</w:t>
      </w:r>
    </w:p>
    <w:p w:rsidR="005728DD" w:rsidRDefault="005728DD" w:rsidP="005728DD">
      <w:pPr>
        <w:pStyle w:val="TextoNormal"/>
      </w:pPr>
    </w:p>
    <w:p w:rsidR="005728DD" w:rsidRDefault="005728DD" w:rsidP="005728DD">
      <w:pPr>
        <w:pStyle w:val="TextoNormalNegritaCentrado"/>
        <w:keepNext/>
      </w:pPr>
      <w:r>
        <w:t>Voto particular que formula el magistrado don Cándido Conde-Pumpido Tourón respecto de la sentencia dictada en el recurso de inconstitucionalidad núm. 3883-2018</w:t>
      </w:r>
    </w:p>
    <w:p w:rsidR="005728DD" w:rsidRDefault="005728DD" w:rsidP="005728DD">
      <w:pPr>
        <w:pStyle w:val="TextoNormalNegritaCentrado"/>
        <w:keepNext/>
      </w:pPr>
    </w:p>
    <w:p w:rsidR="005728DD" w:rsidRDefault="005728DD" w:rsidP="005728DD">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inconstitucionalidad núm. 3883-2018. Las razones de mi discrepancia son las que tuve ocasión de sostener en el Pleno en el que se deliberó el presente asunto.</w:t>
      </w:r>
    </w:p>
    <w:p w:rsidR="005728DD" w:rsidRDefault="005728DD" w:rsidP="005728DD">
      <w:pPr>
        <w:pStyle w:val="TextoNormal"/>
      </w:pPr>
    </w:p>
    <w:p w:rsidR="005728DD" w:rsidRDefault="005728DD" w:rsidP="005728DD">
      <w:pPr>
        <w:pStyle w:val="TextoNormal"/>
      </w:pPr>
      <w:r>
        <w:t>Mi disconformidad tiene que ver con la fundamentación que se realiza en la sentencia para sostener la inconstitucionalidad de algunos de los preceptos impugnados y que supone una confusión en el manejo de determinadas categorías constitucionales acuñadas por nuestra propia doctrina.</w:t>
      </w:r>
    </w:p>
    <w:p w:rsidR="005728DD" w:rsidRDefault="005728DD" w:rsidP="005728DD">
      <w:pPr>
        <w:pStyle w:val="TextoNormal"/>
      </w:pPr>
    </w:p>
    <w:p w:rsidR="005728DD" w:rsidRDefault="005728DD" w:rsidP="005728DD">
      <w:pPr>
        <w:pStyle w:val="TextoNormal"/>
      </w:pPr>
      <w:r>
        <w:t>El apartado tercero del art. único del Real Decreto-ley 4/2018 es declarado inconstitucional y nulo por infracción del límite material del art. 86.1 CE que prohíbe al decreto-ley afectar a los derechos fundamentales. Sin embargo, considero que no es correcta la caracterización que hace la sentencia de la previsión constitucional relativa al control parlamentario de los medios públicos de comunicación recogida en el art. 20.3 CE y que es la que estaría siendo desarrollada mediante el Real Decreto-ley impugnado, pues es evidente que en tal previsión de la norma fundamental no se recoge un derecho fundamental sino un mandato.</w:t>
      </w:r>
    </w:p>
    <w:p w:rsidR="005728DD" w:rsidRDefault="005728DD" w:rsidP="005728DD">
      <w:pPr>
        <w:pStyle w:val="TextoNormal"/>
      </w:pPr>
    </w:p>
    <w:p w:rsidR="005728DD" w:rsidRDefault="005728DD" w:rsidP="005728DD">
      <w:pPr>
        <w:pStyle w:val="TextoNormal"/>
      </w:pPr>
      <w:r>
        <w:t>Así se había entendido hasta ahora por la propia jurisprudencia constitucional cuando afirmaba que “conviene tener en cuenta que el art. 20.3 CE no reconoce a la recurrente ningún derecho fundamental que esta pueda invocar en amparo, siendo únicamente un mandato dirigido al legislador, como recuerda la STC 6/1981, de 16 de marzo, FJ 5” (ATC 26/2001, de 1 de febrero).</w:t>
      </w:r>
    </w:p>
    <w:p w:rsidR="005728DD" w:rsidRDefault="005728DD" w:rsidP="005728DD">
      <w:pPr>
        <w:pStyle w:val="TextoNormal"/>
      </w:pPr>
    </w:p>
    <w:p w:rsidR="005728DD" w:rsidRDefault="005728DD" w:rsidP="005728DD">
      <w:pPr>
        <w:pStyle w:val="TextoNormal"/>
      </w:pPr>
      <w:r>
        <w:t>La confusión de la sentencia de la que discrepamos podría derivar del hecho de que el art. 20.3 CE tiene dos partes perfectamente diferenciables, una es el control parlamentario de los medios públicos (mandato) y otra es la garantía del acceso a los medios de comunicación social dependientes del Estado de los grupos sociales y políticos significativos (que sí podría ser considerado como derecho). La STC 20/2018, que se cita en la sentencia, cuando se refiere al 20.3 CE se está refiriendo a esto segundo y no a lo primero.</w:t>
      </w:r>
    </w:p>
    <w:p w:rsidR="005728DD" w:rsidRDefault="005728DD" w:rsidP="005728DD">
      <w:pPr>
        <w:pStyle w:val="TextoNormal"/>
      </w:pPr>
    </w:p>
    <w:p w:rsidR="005728DD" w:rsidRDefault="005728DD" w:rsidP="005728DD">
      <w:pPr>
        <w:pStyle w:val="TextoNormal"/>
      </w:pPr>
      <w:r>
        <w:t>No es por tanto correcto fundar la inconstitucionalidad del Real Decreto-ley impugnado que regula el control parlamentario de los medios públicos en la contravención del límite recogido en el art. 86.1 CE cuando dispone que los decretos-leyes no podrán afectar a los derechos, deberes y libertades regulados en el Título I. Este tribunal ha recordado que el límite que se dispone en el art. 86.1 CE relativo a la afección de derechos debe ser interpretado restrictivamente y por tanto no cabe extender tal limitación a lo que no es sino un mandato.</w:t>
      </w:r>
    </w:p>
    <w:p w:rsidR="005728DD" w:rsidRDefault="005728DD" w:rsidP="005728DD">
      <w:pPr>
        <w:pStyle w:val="TextoNormal"/>
      </w:pPr>
    </w:p>
    <w:p w:rsidR="005728DD" w:rsidRDefault="005728DD" w:rsidP="005728DD">
      <w:pPr>
        <w:pStyle w:val="TextoNormal"/>
      </w:pPr>
      <w:r>
        <w:t>El hecho de que la sentencia de la que discrepo cite la STC 20/2018, FJ 3, cuando dispone que el control parlamentario al que alude el art. 20.3 CE, “pone de manifiesto la conexión de la radiotelevisión y de la regulación de la radiodifusión, con los derechos contenidos en el artículo 20 CE, y sitúa al legislador, nacional o autonómico, en la necesidad de articular su función de control parlamentario sobre los medios de comunicación social, sin perder de vista que dicho control tiende a garantizar el mejor ejercicio de derechos fundamentales que son básicos, entre otras cosas, para garantizar una institución fundamental, como es la opinión pública libre”; no supone la conversión de lo dispuesto en el art. 20.3 CE en relación con el control parlamentario en un derecho fundamental. Determinados preceptos constitucionales establecen mandatos o disponen normas de competencia que ciertamente coadyuvan a garantizar un mejor ejercicio de los derechos, pero ello no transforma dichos preceptos en preceptos que reconozcan un derecho y que por tanto se vean sometidos al límite del art. 86.1 CE.</w:t>
      </w:r>
    </w:p>
    <w:p w:rsidR="005728DD" w:rsidRDefault="005728DD" w:rsidP="005728DD">
      <w:pPr>
        <w:pStyle w:val="TextoNormal"/>
      </w:pPr>
    </w:p>
    <w:p w:rsidR="005728DD" w:rsidRDefault="005728DD" w:rsidP="005728DD">
      <w:pPr>
        <w:pStyle w:val="TextoNormal"/>
      </w:pPr>
      <w:r>
        <w:t>Sea como fuere, tampoco me parece que, aun obviando la referencia a la vulneración de los límites materiales del art. 86.1 CE, se pudiese declarar la inconstitucionalidad de los preceptos impugnados por considerarse que se vulnera materialmente el propio art. 20.3 CE. En efecto, sería ir demasiado lejos interpretar que cuando el art. 20.3 CE dispone que la ley regulará el control parlamentario de los medios públicos está disponiendo que tenga que ser un control parlamentario bicameral. Creo que se cumple con la Constitución aunque el control de la RTVE se estableciese —por aquel a quien corresponde hacerlo— que sea solo del Congreso y no del Senado.</w:t>
      </w:r>
    </w:p>
    <w:p w:rsidR="005728DD" w:rsidRDefault="005728DD" w:rsidP="005728DD">
      <w:pPr>
        <w:pStyle w:val="TextoNormal"/>
      </w:pPr>
    </w:p>
    <w:p w:rsidR="005728DD" w:rsidRDefault="005728DD" w:rsidP="005728DD">
      <w:pPr>
        <w:pStyle w:val="TextoNormal"/>
      </w:pPr>
      <w:r>
        <w:t xml:space="preserve">En todo caso reitero que, independientemente del resultado en el caso concreto, no puedo sino dejar constancia de mi preocupación por la confusión que percibo en la sentencia de la que discrepo en relación con la utilización de categorías constitucionales largamente acuñadas por nuestra propia doctrina. Preocupación que se acentúa al constatar que, como ya señalé en el voto particular formulado en el recurso de inconstitucionalidad 2035-2020, en esta materia del control de constitucionalidad del presupuesto habilitante de los decretos-leyes, se están realizando cambios en la doctrina jurisprudencial no expresamente reconocidos ni debidamente justificados, incurriendo así en un </w:t>
      </w:r>
      <w:r w:rsidRPr="005728DD">
        <w:rPr>
          <w:i/>
        </w:rPr>
        <w:t>overruling</w:t>
      </w:r>
      <w:r>
        <w:t xml:space="preserve"> encubierto que no responde a las exigencias que nuestra propia doctrina jurisprudencial establece para estos cambios de criterio.</w:t>
      </w:r>
    </w:p>
    <w:p w:rsidR="005728DD" w:rsidRDefault="005728DD" w:rsidP="005728DD">
      <w:pPr>
        <w:pStyle w:val="TextoNormal"/>
      </w:pPr>
    </w:p>
    <w:p w:rsidR="005728DD" w:rsidRDefault="005728DD" w:rsidP="005728DD">
      <w:pPr>
        <w:pStyle w:val="TextoNormal"/>
      </w:pPr>
      <w:r>
        <w:t>Madrid, a veinticuatro de junio de dos mil veintiuno.</w:t>
      </w:r>
    </w:p>
    <w:p w:rsidR="005728DD" w:rsidRDefault="005728DD" w:rsidP="005728DD">
      <w:pPr>
        <w:pStyle w:val="TextoNormal"/>
      </w:pPr>
    </w:p>
    <w:p w:rsidR="005728DD" w:rsidRDefault="005728DD" w:rsidP="005728DD">
      <w:pPr>
        <w:pStyle w:val="TextoNormalNegritaCentrado"/>
        <w:keepNext/>
      </w:pPr>
      <w:r>
        <w:lastRenderedPageBreak/>
        <w:t>Voto particular que formula la magistrada doña María Luisa Balaguer Callejón a la sentencia dictada en el recurso de inconstitucionalidad núm. 3883-2018, al que se adhiere el magistrado don Juan Antonio Xiol Ríos</w:t>
      </w:r>
    </w:p>
    <w:p w:rsidR="005728DD" w:rsidRDefault="005728DD" w:rsidP="005728DD">
      <w:pPr>
        <w:pStyle w:val="TextoNormalNegritaCentrado"/>
        <w:keepNext/>
      </w:pPr>
    </w:p>
    <w:p w:rsidR="005728DD" w:rsidRDefault="005728DD" w:rsidP="005728DD">
      <w:pPr>
        <w:pStyle w:val="TextoNormal"/>
      </w:pPr>
      <w:r>
        <w:t>En ejercicio de la facultad que me confiere el artículo 90.2 de la Ley Orgánica del Tribunal Constitucional expreso, en el presente voto particular, parte de los argumentos que expuse ante el Pleno en relación con la propuesta de resolución del recurso de inconstitucionalidad núm. 3883-2018.</w:t>
      </w:r>
    </w:p>
    <w:p w:rsidR="005728DD" w:rsidRDefault="005728DD" w:rsidP="005728DD">
      <w:pPr>
        <w:pStyle w:val="TextoNormal"/>
      </w:pPr>
    </w:p>
    <w:p w:rsidR="005728DD" w:rsidRDefault="005728DD" w:rsidP="005728DD">
      <w:pPr>
        <w:pStyle w:val="TextoNormal"/>
      </w:pPr>
      <w:r>
        <w:t>En las SSTC 103/2017, de 6 de septiembre, y 150/2017, de 21 de diciembre, así como en la STC 20/2018, de 5 de marzo, de la Sala Primera de este tribunal, formulé votos particulares en relación con el fallo, que ahora me llevan nuevamente a disentir de esta.</w:t>
      </w:r>
    </w:p>
    <w:p w:rsidR="005728DD" w:rsidRDefault="005728DD" w:rsidP="005728DD">
      <w:pPr>
        <w:pStyle w:val="TextoNormal"/>
      </w:pPr>
    </w:p>
    <w:p w:rsidR="005728DD" w:rsidRDefault="005728DD" w:rsidP="005728DD">
      <w:pPr>
        <w:pStyle w:val="TextoNormal"/>
      </w:pPr>
      <w:r>
        <w:t>Me interesa poner de manifiesto que la sentencia parcialmente estimatoria que aquí se aprueba crea una doctrina abiertamente contraria a la que se aplicó para resolver los recursos planteados en aquellas.</w:t>
      </w:r>
    </w:p>
    <w:p w:rsidR="005728DD" w:rsidRDefault="005728DD" w:rsidP="005728DD">
      <w:pPr>
        <w:pStyle w:val="TextoNormal"/>
      </w:pPr>
    </w:p>
    <w:p w:rsidR="005728DD" w:rsidRDefault="005728DD" w:rsidP="005728DD">
      <w:pPr>
        <w:pStyle w:val="TextoNormal"/>
      </w:pPr>
      <w:r>
        <w:t>La primera contra el Decreto-ley del Consell de la Generalitat Valenciana 5/2013, de 7 de noviembre, por el que se adoptan medidas urgentes para garantizar la prestación del servicio público de radio y televisión de titularidad de la Generalitat Valenciana (STC 103/2017, de 6 de septiembre), y la segunda contra el Real Decreto-ley 15/2012, de 20 de abril, de modificación del régimen de administración de la Corporación RTVE, previsto en la Ley 17/2006, de 5 de junio (STC 150/2017, de 21 de diciembre).</w:t>
      </w:r>
    </w:p>
    <w:p w:rsidR="005728DD" w:rsidRDefault="005728DD" w:rsidP="005728DD">
      <w:pPr>
        <w:pStyle w:val="TextoNormal"/>
      </w:pPr>
    </w:p>
    <w:p w:rsidR="005728DD" w:rsidRDefault="005728DD" w:rsidP="005728DD">
      <w:pPr>
        <w:pStyle w:val="TextoNormal"/>
      </w:pPr>
      <w:r>
        <w:t>En ambos asuntos se consideró concurrente el presupuesto formal de la necesidad extraordinaria y urgente para aprobar el decreto-ley, así como la conexión de sentido, como sucede también en el caso de la sentencia a la que se opone el presente voto.</w:t>
      </w:r>
    </w:p>
    <w:p w:rsidR="005728DD" w:rsidRDefault="005728DD" w:rsidP="005728DD">
      <w:pPr>
        <w:pStyle w:val="TextoNormal"/>
      </w:pPr>
    </w:p>
    <w:p w:rsidR="005728DD" w:rsidRDefault="005728DD" w:rsidP="005728DD">
      <w:pPr>
        <w:pStyle w:val="TextoNormal"/>
      </w:pPr>
      <w:r>
        <w:t>Sin embargo, a diferencia de lo resuelto en esta ocasión por el Pleno, en aquellos dos precedentes se desestimó el argumento común expuesto con distintos razonamientos por los recurrentes, de que el decreto-ley era inconstitucional por superar los límites materiales del art. 86.1 CE, al afectar a instituciones básicas de la comunidad autónoma (en el caso de la STC 103/2017) y del Estado (STC 150/2017). Y ese cambio de criterio no se explica en el texto de la sentencia del Pleno, ni encuentra tampoco justificación razonable en la referencia a la STC 20/2018, de 5 de marzo, que parece, implícitamente, querer justificar el cambio de jurisprudencia.</w:t>
      </w:r>
    </w:p>
    <w:p w:rsidR="005728DD" w:rsidRDefault="005728DD" w:rsidP="005728DD">
      <w:pPr>
        <w:pStyle w:val="TextoNormal"/>
      </w:pPr>
    </w:p>
    <w:p w:rsidR="005728DD" w:rsidRDefault="005728DD" w:rsidP="005728DD">
      <w:pPr>
        <w:pStyle w:val="TextoNormal"/>
      </w:pPr>
      <w:r>
        <w:t xml:space="preserve">La STC 20/2018 resolvía un recurso de amparo, y no un recurso de inconstitucionalidad, y no entraba, por tanto, a valorar la adecuación formal de los decretos-leyes para regular cuestiones relativas al régimen de nombramiento de las direcciones de los entes de radiotelevisión pública, aunque efectivamente marcaba la conexión entre el art. 20.3 CE y el control de los medios de comunicación de titularidad pública. Pero esa conexión no es argumento suficiente a mi juicio para dar un giro jurisprudencial de la naturaleza del que aborda esta sentencia de la que discrepo, que viene a concluir, tal y como se deduce de sus fundamentos jurídicos, que no es posible regular por decreto-ley el régimen de intervención parlamentaria en el control de los medios de comunicación de titularidad pública, por incidir en los límites materiales expuestos en el art. 86.1 CE. Eso sí, se refiere a la afectación prohibida de los derechos fundamentales, cuando el problema aquí no es de derechos, sino de </w:t>
      </w:r>
      <w:r>
        <w:lastRenderedPageBreak/>
        <w:t>instituciones, y más concretamente de las instituciones de representación parlamentaria, tal y como expuse en los votos particulares a las SSTC 103 y 150/2017.</w:t>
      </w:r>
    </w:p>
    <w:p w:rsidR="005728DD" w:rsidRDefault="005728DD" w:rsidP="005728DD">
      <w:pPr>
        <w:pStyle w:val="TextoNormal"/>
      </w:pPr>
    </w:p>
    <w:p w:rsidR="005728DD" w:rsidRDefault="005728DD" w:rsidP="005728DD">
      <w:pPr>
        <w:pStyle w:val="TextoNormal"/>
      </w:pPr>
      <w:r>
        <w:t>No todas las previsiones, garantías institucionales o exigencias contenidas en la sección primera del capítulo segundo del título primero de la Constitución son derechos fundamentales. La obligación de control parlamentario a la que se refiere el art. 20.3 CE no lo es, porque se trata del reconocimiento de una dimensión adicional de las facultades de control político que se reconocen a las cámaras de representación parlamentaria en el Título V de la Constitución.</w:t>
      </w:r>
    </w:p>
    <w:p w:rsidR="005728DD" w:rsidRDefault="005728DD" w:rsidP="005728DD">
      <w:pPr>
        <w:pStyle w:val="TextoNormal"/>
      </w:pPr>
    </w:p>
    <w:p w:rsidR="005728DD" w:rsidRDefault="005728DD" w:rsidP="005728DD">
      <w:pPr>
        <w:pStyle w:val="TextoNormal"/>
      </w:pPr>
      <w:r>
        <w:t xml:space="preserve">Si alguna razón hubiera justificado la imposibilidad de aprobar un decreto-ley en este ámbito, esta era la que se invocaba en los votos particulares ya citados, pero acudir directamente a esta razón implicaba una modificación de criterio necesitada de justificación. Sin embargo, la solución aportada ha tratado de superar esa incoherencia acudiendo al pronunciamiento contenido en la STC 20/2018, que no ofrece soporte suficiente en este caso. En el supuesto resuelto por aquella sentencia de Sala, la entidad recurrente en amparo, la federación regional de servicios de la Unión General de Trabajadores-Madrid (FES-UGT), impugnaba una decisión de la mesa de la Asamblea de Madrid. Se trataba de un amparo contra un acto sin valor de ley emanado del poder legislativo </w:t>
      </w:r>
      <w:r w:rsidRPr="005728DD">
        <w:rPr>
          <w:i/>
        </w:rPr>
        <w:t>ex</w:t>
      </w:r>
      <w:r>
        <w:t xml:space="preserve"> art. 42 LOTC, que había excluido a la recurrente de la posibilidad de plantear candidaturas al consejo de administración de Radio Televisión Madrid. El recurso de amparo se estimó porque se reconocía la existencia de un derecho del recurrente derivado del artículo 20.3 CE, “donde se establece que la ley garantizará el acceso a los medios de comunicación social dependientes, en este caso de la comunidad autónoma, de los grupos sociales y políticos significativos, respetando el pluralismo de la sociedad y de las diversas lenguas de España” (STC 20/2018, FJ 5). Y ese reconocimiento llevó a considerar que la medida adoptada por la mesa, de forma inmotivada, lesionó el derecho a la igualdad (art. 14 CE) y al acceso a los medios de comunicación social públicos, de acuerdo con lo previsto en el art. 20.3 CE, en conexión con el derecho a la libertad de sindicación reconocido en el art. 28.1 CE.</w:t>
      </w:r>
    </w:p>
    <w:p w:rsidR="005728DD" w:rsidRDefault="005728DD" w:rsidP="005728DD">
      <w:pPr>
        <w:pStyle w:val="TextoNormal"/>
      </w:pPr>
    </w:p>
    <w:p w:rsidR="005728DD" w:rsidRDefault="005728DD" w:rsidP="005728DD">
      <w:pPr>
        <w:pStyle w:val="TextoNormal"/>
      </w:pPr>
      <w:r>
        <w:t>Pero en el supuesto que resuelve esta sentencia del Pleno, no estamos ante un derecho fundamental sino que, como en el supuesto resuelto en las SSTC 103 y 150/2017, se trata de la intervención de una y otra Cámara en el procedimiento de control del ente directivo de la radiotelevisión pública. Y, teniendo en cuenta la composición del Pleno de este tribunal en el año 2017 y en el actual 2021, se debería haber justificado el cambio de criterio.</w:t>
      </w:r>
    </w:p>
    <w:p w:rsidR="005728DD" w:rsidRDefault="005728DD" w:rsidP="005728DD">
      <w:pPr>
        <w:pStyle w:val="TextoNormal"/>
      </w:pPr>
    </w:p>
    <w:p w:rsidR="005728DD" w:rsidRDefault="005728DD" w:rsidP="005728DD">
      <w:pPr>
        <w:pStyle w:val="TextoNormal"/>
      </w:pPr>
      <w:r>
        <w:t>Llegado a este punto, me remito al contenido de los votos particulares de las SSTC 103/2017 y 150/2017, donde se expone con la suficiente extensión mi posición sobre los límites materiales a la regulación por decreto-ley de las radiotelevisiones de titularidad pública, tanto autonómica, como estatal. En ambos casos, se trata de instituciones básicas de cada uno de sus respectivos ámbitos territoriales, por lo que las facultades de control parlamentario de estas instituciones forman parte de la función de control esencial de los órganos de representación parlamentaria (en este sentido, la STC 12/1982, de 31 de marzo), por lo que su afectación también debe quedar extramuros del ámbito material permitido a los decretos-leyes.</w:t>
      </w:r>
    </w:p>
    <w:p w:rsidR="005728DD" w:rsidRDefault="005728DD" w:rsidP="005728DD">
      <w:pPr>
        <w:pStyle w:val="TextoNormal"/>
      </w:pPr>
    </w:p>
    <w:p w:rsidR="005728DD" w:rsidRDefault="005728DD" w:rsidP="005728DD">
      <w:pPr>
        <w:pStyle w:val="TextoNormal"/>
      </w:pPr>
      <w:r>
        <w:t>Madrid, a veinticuatro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8" w:name="SENTENCIA_2021_135"/>
      <w:r>
        <w:lastRenderedPageBreak/>
        <w:t>SENTENCIA 135/2021, de 24 de junio de 2021</w:t>
      </w:r>
    </w:p>
    <w:bookmarkEnd w:id="138"/>
    <w:p w:rsidR="005728DD" w:rsidRDefault="005728DD" w:rsidP="005728DD">
      <w:pPr>
        <w:pStyle w:val="TtuloResolucin"/>
      </w:pPr>
      <w:r>
        <w:t>Pleno</w:t>
      </w:r>
    </w:p>
    <w:p w:rsidR="005728DD" w:rsidRDefault="005728DD" w:rsidP="005728DD">
      <w:pPr>
        <w:pStyle w:val="TtuloBOE"/>
      </w:pPr>
      <w:r>
        <w:t>(BOE núm. 182, de 31 de julio de 2021)</w:t>
      </w:r>
    </w:p>
    <w:p w:rsidR="005728DD" w:rsidRDefault="005728DD" w:rsidP="005728DD">
      <w:pPr>
        <w:pStyle w:val="TextoNormalCentrado"/>
      </w:pPr>
      <w:r>
        <w:t>ECLI:ES:TC:2021:135</w:t>
      </w:r>
    </w:p>
    <w:p w:rsidR="005728DD" w:rsidRDefault="005728DD" w:rsidP="005728DD">
      <w:pPr>
        <w:pStyle w:val="TextoNormalCentrado"/>
      </w:pPr>
    </w:p>
    <w:p w:rsidR="005728DD" w:rsidRDefault="005728DD" w:rsidP="005728DD">
      <w:pPr>
        <w:pStyle w:val="SntesisDescriptiva"/>
      </w:pPr>
      <w:r>
        <w:t>Recurso de inconstitucionalidad 4090-2019. Interpuesto por más de cincuenta diputados del Grupo Parlamentario Ciudadanos en el Congreso respecto de la Ley Foral 16/2019, de 26 de marzo, de reconocimiento y reparación de las víctimas por actos de motivación política provocados por grupos de extrema derecha o funcionarios públicos.</w:t>
      </w:r>
    </w:p>
    <w:p w:rsidR="005728DD" w:rsidRDefault="005728DD" w:rsidP="005728DD">
      <w:pPr>
        <w:pStyle w:val="SntesisDescriptiva"/>
      </w:pPr>
    </w:p>
    <w:p w:rsidR="005728DD" w:rsidRDefault="005728DD" w:rsidP="005728DD">
      <w:pPr>
        <w:pStyle w:val="SntesisAnaltica"/>
      </w:pPr>
      <w:r>
        <w:t>Principio de reserva de jurisdicción; derecho a la tutela judicial efectiva e intangibilidad de las sentencias, derechos al honor, intimidad y propia imagen, a la protección de datos y a la presunción de inocencia; garantías del proceso penal: STC 108/2021 [interpretación conforme con la Constitución de los preceptos legales que establecen el deber de colaboración de los poderes públicos navarros en la realización del “derecho a la verdad” y definen las funciones que puede desempeñar la Comisión de Reconocimiento y Reparación en la averiguación, documentación y acreditación de hechos (STC 83/2020)]. Voto particular.</w:t>
      </w:r>
    </w:p>
    <w:p w:rsidR="005728DD" w:rsidRDefault="005728DD" w:rsidP="005728DD">
      <w:pPr>
        <w:pStyle w:val="SntesisAnaltica"/>
      </w:pPr>
    </w:p>
    <w:p w:rsidR="005728DD" w:rsidRDefault="005728DD" w:rsidP="005728DD">
      <w:pPr>
        <w:pStyle w:val="Extracto"/>
      </w:pPr>
      <w:r>
        <w:t>1.</w:t>
      </w:r>
      <w:r>
        <w:tab/>
        <w:t>Se reitera la doctrina contenida en las SSTC 85/2018, 83/2020 y 108/2021, en materia de reconocimiento y reparación de las víctimas por actos de motivación política, sobre la regulación de la composición y funcionamiento de la Comisión de Reconocimiento y Reparación, y sobre el denominado “derecho a la verdad” [FFJJ 2 a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inconstitucionalidad núm. 4090-2019, promovido por más de cincuenta diputados del Grupo Parlamentario Ciudadanos en el Congreso de los Diputados, contra la Ley Foral 16/2019, de 26 de marzo, de reconocimiento y reparación de las víctimas por actos de motivación política provocados por grupos de extrema derecha o funcionarios públicos. Han intervenido el Gobierno y el Parlamento de Navarra. Ha sido ponente el magistrado don Andrés Ollero Tassara.</w:t>
      </w:r>
    </w:p>
    <w:p w:rsidR="005728DD" w:rsidRDefault="005728DD" w:rsidP="005728DD">
      <w:pPr>
        <w:pStyle w:val="TextoNormal"/>
      </w:pPr>
    </w:p>
    <w:p w:rsidR="005728DD" w:rsidRDefault="005728DD" w:rsidP="005728DD">
      <w:pPr>
        <w:pStyle w:val="TextoNormalNegritaCentrado"/>
        <w:keepNext/>
      </w:pPr>
      <w:r>
        <w:lastRenderedPageBreak/>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Con fecha 1 de julio de 2019 tuvo entrada en el registro de este tribunal el recurso de inconstitucionalidad presentado por más de cincuenta diputados del Grupo Parlamentario Ciudadanos en el Congreso de los Diputados contra la Ley Foral 16/2019, de 26 de marzo, de reconocimiento y reparación de las víctimas por actos de motivación política provocados por grupos de extrema derecha o funcionarios públicos.</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se fundamenta en las alegaciones que seguidamente se resumen.</w:t>
      </w:r>
    </w:p>
    <w:p w:rsidR="005728DD" w:rsidRDefault="005728DD" w:rsidP="005728DD">
      <w:pPr>
        <w:pStyle w:val="TextoNormal"/>
      </w:pPr>
    </w:p>
    <w:p w:rsidR="005728DD" w:rsidRDefault="005728DD" w:rsidP="005728DD">
      <w:pPr>
        <w:pStyle w:val="TextoNormal"/>
      </w:pPr>
      <w:r>
        <w:t>Los diputados recurrentes consideran que la ley foral impugnada reitera sustancialmente el contenido de la Ley Foral 16/2015, de 10 de abril, de reconocimiento y reparación de las víctimas por actos de motivación política provocados por grupos de extrema derecha o por funcionarios públicos y, por tanto, incurre en los vicios de inconstitucionalidad de los que adolecían los preceptos de esta ley relativos a la competencia y funciones de la Comisión de Reconocimiento y Reparación, según declaró la STC 85/2018, de 19 de julio. Hay una evidente continuidad, sostienen, entre la Ley Foral 16/2015, declarada inconstitucional en parte por la STC 85/2018, y la Ley Foral 16/2019, que la deroga y sustituye. Al propio tiempo, se trata de un intento consciente y deliberado de desconocer los pronunciamientos de la STC 85/2018, promulgando una nueva ley foral que en lo sustancial mantiene el mismo contenido de la anterior ley foral parcialmente anulada por el Tribunal Constitucional. Lejos de corregir las inconstitucionalidades apreciadas en la STC 85/2018, el legislador foral intenta camuflarlas, aplicando “cambios cosméticos” que no pueden ocultar el empeño en salvar el régimen inconstitucional de la Ley Foral 16/2015.</w:t>
      </w:r>
    </w:p>
    <w:p w:rsidR="005728DD" w:rsidRDefault="005728DD" w:rsidP="005728DD">
      <w:pPr>
        <w:pStyle w:val="TextoNormal"/>
      </w:pPr>
    </w:p>
    <w:p w:rsidR="005728DD" w:rsidRDefault="005728DD" w:rsidP="005728DD">
      <w:pPr>
        <w:pStyle w:val="TextoNormal"/>
      </w:pPr>
      <w:r>
        <w:t>En consecuencia, los diputados recurrentes formulan contra la Ley Foral 16/2019, en su integridad, dos motivos de inconstitucionalidad, íntimamente vinculados entre sí y coincidentes con los reproches de constitucionalidad que el presidente del Gobierno planteó contra la Ley Foral 12/2016 en el recurso resuelto por la citada STC 85/2018:</w:t>
      </w:r>
    </w:p>
    <w:p w:rsidR="005728DD" w:rsidRDefault="005728DD" w:rsidP="005728DD">
      <w:pPr>
        <w:pStyle w:val="TextoNormal"/>
      </w:pPr>
    </w:p>
    <w:p w:rsidR="005728DD" w:rsidRDefault="005728DD" w:rsidP="005728DD">
      <w:pPr>
        <w:pStyle w:val="TextoNormal"/>
      </w:pPr>
      <w:r>
        <w:t>a) La ley foral impugnada vulnera la reserva constitucional de la potestad de investigar y declarar la existencia de hechos constitutivos de delito y de determinar su autoría, que corresponde, en exclusiva, a los jueces y tribunales del orden penal, en el ejercicio de la función jurisdiccional (art. 117.3 CE).</w:t>
      </w:r>
    </w:p>
    <w:p w:rsidR="005728DD" w:rsidRDefault="005728DD" w:rsidP="005728DD">
      <w:pPr>
        <w:pStyle w:val="TextoNormal"/>
      </w:pPr>
    </w:p>
    <w:p w:rsidR="005728DD" w:rsidRDefault="005728DD" w:rsidP="005728DD">
      <w:pPr>
        <w:pStyle w:val="TextoNormal"/>
      </w:pPr>
      <w:r>
        <w:t>b) La ley foral impugnada vulnera las garantías constitucionales de los derechos de todas las personas implicadas o afectadas por aquella investigación; en particular, el derecho a la tutela judicial efectiva (art. 24.1 CE), pero también los derechos al honor (art. 18.1 CE) y a la protección de datos personales (art. 18.4 CE), así como a la presunción de inocencia (art. 24.2 CE) y a la legalidad sancionadora (art. 25.1 CE).</w:t>
      </w:r>
    </w:p>
    <w:p w:rsidR="005728DD" w:rsidRDefault="005728DD" w:rsidP="005728DD">
      <w:pPr>
        <w:pStyle w:val="TextoNormal"/>
      </w:pPr>
    </w:p>
    <w:p w:rsidR="005728DD" w:rsidRDefault="005728DD" w:rsidP="005728DD">
      <w:pPr>
        <w:pStyle w:val="TextoNormal"/>
      </w:pPr>
      <w:r>
        <w:t xml:space="preserve">Sostienen así los diputados recurrentes que la legítima finalidad que persigue el legislador foral de articular un régimen de solidaridad colectiva con las víctimas de la violencia de motivación política no puede llevarse a cabo, como se hacía en la Ley Foral 16/2015 y se sigue haciendo en la Ley Foral 16/2019, atropellando las garantías constitucionales de reserva de jurisdicción en la función de investigación de los hechos delictivos y de sus autores, </w:t>
      </w:r>
      <w:r>
        <w:lastRenderedPageBreak/>
        <w:t>con la consiguiente afectación negativa a los derechos fundamentales de las personas implicadas en los hechos presuntamente constitutivos de delito.</w:t>
      </w:r>
    </w:p>
    <w:p w:rsidR="005728DD" w:rsidRDefault="005728DD" w:rsidP="005728DD">
      <w:pPr>
        <w:pStyle w:val="TextoNormal"/>
      </w:pPr>
    </w:p>
    <w:p w:rsidR="005728DD" w:rsidRDefault="005728DD" w:rsidP="005728DD">
      <w:pPr>
        <w:pStyle w:val="TextoNormal"/>
      </w:pPr>
      <w:r>
        <w:t xml:space="preserve">El parámetro de constitucionalidad para enjuiciar la Ley Foral 16/2019 viene dado por la interpretación de la reserva constitucional de jurisdicción (art. 117 CE) realizada por la STC 85/2018 al enjuiciar la Ley Foral 16/2015. Afirmó entonces el Tribunal Constitucional que la regulación de las competencias y del funcionamiento de la Comisión de Reconocimiento y Reparación creada por dicha ley foral comporta la atribución de una función materialmente jurisdiccional a este órgano </w:t>
      </w:r>
      <w:r w:rsidRPr="005728DD">
        <w:rPr>
          <w:i/>
        </w:rPr>
        <w:t>ad hoc</w:t>
      </w:r>
      <w:r>
        <w:t>, lo que invade la reserva de jurisdicción penal para la investigación de los hechos delictivos.</w:t>
      </w:r>
    </w:p>
    <w:p w:rsidR="005728DD" w:rsidRDefault="005728DD" w:rsidP="005728DD">
      <w:pPr>
        <w:pStyle w:val="TextoNormal"/>
      </w:pPr>
    </w:p>
    <w:p w:rsidR="005728DD" w:rsidRDefault="005728DD" w:rsidP="005728DD">
      <w:pPr>
        <w:pStyle w:val="TextoNormal"/>
      </w:pPr>
      <w:r>
        <w:t>Siguiendo la doctrina sentada por la STC 85/2018, los diputados recurrentes afirman que la regulación de las competencias y del funcionamiento de la Comisión de Reconocimiento y Reparación que se contiene ahora en la Ley Foral 16/2019 adolece del mismo vicio de inconstitucionalidad que la Ley Foral 16/2015. Es cierto que se han introducido algunos cambios, pero son en realidad irrelevantes, pues lo decisivo es que a la Comisión se le sigue atribuyendo el ejercicio de funciones materialmente jurisdiccionales, al margen del proceso penal y de sus garantías. La Comisión continúa desplegando una función de investigación (ahora llamada “estudio”) dirigida a la comprobación de la veracidad (prueba) de los hechos constitutivos de la violencia política, a los efectos del reconocimiento de las víctimas para el disfrute de los derechos que la ley foral contempla. Y esta función en manos de una autoridad administrativa es inconstitucional, como ya declaró la STC 85/2018.</w:t>
      </w:r>
    </w:p>
    <w:p w:rsidR="005728DD" w:rsidRDefault="005728DD" w:rsidP="005728DD">
      <w:pPr>
        <w:pStyle w:val="TextoNormal"/>
      </w:pPr>
    </w:p>
    <w:p w:rsidR="005728DD" w:rsidRDefault="005728DD" w:rsidP="005728DD">
      <w:pPr>
        <w:pStyle w:val="TextoNormal"/>
      </w:pPr>
      <w:r>
        <w:t>La Comisión rompería el monopolio de la jurisdicción penal en relación con la investigación de los hechos ilícitos tipificados como delito, pues ejerce funciones materialmente jurisdiccionales de investigación y fijación de hechos delictivos al margen del proceso judicial y de sus garantías. Investiga conductas delictivas a los efectos no solo del reconocimiento de la condición de víctima, sino también para determinar los autores.</w:t>
      </w:r>
    </w:p>
    <w:p w:rsidR="005728DD" w:rsidRDefault="005728DD" w:rsidP="005728DD">
      <w:pPr>
        <w:pStyle w:val="TextoNormal"/>
      </w:pPr>
    </w:p>
    <w:p w:rsidR="005728DD" w:rsidRDefault="005728DD" w:rsidP="005728DD">
      <w:pPr>
        <w:pStyle w:val="TextoNormal"/>
      </w:pPr>
      <w:r>
        <w:t>Además, la Comisión desarrollaría una investigación que violenta los derechos de los terceros implicados, al llevarse a cabo al margen del proceso penal. Aunque se ha incluido un nuevo “principio de garantía de los derechos de terceras personas” (art. 5.5), este principio de actuación no se ha concretado, en relación con el específico procedimiento de investigación, en ningún derecho de los presuntos responsables, que además quedan obligados a comparecer ante la Comisión y atender el requerimiento de información (art. 10). En suma, las personas que pueden ser declaradas como responsables de las actuaciones vulneradoras de los derechos humanos por la Comisión no solo carecen de derechos, sino que se les impone el deber de atender los requerimientos de información que se les pudiera dirigir. Este requerimiento incondicionado entra en conflicto con derechos fundamentales como la prohibición de autoincriminación o la presunción de inocencia.</w:t>
      </w:r>
    </w:p>
    <w:p w:rsidR="005728DD" w:rsidRDefault="005728DD" w:rsidP="005728DD">
      <w:pPr>
        <w:pStyle w:val="TextoNormal"/>
      </w:pPr>
    </w:p>
    <w:p w:rsidR="005728DD" w:rsidRDefault="005728DD" w:rsidP="005728DD">
      <w:pPr>
        <w:pStyle w:val="TextoNormal"/>
      </w:pPr>
      <w:r>
        <w:t xml:space="preserve">La Comisión enjuicia hechos constitutivos de delito y establece su autoría, sin que las cautelas introducidas en la Ley Foral 16/2019 (arts. 5.6 y 6, párrafos segundo y tercero) sean suficientes para salvar su inconstitucionalidad, porque tienen por finalidad, en última instancia, proteger el ejercicio por una autoridad administrativa (la Comisión) de una función que es materialmente jurisdiccional. No cabe cautela alguna para evitar aquello que la Constitución no permite en ningún caso. Si los hechos son ilícitos penales, no cabe actuación ni </w:t>
      </w:r>
      <w:r>
        <w:lastRenderedPageBreak/>
        <w:t>investigadora ni de resolución de la determinación de hechos ni de declaración de autoría por parte de ninguna comisión administrativa, como ya declaró la STC 85/2018.</w:t>
      </w:r>
    </w:p>
    <w:p w:rsidR="005728DD" w:rsidRDefault="005728DD" w:rsidP="005728DD">
      <w:pPr>
        <w:pStyle w:val="TextoNormal"/>
      </w:pPr>
    </w:p>
    <w:p w:rsidR="005728DD" w:rsidRDefault="005728DD" w:rsidP="005728DD">
      <w:pPr>
        <w:pStyle w:val="TextoNormal"/>
      </w:pPr>
      <w:r>
        <w:t>Asimismo razonan los diputados recurrentes que el hecho de que una comisión administrativa determine, de manera directa o indirecta, que un funcionario o un particular es el responsable de vulneraciones de derechos humanos, violentaría sus derechos fundamentales desde el momento en que tiene una finalidad aflictiva para el funcionario o particular señalado como responsable. En concreto, supone la conculcación del derecho a la tutela judicial efectiva (art. 24.1 CE), por cuanto esa declaración de responsabilidad se establece al margen del proceso judicial y de sus garantías. Asimismo lesiona el derecho al honor (art. 18.1 CE), toda vez que el informe de la Comisión y la posterior resolución administrativa que determina la autoría afectan, al margen del proceso judicial, la consideración propia y social de los supuestos responsables. El derecho a la protección de datos de carácter personal (art. 18.4 CE) también resulta vulnerado, porque los datos nominativos y los relativos a las circunstancias personales de quienes aparecen como supuestos responsables son objeto de tratamiento sin mediar consentimiento alguno de los afectados. Vulnera asimismo el derecho a la presunción de inocencia (art. 24.2 CE), pues la autoridad administrativa establece, directa o indirectamente, autoría y culpabilidades en relación con hechos delictivos, siendo incompetente para ello y al margen del proceso judicial. En fin, se infringe el principio de legalidad penal (art. 25.1 CE), porque la actuación de la Comisión y, posteriormente, de la autoridad administrativa que resuelve, supone la aplicación material de un castigo a unas personas supuestamente responsables por una “infracción” que no está tipificada administrativamente (solo podría serlo penalmente) y que, además, se aplica retroactivamente.</w:t>
      </w:r>
    </w:p>
    <w:p w:rsidR="005728DD" w:rsidRDefault="005728DD" w:rsidP="005728DD">
      <w:pPr>
        <w:pStyle w:val="TextoNormal"/>
      </w:pPr>
    </w:p>
    <w:p w:rsidR="005728DD" w:rsidRDefault="005728DD" w:rsidP="005728DD">
      <w:pPr>
        <w:pStyle w:val="TextoNormal"/>
      </w:pPr>
      <w:r w:rsidRPr="005728DD">
        <w:rPr>
          <w:rStyle w:val="NumeroAFNegritaCaracter"/>
        </w:rPr>
        <w:t>3</w:t>
      </w:r>
      <w:r>
        <w:t>. Por providencia de 5 de septiembre de 2019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de la Nación y al Gobierno y al Parlamento de Navarra, al objeto de que en el plazo de quince días pudieran personarse en el proceso y formular las alegaciones que estimaren convenientes. Asimismo se ordenó publicar la incoación del recurso en el “Boletín Oficial del Estado” (publicación que tuvo lugar en el núm. 215, de 7 de septiembre de 2019), así como en el “Boletín Oficial de Navarra”.</w:t>
      </w:r>
    </w:p>
    <w:p w:rsidR="005728DD" w:rsidRDefault="005728DD" w:rsidP="005728DD">
      <w:pPr>
        <w:pStyle w:val="TextoNormal"/>
      </w:pPr>
    </w:p>
    <w:p w:rsidR="005728DD" w:rsidRDefault="005728DD" w:rsidP="005728DD">
      <w:pPr>
        <w:pStyle w:val="TextoNormal"/>
      </w:pPr>
      <w:r w:rsidRPr="005728DD">
        <w:rPr>
          <w:rStyle w:val="NumeroAFNegritaCaracter"/>
        </w:rPr>
        <w:t>4</w:t>
      </w:r>
      <w:r>
        <w:t>. Por escrito que tuvo entrada en este tribunal el 13 de septiembre de 2019, la presidenta del Congreso de los Diputados comunicó el acuerdo de la mesa de la cámara de personarse y ofrecer su colaboración a los efectos del art. 88.1 LOTC. Otro tanto hizo el presidente del Senado, mediante escrito registrado en este tribunal el 19 de septiembre de 2019.</w:t>
      </w:r>
    </w:p>
    <w:p w:rsidR="005728DD" w:rsidRDefault="005728DD" w:rsidP="005728DD">
      <w:pPr>
        <w:pStyle w:val="TextoNormal"/>
      </w:pPr>
    </w:p>
    <w:p w:rsidR="005728DD" w:rsidRDefault="005728DD" w:rsidP="005728DD">
      <w:pPr>
        <w:pStyle w:val="TextoNormal"/>
      </w:pPr>
      <w:r w:rsidRPr="005728DD">
        <w:rPr>
          <w:rStyle w:val="NumeroAFNegritaCaracter"/>
        </w:rPr>
        <w:t>5</w:t>
      </w:r>
      <w:r>
        <w:t>. Mediante escrito registrado en este tribunal el 23 de septiembre de 2019, se personó el abogado del Estado en la representación que ostenta, exclusivamente a los efectos de que se le notifiquen las resoluciones que se dicten en este proceso constitucional.</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El procurador de los tribunales don Noel de Dorremoechea Guiot, actuando en nombre y representación del Gobierno de Navarra, asistido por doña Belén Cilveti Gubía, asesora jurídica-letrada del servicio de asesoría jurídica de ese Gobierno, se personó en el presente </w:t>
      </w:r>
      <w:r>
        <w:lastRenderedPageBreak/>
        <w:t>recurso mediante escrito registrado en este tribunal el 25 de septiembre de 2019. Solicitó que se le concediera prórroga del plazo conferido para formular alegaciones.</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diligencia de ordenación de 26 de septiembre de 2019 se tuvo por personado al procurador de los tribunales don Noel de Dorremoechea Guiot en nombre del Gobierno de Navarra y se le prorrogó en ocho días más el plazo conferido por la providencia de 5 de septiembre de 2019.</w:t>
      </w:r>
    </w:p>
    <w:p w:rsidR="005728DD" w:rsidRDefault="005728DD" w:rsidP="005728DD">
      <w:pPr>
        <w:pStyle w:val="TextoNormal"/>
      </w:pPr>
    </w:p>
    <w:p w:rsidR="005728DD" w:rsidRDefault="005728DD" w:rsidP="005728DD">
      <w:pPr>
        <w:pStyle w:val="TextoNormal"/>
      </w:pPr>
      <w:r w:rsidRPr="005728DD">
        <w:rPr>
          <w:rStyle w:val="NumeroAFNegritaCaracter"/>
        </w:rPr>
        <w:t>8</w:t>
      </w:r>
      <w:r>
        <w:t>. La letrada del Parlamento de Navarra, actuando en representación y defensa de esta institución, se personó en el recurso de inconstitucionalidad mediante escrito registrado en este tribunal el 4 de octubre de 2019 y formuló las alegaciones que seguidamente se resumen.</w:t>
      </w:r>
    </w:p>
    <w:p w:rsidR="005728DD" w:rsidRDefault="005728DD" w:rsidP="005728DD">
      <w:pPr>
        <w:pStyle w:val="TextoNormal"/>
      </w:pPr>
    </w:p>
    <w:p w:rsidR="005728DD" w:rsidRDefault="005728DD" w:rsidP="005728DD">
      <w:pPr>
        <w:pStyle w:val="TextoNormal"/>
      </w:pPr>
      <w:r>
        <w:t>Se refiere en primer lugar al contenido de la Ley Foral 16/2019, de 26 de marzo, para destacar que esta ley tiene como único objeto el que se desprende de su propio título: el reconocimiento y la reparación de las víctimas por actos de motivación política provocados por grupos de extrema derecha o funcionarios públicos; a tal efecto establece el oportuno procedimiento administrativo. La Ley Foral 16/2019 carece de pretensión sancionadora alguna. No contiene ningún precepto encaminado a la indagación de ilícitos penales ni a la determinación de la autoría de esos ilícitos; la responsabilidad penal no es objeto de examen en el contexto del procedimiento administrativo de reconocimiento y reparación de las víctimas. La Ley Foral 16/2019 no atribuye funciones materialmente jurisdiccionales a ningún órgano administrativo y respeta absolutamente el contenido de las sentencias y resoluciones firmes de jueces y tribunales. En consecuencia, concluye que la Ley Foral 16/2019 respeta el principio de reserva que la Constitución atribuye a los órganos judiciales, a la fiscalía y a la policía judicial.</w:t>
      </w:r>
    </w:p>
    <w:p w:rsidR="005728DD" w:rsidRDefault="005728DD" w:rsidP="005728DD">
      <w:pPr>
        <w:pStyle w:val="TextoNormal"/>
      </w:pPr>
    </w:p>
    <w:p w:rsidR="005728DD" w:rsidRDefault="005728DD" w:rsidP="005728DD">
      <w:pPr>
        <w:pStyle w:val="TextoNormal"/>
      </w:pPr>
      <w:r>
        <w:t>Sostiene a continuación que el recurso de inconstitucionalidad no precisa con claridad los preceptos concretos de la Ley Foral 16/2019 que se impugnan, como exige el art. 33 LOTC. Esta indeterminación impide articular una defensa con plenas garantías. A ello se añade que la argumentación del recurso resulta tan vaga que hace imposible un pronunciamiento del Tribunal Constitucional, pues los recurrentes se limitan a afirmar que la Ley Foral 16/2019 viene sustancialmente a reiterar el contenido de la Ley Foral 16/2015, de 10 de abril, parcialmente anulada por la STC 85/2018, de 19 de julio, pero omiten una adecuada argumentación que sustente la pretensión de declaración de inconstitucionalidad que dirigen contra la Ley Foral 16/2019. Todo ello debería conducir a la inadmisión del recurso, según postula la representación del Parlamento de Navarra.</w:t>
      </w:r>
    </w:p>
    <w:p w:rsidR="005728DD" w:rsidRDefault="005728DD" w:rsidP="005728DD">
      <w:pPr>
        <w:pStyle w:val="TextoNormal"/>
      </w:pPr>
    </w:p>
    <w:p w:rsidR="005728DD" w:rsidRDefault="005728DD" w:rsidP="005728DD">
      <w:pPr>
        <w:pStyle w:val="TextoNormal"/>
      </w:pPr>
      <w:r>
        <w:t xml:space="preserve">A continuación examina la inserción de la ley foral impugnada en el marco del Derecho internacional, estatal y autonómico regulador del reconocimiento a las víctimas del terrorismo y otros delitos violentos bajo idénticos parámetros normativos. Se pone de relieve, en síntesis, la evolución del Derecho internacional en este ámbito a favor de la solidaridad, entendida como el deber público de minimizar la victimización, reparar el daño causado y contribuir a la cohesión social, devenir presente también en el Derecho estatal y en el autonómico. Navarra ha dictado cuatro leyes al respecto, constituyendo la ley foral ahora recurrida (que sustituye a la Ley Foral 16/2015, declarada en parte inconstitucional por la STC 85/2018) el cierre del sistema, al incluir en su ámbito de aplicación un residual grupo de víctimas de delitos violentos de motivación política no contemplados en las leyes forales </w:t>
      </w:r>
      <w:r>
        <w:lastRenderedPageBreak/>
        <w:t>anteriores, como tampoco en la legislación estatal. El sistema estrictamente administrativo instituido por la Ley Foral 16/2019 es del todo homologable con la normativa internacional, nacional y autonómica y plenamente respetuoso y compatible con la jurisdicción penal.</w:t>
      </w:r>
    </w:p>
    <w:p w:rsidR="005728DD" w:rsidRDefault="005728DD" w:rsidP="005728DD">
      <w:pPr>
        <w:pStyle w:val="TextoNormal"/>
      </w:pPr>
    </w:p>
    <w:p w:rsidR="005728DD" w:rsidRDefault="005728DD" w:rsidP="005728DD">
      <w:pPr>
        <w:pStyle w:val="TextoNormal"/>
      </w:pPr>
      <w:r>
        <w:t>Sostiene, en recapitulación de lo que antecede, que todo el copioso entramado de la normativa reseñada preconiza y admite con generalidad las potestades administrativas para adoptar medidas de reconocimiento y reparación de las víctimas, previa la lógica y necesaria investigación de la administración competente y de forma compatible con el conocimiento penal de los hechos para la determinación de la responsabilidad criminal que de ellos deriva. Resulta desproporcionada así la genérica tacha que el recurso dirige a la ley foral impugnada por menoscabo del monopolio jurisdiccional (art. 117.3 CE).</w:t>
      </w:r>
    </w:p>
    <w:p w:rsidR="005728DD" w:rsidRDefault="005728DD" w:rsidP="005728DD">
      <w:pPr>
        <w:pStyle w:val="TextoNormal"/>
      </w:pPr>
    </w:p>
    <w:p w:rsidR="005728DD" w:rsidRDefault="005728DD" w:rsidP="005728DD">
      <w:pPr>
        <w:pStyle w:val="TextoNormal"/>
      </w:pPr>
      <w:r>
        <w:t>Se afirma, en consecuencia, la plena constitucionalidad de la Ley Foral 16/2019. El procedimiento administrativo de reconocimiento y reparación de las víctimas establecido en esta ley no invade funciones propias de la jurisdicción penal. Las agresiones, atentados o violaciones graves de derechos humanos pueden, en efecto, revestir el carácter de delitos, pero así ocurre con toda la normativa antes examinada, pues el poder público no solo actúa en el plano de la exigencia de responsabilidad penal, sino que se proyecta también en la vertiente de la protección integral de las víctimas, como actuación complementaria.</w:t>
      </w:r>
    </w:p>
    <w:p w:rsidR="005728DD" w:rsidRDefault="005728DD" w:rsidP="005728DD">
      <w:pPr>
        <w:pStyle w:val="TextoNormal"/>
      </w:pPr>
    </w:p>
    <w:p w:rsidR="005728DD" w:rsidRDefault="005728DD" w:rsidP="005728DD">
      <w:pPr>
        <w:pStyle w:val="TextoNormal"/>
      </w:pPr>
      <w:r>
        <w:t>El objeto del proceso penal se circunscribe a la declaración de la existencia de un hecho típico y punible y a la determinación de su autoría, pudiendo pronunciarse también sobre la responsabilidad civil, en tanto que el procedimiento de la Ley Foral 16/2019 tiene por objeto la acreditación de la condición de víctima y la determinación de los derechos de rehabilitación e indemnización que correspondan. Es de destacar que el art. 12 de esta ley foral asemeja los efectos de la declaración de víctima a los propios de tal declaración en el caso de las víctimas del terrorismo conforme a la Ley Foral 9/2010. Siendo clara la independencia y compatibilidad de procesos penales y procedimientos administrativos, ambos pueden recaer sobre los mismos hechos y la ley foral impugnada dispone que su realidad habrá de acreditarse en el expediente. Las facultades de investigación de la Comisión instituida por la Ley Foral 16/2019 son en todo homologables a las atribuidas a otros órganos similares en la normativa de protección de víctimas y además esta ley foral no atribuye a la Comisión ninguna potestad de carácter investigador sobre los hechos ni tampoco para la determinación de una posible autoría desde el punto de vista de la jurisdicción penal.</w:t>
      </w:r>
    </w:p>
    <w:p w:rsidR="005728DD" w:rsidRDefault="005728DD" w:rsidP="005728DD">
      <w:pPr>
        <w:pStyle w:val="TextoNormal"/>
      </w:pPr>
    </w:p>
    <w:p w:rsidR="005728DD" w:rsidRDefault="005728DD" w:rsidP="005728DD">
      <w:pPr>
        <w:pStyle w:val="TextoNormal"/>
      </w:pPr>
      <w:r>
        <w:t>Advierte asimismo que los preceptos de la Ley Foral 16/2015 declarados inconstitucionales por la STC 85/2018 no han sido incorporados de ninguna manera a la Ley Foral 16/2019, que la deroga. No hay más que leer el contenido de una y otra ley para llegar a esta conclusión por más que los recurrentes afirmen lo contrario, retorciendo para ello el tenor literal de la norma. Antes bien, lo que se ha hecho es incluir otros preceptos en la Ley Foral 16/2019 para reforzar precisamente el carácter plenamente constitucional de la norma legal. En particular, se han incorporado varios preceptos que garantizan la no interferencia del procedimiento administrativo que regula la Ley Foral en el ámbito que corresponde en exclusiva a la jurisdicción penal (arts. 5.6, 6.2 y 3 y 10.4).</w:t>
      </w:r>
    </w:p>
    <w:p w:rsidR="005728DD" w:rsidRDefault="005728DD" w:rsidP="005728DD">
      <w:pPr>
        <w:pStyle w:val="TextoNormal"/>
      </w:pPr>
    </w:p>
    <w:p w:rsidR="005728DD" w:rsidRDefault="005728DD" w:rsidP="005728DD">
      <w:pPr>
        <w:pStyle w:val="TextoNormal"/>
      </w:pPr>
      <w:r>
        <w:t xml:space="preserve">En lo que se refiere a la colaboración de las personas privadas, la Ley Foral 16/2019 cumple los requisitos exigidos por la jurisprudencia constitucional, ya que el deber se establece en norma con rango de ley y es proporcionado a los fines en ella establecidos. El papel </w:t>
      </w:r>
      <w:r>
        <w:lastRenderedPageBreak/>
        <w:t>de estas personas se limita a prestar la colaboración que les sea requerida para facilitar el estudio de los hechos en el marco de los expedientes que se tramiten Por otra parte, el cumplimiento del deber de comparecencia, establecido en la ley, no debe confundirse con una obligación de confesar conductas infractoras del ordenamiento jurídico. La Ley Foral garantiza que el procedimiento sea escrupuloso con el respeto al derecho a la intimidad y a la protección de datos (arts. 6, 7 y 10.2). Los derechos constitucionales no se ven afectados de ningún modo por lo dispuesto en la Ley Foral, que los garantiza expresamente en su art. 5.5.</w:t>
      </w:r>
    </w:p>
    <w:p w:rsidR="005728DD" w:rsidRDefault="005728DD" w:rsidP="005728DD">
      <w:pPr>
        <w:pStyle w:val="TextoNormal"/>
      </w:pPr>
    </w:p>
    <w:p w:rsidR="005728DD" w:rsidRDefault="005728DD" w:rsidP="005728DD">
      <w:pPr>
        <w:pStyle w:val="TextoNormal"/>
      </w:pPr>
      <w:r>
        <w:t>El Tribunal Constitucional no cuestionó en su STC 85/2018 el reconocimiento administrativo de la condición de víctima y los modos de reparación del daño causado. Lo que consideró inconstitucional fue que la reparación se realizase a resultas de una investigación y fijación extrajudiciales de hechos que pudieran ser delictivos y cuya verificación quedaría acreditada por la actuación de la Comisión. En suma, la STC 85/2018 consideró parcialmente inconstitucional la Ley Foral 16/2015 porque esta norma articuló un procedimiento autónomo y acabado en sí mismo para la investigación y esclarecimiento de hechos que son ilícitos penales (con potestades incluso para desconocer lo ya resuelto por la jurisdicción penal), cuestión que corresponde por entero a los jueces y tribunales penales, conforme al art. 117 CE. Por el contrario, la Ley Foral 16/2019 no regula una investigación en el sentido cuestionado por la STC 85/2018. No establece esta ley un procedimiento de indagación pública con sujeción de cualesquiera personas y menos aún con la pretensión de “fijar la verdad de lo sucedido”, como hacía la Ley Foral 16/2015. La Ley Foral 16/2019 no atribuye a la Comisión función alguna para la investigación y el esclarecimiento de los hechos y reconoce expresamente, en cambio, la sujeción a los pronunciamientos judiciales (arts. 5.6, 6.2 y 3 y 10.5).</w:t>
      </w:r>
    </w:p>
    <w:p w:rsidR="005728DD" w:rsidRDefault="005728DD" w:rsidP="005728DD">
      <w:pPr>
        <w:pStyle w:val="TextoNormal"/>
      </w:pPr>
    </w:p>
    <w:p w:rsidR="005728DD" w:rsidRDefault="005728DD" w:rsidP="005728DD">
      <w:pPr>
        <w:pStyle w:val="TextoNormal"/>
      </w:pPr>
      <w:r>
        <w:t>La función que se atribuye a la comisión instituida por la Ley Foral 16/2019 se reduce a determinar si se da el presupuesto de hecho necesario para conceder una tutela puramente resarcitoria o asistencial a personas que han sufrido daños derivados de la comisión de infracciones penales por determinados colectivos, sin necesidad de individualizar a sus autores. La resolución resarcitoria que, en su caso, se pueda decretar en nada afectará a la resolución firme de carácter penal que se hubiese podido adoptar. En suma, el sistema establecido por la Ley Foral 16/2019 es plenamente conforme con la Constitución.</w:t>
      </w:r>
    </w:p>
    <w:p w:rsidR="005728DD" w:rsidRDefault="005728DD" w:rsidP="005728DD">
      <w:pPr>
        <w:pStyle w:val="TextoNormal"/>
      </w:pPr>
    </w:p>
    <w:p w:rsidR="005728DD" w:rsidRDefault="005728DD" w:rsidP="005728DD">
      <w:pPr>
        <w:pStyle w:val="TextoNormal"/>
      </w:pPr>
      <w:r>
        <w:t>Por todo ello, la representación del Parlamento de Navarra interesa que se dicte sentencia por la que se inadmita el recurso por falta de concreción de los preceptos cuya inconstitucionalidad se postula o, subsidiariamente, que se desestime el recurso.</w:t>
      </w:r>
    </w:p>
    <w:p w:rsidR="005728DD" w:rsidRDefault="005728DD" w:rsidP="005728DD">
      <w:pPr>
        <w:pStyle w:val="TextoNormal"/>
      </w:pPr>
    </w:p>
    <w:p w:rsidR="005728DD" w:rsidRDefault="005728DD" w:rsidP="005728DD">
      <w:pPr>
        <w:pStyle w:val="TextoNormal"/>
      </w:pPr>
      <w:r w:rsidRPr="005728DD">
        <w:rPr>
          <w:rStyle w:val="NumeroAFNegritaCaracter"/>
        </w:rPr>
        <w:t>9</w:t>
      </w:r>
      <w:r>
        <w:t>. Mediante escrito registrado en este tribunal el 16 de octubre de 2019, el procurador de los tribunales don Noel de Dorremoechea Guiot, en nombre del Gobierno de Navarra, formuló alegaciones en el presente recurso de inconstitucionalidad.</w:t>
      </w:r>
    </w:p>
    <w:p w:rsidR="005728DD" w:rsidRDefault="005728DD" w:rsidP="005728DD">
      <w:pPr>
        <w:pStyle w:val="TextoNormal"/>
      </w:pPr>
    </w:p>
    <w:p w:rsidR="005728DD" w:rsidRDefault="005728DD" w:rsidP="005728DD">
      <w:pPr>
        <w:pStyle w:val="TextoNormal"/>
      </w:pPr>
      <w:r>
        <w:t xml:space="preserve">Tras referirse con detalle al contenido de la ley foral impugnada, señala que, frente a lo que sostienen los recurrentes, esta ley no atribuiría a la Comisión de Reconocimiento y Reparación funciones propias de la jurisdicción penal. La Ley Foral 16/2019 no tiene finalidad punitiva; su único objeto es abordar la tarea administrativa de reconocimiento y reparación de las víctimas por actos de motivación política provocados por grupos de extrema derecha o funcionarios públicos, como lo corrobora la lectura de su exposición de motivos y de su </w:t>
      </w:r>
      <w:r>
        <w:lastRenderedPageBreak/>
        <w:t>articulado. La Ley Foral 16/2019 corrige además las tachas de inconstitucionalidad que la STC 85/2018, de 19 de julio, apreció en la Ley Foral 16/2015.</w:t>
      </w:r>
    </w:p>
    <w:p w:rsidR="005728DD" w:rsidRDefault="005728DD" w:rsidP="005728DD">
      <w:pPr>
        <w:pStyle w:val="TextoNormal"/>
      </w:pPr>
    </w:p>
    <w:p w:rsidR="005728DD" w:rsidRDefault="005728DD" w:rsidP="005728DD">
      <w:pPr>
        <w:pStyle w:val="TextoNormal"/>
      </w:pPr>
      <w:r>
        <w:t>La Comisión no ejercería funciones propias de la jurisdicción penal. La Comisión no puede, en virtud del principio de legalidad (arts. 9.3 y 103.1 CE), ejercer más funciones que las que le encomienda el ordenamiento, entre las que no se encuentran las de fijar hechos delictivos o ejercer función jurisdiccional. No puede determinar si las personas que han intervenido en los hechos han incurrido o no en algún tipo de responsabilidad penal ni, en consecuencia, imponer penas. No existe, por ello, vulneración de la reserva constitucional de jurisdicción (art. 117 CE), ni tampoco se infringen con su actuación los derechos garantizados por los arts. 18.1, 24 y 25.1 CE. La Comisión es un órgano colegiado adscrito a la administración de la Comunidad Foral que actúa a través de un procedimiento cuya única finalidad es el reconocimiento y la reparación de las víctimas de actos de motivación política, sin inmiscuirse en el ámbito de la jurisdicción penal. Ello no merece reproche alguno de constitucionalidad, pues como ya advirtió la STC 85/2018, FJ 4,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w:t>
      </w:r>
    </w:p>
    <w:p w:rsidR="005728DD" w:rsidRDefault="005728DD" w:rsidP="005728DD">
      <w:pPr>
        <w:pStyle w:val="TextoNormal"/>
      </w:pPr>
    </w:p>
    <w:p w:rsidR="005728DD" w:rsidRDefault="005728DD" w:rsidP="005728DD">
      <w:pPr>
        <w:pStyle w:val="TextoNormal"/>
      </w:pPr>
      <w:r>
        <w:t>Pone de relieve seguidamente, en términos similares a la representación del Parlamento de Navarra, la inserción de la ley foral impugnada en el marco del Derecho internacional, estatal y autonómico regulador del reconocimiento a las víctimas del terrorismo y otros delitos violentos bajo idénticos parámetros normativos. La regulación contenida en la Ley Foral 16/2019 sería perfectamente homologable con la normativa internacional, nacional y autonómica y plenamente respetuosa y compatible con la jurisdicción penal.</w:t>
      </w:r>
    </w:p>
    <w:p w:rsidR="005728DD" w:rsidRDefault="005728DD" w:rsidP="005728DD">
      <w:pPr>
        <w:pStyle w:val="TextoNormal"/>
      </w:pPr>
    </w:p>
    <w:p w:rsidR="005728DD" w:rsidRDefault="005728DD" w:rsidP="005728DD">
      <w:pPr>
        <w:pStyle w:val="TextoNormal"/>
      </w:pPr>
      <w:r>
        <w:t>Insiste en que la actividad administrativa que despliega la comisión instituida por la Ley Foral 16/2019 no conllevaría ninguna intromisión en el ejercicio de la función jurisdiccional que el art. 117 CE encomienda en exclusiva a los juzgados y tribunales determinados por las leyes. Las diversas cautelas establecidas al respecto en esta ley, particularmente en sus arts. 1.2, 5.6, 6.3 y 10.5, garantizan plenamente el deber de la Comisión de cumplir las resoluciones judiciales, la sujeción a lo establecido en las mismas, y la subsidiariedad del procedimiento administrativo que regula la Ley Foral 16/2019 respecto del proceso penal.</w:t>
      </w:r>
    </w:p>
    <w:p w:rsidR="005728DD" w:rsidRDefault="005728DD" w:rsidP="005728DD">
      <w:pPr>
        <w:pStyle w:val="TextoNormal"/>
      </w:pPr>
    </w:p>
    <w:p w:rsidR="005728DD" w:rsidRDefault="005728DD" w:rsidP="005728DD">
      <w:pPr>
        <w:pStyle w:val="TextoNormal"/>
      </w:pPr>
      <w:r>
        <w:t xml:space="preserve">Afirma asimismo que la Ley Foral 16/2019 se acomoda a la doctrina sentada por la STC 85/2018. No sería cierto, frente a lo que sostienen los recurrentes, que la Ley Foral 16/2019 reitere en lo sustancial el contenido de la Ley Foral 16/2015, a la que sustituye, y que fue declarada inconstitucional en parte por la citada STC 85/2018. La Ley Foral 16/2019 corrige los defectos de inconstitucionalidad advertidos por el Tribunal Constitucional en la Ley Foral 16/2015. La Ley Foral 16/2019 difiere sustancialmente de la ley que la precedió: no tiene finalidad punitiva, garantiza la subsidiariedad del procedimiento administrativo respecto del penal, establece el deber de la Comisión y de todos los órganos que actúan en vía administrativa de acatamiento de las resoluciones judiciales y contiene mecanismos (como el de la suspensión del procedimiento administrativo cuando se tenga conocimiento de causas judiciales abiertas) para evitar que la actividad administrativa interfiera en la labor jurisdiccional de juzgados y tribunales del orden penal. La regulación vigente deja claro que la labor de la </w:t>
      </w:r>
      <w:r>
        <w:lastRenderedPageBreak/>
        <w:t>Comisión se dirige únicamente a la fijación del nexo causal entre determinados hechos y la producción del resultado dañoso, con la finalidad exclusiva de proteger a las víctimas.</w:t>
      </w:r>
    </w:p>
    <w:p w:rsidR="005728DD" w:rsidRDefault="005728DD" w:rsidP="005728DD">
      <w:pPr>
        <w:pStyle w:val="TextoNormal"/>
      </w:pPr>
    </w:p>
    <w:p w:rsidR="005728DD" w:rsidRDefault="005728DD" w:rsidP="005728DD">
      <w:pPr>
        <w:pStyle w:val="TextoNormal"/>
      </w:pPr>
      <w:r>
        <w:t>Alega también que la doctrina constitucional contenida en los AATC 30/2017 a 34/2017, de 27 de septiembre todos ellos, y las decisiones del Tribunal Europeo de Derechos Humanos de 25 de junio 2019 que los confirman, respaldan la constitucionalidad de la Ley Foral 16/2019. Los AATC 30/2017, 31/2017, 32/2017, 33/2017 y 34/2017 inadmiten recursos de amparo interpuestos por familiares de personas fallecidas en atentados perpetrados por grupos terroristas, al ver rechazadas las solicitudes de indemnización que formularon al amparo de la Ley 29/2011, de 22 de septiembre, de reconocimiento y protección integral a las víctimas del terrorismo. De dicha doctrina constitucional se desprendería que en un procedimiento administrativo cabe, sin lesionar la presunción de inocencia, utilizar cualquier medio de prueba admisible en derecho, para fijar hechos incluso si los mismos pudieran ser calificados hipotéticamente como constitutivos de ilícitos penales, aunque no haya existido un proceso penal. Todo ello, si lo que se persigue es analizar si concurren o no los requisitos para reconocer y reparar a las víctimas y el procedimiento es indemnizatorio. Que es lo que ocurre con el procedimiento establecido por la Ley Foral 16/2019, se concluye.</w:t>
      </w:r>
    </w:p>
    <w:p w:rsidR="005728DD" w:rsidRDefault="005728DD" w:rsidP="005728DD">
      <w:pPr>
        <w:pStyle w:val="TextoNormal"/>
      </w:pPr>
    </w:p>
    <w:p w:rsidR="005728DD" w:rsidRDefault="005728DD" w:rsidP="005728DD">
      <w:pPr>
        <w:pStyle w:val="TextoNormal"/>
      </w:pPr>
      <w:r>
        <w:t>Niega asimismo el representante del Gobierno de Navarra que Ley Foral 16/2019 vulnere los derechos de terceras personas. El recurso partiría de premisas inexactas, como son que la Comisión fija hechos delictivos, que la autoridad administrativa fija la autoría de esos hechos y que aplica materialmente una sanción con carácter retroactivo. El art. 5.5 de la Ley Foral 16/2019 establece expresamente el principio de garantía de los derechos de terceras personas, de modo que los expedientes administrativos tramitados al amparo de esta ley foral no podrán suponer, en ningún caso, vulneración ni afección alguna a las garantías jurídicas y constitucionales de terceros. Se excluye, por tanto, que las personas implicadas en los hechos que eventualmente den lugar al reconocimiento y reparación de las víctimas puedan sufrir una vulneración de sus derechos al honor (art. 18.1 CE), a la protección de los datos personales (art. 18.4 CE), a la tutela judicial efectiva (art. 24.1 CE), a la presunción de inocencia (art. 24.2 CE) y a la legalidad sancionadora (art. 25.1 CE), en contra de lo que sostienen los recurrentes.</w:t>
      </w:r>
    </w:p>
    <w:p w:rsidR="005728DD" w:rsidRDefault="005728DD" w:rsidP="005728DD">
      <w:pPr>
        <w:pStyle w:val="TextoNormal"/>
      </w:pPr>
    </w:p>
    <w:p w:rsidR="005728DD" w:rsidRDefault="005728DD" w:rsidP="005728DD">
      <w:pPr>
        <w:pStyle w:val="TextoNormal"/>
      </w:pPr>
      <w:r>
        <w:t xml:space="preserve">La Comisión carecería por completo de competencias para apreciar la responsabilidad penal o administrativa en que hubieran podido incurrir las personas implicadas en los hechos que ocasionaron la vulneración de los derechos humanos de la víctima, incluso aunque si aquellas personas estuvieran identificadas; así lo corroboran las cautelas contenidas en los arts. 5.6, 6.3 y 10.5 de la ley foral impugnada. Ello excluye la eventual vulneración de los derechos a la presunción de inocencia (incluso en su dimensión extraprocesal) y a la legalidad sancionadora. Por la misma razón queda excluida la lesión del derecho al honor, teniendo además en cuenta que no es preciso siquiera que la comisión identifique a personas determinadas y que su actuación, así como la de los peritos o expertos que intervengan en el procedimiento, se rige por el deber de confidencialidad (arts. 13.2 y 17.2 de la Ley Foral 16/2019). Otro tanto cabe decir del derecho a la protección de datos, por cuanto la Ley Foral 16/2019 establece expresamente que deberá respetarse la legislación sobre protección de datos (arts. 6.4 y 10.4). Tampoco se vulnera el derecho a la tutela judicial efectiva, pues la Ley Foral 16/2019 establece un procedimiento administrativo que se rige por las mismas normas que cualquier otro procedimiento administrativo, lo que excluye de raíz la hipotética indefensión que invocan los recurrentes; además de las garantías inherentes a cualquier otro </w:t>
      </w:r>
      <w:r>
        <w:lastRenderedPageBreak/>
        <w:t>procedimiento administrativo, la Ley Foral contiene otras adicionales como son la garantía de los derechos de terceras personas (art. 5.5), el deber de suspender la tramitación del procedimiento administrativo hasta que la vía judicial se haya agotado (art. 10.5) y la exigencia de que el informe de la Comisión sea motivado, que analice el cumplimiento de los requisitos establecidos en la Ley Foral y que incluya una valoración sobre la relación de causalidad entre los hechos y los perjuicios acreditados, detallando los medios de prueba en los que se fundamenta (art. 11). Por otra parte, es claro que quien considere que se le ha ocasionado indefensión siempre podrá reaccionar interponiendo los correspondientes recursos en vía administrativa y contencioso-administrativa, conforme a la legislación vigente.</w:t>
      </w:r>
    </w:p>
    <w:p w:rsidR="005728DD" w:rsidRDefault="005728DD" w:rsidP="005728DD">
      <w:pPr>
        <w:pStyle w:val="TextoNormal"/>
      </w:pPr>
    </w:p>
    <w:p w:rsidR="005728DD" w:rsidRDefault="005728DD" w:rsidP="005728DD">
      <w:pPr>
        <w:pStyle w:val="TextoNormal"/>
      </w:pPr>
      <w:r>
        <w:t xml:space="preserve">Señala, en fin, que en el recurso de inconstitucionalidad se insta la nulidad de la Ley Foral 16/2019 en su conjunto, pero lo cierto es que nada se objeta respecto de muchos de sus preceptos, porque la argumentación de los recurrentes se dirige fundamentalmente a la regulación de la Comisión de Reconocimiento y Reparación. Ahora bien, esta comisión no efectuaría ninguna labor jurisdiccional, ni interfiere en la misma, por lo que su regulación en la Ley Foral 16/2019 se acomoda a la Constitución y a la doctrina fijada en la STC 85/2018. En cuanto al resto de la Ley Foral 16/2019, lo que procede es desestimar </w:t>
      </w:r>
      <w:r w:rsidRPr="005728DD">
        <w:rPr>
          <w:i/>
        </w:rPr>
        <w:t>prima</w:t>
      </w:r>
      <w:r>
        <w:t xml:space="preserve"> </w:t>
      </w:r>
      <w:r w:rsidRPr="005728DD">
        <w:rPr>
          <w:i/>
        </w:rPr>
        <w:t>facie</w:t>
      </w:r>
      <w:r>
        <w:t xml:space="preserve"> y sin mayor análisis la pretensión de nulidad de los preceptos respecto de los que ninguna objeción ni tacha de inconstitucionalidad se realiza en el recurso, ya que ha de prevalecer el principio de presunción de constitucionalidad de las leyes, que de forma reiterada proclama la doctrina constitucional (por todas, STC 142/2018, de 20 de diciembre, FJ 2).</w:t>
      </w:r>
    </w:p>
    <w:p w:rsidR="005728DD" w:rsidRDefault="005728DD" w:rsidP="005728DD">
      <w:pPr>
        <w:pStyle w:val="TextoNormal"/>
      </w:pPr>
    </w:p>
    <w:p w:rsidR="005728DD" w:rsidRDefault="005728DD" w:rsidP="005728DD">
      <w:pPr>
        <w:pStyle w:val="TextoNormal"/>
      </w:pPr>
      <w:r>
        <w:t>Por todo lo expuesto, la representación del Gobierno de Navarra interesa que se dicte sentencia por la que se desestime el recurso de inconstitucionalidad.</w:t>
      </w:r>
    </w:p>
    <w:p w:rsidR="005728DD" w:rsidRDefault="005728DD" w:rsidP="005728DD">
      <w:pPr>
        <w:pStyle w:val="TextoNormal"/>
      </w:pPr>
    </w:p>
    <w:p w:rsidR="005728DD" w:rsidRDefault="005728DD" w:rsidP="005728DD">
      <w:pPr>
        <w:pStyle w:val="TextoNormal"/>
      </w:pPr>
      <w:r w:rsidRPr="005728DD">
        <w:rPr>
          <w:rStyle w:val="NumeroAFNegritaCaracter"/>
        </w:rPr>
        <w:t>10</w:t>
      </w:r>
      <w:r>
        <w:t>. Mediante providencia de 22 de junio de 2021, se señaló para deliberación y votación de la presente sentencia el día 24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El presente recurso de inconstitucionalidad ha sido promovido por más de cincuenta diputados del Grupo Parlamentario Ciudadanos en el Congreso de los Diputados contra la Ley Foral 16/2019, de 26 de marzo, de reconocimiento y reparación de las víctimas por actos de motivación política provocados por grupos de extrema derecha o funcionarios públicos.</w:t>
      </w:r>
    </w:p>
    <w:p w:rsidR="005728DD" w:rsidRDefault="005728DD" w:rsidP="005728DD">
      <w:pPr>
        <w:pStyle w:val="TextoNormal"/>
      </w:pPr>
    </w:p>
    <w:p w:rsidR="005728DD" w:rsidRDefault="005728DD" w:rsidP="005728DD">
      <w:pPr>
        <w:pStyle w:val="TextoNormal"/>
      </w:pPr>
      <w:r>
        <w:t xml:space="preserve">Sostienen los recurrentes, como ha quedado indicado con mayor detalle en el relato de antecedentes de esta sentencia, que la Ley Foral 16/2019 vulnera, en primer lugar, la reserva constitucional de la potestad de investigar y declarar la existencia de hechos constitutivos de delito y de determinar su autoría, que corresponde, en exclusiva, a los jueces y tribunales del orden penal, en el ejercicio de la función jurisdiccional (art. 117.3 CE) y, en segundo lugar, las garantías constitucionales de los derechos fundamentales de las personas implicadas o afectadas por aquella investigación. Afirman los recurrentes que la Ley Foral 16/2019, que sustituye a la 16/2015, de 10 de abril, declarada en parte inconstitucional por la STC </w:t>
      </w:r>
      <w:r>
        <w:lastRenderedPageBreak/>
        <w:t>85/2018, de 19 de julio, obedece al propósito de eludir los pronunciamientos de esta sentencia, promulgando una nueva ley foral que en lo sustancial mantiene el mismo contenido de la anterior, parcialmente anulada por el Tribunal Constitucional.</w:t>
      </w:r>
    </w:p>
    <w:p w:rsidR="005728DD" w:rsidRDefault="005728DD" w:rsidP="005728DD">
      <w:pPr>
        <w:pStyle w:val="TextoNormal"/>
      </w:pPr>
    </w:p>
    <w:p w:rsidR="005728DD" w:rsidRDefault="005728DD" w:rsidP="005728DD">
      <w:pPr>
        <w:pStyle w:val="TextoNormal"/>
      </w:pPr>
      <w:r>
        <w:t>La letrada del Parlamento de Navarra reprocha a los recurrentes que no cumplan debidamente la carga argumentativa que les incumbe en virtud del art. 33 LOTC, pues no precisan con claridad los concretos preceptos de la Ley Foral 16/2019 a los que dirigen su impugnación; lo que debe conducir, según sostiene, a declarar la inadmisión del recurso. Subsidiariamente, interesa la desestimación de este, por entender que Ley Foral 16/2019 se acomoda perfectamente a la doctrina sentada por la STC 85/2018, estableciendo un sistema estrictamente administrativo para el reconocimiento y la reparación de las víctimas por actos de motivación política de grupos de extrema derecha y funcionarios públicos en Navarra. Esta nueva regulación resultaría plenamente respetuosa y compatible con la jurisdicción penal, así como con los derechos fundamentales de las personas implicadas, por lo que no incurre en tacha alguna de inconstitucionalidad.</w:t>
      </w:r>
    </w:p>
    <w:p w:rsidR="005728DD" w:rsidRDefault="005728DD" w:rsidP="005728DD">
      <w:pPr>
        <w:pStyle w:val="TextoNormal"/>
      </w:pPr>
    </w:p>
    <w:p w:rsidR="005728DD" w:rsidRDefault="005728DD" w:rsidP="005728DD">
      <w:pPr>
        <w:pStyle w:val="TextoNormal"/>
      </w:pPr>
      <w:r>
        <w:t>También la representación procesal del Gobierno de Navarra interesa la desestimación del recurso, pues entiende, en parecidos términos que el Parlamento de Navarra, que Ley Foral 16/2019 no atribuye a la Comisión de Reconocimiento y Reparación funciones propias de la jurisdicción penal. Se trata de un régimen administrativo que da cumplimiento a la doctrina sentada por la STC 85/2018, que no conlleva intromisión alguna en la reserva exclusiva de jurisdicción que establece el art. 117.3 CE y que respeta los derechos fundamentales de los terceros sobre los que pueda proyectarse la investigación a los solos efectos de reconocimiento y reparación de las víctimas de violencia política.</w:t>
      </w:r>
    </w:p>
    <w:p w:rsidR="005728DD" w:rsidRDefault="005728DD" w:rsidP="005728DD">
      <w:pPr>
        <w:pStyle w:val="TextoNormal"/>
      </w:pPr>
    </w:p>
    <w:p w:rsidR="005728DD" w:rsidRDefault="005728DD" w:rsidP="005728DD">
      <w:pPr>
        <w:pStyle w:val="TextoNormal"/>
      </w:pPr>
      <w:r w:rsidRPr="005728DD">
        <w:rPr>
          <w:rStyle w:val="NumeroAFNegritaCaracter"/>
        </w:rPr>
        <w:t>2</w:t>
      </w:r>
      <w:r>
        <w:t>. La Ley Foral 16/2019, de 26 de marzo, de reconocimiento y reparación de las víctimas por actos de motivación política provocados por grupos de extrema derecha o funcionarios públicos, ha sido ya objeto de la reciente STC 108/2021, de 13 de mayo, resolutoria del recurso de inconstitucionalidad núm. 4062-2019, interpuesto por más de cincuenta diputados de los Grupos Parlamentarios Popular y Vox en el Congreso de los Diputados. La STC 108/2021, que establece varias interpretaciones de conformidad y desestima el recurso en lo restante, cobra relevancia para la resolución del presente proceso constitucional en los términos que seguidamente se señalan.</w:t>
      </w:r>
    </w:p>
    <w:p w:rsidR="005728DD" w:rsidRDefault="005728DD" w:rsidP="005728DD">
      <w:pPr>
        <w:pStyle w:val="TextoNormal"/>
      </w:pPr>
    </w:p>
    <w:p w:rsidR="005728DD" w:rsidRDefault="005728DD" w:rsidP="005728DD">
      <w:pPr>
        <w:pStyle w:val="TextoNormal"/>
      </w:pPr>
      <w:r>
        <w:t>En efecto, aquel recurso de inconstitucionalidad y el presente formulan reproches y suscitan controversias constitucionales muy similares en términos generales, por lo que la doctrina de la sentencia resolutoria del primero sirve para responder a buena parte de las impugnaciones del segundo. Así, y de acuerdo con una pauta no infrecuente, cabe dar aquí por reproducidos, en primer lugar, los fundamentos jurídicos que la STC 108/2021 dedica:</w:t>
      </w:r>
    </w:p>
    <w:p w:rsidR="005728DD" w:rsidRDefault="005728DD" w:rsidP="005728DD">
      <w:pPr>
        <w:pStyle w:val="TextoNormal"/>
      </w:pPr>
    </w:p>
    <w:p w:rsidR="005728DD" w:rsidRDefault="005728DD" w:rsidP="005728DD">
      <w:pPr>
        <w:pStyle w:val="TextoNormal"/>
      </w:pPr>
      <w:r>
        <w:t xml:space="preserve">a) A la delimitación del objeto del recurso, por cuanto los recurrentes impugnan la Ley Foral 16/2019 en su integridad, a la que reprochan, genéricamente, que vendría a reproducir la Ley Foral 16/2015, declarada en parte inconstitucional por la STC 85/2008; las diferencias existentes entre ambas leyes se tienen por meramente “cosméticas” y por tanto irrelevantes. El incumplimiento de la carga argumentativa exigida a la parte recurrente (art. 33.1 LOTC) exime a este tribunal, en términos similares a los señalados respecto del recurso resuelto por la STC 108/2021, de examinar los artículos 1 a 4, 5 (apartados 2, 3 y 4), 7, 8, </w:t>
      </w:r>
      <w:r>
        <w:lastRenderedPageBreak/>
        <w:t>12, 19, 20, 22 y 23, las disposiciones adicionales segunda y tercera, la disposición derogatoria única y la disposición final única de la Ley Foral 16/2019 (STC 108/2021, FFJJ 2 y 5).</w:t>
      </w:r>
    </w:p>
    <w:p w:rsidR="005728DD" w:rsidRDefault="005728DD" w:rsidP="005728DD">
      <w:pPr>
        <w:pStyle w:val="TextoNormal"/>
      </w:pPr>
    </w:p>
    <w:p w:rsidR="005728DD" w:rsidRDefault="005728DD" w:rsidP="005728DD">
      <w:pPr>
        <w:pStyle w:val="TextoNormal"/>
      </w:pPr>
      <w:r>
        <w:t>Por otra parte, en el examen del resto del articulado de la Ley Foral 16/2019 puede entenderse cumplida por los recurrentes la carga argumentativa que les es exigible. Se trata de los preceptos que atañen al procedimiento para el reconocimiento y reparación de las víctimas por actos de motivación política y regulan la composición y funcionamiento de la Comisión de Reconocimiento y Reparación. En consecuencia, se limitará nuestro enjuiciamiento a los motivos de inconstitucionalidad que se aducen en el recurso de manera concreta (STC 108/2021, FJ 2).</w:t>
      </w:r>
    </w:p>
    <w:p w:rsidR="005728DD" w:rsidRDefault="005728DD" w:rsidP="005728DD">
      <w:pPr>
        <w:pStyle w:val="TextoNormal"/>
      </w:pPr>
    </w:p>
    <w:p w:rsidR="005728DD" w:rsidRDefault="005728DD" w:rsidP="005728DD">
      <w:pPr>
        <w:pStyle w:val="TextoNormal"/>
      </w:pPr>
      <w:r>
        <w:t>b) Deben darse también por reproducidos los fundamentos relativos a la exposición de la jurisprudencia constitucional sobre las leyes autonómicas de reconocimiento de víctimas y reparación de daños producidos por hechos violentos; en particular, de la doctrina contenida en la STC 85/2018, de 19 de julio, que resolvió el recurso de inconstitucionalidad interpuesto por el presidente del Gobierno contra la Ley Foral 16/2015, de reconocimiento y reparación de las víctimas por actos de motivación política provocados por grupos de extrema derecha o funcionarios públicos (STC 108/2021, FJ 3).</w:t>
      </w:r>
    </w:p>
    <w:p w:rsidR="005728DD" w:rsidRDefault="005728DD" w:rsidP="005728DD">
      <w:pPr>
        <w:pStyle w:val="TextoNormal"/>
      </w:pPr>
    </w:p>
    <w:p w:rsidR="005728DD" w:rsidRDefault="005728DD" w:rsidP="005728DD">
      <w:pPr>
        <w:pStyle w:val="TextoNormal"/>
      </w:pPr>
      <w:r>
        <w:t>c) Igualmente los relativos a la presentación del contenido de la Ley Foral 16/2019, que sustituye a la Ley Foral 16/2015 (STC 108/2021, FJ 4).</w:t>
      </w:r>
    </w:p>
    <w:p w:rsidR="005728DD" w:rsidRDefault="005728DD" w:rsidP="005728DD">
      <w:pPr>
        <w:pStyle w:val="TextoNormal"/>
      </w:pPr>
    </w:p>
    <w:p w:rsidR="005728DD" w:rsidRDefault="005728DD" w:rsidP="005728DD">
      <w:pPr>
        <w:pStyle w:val="TextoNormal"/>
      </w:pPr>
      <w:r w:rsidRPr="005728DD">
        <w:rPr>
          <w:rStyle w:val="NumeroAFNegritaCaracter"/>
        </w:rPr>
        <w:t>3</w:t>
      </w:r>
      <w:r>
        <w:t>. Procede asimismo señalar que la STC 108/2021, FJ 5, como ya se ha recordado, estableció la interpretación conforme de algunas de las impugnaciones formuladas entonces por más de cincuenta diputados de los Grupos Parlamentarios Popular y Vox en el Congreso de los Diputados que en el presente recurso se plantean en términos análogos; se refieren a los mismos preceptos y se basan en los mismos motivos. A la vista de esta coincidencia objetiva entre los dos recursos de inconstitucionalidad, deben reiterarse aquellas interpretaciones de conformidad.</w:t>
      </w:r>
    </w:p>
    <w:p w:rsidR="005728DD" w:rsidRDefault="005728DD" w:rsidP="005728DD">
      <w:pPr>
        <w:pStyle w:val="TextoNormal"/>
      </w:pPr>
    </w:p>
    <w:p w:rsidR="005728DD" w:rsidRDefault="005728DD" w:rsidP="005728DD">
      <w:pPr>
        <w:pStyle w:val="TextoNormal"/>
      </w:pPr>
      <w:r>
        <w:t>En efecto, el primer y principal motivo de inconstitucionalidad que se formula en el presente recurso, invocando la doctrina de la STC 85/2018, es la vulneración del principio de reserva jurisdiccional del art. 117.3 CE. Se reprocha a la Ley Foral 16/2019 el establecimiento de un procedimiento de esclarecimiento, investigación y apreciación de hechos en apariencia delictivos, al margen de resoluciones judiciales, vulnerando así la reserva constitucional de la potestad de investigar y declarar la existencia de hechos constitutivos de delito y de determinar su autoría, que corresponde, en exclusiva, a la jurisdicción penal.</w:t>
      </w:r>
    </w:p>
    <w:p w:rsidR="005728DD" w:rsidRDefault="005728DD" w:rsidP="005728DD">
      <w:pPr>
        <w:pStyle w:val="TextoNormal"/>
      </w:pPr>
    </w:p>
    <w:p w:rsidR="005728DD" w:rsidRDefault="005728DD" w:rsidP="005728DD">
      <w:pPr>
        <w:pStyle w:val="TextoNormal"/>
      </w:pPr>
      <w:r>
        <w:t>El núcleo del reproche que se dirige al conjunto de la Ley Foral 16/2019 estriba en el procedimiento que ha de seguir la Comisión para el reconocimiento de las víctimas y la reparación de los daños. La STC 108/2021, FJ 5, centró su análisis en los arts. 9.3 (iniciación y contenido de la solicitud), 10, apartados 2 a 7 (instrucción del procedimiento) y 11.1 (propuesta de resolución de las solicitudes), que regulan los aspectos específicamente procedimentales. Trasladó así al examen de la Ley Foral 16/2019 los criterios recogidos en la STC 83/2020, que examina con mayor detalle determinadas reglas del procedimiento de reconocimiento de víctimas y reparación de daños de la Ley del Parlamento Vasco 5/2019, de 4 de abril, de modificación de la Ley 12/2016, de 28 de julio.</w:t>
      </w:r>
    </w:p>
    <w:p w:rsidR="005728DD" w:rsidRDefault="005728DD" w:rsidP="005728DD">
      <w:pPr>
        <w:pStyle w:val="TextoNormal"/>
      </w:pPr>
    </w:p>
    <w:p w:rsidR="005728DD" w:rsidRDefault="005728DD" w:rsidP="005728DD">
      <w:pPr>
        <w:pStyle w:val="TextoNormal"/>
      </w:pPr>
      <w:r>
        <w:lastRenderedPageBreak/>
        <w:t>De acuerdo con lo razonado en el FJ 5 de la STC 108/2021, al que procede remitirse, no incurre en ningún motivo de inconstitucionalidad el inciso del art. 9.3 que dispone que la solicitud para la declaración de la condición de víctima debe contener una descripción detallada de los hechos y puede ir acompañada de los documentos o informes que se consideren oportunos. En cambio, el segundo inciso del art. 9.3 (“sin perjuicio de las actuaciones y gestiones que pueda realizar la Comisión para la documentación y acreditación de los mismos”) solo puede considerarse constitucional si se interpreta “en los términos expresados en la jurisprudencia establecida en la STC 83/2020, FJ 10, de que la referencia a las actuaciones y gestiones no implica una actividad indagatoria propia de la Comisión, sino solamente de los datos que, en aplicación del principio de colaboración interinstitucional con los poderes públicos de la Comunidad foral, previsto en el art. 5.1, le fueran suministrados a la Comisión”. Esta interpretación de conformidad se llevará al fallo.</w:t>
      </w:r>
    </w:p>
    <w:p w:rsidR="005728DD" w:rsidRDefault="005728DD" w:rsidP="005728DD">
      <w:pPr>
        <w:pStyle w:val="TextoNormal"/>
      </w:pPr>
    </w:p>
    <w:p w:rsidR="005728DD" w:rsidRDefault="005728DD" w:rsidP="005728DD">
      <w:pPr>
        <w:pStyle w:val="TextoNormal"/>
      </w:pPr>
      <w:r>
        <w:t>Las actuaciones que puede practicar la Comisión para el cumplimiento de sus funciones se enumeran en el art. 10.2, el cual contiene una cláusula final en el apartado e) que permite a aquella “llevar a cabo cuantas actuaciones estime precisas en orden al mejor estudio y comprobación de los hechos, circunstancias y consecuencias aducidas y a una mejor resolución de la solicitud presentada”. Según establece la STC 108/2021, FJ 5, este apartado no puede considerarse inconstitucional si como también se señaló en la STC 83/2020, FJ 10; se interpreta, en lo relativo a “cuantas actuaciones estime precisas en orden al mejor estudio y comprobación de los hechos, circunstancias y consecuencias aducidas”, como “circunscrito a la valoración de la documentación aportada, bien por el solicitante, bien por aquellos que colaboren con la Comisión”. En lo relativo “a una mejor resolución de la solicitud presentada”, si se interpreta “en el sentido de entender que no permiten una actividad indagatoria propia de la comisión de valoración, sino solamente que, a partir de la documentación aportada por el solicitante y en defecto de resolución administrativa o judicial, se determine la existencia de la relación de causalidad necesaria para articular los mecanismos compensatorios previstos en la norma”. Esta interpretación de conformidad será llevada al fallo.</w:t>
      </w:r>
    </w:p>
    <w:p w:rsidR="005728DD" w:rsidRDefault="005728DD" w:rsidP="005728DD">
      <w:pPr>
        <w:pStyle w:val="TextoNormal"/>
      </w:pPr>
    </w:p>
    <w:p w:rsidR="005728DD" w:rsidRDefault="005728DD" w:rsidP="005728DD">
      <w:pPr>
        <w:pStyle w:val="TextoNormal"/>
      </w:pPr>
      <w:r>
        <w:t>El art. 11.1 establece el contenido del informe-propuesta motivado con el que finaliza la actuación de la Comisión en cada procedimiento. Por remisión una vez más a lo razonado en la STC 108/2021, FJ 5, el inciso de este precepto que dispone que la Comisión “realizará un resumen de los hechos que ocasionaron la vulneración de los derechos humanos de la víctima” solo puede reputarse constitucional si se interpreta, siguiendo lo señalado igualmente en la STC 83/2020, FJ 10, “en el sentido de entender que el resumen de los hechos que debe realizar la comisión debe circunscribirse a la apreciación del nexo causal entre tales hechos y el resultado dañoso alegado por el solicitante”. Esta interpretación de conformidad se llevará al fallo.</w:t>
      </w:r>
    </w:p>
    <w:p w:rsidR="005728DD" w:rsidRDefault="005728DD" w:rsidP="005728DD">
      <w:pPr>
        <w:pStyle w:val="TextoNormal"/>
      </w:pPr>
    </w:p>
    <w:p w:rsidR="005728DD" w:rsidRDefault="005728DD" w:rsidP="005728DD">
      <w:pPr>
        <w:pStyle w:val="TextoNormal"/>
      </w:pPr>
      <w:r>
        <w:t xml:space="preserve">En fin, el art. 6, referido al denominado “derecho a la verdad”, determina en su párrafo primero: “Los poderes públicos navarros, en el ámbito de aplicación de esta ley foral, colaborarán con los órganos y organismos del Gobierno de Navarra que ejerzan funciones en materia de derechos humanos y de promoción de la memoria para, en el marco de las respectivas competencias, contribuir al conocimiento de la verdad sobre las vulneraciones de derechos humanos a las que se refiere esta ley foral, a través de acciones para facilitar a las personas el acceso a los archivos oficiales y examinar las posibles vulneraciones de derechos humanos a las que hace referencia esta ley foral”. Este precepto no es inconstitucional siempre que se interprete en el sentido señalado en la STC 108/2021, FJ 5 —en línea con lo </w:t>
      </w:r>
      <w:r>
        <w:lastRenderedPageBreak/>
        <w:t>razonado en la STC 83/2020, FJ 9—, cuando declara: “De ese modo, las referencias a la colaboración que incluye el precepto no pueden interpretarse aisladamente, sino que han de entenderse en el marco del sistema de reparación diseñado por la propia ley, en el que ocupa un lugar destacado la comisión que se encarga de valorar las solicitudes presentadas y proponer la inadmisión de solicitudes o, cuando proceda, la declaración de la condición de beneficiario. La función de esta comisión, para la que el precepto requiere la colaboración de los poderes públicos navarros, no se corresponde con ninguna actividad dirigida al esclarecimiento de hechos, propia de la jurisdicción penal, sino que, como ya se ha señalado, únicamente se pretende que valore los hechos que le aleguen los solicitantes para poder dictaminar si existe relación con los daños invocados. Téngase en cuenta, además, que según el art. 142 de la Ley 40/2015, de 1 de octubre, de régimen jurídico del sector público,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Esta referencia a la colaboración ha de entenderse asimismo en el marco del principio que establece el art. 5.1, en el sentido de que las instituciones y entidades públicas navarras (como especifica el párrafo primero del art. 6) suministrarán, en tiempo y forma, todos los datos que les sean solicitados y facilitarán la colaboración, tanto de las autoridades como del personal técnico a su servicio, que sea precisa para la resolución de los expedientes”.</w:t>
      </w:r>
    </w:p>
    <w:p w:rsidR="005728DD" w:rsidRDefault="005728DD" w:rsidP="005728DD">
      <w:pPr>
        <w:pStyle w:val="TextoNormal"/>
      </w:pPr>
    </w:p>
    <w:p w:rsidR="005728DD" w:rsidRDefault="005728DD" w:rsidP="005728DD">
      <w:pPr>
        <w:pStyle w:val="TextoNormal"/>
      </w:pPr>
      <w:r>
        <w:t>Esta interpretación de conformidad del párrafo primero del art. 6 será llevada al fallo.</w:t>
      </w:r>
    </w:p>
    <w:p w:rsidR="005728DD" w:rsidRDefault="005728DD" w:rsidP="005728DD">
      <w:pPr>
        <w:pStyle w:val="TextoNormal"/>
      </w:pPr>
    </w:p>
    <w:p w:rsidR="005728DD" w:rsidRDefault="005728DD" w:rsidP="005728DD">
      <w:pPr>
        <w:pStyle w:val="TextoNormal"/>
      </w:pPr>
      <w:r w:rsidRPr="005728DD">
        <w:rPr>
          <w:rStyle w:val="NumeroAFNegritaCaracter"/>
        </w:rPr>
        <w:t>4</w:t>
      </w:r>
      <w:r>
        <w:t>. En lo restante procede desestimar este recurso por remisión asimismo a lo razonado en la STC 108/2021, FFJJ 5 a 8, partiendo de la doctrina sentada en la STC 85/2018 —reiterada en las SSTC 83/2020, de 15 de julio, y 131/2020, de 22 de septiembre— impugnaciones formuladas entonces por más de cincuenta diputados de los Grupos Parlamentarios Popular y Vox en el Congreso de los Diputados contra la Ley Foral 16/2019 que en el presente recurso de inconstitucionalidad se plantean en términos análogos.</w:t>
      </w:r>
    </w:p>
    <w:p w:rsidR="005728DD" w:rsidRDefault="005728DD" w:rsidP="005728DD">
      <w:pPr>
        <w:pStyle w:val="TextoNormal"/>
      </w:pPr>
    </w:p>
    <w:p w:rsidR="005728DD" w:rsidRDefault="005728DD" w:rsidP="005728DD">
      <w:pPr>
        <w:pStyle w:val="TextoNormal"/>
      </w:pPr>
      <w:r>
        <w:t>Debe por tanto descartarse que los preceptos de la Ley Foral 16/2019 que regulan la composición y funcionamiento de la Comisión de reconocimiento y reparación y el procedimiento para el reconocimiento y reparación de las víctimas por actos de motivación política vulneren el principio de reserva jurisdiccional (art. 117.3 CE) o los derechos fundamentales de los terceros afectados por ese procedimiento.</w:t>
      </w:r>
    </w:p>
    <w:p w:rsidR="005728DD" w:rsidRDefault="005728DD" w:rsidP="005728DD">
      <w:pPr>
        <w:pStyle w:val="TextoNormal"/>
      </w:pPr>
    </w:p>
    <w:p w:rsidR="005728DD" w:rsidRDefault="005728DD" w:rsidP="005728DD">
      <w:pPr>
        <w:pStyle w:val="TextoNormal"/>
      </w:pPr>
      <w:r>
        <w:t xml:space="preserve">La tarea reservada a la Comisión consiste en determinar la relación de causalidad existente entre los hechos y la producción del resultado dañoso, lo que resulta imprescindible para que se produzca la compensación regulada en la Ley Foral. Pero “sin que ello implique indagación alguna sobre los concretos responsables de los daños compensados”, más allá, y fuera de lo declarado en resoluciones judiciales y administrativas que vinculan a la Comisión, de lo previsto con carácter general e indeterminado en el art. 2.b) de la Ley Foral en relación con la condición de funcionarios públicos o de particulares de los participantes en la producción del resultado dañoso. En suma, “no hay en la tarea de la Comisión […] posible calificación jurídica de eventuales actos o conductas punibles, ni tampoco imputación o atribución individualizada a los sujetos a los que pudiera alcanzar la investigación. A la Comisión, en el ejercicio de su actividad, ni le corresponde efectuar una calificación jurídica </w:t>
      </w:r>
      <w:r>
        <w:lastRenderedPageBreak/>
        <w:t>de los hechos ante ella presentados, ni llevar a cabo imputaciones o determinaciones personales sobre la autoría de comportamientos ilícitos sino la fijación de los presupuestos fácticos de los posteriores reconocimientos como víctimas” [STC 83/2020, FJ 7, y STC 108/2021, FJ 5 B)].</w:t>
      </w:r>
    </w:p>
    <w:p w:rsidR="005728DD" w:rsidRDefault="005728DD" w:rsidP="005728DD">
      <w:pPr>
        <w:pStyle w:val="TextoNormal"/>
      </w:pPr>
    </w:p>
    <w:p w:rsidR="005728DD" w:rsidRDefault="005728DD" w:rsidP="005728DD">
      <w:pPr>
        <w:pStyle w:val="TextoNormal"/>
      </w:pPr>
      <w:r>
        <w:t>Por lo que atañe al principio de colaboración interinstitucional regulado en el art. 5.1 —el que también es manifestación el art. 10.4—, se trata de una previsión que “se refiere a asuntos sobre los que no esté conociendo la jurisdicción penal, pues, si del inicio del expediente pudiera desprenderse alguna actuación ilegal, la Ley Foral 16/2019 prevé la comunicación al tribunal competente (art. 6, párrafo tercero), así como la suspensión del procedimiento administrativo si la Comisión tiene conocimiento de la existencia de causas judiciales abiertas, hasta el agotamiento de la vía judicial (art. 10.5). Ambas previsiones excluyen cualquier riesgo de la interferencia en la actuación de la jurisdicción penal que denuncian los recurrentes” [STC 108/2021, FJ 5 C)].</w:t>
      </w:r>
    </w:p>
    <w:p w:rsidR="005728DD" w:rsidRDefault="005728DD" w:rsidP="005728DD">
      <w:pPr>
        <w:pStyle w:val="TextoNormal"/>
      </w:pPr>
    </w:p>
    <w:p w:rsidR="005728DD" w:rsidRDefault="005728DD" w:rsidP="005728DD">
      <w:pPr>
        <w:pStyle w:val="TextoNormal"/>
      </w:pPr>
      <w:r>
        <w:t>En cuanto a la garantía de los derechos fundamentales de terceras personas, la impugnación de los recurrentes parte de la premisa según la cual la proclamación expresa del art. 5.5 no resulta suficiente para evitar vulneraciones de esos derechos. Ahora bien, “esta afirmación plantea un problema relacionado con la aplicación de la norma, más que con la norma en sí”; por lo que “la eventual lesión de derechos fundamentales en que pudiera incurrirse en aplicación de la norma deberá resolverse, en su caso, en la vía jurisdiccional correspondiente” [STC 108/2021, FJ 5 D)]. Dicho de otro modo, en caso de que los derechos fundamentales de los terceros no se respetasen en el caso concreto, la vulneración de la propia normativa foral “implicaría que esa […] actuación de la Comisión contraria a tales derechos podría ser puesta de manifiesto ante los tribunales competentes” (STC 83/2020, FJ 7, y STC 108/2021, FJ 8).</w:t>
      </w:r>
    </w:p>
    <w:p w:rsidR="005728DD" w:rsidRDefault="005728DD" w:rsidP="005728DD">
      <w:pPr>
        <w:pStyle w:val="TextoNormal"/>
      </w:pPr>
    </w:p>
    <w:p w:rsidR="005728DD" w:rsidRDefault="005728DD" w:rsidP="005728DD">
      <w:pPr>
        <w:pStyle w:val="TextoNormal"/>
      </w:pPr>
      <w:r>
        <w:t>En fin, “el procedimiento administrativo de reconocimiento de las víctimas y reparación de los daños regulado en la Ley Foral 16/2019 no tiene carácter sancionador, pues la finalidad punitiva está expresamente excluida en el art. 5.6. Por esta razón, de acuerdo con una consolidada doctrina constitucional, no resultarían aplicables a este procedimiento los derechos y garantías del art. 24 CE” [STC 108/2021, FJ 6 A)].</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w:t>
      </w:r>
    </w:p>
    <w:p w:rsidR="005728DD" w:rsidRDefault="005728DD" w:rsidP="005728DD">
      <w:pPr>
        <w:pStyle w:val="TextoNormal"/>
      </w:pPr>
    </w:p>
    <w:p w:rsidR="005728DD" w:rsidRDefault="005728DD" w:rsidP="005728DD">
      <w:pPr>
        <w:pStyle w:val="TextoNormal"/>
      </w:pPr>
      <w:r>
        <w:t>1º Declarar que los siguientes preceptos de la Ley Foral 16/2019, de 26 de marzo, de reconocimiento y reparación de las víctimas por actos de motivación política provocados por grupos de extrema derecha o funcionarios públicos no son inconstitucionales, interpretados en los términos del fundamento jurídico 3: el art. 6, párrafo primero; el inciso del art. 9.3 “sin perjuicio de las actuaciones y gestiones que pueda realizar la comisión para la documentación y acreditación de los mismos”; el art. 10.2 e); y el inciso del art. 11.1, párrafo primero, “realizará un resumen de los hechos que ocasionaron la vulneración de los derechos humanos de la víctima”.</w:t>
      </w:r>
    </w:p>
    <w:p w:rsidR="005728DD" w:rsidRDefault="005728DD" w:rsidP="005728DD">
      <w:pPr>
        <w:pStyle w:val="TextoNormal"/>
      </w:pPr>
    </w:p>
    <w:p w:rsidR="005728DD" w:rsidRDefault="005728DD" w:rsidP="005728DD">
      <w:pPr>
        <w:pStyle w:val="TextoNormal"/>
      </w:pPr>
      <w:r>
        <w:t>2º Desestimar el recurso de inconstitucionalidad núm. 4090-2019 en todo lo demás.</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veinticuatro de junio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Juan Antonio Xiol Ríos a la sentencia pronunciada en el recurso de inconstitucionalidad núm. 4090-2019</w:t>
      </w:r>
    </w:p>
    <w:p w:rsidR="005728DD" w:rsidRDefault="005728DD" w:rsidP="005728DD">
      <w:pPr>
        <w:pStyle w:val="TextoNormalNegritaCentrado"/>
        <w:keepNext/>
      </w:pPr>
    </w:p>
    <w:p w:rsidR="005728DD" w:rsidRDefault="005728DD" w:rsidP="005728DD">
      <w:pPr>
        <w:pStyle w:val="TextoNormal"/>
      </w:pPr>
      <w:r>
        <w:t>Con el máximo respeto a la opinión mayoritaria de mis compañeros de Pleno en la que se sustenta la sentencia, manifiesto mi discrepancia con la argumentación desarrollada en el fundamento jurídico 3 y el apartado primero del fallo en que se sostiene la constitucionalidad de determinados preceptos solo en la medida en que sean interpretados en los términos del citado fundamento jurídico 3.</w:t>
      </w:r>
    </w:p>
    <w:p w:rsidR="005728DD" w:rsidRDefault="005728DD" w:rsidP="005728DD">
      <w:pPr>
        <w:pStyle w:val="TextoNormal"/>
      </w:pPr>
    </w:p>
    <w:p w:rsidR="005728DD" w:rsidRDefault="005728DD" w:rsidP="005728DD">
      <w:pPr>
        <w:pStyle w:val="TextoNormal"/>
      </w:pPr>
      <w:r>
        <w:t>Esta declaración de constitucionalidad limitada a la interpretación aportada en el fundamento jurídico 3 tiene como fundamento directo los razonamientos sostenidos en la STC 108/2021, de 13 de mayo, e indirecto en las SSTC 85/2018, de 19 de julio, y 83/2020, de 15 de julio, respecto de los que ya hice expresa mi discrepancia en sendos votos particulares formulados a dichas resoluciones. Por tanto, me remito a lo que ya expuse en dichos votos particulares para justificar ahora las razones por las que disiento del fallo interpretativo contenido en el apartado primero.</w:t>
      </w:r>
    </w:p>
    <w:p w:rsidR="005728DD" w:rsidRDefault="005728DD" w:rsidP="005728DD">
      <w:pPr>
        <w:pStyle w:val="TextoNormal"/>
      </w:pPr>
    </w:p>
    <w:p w:rsidR="005728DD" w:rsidRDefault="005728DD" w:rsidP="005728DD">
      <w:pPr>
        <w:pStyle w:val="TextoNormal"/>
      </w:pPr>
      <w:r>
        <w:t>Madrid, a veinticuatro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39" w:name="SENTENCIA_2021_136"/>
      <w:r>
        <w:lastRenderedPageBreak/>
        <w:t>SENTENCIA 136/2021, de 29 de junio de 2021</w:t>
      </w:r>
    </w:p>
    <w:bookmarkEnd w:id="139"/>
    <w:p w:rsidR="005728DD" w:rsidRDefault="005728DD" w:rsidP="005728DD">
      <w:pPr>
        <w:pStyle w:val="TtuloResolucin"/>
      </w:pPr>
      <w:r>
        <w:t>Sala Segunda</w:t>
      </w:r>
    </w:p>
    <w:p w:rsidR="005728DD" w:rsidRDefault="005728DD" w:rsidP="005728DD">
      <w:pPr>
        <w:pStyle w:val="TtuloBOE"/>
      </w:pPr>
      <w:r>
        <w:t>(BOE núm. 182, de 31 de julio de 2021)</w:t>
      </w:r>
    </w:p>
    <w:p w:rsidR="005728DD" w:rsidRDefault="005728DD" w:rsidP="005728DD">
      <w:pPr>
        <w:pStyle w:val="TextoNormalCentrado"/>
      </w:pPr>
      <w:r>
        <w:t>ECLI:ES:TC:2021:136</w:t>
      </w:r>
    </w:p>
    <w:p w:rsidR="005728DD" w:rsidRDefault="005728DD" w:rsidP="005728DD">
      <w:pPr>
        <w:pStyle w:val="TextoNormalCentrado"/>
      </w:pPr>
    </w:p>
    <w:p w:rsidR="005728DD" w:rsidRDefault="005728DD" w:rsidP="005728DD">
      <w:pPr>
        <w:pStyle w:val="SntesisDescriptiva"/>
      </w:pPr>
      <w:r>
        <w:t>Recurso de amparo 2606-2018. Promovido por don Jaber El Ghali respecto de las resoluciones dictadas por el letrado de la administración de justicia de un juzgado de vigilancia penitenciaria de Cataluña.</w:t>
      </w:r>
    </w:p>
    <w:p w:rsidR="005728DD" w:rsidRDefault="005728DD" w:rsidP="005728DD">
      <w:pPr>
        <w:pStyle w:val="SntesisDescriptiva"/>
      </w:pPr>
    </w:p>
    <w:p w:rsidR="005728DD" w:rsidRDefault="005728DD" w:rsidP="005728DD">
      <w:pPr>
        <w:pStyle w:val="SntesisAnaltica"/>
      </w:pPr>
      <w:r>
        <w:t>Vulneración del derecho a la tutela judicial efectiva (acceso a la jurisdicción): resolución que, aplicando el precepto legal anulado por la STC 151/2020, de 22 de octubre, impide la revisión judicial del decreto del letrado de la administración de justicia.</w:t>
      </w:r>
    </w:p>
    <w:p w:rsidR="005728DD" w:rsidRDefault="005728DD" w:rsidP="005728DD">
      <w:pPr>
        <w:pStyle w:val="SntesisAnaltica"/>
      </w:pPr>
    </w:p>
    <w:p w:rsidR="005728DD" w:rsidRDefault="005728DD" w:rsidP="005728DD">
      <w:pPr>
        <w:pStyle w:val="Extracto"/>
      </w:pPr>
      <w:r>
        <w:t>1.</w:t>
      </w:r>
      <w:r>
        <w:tab/>
        <w:t>Se aplica la doctrina constitucional sobre la revisión judicial de resoluciones de los letrados de la Administración de justicia, en el ámbito de la Ley de enjuiciamiento criminal (STC 151/2020) [FJ único].</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En el recurso de amparo núm. 2606-2018, promovido por don Jaber El Ghali, contra el decreto del letrado de la administración de justicia del Juzgado de Vigilancia Penitenciaria núm. 3 de Cataluña de 3 de abril de 2018, por el que se desestima el recurso de reposición interpuesto contra la diligencia de ordenación de 20 de enero de 2018, pronunciados en el expediente especial núm. 526-2017. Ha intervenido el Ministerio Fiscal. Ha sido ponente el magistrado don Juan Antonio Xiol Ríos.</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Don Jaber El Ghali, representado por el procurador de los tribunales don José Carlos Naharro Pérez, bajo la asistencia de la letrada doña María Concepción Díaz Gómez, formalizó recurso de amparo contra las resoluciones que se mencionan en el encabezamiento de esta sentencia mediante escrito registrado en este tribunal el 16 de julio de 2018.</w:t>
      </w:r>
    </w:p>
    <w:p w:rsidR="005728DD" w:rsidRDefault="005728DD" w:rsidP="005728DD">
      <w:pPr>
        <w:pStyle w:val="TextoNormal"/>
      </w:pPr>
    </w:p>
    <w:p w:rsidR="005728DD" w:rsidRDefault="005728DD" w:rsidP="005728DD">
      <w:pPr>
        <w:pStyle w:val="TextoNormal"/>
      </w:pPr>
      <w:r w:rsidRPr="005728DD">
        <w:rPr>
          <w:rStyle w:val="NumeroAFNegritaCaracter"/>
        </w:rPr>
        <w:t>2</w:t>
      </w:r>
      <w:r>
        <w:t>. El recurso tiene su origen en los siguientes antecedentes:</w:t>
      </w:r>
    </w:p>
    <w:p w:rsidR="005728DD" w:rsidRDefault="005728DD" w:rsidP="005728DD">
      <w:pPr>
        <w:pStyle w:val="TextoNormal"/>
      </w:pPr>
    </w:p>
    <w:p w:rsidR="005728DD" w:rsidRDefault="005728DD" w:rsidP="005728DD">
      <w:pPr>
        <w:pStyle w:val="TextoNormal"/>
      </w:pPr>
      <w:r>
        <w:lastRenderedPageBreak/>
        <w:t>a) El letrado de la administración de justicia del Juzgado de Vigilancia Penitenciaria núm. 3 de Cataluña, mediante diligencia de ordenación de 20 de enero de 2018 pronunciada en el expediente especial núm. 526-2017, denegó la solicitud del demandante de amparo de la obtención de la copia completa de lo actuado en dicho expediente con suspensión de los plazos para la interposición de recursos.</w:t>
      </w:r>
    </w:p>
    <w:p w:rsidR="005728DD" w:rsidRDefault="005728DD" w:rsidP="005728DD">
      <w:pPr>
        <w:pStyle w:val="TextoNormal"/>
      </w:pPr>
    </w:p>
    <w:p w:rsidR="005728DD" w:rsidRDefault="005728DD" w:rsidP="005728DD">
      <w:pPr>
        <w:pStyle w:val="TextoNormal"/>
      </w:pPr>
      <w:r>
        <w:t xml:space="preserve">b) El demandante de amparo interpuso recurso de reposición, que fue desestimado por decreto del mismo letrado de la administración de justicia de 3 de abril de 2018, en el que se indicaba la firmeza de la resolución por no caber recurso alguno, de conformidad con lo dispuesto en el art. 238 </w:t>
      </w:r>
      <w:r w:rsidRPr="005728DD">
        <w:rPr>
          <w:i/>
        </w:rPr>
        <w:t>bis</w:t>
      </w:r>
      <w:r>
        <w:t xml:space="preserve"> de la Ley de enjuiciamiento criminal (LECrim).</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El demandante de amparo alega que las resoluciones impugnadas han vulnerado su derecho a la tutela judicial efectiva sin indefensión (art. 24.1 CE), en primer lugar, porque se ha hecho aplicación del art. 238 </w:t>
      </w:r>
      <w:r w:rsidRPr="005728DD">
        <w:rPr>
          <w:i/>
        </w:rPr>
        <w:t>bis</w:t>
      </w:r>
      <w:r>
        <w:t xml:space="preserve"> LECrim, que impide el control judicial de determinadas decisiones del letrado de la administración de justicia, tal como es exigible de acuerdo con lo establecido en la STC 58/2106, de 17 de marzo, en relación con el art. 102 </w:t>
      </w:r>
      <w:r w:rsidRPr="005728DD">
        <w:rPr>
          <w:i/>
        </w:rPr>
        <w:t>bis</w:t>
      </w:r>
      <w:r>
        <w:t>, apartado 2, de la Ley 29/1998, de 13 de julio, reguladora de la jurisdicción contencioso-administrativa. Afirma que la circunstancia de que la vulneración provenga de la ley, dota de especial transcendencia constitucional al recurso de amparo y justifica el planteamiento de una cuestión interna de inconstitucional contra el citado precepto. También se invoca el art. 24.1 CE en relación con la decisión del letrado de la administración de justicia de no suspender los plazos de recurso tras la obtención de las copias del expediente por resultar lesivo del derecho de acceso al recurso.</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Tercera del tribunal, por providencia de 10 de marzo de 2021, acordó admitir a trámite el recurso de amparo apreciando que concurre una especial trascendencia constitucional (art. 50.1 LOTC), como consecuencia de que la posible vulneración del derecho fundamental que se denuncia pudiera provenir de la ley [STC 155/2009, FJ 2 c)]; y dirigir atenta comunicación al órgano judicial para la remisión de testimonio de las actuaciones y el emplazamiento de quienes hubieran sido parte en el procedimiento para que puedan comparecen en el recurso de amparo.</w:t>
      </w:r>
    </w:p>
    <w:p w:rsidR="005728DD" w:rsidRDefault="005728DD" w:rsidP="005728DD">
      <w:pPr>
        <w:pStyle w:val="TextoNormal"/>
      </w:pPr>
    </w:p>
    <w:p w:rsidR="005728DD" w:rsidRDefault="005728DD" w:rsidP="005728DD">
      <w:pPr>
        <w:pStyle w:val="TextoNormal"/>
      </w:pPr>
      <w:r w:rsidRPr="005728DD">
        <w:rPr>
          <w:rStyle w:val="NumeroAFNegritaCaracter"/>
        </w:rPr>
        <w:t>5</w:t>
      </w:r>
      <w:r>
        <w:t>. La Secretaría de Justicia de la Sala Segunda del tribunal, por diligencia de ordenación de 13 de abril de 2021, tuvo por personada y parte a la abogacía del Estado y acordó dar vista de las actuaciones a las partes personadas y al Ministerio Fiscal, por plazo común de veinte días, a fin de que, conforme con lo previsto en el art. 52 LOTC, pudieran presentar alegaciones.</w:t>
      </w:r>
    </w:p>
    <w:p w:rsidR="005728DD" w:rsidRDefault="005728DD" w:rsidP="005728DD">
      <w:pPr>
        <w:pStyle w:val="TextoNormal"/>
      </w:pPr>
    </w:p>
    <w:p w:rsidR="005728DD" w:rsidRDefault="005728DD" w:rsidP="005728DD">
      <w:pPr>
        <w:pStyle w:val="TextoNormal"/>
      </w:pPr>
      <w:r w:rsidRPr="005728DD">
        <w:rPr>
          <w:rStyle w:val="NumeroAFNegritaCaracter"/>
        </w:rPr>
        <w:t>6</w:t>
      </w:r>
      <w:r>
        <w:t xml:space="preserve">. El Ministerio Fiscal, mediante escrito registrado el 17 de mayo de 2021, presentó sus alegaciones interesando la estimación del recurso de amparo, declarando vulnerado el art. 24.1 CE, la nulidad del decreto impugnado en el extremo en que declara que es irrecurrible y firme, y la retroacción de actuaciones al momento del pronunciamiento del citado decreto. El Ministerio Fiscal destaca que el art. 238 </w:t>
      </w:r>
      <w:r w:rsidRPr="005728DD">
        <w:rPr>
          <w:i/>
        </w:rPr>
        <w:t>bis</w:t>
      </w:r>
      <w:r>
        <w:t xml:space="preserve"> LECrim, en el que la resolución impugnada fundamenta su firmeza, ha sido anulado por la STC 151/2020, de 22 de octubre, por lo que, tal como se ha acordado en la STC 179/2020, de 14 de diciembre, respecto de otro recurso de amparo planteado por el demandante de amparo, procede la 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lastRenderedPageBreak/>
        <w:t>7</w:t>
      </w:r>
      <w:r>
        <w:t xml:space="preserve">. La abogacía del Estado, mediante escrito registrado 18 de mayo de 2021, presentó sus alegaciones, solicitando que se declarara la improcedencia del planteamiento de la cuestión de inconstitucionalidad, al haberse ya declarado la nulidad del art. 238 </w:t>
      </w:r>
      <w:r w:rsidRPr="005728DD">
        <w:rPr>
          <w:i/>
        </w:rPr>
        <w:t>bis</w:t>
      </w:r>
      <w:r>
        <w:t xml:space="preserve"> LECrim por la STC 151/2020, de 22 de octubre. En cuanto al fondo de la invocación del art. 24.1 CE por la no suspensión de plazos para recurrir contenido en las resoluciones impugnadas, insta su desestimación por no suponer una decisión lesiva del derecho de acceso al recurso.</w:t>
      </w:r>
    </w:p>
    <w:p w:rsidR="005728DD" w:rsidRDefault="005728DD" w:rsidP="005728DD">
      <w:pPr>
        <w:pStyle w:val="TextoNormal"/>
      </w:pPr>
    </w:p>
    <w:p w:rsidR="005728DD" w:rsidRDefault="005728DD" w:rsidP="005728DD">
      <w:pPr>
        <w:pStyle w:val="TextoNormal"/>
      </w:pPr>
      <w:r w:rsidRPr="005728DD">
        <w:rPr>
          <w:rStyle w:val="NumeroAFNegritaCaracter"/>
        </w:rPr>
        <w:t>8</w:t>
      </w:r>
      <w:r>
        <w:t>. El demandante de amparo presentó sus alegaciones el 13 de mayo de 2021 poniendo de manifiesto que en asuntos que planteaban la misma cuestión se había estimado su recurso de amparo (SSTC 164/2020, de 16 de noviembre, y 179/2020, de 14 de diciembre).</w:t>
      </w:r>
    </w:p>
    <w:p w:rsidR="005728DD" w:rsidRDefault="005728DD" w:rsidP="005728DD">
      <w:pPr>
        <w:pStyle w:val="TextoNormal"/>
      </w:pPr>
    </w:p>
    <w:p w:rsidR="005728DD" w:rsidRDefault="005728DD" w:rsidP="005728DD">
      <w:pPr>
        <w:pStyle w:val="TextoNormal"/>
      </w:pPr>
      <w:r w:rsidRPr="005728DD">
        <w:rPr>
          <w:rStyle w:val="NumeroAFNegritaCaracter"/>
        </w:rPr>
        <w:t>9</w:t>
      </w:r>
      <w:r>
        <w:t>. Por providencia de 24 de junio de 2021, se señaló para deliberación y votación de la presente sentencia el día 29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TextoNormalNegritaCaracter"/>
        </w:rPr>
        <w:t xml:space="preserve">Único. </w:t>
      </w:r>
      <w:r w:rsidRPr="005728DD">
        <w:rPr>
          <w:i/>
        </w:rPr>
        <w:t>Aplicación de la jurisprudencia constitucional establecida por las SSTC 151/2020 y</w:t>
      </w:r>
      <w:r>
        <w:t xml:space="preserve"> 164/2020.</w:t>
      </w:r>
    </w:p>
    <w:p w:rsidR="005728DD" w:rsidRDefault="005728DD" w:rsidP="005728DD">
      <w:pPr>
        <w:pStyle w:val="TextoNormal"/>
      </w:pPr>
    </w:p>
    <w:p w:rsidR="005728DD" w:rsidRDefault="005728DD" w:rsidP="005728DD">
      <w:pPr>
        <w:pStyle w:val="TextoNormal"/>
      </w:pPr>
      <w:r>
        <w:t xml:space="preserve">El objeto principal de este recurso de amparo es determinar la vulneración del derecho a la tutela judicial efectiva (art. 24.1 CE) por haber privado la decisión impugnada al demandante de amparo la posibilidad de su control judicial en aplicación del art. 238 </w:t>
      </w:r>
      <w:r w:rsidRPr="005728DD">
        <w:rPr>
          <w:i/>
        </w:rPr>
        <w:t>bis</w:t>
      </w:r>
      <w:r>
        <w:t xml:space="preserve"> LECrim, que establece que contra “el decreto del secretario judicial que resuelva el recurso de reposición no cabrá interponer recurso alguno”.</w:t>
      </w:r>
    </w:p>
    <w:p w:rsidR="005728DD" w:rsidRDefault="005728DD" w:rsidP="005728DD">
      <w:pPr>
        <w:pStyle w:val="TextoNormal"/>
      </w:pPr>
    </w:p>
    <w:p w:rsidR="005728DD" w:rsidRDefault="005728DD" w:rsidP="005728DD">
      <w:pPr>
        <w:pStyle w:val="TextoNormal"/>
      </w:pPr>
      <w:r>
        <w:t>La STC 151/2020, de 22 de octubre, declaró la inconstitucionalidad y nulidad del citado precepto por vulnerar el art. 24.1 CE, con fundamento en que excluye todo control jurisdiccional del decreto del letrado de la administración de justicia que resuelve el recurso de reposición, cerrando la posibilidad de una tutela de derechos e intereses legítimos que la Constitución contempla que sea siempre dispensada por los jueces y tribunales, creando un sector de inmunidad que no se compadece con el art. 24.1 CE ni con lo previsto en el art. 117.3 CE.</w:t>
      </w:r>
    </w:p>
    <w:p w:rsidR="005728DD" w:rsidRDefault="005728DD" w:rsidP="005728DD">
      <w:pPr>
        <w:pStyle w:val="TextoNormal"/>
      </w:pPr>
    </w:p>
    <w:p w:rsidR="005728DD" w:rsidRDefault="005728DD" w:rsidP="005728DD">
      <w:pPr>
        <w:pStyle w:val="TextoNormal"/>
      </w:pPr>
      <w:r>
        <w:t>En aplicación de esta jurisprudencia, y a consecuencia de la anulación del citado precepto en las SSTC 164/2020, de 16 de noviembre, y 179/2020, de 14 de diciembre, sendos recursos de amparo interpuestos por el mismo demandante que el presente, en los que se planteaba la misma cuestión, fueron estimados. A la misma conclusión debe llegarse también en este caso con los efectos inherentes de anulación del decreto impugnado en el extremo en que se declara su firmeza y de retroacción de actuaciones para que se pronuncie otro sobre ese particular y se confiera la posibilidad de interponer recurso de revisión frente al referido decreto, de acuerdo con lo establecido en la STC 151/2020, FJ 4.</w:t>
      </w:r>
    </w:p>
    <w:p w:rsidR="005728DD" w:rsidRDefault="005728DD" w:rsidP="005728DD">
      <w:pPr>
        <w:pStyle w:val="TextoNormal"/>
      </w:pPr>
    </w:p>
    <w:p w:rsidR="005728DD" w:rsidRDefault="005728DD" w:rsidP="005728DD">
      <w:pPr>
        <w:pStyle w:val="TextoNormalCentrado"/>
        <w:keepNext/>
      </w:pPr>
      <w:r>
        <w:lastRenderedPageBreak/>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don Jaber El Ghali, y, en consecuencia:</w:t>
      </w:r>
    </w:p>
    <w:p w:rsidR="005728DD" w:rsidRDefault="005728DD" w:rsidP="005728DD">
      <w:pPr>
        <w:pStyle w:val="TextoNormal"/>
      </w:pPr>
    </w:p>
    <w:p w:rsidR="005728DD" w:rsidRDefault="005728DD" w:rsidP="005728DD">
      <w:pPr>
        <w:pStyle w:val="TextoNormal"/>
      </w:pPr>
      <w:r>
        <w:t>1º Declarar que ha sido vulnerado su derecho a la tutela judicial efectiva (art. 24.1 CE).</w:t>
      </w:r>
    </w:p>
    <w:p w:rsidR="005728DD" w:rsidRDefault="005728DD" w:rsidP="005728DD">
      <w:pPr>
        <w:pStyle w:val="TextoNormal"/>
      </w:pPr>
    </w:p>
    <w:p w:rsidR="005728DD" w:rsidRDefault="005728DD" w:rsidP="005728DD">
      <w:pPr>
        <w:pStyle w:val="TextoNormal"/>
      </w:pPr>
      <w:r>
        <w:t>2º Restablecerle en su derecho y, a tal fin, declarar la nulidad del decreto del letrado de la administración de justicia del Juzgado de Vigilancia Penitenciaria núm. 3 de Cataluña de 3 de abril de 2018, pronunciado en el expediente especial núm. 526-2017, en cuanto que contra el mismo no cabe interponer recurso alguno y era firme.</w:t>
      </w:r>
    </w:p>
    <w:p w:rsidR="005728DD" w:rsidRDefault="005728DD" w:rsidP="005728DD">
      <w:pPr>
        <w:pStyle w:val="TextoNormal"/>
      </w:pPr>
    </w:p>
    <w:p w:rsidR="005728DD" w:rsidRDefault="005728DD" w:rsidP="005728DD">
      <w:pPr>
        <w:pStyle w:val="TextoNormal"/>
      </w:pPr>
      <w:r>
        <w:t>3º Retrotraer las actuaciones al momento del pronunciamiento del decreto para que se provea su reparación confiriendo la posibilidad de interponer recurso de revisión frente al mismo.</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veintinueve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40" w:name="SENTENCIA_2021_137"/>
      <w:r>
        <w:lastRenderedPageBreak/>
        <w:t>SENTENCIA 137/2021, de 29 de junio de 2021</w:t>
      </w:r>
    </w:p>
    <w:bookmarkEnd w:id="140"/>
    <w:p w:rsidR="005728DD" w:rsidRDefault="005728DD" w:rsidP="005728DD">
      <w:pPr>
        <w:pStyle w:val="TtuloResolucin"/>
      </w:pPr>
      <w:r>
        <w:t>Sala Segunda</w:t>
      </w:r>
    </w:p>
    <w:p w:rsidR="005728DD" w:rsidRDefault="005728DD" w:rsidP="005728DD">
      <w:pPr>
        <w:pStyle w:val="TtuloBOE"/>
      </w:pPr>
      <w:r>
        <w:t>(BOE núm. 182, de 31 de julio de 2021)</w:t>
      </w:r>
    </w:p>
    <w:p w:rsidR="005728DD" w:rsidRDefault="005728DD" w:rsidP="005728DD">
      <w:pPr>
        <w:pStyle w:val="TextoNormalCentrado"/>
      </w:pPr>
      <w:r>
        <w:t>ECLI:ES:TC:2021:137</w:t>
      </w:r>
    </w:p>
    <w:p w:rsidR="005728DD" w:rsidRDefault="005728DD" w:rsidP="005728DD">
      <w:pPr>
        <w:pStyle w:val="TextoNormalCentrado"/>
      </w:pPr>
    </w:p>
    <w:p w:rsidR="005728DD" w:rsidRDefault="005728DD" w:rsidP="005728DD">
      <w:pPr>
        <w:pStyle w:val="SntesisDescriptiva"/>
      </w:pPr>
      <w:r>
        <w:t>Recurso de amparo 202-2019. Promovido por don Txema Guijarro García y don Sergio Pascual Peña, portavoz y diputado del grupo parlamentario Confederal de Unidos Podemos-En Comú Podem-En Marea del Congreso de los Diputados, respecto de las resoluciones de la mesa del Congreso sobre utilización de las dependencias de la Cámara.</w:t>
      </w:r>
    </w:p>
    <w:p w:rsidR="005728DD" w:rsidRDefault="005728DD" w:rsidP="005728DD">
      <w:pPr>
        <w:pStyle w:val="SntesisDescriptiva"/>
      </w:pPr>
    </w:p>
    <w:p w:rsidR="005728DD" w:rsidRDefault="005728DD" w:rsidP="005728DD">
      <w:pPr>
        <w:pStyle w:val="SntesisAnaltica"/>
      </w:pPr>
      <w:r>
        <w:t>Supuesta vulneración de los derechos al ejercicio del cargo representativo y a la participación política: denegación del uso de una sala del Congreso para la celebración de un encuentro interparlamentario de apoyo al Sáhara occidental.</w:t>
      </w:r>
    </w:p>
    <w:p w:rsidR="005728DD" w:rsidRDefault="005728DD" w:rsidP="005728DD">
      <w:pPr>
        <w:pStyle w:val="SntesisAnaltica"/>
      </w:pPr>
    </w:p>
    <w:p w:rsidR="005728DD" w:rsidRDefault="005728DD" w:rsidP="005728DD">
      <w:pPr>
        <w:pStyle w:val="Extracto"/>
      </w:pPr>
      <w:r>
        <w:t>1.</w:t>
      </w:r>
      <w:r>
        <w:tab/>
        <w:t xml:space="preserve">Doctrina constitucional sobre el contenido del derecho a acceder en condiciones de igualdad a las funciones y cargos públicos </w:t>
      </w:r>
      <w:r w:rsidRPr="005728DD">
        <w:rPr>
          <w:i/>
        </w:rPr>
        <w:t>ex</w:t>
      </w:r>
      <w:r>
        <w:t xml:space="preserve"> art. 23.2 CE (SSTC 110/2019 y 69/2021) [FFJJ 3, 4].</w:t>
      </w:r>
    </w:p>
    <w:p w:rsidR="005728DD" w:rsidRDefault="005728DD" w:rsidP="005728DD">
      <w:pPr>
        <w:pStyle w:val="Extracto"/>
      </w:pPr>
    </w:p>
    <w:p w:rsidR="005728DD" w:rsidRDefault="005728DD" w:rsidP="005728DD">
      <w:pPr>
        <w:pStyle w:val="Extracto"/>
      </w:pPr>
      <w:r>
        <w:t>2.</w:t>
      </w:r>
      <w:r>
        <w:tab/>
        <w:t xml:space="preserve">El derecho a acceder a los cargos de naturaleza representativa implica también el de mantenerse en ellos y desempeñarlos de acuerdo con la ley, sin constricciones o perturbaciones ilegítimas. Cuando se trata de tales cargos representativos, el derecho enunciado en el artículo 23.2 CE ha de ponerse en conexión con el de todos los ciudadanos a participar en los asuntos públicos por medio de representantes, libremente elegidos en elecciones periódicas por sufragio universal </w:t>
      </w:r>
      <w:r w:rsidRPr="005728DD">
        <w:rPr>
          <w:i/>
        </w:rPr>
        <w:t>ex</w:t>
      </w:r>
      <w:r>
        <w:t xml:space="preserve"> artículo 23.1 CE (SSTC 155/2019, 159/2019, 3/2020, 4/2020 y 9/2020) [FJ 3].</w:t>
      </w:r>
    </w:p>
    <w:p w:rsidR="005728DD" w:rsidRDefault="005728DD" w:rsidP="005728DD">
      <w:pPr>
        <w:pStyle w:val="Extracto"/>
      </w:pPr>
    </w:p>
    <w:p w:rsidR="005728DD" w:rsidRDefault="005728DD" w:rsidP="005728DD">
      <w:pPr>
        <w:pStyle w:val="Extracto"/>
      </w:pPr>
      <w:r>
        <w:t>3.</w:t>
      </w:r>
      <w:r>
        <w:tab/>
        <w:t xml:space="preserve">El derecho establecido en el artículo 23.2 CE, como se desprende del inciso final del precepto, es de configuración legal, correspondiendo a la ley -concepto en el que se incluyen los reglamentos parlamentarios- ordenar los derechos y facultades que correspondan a los distintos cargos públicos y que pasan así a integrarse en el estatus propio de cada uno de ellos, con la consecuencia de que podrá su titular defender, al amparo de esta disposición constitucional, el </w:t>
      </w:r>
      <w:r w:rsidRPr="005728DD">
        <w:rPr>
          <w:i/>
        </w:rPr>
        <w:t xml:space="preserve">ius in officium </w:t>
      </w:r>
      <w:r>
        <w:t>que estime ilegítimamente constreñido o ignorado por actos de los poderes públicos [FJ 3].</w:t>
      </w:r>
    </w:p>
    <w:p w:rsidR="005728DD" w:rsidRDefault="005728DD" w:rsidP="005728DD">
      <w:pPr>
        <w:pStyle w:val="Extracto"/>
      </w:pPr>
    </w:p>
    <w:p w:rsidR="005728DD" w:rsidRDefault="005728DD" w:rsidP="005728DD">
      <w:pPr>
        <w:pStyle w:val="Extracto"/>
      </w:pPr>
      <w:r>
        <w:t>4.</w:t>
      </w:r>
      <w:r>
        <w:tab/>
        <w:t xml:space="preserve">En el artículo 23.2 no ha asumido la Constitución un genérico derecho fundamental al respeto de todas y cada una de las prescripciones de los reglamentos parlamentarios; así, el derecho de los representantes, y en particular su </w:t>
      </w:r>
      <w:r w:rsidRPr="005728DD">
        <w:rPr>
          <w:i/>
        </w:rPr>
        <w:t>ius in officium</w:t>
      </w:r>
      <w:r>
        <w:t>, solo podrá considerarse violado si las contravenciones de las normas internas de las asambleas legislativas afectan al núcleo de los derechos y facultades de los representantes o a su estatuto constitucionalmente relevante (SSTC 109/2016, 139/2017 y 34/2018) [FJ 4].</w:t>
      </w:r>
    </w:p>
    <w:p w:rsidR="005728DD" w:rsidRDefault="005728DD" w:rsidP="005728DD">
      <w:pPr>
        <w:pStyle w:val="Extracto"/>
      </w:pPr>
    </w:p>
    <w:p w:rsidR="005728DD" w:rsidRDefault="005728DD" w:rsidP="005728DD">
      <w:pPr>
        <w:pStyle w:val="Extracto"/>
      </w:pPr>
      <w:r>
        <w:t>5.</w:t>
      </w:r>
      <w:r>
        <w:tab/>
        <w:t xml:space="preserve">No existe el derecho al uso de una sala del edificio que alberga el Congreso para la realización de una actividad, como es la celebración de una reunión de un intergrupo parlamentario, ajena al ejercicio de las funciones parlamentarias propiamente dichas que la Constitución y el Reglamento de la Cámara atribuyen a sus miembros; así, el uso de una sala del Congreso no forma parte del núcleo del </w:t>
      </w:r>
      <w:r w:rsidRPr="005728DD">
        <w:rPr>
          <w:i/>
        </w:rPr>
        <w:t xml:space="preserve">ius in officium </w:t>
      </w:r>
      <w:r>
        <w:t>reconocido por el artículo 23.2 CE [FJ 4].</w:t>
      </w:r>
    </w:p>
    <w:p w:rsidR="005728DD" w:rsidRDefault="005728DD" w:rsidP="005728DD">
      <w:pPr>
        <w:pStyle w:val="Extracto"/>
      </w:pPr>
    </w:p>
    <w:p w:rsidR="005728DD" w:rsidRDefault="005728DD" w:rsidP="005728DD">
      <w:pPr>
        <w:pStyle w:val="Extracto"/>
      </w:pPr>
      <w:r>
        <w:t>6.</w:t>
      </w:r>
      <w:r>
        <w:tab/>
        <w:t xml:space="preserve">En relación con los derechos económicos de los diputados y con los medios materiales y personales de los grupos parlamentarios previstos en el reglamento de la Cámara, los derechos de contenido económico no forman parte del núcleo esencial del </w:t>
      </w:r>
      <w:r w:rsidRPr="005728DD">
        <w:rPr>
          <w:i/>
        </w:rPr>
        <w:t xml:space="preserve">ius in officium </w:t>
      </w:r>
      <w:r>
        <w:t>del diputado reconocido por el artículo 23.2 CE (SSTC 36/2014, 159/2019 y 69/2021); sin embargo, en ocasiones la privación de dichos derechos podría comportar la vulneración del artículo 23.2 CE cuando se impida el ejercicio de las funciones que tiene encomendadas (STC 69/2021) [FJ 4].</w:t>
      </w:r>
    </w:p>
    <w:p w:rsidR="005728DD" w:rsidRDefault="005728DD" w:rsidP="005728DD">
      <w:pPr>
        <w:pStyle w:val="Extracto"/>
      </w:pPr>
    </w:p>
    <w:p w:rsidR="005728DD" w:rsidRDefault="005728DD" w:rsidP="005728DD">
      <w:pPr>
        <w:pStyle w:val="Extracto"/>
      </w:pPr>
      <w:r>
        <w:t>7.</w:t>
      </w:r>
      <w:r>
        <w:tab/>
        <w:t>Las funciones de calificación y admisión a trámite de los escritos y documentos de naturaleza parlamentaria son de estricta verificación formal, sin que a las mesas les corresponda emplear o expresar, a estos efectos, un juicio de oportunidad. Esta doctrina no es de aplicación a las solicitudes distintas de las iniciativas parlamentarias, como puedan ser las de naturaleza administrativa, que se resuelven en ejercicio de la función de la mesa de la Cámara de adoptar cuantas decisiones y medidas requieran la organización del trabajo, el régimen y gobierno interiores de la Cámara, y cuya regulación se contiene en norma sin fuerza de ley [FJ 4].</w:t>
      </w:r>
    </w:p>
    <w:p w:rsidR="005728DD" w:rsidRDefault="005728DD" w:rsidP="005728DD">
      <w:pPr>
        <w:pStyle w:val="Extracto"/>
      </w:pPr>
    </w:p>
    <w:p w:rsidR="005728DD" w:rsidRDefault="005728DD" w:rsidP="005728DD">
      <w:pPr>
        <w:pStyle w:val="Extracto"/>
      </w:pPr>
      <w:r>
        <w:t>8.</w:t>
      </w:r>
      <w:r>
        <w:tab/>
        <w:t xml:space="preserve">La motivación de las resoluciones parlamentarias solo es un imperativo constitucional cuando los actos controvertidos hayan sido restrictivos del </w:t>
      </w:r>
      <w:r w:rsidRPr="005728DD">
        <w:rPr>
          <w:i/>
        </w:rPr>
        <w:t xml:space="preserve">ius in officium </w:t>
      </w:r>
      <w:r>
        <w:t>de los representantes (STC 32/2017 y 110/2019) [FJ 4].</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202-2019, promovido por don Txema Guijarro García y don Sergio Pascual Peña, portavoz y diputado del grupo parlamentario Confederal de Unidos Podemos-En Comú Podem-En Marea del Congreso de los Diputados, representados por el procurador de los tribunales don José Miguel Martínez-Fresneda Gambra y defendidos por el letrado don Diego de las Barreras del Valle, contra el acuerdo de la mesa del Congreso de los Diputados de 15 de noviembre de 2018, por el que se desestima la solicitud de reconsideración presentada contra el acuerdo del mismo órgano de gobierno de la Cámara de 31 de octubre de 2018, que deniega la autorización para celebrar en la sala constitucional del Congreso un encuentro de parlamentarios, en el marco, aunque de forma paralela, a la EUCOCO (43ª Conferencia Europea de Solidaridad y Apoyo al Pueblo Saharaui, que tuvo lugar en Madrid los días 16 y 17 de noviembre de 2018). Ha comparecido y presentado alegaciones el Congreso de los Diputados, representado por la letrada de las Cortes Generales. Ha </w:t>
      </w:r>
      <w:r>
        <w:lastRenderedPageBreak/>
        <w:t>intervenido el Ministerio Fiscal. Ha sido ponente el magistrado don Ricardo Enríquez Sancho.</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General del Tribunal Constitucional el 10 de enero de 2019, el procurador de los tribunales don José Miguel Martínez-Fresneda Gambra, en representación de don Txema Guijarro García y don Sergio Pascual Peña, portavoz y diputado del grupo parlamentario Confederal de Unidos Podemos-En Comú Podem-En Marea del Congreso de los Diputados (GP UP-EC-EM), presentó recurso de amparo contra las resoluciones de la mesa del Congreso de los Diputados reseñadas en el encabezamiento de la presente sentencia.</w:t>
      </w:r>
    </w:p>
    <w:p w:rsidR="005728DD" w:rsidRDefault="005728DD" w:rsidP="005728DD">
      <w:pPr>
        <w:pStyle w:val="TextoNormal"/>
      </w:pPr>
    </w:p>
    <w:p w:rsidR="005728DD" w:rsidRDefault="005728DD" w:rsidP="005728DD">
      <w:pPr>
        <w:pStyle w:val="TextoNormal"/>
      </w:pPr>
      <w:r w:rsidRPr="005728DD">
        <w:rPr>
          <w:rStyle w:val="NumeroAFNegritaCaracter"/>
        </w:rPr>
        <w:t>2</w:t>
      </w:r>
      <w:r>
        <w:t>. Los hechos relevantes para el presente recurso de amparo, tal y como se infieren de lo expuesto en la demanda y de la documentación aportada al presente recurso de amparo, son, en síntesis, los siguientes:</w:t>
      </w:r>
    </w:p>
    <w:p w:rsidR="005728DD" w:rsidRDefault="005728DD" w:rsidP="005728DD">
      <w:pPr>
        <w:pStyle w:val="TextoNormal"/>
      </w:pPr>
    </w:p>
    <w:p w:rsidR="005728DD" w:rsidRDefault="005728DD" w:rsidP="005728DD">
      <w:pPr>
        <w:pStyle w:val="TextoNormal"/>
      </w:pPr>
      <w:r>
        <w:t>a) El día 16 de octubre de 2018, los portavoces de los grupos parlamentarios Mixto, Ciudadanos y GP UP-EC-EM, los diputados don Sergio Pascual, y don Enric Bataller i Ruiz y don Fernando Maura, coordinadores del intergrupo por el Sáhara Occidental, solicitaron a la mesa del Congreso de los Diputados, el uso de la sala constitucional durante la mañana del viernes 16 de noviembre para la celebración de un encuentro de parlamentarios españoles, así como de Francia, Italia, Dinamarca, Suecia, Suiza, Argelia, Sudáfrica y Mauritania, bajo el marco aunque de forma paralela a la celebración de la EUCOCO (43ª Conferencia Europea de Solidaridad y Apoyo al Pueblo Saharaui), celebrada en Madrid los días 16 y 17 de noviembre de 2018.</w:t>
      </w:r>
    </w:p>
    <w:p w:rsidR="005728DD" w:rsidRDefault="005728DD" w:rsidP="005728DD">
      <w:pPr>
        <w:pStyle w:val="TextoNormal"/>
      </w:pPr>
    </w:p>
    <w:p w:rsidR="005728DD" w:rsidRDefault="005728DD" w:rsidP="005728DD">
      <w:pPr>
        <w:pStyle w:val="TextoNormal"/>
      </w:pPr>
      <w:r>
        <w:t>b) La mesa de la Cámara, en reunión celebrada el 23 de octubre de 2018, acordó encomendar informe a la Secretaría General acerca de la naturaleza del citado intergrupo, los precedentes existentes en cuanto a reuniones similares que se hayan podido celebrar en la Cámara, así como la posición de España en cuanto al asunto de fondo. Con fecha de 26 de octubre se emitió la “Nota sobre la celebración de un acto en el Congreso de los Diputados de manera paralela a la celebración de la EUCOCO”, del director de relaciones internacionales del Congreso de los Diputados.</w:t>
      </w:r>
    </w:p>
    <w:p w:rsidR="005728DD" w:rsidRDefault="005728DD" w:rsidP="005728DD">
      <w:pPr>
        <w:pStyle w:val="TextoNormal"/>
      </w:pPr>
    </w:p>
    <w:p w:rsidR="005728DD" w:rsidRDefault="005728DD" w:rsidP="005728DD">
      <w:pPr>
        <w:pStyle w:val="TextoNormal"/>
      </w:pPr>
      <w:r>
        <w:t>c) Por acuerdo de 30 de octubre de 2018, la mesa de la Cámara, teniendo en cuenta el informe elaborado al respecto, acordó, con el voto en contra de cuatro de sus miembros, denegar la celebración de dicho encuentro en la sala constitucional (acta de la mesa de 30 de octubre de 2018).</w:t>
      </w:r>
    </w:p>
    <w:p w:rsidR="005728DD" w:rsidRDefault="005728DD" w:rsidP="005728DD">
      <w:pPr>
        <w:pStyle w:val="TextoNormal"/>
      </w:pPr>
    </w:p>
    <w:p w:rsidR="005728DD" w:rsidRDefault="005728DD" w:rsidP="005728DD">
      <w:pPr>
        <w:pStyle w:val="TextoNormal"/>
      </w:pPr>
      <w:r>
        <w:t xml:space="preserve">d) Mediante escrito de 5 de noviembre de 2018, los diputados don Enric Bataller (Grupo Parlamentario Mixto), don Joan Baldoví (portavoz del Grupo Parlamentario Mixto), don Oskar Matute (Grupo Parlamentario Mixto), don Sergi Miquel (Grupo Parlamentario Mixto), don Sergio Pascual (GCUP-EC-EM), doña Carmen Valido (GCUP-EC-EM), don Jorge Luis Bail (GCUP-EC-EM), don Txema Guijarro (portavoz GCUP-EC-EM), el portavoz del grupo parlamentario Vasco (EAJ-PNV), don Iñigo Barandiaran (EAJ-PNV), doña Ana María Surra (Grupo Parlamentario Esquerra Republicana) y don Joan Tardá i Coma </w:t>
      </w:r>
      <w:r>
        <w:lastRenderedPageBreak/>
        <w:t>(Grupo Parlamentario Esquerra Republicana), solicitaron a la mesa la reconsideración de su acuerdo de 31 de octubre.</w:t>
      </w:r>
    </w:p>
    <w:p w:rsidR="005728DD" w:rsidRDefault="005728DD" w:rsidP="005728DD">
      <w:pPr>
        <w:pStyle w:val="TextoNormal"/>
      </w:pPr>
    </w:p>
    <w:p w:rsidR="005728DD" w:rsidRDefault="005728DD" w:rsidP="005728DD">
      <w:pPr>
        <w:pStyle w:val="TextoNormal"/>
      </w:pPr>
      <w:r>
        <w:t>e) Por acuerdo de 13 de noviembre de 2018, la mesa del Congreso de los Diputados desestima la solicitud de reconsideración.</w:t>
      </w:r>
    </w:p>
    <w:p w:rsidR="005728DD" w:rsidRDefault="005728DD" w:rsidP="005728DD">
      <w:pPr>
        <w:pStyle w:val="TextoNormal"/>
      </w:pPr>
    </w:p>
    <w:p w:rsidR="005728DD" w:rsidRDefault="005728DD" w:rsidP="005728DD">
      <w:pPr>
        <w:pStyle w:val="TextoNormal"/>
      </w:pPr>
      <w:r w:rsidRPr="005728DD">
        <w:rPr>
          <w:rStyle w:val="NumeroAFNegritaCaracter"/>
        </w:rPr>
        <w:t>3</w:t>
      </w:r>
      <w:r>
        <w:t>. La fundamentación en Derecho de la demanda de amparo puede ser resumida como sigue:</w:t>
      </w:r>
    </w:p>
    <w:p w:rsidR="005728DD" w:rsidRDefault="005728DD" w:rsidP="005728DD">
      <w:pPr>
        <w:pStyle w:val="TextoNormal"/>
      </w:pPr>
    </w:p>
    <w:p w:rsidR="005728DD" w:rsidRDefault="005728DD" w:rsidP="005728DD">
      <w:pPr>
        <w:pStyle w:val="TextoNormal"/>
      </w:pPr>
      <w:r>
        <w:t>Se justifica la relevancia constitucional del recurso y se aduce la vulneración del artículo 23.2 CE en relación con el artículo 23.1 CE, por la decisión de la mesa de la Cámara de rechazar, sin motivo ni fundamento alguno, la autorización de la celebración en la sala constitucional del Congreso de los Diputados de un encuentro entre parlamentarios de diferentes países.</w:t>
      </w:r>
    </w:p>
    <w:p w:rsidR="005728DD" w:rsidRDefault="005728DD" w:rsidP="005728DD">
      <w:pPr>
        <w:pStyle w:val="TextoNormal"/>
      </w:pPr>
    </w:p>
    <w:p w:rsidR="005728DD" w:rsidRDefault="005728DD" w:rsidP="005728DD">
      <w:pPr>
        <w:pStyle w:val="TextoNormal"/>
      </w:pPr>
      <w:r>
        <w:t>A lo largo de la demanda se realizan una serie de consideraciones respecto al contenido del artículo 23 CE y al alcance de la función de calificación y admisión a trámite de las mesas de las cámaras en las que se sustenta la vulneración aducida y que pueden resumirse en lo siguiente:</w:t>
      </w:r>
    </w:p>
    <w:p w:rsidR="005728DD" w:rsidRDefault="005728DD" w:rsidP="005728DD">
      <w:pPr>
        <w:pStyle w:val="TextoNormal"/>
      </w:pPr>
    </w:p>
    <w:p w:rsidR="005728DD" w:rsidRDefault="005728DD" w:rsidP="005728DD">
      <w:pPr>
        <w:pStyle w:val="TextoNormal"/>
      </w:pPr>
      <w:r>
        <w:t>a) La demanda expone doctrina constitucional sobre el artículo 23 CE poniendo de relieve la conexión entre ambos apartados del citado precepto. El derecho al cargo público previsto en el artículo 23.2 CE va más allá del acceso libre e igual al mismo (</w:t>
      </w:r>
      <w:r w:rsidRPr="005728DD">
        <w:rPr>
          <w:i/>
        </w:rPr>
        <w:t>ius ad officium</w:t>
      </w:r>
      <w:r>
        <w:t>), e incluye el derecho a mantenerse en el cargo y a desempeñarlo sin perturbaciones ilegítimas o discriminatorias (</w:t>
      </w:r>
      <w:r w:rsidRPr="005728DD">
        <w:rPr>
          <w:i/>
        </w:rPr>
        <w:t>ius in officium</w:t>
      </w:r>
      <w:r>
        <w:t xml:space="preserve">; cita la STC 32/1985, de 6 de marzo, FJ 3). Se considera que el contenido del </w:t>
      </w:r>
      <w:r w:rsidRPr="005728DD">
        <w:rPr>
          <w:i/>
        </w:rPr>
        <w:t>ius in officium</w:t>
      </w:r>
      <w:r>
        <w:t xml:space="preserve"> incluye las funciones de representación, entre ellas, las legislativas y de control del gobierno, pero también aquellas dirigidas a forzar el debate político y el posicionamiento de los distintos grupos parlamentarios (cita la STC 1/2015, de 19 de enero, FJ 7). Asimismo, se pone de relieve que, de conformidad con el principio democrático, salvaguardar la voluntad de la ciudadanía representada exige, no solo el respeto a la voluntad de la mayoría, sino asegurar el pluralismo político para garantizar, al tiempo, una adecuada representación e intervención de las minorías.</w:t>
      </w:r>
    </w:p>
    <w:p w:rsidR="005728DD" w:rsidRDefault="005728DD" w:rsidP="005728DD">
      <w:pPr>
        <w:pStyle w:val="TextoNormal"/>
      </w:pPr>
    </w:p>
    <w:p w:rsidR="005728DD" w:rsidRDefault="005728DD" w:rsidP="005728DD">
      <w:pPr>
        <w:pStyle w:val="TextoNormal"/>
      </w:pPr>
      <w:r>
        <w:t>b) Expone la demanda que los acuerdos impugnados derivan de la solicitud de uso de la sala constitucional del Congreso para celebrar un encuentro de parlamentarios de distintos países, sobre todo europeos, en el marco del foro EUCOCO (43ª Conferencia Europea de Solidaridad y Apoyo al Pueblo Saharaui) y como parte de las actividades del intergrupo parlamentario de apoyo al Sáhara Occidental. Asimismo, destaca que estos intergrupos se ponen en marcha en la cámara por acuerdo de los diversos grupos parlamentarios, con el fin de promover determinadas causas o para analizar determinados asuntos de relevancia nacional o internacional y constituyen espacios de debate político, abierto y plural, entre las distintas fuerzas políticas que integran el arco parlamentario. A ello añade que no parece constitucionalmente admisible que la mesa valore la oportunidad política de celebrar dicho encuentro, y niegue a los miembros de los grupos parlamentarios solicitantes la posibilidad de debatir sobre la cuestión, de acuerdo con el principio democrático y los valores constitucionales de igualdad y pluralismo político. Cuando además, conforme a la doctrina constitucional, ha de optarse siempre por la interpretación más favorable a la eficacia de los derechos fundamentales (cita la STC 177/2002, de 14 de octubre, FJ 3).</w:t>
      </w:r>
    </w:p>
    <w:p w:rsidR="005728DD" w:rsidRDefault="005728DD" w:rsidP="005728DD">
      <w:pPr>
        <w:pStyle w:val="TextoNormal"/>
      </w:pPr>
    </w:p>
    <w:p w:rsidR="005728DD" w:rsidRDefault="005728DD" w:rsidP="005728DD">
      <w:pPr>
        <w:pStyle w:val="TextoNormal"/>
      </w:pPr>
      <w:r>
        <w:t xml:space="preserve">c) Entiende la demanda que el artículo 23 CE contiene un derecho de configuración legal pero también un contenido indisponible (cita las SSTC 163/1991, de 18 de julio, FJ 3, y 177/2002, FJ 3). Por lo tanto, no sería admisible que el alcance de los derechos fundamentales directamente derivados del artículo 23 CE se viera restringido o vaciado de contenido por lo dispuesto en el Reglamento, o por la interpretación que del mismo hiciera la mesa de la Cámara, porque el carácter fundamental de los derechos subjetivos que directamente derivan del artículo 23 CE, exige una configuración y un ejercicio del </w:t>
      </w:r>
      <w:r w:rsidRPr="005728DD">
        <w:rPr>
          <w:i/>
        </w:rPr>
        <w:t>ius in officium</w:t>
      </w:r>
      <w:r>
        <w:t xml:space="preserve"> de los parlamentarios como un derecho fundamental que garantice, en todo momento, una efectiva representación de toda la ciudadanía y, en consecuencia, el pluralismo político —y la subsiguiente tutela de las minorías— que la Constitución consagra como valor superior del ordenamiento (artículo 1.1). Lo contrario, supondría, a juicio de la demanda, obviar el valor normativo de los principios y derechos que la Constitución consagra.</w:t>
      </w:r>
    </w:p>
    <w:p w:rsidR="005728DD" w:rsidRDefault="005728DD" w:rsidP="005728DD">
      <w:pPr>
        <w:pStyle w:val="TextoNormal"/>
      </w:pPr>
    </w:p>
    <w:p w:rsidR="005728DD" w:rsidRDefault="005728DD" w:rsidP="005728DD">
      <w:pPr>
        <w:pStyle w:val="TextoNormal"/>
      </w:pPr>
      <w:r>
        <w:t>d) Las decisiones de la mesa de la Cámara, de acuerdo con lo afirmado en la citada STC 177/2002, FJ 3, deben ajustarse a las normas que establecen requisitos formales o de procedimiento y estar debidamente motivadas (STC 94/2018, de 17 de septiembre, FJ 7).</w:t>
      </w:r>
    </w:p>
    <w:p w:rsidR="005728DD" w:rsidRDefault="005728DD" w:rsidP="005728DD">
      <w:pPr>
        <w:pStyle w:val="TextoNormal"/>
      </w:pPr>
    </w:p>
    <w:p w:rsidR="005728DD" w:rsidRDefault="005728DD" w:rsidP="005728DD">
      <w:pPr>
        <w:pStyle w:val="TextoNormal"/>
      </w:pPr>
      <w:r>
        <w:t>e) La mesa de la Cámara solo puede realizar un control sobre la regularidad de las iniciativas parlamentarias pero no sobre la oportunidad política de las mismas (cita la STC 4/2018, de 22 de enero, FJ 5) y sus decisiones deben estar debidamente motivadas (expone la doctrina de las SSTC 47/2018, de 26 de abril, FJ 4 y 177/2002, FJ 10). La motivación de los acuerdos de la mesa deberá ser expresa, suficiente y adecuada, y dar cuenta de una aplicación estricta de las normas reglamentarias que no exceda del ámbito de verificación formal y que no entrañe una afectación arbitraria de los derechos de los parlamentarios. Además, los órganos parlamentarios deben realizar una interpretación restrictiva de todas aquellas normas que puedan suponer una limitación al ejercicio de aquellos derechos o atribuciones que integran el estatuto constitucionalmente relevante del representante público (STC 202/2014, de 15 de diciembre, FJ 3). En definitiva, se considera que la mesa en ningún caso puede asumir las funciones representativas de la cámara o de quienes legítimamente la integran; debe, por tanto, ceñir sus actuaciones a la organización y coordinación del trabajo parlamentario (SSTC 177/2002, FJ 3, y 108/2016, de 7 de junio, FJ 4). En su opinión, el artículo 31 del Reglamento del Congreso de los Diputados (en adelante, RCD) establece dicha exigencia de motivación. En consecuencia, a juicio de la demanda, la falta de motivación de las resoluciones de la Mesa determina que sean contrarias al Reglamento del Congreso de los Diputados. Y dado que se trata de una exigencia reglamentaria cuyo incumplimiento puede traer aparejada la afectación de un derecho fundamental, es necesario que la motivación que justifique la decisión adoptada incluya un razonamiento suficiente (cita STC 109/2016, de 7 de junio, FJ 6).</w:t>
      </w:r>
    </w:p>
    <w:p w:rsidR="005728DD" w:rsidRDefault="005728DD" w:rsidP="005728DD">
      <w:pPr>
        <w:pStyle w:val="TextoNormal"/>
      </w:pPr>
    </w:p>
    <w:p w:rsidR="005728DD" w:rsidRDefault="005728DD" w:rsidP="005728DD">
      <w:pPr>
        <w:pStyle w:val="TextoNormal"/>
      </w:pPr>
      <w:r>
        <w:t xml:space="preserve">f) Expone la demanda que, a pesar de lo dispuesto en el Reglamento y en la doctrina constitucional, la mesa del Congreso de los Diputados adoptó los acuerdos por los que se deniega la autorización para celebrar el acto en la sala constitucional, y se desestima la reconsideración de dicha negativa, sin motivación alguna. En la decisión de 15 de noviembre, la mesa acuerda desestimar la solicitud de reconsideración y omite responder a los argumentos esgrimidos en la misma, entre los que se encuentra que: es práctica habitual la utilización de las salas del Congreso para la celebración de encuentros y jornadas de trabajo, dentro del ámbito de las funciones representativas de los diputados; la problemática en torno </w:t>
      </w:r>
      <w:r>
        <w:lastRenderedPageBreak/>
        <w:t>al pueblo saharaui y su territorio constituye motivo de preocupación para la sociedad española y que a eso responde que existan en el Europarlamento y en distintos parlamentos nacionales y regionales de los Estados miembros de la Unión Europea intergrupos de amistad con el pueblo del Sahara Occidental; en este marco, el intergrupo que funciona en el Congreso ha desplegado diversas actuaciones, como jornadas de trabajo en el propio Congreso; los diputados y diputadas integrantes del intergrupo del Congreso pretendían celebrar el encuentro como un acto de acogimiento previo a la EUCOCO (43ª Conferencia Europea de Solidaridad y Apoyo al Pueblo Saharaui, a celebrarse en Madrid los días 16 y 17 de noviembre de 2018), igual que en junio pasado la Asamblea Nacional francesa había realizado una recepción con motivo de la conferencia fundacional de la Red Parlamentaria Internacional para el Apoyo del Referéndum en el Sáhara Occidental; y la negativa a autorizar la celebración de dicho encuentro de parlamentarios en la sala constitucional del Congreso, sin más explicación ni alternativa, era una prohibición sin justificación ninguna.</w:t>
      </w:r>
    </w:p>
    <w:p w:rsidR="005728DD" w:rsidRDefault="005728DD" w:rsidP="005728DD">
      <w:pPr>
        <w:pStyle w:val="TextoNormal"/>
      </w:pPr>
    </w:p>
    <w:p w:rsidR="005728DD" w:rsidRDefault="005728DD" w:rsidP="005728DD">
      <w:pPr>
        <w:pStyle w:val="TextoNormal"/>
      </w:pPr>
      <w:r>
        <w:t>Entiende la demanda que la ausencia de motivación de los acuerdos de la mesa no ha sido una excepción en la práctica de este órgano rector durante la presente legislatura, lo que no puede ser justificación para pasar por alto una situación que implica la vulneración de un derecho fundamental. En este sentido el tribunal se ha referido a la exigencia de que las prácticas parlamentarias resulten siempre acordes con las disposiciones reglamentarias y las garantías constitucionales (STC 177/2002, FJ 7); y la mesa debe optar por la interpretación de la legalidad más favorable a la eficacia de los derechos fundamentales.</w:t>
      </w:r>
    </w:p>
    <w:p w:rsidR="005728DD" w:rsidRDefault="005728DD" w:rsidP="005728DD">
      <w:pPr>
        <w:pStyle w:val="TextoNormal"/>
      </w:pPr>
    </w:p>
    <w:p w:rsidR="005728DD" w:rsidRDefault="005728DD" w:rsidP="005728DD">
      <w:pPr>
        <w:pStyle w:val="TextoNormal"/>
      </w:pPr>
      <w:r>
        <w:t>Dicha falta de motivación parece responder, a juicio de la demanda, a que la decisión de la mesa se fundamenta en una valoración política sobre la oportunidad del acto. Concluye la demanda que se trata de un “incumplimiento flagrante de un requisito expresamente exigido por el Reglamento —frente a la ausencia absoluta de razones y argumentos que motiven la decisión de la mesa—; pero ello se traduce, además, en la limitación ilegítima del derecho de los recurrentes al regular ejercicio de sus funciones parlamentarias y, por ende, en una vulneración del derecho de la ciudadanía a participar en los asuntos públicos a través de sus representantes”. Por estas razones, se solicita que se estime el recurso y se declare la vulneración de los derechos de participación política contenidos en el artículo 23.2 CE, así como la anulación del acuerdo de la mesa del Congreso de los Diputados de 15 de noviembre de 2018, que desestima la solicitud de reconsideración del acuerdo de la mesa de 31 de octubre de 2018.</w:t>
      </w:r>
    </w:p>
    <w:p w:rsidR="005728DD" w:rsidRDefault="005728DD" w:rsidP="005728DD">
      <w:pPr>
        <w:pStyle w:val="TextoNormal"/>
      </w:pPr>
    </w:p>
    <w:p w:rsidR="005728DD" w:rsidRDefault="005728DD" w:rsidP="005728DD">
      <w:pPr>
        <w:pStyle w:val="TextoNormal"/>
      </w:pPr>
      <w:r w:rsidRPr="005728DD">
        <w:rPr>
          <w:rStyle w:val="NumeroAFNegritaCaracter"/>
        </w:rPr>
        <w:t>4</w:t>
      </w:r>
      <w:r>
        <w:t>. La Sección Cuarta de este tribunal, por providencia de 29 de junio de 2020, acordó admitir a trámite la demanda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aplicación de lo dispuesto en el artículo 51 LOTC, acordó dirigir atenta comunicación a la mesa del Congreso de los Diputados a fin de que, en plazo que no excediese de diez días, remitiese certificación o fotocopia adverada de las actuaciones correspondientes al acuerdo de la mesa del Congreso de los Diputados que desestima la solicitud de autorización para celebrar el encuentro de parlamentarios españoles de forma paralela a la celebración de la EUCOCO, de 31 de octubre de 2018; debiendo previamente emplazarse, para que en el plazo de diez días pudiesen comparecer, si lo desean, en el recurso de amparo a quienes hubieran sido parte en el procedimiento, excepto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5</w:t>
      </w:r>
      <w:r>
        <w:t>. Con fecha de 15 de julio de 2020 tuvo entrada en el registro del tribunal, el acuerdo de la mesa del Congreso de los Diputados de 14 de julio por el cual se traslada fotocopia adverada de las actuaciones correspondientes al acuerdo de la mesa de 31 de octubre de 2018, así como se persona en el procedimiento. La Secretaría de Justicia de la Sala Segunda de este tribunal dictó diligencia de ordenación el 17 de julio de 2019 por la que, de un lado, acordó tener por personado y parte a la letrada de las Cortes Generales en la representación que ostenta y, de otro lado, acordó dar vista de las actuaciones a las partes personadas y al Ministerio Fiscal, por plazo común de veinte días, a fin de que pudieran presentar las alegaciones que estimasen pertinentes, conforme con lo previsto en el artículo 52.1 LOTC.</w:t>
      </w:r>
    </w:p>
    <w:p w:rsidR="005728DD" w:rsidRDefault="005728DD" w:rsidP="005728DD">
      <w:pPr>
        <w:pStyle w:val="TextoNormal"/>
      </w:pPr>
    </w:p>
    <w:p w:rsidR="005728DD" w:rsidRDefault="005728DD" w:rsidP="005728DD">
      <w:pPr>
        <w:pStyle w:val="TextoNormal"/>
      </w:pPr>
      <w:r w:rsidRPr="005728DD">
        <w:rPr>
          <w:rStyle w:val="NumeroAFNegritaCaracter"/>
        </w:rPr>
        <w:t>6</w:t>
      </w:r>
      <w:r>
        <w:t>. Mediante escrito que tuvo entrada en el registro general del Tribunal el 28 de septiembre de 2020, la letrada de las Cortes Generales presentó alegaciones en nombre y representación del Congreso de los Diputados, solicitando la inadmisión de la demanda por mutación subjetiva del ejercicio de la acción y consiguiente falta de legitimación, considerando infringido el artículo 46.1 a) LOTC, así como por falta de agotamiento de la vía previa exigida en el artículo 42 LOTC y, subsidiariamente, la desestimación del recurso de amparo en su integridad. Sus alegaciones pueden resumirse como sigue:</w:t>
      </w:r>
    </w:p>
    <w:p w:rsidR="005728DD" w:rsidRDefault="005728DD" w:rsidP="005728DD">
      <w:pPr>
        <w:pStyle w:val="TextoNormal"/>
      </w:pPr>
    </w:p>
    <w:p w:rsidR="005728DD" w:rsidRDefault="005728DD" w:rsidP="005728DD">
      <w:pPr>
        <w:pStyle w:val="TextoNormal"/>
      </w:pPr>
      <w:r>
        <w:t>A) Expone los antecedentes de hecho del presente recurso de amparo, en los que destaca que la mesa del Congreso de los Diputados examinó en su reunión de 23 de octubre de 2018, figurando en el índice azul (asuntos administrativos) del orden del día, la solicitud de uso de la sala constitucional, a la que se refiere el presente recurso de amparo, y acordó encomendar a la Secretaría General la elaboración de un informe sobre la naturaleza del intergrupo, comunicándole el acuerdo al director de relaciones internacionales a los efectos de la emisión de dicho informe.</w:t>
      </w:r>
    </w:p>
    <w:p w:rsidR="005728DD" w:rsidRDefault="005728DD" w:rsidP="005728DD">
      <w:pPr>
        <w:pStyle w:val="TextoNormal"/>
      </w:pPr>
    </w:p>
    <w:p w:rsidR="005728DD" w:rsidRDefault="005728DD" w:rsidP="005728DD">
      <w:pPr>
        <w:pStyle w:val="TextoNormal"/>
      </w:pPr>
      <w:r>
        <w:t>La mesa, en su reunión de 30 de octubre de 2018, figurando en el índice azul (asuntos administrativos) del orden del día, examinó la solicitud y la nota elaborada por la Dirección de relaciones internacionales y denegó la misma.</w:t>
      </w:r>
    </w:p>
    <w:p w:rsidR="005728DD" w:rsidRDefault="005728DD" w:rsidP="005728DD">
      <w:pPr>
        <w:pStyle w:val="TextoNormal"/>
      </w:pPr>
    </w:p>
    <w:p w:rsidR="005728DD" w:rsidRDefault="005728DD" w:rsidP="005728DD">
      <w:pPr>
        <w:pStyle w:val="TextoNormal"/>
      </w:pPr>
      <w:r>
        <w:t>B) A continuación, la representación del Congreso de los Diputados se refiere a la legitimación y al agotamiento de la vía previa. Al respecto, pone de manifiesto la falta de coincidencia entre los recurrentes en amparo y aquellos que solicitaron la reconsideración del acuerdo de la mesa de 31 de octubre de 2018. Además, pone de manifiesto que tampoco coinciden los solicitantes de la sala constitucional, que fue denegada por el citado acuerdo de 31 de octubre, y aquellos que solicitaron la reconsideración de dicho acuerdo, lo que afecta el debido agotamiento de la vía previa (artículo 42 LOTC).</w:t>
      </w:r>
    </w:p>
    <w:p w:rsidR="005728DD" w:rsidRDefault="005728DD" w:rsidP="005728DD">
      <w:pPr>
        <w:pStyle w:val="TextoNormal"/>
      </w:pPr>
    </w:p>
    <w:p w:rsidR="005728DD" w:rsidRDefault="005728DD" w:rsidP="005728DD">
      <w:pPr>
        <w:pStyle w:val="TextoNormal"/>
      </w:pPr>
      <w:r>
        <w:t>Esta falta de identidad determina, a juicio de la letrada de las Cortes Generales, la falta de legitimación y de agotamiento de la vía previa de acuerdo con la STC 24/2020, de 13 de febrero, que reproduce parcialmente. En consecuencia, solicita la inadmisión del presente recurso de amparo por falta de legitimación [artículo 46.1 a) LOTC] y falta de agotamiento de la vía previa (artículo 42 LOTC).</w:t>
      </w:r>
    </w:p>
    <w:p w:rsidR="005728DD" w:rsidRDefault="005728DD" w:rsidP="005728DD">
      <w:pPr>
        <w:pStyle w:val="TextoNormal"/>
      </w:pPr>
    </w:p>
    <w:p w:rsidR="005728DD" w:rsidRDefault="005728DD" w:rsidP="005728DD">
      <w:pPr>
        <w:pStyle w:val="TextoNormal"/>
      </w:pPr>
      <w:r>
        <w:t>C) En cuanto a los fundamentos jurídico-materiales, se expone lo que sigue:</w:t>
      </w:r>
    </w:p>
    <w:p w:rsidR="005728DD" w:rsidRDefault="005728DD" w:rsidP="005728DD">
      <w:pPr>
        <w:pStyle w:val="TextoNormal"/>
      </w:pPr>
    </w:p>
    <w:p w:rsidR="005728DD" w:rsidRDefault="005728DD" w:rsidP="005728DD">
      <w:pPr>
        <w:pStyle w:val="TextoNormal"/>
      </w:pPr>
      <w:r>
        <w:lastRenderedPageBreak/>
        <w:t>a) La utilización de las salas de la cámara no forma parte del contenido del artículo 23 CE susceptible de protección del recurso de amparo. En primer lugar, afirma que no estamos ante un asunto de carácter parlamentario que se refiera al ejercicio de funciones parlamentarias de los diputados recurrentes que estén en el núcleo protegido del artículo 23 CE, sino que el acuerdo de la mesa es de naturaleza administrativa. Por ello la solicitud estaba incluida en el apartado de asuntos administrativos del orden del día de la mesa y no en el apartado de asuntos parlamentarios, ya que afectaba a una cuestión de orden interno de la cámara, relativa a la ordenación y organización del uso de sus espacios internos, correspondiendo la decisión a la mesa en su condición de órgano rector de la cámara (artículo 30.1 RCD) y en ejercicio de la función del artículo 31.1.1 RCD. Expone que los criterios para la autorización de actos de la cámara se establecen en el “Régimen de los espacios de uso común de la cámara”, adoptado por la mesa el 8 de octubre de 2012, actualizado a fecha de 4 de marzo de 2014, en el que queda atribuida a la mesa la decisión acerca de la aplicación al caso concreto. Dicho Régimen establece, entre otras cuestiones que se transcriben, que “la mesa decidirá sobre la autorización del acto atendidas las circunstancias de la solicitud, su incidencia en la actividad parlamentaria y otros criterios relevantes”.</w:t>
      </w:r>
    </w:p>
    <w:p w:rsidR="005728DD" w:rsidRDefault="005728DD" w:rsidP="005728DD">
      <w:pPr>
        <w:pStyle w:val="TextoNormal"/>
      </w:pPr>
    </w:p>
    <w:p w:rsidR="005728DD" w:rsidRDefault="005728DD" w:rsidP="005728DD">
      <w:pPr>
        <w:pStyle w:val="TextoNormal"/>
      </w:pPr>
      <w:r>
        <w:t>En este caso se trataba, según se expone, de la celebración de una reunión de los conocidos como “intergrupos parlamentarios” concretamente el intergrupo por el Sáhara Occidental. La “nota sobre la celebración de un acto en el Congreso de los Diputados de manera paralela a la celebración de la EUROCOCO”, de la Dirección de relaciones internacionales que fue solicitada por la mesa como apoyo para su decisión, aclara la naturaleza de los intergrupos parlamentarios, caracterizados por la informalidad en su funcionamiento, carácter no oficial, carencia de respaldo institucional y falta de reconocimiento en el RCD. Entiende la letrada de las Cortes Generales que el hecho de que la mesa no autorizara el uso de la sala constitucional para celebrar la reunión no comporta que haya habido una restricción de la actividad de los diputados, que podían desarrollar dicha actividad en cualquier lugar sin que haya una disposición legal o reglamentaria que determine que necesariamente se tengan que celebrar dentro de la Cámara todos los actos solicitados por los diputados. Y solo quedan sometidos a autorización de la mesa de la cámara aquellos actos para los que se solicite el uso de una sala institucional.</w:t>
      </w:r>
    </w:p>
    <w:p w:rsidR="005728DD" w:rsidRDefault="005728DD" w:rsidP="005728DD">
      <w:pPr>
        <w:pStyle w:val="TextoNormal"/>
      </w:pPr>
    </w:p>
    <w:p w:rsidR="005728DD" w:rsidRDefault="005728DD" w:rsidP="005728DD">
      <w:pPr>
        <w:pStyle w:val="TextoNormal"/>
      </w:pPr>
      <w:r>
        <w:t>En segundo lugar, pone de relieve que el acuerdo de la mesa solo hubiera vulnerado el derecho fundamental del artículo 23 CE si se hubiera impedido el ejercicio de una función constitucional. Aduce que el uso del edificio de la Cámara queda afectado al ejercicio de las funciones constitucionales atribuidas a la Cámara, por lo que el uso normal del edificio parlamentario será el que es conforme con el destino del ejercicio de las funciones parlamentarias. A su juicio, el uso de la Cámara para las restantes actividades ajenas a las funciones de la Cámara, como el acto que se plantea, sería un uso anormal en el sentido de que no existe un derecho exigible a que el bien inmueble de la Cámara se use para el desarrollo de esas actividades sino que será la Cámara quien discrecionalmente lo deba autorizar.</w:t>
      </w:r>
    </w:p>
    <w:p w:rsidR="005728DD" w:rsidRDefault="005728DD" w:rsidP="005728DD">
      <w:pPr>
        <w:pStyle w:val="TextoNormal"/>
      </w:pPr>
    </w:p>
    <w:p w:rsidR="005728DD" w:rsidRDefault="005728DD" w:rsidP="005728DD">
      <w:pPr>
        <w:pStyle w:val="TextoNormal"/>
      </w:pPr>
      <w:r>
        <w:t xml:space="preserve">Por lo tanto, el primero de los usos plantea la existencia de un “derecho a la sala”, pero respecto al segundo no hay un “derecho a la sala”, sino que su uso quedaría condicionado a la autorización del órgano competente. Además, aunque el diputado no se limita al ejercicio de las funciones estrictamente parlamentarias, y ejerce otras actividades que pueden estar relacionadas con las mismas, estas no son expresión de las funciones parlamentarias en su sentido constitucional (artículo 66.2 CE). Añade al respecto que la celebración de este tipo </w:t>
      </w:r>
      <w:r>
        <w:lastRenderedPageBreak/>
        <w:t xml:space="preserve">de reuniones interparlamentarias no es un medio reconocido para el ejercicio de funciones constitucionales atribuidas a la Cámara. No está reconocido que tales funciones se tengan que realizar mediante reuniones interparlamentarias ni que la Constitución atribuya a la Cámara, entre sus “demás competencias” (artículo 66.2 </w:t>
      </w:r>
      <w:r w:rsidRPr="005728DD">
        <w:rPr>
          <w:i/>
        </w:rPr>
        <w:t>in fine</w:t>
      </w:r>
      <w:r>
        <w:t xml:space="preserve"> CE), alguna que vaya referida a la política exterior o a las relaciones internacionales, ni se refiere a las reuniones internacionales como medio de ejercerla.</w:t>
      </w:r>
    </w:p>
    <w:p w:rsidR="005728DD" w:rsidRDefault="005728DD" w:rsidP="005728DD">
      <w:pPr>
        <w:pStyle w:val="TextoNormal"/>
      </w:pPr>
    </w:p>
    <w:p w:rsidR="005728DD" w:rsidRDefault="005728DD" w:rsidP="005728DD">
      <w:pPr>
        <w:pStyle w:val="TextoNormal"/>
      </w:pPr>
      <w:r>
        <w:t>La letrada de las Cortes Generales expone la doctrina del Tribunal Constitucional sobre el núcleo protegido del artículo 23 CE [cita STC 159/2019, de 12 de diciembre, FJ 5 C)], de acuerdo con la cual no cualquier actividad desarrollada por los diputados entra dentro del núcleo protegido por este derecho sino solo aquellas que sean manifestación de la función de control y legislativa, y siempre de acuerdo con su contenido legalmente configurado. Solo está protegido el núcleo de la función representativa que es la que se ejerce con motivo de las funciones parlamentarias de control y legislativa.</w:t>
      </w:r>
    </w:p>
    <w:p w:rsidR="005728DD" w:rsidRDefault="005728DD" w:rsidP="005728DD">
      <w:pPr>
        <w:pStyle w:val="TextoNormal"/>
      </w:pPr>
    </w:p>
    <w:p w:rsidR="005728DD" w:rsidRDefault="005728DD" w:rsidP="005728DD">
      <w:pPr>
        <w:pStyle w:val="TextoNormal"/>
      </w:pPr>
      <w:r>
        <w:t xml:space="preserve">En definitiva, la celebración de reuniones interparlamentarias a iniciativa de los diputados y grupos parlamentarios no figura ni en la Constitución ni en el RCD como vía de ejercicio de las funciones de control y legislativa y tampoco constituye en sí misma expresión de otra competencia que la Constitución atribuya a la Cámara </w:t>
      </w:r>
      <w:r w:rsidRPr="005728DD">
        <w:rPr>
          <w:i/>
        </w:rPr>
        <w:t>ex</w:t>
      </w:r>
      <w:r>
        <w:t xml:space="preserve"> artículo 66.2 CE </w:t>
      </w:r>
      <w:r w:rsidRPr="005728DD">
        <w:rPr>
          <w:i/>
        </w:rPr>
        <w:t>in fine</w:t>
      </w:r>
      <w:r>
        <w:t>. El debate político y el posicionamiento político al que se refiere la demanda para ser protegido por el artículo 23 CE, debe darse en el marco del ejercicio de una de estas funciones constitucionales, no cualquiera de las actividades desarrolladas por los diputados por propia iniciativa se consideran esenciales.</w:t>
      </w:r>
    </w:p>
    <w:p w:rsidR="005728DD" w:rsidRDefault="005728DD" w:rsidP="005728DD">
      <w:pPr>
        <w:pStyle w:val="TextoNormal"/>
      </w:pPr>
    </w:p>
    <w:p w:rsidR="005728DD" w:rsidRDefault="005728DD" w:rsidP="005728DD">
      <w:pPr>
        <w:pStyle w:val="TextoNormal"/>
      </w:pPr>
      <w:r>
        <w:t>Por otra parte, pone de relieve que tampoco se puede considerar, en su opinión, que, a través de estas reuniones se ejerza un control de la política exterior del Gobierno, control que ha de ejercerse a través de los medios previstos en la Constitución y en el RCD, entre los que no figuran la celebración de reuniones parlamentarias internacionales organizadas unilateralmente y no convocadas reglamentariamente. Esta actividad internacional de la cámara se ha ido desarrollando al margen de la denominada “diplomacia parlamentaria”, que se ha concebido como una diplomacia propia y autónoma de la cámara, con pleno respeto a la política exterior del Gobierno, único competente al respecto, y siguiéndose las directrices del Ministerio de Asuntos Exteriores para mantener el principio de unidad de acción en el exterior. De este modo funcionan las delegaciones de las Cortes Generales ante los distintos organismos internacionales ante los que están acreditadas como la Asamblea Parlamentaria del Consejo de Europa, la de la Organización del Tratado del Atlántico Norte, la de la Organización de Seguridad y Cooperación en Europa, etc. También la actividad de estas delegaciones se organiza y funciona conforme a los principios aprobados por las mesas de las cámaras.</w:t>
      </w:r>
    </w:p>
    <w:p w:rsidR="005728DD" w:rsidRDefault="005728DD" w:rsidP="005728DD">
      <w:pPr>
        <w:pStyle w:val="TextoNormal"/>
      </w:pPr>
    </w:p>
    <w:p w:rsidR="005728DD" w:rsidRDefault="005728DD" w:rsidP="005728DD">
      <w:pPr>
        <w:pStyle w:val="TextoNormal"/>
      </w:pPr>
      <w:r>
        <w:t>Por tanto, resulta del todo incompatible con el artículo 97 CE y con la propia posición constitucional de las cámaras, considerar que las reuniones interparlamentarias del tipo de la del objeto de este recurso con un alcance internacional puedan constituir un instrumento de control al Gobierno y que la autorización de las mismas constituya un derecho del diputado que se enmarque dentro de la protección del artículo 23 CE, y ello porque tal actividad “internacional” de la Cámara nunca se ha desarrollado como una función constitucional, sino como una expresión de colaboración entre los distintos poderes del Estado, en este caso en materia de política exterior.</w:t>
      </w:r>
    </w:p>
    <w:p w:rsidR="005728DD" w:rsidRDefault="005728DD" w:rsidP="005728DD">
      <w:pPr>
        <w:pStyle w:val="TextoNormal"/>
      </w:pPr>
    </w:p>
    <w:p w:rsidR="005728DD" w:rsidRDefault="005728DD" w:rsidP="005728DD">
      <w:pPr>
        <w:pStyle w:val="TextoNormal"/>
      </w:pPr>
      <w:r>
        <w:t>Por otra parte, la letrada de las Cortes Generales descarta la afirmación de la demanda de que la autorización de la sala ha supuesto una vulneración del pluralismo político, porque no guarda ninguna relación con esta cuestión. El pluralismo político tiene una clara manifestación en la vida parlamentaria, pero su protección se extiende solo a aquellas actividades relacionadas con el ejercicio de funciones parlamentarias (con cita de la STC 115/2019, de 16 de octubre, FJ 3).</w:t>
      </w:r>
    </w:p>
    <w:p w:rsidR="005728DD" w:rsidRDefault="005728DD" w:rsidP="005728DD">
      <w:pPr>
        <w:pStyle w:val="TextoNormal"/>
      </w:pPr>
    </w:p>
    <w:p w:rsidR="005728DD" w:rsidRDefault="005728DD" w:rsidP="005728DD">
      <w:pPr>
        <w:pStyle w:val="TextoNormal"/>
      </w:pPr>
      <w:r>
        <w:t>b) El control del acuerdo de la mesa sobre el que versa el recurso correspondería a la jurisdicción contencioso-administrativa no a la jurisdicción constitucional. La competencia de la mesa en este asunto se deriva de lo dispuesto en el artículo 31.1.1 RCD y en el citado “Régimen de los espacios de uso común de la Cámara”. De acuerdo con ello, es la mesa, la que, como órgano rector, decide los actos institucionales, internacionales o no, a desarrollar en sus dependencias. Se trata de una competencia administrativa de la mesa amparada en las funciones del artículo 31.1.1 RCD, de organización y gobierno interior de la Cámara. Será la mesa la que, en cada caso, valorará, en función de las circunstancias de la solicitud, su incidencia en la actividad parlamentaria y otros criterios relevantes, y es la que define la actuación institucional de la Cámara, a través de las líneas directrices que crea conveniente. Ni los diputados ni los grupos tienen reconocido un supuesto derecho a que los actos que proponen, tengan que celebrarse en todo caso y contar con la autorización de la mesa porque la norma que se ha dado la Cámara no permite la libre celebración de actos sino que requiere la previa autorización de la mesa.</w:t>
      </w:r>
    </w:p>
    <w:p w:rsidR="005728DD" w:rsidRDefault="005728DD" w:rsidP="005728DD">
      <w:pPr>
        <w:pStyle w:val="TextoNormal"/>
      </w:pPr>
    </w:p>
    <w:p w:rsidR="005728DD" w:rsidRDefault="005728DD" w:rsidP="005728DD">
      <w:pPr>
        <w:pStyle w:val="TextoNormal"/>
      </w:pPr>
      <w:r>
        <w:t>En relación con la alegación de que la decisión de la mesa fue arbitraria y carente de motivación, la letrada de las Cortes Generales, pese a considerar que el control de este asunto le corresponde a la jurisdicción contencioso-administrativa, no a la jurisdicción constitucional, afirma que la doctrina constitucional citada en la demanda no es aplicable a este caso pues no se trata de un supuesto de calificación de escritos de índole parlamentaria sino que es un asunto administrativo. La mesa, de acuerdo con las competencias que le corresponden, adoptó una decisión plenamente respetuosa con su posición constitucional, del todo ajena a la definición de la política exterior, y dicha decisión no se basó en la decisión política de ninguno de sus miembros sino que se adoptó previo examen de la Nota del director de relaciones internacionales que expresamente fue solicitada para fundamentar el acuerdo de la mesa, y que se incorporó al expediente. La fundamentación del acuerdo de la mesa consta expresamente en las actas de 23 y 30 de octubre y de 13 de noviembre de 2018.</w:t>
      </w:r>
    </w:p>
    <w:p w:rsidR="005728DD" w:rsidRDefault="005728DD" w:rsidP="005728DD">
      <w:pPr>
        <w:pStyle w:val="TextoNormal"/>
      </w:pPr>
    </w:p>
    <w:p w:rsidR="005728DD" w:rsidRDefault="005728DD" w:rsidP="005728DD">
      <w:pPr>
        <w:pStyle w:val="TextoNormal"/>
      </w:pPr>
      <w:r>
        <w:t>A efectos de la motivación debe tenerse en cuenta, además, la posición institucional de la Cámara en materia de política exterior. Por una parte, la solicitud se refiere a un intergrupo parlamentario, lo que, a juicio de la letrada de las Cortes Generales, parece referirse a un acuerdo de carácter voluntario entre diversos grupos que no tiene carácter oficial y que no está contemplado como tal en la normativa que rige la actuación de los órganos parlamentarios. Por otra parte, se refiere a una actividad que no tiene carácter oficial y no puede sustituir a los órganos de la Cámara en el ejercicio de sus funciones constitucionales ni puede interferir en el ejercicio de las competencias propias de la cámara o de sus órganos, por ejemplo, de la Comisión de Asuntos Exteriores. En consecuencia el respeto y la tutela de las competencias constitucionales de la Cámara, son las razones que impiden la autorización.</w:t>
      </w:r>
    </w:p>
    <w:p w:rsidR="005728DD" w:rsidRDefault="005728DD" w:rsidP="005728DD">
      <w:pPr>
        <w:pStyle w:val="TextoNormal"/>
      </w:pPr>
    </w:p>
    <w:p w:rsidR="005728DD" w:rsidRDefault="005728DD" w:rsidP="005728DD">
      <w:pPr>
        <w:pStyle w:val="TextoNormal"/>
      </w:pPr>
      <w:r>
        <w:lastRenderedPageBreak/>
        <w:t>Tampoco puede interferir en las competencias del Gobierno en materia de política exterior. En el caso de la demanda de amparo se advierten, como se señaló por la mesa, posibles contradicciones con esas competencias de los citados intergrupos y con las directrices de seguridad y política exterior, e incluso con la posibilidad de producirse algún supuesto de responsabilidad internacional del Estado, como se explicó en la nota elaborada por la Dirección de Relaciones Internacionales de 26 de octubre de 2018, con la comunicación del Ministerio de Asuntos Exteriores formulada el día 25 de octubre de 20l9, manifestando su parecer desfavorable indicando la citada nota de forma detallada y pormenorizada las razones objetivas que fundan la denegación de la mesa.</w:t>
      </w:r>
    </w:p>
    <w:p w:rsidR="005728DD" w:rsidRDefault="005728DD" w:rsidP="005728DD">
      <w:pPr>
        <w:pStyle w:val="TextoNormal"/>
      </w:pPr>
    </w:p>
    <w:p w:rsidR="005728DD" w:rsidRDefault="005728DD" w:rsidP="005728DD">
      <w:pPr>
        <w:pStyle w:val="TextoNormal"/>
      </w:pPr>
      <w:r>
        <w:t>En consecuencia, aunque la comunicación del acuerdo de la mesa y de la resolución de la reconsideración solo se refiriera a la no autorización, del conjunto del expediente se deduce su motivación y fundamento. No se puede sostener, como hace la demanda, que exista una supuesta “práctica” de la mesa de no motivar sus acuerdos, pues precisamente este caso, pidiéndose informe específico o sobre la cuestión que apoyara su decisión, revela justamente lo contrario.</w:t>
      </w:r>
    </w:p>
    <w:p w:rsidR="005728DD" w:rsidRDefault="005728DD" w:rsidP="005728DD">
      <w:pPr>
        <w:pStyle w:val="TextoNormal"/>
      </w:pPr>
    </w:p>
    <w:p w:rsidR="005728DD" w:rsidRDefault="005728DD" w:rsidP="005728DD">
      <w:pPr>
        <w:pStyle w:val="TextoNormal"/>
      </w:pPr>
      <w:r>
        <w:t>También se pone de manifiesto que la mesa de la Cámara debe procurar que no se incurra en la confusión que se puede producir entre la actividad privada del diputado o de los grupos y la función constitucional de la Cámara. La posibilidad de que exista una confusión, pretendida o real, entre la actividad de un órgano representativo que aprueba leyes y controla al Gobierno y que desde el punto de vista constitucional representa al pueblo español, y las actividades de los grupos u organizaciones que solicitan la celebración de un acto, ha de ser considerada por la mesa al tomar una decisión sobre las solicitudes, lo que ha de ser tenido en cuenta en el análisis de la motivación. La integridad de las funciones del órgano está dirigida a que ejerza las mismas en condición de ser identificado solo por su función constitucionalmente atribuida. Este requisito queda radicalmente afectado si se pueden atribuir a la voluntad del Congreso de los Diputados, conclusiones, estimaciones, valoraciones u opiniones que no son del Congreso pero que de algún modo puedan atribuirse indirectamente al mismo por el lugar donde se realizan.</w:t>
      </w:r>
    </w:p>
    <w:p w:rsidR="005728DD" w:rsidRDefault="005728DD" w:rsidP="005728DD">
      <w:pPr>
        <w:pStyle w:val="TextoNormal"/>
      </w:pPr>
    </w:p>
    <w:p w:rsidR="005728DD" w:rsidRDefault="005728DD" w:rsidP="005728DD">
      <w:pPr>
        <w:pStyle w:val="TextoNormal"/>
      </w:pPr>
      <w:r w:rsidRPr="005728DD">
        <w:rPr>
          <w:rStyle w:val="NumeroAFNegritaCaracter"/>
        </w:rPr>
        <w:t>7</w:t>
      </w:r>
      <w:r>
        <w:t>. Mediante escrito que tuvo entrada en el registro general del Tribunal el 8 de octubre de 2020, presentó sus alegaciones el Ministerio Fiscal en las que solicita que se estime el presente recurso de amparo. Pueden resumirse en los términos siguientes:</w:t>
      </w:r>
    </w:p>
    <w:p w:rsidR="005728DD" w:rsidRDefault="005728DD" w:rsidP="005728DD">
      <w:pPr>
        <w:pStyle w:val="TextoNormal"/>
      </w:pPr>
    </w:p>
    <w:p w:rsidR="005728DD" w:rsidRDefault="005728DD" w:rsidP="005728DD">
      <w:pPr>
        <w:pStyle w:val="TextoNormal"/>
      </w:pPr>
      <w:r>
        <w:t>A) Tras exponer los antecedentes de hecho del presente recurso de amparo, se aborda la concurrencia de legitimación de los recurrentes para la interposición del presente recurso de amparo, atendiendo, entre otras a las SSTC 74/2009, de 23 de marzo, FJ 2; 33/2010, de 19 de julio, FJ 3, y 98/2009, de 27 de abril, que cita. Conforme a las mismas considera que los recurrentes tienen legitimación para la interposición del presente recurso de amparo ya que el grupo parlamentario Confederal de Unidos Podemos-En Comú Podem-En Marea ha intervenido, a través de su portavoz, don Txema Guijarro García, en todas las fases de la tramitación parlamentaria de la iniciativa de fecha 16 de octubre de 2018 y el diputado don Sergio Pascual firmó la solicitud inicial de 16 de octubre de 2018, en su condición de coordinador del denominado “lntergrupo por el Sáhara Occidental”, y también la reconsideración y entabló el presente el recurso de amparo.</w:t>
      </w:r>
    </w:p>
    <w:p w:rsidR="005728DD" w:rsidRDefault="005728DD" w:rsidP="005728DD">
      <w:pPr>
        <w:pStyle w:val="TextoNormal"/>
      </w:pPr>
    </w:p>
    <w:p w:rsidR="005728DD" w:rsidRDefault="005728DD" w:rsidP="005728DD">
      <w:pPr>
        <w:pStyle w:val="TextoNormal"/>
      </w:pPr>
      <w:r>
        <w:lastRenderedPageBreak/>
        <w:t>B) Tras exponer el contenido de la demanda de amparo, el Ministerio Fiscal trae a colación la doctrina constitucional sobre el artículo 23.2 CE, en relación con el artículo 23.1 CE, en conexión con la potestad de las mesas de las cámaras de calificación y admisión a trámite de las iniciativas parlamentarias (cita las SSTC 38/1999, de 22 de marzo, FFJJ 2 y 3; 107/2001, de 23 de abril, FJ 3; 203/2001, de 15 de octubre, FFJJ 2 y 3; 177/2002, de 14 de octubre, FJ 3; 40/2003, de 27 de febrero, FJ 2; 78/2006, de 13 de marzo, FJ 3; 74/2009, de 23 de marzo, FJ 3; 33/2010, de 19 de julio, FJ 4; 44/2010,de 26 de julio , FJ 4; 200/2014, de 15 de diciembre, FJ 4; 201/2014, de 15 de diciembre, FJ 3; 1/2015, de 19 de enero, FJ 3, o 23/2015, de 16 de febrero, FJ 3).</w:t>
      </w:r>
    </w:p>
    <w:p w:rsidR="005728DD" w:rsidRDefault="005728DD" w:rsidP="005728DD">
      <w:pPr>
        <w:pStyle w:val="TextoNormal"/>
      </w:pPr>
    </w:p>
    <w:p w:rsidR="005728DD" w:rsidRDefault="005728DD" w:rsidP="005728DD">
      <w:pPr>
        <w:pStyle w:val="TextoNormal"/>
      </w:pPr>
      <w:r>
        <w:t>Además, se refiere a la diferencia entre los usos y prácticas parlamentarias de las normas intraparlamentarias y de los precedentes parlamentarios. Las normas intraparlamentarias tienen generalmente su origen en los reglamentos parlamentarios, que atribuyen a los órganos de gobierno de las asambleas la facultad de elaborar y aprobar normas interpretativas y supletorias de las previsiones del respectivo reglamento.</w:t>
      </w:r>
    </w:p>
    <w:p w:rsidR="005728DD" w:rsidRDefault="005728DD" w:rsidP="005728DD">
      <w:pPr>
        <w:pStyle w:val="TextoNormal"/>
      </w:pPr>
    </w:p>
    <w:p w:rsidR="005728DD" w:rsidRDefault="005728DD" w:rsidP="005728DD">
      <w:pPr>
        <w:pStyle w:val="TextoNormal"/>
      </w:pPr>
      <w:r>
        <w:t xml:space="preserve">Respecto a los precedentes parlamentarios destaca que su origen se halla en la obligación que recae sobre el Parlamento de hacer efectivo el principio de igualdad en la aplicación de la ley, lo que supone que los órganos parlamentarios, a la hora de interpretar las normas propias de la Cámara, deban adoptar sus resoluciones, además de motivadamente, atendiendo a un criterio general de decisión y solo podrá separarse de su criterio anterior cuando sustituya un criterio general de decisión por otro. El precedente implica que la vinculación que pueda producir depende de su integración con una norma que configurará el contenido del derecho fundamental del artículo 23.2 CE en aquellos casos en los que el precedente verse sobre las facultades principales que definen el </w:t>
      </w:r>
      <w:r w:rsidRPr="005728DD">
        <w:rPr>
          <w:i/>
        </w:rPr>
        <w:t>ius in officium</w:t>
      </w:r>
      <w:r>
        <w:t xml:space="preserve"> del parlamentario. En todo caso, para que pueda apreciarse la existencia de un precedente parlamentario no basta con la mera alegación de su existencia sino que ha de acreditarse la realidad de una decisión anterior sobre la cuestión, igual o similar, adoptada por el mismo órgano.</w:t>
      </w:r>
    </w:p>
    <w:p w:rsidR="005728DD" w:rsidRDefault="005728DD" w:rsidP="005728DD">
      <w:pPr>
        <w:pStyle w:val="TextoNormal"/>
      </w:pPr>
    </w:p>
    <w:p w:rsidR="005728DD" w:rsidRDefault="005728DD" w:rsidP="005728DD">
      <w:pPr>
        <w:pStyle w:val="TextoNormal"/>
      </w:pPr>
      <w:r>
        <w:t>Finalmente, los usos o prácticas parlamentarias existen cuando hay una cadena de actos sustancialmente iguales referidos a una misma cuestión y adoptados por un mismo órgano parlamentario a los que el Tribunal Constitucional ha reconocido una “trascendencia nomotética” (STC 149/1990, de 1 de octubre, FJ 5) y determinan una parte del núcleo de la función parlamentaria. En resumen, tienen capacidad de crear normas jurídicas a las que se reconoce la capacidad de contribuir a la configuración del contenido de derechos subjetivos de rango fundamental y a las que se atribuye la potencialidad de integrar el parámetro de enjuiciamiento que el Tribunal Constitucional debe tener en cuenta a la hora de resolver los recursos de amparo que traen causa de su posible lesión.</w:t>
      </w:r>
    </w:p>
    <w:p w:rsidR="005728DD" w:rsidRDefault="005728DD" w:rsidP="005728DD">
      <w:pPr>
        <w:pStyle w:val="TextoNormal"/>
      </w:pPr>
    </w:p>
    <w:p w:rsidR="005728DD" w:rsidRDefault="005728DD" w:rsidP="005728DD">
      <w:pPr>
        <w:pStyle w:val="TextoNormal"/>
      </w:pPr>
      <w:r>
        <w:t xml:space="preserve">En cuanto a la vulneración aducida en el presente recurso de amparo, pone de manifiesto que los recurrentes no se están quejando de que la mesa del Congreso de los Diputados denegara a los solicitantes la sala constitucional del Congreso para celebrar un encuentro sino de la imposibilidad de celebrar el acto mismo. Entiende que resulta obvio que los acuerdos parlamentarios impugnados carecieron de toda motivación, al haberse limitado a denegar lo solicitado, con lo que, a su juicio, resulta del todo punto evidente concluir que se ha producido una manifiesta infracción de la doctrina constitucional que impone que las decisiones de la mesa se encuentren motivadas “a fin de que tras ellas no se esconda un juicio sobre la oportunidad política” (STC 242/2006, de 24 de julio, FJ 4), lo cual, a su vez induce </w:t>
      </w:r>
      <w:r>
        <w:lastRenderedPageBreak/>
        <w:t xml:space="preserve">a considerar que la </w:t>
      </w:r>
      <w:r w:rsidRPr="005728DD">
        <w:rPr>
          <w:i/>
        </w:rPr>
        <w:t>ultima ratio</w:t>
      </w:r>
      <w:r>
        <w:t xml:space="preserve"> de tal decisión fue, precisamente, una consideración de oportunidad política.</w:t>
      </w:r>
    </w:p>
    <w:p w:rsidR="005728DD" w:rsidRDefault="005728DD" w:rsidP="005728DD">
      <w:pPr>
        <w:pStyle w:val="TextoNormal"/>
      </w:pPr>
    </w:p>
    <w:p w:rsidR="005728DD" w:rsidRDefault="005728DD" w:rsidP="005728DD">
      <w:pPr>
        <w:pStyle w:val="TextoNormal"/>
      </w:pPr>
      <w:r>
        <w:t xml:space="preserve">A su vez, el problema que se plantea, a juicio del Ministerio Fiscal, consiste en determinar si la petición se hallaba avalada por la existencia de un uso parlamentario que constituyera un auténtico instrumento normativo dentro del ámbito de organización y funcionamiento de la Cámara con valor determinante del contenido del </w:t>
      </w:r>
      <w:r w:rsidRPr="005728DD">
        <w:rPr>
          <w:i/>
        </w:rPr>
        <w:t>ius in officium</w:t>
      </w:r>
      <w:r>
        <w:t xml:space="preserve"> y generador de una parte del contenido del derecho fundamental invocado. Si bien con la demanda de amparo no se ha acompañado acreditación alguna de la existencia de tal uso o práctica, sin embargo, en el escrito de reconsideración de fecha 5 de noviembre de 2018 se dijo textualmente que “[l]a utilización de salas del Congreso para la realización de encuentros y jornadas de trabajo sobre los más variados temas es práctica habitual que entra plenamente dentro del ámbito de las funciones representativas que los diputados y diputadas tenemos atribuidas en función del artículo 23 CE, como se desprende del listado adjunto a simple título de ejemplo”. Dicho escrito de reconsideración fue acompañado de un listado de numerosos eventos programados en los años 2016, 20l7 y 2018. Lo cual ha de entenderse, según el Ministerio Fiscal, como acreditación suficiente ante la mesa de la existencia del uso que se invocaba. Por todo lo cual entiende el Ministerio Fiscal que el uso así acreditado constituye un auténtico instrumento normativo dentro del ámbito de organización y funcionamiento de la Cámara con valor determinante del contenido del </w:t>
      </w:r>
      <w:r w:rsidRPr="005728DD">
        <w:rPr>
          <w:i/>
        </w:rPr>
        <w:t>ius in officium</w:t>
      </w:r>
      <w:r>
        <w:t xml:space="preserve"> de los solicitantes y generador de una parte del contenido del derecho fundamental invocado por los ahora recurrentes. Concluido lo cual tal situación sería semejante a la que se produce cuando se trata de derechos y facultades reconocidos por la norma reglamentaria, en la que tales derechos y facultades pasan a formar parte del status propio del cargo de parlamentario pudiendo sus titulares reclamar la protección del </w:t>
      </w:r>
      <w:r w:rsidRPr="005728DD">
        <w:rPr>
          <w:i/>
        </w:rPr>
        <w:t>ius in officium</w:t>
      </w:r>
      <w:r>
        <w:t xml:space="preserve"> que consideren ilegítimamente constreñido o ignorado por actos del poder público y hacerlo ante el Tribunal Constitucional por el cauce del recurso de amparo según lo previsto en el artículo 42 LOTC.</w:t>
      </w:r>
    </w:p>
    <w:p w:rsidR="005728DD" w:rsidRDefault="005728DD" w:rsidP="005728DD">
      <w:pPr>
        <w:pStyle w:val="TextoNormal"/>
      </w:pPr>
    </w:p>
    <w:p w:rsidR="005728DD" w:rsidRDefault="005728DD" w:rsidP="005728DD">
      <w:pPr>
        <w:pStyle w:val="TextoNormal"/>
      </w:pPr>
      <w:r>
        <w:t xml:space="preserve">Señala que no cualquier acto del órgano parlamentario que infrinja la legalidad del </w:t>
      </w:r>
      <w:r w:rsidRPr="005728DD">
        <w:rPr>
          <w:i/>
        </w:rPr>
        <w:t>ius in officium</w:t>
      </w:r>
      <w:r>
        <w:t xml:space="preserve"> resulta lesivo del derecho fundamental, habida cuenta de que solo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artículo 23.2 CE si los propios órganos de las asambleas impiden o coartan su práctica, pero también si adoptan decisiones que contraríen la naturaleza de la representación o la igualdad de representantes, hipótesis esta última que es la que, a todas luces, se da en el presente caso.</w:t>
      </w:r>
    </w:p>
    <w:p w:rsidR="005728DD" w:rsidRDefault="005728DD" w:rsidP="005728DD">
      <w:pPr>
        <w:pStyle w:val="TextoNormal"/>
      </w:pPr>
    </w:p>
    <w:p w:rsidR="005728DD" w:rsidRDefault="005728DD" w:rsidP="005728DD">
      <w:pPr>
        <w:pStyle w:val="TextoNormal"/>
      </w:pPr>
      <w:r>
        <w:t>Concluye el Ministerio Fiscal que atendiendo a las consideraciones anteriores los acuerdos impugnados vulneraron el artículo 23.2 CE en relación con el artículo 23.1 CE. Precisa, finalmente, que, en caso de que se estime el recurso de amparo la pretensión de los demandantes habría de quedar satisfecha con la declaración de la lesión de su derecho y de nulidad de los acuerdos.</w:t>
      </w:r>
    </w:p>
    <w:p w:rsidR="005728DD" w:rsidRDefault="005728DD" w:rsidP="005728DD">
      <w:pPr>
        <w:pStyle w:val="TextoNormal"/>
      </w:pPr>
    </w:p>
    <w:p w:rsidR="005728DD" w:rsidRDefault="005728DD" w:rsidP="005728DD">
      <w:pPr>
        <w:pStyle w:val="TextoNormal"/>
      </w:pPr>
      <w:r w:rsidRPr="005728DD">
        <w:rPr>
          <w:rStyle w:val="NumeroAFNegritaCaracter"/>
        </w:rPr>
        <w:t>8</w:t>
      </w:r>
      <w:r>
        <w:t>. Por providencia de 24 de junio de 2021, se señaló para deliberación y votación de la presente sentencia el mismo día, 29 del mismo mes y año.</w:t>
      </w:r>
    </w:p>
    <w:p w:rsidR="005728DD" w:rsidRDefault="005728DD" w:rsidP="005728DD">
      <w:pPr>
        <w:pStyle w:val="TextoNormal"/>
      </w:pPr>
    </w:p>
    <w:p w:rsidR="005728DD" w:rsidRDefault="005728DD" w:rsidP="005728DD">
      <w:pPr>
        <w:pStyle w:val="TextoNormalNegritaCentrado"/>
        <w:keepNext/>
      </w:pPr>
      <w:r>
        <w:lastRenderedPageBreak/>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Objeto del recurso y pretensiones de las partes</w:t>
      </w:r>
      <w:r>
        <w:t>.</w:t>
      </w:r>
    </w:p>
    <w:p w:rsidR="005728DD" w:rsidRDefault="005728DD" w:rsidP="005728DD">
      <w:pPr>
        <w:pStyle w:val="TextoNormal"/>
      </w:pPr>
    </w:p>
    <w:p w:rsidR="005728DD" w:rsidRDefault="005728DD" w:rsidP="005728DD">
      <w:pPr>
        <w:pStyle w:val="TextoNormal"/>
      </w:pPr>
      <w:r>
        <w:t>El presente recurso de amparo se interpone contra los acuerdos de la mesa del Congreso de los Diputados de 31 de octubre y 15 de noviembre de 2018. En la primera de estas resoluciones, la mesa acordó denegar la solicitud del uso de la sala constitucional del Congreso los Diputados para la celebración de un encuentro de parlamentarios españoles y de Francia, Italia, Dinamarca, Suecia, Suiza, Argelia, Sudáfrica y Mauritania, bajo el marco, aunque de forma paralela, a la EUCOCO (43ª Conferencia Europea de Solidaridad y Apoyo al Pueblo Saharaui, que tuvo lugar en Madrid los días 16 y 17 de noviembre de 2018). En el segundo acuerdo la mesa desestimó la solicitud de reconsideración planteada contra el acuerdo anterior.</w:t>
      </w:r>
    </w:p>
    <w:p w:rsidR="005728DD" w:rsidRDefault="005728DD" w:rsidP="005728DD">
      <w:pPr>
        <w:pStyle w:val="TextoNormal"/>
      </w:pPr>
    </w:p>
    <w:p w:rsidR="005728DD" w:rsidRDefault="005728DD" w:rsidP="005728DD">
      <w:pPr>
        <w:pStyle w:val="TextoNormal"/>
      </w:pPr>
      <w:r>
        <w:t>Los recurrentes alegan, en los términos que se han expuesto pormenorizadamente en los antecedentes de esta sentencia, la vulneración del artículo 23.2 CE en relación con el artículo 23.1 CE, por la decisión de la mesa de la cámara de denegar, sin motivo ni fundamento alguno, la autorización de la celebración en la sala constitucional del Congreso de los Diputados del citado encuentro.</w:t>
      </w:r>
    </w:p>
    <w:p w:rsidR="005728DD" w:rsidRDefault="005728DD" w:rsidP="005728DD">
      <w:pPr>
        <w:pStyle w:val="TextoNormal"/>
      </w:pPr>
    </w:p>
    <w:p w:rsidR="005728DD" w:rsidRDefault="005728DD" w:rsidP="005728DD">
      <w:pPr>
        <w:pStyle w:val="TextoNormal"/>
      </w:pPr>
      <w:r>
        <w:t>La letrada de las Cortes Generales, en representación del Congreso de los Diputados, tal y como asimismo se ha dado cuenta en los antecedentes, solicita la inadmisión del recurso de amparo y, subsidiariamente, la desestimación del recurso porque, muy resumidamente expuesto, la utilización de las salas de la Cámara no forma parte del contenido del artículo 23 susceptible de protección del recurso de amparo. El Ministerio Fiscal, por su parte, solicita la estimación del recurso de amparo porque, en resumen, los acuerdos carecen de motivación y se ha vulnerado el artículo 23.2 CE porque, en sus palabras, se ha contrariado la naturaleza de la representación o la igualdad de representantes.</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Cuestiones previas</w:t>
      </w:r>
      <w:r>
        <w:t>.</w:t>
      </w:r>
    </w:p>
    <w:p w:rsidR="005728DD" w:rsidRDefault="005728DD" w:rsidP="005728DD">
      <w:pPr>
        <w:pStyle w:val="TextoNormal"/>
      </w:pPr>
    </w:p>
    <w:p w:rsidR="005728DD" w:rsidRDefault="005728DD" w:rsidP="005728DD">
      <w:pPr>
        <w:pStyle w:val="TextoNormal"/>
      </w:pPr>
      <w:r>
        <w:t>La letrada de las Cortes Generales solicita la inadmisión del presente recurso de amparo por falta de legitimación y falta de agotamiento de la vía previa. Pone de manifiesto, para sustentar su pretensión, la falta de identidad entre aquellos diputados que solicitaron el uso de la sala constitucional del Congreso, los diputados que plantearon la solicitud de reconsideración del acuerdo de 31 de octubre de 2018 y los que finalmente interpusieron el presente recurso de amparo. Esta falta de identidad determinaría, a juicio de la letrada de las Cortes Generales, la falta de legitimación de los recurrentes para la interposición del presente recurso de amparo, de acuerdo con la STC 24/2020, de 13 de febrero, así como la falta de agotamiento de la vía previa. El Ministerio Fiscal, sin embargo, considera que, en la medida en que los recurrentes en amparo se encontraban entre los solicitantes de la Sala Constitucional y entre los que posteriormente solicitaron la reconsideración del acuerdo inicial, ostentarían legitimación para la interposición del presente recurso.</w:t>
      </w:r>
    </w:p>
    <w:p w:rsidR="005728DD" w:rsidRDefault="005728DD" w:rsidP="005728DD">
      <w:pPr>
        <w:pStyle w:val="TextoNormal"/>
      </w:pPr>
    </w:p>
    <w:p w:rsidR="005728DD" w:rsidRDefault="005728DD" w:rsidP="005728DD">
      <w:pPr>
        <w:pStyle w:val="TextoNormal"/>
      </w:pPr>
      <w:r>
        <w:t xml:space="preserve">La citada STC 24/2020 se pronunció sobre la legitimación en el ámbito del recurso de amparo del artículo 42 LOTC, con referencia a sentencias anteriores y, entre otras, a la STC 98/2009, de 27 de abril, y puso de relieve que, en relación con facultades de iniciativa o </w:t>
      </w:r>
      <w:r>
        <w:lastRenderedPageBreak/>
        <w:t xml:space="preserve">propuesta conferidas a una agrupación ocasional de parlamentarios o a los grupos en los que estos se integran, el tribunal ha venido entendiendo que si no existe identidad entre los parlamentarios demandantes de amparo y la agrupación de parlamentarios autora de la iniciativa o propuesta, aquellos carecen de legitimación para interponer recurso de amparo contra los acuerdos de las cámaras que inadmitan la iniciativa o propuesta en cuestión (fundamento jurídico 4). En este sentido, entiende el tribunal que si los diputados recurrentes en amparo no son, ni individual ni agrupadamente, titulares de la facultad que se haya ejercido, difícilmente pueden ser consideradas personas directamente afectadas en el sentido del art. 46.1 a) LOTC por los acuerdos de la mesa recurridos y, en consecuencia, legitimados para la defensa de una facultad parlamentaria que en el número de diputados que han comparecido ante este tribunal no forma parte de su </w:t>
      </w:r>
      <w:r w:rsidRPr="005728DD">
        <w:rPr>
          <w:i/>
        </w:rPr>
        <w:t>ius in officium</w:t>
      </w:r>
      <w:r>
        <w:t xml:space="preserve"> (en este sentido, STC 98/2009, FJ 4).</w:t>
      </w:r>
    </w:p>
    <w:p w:rsidR="005728DD" w:rsidRDefault="005728DD" w:rsidP="005728DD">
      <w:pPr>
        <w:pStyle w:val="TextoNormal"/>
      </w:pPr>
    </w:p>
    <w:p w:rsidR="005728DD" w:rsidRDefault="005728DD" w:rsidP="005728DD">
      <w:pPr>
        <w:pStyle w:val="TextoNormal"/>
      </w:pPr>
      <w:r>
        <w:t>En definitiva, conforme a nuestra doctrina, debe existir una identidad entre aquellos diputados que constituyeron una agrupación ocasional para el ejercicio de una determinada iniciativa parlamentaria, en el número y con las exigencias que para promover dicha iniciativa determina el reglamento de la Cámara y aquellos que posteriormente interpusieron el correspondiente recurso de amparo.</w:t>
      </w:r>
    </w:p>
    <w:p w:rsidR="005728DD" w:rsidRDefault="005728DD" w:rsidP="005728DD">
      <w:pPr>
        <w:pStyle w:val="TextoNormal"/>
      </w:pPr>
    </w:p>
    <w:p w:rsidR="005728DD" w:rsidRDefault="005728DD" w:rsidP="005728DD">
      <w:pPr>
        <w:pStyle w:val="TextoNormal"/>
      </w:pPr>
      <w:r>
        <w:t>En el presente caso, tal y como consta en los antecedentes de esta sentencia, la solicitud de la sala constitucional del Congreso la efectuaron los portavoces de los grupos parlamentarios Confederal de Unidos Podemos-En Comú Podem-En Marea (GP UP-EC-EM), Ciudadanos y Mixto, así como los diputados don Sergio Pascual, y don Enric Bataller y don Fernando Maura, coordinadores del intergrupo por el Sáhara Occidental. La solicitud de reconsideración la presentaron los portavoces de los grupos parlamentarios mixto, GCUP-EC-EM, y Vasco y varios diputados de dichos grupos parlamentarios y del Grupo Parlamentario Esquerra Republicana, entre los que se encontraba don Sergio Pascual Peña, diputado del GP UP-EC-EM. El presente recurso de amparo se presentó únicamente por este último diputado y por uno de los portavoces, el del GP UP-EC-EM.</w:t>
      </w:r>
    </w:p>
    <w:p w:rsidR="005728DD" w:rsidRDefault="005728DD" w:rsidP="005728DD">
      <w:pPr>
        <w:pStyle w:val="TextoNormal"/>
      </w:pPr>
    </w:p>
    <w:p w:rsidR="005728DD" w:rsidRDefault="005728DD" w:rsidP="005728DD">
      <w:pPr>
        <w:pStyle w:val="TextoNormal"/>
      </w:pPr>
      <w:r>
        <w:t>Por lo tanto, y tal y como aduce la letrada de las Cortes Generales, no hay coincidencia entre los diputados que presentaron la solicitud de uso de la sala constitucional del Congreso y los que plantearon la reconsideración ante la mesa, ni tampoco existe la identidad exigida por este tribunal entre los diputados que presentaron la solicitud que no atendieron los acuerdos de la mesa impugnados, y los recurrentes en amparo.</w:t>
      </w:r>
    </w:p>
    <w:p w:rsidR="005728DD" w:rsidRDefault="005728DD" w:rsidP="005728DD">
      <w:pPr>
        <w:pStyle w:val="TextoNormal"/>
      </w:pPr>
    </w:p>
    <w:p w:rsidR="005728DD" w:rsidRDefault="005728DD" w:rsidP="005728DD">
      <w:pPr>
        <w:pStyle w:val="TextoNormal"/>
      </w:pPr>
      <w:r>
        <w:t>Ahora bien, para poder determinar si concurre o no dicha legitimación es necesario también precisar si la facultad de solicitar la sala constitucional del Congreso de los Diputados para celebrar un determinado encuentro pertenece a la agrupación ocasional de diputados que la ejerció o, por el contrario, a cada uno de ellos individualmente. Solo en este último caso podría entenderse que, tal y como afirma el Ministerio Fiscal, al haber presentado los recurrentes en amparo la solicitud de la sala y haber participado, asimismo, en el planteamiento de la solicitud de reconsideración, ostentan legitimación para la interposición del presente recurso.</w:t>
      </w:r>
    </w:p>
    <w:p w:rsidR="005728DD" w:rsidRDefault="005728DD" w:rsidP="005728DD">
      <w:pPr>
        <w:pStyle w:val="TextoNormal"/>
      </w:pPr>
    </w:p>
    <w:p w:rsidR="005728DD" w:rsidRDefault="005728DD" w:rsidP="005728DD">
      <w:pPr>
        <w:pStyle w:val="TextoNormal"/>
      </w:pPr>
      <w:r>
        <w:t xml:space="preserve">El Reglamento del Congreso de los Diputados (RCD) se refiere a derechos económicos de los diputados (artículos 8 y 9), a los medios materiales de los grupos parlamentarios (artículo 28.1), y a los medios personales y materiales del Congreso de los Diputados (artículo 60). Ahora bien, nada dice respecto de una específica facultad de los diputados de </w:t>
      </w:r>
      <w:r>
        <w:lastRenderedPageBreak/>
        <w:t>solicitar una sala del Congreso para la celebración de una reunión como para la que se solicitó la sala constitucional. Tan solo en normas internas del Congreso de los Diputados, y, en concreto, en el denominado “Régimen de los espacios de uso común de la Cámara” (criterios de 8 de octubre de 2012, actualizados a fecha de 4 de marzo de 2014), que consta en la documentación aportada por el Congreso de los Diputados en este proceso constitucional, se determina que “cuando un grupo parlamentario o un diputado desee celebrar en una sala de comisión o similar un acto, presentación, o actividad análoga, dirigirá un escrito a la mesa del Congreso”.</w:t>
      </w:r>
    </w:p>
    <w:p w:rsidR="005728DD" w:rsidRDefault="005728DD" w:rsidP="005728DD">
      <w:pPr>
        <w:pStyle w:val="TextoNormal"/>
      </w:pPr>
    </w:p>
    <w:p w:rsidR="005728DD" w:rsidRDefault="005728DD" w:rsidP="005728DD">
      <w:pPr>
        <w:pStyle w:val="TextoNormal"/>
      </w:pPr>
      <w:r>
        <w:t>De lo anteriormente expuesto se deriva que la facultad de solicitar una sala corresponde a los diputados y a los grupos, sin establecer ningún tipo de exigencia específica en cuanto a su titularidad. Al poder entenderse como una facultad propia de cada uno de los diputados y de los grupos parlamentarios hemos de desestimar los óbices de admisibilidad planteados por la letrada de las Cortes Generales por las razones por ella expuestas. Y considerar, en consecuencia, que los recurrentes no quedan privados de legitimación para interponer el presente recurso de amparo ya que ambos presentaron la solicitud de uso de la sala y plantearon reconsideración contra la denegación de dicha solicitud, aunque dichas actuaciones las habían realizado con la concurrencia de la voluntad de otros diputados y grupos parlamentarios, que, en su conjunto, ni plantearon solicitud de reconsideración ni tampoco han promovido el presente recurso de amparo.</w:t>
      </w:r>
    </w:p>
    <w:p w:rsidR="005728DD" w:rsidRDefault="005728DD" w:rsidP="005728DD">
      <w:pPr>
        <w:pStyle w:val="TextoNormal"/>
      </w:pPr>
    </w:p>
    <w:p w:rsidR="005728DD" w:rsidRDefault="005728DD" w:rsidP="005728DD">
      <w:pPr>
        <w:pStyle w:val="TextoNormal"/>
      </w:pPr>
      <w:r>
        <w:t xml:space="preserve">Todo ello sin perjuicio de que debamos analizar ahora si la facultad de solicitar el uso de la sala constitucional del Congreso de los Diputados forma parte o no, como alega la letrada de las Cortes Generales, del núcleo del </w:t>
      </w:r>
      <w:r w:rsidRPr="005728DD">
        <w:rPr>
          <w:i/>
        </w:rPr>
        <w:t>ius in officium</w:t>
      </w:r>
      <w:r>
        <w:t>, cuya afectación pueda provocar una vulneración del artículo 23.2 CE.</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Jurisprudencia constitucional sobre el artículo 23.2 CE</w:t>
      </w:r>
      <w:r>
        <w:t>.</w:t>
      </w:r>
    </w:p>
    <w:p w:rsidR="005728DD" w:rsidRDefault="005728DD" w:rsidP="005728DD">
      <w:pPr>
        <w:pStyle w:val="TextoNormal"/>
      </w:pPr>
    </w:p>
    <w:p w:rsidR="005728DD" w:rsidRDefault="005728DD" w:rsidP="005728DD">
      <w:pPr>
        <w:pStyle w:val="TextoNormal"/>
      </w:pPr>
      <w:r>
        <w:t>La STC 97/2020, de 21 de julio, FJ 6 A), realizó un recordatorio general de las líneas capitales de la doctrina de este tribunal sobre el derecho fundamental enunciado en el artículo 23.2 CE, y a propósito de su conexión con el reconocido en el apartado primero del mismo artículo, con referencia a las SSTC 155/2019, de 28 de noviembre, FJ 15; 159/2019, de 12 de diciembre, FJ 5; 3/2020, de 15 de enero, FJ 10; 4/2020, de 15 de enero, FJ 3, y 9/2020, de 28 de enero, FJ 4. Especial relevancia tiene en el presente recurso de amparo, asimismo, la doctrina constitucional sobre el contenido de este derecho [entre otras, además de las anteriores, SSTC 110/2019, de 2 de octubre, FJ 2 A), y 69/2021, de 18 de marzo, FFJJ 4 y 5 C)].</w:t>
      </w:r>
    </w:p>
    <w:p w:rsidR="005728DD" w:rsidRDefault="005728DD" w:rsidP="005728DD">
      <w:pPr>
        <w:pStyle w:val="TextoNormal"/>
      </w:pPr>
    </w:p>
    <w:p w:rsidR="005728DD" w:rsidRDefault="005728DD" w:rsidP="005728DD">
      <w:pPr>
        <w:pStyle w:val="TextoNormal"/>
      </w:pPr>
      <w:r>
        <w:t>De la doctrina contenida en dichas sentencias, a la que nos remitimos, se deriva que el derecho a acceder a los cargos de naturaleza representativa implica también el de mantenerse en ellos y desempeñarlos de acuerdo con la ley, sin constricciones o perturbaciones ilegítimas. Cuando se trata de tales cargos representativos, el derecho enunciado en el artículo 23.2 CE ha de ponerse en conexión con el de todos los ciudadanos a participar en los asuntos públicos por medio de representantes, libremente elegidos en elecciones periódicas por sufragio universal (artículo 23.1 CE).</w:t>
      </w:r>
    </w:p>
    <w:p w:rsidR="005728DD" w:rsidRDefault="005728DD" w:rsidP="005728DD">
      <w:pPr>
        <w:pStyle w:val="TextoNormal"/>
      </w:pPr>
    </w:p>
    <w:p w:rsidR="005728DD" w:rsidRDefault="005728DD" w:rsidP="005728DD">
      <w:pPr>
        <w:pStyle w:val="TextoNormal"/>
      </w:pPr>
      <w:r>
        <w:t xml:space="preserve">El derecho establecido en el artículo 23.2 CE, como se desprende del inciso final del precepto, es de configuración legal, correspondiendo a la ley, concepto en el que se incluyen </w:t>
      </w:r>
      <w:r>
        <w:lastRenderedPageBreak/>
        <w:t xml:space="preserve">los reglamentos parlamentarios, ordenar los derechos y facultades que correspondan a los distintos cargos públicos y que pasan así a integrarse en el estatus propio de cada uno de ellos, con la consecuencia de que podrá su titular defender, al amparo de esta disposición constitucional, el </w:t>
      </w:r>
      <w:r w:rsidRPr="005728DD">
        <w:rPr>
          <w:i/>
        </w:rPr>
        <w:t>ius in officium</w:t>
      </w:r>
      <w:r>
        <w:t xml:space="preserve"> que estime ilegítimamente constreñido o ignorado por actos de los poderes públicos. En todo caso, en el artículo 23.2 no ha asumido la Constitución un genérico derecho, con la condición de fundamental, al respeto de todas y cada una de las prescripciones de aquellos reglamentos, con la consecuencia de que el derecho de los representantes, y en particular su </w:t>
      </w:r>
      <w:r w:rsidRPr="005728DD">
        <w:rPr>
          <w:i/>
        </w:rPr>
        <w:t>ius in officium</w:t>
      </w:r>
      <w:r>
        <w:t>, solo podrá considerarse violado si las aducidas contravenciones de las normas internas de las asambleas afectan al núcleo de los derechos y facultades de los representantes o, en otros términos, a su estatuto constitucionalmente relevante; normas internas, en fin, para cuya aplicación cuentan los órganos de las cámaras con un margen de interpretación que el Tribunal no puede dejar de reconocer (por todas, SSTC 109/2016, de 7 de junio, FJ 3; 139/2017, de 29 de noviembre, FJ 4, y 34/2018, de 12 de abril, FJ 4).</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Sobre la aducida conculcación del derecho de los recurrentes al ejercicio del cargo de diputado al Congreso (artículo 23.2 CE</w:t>
      </w:r>
      <w:r>
        <w:t>).</w:t>
      </w:r>
    </w:p>
    <w:p w:rsidR="005728DD" w:rsidRDefault="005728DD" w:rsidP="005728DD">
      <w:pPr>
        <w:pStyle w:val="TextoNormal"/>
      </w:pPr>
    </w:p>
    <w:p w:rsidR="005728DD" w:rsidRDefault="005728DD" w:rsidP="005728DD">
      <w:pPr>
        <w:pStyle w:val="TextoNormal"/>
      </w:pPr>
      <w:r>
        <w:t>La demanda, en los términos que se han expuesto pormenorizadamente en los antecedentes de esta sentencia, fundamenta la vulneración del derecho de los recurrentes al ejercicio de su cargo de diputado en que los acuerdos objeto del presente recurso de amparo habrían rechazado la solicitud por ellos formulada sin motivación alguna. Esta solicitud, como ha quedado constancia en los antecedentes de la presente sentencia, era la de uso de una sala del Congreso de los Diputados para la celebración de un encuentro de parlamentarios de distintos países en el marco del Foro EUCOCO (43ª Conferencia Europea de Solidaridad y Apoyo al Pueblo Saharaui) y como parte de las actividades del intergrupo parlamentario de apoyo al Sáhara Occidental.</w:t>
      </w:r>
    </w:p>
    <w:p w:rsidR="005728DD" w:rsidRDefault="005728DD" w:rsidP="005728DD">
      <w:pPr>
        <w:pStyle w:val="TextoNormal"/>
      </w:pPr>
    </w:p>
    <w:p w:rsidR="005728DD" w:rsidRDefault="005728DD" w:rsidP="005728DD">
      <w:pPr>
        <w:pStyle w:val="TextoNormal"/>
      </w:pPr>
      <w:r>
        <w:t>a) Para abordar las quejas aducidas en la demanda debemos realizar un análisis preliminar relativo a si el derecho que los recurrentes estiman vulnerado alcanza el valor de derecho fundamental susceptible de amparo constitucional. Al respecto, la letrada de las Cortes Generales alega que la utilización de las salas de la cámara no forma parte del contenido del artículo 23 CE susceptible de protección del recurso de amparo.</w:t>
      </w:r>
    </w:p>
    <w:p w:rsidR="005728DD" w:rsidRDefault="005728DD" w:rsidP="005728DD">
      <w:pPr>
        <w:pStyle w:val="TextoNormal"/>
      </w:pPr>
    </w:p>
    <w:p w:rsidR="005728DD" w:rsidRDefault="005728DD" w:rsidP="005728DD">
      <w:pPr>
        <w:pStyle w:val="TextoNormal"/>
      </w:pPr>
      <w:r>
        <w:t xml:space="preserve">El Tribunal comparte dicha apreciación. Como acabamos de recordar, el derecho establecido en el artículo 23.2 CE, es de configuración legal, correspondiendo a la ley, concepto en el que se incluyen los reglamentos parlamentarios, ordenar los derechos y facultades que correspondan a los distintos cargos públicos y que pasan así a integrarse en el estatus propio de cada uno de ellos, con la consecuencia de que podrá su titular defender, al amparo de esta disposición constitucional, el </w:t>
      </w:r>
      <w:r w:rsidRPr="005728DD">
        <w:rPr>
          <w:i/>
        </w:rPr>
        <w:t>ius in officium</w:t>
      </w:r>
      <w:r>
        <w:t xml:space="preserve"> que estime ilegítimamente constreñido o ignorado por actos de los poderes públicos. Además, la Constitución no ha asumido en el artículo 23.2 CE un genérico derecho fundamental al respeto de todos y cada uno de los derechos y facultades del estatuto del parlamentario, sino tan solo el de aquellos que pudiéramos considerar pertenecientes al núcleo de la función representativa, como son, principalmente, los que tienen relación directa con el ejercicio de las potestades legislativas y de control de la acción del Gobierno [por todas, SSTC 159/2019, de 12 de diciembre, FJ 5 c), y 69/2021, FFJJ 4 y 5 C) c)].</w:t>
      </w:r>
    </w:p>
    <w:p w:rsidR="005728DD" w:rsidRDefault="005728DD" w:rsidP="005728DD">
      <w:pPr>
        <w:pStyle w:val="TextoNormal"/>
      </w:pPr>
    </w:p>
    <w:p w:rsidR="005728DD" w:rsidRDefault="005728DD" w:rsidP="005728DD">
      <w:pPr>
        <w:pStyle w:val="TextoNormal"/>
      </w:pPr>
      <w:r>
        <w:lastRenderedPageBreak/>
        <w:t>Pues bien, el derecho que se dice vulnerado sería, a la postre, el derecho al uso de las salas del Congreso de los Diputados para el desarrollo de una actividad que no está expresamente prevista en el reglamento de la Cámara. Tanto la Constitución como el RCD reconocen una serie de derechos económicos y de disposición de medios materiales a los diputados y grupos parlamentarios. El derecho a los medios materiales de los diputados está expresado en la Constitución en el artículo 71.4, que establece que “los diputados y senadores percibirán una asignación que será fijada por las respectivas cámaras”. Dicho derecho se concreta en el artículo 8 RCD. A su vez, el artículo 28 RCD prevé que el Congreso ponga a disposición de los grupos parlamentarios, locales y medios materiales suficientes y les asignará, con cargo a su Presupuesto, una subvención fija idéntica para todos y otra variable en función del número de diputados de cada uno de ellos. Y el artículo 60 RCD establece que el Congreso de los Diputados dispondrá de los medios personales y materiales necesarios para el desarrollo de sus funciones, especialmente de servicios técnicos, de documentación y de asesoramiento. Sin embargo, no existe, ni se alega, base normativa que permita identificar el pretendido derecho de los demandantes al uso de una sala del edificio que alberga el Congreso para la realización de una actividad, como es la celebración de una reunión de un intergrupo parlamentario, ajena al ejercicio de las funciones parlamentarias propiamente dichas, que son las que la Constitución y el reglamento de la cámara atribuyen a sus miembros. Figura, la del intergrupo parlamentario que tampoco está prevista en el reglamento del Congreso. Tan solo en el documento al que se refiere la letrada de las Cortes Generales como “Régimen de los espacios de uso común de la cámara”, que obviamente carece de rango o valor de ley, está prevista la posibilidad de solicitar, que no de disponer, de una sala para la celebración de un acto, una jornada o actividad análoga, correspondiendo a la mesa, según dicho “régimen”, la decisión sobre la autorización del acto atendidas diferentes circunstancias.</w:t>
      </w:r>
    </w:p>
    <w:p w:rsidR="005728DD" w:rsidRDefault="005728DD" w:rsidP="005728DD">
      <w:pPr>
        <w:pStyle w:val="TextoNormal"/>
      </w:pPr>
    </w:p>
    <w:p w:rsidR="005728DD" w:rsidRDefault="005728DD" w:rsidP="005728DD">
      <w:pPr>
        <w:pStyle w:val="TextoNormal"/>
      </w:pPr>
      <w:r>
        <w:t xml:space="preserve">b) Además, este tribunal se ha pronunciado ya, en numerosas ocasiones, en relación con los derechos económicos de los diputados y con los medios materiales y personales de los grupos parlamentarios previstos en el reglamento de la Cámara. Respecto a los mismos, ha entendido que los derechos de contenido económico no forman parte del núcleo esencial del </w:t>
      </w:r>
      <w:r w:rsidRPr="005728DD">
        <w:rPr>
          <w:i/>
        </w:rPr>
        <w:t>ius in officium</w:t>
      </w:r>
      <w:r>
        <w:t xml:space="preserve"> del diputado reconocido por el artículo 23.2 CE [entre otras, SSTC 36/2014, de 27 de febrero, FJ 6; 159/2019, FJ 6, y 69/2021, FJ 5 C) c); y, en sentido similar, STC 141/2007, de 18 de junio, FJ 4; y ATC 17/2011, de 28 de febrero, FJ 1, sobre los medios de los grupos parlamentarios].</w:t>
      </w:r>
    </w:p>
    <w:p w:rsidR="005728DD" w:rsidRDefault="005728DD" w:rsidP="005728DD">
      <w:pPr>
        <w:pStyle w:val="TextoNormal"/>
      </w:pPr>
    </w:p>
    <w:p w:rsidR="005728DD" w:rsidRDefault="005728DD" w:rsidP="005728DD">
      <w:pPr>
        <w:pStyle w:val="TextoNormal"/>
      </w:pPr>
      <w:r>
        <w:t xml:space="preserve">Es cierto, sin embargo, que, aunque se haya considerado, que los denominados derechos económicos no forman parte del núcleo del </w:t>
      </w:r>
      <w:r w:rsidRPr="005728DD">
        <w:rPr>
          <w:i/>
        </w:rPr>
        <w:t>ius in officium</w:t>
      </w:r>
      <w:r>
        <w:t xml:space="preserve">, en algunas ocasiones se ha precisado que la privación de dichos derechos podría comportar la vulneración del artículo 23.2 CE cuando se impida el ejercicio de las funciones que tiene encomendadas [STC 69/2021, FJ 5 C) c)]. Tampoco es el caso, ya que el uso de la sala que se había solicitado no estaba destinado al ejercicio de una de las funciones que pertenecen al núcleo de la función representativa que son, como ya se ha recordado, principalmente, los que tienen relación directa con el ejercicio de las potestades legislativas y de control de la acción del gobierno. La sala se había solicitado para la realización de una actividad que consistía esencialmente en la reunión de un intergrupo parlamentario que no comportaba el ejercicio de una de las funciones parlamentarias a las que nos hemos referido. Aunque la demanda pretenda considerar que forman parte de dichas funciones aquellas dirigidas a forzar el debate político y el posicionamiento de los distintos grupos parlamentarios (cita la STC 1/2015, de 19 de enero, </w:t>
      </w:r>
      <w:r>
        <w:lastRenderedPageBreak/>
        <w:t>FJ 7), dicha finalidad se ha de perseguir a través de los instrumentos previstos en el reglamento de la Cámara.</w:t>
      </w:r>
    </w:p>
    <w:p w:rsidR="005728DD" w:rsidRDefault="005728DD" w:rsidP="005728DD">
      <w:pPr>
        <w:pStyle w:val="TextoNormal"/>
      </w:pPr>
    </w:p>
    <w:p w:rsidR="005728DD" w:rsidRDefault="005728DD" w:rsidP="005728DD">
      <w:pPr>
        <w:pStyle w:val="TextoNormal"/>
      </w:pPr>
      <w:r>
        <w:t>En resumen, ni la Constitución ni el reglamento de la Cámara establecen el derecho a disponer de cualquier sala del Congreso de los Diputados para la celebración de reuniones que no se refieran al ejercicio de funciones parlamentarias propiamente dichas. Por lo tanto, los acuerdos impugnados no contravienen previsiones ni de la Constitución Española ni del reglamento de la cámara sobre dotación de medios personales y materiales a los diputados y a los grupos parlamentarios; tampoco se trata de un supuesto en el que se hayan denegado medios, recursos o espacios para que los diputados o los grupos parlamentarios pudieran desarrollar las funciones que forman parte del núcleo esencial de su función representativa, sino que lo que se solicitó fue la disposición de un espacio de la Cámara para una reunión de parlamentarios ajena a las funciones del Congreso (artículo 66.2 CE y RCD). Por lo tanto, no resultó afectado el artículo 23 CE.</w:t>
      </w:r>
    </w:p>
    <w:p w:rsidR="005728DD" w:rsidRDefault="005728DD" w:rsidP="005728DD">
      <w:pPr>
        <w:pStyle w:val="TextoNormal"/>
      </w:pPr>
    </w:p>
    <w:p w:rsidR="005728DD" w:rsidRDefault="005728DD" w:rsidP="005728DD">
      <w:pPr>
        <w:pStyle w:val="TextoNormal"/>
      </w:pPr>
      <w:r>
        <w:t>La posibilidad del uso de una sala sería, en todo caso, accesoria al ejercicio de la función parlamentaria y su denegación sería, en su caso, una cuestión de legalidad ordinaria [en este sentido, STC 69/2021, FJ 5 C)].</w:t>
      </w:r>
    </w:p>
    <w:p w:rsidR="005728DD" w:rsidRDefault="005728DD" w:rsidP="005728DD">
      <w:pPr>
        <w:pStyle w:val="TextoNormal"/>
      </w:pPr>
    </w:p>
    <w:p w:rsidR="005728DD" w:rsidRDefault="005728DD" w:rsidP="005728DD">
      <w:pPr>
        <w:pStyle w:val="TextoNormal"/>
      </w:pPr>
      <w:r>
        <w:t xml:space="preserve">c) Toda vez que hemos entendido, en los términos que acabamos de exponer, que el uso de una sala del Congreso no forma parte del núcleo del </w:t>
      </w:r>
      <w:r w:rsidRPr="005728DD">
        <w:rPr>
          <w:i/>
        </w:rPr>
        <w:t>ius in officium</w:t>
      </w:r>
      <w:r>
        <w:t xml:space="preserve"> reconocido por el artículo 23.2 CE, no resultan atendibles las alegaciones formuladas por el Ministerio Fiscal, respecto a que, en otras ocasiones, la mesa de la Cámara haya autorizado el uso de algunas de sus salas para la realización de encuentros y jornadas sobre los temas más variados.</w:t>
      </w:r>
    </w:p>
    <w:p w:rsidR="005728DD" w:rsidRDefault="005728DD" w:rsidP="005728DD">
      <w:pPr>
        <w:pStyle w:val="TextoNormal"/>
      </w:pPr>
    </w:p>
    <w:p w:rsidR="005728DD" w:rsidRDefault="005728DD" w:rsidP="005728DD">
      <w:pPr>
        <w:pStyle w:val="TextoNormal"/>
      </w:pPr>
      <w:r>
        <w:t>d) Los demandantes evocan también al respecto doctrina del tribunal en relación con el alcance de las funciones de calificación y admisión a trámite de los escritos y documentos de naturaleza parlamentaria que son, en principio, de estricta verificación formal, a fin de apreciar exclusivamente la regularidad jurídica y viabilidad procesal de las iniciativas y sin que a las mesas les corresponda emplear o expresar, a estos efectos, un juicio de oportunidad. Sin embargo, esta jurisprudencia no es de aplicación a lo que aquí se plantea [en el mismo sentido, STC 110/2019, FJ 3 A) b)]. La solicitud denegada no era una iniciativa parlamentaria, por lo que los acuerdos de la mesa recurridos no eran resoluciones sobre la calificación y admisión a trámite de iniciativa alguna (art. 31.1.4 RCD), sino, en atención a lo dispuesto en las normas del Congreso de los Diputados, una solicitud de naturaleza administrativa y la resolución adoptada lo habría sido en ejercicio de la función de la mesa de la Cámara de adoptar cuantas decisiones y medidas requieran la organización del trabajo y el régimen y gobierno interiores de la Cámara (artículo 31.1.1 RCD).</w:t>
      </w:r>
    </w:p>
    <w:p w:rsidR="005728DD" w:rsidRDefault="005728DD" w:rsidP="005728DD">
      <w:pPr>
        <w:pStyle w:val="TextoNormal"/>
      </w:pPr>
    </w:p>
    <w:p w:rsidR="005728DD" w:rsidRDefault="005728DD" w:rsidP="005728DD">
      <w:pPr>
        <w:pStyle w:val="TextoNormal"/>
      </w:pPr>
      <w:r>
        <w:t xml:space="preserve">e) Por otra parte, la demanda alega que los acuerdos están huérfanos de toda motivación. Ahora bien, como se afirmó en la STC 110/2019, de 2 de octubre, FJ 4, “es doctrina constitucional constante que la motivación que los demandantes echan en falta solo es un imperativo constitucional cuando los actos controvertidos hayan sido restrictivos del </w:t>
      </w:r>
      <w:r w:rsidRPr="005728DD">
        <w:rPr>
          <w:i/>
        </w:rPr>
        <w:t>ius in officium</w:t>
      </w:r>
      <w:r>
        <w:t xml:space="preserve"> de los representantes (por todas las múltiples resoluciones en este sentido, STC 32/2017, de 27 de febrero, FJ 5)”. Asimismo, el Tribunal Constitucional, “ante la denuncia de falta de motivación de acuerdos de órganos de las diferentes cámaras ha entendido que la misma ha podido ser expresada tanto en el acuerdo inicial, como en la contestación a la solicitud de reconsideración (en este sentido, STC 173/2020, de 19 de noviembre, FJ 3), y </w:t>
      </w:r>
      <w:r>
        <w:lastRenderedPageBreak/>
        <w:t>también en el acta de la reunión en la que se adoptó el correspondiente acuerdo (STC 110/2019, de 2 de octubre, FJ 4)” [STC 69/2021, FJ 5 B)].</w:t>
      </w:r>
    </w:p>
    <w:p w:rsidR="005728DD" w:rsidRDefault="005728DD" w:rsidP="005728DD">
      <w:pPr>
        <w:pStyle w:val="TextoNormal"/>
      </w:pPr>
    </w:p>
    <w:p w:rsidR="005728DD" w:rsidRDefault="005728DD" w:rsidP="005728DD">
      <w:pPr>
        <w:pStyle w:val="TextoNormal"/>
      </w:pPr>
      <w:r>
        <w:t xml:space="preserve">En este caso, los acuerdos no afectaron, como ya ha quedado dicho, al </w:t>
      </w:r>
      <w:r w:rsidRPr="005728DD">
        <w:rPr>
          <w:i/>
        </w:rPr>
        <w:t>ius in officium</w:t>
      </w:r>
      <w:r>
        <w:t xml:space="preserve"> de los representantes, y en todo caso, conforme ha quedado constancia en los antecedentes de esta sentencia, en la reunión celebrada el 23 de octubre de 2018, se acordó solicitar un informe a la Secretaría General del Congreso de los Diputados sobre este asunto, y por ello se emitió la “Nota sobre la celebración de un acto en el Congreso de los Diputados de manera paralela a la celebración de la EUCOCO”, del director de relaciones internacionales del Congreso de los Diputados, de 26 de octubre de 2018, conforme a la cual, según consta en el acta de la mesa de 30 de octubre se adoptó el acuerdo ahora recurrido.</w:t>
      </w:r>
    </w:p>
    <w:p w:rsidR="005728DD" w:rsidRDefault="005728DD" w:rsidP="005728DD">
      <w:pPr>
        <w:pStyle w:val="TextoNormal"/>
      </w:pPr>
    </w:p>
    <w:p w:rsidR="005728DD" w:rsidRDefault="005728DD" w:rsidP="005728DD">
      <w:pPr>
        <w:pStyle w:val="TextoNormal"/>
      </w:pPr>
      <w:r>
        <w:t>En definitiva, al haber adoptado la mesa una decisión en el ejercicio de la función que le corresponde en materia de gobierno interior que no afectó a ningún derecho de los parlamentarios, ninguna lesión de derechos se derivaría de la misma, razón por la que la decisión adoptada en los acuerdos impugnados ha de ser respetado por este tribunal, “para no convertirse en una instancia revisora de contiendas sin contenido constitucional” (en este sentido, STC 68/2020, de 29 de junio, FJ 4).</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desestimar el recurso de amparo interpuesto por don Txema Guijarro García y don Sergio Pascual Peña.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veintinueve de junio de dos mil veintiuno.</w:t>
      </w:r>
    </w:p>
    <w:p w:rsidR="005728DD" w:rsidRDefault="005728DD">
      <w:pPr>
        <w:spacing w:after="0" w:line="360" w:lineRule="auto"/>
        <w:ind w:firstLine="851"/>
        <w:jc w:val="both"/>
        <w:rPr>
          <w:rFonts w:ascii="Times New Roman" w:eastAsia="Times New Roman" w:hAnsi="Times New Roman" w:cs="Times New Roman"/>
          <w:sz w:val="24"/>
          <w:szCs w:val="24"/>
          <w:lang w:eastAsia="es-ES"/>
        </w:rPr>
      </w:pPr>
      <w:r>
        <w:br w:type="page"/>
      </w:r>
    </w:p>
    <w:p w:rsidR="005728DD" w:rsidRDefault="005728DD" w:rsidP="005728DD">
      <w:pPr>
        <w:pStyle w:val="TtuloResolucin"/>
      </w:pPr>
      <w:bookmarkStart w:id="141" w:name="SENTENCIA_2021_138"/>
      <w:r>
        <w:lastRenderedPageBreak/>
        <w:t>SENTENCIA 138/2021, de 29 de junio de 2021</w:t>
      </w:r>
    </w:p>
    <w:bookmarkEnd w:id="141"/>
    <w:p w:rsidR="005728DD" w:rsidRDefault="005728DD" w:rsidP="005728DD">
      <w:pPr>
        <w:pStyle w:val="TtuloResolucin"/>
      </w:pPr>
      <w:r>
        <w:t>Sala Segunda</w:t>
      </w:r>
    </w:p>
    <w:p w:rsidR="005728DD" w:rsidRDefault="005728DD" w:rsidP="005728DD">
      <w:pPr>
        <w:pStyle w:val="TtuloBOE"/>
      </w:pPr>
      <w:r>
        <w:t>(BOE núm. 182, de 31 de julio de 2021)</w:t>
      </w:r>
    </w:p>
    <w:p w:rsidR="005728DD" w:rsidRDefault="005728DD" w:rsidP="005728DD">
      <w:pPr>
        <w:pStyle w:val="TextoNormalCentrado"/>
      </w:pPr>
      <w:r>
        <w:t>ECLI:ES:TC:2021:138</w:t>
      </w:r>
    </w:p>
    <w:p w:rsidR="005728DD" w:rsidRDefault="005728DD" w:rsidP="005728DD">
      <w:pPr>
        <w:pStyle w:val="TextoNormalCentrado"/>
      </w:pPr>
    </w:p>
    <w:p w:rsidR="005728DD" w:rsidRDefault="005728DD" w:rsidP="005728DD">
      <w:pPr>
        <w:pStyle w:val="SntesisDescriptiva"/>
      </w:pPr>
      <w:r>
        <w:t>Recurso de amparo 6915-2019. Promovido por la Universidad Católica de Valencia San Vicente Mártir en relación con las órdenes de la Consellería de Educación, Investigación, Cultura y Deporte de la Generalitat Valenciana 24/2017, de 21 de junio, por la que se establecen las bases reguladoras para la concesión de las becas de promoción de la excelencia académica del alumnado universitario de las universidades públicas y de los centros adscritos al Instituto Superior de Enseñanzas Artísticas de la Comunitat Valenciana, y 27/2017, de 3 de julio, por la que se establecen las bases reguladoras de las ayudas para complementar las becas para la actividad de movilidad de estudiantes por estudios, del programa Erasmus+, pertenecientes a instituciones públicas de educación superior de la Comunidad Valenciana; así como las resoluciones dictadas por las salas de lo contencioso-administrativo del Tribunal Supremo y del Tribunal Superior de Justicia de la Comunidad Valenciana, en la impugnación de aquellas.</w:t>
      </w:r>
    </w:p>
    <w:p w:rsidR="005728DD" w:rsidRDefault="005728DD" w:rsidP="005728DD">
      <w:pPr>
        <w:pStyle w:val="SntesisDescriptiva"/>
      </w:pPr>
    </w:p>
    <w:p w:rsidR="005728DD" w:rsidRDefault="005728DD" w:rsidP="005728DD">
      <w:pPr>
        <w:pStyle w:val="SntesisAnaltica"/>
      </w:pPr>
      <w:r>
        <w:t>Vulneración del derecho a la igualdad en relación con el derecho a la creación de centros docentes: nulidad de los preceptos reglamentarios que limitan el disfrute de becas a los alumnos matriculados en universidades públicas integrantes del sistema universitario valenciano (STC 191/2020). Voto particular.</w:t>
      </w:r>
    </w:p>
    <w:p w:rsidR="005728DD" w:rsidRDefault="005728DD" w:rsidP="005728DD">
      <w:pPr>
        <w:pStyle w:val="SntesisAnaltica"/>
      </w:pPr>
    </w:p>
    <w:p w:rsidR="005728DD" w:rsidRDefault="005728DD" w:rsidP="005728DD">
      <w:pPr>
        <w:pStyle w:val="Extracto"/>
      </w:pPr>
      <w:r>
        <w:t>1.</w:t>
      </w:r>
      <w:r>
        <w:tab/>
        <w:t>Aplicación de doctrina sobre vulneración del derecho a la igualdad en una norma reglamentaria que excluye a los alumnos matriculados en universidades privadas del régimen de concesión de becas, introduciendo una diferencia respecto a las universidades públicas que carece de justificación objetiva y razonable (STC 191/2020) [FFJJ 2, 3].</w:t>
      </w:r>
    </w:p>
    <w:p w:rsidR="005728DD" w:rsidRDefault="005728DD" w:rsidP="005728DD">
      <w:pPr>
        <w:pStyle w:val="Extracto"/>
      </w:pPr>
    </w:p>
    <w:p w:rsidR="005728DD" w:rsidRDefault="005728DD" w:rsidP="005728DD">
      <w:pPr>
        <w:pStyle w:val="Extracto"/>
      </w:pPr>
    </w:p>
    <w:p w:rsidR="005728DD" w:rsidRDefault="005728DD" w:rsidP="005728DD">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5728DD" w:rsidRDefault="005728DD" w:rsidP="005728DD">
      <w:pPr>
        <w:pStyle w:val="TextoNormal"/>
      </w:pPr>
    </w:p>
    <w:p w:rsidR="005728DD" w:rsidRDefault="005728DD" w:rsidP="005728DD">
      <w:pPr>
        <w:pStyle w:val="TextoNormalCentrado"/>
        <w:keepNext/>
      </w:pPr>
      <w:r>
        <w:t>EN NOMBRE DEL REY</w:t>
      </w:r>
    </w:p>
    <w:p w:rsidR="005728DD" w:rsidRDefault="005728DD" w:rsidP="005728DD">
      <w:pPr>
        <w:pStyle w:val="TextoNormalCentrado"/>
        <w:keepNext/>
      </w:pPr>
    </w:p>
    <w:p w:rsidR="005728DD" w:rsidRDefault="005728DD" w:rsidP="005728DD">
      <w:pPr>
        <w:pStyle w:val="TextoNormalCentrado"/>
        <w:keepNext/>
      </w:pPr>
    </w:p>
    <w:p w:rsidR="005728DD" w:rsidRDefault="005728DD" w:rsidP="005728DD">
      <w:pPr>
        <w:pStyle w:val="TextoNormal"/>
      </w:pPr>
      <w:r>
        <w:t>la siguiente</w:t>
      </w:r>
    </w:p>
    <w:p w:rsidR="005728DD" w:rsidRDefault="005728DD" w:rsidP="005728DD">
      <w:pPr>
        <w:pStyle w:val="TextoNormal"/>
      </w:pPr>
    </w:p>
    <w:p w:rsidR="005728DD" w:rsidRDefault="005728DD" w:rsidP="005728DD">
      <w:pPr>
        <w:pStyle w:val="TextoNormalCentrado"/>
        <w:keepNext/>
      </w:pPr>
      <w:r>
        <w:t>SENTENCIA</w:t>
      </w:r>
    </w:p>
    <w:p w:rsidR="005728DD" w:rsidRDefault="005728DD" w:rsidP="005728DD">
      <w:pPr>
        <w:pStyle w:val="TextoNormalCentrado"/>
        <w:keepNext/>
      </w:pPr>
    </w:p>
    <w:p w:rsidR="005728DD" w:rsidRDefault="005728DD" w:rsidP="005728DD">
      <w:pPr>
        <w:pStyle w:val="TextoNormal"/>
      </w:pPr>
      <w:r>
        <w:t xml:space="preserve">En el recurso de amparo núm. 6915-2019, promovido por la Universidad Católica de Valencia San Vicente Mártir, contra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y de los centros </w:t>
      </w:r>
      <w:r>
        <w:lastRenderedPageBreak/>
        <w:t>adscritos al Instituto Superior de Enseñanzas Artísticas de la Comunitat Valenciana. Asimismo, contra la Orden 27/2017, de 3 de julio,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Comunidad Valenciana. Igualmente, contra la sentencia núm. 441/2018, de 8 de noviembre, dictada por la Sección Cuarta de la Sala de lo Contencioso-Administrativo del Tribunal Superior de Justicia de la Comunidad Valenciana, recaída en el procedimiento especial de protección de derechos fundamentales núm. 286-2017 y acumulado núm. 308-2017, que ha desestimado el recurso contencioso-administrativo interpuesto por aquella universidad contra determinados preceptos de las citadas órdenes; y, finalmente, contra las providencias, de 13 de junio y de 16 de octubre de 2019, de la Sección Primera de la Sala de lo Contencioso-Administrativo del Tribunal Supremo, que, respectivamente, han inadmitido a trámite el recurso de casación preparado por la demandante contra la precedente sentencia y el incidente extraordinario de nulidad de actuaciones, promovido contra esta última resolución. Ha sido parte la Generalitat Valenciana. Ha intervenido el Ministerio Fiscal. Ha sido ponente el magistrado don Antonio Narváez Rodríguez.</w:t>
      </w:r>
    </w:p>
    <w:p w:rsidR="005728DD" w:rsidRDefault="005728DD" w:rsidP="005728DD">
      <w:pPr>
        <w:pStyle w:val="TextoNormal"/>
      </w:pPr>
    </w:p>
    <w:p w:rsidR="005728DD" w:rsidRDefault="005728DD" w:rsidP="005728DD">
      <w:pPr>
        <w:pStyle w:val="TextoNormalNegritaCentrado"/>
        <w:keepNext/>
      </w:pPr>
      <w:r>
        <w:t>I. Antecedentes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Mediante escrito que tuvo entrada en el registro de este tribunal el día 28 de noviembre de 2019, la procuradora de los tribunales doña Ana Lázaro Gogorza, en nombre y representación de la Universidad Católica de Valencia San Vicente Mártir, defendida por el letrado don Gonzalo Fernández de Arévalo, interpuso recurso de amparo contra las órdenes de la Generalitat Valenciana y contra las resoluciones judiciales que se citan en el encabezamiento, por vulneración de sus derechos fundamentales a la igualdad ante la ley (art. 14 CE), a la educación (art. 27 CE), a la libertad religiosa (art. 16 CE) y a la tutela judicial efectiva (art. 24.1 CE).</w:t>
      </w:r>
    </w:p>
    <w:p w:rsidR="005728DD" w:rsidRDefault="005728DD" w:rsidP="005728DD">
      <w:pPr>
        <w:pStyle w:val="TextoNormal"/>
      </w:pPr>
    </w:p>
    <w:p w:rsidR="005728DD" w:rsidRDefault="005728DD" w:rsidP="005728DD">
      <w:pPr>
        <w:pStyle w:val="TextoNormal"/>
      </w:pPr>
      <w:r w:rsidRPr="005728DD">
        <w:rPr>
          <w:rStyle w:val="NumeroAFNegritaCaracter"/>
        </w:rPr>
        <w:t>2</w:t>
      </w:r>
      <w:r>
        <w:t>. La demanda trae causa de los siguientes hechos:</w:t>
      </w:r>
    </w:p>
    <w:p w:rsidR="005728DD" w:rsidRDefault="005728DD" w:rsidP="005728DD">
      <w:pPr>
        <w:pStyle w:val="TextoNormal"/>
      </w:pPr>
    </w:p>
    <w:p w:rsidR="005728DD" w:rsidRDefault="005728DD" w:rsidP="005728DD">
      <w:pPr>
        <w:pStyle w:val="TextoNormal"/>
      </w:pPr>
      <w:r>
        <w:t>a) En el “Diario Oficial de la Generalitat Valenciana” (“DOGV”) núm. 8069, del día 23 de junio de 2017, apareció publicada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y de los centros adscritos al Instituto Superior de Enseñanzas Artísticas de la Comunitat Valenciana (en lo sucesivo, la Orden 24/2017).</w:t>
      </w:r>
    </w:p>
    <w:p w:rsidR="005728DD" w:rsidRDefault="005728DD" w:rsidP="005728DD">
      <w:pPr>
        <w:pStyle w:val="TextoNormal"/>
      </w:pPr>
    </w:p>
    <w:p w:rsidR="005728DD" w:rsidRDefault="005728DD" w:rsidP="005728DD">
      <w:pPr>
        <w:pStyle w:val="TextoNormal"/>
      </w:pPr>
      <w:r>
        <w:t xml:space="preserve">En lo que se refiere a este procedimiento de amparo, los arts. 1 y 2 de la Orden 24/2017 regulan: (i) el “objeto y financiación” de las convocatorias de becas “para la promoción de la excelencia académica destinadas a quienes hayan concluido estudios de grado en las universidades públicas de la Comunitat Valenciana y estudios superiores en enseñanzas artísticas en centros de titularidad pública adscritos al Instituto Superior de Enseñanzas Artísticas de la Comunitat Valenciana […]”; (ii) bajo la rúbrica “Personas beneficiarias” de aquellas becas los alumnos de postgrado de las enseñanzas universitarias anteriormente descritas, que hubieran cursado sus estudios en las citadas universidades públicas y centros adscritos, </w:t>
      </w:r>
      <w:r>
        <w:lastRenderedPageBreak/>
        <w:t>y (iii) igualmente, en el art. 4 se establecen los “requisitos de las personas beneficiarias”, así como en los arts. 6 y 7 se dispone, respectivamente, el régimen jurídico del “sistema de valoración” de las becas y la comisión técnica encargada de comprobar el cumplimiento de los requisitos de los solicitantes, así como de la valoración de la afinidad de los cursos o másteres solicitados con los estudios realizados.</w:t>
      </w:r>
    </w:p>
    <w:p w:rsidR="005728DD" w:rsidRDefault="005728DD" w:rsidP="005728DD">
      <w:pPr>
        <w:pStyle w:val="TextoNormal"/>
      </w:pPr>
    </w:p>
    <w:p w:rsidR="005728DD" w:rsidRDefault="005728DD" w:rsidP="005728DD">
      <w:pPr>
        <w:pStyle w:val="TextoNormal"/>
      </w:pPr>
      <w:r>
        <w:t>También, en el posterior núm. 8077, del día 5 de julio siguiente, apareció publicada la Orden 27/2017, de 3 de julio, de la Consellería de Educación, Investigación, Cultura y Deporte de la Generalitat Valenciana, por la que se establecen las bases reguladoras para complementar las becas para la actividad de movilidad de estudiantes por estudios del programa Erasmus+, pertenecientes a instituciones públicas de educación superior de la Comunitat Valenciana (en adelante, la Orden 27/2017). Son de interés para este recurso de amparo los siguientes preceptos de esta orden: (i) el art. 1.1 de esta disposición regula el objeto de esta orden, que es el de “establecer las bases por las que han de regirse las convocatorias de ayudas para complementar las becas para la actividad de movilidad de estudiantes por estudios, del programa Erasmus+, pertenecientes a las universidades públicas que integran el sistema universitario valenciano, a las que hace referencia el artículo 2 de la Ley 4/2007, de 9 de febrero, de coordinación del sistema universitario valenciano, y de los centros públicos adscritos a la mismas, y para estudiantes de enseñanzas artísticas superiores de los centros adscritos al Instituto Superior de Enseñanzas Artísticas de la Comunitat Valenciana”; (ii) el art. 2, bajo la rúbrica “Beneficiarios”, que se refiere a los destinatarios de aquellas becas, que son los alumnos a que hace referencia el art. 1.1 de esta orden, anteriormente enunciado, y (iii) igualmente, en el art. 3 se regulan los requisitos que habrán de reunir los beneficiarios, mientras que el art. 4 regula las solicitudes que inician el procedimiento de concesión de las ayudas. En ambos casos, se realiza también una remisión expresa a lo dispuesto en el art. 1.1 de esta orden.</w:t>
      </w:r>
    </w:p>
    <w:p w:rsidR="005728DD" w:rsidRDefault="005728DD" w:rsidP="005728DD">
      <w:pPr>
        <w:pStyle w:val="TextoNormal"/>
      </w:pPr>
    </w:p>
    <w:p w:rsidR="005728DD" w:rsidRDefault="005728DD" w:rsidP="005728DD">
      <w:pPr>
        <w:pStyle w:val="TextoNormal"/>
      </w:pPr>
      <w:r>
        <w:t>b) No estando conforme con las anteriores disposiciones generales, la representación procesal de la Universidad Católica de Valencia San Vicente Mártir, interpuso sendos recursos contencioso-administrativos contra las órdenes 24/2017 y 27/2017, a través del procedimiento especial de defensa de los derechos fundamentales, cuyo conocimiento correspondió a la Sección Cuarta de la Sala de lo Contencioso-Administrativo del Tribunal Superior de Justicia de la Comunidad Valenciana, que quedaron registrados con los núms. 286-2017 y 308-2017 de los de su clase, siendo acumulado el segundo al primero por medio del auto de 13 de noviembre de 2017.</w:t>
      </w:r>
    </w:p>
    <w:p w:rsidR="005728DD" w:rsidRDefault="005728DD" w:rsidP="005728DD">
      <w:pPr>
        <w:pStyle w:val="TextoNormal"/>
      </w:pPr>
    </w:p>
    <w:p w:rsidR="005728DD" w:rsidRDefault="005728DD" w:rsidP="005728DD">
      <w:pPr>
        <w:pStyle w:val="TextoNormal"/>
      </w:pPr>
      <w:r>
        <w:t>En sus recursos, la parte se quejaba de la eventual vulneración del principio de igualdad ante la ley (art. 14 CE), al haber excluido de esta convocatoria de becas a los alumnos de postgrado y a los que aspiraran a integrarse en el programa Erasmus+, que hubieran cursado sus estudios en las universidades privadas de la Comunidad Autónoma Valenciana, sin que se hubiera justificado el cambio operado, frente a la anterior normativa que no contenía esta discriminación. Igualmente, se alegaba en el escrito de interposición del recurso la afectación de los derechos a la libertad de enseñanza y educación (art. 27 CE) y, con relación a la propia demandante, que es una universidad de la Iglesia católica, a la libertad religiosa (art. 16 CE).</w:t>
      </w:r>
    </w:p>
    <w:p w:rsidR="005728DD" w:rsidRDefault="005728DD" w:rsidP="005728DD">
      <w:pPr>
        <w:pStyle w:val="TextoNormal"/>
      </w:pPr>
    </w:p>
    <w:p w:rsidR="005728DD" w:rsidRDefault="005728DD" w:rsidP="005728DD">
      <w:pPr>
        <w:pStyle w:val="TextoNormal"/>
      </w:pPr>
      <w:r>
        <w:t xml:space="preserve">Por medio de auto de 22 de septiembre de 2017, la Sala de instancia delimitó el objeto de los recursos acumulados, de tal manera que excluyó de su conocimiento las alegadas </w:t>
      </w:r>
      <w:r>
        <w:lastRenderedPageBreak/>
        <w:t>vulneraciones de los derechos a la libertad de enseñanza y educación y a la libertad religiosa, restando como único objeto de su enjuiciamiento la del principio de igualdad ante la ley (art. 14 CE). Recurrida en reposición, tanto por la entidad educativa ahora demandante de amparo, como por la Generalitat Valenciana, que se había personado como parte demandada en el procedimiento, la Sala dictó nuevo auto de 22 de octubre de 2017, desestimando ambos recursos. En consecuencia, la demanda del recurso contencioso-administrativo se refirió en exclusiva a la infracción de su derecho a la igualdad ante la ley (art. 14 CE).</w:t>
      </w:r>
    </w:p>
    <w:p w:rsidR="005728DD" w:rsidRDefault="005728DD" w:rsidP="005728DD">
      <w:pPr>
        <w:pStyle w:val="TextoNormal"/>
      </w:pPr>
    </w:p>
    <w:p w:rsidR="005728DD" w:rsidRDefault="005728DD" w:rsidP="005728DD">
      <w:pPr>
        <w:pStyle w:val="TextoNormal"/>
      </w:pPr>
      <w:r>
        <w:t>Finalmente, la Sala dictó la sentencia núm. 441/2018, de 8 de noviembre, por la que desestimó el recurso.</w:t>
      </w:r>
    </w:p>
    <w:p w:rsidR="005728DD" w:rsidRDefault="005728DD" w:rsidP="005728DD">
      <w:pPr>
        <w:pStyle w:val="TextoNormal"/>
      </w:pPr>
    </w:p>
    <w:p w:rsidR="005728DD" w:rsidRDefault="005728DD" w:rsidP="005728DD">
      <w:pPr>
        <w:pStyle w:val="TextoNormal"/>
      </w:pPr>
      <w:r>
        <w:t xml:space="preserve">En su resolución, la Sala apreció la falta de la legitimación </w:t>
      </w:r>
      <w:r w:rsidRPr="005728DD">
        <w:rPr>
          <w:i/>
        </w:rPr>
        <w:t>ad causam</w:t>
      </w:r>
      <w:r>
        <w:t>, que había propuesto la Generalitat Valenciana, entendió que la universidad recurrente no era la titular de los derechos a la reclamación de las becas. Asimismo, completó el tribunal su argumentación desestimatoria de la queja por vulneración del principio de igualdad ante la ley, haciendo cita expresa de otras sentencias anteriores de la misma Sala, aunque de distinta Sección (en concreto, la Quinta), en referencia a la sentencia de 18 de octubre de 2017, que había señalado que “no se trata de cantidades que la administración facilite a los centros universitarios públicos o privados, sino que se trata de cantidades que la Administración proporciona a los propios alumnos […] la Universidad carece de la facultad de representación de sus alumnos, ya que el objeto debatido es un derecho que se ostenta con carácter personal y, dependiendo del tipo de beca de que se trate, por una serie de circunstancias que deben concurrir en el solicitante también de forma personal, no por el mero hecho de ser alumno universitario, siendo este el requisito que constituye —exclusivamente— el punto de partida o la determinación subjetiva general del destinatario de aquellas, nunca el beneficiario concreto por el mero hecho de serlo”.</w:t>
      </w:r>
    </w:p>
    <w:p w:rsidR="005728DD" w:rsidRDefault="005728DD" w:rsidP="005728DD">
      <w:pPr>
        <w:pStyle w:val="TextoNormal"/>
      </w:pPr>
    </w:p>
    <w:p w:rsidR="005728DD" w:rsidRDefault="005728DD" w:rsidP="005728DD">
      <w:pPr>
        <w:pStyle w:val="TextoNormal"/>
      </w:pPr>
      <w:r>
        <w:t>Completa su argumentación el tribunal rechazando otros argumentos complementarios alegados por la parte recurrente que no son relevantes para la resolución de este recurso de amparo (vulneración del principio de confianza legítima y desatención de los dictámenes del Consejo Consultivo de la Generalitat núm. 352/2017 y 370/2017) y termina desestimando el recurso interpuesto, con imposición de costas a la universidad recurrente.</w:t>
      </w:r>
    </w:p>
    <w:p w:rsidR="005728DD" w:rsidRDefault="005728DD" w:rsidP="005728DD">
      <w:pPr>
        <w:pStyle w:val="TextoNormal"/>
      </w:pPr>
    </w:p>
    <w:p w:rsidR="005728DD" w:rsidRDefault="005728DD" w:rsidP="005728DD">
      <w:pPr>
        <w:pStyle w:val="TextoNormal"/>
      </w:pPr>
      <w:r>
        <w:t>c) Contra la anterior sentencia, la universidad preparó recurso de casación, que la Sala de instancia tuvo por preparado en virtud de auto de 10 de enero de 2019, pero la providencia de 13 de junio siguiente, de la Sección Primera de la Sala de lo Contencioso-Administrativo del Tribunal Supremo, acordó inadmitir a trámite el recurso por incumplimiento de las exigencias que el artículo 89.2 f) de la Ley reguladora de la jurisdicción contencioso-administrativa (LJCA) impone para el escrito de preparación; en particular, por falta de fundamentación suficiente de la concurrencia de alguno o algunos de los supuestos que, con arreglo a los apartados 2 y 3 del artículo 88, permiten apreciar el interés casacional objetivo y la conveniencia de un pronunciamiento de la Sala de lo Contencioso-Administrativo del Tribunal Supremo.</w:t>
      </w:r>
    </w:p>
    <w:p w:rsidR="005728DD" w:rsidRDefault="005728DD" w:rsidP="005728DD">
      <w:pPr>
        <w:pStyle w:val="TextoNormal"/>
      </w:pPr>
    </w:p>
    <w:p w:rsidR="005728DD" w:rsidRDefault="005728DD" w:rsidP="005728DD">
      <w:pPr>
        <w:pStyle w:val="TextoNormal"/>
      </w:pPr>
      <w:r>
        <w:t xml:space="preserve">d) La universidad promovió incidente extraordinario de nulidad de actuaciones contra la anterior providencia. En su escrito alegó, como nueva vulneración de derechos fundamentales, las de sus derechos a la tutela judicial efectiva y a un proceso con todas las garantías. </w:t>
      </w:r>
      <w:r>
        <w:lastRenderedPageBreak/>
        <w:t>Igualmente, reiteraba en el escrito las ya alegadas vulneraciones al principio de igualdad ante la ley, a la libertad de enseñanza y educación y a la libertad religiosa.</w:t>
      </w:r>
    </w:p>
    <w:p w:rsidR="005728DD" w:rsidRDefault="005728DD" w:rsidP="005728DD">
      <w:pPr>
        <w:pStyle w:val="TextoNormal"/>
      </w:pPr>
    </w:p>
    <w:p w:rsidR="005728DD" w:rsidRDefault="005728DD" w:rsidP="005728DD">
      <w:pPr>
        <w:pStyle w:val="TextoNormal"/>
      </w:pPr>
      <w:r>
        <w:t>e) La providencia de 16 de octubre de 2019, dictada por la Sección Primera de la Sala de lo Contencioso-Administrativo del Tribunal Supremo, inadmitió a trámite el incidente de nulidad de actuaciones.</w:t>
      </w:r>
    </w:p>
    <w:p w:rsidR="005728DD" w:rsidRDefault="005728DD" w:rsidP="005728DD">
      <w:pPr>
        <w:pStyle w:val="TextoNormal"/>
      </w:pPr>
    </w:p>
    <w:p w:rsidR="005728DD" w:rsidRDefault="005728DD" w:rsidP="005728DD">
      <w:pPr>
        <w:pStyle w:val="TextoNormal"/>
      </w:pPr>
      <w:r>
        <w:t>En su resolución, el Tribunal Supremo detalla las razones por las que entiende que procede la inadmisión del recurso. A tal fin, destaca que la parte ha incumplido el requisito del art. 89.2 f) LJCA, en aplicación del art. 90.4 b) LJCA. Añade que, aunque la recurrente ha invocado hasta varios supuestos de interés casacional objetivo, “en todos los casos se trata de alegaciones genéricas, que no profundizan en la argumentación y que no lo vinculan con el debate procesal concreto, indicando cuál sería la cuestión de interés casacional objetivo sobre la que este tribunal estaría llamado a pronunciarse”, lo que no queda desvirtuado en el escrito planteando el incidente de nulidad de actuaciones.</w:t>
      </w:r>
    </w:p>
    <w:p w:rsidR="005728DD" w:rsidRDefault="005728DD" w:rsidP="005728DD">
      <w:pPr>
        <w:pStyle w:val="TextoNormal"/>
      </w:pPr>
    </w:p>
    <w:p w:rsidR="005728DD" w:rsidRDefault="005728DD" w:rsidP="005728DD">
      <w:pPr>
        <w:pStyle w:val="TextoNormal"/>
      </w:pPr>
      <w:r>
        <w:t>Por último, la providencia descarta la vulneración del derecho a la tutela judicial efectiva pues entiende que los argumentos de la recurrente “constituyen una mera discrepancia con el sustento jurídico de la providencia que se impugna”, sin que se haya de volver a examinar en este trámite lo que ya fue enjuiciado y resuelto por la providencia de inadmisión del recurso de casación.</w:t>
      </w:r>
    </w:p>
    <w:p w:rsidR="005728DD" w:rsidRDefault="005728DD" w:rsidP="005728DD">
      <w:pPr>
        <w:pStyle w:val="TextoNormal"/>
      </w:pPr>
    </w:p>
    <w:p w:rsidR="005728DD" w:rsidRDefault="005728DD" w:rsidP="005728DD">
      <w:pPr>
        <w:pStyle w:val="TextoNormal"/>
      </w:pPr>
      <w:r w:rsidRPr="005728DD">
        <w:rPr>
          <w:rStyle w:val="NumeroAFNegritaCaracter"/>
        </w:rPr>
        <w:t>3</w:t>
      </w:r>
      <w:r>
        <w:t>. La demanda de amparo identifica las disposiciones generales administrativas y las resoluciones judiciales recurridas, haciendo una pormenorizada descripción de los antecedentes del caso, entre los que cita expresamente diferentes pasajes de los dictámenes núms. 352/2017 y 370/2017 del Consejo Consultivo de la Generalitat Valenciana para el apoyo de sus pretensiones. Tales quejas las centra, de modo esencial, en la eventual discriminación sufrida por la recurrente y por el resto de las universidades privadas católicas de la Comunidad Valenciana, así como por los alumnos de las mismas, por haber quedado excluidas de la convocatoria de becas de la Generalitat Valenciana.</w:t>
      </w:r>
    </w:p>
    <w:p w:rsidR="005728DD" w:rsidRDefault="005728DD" w:rsidP="005728DD">
      <w:pPr>
        <w:pStyle w:val="TextoNormal"/>
      </w:pPr>
    </w:p>
    <w:p w:rsidR="005728DD" w:rsidRDefault="005728DD" w:rsidP="005728DD">
      <w:pPr>
        <w:pStyle w:val="TextoNormal"/>
      </w:pPr>
      <w:r>
        <w:t>A tal fin, sustenta su recurso en la alegada vulneración de los siguientes derechos fundamentales:</w:t>
      </w:r>
    </w:p>
    <w:p w:rsidR="005728DD" w:rsidRDefault="005728DD" w:rsidP="005728DD">
      <w:pPr>
        <w:pStyle w:val="TextoNormal"/>
      </w:pPr>
    </w:p>
    <w:p w:rsidR="005728DD" w:rsidRDefault="005728DD" w:rsidP="005728DD">
      <w:pPr>
        <w:pStyle w:val="TextoNormal"/>
      </w:pPr>
      <w:r>
        <w:t>a) En primer lugar, denuncia la infracción de su derecho a la igualdad ante la ley (art. 14 CE), que imputa directamente a las órdenes 24/2017 y 27/2017. Señala, al respecto, que las órdenes recurridas establecen un trato desigual de la recurrente con respecto a las universidades públicas de la Comunidad Valenciana, pues, a su entender, introduce una diferencia “arbitraria”, al excluir a las universidades privadas ubicadas en este territorio autonómico del régimen de concesión de becas convocadas para postgrados y estudiantes que se acojan al programa Erasmus+. Agrega que, a pesar de las condiciones idénticas de renta de los estudiantes, se les trata de manera diferente, en función del tipo de centro en el que quieren cursar sus estudios.</w:t>
      </w:r>
    </w:p>
    <w:p w:rsidR="005728DD" w:rsidRDefault="005728DD" w:rsidP="005728DD">
      <w:pPr>
        <w:pStyle w:val="TextoNormal"/>
      </w:pPr>
    </w:p>
    <w:p w:rsidR="005728DD" w:rsidRDefault="005728DD" w:rsidP="005728DD">
      <w:pPr>
        <w:pStyle w:val="TextoNormal"/>
      </w:pPr>
      <w:r>
        <w:t xml:space="preserve">A su juicio, no hay razón que justifique objetiva y razonadamente esa discriminación, pues, tanto las universidades públicas como las privadas, forman parte del sistema universitario valenciano, de conformidad con lo que establece el art. 2 de la Ley 4/2007, de 9 de febrero, de coordinación del sistema universitario valenciano. Además, la administración de </w:t>
      </w:r>
      <w:r>
        <w:lastRenderedPageBreak/>
        <w:t>la comunidad autónoma no invoca ninguna finalidad constitucionalmente legítima, ni existe proporcionalidad en la medida, habiéndose cambiado repentinamente el criterio, sin que se haya aportado, tampoco, justificación alguna.</w:t>
      </w:r>
    </w:p>
    <w:p w:rsidR="005728DD" w:rsidRDefault="005728DD" w:rsidP="005728DD">
      <w:pPr>
        <w:pStyle w:val="TextoNormal"/>
      </w:pPr>
    </w:p>
    <w:p w:rsidR="005728DD" w:rsidRDefault="005728DD" w:rsidP="005728DD">
      <w:pPr>
        <w:pStyle w:val="TextoNormal"/>
      </w:pPr>
      <w:r>
        <w:t>Argumenta que el derecho a la beca puede depender de criterios objetivos como el rendimiento académico o la renta personal o familiar, pero no puede depender del tipo de centro o ideario del centro en que se cursa, dato este frente al cual la administración debe permanecer neutral. Una vez adoptada la decisión de puesta en marcha de un programa de becas, no se puede hacer distinción por universidades en las que se estudia. Ni la Ley Orgánica 6/2001, de 21 de diciembre, de universidades (art. 45.4), ni tampoco la Ley 4/2007 valenciana (art. 2) diferencian entre universidades públicas y privadas, a efectos de obtención de becas.</w:t>
      </w:r>
    </w:p>
    <w:p w:rsidR="005728DD" w:rsidRDefault="005728DD" w:rsidP="005728DD">
      <w:pPr>
        <w:pStyle w:val="TextoNormal"/>
      </w:pPr>
    </w:p>
    <w:p w:rsidR="005728DD" w:rsidRDefault="005728DD" w:rsidP="005728DD">
      <w:pPr>
        <w:pStyle w:val="TextoNormal"/>
      </w:pPr>
      <w:r>
        <w:t>En la misma línea, el Real Decreto 1721/2007, de 21 de diciembre, por el que se establece el régimen de las becas y ayudas al estudio personalizadas, no introduce diferenciación alguna entre universidades públicas y privadas. Al igual que tampoco lo hace el Real Decreto 595/2015, de 3 de julio, por el que se establecen los umbrales de renta y patrimonio familiar y las cuantías de las becas y ayudas al estudio para el curso 2015-2016, que incluye a las universidades privadas en el ámbito de las becas de matrícula. Ambos reales decretos tienen el carácter de normativa básica, según sus respectivas disposiciones finales primeras.</w:t>
      </w:r>
    </w:p>
    <w:p w:rsidR="005728DD" w:rsidRDefault="005728DD" w:rsidP="005728DD">
      <w:pPr>
        <w:pStyle w:val="TextoNormal"/>
      </w:pPr>
    </w:p>
    <w:p w:rsidR="005728DD" w:rsidRDefault="005728DD" w:rsidP="005728DD">
      <w:pPr>
        <w:pStyle w:val="TextoNormal"/>
      </w:pPr>
      <w:r>
        <w:t>El propio Consejo Consultivo de la Generalitat, en su dictamen 280/2016 fue, a su entender, muy claro en sus observaciones al art. 2 del entonces proyecto de Orden 21/2016, en el sentido de apreciar una diferencia de trato que recomendaba cambiar, por una serie de motivos: (i) por coherencia interna y seguridad jurídica; (ii) por ser contrario al art. 45.2 de la Ley Orgánica de universidades (LOU), que no excluye a las universidades privadas del ámbito de aplicación de las becas universitarias; (iii) por no ser conforme al sentido de las becas señalado por la STC 188/2001, de 20 de septiembre; y (iv) por incidir en la igualdad jurídica de los estudiantes, al impedirles que, por sus condiciones socioeconómicas, fueran a universidades privadas. Según refiere, el dictamen reconocería que el proyecto de orden afectaba a la esfera de intereses legítimos de las universidades privadas de la Comunidad Valenciana, tratándose de una afectación inmediata y real. De hecho, los pagos de las becas son librados por la administración directamente a las universidades y no a los alumnos.</w:t>
      </w:r>
    </w:p>
    <w:p w:rsidR="005728DD" w:rsidRDefault="005728DD" w:rsidP="005728DD">
      <w:pPr>
        <w:pStyle w:val="TextoNormal"/>
      </w:pPr>
    </w:p>
    <w:p w:rsidR="005728DD" w:rsidRDefault="005728DD" w:rsidP="005728DD">
      <w:pPr>
        <w:pStyle w:val="TextoNormal"/>
      </w:pPr>
      <w:r>
        <w:t>En el parecer de la entidad recurrente, las órdenes impugnadas suponen, además, el incumplimiento de un tratado internacional, como es el del Acuerdo entre España y la Santa Sede sobre enseñanza y asuntos culturales de 3 de enero de 1979, que, en su art. X, apartado 3 dispone que “los alumnos de estas universidades [de la Iglesia católica] gozarán de los mismos beneficios en materia de sanidad, seguridad escolar, ayudas al estudio y a la investigación y demás modalidades de protección al estudiante que se establezcan para los alumnos de las universidades del Estado”.</w:t>
      </w:r>
    </w:p>
    <w:p w:rsidR="005728DD" w:rsidRDefault="005728DD" w:rsidP="005728DD">
      <w:pPr>
        <w:pStyle w:val="TextoNormal"/>
      </w:pPr>
    </w:p>
    <w:p w:rsidR="005728DD" w:rsidRDefault="005728DD" w:rsidP="005728DD">
      <w:pPr>
        <w:pStyle w:val="TextoNormal"/>
      </w:pPr>
      <w:r>
        <w:t>Finalmente, alega que las órdenes son contrarias, también, al Derecho de la Unión Europea, si bien no especifica el sentido de esta contravención.</w:t>
      </w:r>
    </w:p>
    <w:p w:rsidR="005728DD" w:rsidRDefault="005728DD" w:rsidP="005728DD">
      <w:pPr>
        <w:pStyle w:val="TextoNormal"/>
      </w:pPr>
    </w:p>
    <w:p w:rsidR="005728DD" w:rsidRDefault="005728DD" w:rsidP="005728DD">
      <w:pPr>
        <w:pStyle w:val="TextoNormal"/>
      </w:pPr>
      <w:r>
        <w:t>b) A continuación, denuncia la vulneración del derecho a la educación (art. 27 CE), pues sostiene que las becas son un elemento nuclear del sistema educativo que incide, por tanto, en este derecho fundamental. El régimen de las becas es desarrollo del art. 27 CE.</w:t>
      </w:r>
    </w:p>
    <w:p w:rsidR="005728DD" w:rsidRDefault="005728DD" w:rsidP="005728DD">
      <w:pPr>
        <w:pStyle w:val="TextoNormal"/>
      </w:pPr>
    </w:p>
    <w:p w:rsidR="005728DD" w:rsidRDefault="005728DD" w:rsidP="005728DD">
      <w:pPr>
        <w:pStyle w:val="TextoNormal"/>
      </w:pPr>
      <w:r>
        <w:t>Alega que, en el caso de autos, las órdenes han privado de la posibilidad de obtener una beca a quienes, reuniendo las condiciones objetivas para obtenerla, se han visto privados de ella por haber estudiado en una universidad privada. En este sentido, las disposiciones generales impugnadas discriminan a las universidades por su ideario e impiden a los alumnos que elijan libremente la Universidad San Vicente Mártir para cursar sus estudios, forzándoles a elegir una universidad pública para continuar sus estudios si desean obtener una beca. Además, hay titulaciones que solo se imparten en las universidades privadas con sede en la Comunidad Valenciana, por lo que a los alumnos se les impedirá elegir, no sólo dónde estudiar, sino también qué estudiar.</w:t>
      </w:r>
    </w:p>
    <w:p w:rsidR="005728DD" w:rsidRDefault="005728DD" w:rsidP="005728DD">
      <w:pPr>
        <w:pStyle w:val="TextoNormal"/>
      </w:pPr>
    </w:p>
    <w:p w:rsidR="005728DD" w:rsidRDefault="005728DD" w:rsidP="005728DD">
      <w:pPr>
        <w:pStyle w:val="TextoNormal"/>
      </w:pPr>
      <w:r>
        <w:t>Reitera que el derecho a obtener una beca se puede hacer depender de criterios objetivos, pero no arbitrarios, y que la administración debe ser neutral en esta materia. Además, el art. 45.4 de la Ley Orgánica 6/2001, de universidades, dispone, en relación con el sistema público de becas y ayudas al estudio, que la ley se refiere tanto a las universidades públicas como a las privadas o de iniciativa social.</w:t>
      </w:r>
    </w:p>
    <w:p w:rsidR="005728DD" w:rsidRDefault="005728DD" w:rsidP="005728DD">
      <w:pPr>
        <w:pStyle w:val="TextoNormal"/>
      </w:pPr>
    </w:p>
    <w:p w:rsidR="005728DD" w:rsidRDefault="005728DD" w:rsidP="005728DD">
      <w:pPr>
        <w:pStyle w:val="TextoNormal"/>
      </w:pPr>
      <w:r>
        <w:t>Por último, sostiene que las órdenes impugnadas lesionan el principio de confianza legítima por el cambio repentino que introdujeron en esta materia, sin ninguna medida transitoria para paliar su impacto y sin modificación previa de la normativa orgánica de la legislación para darles cobertura.</w:t>
      </w:r>
    </w:p>
    <w:p w:rsidR="005728DD" w:rsidRDefault="005728DD" w:rsidP="005728DD">
      <w:pPr>
        <w:pStyle w:val="TextoNormal"/>
      </w:pPr>
    </w:p>
    <w:p w:rsidR="005728DD" w:rsidRDefault="005728DD" w:rsidP="005728DD">
      <w:pPr>
        <w:pStyle w:val="TextoNormal"/>
      </w:pPr>
      <w:r>
        <w:t>c) Seguidamente, alega vulneración del derecho a la libertad religiosa (art. 16 CE) porque, conforme determina el art. 2 de la Ley 4/2007, de 9 de febrero, de coordinación del sistema universitario valenciano, que regula dicho sistema universitario, las dos únicas universidades privadas que prestan servicio en la Comunidad son la ahora recurrente y la Universidad Cardenal Herrera-CEU, ambas de ideario católico, por lo que las órdenes impugnadas discriminan, también, por el carácter de pertenecientes a la religión católica de ambas.</w:t>
      </w:r>
    </w:p>
    <w:p w:rsidR="005728DD" w:rsidRDefault="005728DD" w:rsidP="005728DD">
      <w:pPr>
        <w:pStyle w:val="TextoNormal"/>
      </w:pPr>
    </w:p>
    <w:p w:rsidR="005728DD" w:rsidRDefault="005728DD" w:rsidP="005728DD">
      <w:pPr>
        <w:pStyle w:val="TextoNormal"/>
      </w:pPr>
      <w:r>
        <w:t>Agrega que, igualmente, se lesiona la libertad religiosa de quienes deseen estudiar en la universidad ahora demandante y necesiten una beca para sufragar sus estudios, así como de los alumnos que ya estudian en esta universidad y precisan de una beca para continuarlos.</w:t>
      </w:r>
    </w:p>
    <w:p w:rsidR="005728DD" w:rsidRDefault="005728DD" w:rsidP="005728DD">
      <w:pPr>
        <w:pStyle w:val="TextoNormal"/>
      </w:pPr>
    </w:p>
    <w:p w:rsidR="005728DD" w:rsidRDefault="005728DD" w:rsidP="005728DD">
      <w:pPr>
        <w:pStyle w:val="TextoNormal"/>
      </w:pPr>
      <w:r>
        <w:t>La demanda insiste en la eventual vulneración del art. X, apartado 3 del Acuerdo con la Santa Sede anteriormente citado.</w:t>
      </w:r>
    </w:p>
    <w:p w:rsidR="005728DD" w:rsidRDefault="005728DD" w:rsidP="005728DD">
      <w:pPr>
        <w:pStyle w:val="TextoNormal"/>
      </w:pPr>
    </w:p>
    <w:p w:rsidR="005728DD" w:rsidRDefault="005728DD" w:rsidP="005728DD">
      <w:pPr>
        <w:pStyle w:val="TextoNormal"/>
      </w:pPr>
      <w:r>
        <w:t>d) Finalmente, el recurso se queja de la vulneración del derecho reconocido en el art. 24 CE (sin mayor especificación, aunque por el desarrollo de la argumentación, se refiere a la tutela judicial efectiva del art. 24.1 CE).</w:t>
      </w:r>
    </w:p>
    <w:p w:rsidR="005728DD" w:rsidRDefault="005728DD" w:rsidP="005728DD">
      <w:pPr>
        <w:pStyle w:val="TextoNormal"/>
      </w:pPr>
    </w:p>
    <w:p w:rsidR="005728DD" w:rsidRDefault="005728DD" w:rsidP="005728DD">
      <w:pPr>
        <w:pStyle w:val="TextoNormal"/>
      </w:pPr>
      <w:r>
        <w:t>Destaca, al respecto, que “las lesiones producidas por las órdenes” no sólo no han sido remediadas por los órganos judiciales (Tribunal Superior de Justicia de la Comunidad Valenciana y Tribunal Supremo) sino que, además, les han ocasionado la vulneración de sus derechos del art. 24 CE.</w:t>
      </w:r>
    </w:p>
    <w:p w:rsidR="005728DD" w:rsidRDefault="005728DD" w:rsidP="005728DD">
      <w:pPr>
        <w:pStyle w:val="TextoNormal"/>
      </w:pPr>
    </w:p>
    <w:p w:rsidR="005728DD" w:rsidRDefault="005728DD" w:rsidP="005728DD">
      <w:pPr>
        <w:pStyle w:val="TextoNormal"/>
      </w:pPr>
      <w:r>
        <w:t xml:space="preserve">Según refiere, la sentencia del Tribunal Superior de Justicia de la Comunidad Valenciana no ha entrado en el fondo del análisis de las órdenes ahora impugnadas, haciendo suya la fundamentación de la sentencia 561/2017, de 31 de mayo, que apreció falta de legitimación </w:t>
      </w:r>
      <w:r>
        <w:lastRenderedPageBreak/>
        <w:t>dado que sólo habrían podido recurrirla los alumnos de la universidad, pero no la propia entidad universitaria recurrente que “representa a más de 13.000 estudiantes”.</w:t>
      </w:r>
    </w:p>
    <w:p w:rsidR="005728DD" w:rsidRDefault="005728DD" w:rsidP="005728DD">
      <w:pPr>
        <w:pStyle w:val="TextoNormal"/>
      </w:pPr>
    </w:p>
    <w:p w:rsidR="005728DD" w:rsidRDefault="005728DD" w:rsidP="005728DD">
      <w:pPr>
        <w:pStyle w:val="TextoNormal"/>
      </w:pPr>
      <w:r>
        <w:t>Además, sostiene que el Tribunal Supremo ha dictado una providencia de inadmisión del recurso de casación preparado por la actora “con una motivación ilógica e irrazonable […] ya que sólo puede deberse a un error en el que, ante dos cuestiones totalmente equivalentes, se den motivaciones contradictorias” denegándosele su derecho a la doble instancia y al examen de su recurso.</w:t>
      </w:r>
    </w:p>
    <w:p w:rsidR="005728DD" w:rsidRDefault="005728DD" w:rsidP="005728DD">
      <w:pPr>
        <w:pStyle w:val="TextoNormal"/>
      </w:pPr>
    </w:p>
    <w:p w:rsidR="005728DD" w:rsidRDefault="005728DD" w:rsidP="005728DD">
      <w:pPr>
        <w:pStyle w:val="TextoNormal"/>
      </w:pPr>
      <w:r>
        <w:t>Se alega que, en supuestos de hecho sustancialmente idénticos (los recursos de casación dimanantes de los procedimientos de derechos fundamentales 455-2016, en relación con los núms. 286-2017 y acumulado 308-2017) interpuestos por los mismos motivos, la Sala de lo Contencioso-Administrativo del Tribunal Supremo ha dado distintas respuestas, pues una de ellas ha inadmitido a trámite el recurso de casación porque considera que no se ha superado el juicio de relevancia, y la otra por no haber fundamentado con rigor los motivos de interés casacional objetivo.</w:t>
      </w:r>
    </w:p>
    <w:p w:rsidR="005728DD" w:rsidRDefault="005728DD" w:rsidP="005728DD">
      <w:pPr>
        <w:pStyle w:val="TextoNormal"/>
      </w:pPr>
    </w:p>
    <w:p w:rsidR="005728DD" w:rsidRDefault="005728DD" w:rsidP="005728DD">
      <w:pPr>
        <w:pStyle w:val="TextoNormal"/>
      </w:pPr>
      <w:r>
        <w:t>Para sustentar este planteamiento, la demanda invoca la STC 40/2002, de 14 de febrero, con el argumento de que la providencia de inadmisión del recurso de casación le ha generado una nueva lesión de su derecho a la tutela judicial efectiva que le ha privado del derecho a que se examine su recurso, al haberle impedido impugnar una sentencia desfavorable a sus derechos.</w:t>
      </w:r>
    </w:p>
    <w:p w:rsidR="005728DD" w:rsidRDefault="005728DD" w:rsidP="005728DD">
      <w:pPr>
        <w:pStyle w:val="TextoNormal"/>
      </w:pPr>
    </w:p>
    <w:p w:rsidR="005728DD" w:rsidRDefault="005728DD" w:rsidP="005728DD">
      <w:pPr>
        <w:pStyle w:val="TextoNormal"/>
      </w:pPr>
      <w:r>
        <w:t>La demanda justifica la especial trascendencia constitucional del recurso en siete motivos que, resumidamente, se detallan a continuación: (i) aclarar el estatuto de las universidades no públicas o de iniciativa social legalmente constituidas y que forman parte de un sistema universitario autonómico, y su posible o imposible exclusión de determinados beneficios sociales como la concesiones de becas y ayudas al estudio; (ii) las facultades del legislador para discriminar entre universidades en función de su ideario o titularidad, a la hora de fijar los beneficiarios de los programas de becas, así como el alcance de las competencias autonómicas para acordar la solución que se considere más idónea en cada ámbito legislativo; (iii) si la administración autonómica tiene facultades para distinguir en función de la titularidad de la universidad correspondiente, cuando estas figuran integradas en un sistema universitario único y la ley autonómica no establece diferenciación alguna; (iv) alcance de los derechos del alumnado de universidades privadas a que las leyes prevean becas a su favor; (v) si resulta discriminatorio que los solicitantes de becas que hayan sido alumnos de las universidades privadas y que cumplan los requisitos objetivos de renta para su obtención, no puedan acceder a las mismas por ser estudiantes de una universidad no pública; (vi) alcance representativo que tengan los órganos de gobierno de las universidades privadas para recurrir, a favor de sus alumnos, una disposición normativa que pueda afectar a sus derechos fundamentales; y (vii) la denegación por parte del Tribunal Supremo del “conocimiento de un asunto mediante el dictado de una resolución con motivación de inadmisión totalmente distinta, ante procedimientos y recursos análogos, privándole de su derecho al recurso y a la doble instancia, así como vaciando de contenido y considerando una mera formalidad el incidente de nulidad” previsto en la ley.</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Por medio de providencia de 3 de marzo de 2021, la Sección Cuarta de este tribunal acordó admitir a trámite el recurso de amparo apreciando que en el mismo concurre una </w:t>
      </w:r>
      <w:r>
        <w:lastRenderedPageBreak/>
        <w:t>especial trascendencia constitucional [art. 50.1 de la Ley Orgánica del Tribunal Constitucional (LOTC)], “como consecuencia de que la posible vulneración del derecho fundamental que se denuncia pudiera provenir de la ley o de otra disposición de carácter general [STC 155/2009, FJ 2 c)]”.</w:t>
      </w:r>
    </w:p>
    <w:p w:rsidR="005728DD" w:rsidRDefault="005728DD" w:rsidP="005728DD">
      <w:pPr>
        <w:pStyle w:val="TextoNormal"/>
      </w:pPr>
    </w:p>
    <w:p w:rsidR="005728DD" w:rsidRDefault="005728DD" w:rsidP="005728DD">
      <w:pPr>
        <w:pStyle w:val="TextoNormal"/>
      </w:pPr>
      <w:r>
        <w:t>En la misma providencia se ordenaba enviar atenta comunicación a la Sección Primera de la Sala de lo Contencioso-Administrativo del Tribunal Supremo para que remitiera certificación o fotocopia adverada de las actuaciones correspondientes al recurso de casación núm. 402-2019. Igualmente, se acordó dirigir idéntica comunicación a la Sección Cuarta de la misma Sala del Tribunal Superior de Justicia de la Comunidad Valenciana, a fin de que, en el plazo de diez días, remitiera certificación o fotocopia adverada de las actuaciones correspondientes a los recursos de procedimiento especial de protección de los derechos fundamentales núm. 286-2017 y acumulado 308-2017, debiendo emplazarse, para que, en el plazo de diez días, pudieran comparecer en el recurso de amparo quiénes hubieran sido parte en el procedimiento, excepto la parte recurrente en amparo.</w:t>
      </w:r>
    </w:p>
    <w:p w:rsidR="005728DD" w:rsidRDefault="005728DD" w:rsidP="005728DD">
      <w:pPr>
        <w:pStyle w:val="TextoNormal"/>
      </w:pPr>
    </w:p>
    <w:p w:rsidR="005728DD" w:rsidRDefault="005728DD" w:rsidP="005728DD">
      <w:pPr>
        <w:pStyle w:val="TextoNormal"/>
      </w:pPr>
      <w:r w:rsidRPr="005728DD">
        <w:rPr>
          <w:rStyle w:val="NumeroAFNegritaCaracter"/>
        </w:rPr>
        <w:t>5</w:t>
      </w:r>
      <w:r>
        <w:t>. En fecha 5 de abril de 2021 tuvo entrada en el registro de este tribunal escrito presentado por el señor letrado de la Generalitat Valenciana don José Antonio Gras Rossello, en la representación que ostenta, solicitando que se le tuviera por comparecida y parte en las actuaciones.</w:t>
      </w:r>
    </w:p>
    <w:p w:rsidR="005728DD" w:rsidRDefault="005728DD" w:rsidP="005728DD">
      <w:pPr>
        <w:pStyle w:val="TextoNormal"/>
      </w:pPr>
    </w:p>
    <w:p w:rsidR="005728DD" w:rsidRDefault="005728DD" w:rsidP="005728DD">
      <w:pPr>
        <w:pStyle w:val="TextoNormal"/>
      </w:pPr>
      <w:r w:rsidRPr="005728DD">
        <w:rPr>
          <w:rStyle w:val="NumeroAFNegritaCaracter"/>
        </w:rPr>
        <w:t>6</w:t>
      </w:r>
      <w:r>
        <w:t>. Por diligencia de ordenación de 16 de abril de 2021, la Secretaría de Justicia de la Sala Segunda tuvo por personado y parte en el procedimiento al señor letrado de la Generalitat Valenciana, acordándose entender con ella las sucesivas actuaciones. Asimismo, se tuvo por designada a la procuradora de los tribunales doña Rosa Sorribes Calle.</w:t>
      </w:r>
    </w:p>
    <w:p w:rsidR="005728DD" w:rsidRDefault="005728DD" w:rsidP="005728DD">
      <w:pPr>
        <w:pStyle w:val="TextoNormal"/>
      </w:pPr>
    </w:p>
    <w:p w:rsidR="005728DD" w:rsidRDefault="005728DD" w:rsidP="005728DD">
      <w:pPr>
        <w:pStyle w:val="TextoNormal"/>
      </w:pPr>
      <w:r>
        <w:t>Igualmente, de conformidad con lo dispuesto en el art. 52.1 LOTC, se dispuso dar vista de las actuaciones a las partes personadas y al Ministerio Fiscal, por plazo común de veinte días, para que pudieran presentar las alegaciones que estimaran pertinentes.</w:t>
      </w:r>
    </w:p>
    <w:p w:rsidR="005728DD" w:rsidRDefault="005728DD" w:rsidP="005728DD">
      <w:pPr>
        <w:pStyle w:val="TextoNormal"/>
      </w:pPr>
    </w:p>
    <w:p w:rsidR="005728DD" w:rsidRDefault="005728DD" w:rsidP="005728DD">
      <w:pPr>
        <w:pStyle w:val="TextoNormal"/>
      </w:pPr>
      <w:r w:rsidRPr="005728DD">
        <w:rPr>
          <w:rStyle w:val="NumeroAFNegritaCaracter"/>
        </w:rPr>
        <w:t>7</w:t>
      </w:r>
      <w:r>
        <w:t>. En fecha 27 de abril de 2021, el letrado de los servicios jurídicos de la Generalitat Valenciana presentó escrito de alegaciones en el registro de este tribunal solicitando la desestimación del recurso de amparo.</w:t>
      </w:r>
    </w:p>
    <w:p w:rsidR="005728DD" w:rsidRDefault="005728DD" w:rsidP="005728DD">
      <w:pPr>
        <w:pStyle w:val="TextoNormal"/>
      </w:pPr>
    </w:p>
    <w:p w:rsidR="005728DD" w:rsidRDefault="005728DD" w:rsidP="005728DD">
      <w:pPr>
        <w:pStyle w:val="TextoNormal"/>
      </w:pPr>
      <w:r>
        <w:t>La argumentación que, al respecto, sostiene la administración autonómica puede resumirse en los siguientes apartados:</w:t>
      </w:r>
    </w:p>
    <w:p w:rsidR="005728DD" w:rsidRDefault="005728DD" w:rsidP="005728DD">
      <w:pPr>
        <w:pStyle w:val="TextoNormal"/>
      </w:pPr>
    </w:p>
    <w:p w:rsidR="005728DD" w:rsidRDefault="005728DD" w:rsidP="005728DD">
      <w:pPr>
        <w:pStyle w:val="TextoNormal"/>
      </w:pPr>
      <w:r>
        <w:t>a) Después de hacer una delimitación del objeto del recurso, en única referencia a las resoluciones judiciales impugnadas, pero no así a las órdenes 24/2017 y 27/2017, y de exponer, de modo detallado los antecedentes del presente recurso de amparo, dedica el apartado tercero de sus alegaciones a impugnar las que, de contrario, ha sostenido la demandante de amparo.</w:t>
      </w:r>
    </w:p>
    <w:p w:rsidR="005728DD" w:rsidRDefault="005728DD" w:rsidP="005728DD">
      <w:pPr>
        <w:pStyle w:val="TextoNormal"/>
      </w:pPr>
    </w:p>
    <w:p w:rsidR="005728DD" w:rsidRDefault="005728DD" w:rsidP="005728DD">
      <w:pPr>
        <w:pStyle w:val="TextoNormal"/>
      </w:pPr>
      <w:r>
        <w:t xml:space="preserve">En este sentido, comienza destacando que “no se puede aceptar lo alegado respecto a que la administración autonómica actúa por ‘razones estrictamente ideológicas’, ‘confesadas’, con el objetivo de ‘acabar con las becas destinadas al alumnado de esta universidad por entender que la misma y su alumnado son, dada su ideología católica, discriminables por la </w:t>
      </w:r>
      <w:r>
        <w:lastRenderedPageBreak/>
        <w:t>administración autonómica frente a las universidades de naturaleza pública’” (en cursiva, en el texto), pues, “frente a estas gratuitas afirmaciones” entiende que las órdenes 24/2017 y 27/2017 “no contienen ninguna referencia a ninguna concreta universidad, ni a ninguna ideología”.</w:t>
      </w:r>
    </w:p>
    <w:p w:rsidR="005728DD" w:rsidRDefault="005728DD" w:rsidP="005728DD">
      <w:pPr>
        <w:pStyle w:val="TextoNormal"/>
      </w:pPr>
    </w:p>
    <w:p w:rsidR="005728DD" w:rsidRDefault="005728DD" w:rsidP="005728DD">
      <w:pPr>
        <w:pStyle w:val="TextoNormal"/>
      </w:pPr>
      <w:r>
        <w:t>b) A continuación, se pronuncia sobre la denunciada vulneración del derecho a la tutela judicial efectiva proponiendo su desestimación. Agrega que, respecto de la providencia de inadmisión del recurso de casación, el Tribunal Supremo ha emitido este pronunciamiento “que se deriva de la aplicación razonada de una causa legal que prevé esta consecuencia”, por lo que entiende que no es arbitraria, ni manifiestamente irrazonable, ni incursa en error patente, como tampoco el resultado de una interpretación rigorista, formalista o desproporcionada, “siendo además una decisión que afecta a cuestiones de estricta legalidad ordinaria”. En apoyo de esta pretensión cita textualmente la STC 112/2019, de 3 de octubre, así como el pasaje de la providencia de 16 de octubre de 2019 del Tribunal Supremo, que inadmitió el incidente de nulidad de actuaciones, relativo a que no se vulneró el derecho a la tutela judicial efectiva de la recurrente.</w:t>
      </w:r>
    </w:p>
    <w:p w:rsidR="005728DD" w:rsidRDefault="005728DD" w:rsidP="005728DD">
      <w:pPr>
        <w:pStyle w:val="TextoNormal"/>
      </w:pPr>
    </w:p>
    <w:p w:rsidR="005728DD" w:rsidRDefault="005728DD" w:rsidP="005728DD">
      <w:pPr>
        <w:pStyle w:val="TextoNormal"/>
      </w:pPr>
      <w:r>
        <w:t>c) Seguidamente, el letrado señala que es conocedor de la STC 191/2020, de 17 de diciembre, dictada en el recurso de amparo núm. 5099-2018, “fijando doctrina que se ha visto ratificada en pronunciamientos posteriores (sentencias de 15 de enero de 2021, recaídas en los recursos de amparo núms. 2578/2019 y 6379/2019)”. No obstante, considera que los votos particulares emitidos, cuyo contenido extracta parcialmente, avalan la postura sostenida por la administración educativa valenciana.</w:t>
      </w:r>
    </w:p>
    <w:p w:rsidR="005728DD" w:rsidRDefault="005728DD" w:rsidP="005728DD">
      <w:pPr>
        <w:pStyle w:val="TextoNormal"/>
      </w:pPr>
    </w:p>
    <w:p w:rsidR="005728DD" w:rsidRDefault="005728DD" w:rsidP="005728DD">
      <w:pPr>
        <w:pStyle w:val="TextoNormal"/>
      </w:pPr>
      <w:r>
        <w:t>d) En el apartado siguiente, el representante de la Generalitat impugna la queja por la alegada vulneración del principio de igualdad ante la ley, apoyándose en la sentencia del Tribunal Superior de Justicia de la Comunidad Valenciana que apreció la falta de legitimación de la universidad recurrente por no ser la titular del derecho a obtener las becas, que corresponden a los alumnos que las soliciten.</w:t>
      </w:r>
    </w:p>
    <w:p w:rsidR="005728DD" w:rsidRDefault="005728DD" w:rsidP="005728DD">
      <w:pPr>
        <w:pStyle w:val="TextoNormal"/>
      </w:pPr>
    </w:p>
    <w:p w:rsidR="005728DD" w:rsidRDefault="005728DD" w:rsidP="005728DD">
      <w:pPr>
        <w:pStyle w:val="TextoNormal"/>
      </w:pPr>
      <w:r>
        <w:t>Además, a su entender, existen razones objetivas que justifican el trato diferenciado que las órdenes dispensan a los alumnos solicitantes de las becas, según provengan de universidades públicas o privadas:</w:t>
      </w:r>
    </w:p>
    <w:p w:rsidR="005728DD" w:rsidRDefault="005728DD" w:rsidP="005728DD">
      <w:pPr>
        <w:pStyle w:val="TextoNormal"/>
      </w:pPr>
    </w:p>
    <w:p w:rsidR="005728DD" w:rsidRDefault="005728DD" w:rsidP="005728DD">
      <w:pPr>
        <w:pStyle w:val="TextoNormal"/>
      </w:pPr>
      <w:r>
        <w:t>(i) Que las becas ofertadas por la Comunitat Valenciana son complementarias de las que integran el sistema general de becas previsto en la normativa básica estatal, “situándonos ante una actuación de fomento propia del Consell, prevista y regulada en su normativa, concretamente en el Decreto 40/2002 del Consell”. Se trata de una actuación que no se sustenta en lo dispuesto por los reales decretos 1721/2007, 595/2015 y 293/2016. Tales normas estatales y el sistema de becas que aquí se regula “son exigencia del artículo 45 de la Ley Orgánica 6/2001, de 21 de diciembre, de universidades […] en la redacción dada por la Ley Orgánica 4/2007, de 12 de abril”.</w:t>
      </w:r>
    </w:p>
    <w:p w:rsidR="005728DD" w:rsidRDefault="005728DD" w:rsidP="005728DD">
      <w:pPr>
        <w:pStyle w:val="TextoNormal"/>
      </w:pPr>
    </w:p>
    <w:p w:rsidR="005728DD" w:rsidRDefault="005728DD" w:rsidP="005728DD">
      <w:pPr>
        <w:pStyle w:val="TextoNormal"/>
      </w:pPr>
      <w:r>
        <w:t xml:space="preserve">(ii) Que los alumnos y sus familias, en cada caso, “son los que optan por acudir a la universidad privada” y estos lo hacen, bien porque “pudiendo acceder a la pública, optan libremente por otro modelo; bien porque no han alcanzado la nota de corte necesaria; bien por otros motivos personales; y, en todo caso, porque se está en disposición de costear los </w:t>
      </w:r>
      <w:r>
        <w:lastRenderedPageBreak/>
        <w:t>gastos que ello supone”. A juicio de esta parte, existen, pues, “razones objetivas que justifican que, al alumno que ha superado la nota de corte establecida y ha accedido a la universidad pública, se le pueda dar un trato diferenciado, respecto a aquel que no ha alcanzado esta nota”. Según refiere, los principios de igualdad, mérito y capacidad justifican este trato diferenciado.</w:t>
      </w:r>
    </w:p>
    <w:p w:rsidR="005728DD" w:rsidRDefault="005728DD" w:rsidP="005728DD">
      <w:pPr>
        <w:pStyle w:val="TextoNormal"/>
      </w:pPr>
    </w:p>
    <w:p w:rsidR="005728DD" w:rsidRDefault="005728DD" w:rsidP="005728DD">
      <w:pPr>
        <w:pStyle w:val="TextoNormal"/>
      </w:pPr>
      <w:r>
        <w:t>Además, la universidad pública “es la única que garantiza el acceso a todo tipo de alumnado, independientemente de sus condiciones económicas” y alude, al respecto, al contenido del art. 45.4 LOU, en relación con el art. 81 LOU, para señalar que son las comunidades autónomas “las que fijan los precios públicos de los estudios oficiales impartidos por las universidades públicas”, frente a las privadas, “en las que el coste […] lo establece libremente cada una de ellas, acorde con sus necesidades financieras y la oferta-demanda del mercado”. Tal circunstancia determina que, en las universidades privadas, al ser los precios libres, las becas estén desvinculadas del objeto y finalidad fijados en el citado art. 45.4 LOU.</w:t>
      </w:r>
    </w:p>
    <w:p w:rsidR="005728DD" w:rsidRDefault="005728DD" w:rsidP="005728DD">
      <w:pPr>
        <w:pStyle w:val="TextoNormal"/>
      </w:pPr>
    </w:p>
    <w:p w:rsidR="005728DD" w:rsidRDefault="005728DD" w:rsidP="005728DD">
      <w:pPr>
        <w:pStyle w:val="TextoNormal"/>
      </w:pPr>
      <w:r>
        <w:t>(iii) Que el alumnado de la universidad recurrente tiene también a su disposición un sistema de “becas complementarias”, que se suman al sistema básico de becas del Estado. Pues, en relación con las primeras, la propia Universidad San Vicente Mártir pone a disposición de su alumnado distintas becas y ayudas que, en el año 2016 y, según la propia web de esta universidad, estaban dotadas con un total de 5,4 millones de euros, que “complementan las becas del Estado” y que, “obviamente”, no están a disposición de los alumnos de las universidades públicas.</w:t>
      </w:r>
    </w:p>
    <w:p w:rsidR="005728DD" w:rsidRDefault="005728DD" w:rsidP="005728DD">
      <w:pPr>
        <w:pStyle w:val="TextoNormal"/>
      </w:pPr>
    </w:p>
    <w:p w:rsidR="005728DD" w:rsidRDefault="005728DD" w:rsidP="005728DD">
      <w:pPr>
        <w:pStyle w:val="TextoNormal"/>
      </w:pPr>
      <w:r>
        <w:t>(iv) Que, en la medida en que las tasas de acceso a la universidad privada son mucho mayores que las de las universidades públicas, es “evidente” que “quien opta por acudir a la universidad privada, sea por el motivo que sea, es porque dispone de recursos económicos para ello”. En el parecer del letrado de la Generalitat, el importe de las tasas puede ser determinante para la selección de sus estudios para un alumno de la universidad pública, mientras que para un alumno de la privada dicho importe no condiciona su opción a realizar unos determinados estudios, por lo que la eventual ayuda económica para su abono tampoco sería determinante para ello.</w:t>
      </w:r>
    </w:p>
    <w:p w:rsidR="005728DD" w:rsidRDefault="005728DD" w:rsidP="005728DD">
      <w:pPr>
        <w:pStyle w:val="TextoNormal"/>
      </w:pPr>
    </w:p>
    <w:p w:rsidR="005728DD" w:rsidRDefault="005728DD" w:rsidP="005728DD">
      <w:pPr>
        <w:pStyle w:val="TextoNormal"/>
      </w:pPr>
      <w:r>
        <w:t>e) Respecto de la queja por vulneración del derecho a la educación (art. 27 CE), el letrado de la Generalitat rechaza que el derecho a obtener una beca sea un elemento nuclear de aquel derecho fundamental y cita, al respecto, diferentes sentencias de este tribunal en apoyo de su tesis (SSTC 188/2001, de 20 de septiembre y 95/2016, de 12 de mayo). El derecho a la beca tiene, pues, una configuración legal “cuya materialización, además, requiere la aprobación de normas reglamentarias”. Menciona, también, las SSTC 86/1985, de 10 de julio, 214/1994, de 14 de julio y reitera la cita de la STC 188/2001.</w:t>
      </w:r>
    </w:p>
    <w:p w:rsidR="005728DD" w:rsidRDefault="005728DD" w:rsidP="005728DD">
      <w:pPr>
        <w:pStyle w:val="TextoNormal"/>
      </w:pPr>
    </w:p>
    <w:p w:rsidR="005728DD" w:rsidRDefault="005728DD" w:rsidP="005728DD">
      <w:pPr>
        <w:pStyle w:val="TextoNormal"/>
      </w:pPr>
      <w:r>
        <w:t>Insiste en que el sistema de becas es un elemento nuclear del sistema educativo, “dirigido a dotar de la máxima efectividad” a este derecho constitucional, pero no forma parte del contenido esencial del derecho fundamental a la educación (menciona, expresamente, diferentes pasajes de las SSTC 212/2005, de 21 de julio; 25/2015, de 19 de febrero, y la antes citada 95/2016).</w:t>
      </w:r>
    </w:p>
    <w:p w:rsidR="005728DD" w:rsidRDefault="005728DD" w:rsidP="005728DD">
      <w:pPr>
        <w:pStyle w:val="TextoNormal"/>
      </w:pPr>
    </w:p>
    <w:p w:rsidR="005728DD" w:rsidRDefault="005728DD" w:rsidP="005728DD">
      <w:pPr>
        <w:pStyle w:val="TextoNormal"/>
      </w:pPr>
      <w:r>
        <w:t xml:space="preserve">f) Por último, en relación con la denunciada vulneración del derecho a la libertad religiosa (art. 16 CE), la representación de la Generalitat señala que las órdenes prevén becas </w:t>
      </w:r>
      <w:r>
        <w:lastRenderedPageBreak/>
        <w:t>“para el alumnado matriculado en universidades públicas valencianas, y ello sin hacer expresa referencia a (la Universidad recurrente), ni a su alumnado, ni a su ideario católico (tampoco a ninguna otra universidad, ni a ningún otro ideario)”. Con apoyo en el auto de 22 de septiembre de 2017, confirmado por el de 13 de noviembre de 2017, que excluyó del conocimiento del recurso contencioso-administrativo la queja por infracción de este derecho fundamental, defiende la Generalitat que, “ni siquiera a nivel indiciario puede estimarse comprometido” este derecho porque, “en ningún momento, el carácter de (universidad) católica guarda relación alguna” con la decisión adoptada por la administración. Las becas a las que se refiere el recurso “de ningún modo inciden o afectan a la libertad ideológica y religiosa”, por lo que tampoco cabe apreciar lesión de este derecho fundamental.</w:t>
      </w:r>
    </w:p>
    <w:p w:rsidR="005728DD" w:rsidRDefault="005728DD" w:rsidP="005728DD">
      <w:pPr>
        <w:pStyle w:val="TextoNormal"/>
      </w:pPr>
    </w:p>
    <w:p w:rsidR="005728DD" w:rsidRDefault="005728DD" w:rsidP="005728DD">
      <w:pPr>
        <w:pStyle w:val="TextoNormal"/>
      </w:pPr>
      <w:r w:rsidRPr="005728DD">
        <w:rPr>
          <w:rStyle w:val="NumeroAFNegritaCaracter"/>
        </w:rPr>
        <w:t>8</w:t>
      </w:r>
      <w:r>
        <w:t>. En fecha 13 de mayo de 2021, tuvieron entrada en el registro de este tribunal las alegaciones del Ministerio Fiscal, en las que solicitó la estimación del recurso de amparo por entender que el art. 2 de la Orden 24/2017 y el art. 1.1 de la Orden 27/2017 han vulnerado el derecho fundamental de la demandante a la igualdad ante la ley (art. 14 CE), en relación con su derecho a la creación de centros docentes (art. 27.6 CE), así como el consiguiente restablecimiento en su derecho, mediante la nulidad de las citadas disposiciones.</w:t>
      </w:r>
    </w:p>
    <w:p w:rsidR="005728DD" w:rsidRDefault="005728DD" w:rsidP="005728DD">
      <w:pPr>
        <w:pStyle w:val="TextoNormal"/>
      </w:pPr>
    </w:p>
    <w:p w:rsidR="005728DD" w:rsidRDefault="005728DD" w:rsidP="005728DD">
      <w:pPr>
        <w:pStyle w:val="TextoNormal"/>
      </w:pPr>
      <w:r>
        <w:t>Los argumentos del Ministerio Fiscal quedan resumidos en los siguientes apartados:</w:t>
      </w:r>
    </w:p>
    <w:p w:rsidR="005728DD" w:rsidRDefault="005728DD" w:rsidP="005728DD">
      <w:pPr>
        <w:pStyle w:val="TextoNormal"/>
      </w:pPr>
    </w:p>
    <w:p w:rsidR="005728DD" w:rsidRDefault="005728DD" w:rsidP="005728DD">
      <w:pPr>
        <w:pStyle w:val="TextoNormal"/>
      </w:pPr>
      <w:r>
        <w:t>a) Primeramente, el fiscal, hace una detallada exposición de los antecedentes del recurso. Comienza su argumentación jurídica con la delimitación del objeto del mismo, señalando que son objeto de impugnación el art. 2 de la Orden 24/2017, y los arts. 1.1 y 2 de la Orden 27/2017, así como la sentencia de 8 de noviembre de 2018, dictada por la Sección Cuarta de la Sala de lo Contencioso-Administrativo del Tribunal Superior de Justicia de la Comunidad Valenciana, y las providencias de 13 de junio y de 16 de octubre de 2019, de la Sección Primera de la Sala de lo Contencioso-Administrativo del Tribunal Supremo.</w:t>
      </w:r>
    </w:p>
    <w:p w:rsidR="005728DD" w:rsidRDefault="005728DD" w:rsidP="005728DD">
      <w:pPr>
        <w:pStyle w:val="TextoNormal"/>
      </w:pPr>
    </w:p>
    <w:p w:rsidR="005728DD" w:rsidRDefault="005728DD" w:rsidP="005728DD">
      <w:pPr>
        <w:pStyle w:val="TextoNormal"/>
      </w:pPr>
      <w:r>
        <w:t>Igualmente, expone resumidamente las quejas formuladas en la demanda, que se refieren a las eventuales vulneraciones de los derechos a la igualdad ante la ley (art. 14 CE), a la libertad de enseñanza (art. 27 CE), a la libertad religiosa (art. 16 CE) y, por último, a la tutela judicial efectiva y a un proceso con todas las garantías (art. 24. 1 y 2 CE), que refiere exclusivamente a las resoluciones dictadas por el Tribunal Supremo.</w:t>
      </w:r>
    </w:p>
    <w:p w:rsidR="005728DD" w:rsidRDefault="005728DD" w:rsidP="005728DD">
      <w:pPr>
        <w:pStyle w:val="TextoNormal"/>
      </w:pPr>
    </w:p>
    <w:p w:rsidR="005728DD" w:rsidRDefault="005728DD" w:rsidP="005728DD">
      <w:pPr>
        <w:pStyle w:val="TextoNormal"/>
      </w:pPr>
      <w:r>
        <w:t>b) A continuación, realiza una serie de consideraciones previas al análisis de las cuestiones de fondo suscitadas por la demanda, señalando al respecto que, en lo que se refiere a las vulneraciones que la actora ha imputado al art. 2 de la Orden 24/2017 y a los arts. 1.1 y 2 de la Orden 27/2017, todas ellas se refieren a una misma lesión, la de la desigualdad de trato entre las universidades públicas y las privadas, si bien señala que la denuncia del art. 14 CE se expresa “de dos maneras distintas”: (i) como mera desigualdad “sobre la base de que la legislación básica del Estado no ampara una diferencia de trato entre unas y otras universidades”, y (ii) “con un discurso de discriminación por razones religiosas, al amparo de los arts. 16.1 y 27.1 CE, sobre la base de que la universidad recurrente ha sido discriminada, aún más que por su carácter de universidad privada, por su naturaleza de universidad privada de ideario católico”.</w:t>
      </w:r>
    </w:p>
    <w:p w:rsidR="005728DD" w:rsidRDefault="005728DD" w:rsidP="005728DD">
      <w:pPr>
        <w:pStyle w:val="TextoNormal"/>
      </w:pPr>
    </w:p>
    <w:p w:rsidR="005728DD" w:rsidRDefault="005728DD" w:rsidP="005728DD">
      <w:pPr>
        <w:pStyle w:val="TextoNormal"/>
      </w:pPr>
      <w:r>
        <w:t xml:space="preserve">Por su parte, respecto de las resoluciones judiciales dictadas por el Tribunal Supremo (providencias de 13 de junio y de 16 de octubre de 2019), destaca que se invoca por la </w:t>
      </w:r>
      <w:r>
        <w:lastRenderedPageBreak/>
        <w:t>demandante la vulneración de su derecho a la tutela judicial efectiva (art. 24.1 CE), en la medida en que aquellas le habrían privado de una sentencia sobre el fondo dictada en el trámite de casación, así como de su derecho a un proceso con todas las garantías (art. 24.2 CE), al habérsele impedido el acceso efectivo a una doble instancia judicial.</w:t>
      </w:r>
    </w:p>
    <w:p w:rsidR="005728DD" w:rsidRDefault="005728DD" w:rsidP="005728DD">
      <w:pPr>
        <w:pStyle w:val="TextoNormal"/>
      </w:pPr>
    </w:p>
    <w:p w:rsidR="005728DD" w:rsidRDefault="005728DD" w:rsidP="005728DD">
      <w:pPr>
        <w:pStyle w:val="TextoNormal"/>
      </w:pPr>
      <w:r>
        <w:t>Como segunda consideración previa, aborda el fiscal el orden de prelación de las quejas formuladas en la demanda, que identifica como recurso mixto, por alegar vulneraciones imputables a una actuación administrativa y a resoluciones judiciales. Por ello, con apoyo en los argumentos de que debe comenzarse por aquella de las pretensiones que pueda alcanzar la mayor retroacción, a fin de asegurar la más amplia tutela de los derechos fundamentales de la recurrente (STC 56/2019), considera que, en el caso de autos, procede comenzar el estudio por el análisis de la infracción del art. 14 CE, que es la que, además, supone la apreciación de la especial trascendencia constitucional de este recurso, para luego continuar, en su caso, con el resto de las invocadas por la parte.</w:t>
      </w:r>
    </w:p>
    <w:p w:rsidR="005728DD" w:rsidRDefault="005728DD" w:rsidP="005728DD">
      <w:pPr>
        <w:pStyle w:val="TextoNormal"/>
      </w:pPr>
    </w:p>
    <w:p w:rsidR="005728DD" w:rsidRDefault="005728DD" w:rsidP="005728DD">
      <w:pPr>
        <w:pStyle w:val="TextoNormal"/>
      </w:pPr>
      <w:r>
        <w:t xml:space="preserve">Como tercera consideración previa, el fiscal aborda el análisis de la legitimación </w:t>
      </w:r>
      <w:r w:rsidRPr="005728DD">
        <w:rPr>
          <w:i/>
        </w:rPr>
        <w:t>ad causam</w:t>
      </w:r>
      <w:r>
        <w:t xml:space="preserve"> de la Universidad Católica de Valencia San Vicente Mártir y llega a la conclusión de que, aunque el recurso de amparo está dirigido fundamentalmente a la defensa de un interés propio y no de un derecho ajeno, “eso no implica que carezca de legitimación quien posee un interés legítimo [art. 162.1 b) CE], concepto este último que no puede ser confundido con la posesión de la titularidad del derecho”. En consecuencia, entiende que la demandante tiene un interés legítimo propio, conectado con los derechos fundamentales que invoca, pues además de la imposibilidad de que los alumnos de las universidades privadas puedan acceder al sistema de las becas y el perjuicio que tal actuación administrativa les suponga, “puede constituir un elemento disuasorio para la matriculación de determinados estudiantes […], con el consiguiente perjuicio en el ámbito económico y la correlativa incertidumbre sobre su supervivencia futura, a cuya afectación habría que sumar, por no ser en absoluto desdeñable, la correlativa limitación de su libertad de enseñanza”. Además, agrega el fiscal que “no es descartable que una universidad privada pudiera actuar por sus alumnos, a tenor de que estos, más allá de ser meros receptores de la educación que se imparte, se integran en los organismos universitarios” (arts. 15.2 y 16.3 LOU).</w:t>
      </w:r>
    </w:p>
    <w:p w:rsidR="005728DD" w:rsidRDefault="005728DD" w:rsidP="005728DD">
      <w:pPr>
        <w:pStyle w:val="TextoNormal"/>
      </w:pPr>
    </w:p>
    <w:p w:rsidR="005728DD" w:rsidRDefault="005728DD" w:rsidP="005728DD">
      <w:pPr>
        <w:pStyle w:val="TextoNormal"/>
      </w:pPr>
      <w:r>
        <w:t>Finalmente, como cuarta cuestión previa, el fiscal aborda la problemática de si unas disposiciones reglamentarias como las órdenes 24/2017 y 27/2017 son susceptibles de recurso de amparo, pues el control de legalidad de aquellas corresponde a la jurisdicción contencioso-administrativa (art. 106 CE) y si el Tribunal Constitucional “carece de atribuciones para valorar en abstracto el ajuste constitucional de los reglamentos (art. 161 CE)”. Sin embargo, con apoyo en el art. 43 LOTC, entiende que tal afirmación “no ha de impedir que se entienda que […] los reglamentos son ‘disposiciones’ emanadas del poder público” y, por tanto, susceptibles de impugnación en amparo si se considera que el origen de la vulneración de los derechos fundamentales se localiza en aquellas. Por ello, con cita de las SSTC 57/2004, de 19 de abril, FJ 2; 192/1991, de 14 de octubre, FJ 2; 189/1987, de 24 de noviembre, FJ 3 y 141/1985, de 22 de octubre, FJ 2, llega a la conclusión de que sí es posible la impugnación en el caso de autos de las órdenes 24/2017 y 27/2017.</w:t>
      </w:r>
    </w:p>
    <w:p w:rsidR="005728DD" w:rsidRDefault="005728DD" w:rsidP="005728DD">
      <w:pPr>
        <w:pStyle w:val="TextoNormal"/>
      </w:pPr>
    </w:p>
    <w:p w:rsidR="005728DD" w:rsidRDefault="005728DD" w:rsidP="005728DD">
      <w:pPr>
        <w:pStyle w:val="TextoNormal"/>
      </w:pPr>
      <w:r>
        <w:t xml:space="preserve">c) Entrando en el análisis de la queja sobre el art. 14 CE, el Ministerio Fiscal resalta que la cuestión planteada en este recurso ya ha sido objeto de diversos pronunciamientos de este tribunal, con reseña expresa de las SSTC 191/2020, de 17 de diciembre; 19/2021, de 15 de </w:t>
      </w:r>
      <w:r>
        <w:lastRenderedPageBreak/>
        <w:t>febrero; 2/2021, de 25 de enero; 42/2021, de 3 de marzo, y 6/2021, de 25 de enero. Sobre esa base, considera que es de aplicación la doctrina establecida en los FFJJ 4 y 5 de la STC 191/2020. De esta forma, las disposiciones impugnadas “han introducido una diferencia entre las universidades del sistema […] valenciano que carece de la justificación objetiva y razonable que toda diferenciación normativa […] debe poseer para ser considerada legítima. Exclusión que, además, se proyecta sobre el artículo 27 CE, ya que afecta tanto al derecho de las universidades privadas a crear instituciones educativas (artículo 27.6 CE) como al derecho de los estudiantes a la educación (artículo 27.1 CE)”.</w:t>
      </w:r>
    </w:p>
    <w:p w:rsidR="005728DD" w:rsidRDefault="005728DD" w:rsidP="005728DD">
      <w:pPr>
        <w:pStyle w:val="TextoNormal"/>
      </w:pPr>
    </w:p>
    <w:p w:rsidR="005728DD" w:rsidRDefault="005728DD" w:rsidP="005728DD">
      <w:pPr>
        <w:pStyle w:val="TextoNormal"/>
      </w:pPr>
      <w:r w:rsidRPr="005728DD">
        <w:rPr>
          <w:rStyle w:val="NumeroAFNegritaCaracter"/>
        </w:rPr>
        <w:t>9</w:t>
      </w:r>
      <w:r>
        <w:t>. El día 20 de mayo de 2021, la Universidad San Vicente Mártir presentó sus alegaciones en el registro de este tribunal, en las que se ratifica en los argumentos expuestos en la demanda. Además, hace alusión a los pronunciamientos ya emitidos a través de las SSTC 191/2020, de 17 de diciembre; 2/2021, de 25 de enero; 6/2021, de 25 de enero; 19/2021, de 15 de febrero, y 42/2021, de 3 de marzo; que han resuelto otros asuntos análogos al presente. Se detiene especialmente en la STC 2/2021, dictada en el recurso de amparo núm. 6379-2019, porque tenía por objeto la Orden 23/2016, que versa sobre el mismo tipo becas que las contempladas en la Orden 24/2017, ahora impugnada. En consecuencia, entiende que este recurso debe ser resuelto en el mismo sentido.</w:t>
      </w:r>
    </w:p>
    <w:p w:rsidR="005728DD" w:rsidRDefault="005728DD" w:rsidP="005728DD">
      <w:pPr>
        <w:pStyle w:val="TextoNormal"/>
      </w:pPr>
    </w:p>
    <w:p w:rsidR="005728DD" w:rsidRDefault="005728DD" w:rsidP="005728DD">
      <w:pPr>
        <w:pStyle w:val="TextoNormal"/>
      </w:pPr>
      <w:r w:rsidRPr="005728DD">
        <w:rPr>
          <w:rStyle w:val="NumeroAFNegritaCaracter"/>
        </w:rPr>
        <w:t>10</w:t>
      </w:r>
      <w:r>
        <w:t>. En fecha 21 de mayo de 2021, la secretaria de justicia de la Sala Segunda dio por concluso el presente recurso, quedando pendiente para deliberación cuando por turno correspondiera.</w:t>
      </w:r>
    </w:p>
    <w:p w:rsidR="005728DD" w:rsidRDefault="005728DD" w:rsidP="005728DD">
      <w:pPr>
        <w:pStyle w:val="TextoNormal"/>
      </w:pPr>
    </w:p>
    <w:p w:rsidR="005728DD" w:rsidRDefault="005728DD" w:rsidP="005728DD">
      <w:pPr>
        <w:pStyle w:val="TextoNormal"/>
      </w:pPr>
      <w:r w:rsidRPr="005728DD">
        <w:rPr>
          <w:rStyle w:val="NumeroAFNegritaCaracter"/>
        </w:rPr>
        <w:t>11</w:t>
      </w:r>
      <w:r>
        <w:t>. Por providencia de 24 de junio de 2021, se señaló para deliberación y votación de la presente sentencia el día 29 del mismo mes y año.</w:t>
      </w:r>
    </w:p>
    <w:p w:rsidR="005728DD" w:rsidRDefault="005728DD" w:rsidP="005728DD">
      <w:pPr>
        <w:pStyle w:val="TextoNormal"/>
      </w:pPr>
    </w:p>
    <w:p w:rsidR="005728DD" w:rsidRDefault="005728DD" w:rsidP="005728DD">
      <w:pPr>
        <w:pStyle w:val="TextoNormalNegritaCentrado"/>
        <w:keepNext/>
      </w:pPr>
      <w:r>
        <w:t>II. Fundamentos jurídicos</w:t>
      </w:r>
    </w:p>
    <w:p w:rsidR="005728DD" w:rsidRDefault="005728DD" w:rsidP="005728DD">
      <w:pPr>
        <w:pStyle w:val="TextoNormalNegritaCentrado"/>
        <w:keepNext/>
      </w:pPr>
    </w:p>
    <w:p w:rsidR="005728DD" w:rsidRDefault="005728DD" w:rsidP="005728DD">
      <w:pPr>
        <w:pStyle w:val="TextoNormal"/>
      </w:pPr>
      <w:r w:rsidRPr="005728DD">
        <w:rPr>
          <w:rStyle w:val="NumeroAFNegritaCaracter"/>
        </w:rPr>
        <w:t>1</w:t>
      </w:r>
      <w:r>
        <w:t xml:space="preserve">. </w:t>
      </w:r>
      <w:r w:rsidRPr="005728DD">
        <w:rPr>
          <w:i/>
        </w:rPr>
        <w:t>Pretensiones de las partes</w:t>
      </w:r>
      <w:r>
        <w:t>.</w:t>
      </w:r>
    </w:p>
    <w:p w:rsidR="005728DD" w:rsidRDefault="005728DD" w:rsidP="005728DD">
      <w:pPr>
        <w:pStyle w:val="TextoNormal"/>
      </w:pPr>
    </w:p>
    <w:p w:rsidR="005728DD" w:rsidRDefault="005728DD" w:rsidP="005728DD">
      <w:pPr>
        <w:pStyle w:val="TextoNormal"/>
      </w:pPr>
      <w:r>
        <w:t>El presente recurso de amparo se dirige, de una parte, contra dos disposiciones generales administrativas, y, de otro lado, impugna también diversas resoluciones judiciales, alegando la vulneración autónoma de derechos fundamentales por parte de algunas de estas últimas.</w:t>
      </w:r>
    </w:p>
    <w:p w:rsidR="005728DD" w:rsidRDefault="005728DD" w:rsidP="005728DD">
      <w:pPr>
        <w:pStyle w:val="TextoNormal"/>
      </w:pPr>
    </w:p>
    <w:p w:rsidR="005728DD" w:rsidRDefault="005728DD" w:rsidP="005728DD">
      <w:pPr>
        <w:pStyle w:val="TextoNormal"/>
      </w:pPr>
      <w:r>
        <w:t xml:space="preserve">En efecto, primeramente, la demanda denuncia las infracciones del principio de igualdad ante la ley (art. 14 CE), del derecho a la libertad de enseñanza y educación (art. 27 CE) y de la libertad religiosa (art. 16 CE), que atribuye al art. 2 de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de la Comunitat Valenciana y de los centros adscritos al Instituto Superior de Enseñanzas Artísticas de la Comunitat Valenciana (ISEACV)”; y a los arts. 1.1 y 2 de la Orden 27/2017, de 3 de julio, de la Consellería de Educación, Investigación, Cultura y Deporte de la Generalitat Valenciana, “por la que se establecen las bases reguladoras de las ayudas para </w:t>
      </w:r>
      <w:r>
        <w:lastRenderedPageBreak/>
        <w:t>complementar las becas para la actividad de movilidad de estudiantes por estudios, del programa Erasmus+, pertenecientes a instituciones públicas de educación superior de la Comunitat Valenciana”.</w:t>
      </w:r>
    </w:p>
    <w:p w:rsidR="005728DD" w:rsidRDefault="005728DD" w:rsidP="005728DD">
      <w:pPr>
        <w:pStyle w:val="TextoNormal"/>
      </w:pPr>
    </w:p>
    <w:p w:rsidR="005728DD" w:rsidRDefault="005728DD" w:rsidP="005728DD">
      <w:pPr>
        <w:pStyle w:val="TextoNormal"/>
      </w:pPr>
      <w:r>
        <w:t xml:space="preserve">Asimismo, invoca la vulneración del derecho a la tutela judicial efectiva respecto de la sentencia núm. 441/2018, de 8 de noviembre, de la Sección Cuarta de la Sala de lo Contencioso-Administrativo del Tribunal Superior de Justicia de la Comunidad Valenciana, que desestimó el recurso contencioso-administrativo interpuesto por la ahora demandante de amparo contra las anteriores órdenes, por entender que esta carece de </w:t>
      </w:r>
      <w:r w:rsidRPr="005728DD">
        <w:rPr>
          <w:i/>
        </w:rPr>
        <w:t>legitimatio ad causam</w:t>
      </w:r>
      <w:r>
        <w:t xml:space="preserve"> para pretender la anulación de aquellas disposiciones.</w:t>
      </w:r>
    </w:p>
    <w:p w:rsidR="005728DD" w:rsidRDefault="005728DD" w:rsidP="005728DD">
      <w:pPr>
        <w:pStyle w:val="TextoNormal"/>
      </w:pPr>
    </w:p>
    <w:p w:rsidR="005728DD" w:rsidRDefault="005728DD" w:rsidP="005728DD">
      <w:pPr>
        <w:pStyle w:val="TextoNormal"/>
      </w:pPr>
      <w:r>
        <w:t>Por último, también dirige su queja, por eventual vulneración del derecho a la tutela judicial efectiva, que imputa directamente a las providencias de 13 de junio y de 16 de octubre de 2019, de la Sección Primera de la Sala de lo Contencioso-Administrativo del Tribunal Supremo, que, respectivamente, han inadmitido a trámite el recurso de casación preparado por la demandante contra la precedente sentencia, y el incidente extraordinario de nulidad de actuaciones, promovido contra esta última resolución.</w:t>
      </w:r>
    </w:p>
    <w:p w:rsidR="005728DD" w:rsidRDefault="005728DD" w:rsidP="005728DD">
      <w:pPr>
        <w:pStyle w:val="TextoNormal"/>
      </w:pPr>
    </w:p>
    <w:p w:rsidR="005728DD" w:rsidRDefault="005728DD" w:rsidP="005728DD">
      <w:pPr>
        <w:pStyle w:val="TextoNormal"/>
      </w:pPr>
      <w:r>
        <w:t>En el suplico de su demanda, la actora solicita la estimación del recurso por vulneración de los derechos fundamentales invocados y la nulidad de las disposiciones generales y de las resoluciones judiciales impugnadas.</w:t>
      </w:r>
    </w:p>
    <w:p w:rsidR="005728DD" w:rsidRDefault="005728DD" w:rsidP="005728DD">
      <w:pPr>
        <w:pStyle w:val="TextoNormal"/>
      </w:pPr>
    </w:p>
    <w:p w:rsidR="005728DD" w:rsidRDefault="005728DD" w:rsidP="005728DD">
      <w:pPr>
        <w:pStyle w:val="TextoNormal"/>
      </w:pPr>
      <w:r>
        <w:t>El Ministerio Fiscal solicita también la estimación del recurso y la anulación del art. 2 de la Orden 24/2017 y de los arts. 1.1 y 2 de la Orden 27/2017, por vulneración del principio de igualdad ante la ley (art. 14 CE), en relación con el derecho a la creación de centros docentes (art. 27.6 CE), sin que, a su criterio, merezca extender su argumentación al resto de vulneraciones de derechos fundamentales alegados.</w:t>
      </w:r>
    </w:p>
    <w:p w:rsidR="005728DD" w:rsidRDefault="005728DD" w:rsidP="005728DD">
      <w:pPr>
        <w:pStyle w:val="TextoNormal"/>
      </w:pPr>
    </w:p>
    <w:p w:rsidR="005728DD" w:rsidRDefault="005728DD" w:rsidP="005728DD">
      <w:pPr>
        <w:pStyle w:val="TextoNormal"/>
      </w:pPr>
      <w:r>
        <w:t>Por último, la representación de la Generalitat Valenciana solicita, por el contrario, la desestimación del recurso.</w:t>
      </w:r>
    </w:p>
    <w:p w:rsidR="005728DD" w:rsidRDefault="005728DD" w:rsidP="005728DD">
      <w:pPr>
        <w:pStyle w:val="TextoNormal"/>
      </w:pPr>
    </w:p>
    <w:p w:rsidR="005728DD" w:rsidRDefault="005728DD" w:rsidP="005728DD">
      <w:pPr>
        <w:pStyle w:val="TextoNormal"/>
      </w:pPr>
      <w:r w:rsidRPr="005728DD">
        <w:rPr>
          <w:rStyle w:val="NumeroAFNegritaCaracter"/>
        </w:rPr>
        <w:t>2</w:t>
      </w:r>
      <w:r>
        <w:t xml:space="preserve">. </w:t>
      </w:r>
      <w:r w:rsidRPr="005728DD">
        <w:rPr>
          <w:i/>
        </w:rPr>
        <w:t>Delimitación del objeto del recurso</w:t>
      </w:r>
      <w:r>
        <w:t>.</w:t>
      </w:r>
    </w:p>
    <w:p w:rsidR="005728DD" w:rsidRDefault="005728DD" w:rsidP="005728DD">
      <w:pPr>
        <w:pStyle w:val="TextoNormal"/>
      </w:pPr>
    </w:p>
    <w:p w:rsidR="005728DD" w:rsidRDefault="005728DD" w:rsidP="005728DD">
      <w:pPr>
        <w:pStyle w:val="TextoNormal"/>
      </w:pPr>
      <w:r>
        <w:t>A) Como ya hemos anticipado en el fundamento jurídico anterior, la demanda impugna actuaciones administrativas y resoluciones judiciales, por lo que, como bien dice el Ministerio Fiscal, tiene el carácter de recurso “mixto”. En tales situaciones, la doctrina de este tribunal (por todas, la STC 56/2019, de 6 de mayo, a cuyo fundamento jurídico 2 nos remitimos) ha declarado que el enjuiciamiento de este tipo de recursos debe atender, primeramente, al análisis de las quejas que conlleven la más amplia tutela de los derechos del recurrente y que supongan la mayor retroacción de las actuaciones, a lo que, además se une, en el caso presente, la lesión que ha reconocido especial trascendencia constitucional a este recurso de amparo, como es la denunciada vulneración del principio de igualdad ante la ley que, según alega la universidad recurrente, es originaria y directamente imputable a las órdenes 24/2017 y 27/2017 de la Generalitat Valenciana. Según se explica en la demanda, serían estas disposiciones generales las que habrían excluido a la entidad recurrente, en cuanto universidad de titularidad privada que es, de la convocatoria de becas y ayudas para sus estudiantes, sin que haya sido aportada ninguna justificación razonable.</w:t>
      </w:r>
    </w:p>
    <w:p w:rsidR="005728DD" w:rsidRDefault="005728DD" w:rsidP="005728DD">
      <w:pPr>
        <w:pStyle w:val="TextoNormal"/>
      </w:pPr>
    </w:p>
    <w:p w:rsidR="005728DD" w:rsidRDefault="005728DD" w:rsidP="005728DD">
      <w:pPr>
        <w:pStyle w:val="TextoNormal"/>
      </w:pPr>
      <w:r>
        <w:lastRenderedPageBreak/>
        <w:t>En consecuencia, comenzaremos el enjuiciamiento de las pretensiones de amparo de la demanda por la de la invocada infracción del derecho a la igualdad ante la ley, que la actora imputa, primera y directamente, a las órdenes 24/2017 y 27/2017 de la Generalitat Valenciana.</w:t>
      </w:r>
    </w:p>
    <w:p w:rsidR="005728DD" w:rsidRDefault="005728DD" w:rsidP="005728DD">
      <w:pPr>
        <w:pStyle w:val="TextoNormal"/>
      </w:pPr>
    </w:p>
    <w:p w:rsidR="005728DD" w:rsidRDefault="005728DD" w:rsidP="005728DD">
      <w:pPr>
        <w:pStyle w:val="TextoNormal"/>
      </w:pPr>
      <w:r>
        <w:t>B) A lo anterior, debemos añadir que la pretensión principal de la demandante de amparo, relativa a la denunciada vulneración del principio de igualdad ante la ley, presenta singularidades propias que es preciso poner de manifiesto para delimitar correctamente el objeto de este recurso, toda vez que, a diferencia de otras disposiciones generales de la Generalitat Valenciana sobre convocatorias de becas y ayudas al estudio, coetáneas a la ahora impugnada, la Orden 24/2017 presenta las siguientes características propias: (i) se dirige a un determinado sector del alumnado universitario, concretamente a los estudiantes de postgrado que hayan finalizado, “con excelencia académica”, sus estudios superiores o de enseñanzas artísticas en universidades públicas o en centros de titularidad pública adscritos al Instituto Superior de Enseñanzas Artísticas de la Comunidad Valenciana y deseen cursar estudios de formación o másteres afines a los estudios ya realizados; y (ii) que la eventual desigualdad de tratamiento, causada por la titularidad pública o privada del centro universitario, habría que localizarla, no en la institución universitaria en la que el solicitante de la beca fuera a realizar dichos estudios de postgrado, sino en la universidad o centro universitario de procedencia, en donde cursó los anteriores que sean afines a los que desee realizar.</w:t>
      </w:r>
    </w:p>
    <w:p w:rsidR="005728DD" w:rsidRDefault="005728DD" w:rsidP="005728DD">
      <w:pPr>
        <w:pStyle w:val="TextoNormal"/>
      </w:pPr>
    </w:p>
    <w:p w:rsidR="005728DD" w:rsidRDefault="005728DD" w:rsidP="005728DD">
      <w:pPr>
        <w:pStyle w:val="TextoNormal"/>
      </w:pPr>
      <w:r>
        <w:t>Es decir, según prescriben los arts. 1.1, 2 y 4.1 de la Orden 24/2017, que son los que delimitan los ámbitos objetivo y subjetivo de la convocatoria de ayudas al estudio que regula esta disposición, el posible factor discriminatorio de la titularidad pública o privada de la institución universitaria no tomaría como referencia el centro universitario de destino, en el que fuera a realizar sus estudios de postgrado el solicitante, sino en la universidad de procedencia, esto es, en la que hubiera finalizado sus estudios universitarios afines a los de postgrado que ahora pretenda realizar el solicitante de la beca.</w:t>
      </w:r>
    </w:p>
    <w:p w:rsidR="005728DD" w:rsidRDefault="005728DD" w:rsidP="005728DD">
      <w:pPr>
        <w:pStyle w:val="TextoNormal"/>
      </w:pPr>
    </w:p>
    <w:p w:rsidR="005728DD" w:rsidRDefault="005728DD" w:rsidP="005728DD">
      <w:pPr>
        <w:pStyle w:val="TextoNormal"/>
      </w:pPr>
      <w:r>
        <w:t>Por tanto, para enjuiciar la queja que denuncia la Universidad San Vicente Mártir, debe tenerse en cuenta que, a la hora de otorgar las ayudas al estudio, esta orden no distingue entre universidades públicas o privadas en que vayan a realizarse los estudios de postgrado, pues este no es el presupuesto indispensable para su concesión al solicitante, sino que lo que se tiene en cuenta es si el postulante de la beca proviene de un centro universitario público o privado de la Comunidad Valenciana. El art. 3.1 de la Orden 24/2017 dispone, al respecto, que “[l]a beca consistirá en la exención del pago de matrícula en un curso de formación o máster, afín a los estudios realizados por el alumnado, impartido en instituciones públicas o privadas, nacionales o internacionales”.</w:t>
      </w:r>
    </w:p>
    <w:p w:rsidR="005728DD" w:rsidRDefault="005728DD" w:rsidP="005728DD">
      <w:pPr>
        <w:pStyle w:val="TextoNormal"/>
      </w:pPr>
    </w:p>
    <w:p w:rsidR="005728DD" w:rsidRDefault="005728DD" w:rsidP="005728DD">
      <w:pPr>
        <w:pStyle w:val="TextoNormal"/>
      </w:pPr>
      <w:r>
        <w:t xml:space="preserve">En consecuencia, deben ser rechazados </w:t>
      </w:r>
      <w:r w:rsidRPr="005728DD">
        <w:rPr>
          <w:i/>
        </w:rPr>
        <w:t>ab initio</w:t>
      </w:r>
      <w:r>
        <w:t xml:space="preserve"> todos aquellos argumentos que se sustenten en un posible tratamiento discriminatorio que pudiera padecer la Universidad San Vicente Mártir por haber quedado excluida de la relación de centros universitarios que fueran a impartir formación superior complementaria o másteres a futuros alumnos, solicitantes de becas y ayudas económicas, que desearan matricularse en sus programas formativos, pues en tales casos, si la institución universitaria de procedencia era de titularidad pública, la Orden 24/2017 no impediría que aquellos pudieran matricularse en programas de postgrado de la universidad demandante.</w:t>
      </w:r>
    </w:p>
    <w:p w:rsidR="005728DD" w:rsidRDefault="005728DD" w:rsidP="005728DD">
      <w:pPr>
        <w:pStyle w:val="TextoNormal"/>
      </w:pPr>
    </w:p>
    <w:p w:rsidR="005728DD" w:rsidRDefault="005728DD" w:rsidP="005728DD">
      <w:pPr>
        <w:pStyle w:val="TextoNormal"/>
      </w:pPr>
      <w:r>
        <w:lastRenderedPageBreak/>
        <w:t>Otro tanto sucede, por motivos obvios, con los arts. 1.1, 2 y 3 de la Orden 27/2017, que regula las bases por las que han de regirse las convocatorias de ayudas para complementar las becas para la actividad de movilidad a fin de realizar estudios en “instituciones europeas de educación superior de otros países del programa Erasmus+”.</w:t>
      </w:r>
    </w:p>
    <w:p w:rsidR="005728DD" w:rsidRDefault="005728DD" w:rsidP="005728DD">
      <w:pPr>
        <w:pStyle w:val="TextoNormal"/>
      </w:pPr>
    </w:p>
    <w:p w:rsidR="005728DD" w:rsidRDefault="005728DD" w:rsidP="005728DD">
      <w:pPr>
        <w:pStyle w:val="TextoNormal"/>
      </w:pPr>
      <w:r>
        <w:t>C) Finalmente, para completar esta delimitación del objeto del recurso, deben:</w:t>
      </w:r>
    </w:p>
    <w:p w:rsidR="005728DD" w:rsidRDefault="005728DD" w:rsidP="005728DD">
      <w:pPr>
        <w:pStyle w:val="TextoNormal"/>
      </w:pPr>
    </w:p>
    <w:p w:rsidR="005728DD" w:rsidRDefault="005728DD" w:rsidP="005728DD">
      <w:pPr>
        <w:pStyle w:val="TextoNormal"/>
      </w:pPr>
      <w:r>
        <w:t>a) En primer lugar, quedar incluidos aquellos preceptos de la Orden 24/2017 que hagan referencia a la titularidad pública de las universidades valencianas. Por tanto, además de los artículos ya citados, la demanda alcanza a todos los que incluyan tal titularidad “pública” en sus contenidos. Tales son los casos del art. 6, que regula el “sistema de valoración” académica de los solicitantes de las becas, y del art. 7, que se refiere a la “comisión técnica” que cada universidad debe constituir para comprobar la excelencia académica y la afinidad de los estudios de postgrado que los solicitantes de la beca se propongan realizar.</w:t>
      </w:r>
    </w:p>
    <w:p w:rsidR="005728DD" w:rsidRDefault="005728DD" w:rsidP="005728DD">
      <w:pPr>
        <w:pStyle w:val="TextoNormal"/>
      </w:pPr>
    </w:p>
    <w:p w:rsidR="005728DD" w:rsidRDefault="005728DD" w:rsidP="005728DD">
      <w:pPr>
        <w:pStyle w:val="TextoNormal"/>
      </w:pPr>
      <w:r>
        <w:t>En el caso de la Orden 27/2017, quedaría incluido el art. 3, apartados 3 y 4, que regula los “requisitos” que habrían de reunir los beneficiarios, así como el art. 4.1, que desarrolla el procedimiento para las “solicitudes” de ayudas. En ambos casos, por su remisión al art. 1.1 de la misma disposición normativa.</w:t>
      </w:r>
    </w:p>
    <w:p w:rsidR="005728DD" w:rsidRDefault="005728DD" w:rsidP="005728DD">
      <w:pPr>
        <w:pStyle w:val="TextoNormal"/>
      </w:pPr>
    </w:p>
    <w:p w:rsidR="005728DD" w:rsidRDefault="005728DD" w:rsidP="005728DD">
      <w:pPr>
        <w:pStyle w:val="TextoNormal"/>
      </w:pPr>
      <w:r>
        <w:t>b) Y, en segundo término, deben, en cambio, quedar excluidos, por falta de carga argumental específica de impugnación en la demanda, los preceptos de las órdenes 24/2017 y 27/2017 que regulen las convocatorias de becas que se refieran a solicitantes que hayan finalizado sus estudios de enseñanzas artísticas superiores en los centros de titularidad pública adscritos al Instituto Superior de Enseñanzas Artísticas de la Comunidad Valenciana, dado que este tipo de enseñanzas superiores posee una normativa propia (las enseñanzas artísticas superiores tienen su régimen jurídico específico, previsto en la Ley 8/2007, de 2 de marzo de la Comunidad Valenciana y en las normas reglamentarias de desarrollo), a las que no se ha referido la demanda para justificar una eventual discriminación de trato.</w:t>
      </w:r>
    </w:p>
    <w:p w:rsidR="005728DD" w:rsidRDefault="005728DD" w:rsidP="005728DD">
      <w:pPr>
        <w:pStyle w:val="TextoNormal"/>
      </w:pPr>
    </w:p>
    <w:p w:rsidR="005728DD" w:rsidRDefault="005728DD" w:rsidP="005728DD">
      <w:pPr>
        <w:pStyle w:val="TextoNormal"/>
      </w:pPr>
      <w:r w:rsidRPr="005728DD">
        <w:rPr>
          <w:rStyle w:val="NumeroAFNegritaCaracter"/>
        </w:rPr>
        <w:t>3</w:t>
      </w:r>
      <w:r>
        <w:t xml:space="preserve">. </w:t>
      </w:r>
      <w:r w:rsidRPr="005728DD">
        <w:rPr>
          <w:i/>
        </w:rPr>
        <w:t>Doctrina establecida por la STC 191/2020, de 17 de diciembre</w:t>
      </w:r>
      <w:r>
        <w:t>.</w:t>
      </w:r>
    </w:p>
    <w:p w:rsidR="005728DD" w:rsidRDefault="005728DD" w:rsidP="005728DD">
      <w:pPr>
        <w:pStyle w:val="TextoNormal"/>
      </w:pPr>
    </w:p>
    <w:p w:rsidR="005728DD" w:rsidRDefault="005728DD" w:rsidP="005728DD">
      <w:pPr>
        <w:pStyle w:val="TextoNormal"/>
      </w:pPr>
      <w:r>
        <w:t>A) Recientemente, el Pleno de este tribunal ha dictado la STC 191/2020, de 17 de diciembre, que ha resuelto el recurso de amparo núm. 5099-2018, promovido por la Universidad Católica de Valencia San Vicente Mártir, contra otra orden (la Orden 21/2016, de 10 de junio), de la Consellería de Educación, Investigación, Cultura y Deporte, de la Comunidad Autónoma Valenciana por la que, al igual que en el presente supuesto, se establecían las bases reguladoras para la concesión de becas al alumnado de las universidades de la Comunidad Valenciana. Igualmente, aquel recurso de amparo iba, como el presente, dirigido contra una sentencia (en aquel caso, la sentencia de 31 de mayo de 2017), dictada por la Sección Quinta de la Sala de lo Contencioso-Administrativo del Tribunal Superior de Justicia de la Comunidad Valenciana, en un procedimiento de protección de derechos fundamentales, así como contra dos providencias de la Sala de lo Contencioso-Administrativo del Tribunal Supremo, que, respectivamente, habían inadmitido a trámite el recurso de casación y el incidente de nulidad de actuaciones opuesto por la ahora demandante contra esta última.</w:t>
      </w:r>
    </w:p>
    <w:p w:rsidR="005728DD" w:rsidRDefault="005728DD" w:rsidP="005728DD">
      <w:pPr>
        <w:pStyle w:val="TextoNormal"/>
      </w:pPr>
    </w:p>
    <w:p w:rsidR="005728DD" w:rsidRDefault="005728DD" w:rsidP="005728DD">
      <w:pPr>
        <w:pStyle w:val="TextoNormal"/>
      </w:pPr>
      <w:r>
        <w:lastRenderedPageBreak/>
        <w:t>En el anterior recurso de amparo, al igual que en el presente, la misma demandante invocaba la vulneración de sus derechos fundamentales a la igualdad ante la ley, a la libertad religiosa y a la educación (arts. 14, 16 y 27 CE, respectivamente), que imputaba a la orden de la Consellería de referencia, así como a las resoluciones judiciales sucesivas, que no habrían subsanado estas vulneraciones, incurriendo, además, en la infracción del derecho de la universidad recurrente a la tutela judicial efectiva (artículo 24.1 CE).</w:t>
      </w:r>
    </w:p>
    <w:p w:rsidR="005728DD" w:rsidRDefault="005728DD" w:rsidP="005728DD">
      <w:pPr>
        <w:pStyle w:val="TextoNormal"/>
      </w:pPr>
    </w:p>
    <w:p w:rsidR="005728DD" w:rsidRDefault="005728DD" w:rsidP="005728DD">
      <w:pPr>
        <w:pStyle w:val="TextoNormal"/>
      </w:pPr>
      <w:r>
        <w:t>En consecuencia y para la resolución de este recurso de amparo, será de aplicación lo declarado y dispuesto en la anterior sentencia del Pleno de este tribunal.</w:t>
      </w:r>
    </w:p>
    <w:p w:rsidR="005728DD" w:rsidRDefault="005728DD" w:rsidP="005728DD">
      <w:pPr>
        <w:pStyle w:val="TextoNormal"/>
      </w:pPr>
    </w:p>
    <w:p w:rsidR="005728DD" w:rsidRDefault="005728DD" w:rsidP="005728DD">
      <w:pPr>
        <w:pStyle w:val="TextoNormal"/>
      </w:pPr>
      <w:r>
        <w:t>B) A semejanza del precedente citado, se suscitan una serie de cuestiones previas que la STC 191/2020, de 17 de diciembre ha resuelto:</w:t>
      </w:r>
    </w:p>
    <w:p w:rsidR="005728DD" w:rsidRDefault="005728DD" w:rsidP="005728DD">
      <w:pPr>
        <w:pStyle w:val="TextoNormal"/>
      </w:pPr>
    </w:p>
    <w:p w:rsidR="005728DD" w:rsidRDefault="005728DD" w:rsidP="005728DD">
      <w:pPr>
        <w:pStyle w:val="TextoNormal"/>
      </w:pPr>
      <w:r>
        <w:t xml:space="preserve">a) En primer lugar, por lo que atañe a la legitimación </w:t>
      </w:r>
      <w:r w:rsidRPr="005728DD">
        <w:rPr>
          <w:i/>
        </w:rPr>
        <w:t>ad causam</w:t>
      </w:r>
      <w:r>
        <w:t>, aceptada por el Ministerio Fiscal pero objetada por el letrado de la comunidad autónoma, debemos ahora reconocerla a la recurrente, como así lo ha hecho este tribunal en la citada STC 191/2020.</w:t>
      </w:r>
    </w:p>
    <w:p w:rsidR="005728DD" w:rsidRDefault="005728DD" w:rsidP="005728DD">
      <w:pPr>
        <w:pStyle w:val="TextoNormal"/>
      </w:pPr>
    </w:p>
    <w:p w:rsidR="005728DD" w:rsidRDefault="005728DD" w:rsidP="005728DD">
      <w:pPr>
        <w:pStyle w:val="TextoNormal"/>
      </w:pPr>
      <w:r>
        <w:t>El Tribunal ha declarado:</w:t>
      </w:r>
    </w:p>
    <w:p w:rsidR="005728DD" w:rsidRDefault="005728DD" w:rsidP="005728DD">
      <w:pPr>
        <w:pStyle w:val="TextoNormal"/>
      </w:pPr>
    </w:p>
    <w:p w:rsidR="005728DD" w:rsidRDefault="005728DD" w:rsidP="005728DD">
      <w:pPr>
        <w:pStyle w:val="TextoNormal"/>
      </w:pPr>
      <w:r>
        <w:t>“Es cierto que el objeto de la orden es el de establecer las bases por las que han de regirse las convocatorias de becas para la realización de estudios universitarios en las universidades que integran el sistema universitario valenciano, y que los destinatarios de las becas son los alumnos, no las universidades. Pero ello no nos puede llevar a la conclusión de que, como afirma el letrado de la Generalitat, la universidad no es titular de los derechos alegados. Si bien los destinatarios de las becas son los alumnos, se produce la exclusión, en la orden, tanto de los estudiantes como de los estudios de las universidades privadas, y no son sino estudiantes y estudios los que conforman dicha universidad. La desigualdad, justificada o no, se refiere en última instancia a la universidad privada, creada conforme al artículo 27.6 CE. Atendiendo a la queja de la vulneración del artículo 14 CE ha de tenerse en cuenta que la causa de la exclusión del sistema de becas radica en este caso concreto en que estudios y estudiantes lo sea exclusivamente, de la universidad privada.</w:t>
      </w:r>
    </w:p>
    <w:p w:rsidR="005728DD" w:rsidRDefault="005728DD" w:rsidP="005728DD">
      <w:pPr>
        <w:pStyle w:val="TextoNormal"/>
      </w:pPr>
    </w:p>
    <w:p w:rsidR="005728DD" w:rsidRDefault="005728DD" w:rsidP="005728DD">
      <w:pPr>
        <w:pStyle w:val="TextoNormal"/>
      </w:pPr>
      <w:r>
        <w:t>En definitiva, la exclusión de los estudiantes de las universidades privadas del régimen de becas previsto en la orden concierne, tanto al derecho del titular de la universidad a crear instituciones educativas (artículo 27.6 CE), como al de los estudiantes matriculados en dicha universidad (artículo 27.5 CE). Naturalmente, en este proceso corresponde determinar únicamente si el primero ha sido vulnerado; sin perder de vista que ambos están en ‘interacción’ (en un sentido similar, STC 74/2018, de 5 de julio, FJ 5, en un recurso de amparo en que recurre una asociación de padres las ayudas destinadas a un centro docente)” [FJ 2 a)].</w:t>
      </w:r>
    </w:p>
    <w:p w:rsidR="005728DD" w:rsidRDefault="005728DD" w:rsidP="005728DD">
      <w:pPr>
        <w:pStyle w:val="TextoNormal"/>
      </w:pPr>
    </w:p>
    <w:p w:rsidR="005728DD" w:rsidRDefault="005728DD" w:rsidP="005728DD">
      <w:pPr>
        <w:pStyle w:val="TextoNormal"/>
      </w:pPr>
      <w:r>
        <w:t xml:space="preserve">En el caso de autos, como bien dice el Ministerio Fiscal, la universidad demandante tiene un “interés legítimo propio, conectado con los derechos fundamentales que invoca”. En primer lugar, por el efecto desalentador que, para los estudiantes, pueda suponer la imposibilidad de obtener una beca para cursar estudios de postgrado o participar en un programa de intercambio, al ser rechazado únicamente por la razón de haber realizado o estar realizando los estudios en una universidad privada. En segundo lugar, porque, además, la propia universidad recurrente queda excluida de una vía de financiación de sus actividades, como es la procedente de las ayudas económicas que reciban sus posibles alumnos para sufragar sus </w:t>
      </w:r>
      <w:r>
        <w:lastRenderedPageBreak/>
        <w:t>estudios. En el caso concreto de la Orden 24/2017, la beca eventualmente concedida permitiría cubrir el total importe de la matrícula de postgrado que fuera a cursar el alumno en la universidad San Vicente Mártir, toda vez que la citada beca consiste “en la exención del pago de matrícula en un curso de formación o máster, afín a los estudios realizados por el alumno […]” (art. 3.1 de la Orden 24/2017). En el caso de la Orden 27/2017, no se trataría propiamente de una fuente de financiación, sino de que la universidad recurrente quedaría excluida de su condición de “gestora de las becas Erasmus+”, según se deduce de lo dispuesto en el art. 4.1,</w:t>
      </w:r>
      <w:r w:rsidRPr="005728DD">
        <w:rPr>
          <w:i/>
        </w:rPr>
        <w:t xml:space="preserve"> sensu contrari</w:t>
      </w:r>
      <w:r>
        <w:t>o.</w:t>
      </w:r>
    </w:p>
    <w:p w:rsidR="005728DD" w:rsidRDefault="005728DD" w:rsidP="005728DD">
      <w:pPr>
        <w:pStyle w:val="TextoNormal"/>
      </w:pPr>
    </w:p>
    <w:p w:rsidR="005728DD" w:rsidRDefault="005728DD" w:rsidP="005728DD">
      <w:pPr>
        <w:pStyle w:val="TextoNormal"/>
      </w:pPr>
      <w:r>
        <w:t>b) Una segunda cuestión previa, a la que también se ha referido el Ministerio Fiscal en sus alegaciones, es la posibilidad de que, por la vía del recurso de amparo, puedan ser impugnadas directamente unas disposiciones generales como son las órdenes 24/2017 y 27/2017.</w:t>
      </w:r>
    </w:p>
    <w:p w:rsidR="005728DD" w:rsidRDefault="005728DD" w:rsidP="005728DD">
      <w:pPr>
        <w:pStyle w:val="TextoNormal"/>
      </w:pPr>
    </w:p>
    <w:p w:rsidR="005728DD" w:rsidRDefault="005728DD" w:rsidP="005728DD">
      <w:pPr>
        <w:pStyle w:val="TextoNormal"/>
      </w:pPr>
      <w:r>
        <w:t>La STC 191/2020, de reiterada cita, ha declarado al respecto:</w:t>
      </w:r>
    </w:p>
    <w:p w:rsidR="005728DD" w:rsidRDefault="005728DD" w:rsidP="005728DD">
      <w:pPr>
        <w:pStyle w:val="TextoNormal"/>
      </w:pPr>
    </w:p>
    <w:p w:rsidR="005728DD" w:rsidRDefault="005728DD" w:rsidP="005728DD">
      <w:pPr>
        <w:pStyle w:val="TextoNormal"/>
      </w:pPr>
      <w:r>
        <w:t>“En relación con la posibilidad de impugnar directamente en amparo una disposición de carácter general debe afirmarse, de acuerdo con lo manifestado por el Ministerio Fiscal, que en casos como el que ahora se analiza, este tribunal ha admitido esta impugnación directa. Ya en la STC 9/1986, de 21 de enero, FJ 1, a la vista de la impugnación en amparo de una disposición de carácter general, dijimos que ‘la índole simplemente impeditiva de la disposición atacada permite imputarle directamente, sin necesidad de acto alguno de aplicación, la lesión que se pretende haber sufrido’. Este criterio se ha reiterado posteriormente, por ejemplo, en la STC 121/1997, de 1 de julio, FJ 5, donde afirmamos que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Criterio reiterado en la STC 57/2004, de 19 de abril, FJ 2” [FJ 2 b)].</w:t>
      </w:r>
    </w:p>
    <w:p w:rsidR="005728DD" w:rsidRDefault="005728DD" w:rsidP="005728DD">
      <w:pPr>
        <w:pStyle w:val="TextoNormal"/>
      </w:pPr>
    </w:p>
    <w:p w:rsidR="005728DD" w:rsidRDefault="005728DD" w:rsidP="005728DD">
      <w:pPr>
        <w:pStyle w:val="TextoNormal"/>
      </w:pPr>
      <w:r>
        <w:t>Al igual que en el precedente citado, la exclusión de los estudiantes que aspiren a la obtención de las becas o de las ayudas complementarias a las que se refieren las órdenes 24/2017 y 27/2017, deriva directamente de las propias disposiciones generales de referencia. Así se deduce de lo establecido en los arts. 2 a) y 4.1 a) de la Orden 24/2017, y en los arts. 2, 3.3 y 3.4 de la Orden 27/2017, relativos a los beneficiarios y a los requisitos exigidos. Estos preceptos excluyen del acceso a las becas y ayudas a los estudiantes que hayan cursado o estén cursando sus estudios en un centro universitario que no pertenezca a alguna de las universidades públicas o centros de titularidad pública de la Comunidad Valenciana.</w:t>
      </w:r>
    </w:p>
    <w:p w:rsidR="005728DD" w:rsidRDefault="005728DD" w:rsidP="005728DD">
      <w:pPr>
        <w:pStyle w:val="TextoNormal"/>
      </w:pPr>
    </w:p>
    <w:p w:rsidR="005728DD" w:rsidRDefault="005728DD" w:rsidP="005728DD">
      <w:pPr>
        <w:pStyle w:val="TextoNormal"/>
      </w:pPr>
      <w:r>
        <w:t>C) Como en la STC 191/2020, la demanda de amparo alega, entre las razones esgrimidas para fundamentar el recurso de amparo y para sustentar la vulneración de los artículos 14 y 27 CE, que la universidad creada de acuerdo con el artículo 27.6 CE lo ha sido en régimen de igualdad conforme a la legislación vigente y que las órdenes establecen una desigualdad de trato contraria a lo dispuesto en la legislación básica.</w:t>
      </w:r>
    </w:p>
    <w:p w:rsidR="005728DD" w:rsidRDefault="005728DD" w:rsidP="005728DD">
      <w:pPr>
        <w:pStyle w:val="TextoNormal"/>
      </w:pPr>
    </w:p>
    <w:p w:rsidR="005728DD" w:rsidRDefault="005728DD" w:rsidP="005728DD">
      <w:pPr>
        <w:pStyle w:val="TextoNormal"/>
      </w:pPr>
      <w:r>
        <w:lastRenderedPageBreak/>
        <w:t>Por ello, es de aplicación al presente recurso la doctrina establecida en la citada STC 191/2020, que, en síntesis, reproducimos a continuación:</w:t>
      </w:r>
    </w:p>
    <w:p w:rsidR="005728DD" w:rsidRDefault="005728DD" w:rsidP="005728DD">
      <w:pPr>
        <w:pStyle w:val="TextoNormal"/>
      </w:pPr>
    </w:p>
    <w:p w:rsidR="005728DD" w:rsidRDefault="005728DD" w:rsidP="005728DD">
      <w:pPr>
        <w:pStyle w:val="TextoNormal"/>
      </w:pPr>
      <w:r>
        <w:t>a) La vulneración alegada del art. 14 CE se refiere a una concreta regulación del sistema de becas y ayudas para la realización de estudios universitarios, de tal manera que “habremos de examinar si, como consecuencia de dicha medida normativa, se ha introducido una diferencia de trato entre las universidades públicas y privadas; si las situaciones que se traen a comparación en el presente recurso de amparo pueden considerarse iguales y, en caso de que así sea, debemos examinar las razones alegadas por la administración para justificar la diferencia de trato y determinar si impiden apreciar la vulneración del citado precepto constitucional (en este sentido, STC 5/2007, de 15 de enero, FJ 3). Además, para atender a la justificación de la diferenciación, hemos de tener en cuenta su proyección en el derecho a la educación” (STC 191/2020, FJ 5).</w:t>
      </w:r>
    </w:p>
    <w:p w:rsidR="005728DD" w:rsidRDefault="005728DD" w:rsidP="005728DD">
      <w:pPr>
        <w:pStyle w:val="TextoNormal"/>
      </w:pPr>
    </w:p>
    <w:p w:rsidR="005728DD" w:rsidRDefault="005728DD" w:rsidP="005728DD">
      <w:pPr>
        <w:pStyle w:val="TextoNormal"/>
      </w:pPr>
      <w:r>
        <w:t>Pues bien, en relación con este aspecto, la demanda aparece dirigida contra la totalidad de las órdenes 24/2017 y 27/2017. No obstante, en relación con la Orden 24/2017, la impugnación se centra, principalmente, en el art. 2 que establece las “personas beneficiarias” de las becas para la promoción de la excelencia académica, y que en su apartado a) se limitan al “alumnado que haya finalizado sus estudios de grado en las universidades públicas de la Comunitat Valenciana y centros públicos adscritos a las mismas”. Igualmente, como hemos anticipado, la impugnación, por discriminatoria, afectaría también a los preceptos de la Orden 24/2017, que aludan a la titularidad “</w:t>
      </w:r>
      <w:r w:rsidRPr="005728DD">
        <w:rPr>
          <w:i/>
        </w:rPr>
        <w:t>pública</w:t>
      </w:r>
      <w:r>
        <w:t>” de las universidades. Más en concreto, los arts. 1.1 (objeto y financiación), 4.1 a) (requisitos de las personas beneficiarias), 6.1 (sistema de valoración) y 7 (comisión técnica) de la citada orden. En el caso de la Orden 27/2017, la demanda se centra en los arts. 1.1 (objeto y financiación) y 2 (beneficiarios), pero la lesión también sería imputable, como ya se anticipó, al art. 3, apartados 3 y 4 (requisitos), y al art. 4.1 (solicitudes), por su remisión al art. 1.1 de la citada orden, en el que se alude a las universidades “</w:t>
      </w:r>
      <w:r w:rsidRPr="005728DD">
        <w:rPr>
          <w:i/>
        </w:rPr>
        <w:t>públicas</w:t>
      </w:r>
      <w:r>
        <w:t>” y a los centros “públicos”.</w:t>
      </w:r>
    </w:p>
    <w:p w:rsidR="005728DD" w:rsidRDefault="005728DD" w:rsidP="005728DD">
      <w:pPr>
        <w:pStyle w:val="TextoNormal"/>
      </w:pPr>
    </w:p>
    <w:p w:rsidR="005728DD" w:rsidRDefault="005728DD" w:rsidP="005728DD">
      <w:pPr>
        <w:pStyle w:val="TextoNormal"/>
      </w:pPr>
      <w:r>
        <w:t xml:space="preserve">De la aplicación de todos estos preceptos se deriva, pues, que los únicos beneficiarios de dicho sistema son los alumnos que hayan cursado o estén cursando sus estudios universitarios en centros de titularidad pública o adscritos a las universidades públicas de la Comunidad Valenciana, quedando excluidos, a </w:t>
      </w:r>
      <w:r w:rsidRPr="005728DD">
        <w:rPr>
          <w:i/>
        </w:rPr>
        <w:t>sensu contrario</w:t>
      </w:r>
      <w:r>
        <w:t>, los que hayan cursado o estén cursando tales estudios en universidades privadas.</w:t>
      </w:r>
    </w:p>
    <w:p w:rsidR="005728DD" w:rsidRDefault="005728DD" w:rsidP="005728DD">
      <w:pPr>
        <w:pStyle w:val="TextoNormal"/>
      </w:pPr>
    </w:p>
    <w:p w:rsidR="005728DD" w:rsidRDefault="005728DD" w:rsidP="005728DD">
      <w:pPr>
        <w:pStyle w:val="TextoNormal"/>
      </w:pPr>
      <w:r>
        <w:t>b) “Afirmada, [por tanto] la diferencia de trato entre las universidades públicas y privadas, por la exclusión de las becas reguladas en la orden de los alumnos y de las enseñanzas de las universidades privadas, en este caso concreto, hay un término de comparación válido, tal y como aduce el Ministerio Fiscal” [STC 191/2020, FJ 5, b)].</w:t>
      </w:r>
    </w:p>
    <w:p w:rsidR="005728DD" w:rsidRDefault="005728DD" w:rsidP="005728DD">
      <w:pPr>
        <w:pStyle w:val="TextoNormal"/>
      </w:pPr>
    </w:p>
    <w:p w:rsidR="005728DD" w:rsidRDefault="005728DD" w:rsidP="005728DD">
      <w:pPr>
        <w:pStyle w:val="TextoNormal"/>
      </w:pPr>
      <w:r>
        <w:t>Varias son las razones que, según la repetida STC 191/2020, sirven de fundamento a este término de comparación válido:</w:t>
      </w:r>
    </w:p>
    <w:p w:rsidR="005728DD" w:rsidRDefault="005728DD" w:rsidP="005728DD">
      <w:pPr>
        <w:pStyle w:val="TextoNormal"/>
      </w:pPr>
    </w:p>
    <w:p w:rsidR="005728DD" w:rsidRDefault="005728DD" w:rsidP="005728DD">
      <w:pPr>
        <w:pStyle w:val="TextoNormal"/>
      </w:pPr>
      <w:r>
        <w:t xml:space="preserve">(i) «En primer lugar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w:t>
      </w:r>
      <w:r>
        <w:lastRenderedPageBreak/>
        <w:t>(artículo 1.1 LOU). Por su parte, el artículo 2 de la Ley 4/2007, de 9 de febrero, de coordinación del sistema universitario valenciano, determina que este está formado por las universidades de titularidad pública y las de titularidad privada, entre las que se encuentra la Universidad Católica de Valencia San Vicente Mártir [artículo 2.1 b) de la ley], ahora recurrente en amparo.</w:t>
      </w:r>
    </w:p>
    <w:p w:rsidR="005728DD" w:rsidRDefault="005728DD" w:rsidP="005728DD">
      <w:pPr>
        <w:pStyle w:val="TextoNormal"/>
      </w:pPr>
    </w:p>
    <w:p w:rsidR="005728DD" w:rsidRDefault="005728DD" w:rsidP="005728DD">
      <w:pPr>
        <w:pStyle w:val="TextoNormal"/>
      </w:pPr>
      <w:r>
        <w:t>Al respecto, este tribunal ha afirmado que “todas las universidades sin distinción, también por tanto las de titularidad privada (artículo 3.2 LOU), realizan un ‘servicio público de educación superior’ a través de las funciones que les asigna la Ley Orgánica de Universidades en su artículo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artículo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(artículo 4.4 LOU)’” (entre otras, SSTC 176/2015, de 22 de julio, FJ 2, y 74/2019, de 22 de mayo, FJ 4).</w:t>
      </w:r>
    </w:p>
    <w:p w:rsidR="005728DD" w:rsidRDefault="005728DD" w:rsidP="005728DD">
      <w:pPr>
        <w:pStyle w:val="TextoNormal"/>
      </w:pPr>
    </w:p>
    <w:p w:rsidR="005728DD" w:rsidRDefault="005728DD" w:rsidP="005728DD">
      <w:pPr>
        <w:pStyle w:val="TextoNormal"/>
      </w:pPr>
      <w:r>
        <w:t>A ello ha de añadirse, como indica el Ministerio Fiscal, que las universidades públicas y privadas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(Real Decreto 1393/2007, de 29 de octubre, por el que se establece la ordenación de las enseñanzas universitarias oficiales); y el acceso a las universidades, tanto públicas como privadas, tiene una base común (Real Decreto 412/2014, de 6 de junio, por el que se establece la normativa básica de los procedimientos de admisión a las enseñanzas universitarias oficiales de grado)» [FJ 5 b)].</w:t>
      </w:r>
    </w:p>
    <w:p w:rsidR="005728DD" w:rsidRDefault="005728DD" w:rsidP="005728DD">
      <w:pPr>
        <w:pStyle w:val="TextoNormal"/>
      </w:pPr>
    </w:p>
    <w:p w:rsidR="005728DD" w:rsidRDefault="005728DD" w:rsidP="005728DD">
      <w:pPr>
        <w:pStyle w:val="TextoNormal"/>
      </w:pPr>
      <w:r>
        <w:t>(ii) “La legislación orgánica, a la hora de configurar las becas y ayudas al estudio (artículo 45 LOU) no ha establecido distinción entre los alumnos matriculados en las universidades públicas y privadas ni en relación con las enseñanzas que imparten las mismas.</w:t>
      </w:r>
    </w:p>
    <w:p w:rsidR="005728DD" w:rsidRDefault="005728DD" w:rsidP="005728DD">
      <w:pPr>
        <w:pStyle w:val="TextoNormal"/>
      </w:pPr>
    </w:p>
    <w:p w:rsidR="005728DD" w:rsidRDefault="005728DD" w:rsidP="005728DD">
      <w:pPr>
        <w:pStyle w:val="TextoNormal"/>
      </w:pPr>
      <w:r>
        <w:t>Así, se dispone que el objetivo del sistema general de becas y ayudas al estudio es garantizar las condiciones de igualdad en el ejercicio del derecho a la educación (artículo 45.1 LOU); y que el desarrollo de dicho sistema corresponde a las comunidades autónomas (artículo 45.2 LOU). Además, en el apartado 4 del artículo 45 LOU se determina, sin distinción entre los estudios en las universidades públicas y privadas, que, con objeto de que nadie quede excluido del estudio en la universidad por razones económicas, el Gobierno y las comunidades autónomas, así como las propias universidades, instrumentarán una política de becas, ayudas y créditos para el alumnado” [FJ 5 b)].</w:t>
      </w:r>
    </w:p>
    <w:p w:rsidR="005728DD" w:rsidRDefault="005728DD" w:rsidP="005728DD">
      <w:pPr>
        <w:pStyle w:val="TextoNormal"/>
      </w:pPr>
    </w:p>
    <w:p w:rsidR="005728DD" w:rsidRDefault="005728DD" w:rsidP="005728DD">
      <w:pPr>
        <w:pStyle w:val="TextoNormal"/>
      </w:pPr>
      <w:r>
        <w:t xml:space="preserve">(iii) Tampoco, en la regulación del sistema de becas establecido por la normativa de la Comunidad Valenciana “se establece esta distinción entre universidades públicas y privadas […] El preámbulo del Decreto 88/2006, de 16 de junio, por el que se modifica el Decreto 40/2002, de medidas de apoyo a los estudiantes universitarios en la Comunitat Valenciana, señala como fin del mismo adecuar la tradicional convocatoria de becas para la realización </w:t>
      </w:r>
      <w:r>
        <w:lastRenderedPageBreak/>
        <w:t>de estudios universitarios, permitiendo a los alumnos que cursan sus estudios en las universidades privadas de la Comunitat Valenciana beneficiarse de la cuantía equivalente al importe de la actividad docente de la tasa o precio público por servicios académicos universitarios, previéndose, entre las ayudas que establece el artículo 2, las ayudas de matrícula en universidades privadas; y, como uno de los requisitos de las ayudas el de ‘cursar estudios conducentes a la obtención de títulos oficiales en universidades o centros adscritos a universidades públicas, competencia de la Generalitat’, sin diferenciar entre universidades públicas y privadas, regulación que se mantuvo tras la última modificación realizada por el Decreto 180/2016, de 2 de diciembre” [FJ 5 b)].</w:t>
      </w:r>
    </w:p>
    <w:p w:rsidR="005728DD" w:rsidRDefault="005728DD" w:rsidP="005728DD">
      <w:pPr>
        <w:pStyle w:val="TextoNormal"/>
      </w:pPr>
    </w:p>
    <w:p w:rsidR="005728DD" w:rsidRDefault="005728DD" w:rsidP="005728DD">
      <w:pPr>
        <w:pStyle w:val="TextoNormal"/>
      </w:pPr>
      <w:r>
        <w:t>c) En cuanto a la justificación del trato dispar, ni del tenor de las disposiciones objeto del presente recurso, ni de la exposición de motivos de las mismas es posible encontrar una finalidad que justifique el establecimiento del tratamiento diferenciado al que se ha hecho referencia entre las universidades públicas y las universidades privadas. En el preámbulo de la Orden 24/2017 únicamente se menciona “el carácter de subvención” de las becas, cuyas bases se establecen en la misma y se hace referencia a la normativa, tanto estatal como autonómica, relativa al régimen jurídico de las subvenciones, pero no se aporta ninguna justificación específica del trato discriminatorio deparado a los alumnos que hayan cursado estudios precedentes en universidades privadas y pretendan continuarlos en otros centros universitarios sirviéndose de las ayudas económicas que la propia Orden 24/2017 prevé. Lo mismo puede decirse del preámbulo de la Orden 27/2017, que en todo momento aparece referido a las “universidades de la Comunitat Valenciana” o a los “estudiantes universitarios”, sin distinción alguna entre centros públicos y privados.</w:t>
      </w:r>
    </w:p>
    <w:p w:rsidR="005728DD" w:rsidRDefault="005728DD" w:rsidP="005728DD">
      <w:pPr>
        <w:pStyle w:val="TextoNormal"/>
      </w:pPr>
    </w:p>
    <w:p w:rsidR="005728DD" w:rsidRDefault="005728DD" w:rsidP="005728DD">
      <w:pPr>
        <w:pStyle w:val="TextoNormal"/>
      </w:pPr>
      <w:r>
        <w:t>Tampoco, en las alegaciones ofrecidas por los servicios jurídicos de la Comunidad Valenciana se justifica tal trato discriminatorio. En este sentido, el letrado de la Comunidad se limita a reproducir los que ya destacó en el recurso de amparo interpuesto contra la Orden 21/2016, que hemos recogido con detalle en los antecedentes y que fueron, también, rechazados por la STC 191/2020, al declarar:</w:t>
      </w:r>
    </w:p>
    <w:p w:rsidR="005728DD" w:rsidRDefault="005728DD" w:rsidP="005728DD">
      <w:pPr>
        <w:pStyle w:val="TextoNormal"/>
      </w:pPr>
    </w:p>
    <w:p w:rsidR="005728DD" w:rsidRDefault="005728DD" w:rsidP="005728DD">
      <w:pPr>
        <w:pStyle w:val="TextoNormal"/>
      </w:pPr>
      <w:r>
        <w:t xml:space="preserve">“[A]unque se pudiera considerar, tal y como alega el representante de la Generalitat, que las comunidades autónomas puedan establecer otras modalidades de ayudas con cargo a su presupuesto, no pueden hacerlo distinguiendo sin justificación y al margen de la legislación vigente, que no diferencia entre universidades públicas y privadas. El tribunal ha entendido que el poder de gastar no es un título atributivo de competencias (STC 13/1992, de 6 de febrero, FJ 5) sino que el poder de gastar y subvencionar va unido a la competencia de la materia sobre la que se incide, esto es, que la subvención no es concepto que delimite competencias, atrayendo toda regulación que, desde uno u otro aspecto, tenga conexión con aquella (STC 38/1992, de 30 de junio, FJ 5). De esta manera, y conforme al régimen de distribución de competencias en materia de educación (entre otras STC 188/2001, 20 de septiembre), el sistema de ayudas que establezca la comunidad autónoma no puede desconocer lo dispuesto por el legislador estatal, y en concreto el mandato de igualdad en las ayudas. Al respecto, afirmó este tribunal que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w:t>
      </w:r>
      <w:r>
        <w:lastRenderedPageBreak/>
        <w:t>188/2001, de 20 de septiembre, FJ 4). Tampoco puede la Orden 21/2016 contener una diferencia entre los estudios de las universidades públicas y privadas donde el legislador estatal, al establecer el derecho a la becas, no establece dicha diferencia” [FJ 5 c)].</w:t>
      </w:r>
    </w:p>
    <w:p w:rsidR="005728DD" w:rsidRDefault="005728DD" w:rsidP="005728DD">
      <w:pPr>
        <w:pStyle w:val="TextoNormal"/>
      </w:pPr>
    </w:p>
    <w:p w:rsidR="005728DD" w:rsidRDefault="005728DD" w:rsidP="005728DD">
      <w:pPr>
        <w:pStyle w:val="TextoNormal"/>
      </w:pPr>
      <w:r>
        <w:t>“[L]a orden valenciana no se acomoda ni a la Ley de la Comunidad Autónoma 4/2007, de 9 de febrero, que no establece diferencias entre las universidades públicas y privadas en cuanto a que todas forman parte del sistema universitario valenciano, ni tampoco, al propio Decreto 40/2002, que estableció el sistema de becas y ayudas en esta comunidad autónoma y que incluye, como se puso de relieve anteriormente, a las universidades privadas en dicho sistema y ‘no puede el reglamento excluir del goce de un derecho a aquellos a quienes la ley no excluyó. El juicio sobre la licitud constitucional de las diferencias establecidas por una norma reglamentaria requiere así, necesariamente, y sólo desde esta perspectiva, un juicio de legalidad’ (STC 209/1987, de 22 de diciembre, FJ 3)” [FJ 5 c)].</w:t>
      </w:r>
    </w:p>
    <w:p w:rsidR="005728DD" w:rsidRDefault="005728DD" w:rsidP="005728DD">
      <w:pPr>
        <w:pStyle w:val="TextoNormal"/>
      </w:pPr>
    </w:p>
    <w:p w:rsidR="005728DD" w:rsidRDefault="005728DD" w:rsidP="005728DD">
      <w:pPr>
        <w:pStyle w:val="TextoNormal"/>
      </w:pPr>
      <w:r>
        <w:t>El resto de las razones aducidas tampoco pueden sustentar la diferencia de trato. Los requisitos de mérito y capacidad para aspirar a las becas están ya previstos en el art. 6.1 de la Orden 24/2017 (sobre el “sistema de valoración”) y en los arts. 6, 7 y 8 de la Orden 27/2017 (sobre la “selección y valoración de las solicitudes”, la “distribución del importe global entre las entidades solicitantes” y los “criterios de concesión”). Al margen, claro está, de las normas que desarrollan el artículo 27.5 CE, sin que por lo tanto pueda justificar una diferencia de trato entre las universidades públicas y privadas.</w:t>
      </w:r>
    </w:p>
    <w:p w:rsidR="005728DD" w:rsidRDefault="005728DD" w:rsidP="005728DD">
      <w:pPr>
        <w:pStyle w:val="TextoNormal"/>
      </w:pPr>
    </w:p>
    <w:p w:rsidR="005728DD" w:rsidRDefault="005728DD" w:rsidP="005728DD">
      <w:pPr>
        <w:pStyle w:val="TextoNormal"/>
      </w:pPr>
      <w:r w:rsidRPr="005728DD">
        <w:rPr>
          <w:rStyle w:val="NumeroAFNegritaCaracter"/>
        </w:rPr>
        <w:t>4</w:t>
      </w:r>
      <w:r>
        <w:t xml:space="preserve">. </w:t>
      </w:r>
      <w:r w:rsidRPr="005728DD">
        <w:rPr>
          <w:i/>
        </w:rPr>
        <w:t>Alcance del amparo</w:t>
      </w:r>
      <w:r>
        <w:t>.</w:t>
      </w:r>
    </w:p>
    <w:p w:rsidR="005728DD" w:rsidRDefault="005728DD" w:rsidP="005728DD">
      <w:pPr>
        <w:pStyle w:val="TextoNormal"/>
      </w:pPr>
    </w:p>
    <w:p w:rsidR="005728DD" w:rsidRDefault="005728DD" w:rsidP="005728DD">
      <w:pPr>
        <w:pStyle w:val="TextoNormal"/>
      </w:pPr>
      <w:r>
        <w:t>Al igual que lo declarado en la STC 191/2020, procede estimar el recurso de amparo, toda vez que el régimen de becas y ayudas establecido en las órdenes 24/2017 y 27/2017 “introduce una diferencia entre las universidades del sistema universitario valenciano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instituciones educativas (artículo 27.6 CE) como al derecho de los estudiantes a la educación (artículo 27.1 CE; en un sentido similar, STC 74/2018, de 5 de julio, FJ 5), teniendo en cuenta la relación existente entre los mismos, pues no pueden entenderse los derechos educativos de los estudiantes sin la referencia a las instituciones educativas en las que cursan sus estudios, ni los derechos educativos de las instituciones educativas, en este caso, de la universidad, sin atender a los estudiantes que conforman la comunidad universitaria” (FJ 6).</w:t>
      </w:r>
    </w:p>
    <w:p w:rsidR="005728DD" w:rsidRDefault="005728DD" w:rsidP="005728DD">
      <w:pPr>
        <w:pStyle w:val="TextoNormal"/>
      </w:pPr>
    </w:p>
    <w:p w:rsidR="005728DD" w:rsidRDefault="005728DD" w:rsidP="005728DD">
      <w:pPr>
        <w:pStyle w:val="TextoNormal"/>
      </w:pPr>
      <w:r>
        <w:t>Los derechos fundamentales de la recurrente, reconocidos en los arts. 14 y 27 CE, quedarán restablecidos con la declaración de nulidad de los términos “públicas” y “públicos” incluidos en los arts. 1.1; 2 a); 4.1 a); 6.1 y 7 de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y de los centros adscritos al Instituto Superior de Enseñanzas Artísticas de la Comunitat Valenciana”.</w:t>
      </w:r>
    </w:p>
    <w:p w:rsidR="005728DD" w:rsidRDefault="005728DD" w:rsidP="005728DD">
      <w:pPr>
        <w:pStyle w:val="TextoNormal"/>
      </w:pPr>
    </w:p>
    <w:p w:rsidR="005728DD" w:rsidRDefault="005728DD" w:rsidP="005728DD">
      <w:pPr>
        <w:pStyle w:val="TextoNormal"/>
      </w:pPr>
      <w:r>
        <w:lastRenderedPageBreak/>
        <w:t>Del mismo modo, se habrá de declarar la nulidad de los términos “públicas” y “públicos” incluidos en el art. 1.1 de la Orden 27/2017, de 3 de julio,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Comunitat Valenciana”. La nulidad de este precepto permite reparar la discriminación derivada de la remisión que los arts. 2, 3.3, 3.4 y 4.1 hacen al art. 1.1 de la propia Orden 27/2017.</w:t>
      </w:r>
    </w:p>
    <w:p w:rsidR="005728DD" w:rsidRDefault="005728DD" w:rsidP="005728DD">
      <w:pPr>
        <w:pStyle w:val="TextoNormal"/>
      </w:pPr>
    </w:p>
    <w:p w:rsidR="005728DD" w:rsidRDefault="005728DD" w:rsidP="005728DD">
      <w:pPr>
        <w:pStyle w:val="TextoNormal"/>
      </w:pPr>
      <w:r>
        <w:t>“Por último,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 (STC 191/2020, FJ 6).</w:t>
      </w:r>
    </w:p>
    <w:p w:rsidR="005728DD" w:rsidRDefault="005728DD" w:rsidP="005728DD">
      <w:pPr>
        <w:pStyle w:val="TextoNormal"/>
      </w:pPr>
    </w:p>
    <w:p w:rsidR="005728DD" w:rsidRDefault="005728DD" w:rsidP="005728DD">
      <w:pPr>
        <w:pStyle w:val="TextoNormalCentrado"/>
        <w:keepNext/>
      </w:pPr>
      <w:r>
        <w:t>FALLO</w:t>
      </w:r>
    </w:p>
    <w:p w:rsidR="005728DD" w:rsidRDefault="005728DD" w:rsidP="005728DD">
      <w:pPr>
        <w:pStyle w:val="TextoNormalCentrado"/>
        <w:keepNext/>
      </w:pPr>
    </w:p>
    <w:p w:rsidR="005728DD" w:rsidRDefault="005728DD" w:rsidP="005728DD">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5728DD" w:rsidRDefault="005728DD" w:rsidP="005728DD">
      <w:pPr>
        <w:pStyle w:val="TextoNormal"/>
      </w:pPr>
    </w:p>
    <w:p w:rsidR="005728DD" w:rsidRDefault="005728DD" w:rsidP="005728DD">
      <w:pPr>
        <w:pStyle w:val="TextoNormal"/>
      </w:pPr>
      <w:r>
        <w:t>1º Declarar que ha sido vulnerado su derecho fundamental a la igualdad (artículo 14 CE), en relación con su derecho fundamental a la creación de centros docentes (apartado 6 del artículo 27 CE).</w:t>
      </w:r>
    </w:p>
    <w:p w:rsidR="005728DD" w:rsidRDefault="005728DD" w:rsidP="005728DD">
      <w:pPr>
        <w:pStyle w:val="TextoNormal"/>
      </w:pPr>
    </w:p>
    <w:p w:rsidR="005728DD" w:rsidRDefault="005728DD" w:rsidP="005728DD">
      <w:pPr>
        <w:pStyle w:val="TextoNormal"/>
      </w:pPr>
      <w:r>
        <w:t>2º Restablecerla en sus derechos y, en consecuencia, declarar la nulidad de los términos “públicas” y “públicos” incluidos en los arts. 1.1; 2 a); 4.1 a); 6.1 y 7 de la Orden 24/2017, de 21 de junio, de la Consellería de Educación, Investigación, Cultura y Deporte de la Generalitat Valenciana, “por la que se establecen las bases reguladoras para la concesión de las becas de promoción de la excelencia académica del alumnado universitario de las universidades públicas y de los centros adscritos al Instituto Superior de Enseñanzas Artísticas de la Comunitat Valenciana”. Del mismo modo, se declara la nulidad de los términos “públicas” y “públicos” incluidos en el art. 1.1 de la Orden 27/2017, de 3 de julio, de la Consellería de Educación, Investigación, Cultura y Deporte de la Generalitat Valenciana, “por la que se establecen las bases reguladoras de las ayudas para complementar las becas para la actividad de movilidad de estudiantes por estudios, del programa Erasmus+, pertenecientes a instituciones públicas de educación superior de la Comunitat Valenciana”.</w:t>
      </w:r>
    </w:p>
    <w:p w:rsidR="005728DD" w:rsidRDefault="005728DD" w:rsidP="005728DD">
      <w:pPr>
        <w:pStyle w:val="TextoNormal"/>
      </w:pPr>
    </w:p>
    <w:p w:rsidR="005728DD" w:rsidRDefault="005728DD" w:rsidP="005728DD">
      <w:pPr>
        <w:pStyle w:val="TextoNormal"/>
      </w:pPr>
      <w:r>
        <w:t>Publíquese esta sentencia en el “Boletín Oficial del Estado”.</w:t>
      </w:r>
    </w:p>
    <w:p w:rsidR="005728DD" w:rsidRDefault="005728DD" w:rsidP="005728DD">
      <w:pPr>
        <w:pStyle w:val="TextoNormal"/>
      </w:pPr>
      <w:r>
        <w:t>Dada en Madrid, a veintinueve de junio de dos mil veintiuno.</w:t>
      </w:r>
    </w:p>
    <w:p w:rsidR="005728DD" w:rsidRDefault="005728DD" w:rsidP="005728DD">
      <w:pPr>
        <w:pStyle w:val="ParrafoNormal"/>
      </w:pPr>
    </w:p>
    <w:p w:rsidR="005728DD" w:rsidRDefault="005728DD" w:rsidP="005728DD">
      <w:pPr>
        <w:pStyle w:val="TextoNormalNegritaCentrado"/>
        <w:keepNext/>
      </w:pPr>
      <w:r>
        <w:t>Voto particular que formula el magistrado don Juan Antonio Xiol Ríos a la sentencia dictada en el recurso de amparo número 6915-2019</w:t>
      </w:r>
    </w:p>
    <w:p w:rsidR="005728DD" w:rsidRDefault="005728DD" w:rsidP="005728DD">
      <w:pPr>
        <w:pStyle w:val="TextoNormalNegritaCentrado"/>
        <w:keepNext/>
      </w:pPr>
    </w:p>
    <w:p w:rsidR="005728DD" w:rsidRDefault="005728DD" w:rsidP="005728DD">
      <w:pPr>
        <w:pStyle w:val="TextoNormal"/>
      </w:pPr>
      <w:r>
        <w:t>Con el máximo respeto a la opinión mayoritaria de mis compañeros de Sala en la que se sustenta la sentencia, manifiesto mi discrepancia con su fundamentación y su fallo, que considero que debió de ser desestimatorio por las razones que ya expuse en el voto particular conjunto que formulé a la STC 191/2020, de 17 de diciembre, al que me remito.</w:t>
      </w:r>
    </w:p>
    <w:p w:rsidR="005728DD" w:rsidRDefault="005728DD" w:rsidP="005728DD">
      <w:pPr>
        <w:pStyle w:val="TextoNormal"/>
      </w:pPr>
    </w:p>
    <w:p w:rsidR="005728DD" w:rsidRDefault="005728DD" w:rsidP="005728DD">
      <w:pPr>
        <w:pStyle w:val="TextoNormal"/>
      </w:pPr>
      <w:r>
        <w:t>Madrid, a veintinueve de junio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TextoNormal"/>
      </w:pPr>
    </w:p>
    <w:p w:rsidR="00C54F26" w:rsidRDefault="00C54F26" w:rsidP="00C54F26">
      <w:pPr>
        <w:pStyle w:val="CabeceraApartado"/>
      </w:pPr>
      <w:r>
        <w:t>AUTOS</w:t>
      </w:r>
    </w:p>
    <w:p w:rsidR="00C54F26" w:rsidRDefault="00C54F26">
      <w:pPr>
        <w:spacing w:after="0" w:line="360" w:lineRule="auto"/>
        <w:ind w:firstLine="851"/>
        <w:jc w:val="both"/>
        <w:rPr>
          <w:rFonts w:ascii="Times New Roman" w:eastAsia="Times New Roman" w:hAnsi="Times New Roman" w:cs="Times New Roman"/>
          <w:sz w:val="48"/>
          <w:szCs w:val="24"/>
          <w:lang w:eastAsia="es-ES"/>
        </w:rPr>
      </w:pPr>
      <w:r>
        <w:br w:type="page"/>
      </w:r>
    </w:p>
    <w:p w:rsidR="00C54F26" w:rsidRDefault="00C54F26" w:rsidP="00C54F26">
      <w:pPr>
        <w:pStyle w:val="TtuloResolucin"/>
      </w:pPr>
      <w:bookmarkStart w:id="142" w:name="AUTO_2021_1"/>
      <w:r>
        <w:lastRenderedPageBreak/>
        <w:t>AUTO 1/2021, de 25 de enero de 2021</w:t>
      </w:r>
    </w:p>
    <w:bookmarkEnd w:id="142"/>
    <w:p w:rsidR="00C54F26" w:rsidRDefault="00C54F26" w:rsidP="00C54F26">
      <w:pPr>
        <w:pStyle w:val="TtuloResolucin"/>
      </w:pPr>
      <w:r>
        <w:t>Sala Segunda</w:t>
      </w:r>
    </w:p>
    <w:p w:rsidR="00C54F26" w:rsidRDefault="00C54F26" w:rsidP="00C54F26">
      <w:pPr>
        <w:pStyle w:val="TextoNormalCentrado"/>
      </w:pPr>
      <w:r>
        <w:t>ECLI:ES:TC:2021:1A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Deniega la suspensión y ordena la anotación preventiva de la demanda en el recurso de amparo 7502-2019, promovido por Penrei Inversiones, S.L.,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Con fecha 26 de diciembre de 2019, tuvo entrada en el registro general de este Tribunal Constitucional un escrito de la procuradora doña Blanca Berriatua Horta, en representación de la entidad Penrei Inversiones, S.L., por el que interpuso recurso de amparo contra el auto de 19 de noviembre de 2018, del Juzgado de Primera Instancia e Instrucción núm. 4 de Lorca, que inadmitió el escrito de oposición a la ejecución hipotecaria promovida por Banco de Sabadell, S.A.; y contra el auto del mismo juzgado, 30 de octubre de 2019, que desestimó el recurso de reposición interpuesto contra la anterior resolución.</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para la resolución de esta pieza de suspensión, son los siguientes:</w:t>
      </w:r>
    </w:p>
    <w:p w:rsidR="00C54F26" w:rsidRDefault="00C54F26" w:rsidP="00C54F26">
      <w:pPr>
        <w:pStyle w:val="TextoNormal"/>
      </w:pPr>
    </w:p>
    <w:p w:rsidR="00C54F26" w:rsidRDefault="00C54F26" w:rsidP="00C54F26">
      <w:pPr>
        <w:pStyle w:val="TextoNormal"/>
      </w:pPr>
      <w:r>
        <w:t>a) Con fecha 19 de noviembre de 2018, el Juzgado de Primera Instancia e Instrucción ya indicado dictó un auto en el procedimiento de ejecución hipotecaria núm. 363-2018 por el que acordó: “Inadmitir a trámite la oposición formulada por la parte ejecutada Euroinversiones Inmobiliarias Costa Sur, S.L., y Penrei Inversiones, S.L., (…) por estar presentada fuera de plazo”, advirtiendo en pie de recurso que contra dicha resolución cabía recurso de apelación.</w:t>
      </w:r>
    </w:p>
    <w:p w:rsidR="00C54F26" w:rsidRDefault="00C54F26" w:rsidP="00C54F26">
      <w:pPr>
        <w:pStyle w:val="TextoNormal"/>
      </w:pPr>
    </w:p>
    <w:p w:rsidR="00C54F26" w:rsidRDefault="00C54F26" w:rsidP="00C54F26">
      <w:pPr>
        <w:pStyle w:val="TextoNormal"/>
      </w:pPr>
      <w:r>
        <w:t>El Juzgado basó su decisión, conforme a su fundamento de derecho único, en lo siguiente:</w:t>
      </w:r>
    </w:p>
    <w:p w:rsidR="00C54F26" w:rsidRDefault="00C54F26" w:rsidP="00C54F26">
      <w:pPr>
        <w:pStyle w:val="TextoNormal"/>
      </w:pPr>
    </w:p>
    <w:p w:rsidR="00C54F26" w:rsidRDefault="00C54F26" w:rsidP="00C54F26">
      <w:pPr>
        <w:pStyle w:val="TextoNormal"/>
      </w:pPr>
      <w:r>
        <w:t>“Se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C54F26" w:rsidRDefault="00C54F26" w:rsidP="00C54F26">
      <w:pPr>
        <w:pStyle w:val="TextoNormal"/>
      </w:pPr>
    </w:p>
    <w:p w:rsidR="00C54F26" w:rsidRDefault="00C54F26" w:rsidP="00C54F26">
      <w:pPr>
        <w:pStyle w:val="TextoNormal"/>
      </w:pPr>
      <w: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w:t>
      </w:r>
      <w:r>
        <w:lastRenderedPageBreak/>
        <w:t>otorga, debe ser inadmitida su oposición por extemporánea, de conformidad con lo establecido en los preceptos citados”.</w:t>
      </w:r>
    </w:p>
    <w:p w:rsidR="00C54F26" w:rsidRDefault="00C54F26" w:rsidP="00C54F26">
      <w:pPr>
        <w:pStyle w:val="TextoNormal"/>
      </w:pPr>
    </w:p>
    <w:p w:rsidR="00C54F26" w:rsidRDefault="00C54F26" w:rsidP="00C54F26">
      <w:pPr>
        <w:pStyle w:val="TextoNormal"/>
      </w:pPr>
      <w:r>
        <w:t xml:space="preserve">b) Formalizado contra dicho auto recurso de reposición (no de apelación) por la entidad aquí demandante de amparo, como consta en el expediente del Juzgado </w:t>
      </w:r>
      <w:r w:rsidRPr="00C54F26">
        <w:rPr>
          <w:i/>
        </w:rPr>
        <w:t>a quo</w:t>
      </w:r>
      <w:r>
        <w:t>, este último dictó auto el 30 de octubre de 2019 desestimándolo (aunque con mención únicamente a la entidad Euroinversiones Inmobiliarias Costa Sur, S.L.), con confirmación de la resolución recurrida, en virtud de los motivos expresados en su fundamento de derecho único, teniendo así por válido el emplazamiento efectuado a través de la dirección electrónica habilitada:</w:t>
      </w:r>
    </w:p>
    <w:p w:rsidR="00C54F26" w:rsidRDefault="00C54F26" w:rsidP="00C54F26">
      <w:pPr>
        <w:pStyle w:val="TextoNormal"/>
      </w:pPr>
    </w:p>
    <w:p w:rsidR="00C54F26" w:rsidRDefault="00C54F26" w:rsidP="00C54F26">
      <w:pPr>
        <w:pStyle w:val="TextoNormal"/>
      </w:pPr>
      <w:r>
        <w:t>“Del propio documento núm. 1 aportado con el escrito interponiendo recurso de reposición y de las propias alegaciones vertidas por la recurrente, resulta la correcta recepción de la notificación en fecha 03/07/2018,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la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C54F26" w:rsidRDefault="00C54F26" w:rsidP="00C54F26">
      <w:pPr>
        <w:pStyle w:val="TextoNormal"/>
      </w:pPr>
    </w:p>
    <w:p w:rsidR="00C54F26" w:rsidRDefault="00C54F26" w:rsidP="00C54F26">
      <w:pPr>
        <w:pStyle w:val="TextoNormal"/>
      </w:pPr>
      <w:r>
        <w:t>El auto traía el siguiente pie de recurso: “Contra este auto no cabe recurso alguno, sin perjuicio de reproducir la cuestión objeto de la reposición al recurrir, si fuera posible, la resolución definitiva (artículo 454 LEC.)”.</w:t>
      </w:r>
    </w:p>
    <w:p w:rsidR="00C54F26" w:rsidRDefault="00C54F26" w:rsidP="00C54F26">
      <w:pPr>
        <w:pStyle w:val="TextoNormal"/>
      </w:pPr>
    </w:p>
    <w:p w:rsidR="00C54F26" w:rsidRDefault="00C54F26" w:rsidP="00C54F26">
      <w:pPr>
        <w:pStyle w:val="TextoNormal"/>
      </w:pPr>
      <w:r w:rsidRPr="00C54F26">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C54F26" w:rsidRDefault="00C54F26" w:rsidP="00C54F26">
      <w:pPr>
        <w:pStyle w:val="TextoNormal"/>
      </w:pPr>
    </w:p>
    <w:p w:rsidR="00C54F26" w:rsidRDefault="00C54F26" w:rsidP="00C54F26">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Ley de enjuiciamiento civil.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19 de noviembre de 2018 declaró extemporánea la presentación del escrito de oposición, computando el plazo de diez días desde la fecha de envío de aquel correo a través de la dirección electrónica habilitada.</w:t>
      </w:r>
    </w:p>
    <w:p w:rsidR="00C54F26" w:rsidRDefault="00C54F26" w:rsidP="00C54F26">
      <w:pPr>
        <w:pStyle w:val="TextoNormal"/>
      </w:pPr>
    </w:p>
    <w:p w:rsidR="00C54F26" w:rsidRDefault="00C54F26" w:rsidP="00C54F26">
      <w:pPr>
        <w:pStyle w:val="TextoNormal"/>
      </w:pPr>
      <w:r>
        <w:lastRenderedPageBreak/>
        <w:t>Añade que es importante hacer mención a la “recientísima sentencia del Tribunal Constitucional STC 47/2019, de 8 de abril,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FFJJ 2 a 5 de dicha STC 47/2019.</w:t>
      </w:r>
    </w:p>
    <w:p w:rsidR="00C54F26" w:rsidRDefault="00C54F26" w:rsidP="00C54F26">
      <w:pPr>
        <w:pStyle w:val="TextoNormal"/>
      </w:pPr>
    </w:p>
    <w:p w:rsidR="00C54F26" w:rsidRDefault="00C54F26" w:rsidP="00C54F26">
      <w:pPr>
        <w:pStyle w:val="TextoNormal"/>
      </w:pPr>
      <w:r>
        <w:t>Sobre el auto de 30 de octubre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C54F26" w:rsidRDefault="00C54F26" w:rsidP="00C54F26">
      <w:pPr>
        <w:pStyle w:val="TextoNormal"/>
      </w:pPr>
    </w:p>
    <w:p w:rsidR="00C54F26" w:rsidRDefault="00C54F26" w:rsidP="00C54F26">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C54F26">
        <w:rPr>
          <w:i/>
        </w:rPr>
        <w:t>a quo</w:t>
      </w:r>
      <w:r>
        <w:t xml:space="preserve"> admita a trámite la oposición al despacho de ejecución formulada.</w:t>
      </w:r>
    </w:p>
    <w:p w:rsidR="00C54F26" w:rsidRDefault="00C54F26" w:rsidP="00C54F26">
      <w:pPr>
        <w:pStyle w:val="TextoNormal"/>
      </w:pPr>
    </w:p>
    <w:p w:rsidR="00C54F26" w:rsidRDefault="00C54F26" w:rsidP="00C54F26">
      <w:pPr>
        <w:pStyle w:val="TextoNormal"/>
      </w:pPr>
      <w:r>
        <w:t>Por medio de un “segundo otrosí digo”, el escrito de demanda argumentó “que la continuación de la ejecución derivadas (</w:t>
      </w:r>
      <w:r w:rsidRPr="00C54F26">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363-2018 seguido ante el Juzgado de Primer Instancia e Instrucción número cuatro de Lorca, hasta tanto sea resuelto el presente recurso de amparo, poniéndolo en conocimiento del órgano judicial”.</w:t>
      </w:r>
    </w:p>
    <w:p w:rsidR="00C54F26" w:rsidRDefault="00C54F26" w:rsidP="00C54F26">
      <w:pPr>
        <w:pStyle w:val="TextoNormal"/>
      </w:pPr>
    </w:p>
    <w:p w:rsidR="00C54F26" w:rsidRDefault="00C54F26" w:rsidP="00C54F26">
      <w:pPr>
        <w:pStyle w:val="TextoNormal"/>
      </w:pPr>
      <w:r w:rsidRPr="00C54F26">
        <w:rPr>
          <w:rStyle w:val="NumeroAFNegritaCaracter"/>
        </w:rPr>
        <w:t>4</w:t>
      </w:r>
      <w:r>
        <w:t xml:space="preserve">. La secretaría de justicia de la Sección Cuarta, Sala Segunda, de este Tribunal Constitucional, dictó diligencia de ordenación el 15 de enero de 2020 solicitando al juzgado </w:t>
      </w:r>
      <w:r w:rsidRPr="00C54F26">
        <w:rPr>
          <w:i/>
        </w:rPr>
        <w:t>a quo</w:t>
      </w:r>
      <w:r>
        <w:t xml:space="preserve"> la remisión de certificación o fotocopia adverada de las actuaciones correspondientes del procedimiento de ejecución hipotecaria núm. 363-2018.</w:t>
      </w:r>
    </w:p>
    <w:p w:rsidR="00C54F26" w:rsidRDefault="00C54F26" w:rsidP="00C54F26">
      <w:pPr>
        <w:pStyle w:val="TextoNormal"/>
      </w:pPr>
    </w:p>
    <w:p w:rsidR="00C54F26" w:rsidRDefault="00C54F26" w:rsidP="00C54F26">
      <w:pPr>
        <w:pStyle w:val="TextoNormal"/>
      </w:pPr>
      <w:r w:rsidRPr="00C54F26">
        <w:rPr>
          <w:rStyle w:val="NumeroAFNegritaCaracter"/>
        </w:rPr>
        <w:t>5</w:t>
      </w:r>
      <w:r>
        <w:t>. La Sección Cuarta de este tribunal dictó providencia el 30 de noviembre de 2020 del siguiente tenor:</w:t>
      </w:r>
    </w:p>
    <w:p w:rsidR="00C54F26" w:rsidRDefault="00C54F26" w:rsidP="00C54F26">
      <w:pPr>
        <w:pStyle w:val="TextoNormal"/>
      </w:pPr>
    </w:p>
    <w:p w:rsidR="00C54F26" w:rsidRDefault="00C54F26" w:rsidP="00C54F26">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2.b)].</w:t>
      </w:r>
    </w:p>
    <w:p w:rsidR="00C54F26" w:rsidRDefault="00C54F26" w:rsidP="00C54F26">
      <w:pPr>
        <w:pStyle w:val="TextoNormal"/>
      </w:pPr>
    </w:p>
    <w:p w:rsidR="00C54F26" w:rsidRDefault="00C54F26" w:rsidP="00C54F26">
      <w:pPr>
        <w:pStyle w:val="TextoNormal"/>
      </w:pPr>
      <w:r>
        <w:lastRenderedPageBreak/>
        <w:t>Diríjase atenta comunicación a Juzgado de Primera Instancia e Instrucción núm. 4 de Lorca a fin de que, y toda vez que ya constan recibidas las actuaciones de instancia, se emplace a quienes hubieren sido parte en el procedimiento, excepto la parte recurrente en amparo para que en el plazo de diez días puedan comparecer, si lo desean, en el recurso de amparo.</w:t>
      </w:r>
    </w:p>
    <w:p w:rsidR="00C54F26" w:rsidRDefault="00C54F26" w:rsidP="00C54F26">
      <w:pPr>
        <w:pStyle w:val="TextoNormal"/>
      </w:pPr>
    </w:p>
    <w:p w:rsidR="00C54F26" w:rsidRDefault="00C54F26" w:rsidP="00C54F26">
      <w:pPr>
        <w:pStyle w:val="TextoNormal"/>
      </w:pPr>
      <w:r>
        <w:t>De conformidad con la solicitud de la parte actora, fórmese la correspondiente pieza separada de suspensión”.</w:t>
      </w:r>
    </w:p>
    <w:p w:rsidR="00C54F26" w:rsidRDefault="00C54F26" w:rsidP="00C54F26">
      <w:pPr>
        <w:pStyle w:val="TextoNormal"/>
      </w:pPr>
    </w:p>
    <w:p w:rsidR="00C54F26" w:rsidRDefault="00C54F26" w:rsidP="00C54F26">
      <w:pPr>
        <w:pStyle w:val="TextoNormal"/>
      </w:pPr>
      <w:r w:rsidRPr="00C54F26">
        <w:rPr>
          <w:rStyle w:val="NumeroAFNegritaCaracter"/>
        </w:rPr>
        <w:t>6</w:t>
      </w:r>
      <w:r>
        <w:t>. Por nueva providencia dictada por la Sección Cuarta de este Tribunal en la misma fecha de la admisión del recurso, el 30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C54F26" w:rsidRDefault="00C54F26" w:rsidP="00C54F26">
      <w:pPr>
        <w:pStyle w:val="TextoNormal"/>
      </w:pPr>
    </w:p>
    <w:p w:rsidR="00C54F26" w:rsidRDefault="00C54F26" w:rsidP="00C54F26">
      <w:pPr>
        <w:pStyle w:val="TextoNormal"/>
      </w:pPr>
      <w:r w:rsidRPr="00C54F26">
        <w:rPr>
          <w:rStyle w:val="NumeroAFNegritaCaracter"/>
        </w:rPr>
        <w:t>7</w:t>
      </w:r>
      <w:r>
        <w:t>. La representación procesal de la entidad recurrente presentó su escrito de alegaciones con fecha 11 de diciembre de 2020, interesando se acceda a lo solicitado en cuanto a la suspensión del procedimiento de ejecución hipotecaria referido.</w:t>
      </w:r>
    </w:p>
    <w:p w:rsidR="00C54F26" w:rsidRDefault="00C54F26" w:rsidP="00C54F26">
      <w:pPr>
        <w:pStyle w:val="TextoNormal"/>
      </w:pPr>
    </w:p>
    <w:p w:rsidR="00C54F26" w:rsidRDefault="00C54F26" w:rsidP="00C54F26">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58/2018 de 4 de junio, y 117/2018 de 29 de octubre;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C54F26" w:rsidRDefault="00C54F26" w:rsidP="00C54F26">
      <w:pPr>
        <w:pStyle w:val="TextoNormal"/>
      </w:pPr>
    </w:p>
    <w:p w:rsidR="00C54F26" w:rsidRDefault="00C54F26" w:rsidP="00C54F26">
      <w:pPr>
        <w:pStyle w:val="TextoNormal"/>
      </w:pPr>
      <w:r w:rsidRPr="00C54F26">
        <w:rPr>
          <w:rStyle w:val="NumeroAFNegritaCaracter"/>
        </w:rPr>
        <w:t>8</w:t>
      </w:r>
      <w:r>
        <w:t>. Por su parte, la fiscal ante este Tribunal Constitucional formalizó su escrito de alegaciones en esta pieza el 15 de diciembre de 2020, interesando que adoptemos únicamente la medida de anotación preventiva de la demanda de amparo.</w:t>
      </w:r>
    </w:p>
    <w:p w:rsidR="00C54F26" w:rsidRDefault="00C54F26" w:rsidP="00C54F26">
      <w:pPr>
        <w:pStyle w:val="TextoNormal"/>
      </w:pPr>
    </w:p>
    <w:p w:rsidR="00C54F26" w:rsidRDefault="00C54F26" w:rsidP="00C54F26">
      <w:pPr>
        <w:pStyle w:val="TextoNormal"/>
      </w:pPr>
      <w:r>
        <w:t>Tras hacer cita del art. 56.2 LOTC y del ATC 127/2015, de 20 de julio, FJ 1, considera la fiscal que la entidad recurrente funda su solicitud de suspensión en la pérdida de finalidad del recurso, “sin explicitar ninguna razón que permita afirmar que la continuación del procedimiento judicial incluso con desplazamiento posesorio, provoque un perjuicio determinante de la pérdida de la finalidad del recurso de amparo”. De manera distinta, sostiene que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00C54F26" w:rsidRDefault="00C54F26" w:rsidP="00C54F26">
      <w:pPr>
        <w:pStyle w:val="TextoNormal"/>
      </w:pPr>
    </w:p>
    <w:p w:rsidR="00C54F26" w:rsidRDefault="00C54F26" w:rsidP="00C54F26">
      <w:pPr>
        <w:pStyle w:val="TextoNormal"/>
      </w:pPr>
      <w:r>
        <w:t xml:space="preserve">Añade que no tiene dudas de que este tribunal puede acordar dicha medida, </w:t>
      </w:r>
      <w:r w:rsidRPr="00C54F26">
        <w:rPr>
          <w:i/>
        </w:rPr>
        <w:t>ex</w:t>
      </w:r>
      <w:r>
        <w:t xml:space="preserve"> art. 56.3 LOTC, conforme tiene establecido nuestra doctrina, con cita del ATC 2/2019, de 9 de enero, FJ 4. Entiende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sería que imposible (sic)”.</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determinar la procedencia o no de la medida cautelar instada por la parte recurrente en amparo y dirigida frente al procedimiento de ejecución hipotecaria núm. 363-2018 seguido en el Juzgado de Primera Instancia e Instrucción núm. 4 de Lorca.</w:t>
      </w:r>
    </w:p>
    <w:p w:rsidR="00C54F26" w:rsidRDefault="00C54F26" w:rsidP="00C54F26">
      <w:pPr>
        <w:pStyle w:val="TextoNormal"/>
      </w:pPr>
    </w:p>
    <w:p w:rsidR="00C54F26" w:rsidRDefault="00C54F26" w:rsidP="00C54F26">
      <w:pPr>
        <w:pStyle w:val="TextoNormal"/>
      </w:pPr>
      <w:r w:rsidRPr="00C54F26">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54F26" w:rsidRDefault="00C54F26" w:rsidP="00C54F26">
      <w:pPr>
        <w:pStyle w:val="TextoNormal"/>
      </w:pPr>
    </w:p>
    <w:p w:rsidR="00C54F26" w:rsidRDefault="00C54F26" w:rsidP="00C54F26">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54F26" w:rsidRDefault="00C54F26" w:rsidP="00C54F26">
      <w:pPr>
        <w:pStyle w:val="TextoNormal"/>
      </w:pPr>
    </w:p>
    <w:p w:rsidR="00C54F26" w:rsidRDefault="00C54F26" w:rsidP="00C54F26">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54F26" w:rsidRDefault="00C54F26" w:rsidP="00C54F26">
      <w:pPr>
        <w:pStyle w:val="TextoNormal"/>
      </w:pPr>
    </w:p>
    <w:p w:rsidR="00C54F26" w:rsidRDefault="00C54F26" w:rsidP="00C54F26">
      <w:pPr>
        <w:pStyle w:val="TextoNormal"/>
      </w:pPr>
      <w: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w:t>
      </w:r>
      <w:r>
        <w:lastRenderedPageBreak/>
        <w:t>o locales de negocio y, en general, la transmisión del dominio sobre aquéllos, con la consiguiente consolidación de una posición jurídicamente inatacable o de muy difícil y costoso restablecimiento”.</w:t>
      </w:r>
    </w:p>
    <w:p w:rsidR="00C54F26" w:rsidRDefault="00C54F26" w:rsidP="00C54F26">
      <w:pPr>
        <w:pStyle w:val="TextoNormal"/>
      </w:pPr>
    </w:p>
    <w:p w:rsidR="00C54F26" w:rsidRDefault="00C54F26" w:rsidP="00C54F26">
      <w:pPr>
        <w:pStyle w:val="TextoNormal"/>
      </w:pPr>
      <w:r w:rsidRPr="00C54F26">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C54F26" w:rsidRDefault="00C54F26" w:rsidP="00C54F26">
      <w:pPr>
        <w:pStyle w:val="TextoNormal"/>
      </w:pPr>
    </w:p>
    <w:p w:rsidR="00C54F26" w:rsidRDefault="00C54F26" w:rsidP="00C54F26">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54F26" w:rsidRDefault="00C54F26" w:rsidP="00C54F26">
      <w:pPr>
        <w:pStyle w:val="TextoNormal"/>
      </w:pPr>
    </w:p>
    <w:p w:rsidR="00C54F26" w:rsidRDefault="00C54F26" w:rsidP="00C54F26">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C54F26" w:rsidRDefault="00C54F26" w:rsidP="00C54F26">
      <w:pPr>
        <w:pStyle w:val="TextoNormal"/>
      </w:pPr>
    </w:p>
    <w:p w:rsidR="00C54F26" w:rsidRDefault="00C54F26" w:rsidP="00C54F26">
      <w:pPr>
        <w:pStyle w:val="TextoNormal"/>
      </w:pPr>
      <w:r>
        <w:t>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00C54F26" w:rsidRDefault="00C54F26" w:rsidP="00C54F26">
      <w:pPr>
        <w:pStyle w:val="TextoNormal"/>
      </w:pPr>
    </w:p>
    <w:p w:rsidR="00C54F26" w:rsidRDefault="00C54F26" w:rsidP="00C54F26">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54F26" w:rsidRDefault="00C54F26" w:rsidP="00C54F26">
      <w:pPr>
        <w:pStyle w:val="TextoNormal"/>
      </w:pPr>
    </w:p>
    <w:p w:rsidR="00C54F26" w:rsidRDefault="00C54F26" w:rsidP="00C54F26">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54F26" w:rsidRDefault="00C54F26" w:rsidP="00C54F26">
      <w:pPr>
        <w:pStyle w:val="TextoNormal"/>
      </w:pPr>
    </w:p>
    <w:p w:rsidR="00C54F26" w:rsidRDefault="00C54F26" w:rsidP="00C54F26">
      <w:pPr>
        <w:pStyle w:val="TextoNormal"/>
      </w:pPr>
      <w:r w:rsidRPr="00C54F26">
        <w:rPr>
          <w:rStyle w:val="NumeroAFNegritaCaracter"/>
        </w:rPr>
        <w:t>4</w:t>
      </w:r>
      <w:r>
        <w:t xml:space="preserve">. Los razonamientos anteriores, de conformidad con la doctrina expuesta, y sin prejuzgar la decisión de fondo del recurso, conducen a denegar la suspensión solicitada, y, alternativamente, a ordenar la anotación preventiva de la demanda de amparo en el registro de </w:t>
      </w:r>
      <w:r>
        <w:lastRenderedPageBreak/>
        <w:t>la propiedad, en relación con el presente recurso de amparo instado por la entidad Penrei Inversiones, S.L.</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Denegar la suspensión cautelar solicitada del procedimiento de ejecución hipotecaria núm. 363-2018 seguido en el Juzgado de Primera Instancia e Instrucción núm. 4 de Lorca.</w:t>
      </w:r>
    </w:p>
    <w:p w:rsidR="00C54F26" w:rsidRDefault="00C54F26" w:rsidP="00C54F26">
      <w:pPr>
        <w:pStyle w:val="TextoNormal"/>
      </w:pPr>
    </w:p>
    <w:p w:rsidR="00C54F26" w:rsidRDefault="00C54F26" w:rsidP="00C54F26">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54F26" w:rsidRDefault="00C54F26" w:rsidP="00C54F26">
      <w:pPr>
        <w:pStyle w:val="TextoNormal"/>
      </w:pPr>
    </w:p>
    <w:p w:rsidR="00C54F26" w:rsidRDefault="00C54F26" w:rsidP="00C54F26">
      <w:pPr>
        <w:pStyle w:val="TextoNormal"/>
      </w:pPr>
      <w:r>
        <w:t>Madrid, a veinticinco de enero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43" w:name="AUTO_2021_2"/>
      <w:r>
        <w:lastRenderedPageBreak/>
        <w:t>AUTO 2/2021, de 25 de enero de 2021</w:t>
      </w:r>
    </w:p>
    <w:bookmarkEnd w:id="143"/>
    <w:p w:rsidR="00C54F26" w:rsidRDefault="00C54F26" w:rsidP="00C54F26">
      <w:pPr>
        <w:pStyle w:val="TtuloResolucin"/>
      </w:pPr>
      <w:r>
        <w:t>Sala Segunda</w:t>
      </w:r>
    </w:p>
    <w:p w:rsidR="00C54F26" w:rsidRDefault="00C54F26" w:rsidP="00C54F26">
      <w:pPr>
        <w:pStyle w:val="TextoNormalCentrado"/>
      </w:pPr>
      <w:r>
        <w:t>ECLI:ES:TC:2021:2A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Deniega la suspensión y ordena la anotación preventiva de la demanda en el recurso de amparo 7512-2019, promovido por Euroinversiones Inmobiliarias Costa Sur, S.L.,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Con fecha 26 de diciembre de 2019, tuvo entrada en el registro general de este Tribunal Constitucional un escrito de la procuradora doña Blanca Berriatua Horta, en representación de la entidad Euroinversiones Inmobiliarias Costa Sur, S.L., por el que interpuso recurso de amparo contra el auto de 19 de noviembre de 2018, del Juzgado de Primera Instancia e Instrucción núm. 4 de Lorca, que inadmitió el escrito de oposición a la ejecución hipotecaria promovida por Banco de Sabadell, S.A.; y contra el auto del mismo Juzgado, 30 de octubre de 2019, que desestimó el recurso de reposición interpuesto contra la anterior resolución.</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para la resolución de esta pieza de suspensión, son los siguientes:</w:t>
      </w:r>
    </w:p>
    <w:p w:rsidR="00C54F26" w:rsidRDefault="00C54F26" w:rsidP="00C54F26">
      <w:pPr>
        <w:pStyle w:val="TextoNormal"/>
      </w:pPr>
    </w:p>
    <w:p w:rsidR="00C54F26" w:rsidRDefault="00C54F26" w:rsidP="00C54F26">
      <w:pPr>
        <w:pStyle w:val="TextoNormal"/>
      </w:pPr>
      <w:r>
        <w:t>a) Con fecha 19 de noviembre de 2018, el Juzgado de Primera Instancia e Instrucción ya indicado dictó un auto en el procedimiento de ejecución hipotecaria núm. 363-2018 por el que acordó: “Inadmitir a trámite la oposición formulada por la parte ejecutada Euroinversiones Inmobiliarias Costa Sur, S.L.., y Penrei Inversiones, S.L., (…) por estar presentada fuera de plazo”, advirtiendo en pie de recurso que contra dicha resolución cabía recurso de apelación.</w:t>
      </w:r>
    </w:p>
    <w:p w:rsidR="00C54F26" w:rsidRDefault="00C54F26" w:rsidP="00C54F26">
      <w:pPr>
        <w:pStyle w:val="TextoNormal"/>
      </w:pPr>
    </w:p>
    <w:p w:rsidR="00C54F26" w:rsidRDefault="00C54F26" w:rsidP="00C54F26">
      <w:pPr>
        <w:pStyle w:val="TextoNormal"/>
      </w:pPr>
      <w:r>
        <w:t>El juzgado basó su decisión, conforme a su fundamento de derecho único, en lo siguiente:</w:t>
      </w:r>
    </w:p>
    <w:p w:rsidR="00C54F26" w:rsidRDefault="00C54F26" w:rsidP="00C54F26">
      <w:pPr>
        <w:pStyle w:val="TextoNormal"/>
      </w:pPr>
    </w:p>
    <w:p w:rsidR="00C54F26" w:rsidRDefault="00C54F26" w:rsidP="00C54F26">
      <w:pPr>
        <w:pStyle w:val="TextoNormal"/>
      </w:pPr>
      <w:r>
        <w:t>“Se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C54F26" w:rsidRDefault="00C54F26" w:rsidP="00C54F26">
      <w:pPr>
        <w:pStyle w:val="TextoNormal"/>
      </w:pPr>
    </w:p>
    <w:p w:rsidR="00C54F26" w:rsidRDefault="00C54F26" w:rsidP="00C54F26">
      <w:pPr>
        <w:pStyle w:val="TextoNormal"/>
      </w:pPr>
      <w: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w:t>
      </w:r>
      <w:r>
        <w:lastRenderedPageBreak/>
        <w:t>que la parte ejecutada se ha opuesto una vez transcurrido el plazo que legalmente se le otorga, debe ser inadmitida su oposición por extemporánea, de conformidad con lo establecido en los preceptos citados”.</w:t>
      </w:r>
    </w:p>
    <w:p w:rsidR="00C54F26" w:rsidRDefault="00C54F26" w:rsidP="00C54F26">
      <w:pPr>
        <w:pStyle w:val="TextoNormal"/>
      </w:pPr>
    </w:p>
    <w:p w:rsidR="00C54F26" w:rsidRDefault="00C54F26" w:rsidP="00C54F26">
      <w:pPr>
        <w:pStyle w:val="TextoNormal"/>
      </w:pPr>
      <w:r>
        <w:t xml:space="preserve">b) Formalizado contra dicho auto recurso de reposición (no de apelación) por la entidad aquí demandante de amparo, el juzgado </w:t>
      </w:r>
      <w:r w:rsidRPr="00C54F26">
        <w:rPr>
          <w:i/>
        </w:rPr>
        <w:t>a quo</w:t>
      </w:r>
      <w:r>
        <w:t xml:space="preserve"> dictó auto el 30 de octubre de 2019 desestimándolo, con confirmación de la resolución recurrida, en virtud de los motivos expresados en su fundamento de derecho único, teniendo así por válido el emplazamiento efectuado a través de la dirección electrónica habilitada:</w:t>
      </w:r>
    </w:p>
    <w:p w:rsidR="00C54F26" w:rsidRDefault="00C54F26" w:rsidP="00C54F26">
      <w:pPr>
        <w:pStyle w:val="TextoNormal"/>
      </w:pPr>
    </w:p>
    <w:p w:rsidR="00C54F26" w:rsidRDefault="00C54F26" w:rsidP="00C54F26">
      <w:pPr>
        <w:pStyle w:val="TextoNormal"/>
      </w:pPr>
      <w:r>
        <w:t>“Del propio documento núm. 1 aportado con el escrito interponiendo recurso de reposición y de las propias alegaciones vertidas por la recurrente, resulta la correcta recepción de la notificación en fecha 03/07/2018,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la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C54F26" w:rsidRDefault="00C54F26" w:rsidP="00C54F26">
      <w:pPr>
        <w:pStyle w:val="TextoNormal"/>
      </w:pPr>
    </w:p>
    <w:p w:rsidR="00C54F26" w:rsidRDefault="00C54F26" w:rsidP="00C54F26">
      <w:pPr>
        <w:pStyle w:val="TextoNormal"/>
      </w:pPr>
      <w:r>
        <w:t>El auto traía el siguiente pie de recurso: “Contra este auto no cabe recurso alguno, sin perjuicio de reproducir la cuestión objeto de la reposición al recurrir, si fuera posible, la resolución definitiva (artículo 454 LEC)”.</w:t>
      </w:r>
    </w:p>
    <w:p w:rsidR="00C54F26" w:rsidRDefault="00C54F26" w:rsidP="00C54F26">
      <w:pPr>
        <w:pStyle w:val="TextoNormal"/>
      </w:pPr>
    </w:p>
    <w:p w:rsidR="00C54F26" w:rsidRDefault="00C54F26" w:rsidP="00C54F26">
      <w:pPr>
        <w:pStyle w:val="TextoNormal"/>
      </w:pPr>
      <w:r w:rsidRPr="00C54F26">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C54F26" w:rsidRDefault="00C54F26" w:rsidP="00C54F26">
      <w:pPr>
        <w:pStyle w:val="TextoNormal"/>
      </w:pPr>
    </w:p>
    <w:p w:rsidR="00C54F26" w:rsidRDefault="00C54F26" w:rsidP="00C54F26">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de la Ley de enjuiciamiento civil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19 de noviembre de 2018 declaró extemporánea la presentación del escrito de oposición, computando el plazo de diez días desde la fecha de envío de aquel correo a través de la dirección electrónica habilitada.</w:t>
      </w:r>
    </w:p>
    <w:p w:rsidR="00C54F26" w:rsidRDefault="00C54F26" w:rsidP="00C54F26">
      <w:pPr>
        <w:pStyle w:val="TextoNormal"/>
      </w:pPr>
    </w:p>
    <w:p w:rsidR="00C54F26" w:rsidRDefault="00C54F26" w:rsidP="00C54F26">
      <w:pPr>
        <w:pStyle w:val="TextoNormal"/>
      </w:pPr>
      <w:r>
        <w:lastRenderedPageBreak/>
        <w:t>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FFJJ 2 a 5 de dicha STC 47/2019.</w:t>
      </w:r>
    </w:p>
    <w:p w:rsidR="00C54F26" w:rsidRDefault="00C54F26" w:rsidP="00C54F26">
      <w:pPr>
        <w:pStyle w:val="TextoNormal"/>
      </w:pPr>
    </w:p>
    <w:p w:rsidR="00C54F26" w:rsidRDefault="00C54F26" w:rsidP="00C54F26">
      <w:pPr>
        <w:pStyle w:val="TextoNormal"/>
      </w:pPr>
      <w:r>
        <w:t>Sobre el auto de 30 de octubre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C54F26" w:rsidRDefault="00C54F26" w:rsidP="00C54F26">
      <w:pPr>
        <w:pStyle w:val="TextoNormal"/>
      </w:pPr>
    </w:p>
    <w:p w:rsidR="00C54F26" w:rsidRDefault="00C54F26" w:rsidP="00C54F26">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C54F26">
        <w:rPr>
          <w:i/>
        </w:rPr>
        <w:t>a quo</w:t>
      </w:r>
      <w:r>
        <w:t xml:space="preserve"> admita a trámite la oposición al despacho de ejecución formulada.</w:t>
      </w:r>
    </w:p>
    <w:p w:rsidR="00C54F26" w:rsidRDefault="00C54F26" w:rsidP="00C54F26">
      <w:pPr>
        <w:pStyle w:val="TextoNormal"/>
      </w:pPr>
    </w:p>
    <w:p w:rsidR="00C54F26" w:rsidRDefault="00C54F26" w:rsidP="00C54F26">
      <w:pPr>
        <w:pStyle w:val="TextoNormal"/>
      </w:pPr>
      <w:r>
        <w:t>Por medio de un “segundo otrosí digo”, el escrito de demanda argumentó “que la continuación de la ejecución derivadas (</w:t>
      </w:r>
      <w:r w:rsidRPr="00C54F26">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363-2018 seguido ante el Juzgado de Primer Instancia e Instrucción número 4 de Lorca, hasta tanto sea resuelto el presente recurso de amparo, poniéndolo en conocimiento del órgano judicial”.</w:t>
      </w:r>
    </w:p>
    <w:p w:rsidR="00C54F26" w:rsidRDefault="00C54F26" w:rsidP="00C54F26">
      <w:pPr>
        <w:pStyle w:val="TextoNormal"/>
      </w:pPr>
    </w:p>
    <w:p w:rsidR="00C54F26" w:rsidRDefault="00C54F26" w:rsidP="00C54F26">
      <w:pPr>
        <w:pStyle w:val="TextoNormal"/>
      </w:pPr>
      <w:r w:rsidRPr="00C54F26">
        <w:rPr>
          <w:rStyle w:val="NumeroAFNegritaCaracter"/>
        </w:rPr>
        <w:t>4</w:t>
      </w:r>
      <w:r>
        <w:t>. La secretaría de justicia de la Sección Cuarta, Sala Segunda, de este Tribunal Constitucional, dictó diligencia de ordenación el 19 de enero de 2020 haciendo constar una nota de la secretaría general comunicando la aparente conexión del presente recurso, con el núm. 7502-2019, de esta misma Sala.</w:t>
      </w:r>
    </w:p>
    <w:p w:rsidR="00C54F26" w:rsidRDefault="00C54F26" w:rsidP="00C54F26">
      <w:pPr>
        <w:pStyle w:val="TextoNormal"/>
      </w:pPr>
    </w:p>
    <w:p w:rsidR="00C54F26" w:rsidRDefault="00C54F26" w:rsidP="00C54F26">
      <w:pPr>
        <w:pStyle w:val="TextoNormal"/>
      </w:pPr>
      <w:r>
        <w:t>Con fecha 27 de enero de 2020, la presidenta de la Sala Segunda de este tribunal dictó acuerdo de conexión entre los dos recursos de amparo citados, disponiendo “que la ponencia del segundo de dichos recursos corresponda al magistrado ponente del recurso 7502-2019”.</w:t>
      </w:r>
    </w:p>
    <w:p w:rsidR="00C54F26" w:rsidRDefault="00C54F26" w:rsidP="00C54F26">
      <w:pPr>
        <w:pStyle w:val="TextoNormal"/>
      </w:pPr>
    </w:p>
    <w:p w:rsidR="00C54F26" w:rsidRDefault="00C54F26" w:rsidP="00C54F26">
      <w:pPr>
        <w:pStyle w:val="TextoNormal"/>
      </w:pPr>
      <w:r w:rsidRPr="00C54F26">
        <w:rPr>
          <w:rStyle w:val="NumeroAFNegritaCaracter"/>
        </w:rPr>
        <w:t>5</w:t>
      </w:r>
      <w:r>
        <w:t xml:space="preserve">. Por escrito presentado ante este tribunal el 6 de octubre de 2020, la procuradora de los tribunales doña María Claudia Munteanu, actuando en representación de la entidad Pera Assets Designated Activity Company, alegó haber recibido diligencia de ordenación del juzgado </w:t>
      </w:r>
      <w:r w:rsidRPr="00C54F26">
        <w:rPr>
          <w:i/>
        </w:rPr>
        <w:t>a quo</w:t>
      </w:r>
      <w:r>
        <w:t xml:space="preserve"> de 1 de septiembre de 2020, para su emplazamiento en este proceso de amparo 7512-2019, razón por la cual se persona en nombre de su representada, solicitando se la tenga por parte y se entiendan con dicha profesional las diligencias sucesivas.</w:t>
      </w:r>
    </w:p>
    <w:p w:rsidR="00C54F26" w:rsidRDefault="00C54F26" w:rsidP="00C54F26">
      <w:pPr>
        <w:pStyle w:val="TextoNormal"/>
      </w:pPr>
    </w:p>
    <w:p w:rsidR="00C54F26" w:rsidRDefault="00C54F26" w:rsidP="00C54F26">
      <w:pPr>
        <w:pStyle w:val="TextoNormal"/>
      </w:pPr>
      <w:r>
        <w:lastRenderedPageBreak/>
        <w:t>En su respuesta, la secretaría de justicia de la Sección Cuarta de este tribunal dictó diligencia de ordenación el 7 de octubre de 2020 por la que, en relación con el escrito de la procuradora por la que “trata de personarse en el recurso”, se acuerda “no admitir dicha personación, toda vez que de conformidad con la Ley Orgánica del Tribunal Constitucional solo una vez admitida la demanda de amparo, podrá tener lugar el emplazamiento, a través del órgano judicial correspondiente, de quienes fueron parte en el procedimiento antecede (artículo 51.2 LOTC). No es posible, por tanto, personación o intervención alguna de otras partes interesadas distintas del demandante, en la fase preliminar de admisión de la demanda de amparo”.</w:t>
      </w:r>
    </w:p>
    <w:p w:rsidR="00C54F26" w:rsidRDefault="00C54F26" w:rsidP="00C54F26">
      <w:pPr>
        <w:pStyle w:val="TextoNormal"/>
      </w:pPr>
    </w:p>
    <w:p w:rsidR="00C54F26" w:rsidRDefault="00C54F26" w:rsidP="00C54F26">
      <w:pPr>
        <w:pStyle w:val="TextoNormal"/>
      </w:pPr>
      <w:r w:rsidRPr="00C54F26">
        <w:rPr>
          <w:rStyle w:val="NumeroAFNegritaCaracter"/>
        </w:rPr>
        <w:t>6</w:t>
      </w:r>
      <w:r>
        <w:t>. La Sección Cuarta de este tribunal dictó providencia el 30 de noviembre de 2020 del siguiente tenor:</w:t>
      </w:r>
    </w:p>
    <w:p w:rsidR="00C54F26" w:rsidRDefault="00C54F26" w:rsidP="00C54F26">
      <w:pPr>
        <w:pStyle w:val="TextoNormal"/>
      </w:pPr>
    </w:p>
    <w:p w:rsidR="00C54F26" w:rsidRDefault="00C54F26" w:rsidP="00C54F26">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w:t>
      </w:r>
    </w:p>
    <w:p w:rsidR="00C54F26" w:rsidRDefault="00C54F26" w:rsidP="00C54F26">
      <w:pPr>
        <w:pStyle w:val="TextoNormal"/>
      </w:pPr>
    </w:p>
    <w:p w:rsidR="00C54F26" w:rsidRDefault="00C54F26" w:rsidP="00C54F26">
      <w:pPr>
        <w:pStyle w:val="TextoNormal"/>
      </w:pPr>
      <w:r>
        <w:t>Diríjase atenta comunicación a Juzgado de Primera Instancia e Instrucción núm. 4 de Lorca a fin de que, y toda vez que ya constan recibidas las actuaciones de instancia, se emplace a quienes hubieren sido parte en el procedimiento, excepto la parte recurrente en amparo para que en el plazo de diez días puedan comparecer, si lo desean, en el recurso de amparo.</w:t>
      </w:r>
    </w:p>
    <w:p w:rsidR="00C54F26" w:rsidRDefault="00C54F26" w:rsidP="00C54F26">
      <w:pPr>
        <w:pStyle w:val="TextoNormal"/>
      </w:pPr>
    </w:p>
    <w:p w:rsidR="00C54F26" w:rsidRDefault="00C54F26" w:rsidP="00C54F26">
      <w:pPr>
        <w:pStyle w:val="TextoNormal"/>
      </w:pPr>
      <w:r>
        <w:t>De conformidad con la solicitud de la parte actora, fórmese la correspondiente pieza separada de suspensión”.</w:t>
      </w:r>
    </w:p>
    <w:p w:rsidR="00C54F26" w:rsidRDefault="00C54F26" w:rsidP="00C54F26">
      <w:pPr>
        <w:pStyle w:val="TextoNormal"/>
      </w:pPr>
    </w:p>
    <w:p w:rsidR="00C54F26" w:rsidRDefault="00C54F26" w:rsidP="00C54F26">
      <w:pPr>
        <w:pStyle w:val="TextoNormal"/>
      </w:pPr>
      <w:r w:rsidRPr="00C54F26">
        <w:rPr>
          <w:rStyle w:val="NumeroAFNegritaCaracter"/>
        </w:rPr>
        <w:t>7</w:t>
      </w:r>
      <w:r>
        <w:t>. Por nueva providencia dictada por la Sección Cuarta de este tribunal en la misma fecha de la admisión del recurso, el 30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C54F26" w:rsidRDefault="00C54F26" w:rsidP="00C54F26">
      <w:pPr>
        <w:pStyle w:val="TextoNormal"/>
      </w:pPr>
    </w:p>
    <w:p w:rsidR="00C54F26" w:rsidRDefault="00C54F26" w:rsidP="00C54F26">
      <w:pPr>
        <w:pStyle w:val="TextoNormal"/>
      </w:pPr>
      <w:r w:rsidRPr="00C54F26">
        <w:rPr>
          <w:rStyle w:val="NumeroAFNegritaCaracter"/>
        </w:rPr>
        <w:t>8</w:t>
      </w:r>
      <w:r>
        <w:t>. La representación procesal de la entidad recurrente presentó su escrito de alegaciones con fecha 11 de diciembre de 2020, interesando se acceda a lo solicitado en cuanto a la suspensión del procedimiento de ejecución hipotecaria referido.</w:t>
      </w:r>
    </w:p>
    <w:p w:rsidR="00C54F26" w:rsidRDefault="00C54F26" w:rsidP="00C54F26">
      <w:pPr>
        <w:pStyle w:val="TextoNormal"/>
      </w:pPr>
    </w:p>
    <w:p w:rsidR="00C54F26" w:rsidRDefault="00C54F26" w:rsidP="00C54F26">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58/2018, de 4 de junio, y 117/2018 de 29 de octubre; reiterando a renglón seguido las vul</w:t>
      </w:r>
      <w:r>
        <w:lastRenderedPageBreak/>
        <w:t>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C54F26" w:rsidRDefault="00C54F26" w:rsidP="00C54F26">
      <w:pPr>
        <w:pStyle w:val="TextoNormal"/>
      </w:pPr>
    </w:p>
    <w:p w:rsidR="00C54F26" w:rsidRDefault="00C54F26" w:rsidP="00C54F26">
      <w:pPr>
        <w:pStyle w:val="TextoNormal"/>
      </w:pPr>
      <w:r w:rsidRPr="00C54F26">
        <w:rPr>
          <w:rStyle w:val="NumeroAFNegritaCaracter"/>
        </w:rPr>
        <w:t>9</w:t>
      </w:r>
      <w:r>
        <w:t>. Por su parte, la fiscal ante este Tribunal Constitucional formalizó su escrito de alegaciones en esta pieza el 15 de diciembre de 2020, interesando que adoptemos únicamente la medida de anotación preventiva de la demanda de amparo.</w:t>
      </w:r>
    </w:p>
    <w:p w:rsidR="00C54F26" w:rsidRDefault="00C54F26" w:rsidP="00C54F26">
      <w:pPr>
        <w:pStyle w:val="TextoNormal"/>
      </w:pPr>
    </w:p>
    <w:p w:rsidR="00C54F26" w:rsidRDefault="00C54F26" w:rsidP="00C54F26">
      <w:pPr>
        <w:pStyle w:val="TextoNormal"/>
      </w:pPr>
      <w:r>
        <w:t>Tras hacer cita del art. 56.2 LOTC y del ATC 127/2015, de 20 de julio, FJ 1, considera la fiscal que la entidad recurrente funda su solicitud de suspensión en la pérdida de finalidad del recurso, “sin explicitar ninguna razón que permita afirmar que la continuación del procedimiento judicial incluso con desplazamiento posesorio, provoque un perjuicio determinante de la pérdida de la finalidad del recurso de amparo”. De manera distinta, sostiene que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00C54F26" w:rsidRDefault="00C54F26" w:rsidP="00C54F26">
      <w:pPr>
        <w:pStyle w:val="TextoNormal"/>
      </w:pPr>
    </w:p>
    <w:p w:rsidR="00C54F26" w:rsidRDefault="00C54F26" w:rsidP="00C54F26">
      <w:pPr>
        <w:pStyle w:val="TextoNormal"/>
      </w:pPr>
      <w:r>
        <w:t xml:space="preserve">Añade que no tiene dudas de que este tribunal puede acordar dicha medida, </w:t>
      </w:r>
      <w:r w:rsidRPr="00C54F26">
        <w:rPr>
          <w:i/>
        </w:rPr>
        <w:t>ex</w:t>
      </w:r>
      <w:r>
        <w:t xml:space="preserve"> art. 56.3 LOTC, conforme tiene establecido nuestra doctrina, con cita del ATC 2/2019, de 9 de enero, FJ 4. Entiende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sería que imposible [</w:t>
      </w:r>
      <w:r w:rsidRPr="00C54F26">
        <w:rPr>
          <w:i/>
        </w:rPr>
        <w:t>sic</w:t>
      </w:r>
      <w:r>
        <w:t>]”.</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determinar la procedencia o no de la medida cautelar instada por la parte recurrente en amparo y dirigida frente al procedimiento de ejecución hipotecaria núm. 363-2018 seguido en el Juzgado de Primera Instancia e Instrucción núm. 4 de Lorca.</w:t>
      </w:r>
    </w:p>
    <w:p w:rsidR="00C54F26" w:rsidRDefault="00C54F26" w:rsidP="00C54F26">
      <w:pPr>
        <w:pStyle w:val="TextoNormal"/>
      </w:pPr>
    </w:p>
    <w:p w:rsidR="00C54F26" w:rsidRDefault="00C54F26" w:rsidP="00C54F26">
      <w:pPr>
        <w:pStyle w:val="TextoNormal"/>
      </w:pPr>
      <w:r w:rsidRPr="00C54F26">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54F26" w:rsidRDefault="00C54F26" w:rsidP="00C54F26">
      <w:pPr>
        <w:pStyle w:val="TextoNormal"/>
      </w:pPr>
    </w:p>
    <w:p w:rsidR="00C54F26" w:rsidRDefault="00C54F26" w:rsidP="00C54F26">
      <w:pPr>
        <w:pStyle w:val="TextoNormal"/>
      </w:pPr>
      <w:r>
        <w:lastRenderedPageBreak/>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54F26" w:rsidRDefault="00C54F26" w:rsidP="00C54F26">
      <w:pPr>
        <w:pStyle w:val="TextoNormal"/>
      </w:pPr>
    </w:p>
    <w:p w:rsidR="00C54F26" w:rsidRDefault="00C54F26" w:rsidP="00C54F26">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C54F26" w:rsidRDefault="00C54F26" w:rsidP="00C54F26">
      <w:pPr>
        <w:pStyle w:val="TextoNormal"/>
      </w:pPr>
    </w:p>
    <w:p w:rsidR="00C54F26" w:rsidRDefault="00C54F26" w:rsidP="00C54F26">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54F26" w:rsidRDefault="00C54F26" w:rsidP="00C54F26">
      <w:pPr>
        <w:pStyle w:val="TextoNormal"/>
      </w:pPr>
    </w:p>
    <w:p w:rsidR="00C54F26" w:rsidRDefault="00C54F26" w:rsidP="00C54F26">
      <w:pPr>
        <w:pStyle w:val="TextoNormal"/>
      </w:pPr>
      <w:r w:rsidRPr="00C54F26">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C54F26" w:rsidRDefault="00C54F26" w:rsidP="00C54F26">
      <w:pPr>
        <w:pStyle w:val="TextoNormal"/>
      </w:pPr>
    </w:p>
    <w:p w:rsidR="00C54F26" w:rsidRDefault="00C54F26" w:rsidP="00C54F26">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C54F26" w:rsidRDefault="00C54F26" w:rsidP="00C54F26">
      <w:pPr>
        <w:pStyle w:val="TextoNormal"/>
      </w:pPr>
    </w:p>
    <w:p w:rsidR="00C54F26" w:rsidRDefault="00C54F26" w:rsidP="00C54F26">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C54F26" w:rsidRDefault="00C54F26" w:rsidP="00C54F26">
      <w:pPr>
        <w:pStyle w:val="TextoNormal"/>
      </w:pPr>
    </w:p>
    <w:p w:rsidR="00C54F26" w:rsidRDefault="00C54F26" w:rsidP="00C54F26">
      <w:pPr>
        <w:pStyle w:val="TextoNormal"/>
      </w:pPr>
      <w:r>
        <w:t xml:space="preserve">Esta misma ha sido la solución acogida recientemente, entre otros, en los AATC 106/2017, de 17 de julio, FJ 3; 88/2018, de 17 de septiembre, FJ 5, y 2/2019, de 9 de enero, </w:t>
      </w:r>
      <w:r>
        <w:lastRenderedPageBreak/>
        <w:t>FJ 4; así como en el ATC 85/2019, de 15 de julio, donde se plantearon los mismos argumentos que aquí para solicitar la suspensión por la otra entidad ejecutada.</w:t>
      </w:r>
    </w:p>
    <w:p w:rsidR="00C54F26" w:rsidRDefault="00C54F26" w:rsidP="00C54F26">
      <w:pPr>
        <w:pStyle w:val="TextoNormal"/>
      </w:pPr>
    </w:p>
    <w:p w:rsidR="00C54F26" w:rsidRDefault="00C54F26" w:rsidP="00C54F26">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C54F26" w:rsidRDefault="00C54F26" w:rsidP="00C54F26">
      <w:pPr>
        <w:pStyle w:val="TextoNormal"/>
      </w:pPr>
    </w:p>
    <w:p w:rsidR="00C54F26" w:rsidRDefault="00C54F26" w:rsidP="00C54F26">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C54F26" w:rsidRDefault="00C54F26" w:rsidP="00C54F26">
      <w:pPr>
        <w:pStyle w:val="TextoNormal"/>
      </w:pPr>
    </w:p>
    <w:p w:rsidR="00C54F26" w:rsidRDefault="00C54F26" w:rsidP="00C54F26">
      <w:pPr>
        <w:pStyle w:val="TextoNormal"/>
      </w:pPr>
      <w:r w:rsidRPr="00C54F26">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Euroinversiones Inmobiliarias Costa Sur, S.L.</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Denegar la suspensión cautelar solicitada del procedimiento de ejecución hipotecaria núm. 363-2018 seguido en el Juzgado de Primera Instancia e Instrucción núm. 4 de Lorca.</w:t>
      </w:r>
    </w:p>
    <w:p w:rsidR="00C54F26" w:rsidRDefault="00C54F26" w:rsidP="00C54F26">
      <w:pPr>
        <w:pStyle w:val="TextoNormal"/>
      </w:pPr>
    </w:p>
    <w:p w:rsidR="00C54F26" w:rsidRDefault="00C54F26" w:rsidP="00C54F26">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54F26" w:rsidRDefault="00C54F26" w:rsidP="00C54F26">
      <w:pPr>
        <w:pStyle w:val="TextoNormal"/>
      </w:pPr>
    </w:p>
    <w:p w:rsidR="00C54F26" w:rsidRDefault="00C54F26" w:rsidP="00C54F26">
      <w:pPr>
        <w:pStyle w:val="TextoNormal"/>
      </w:pPr>
      <w:r>
        <w:t>Madrid, a veinticinco de enero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44" w:name="AUTO_2021_3"/>
      <w:r>
        <w:lastRenderedPageBreak/>
        <w:t>AUTO 3/2021, de 25 de enero de 2021</w:t>
      </w:r>
    </w:p>
    <w:bookmarkEnd w:id="144"/>
    <w:p w:rsidR="00C54F26" w:rsidRDefault="00C54F26" w:rsidP="00C54F26">
      <w:pPr>
        <w:pStyle w:val="TtuloResolucin"/>
      </w:pPr>
      <w:r>
        <w:t>Sala Segunda</w:t>
      </w:r>
    </w:p>
    <w:p w:rsidR="00C54F26" w:rsidRDefault="00C54F26" w:rsidP="00C54F26">
      <w:pPr>
        <w:pStyle w:val="TextoNormalCentrado"/>
      </w:pPr>
      <w:r>
        <w:t>ECLI:ES:TC:2021:3A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Deniega la suspensión y ordena la anotación preventiva de la demanda en el recurso de amparo 7528-2019, promovido por Euroinversiones Inmobiliarias Costa Sur, S.L.,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La entidad mercantil Euroinversiones Inmobiliarias Costa Sur, S.L., solicita la suspensión del proceso de ejecución hipotecaria núm. 349-2018 tramitado por el Juzgado de Primera Instancia e Instrucción núm. 4 de Lorca. Lo hace por otrosí en el escrito de 24 de diciembre de 2019, que tuvo entrada en este Tribunal con fecha de 26 de diciembre de 2019, por el que interpone recurso de amparo contra los autos de 30 de octubre de 2019 y 14 de noviembre de 2018 recaídos en aquel proceso.</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Los hechos relevantes para resolver sobre la medida cautelar solicitada son los siguientes: </w:t>
      </w:r>
    </w:p>
    <w:p w:rsidR="00C54F26" w:rsidRDefault="00C54F26" w:rsidP="00C54F26">
      <w:pPr>
        <w:pStyle w:val="TextoNormal"/>
      </w:pPr>
    </w:p>
    <w:p w:rsidR="00C54F26" w:rsidRDefault="00C54F26" w:rsidP="00C54F26">
      <w:pPr>
        <w:pStyle w:val="TextoNormal"/>
      </w:pPr>
      <w:r>
        <w:t>a) Ante el Juzgado de Primera Instancia e Instrucción núm. 4 de Lorca se tramita, a instancia de Banco de Sabadell, S.A., frente a las sociedades Euroinversiones Inmobiliarias Costa Sur, S.L. y Penrei Inversiones, S.L., el proceso de ejecución hipotecaria núm. 349-2018.</w:t>
      </w:r>
    </w:p>
    <w:p w:rsidR="00C54F26" w:rsidRDefault="00C54F26" w:rsidP="00C54F26">
      <w:pPr>
        <w:pStyle w:val="TextoNormal"/>
      </w:pPr>
    </w:p>
    <w:p w:rsidR="00C54F26" w:rsidRDefault="00C54F26" w:rsidP="00C54F26">
      <w:pPr>
        <w:pStyle w:val="TextoNormal"/>
      </w:pPr>
      <w:r>
        <w:t>b) Despachada ejecución por auto de 18 de junio de 2018, las sociedades demandadas fueron requeridas y notificadas a través de la sede judicial electrónica el día 20 de junio de 2018.</w:t>
      </w:r>
    </w:p>
    <w:p w:rsidR="00C54F26" w:rsidRDefault="00C54F26" w:rsidP="00C54F26">
      <w:pPr>
        <w:pStyle w:val="TextoNormal"/>
      </w:pPr>
    </w:p>
    <w:p w:rsidR="00C54F26" w:rsidRDefault="00C54F26" w:rsidP="00C54F26">
      <w:pPr>
        <w:pStyle w:val="TextoNormal"/>
      </w:pPr>
      <w:r>
        <w:t>c) Según expone la demandante de amparo, con fecha de 27 de julio de 2018, dentro del plazo concedido para acceder a la notificación, accedió a la página web indicada en el aviso de puesta a disposición de la notificación, y procedió a la descarga de la misma, emitiéndose por el servicio de soporte del servicio de notificaciones electrónicas y dirección electrónica habilitada de la Fábrica Nacional de Moneda y Timbre el pertinente certificado, que acredita que el conocimiento por la destinataria del auto de despacho de ejecución, del decreto de igual fecha, del requerimiento de pago, así como de la demanda y demás documentos acompañados a la misma.</w:t>
      </w:r>
    </w:p>
    <w:p w:rsidR="00C54F26" w:rsidRDefault="00C54F26" w:rsidP="00C54F26">
      <w:pPr>
        <w:pStyle w:val="TextoNormal"/>
      </w:pPr>
    </w:p>
    <w:p w:rsidR="00C54F26" w:rsidRDefault="00C54F26" w:rsidP="00C54F26">
      <w:pPr>
        <w:pStyle w:val="TextoNormal"/>
      </w:pPr>
      <w:r>
        <w:lastRenderedPageBreak/>
        <w:t>d) Con fecha de fecha 28 de agosto de 2018, la sociedad Euroinversiones Inmobiliaria Costa Sur, S.L., presentó escrito de oposición al despacho de ejecución, acompañando una serie de documentos. Respecto del cómputo del plazo entiende que al haber sido notificada en fecha 27 de julio de 2018, y siendo agosto mes inhábil, el plazo para la presentación de la oposición a la ejecución hipotecaria hubiera vencido el día 12 de septiembre de 2018, por lo que la oposición estaba presentada dentro del plazo concedido.</w:t>
      </w:r>
    </w:p>
    <w:p w:rsidR="00C54F26" w:rsidRDefault="00C54F26" w:rsidP="00C54F26">
      <w:pPr>
        <w:pStyle w:val="TextoNormal"/>
      </w:pPr>
    </w:p>
    <w:p w:rsidR="00C54F26" w:rsidRDefault="00C54F26" w:rsidP="00C54F26">
      <w:pPr>
        <w:pStyle w:val="TextoNormal"/>
      </w:pPr>
      <w:r>
        <w:t>e) Por auto de 14 de noviembre de 2018, el órgano judicial inadmite el escrito, al considerar precluido el trámite de oposición [arts. 134 y 136 de la Ley de enjuiciamiento civil (LEC), en relación con el art. 695 LEC]. Así, sostiene que debió haberse planteado la oposición dentro de los diez días siguientes a la notificación del auto y decreto por el que se despachó la ejecución (de fecha de 20 de junio de 2020) y la ejecutada lo hizo con fecha de 28 de agosto de 2020, es decir, pasado el término concedido para ello.Euroinversiones Inmobiliarias Costa Sur, S.L., interpuso recurso de reposición frente al anterior auto, realizando la formal denuncia de vulneración del art. 24 CE que fue desestimado por auto de fecha 30 de octubre de 2019. Para alcanzar este fallo, en un fundamento jurídico único se razona que “[L]os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20/06/2018, fecha en la que se materializó la ‘puesta a disposición’ de la notificación correctamente y del propio documento resulta que pasaron más de tres días desde la misma sin que se hubiera accedido al contenido hasta el día 27 de julio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00C54F26" w:rsidRDefault="00C54F26" w:rsidP="00C54F26">
      <w:pPr>
        <w:pStyle w:val="TextoNormal"/>
      </w:pPr>
    </w:p>
    <w:p w:rsidR="00C54F26" w:rsidRDefault="00C54F26" w:rsidP="00C54F26">
      <w:pPr>
        <w:pStyle w:val="TextoNormal"/>
      </w:pPr>
      <w:r w:rsidRPr="00C54F26">
        <w:rPr>
          <w:rStyle w:val="NumeroAFNegritaCaracter"/>
        </w:rPr>
        <w:t>3</w:t>
      </w:r>
      <w:r>
        <w:t>.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4</w:t>
      </w:r>
      <w:r>
        <w:t xml:space="preserve">. La secretaría de justicia de la Sección Tercera Sala Segunda, de este Tribunal Constitucional, dictó diligencia de ordenación el 31 de enero de 2020, solicitando al juzgado </w:t>
      </w:r>
      <w:r w:rsidRPr="00C54F26">
        <w:rPr>
          <w:i/>
        </w:rPr>
        <w:t>a quo</w:t>
      </w:r>
      <w:r>
        <w:t xml:space="preserve"> la remisión, a la mayor brevedad posible, de certificación o fotocopia adverada de las actuaciones correspondientes al procedimiento de ejecución hipotecaria seguido en ese juzgado con el número 349-2018.</w:t>
      </w:r>
    </w:p>
    <w:p w:rsidR="00C54F26" w:rsidRDefault="00C54F26" w:rsidP="00C54F26">
      <w:pPr>
        <w:pStyle w:val="TextoNormal"/>
      </w:pPr>
    </w:p>
    <w:p w:rsidR="00C54F26" w:rsidRDefault="00C54F26" w:rsidP="00C54F26">
      <w:pPr>
        <w:pStyle w:val="TextoNormal"/>
      </w:pPr>
      <w:r w:rsidRPr="00C54F26">
        <w:rPr>
          <w:rStyle w:val="NumeroAFNegritaCaracter"/>
        </w:rPr>
        <w:t>5</w:t>
      </w:r>
      <w:r>
        <w:t>. Mediante providencia de 15 de octubre de 2020, la Sección Segunda de este tribunal acordó admitir a trámite el recurso y dirigir comunicación al Juzgado de Primera Instancia e Instrucción núm. 4 de Lorca, a fin de que, en el plazo de diez días, emplazase a quienes hubieran sido parte en el proceso del que trae causa el presente recurso de amparo.</w:t>
      </w:r>
    </w:p>
    <w:p w:rsidR="00C54F26" w:rsidRDefault="00C54F26" w:rsidP="00C54F26">
      <w:pPr>
        <w:pStyle w:val="TextoNormal"/>
      </w:pPr>
    </w:p>
    <w:p w:rsidR="00C54F26" w:rsidRDefault="00C54F26" w:rsidP="00C54F26">
      <w:pPr>
        <w:pStyle w:val="TextoNormal"/>
      </w:pPr>
      <w:r w:rsidRPr="00C54F26">
        <w:rPr>
          <w:rStyle w:val="NumeroAFNegritaCaracter"/>
        </w:rPr>
        <w:t>6</w:t>
      </w:r>
      <w:r>
        <w:t>. Por providencia de la misma fecha, la Sección acordó formar la oportuna pieza para la tramitación del incidente de suspensión y, conforme a lo dispuesto en el art. 56 de la Ley Orgánica del Tribunal Constitucional (LOTC), conceder un plazo común de tres días a la parte recurrente y al Ministerio Fiscal para que alegasen lo que estimaran pertinente.</w:t>
      </w:r>
    </w:p>
    <w:p w:rsidR="00C54F26" w:rsidRDefault="00C54F26" w:rsidP="00C54F26">
      <w:pPr>
        <w:pStyle w:val="TextoNormal"/>
      </w:pPr>
    </w:p>
    <w:p w:rsidR="00C54F26" w:rsidRDefault="00C54F26" w:rsidP="00C54F26">
      <w:pPr>
        <w:pStyle w:val="TextoNormal"/>
      </w:pPr>
      <w:r w:rsidRPr="00C54F26">
        <w:rPr>
          <w:rStyle w:val="NumeroAFNegritaCaracter"/>
        </w:rPr>
        <w:t>7</w:t>
      </w:r>
      <w:r>
        <w:t>. Mediante escrito registrado el 28 de octubre de 2020, la demandante de amparo presentó sus alegaciones, insistiendo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00C54F26" w:rsidRDefault="00C54F26" w:rsidP="00C54F26">
      <w:pPr>
        <w:pStyle w:val="TextoNormal"/>
      </w:pPr>
    </w:p>
    <w:p w:rsidR="00C54F26" w:rsidRDefault="00C54F26" w:rsidP="00C54F26">
      <w:pPr>
        <w:pStyle w:val="TextoNormal"/>
      </w:pPr>
      <w:r w:rsidRPr="00C54F26">
        <w:rPr>
          <w:rStyle w:val="NumeroAFNegritaCaracter"/>
        </w:rPr>
        <w:t>8</w:t>
      </w:r>
      <w:r>
        <w:t>. Mediante escrito de alegaciones, registrado en este tribunal el 4 de noviembre de 2020, el Ministerio Fiscal interesa que se acuerde la anotación preventiva de la demanda en el registro de la propiedad, pese a no haber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resolver sobre la procedencia de la medida cautelar instada por la parte recurrente en amparo y dirigida frente al procedimiento de ejecución hipotecaria núm. 349-2018 seguido en el Juzgado de Primera Instancia e Instrucción núm. 4 de Lorca.</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w:t>
      </w:r>
      <w:r>
        <w:lastRenderedPageBreak/>
        <w:t>Por esta razón se configura como una medida de carácter excepcional y de aplicación restrictiva (por todos, AATC 117/2015, de 6 de julio, FJ 1, y 59/2017, de 24 de abril, FJ 1). Este tribunal viene exigiendo a quien lo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120 27 de marzo, FJ 1; 190/2015, de 5 de noviembre, FJ 2 a); 59/2017, de 24 de abril, 146 FJ 1, y 147/2017, de 13 de noviembre, FJ 1].</w:t>
      </w:r>
    </w:p>
    <w:p w:rsidR="00C54F26" w:rsidRDefault="00C54F26" w:rsidP="00C54F26">
      <w:pPr>
        <w:pStyle w:val="TextoNormal"/>
      </w:pPr>
    </w:p>
    <w:p w:rsidR="00C54F26" w:rsidRDefault="00C54F26" w:rsidP="00C54F26">
      <w:pPr>
        <w:pStyle w:val="TextoNormal"/>
      </w:pPr>
      <w:r>
        <w:t>Interesa subrayar que una consolidada doctrina constitucional, de la que son buena muestra, entre otros muchos, los AATC 220/2008, de 14 de julio, FJ 2;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54F26" w:rsidRDefault="00C54F26" w:rsidP="00C54F26">
      <w:pPr>
        <w:pStyle w:val="TextoNormal"/>
      </w:pPr>
    </w:p>
    <w:p w:rsidR="00C54F26" w:rsidRDefault="00C54F26" w:rsidP="00C54F26">
      <w:pPr>
        <w:pStyle w:val="TextoNormal"/>
      </w:pPr>
      <w:r w:rsidRPr="00C54F26">
        <w:rPr>
          <w:rStyle w:val="NumeroAFNegritaCaracter"/>
        </w:rPr>
        <w:t>3</w:t>
      </w:r>
      <w:r>
        <w:t>.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00C54F26" w:rsidRDefault="00C54F26" w:rsidP="00C54F26">
      <w:pPr>
        <w:pStyle w:val="TextoNormal"/>
      </w:pPr>
    </w:p>
    <w:p w:rsidR="00C54F26" w:rsidRDefault="00C54F26" w:rsidP="00C54F26">
      <w:pPr>
        <w:pStyle w:val="TextoNormal"/>
      </w:pPr>
      <w:r>
        <w:t>A pesar de dar buena muestra de las anteriores resoluciones de este tribunal en casos idénticos planteados por la propia demandante de amparo, pues la cita de las mismas es abundante en su escrito se limita de nuevo a poner de manifiesto, genéricamente, que la eventual adjudicación a terceros del inmueble objeto de ejecución hipotecaria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C54F26" w:rsidRDefault="00C54F26" w:rsidP="00C54F26">
      <w:pPr>
        <w:pStyle w:val="TextoNormal"/>
      </w:pPr>
    </w:p>
    <w:p w:rsidR="00C54F26" w:rsidRDefault="00C54F26" w:rsidP="00C54F26">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en los AATC 75/2019 y 76/2019, ambos de 15 de julio, entre muchos otros.</w:t>
      </w:r>
    </w:p>
    <w:p w:rsidR="00C54F26" w:rsidRDefault="00C54F26" w:rsidP="00C54F26">
      <w:pPr>
        <w:pStyle w:val="TextoNormal"/>
      </w:pPr>
    </w:p>
    <w:p w:rsidR="00C54F26" w:rsidRDefault="00C54F26" w:rsidP="00C54F26">
      <w:pPr>
        <w:pStyle w:val="TextoNormal"/>
      </w:pPr>
      <w:r>
        <w:lastRenderedPageBreak/>
        <w:t>Cabe recordar, como hemos hecho en supuestos anteriores,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168 (AATC 257/2003, de 14 de julio, 406/2003, 192 de 15 de diciembre, 230/2007, de 7 de mayo, FJ 3; y 415/2007, de 5 de noviembre, FJ 4; y 217/2012, de 26 de noviembre, FJ 2).</w:t>
      </w:r>
    </w:p>
    <w:p w:rsidR="00C54F26" w:rsidRDefault="00C54F26" w:rsidP="00C54F26">
      <w:pPr>
        <w:pStyle w:val="TextoNormal"/>
      </w:pPr>
    </w:p>
    <w:p w:rsidR="00C54F26" w:rsidRDefault="00C54F26" w:rsidP="00C54F26">
      <w:pPr>
        <w:pStyle w:val="TextoNormal"/>
      </w:pPr>
      <w:r w:rsidRPr="00C54F26">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Denegar la suspensión cautelar solicitada del procedimiento de ejecución hipotecaria núm. 349-2018 seguido en el Juzgado de Primera Instancia e Instrucción núm. 4 de Lorca.</w:t>
      </w:r>
    </w:p>
    <w:p w:rsidR="00C54F26" w:rsidRDefault="00C54F26" w:rsidP="00C54F26">
      <w:pPr>
        <w:pStyle w:val="TextoNormal"/>
      </w:pPr>
    </w:p>
    <w:p w:rsidR="00C54F26" w:rsidRDefault="00C54F26" w:rsidP="00C54F26">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54F26" w:rsidRDefault="00C54F26" w:rsidP="00C54F26">
      <w:pPr>
        <w:pStyle w:val="TextoNormal"/>
      </w:pPr>
    </w:p>
    <w:p w:rsidR="00C54F26" w:rsidRDefault="00C54F26" w:rsidP="00C54F26">
      <w:pPr>
        <w:pStyle w:val="TextoNormal"/>
      </w:pPr>
      <w:r>
        <w:t>Madrid, a veinticinco de enero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45" w:name="AUTO_2021_4"/>
      <w:r>
        <w:lastRenderedPageBreak/>
        <w:t>AUTO 4/2021, de 27 de enero de 2021</w:t>
      </w:r>
    </w:p>
    <w:bookmarkEnd w:id="145"/>
    <w:p w:rsidR="00C54F26" w:rsidRDefault="00C54F26" w:rsidP="00C54F26">
      <w:pPr>
        <w:pStyle w:val="TtuloResolucin"/>
      </w:pPr>
      <w:r>
        <w:t>Pleno</w:t>
      </w:r>
    </w:p>
    <w:p w:rsidR="00C54F26" w:rsidRDefault="00C54F26" w:rsidP="00C54F26">
      <w:pPr>
        <w:pStyle w:val="TextoNormalCentrado"/>
      </w:pPr>
      <w:r>
        <w:t>ECLI:ES:TC:2021:4A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Desestima el recurso de súplica interpuesto en relación con el ATC 146/2020, de 17 de noviembre, por el que se deniega la suspensión en el recurso de amparo 4586-2020, promovido por don Joaquim Torra i Pla en causa penal. Voto particular.</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día 29 de septiembre de 2020, el procurador de los tribunales, don Javier Fernández Estrada, en nombre y representación de don Joaquim Torra i Pla, bajo la dirección del letrado don Gonzalo Boye Tuset, interpuso demanda de amparo contra la sentencia núm. 477-2020, de 28 de septiembre, de la Sala de lo Penal del Tribunal Supremo, desestimatoria del recurso de casación formalizado por la representación de aquél contra la precedente sentencia núm. 149-2019, de 19 de diciembre, de la Sala de lo Civil y Penal del Tribunal Superior de Justicia de Cataluña, que le había condenado como autor de un delito de desobediencia a las penas de multa e inhabilitación especial para el ejercicio de cargos públicos electivos y de gobierno.</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para la resolución del recurso de súplica interpuesto en el marco de esta pieza de suspensión, son los siguientes:</w:t>
      </w:r>
    </w:p>
    <w:p w:rsidR="00C54F26" w:rsidRDefault="00C54F26" w:rsidP="00C54F26">
      <w:pPr>
        <w:pStyle w:val="TextoNormal"/>
      </w:pPr>
    </w:p>
    <w:p w:rsidR="00C54F26" w:rsidRDefault="00C54F26" w:rsidP="00C54F26">
      <w:pPr>
        <w:pStyle w:val="TextoNormal"/>
      </w:pPr>
      <w:r>
        <w:t>a) La Sala de lo Civil y Penal del Tribunal Superior de Justicia de Cataluña dictó la sentencia núm. 149-2019, de 19 de diciembre, que condenó al ahora recurrente, don Joaquim Torra i Pla, como autor de un delito de desobediencia [art. 410 del Código penal (CP)], a las penas de “multa de diez meses con una cuota diaria de 100 €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año y seis meses”, y también al pago de las costas del proceso, “excluidas las devengadas por la acusación popular”.</w:t>
      </w:r>
    </w:p>
    <w:p w:rsidR="00C54F26" w:rsidRDefault="00C54F26" w:rsidP="00C54F26">
      <w:pPr>
        <w:pStyle w:val="TextoNormal"/>
      </w:pPr>
    </w:p>
    <w:p w:rsidR="00C54F26" w:rsidRDefault="00C54F26" w:rsidP="00C54F26">
      <w:pPr>
        <w:pStyle w:val="TextoNormal"/>
      </w:pPr>
      <w:r>
        <w:t>b) La Sala de lo Penal del Tribunal Supremo, en el marco del recurso de casación núm. 203-2020 interpuesto contra la resolución anterior, dictó la sentencia núm. 477-2020, de 28 de septiembre, por la que acordó la desestimación del recurso y la imposición de costas al recurrente.</w:t>
      </w:r>
    </w:p>
    <w:p w:rsidR="00C54F26" w:rsidRDefault="00C54F26" w:rsidP="00C54F26">
      <w:pPr>
        <w:pStyle w:val="TextoNormal"/>
      </w:pPr>
    </w:p>
    <w:p w:rsidR="00C54F26" w:rsidRDefault="00C54F26" w:rsidP="00C54F26">
      <w:pPr>
        <w:pStyle w:val="TextoNormal"/>
      </w:pPr>
      <w:r>
        <w:t>c) El mismo día 28 de septiembre de 2020, una vez recibida la debida comunicación del Tribunal Supremo, el Tribunal Superior de Justicia de Cataluña dictó auto por el que declaró “la firmeza, desde su misma fecha, (…) de la sentencia núm. 477-2020 dictada por el Tribunal Supremo” (</w:t>
      </w:r>
      <w:r w:rsidRPr="00C54F26">
        <w:rPr>
          <w:i/>
        </w:rPr>
        <w:t>sic</w:t>
      </w:r>
      <w:r>
        <w:t>), al tiempo que acordaba la incoación de la correspondiente ejecutoria, que quedó registrada bajo el núm. 1-2020. En la misma resolución, el tribunal decidió, en aplicación de lo dispuesto en el art. 42 CP, “hacer efectiva, desde el día de hoy, la inhabilitación” del señor Torra i Pla “para el cargo de gobierno que actualmente desempeña, como president de la Generalitat de Catalunya”, y requerirle “personalmente (…) a fin de que se abstenga de ejercer o llevar a cabo actuaciones propias de los empleos y cargos públicos para los que ha sido inhabilitado, en particular del cargo de president de la Generalitat, así como obtener el mismo u otros análogos durante el tiempo de la condena; y también para que abone y haga efectivo el importe a que asciende la pena de multa (…)”, con los apercibimientos correspondientes.</w:t>
      </w:r>
    </w:p>
    <w:p w:rsidR="00C54F26" w:rsidRDefault="00C54F26" w:rsidP="00C54F26">
      <w:pPr>
        <w:pStyle w:val="TextoNormal"/>
      </w:pPr>
    </w:p>
    <w:p w:rsidR="00C54F26" w:rsidRDefault="00C54F26" w:rsidP="00C54F26">
      <w:pPr>
        <w:pStyle w:val="TextoNormal"/>
      </w:pPr>
      <w:r>
        <w:t>Este auto y la sentencia del Tribunal Supremo fueron notificados personalmente al recurrente el mismo día 28 de septiembre. En la primera de las resoluciones se acordaban además las notificaciones correspondientes al “secretari de Govern de la Generalitat (…), al honorable vicepresident del Govern de la Generalitat (…), al molt honorable president del Parlament de Catalunya y a la Excma. señora Delegada del Gobierno en Catalunya (…)”, así como “las anotaciones oportunas en el Registro Central de Penados (…)”.</w:t>
      </w:r>
    </w:p>
    <w:p w:rsidR="00C54F26" w:rsidRDefault="00C54F26" w:rsidP="00C54F26">
      <w:pPr>
        <w:pStyle w:val="TextoNormal"/>
      </w:pPr>
    </w:p>
    <w:p w:rsidR="00C54F26" w:rsidRDefault="00C54F26" w:rsidP="00C54F26">
      <w:pPr>
        <w:pStyle w:val="TextoNormal"/>
      </w:pPr>
      <w:r>
        <w:t>d) La demanda de amparo alega la vulneración de los siguientes derechos fundamentales:</w:t>
      </w:r>
    </w:p>
    <w:p w:rsidR="00C54F26" w:rsidRDefault="00C54F26" w:rsidP="00C54F26">
      <w:pPr>
        <w:pStyle w:val="TextoNormal"/>
      </w:pPr>
    </w:p>
    <w:p w:rsidR="00C54F26" w:rsidRDefault="00C54F26" w:rsidP="00C54F26">
      <w:pPr>
        <w:pStyle w:val="TextoNormal"/>
      </w:pPr>
      <w:r>
        <w:t>“1º) Derecho a un proceso con todas las garantías (artículo 24 de la Constitución, artículos 47 y 48 de la Carta de los derechos fundamentales de la Unión Europea y artículo 6 del Convenio europeo para la protección de los derechos humanos y de las libertades fundamentales), en relación con el derecho al juez imparcial, el derecho a una resolución judicial fundada en Derecho, la presunción de inocencia y el derecho a utilizar los medios de prueba pertinentes.</w:t>
      </w:r>
    </w:p>
    <w:p w:rsidR="00C54F26" w:rsidRDefault="00C54F26" w:rsidP="00C54F26">
      <w:pPr>
        <w:pStyle w:val="TextoNormal"/>
      </w:pPr>
    </w:p>
    <w:p w:rsidR="00C54F26" w:rsidRDefault="00C54F26" w:rsidP="00C54F26">
      <w:pPr>
        <w:pStyle w:val="TextoNormal"/>
      </w:pPr>
      <w:r>
        <w:t xml:space="preserve">2º) Derecho a la legalidad penal (artículo 25 de la Constitución, artículo 49 de la Carta de Derechos fundamentales de la Unión Europea y el artículo 7 del Convenio europeo para la protección de los derechos humanos y de las libertades fundamentales y artículo 4 de su protocolo núm. 7), por concurrencia del </w:t>
      </w:r>
      <w:r w:rsidRPr="00C54F26">
        <w:rPr>
          <w:i/>
        </w:rPr>
        <w:t>bis in idem</w:t>
      </w:r>
      <w:r>
        <w:t>, así como en lo relativo a los elementos del tipo penal, la previsibilidad, precisión y proporcionalidad de la sanción, y en lo relativo a la determinación de la pena.</w:t>
      </w:r>
    </w:p>
    <w:p w:rsidR="00C54F26" w:rsidRDefault="00C54F26" w:rsidP="00C54F26">
      <w:pPr>
        <w:pStyle w:val="TextoNormal"/>
      </w:pPr>
    </w:p>
    <w:p w:rsidR="00C54F26" w:rsidRDefault="00C54F26" w:rsidP="00C54F26">
      <w:pPr>
        <w:pStyle w:val="TextoNormal"/>
      </w:pPr>
      <w:r>
        <w:t>3º) Derecho a la libertad de expresión (artículo 20 de la Constitución, artículo 11 de la Carta de los derechos fundamentales de la Unión Europea y artículo 10 del Convenio europeo para la protección de los derechos humanos y de las libertades fundamentales), en relación con el derecho a la libertad ideológica.</w:t>
      </w:r>
    </w:p>
    <w:p w:rsidR="00C54F26" w:rsidRDefault="00C54F26" w:rsidP="00C54F26">
      <w:pPr>
        <w:pStyle w:val="TextoNormal"/>
      </w:pPr>
    </w:p>
    <w:p w:rsidR="00C54F26" w:rsidRDefault="00C54F26" w:rsidP="00C54F26">
      <w:pPr>
        <w:pStyle w:val="TextoNormal"/>
      </w:pPr>
      <w:r>
        <w:t xml:space="preserve">4º) Derecho a acceder en condiciones de igualdad a los cargos públicos (artículo 23.2 de la Constitución, artículo 39.2 de la Carta de los derechos fundamentales de la Unión Europea y artículo 3 del protocolo núm. 1 al Convenio europeo para la protección de los derechos humanos y de las libertades fundamentales), en relación con el derecho a participar en los asuntos públicos por medio de representantes elegidos libremente en elecciones periódicas </w:t>
      </w:r>
      <w:r>
        <w:lastRenderedPageBreak/>
        <w:t>que tienen todos los ciudadanos (artículo 23.1 de la Constitución), así como con el derecho reconocido en el artículo 1 del protocolo núm. 12 al Convenio europeo para la protección de los derechos humanos y de las libertades fundamentales, en relación con el derecho a la libertad ideológica.</w:t>
      </w:r>
    </w:p>
    <w:p w:rsidR="00C54F26" w:rsidRDefault="00C54F26" w:rsidP="00C54F26">
      <w:pPr>
        <w:pStyle w:val="TextoNormal"/>
      </w:pPr>
    </w:p>
    <w:p w:rsidR="00C54F26" w:rsidRDefault="00C54F26" w:rsidP="00C54F26">
      <w:pPr>
        <w:pStyle w:val="TextoNormal"/>
      </w:pPr>
      <w:r>
        <w:t>5º) Derecho a la igualdad en la aplicación de la ley (artículo 14 de la Constitución, artículos 20 y 21 de la Carta de los derechos fundamentales de la Unión Europea, artículo 14 del Convenio europeo para la protección de los derechos humanos y de las libertades fundamentales y artículo 1 de su protocolo núm. 12), en relación con el derecho a la proporcionalidad de las penas que reconocen los artículos 25.1 de la Constitución y el artículo 49.3 de la Carta de los derechos fundamentales de la Unión Europea, en relación con el derecho a la libertad ideológica”.</w:t>
      </w:r>
    </w:p>
    <w:p w:rsidR="00C54F26" w:rsidRDefault="00C54F26" w:rsidP="00C54F26">
      <w:pPr>
        <w:pStyle w:val="TextoNormal"/>
      </w:pPr>
    </w:p>
    <w:p w:rsidR="00C54F26" w:rsidRDefault="00C54F26" w:rsidP="00C54F26">
      <w:pPr>
        <w:pStyle w:val="TextoNormal"/>
      </w:pPr>
      <w:r>
        <w:t>e) Igualmente, en la demanda de amparo, por medio de otrosí digo primero, se solicitó que “de manera cautelarísima de conformidad con el artículo 56.6 LOTC, o subsidiariamente, de conformidad con los artículos 56.2 y 3 LOTC”, se acordara la suspensión de la ejecución de las sentencias impugnadas, por los motivos que damos aquí por reproducidos.</w:t>
      </w:r>
    </w:p>
    <w:p w:rsidR="00C54F26" w:rsidRDefault="00C54F26" w:rsidP="00C54F26">
      <w:pPr>
        <w:pStyle w:val="TextoNormal"/>
      </w:pPr>
    </w:p>
    <w:p w:rsidR="00C54F26" w:rsidRDefault="00C54F26" w:rsidP="00C54F26">
      <w:pPr>
        <w:pStyle w:val="TextoNormal"/>
      </w:pPr>
      <w:r>
        <w:t xml:space="preserve">f) Por medio de providencia de 6 de octubre de 2020, el Pleno del Tribunal Constitucional acordó la avocación de este asunto, a propuesta de su Presidente [art. 10.1 n) de la Ley Orgánica del Tribunal Constitucional (LOTC)], y la admisión a trámite de la demanda, apreciando que concurre una especial trascendencia constitucional (art. 50.1 LOTC) porque el asunto suscitado trasciende del caso concreto al plantear una cuestión jurídica de relevante y general repercusión social o económica, así como tener unas consecuencias políticas generales [STC 155/2009, de 25 de junio, FJ 2 g)]. Igualmente, en lo que respecta a la medida cautelar de suspensión solicitada en la demanda, el Pleno no apreció la urgencia excepcional a la que se refiere el art. 56.6 LOTC, por lo que no procedió a resolver </w:t>
      </w:r>
      <w:r w:rsidRPr="00C54F26">
        <w:rPr>
          <w:i/>
        </w:rPr>
        <w:t>inaudita parte</w:t>
      </w:r>
      <w:r>
        <w:t>, ya que “la pena de inhabilitación especial se ha hecho efectiva y además porque el asunto presenta elementos sustantivos específicos que abogan por un estudio meditado y contradictorio de la pretensión cautelarísima instada”. Por ello, consideró que procedía formar la oportuna pieza separada de suspensión y, a tal fin, conceder un plazo de tres días al Ministerio Fiscal y al solicitante de amparo para que efectuaran las alegaciones que consideraran oportunas respecto a aquella petición.</w:t>
      </w:r>
    </w:p>
    <w:p w:rsidR="00C54F26" w:rsidRDefault="00C54F26" w:rsidP="00C54F26">
      <w:pPr>
        <w:pStyle w:val="TextoNormal"/>
      </w:pPr>
    </w:p>
    <w:p w:rsidR="00C54F26" w:rsidRDefault="00C54F26" w:rsidP="00C54F26">
      <w:pPr>
        <w:pStyle w:val="TextoNormal"/>
      </w:pPr>
      <w:r>
        <w:t>g) En fecha 14 de octubre de 2020 la representación del recurrente interpuso un recurso de súplica contra la anterior providencia del Pleno, además de presentar su escrito de alegaciones en la pieza separada de suspensión.</w:t>
      </w:r>
    </w:p>
    <w:p w:rsidR="00C54F26" w:rsidRDefault="00C54F26" w:rsidP="00C54F26">
      <w:pPr>
        <w:pStyle w:val="TextoNormal"/>
      </w:pPr>
    </w:p>
    <w:p w:rsidR="00C54F26" w:rsidRDefault="00C54F26" w:rsidP="00C54F26">
      <w:pPr>
        <w:pStyle w:val="TextoNormal"/>
      </w:pPr>
      <w:r>
        <w:t>h) En fecha 15 de octubre de 2020 se presentó el informe del Ministerio Fiscal, en el que solicitó la desestimación de la medida de suspensión solicitada por el demandante.</w:t>
      </w:r>
    </w:p>
    <w:p w:rsidR="00C54F26" w:rsidRDefault="00C54F26" w:rsidP="00C54F26">
      <w:pPr>
        <w:pStyle w:val="TextoNormal"/>
      </w:pPr>
    </w:p>
    <w:p w:rsidR="00C54F26" w:rsidRDefault="00C54F26" w:rsidP="00C54F26">
      <w:pPr>
        <w:pStyle w:val="TextoNormal"/>
      </w:pPr>
      <w:r>
        <w:t>i) Por medio de providencia de 20 de octubre de 2020, el Pleno de este tribunal acordó tener por interpuesto el recurso de súplica contra la providencia de 6 de octubre de 2020 y dar traslado al Ministerio Fiscal y al partido político Vox (personado por escrito de 15 de octubre de 2020) para que, en el plazo de tres días, pudieran exponer lo que estimaran procedente en relación con dicho recurso.</w:t>
      </w:r>
    </w:p>
    <w:p w:rsidR="00C54F26" w:rsidRDefault="00C54F26" w:rsidP="00C54F26">
      <w:pPr>
        <w:pStyle w:val="TextoNormal"/>
      </w:pPr>
    </w:p>
    <w:p w:rsidR="00C54F26" w:rsidRDefault="00C54F26" w:rsidP="00C54F26">
      <w:pPr>
        <w:pStyle w:val="TextoNormal"/>
      </w:pPr>
      <w:r>
        <w:lastRenderedPageBreak/>
        <w:t>j) En fechas 29 de octubre y 4 de noviembre tuvieron entrada los escritos de alegaciones de la representación procesal del partido político Vox y del Ministerio Fiscal, respectivamente, interesando la desestimación del recurso de súplica.</w:t>
      </w:r>
    </w:p>
    <w:p w:rsidR="00C54F26" w:rsidRDefault="00C54F26" w:rsidP="00C54F26">
      <w:pPr>
        <w:pStyle w:val="TextoNormal"/>
      </w:pPr>
    </w:p>
    <w:p w:rsidR="00C54F26" w:rsidRDefault="00C54F26" w:rsidP="00C54F26">
      <w:pPr>
        <w:pStyle w:val="TextoNormal"/>
      </w:pPr>
      <w:r>
        <w:t>k) Por medio de ATC 146/2020, de 17 de noviembre, el Pleno de este tribunal acordó la desestimación del recurso de súplica interpuesto contra la providencia de 6 de octubre de 2020, así como la denegación de la petición de suspensión de la ejecución de la pena de inhabilitación especial solicitada por el demandante de amparo, por los motivos que figuran en esa resolución y que se dan por reproducidos.</w:t>
      </w:r>
    </w:p>
    <w:p w:rsidR="00C54F26" w:rsidRDefault="00C54F26" w:rsidP="00C54F26">
      <w:pPr>
        <w:pStyle w:val="TextoNormal"/>
      </w:pPr>
    </w:p>
    <w:p w:rsidR="00C54F26" w:rsidRDefault="00C54F26" w:rsidP="00C54F26">
      <w:pPr>
        <w:pStyle w:val="TextoNormal"/>
      </w:pPr>
      <w:r w:rsidRPr="00C54F26">
        <w:rPr>
          <w:rStyle w:val="NumeroAFNegritaCaracter"/>
        </w:rPr>
        <w:t>3</w:t>
      </w:r>
      <w:r>
        <w:t>. En fecha 1 de diciembre de 2020, la representación del demandante de amparo interpuso recurso de súplica contra el ATC 146/2020, de 17 de noviembre, denegatorio de la suspensión cautelar solicitada.</w:t>
      </w:r>
    </w:p>
    <w:p w:rsidR="00C54F26" w:rsidRDefault="00C54F26" w:rsidP="00C54F26">
      <w:pPr>
        <w:pStyle w:val="TextoNormal"/>
      </w:pPr>
    </w:p>
    <w:p w:rsidR="00C54F26" w:rsidRDefault="00C54F26" w:rsidP="00C54F26">
      <w:pPr>
        <w:pStyle w:val="TextoNormal"/>
      </w:pPr>
      <w:r>
        <w:t>Tras hacer una breve reseña de los antecedentes procesales que consideró de interés, el recurso insiste en la concurrencia de los requisitos para el otorgamiento de la medida cautelar solicitada. Más en concreto, se trataría de la existencia de un perjuicio irreparable y la ausencia de perturbación grave de un interés constitucionalmente protegido. Además de las alegaciones anteriores, el escrito de impugnación atribuye al auto recurrido la vulneración de los siguientes derechos: derecho a una resolución motivada, derecho a la igualdad y a la no discriminación, así como el derecho a la tutela judicial cautelar, en relación con el derecho a acceder en condiciones de igualdad a los cargos públicos, así como al ejercicio de los cargos para los que resultó elegido.</w:t>
      </w:r>
    </w:p>
    <w:p w:rsidR="00C54F26" w:rsidRDefault="00C54F26" w:rsidP="00C54F26">
      <w:pPr>
        <w:pStyle w:val="TextoNormal"/>
      </w:pPr>
    </w:p>
    <w:p w:rsidR="00C54F26" w:rsidRDefault="00C54F26" w:rsidP="00C54F26">
      <w:pPr>
        <w:pStyle w:val="TextoNormal"/>
      </w:pPr>
      <w:r>
        <w:t>En su recurso, el demandante reitera algunos de los argumentos ya expuestos en sus escritos anteriores. A su juicio, la ejecución de la pena de inhabilitación impuesta produce un perjuicio que es irreparable, en cuanto a los dos efectos de la pena, es decir, la pérdida de los cargos sobre los que recae y la imposibilidad de obtenerlos durante el tiempo fijado en la sentencia. Considera, a tal efecto, que la pérdida del cargo de presidente de la Generalitat es consecuencia de la ejecución de las resoluciones judiciales recurridas en amparo, pero también el cese en la condición de diputado al Parlamento de Cataluña, según se afirma en el ATC 127/2020, de 21 de octubre. Además, la próxima disolución del Parlamento, prevista para el día 21 de diciembre de 2020, producirá la pérdida definitiva de la finalidad del presente recurso de amparo y de las medidas cautelares solicitadas.</w:t>
      </w:r>
    </w:p>
    <w:p w:rsidR="00C54F26" w:rsidRDefault="00C54F26" w:rsidP="00C54F26">
      <w:pPr>
        <w:pStyle w:val="TextoNormal"/>
      </w:pPr>
    </w:p>
    <w:p w:rsidR="00C54F26" w:rsidRDefault="00C54F26" w:rsidP="00C54F26">
      <w:pPr>
        <w:pStyle w:val="TextoNormal"/>
      </w:pPr>
      <w:r>
        <w:t>Para el recurrente, la argumentación contenida en el auto impugnado, en el sentido de que la “medida cautelar interesada (…) deviene ineficaz por inidónea”, es contraria al derecho de acceso efectivo a los recursos, en relación con el derecho a la tutela judicial cautelar, porque la ejecución de la pena decretada por la jurisdicción ordinaria implicaría la imposibilidad de acordar la medida cautelar interesada. Además, eso supondría la inconstitucionalidad de los arts. 794 y 988 de la Ley de enjuiciamiento criminal (LECrim), por ser contrarios a lo dispuesto en los arts. 53.2, 161.1 b) y 165 CE, al margen de la vulneración del derecho a la igualdad en relación con la posibilidad, contemplada en el art. 4.4 CP, de suspender la ejecución de una pena mientras se tramita una petición de indulto.</w:t>
      </w:r>
    </w:p>
    <w:p w:rsidR="00C54F26" w:rsidRDefault="00C54F26" w:rsidP="00C54F26">
      <w:pPr>
        <w:pStyle w:val="TextoNormal"/>
      </w:pPr>
    </w:p>
    <w:p w:rsidR="00C54F26" w:rsidRDefault="00C54F26" w:rsidP="00C54F26">
      <w:pPr>
        <w:pStyle w:val="TextoNormal"/>
      </w:pPr>
      <w:r>
        <w:t xml:space="preserve">El demandante señala, no obstante, lo que considera una contradicción del auto, cuando se hace referencia posteriormente a que la “concesión de la medida (…) conllevaría (…) dejar sin efecto una de las consecuencias jurídicas de una pena de inhabilitación especial </w:t>
      </w:r>
      <w:r>
        <w:lastRenderedPageBreak/>
        <w:t>que ya ha sido ejecutada”, entendiendo el recurrente que es el propio tribunal el que niega la supuesta inidoneidad afirmada previamente.</w:t>
      </w:r>
    </w:p>
    <w:p w:rsidR="00C54F26" w:rsidRDefault="00C54F26" w:rsidP="00C54F26">
      <w:pPr>
        <w:pStyle w:val="TextoNormal"/>
      </w:pPr>
    </w:p>
    <w:p w:rsidR="00C54F26" w:rsidRDefault="00C54F26" w:rsidP="00C54F26">
      <w:pPr>
        <w:pStyle w:val="TextoNormal"/>
      </w:pPr>
      <w:r>
        <w:t>Añade que existen precedentes en los que se acordó la medida cautelar de suspensión, aunque implicara la “reincorporación” del condenado “al ejercicio de la función pública”. Cita, a tal efecto, los AATC 140/2002 y 259/2002</w:t>
      </w:r>
      <w:r w:rsidRPr="00C54F26">
        <w:rPr>
          <w:i/>
        </w:rPr>
        <w:t xml:space="preserve"> (s</w:t>
      </w:r>
      <w:r>
        <w:t>ic).</w:t>
      </w:r>
    </w:p>
    <w:p w:rsidR="00C54F26" w:rsidRDefault="00C54F26" w:rsidP="00C54F26">
      <w:pPr>
        <w:pStyle w:val="TextoNormal"/>
      </w:pPr>
    </w:p>
    <w:p w:rsidR="00C54F26" w:rsidRDefault="00C54F26" w:rsidP="00C54F26">
      <w:pPr>
        <w:pStyle w:val="TextoNormal"/>
      </w:pPr>
      <w:r>
        <w:t>En lo referente al segundo efecto de la pena de inhabilitación, el demandante entiende que el tribunal ha introducido un nuevo criterio que consiste en que “el hecho de hallarse convocado un determinado proceso electoral” sea “condición para la suspensión de la pena de inhabilitación especial”, cuando en otros casos no se ha ponderado esta circunstancia. Con cita de los AATC 167/1995, 420/1997 y 327/2005, el recurrente afirma que, en esos supuestos, este tribunal “no dudó en considerar que el perjuicio era irreparable”, aunque no estuviera convocado proceso electoral alguno. En cualquier caso, la convocatoria de las elecciones al Parlamento de Cataluña es inminente, y la pena de inhabilitación impuesta no afecta solo a los cargos electivos sino también a los de carácter gubernativo.</w:t>
      </w:r>
    </w:p>
    <w:p w:rsidR="00C54F26" w:rsidRDefault="00C54F26" w:rsidP="00C54F26">
      <w:pPr>
        <w:pStyle w:val="TextoNormal"/>
      </w:pPr>
    </w:p>
    <w:p w:rsidR="00C54F26" w:rsidRDefault="00C54F26" w:rsidP="00C54F26">
      <w:pPr>
        <w:pStyle w:val="TextoNormal"/>
      </w:pPr>
      <w:r>
        <w:t>A continuación, el demandante de amparo alude a la ausencia de perturbación grave de un interés constitucionalmente protegido, para impugnar el auto recurrido. A su juicio, ante la “evidente debilidad del argumento sobre la inexistencia de un perjuicio irreparable”, el auto impugnado se “pretende sostener” con el argumento de la “presencia de un interés general por mantener la integridad de los pronunciamientos de la jurisdicción ordinaria”, ya que “acceder a la suspensión (…) equivaldría a poner en cuestión la propia condena”. Para el recurrente, el auto fija una “doctrina de caso único que parece concebida para ser aplicable exclusivamente a los presidentes de la Generalitat”, ya que alude a unos “contornos singulares” o unas “circunstancias concurrentes” que no se especifican o concretan, más allá de constatar la condena por un delito de desobediencia. Por otro lado, como ha declarado este tribunal, “la suspensión de la ejecución de una pena impuesta por una sentencia firme supone, siempre, una perturbación de la función jurisdiccional, por lo que afirmar esa perturbación es tanto como no argumentar nada”. A su juicio, estos razonamientos llevarían a la desestimación de “absolutamente todas” las medidas cautelares consistentes en la suspensión de una condena penal.</w:t>
      </w:r>
    </w:p>
    <w:p w:rsidR="00C54F26" w:rsidRDefault="00C54F26" w:rsidP="00C54F26">
      <w:pPr>
        <w:pStyle w:val="TextoNormal"/>
      </w:pPr>
    </w:p>
    <w:p w:rsidR="00C54F26" w:rsidRDefault="00C54F26" w:rsidP="00C54F26">
      <w:pPr>
        <w:pStyle w:val="TextoNormal"/>
      </w:pPr>
      <w:r>
        <w:t>Estos bloques argumentales son desarrollados y, en parte, reiterados en los siguientes apartados del escrito de recurso, al considerar que el auto impugnado lesiona una serie de derechos fundamentales. Más en concreto, se trataría de las siguientes quejas:</w:t>
      </w:r>
    </w:p>
    <w:p w:rsidR="00C54F26" w:rsidRDefault="00C54F26" w:rsidP="00C54F26">
      <w:pPr>
        <w:pStyle w:val="TextoNormal"/>
      </w:pPr>
    </w:p>
    <w:p w:rsidR="00C54F26" w:rsidRDefault="00C54F26" w:rsidP="00C54F26">
      <w:pPr>
        <w:pStyle w:val="TextoNormal"/>
      </w:pPr>
      <w:r>
        <w:t>a) Vulneración del derecho a una resolución motivada.</w:t>
      </w:r>
    </w:p>
    <w:p w:rsidR="00C54F26" w:rsidRDefault="00C54F26" w:rsidP="00C54F26">
      <w:pPr>
        <w:pStyle w:val="TextoNormal"/>
      </w:pPr>
    </w:p>
    <w:p w:rsidR="00C54F26" w:rsidRDefault="00C54F26" w:rsidP="00C54F26">
      <w:pPr>
        <w:pStyle w:val="TextoNormal"/>
      </w:pPr>
      <w:r>
        <w:t>Con cita y reseña parcial de la STC 8/2014, de 25 de febrero, este motivo se desglosa en las siguientes infracciones. En primer lugar, el recurrente considera que la resolución impugnada incurre en una contradicción patente en cuanto a la inidoneidad de la medida cautelar solicitada; en segundo lugar, alega una falta de motivación sobre las razones por las que se considera que concurre una perturbación grave de un interés constitucionalmente protegido; y, en tercer lugar, se aparta de los precedentes relevantes en la materia.</w:t>
      </w:r>
    </w:p>
    <w:p w:rsidR="00C54F26" w:rsidRDefault="00C54F26" w:rsidP="00C54F26">
      <w:pPr>
        <w:pStyle w:val="TextoNormal"/>
      </w:pPr>
    </w:p>
    <w:p w:rsidR="00C54F26" w:rsidRDefault="00C54F26" w:rsidP="00C54F26">
      <w:pPr>
        <w:pStyle w:val="TextoNormal"/>
      </w:pPr>
      <w:r>
        <w:t>b) Vulneración del derecho a la igualdad.</w:t>
      </w:r>
    </w:p>
    <w:p w:rsidR="00C54F26" w:rsidRDefault="00C54F26" w:rsidP="00C54F26">
      <w:pPr>
        <w:pStyle w:val="TextoNormal"/>
      </w:pPr>
    </w:p>
    <w:p w:rsidR="00C54F26" w:rsidRDefault="00C54F26" w:rsidP="00C54F26">
      <w:pPr>
        <w:pStyle w:val="TextoNormal"/>
      </w:pPr>
      <w:r>
        <w:lastRenderedPageBreak/>
        <w:t>Con apoyo y reseña parcial del voto particular discrepante, el recurrente afirma que el auto impugnado “se aparta de toda la jurisprudencia constitucional precedente en cuanto a (…) la suspensión de las penas de inhabilitación especial para cargo público”. Tras reiterar algunos de los argumentos ya expuestos, considera que la ejecución de la pena convierte la medida de suspensión en “más apremiante si cabe”. Cita, en tal sentido, el ATC 59/2010, de 25 de mayo, referido a una pena privativa de libertad. Por otro lado, afirma que “someter la posibilidad de suspensión (…) a la mayor o menor celeridad con que el órgano jurisdiccional competente proceda a la ejecución de la pena es, simplemente, absurdo”. A su juicio, se ha producido la “contradicción que señalaba el Tribunal de Conflictos de Jurisdicción en su sentencia de 13 de junio de 2001, en relación con una petición de indulto”, resolución que se extracta parcialmente.</w:t>
      </w:r>
    </w:p>
    <w:p w:rsidR="00C54F26" w:rsidRDefault="00C54F26" w:rsidP="00C54F26">
      <w:pPr>
        <w:pStyle w:val="TextoNormal"/>
      </w:pPr>
    </w:p>
    <w:p w:rsidR="00C54F26" w:rsidRDefault="00C54F26" w:rsidP="00C54F26">
      <w:pPr>
        <w:pStyle w:val="TextoNormal"/>
      </w:pPr>
      <w:r>
        <w:t>En relación con el presupuesto de la “perturbación de un interés constitucionalmente protegido”, el demandante considera que, además de carecer de fundamento alguno, vulnera el “derecho a la igualdad en la aplicación de la ley”, porque el “Pleno del Tribunal Constitucional no es capaz de citar un solo precedente de una pena de inhabilitación especial para cargo público de duración inferior a los cinco años en que se denegara la suspensión de su ejecución”. Seguidamente, el recurrente hace una relación de los precedentes citados en el auto impugnado (AATC 197/1995, 125/1997, 214/1997, 40/1998, 140/1998, 264/1998, 265/1998, 259/2002, 148/2006, 167/2013, 99/2016 y 2/2018), para descartar que sean aplicables al presente supuesto, ya que hacen referencia a penas de carácter grave. Precisamente, añade el recurrente, la calificación de un delito como menos grave ha justificado la suspensión de las penas en algunos precedentes de este tribunal, citando el ATC 112/2020, de 21 de septiembre. Particularmente crítico se muestra el demandante con la referencia que se contiene en el auto impugnado a los AATC 420/1997, 247/2004 y 327/2005. En relación con el ATC 420/1997, considera que el argumento utilizado conllevaría la concesión de la suspensión en los casos en que se hubiera impuesto, además de una pena grave de inhabilitación, una condena a pena privativa de libertad. En cuanto al ATC 247/2004, se trataba de una pena de inhabilitación de duración superior a la impuesta en este caso que, además, en ese supuesto se consideró como de “escasa gravedad”; mientras que el ATC 327/2005 se refería igualmente a una pena de inhabilitación con una mayor duración a la fijada en el presente asunto.</w:t>
      </w:r>
    </w:p>
    <w:p w:rsidR="00C54F26" w:rsidRDefault="00C54F26" w:rsidP="00C54F26">
      <w:pPr>
        <w:pStyle w:val="TextoNormal"/>
      </w:pPr>
    </w:p>
    <w:p w:rsidR="00C54F26" w:rsidRDefault="00C54F26" w:rsidP="00C54F26">
      <w:pPr>
        <w:pStyle w:val="TextoNormal"/>
      </w:pPr>
      <w:r>
        <w:t>Finalmente, insiste en que existen “innumerables” precedentes en que se ha concedido la suspensión “con independencia de la existencia o no de un proceso electoral en curso”. Además, no se justifican las diferencias entre los cargos de presidente de la Generalitat, senador, alcalde o diputado, a que se refieren algunos de los precedentes citados en el auto objeto de recurso.</w:t>
      </w:r>
    </w:p>
    <w:p w:rsidR="00C54F26" w:rsidRDefault="00C54F26" w:rsidP="00C54F26">
      <w:pPr>
        <w:pStyle w:val="TextoNormal"/>
      </w:pPr>
    </w:p>
    <w:p w:rsidR="00C54F26" w:rsidRDefault="00C54F26" w:rsidP="00C54F26">
      <w:pPr>
        <w:pStyle w:val="TextoNormal"/>
      </w:pPr>
      <w:r>
        <w:t>c) Existencia de discriminación.</w:t>
      </w:r>
    </w:p>
    <w:p w:rsidR="00C54F26" w:rsidRDefault="00C54F26" w:rsidP="00C54F26">
      <w:pPr>
        <w:pStyle w:val="TextoNormal"/>
      </w:pPr>
    </w:p>
    <w:p w:rsidR="00C54F26" w:rsidRDefault="00C54F26" w:rsidP="00C54F26">
      <w:pPr>
        <w:pStyle w:val="TextoNormal"/>
      </w:pPr>
      <w:r>
        <w:t xml:space="preserve">Comienza el recurrente este apartado afirmando que no solo nos hallamos ante una “diferencia de trato sin justificación razonable alguna”, sino que la resolución impugnada “no se puede definir de otro modo que no sea como abiertamente discriminatoria”. A su juicio, el “verdadero ‘contorno singular’ que (…) presenta este asunto (…) es la ideología política del recurrente”. Para ello, se remonta al origen de este asunto, consistente en la “colocación de una pancarta, reproducción literal de su discurso de investidura ante el Parlamento de </w:t>
      </w:r>
      <w:r>
        <w:lastRenderedPageBreak/>
        <w:t>Cataluña, reivindicando la libertad de los presos políticos catalanes, junto con la de los exiliados”.</w:t>
      </w:r>
    </w:p>
    <w:p w:rsidR="00C54F26" w:rsidRDefault="00C54F26" w:rsidP="00C54F26">
      <w:pPr>
        <w:pStyle w:val="TextoNormal"/>
      </w:pPr>
    </w:p>
    <w:p w:rsidR="00C54F26" w:rsidRDefault="00C54F26" w:rsidP="00C54F26">
      <w:pPr>
        <w:pStyle w:val="TextoNormal"/>
      </w:pPr>
      <w:r>
        <w:t>Con cita de la opinión 6-2019, de 25 de abril del Grupo de trabajo sobre la detención arbitraria de las Naciones Unidas, y del informe de 9 de marzo de 2020, del relator de las Naciones Unidas sobre cuestiones de las minorías, el recurrente considera que su adscripción a la “minoría nacional catalana (…) no es irrelevante para entender la discriminación sufrida”. Para el demandante, este tribunal “ha venido avalando y participando, en los últimos años, de una estrategia dirigida a apartar de la vida pública a los principales representantes políticos de ideología independentista catalana, modificando, cuando ha sido necesario, su propia jurisprudencia”. Y lo mismo cabe decir respecto de “la privación de su derecho de representación a otros muchos parlamentarios electos en las elecciones celebradas el 21 de diciembre de 2017, por razón de esa misma ideología” o la “prohibición de la investidura como presidente de la Generalitat de hasta tres diputados designados como candidatos por el presidente del Parlamento de Cataluña”.</w:t>
      </w:r>
    </w:p>
    <w:p w:rsidR="00C54F26" w:rsidRDefault="00C54F26" w:rsidP="00C54F26">
      <w:pPr>
        <w:pStyle w:val="TextoNormal"/>
      </w:pPr>
    </w:p>
    <w:p w:rsidR="00C54F26" w:rsidRDefault="00C54F26" w:rsidP="00C54F26">
      <w:pPr>
        <w:pStyle w:val="TextoNormal"/>
      </w:pPr>
      <w:r>
        <w:t>Finalmente, aporta, como anexo documental, el informe presentado en el incidente de recusación promovido en el recurso de amparo núm. 64-2020 por el magistrado ponente de esta resolución, que, a juicio del recurrente, no aclara “en qué medida (…) una persona no podría ejercer una determinada responsabilidad por razón únicamente de su ideología política” que, en el caso de quien ahora recurre, “es notoria”, y que fue “clasificad[a] públicamente (…) como categoría sospechosa (…) en su conferencia ofrecida en el denominado Club de la Constitución el 22 de noviembre de 2017”, al referirse a la “opinión ideológica muy caracterizada” de determinadas personas.</w:t>
      </w:r>
    </w:p>
    <w:p w:rsidR="00C54F26" w:rsidRDefault="00C54F26" w:rsidP="00C54F26">
      <w:pPr>
        <w:pStyle w:val="TextoNormal"/>
      </w:pPr>
    </w:p>
    <w:p w:rsidR="00C54F26" w:rsidRDefault="00C54F26" w:rsidP="00C54F26">
      <w:pPr>
        <w:pStyle w:val="TextoNormal"/>
      </w:pPr>
      <w:r>
        <w:t>d) Vulneración del derecho a la tutela judicial cautelar, en relación con el derecho a acceder en condiciones de igualdad a los cargos públicos, así como al ejercicio de los cargos para los que se ha resultado elegido.</w:t>
      </w:r>
    </w:p>
    <w:p w:rsidR="00C54F26" w:rsidRDefault="00C54F26" w:rsidP="00C54F26">
      <w:pPr>
        <w:pStyle w:val="TextoNormal"/>
      </w:pPr>
    </w:p>
    <w:p w:rsidR="00C54F26" w:rsidRDefault="00C54F26" w:rsidP="00C54F26">
      <w:pPr>
        <w:pStyle w:val="TextoNormal"/>
      </w:pPr>
      <w:r>
        <w:t>En este apartado del escrito impugnatorio se alega la citada vulneración, mediante la afirmación de que, “[e]n definitiva, el auto de 17 de noviembre de 2020, dada la arbitrariedad de la decisión adoptada, vulnera también el derecho a la tutela judicial cautelar”. Y añade que, “en este sentido, el auto de 17 de noviembre de 2020 también vulnera el derecho del recurrente a acceder en condiciones de igualdad a los cargos públicos, así como al ejercicio de los cargos para los que se ha resultado elegido”. Como única argumentación se expone que “la verdadera pretensión de la decisión discriminatoria adoptada por el Pleno del Tribunal Constitucional” es “apartar al recurrente de la vida política por haber colocado una pancarta reivindicativa en el balcón de la sede de la presidencia de la Generalitat reivindicando la libertad para los presos políticos catalanes, junto con la de los exiliados por la misma causa”. Considera, finalmente, que el apartamiento arbitrario de la jurisprudencia precedente “sobre el peso que cabe dar a este derecho en la ponderación del artículo 56 de la Ley Orgánica del Tribunal Constitucional (…) ha vulnerado también el derecho a acceder en condiciones de igualdad a los cargos públicos, así como al ejercicio de dichos cargos”.</w:t>
      </w:r>
    </w:p>
    <w:p w:rsidR="00C54F26" w:rsidRDefault="00C54F26" w:rsidP="00C54F26">
      <w:pPr>
        <w:pStyle w:val="TextoNormal"/>
      </w:pPr>
    </w:p>
    <w:p w:rsidR="00C54F26" w:rsidRDefault="00C54F26" w:rsidP="00C54F26">
      <w:pPr>
        <w:pStyle w:val="TextoNormal"/>
      </w:pPr>
      <w:r>
        <w:t xml:space="preserve">En el suplico del recurso solicita su estimación y la consiguiente nulidad del auto impugnado, así como el dictado de una nueva resolución que acuerde las medidas cautelares en los términos solicitados en la demanda de amparo, así como en los escritos subsiguientes. Por medio del otrosí digo interesa la celebración de vista, de conformidad con lo dispuesto </w:t>
      </w:r>
      <w:r>
        <w:lastRenderedPageBreak/>
        <w:t>en el art. 85.3 LOTC, en relación con lo previsto en el art. 6.1 del Convenio europeo para la protección de los derechos humanos y de las libertades fundamentales (CEDH).</w:t>
      </w:r>
    </w:p>
    <w:p w:rsidR="00C54F26" w:rsidRDefault="00C54F26" w:rsidP="00C54F26">
      <w:pPr>
        <w:pStyle w:val="TextoNormal"/>
      </w:pPr>
    </w:p>
    <w:p w:rsidR="00C54F26" w:rsidRDefault="00C54F26" w:rsidP="00C54F26">
      <w:pPr>
        <w:pStyle w:val="TextoNormal"/>
      </w:pPr>
      <w:r w:rsidRPr="00C54F26">
        <w:rPr>
          <w:rStyle w:val="NumeroAFNegritaCaracter"/>
        </w:rPr>
        <w:t>4</w:t>
      </w:r>
      <w:r>
        <w:t>. En fecha 11 de diciembre de 2020, la representación procesal del partido político Vox presentó su escrito de alegaciones, interesando la desestimación del recurso de súplica interpuesto por el demandante de amparo.</w:t>
      </w:r>
    </w:p>
    <w:p w:rsidR="00C54F26" w:rsidRDefault="00C54F26" w:rsidP="00C54F26">
      <w:pPr>
        <w:pStyle w:val="TextoNormal"/>
      </w:pPr>
    </w:p>
    <w:p w:rsidR="00C54F26" w:rsidRDefault="00C54F26" w:rsidP="00C54F26">
      <w:pPr>
        <w:pStyle w:val="TextoNormal"/>
      </w:pPr>
      <w:r>
        <w:t>Comienza su escrito señalando que no concurren los requisitos para el otorgamiento de la medida cautelar solicitada. Para la parte, el propio recurrente admite que el perjuicio alegado es el propio objeto de la sentencia y que, tanto el art. 56 LOTC como la doctrina constitucional (ATC 137/2017) “establecen como regla general la improcedencia de la suspensión de las penas impuestas por sentencia firme”. En todo caso, la suspensión interesada “no impediría la pérdida del cargo de presidente de la Generalidad, habida cuenta que el recurrente la ha perdido definitivamente”, mientras que el “cargo de diputado autonómico (…) ya le había sido retirado por la Junta electoral central en fecha 3 de enero de 2020”. Además, la propia “Generalidad de Cataluña, por medio de Decreto 114/2020 (…), ya ha gestionado la sustitución del señor Torra”, por lo que “ninguna grave perturbación se ha causado”.</w:t>
      </w:r>
    </w:p>
    <w:p w:rsidR="00C54F26" w:rsidRDefault="00C54F26" w:rsidP="00C54F26">
      <w:pPr>
        <w:pStyle w:val="TextoNormal"/>
      </w:pPr>
    </w:p>
    <w:p w:rsidR="00C54F26" w:rsidRDefault="00C54F26" w:rsidP="00C54F26">
      <w:pPr>
        <w:pStyle w:val="TextoNormal"/>
      </w:pPr>
      <w:r>
        <w:t>En lo relativo a la comparación con la previsión del art. 4.4 CP sobre la suspensión de la ejecución de una condena en caso de petición de indulto, se alega que “no nos encontramos en un supuesto de indulto, ni se dan los requisitos de procedibilidad del artículo mencionado”. Como tampoco se puede apreciar como circunstancia excepcional la celebración de unas “futuras elecciones” que, como el recurrente reconoce, “ni siquiera están convocadas”.</w:t>
      </w:r>
    </w:p>
    <w:p w:rsidR="00C54F26" w:rsidRDefault="00C54F26" w:rsidP="00C54F26">
      <w:pPr>
        <w:pStyle w:val="TextoNormal"/>
      </w:pPr>
    </w:p>
    <w:p w:rsidR="00C54F26" w:rsidRDefault="00C54F26" w:rsidP="00C54F26">
      <w:pPr>
        <w:pStyle w:val="TextoNormal"/>
      </w:pPr>
      <w:r>
        <w:t>Concluye este apartado con la reseña parcial del ATC 38/2018, de 22 de marzo, para negar la existencia de perjuicio irreparable.</w:t>
      </w:r>
    </w:p>
    <w:p w:rsidR="00C54F26" w:rsidRDefault="00C54F26" w:rsidP="00C54F26">
      <w:pPr>
        <w:pStyle w:val="TextoNormal"/>
      </w:pPr>
    </w:p>
    <w:p w:rsidR="00C54F26" w:rsidRDefault="00C54F26" w:rsidP="00C54F26">
      <w:pPr>
        <w:pStyle w:val="TextoNormal"/>
      </w:pPr>
      <w:r>
        <w:t>Del mismo modo, con cita y reseña parcial de la STC 8/2014, de 25 de febrero, y de la STC 421/2015, de 22 de julio, se afirma la inexistencia de vulneración del derecho a obtener una resolución motivada. A juicio de la parte, se podrá estar “más o menos conforme [con] la interpretación que realiza el tribunal, pero lo que es evidente es que no puede negar la suficiente motivación” del auto impugnado.</w:t>
      </w:r>
    </w:p>
    <w:p w:rsidR="00C54F26" w:rsidRDefault="00C54F26" w:rsidP="00C54F26">
      <w:pPr>
        <w:pStyle w:val="TextoNormal"/>
      </w:pPr>
    </w:p>
    <w:p w:rsidR="00C54F26" w:rsidRDefault="00C54F26" w:rsidP="00C54F26">
      <w:pPr>
        <w:pStyle w:val="TextoNormal"/>
      </w:pPr>
      <w:r>
        <w:t>Respecto de la alegada vulneración del derecho a la igualdad, se considera que el recurrente omite un “detalle que hace completamente diferente [esta] decisión, y es que en el caso actual ya se encuentra la pena ejecutada por resultar firme y se encuentra en fase de ejecución”.</w:t>
      </w:r>
    </w:p>
    <w:p w:rsidR="00C54F26" w:rsidRDefault="00C54F26" w:rsidP="00C54F26">
      <w:pPr>
        <w:pStyle w:val="TextoNormal"/>
      </w:pPr>
    </w:p>
    <w:p w:rsidR="00C54F26" w:rsidRDefault="00C54F26" w:rsidP="00C54F26">
      <w:pPr>
        <w:pStyle w:val="TextoNormal"/>
      </w:pPr>
      <w:r>
        <w:t>En coherencia con lo anterior, se entiende que tampoco se puede afirmar que exista discriminación alguna. El informe del relator de Naciones Unidas no tiene “ningún carácter vinculante para el poder judicial español”, ni estamos en presencia de “un problema de pluralismo político, sino que nos encontramos ante un condenado por desobediencia a la autoridad a una pena de inhabilitación especial para cargo público”.</w:t>
      </w:r>
    </w:p>
    <w:p w:rsidR="00C54F26" w:rsidRDefault="00C54F26" w:rsidP="00C54F26">
      <w:pPr>
        <w:pStyle w:val="TextoNormal"/>
      </w:pPr>
    </w:p>
    <w:p w:rsidR="00C54F26" w:rsidRDefault="00C54F26" w:rsidP="00C54F26">
      <w:pPr>
        <w:pStyle w:val="TextoNormal"/>
      </w:pPr>
      <w:r>
        <w:t xml:space="preserve">Finaliza su escrito de alegaciones señalando que no puede invocarse la vulneración del derecho a la tutela judicial efectiva, puesto que “se ha tratado de procedimientos con todas las garantías constitucionales, y en los que se ha utilizado todos los mecanismos constitucionales a su alcance”. La “discrepancia con el contenido de una resolución y el hecho de </w:t>
      </w:r>
      <w:r>
        <w:lastRenderedPageBreak/>
        <w:t>que no favorezca a la parte (…) no supone una vulneración de [ese] derecho”. Concluye afirmando que “la resolución [impugnada] es motivada y fundada en derecho”.</w:t>
      </w:r>
    </w:p>
    <w:p w:rsidR="00C54F26" w:rsidRDefault="00C54F26" w:rsidP="00C54F26">
      <w:pPr>
        <w:pStyle w:val="TextoNormal"/>
      </w:pPr>
    </w:p>
    <w:p w:rsidR="00C54F26" w:rsidRDefault="00C54F26" w:rsidP="00C54F26">
      <w:pPr>
        <w:pStyle w:val="TextoNormal"/>
      </w:pPr>
      <w:r w:rsidRPr="00C54F26">
        <w:rPr>
          <w:rStyle w:val="NumeroAFNegritaCaracter"/>
        </w:rPr>
        <w:t>5</w:t>
      </w:r>
      <w:r>
        <w:t>. Por medio de escrito de fecha 17 de diciembre de 2020, el Ministerio Fiscal formuló sus alegaciones al recurso de súplica interpuesto por el recurrente en amparo.</w:t>
      </w:r>
    </w:p>
    <w:p w:rsidR="00C54F26" w:rsidRDefault="00C54F26" w:rsidP="00C54F26">
      <w:pPr>
        <w:pStyle w:val="TextoNormal"/>
      </w:pPr>
    </w:p>
    <w:p w:rsidR="00C54F26" w:rsidRDefault="00C54F26" w:rsidP="00C54F26">
      <w:pPr>
        <w:pStyle w:val="TextoNormal"/>
      </w:pPr>
      <w:r>
        <w:t>Tras hacer una amplia reseña de los antecedentes procesales que consideró de interés y de las alegaciones del demandante de amparo, el fiscal se remite a su informe de 15 de octubre de 2020 para ratificar su petición de desestimación del recurso ahora interpuesto.</w:t>
      </w:r>
    </w:p>
    <w:p w:rsidR="00C54F26" w:rsidRDefault="00C54F26" w:rsidP="00C54F26">
      <w:pPr>
        <w:pStyle w:val="TextoNormal"/>
      </w:pPr>
    </w:p>
    <w:p w:rsidR="00C54F26" w:rsidRDefault="00C54F26" w:rsidP="00C54F26">
      <w:pPr>
        <w:pStyle w:val="TextoNormal"/>
      </w:pPr>
      <w:r>
        <w:t>Así, en primer lugar, con cita de los AATC 127/2010 y 117/2015, entre otros, recuerda la regla general en esta materia consistente en la no suspensión de la ejecución del acto o resolución impugnados (art. 56.1 LOTC), y que las excepciones contempladas en el art. 56.2 LOTC han de concurrir conjuntamente. De esta forma, tanto la existencia de un perjuicio irreparable como la ausencia de una perturbación grave de un interés constitucionalmente protegido han de poder apreciarse para acordar la medida cautelar solicitada en cada caso. Estos criterios generales son los que han sido acogidos y aplicados en el auto impugnado que, en tal sentido, debe considerarse conforme a Derecho. Para el fiscal, la regla general de la no suspensión de la pena “viene impuesta por el tenor taxativo del artículo 42 CP”, que produce no solo la “privación definitiva del empleo o cargo”, sino también la “incapacidad para obtener el mismo u otros análogos”. Además, el fiscal considera que el auto impugnado acoge las dos dimensiones de la perturbación grave de los intereses generales que se describían en su dictamen del 15 de octubre de 2020. Así, por un lado, los hechos han derivado del ejercicio de funciones públicas y son susceptibles de socavar la confianza de los ciudadanos en sus representantes; y por otro, la reincorporación del condenado al ejercicio de la función pública genera el riesgo de provocar una nueva y grave perturbación de los intereses generales.</w:t>
      </w:r>
    </w:p>
    <w:p w:rsidR="00C54F26" w:rsidRDefault="00C54F26" w:rsidP="00C54F26">
      <w:pPr>
        <w:pStyle w:val="TextoNormal"/>
      </w:pPr>
    </w:p>
    <w:p w:rsidR="00C54F26" w:rsidRDefault="00C54F26" w:rsidP="00C54F26">
      <w:pPr>
        <w:pStyle w:val="TextoNormal"/>
      </w:pPr>
      <w:r>
        <w:t>Sobre la base de estas premisas, el ministerio público considera que la resolución motiva de forma suficiente su decisión, por lo que no se ha producido la vulneración del derecho a una resolución motivada como vertiente del derecho a la tutela judicial efectiva (art. 24.1 CE).</w:t>
      </w:r>
    </w:p>
    <w:p w:rsidR="00C54F26" w:rsidRDefault="00C54F26" w:rsidP="00C54F26">
      <w:pPr>
        <w:pStyle w:val="TextoNormal"/>
      </w:pPr>
    </w:p>
    <w:p w:rsidR="00C54F26" w:rsidRDefault="00C54F26" w:rsidP="00C54F26">
      <w:pPr>
        <w:pStyle w:val="TextoNormal"/>
      </w:pPr>
      <w:r>
        <w:t>Y otro tanto ocurre con el invocado derecho a la igualdad (art. 14 CE). Para el fiscal, no se puede afirmar que los precedentes alegados imponen u obligan a adoptar la medida cautelar de suspensión. Como señala el auto recurrido, ni son “todos” los precedentes, ni todos son “iguales”.</w:t>
      </w:r>
    </w:p>
    <w:p w:rsidR="00C54F26" w:rsidRDefault="00C54F26" w:rsidP="00C54F26">
      <w:pPr>
        <w:pStyle w:val="TextoNormal"/>
      </w:pPr>
    </w:p>
    <w:p w:rsidR="00C54F26" w:rsidRDefault="00C54F26" w:rsidP="00C54F26">
      <w:pPr>
        <w:pStyle w:val="TextoNormal"/>
      </w:pPr>
      <w:r>
        <w:t>Finalmente, en cuanto a las alegaciones sobre la existencia de una discriminación y de una vulneración del derecho a la tutela cautelar, se trata de invocaciones basadas en la expresión de íntimas convicciones que, como tales, carecen de relevancia desde el punto de vista jurídico, sin que puedan producir efecto alguno.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w:t>
      </w:r>
      <w:r w:rsidRPr="00C54F26">
        <w:rPr>
          <w:i/>
        </w:rPr>
        <w:t>Objeto del recurso de amparo y de este auto</w:t>
      </w:r>
      <w:r>
        <w:t>.</w:t>
      </w:r>
    </w:p>
    <w:p w:rsidR="00C54F26" w:rsidRDefault="00C54F26" w:rsidP="00C54F26">
      <w:pPr>
        <w:pStyle w:val="TextoNormal"/>
      </w:pPr>
    </w:p>
    <w:p w:rsidR="00C54F26" w:rsidRDefault="00C54F26" w:rsidP="00C54F26">
      <w:pPr>
        <w:pStyle w:val="TextoNormal"/>
      </w:pPr>
      <w:r>
        <w:lastRenderedPageBreak/>
        <w:t>Como con más detalle se ha expuesto en los antecedentes de esta resolución, el presente recurso de amparo ha sido interpuesto contra las sentencias, de 19 de diciembre de 2019 del Tribunal Superior de Justicia de Cataluña, que condenó al demandante de amparo por delito de desobediencia a las penas de multa e inhabilitación especial para el ejercicio de cargo público electivo y para el desempeño de funciones de gobierno, así como al pago de las costas procesales; y de 28 de septiembre de 2020, de la Sala de lo Penal del Tribunal Supremo, que confirmó, en trámite de casación, el anterior pronunciamiento.</w:t>
      </w:r>
    </w:p>
    <w:p w:rsidR="00C54F26" w:rsidRDefault="00C54F26" w:rsidP="00C54F26">
      <w:pPr>
        <w:pStyle w:val="TextoNormal"/>
      </w:pPr>
    </w:p>
    <w:p w:rsidR="00C54F26" w:rsidRDefault="00C54F26" w:rsidP="00C54F26">
      <w:pPr>
        <w:pStyle w:val="TextoNormal"/>
      </w:pPr>
      <w:r>
        <w:t xml:space="preserve">En fecha 6 de octubre de 2020, el Pleno de este tribunal acordó por providencia la avocación de este recurso y su admisión a trámite y, además, no apreció la urgencia excepcional a la que se refiere el art. 56.6 LOTC para acordar </w:t>
      </w:r>
      <w:r w:rsidRPr="00C54F26">
        <w:rPr>
          <w:i/>
        </w:rPr>
        <w:t>inaudita parte</w:t>
      </w:r>
      <w:r>
        <w:t xml:space="preserve"> sobre la medida cautelar solicitada en la demanda y en el posterior escrito de 1 de octubre de 2020. Contra esa decisión la representación del demandante interpuso recurso de súplica. No obstante, en esa misma resolución el Pleno acordó la apertura de la pieza separada prevista en el art. 56.4 LOTC, concediendo un plazo a las partes para que formularan alegaciones sobre la medida cautelar solicitada.</w:t>
      </w:r>
    </w:p>
    <w:p w:rsidR="00C54F26" w:rsidRDefault="00C54F26" w:rsidP="00C54F26">
      <w:pPr>
        <w:pStyle w:val="TextoNormal"/>
      </w:pPr>
    </w:p>
    <w:p w:rsidR="00C54F26" w:rsidRDefault="00C54F26" w:rsidP="00C54F26">
      <w:pPr>
        <w:pStyle w:val="TextoNormal"/>
      </w:pPr>
      <w:r>
        <w:t>En la indicada pieza separada, el Ministerio Fiscal interesó la desestimación de la medida, oponiéndose igualmente a la estimación del recurso de súplica interpuesto contra la citada providencia de 6 de octubre de 2020. Del mismo modo, la representación del partido político Vox interesó la desestimación del recurso de súplica. Por su parte, el recurrente se ratificó en los argumentos expuestos en los escritos presentados con anterioridad.</w:t>
      </w:r>
    </w:p>
    <w:p w:rsidR="00C54F26" w:rsidRDefault="00C54F26" w:rsidP="00C54F26">
      <w:pPr>
        <w:pStyle w:val="TextoNormal"/>
      </w:pPr>
    </w:p>
    <w:p w:rsidR="00C54F26" w:rsidRDefault="00C54F26" w:rsidP="00C54F26">
      <w:pPr>
        <w:pStyle w:val="TextoNormal"/>
      </w:pPr>
      <w:r>
        <w:t>El Pleno de este tribunal acordó, por ATC 146/2020, de 17 de noviembre, la desestimación del recurso de súplica interpuesto contra la providencia de 6 de octubre de 2020, así como la denegación de la petición de suspensión de la ejecución de la pena de inhabilitación especial solicitada por el demandante de amparo.</w:t>
      </w:r>
    </w:p>
    <w:p w:rsidR="00C54F26" w:rsidRDefault="00C54F26" w:rsidP="00C54F26">
      <w:pPr>
        <w:pStyle w:val="TextoNormal"/>
      </w:pPr>
    </w:p>
    <w:p w:rsidR="00C54F26" w:rsidRDefault="00C54F26" w:rsidP="00C54F26">
      <w:pPr>
        <w:pStyle w:val="TextoNormal"/>
      </w:pPr>
      <w:r>
        <w:t>Frente a este auto se interpuso un recurso de súplica que es el objeto de la presente resolución. En este recurso se impugna la denegación de la medida cautelar solicitada, consistente en la suspensión de la ejecución de la pena de inhabilitación especial impuesta por sentencia penal ya declarada firme. Para el recurrente, concurren los requisitos para la adopción de la medida, consistentes en la existencia de un perjuicio irreparable y la ausencia de una perturbación grave para un interés constitucionalmente protegido. Además, el auto impugnado se habría apartado de los precedentes existentes en este tribunal en supuestos análogos al presente, sin motivación suficiente. Todo ello supondría, a su vez, una vulneración del derecho a la tutela judicial efectiva (art. 24.1 CE), en su vertiente de derecho a obtener una resolución motivada, así como a la tutela cautelar efectiva. Del mismo modo, la resolución impugnada habría incurrido en una vulneración del derecho a la igualdad y a la no discriminación (art. 14 CE). El recurrente considera que este tribunal ha tomado su decisión por motivos ideológicos y por razón de la pertenencia del recurrente a una formación política independentista catalana.</w:t>
      </w:r>
    </w:p>
    <w:p w:rsidR="00C54F26" w:rsidRDefault="00C54F26" w:rsidP="00C54F26">
      <w:pPr>
        <w:pStyle w:val="TextoNormal"/>
      </w:pPr>
    </w:p>
    <w:p w:rsidR="00C54F26" w:rsidRDefault="00C54F26" w:rsidP="00C54F26">
      <w:pPr>
        <w:pStyle w:val="TextoNormal"/>
      </w:pPr>
      <w:r>
        <w:t>El Ministerio Fiscal y la representación del partido político Vox han interesado la desestimación del recurso.</w:t>
      </w:r>
    </w:p>
    <w:p w:rsidR="00C54F26" w:rsidRDefault="00C54F26" w:rsidP="00C54F26">
      <w:pPr>
        <w:pStyle w:val="TextoNormal"/>
      </w:pPr>
    </w:p>
    <w:p w:rsidR="00C54F26" w:rsidRDefault="00C54F26" w:rsidP="00C54F26">
      <w:pPr>
        <w:pStyle w:val="TextoNormal"/>
      </w:pPr>
      <w:r>
        <w:t xml:space="preserve">El planteamiento del recurso, en los términos expuestos, obliga a abordar, en primer lugar, la concurrencia o no de los requisitos y presupuestos para la adopción de la medida </w:t>
      </w:r>
      <w:r>
        <w:lastRenderedPageBreak/>
        <w:t>solicitada, así como el posible apartamiento de los precedentes existentes. Solo en el caso de que se apreciara una infracción en este ámbito, se podría entrar a valorar, en segundo lugar, una posible vulneración de los derechos fundamentales invocados, que se alegan como directamente derivados de las anteriores.</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w:t>
      </w:r>
      <w:r w:rsidRPr="00C54F26">
        <w:rPr>
          <w:i/>
        </w:rPr>
        <w:t>Los requisitos y presupuestos para la adopción de una medida cautelar de suspensión del acto o resolución impugnados (art. 56.1 y 2 LOTC</w:t>
      </w:r>
      <w:r>
        <w:t>).</w:t>
      </w:r>
    </w:p>
    <w:p w:rsidR="00C54F26" w:rsidRDefault="00C54F26" w:rsidP="00C54F26">
      <w:pPr>
        <w:pStyle w:val="TextoNormal"/>
      </w:pPr>
    </w:p>
    <w:p w:rsidR="00C54F26" w:rsidRDefault="00C54F26" w:rsidP="00C54F26">
      <w:pPr>
        <w:pStyle w:val="TextoNormal"/>
      </w:pPr>
      <w:r>
        <w:t>a) El art. 56.1 LOTC establece, como regla general, que “la interposición del recurso de amparo no suspenderá los efectos del acto o sentencia impugnados”. No obstante, el apartado 2 del mismo precepto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de un interés constitucionalmente protegido, ni a los derechos fundamentales o libertades de otra persona”.</w:t>
      </w:r>
    </w:p>
    <w:p w:rsidR="00C54F26" w:rsidRDefault="00C54F26" w:rsidP="00C54F26">
      <w:pPr>
        <w:pStyle w:val="TextoNormal"/>
      </w:pPr>
    </w:p>
    <w:p w:rsidR="00C54F26" w:rsidRDefault="00C54F26" w:rsidP="00C54F26">
      <w:pPr>
        <w:pStyle w:val="TextoNormal"/>
      </w:pPr>
      <w:r>
        <w:t>Por lo tanto, la excepción a la regla general viene determinada por un doble condicionamiento, es decir, por la concurrencia de dos circunstancias que, a su vez, presentan una distinta significación. En primer lugar, la finalidad de la medida cautelar, que solo puede estar orientada a que el amparo no pierda su eficacia por la existencia de un perjuicio que no sea susceptible de reparación para el caso de que el amparo fuera estimado. En segundo lugar, el presupuesto de la medida cautelar, que solo puede acordarse si la suspensión no genera una perturbación grave de un interés constitucionalmente protegido, ni a los derechos fundamentales o libertades de otra persona.</w:t>
      </w:r>
    </w:p>
    <w:p w:rsidR="00C54F26" w:rsidRDefault="00C54F26" w:rsidP="00C54F26">
      <w:pPr>
        <w:pStyle w:val="TextoNormal"/>
      </w:pPr>
    </w:p>
    <w:p w:rsidR="00C54F26" w:rsidRDefault="00C54F26" w:rsidP="00C54F26">
      <w:pPr>
        <w:pStyle w:val="TextoNormal"/>
      </w:pPr>
      <w:r>
        <w:t>También ha señalado este tribunal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C54F26" w:rsidRDefault="00C54F26" w:rsidP="00C54F26">
      <w:pPr>
        <w:pStyle w:val="TextoNormal"/>
      </w:pPr>
    </w:p>
    <w:p w:rsidR="00C54F26" w:rsidRDefault="00C54F26" w:rsidP="00C54F26">
      <w:pPr>
        <w:pStyle w:val="TextoNormal"/>
      </w:pPr>
      <w:r>
        <w:t xml:space="preserve">En cuanto a la noción de “perjuicio irreparable”, debe entenderse como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w:t>
      </w:r>
      <w:r>
        <w:lastRenderedPageBreak/>
        <w:t>simple temor; la pérdida de la finalidad del amparo no puede equipararse a la mayor o menor dificultad, molestia o incomodidad para el recurrente”. (ATC 137/2017, de 16 de octubre, FJ 1, y las resoluciones allí citadas)</w:t>
      </w:r>
    </w:p>
    <w:p w:rsidR="00C54F26" w:rsidRDefault="00C54F26" w:rsidP="00C54F26">
      <w:pPr>
        <w:pStyle w:val="TextoNormal"/>
      </w:pPr>
    </w:p>
    <w:p w:rsidR="00C54F26" w:rsidRDefault="00C54F26" w:rsidP="00C54F26">
      <w:pPr>
        <w:pStyle w:val="TextoNormal"/>
      </w:pPr>
      <w:r>
        <w:t>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C54F26" w:rsidRDefault="00C54F26" w:rsidP="00C54F26">
      <w:pPr>
        <w:pStyle w:val="TextoNormal"/>
      </w:pPr>
    </w:p>
    <w:p w:rsidR="00C54F26" w:rsidRDefault="00C54F26" w:rsidP="00C54F26">
      <w:pPr>
        <w:pStyle w:val="TextoNormal"/>
      </w:pPr>
      <w:r>
        <w:t>b) En el caso de las penas privativas de derechos impuestas como principales (es decir, no accesorias) y, más en concreto, de la pena de inhabilitación, este tribunal ha declarado reiteradamente, en relación con los criterios de ponderación a tener en cuenta para acordar o no la suspensión solicitada, que la “ejecución de la pena de inhabilitación (…)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Además, se ha de tener en cuenta la duración de la pena, ya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w:t>
      </w:r>
    </w:p>
    <w:p w:rsidR="00C54F26" w:rsidRDefault="00C54F26" w:rsidP="00C54F26">
      <w:pPr>
        <w:pStyle w:val="TextoNormal"/>
      </w:pPr>
    </w:p>
    <w:p w:rsidR="00C54F26" w:rsidRDefault="00C54F26" w:rsidP="00C54F26">
      <w:pPr>
        <w:pStyle w:val="TextoNormal"/>
      </w:pPr>
      <w:r>
        <w:t>Estos criterios han de ser, a su vez, valorados conjuntamente con una posible “presencia de una perturbación grave para los intereses generales”, para lo que debe tenerse en cuenta si “los hechos cuya comisión da lugar a su imposición derivan del ejercicio de funciones públicas, susceptibles de socavar, por tanto, la confianza de los ciudadanos en los funcionarios precisamente encargados de velar por su seguridad y libertad, al suponer la reincorporación del condenado al ejercicio de la función pública, siendo por consiguiente de temer el riesgo de que se provoque una grave perturbación de los intereses generales” [AATC 259/2002, de 9 de diciembre, FJ 3; 167/2013, de 9 de septiembre FJ 1 c); 99/2016, de 9 de mayo, FJ 2, y 2/2018, de 22 de enero, FJ 1].</w:t>
      </w:r>
    </w:p>
    <w:p w:rsidR="00C54F26" w:rsidRDefault="00C54F26" w:rsidP="00C54F26">
      <w:pPr>
        <w:pStyle w:val="TextoNormal"/>
      </w:pPr>
    </w:p>
    <w:p w:rsidR="00C54F26" w:rsidRDefault="00C54F26" w:rsidP="00C54F26">
      <w:pPr>
        <w:pStyle w:val="TextoNormal"/>
      </w:pPr>
      <w:r>
        <w:t xml:space="preserve">c) La interpretación combinada de los dos primeros apartados del art. 56 LOTC determina que la regla general es el mantenimiento de la eficacia del acto o resolución impugnados. La suspensión sería una excepción a esa regla general, por lo que el parámetro para su adopción ha de estar basado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w:t>
      </w:r>
      <w:r>
        <w:lastRenderedPageBreak/>
        <w:t>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de un interés constitucionalmente protegido. La concurrencia de esa perturbación impide la adopción de la medida cautelar solicitada.</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w:t>
      </w:r>
      <w:r w:rsidRPr="00C54F26">
        <w:rPr>
          <w:i/>
        </w:rPr>
        <w:t>La existencia de un perjuicio irreparable</w:t>
      </w:r>
      <w:r>
        <w:t>.</w:t>
      </w:r>
    </w:p>
    <w:p w:rsidR="00C54F26" w:rsidRDefault="00C54F26" w:rsidP="00C54F26">
      <w:pPr>
        <w:pStyle w:val="TextoNormal"/>
      </w:pPr>
    </w:p>
    <w:p w:rsidR="00C54F26" w:rsidRDefault="00C54F26" w:rsidP="00C54F26">
      <w:pPr>
        <w:pStyle w:val="TextoNormal"/>
      </w:pPr>
      <w:r>
        <w:t>El demandante de amparo impugna el ATC 146/2020, de 17 de noviembre, por considerar que incurre en una patente contradicción sobre la idoneidad de la medida cautelar solicitada, para insistir también en que la decisión adoptada supondría la inconstitucionalidad de los arts. 794 y 988 LECrim, por ser contrarios a lo dispuesto en los arts. 53.2, 161.1 b) y 165 CE. Como argumento adicional se alega una posible vulneración del derecho a la igualdad en relación con la diferencia de trato que supone la posibilidad contemplada en el art. 4.4 CP de suspender la ejecución de una pena mientras se tramita una petición de indulto, en detrimento de quien interpone un recurso de amparo.</w:t>
      </w:r>
    </w:p>
    <w:p w:rsidR="00C54F26" w:rsidRDefault="00C54F26" w:rsidP="00C54F26">
      <w:pPr>
        <w:pStyle w:val="TextoNormal"/>
      </w:pPr>
    </w:p>
    <w:p w:rsidR="00C54F26" w:rsidRDefault="00C54F26" w:rsidP="00C54F26">
      <w:pPr>
        <w:pStyle w:val="TextoNormal"/>
      </w:pPr>
      <w:r>
        <w:t>Las quejas invocadas por el recurrente parten de premisas erróneas.</w:t>
      </w:r>
    </w:p>
    <w:p w:rsidR="00C54F26" w:rsidRDefault="00C54F26" w:rsidP="00C54F26">
      <w:pPr>
        <w:pStyle w:val="TextoNormal"/>
      </w:pPr>
    </w:p>
    <w:p w:rsidR="00C54F26" w:rsidRDefault="00C54F26" w:rsidP="00C54F26">
      <w:pPr>
        <w:pStyle w:val="TextoNormal"/>
      </w:pPr>
      <w:r>
        <w:t>a) El auto impugnado no incurre en contradicción alguna. La medida cautelar interesada pretendía la suspensión de la ejecución de una pena con la finalidad de evitar lo que se entendía como un perjuicio irreparable consistente en la pérdida del cargo de presidente de la Generalitat de Cataluña. Lo que el auto impugnado señala es que la medida solicitada no podía cumplir esa finalidad.</w:t>
      </w:r>
    </w:p>
    <w:p w:rsidR="00C54F26" w:rsidRDefault="00C54F26" w:rsidP="00C54F26">
      <w:pPr>
        <w:pStyle w:val="TextoNormal"/>
      </w:pPr>
    </w:p>
    <w:p w:rsidR="00C54F26" w:rsidRDefault="00C54F26" w:rsidP="00C54F26">
      <w:pPr>
        <w:pStyle w:val="TextoNormal"/>
      </w:pPr>
      <w:r>
        <w:t>En efecto, la medida no podía evitar la pérdida del cargo porque la privación del cargo ya se había producido mediante la declaración de firmeza de la sentencia condenatoria y su ejecución. Como se expuso en el auto impugnado, la pena de inhabilitación impuesta se ejecuta y se agota en un solo acto. El art. 42 CP no encuentra matices: “la pena de inhabilitación (…) produce la privación definitiva del empleo o cargo sobre el que recayere (…)”. Por lo tanto, no se puede suspender la ejecución de una pena que ya está ejecutada. En ese sentido se afirmaba que la medida era ineficaz por inidónea. Afirmación que no se establecía con carácter general, sino en función de las circunstancias concurrentes en el caso concreto.</w:t>
      </w:r>
    </w:p>
    <w:p w:rsidR="00C54F26" w:rsidRDefault="00C54F26" w:rsidP="00C54F26">
      <w:pPr>
        <w:pStyle w:val="TextoNormal"/>
      </w:pPr>
    </w:p>
    <w:p w:rsidR="00C54F26" w:rsidRDefault="00C54F26" w:rsidP="00C54F26">
      <w:pPr>
        <w:pStyle w:val="TextoNormal"/>
      </w:pPr>
      <w:r>
        <w:t>Por eso mismo, el auto señala también que, en realidad, lo que pretende el recurrente no es evitar la pérdida del cargo, sino obtener la restitución en el mismo. Sin embargo, esa es una decisión que implica una resolución sobre el fondo del asunto y que, por lo tanto, no puede adoptarse cautelarmente. Acceder a la suspensión por los motivos alegados equivaldría a poner en cuestión la propia condena, de la que se deriva la situación de inhabilitación. Es decir, supondría hacer una ponderación sobre la posible afectación de los derechos invocados y, por lo tanto, entrar a valorar aspectos que son propios de la decisión sobre el fondo del asunto (por todos, ATC 55/2018, de 22 de mayo, FJ 2, y la jurisprudencia allí citada).</w:t>
      </w:r>
    </w:p>
    <w:p w:rsidR="00C54F26" w:rsidRDefault="00C54F26" w:rsidP="00C54F26">
      <w:pPr>
        <w:pStyle w:val="TextoNormal"/>
      </w:pPr>
    </w:p>
    <w:p w:rsidR="00C54F26" w:rsidRDefault="00C54F26" w:rsidP="00C54F26">
      <w:pPr>
        <w:pStyle w:val="TextoNormal"/>
      </w:pPr>
      <w:r>
        <w:t>Una cosa es evitar la pérdida de un cargo, que en este caso ya se había perdido, y otra distinta es obtener la restitución en el cargo, que no puede acordarse cautelarmente porque implica una resolución sobre el fondo que solo procede adoptar en la sentencia que ponga fin a este procedimiento.</w:t>
      </w:r>
    </w:p>
    <w:p w:rsidR="00C54F26" w:rsidRDefault="00C54F26" w:rsidP="00C54F26">
      <w:pPr>
        <w:pStyle w:val="TextoNormal"/>
      </w:pPr>
    </w:p>
    <w:p w:rsidR="00C54F26" w:rsidRDefault="00C54F26" w:rsidP="00C54F26">
      <w:pPr>
        <w:pStyle w:val="TextoNormal"/>
      </w:pPr>
      <w:r>
        <w:lastRenderedPageBreak/>
        <w:t>En consecuencia, no existe contradicción alguna en el auto impugnado.</w:t>
      </w:r>
    </w:p>
    <w:p w:rsidR="00C54F26" w:rsidRDefault="00C54F26" w:rsidP="00C54F26">
      <w:pPr>
        <w:pStyle w:val="TextoNormal"/>
      </w:pPr>
    </w:p>
    <w:p w:rsidR="00C54F26" w:rsidRDefault="00C54F26" w:rsidP="00C54F26">
      <w:pPr>
        <w:pStyle w:val="TextoNormal"/>
      </w:pPr>
      <w:r>
        <w:t>b) La misma decisión desestimatoria procede en relación con la alegada inconstitucionalidad de los arts. 794 y 988 LECrim, por su supuesta contradicción con los arts. 53.2, 161.1 b) y 165 CE. El recurrente insiste en este argumento que, una vez más, aborda la cuestión desde un planteamiento equivocado, consistente en que la ejecución de una pena por la jurisdicción ordinaria impide que este tribunal pueda adoptar medidas cautelares en relación con aquella.</w:t>
      </w:r>
    </w:p>
    <w:p w:rsidR="00C54F26" w:rsidRDefault="00C54F26" w:rsidP="00C54F26">
      <w:pPr>
        <w:pStyle w:val="TextoNormal"/>
      </w:pPr>
    </w:p>
    <w:p w:rsidR="00C54F26" w:rsidRDefault="00C54F26" w:rsidP="00C54F26">
      <w:pPr>
        <w:pStyle w:val="TextoNormal"/>
      </w:pPr>
      <w:r>
        <w:t xml:space="preserve">Como ya expusimos en el ATC 146/2020, de 17 de noviembre, ahora recurrido, el art. 56 LOTC confiere a este tribunal la competencia de poder “disponer la suspensión, total o parcial,” de los efectos del “acto o sentencia impugnados”, por lo que los mandatos legislativos de los citados arts. 794 y 988 LECrim son “compatible[s] con que, en el ejercicio de esa competencia funcional, el tribunal pueda utilizar como criterio de ponderación el hecho de que se haya ejecutado la pena por la jurisdicción ordinaria” [fundamento jurídico 3 d)]. Este elemento de valoración fue, precisamente, tenido en cuenta para ratificar la decisión de no apreciar la concurrencia de la urgencia excepcional para la adopción de la medida </w:t>
      </w:r>
      <w:r w:rsidRPr="00C54F26">
        <w:rPr>
          <w:i/>
        </w:rPr>
        <w:t>inaudita parte</w:t>
      </w:r>
      <w:r>
        <w:t>, prevista en el art. 56.6 LOTC, solicitada por el demandante y denegada por la providencia de 6 de octubre de 2020, que acordó la admisión a trámite de este recurso de amparo.</w:t>
      </w:r>
    </w:p>
    <w:p w:rsidR="00C54F26" w:rsidRDefault="00C54F26" w:rsidP="00C54F26">
      <w:pPr>
        <w:pStyle w:val="TextoNormal"/>
      </w:pPr>
    </w:p>
    <w:p w:rsidR="00C54F26" w:rsidRDefault="00C54F26" w:rsidP="00C54F26">
      <w:pPr>
        <w:pStyle w:val="TextoNormal"/>
      </w:pPr>
      <w:r>
        <w:t>Por lo tanto, no hay contradicción entre la inicial decisión de este tribunal y la respuesta del Tribunal Superior de Justicia de Cataluña, porque se trata de planos funcionales distintos. El Tribunal Superior de Justicia de Cataluña es el órgano de la jurisdicción ordinaria competente para ejecutar la pena impuesta en la sentencia firme que haya dictado, mientras que a este tribunal le corresponde valorar, en su caso, la suspensión de la ejecución de esa resolución, en función de los criterios establecidos en la Ley Orgánica del Tribunal Constitucional y de conformidad con la interpretación de aquellos por nuestra doctrina. En consecuencia, no se aprecia la incompatibilidad entre los preceptos citados (arts. 794 y 988 LECrim) y los arts. 53.2, 161.1 b) y 165 CE, en relación con lo previsto en el art. 56.6 LOTC, por lo que no procede el planteamiento de la cuestión de inconstitucionalidad.</w:t>
      </w:r>
    </w:p>
    <w:p w:rsidR="00C54F26" w:rsidRDefault="00C54F26" w:rsidP="00C54F26">
      <w:pPr>
        <w:pStyle w:val="TextoNormal"/>
      </w:pPr>
    </w:p>
    <w:p w:rsidR="00C54F26" w:rsidRDefault="00C54F26" w:rsidP="00C54F26">
      <w:pPr>
        <w:pStyle w:val="TextoNormal"/>
      </w:pPr>
      <w:r>
        <w:t>c) El recurrente alega en defensa de su pretensión la supuesta discriminación que podría existir en comparación con quienes solicitan un indulto, que pueden ver suspendida la ejecución de la pena, según dispone el art. 4.4 CP.</w:t>
      </w:r>
    </w:p>
    <w:p w:rsidR="00C54F26" w:rsidRDefault="00C54F26" w:rsidP="00C54F26">
      <w:pPr>
        <w:pStyle w:val="TextoNormal"/>
      </w:pPr>
    </w:p>
    <w:p w:rsidR="00C54F26" w:rsidRDefault="00C54F26" w:rsidP="00C54F26">
      <w:pPr>
        <w:pStyle w:val="TextoNormal"/>
      </w:pPr>
      <w:r>
        <w:t>Como es conocido, para “apreciar una vulneración del derecho a la igualdad ante la ley debe partirse de la homogeneidad o identidad del término de comparación utilizado” (por todas, STC 127/2019, de 31 de octubre, FJ 7, y la jurisprudencia allí citada).</w:t>
      </w:r>
    </w:p>
    <w:p w:rsidR="00C54F26" w:rsidRDefault="00C54F26" w:rsidP="00C54F26">
      <w:pPr>
        <w:pStyle w:val="TextoNormal"/>
      </w:pPr>
    </w:p>
    <w:p w:rsidR="00C54F26" w:rsidRDefault="00C54F26" w:rsidP="00C54F26">
      <w:pPr>
        <w:pStyle w:val="TextoNormal"/>
      </w:pPr>
      <w:r>
        <w:t xml:space="preserve">En el presente caso, no es posible establecer una relación de identidad entre el recurso de amparo y el indulto. Mediante el amparo se pretende de este tribunal la protección frente a las vulneraciones de determinados derechos y libertades (art. 41.2 LOTC), resolviéndose siempre conforme a criterios jurídicos constitucionales (art. 55 LOTC). Por su parte, el indulto es una medida de gracia que implica la extinción total o parcial de la responsabilidad criminal (art. 130.1.4 CP), resolviéndose conforme a criterios gubernativos discrecionales </w:t>
      </w:r>
      <w:r>
        <w:lastRenderedPageBreak/>
        <w:t>(tales como la “justicia”, la “equidad”, la “utilidad pública” o los “méritos suficientes”, recogidos en los arts. 11, 12 o 16 de la Ley de 18 de junio de 1870) sin perjuicio de su motivación.</w:t>
      </w:r>
    </w:p>
    <w:p w:rsidR="00C54F26" w:rsidRDefault="00C54F26" w:rsidP="00C54F26">
      <w:pPr>
        <w:pStyle w:val="TextoNormal"/>
      </w:pPr>
    </w:p>
    <w:p w:rsidR="00C54F26" w:rsidRDefault="00C54F26" w:rsidP="00C54F26">
      <w:pPr>
        <w:pStyle w:val="TextoNormal"/>
      </w:pPr>
      <w:r>
        <w:t>Por lo tanto, la naturaleza jurídica de ambas figuras, el órgano competente y los criterios para su resolución son radicalmente diferentes. También son distintos los elementos a tener en cuenta para adoptar la suspensión de la ejecución de una pena impuesta por sentencia penal firme. Mientras que el art. 4.4 CP permite al órgano judicial suspender aquella ejecución en tanto sea tramitada la solicitud de indulto, sin ninguna otra exigencia, el art. 56.2 LOTC obliga, en cambio, a este tribunal a ponderar, también, la concurrencia de una perturbación grave de un interés constitucionalmente protegido, o de los derechos y libertades de otra persona.</w:t>
      </w:r>
    </w:p>
    <w:p w:rsidR="00C54F26" w:rsidRDefault="00C54F26" w:rsidP="00C54F26">
      <w:pPr>
        <w:pStyle w:val="TextoNormal"/>
      </w:pPr>
    </w:p>
    <w:p w:rsidR="00C54F26" w:rsidRDefault="00C54F26" w:rsidP="00C54F26">
      <w:pPr>
        <w:pStyle w:val="TextoNormal"/>
      </w:pPr>
      <w:r>
        <w:t xml:space="preserve">d) El recurrente alega en su escrito de impugnación que existen precedentes en los que se afirmó la posible adopción de la medida cautelar de suspensión, aunque implicara la “reincorporación” del condenado “al ejercicio de la función pública”. Cita, a tal efecto, los AATC 259/2002, de 9 de diciembre y 140/2002, de 3 de junio; </w:t>
      </w:r>
      <w:r w:rsidRPr="00C54F26">
        <w:rPr>
          <w:i/>
        </w:rPr>
        <w:t>rectius</w:t>
      </w:r>
      <w:r>
        <w:t xml:space="preserve"> ATC 140/1998, de 16 de junio.</w:t>
      </w:r>
    </w:p>
    <w:p w:rsidR="00C54F26" w:rsidRDefault="00C54F26" w:rsidP="00C54F26">
      <w:pPr>
        <w:pStyle w:val="TextoNormal"/>
      </w:pPr>
    </w:p>
    <w:p w:rsidR="00C54F26" w:rsidRDefault="00C54F26" w:rsidP="00C54F26">
      <w:pPr>
        <w:pStyle w:val="TextoNormal"/>
      </w:pPr>
      <w:r>
        <w:t>Sin embargo, como se expuso en el auto impugnado, se trata de precedentes en los que se denegó la medida cautelar de suspensión de las penas de inhabilitación impuestas. En esos casos, la causa principal de la denegación fue la concurrencia de una grave perturbación de un interés constitucionalmente protegido (ver, en tal sentido, el FJ 3 del ATC 259/2002 y el FJ 5 del ATC 140/1998). Eso es lo que ha ocurrido también en el presente supuesto, como luego se expondrá, por lo que tampoco ha existido diferencia de trato alguna.</w:t>
      </w:r>
    </w:p>
    <w:p w:rsidR="00C54F26" w:rsidRDefault="00C54F26" w:rsidP="00C54F26">
      <w:pPr>
        <w:pStyle w:val="TextoNormal"/>
      </w:pPr>
    </w:p>
    <w:p w:rsidR="00C54F26" w:rsidRDefault="00C54F26" w:rsidP="00C54F26">
      <w:pPr>
        <w:pStyle w:val="TextoNormal"/>
      </w:pPr>
      <w:r>
        <w:t>e) En relación con el segundo efecto de la condena impuesta, es decir, la imposibilidad de obtener un nuevo cargo durante un determinado periodo de tiempo, el recurrente afirma que el tribunal ha establecido un requisito hasta ahora desconocido para acordar la suspensión solicitada, como sería la no existencia de un proceso electoral convocado.</w:t>
      </w:r>
    </w:p>
    <w:p w:rsidR="00C54F26" w:rsidRDefault="00C54F26" w:rsidP="00C54F26">
      <w:pPr>
        <w:pStyle w:val="TextoNormal"/>
      </w:pPr>
    </w:p>
    <w:p w:rsidR="00C54F26" w:rsidRDefault="00C54F26" w:rsidP="00C54F26">
      <w:pPr>
        <w:pStyle w:val="TextoNormal"/>
      </w:pPr>
      <w:r>
        <w:t>Se trata de una interpretación parcial de lo expuesto en nuestro ATC 146/2020, de 17 de noviembre. La convocatoria de un proceso electoral no es una condición para la suspensión de la pena de inhabilitación. Lo que se argumentó en el auto impugnado es que los hipotéticos perjuicios alegados no tenían la consideración de efectivos e inminentes, como exige la doctrina de este tribunal (por todos, ATC 38/2018, de 22 de marzo, FJ 3, y la doctrina allí expuesta), ya que en ese momento no se había convocado proceso electoral alguno.</w:t>
      </w:r>
    </w:p>
    <w:p w:rsidR="00C54F26" w:rsidRDefault="00C54F26" w:rsidP="00C54F26">
      <w:pPr>
        <w:pStyle w:val="TextoNormal"/>
      </w:pPr>
    </w:p>
    <w:p w:rsidR="00C54F26" w:rsidRDefault="00C54F26" w:rsidP="00C54F26">
      <w:pPr>
        <w:pStyle w:val="TextoNormal"/>
      </w:pPr>
      <w:r>
        <w:t>En todo caso, como se deduce de una lectura íntegra del auto recurrido, el argumento de la inexistencia del perjuicio irreparable no fue el único ni el más relevante para la decisión adoptada. Lo determinante fue la ausencia de un presupuesto para su adopción, derivada de la concurrencia de una perturbación grave de un interés constitucionalmente protegido.</w:t>
      </w:r>
    </w:p>
    <w:p w:rsidR="00C54F26" w:rsidRDefault="00C54F26" w:rsidP="00C54F26">
      <w:pPr>
        <w:pStyle w:val="TextoNormal"/>
      </w:pPr>
    </w:p>
    <w:p w:rsidR="00C54F26" w:rsidRDefault="00C54F26" w:rsidP="00C54F26">
      <w:pPr>
        <w:pStyle w:val="TextoNormal"/>
      </w:pPr>
      <w:r>
        <w:t>El motivo debe ser desestimado.</w:t>
      </w:r>
    </w:p>
    <w:p w:rsidR="00C54F26" w:rsidRDefault="00C54F26" w:rsidP="00C54F26">
      <w:pPr>
        <w:pStyle w:val="TextoNormal"/>
      </w:pPr>
    </w:p>
    <w:p w:rsidR="00C54F26" w:rsidRDefault="00C54F26" w:rsidP="00C54F26">
      <w:pPr>
        <w:pStyle w:val="TextoNormal"/>
      </w:pPr>
      <w:r w:rsidRPr="00C54F26">
        <w:rPr>
          <w:rStyle w:val="NumeroAFNegritaCaracter"/>
        </w:rPr>
        <w:t>4</w:t>
      </w:r>
      <w:r>
        <w:t xml:space="preserve">. </w:t>
      </w:r>
      <w:r w:rsidRPr="00C54F26">
        <w:rPr>
          <w:i/>
        </w:rPr>
        <w:t>La ausencia de perturbación grave de un interés constitucionalmente protegido</w:t>
      </w:r>
      <w:r>
        <w:t>.</w:t>
      </w:r>
    </w:p>
    <w:p w:rsidR="00C54F26" w:rsidRDefault="00C54F26" w:rsidP="00C54F26">
      <w:pPr>
        <w:pStyle w:val="TextoNormal"/>
      </w:pPr>
    </w:p>
    <w:p w:rsidR="00C54F26" w:rsidRDefault="00C54F26" w:rsidP="00C54F26">
      <w:pPr>
        <w:pStyle w:val="TextoNormal"/>
      </w:pPr>
      <w:r>
        <w:lastRenderedPageBreak/>
        <w:t>El recurrente alega como motivo de impugnación la ausencia de perturbación grave de un interés constitucionalmente protegido. A su juicio, el criterio seguido por este tribunal supone la instauración de la doctrina del “caso único”, pensada exclusivamente para los presidentes de la Generalitat. Además, se alega falta de motivación sobre las circunstancias tomadas en cuenta para apreciar la perturbación grave que, en el caso de la función jurisdiccional, implicaría la denegación de “absolutamente todas” las medidas de suspensión de la ejecución de resoluciones judiciales.</w:t>
      </w:r>
    </w:p>
    <w:p w:rsidR="00C54F26" w:rsidRDefault="00C54F26" w:rsidP="00C54F26">
      <w:pPr>
        <w:pStyle w:val="TextoNormal"/>
      </w:pPr>
    </w:p>
    <w:p w:rsidR="00C54F26" w:rsidRDefault="00C54F26" w:rsidP="00C54F26">
      <w:pPr>
        <w:pStyle w:val="TextoNormal"/>
      </w:pPr>
      <w:r>
        <w:t>La interpretación del recurrente sobre la argumentación contenida en el auto impugnado no puede ser acogida.</w:t>
      </w:r>
    </w:p>
    <w:p w:rsidR="00C54F26" w:rsidRDefault="00C54F26" w:rsidP="00C54F26">
      <w:pPr>
        <w:pStyle w:val="TextoNormal"/>
      </w:pPr>
    </w:p>
    <w:p w:rsidR="00C54F26" w:rsidRDefault="00C54F26" w:rsidP="00C54F26">
      <w:pPr>
        <w:pStyle w:val="TextoNormal"/>
      </w:pPr>
      <w:r>
        <w:t>La adopción de una medida cautelar como la solicitada exige la ponderación de las diversas circunstancias concurrentes, sobre la base de los criterios establecidos legalmente. Se trata, por tanto, de apreciar si los criterios generales fijados en la norma concurren en el caso concreto. Entre esos criterios se encuentra, como se ha expuesto, la ausencia de una perturbación grave de un interés constitucionalmente protegido, que se configura como un presupuesto para la adopción de la medida, de forma que, si concurre esa perturbación, la medida no puede acordarse. Eso es lo que ha sucedido en este supuesto. No se ha instaurado ninguna doctrina de “caso único”, sino que se ha aplicado la doctrina general al caso concreto.</w:t>
      </w:r>
    </w:p>
    <w:p w:rsidR="00C54F26" w:rsidRDefault="00C54F26" w:rsidP="00C54F26">
      <w:pPr>
        <w:pStyle w:val="TextoNormal"/>
      </w:pPr>
    </w:p>
    <w:p w:rsidR="00C54F26" w:rsidRDefault="00C54F26" w:rsidP="00C54F26">
      <w:pPr>
        <w:pStyle w:val="TextoNormal"/>
      </w:pPr>
      <w:r>
        <w:t>a) El auto impugnado deniega la suspensión solicitada como consecuencia de un ejercicio de ponderación en el que se aprecia la concurrencia de una perturbación grave de un interés constitucionalmente protegido. Siguiendo una reiterada doctrina de este tribunal (por todos, ATC 127/2010, de 4 de octubre, FJ 1), ese interés se identifica en este caso con la garantía de la efectividad de la actuación de los poderes públicos y del aseguramiento de la ejecución de las resoluciones firmes dictadas por jueces y tribunales en el ejercicio de la potestad jurisdiccional que les confiere el art. 117.3 CE. Eso no supone, como se alega en el recurso, la denegación de “absolutamente todas” las medidas cautelares que impliquen la suspensión de la ejecución de una resolución judicial. Los numerosos precedentes citados en el auto impugnado permiten descartar abiertamente esa conclusión.</w:t>
      </w:r>
    </w:p>
    <w:p w:rsidR="00C54F26" w:rsidRDefault="00C54F26" w:rsidP="00C54F26">
      <w:pPr>
        <w:pStyle w:val="TextoNormal"/>
      </w:pPr>
    </w:p>
    <w:p w:rsidR="00C54F26" w:rsidRDefault="00C54F26" w:rsidP="00C54F26">
      <w:pPr>
        <w:pStyle w:val="TextoNormal"/>
      </w:pPr>
      <w:r>
        <w:t>Es cierto que hemos afirmado que una medida cautelar de este tipo “entraña siempre, en sí misma, una perturbación de la función jurisdiccional” (ATC 137/2017, d 16 de octubre, FJ 1), pero son las circunstancias del caso concreto las que justifican la necesidad de preservar o no la integridad de la función jurisdiccional.</w:t>
      </w:r>
    </w:p>
    <w:p w:rsidR="00C54F26" w:rsidRDefault="00C54F26" w:rsidP="00C54F26">
      <w:pPr>
        <w:pStyle w:val="TextoNormal"/>
      </w:pPr>
    </w:p>
    <w:p w:rsidR="00C54F26" w:rsidRDefault="00C54F26" w:rsidP="00C54F26">
      <w:pPr>
        <w:pStyle w:val="TextoNormal"/>
      </w:pPr>
      <w:r>
        <w:t>La perturbación grave de un interés constitucionalmente protegido se produce, por tanto, no solo porque la adopción de la medida implica la afectación a la garantía de ejecución de las resoluciones judiciales, sino porque las circunstancias del caso concreto determinan la necesidad de preservar esa garantía.</w:t>
      </w:r>
    </w:p>
    <w:p w:rsidR="00C54F26" w:rsidRDefault="00C54F26" w:rsidP="00C54F26">
      <w:pPr>
        <w:pStyle w:val="TextoNormal"/>
      </w:pPr>
    </w:p>
    <w:p w:rsidR="00C54F26" w:rsidRDefault="00C54F26" w:rsidP="00C54F26">
      <w:pPr>
        <w:pStyle w:val="TextoNormal"/>
      </w:pPr>
      <w:r>
        <w:t xml:space="preserve">b) El recurso afirma que el auto no motiva de forma suficiente los “contornos singulares” o las “circunstancias concurrentes” en este caso. Este tribunal, por el contrario, debe reiterar que nos encontramos ante un asunto singular, como se justifica en el auto impugnado. No existen precedentes de un presidente de Comunidad Autónoma que haya sido condenado como autor responsable de un delito de desobediencia (art. 410 CP), por unos hechos que, según las sentencias impugnadas, consisten en el incumplimiento reiterado y contumaz de </w:t>
      </w:r>
      <w:r>
        <w:lastRenderedPageBreak/>
        <w:t>los requerimientos de un órgano como la Junta Electoral Central, cuya función es garantizar la transparencia y objetividad del proceso electoral y del principio de igualdad, como se recoge en el art. 8.1 de la Ley Orgánica del régimen electoral general (LOREG).</w:t>
      </w:r>
    </w:p>
    <w:p w:rsidR="00C54F26" w:rsidRDefault="00C54F26" w:rsidP="00C54F26">
      <w:pPr>
        <w:pStyle w:val="TextoNormal"/>
      </w:pPr>
    </w:p>
    <w:p w:rsidR="00C54F26" w:rsidRDefault="00C54F26" w:rsidP="00C54F26">
      <w:pPr>
        <w:pStyle w:val="TextoNormal"/>
      </w:pPr>
      <w:r>
        <w:t>Estas circunstancias son las que han justificado la aplicación de la doctrina de este Tribunal, ya expuesta en el auto impugnado, y reiterada en este, que determina la denegación de una medida cautelar como la solicitada cuando “los hechos cuya comisión da lugar a su imposición derivan del ejercicio de funciones públicas, susceptibles de socavar, por tanto, la confianza de los ciudadanos en los funcionarios precisamente encargados de velar por su seguridad y libertad, al suponer la reincorporación del condenado al ejercicio de la función pública, siendo por consiguiente de temer el riesgo de que se provoque una grave perturbación de los intereses generales” [AATC259/2002, de 9 de diciembre, FJ 3; 167/2013, de 9 de septiembre FJ 1 c); 99/2016, de 9 de mayo, FJ 2, y 2/2018, de 22 de enero, FJ 1].</w:t>
      </w:r>
    </w:p>
    <w:p w:rsidR="00C54F26" w:rsidRDefault="00C54F26" w:rsidP="00C54F26">
      <w:pPr>
        <w:pStyle w:val="TextoNormal"/>
      </w:pPr>
    </w:p>
    <w:p w:rsidR="00C54F26" w:rsidRDefault="00C54F26" w:rsidP="00C54F26">
      <w:pPr>
        <w:pStyle w:val="TextoNormal"/>
      </w:pPr>
      <w:r>
        <w:t>Por lo tanto, el auto impugnado ha expuesto con suficiente claridad las circunstancias que concurren en el presente caso para considerar que la medida supondría una perturbación grave de un interés constitucionalidad protegido.</w:t>
      </w:r>
    </w:p>
    <w:p w:rsidR="00C54F26" w:rsidRDefault="00C54F26" w:rsidP="00C54F26">
      <w:pPr>
        <w:pStyle w:val="TextoNormal"/>
      </w:pPr>
    </w:p>
    <w:p w:rsidR="00C54F26" w:rsidRDefault="00C54F26" w:rsidP="00C54F26">
      <w:pPr>
        <w:pStyle w:val="TextoNormal"/>
      </w:pPr>
      <w:r>
        <w:t>No parece que sea necesario insistir en la especial significación del cargo de presidente de una Comunidad Autónoma, “al que corresponde la dirección del Consejo de Gobierno, la suprema representación de la respectiva Comunidad y la ordinaria del Estado en aquélla” (art. 152.1 CE). Tampoco puede dudarse de la importancia que tiene el cumplimiento de la normativa electoral como garantía democrática inherente a todo proceso que pretenda servir de vehículo para la expresión de la voluntad popular. A través de la Ley Orgánica del régimen electoral general se articula, “en palabras de su preámbulo, ‘el procedimiento de emanación de la voluntad mayoritaria del pueblo en las diversas instancias representativas en que se articula el Estado Español’, y en tal sentido (…) la exigencia de que las normas electorales sean cumplidas (…) constituye[n] garantía del correcto desarrollo de la elección de modo que culmine con la proclamación de los candidatos que hayan sido preferidos por el cuerpo electoral” (SSTC 21/1984, de 9 de marzo y 71/1989, de 20 de abril, FJ 3).</w:t>
      </w:r>
    </w:p>
    <w:p w:rsidR="00C54F26" w:rsidRDefault="00C54F26" w:rsidP="00C54F26">
      <w:pPr>
        <w:pStyle w:val="TextoNormal"/>
      </w:pPr>
    </w:p>
    <w:p w:rsidR="00C54F26" w:rsidRDefault="00C54F26" w:rsidP="00C54F26">
      <w:pPr>
        <w:pStyle w:val="TextoNormal"/>
      </w:pPr>
      <w:r>
        <w:t>El motivo debe ser desestimado.</w:t>
      </w:r>
    </w:p>
    <w:p w:rsidR="00C54F26" w:rsidRDefault="00C54F26" w:rsidP="00C54F26">
      <w:pPr>
        <w:pStyle w:val="TextoNormal"/>
      </w:pPr>
    </w:p>
    <w:p w:rsidR="00C54F26" w:rsidRDefault="00C54F26" w:rsidP="00C54F26">
      <w:pPr>
        <w:pStyle w:val="TextoNormal"/>
      </w:pPr>
      <w:r w:rsidRPr="00C54F26">
        <w:rPr>
          <w:rStyle w:val="NumeroAFNegritaCaracter"/>
        </w:rPr>
        <w:t>5</w:t>
      </w:r>
      <w:r>
        <w:t xml:space="preserve">. </w:t>
      </w:r>
      <w:r w:rsidRPr="00C54F26">
        <w:rPr>
          <w:i/>
        </w:rPr>
        <w:t>El derecho a una resolución motivada, a la igualdad y no discriminación, y a la tutela judicial cautelar</w:t>
      </w:r>
      <w:r>
        <w:t>.</w:t>
      </w:r>
    </w:p>
    <w:p w:rsidR="00C54F26" w:rsidRDefault="00C54F26" w:rsidP="00C54F26">
      <w:pPr>
        <w:pStyle w:val="TextoNormal"/>
      </w:pPr>
    </w:p>
    <w:p w:rsidR="00C54F26" w:rsidRDefault="00C54F26" w:rsidP="00C54F26">
      <w:pPr>
        <w:pStyle w:val="TextoNormal"/>
      </w:pPr>
      <w:r>
        <w:t>La desestimación de los motivos anteriores implica, necesariamente, el mismo destino desestimatorio del resto del recurso, ya que las alegaciones sobre vulneraciones de derechos fundamentales se hacen depender de las infracciones de legalidad que han sido descartadas en los razonamientos precedentes.</w:t>
      </w:r>
    </w:p>
    <w:p w:rsidR="00C54F26" w:rsidRDefault="00C54F26" w:rsidP="00C54F26">
      <w:pPr>
        <w:pStyle w:val="TextoNormal"/>
      </w:pPr>
    </w:p>
    <w:p w:rsidR="00C54F26" w:rsidRDefault="00C54F26" w:rsidP="00C54F26">
      <w:pPr>
        <w:pStyle w:val="TextoNormal"/>
      </w:pPr>
      <w:r>
        <w:t>a) El recurrente considera que el auto impugnado ha vulnerado el derecho a la tutela judicial efectiva (art. 24.1 CE), en su vertiente de derecho a obtener una resolución motivada.</w:t>
      </w:r>
    </w:p>
    <w:p w:rsidR="00C54F26" w:rsidRDefault="00C54F26" w:rsidP="00C54F26">
      <w:pPr>
        <w:pStyle w:val="TextoNormal"/>
      </w:pPr>
    </w:p>
    <w:p w:rsidR="00C54F26" w:rsidRDefault="00C54F26" w:rsidP="00C54F26">
      <w:pPr>
        <w:pStyle w:val="TextoNormal"/>
      </w:pPr>
      <w:r>
        <w:t xml:space="preserve">Como es conocido, este derecho se satisface cuando la decisión controvertida contiene “los elementos y razones de juicio que permitan conocer cuáles han sido los criterios jurídicos que fundamentan la decisión”, además de expresar una “fundamentación en Derecho, </w:t>
      </w:r>
      <w:r>
        <w:lastRenderedPageBreak/>
        <w:t>en respuesta a la garantía de que la decisión no sea consecuencia de una aplicación arbitraria de la legalidad, no resulte manifiestamente irrazonada o irrazonable o incurra en un error patente, ya que, en tal caso, la aplicación de la legalidad sería tan sólo una mera apariencia” (por todas, STC 183/2011, de 21 de noviembre, FJ 5, y la jurisprudencia allí citada).</w:t>
      </w:r>
    </w:p>
    <w:p w:rsidR="00C54F26" w:rsidRDefault="00C54F26" w:rsidP="00C54F26">
      <w:pPr>
        <w:pStyle w:val="TextoNormal"/>
      </w:pPr>
    </w:p>
    <w:p w:rsidR="00C54F26" w:rsidRDefault="00C54F26" w:rsidP="00C54F26">
      <w:pPr>
        <w:pStyle w:val="TextoNormal"/>
      </w:pPr>
      <w:r>
        <w:t>La queja se concreta en unos hechos que, en realidad, suponen la reiteración de los argumentos anteriores. En primer lugar, considera que la resolución impugnada incurre en una contradicción patente en cuanto a la inidoneidad de la medida cautelar solicitada; y, en segundo lugar, que falta una motivación suficiente sobre las razones por las que se considera que concurre una perturbación grave de un interés constitucionalmente protegido.</w:t>
      </w:r>
    </w:p>
    <w:p w:rsidR="00C54F26" w:rsidRDefault="00C54F26" w:rsidP="00C54F26">
      <w:pPr>
        <w:pStyle w:val="TextoNormal"/>
      </w:pPr>
    </w:p>
    <w:p w:rsidR="00C54F26" w:rsidRDefault="00C54F26" w:rsidP="00C54F26">
      <w:pPr>
        <w:pStyle w:val="TextoNormal"/>
      </w:pPr>
      <w:r>
        <w:t>Estas quejas han sido expresamente desestimadas en el fundamento jurídico anterior, por lo que la vulneración alegada carece de base alguna en esos extremos.</w:t>
      </w:r>
    </w:p>
    <w:p w:rsidR="00C54F26" w:rsidRDefault="00C54F26" w:rsidP="00C54F26">
      <w:pPr>
        <w:pStyle w:val="TextoNormal"/>
      </w:pPr>
    </w:p>
    <w:p w:rsidR="00C54F26" w:rsidRDefault="00C54F26" w:rsidP="00C54F26">
      <w:pPr>
        <w:pStyle w:val="TextoNormal"/>
      </w:pPr>
      <w:r>
        <w:t>El ATC 146/2020, de 17 de noviembre colma la doctrina de este tribunal sobre el derecho a obtener una resolución motivada. No incurre en contradicción alguna, y expresa —de forma suficiente y jurídicamente asentada en términos de legalidad— las razones por las que se considera que no procede la concesión de la medida cautelar solicitada. En concreto, no concurre el requisito del perjuicio irreparable y falta un presupuesto para su adopción, como es la ausencia de una perturbación grave de un interés constitucionalmente protegido (art. 56.2 LOTC), conforme a los argumentos ya expuestos.</w:t>
      </w:r>
    </w:p>
    <w:p w:rsidR="00C54F26" w:rsidRDefault="00C54F26" w:rsidP="00C54F26">
      <w:pPr>
        <w:pStyle w:val="TextoNormal"/>
      </w:pPr>
    </w:p>
    <w:p w:rsidR="00C54F26" w:rsidRDefault="00C54F26" w:rsidP="00C54F26">
      <w:pPr>
        <w:pStyle w:val="TextoNormal"/>
      </w:pPr>
      <w:r>
        <w:t>b) El recurrente alega que el auto impugnado se aparta de los precedentes de este tribunal, que hubieran determinado la concesión de la medida cautelar solicitada de suspender el cumplimiento de la pena de inhabilitación especial impuesta. Esta infracción se pone en relación con el derecho a la tutela judicial efectiva (art. 24.1 CE), en sus vertientes del derecho a obtener una resolución motivada y a la tutela judicial cautelar, pero se desarrolla de forma más exhaustiva en su hipotética afectación al derecho a la igualdad reconocido en el art. 14 CE, ya que el demandante considera que ha recibido un trato diferente sin causa justificada.</w:t>
      </w:r>
    </w:p>
    <w:p w:rsidR="00C54F26" w:rsidRDefault="00C54F26" w:rsidP="00C54F26">
      <w:pPr>
        <w:pStyle w:val="TextoNormal"/>
      </w:pPr>
    </w:p>
    <w:p w:rsidR="00C54F26" w:rsidRDefault="00C54F26" w:rsidP="00C54F26">
      <w:pPr>
        <w:pStyle w:val="TextoNormal"/>
      </w:pPr>
      <w:r>
        <w:t>El recurrente critica especialmente la referencia que se contiene en el auto impugnado a los AATC 197/1995, 124/1997, 214/1997 y 40/1998, para centrarse de nuevo en los precedentes contenidos en los AATC 420/1997, 247/2004 y 59/2010. A estos pronunciamientos añade los AATC 327/2005 y 112/2020 que, como ahora veremos, no pueden ser aplicables, sin más, al presente caso. En cuanto al primero, porque se trataba de una pena privativa de libertad que, como se expuso en el auto recurrido, afecta a un bien jurídico personalísimo —de muy distinta naturaleza al concernido en este caso— cuya privación tiene un carácter permanente que solo decae cuando cesa la situación privativa de libertad. En lo relativo al segundo, ya que se trataba de una condena por delito contra la seguridad vial impuesta a una persona que no ostentaba cargo público alguno.</w:t>
      </w:r>
    </w:p>
    <w:p w:rsidR="00C54F26" w:rsidRDefault="00C54F26" w:rsidP="00C54F26">
      <w:pPr>
        <w:pStyle w:val="TextoNormal"/>
      </w:pPr>
    </w:p>
    <w:p w:rsidR="00C54F26" w:rsidRDefault="00C54F26" w:rsidP="00C54F26">
      <w:pPr>
        <w:pStyle w:val="TextoNormal"/>
      </w:pPr>
      <w:r>
        <w:t xml:space="preserve">También se alude a la sentencia de 13 de junio de 2001 del Tribunal de Conflictos de Jurisdicción, en un caso de solicitud de suspensión por tramitación de un indulto. Además de que no se trata de un precedente de este tribunal, en ese supuesto se analizaban resoluciones aparentemente contradictorias emanadas de un mismo órgano jurisdiccional. Por ello, no puede establecerse una equiparación con el asunto que nos ocupa, en el que han intervenido dos órganos de distinta naturaleza, el Tribunal Superior de Justicia de Cataluña </w:t>
      </w:r>
      <w:r>
        <w:lastRenderedPageBreak/>
        <w:t>y el Tribunal Constitucional, cada uno desde su respectivo ámbito funcional y conforme a criterios jurídicos diferenciados, según su propia normativa aplicable.</w:t>
      </w:r>
    </w:p>
    <w:p w:rsidR="00C54F26" w:rsidRDefault="00C54F26" w:rsidP="00C54F26">
      <w:pPr>
        <w:pStyle w:val="TextoNormal"/>
      </w:pPr>
    </w:p>
    <w:p w:rsidR="00C54F26" w:rsidRDefault="00C54F26" w:rsidP="00C54F26">
      <w:pPr>
        <w:pStyle w:val="TextoNormal"/>
      </w:pPr>
      <w:r>
        <w:t>El auto que ahora se impugna contiene una reseña suficientemente exhaustiva de las numerosas resoluciones de este tribunal que contienen un pronunciamiento sobre la concesión o denegación de la suspensión de la ejecución de una pena de inhabilitación especial. Como se aclaró en esa resolución, la reseña de esos precedentes, a la que nos remitimos expresamente, tenía por finalidad poner de manifiesto la “heterogénea casuística” que existe en esta materia, derivada del hecho de que, sobre la base de los criterios establecidos legalmente, y de la doctrina general aquilatada por este tribunal, se procede a su concreta ponderación en función de las circunstancias de cada caso.</w:t>
      </w:r>
    </w:p>
    <w:p w:rsidR="00C54F26" w:rsidRDefault="00C54F26" w:rsidP="00C54F26">
      <w:pPr>
        <w:pStyle w:val="TextoNormal"/>
      </w:pPr>
    </w:p>
    <w:p w:rsidR="00C54F26" w:rsidRDefault="00C54F26" w:rsidP="00C54F26">
      <w:pPr>
        <w:pStyle w:val="TextoNormal"/>
      </w:pPr>
      <w:r>
        <w:t>En el auto se pusieron de manifiesto las diferencias existentes entre los pronunciamientos alegados por el recurrente —con especial referencia a los AATC 167/1995 y 247/2004— y el presente recurso de amparo. Para el recurrente, en la resolución impugnada no se motivan de forma suficiente las distinciones entre los cargos de presidente de Comunidad Autónoma, senador o alcalde. Sin embargo, ese no es el sentido en que debe interpretarse nuestra resolución anterior. Las diferencias no se circunscriben a un tipo u otro de cargo público, sino a las circunstancias concurrentes, que han de ser valoradas en su conjunto aunque lo sea a los meros efectos de resolver sobre la medida cautelar solicitada.</w:t>
      </w:r>
    </w:p>
    <w:p w:rsidR="00C54F26" w:rsidRDefault="00C54F26" w:rsidP="00C54F26">
      <w:pPr>
        <w:pStyle w:val="TextoNormal"/>
      </w:pPr>
    </w:p>
    <w:p w:rsidR="00C54F26" w:rsidRDefault="00C54F26" w:rsidP="00C54F26">
      <w:pPr>
        <w:pStyle w:val="TextoNormal"/>
      </w:pPr>
      <w:r>
        <w:t>Como se deduce de lo expuesto en nuestro auto, para este tribunal se produce una mayor perturbación para los intereses generales cuando, según las sentencias impugnadas en amparo, el delito se ha cometido en el ejercicio del cargo que se pretende mantener, que cuando la infracción aparece desconectada del mismo (caso del ATC 167/1995). Tampoco es irrelevante que la pena de inhabilitación se haya ejecutado a que no haya empezado a ejecutarse o que tenga una duración inferior a la prevista en este caso (supuesto del ATC 247/2004), a fin de apreciar o no la existencia de un perjuicio irreparable.</w:t>
      </w:r>
    </w:p>
    <w:p w:rsidR="00C54F26" w:rsidRDefault="00C54F26" w:rsidP="00C54F26">
      <w:pPr>
        <w:pStyle w:val="TextoNormal"/>
      </w:pPr>
    </w:p>
    <w:p w:rsidR="00C54F26" w:rsidRDefault="00C54F26" w:rsidP="00C54F26">
      <w:pPr>
        <w:pStyle w:val="TextoNormal"/>
      </w:pPr>
      <w:r>
        <w:t>Precisamente, en relación con la duración de la pena impuesta, el recurrente insiste en que el auto impugnado no ha sido capaz de reseñar un precedente de denegación de una pena de inhabilitación especial inferior a cinco años de duración. Sin embargo, como ya se ha declarado, nuestro examen no puede reducirse a la valoración de un solo criterio ponderativo. La labor de este tribunal no se circunscribe a la mecánica aplicativa de un único factor como es el de la duración de la condena impuesta, sino a un juicio valorativo de conjunto, a partir de una serie de criterios que, en todo caso, han de respetar los condicionamientos establecidos en el texto legal de referencia, que no es otro que el art. 56.2 LOTC. Conforme a este precepto, la presencia de un factor como la perturbación grave de un interés constitucionalmente protegido impide la adopción de la medida cautelar solicitada.</w:t>
      </w:r>
    </w:p>
    <w:p w:rsidR="00C54F26" w:rsidRDefault="00C54F26" w:rsidP="00C54F26">
      <w:pPr>
        <w:pStyle w:val="TextoNormal"/>
      </w:pPr>
    </w:p>
    <w:p w:rsidR="00C54F26" w:rsidRDefault="00C54F26" w:rsidP="00C54F26">
      <w:pPr>
        <w:pStyle w:val="TextoNormal"/>
      </w:pPr>
      <w:r>
        <w:t>Por todo ello, se considera que la resolución recurrida no vulnera el principio de igualdad (art. 14 CE) alegado por el recurrente. Según reiterada doctrina de este tribunal, para “apreciar una vulneración del derecho a la igualdad ante la ley debe partirse de la homogeneidad o identidad del término de comparación utilizado” (STC 127/2019, de 31 de octubre, FJ 7, con cita de las SSTC 205/2011, de 15 de diciembre, FJ 3, y 160/2012, de 20 de septiembre, FJ 7). Los asuntos reseñados por el demandante presentan distintas características y significación al que es objeto de este recurso, por lo que no puede hablarse de una desigualdad en la aplicación de la Ley.</w:t>
      </w:r>
    </w:p>
    <w:p w:rsidR="00C54F26" w:rsidRDefault="00C54F26" w:rsidP="00C54F26">
      <w:pPr>
        <w:pStyle w:val="TextoNormal"/>
      </w:pPr>
    </w:p>
    <w:p w:rsidR="00C54F26" w:rsidRDefault="00C54F26" w:rsidP="00C54F26">
      <w:pPr>
        <w:pStyle w:val="TextoNormal"/>
      </w:pPr>
      <w:r>
        <w:t>c) El recurrente considera, finalmente, que el auto impugnado incurre en una vulneración del derecho a no ser sometido a discriminación alguna (art. 14 CE), así como del derecho a la tutela judicial cautelar (art. 24.1 CE), en relación con el derecho a acceder en condiciones de igualdad a los cargos públicos y al ejercicio de los cargos para los que ha resultado elegido (art. 23 CE).</w:t>
      </w:r>
    </w:p>
    <w:p w:rsidR="00C54F26" w:rsidRDefault="00C54F26" w:rsidP="00C54F26">
      <w:pPr>
        <w:pStyle w:val="TextoNormal"/>
      </w:pPr>
    </w:p>
    <w:p w:rsidR="00C54F26" w:rsidRDefault="00C54F26" w:rsidP="00C54F26">
      <w:pPr>
        <w:pStyle w:val="TextoNormal"/>
      </w:pPr>
      <w:r>
        <w:t>A pesar de la diferente naturaleza de los derechos invocados, la argumentación del recurrente se reconduce a un único razonamiento, por lo que los motivos de impugnación pueden ser resueltos conjuntamente. De forma resumida, según el demandante, este tribunal ha tomado su decisión por motivos ideológicos y por razón de la pertenencia del recurrente a una formación política independentista catalana.</w:t>
      </w:r>
    </w:p>
    <w:p w:rsidR="00C54F26" w:rsidRDefault="00C54F26" w:rsidP="00C54F26">
      <w:pPr>
        <w:pStyle w:val="TextoNormal"/>
      </w:pPr>
    </w:p>
    <w:p w:rsidR="00C54F26" w:rsidRDefault="00C54F26" w:rsidP="00C54F26">
      <w:pPr>
        <w:pStyle w:val="TextoNormal"/>
      </w:pPr>
      <w:r>
        <w:t>Una simple lectura de las resoluciones dictadas por este tribunal permite constatar que las alegaciones del recurrente en este punto son meras afirmaciones que no ofrecen más sustento argumentativo que su propia literalidad. El recurrente muestra de esta forma su disconformidad con las decisiones de este tribunal, intentando encontrar una justificación diferente a la de la mera denegación de sus pretensiones por motivos estrictamente jurídicos.</w:t>
      </w:r>
    </w:p>
    <w:p w:rsidR="00C54F26" w:rsidRDefault="00C54F26" w:rsidP="00C54F26">
      <w:pPr>
        <w:pStyle w:val="TextoNormal"/>
      </w:pPr>
    </w:p>
    <w:p w:rsidR="00C54F26" w:rsidRDefault="00C54F26" w:rsidP="00C54F26">
      <w:pPr>
        <w:pStyle w:val="TextoNormal"/>
      </w:pPr>
      <w:r>
        <w:t>Una alegación de este tipo, basada en la manifestación de meras convicciones personales, no puede prosperar, porque no alcanza la suficiencia necesaria para levantar la carga —que le compete— de aportar y argumentar sobre los presupuestos fácticos en los que se basa la invocación formulada (SSTC 68/2006, de 13 de marzo, FJ 3, y 42/2008, de 10 de marzo, FJ 2, entre otras muchas).</w:t>
      </w:r>
    </w:p>
    <w:p w:rsidR="00C54F26" w:rsidRDefault="00C54F26" w:rsidP="00C54F26">
      <w:pPr>
        <w:pStyle w:val="TextoNormal"/>
      </w:pPr>
    </w:p>
    <w:p w:rsidR="00C54F26" w:rsidRDefault="00C54F26" w:rsidP="00C54F26">
      <w:pPr>
        <w:pStyle w:val="TextoNormal"/>
      </w:pPr>
      <w:r>
        <w:t>Los motivos deben ser desestimados.</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Desestimar el recurso de súplica interpuesto contra el ATC 146/2020, de 17 de noviembre.</w:t>
      </w:r>
    </w:p>
    <w:p w:rsidR="00C54F26" w:rsidRDefault="00C54F26" w:rsidP="00C54F26">
      <w:pPr>
        <w:pStyle w:val="TextoNormal"/>
      </w:pPr>
    </w:p>
    <w:p w:rsidR="00C54F26" w:rsidRDefault="00C54F26" w:rsidP="00C54F26">
      <w:pPr>
        <w:pStyle w:val="TextoNormal"/>
      </w:pPr>
      <w:r>
        <w:t>Madrid, a veintisiete de enero de dos mil veintiuno.</w:t>
      </w:r>
    </w:p>
    <w:p w:rsidR="00C54F26" w:rsidRDefault="00C54F26" w:rsidP="00C54F26">
      <w:pPr>
        <w:pStyle w:val="ParrafoNormal"/>
      </w:pPr>
    </w:p>
    <w:p w:rsidR="00C54F26" w:rsidRDefault="00C54F26" w:rsidP="00C54F26">
      <w:pPr>
        <w:pStyle w:val="TextoNormalNegritaCentrado"/>
        <w:keepNext/>
      </w:pPr>
      <w:r>
        <w:t>Voto particular que formula el magistrado don Juan Antonio Xiol Ríos al auto pronunciado en el recurso de amparo avocado núm. 4586-2020</w:t>
      </w:r>
    </w:p>
    <w:p w:rsidR="00C54F26" w:rsidRDefault="00C54F26" w:rsidP="00C54F26">
      <w:pPr>
        <w:pStyle w:val="TextoNormalNegritaCentrado"/>
        <w:keepNext/>
      </w:pPr>
    </w:p>
    <w:p w:rsidR="00C54F26" w:rsidRDefault="00C54F26" w:rsidP="00C54F26">
      <w:pPr>
        <w:pStyle w:val="TextoNormal"/>
      </w:pPr>
      <w:r>
        <w:t>Con el máximo respeto a la opinión mayoritaria de mis compañeros de Pleno en la que se sustenta el auto, manifiesto mi discrepancia con su fundamentación jurídica y su fallo, que considero hubiera debido de ser estimatorio del recurso de súplica interpuesto, en coherencia con lo que ya expuse en el voto particular formulado al ATC 146/2020, de 17 de noviembre, al que me remito.</w:t>
      </w:r>
    </w:p>
    <w:p w:rsidR="00C54F26" w:rsidRDefault="00C54F26" w:rsidP="00C54F26">
      <w:pPr>
        <w:pStyle w:val="TextoNormal"/>
      </w:pPr>
    </w:p>
    <w:p w:rsidR="00C54F26" w:rsidRDefault="00C54F26" w:rsidP="00C54F26">
      <w:pPr>
        <w:pStyle w:val="TextoNormal"/>
      </w:pPr>
      <w:r>
        <w:t>Madrid, a veintisiete de enero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46" w:name="AUTO_2021_5"/>
      <w:r>
        <w:lastRenderedPageBreak/>
        <w:t>AUTO 5/2021, de 27 de enero de 2021</w:t>
      </w:r>
    </w:p>
    <w:bookmarkEnd w:id="146"/>
    <w:p w:rsidR="00C54F26" w:rsidRDefault="00C54F26" w:rsidP="00C54F26">
      <w:pPr>
        <w:pStyle w:val="TtuloResolucin"/>
      </w:pPr>
      <w:r>
        <w:t>Pleno</w:t>
      </w:r>
    </w:p>
    <w:p w:rsidR="00C54F26" w:rsidRDefault="00C54F26" w:rsidP="00C54F26">
      <w:pPr>
        <w:pStyle w:val="TtuloBOE"/>
      </w:pPr>
      <w:r>
        <w:t>(BOE núm. 46, de 23 de febrero de 2021)</w:t>
      </w:r>
    </w:p>
    <w:p w:rsidR="00C54F26" w:rsidRDefault="00C54F26" w:rsidP="00C54F26">
      <w:pPr>
        <w:pStyle w:val="TextoNormalCentrado"/>
      </w:pPr>
      <w:r>
        <w:t>ECLI:ES:TC:2021:5A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Inadmite a trámite la cuestión de inconstitucionalidad 4836-2020, planteada por el Juzgado de lo Contencioso-Administrativo núm. 1 de Santander en relación con la disposición adicional undécima de la Ley del Parlamento de Cantabria 9/2010, de 23 de diciembre, de personal estatutario de instituciones sanitarias de la Comunidad Autónoma de Cantabria.</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Con fecha 15 de octubre de 2020 tuvo entrada en el registro de este tribunal un oficio del Juzgado de lo Contencioso-Administrativo núm. 1 de Santander por el que se remite, junto al testimonio del procedimiento abreviado núm. 318-2019, el auto de 5 de octubre de 2020, por el que se acuerda plantear cuestión de inconstitucionalidad en relación con la disposición adicional undécima de la Ley 9/2010, de 23 de diciembre, de personal estatutario de instituciones sanitarias de la Comunidad Autónoma de Cantabria, al entender que concurre vicio de inconstitucionalidad en el inciso de esa disposición que dice: “con vínculo de derecho administrativo durante cinco años en las instituciones sanitarias del Servicio Cántabro de Salud”.</w:t>
      </w:r>
    </w:p>
    <w:p w:rsidR="00C54F26" w:rsidRDefault="00C54F26" w:rsidP="00C54F26">
      <w:pPr>
        <w:pStyle w:val="TextoNormal"/>
      </w:pPr>
    </w:p>
    <w:p w:rsidR="00C54F26" w:rsidRDefault="00C54F26" w:rsidP="00C54F26">
      <w:pPr>
        <w:pStyle w:val="TextoNormal"/>
      </w:pPr>
      <w:r w:rsidRPr="00C54F26">
        <w:rPr>
          <w:rStyle w:val="NumeroAFNegritaCaracter"/>
        </w:rPr>
        <w:t>2</w:t>
      </w:r>
      <w:r>
        <w:t>. En síntesis, presentan relevancia para esta cuestión de inconstitucionalidad los siguientes antecedentes:</w:t>
      </w:r>
    </w:p>
    <w:p w:rsidR="00C54F26" w:rsidRDefault="00C54F26" w:rsidP="00C54F26">
      <w:pPr>
        <w:pStyle w:val="TextoNormal"/>
      </w:pPr>
    </w:p>
    <w:p w:rsidR="00C54F26" w:rsidRDefault="00C54F26" w:rsidP="00C54F26">
      <w:pPr>
        <w:pStyle w:val="TextoNormal"/>
      </w:pPr>
      <w:r>
        <w:t>a) Una enfermera interina que presta servicios en el hospital universitario Marqués de Valdecilla formuló demanda contencioso-administrativa contra la resolución de la Consejería de Sanidad del Gobierno de Cantabria desestimatoria del recurso de alzada interpuesto contra la resolución del director gerente del Servicio Cántabro de Salud de 1 de abril de 2019; esta deniega a la demandante el acceso al grado 1 de carrera profesional en la convocatoria 17PCP/1802. La demanda dio lugar al procedimiento abreviado núm. 318-2019 del Juzgado de lo Contencioso-Administrativo núm. 1 de Santander.</w:t>
      </w:r>
    </w:p>
    <w:p w:rsidR="00C54F26" w:rsidRDefault="00C54F26" w:rsidP="00C54F26">
      <w:pPr>
        <w:pStyle w:val="TextoNormal"/>
      </w:pPr>
    </w:p>
    <w:p w:rsidR="00C54F26" w:rsidRDefault="00C54F26" w:rsidP="00C54F26">
      <w:pPr>
        <w:pStyle w:val="TextoNormal"/>
      </w:pPr>
      <w:r>
        <w:t xml:space="preserve">b) El Juzgado de lo Contencioso-Administrativo núm. 1 de Santander dictó providencia de 4 de septiembre de 2020 por la que acordó oír a las partes y al Ministerio Fiscal para que, por un plazo común de diez días, pudieran formular alegaciones sobre la pertinencia de plantear cuestión de inconstitucionalidad en relación con la disposición adicional undécima </w:t>
      </w:r>
      <w:r>
        <w:lastRenderedPageBreak/>
        <w:t>de la Ley 9/2010, de 23 de diciembre, de personal estatutario de instituciones sanitarias de la Comunidad Autónoma de Cantabria, en la redacción de la Ley del Parlamento de Cantabria 9/2017, de 26 de diciembre, de medidas fiscales y administrativas, por su posible contradicción con el derecho a la igualdad del art. 14 CE, y también con el art. 149.1.1,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C54F26" w:rsidRDefault="00C54F26" w:rsidP="00C54F26">
      <w:pPr>
        <w:pStyle w:val="TextoNormal"/>
      </w:pPr>
    </w:p>
    <w:p w:rsidR="00C54F26" w:rsidRDefault="00C54F26" w:rsidP="00C54F26">
      <w:pPr>
        <w:pStyle w:val="TextoNormal"/>
      </w:pPr>
      <w:r>
        <w:t>El Ministerio Fiscal y la demandante manifestaron que no se oponían al planteamiento de la cuestión, mientras que la representación del Gobierno de Cantabria se opuso a que se plantease.</w:t>
      </w:r>
    </w:p>
    <w:p w:rsidR="00C54F26" w:rsidRDefault="00C54F26" w:rsidP="00C54F26">
      <w:pPr>
        <w:pStyle w:val="TextoNormal"/>
      </w:pPr>
    </w:p>
    <w:p w:rsidR="00C54F26" w:rsidRDefault="00C54F26" w:rsidP="00C54F26">
      <w:pPr>
        <w:pStyle w:val="TextoNormal"/>
      </w:pPr>
      <w:r>
        <w:t>c) Por auto de 5 de octubre de 2020, el Juzgado de lo Contencioso-Administrativo núm. 1 de Santander acuerda plantear cuestión de inconstitucionalidad en relación con un inciso de la disposición adicional undécima de la Ley 9/2010, de 23 de diciembre, de personal estatutario de instituciones sanitarias de la Comunidad Autónoma de Cantabria. Se trata del inciso que dice “con vínculo de derecho administrativo durante cinco años en las instituciones sanitarias del Servicio Cántabro de Salud”.</w:t>
      </w:r>
    </w:p>
    <w:p w:rsidR="00C54F26" w:rsidRDefault="00C54F26" w:rsidP="00C54F26">
      <w:pPr>
        <w:pStyle w:val="TextoNormal"/>
      </w:pPr>
    </w:p>
    <w:p w:rsidR="00C54F26" w:rsidRDefault="00C54F26" w:rsidP="00C54F26">
      <w:pPr>
        <w:pStyle w:val="TextoNormal"/>
      </w:pPr>
      <w:r>
        <w:t>Razona que el inciso cuestionado podría incurrir en infracción del art. 14 CE o, en su caso, del art. 23 CE.</w:t>
      </w:r>
    </w:p>
    <w:p w:rsidR="00C54F26" w:rsidRDefault="00C54F26" w:rsidP="00C54F26">
      <w:pPr>
        <w:pStyle w:val="TextoNormal"/>
      </w:pPr>
    </w:p>
    <w:p w:rsidR="00C54F26" w:rsidRDefault="00C54F26" w:rsidP="00C54F26">
      <w:pPr>
        <w:pStyle w:val="TextoNormal"/>
      </w:pPr>
      <w:r>
        <w:t>El auto recuerda los antecedentes del litigio principal, y destaca que en la resolución de alzada, se detallan los motivos de la denegación en atención a los informes jurídicos emitidos, porque no se computan los días de servicios en el Centro Psiquiátrico Parayas prestados como personal laboral y funcionaria interina antes de la integración de ese centro en el Servicio Cántabro de Salud.</w:t>
      </w:r>
    </w:p>
    <w:p w:rsidR="00C54F26" w:rsidRDefault="00C54F26" w:rsidP="00C54F26">
      <w:pPr>
        <w:pStyle w:val="TextoNormal"/>
      </w:pPr>
    </w:p>
    <w:p w:rsidR="00C54F26" w:rsidRDefault="00C54F26" w:rsidP="00C54F26">
      <w:pPr>
        <w:pStyle w:val="TextoNormal"/>
      </w:pPr>
      <w:r>
        <w:t>A continuación expone el juicio de relevancia afirmando que el resultado del pleito depende de la aplicación del inciso cuestionado de la disposición adicional undécima de la Ley del Parlamento de Cantabria 9/2010, de 23 de diciembre, introducida por el art. 15 de la Ley del Parlamento de Cantabria 9/2017, de 26 diciembre, conforme a la cual “con efectos de 1 de enero de 2018 y vigencia indefinida, lo dispuesto en los artículos 56 y 61.2 e) de la presente ley resultará de aplicación al personal interino de instituciones sanitarias del Servicio cántabro de salud, siempre que haya prestado servicios con vínculo de derecho administrativo durante cinco años en las instituciones sanitarias del Servicio Cántabro de Salud en la misma plaza u otra de contenido funcional equivalente”. Señala, en primer lugar, que podría sostenerse que cabe resolver el pleito si se entiende que los servicios en el Centro Parayas, previos a la integración, eran o deberían entenderse como servicios prestados en el Servicio Cántabro de Salud pero “esto solo si se estima la interpretación que hace el actor, no la de la demandada. Y aquí la cuestión es que, aun admitiendo la interpretación de la administración, que el término Servicio Cántabro de Salud debe entenderse en sentido es</w:t>
      </w:r>
      <w:r>
        <w:lastRenderedPageBreak/>
        <w:t>tricto, como tal organismo autónomo, el precepto es inconstitucional”. En todo caso, se entiende que de la validez del inciso cuestionado depende la controversia, sin perjuicio, “de la cuestión fáctica de comprobar los servicios alegados y su naturaleza”.</w:t>
      </w:r>
    </w:p>
    <w:p w:rsidR="00C54F26" w:rsidRDefault="00C54F26" w:rsidP="00C54F26">
      <w:pPr>
        <w:pStyle w:val="TextoNormal"/>
      </w:pPr>
    </w:p>
    <w:p w:rsidR="00C54F26" w:rsidRDefault="00C54F26" w:rsidP="00C54F26">
      <w:pPr>
        <w:pStyle w:val="TextoNormal"/>
      </w:pPr>
      <w:r>
        <w:t>Explica a continuación el juzgado por qué solo opta por el planteamiento de la cuestión de inconstitucionalidad: “Ciertamente, se cuestiona la norma legal desde una doble perspectiva, europea y constitucional. Este juzgador, por los mismos motivos que se expondrán en el punto segundo del planteamiento, está convencido de que la norma cuestionada es contraria al art. 4.1 del acuerdo marco [sobre trabajo de duración determinada, que figura como anexo de la Directiva 1999/70/CE] y por ello, sería inaplicable, pudiendo resolver directamente, ya que es órgano de primera instancia. Pero esta solución, dado que también existe una clara infracción de la Constitución, no permitiría aplicar la función depuradora del ordenamiento, excluyendo del mismo, una norma que se entiende inconstitucional. Y, además, a la vista de la última doctrina del Tribunal Constitucional en la materia podría bien obligar al órgano de segunda instancia a plantear cuestión prejudicial o bien podría motivar un recurso de amparo por no hacerlo. Y,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00C54F26" w:rsidRDefault="00C54F26" w:rsidP="00C54F26">
      <w:pPr>
        <w:pStyle w:val="TextoNormal"/>
      </w:pPr>
    </w:p>
    <w:p w:rsidR="00C54F26" w:rsidRDefault="00C54F26" w:rsidP="00C54F26">
      <w:pPr>
        <w:pStyle w:val="TextoNormal"/>
      </w:pPr>
      <w:r>
        <w:t>Procede seguidamente el juzgado a exponer las razones por las que entiende que el inciso cuestionado sería inconstitucional. Explica que, de los tres posibles motivos de inconstitucionalidad, que se plantearon en la cuestión ya remitida al Tribunal Constitucional, solo se va a plantear uno de los motivos ya que los hechos no son idénticos y en este caso no está en juego el problema de la discriminación territorial por servicios prestados en otras comunidades, ya que los servicios excluidos de cómputo en aplicación de la ley se han prestado en Cantabria. Se entiende que la norma cuestionada establece una diferencia de trato, carente de motivación objetiva y suficiente, entre el personal temporal y el personal fijo, lo que supone una discriminación en aplicación de la cláusula cuarta del acuerdo marco sobre trabajo de duración determinada, que figura como anexo de la Directiva 1999/70/CE, a la vista de la doctrina del Tribunal de Justicia de la Unión Europea y también del Tribunal Supremo. Existiendo una discriminación prohibida por esa norma europea difícilmente puede sostenerse que no haya una discriminación prohibida por el art. 14 CE, según el auto de planteamiento de la cuestión. Conforme a la doctrina sentada en la STC 104/2004, de 28 de junio, se considera que la norma cuestionada vulnera el art. 14 CE o, en su caso, el art. 23 CE.</w:t>
      </w:r>
    </w:p>
    <w:p w:rsidR="00C54F26" w:rsidRDefault="00C54F26" w:rsidP="00C54F26">
      <w:pPr>
        <w:pStyle w:val="TextoNormal"/>
      </w:pPr>
    </w:p>
    <w:p w:rsidR="00C54F26" w:rsidRDefault="00C54F26" w:rsidP="00C54F26">
      <w:pPr>
        <w:pStyle w:val="TextoNormal"/>
      </w:pPr>
      <w:r w:rsidRPr="00C54F26">
        <w:rPr>
          <w:rStyle w:val="NumeroAFNegritaCaracter"/>
        </w:rPr>
        <w:t>3</w:t>
      </w:r>
      <w:r>
        <w:t>. Por providencia de 17 de noviembre de 2020, la Sección Segunda del Tribunal Constitucional acordó oír a la fiscal general del Estado para que, en el plazo de diez días, y a los efectos que determina el artículo 37.1 de la Ley Orgánica del Tribunal Constitucional (LOTC), alegase lo que considerase conveniente acerca de la admisibilidad de la presente cuestión de inconstitucionalidad, por defectuosa realización del juicio de aplicabilidad.</w:t>
      </w:r>
    </w:p>
    <w:p w:rsidR="00C54F26" w:rsidRDefault="00C54F26" w:rsidP="00C54F26">
      <w:pPr>
        <w:pStyle w:val="TextoNormal"/>
      </w:pPr>
    </w:p>
    <w:p w:rsidR="00C54F26" w:rsidRDefault="00C54F26" w:rsidP="00C54F26">
      <w:pPr>
        <w:pStyle w:val="TextoNormal"/>
      </w:pPr>
      <w:r w:rsidRPr="00C54F26">
        <w:rPr>
          <w:rStyle w:val="NumeroAFNegritaCaracter"/>
        </w:rPr>
        <w:t>4</w:t>
      </w:r>
      <w:r>
        <w:t xml:space="preserve">. La fiscal general del Estado evacuó el trámite conferido mediante escrito registrado en este tribunal el 21 de diciembre de 2020, en el que concluye que procede inadmitir la presente cuestión de inconstitucionalidad por la defectuosa realización del juicio de aplicabilidad, por las mismas razones expuestas en la cuestión núm. 2568-2020, planteada también por el Juzgado de lo Contencioso-Administrativo núm. 1 de Santander respecto del </w:t>
      </w:r>
      <w:r>
        <w:lastRenderedPageBreak/>
        <w:t>mismo precepto legal y en el que incurrió en el mismo defecto de planteamiento de la cuestión, y que fue inadmitida por ATC 116/2020, de 22 de septiembre.</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Juzgado de lo Contencioso-Administrativo núm. 1 de Santander ha promovido cuestión de inconstitucionalidad en relación con la disposición adicional undécima de la Ley del Parlamento de Cantabria 9/2010, de 23 de diciembre, de personal estatutario de instituciones sanitarias de la Comunidad Autónoma de Cantabria, en el inciso “con vínculo de derecho administrativo durante cinco años en las instituciones sanitarias del Servicio Cántabro de Salud”. Considera el juzgado que ese inciso incurre en infracción del art. 14 CE o, en su caso, del art. 23 CE.</w:t>
      </w:r>
    </w:p>
    <w:p w:rsidR="00C54F26" w:rsidRDefault="00C54F26" w:rsidP="00C54F26">
      <w:pPr>
        <w:pStyle w:val="TextoNormal"/>
      </w:pPr>
    </w:p>
    <w:p w:rsidR="00C54F26" w:rsidRDefault="00C54F26" w:rsidP="00C54F26">
      <w:pPr>
        <w:pStyle w:val="TextoNormal"/>
      </w:pPr>
      <w:r>
        <w:t>La fiscal general del Estado, en el trámite previsto en el art. 37.1 LOTC, considera que procede inadmitir la presente cuestión de inconstitucionalidad por la defectuosa realización del juicio de aplicabilidad.</w:t>
      </w:r>
    </w:p>
    <w:p w:rsidR="00C54F26" w:rsidRDefault="00C54F26" w:rsidP="00C54F26">
      <w:pPr>
        <w:pStyle w:val="TextoNormal"/>
      </w:pPr>
    </w:p>
    <w:p w:rsidR="00C54F26" w:rsidRDefault="00C54F26" w:rsidP="00C54F26">
      <w:pPr>
        <w:pStyle w:val="TextoNormal"/>
      </w:pPr>
      <w:r>
        <w:t>La presente cuestión de inconstitucionalidad es similar a la cuestión núm. 2568-2020, planteada por el mismo órgano judicial respecto del mismo precepto legal. La duda de constitucionalidad ahora expresada coincide con una de las dudas que se planteó en la citada cuestión de inconstitucionalidad y concurre el mismo óbice de procedibilidad que determinó la inadmisión de la misma. Como recuerda la fiscal general del Estado, esa cuestión ha sido ya inadmitida por el Pleno de este tribunal mediante ATC 116/2020, de 22 de septiembre (“Boletín Oficial del Estado” núm. 289, de 2 de noviembre), por incumplimiento del juicio de aplicabilidad, atendiendo a la doctrina sentada en el ATC 168/2016, de 4 de octubre, FJ 4.</w:t>
      </w:r>
    </w:p>
    <w:p w:rsidR="00C54F26" w:rsidRDefault="00C54F26" w:rsidP="00C54F26">
      <w:pPr>
        <w:pStyle w:val="TextoNormal"/>
      </w:pPr>
    </w:p>
    <w:p w:rsidR="00C54F26" w:rsidRDefault="00C54F26" w:rsidP="00C54F26">
      <w:pPr>
        <w:pStyle w:val="TextoNormal"/>
      </w:pPr>
      <w:r>
        <w:t>Asimismo, el ATC 173/2020, de 15 de diciembre, ha inadmitido por la misma razón la cuestión de inconstitucionalidad núm. 4297-2020, planteada por el Juzgado de lo Contencioso-Administrativo núm. 3 de Santander sobre el mismo precepto y con el mismo fundamento.</w:t>
      </w:r>
    </w:p>
    <w:p w:rsidR="00C54F26" w:rsidRDefault="00C54F26" w:rsidP="00C54F26">
      <w:pPr>
        <w:pStyle w:val="TextoNormal"/>
      </w:pPr>
    </w:p>
    <w:p w:rsidR="00C54F26" w:rsidRDefault="00C54F26" w:rsidP="00C54F26">
      <w:pPr>
        <w:pStyle w:val="TextoNormal"/>
      </w:pPr>
      <w:r>
        <w:t>Razonamos en el ATC 116/2020, FJ 3 (lo que se reitera en el ATC 173/2020, FJ 3), que, a diferencia de la situación examinada por el ATC 168/2016, en el presente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sentada en el ATC 168/2016 (reiterada en los AATC 183/2016 y 185/2016, ambos de 15 de noviembre, así como en los AATC 202/2016, 203/2016, 204/2016 y 205/2016, todos ellos de 13 de diciembre), “se desprende que concurre la misma causa de inadmisión en la presente cuestión de inconstitucionalidad, ya que al tiempo de plantearla el órgano judicial ha exteriorizado sus dudas acerca de la compatibilidad de la disposición adicional undécima de la Ley del Parlamento de Cantabria 9/2010, de 23 de diciembre, de personal estatutario de instituciones sanitarias de la Comunidad Autónoma de Cantabria con el Derecho de la Unión Europea, por lo que vendría obligado bien a no aplicarla, bien a plantear primero la cuestión prejudicial, y solo cuando haya quedado descartada la incompatibilidad de la norma nacional con el Derecho de la Unión Europea cabría plantear la cuestión de inconstitucionalidad”.</w:t>
      </w:r>
    </w:p>
    <w:p w:rsidR="00C54F26" w:rsidRDefault="00C54F26" w:rsidP="00C54F26">
      <w:pPr>
        <w:pStyle w:val="TextoNormal"/>
      </w:pPr>
    </w:p>
    <w:p w:rsidR="00C54F26" w:rsidRDefault="00C54F26" w:rsidP="00C54F26">
      <w:pPr>
        <w:pStyle w:val="TextoNormal"/>
      </w:pPr>
      <w:r>
        <w:lastRenderedPageBreak/>
        <w:t>En suma, con remisión a lo razonado en los citados AATC 116/2020 y 173/2020, procede inadmitir también la presente cuestión de inconstitucionalidad por incumplimiento del juicio de aplicabilidad (art. 37.1 LOTC).</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Inadmitir a trámite la presente cuestión de inconstitucionalidad.</w:t>
      </w:r>
    </w:p>
    <w:p w:rsidR="00C54F26" w:rsidRDefault="00C54F26" w:rsidP="00C54F26">
      <w:pPr>
        <w:pStyle w:val="TextoNormal"/>
      </w:pPr>
    </w:p>
    <w:p w:rsidR="00C54F26" w:rsidRDefault="00C54F26" w:rsidP="00C54F26">
      <w:pPr>
        <w:pStyle w:val="TextoNormal"/>
      </w:pPr>
      <w:r>
        <w:t>Publíquese este auto en el “Boletín Oficial del Estado”.</w:t>
      </w:r>
    </w:p>
    <w:p w:rsidR="00C54F26" w:rsidRDefault="00C54F26" w:rsidP="00C54F26">
      <w:pPr>
        <w:pStyle w:val="TextoNormal"/>
      </w:pPr>
    </w:p>
    <w:p w:rsidR="00C54F26" w:rsidRDefault="00C54F26" w:rsidP="00C54F26">
      <w:pPr>
        <w:pStyle w:val="TextoNormal"/>
      </w:pPr>
      <w:r>
        <w:t>Madrid, a veintisiete de enero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47" w:name="AUTO_2021_6"/>
      <w:r>
        <w:lastRenderedPageBreak/>
        <w:t>AUTO 6/2021, de 27 de enero de 2021</w:t>
      </w:r>
    </w:p>
    <w:bookmarkEnd w:id="147"/>
    <w:p w:rsidR="00C54F26" w:rsidRDefault="00C54F26" w:rsidP="00C54F26">
      <w:pPr>
        <w:pStyle w:val="TtuloResolucin"/>
      </w:pPr>
      <w:r>
        <w:t>Pleno</w:t>
      </w:r>
    </w:p>
    <w:p w:rsidR="00C54F26" w:rsidRDefault="00C54F26" w:rsidP="00C54F26">
      <w:pPr>
        <w:pStyle w:val="TtuloBOE"/>
      </w:pPr>
      <w:r>
        <w:t>(BOE núm. 46, de 23 de febrero de 2021)</w:t>
      </w:r>
    </w:p>
    <w:p w:rsidR="00C54F26" w:rsidRDefault="00C54F26" w:rsidP="00C54F26">
      <w:pPr>
        <w:pStyle w:val="TextoNormalCentrado"/>
      </w:pPr>
      <w:r>
        <w:t>ECLI:ES:TC:2021:6A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Inadmite a trámite la cuestión de inconstitucionalidad 4837-2020, planteada por el Juzgado de lo Contencioso-Administrativo núm. 1 de Santander, en relación con la disposición adicional undécima de la Ley del Parlamento de Cantabria 9/2010, de 23 de diciembre, de personal estatutario de instituciones sanitarias de la Comunidad Autónoma de Cantabria.</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Con fecha 15 de octubre de 2020 tuvo entrada en el registro de este tribunal un oficio del Juzgado de lo Contencioso-Administrativo núm. 1 de Santander por el que se remite, junto al testimonio del procedimiento abreviado núm. 367-2019, el auto de 5 de octubre de 2020 por el que se acuerda plantear cuestión de inconstitucionalidad en relación con la disposición adicional undécima de la Ley 9/2010, de 23 de diciembre, de personal estatutario de instituciones sanitarias de la Comunidad Autónoma de Cantabria, al entender que concurre vicio de inconstitucionalidad en el inciso de esa disposición que dice: “con vínculo de derecho administrativo durante cinco años en las instituciones sanitarias del Servicio Cántabro de Salud”.</w:t>
      </w:r>
    </w:p>
    <w:p w:rsidR="00C54F26" w:rsidRDefault="00C54F26" w:rsidP="00C54F26">
      <w:pPr>
        <w:pStyle w:val="TextoNormal"/>
      </w:pPr>
    </w:p>
    <w:p w:rsidR="00C54F26" w:rsidRDefault="00C54F26" w:rsidP="00C54F26">
      <w:pPr>
        <w:pStyle w:val="TextoNormal"/>
      </w:pPr>
      <w:r w:rsidRPr="00C54F26">
        <w:rPr>
          <w:rStyle w:val="NumeroAFNegritaCaracter"/>
        </w:rPr>
        <w:t>2</w:t>
      </w:r>
      <w:r>
        <w:t>. En síntesis, presentan relevancia para esta cuestión de inconstitucionalidad los siguientes antecedentes:</w:t>
      </w:r>
    </w:p>
    <w:p w:rsidR="00C54F26" w:rsidRDefault="00C54F26" w:rsidP="00C54F26">
      <w:pPr>
        <w:pStyle w:val="TextoNormal"/>
      </w:pPr>
    </w:p>
    <w:p w:rsidR="00C54F26" w:rsidRDefault="00C54F26" w:rsidP="00C54F26">
      <w:pPr>
        <w:pStyle w:val="TextoNormal"/>
      </w:pPr>
      <w:r>
        <w:t>a) Una enfermera interina que presta servicios en el hospital universitario Marqués de Valdecilla formuló demanda contencioso-administrativa contra la resolución de la Consejería de Sanidad del Gobierno de Cantabria desestimatoria del recurso de alzada interpuesto contra la resolución del director gerente del Servicio Cántabro de Salud de 1 de abril de 2019. Esta deniega a la demandante el acceso al grado 1 de carrera profesional en la convocatoria 17PCP/1802. La demanda dio lugar al procedimiento abreviado núm. 367-2019 del Juzgado de lo Contencioso-Administrativo núm. 1 de Santander.</w:t>
      </w:r>
    </w:p>
    <w:p w:rsidR="00C54F26" w:rsidRDefault="00C54F26" w:rsidP="00C54F26">
      <w:pPr>
        <w:pStyle w:val="TextoNormal"/>
      </w:pPr>
    </w:p>
    <w:p w:rsidR="00C54F26" w:rsidRDefault="00C54F26" w:rsidP="00C54F26">
      <w:pPr>
        <w:pStyle w:val="TextoNormal"/>
      </w:pPr>
      <w:r>
        <w:t xml:space="preserve">b) El Juzgado de lo Contencioso-Administrativo núm. 1 de Santander dictó providencia de 4 de septiembre de 2020 por la que acordó oír a las partes y al Ministerio Fiscal para que, por un plazo común de diez días, pudieran formular alegaciones sobre la pertinencia de plantear cuestión de inconstitucionalidad en relación con la disposición adicional undécima </w:t>
      </w:r>
      <w:r>
        <w:lastRenderedPageBreak/>
        <w:t>de la Ley 9/2010, de 23 de diciembre, de personal estatutario de instituciones sanitarias de la Comunidad Autónoma de Cantabria, en la redacción de la Ley del Parlamento de Cantabria 9/2017, de 26 de diciembre, de medidas fiscales y administrativas por su posible contradicción con el derecho a la igualdad del art. 14 CE, y también con el art. 149.1.1,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C54F26" w:rsidRDefault="00C54F26" w:rsidP="00C54F26">
      <w:pPr>
        <w:pStyle w:val="TextoNormal"/>
      </w:pPr>
    </w:p>
    <w:p w:rsidR="00C54F26" w:rsidRDefault="00C54F26" w:rsidP="00C54F26">
      <w:pPr>
        <w:pStyle w:val="TextoNormal"/>
      </w:pPr>
      <w:r>
        <w:t>El Ministerio Fiscal y la demandante manifestaron que no se oponían al planteamiento de la cuestión, mientras que la representación del Gobierno de Cantabria se opuso a que se plantease.</w:t>
      </w:r>
    </w:p>
    <w:p w:rsidR="00C54F26" w:rsidRDefault="00C54F26" w:rsidP="00C54F26">
      <w:pPr>
        <w:pStyle w:val="TextoNormal"/>
      </w:pPr>
    </w:p>
    <w:p w:rsidR="00C54F26" w:rsidRDefault="00C54F26" w:rsidP="00C54F26">
      <w:pPr>
        <w:pStyle w:val="TextoNormal"/>
      </w:pPr>
      <w:r>
        <w:t>c) Por auto de 5 de octubre de 2020, el Juzgado de lo Contencioso-Administrativo núm. 1 de Santander acuerda plantear cuestión de inconstitucionalidad en relación con un inciso de la disposición adicional undécima de la Ley 9/2010, de 23 de diciembre, de personal estatutario de instituciones sanitarias de la Comunidad Autónoma de Cantabria. Se trata del inciso que dice “con vínculo de derecho administrativo durante cinco años en las instituciones sanitarias del Servicio Cántabro de Salud”.</w:t>
      </w:r>
    </w:p>
    <w:p w:rsidR="00C54F26" w:rsidRDefault="00C54F26" w:rsidP="00C54F26">
      <w:pPr>
        <w:pStyle w:val="TextoNormal"/>
      </w:pPr>
    </w:p>
    <w:p w:rsidR="00C54F26" w:rsidRDefault="00C54F26" w:rsidP="00C54F26">
      <w:pPr>
        <w:pStyle w:val="TextoNormal"/>
      </w:pPr>
      <w:r>
        <w:t>Razona que el inciso cuestionado podría incurrir en infracción del art. 14 CE o, en su caso, del art. 23.2 CE.</w:t>
      </w:r>
    </w:p>
    <w:p w:rsidR="00C54F26" w:rsidRDefault="00C54F26" w:rsidP="00C54F26">
      <w:pPr>
        <w:pStyle w:val="TextoNormal"/>
      </w:pPr>
    </w:p>
    <w:p w:rsidR="00C54F26" w:rsidRDefault="00C54F26" w:rsidP="00C54F26">
      <w:pPr>
        <w:pStyle w:val="TextoNormal"/>
      </w:pPr>
      <w:r>
        <w:t>Tras recordar los antecedentes del litigio principal, el juzgado se refiere al juicio de relevancia afirmando que el resultado del pleito depende de la aplicación del inciso cuestionado de la disposición adicional undécima de la Ley del Parlamento de Cantabria 9/2010, de 23 de diciembre. Fue introducida por el art. 15 de la Ley del Parlamento de Cantabria 9/2017, 26 diciembre, conforme a la cual “[c]on efectos de 1 de enero de 2018 y vigencia indefinida, lo dispuesto en los artículos 56 y 61.2 e) de la presente ley resultará de aplicación al personal interino de instituciones sanitarias del Servicio cántabro de salud, siempre que haya prestado servicios con vínculo de derecho administrativo durante cinco años en las instituciones sanitarias del Servicio cántabro de salud en la misma plaza u otra de contenido funcional equivalente”.</w:t>
      </w:r>
    </w:p>
    <w:p w:rsidR="00C54F26" w:rsidRDefault="00C54F26" w:rsidP="00C54F26">
      <w:pPr>
        <w:pStyle w:val="TextoNormal"/>
      </w:pPr>
    </w:p>
    <w:p w:rsidR="00C54F26" w:rsidRDefault="00C54F26" w:rsidP="00C54F26">
      <w:pPr>
        <w:pStyle w:val="TextoNormal"/>
      </w:pPr>
      <w:r>
        <w:t xml:space="preserve">Explica a continuación el juzgado por qué solo opta por el planteamiento de la cuestión de inconstitucionalidad: “Ciertamente, se cuestiona la norma legal desde una doble perspectiva, europea y constitucional. Este juzgador, por los mismos motivos que se expondrán en el punto segundo del planteamiento, está convencido de que la norma cuestionada es contraria al art. 4.1 del acuerdo marco [sobre trabajo de duración determinada, que figura como anexo de la Directiva 1999/70/CE] y por ello, sería inaplicable, pudiendo resolver directamente, ya que es órgano de primera instancia. Pero esta solución, dado que también existe una clara infracción de la Constitución, no permitiría aplicar la función depuradora del ordenamiento, excluyendo del mismo, una norma que se entiende inconstitucional. Además, a la vista de la última doctrina del Tribunal Constitucional en la materia, podría bien obligar </w:t>
      </w:r>
      <w:r>
        <w:lastRenderedPageBreak/>
        <w:t>al órgano de segunda instancia a plantear cuestión prejudicial o bien podría motivar un recurso de amparo por no hacerlo.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00C54F26" w:rsidRDefault="00C54F26" w:rsidP="00C54F26">
      <w:pPr>
        <w:pStyle w:val="TextoNormal"/>
      </w:pPr>
    </w:p>
    <w:p w:rsidR="00C54F26" w:rsidRDefault="00C54F26" w:rsidP="00C54F26">
      <w:pPr>
        <w:pStyle w:val="TextoNormal"/>
      </w:pPr>
      <w:r>
        <w:t>Procede seguidamente el juzgado a exponer las razones por las que entiende que el inciso cuestionado sería inconstitucional.</w:t>
      </w:r>
    </w:p>
    <w:p w:rsidR="00C54F26" w:rsidRDefault="00C54F26" w:rsidP="00C54F26">
      <w:pPr>
        <w:pStyle w:val="TextoNormal"/>
      </w:pPr>
    </w:p>
    <w:p w:rsidR="00C54F26" w:rsidRDefault="00C54F26" w:rsidP="00C54F26">
      <w:pPr>
        <w:pStyle w:val="TextoNormal"/>
      </w:pPr>
      <w:r>
        <w:t>Explica que, de los tres posibles motivos de inconstitucionalidad que se plantearon en la cuestión ya remitida por el mismo juzgado al Tribunal Constitucional (se refiere a la cuestión núm. 2568-2020), solo se va a plantear uno de los motivos, ya que los hechos no son idénticos y en este caso no está en juego el problema de la discriminación territorial por servicios prestados en otras comunidades, pues los servicios excluidos de cómputo en aplicación de la ley se han prestado en Cantabria. Entiende el juzgado que la norma cuestionada establece una diferencia de trato, carente de motivación objetiva y suficiente, entre el personal temporal y el personal fijo, lo que supone una discriminación en aplicación de la cláusula cuarta del acuerdo marco sobre trabajo de duración determinada, que figura como anexo de la Directiva 1999/70/CE, a la vista de la doctrina del Tribunal de Justicia de la Unión Europea y también del Tribunal Supremo. Existiendo una discriminación prohibida por esa norma europea difícilmente puede sostenerse que no haya una discriminación prohibida por el art. 14 CE, según el auto de planteamiento de la cuestión. Conforme a la doctrina sentada en la STC 104/2004, de 28 de junio, se considera que la norma cuestionada vulnera el art. 14 CE o, en su caso, el art. 23 CE.</w:t>
      </w:r>
    </w:p>
    <w:p w:rsidR="00C54F26" w:rsidRDefault="00C54F26" w:rsidP="00C54F26">
      <w:pPr>
        <w:pStyle w:val="TextoNormal"/>
      </w:pPr>
    </w:p>
    <w:p w:rsidR="00C54F26" w:rsidRDefault="00C54F26" w:rsidP="00C54F26">
      <w:pPr>
        <w:pStyle w:val="TextoNormal"/>
      </w:pPr>
      <w:r w:rsidRPr="00C54F26">
        <w:rPr>
          <w:rStyle w:val="NumeroAFNegritaCaracter"/>
        </w:rPr>
        <w:t>3</w:t>
      </w:r>
      <w:r>
        <w:t>. Por providencia de 17 de noviembre de 2020, la Sección Segunda del Tribunal Constitucional acordó oír a la fiscal general del Estado para que, en el plazo de diez días, y a los efectos que determina el artículo 37.1 de la Ley Orgánica del Tribunal Constitucional (LOTC), alegase lo que considerase conveniente acerca de la admisibilidad de la presente cuestión de inconstitucionalidad, por defectuosa realización del juicio de aplicabilidad.</w:t>
      </w:r>
    </w:p>
    <w:p w:rsidR="00C54F26" w:rsidRDefault="00C54F26" w:rsidP="00C54F26">
      <w:pPr>
        <w:pStyle w:val="TextoNormal"/>
      </w:pPr>
    </w:p>
    <w:p w:rsidR="00C54F26" w:rsidRDefault="00C54F26" w:rsidP="00C54F26">
      <w:pPr>
        <w:pStyle w:val="TextoNormal"/>
      </w:pPr>
      <w:r w:rsidRPr="00C54F26">
        <w:rPr>
          <w:rStyle w:val="NumeroAFNegritaCaracter"/>
        </w:rPr>
        <w:t>4</w:t>
      </w:r>
      <w:r>
        <w:t>. La fiscal general del Estado evacuó el trámite conferido mediante escrito registrado en este tribunal el 21 de diciembre de 2020, en el que concluye que procede inadmitir la presente cuestión de inconstitucionalidad por la defectuosa realización del juicio de aplicabilidad. Las rezones son las mismas ya expuestas en la cuestión núm. 2568-2020, planteada también por el Juzgado de lo Contencioso-Administrativo núm. 1 de Santander respecto del mismo precepto legal y con idéntico contenido a la presente, que fue inadmitida por ATC 116/2020, de 22 de septiembre.</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 xml:space="preserve">Único. El Juzgado de lo Contencioso-Administrativo núm. 1 de Santander ha promovido cuestión de inconstitucionalidad en relación con la disposición adicional undécima de la Ley del Parlamento de Cantabria 9/2010, de 23 de diciembre, de personal estatutario de instituciones sanitarias de la Comunidad Autónoma de Cantabria, en el inciso “con vínculo de derecho administrativo durante cinco años en las instituciones sanitarias del Servicio </w:t>
      </w:r>
      <w:r>
        <w:lastRenderedPageBreak/>
        <w:t>cántabro de salud”. Considera el juzgado que ese inciso incurre en infracción del art. 14 CE o, en su caso, del art. 23.2 CE.</w:t>
      </w:r>
    </w:p>
    <w:p w:rsidR="00C54F26" w:rsidRDefault="00C54F26" w:rsidP="00C54F26">
      <w:pPr>
        <w:pStyle w:val="TextoNormal"/>
      </w:pPr>
    </w:p>
    <w:p w:rsidR="00C54F26" w:rsidRDefault="00C54F26" w:rsidP="00C54F26">
      <w:pPr>
        <w:pStyle w:val="TextoNormal"/>
      </w:pPr>
      <w:r>
        <w:t>La fiscal general del Estado, en el trámite previsto en el art. 37.1 LOTC, considera que procede inadmitir la presente cuestión de inconstitucionalidad por la defectuosa realización del juicio de aplicabilidad.</w:t>
      </w:r>
    </w:p>
    <w:p w:rsidR="00C54F26" w:rsidRDefault="00C54F26" w:rsidP="00C54F26">
      <w:pPr>
        <w:pStyle w:val="TextoNormal"/>
      </w:pPr>
    </w:p>
    <w:p w:rsidR="00C54F26" w:rsidRDefault="00C54F26" w:rsidP="00C54F26">
      <w:pPr>
        <w:pStyle w:val="TextoNormal"/>
      </w:pPr>
      <w:r>
        <w:t>La presente cuestión de inconstitucionalidad es similar a la cuestión núm. 2568 2020, planteada por el mismo órgano judicial respecto del mismo precepto legal. La duda de constitucionalidad ahora expresada coincide con una de las dudas que se planteó en la citada cuestión y concurre el mismo óbice de procedibilidad que determinó la inadmisión de la misma. En efecto, como recuerda la fiscal general del Estado, esa cuestión ha sido ya inadmitida por el Pleno de este tribunal mediante ATC 116/2020, de 22 de septiembre (“Boletín Oficial del Estado” núm. 289, de 2 de noviembre), por incumplimiento del juicio de aplicabilidad, atendiendo a la doctrina sentada en el ATC 168/2016, de 4 de octubre, FJ 4.</w:t>
      </w:r>
    </w:p>
    <w:p w:rsidR="00C54F26" w:rsidRDefault="00C54F26" w:rsidP="00C54F26">
      <w:pPr>
        <w:pStyle w:val="TextoNormal"/>
      </w:pPr>
    </w:p>
    <w:p w:rsidR="00C54F26" w:rsidRDefault="00C54F26" w:rsidP="00C54F26">
      <w:pPr>
        <w:pStyle w:val="TextoNormal"/>
      </w:pPr>
      <w:r>
        <w:t>Asimismo, el ATC 173/2020, de 15 de diciembre, ha inadmitido por la misma razón la cuestión de inconstitucionalidad núm. 4297-2020, planteada por el Juzgado de lo Contencioso-Administrativo núm. 3 de Santander sobre el mismo precepto y con el mismo fundamento.</w:t>
      </w:r>
    </w:p>
    <w:p w:rsidR="00C54F26" w:rsidRDefault="00C54F26" w:rsidP="00C54F26">
      <w:pPr>
        <w:pStyle w:val="TextoNormal"/>
      </w:pPr>
    </w:p>
    <w:p w:rsidR="00C54F26" w:rsidRDefault="00C54F26" w:rsidP="00C54F26">
      <w:pPr>
        <w:pStyle w:val="TextoNormal"/>
      </w:pPr>
      <w:r>
        <w:t>Razonamos en el ATC 116/2020, FJ 3 (lo que se reitera en el ATC 173/2020, FJ 3), que, a diferencia de la situación examinada por el ATC 168/2016, en el presente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sentada en el ATC 168/2016 (reiterada en los AATC 183/2016 y 185/2016, ambos de 15 de noviembre, así como en los AATC 202/2016, 203/2016, 204/2016 y 205/2016, todos ellos de 13 de diciembre), “se desprende que concurre la misma causa de inadmisión en la presente cuestión de inconstitucionalidad, ya que al tiempo de plantearla el órgano judicial ha exteriorizado sus dudas acerca de la compatibilidad de la disposición adicional undécima de la Ley 9/2010, de 23 de diciembre, de personal estatutario de instituciones sanitarias de la Comunidad Autónoma de Cantabria con el Derecho de la Unión Europea, por lo que vendría obligado bien a no aplicarla, bien a plantear primero la cuestión prejudicial, y solo cuando haya quedado descartada la incompatibilidad de la norma nacional con el Derecho de la Unión Europea cabría plantear la cuestión de inconstitucionalidad”.</w:t>
      </w:r>
    </w:p>
    <w:p w:rsidR="00C54F26" w:rsidRDefault="00C54F26" w:rsidP="00C54F26">
      <w:pPr>
        <w:pStyle w:val="TextoNormal"/>
      </w:pPr>
    </w:p>
    <w:p w:rsidR="00C54F26" w:rsidRDefault="00C54F26" w:rsidP="00C54F26">
      <w:pPr>
        <w:pStyle w:val="TextoNormal"/>
      </w:pPr>
      <w:r>
        <w:t>En suma, con remisión a lo razonado en los citados AATC 116/2020 y 173/2020, procede inadmitir también la presente cuestión por incumplimiento del juicio de aplicabilidad (art. 37.1 LOTC).</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Inadmitir a trámite la presente cuestión de inconstitucionalidad.</w:t>
      </w:r>
    </w:p>
    <w:p w:rsidR="00C54F26" w:rsidRDefault="00C54F26" w:rsidP="00C54F26">
      <w:pPr>
        <w:pStyle w:val="TextoNormal"/>
      </w:pPr>
    </w:p>
    <w:p w:rsidR="00C54F26" w:rsidRDefault="00C54F26" w:rsidP="00C54F26">
      <w:pPr>
        <w:pStyle w:val="TextoNormal"/>
      </w:pPr>
      <w:r>
        <w:t>Publíquese este auto en el “Boletín Oficial del Estado”.</w:t>
      </w:r>
    </w:p>
    <w:p w:rsidR="00C54F26" w:rsidRDefault="00C54F26" w:rsidP="00C54F26">
      <w:pPr>
        <w:pStyle w:val="TextoNormal"/>
      </w:pPr>
    </w:p>
    <w:p w:rsidR="00C54F26" w:rsidRDefault="00C54F26" w:rsidP="00C54F26">
      <w:pPr>
        <w:pStyle w:val="TextoNormal"/>
      </w:pPr>
      <w:r>
        <w:t>Madrid, a veintisiete de enero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48" w:name="AUTO_2021_7"/>
      <w:r>
        <w:lastRenderedPageBreak/>
        <w:t>AUTO 7/2021, de 27 de enero de 2021</w:t>
      </w:r>
    </w:p>
    <w:bookmarkEnd w:id="148"/>
    <w:p w:rsidR="00C54F26" w:rsidRDefault="00C54F26" w:rsidP="00C54F26">
      <w:pPr>
        <w:pStyle w:val="TtuloResolucin"/>
      </w:pPr>
      <w:r>
        <w:t>Pleno</w:t>
      </w:r>
    </w:p>
    <w:p w:rsidR="00C54F26" w:rsidRDefault="00C54F26" w:rsidP="00C54F26">
      <w:pPr>
        <w:pStyle w:val="TtuloBOE"/>
      </w:pPr>
      <w:r>
        <w:t>(BOE núm. 46, de 23 de febrero de 2021)</w:t>
      </w:r>
    </w:p>
    <w:p w:rsidR="00C54F26" w:rsidRDefault="00C54F26" w:rsidP="00C54F26">
      <w:pPr>
        <w:pStyle w:val="TextoNormalCentrado"/>
      </w:pPr>
      <w:r>
        <w:t>ECLI:ES:TC:2021:7A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Inadmite a trámite el recurso de inconstitucionalidad 5739-2020, interpuesto por más de cincuenta diputados del Grupo Parlamentario Popular contra la disposición transitoria de la Ley 2/2020, de 27 de julio por la que se modifica el art. 324 de la Ley de enjuiciamiento criminal.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24 de noviembre de 2020, más de cincuenta diputados del Grupo Parlamentario Popular interpusieron recurso de inconstitucionalidad contra la disposición transitoria de la Ley 2/2020, de 27 de julio, por la que se modifica el art. 324 de la Ley de enjuiciamiento criminal (LECrim) solicitando su declaración de inconstitucionalidad y nulidad.</w:t>
      </w:r>
    </w:p>
    <w:p w:rsidR="00C54F26" w:rsidRDefault="00C54F26" w:rsidP="00C54F26">
      <w:pPr>
        <w:pStyle w:val="TextoNormal"/>
      </w:pPr>
    </w:p>
    <w:p w:rsidR="00C54F26" w:rsidRDefault="00C54F26" w:rsidP="00C54F26">
      <w:pPr>
        <w:pStyle w:val="TextoNormal"/>
      </w:pPr>
      <w:r>
        <w:t>La norma recurrida establece:</w:t>
      </w:r>
    </w:p>
    <w:p w:rsidR="00C54F26" w:rsidRDefault="00C54F26" w:rsidP="00C54F26">
      <w:pPr>
        <w:pStyle w:val="TextoNormal"/>
      </w:pPr>
    </w:p>
    <w:p w:rsidR="00C54F26" w:rsidRDefault="00C54F26" w:rsidP="00C54F26">
      <w:pPr>
        <w:pStyle w:val="TextoNormal"/>
      </w:pPr>
      <w:r>
        <w:t>“Disposición transitoria. Procesos en tramitación</w:t>
      </w:r>
    </w:p>
    <w:p w:rsidR="00C54F26" w:rsidRDefault="00C54F26" w:rsidP="00C54F26">
      <w:pPr>
        <w:pStyle w:val="TextoNormal"/>
      </w:pPr>
    </w:p>
    <w:p w:rsidR="00C54F26" w:rsidRDefault="00C54F26" w:rsidP="00C54F26">
      <w:pPr>
        <w:pStyle w:val="TextoNormal"/>
      </w:pPr>
      <w:r>
        <w:t>La modificación del artículo 324 de la Ley de enjuiciamiento criminal contenida en el artículo único será de aplicación a los procesos en tramitación a la entrada en vigor de la presente ley. A tal efecto, el día de entrada en vigor será considerado como día inicial para el cómputo de los plazos máximos de instrucción establecidos en aquel”.</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En el escrito de interposición del recurso, en el epígrafe dedicado a los hechos, se expone que la Ley 41/2015, de 5 de octubre, de modificación de la Ley de enjuiciamiento criminal para la agilización de la justicia penal y el fortalecimiento de las garantías procesales modificó el art. 324 LECrim y estableció una duración máxima de la fase de instrucción penal. También se señala que el Real Decreto 463/2020, por el que se declaró el estado de alarma para la gestión de la situación de crisis sanitaria ocasionada por la Covid-19, acordó, entre otras medidas, la suspensión, con carácter general, de los términos y plazos previstos en las leyes procesales, por lo que los plazos de instrucción de los procedimientos penales previstos en el art. 324 LECrim estuvieron suspendidos mientras que duró el estado el alarma declarado por el citado Real Decreto 463/2020. Cuando se levantó la suspensión </w:t>
      </w:r>
      <w:r>
        <w:lastRenderedPageBreak/>
        <w:t>de estos plazos se volvieron a computar desde su inicio, siendo por tanto el primer día del cómputo el siguiente hábil a aquel en el que deje de tener efecto la suspensión correspondiente (art. 2.1 del Real Decreto-ley 16/2020). Los recurrentes indican que, como consecuencia de esta previsión normativa, se reiniciaron los plazos de los procedimientos de instrucción que estuvieran tramitándose con anterioridad a la declaración del estado de alarma, esto es, antes del 13 de marzo de 2020 (así lo interpretó el Ministerio Fiscal en su informe de 30 de abril 2020). A su juicio, el reinicio de estos plazos afectó al derecho de los encausados a un procedimiento sin dilaciones indebidas que garantiza el art. 24.2 CE.</w:t>
      </w:r>
    </w:p>
    <w:p w:rsidR="00C54F26" w:rsidRDefault="00C54F26" w:rsidP="00C54F26">
      <w:pPr>
        <w:pStyle w:val="TextoNormal"/>
      </w:pPr>
    </w:p>
    <w:p w:rsidR="00C54F26" w:rsidRDefault="00C54F26" w:rsidP="00C54F26">
      <w:pPr>
        <w:pStyle w:val="TextoNormal"/>
      </w:pPr>
      <w:r>
        <w:t>Se señala también que a los dos meses de que se produjera el reinicio de los plazos al que se acaba de aludir se aprueba la Ley 2/2020, de 27 de julio, por la que se modifica el art. 324 LECrim ampliando el plazo de instrucción a doce meses y permitiendo que este plazo pueda ser prorrogado mediante resolución motivada. Esta ley, establece una disposición transitoria, que es la norma impugnada en este proceso constitucional, que establece un segundo reinicio de los plazos de instrucción, al disponer que la modificación de este precepto “será de aplicación a los procesos en tramitación a la entrada en vigor de la presente ley”, estableciendo, además, que “[a] tal efecto, el día de entrada en vigor será considerado como día inicial para el cómputo de los plazos máximos de instrucción establecidos por aquel”. Los recurrentes alegan que lo que califican de “reinicio doble” de los plazos máximos de instrucción (el que tuvo lugar en virtud de lo dispuesto en el art. 2.1 del Real Decreto-Ley 16/2020 y el que se produce como consecuencia de la disposición transitoria impugnada en este proceso constitucional) conlleva una infracción de los principios de seguridad jurídica e irretroactividad de las disposiciones sancionadoras no favorables o restrictivas de derechos individuales y, en último término, del derecho fundamental de los ciudadanos a un proceso sin dilaciones indebidas.</w:t>
      </w:r>
    </w:p>
    <w:p w:rsidR="00C54F26" w:rsidRDefault="00C54F26" w:rsidP="00C54F26">
      <w:pPr>
        <w:pStyle w:val="TextoNormal"/>
      </w:pPr>
    </w:p>
    <w:p w:rsidR="00C54F26" w:rsidRDefault="00C54F26" w:rsidP="00C54F26">
      <w:pPr>
        <w:pStyle w:val="TextoNormal"/>
      </w:pPr>
      <w:r>
        <w:t>Alegan que, de acuerdo con la jurisprudencia constitucional, “la irretroactividad será inconstitucional solo cuando se trate de disposiciones sancionadoras no favorables” (STC 27/1987, de 20 de julio) y cuando sea “aplicable a los derechos consolidados, asumidos, integrados en el patrimonio del sujeto” (STC 99/1987, de 11 de junio). Invocan la STS núm. 992/2011, de 16 de enero de la Sala Primera, (recurso núm. 1413-2008, FJ 5) que recoge la doctrina constitucional. Citan, asimismo, el art. 2.3 que establece que “[l]as leyes no tendrán efecto retroactivo, si no dispusieren lo contrario”. Junto a ello señalan que, conforme a la jurisprudencia de este tribunal (se cita la STC 112/2006, de 5 de abril, FJ 17) hay que distinguir entre la retroactividad que afecta a situaciones de hecho producidas con anterioridad ya consumadas (retroactividad auténtica), supuestos en los que la prohibición de retroactividad operaría plenamente y solo exigencias cualificadas del bien común podrían imponerse excepcionalmente a tal principio, y las que inciden sobre situaciones o relaciones jurídicas actuales aún no concluidas (retroactividad impropia), casos en los que la licitud o ilicitud de la disposición resultaría de una disposición de bienes llevada a cabo caso por caso.</w:t>
      </w:r>
    </w:p>
    <w:p w:rsidR="00C54F26" w:rsidRDefault="00C54F26" w:rsidP="00C54F26">
      <w:pPr>
        <w:pStyle w:val="TextoNormal"/>
      </w:pPr>
    </w:p>
    <w:p w:rsidR="00C54F26" w:rsidRDefault="00C54F26" w:rsidP="00C54F26">
      <w:pPr>
        <w:pStyle w:val="TextoNormal"/>
      </w:pPr>
      <w:r>
        <w:t xml:space="preserve">A juicio de los demandantes, la disposición transitoria recurrida tiene retroactividad auténtica. Entienden que el momento para la configuración del concreto estatuto de derechos fundamentales del procesado es cuando da comienzo el proceso penal. En su opinión, esta conclusión es acorde con lo dispuesto en el art. 118 LECrim que establece la obligación de informar de los derechos de los sujetos sometidos a un proceso penal en el momento en que se les comunique la existencia del proceso. Por ello, sostienen que la configuración legal </w:t>
      </w:r>
      <w:r>
        <w:lastRenderedPageBreak/>
        <w:t>del derecho a un proceso sin dilaciones indebidas (art. 24.2 CE) se incorpora de forma irrevocable al haz de derechos y garantías del justiciable en el momento en que se inicia un proceso penal contra él. Por esta razón consideran que como la norma impugnada incide en situaciones ya consumadas —afecta a situaciones consolidadas como es el concreto estatuto de derechos del investigado— tiene retroactividad “auténtica” o “propia”, por lo que para ser acorde con el art. 9.3 CE, sus efectos retroactivos tendrían que estar justificados en una exigencia cualificada del interés general, lo que no sucede en este caso.</w:t>
      </w:r>
    </w:p>
    <w:p w:rsidR="00C54F26" w:rsidRDefault="00C54F26" w:rsidP="00C54F26">
      <w:pPr>
        <w:pStyle w:val="TextoNormal"/>
      </w:pPr>
    </w:p>
    <w:p w:rsidR="00C54F26" w:rsidRDefault="00C54F26" w:rsidP="00C54F26">
      <w:pPr>
        <w:pStyle w:val="TextoNormal"/>
      </w:pPr>
      <w:r>
        <w:t>No obstante, aducen además que aunque se considerase que la retroactividad que establece la disposición transitoria impugnada fuera de carácter impropio habría que llegar a la misma conclusión, pues en este caso la ponderación de bienes lleva también a la conclusión de que los efectos retroactivos no están justificados. Alegan que la retroactividad que establece la disposición transitoria es claramente desfavorable a los derechos de los justiciables a un procedimiento sin dilaciones indebidas, a la no extensión de los plazos máximos de instrucción por motivos no justificados en consideraciones de interés público y a la seguridad jurídica. Señalan también que, aunque esta norma expresa con claridad el derecho aplicable, introduce “perplejidades difícilmente salvables” (STC 46/1990, de 15 de marzo) en cuanto a las consecuencias derivadas de la aplicación de la norma vigente, pues conlleva que aquellos investigados que, en el momento que fueran informados de sus derechos tuvieran garantizado un plazo de instrucción máximo de seis meses (dieciocho en las causas complejas) y estos plazos no hubieran transcurrido en el momento de la entrada en vigor la disposición transitoria recurrida, les resultaría aplicable esta norma y se ampliarían los plazos de instrucción. Los recurrentes sostienen que, al no existir ninguna exigencia de interés público que justifique en estos casos la ampliación de estos plazos, los efectos retroactivos que tiene la disposición recurrida, incluso aunque se consideren que su retroactividad es de carácter “impropio”, no se encuentran justificados y determinan que la norma sea arbitraria y contraria al principio de irretroactividad de las disposiciones sancionadoras, desfavorables o restrictivas de derechos individuales (art. 9.3 CE) y al derecho fundamental a no padecer dilaciones indebidas (art. 24.2 CE).</w:t>
      </w:r>
    </w:p>
    <w:p w:rsidR="00C54F26" w:rsidRDefault="00C54F26" w:rsidP="00C54F26">
      <w:pPr>
        <w:pStyle w:val="TextoNormal"/>
      </w:pPr>
    </w:p>
    <w:p w:rsidR="00C54F26" w:rsidRDefault="00C54F26" w:rsidP="00C54F26">
      <w:pPr>
        <w:pStyle w:val="TextoNormal"/>
      </w:pPr>
      <w:r>
        <w:t>Por último, se aduce que la ley, al establecer la retroacción de los plazos máximos de instrucción del art. 324 LECrim sin excluir a aquellos que afectan a la posición jurídica del investigado, es ostensiblemente gravosa y, por tanto, inconciliable con el principio de proporcionalidad (se cita la STC 55/1996).</w:t>
      </w:r>
    </w:p>
    <w:p w:rsidR="00C54F26" w:rsidRDefault="00C54F26" w:rsidP="00C54F26">
      <w:pPr>
        <w:pStyle w:val="TextoNormal"/>
      </w:pPr>
    </w:p>
    <w:p w:rsidR="00C54F26" w:rsidRDefault="00C54F26" w:rsidP="00C54F26">
      <w:pPr>
        <w:pStyle w:val="TextoNormal"/>
      </w:pPr>
      <w:r>
        <w:t>Por todo ello, solicitan al tribunal que admita este recurso y que, tras los trámites que correspondan, dicte sentencia declarando la inconstitucionalidad y nulidad de la disposición transitoria de la Ley 2/2020, por la que se modifica el art. 324 LECrim. Por otrosí se pide que se acuerde la tramitación prioritaria y urgente del presente recurso de inconstitucionalidad dada la gravedad de los efectos que una resolución tardía podría tener sobre los derechos fundamentales de los investigados en procedimientos de instrucción; sobre el adecuado funcionamiento y desempeño de su función de la jurisdicción penal y sobre el principio de seguridad jurídica.</w:t>
      </w:r>
    </w:p>
    <w:p w:rsidR="00C54F26" w:rsidRDefault="00C54F26" w:rsidP="00C54F26">
      <w:pPr>
        <w:pStyle w:val="TextoNormal"/>
      </w:pPr>
    </w:p>
    <w:p w:rsidR="00C54F26" w:rsidRDefault="00C54F26" w:rsidP="00C54F26">
      <w:pPr>
        <w:pStyle w:val="TextoNormalNegritaCentrado"/>
        <w:keepNext/>
      </w:pPr>
      <w:r>
        <w:lastRenderedPageBreak/>
        <w:t>II. Fundamentos jurídicos</w:t>
      </w:r>
    </w:p>
    <w:p w:rsidR="00C54F26" w:rsidRDefault="00C54F26" w:rsidP="00C54F26">
      <w:pPr>
        <w:pStyle w:val="TextoNormalNegritaCentrado"/>
        <w:keepNext/>
      </w:pPr>
    </w:p>
    <w:p w:rsidR="00C54F26" w:rsidRDefault="00C54F26" w:rsidP="00C54F26">
      <w:pPr>
        <w:pStyle w:val="TextoNormal"/>
      </w:pPr>
      <w:r>
        <w:t>Único. El art. 33 de la Ley Orgánica del Tribunal Constitucional (LOTC) dispone que el recurso de inconstitucionalidad se formulará en el plazo de tres meses a partir de la publicación de la ley, disposición o acto con fuerza de ley. En el presente caso el recurso de inconstitucionalidad se ha interpuesto una vez transcurrido dicho plazo, por lo que es extemporáneo. En efecto, la Ley 2/2020, de 27 de julio, fue publicada en el “Boletín Oficial del Estado” (“BOE”) el 28 de julio de 2020 y el recurso se formuló el 24 de noviembre de 2020, una vez transcurrido, por tanto, el referido plazo de tres meses.</w:t>
      </w:r>
    </w:p>
    <w:p w:rsidR="00C54F26" w:rsidRDefault="00C54F26" w:rsidP="00C54F26">
      <w:pPr>
        <w:pStyle w:val="TextoNormal"/>
      </w:pPr>
    </w:p>
    <w:p w:rsidR="00C54F26" w:rsidRDefault="00C54F26" w:rsidP="00C54F26">
      <w:pPr>
        <w:pStyle w:val="TextoNormal"/>
      </w:pPr>
      <w:r>
        <w:t>Este plazo se computa de fecha a fecha, conforme a lo dispuesto en el art. 80 LOTC en relación con los arts. 185 de la Ley Orgánica del Poder Judicial y 133.3 de la Ley de enjuiciamiento civil. Durante el mes de agosto corren los plazos señalados para iniciar los procesos de competencia del tribunal conforme a lo dispuesto en el art. 2 del Acuerdo de 15 de junio de 1982, del Pleno del Tribunal Constitucional, por el que se aprueban las normas que han de regir el funcionamiento del Tribunal durante el período de vacaciones (“BOE” núm. 157, de 2 de julio), en la redacción dada por el acuerdo de 17 de junio de 1999 (“BOE” núm. 148, de 22 de junio): “Solo correrán durante el período de vacaciones, los plazos señalados para iniciar los distintos procesos atribuidos a la competencia de este tribunal, salvo los señalados por días en los arts. 43.2 y 44.2 de la Ley Orgánica 2/1979, del Tribunal Constitucional”.</w:t>
      </w:r>
    </w:p>
    <w:p w:rsidR="00C54F26" w:rsidRDefault="00C54F26" w:rsidP="00C54F26">
      <w:pPr>
        <w:pStyle w:val="TextoNormal"/>
      </w:pPr>
    </w:p>
    <w:p w:rsidR="00C54F26" w:rsidRDefault="00C54F26" w:rsidP="00C54F26">
      <w:pPr>
        <w:pStyle w:val="TextoNormal"/>
      </w:pPr>
      <w:r>
        <w:t>El plazo para la interposición del recurso previsto en el art. 33 LOTC no se halla a disposición de las partes y opera de modo imperativo como requisito exigible para la interposición del recurso de inconstitucionalidad. Dado que el recurso se ha formalizado en fecha posterior a la expiración del plazo establecido en el art. 33 LOTC, es extemporáneo. El incumplimiento de este requisito procesal no es susceptible de ser subsanado tras haberse formalizado el recurso (en sentido análogo ATC 86/2010, de 14 de julio, FJ único). En consecuencia, el presente recurso de inconstitucionalidad ha de ser inadmitido a trámite.</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Inadmitir a trámite el recurso de inconstitucionalidad.</w:t>
      </w:r>
    </w:p>
    <w:p w:rsidR="00C54F26" w:rsidRDefault="00C54F26" w:rsidP="00C54F26">
      <w:pPr>
        <w:pStyle w:val="TextoNormal"/>
      </w:pPr>
    </w:p>
    <w:p w:rsidR="00C54F26" w:rsidRDefault="00C54F26" w:rsidP="00C54F26">
      <w:pPr>
        <w:pStyle w:val="TextoNormal"/>
      </w:pPr>
      <w:r>
        <w:t>Publíquese este auto en el “Boletín Oficial del Estado”.</w:t>
      </w:r>
    </w:p>
    <w:p w:rsidR="00C54F26" w:rsidRDefault="00C54F26" w:rsidP="00C54F26">
      <w:pPr>
        <w:pStyle w:val="TextoNormal"/>
      </w:pPr>
    </w:p>
    <w:p w:rsidR="00C54F26" w:rsidRDefault="00C54F26" w:rsidP="00C54F26">
      <w:pPr>
        <w:pStyle w:val="TextoNormal"/>
      </w:pPr>
      <w:r>
        <w:t>Madrid, a veintisiete de enero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49" w:name="AUTO_2021_8"/>
      <w:r>
        <w:lastRenderedPageBreak/>
        <w:t>AUTO 8/2021, de 28 de enero de 2021</w:t>
      </w:r>
    </w:p>
    <w:bookmarkEnd w:id="149"/>
    <w:p w:rsidR="00C54F26" w:rsidRDefault="00C54F26" w:rsidP="00C54F26">
      <w:pPr>
        <w:pStyle w:val="TtuloResolucin"/>
      </w:pPr>
      <w:r>
        <w:t>Pleno</w:t>
      </w:r>
    </w:p>
    <w:p w:rsidR="00C54F26" w:rsidRDefault="00C54F26" w:rsidP="00C54F26">
      <w:pPr>
        <w:pStyle w:val="TtuloBOE"/>
      </w:pPr>
      <w:r>
        <w:t>(BOE núm. 46, de 23 de febrero de 2021)</w:t>
      </w:r>
    </w:p>
    <w:p w:rsidR="00C54F26" w:rsidRDefault="00C54F26" w:rsidP="00C54F26">
      <w:pPr>
        <w:pStyle w:val="TextoNormalCentrado"/>
      </w:pPr>
      <w:r>
        <w:t>ECLI:ES:TC:2021:8A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Inadmite a trámite el conflicto negativo de competencia 5646-2020, planteado por Salto del Edo, S.L., en relación con un expediente de evaluación simplificada de impacto ambiental de obras.</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20 de noviembre de 2020, la entidad Salto del Edo, S.L., promueve conflicto negativo de competencia entre la Xunta de Galicia y la Administración General del Estado, en orden a la determinación del órgano que ostenta la competencia para la tramitación del expediente de evaluación de impacto ambiental simplificada del proyecto de obras: “Proyecto de modificación de características de aprovechamiento hidroeléctrico del río Edo”.</w:t>
      </w:r>
    </w:p>
    <w:p w:rsidR="00C54F26" w:rsidRDefault="00C54F26" w:rsidP="00C54F26">
      <w:pPr>
        <w:pStyle w:val="TextoNormal"/>
      </w:pPr>
    </w:p>
    <w:p w:rsidR="00C54F26" w:rsidRDefault="00C54F26" w:rsidP="00C54F26">
      <w:pPr>
        <w:pStyle w:val="TextoNormal"/>
      </w:pPr>
      <w:r w:rsidRPr="00C54F26">
        <w:rPr>
          <w:rStyle w:val="NumeroAFNegritaCaracter"/>
        </w:rPr>
        <w:t>2</w:t>
      </w:r>
      <w:r>
        <w:t>. Los antecedentes de hecho de su solicitud son los siguientes:</w:t>
      </w:r>
    </w:p>
    <w:p w:rsidR="00C54F26" w:rsidRDefault="00C54F26" w:rsidP="00C54F26">
      <w:pPr>
        <w:pStyle w:val="TextoNormal"/>
      </w:pPr>
    </w:p>
    <w:p w:rsidR="00C54F26" w:rsidRDefault="00C54F26" w:rsidP="00C54F26">
      <w:pPr>
        <w:pStyle w:val="TextoNormal"/>
      </w:pPr>
      <w:r>
        <w:t>a) La entidad mercantil hoy demandante es titular de una concesión para el aprovechamiento hidroeléctrico de un determinado caudal del río Edo. El día 28 de mayo de 2013 solicitó ante la Confederación Hidrográfica del Miño-Sil la modificación de las características de la concesión, con el fin de obtener una ampliación del caudal, así como una prórroga del plazo concesional, de conformidad con lo establecido en el art. 45 de la Ley 21/2013, de 9 de diciembre, de evaluación ambiental.</w:t>
      </w:r>
    </w:p>
    <w:p w:rsidR="00C54F26" w:rsidRDefault="00C54F26" w:rsidP="00C54F26">
      <w:pPr>
        <w:pStyle w:val="TextoNormal"/>
      </w:pPr>
    </w:p>
    <w:p w:rsidR="00C54F26" w:rsidRDefault="00C54F26" w:rsidP="00C54F26">
      <w:pPr>
        <w:pStyle w:val="TextoNormal"/>
      </w:pPr>
      <w:r>
        <w:t>b) En fecha 17 de abril de 2017, la citada entidad se dirige a la Consellería de Economía, Emprego e Industria de la Xunta de Galicia, poniendo de manifiesto que la Confederación Hidrográfica del Miño-Sil ha acordado suspender la tramitación de dicho procedimiento, hasta que se haya iniciado ante el servicio de industria de la comunidad autónoma la tramitación de evaluación de impacto ambiental del proyecto de obras denominado “Proyecto de modificación de las características de aprovechamiento hidroeléctrico del río Edo”, por lo que solicita de la citada Consellería el inicio del mencionado expediente de evaluación de impacto ambiental.</w:t>
      </w:r>
    </w:p>
    <w:p w:rsidR="00C54F26" w:rsidRDefault="00C54F26" w:rsidP="00C54F26">
      <w:pPr>
        <w:pStyle w:val="TextoNormal"/>
      </w:pPr>
    </w:p>
    <w:p w:rsidR="00C54F26" w:rsidRDefault="00C54F26" w:rsidP="00C54F26">
      <w:pPr>
        <w:pStyle w:val="TextoNormal"/>
      </w:pPr>
      <w:r>
        <w:lastRenderedPageBreak/>
        <w:t>c) No habiéndose formulado contestación por la Xunta de Galicia, en fecha 21 de septiembre de 2020, el hoy demandante se dirige a la Confederación Hidrográfica del Miño-Sil, solicitando la tramitación del expediente de evaluación de impacto ambiental simplificado del proyecto de obras antes mencionado.</w:t>
      </w:r>
    </w:p>
    <w:p w:rsidR="00C54F26" w:rsidRDefault="00C54F26" w:rsidP="00C54F26">
      <w:pPr>
        <w:pStyle w:val="TextoNormal"/>
      </w:pPr>
    </w:p>
    <w:p w:rsidR="00C54F26" w:rsidRDefault="00C54F26" w:rsidP="00C54F26">
      <w:pPr>
        <w:pStyle w:val="TextoNormal"/>
      </w:pPr>
      <w:r>
        <w:t>d) En respuesta a dicha solicitud, el 1 de octubre de 2020, la Confederación Hidrográfica del Miño-Sil comunica al hoy demandante:</w:t>
      </w:r>
    </w:p>
    <w:p w:rsidR="00C54F26" w:rsidRDefault="00C54F26" w:rsidP="00C54F26">
      <w:pPr>
        <w:pStyle w:val="TextoNormal"/>
      </w:pPr>
    </w:p>
    <w:p w:rsidR="00C54F26" w:rsidRDefault="00C54F26" w:rsidP="00C54F26">
      <w:pPr>
        <w:pStyle w:val="TextoNormal"/>
      </w:pPr>
      <w:r>
        <w:t>“Con fechas 26 de enero de 2017, 30 de enero de 2019, y reiterado nuevamente el 10 de mayo de 2020, este organismo de cuenca remitió a la Dirección General del Agua escritos solicitando la adopción de las medidas oportunas con el fin de resolver el conflicto negativo de competencias que se produce entre la Administración General del Estado y la Comunidad Autónoma de Galicia sobre la competencia para realizar la tramitación ambiental del citado proyecto, convocando a la Comisión Bilateral en esta materia o, bien, planteando los recursos oportunos relativos a conflictos negativos de competencia, no constando hasta la fecha información al respecto. Por todo lo anterior se le informa que, con esta misma fecha, se ha dado traslado a la Dirección General del Agua de la citada solicitud, a los efectos oportunos”.</w:t>
      </w:r>
    </w:p>
    <w:p w:rsidR="00C54F26" w:rsidRDefault="00C54F26" w:rsidP="00C54F26">
      <w:pPr>
        <w:pStyle w:val="TextoNormal"/>
      </w:pPr>
    </w:p>
    <w:p w:rsidR="00C54F26" w:rsidRDefault="00C54F26" w:rsidP="00C54F26">
      <w:pPr>
        <w:pStyle w:val="TextoNormal"/>
      </w:pPr>
      <w:r>
        <w:t>e) El escrito de demanda por el que se promueve el presente conflicto negativo de competencia se sustenta en que ninguna de las dos administraciones, ante las que se ha presentado la solicitud de evaluación de impacto ambiental simplificada, ha procedido a la tramitación del expediente, al existir discrepancias entre ambas, sobre el otorgamiento de la concesión de uso privativo de aguas con destino al aprovechamiento hidroeléctrico. Y la negativa de ambas administraciones determina la procedencia del presente conflicto.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La entidad mercantil Salto del Edo, S.L., promueve conflicto negativo de competencia, en el que solicita de este tribunal que determine cuál es el órgano que ostenta la competencia para la tramitación del expediente de evaluación de impacto ambiental simplificado presentado por la misma en fecha 17 de abril de 2017, en relación al Proyecto de modificación de características del aprovechamiento hidroeléctrico del río Edo. Se fundamenta el conflicto en que ni la Xunta de Galicia ni la Confederación Hidrográfica del Miño-Sil, ante las que se formuló dicha solicitud, han procedido a la tramitación de dicho expediente.</w:t>
      </w:r>
    </w:p>
    <w:p w:rsidR="00C54F26" w:rsidRDefault="00C54F26" w:rsidP="00C54F26">
      <w:pPr>
        <w:pStyle w:val="TextoNormal"/>
      </w:pPr>
    </w:p>
    <w:p w:rsidR="00C54F26" w:rsidRDefault="00C54F26" w:rsidP="00C54F26">
      <w:pPr>
        <w:pStyle w:val="TextoNormal"/>
      </w:pPr>
      <w:r w:rsidRPr="00C54F26">
        <w:rPr>
          <w:rStyle w:val="NumeroAFNegritaCaracter"/>
        </w:rPr>
        <w:t>2</w:t>
      </w:r>
      <w:r>
        <w:t>. El conflicto negativo de competencia se contempla en el art. 161.1 c) CE y en los arts. 68 y ss. de la Ley Orgánica del Tribunal Constitucional (LOTC), y sobre el mismo existe una reiterada doctrina constitucional (por todos, ATC 168/2019, de 10 de diciembre, FJ 2 y los allí citados), que ha venido exigiendo un doble requisito para que pueda tenerse por planteado el conflicto:</w:t>
      </w:r>
    </w:p>
    <w:p w:rsidR="00C54F26" w:rsidRDefault="00C54F26" w:rsidP="00C54F26">
      <w:pPr>
        <w:pStyle w:val="TextoNormal"/>
      </w:pPr>
    </w:p>
    <w:p w:rsidR="00C54F26" w:rsidRDefault="00C54F26" w:rsidP="00C54F26">
      <w:pPr>
        <w:pStyle w:val="TextoNormal"/>
      </w:pPr>
      <w:r>
        <w:t xml:space="preserve">a) En primer lugar, que la persona física o jurídica que accede a este Tribunal haya obtenido, en las condiciones y plazos que señala el art. 68 LOTC, sendas resoluciones declinatorias de la competencia por parte de las administraciones implicadas. La resolución de la administración a la que se dirige en primer lugar debe recurrirse hasta agotar la vía administrativa y además ha de ser expresa, pues en ella no solo debe declinar su competencia, </w:t>
      </w:r>
      <w:r>
        <w:lastRenderedPageBreak/>
        <w:t>sino declarar competente a otra administración determinada (art. 68.1 LOTC); requisitos que no se exigen para esta segunda (art. 68.2 LOTC).</w:t>
      </w:r>
    </w:p>
    <w:p w:rsidR="00C54F26" w:rsidRDefault="00C54F26" w:rsidP="00C54F26">
      <w:pPr>
        <w:pStyle w:val="TextoNormal"/>
      </w:pPr>
    </w:p>
    <w:p w:rsidR="00C54F26" w:rsidRDefault="00C54F26" w:rsidP="00C54F26">
      <w:pPr>
        <w:pStyle w:val="TextoNormal"/>
      </w:pPr>
      <w:r>
        <w:t>b) En segundo término,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que pretende evitar que el Tribunal Constitucional se pronuncie sobre conflictos que carecen de dimensión constitucional.</w:t>
      </w:r>
    </w:p>
    <w:p w:rsidR="00C54F26" w:rsidRDefault="00C54F26" w:rsidP="00C54F26">
      <w:pPr>
        <w:pStyle w:val="TextoNormal"/>
      </w:pPr>
    </w:p>
    <w:p w:rsidR="00C54F26" w:rsidRDefault="00C54F26" w:rsidP="00C54F26">
      <w:pPr>
        <w:pStyle w:val="TextoNormal"/>
      </w:pPr>
      <w:r>
        <w:t>En el presente caso faltan esos elementos esenciales de todo conflicto negativo de competencia:</w:t>
      </w:r>
    </w:p>
    <w:p w:rsidR="00C54F26" w:rsidRDefault="00C54F26" w:rsidP="00C54F26">
      <w:pPr>
        <w:pStyle w:val="TextoNormal"/>
      </w:pPr>
    </w:p>
    <w:p w:rsidR="00C54F26" w:rsidRDefault="00C54F26" w:rsidP="00C54F26">
      <w:pPr>
        <w:pStyle w:val="TextoNormal"/>
      </w:pPr>
      <w:r>
        <w:t>En primer lugar, que la administración requerida en primer lugar haya rechazado su competencia de forma expresa. La solicitud inicial se formuló ante la Consellería de Economía, Emprego e Industria de la Xunta de Galicia, sin que por esta se dictase resolución expresa de declinación de la competencia. Este tribunal ha precisado que el silencio “no produce el efecto jurídico material de la declinación de competencia”, toda vez que, “el silencio por sí solo no hace, pues, nacer el conflicto negativo de competencia entre ambas administraciones públicas, el cual requiere siempre, como presupuesto, de una doble denegación de competencia fundada en una diferencia de interpretación de las reglas de deslinde competencial”. Por este motivo, cuando no concurre el presupuesto de la denegación expresa, el conflicto “carece de objeto, al no ser posible un pronunciamiento, en sede jurisdiccional, sobre la titularidad de una competencia que no ha llegado a ser efectivamente rechazada por parte de ambas administraciones” (STC 300/1993, de 20 de octubre, FJ 3).</w:t>
      </w:r>
    </w:p>
    <w:p w:rsidR="00C54F26" w:rsidRDefault="00C54F26" w:rsidP="00C54F26">
      <w:pPr>
        <w:pStyle w:val="TextoNormal"/>
      </w:pPr>
    </w:p>
    <w:p w:rsidR="00C54F26" w:rsidRDefault="00C54F26" w:rsidP="00C54F26">
      <w:pPr>
        <w:pStyle w:val="TextoNormal"/>
      </w:pPr>
      <w:r>
        <w:t xml:space="preserve">En segundo término, se ha incumplido asimismo la condición relativa a la necesidad de que el interesado haya agotado la vía administrativa frente a la administración requerida en primer lugar, mediante la interposición de recurso ante el órgano correspondiente, con anterioridad a reproducir su pretensión frente a la segunda administración (AATC 357/1990, FJ 2 </w:t>
      </w:r>
      <w:r w:rsidRPr="00C54F26">
        <w:rPr>
          <w:i/>
        </w:rPr>
        <w:t>in fine</w:t>
      </w:r>
      <w:r>
        <w:t>; 192/1998, FJ 3, y 169/2001, FJ 3). En el presente caso, por parte del interesado no se ha desarrollado actuación alguna dirigida a recurrir esa falta de resolución expresa en vía administrativa, ni, por tanto, en agotar dicha vía.</w:t>
      </w:r>
    </w:p>
    <w:p w:rsidR="00C54F26" w:rsidRDefault="00C54F26" w:rsidP="00C54F26">
      <w:pPr>
        <w:pStyle w:val="TextoNormal"/>
      </w:pPr>
    </w:p>
    <w:p w:rsidR="00C54F26" w:rsidRDefault="00C54F26" w:rsidP="00C54F26">
      <w:pPr>
        <w:pStyle w:val="TextoNormal"/>
      </w:pPr>
      <w:r w:rsidRPr="00C54F26">
        <w:rPr>
          <w:rStyle w:val="NumeroAFNegritaCaracter"/>
        </w:rPr>
        <w:t>3</w:t>
      </w:r>
      <w:r>
        <w:t>. El art. 68.1 LOTC prescribe también que, en el caso de que la administración del Estado decline su competencia, y una vez agotada la vía administrativa, el interesado “ha de reproducir su pretensión ante el órgano ejecutivo colegiado de la comunidad autónoma que la resolución declare competente” y añade que “[d]e análogo modo se procederá si la solicitud se promueve ante la comunidad autónoma y esta se inhibe por entender competente al Estado”. Esa segunda solicitud no se ha reproducido en los términos exigidos por la Ley Orgánica del Tribunal Constitucional, pues el interesado reitera la inicial petición, no ante el Consejo de Ministros (art. 1 de la Ley 50/1997, de 27 de noviembre, del Gobierno) sino frente a la Confederación Hidrográfica del Miño-Sil. Con ello se incumple el propósito de la previsión legal, de que sea el órgano superior colegiado que dirige la administración requerida en segundo término, el que se pronuncie sobre la existencia o no de competencia para acceder a lo solicitado (en sentido similar, ATC 163/2012, de 13 de septiembre, FJ 3).</w:t>
      </w:r>
    </w:p>
    <w:p w:rsidR="00C54F26" w:rsidRDefault="00C54F26" w:rsidP="00C54F26">
      <w:pPr>
        <w:pStyle w:val="TextoNormal"/>
      </w:pPr>
    </w:p>
    <w:p w:rsidR="00C54F26" w:rsidRDefault="00C54F26" w:rsidP="00C54F26">
      <w:pPr>
        <w:pStyle w:val="TextoNormal"/>
      </w:pPr>
      <w:r>
        <w:t>No se han cumplido, por tanto, los requisitos de procedibilidad exigidos por el art. 68.1 LOTC, lo que determina la inadmisión del presente conflicto negativo de competencia.</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Inadmitir a trámite el conflicto negativo de competencia.</w:t>
      </w:r>
    </w:p>
    <w:p w:rsidR="00C54F26" w:rsidRDefault="00C54F26" w:rsidP="00C54F26">
      <w:pPr>
        <w:pStyle w:val="TextoNormal"/>
      </w:pPr>
    </w:p>
    <w:p w:rsidR="00C54F26" w:rsidRDefault="00C54F26" w:rsidP="00C54F26">
      <w:pPr>
        <w:pStyle w:val="TextoNormal"/>
      </w:pPr>
      <w:r>
        <w:t>Publíquese este auto en el “Boletín Oficial del Estado”.</w:t>
      </w:r>
    </w:p>
    <w:p w:rsidR="00C54F26" w:rsidRDefault="00C54F26" w:rsidP="00C54F26">
      <w:pPr>
        <w:pStyle w:val="TextoNormal"/>
      </w:pPr>
    </w:p>
    <w:p w:rsidR="00C54F26" w:rsidRDefault="00C54F26" w:rsidP="00C54F26">
      <w:pPr>
        <w:pStyle w:val="TextoNormal"/>
      </w:pPr>
      <w:r>
        <w:t>Madrid, a veintiocho de enero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0" w:name="AUTO_2021_9"/>
      <w:r>
        <w:lastRenderedPageBreak/>
        <w:t>AUTO 9/2021, de 9 de febrero de 2021</w:t>
      </w:r>
    </w:p>
    <w:bookmarkEnd w:id="150"/>
    <w:p w:rsidR="00C54F26" w:rsidRDefault="00C54F26" w:rsidP="00C54F26">
      <w:pPr>
        <w:pStyle w:val="TtuloResolucin"/>
      </w:pPr>
      <w:r>
        <w:t>Sección Tercera</w:t>
      </w:r>
    </w:p>
    <w:p w:rsidR="00C54F26" w:rsidRDefault="00C54F26" w:rsidP="00C54F26">
      <w:pPr>
        <w:pStyle w:val="TextoNormalCentrado"/>
      </w:pPr>
      <w:r>
        <w:t>ECLI:ES:TC:2021:9A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y don Pedro José González-Trevijano Sánchez.</w:t>
      </w:r>
    </w:p>
    <w:p w:rsidR="00C54F26" w:rsidRDefault="00C54F26" w:rsidP="00C54F26">
      <w:pPr>
        <w:pStyle w:val="SntesisDescriptiva"/>
      </w:pPr>
    </w:p>
    <w:p w:rsidR="00C54F26" w:rsidRDefault="00C54F26" w:rsidP="00C54F26">
      <w:pPr>
        <w:pStyle w:val="SntesisDescriptiva"/>
      </w:pPr>
      <w:r>
        <w:t>Acepta una abstención en el recurso de amparo 4964-2020, promovido por don Jesús María Calderón González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22 de octubre de 2020, el procurador de los tribunales don Ernesto García-Lozano Martín, en nombre y representación de don Jesús María Calderón González, interpuso demanda de amparo contra el acuerdo del Pleno del Consejo General del Poder Judicial de 24 de julio de 2018, por el que se propuso a don Dimitry Teodoro Berberoff Ayuda para la categoría de magistrado de la Sala Tercera del Tribunal Supremo; contra el Real Decreto 1082/2018, de 24 de agosto, por el que se le nombró; contra la sentencia núm. 373/2020, dictada por la Sección Sexta de la Sala Tercera del Tribunal Supremo, de 11 de junio de 2020, que desestimó el recurso contencioso-administrativo interpuesto contra las anteriores resoluciones, y contra el auto de la Sección Sexta de la Sala de lo Contencioso-Administrativo del Tribunal Supremo de 8 de septiembre de 2020 que desestimó el incidente de nulidad contra la sentencia.</w:t>
      </w:r>
    </w:p>
    <w:p w:rsidR="00C54F26" w:rsidRDefault="00C54F26" w:rsidP="00C54F26">
      <w:pPr>
        <w:pStyle w:val="TextoNormal"/>
      </w:pPr>
    </w:p>
    <w:p w:rsidR="00C54F26" w:rsidRDefault="00C54F26" w:rsidP="00C54F26">
      <w:pPr>
        <w:pStyle w:val="TextoNormal"/>
      </w:pPr>
      <w:r w:rsidRPr="00C54F26">
        <w:rPr>
          <w:rStyle w:val="NumeroAFNegritaCaracter"/>
        </w:rPr>
        <w:t>2</w:t>
      </w:r>
      <w:r>
        <w:t>. De conformidad con el acuerdo de 28 de marzo de 2017, del Pleno del Tribunal Constitucional, por el que se dispone la composición de las Salas y Secciones del Tribunal Constitucional (“Boletín Oficial del Estado” de 29 de marzo de 2017), a partir de la referida fecha la Sección Tercera, presidida por la vicepresidenta del Tribunal, está integrada por don doña Encarnación Roca Trías, don Juan Antonio Xiol Ríos y don Pedro José González-Trevijano Sánchez (art. 2.2).</w:t>
      </w:r>
    </w:p>
    <w:p w:rsidR="00C54F26" w:rsidRDefault="00C54F26" w:rsidP="00C54F26">
      <w:pPr>
        <w:pStyle w:val="TextoNormal"/>
      </w:pPr>
    </w:p>
    <w:p w:rsidR="00C54F26" w:rsidRDefault="00C54F26" w:rsidP="00C54F26">
      <w:pPr>
        <w:pStyle w:val="TextoNormal"/>
      </w:pPr>
      <w:r w:rsidRPr="00C54F26">
        <w:rPr>
          <w:rStyle w:val="NumeroAFNegritaCaracter"/>
        </w:rPr>
        <w:t>3</w:t>
      </w:r>
      <w:r>
        <w:t>. Mediante escrito de 3 de febrero de 2020, la vicepresidenta del Tribunal doña Encarnación Roca Trías comunicó su voluntad de abstenerse en el conocimiento del presente recurso de amparo por entender que concurría la causa 9 del art. 219 LOPJ, por haber tenido, en su día, relación profesional con don Dimitry Teodoro Berberoff Ayuda.</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Vista la comunicación efectuada por doña Encarnación Roca Trías, en virtud de lo previsto en los arts. 80 de la Ley Orgánica del Tribunal Constitucional y 221.4 de la Ley Orgánica del Poder Judicial (LOPJ), se estima justificada la causa de abstención formulada, puesto que la mencionada magistrada, está incursa en la causa 9 del art. 219 LOPJ.</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Estimar justificada la abstención formulada por la magistrada doña Encarnación Roca Trías en el recurso de amparo núm. 4964-2020 y apartarla definitivamente del conocimiento del referido recurso y de todas sus incidencias.</w:t>
      </w:r>
    </w:p>
    <w:p w:rsidR="00C54F26" w:rsidRDefault="00C54F26" w:rsidP="00C54F26">
      <w:pPr>
        <w:pStyle w:val="TextoNormal"/>
      </w:pPr>
    </w:p>
    <w:p w:rsidR="00C54F26" w:rsidRDefault="00C54F26" w:rsidP="00C54F26">
      <w:pPr>
        <w:pStyle w:val="TextoNormal"/>
      </w:pPr>
      <w:r>
        <w:t>Madrid, a nueve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1" w:name="AUTO_2021_10"/>
      <w:r>
        <w:lastRenderedPageBreak/>
        <w:t>AUTO 10/2021, de 15 de febrero de 2021</w:t>
      </w:r>
    </w:p>
    <w:bookmarkEnd w:id="151"/>
    <w:p w:rsidR="00C54F26" w:rsidRDefault="00C54F26" w:rsidP="00C54F26">
      <w:pPr>
        <w:pStyle w:val="TtuloResolucin"/>
      </w:pPr>
      <w:r>
        <w:t>Sala Primera</w:t>
      </w:r>
    </w:p>
    <w:p w:rsidR="00C54F26" w:rsidRDefault="00C54F26" w:rsidP="00C54F26">
      <w:pPr>
        <w:pStyle w:val="TextoNormalCentrado"/>
      </w:pPr>
      <w:r>
        <w:t>ECLI:ES:TC:2021:10A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en el recurso de amparo 7436-2019, promovido por don Jenri Ramírez Rosario,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Por escrito registrado en este tribunal el 20 de diciembre del 2019, la representación procesal de don Jenri Ramírez Rosario, bajo la dirección del letrado don Emilio Rodríguez Marqueta, interpuso recurso de amparo contra la sentencia del Juzgado de lo Penal núm. 1 de Huesca de 10 de abril del 2019 por la que se le condenaba: i) como autor de un delito de integración en grupo criminal del art. 570 </w:t>
      </w:r>
      <w:r w:rsidRPr="00C54F26">
        <w:rPr>
          <w:i/>
        </w:rPr>
        <w:t>ter</w:t>
      </w:r>
      <w:r>
        <w:t xml:space="preserve"> 1 b) del Código Penal (CP), a la pena de un año de prisión y accesoria de inhabilitación especial para el sufragio pasivo durante el tiempo de la condena; ii) como autor de un delito continuado de robo con fuerza en edificio abierto al público de los art. 237, 238.2. 3 y 4, 241.1, y 74.2 CP, en concurso medial con un delito continuado de falsificación en documento oficial de los art. 392.1, 390.1.2, y 74.1 CP, a la pena de cinco años de prisión y accesoria de inhabilitación especial para el sufragio pasivo durante el tiempo de la condena; iii) como autor de un delito de tenencia ilícita de armas de los art. 564.1.2, 564.2.1, y 570.1 CP, a la pena de prisión de dos años, accesoria de inhabilitación especial para el sufragio pasivo durante el tiempo de la condena, y privación del derecho a la tenencia y porte de armas durante cinco años; iv) y como autor de un delito de conducción sin permiso del art. 384 CP, a la pena de seis meses de prisión e inhabilitación especial para el sufragio pasivo durante el tiempo de la condena.</w:t>
      </w:r>
    </w:p>
    <w:p w:rsidR="00C54F26" w:rsidRDefault="00C54F26" w:rsidP="00C54F26">
      <w:pPr>
        <w:pStyle w:val="TextoNormal"/>
      </w:pPr>
    </w:p>
    <w:p w:rsidR="00C54F26" w:rsidRDefault="00C54F26" w:rsidP="00C54F26">
      <w:pPr>
        <w:pStyle w:val="TextoNormal"/>
      </w:pPr>
      <w:r>
        <w:t>El amparo se interpone también frente a la providencia de la Sala de lo Penal del Tribunal Supremo de 31 de octubre de 2019 que inadmite el recurso de casación contra la sentencia de la Audiencia Provincial de Huesca del 10 de julio del 2019, y confirma la resolución dictada en instancia.</w:t>
      </w:r>
    </w:p>
    <w:p w:rsidR="00C54F26" w:rsidRDefault="00C54F26" w:rsidP="00C54F26">
      <w:pPr>
        <w:pStyle w:val="TextoNormal"/>
      </w:pPr>
    </w:p>
    <w:p w:rsidR="00C54F26" w:rsidRDefault="00C54F26" w:rsidP="00C54F26">
      <w:pPr>
        <w:pStyle w:val="TextoNormal"/>
      </w:pPr>
      <w:r>
        <w:t xml:space="preserve">El recurrente alega la vulneración del derecho a la intimidad (art. 18.1 CE) y al secreto de comunicaciones (art. 18.3 CE) fundamentando esta queja en el argumento de que la medida consistente en la instalación de aparatos de escucha en el interior de dos vehículos ,a fin de interceptar las conversaciones mantenidas por otro de los encausados, debe ser considerada nula pues se habría autorizado por un plazo de tres meses, lo que supone una contravención con el tenor literal del artículo 588 </w:t>
      </w:r>
      <w:r w:rsidRPr="00C54F26">
        <w:rPr>
          <w:i/>
        </w:rPr>
        <w:t>quater</w:t>
      </w:r>
      <w:r>
        <w:t xml:space="preserve"> b) de la Ley de Enjuiciamiento Criminal, que establece expresamente que esta medida de investigación ha de estar vinculada a comunicaciones que puedan tener lugar en uno o varios encuentros concretos del investi</w:t>
      </w:r>
      <w:r>
        <w:lastRenderedPageBreak/>
        <w:t>gado. El recurrente solicita que la nulidad sea extendida, además, a todo el material probatorio derivado del ilícitamente obtenido y el dictado, como corolario de lo anteriormente expuesto, de una sentencia absolutoria por la vulneración del derecho a la presunción de inocencia (art. 24.2 CE).</w:t>
      </w:r>
    </w:p>
    <w:p w:rsidR="00C54F26" w:rsidRDefault="00C54F26" w:rsidP="00C54F26">
      <w:pPr>
        <w:pStyle w:val="TextoNormal"/>
      </w:pPr>
    </w:p>
    <w:p w:rsidR="00C54F26" w:rsidRDefault="00C54F26" w:rsidP="00C54F26">
      <w:pPr>
        <w:pStyle w:val="TextoNormal"/>
      </w:pPr>
      <w:r>
        <w:t>En la demanda de amparo se solicita por otrosí que se suspenda la ejecución de la pena de ocho años y seis meses de prisión, con la accesoria de inhabilitación especial para el sufragio pasivo durante el tiempo de la condena, argumentando que “su cumplimiento significaría un perjuicio que haría perder al presente recurso de amparo su finalidad”.</w:t>
      </w:r>
    </w:p>
    <w:p w:rsidR="00C54F26" w:rsidRDefault="00C54F26" w:rsidP="00C54F26">
      <w:pPr>
        <w:pStyle w:val="TextoNormal"/>
      </w:pPr>
    </w:p>
    <w:p w:rsidR="00C54F26" w:rsidRDefault="00C54F26" w:rsidP="00C54F26">
      <w:pPr>
        <w:pStyle w:val="TextoNormal"/>
      </w:pPr>
      <w:r w:rsidRPr="00C54F26">
        <w:rPr>
          <w:rStyle w:val="NumeroAFNegritaCaracter"/>
        </w:rPr>
        <w:t>2</w:t>
      </w:r>
      <w:r>
        <w:t>. La Sección Primera de este tribunal, por providencia de 14 de diciembre del 2020, acordó la admisión a trámite del presente recurso de amparo, apreciando que concurre en el mismo una especial trascendencia constitucional (art. 50.1 LOTC) porque el recurso plantea un problema o afecta a una faceta de un derecho fundamental sobre el que no hay doctrina de este tribunal [STC 155/2009, FJ 2 a)] y, en consecuencia, dirigir atenta comunicación a la Sala de lo Penal del Tribunal Supremo, así como a la Audiencia Provincial de Huesca, y al Juzgado de lo Penal núm. 1 de Huesca, a fin de que remitiesen certificación o fotocopia adverada de las actuaciones correspondientes.</w:t>
      </w:r>
    </w:p>
    <w:p w:rsidR="00C54F26" w:rsidRDefault="00C54F26" w:rsidP="00C54F26">
      <w:pPr>
        <w:pStyle w:val="TextoNormal"/>
      </w:pPr>
    </w:p>
    <w:p w:rsidR="00C54F26" w:rsidRDefault="00C54F26" w:rsidP="00C54F26">
      <w:pPr>
        <w:pStyle w:val="TextoNormal"/>
      </w:pPr>
      <w:r>
        <w:t>Por providencia de la misma fecha, la Sección Primera del Tribunal Constitucional acordó formar la oportuna pieza de suspensión, en los términos del artículo 56 de la Ley Orgánica del Tribunal Constitucional (LOTC), concediendo tres días al recurrente y al Ministerio Fiscal para alegaciones.</w:t>
      </w:r>
    </w:p>
    <w:p w:rsidR="00C54F26" w:rsidRDefault="00C54F26" w:rsidP="00C54F26">
      <w:pPr>
        <w:pStyle w:val="TextoNormal"/>
      </w:pPr>
    </w:p>
    <w:p w:rsidR="00C54F26" w:rsidRDefault="00C54F26" w:rsidP="00C54F26">
      <w:pPr>
        <w:pStyle w:val="TextoNormal"/>
      </w:pPr>
      <w:r w:rsidRPr="00C54F26">
        <w:rPr>
          <w:rStyle w:val="NumeroAFNegritaCaracter"/>
        </w:rPr>
        <w:t>3</w:t>
      </w:r>
      <w:r>
        <w:t>. La parte recurrente, por escrito registrado el 22 de diciembre del 2020, reiteró su solicitud señalando que de no proceder a la suspensión de la pena se ocasionaría un perjuicio irreparable al demandante de amparo, encontrándonos en una situación en la que, además, la suspensión no supone una perturbación grave para los intereses generales toda vez que ”existe una expectativa razonable de prosperar el amparo solicitado” y no hay unas víctimas contra las que se pudiera dirigir el demandante de amparo en uso de la libertad que le otorgaría la medida cautelar en cuestión. A estos argumentos habría que añadir el hecho de que el demandante de amparo habría cumplido ya tres años y seis meses de prisión, por lo que estaría próxima la fecha de cumplimiento de mitad de la condena impuesta (ocho años y seis meses de prisión). En apoyo de sus alegaciones el demandante aporta referencia de una reciente sentencia dictada por el Tribunal Supremo (núm. 655/2020, de 3 de diciembre) que daría perspectiva de viabilidad a la pretensión formulada en la demanda de amparo.</w:t>
      </w:r>
    </w:p>
    <w:p w:rsidR="00C54F26" w:rsidRDefault="00C54F26" w:rsidP="00C54F26">
      <w:pPr>
        <w:pStyle w:val="TextoNormal"/>
      </w:pPr>
    </w:p>
    <w:p w:rsidR="00C54F26" w:rsidRDefault="00C54F26" w:rsidP="00C54F26">
      <w:pPr>
        <w:pStyle w:val="TextoNormal"/>
      </w:pPr>
      <w:r w:rsidRPr="00C54F26">
        <w:rPr>
          <w:rStyle w:val="NumeroAFNegritaCaracter"/>
        </w:rPr>
        <w:t>4</w:t>
      </w:r>
      <w:r>
        <w:t>. En escrito registrado el 19 de enero del 2021, el representante del Ministerio Fiscal ante este tribunal, tras exponer la doctrina constitucional derivada de la aplicación del art. 56 LOTC, interesa la desestimación de la pretensión principal de suspensión que ha sido formulada, esto es, de la suspensión de la pena privativa de libertad, con la accesoria de inhabilitación especial para el sufragio pasivo durante el tiempo de la condena, y la pena privativa del derecho a la tenencia y porte de armas por cinco años.</w:t>
      </w:r>
    </w:p>
    <w:p w:rsidR="00C54F26" w:rsidRDefault="00C54F26" w:rsidP="00C54F26">
      <w:pPr>
        <w:pStyle w:val="TextoNormal"/>
      </w:pPr>
    </w:p>
    <w:p w:rsidR="00C54F26" w:rsidRDefault="00C54F26" w:rsidP="00C54F26">
      <w:pPr>
        <w:pStyle w:val="TextoNormal"/>
      </w:pPr>
      <w:r>
        <w:t>Tal pretensión viene justificada en la consideración de que, aunque las penas impuestas por los diferentes delitos no exceden de cinco años de duración, y no pueden ser considera</w:t>
      </w:r>
      <w:r>
        <w:lastRenderedPageBreak/>
        <w:t>das como penas graves conforme al artículo 33 CP, sin embargo la suma de las penas privativas de libertad excede de los mencionados cinco años pues suponen un total de ocho años y seis meses de prisión que, conforme al artículo 75 CP, deben ser objeto de un cumplimiento sucesivo. Por todo ello, y siguiendo los criterios establecidos en el ATC 5/2011, del 14 de febrero, termina señalando que “si se considera la duración total de la pena impuesta, cuya duración excede del límite cuantitativo de cinco años, la circunstancia de reiteración delictiva del recurrente, así como la gravedad y naturaleza de los hechos enjuiciados, y el bien jurídico protegido, su trascendencia social, y el tiempo que resta de cumplimiento de la misma, la denegación de la suspensión de la condena no supone un perjuicio irreparable para el recurrente que haría perder la eficacia de un eventual fallo estimatorio del recurso y, por ende, la ejecución de las penas no haría perder al amparo su finalidad”.</w:t>
      </w:r>
    </w:p>
    <w:p w:rsidR="00C54F26" w:rsidRDefault="00C54F26" w:rsidP="00C54F26">
      <w:pPr>
        <w:pStyle w:val="TextoNormal"/>
      </w:pPr>
    </w:p>
    <w:p w:rsidR="00C54F26" w:rsidRDefault="00C54F26" w:rsidP="00C54F26">
      <w:pPr>
        <w:pStyle w:val="TextoNormal"/>
      </w:pPr>
      <w:r>
        <w:t>El demandante no formula alegación alguna respecto a la suspensión de la pena de privación del derecho a la tenencia y porte de armas, impuesta también en sentencia.</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consiste en determinar si procede acordar la suspensión de la ejecución de la sentencia recurrida en amparo núm. 91/2019 dictada por la Audiencia Provincial de Huesca, de 10 de julio de 2019, y de la posterior providencia de 31 de octubre de 2019 dictada por la Sala Segunda del Tribunal Supremo que inadmite el recurso de casación.</w:t>
      </w:r>
    </w:p>
    <w:p w:rsidR="00C54F26" w:rsidRDefault="00C54F26" w:rsidP="00C54F26">
      <w:pPr>
        <w:pStyle w:val="TextoNormal"/>
      </w:pPr>
    </w:p>
    <w:p w:rsidR="00C54F26" w:rsidRDefault="00C54F26" w:rsidP="00C54F26">
      <w:pPr>
        <w:pStyle w:val="TextoNormal"/>
      </w:pPr>
      <w:r w:rsidRPr="00C54F26">
        <w:rPr>
          <w:rStyle w:val="NumeroAFNegritaCaracter"/>
        </w:rPr>
        <w:t>2</w:t>
      </w:r>
      <w:r>
        <w:t>.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00C54F26" w:rsidRDefault="00C54F26" w:rsidP="00C54F26">
      <w:pPr>
        <w:pStyle w:val="TextoNormal"/>
      </w:pPr>
    </w:p>
    <w:p w:rsidR="00C54F26" w:rsidRDefault="00C54F26" w:rsidP="00C54F26">
      <w:pPr>
        <w:pStyle w:val="TextoNormal"/>
      </w:pPr>
      <w:r>
        <w:t>El Pleno de este tribunal, en el ATC 63/2018, de 5 de junio,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La regla general es, por tanto, que no procede la suspensión de los efectos de los actos o resoluciones judiciales impugnadas, en particular, en lo que hace a estas últimas, porque tal suspensión acarrea la perturbación de la función jurisdiccional, y supone una injerencia </w:t>
      </w:r>
      <w:r>
        <w:lastRenderedPageBreak/>
        <w:t>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00C54F26" w:rsidRDefault="00C54F26" w:rsidP="00C54F26">
      <w:pPr>
        <w:pStyle w:val="TextoNormal"/>
      </w:pPr>
    </w:p>
    <w:p w:rsidR="00C54F26" w:rsidRDefault="00C54F26" w:rsidP="00C54F26">
      <w:pPr>
        <w:pStyle w:val="TextoNormal"/>
      </w:pPr>
      <w:r>
        <w:t>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C54F26" w:rsidRDefault="00C54F26" w:rsidP="00C54F26">
      <w:pPr>
        <w:pStyle w:val="TextoNormal"/>
      </w:pPr>
    </w:p>
    <w:p w:rsidR="00C54F26" w:rsidRDefault="00C54F26" w:rsidP="00C54F26">
      <w:pPr>
        <w:pStyle w:val="TextoNormal"/>
      </w:pPr>
      <w:r w:rsidRPr="00C54F26">
        <w:rPr>
          <w:rStyle w:val="NumeroAFNegritaCaracter"/>
        </w:rPr>
        <w:t>4</w:t>
      </w:r>
      <w:r>
        <w:t>. En relación con la suspensión de las penas de prisión, de acuerdo con la doctrina mantenida por este tribunal,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(ATC 44/2012, de 12 de marzo, FJ 2). Y para valorar la duración de la condena procede examinar el dato objetivo del total de las penas de privación de libertad impuestas lo que cuantifica el desvalor del comportamiento enjuiciado y el daño social producido según la apreciación del tribunal sentenciador.</w:t>
      </w:r>
    </w:p>
    <w:p w:rsidR="00C54F26" w:rsidRDefault="00C54F26" w:rsidP="00C54F26">
      <w:pPr>
        <w:pStyle w:val="TextoNormal"/>
      </w:pPr>
    </w:p>
    <w:p w:rsidR="00C54F26" w:rsidRDefault="00C54F26" w:rsidP="00C54F26">
      <w:pPr>
        <w:pStyle w:val="TextoNormal"/>
      </w:pPr>
      <w:r>
        <w:t>La duración total de las penas privativas de libertad impuestas, en este caso, ha de ser apreciada atendiendo al interés general cifrado en el cumplimiento de la sentencia condenatoria a que se refiere el art. 56 LOTC y este interés público está vinculado con la confianza social en la justicia penal y con los efectos disuasorios que se derivan de la finalidad de prevención general de los delitos (ATC 310/1996, con cita de los AATC 143/1992 y 202/1995; 419/1997 y 420/1997, y ATC 126/1998, de 1 de junio, FJ 4.)</w:t>
      </w:r>
    </w:p>
    <w:p w:rsidR="00C54F26" w:rsidRDefault="00C54F26" w:rsidP="00C54F26">
      <w:pPr>
        <w:pStyle w:val="TextoNormal"/>
      </w:pPr>
    </w:p>
    <w:p w:rsidR="00C54F26" w:rsidRDefault="00C54F26" w:rsidP="00C54F26">
      <w:pPr>
        <w:pStyle w:val="TextoNormal"/>
      </w:pPr>
      <w:r>
        <w:t>Junto a este criterio, el tribunal ha venido ponderando otras circunstancias relevantes, tales como, significativamente, “la gravedad y naturaleza de los hechos enjuiciados y el bien jurídico protegido, su trascendencia social […], el tiempo que reste de cumplimiento de la misma, el riesgo de eludir la acción de la justicia y la posible desprotección de las víctimas” (por todos AATC 469/2007, de 17 de diciembre, FJ 2; 16/2008, de 21 de enero, FJ 1, y 172/2008, de 23 de junio, FJ 2).</w:t>
      </w:r>
    </w:p>
    <w:p w:rsidR="00C54F26" w:rsidRDefault="00C54F26" w:rsidP="00C54F26">
      <w:pPr>
        <w:pStyle w:val="TextoNormal"/>
      </w:pPr>
    </w:p>
    <w:p w:rsidR="00C54F26" w:rsidRDefault="00C54F26" w:rsidP="00C54F26">
      <w:pPr>
        <w:pStyle w:val="TextoNormal"/>
      </w:pPr>
      <w:r>
        <w:t xml:space="preserve">También, en relación con el cumplimiento previo de una parte sustancial de la pena impuesta, el tribunal se ha pronunciado en diferentes ocasiones señalando que dicha circunstancia ha de ser tomada en consideración a fin de justificar la suspensión cautelar de la pena acordada (AATC 126/1998, de 15 de junio, FJ 4; 235/1999, de 20 de diciembre, FJ 2 , y 305/2001, de 12 de diciembre, FJ 2) debiéndose valorar, también, el periodo de pena que restare por cumplir. Así, en el ATC 64/2020, de 17 de junio, se denegó la suspensión en un supuesto en que el demandante de amparo había cumplido dos años y seis meses de prisión de un total de diez años y seis meses de prisión a los que había sido condenado. En este caso, el Tribunal Constitucional señaló (FJ 4) que “el tiempo de privación de libertad ya cumplido carece de entidad para justificar la suspensión solicitada, puesto que el periodo de </w:t>
      </w:r>
      <w:r>
        <w:lastRenderedPageBreak/>
        <w:t>tiempo que restaría por cumplir excede con creces de los cinco años de prisión que, como directriz de carácter general, contempla nuestra doctrina”.</w:t>
      </w:r>
    </w:p>
    <w:p w:rsidR="00C54F26" w:rsidRDefault="00C54F26" w:rsidP="00C54F26">
      <w:pPr>
        <w:pStyle w:val="TextoNormal"/>
      </w:pPr>
    </w:p>
    <w:p w:rsidR="00C54F26" w:rsidRDefault="00C54F26" w:rsidP="00C54F26">
      <w:pPr>
        <w:pStyle w:val="TextoNormal"/>
      </w:pPr>
      <w:r w:rsidRPr="00C54F26">
        <w:rPr>
          <w:rStyle w:val="NumeroAFNegritaCaracter"/>
        </w:rPr>
        <w:t>5</w:t>
      </w:r>
      <w:r>
        <w:t>. En el presente supuesto, el recurrente alega que, en el caso de que no se acordara la suspensión interesada, el recurso de amparo perdería su finalidad, con base en un parámetro objetivo, a saber, el tiempo durante el que ha estado privado de libertad por el procedimiento penal. Considera que la suspensión es procedente porque ya ha cumplido casi tres años y seis meses de prisión de los ocho años y seis meses de prisión a los que ha sido condenado. A su juicio, si no se procediese a la suspensión de la pena impuesta, para el momento en que se resolviera el recurso de amparo, podría haber cumplido casi la totalidad de la condena, eliminando toda la finalidad del amparo constitucional al haberse producido ya el daño contra los intereses y derechos del demandante de amparo.</w:t>
      </w:r>
    </w:p>
    <w:p w:rsidR="00C54F26" w:rsidRDefault="00C54F26" w:rsidP="00C54F26">
      <w:pPr>
        <w:pStyle w:val="TextoNormal"/>
      </w:pPr>
    </w:p>
    <w:p w:rsidR="00C54F26" w:rsidRDefault="00C54F26" w:rsidP="00C54F26">
      <w:pPr>
        <w:pStyle w:val="TextoNormal"/>
      </w:pPr>
      <w:r>
        <w:t>Como ha quedado expuesto anteriormente, el tiempo de privación de libertad ya cumplido es un factor a tener en cuenta, de cara a valorar la procedencia de la suspensión de las penas de prisión. Por ello, en algunas ocasiones, este tribunal ha detraído ese previo cumplimiento de la cuantía de la pena impuesta en sentencia, de suerte que, a los efectos indicados, solo tomó en consideración el tiempo de prisión que aún restaba por cumplir.</w:t>
      </w:r>
    </w:p>
    <w:p w:rsidR="00C54F26" w:rsidRDefault="00C54F26" w:rsidP="00C54F26">
      <w:pPr>
        <w:pStyle w:val="TextoNormal"/>
      </w:pPr>
    </w:p>
    <w:p w:rsidR="00C54F26" w:rsidRDefault="00C54F26" w:rsidP="00C54F26">
      <w:pPr>
        <w:pStyle w:val="TextoNormal"/>
      </w:pPr>
      <w:r>
        <w:t>A la vista de esta doctrina, cumple afirmar que, dada la notable extensión de la pena impuesta (ocho años y seis meses de prisión), el tiempo de privación de libertad ya cumplido carece de entidad para justificar la suspensión solicitada, puesto que el periodo de tiempo que restaría por cumplir es de cinco años de prisión. A ello deben añadirse circunstancias derivadas del relato de hechos probados, como son la gravedad de las infracciones penales cometidas, la utilización de medios especialmente peligrosos, y la reiteración delictiva desarrollada por el demandante de amparo que, según las resoluciones impugnadas, formó parte de una estructura criminal dedicada a cometer delitos contra el patrimonio durante un periodo de al menos diez meses.</w:t>
      </w:r>
    </w:p>
    <w:p w:rsidR="00C54F26" w:rsidRDefault="00C54F26" w:rsidP="00C54F26">
      <w:pPr>
        <w:pStyle w:val="TextoNormal"/>
      </w:pPr>
    </w:p>
    <w:p w:rsidR="00C54F26" w:rsidRDefault="00C54F26" w:rsidP="00C54F26">
      <w:pPr>
        <w:pStyle w:val="TextoNormal"/>
      </w:pPr>
      <w:r>
        <w:t>Esta conclusión no es, además, contradictoria con la jurisprudencia de este tribunal al subrayar que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este trámite, en definitiva,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22 de mayo, FJ 2).</w:t>
      </w:r>
    </w:p>
    <w:p w:rsidR="00C54F26" w:rsidRDefault="00C54F26" w:rsidP="00C54F26">
      <w:pPr>
        <w:pStyle w:val="TextoNormal"/>
      </w:pPr>
    </w:p>
    <w:p w:rsidR="00C54F26" w:rsidRDefault="00C54F26" w:rsidP="00C54F26">
      <w:pPr>
        <w:pStyle w:val="TextoNormal"/>
      </w:pPr>
      <w:r w:rsidRPr="00C54F26">
        <w:rPr>
          <w:rStyle w:val="NumeroAFNegritaCaracter"/>
        </w:rPr>
        <w:t>6</w:t>
      </w:r>
      <w:r>
        <w:t>. Los razonamientos expuestos conducen a la conclusión de rechazar que, en el caso que nos ocupa, concurran las excepcionales circunstancias que habilitan la suspensión de una pena de prisión grave.</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petición de suspensión de las resoluciones impugnadas.</w:t>
      </w:r>
    </w:p>
    <w:p w:rsidR="00C54F26" w:rsidRDefault="00C54F26" w:rsidP="00C54F26">
      <w:pPr>
        <w:pStyle w:val="TextoNormal"/>
      </w:pPr>
    </w:p>
    <w:p w:rsidR="00C54F26" w:rsidRDefault="00C54F26" w:rsidP="00C54F26">
      <w:pPr>
        <w:pStyle w:val="TextoNormal"/>
      </w:pPr>
      <w:r>
        <w:t>Madrid, a quince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2" w:name="AUTO_2021_11"/>
      <w:r>
        <w:lastRenderedPageBreak/>
        <w:t>AUTO 11/2021, de 15 de febrero de 2021</w:t>
      </w:r>
    </w:p>
    <w:bookmarkEnd w:id="152"/>
    <w:p w:rsidR="00C54F26" w:rsidRDefault="00C54F26" w:rsidP="00C54F26">
      <w:pPr>
        <w:pStyle w:val="TtuloResolucin"/>
      </w:pPr>
      <w:r>
        <w:t>Sala Primera</w:t>
      </w:r>
    </w:p>
    <w:p w:rsidR="00C54F26" w:rsidRDefault="00C54F26" w:rsidP="00C54F26">
      <w:pPr>
        <w:pStyle w:val="TextoNormalCentrado"/>
      </w:pPr>
      <w:r>
        <w:t>ECLI:ES:TC:2021:11A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y ordena la anotación preventiva de la demanda en el recurso de amparo 7505-2019, promovido por Euroinversiones Inmobiliarias Costa Sur, S.L.,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26 de diciembre de 2019, la entidad Euroinversiones Inmobiliarias Costa Sur, S.L., representada por la procuradora de los tribunales doña Blanca Berriatua Horta y bajo la dirección de la letrada doña Anju Nirmala Benavent Rodríguez, interpuso recurso de amparo contra los autos de 19 de noviembre de 2018 y 16 de septiembre de 2019, dictados por el Juzgado de Primera Instancia e Instrucción núm. 4 de Lorca, en el procedimiento de ejecución hipotecaria núm. 373-2018, por los que, respectivamente, se inadmitió por extemporánea la demanda de oposición formulada y se confirmó esta última decisión, tras desestimarse el recurso de reposición interpuesto frente a ella.</w:t>
      </w:r>
    </w:p>
    <w:p w:rsidR="00C54F26" w:rsidRDefault="00C54F26" w:rsidP="00C54F26">
      <w:pPr>
        <w:pStyle w:val="TextoNormal"/>
      </w:pPr>
    </w:p>
    <w:p w:rsidR="00C54F26" w:rsidRDefault="00C54F26" w:rsidP="00C54F26">
      <w:pPr>
        <w:pStyle w:val="TextoNormal"/>
      </w:pPr>
      <w:r w:rsidRPr="00C54F26">
        <w:rPr>
          <w:rStyle w:val="NumeroAFNegritaCaracter"/>
        </w:rPr>
        <w:t>2</w:t>
      </w:r>
      <w:r>
        <w:t>. Los antecedentes relevantes para resolver la pretensión planteada, según se recogen en la demanda, son en síntesis los siguientes:</w:t>
      </w:r>
    </w:p>
    <w:p w:rsidR="00C54F26" w:rsidRDefault="00C54F26" w:rsidP="00C54F26">
      <w:pPr>
        <w:pStyle w:val="TextoNormal"/>
      </w:pPr>
    </w:p>
    <w:p w:rsidR="00C54F26" w:rsidRDefault="00C54F26" w:rsidP="00C54F26">
      <w:pPr>
        <w:pStyle w:val="TextoNormal"/>
      </w:pPr>
      <w:r>
        <w:t>a) En el Juzgado de Primera Instancia e Instrucción núm. 4 de Lorca se sigue procedimiento de ejecución hipotecaria núm. 373-2018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43413 del registro de la propiedad núm. 3 de Lorca.</w:t>
      </w:r>
    </w:p>
    <w:p w:rsidR="00C54F26" w:rsidRDefault="00C54F26" w:rsidP="00C54F26">
      <w:pPr>
        <w:pStyle w:val="TextoNormal"/>
      </w:pPr>
    </w:p>
    <w:p w:rsidR="00C54F26" w:rsidRDefault="00C54F26" w:rsidP="00C54F26">
      <w:pPr>
        <w:pStyle w:val="TextoNormal"/>
      </w:pPr>
      <w:r>
        <w:t>b) Por auto de 27 de junio de 2018 se acordó despachar ejecución frente las sociedades demandadas por la cantidad de 8199,12 € de principal y 4510 € como intereses y costas presupuestados. El citado auto y el decreto de la misma fecha que le siguió fueron comunicados a las citadas sociedades a través de la sede judicial electrónica el día 29 de junio de 2018.</w:t>
      </w:r>
    </w:p>
    <w:p w:rsidR="00C54F26" w:rsidRDefault="00C54F26" w:rsidP="00C54F26">
      <w:pPr>
        <w:pStyle w:val="TextoNormal"/>
      </w:pPr>
    </w:p>
    <w:p w:rsidR="00C54F26" w:rsidRDefault="00C54F26" w:rsidP="00C54F26">
      <w:pPr>
        <w:pStyle w:val="TextoNormal"/>
      </w:pPr>
      <w:r>
        <w:t>c) La representación legal de Euroinversiones Inmobiliarias Costa Sur, S.L., presentó escrito de oposición a la ejecución despachada con fecha 31 de agosto de 2018. Por auto de 19 de noviembre siguiente fue acordada su inadmisión por considerar que la pretensión de oposición era extemporánea, tomando como fecha de notificación el 29 de junio de 2018.</w:t>
      </w:r>
    </w:p>
    <w:p w:rsidR="00C54F26" w:rsidRDefault="00C54F26" w:rsidP="00C54F26">
      <w:pPr>
        <w:pStyle w:val="TextoNormal"/>
      </w:pPr>
    </w:p>
    <w:p w:rsidR="00C54F26" w:rsidRDefault="00C54F26" w:rsidP="00C54F26">
      <w:pPr>
        <w:pStyle w:val="TextoNormal"/>
      </w:pPr>
      <w:r>
        <w:t>d) La sociedad mercantil recurrente interpuso recurso de reposición contra el auto de inadmisión alegando, en síntesis, que las actuaciones de notificación y requerimiento no habían sido realizadas en la fecha indicada, sino el 3 de agosto siguiente, fecha en la que accedió a la web y procedió a su descarga, y que la comunicación remitida a través de la dirección electrónica habilitada no puede entenderse más que como un aviso de puesta a disposición para descarga de su contenido durante un plazo determinado (en el caso desde el 3 de julio hasta el 18 de agosto de 2018), pues entenderlo de otro modo, además de infringir los arts. 135, 152, 160, 162 de la Ley de enjuiciamiento civil (LEC), vulnera el art. 24 CE.</w:t>
      </w:r>
    </w:p>
    <w:p w:rsidR="00C54F26" w:rsidRDefault="00C54F26" w:rsidP="00C54F26">
      <w:pPr>
        <w:pStyle w:val="TextoNormal"/>
      </w:pPr>
    </w:p>
    <w:p w:rsidR="00C54F26" w:rsidRDefault="00C54F26" w:rsidP="00C54F26">
      <w:pPr>
        <w:pStyle w:val="TextoNormal"/>
      </w:pPr>
      <w:r>
        <w:t>e) Tras su tramitación, el recurso de reposición fue desestimado por auto de 16 de septiembre de 2019. Según esta resolución, la entidad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w:t>
      </w:r>
    </w:p>
    <w:p w:rsidR="00C54F26" w:rsidRDefault="00C54F26" w:rsidP="00C54F26">
      <w:pPr>
        <w:pStyle w:val="TextoNormal"/>
      </w:pPr>
    </w:p>
    <w:p w:rsidR="00C54F26" w:rsidRDefault="00C54F26" w:rsidP="00C54F26">
      <w:pPr>
        <w:pStyle w:val="TextoNormal"/>
      </w:pPr>
      <w:r w:rsidRPr="00C54F26">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 tal y como reconoce la sentencia 37/1984 del Tribunal Constitucional”.</w:t>
      </w:r>
    </w:p>
    <w:p w:rsidR="00C54F26" w:rsidRDefault="00C54F26" w:rsidP="00C54F26">
      <w:pPr>
        <w:pStyle w:val="TextoNormal"/>
      </w:pPr>
    </w:p>
    <w:p w:rsidR="00C54F26" w:rsidRDefault="00C54F26" w:rsidP="00C54F26">
      <w:pPr>
        <w:pStyle w:val="TextoNormal"/>
      </w:pPr>
      <w:r>
        <w:t>En la demanda de amparo se solicita por medio de segundo otrosí la suspensión de la continuación del procedimiento de ejecución hipotecaria hasta tanto sea resuelto el recurso de amparo, alegando que “la celebración de subasta y la eventual adjudicación a terceros pueden hacer perder al recurso de amparo su finalidad”.</w:t>
      </w:r>
    </w:p>
    <w:p w:rsidR="00C54F26" w:rsidRDefault="00C54F26" w:rsidP="00C54F26">
      <w:pPr>
        <w:pStyle w:val="TextoNormal"/>
      </w:pPr>
    </w:p>
    <w:p w:rsidR="00C54F26" w:rsidRDefault="00C54F26" w:rsidP="00C54F26">
      <w:pPr>
        <w:pStyle w:val="TextoNormal"/>
      </w:pPr>
      <w:r w:rsidRPr="00C54F26">
        <w:rPr>
          <w:rStyle w:val="NumeroAFNegritaCaracter"/>
        </w:rPr>
        <w:t>4</w:t>
      </w:r>
      <w:r>
        <w:t xml:space="preserve">. Mediante providencia de 16 de junio de 2020, la Sección Primera de este tribunal acordó inadmitir a trámite el recurso de amparo por no apreciar en el mismo la especial trascendencia constitucional que, como condición para su admisión, requiere el art. 50.1 b) de la Ley Orgánica del Tribunal Constitucional (LOTC). Recurrida en súplica la providencia por el Ministerio Fiscal, el recurso fue estimado mediante auto de la Sección de 22 de septiembre de 2020. Por providencia de fecha 19 de octubre de 2020, el recurso fue admitido a trámite al apreciar la causa de especial trascendencia constitucional a que se refiere el apartado b) del fundamento jurídico 2 de la STC 155/2009, por lo que se acordó y dirigir comunicación al Juzgado de Primera Instancia e Instrucción núm. 4 de Lorca, a fin de que, en plazo que no excediera de diez días, remitiera certificación o fotocopia adverada de las actuaciones correspondientes a los autos de ejecución hipotecaria y emplazara por el mismo </w:t>
      </w:r>
      <w:r>
        <w:lastRenderedPageBreak/>
        <w:t>plazo a quienes hubieran sido parte en el proceso del que trae causa el presente recurso de amparo.</w:t>
      </w:r>
    </w:p>
    <w:p w:rsidR="00C54F26" w:rsidRDefault="00C54F26" w:rsidP="00C54F26">
      <w:pPr>
        <w:pStyle w:val="TextoNormal"/>
      </w:pPr>
    </w:p>
    <w:p w:rsidR="00C54F26" w:rsidRDefault="00C54F26" w:rsidP="00C54F26">
      <w:pPr>
        <w:pStyle w:val="TextoNormal"/>
      </w:pPr>
      <w:r w:rsidRPr="00C54F26">
        <w:rPr>
          <w:rStyle w:val="NumeroAFNegritaCaracter"/>
        </w:rPr>
        <w:t>5</w:t>
      </w:r>
      <w:r>
        <w:t>.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54F26" w:rsidRDefault="00C54F26" w:rsidP="00C54F26">
      <w:pPr>
        <w:pStyle w:val="TextoNormal"/>
      </w:pPr>
    </w:p>
    <w:p w:rsidR="00C54F26" w:rsidRDefault="00C54F26" w:rsidP="00C54F26">
      <w:pPr>
        <w:pStyle w:val="TextoNormal"/>
      </w:pPr>
      <w:r w:rsidRPr="00C54F26">
        <w:rPr>
          <w:rStyle w:val="NumeroAFNegritaCaracter"/>
        </w:rPr>
        <w:t>6</w:t>
      </w:r>
      <w:r>
        <w:t>. Mediante escrito presentado el 26 de octubre de 2020 la demandante formuló sus alegaciones, reiterando lo expuesto en el otrosí de su demanda y trascribiendo como fundamento de su pretensión lo expresado en parte del ATC 21/2018, de 5 de marzo.</w:t>
      </w:r>
    </w:p>
    <w:p w:rsidR="00C54F26" w:rsidRDefault="00C54F26" w:rsidP="00C54F26">
      <w:pPr>
        <w:pStyle w:val="TextoNormal"/>
      </w:pPr>
    </w:p>
    <w:p w:rsidR="00C54F26" w:rsidRDefault="00C54F26" w:rsidP="00C54F26">
      <w:pPr>
        <w:pStyle w:val="TextoNormal"/>
      </w:pPr>
      <w:r w:rsidRPr="00C54F26">
        <w:rPr>
          <w:rStyle w:val="NumeroAFNegritaCaracter"/>
        </w:rPr>
        <w:t>7</w:t>
      </w:r>
      <w:r>
        <w:t>. En escrito registrado el 5 de noviembre de 2020, el Ministerio Fiscal se ha opuesto a la pretendida suspensión del procedimiento de ejecución hipotecaria, interesando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el demandante no explicita razón alguna que permita afirmar que la continuación del procedimiento judicial, incluso con desplazamiento posesorio, provoque un perjuicio determinante de la pérdida de finalidad del recurso de amparo. En tal medida, consideran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 de la entidad demandante.</w:t>
      </w:r>
    </w:p>
    <w:p w:rsidR="00C54F26" w:rsidRDefault="00C54F26" w:rsidP="00C54F26">
      <w:pPr>
        <w:pStyle w:val="TextoNormal"/>
      </w:pPr>
    </w:p>
    <w:p w:rsidR="00C54F26" w:rsidRDefault="00C54F26" w:rsidP="00C54F26">
      <w:pPr>
        <w:pStyle w:val="TextoNormal"/>
      </w:pPr>
      <w:r w:rsidRPr="00C54F26">
        <w:rPr>
          <w:rStyle w:val="NumeroAFNegritaCaracter"/>
        </w:rPr>
        <w:t>8</w:t>
      </w:r>
      <w:r>
        <w:t>. Habiéndose personado en el proceso de amparo la procuradora de los tribunales doña Maria Claudia Munteanu, en nombre y representación de la entidad Pera Assets Designated Activity Company, que ha sucedido a la entidad inicialmente demandante (Banco de Sabadell), se le concedió un plazo de tres días para que formulara las alegaciones que, en relación con la petición de suspensión, tuviera por convenientes. El escrito de alegaciones fue presentado el pasado 4 de enero de 2021: en él se propugna la desestimación de la petición de suspensión dada la vaguedad de la petición formulada, la mala fe procesal de la demandante de amparo y la ausencia de un principio de prueba sobre el perjuicio alegado y del ofrecimiento de caución o fianza suficiente para garantizar la suspensión que se solicita.</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373-2018, seguido en el Juzgado de Primera Instancia e Instrucción núm. 4 de Lorca.</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w:t>
      </w:r>
      <w:r>
        <w:lastRenderedPageBreak/>
        <w:t>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00C54F26" w:rsidRDefault="00C54F26" w:rsidP="00C54F26">
      <w:pPr>
        <w:pStyle w:val="TextoNormal"/>
      </w:pPr>
    </w:p>
    <w:p w:rsidR="00C54F26" w:rsidRDefault="00C54F26" w:rsidP="00C54F26">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54F26" w:rsidRDefault="00C54F26" w:rsidP="00C54F26">
      <w:pPr>
        <w:pStyle w:val="TextoNormal"/>
      </w:pPr>
    </w:p>
    <w:p w:rsidR="00C54F26" w:rsidRDefault="00C54F26" w:rsidP="00C54F26">
      <w:pPr>
        <w:pStyle w:val="TextoNormal"/>
      </w:pPr>
      <w:r>
        <w:t>Interesa subrayar que existe una consolidada doctrina constitucional, de la que son buena muestra, entre otros muchos, los AATC 220/2008, de 14 de julio, FJ 2, y 64/2009, de 23 de febrero, FJ 2, o los más recientes AATC 56/2013, de 13 de febrero, FJ 2; 74/2013, de 8 de abril, FJ 2; 152/2013, de 8 de julio, FJ 2; 37/2014, de 11 de marzo, FJ 2; 282/2014, de 17 de noviembre, FJ 4, y 59/2015, de 16 de marzo, FJ 2, que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54F26" w:rsidRDefault="00C54F26" w:rsidP="00C54F26">
      <w:pPr>
        <w:pStyle w:val="TextoNormal"/>
      </w:pPr>
    </w:p>
    <w:p w:rsidR="00C54F26" w:rsidRDefault="00C54F26" w:rsidP="00C54F26">
      <w:pPr>
        <w:pStyle w:val="TextoNormal"/>
      </w:pPr>
      <w:r w:rsidRPr="00C54F26">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C54F26" w:rsidRDefault="00C54F26" w:rsidP="00C54F26">
      <w:pPr>
        <w:pStyle w:val="TextoNormal"/>
      </w:pPr>
    </w:p>
    <w:p w:rsidR="00C54F26" w:rsidRDefault="00C54F26" w:rsidP="00C54F26">
      <w:pPr>
        <w:pStyle w:val="TextoNormal"/>
      </w:pPr>
      <w:r>
        <w:t>Al igual que en procesos de amparo precedentes (AATC 81/2019, de 15 de julio; 148/2019, 150/2019, 155/2019 y 156/2019, de 25 de noviembre; y AATC 36/2020, 47/2020, 81/2020, 123/2020, 137/2020, 141/2020 y 142/2020),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C54F26" w:rsidRDefault="00C54F26" w:rsidP="00C54F26">
      <w:pPr>
        <w:pStyle w:val="TextoNormal"/>
      </w:pPr>
    </w:p>
    <w:p w:rsidR="00C54F26" w:rsidRDefault="00C54F26" w:rsidP="00C54F26">
      <w:pPr>
        <w:pStyle w:val="TextoNormal"/>
      </w:pPr>
      <w:r>
        <w:lastRenderedPageBreak/>
        <w:t>Por el contrario, en línea con las recientes resoluciones sobre suspensión que acaban de ser citadas, la Sección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00C54F26" w:rsidRDefault="00C54F26" w:rsidP="00C54F26">
      <w:pPr>
        <w:pStyle w:val="TextoNormal"/>
      </w:pPr>
    </w:p>
    <w:p w:rsidR="00C54F26" w:rsidRDefault="00C54F26" w:rsidP="00C54F26">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C54F26" w:rsidRDefault="00C54F26" w:rsidP="00C54F26">
      <w:pPr>
        <w:pStyle w:val="TextoNormal"/>
      </w:pPr>
    </w:p>
    <w:p w:rsidR="00C54F26" w:rsidRDefault="00C54F26" w:rsidP="00C54F26">
      <w:pPr>
        <w:pStyle w:val="TextoNormal"/>
      </w:pPr>
      <w:r w:rsidRPr="00C54F26">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Denegar la suspensión cautelar solicitada del procedimiento de ejecución hipotecaria núm. 373-2018, seguido en el Juzgado de Primera Instancia e Instrucción núm. 4 de Lorca.</w:t>
      </w:r>
    </w:p>
    <w:p w:rsidR="00C54F26" w:rsidRDefault="00C54F26" w:rsidP="00C54F26">
      <w:pPr>
        <w:pStyle w:val="TextoNormal"/>
      </w:pPr>
    </w:p>
    <w:p w:rsidR="00C54F26" w:rsidRDefault="00C54F26" w:rsidP="00C54F26">
      <w:pPr>
        <w:pStyle w:val="TextoNormal"/>
      </w:pPr>
      <w:r>
        <w:t>2º Ordenar la anotación preventiva de la presente demanda de amparo en el registro de la propiedad, a cuyo efecto el referido juzgado ha de expedir el mandamiento oportuno para que pueda practicarse la misma en relación con el inmueble a que se refieren las presentes actuaciones.</w:t>
      </w:r>
    </w:p>
    <w:p w:rsidR="00C54F26" w:rsidRDefault="00C54F26" w:rsidP="00C54F26">
      <w:pPr>
        <w:pStyle w:val="TextoNormal"/>
      </w:pPr>
    </w:p>
    <w:p w:rsidR="00C54F26" w:rsidRDefault="00C54F26" w:rsidP="00C54F26">
      <w:pPr>
        <w:pStyle w:val="TextoNormal"/>
      </w:pPr>
      <w:r>
        <w:t>Madrid, a quince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3" w:name="AUTO_2021_12"/>
      <w:r>
        <w:lastRenderedPageBreak/>
        <w:t>AUTO 12/2021, de 15 de febrero de 2021</w:t>
      </w:r>
    </w:p>
    <w:bookmarkEnd w:id="153"/>
    <w:p w:rsidR="00C54F26" w:rsidRDefault="00C54F26" w:rsidP="00C54F26">
      <w:pPr>
        <w:pStyle w:val="TtuloResolucin"/>
      </w:pPr>
      <w:r>
        <w:t>Sala Primera</w:t>
      </w:r>
    </w:p>
    <w:p w:rsidR="00C54F26" w:rsidRDefault="00C54F26" w:rsidP="00C54F26">
      <w:pPr>
        <w:pStyle w:val="TextoNormalCentrado"/>
      </w:pPr>
      <w:r>
        <w:t>ECLI:ES:TC:2021:12A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y ordena la anotación preventiva de la demanda en el recurso de amparo 7579-2019, promovido por Euroinversiones Inmobiliarias Costa Sur, S.L.,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30 de diciembre de 2019, la entidad Euroinversiones Inmobiliarias Costa Sur, S.L., representada por la procuradora de los tribunales doña Blanca Berriatua Horta y bajo la dirección del letrado don Marcelino Gilabert García, interpuso recurso de amparo contra los autos de 20 de noviembre de 2018 y de 11 de septiembre de 2019, dictados por el Juzgado de Primera Instancia e Instrucción núm. 4 de Lorca, en el procedimiento de ejecución hipotecaria núm. 362-2018, por los que, respectivamente, se inadmitió por extemporánea la oposición a la ejecución hipotecaria y se confirmó esta última decisión al desestimarse el recurso de reposición interpuesto frente a ella.</w:t>
      </w:r>
    </w:p>
    <w:p w:rsidR="00C54F26" w:rsidRDefault="00C54F26" w:rsidP="00C54F26">
      <w:pPr>
        <w:pStyle w:val="TextoNormal"/>
      </w:pPr>
    </w:p>
    <w:p w:rsidR="00C54F26" w:rsidRDefault="00C54F26" w:rsidP="00C54F26">
      <w:pPr>
        <w:pStyle w:val="TextoNormal"/>
      </w:pPr>
      <w:r w:rsidRPr="00C54F26">
        <w:rPr>
          <w:rStyle w:val="NumeroAFNegritaCaracter"/>
        </w:rPr>
        <w:t>2</w:t>
      </w:r>
      <w:r>
        <w:t>. Los antecedentes relevantes para resolver la pretensión planteada son, en síntesis, los siguientes:</w:t>
      </w:r>
    </w:p>
    <w:p w:rsidR="00C54F26" w:rsidRDefault="00C54F26" w:rsidP="00C54F26">
      <w:pPr>
        <w:pStyle w:val="TextoNormal"/>
      </w:pPr>
    </w:p>
    <w:p w:rsidR="00C54F26" w:rsidRDefault="00C54F26" w:rsidP="00C54F26">
      <w:pPr>
        <w:pStyle w:val="TextoNormal"/>
      </w:pPr>
      <w:r>
        <w:t>a) En el Juzgado de Primera Instancia e Instrucción núm. 4 de Lorca se sigue procedimiento de ejecución hipotecaria núm. 362-2018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43.433 del registro de la propiedad núm. 3 de Lorca.</w:t>
      </w:r>
    </w:p>
    <w:p w:rsidR="00C54F26" w:rsidRDefault="00C54F26" w:rsidP="00C54F26">
      <w:pPr>
        <w:pStyle w:val="TextoNormal"/>
      </w:pPr>
    </w:p>
    <w:p w:rsidR="00C54F26" w:rsidRDefault="00C54F26" w:rsidP="00C54F26">
      <w:pPr>
        <w:pStyle w:val="TextoNormal"/>
      </w:pPr>
      <w:r>
        <w:t>b) Por auto de 26 de junio de 2018, se acordó despachar ejecución frente las sociedades demandadas por la cantidad de 8199,12 € de principal y 2459,73 € como intereses y costas presupuestados. El servicio de notificaciones de la Fábrica Nacional de Moneda y Timbre remitió a la demandante de amparo, a través de la dirección electrónica habilitada, requerimiento y notificación del auto el día 3 de julio de 2018. En dicha comunicación se informa de que la notificación estaría disponible hasta el 18 de agosto del mismo año, accediendo la recurrente de amparo efectivamente a la página web y a la notificación dentro del plazo en que la misma se encontraba disponible, concretamente el 3 de agosto de 2018.</w:t>
      </w:r>
    </w:p>
    <w:p w:rsidR="00C54F26" w:rsidRDefault="00C54F26" w:rsidP="00C54F26">
      <w:pPr>
        <w:pStyle w:val="TextoNormal"/>
      </w:pPr>
    </w:p>
    <w:p w:rsidR="00C54F26" w:rsidRDefault="00C54F26" w:rsidP="00C54F26">
      <w:pPr>
        <w:pStyle w:val="TextoNormal"/>
      </w:pPr>
      <w:r>
        <w:lastRenderedPageBreak/>
        <w:t xml:space="preserve">c) La representación legal de Euroinversiones Inmobiliarias Costa Sur, S.L., presentó escrito de oposición a la ejecución despachada con fecha 31 de agosto de 2018. Por auto de 20 de noviembre de 2018 se acordó su inadmisión por considerar la pretensión extemporánea. </w:t>
      </w:r>
    </w:p>
    <w:p w:rsidR="00C54F26" w:rsidRDefault="00C54F26" w:rsidP="00C54F26">
      <w:pPr>
        <w:pStyle w:val="TextoNormal"/>
      </w:pPr>
    </w:p>
    <w:p w:rsidR="00C54F26" w:rsidRDefault="00C54F26" w:rsidP="00C54F26">
      <w:pPr>
        <w:pStyle w:val="TextoNormal"/>
      </w:pPr>
      <w:r>
        <w:t>d) La sociedad mercantil recurrente interpuso recurso de reposición contra el auto de inadmisión alegando, en síntesis, que las actuaciones de notificación y requerimiento habían de considerarse realizadas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vulnera, además de diversos preceptos de la Ley de enjuiciamiento civil (arts. 135, 152, 169 y 162), y el art. 24 CE. Tras su tramitación el recurso de reposición fue desestimado por auto de 11 de septiembre de 2019, notificándose el auto por Lexnet el 13 de noviembre de 2019.</w:t>
      </w:r>
    </w:p>
    <w:p w:rsidR="00C54F26" w:rsidRDefault="00C54F26" w:rsidP="00C54F26">
      <w:pPr>
        <w:pStyle w:val="TextoNormal"/>
      </w:pPr>
    </w:p>
    <w:p w:rsidR="00C54F26" w:rsidRDefault="00C54F26" w:rsidP="00C54F26">
      <w:pPr>
        <w:pStyle w:val="TextoNormal"/>
      </w:pPr>
      <w:r w:rsidRPr="00C54F26">
        <w:rPr>
          <w:rStyle w:val="NumeroAFNegritaCaracter"/>
        </w:rPr>
        <w:t>3</w:t>
      </w:r>
      <w:r>
        <w:t>. La demandante de amparo se queja en su recurso de la vulneración de su derecho a la tutela judicial efectiva sin indefensión (art. 24.1 CE), en su vertiente de acceso al proceso, al no haberse notificado personalmente una demanda de ejecución hipotecaria, otorgándose efectos de notificación a la remisión de un correo electrónico que carece de los requisitos procesales esenciales para ser considerado como tal.</w:t>
      </w:r>
    </w:p>
    <w:p w:rsidR="00C54F26" w:rsidRDefault="00C54F26" w:rsidP="00C54F26">
      <w:pPr>
        <w:pStyle w:val="TextoNormal"/>
      </w:pPr>
    </w:p>
    <w:p w:rsidR="00C54F26" w:rsidRDefault="00C54F26" w:rsidP="00C54F26">
      <w:pPr>
        <w:pStyle w:val="TextoNormal"/>
      </w:pPr>
      <w:r>
        <w:t>Entiende la mercantil recurrente en amparo que la interpretación ofrecida en el auto objeto de impugnación, eludiendo las garantías exigibles para las notificaciones de un proceso judicial y entendiendo que la recurrente tenía la obligación de comunicarse electrónicamente con la administración —incluso con la administración de justicia—,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Concluye la entidad recurrente afirmando que las resoluciones impugnadas no han dado cumplimiento a las exigencias constitucionales reconocidas para los actos de notificación procesal. Por último, se menciona en la demanda de amparo “la recentísima sentencia del Tribunal Constitucional STC 47/2019, de 8 de abril, que no solo confirma todo lo dicho hasta ahora sino que lo refuerza” y cuyos fundamentos jurídicos 2 y 3 reproduce en su totalidad.</w:t>
      </w:r>
    </w:p>
    <w:p w:rsidR="00C54F26" w:rsidRDefault="00C54F26" w:rsidP="00C54F26">
      <w:pPr>
        <w:pStyle w:val="TextoNormal"/>
      </w:pPr>
    </w:p>
    <w:p w:rsidR="00C54F26" w:rsidRDefault="00C54F26" w:rsidP="00C54F26">
      <w:pPr>
        <w:pStyle w:val="TextoNormal"/>
      </w:pPr>
      <w:r>
        <w:t>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C54F26" w:rsidRDefault="00C54F26" w:rsidP="00C54F26">
      <w:pPr>
        <w:pStyle w:val="TextoNormal"/>
      </w:pPr>
    </w:p>
    <w:p w:rsidR="00C54F26" w:rsidRDefault="00C54F26" w:rsidP="00C54F26">
      <w:pPr>
        <w:pStyle w:val="TextoNormal"/>
      </w:pPr>
      <w:r w:rsidRPr="00C54F26">
        <w:rPr>
          <w:rStyle w:val="NumeroAFNegritaCaracter"/>
        </w:rPr>
        <w:t>4</w:t>
      </w:r>
      <w:r>
        <w:t>. Por providencia de 15 de junio de 2020, se inadmitió a trámite el presente recurso de amparo. Tal decisión fue modificada por auto de 19 de noviembre de 2020, en que la Sección Segunda de este tribunal resolvió estimar el recurso de súplica planteado por el Ministerio Fiscal, y admitir a trámite el recurso de amparo, acordando asimismo la formación de la pieza separada para la tramitación del incidente de suspensión, concediendo el plazo común de tres días a la parte recurrente y al Ministerio Fiscal para que aleguen lo que estimen oportuno (art. 56 LOTC).</w:t>
      </w:r>
    </w:p>
    <w:p w:rsidR="00C54F26" w:rsidRDefault="00C54F26" w:rsidP="00C54F26">
      <w:pPr>
        <w:pStyle w:val="TextoNormal"/>
      </w:pPr>
    </w:p>
    <w:p w:rsidR="00C54F26" w:rsidRDefault="00C54F26" w:rsidP="00C54F26">
      <w:pPr>
        <w:pStyle w:val="TextoNormal"/>
      </w:pPr>
      <w:r>
        <w:t>Por diligencia de ordenación fechada el 25 de noviembre de 2020, se dirige comunicación al Juzgado de Primera Instancia e Instrucción núm. 4 de Lorca, a fin de que emplazase a quienes hubieran sido parte en el procedimiento de ejecución hipotecaria núm. 362-2018, excepto la parte recurrente en amparo, para que en el plazo de diez días pudieran comparecer en el recurso de amparo, si lo desean. En esta providencia no se reclaman las actuaciones por estar ya incorporadas al expediente.</w:t>
      </w:r>
    </w:p>
    <w:p w:rsidR="00C54F26" w:rsidRDefault="00C54F26" w:rsidP="00C54F26">
      <w:pPr>
        <w:pStyle w:val="TextoNormal"/>
      </w:pPr>
    </w:p>
    <w:p w:rsidR="00C54F26" w:rsidRDefault="00C54F26" w:rsidP="00C54F26">
      <w:pPr>
        <w:pStyle w:val="TextoNormal"/>
      </w:pPr>
      <w:r>
        <w:t>En la misma fecha se acuerda formar pieza separada de suspensión según el art. 56.1 LOTC, concediendo un plazo común de tres días al Ministerio Fiscal y a la demandante de amparo, para que formularan alegaciones en relación con la suspensión interesada.</w:t>
      </w:r>
    </w:p>
    <w:p w:rsidR="00C54F26" w:rsidRDefault="00C54F26" w:rsidP="00C54F26">
      <w:pPr>
        <w:pStyle w:val="TextoNormal"/>
      </w:pPr>
    </w:p>
    <w:p w:rsidR="00C54F26" w:rsidRDefault="00C54F26" w:rsidP="00C54F26">
      <w:pPr>
        <w:pStyle w:val="TextoNormal"/>
      </w:pPr>
      <w:r w:rsidRPr="00C54F26">
        <w:rPr>
          <w:rStyle w:val="NumeroAFNegritaCaracter"/>
        </w:rPr>
        <w:t>5</w:t>
      </w:r>
      <w:r>
        <w:t>. A través de escrito presentado el 9 de diciembre de 2020, la parte recurrente formuló sus alegaciones, reiterando lo dicho en el otrosí de su demanda, solicitando la suspensión de la ejecución del hipotecaria y trascribiendo parte de los AATC 21/2018, de 5 de marzo; 58/2018, de 4 de junio, y 117/2018, de 29 de octubre, que reconocen la posibilidad de suspender la ejecución hipotecaria una vez admitido a trámite el recurso de amparo. Sostiene la mercantil recurrente que de no adoptarse la medida de suspensión y de “seguir adelante la ejecución podría producirse la transmisión irrecuperable del dominio del bien inmueble, creando una situación difícilmente reversible que menoscabaría los fines del presente recurso de amparo”.</w:t>
      </w:r>
    </w:p>
    <w:p w:rsidR="00C54F26" w:rsidRDefault="00C54F26" w:rsidP="00C54F26">
      <w:pPr>
        <w:pStyle w:val="TextoNormal"/>
      </w:pPr>
    </w:p>
    <w:p w:rsidR="00C54F26" w:rsidRDefault="00C54F26" w:rsidP="00C54F26">
      <w:pPr>
        <w:pStyle w:val="TextoNormal"/>
      </w:pPr>
      <w:r w:rsidRPr="00C54F26">
        <w:rPr>
          <w:rStyle w:val="NumeroAFNegritaCaracter"/>
        </w:rPr>
        <w:t>6</w:t>
      </w:r>
      <w:r>
        <w:t>. El Ministerio Fiscal, en escrito registrado el 14 de diciembre de 2020, interesa que se acuerde la anotación preventiva de la demanda en el registro de la propiedad, aunque esta última medida no haya sido solicitada en el recurso de amparo, descartando la medida de suspensión del procedimiento ejecutivo. Tras exponer la doctrina de este tribunal sobre suspensión de resoluciones y actos impugnados (art. 56 LOTC), considera que la aplicación al caso de dicha doctrina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determinar la procedencia o no de la medida cautelar instada por la parte recurrente en amparo y dirigida frente al procedimiento de ejecución hipotecaria núm. 362-2018, seguido en el Juzgado de Primera Instancia e Instrucción núm. 4 de Lorca.</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w:t>
      </w:r>
      <w:r>
        <w:lastRenderedPageBreak/>
        <w:t>y cuando la suspensión no ocasione perturbación grave a un interés constitucionalmente protegido, ni a los derechos fundamentales o libertades de otra persona”.</w:t>
      </w:r>
    </w:p>
    <w:p w:rsidR="00C54F26" w:rsidRDefault="00C54F26" w:rsidP="00C54F26">
      <w:pPr>
        <w:pStyle w:val="TextoNormal"/>
      </w:pPr>
    </w:p>
    <w:p w:rsidR="00C54F26" w:rsidRDefault="00C54F26" w:rsidP="00C54F26">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C54F26" w:rsidRDefault="00C54F26" w:rsidP="00C54F26">
      <w:pPr>
        <w:pStyle w:val="TextoNormal"/>
      </w:pPr>
    </w:p>
    <w:p w:rsidR="00C54F26" w:rsidRDefault="00C54F26" w:rsidP="00C54F26">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C54F26" w:rsidRDefault="00C54F26" w:rsidP="00C54F26">
      <w:pPr>
        <w:pStyle w:val="TextoNormal"/>
      </w:pPr>
    </w:p>
    <w:p w:rsidR="00C54F26" w:rsidRDefault="00C54F26" w:rsidP="00C54F26">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C54F26" w:rsidRDefault="00C54F26" w:rsidP="00C54F26">
      <w:pPr>
        <w:pStyle w:val="TextoNormal"/>
      </w:pPr>
    </w:p>
    <w:p w:rsidR="00C54F26" w:rsidRDefault="00C54F26" w:rsidP="00C54F26">
      <w:pPr>
        <w:pStyle w:val="TextoNormal"/>
      </w:pPr>
      <w:r w:rsidRPr="00C54F26">
        <w:rPr>
          <w:rStyle w:val="NumeroAFNegritaCaracter"/>
        </w:rPr>
        <w:t>3</w:t>
      </w:r>
      <w:r>
        <w:t>. La aplicación al caso aquí planteado de la doctrina de la que se ha hecho mención permite concluir, de acuerdo con el Ministerio Fiscal, que resulta improcedente la suspensión solicitada y, por el contrario, es medida idónea la anotación preventiva de la demanda en el registro de la propiedad.</w:t>
      </w:r>
    </w:p>
    <w:p w:rsidR="00C54F26" w:rsidRDefault="00C54F26" w:rsidP="00C54F26">
      <w:pPr>
        <w:pStyle w:val="TextoNormal"/>
      </w:pPr>
    </w:p>
    <w:p w:rsidR="00C54F26" w:rsidRDefault="00C54F26" w:rsidP="00C54F26">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C54F26" w:rsidRDefault="00C54F26" w:rsidP="00C54F26">
      <w:pPr>
        <w:pStyle w:val="TextoNormal"/>
      </w:pPr>
    </w:p>
    <w:p w:rsidR="00C54F26" w:rsidRDefault="00C54F26" w:rsidP="00C54F26">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C54F26" w:rsidRDefault="00C54F26" w:rsidP="00C54F26">
      <w:pPr>
        <w:pStyle w:val="TextoNormal"/>
      </w:pPr>
    </w:p>
    <w:p w:rsidR="00C54F26" w:rsidRDefault="00C54F26" w:rsidP="00C54F26">
      <w:pPr>
        <w:pStyle w:val="TextoNormal"/>
      </w:pPr>
      <w:r>
        <w:t>Esta misma ha sido la solución acogida en varios autos que resuelven incidentes de ejecución de esta misma serie de recursos de amparo. Valgan como ejemplo, en relación con el mismo recurrente en amparo, los recientes AATC 163/2020 y 166/2020, de 14 de diciembre; 153/2020, 154/2020 y 155/2020, de 30 de noviembre; 137/2020, 141/2020 y 142/2020, de 16 de noviembre; 123/2020, de 19 de octubre; 103/2020 y 110/2020, de 21 de septiembre; 78 y 81/2020 de 20 de julio, y 51/2020, de 15 de junio.</w:t>
      </w:r>
    </w:p>
    <w:p w:rsidR="00C54F26" w:rsidRDefault="00C54F26" w:rsidP="00C54F26">
      <w:pPr>
        <w:pStyle w:val="TextoNormal"/>
      </w:pPr>
    </w:p>
    <w:p w:rsidR="00C54F26" w:rsidRDefault="00C54F26" w:rsidP="00C54F26">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C54F26" w:rsidRDefault="00C54F26" w:rsidP="00C54F26">
      <w:pPr>
        <w:pStyle w:val="TextoNormal"/>
      </w:pPr>
    </w:p>
    <w:p w:rsidR="00C54F26" w:rsidRDefault="00C54F26" w:rsidP="00C54F26">
      <w:pPr>
        <w:pStyle w:val="TextoNormal"/>
      </w:pPr>
      <w:r w:rsidRPr="00C54F26">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Denegar la suspensión cautelar solicitada del procedimiento de ejecución hipotecaria núm. 362-2018, seguido en el Juzgado de Primera Instancia e Instrucción núm. 4 de Lorca.</w:t>
      </w:r>
    </w:p>
    <w:p w:rsidR="00C54F26" w:rsidRDefault="00C54F26" w:rsidP="00C54F26">
      <w:pPr>
        <w:pStyle w:val="TextoNormal"/>
      </w:pPr>
    </w:p>
    <w:p w:rsidR="00C54F26" w:rsidRDefault="00C54F26" w:rsidP="00C54F26">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C54F26" w:rsidRDefault="00C54F26" w:rsidP="00C54F26">
      <w:pPr>
        <w:pStyle w:val="TextoNormal"/>
      </w:pPr>
    </w:p>
    <w:p w:rsidR="00C54F26" w:rsidRDefault="00C54F26" w:rsidP="00C54F26">
      <w:pPr>
        <w:pStyle w:val="TextoNormal"/>
      </w:pPr>
      <w:r>
        <w:t>Madrid, a quince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4" w:name="AUTO_2021_13"/>
      <w:r>
        <w:lastRenderedPageBreak/>
        <w:t>AUTO 13/2021, de 15 de febrero de 2021</w:t>
      </w:r>
    </w:p>
    <w:bookmarkEnd w:id="154"/>
    <w:p w:rsidR="00C54F26" w:rsidRDefault="00C54F26" w:rsidP="00C54F26">
      <w:pPr>
        <w:pStyle w:val="TtuloResolucin"/>
      </w:pPr>
      <w:r>
        <w:t>Sala Primera</w:t>
      </w:r>
    </w:p>
    <w:p w:rsidR="00C54F26" w:rsidRDefault="00C54F26" w:rsidP="00C54F26">
      <w:pPr>
        <w:pStyle w:val="TextoNormalCentrado"/>
      </w:pPr>
      <w:r>
        <w:t>ECLI:ES:TC:2021:13A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Acuerda la acumulación del recurso de amparo 693-2020 al 691-2020, promovidos ambos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3 de febrero de 2020, la entidad Euroinversiones Inmobiliarias Costa Sur, S.L., representada por la procuradora de los tribunales doña Blanca Berriatua Horta y bajo la dirección de la letrada doña Anju Nirmala Benavent Rodríguez, interpuso recurso de amparo contra los autos dictados por el Juzgado de Primera Instancia e Instrucción núm. 4 de Lorca en el procedimiento de ejecución hipotecaria núm. 359-2018 en fechas 14 de noviembre de 2018 y 12 de diciembre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691-2020, que fue admitido a trámite y cuyo conocimiento correspondió a la Sala Primera de este tribunal.</w:t>
      </w:r>
    </w:p>
    <w:p w:rsidR="00C54F26" w:rsidRDefault="00C54F26" w:rsidP="00C54F26">
      <w:pPr>
        <w:pStyle w:val="TextoNormal"/>
      </w:pPr>
    </w:p>
    <w:p w:rsidR="00C54F26" w:rsidRDefault="00C54F26" w:rsidP="00C54F26">
      <w:pPr>
        <w:pStyle w:val="TextoNormal"/>
      </w:pPr>
      <w:r w:rsidRPr="00C54F26">
        <w:rPr>
          <w:rStyle w:val="NumeroAFNegritaCaracter"/>
        </w:rPr>
        <w:t>2</w:t>
      </w:r>
      <w:r>
        <w:t>. Por escrito registrado en este tribunal el 3 de febrero de 2020,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4 de Lorca en el procedimiento de ejecución hipotecaria núm. 359-2018 en fechas 14 de noviembre de 2018 y 12 de diciembre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693-2020 que fue también admitido a trámite y cuyo conocimiento correspondió a la Sala Primera de este tribunal.</w:t>
      </w:r>
    </w:p>
    <w:p w:rsidR="00C54F26" w:rsidRDefault="00C54F26" w:rsidP="00C54F26">
      <w:pPr>
        <w:pStyle w:val="TextoNormal"/>
      </w:pPr>
    </w:p>
    <w:p w:rsidR="00C54F26" w:rsidRDefault="00C54F26" w:rsidP="00C54F26">
      <w:pPr>
        <w:pStyle w:val="TextoNormal"/>
      </w:pPr>
      <w:r w:rsidRPr="00C54F26">
        <w:rPr>
          <w:rStyle w:val="NumeroAFNegritaCaracter"/>
        </w:rPr>
        <w:t>3</w:t>
      </w:r>
      <w:r>
        <w:t>. Por diligencias de ordenación de fechas 14 de septiembre y 12 de noviembre de 2020 se tiene por personada y parte en dichos recursos a la entidad Pera Assets Designed Activity Company, actuando como sucesora procesal del banco ejecutante.</w:t>
      </w:r>
    </w:p>
    <w:p w:rsidR="00C54F26" w:rsidRDefault="00C54F26" w:rsidP="00C54F26">
      <w:pPr>
        <w:pStyle w:val="TextoNormal"/>
      </w:pPr>
    </w:p>
    <w:p w:rsidR="00C54F26" w:rsidRDefault="00C54F26" w:rsidP="00C54F26">
      <w:pPr>
        <w:pStyle w:val="TextoNormal"/>
      </w:pPr>
      <w:r w:rsidRPr="00C54F26">
        <w:rPr>
          <w:rStyle w:val="NumeroAFNegritaCaracter"/>
        </w:rPr>
        <w:t>4</w:t>
      </w:r>
      <w:r>
        <w:t>. Después de que los referidos recursos de amparo quedaron conclusos para sentencia, por diligencia de ordenación de 29 de enero de 2021 se concedió audiencia al Ministerio Fiscal y a las partes por plazo común de diez días por si procediera su acumulación, de conformidad con el art. 83 de la Ley Orgánica del Tribunal Constitucional (LOTC).</w:t>
      </w:r>
    </w:p>
    <w:p w:rsidR="00C54F26" w:rsidRDefault="00C54F26" w:rsidP="00C54F26">
      <w:pPr>
        <w:pStyle w:val="TextoNormal"/>
      </w:pPr>
    </w:p>
    <w:p w:rsidR="00C54F26" w:rsidRDefault="00C54F26" w:rsidP="00C54F26">
      <w:pPr>
        <w:pStyle w:val="TextoNormal"/>
      </w:pPr>
      <w:r w:rsidRPr="00C54F26">
        <w:rPr>
          <w:rStyle w:val="NumeroAFNegritaCaracter"/>
        </w:rPr>
        <w:t>5</w:t>
      </w:r>
      <w:r>
        <w:t>. El Ministerio Fiscal, mediante escritos registrados el 26 de enero de 2021, manifestó su conformidad a la acumulación. Las partes demandantes de amparo declararon su voluntad de dejar la decisión a criterio del tribunal y la sucesora procesal del banco ejecutante manifestó su no oposición a la acumulación.</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00C54F26" w:rsidRDefault="00C54F26" w:rsidP="00C54F26">
      <w:pPr>
        <w:pStyle w:val="TextoNormal"/>
      </w:pPr>
    </w:p>
    <w:p w:rsidR="00C54F26" w:rsidRDefault="00C54F26" w:rsidP="00C54F26">
      <w:pPr>
        <w:pStyle w:val="TextoNormal"/>
      </w:pPr>
      <w:r>
        <w:t>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00C54F26" w:rsidRDefault="00C54F26" w:rsidP="00C54F26">
      <w:pPr>
        <w:pStyle w:val="TextoNormal"/>
      </w:pPr>
    </w:p>
    <w:p w:rsidR="00C54F26" w:rsidRDefault="00C54F26" w:rsidP="00C54F26">
      <w:pPr>
        <w:pStyle w:val="TextoNormal"/>
      </w:pPr>
      <w:r>
        <w:t>Ello justifica, dada la conexión entre los recursos de amparo registrados con los números 691-2020 y 693-2020, la acumulación del recurso de amparo con número de registro más moderno al más antiguo para su resolución conjunta (art. 84.1 de la Ley de Enjuiciamiento Civil, en relación con el art. 80 LOTC).</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Acumular el recurso de amparo registrado con el número 693-2020 al recurso de amparo registrado con el número 691-2020. Dichos recursos seguirán así una misma tramitación hasta su resolución, también única, por esta Sala, desde el común estado procesal en que se hallan, pendientes de señalamiento para la deliberación y votación de la sentencia.</w:t>
      </w:r>
    </w:p>
    <w:p w:rsidR="00C54F26" w:rsidRDefault="00C54F26" w:rsidP="00C54F26">
      <w:pPr>
        <w:pStyle w:val="TextoNormal"/>
      </w:pPr>
    </w:p>
    <w:p w:rsidR="00C54F26" w:rsidRDefault="00C54F26" w:rsidP="00C54F26">
      <w:pPr>
        <w:pStyle w:val="TextoNormal"/>
      </w:pPr>
      <w:r>
        <w:t>Madrid, a quince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5" w:name="AUTO_2021_14"/>
      <w:r>
        <w:lastRenderedPageBreak/>
        <w:t>AUTO 14/2021, de 15 de febrero de 2021</w:t>
      </w:r>
    </w:p>
    <w:bookmarkEnd w:id="155"/>
    <w:p w:rsidR="00C54F26" w:rsidRDefault="00C54F26" w:rsidP="00C54F26">
      <w:pPr>
        <w:pStyle w:val="TtuloResolucin"/>
      </w:pPr>
      <w:r>
        <w:t>Sala Primera</w:t>
      </w:r>
    </w:p>
    <w:p w:rsidR="00C54F26" w:rsidRDefault="00C54F26" w:rsidP="00C54F26">
      <w:pPr>
        <w:pStyle w:val="TextoNormalCentrado"/>
      </w:pPr>
      <w:r>
        <w:t>ECLI:ES:TC:2021:14A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en el recurso de amparo 3199-2020, promovido por doña Iris Martín Varela, en litigio social.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15 de julio de 2020, doña Iris Martín Varela, representada por el procurador de los tribunales don Avelino Calviño Gómez, con asistencia letrada de don Pedro Blanco Lobeiras, interpuso recurso de amparo contra la sentencia del Juzgado de lo Social núm. 2 de Lugo de 10 de enero de 2020 dictada en proceso de conciliación de la vida personal, familiar y laboral, y contra el auto del mismo órgano judicial de 4 de junio de 2020 por el que se desestimó el incidente de nulidad de actuaciones interpuesto contra la referida sentencia.</w:t>
      </w:r>
    </w:p>
    <w:p w:rsidR="00C54F26" w:rsidRDefault="00C54F26" w:rsidP="00C54F26">
      <w:pPr>
        <w:pStyle w:val="TextoNormal"/>
      </w:pPr>
    </w:p>
    <w:p w:rsidR="00C54F26" w:rsidRDefault="00C54F26" w:rsidP="00C54F26">
      <w:pPr>
        <w:pStyle w:val="TextoNormal"/>
      </w:pPr>
      <w:r w:rsidRPr="00C54F26">
        <w:rPr>
          <w:rStyle w:val="NumeroAFNegritaCaracter"/>
        </w:rPr>
        <w:t>2</w:t>
      </w:r>
      <w:r>
        <w:t>. Son antecedentes procesales relevantes para resolver la pretensión planteada los siguientes:</w:t>
      </w:r>
    </w:p>
    <w:p w:rsidR="00C54F26" w:rsidRDefault="00C54F26" w:rsidP="00C54F26">
      <w:pPr>
        <w:pStyle w:val="TextoNormal"/>
      </w:pPr>
    </w:p>
    <w:p w:rsidR="00C54F26" w:rsidRDefault="00C54F26" w:rsidP="00C54F26">
      <w:pPr>
        <w:pStyle w:val="TextoNormal"/>
      </w:pPr>
      <w:r>
        <w:t>a) La recurrente solicitó reducción de jornada por cuidado de hijos en el año 2018. La empresa accedió a su solicitud y le comunicó el 31 de agosto de 2018 que su jornada de trabajo a partir del 11 de septiembre de 2018 se desarrollaría en horario de 8:30 a 14:30 horas de lunes a viernes. El 26 de septiembre de 2018 la recurrente comunica a la empresa su decisión de no realizar más guardias los fines de semana, decisión que es aceptada por la empresa.</w:t>
      </w:r>
    </w:p>
    <w:p w:rsidR="00C54F26" w:rsidRDefault="00C54F26" w:rsidP="00C54F26">
      <w:pPr>
        <w:pStyle w:val="TextoNormal"/>
      </w:pPr>
    </w:p>
    <w:p w:rsidR="00C54F26" w:rsidRDefault="00C54F26" w:rsidP="00C54F26">
      <w:pPr>
        <w:pStyle w:val="TextoNormal"/>
      </w:pPr>
      <w:r>
        <w:t>b) El 30 de agosto de 2019 la empresa comunica a la recurrente que, por razones de organización del servicio de guardia del laboratorio al que pertenece, procede a distribuir irregularmente su jornada de trabajo. En virtud de dicha distribución, la trabajadora deberá prestar servicios durante una hora y media los sábados cuando sea requerida por necesidades de producción y organización de la planta. Ese servicio deberá prestarse entre las 12:00 y las 13:30 horas. En contraprestación, el día laborable siguiente a la prestación de servicio en sábado, la trabajadora no tendrá que acudir a su puesto de trabajo hasta las 10:00 horas; es decir, una hora y media más tarde de su hora de entrada (8:30 horas), todo ello para evitar un exceso de jornada.</w:t>
      </w:r>
    </w:p>
    <w:p w:rsidR="00C54F26" w:rsidRDefault="00C54F26" w:rsidP="00C54F26">
      <w:pPr>
        <w:pStyle w:val="TextoNormal"/>
      </w:pPr>
    </w:p>
    <w:p w:rsidR="00C54F26" w:rsidRDefault="00C54F26" w:rsidP="00C54F26">
      <w:pPr>
        <w:pStyle w:val="TextoNormal"/>
      </w:pPr>
      <w:r>
        <w:lastRenderedPageBreak/>
        <w:t>c) El 5 de septiembre de 2019, la ahora recurrente en amparo remitió carta a la empresa en la que se oponía a la distribución irregular de la jornada propuesta y solicitaba que se mantuviera la reducción de jornada en horario de 8:30 a 14:30 horas de lunes a viernes.</w:t>
      </w:r>
    </w:p>
    <w:p w:rsidR="00C54F26" w:rsidRDefault="00C54F26" w:rsidP="00C54F26">
      <w:pPr>
        <w:pStyle w:val="TextoNormal"/>
      </w:pPr>
    </w:p>
    <w:p w:rsidR="00C54F26" w:rsidRDefault="00C54F26" w:rsidP="00C54F26">
      <w:pPr>
        <w:pStyle w:val="TextoNormal"/>
      </w:pPr>
      <w:r>
        <w:t>d) Ante la negativa de la empresa, la trabajadora interpuso la correspondiente demanda solicitando que se la exonerase de prestar servicios los sábados. La demanda fue desestimada por sentencia del Juzgado de lo Social núm. 2 de Lugo de 10 de enero de 2020. Apreció el juzgado que el procedimiento carecía de objeto, en la medida en que no existía negativa ni falta de conformidad del empresario con la reducción jornada solicitada por la actora en el año 2018, y que, lo cierto, es que la demandada había accedido a la solicitud formulada por la actora y le había comunicado que su jornada se desarrollaría de 8:30 a 14:30 horas de lunes a viernes, reduciéndose su jornada laboral de cuarenta horas semanales a 30 horas. Y, en este sentido, precisó que habiendo comunicado la actora su decisión de no realizar guardias los fines de semana, tal decisión fue aceptada por la empresa. Después, se indica, que no obstante lo anterior, en el año 2019 esa empresa se vio obligada a distribuir la jornada de la actora de forma irregular por razones de organización del servicio de guardia del laboratorio al que pertenece la actora. Y se le indica que para respetar la jornada reducida, cuando trabaje en sábado se le retrasará la hora de entrada el lunes siguiente. Considera el juzgado que la decisión adoptada por la empresa se encontraba amparada en el apartado 8 del Pacto de articulación de las condiciones de trabajo de los trabajadores de la planta de Xove, que facultaba a la empresa para a organizar el trabajo de un departamento mediante la modificación de horario o la flexibilización de la jornada si en un determinado departamento no hubiese suficientes personas adscritas al servicio de guardia. Se añade que, como constaba en las actuaciones, la decisión de la empresa de distribuir la jornada laboral de la actora estaba motivada en el deseo del señor Martín, compañero de departamento de la actora, de no seguir realizando guardias los fines de semana, y que la empresa se había visto obligada a reorganizar el servicio de guardias dado que solo había una trabajadora adscrita voluntariamente al mismo, lo que determina la imposibilidad de realizar dos guardias seguidas, salvo que lo acepten los trabajadores voluntariamente. Dicho todo esto, señala la sentencia que la “decisión adoptada por la empresa de modificar el horario de la actora y distribuir de forma irregular su jornada laboral debe ser tratado en un procedimiento distinto (art. 138 LJS), puesto que en el supuesto litigioso no se ha denegado a la actora la solicitud de reducción de jornada formulado en el año 2018 […] La actora nunca ha solicitado la concreción horaria al amparo de la normativa vigente, puesto que fue la empresa por medio de escrito de 31 de agosto la que comunica a la actora que prestará sus servicios en horario de 8.30 a 14.30 de lunes a viernes, en respuesta a la solicitud de reducción de jornada formulada y sin perjuicio de la adscripción voluntaria al servicio de guardias de fin de semana”.</w:t>
      </w:r>
    </w:p>
    <w:p w:rsidR="00C54F26" w:rsidRDefault="00C54F26" w:rsidP="00C54F26">
      <w:pPr>
        <w:pStyle w:val="TextoNormal"/>
      </w:pPr>
    </w:p>
    <w:p w:rsidR="00C54F26" w:rsidRDefault="00C54F26" w:rsidP="00C54F26">
      <w:pPr>
        <w:pStyle w:val="TextoNormal"/>
      </w:pPr>
      <w:r>
        <w:t>e) Frente a la anterior sentencia, la actora promovió incidente de nulidad de actuaciones, aduciendo que infringía el art. 102.2 de la Ley reguladora de la jurisdicción social (LJS) y el art. 24.1 CE la apreciación de la inadecuación del procedimiento. Aduce que, con ello, se le denegó una resolución sobre el fondo, y, además, consecuentemente, también se vulneraron los arts. 14 y 39 CE, pues al no entrar en el fondo del asunto no se dio amparo a los derechos fundamentales que la actora denuncia en su demanda. Se queja, asimismo, con cita de la STC 3/2007, de que el juzgado no resolvió desde la perspectiva constitucional la controversia planteada. Por todo ello, solicita la declaración de nulidad de actuaciones, adaptando el proceso a la modalidad prevista en el art. 138 LJS.</w:t>
      </w:r>
    </w:p>
    <w:p w:rsidR="00C54F26" w:rsidRDefault="00C54F26" w:rsidP="00C54F26">
      <w:pPr>
        <w:pStyle w:val="TextoNormal"/>
      </w:pPr>
    </w:p>
    <w:p w:rsidR="00C54F26" w:rsidRDefault="00C54F26" w:rsidP="00C54F26">
      <w:pPr>
        <w:pStyle w:val="TextoNormal"/>
      </w:pPr>
      <w:r>
        <w:lastRenderedPageBreak/>
        <w:t>f) El incidente de nulidad de actuaciones fue desestimado mediante auto del Juzgado de lo Social de 4 de junio de 2020. Se niega por el juzgado que no hubiera obtenido la parte actora una resolución sobre el fondo, simplemente por haber apreciado la inadecuación del procedimiento. De la lectura del fundamento de derecho tercero de la sentencia se evidenciaba que la afirmación efectuada por la actora no era correcta, porque si se hubiese inadmitido la demanda de plano por inadecuación del procedimiento no se hubiera entrado a valorar la prueba y afirmado que la modificación realizada por la entidad demandada en el horario de la actora se encontraba justificada por razones organizativas y amparadas en el apartado 8 del Pacto de articulación de las condiciones de trabajo de los trabajadores de la planta de Xove. La sentencia señaló que la reducción de jornada se siguió respetando cuando se comunicó a la actora que tendría que realizar guardias los fines de semana, al descansar en el laborable siguiente, careciendo, por lo tanto de objeto el procedimiento instado de conciliación de la vida familiar y laboral. Pero se añade que, a pesar de entender que el procedimiento carecía de objeto, se entró en el fondo (posible modificación sustancial de las condiciones de trabajo, puesto que la decisión afectaba al horario de la trabajadora), concluyéndose que la distribución irregular de la jornada se encontraba justificada por razones organizativas relativas al servicio de guardia y amparada en el citado pacto de condiciones de trabajo. Se niega después que la resolución incurriera en discriminación por razón de sexo, ni que se hubiera obviado el mandato constitucional de protección de la familia y de la infancia como sostenía la actora. “No se han vulnerado dichos preceptos porque, como en la misma resolución se indica, no se trata de un supuesto de los previstos en el art. 139 LJS puesto que no ha habido negativa o falta de conformidad del empresario respecto a la solicitud de reducción de jornada de la trabajadora, se trata de un supuesto de modificación sustancial de las condiciones laborales por lo que los términos del debate no son los que pretenda la actora; si no que lo que hay que examinar es si la modificación operada se ajusta a lo previsto en el art. 41 ET, análisis que se ha realizado en la sentencia de 10 de enero de 2020”.</w:t>
      </w:r>
    </w:p>
    <w:p w:rsidR="00C54F26" w:rsidRDefault="00C54F26" w:rsidP="00C54F26">
      <w:pPr>
        <w:pStyle w:val="TextoNormal"/>
      </w:pPr>
    </w:p>
    <w:p w:rsidR="00C54F26" w:rsidRDefault="00C54F26" w:rsidP="00C54F26">
      <w:pPr>
        <w:pStyle w:val="TextoNormal"/>
      </w:pPr>
      <w:r w:rsidRPr="00C54F26">
        <w:rPr>
          <w:rStyle w:val="NumeroAFNegritaCaracter"/>
        </w:rPr>
        <w:t>3</w:t>
      </w:r>
      <w:r>
        <w:t>. En la demanda de amparo se alega vulneración del derecho a la igualdad y no discriminación por razón de sexo (art. 14 CE) y del derecho a la tutela judicial efectiva (art. 24 CE).</w:t>
      </w:r>
    </w:p>
    <w:p w:rsidR="00C54F26" w:rsidRDefault="00C54F26" w:rsidP="00C54F26">
      <w:pPr>
        <w:pStyle w:val="TextoNormal"/>
      </w:pPr>
    </w:p>
    <w:p w:rsidR="00C54F26" w:rsidRDefault="00C54F26" w:rsidP="00C54F26">
      <w:pPr>
        <w:pStyle w:val="TextoNormal"/>
      </w:pPr>
      <w:r>
        <w:t xml:space="preserve">Tras referirse a la normativa nacional y europea que pretende garantizar la igualdad de trato entre mujeres y hombres, y proscribir la discriminación por razón de sexo, indica que la sentencia impugnada se ampara en un “acuerdo de empresa”, para avalar una solución basada en una interpretación restrictiva del derecho de la trabajadora, que supondría una discriminación indirecta por ser las mujeres el colectivo que ejercita en mayor medida el derecho de reducción de jornada por motivos de conciliación. Afirma que la sentencia recurrida resuelve sin tener en cuenta la perspectiva constitucional, esto es, el derecho a la igualdad y no discriminación por razón de sexo y el mandato constitucional de protección a la familia. Invoca después la STC 3/2007, que indicó que las resoluciones judiciales no pueden quedarse, en casos como este, en el plano de la legalidad ordinaria, y que, por el contrario, deben ponderarse todas las circunstancias concurrentes, concretamente, la importancia que la efectividad del derecho a la no discriminación por razón de sexo de la trabajadora tiene en el ejercicio del derecho de reducción de jornada por motivos familiares. Tal ponderación no se habría realizado en el caso de autos, al limitarse a justificar y amparar la decisión empresarial (que la actora con reducción de jornada preste servicios los sábados) </w:t>
      </w:r>
      <w:r>
        <w:lastRenderedPageBreak/>
        <w:t>por la insuficiencia de personal. No se analizó, en suma, en qué medida no trabajar los sábados resultaba necesario para la atención de los fines con relevancia constitucional, ni cuáles son las dificultades organizativas que su reconocimiento pudiera causar a la empresa. Tal interpretación se convierte, por tanto, en un obstáculo injustificado para la permanencia en el empleo de la trabajadora y para la compatibilidad de su vida profesional y personal, basado en una presunta necesidad organizativa empresarial. Se queja la parte, asimismo, de que, con ello, el juzgador haya equiparado la mera voluntad de un trabajador de no seguir trabajando los sábados, con la necesidad de conciliación de una madre trabajadora, derecho este último que fue ignorado, cuando debía primar la dimensión constitucional de la controversia planteada.</w:t>
      </w:r>
    </w:p>
    <w:p w:rsidR="00C54F26" w:rsidRDefault="00C54F26" w:rsidP="00C54F26">
      <w:pPr>
        <w:pStyle w:val="TextoNormal"/>
      </w:pPr>
    </w:p>
    <w:p w:rsidR="00C54F26" w:rsidRDefault="00C54F26" w:rsidP="00C54F26">
      <w:pPr>
        <w:pStyle w:val="TextoNormal"/>
      </w:pPr>
      <w:r>
        <w:t>Se indica también que la apreciación en el caso de autos de la inadecuación de procedimiento infringe el art. 24.1 CE y el art. 102.2 LJS. A este respecto aduce la parte recurrente, como así lo hiciera en el incidente de nulidad de actuaciones, que si la juzgadora consideraba que el procedimiento adecuado en el caso de autos era el de modificación sustancial de las condiciones de trabajo del art. 138 LJS y no el de conciliación de la vida laboral y personal, debió así acordarlo conforme a lo señalado en el citado art. 102 LJS, incluso sin audiencia de parte, máxime cuando para ello no existe obstáculo alguno. Se recuerda, además, que la prohibición de sobreseimiento del proceso o la absolución en la instancia por inadecuación de la modalidad procesal elegida viene incluso explicitada en la exposición de motivos de la ley. Tal infracción, continúa diciendo, le ha causado indefensión y ahonda en la flagrante violación del derecho a la no discriminación por razón de sexo de la que ha sido objeto, al no haber ofrecido una respuesta motivada, ponderada y razonada a su pretensión.</w:t>
      </w:r>
    </w:p>
    <w:p w:rsidR="00C54F26" w:rsidRDefault="00C54F26" w:rsidP="00C54F26">
      <w:pPr>
        <w:pStyle w:val="TextoNormal"/>
      </w:pPr>
    </w:p>
    <w:p w:rsidR="00C54F26" w:rsidRDefault="00C54F26" w:rsidP="00C54F26">
      <w:pPr>
        <w:pStyle w:val="TextoNormal"/>
      </w:pPr>
      <w:r>
        <w:t>En el otrosí de la demanda se interesa: “que, de modo cautelar, se proceda a la inmediata suspensión de los efectos de la sentencia del Juzgado de lo Social núm. 2 de Lugo, de fecha 10 de enero de 2020, dictada en el procedimiento de derecho de conciliación de la vida personal, familiar y laboral 706-2019 y así exonerar a la trabajadora doña Iris Martín Varela de prestar servicios en la entidad demandada los sábados, y ello con la finalidad de que tal injusta decisión en ningún caso suponga un obstáculo injustificado para la permanencia en el empleo de la trabajadora y para la compatibilidad de su vida profesional con su vida familiar”.</w:t>
      </w:r>
    </w:p>
    <w:p w:rsidR="00C54F26" w:rsidRDefault="00C54F26" w:rsidP="00C54F26">
      <w:pPr>
        <w:pStyle w:val="TextoNormal"/>
      </w:pPr>
    </w:p>
    <w:p w:rsidR="00C54F26" w:rsidRDefault="00C54F26" w:rsidP="00C54F26">
      <w:pPr>
        <w:pStyle w:val="TextoNormal"/>
      </w:pPr>
      <w:r w:rsidRPr="00C54F26">
        <w:rPr>
          <w:rStyle w:val="NumeroAFNegritaCaracter"/>
        </w:rPr>
        <w:t>4</w:t>
      </w:r>
      <w:r>
        <w:t>. Por providencia de 14 de diciembre de 2020, la Sala Primera, Sección Primera, de este Tribunal, acordó la admisión a trámite del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rsidR="00C54F26" w:rsidRDefault="00C54F26" w:rsidP="00C54F26">
      <w:pPr>
        <w:pStyle w:val="TextoNormal"/>
      </w:pPr>
    </w:p>
    <w:p w:rsidR="00C54F26" w:rsidRDefault="00C54F26" w:rsidP="00C54F26">
      <w:pPr>
        <w:pStyle w:val="TextoNormal"/>
      </w:pPr>
      <w:r>
        <w:t>Además, en aplicación de lo previsto en el artículo 51 LOTC, acordó también dirigir atenta comunicación al Juzgado de lo Social núm. 2 de Lugo, a fin de que en el plazo de diez días remitiese certificación o fotocopia adverada de las actuaciones correspondientes a los autos núm. 706-2019. Interesándose al mismo tiempo al referido juzgado, que emplazara a quienes hubiesen sido parte en el procedimiento de instancia, excepto a la parte recurrente en amparo, para que en el plazo de diez días pudieran comparecer en dicho recurso de amparo, si así lo deseasen.</w:t>
      </w:r>
    </w:p>
    <w:p w:rsidR="00C54F26" w:rsidRDefault="00C54F26" w:rsidP="00C54F26">
      <w:pPr>
        <w:pStyle w:val="TextoNormal"/>
      </w:pPr>
    </w:p>
    <w:p w:rsidR="00C54F26" w:rsidRDefault="00C54F26" w:rsidP="00C54F26">
      <w:pPr>
        <w:pStyle w:val="TextoNormal"/>
      </w:pPr>
      <w:r>
        <w:lastRenderedPageBreak/>
        <w:t>Por último, de conformidad con la solicitud de la parte actora, se acordó formar la correspondiente pieza separada de suspensión.</w:t>
      </w:r>
    </w:p>
    <w:p w:rsidR="00C54F26" w:rsidRDefault="00C54F26" w:rsidP="00C54F26">
      <w:pPr>
        <w:pStyle w:val="TextoNormal"/>
      </w:pPr>
    </w:p>
    <w:p w:rsidR="00C54F26" w:rsidRDefault="00C54F26" w:rsidP="00C54F26">
      <w:pPr>
        <w:pStyle w:val="TextoNormal"/>
      </w:pPr>
      <w:r w:rsidRPr="00C54F26">
        <w:rPr>
          <w:rStyle w:val="NumeroAFNegritaCaracter"/>
        </w:rPr>
        <w:t>5</w:t>
      </w:r>
      <w:r>
        <w:t>. Mediante providencia de la Sección Primera de 14 de diciembre de 2020 se acordó formar pieza separada de suspensión “y, de conformidad con lo prevenido en el art. 56 LOTC, conceder un plazo común de tres días, al Ministerio Fiscal y al solicitante de amparo, para que dentro de dicho término aleguen lo que estimen pertinente en relación con la petición de suspensión solicitada”.</w:t>
      </w:r>
    </w:p>
    <w:p w:rsidR="00C54F26" w:rsidRDefault="00C54F26" w:rsidP="00C54F26">
      <w:pPr>
        <w:pStyle w:val="TextoNormal"/>
      </w:pPr>
    </w:p>
    <w:p w:rsidR="00C54F26" w:rsidRDefault="00C54F26" w:rsidP="00C54F26">
      <w:pPr>
        <w:pStyle w:val="TextoNormal"/>
      </w:pPr>
      <w:r w:rsidRPr="00C54F26">
        <w:rPr>
          <w:rStyle w:val="NumeroAFNegritaCaracter"/>
        </w:rPr>
        <w:t>6</w:t>
      </w:r>
      <w:r>
        <w:t>. El 13 de enero de 2021 presentó su escrito de alegaciones el Ministerio Fiscal.</w:t>
      </w:r>
    </w:p>
    <w:p w:rsidR="00C54F26" w:rsidRDefault="00C54F26" w:rsidP="00C54F26">
      <w:pPr>
        <w:pStyle w:val="TextoNormal"/>
      </w:pPr>
    </w:p>
    <w:p w:rsidR="00C54F26" w:rsidRDefault="00C54F26" w:rsidP="00C54F26">
      <w:pPr>
        <w:pStyle w:val="TextoNormal"/>
      </w:pPr>
      <w:r>
        <w:t>Tras recordar la doctrina constitucional sobre el art. 56.2 LOTC afirma que, a su juicio, las alegaciones de la recurrente para justificar la adopción de la medida cautelar son excesivamente escuetas. Esta parquedad de argumentos parece insuficiente para cumplir la carga del recurrente de probar que la ejecución del acto o sentencia impugnados le produce un perjuicio que hiciere perder al amparo su finalidad, sin que el fiscal pueda añadir otros argumentos que supongan reconstruir o completar la demanda (por todos AATC 131/2012, de 25 de junio, y 20/2017, de 6 de febrero).</w:t>
      </w:r>
    </w:p>
    <w:p w:rsidR="00C54F26" w:rsidRDefault="00C54F26" w:rsidP="00C54F26">
      <w:pPr>
        <w:pStyle w:val="TextoNormal"/>
      </w:pPr>
    </w:p>
    <w:p w:rsidR="00C54F26" w:rsidRDefault="00C54F26" w:rsidP="00C54F26">
      <w:pPr>
        <w:pStyle w:val="TextoNormal"/>
      </w:pPr>
      <w:r>
        <w:t>Asimismo, señala el Ministerio Fiscal, que como lo que se pretende con la medida cautelar es dejar en suspenso la posibilidad de que la empresa ordene a la demandante que algún sábado acuda a su puesto de trabajo para desempeñar su laboral entre las 12:00 y las 13:30 horas, sin que se sepa en este contexto cuales ni cuantos sábados van a ser, podría estimarse que se trata de un perjuicio futuro e incierto el que la demandante pretende evitar con esta medida cautelar.</w:t>
      </w:r>
    </w:p>
    <w:p w:rsidR="00C54F26" w:rsidRDefault="00C54F26" w:rsidP="00C54F26">
      <w:pPr>
        <w:pStyle w:val="TextoNormal"/>
      </w:pPr>
    </w:p>
    <w:p w:rsidR="00C54F26" w:rsidRDefault="00C54F26" w:rsidP="00C54F26">
      <w:pPr>
        <w:pStyle w:val="TextoNormal"/>
      </w:pPr>
      <w:r>
        <w:t>Tampoco se alega para pedir la suspensión algún motivo que dé lugar a la imposibilidad de contratar un servicio de guardería para el caso de que el menor no pueda ser atendido por el padre u otro familiar de confianza durante la hora y media, más el tiempo de desplazamiento, que la trabajadora tenga que estar ausente un sábado. Afirma el Ministerio Fiscal que “es normal que los progenitores prefieran estar con sus hijos a que los atienda otra persona, pero de todos modos, en este caso, el menor tendrá que estar en una guardería o al cuidado de otra persona mientras la madre trabaja de lunes a viernes y si a cambio de la hora y media del sábado se le da a la madre una hora y media la mañana del lunes, la diferencia no parece trascendental en cuanto que van a ser solo algunos sábados sueltos, y en todo caso no pueden ser dos sábados seguidos”.</w:t>
      </w:r>
    </w:p>
    <w:p w:rsidR="00C54F26" w:rsidRDefault="00C54F26" w:rsidP="00C54F26">
      <w:pPr>
        <w:pStyle w:val="TextoNormal"/>
      </w:pPr>
    </w:p>
    <w:p w:rsidR="00C54F26" w:rsidRDefault="00C54F26" w:rsidP="00C54F26">
      <w:pPr>
        <w:pStyle w:val="TextoNormal"/>
      </w:pPr>
      <w:r>
        <w:t>A los puros efectos de la adopción de la medida cautelar, el fiscal considera que, desde el punto de vista del perjuicio personal, es decir del inconveniente que para la vida familiar supone que algún sábado la madre tenga que trabajar hora y media con la compensación de ese mismo tiempo el lunes por la mañana, no se ha acreditado que la ejecución de lo acordado por la sentencia suponga un perjuicio actual tan grave como para considerarlo irreparable.</w:t>
      </w:r>
    </w:p>
    <w:p w:rsidR="00C54F26" w:rsidRDefault="00C54F26" w:rsidP="00C54F26">
      <w:pPr>
        <w:pStyle w:val="TextoNormal"/>
      </w:pPr>
    </w:p>
    <w:p w:rsidR="00C54F26" w:rsidRDefault="00C54F26" w:rsidP="00C54F26">
      <w:pPr>
        <w:pStyle w:val="TextoNormal"/>
      </w:pPr>
      <w:r>
        <w:t>En cuanto a los perjuicios económicos, el fiscal estima que nada se ha alegado sobre que el importe de contratar el servicio de guardería suponga un quebranto económico tan importante para la trabajadora que pudiera considerarse de algún modo como irreparable.</w:t>
      </w:r>
    </w:p>
    <w:p w:rsidR="00C54F26" w:rsidRDefault="00C54F26" w:rsidP="00C54F26">
      <w:pPr>
        <w:pStyle w:val="TextoNormal"/>
      </w:pPr>
    </w:p>
    <w:p w:rsidR="00C54F26" w:rsidRDefault="00C54F26" w:rsidP="00C54F26">
      <w:pPr>
        <w:pStyle w:val="TextoNormal"/>
      </w:pPr>
      <w:r>
        <w:lastRenderedPageBreak/>
        <w:t>Por todo ello, considera el fiscal que no procede la adopción de la medida cautelar solicitada, por no haber acreditado que produzca perjuicios irreparables, haciendo perder al amparo su finalidad. De no compartirse esta apreciación, entiende procedente, con carácter subsidiario, supeditar la suspensión de los efectos de la sentencia a la previa prestación de una fianza que asegure la indemnización de los perjuicios económicos que pueda ocasionar a la empresa la suspensión de la ejecución de la sentencia recurrida (AATC 565/1986, 59/1996, 207/2000 y 45/2001).</w:t>
      </w:r>
    </w:p>
    <w:p w:rsidR="00C54F26" w:rsidRDefault="00C54F26" w:rsidP="00C54F26">
      <w:pPr>
        <w:pStyle w:val="TextoNormal"/>
      </w:pPr>
    </w:p>
    <w:p w:rsidR="00C54F26" w:rsidRDefault="00C54F26" w:rsidP="00C54F26">
      <w:pPr>
        <w:pStyle w:val="TextoNormal"/>
      </w:pPr>
      <w:r w:rsidRPr="00C54F26">
        <w:rPr>
          <w:rStyle w:val="NumeroAFNegritaCaracter"/>
        </w:rPr>
        <w:t>7</w:t>
      </w:r>
      <w:r>
        <w:t>. Por diligencia de ordenación de 28 de enero de 2021 del secretario de justicia de la Sala Primera, al haberse personado en las actuaciones principales del presente recurso la procuradora de los tribunales doña María Teresa Gamazo Trueba, en nombre y representación de la entidad Insuiña, S.L., de conformidad con lo prevenido en el art. 56 LOTC, se concede un plazo de tres días a dicha parte, para que dentro de ese término alegue lo que estime pertinente en relación con la petición de suspensión interesada por la recurrente.</w:t>
      </w:r>
    </w:p>
    <w:p w:rsidR="00C54F26" w:rsidRDefault="00C54F26" w:rsidP="00C54F26">
      <w:pPr>
        <w:pStyle w:val="TextoNormal"/>
      </w:pPr>
    </w:p>
    <w:p w:rsidR="00C54F26" w:rsidRDefault="00C54F26" w:rsidP="00C54F26">
      <w:pPr>
        <w:pStyle w:val="TextoNormal"/>
      </w:pPr>
      <w:r w:rsidRPr="00C54F26">
        <w:rPr>
          <w:rStyle w:val="NumeroAFNegritaCaracter"/>
        </w:rPr>
        <w:t>8</w:t>
      </w:r>
      <w:r>
        <w:t>. El 3 de febrero de 2021 presentó su escrito de alegaciones la procuradora de los tribunales doña María Teresa Gamazo Trueba, en nombre y representación de la mercantil Insuiña, S.L., en el que se adhiere a las alegaciones realizadas por el fiscal en su escrito de 13 de enero de 2021.</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C54F26" w:rsidRDefault="00C54F26" w:rsidP="00C54F26">
      <w:pPr>
        <w:pStyle w:val="TextoNormal"/>
      </w:pPr>
    </w:p>
    <w:p w:rsidR="00C54F26" w:rsidRDefault="00C54F26" w:rsidP="00C54F26">
      <w:pPr>
        <w:pStyle w:val="TextoNormal"/>
      </w:pPr>
      <w:r>
        <w:t xml:space="preserve">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y que debe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su irreparabilidad, que el perjuicio irreparable debe ser real, sin que sea posible alegar un perjuicio futuro o hipotético o un simple temor y que la pérdida de la finalidad del amparo no puede equipararse a la mayor o menor dificultad, molestia o incomodidad para el recurrente, y (iii) en lo que se refiere a la ejecución de los pronunciamientos con efectos fundamentalmente patrimoniales o de contenido económico, el tribunal ha consagrado que, con carácter general, la ejecución que acarrea tales efectos ni causa un perjuicio irreparable al obligado al pago, ni puede hacer perder al amparo </w:t>
      </w:r>
      <w:r>
        <w:lastRenderedPageBreak/>
        <w:t>su finalidad, al ser posible la restitución íntegra de lo ejecutado (así, por ejemplo, ATC 97/2019, de 16 de septiembre, FJ 1).</w:t>
      </w:r>
    </w:p>
    <w:p w:rsidR="00C54F26" w:rsidRDefault="00C54F26" w:rsidP="00C54F26">
      <w:pPr>
        <w:pStyle w:val="TextoNormal"/>
      </w:pPr>
    </w:p>
    <w:p w:rsidR="00C54F26" w:rsidRDefault="00C54F26" w:rsidP="00C54F26">
      <w:pPr>
        <w:pStyle w:val="TextoNormal"/>
      </w:pPr>
      <w:r w:rsidRPr="00C54F26">
        <w:rPr>
          <w:rStyle w:val="NumeroAFNegritaCaracter"/>
        </w:rPr>
        <w:t>2</w:t>
      </w:r>
      <w:r>
        <w:t>. La aplicación de la doctrina expuesta al caso aquí planteado permite concluir, de acuerdo con el Ministerio Fiscal, que resulta improcedente la suspensión solicitada.</w:t>
      </w:r>
    </w:p>
    <w:p w:rsidR="00C54F26" w:rsidRDefault="00C54F26" w:rsidP="00C54F26">
      <w:pPr>
        <w:pStyle w:val="TextoNormal"/>
      </w:pPr>
    </w:p>
    <w:p w:rsidR="00C54F26" w:rsidRDefault="00C54F26" w:rsidP="00C54F26">
      <w:pPr>
        <w:pStyle w:val="TextoNormal"/>
      </w:pPr>
      <w:r>
        <w:t>La acreditación del perjuicio es carga del recurrente, quien debe precisar los concretos perjuicios que de la ejecución se deriven, así como justificar o argumentar razonadamente la irreparabilidad de los mismos. En el presente supuesto, la recurrente se limita a afirmar que solicita la suspensión “con la finalidad de que tal injusta decisión en ningún caso suponga un obstáculo injustificado para la permanencia en el empleo de la trabajadora y para la compatibilidad de su vida profesional con su vida familiar”, sin añadir ninguna indicación sobre cuáles son las razones por las que prestar servicios algún sábado al mes durante hora y media va a impedir que pueda seguir trabajando o que no pueda compatibilizar su trabajo con su vida familiar. Nos hallamos pues ante alegaciones genéricas de supuestos perjuicios hipotéticos, sin que por la recurrente se haya cumplido adecuadamente la carga de acreditar o, cuando menos, razonar de forma convincente la efectiva existencia de los perjuicios aducidos y de las dificultades que entrañaría su reparación.</w:t>
      </w:r>
    </w:p>
    <w:p w:rsidR="00C54F26" w:rsidRDefault="00C54F26" w:rsidP="00C54F26">
      <w:pPr>
        <w:pStyle w:val="TextoNormal"/>
      </w:pPr>
    </w:p>
    <w:p w:rsidR="00C54F26" w:rsidRDefault="00C54F26" w:rsidP="00C54F26">
      <w:pPr>
        <w:pStyle w:val="TextoNormal"/>
      </w:pPr>
      <w:r>
        <w:t>En tales circunstancias, no es posible afirmar que la continuación del curso del procedimiento judicial provoque por sí sola un perjuicio determinante de la pérdida de la finalidad del presente recurso de amparo.</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suspensión solicitada.</w:t>
      </w:r>
    </w:p>
    <w:p w:rsidR="00C54F26" w:rsidRDefault="00C54F26" w:rsidP="00C54F26">
      <w:pPr>
        <w:pStyle w:val="TextoNormal"/>
      </w:pPr>
    </w:p>
    <w:p w:rsidR="00C54F26" w:rsidRDefault="00C54F26" w:rsidP="00C54F26">
      <w:pPr>
        <w:pStyle w:val="TextoNormal"/>
      </w:pPr>
      <w:r>
        <w:t>Madrid, a quince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6" w:name="AUTO_2021_15"/>
      <w:r>
        <w:lastRenderedPageBreak/>
        <w:t>AUTO 15/2021, de 15 de febrero de 2021</w:t>
      </w:r>
    </w:p>
    <w:bookmarkEnd w:id="156"/>
    <w:p w:rsidR="00C54F26" w:rsidRDefault="00C54F26" w:rsidP="00C54F26">
      <w:pPr>
        <w:pStyle w:val="TtuloResolucin"/>
      </w:pPr>
      <w:r>
        <w:t>Sala Primera</w:t>
      </w:r>
    </w:p>
    <w:p w:rsidR="00C54F26" w:rsidRDefault="00C54F26" w:rsidP="00C54F26">
      <w:pPr>
        <w:pStyle w:val="TextoNormalCentrado"/>
      </w:pPr>
      <w:r>
        <w:t>ECLI:ES:TC:2021:15A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Acuerda la suspensión parcial en el recurso de amparo 4265-2020, promovido por doña Rachida Kaouay,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9 de septiembre de 2020, la representación procesal de doña Rachida Kaouay, bajo la dirección del letrado don José Antonio Palau Cuevas, interpuso recurso de amparo contra la providencia de la Sección Séptima de la Audiencia Provincial de Málaga de 28 de julio de 2020, por la que se inadmite el incidente de nulidad de actuaciones interpuesto contra la sentencia de 24 de junio de 2020, que desestima el recurso de apelación interpuesto contra la sentencia del Juzgado de lo Penal núm. 2 de Melilla de 26 de noviembre de 2019, dictada en el procedimiento abreviado núm. 87-2019.</w:t>
      </w:r>
    </w:p>
    <w:p w:rsidR="00C54F26" w:rsidRDefault="00C54F26" w:rsidP="00C54F26">
      <w:pPr>
        <w:pStyle w:val="TextoNormal"/>
      </w:pPr>
    </w:p>
    <w:p w:rsidR="00C54F26" w:rsidRDefault="00C54F26" w:rsidP="00C54F26">
      <w:pPr>
        <w:pStyle w:val="TextoNormal"/>
      </w:pPr>
      <w:r>
        <w:t xml:space="preserve">La recurrente alega que la sentencia dictada por la Sección Séptima de la Audiencia Provincial de Málaga de 24 de junio del 2020, vulnera el derecho fundamental a la tutela judicial efectiva e interdicción de la indefensión (art. 24.1 CE), toda vez que la misma no tuvo en consideración la prohibición de la </w:t>
      </w:r>
      <w:r w:rsidRPr="00C54F26">
        <w:rPr>
          <w:i/>
        </w:rPr>
        <w:t>reformatio in peius</w:t>
      </w:r>
      <w:r>
        <w:t>, agravando la condena dictada por el Juzgado de lo Penal núm. 2 de Melilla sin que mediara petición de las acusaciones en dicho sentido. A consecuencia de ello, la recurrente vio elevada su condena de dos a tres años y un día de prisión. Doña Rachida Kaouay fue también condenada a las penas accesorias de inhabilitación especial para el sufragio pasivo durante el tiempo de la condena, multa de 2 700 000 euros, con seis meses de responsabilidad personal subsidiaria en caso de impago, previa declaración de insolvencia, y costas del artículo 123 del Código penal (CP).</w:t>
      </w:r>
    </w:p>
    <w:p w:rsidR="00C54F26" w:rsidRDefault="00C54F26" w:rsidP="00C54F26">
      <w:pPr>
        <w:pStyle w:val="TextoNormal"/>
      </w:pPr>
    </w:p>
    <w:p w:rsidR="00C54F26" w:rsidRDefault="00C54F26" w:rsidP="00C54F26">
      <w:pPr>
        <w:pStyle w:val="TextoNormal"/>
      </w:pPr>
      <w:r>
        <w:t>En la demanda de amparo se solicita por otrosí que se suspenda la ejecución de la sentencia condenatoria, argumentando que la pena impuesta por la sentencia recurrida en amparo no es una pena de larga duración, que la pérdida de libertad es irreparable y no puede sustituirse, que la demandante de amparo no piensa sustraerse a la acción de la justicia por tratarse de una residente de larga duración y con familia en España, y que de la suspensión no se deriva perturbación para los intereses generales, ni para los derechos fundamentos, no se produce sentimiento de desprotección a las víctimas.</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La Sección Segunda de este tribunal, por providencia de 14 de diciembre de 2020, acordó la admisión a trámite del presente recurso de amparo, apreciando que concurre en el mismo especial trascendencia constitucional [art. 50.1 de la Ley Orgánica del Tribunal </w:t>
      </w:r>
      <w:r>
        <w:lastRenderedPageBreak/>
        <w:t>Constitucional (LOTC)] porque el órgano judicial pudiera haber incurrido en una negativa manifiesta del deber de acatamiento de la doctrina de este tribunal [STC 155/2009, FJ 2 f)] y, en consecuencia, dirigir atenta comunicación a la Sección Séptima de la Audiencia Provincial de Málaga (rollo núm. 16-2020) y al Juzgado de lo Penal núm. 2 de Melilla (procedimiento abreviado núm. 87-2019), a fin de que remitiesen certificación o fotocopia adverada de las actuaciones correspondientes.</w:t>
      </w:r>
    </w:p>
    <w:p w:rsidR="00C54F26" w:rsidRDefault="00C54F26" w:rsidP="00C54F26">
      <w:pPr>
        <w:pStyle w:val="TextoNormal"/>
      </w:pPr>
    </w:p>
    <w:p w:rsidR="00C54F26" w:rsidRDefault="00C54F26" w:rsidP="00C54F26">
      <w:pPr>
        <w:pStyle w:val="TextoNormal"/>
      </w:pPr>
      <w:r>
        <w:t>Por providencia de la misma fecha, la Sección Segunda del Tribunal Constitucional acordó formar la oportuna pieza de suspensión, en los términos del artículo 56 LOTC, concediendo tres días al recurrente y al Ministerio Fiscal para alegaciones.</w:t>
      </w:r>
    </w:p>
    <w:p w:rsidR="00C54F26" w:rsidRDefault="00C54F26" w:rsidP="00C54F26">
      <w:pPr>
        <w:pStyle w:val="TextoNormal"/>
      </w:pPr>
    </w:p>
    <w:p w:rsidR="00C54F26" w:rsidRDefault="00C54F26" w:rsidP="00C54F26">
      <w:pPr>
        <w:pStyle w:val="TextoNormal"/>
      </w:pPr>
      <w:r w:rsidRPr="00C54F26">
        <w:rPr>
          <w:rStyle w:val="NumeroAFNegritaCaracter"/>
        </w:rPr>
        <w:t>3</w:t>
      </w:r>
      <w:r>
        <w:t>. En escrito registrado el 13 de enero de 2021, el representante del Ministerio Fiscal ante este tribunal, tras exponer la doctrina constitucional derivada de la aplicación del art. 56 LOTC, interesa en este caso la estimación de la pretensión principal de suspensión que ha sido formulada, esto es, de la suspensión de la pena privativa de libertad, con la accesoria de inhabilitación especial para el sufragio pasivo durante el tiempo de la condena. Tal pretensión viene justificada en la consideración de que “concurren en el presente caso circunstancias que han de permitir excepcionar dicha regla general”, dado que “la pena de prisión impuesta a la ahora recurrente no es una pena de larga duración —tres años y un día de prisión— […], lo que unido también al tiempo normal de tramitación del recurso de amparo podría hacer ilusorio un eventual pronunciamiento favorable a la recurrente con efectos sustanciales derivados para la condenada, que podría afectar a los términos de la sentencia condenatoria del recurso de amparo ya admitido”.</w:t>
      </w:r>
    </w:p>
    <w:p w:rsidR="00C54F26" w:rsidRDefault="00C54F26" w:rsidP="00C54F26">
      <w:pPr>
        <w:pStyle w:val="TextoNormal"/>
      </w:pPr>
    </w:p>
    <w:p w:rsidR="00C54F26" w:rsidRDefault="00C54F26" w:rsidP="00C54F26">
      <w:pPr>
        <w:pStyle w:val="TextoNormal"/>
      </w:pPr>
      <w:r>
        <w:t>Sin embargo, rechaza el Ministerio Fiscal la posibilidad de extender la suspensión solicitada a las costas y a la pena de multa que “solo afecta, por ahora, a aspectos meramente económicos que no implican aquella irreparabilidad del perjuicio, criterio que incluye, en especial, a la responsabilidad personal subsidiaria en caso de impago de multa, al tratarse de una mera eventualidad, susceptible, en su caso, de causar una nueva petición de suspensión en cuanto a la ejecución de la pena privativa de libertad”.</w:t>
      </w:r>
    </w:p>
    <w:p w:rsidR="00C54F26" w:rsidRDefault="00C54F26" w:rsidP="00C54F26">
      <w:pPr>
        <w:pStyle w:val="TextoNormal"/>
      </w:pPr>
    </w:p>
    <w:p w:rsidR="00C54F26" w:rsidRDefault="00C54F26" w:rsidP="00C54F26">
      <w:pPr>
        <w:pStyle w:val="TextoNormal"/>
      </w:pPr>
      <w:r w:rsidRPr="00C54F26">
        <w:rPr>
          <w:rStyle w:val="NumeroAFNegritaCaracter"/>
        </w:rPr>
        <w:t>4</w:t>
      </w:r>
      <w:r>
        <w:t>. Transcurrido el plazo dictado por este tribunal, la representación procesal de la demandante de amparo no ha formulado alegaciones complementarias a las ya manifestadas en la demanda de amparo.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00C54F26" w:rsidRDefault="00C54F26" w:rsidP="00C54F26">
      <w:pPr>
        <w:pStyle w:val="TextoNormal"/>
      </w:pPr>
    </w:p>
    <w:p w:rsidR="00C54F26" w:rsidRDefault="00C54F26" w:rsidP="00C54F26">
      <w:pPr>
        <w:pStyle w:val="TextoNormal"/>
      </w:pPr>
      <w:r>
        <w:lastRenderedPageBreak/>
        <w:t>El Pleno de este tribunal, en el ATC 63/2018, de 5 de junio,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00C54F26" w:rsidRDefault="00C54F26" w:rsidP="00C54F26">
      <w:pPr>
        <w:pStyle w:val="TextoNormal"/>
      </w:pPr>
    </w:p>
    <w:p w:rsidR="00C54F26" w:rsidRDefault="00C54F26" w:rsidP="00C54F26">
      <w:pPr>
        <w:pStyle w:val="TextoNormal"/>
      </w:pPr>
      <w:r>
        <w:t>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C54F26" w:rsidRDefault="00C54F26" w:rsidP="00C54F26">
      <w:pPr>
        <w:pStyle w:val="TextoNormal"/>
      </w:pPr>
    </w:p>
    <w:p w:rsidR="00C54F26" w:rsidRDefault="00C54F26" w:rsidP="00C54F26">
      <w:pPr>
        <w:pStyle w:val="TextoNormal"/>
      </w:pPr>
      <w:r>
        <w:t>En relación a la suspensión de las penas de prisión, de acuerdo con la doctrina mantenida por este tribunal,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(ATC 44/2012, de 12 de marzo, FJ 2).</w:t>
      </w:r>
    </w:p>
    <w:p w:rsidR="00C54F26" w:rsidRDefault="00C54F26" w:rsidP="00C54F26">
      <w:pPr>
        <w:pStyle w:val="TextoNormal"/>
      </w:pPr>
    </w:p>
    <w:p w:rsidR="00C54F26" w:rsidRDefault="00C54F26" w:rsidP="00C54F26">
      <w:pPr>
        <w:pStyle w:val="TextoNormal"/>
      </w:pPr>
      <w:r>
        <w:t>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C54F26" w:rsidRDefault="00C54F26" w:rsidP="00C54F26">
      <w:pPr>
        <w:pStyle w:val="TextoNormal"/>
      </w:pPr>
    </w:p>
    <w:p w:rsidR="00C54F26" w:rsidRDefault="00C54F26" w:rsidP="00C54F26">
      <w:pPr>
        <w:pStyle w:val="TextoNormal"/>
      </w:pPr>
      <w:r>
        <w:t xml:space="preserve">En relación con penas de contenido patrimonial, este tribunal ha establecido, como criterio general, la improcedencia de la suspensión de la ejecución de aquellos fallos judiciales </w:t>
      </w:r>
      <w:r>
        <w:lastRenderedPageBreak/>
        <w:t>que admiten la restitución íntegra de lo ejecutado, como, por lo general, sucede en los que producen efectos meramente patrimoniales que, por tener un contenido económico, no causan perjuicios de imposible reparación, salvo que por su montante excepcional, o la situación patrimonial del demandante, pueda justificarse la adopción de la medida cautelar pretendida (ATC 148/2006, de 8 de mayo).</w:t>
      </w:r>
    </w:p>
    <w:p w:rsidR="00C54F26" w:rsidRDefault="00C54F26" w:rsidP="00C54F26">
      <w:pPr>
        <w:pStyle w:val="TextoNormal"/>
      </w:pPr>
    </w:p>
    <w:p w:rsidR="00C54F26" w:rsidRDefault="00C54F26" w:rsidP="00C54F26">
      <w:pPr>
        <w:pStyle w:val="TextoNormal"/>
      </w:pPr>
      <w:r w:rsidRPr="00C54F26">
        <w:rPr>
          <w:rStyle w:val="NumeroAFNegritaCaracter"/>
        </w:rPr>
        <w:t>2</w:t>
      </w:r>
      <w:r>
        <w:t>. En el presente caso, de acuerdo con las tesis del Ministerio Fiscal, concurren los requisitos que nuestra doctrina exige para otorgar la suspensión de la ejecución en cuanto a la pena privativa de libertad, por cuanto la duración de la pena impuesta —tres y años y un día de prisión— permite afirmar que su ejecución puede ocasionar al demandante perjuicios irreparables, que harían perder su finalidad al recurso de amparo, máxime si tenemos en cuenta, precisamente, que la sentencia dictada originariamente por el Juzgado de lo Penal núm. 2 de Melilla no solamente condenaba a una pena inferior, sino que, esto es esencial, en dicha resolución se acordaba la suspensión de la pena de prisión impuesta.</w:t>
      </w:r>
    </w:p>
    <w:p w:rsidR="00C54F26" w:rsidRDefault="00C54F26" w:rsidP="00C54F26">
      <w:pPr>
        <w:pStyle w:val="TextoNormal"/>
      </w:pPr>
    </w:p>
    <w:p w:rsidR="00C54F26" w:rsidRDefault="00C54F26" w:rsidP="00C54F26">
      <w:pPr>
        <w:pStyle w:val="TextoNormal"/>
      </w:pPr>
      <w:r>
        <w:t xml:space="preserve">Resulta, por ello, procedente acordar la suspensión cautelar de la pena privativa de libertad impuesta en atención a su corta duración, tratando así de prevenir que la previsible duración de este amparo pudiera conllevar la inefectividad de un eventual pronunciamiento estimatorio de la demanda de amparo y, conforme a la regla de </w:t>
      </w:r>
      <w:r w:rsidRPr="00C54F26">
        <w:rPr>
          <w:i/>
        </w:rPr>
        <w:t>accesorium sequitur principale</w:t>
      </w:r>
      <w:r>
        <w:t>, igual suspensión deberá extenderse a la privación del derecho de sufragio pasivo (art. 44 CP), aneja a la privativa de libertad suspensa (ATC 95/2019, de 23 de julio, FJ 3, con cita de otras anteriores).</w:t>
      </w:r>
    </w:p>
    <w:p w:rsidR="00C54F26" w:rsidRDefault="00C54F26" w:rsidP="00C54F26">
      <w:pPr>
        <w:pStyle w:val="TextoNormal"/>
      </w:pPr>
    </w:p>
    <w:p w:rsidR="00C54F26" w:rsidRDefault="00C54F26" w:rsidP="00C54F26">
      <w:pPr>
        <w:pStyle w:val="TextoNormal"/>
      </w:pPr>
      <w:r>
        <w:t>En relación con la pena de multa, con seis meses de responsabilidad personal subsidiaria para el caso de impago, la misma tiene contenido patrimonial, sin que la demandante haya puesto de manifiesto ni acreditado circunstancias específicas que permitan sustentar un perjuicio irreparable, en caso de hacer efectiva la obligación de abono. Por ello, y de conformidad con las alegaciones del Ministerio Fiscal, no cabe extender la suspensión al pago de las costas, ni al pronunciamiento de la pena multa que solo afecta a aspectos económicos susceptibles, en todo caso, de una reparación a posteriori (ATC 254/2009, del 28 de octubre, FJ 3).</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Suspender la ejecución de la pena privativa de libertad de tres años y un día de prisión, y accesoria de privación del derecho de sufragio pasivo durante el tiempo de la condena, impuesta al recurrente en sentencia núm. 27/2020, del 24 de junio del 2020, dictada por la Sección Séptima de la Audiencia Provincial de Málaga.</w:t>
      </w:r>
    </w:p>
    <w:p w:rsidR="00C54F26" w:rsidRDefault="00C54F26" w:rsidP="00C54F26">
      <w:pPr>
        <w:pStyle w:val="TextoNormal"/>
      </w:pPr>
    </w:p>
    <w:p w:rsidR="00C54F26" w:rsidRDefault="00C54F26" w:rsidP="00C54F26">
      <w:pPr>
        <w:pStyle w:val="TextoNormal"/>
      </w:pPr>
      <w:r>
        <w:t>2º Denegar la petición de suspensión solicitada de la pena de multa y de las costas en tanto se tramita el presente recurso de amparo núm. 4265-2020.</w:t>
      </w:r>
    </w:p>
    <w:p w:rsidR="00C54F26" w:rsidRDefault="00C54F26" w:rsidP="00C54F26">
      <w:pPr>
        <w:pStyle w:val="TextoNormal"/>
      </w:pPr>
    </w:p>
    <w:p w:rsidR="00C54F26" w:rsidRDefault="00C54F26" w:rsidP="00C54F26">
      <w:pPr>
        <w:pStyle w:val="TextoNormal"/>
      </w:pPr>
      <w:r>
        <w:t>Madrid, a quince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7" w:name="AUTO_2021_16"/>
      <w:r>
        <w:lastRenderedPageBreak/>
        <w:t>AUTO 16/2021, de 15 de febrero de 2021</w:t>
      </w:r>
    </w:p>
    <w:bookmarkEnd w:id="157"/>
    <w:p w:rsidR="00C54F26" w:rsidRDefault="00C54F26" w:rsidP="00C54F26">
      <w:pPr>
        <w:pStyle w:val="TtuloResolucin"/>
      </w:pPr>
      <w:r>
        <w:t>Sala Segunda</w:t>
      </w:r>
    </w:p>
    <w:p w:rsidR="00C54F26" w:rsidRDefault="00C54F26" w:rsidP="00C54F26">
      <w:pPr>
        <w:pStyle w:val="TextoNormalCentrado"/>
      </w:pPr>
      <w:r>
        <w:t>ECLI:ES:TC:2021:16A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Desestima solicitud de revisión de diligencia de ordenación dictada en el recurso de amparo 5513-2020, promovido por don Carles Puigdemont Casamajó y don Antoni Comín i Oliveres,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16 de noviembre de 2020, promovido por don Carles Puigdemont i Casamajó y don Antoni Comín i Oliveres, representados por el procurador de los tribunales don Javier Fernández Estrada y asistidos por el letrado don Gonzalo Boyé Tuset, se interpuso recurso de amparo contra las siguientes resoluciones: (i) la sentencia de 10 de junio de 2020, dictada por la Sala de lo Contencioso-Administrativo del Tribunal Supremo en el procedimiento ordinario núm. 271-2020, desestimatoria del recurso presentado contra el acuerdo de la Junta Electoral Central, de 13 de junio de 2019, por el que se rechazó la solicitud de entrega de sus credenciales como diputados electos del Parlamento Europeo tras las elecciones de 26 de mayo de 2019, ampliado a la comunicación de 17 de junio de 2019 del vicepresidente de la Junta Electoral Central al presidente del Parlamento Europeo; (ii) el posterior auto de 15 de septiembre de 2020, desestimatorio del incidente excepcional de nulidad de actuaciones promovido contra aquella sentencia; (iii) la sentencia, de 10 de junio de 2020, dictada en el procedimiento ordinario 278-2020, por la que la Sala de lo Contencioso-Administrativo del Tribunal Supremo desestimó el recurso presentado contra el acuerdo de la Junta Electoral Central, de 20 de junio de 2019, que denegó la solicitud de que se arbitraran otras fórmulas no presenciales de acatamiento de la Constitución, y el acuerdo de esa misma fecha por el que se comunicó al Parlamento Europeo que se declaraban vacantes los escaños correspondientes a los recurrentes; y (iv) también el auto, de 15 de septiembre de 2020, desestimatorio del incidente excepcional de nulidad de actuaciones promovido contra aquella sentencia.</w:t>
      </w:r>
    </w:p>
    <w:p w:rsidR="00C54F26" w:rsidRDefault="00C54F26" w:rsidP="00C54F26">
      <w:pPr>
        <w:pStyle w:val="TextoNormal"/>
      </w:pPr>
    </w:p>
    <w:p w:rsidR="00C54F26" w:rsidRDefault="00C54F26" w:rsidP="00C54F26">
      <w:pPr>
        <w:pStyle w:val="TextoNormal"/>
      </w:pPr>
      <w:r w:rsidRPr="00C54F26">
        <w:rPr>
          <w:rStyle w:val="NumeroAFNegritaCaracter"/>
        </w:rPr>
        <w:t>2</w:t>
      </w:r>
      <w:r>
        <w:t>. Por diligencia de ordenación, de 20 de noviembre de 2020, el secretario de justicia de la Sección Tercera del Tribunal Constitucional requirió a los recurrentes para que en el plazo de diez días acreditaran fehacientemente la fecha de notificación de la resolución recurrida en el recurso ordinario núm. 271-2019, “[c]on la advertencia que de no atender al precedente requerimiento de este tribunal, en el plazo indicado, la Sección podrá inadmitir el presente recurso, conforme a lo preceptuado en el art. 50.4”; acordándose además la devolución de la documentación relativa al recurso 278-2019, “haciéndole saber que deberá formular recurso de amparo diferenciado por cada procedimiento de instancia”.</w:t>
      </w:r>
    </w:p>
    <w:p w:rsidR="00C54F26" w:rsidRDefault="00C54F26" w:rsidP="00C54F26">
      <w:pPr>
        <w:pStyle w:val="TextoNormal"/>
      </w:pPr>
    </w:p>
    <w:p w:rsidR="00C54F26" w:rsidRDefault="00C54F26" w:rsidP="00C54F26">
      <w:pPr>
        <w:pStyle w:val="TextoNormal"/>
      </w:pPr>
      <w:r w:rsidRPr="00C54F26">
        <w:rPr>
          <w:rStyle w:val="NumeroAFNegritaCaracter"/>
        </w:rPr>
        <w:t>3</w:t>
      </w:r>
      <w:r>
        <w:t>. A través de escrito fechado el 27 de noviembre de 2020, los recurrentes formularon solicitud de revisión de la diligencia de ordenación de 20 de noviembre de 2020, pues, a su entender, su admisibilidad vendría sustentada por la doctrina del tribunal (AATC 179/2019, de 16 de diciembre, FJ 1, y 106/2020, de 21 de septiembre, FJ 1), en la que alegaban, como cuestión de fondo, que los requerimientos efectuados en la resolución del secretario carecían de base legal. Así, sostienen que la acreditación fehaciente de la fecha de notificación de la resolución recurrida “no encuentra sustento en el artículo 49.4 de la Ley Orgánica del Tribunal Constitucional”, pues no está entre los documentos que expresamente exige ese precepto. Respecto del segundo requerimiento se aduce, literalmente, que la decisión “no encuentra amparo en precepto legal alguno”, resultando, por lo demás, contraria a la jurisprudencia del Tribunal Constitucional relativa acumulación de acciones en los procesos constitucionales.</w:t>
      </w:r>
    </w:p>
    <w:p w:rsidR="00C54F26" w:rsidRDefault="00C54F26" w:rsidP="00C54F26">
      <w:pPr>
        <w:pStyle w:val="TextoNormal"/>
      </w:pPr>
    </w:p>
    <w:p w:rsidR="00C54F26" w:rsidRDefault="00C54F26" w:rsidP="00C54F26">
      <w:pPr>
        <w:pStyle w:val="TextoNormal"/>
      </w:pPr>
      <w:r>
        <w:t>Mediante otrosí los recurrentes solicitaron la suspensión del plazo concedido para “el cumplimiento de los requerimientos contenidos en dicha diligencia de ordenación”.</w:t>
      </w:r>
    </w:p>
    <w:p w:rsidR="00C54F26" w:rsidRDefault="00C54F26" w:rsidP="00C54F26">
      <w:pPr>
        <w:pStyle w:val="TextoNormal"/>
      </w:pPr>
    </w:p>
    <w:p w:rsidR="00C54F26" w:rsidRDefault="00C54F26" w:rsidP="00C54F26">
      <w:pPr>
        <w:pStyle w:val="TextoNormal"/>
      </w:pPr>
      <w:r w:rsidRPr="00C54F26">
        <w:rPr>
          <w:rStyle w:val="NumeroAFNegritaCaracter"/>
        </w:rPr>
        <w:t>4</w:t>
      </w:r>
      <w:r>
        <w:t>. Por diligencia de ordenación de 30 de noviembre de 2020, se acordó que se uniera a las actuaciones el escrito anterior y que se diera cuenta del mismo.</w:t>
      </w:r>
    </w:p>
    <w:p w:rsidR="00C54F26" w:rsidRDefault="00C54F26" w:rsidP="00C54F26">
      <w:pPr>
        <w:pStyle w:val="TextoNormal"/>
      </w:pPr>
    </w:p>
    <w:p w:rsidR="00C54F26" w:rsidRDefault="00C54F26" w:rsidP="00C54F26">
      <w:pPr>
        <w:pStyle w:val="TextoNormal"/>
      </w:pPr>
      <w:r w:rsidRPr="00C54F26">
        <w:rPr>
          <w:rStyle w:val="NumeroAFNegritaCaracter"/>
        </w:rPr>
        <w:t>5</w:t>
      </w:r>
      <w:r>
        <w:t>. Con fecha de 4 de diciembre de 2020, los recurrentes interesaron la aclaración de esa diligencia al objeto de que incorporara un pronunciamiento expreso sobre la solicitud de suspensión del plazo de subsanación.</w:t>
      </w:r>
    </w:p>
    <w:p w:rsidR="00C54F26" w:rsidRDefault="00C54F26" w:rsidP="00C54F26">
      <w:pPr>
        <w:pStyle w:val="TextoNormal"/>
      </w:pPr>
    </w:p>
    <w:p w:rsidR="00C54F26" w:rsidRDefault="00C54F26" w:rsidP="00C54F26">
      <w:pPr>
        <w:pStyle w:val="TextoNormal"/>
      </w:pPr>
      <w:r w:rsidRPr="00C54F26">
        <w:rPr>
          <w:rStyle w:val="NumeroAFNegritaCaracter"/>
        </w:rPr>
        <w:t>6</w:t>
      </w:r>
      <w:r>
        <w:t>. Por providencia de 15 de diciembre de 2020, la Sección Tercera acordó que se diera traslado de las actuaciones al Ministerio Fiscal para que alegara lo que estimara pertinente en relación con la solicitud de revisión formulada por la parte recurrente, resolviéndose en la misma resolución la suspensión del plazo otorgado para que se acreditara fehacientemente la fecha de notificación de la resolución impugnada en tanto no se decidiera sobre la revisión solicitada.</w:t>
      </w:r>
    </w:p>
    <w:p w:rsidR="00C54F26" w:rsidRDefault="00C54F26" w:rsidP="00C54F26">
      <w:pPr>
        <w:pStyle w:val="TextoNormal"/>
      </w:pPr>
    </w:p>
    <w:p w:rsidR="00C54F26" w:rsidRDefault="00C54F26" w:rsidP="00C54F26">
      <w:pPr>
        <w:pStyle w:val="TextoNormal"/>
      </w:pPr>
      <w:r w:rsidRPr="00C54F26">
        <w:rPr>
          <w:rStyle w:val="NumeroAFNegritaCaracter"/>
        </w:rPr>
        <w:t>7</w:t>
      </w:r>
      <w:r>
        <w:t>. Con fecha de 13 de enero de 2020, el Ministerio Fiscal presentó sus alegaciones, interesando la desestimación de la solicitud de revisión formulada.</w:t>
      </w:r>
    </w:p>
    <w:p w:rsidR="00C54F26" w:rsidRDefault="00C54F26" w:rsidP="00C54F26">
      <w:pPr>
        <w:pStyle w:val="TextoNormal"/>
      </w:pPr>
    </w:p>
    <w:p w:rsidR="00C54F26" w:rsidRDefault="00C54F26" w:rsidP="00C54F26">
      <w:pPr>
        <w:pStyle w:val="TextoNormal"/>
      </w:pPr>
      <w:r>
        <w:t>Tras identificar las resoluciones recurridas en amparo y las vulneraciones denunciadas por los recurrentes, el fiscal acota las cuestiones suscitadas a las siguientes: (i) la propia admisibilidad de la solicitud de revisión; (ii) la falta de sustento legal en el art. 49.4 de la Ley Orgánica del Tribunal Constitucional (LOTC) del requerimiento de acreditación fehaciente de la fecha de notificación de los autos de 15 de septiembre de 2020; y (iii) la carencia de base legal del requerimiento realizado por el secretario de justicia de formular una demanda de amparo individual por cada procedimiento de instancia.</w:t>
      </w:r>
    </w:p>
    <w:p w:rsidR="00C54F26" w:rsidRDefault="00C54F26" w:rsidP="00C54F26">
      <w:pPr>
        <w:pStyle w:val="TextoNormal"/>
      </w:pPr>
    </w:p>
    <w:p w:rsidR="00C54F26" w:rsidRDefault="00C54F26" w:rsidP="00C54F26">
      <w:pPr>
        <w:pStyle w:val="TextoNormal"/>
      </w:pPr>
      <w:r>
        <w:t>En ese orden, el fiscal se manifiesta favorable a que se admita la solicitud de revisión de la diligencia de ordenación con base en los precedentes de este tribunal, tomando especialmente en consideración la línea interpretativa marcada en el FJ 1 de nuestro ATC 179/2019, de 16 de diciembre.</w:t>
      </w:r>
    </w:p>
    <w:p w:rsidR="00C54F26" w:rsidRDefault="00C54F26" w:rsidP="00C54F26">
      <w:pPr>
        <w:pStyle w:val="TextoNormal"/>
      </w:pPr>
    </w:p>
    <w:p w:rsidR="00C54F26" w:rsidRDefault="00C54F26" w:rsidP="00C54F26">
      <w:pPr>
        <w:pStyle w:val="TextoNormal"/>
      </w:pPr>
      <w:r>
        <w:lastRenderedPageBreak/>
        <w:t>Por otro lado, el fiscal rechaza “la pretensión del recurrente de considerar que queda exento del acreditar este elemento”, en referencia a la certificación fehaciente de la fecha de notificación; pues, de acuerdo con la doctrina jurisprudencial (ATC 234/2007, de 7 de mayo), al recurrente corresponde cumplir adecuadamente con la diligencia procesal exigible aportando, entre otros elementos, la justificación de que el recurso se interpuso en plazo.</w:t>
      </w:r>
    </w:p>
    <w:p w:rsidR="00C54F26" w:rsidRDefault="00C54F26" w:rsidP="00C54F26">
      <w:pPr>
        <w:pStyle w:val="TextoNormal"/>
      </w:pPr>
    </w:p>
    <w:p w:rsidR="00C54F26" w:rsidRDefault="00C54F26" w:rsidP="00C54F26">
      <w:pPr>
        <w:pStyle w:val="TextoNormal"/>
      </w:pPr>
      <w:r>
        <w:t>Otro tanto se sigue en relación con el cuestionamiento de la diligencia de ordenación por exigir la formulación de un recurso separado por cada procedimiento de instancia, razonando que en el estado en que se encuentra el proceso, “en que aún no se ha acordado sobre su admisión, la diligencia de ordenación cuya revisión se solicita no supone un juicio sobre la procedencia o no de aceptar la acumulación de acciones ahora propugnada por el recurrente, sino una resolución de carácter meramente interlocutorio, que se limita a dar a las actuaciones la ordenación adecuada de acuerdo a lo establecido inicialmente por la ley”. En otras palabras, la diligencia de ordenación del secretario se ajusta a lo previsto en la Ley Orgánica del Tribunal Constitucional y su revisión, a efectos de sancionar la acumulación pretendida, resulta prematura, pues semejante actuación tiene como presupuesto la admisión de los recursos, cuestión esta aún no decidida por el tribunal.</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w:t>
      </w:r>
      <w:r w:rsidRPr="00C54F26">
        <w:rPr>
          <w:i/>
        </w:rPr>
        <w:t>Sobre el carácter recurrible o revisable de las diligencias de ordenación</w:t>
      </w:r>
      <w:r>
        <w:t>.</w:t>
      </w:r>
    </w:p>
    <w:p w:rsidR="00C54F26" w:rsidRDefault="00C54F26" w:rsidP="00C54F26">
      <w:pPr>
        <w:pStyle w:val="TextoNormal"/>
      </w:pPr>
    </w:p>
    <w:p w:rsidR="00C54F26" w:rsidRDefault="00C54F26" w:rsidP="00C54F26">
      <w:pPr>
        <w:pStyle w:val="TextoNormal"/>
      </w:pPr>
      <w:r>
        <w:t>En primer lugar, el objeto de esta resolución es determinar la admisibilidad de la solicitud de revisión formulada por los recurrentes frente a la diligencia de ordenación del secretario de justicia de la Sección Tercera de este Tribunal, de 20 de noviembre de 2020, y, para el caso de ser la respuesta positiva, examinar la procedencia de las decisiones adoptadas en esa diligencia de ordenación.</w:t>
      </w:r>
    </w:p>
    <w:p w:rsidR="00C54F26" w:rsidRDefault="00C54F26" w:rsidP="00C54F26">
      <w:pPr>
        <w:pStyle w:val="TextoNormal"/>
      </w:pPr>
    </w:p>
    <w:p w:rsidR="00C54F26" w:rsidRDefault="00C54F26" w:rsidP="00C54F26">
      <w:pPr>
        <w:pStyle w:val="TextoNormal"/>
      </w:pPr>
      <w:r>
        <w:t>La Ley Orgánica del Tribunal Constitucional no regula expresamente la impugnación de las diligencias de ordenación de los secretarios de justicia del Tribunal Constitucional. Es más, como declaramos en el ATC 43/2012, de 9 de marzo, no existe la posibilidad de que tales resoluciones sean recurribles en reposición, que resultaría de aplicar supletoriamente la Ley de enjuiciamiento civil, “por resultar incompatible con la atribución por el art. 8.1 LOTC a las secciones del tribunal, compuestas por el respectivo presidente y dos magistrados, del despacho ordinario de los procesos constitucionales” (FJ 1, al que se remiten los ulteriores AATC 179/2019, de 16 de diciembre, FJ 1, y 106/2020, de 21 de septiembre, FJ 1). No obstante, en esa misma decisión también hemos sostenido que “debe entenderse que la intervención de los secretarios de justicia en la tramitación de los procesos constitucionales queda sujeta a la eventual revisión por parte de la Sección (o la Sala, en su caso) de las diligencias de ordenación que aquellos dicten, de suerte que estas diligencias podrán ser confirmadas, modificadas o revocadas, llegado el caso, por resoluciones (providencias y autos) de las Secciones (o Salas)” (</w:t>
      </w:r>
      <w:r w:rsidRPr="00C54F26">
        <w:rPr>
          <w:i/>
        </w:rPr>
        <w:t>ibidem</w:t>
      </w:r>
      <w:r>
        <w:t xml:space="preserve">). Como se argumenta a continuación, “[e]ntenderlo de otro modo conduciría, por otra parte, a un resultado contrario a los principios inspiradores de la LOTC en cuanto al régimen de revisión de las resoluciones del Tribunal Constitucional, toda vez que, siendo las decisiones de trámite de las Secciones, por regla general, susceptibles de recurso de súplica, según el art. 93.2 LOTC, carecería de sentido que las diligencias de ordenación de los Secretarios de Justicia del Tribunal, en cambio, no </w:t>
      </w:r>
      <w:r>
        <w:lastRenderedPageBreak/>
        <w:t>pudiesen ser revisadas por la Sección correspondiente, de suerte que la Sección quedase vinculada sin remedio alguno al criterio del Secretario de Justicia” (</w:t>
      </w:r>
      <w:r w:rsidRPr="00C54F26">
        <w:rPr>
          <w:i/>
        </w:rPr>
        <w:t>ibidem</w:t>
      </w:r>
      <w:r>
        <w:t>). Tal revisión, confirmamos, podrá llevarse a cabo “bien de oficio, bien a instancia de parte o del Ministerio Fiscal” (</w:t>
      </w:r>
      <w:r w:rsidRPr="00C54F26">
        <w:rPr>
          <w:i/>
        </w:rPr>
        <w:t>ibidem</w:t>
      </w:r>
      <w:r>
        <w:t>).</w:t>
      </w:r>
    </w:p>
    <w:p w:rsidR="00C54F26" w:rsidRDefault="00C54F26" w:rsidP="00C54F26">
      <w:pPr>
        <w:pStyle w:val="TextoNormal"/>
      </w:pPr>
    </w:p>
    <w:p w:rsidR="00C54F26" w:rsidRDefault="00C54F26" w:rsidP="00C54F26">
      <w:pPr>
        <w:pStyle w:val="TextoNormal"/>
      </w:pPr>
      <w:r>
        <w:t>De acuerdo con lo expuesto, debe admitirse a trámite la solicitud de revisión de la diligencia de ordenación del secretario de justicia de la Sección Tercera del tribunal.</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w:t>
      </w:r>
      <w:r w:rsidRPr="00C54F26">
        <w:rPr>
          <w:i/>
        </w:rPr>
        <w:t>Sobre el requerimiento de acreditación fehaciente de la fecha de notificación de la resolución recurrida</w:t>
      </w:r>
      <w:r>
        <w:t>.</w:t>
      </w:r>
    </w:p>
    <w:p w:rsidR="00C54F26" w:rsidRDefault="00C54F26" w:rsidP="00C54F26">
      <w:pPr>
        <w:pStyle w:val="TextoNormal"/>
      </w:pPr>
    </w:p>
    <w:p w:rsidR="00C54F26" w:rsidRDefault="00C54F26" w:rsidP="00C54F26">
      <w:pPr>
        <w:pStyle w:val="TextoNormal"/>
      </w:pPr>
      <w:r>
        <w:t>En orden a resolver la cuestión planteada por los recurrentes, relativa al requerimiento de acreditación fehaciente de la fecha de notificación de la resolución recurrida, como acertadamente sostiene el fiscal, se ha de partir del hecho incontestable de que, como sucede en cualquier proceso, corresponde al demandante o recurrente la aportación de los documentos que acrediten el cumplimiento de los presupuestos procesales que condicionan la admisibilidad de su pretensión (ATC 571/1986, de 2 de julio, FJ 2). Desde luego, no cabe trasladar esa carga al órgano jurisdiccional o autoridad de la que dimana la decisión impugnada, mediante una interpretación claramente torticera del art. 51.1 LOTC, como la que efectúan los demandantes de amparo.</w:t>
      </w:r>
    </w:p>
    <w:p w:rsidR="00C54F26" w:rsidRDefault="00C54F26" w:rsidP="00C54F26">
      <w:pPr>
        <w:pStyle w:val="TextoNormal"/>
      </w:pPr>
    </w:p>
    <w:p w:rsidR="00C54F26" w:rsidRDefault="00C54F26" w:rsidP="00C54F26">
      <w:pPr>
        <w:pStyle w:val="TextoNormal"/>
      </w:pPr>
      <w:r>
        <w:t xml:space="preserve">En lo que atañe a la interposición de un recurso de amparo, entre los presupuestos para su admisión se encuentra su tempestividad, con arreglo a los arts. 42, 43.2 y 44.2 de la LOTC, relativos a los plazos de interposición. Como es sabido, esos preceptos fijan plazos de caducidad de la acción de diferente duración según la naturaleza de la decisión o resolución que se pretende impugnar, así como establecen el </w:t>
      </w:r>
      <w:r w:rsidRPr="00C54F26">
        <w:rPr>
          <w:i/>
        </w:rPr>
        <w:t>dies a quo</w:t>
      </w:r>
      <w:r>
        <w:t xml:space="preserve"> para el cómputo de tales plazos que, tratándose de resoluciones jurisdiccionales, viene marcado por la fecha en que fue notificada al actor (art. 44.2 LOTC). Precisamente, para que el tribunal pueda verificar la observancia del plazo legal establecido, el recurrente habrá de acompañar a la demanda la documentación oportuna, que pruebe la fecha a partir de la cual se inicia el referido cómputo (ATC 571/1986, de 2 de julio, FJ 2).</w:t>
      </w:r>
    </w:p>
    <w:p w:rsidR="00C54F26" w:rsidRDefault="00C54F26" w:rsidP="00C54F26">
      <w:pPr>
        <w:pStyle w:val="TextoNormal"/>
      </w:pPr>
    </w:p>
    <w:p w:rsidR="00C54F26" w:rsidRDefault="00C54F26" w:rsidP="00C54F26">
      <w:pPr>
        <w:pStyle w:val="TextoNormal"/>
      </w:pPr>
      <w:r>
        <w:t>Pues bien, en la presente causa, los recurrentes no han satisfecho adecuadamente esa carga, limitándose en su demanda a situar en una fecha, el 29 de septiembre de 2020, la notificación de los autos de la Sala de lo Contencioso del Tribunal Supremo de 15 de septiembre de 2020 impugnados, sin que semejante datación se acredite procesalmente. Así, han considerado cumplido este requisito mediante la aportación de fotocopias del documento justificativo de una notificación realizada a través del sistema de comunicaciones Lexnet. Sin embargo, esa clase de justificante no permite acreditar indubitadamente la fecha de notificación de la resolución recurrida a efectos de determinar que el recurso se ha interpuesto dentro del plazo prescrito por la ley.</w:t>
      </w:r>
    </w:p>
    <w:p w:rsidR="00C54F26" w:rsidRDefault="00C54F26" w:rsidP="00C54F26">
      <w:pPr>
        <w:pStyle w:val="TextoNormal"/>
      </w:pPr>
    </w:p>
    <w:p w:rsidR="00C54F26" w:rsidRDefault="00C54F26" w:rsidP="00C54F26">
      <w:pPr>
        <w:pStyle w:val="TextoNormal"/>
      </w:pPr>
      <w:r>
        <w:t>El secretario de justicia, detectada esa anomalía, como es oportuno, ha concedido, mediante diligencia de ordenación, de 20 de noviembre de 2020, un plazo de diez días para su subsanación, conforme a lo previsto en el art. 49.4 LOTC.</w:t>
      </w:r>
    </w:p>
    <w:p w:rsidR="00C54F26" w:rsidRDefault="00C54F26" w:rsidP="00C54F26">
      <w:pPr>
        <w:pStyle w:val="TextoNormal"/>
      </w:pPr>
    </w:p>
    <w:p w:rsidR="00C54F26" w:rsidRDefault="00C54F26" w:rsidP="00C54F26">
      <w:pPr>
        <w:pStyle w:val="TextoNormal"/>
      </w:pPr>
      <w:r>
        <w:t xml:space="preserve">Para este tribunal, razones de economía procesal recomiendan no limitar las posibilidades de verificación de los requisitos de admisibilidad que efectúa el secretario de justicia en </w:t>
      </w:r>
      <w:r>
        <w:lastRenderedPageBreak/>
        <w:t xml:space="preserve">ese trámite, meramente, a la constatación de los estrictos aspectos mencionados en el propio art. 49 LOTC, a los que se remite el apartado cuarto de ese precepto (“de incumplirse cualquiera de los requisitos establecidos en los apartados que anteceden”), cuya aplicación literal es invocada por los recurrentes. Antes al contrario, su pronunciamiento ha de extenderse a cualquier defecto procesal de naturaleza subsanable que se apreciara en ese momento, y que tendría cabida en el subsiguiente control de admisibilidad de la sección, o la sala, </w:t>
      </w:r>
      <w:r w:rsidRPr="00C54F26">
        <w:rPr>
          <w:i/>
        </w:rPr>
        <w:t>ex</w:t>
      </w:r>
      <w:r>
        <w:t xml:space="preserve"> art. 50 LOTC. Otra lectura crearía una artificiosa diferencia entre los requisitos de admisibilidad que podrían fiscalizarse por el secretario y los que se encontrarían bajo la supervisión de la sección, cuyo único efecto sería, simplemente, el de retrasar ese mismo pronunciamiento, si bien bajo la forma de providencia de inadmisión de la correspondiente sección, o sala, de este Tribunal, como dispone </w:t>
      </w:r>
      <w:r w:rsidRPr="00C54F26">
        <w:rPr>
          <w:i/>
        </w:rPr>
        <w:t>in fine</w:t>
      </w:r>
      <w:r>
        <w:t xml:space="preserve"> el apartado cuarto del último de los preceptos citados. Esta decisión, por lo demás, solo sería recurrible en súplica por el Ministerio Fiscal (art. 50.3 LOTC), con lo que se sustraería a la eventual impugnación por el demandante de amparo.</w:t>
      </w:r>
    </w:p>
    <w:p w:rsidR="00C54F26" w:rsidRDefault="00C54F26" w:rsidP="00C54F26">
      <w:pPr>
        <w:pStyle w:val="TextoNormal"/>
      </w:pPr>
    </w:p>
    <w:p w:rsidR="00C54F26" w:rsidRDefault="00C54F26" w:rsidP="00C54F26">
      <w:pPr>
        <w:pStyle w:val="TextoNormal"/>
      </w:pPr>
      <w:r>
        <w:t>Esta interpretación sistemática y teleológica, que no literal, de lo dispuesto en el precepto aplicable, es la que hemos sostenido en otros pronunciamientos. Así, hemos afirmado que “[l]a subsanabilidad contemplada en el art. 49.4 LOTC se conecta con requisitos formales como la falta de aportación de documentos o de consignación de determinados datos en la demanda de amparo”, excluyendo, precisamente, de esa posibilidad la falta de justificación de la especial trascendencia constitucional del recurso (AATC 188/2008, de 21 de julio, FJ 3; 289/2008, de 22 de septiembre, FJ 3, y 290/2008, de 22 de septiembre, FJ 3); un aspecto que, no obstante, sí se contempla en el apartado primero del art. 49 LOTC.</w:t>
      </w:r>
    </w:p>
    <w:p w:rsidR="00C54F26" w:rsidRDefault="00C54F26" w:rsidP="00C54F26">
      <w:pPr>
        <w:pStyle w:val="TextoNormal"/>
      </w:pPr>
    </w:p>
    <w:p w:rsidR="00C54F26" w:rsidRDefault="00C54F26" w:rsidP="00C54F26">
      <w:pPr>
        <w:pStyle w:val="TextoNormal"/>
      </w:pPr>
      <w:r>
        <w:t>En definitiva, se trata de advertir a los actores acerca de la concurrencia de una causa de inadmisión de la pretensión de amparo, al objeto de que corrija ese defecto que, de otro modo, le sería indicado a la sección, “conforme a lo preceptuado en el art. 50.4”. En consecuencia, ninguna indefensión se causa a los recurrentes mediante esta actuación.</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w:t>
      </w:r>
      <w:r w:rsidRPr="00C54F26">
        <w:rPr>
          <w:i/>
        </w:rPr>
        <w:t>Sobre el requerimiento de interposición separada del recurso de amparo correspondiente a cada procedimiento</w:t>
      </w:r>
      <w:r>
        <w:t>.</w:t>
      </w:r>
    </w:p>
    <w:p w:rsidR="00C54F26" w:rsidRDefault="00C54F26" w:rsidP="00C54F26">
      <w:pPr>
        <w:pStyle w:val="TextoNormal"/>
      </w:pPr>
    </w:p>
    <w:p w:rsidR="00C54F26" w:rsidRDefault="00C54F26" w:rsidP="00C54F26">
      <w:pPr>
        <w:pStyle w:val="TextoNormal"/>
      </w:pPr>
      <w:r>
        <w:t>En la misma diligencia de ordenación impugnada se ha requerido a los recurrentes para que presenten demanda de amparo separada respecto del segundo procedimiento de instancia. En este punto conviene advertir que es esta una respuesta común en la tramitación ordinaria de recursos de amparo, constituyendo, además, una postura ya conocida por los ahora recurrentes, pues esta misma decisión fue aplicada con ocasión del recurso de amparo núm. 4706-2018, interpuesto por don Carles Puigdemont i Casamajó.</w:t>
      </w:r>
    </w:p>
    <w:p w:rsidR="00C54F26" w:rsidRDefault="00C54F26" w:rsidP="00C54F26">
      <w:pPr>
        <w:pStyle w:val="TextoNormal"/>
      </w:pPr>
    </w:p>
    <w:p w:rsidR="00C54F26" w:rsidRDefault="00C54F26" w:rsidP="00C54F26">
      <w:pPr>
        <w:pStyle w:val="TextoNormal"/>
      </w:pPr>
      <w:r>
        <w:t>Los demandantes de amparo pretenden acumular dos procedimientos diversos, los recursos ordinarios con núms. 271-2020 y 278-2020, con origen en dos acuerdos distintos de la Junta Electoral Central, que, como tales, tuvieron un curso separado ante la Sala de lo Contencioso-Administrativo del Tribunal Supremo.</w:t>
      </w:r>
    </w:p>
    <w:p w:rsidR="00C54F26" w:rsidRDefault="00C54F26" w:rsidP="00C54F26">
      <w:pPr>
        <w:pStyle w:val="TextoNormal"/>
      </w:pPr>
    </w:p>
    <w:p w:rsidR="00C54F26" w:rsidRDefault="00C54F26" w:rsidP="00C54F26">
      <w:pPr>
        <w:pStyle w:val="TextoNormal"/>
      </w:pPr>
      <w:r>
        <w:t>En el primero de esos acuerdos, el de 13 de junio de 2019, la Junta Electoral Central rechazó la solicitud de entrega a los ahora recurrentes de las credenciales como diputados electos al Parlamento Europeo tras las elecciones de 26 de mayo de 2019, al no haber acatado la Constitución presencialmente ante la propia junta [</w:t>
      </w:r>
      <w:r w:rsidRPr="00C54F26">
        <w:rPr>
          <w:i/>
        </w:rPr>
        <w:t>ex</w:t>
      </w:r>
      <w:r>
        <w:t xml:space="preserve"> art. 224.2 Ley Orgánica del </w:t>
      </w:r>
      <w:r>
        <w:lastRenderedPageBreak/>
        <w:t>régimen electoral general (LOREG)]. Contra esta decisión interpusieron recurso contencioso-administrativo ante la Sala Tercera del Tribunal Supremo; ampliado, posteriormente, a la comunicación de 17 de junio de 2019 del vicepresidente de la Junta Electoral Central al presidente del Parlamento Europeo, que culminó con la sentencia desestimatoria de 10 de junio de 2020. Igualmente, se desestimó, por auto de 15 de septiembre de 2020, el posterior incidente excepcional de nulidad de actuaciones promovido por los recurrentes.</w:t>
      </w:r>
    </w:p>
    <w:p w:rsidR="00C54F26" w:rsidRDefault="00C54F26" w:rsidP="00C54F26">
      <w:pPr>
        <w:pStyle w:val="TextoNormal"/>
      </w:pPr>
    </w:p>
    <w:p w:rsidR="00C54F26" w:rsidRDefault="00C54F26" w:rsidP="00C54F26">
      <w:pPr>
        <w:pStyle w:val="TextoNormal"/>
      </w:pPr>
      <w:r>
        <w:t>En el segundo acuerdo, el de 20 de junio de 2019, la junta electoral denegó el arbitrio de otras fórmulas no presenciales de acatamiento de la Constitución. Contra esta decisión y contra el acuerdo de la Junta Electoral Central, también de 20 de junio de 2019, por el que se comunicó al Parlamento Europeo que se declaraban vacantes los escaños correspondientes a los recurrentes, se interpuso recurso contencioso-administrativo con fundamentos disímiles a los expuestos en el anterior recurso, que fue desestimado por sentencia de 10 de junio de 2020. Como en el anterior procedimiento, el incidente excepcional de nulidad de actuaciones promovido a continuación resultó desestimado mediante auto de 15 de septiembre de 2020.</w:t>
      </w:r>
    </w:p>
    <w:p w:rsidR="00C54F26" w:rsidRDefault="00C54F26" w:rsidP="00C54F26">
      <w:pPr>
        <w:pStyle w:val="TextoNormal"/>
      </w:pPr>
    </w:p>
    <w:p w:rsidR="00C54F26" w:rsidRDefault="00C54F26" w:rsidP="00C54F26">
      <w:pPr>
        <w:pStyle w:val="TextoNormal"/>
      </w:pPr>
      <w:r>
        <w:t>El secretario de justicia de la Sección Tercera de este tribunal ha requerido a los demandantes a formular separadamente las demandas de amparo correspondientes a cada procedimiento de instancia y, suscribiendo las conclusiones del Ministerio Fiscal, este tribunal entiende que ninguna irregularidad cabe atribuir a tal decisión.</w:t>
      </w:r>
    </w:p>
    <w:p w:rsidR="00C54F26" w:rsidRDefault="00C54F26" w:rsidP="00C54F26">
      <w:pPr>
        <w:pStyle w:val="TextoNormal"/>
      </w:pPr>
    </w:p>
    <w:p w:rsidR="00C54F26" w:rsidRDefault="00C54F26" w:rsidP="00C54F26">
      <w:pPr>
        <w:pStyle w:val="TextoNormal"/>
      </w:pPr>
      <w:r>
        <w:t>Sin perjuicio de si las circunstancias presentes son verdaderamente asimilables a los casos de acumulación inicial alegados por los demandantes en apoyo de su tesis, lo trascendente ahora son las circunstancias temporales del proceso y el hecho de que este tribunal todavía no se ha pronunciado sobre la admisión de las demandas interpuestas, presupuesto indispensable para que se acuerde la acumulación interesada, en los términos previstos en el art. 83 LOTC, siempre que sea procedente.</w:t>
      </w:r>
    </w:p>
    <w:p w:rsidR="00C54F26" w:rsidRDefault="00C54F26" w:rsidP="00C54F26">
      <w:pPr>
        <w:pStyle w:val="TextoNormal"/>
      </w:pPr>
    </w:p>
    <w:p w:rsidR="00C54F26" w:rsidRDefault="00C54F26" w:rsidP="00C54F26">
      <w:pPr>
        <w:pStyle w:val="TextoNormal"/>
      </w:pPr>
      <w:r>
        <w:t>La resolución del secretario de justicia, en modo alguno, prejuzga la decisión relativa a la acumulación de acciones, limitándose a dar curso al procedimiento, pues como ya mantuvimos en el ATC 179/2019, de 16 de diciembre, “[s]olo a la Sección, o, en su caso, a la Sala o al Pleno del Tribunal, le corresponde atendido el contenido de la demanda fijar el objeto de la misma” (FJ 2).</w:t>
      </w:r>
    </w:p>
    <w:p w:rsidR="00C54F26" w:rsidRDefault="00C54F26" w:rsidP="00C54F26">
      <w:pPr>
        <w:pStyle w:val="TextoNormal"/>
      </w:pPr>
    </w:p>
    <w:p w:rsidR="00C54F26" w:rsidRDefault="00C54F26" w:rsidP="00C54F26">
      <w:pPr>
        <w:pStyle w:val="TextoNormal"/>
      </w:pPr>
      <w:r>
        <w:t>Por las razones expuestas debe desestimarse el segundo de los motivos en que los recurrentes fundamentan su solicitud de revisión.</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Desestimar la revisión de la diligencia de ordenación de 20 de noviembre de 2020 del secretario de justicia de la Sección Tercera solicitada por los recurrentes.</w:t>
      </w:r>
    </w:p>
    <w:p w:rsidR="00C54F26" w:rsidRDefault="00C54F26" w:rsidP="00C54F26">
      <w:pPr>
        <w:pStyle w:val="TextoNormal"/>
      </w:pPr>
    </w:p>
    <w:p w:rsidR="00C54F26" w:rsidRDefault="00C54F26" w:rsidP="00C54F26">
      <w:pPr>
        <w:pStyle w:val="TextoNormal"/>
      </w:pPr>
      <w:r>
        <w:t>Madrid, a quince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8" w:name="AUTO_2021_17"/>
      <w:r>
        <w:lastRenderedPageBreak/>
        <w:t>AUTO 17/2021, de 16 de febrero de 2021</w:t>
      </w:r>
    </w:p>
    <w:bookmarkEnd w:id="158"/>
    <w:p w:rsidR="00C54F26" w:rsidRDefault="00C54F26" w:rsidP="00C54F26">
      <w:pPr>
        <w:pStyle w:val="TtuloResolucin"/>
      </w:pPr>
      <w:r>
        <w:t>Pleno</w:t>
      </w:r>
    </w:p>
    <w:p w:rsidR="00C54F26" w:rsidRDefault="00C54F26" w:rsidP="00C54F26">
      <w:pPr>
        <w:pStyle w:val="TextoNormalCentrado"/>
      </w:pPr>
      <w:r>
        <w:t>ECLI:ES:TC:2021:17A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Acepta una abstención y archiva la recusación en el recurso de amparo 5382-2019, promovido por don Carles Puigdemont i Casamajó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día 23 de septiembre de 2019, don Carlos Ricardo Estévez Sanz, procurador de los tribunales, en representación de don Carles Puigdemont i Casamajó, interpuso recurso de amparo contra el auto de 10 de julio de 2019 de la Sala de lo Penal del Tribunal Supremo en la causa especial 20907-2017, por el que se desestimó el recurso de apelación contra el auto de fecha 20 de febrero de 2019, desestimatorio del recurso de reforma planteado contra el auto de fecha 9 de julio de 2018.</w:t>
      </w:r>
    </w:p>
    <w:p w:rsidR="00C54F26" w:rsidRDefault="00C54F26" w:rsidP="00C54F26">
      <w:pPr>
        <w:pStyle w:val="TextoNormal"/>
      </w:pPr>
    </w:p>
    <w:p w:rsidR="00C54F26" w:rsidRDefault="00C54F26" w:rsidP="00C54F26">
      <w:pPr>
        <w:pStyle w:val="TextoNormal"/>
      </w:pPr>
      <w:r>
        <w:t>Por providencia de 14 de julio de 2020, el Pleno, a propuesta de la Sala, acordó recabar para sí el conocimiento del recurso y admitirlo a trámite.</w:t>
      </w:r>
    </w:p>
    <w:p w:rsidR="00C54F26" w:rsidRDefault="00C54F26" w:rsidP="00C54F26">
      <w:pPr>
        <w:pStyle w:val="TextoNormal"/>
      </w:pPr>
    </w:p>
    <w:p w:rsidR="00C54F26" w:rsidRDefault="00C54F26" w:rsidP="00C54F26">
      <w:pPr>
        <w:pStyle w:val="TextoNormal"/>
      </w:pPr>
      <w:r w:rsidRPr="00C54F26">
        <w:rPr>
          <w:rStyle w:val="NumeroAFNegritaCaracter"/>
        </w:rPr>
        <w:t>2</w:t>
      </w:r>
      <w:r>
        <w:t>. Por escrito registrado en este tribunal el día 6 de octubre de 2020, don Carlos Ricardo Estévez Sanz, procurador de los tribunales, en representación de don Carles Puigdemont i Casamajó, promovió la recusación del magistrado don Antonio Narváez Rodríguez con base en la causa prevista en el apartado décimo del art. 219 de la Ley Orgánica 6/1985, de 1 de julio, del Poder Judicial (LOPJ), por las manifestaciones realizadas en relación con la causa especial núm. 20907/2017 en una conferencia ofrecida el 22 de noviembre de 2017, en la ciudad de Granada, organizada por el llamado Club de la Constitución.</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Mediante providencia del Pleno de 20 de octubre de 2020 se acordó: (i) unir a las actuaciones el escrito de recusación presentado por el procurador don Carlos Ricardo Estévez Sanz; (ii) formar pieza separada de recusación, con suspensión de las actuaciones correspondientes al recurso de amparo núm. 5382-2019; (iii) designar magistrado instructor a don Andrés Ollero Tassara; (iv) trasladar el escrito presentado por la representación procesal de don Carles Puigdemont i Casamajó al Ministerio Fiscal y demás partes personadas para que, en plazo de tres días, manifiesten si se adhieren o se oponen a la causa de recusación propuesta o si, en este momento, conocen alguna otra causa de recusación, y (v) verificado lo anterior, entregar copia al magistrado don Antonio Narváez Rodríguez para que alegue lo estime conveniente. Todo ello condicionado a que, con carácter previo y en el plazo de </w:t>
      </w:r>
      <w:r>
        <w:lastRenderedPageBreak/>
        <w:t>tres días, se aporte por la parte recusante poder especial para recusar al magistrado don Antonio Narváez Rodríguez en el presente proceso.</w:t>
      </w:r>
    </w:p>
    <w:p w:rsidR="00C54F26" w:rsidRDefault="00C54F26" w:rsidP="00C54F26">
      <w:pPr>
        <w:pStyle w:val="TextoNormal"/>
      </w:pPr>
    </w:p>
    <w:p w:rsidR="00C54F26" w:rsidRDefault="00C54F26" w:rsidP="00C54F26">
      <w:pPr>
        <w:pStyle w:val="TextoNormal"/>
      </w:pPr>
      <w:r w:rsidRPr="00C54F26">
        <w:rPr>
          <w:rStyle w:val="NumeroAFNegritaCaracter"/>
        </w:rPr>
        <w:t>4</w:t>
      </w:r>
      <w:r>
        <w:t>. Por escrito registrado en este tribunal el 28 de octubre de 2020 se aportó el poder especial para recusar requerido por providencia de 20 de octubre de 2020.</w:t>
      </w:r>
    </w:p>
    <w:p w:rsidR="00C54F26" w:rsidRDefault="00C54F26" w:rsidP="00C54F26">
      <w:pPr>
        <w:pStyle w:val="TextoNormal"/>
      </w:pPr>
    </w:p>
    <w:p w:rsidR="00C54F26" w:rsidRDefault="00C54F26" w:rsidP="00C54F26">
      <w:pPr>
        <w:pStyle w:val="TextoNormal"/>
      </w:pPr>
      <w:r w:rsidRPr="00C54F26">
        <w:rPr>
          <w:rStyle w:val="NumeroAFNegritaCaracter"/>
        </w:rPr>
        <w:t>5</w:t>
      </w:r>
      <w:r>
        <w:t>. Por diligencia de ordenación de la secretaria del Pleno de 29 de octubre de 2020 se acordó unir el anterior escrito a las actuaciones y dar traslado del mismo al fiscal y demás partes personadas a los efectos acordados en providencia de 20 de octubre de 2020.</w:t>
      </w:r>
    </w:p>
    <w:p w:rsidR="00C54F26" w:rsidRDefault="00C54F26" w:rsidP="00C54F26">
      <w:pPr>
        <w:pStyle w:val="TextoNormal"/>
      </w:pPr>
    </w:p>
    <w:p w:rsidR="00C54F26" w:rsidRDefault="00C54F26" w:rsidP="00C54F26">
      <w:pPr>
        <w:pStyle w:val="TextoNormal"/>
      </w:pPr>
      <w:r w:rsidRPr="00C54F26">
        <w:rPr>
          <w:rStyle w:val="NumeroAFNegritaCaracter"/>
        </w:rPr>
        <w:t>6</w:t>
      </w:r>
      <w:r>
        <w:t>. Por escrito registrado en este tribunal el 3 de noviembre de 2020, doña María del Pilar Hidalgo, en representación del partido político Vox, formuló oposición a la recusación planteada, solicitando su desestimación.</w:t>
      </w:r>
    </w:p>
    <w:p w:rsidR="00C54F26" w:rsidRDefault="00C54F26" w:rsidP="00C54F26">
      <w:pPr>
        <w:pStyle w:val="TextoNormal"/>
      </w:pPr>
    </w:p>
    <w:p w:rsidR="00C54F26" w:rsidRDefault="00C54F26" w:rsidP="00C54F26">
      <w:pPr>
        <w:pStyle w:val="TextoNormal"/>
      </w:pPr>
      <w:r w:rsidRPr="00C54F26">
        <w:rPr>
          <w:rStyle w:val="NumeroAFNegritaCaracter"/>
        </w:rPr>
        <w:t>7</w:t>
      </w:r>
      <w:r>
        <w:t>. El abogado del Estado evacuó el trámite de alegaciones conferido mediante escrito registrado en fecha de noviembre de 2020 en el que solicita la desestimación de la recusación.</w:t>
      </w:r>
    </w:p>
    <w:p w:rsidR="00C54F26" w:rsidRDefault="00C54F26" w:rsidP="00C54F26">
      <w:pPr>
        <w:pStyle w:val="TextoNormal"/>
      </w:pPr>
    </w:p>
    <w:p w:rsidR="00C54F26" w:rsidRDefault="00C54F26" w:rsidP="00C54F26">
      <w:pPr>
        <w:pStyle w:val="TextoNormal"/>
      </w:pPr>
      <w:r w:rsidRPr="00C54F26">
        <w:rPr>
          <w:rStyle w:val="NumeroAFNegritaCaracter"/>
        </w:rPr>
        <w:t>8</w:t>
      </w:r>
      <w:r>
        <w:t>. El 20 de noviembre de 2020 presentó el fiscal su escrito de alegaciones en el que interesa, con carácter principal, la inadmisión y, de manera subsidiaria, la plena desestimación de la apreciación de la causa de recusación promovida.</w:t>
      </w:r>
    </w:p>
    <w:p w:rsidR="00C54F26" w:rsidRDefault="00C54F26" w:rsidP="00C54F26">
      <w:pPr>
        <w:pStyle w:val="TextoNormal"/>
      </w:pPr>
    </w:p>
    <w:p w:rsidR="00C54F26" w:rsidRDefault="00C54F26" w:rsidP="00C54F26">
      <w:pPr>
        <w:pStyle w:val="TextoNormal"/>
      </w:pPr>
      <w:r w:rsidRPr="00C54F26">
        <w:rPr>
          <w:rStyle w:val="NumeroAFNegritaCaracter"/>
        </w:rPr>
        <w:t>9</w:t>
      </w:r>
      <w:r>
        <w:t>. El 23 de noviembre de 2020, el magistrado don Antonio Narváez Rodríguez dio cumplimiento al trámite conferido. En su informe sostiene la extemporaneidad de la presentación del escrito de recusación y el rechazo del motivo de recusación alegado.</w:t>
      </w:r>
    </w:p>
    <w:p w:rsidR="00C54F26" w:rsidRDefault="00C54F26" w:rsidP="00C54F26">
      <w:pPr>
        <w:pStyle w:val="TextoNormal"/>
      </w:pPr>
    </w:p>
    <w:p w:rsidR="00C54F26" w:rsidRDefault="00C54F26" w:rsidP="00C54F26">
      <w:pPr>
        <w:pStyle w:val="TextoNormal"/>
      </w:pPr>
      <w:r w:rsidRPr="00C54F26">
        <w:rPr>
          <w:rStyle w:val="NumeroAFNegritaCaracter"/>
        </w:rPr>
        <w:t>10</w:t>
      </w:r>
      <w:r>
        <w:t>. El magistrado instructor del incidente de recusación, don Andrés Ollero Tassara, acordó mediante providencia del de 24 de noviembre de 2020: (i) unir a la pieza separada el escrito de alegaciones del abogado del Estado, de la procuradora de los tribunales doña María del Pilar Hidalgo López, en representación del partido político Vox, y del Ministerio Fiscal; (ii) tener por evacuado el trámite de audiencia solicitado al magistrado don Antonio Narváez Rodríguez e incorporar sus alegaciones a la pieza, y (iii) remitir lo actuado al Pleno del tribunal para la resolución del incidente, de conformidad con lo dispuesto en el art. 225.3, párrafo segundo LOPJ, en relación con el art. 80 de la Ley Orgánica del Tribunal Constitucional (LOTC).</w:t>
      </w:r>
    </w:p>
    <w:p w:rsidR="00C54F26" w:rsidRDefault="00C54F26" w:rsidP="00C54F26">
      <w:pPr>
        <w:pStyle w:val="TextoNormal"/>
      </w:pPr>
    </w:p>
    <w:p w:rsidR="00C54F26" w:rsidRDefault="00C54F26" w:rsidP="00C54F26">
      <w:pPr>
        <w:pStyle w:val="TextoNormal"/>
      </w:pPr>
      <w:r w:rsidRPr="00C54F26">
        <w:rPr>
          <w:rStyle w:val="NumeroAFNegritaCaracter"/>
        </w:rPr>
        <w:t>11</w:t>
      </w:r>
      <w:r>
        <w:t>. Mediante providencia de 15 de diciembre de 2020, el Pleno tuvo por recibida del instructor la pieza separada de recusación y acordó: (i) dar traslado al Ministerio Fiscal para informe en el plazo de tres días, de conformidad con lo dispuesto en el art. 225.3, párrafo tercero LOPJ, en relación con el art. 80 LOTC, y (ii) designar ponente a la magistrada doña Encarnación Roca Trías para que proponga al Pleno la resolución que proceda.</w:t>
      </w:r>
    </w:p>
    <w:p w:rsidR="00C54F26" w:rsidRDefault="00C54F26" w:rsidP="00C54F26">
      <w:pPr>
        <w:pStyle w:val="TextoNormal"/>
      </w:pPr>
    </w:p>
    <w:p w:rsidR="00C54F26" w:rsidRDefault="00C54F26" w:rsidP="00C54F26">
      <w:pPr>
        <w:pStyle w:val="TextoNormal"/>
      </w:pPr>
      <w:r w:rsidRPr="00C54F26">
        <w:rPr>
          <w:rStyle w:val="NumeroAFNegritaCaracter"/>
        </w:rPr>
        <w:t>12</w:t>
      </w:r>
      <w:r>
        <w:t>. El Ministerio Fiscal presentó escrito alegaciones ante este tribunal el 14 de enero de 2021, en el que se afirma y ratifica íntegramente en las alegaciones efectuadas en la presente pieza separada de recusación mediante escrito registrado el 20 de noviembre de 2020.</w:t>
      </w:r>
    </w:p>
    <w:p w:rsidR="00C54F26" w:rsidRDefault="00C54F26" w:rsidP="00C54F26">
      <w:pPr>
        <w:pStyle w:val="TextoNormal"/>
      </w:pPr>
    </w:p>
    <w:p w:rsidR="00C54F26" w:rsidRDefault="00C54F26" w:rsidP="00C54F26">
      <w:pPr>
        <w:pStyle w:val="TextoNormal"/>
      </w:pPr>
      <w:r w:rsidRPr="00C54F26">
        <w:rPr>
          <w:rStyle w:val="NumeroAFNegritaCaracter"/>
        </w:rPr>
        <w:t>13</w:t>
      </w:r>
      <w:r>
        <w:t>. El 16 de febrero de 2021, el magistrado don Antonio Narváez Rodríguez presentó escrito en el que pone en conocimiento del Pleno de este tribunal, por conducto de su presidente, a los efectos procesales oportunos, lo siguiente:</w:t>
      </w:r>
    </w:p>
    <w:p w:rsidR="00C54F26" w:rsidRDefault="00C54F26" w:rsidP="00C54F26">
      <w:pPr>
        <w:pStyle w:val="TextoNormal"/>
      </w:pPr>
    </w:p>
    <w:p w:rsidR="00C54F26" w:rsidRDefault="00C54F26" w:rsidP="00C54F26">
      <w:pPr>
        <w:pStyle w:val="TextoNormal"/>
      </w:pPr>
      <w:r>
        <w:t>“Deseo comunicar al Pleno del Tribunal mi decisión de abstenerme de participar en las deliberaciones y de intervenir como magistrado en las resoluciones que este Tribunal haya de dictar en todos los recursos de amparo interpuestos contra autos recaídos en la causa especial núm. 20907-2017 de la Sala Segunda del Tribunal Supremo, así como contra la sentencia de 14 de octubre de 2019, dictada por ese Alto Tribunal en aquel procedimiento.</w:t>
      </w:r>
    </w:p>
    <w:p w:rsidR="00C54F26" w:rsidRDefault="00C54F26" w:rsidP="00C54F26">
      <w:pPr>
        <w:pStyle w:val="TextoNormal"/>
      </w:pPr>
    </w:p>
    <w:p w:rsidR="00C54F26" w:rsidRDefault="00C54F26" w:rsidP="00C54F26">
      <w:pPr>
        <w:pStyle w:val="TextoNormal"/>
      </w:pPr>
      <w:r>
        <w:t>Asimismo y, en correspondencia con esta decisión, declino también las ponencias de los recursos de amparo núms. 1599-2020 (demandante doña Dolors Bassa i Coll) y 1611-2020 (demandante doña Carme Forcadell i Lluis). Considero que con esta decisión contribuyo a fortalecer la idea de independencia e imparcialidad del Tribunal al que me honro en pertenecer.</w:t>
      </w:r>
    </w:p>
    <w:p w:rsidR="00C54F26" w:rsidRDefault="00C54F26" w:rsidP="00C54F26">
      <w:pPr>
        <w:pStyle w:val="TextoNormal"/>
      </w:pPr>
    </w:p>
    <w:p w:rsidR="00C54F26" w:rsidRDefault="00C54F26" w:rsidP="00C54F26">
      <w:pPr>
        <w:pStyle w:val="TextoNormal"/>
      </w:pPr>
      <w:r>
        <w:t>Lo que pongo en conocimiento del Pleno, por conducto del Exmo. Sr. Presidente del Tribunal, a los efectos procesales oportunos”.</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Pleno, visto el escrito presentado por don Carles Puigdemont i Casamajó en el que promueve la recusación del magistrado don Antonio Narváez Rodríguez con base en la causa prevista en el art. 219.10 LOPJ, así como el escrito presentado por el magistrado don Antonio Narváez Rodríguez el 16 de febrero de 2021, en el que comunica su intención de abstenerse por considerar que con su decisión contribuye “a fortalecer la idea de independencia e imparcialidad del tribunal al que me honro en pertenecer”, acepta la abstención formulada.</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Aceptar la abstención formulada por el magistrado don Antonio Narváez Rodríguez en el recurso de amparo núm. 5382-2019, y apartarle definitivamente del referido recurso y de todas sus incidencias.</w:t>
      </w:r>
    </w:p>
    <w:p w:rsidR="00C54F26" w:rsidRDefault="00C54F26" w:rsidP="00C54F26">
      <w:pPr>
        <w:pStyle w:val="TextoNormal"/>
      </w:pPr>
    </w:p>
    <w:p w:rsidR="00C54F26" w:rsidRDefault="00C54F26" w:rsidP="00C54F26">
      <w:pPr>
        <w:pStyle w:val="TextoNormal"/>
      </w:pPr>
      <w:r>
        <w:t>2º Archivar la pieza separada de recusación del recurso de amparo núm. 5382-2019 formulada por don Carles Puigdemont i Casamajó, por pérdida de objeto.</w:t>
      </w:r>
    </w:p>
    <w:p w:rsidR="00C54F26" w:rsidRDefault="00C54F26" w:rsidP="00C54F26">
      <w:pPr>
        <w:pStyle w:val="TextoNormal"/>
      </w:pPr>
    </w:p>
    <w:p w:rsidR="00C54F26" w:rsidRDefault="00C54F26" w:rsidP="00C54F26">
      <w:pPr>
        <w:pStyle w:val="TextoNormal"/>
      </w:pPr>
      <w:r>
        <w:t>Contra la presente resolución no cabe recurso alguno (art. 221.4 LOPJ).</w:t>
      </w:r>
    </w:p>
    <w:p w:rsidR="00C54F26" w:rsidRDefault="00C54F26" w:rsidP="00C54F26">
      <w:pPr>
        <w:pStyle w:val="TextoNormal"/>
      </w:pPr>
    </w:p>
    <w:p w:rsidR="00C54F26" w:rsidRDefault="00C54F26" w:rsidP="00C54F26">
      <w:pPr>
        <w:pStyle w:val="TextoNormal"/>
      </w:pPr>
      <w:r>
        <w:t>Madrid, a dieciséis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59" w:name="AUTO_2021_18"/>
      <w:r>
        <w:lastRenderedPageBreak/>
        <w:t>AUTO 18/2021, de 16 de febrero de 2021</w:t>
      </w:r>
    </w:p>
    <w:bookmarkEnd w:id="159"/>
    <w:p w:rsidR="00C54F26" w:rsidRDefault="00C54F26" w:rsidP="00C54F26">
      <w:pPr>
        <w:pStyle w:val="TtuloResolucin"/>
      </w:pPr>
      <w:r>
        <w:t>Pleno</w:t>
      </w:r>
    </w:p>
    <w:p w:rsidR="00C54F26" w:rsidRDefault="00C54F26" w:rsidP="00C54F26">
      <w:pPr>
        <w:pStyle w:val="TextoNormalCentrado"/>
      </w:pPr>
      <w:r>
        <w:t>ECLI:ES:TC:2021:18A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Extiende la abstención acordada en el auto 17/2021 a varios recursos de amparo.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t>Único. El 16 de febrero de 2021, el magistrado don Antonio Narváez Rodríguez presentó escrito en el que pone en conocimiento del Pleno de este tribunal, por conducto de su presidente, a los efectos procesales oportunos, lo siguiente:</w:t>
      </w:r>
    </w:p>
    <w:p w:rsidR="00C54F26" w:rsidRDefault="00C54F26" w:rsidP="00C54F26">
      <w:pPr>
        <w:pStyle w:val="TextoNormal"/>
      </w:pPr>
    </w:p>
    <w:p w:rsidR="00C54F26" w:rsidRDefault="00C54F26" w:rsidP="00C54F26">
      <w:pPr>
        <w:pStyle w:val="TextoNormal"/>
      </w:pPr>
      <w:r>
        <w:t>“Deseo comunicar al Pleno del Tribunal mi decisión de abstenerme de participar en las deliberaciones y de intervenir como magistrado en las resoluciones que este tribunal haya de dictar en todos los recursos de amparo interpuestos contra autos recaídos en la causa especial núm. 20907-2017 de la Sala Segunda del Tribunal Supremo, así como contra la sentencia de 14 de octubre de 2019, dictada por ese Alto Tribunal en aquel procedimiento.</w:t>
      </w:r>
    </w:p>
    <w:p w:rsidR="00C54F26" w:rsidRDefault="00C54F26" w:rsidP="00C54F26">
      <w:pPr>
        <w:pStyle w:val="TextoNormal"/>
      </w:pPr>
    </w:p>
    <w:p w:rsidR="00C54F26" w:rsidRDefault="00C54F26" w:rsidP="00C54F26">
      <w:pPr>
        <w:pStyle w:val="TextoNormal"/>
      </w:pPr>
      <w:r>
        <w:t>Asimismo y, en correspondencia con esta decisión, declino también las ponencias de los recursos de amparo núms. 1599-2020 (demandante doña Dolors Bassa i Coll) y 1611-2020 (demandante doña Carme Forcadell i Lluis). Considero que con esta decisión contribuyo a fortalecer la idea de independencia e imparcialidad del Tribunal al que me honro en pertenecer.</w:t>
      </w:r>
    </w:p>
    <w:p w:rsidR="00C54F26" w:rsidRDefault="00C54F26" w:rsidP="00C54F26">
      <w:pPr>
        <w:pStyle w:val="TextoNormal"/>
      </w:pPr>
    </w:p>
    <w:p w:rsidR="00C54F26" w:rsidRDefault="00C54F26" w:rsidP="00C54F26">
      <w:pPr>
        <w:pStyle w:val="TextoNormal"/>
      </w:pPr>
      <w:r>
        <w:t>Lo que pongo en conocimiento del Pleno, por conducto del Exmo. Sr. Presidente del Tribunal, a los efectos procesales oportunos”.</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Aceptada por el Pleno la abstención formulada por el magistrado don Antonio Narváez en el recurso de amparo núm. 5382-2019, dicha decisión se hace extensiva a los recursos de amparo interpuestos contra las resoluciones recaídas en la causa especial núm. 20907-2017 de la Sala Segunda del Tribunal Supremo pendientes de resolución, como así el referido magistrado solicita.</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Aceptar la abstención formulada por el magistrado don Antonio Narváez Rodríguez para el conocimiento de los recursos de amparo núms. 6417-2019, 6419-2019, 6711-2019, 6720-2019, 64-2020, 212-2020, 1403-2020, 1406-2020, 1407-2020, 1447-2020, 1474-2020, 1523-2020, 1599-2020, 1611-2020, 1621-2020, 1634-2020, 1638-2020 y 1640-2020, pendientes de resolución, y apartarle definitivamente de los referidos recursos y de todas sus incidencias.</w:t>
      </w:r>
    </w:p>
    <w:p w:rsidR="00C54F26" w:rsidRDefault="00C54F26" w:rsidP="00C54F26">
      <w:pPr>
        <w:pStyle w:val="TextoNormal"/>
      </w:pPr>
    </w:p>
    <w:p w:rsidR="00C54F26" w:rsidRDefault="00C54F26" w:rsidP="00C54F26">
      <w:pPr>
        <w:pStyle w:val="TextoNormal"/>
      </w:pPr>
      <w:r>
        <w:t>2º Archivar la pieza separada de recusación de los recursos de amparo núms. 6417-2019, 6419-2019, 6720-2019, 64-2020, 1403-2020, 1406-2020, 1407-2020, 1474-2020, 1599-2020, 1611-2020 y 1621-2020, por pérdida de objeto.</w:t>
      </w:r>
    </w:p>
    <w:p w:rsidR="00C54F26" w:rsidRDefault="00C54F26" w:rsidP="00C54F26">
      <w:pPr>
        <w:pStyle w:val="TextoNormal"/>
      </w:pPr>
    </w:p>
    <w:p w:rsidR="00C54F26" w:rsidRDefault="00C54F26" w:rsidP="00C54F26">
      <w:pPr>
        <w:pStyle w:val="TextoNormal"/>
      </w:pPr>
      <w:r>
        <w:t>Contra la presente resolución no cabe recurso alguno (art. 221.4 de la Ley Orgánica del Poder Judicial).</w:t>
      </w:r>
    </w:p>
    <w:p w:rsidR="00C54F26" w:rsidRDefault="00C54F26" w:rsidP="00C54F26">
      <w:pPr>
        <w:pStyle w:val="TextoNormal"/>
      </w:pPr>
    </w:p>
    <w:p w:rsidR="00C54F26" w:rsidRDefault="00C54F26" w:rsidP="00C54F26">
      <w:pPr>
        <w:pStyle w:val="TextoNormal"/>
      </w:pPr>
      <w:r>
        <w:t>Madrid, a dieciséis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0" w:name="AUTO_2021_19"/>
      <w:r>
        <w:lastRenderedPageBreak/>
        <w:t>AUTO 19/2021, de 16 de febrero de 2021</w:t>
      </w:r>
    </w:p>
    <w:bookmarkEnd w:id="160"/>
    <w:p w:rsidR="00C54F26" w:rsidRDefault="00C54F26" w:rsidP="00C54F26">
      <w:pPr>
        <w:pStyle w:val="TtuloResolucin"/>
      </w:pPr>
      <w:r>
        <w:t>Sección Primera</w:t>
      </w:r>
    </w:p>
    <w:p w:rsidR="00C54F26" w:rsidRDefault="00C54F26" w:rsidP="00C54F26">
      <w:pPr>
        <w:pStyle w:val="TextoNormalCentrado"/>
      </w:pPr>
      <w:r>
        <w:t>ECLI:ES:TC:2021:19A</w:t>
      </w:r>
    </w:p>
    <w:p w:rsidR="00C54F26" w:rsidRDefault="00C54F26" w:rsidP="00C54F26">
      <w:pPr>
        <w:pStyle w:val="TextoNormalCentrado"/>
      </w:pPr>
    </w:p>
    <w:p w:rsidR="00C54F26" w:rsidRDefault="00C54F26" w:rsidP="00C54F26">
      <w:pPr>
        <w:pStyle w:val="SntesisDescriptiva"/>
      </w:pPr>
      <w:r>
        <w:t>Excms. Srs. don Juan José González Rivas, don Alfredo Montoya Melgar y don Cándido Conde-Pumpido Tourón.</w:t>
      </w:r>
    </w:p>
    <w:p w:rsidR="00C54F26" w:rsidRDefault="00C54F26" w:rsidP="00C54F26">
      <w:pPr>
        <w:pStyle w:val="SntesisDescriptiva"/>
      </w:pPr>
    </w:p>
    <w:p w:rsidR="00C54F26" w:rsidRDefault="00C54F26" w:rsidP="00C54F26">
      <w:pPr>
        <w:pStyle w:val="SntesisDescriptiva"/>
      </w:pPr>
      <w:r>
        <w:t>Acepta una abstención en el recurso de amparo 5584-2020, promovido por Ferbell Terranova, S.L.,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En el recurso de amparo 5584-2020 se impugnan auto y sentencia del Juzgado de lo Contencioso-Administrativo núm. 15 de Barcelona en procedimiento ordinario núm. 436-2015.</w:t>
      </w:r>
    </w:p>
    <w:p w:rsidR="00C54F26" w:rsidRDefault="00C54F26" w:rsidP="00C54F26">
      <w:pPr>
        <w:pStyle w:val="TextoNormal"/>
      </w:pPr>
    </w:p>
    <w:p w:rsidR="00C54F26" w:rsidRDefault="00C54F26" w:rsidP="00C54F26">
      <w:pPr>
        <w:pStyle w:val="TextoNormal"/>
      </w:pPr>
      <w:r w:rsidRPr="00C54F26">
        <w:rPr>
          <w:rStyle w:val="NumeroAFNegritaCaracter"/>
        </w:rPr>
        <w:t>2</w:t>
      </w:r>
      <w:r>
        <w:t>. Mediante escrito de 10 de febrero de 2021 el magistrado don Alfredo Montoya Melgar manifestó, conforme a lo previsto en el art. 217 de la Ley Orgánica del Poder Judicial (LOPJ), en relación con el art. 80 de la Ley Orgánica del Tribunal Constitucional, su voluntad de abstenerse en el conocimiento del recurso de amparo 5584-2020 y todas sus incidencias, al concurrir en él la causa establecida en el art. 219.10 LOPJ (tener interés indirecto en la causa).</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10 del art. 219 LOPJ (interés indirecto en la causa).</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Estimar justificada la abstención formulada por el magistrado don Alfredo Montoya Melgar en el recurso de amparo 5584-2020 apartarle definitivamente del conocimiento del referido recurso y de todas sus incidencias.</w:t>
      </w:r>
    </w:p>
    <w:p w:rsidR="00C54F26" w:rsidRDefault="00C54F26" w:rsidP="00C54F26">
      <w:pPr>
        <w:pStyle w:val="TextoNormal"/>
      </w:pPr>
    </w:p>
    <w:p w:rsidR="00C54F26" w:rsidRDefault="00C54F26" w:rsidP="00C54F26">
      <w:pPr>
        <w:pStyle w:val="TextoNormal"/>
      </w:pPr>
      <w:r>
        <w:t>Madrid, a dieciséis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1" w:name="AUTO_2021_20"/>
      <w:r>
        <w:lastRenderedPageBreak/>
        <w:t>AUTO 20/2021, de 22 de febrero de 2021</w:t>
      </w:r>
    </w:p>
    <w:bookmarkEnd w:id="161"/>
    <w:p w:rsidR="00C54F26" w:rsidRDefault="00C54F26" w:rsidP="00C54F26">
      <w:pPr>
        <w:pStyle w:val="TtuloResolucin"/>
      </w:pPr>
      <w:r>
        <w:t>Sección Primera</w:t>
      </w:r>
    </w:p>
    <w:p w:rsidR="00C54F26" w:rsidRDefault="00C54F26" w:rsidP="00C54F26">
      <w:pPr>
        <w:pStyle w:val="TextoNormalCentrado"/>
      </w:pPr>
      <w:r>
        <w:t>ECLI:ES:TC:2021:20A</w:t>
      </w:r>
    </w:p>
    <w:p w:rsidR="00C54F26" w:rsidRDefault="00C54F26" w:rsidP="00C54F26">
      <w:pPr>
        <w:pStyle w:val="TextoNormalCentrado"/>
      </w:pPr>
    </w:p>
    <w:p w:rsidR="00C54F26" w:rsidRDefault="00C54F26" w:rsidP="00C54F26">
      <w:pPr>
        <w:pStyle w:val="SntesisDescriptiva"/>
      </w:pPr>
      <w:r>
        <w:t>Excms. Srs. don Juan José González Rivas y don Alfredo Montoya Melgar.</w:t>
      </w:r>
    </w:p>
    <w:p w:rsidR="00C54F26" w:rsidRDefault="00C54F26" w:rsidP="00C54F26">
      <w:pPr>
        <w:pStyle w:val="SntesisDescriptiva"/>
      </w:pPr>
    </w:p>
    <w:p w:rsidR="00C54F26" w:rsidRDefault="00C54F26" w:rsidP="00C54F26">
      <w:pPr>
        <w:pStyle w:val="SntesisDescriptiva"/>
      </w:pPr>
      <w:r>
        <w:t>Acepta una abstención en el recurso de amparo 3816-2020, promovido por don Ikram Benhaddi,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t>Único: El presente recurso de amparo se dirige contra el auto de fecha 2 de julio de 2020, dictado por la Sala de lo Penal del Tribunal Supremo, en la que se declaraba no haber lugar a autorizar a la demandante a interponer recurso de revisión contra la sentencia dictada por esa misma Sala de fecha 10 de febrero de 2017, en la que se desestimaba el recurso de casación interpuesto contra la sentencia de fecha 23 de junio de 2016 dictada por la Sección Primera de la Audiencia Provincial de Zaragoza.</w:t>
      </w:r>
    </w:p>
    <w:p w:rsidR="00C54F26" w:rsidRDefault="00C54F26" w:rsidP="00C54F26">
      <w:pPr>
        <w:pStyle w:val="TextoNormal"/>
      </w:pPr>
    </w:p>
    <w:p w:rsidR="00C54F26" w:rsidRDefault="00C54F26" w:rsidP="00C54F26">
      <w:pPr>
        <w:pStyle w:val="TextoNormal"/>
      </w:pPr>
      <w:r>
        <w:t>Mediante escrito fechado el 22 de febrero de 2021,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219.11 de la Ley Orgánica del Poder Judicial (LOPJ).</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Vista la comunicación efectuada por don Cándido Conde-Pumpido Tourón magistrado de esta Sección Primera del Tribunal Constitucional, la Sección, en virtud de lo previsto en el art. 219.11 LOPJ, supletoria de la Ley Orgánica del Tribunal Constitucional (art. 80), estima justificada la causa de abstención formulada.</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Estimar justificada la abstención formulada por el magistrado don Cándido Conde-Pumpido Tourón en el recurso de amparo núm. 3816-2020, apartándole definitivamente del conocimiento del referido recurso y de todas sus incidencias.</w:t>
      </w:r>
    </w:p>
    <w:p w:rsidR="00C54F26" w:rsidRDefault="00C54F26" w:rsidP="00C54F26">
      <w:pPr>
        <w:pStyle w:val="TextoNormal"/>
      </w:pPr>
    </w:p>
    <w:p w:rsidR="00C54F26" w:rsidRDefault="00C54F26" w:rsidP="00C54F26">
      <w:pPr>
        <w:pStyle w:val="TextoNormal"/>
      </w:pPr>
      <w:r>
        <w:t>Madrid, a veintidós de febrero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2" w:name="AUTO_2021_21"/>
      <w:r>
        <w:lastRenderedPageBreak/>
        <w:t>AUTO 21/2021, de 3 de marzo de 2021</w:t>
      </w:r>
    </w:p>
    <w:bookmarkEnd w:id="162"/>
    <w:p w:rsidR="00C54F26" w:rsidRDefault="00C54F26" w:rsidP="00C54F26">
      <w:pPr>
        <w:pStyle w:val="TtuloResolucin"/>
      </w:pPr>
      <w:r>
        <w:t>Sala Segunda</w:t>
      </w:r>
    </w:p>
    <w:p w:rsidR="00C54F26" w:rsidRDefault="00C54F26" w:rsidP="00C54F26">
      <w:pPr>
        <w:pStyle w:val="TextoNormalCentrado"/>
      </w:pPr>
      <w:r>
        <w:t>ECLI:ES:TC:2021:21A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Desestima el recurso de súplica interpuesto en relación con la atribución de la ponencia de admisión del recurso de amparo 5202-2018, promovido por don Julián Casado Asenjo,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Don Julián Casado Asenjo, representado por la procuradora de los tribunales doña Miriam Martón Guillén, bajo la dirección del letrado don Luis Corno Caparrós, interpuso recurso de amparo contra el auto de la Sección Sexta de la Audiencia Provincial de Alicante 179/2017, de 15 de mayo, pronunciado en el recurso de apelación núm. 930-2017, mediante escrito registrado en este tribunal el 5 de octubre de 2018.</w:t>
      </w:r>
    </w:p>
    <w:p w:rsidR="00C54F26" w:rsidRDefault="00C54F26" w:rsidP="00C54F26">
      <w:pPr>
        <w:pStyle w:val="TextoNormal"/>
      </w:pPr>
    </w:p>
    <w:p w:rsidR="00C54F26" w:rsidRDefault="00C54F26" w:rsidP="00C54F26">
      <w:pPr>
        <w:pStyle w:val="TextoNormal"/>
      </w:pPr>
      <w:r w:rsidRPr="00C54F26">
        <w:rPr>
          <w:rStyle w:val="NumeroAFNegritaCaracter"/>
        </w:rPr>
        <w:t>2</w:t>
      </w:r>
      <w:r>
        <w:t>. La presidenta de la Sala Segunda del tribunal por acuerdo de 14 de enero de 2019, estableció que, visto que los recursos de amparo 5200-2018 y 5202-2018, turnados a la Sala Segunda de este tribunal, provienen del mismo proceso, de conformidad con el acuerdo del Pleno de 23 de octubre de 2013 sobre normas para la designación de ponencias, la del segundo de dichos recursos correspondía a la misma que la del recurso 5200-2018.</w:t>
      </w:r>
    </w:p>
    <w:p w:rsidR="00C54F26" w:rsidRDefault="00C54F26" w:rsidP="00C54F26">
      <w:pPr>
        <w:pStyle w:val="TextoNormal"/>
      </w:pPr>
    </w:p>
    <w:p w:rsidR="00C54F26" w:rsidRDefault="00C54F26" w:rsidP="00C54F26">
      <w:pPr>
        <w:pStyle w:val="TextoNormal"/>
      </w:pPr>
      <w:r w:rsidRPr="00C54F26">
        <w:rPr>
          <w:rStyle w:val="NumeroAFNegritaCaracter"/>
        </w:rPr>
        <w:t>3</w:t>
      </w:r>
      <w:r>
        <w:t>. El demandante de amparo, por escrito registrado el 8 de febrero de 2019, presentó recurso de súplica, alegando que la identidad objetiva de la resolución impugnada con la del recurso de amparo 5200-2018 no permite la acumulación con dicho recurso por imposibilidad objetiva, ya que dicho recurso ha sido inadmitido por providencia de 12 de diciembre de 2018, no se dan los requisitos previstos en el art. 83 de la Ley Orgánica del Tribunal Constitucional (LOTC) para la acumulación ni se ha procedido a dar el trámite de audiencia previsto en el mismo.</w:t>
      </w:r>
    </w:p>
    <w:p w:rsidR="00C54F26" w:rsidRDefault="00C54F26" w:rsidP="00C54F26">
      <w:pPr>
        <w:pStyle w:val="TextoNormal"/>
      </w:pPr>
    </w:p>
    <w:p w:rsidR="00C54F26" w:rsidRDefault="00C54F26" w:rsidP="00C54F26">
      <w:pPr>
        <w:pStyle w:val="TextoNormal"/>
      </w:pPr>
      <w:r w:rsidRPr="00C54F26">
        <w:rPr>
          <w:rStyle w:val="NumeroAFNegritaCaracter"/>
        </w:rPr>
        <w:t>4</w:t>
      </w:r>
      <w:r>
        <w:t>. La secretaria de justicia de la Sala Segunda del Tribunal, mediante diligencia de ordenación de 12 de febrero de 2019, acordó dar traslado del escrito al Ministerio Fiscal por un plazo de tres días para que alegara lo que estimara pertinente en relación con el recurso de súplica formulado, de conformidad con lo prevenido en el art. 93.2 LOTC.</w:t>
      </w:r>
    </w:p>
    <w:p w:rsidR="00C54F26" w:rsidRDefault="00C54F26" w:rsidP="00C54F26">
      <w:pPr>
        <w:pStyle w:val="TextoNormal"/>
      </w:pPr>
    </w:p>
    <w:p w:rsidR="00C54F26" w:rsidRDefault="00C54F26" w:rsidP="00C54F26">
      <w:pPr>
        <w:pStyle w:val="TextoNormal"/>
      </w:pPr>
      <w:r w:rsidRPr="00C54F26">
        <w:rPr>
          <w:rStyle w:val="NumeroAFNegritaCaracter"/>
        </w:rPr>
        <w:t>5</w:t>
      </w:r>
      <w:r>
        <w:t xml:space="preserve">. El Ministerio Fiscal, por escrito registrado el 1 de marzo de 2019, presentó alegaciones interesando la desestimación del recurso, poniendo de manifiesto que carece de objeto la </w:t>
      </w:r>
      <w:r>
        <w:lastRenderedPageBreak/>
        <w:t>impugnación, ya que parte del error de considerar que se trata de una acumulación del art. 83 LOTC cuando en realidad se está acordando solo la designación de magistrado ponente.</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demandante de amparo interpone recurso de súplica contra la decisión de 14 de enero de 2019, por la que se establece, en aplicación del acuerdo del Pleno de 23 de octubre de 2013 sobre normas para la designación de ponencias, que la ponencia de este recurso se corresponda con la del recurso de amparo núm. 5200-2018, por impugnarse en ambos la misma resolución.</w:t>
      </w:r>
    </w:p>
    <w:p w:rsidR="00C54F26" w:rsidRDefault="00C54F26" w:rsidP="00C54F26">
      <w:pPr>
        <w:pStyle w:val="TextoNormal"/>
      </w:pPr>
    </w:p>
    <w:p w:rsidR="00C54F26" w:rsidRDefault="00C54F26" w:rsidP="00C54F26">
      <w:pPr>
        <w:pStyle w:val="TextoNormal"/>
      </w:pPr>
      <w:r>
        <w:t>En los términos expuestos por el Ministerio Fiscal, el recurso debe ser desestimado. Las alegaciones del demandante de amparo se dirigen a combatir una supuesta decisión de acumulación de recursos de amparo adoptada al amparo del art. 83 LOTC. Sin embargo, este no es el contenido del acuerdo impugnado, el cual se limita a aplicar una regla de reparto de ponencias ajena a una eventual decisión sobre acumulación.</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Desestimar el recurso de súplica.</w:t>
      </w:r>
    </w:p>
    <w:p w:rsidR="00C54F26" w:rsidRDefault="00C54F26" w:rsidP="00C54F26">
      <w:pPr>
        <w:pStyle w:val="TextoNormal"/>
      </w:pPr>
    </w:p>
    <w:p w:rsidR="00C54F26" w:rsidRDefault="00C54F26" w:rsidP="00C54F26">
      <w:pPr>
        <w:pStyle w:val="TextoNormal"/>
      </w:pPr>
      <w:r>
        <w:t>Madrid, a tres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3" w:name="AUTO_2021_22"/>
      <w:r>
        <w:lastRenderedPageBreak/>
        <w:t>AUTO 22/2021, de 4 de marzo de 2021</w:t>
      </w:r>
    </w:p>
    <w:bookmarkEnd w:id="163"/>
    <w:p w:rsidR="00C54F26" w:rsidRDefault="00C54F26" w:rsidP="00C54F26">
      <w:pPr>
        <w:pStyle w:val="TtuloResolucin"/>
      </w:pPr>
      <w:r>
        <w:t>Sección Cuarta</w:t>
      </w:r>
    </w:p>
    <w:p w:rsidR="00C54F26" w:rsidRDefault="00C54F26" w:rsidP="00C54F26">
      <w:pPr>
        <w:pStyle w:val="TextoNormalCentrado"/>
      </w:pPr>
      <w:r>
        <w:t>ECLI:ES:TC:2021:22A</w:t>
      </w:r>
    </w:p>
    <w:p w:rsidR="00C54F26" w:rsidRDefault="00C54F26" w:rsidP="00C54F26">
      <w:pPr>
        <w:pStyle w:val="TextoNormalCentrado"/>
      </w:pPr>
    </w:p>
    <w:p w:rsidR="00C54F26" w:rsidRDefault="00C54F26" w:rsidP="00C54F26">
      <w:pPr>
        <w:pStyle w:val="SntesisDescriptiva"/>
      </w:pPr>
      <w:r>
        <w:t>Excms. Srs. don Pedro José González-Trevijano Sánchez y don Ricardo Enríquez Sancho.</w:t>
      </w:r>
    </w:p>
    <w:p w:rsidR="00C54F26" w:rsidRDefault="00C54F26" w:rsidP="00C54F26">
      <w:pPr>
        <w:pStyle w:val="SntesisDescriptiva"/>
      </w:pPr>
    </w:p>
    <w:p w:rsidR="00C54F26" w:rsidRDefault="00C54F26" w:rsidP="00C54F26">
      <w:pPr>
        <w:pStyle w:val="SntesisDescriptiva"/>
      </w:pPr>
      <w:r>
        <w:t>Acepta una abstención y designa nuevo magistrado ponente en el recurso de amparo 1212-2021, promovido por don Carles Puigdemont i Casamajó y don Antoni Comín i Oliveres,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día 3 de marzo de 2021, don Javier Fernández Estrada, procurador de los tribunales, en representación de don Carles Puigdemont i Casamajó y don Antoni Comín i Oliveres, ha interpuesto recurso de amparo contra los autos de 23 de octubre y 28 de diciembre de 2020, de la Sala de lo Penal del Tribunal Supremo, recaídos en la causa especial núm. 20907-2017, por los que, respectivamente, desestimó el primero el recurso de apelación interpuesto por aquellos contra otra precedente resolución del magistrado instructor que había acordado emitir un suplicatorio de suspensión de la inmunidad de los dos recurrentes en cuanto diputados del Parlamento Europeo, e, igualmente, desestimó el segundo el incidente de nulidad de actuaciones promovido contra aquel.</w:t>
      </w:r>
    </w:p>
    <w:p w:rsidR="00C54F26" w:rsidRDefault="00C54F26" w:rsidP="00C54F26">
      <w:pPr>
        <w:pStyle w:val="TextoNormal"/>
      </w:pPr>
    </w:p>
    <w:p w:rsidR="00C54F26" w:rsidRDefault="00C54F26" w:rsidP="00C54F26">
      <w:pPr>
        <w:pStyle w:val="TextoNormal"/>
      </w:pPr>
      <w:r w:rsidRPr="00C54F26">
        <w:rPr>
          <w:rStyle w:val="NumeroAFNegritaCaracter"/>
        </w:rPr>
        <w:t>2</w:t>
      </w:r>
      <w:r>
        <w:t>. Por medio de escrito de 4 de marzo de 2021, el magistrado don Antonio Narváez Rodríguez, designado ponente para la resolución del recurso, ha expresado su decisión de abstenerse de su conocimiento y declinar la citada designación, con fundamento en lo dispuesto en el art. 80 de la Ley Orgánica del Tribunal Constitucional (LOTC), en relación con el art. 219.10 de la Ley Orgánica del Poder Judicial.</w:t>
      </w:r>
    </w:p>
    <w:p w:rsidR="00C54F26" w:rsidRDefault="00C54F26" w:rsidP="00C54F26">
      <w:pPr>
        <w:pStyle w:val="TextoNormal"/>
      </w:pPr>
    </w:p>
    <w:p w:rsidR="00C54F26" w:rsidRDefault="00C54F26" w:rsidP="00C54F26">
      <w:pPr>
        <w:pStyle w:val="TextoNormal"/>
      </w:pPr>
      <w:r w:rsidRPr="00C54F26">
        <w:rPr>
          <w:rStyle w:val="NumeroAFNegritaCaracter"/>
        </w:rPr>
        <w:t>3</w:t>
      </w:r>
      <w:r>
        <w:t>. Por acuerdo de 4 de la misma fecha, el Excmo. Sr. presidente del Tribunal ha designado al magistrado don Pedro José González-Trevijano Sánchez, miembro de la Sección Tercera de la Sala Segunda de este tribunal, para sustituir al magistrado abstenido e integrarse en esta Sección Cuarta para el debido conocimiento y resolución de este recurso, de conformidad con lo dispuesto en el acuerdo del Pleno del Tribunal Constitucional de 20 de enero de 2005 (“BOE” núm. 21, de 25 de enero).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Debe ser aceptada la propuesta de abstención del magistrado don Antonio Narváez Rodríguez y de tenerle por apartado del conocimiento de este recurso, así como de su decisión de declinar la ponencia asignada, toda vez que el objeto de este proceso de amparo </w:t>
      </w:r>
      <w:r>
        <w:lastRenderedPageBreak/>
        <w:t>guarda estrecha relación con los diferentes recursos de amparo interpuestos contra resoluciones interlocutorias y contra la sentencia de 14 de octubre de 2019, dictada por la Sala Segunda del Tribunal Supremo en la causa especial núm. 20907-2017.</w:t>
      </w:r>
    </w:p>
    <w:p w:rsidR="00C54F26" w:rsidRDefault="00C54F26" w:rsidP="00C54F26">
      <w:pPr>
        <w:pStyle w:val="TextoNormal"/>
      </w:pPr>
    </w:p>
    <w:p w:rsidR="00C54F26" w:rsidRDefault="00C54F26" w:rsidP="00C54F26">
      <w:pPr>
        <w:pStyle w:val="TextoNormal"/>
      </w:pPr>
      <w:r w:rsidRPr="00C54F26">
        <w:rPr>
          <w:rStyle w:val="NumeroAFNegritaCaracter"/>
        </w:rPr>
        <w:t>2</w:t>
      </w:r>
      <w:r>
        <w:t>. Asimismo, procede la designación del magistrado don Ricardo Enríquez Sancho como ponente para el presente asunto.</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Aceptar la abstención formulada por el magistrado don Antonio Narváez Rodríguez en el recurso de amparo núm. 1212-2021, y apartarle definitivamente del referido recurso y de todas sus incidencias.</w:t>
      </w:r>
    </w:p>
    <w:p w:rsidR="00C54F26" w:rsidRDefault="00C54F26" w:rsidP="00C54F26">
      <w:pPr>
        <w:pStyle w:val="TextoNormal"/>
      </w:pPr>
    </w:p>
    <w:p w:rsidR="00C54F26" w:rsidRDefault="00C54F26" w:rsidP="00C54F26">
      <w:pPr>
        <w:pStyle w:val="TextoNormal"/>
      </w:pPr>
      <w:r>
        <w:t>2º Designar al magistrado don Ricardo Enríquez Sancho como ponente del presente recurso de amparo.</w:t>
      </w:r>
    </w:p>
    <w:p w:rsidR="00C54F26" w:rsidRDefault="00C54F26" w:rsidP="00C54F26">
      <w:pPr>
        <w:pStyle w:val="TextoNormal"/>
      </w:pPr>
    </w:p>
    <w:p w:rsidR="00C54F26" w:rsidRDefault="00C54F26" w:rsidP="00C54F26">
      <w:pPr>
        <w:pStyle w:val="TextoNormal"/>
      </w:pPr>
      <w:r>
        <w:t>Madrid, a cuatro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4" w:name="AUTO_2021_23"/>
      <w:r>
        <w:lastRenderedPageBreak/>
        <w:t>AUTO 23/2021, de 10 de marzo de 2021</w:t>
      </w:r>
    </w:p>
    <w:bookmarkEnd w:id="164"/>
    <w:p w:rsidR="00C54F26" w:rsidRDefault="00C54F26" w:rsidP="00C54F26">
      <w:pPr>
        <w:pStyle w:val="TtuloResolucin"/>
      </w:pPr>
      <w:r>
        <w:t>Sección Tercera</w:t>
      </w:r>
    </w:p>
    <w:p w:rsidR="00C54F26" w:rsidRDefault="00C54F26" w:rsidP="00C54F26">
      <w:pPr>
        <w:pStyle w:val="TextoNormalCentrado"/>
      </w:pPr>
      <w:r>
        <w:t>ECLI:ES:TC:2021:23A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y don Pedro José González-Trevijano Sánchez.</w:t>
      </w:r>
    </w:p>
    <w:p w:rsidR="00C54F26" w:rsidRDefault="00C54F26" w:rsidP="00C54F26">
      <w:pPr>
        <w:pStyle w:val="SntesisDescriptiva"/>
      </w:pPr>
    </w:p>
    <w:p w:rsidR="00C54F26" w:rsidRDefault="00C54F26" w:rsidP="00C54F26">
      <w:pPr>
        <w:pStyle w:val="SntesisDescriptiva"/>
      </w:pPr>
      <w:r>
        <w:t>Desestima el recurso de súplica interpuesto por el Ministerio Fiscal sobre inadmisión del recurso de amparo 6435-2018, promovido por la comunidad de regantes Santa María Magdalena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La comunidad de regantes Santa María Magdalena, representada por la procuradora de los tribunales doña Ana Llorens Pardo, bajo la dirección del letrado don Eduardo Caruz Arcos, interpuso recurso de amparo contra la providencia de la Sección Primera de la Sala de lo Contencioso-Administrativo de la Audiencia Nacional de 16 de octubre de 2018, por la que se inadmite el incidente de nulidad de actuaciones interpuesto contra la sentencia de 18 de mayo de 2017, pronunciada en el procedimiento ordinario núm. 70-2014, mediante escrito registrado en el tribunal el 4 de diciembre de 2018.</w:t>
      </w:r>
    </w:p>
    <w:p w:rsidR="00C54F26" w:rsidRDefault="00C54F26" w:rsidP="00C54F26">
      <w:pPr>
        <w:pStyle w:val="TextoNormal"/>
      </w:pPr>
    </w:p>
    <w:p w:rsidR="00C54F26" w:rsidRDefault="00C54F26" w:rsidP="00C54F26">
      <w:pPr>
        <w:pStyle w:val="TextoNormal"/>
      </w:pPr>
      <w:r w:rsidRPr="00C54F26">
        <w:rPr>
          <w:rStyle w:val="NumeroAFNegritaCaracter"/>
        </w:rPr>
        <w:t>2</w:t>
      </w:r>
      <w:r>
        <w:t>. La demandante de amparo aduce en su recurso la vulneración del derecho a la tutela judicial efectiva (art. 24.1 CE), que imputa a la sentencia de 18 de mayo de 2017 por haber incurrido en incongruencia por error al resolver la impugnación contra la denegación de responsabilidad patrimonial de la administración, ya que no reparó en que la causa de pedir no era la frustración de expectativas derivada de la firma del protocolo de colaboración de 2011 con Sociedad Española de Infraestructuras Agrarias, S.A., sino el cambio de criterio sobre la calificación de las obras y su financiabilidad por la Sociedad Española de Infraestructuras Agrarias, S.A. Igualmente, imputa dicha vulneración a la providencia de 16 de octubre de 2018 por haber impedido el acceso al remedio excepcional del incidente de nulidad de actuaciones, ya que fue inadmitido por extemporaneidad por haberse intentado un recurso de casación, en principio adecuado, y que fue inadmitido por falta de interés casacional objetivo.</w:t>
      </w:r>
    </w:p>
    <w:p w:rsidR="00C54F26" w:rsidRDefault="00C54F26" w:rsidP="00C54F26">
      <w:pPr>
        <w:pStyle w:val="TextoNormal"/>
      </w:pPr>
    </w:p>
    <w:p w:rsidR="00C54F26" w:rsidRDefault="00C54F26" w:rsidP="00C54F26">
      <w:pPr>
        <w:pStyle w:val="TextoNormal"/>
      </w:pPr>
      <w:r>
        <w:t xml:space="preserve">La demandante de amparo expresa que “la especial trascendencia constitucional que justifica la admisión de la presente demanda reside en la falta de armonización del nuevo régimen del recurso de casación contencioso-administrativo (que pivota sobre el concepto del interés casacional objetivo para la formación de jurisprudencia) y la utilización de los remedios excepcionales previstos en el ordenamiento jurídico (incidente excepcional de nulidad de actuaciones), desde la perspectiva del derecho a la tutela judicial efectiva, en su concreta manifestación del derecho de acceso a los recursos y a los remedios procesales que prevé el ordenamiento jurídico en el orden contencioso-administrativo”; destacando que se “hace necesario un pronunciamiento del Tribunal Constitucional que establezca el canon de </w:t>
      </w:r>
      <w:r>
        <w:lastRenderedPageBreak/>
        <w:t xml:space="preserve">constitucionalidad que debe aplicarse por los órganos jurisdiccionales del orden contencioso-administrativo en relación con la interpretación de las normas procesales en la que se subsumen los supuestos de denuncia de derechos fundamentales derivados de la infracción de garantías procesales, o vicios </w:t>
      </w:r>
      <w:r w:rsidRPr="00C54F26">
        <w:rPr>
          <w:i/>
        </w:rPr>
        <w:t>in procedendo</w:t>
      </w:r>
      <w:r>
        <w:t>, que, dada la configuración actual del recurso de casación, no pueden analizarse mediante la preceptiva interposición de este recurso extraordinario, al no presentar, por sí mismos, interés casacional objetivo para la formación de jurisprudencia”.</w:t>
      </w:r>
    </w:p>
    <w:p w:rsidR="00C54F26" w:rsidRDefault="00C54F26" w:rsidP="00C54F26">
      <w:pPr>
        <w:pStyle w:val="TextoNormal"/>
      </w:pPr>
    </w:p>
    <w:p w:rsidR="00C54F26" w:rsidRDefault="00C54F26" w:rsidP="00C54F26">
      <w:pPr>
        <w:pStyle w:val="TextoNormal"/>
      </w:pPr>
      <w:r w:rsidRPr="00C54F26">
        <w:rPr>
          <w:rStyle w:val="NumeroAFNegritaCaracter"/>
        </w:rPr>
        <w:t>3</w:t>
      </w:r>
      <w:r>
        <w:t>. La Sección Tercera del Tribunal, mediante providencia de 25 de julio de 2019, acordó no admitir el recurso a trámite por no apreciar en el mismo la especial trascendencia constitucional que, como condición para su admisión, requiere el art. 50.1 b) LOTC (STC 155/2009, de 25 de junio, FJ 2).</w:t>
      </w:r>
    </w:p>
    <w:p w:rsidR="00C54F26" w:rsidRDefault="00C54F26" w:rsidP="00C54F26">
      <w:pPr>
        <w:pStyle w:val="TextoNormal"/>
      </w:pPr>
    </w:p>
    <w:p w:rsidR="00C54F26" w:rsidRDefault="00C54F26" w:rsidP="00C54F26">
      <w:pPr>
        <w:pStyle w:val="TextoNormal"/>
      </w:pPr>
      <w:r w:rsidRPr="00C54F26">
        <w:rPr>
          <w:rStyle w:val="NumeroAFNegritaCaracter"/>
        </w:rPr>
        <w:t>4</w:t>
      </w:r>
      <w:r>
        <w:t>. El Ministerio Fiscal, por escrito registrado el 23 de septiembre de 2019, interpuso recurso de súplica contra dicha providencia, solicitando que fuera dejada sin efecto la inadmisión por la causa prevista en la misma.</w:t>
      </w:r>
    </w:p>
    <w:p w:rsidR="00C54F26" w:rsidRDefault="00C54F26" w:rsidP="00C54F26">
      <w:pPr>
        <w:pStyle w:val="TextoNormal"/>
      </w:pPr>
    </w:p>
    <w:p w:rsidR="00C54F26" w:rsidRDefault="00C54F26" w:rsidP="00C54F26">
      <w:pPr>
        <w:pStyle w:val="TextoNormal"/>
      </w:pPr>
      <w:r>
        <w:t>El Ministerio Fiscal argumenta que la vulneración aducida del art. 24.1 CE que se imputa a la decisión de inadmisión del incidente de nulidad de actuaciones acordada por la providencia de 16 de octubre de 2018 por extemporaneidad de su planteamiento, una vez intentado el recurso de casación, tiene especial trascendencia constitucional, “en cuanto presenta un interés general relevante y, además, posibilita al tribunal fijar y precisar la doctrina que ya expuso al pronunciarse en algunas de sus resoluciones sobre el alcance de tutela judicial efectiva en relación con el régimen legal del recurso de casación, particularmente, en los AATC 41/2018 y 65/2018”. Igualmente, se destaca que la invocación de este derecho plantea una dimensión objetiva “relativa a la necesidad de armonización del actual régimen del recurso de casación con el mecanismo del incidente de nulidad de actuaciones, en orden a evitar que una aplicación por los órganos judiciales de ambas regulaciones legales, de manera singularizada y desconectada de la garantía de tutela judicial efectiva, puede privar al justiciable de toda posibilidad de obtener el reconocimiento y restablecimiento de los derechos fundamentales por los órganos judiciales”. Por último, también se afirma que la demanda de amparo también ofrece “la posibilidad de fijar y perfilar la doctrina que se estableció en el auto 65/2018 sobre agotamiento de los medios de impugnación tras la nueva regulación del recurso de casación y su armonización con la regulación del incidente de nulidad de actuaciones”.</w:t>
      </w:r>
    </w:p>
    <w:p w:rsidR="00C54F26" w:rsidRDefault="00C54F26" w:rsidP="00C54F26">
      <w:pPr>
        <w:pStyle w:val="TextoNormal"/>
      </w:pPr>
    </w:p>
    <w:p w:rsidR="00C54F26" w:rsidRDefault="00C54F26" w:rsidP="00C54F26">
      <w:pPr>
        <w:pStyle w:val="TextoNormal"/>
      </w:pPr>
      <w:r w:rsidRPr="00C54F26">
        <w:rPr>
          <w:rStyle w:val="NumeroAFNegritaCaracter"/>
        </w:rPr>
        <w:t>5</w:t>
      </w:r>
      <w:r>
        <w:t>. La secretaría de justicia de la Sección Tercera del tribunal, por diligencia de ordenación de 25 de septiembre de 2019, acordó dar traslado del recurso de súplica para alegaciones a la demandante, quien por escrito registrado el 3 de octubre de 2019 se adhirió a los argumentos esgrimidos y a las peticiones contenidas en dicho recurso.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 xml:space="preserve">Único. El tribunal ha establecido que a él corresponde apreciar si el contenido de un recurso de amparo justifica una decisión sobre el fondo en razón de su especial trascendencia constitucional, que encuentra su momento procesal idóneo en el trámite de admisión </w:t>
      </w:r>
      <w:r>
        <w:lastRenderedPageBreak/>
        <w:t>contemplado en el art. 50.1 de la Ley Orgánica del Tribunal Constitucional (LOTC), atendiendo a la valoración de los criterios señalados al efecto en el art. 50.1 b) LOTC y que ha ido desarrollando en su jurisprudencia, singularmente en la STC 155/2009, de 25 de junio (por ejemplo, STC 143/2020, de 19 de octubre, FJ 2).</w:t>
      </w:r>
    </w:p>
    <w:p w:rsidR="00C54F26" w:rsidRDefault="00C54F26" w:rsidP="00C54F26">
      <w:pPr>
        <w:pStyle w:val="TextoNormal"/>
      </w:pPr>
    </w:p>
    <w:p w:rsidR="00C54F26" w:rsidRDefault="00C54F26" w:rsidP="00C54F26">
      <w:pPr>
        <w:pStyle w:val="TextoNormal"/>
      </w:pPr>
      <w:r>
        <w:t>En el presente caso, tanto la demandante de amparo como el Ministerio Fiscal han centrado la especial trascendencia constitucional del recurso en la vulneración del art. 24.1 CE, en que habría incurrido la providencia de 16 de octubre de 2018 por la que se inadmitió el incidente de nulidad de actuaciones por extemporaneidad al haberse acudido al recurso de casación, porque permitiría al tribunal establecer jurisprudencia constitucional sobre la armonización entre el nuevo régimen de recurso de casación contencioso-administrativo y el incidente de nulidad de actuaciones.</w:t>
      </w:r>
    </w:p>
    <w:p w:rsidR="00C54F26" w:rsidRDefault="00C54F26" w:rsidP="00C54F26">
      <w:pPr>
        <w:pStyle w:val="TextoNormal"/>
      </w:pPr>
    </w:p>
    <w:p w:rsidR="00C54F26" w:rsidRDefault="00C54F26" w:rsidP="00C54F26">
      <w:pPr>
        <w:pStyle w:val="TextoNormal"/>
      </w:pPr>
      <w:r>
        <w:t>En el momento de formularse la demanda y resolverse sobre su admisibilidad, el tribunal ya contaba con numerosos pronunciamientos sobre los eventuales problemas de constitucionalidad que, desde la perspectiva del art. 24.1 CE, plantea la inadmisión del incidente de nulidad de actuaciones tras la nueva configuración dada al mismo por la Ley Orgánica 6/2007, de 24 de mayo (así, por ejemplo, SSTC 114/2009, de 14 de mayo, FJ 4; 107/2011, de 20 de junio, FJ 5; 153/2012, de 16 de junio, FFJJ 3 a 5; 9/2014, de 27 de enero, FJ 4; 204/2014, de 15 de diciembre, FFJJ 3 y 4; 91/2015, de 11 de mayo, FFJJ 2 y 3; 180/2015, de 7 de septiembre, FFJJ 6 y 7, o 135/2017, de 27 de noviembre, FJ 4). Igualmente, ya se había pronunciado con carácter general en el ATC 65/2018, de 18 de junio, sobre determinadas cuestiones que podrían derivarse de la necesidad de armonizar la nueva regulación de la casación contencioso-administrativa basada en el interés casacional objetivo con el régimen del incidente de nulidad de actuaciones.</w:t>
      </w:r>
    </w:p>
    <w:p w:rsidR="00C54F26" w:rsidRDefault="00C54F26" w:rsidP="00C54F26">
      <w:pPr>
        <w:pStyle w:val="TextoNormal"/>
      </w:pPr>
    </w:p>
    <w:p w:rsidR="00C54F26" w:rsidRDefault="00C54F26" w:rsidP="00C54F26">
      <w:pPr>
        <w:pStyle w:val="TextoNormal"/>
      </w:pPr>
      <w:r>
        <w:t>La circunstancia de que el pronunciamiento del ATC 65/2018 no lo fuera en un asunto idéntico al presente no impidió al tribunal considerar entonces y confirmar ahora que con la jurisprudencia constitucional existente en la materia los órganos judiciales cuentan con el suficiente bagaje constitucional para establecer un sistema armonizado. Así se evidencia con el hecho de que la propia demandante de amparo citaba en su recurso la jurisprudencia emanada de la Sala de lo Contencioso-Administrativo del Tribunal Supremo respecto de la reapertura del plazo para la formulación de incidente de nulidad de actuaciones ante el órgano judicial de instancia, una vez inadmitido el recurso de casación por falta de interés casacional objetivo. Esta circunstancia también pone de manifiesto que no era de especial transcendencia constitucional la intervención del tribunal respecto de una cuestión de legalidad ordinaria, como es la relativa al acceso al régimen impugnatorio, que, con independencia de que se hubiera o no incumplido en el caso concreto planteado por la demandante de amparo, contaba ya con una solución constitucionalmente adecuada aportada por el órgano jurisdiccional superior en el orden contencioso-administrativo (art. 123.1 CE).</w:t>
      </w:r>
    </w:p>
    <w:p w:rsidR="00C54F26" w:rsidRDefault="00C54F26" w:rsidP="00C54F26">
      <w:pPr>
        <w:pStyle w:val="TextoNormal"/>
      </w:pPr>
    </w:p>
    <w:p w:rsidR="00C54F26" w:rsidRDefault="00C54F26" w:rsidP="00C54F26">
      <w:pPr>
        <w:pStyle w:val="TextoNormal"/>
      </w:pPr>
      <w:r>
        <w:t>Por tanto, el tribunal confirma su inicial apreciación de que el presente recurso carece de la necesaria especial transcendencia constitucional.</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lastRenderedPageBreak/>
        <w:t>Desestimar el recurso de súplica interpuesto por el Ministerio Fiscal.</w:t>
      </w:r>
    </w:p>
    <w:p w:rsidR="00C54F26" w:rsidRDefault="00C54F26" w:rsidP="00C54F26">
      <w:pPr>
        <w:pStyle w:val="TextoNormal"/>
      </w:pPr>
    </w:p>
    <w:p w:rsidR="00C54F26" w:rsidRDefault="00C54F26" w:rsidP="00C54F26">
      <w:pPr>
        <w:pStyle w:val="TextoNormal"/>
      </w:pPr>
      <w:r>
        <w:t>Madrid, a diez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5" w:name="AUTO_2021_24"/>
      <w:r>
        <w:lastRenderedPageBreak/>
        <w:t>AUTO 24/2021, de 10 de marzo de 2021</w:t>
      </w:r>
    </w:p>
    <w:bookmarkEnd w:id="165"/>
    <w:p w:rsidR="00C54F26" w:rsidRDefault="00C54F26" w:rsidP="00C54F26">
      <w:pPr>
        <w:pStyle w:val="TtuloResolucin"/>
      </w:pPr>
      <w:r>
        <w:t>Sección Tercera</w:t>
      </w:r>
    </w:p>
    <w:p w:rsidR="00C54F26" w:rsidRDefault="00C54F26" w:rsidP="00C54F26">
      <w:pPr>
        <w:pStyle w:val="TextoNormalCentrado"/>
      </w:pPr>
      <w:r>
        <w:t>ECLI:ES:TC:2021:24A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y don Pedro José González-Trevijano Sánchez.</w:t>
      </w:r>
    </w:p>
    <w:p w:rsidR="00C54F26" w:rsidRDefault="00C54F26" w:rsidP="00C54F26">
      <w:pPr>
        <w:pStyle w:val="SntesisDescriptiva"/>
      </w:pPr>
    </w:p>
    <w:p w:rsidR="00C54F26" w:rsidRDefault="00C54F26" w:rsidP="00C54F26">
      <w:pPr>
        <w:pStyle w:val="SntesisDescriptiva"/>
      </w:pPr>
      <w:r>
        <w:t>Estima el recurso de súplica interpuesto por el Ministerio Fiscal y ordena la retroacción de actuaciones para que se dicte providencia sobre admisibilidad del recurso de amparo 4886-2019, promovido por doña María Mercedes Rivero Bartolomé,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Doña María Mercedes Rivero Bartolomé, representada por la procuradora de los tribunales doña Yolanda Ortiz Alfonso, bajo la dirección del letrado don Rodrigo Royo López, interpuso recurso de amparo contra el auto del Juzgado de Primera Instancia e Instrucción número 2 de Tarancón núm. 42/2019, de 18 de junio de 2019, pronunciado en el procedimiento de ejecución hipotecaria núm. 137-2011, mediante escrito registrado en este tribunal el 31 de julio de 2019.</w:t>
      </w:r>
    </w:p>
    <w:p w:rsidR="00C54F26" w:rsidRDefault="00C54F26" w:rsidP="00C54F26">
      <w:pPr>
        <w:pStyle w:val="TextoNormal"/>
      </w:pPr>
    </w:p>
    <w:p w:rsidR="00C54F26" w:rsidRDefault="00C54F26" w:rsidP="00C54F26">
      <w:pPr>
        <w:pStyle w:val="TextoNormal"/>
      </w:pPr>
      <w:r w:rsidRPr="00C54F26">
        <w:rPr>
          <w:rStyle w:val="NumeroAFNegritaCaracter"/>
        </w:rPr>
        <w:t>2</w:t>
      </w:r>
      <w:r>
        <w:t>. La demandante de amparo aduce en su recurso la vulneración del derecho a la tutela judicial efectiva (art. 24.1 CE), en su vertiente de derecho de acceso a la jurisdicción, ya que el órgano judicial había procedido a la notificación edictal de su condición de codemandada en el procedimiento de referencia sin haberse desarrollado la actividad judicial necesaria para la localización de un domicilio de notificación alternativo.</w:t>
      </w:r>
    </w:p>
    <w:p w:rsidR="00C54F26" w:rsidRDefault="00C54F26" w:rsidP="00C54F26">
      <w:pPr>
        <w:pStyle w:val="TextoNormal"/>
      </w:pPr>
    </w:p>
    <w:p w:rsidR="00C54F26" w:rsidRDefault="00C54F26" w:rsidP="00C54F26">
      <w:pPr>
        <w:pStyle w:val="TextoNormal"/>
      </w:pPr>
      <w:r w:rsidRPr="00C54F26">
        <w:rPr>
          <w:rStyle w:val="NumeroAFNegritaCaracter"/>
        </w:rPr>
        <w:t>3</w:t>
      </w:r>
      <w:r>
        <w:t>. La Sección Tercera del tribunal, mediante providencia de 4 de junio de 2020, acordó no admitir el recurso a trámite,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00C54F26" w:rsidRDefault="00C54F26" w:rsidP="00C54F26">
      <w:pPr>
        <w:pStyle w:val="TextoNormal"/>
      </w:pPr>
    </w:p>
    <w:p w:rsidR="00C54F26" w:rsidRDefault="00C54F26" w:rsidP="00C54F26">
      <w:pPr>
        <w:pStyle w:val="TextoNormal"/>
      </w:pPr>
      <w:r w:rsidRPr="00C54F26">
        <w:rPr>
          <w:rStyle w:val="NumeroAFNegritaCaracter"/>
        </w:rPr>
        <w:t>4</w:t>
      </w:r>
      <w:r>
        <w:t>. El Ministerio Fiscal, por escrito registrado el 9 de julio de 2020, interpuso recurso de súplica contra dicha providencia, solicitando que fuera dejada sin efecto la inadmisión por la causa prevista en la misma.</w:t>
      </w:r>
    </w:p>
    <w:p w:rsidR="00C54F26" w:rsidRDefault="00C54F26" w:rsidP="00C54F26">
      <w:pPr>
        <w:pStyle w:val="TextoNormal"/>
      </w:pPr>
    </w:p>
    <w:p w:rsidR="00C54F26" w:rsidRDefault="00C54F26" w:rsidP="00C54F26">
      <w:pPr>
        <w:pStyle w:val="TextoNormal"/>
      </w:pPr>
      <w:r>
        <w:t>El Ministerio Fiscal argumenta que la vulneración aducida del art. 24.1 CE por la defectuosa notificación edictal no es manifiestamente inexistente una vez constatado en las actuaciones que el órgano judicial solo hizo un intento de notificación en la finca hipotecada previa a la notificación edictal sin desarrollar actividad alguna para localizar un domicilio de notificación alternativo y sin atender a la circunstancia de que en las propias actuaciones figuraba un domicilio a través de que se estaba en comunicación con la entidad ejecutante.</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5</w:t>
      </w:r>
      <w:r>
        <w:t>. La secretaría de justicia de la Sección Tercera del tribunal, por diligencia de ordenación de 10 de julio de 2020, acordó dar traslado del recurso de súplica para alegaciones a la demandante, quien por escrito registrado el 22 de julio de 2020 se adhirió a los argumentos esgrimidos y a las peticiones contenidas en dicho recurso.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examen de la demanda y de las actuaciones recibidas, a la vista de las alegaciones del Ministerio Fiscal expuestas en el recurso de súplica y de la jurisprudencia de este tribunal sobre el particular, pone de relieve que no puede concluirse que las vulneraciones aducidas por la demandante de amparo sean manifiestamente inexistentes.</w:t>
      </w:r>
    </w:p>
    <w:p w:rsidR="00C54F26" w:rsidRDefault="00C54F26" w:rsidP="00C54F26">
      <w:pPr>
        <w:pStyle w:val="TextoNormal"/>
      </w:pPr>
    </w:p>
    <w:p w:rsidR="00C54F26" w:rsidRDefault="00C54F26" w:rsidP="00C54F26">
      <w:pPr>
        <w:pStyle w:val="TextoNormal"/>
      </w:pPr>
      <w:r>
        <w:t>Por tanto, con estimación del recurso de súplica interpuesto, procede dejar sin efecto la providencia impugnada y reponer las actuaciones a ese momento procesal para que se tome una nueva decisión sobre la admisión de la demanda de amparo.</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Estimar el recurso de súplica interpuesto por el Ministerio Fiscal contra la providencia de 4 de junio de 2020, que se deja sin efecto, y reponer las actuaciones al momento anterior a dictarse la providencia anulada.</w:t>
      </w:r>
    </w:p>
    <w:p w:rsidR="00C54F26" w:rsidRDefault="00C54F26" w:rsidP="00C54F26">
      <w:pPr>
        <w:pStyle w:val="TextoNormal"/>
      </w:pPr>
    </w:p>
    <w:p w:rsidR="00C54F26" w:rsidRDefault="00C54F26" w:rsidP="00C54F26">
      <w:pPr>
        <w:pStyle w:val="TextoNormal"/>
      </w:pPr>
      <w:r>
        <w:t>Madrid, a diez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6" w:name="AUTO_2021_25"/>
      <w:r>
        <w:lastRenderedPageBreak/>
        <w:t>AUTO 25/2021, de 15 de marzo de 2021</w:t>
      </w:r>
    </w:p>
    <w:bookmarkEnd w:id="166"/>
    <w:p w:rsidR="00C54F26" w:rsidRDefault="00C54F26" w:rsidP="00C54F26">
      <w:pPr>
        <w:pStyle w:val="TtuloResolucin"/>
      </w:pPr>
      <w:r>
        <w:t>Sala Primera</w:t>
      </w:r>
    </w:p>
    <w:p w:rsidR="00C54F26" w:rsidRDefault="00C54F26" w:rsidP="00C54F26">
      <w:pPr>
        <w:pStyle w:val="TextoNormalCentrado"/>
      </w:pPr>
      <w:r>
        <w:t>ECLI:ES:TC:2021:25A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Acuerda la acumulación del recurso de amparo 3546-2019 al 3560-2019, promovidos ambos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5 de Lorca en el procedimiento de ejecución hipotecaria núm. 372-2018 en fechas 21 de septiembre de 2018 y 23 de abril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3546-2019, que fue admitido a trámite y cuyo conocimiento correspondió a la Sala Primera de este tribunal.</w:t>
      </w:r>
    </w:p>
    <w:p w:rsidR="00C54F26" w:rsidRDefault="00C54F26" w:rsidP="00C54F26">
      <w:pPr>
        <w:pStyle w:val="TextoNormal"/>
      </w:pPr>
    </w:p>
    <w:p w:rsidR="00C54F26" w:rsidRDefault="00C54F26" w:rsidP="00C54F26">
      <w:pPr>
        <w:pStyle w:val="TextoNormal"/>
      </w:pPr>
      <w:r w:rsidRPr="00C54F26">
        <w:rPr>
          <w:rStyle w:val="NumeroAFNegritaCaracter"/>
        </w:rPr>
        <w:t>2</w:t>
      </w:r>
      <w:r>
        <w:t>. Por escrito registrado en este tribunal el 7 de junio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5 de Lorca en el procedimiento de ejecución hipotecaria núm. 372-2018 en fechas 21 de septiembre de 2018 y 23 de abril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3560-2019 que fue también admitido a trámite y cuyo conocimiento correspondió a la Sala Primera de este tribunal.</w:t>
      </w:r>
    </w:p>
    <w:p w:rsidR="00C54F26" w:rsidRDefault="00C54F26" w:rsidP="00C54F26">
      <w:pPr>
        <w:pStyle w:val="TextoNormal"/>
      </w:pPr>
    </w:p>
    <w:p w:rsidR="00C54F26" w:rsidRDefault="00C54F26" w:rsidP="00C54F26">
      <w:pPr>
        <w:pStyle w:val="TextoNormal"/>
      </w:pPr>
      <w:r w:rsidRPr="00C54F26">
        <w:rPr>
          <w:rStyle w:val="NumeroAFNegritaCaracter"/>
        </w:rPr>
        <w:t>3</w:t>
      </w:r>
      <w:r>
        <w:t>. Después de que los referidos recursos de amparo quedaron conclusos para sentencia, por diligencia de ordenación de 5 de febrero de 2021 se concedió audiencia al Ministerio Fiscal y a las partes por plazo común de diez días por si procediera su acumulación, de conformidad con el art. 83 de la Ley Orgánica del Tribunal Constitucional (LOTC).</w:t>
      </w:r>
    </w:p>
    <w:p w:rsidR="00C54F26" w:rsidRDefault="00C54F26" w:rsidP="00C54F26">
      <w:pPr>
        <w:pStyle w:val="TextoNormal"/>
      </w:pPr>
    </w:p>
    <w:p w:rsidR="00C54F26" w:rsidRDefault="00C54F26" w:rsidP="00C54F26">
      <w:pPr>
        <w:pStyle w:val="TextoNormal"/>
      </w:pPr>
      <w:r w:rsidRPr="00C54F26">
        <w:rPr>
          <w:rStyle w:val="NumeroAFNegritaCaracter"/>
        </w:rPr>
        <w:t>4</w:t>
      </w:r>
      <w:r>
        <w:t>. El Ministerio Fiscal, mediante escritos registrados el 12 de febrero de 2021, manifestó su conformidad a la acumulación. Las partes demandantes de amparo declararon su voluntad de dejar la decisión a criterio del tribunal.</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00C54F26" w:rsidRDefault="00C54F26" w:rsidP="00C54F26">
      <w:pPr>
        <w:pStyle w:val="TextoNormal"/>
      </w:pPr>
    </w:p>
    <w:p w:rsidR="00C54F26" w:rsidRDefault="00C54F26" w:rsidP="00C54F26">
      <w:pPr>
        <w:pStyle w:val="TextoNormal"/>
      </w:pPr>
      <w:r>
        <w:t>En el presente caso, se impugnan las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00C54F26" w:rsidRDefault="00C54F26" w:rsidP="00C54F26">
      <w:pPr>
        <w:pStyle w:val="TextoNormal"/>
      </w:pPr>
    </w:p>
    <w:p w:rsidR="00C54F26" w:rsidRDefault="00C54F26" w:rsidP="00C54F26">
      <w:pPr>
        <w:pStyle w:val="TextoNormal"/>
      </w:pPr>
      <w:r>
        <w:t>Ello justifica, dada la conexión entre los recursos de amparo registrados con los números 3546-2019 y 3560-2019, la acumulación del recurso de amparo con número de registro más moderno al más antiguo para su resolución conjunta (art. 84.1 de la Ley de Enjuiciamiento Civil, en relación con el art. 80 LOTC).</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Acumular el recurso de amparo registrado con el número 3560-2019, al recurso de amparo registrado con el número 3546-2019. Dichos recursos seguirán así una misma tramitación hasta su resolución, también única, por esta Sala, desde el común estado procesal en que se hallan, pendientes de señalamiento para la deliberación y votación de la sentencia.</w:t>
      </w:r>
    </w:p>
    <w:p w:rsidR="00C54F26" w:rsidRDefault="00C54F26" w:rsidP="00C54F26">
      <w:pPr>
        <w:pStyle w:val="TextoNormal"/>
      </w:pPr>
    </w:p>
    <w:p w:rsidR="00C54F26" w:rsidRDefault="00C54F26" w:rsidP="00C54F26">
      <w:pPr>
        <w:pStyle w:val="TextoNormal"/>
      </w:pPr>
      <w:r>
        <w:t>Madrid, a quince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7" w:name="AUTO_2021_26"/>
      <w:r>
        <w:lastRenderedPageBreak/>
        <w:t>AUTO 26/2021, de 15 de marzo de 2021</w:t>
      </w:r>
    </w:p>
    <w:bookmarkEnd w:id="167"/>
    <w:p w:rsidR="00C54F26" w:rsidRDefault="00C54F26" w:rsidP="00C54F26">
      <w:pPr>
        <w:pStyle w:val="TtuloResolucin"/>
      </w:pPr>
      <w:r>
        <w:t>Sala Primera</w:t>
      </w:r>
    </w:p>
    <w:p w:rsidR="00C54F26" w:rsidRDefault="00C54F26" w:rsidP="00C54F26">
      <w:pPr>
        <w:pStyle w:val="TextoNormalCentrado"/>
      </w:pPr>
      <w:r>
        <w:t>ECLI:ES:TC:2021:26A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Rectifica un error material padecido en la sentencia 31/2021, de 15 de febrero, dictada en el recurso de amparo 7506-2019, promovido por la entidad Euroinversiones Inmobiliarias Costa Sur, S.L.,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En fecha 15 de febrero de 2021 la Sala Primera del Tribunal Constitucional dictó sentencia resolviendo el recurso de amparo núm. 7506-2019, promovido por la entidad Euroinversiones Inmobiliarias Costa Sur, S.L., representada por la procuradora de los tribunales doña Blanca Berriatua Horta y bajo la asistencia del letrado don Marcelino Gilabert García.</w:t>
      </w:r>
    </w:p>
    <w:p w:rsidR="00C54F26" w:rsidRDefault="00C54F26" w:rsidP="00C54F26">
      <w:pPr>
        <w:pStyle w:val="TextoNormal"/>
      </w:pPr>
    </w:p>
    <w:p w:rsidR="00C54F26" w:rsidRDefault="00C54F26" w:rsidP="00C54F26">
      <w:pPr>
        <w:pStyle w:val="TextoNormal"/>
      </w:pPr>
      <w:r w:rsidRPr="00C54F26">
        <w:rPr>
          <w:rStyle w:val="NumeroAFNegritaCaracter"/>
        </w:rPr>
        <w:t>2</w:t>
      </w:r>
      <w:r>
        <w:t>. En el encabezamiento de dicha sentencia constaba que el recurso había sido promovido por Penrei Inversiones, S.L., bajo la dirección de la letrada doña Anju Nirmala Benavent Rodríguez. Y en el fallo de la sentencia se estimaba el recurso de amparo interpuesto por la mercantil Penrei Inversiones, S.L.</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De conformidad con lo dispuesto en el art. 267.3 de la Ley Orgánica 6/1985, de 1 de julio, del Poder Judicial, los errores materiales manifiestos en que incurran las resoluciones judiciales podrán ser rectificados en cualquier momento.</w:t>
      </w:r>
    </w:p>
    <w:p w:rsidR="00C54F26" w:rsidRDefault="00C54F26" w:rsidP="00C54F26">
      <w:pPr>
        <w:pStyle w:val="TextoNormal"/>
      </w:pPr>
    </w:p>
    <w:p w:rsidR="00C54F26" w:rsidRDefault="00C54F26" w:rsidP="00C54F26">
      <w:pPr>
        <w:pStyle w:val="TextoNormal"/>
      </w:pPr>
      <w:r>
        <w:t>Se ha advertido la existencia de un error material en el encabezamiento y en el fallo al mencionarse a la mercantil “Penrei Inversiones, S.L.”, en lugar de Euroinversiones Inmobiliarias Costa Sur, S.L., e indicarse en el encabezamiento que dicha mercantil actuaba asistida por la letrada “doña Anju Nirmala Benavent Rodríguez”, cuando dicha abogada actuaba en sustitución del letrado don Marcelino Gilabert García.</w:t>
      </w:r>
    </w:p>
    <w:p w:rsidR="00C54F26" w:rsidRDefault="00C54F26" w:rsidP="00C54F26">
      <w:pPr>
        <w:pStyle w:val="TextoNormal"/>
      </w:pPr>
    </w:p>
    <w:p w:rsidR="00C54F26" w:rsidRDefault="00C54F26" w:rsidP="00C54F26">
      <w:pPr>
        <w:pStyle w:val="TextoNormal"/>
      </w:pPr>
      <w:r>
        <w:t>Constando y siendo notorio el error material apreciado, procede la rectificación del encabezamiento y fallo de la sentencia debiendo sustituirse en el encabezamiento y en el fallo “Penrei Inversiones, S.L.” por Euroinversiones Inmobiliarias Costa Sur, S.L., y en el encabezamiento la mención a la letrada “doña Anju Nirmala Benavent Rodríguez” por la del letrado don Marcelino Gilabert García.</w:t>
      </w:r>
    </w:p>
    <w:p w:rsidR="00C54F26" w:rsidRDefault="00C54F26" w:rsidP="00C54F26">
      <w:pPr>
        <w:pStyle w:val="TextoNormal"/>
      </w:pPr>
    </w:p>
    <w:p w:rsidR="00C54F26" w:rsidRDefault="00C54F26" w:rsidP="00C54F26">
      <w:pPr>
        <w:pStyle w:val="TextoNormal"/>
      </w:pPr>
      <w:r>
        <w:lastRenderedPageBreak/>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Rectificar el error material constatado en la sentencia de 15 de febrero de 2021, debiendo sustituirse en el encabezamiento y fallo de la misma “Penrei Inversiones, S.L.” por Euroinversiones Inmobiliarias Costa Sur, S.L., así como en el encabezamiento “doña Anju Nirmala Benavent Rodríguez” por don Marcelino Gilabert García.</w:t>
      </w:r>
    </w:p>
    <w:p w:rsidR="00C54F26" w:rsidRDefault="00C54F26" w:rsidP="00C54F26">
      <w:pPr>
        <w:pStyle w:val="TextoNormal"/>
      </w:pPr>
    </w:p>
    <w:p w:rsidR="00C54F26" w:rsidRDefault="00C54F26" w:rsidP="00C54F26">
      <w:pPr>
        <w:pStyle w:val="TextoNormal"/>
      </w:pPr>
      <w:r>
        <w:t>Madrid, a quince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8" w:name="AUTO_2021_27"/>
      <w:r>
        <w:lastRenderedPageBreak/>
        <w:t>AUTO 27/2021, de 15 de marzo de 2021</w:t>
      </w:r>
    </w:p>
    <w:bookmarkEnd w:id="168"/>
    <w:p w:rsidR="00C54F26" w:rsidRDefault="00C54F26" w:rsidP="00C54F26">
      <w:pPr>
        <w:pStyle w:val="TtuloResolucin"/>
      </w:pPr>
      <w:r>
        <w:t>Sala Primera</w:t>
      </w:r>
    </w:p>
    <w:p w:rsidR="00C54F26" w:rsidRDefault="00C54F26" w:rsidP="00C54F26">
      <w:pPr>
        <w:pStyle w:val="TextoNormalCentrado"/>
      </w:pPr>
      <w:r>
        <w:t>ECLI:ES:TC:2021:27A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Acuerda la suspensión en el recurso de amparo 2228-2020, promovido por don Cristóbal Francisco Ripollés Paús,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Don Cristóbal Francisco Ripollés Paús, representado por la procuradora de los tribunales doña Eva María Pesudo Arenós, con asistencia letrada de doña María de la Concepción Gregori Tena, solicita la suspensión cautelar de la sentencia de la Sección Segunda de la Audiencia Provincial de Castellón de 20 de diciembre de 2019, rollo de apelación núm. 821-2018, aclarada por Auto del 24 de enero de 2020, que declara la nulidad de la sentencia absolutoria dictada por el Juzgado de lo Penal núm. 2 de Castellón y ordena la repetición del juicio con distinto juzgador. Lo hace por otrosí en el recurso de amparo núm. 2228-2020 y reitera la petición en escritos de 7 de septiembre y 1 de diciembre de 2020.</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para resolver sobre la medida cautelar solicitada son los siguientes:</w:t>
      </w:r>
    </w:p>
    <w:p w:rsidR="00C54F26" w:rsidRDefault="00C54F26" w:rsidP="00C54F26">
      <w:pPr>
        <w:pStyle w:val="TextoNormal"/>
      </w:pPr>
    </w:p>
    <w:p w:rsidR="00C54F26" w:rsidRDefault="00C54F26" w:rsidP="00C54F26">
      <w:pPr>
        <w:pStyle w:val="TextoNormal"/>
      </w:pPr>
      <w:r>
        <w:t>a) Mediante sentencia de 29 de mayo de 2018, el Juzgado de lo Penal núm. 2 de Castellón absuelve al demandante de amparo del delito contra el medio ambiente [art. 325 del Código penal (CP)] del que venía siendo acusado por el Ministerio Fiscal y dos acusaciones populares, la Plataforma Ciudadana No a la Contaminación y el Ayuntamiento de Alcora. La incoación del procedimiento se había acordado por auto de 11 de agosto de 2003 y el auto de apertura de juicio oral se remonta al 28 de mayo de 2013.</w:t>
      </w:r>
    </w:p>
    <w:p w:rsidR="00C54F26" w:rsidRDefault="00C54F26" w:rsidP="00C54F26">
      <w:pPr>
        <w:pStyle w:val="TextoNormal"/>
      </w:pPr>
    </w:p>
    <w:p w:rsidR="00C54F26" w:rsidRDefault="00C54F26" w:rsidP="00C54F26">
      <w:pPr>
        <w:pStyle w:val="TextoNormal"/>
      </w:pPr>
      <w:r>
        <w:t>b) Frente a la sentencia absolutoria el Ministerio Fiscal promueve recurso de apelación —al que se adhiere expresamente la Plataforma Ciudadana No a la Contaminación—, interesando la nulidad y la repetición del juicio oral ante un tribunal de distinta composición. Mediante sentencia de 20 de diciembre de 2019, la Sección Segunda de la Audiencia Provincial de Castellón estima el recurso, declarando “nula y sin efecto” la sentencia de instancia y acordando la devolución de la causa al juzgado para que “por nuevo juzgador se repita el juicio oral y se dicte nueva sentencia en la que se valoren todas las pruebas practicadas con los criterios expuestos”.</w:t>
      </w:r>
    </w:p>
    <w:p w:rsidR="00C54F26" w:rsidRDefault="00C54F26" w:rsidP="00C54F26">
      <w:pPr>
        <w:pStyle w:val="TextoNormal"/>
      </w:pPr>
    </w:p>
    <w:p w:rsidR="00C54F26" w:rsidRDefault="00C54F26" w:rsidP="00C54F26">
      <w:pPr>
        <w:pStyle w:val="TextoNormal"/>
      </w:pPr>
      <w:r>
        <w:t xml:space="preserve">c) Mediante escrito de 29 de mayo de 2020, don Cristóbal Francisco Ripollés Paús formula recurso de amparo contra la sentencia de la Audiencia Provincial, aclarada por auto de </w:t>
      </w:r>
      <w:r>
        <w:lastRenderedPageBreak/>
        <w:t>24 de enero de 2020, interesando su anulación y la retroacción de las actuaciones al momento anterior a su dictado. En lo que ahora importa, el demandante razona que la celebración de un nuevo juicio vulneraría sus derechos a la tutela judicial efectiva, al proceso con todas las garantías, al juez imparcial predeterminado por la ley y a la presunción de inocencia (art. 24, apartados 1 y 2, CE). Mediante providencia de 25 de enero de 2021, la Sección Segunda del Tribunal Constitucional admite a trámite el recurso.</w:t>
      </w:r>
    </w:p>
    <w:p w:rsidR="00C54F26" w:rsidRDefault="00C54F26" w:rsidP="00C54F26">
      <w:pPr>
        <w:pStyle w:val="TextoNormal"/>
      </w:pPr>
    </w:p>
    <w:p w:rsidR="00C54F26" w:rsidRDefault="00C54F26" w:rsidP="00C54F26">
      <w:pPr>
        <w:pStyle w:val="TextoNormal"/>
      </w:pPr>
      <w:r>
        <w:t>d) Mediante diligencia de ordenación de 4 de septiembre de 2020, la letrada de la administración de justicia del Juzgado de lo Penal núm. 2 de Castellón de la Plana, en ejecución de la sentencia de la Sección Segunda de la Audiencia Provincial de Castellón, señala los próximos días 22 y 23 de marzo para la celebración del juicio oral.</w:t>
      </w:r>
    </w:p>
    <w:p w:rsidR="00C54F26" w:rsidRDefault="00C54F26" w:rsidP="00C54F26">
      <w:pPr>
        <w:pStyle w:val="TextoNormal"/>
      </w:pPr>
    </w:p>
    <w:p w:rsidR="00C54F26" w:rsidRDefault="00C54F26" w:rsidP="00C54F26">
      <w:pPr>
        <w:pStyle w:val="TextoNormal"/>
      </w:pPr>
      <w:r w:rsidRPr="00C54F26">
        <w:rPr>
          <w:rStyle w:val="NumeroAFNegritaCaracter"/>
        </w:rPr>
        <w:t>3</w:t>
      </w:r>
      <w:r>
        <w:t>. El demandante de amparo solicita la suspensión cautelar de la sentencia de la Sección Segunda de la Audiencia Provincial de Castellón y, con ello, que no se repita el juicio oral señalado para los días 22 y 23 de marzo. Por un lado, la cautelar interesada no comportaría graves perturbaciones de los intereses generales o de los derechos fundamentales o libertades públicas de un tercero. Por otro, estando destinado el presente recurso a evitar la repetición del juicio oral, si no se adoptara la suspensión, la eventual estimación quedaría privada de efectividad. El demandante se vería obligado a afrontar un nuevo juicio con el desasosiego y sufrimiento que ello implica. Los numerosísimos testigos y peritos que intervinieron en el juicio, algunos de los cuales ni siquiera residen en la provincia, se verían obligados a participar en el nuevo juicio. Podríamos encontrarnos al final con dos sentencias de distintos juzgados de lo penal sobre el mismo asunto. Por otra parte, el Tribunal Constitucional ha accedido a la suspensión interesada en casos análogos (AATC 170/2001, de 22 de junio, y 32/2008, de 31 de enero).</w:t>
      </w:r>
    </w:p>
    <w:p w:rsidR="00C54F26" w:rsidRDefault="00C54F26" w:rsidP="00C54F26">
      <w:pPr>
        <w:pStyle w:val="TextoNormal"/>
      </w:pPr>
    </w:p>
    <w:p w:rsidR="00C54F26" w:rsidRDefault="00C54F26" w:rsidP="00C54F26">
      <w:pPr>
        <w:pStyle w:val="TextoNormal"/>
      </w:pPr>
      <w:r w:rsidRPr="00C54F26">
        <w:rPr>
          <w:rStyle w:val="NumeroAFNegritaCaracter"/>
        </w:rPr>
        <w:t>4</w:t>
      </w:r>
      <w:r>
        <w:t>. Mediante providencia de 25 de enero de 2021, la Sección Segunda del Tribunal Constitucional acuerda formar pieza separada de suspensión y, conforme al art. 56 de la Ley Orgánica del Tribunal Constitucional (LOTC), conceder plazo de tres días al Ministerio Fiscal y al solicitante de amparo para que aleguen lo que estimen pertinente en relación con la petición de suspensión interesada.</w:t>
      </w:r>
    </w:p>
    <w:p w:rsidR="00C54F26" w:rsidRDefault="00C54F26" w:rsidP="00C54F26">
      <w:pPr>
        <w:pStyle w:val="TextoNormal"/>
      </w:pPr>
    </w:p>
    <w:p w:rsidR="00C54F26" w:rsidRDefault="00C54F26" w:rsidP="00C54F26">
      <w:pPr>
        <w:pStyle w:val="TextoNormal"/>
      </w:pPr>
      <w:r w:rsidRPr="00C54F26">
        <w:rPr>
          <w:rStyle w:val="NumeroAFNegritaCaracter"/>
        </w:rPr>
        <w:t>5</w:t>
      </w:r>
      <w:r>
        <w:t>. Mediante escrito de 2 de febrero de 2021, el demandante de amparo reitera la solicitud de suspensión cautelar y las alegaciones que la sustentan. Añade que la cautelar interesada no solo no lesiona el interés público, sino que tiende a preservarlo (cita el ATC 32/2008, de 31 de enero) y que el demandante de amparo, nacido en 1941, se encuentra jubilado y que, en esas condiciones, es imposible que cometa delitos de naturaleza similar, “por no hablar de lo que podría sucederle a una persona de su edad si tiene que acudir de nuevo a dos sesiones del juicio, con numerosos funcionarios, testigos, peritos, etc…, a la vista de la situación actual creada por la pandemia”.</w:t>
      </w:r>
    </w:p>
    <w:p w:rsidR="00C54F26" w:rsidRDefault="00C54F26" w:rsidP="00C54F26">
      <w:pPr>
        <w:pStyle w:val="TextoNormal"/>
      </w:pPr>
    </w:p>
    <w:p w:rsidR="00C54F26" w:rsidRDefault="00C54F26" w:rsidP="00C54F26">
      <w:pPr>
        <w:pStyle w:val="TextoNormal"/>
      </w:pPr>
      <w:r w:rsidRPr="00C54F26">
        <w:rPr>
          <w:rStyle w:val="NumeroAFNegritaCaracter"/>
        </w:rPr>
        <w:t>6</w:t>
      </w:r>
      <w:r>
        <w:t xml:space="preserve">. Mediante escrito registrado el 16 de febrero de 2021, el Ministerio Fiscal interesa la suspensión solicitada. De acuerdo con el art. 56.1 LOTC y la doctrina constitucional, la regla general es la improcedencia de la suspensión, que queda así configurada como una medida provisional de carácter excepcional y aplicación restrictiva. No obstante, una de las excepciones se refiere precisamente a la suspensión de la repetición de juicios (ATC 174/2013, de 9 de septiembre, entre otros). En el presente caso, la celebración de nuevo </w:t>
      </w:r>
      <w:r>
        <w:lastRenderedPageBreak/>
        <w:t>juicio constituye por sí un perjuicio que podría hacer perder su finalidad al amparo por varias razones. En primer lugar, porque el recurrente ha de asumir de nuevo el riesgo de una condena frente a una inicial sentencia absolutoria dictada en primera instancia, cuya eventual revocación forma parte de la impugnación planteada. En segundo lugar, aun en el caso de que el nuevo juicio fuera favorable al recurrente, por la carga negativa de perturbación y aflicción que comporta tener que afrontar en una vista pública el peso inculpatorio de una acusación. Circunstancia aun con mayor relieve negativo para el recurrente si tenemos en cuenta la larga pendencia del proceso penal, en que la incoación del procedimiento se acordó por auto de 11 de agosto de 2003 y el auto de apertura de juicio oral se remonta al 28 de mayo de 2013. No parece, por otra parte, que la suspensión de la ejecución pueda entrañar una perturbación grave de los intereses generales o de los derechos fundamentales y libertades públicas de terceros (en este sentido, ATC 174/2013, FJ 2).</w:t>
      </w:r>
    </w:p>
    <w:p w:rsidR="00C54F26" w:rsidRDefault="00C54F26" w:rsidP="00C54F26">
      <w:pPr>
        <w:pStyle w:val="TextoNormal"/>
      </w:pPr>
    </w:p>
    <w:p w:rsidR="00C54F26" w:rsidRDefault="00C54F26" w:rsidP="00C54F26">
      <w:pPr>
        <w:pStyle w:val="TextoNormal"/>
      </w:pPr>
      <w:r w:rsidRPr="00C54F26">
        <w:rPr>
          <w:rStyle w:val="NumeroAFNegritaCaracter"/>
        </w:rPr>
        <w:t>7</w:t>
      </w:r>
      <w:r>
        <w:t>. Mediante escrito de 24 de febrero de 2021, el demandante de amparo reitera la solicitud de suspensión cautelar, rogando que se resuelva a la mayor brevedad posible.</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objeto de esta pieza de suspensión consiste en resolver sobre la procedencia de la medida cautelar instada por la parte recurrente en amparo y dirigida frente a la sentencia de la Sección Segunda de la Audiencia Provincial de Castellón de 20 de diciembre de 2019, rollo de apelación núm. 821-2018, que declara la nulidad de la sentencia absolutoria dictada por el Juzgado de lo Penal núm. 2 de Castellón y ordena la repetición del juicio con distinto juzgador. El nuevo juicio oral cuya celebración habría de suspenderse, de acuerdo con las alegaciones del demandante de amparo, está señalado para los días 22 y 23 de marzo del presente año. El Ministerio Fiscal considera procedente la cautelar interesada con argumentos sustancialmente coincidentes con los del demandante de amparo, que se exponen detalladamente en el apartado de antecedentes.</w:t>
      </w:r>
    </w:p>
    <w:p w:rsidR="00C54F26" w:rsidRDefault="00C54F26" w:rsidP="00C54F26">
      <w:pPr>
        <w:pStyle w:val="TextoNormal"/>
      </w:pPr>
    </w:p>
    <w:p w:rsidR="00C54F26" w:rsidRDefault="00C54F26" w:rsidP="00C54F26">
      <w:pPr>
        <w:pStyle w:val="TextoNormal"/>
      </w:pPr>
      <w:r>
        <w:t>De acuerdo con el art. 56.2 LOTC, en atención a las circunstancias concurrentes en el presente caso, debemos apreciar, como hemos hecho en similares ocasiones (AATC 103/2001, de 3 de mayo; 170/2001, de 22 de junio; 277/2001, de 29 de octubre; 311/2001, de 18 de diciembre, y 174/2013, de 9 de septiembre), que la suspensión es el medio adecuado para mantener el procedimiento penal en una situación que permita, cuando proceda, dar respuesta con plena eficacia a las diferentes denuncias de conculcación de derechos fundamentales formuladas en este proceso constitucional. En primer lugar, no se aprecia que esta medida pueda afectar, perturbándolos gravemente, a intereses constitucionalmente protegidos o a derechos fundamentales o libertades públicas de terceras personas. Antes bien, tiende a preservar el interés general, conjurando el riesgo de contradicción entre resoluciones judiciales, una absolutoria —la dictada por el Juzgado de lo Penal núm. 2 de Castellón, que podría recobrar su eficacia si llegara a estimarse el recurso de amparo— y otra condenatoria —la que, en su caso, podría llegar a dictarse tras la reapertura del juicio oral cuya suspensión solicita el recurrente— (en un sentido similar, ATC 32/2008, de 31 de enero, FJ 2). En segundo lugar, si se rechazase la suspensión, la eventual estimación del recurso de amparo quedaría privada de efectividad, pues lo que el demandante pretende es precisamente impedir la repetición del juicio oral; su celebración devendría así un perjuicio irreparable.</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Otorgar, en tanto se resuelva por este tribunal el recurso de amparo núm. 2228-2020, la suspensión solicitada de la sentencia de la Sección Segunda de la Audiencia Provincial de Castellón de 20 de diciembre de 2019, rollo de apelación núm. 821-2018, que declara la nulidad de la sentencia absolutoria dictada por el Juzgado de lo Penal núm. 2 de Castellón y ordena la repetición del juicio con distinto juzgador.</w:t>
      </w:r>
    </w:p>
    <w:p w:rsidR="00C54F26" w:rsidRDefault="00C54F26" w:rsidP="00C54F26">
      <w:pPr>
        <w:pStyle w:val="TextoNormal"/>
      </w:pPr>
    </w:p>
    <w:p w:rsidR="00C54F26" w:rsidRDefault="00C54F26" w:rsidP="00C54F26">
      <w:pPr>
        <w:pStyle w:val="TextoNormal"/>
      </w:pPr>
      <w:r>
        <w:t>Madrid, a quince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69" w:name="AUTO_2021_28"/>
      <w:r>
        <w:lastRenderedPageBreak/>
        <w:t>AUTO 28/2021, de 16 de marzo de 2021</w:t>
      </w:r>
    </w:p>
    <w:bookmarkEnd w:id="169"/>
    <w:p w:rsidR="00C54F26" w:rsidRDefault="00C54F26" w:rsidP="00C54F26">
      <w:pPr>
        <w:pStyle w:val="TtuloResolucin"/>
      </w:pPr>
      <w:r>
        <w:t>Pleno</w:t>
      </w:r>
    </w:p>
    <w:p w:rsidR="00C54F26" w:rsidRDefault="00C54F26" w:rsidP="00C54F26">
      <w:pPr>
        <w:pStyle w:val="TextoNormalCentrado"/>
      </w:pPr>
      <w:r>
        <w:t>ECLI:ES:TC:2021:28A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Desestima el recurso de súplica interpuesto en relación con el ATC 89/2020, de 9 de septiembre, por el que se deniega la suspensión en el recurso de amparo 64-2020, promovido por don Carles Puigdemont i Casamajó y don Antoni Comín i Oliveres,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3 de enero de 2020, bajo la dirección del letrado don Gonzalo Boye Tuset, el procurador de los tribunales don Javier Fernández Estrada, en nombre y representación de don Carles Puigdemont i Casamajó y de don Antoni Comín i Oliveres [procesados y declarados en rebeldía en la causa especial 20907-2017, que se sigue ante la Sala de lo Penal del Tribunal Supremo, por delitos de rebelión y malversación de caudales públicos (autos de 21 de marzo y de 9 de julio de 2018)], interpuso recurso de amparo contra el auto de la sala de recursos de la Sala de lo Penal del Tribunal Supremo de 5 de noviembre de 2019, por el cual fue desestimado el recurso de apelación presentado contra el auto de 13 de septiembre de 2019 del magistrado instructor que, a su vez, desestimó el recurso de reforma presentado frente al anterior auto de 15 de junio de 2019, por el que acordó mantener las órdenes nacionales de búsqueda, detención e ingreso en prisión adoptadas contra los demandantes en la citada causa penal.</w:t>
      </w:r>
    </w:p>
    <w:p w:rsidR="00C54F26" w:rsidRDefault="00C54F26" w:rsidP="00C54F26">
      <w:pPr>
        <w:pStyle w:val="TextoNormal"/>
      </w:pPr>
    </w:p>
    <w:p w:rsidR="00C54F26" w:rsidRDefault="00C54F26" w:rsidP="00C54F26">
      <w:pPr>
        <w:pStyle w:val="TextoNormal"/>
      </w:pPr>
      <w:r>
        <w:t xml:space="preserve">Una vez recabado por el Pleno el conocimiento del asunto, el recurso de amparo fue admitido a trámite mediante providencia de fecha 14 de julio de 2020, tras apreciar que en el mismo concurre una especial trascendencia constitucional [art. 50.1 de la Ley Orgánica del Tribunal Constitucional (LOTC)] porque plantea un problema o afecta a una faceta de un derecho fundamental sobre el que no hay doctrina de este tribunal [STC 155/2009, FJ 2 a)], y porque el asunto suscitado trasciende del caso concreto al plantear una cuestión jurídica de relevante y general repercusión social o económica [STC 155/2009, FJ 2 g)]. En la misma providencia, en relación con las solicitudes de suspensión cautelar de las resoluciones recurridas y de las de las órdenes de busca, captura e ingreso en prisión vigentes formuladas mediante otrosí en la demanda de amparo, el Pleno no apreció la urgencia excepcional a la que se refiere el art. 56.6 LOTC, que hubiera justificado su adopción </w:t>
      </w:r>
      <w:r w:rsidRPr="00C54F26">
        <w:rPr>
          <w:i/>
        </w:rPr>
        <w:t>inaudita parte</w:t>
      </w:r>
      <w:r>
        <w:t xml:space="preserve"> de forma inmotivada. Al mismo tiempo, a fin de pronunciarse sobre la petición de suspensión, el Pleno acordó formar la oportuna pieza separada y, en ella, conceder un plazo de tres días al Ministerio Fiscal y al solicitante de amparo para que efectuasen las alegaciones que consideraran oportunas respecto a la misma.</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2</w:t>
      </w:r>
      <w:r>
        <w:t xml:space="preserve">. Mediante escrito registrado el 23 de julio de 2020, los demandantes presentaron sus alegaciones y recurrieron en súplica la providencia de 14 de julio de 2020, cuestionando que no hubiera sido apreciada la urgencia excepcional que hubiera justificado un pronunciamiento </w:t>
      </w:r>
      <w:r w:rsidRPr="00C54F26">
        <w:rPr>
          <w:i/>
        </w:rPr>
        <w:t>inaudita parte</w:t>
      </w:r>
      <w:r>
        <w:t xml:space="preserve"> sobre las medidas cautelares solicitadas en la demanda.</w:t>
      </w:r>
    </w:p>
    <w:p w:rsidR="00C54F26" w:rsidRDefault="00C54F26" w:rsidP="00C54F26">
      <w:pPr>
        <w:pStyle w:val="TextoNormal"/>
      </w:pPr>
    </w:p>
    <w:p w:rsidR="00C54F26" w:rsidRDefault="00C54F26" w:rsidP="00C54F26">
      <w:pPr>
        <w:pStyle w:val="TextoNormal"/>
      </w:pPr>
      <w:r>
        <w:t xml:space="preserve">a) Con argumentos similares a los expresados para justificar la pretensión cautelar, los recurrentes formularon recurso de súplica contra la providencia de 14 de julio de 2020 por la que el Pleno acordó la admisión a trámite del recurso de amparo, en la medida en que, en dicha resolución, fue denegada la adopción </w:t>
      </w:r>
      <w:r w:rsidRPr="00C54F26">
        <w:rPr>
          <w:i/>
        </w:rPr>
        <w:t>inaudita parte</w:t>
      </w:r>
      <w:r>
        <w:t xml:space="preserve"> de las medidas cautelares solicitadas por los recurrentes sobre la base del art. 56.6 LOTC.</w:t>
      </w:r>
    </w:p>
    <w:p w:rsidR="00C54F26" w:rsidRDefault="00C54F26" w:rsidP="00C54F26">
      <w:pPr>
        <w:pStyle w:val="TextoNormal"/>
      </w:pPr>
    </w:p>
    <w:p w:rsidR="00C54F26" w:rsidRDefault="00C54F26" w:rsidP="00C54F26">
      <w:pPr>
        <w:pStyle w:val="TextoNormal"/>
      </w:pPr>
      <w:r>
        <w:t>b) En los mismos términos ya expuestos en la demanda, formularon también alegaciones en la pieza de suspensión en favor de su pretensión cautelar, que se dirigía a obtener la suspensión de las resoluciones judiciales recurridas y, en consecuencia, la de las previas órdenes judiciales de busca y captura e ingreso en prisión, y la de cualesquiera otras medidas restrictivas de su libertad ordenadas en la causa penal.</w:t>
      </w:r>
    </w:p>
    <w:p w:rsidR="00C54F26" w:rsidRDefault="00C54F26" w:rsidP="00C54F26">
      <w:pPr>
        <w:pStyle w:val="TextoNormal"/>
      </w:pPr>
    </w:p>
    <w:p w:rsidR="00C54F26" w:rsidRDefault="00C54F26" w:rsidP="00C54F26">
      <w:pPr>
        <w:pStyle w:val="TextoNormal"/>
      </w:pPr>
      <w:r>
        <w:t>Considerando que ha de entenderse que el presente incidente cautelar se encuentra sometido al Derecho de la Unión Europea, porque su resolución depende de la interpretación que deba darse al art. 47 de la Carta de los derechos fundamentales de la Unión Europea, en relación con su artículo 39.2, así como a la interpretación del art. 343 del Tratado de funcionamiento Unión Europea, sobre privilegios e inmunidades, solicitaron el planteamiento de una cuestión prejudicial ante el Tribunal de Justicia de la Unión Europea, salvo que el tribunal optase por estimar la solicitud cautelar planteada.</w:t>
      </w:r>
    </w:p>
    <w:p w:rsidR="00C54F26" w:rsidRDefault="00C54F26" w:rsidP="00C54F26">
      <w:pPr>
        <w:pStyle w:val="TextoNormal"/>
      </w:pPr>
    </w:p>
    <w:p w:rsidR="00C54F26" w:rsidRDefault="00C54F26" w:rsidP="00C54F26">
      <w:pPr>
        <w:pStyle w:val="TextoNormal"/>
      </w:pPr>
      <w:r w:rsidRPr="00C54F26">
        <w:rPr>
          <w:rStyle w:val="NumeroAFNegritaCaracter"/>
        </w:rPr>
        <w:t>3</w:t>
      </w:r>
      <w:r>
        <w:t>. Mediante ATC 89/2020, de 9 de septiembre, el Pleno no estimó procedente plantear la cuestión prejudicial formulada, así como tampoco estimó la petición de medidas cautelares solicitada. En la misma resolución fue también desestimado el recurso de súplica presentado contra la providencia de 14 de julio de 2020.</w:t>
      </w:r>
    </w:p>
    <w:p w:rsidR="00C54F26" w:rsidRDefault="00C54F26" w:rsidP="00C54F26">
      <w:pPr>
        <w:pStyle w:val="TextoNormal"/>
      </w:pPr>
    </w:p>
    <w:p w:rsidR="00C54F26" w:rsidRDefault="00C54F26" w:rsidP="00C54F26">
      <w:pPr>
        <w:pStyle w:val="TextoNormal"/>
      </w:pPr>
      <w:r>
        <w:t>Frente a él, el 17 de septiembre de 2020, la representación procesal de los demandantes interpuso recurso de súplica en el que, con los razonamientos que se expondrán a continuación, solicita su estimación con el fin de que, tras declarar la vulneración de los derechos de los recurrentes a la tutela judicial efectiva y a un proceso con todas las garantías —en relación con los demás derechos sustantivos alegados en el recurso de amparo—, se anule el auto recurrido en cuanto a la denegación de las medidas cautelares solicitadas y se dicte un nuevo auto que las acuerde en los términos solicitados en su día en el escrito de interposición del recurso de amparo.</w:t>
      </w:r>
    </w:p>
    <w:p w:rsidR="00C54F26" w:rsidRDefault="00C54F26" w:rsidP="00C54F26">
      <w:pPr>
        <w:pStyle w:val="TextoNormal"/>
      </w:pPr>
    </w:p>
    <w:p w:rsidR="00C54F26" w:rsidRDefault="00C54F26" w:rsidP="00C54F26">
      <w:pPr>
        <w:pStyle w:val="TextoNormal"/>
      </w:pPr>
      <w:r>
        <w:t xml:space="preserve">Mediante otrosí primero solicitan que, en caso de que se decida no estimar el presente recurso de súplica, planteemos cuestión prejudicial al Tribunal de Justicia de la Unión Europea, por hallarnos en un ámbito material en que resulta de aplicación el Derecho de la Unión, de conformidad con el artículo 267, párrafo tercero, del Tratado de funcionamiento de la Unión Europea, en su condición de última instancia en materia de garantías constitucionales, de conformidad con la sentencia de 6 de octubre de 1982 dictada en el asunto </w:t>
      </w:r>
      <w:r w:rsidRPr="00C54F26">
        <w:rPr>
          <w:i/>
        </w:rPr>
        <w:t>Cilfit</w:t>
      </w:r>
      <w:r>
        <w:t xml:space="preserve"> (C-283/81). La cuestión cuyo planteamiento se solicita se refiere a la compatibilidad del argumento utilizado en el auto de 9 de septiembre de 2020 para denegar las medidas cautelares con el derecho a la tutela judicial cautelar que se integra en el artículo 47 de la Carta </w:t>
      </w:r>
      <w:r>
        <w:lastRenderedPageBreak/>
        <w:t>de los derechos fundamentales de la Unión Europea, pero también con los principios de efectividad, así como de primacía, del Derecho de la Unión, que consideran de plena aplicación en el presente caso (también en un incidente cautelar). Destacan en su recurso que el objeto del presente proceso constitucional de amparo se apoya en una cuestión, la inmunidad parlamentaria de los eurodiputados, que viene regulada por el Derecho de la Unión, concretamente en el artículo 343 del Tratado de funcionamiento de la Unión Europea (TFUE) y en el artículo 9 del Protocolo núm. 7 sobre los privilegios y las inmunidades de la Unión Europea.</w:t>
      </w:r>
    </w:p>
    <w:p w:rsidR="00C54F26" w:rsidRDefault="00C54F26" w:rsidP="00C54F26">
      <w:pPr>
        <w:pStyle w:val="TextoNormal"/>
      </w:pPr>
    </w:p>
    <w:p w:rsidR="00C54F26" w:rsidRDefault="00C54F26" w:rsidP="00C54F26">
      <w:pPr>
        <w:pStyle w:val="TextoNormal"/>
      </w:pPr>
      <w:r>
        <w:t>Mediante un segundo otrosí se solicita que, de conformidad con lo previsto en el artículo 85.3 de la Ley Orgánica del Tribunal Constitucional, en relación con lo previsto en el artículo 6 del Convenio europeo para la protección de los derechos humanos y de las libertades fundamentales, se señale día para la vista oral del presente recurso de súplica.</w:t>
      </w:r>
    </w:p>
    <w:p w:rsidR="00C54F26" w:rsidRDefault="00C54F26" w:rsidP="00C54F26">
      <w:pPr>
        <w:pStyle w:val="TextoNormal"/>
      </w:pPr>
    </w:p>
    <w:p w:rsidR="00C54F26" w:rsidRDefault="00C54F26" w:rsidP="00C54F26">
      <w:pPr>
        <w:pStyle w:val="TextoNormal"/>
      </w:pPr>
      <w:r w:rsidRPr="00C54F26">
        <w:rPr>
          <w:rStyle w:val="NumeroAFNegritaCaracter"/>
        </w:rPr>
        <w:t>4</w:t>
      </w:r>
      <w:r>
        <w:t>. En el recurso de súplica se reitera, como consideración previa, que el presente incidente se encuentra plenamente sometido al Derecho de la Unión Europea. La impugnación se apoya, sintéticamente expuestos, en los siguientes motivos:</w:t>
      </w:r>
    </w:p>
    <w:p w:rsidR="00C54F26" w:rsidRDefault="00C54F26" w:rsidP="00C54F26">
      <w:pPr>
        <w:pStyle w:val="TextoNormal"/>
      </w:pPr>
    </w:p>
    <w:p w:rsidR="00C54F26" w:rsidRDefault="00C54F26" w:rsidP="00C54F26">
      <w:pPr>
        <w:pStyle w:val="TextoNormal"/>
      </w:pPr>
      <w:r>
        <w:t>Primero. Entienden los recurrentes que el auto impugnado ha vulnerado distintas dimensiones de los derechos a la tutela judicial efectiva y a un proceso con todas las garantías, entre las que se cuentan, cuando menos, las siguientes: el derecho a un proceso contradictorio, el derecho a la tutela judicial cautelar y el derecho a un proceso sin dilaciones indebidas, en relación con el derecho a una resolución judicial fundada en Derecho.</w:t>
      </w:r>
    </w:p>
    <w:p w:rsidR="00C54F26" w:rsidRDefault="00C54F26" w:rsidP="00C54F26">
      <w:pPr>
        <w:pStyle w:val="TextoNormal"/>
      </w:pPr>
    </w:p>
    <w:p w:rsidR="00C54F26" w:rsidRDefault="00C54F26" w:rsidP="00C54F26">
      <w:pPr>
        <w:pStyle w:val="TextoNormal"/>
      </w:pPr>
      <w:r>
        <w:t>(i) La denunciada vulneración del derecho a un proceso contradictorio se anuda al hecho de no haber tenido conocimiento los demandantes, tras presentar sus alegaciones sobre la tutela cautelar pretendida, de las que posteriormente presentó el Ministerio Fiscal al evacuar el trámite de audiencia que les fue simultáneamente concedido. Alegan que el derecho de contradicción comprende el derecho a tener conocimiento de cualesquiera alegaciones hechas por las partes en el proceso, también las del Ministerio Fiscal. Concluyen, por ello, “que este tribunal no nos diera traslado de estas alegaciones ha impedido que el recurrente pudiera replicarlas antes de que el tribunal denegara las medidas cautelares solicitadas en base a un argumento, que consideramos equivocado”.</w:t>
      </w:r>
    </w:p>
    <w:p w:rsidR="00C54F26" w:rsidRDefault="00C54F26" w:rsidP="00C54F26">
      <w:pPr>
        <w:pStyle w:val="TextoNormal"/>
      </w:pPr>
    </w:p>
    <w:p w:rsidR="00C54F26" w:rsidRDefault="00C54F26" w:rsidP="00C54F26">
      <w:pPr>
        <w:pStyle w:val="TextoNormal"/>
      </w:pPr>
      <w:r>
        <w:t>(ii) Tras expresar ciertas consideraciones acerca del deber de reenvío prejudicial, que consideran aplicables al Tribunal Constitucional cuando actúa en ejercicio de la jurisdicción de amparo, afirman que la alegada vulneración del derecho a la tutela judicial cautelar se habría producido porque los criterios utilizados por este tribunal para denegar las medidas cautelares solicitadas desconocen el principio de efectividad del Derecho de la Unión Europea, al tiempo que, en la práctica, suponen la negación absoluta del derecho aducido, dado que hacen imposible o excesivamente difícil la tutela judicial cautelar de los derechos alegados que les confiere el sistema normativo de la Unión.</w:t>
      </w:r>
    </w:p>
    <w:p w:rsidR="00C54F26" w:rsidRDefault="00C54F26" w:rsidP="00C54F26">
      <w:pPr>
        <w:pStyle w:val="TextoNormal"/>
      </w:pPr>
    </w:p>
    <w:p w:rsidR="00C54F26" w:rsidRDefault="00C54F26" w:rsidP="00C54F26">
      <w:pPr>
        <w:pStyle w:val="TextoNormal"/>
      </w:pPr>
      <w:r>
        <w:t xml:space="preserve">Afirman que en el caso presente no es aplicable la doctrina expuesta en la jurisprudencia del Tribunal de Justicia de la Unión Europea derivada de las sentencias de 24 de mayo de 1977, asunto </w:t>
      </w:r>
      <w:r w:rsidRPr="00C54F26">
        <w:rPr>
          <w:i/>
        </w:rPr>
        <w:t>Hoffmann-La Roche</w:t>
      </w:r>
      <w:r>
        <w:t xml:space="preserve">, C-107/76, y de 27 de octubre de 1982, asunto </w:t>
      </w:r>
      <w:r w:rsidRPr="00C54F26">
        <w:rPr>
          <w:i/>
        </w:rPr>
        <w:t>Morson</w:t>
      </w:r>
      <w:r>
        <w:t xml:space="preserve">, acumulados C-35/82 y C-36/82, dado que “la cuestión prejudicial planteada en el incidente cautelar es claramente distinta de las planteadas en el escrito de interposición acerca del </w:t>
      </w:r>
      <w:r>
        <w:lastRenderedPageBreak/>
        <w:t>fondo del asunto [pues] se trata de una cuestión prejudicial específica del incidente cautelar. No se refiere a ninguna cuestión que deba examinarse nuevamente en el marco del procedimiento sobre el fondo del asunto, sino de la interpretación del derecho a la tutela judicial efectiva, en su manifestación de derecho a la tutela judicial cautelar, que deriva del artículo 47 de la Carta de los derechos fundamentales de la Unión Europea”. Y añaden que: “si la interpretación que hace el Tribunal Constitucional del derecho a la tutela judicial cautelar reconocido por el artículo 47 de la Carta de los derechos fundamentales de la Unión es conforme o no a dicho derecho es una cuestión que va a quedar zanjada cuando se resuelva el presente recurso de súplica. De modo que el Tribunal Constitucional tiene la obligación de plantear cuestión prejudicial sobre esta cuestión conforme al artículo 267, apartado tercero, del Tratado de funcionamiento de la Unión Europea”.</w:t>
      </w:r>
    </w:p>
    <w:p w:rsidR="00C54F26" w:rsidRDefault="00C54F26" w:rsidP="00C54F26">
      <w:pPr>
        <w:pStyle w:val="TextoNormal"/>
      </w:pPr>
    </w:p>
    <w:p w:rsidR="00C54F26" w:rsidRDefault="00C54F26" w:rsidP="00C54F26">
      <w:pPr>
        <w:pStyle w:val="TextoNormal"/>
      </w:pPr>
      <w:r>
        <w:t xml:space="preserve">Con cita de las SSTJUE de 13 de marzo de 2007, C-432/05 (asunto </w:t>
      </w:r>
      <w:r w:rsidRPr="00C54F26">
        <w:rPr>
          <w:i/>
        </w:rPr>
        <w:t>Unibet</w:t>
      </w:r>
      <w:r>
        <w:t xml:space="preserve">) y de 19 de junio de 1990, C-213/89 (asunto </w:t>
      </w:r>
      <w:r w:rsidRPr="00C54F26">
        <w:rPr>
          <w:i/>
        </w:rPr>
        <w:t>Factortame</w:t>
      </w:r>
      <w:r>
        <w:t>), se refiere a algunos de sus pronunciamientos, según los cuales “el juez nacional que conoce de un litigio regido por el Derecho comunitario debe estar facultado para conceder medidas provisionales que garanticen la plena eficacia de la resolución judicial que debe recaer acerca de la existencia de los derechos invocados sobre la base del Derecho comunitario”. Consideran que “la afirmación, por el Tribunal Constitucional, de que cuando el reconocimiento de la tutela judicial cautelar pueda suponer los efectos equivalentes a los de un fallo estimatorio, no será posible el otorgamiento de la tutela cautelar solicitada, supone la negación del derecho a la tutela cautelar, vulnera el principio de efectividad del Derecho de la Unión y carece de amparo legal de ningún tipo en la Ley Orgánica del Tribunal Constitucional”. Este mismo razonamiento es el que justifica la petición de planteamiento de cuestión prejudicial a la que, más adelante, haremos referencia.</w:t>
      </w:r>
    </w:p>
    <w:p w:rsidR="00C54F26" w:rsidRDefault="00C54F26" w:rsidP="00C54F26">
      <w:pPr>
        <w:pStyle w:val="TextoNormal"/>
      </w:pPr>
    </w:p>
    <w:p w:rsidR="00C54F26" w:rsidRDefault="00C54F26" w:rsidP="00C54F26">
      <w:pPr>
        <w:pStyle w:val="TextoNormal"/>
      </w:pPr>
      <w:r>
        <w:t>(iii) Se insiste en el recurso de súplica en denunciar la vulneración del derecho a un proceso sin dilaciones indebidas, como consecuencia del tiempo transcurrido desde que se formuló la demanda de amparo hasta que se produjo el pronunciamiento sobre la pretensión cautelar denunciada. Y considera no fundada en Derecho la respuesta que, a esta concreta alegación, se expresa en el auto recurrido.</w:t>
      </w:r>
    </w:p>
    <w:p w:rsidR="00C54F26" w:rsidRDefault="00C54F26" w:rsidP="00C54F26">
      <w:pPr>
        <w:pStyle w:val="TextoNormal"/>
      </w:pPr>
    </w:p>
    <w:p w:rsidR="00C54F26" w:rsidRDefault="00C54F26" w:rsidP="00C54F26">
      <w:pPr>
        <w:pStyle w:val="TextoNormal"/>
      </w:pPr>
      <w:r>
        <w:t xml:space="preserve">(iv) La resolución impugnada, en la medida en que concluye en la decisión de no otorgar la tutela cautelar pretendida, habría vulnerado asimismo (STC 148/1993, de 29 de abril) “los derechos a acceder al cargo en condiciones de igualdad previsto en el artículo 23.2 de la Constitución, así como en el artículo 39 de la Carta de derechos fundamentales de la Unión Europea y el artículo 3 del Protocolo núm. 1 del Convenio europeo de derechos humanos, que comprende, su ejercicio, así como el derecho a la libertad previsto en el artículo 17 de la Constitución, el artículo 6 de la Carta de los derechos fundamentales de la Unión Europea y el artículo 5 del Convenio europeo para la protección de los derechos humanos y de las libertades fundamentales, el derecho a entrar y salir libremente de España sin limitación por motivos políticos o ideológicos previsto en el artículo 19 de la Constitución (en relación con su artículo 16), el artículo 45 de la Carta de los derechos fundamentales de la Unión Europea y los artículos 2 y 3 del Protocolo núm. 4 al Convenio europeo para la protección de los derechos humanos y de las libertades fundamentales, el derecho a la igualdad en la aplicación de la Ley previsto en el artículo 14 de la Constitución, los artículos 20 y 21 de la Carta de los derechos fundamentales de la Unión Europea, el artículo 14 del Convenio europeo </w:t>
      </w:r>
      <w:r>
        <w:lastRenderedPageBreak/>
        <w:t>para la protección de los derechos humanos y de las libertades fundamentales y el artículo 1 de su Protocolo núm. 12”.</w:t>
      </w:r>
    </w:p>
    <w:p w:rsidR="00C54F26" w:rsidRDefault="00C54F26" w:rsidP="00C54F26">
      <w:pPr>
        <w:pStyle w:val="TextoNormal"/>
      </w:pPr>
    </w:p>
    <w:p w:rsidR="00C54F26" w:rsidRDefault="00C54F26" w:rsidP="00C54F26">
      <w:pPr>
        <w:pStyle w:val="TextoNormal"/>
      </w:pPr>
      <w:r>
        <w:t>Segundo. Los recurrentes reiteran en el recurso las alegaciones ya formuladas en esta pieza cautelar separada señalando de nuevo que, en este caso, concurren los requisitos exigidos por el art. 56.2 LOTC para estimar su pretensión cautelar: urgencia evidente, perjuicio actual e irreparable, y posibilidad de pérdida de la finalidad del amparo para el caso de que fuera finalmente estimado; en tal medida, entienden justificada la concreta tutela cautelar solicitada, atendidos, también, los derechos sustantivos alegados a los que la tutela cautelar se dirige, a los que se ha hecho referencia en el epígrafe precedente. En consecuencia, solicitan de este tribunal que dicte auto por el que se estime el recurso de súplica, a los concretos efectos de declarar vulnerados por el Tribunal Constitucional los derechos de los recurrentes a la tutela judicial efectiva y a un proceso con todas las garantías, en las dimensiones alegadas, en relación con los demás derechos sustantivos alegados en el recurso de amparo. Y todo ello, con el concreto resultado de anular el auto de 9 de septiembre de 2020 que es objeto del recurso de súplica en lo que se refiere a la denegación de la medida cautelar solicitada conforme al artículo 56.2 y 3 de la Ley Orgánica del Tribunal Constitucional, dictando una nueva resolución, en forma de auto, que estime las medidas cautelares solicitadas conforme a dicho precepto, en los términos solicitados en su día en el escrito de interposición del recurso de amparo.</w:t>
      </w:r>
    </w:p>
    <w:p w:rsidR="00C54F26" w:rsidRDefault="00C54F26" w:rsidP="00C54F26">
      <w:pPr>
        <w:pStyle w:val="TextoNormal"/>
      </w:pPr>
    </w:p>
    <w:p w:rsidR="00C54F26" w:rsidRDefault="00C54F26" w:rsidP="00C54F26">
      <w:pPr>
        <w:pStyle w:val="TextoNormal"/>
      </w:pPr>
      <w:r>
        <w:t>Tercero. Por último, tras pedir que el Pleno acuerde la celebración de vista oral con carácter previo a la resolución de su recurso de súplica (art. 85.3 LOTC), para el caso que no decida estimar el recurso de súplica, solicitan también a este tribunal el planteamiento de una nueva cuestión prejudicial. Entienden que nos hallamos en el ámbito material de aplicación del Derecho de la Unión y que, para la resolución de este recurso de súplica, resulta imprescindible la interpretación de sus disposiciones, dado que los criterios que fundamentan el auto impugnado harían imposible en la práctica la tutela judicial cautelar de los derechos que se afirman como vulnerados, tal y como viene reconocida en el sistema normativo de la Unión.</w:t>
      </w:r>
    </w:p>
    <w:p w:rsidR="00C54F26" w:rsidRDefault="00C54F26" w:rsidP="00C54F26">
      <w:pPr>
        <w:pStyle w:val="TextoNormal"/>
      </w:pPr>
    </w:p>
    <w:p w:rsidR="00C54F26" w:rsidRDefault="00C54F26" w:rsidP="00C54F26">
      <w:pPr>
        <w:pStyle w:val="TextoNormal"/>
      </w:pPr>
      <w:r>
        <w:t xml:space="preserve">La cuestión, cuyo planteamiento prejudicial ante el Tribunal de Justicia de la Unión Europea proponen, sería la siguiente: “A la vista del artículo 47 de la Carta de los derechos fundamentales de la Unión Europea y de la sentencia del Tribunal de Justicia de la Unión Europea de 13 de marzo de 2007, C-432/05, asunto </w:t>
      </w:r>
      <w:r w:rsidRPr="00C54F26">
        <w:rPr>
          <w:i/>
        </w:rPr>
        <w:t>Unibet</w:t>
      </w:r>
      <w:r>
        <w:t>, ¿se opone al principio de efectividad del Derecho de la Unión Europea, en relación con el principio de primacía, un criterio jurisprudencial de un Estado miembro según el cual,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por hacer imposible en la práctica o excesivamente difícil la tutela judicial cautelar de los derechos conferidos por el ordenamiento jurídico de la Unión, en relación con lo previsto en los artículos 6, 39.2 y 45 de la Carta de los derechos fundamentales, el artículo 343 del Tratado de funcionamiento de la Unión Europea y el artículo 9 del Protocolo núm. 7 sobre los privilegios y las inmunidades de la Unión Europea?”.</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5</w:t>
      </w:r>
      <w:r>
        <w:t>. En su escrito de alegaciones, registrado el 28 de septiembre de 2020, el abogado del Estado considera improcedente el reenvío prejudicial propuesto y solicita, en lo demás, la desestimación del recurso de súplica.</w:t>
      </w:r>
    </w:p>
    <w:p w:rsidR="00C54F26" w:rsidRDefault="00C54F26" w:rsidP="00C54F26">
      <w:pPr>
        <w:pStyle w:val="TextoNormal"/>
      </w:pPr>
    </w:p>
    <w:p w:rsidR="00C54F26" w:rsidRDefault="00C54F26" w:rsidP="00C54F26">
      <w:pPr>
        <w:pStyle w:val="TextoNormal"/>
      </w:pPr>
      <w:r>
        <w:t xml:space="preserve">(i) Considera improcedente la solicitud de reenvío prejudicial, en primer lugar, porque se refiere a los propios criterios aplicativos del art 56 LOTC que llevaron a este tribunal a denegar las medidas cautelares solicitadas. La aplicada es una ley nacional que considera completamente ajena a cualquier otra norma de Derecho de la Unión, por lo que entiende evidente que la tutela cautelar en el proceso constitucional de amparo de los derechos fundamentales no está comprendida en el ámbito de aplicación del Derecho de la Unión. Refuerza su alegación destacando que “cuando una situación jurídica no está comprendida en el ámbito de aplicación del Derecho de la Unión, el Tribunal de Justicia no tiene competencia para conocer de ella y las disposiciones de la Carta eventualmente invocadas no pueden fundar por sí solas tal competencia” (STJUE de 1 de diciembre de 2016, C-395/15, asunto </w:t>
      </w:r>
      <w:r w:rsidRPr="00C54F26">
        <w:rPr>
          <w:i/>
        </w:rPr>
        <w:t>Mohamed Daouidi y Bootes Plus S.L. c. Fondo de Garantía Salarial</w:t>
      </w:r>
      <w:r>
        <w:t>, § 60 a 63).</w:t>
      </w:r>
    </w:p>
    <w:p w:rsidR="00C54F26" w:rsidRDefault="00C54F26" w:rsidP="00C54F26">
      <w:pPr>
        <w:pStyle w:val="TextoNormal"/>
      </w:pPr>
    </w:p>
    <w:p w:rsidR="00C54F26" w:rsidRDefault="00C54F26" w:rsidP="00C54F26">
      <w:pPr>
        <w:pStyle w:val="TextoNormal"/>
      </w:pPr>
      <w:r>
        <w:t xml:space="preserve">En segundo lugar, afirma que el parámetro cautelar de la justicia comunitaria es exactamente el mismo que aplica el Tribunal Constitucional. En apoyo de tal conclusión cita el auto de 3 de marzo de 2020, del vicepresidente del Tribunal General dictado en el asunto </w:t>
      </w:r>
      <w:r w:rsidRPr="00C54F26">
        <w:rPr>
          <w:i/>
        </w:rPr>
        <w:t>Oriol Junqueras c. Parlamento Europeo</w:t>
      </w:r>
      <w:r>
        <w:t xml:space="preserve"> (T-24/20) en el que, al analizar la existencia de </w:t>
      </w:r>
      <w:r w:rsidRPr="00C54F26">
        <w:rPr>
          <w:i/>
        </w:rPr>
        <w:t>fumus boni iuris</w:t>
      </w:r>
      <w:r>
        <w:t xml:space="preserve"> de la tutela cautelar demandada, señala que alguno de los motivos invocados para justificar la pretensión “revela un desacuerdo importante sobre cuestiones de Derecho o de hecho cuya solución no resulta evidente de inmediato y merece, por tanto, un examen detallado, que no puede ser efectuado por el juez de medidas provisionales, sino que debe realizarse en el procedimiento sobre el fondo”. En el mismo sentido, cita el auto del TJUE de 29 de enero de 1997 en el asunto </w:t>
      </w:r>
      <w:r w:rsidRPr="00C54F26">
        <w:rPr>
          <w:i/>
        </w:rPr>
        <w:t>Antonissen c. Consejo de la Unión Europea y Comisión de las Comunidades Europeas</w:t>
      </w:r>
      <w:r>
        <w:t xml:space="preserve"> (C-393/96).</w:t>
      </w:r>
    </w:p>
    <w:p w:rsidR="00C54F26" w:rsidRDefault="00C54F26" w:rsidP="00C54F26">
      <w:pPr>
        <w:pStyle w:val="TextoNormal"/>
      </w:pPr>
    </w:p>
    <w:p w:rsidR="00C54F26" w:rsidRDefault="00C54F26" w:rsidP="00C54F26">
      <w:pPr>
        <w:pStyle w:val="TextoNormal"/>
      </w:pPr>
      <w:r>
        <w:t>(ii) Tampoco comparte el abogado del Estado el fundamento de la queja que denuncia la vulneración del principio de contradicción. Señala que no solo los demandantes incumplen la carga argumental que les incumbe en un recurso de súplica, sino que “la garantía de contradicción no comprende la réplica indefinida del demandante a las alegaciones de las otras partes procesales”, a lo que añade que la pretensión cautelar pudo haber sido denegada por razones ajenas a las expuestas por el Ministerio Fiscal pues, al razonar sus fallos, los tribunales no tiene obligación de ajustar los razonamientos jurídicos que les sirven para motivarlos a las alegaciones aducidas por las partes (</w:t>
      </w:r>
      <w:r w:rsidRPr="00C54F26">
        <w:rPr>
          <w:i/>
        </w:rPr>
        <w:t>iura novit curia</w:t>
      </w:r>
      <w:r>
        <w:t>).</w:t>
      </w:r>
    </w:p>
    <w:p w:rsidR="00C54F26" w:rsidRDefault="00C54F26" w:rsidP="00C54F26">
      <w:pPr>
        <w:pStyle w:val="TextoNormal"/>
      </w:pPr>
    </w:p>
    <w:p w:rsidR="00C54F26" w:rsidRDefault="00C54F26" w:rsidP="00C54F26">
      <w:pPr>
        <w:pStyle w:val="TextoNormal"/>
      </w:pPr>
      <w:r>
        <w:t>(iii) Por último, en cuanto a las supuestas dilaciones indebidas que han sido denunciadas, con remisión a lo expuesto al respecto en el auto de 9 de septiembre de 2020, considera que no concurren; y añade que la impugnación no cumple tampoco la carga argumental precisa que dé respuesta a la resolución recurrida.</w:t>
      </w:r>
    </w:p>
    <w:p w:rsidR="00C54F26" w:rsidRDefault="00C54F26" w:rsidP="00C54F26">
      <w:pPr>
        <w:pStyle w:val="TextoNormal"/>
      </w:pPr>
    </w:p>
    <w:p w:rsidR="00C54F26" w:rsidRDefault="00C54F26" w:rsidP="00C54F26">
      <w:pPr>
        <w:pStyle w:val="TextoNormal"/>
      </w:pPr>
      <w:r w:rsidRPr="00C54F26">
        <w:rPr>
          <w:rStyle w:val="NumeroAFNegritaCaracter"/>
        </w:rPr>
        <w:t>6</w:t>
      </w:r>
      <w:r>
        <w:t xml:space="preserve">. La representación procesal del partido político Vox, personado en el proceso de amparo en cuanto es acusación popular en la causa judicial previa, presentó sus alegaciones el 30 de septiembre de 2020 solicitando la desestimación del recurso de súplica. Alegan que la suspensión solicitada no es obligada ni concurren las circunstancias que justifiquen su adopción puesto que produciría una perturbación grave en un interés constitucionalmente protegido, sin que los demandantes hayan justificado un perjuicio real de que el amparo </w:t>
      </w:r>
      <w:r>
        <w:lastRenderedPageBreak/>
        <w:t>pierda su finalidad si no son suspendidas las resoluciones impugnadas. Consideran que las órdenes de detención no impiden a los demandantes ejercer su cargo de parlamentarios europeos, a lo que añaden que la suspensión que se solicita supondría un pronunciamiento sobre el fondo del recurso de amparo.</w:t>
      </w:r>
    </w:p>
    <w:p w:rsidR="00C54F26" w:rsidRDefault="00C54F26" w:rsidP="00C54F26">
      <w:pPr>
        <w:pStyle w:val="TextoNormal"/>
      </w:pPr>
    </w:p>
    <w:p w:rsidR="00C54F26" w:rsidRDefault="00C54F26" w:rsidP="00C54F26">
      <w:pPr>
        <w:pStyle w:val="TextoNormal"/>
      </w:pPr>
      <w:r>
        <w:t>Rechaza también las vulneraciones de derechos fundamentales alegadas por los recurrentes, así como la pretensión de reenvío prejudicial, señalando que solo ha de acordarse cuando el tribunal lo encuentre preciso para resolver el objeto del litigio planteado. Califica el amparo pretendido como fraude de ley y ejercicio abusivo de los derechos invocados [arts. 11 de la Ley Orgánica del Poder Judicial (LOPJ) y 7 del Código civil] pues, haciendo valer su inmunidad parlamentaria se pretende eludir la acción de la justicia y evitar la responsabilidad penal que les pueda corresponder. Tampoco comparte la supuesta vulneración del principio de contradicción, pues no está prevista la posibilidad legal de réplica a las alegaciones de las partes.</w:t>
      </w:r>
    </w:p>
    <w:p w:rsidR="00C54F26" w:rsidRDefault="00C54F26" w:rsidP="00C54F26">
      <w:pPr>
        <w:pStyle w:val="TextoNormal"/>
      </w:pPr>
    </w:p>
    <w:p w:rsidR="00C54F26" w:rsidRDefault="00C54F26" w:rsidP="00C54F26">
      <w:pPr>
        <w:pStyle w:val="TextoNormal"/>
      </w:pPr>
      <w:r w:rsidRPr="00C54F26">
        <w:rPr>
          <w:rStyle w:val="NumeroAFNegritaCaracter"/>
        </w:rPr>
        <w:t>7</w:t>
      </w:r>
      <w:r>
        <w:t>. Mediante escrito registrado el 6 de octubre de 2020, tras resumir las alegaciones que sustentan el recurso de súplica, el fiscal ante el Tribunal Constitucional ha solicitado su desestimación íntegra, con expresa remisión a los argumentos del auto recurrido, a los que, esencialmente expuestas, añade las siguientes consideraciones:</w:t>
      </w:r>
    </w:p>
    <w:p w:rsidR="00C54F26" w:rsidRDefault="00C54F26" w:rsidP="00C54F26">
      <w:pPr>
        <w:pStyle w:val="TextoNormal"/>
      </w:pPr>
    </w:p>
    <w:p w:rsidR="00C54F26" w:rsidRDefault="00C54F26" w:rsidP="00C54F26">
      <w:pPr>
        <w:pStyle w:val="TextoNormal"/>
      </w:pPr>
      <w:r>
        <w:t>(i) Ninguna merma efectiva y real de la contradicción puede entenderse producida en el presente incidente cautelar en la peor de las hipótesis, una vez que a través del propio recurso de súplica interpuesto contra el auto de 9 de septiembre de 2020, la contradicción frente a todo lo alegado en su momento por el Ministerio Fiscal se habría hecho efectiva en este trámite.</w:t>
      </w:r>
    </w:p>
    <w:p w:rsidR="00C54F26" w:rsidRDefault="00C54F26" w:rsidP="00C54F26">
      <w:pPr>
        <w:pStyle w:val="TextoNormal"/>
      </w:pPr>
    </w:p>
    <w:p w:rsidR="00C54F26" w:rsidRDefault="00C54F26" w:rsidP="00C54F26">
      <w:pPr>
        <w:pStyle w:val="TextoNormal"/>
      </w:pPr>
      <w:r>
        <w:t>(ii) El criterio utilizado para justificar la denegación de las medidas cautelares postuladas es el habitualmente manejado, en seguimiento de la jurisprudencia constitucional, en todos los supuestos en que por la naturaleza y las circunstancias de la pretensión suspensiva se considera aplicable. Resulta, por tanto, procedente y legítimo su aplicación al caso presente, una vez constatada la coincidencia material entre la pretensión de fondo que se ventila en el proceso principal de amparo y las formuladas en las alegaciones que fundamentaron las peticiones de suspensión cautelar, dado que no puede acordarse la suspensión cuando concederla equivalga a un otorgamiento anticipado del amparo. Considera el Ministerio Fiscal que puede entenderse que los autos judiciales objeto de impugnación en el proceso principal de amparo ya no despliegan efecto concreto sobre la situación real actual de los recurrentes, al haber sido sustituidos por otros con distinto fundamento y ámbito territorial de aplicación. Concluye su alegato señalando que, en esta medida, “no cabe tutela cautelar cuando un posible fallo favorable no pueda quedar desprovisto de eficacia ante la ausencia de adopción de medidas cautelares, precisamente porque la situación jurídica actual no es la determinada por las resoluciones concretamente recurridas en amparo”.</w:t>
      </w:r>
    </w:p>
    <w:p w:rsidR="00C54F26" w:rsidRDefault="00C54F26" w:rsidP="00C54F26">
      <w:pPr>
        <w:pStyle w:val="TextoNormal"/>
      </w:pPr>
    </w:p>
    <w:p w:rsidR="00C54F26" w:rsidRDefault="00C54F26" w:rsidP="00C54F26">
      <w:pPr>
        <w:pStyle w:val="TextoNormal"/>
      </w:pPr>
      <w:r>
        <w:t xml:space="preserve">(iii) La cuestión prejudicial pretendida no resulta fundada por cuanto los criterios con los que este tribunal ha resuelto la petición cautelar de los recurrentes no son en absoluto desacordes con las pautas y parámetros que aplica el Tribunal de Justicia de la Unión Europea para sus propias decisiones sobre adopción de medidas provisionales, por lo que el principio de efectividad del Derecho de la Unión Europea en absoluto se ha visto afectado (arts. 256.1, 278 y 279 TFUE y jurisprudencia que los interpreta -auto de 19 de julio de 2016, </w:t>
      </w:r>
      <w:r>
        <w:lastRenderedPageBreak/>
        <w:t xml:space="preserve">asunto </w:t>
      </w:r>
      <w:r w:rsidRPr="00C54F26">
        <w:rPr>
          <w:i/>
        </w:rPr>
        <w:t>Bélgica/Comisión</w:t>
      </w:r>
      <w:r>
        <w:t xml:space="preserve">, T-131116 R, EU: T:2016: 427, § 12 y jurisprudencia citada; auto de 2 de marzo de 2016, asunto </w:t>
      </w:r>
      <w:r w:rsidRPr="00C54F26">
        <w:rPr>
          <w:i/>
        </w:rPr>
        <w:t>Evonik Degussa/Comisión</w:t>
      </w:r>
      <w:r>
        <w:t xml:space="preserve">, C-162115 P-R, EU :C:2016: 142, § 21 y jurisprudencia citada; y más recientemente, auto de 3 de marzo de 2020, T-24/20 R, en el asunto </w:t>
      </w:r>
      <w:r w:rsidRPr="00C54F26">
        <w:rPr>
          <w:i/>
        </w:rPr>
        <w:t>Oriol Junqueras c. Parlamento Europeo</w:t>
      </w:r>
      <w:r>
        <w:t>). Entiende el Ministerio Fiscal que cuando precisamente las pretensiones cautelares coinciden materialmente con las del fondo de la impugnación principal —de la que son accesorias— y presentan alguna complejidad, merecen un examen detallado que debe realizarse con ocasión de analizar y dirimir el recurso principal, contemplando toda la dimensión y circunstancias de este. Concluye señalando que “tal criterio aplicativo no es contrario ni vulnerador del derecho a la tutela judicial efectiva en su manifestación cautelar, sino que se revela como un límite inmanente a esta”.</w:t>
      </w:r>
    </w:p>
    <w:p w:rsidR="00C54F26" w:rsidRDefault="00C54F26" w:rsidP="00C54F26">
      <w:pPr>
        <w:pStyle w:val="TextoNormal"/>
      </w:pPr>
    </w:p>
    <w:p w:rsidR="00C54F26" w:rsidRDefault="00C54F26" w:rsidP="00C54F26">
      <w:pPr>
        <w:pStyle w:val="TextoNormal"/>
      </w:pPr>
      <w:r>
        <w:t>(iv) En relación con las supuestas dilaciones indebidas denunciadas, entiende que el recurso viene a plantear una mera discrepancia sobre lo ya resuelto, por lo que, sin más, cabe reproducir como respuesta la fundamentación jurídica contenida en el auto recurrido.</w:t>
      </w:r>
    </w:p>
    <w:p w:rsidR="00C54F26" w:rsidRDefault="00C54F26" w:rsidP="00C54F26">
      <w:pPr>
        <w:pStyle w:val="TextoNormal"/>
      </w:pPr>
    </w:p>
    <w:p w:rsidR="00C54F26" w:rsidRDefault="00C54F26" w:rsidP="00C54F26">
      <w:pPr>
        <w:pStyle w:val="TextoNormal"/>
      </w:pPr>
      <w:r>
        <w:t>(v) Por último, aprecia que la denunciada vulneración de los mismos derechos fundamentales alegados en amparo lo que evidencia es la coincidencia material sustancial entre las pretensiones del recurso de amparo y las de la petición cautelar, que es precisamente, el criterio que ha justificado su desestimación.</w:t>
      </w:r>
    </w:p>
    <w:p w:rsidR="00C54F26" w:rsidRDefault="00C54F26" w:rsidP="00C54F26">
      <w:pPr>
        <w:pStyle w:val="TextoNormal"/>
      </w:pPr>
    </w:p>
    <w:p w:rsidR="00C54F26" w:rsidRDefault="00C54F26" w:rsidP="00C54F26">
      <w:pPr>
        <w:pStyle w:val="TextoNormal"/>
      </w:pPr>
      <w:r w:rsidRPr="00C54F26">
        <w:rPr>
          <w:rStyle w:val="NumeroAFNegritaCaracter"/>
        </w:rPr>
        <w:t>8</w:t>
      </w:r>
      <w:r>
        <w:t>. A fin de tramitar y resolver la petición de recusación del magistrado de este Tribunal Constitucional señor Narváez Rodríguez, planteada por los demandantes en este proceso de amparo mediante escrito de fecha 6 de octubre de 2020, el Pleno, mediante providencia de fecha 20 de octubre de 2020, con suspensión de las actuaciones correspondientes al presente recurso, acordó formar pieza separada.</w:t>
      </w:r>
    </w:p>
    <w:p w:rsidR="00C54F26" w:rsidRDefault="00C54F26" w:rsidP="00C54F26">
      <w:pPr>
        <w:pStyle w:val="TextoNormal"/>
      </w:pPr>
    </w:p>
    <w:p w:rsidR="00C54F26" w:rsidRDefault="00C54F26" w:rsidP="00C54F26">
      <w:pPr>
        <w:pStyle w:val="TextoNormal"/>
      </w:pPr>
      <w:r>
        <w:t>Con fecha 16 de febrero de 2021, el Excmo. señor don Antonio Narváez Rodríguez formuló su abstención en relación con el presente proceso constitucional de amparo, abstención que, por unanimidad, fue considerada justificada por el Pleno de este tribunal en resolución de la misma fecha, lo que dio lugar a su aceptación y a acordar el archivo de la pieza separada de recusación formada en el presente recurso de amparo.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w:t>
      </w:r>
      <w:r w:rsidRPr="00C54F26">
        <w:rPr>
          <w:i/>
        </w:rPr>
        <w:t>Recurso de súplica y posiciones de las partes</w:t>
      </w:r>
      <w:r>
        <w:t>.</w:t>
      </w:r>
    </w:p>
    <w:p w:rsidR="00C54F26" w:rsidRDefault="00C54F26" w:rsidP="00C54F26">
      <w:pPr>
        <w:pStyle w:val="TextoNormal"/>
      </w:pPr>
    </w:p>
    <w:p w:rsidR="00C54F26" w:rsidRDefault="00C54F26" w:rsidP="00C54F26">
      <w:pPr>
        <w:pStyle w:val="TextoNormal"/>
      </w:pPr>
      <w:r>
        <w:t>A) Como con más detalle ha quedado expuesto en los antecedentes, es objeto del presente recurso de súplica el ATC 89/2020, de 9 de septiembre por el que, en la presente pieza separada sobre medidas cautelares, el Pleno desestimó la adopción de las solicitadas en la demanda y consideró no justificado ni procedente plantear la cuestión prejudicial que, para resolver sobre su pretensión, propusieron los demandantes en sus alegaciones.</w:t>
      </w:r>
    </w:p>
    <w:p w:rsidR="00C54F26" w:rsidRDefault="00C54F26" w:rsidP="00C54F26">
      <w:pPr>
        <w:pStyle w:val="TextoNormal"/>
      </w:pPr>
    </w:p>
    <w:p w:rsidR="00C54F26" w:rsidRDefault="00C54F26" w:rsidP="00C54F26">
      <w:pPr>
        <w:pStyle w:val="TextoNormal"/>
      </w:pPr>
      <w:r>
        <w:t>Los recurrentes cuestionan en súplica la respuesta desestimatoria que ha recibido su pretensión cautelar y, frente a ella, aducen además la vulneración de sus derechos fundamentales, procesales y sustantivos. En síntesis, consideran:</w:t>
      </w:r>
    </w:p>
    <w:p w:rsidR="00C54F26" w:rsidRDefault="00C54F26" w:rsidP="00C54F26">
      <w:pPr>
        <w:pStyle w:val="TextoNormal"/>
      </w:pPr>
    </w:p>
    <w:p w:rsidR="00C54F26" w:rsidRDefault="00C54F26" w:rsidP="00C54F26">
      <w:pPr>
        <w:pStyle w:val="TextoNormal"/>
      </w:pPr>
      <w:r>
        <w:lastRenderedPageBreak/>
        <w:t>(i) que una vez formulada su pretensión cautelar y hechas sus alegaciones adicionales, tenían derecho a un turno adicional de réplica dirigido a contestar las que formulase el Ministerio Fiscal, lo que hubiera garantizado la plena contradicción procesal en la presente pieza separada sobre medidas cautelares.</w:t>
      </w:r>
    </w:p>
    <w:p w:rsidR="00C54F26" w:rsidRDefault="00C54F26" w:rsidP="00C54F26">
      <w:pPr>
        <w:pStyle w:val="TextoNormal"/>
      </w:pPr>
    </w:p>
    <w:p w:rsidR="00C54F26" w:rsidRDefault="00C54F26" w:rsidP="00C54F26">
      <w:pPr>
        <w:pStyle w:val="TextoNormal"/>
      </w:pPr>
      <w:r>
        <w:t>(ii) que vulnera su derecho a la tutela judicial cautelar la denegación de las medidas cautelares solicitadas ante este tribunal que, en última instancia, propugnaban dejar sin efecto las órdenes nacionales de búsqueda, detención e ingreso en prisión, que habían sido adoptadas contra los demandantes en la causa penal en la que se encontraban declarados en rebeldía y procesados como presuntos autores de los delitos de rebelión y malversación de caudales públicos.</w:t>
      </w:r>
    </w:p>
    <w:p w:rsidR="00C54F26" w:rsidRDefault="00C54F26" w:rsidP="00C54F26">
      <w:pPr>
        <w:pStyle w:val="TextoNormal"/>
      </w:pPr>
    </w:p>
    <w:p w:rsidR="00C54F26" w:rsidRDefault="00C54F26" w:rsidP="00C54F26">
      <w:pPr>
        <w:pStyle w:val="TextoNormal"/>
      </w:pPr>
      <w:r>
        <w:t>(iii) que los argumentos expuestos por este tribunal para desestimar la pretensión cautelar solicitada desconocen el principio de efectividad del Derecho de la Unión Europea, al tiempo que, en la práctica, suponen la negación absoluta del derecho aducido, haciendo imposible o excesivamente difícil la tutela judicial cautelar de los derechos alegados que les confiere el sistema normativo de la Unión. Sostienen que, por esta razón, debe ser concedida la protección cautelar solicitada o, de no ser así, debe plantearse previamente cuestión prejudicial ante el Tribunal de Justicia de la Unión Europea acerca de la compatibilidad del criterio aplicativo de este Tribunal con la Carta de los derechos fundamentales de la Unión.</w:t>
      </w:r>
    </w:p>
    <w:p w:rsidR="00C54F26" w:rsidRDefault="00C54F26" w:rsidP="00C54F26">
      <w:pPr>
        <w:pStyle w:val="TextoNormal"/>
      </w:pPr>
    </w:p>
    <w:p w:rsidR="00C54F26" w:rsidRDefault="00C54F26" w:rsidP="00C54F26">
      <w:pPr>
        <w:pStyle w:val="TextoNormal"/>
      </w:pPr>
      <w:r>
        <w:t>(iv) que el tiempo transcurrido desde que se formuló la demanda de amparo (3 de enero de 2020) hasta que este Tribunal se pronunció sobre la pretensión cautelar planteada (providencia de 14 de julio del mismo año), evidencia la vulneración del derecho a un proceso sin dilaciones indebidas.</w:t>
      </w:r>
    </w:p>
    <w:p w:rsidR="00C54F26" w:rsidRDefault="00C54F26" w:rsidP="00C54F26">
      <w:pPr>
        <w:pStyle w:val="TextoNormal"/>
      </w:pPr>
    </w:p>
    <w:p w:rsidR="00C54F26" w:rsidRDefault="00C54F26" w:rsidP="00C54F26">
      <w:pPr>
        <w:pStyle w:val="TextoNormal"/>
      </w:pPr>
      <w:r>
        <w:t>(v) que la denegación de la protección cautelar interesada conlleva la vulneración de los derechos fundamentales sustantivos alegados, porque el mantenimiento de las ordenes nacionales de detención e ingreso en prisión impugnadas en amparo limita indebidamente su libertad personal, de circulación por el territorio español y de ejercicio de su derecho de representación política, así como el principio de igualdad en la aplicación de la ley.</w:t>
      </w:r>
    </w:p>
    <w:p w:rsidR="00C54F26" w:rsidRDefault="00C54F26" w:rsidP="00C54F26">
      <w:pPr>
        <w:pStyle w:val="TextoNormal"/>
      </w:pPr>
    </w:p>
    <w:p w:rsidR="00C54F26" w:rsidRDefault="00C54F26" w:rsidP="00C54F26">
      <w:pPr>
        <w:pStyle w:val="TextoNormal"/>
      </w:pPr>
      <w:r>
        <w:t>Por último, mediante un segundo otrosí solicitan que se señale día para la vista oral del presente recurso de súplica.</w:t>
      </w:r>
    </w:p>
    <w:p w:rsidR="00C54F26" w:rsidRDefault="00C54F26" w:rsidP="00C54F26">
      <w:pPr>
        <w:pStyle w:val="TextoNormal"/>
      </w:pPr>
    </w:p>
    <w:p w:rsidR="00C54F26" w:rsidRDefault="00C54F26" w:rsidP="00C54F26">
      <w:pPr>
        <w:pStyle w:val="TextoNormal"/>
      </w:pPr>
      <w:r>
        <w:t>B) También se anticipó en los antecedentes que las partes personadas en el presente proceso de amparo se oponen a la estimación del recurso de súplica. En síntesis, sus alegaciones son las siguientes:</w:t>
      </w:r>
    </w:p>
    <w:p w:rsidR="00C54F26" w:rsidRDefault="00C54F26" w:rsidP="00C54F26">
      <w:pPr>
        <w:pStyle w:val="TextoNormal"/>
      </w:pPr>
    </w:p>
    <w:p w:rsidR="00C54F26" w:rsidRDefault="00C54F26" w:rsidP="00C54F26">
      <w:pPr>
        <w:pStyle w:val="TextoNormal"/>
      </w:pPr>
      <w:r>
        <w:t xml:space="preserve">a) El abogado del Estado considera improcedente la solicitud de reenvío prejudicial planteada, dado que la tutela cautelar en el proceso constitucional de amparo de los derechos fundamentales no está comprendida en el ámbito de aplicación del Derecho de la Unión [art. 56 de la Ley Orgánica del Tribunal Constitucional (LOTC)]. Afirma también que el parámetro cautelar de la justicia comunitaria es el mismo que aplica el Tribunal Constitucional. Apoya tal conclusión con la cita del auto de 3 de marzo de 2020, del vicepresidente del Tribunal General, dictado en el asunto </w:t>
      </w:r>
      <w:r w:rsidRPr="00C54F26">
        <w:rPr>
          <w:i/>
        </w:rPr>
        <w:t>Oriol Junqueras c. Parlamento Europeo</w:t>
      </w:r>
      <w:r>
        <w:t xml:space="preserve"> (T-24/20). Por último, sostiene que la garantía de contradicción no comprende la réplica indefinida del </w:t>
      </w:r>
      <w:r>
        <w:lastRenderedPageBreak/>
        <w:t>demandante a las alegaciones de las otras partes procesales, rechazando asimismo que se hayan producido las dilaciones indebidas que se denuncian.</w:t>
      </w:r>
    </w:p>
    <w:p w:rsidR="00C54F26" w:rsidRDefault="00C54F26" w:rsidP="00C54F26">
      <w:pPr>
        <w:pStyle w:val="TextoNormal"/>
      </w:pPr>
    </w:p>
    <w:p w:rsidR="00C54F26" w:rsidRDefault="00C54F26" w:rsidP="00C54F26">
      <w:pPr>
        <w:pStyle w:val="TextoNormal"/>
      </w:pPr>
      <w:r>
        <w:t>b) El partido político Vox, que actúa como acusación popular en la causa penal en la que se han acordado las medidas cautelares cuyo levantamiento se pretende, solicita también la desestimación del recurso de súplica. Considera que la protección cautelar pretendida ni es obligada en todo caso, ni concurren en el presente las circunstancias que la justificarían, pues resultaría gravemente afectado un interés constitucionalmente protegible, como lo es la efectividad de las resoluciones judiciales. Añade que su estimación supondría también una anticipación del pronunciamiento de fondo que habrá de dictarse al resolver el recurso de amparo. No comparte la alegada vulneración del principio de contradicción, y cuestiona también la procedencia de la petición de reenvío prejudicial formulada. Concluye señalando que los demandantes, haciendo valer su inmunidad parlamentaria, pretenden eludir la acción de la justicia y evitar la responsabilidad penal que les pueda corresponder.</w:t>
      </w:r>
    </w:p>
    <w:p w:rsidR="00C54F26" w:rsidRDefault="00C54F26" w:rsidP="00C54F26">
      <w:pPr>
        <w:pStyle w:val="TextoNormal"/>
      </w:pPr>
    </w:p>
    <w:p w:rsidR="00C54F26" w:rsidRDefault="00C54F26" w:rsidP="00C54F26">
      <w:pPr>
        <w:pStyle w:val="TextoNormal"/>
      </w:pPr>
      <w:r>
        <w:t>c) El fiscal ante el Tribunal Constitucional ha solicitado la íntegra desestimación del recurso de súplica, con expresa remisión a los argumentos del auto recurrido. Considera que, precisamente, a través de este recurso se hace efectiva la contradicción que el recurrente reclama. Ratifica su criterio en favor de la desestimación de la protección cautelar solicitada, argumentando que la decisión desestimatoria aplica una jurisprudencia reiterada en relación con la naturaleza y las circunstancias de la decisión judicial cuya suspensión se reclama. Coincide en considerar que los parámetros utilizados para denegar la tutela cautelar pretendida son acordes con los que utiliza el propio Tribunal de Justicia de la Unión Europea, por lo que se opone al planteamiento de la cuestión prejudicial pretendida. No comparte tampoco la existencia de dilaciones indebidas alegada, concluyendo que la denunciada vulneración de los mismos derechos fundamentales alegados en amparo evidencia la coincidencia material entre las pretensiones del recurso de amparo y las de la presente petición cautelar, coincidencia que también justifica su desestimación.</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w:t>
      </w:r>
      <w:r w:rsidRPr="00C54F26">
        <w:rPr>
          <w:i/>
        </w:rPr>
        <w:t>La petición de vista pública y la invocación del principio de contradicción</w:t>
      </w:r>
      <w:r>
        <w:t>.</w:t>
      </w:r>
    </w:p>
    <w:p w:rsidR="00C54F26" w:rsidRDefault="00C54F26" w:rsidP="00C54F26">
      <w:pPr>
        <w:pStyle w:val="TextoNormal"/>
      </w:pPr>
    </w:p>
    <w:p w:rsidR="00C54F26" w:rsidRDefault="00C54F26" w:rsidP="00C54F26">
      <w:pPr>
        <w:pStyle w:val="TextoNormal"/>
      </w:pPr>
      <w:r>
        <w:t>a) Con carácter previo al análisis de los motivos de recurso que cuestiona la decisión desestimatoria adoptada, hemos de señalar que, de acuerdo con el art. 85.3 LOTC, no se aprecian razones suficientes para atender la petición planteada por los demandantes en favor de la celebración de vista oral y pública previa a la resolución de este recurso.</w:t>
      </w:r>
    </w:p>
    <w:p w:rsidR="00C54F26" w:rsidRDefault="00C54F26" w:rsidP="00C54F26">
      <w:pPr>
        <w:pStyle w:val="TextoNormal"/>
      </w:pPr>
    </w:p>
    <w:p w:rsidR="00C54F26" w:rsidRDefault="00C54F26" w:rsidP="00C54F26">
      <w:pPr>
        <w:pStyle w:val="TextoNormal"/>
      </w:pPr>
      <w:r>
        <w:t xml:space="preserve">b) En la STC 57/2012, de 29 de marzo, FJ 2, el Pleno de este tribunal ha sintetizado su doctrina acerca del derecho de defensa contradictoria de las partes contendientes en todo proceso judicial, que constituye sin duda una de las manifestaciones del derecho fundamental a obtener la tutela judicial efectiva sin indefensión consagrado en el artículo 24 de la Constitución y comprende el deber los órganos judiciales de asegurar a las partes contendientes la oportunidad de alegar y probar procesalmente sus derechos o intereses (SSTC 25/1997, de 11 de febrero, FJ 2; 102/1998, de 18 de mayo, FJ 2; 18/1999, de 22 de febrero, FJ 3, y 143/2001, de 18 de junio, FJ 3), así como de replicar dialécticamente las posiciones contrarias en el ejercicio del indispensable principio de contradicción en igualdad de condiciones con las demás partes procesales (SSTC 2/2002, de 14 de enero, FJ 2, y 25/2011, de 14 de marzo, FJ 7). Así, hemos señalado que “[e]n el contexto del art. 24 de la Constitución la indefensión se caracteriza por suponer una privación o una limitación del derecho de </w:t>
      </w:r>
      <w:r>
        <w:lastRenderedPageBreak/>
        <w:t>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w:t>
      </w:r>
    </w:p>
    <w:p w:rsidR="00C54F26" w:rsidRDefault="00C54F26" w:rsidP="00C54F26">
      <w:pPr>
        <w:pStyle w:val="TextoNormal"/>
      </w:pPr>
    </w:p>
    <w:p w:rsidR="00C54F26" w:rsidRDefault="00C54F26" w:rsidP="00C54F26">
      <w:pPr>
        <w:pStyle w:val="TextoNormal"/>
      </w:pPr>
      <w:r>
        <w:t xml:space="preserve">A tenor de tales criterios no puede estimarse la impugnación que presenta como constitucionalmente obligado un indefinido turno de réplica o dúplica a las alegaciones que el resto de las partes puedan hacer a las propias, en este caso a las que el Ministerio Fiscal presentó frente a su pretensión cautelar. Hemos de recordar que la solicitud cautelar cuya denegación es ahora cuestionada fue formulada por los demandantes al amparo del art. 56.3 y 6 LOTC para que fuera resuelta </w:t>
      </w:r>
      <w:r w:rsidRPr="00C54F26">
        <w:rPr>
          <w:i/>
        </w:rPr>
        <w:t>inaudita parte</w:t>
      </w:r>
      <w:r>
        <w:t>, es decir, sin contradicción alguna. Denegada dicha petición inicial al no apreciar la urgencia excepcional alegada, su análisis y resolución se ha llevado a efecto conforme al procedimiento establecido en la Ley Orgánica del Tribunal Constitucional, oyendo al Ministerio Fiscal, y respondiendo fundadamente a los razonamientos en los que los demandantes la sustentaban, pero tomando también en consideración los que el Ministerio Fiscal opuso en su contra. La decisión adoptada por ATC 89/2020, de 9 de septiembre, ha podido ser recurrida a través de la presente súplica, exponiendo los demandantes los argumentos que consideran precisos tanto sobre la posición del Ministerio Fiscal como sobre la fundamentación del auto resolutorio, los cuales han podido replicar dialécticamente sin merma alguna de su derecho de defensa. En tal medida, atendiendo a la sucesión procesal que ha sido expuesta, no puede estimarse que en la decisión sobre las medidas cautelares adoptadas hayamos incurrido en la alegada vulneración del principio de contradicción, pues la queja se apoya en criterios no acordes con la previsión legal, que tampoco se cohonestan con el fundamento de los derechos procesales aducidos.</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w:t>
      </w:r>
      <w:r w:rsidRPr="00C54F26">
        <w:rPr>
          <w:i/>
        </w:rPr>
        <w:t>La pretensión de suspensión de las resoluciones judiciales impugnadas en amparo y su relación con el Derecho de la Unión Europea</w:t>
      </w:r>
      <w:r>
        <w:t>.</w:t>
      </w:r>
    </w:p>
    <w:p w:rsidR="00C54F26" w:rsidRDefault="00C54F26" w:rsidP="00C54F26">
      <w:pPr>
        <w:pStyle w:val="TextoNormal"/>
      </w:pPr>
    </w:p>
    <w:p w:rsidR="00C54F26" w:rsidRDefault="00C54F26" w:rsidP="00C54F26">
      <w:pPr>
        <w:pStyle w:val="TextoNormal"/>
      </w:pPr>
      <w:r>
        <w:t>Los recurrentes aducen una doble queja con razonamientos estrechamente conectados. De una parte, consideran que la desestimación de su petición cautelar resulta indebidamente justificada por concurrir un perjuicio irreparable en sus derechos fundamentales sustantivos de igualdad ante la ley, libertad personal y de circulación y representación política. De otra parte, cuestionan los criterios que ha justificado la desestimación, por entender que desconocen el principio de efectividad del Derecho de la Unión Europea, al tiempo que, en la práctica, suponen la negación absoluta del derecho a la tutela judicial cautelar aducido, haciendo imposible o excesivamente difícil la que, de los derechos alegados, les confiere el sistema normativo de la Unión Europea.</w:t>
      </w:r>
    </w:p>
    <w:p w:rsidR="00C54F26" w:rsidRDefault="00C54F26" w:rsidP="00C54F26">
      <w:pPr>
        <w:pStyle w:val="TextoNormal"/>
      </w:pPr>
    </w:p>
    <w:p w:rsidR="00C54F26" w:rsidRDefault="00C54F26" w:rsidP="00C54F26">
      <w:pPr>
        <w:pStyle w:val="TextoNormal"/>
      </w:pPr>
      <w:r>
        <w:t>Ambas quejas han de ser desestimadas, con expresa reiteración de los fundamentos expuestos en el auto recurrido.</w:t>
      </w:r>
    </w:p>
    <w:p w:rsidR="00C54F26" w:rsidRDefault="00C54F26" w:rsidP="00C54F26">
      <w:pPr>
        <w:pStyle w:val="TextoNormal"/>
      </w:pPr>
    </w:p>
    <w:p w:rsidR="00C54F26" w:rsidRDefault="00C54F26" w:rsidP="00C54F26">
      <w:pPr>
        <w:pStyle w:val="TextoNormal"/>
      </w:pPr>
      <w:r>
        <w:lastRenderedPageBreak/>
        <w:t xml:space="preserve">3.1. </w:t>
      </w:r>
      <w:r w:rsidRPr="00C54F26">
        <w:rPr>
          <w:i/>
        </w:rPr>
        <w:t>La desestimación de la pretensión cautelar</w:t>
      </w:r>
      <w:r>
        <w:t>. En el fundamento jurídico 3 del ATC 89/2020 recurrido en súplica expusimos las líneas generales del sistema de protección cautelar diseñado por la Ley Orgánica del Tribunal Constitucional, haciendo referencia a sus parámetros de resolución y a la jurisprudencia consolidada dictada en su aplicación.</w:t>
      </w:r>
    </w:p>
    <w:p w:rsidR="00C54F26" w:rsidRDefault="00C54F26" w:rsidP="00C54F26">
      <w:pPr>
        <w:pStyle w:val="TextoNormal"/>
      </w:pPr>
    </w:p>
    <w:p w:rsidR="00C54F26" w:rsidRDefault="00C54F26" w:rsidP="00C54F26">
      <w:pPr>
        <w:pStyle w:val="TextoNormal"/>
      </w:pPr>
      <w:r>
        <w:t>Al dar contestación a este motivo de súplica hemos de reiterar, sucintamente, que la posibilidad de suspender las resoluciones judiciales impugnadas en amparo tiene como perspectiva única y finalidad la preservación de la eficacia de un posible pronunciamiento estimatorio, sin prejuzgar cuál haya de ser el sentido de la futura sentencia que le ponga fin (por todos, AATC 64/1990, de 30 de enero, y 319/2003, de 13 de octubre). No obstante, la regla general sobre suspensión se establece en el art. 56.1 LOTC, a cuyo tenor “la interposición del recurso de amparo no suspenderá los efectos del acto o sentencia impugnados”. Esta regla de principio atiende a la vigencia, efectividad y ejecutoriedad de los actos de los poderes públicos y las resoluciones judiciales que sean objeto de impugnación; esto es, a la presunción de legitimidad que alcanza a todas sus actuaciones; presunción que es inherente a la entera actividad pública, ya sea legislativa, ejecutiva o judicial (por todos, ATC 117/2015, de 6 de julio). Por ello hemos recordado que la posibilidad de suspensión ha de ser interpretada con carácter restrictivo.</w:t>
      </w:r>
    </w:p>
    <w:p w:rsidR="00C54F26" w:rsidRDefault="00C54F26" w:rsidP="00C54F26">
      <w:pPr>
        <w:pStyle w:val="TextoNormal"/>
      </w:pPr>
    </w:p>
    <w:p w:rsidR="00C54F26" w:rsidRDefault="00C54F26" w:rsidP="00C54F26">
      <w:pPr>
        <w:pStyle w:val="TextoNormal"/>
      </w:pPr>
      <w:r>
        <w:t>A pesar de estas reservas, la necesidad de asegurar la efectividad de la futura sentencia sobre el amparo pretendido, esto es, de preservar la integridad del derecho fundamental cuya vulneración se denuncia, posibilita siempre la suspensión de la efectividad de las resoluciones judiciales (ATC 111/2011, de 11 de julio). En tales casos, la suspensión cautelar acarrea objetivamente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aquella jurisdicción (ATC 38/2018, de 22 de marzo). Aparecen entonces en juego otros intereses adicionales que deben ser sopesados: como expusimos en la resolución cuestionada en súplica, “la protección cautelar que puede otorgar este tribunal encuentra un límite adicional en el propio artículo 56.2 LOTC, pues —según señala— no puede ocasionar “perturbación grave a un interés constitucionalmente protegido” y la efectividad de las resoluciones judiciales lo es.</w:t>
      </w:r>
    </w:p>
    <w:p w:rsidR="00C54F26" w:rsidRDefault="00C54F26" w:rsidP="00C54F26">
      <w:pPr>
        <w:pStyle w:val="TextoNormal"/>
      </w:pPr>
    </w:p>
    <w:p w:rsidR="00C54F26" w:rsidRDefault="00C54F26" w:rsidP="00C54F26">
      <w:pPr>
        <w:pStyle w:val="TextoNormal"/>
      </w:pPr>
      <w:r>
        <w:t>En el caso presente, la decisión desestimatoria que los demandantes cuestionan ha tomado en cuenta dos aspectos nucleares: (i) la naturaleza cautelar privativa de libertad de la resolución judicial cuya suspensión cautelar se propugna, pues ha ordenado su búsqueda, detención e ingreso en prisión por no haber comparecido voluntariamente a los llamamientos efectuados por el magistrado instructor de la causa, lo que ha dado lugar a que sean declarados en rebeldía procesal, y (ii) que ha sido adoptada en un proceso penal en el que se les imputan provisionalmente delitos calificados como graves, a los que el Código penal asocia penas privativas de libertad de larga duración.</w:t>
      </w:r>
    </w:p>
    <w:p w:rsidR="00C54F26" w:rsidRDefault="00C54F26" w:rsidP="00C54F26">
      <w:pPr>
        <w:pStyle w:val="TextoNormal"/>
      </w:pPr>
    </w:p>
    <w:p w:rsidR="00C54F26" w:rsidRDefault="00C54F26" w:rsidP="00C54F26">
      <w:pPr>
        <w:pStyle w:val="TextoNormal"/>
      </w:pPr>
      <w:r>
        <w:t>Con carácter general, hemos de destacar que la naturaleza privativa de libertad de las resoluciones judiciales recurridas en amparo no es, en sí mismo, obstáculo que impida su suspensión cautelar.</w:t>
      </w:r>
    </w:p>
    <w:p w:rsidR="00C54F26" w:rsidRDefault="00C54F26" w:rsidP="00C54F26">
      <w:pPr>
        <w:pStyle w:val="TextoNormal"/>
      </w:pPr>
    </w:p>
    <w:p w:rsidR="00C54F26" w:rsidRDefault="00C54F26" w:rsidP="00C54F26">
      <w:pPr>
        <w:pStyle w:val="TextoNormal"/>
      </w:pPr>
      <w:r>
        <w:lastRenderedPageBreak/>
        <w:t xml:space="preserve">La jurisprudencia de este tribunal ha admitido en numerosas ocasiones la suspensión de la ejecución de resoluciones judiciales que acuerdan la pérdida de la libertad personal. De esta forma, es habitual otorgar tutela cautelar en los casos de imposición de penas privativas de libertad menos graves (ATC 310/1996); incluso cuando las condenas han empezado ya a cumplirse (AATC 469/2007, de 17 de diciembre, FJ 2; 16/2008, de 21 de enero, FJ 1, y 172/2008, de 23 de junio, FJ 2). Una vez apreciado </w:t>
      </w:r>
      <w:r w:rsidRPr="00C54F26">
        <w:rPr>
          <w:i/>
        </w:rPr>
        <w:t>periculum in mora</w:t>
      </w:r>
      <w:r>
        <w:t xml:space="preserve"> (perjuicio irreparable), la tutela cautelar pretendida, como en todos los supuestos, ha de otorgarse o denegarse sopesando los intereses en juego. En estos casos hemos puesto de manifiesto como intereses relevantes que han de ser ponderados, entre otros, la duración de la pena impuesta, expresión de la antijuridicidad de la conducta; la gravedad y naturaleza de los hechos enjuiciados; su trascendencia social; el bien jurídico protegido por el delito; el tiempo de condena que reste de cumplimiento; el riesgo de eludir la acción de la justicia o la posible desprotección de las víctimas (ATC 38/2018, de 22 de marzo, FJ 3).</w:t>
      </w:r>
    </w:p>
    <w:p w:rsidR="00C54F26" w:rsidRDefault="00C54F26" w:rsidP="00C54F26">
      <w:pPr>
        <w:pStyle w:val="TextoNormal"/>
      </w:pPr>
    </w:p>
    <w:p w:rsidR="00C54F26" w:rsidRDefault="00C54F26" w:rsidP="00C54F26">
      <w:pPr>
        <w:pStyle w:val="TextoNormal"/>
      </w:pPr>
      <w:r>
        <w:t>Aun cuando el método de análisis no es diferente, los parámetros que han sido expuestos en relación con las decisiones de condena no son necesariamente trasladables a resoluciones de distinta naturaleza, como lo es la impugnada en amparo. Explicamos ya en la resolución recurrida en súplica que, cuando la resolución judicial cuya suspensión se propugna es consecuencia de la adopción de una medida cautelar que, de hacerse efectiva, supondría la privación de libertad de los demandantes, aun cuando el tribunal reconoce la afectación del derecho a la libertad personal que se produciría, la regla general, aunque no absoluta, es también la denegación de la suspensión pretendida. Tal conclusión es consecuencia de un juicio de ponderación que obliga a tener en cuenta los relevantes intereses que la decisión judicial cautelar se dirige a proteger, específicamente, el interés, constitucionalmente legítimo en la averiguación y castigo de los delitos graves, cuya defensa encomienda específicamente el art. 124.1 CE al ministerio público (SSTC 37/1989 y 207/1996).</w:t>
      </w:r>
    </w:p>
    <w:p w:rsidR="00C54F26" w:rsidRDefault="00C54F26" w:rsidP="00C54F26">
      <w:pPr>
        <w:pStyle w:val="TextoNormal"/>
      </w:pPr>
    </w:p>
    <w:p w:rsidR="00C54F26" w:rsidRDefault="00C54F26" w:rsidP="00C54F26">
      <w:pPr>
        <w:pStyle w:val="TextoNormal"/>
      </w:pPr>
      <w:r>
        <w:t>Por esta razón, valoramos en el auto recurrido que “si este Tribunal Constitucional levantara las órdenes de busca y detención acordadas, estaría negando, de hecho, su necesidad y legitimidad, así como la concurrencia de los presupuestos jurídicos que han llevado a la jurisdicción ordinaria a su adopción y mantenimiento”. Dado que las órdenes de busca, detención e ingreso en prisión de los demandantes son también un medio insoslayable de posibilitar la administración de justicia penal, el desarrollo del proceso y finalmente, si a ello hubiere lugar, el enjuiciamiento de los demandantes procesados, la suspensión solicitada produciría, indudablemente, perturbaciones reales del interés general en la persecución de las conductas que están siendo investigadas en relación con los señores Comín y Puigdemont.</w:t>
      </w:r>
    </w:p>
    <w:p w:rsidR="00C54F26" w:rsidRDefault="00C54F26" w:rsidP="00C54F26">
      <w:pPr>
        <w:pStyle w:val="TextoNormal"/>
      </w:pPr>
    </w:p>
    <w:p w:rsidR="00C54F26" w:rsidRDefault="00C54F26" w:rsidP="00C54F26">
      <w:pPr>
        <w:pStyle w:val="TextoNormal"/>
      </w:pPr>
      <w:r>
        <w:t>Por tanto, la decisión desestimatoria recurrida, que ahora confirmamos, es consecuencia de un juicio de ponderación de los intereses en juego que hemos reseñado (naturaleza cautelar privativa de libertad de la decisión judicial que se pretende dejar sin efecto, interés general en la persecución penal de las conductas que están siendo investigadas y gravedad de la imputación provisionalmente efectuada). Ratificamos ahora que, en este caso, la protección de estos intereses se sobrepone al perjuicio irreparable aducido por los demandantes. Por tanto, la solución desestimatoria no deriva de un automatismo legal o jurisprudencial, ni de una prohibición absoluta de tutela cautelar de los derechos fundamentales alegados, sino de la aplicación razonada de los criterios objetivos de valoración que han sido ya expuestos.</w:t>
      </w:r>
    </w:p>
    <w:p w:rsidR="00C54F26" w:rsidRDefault="00C54F26" w:rsidP="00C54F26">
      <w:pPr>
        <w:pStyle w:val="TextoNormal"/>
      </w:pPr>
    </w:p>
    <w:p w:rsidR="00C54F26" w:rsidRDefault="00C54F26" w:rsidP="00C54F26">
      <w:pPr>
        <w:pStyle w:val="TextoNormal"/>
      </w:pPr>
      <w:r>
        <w:t>Ningún sistema de tutela cautelar prevé la concesión o denegación automática de las peticiones de protección de los intereses jurídicos afectados. Tampoco lo hace el modelo establecido en nuestro sistema de justicia constitucional, sino que, a partir de parámetros objetivos, remite a la naturaleza jurisdiccional de la resolución impugnada y a la ponderación de las circunstancias del caso. Es dicha ponderación, tal y como ha sido expresada en el ATC 89/2020, la que justifica ahora la desestimación de este motivo de recurso. Pero, como veremos a continuación, es también dicha posibilidad de ponderación la que justifica nuestra respuesta desestimatoria a la petición de reenvío judicial que se formula en el propio recurso de súplica.</w:t>
      </w:r>
    </w:p>
    <w:p w:rsidR="00C54F26" w:rsidRDefault="00C54F26" w:rsidP="00C54F26">
      <w:pPr>
        <w:pStyle w:val="TextoNormal"/>
      </w:pPr>
    </w:p>
    <w:p w:rsidR="00C54F26" w:rsidRDefault="00C54F26" w:rsidP="00C54F26">
      <w:pPr>
        <w:pStyle w:val="TextoNormal"/>
      </w:pPr>
      <w:r>
        <w:t xml:space="preserve">3.2. </w:t>
      </w:r>
      <w:r w:rsidRPr="00C54F26">
        <w:rPr>
          <w:i/>
        </w:rPr>
        <w:t>La pretensión de reenvío judicial al Tribunal de Justicia de la Unión Europea</w:t>
      </w:r>
      <w:r>
        <w:t>. A tenor de lo expuesto en el apartado precedente, no podemos compartir la premisa en la que se sustenta la petición de reenvío prejudicial planteada en el recurso de súplica.</w:t>
      </w:r>
    </w:p>
    <w:p w:rsidR="00C54F26" w:rsidRDefault="00C54F26" w:rsidP="00C54F26">
      <w:pPr>
        <w:pStyle w:val="TextoNormal"/>
      </w:pPr>
    </w:p>
    <w:p w:rsidR="00C54F26" w:rsidRDefault="00C54F26" w:rsidP="00C54F26">
      <w:pPr>
        <w:pStyle w:val="TextoNormal"/>
      </w:pPr>
      <w:r>
        <w:t>Los demandantes solicitan en su recurso de súplica que este tribunal plantee al Tribunal de Justicia de la Unión Europea una cuestión prejudicial para el caso de que vaya a ser desestimado y, en consecuencia, pretendan ratificarse los criterios que justificaron la denegación de la suspensión cautelar de las resoluciones impugnadas en amparo. Sostienen que los criterios que fundamentan el auto impugnado harían imposible en la práctica, o excesivamente difícil, la tutela judicial cautelar de los derechos que se afirman como vulnerados, tal y como viene reconocida en el sistema normativo de la Unión. La cuestión prejudicial cuyo planteamiento solicitan ahora se refiere a la compatibilidad de los criterios utilizados en el auto de 9 de septiembre de 2020 para justificar la denegación de las medidas cautelares, con el derecho a la tutela judicial cautelar que se integra en el artículo 47 de la Carta de los derechos fundamentales de la Unión Europea, pero también con los principios de efectividad, así como de primacía, del Derecho de la Unión, que consideran de plena aplicación en el presente caso, pese a tratarse de un incidente cautelar. En su recurso destacan que el objeto del presente proceso constitucional de amparo se apoya en una cuestión, la inmunidad parlamentaria de los eurodiputados y su extensión, que viene regulada por el Derecho de la Unión, concretamente en el artículo 343 del Tratado de funcionamiento de la Unión Europea y en el artículo 9 del Protocolo núm. 7 sobre los privilegios y las inmunidades de la Unión Europea.</w:t>
      </w:r>
    </w:p>
    <w:p w:rsidR="00C54F26" w:rsidRDefault="00C54F26" w:rsidP="00C54F26">
      <w:pPr>
        <w:pStyle w:val="TextoNormal"/>
      </w:pPr>
    </w:p>
    <w:p w:rsidR="00C54F26" w:rsidRDefault="00C54F26" w:rsidP="00C54F26">
      <w:pPr>
        <w:pStyle w:val="TextoNormal"/>
      </w:pPr>
      <w:r>
        <w:t>Como ha sido expuesto, no podemos compartir la premisa fáctica de la solicitud, por cuanto ni las normas reguladoras en la Ley Orgánica del Tribunal Constitucional de la posibilidad de tutela cautelar de los derechos fundamentales alegados en amparo, ni la jurisprudencia que las aplican, impiden en caso alguno la eventualidad de otorgarles protección, ni en relación con las decisiones cautelares privativas de libertad establecen una prohibición abstracta absoluta, ajena a las circunstancias del caso.</w:t>
      </w:r>
    </w:p>
    <w:p w:rsidR="00C54F26" w:rsidRDefault="00C54F26" w:rsidP="00C54F26">
      <w:pPr>
        <w:pStyle w:val="TextoNormal"/>
      </w:pPr>
    </w:p>
    <w:p w:rsidR="00C54F26" w:rsidRDefault="00C54F26" w:rsidP="00C54F26">
      <w:pPr>
        <w:pStyle w:val="TextoNormal"/>
      </w:pPr>
      <w:r>
        <w:t>De otra parte,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al amparo de normas de la Unión que son desarrollo de los derechos fundamentales concernidos.</w:t>
      </w:r>
    </w:p>
    <w:p w:rsidR="00C54F26" w:rsidRDefault="00C54F26" w:rsidP="00C54F26">
      <w:pPr>
        <w:pStyle w:val="TextoNormal"/>
      </w:pPr>
    </w:p>
    <w:p w:rsidR="00C54F26" w:rsidRDefault="00C54F26" w:rsidP="00C54F26">
      <w:pPr>
        <w:pStyle w:val="TextoNormal"/>
      </w:pPr>
      <w:r>
        <w:lastRenderedPageBreak/>
        <w:t>En reiteradas ocasiones, que llegan a constituir un estándar, el Tribunal de Justicia ha señalado lo siguiente: “el artículo 156, apartado 4, del Reglamento de procedimiento, dispone que las demandas de medidas cautelares deben especificar el objeto del litigio, las circunstancias que den lugar a la urgencia, así como los antecedentes de hecho y los fundamentos de Derecho que justifiquen a primera vista la concesión de la medida cautelar solicitada. De este modo, el juez de medidas cautelares puede ordenar la suspensión de la ejecución y las demás medidas cautelares si se demuestra que, a primera vista, la concesión de las mismas resulta material y jurídicamente justificada (</w:t>
      </w:r>
      <w:r w:rsidRPr="00C54F26">
        <w:rPr>
          <w:i/>
        </w:rPr>
        <w:t>fumus boni iuris</w:t>
      </w:r>
      <w:r>
        <w:t xml:space="preserve">) y que tales medidas son urgentes, en el sentido de que es necesario otorgarlas y que surtan efectos antes de que se resuelva sobre el fondo del recurso para evitar que los intereses de la parte que las solicita sufran un perjuicio grave e irreparable. Estos requisitos son acumulativos, de manera que las demandas de medidas cautelares deben desestimarse cuando no concurra alguno de ellos. El juez de medidas cautelares debe proceder igualmente, en su caso, a sopesar los intereses en juego [auto del vicepresidente del Tribunal de Justicia de 21 de marzo de 2019, </w:t>
      </w:r>
      <w:r w:rsidRPr="00C54F26">
        <w:rPr>
          <w:i/>
        </w:rPr>
        <w:t>Crédit agricole y Crédit agricole Corporate e Investment Bank/Comisión</w:t>
      </w:r>
      <w:r>
        <w:t xml:space="preserve">, C‑4/19 P(R), no publicado, EU:C:2019:229, § 12 y jurisprudencia citada]” [auto de la vicepresidenta del Tribunal de Justicia de 20 de diciembre de 2019, </w:t>
      </w:r>
      <w:r w:rsidRPr="00C54F26">
        <w:rPr>
          <w:i/>
        </w:rPr>
        <w:t>Puigdemont i Casamajó y Comín i Oliveres/Parlamento Europeo</w:t>
      </w:r>
      <w:r>
        <w:t>, C 646/19 P(R), no publicado, EU:C:2019:1149, § 51 y jurisprudencia citada].</w:t>
      </w:r>
    </w:p>
    <w:p w:rsidR="00C54F26" w:rsidRDefault="00C54F26" w:rsidP="00C54F26">
      <w:pPr>
        <w:pStyle w:val="TextoNormal"/>
      </w:pPr>
    </w:p>
    <w:p w:rsidR="00C54F26" w:rsidRDefault="00C54F26" w:rsidP="00C54F26">
      <w:pPr>
        <w:pStyle w:val="TextoNormal"/>
      </w:pPr>
      <w:r>
        <w:t xml:space="preserve">En el mismo sentido, se han pronunciado el auto del vicepresidente del Tribunal General, de 3 de marzo de 2020, </w:t>
      </w:r>
      <w:r w:rsidRPr="00C54F26">
        <w:rPr>
          <w:i/>
        </w:rPr>
        <w:t>Oriol Junqueras i Vies/Parlamento Europeo</w:t>
      </w:r>
      <w:r>
        <w:t xml:space="preserve">, T-24/20 (R), § 40 a 43, y jurisprudencia citada]; y el auto de la vicepresidenta del Tribunal de Justicia, de 8 de octubre de 2020, </w:t>
      </w:r>
      <w:r w:rsidRPr="00C54F26">
        <w:rPr>
          <w:i/>
        </w:rPr>
        <w:t>Oriol Junqueras i Vies/Parlamento Europeo</w:t>
      </w:r>
      <w:r>
        <w:t>, C-201/20 P(R), § 101 y jurisprudencia citada].</w:t>
      </w:r>
    </w:p>
    <w:p w:rsidR="00C54F26" w:rsidRDefault="00C54F26" w:rsidP="00C54F26">
      <w:pPr>
        <w:pStyle w:val="TextoNormal"/>
      </w:pPr>
    </w:p>
    <w:p w:rsidR="00C54F26" w:rsidRDefault="00C54F26" w:rsidP="00C54F26">
      <w:pPr>
        <w:pStyle w:val="TextoNormal"/>
      </w:pPr>
      <w:r>
        <w:t xml:space="preserve">De dichos pronunciamientos, y también de los alegados por los demandantes en su recurso de súplica, se deduce que son tres los elementos básicos acumulativos que, conforme al Derecho de la Unión Europea, permiten solicitar y pronunciarse sobre las solicitudes de protección cautelar: (i) la existencia de </w:t>
      </w:r>
      <w:r w:rsidRPr="00C54F26">
        <w:rPr>
          <w:i/>
        </w:rPr>
        <w:t>fumus boni iuris</w:t>
      </w:r>
      <w:r>
        <w:t xml:space="preserve">; (ii) la acreditación de un perjuicio irreparable que acredite la urgencia de la medida, y (iii) la capacidad judicial de apreciación de los intereses en juego (ponderación). La regla general es también que los recursos no tienen efectos suspensivos, dada la presunción de legalidad de los actos adoptados por las instituciones de la Unión. En consecuencia, solo de forma excepcional el tribunal que se pronuncia sobre la solicitud cautelar puede acordar la suspensión en aplicación de los previsto en los arts. 278 y 279 TFUE [Tribunal General (orden del presidente de 17 de diciembre 2009), T-396/09 R, caso </w:t>
      </w:r>
      <w:r w:rsidRPr="00C54F26">
        <w:rPr>
          <w:i/>
        </w:rPr>
        <w:t>Vereniging Milieudefensie y Stichting Stop Luchtverontreiniging Utrecht contra Comisión Europea</w:t>
      </w:r>
      <w:r>
        <w:t xml:space="preserve"> (2009) y Tribunal General (orden del presidente de 31 de agosto de 2010), T-299/10 R, caso </w:t>
      </w:r>
      <w:r w:rsidRPr="00C54F26">
        <w:rPr>
          <w:i/>
        </w:rPr>
        <w:t>Babcock Noell GmbH contra European Joint Undertaking for ITER and the Development of Fusion Energy</w:t>
      </w:r>
      <w:r>
        <w:t xml:space="preserve">]. De la misma manera, la resolución sobre medidas cautelares no puede anticipar o prejuzgar la decisión que haya de ser tomada en el procedimiento principal [Tribunal de Justicia, orden del presidente de 24 de abril de 2008, C-76/08 R, caso </w:t>
      </w:r>
      <w:r w:rsidRPr="00C54F26">
        <w:rPr>
          <w:i/>
        </w:rPr>
        <w:t>Comisión contra Malta</w:t>
      </w:r>
      <w:r>
        <w:t xml:space="preserve"> (2008); Tribunal de Justicia (orden del presidente de 14 de junio de 2012), C-644/11 P(R) caso </w:t>
      </w:r>
      <w:r w:rsidRPr="00C54F26">
        <w:rPr>
          <w:i/>
        </w:rPr>
        <w:t>Qualitest FZE c. Consejo</w:t>
      </w:r>
      <w:r>
        <w:t xml:space="preserve">, no publicado, § 77; Tribunal de Primera Instancia (orden del presidente de 22 de diciembre de 2004), caso T-303/04 R, caso </w:t>
      </w:r>
      <w:r w:rsidRPr="00C54F26">
        <w:rPr>
          <w:i/>
        </w:rPr>
        <w:t>II Ettropean Dynamics contra la Comisión</w:t>
      </w:r>
      <w:r>
        <w:t xml:space="preserve"> (2004), apartado § 30].</w:t>
      </w:r>
    </w:p>
    <w:p w:rsidR="00C54F26" w:rsidRDefault="00C54F26" w:rsidP="00C54F26">
      <w:pPr>
        <w:pStyle w:val="TextoNormal"/>
      </w:pPr>
    </w:p>
    <w:p w:rsidR="00C54F26" w:rsidRDefault="00C54F26" w:rsidP="00C54F26">
      <w:pPr>
        <w:pStyle w:val="TextoNormal"/>
      </w:pPr>
      <w:r>
        <w:lastRenderedPageBreak/>
        <w:t>Como puede comprobarse, los criterios de tutela cautelar que el propio Tribunal de Justicia utiliza para resolver las solicitudes que recibe, no se alejan, sino concuerdan, con los que ya hemos descrito como elementos estructurantes de la tutela cautelar que la Ley Orgánica del Tribunal Constitucional establece. Es más, para otorgar o denegar la tutela cautelar de los derechos fundamentales, ni el art. 56 LOTC ni la jurisprudencia que lo aplica toman en consideración la concurrencia o la ausencia del requisito de apariencia de buen derecho (</w:t>
      </w:r>
      <w:r w:rsidRPr="00C54F26">
        <w:rPr>
          <w:i/>
        </w:rPr>
        <w:t>fumus boni iuris</w:t>
      </w:r>
      <w:r>
        <w:t>), lo que permite afirmar que nuestro sistema es, en este aspecto, menos exigente que el aplicado por el tribunal de la Unión Europea y, desde luego, del que rige en nuestra jurisdicción ordinaria.</w:t>
      </w:r>
    </w:p>
    <w:p w:rsidR="00C54F26" w:rsidRDefault="00C54F26" w:rsidP="00C54F26">
      <w:pPr>
        <w:pStyle w:val="TextoNormal"/>
      </w:pPr>
    </w:p>
    <w:p w:rsidR="00C54F26" w:rsidRDefault="00C54F26" w:rsidP="00C54F26">
      <w:pPr>
        <w:pStyle w:val="TextoNormal"/>
      </w:pPr>
      <w:r>
        <w:t>En consecuencia, sin que sea ya preciso analizar la concurrencia del resto de condiciones que pudieran justificar que este tribunal hubiera de formular una petición de reenvío prejudicial, en cuanto garante en el proceso de amparo de los derechos fundamentales, la petición de planteamiento de cuestión prejudicial ha de ser también desestimada por las razones que han sido expuestas, pues no apreciamos que, para la resolución de este recurso de súplica, sea necesario el reenvío prejudicial propuesto en favor de la interpretación de las disposiciones del Derecho de la Unión que han sido alegadas acerca del derecho a la tutela judicial efectiva cautelar. No compartimos la premisa fáctica que sustenta la petición, ni estimamos que la regulación de la Ley Orgánica del Tribunal Constitucional acerca de la posibilidad de suspensión de las resoluciones judiciales recurridas en amparo, o los criterios de aplicación que hemos ponderado en este caso para resolver en sentido desestimatorio sobre la pretensión cautelar, impidan de forma absoluta, con independencia de las circunstancias del caso de autos, ni dificulten la efectividad de los derechos reconocidos por el Derecho de la Unión, en cuanto garantiza la tutela judicial cautelar de sus normas. En fin, tampoco cabe apreciar que les otorguen menor protección que a las normas de Derecho nacional.</w:t>
      </w:r>
    </w:p>
    <w:p w:rsidR="00C54F26" w:rsidRDefault="00C54F26" w:rsidP="00C54F26">
      <w:pPr>
        <w:pStyle w:val="TextoNormal"/>
      </w:pPr>
    </w:p>
    <w:p w:rsidR="00C54F26" w:rsidRDefault="00C54F26" w:rsidP="00C54F26">
      <w:pPr>
        <w:pStyle w:val="TextoNormal"/>
      </w:pPr>
      <w:r>
        <w:t xml:space="preserve">3.3. </w:t>
      </w:r>
      <w:r w:rsidRPr="00C54F26">
        <w:rPr>
          <w:i/>
        </w:rPr>
        <w:t>Otras vulneraciones alegadas en el recurso de súplica</w:t>
      </w:r>
      <w:r>
        <w:t>.</w:t>
      </w:r>
    </w:p>
    <w:p w:rsidR="00C54F26" w:rsidRDefault="00C54F26" w:rsidP="00C54F26">
      <w:pPr>
        <w:pStyle w:val="TextoNormal"/>
      </w:pPr>
    </w:p>
    <w:p w:rsidR="00C54F26" w:rsidRDefault="00C54F26" w:rsidP="00C54F26">
      <w:pPr>
        <w:pStyle w:val="TextoNormal"/>
      </w:pPr>
      <w:r>
        <w:t>Deben ser también desestimados los motivos de súplica que, como consecuencia de la desestimación de su pretensión cautelar, afirman de nuevo la vulneración de los derechos fundamentales sustantivos alegados que se ven afectados por la no suspensión de las órdenes judiciales de búsqueda, detención e ingreso en prisión de los demandantes. Dicha vulneración se apoya en considerar infundada la resolución denegatoria recurrida en súplica, por lo que la desestimación de dicha alegación lleva consigo aquellas que se han alegado como consecuencia de ella.</w:t>
      </w:r>
    </w:p>
    <w:p w:rsidR="00C54F26" w:rsidRDefault="00C54F26" w:rsidP="00C54F26">
      <w:pPr>
        <w:pStyle w:val="TextoNormal"/>
      </w:pPr>
    </w:p>
    <w:p w:rsidR="00C54F26" w:rsidRDefault="00C54F26" w:rsidP="00C54F26">
      <w:pPr>
        <w:pStyle w:val="TextoNormal"/>
      </w:pPr>
      <w:r>
        <w:t>Por último, en relación con la aducida vulneración del derecho a no padecer dilaciones indebidas, hemos de ratificar por sus propios fundamentos la respuesta que se cuestiona, expresada en el inciso final del fundamento jurídico quinto del ATC 89/2020, de 9 de septiembre.</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Desestimar el recurso de súplica interpuesto contra el ATC 89/2020, de 9 de septiembre, dictado en la presente pieza separada sobre suspensión del recurso de amparo avocado núm. 64-2020.</w:t>
      </w:r>
    </w:p>
    <w:p w:rsidR="00C54F26" w:rsidRDefault="00C54F26" w:rsidP="00C54F26">
      <w:pPr>
        <w:pStyle w:val="TextoNormal"/>
      </w:pPr>
    </w:p>
    <w:p w:rsidR="00C54F26" w:rsidRDefault="00C54F26" w:rsidP="00C54F26">
      <w:pPr>
        <w:pStyle w:val="TextoNormal"/>
      </w:pPr>
      <w:r>
        <w:t>Madrid, a dieciséis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0" w:name="AUTO_2021_29"/>
      <w:r>
        <w:lastRenderedPageBreak/>
        <w:t>AUTO 29/2021, de 16 de marzo de 2021</w:t>
      </w:r>
    </w:p>
    <w:bookmarkEnd w:id="170"/>
    <w:p w:rsidR="00C54F26" w:rsidRDefault="00C54F26" w:rsidP="00C54F26">
      <w:pPr>
        <w:pStyle w:val="TtuloResolucin"/>
      </w:pPr>
      <w:r>
        <w:t>Pleno</w:t>
      </w:r>
    </w:p>
    <w:p w:rsidR="00C54F26" w:rsidRDefault="00C54F26" w:rsidP="00C54F26">
      <w:pPr>
        <w:pStyle w:val="TextoNormalCentrado"/>
      </w:pPr>
      <w:r>
        <w:t>ECLI:ES:TC:2021:29A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en el recurso de amparo 1403-2020, promovido por don Jordi Turull i Negre,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auto de fecha 17 de junio de 2020 (ATC 57/2020), este tribunal desestimó la solicitud de suspensión cautelar de la ejecución de la sentencia núm. 459/2019, dictada por la Sala de lo Penal del Tribunal Supremo, en fecha 14 de octubre, en cuya virtud el recurrente resultó condenado como autor de un delito de sedición de los arts. 544 y 545.1 del Código penal (CP), y otro de malversación de caudales públicos de los arts. 432.1 y 3, párrafo último CP, en relación de concurso medial (art. 77 CP), a las penas de doce años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C54F26" w:rsidRDefault="00C54F26" w:rsidP="00C54F26">
      <w:pPr>
        <w:pStyle w:val="TextoNormal"/>
      </w:pPr>
    </w:p>
    <w:p w:rsidR="00C54F26" w:rsidRDefault="00C54F26" w:rsidP="00C54F26">
      <w:pPr>
        <w:pStyle w:val="TextoNormal"/>
      </w:pPr>
      <w:r w:rsidRPr="00C54F26">
        <w:rPr>
          <w:rStyle w:val="NumeroAFNegritaCaracter"/>
        </w:rPr>
        <w:t>2</w:t>
      </w:r>
      <w:r>
        <w:t>. Mediante escrito presentado el día 13 de enero de 2021, el procurador de tribunales don Aníbal Bordallo Huidobro, en nombre y representación el demandante don Jordi Turull i Negre y asistido del letrado don Jordi Pina Massachs, interesó, al amparo de lo dispuesto en el art. 56.4 de la Ley Orgánica del Tribunal Constitucional (LOTC), la suspensión de los efectos de la referida sentencia condenatoria, con la consiguiente puesta en libertad. Funda esa solicitud en los siguientes motivos:</w:t>
      </w:r>
    </w:p>
    <w:p w:rsidR="00C54F26" w:rsidRDefault="00C54F26" w:rsidP="00C54F26">
      <w:pPr>
        <w:pStyle w:val="TextoNormal"/>
      </w:pPr>
    </w:p>
    <w:p w:rsidR="00C54F26" w:rsidRDefault="00C54F26" w:rsidP="00C54F26">
      <w:pPr>
        <w:pStyle w:val="TextoNormal"/>
      </w:pPr>
      <w:r>
        <w:t xml:space="preserve">a) El pasado 7 de enero de 2021, el Tribunal de Apelación de Bruselas, acordó rechazar la entrega a España de don Lluís Puig, ex consejero de Cultura de la Generalitat de Cataluña, a quien las autoridades españolas reclaman por la presunta comisión de un delito de malversación de caudales público. Según indica el recurrente, el citado tribunal belga consideró que el Tribunal Supremo “carecía de competencia para emitir la eurorden contra el señor Puig”; y que esa decisión había adquirido firmeza, al renunciar la fiscalía belga a interponer recurso de casación. Señala el recurrente que la justicia belga ha considerado que, de haber aceptado la ejecución de la orden de detención europea, se “perjudicarían los derechos fundamentales de don Lluís Puig consagrados en el art. 6 CEDH”, en el entendimiento de que </w:t>
      </w:r>
      <w:r>
        <w:lastRenderedPageBreak/>
        <w:t>no existe base legal explícita para ampliar la competencia del Tribunal Supremo para juzgar a los coacusados, con fundamento en la estrecha conexión entre los delitos imputados.</w:t>
      </w:r>
    </w:p>
    <w:p w:rsidR="00C54F26" w:rsidRDefault="00C54F26" w:rsidP="00C54F26">
      <w:pPr>
        <w:pStyle w:val="TextoNormal"/>
      </w:pPr>
    </w:p>
    <w:p w:rsidR="00C54F26" w:rsidRDefault="00C54F26" w:rsidP="00C54F26">
      <w:pPr>
        <w:pStyle w:val="TextoNormal"/>
      </w:pPr>
      <w:r>
        <w:t>El recurrente sostiene que, al dictar la orden de detención y entrega mencionada, el Tribunal Supremo vulneró el derecho fundamental al juez ordinario predeterminado por la ley (art. 24.2 CE); y añade que el referido Tribunal de Apelación de Bruselas denegó la “extradición” (</w:t>
      </w:r>
      <w:r w:rsidRPr="00C54F26">
        <w:rPr>
          <w:i/>
        </w:rPr>
        <w:t>sic</w:t>
      </w:r>
      <w:r>
        <w:t>), al entender que se le había privado del derecho fundamental al juez natural, por no haber conocido de los hechos los tribunales radicados en Cataluña (foro natural), al haberse atribuido la competencia al Tribunal Supremo mediante una forzada e irrazonable interpretación de las normas procesales.</w:t>
      </w:r>
    </w:p>
    <w:p w:rsidR="00C54F26" w:rsidRDefault="00C54F26" w:rsidP="00C54F26">
      <w:pPr>
        <w:pStyle w:val="TextoNormal"/>
      </w:pPr>
    </w:p>
    <w:p w:rsidR="00C54F26" w:rsidRDefault="00C54F26" w:rsidP="00C54F26">
      <w:pPr>
        <w:pStyle w:val="TextoNormal"/>
      </w:pPr>
      <w:r>
        <w:t>Alega también que el tribunal belga estimó que, de haber ejecutado la orden de detención y entrega, “habría un riesgo elevado de vulneración del derecho a la presunción de inocencia”, por el constante goteo “de presunciones de culpabilidad” respecto de los acusados, efectuadas tanto por miembros de la judicatura como por otros cargos públicos, con anterioridad a la celebración del juicio oral. Esa vulneración, indica el demandante, fue denunciada en el procedimiento judicial y en el recurso de amparo interpuesto ante el Tribunal Constitucional; y ha sido también advertida por el Tribunal de Apelación de Bruselas, puesto que “ha fundamentado en ello, en buena medida, la denegación de la orden de detención y entrega de don Lluís Puig”. Finalmente, concluye que esas vulneraciones solo pueden ser subsanadas mediante el otorgamiento del amparo.</w:t>
      </w:r>
    </w:p>
    <w:p w:rsidR="00C54F26" w:rsidRDefault="00C54F26" w:rsidP="00C54F26">
      <w:pPr>
        <w:pStyle w:val="TextoNormal"/>
      </w:pPr>
    </w:p>
    <w:p w:rsidR="00C54F26" w:rsidRDefault="00C54F26" w:rsidP="00C54F26">
      <w:pPr>
        <w:pStyle w:val="TextoNormal"/>
      </w:pPr>
      <w:r>
        <w:t>b) En un segundo apartado alega la vulneración del art. 6 CEDH, por las filtraciones sobre las deliberaciones para la resolución de los recursos de amparo contra la sentencia condenatoria dictada por el Tribunal Supremo. Tras señalar que el secreto de las deliberaciones de un tribunal se configura como un presupuesto básico de la imparcialidad e independencia judicial y como una garantía básica del procedimiento penal, añade que el constante “goteo de filtraciones” se ha trasladado también al Tribunal Constitucional. Ejemplo de ello es la noticia publicada en el diario “El Español”, el día 12 de enero de 2021, referida a que el magistrado ponente del recurso de amparo interpuesto por doña Meritxell Borrás propone respaldar al Tribunal Supremo como órgano competente para juzgar a los acusados de promover el “procés”, ya que rechaza la vulneración del derecho al juez ordinario predeterminado por la ley; lesión esta que el demandante también invocó en su demanda de amparo.</w:t>
      </w:r>
    </w:p>
    <w:p w:rsidR="00C54F26" w:rsidRDefault="00C54F26" w:rsidP="00C54F26">
      <w:pPr>
        <w:pStyle w:val="TextoNormal"/>
      </w:pPr>
    </w:p>
    <w:p w:rsidR="00C54F26" w:rsidRDefault="00C54F26" w:rsidP="00C54F26">
      <w:pPr>
        <w:pStyle w:val="TextoNormal"/>
      </w:pPr>
      <w:r>
        <w:t>Por todo ello, afirma que la garantía del secreto de las deliberaciones parece más “una utopía que una realidad”, lo que supone una vulneración de los arts. 24 CE y 6 CEDH, lo que debería dar lugar a una declaración expresa en ese sentido y la consiguiente nulidad de la sentencia condenatoria.</w:t>
      </w:r>
    </w:p>
    <w:p w:rsidR="00C54F26" w:rsidRDefault="00C54F26" w:rsidP="00C54F26">
      <w:pPr>
        <w:pStyle w:val="TextoNormal"/>
      </w:pPr>
    </w:p>
    <w:p w:rsidR="00C54F26" w:rsidRDefault="00C54F26" w:rsidP="00C54F26">
      <w:pPr>
        <w:pStyle w:val="TextoNormal"/>
      </w:pPr>
      <w:r>
        <w:t>c) En un tercer apartado, el recurrente expresa los motivos por los que interesa su inmediata puesta en libertad, pese a que el Pleno ya le denegó esa petición. Al respecto, sostiene que concurre un hecho nuevo que justifica la reiteración de su solicitud; concretamente, la denegación de la detención y entrega del señor Puig, hecho que “incide de lleno en varios de los motivos de la demanda de amparo”. Y añade que la petición de libertad se funda en las siguientes razones:</w:t>
      </w:r>
    </w:p>
    <w:p w:rsidR="00C54F26" w:rsidRDefault="00C54F26" w:rsidP="00C54F26">
      <w:pPr>
        <w:pStyle w:val="TextoNormal"/>
      </w:pPr>
    </w:p>
    <w:p w:rsidR="00C54F26" w:rsidRDefault="00C54F26" w:rsidP="00C54F26">
      <w:pPr>
        <w:pStyle w:val="TextoNormal"/>
      </w:pPr>
      <w:r>
        <w:lastRenderedPageBreak/>
        <w:t>(i) El demandante está a punto de cumplir tres de los doce años de prisión a que ha sido condenado. Por ello, si no se suspende la ejecución, la eventual estimación del recurso de amparo se produciría cuando el demandante habría cumplido una parte importante de las penas impuestas, dado que el tiempo en que se tardaría en resolver el recurso de amparo sería previsiblemente superior a dos años, vista la extensión de los motivos planteados. Así pues, de no accederse a la suspensión que se interesa, el recurso de amparo perdería buena parte de su razón de ser y también resultarían afectados sus derechos políticos, al verse impedido de presentar su candidatura en procesos electorales futuros.</w:t>
      </w:r>
    </w:p>
    <w:p w:rsidR="00C54F26" w:rsidRDefault="00C54F26" w:rsidP="00C54F26">
      <w:pPr>
        <w:pStyle w:val="TextoNormal"/>
      </w:pPr>
    </w:p>
    <w:p w:rsidR="00C54F26" w:rsidRDefault="00C54F26" w:rsidP="00C54F26">
      <w:pPr>
        <w:pStyle w:val="TextoNormal"/>
      </w:pPr>
      <w:r>
        <w:t>(ii) En segundo término, sostiene que la concesión de la medida cautelar no ocasionaría perjuicio grave a ningún interés constitucionalmente protegido ni a los derechos fundamentales de terceros. Añade que ya ha disfrutado de permisos de salida y le ha sido aplicado el tercer grado penitenciario, sin que haya acontecido ninguna incidencia ni afectación del orden público. Por ello, afirma que “no resulta esperable a estas alturas ninguna conducta de sustracción de la acción judicial”, más aún si se tiene en cuenta el evidente arraigo del recurrente.</w:t>
      </w:r>
    </w:p>
    <w:p w:rsidR="00C54F26" w:rsidRDefault="00C54F26" w:rsidP="00C54F26">
      <w:pPr>
        <w:pStyle w:val="TextoNormal"/>
      </w:pPr>
    </w:p>
    <w:p w:rsidR="00C54F26" w:rsidRDefault="00C54F26" w:rsidP="00C54F26">
      <w:pPr>
        <w:pStyle w:val="TextoNormal"/>
      </w:pPr>
      <w:r>
        <w:t>(iii) También pone de manifiesto que, al afectar los delitos por los que fue condenado a bienes jurídicos colectivos, la concesión de la suspensión no afectaría a ninguna persona concreta; y añade que los procesados, en su día, afianzaron las responsabilidades civiles.</w:t>
      </w:r>
    </w:p>
    <w:p w:rsidR="00C54F26" w:rsidRDefault="00C54F26" w:rsidP="00C54F26">
      <w:pPr>
        <w:pStyle w:val="TextoNormal"/>
      </w:pPr>
    </w:p>
    <w:p w:rsidR="00C54F26" w:rsidRDefault="00C54F26" w:rsidP="00C54F26">
      <w:pPr>
        <w:pStyle w:val="TextoNormal"/>
      </w:pPr>
      <w:r w:rsidRPr="00C54F26">
        <w:rPr>
          <w:rStyle w:val="NumeroAFNegritaCaracter"/>
        </w:rPr>
        <w:t>3</w:t>
      </w:r>
      <w:r>
        <w:t>. Por diligencia de ordenación de fecha 18 de enero del 2021, la secretaría de justicia del Pleno de este tribunal acordó, conforme a lo dispuesto en el art. 56.4 LOTC, dar traslado de la solicitud del escrito presentado, por plazo común de tres días, al Ministerio Fiscal y demás partes personadas, a fin de que aleguen lo que estimen pertinente en relación con la petición de suspensión solicitada.</w:t>
      </w:r>
    </w:p>
    <w:p w:rsidR="00C54F26" w:rsidRDefault="00C54F26" w:rsidP="00C54F26">
      <w:pPr>
        <w:pStyle w:val="TextoNormal"/>
      </w:pPr>
    </w:p>
    <w:p w:rsidR="00C54F26" w:rsidRDefault="00C54F26" w:rsidP="00C54F26">
      <w:pPr>
        <w:pStyle w:val="TextoNormal"/>
      </w:pPr>
      <w:r w:rsidRPr="00C54F26">
        <w:rPr>
          <w:rStyle w:val="NumeroAFNegritaCaracter"/>
        </w:rPr>
        <w:t>4</w:t>
      </w:r>
      <w:r>
        <w:t>. El día 22 de enero de 2021 presentó sus alegaciones la abogacía del Estado. Tras resumir los antecedentes que consideró relevantes y sintetizar el contenido del escrito por el que se promueve este incidente, afirma que la resolución del tribunal belga no constituye una circunstancia sobrevenida a los efectos del art. 57 LOTC, requisito que considera necesario para proceder a una eventual modificación de lo resuelto en el ATC 57/2020. Además, conforme a lo establecido en los AATC 22/2018, 38/2018 y 131/2018, un pronunciamiento de este tribunal que modificase la denegación de la suspensión, a partir de la valoración de la posible vulneración del derecho al juez ordinario predeterminado por la ley o del derecho a la presunción de inocencia, supondría llevar a cabo un juicio anticipado sobre “el fondo de un litigio pendiente, que debe ser resuelto en la oportuna sentencia y no ahora en un auto relativo a la posible revisión de la suspensión no acordada”.</w:t>
      </w:r>
    </w:p>
    <w:p w:rsidR="00C54F26" w:rsidRDefault="00C54F26" w:rsidP="00C54F26">
      <w:pPr>
        <w:pStyle w:val="TextoNormal"/>
      </w:pPr>
    </w:p>
    <w:p w:rsidR="00C54F26" w:rsidRDefault="00C54F26" w:rsidP="00C54F26">
      <w:pPr>
        <w:pStyle w:val="TextoNormal"/>
      </w:pPr>
      <w:r>
        <w:t>En relación con las filtraciones a que se refiere el demandante, la abogacía del Estado estima que la garantía de imparcialidad, en su vertiente subjetiva, solamente podría verse afectada en el caso de que se acreditara que la opinión de alguno de los integrantes del tribunal esté condicionada por los hechos o circunstancias externas a la propia deliberación o, en su caso, que la filtración fuera encaminada a modificar lo previamente decidido. Y el demandante no alega que se haya producido ninguna de estas circunstancias. Por todo ello, la abogacía del Estado se opone a las pretensiones del recurrente.</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5</w:t>
      </w:r>
      <w:r>
        <w:t>. Por escrito presentado el 25 de enero del 2021, la procuradora de los tribunales doña María Pilar Hidalgo López, en representación del partido político Vox y asistida por la letrada doña Marta Castro Fuertes, formuló oposición a la pretensión de suspensión cautelar. Refiere que la medida que se interesa ya fue resuelta en su día, en sentido desestimatorio, por el ATC 57/2020, de 17 de junio. Añade que la decisión adoptada por el tribunal belga “queda extra muros del procedimiento, en buena medida porque la justicia belga no tiene competencia alguna sobre el procedimiento judicial que se analiza” y porque la supuesta “vulneración de derechos” se refiere a un fugado que aún tiene que comparecer ante la justicia. Esta situación que nada tiene que ver con la del recurrente, que ha sido condenado por sentencia firme, por lo que se trata de dos situaciones que no son comparables. Por ello, el tratamiento que debe dispensarse al presente caso debe ser diferente, debiéndose resaltar que en la solicitud no se indican los derechos vulnerados ni se prueba la posible irreparabilidad de los mismos, condición necesaria para poder otorgar la suspensión.</w:t>
      </w:r>
    </w:p>
    <w:p w:rsidR="00C54F26" w:rsidRDefault="00C54F26" w:rsidP="00C54F26">
      <w:pPr>
        <w:pStyle w:val="TextoNormal"/>
      </w:pPr>
    </w:p>
    <w:p w:rsidR="00C54F26" w:rsidRDefault="00C54F26" w:rsidP="00C54F26">
      <w:pPr>
        <w:pStyle w:val="TextoNormal"/>
      </w:pPr>
      <w:r>
        <w:t>En segundo término sostiene, que en esta pieza no proceden las alegaciones sobre las supuestas filtraciones de información u opiniones, sobre todo porque vienen referidas al recurso de amparo interpuesto por doña Meritxell Borrás.</w:t>
      </w:r>
    </w:p>
    <w:p w:rsidR="00C54F26" w:rsidRDefault="00C54F26" w:rsidP="00C54F26">
      <w:pPr>
        <w:pStyle w:val="TextoNormal"/>
      </w:pPr>
    </w:p>
    <w:p w:rsidR="00C54F26" w:rsidRDefault="00C54F26" w:rsidP="00C54F26">
      <w:pPr>
        <w:pStyle w:val="TextoNormal"/>
      </w:pPr>
      <w:r>
        <w:t>Finalmente, pone de relieve que no concurren los requisitos para acordar la puesta en libertad del demandante. Sobre este particular, señala que este último no aclara cuál es la afectación a los derechos fundamentales ni su posible reparación. Rechaza que se haya producido vulneración de derecho fundamental alguno, puesto que la aplicación de la ley no puede vulnerar derechos, por mucho que se quiera “disfrazar de una condena por motivos políticos”. Y en relación con las circunstancias concretas por las que aquel reitera la solicitud de medida cautelar, se remite al ATC 57/2020 ya citado, y transcribe parte de la fundamentación jurídica del citado auto, en la que se funda la desestimación de la inicial solicitud de suspensión cautelar.</w:t>
      </w:r>
    </w:p>
    <w:p w:rsidR="00C54F26" w:rsidRDefault="00C54F26" w:rsidP="00C54F26">
      <w:pPr>
        <w:pStyle w:val="TextoNormal"/>
      </w:pPr>
    </w:p>
    <w:p w:rsidR="00C54F26" w:rsidRDefault="00C54F26" w:rsidP="00C54F26">
      <w:pPr>
        <w:pStyle w:val="TextoNormal"/>
      </w:pPr>
      <w:r w:rsidRPr="00C54F26">
        <w:rPr>
          <w:rStyle w:val="NumeroAFNegritaCaracter"/>
        </w:rPr>
        <w:t>6</w:t>
      </w:r>
      <w:r>
        <w:t>. En fecha 9 de febrero presentó sus alegaciones el fiscal, quien interesó la desestimación de lo interesado. Tras resumir los términos de la pretensión del recurrente y recordar que, por ATC 57/2020 ya fue denegada la suspensión de los efectos de la sentencia condenatoria, manifiesta que la petición de aquel se sustenta en la concurrencia de “un hecho nuevo”, que surge a raíz de la resolución del Tribunal de Apelación de Bruselas, que denegó la entrega a España de don Lluís Puig.</w:t>
      </w:r>
    </w:p>
    <w:p w:rsidR="00C54F26" w:rsidRDefault="00C54F26" w:rsidP="00C54F26">
      <w:pPr>
        <w:pStyle w:val="TextoNormal"/>
      </w:pPr>
    </w:p>
    <w:p w:rsidR="00C54F26" w:rsidRDefault="00C54F26" w:rsidP="00C54F26">
      <w:pPr>
        <w:pStyle w:val="TextoNormal"/>
      </w:pPr>
      <w:r>
        <w:t>Afirma que el demandante funda su petición en la apariencia de buen derecho que infiere del contenido de la resolución del tribunal belga. Pero como se indica en el FJ 2 del ATC 128/2018,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w:t>
      </w:r>
    </w:p>
    <w:p w:rsidR="00C54F26" w:rsidRDefault="00C54F26" w:rsidP="00C54F26">
      <w:pPr>
        <w:pStyle w:val="TextoNormal"/>
      </w:pPr>
    </w:p>
    <w:p w:rsidR="00C54F26" w:rsidRDefault="00C54F26" w:rsidP="00C54F26">
      <w:pPr>
        <w:pStyle w:val="TextoNormal"/>
      </w:pPr>
      <w:r>
        <w:t xml:space="preserve">Añade que el recurrente pretende que, con apoyo en la resolución del tribunal belga, se dicte un pronunciamiento sobre el fondo respecto de alguno de los motivos alegados en la demanda de amparo, tales como la lesión del derecho al juez ordinario predeterminado por la ley o del derecho a la presunción de inocencia. Y al respecto señala que, al margen “del </w:t>
      </w:r>
      <w:r>
        <w:lastRenderedPageBreak/>
        <w:t>valor que quiere darse a una resolución dictada por un tercer país en el marco del cumplimiento de una orden europea de detención y entrega”, en el ATC 57/2020, FJ 5 b) ya se descartó la posibilidad de formular un pronunciamiento anticipado, en el incidente de suspensión, de lo que constituye el objeto del recurso de amparo. A su vez, afirma que las referencias a las filtraciones periodísticas que el demandante efectúa también son completamente ajenas al incidente de suspensión.</w:t>
      </w:r>
    </w:p>
    <w:p w:rsidR="00C54F26" w:rsidRDefault="00C54F26" w:rsidP="00C54F26">
      <w:pPr>
        <w:pStyle w:val="TextoNormal"/>
      </w:pPr>
    </w:p>
    <w:p w:rsidR="00C54F26" w:rsidRDefault="00C54F26" w:rsidP="00C54F26">
      <w:pPr>
        <w:pStyle w:val="TextoNormal"/>
      </w:pPr>
      <w:r>
        <w:t>Respecto de las restantes alegaciones del recurrente, el fiscal considera que no presentan ninguna novedad respecto de las invocadas en su primera petición de suspensión, las cuales fueron desestimadas en el citado ATC 57/2020, cuya argumentación sintetiza a continuación.</w:t>
      </w:r>
    </w:p>
    <w:p w:rsidR="00C54F26" w:rsidRDefault="00C54F26" w:rsidP="00C54F26">
      <w:pPr>
        <w:pStyle w:val="TextoNormal"/>
      </w:pPr>
    </w:p>
    <w:p w:rsidR="00C54F26" w:rsidRDefault="00C54F26" w:rsidP="00C54F26">
      <w:pPr>
        <w:pStyle w:val="TextoNormal"/>
      </w:pPr>
      <w:r w:rsidRPr="00C54F26">
        <w:rPr>
          <w:rStyle w:val="NumeroAFNegritaCaracter"/>
        </w:rPr>
        <w:t>7</w:t>
      </w:r>
      <w:r>
        <w:t>. Con fecha 25 de febrero de 2021 consta diligencia de la secretaría de justicia del Pleno, del siguiente tenor: “Para hacer constar que, habiéndose dictado en la pieza de recusación dimanante del recurso de amparo núm. 5382-2019 auto de fecha 16 de febrero de 2021, por el que se acuerda aceptar la abstención formulada por el magistrado don Antonio Narváez Rodríguez para el conocimiento del presente recurso de amparo y archivar la pieza separada de recusación dimanante del mismo, se une a las actuaciones copia del citado auto, junto con el escrito de abstención del señor Narváez, y se procede a su notificación a las partes. Así mismo, se lleva copia del auto y del escrito tanto a la pieza separada de recusación como a la pieza separada de suspensión”.</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la presente resolución consiste en dilucidar si concurren los requisitos necesarios para modificar la denegación de la suspensión, que fue acordada en el ATC 57/2020, de 17 de junio.</w:t>
      </w:r>
    </w:p>
    <w:p w:rsidR="00C54F26" w:rsidRDefault="00C54F26" w:rsidP="00C54F26">
      <w:pPr>
        <w:pStyle w:val="TextoNormal"/>
      </w:pPr>
    </w:p>
    <w:p w:rsidR="00C54F26" w:rsidRDefault="00C54F26" w:rsidP="00C54F26">
      <w:pPr>
        <w:pStyle w:val="TextoNormal"/>
      </w:pPr>
      <w:r w:rsidRPr="00C54F26">
        <w:rPr>
          <w:rStyle w:val="NumeroAFNegritaCaracter"/>
        </w:rPr>
        <w:t>2</w:t>
      </w:r>
      <w:r>
        <w:t>. Aunque el recurrente han fundamentado esta nueva solicitud de suspensión de la ejecución en el art. 56.4 de la Ley Orgánica del Tribunal Constitucional (LOTC), tal pretensión se debe encuadrar en lo dispuesto en art. 57 LOTC, conforme al cual “[l]a suspensión o 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00C54F26" w:rsidRDefault="00C54F26" w:rsidP="00C54F26">
      <w:pPr>
        <w:pStyle w:val="TextoNormal"/>
      </w:pPr>
    </w:p>
    <w:p w:rsidR="00C54F26" w:rsidRDefault="00C54F26" w:rsidP="00C54F26">
      <w:pPr>
        <w:pStyle w:val="TextoNormal"/>
      </w:pPr>
      <w:r>
        <w:t>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(AATC 125/2014, de 5 de mayo, FJ 2, y 433/2004, 15 de noviembre, FJ 1).</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La solicitud del demandante presenta dos aspectos diferenciados. Una primera parte guarda relación con las consecuencias que extrae de la denegación por la autoridad judicial </w:t>
      </w:r>
      <w:r>
        <w:lastRenderedPageBreak/>
        <w:t>belga de la orden europea de detención y entrega (relativa a don Lluís Puig; principalmente, la evidencia de la vulneración del derecho al juez ordinario predeterminado por la ley, que también denunció en su demanda de amparo, así como la lesión del derecho a la presunción de inocencia por el constante incumplimiento del secreto de las deliberaciones, que en la actualidad también acontece en el seno del Tribunal Constitucional, en los términos reflejados en los antecedentes.</w:t>
      </w:r>
    </w:p>
    <w:p w:rsidR="00C54F26" w:rsidRDefault="00C54F26" w:rsidP="00C54F26">
      <w:pPr>
        <w:pStyle w:val="TextoNormal"/>
      </w:pPr>
    </w:p>
    <w:p w:rsidR="00C54F26" w:rsidRDefault="00C54F26" w:rsidP="00C54F26">
      <w:pPr>
        <w:pStyle w:val="TextoNormal"/>
      </w:pPr>
      <w:r>
        <w:t xml:space="preserve">a) En relación con este primer bloque argumental basta decir que, de conformidad con la doctrina constitucional, la temática que suscita el demandante resulta ajena a las circunstancias determinantes para dirimir sobre la concesión de la medida cautelar interesada, por lo que tampoco pueden ser consideradas circunstancias sobrevenidas a los efectos previstos en el art. 57 LOTC. Sin perjuicio de que lo acordado por el tribunal belga, en modo alguno vincula o condiciona a este tribunal para la resolución de los recursos de amparo que traen causa de la sentencia condenatoria cuya suspensión se interesa, cabe añadir que las consecuencias que el demandante aduce atañen a lesiones ya denunciadas en la demanda, por lo que en puridad constituyen el fondo del presente recurso. Siendo así, basta con remitirnos a la doctrina reflejada en el fundamento jurídico 5 b) del ATC 57/2020, de 17 de junio, en el que reiteramos que la apariencia de buen derecho o </w:t>
      </w:r>
      <w:r w:rsidRPr="00C54F26">
        <w:rPr>
          <w:i/>
        </w:rPr>
        <w:t>fumus boni iuri</w:t>
      </w:r>
      <w:r>
        <w:t xml:space="preserve"> no es un factor a tener en cuenta de cara a resolver sobre la suspensión cautelar, pues ello supondría anticipar una respuesta provisional sobre el resultado del recurso de amparo.</w:t>
      </w:r>
    </w:p>
    <w:p w:rsidR="00C54F26" w:rsidRDefault="00C54F26" w:rsidP="00C54F26">
      <w:pPr>
        <w:pStyle w:val="TextoNormal"/>
      </w:pPr>
    </w:p>
    <w:p w:rsidR="00C54F26" w:rsidRDefault="00C54F26" w:rsidP="00C54F26">
      <w:pPr>
        <w:pStyle w:val="TextoNormal"/>
      </w:pPr>
      <w:r>
        <w:t>b) La denuncia relativa a la ruptura del secreto de las deliberaciones, dadas las constantes filtraciones a que se alude, carece de relevancia a efectos de dilucidar sobre la medida cautelar solicitada. En el contexto propio del incidente de suspensión, los extremos denunciados son completamente ajenos a los que deben tenerse en cuenta para resolver sobre lo pedido, pues no guardan relación con el aspecto al que de manera primordial hay que atender; esto es, la necesidad de salvaguardar la efectividad de la resolución que ponga fin al recurso de amparo, evitando que la ejecución del acto o sentencia recurridos pueda hacerle perder su finalidad.</w:t>
      </w:r>
    </w:p>
    <w:p w:rsidR="00C54F26" w:rsidRDefault="00C54F26" w:rsidP="00C54F26">
      <w:pPr>
        <w:pStyle w:val="TextoNormal"/>
      </w:pPr>
    </w:p>
    <w:p w:rsidR="00C54F26" w:rsidRDefault="00C54F26" w:rsidP="00C54F26">
      <w:pPr>
        <w:pStyle w:val="TextoNormal"/>
      </w:pPr>
      <w:r>
        <w:t>c) En un tercer apartado el recurrente enumera las razones por las que reitera la concesión de la medida cautelar, que ya interesó anteriormente y que fue desestimada por este tribunal. En lo esencial, esos motivos ya se plantearon en la petición inicial de suspensión de la sentencia condenatoria y fueron refutados en el ATC 57/2020 ya mencionado; y al ser nuevamente traídos a colación, la respuesta que cumple dar no varía, como a continuación se expone.</w:t>
      </w:r>
    </w:p>
    <w:p w:rsidR="00C54F26" w:rsidRDefault="00C54F26" w:rsidP="00C54F26">
      <w:pPr>
        <w:pStyle w:val="TextoNormal"/>
      </w:pPr>
    </w:p>
    <w:p w:rsidR="00C54F26" w:rsidRDefault="00C54F26" w:rsidP="00C54F26">
      <w:pPr>
        <w:pStyle w:val="TextoNormal"/>
      </w:pPr>
      <w:r>
        <w:t>Pese al tiempo transcurrido desde el pasado 17 de junio del 2020, fecha en que se denegó la primera suspensión solicitada, las razones entonces dadas para descartar que el tiempo de sustanciación del recurso de amparo podría provocar la pérdida de la finalidad del recurso de amparo [ATC 57/2020, FJ 4 a)] permanecen incólumes. Aun cuando se tenga en cuenta la privación de libertad ya cumplida y el tiempo que se vaya a consumir hasta la resolución del recurso de amparo, cuya cuantificación por el recurrente es una mera suposición, lo cierto es que, dada la gravedad de la pena impuesta (doce años de prisión), no se constata el riesgo de pérdida de finalidad del recurso de amparo que el demandante advierte, puesto que la pena de prisión que aun restaría por cumplir supera claramente los cinco años; límite temporal que como regla general ha establecido nuestra doctrina para acceder a la suspensión cautelar de las penas de prisión.</w:t>
      </w:r>
    </w:p>
    <w:p w:rsidR="00C54F26" w:rsidRDefault="00C54F26" w:rsidP="00C54F26">
      <w:pPr>
        <w:pStyle w:val="TextoNormal"/>
      </w:pPr>
    </w:p>
    <w:p w:rsidR="00C54F26" w:rsidRDefault="00C54F26" w:rsidP="00C54F26">
      <w:pPr>
        <w:pStyle w:val="TextoNormal"/>
      </w:pPr>
      <w:r>
        <w:t>Asimismo, debemos dar por reproducida la argumentación expresada en el auto antes mencionado, a fin de rechazar la suspensión cautelar de la pena de inhabilitación absoluta, [concretamente, en el fundamento jurídico 5 a)]. Entonces pusimos de relieve que la extensión temporal de esa pena es tal, que la ejecución de la misma mientras se sustancia el presente recurso no determina la pérdida de su finalidad, amén de constatar la prevalencia del interés general que comporta su ejecución.</w:t>
      </w:r>
    </w:p>
    <w:p w:rsidR="00C54F26" w:rsidRDefault="00C54F26" w:rsidP="00C54F26">
      <w:pPr>
        <w:pStyle w:val="TextoNormal"/>
      </w:pPr>
    </w:p>
    <w:p w:rsidR="00C54F26" w:rsidRDefault="00C54F26" w:rsidP="00C54F26">
      <w:pPr>
        <w:pStyle w:val="TextoNormal"/>
      </w:pPr>
      <w:r>
        <w:t>Finalmente, también reiteramos las razones reflejadas en el fundamento jurídico 4 b) del ATC 57/2020, acerca de la relevancia del riesgo de eludir la acción de la justicia. Afirmamos entonces que, de concurrir ese peligro, necesariamente debería denegarse la suspensión cautelar de la pena privativa de libertad. Pero también sostuvimos que la ausencia de ese riesgo no determina, de por sí, que la suspensión deba otorgarse pues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pues conforme a la doctrina establecida por este tribunal también deben concurrir los restantes requisitos”.</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medida cautelar de suspensión interesada.</w:t>
      </w:r>
    </w:p>
    <w:p w:rsidR="00C54F26" w:rsidRDefault="00C54F26" w:rsidP="00C54F26">
      <w:pPr>
        <w:pStyle w:val="TextoNormal"/>
      </w:pPr>
    </w:p>
    <w:p w:rsidR="00C54F26" w:rsidRDefault="00C54F26" w:rsidP="00C54F26">
      <w:pPr>
        <w:pStyle w:val="TextoNormal"/>
      </w:pPr>
      <w:r>
        <w:t>Madrid, a dieciséis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1" w:name="AUTO_2021_30"/>
      <w:r>
        <w:lastRenderedPageBreak/>
        <w:t>AUTO 30/2021, de 16 de marzo de 2021</w:t>
      </w:r>
    </w:p>
    <w:bookmarkEnd w:id="171"/>
    <w:p w:rsidR="00C54F26" w:rsidRDefault="00C54F26" w:rsidP="00C54F26">
      <w:pPr>
        <w:pStyle w:val="TtuloResolucin"/>
      </w:pPr>
      <w:r>
        <w:t>Pleno</w:t>
      </w:r>
    </w:p>
    <w:p w:rsidR="00C54F26" w:rsidRDefault="00C54F26" w:rsidP="00C54F26">
      <w:pPr>
        <w:pStyle w:val="TextoNormalCentrado"/>
      </w:pPr>
      <w:r>
        <w:t>ECLI:ES:TC:2021:30A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en el recurso de amparo 1406-2020, promovido por don Jordi Sánchez i Picanyol,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presentado el día 13 de enero de 2021, el procurador de los tribunales don Aníbal Bordallo Huidobro, en representación del demandante de amparo don Jordi Sánchez i Picanyol y asistido del letrado don Jordi Pina Massachs interesó, al amparo de lo dispuesto en el art. 56.4 de la Ley Orgánica del Tribunal Constitucional (LOTC), la medida cautelar de suspensión de los efectos de la sentencia condenatoria, de fecha 14 de octubre de 2019, con la consiguiente puesta en libertad. Funda esa solicitud en los siguientes motivos:</w:t>
      </w:r>
    </w:p>
    <w:p w:rsidR="00C54F26" w:rsidRDefault="00C54F26" w:rsidP="00C54F26">
      <w:pPr>
        <w:pStyle w:val="TextoNormal"/>
      </w:pPr>
    </w:p>
    <w:p w:rsidR="00C54F26" w:rsidRDefault="00C54F26" w:rsidP="00C54F26">
      <w:pPr>
        <w:pStyle w:val="TextoNormal"/>
      </w:pPr>
      <w:r>
        <w:t>a) El pasado 7 de enero de 2021, el Tribunal de Apelación de Bruselas, acordó rechazar la entrega a España de don Lluís Puig, ex consejero de cultura de la Generalitat de Cataluña, a quien las autoridades españolas reclaman por la presunta comisión de un delito de malversación de caudales públicos. Según indica el recurrente, el citado tribunal belga consideró que el Tribunal Supremo “carecía de competencia para emitir la eurorden contra el señor Puig”; y que esa decisión había adquirido firmeza, al renunciar la fiscalía belga a interponer recurso de casación. Señala el recurrente que la justicia belga ha considerado que, de haber aceptado la ejecución de la orden de detención europea, se “perjudicarían los derechos fundamentales de don Lluís Puig consagrados en el art. 6 CEDH”, en el entendimiento de que no existe base legal explícita para ampliar la competencia del Tribunal Supremo para juzgar a los coacusados, con fundamento en la estrecha conexión entre los delitos imputados.</w:t>
      </w:r>
    </w:p>
    <w:p w:rsidR="00C54F26" w:rsidRDefault="00C54F26" w:rsidP="00C54F26">
      <w:pPr>
        <w:pStyle w:val="TextoNormal"/>
      </w:pPr>
    </w:p>
    <w:p w:rsidR="00C54F26" w:rsidRDefault="00C54F26" w:rsidP="00C54F26">
      <w:pPr>
        <w:pStyle w:val="TextoNormal"/>
      </w:pPr>
      <w:r>
        <w:t>El recurrente sostiene que, al dictar la orden de detención y entrega mencionada, el Tribunal Supremo vulneró el derecho fundamental al juez ordinario predeterminado por la ley (art. 24.2 CE); y añade que el referido Tribunal de Apelación de Bruselas denegó la “extradición” (</w:t>
      </w:r>
      <w:r w:rsidRPr="00C54F26">
        <w:rPr>
          <w:i/>
        </w:rPr>
        <w:t>sic</w:t>
      </w:r>
      <w:r>
        <w:t>), al entender que se le había privado del derecho fundamental al juez natural, por no haber conocido de los hechos los tribunales radicados en Cataluña (foro natural), al haberse atribuido la competencia al Tribunal Supremo mediante una forzada e irrazonable interpretación de las normas procesales.</w:t>
      </w:r>
    </w:p>
    <w:p w:rsidR="00C54F26" w:rsidRDefault="00C54F26" w:rsidP="00C54F26">
      <w:pPr>
        <w:pStyle w:val="TextoNormal"/>
      </w:pPr>
    </w:p>
    <w:p w:rsidR="00C54F26" w:rsidRDefault="00C54F26" w:rsidP="00C54F26">
      <w:pPr>
        <w:pStyle w:val="TextoNormal"/>
      </w:pPr>
      <w:r>
        <w:lastRenderedPageBreak/>
        <w:t>Alega también que el tribunal belga estimó que, de haber ejecutado la orden de detención y entrega, “habría un riesgo elevado de vulneración del derecho a la presunción de inocencia”, por el constante goteo “de presunciones de culpabilidad” respecto de los acusados, efectuadas tanto por miembros de la judicatura como por otros cargos públicos, con anterioridad a la celebración del juicio oral. Esa vulneración, indica el demandante, fue denunciada en el procedimiento judicial y en el recurso de amparo interpuesto ante el Tribunal Constitucional; y ha sido también advertida por el Tribunal de Apelación de Bruselas, puesto que “ha fundamentado en ello, en buena medida, la denegación de la orden de detención y entrega del Sr. Lluís Puig”. Finalmente, concluye que esas vulneraciones solo pueden ser subsanadas mediante el otorgamiento del amparo.</w:t>
      </w:r>
    </w:p>
    <w:p w:rsidR="00C54F26" w:rsidRDefault="00C54F26" w:rsidP="00C54F26">
      <w:pPr>
        <w:pStyle w:val="TextoNormal"/>
      </w:pPr>
    </w:p>
    <w:p w:rsidR="00C54F26" w:rsidRDefault="00C54F26" w:rsidP="00C54F26">
      <w:pPr>
        <w:pStyle w:val="TextoNormal"/>
      </w:pPr>
      <w:r>
        <w:t>b) En un segundo apartado alega la vulneración del artículo 6 del Convenio europeo de derechos humanos (CEDH), por las filtraciones sobre las deliberaciones para la resolución de los recursos de amparo contra la sentencia condenatoria dictada por el Tribunal Supremo. Tras señalar que el secreto de las deliberaciones de un tribunal se configura como un presupuesto básico de la imparcialidad e independencia judicial y como una garantía básica del procedimiento penal, añade que el constante “goteo de filtraciones” se ha trasladado también al Tribunal Constitucional. Ejemplo de ello es la noticia publicada en el diario “El Español”, el día 12 de enero de 2021, referida a que el magistrado ponente del recurso de amparo interpuesto por doña Meritxell Borrás propone respaldar al Tribunal Supremo como órgano competente para juzgar a los acusados de promover el “procés”, ya que rechaza la vulneración del derecho al juez ordinario predeterminado por la ley, lesión esta que el demandante también invocó en su demanda de amparo.</w:t>
      </w:r>
    </w:p>
    <w:p w:rsidR="00C54F26" w:rsidRDefault="00C54F26" w:rsidP="00C54F26">
      <w:pPr>
        <w:pStyle w:val="TextoNormal"/>
      </w:pPr>
    </w:p>
    <w:p w:rsidR="00C54F26" w:rsidRDefault="00C54F26" w:rsidP="00C54F26">
      <w:pPr>
        <w:pStyle w:val="TextoNormal"/>
      </w:pPr>
      <w:r>
        <w:t>Por todo ello, afirma que la garantía del secreto de las deliberaciones parece más “una utopía que una realidad”, lo que supone una vulneración de los arts. 24 CE y 6 CEDH, lo que debería dar lugar a una declaración expresa en ese sentido y la consiguiente nulidad de la sentencia condenatoria.</w:t>
      </w:r>
    </w:p>
    <w:p w:rsidR="00C54F26" w:rsidRDefault="00C54F26" w:rsidP="00C54F26">
      <w:pPr>
        <w:pStyle w:val="TextoNormal"/>
      </w:pPr>
    </w:p>
    <w:p w:rsidR="00C54F26" w:rsidRDefault="00C54F26" w:rsidP="00C54F26">
      <w:pPr>
        <w:pStyle w:val="TextoNormal"/>
      </w:pPr>
      <w:r>
        <w:t>c) En un tercer apartado, el recurrente expresa los motivos por los que interesa su inmediata puesta en libertad, pese a que el Pleno ya le denegó esa petición. Al respecto, sostiene que concurre un hecho nuevo que justifica la reiteración de su solicitud; concretamente, la denegación de la detención y entrega del señor Puig, hecho que “incide de lleno en varios de los motivos de la demanda de amparo”. Y añade que la petición de libertad se funda en las siguientes razones:</w:t>
      </w:r>
    </w:p>
    <w:p w:rsidR="00C54F26" w:rsidRDefault="00C54F26" w:rsidP="00C54F26">
      <w:pPr>
        <w:pStyle w:val="TextoNormal"/>
      </w:pPr>
    </w:p>
    <w:p w:rsidR="00C54F26" w:rsidRDefault="00C54F26" w:rsidP="00C54F26">
      <w:pPr>
        <w:pStyle w:val="TextoNormal"/>
      </w:pPr>
      <w:r>
        <w:t>(i) El demandante está a punto de cumplir tres de los doce años de prisión a que ha sido condenado. Por ello, si no se suspende la ejecución, la eventual estimación del recurso de amparo se produciría cuando el demandante habría cumplido una parte importante de las penas impuestas, dado que el tiempo en que se tardaría en resolver el recurso de amparo sería previsiblemente superior a dos años, vista la extensión de los motivos planteados. Así pues, de no accederse a la suspensión que se interesa, el recurso de amparo perdería buena parte de su razón de ser y también resultarían afectados sus derechos políticos, al verse impedido de presentar su candidatura en procesos electorales futuros.</w:t>
      </w:r>
    </w:p>
    <w:p w:rsidR="00C54F26" w:rsidRDefault="00C54F26" w:rsidP="00C54F26">
      <w:pPr>
        <w:pStyle w:val="TextoNormal"/>
      </w:pPr>
    </w:p>
    <w:p w:rsidR="00C54F26" w:rsidRDefault="00C54F26" w:rsidP="00C54F26">
      <w:pPr>
        <w:pStyle w:val="TextoNormal"/>
      </w:pPr>
      <w:r>
        <w:t xml:space="preserve">(ii) En segundo término, sostiene que la concesión de la medida cautelar no ocasionaría perjuicio grave a ningún interés constitucionalmente protegido ni a los derechos fundamentales de terceros. Añade que ya ha disfrutado de permisos de salida y le ha sido aplicado el </w:t>
      </w:r>
      <w:r>
        <w:lastRenderedPageBreak/>
        <w:t>tercer grado penitenciario, sin que haya acontecido ninguna incidencia ni afectación del orden público. Por ello, afirma que “no resulta esperable a estas alturas ninguna conducta de sustracción de la acción judicial”, más aún si se tiene en cuenta el evidente arraigo del recurrente.</w:t>
      </w:r>
    </w:p>
    <w:p w:rsidR="00C54F26" w:rsidRDefault="00C54F26" w:rsidP="00C54F26">
      <w:pPr>
        <w:pStyle w:val="TextoNormal"/>
      </w:pPr>
    </w:p>
    <w:p w:rsidR="00C54F26" w:rsidRDefault="00C54F26" w:rsidP="00C54F26">
      <w:pPr>
        <w:pStyle w:val="TextoNormal"/>
      </w:pPr>
      <w:r>
        <w:t>(iii) También pone de manifiesto que, al afectar los delitos por los que fue condenado a bienes jurídicos colectivos, la concesión de la suspensión no afectaría a ninguna persona concreta; y añade que los procesados, en su día, afianzaron las responsabilidades civiles.</w:t>
      </w:r>
    </w:p>
    <w:p w:rsidR="00C54F26" w:rsidRDefault="00C54F26" w:rsidP="00C54F26">
      <w:pPr>
        <w:pStyle w:val="TextoNormal"/>
      </w:pPr>
    </w:p>
    <w:p w:rsidR="00C54F26" w:rsidRDefault="00C54F26" w:rsidP="00C54F26">
      <w:pPr>
        <w:pStyle w:val="TextoNormal"/>
      </w:pPr>
      <w:r w:rsidRPr="00C54F26">
        <w:rPr>
          <w:rStyle w:val="NumeroAFNegritaCaracter"/>
        </w:rPr>
        <w:t>2</w:t>
      </w:r>
      <w:r>
        <w:t>. Por diligencia de ordenación de fecha 18 de enero del 2021, la secretaría de justicia del Pleno de este tribunal acordó, conforme a lo dispuesto en el art. 56.4 LOTC, dar traslado de la solicitud del escrito presentado, por plazo común de tres días, al Ministerio Fiscal y demás partes personadas, a fin de que aleguen lo que estimen pertinente en relación con la petición de suspensión solicitada.</w:t>
      </w:r>
    </w:p>
    <w:p w:rsidR="00C54F26" w:rsidRDefault="00C54F26" w:rsidP="00C54F26">
      <w:pPr>
        <w:pStyle w:val="TextoNormal"/>
      </w:pPr>
    </w:p>
    <w:p w:rsidR="00C54F26" w:rsidRDefault="00C54F26" w:rsidP="00C54F26">
      <w:pPr>
        <w:pStyle w:val="TextoNormal"/>
      </w:pPr>
      <w:r w:rsidRPr="00C54F26">
        <w:rPr>
          <w:rStyle w:val="NumeroAFNegritaCaracter"/>
        </w:rPr>
        <w:t>3</w:t>
      </w:r>
      <w:r>
        <w:t>. El día 22 de enero de 2021 presentó sus alegaciones la abogacía del Estado. Tras resumir los antecedentes que consideró relevantes y sintetizar el contenido del escrito por el que se promueve este incidente, afirma que la resolución del tribunal belga no constituye una circunstancia sobrevenida a los efectos del art. 57 LOTC, requisito que considera necesario para proceder a una eventual modificación de lo resuelto en el ATC 58/2020. Además, conforme a lo establecido en los AATC 22/2018, 38/2018 y 131/2018, un pronunciamiento de este tribunal que modificase la denegación de la suspensión, a partir de la valoración de la posible vulneración del derecho al juez ordinario predeterminado por la ley o del derecho a la presunción de inocencia, supondría llevar a cabo un juicio anticipado sobre “el fondo de un litigio pendiente, que debe ser resuelto en la oportuna sentencia y no ahora en un auto relativo a la posible revisión de la suspensión no acordada”.</w:t>
      </w:r>
    </w:p>
    <w:p w:rsidR="00C54F26" w:rsidRDefault="00C54F26" w:rsidP="00C54F26">
      <w:pPr>
        <w:pStyle w:val="TextoNormal"/>
      </w:pPr>
    </w:p>
    <w:p w:rsidR="00C54F26" w:rsidRDefault="00C54F26" w:rsidP="00C54F26">
      <w:pPr>
        <w:pStyle w:val="TextoNormal"/>
      </w:pPr>
      <w:r>
        <w:t>En relación con las filtraciones a que se refiere el demandante, la abogacía del Estado estima que la garantía de imparcialidad, en su vertiente subjetiva, solamente podría verse afectada en el caso de que se acreditara que la opinión de alguno de los integrantes del tribunal esté condicionada por los hechos o circunstancias externas a la propia deliberación o, en su caso, que la filtración fuera encaminada a modificar lo previamente decidido. Y el demandante no alega que se haya producido ninguna de estas circunstancias. Por todo ello, la abogacía del Estado se opone a las pretensiones del recurrente.</w:t>
      </w:r>
    </w:p>
    <w:p w:rsidR="00C54F26" w:rsidRDefault="00C54F26" w:rsidP="00C54F26">
      <w:pPr>
        <w:pStyle w:val="TextoNormal"/>
      </w:pPr>
    </w:p>
    <w:p w:rsidR="00C54F26" w:rsidRDefault="00C54F26" w:rsidP="00C54F26">
      <w:pPr>
        <w:pStyle w:val="TextoNormal"/>
      </w:pPr>
      <w:r w:rsidRPr="00C54F26">
        <w:rPr>
          <w:rStyle w:val="NumeroAFNegritaCaracter"/>
        </w:rPr>
        <w:t>4</w:t>
      </w:r>
      <w:r>
        <w:t xml:space="preserve">. Por escrito presentado el 25 de enero del 2021, la procuradora de los tribunales doña María Pilar Hidalgo López, en representación del partido político Vox formuló oposición a la pretensión de suspensión cautelar. Refiere que la medida que se interesa ya fue resuelta en su día, en sentido desestimatorio, por el ATC 58/2020, de 17 de junio. Añade que la decisión adoptada por el tribunal belga “queda extra muros del procedimiento, en buena medida porque la justicia belga no tiene competencia alguna sobre el procedimiento judicial que se analiza” y porque la supuesta “vulneración de derechos” se refiere a un fugado que aún tiene que comparecer ante la justicia. Esta situación que nada tiene que ver con la del recurrente, que ha sido condenado por sentencia firme, por lo que se trata de dos situaciones que no son comparables. Por ello, el tratamiento que debe dispensarse al presente caso debe ser diferente, debiéndose resaltar que en la solicitud no se indican los derechos vulnerados </w:t>
      </w:r>
      <w:r>
        <w:lastRenderedPageBreak/>
        <w:t>ni se prueba que los mismos no sean reparables, condición necesaria para poder otorgar la suspensión.</w:t>
      </w:r>
    </w:p>
    <w:p w:rsidR="00C54F26" w:rsidRDefault="00C54F26" w:rsidP="00C54F26">
      <w:pPr>
        <w:pStyle w:val="TextoNormal"/>
      </w:pPr>
    </w:p>
    <w:p w:rsidR="00C54F26" w:rsidRDefault="00C54F26" w:rsidP="00C54F26">
      <w:pPr>
        <w:pStyle w:val="TextoNormal"/>
      </w:pPr>
      <w:r>
        <w:t>En segundo término sostiene que en esta pieza no proceden las alegaciones sobre las supuesta filtraciones de información u opiniones, sobre todo porque vienen referidas al recurso de amparo interpuesto por doña Meritxell Borrás.</w:t>
      </w:r>
    </w:p>
    <w:p w:rsidR="00C54F26" w:rsidRDefault="00C54F26" w:rsidP="00C54F26">
      <w:pPr>
        <w:pStyle w:val="TextoNormal"/>
      </w:pPr>
    </w:p>
    <w:p w:rsidR="00C54F26" w:rsidRDefault="00C54F26" w:rsidP="00C54F26">
      <w:pPr>
        <w:pStyle w:val="TextoNormal"/>
      </w:pPr>
      <w:r>
        <w:t>Finalmente, pone de relieve que no concurren los requisitos para acordar la puesta en libertad del demandante. Sobre este particular, señala que este último no aclara cuál es la afectación a los derechos fundamentales ni su posible reparación. Rechaza que se haya producido vulneración de derecho fundamental alguno, puesto que la aplicación de la ley no puede vulnerar derechos, por mucho que se quiera “disfrazar de una condena por motivos políticos”. Y en relación con las circunstancias concretas por las que aquel reitera la solicitud de medida cautelar, se remite al ATC 58/2020 ya citado, y transcribe parte de la fundamentación jurídica del citado auto, en la que se funda la desestimación de la inicial solicitud de suspensión cautelar.</w:t>
      </w:r>
    </w:p>
    <w:p w:rsidR="00C54F26" w:rsidRDefault="00C54F26" w:rsidP="00C54F26">
      <w:pPr>
        <w:pStyle w:val="TextoNormal"/>
      </w:pPr>
    </w:p>
    <w:p w:rsidR="00C54F26" w:rsidRDefault="00C54F26" w:rsidP="00C54F26">
      <w:pPr>
        <w:pStyle w:val="TextoNormal"/>
      </w:pPr>
      <w:r w:rsidRPr="00C54F26">
        <w:rPr>
          <w:rStyle w:val="NumeroAFNegritaCaracter"/>
        </w:rPr>
        <w:t>5</w:t>
      </w:r>
      <w:r>
        <w:t>. En fecha 4 de febrero presentó sus alegaciones el fiscal, quien interesó la desestimación de lo solicitado. Tras resumir los términos de la pretensión del recurrente y recordar que, por ATC 58/2020, de 17 de junio, ya fue denegada la suspensión de los efectos de la sentencia condenatoria, manifiesta que la petición de aquel se sustenta en la concurrencia de “un hecho nuevo”, que surge a raíz de la resolución del Tribunal de Apelación de Bruselas, que denegó la entrega a España de don Lluís Puig.</w:t>
      </w:r>
    </w:p>
    <w:p w:rsidR="00C54F26" w:rsidRDefault="00C54F26" w:rsidP="00C54F26">
      <w:pPr>
        <w:pStyle w:val="TextoNormal"/>
      </w:pPr>
    </w:p>
    <w:p w:rsidR="00C54F26" w:rsidRDefault="00C54F26" w:rsidP="00C54F26">
      <w:pPr>
        <w:pStyle w:val="TextoNormal"/>
      </w:pPr>
      <w:r>
        <w:t>Afirma, en lo que se refiere al primer bloque argumental, que las alegaciones formuladas van dirigidas al objeto principal del recurso de amparo, expresando una suerte de deber del Tribunal Constitucional de coincidir con el criterio de una resolución extranjera. Destaca que la resolución del tribunal belga no es una circunstancia sobrevenida a los efectos de revisar el pronunciamiento del ATC 58/2020, de 17 de junio, sin que además pueda condicionar el proceso de amparo. Se pretende reforzar la apariencia de vulneración, a los efectos de avalar la suspensión interesada, con una resolución de un tribunal extranjero, cuando al decidir sobre la suspensión cautelar el Tribunal Constitucional excluye la apariencia de buen derecho (ATC 58/2020).</w:t>
      </w:r>
    </w:p>
    <w:p w:rsidR="00C54F26" w:rsidRDefault="00C54F26" w:rsidP="00C54F26">
      <w:pPr>
        <w:pStyle w:val="TextoNormal"/>
      </w:pPr>
    </w:p>
    <w:p w:rsidR="00C54F26" w:rsidRDefault="00C54F26" w:rsidP="00C54F26">
      <w:pPr>
        <w:pStyle w:val="TextoNormal"/>
      </w:pPr>
      <w:r>
        <w:t>Centrado ya en las alegaciones del segundo bloque argumentativo, el Ministerio Fiscal indica que el recurrente viene a reiterar lo ya alegado en la solicitud de suspensión desestimada por el ATC 58/2020, a cuyos argumentos (FFJJ 4, 5 y 6) se remite.</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la presente resolución consiste en dilucidar si concurren los requisitos necesarios para modificar la denegación de la suspensión, que fue acordada en el ATC 58/2020, de 17 de junio.</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Aunque el recurrente ha fundamentado esta nueva solicitud de suspensión de la ejecución en el art. 56.4 de la Ley Orgánica del Tribunal Constitucional (LOTC), tal pretensión se debe encuadrar en lo dispuesto en el art. 57 LOTC, conforme al cual “[l]a suspensión o </w:t>
      </w:r>
      <w:r>
        <w:lastRenderedPageBreak/>
        <w:t>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00C54F26" w:rsidRDefault="00C54F26" w:rsidP="00C54F26">
      <w:pPr>
        <w:pStyle w:val="TextoNormal"/>
      </w:pPr>
    </w:p>
    <w:p w:rsidR="00C54F26" w:rsidRDefault="00C54F26" w:rsidP="00C54F26">
      <w:pPr>
        <w:pStyle w:val="TextoNormal"/>
      </w:pPr>
      <w:r>
        <w:t>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(AATC 125/2014, de 5 de mayo, FJ 2, y 433/2004, 15 de noviembre, FJ 1).</w:t>
      </w:r>
    </w:p>
    <w:p w:rsidR="00C54F26" w:rsidRDefault="00C54F26" w:rsidP="00C54F26">
      <w:pPr>
        <w:pStyle w:val="TextoNormal"/>
      </w:pPr>
    </w:p>
    <w:p w:rsidR="00C54F26" w:rsidRDefault="00C54F26" w:rsidP="00C54F26">
      <w:pPr>
        <w:pStyle w:val="TextoNormal"/>
      </w:pPr>
      <w:r w:rsidRPr="00C54F26">
        <w:rPr>
          <w:rStyle w:val="NumeroAFNegritaCaracter"/>
        </w:rPr>
        <w:t>3</w:t>
      </w:r>
      <w:r>
        <w:t>. La solicitud del demandante presenta dos aspectos diferenciados. Una primera parte guarda relación con las consecuencias que extrae de la denegación por la autoridad judicial belga de la orden europea de detención y entrega relativa a don Lluís Puig; principalmente, la evidencia de la vulneración del derecho al juez ordinario predeterminado por la ley, que también denunció en su demanda de amparo, así como la lesión del derecho a la presunción de inocencia por el constante incumplimiento del secreto de las deliberaciones que, en la actualidad, también acontece en el seno del Tribunal Constitucional, en los términos reflejados en los antecedentes.</w:t>
      </w:r>
    </w:p>
    <w:p w:rsidR="00C54F26" w:rsidRDefault="00C54F26" w:rsidP="00C54F26">
      <w:pPr>
        <w:pStyle w:val="TextoNormal"/>
      </w:pPr>
    </w:p>
    <w:p w:rsidR="00C54F26" w:rsidRDefault="00C54F26" w:rsidP="00C54F26">
      <w:pPr>
        <w:pStyle w:val="TextoNormal"/>
      </w:pPr>
      <w:r>
        <w:t xml:space="preserve">a) En relación con este primer bloque argumental basta decir que, de conformidad con la doctrina constitucional, la temática que suscita el demandante resulta ajena a las circunstancias determinantes para dirimir sobre la concesión de la medida cautelar interesada, por lo que tampoco pueden ser consideradas circunstancias sobrevenidas a los efectos previstos en el art. 57 LOTC. Sin perjuicio de que lo acordado por el tribunal belga, en modo alguno vincula o condiciona a este tribunal para la resolución de los recursos de amparo que traen causa de la sentencia condenatoria cuya suspensión se interesa, cabe añadir que las consecuencias que el demandante aduce atañen a lesiones ya denunciadas en la demanda, por lo que en puridad constituyen el fondo del presente recurso. Siendo así, basta con remitirnos a la doctrina reflejada en el FJ 5 b) del ATC 58/2020, de 17 de junio, en el que reiteramos, como bien indica el Ministerio Fiscal, que la apariencia de buen derecho o </w:t>
      </w:r>
      <w:r w:rsidRPr="00C54F26">
        <w:rPr>
          <w:i/>
        </w:rPr>
        <w:t>fumus boni iuri</w:t>
      </w:r>
      <w:r>
        <w:t xml:space="preserve"> no es un factor a tener en cuenta de cara a resolver sobre la suspensión cautelar, pues ello supondría anticipar una respuesta provisional sobre el resultado del recurso de amparo.</w:t>
      </w:r>
    </w:p>
    <w:p w:rsidR="00C54F26" w:rsidRDefault="00C54F26" w:rsidP="00C54F26">
      <w:pPr>
        <w:pStyle w:val="TextoNormal"/>
      </w:pPr>
    </w:p>
    <w:p w:rsidR="00C54F26" w:rsidRDefault="00C54F26" w:rsidP="00C54F26">
      <w:pPr>
        <w:pStyle w:val="TextoNormal"/>
      </w:pPr>
      <w:r>
        <w:t>b) La denuncia relativa a la ruptura del secreto de las deliberaciones, dadas las constantes filtraciones a que se alude, carece de relevancia a efectos de dilucidar sobre la medida cautelar solicitada. En el contexto propio del incidente de suspensión, los extremos denunciados son completamente ajenos a los que deben tenerse en cuenta para resolver sobre lo pedido, pues no guardan relación con el aspecto al que de manera primordial hay que atender; esto es, la necesidad de salvaguardar la efectividad de la resolución que ponga fin al recurso de amparo, evitando que la ejecución del acto o sentencia recurridos pueda hacerle perder su finalidad.</w:t>
      </w:r>
    </w:p>
    <w:p w:rsidR="00C54F26" w:rsidRDefault="00C54F26" w:rsidP="00C54F26">
      <w:pPr>
        <w:pStyle w:val="TextoNormal"/>
      </w:pPr>
    </w:p>
    <w:p w:rsidR="00C54F26" w:rsidRDefault="00C54F26" w:rsidP="00C54F26">
      <w:pPr>
        <w:pStyle w:val="TextoNormal"/>
      </w:pPr>
      <w:r>
        <w:t xml:space="preserve">c) En un tercer apartado el recurrente enumera las razones por las que reitera la concesión de la medida cautelar, que ya interesó anteriormente y que fue desestimada por este tribunal. </w:t>
      </w:r>
      <w:r>
        <w:lastRenderedPageBreak/>
        <w:t>En lo esencial, esos motivos ya se plantearon en la petición inicial de suspensión de la sentencia condenatoria y fueron refutados en el ATC 58/2020 ya mencionado; y al ser nuevamente traídos a colación, la respuesta que cumple dar no varía, como a continuación se expone.</w:t>
      </w:r>
    </w:p>
    <w:p w:rsidR="00C54F26" w:rsidRDefault="00C54F26" w:rsidP="00C54F26">
      <w:pPr>
        <w:pStyle w:val="TextoNormal"/>
      </w:pPr>
    </w:p>
    <w:p w:rsidR="00C54F26" w:rsidRDefault="00C54F26" w:rsidP="00C54F26">
      <w:pPr>
        <w:pStyle w:val="TextoNormal"/>
      </w:pPr>
      <w:r>
        <w:t>Pese al tiempo transcurrido desde el pasado 17 de junio del 2020, fecha en que se denegó la primera suspensión solicitada, las razones entonces dadas para descartar que el tiempo de sustanciación del recurso de amparo podría provocar la pérdida de la finalidad del recurso de amparo [ATC 58/2020, FJ 4 a)] permanecen incólumes. Aun cuando se tenga en cuenta la privación de libertad ya cumplida y el tiempo que se vaya a consumir hasta la resolución del recurso de amparo, cuya cuantificación por el recurrente es una mera suposición, lo cierto es que, dada la gravedad de la pena impuesta (nueve años de prisión), no se constata el riesgo de pérdida de finalidad del recurso de amparo que el demandante advierte, puesto que la pena de prisión que aun restaría por cumplir supera claramente los cinco años; límite temporal que como regla general ha establecido nuestra doctrina para acceder a la suspensión cautelar de las penas de prisión.</w:t>
      </w:r>
    </w:p>
    <w:p w:rsidR="00C54F26" w:rsidRDefault="00C54F26" w:rsidP="00C54F26">
      <w:pPr>
        <w:pStyle w:val="TextoNormal"/>
      </w:pPr>
    </w:p>
    <w:p w:rsidR="00C54F26" w:rsidRDefault="00C54F26" w:rsidP="00C54F26">
      <w:pPr>
        <w:pStyle w:val="TextoNormal"/>
      </w:pPr>
      <w:r>
        <w:t>Asimismo, debemos dar por reproducida la argumentación expresada en el auto antes mencionado, a fin de rechazar la suspensión cautelar de la pena de inhabilitación absoluta, [concretamente, en el fundamento jurídico 5 a)]. Entonces pusimos de relieve que la extensión temporal de esa pena es tal, que la ejecución de la misma mientras se sustancia el presente recurso no determina la pérdida de su finalidad, amén de constatar la prevalencia del interés general que comporta su ejecución.</w:t>
      </w:r>
    </w:p>
    <w:p w:rsidR="00C54F26" w:rsidRDefault="00C54F26" w:rsidP="00C54F26">
      <w:pPr>
        <w:pStyle w:val="TextoNormal"/>
      </w:pPr>
    </w:p>
    <w:p w:rsidR="00C54F26" w:rsidRDefault="00C54F26" w:rsidP="00C54F26">
      <w:pPr>
        <w:pStyle w:val="TextoNormal"/>
      </w:pPr>
      <w:r>
        <w:t>Finalmente, también reiteramos las razones reflejadas en el fundamento jurídico 4 b) del ATC 58/2020, acerca de la relevancia del riesgo de eludir la acción de la justicia. Afirmamos entonces que, de concurrir ese peligro, necesariamente debería denegarse la suspensión cautelar de la pena privativa de libertad. Pero también sostuvimos que la ausencia de ese riesgo no determina, de por sí, que la suspensión deba otorgarse pues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pues conforme a la doctrina establecida por este tribunal también deben concurrir los restantes requisitos”.</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medida cautelar de suspensión interesada.</w:t>
      </w:r>
    </w:p>
    <w:p w:rsidR="00C54F26" w:rsidRDefault="00C54F26" w:rsidP="00C54F26">
      <w:pPr>
        <w:pStyle w:val="TextoNormal"/>
      </w:pPr>
    </w:p>
    <w:p w:rsidR="00C54F26" w:rsidRDefault="00C54F26" w:rsidP="00C54F26">
      <w:pPr>
        <w:pStyle w:val="TextoNormal"/>
      </w:pPr>
      <w:r>
        <w:t>Madrid, a dieciséis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2" w:name="AUTO_2021_31"/>
      <w:r>
        <w:lastRenderedPageBreak/>
        <w:t>AUTO 31/2021, de 16 de marzo de 2021</w:t>
      </w:r>
    </w:p>
    <w:bookmarkEnd w:id="172"/>
    <w:p w:rsidR="00C54F26" w:rsidRDefault="00C54F26" w:rsidP="00C54F26">
      <w:pPr>
        <w:pStyle w:val="TtuloResolucin"/>
      </w:pPr>
      <w:r>
        <w:t>Pleno</w:t>
      </w:r>
    </w:p>
    <w:p w:rsidR="00C54F26" w:rsidRDefault="00C54F26" w:rsidP="00C54F26">
      <w:pPr>
        <w:pStyle w:val="TextoNormalCentrado"/>
      </w:pPr>
      <w:r>
        <w:t>ECLI:ES:TC:2021:31A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en el recurso de amparo 1407-2020, promovido por don Josep Rull i Andreu,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Con fecha 4 de marzo de 2020, tuvo entrada en el registro general de este Tribunal Constitucional un escrito del procurador de los tribunales don Aníbal Ruiz Huidobro, actuando en representación de don Josep Rull i Andreu, por el que interpuso recurso de amparo contra la sentencia núm. 459/2019, de 14 de octubre de 2019, dictada por la Sala Segunda del Tribunal Supremo en la causa especial 20907-2017, y contra el auto de 29 de enero de 2020, dictado por la misma Sala, el cual desestimó el incidente de nulidad promovido contra aquella sentencia.</w:t>
      </w:r>
    </w:p>
    <w:p w:rsidR="00C54F26" w:rsidRDefault="00C54F26" w:rsidP="00C54F26">
      <w:pPr>
        <w:pStyle w:val="TextoNormal"/>
      </w:pPr>
    </w:p>
    <w:p w:rsidR="00C54F26" w:rsidRDefault="00C54F26" w:rsidP="00C54F26">
      <w:pPr>
        <w:pStyle w:val="TextoNormal"/>
      </w:pPr>
      <w:r>
        <w:t>En el otrosí digo primero del escrito de demanda se solicitó la suspensión de las resoluciones judiciales impugnadas, por la vía del art. 56.6 de nuestra Ley Orgánica reguladora, 2/1979, de 3 de octubre (LOTC). La urgencia excepcional alegada se rechazó en la providencia de admisión a trámite del recurso que dictó el Pleno de este tribunal el 6 de mayo de 2020, acordándose en cambio la apertura de la pieza ordinaria de suspensión, la cual, una vez tramitada, fue resuelta por ATC 59/2020, de 17 de junio, en el sentido de denegar la suspensión.</w:t>
      </w:r>
    </w:p>
    <w:p w:rsidR="00C54F26" w:rsidRDefault="00C54F26" w:rsidP="00C54F26">
      <w:pPr>
        <w:pStyle w:val="TextoNormal"/>
      </w:pPr>
    </w:p>
    <w:p w:rsidR="00C54F26" w:rsidRDefault="00C54F26" w:rsidP="00C54F26">
      <w:pPr>
        <w:pStyle w:val="TextoNormal"/>
      </w:pPr>
      <w:r w:rsidRPr="00C54F26">
        <w:rPr>
          <w:rStyle w:val="NumeroAFNegritaCaracter"/>
        </w:rPr>
        <w:t>2</w:t>
      </w:r>
      <w:r>
        <w:t>. Mediante escrito presentado el día 13 de enero de 2021, el demandante interesó, al amparo de lo dispuesto en el art. 56.4 LOTC, una “[n]ueva solicitud de suspensión de los efectos de la sentencia condenatoria” de fecha 14 de octubre de 2019, con la consiguiente puesta en libertad. Funda esa solicitud en los siguientes motivos:</w:t>
      </w:r>
    </w:p>
    <w:p w:rsidR="00C54F26" w:rsidRDefault="00C54F26" w:rsidP="00C54F26">
      <w:pPr>
        <w:pStyle w:val="TextoNormal"/>
      </w:pPr>
    </w:p>
    <w:p w:rsidR="00C54F26" w:rsidRDefault="00C54F26" w:rsidP="00C54F26">
      <w:pPr>
        <w:pStyle w:val="TextoNormal"/>
      </w:pPr>
      <w:r>
        <w:t xml:space="preserve">a) El pasado 7 de enero de 2021, el Tribunal de Apelación de Bruselas, acordó rechazar la entrega a España de don Lluis Puig, ex consejero de Cultura de la Generalitat de Cataluña, a quien las autoridades españolas reclaman por la presunta comisión de un delito de malversación de caudales público. Según indica el recurrente, el citado tribunal belga consideró que el Tribunal Supremo “carecía de competencia para emitir la eurorden contra el Sr. Puig”; y que esa decisión había adquirido firmeza, al renunciar la fiscalía belga a interponer recurso de casación. Señala el recurrente que la justicia belga ha considerado que, de haber </w:t>
      </w:r>
      <w:r>
        <w:lastRenderedPageBreak/>
        <w:t>aceptado la ejecución de la orden de detención europea, se “perjudicarían los derechos fundamentales de don Lluis Puig consagrados en el art. 6 CEDH”, en el entendimiento de que no existe base legal explícita para ampliar la competencia del Tribunal Supremo para juzgar a los coacusados, con fundamento en la estrecha conexión entre los delitos imputados.</w:t>
      </w:r>
    </w:p>
    <w:p w:rsidR="00C54F26" w:rsidRDefault="00C54F26" w:rsidP="00C54F26">
      <w:pPr>
        <w:pStyle w:val="TextoNormal"/>
      </w:pPr>
    </w:p>
    <w:p w:rsidR="00C54F26" w:rsidRDefault="00C54F26" w:rsidP="00C54F26">
      <w:pPr>
        <w:pStyle w:val="TextoNormal"/>
      </w:pPr>
      <w:r>
        <w:t>El recurrente sostiene que, al dictar la orden de detención y entrega mencionada, el Tribunal Supremo vulneró el derecho fundamental al juez ordinario predeterminado por la ley (art. 24. CE); y añade que el referido Tribunal de Apelación de Bruselas denegó la “extradición” (</w:t>
      </w:r>
      <w:r w:rsidRPr="00C54F26">
        <w:rPr>
          <w:i/>
        </w:rPr>
        <w:t>sic</w:t>
      </w:r>
      <w:r>
        <w:t>), al entender que se le había privado del derecho fundamental al juez natural, por no haber conocido de los hechos los tribunales radicados en Cataluña (foro natural), al haberse atribuido la competencia al Tribunal Supremo mediante una forzada e irrazonable interpretación de las normas procesales.</w:t>
      </w:r>
    </w:p>
    <w:p w:rsidR="00C54F26" w:rsidRDefault="00C54F26" w:rsidP="00C54F26">
      <w:pPr>
        <w:pStyle w:val="TextoNormal"/>
      </w:pPr>
    </w:p>
    <w:p w:rsidR="00C54F26" w:rsidRDefault="00C54F26" w:rsidP="00C54F26">
      <w:pPr>
        <w:pStyle w:val="TextoNormal"/>
      </w:pPr>
      <w:r>
        <w:t>Alega también que el tribunal belga estimó que, de haber ejecutado la orden de detención y entrega, “habría un riesgo elevado de vulneración del derecho a la presunción de inocencia”, por el constante goteo “de presunciones de culpabilidad” respecto de los acusados, efectuadas tanto por miembros de la judicatura como por otros cargos públicos, con anterioridad a la celebración del juicio oral. Esa vulneración, indica el demandante, fue denunciada en el procedimiento judicial y en el recurso de amparo interpuesto ante el Tribunal Constitucional; y ha sido también advertida por el Tribunal de Apelación de Bruselas, puesto que “ha fundamentado en ello, en buena medida, la denegación de la orden de detención y entrega del don Lluís Puig”. Finalmente, concluye que esas vulneraciones solo pueden ser subsanadas mediante el otorgamiento del amparo.</w:t>
      </w:r>
    </w:p>
    <w:p w:rsidR="00C54F26" w:rsidRDefault="00C54F26" w:rsidP="00C54F26">
      <w:pPr>
        <w:pStyle w:val="TextoNormal"/>
      </w:pPr>
    </w:p>
    <w:p w:rsidR="00C54F26" w:rsidRDefault="00C54F26" w:rsidP="00C54F26">
      <w:pPr>
        <w:pStyle w:val="TextoNormal"/>
      </w:pPr>
      <w:r>
        <w:t>b) En un segundo apartado alega la vulneración del art. 6 del Convenio europeo de derechos humanos (CEDH), por las “nuevas filtraciones” sobre las deliberaciones para la resolución de los recursos de amparo contra la sentencia condenatoria dictada por el Tribunal Supremo. Tras señalar que el secreto de las deliberaciones de un tribunal se configura como un presupuesto básico de la imparcialidad e independencia judicial y como una garantía básica del procedimiento penal, añade que el constante “goteo de filtraciones” se ha trasladado también al Tribunal Constitucional. Ejemplo de ello es la noticia publicada en el diario “El Español”, el día 12 de enero de 2021, referida a que el magistrado ponente del recurso de amparo interpuesto por doña Meritxell Borrás propone respaldar al Tribunal Supremo como órgano competente para juzgar a los acusados de promover el “procés”, ya que rechaza la vulneración del derecho al juez ordinario predeterminado por la ley; lesión esta que el demandante también invocó en su demanda de amparo.</w:t>
      </w:r>
    </w:p>
    <w:p w:rsidR="00C54F26" w:rsidRDefault="00C54F26" w:rsidP="00C54F26">
      <w:pPr>
        <w:pStyle w:val="TextoNormal"/>
      </w:pPr>
    </w:p>
    <w:p w:rsidR="00C54F26" w:rsidRDefault="00C54F26" w:rsidP="00C54F26">
      <w:pPr>
        <w:pStyle w:val="TextoNormal"/>
      </w:pPr>
      <w:r>
        <w:t>Por todo ello, afirma que la garantía del secreto de las deliberaciones parece más “una utopía que una realidad”, lo que supone una vulneración de los arts. 24 CE y 6 CEDH, lo que debería dar lugar a una declaración expresa en ese sentido y la consiguiente nulidad de la sentencia condenatoria.</w:t>
      </w:r>
    </w:p>
    <w:p w:rsidR="00C54F26" w:rsidRDefault="00C54F26" w:rsidP="00C54F26">
      <w:pPr>
        <w:pStyle w:val="TextoNormal"/>
      </w:pPr>
    </w:p>
    <w:p w:rsidR="00C54F26" w:rsidRDefault="00C54F26" w:rsidP="00C54F26">
      <w:pPr>
        <w:pStyle w:val="TextoNormal"/>
      </w:pPr>
      <w:r>
        <w:t>c) En un tercer apartado, el recurrente expresa los motivos por los que interesa su inmediata puesta en libertad, pese a que el Pleno de este Tribunal Constitucional ya le denegó esa petición. Al respecto, sostiene que concurre un hecho nuevo que justifica la reiteración de su solicitud; concretamente, la denegación por la justicia belga de la detención y entrega del Sr. Puig, hecho que “incide de lleno en varios de los motivos de la demanda de amparo”. Y añade que la petición de libertad se funda en las siguientes razones:</w:t>
      </w:r>
    </w:p>
    <w:p w:rsidR="00C54F26" w:rsidRDefault="00C54F26" w:rsidP="00C54F26">
      <w:pPr>
        <w:pStyle w:val="TextoNormal"/>
      </w:pPr>
    </w:p>
    <w:p w:rsidR="00C54F26" w:rsidRDefault="00C54F26" w:rsidP="00C54F26">
      <w:pPr>
        <w:pStyle w:val="TextoNormal"/>
      </w:pPr>
      <w:r>
        <w:t>(i) El demandante está a punto de cumplir tres de los diez años y seis meses de prisión a que ha sido condenado. Por ello, si no se suspende la ejecución, la eventual estimación del recurso de amparo se produciría cuando el demandante habría cumplido una parte importante de las penas impuestas, dado que el tiempo en que se tardaría en resolver el recurso de amparo sería previsiblemente superior a dos años, vista la extensión de los motivos planteados. Así pues, de no accederse a la suspensión que se interesa, el recurso de amparo perdería buena parte de su razón de ser y también resultarían afectados sus derechos políticos, al verse impedido de presentar su candidatura en procesos electorales futuros.</w:t>
      </w:r>
    </w:p>
    <w:p w:rsidR="00C54F26" w:rsidRDefault="00C54F26" w:rsidP="00C54F26">
      <w:pPr>
        <w:pStyle w:val="TextoNormal"/>
      </w:pPr>
    </w:p>
    <w:p w:rsidR="00C54F26" w:rsidRDefault="00C54F26" w:rsidP="00C54F26">
      <w:pPr>
        <w:pStyle w:val="TextoNormal"/>
      </w:pPr>
      <w:r>
        <w:t>(ii) En segundo término, sostiene que la concesión de la medida cautelar no ocasionaría perjuicio grave a ningún interés constitucionalmente protegido. Añade que ya ha disfrutado de permisos de salida y le ha sido aplicado el tercer grado penitenciario, sin que haya acontecido ninguna incidencia ni afectación del orden público. Por ello, afirma que “no resulta esperable a estas alturas ninguna conducta de sustracción de la acción judicial”, más aún si se tiene en cuenta el evidente arraigo del recurrente.</w:t>
      </w:r>
    </w:p>
    <w:p w:rsidR="00C54F26" w:rsidRDefault="00C54F26" w:rsidP="00C54F26">
      <w:pPr>
        <w:pStyle w:val="TextoNormal"/>
      </w:pPr>
    </w:p>
    <w:p w:rsidR="00C54F26" w:rsidRDefault="00C54F26" w:rsidP="00C54F26">
      <w:pPr>
        <w:pStyle w:val="TextoNormal"/>
      </w:pPr>
      <w:r>
        <w:t>(iii) También pone de manifiesto que, al afectar el delito por el que fue condenado a bienes jurídicos colectivos, la concesión de la suspensión no afectaría a ninguna persona concreta; y añade que el recurrente “no tiene pendiente ningún tipo de responsabilidad civil derivada de las resoluciones aquí cuestionadas”.</w:t>
      </w:r>
    </w:p>
    <w:p w:rsidR="00C54F26" w:rsidRDefault="00C54F26" w:rsidP="00C54F26">
      <w:pPr>
        <w:pStyle w:val="TextoNormal"/>
      </w:pPr>
    </w:p>
    <w:p w:rsidR="00C54F26" w:rsidRDefault="00C54F26" w:rsidP="00C54F26">
      <w:pPr>
        <w:pStyle w:val="TextoNormal"/>
      </w:pPr>
      <w:r w:rsidRPr="00C54F26">
        <w:rPr>
          <w:rStyle w:val="NumeroAFNegritaCaracter"/>
        </w:rPr>
        <w:t>3</w:t>
      </w:r>
      <w:r>
        <w:t>. Por diligencia de ordenación de fecha 18 de enero de 2021, la secretaría de justicia del Pleno de este tribunal acordó, conforme a lo dispuesto en el art. 56.4 LOTC, dar traslado de la solicitud del escrito presentado, por plazo común de tres días, al Ministerio Fiscal y demás partes personadas, a fin de que aleguen lo que estimen pertinente en relación con la petición de suspensión solicitada.</w:t>
      </w:r>
    </w:p>
    <w:p w:rsidR="00C54F26" w:rsidRDefault="00C54F26" w:rsidP="00C54F26">
      <w:pPr>
        <w:pStyle w:val="TextoNormal"/>
      </w:pPr>
    </w:p>
    <w:p w:rsidR="00C54F26" w:rsidRDefault="00C54F26" w:rsidP="00C54F26">
      <w:pPr>
        <w:pStyle w:val="TextoNormal"/>
      </w:pPr>
      <w:r w:rsidRPr="00C54F26">
        <w:rPr>
          <w:rStyle w:val="NumeroAFNegritaCaracter"/>
        </w:rPr>
        <w:t>4</w:t>
      </w:r>
      <w:r>
        <w:t>. El día 22 de enero de 2021 presentó sus alegaciones la abogacía del Estado. Tras resumir los antecedentes que consideró relevantes y sintetizar el contenido del escrito por el que se promueve este incidente, afirma que la resolución del tribunal belga no constituye una circunstancia sobrevenida a los efectos del art. 57 LOTC, requisito que considera necesario para proceder a una eventual modificación de lo resuelto en el ATC 59/2020. Además, conforme a lo establecido en los AATC 22/2018, 38/2018 y 131/2018, un pronunciamiento de este tribunal que modificase la denegación de la suspensión, a partir de la valoración de la posible vulneración del derecho al juez ordinario predeterminado por la ley o del derecho a la presunción de inocencia, supondría llevar a cabo un juicio anticipado sobre “el fondo de un litigio pendiente, que debe ser resuelto en la oportuna sentencia y no ahora en un auto relativo a la posible revisión de la suspensión no acordada”.</w:t>
      </w:r>
    </w:p>
    <w:p w:rsidR="00C54F26" w:rsidRDefault="00C54F26" w:rsidP="00C54F26">
      <w:pPr>
        <w:pStyle w:val="TextoNormal"/>
      </w:pPr>
    </w:p>
    <w:p w:rsidR="00C54F26" w:rsidRDefault="00C54F26" w:rsidP="00C54F26">
      <w:pPr>
        <w:pStyle w:val="TextoNormal"/>
      </w:pPr>
      <w:r>
        <w:t>En relación con las filtraciones a que se refiere el demandante, la abogacía del Estado estima con cita de la STC 69/2001, de 17 de marzo, que la garantía de imparcialidad, en su vertiente subjetiva, solamente podría verse afectada en el caso de que se acreditara que la opinión de alguno de los integrantes del tribunal esté condicionada por los hechos o circunstancias externas a la propia deliberación o, en su caso, que la filtración fuera encaminada a modificar lo previamente decidido. Y el demandante no alega que se haya producido ninguna de estas circunstancias. Por todo ello, la abogacía del Estado se opone a las pretensiones del recurrente.</w:t>
      </w:r>
    </w:p>
    <w:p w:rsidR="00C54F26" w:rsidRDefault="00C54F26" w:rsidP="00C54F26">
      <w:pPr>
        <w:pStyle w:val="TextoNormal"/>
      </w:pPr>
    </w:p>
    <w:p w:rsidR="00C54F26" w:rsidRDefault="00C54F26" w:rsidP="00C54F26">
      <w:pPr>
        <w:pStyle w:val="TextoNormal"/>
      </w:pPr>
      <w:r w:rsidRPr="00C54F26">
        <w:rPr>
          <w:rStyle w:val="NumeroAFNegritaCaracter"/>
        </w:rPr>
        <w:t>5</w:t>
      </w:r>
      <w:r>
        <w:t>. Por escrito presentado el 25 de enero de 2021, el partido político Vox formuló oposición a la pretensión de suspensión cautelar. Refiere que la medida que se interesa ya fue resuelta en su día, en sentido desestimatorio, citando al efecto el ATC 64/2020, de 17 de junio, recaído en el recurso de amparo núm. 1638-2020 promovido por don Joaquim Forn i Chiarello. Añade que la decisión adoptada por el tribunal belga “queda extra muros del procedimiento, en buena medida porque la justicia belga no tiene competencia alguna sobre el procedimiento judicial que se analiza” y porque la supuesta “vulneración de derechos” se refiere a un fugado que aún tiene que comparecer ante la justicia. Esta situación nada tiene que ver con la del recurrente, que ha sido condenado por sentencia firme, por lo que se trata de dos situaciones que no son comparables. Por ello, el tratamiento que debe dispensarse al presente caso debe ser diferente, debiéndose resaltar que en la solicitud no se indican los derechos vulnerados “ni se prueba la posible irreparabilidad” de los mismos, condición necesaria para poder otorgar la suspensión.</w:t>
      </w:r>
    </w:p>
    <w:p w:rsidR="00C54F26" w:rsidRDefault="00C54F26" w:rsidP="00C54F26">
      <w:pPr>
        <w:pStyle w:val="TextoNormal"/>
      </w:pPr>
    </w:p>
    <w:p w:rsidR="00C54F26" w:rsidRDefault="00C54F26" w:rsidP="00C54F26">
      <w:pPr>
        <w:pStyle w:val="TextoNormal"/>
      </w:pPr>
      <w:r>
        <w:t>En segundo término, sostiene que en esta pieza no proceden las alegaciones sobre las supuestas filtraciones de información u opiniones, sobre todo porque vienen referidas al recurso de amparo interpuesto por doña Meritxell Borrás.</w:t>
      </w:r>
    </w:p>
    <w:p w:rsidR="00C54F26" w:rsidRDefault="00C54F26" w:rsidP="00C54F26">
      <w:pPr>
        <w:pStyle w:val="TextoNormal"/>
      </w:pPr>
    </w:p>
    <w:p w:rsidR="00C54F26" w:rsidRDefault="00C54F26" w:rsidP="00C54F26">
      <w:pPr>
        <w:pStyle w:val="TextoNormal"/>
      </w:pPr>
      <w:r>
        <w:t>Finalmente, pone de relieve que no concurren los requisitos para acordar la puesta en libertad del demandante. Sobre este particular, señala que este último no aclara cuál es la afectación a los derechos fundamentales ni su posible reparación. Rechaza que se haya producido vulneración de derecho fundamental alguno, puesto que la aplicación de la ley no puede vulnerar derechos, por mucho que se quiera “disfrazar de una condena por motivos políticos”. Y en relación con las circunstancias concretas por las que aquel reitera la solicitud de medida cautelar, se remite al ATC 57/2020 dictado en el recurso de amparo núm. 1403-2020 promovido por don Jordi Turull i Negre, y transcribe parte de la fundamentación jurídica del citado auto, en la que se funda la desestimación de la inicial solicitud de suspensión cautelar de aquel recurrente. En cambio, en este escrito de alegaciones nada se dice del ATC 59/2020, de 17 de junio, que denegó la suspensión instada por el demandante del presente recurso de amparo núm. 1407-2020, como se indicó en el antecedente 1.</w:t>
      </w:r>
    </w:p>
    <w:p w:rsidR="00C54F26" w:rsidRDefault="00C54F26" w:rsidP="00C54F26">
      <w:pPr>
        <w:pStyle w:val="TextoNormal"/>
      </w:pPr>
    </w:p>
    <w:p w:rsidR="00C54F26" w:rsidRDefault="00C54F26" w:rsidP="00C54F26">
      <w:pPr>
        <w:pStyle w:val="TextoNormal"/>
      </w:pPr>
      <w:r w:rsidRPr="00C54F26">
        <w:rPr>
          <w:rStyle w:val="NumeroAFNegritaCaracter"/>
        </w:rPr>
        <w:t>6</w:t>
      </w:r>
      <w:r>
        <w:t>. En fecha 9 de febrero presentó sus alegaciones el fiscal, quien interesó la desestimación de lo interesado. Tras resumir los términos de la pretensión del recurrente y recordar que, por ATC 59/2020, de 17 de junio, ya fue denegada la suspensión de los efectos de la sentencia condenatoria, manifiesta que la petición de aquel se sustenta en la concurrencia de “un hecho nuevo”, que surge a raíz de la resolución del Tribunal de Apelación de Bruselas, que denegó la entrega a España de don Lluís Puig.</w:t>
      </w:r>
    </w:p>
    <w:p w:rsidR="00C54F26" w:rsidRDefault="00C54F26" w:rsidP="00C54F26">
      <w:pPr>
        <w:pStyle w:val="TextoNormal"/>
      </w:pPr>
    </w:p>
    <w:p w:rsidR="00C54F26" w:rsidRDefault="00C54F26" w:rsidP="00C54F26">
      <w:pPr>
        <w:pStyle w:val="TextoNormal"/>
      </w:pPr>
      <w:r>
        <w:t>Afirma que el demandante funda su petición en la apariencia de buen derecho que infiere del contenido de la resolución del tribunal belga. Pero como se indica en el FJ 2 del ATC 128/2018,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w:t>
      </w:r>
    </w:p>
    <w:p w:rsidR="00C54F26" w:rsidRDefault="00C54F26" w:rsidP="00C54F26">
      <w:pPr>
        <w:pStyle w:val="TextoNormal"/>
      </w:pPr>
    </w:p>
    <w:p w:rsidR="00C54F26" w:rsidRDefault="00C54F26" w:rsidP="00C54F26">
      <w:pPr>
        <w:pStyle w:val="TextoNormal"/>
      </w:pPr>
      <w:r>
        <w:lastRenderedPageBreak/>
        <w:t>Añade que el recurrente pretende que, con apoyo en la resolución del tribunal belga, se dicte un pronunciamiento sobre el fondo respecto de alguno de los motivos alegados en la demanda de amparo, tales como la lesión del derecho al juez ordinario predeterminado por la ley o del derecho a la presunción de inocencia. Y al respecto señala que, al margen “del valor que quiere darse a una resolución dictada por un tercer país en el marco del cumplimiento de una orden europea de detención y entrega”, en el ATC 57/2019, FJ 5 b) [cita en realidad el ATC 57/2020, FJ 5 b), dictado en el recurso de amparo núm. 1403-2020] ya se descartó la posibilidad de formular un pronunciamiento anticipado, en el incidente de suspensión, de lo que constituye el objeto del recurso de amparo. A su vez, afirma que las referencias a las filtraciones periodísticas que el demandante efectúa también son completamente ajenas al incidente de suspensión.</w:t>
      </w:r>
    </w:p>
    <w:p w:rsidR="00C54F26" w:rsidRDefault="00C54F26" w:rsidP="00C54F26">
      <w:pPr>
        <w:pStyle w:val="TextoNormal"/>
      </w:pPr>
    </w:p>
    <w:p w:rsidR="00C54F26" w:rsidRDefault="00C54F26" w:rsidP="00C54F26">
      <w:pPr>
        <w:pStyle w:val="TextoNormal"/>
      </w:pPr>
      <w:r>
        <w:t>Respecto de las restantes alegaciones del recurrente, el fiscal considera que no presentan ninguna novedad respecto de las invocadas en su primera petición de suspensión, las cuales fueron desestimadas en el “ATC 57/2019, de 17 de junio” (ahora quiere decir, ATC 59/2020, de 17 de junio, recaído en el presente recurso de amparo), cuya argumentación sintetiza a continuación.</w:t>
      </w:r>
    </w:p>
    <w:p w:rsidR="00C54F26" w:rsidRDefault="00C54F26" w:rsidP="00C54F26">
      <w:pPr>
        <w:pStyle w:val="TextoNormal"/>
      </w:pPr>
    </w:p>
    <w:p w:rsidR="00C54F26" w:rsidRDefault="00C54F26" w:rsidP="00C54F26">
      <w:pPr>
        <w:pStyle w:val="TextoNormal"/>
      </w:pPr>
      <w:r w:rsidRPr="00C54F26">
        <w:rPr>
          <w:rStyle w:val="NumeroAFNegritaCaracter"/>
        </w:rPr>
        <w:t>7</w:t>
      </w:r>
      <w:r>
        <w:t>. Con fecha 17 de febrero de 2021, el representante procesal del aquí recurrente presentó escrito de alegaciones por el que constata que ha “transcurrido prácticamente un mes” desde que se dictó la diligencia de ordenación antedicha de 18 de enero de 2021 que acordaba dar traslado a las partes personadas y al Ministerio Fiscal de la nueva solicitud de suspensión de la sentencia condenatoria, “sin que a día de hoy se haya evacuado el traslado conferido salvo error u omisión”. Por tal razón interesa “que se proceda a resolver de manera urgente sobre la medida cautelar interesada de conformidad con lo dispuesto en los artículos 24 CE y 6 CEDH”, y luego en el suplico, que se resuelva “a la mayor brevedad”.</w:t>
      </w:r>
    </w:p>
    <w:p w:rsidR="00C54F26" w:rsidRDefault="00C54F26" w:rsidP="00C54F26">
      <w:pPr>
        <w:pStyle w:val="TextoNormal"/>
      </w:pPr>
    </w:p>
    <w:p w:rsidR="00C54F26" w:rsidRDefault="00C54F26" w:rsidP="00C54F26">
      <w:pPr>
        <w:pStyle w:val="TextoNormal"/>
      </w:pPr>
      <w:r>
        <w:t>De dicho escrito dejó constancia la diligencia de la secretaría de justicia del Pleno, de 18 de febrero de 2021, quedando unido a las actuaciones y pasando a dar cuenta al magistrado ponente.</w:t>
      </w:r>
    </w:p>
    <w:p w:rsidR="00C54F26" w:rsidRDefault="00C54F26" w:rsidP="00C54F26">
      <w:pPr>
        <w:pStyle w:val="TextoNormal"/>
      </w:pPr>
    </w:p>
    <w:p w:rsidR="00C54F26" w:rsidRDefault="00C54F26" w:rsidP="00C54F26">
      <w:pPr>
        <w:pStyle w:val="TextoNormal"/>
      </w:pPr>
      <w:r w:rsidRPr="00C54F26">
        <w:rPr>
          <w:rStyle w:val="NumeroAFNegritaCaracter"/>
        </w:rPr>
        <w:t>8</w:t>
      </w:r>
      <w:r>
        <w:t>. Con fecha 25 de febrero de 2021 consta diligencia de la secretaría de justicia del Pleno, del siguiente tenor: “Para hacer constar que, habiéndose dictado en la pieza de recusación dimanante del recurso de amparo núm. 5382-2019 auto de fecha 16 de febrero de 2021, por el que se acuerda aceptar la abstención formulada por el magistrado don Antonio Narváez Rodríguez para el conocimiento del presente recurso de amparo y archivar la pieza separada de recusación dimanante del mismo, se une a las actuaciones copia del citado auto, junto con el escrito de abstención del señor Narváez, y se procede a su notificación a las partes. Así mismo, se lleva copia del auto y del escrito tanto a la pieza separada de recusación como a la pieza separada de suspensión”.</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la presente resolución consiste en dilucidar si concurren los requisitos necesarios para modificar la denegación de la suspensión de la sentencia condenatoria dictada contra el recurrente; denegación que fue acordada en el ATC 59/2020, de 17 de junio.</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2</w:t>
      </w:r>
      <w:r>
        <w:t>. Aunque el recurrente ha fundamentado esta nueva solicitud de suspensión de la ejecución en el art. 56.4 LOTC, tal pretensión se debe encuadrar en lo dispuesto en art. 57 LOTC, conforme al cual “[l]a suspensión o 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00C54F26" w:rsidRDefault="00C54F26" w:rsidP="00C54F26">
      <w:pPr>
        <w:pStyle w:val="TextoNormal"/>
      </w:pPr>
    </w:p>
    <w:p w:rsidR="00C54F26" w:rsidRDefault="00C54F26" w:rsidP="00C54F26">
      <w:pPr>
        <w:pStyle w:val="TextoNormal"/>
      </w:pPr>
      <w:r>
        <w:t>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(AATC 125/2014, de 5 de mayo, FJ 2, y 433/2004, 15 de noviembre, FJ 1).</w:t>
      </w:r>
    </w:p>
    <w:p w:rsidR="00C54F26" w:rsidRDefault="00C54F26" w:rsidP="00C54F26">
      <w:pPr>
        <w:pStyle w:val="TextoNormal"/>
      </w:pPr>
    </w:p>
    <w:p w:rsidR="00C54F26" w:rsidRDefault="00C54F26" w:rsidP="00C54F26">
      <w:pPr>
        <w:pStyle w:val="TextoNormal"/>
      </w:pPr>
      <w:r w:rsidRPr="00C54F26">
        <w:rPr>
          <w:rStyle w:val="NumeroAFNegritaCaracter"/>
        </w:rPr>
        <w:t>3</w:t>
      </w:r>
      <w:r>
        <w:t>. La solicitud del demandante presenta varios aspectos diferenciados:</w:t>
      </w:r>
    </w:p>
    <w:p w:rsidR="00C54F26" w:rsidRDefault="00C54F26" w:rsidP="00C54F26">
      <w:pPr>
        <w:pStyle w:val="TextoNormal"/>
      </w:pPr>
    </w:p>
    <w:p w:rsidR="00C54F26" w:rsidRDefault="00C54F26" w:rsidP="00C54F26">
      <w:pPr>
        <w:pStyle w:val="TextoNormal"/>
      </w:pPr>
      <w:r>
        <w:t>a) Una primera parte guarda relación con las consecuencias que extrae de la denegación por la autoridad judicial belga de la orden europea de detención y entrega relativa a don Lluis Puig; principalmente, la evidencia de la vulneración del derecho al juez ordinario predeterminado por la ley, que también denunció en su demanda de amparo, así como la lesión del derecho a la presunción de inocencia por el constante incumplimiento del secreto de las deliberaciones que, en la actualidad, también acontece en el seno del Tribunal Constitucional, en los términos reflejados en los antecedentes.</w:t>
      </w:r>
    </w:p>
    <w:p w:rsidR="00C54F26" w:rsidRDefault="00C54F26" w:rsidP="00C54F26">
      <w:pPr>
        <w:pStyle w:val="TextoNormal"/>
      </w:pPr>
    </w:p>
    <w:p w:rsidR="00C54F26" w:rsidRDefault="00C54F26" w:rsidP="00C54F26">
      <w:pPr>
        <w:pStyle w:val="TextoNormal"/>
      </w:pPr>
      <w:r>
        <w:t xml:space="preserve">En relación con este primer bloque argumental basta decir que, de conformidad con la doctrina constitucional, la temática que suscita el demandante resulta ajena a las circunstancias determinantes para dirimir sobre la concesión de la medida cautelar interesada, por lo que tampoco pueden ser consideradas circunstancias sobrevenidas a los efectos previstos en el art. 57 LOTC. Sin perjuicio de que lo acordado por el tribunal belga, en modo alguno vincula o condiciona a este tribunal para la resolución de los recursos de amparo que traen causa de la sentencia condenatoria cuya suspensión se interesa, cabe añadir que las consecuencias que el demandante aduce atañen a lesiones ya denunciadas en la demanda, por lo que en puridad constituyen el fondo del presente recurso. Siendo así, basta con remitirnos a la doctrina reflejada en el FJ 5 b) del ATC 59/2020, de 17 de junio, en el que reiteramos que la apariencia de buen derecho o </w:t>
      </w:r>
      <w:r w:rsidRPr="00C54F26">
        <w:rPr>
          <w:i/>
        </w:rPr>
        <w:t>fumus boni iuris</w:t>
      </w:r>
      <w:r>
        <w:t xml:space="preserve"> no es un factor a tener en cuenta de cara a resolver sobre la suspensión cautelar, pues ello supondría anticipar una respuesta provisional sobre el resultado del recurso de amparo.</w:t>
      </w:r>
    </w:p>
    <w:p w:rsidR="00C54F26" w:rsidRDefault="00C54F26" w:rsidP="00C54F26">
      <w:pPr>
        <w:pStyle w:val="TextoNormal"/>
      </w:pPr>
    </w:p>
    <w:p w:rsidR="00C54F26" w:rsidRDefault="00C54F26" w:rsidP="00C54F26">
      <w:pPr>
        <w:pStyle w:val="TextoNormal"/>
      </w:pPr>
      <w:r>
        <w:t>b) En segundo lugar, la denuncia relativa a la ruptura del secreto de las deliberaciones, dadas las constantes filtraciones a que se alude, carece de relevancia a efectos de dilucidar sobre la medida cautelar solicitada. En el contexto propio del incidente de suspensión, los extremos denunciados son completamente ajenos a los que deben tenerse en cuenta para resolver sobre lo pedido, pues no guardan relación con el aspecto al que de manera primordial hay que atender; esto es, la necesidad de salvaguardar la efectividad de la resolución que ponga fin al recurso de amparo, evitando que la ejecución del acto o sentencia recurridos pueda hacerle perder su finalidad.</w:t>
      </w:r>
    </w:p>
    <w:p w:rsidR="00C54F26" w:rsidRDefault="00C54F26" w:rsidP="00C54F26">
      <w:pPr>
        <w:pStyle w:val="TextoNormal"/>
      </w:pPr>
    </w:p>
    <w:p w:rsidR="00C54F26" w:rsidRDefault="00C54F26" w:rsidP="00C54F26">
      <w:pPr>
        <w:pStyle w:val="TextoNormal"/>
      </w:pPr>
      <w:r>
        <w:lastRenderedPageBreak/>
        <w:t>c) En un tercer apartado el recurrente enumera las razones por las que reitera la concesión de la medida cautelar, que ya interesó anteriormente y que fue desestimada por este tribunal. En lo esencial, esos motivos ya se plantearon en la petición inicial de suspensión de la sentencia condenatoria y fueron refutados en el ATC 59/2020 ya mencionado; y al ser nuevamente traídos a colación, la respuesta que cumple dar no varía, como a continuación se expone.</w:t>
      </w:r>
    </w:p>
    <w:p w:rsidR="00C54F26" w:rsidRDefault="00C54F26" w:rsidP="00C54F26">
      <w:pPr>
        <w:pStyle w:val="TextoNormal"/>
      </w:pPr>
    </w:p>
    <w:p w:rsidR="00C54F26" w:rsidRDefault="00C54F26" w:rsidP="00C54F26">
      <w:pPr>
        <w:pStyle w:val="TextoNormal"/>
      </w:pPr>
      <w:r>
        <w:t>Pese al tiempo transcurrido desde el pasado 17 de junio de 2020, fecha en que se denegó la primera suspensión solicitada, las razones entonces dadas para descartar que el tiempo de sustanciación del recurso de amparo podría provocar la pérdida de la finalidad del recurso de amparo (ATC 59/2020, FJ 4) permanecen incólumes. Aun cuando se tenga en cuenta la privación de libertad ya cumplida y el tiempo que se vaya a consumir hasta la resolución del recurso de amparo, cuya cuantificación por el recurrente es una mera suposición, lo cierto es que, dada la gravedad de la pena impuesta (diez años y seis meses de prisión), no se constata el riesgo de pérdida de finalidad del recurso de amparo que el demandante advierte, puesto que la pena de prisión que aun restaría por cumplir supera claramente los cinco años; límite temporal que como regla general ha establecido nuestra doctrina para acceder a la suspensión cautelar de las penas de prisión.</w:t>
      </w:r>
    </w:p>
    <w:p w:rsidR="00C54F26" w:rsidRDefault="00C54F26" w:rsidP="00C54F26">
      <w:pPr>
        <w:pStyle w:val="TextoNormal"/>
      </w:pPr>
    </w:p>
    <w:p w:rsidR="00C54F26" w:rsidRDefault="00C54F26" w:rsidP="00C54F26">
      <w:pPr>
        <w:pStyle w:val="TextoNormal"/>
      </w:pPr>
      <w:r>
        <w:t>Asimismo, debemos dar por reproducida la argumentación expresada en el auto antes mencionado, a fin de rechazar la suspensión cautelar de la pena de inhabilitación absoluta, [concretamente, en el fundamento jurídico 5 a)]. Entonces pusimos de relieve que la extensión temporal de esa pena es tal, que la ejecución de la misma mientras se sustancia el presente recurso no determina la pérdida de su finalidad, amén de constatar la prevalencia del interés general que comporta su ejecución.</w:t>
      </w:r>
    </w:p>
    <w:p w:rsidR="00C54F26" w:rsidRDefault="00C54F26" w:rsidP="00C54F26">
      <w:pPr>
        <w:pStyle w:val="TextoNormal"/>
      </w:pPr>
    </w:p>
    <w:p w:rsidR="00C54F26" w:rsidRDefault="00C54F26" w:rsidP="00C54F26">
      <w:pPr>
        <w:pStyle w:val="TextoNormal"/>
      </w:pPr>
      <w:r>
        <w:t>Finalmente, también reiteramos las razones reflejadas en el fundamento jurídico 4 del ATC 59/2020, acerca de la relevancia del riesgo de eludir la acción de la justicia. Afirmamos entonces que, de concurrir ese peligro, necesariamente debería denegarse la suspensión cautelar de la pena privativa de libertad. Pero también sostuvimos que la ausencia de ese riesgo no determina, de por sí, que la suspensión deba otorgarse pues “[…]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pues conforme a la doctrina establecida por este tribunal también deben concurrir los restantes requisitos”.</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medida cautelar de suspensión interesada.</w:t>
      </w:r>
    </w:p>
    <w:p w:rsidR="00C54F26" w:rsidRDefault="00C54F26" w:rsidP="00C54F26">
      <w:pPr>
        <w:pStyle w:val="TextoNormal"/>
      </w:pPr>
    </w:p>
    <w:p w:rsidR="00C54F26" w:rsidRDefault="00C54F26" w:rsidP="00C54F26">
      <w:pPr>
        <w:pStyle w:val="TextoNormal"/>
      </w:pPr>
      <w:r>
        <w:t>Madrid, a dieciséis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3" w:name="AUTO_2021_32"/>
      <w:r>
        <w:lastRenderedPageBreak/>
        <w:t>AUTO 32/2021, de 16 de marzo de 2021</w:t>
      </w:r>
    </w:p>
    <w:bookmarkEnd w:id="173"/>
    <w:p w:rsidR="00C54F26" w:rsidRDefault="00C54F26" w:rsidP="00C54F26">
      <w:pPr>
        <w:pStyle w:val="TtuloResolucin"/>
      </w:pPr>
      <w:r>
        <w:t>Pleno</w:t>
      </w:r>
    </w:p>
    <w:p w:rsidR="00C54F26" w:rsidRDefault="00C54F26" w:rsidP="00C54F26">
      <w:pPr>
        <w:pStyle w:val="TextoNormalCentrado"/>
      </w:pPr>
      <w:r>
        <w:t>ECLI:ES:TC:2021:32A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en el recurso de amparo 1638-2020, promovido por don Joaquim Forn i Chiariello,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12 de marzo de 2020, el procurador de los tribunales don Carlos Estévez Sanz, en nombre y representación de don Joaquim Forn i Chiariello, interpuso recurso de amparo contra: i) la sentencia núm. 459/2019, de 14 de octubre, de la Sala Segunda del Tribunal Supremo, en cuya virtud el recurrente resultó condenado como autor de un delito de sedición de los arts. 544 y 545.1 del Código penal (CP), a la pena de diez años y seis meses de prisión y diez años y seis meses de inhabilitación absoluta, con privación definitiva de todos los honores, empleos y cargos públicos, aunque sean electivos, e incapacidad para obtener los mismos o cualesquiera honores, cargos o empleos públicos y la de ser elegido para cargo público durante el tiempo de la condena; ii) y el auto del mismo órgano judicial, de fecha 29 de enero del 2020, que desestimó los incidentes de nulidad de actuaciones formulados contra aquella, entre ellos el interpuesto por el recurrente de amparo. El recurso de amparo fue registrado con el núm. 1638-2020.</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En la demanda de amparo se alegaron las vulneraciones de los siguientes derechos: del derecho al juez predeterminado por la ley [arts. 24.2 CE y 6 del Convenio europeo para la protección de los derechos humanos y de las libertades fundamentales (CEDH)], por haberse atribuido la competencia para la instrucción y enjuiciamiento de la causa al Tribunal Supremo; del derecho de defensa por la escisión del procedimiento a la Audiencia Nacional y por denegación de incorporación de pruebas pertinentes solicitadas en tiempo y forma; del derecho de defensa, en particular del principio de contradicción, por no permitirse la reproducción de grabaciones durante las declaraciones testificales; del principio de legalidad (art. 25.1 CE) en la aplicación del art. 544 CP; del principio de legalidad (art. 25.1 CE) por aplicarse el art. 545.1 CP sin la concurrencia de la sedición en los términos descritos por el art. 544 CP; del derecho a la legalidad penal (art. 25.1 CE) en relación con la libertad de expresión (art. 20 CE), reunión y manifestación (art. 21 CE), la libertad ideológica (art. 16 CE) y el derecho a la participación política (art. 23.1 CE); del principio de legalidad (art. 25.1 CE) o, alternativamente, de la presunción de inocencia (art. 24.2 CE) por no concurrir en los hechos probados los elementos fácticos suficientes que den sustento a la condición de autor del recurrente y del art. 25.1 CE por infracción del principio </w:t>
      </w:r>
      <w:r w:rsidRPr="00C54F26">
        <w:rPr>
          <w:i/>
        </w:rPr>
        <w:t>non bis in idem</w:t>
      </w:r>
      <w:r>
        <w:t>.</w:t>
      </w:r>
    </w:p>
    <w:p w:rsidR="00C54F26" w:rsidRDefault="00C54F26" w:rsidP="00C54F26">
      <w:pPr>
        <w:pStyle w:val="TextoNormal"/>
      </w:pPr>
    </w:p>
    <w:p w:rsidR="00C54F26" w:rsidRDefault="00C54F26" w:rsidP="00C54F26">
      <w:pPr>
        <w:pStyle w:val="TextoNormal"/>
      </w:pPr>
      <w:r>
        <w:t>Por otrosí interesó que, conforme a lo dispuesto en el art. 56 de la Ley Orgánica del Tribunal Constitucional (LOTC), se acordara la suspensión cautelar de la pena.</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Por providencia de fecha 6 de mayo de 2020, el Pleno de este tribunal acordó la admisión a trámite del presente recurso de amparo y recabó para sí el conocimiento del mismo. Al no apreciar la urgencia excepcional exigida por el art. 56.6 LOTC, se rechazó acordar la suspensión </w:t>
      </w:r>
      <w:r w:rsidRPr="00C54F26">
        <w:rPr>
          <w:i/>
        </w:rPr>
        <w:t>inaudita parte</w:t>
      </w:r>
      <w:r>
        <w:t xml:space="preserve"> y de forma inmotivada. Asimismo, de conformidad con lo prevenido en el art. 56 LOTC, por providencia de la misma fecha se resolvió conceder un plazo común de tres días al Ministerio Fiscal y al solicitante del amparo, para que, dentro de dicho término, aleguen lo que estimen pertinente en relación con la suspensión interesada.</w:t>
      </w:r>
    </w:p>
    <w:p w:rsidR="00C54F26" w:rsidRDefault="00C54F26" w:rsidP="00C54F26">
      <w:pPr>
        <w:pStyle w:val="TextoNormal"/>
      </w:pPr>
    </w:p>
    <w:p w:rsidR="00C54F26" w:rsidRDefault="00C54F26" w:rsidP="00C54F26">
      <w:pPr>
        <w:pStyle w:val="TextoNormal"/>
      </w:pPr>
      <w:r w:rsidRPr="00C54F26">
        <w:rPr>
          <w:rStyle w:val="NumeroAFNegritaCaracter"/>
        </w:rPr>
        <w:t>4</w:t>
      </w:r>
      <w:r>
        <w:t>. Por ATC 64/2020, de 17 de junio, se acordó denegar la petición de suspensión de las resoluciones impugnadas.</w:t>
      </w:r>
    </w:p>
    <w:p w:rsidR="00C54F26" w:rsidRDefault="00C54F26" w:rsidP="00C54F26">
      <w:pPr>
        <w:pStyle w:val="TextoNormal"/>
      </w:pPr>
    </w:p>
    <w:p w:rsidR="00C54F26" w:rsidRDefault="00C54F26" w:rsidP="00C54F26">
      <w:pPr>
        <w:pStyle w:val="TextoNormal"/>
      </w:pPr>
      <w:r w:rsidRPr="00C54F26">
        <w:rPr>
          <w:rStyle w:val="NumeroAFNegritaCaracter"/>
        </w:rPr>
        <w:t>5</w:t>
      </w:r>
      <w:r>
        <w:t>. El 14 de enero de 2021 el procurador de los tribunales, don Carlos Estévez Sanz, en nombre y representación de don Joaquim Forn i Chiariello, presentó escrito reiterando su solicitud de suspensión de los efectos de la sentencia del Tribunal Supremo de 14 de octubre de 2019 mientras no se resuelva el recurso de amparo interpuesto.</w:t>
      </w:r>
    </w:p>
    <w:p w:rsidR="00C54F26" w:rsidRDefault="00C54F26" w:rsidP="00C54F26">
      <w:pPr>
        <w:pStyle w:val="TextoNormal"/>
      </w:pPr>
    </w:p>
    <w:p w:rsidR="00C54F26" w:rsidRDefault="00C54F26" w:rsidP="00C54F26">
      <w:pPr>
        <w:pStyle w:val="TextoNormal"/>
      </w:pPr>
      <w:r>
        <w:t>Señala que la reiteración de su petición tiene como base un nuevo hecho que no pudo ser tenido en cuenta a la hora de dictar el ATC 64/2020: la sentencia del Tribunal de Apelación de Bruselas núm. 2021/79, de 7 de enero, por la cual se deniega definitivamente la entrega a las autoridades españolas del exconseller don Lluis Puig i Gordi. Dicha sentencia ha devenido firme tras la renuncia de la fiscalía del Reino de Bélgica de interponer recurso contra la misma.</w:t>
      </w:r>
    </w:p>
    <w:p w:rsidR="00C54F26" w:rsidRDefault="00C54F26" w:rsidP="00C54F26">
      <w:pPr>
        <w:pStyle w:val="TextoNormal"/>
      </w:pPr>
    </w:p>
    <w:p w:rsidR="00C54F26" w:rsidRDefault="00C54F26" w:rsidP="00C54F26">
      <w:pPr>
        <w:pStyle w:val="TextoNormal"/>
      </w:pPr>
      <w:r>
        <w:t>A su juicio, la resolución del tribunal belga es relevante por cuanto la solicitud de entrega del citado exconseller era para proceder al enjuiciamiento de hechos que habría cometido conjuntamente con su representado y el resto de condenados en la sentencia cuya suspensión se solicita. Por ello, considera que pueden hacerse extensivos al presente recurso de amparo los argumentos y conclusiones contenidos en la citada sentencia del Tribunal de Apelación de Bruselas.</w:t>
      </w:r>
    </w:p>
    <w:p w:rsidR="00C54F26" w:rsidRDefault="00C54F26" w:rsidP="00C54F26">
      <w:pPr>
        <w:pStyle w:val="TextoNormal"/>
      </w:pPr>
    </w:p>
    <w:p w:rsidR="00C54F26" w:rsidRDefault="00C54F26" w:rsidP="00C54F26">
      <w:pPr>
        <w:pStyle w:val="TextoNormal"/>
      </w:pPr>
      <w:r>
        <w:t>Así, en primer lugar señala que la justicia del Reino de Bélgica ha concluido que el dictado de la orden de detención y entrega del señor Puig vulneró su derecho al juez predeterminado por la ley. En la fundamentación para llegar a tal conclusión afirma que el Tribunal Supremo carece de competencia territorial para juzgar al señor Puig, lo que además le privaba de su derecho a la doble instancia.</w:t>
      </w:r>
    </w:p>
    <w:p w:rsidR="00C54F26" w:rsidRDefault="00C54F26" w:rsidP="00C54F26">
      <w:pPr>
        <w:pStyle w:val="TextoNormal"/>
      </w:pPr>
    </w:p>
    <w:p w:rsidR="00C54F26" w:rsidRDefault="00C54F26" w:rsidP="00C54F26">
      <w:pPr>
        <w:pStyle w:val="TextoNormal"/>
      </w:pPr>
      <w:r>
        <w:t>En segundo lugar, pone de relieve otra conclusión a la que, según señala, llega el Tribunal de Apelación de Bruselas: la existencia de un grave riesgo de violación de la presunción de inocencia.</w:t>
      </w:r>
    </w:p>
    <w:p w:rsidR="00C54F26" w:rsidRDefault="00C54F26" w:rsidP="00C54F26">
      <w:pPr>
        <w:pStyle w:val="TextoNormal"/>
      </w:pPr>
    </w:p>
    <w:p w:rsidR="00C54F26" w:rsidRDefault="00C54F26" w:rsidP="00C54F26">
      <w:pPr>
        <w:pStyle w:val="TextoNormal"/>
      </w:pPr>
      <w:r>
        <w:t xml:space="preserve">Indica que estamos, por tanto, ante un potente indicio sobre la posibilidad de que con la sentencia del Tribunal Supremo se haya vulnerado el derecho al juez ordinario predeterminado por la ley y a la presunción de inocencia. En definitiva, afirma que aunque es evidente </w:t>
      </w:r>
      <w:r>
        <w:lastRenderedPageBreak/>
        <w:t>que el Tribunal Constitucional puede emitir un fallo distinto al del Tribunal de Apelación de Bruselas, a su juicio a la hora de realizar un pronunciamiento preliminar como el de la suspensión cautelar de la condena, no se puede dejar de tener en cuenta la opinión imparcial sobre la cuestión de la administración de justicia de un estado miembro de la Unión Europea.</w:t>
      </w:r>
    </w:p>
    <w:p w:rsidR="00C54F26" w:rsidRDefault="00C54F26" w:rsidP="00C54F26">
      <w:pPr>
        <w:pStyle w:val="TextoNormal"/>
      </w:pPr>
    </w:p>
    <w:p w:rsidR="00C54F26" w:rsidRDefault="00C54F26" w:rsidP="00C54F26">
      <w:pPr>
        <w:pStyle w:val="TextoNormal"/>
      </w:pPr>
      <w:r>
        <w:t>Otro indicio de que la sentencia del Tribunal Supremo ha vulnerado los derechos fundamentales del recurrente es, a su juicio, la firmeza de la sentencia núm. 20/2020 de la Sección Primera de la Sala de lo Penal de la Audiencia Nacional de 21 de octubre de 2020.</w:t>
      </w:r>
    </w:p>
    <w:p w:rsidR="00C54F26" w:rsidRDefault="00C54F26" w:rsidP="00C54F26">
      <w:pPr>
        <w:pStyle w:val="TextoNormal"/>
      </w:pPr>
    </w:p>
    <w:p w:rsidR="00C54F26" w:rsidRDefault="00C54F26" w:rsidP="00C54F26">
      <w:pPr>
        <w:pStyle w:val="TextoNormal"/>
      </w:pPr>
      <w:r>
        <w:t>Por último, insiste en que la complejidad del recurso interpuesto hace prever que su resolución se demore todavía por un considerable período que prolongará la situación de privación de libertad que sufre desde hace más de tres años. Es la previsible demora en la resolución del recurso lo que, a su criterio, hace necesario el acuerdo de suspensión interesado. De lo contrario, el mantenimiento de la situación de privación de libertad supondría un perjuicio que no podría ser reparado con una eventual estimación del recurso.</w:t>
      </w:r>
    </w:p>
    <w:p w:rsidR="00C54F26" w:rsidRDefault="00C54F26" w:rsidP="00C54F26">
      <w:pPr>
        <w:pStyle w:val="TextoNormal"/>
      </w:pPr>
    </w:p>
    <w:p w:rsidR="00C54F26" w:rsidRDefault="00C54F26" w:rsidP="00C54F26">
      <w:pPr>
        <w:pStyle w:val="TextoNormal"/>
      </w:pPr>
      <w:r>
        <w:t>Añade que no existe riesgo de perturbación grave a ningún interés constitucionalmente protegido ni de los derechos de otros ciudadanos. Indica que ha disfrutado de varios permisos penitenciarios, ha trabajado fuera del centro penitenciario e incluso ha cumplido una parte de su condena clasificado en tercer grado sin causar incidencia alguna. Su conducta ha sido ejemplar lo que pone de manifiesto que no tiene intención alguna de quebrantar su condena o sustraerse del control del centro penitenciario o los tribunales.</w:t>
      </w:r>
    </w:p>
    <w:p w:rsidR="00C54F26" w:rsidRDefault="00C54F26" w:rsidP="00C54F26">
      <w:pPr>
        <w:pStyle w:val="TextoNormal"/>
      </w:pPr>
    </w:p>
    <w:p w:rsidR="00C54F26" w:rsidRDefault="00C54F26" w:rsidP="00C54F26">
      <w:pPr>
        <w:pStyle w:val="TextoNormal"/>
      </w:pPr>
      <w:r w:rsidRPr="00C54F26">
        <w:rPr>
          <w:rStyle w:val="NumeroAFNegritaCaracter"/>
        </w:rPr>
        <w:t>6</w:t>
      </w:r>
      <w:r>
        <w:t>. Por diligencia de ordenación del secretario de Justicia del Pleno de 18 de enero de 2021, se acuerda unir a la pieza separada de suspensión del presente procedimiento el escrito presentado por el procurador don Carlos Ricardo Estévez Sanz, en representación de don Joaquim Forn i Chiarello y, conforme dispone el art. 56.4 LOTC, dar traslado del mismo, por plazo común de tres días, al Ministerio Fiscal y demás partes personadas, a fin de que aleguen lo que estimen pertinente en relación con la petición de suspensión solicitada.</w:t>
      </w:r>
    </w:p>
    <w:p w:rsidR="00C54F26" w:rsidRDefault="00C54F26" w:rsidP="00C54F26">
      <w:pPr>
        <w:pStyle w:val="TextoNormal"/>
      </w:pPr>
    </w:p>
    <w:p w:rsidR="00C54F26" w:rsidRDefault="00C54F26" w:rsidP="00C54F26">
      <w:pPr>
        <w:pStyle w:val="TextoNormal"/>
      </w:pPr>
      <w:r w:rsidRPr="00C54F26">
        <w:rPr>
          <w:rStyle w:val="NumeroAFNegritaCaracter"/>
        </w:rPr>
        <w:t>7</w:t>
      </w:r>
      <w:r>
        <w:t>. El 22 de enero de 2021 presentó su escrito de alegaciones el abogado del Estado. Señala que sin invocar que sea una circunstancia sobrevenida, ni formular la solicitud al amparo del art. 57 LOTC, ni tampoco razonar la incidencia de la resolución del Tribunal de Apelación de Bruselas en la pieza separada de suspensión, lo que en realidad está alegando es una incidencia de la resolución en el fondo del amparo interpuesto, en la medida en que a juicio del recurrente refuerza las quejas formuladas en su recurso de amparo.</w:t>
      </w:r>
    </w:p>
    <w:p w:rsidR="00C54F26" w:rsidRDefault="00C54F26" w:rsidP="00C54F26">
      <w:pPr>
        <w:pStyle w:val="TextoNormal"/>
      </w:pPr>
    </w:p>
    <w:p w:rsidR="00C54F26" w:rsidRDefault="00C54F26" w:rsidP="00C54F26">
      <w:pPr>
        <w:pStyle w:val="TextoNormal"/>
      </w:pPr>
      <w:r>
        <w:t>Afirma que aunque el recurrente no invoca formalmente y promueve el incidente del art. 57 LOTC, la revisión de la denegación efectuada por ATC 64/2020 solo podría efectuarse sobre la base de la invocación de circunstancias sobrevenidas. Así las cosas, considera el abogado del Estado que resulta obvio que la sentencia del tribunal belga no tiene la naturaleza de circunstancia sobrevenida que perjudique o incida en los criterios con los que el tribunal ya resolvió la pieza separada de suspensión, como tampoco la sentencia 20/2020 de la Audiencia Nacional.</w:t>
      </w:r>
    </w:p>
    <w:p w:rsidR="00C54F26" w:rsidRDefault="00C54F26" w:rsidP="00C54F26">
      <w:pPr>
        <w:pStyle w:val="TextoNormal"/>
      </w:pPr>
    </w:p>
    <w:p w:rsidR="00C54F26" w:rsidRDefault="00C54F26" w:rsidP="00C54F26">
      <w:pPr>
        <w:pStyle w:val="TextoNormal"/>
      </w:pPr>
      <w:r w:rsidRPr="00C54F26">
        <w:rPr>
          <w:rStyle w:val="NumeroAFNegritaCaracter"/>
        </w:rPr>
        <w:t>8</w:t>
      </w:r>
      <w:r>
        <w:t>. El 28 de enero de 2021 presentó sus alegaciones el partido político Vox.</w:t>
      </w:r>
    </w:p>
    <w:p w:rsidR="00C54F26" w:rsidRDefault="00C54F26" w:rsidP="00C54F26">
      <w:pPr>
        <w:pStyle w:val="TextoNormal"/>
      </w:pPr>
    </w:p>
    <w:p w:rsidR="00C54F26" w:rsidRDefault="00C54F26" w:rsidP="00C54F26">
      <w:pPr>
        <w:pStyle w:val="TextoNormal"/>
      </w:pPr>
      <w:r>
        <w:lastRenderedPageBreak/>
        <w:t>Comienza señalando que es improcedente la suspensión solicitada porque esta cuestión ya fue resuelta hace varios meses por el ATC 67/2020. Añade que, por otro lado, el recurrente no aclara cuál es la afectación a los derechos fundamentales, ni su posible reparación, y se limita a hacer afirmaciones genéricas. Señala que para amparar su solicitud sostiene el recurrente que si se decretara la suspensión de la pena no se ocasionaría ninguna perturbación grave a ningún interés constitucional, pero esta premisa resulta inadmisible, pues la suspensión de una condena firme supone una injerencia clara en la función jurisdiccional.</w:t>
      </w:r>
    </w:p>
    <w:p w:rsidR="00C54F26" w:rsidRDefault="00C54F26" w:rsidP="00C54F26">
      <w:pPr>
        <w:pStyle w:val="TextoNormal"/>
      </w:pPr>
    </w:p>
    <w:p w:rsidR="00C54F26" w:rsidRDefault="00C54F26" w:rsidP="00C54F26">
      <w:pPr>
        <w:pStyle w:val="TextoNormal"/>
      </w:pPr>
      <w:r>
        <w:t>A su juicio, en ningún momento se ha expuesto una situación concreta e irreparable por la que debiera suspenderse la pena, limitándose el recurrente a exponer que, bajo su apreciación, está siendo ejemplar su comportamiento, dentro y fuera del centro penitenciario, lo que resulta claramente insuficiente para decretar la suspensión.</w:t>
      </w:r>
    </w:p>
    <w:p w:rsidR="00C54F26" w:rsidRDefault="00C54F26" w:rsidP="00C54F26">
      <w:pPr>
        <w:pStyle w:val="TextoNormal"/>
      </w:pPr>
    </w:p>
    <w:p w:rsidR="00C54F26" w:rsidRDefault="00C54F26" w:rsidP="00C54F26">
      <w:pPr>
        <w:pStyle w:val="TextoNormal"/>
      </w:pPr>
      <w:r w:rsidRPr="00C54F26">
        <w:rPr>
          <w:rStyle w:val="NumeroAFNegritaCaracter"/>
        </w:rPr>
        <w:t>9</w:t>
      </w:r>
      <w:r>
        <w:t>. El fiscal ante el Tribunal Constitucional presentó sus alegaciones el 4 de febrero de 2021.</w:t>
      </w:r>
    </w:p>
    <w:p w:rsidR="00C54F26" w:rsidRDefault="00C54F26" w:rsidP="00C54F26">
      <w:pPr>
        <w:pStyle w:val="TextoNormal"/>
      </w:pPr>
    </w:p>
    <w:p w:rsidR="00C54F26" w:rsidRDefault="00C54F26" w:rsidP="00C54F26">
      <w:pPr>
        <w:pStyle w:val="TextoNormal"/>
      </w:pPr>
      <w:r>
        <w:t>Tras recordar los antecedentes del asunto, señala el fiscal que el recurrente viene a alegar como circunstancias sobrevenidas que pudieran afectar a la decisión de denegación de la solicitud de suspensión cautelar acordada por el ATC 64/2020, en primer lugar, una resolución del Tribunal de Apelación belga que deniega la orden europea de detención y entrega emitida por las autoridades españolas respecto de don Luis Puig i Gordi. Estima que la resolución de la justicia belga no puede ser considerada como una circunstancia sobrevenida que pueda afectar a la decisión de la denegación de la medida cautelar de suspensión adoptada por el ATC 64/2020, ni a los argumentos en que se basó su decisión, sino que se trata de hacer valer por el recurrente una decisión adoptada en el marco de la cooperación judicial internacional, como refuerzo de los argumentos en los que el recurrente sustenta la pretensión de amparo y las vulneraciones de derechos fundamentales invocadas en el recurso.</w:t>
      </w:r>
    </w:p>
    <w:p w:rsidR="00C54F26" w:rsidRDefault="00C54F26" w:rsidP="00C54F26">
      <w:pPr>
        <w:pStyle w:val="TextoNormal"/>
      </w:pPr>
    </w:p>
    <w:p w:rsidR="00C54F26" w:rsidRDefault="00C54F26" w:rsidP="00C54F26">
      <w:pPr>
        <w:pStyle w:val="TextoNormal"/>
      </w:pPr>
      <w:r>
        <w:t>En segundo lugar, el recurrente fundamenta la reiteración de la petición de suspensión en la sentencia de la Audiencia Nacional de 21 de octubre de 2020. Considera el fiscal que esta sentencia se conecta, igualmente, por el recurrente con el fortalecimiento de la pretensión deducida sobre la vulneración del derecho de defensa, que sería la cuestión de fondo suscitada en el recurso de amparo, la cual debe ser examinada en la sentencia, sin que quepa adelantar la decisión vía incidente de suspensión.</w:t>
      </w:r>
    </w:p>
    <w:p w:rsidR="00C54F26" w:rsidRDefault="00C54F26" w:rsidP="00C54F26">
      <w:pPr>
        <w:pStyle w:val="TextoNormal"/>
      </w:pPr>
    </w:p>
    <w:p w:rsidR="00C54F26" w:rsidRDefault="00C54F26" w:rsidP="00C54F26">
      <w:pPr>
        <w:pStyle w:val="TextoNormal"/>
      </w:pPr>
      <w:r>
        <w:t>Por último, indica el fiscal que la argumentación sobre el tiempo de prisión ya cumplido y la previsión de que la resolución del recurso se demore por su complejidad, no es una circunstancia sobrevenida que pueda servir de base para revisar la decisión del Tribunal Constitucional, adoptada en el auto 64/2020, de 17 de junio, de denegar la suspensión cautelar de las penas.</w:t>
      </w:r>
    </w:p>
    <w:p w:rsidR="00C54F26" w:rsidRDefault="00C54F26" w:rsidP="00C54F26">
      <w:pPr>
        <w:pStyle w:val="TextoNormal"/>
      </w:pPr>
    </w:p>
    <w:p w:rsidR="00C54F26" w:rsidRDefault="00C54F26" w:rsidP="00C54F26">
      <w:pPr>
        <w:pStyle w:val="TextoNormal"/>
      </w:pPr>
      <w:r w:rsidRPr="00C54F26">
        <w:rPr>
          <w:rStyle w:val="NumeroAFNegritaCaracter"/>
        </w:rPr>
        <w:t>10</w:t>
      </w:r>
      <w:r>
        <w:t>. Con fecha 16 de febrero de 2021, el magistrado don Antonio Narváez Rodríguez formuló su abstención en relación con el presente proceso constitucional de amparo, abstención que, por unanimidad, fue considerada justificada por el Pleno en resolución de la misma fecha.</w:t>
      </w:r>
    </w:p>
    <w:p w:rsidR="00C54F26" w:rsidRDefault="00C54F26" w:rsidP="00C54F26">
      <w:pPr>
        <w:pStyle w:val="TextoNormal"/>
      </w:pPr>
    </w:p>
    <w:p w:rsidR="00C54F26" w:rsidRDefault="00C54F26" w:rsidP="00C54F26">
      <w:pPr>
        <w:pStyle w:val="TextoNormalNegritaCentrado"/>
        <w:keepNext/>
      </w:pPr>
      <w:r>
        <w:lastRenderedPageBreak/>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la presente resolución consiste en dilucidar si concurren los requisitos necesarios para modificar la denegación de la suspensión, que fue acordada en el ATC 64/2020, de 17 de junio.</w:t>
      </w:r>
    </w:p>
    <w:p w:rsidR="00C54F26" w:rsidRDefault="00C54F26" w:rsidP="00C54F26">
      <w:pPr>
        <w:pStyle w:val="TextoNormal"/>
      </w:pPr>
    </w:p>
    <w:p w:rsidR="00C54F26" w:rsidRDefault="00C54F26" w:rsidP="00C54F26">
      <w:pPr>
        <w:pStyle w:val="TextoNormal"/>
      </w:pPr>
      <w:r w:rsidRPr="00C54F26">
        <w:rPr>
          <w:rStyle w:val="NumeroAFNegritaCaracter"/>
        </w:rPr>
        <w:t>2</w:t>
      </w:r>
      <w:r>
        <w:t>. La pretensión del recurrente se encuadra en lo dispuesto en art. 57 LOTC, conforme al cual “[l]a suspensión o 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00C54F26" w:rsidRDefault="00C54F26" w:rsidP="00C54F26">
      <w:pPr>
        <w:pStyle w:val="TextoNormal"/>
      </w:pPr>
    </w:p>
    <w:p w:rsidR="00C54F26" w:rsidRDefault="00C54F26" w:rsidP="00C54F26">
      <w:pPr>
        <w:pStyle w:val="TextoNormal"/>
      </w:pPr>
      <w:r>
        <w:t>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(AATC 125/2014, de 5 de mayo, FJ 2, y 433/2004, 15 de noviembre, FJ 1).</w:t>
      </w:r>
    </w:p>
    <w:p w:rsidR="00C54F26" w:rsidRDefault="00C54F26" w:rsidP="00C54F26">
      <w:pPr>
        <w:pStyle w:val="TextoNormal"/>
      </w:pPr>
    </w:p>
    <w:p w:rsidR="00C54F26" w:rsidRDefault="00C54F26" w:rsidP="00C54F26">
      <w:pPr>
        <w:pStyle w:val="TextoNormal"/>
      </w:pPr>
      <w:r w:rsidRPr="00C54F26">
        <w:rPr>
          <w:rStyle w:val="NumeroAFNegritaCaracter"/>
        </w:rPr>
        <w:t>3</w:t>
      </w:r>
      <w:r>
        <w:t>. La solicitud del demandante guarda relación con las consecuencias que extrae de la denegación por la autoridad judicial belga de la orden europea de detención y entrega relativa a don Lluis Puig; principalmente, la evidencia de la vulneración del derecho al juez ordinario predeterminado por la ley, que también denunció en su demanda de amparo, así como la lesión del derecho a la presunción de inocencia.</w:t>
      </w:r>
    </w:p>
    <w:p w:rsidR="00C54F26" w:rsidRDefault="00C54F26" w:rsidP="00C54F26">
      <w:pPr>
        <w:pStyle w:val="TextoNormal"/>
      </w:pPr>
    </w:p>
    <w:p w:rsidR="00C54F26" w:rsidRDefault="00C54F26" w:rsidP="00C54F26">
      <w:pPr>
        <w:pStyle w:val="TextoNormal"/>
      </w:pPr>
      <w:r>
        <w:t xml:space="preserve">De conformidad con la doctrina constitucional, la temática que suscita el demandante resulta ajena a las circunstancias determinantes para dirimir sobre la concesión de la medida cautelar interesada, por lo que tampoco pueden ser consideradas circunstancias sobrevenidas a los efectos previstos en el art. 57 LOTC. Sin perjuicio de que lo acordado por el tribunal belga, en modo alguno vincula o condiciona a este tribunal para la resolución de los recursos de amparo que traen causa de la sentencia condenatoria cuya suspensión se interesa, cabe añadir que las consecuencias que el demandante aduce atañen a lesiones ya denunciadas en la demanda, por lo que en puridad constituyen el fondo del presente recurso. En este sentido conviene recordar que, en orden a resolver sobre la medida de suspensión cautelar, este tribunal excluye la toma en consideración de la denominada “apariencia de buen derecho” o </w:t>
      </w:r>
      <w:r w:rsidRPr="00C54F26">
        <w:rPr>
          <w:i/>
        </w:rPr>
        <w:t>fumus boni iuris</w:t>
      </w:r>
      <w:r>
        <w:t>, en tanto que ello supondría anticipar una respuesta sobre el fondo [ATC 16/2019, de 12 de marzo, FJ 3 a)].</w:t>
      </w:r>
    </w:p>
    <w:p w:rsidR="00C54F26" w:rsidRDefault="00C54F26" w:rsidP="00C54F26">
      <w:pPr>
        <w:pStyle w:val="TextoNormal"/>
      </w:pPr>
    </w:p>
    <w:p w:rsidR="00C54F26" w:rsidRDefault="00C54F26" w:rsidP="00C54F26">
      <w:pPr>
        <w:pStyle w:val="TextoNormal"/>
      </w:pPr>
      <w:r>
        <w:t xml:space="preserve">Por otro lado, pese al tiempo transcurrido desde el pasado 17 de junio de 2020, fecha en que se denegó la primera suspensión solicitada, las razones entonces dadas para descartar que el tiempo de sustanciación del recurso de amparo podría provocar la pérdida de la finalidad del recurso de amparo (ATC 64/2020, FJ 4) permanecen incólumes. Aun cuando se tenga en cuenta la privación de libertad ya cumplida y el tiempo que se vaya a consumir hasta la resolución del recurso de amparo, cuya cuantificación por el recurrente es una mera suposición, lo cierto es que, dada la gravedad de la pena impuesta (diez años y seis meses de prisión), no se constata el riesgo de pérdida de finalidad del recurso de amparo que el </w:t>
      </w:r>
      <w:r>
        <w:lastRenderedPageBreak/>
        <w:t>demandante advierte, puesto que la pena de prisión que aun restaría por cumplir supera claramente los cinco años, límite temporal que como regla general ha establecido nuestra doctrina para acceder a la suspensión cautelar de las penas de prisión.</w:t>
      </w:r>
    </w:p>
    <w:p w:rsidR="00C54F26" w:rsidRDefault="00C54F26" w:rsidP="00C54F26">
      <w:pPr>
        <w:pStyle w:val="TextoNormal"/>
      </w:pPr>
    </w:p>
    <w:p w:rsidR="00C54F26" w:rsidRDefault="00C54F26" w:rsidP="00C54F26">
      <w:pPr>
        <w:pStyle w:val="TextoNormal"/>
      </w:pPr>
      <w:r>
        <w:t>Asimismo, debemos dar por reproducida la argumentación expresada en el auto antes mencionado, a fin de rechazar la suspensión cautelar de la pena de inhabilitación absoluta, (concretamente, en el fundamento jurídico 5). Entonces pusimos de relieve que la extensión temporal de esa pena es tal, que la ejecución de la misma mientras se sustancia el presente recurso no determina la pérdida de su finalidad, amén de constatar la prevalencia del interés general que comporta su ejecución.</w:t>
      </w:r>
    </w:p>
    <w:p w:rsidR="00C54F26" w:rsidRDefault="00C54F26" w:rsidP="00C54F26">
      <w:pPr>
        <w:pStyle w:val="TextoNormal"/>
      </w:pPr>
    </w:p>
    <w:p w:rsidR="00C54F26" w:rsidRDefault="00C54F26" w:rsidP="00C54F26">
      <w:pPr>
        <w:pStyle w:val="TextoNormal"/>
      </w:pPr>
      <w:r>
        <w:t>Finalmente, también reiteramos las razones reflejadas en el fundamento jurídico 4 del ATC 64/2020, acerca de la relevancia del riesgo de eludir la acción de la justicia. Afirmamos entonces que, de concurrir ese peligro, necesariamente debería denegarse la suspensión cautelar de la pena privativa de libertad. Pero también sostuvimos que la ausencia de ese riesgo no determina, de por sí, que la suspensión deba otorgarse pues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pues conforme a la doctrina establecida por este tribunal también deben concurrir los restantes requisitos”.</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medida cautelar de suspensión interesada.</w:t>
      </w:r>
    </w:p>
    <w:p w:rsidR="00C54F26" w:rsidRDefault="00C54F26" w:rsidP="00C54F26">
      <w:pPr>
        <w:pStyle w:val="TextoNormal"/>
      </w:pPr>
    </w:p>
    <w:p w:rsidR="00C54F26" w:rsidRDefault="00C54F26" w:rsidP="00C54F26">
      <w:pPr>
        <w:pStyle w:val="TextoNormal"/>
      </w:pPr>
      <w:r>
        <w:t>Madrid, a dieciséis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4" w:name="AUTO_2021_33"/>
      <w:r>
        <w:lastRenderedPageBreak/>
        <w:t>AUTO 33/2021, de 16 de marzo de 2021</w:t>
      </w:r>
    </w:p>
    <w:bookmarkEnd w:id="174"/>
    <w:p w:rsidR="00C54F26" w:rsidRDefault="00C54F26" w:rsidP="00C54F26">
      <w:pPr>
        <w:pStyle w:val="TtuloResolucin"/>
      </w:pPr>
      <w:r>
        <w:t>Pleno</w:t>
      </w:r>
    </w:p>
    <w:p w:rsidR="00C54F26" w:rsidRDefault="00C54F26" w:rsidP="00C54F26">
      <w:pPr>
        <w:pStyle w:val="TextoNormalCentrado"/>
      </w:pPr>
      <w:r>
        <w:t>ECLI:ES:TC:2021:33A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Inadmite a trámite el recurso de inconstitucionalidad 4868-2020, interpuesto por cincuenta diputados de los grupos parlamentarios Confederal de Unidas Podemos-En Comú Podem-Galicia en Común, Republicano y Euskal Herria Bildu, en relación con el Decreto-ley del Gobierno de Murcia 3/2020, de 23 de abril, de mitigación del impacto socioeconómico del COVID-19 en el área de vivienda e infraestructuras; el acuerdo de convalidación adoptado por el pleno de la Asamblea Regional de Murcia de 6 de mayo de 2020 y la Ley de la Asamblea Regional de Murcia 2/2020, de 27 de julio, de mitigación del impacto socioeconómico del COVID-19 en el área de vivienda e infraestructuras.</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16 de octubre de 2020 tuvo entrada en el registro de este tribunal un escrito por el que don Javier Sánchez Serna, que dice ejercer como comisionado en nombre y representación de cincuenta diputadas y diputados, interpuso recurso de inconstitucionalidad contra las siguientes disposiciones: el Decreto-ley 3/2020, de 23 de abril, de mitigación del impacto socioeconómico del COVID-19 en el área de vivienda e infraestructuras, dictado por el Consejo de Gobierno de la Región de Murcia; el acuerdo del Pleno de la Asamblea Regional de Murcia, de fecha 6 de mayo de 2020, por el que se acuerda la convalidación del Decreto-ley 3/2020, de 23 de abril, de mitigación del impacto socioeconómico del COVID-19 en el área de vivienda e infraestructuras; y la Ley de la Asamblea Regional de Murcia 2/2020, de 27 de julio, de mitigación del impacto socioeconómico del COVID-19 en el área de vivienda e infraestructuras.</w:t>
      </w:r>
    </w:p>
    <w:p w:rsidR="00C54F26" w:rsidRDefault="00C54F26" w:rsidP="00C54F26">
      <w:pPr>
        <w:pStyle w:val="TextoNormal"/>
      </w:pPr>
    </w:p>
    <w:p w:rsidR="00C54F26" w:rsidRDefault="00C54F26" w:rsidP="00C54F26">
      <w:pPr>
        <w:pStyle w:val="TextoNormal"/>
      </w:pPr>
      <w:r>
        <w:t>En concreto, se recurren y se solicita la declaración de inconstitucionalidad y nulidad de los siguientes preceptos: apartados 1, 2, 3 y 4 del artículo 1 del Decreto-ley 3/2020, de 23 de abril, y, correlativamente, apartados 1, 2, 3 y 4 del artículo 1 de la Ley 2/2020, de 27 de julio; apartado 9 del artículo 1 del Decreto-ley 3/2020, de 23 de abril; apartados 6 y 14 del artículo 4 del Decreto-ley 3/2020, de 23 de abril, y, correlativamente, apartados 6 y 14 del artículo 4 de la Ley 2/2020, de 27 de julio, y los apartados 26 c) y 27 del artículo 4 del Decreto-ley 3/2020, de 23 de abril, y, correlativamente, los apartados 25 c) y 26 del artículo 4 de la Ley 2/2020, de 27 de julio.</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2</w:t>
      </w:r>
      <w:r>
        <w:t xml:space="preserve">. La demanda organiza en dos bloques los motivos de inconstitucionalidad que sirven para fundamentar el recurso: por un lado, se alega sobre la ausencia del requisito de extraordinaria y urgente necesidad exigido para la aprobación de un decreto-ley </w:t>
      </w:r>
      <w:r w:rsidRPr="00C54F26">
        <w:rPr>
          <w:i/>
        </w:rPr>
        <w:t>ex</w:t>
      </w:r>
      <w:r>
        <w:t xml:space="preserve"> artículo 30.3 del Estatuto de Autonomía de la Región de Murcia; y, por otro, se hace referencia a la inconstitucionalidad de los preceptos impugnados del Decreto-ley 3/2020 y de la Ley 2/2020, por la invasión de competencias estatales y la vulneración de determinados preceptos constitucionales.</w:t>
      </w:r>
    </w:p>
    <w:p w:rsidR="00C54F26" w:rsidRDefault="00C54F26" w:rsidP="00C54F26">
      <w:pPr>
        <w:pStyle w:val="TextoNormal"/>
      </w:pPr>
    </w:p>
    <w:p w:rsidR="00C54F26" w:rsidRDefault="00C54F26" w:rsidP="00C54F26">
      <w:pPr>
        <w:pStyle w:val="TextoNormal"/>
      </w:pPr>
      <w:r w:rsidRPr="00C54F26">
        <w:rPr>
          <w:rStyle w:val="NumeroAFNegritaCaracter"/>
        </w:rPr>
        <w:t>3</w:t>
      </w:r>
      <w:r>
        <w:t>. Por providencia del Pleno de este tribunal de 17 de noviembre de 2020 se acordó con carácter previo a pronunciarse sobre el recurso planteado, conceder al procurador, don José Miguel Martínez-Fresneda Gambra, un plazo de diez días para que:</w:t>
      </w:r>
    </w:p>
    <w:p w:rsidR="00C54F26" w:rsidRDefault="00C54F26" w:rsidP="00C54F26">
      <w:pPr>
        <w:pStyle w:val="TextoNormal"/>
      </w:pPr>
    </w:p>
    <w:p w:rsidR="00C54F26" w:rsidRDefault="00C54F26" w:rsidP="00C54F26">
      <w:pPr>
        <w:pStyle w:val="TextoNormal"/>
      </w:pPr>
      <w:r>
        <w:t>“1) identifique a los diputados y diputadas recurrentes;</w:t>
      </w:r>
    </w:p>
    <w:p w:rsidR="00C54F26" w:rsidRDefault="00C54F26" w:rsidP="00C54F26">
      <w:pPr>
        <w:pStyle w:val="TextoNormal"/>
      </w:pPr>
    </w:p>
    <w:p w:rsidR="00C54F26" w:rsidRDefault="00C54F26" w:rsidP="00C54F26">
      <w:pPr>
        <w:pStyle w:val="TextoNormal"/>
      </w:pPr>
      <w:r>
        <w:t>2) aporte la oportuna certificación expedida por el secretario general del Congreso relativa a si los diputados firmantes del recurso integran o no actualmente la Cámara, ostentando así la legitimación para recurrir;</w:t>
      </w:r>
    </w:p>
    <w:p w:rsidR="00C54F26" w:rsidRDefault="00C54F26" w:rsidP="00C54F26">
      <w:pPr>
        <w:pStyle w:val="TextoNormal"/>
      </w:pPr>
    </w:p>
    <w:p w:rsidR="00C54F26" w:rsidRDefault="00C54F26" w:rsidP="00C54F26">
      <w:pPr>
        <w:pStyle w:val="TextoNormal"/>
      </w:pPr>
      <w:r>
        <w:t>3) acredite documentalmente que los diputados y diputadas promotores del recurso formalizaron su voluntad de impugnar el decreto-ley y la ley dentro del plazo de los tres meses establecido a tal fin en el art. 33 LOTC;</w:t>
      </w:r>
    </w:p>
    <w:p w:rsidR="00C54F26" w:rsidRDefault="00C54F26" w:rsidP="00C54F26">
      <w:pPr>
        <w:pStyle w:val="TextoNormal"/>
      </w:pPr>
    </w:p>
    <w:p w:rsidR="00C54F26" w:rsidRDefault="00C54F26" w:rsidP="00C54F26">
      <w:pPr>
        <w:pStyle w:val="TextoNormal"/>
      </w:pPr>
      <w:r>
        <w:t>4) aporte poder de representación del comisionado y del procurador, que dice aportar como documento núm. 1 y no aporta;</w:t>
      </w:r>
    </w:p>
    <w:p w:rsidR="00C54F26" w:rsidRDefault="00C54F26" w:rsidP="00C54F26">
      <w:pPr>
        <w:pStyle w:val="TextoNormal"/>
      </w:pPr>
    </w:p>
    <w:p w:rsidR="00C54F26" w:rsidRDefault="00C54F26" w:rsidP="00C54F26">
      <w:pPr>
        <w:pStyle w:val="TextoNormal"/>
      </w:pPr>
      <w:r>
        <w:t>5) aporte copia de la resolución que recurre, en la que conste la fecha de publicación”.</w:t>
      </w:r>
    </w:p>
    <w:p w:rsidR="00C54F26" w:rsidRDefault="00C54F26" w:rsidP="00C54F26">
      <w:pPr>
        <w:pStyle w:val="TextoNormal"/>
      </w:pPr>
    </w:p>
    <w:p w:rsidR="00C54F26" w:rsidRDefault="00C54F26" w:rsidP="00C54F26">
      <w:pPr>
        <w:pStyle w:val="TextoNormal"/>
      </w:pPr>
      <w:r w:rsidRPr="00C54F26">
        <w:rPr>
          <w:rStyle w:val="NumeroAFNegritaCaracter"/>
        </w:rPr>
        <w:t>4</w:t>
      </w:r>
      <w:r>
        <w:t>. El día 3 de diciembre de 2020, don José Miguel Martínez-Fresneda Gambra presentó ante este tribunal escrito respondiendo a los requerimientos señalados y aporta:</w:t>
      </w:r>
    </w:p>
    <w:p w:rsidR="00C54F26" w:rsidRDefault="00C54F26" w:rsidP="00C54F26">
      <w:pPr>
        <w:pStyle w:val="TextoNormal"/>
      </w:pPr>
    </w:p>
    <w:p w:rsidR="00C54F26" w:rsidRDefault="00C54F26" w:rsidP="00C54F26">
      <w:pPr>
        <w:pStyle w:val="TextoNormal"/>
      </w:pPr>
      <w:r>
        <w:t>(i) un listado con el nombre y número de identificación fiscal de los cincuenta diputados y diputadas recurrentes pertenecientes al Grupo Parlamentario Confederal de Unidas Podemos-En Comú Podem-Galicia en Común, al Grupo Parlamentario Republicano y al Grupo Parlamentario Euskal Herria Bildu;</w:t>
      </w:r>
    </w:p>
    <w:p w:rsidR="00C54F26" w:rsidRDefault="00C54F26" w:rsidP="00C54F26">
      <w:pPr>
        <w:pStyle w:val="TextoNormal"/>
      </w:pPr>
    </w:p>
    <w:p w:rsidR="00C54F26" w:rsidRDefault="00C54F26" w:rsidP="00C54F26">
      <w:pPr>
        <w:pStyle w:val="TextoNormal"/>
      </w:pPr>
      <w:r>
        <w:t>(ii) tres escritos del secretario general del Congreso de los Diputados, de fecha 25 de noviembre de 2020, en los que se certifica la condición de diputados y diputadas de los firmantes del recurso: Grupo Parlamentario Confederal de Unidas Podemos-En Comú Podem-Galicia en Común (treinta y cinco diputados/as), Grupo Parlamentario Republicano (trece diputados/as) y Grupo Parlamentario Euskal Herria Bildu (cinco diputados/as);</w:t>
      </w:r>
    </w:p>
    <w:p w:rsidR="00C54F26" w:rsidRDefault="00C54F26" w:rsidP="00C54F26">
      <w:pPr>
        <w:pStyle w:val="TextoNormal"/>
      </w:pPr>
    </w:p>
    <w:p w:rsidR="00C54F26" w:rsidRDefault="00C54F26" w:rsidP="00C54F26">
      <w:pPr>
        <w:pStyle w:val="TextoNormal"/>
      </w:pPr>
      <w:r>
        <w:t xml:space="preserve">(iii) acta de protocolización de fecha 22 de octubre de 2020 de un documento, a requerimiento de del secretario general y portavoz sustituto del Grupo Parlamentario Confederal de Unidas Podemos-En Comú Podem-Galicia en Común, “firmado por los parlamentarios del ‘Grupo Parlamentario Confederal de Unidas Podemos-En Comú Podem-Galicia en Común’, ‘Grupo Parlamentario Republicano’, ‘Grupo Parlamentario Euskal Herria Bildu’ y </w:t>
      </w:r>
      <w:r>
        <w:lastRenderedPageBreak/>
        <w:t>‘Grupo Parlamentario Plural’, que figuran en el mismo y que se corresponde con el recurso de inconstitucionalidad”;</w:t>
      </w:r>
    </w:p>
    <w:p w:rsidR="00C54F26" w:rsidRDefault="00C54F26" w:rsidP="00C54F26">
      <w:pPr>
        <w:pStyle w:val="TextoNormal"/>
      </w:pPr>
    </w:p>
    <w:p w:rsidR="00C54F26" w:rsidRDefault="00C54F26" w:rsidP="00C54F26">
      <w:pPr>
        <w:pStyle w:val="TextoNormal"/>
      </w:pPr>
      <w:r>
        <w:t>(iv) tres poderes generales para pleitos y especial para otras facultades, de fecha 22 de octubre de 2020, otorgados respectivamente por el secretario general y portavoz sustituto de cada uno de los grupos parlamentarios ya mencionados, a favor del procurador y del letrado firmante del recurso y en los que se nombra como comisionado a don Javier Sánchez Serna;</w:t>
      </w:r>
    </w:p>
    <w:p w:rsidR="00C54F26" w:rsidRDefault="00C54F26" w:rsidP="00C54F26">
      <w:pPr>
        <w:pStyle w:val="TextoNormal"/>
      </w:pPr>
    </w:p>
    <w:p w:rsidR="00C54F26" w:rsidRDefault="00C54F26" w:rsidP="00C54F26">
      <w:pPr>
        <w:pStyle w:val="TextoNormal"/>
      </w:pPr>
      <w:r>
        <w:t>(v) copia del “Boletín Oficial del Estado” en el que aparece el texto de la ley recurrida, del “Boletín Oficial de la Comunidad Autónoma de la Región de Murcia” en el que aparece el texto del decreto-ley recurrido y del boletín oficial de la citada comunidad autónoma en la que aparece la resolución por la que se ordena la publicación del acuerdo del pleno de la Asamblea de dicha comunidad autónoma por el que se acuerda la convalidación del decreto-ley recurrido.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recurso no cumple con la legitimación requerida [art. 162.1 a) CE y 32.1 c) Ley Orgánica del Tribunal Constitucional (LOTC)].</w:t>
      </w:r>
    </w:p>
    <w:p w:rsidR="00C54F26" w:rsidRDefault="00C54F26" w:rsidP="00C54F26">
      <w:pPr>
        <w:pStyle w:val="TextoNormal"/>
      </w:pPr>
    </w:p>
    <w:p w:rsidR="00C54F26" w:rsidRDefault="00C54F26" w:rsidP="00C54F26">
      <w:pPr>
        <w:pStyle w:val="TextoNormal"/>
      </w:pPr>
      <w:r>
        <w:t>Los tres poderes generales para pleitos, de fecha 22 de octubre de 2020, presentados tras el requerimiento formulado por providencia de 17 de noviembre de 2020, muestran que en cada uno de ellos solo interviene un diputado “en su propio nombre y derecho, como secretario general y portavoz sustituto”, lo que hace además “en nombre y representación de los diputados” del grupo respectivo. Esta última manifestación se acompaña en cada poder de los nombres, documento nacional de identidad y número de identificación fiscal de los diputados y diputadas que forman parte de los respectivos grupos parlamentarios, sin que conste que les hayan otorgado su representación. Es por ello que, en puridad, solo tres poderdantes facultan a don Javier Sánchez Serna para actuar como comisionado en la interposición del presente recurso de inconstitucionalidad.</w:t>
      </w:r>
    </w:p>
    <w:p w:rsidR="00C54F26" w:rsidRDefault="00C54F26" w:rsidP="00C54F26">
      <w:pPr>
        <w:pStyle w:val="TextoNormal"/>
      </w:pPr>
    </w:p>
    <w:p w:rsidR="00C54F26" w:rsidRDefault="00C54F26" w:rsidP="00C54F26">
      <w:pPr>
        <w:pStyle w:val="TextoNormal"/>
      </w:pPr>
      <w:r>
        <w:t>Se ha de señalar también que con la misma fecha de 22 de octubre de 2020, se firmó acta de protocolización de una copia del recurso de inconstitucionalidad, como documento acreditativo de la concurrencia de la voluntad de los diputados y diputadas recurrentes para impugnar las normas ya referidas, y al final del mismo aparecen seis firmas a las que no se asocia nombre o documento de identificación alguno, tampoco grupo parlamentario al que pertenezcan. Se identifican únicamente las firmas de los parlamentarios del Grupo Parlamentario Confederal de Unidas Podemos-En Comú Podem-Galicia en Común y Grupo Parlamentario Republicano, y no de los que se citan también como firmantes en el acta de protocolización del Grupo Parlamentario Euskal Herria Bildu y de los del Grupo Parlamentario Plural, del que, en este último caso, además, no se aporta escrito del secretario general del Congreso de los Diputados en el que se certifique su condición de diputados.</w:t>
      </w:r>
    </w:p>
    <w:p w:rsidR="00C54F26" w:rsidRDefault="00C54F26" w:rsidP="00C54F26">
      <w:pPr>
        <w:pStyle w:val="TextoNormal"/>
      </w:pPr>
    </w:p>
    <w:p w:rsidR="00C54F26" w:rsidRDefault="00C54F26" w:rsidP="00C54F26">
      <w:pPr>
        <w:pStyle w:val="TextoNormal"/>
      </w:pPr>
      <w:r>
        <w:t>El recurso de inconstitucionalidad se interpone, pues, por un número inferior a los cincuenta diputados requeridos [arts. 162.1 a) CE y 32.1 c) LOTC].</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Inadmitir a trámite el recurso de inconstitucionalidad núm. 4868-2020.</w:t>
      </w:r>
    </w:p>
    <w:p w:rsidR="00C54F26" w:rsidRDefault="00C54F26" w:rsidP="00C54F26">
      <w:pPr>
        <w:pStyle w:val="TextoNormal"/>
      </w:pPr>
    </w:p>
    <w:p w:rsidR="00C54F26" w:rsidRDefault="00C54F26" w:rsidP="00C54F26">
      <w:pPr>
        <w:pStyle w:val="TextoNormal"/>
      </w:pPr>
      <w:r>
        <w:t>Madrid, a dieciséis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5" w:name="AUTO_2021_34"/>
      <w:r>
        <w:lastRenderedPageBreak/>
        <w:t>AUTO 34/2021, de 16 de marzo de 2021</w:t>
      </w:r>
    </w:p>
    <w:bookmarkEnd w:id="175"/>
    <w:p w:rsidR="00C54F26" w:rsidRDefault="00C54F26" w:rsidP="00C54F26">
      <w:pPr>
        <w:pStyle w:val="TtuloResolucin"/>
      </w:pPr>
      <w:r>
        <w:t>Pleno</w:t>
      </w:r>
    </w:p>
    <w:p w:rsidR="00C54F26" w:rsidRDefault="00C54F26" w:rsidP="00C54F26">
      <w:pPr>
        <w:pStyle w:val="TextoNormalCentrado"/>
      </w:pPr>
      <w:r>
        <w:t>ECLI:ES:TC:2021:34A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Inadmite a trámite el recurso de inconstitucionalidad 4870-2020, interpuesto por cincuenta diputados de los grupos parlamentarios Confederal de Unidas Podemos-En Comú Podem-Galicia en Común, del Republicano y Euskal Herria Bildu, en relación con el Decreto-ley del Gobierno de Murcia 5/2020, de 7 de mayo, de mitigación del impacto socioeconómico del COVID-19 en el área de medio ambiente, y la Ley de la Asamblea Regional de Murcia 5/2020, de 3 de agosto, de mitigación del impacto socioeconómico del COVID-19 en el área de medio ambiente.</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El 16 de octubre de 2020 tuvo entrada en el registro general de este tribunal un escrito por el que don Javier Sánchez Serna, quien dice ser comisionado en nombre y representación de cincuenta diputadas y diputados, interpuso recurso de inconstitucionalidad contra las siguientes disposiciones: el Decreto-ley 5/2020, de 7 de mayo, de mitigación del impacto socioeconómico del COVID-19 en el área de medio ambiente, dictado por el Gobierno autonómico de la Región de Murcia (“Boletín Oficial de la Región de Murcia” de 9 de mayo de 2020); el acuerdo de convalidación del Decreto-ley 5/2020, publicado en el “Boletín Oficial de la Región de Murcia” de 16 de julio de 2020, en la medida que ratifica preceptos claramente inconstitucionales; y la Ley 5/2020, de 3 de agosto, de mitigación del impacto socioeconómico del COVID-19 en el área de medio ambiente, tramitada a partir del texto del Decreto-ley 5/2020 </w:t>
      </w:r>
      <w:r w:rsidRPr="00C54F26">
        <w:rPr>
          <w:i/>
        </w:rPr>
        <w:t>ex</w:t>
      </w:r>
      <w:r>
        <w:t xml:space="preserve"> art. 30.3 del Estatuto de Autonomía de la Región de Murcia (“Boletín Oficial de la Región de Murcia” de 4 de agosto de 2020).</w:t>
      </w:r>
    </w:p>
    <w:p w:rsidR="00C54F26" w:rsidRDefault="00C54F26" w:rsidP="00C54F26">
      <w:pPr>
        <w:pStyle w:val="TextoNormal"/>
      </w:pPr>
    </w:p>
    <w:p w:rsidR="00C54F26" w:rsidRDefault="00C54F26" w:rsidP="00C54F26">
      <w:pPr>
        <w:pStyle w:val="TextoNormal"/>
      </w:pPr>
      <w:r>
        <w:t>En concreto, se recurren y se solicita la declaración de inconstitucionalidad y nulidad de los siguientes preceptos: los apartados 15, 16, 19, 20, 21 y 22 del artículo único del capítulo primero del Decreto-ley 5/2020, y los apartados 15, 16, 19, 20, 21 y 22 del art. 1 de la Ley 5/2020.</w:t>
      </w:r>
    </w:p>
    <w:p w:rsidR="00C54F26" w:rsidRDefault="00C54F26" w:rsidP="00C54F26">
      <w:pPr>
        <w:pStyle w:val="TextoNormal"/>
      </w:pPr>
    </w:p>
    <w:p w:rsidR="00C54F26" w:rsidRDefault="00C54F26" w:rsidP="00C54F26">
      <w:pPr>
        <w:pStyle w:val="TextoNormal"/>
      </w:pPr>
      <w:r w:rsidRPr="00C54F26">
        <w:rPr>
          <w:rStyle w:val="NumeroAFNegritaCaracter"/>
        </w:rPr>
        <w:t>2</w:t>
      </w:r>
      <w:r>
        <w:t>. El recurso organiza en torno a dos bloques argumentales los motivos de inconstitucionalidad. En primer lugar, los dirigidos frente a los apartados 15, 16, 19, 20, 21 y 22 del artículo único del capítulo primero del Decreto-ley 5/2020, de 7 de mayo, de mitigación del impacto socioeconómico del COVID-19 en el área de medio ambiente, por vulneración del art. 86 CE. Y en segundo término, los dirigidos frente a los mismos apartados del Decreto-</w:t>
      </w:r>
      <w:r>
        <w:lastRenderedPageBreak/>
        <w:t>ley y sus equivalentes en la Ley 5/2020, de 3 de agosto, de mitigación del impacto socioeconómico del COVID-19 en el área de medio ambiente, por vulneración de los apartados 18 y 23 del art. 149.1 CE. La demanda justifica la formulación de un recurso de inconstitucionalidad único, en el que se impugnan tanto el decreto-ley, como la ley sucesiva, al existir una íntima conexión entre las dos disposiciones, y no quedar subsanados los vicios procesales del decreto-ley mediante su posterior tramitación parlamentaria como proyecto de ley.</w:t>
      </w:r>
    </w:p>
    <w:p w:rsidR="00C54F26" w:rsidRDefault="00C54F26" w:rsidP="00C54F26">
      <w:pPr>
        <w:pStyle w:val="TextoNormal"/>
      </w:pPr>
    </w:p>
    <w:p w:rsidR="00C54F26" w:rsidRDefault="00C54F26" w:rsidP="00C54F26">
      <w:pPr>
        <w:pStyle w:val="TextoNormal"/>
      </w:pPr>
      <w:r w:rsidRPr="00C54F26">
        <w:rPr>
          <w:rStyle w:val="NumeroAFNegritaCaracter"/>
        </w:rPr>
        <w:t>3</w:t>
      </w:r>
      <w:r>
        <w:t>. Por providencia del Pleno de este tribunal de 17 de noviembre de 2020, se acordó con carácter previo a pronunciarse sobre el recurso planteado, conceder al procurador don José Miguel Martínez-Fresneda Gambra, un plazo de diez días para que:</w:t>
      </w:r>
    </w:p>
    <w:p w:rsidR="00C54F26" w:rsidRDefault="00C54F26" w:rsidP="00C54F26">
      <w:pPr>
        <w:pStyle w:val="TextoNormal"/>
      </w:pPr>
    </w:p>
    <w:p w:rsidR="00C54F26" w:rsidRDefault="00C54F26" w:rsidP="00C54F26">
      <w:pPr>
        <w:pStyle w:val="TextoNormal"/>
      </w:pPr>
      <w:r>
        <w:t>“1) identifique a los diputados y diputadas recurrentes;</w:t>
      </w:r>
    </w:p>
    <w:p w:rsidR="00C54F26" w:rsidRDefault="00C54F26" w:rsidP="00C54F26">
      <w:pPr>
        <w:pStyle w:val="TextoNormal"/>
      </w:pPr>
    </w:p>
    <w:p w:rsidR="00C54F26" w:rsidRDefault="00C54F26" w:rsidP="00C54F26">
      <w:pPr>
        <w:pStyle w:val="TextoNormal"/>
      </w:pPr>
      <w:r>
        <w:t>2) aporte la oportuna certificación expedida por el secretario general del Congreso relativa a si los diputados firmantes del recurso integran o no actualmente la Cámara, ostentando así la legitimación para recurrir;</w:t>
      </w:r>
    </w:p>
    <w:p w:rsidR="00C54F26" w:rsidRDefault="00C54F26" w:rsidP="00C54F26">
      <w:pPr>
        <w:pStyle w:val="TextoNormal"/>
      </w:pPr>
    </w:p>
    <w:p w:rsidR="00C54F26" w:rsidRDefault="00C54F26" w:rsidP="00C54F26">
      <w:pPr>
        <w:pStyle w:val="TextoNormal"/>
      </w:pPr>
      <w:r>
        <w:t>3) acredite documentalmente que los diputados y diputadas promotores del recurso formalizaron su voluntad de impugnar el decreto-ley y la ley dentro del plazo de los tres meses establecido a tal fin en el art. 33 LOTC;</w:t>
      </w:r>
    </w:p>
    <w:p w:rsidR="00C54F26" w:rsidRDefault="00C54F26" w:rsidP="00C54F26">
      <w:pPr>
        <w:pStyle w:val="TextoNormal"/>
      </w:pPr>
    </w:p>
    <w:p w:rsidR="00C54F26" w:rsidRDefault="00C54F26" w:rsidP="00C54F26">
      <w:pPr>
        <w:pStyle w:val="TextoNormal"/>
      </w:pPr>
      <w:r>
        <w:t>4) aporte poder de representación del comisionado y del procurador, que dice aportar como documento núm. 1 y no aporta;</w:t>
      </w:r>
    </w:p>
    <w:p w:rsidR="00C54F26" w:rsidRDefault="00C54F26" w:rsidP="00C54F26">
      <w:pPr>
        <w:pStyle w:val="TextoNormal"/>
      </w:pPr>
    </w:p>
    <w:p w:rsidR="00C54F26" w:rsidRDefault="00C54F26" w:rsidP="00C54F26">
      <w:pPr>
        <w:pStyle w:val="TextoNormal"/>
      </w:pPr>
      <w:r>
        <w:t>5) aporte copia de la resolución que recurre, en la que conste la fecha de publicación”.</w:t>
      </w:r>
    </w:p>
    <w:p w:rsidR="00C54F26" w:rsidRDefault="00C54F26" w:rsidP="00C54F26">
      <w:pPr>
        <w:pStyle w:val="TextoNormal"/>
      </w:pPr>
    </w:p>
    <w:p w:rsidR="00C54F26" w:rsidRDefault="00C54F26" w:rsidP="00C54F26">
      <w:pPr>
        <w:pStyle w:val="TextoNormal"/>
      </w:pPr>
      <w:r w:rsidRPr="00C54F26">
        <w:rPr>
          <w:rStyle w:val="NumeroAFNegritaCaracter"/>
        </w:rPr>
        <w:t>4</w:t>
      </w:r>
      <w:r>
        <w:t>. El día 3 de diciembre de 2020, don José Miguel Martínez-Fresneda Gambra presentó ante este tribunal escrito respondiendo a los requerimientos señalados y aporta:</w:t>
      </w:r>
    </w:p>
    <w:p w:rsidR="00C54F26" w:rsidRDefault="00C54F26" w:rsidP="00C54F26">
      <w:pPr>
        <w:pStyle w:val="TextoNormal"/>
      </w:pPr>
    </w:p>
    <w:p w:rsidR="00C54F26" w:rsidRDefault="00C54F26" w:rsidP="00C54F26">
      <w:pPr>
        <w:pStyle w:val="TextoNormal"/>
      </w:pPr>
      <w:r>
        <w:t>(i) un listado con el nombre y número de identificación fiscal de los cincuenta diputados y diputadas recurrentes pertenecientes al Grupo Parlamentario Confederal de Unidas Podemos-En Comú Podem-Galicia en Común, al Grupo Parlamentario Republicano y al Grupo Parlamentario Euskal Herria Bildu;</w:t>
      </w:r>
    </w:p>
    <w:p w:rsidR="00C54F26" w:rsidRDefault="00C54F26" w:rsidP="00C54F26">
      <w:pPr>
        <w:pStyle w:val="TextoNormal"/>
      </w:pPr>
    </w:p>
    <w:p w:rsidR="00C54F26" w:rsidRDefault="00C54F26" w:rsidP="00C54F26">
      <w:pPr>
        <w:pStyle w:val="TextoNormal"/>
      </w:pPr>
      <w:r>
        <w:t>(ii) tres escritos del secretario general del Congreso de los Diputados, de fecha 25 de noviembre de 2020, en los que se certifica la condición de diputados y diputadas de, entre otros, los y las firmantes del recurso: Grupo Parlamentario Confederal de Unidas Podemos-En Comú Podem-Galicia en Común (treinta y cinco diputados/as), Grupo Parlamentario Republicano (trece diputados/as) y Grupo Parlamentario Euskal Herria Bildu (cinco diputados/as).</w:t>
      </w:r>
    </w:p>
    <w:p w:rsidR="00C54F26" w:rsidRDefault="00C54F26" w:rsidP="00C54F26">
      <w:pPr>
        <w:pStyle w:val="TextoNormal"/>
      </w:pPr>
    </w:p>
    <w:p w:rsidR="00C54F26" w:rsidRDefault="00C54F26" w:rsidP="00C54F26">
      <w:pPr>
        <w:pStyle w:val="TextoNormal"/>
      </w:pPr>
      <w:r>
        <w:t>(iii) acta de protocolización de fecha 22 de octubre de 2020, emitida a requerimiento del secretario general y portavoz sustituto del grupo parlamentario confederal de Unidas Podemos-En Comú Podem-Galicia en Común, de un documento “firmado por los parlamentarios del ‘Grupo Parlamentario Confederal de Unidas Podemos-En Comú Podem-Galicia en Común’, ‘Grupo Parlamentario Republicano’, ‘Grupo Parlamentario Euskal Herria Bildu’ y ‘Grupo Parlamentario Plural’, que figuran en el mismo y que se corresponde con el recurso de inconstitucionalidad”;</w:t>
      </w:r>
    </w:p>
    <w:p w:rsidR="00C54F26" w:rsidRDefault="00C54F26" w:rsidP="00C54F26">
      <w:pPr>
        <w:pStyle w:val="TextoNormal"/>
      </w:pPr>
    </w:p>
    <w:p w:rsidR="00C54F26" w:rsidRDefault="00C54F26" w:rsidP="00C54F26">
      <w:pPr>
        <w:pStyle w:val="TextoNormal"/>
      </w:pPr>
      <w:r>
        <w:t>(iv) tres poderes generales para pleitos y especial para otras facultades, de fecha 22 de octubre de 2020, otorgados respectivamente por el secretario general y portavoz sustituto de cada uno de los grupos parlamentarios ya mencionados, a favor del procurador y del letrado firmante del recurso y en los que se nombra como comisionado a don Javier Sánchez Serna;</w:t>
      </w:r>
    </w:p>
    <w:p w:rsidR="00C54F26" w:rsidRDefault="00C54F26" w:rsidP="00C54F26">
      <w:pPr>
        <w:pStyle w:val="TextoNormal"/>
      </w:pPr>
    </w:p>
    <w:p w:rsidR="00C54F26" w:rsidRDefault="00C54F26" w:rsidP="00C54F26">
      <w:pPr>
        <w:pStyle w:val="TextoNormal"/>
      </w:pPr>
      <w:r>
        <w:t>(v) copia del “Boletín Oficial del Estado” en el que aparece el texto de la ley recurrida, del “Boletín Oficial de la Comunidad Autónoma de la Región de Murcia” en el que aparece el texto del decreto-ley recurrido y del boletín oficial de la citada comunidad autónoma en la que aparece la resolución por la que se ordena la publicación del acuerdo del pleno de la Asamblea de dicha comunidad autónoma por el que se acuerda la convalidación del decreto-ley recurrido.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t>Único. El recurso no cumple con la legitimación requerida [art. 162.1 a) CE y 32.1 c) de la Ley Orgánica del Tribunal Constitucional (LOTC)].</w:t>
      </w:r>
    </w:p>
    <w:p w:rsidR="00C54F26" w:rsidRDefault="00C54F26" w:rsidP="00C54F26">
      <w:pPr>
        <w:pStyle w:val="TextoNormal"/>
      </w:pPr>
    </w:p>
    <w:p w:rsidR="00C54F26" w:rsidRDefault="00C54F26" w:rsidP="00C54F26">
      <w:pPr>
        <w:pStyle w:val="TextoNormal"/>
      </w:pPr>
      <w:r>
        <w:t>Los tres poderes generales para pleitos, de fecha 22 de octubre de 2020, presentados tras el requerimiento formulado por providencia de 17 de noviembre de 2020, muestran que en cada uno de ellos, sólo interviene un diputado “en su propio nombre y derecho, como secretario general y portavoz sustituto”; lo que hace además “en nombre y representación de los diputados” del grupo respectivo. Esta última manifestación se acompaña en cada poder de los nombres, documento nacional de identidad y número de identificación fiscal de los diputados y diputadas que forman parte de los respectivos grupos parlamentarios, sin que conste que estos hayan otorgado su representación al secretario general y portavoz sustituto. Es por ello que, en puridad, solo tres poderdantes facultan a don Javier Sánchez Serna para actuar como comisionado en la interposición del presente recurso de inconstitucionalidad.</w:t>
      </w:r>
    </w:p>
    <w:p w:rsidR="00C54F26" w:rsidRDefault="00C54F26" w:rsidP="00C54F26">
      <w:pPr>
        <w:pStyle w:val="TextoNormal"/>
      </w:pPr>
    </w:p>
    <w:p w:rsidR="00C54F26" w:rsidRDefault="00C54F26" w:rsidP="00C54F26">
      <w:pPr>
        <w:pStyle w:val="TextoNormal"/>
      </w:pPr>
      <w:r>
        <w:t>Se ha de señalar también que con la misma fecha de 22 de octubre de 2020, se firmó acta protocolizada de una copia del recurso de inconstitucionalidad, como documento acreditativo de la concurrencia de la voluntad de los diputados y diputadas recurrentes para impugnar las normas ya referidas, y al final del mismo aparecen seis firmas a las que no se asocia nombre o documento de identificación alguno, tampoco grupo parlamentario al que pertenezcan. Se identifican únicamente las firmas de los parlamentarios del Grupo Parlamentario Confederal de Unidas Podemos-En Comú Podem-Galicia en Común y Grupo Parlamentario Republicano, y no de los que se citan también como firmantes en el acta protocolizada del Grupo Parlamentario Euskal Herria Bildu y de los del Grupo Parlamentario Plural, del que, en este último caso, además, no se aporta escrito del secretario general del Congreso de los Diputados en el que se certifique su condición de diputados.</w:t>
      </w:r>
    </w:p>
    <w:p w:rsidR="00C54F26" w:rsidRDefault="00C54F26" w:rsidP="00C54F26">
      <w:pPr>
        <w:pStyle w:val="TextoNormal"/>
      </w:pPr>
    </w:p>
    <w:p w:rsidR="00C54F26" w:rsidRDefault="00C54F26" w:rsidP="00C54F26">
      <w:pPr>
        <w:pStyle w:val="TextoNormal"/>
      </w:pPr>
      <w:r>
        <w:t>El recurso de inconstitucionalidad se interpone, pues, por un número inferior a los cincuenta diputados requeridos [arts. 162.1 a) CE y 32.1 c) LOTC].</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lastRenderedPageBreak/>
        <w:t>ACUERDA</w:t>
      </w:r>
    </w:p>
    <w:p w:rsidR="00C54F26" w:rsidRDefault="00C54F26" w:rsidP="00C54F26">
      <w:pPr>
        <w:pStyle w:val="TextoNormalCentrado"/>
      </w:pPr>
    </w:p>
    <w:p w:rsidR="00C54F26" w:rsidRDefault="00C54F26" w:rsidP="00C54F26">
      <w:pPr>
        <w:pStyle w:val="TextoNormal"/>
      </w:pPr>
      <w:r>
        <w:t>Inadmitir a trámite el recurso de inconstitucionalidad núm. 4870-2020.</w:t>
      </w:r>
    </w:p>
    <w:p w:rsidR="00C54F26" w:rsidRDefault="00C54F26" w:rsidP="00C54F26">
      <w:pPr>
        <w:pStyle w:val="TextoNormal"/>
      </w:pPr>
    </w:p>
    <w:p w:rsidR="00C54F26" w:rsidRDefault="00C54F26" w:rsidP="00C54F26">
      <w:pPr>
        <w:pStyle w:val="TextoNormal"/>
      </w:pPr>
      <w:r>
        <w:t>Madrid, a dieciséis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6" w:name="AUTO_2021_35"/>
      <w:r>
        <w:lastRenderedPageBreak/>
        <w:t>AUTO 35/2021, de 24 de marzo de 2021</w:t>
      </w:r>
    </w:p>
    <w:bookmarkEnd w:id="176"/>
    <w:p w:rsidR="00C54F26" w:rsidRDefault="00C54F26" w:rsidP="00C54F26">
      <w:pPr>
        <w:pStyle w:val="TtuloResolucin"/>
      </w:pPr>
      <w:r>
        <w:t>Sección Primera</w:t>
      </w:r>
    </w:p>
    <w:p w:rsidR="00C54F26" w:rsidRDefault="00C54F26" w:rsidP="00C54F26">
      <w:pPr>
        <w:pStyle w:val="TextoNormalCentrado"/>
      </w:pPr>
      <w:r>
        <w:t>ECLI:ES:TC:2021:35A</w:t>
      </w:r>
    </w:p>
    <w:p w:rsidR="00C54F26" w:rsidRDefault="00C54F26" w:rsidP="00C54F26">
      <w:pPr>
        <w:pStyle w:val="TextoNormalCentrado"/>
      </w:pPr>
    </w:p>
    <w:p w:rsidR="00C54F26" w:rsidRDefault="00C54F26" w:rsidP="00C54F26">
      <w:pPr>
        <w:pStyle w:val="SntesisDescriptiva"/>
      </w:pPr>
      <w:r>
        <w:t>Excms. Srs. don Juan José González Rivas, don Alfredo Montoya Melgar y don Cándido Conde-Pumpido Tourón.</w:t>
      </w:r>
    </w:p>
    <w:p w:rsidR="00C54F26" w:rsidRDefault="00C54F26" w:rsidP="00C54F26">
      <w:pPr>
        <w:pStyle w:val="SntesisDescriptiva"/>
      </w:pPr>
    </w:p>
    <w:p w:rsidR="00C54F26" w:rsidRDefault="00C54F26" w:rsidP="00C54F26">
      <w:pPr>
        <w:pStyle w:val="SntesisDescriptiva"/>
      </w:pPr>
      <w:r>
        <w:t>Desestima el recurso de súplica interpuesto por el Ministerio Fiscal sobre inadmisión del recurso de amparo 4519-2020, promovido por doña Juana Pulido Palomo y don Francisco Collado Cuenca,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pasado 24 de septiembre de 2020, doña Juana Pulido Palomo y don Francisco Collado Cuenca, representados por la procuradora de los tribunales doña María Ángeles Galán Jara, bajo la dirección de la letrada doña Soledad Concepción Hernández de la Torre Benzal, interpusieron recurso de amparo frente al auto de 18 de agosto de 2020, dictado por el Juzgado de Primera Instancia núm. 2 de Arenas de San Pedro (Ávila) en el juicio de ejecución hipotecaria núm. 66-2016. El auto impugnado desestimó la solicitud de nulidad —presentada el 16 de marzo de 2020— en la que reclamaban el análisis judicial del eventual carácter abusivo de algunas cláusulas contractuales del préstamo hipotecario cuyo impago había dado lugar a su reclamación en el correspondiente proceso hipotecario. La impugnación se apoyaba también en la infracción de las reglas establecidas en la ley procesal relativas al valor de adjudicación en subasta de la vivienda.</w:t>
      </w:r>
    </w:p>
    <w:p w:rsidR="00C54F26" w:rsidRDefault="00C54F26" w:rsidP="00C54F26">
      <w:pPr>
        <w:pStyle w:val="TextoNormal"/>
      </w:pPr>
    </w:p>
    <w:p w:rsidR="00C54F26" w:rsidRDefault="00C54F26" w:rsidP="00C54F26">
      <w:pPr>
        <w:pStyle w:val="TextoNormal"/>
      </w:pPr>
      <w:r w:rsidRPr="00C54F26">
        <w:rPr>
          <w:rStyle w:val="NumeroAFNegritaCaracter"/>
        </w:rPr>
        <w:t>2</w:t>
      </w:r>
      <w:r>
        <w:t>. Los demandantes de amparo alegan en su recurso la supuesta vulneración de su derecho a la tutela judicial efectiva (art. 24.1 CE), que ponen en relación con otros preceptos constitucionales (arts. 10.2, 47, 51.1 y 96.1 CE); así como del principio de igualdad en la aplicación de la ley (art. 14 CE). Según se afirma en la demanda, no constituye una resolución fundada en Derecho la que, en atención al estado de desarrollo del proceso de ejecución en el que fue presentada —una vez celebrada la subasta judicial del inmueble objeto de ejecución y declarado firme el decreto de adjudicación de la vivienda hipotecada—, acuerda no analizar el supuesto carácter abusivo de diversas cláusulas contractuales.</w:t>
      </w:r>
    </w:p>
    <w:p w:rsidR="00C54F26" w:rsidRDefault="00C54F26" w:rsidP="00C54F26">
      <w:pPr>
        <w:pStyle w:val="TextoNormal"/>
      </w:pPr>
    </w:p>
    <w:p w:rsidR="00C54F26" w:rsidRDefault="00C54F26" w:rsidP="00C54F26">
      <w:pPr>
        <w:pStyle w:val="TextoNormal"/>
      </w:pPr>
      <w:r>
        <w:t>La decisión judicial desestimatoria vino apoyada en la preclusión del plazo para formular dicha pretensión. En el auto de 18 de agosto de 2020 se argumenta lo que sigue: “no procede, una vez se ha dictado el decreto de adjudicación, el control de oficio de la posible “abusividad” de las cláusulas, al haber precluído tal posibilidad y habida cuenta, como adelantábamos, que el decreto de adjudicación es firme al no haberse interpuesto recurso alguno contra el mismo; no procede igualmente analizar la infracción [en la] que la parte ejecutante denuncia incurre tal resolución, que por mor de lo dispuesto en el artículo 227 de la Ley de enjuiciamiento civil (LEC), debió hacerse valer mediante los recursos oportunos, todo lo cual lleva a la desestimación del incidente de nulidad ahora planteado en su integridad”.</w:t>
      </w:r>
    </w:p>
    <w:p w:rsidR="00C54F26" w:rsidRDefault="00C54F26" w:rsidP="00C54F26">
      <w:pPr>
        <w:pStyle w:val="TextoNormal"/>
      </w:pPr>
    </w:p>
    <w:p w:rsidR="00C54F26" w:rsidRDefault="00C54F26" w:rsidP="00C54F26">
      <w:pPr>
        <w:pStyle w:val="TextoNormal"/>
      </w:pPr>
      <w:r>
        <w:t xml:space="preserve">Para los recurrentes, dicha respuesta no toma en consideración, de forma irrazonable, las obligaciones de protección de los consumidores establecidas en la Directiva 93/13/CEE del Consejo, de 5 de abril de 1993, sobre las cláusulas abusivas en los contratos celebrados con consumidores, que ha sido interpretada en la STJUE de 26 de enero de 2017, C-421/14, (asunto </w:t>
      </w:r>
      <w:r w:rsidRPr="00C54F26">
        <w:rPr>
          <w:i/>
        </w:rPr>
        <w:t>Banco Primus, S. A., c. Jesús Gutiérrez García</w:t>
      </w:r>
      <w:r>
        <w:t>). Según afirman, ha de entenderse que el proceso de ejecución hipotecaria sigue abierto mientras no se haya puesto la vivienda a disposición del ejecutante, por lo que, cuando el juez disponga de los elementos de hecho y de Derecho necesarios para ello, no cabe apreciar cosa juzgada ni preclusión procesal alguna que impida un pronunciamiento sobre el eventual carácter abusivo de esas cláusulas, sea a instancia de las partes o de oficio, cuando antes no haya sido analizado.</w:t>
      </w:r>
    </w:p>
    <w:p w:rsidR="00C54F26" w:rsidRDefault="00C54F26" w:rsidP="00C54F26">
      <w:pPr>
        <w:pStyle w:val="TextoNormal"/>
      </w:pPr>
    </w:p>
    <w:p w:rsidR="00C54F26" w:rsidRDefault="00C54F26" w:rsidP="00C54F26">
      <w:pPr>
        <w:pStyle w:val="TextoNormal"/>
      </w:pPr>
      <w:r>
        <w:t>La demanda concluye solicitando la estimación del recurso, la nulidad del auto impugnado y la retroacción de actuaciones, a fin de que el juzgado se pronuncie sobre el carácter abusivo de las cláusulas contractuales a las que se refiere su solicitud de nulidad de actuaciones.</w:t>
      </w:r>
    </w:p>
    <w:p w:rsidR="00C54F26" w:rsidRDefault="00C54F26" w:rsidP="00C54F26">
      <w:pPr>
        <w:pStyle w:val="TextoNormal"/>
      </w:pPr>
    </w:p>
    <w:p w:rsidR="00C54F26" w:rsidRDefault="00C54F26" w:rsidP="00C54F26">
      <w:pPr>
        <w:pStyle w:val="TextoNormal"/>
      </w:pPr>
      <w:r w:rsidRPr="00C54F26">
        <w:rPr>
          <w:rStyle w:val="NumeroAFNegritaCaracter"/>
        </w:rPr>
        <w:t>3</w:t>
      </w:r>
      <w:r>
        <w:t>. Mediante providencia de 15 de diciembre de 2020,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00C54F26" w:rsidRDefault="00C54F26" w:rsidP="00C54F26">
      <w:pPr>
        <w:pStyle w:val="TextoNormal"/>
      </w:pPr>
    </w:p>
    <w:p w:rsidR="00C54F26" w:rsidRDefault="00C54F26" w:rsidP="00C54F26">
      <w:pPr>
        <w:pStyle w:val="TextoNormal"/>
      </w:pPr>
      <w:r w:rsidRPr="00C54F26">
        <w:rPr>
          <w:rStyle w:val="NumeroAFNegritaCaracter"/>
        </w:rPr>
        <w:t>4</w:t>
      </w:r>
      <w:r>
        <w:t>. La fiscal ante el Tribunal Constitucional, mediante escrito registrado el pasado 11 de enero de 2021, interpuso recurso de súplica contra la providencia de inadmisión. En él interesa que se deje sin efecto con la ulterior admisión a trámite del presente recurso de amparo.</w:t>
      </w:r>
    </w:p>
    <w:p w:rsidR="00C54F26" w:rsidRDefault="00C54F26" w:rsidP="00C54F26">
      <w:pPr>
        <w:pStyle w:val="TextoNormal"/>
      </w:pPr>
    </w:p>
    <w:p w:rsidR="00C54F26" w:rsidRDefault="00C54F26" w:rsidP="00C54F26">
      <w:pPr>
        <w:pStyle w:val="TextoNormal"/>
      </w:pPr>
      <w:r>
        <w:t xml:space="preserve">En su recurso argumenta que el contenido de la demanda es sustancialmente idéntico al de los recursos que han dado lugar a las SSTC 31/2019, de 28 de febrero, y 140/2020, de 6 de octubre. Su especial trascendencia constitucional radicaría en “la necesidad de esclarecer si la negativa del órgano judicial a pronunciarse sobre el referido carácter de las cláusulas aludidas, so pretexto de la extemporánea petición de los recurrentes, vulnera o no el derecho a la tutela judicial efectiva sin indefensión (art. 24.1 CE), precisamente por su eventual contradicción con lo establecido por este Tribunal Constitucional y por el Tribunal de Justicia de la Unión Europea” (SSTC 31/2019, de 28 de febrero; 30/2020, de 24 de febrero, y STJUE de 26 de enero de 2017, C-421/14, asunto </w:t>
      </w:r>
      <w:r w:rsidRPr="00C54F26">
        <w:rPr>
          <w:i/>
        </w:rPr>
        <w:t>Banco Primus, S. A., c. Jesús Gutiérrez García</w:t>
      </w:r>
      <w:r>
        <w:t>), con afectación a otros derechos fundamentales, dado que se proyectó sobre el contenido de los arts. 14, 18 y 47 de la Constitución.</w:t>
      </w:r>
    </w:p>
    <w:p w:rsidR="00C54F26" w:rsidRDefault="00C54F26" w:rsidP="00C54F26">
      <w:pPr>
        <w:pStyle w:val="TextoNormal"/>
      </w:pPr>
    </w:p>
    <w:p w:rsidR="00C54F26" w:rsidRDefault="00C54F26" w:rsidP="00C54F26">
      <w:pPr>
        <w:pStyle w:val="TextoNormal"/>
      </w:pPr>
      <w:r>
        <w:t xml:space="preserve">Para la fiscal, la identidad de las cuestiones planteadas, y la estimación de los recursos ya admitidos y resueltos en casos similares, introduce una contradicción lesiva de la seguridad jurídica y, sobre todo, en atención a que la vulneración del derecho alegado podría adquirir una especial intensidad al haberse estimado la demanda de amparo en esas otras ocasiones idénticas y rechazarse </w:t>
      </w:r>
      <w:r w:rsidRPr="00C54F26">
        <w:rPr>
          <w:i/>
        </w:rPr>
        <w:t>a limine</w:t>
      </w:r>
      <w:r>
        <w:t xml:space="preserve"> esta que se inadmite. Finaliza su recurso señalando que “es precisamente la conveniencia de evitar este resultado, partiendo de una lesión nada descartable, la que abonaría la necesidad de abordar todas las demandas con un tratamiento único, para llegar a una solución común y homogénea, de manera que la especial trascendencia constitucional pudiera quedar integrada, ante la particular situación producida en este </w:t>
      </w:r>
      <w:r>
        <w:lastRenderedPageBreak/>
        <w:t>caso, por la superior defensa del derecho fundamental, en cuanto valor derivado de la propia Constitución, desvinculándose así de la mera vulneración del derecho alegado”.</w:t>
      </w:r>
    </w:p>
    <w:p w:rsidR="00C54F26" w:rsidRDefault="00C54F26" w:rsidP="00C54F26">
      <w:pPr>
        <w:pStyle w:val="TextoNormal"/>
      </w:pPr>
    </w:p>
    <w:p w:rsidR="00C54F26" w:rsidRDefault="00C54F26" w:rsidP="00C54F26">
      <w:pPr>
        <w:pStyle w:val="TextoNormal"/>
      </w:pPr>
      <w:r w:rsidRPr="00C54F26">
        <w:rPr>
          <w:rStyle w:val="NumeroAFNegritaCaracter"/>
        </w:rPr>
        <w:t>5</w:t>
      </w:r>
      <w:r>
        <w:t>. Mediante diligencia de ordenación de 12 de enero de 2021 se acordó dar traslado del recurso de súplica a la representación de los recurrentes, concediéndoles un plazo de tres días a fin de que pudiesen alegar lo que estimasen pertinente (art. 93.2 de la Ley Orgánica de este tribunal).</w:t>
      </w:r>
    </w:p>
    <w:p w:rsidR="00C54F26" w:rsidRDefault="00C54F26" w:rsidP="00C54F26">
      <w:pPr>
        <w:pStyle w:val="TextoNormal"/>
      </w:pPr>
    </w:p>
    <w:p w:rsidR="00C54F26" w:rsidRDefault="00C54F26" w:rsidP="00C54F26">
      <w:pPr>
        <w:pStyle w:val="TextoNormal"/>
      </w:pPr>
      <w:r w:rsidRPr="00C54F26">
        <w:rPr>
          <w:rStyle w:val="NumeroAFNegritaCaracter"/>
        </w:rPr>
        <w:t>6</w:t>
      </w:r>
      <w:r>
        <w:t>. Los recurrentes formularon alegaciones mediante escrito registrado el 27 de enero de 2021. Muestran en él plena conformidad con el recurso de súplica interpuesto por el Ministerio Fiscal y solicitan a este tribunal que dicte una resolución estimatoria del mismo, señalando que su recurso presenta especial trascendencia constitucional como consecuencia del incumplimiento judicial de las obligaciones de control que derivan del Derecho de la Unión Europea, y porque el recurso trasciende del caso concreto porque plantea una cuestión jurídica de relevante y general repercusión social o económica, lo que ya ha sido apreciado por este tribunal en casos anteriores.</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w:t>
      </w:r>
      <w:r w:rsidRPr="00C54F26">
        <w:rPr>
          <w:i/>
        </w:rPr>
        <w:t>Objeto del recurso y posiciones de las partes sobre su especial trascendencia constitucional</w:t>
      </w:r>
      <w:r>
        <w:t>.</w:t>
      </w:r>
    </w:p>
    <w:p w:rsidR="00C54F26" w:rsidRDefault="00C54F26" w:rsidP="00C54F26">
      <w:pPr>
        <w:pStyle w:val="TextoNormal"/>
      </w:pPr>
    </w:p>
    <w:p w:rsidR="00C54F26" w:rsidRDefault="00C54F26" w:rsidP="00C54F26">
      <w:pPr>
        <w:pStyle w:val="TextoNormal"/>
      </w:pPr>
      <w:r>
        <w:t>Como ha quedado expuesto en lo que antecede, el presente recurso de súplica tiene por objeto la providencia de 15 de diciembre de 2020, de esta Sección Primera, en la que acordamos no admitir a trámite el recurso de amparo por no apreciar en el mismo la especial trascendencia constitucional alegada que, como condición para su admisión, requiere el art. 50.1 b) de la Ley Orgánica del Tribunal Constitucional (STC 155/2009, de 25 de junio, FJ 2).</w:t>
      </w:r>
    </w:p>
    <w:p w:rsidR="00C54F26" w:rsidRDefault="00C54F26" w:rsidP="00C54F26">
      <w:pPr>
        <w:pStyle w:val="TextoNormal"/>
      </w:pPr>
    </w:p>
    <w:p w:rsidR="00C54F26" w:rsidRDefault="00C54F26" w:rsidP="00C54F26">
      <w:pPr>
        <w:pStyle w:val="TextoNormal"/>
      </w:pPr>
      <w:r>
        <w:t>Dado que en el recurso de amparo se denuncia la vulneración del derecho a la tutela judicial efectiva, constituye su objeto determinar si es fundada en Derecho la resolución judicial cuestionada, en la medida en que desestimó la petición de nulidad de actuaciones de los ahora demandantes (demandados en la causa civil previa) tras entender que, dado el avanzado estado del proceso de ejecución hipotecaria, una vez adjudicado el inmueble al acreedor, había precluido el trámite para alegar por primera vez el carácter abusivo de determinadas cláusulas del contrato de préstamo hipotecario cuyo incumplimiento había dado lugar a la ejecución.</w:t>
      </w:r>
    </w:p>
    <w:p w:rsidR="00C54F26" w:rsidRDefault="00C54F26" w:rsidP="00C54F26">
      <w:pPr>
        <w:pStyle w:val="TextoNormal"/>
      </w:pPr>
    </w:p>
    <w:p w:rsidR="00C54F26" w:rsidRDefault="00C54F26" w:rsidP="00C54F26">
      <w:pPr>
        <w:pStyle w:val="TextoNormal"/>
      </w:pPr>
      <w:r>
        <w:t xml:space="preserve">En el recurso de amparo, en un epígrafe específico dedicado a justificar su especial trascendencia constitucional, los demandantes afirman: (i) la vulneración de su derecho a la tutela judicial efectiva debido a que, aunque este tribunal no se ha pronunciado de forma expresa sobre el momento en que ha precluido la posibilidad de analizar alegaciones sobre cláusulas abusivas de un contrato de préstamo con garantía hipotecaria en un proceso de ejecución, sí ha manifestado que no precluye siempre que quede algún trámite por realizar; (ii) que la desestimación de su solicitud de nulidad “además de suponer una grave inseguridad jurídica protegida por el art. 9 de la Constitución incide sobre el derecho a la vivienda de mis mandantes consagrado por el artículo 47 [CE] ya que, si se produce el lanzamiento </w:t>
      </w:r>
      <w:r>
        <w:lastRenderedPageBreak/>
        <w:t>y la puesta a disposición de la vivienda adjudicada al adjudicatario, mis mandantes quedarían en la calle, personas especialmente vulnerables al tratarse de una pareja de avanzada edad (77 años)”. Por último, (iii) hacen invocación expresa de las razones que se apreciaron en la STC 31/2019 para justificar la admisión a trámite del recurso que dio lugar a aquella resolución (FJ 2), primera en la que este tribunal se ha pronunciado sobre diversos criterios judiciales de interpretación de la Directiva 93/13/CEE del Consejo, de 5 de abril de 1993, en relación con la interdicción de las cláusulas abusivas en los contratos celebrados con consumidores.</w:t>
      </w:r>
    </w:p>
    <w:p w:rsidR="00C54F26" w:rsidRDefault="00C54F26" w:rsidP="00C54F26">
      <w:pPr>
        <w:pStyle w:val="TextoNormal"/>
      </w:pPr>
    </w:p>
    <w:p w:rsidR="00C54F26" w:rsidRDefault="00C54F26" w:rsidP="00C54F26">
      <w:pPr>
        <w:pStyle w:val="TextoNormal"/>
      </w:pPr>
      <w:r>
        <w:t>Por su parte, la representante del Ministerio Fiscal impugna en súplica la decisión de inadmisión acordada al apreciar que, por su contenido y efectos, concurren motivos de especial trascendencia constitucional en el recurso de amparo que justifican su admisión a trámite. Dos son los aspectos nucleares del recurso de amparo en los que se apoya la impugnación: (i) la identidad de contenido y efectos que mantiene con los recursos resueltos en las SSTC 31/2019, 30/2020 y 140/2020, lo que exigiría darles el mismo tratamiento procesal, y (ii) que el recurso plantea una cuestión jurídica de relevante y general repercusión social o económica, por venir referido a un préstamo hipotecario sobre una vivienda habitual y denunciar el incumplimiento del Derecho de la Unión Europea, tal y como ha sido interpretado por su Tribunal de Justicia.</w:t>
      </w:r>
    </w:p>
    <w:p w:rsidR="00C54F26" w:rsidRDefault="00C54F26" w:rsidP="00C54F26">
      <w:pPr>
        <w:pStyle w:val="TextoNormal"/>
      </w:pPr>
    </w:p>
    <w:p w:rsidR="00C54F26" w:rsidRDefault="00C54F26" w:rsidP="00C54F26">
      <w:pPr>
        <w:pStyle w:val="TextoNormal"/>
      </w:pPr>
      <w:r>
        <w:t>Los demandantes han manifestado su conformidad plena con el recurso de súplica interpuesto por el ministerio fiscal. Solicitan a este tribunal que dicte una resolución estimatoria del mismo, y argumentan que su recurso presenta especial trascendencia constitucional porque pone de manifiesto el incumplimiento de las obligaciones judiciales de control que derivan del Derecho de la Unión Europea, y porque trasciende del caso concreto al plantear una cuestión jurídica de relevante y general repercusión social o económica, lo que ya ha sido apreciado en casos anteriores.</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w:t>
      </w:r>
      <w:r w:rsidRPr="00C54F26">
        <w:rPr>
          <w:i/>
        </w:rPr>
        <w:t>Resolución del recurso de súplica</w:t>
      </w:r>
      <w:r>
        <w:t>.</w:t>
      </w:r>
    </w:p>
    <w:p w:rsidR="00C54F26" w:rsidRDefault="00C54F26" w:rsidP="00C54F26">
      <w:pPr>
        <w:pStyle w:val="TextoNormal"/>
      </w:pPr>
    </w:p>
    <w:p w:rsidR="00C54F26" w:rsidRDefault="00C54F26" w:rsidP="00C54F26">
      <w:pPr>
        <w:pStyle w:val="TextoNormal"/>
      </w:pPr>
      <w:r>
        <w:t>Como este tribunal tuvo ocasión de recordar en las SSTC 11/2011, de 28 de febrero (FJ 2); y 10/2018, de 5 de febrero (FJ 2), la entrada en vigor de la Ley Orgánica 6/2007, de 24 de mayo, supuso una importante modificación del régimen jurídico del trámite de la admisión del recurso de amparo debido a la inclusión de nuevos requisitos de procedibilidad.</w:t>
      </w:r>
    </w:p>
    <w:p w:rsidR="00C54F26" w:rsidRDefault="00C54F26" w:rsidP="00C54F26">
      <w:pPr>
        <w:pStyle w:val="TextoNormal"/>
      </w:pPr>
    </w:p>
    <w:p w:rsidR="00C54F26" w:rsidRDefault="00C54F26" w:rsidP="00C54F26">
      <w:pPr>
        <w:pStyle w:val="TextoNormal"/>
      </w:pPr>
      <w:r>
        <w:t>Entre ellos, destaca como caracterización más distintiva el enunciado en el artículo 50.1 b) LOTC, que exige que el contenido del recurso debe justificar una decisión sobre el fondo por parte del Tribunal Constitucional por su especial trascendencia constitucional, la cual se apreciará atendiendo a su importancia para la interpretación de la Constitución, para su aplicación o para su general eficacia, y para la determinación del contenido y alcance de los derechos fundamentales. Se trata de un requisito que solo corresponde valorar a este tribunal atendiendo a los tres criterios que en el precepto legal se enuncian. Ahora bien, el perfil abierto, tanto de la noción de “la especial trascendencia constitucional”, como de los tres criterios antes reproducidos que la propia ley reguladora ofrece para su caracterización, ha llevado al tribunal a realizar un esfuerzo de concreción que se inició en la STC 155/2009, de 25 de junio, FJ 2. En ella, sin ánimo exhaustivo, se identificaron determinados criterios adicionales propiciadores de la apreciación de esa especial trascendencia constitucional.</w:t>
      </w:r>
    </w:p>
    <w:p w:rsidR="00C54F26" w:rsidRDefault="00C54F26" w:rsidP="00C54F26">
      <w:pPr>
        <w:pStyle w:val="TextoNormal"/>
      </w:pPr>
    </w:p>
    <w:p w:rsidR="00C54F26" w:rsidRDefault="00C54F26" w:rsidP="00C54F26">
      <w:pPr>
        <w:pStyle w:val="TextoNormal"/>
      </w:pPr>
      <w:r>
        <w:lastRenderedPageBreak/>
        <w:t>Hemos reiterado también que la citada reforma ha reforzado la dimensión objetiva del recurso de amparo. De este modo, “la mera lesión de un derecho fundamental o libertad pública tutelable en amparo ya no será por sí sola suficiente para admitir el recurso” (ATC 29/2011, de 17 de marzo, FJ 3). Así, para que este tribunal pueda admitir el recurso de amparo y, en su caso, otorgar la tutela del derecho fundamental que se estima vulnerado, ya no basta (frente a lo que sucedía con anterioridad a la reforma introducida por la Ley Orgánica 6/2007) que se haya producido la lesión subjetiva del derecho fundamental, sino que la admisión y tutela solo procederá si a esa lesión subjetiva se une el indispensable requisito objetivo de que el problema planteado en el recurso posea una “especial trascendencia constitucional” [art. 50.1 b) LOTC]. De tal manera que, si no concurre ese requisito sustantivo, aunque resulte verosímil la existencia de lesión subjetiva del derecho fundamental y sea cual sea la gravedad de esta, este tribunal no viene obligado a admitir el recurso de amparo.</w:t>
      </w:r>
    </w:p>
    <w:p w:rsidR="00C54F26" w:rsidRDefault="00C54F26" w:rsidP="00C54F26">
      <w:pPr>
        <w:pStyle w:val="TextoNormal"/>
      </w:pPr>
    </w:p>
    <w:p w:rsidR="00C54F26" w:rsidRDefault="00C54F26" w:rsidP="00C54F26">
      <w:pPr>
        <w:pStyle w:val="TextoNormal"/>
      </w:pPr>
      <w:r>
        <w:t>La toma en consideración de estos criterios, puestos en relación con los diversos argumentos expuestos por el Ministerio Fiscal y los demandantes en favor de la apreciación de especial trascendencia constitucional en el recurso planteado, conduce a su desestimación y a la ratificación de la decisión de inadmisión cuestionada, por las razones que a continuación se exponen:</w:t>
      </w:r>
    </w:p>
    <w:p w:rsidR="00C54F26" w:rsidRDefault="00C54F26" w:rsidP="00C54F26">
      <w:pPr>
        <w:pStyle w:val="TextoNormal"/>
      </w:pPr>
    </w:p>
    <w:p w:rsidR="00C54F26" w:rsidRDefault="00C54F26" w:rsidP="00C54F26">
      <w:pPr>
        <w:pStyle w:val="TextoNormal"/>
      </w:pPr>
      <w:r>
        <w:t>a) La decisión de inadmisión que ahora se ratifica fue adoptada a la vista de los motivos de especial trascendencia constitucional alegados por los recurrentes en la demanda. En ella se razonó en favor de la admisión, básicamente, mediante la justificación de la verosimilitud de la lesión alegada, con apoyo en el contenido de anteriores decisiones de este tribunal; concretamente, de la STC 31/2019, de 28 de febrero (de la que es aplicación la también citada STC 30/2020, de 20 de febrero).</w:t>
      </w:r>
    </w:p>
    <w:p w:rsidR="00C54F26" w:rsidRDefault="00C54F26" w:rsidP="00C54F26">
      <w:pPr>
        <w:pStyle w:val="TextoNormal"/>
      </w:pPr>
    </w:p>
    <w:p w:rsidR="00C54F26" w:rsidRDefault="00C54F26" w:rsidP="00C54F26">
      <w:pPr>
        <w:pStyle w:val="TextoNormal"/>
      </w:pPr>
      <w:r>
        <w:t xml:space="preserve">La argumentación expuesta en la demanda no permitía apreciar la especial trascendencia constitucional del recurso. En tal sentido, debemos reiterar que no otorga especial trascendencia constitucional a una queja de amparo la circunstancia de que la lesión aducida sea verosímil. Mucho menos que otra similar haya sido ya estimada como lesiva de un derecho fundamental por este tribunal pues, en muchas ocasiones, es dicho pronunciamiento estimatorio el que produce </w:t>
      </w:r>
      <w:r w:rsidRPr="00C54F26">
        <w:rPr>
          <w:i/>
        </w:rPr>
        <w:t>a futuro</w:t>
      </w:r>
      <w:r>
        <w:t xml:space="preserve"> la pérdida de especial trascendencia constitucional de quejas semejantes.</w:t>
      </w:r>
    </w:p>
    <w:p w:rsidR="00C54F26" w:rsidRDefault="00C54F26" w:rsidP="00C54F26">
      <w:pPr>
        <w:pStyle w:val="TextoNormal"/>
      </w:pPr>
    </w:p>
    <w:p w:rsidR="00C54F26" w:rsidRDefault="00C54F26" w:rsidP="00C54F26">
      <w:pPr>
        <w:pStyle w:val="TextoNormal"/>
      </w:pPr>
      <w:r>
        <w:t xml:space="preserve">Cuando, como en este caso, se aduce como lesionado el derecho a obtener de jueces y tribunales una decisión fundada en Derecho sobre las pretensiones en litigio, una vez ha sido determinada por este tribunal la arbitrariedad o manifiesta irrazonabilidad de un criterio de interpretación judicial de las normas aplicables, no resulta preciso para la interpretación de la Constitución, para su aplicación o para su general eficacia, ni para la determinación del contenido y alcance de los derechos fundamentales, pronunciarse reiteradamente en amparo en el mismo sentido. Solo lo será cuando además concurra alguno de los supuestos establecidos en la STC 155/2009, de 25 de junio, FJ 2; singularmente cuando se aprecie que la vulneración del derecho fundamental traiga causa de una reiterada interpretación jurisprudencial de la norma que el Tribunal Constitucional considere lesiva del derecho fundamental; cuando la doctrina constitucional sobre el derecho fundamental que se alega en el recurso esté siendo incumplida de modo general y reiterado por la jurisdicción ordinaria, o, </w:t>
      </w:r>
      <w:r>
        <w:lastRenderedPageBreak/>
        <w:t>por último, cuando un órgano judicial incurra en una negativa manifiesta del deber de acatamiento de la doctrina del Tribunal Constitucional a que se refiere el recurso [apartados d), e) y f) de la STC 155/2009].</w:t>
      </w:r>
    </w:p>
    <w:p w:rsidR="00C54F26" w:rsidRDefault="00C54F26" w:rsidP="00C54F26">
      <w:pPr>
        <w:pStyle w:val="TextoNormal"/>
      </w:pPr>
    </w:p>
    <w:p w:rsidR="00C54F26" w:rsidRDefault="00C54F26" w:rsidP="00C54F26">
      <w:pPr>
        <w:pStyle w:val="TextoNormal"/>
      </w:pPr>
      <w:r>
        <w:t>b) Las razones adicionales expuestas por la fiscal y los demandantes en favor del recurso de súplica tampoco justifican la apreciación de la especial trascendencia constitucional que se reclama.</w:t>
      </w:r>
    </w:p>
    <w:p w:rsidR="00C54F26" w:rsidRDefault="00C54F26" w:rsidP="00C54F26">
      <w:pPr>
        <w:pStyle w:val="TextoNormal"/>
      </w:pPr>
    </w:p>
    <w:p w:rsidR="00C54F26" w:rsidRDefault="00C54F26" w:rsidP="00C54F26">
      <w:pPr>
        <w:pStyle w:val="TextoNormal"/>
      </w:pPr>
      <w:r>
        <w:t>(i) La fiscal argumenta en favor de la admisión destacando que el contenido de la demanda es sustancialmente idéntico al de los recursos que han dado lugar a las SSTC 31/2019 y 140/2020. Sin embargo, tal coincidencia material no otorga por sí misma especial trascendencia constitucional al recurso de amparo, ni justifica que, en fase de admisión, este tribunal le otorgue el mismo tratamiento que a los que le han precedido, una vez ya ha sido resuelta la cuestión planteada en un pronunciamiento de fondo en forma de sentencia. En la STC 31/2019 (FFJJ 6 y 7) este tribunal se pronunció sobre la posibilidad de apreciar un momento de preclusión procesal más allá del cual no pudiera plantearse el control, de oficio o a instancia de parte, del carácter abusivo de las cláusulas contractuales. De esta manera, la cuestión nuclear planteada en este recurso de amparo no es novedosa en cuanto fue ya abordada y resuelta en la citada resolución, en la que señalamos: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En la propia STC 31/2019, FJ 8, este tribunal se hizo eco del contenido de la STJUE de 26 de enero de 2017, alegada por los demandantes, en cuanto señalaba que: “a la luz de la legislación nacional presentada por el órgano jurisdiccional remitente, el procedimiento de ejecución hipotecaria en cuestión no ha concluido y continúa hasta que el inmueble se ponga en posesión del adquirente, tal como confirmó el Gobierno español en sus observaciones escritas” (apartado 32), añadiendo que “la disposición transitoria cuarta de la Ley 1/2013 establece que dicha disposición es aplicable ‘a todo procedimiento ejecutivo que no haya culminado con la puesta en posesión del inmueble al adquirente”.</w:t>
      </w:r>
    </w:p>
    <w:p w:rsidR="00C54F26" w:rsidRDefault="00C54F26" w:rsidP="00C54F26">
      <w:pPr>
        <w:pStyle w:val="TextoNormal"/>
      </w:pPr>
    </w:p>
    <w:p w:rsidR="00C54F26" w:rsidRDefault="00C54F26" w:rsidP="00C54F26">
      <w:pPr>
        <w:pStyle w:val="TextoNormal"/>
      </w:pPr>
      <w:r>
        <w:t>En el caso que analizamos, la petición de nulidad fue planteada en la vía judicial previa el 16 de marzo de 2020, y la resolución cuestionada en amparo fue dictada el 18 de agosto de 2020, esto es, transcurrido más de un año desde la publicación de la STC 31/2019, que lo fue el día 26 de marzo de 2019. Por tanto, su doctrina pudo ser aducida ante el órgano judicial, y su voluntario desconocimiento, si se hubiera producido, pudo ser alegado en el recurso de amparo como causa de especial trascendencia constitucional, denunciando la negativa manifiesta del deber de acatamiento de la doctrina constitucional por parte del juez del caso. Este conjunto de circunstancias impide apreciar la concurrencia del motivo de especial trascendencia constitucional aducido que ahora analizamos.</w:t>
      </w:r>
    </w:p>
    <w:p w:rsidR="00C54F26" w:rsidRDefault="00C54F26" w:rsidP="00C54F26">
      <w:pPr>
        <w:pStyle w:val="TextoNormal"/>
      </w:pPr>
    </w:p>
    <w:p w:rsidR="00C54F26" w:rsidRDefault="00C54F26" w:rsidP="00C54F26">
      <w:pPr>
        <w:pStyle w:val="TextoNormal"/>
      </w:pPr>
      <w:r>
        <w:t xml:space="preserve">(ii) Tanto la fiscal como los demandantes se remiten al motivo de especial trascendencia constitucional apreciado en la STC 31/2019 para defender la necesidad de su apreciación en el presente. Tal pretensión no puede ser tampoco compartida. Destacamos antes que la STC 31/2019 ha sido la primera en la que este tribunal se ha pronunciado sobre diversos criterios judiciales de interpretación de la Directiva 93/13/CEE del Consejo, de 5 de abril de 1993, en relación con la interdicción de las cláusulas abusivas en los contratos celebrados con </w:t>
      </w:r>
      <w:r>
        <w:lastRenderedPageBreak/>
        <w:t>consumidores. El recurso entonces admitido a trámite planteaba una cuestión novedosa, relacionada con el cumplimiento del Derecho de la Unión Europea que se refería a contratos de préstamos hipotecarios celebrados por las entidades bancarias con consumidores. En el momento que fue admitido a trámite dicho recurso de amparo resultaba justificado apreciar la especial trascendencia constitucional de la cuestión planteada a la vista de las diversas circunstancias concurrentes que han sido descritas. Pero, una vez abordada y resuelta la cuestión, una vez publicada la STC 31/2019, estimatoria del amparo, con efectos frente a todos, así como las SSTC 30/2020, de 24 de febrero; 48/2020, de 15 de junio; 140/2020, de 6 de octubre; 7, 8 y 21/2021, de 25 de enero —que son aplicación de la primera— la cuestión planteada no mantiene ni presenta la especial trascendencia constitucional aducida, precisamente, por haber sido ya abordada y resuelta en anteriores pronunciamientos que, por razones temporales, han podido invocarse ante la jurisdicción ordinaria pretendiendo la aplicación de la doctrina constitucional que ya ha sido fijada.</w:t>
      </w:r>
    </w:p>
    <w:p w:rsidR="00C54F26" w:rsidRDefault="00C54F26" w:rsidP="00C54F26">
      <w:pPr>
        <w:pStyle w:val="TextoNormal"/>
      </w:pPr>
    </w:p>
    <w:p w:rsidR="00C54F26" w:rsidRDefault="00C54F26" w:rsidP="00C54F26">
      <w:pPr>
        <w:pStyle w:val="TextoNormal"/>
      </w:pPr>
      <w:r>
        <w:t>(iii) Por último, que la cuestión objeto de litigio en la vía judicial previa recaiga sobre un inmueble que constituye vivienda habitual de sus moradores no le otorga, en sí misma, especial trascendencia constitucional, pues es un motivo que no guarda relación ni analogía con el elenco que, sin pretensión de exhaustividad, fue determinado en la STC 155/2009, de 25 de junio.</w:t>
      </w:r>
    </w:p>
    <w:p w:rsidR="00C54F26" w:rsidRDefault="00C54F26" w:rsidP="00C54F26">
      <w:pPr>
        <w:pStyle w:val="TextoNormal"/>
      </w:pPr>
    </w:p>
    <w:p w:rsidR="00C54F26" w:rsidRDefault="00C54F26" w:rsidP="00C54F26">
      <w:pPr>
        <w:pStyle w:val="TextoNormal"/>
      </w:pPr>
      <w:r>
        <w:t>Cabe concluir, por tanto, que el recurso de súplica debe ser desestimado en tanto, en el momento de presentarse el recurso de amparo, y también al ejercer la pretensión en la vía judicial, la cuestión planteada se refería a un problema o una faceta de un derecho fundamental sobre el que ya existía doctrina específica de este tribunal. En consecuencia, procede desestimar el recurso de súplica interpuesto por el Ministerio Fiscal y ratificar la providencia de 15 de diciembre de 2020 impugnada, que acordó la inadmisión a trámite del recurso de amparo presentado por los demandantes.</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Desestimar el recurso de súplica interpuesto por el Ministerio Fiscal y, en consecuencia, ratificar la providencia de 15 de diciembre de 2020 que ha sido impugnada.</w:t>
      </w:r>
    </w:p>
    <w:p w:rsidR="00C54F26" w:rsidRDefault="00C54F26" w:rsidP="00C54F26">
      <w:pPr>
        <w:pStyle w:val="TextoNormal"/>
      </w:pPr>
    </w:p>
    <w:p w:rsidR="00C54F26" w:rsidRDefault="00C54F26" w:rsidP="00C54F26">
      <w:pPr>
        <w:pStyle w:val="TextoNormal"/>
      </w:pPr>
      <w:r>
        <w:t>Madrid, a veinticuatro de marzo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7" w:name="AUTO_2021_36"/>
      <w:r>
        <w:lastRenderedPageBreak/>
        <w:t>AUTO 36/2021, de 5 de abril de 2021</w:t>
      </w:r>
    </w:p>
    <w:bookmarkEnd w:id="177"/>
    <w:p w:rsidR="00C54F26" w:rsidRDefault="00C54F26" w:rsidP="00C54F26">
      <w:pPr>
        <w:pStyle w:val="TtuloResolucin"/>
      </w:pPr>
      <w:r>
        <w:t>Sección Primera</w:t>
      </w:r>
    </w:p>
    <w:p w:rsidR="00C54F26" w:rsidRDefault="00C54F26" w:rsidP="00C54F26">
      <w:pPr>
        <w:pStyle w:val="TextoNormalCentrado"/>
      </w:pPr>
      <w:r>
        <w:t>ECLI:ES:TC:2021:36A</w:t>
      </w:r>
    </w:p>
    <w:p w:rsidR="00C54F26" w:rsidRDefault="00C54F26" w:rsidP="00C54F26">
      <w:pPr>
        <w:pStyle w:val="TextoNormalCentrado"/>
      </w:pPr>
    </w:p>
    <w:p w:rsidR="00C54F26" w:rsidRDefault="00C54F26" w:rsidP="00C54F26">
      <w:pPr>
        <w:pStyle w:val="SntesisDescriptiva"/>
      </w:pPr>
      <w:r>
        <w:t>Excms. Srs. don Juan José González Rivas, don Alfredo Montoya Melgar y don Cándido Conde-Pumpido Tourón.</w:t>
      </w:r>
    </w:p>
    <w:p w:rsidR="00C54F26" w:rsidRDefault="00C54F26" w:rsidP="00C54F26">
      <w:pPr>
        <w:pStyle w:val="SntesisDescriptiva"/>
      </w:pPr>
    </w:p>
    <w:p w:rsidR="00C54F26" w:rsidRDefault="00C54F26" w:rsidP="00C54F26">
      <w:pPr>
        <w:pStyle w:val="SntesisDescriptiva"/>
      </w:pPr>
      <w:r>
        <w:t>Estima el recurso de súplica interpuesto por el Ministerio Fiscal y ordena la retroacción de actuaciones para que se dicte providencia sobre admisibilidad del recurso de amparo 5368-2020, promovido por Euroinversiones Inmobiliarias Costa Sur, S.L.,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10 de noviembre de 2020, la entidad Euroinversiones Inmobiliarias Costa Sur, S.L., representada por la procuradora de los tribunales doña Blanca Berriatua Horta y bajo la dirección del Letrado don Marcelino Gilabert García, interpuso recurso de amparo contra los autos de 21 de septiembre de 2018 y de 29 de septiembre de 2020, dictados por el Juzgado de Primera Instancia e Instrucción núm. 5 de Lorca, en el procedimiento de ejecución hipotecaria núm. 290-2018, por los que, respectivamente, se inadmite por extemporánea la demanda de oposición formulada y se confirma esta última decisión, tras desestimarse el recurso de reposición interpuesto frente a ella.</w:t>
      </w:r>
    </w:p>
    <w:p w:rsidR="00C54F26" w:rsidRDefault="00C54F26" w:rsidP="00C54F26">
      <w:pPr>
        <w:pStyle w:val="TextoNormal"/>
      </w:pPr>
    </w:p>
    <w:p w:rsidR="00C54F26" w:rsidRDefault="00C54F26" w:rsidP="00C54F26">
      <w:pPr>
        <w:pStyle w:val="TextoNormal"/>
      </w:pPr>
      <w:r w:rsidRPr="00C54F26">
        <w:rPr>
          <w:rStyle w:val="NumeroAFNegritaCaracter"/>
        </w:rPr>
        <w:t>2</w:t>
      </w:r>
      <w:r>
        <w:t>. Los antecedentes relevantes para resolver la pretensión planteada, según se recogen en la demanda y en la documentación aportada, son en síntesis los siguientes:</w:t>
      </w:r>
    </w:p>
    <w:p w:rsidR="00C54F26" w:rsidRDefault="00C54F26" w:rsidP="00C54F26">
      <w:pPr>
        <w:pStyle w:val="TextoNormal"/>
      </w:pPr>
    </w:p>
    <w:p w:rsidR="00C54F26" w:rsidRDefault="00C54F26" w:rsidP="00C54F26">
      <w:pPr>
        <w:pStyle w:val="TextoNormal"/>
      </w:pPr>
      <w:r>
        <w:t>a) En el Juzgado de Primera Instancia e Instrucción núm. 4 de Lorca se sigue procedimiento de ejecución hipotecaria núm. 290-2018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C54F26" w:rsidRDefault="00C54F26" w:rsidP="00C54F26">
      <w:pPr>
        <w:pStyle w:val="TextoNormal"/>
      </w:pPr>
    </w:p>
    <w:p w:rsidR="00C54F26" w:rsidRDefault="00C54F26" w:rsidP="00C54F26">
      <w:pPr>
        <w:pStyle w:val="TextoNormal"/>
      </w:pPr>
      <w:r>
        <w:t>b) El servicio de notificaciones de la Fábrica Nacional de Moneda y Timbre remitió a la demandante de amparo, a través de la dirección electrónica habilitada, un aviso de notificación que le fue comunicado por dicho medio el 21 de mayo de 2018. En dicha comunicación se informa que la notificación estará disponible hasta el 6 de julio del mismo año. Según consta en el certificado remitido por el servicio de soporte del servicio de notificaciones electrónicas y dirección electrónica habilitada, la notificación fue aceptada el 6 de julio de 2018.</w:t>
      </w:r>
    </w:p>
    <w:p w:rsidR="00C54F26" w:rsidRDefault="00C54F26" w:rsidP="00C54F26">
      <w:pPr>
        <w:pStyle w:val="TextoNormal"/>
      </w:pPr>
    </w:p>
    <w:p w:rsidR="00C54F26" w:rsidRDefault="00C54F26" w:rsidP="00C54F26">
      <w:pPr>
        <w:pStyle w:val="TextoNormal"/>
      </w:pPr>
      <w:r>
        <w:t>c) La representación legal de Euroinversiones Inmobiliarias Costa Sur, S.L., presentó escrito de oposición a la ejecución despachada con fecha 18 de julio de 2018. Por auto de 21 de septiembre de 2018 se acordó su inadmisión por considerar la pretensión extemporánea.</w:t>
      </w:r>
    </w:p>
    <w:p w:rsidR="00C54F26" w:rsidRDefault="00C54F26" w:rsidP="00C54F26">
      <w:pPr>
        <w:pStyle w:val="TextoNormal"/>
      </w:pPr>
    </w:p>
    <w:p w:rsidR="00C54F26" w:rsidRDefault="00C54F26" w:rsidP="00C54F26">
      <w:pPr>
        <w:pStyle w:val="TextoNormal"/>
      </w:pPr>
      <w:r>
        <w:t>d) La sociedad mercantil recurrente interpuso recurso de reposición contra el auto de inadmisión alegando, en síntesis, que las actuaciones de notificación y requerimiento no habían sido realizadas el día 21 de mayo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21 de mayo hasta el 6 de julio de 2018), pues entenderlo de otro modo, además de infringir los arts. 135, 152, 160, 162 de la Ley de enjuiciamiento civil (LEC), vulnera el art. 24 CE.</w:t>
      </w:r>
    </w:p>
    <w:p w:rsidR="00C54F26" w:rsidRDefault="00C54F26" w:rsidP="00C54F26">
      <w:pPr>
        <w:pStyle w:val="TextoNormal"/>
      </w:pPr>
    </w:p>
    <w:p w:rsidR="00C54F26" w:rsidRDefault="00C54F26" w:rsidP="00C54F26">
      <w:pPr>
        <w:pStyle w:val="TextoNormal"/>
      </w:pPr>
      <w:r>
        <w:t>e) Tras su tramitación, el recurso de reposición fue desestimado por auto de 29 de septiembre de 2020. Según esta resolución, “en fecha 21 de mayo de 2018 se notificó y requirió en legal forma a la demandada a través de la sede judicial electrónica al ser persona jurídica, la remisión fue correcta y no es hasta el día 18 de julio de 2018 cuando se presenta la oposición, claramente fuera del plazo de los diez días que se le concede a la parte ejecutada para presentar su oposición. Es por lo que se inadmitió la misma y por lo que el recurso ha de ser desestimado”.</w:t>
      </w:r>
    </w:p>
    <w:p w:rsidR="00C54F26" w:rsidRDefault="00C54F26" w:rsidP="00C54F26">
      <w:pPr>
        <w:pStyle w:val="TextoNormal"/>
      </w:pPr>
    </w:p>
    <w:p w:rsidR="00C54F26" w:rsidRDefault="00C54F26" w:rsidP="00C54F26">
      <w:pPr>
        <w:pStyle w:val="TextoNormal"/>
      </w:pPr>
      <w:r w:rsidRPr="00C54F26">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a cuyo tenor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Señala que el auto recurrido vulnera el art. 24 CE teniendo en cuenta que la cuestión ya había sido resuelta por el Tribunal Constitucional, en numerosas sentencias en casos exactamente iguales a este, e incluso respecto a resoluciones del mismo Juzgado de Primera Instancia e Instrucción núm. 5 de Lorca; y así, cita las SSTC 40/2020, de 27 de febrero; 77/2020, de 29 de junio, y 130/2020, de 21 de septiembre. Reproduce también la STC 47/2019, de 8 de abril.</w:t>
      </w:r>
    </w:p>
    <w:p w:rsidR="00C54F26" w:rsidRDefault="00C54F26" w:rsidP="00C54F26">
      <w:pPr>
        <w:pStyle w:val="TextoNormal"/>
      </w:pPr>
    </w:p>
    <w:p w:rsidR="00C54F26" w:rsidRDefault="00C54F26" w:rsidP="00C54F26">
      <w:pPr>
        <w:pStyle w:val="TextoNormal"/>
      </w:pPr>
      <w:r>
        <w:t>Justifica la especial trascendencia constitucional, aludiendo al hecho de que esta cuestión ya ha sido resuelta por el Tribunal Constitucional en numerosas sentencias, en las que ha sido parte la mercantil Euroinversiones Inmobiliarias Costa Sur, S.L., resolviendo el Tribunal Constitucional en el sentido de que el primer emplazamiento o citación al demandado debe hacerse en papel y en su domicilio, de conformidad con el art. 155 LEC. Así, señala que, entre otras, lo ha resuelto el Pleno del Tribunal Constitucional en su sentencia 40/2020, de 27 de febrero, y la Sala Segunda en su sentencia 43/2020, de 9 de marzo.</w:t>
      </w:r>
    </w:p>
    <w:p w:rsidR="00C54F26" w:rsidRDefault="00C54F26" w:rsidP="00C54F26">
      <w:pPr>
        <w:pStyle w:val="TextoNormal"/>
      </w:pPr>
    </w:p>
    <w:p w:rsidR="00C54F26" w:rsidRDefault="00C54F26" w:rsidP="00C54F26">
      <w:pPr>
        <w:pStyle w:val="TextoNormal"/>
      </w:pPr>
      <w:r>
        <w:t>En la demanda se solicita la suspensión de la continuación del procedimiento de ejecución hipotecaria hasta que sea resuelto el recurso de amparo.</w:t>
      </w:r>
    </w:p>
    <w:p w:rsidR="00C54F26" w:rsidRDefault="00C54F26" w:rsidP="00C54F26">
      <w:pPr>
        <w:pStyle w:val="TextoNormal"/>
      </w:pPr>
    </w:p>
    <w:p w:rsidR="00C54F26" w:rsidRDefault="00C54F26" w:rsidP="00C54F26">
      <w:pPr>
        <w:pStyle w:val="TextoNormal"/>
      </w:pPr>
      <w:r w:rsidRPr="00C54F26">
        <w:rPr>
          <w:rStyle w:val="NumeroAFNegritaCaracter"/>
        </w:rPr>
        <w:t>4</w:t>
      </w:r>
      <w:r>
        <w:t>. Mediante providencia de 10 de febrero de 2021,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00C54F26" w:rsidRDefault="00C54F26" w:rsidP="00C54F26">
      <w:pPr>
        <w:pStyle w:val="TextoNormal"/>
      </w:pPr>
    </w:p>
    <w:p w:rsidR="00C54F26" w:rsidRDefault="00C54F26" w:rsidP="00C54F26">
      <w:pPr>
        <w:pStyle w:val="TextoNormal"/>
      </w:pPr>
      <w:r w:rsidRPr="00C54F26">
        <w:rPr>
          <w:rStyle w:val="NumeroAFNegritaCaracter"/>
        </w:rPr>
        <w:t>5</w:t>
      </w:r>
      <w:r>
        <w:t xml:space="preserve">. El Ministerio Fiscal, mediante escrito registrado con fecha 23 de febrero de 2021, interpuso recurso de súplica </w:t>
      </w:r>
      <w:r w:rsidRPr="00C54F26">
        <w:rPr>
          <w:i/>
        </w:rPr>
        <w:t>ex</w:t>
      </w:r>
      <w:r>
        <w:t xml:space="preserve"> art. 50.3 de la Ley Orgánica del Tribunal Constitucional (LOTC) contra la providencia de 10 de febrero de 2021, en el que interesó que se dejara sin efecto la providencia indicada, dictándose otra en su lugar admitiendo el recurso de amparo. Para el fiscal son dos las razones por las que el Tribunal Constitucional debería replantearse la apreciación de la trascendencia constitucional. La primera es la existencia de otras demandas admitidas por las Salas Primera y Segunda de este Tribunal Constitucional con contenido sustancialmente idéntico al de la presente demanda. La identidad subjetiva y el planteamiento idéntico de las cuestiones alegadas trae consigo una contradicción lesiva de la seguridad jurídica, lo que abonaría la necesidad de abordar todas las demandas con un tratamiento único para llegar a una solución común y homogénea. El Ministerio Fiscal argumenta en su recurso que el contenido de la demanda es idéntico al de otras muchas interpuestas por la misma demandante o por Penrei Inversiones, S.L., contra resoluciones idénticas de diversos juzgados de primera instancia e instrucción de Lorca, siendo tales demandas de amparo admitidas al apreciarse su especial trascendencia constitucional, habiéndose resuelto varios de dichos recursos estimando la demanda y acordado la nulidad de las resoluciones objeto de amparo. Afirma que desde la sentencia del Pleno 40/2020, de 27 de febrero, se han ido sucediendo múltiples pronunciamientos en igual sentido. Indica que en este caso, en el que la demanda de amparo tiene su origen en el auto de 21 de septiembre de 2018 de inadmisión a trámite por extemporánea de la oposición a la ejecución y en el auto de 29 de septiembre de 2020 interpuesto contra la anterior resolución, conviene resaltar la fecha de este último auto, que es posterior a las SSTC 77/2020, de 20 de junio; 94/2020, de 20 de julio, y 130/2020, de 21 de septiembre, todas ellas estimando el amparo también demandado contra idénticas resoluciones dictadas por el mismo Juzgado de Primera Instancia e Instrucción núm. 5 de Lorca.</w:t>
      </w:r>
    </w:p>
    <w:p w:rsidR="00C54F26" w:rsidRDefault="00C54F26" w:rsidP="00C54F26">
      <w:pPr>
        <w:pStyle w:val="TextoNormal"/>
      </w:pPr>
    </w:p>
    <w:p w:rsidR="00C54F26" w:rsidRDefault="00C54F26" w:rsidP="00C54F26">
      <w:pPr>
        <w:pStyle w:val="TextoNormal"/>
      </w:pPr>
      <w:r>
        <w:t>La segunda razón es que, a juicio del fiscal, el juez incurre en una negativa manifiesta del deber de acatamiento de la doctrina del Tribunal Constitucional, pues cuando el juzgado desestima el recurso de reposición, el Tribunal Constitucional ya había sentado doctrina en su sentencia 40/2020, y había anulado resoluciones de idéntico contenido dictadas por el propio Juzgado de Primera Instancia e Instrucción núm. 5 de Lorca.</w:t>
      </w:r>
    </w:p>
    <w:p w:rsidR="00C54F26" w:rsidRDefault="00C54F26" w:rsidP="00C54F26">
      <w:pPr>
        <w:pStyle w:val="TextoNormal"/>
      </w:pPr>
    </w:p>
    <w:p w:rsidR="00C54F26" w:rsidRDefault="00C54F26" w:rsidP="00C54F26">
      <w:pPr>
        <w:pStyle w:val="TextoNormal"/>
      </w:pPr>
      <w:r w:rsidRPr="00C54F26">
        <w:rPr>
          <w:rStyle w:val="NumeroAFNegritaCaracter"/>
        </w:rPr>
        <w:t>6</w:t>
      </w:r>
      <w:r>
        <w:t>. Mediante providencia de 24 de febrero de 2021, se acordó dar traslado del recurso a la representación del recurrente y concederle un plazo de tres días a fin de que alegara lo que estime pertinente (art. 93.2 LOTC).</w:t>
      </w:r>
    </w:p>
    <w:p w:rsidR="00C54F26" w:rsidRDefault="00C54F26" w:rsidP="00C54F26">
      <w:pPr>
        <w:pStyle w:val="TextoNormal"/>
      </w:pPr>
    </w:p>
    <w:p w:rsidR="00C54F26" w:rsidRDefault="00C54F26" w:rsidP="00C54F26">
      <w:pPr>
        <w:pStyle w:val="TextoNormal"/>
      </w:pPr>
      <w:r w:rsidRPr="00C54F26">
        <w:rPr>
          <w:rStyle w:val="NumeroAFNegritaCaracter"/>
        </w:rPr>
        <w:t>7</w:t>
      </w:r>
      <w:r>
        <w:t>. La parte recurrente formuló alegaciones mediante escrito registrado el 2 de marzo de 2021, en el que manifiesta su plena conformidad con el recurso de súplica interpuesto por el Ministerio Fiscal y solicita a este tribunal que dicte una resolución estimatoria del mismo.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Procede estimar el recurso de súplica interpuesto por el Ministerio Fiscal y dejar sin efecto, en consecuencia, la providencia de esta Sección de 10 de febrero de 2021.</w:t>
      </w:r>
    </w:p>
    <w:p w:rsidR="00C54F26" w:rsidRDefault="00C54F26" w:rsidP="00C54F26">
      <w:pPr>
        <w:pStyle w:val="TextoNormal"/>
      </w:pPr>
    </w:p>
    <w:p w:rsidR="00C54F26" w:rsidRDefault="00C54F26" w:rsidP="00C54F26">
      <w:pPr>
        <w:pStyle w:val="TextoNormal"/>
      </w:pPr>
      <w:r>
        <w:lastRenderedPageBreak/>
        <w:t>Son dos las razones por las que el Ministerio Fiscal considera que este recurso de amparo presenta especial trascendencia constitucional.</w:t>
      </w:r>
    </w:p>
    <w:p w:rsidR="00C54F26" w:rsidRDefault="00C54F26" w:rsidP="00C54F26">
      <w:pPr>
        <w:pStyle w:val="TextoNormal"/>
      </w:pPr>
    </w:p>
    <w:p w:rsidR="00C54F26" w:rsidRDefault="00C54F26" w:rsidP="00C54F26">
      <w:pPr>
        <w:pStyle w:val="TextoNormal"/>
      </w:pPr>
      <w:r>
        <w:t>a) La primera razón es la existencia de otras demandas admitidas por la Sala Primera y Segunda de este Tribunal Constitucional, con un contenido sustancialmente idéntico al de la presente demanda.</w:t>
      </w:r>
    </w:p>
    <w:p w:rsidR="00C54F26" w:rsidRDefault="00C54F26" w:rsidP="00C54F26">
      <w:pPr>
        <w:pStyle w:val="TextoNormal"/>
      </w:pPr>
    </w:p>
    <w:p w:rsidR="00C54F26" w:rsidRDefault="00C54F26" w:rsidP="00C54F26">
      <w:pPr>
        <w:pStyle w:val="TextoNormal"/>
      </w:pPr>
      <w:r>
        <w:t>Debe recordarse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00C54F26" w:rsidRDefault="00C54F26" w:rsidP="00C54F26">
      <w:pPr>
        <w:pStyle w:val="TextoNormal"/>
      </w:pPr>
    </w:p>
    <w:p w:rsidR="00C54F26" w:rsidRDefault="00C54F26" w:rsidP="00C54F26">
      <w:pPr>
        <w:pStyle w:val="TextoNormal"/>
      </w:pPr>
      <w:r>
        <w:t>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C54F26" w:rsidRDefault="00C54F26" w:rsidP="00C54F26">
      <w:pPr>
        <w:pStyle w:val="TextoNormal"/>
      </w:pPr>
    </w:p>
    <w:p w:rsidR="00C54F26" w:rsidRDefault="00C54F26" w:rsidP="00C54F26">
      <w:pPr>
        <w:pStyle w:val="TextoNormal"/>
      </w:pPr>
      <w:r>
        <w:t xml:space="preserve">Las mercantiles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[“Boletín Oficial del Estado” (“BOE”) núm. 116, de 15 de mayo de 2019], —en la que se examinó por vez primera como </w:t>
      </w:r>
      <w:r w:rsidRPr="00C54F26">
        <w:rPr>
          <w:i/>
        </w:rPr>
        <w:t>ratio decidendi</w:t>
      </w:r>
      <w:r>
        <w:t xml:space="preserve"> la problemática constitucional del emplazamiento mediante medios electrónicos— y en las posteriores SSTC 102/2019, de 16 septiembre; 122/2019, de 28 de octubre; 129/2019, de 11 de noviembre, y 150/2019, de 25 de noviembre.</w:t>
      </w:r>
    </w:p>
    <w:p w:rsidR="00C54F26" w:rsidRDefault="00C54F26" w:rsidP="00C54F26">
      <w:pPr>
        <w:pStyle w:val="TextoNormal"/>
      </w:pPr>
    </w:p>
    <w:p w:rsidR="00C54F26" w:rsidRDefault="00C54F26" w:rsidP="00C54F26">
      <w:pPr>
        <w:pStyle w:val="TextoNormal"/>
      </w:pPr>
      <w:r>
        <w:t>No fue hasta que se dicta la STC 40/2020, de 27 de febrero (“BOE” núm. 83, de 26 de marzo de 2020), cuando se consideró aplicable la doctrina constitucional asentada en la STC 47/2019, de 27 de febrero, al primero del centenar de recursos de amparo interpuestos por los ejecutados —en aquel caso por Euroinversiones Inmobiliarias Costa Sur, S.L.,— y desde entonces hasta la fecha se han dictado en relación con las mismas mercantiles numerosas sentencias, todas ellas estimando recursos de amparo interpuestos con anterioridad a la fecha de interposición del presente, con cita de la STC 40/2020.</w:t>
      </w:r>
    </w:p>
    <w:p w:rsidR="00C54F26" w:rsidRDefault="00C54F26" w:rsidP="00C54F26">
      <w:pPr>
        <w:pStyle w:val="TextoNormal"/>
      </w:pPr>
    </w:p>
    <w:p w:rsidR="00C54F26" w:rsidRDefault="00C54F26" w:rsidP="00C54F26">
      <w:pPr>
        <w:pStyle w:val="TextoNormal"/>
      </w:pPr>
      <w:r>
        <w:t xml:space="preserve">El Pleno de este tribunal ha resuelto, como criterio unificador para la admisibilidad de los recursos de esta serie, que es la fecha de publicación en el “BOE” de la STC 40/2020, de 27 de febrero, la que ha de determinar el momento a partir del cual pierden especial </w:t>
      </w:r>
      <w:r>
        <w:lastRenderedPageBreak/>
        <w:t>trascendencia constitucional las solicitudes de amparo de esta serie coincidentes, en su contenido, con la ya resuelta en la citada resolución. Una vez resuelto el primero de los recursos, hemos de reiterar que es este último el momento procesal que debe tenerse en cuenta para resolver sobre la apreciación de especial trascendencia constitucional en las “series” de recursos, ya sea como cuestión nueva, ya lo sea por apreciar que el recurso puede dar ocasión al tribunal para aclarar o cambiar su doctrina, como consecuencia de cambios normativos relevantes para la configuración del contenido del derecho fundamental [STC 155/2009, FJ 2 b)], según señalan las SSTC 56/2013, 170/2013, 148/2015, 12/2016, y 139/2018, que expresan una doctrina constante.</w:t>
      </w:r>
    </w:p>
    <w:p w:rsidR="00C54F26" w:rsidRDefault="00C54F26" w:rsidP="00C54F26">
      <w:pPr>
        <w:pStyle w:val="TextoNormal"/>
      </w:pPr>
    </w:p>
    <w:p w:rsidR="00C54F26" w:rsidRDefault="00C54F26" w:rsidP="00C54F26">
      <w:pPr>
        <w:pStyle w:val="TextoNormal"/>
      </w:pPr>
      <w:r>
        <w:t>Atendidas las anteriores consideraciones, hemos de destacar que el presente recurso de amparo fue presentado ante este tribunal el 10 de noviembre de 2020, esto es, más de siete meses después de la publicación en el “BOE” de 26 de marzo de la STC 40/2020, de 27 de febrero, que, por primera vez, a instancia de una de las dos entidades ejecutadas en el proceso judicial precedente, abordó expresamente la cuestión ahora planteada.</w:t>
      </w:r>
    </w:p>
    <w:p w:rsidR="00C54F26" w:rsidRDefault="00C54F26" w:rsidP="00C54F26">
      <w:pPr>
        <w:pStyle w:val="TextoNormal"/>
      </w:pPr>
    </w:p>
    <w:p w:rsidR="00C54F26" w:rsidRDefault="00C54F26" w:rsidP="00C54F26">
      <w:pPr>
        <w:pStyle w:val="TextoNormal"/>
      </w:pPr>
      <w:r>
        <w:t>Por lo tanto, en el momento de presentarse el recurso de amparo, la demanda ya no se refería a un problema o una faceta de un derecho fundamental sobre el que no existía doctrina específica de este tribunal (STC 155/2009, de 25 de junio, FJ 2 a)], ni tampoco el recurso puede dar ocasión al tribunal para aclarar o cambiar su doctrina, como consecuencia de cambios normativos relevantes para la configuración del contenido del derecho fundamental alegado [STC 155/2009, FJ 2 b)].</w:t>
      </w:r>
    </w:p>
    <w:p w:rsidR="00C54F26" w:rsidRDefault="00C54F26" w:rsidP="00C54F26">
      <w:pPr>
        <w:pStyle w:val="TextoNormal"/>
      </w:pPr>
    </w:p>
    <w:p w:rsidR="00C54F26" w:rsidRDefault="00C54F26" w:rsidP="00C54F26">
      <w:pPr>
        <w:pStyle w:val="TextoNormal"/>
      </w:pPr>
      <w:r>
        <w:t>b) La segunda razón por la que el Ministerio Fiscal considera que el recurso tiene especial trascendencia constitucional es por entender que el órgano judicial ha incurrido en una negativa manifiesta del deber de acatamiento de la doctrina del Tribunal Constitucional. Afirma el Ministerio Fiscal que cuando el Juzgado de Primera Instancia e Instrucción núm. 5 de Lorca desestimó el recurso de reposición no solo se había dictado ya la STC 40/2020, sino que además el Tribunal Constitucional había anulado resoluciones de idéntico contenido dictadas por el propio juzgado.</w:t>
      </w:r>
    </w:p>
    <w:p w:rsidR="00C54F26" w:rsidRDefault="00C54F26" w:rsidP="00C54F26">
      <w:pPr>
        <w:pStyle w:val="TextoNormal"/>
      </w:pPr>
    </w:p>
    <w:p w:rsidR="00C54F26" w:rsidRDefault="00C54F26" w:rsidP="00C54F26">
      <w:pPr>
        <w:pStyle w:val="TextoNormal"/>
      </w:pPr>
      <w:r>
        <w:t xml:space="preserve">Conforme a lo dispuesto en el art. 50.1 a) LOTC, el recurso de amparo no puede ser admitido a trámite si el recurrente no cumple —además de los restantes requisitos procesales previstos en los arts. 42 a 44 LOTC— la ineludible exigencia, impuesta por el art. 49.1 </w:t>
      </w:r>
      <w:r w:rsidRPr="00C54F26">
        <w:rPr>
          <w:i/>
        </w:rPr>
        <w:t>in fine</w:t>
      </w:r>
      <w:r>
        <w:t xml:space="preserve"> LOTC, de justificar de manera expresa en la demanda de amparo la especial trascendencia constitucional del recurso (AATC 188/2008, de 21 de julio, FJ 1, y 289 y 290/2008, ambos de 22 de septiembre, FJ 1). En el mismo sentido, en la STC 155/2009, de 25 de junio, FJ 2, dictada por el Pleno de este tribunal, se insistió en que el recurrente “ha de satisfacer necesariamente, de acuerdo con lo dispuesto en el art. 49.1 </w:t>
      </w:r>
      <w:r w:rsidRPr="00C54F26">
        <w:rPr>
          <w:i/>
        </w:rPr>
        <w:t>in fine</w:t>
      </w:r>
      <w:r>
        <w:t xml:space="preserve"> LOTC, la carga de justificar en la demanda la especial trascendencia constitucional del recurso”.</w:t>
      </w:r>
    </w:p>
    <w:p w:rsidR="00C54F26" w:rsidRDefault="00C54F26" w:rsidP="00C54F26">
      <w:pPr>
        <w:pStyle w:val="TextoNormal"/>
      </w:pPr>
    </w:p>
    <w:p w:rsidR="00C54F26" w:rsidRDefault="00C54F26" w:rsidP="00C54F26">
      <w:pPr>
        <w:pStyle w:val="TextoNormal"/>
      </w:pPr>
      <w:r>
        <w:t xml:space="preserve">En cuanto al modo en el que se debe dar cumplimiento a la justificación de la especial transcendencia constitucional del recurso, debemos recordar que “aunque la indicada previsión del art. 49.1 </w:t>
      </w:r>
      <w:r w:rsidRPr="00C54F26">
        <w:rPr>
          <w:i/>
        </w:rPr>
        <w:t>in fine</w:t>
      </w:r>
      <w:r>
        <w:t xml:space="preserv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tal fin, aunque no existe un modelo rígido al que </w:t>
      </w:r>
      <w:r>
        <w:lastRenderedPageBreak/>
        <w:t>haya de ajustarse la redacción de las demandas de amparo, es claro que debe responder a los cánones propios de este tipo de escritos procesales” (SSTC 17/2011, de 28 de febrero, FJ 2, y 69/2011, de 16 de mayo, FJ 3). A la parte recurrente, pues, le es exigible un “esfuerzo argumental” (ATC 154/2010, de 15 de noviembre, FJ 4) que ponga en conexión las vulneraciones constitucionales que alega con los criterios establecidos en el artículo 50.1 b) LOTC.</w:t>
      </w:r>
    </w:p>
    <w:p w:rsidR="00C54F26" w:rsidRDefault="00C54F26" w:rsidP="00C54F26">
      <w:pPr>
        <w:pStyle w:val="TextoNormal"/>
      </w:pPr>
    </w:p>
    <w:p w:rsidR="00C54F26" w:rsidRDefault="00C54F26" w:rsidP="00C54F26">
      <w:pPr>
        <w:pStyle w:val="TextoNormal"/>
      </w:pPr>
      <w:r>
        <w:t>La mercantil recurrente dedica un apartado específico de su demanda a justificar la especial trascendencia constitucional del recurso. En este apartado justifica la especial trascendencia constitucional aludiendo al hecho de que esta cuestión ya ha sido resuelta por el Tribunal Constitucional en numerosas sentencias, en las que ha sido parte la mercantil Euroinversiones Inmobiliarias Costa Sur, S.L., resolviendo el Tribunal Constitucional en el sentido de que el primer emplazamiento o citación al demandado debe hacerse en papel y en su domicilio, de conformidad con el art. 155 LEC, y no a través de la sede judicial electrónica. Así, señala, lo ha resuelto el Pleno del Tribunal Constitucional, entre otras, en su sentencia 40/2020, de 27 de febrero, y la Sala Segunda en su sentencia 43/2020, de 9 de marzo.</w:t>
      </w:r>
    </w:p>
    <w:p w:rsidR="00C54F26" w:rsidRDefault="00C54F26" w:rsidP="00C54F26">
      <w:pPr>
        <w:pStyle w:val="TextoNormal"/>
      </w:pPr>
    </w:p>
    <w:p w:rsidR="00C54F26" w:rsidRDefault="00C54F26" w:rsidP="00C54F26">
      <w:pPr>
        <w:pStyle w:val="TextoNormal"/>
      </w:pPr>
      <w:r>
        <w:t>Aunque la recurrente no alega expresamente el motivo f) de la STC 155/2009, negativa manifiesta del deber de acatamiento de la doctrina de este tribunal, de su demanda parece deducirse que lo que a su juicio justifica la especial trascendencia constitucional de este recurso es la existencia de una doctrina constitucional clara al respecto sobre la cuestión planteada que no ha sido aplicada por el órgano judicial.</w:t>
      </w:r>
    </w:p>
    <w:p w:rsidR="00C54F26" w:rsidRDefault="00C54F26" w:rsidP="00C54F26">
      <w:pPr>
        <w:pStyle w:val="TextoNormal"/>
      </w:pPr>
    </w:p>
    <w:p w:rsidR="00C54F26" w:rsidRDefault="00C54F26" w:rsidP="00C54F26">
      <w:pPr>
        <w:pStyle w:val="TextoNormal"/>
      </w:pPr>
      <w:r>
        <w:t>Para que concurra el supuesto de la negativa manifiesta del deber de acatamiento de la doctrina constitucional señalado en la STC 155/2009, FJ 2 f), son necesarios los siguientes requisitos característicos: (i) que no pueda ser identificada con “la errónea interpretación o aplicación de la jurisprudencia, incluso si fuera objetivable y verificable en el caso concreto” (STC 106/2017, de 18 de septiembre, FJ 2), sino como “la voluntad manifiesta de no proceder a su aplicación; o dicho en otras palabras, a una decisión consciente de soslayarla” (STC 83/2018, de 16 de julio, FJ 3); (ii)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(iii) procede apreciar la concurrencia de dicho elemento intencional en supuestos en los que el órgano judicial, aun conociendo la doctrina constitucional, dado que había sido citada y extractada en lo fundamental en el escrito por el que se hubo promovido el incidente de nulidad de actuaciones, lo resolvió sin hacer consideración alguna sobre ella (STC 5/2018, de 22 de enero, FJ 2, por todas); y (iv) en todo caso, la cita de la doctrina constitucional ha de ser concreta y precisa, “no siendo suficiente cualquier pronunciamiento jurisprudencial que se entienda incumplido” (STC 106/2017, de 18 de septiembre, FJ 2).</w:t>
      </w:r>
    </w:p>
    <w:p w:rsidR="00C54F26" w:rsidRDefault="00C54F26" w:rsidP="00C54F26">
      <w:pPr>
        <w:pStyle w:val="TextoNormal"/>
      </w:pPr>
    </w:p>
    <w:p w:rsidR="00C54F26" w:rsidRDefault="00C54F26" w:rsidP="00C54F26">
      <w:pPr>
        <w:pStyle w:val="TextoNormal"/>
      </w:pPr>
      <w:r>
        <w:t xml:space="preserve">Ciertamente, en el presente supuesto la mercantil recurrente no pudo hacer valer la doctrina constitucional sentada en la STC 40/2020 (“BOE” de 26 de marzo de 2020) en el momento de interposición del recurso de reposición, porque dicha sentencia todavía no había sido dictada. Sin embargo, como señala el Ministerio Fiscal, el Juzgado de Primera Instancia e Instrucción núm. 5 de Lorca conocía esa doctrina en la fecha que dictó el auto resolviendo </w:t>
      </w:r>
      <w:r>
        <w:lastRenderedPageBreak/>
        <w:t>el recurso de reposición, 29 de septiembre de 2020, pues en ese momento ya se habían estimado numerosos recursos de amparo interpuestos por las mercantiles Penrei Inversiones, S.L., y Euroinversiones Inmobiliarias Costa Sur, S.L., y se había declarado la nulidad de distintos autos dictados por el propio Juzgado de Primera Instancia e Instrucción núm. 5 de Lorca, así como la nulidad de las actuaciones realizadas a partir del emplazamiento de las entidades recurrentes a través de la dirección electrónica habilitada (entre ellas, SSTC 94/2020, de 20 de julio, y 77/2020, de 29 de junio).</w:t>
      </w:r>
    </w:p>
    <w:p w:rsidR="00C54F26" w:rsidRDefault="00C54F26" w:rsidP="00C54F26">
      <w:pPr>
        <w:pStyle w:val="TextoNormal"/>
      </w:pPr>
    </w:p>
    <w:p w:rsidR="00C54F26" w:rsidRDefault="00C54F26" w:rsidP="00C54F26">
      <w:pPr>
        <w:pStyle w:val="TextoNormal"/>
      </w:pPr>
      <w:r>
        <w:t>Tal circunstancia dota de especial trascendencia constitucional a este recurso.</w:t>
      </w:r>
    </w:p>
    <w:p w:rsidR="00C54F26" w:rsidRDefault="00C54F26" w:rsidP="00C54F26">
      <w:pPr>
        <w:pStyle w:val="TextoNormal"/>
      </w:pPr>
    </w:p>
    <w:p w:rsidR="00C54F26" w:rsidRDefault="00C54F26" w:rsidP="00C54F26">
      <w:pPr>
        <w:pStyle w:val="TextoNormal"/>
      </w:pPr>
      <w:r>
        <w:t>En consecuencia, procede estimar el recurso de súplica interpuesto por el Ministerio Fiscal y dejar sin efecto la providencia de 10 de febrero de 2021 impugnada, con el fin de reponer las actuaciones al momento anterior a su dictado, para que se dicte otra que, a tenor de lo hasta ahora razonado, se pronuncie de nuevo sobre la admisibilidad de la presente pretensión de amparo.</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Estimar el recurso de súplica interpuesto por el Ministerio Fiscal y, en consecuencia:</w:t>
      </w:r>
    </w:p>
    <w:p w:rsidR="00C54F26" w:rsidRDefault="00C54F26" w:rsidP="00C54F26">
      <w:pPr>
        <w:pStyle w:val="TextoNormal"/>
      </w:pPr>
    </w:p>
    <w:p w:rsidR="00C54F26" w:rsidRDefault="00C54F26" w:rsidP="00C54F26">
      <w:pPr>
        <w:pStyle w:val="TextoNormal"/>
      </w:pPr>
      <w:r>
        <w:t>1º Dejar sin efecto la providencia de 10 de febrero de 2021 que acordó la inadmisión del presente recurso de amparo.</w:t>
      </w:r>
    </w:p>
    <w:p w:rsidR="00C54F26" w:rsidRDefault="00C54F26" w:rsidP="00C54F26">
      <w:pPr>
        <w:pStyle w:val="TextoNormal"/>
      </w:pPr>
    </w:p>
    <w:p w:rsidR="00C54F26" w:rsidRDefault="00C54F26" w:rsidP="00C54F26">
      <w:pPr>
        <w:pStyle w:val="TextoNormal"/>
      </w:pPr>
      <w:r>
        <w:t>2º Reponer las actuaciones al momento anterior a dictarse la providencia anulada a fin de que se dicte otra que, a tenor de lo expuesto en el fundamento jurídico único de esta resolución, se pronuncie sobre su admisibilidad.</w:t>
      </w:r>
    </w:p>
    <w:p w:rsidR="00C54F26" w:rsidRDefault="00C54F26" w:rsidP="00C54F26">
      <w:pPr>
        <w:pStyle w:val="TextoNormal"/>
      </w:pPr>
    </w:p>
    <w:p w:rsidR="00C54F26" w:rsidRDefault="00C54F26" w:rsidP="00C54F26">
      <w:pPr>
        <w:pStyle w:val="TextoNormal"/>
      </w:pPr>
      <w:r>
        <w:t>Madrid, a cinco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8" w:name="AUTO_2021_37"/>
      <w:r>
        <w:lastRenderedPageBreak/>
        <w:t>AUTO 37/2021, de 19 de abril de 2021</w:t>
      </w:r>
    </w:p>
    <w:bookmarkEnd w:id="178"/>
    <w:p w:rsidR="00C54F26" w:rsidRDefault="00C54F26" w:rsidP="00C54F26">
      <w:pPr>
        <w:pStyle w:val="TtuloResolucin"/>
      </w:pPr>
      <w:r>
        <w:t>Sala Primera</w:t>
      </w:r>
    </w:p>
    <w:p w:rsidR="00C54F26" w:rsidRDefault="00C54F26" w:rsidP="00C54F26">
      <w:pPr>
        <w:pStyle w:val="TextoNormalCentrado"/>
      </w:pPr>
      <w:r>
        <w:t>ECLI:ES:TC:2021:37A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aclaración de la sentencia 51/2021, de 15 de marzo, dictada en el recurso de amparo 2950-2018, promovido por don A.M.Z.,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En el recurso de amparo núm. 2950-2018, promovido a instancia de don A.M.Z., representado por el procurador de los tribunales don Manuel de Benito Oteo y asistido por el letrado don Isaac Salama Salama, ha recaído la STC 51/2021, de 15 de marzo, por la que se estima el recurso, declarando vulnerado el derecho del recurrente a la igualdad de trato y no discriminación por razón de discapacidad (art. 14 CE), y los derechos a un proceso con todas las garantías y a la presunción de inocencia (24.2 CE) y el principio de culpabilidad (art. 25.1 CE). Asimismo, la sentencia estimatoria acuerda declarar la nulidad de la resolución de la secretaria de Estado de Justicia de 8 de junio de 2016; de la sentencia dictada por el Juzgado Central de lo Contencioso-Administrativo núm. 6 en el recurso núm. 134-2016, con fecha de 11 de noviembre de 2016; y de la sentencia de la Sección Tercera de la Sala de lo Contencioso-Administrativo de la Audiencia Nacional de 22 de junio de 2017, dictada en el recurso de apelación núm. 2-2017.</w:t>
      </w:r>
    </w:p>
    <w:p w:rsidR="00C54F26" w:rsidRDefault="00C54F26" w:rsidP="00C54F26">
      <w:pPr>
        <w:pStyle w:val="TextoNormal"/>
      </w:pPr>
    </w:p>
    <w:p w:rsidR="00C54F26" w:rsidRDefault="00C54F26" w:rsidP="00C54F26">
      <w:pPr>
        <w:pStyle w:val="TextoNormal"/>
      </w:pPr>
      <w:r w:rsidRPr="00C54F26">
        <w:rPr>
          <w:rStyle w:val="NumeroAFNegritaCaracter"/>
        </w:rPr>
        <w:t>2</w:t>
      </w:r>
      <w:r>
        <w:t>. La abogacía del Estado, mediante escrito registrado el 25 de marzo de 2021, solicita la aclaración de la citada sentencia en lo relativo a la designación personal del recurrente en amparo en el texto de la misma, y ello porque las iniciales A.M.Z. no coinciden con las iniciales correspondientes al nombre y apellidos del recurrente, tal y como aparece identificado en el resto de diligencias y escritos procesales.</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No procede acceder a la aclaración solicitada. En relación con la identificación del recurrente en amparo no existe ningún aspecto que aclarar o rectificar, puesto que en el fundamento jurídico 2 b) de la sentencia, se abordaba expresamente la cuestión planteada, habiéndose decidido lo siguiente:</w:t>
      </w:r>
    </w:p>
    <w:p w:rsidR="00C54F26" w:rsidRDefault="00C54F26" w:rsidP="00C54F26">
      <w:pPr>
        <w:pStyle w:val="TextoNormal"/>
      </w:pPr>
    </w:p>
    <w:p w:rsidR="00C54F26" w:rsidRDefault="00C54F26" w:rsidP="00C54F26">
      <w:pPr>
        <w:pStyle w:val="TextoNormal"/>
      </w:pPr>
      <w:r>
        <w:t xml:space="preserve">“b) La presente sentencia no incluye la identificación completa del recurrente, cuyo expediente administrativo, así como las resoluciones judiciales impugnadas contienen datos personales de salud y relativos a su situación personal, a fin de preservar su intimidad. Esta decisión responde a las potestades atribuidas a este tribunal por el art. 86.3 LOTC y el </w:t>
      </w:r>
      <w:r>
        <w:lastRenderedPageBreak/>
        <w:t>acuerdo del Pleno de 23 de julio de 2015, en materia de protección de datos de carácter personal en el ámbito de la publicación y difusión de sus resoluciones jurisdiccionales [en el mismo sentido, SSTC 132/2016, de 18 de julio, FJ 1 c); 31/2017, de 27 de febrero, FJ 1 c), y 85/2017, de 3 de julio, FJ 1]. Atendemos de este modo, asimismo, a la solicitud del recurrente, contenida en la demanda, que solicitaba que su identificación se realizara a través de iniciales elegidas aleatoriamente”.</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Declarar que no ha lugar a la aclaración solicitada.</w:t>
      </w:r>
    </w:p>
    <w:p w:rsidR="00C54F26" w:rsidRDefault="00C54F26" w:rsidP="00C54F26">
      <w:pPr>
        <w:pStyle w:val="TextoNormal"/>
      </w:pPr>
    </w:p>
    <w:p w:rsidR="00C54F26" w:rsidRDefault="00C54F26" w:rsidP="00C54F26">
      <w:pPr>
        <w:pStyle w:val="TextoNormal"/>
      </w:pPr>
      <w:r>
        <w:t>Madrid, a diecinueve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79" w:name="AUTO_2021_38"/>
      <w:r>
        <w:lastRenderedPageBreak/>
        <w:t>AUTO 38/2021, de 19 de abril de 2021</w:t>
      </w:r>
    </w:p>
    <w:bookmarkEnd w:id="179"/>
    <w:p w:rsidR="00C54F26" w:rsidRDefault="00C54F26" w:rsidP="00C54F26">
      <w:pPr>
        <w:pStyle w:val="TtuloResolucin"/>
      </w:pPr>
      <w:r>
        <w:t>Sala Primera</w:t>
      </w:r>
    </w:p>
    <w:p w:rsidR="00C54F26" w:rsidRDefault="00C54F26" w:rsidP="00C54F26">
      <w:pPr>
        <w:pStyle w:val="TextoNormalCentrado"/>
      </w:pPr>
      <w:r>
        <w:t>ECLI:ES:TC:2021:38A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Acuerda el desistimiento y archivo de las actuaciones en el recurso de amparo 6579-2019, promovido por doña Katiuska Ordóñez Veloz,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que tuvo entrada en el registro general de este Tribunal con fecha 15 de noviembre de 2019, la procuradora de los tribunales doña María Teresa Marcos Moreno, en nombre y representación de doña Katiuska Ordoñez Veloz, interpuso recurso de amparo contra la providencia del Juzgado de Primera Instancia e Instrucción núm. 32 de Madrid, en virtud de la cual se inadmitió a trámite el incidente excepcional de nulidad de actuaciones que había sido planteado, y que fue dictada en el procedimiento de ejecución hipotecaria núm. 544-2015, donde figuraba como parte ejecutante la entidad crediticia Bankia, S.A.</w:t>
      </w:r>
    </w:p>
    <w:p w:rsidR="00C54F26" w:rsidRDefault="00C54F26" w:rsidP="00C54F26">
      <w:pPr>
        <w:pStyle w:val="TextoNormal"/>
      </w:pPr>
    </w:p>
    <w:p w:rsidR="00C54F26" w:rsidRDefault="00C54F26" w:rsidP="00C54F26">
      <w:pPr>
        <w:pStyle w:val="TextoNormal"/>
      </w:pPr>
      <w:r>
        <w:t>Como primer otrosí digo se interesó la suspensión de la ejecución de la resolución recurrida.</w:t>
      </w:r>
    </w:p>
    <w:p w:rsidR="00C54F26" w:rsidRDefault="00C54F26" w:rsidP="00C54F26">
      <w:pPr>
        <w:pStyle w:val="TextoNormal"/>
      </w:pPr>
    </w:p>
    <w:p w:rsidR="00C54F26" w:rsidRDefault="00C54F26" w:rsidP="00C54F26">
      <w:pPr>
        <w:pStyle w:val="TextoNormal"/>
      </w:pPr>
      <w:r w:rsidRPr="00C54F26">
        <w:rPr>
          <w:rStyle w:val="NumeroAFNegritaCaracter"/>
        </w:rPr>
        <w:t>2</w:t>
      </w:r>
      <w:r>
        <w:t>. Por providencia de 21 de septiembre de 2020, se admitió a trámite el recurso de amparo al apreciar que concurría en el mismo una especial transcendencia constitucional [art. 50.1 de la Ley Orgánica del Tribunal Constitucional (LOTC)], porque el órgano judicial podría haber incurrido en una negativa manifiesta del deber de acatamiento de la doctrina de este tribunal [STC 155/2009, FJ 2 f)] y porque el asunto trasciende del caso concreto pues plantea una cuestión jurídica de relevante y general repercusión social y económica [STC 155/2009, FJ 2 g)].</w:t>
      </w:r>
    </w:p>
    <w:p w:rsidR="00C54F26" w:rsidRDefault="00C54F26" w:rsidP="00C54F26">
      <w:pPr>
        <w:pStyle w:val="TextoNormal"/>
      </w:pPr>
    </w:p>
    <w:p w:rsidR="00C54F26" w:rsidRDefault="00C54F26" w:rsidP="00C54F26">
      <w:pPr>
        <w:pStyle w:val="TextoNormal"/>
      </w:pPr>
      <w:r>
        <w:t>Además, se acordó dirigir atenta comunicación al Juzgado de Primera Instancia e Instrucción núm. 32 de Madrid, a fin de que remitiera certificación o fotocopia adverada de las actuaciones correspondientes al procedimiento de ejecución hipotecaria núm. 544-2015 y procediera a emplazar a quienes hubieran sido parte en el proceso del que trae causa el presente recurso para que pudieran comparecer en estas actuaciones, si así lo desean, excepto a la parte recurrente en amparo.</w:t>
      </w:r>
    </w:p>
    <w:p w:rsidR="00C54F26" w:rsidRDefault="00C54F26" w:rsidP="00C54F26">
      <w:pPr>
        <w:pStyle w:val="TextoNormal"/>
      </w:pPr>
    </w:p>
    <w:p w:rsidR="00C54F26" w:rsidRDefault="00C54F26" w:rsidP="00C54F26">
      <w:pPr>
        <w:pStyle w:val="TextoNormal"/>
      </w:pPr>
      <w:r>
        <w:t>Asimismo, de conformidad con lo solicitado por la actora, se convino formar la correspondiente pieza separada de suspensión.</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3</w:t>
      </w:r>
      <w:r>
        <w:t>. Formuladas las alegaciones por la parte recurrente y el Ministerio Fiscal, por auto de 16 de noviembre de 2020 se acordaron la suspensión de la ejecución y la anotación preventiva de la demanda de amparo en el registro de la propiedad.</w:t>
      </w:r>
    </w:p>
    <w:p w:rsidR="00C54F26" w:rsidRDefault="00C54F26" w:rsidP="00C54F26">
      <w:pPr>
        <w:pStyle w:val="TextoNormal"/>
      </w:pPr>
    </w:p>
    <w:p w:rsidR="00C54F26" w:rsidRDefault="00C54F26" w:rsidP="00C54F26">
      <w:pPr>
        <w:pStyle w:val="TextoNormal"/>
      </w:pPr>
      <w:r w:rsidRPr="00C54F26">
        <w:rPr>
          <w:rStyle w:val="NumeroAFNegritaCaracter"/>
        </w:rPr>
        <w:t>4</w:t>
      </w:r>
      <w:r>
        <w:t>. Con fecha 29 de octubre de 2020, la procuradora de los tribunales doña Elena Medina Cuadros, en nombre y representación de Bankia, S.A., presentó escrito de personación en las actuaciones.</w:t>
      </w:r>
    </w:p>
    <w:p w:rsidR="00C54F26" w:rsidRDefault="00C54F26" w:rsidP="00C54F26">
      <w:pPr>
        <w:pStyle w:val="TextoNormal"/>
      </w:pPr>
    </w:p>
    <w:p w:rsidR="00C54F26" w:rsidRDefault="00C54F26" w:rsidP="00C54F26">
      <w:pPr>
        <w:pStyle w:val="TextoNormal"/>
      </w:pPr>
      <w:r w:rsidRPr="00C54F26">
        <w:rPr>
          <w:rStyle w:val="NumeroAFNegritaCaracter"/>
        </w:rPr>
        <w:t>5</w:t>
      </w:r>
      <w:r>
        <w:t>. Por diligencia de ordenación de 18 de noviembre de 2020 se tuvo por personada y parte a la entidad Bankia, S.A., y, a tenor del art. 52 LOTC, se acordó dar vista de todas las actuaciones del presente recurso de amparo al Ministerio Fiscal y a las partes personadas para que pudieran presentar las alegaciones que a su derecho conviniesen.</w:t>
      </w:r>
    </w:p>
    <w:p w:rsidR="00C54F26" w:rsidRDefault="00C54F26" w:rsidP="00C54F26">
      <w:pPr>
        <w:pStyle w:val="TextoNormal"/>
      </w:pPr>
    </w:p>
    <w:p w:rsidR="00C54F26" w:rsidRDefault="00C54F26" w:rsidP="00C54F26">
      <w:pPr>
        <w:pStyle w:val="TextoNormal"/>
      </w:pPr>
      <w:r w:rsidRPr="00C54F26">
        <w:rPr>
          <w:rStyle w:val="NumeroAFNegritaCaracter"/>
        </w:rPr>
        <w:t>6</w:t>
      </w:r>
      <w:r>
        <w:t>. Mediante escrito presentado el 24 de noviembre de 2020, las procuradoras de la parte recurrente en amparo y de Bankia, S.A., solicitaron conjuntamente la suspensión del proceso de amparo al estar las partes en vías de llegar a un acuerdo para solucionar extrajudicialmente su conflicto.</w:t>
      </w:r>
    </w:p>
    <w:p w:rsidR="00C54F26" w:rsidRDefault="00C54F26" w:rsidP="00C54F26">
      <w:pPr>
        <w:pStyle w:val="TextoNormal"/>
      </w:pPr>
    </w:p>
    <w:p w:rsidR="00C54F26" w:rsidRDefault="00C54F26" w:rsidP="00C54F26">
      <w:pPr>
        <w:pStyle w:val="TextoNormal"/>
      </w:pPr>
      <w:r w:rsidRPr="00C54F26">
        <w:rPr>
          <w:rStyle w:val="NumeroAFNegritaCaracter"/>
        </w:rPr>
        <w:t>7</w:t>
      </w:r>
      <w:r>
        <w:t>. Con fecha 14 de enero de 2021, tuvo entrada en el registro general de este tribunal escrito conjunto presentado por las procuradoras de doña Katiuska Ordoñez Veloz y de la entidad crediticia Bankia, S.A., en el que manifiestan que, siguiendo las instrucciones de sus mandantes, tras haber alcanzado un acuerdo extrajudicial que satisface las pretensiones de la partes y que hace que carezca de objeto la continuación del procedimiento, interesan que se dicte resolución por la que se acuerde el archivo de las actuaciones por desistimiento, sin expresa condena en costas.</w:t>
      </w:r>
    </w:p>
    <w:p w:rsidR="00C54F26" w:rsidRDefault="00C54F26" w:rsidP="00C54F26">
      <w:pPr>
        <w:pStyle w:val="TextoNormal"/>
      </w:pPr>
    </w:p>
    <w:p w:rsidR="00C54F26" w:rsidRDefault="00C54F26" w:rsidP="00C54F26">
      <w:pPr>
        <w:pStyle w:val="TextoNormal"/>
      </w:pPr>
      <w:r w:rsidRPr="00C54F26">
        <w:rPr>
          <w:rStyle w:val="NumeroAFNegritaCaracter"/>
        </w:rPr>
        <w:t>8</w:t>
      </w:r>
      <w:r>
        <w:t>. Por diligencia de ordenación de 18 de enero de 2021 se dio traslado al Ministerio Fiscal, quien presentó alegaciones por escrito, registrado el día 5 de febrero de 2021, manifestándose favorablemente al archivo de las actuaciones por desistimiento al quedar acreditada la voluntad de desistir y no concurrir interés público alguno en la continuación del procedimiento.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Entre las formas de terminación del recurso de amparo se encuentra la del desistimiento, prevista en el art. 86.1 de la Ley Orgánica del Tribunal Constitucional (LOTC), y a la que es de aplicación supletoria la legislación procesal ordinaria (art. 80 LOTC), que la regula en los arts. 19.1 y 20, apartados segundo y tercero, de la Ley de Enjuiciamiento Civil (LEC).</w:t>
      </w:r>
    </w:p>
    <w:p w:rsidR="00C54F26" w:rsidRDefault="00C54F26" w:rsidP="00C54F26">
      <w:pPr>
        <w:pStyle w:val="TextoNormal"/>
      </w:pPr>
    </w:p>
    <w:p w:rsidR="00C54F26" w:rsidRDefault="00C54F26" w:rsidP="00C54F26">
      <w:pPr>
        <w:pStyle w:val="TextoNormal"/>
      </w:pPr>
      <w:r>
        <w:t>En virtud de dichos preceptos legales puede estimarse como forma admitida para poner fin a un proceso de amparo, total o parcialmente, la manifestación de la voluntad de desistir por parte de su promotor, siempre que las partes personadas presten su conformidad al desistimiento o no se opusiere a él dentro del plazo conferido a tal efecto.</w:t>
      </w:r>
    </w:p>
    <w:p w:rsidR="00C54F26" w:rsidRDefault="00C54F26" w:rsidP="00C54F26">
      <w:pPr>
        <w:pStyle w:val="TextoNormal"/>
      </w:pPr>
    </w:p>
    <w:p w:rsidR="00C54F26" w:rsidRDefault="00C54F26" w:rsidP="00C54F26">
      <w:pPr>
        <w:pStyle w:val="TextoNormal"/>
      </w:pPr>
      <w:r>
        <w:lastRenderedPageBreak/>
        <w:t>En el caso presente, la pretensión de desistimiento analizada aparece revestida de los requisitos legales precisos, al constar en el poder conferido por la recurrente el otorgamiento con carácter especial de la facultad de desistir, tal y como exige el art. 25.2.1 LEC, habiendo mostrado su conformidad las partes personadas. Además, no se aprecia que su aceptación produzca perjuicio de parte ni daño para el interés general o público.</w:t>
      </w:r>
    </w:p>
    <w:p w:rsidR="00C54F26" w:rsidRDefault="00C54F26" w:rsidP="00C54F26">
      <w:pPr>
        <w:pStyle w:val="TextoNormal"/>
      </w:pPr>
    </w:p>
    <w:p w:rsidR="00C54F26" w:rsidRDefault="00C54F26" w:rsidP="00C54F26">
      <w:pPr>
        <w:pStyle w:val="TextoNormal"/>
      </w:pPr>
      <w:r>
        <w:t>Consecuentemente, procede acceder al desistimiento solicitado, decisión que se extiende también a la pieza separada de suspensión incoada en su día, debiendo alzarse las medidas cautelares acordadas.</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Tener por desistida del presente recurso de amparo a doña Katiuska Ordoñez Veloz y ordenar el archivo de las actuaciones, debiendo alzarse las medidas cautelares acordadas.</w:t>
      </w:r>
    </w:p>
    <w:p w:rsidR="00C54F26" w:rsidRDefault="00C54F26" w:rsidP="00C54F26">
      <w:pPr>
        <w:pStyle w:val="TextoNormal"/>
      </w:pPr>
    </w:p>
    <w:p w:rsidR="00C54F26" w:rsidRDefault="00C54F26" w:rsidP="00C54F26">
      <w:pPr>
        <w:pStyle w:val="TextoNormal"/>
      </w:pPr>
      <w:r>
        <w:t>Madrid, a diecinueve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0" w:name="AUTO_2021_39"/>
      <w:r>
        <w:lastRenderedPageBreak/>
        <w:t>AUTO 39/2021, de 19 de abril de 2021</w:t>
      </w:r>
    </w:p>
    <w:bookmarkEnd w:id="180"/>
    <w:p w:rsidR="00C54F26" w:rsidRDefault="00C54F26" w:rsidP="00C54F26">
      <w:pPr>
        <w:pStyle w:val="TtuloResolucin"/>
      </w:pPr>
      <w:r>
        <w:t>Sala Segunda</w:t>
      </w:r>
    </w:p>
    <w:p w:rsidR="00C54F26" w:rsidRDefault="00C54F26" w:rsidP="00C54F26">
      <w:pPr>
        <w:pStyle w:val="TextoNormalCentrado"/>
      </w:pPr>
      <w:r>
        <w:t>ECLI:ES:TC:2021:39A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Deniega la suspensión en el recurso de amparo 7621-2019, promovido por don Miguel Abellán Martínez,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31 de diciembre de 2019, don Miguel Abellán Martínez, representado por la procuradora de los tribunales doña Cruz María Sobrino García, bajo la dirección del letrado don Fernando Gabriel Ortega Gil, interpuso recurso de amparo contra el auto de la Sección Segunda de la Sala de lo Penal de la Audiencia Nacional núm. 631-2019, de 15 de noviembre de 2019, por el que se desestima el recurso de apelación núm. 630-2019 interpuesto contra el auto del Juzgado Central de Instrucción núm. 5 de 2 de septiembre de 2019, pronunciado en las diligencias previas núm. 70-2018.</w:t>
      </w:r>
    </w:p>
    <w:p w:rsidR="00C54F26" w:rsidRDefault="00C54F26" w:rsidP="00C54F26">
      <w:pPr>
        <w:pStyle w:val="TextoNormal"/>
      </w:pPr>
    </w:p>
    <w:p w:rsidR="00C54F26" w:rsidRDefault="00C54F26" w:rsidP="00C54F26">
      <w:pPr>
        <w:pStyle w:val="TextoNormal"/>
      </w:pPr>
      <w:r>
        <w:t>En la demanda de amparo el recurrente solicita la suspensión de la resolución impugnada argumentando que la obligación impuesta en dicha resolución, en aplicación del art. 113 de la Ley de enjuiciamiento criminal (LECrim), de que se acumulen las representaciones y la dirección letrada de las acusaciones particulares, debiendo optarse por cualquiera de las primeras seis acusaciones particulares personadas, le causaría un perjuicio irreparable que haría perder al amparo su finalidad ya que se desconoce si dichos profesionales son gratuitos o privados y se le obligaría a estar defendido por unos profesionales que no derivan de la designación efectuada en su momento, pudiendo perder el beneficio de justicia gratuita.</w:t>
      </w:r>
    </w:p>
    <w:p w:rsidR="00C54F26" w:rsidRDefault="00C54F26" w:rsidP="00C54F26">
      <w:pPr>
        <w:pStyle w:val="TextoNormal"/>
      </w:pPr>
    </w:p>
    <w:p w:rsidR="00C54F26" w:rsidRDefault="00C54F26" w:rsidP="00C54F26">
      <w:pPr>
        <w:pStyle w:val="TextoNormal"/>
      </w:pPr>
      <w:r w:rsidRPr="00C54F26">
        <w:rPr>
          <w:rStyle w:val="NumeroAFNegritaCaracter"/>
        </w:rPr>
        <w:t>2</w:t>
      </w:r>
      <w:r>
        <w:t>. La Sección Tercera de este tribunal por sendas providencias de 17 de febrero de 2021,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C54F26" w:rsidRDefault="00C54F26" w:rsidP="00C54F26">
      <w:pPr>
        <w:pStyle w:val="TextoNormal"/>
      </w:pPr>
    </w:p>
    <w:p w:rsidR="00C54F26" w:rsidRDefault="00C54F26" w:rsidP="00C54F26">
      <w:pPr>
        <w:pStyle w:val="TextoNormal"/>
      </w:pPr>
      <w:r w:rsidRPr="00C54F26">
        <w:rPr>
          <w:rStyle w:val="NumeroAFNegritaCaracter"/>
        </w:rPr>
        <w:t>3</w:t>
      </w:r>
      <w:r>
        <w:t>. El Ministerio Fiscal, por escrito registrado el 2 de marzo de 2021, presentó alegaciones interesando que no se proceda a la suspensión solicitada por no acreditarse la existencia de perjuicios irreparables, ya que las alegaciones que se hacen son excesivamente genéricas y no se compadecen con la realidad de que las resoluciones recurridas admiten la defensa colegiada entre los profesionales designados por el turno de oficio y aquellos con los que se debe acumular la representación y defensa.</w:t>
      </w:r>
    </w:p>
    <w:p w:rsidR="00C54F26" w:rsidRDefault="00C54F26" w:rsidP="00C54F26">
      <w:pPr>
        <w:pStyle w:val="TextoNormal"/>
      </w:pPr>
    </w:p>
    <w:p w:rsidR="00C54F26" w:rsidRDefault="00C54F26" w:rsidP="00C54F26">
      <w:pPr>
        <w:pStyle w:val="TextoNormal"/>
      </w:pPr>
      <w:r w:rsidRPr="00C54F26">
        <w:rPr>
          <w:rStyle w:val="NumeroAFNegritaCaracter"/>
        </w:rPr>
        <w:t>4</w:t>
      </w:r>
      <w:r>
        <w:t>. El recurrente, por escrito registrado el 26 de febrero de 2021, presentó alegaciones reiterando los motivos por los que instó la suspensión de las resoluciones impugnadas, pero reconociendo que “se la ha permitido ser defendido por el letrado designado del turno de oficio inicialmente designado, así como dentro de los procuradores del turno de oficio que han sido designados por el Ilustre Colegio de Procuradores de Madrid”.</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determinar la procedencia o no de acordar la suspensión de las resoluciones impugnadas en las que se condiciona la personación como acusación particular del recurrente, en las diligencias previas incoadas con motivo de unos hechos en que se consideraba víctima, a que actúe con la misma defensa y representación de cualquiera de las primeras seis acusaciones particulares, todos ellos designados por libre elección, y se dispone que puede ejercer la defensa de forma colegiada por los distintos letrados, a pesar de tener una posición que no es sustancialmente idéntica a la de estos por tener reconocido el derecho a la asistencia jurídica gratuita y profesionales del turno de oficio designados para hacer efectivo el ejercicio de ese derecho.</w:t>
      </w:r>
    </w:p>
    <w:p w:rsidR="00C54F26" w:rsidRDefault="00C54F26" w:rsidP="00C54F26">
      <w:pPr>
        <w:pStyle w:val="TextoNormal"/>
      </w:pPr>
    </w:p>
    <w:p w:rsidR="00C54F26" w:rsidRDefault="00C54F26" w:rsidP="00C54F26">
      <w:pPr>
        <w:pStyle w:val="TextoNormal"/>
      </w:pPr>
      <w:r w:rsidRPr="00C54F26">
        <w:rPr>
          <w:rStyle w:val="NumeroAFNegritaCaracter"/>
        </w:rPr>
        <w:t>2</w:t>
      </w:r>
      <w:r>
        <w:t>.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C54F26" w:rsidRDefault="00C54F26" w:rsidP="00C54F26">
      <w:pPr>
        <w:pStyle w:val="TextoNormal"/>
      </w:pPr>
    </w:p>
    <w:p w:rsidR="00C54F26" w:rsidRDefault="00C54F26" w:rsidP="00C54F26">
      <w:pPr>
        <w:pStyle w:val="TextoNormal"/>
      </w:pPr>
      <w:r>
        <w:t>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y debe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su irreparabilidad; que el perjuicio irreparable debe ser real, sin que sea posible alegar un perjuicio futuro o hipotético o un simple temor; y que la pérdida de la finalidad del amparo no puede equipararse a la mayor o menor dificultad, molestia o incomodidad para el recurrente; y (iii) en lo que se refiere a la ejecución de los pronunciamientos con efectos fundamentalmente patrimoniales o de contenido económico, el tribunal ha sentado que, con carácter general, no causa un perjuicio irreparable al obligado al pago, ni puede hacer perder al amparo su finalidad, al ser posible la restitución íntegra de lo ejecutado (así, ATC 97/2019, de 16 de septiembre, FJ 1).</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3</w:t>
      </w:r>
      <w:r>
        <w:t>. En el presente caso, como se ha expuesto en los antecedentes, los perjuicios alegados por el recurrente se refieren a (i) que se desconoce si los profesionales por los que debe optar son gratuitos o privados y (ii) se le obligaría a estar defendido por unos profesionales que no derivan de la designación efectuada en su momento y podría perder el beneficio de justicia gratuita.</w:t>
      </w:r>
    </w:p>
    <w:p w:rsidR="00C54F26" w:rsidRDefault="00C54F26" w:rsidP="00C54F26">
      <w:pPr>
        <w:pStyle w:val="TextoNormal"/>
      </w:pPr>
    </w:p>
    <w:p w:rsidR="00C54F26" w:rsidRDefault="00C54F26" w:rsidP="00C54F26">
      <w:pPr>
        <w:pStyle w:val="TextoNormal"/>
      </w:pPr>
      <w:r>
        <w:t>En atención a la jurisprudencia constitucional señalada, tal como también interesa el Ministerio Fiscal, no resulta procedente acceder a la suspensión solicitada, ya que los eventuales perjuicios que se alegan son de carácter predominantemente económico, por lo que por su propia naturaleza no pueden ser considerados irreparables. Además, tal como reconoce el propio recurrente en su escrito de alegaciones, sin perjuicio de la obligación impuesta en las resoluciones impugnadas de que se deba ejercer la defensa de forma colegiada, mantiene su representación y defensa por medio de los profesionales del turno de oficio, lo que no permite dar por acreditado el perjuicio alegado de la eventual pérdida del derecho a la asistencia jurídica gratuita. No obstante, en el caso del cambio de circunstancias existe la posibilidad de que el recurrente las ponga de manifiesto en este incidente para que el tribunal vuelva a pronunciarse sobre la procedencia de la suspensión de los efectos de la resolución impugnada.</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petición de suspensión de la resolución impugnada.</w:t>
      </w:r>
    </w:p>
    <w:p w:rsidR="00C54F26" w:rsidRDefault="00C54F26" w:rsidP="00C54F26">
      <w:pPr>
        <w:pStyle w:val="TextoNormal"/>
      </w:pPr>
    </w:p>
    <w:p w:rsidR="00C54F26" w:rsidRDefault="00C54F26" w:rsidP="00C54F26">
      <w:pPr>
        <w:pStyle w:val="TextoNormal"/>
      </w:pPr>
      <w:r>
        <w:t>Madrid, a diecinueve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1" w:name="AUTO_2021_40"/>
      <w:r>
        <w:lastRenderedPageBreak/>
        <w:t>AUTO 40/2021, de 19 de abril de 2021</w:t>
      </w:r>
    </w:p>
    <w:bookmarkEnd w:id="181"/>
    <w:p w:rsidR="00C54F26" w:rsidRDefault="00C54F26" w:rsidP="00C54F26">
      <w:pPr>
        <w:pStyle w:val="TtuloResolucin"/>
      </w:pPr>
      <w:r>
        <w:t>Sala Segunda</w:t>
      </w:r>
    </w:p>
    <w:p w:rsidR="00C54F26" w:rsidRDefault="00C54F26" w:rsidP="00C54F26">
      <w:pPr>
        <w:pStyle w:val="TextoNormalCentrado"/>
      </w:pPr>
      <w:r>
        <w:t>ECLI:ES:TC:2021:40A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Acuerda la suspensión en el recurso de amparo 1060-2020, promovido por doña Denize Lanes Da Silva,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20 de febrero de 2020, doña Denize Lanes Da Silva, representada por la procuradora de los tribunales doña María Claudia Munteanu, bajo la dirección del letrado don César Pinto Cañón, interpuso recurso de amparo contra la providencia de la Sección Primera de la Sala de lo Contencioso-Administrativo del Tribunal Supremo de 13 de enero de 2020, por la que se inadmite el incidente de nulidad de actuaciones contra la providencia de 17 de octubre de 2019, por la que se inadmite el recurso de casación núm. 4327-2019, interpuesto contra la sentencia de la Sección Décima de la Sala de lo Contencioso-Administrativo del Tribunal Superior de Justicia de Madrid núm. 381/2019, de 17 de mayo de 2019, por la que se desestima el recurso de apelación núm. 154-2019, interpuesto contra la sentencia núm. 401/2019, de 29 de noviembre de 2018, del Juzgado de lo Contencioso-Administrativo núm. 31 de Madrid pronunciada en el procedimiento abreviado núm. 316-2018, por la que se desestima el recurso interpuesto contra la resolución de la delegada del Gobierno en Madrid de 16 de abril de 2018, pronunciada en el expediente sancionador núm. 280020180006300, en que se acuerda la expulsión de territorio nacional con la prohibición de entrada en España por un periodo de tres años.</w:t>
      </w:r>
    </w:p>
    <w:p w:rsidR="00C54F26" w:rsidRDefault="00C54F26" w:rsidP="00C54F26">
      <w:pPr>
        <w:pStyle w:val="TextoNormal"/>
      </w:pPr>
    </w:p>
    <w:p w:rsidR="00C54F26" w:rsidRDefault="00C54F26" w:rsidP="00C54F26">
      <w:pPr>
        <w:pStyle w:val="TextoNormal"/>
      </w:pPr>
      <w:r>
        <w:t>En la demanda de amparo la recurrente solicita la suspensión de las resoluciones impugnadas argumentando, con cita de diversa jurisprudencia constitucional (AATC 82/1999, de 12 de abril; 356/2008, de 10 de noviembre, y 156/2010, de 15 de noviembre) que la ejecución de la expulsión del territorio nacional provocaría perjuicios de carácter personal, económico y familiar de imposible resarcimiento.</w:t>
      </w:r>
    </w:p>
    <w:p w:rsidR="00C54F26" w:rsidRDefault="00C54F26" w:rsidP="00C54F26">
      <w:pPr>
        <w:pStyle w:val="TextoNormal"/>
      </w:pPr>
    </w:p>
    <w:p w:rsidR="00C54F26" w:rsidRDefault="00C54F26" w:rsidP="00C54F26">
      <w:pPr>
        <w:pStyle w:val="TextoNormal"/>
      </w:pPr>
      <w:r w:rsidRPr="00C54F26">
        <w:rPr>
          <w:rStyle w:val="NumeroAFNegritaCaracter"/>
        </w:rPr>
        <w:t>2</w:t>
      </w:r>
      <w:r>
        <w:t>. La Sección Tercera de este tribunal por sendas providencias de 25 de enero de 2021,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3</w:t>
      </w:r>
      <w:r>
        <w:t>. El Ministerio Fiscal, por escrito registrado el 2 de marzo de 2021, presentó alegaciones interesando que se acceda a la suspensión solicitada en aplicación de la jurisprudencia constitucional sobre la suspensión de la sanción de expulsión (ATC 66/2012, de 16 de abril), ya que “si bien en el presente caso, la recurrente no ha acreditado la concurrencia de especiales circunstancias familiares o laborales en territorio español que se verían afectadas directamente por el acto administrativo impugnado, debe estimarse que la efectividad de la medida de expulsión con prohibición de entrada, puede igualmente hacer de muy difícil restauración el derecho fundamental vulnerado caso de que el recurso fuera estimado”.</w:t>
      </w:r>
    </w:p>
    <w:p w:rsidR="00C54F26" w:rsidRDefault="00C54F26" w:rsidP="00C54F26">
      <w:pPr>
        <w:pStyle w:val="TextoNormal"/>
      </w:pPr>
    </w:p>
    <w:p w:rsidR="00C54F26" w:rsidRDefault="00C54F26" w:rsidP="00C54F26">
      <w:pPr>
        <w:pStyle w:val="TextoNormal"/>
      </w:pPr>
      <w:r w:rsidRPr="00C54F26">
        <w:rPr>
          <w:rStyle w:val="NumeroAFNegritaCaracter"/>
        </w:rPr>
        <w:t>4</w:t>
      </w:r>
      <w:r>
        <w:t>. La recurrente, por escrito registrado el 19 de febrero de 2021, presentó alegaciones reiterando los motivos por los que instó la suspensión de las resoluciones impugnadas.</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determinar la procedencia o no de acordar la suspensión de las resoluciones impugnadas en la medida en que se acuerda la expulsión de la recurrente del territorio nacional y la prohibición de entrada en España por un periodo de tres años.</w:t>
      </w:r>
    </w:p>
    <w:p w:rsidR="00C54F26" w:rsidRDefault="00C54F26" w:rsidP="00C54F26">
      <w:pPr>
        <w:pStyle w:val="TextoNormal"/>
      </w:pPr>
    </w:p>
    <w:p w:rsidR="00C54F26" w:rsidRDefault="00C54F26" w:rsidP="00C54F26">
      <w:pPr>
        <w:pStyle w:val="TextoNormal"/>
      </w:pPr>
      <w:r w:rsidRPr="00C54F26">
        <w:rPr>
          <w:rStyle w:val="NumeroAFNegritaCaracter"/>
        </w:rPr>
        <w:t>2</w:t>
      </w:r>
      <w:r>
        <w:t>.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C54F26" w:rsidRDefault="00C54F26" w:rsidP="00C54F26">
      <w:pPr>
        <w:pStyle w:val="TextoNormal"/>
      </w:pPr>
    </w:p>
    <w:p w:rsidR="00C54F26" w:rsidRDefault="00C54F26" w:rsidP="00C54F26">
      <w:pPr>
        <w:pStyle w:val="TextoNormal"/>
      </w:pPr>
      <w:r>
        <w:t>La jurisprudencia constitucional ha reiterado, en relación con la suspensión de la sanción de expulsión del territorio nacional y de prohibición de entrada en España, que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w:t>
      </w:r>
    </w:p>
    <w:p w:rsidR="00C54F26" w:rsidRDefault="00C54F26" w:rsidP="00C54F26">
      <w:pPr>
        <w:pStyle w:val="TextoNormal"/>
      </w:pPr>
    </w:p>
    <w:p w:rsidR="00C54F26" w:rsidRDefault="00C54F26" w:rsidP="00C54F26">
      <w:pPr>
        <w:pStyle w:val="TextoNormal"/>
      </w:pPr>
      <w:r>
        <w:t>En el presente caso, en aplicación de lo expuesto, y conforme también solicita el Ministerio Fiscal, resulta procedente acordar la suspensión de la expulsión del territorio nacional de la recurrente y la prohibición de entrada durante tres años en España, atendiendo al conjunto de circunstancias personales que se reflejan en las actuaciones, toda vez que tampoco cabe apreciar que dicha suspensión pueda originar una perturbación grave de los intereses generales ni de los derechos fundamentales o libertades públicas de un tercero.</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Suspender la ejecución de la resolución de la delegada del Gobierno en Madrid de 16 de abril de 2018, pronunciada en el expediente sancionador núm. 280020180006300, en que se acuerda la expulsión de la recurrente del territorio nacional con la prohibición de entrada en España por un periodo de tres años.</w:t>
      </w:r>
    </w:p>
    <w:p w:rsidR="00C54F26" w:rsidRDefault="00C54F26" w:rsidP="00C54F26">
      <w:pPr>
        <w:pStyle w:val="TextoNormal"/>
      </w:pPr>
    </w:p>
    <w:p w:rsidR="00C54F26" w:rsidRDefault="00C54F26" w:rsidP="00C54F26">
      <w:pPr>
        <w:pStyle w:val="TextoNormal"/>
      </w:pPr>
      <w:r>
        <w:t>Madrid, a diecinueve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2" w:name="AUTO_2021_41"/>
      <w:r>
        <w:lastRenderedPageBreak/>
        <w:t>AUTO 41/2021, de 19 de abril de 2021</w:t>
      </w:r>
    </w:p>
    <w:bookmarkEnd w:id="182"/>
    <w:p w:rsidR="00C54F26" w:rsidRDefault="00C54F26" w:rsidP="00C54F26">
      <w:pPr>
        <w:pStyle w:val="TtuloResolucin"/>
      </w:pPr>
      <w:r>
        <w:t>Sala Primera</w:t>
      </w:r>
    </w:p>
    <w:p w:rsidR="00C54F26" w:rsidRDefault="00C54F26" w:rsidP="00C54F26">
      <w:pPr>
        <w:pStyle w:val="TextoNormalCentrado"/>
      </w:pPr>
      <w:r>
        <w:t>ECLI:ES:TC:2021:41A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Acuerda la suspensión parcial en el recurso de amparo 4055-2020, promovido por don Ildefonso García Fernández,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Don Ildefonso García Fernández, representado por el procurador de los tribunales don José Noguera Chaparrro, con asistencia letrada de don Vicente Tovar Sabio, solicita la suspensión cautelar de la sentencia de 29 de junio de 2020 de la Sección Tercera de la Audiencia Provincial de Jaén, rollo de apelación 893-2019, que desestima el recurso de apelación formulado contra la sentencia de 25 de julio de 2019 del Juzgado de lo Penal núm. 4 de Jaén, procedimiento abreviado 288-2017. Lo hace por otrosí en el recurso de amparo núm. 4055-2020.</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para resolver sobre la medida cautelar solicitada son los siguientes:</w:t>
      </w:r>
    </w:p>
    <w:p w:rsidR="00C54F26" w:rsidRDefault="00C54F26" w:rsidP="00C54F26">
      <w:pPr>
        <w:pStyle w:val="TextoNormal"/>
      </w:pPr>
    </w:p>
    <w:p w:rsidR="00C54F26" w:rsidRDefault="00C54F26" w:rsidP="00C54F26">
      <w:pPr>
        <w:pStyle w:val="TextoNormal"/>
      </w:pPr>
      <w:r>
        <w:t>a) Mediante sentencia de 25 de julio de 2019, el Juzgado de lo Penal núm. 4 de Jaén condena al actor por delito de malos tratos habituales en el ámbito familiar (art. 173, apartados 2 y 3, del Código penal) y le impone las penas de tres años de prisión con accesoria de inhabilitación especial para el ejercicio del derecho de sufragio pasivo, privación del derecho a la tenencia y porte de armas por cinco años y prohibición de aproximación y comunicación con su exmujer y sus hijos Antonio, Isabel, Miguel y Juan Francisco García Reyes durante cinco años.</w:t>
      </w:r>
    </w:p>
    <w:p w:rsidR="00C54F26" w:rsidRDefault="00C54F26" w:rsidP="00C54F26">
      <w:pPr>
        <w:pStyle w:val="TextoNormal"/>
      </w:pPr>
    </w:p>
    <w:p w:rsidR="00C54F26" w:rsidRDefault="00C54F26" w:rsidP="00C54F26">
      <w:pPr>
        <w:pStyle w:val="TextoNormal"/>
      </w:pPr>
      <w:r>
        <w:t>b) Formulado recurso de apelación, este es desestimado íntegramente mediante sentencia de 29 de junio de 2020 de la Sección Tercera de la Audiencia Provincial de Jaén.</w:t>
      </w:r>
    </w:p>
    <w:p w:rsidR="00C54F26" w:rsidRDefault="00C54F26" w:rsidP="00C54F26">
      <w:pPr>
        <w:pStyle w:val="TextoNormal"/>
      </w:pPr>
    </w:p>
    <w:p w:rsidR="00C54F26" w:rsidRDefault="00C54F26" w:rsidP="00C54F26">
      <w:pPr>
        <w:pStyle w:val="TextoNormal"/>
      </w:pPr>
      <w:r>
        <w:t>c) Frente a esta sentencia, el actor interpone recurso de amparo, que es admitido mediante providencia de 15 de febrero de 2021 de la Sección Segunda del Tribunal Constitucional.</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El demandante de amparo solicita la suspensión cautelar de la sentencia de 29 de junio de 2020 de la Sección Tercera de la Audiencia Provincial de Jaén y, con ella, de la sentencia de 25 de julio de 2019 del Juzgado de lo Penal núm. 4 de Jaén, que le condenó a las penas </w:t>
      </w:r>
      <w:r>
        <w:lastRenderedPageBreak/>
        <w:t>antes señaladas. La suspensión no perturbaría gravemente intereses constitucionales protegidos ni derechos fundamentales y, al contrario, no acordarla perjudicaría al recurrente y provocaría que el amparo pierda toda eficacia, afirma.</w:t>
      </w:r>
    </w:p>
    <w:p w:rsidR="00C54F26" w:rsidRDefault="00C54F26" w:rsidP="00C54F26">
      <w:pPr>
        <w:pStyle w:val="TextoNormal"/>
      </w:pPr>
    </w:p>
    <w:p w:rsidR="00C54F26" w:rsidRDefault="00C54F26" w:rsidP="00C54F26">
      <w:pPr>
        <w:pStyle w:val="TextoNormal"/>
      </w:pPr>
      <w:r w:rsidRPr="00C54F26">
        <w:rPr>
          <w:rStyle w:val="NumeroAFNegritaCaracter"/>
        </w:rPr>
        <w:t>4</w:t>
      </w:r>
      <w:r>
        <w:t>. Mediante providencia de 15 de febrero de 2021, la Sección Segunda del Tribunal Constitucional acuerda formar pieza separada de suspensión y, conforme al art. 56 de la Ley Orgánica del Tribunal Constitucional (LOTC), conceder plazo de tres días al Ministerio Fiscal y al solicitante de amparo para que aleguen lo que estimen pertinente en relación con la suspensión interesada.</w:t>
      </w:r>
    </w:p>
    <w:p w:rsidR="00C54F26" w:rsidRDefault="00C54F26" w:rsidP="00C54F26">
      <w:pPr>
        <w:pStyle w:val="TextoNormal"/>
      </w:pPr>
    </w:p>
    <w:p w:rsidR="00C54F26" w:rsidRDefault="00C54F26" w:rsidP="00C54F26">
      <w:pPr>
        <w:pStyle w:val="TextoNormal"/>
      </w:pPr>
      <w:r w:rsidRPr="00C54F26">
        <w:rPr>
          <w:rStyle w:val="NumeroAFNegritaCaracter"/>
        </w:rPr>
        <w:t>5</w:t>
      </w:r>
      <w:r>
        <w:t>. Mediante escrito registrado el 22 de febrero de 2021, el demandante de amparo acota la solicitud de suspensión cautelar, limitándola a la pena de tres años de prisión y, por tanto, sin hacerla extensible a las condenas restantes (accesoria de inhabilitación especial para el ejercicio del derecho de sufragio pasivo durante tres años; privación del derecho a la tenencia y porte de armas por cinco años; prohibición de aproximación y comunicación con exmujer e hijos durante cinco años; costas procesales). Alega en primer lugar que la suspensión de la pena privativa de libertad no acarrearía perturbaciones a intereses constitucionalmente protegidos ni a derechos o libertades de terceros. El demandante señala al efecto que: (i) es perfectamente localizable, pues cuenta con domicilio fijo y conocido; (ii) ha respetado en todo momento la orden de alejamiento que le fue impuesta en 2015 y cuya suspensión no solicita; (iii) los hechos castigados acaecieron en los años noventa y el divorcio en 2010, sin que desde entonces haya habido relación alguna entre el demandante y las supuestas víctimas. En segundo lugar, el ingreso en prisión, además de no contribuir a la reinserción, laminaría la efectividad de la eventual estimación del amparo, causando daños graves e irreversibles. El recurrente tiene setenta y cuatro años. La pena privativa de libertad es de corta duración, por lo que podría estar cumplida cuando el Tribunal Constitucional resuelva el recurso de amparo. El tiempo pasado en prisión indebidamente no admitiría reparación.</w:t>
      </w:r>
    </w:p>
    <w:p w:rsidR="00C54F26" w:rsidRDefault="00C54F26" w:rsidP="00C54F26">
      <w:pPr>
        <w:pStyle w:val="TextoNormal"/>
      </w:pPr>
    </w:p>
    <w:p w:rsidR="00C54F26" w:rsidRDefault="00C54F26" w:rsidP="00C54F26">
      <w:pPr>
        <w:pStyle w:val="TextoNormal"/>
      </w:pPr>
      <w:r w:rsidRPr="00C54F26">
        <w:rPr>
          <w:rStyle w:val="NumeroAFNegritaCaracter"/>
        </w:rPr>
        <w:t>6</w:t>
      </w:r>
      <w:r>
        <w:t>. Mediante escrito registrado el 2 de marzo de 2021, el Ministerio Fiscal interesa la suspensión solicitada por otrosí en el recurso de amparo, únicamente en cuanto a la ejecución de la pena privativa de libertad y a la accesoria de inhabilitación para el derecho al sufragio pasivo durante el tiempo de la condena. Señala al efecto que la pena es de corta duración, lo que, unido al tiempo normal de tramitación del recurso de amparo, podría hacer ilusorio un eventual pronunciamiento favorable al recurrente (ATC 95/2019, de 23 de julio, FJ 2). Ello conduciría a suspender igualmente la pena de inhabilitación especial para el ejercicio del derecho de sufragio pasivo, pues las penas accesorias han de seguir la misma suerte que la principal (ATC 188/2010, de 29 de noviembre, FJ 2). En cambio, de acuerdo con la doctrina constitucional, no procedería suspender la condena al pago de las costas (ATC 27/2011, de 14 de marzo, FJ 3) ni la prohibición de porte de armas, así como de aproximación y comunicación con la exesposa y los hijos (AATC 293/2004, de 19 de julio, FJ 3, y 12/2012, de 30 de enero, FJ 4).</w:t>
      </w:r>
    </w:p>
    <w:p w:rsidR="00C54F26" w:rsidRDefault="00C54F26" w:rsidP="00C54F26">
      <w:pPr>
        <w:pStyle w:val="TextoNormal"/>
      </w:pPr>
    </w:p>
    <w:p w:rsidR="00C54F26" w:rsidRDefault="00C54F26" w:rsidP="00C54F26">
      <w:pPr>
        <w:pStyle w:val="TextoNormal"/>
      </w:pPr>
      <w:r w:rsidRPr="00C54F26">
        <w:rPr>
          <w:rStyle w:val="NumeroAFNegritaCaracter"/>
        </w:rPr>
        <w:t>7</w:t>
      </w:r>
      <w:r>
        <w:t>. Mediante escritos de 15 de marzo y 5 abril de 2021, don Ángel Martín Gutiérrez, procurador de los tribunales y de doña Isabel Reyes Reyes, solicita que se le tenga por personado y parte en el presente recurso de amparo en la representación que ostenta, que en lo sucesivo se entiendan con él las actuaciones y que se le dé trámite de tres días para formular alegaciones sobre la suspensión interesada por el demandante.</w:t>
      </w:r>
    </w:p>
    <w:p w:rsidR="00C54F26" w:rsidRDefault="00C54F26" w:rsidP="00C54F26">
      <w:pPr>
        <w:pStyle w:val="TextoNormal"/>
      </w:pPr>
    </w:p>
    <w:p w:rsidR="00C54F26" w:rsidRDefault="00C54F26" w:rsidP="00C54F26">
      <w:pPr>
        <w:pStyle w:val="TextoNormal"/>
      </w:pPr>
      <w:r w:rsidRPr="00C54F26">
        <w:rPr>
          <w:rStyle w:val="NumeroAFNegritaCaracter"/>
        </w:rPr>
        <w:t>8</w:t>
      </w:r>
      <w:r>
        <w:t>. Mediante diligencia de ordenación de 8 de abril de 2021, la secretaría de justicia de la Sala Primera tiene por personada a doña Isabel Reyes Reyes, dando cuenta a la Sección de su solicitud de que se le confiera traslado para alegaciones respecto de la suspensión solicitada por el demandante.</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El objeto de esta pieza de suspensión consiste en resolver sobre la procedencia de la medida cautelar instada por el demandante de amparo respecto de la sentencia de 29 de junio de 2020 de la Sección Tercera de la Audiencia Provincial de Jaén, rollo de apelación 893-2019, desestimatoria del recurso de apelación formulado contra la sentencia de 25 de julio de 2019 del Juzgado de lo Penal núm. 4 de Jaén, procedimiento abreviado 288-2017. Esta sentencia le condenó, con costas, a varias penas por un delito de malos tratos habituales en el ámbito familiar: tres años de prisión con pena accesoria de inhabilitación especial para el ejercicio del derecho de sufragio pasivo durante el mismo tiempo; privación del derecho a la tenencia y porte de armas por cinco años y prohibición de aproximación y comunicación con la exmujer y los hijos durante cinco años.</w:t>
      </w:r>
    </w:p>
    <w:p w:rsidR="00C54F26" w:rsidRDefault="00C54F26" w:rsidP="00C54F26">
      <w:pPr>
        <w:pStyle w:val="TextoNormal"/>
      </w:pPr>
    </w:p>
    <w:p w:rsidR="00C54F26" w:rsidRDefault="00C54F26" w:rsidP="00C54F26">
      <w:pPr>
        <w:pStyle w:val="TextoNormal"/>
      </w:pPr>
      <w:r>
        <w:t>En la demanda de amparo se solicitó por otrosí la suspensión de aquella sentencia de modo general, sin especificar su concreto alcance. El escrito de alegaciones presentado el 22 de febrero de 2021 ha circunscrito la petición a la pena privativa de libertad, fundándola oportunamente y precisando específicamente que no hace extensible la suspensión solicitada a las condenas restantes. El Ministerio Fiscal considera procedente la cautelar interesada con argumentos sustancialmente coincidentes con los del demandante de amparo, que se exponen detalladamente en el apartado de antecedentes del presente auto.</w:t>
      </w:r>
    </w:p>
    <w:p w:rsidR="00C54F26" w:rsidRDefault="00C54F26" w:rsidP="00C54F26">
      <w:pPr>
        <w:pStyle w:val="TextoNormal"/>
      </w:pPr>
    </w:p>
    <w:p w:rsidR="00C54F26" w:rsidRDefault="00C54F26" w:rsidP="00C54F26">
      <w:pPr>
        <w:pStyle w:val="TextoNormal"/>
      </w:pPr>
      <w:r>
        <w:t>Después de la apertura de la presente pieza separada de suspensión (providencia de 15 de febrero de 2021) y de que formularan alegaciones el Ministerio Fiscal y el demandante, doña Isabel Reyes Reyes, exesposa del demandante de amparo, ha solicitado que se la tenga por parte en el proceso y que se le dé trámite de alegaciones en la presente pieza de suspensión (escritos de 15 de marzo y 5 de abril de 2021). Mediante diligencia de ordenación de 8 de abril de 2021, la secretaría de justicia de la Sala Primera ha resuelto tenerla por personada. Ello supone que en lo sucesivo este tribunal habrá de sustanciar las actuaciones también con esta parte sobrevenida, pero no, naturalmente, que haya de reiterar lo tramitado hasta el momento ni, por tanto, que deba reabrir el acto de apertura de la pieza separada de suspensión, dando un nuevo trámite de alegaciones. La personación tardía en el proceso constitucional de amparo no permite que los comparecidos intempestivamente puedan intervenir en los trámites precluidos al momento de notificarse su personación.</w:t>
      </w:r>
    </w:p>
    <w:p w:rsidR="00C54F26" w:rsidRDefault="00C54F26" w:rsidP="00C54F26">
      <w:pPr>
        <w:pStyle w:val="TextoNormal"/>
      </w:pPr>
    </w:p>
    <w:p w:rsidR="00C54F26" w:rsidRDefault="00C54F26" w:rsidP="00C54F26">
      <w:pPr>
        <w:pStyle w:val="TextoNormal"/>
      </w:pPr>
      <w:r>
        <w:t>Entrando ya a resolver sobre la medida cautelar interesada, hay que señalar que la pena privativa de libertad cuya suspensión se pide es de corta duración (tres años), lo que podría hacer ilusoria la eventual estimación del recurso de amparo de no otorgarse la suspensión de esa pena. En estas circunstancias, no atisbándose perjuicios en los intereses generales ni en los derechos de terceros, procede acordar la suspensión solicitada, conforme al art. 56.2 LOTC y la consolidada doctrina constitucional (por todos, ATC 95/2019, de 23 de julio, FJ 2).</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No haber lugar a dar trámite de alegaciones a doña Isabel Reyes Reyes en la presente pieza de suspensión.</w:t>
      </w:r>
    </w:p>
    <w:p w:rsidR="00C54F26" w:rsidRDefault="00C54F26" w:rsidP="00C54F26">
      <w:pPr>
        <w:pStyle w:val="TextoNormal"/>
      </w:pPr>
    </w:p>
    <w:p w:rsidR="00C54F26" w:rsidRDefault="00C54F26" w:rsidP="00C54F26">
      <w:pPr>
        <w:pStyle w:val="TextoNormal"/>
      </w:pPr>
      <w:r>
        <w:t>2º Otorgar la medida cautelar solicitada por el demandante de amparo y, por tanto, ordenar la suspensión, únicamente en cuanto a la pena privativa de libertad, de la sentencia de 29 de junio de 2020 de la Sección Tercera de la Audiencia Provincial de Jaén, rollo de apelación penal 893-2019, desestimatoria del recurso de apelación formulado contra la sentencia de 25 de julio de 2019 del Juzgado de lo Penal núm. 4 de Jaén procedimiento abreviado 288-2017.</w:t>
      </w:r>
    </w:p>
    <w:p w:rsidR="00C54F26" w:rsidRDefault="00C54F26" w:rsidP="00C54F26">
      <w:pPr>
        <w:pStyle w:val="TextoNormal"/>
      </w:pPr>
    </w:p>
    <w:p w:rsidR="00C54F26" w:rsidRDefault="00C54F26" w:rsidP="00C54F26">
      <w:pPr>
        <w:pStyle w:val="TextoNormal"/>
      </w:pPr>
      <w:r>
        <w:t>Madrid, a diecinueve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3" w:name="AUTO_2021_42"/>
      <w:r>
        <w:lastRenderedPageBreak/>
        <w:t>AUTO 42/2021, de 19 de abril de 2021</w:t>
      </w:r>
    </w:p>
    <w:bookmarkEnd w:id="183"/>
    <w:p w:rsidR="00C54F26" w:rsidRDefault="00C54F26" w:rsidP="00C54F26">
      <w:pPr>
        <w:pStyle w:val="TtuloResolucin"/>
      </w:pPr>
      <w:r>
        <w:t>Sala Segunda</w:t>
      </w:r>
    </w:p>
    <w:p w:rsidR="00C54F26" w:rsidRDefault="00C54F26" w:rsidP="00C54F26">
      <w:pPr>
        <w:pStyle w:val="TextoNormalCentrado"/>
      </w:pPr>
      <w:r>
        <w:t>ECLI:ES:TC:2021:42A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Deniega la suspensión en el recurso de amparo 4885-2020, promovido por el Grupo Mixto en el Parlamento Vasco y doña Amaia Martínez Grisaleña, en proceso parlamentario.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día 18 de octubre de 2020 tuvo entrada en el registro general de este Tribunal Constitucional un escrito del procurador de los tribunales don Antonio Ortega Fuentes, en nombre y representación del Grupo Mixto en el Parlamento Vasco y de doña Amaia Martínez Grisaleña, diputada en el citado Parlamento, asistidos por la letrada doña Marta Castro Fuertes, por el que han interpuesto recurso de amparo contra los acuerdos de la mesa de aquella Cámara, de 13 de agosto y de 8 de septiembre de 2020, que, respectivamente, desestimaron el primero y rechazaron el segundo, determinadas solicitudes presentadas por aquellos en relación con el ejercicio de sus funciones parlamentarias en aquella cámara legislativa.</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para la resolución de esta pieza de suspensión son los siguientes:</w:t>
      </w:r>
    </w:p>
    <w:p w:rsidR="00C54F26" w:rsidRDefault="00C54F26" w:rsidP="00C54F26">
      <w:pPr>
        <w:pStyle w:val="TextoNormal"/>
      </w:pPr>
    </w:p>
    <w:p w:rsidR="00C54F26" w:rsidRDefault="00C54F26" w:rsidP="00C54F26">
      <w:pPr>
        <w:pStyle w:val="TextoNormal"/>
      </w:pPr>
      <w:r>
        <w:t>a) En las elecciones al Parlamento Vasco celebradas el día 12 de julio de 2020, la candidatura del partido político Vox obtuvo un acta de diputado que correspondió a doña Amaia Martínez Grisaleña, lo que determinó que, una vez constituida la Cámara, la referida diputada quedara integrada en el Grupo Parlamentario Mixto al no alcanzar su formación política la cifra mínima de tres diputados para constituir un grupo parlamentario propio, de conformidad con lo dispuesto en el art. 24.1 del Reglamento del Parlamento Vasco.</w:t>
      </w:r>
    </w:p>
    <w:p w:rsidR="00C54F26" w:rsidRDefault="00C54F26" w:rsidP="00C54F26">
      <w:pPr>
        <w:pStyle w:val="TextoNormal"/>
      </w:pPr>
    </w:p>
    <w:p w:rsidR="00C54F26" w:rsidRDefault="00C54F26" w:rsidP="00C54F26">
      <w:pPr>
        <w:pStyle w:val="TextoNormal"/>
      </w:pPr>
      <w:r>
        <w:t xml:space="preserve">b) En sesión celebrada el día 13 de agosto de 2020, la mesa del Parlamento acordó: (i) no acceder a la propuesta presentada por la diputada de Vox, ahora demandante de amparo, de cambio de denominación del “Grupo Parlamentario Mixto” por el de “Grupo Parlamentario Vox” o “Grupo Parlamentario Mixto-Vox” (acuerdo 2020/2075); (ii) aprobó la propuesta de otros grupos de la cámara por el que se establecen los órdenes del día y los tiempos de debate en las sesiones plenarias (acuerdo 2020/2094), de tal manera que al Grupo Mixto le correspondería la posibilidad de incluir una iniciativa (proposiciones de ley o no de ley, mociones consecuencia de interpelación) cada tres plenos ordinarios, así como quedaría limitado el tiempo de intervención en los debates a un tercio del previsto para el resto de grupos, pudiendo, finalmente, incluir una interpelación y cuatro preguntas orales cada tres </w:t>
      </w:r>
      <w:r>
        <w:lastRenderedPageBreak/>
        <w:t>plenos de control al gobierno; y (iii) poner a disposición del Grupo Mixto un asistente (personal técnico-administrativo) para el desarrollo de sus funciones parlamentarias (acuerdo 2020/2109).</w:t>
      </w:r>
    </w:p>
    <w:p w:rsidR="00C54F26" w:rsidRDefault="00C54F26" w:rsidP="00C54F26">
      <w:pPr>
        <w:pStyle w:val="TextoNormal"/>
      </w:pPr>
    </w:p>
    <w:p w:rsidR="00C54F26" w:rsidRDefault="00C54F26" w:rsidP="00C54F26">
      <w:pPr>
        <w:pStyle w:val="TextoNormal"/>
      </w:pPr>
      <w:r>
        <w:t>c) Doña Amaia Martínez Grisaleña, en cuanto diputada electa por la formación política Vox e integrada en el Grupo Mixto de la Cámara vasca, presentó escrito solicitando la reconsideración de los anteriores acuerdos, que fue desestimada por otro acuerdo de la mesa de 8 de septiembre de 2020.</w:t>
      </w:r>
    </w:p>
    <w:p w:rsidR="00C54F26" w:rsidRDefault="00C54F26" w:rsidP="00C54F26">
      <w:pPr>
        <w:pStyle w:val="TextoNormal"/>
      </w:pPr>
    </w:p>
    <w:p w:rsidR="00C54F26" w:rsidRDefault="00C54F26" w:rsidP="00C54F26">
      <w:pPr>
        <w:pStyle w:val="TextoNormal"/>
      </w:pPr>
      <w:r w:rsidRPr="00C54F26">
        <w:rPr>
          <w:rStyle w:val="NumeroAFNegritaCaracter"/>
        </w:rPr>
        <w:t>3</w:t>
      </w:r>
      <w:r>
        <w:t>. La demanda de amparo alega la vulneración del derecho de participación política del art. 23 CE, que imputa a los acuerdos impugnados de la mesa del Parlamento Vasco. Sostiene que dichos acuerdos “se enmarcan en una estrategia de la mayoría del Parlamento vasco para crear un ‘cordón sanitario’ en torno al partido político Vox, negándole el derecho fundamental a la participación política y, de paso, privando de ese mismo derecho a los ciudadanos que, en ejercicio del sufragio activo, decidieron otorgar su confianza a ese partido político”.</w:t>
      </w:r>
    </w:p>
    <w:p w:rsidR="00C54F26" w:rsidRDefault="00C54F26" w:rsidP="00C54F26">
      <w:pPr>
        <w:pStyle w:val="TextoNormal"/>
      </w:pPr>
    </w:p>
    <w:p w:rsidR="00C54F26" w:rsidRDefault="00C54F26" w:rsidP="00C54F26">
      <w:pPr>
        <w:pStyle w:val="TextoNormal"/>
      </w:pPr>
      <w:r>
        <w:t xml:space="preserve">Por medio de otrosí, al amparo de lo dispuesto en el art. 56.6 de la Ley Orgánica del Tribunal Constitucional (LOTC), solicitó de este tribunal la aplicación </w:t>
      </w:r>
      <w:r w:rsidRPr="00C54F26">
        <w:rPr>
          <w:i/>
        </w:rPr>
        <w:t>inaudita parte</w:t>
      </w:r>
      <w:r>
        <w:t xml:space="preserve"> de la medida cautelar de suspensión de la ejecución del acuerdo de 13 de agosto de 2020, “en cuanto establece los órdenes del día y los tiempos de debate en las sesiones plenarias (propuesta 2020/2094)”. Argumenta, al respecto, que el acuerdo prescinde de lo dispuesto en el art. 25.1, párrafo segundo, del Reglamento de la Cámara, que establece que la participación del Grupo Mixto en las actividades del Parlamento “será idéntica” a la de los restantes grupos, de tal manera que, a diferencia del resto, al Grupo Mixto y a la diputada recurrente, en cuanto única integrante del mismo, solo se le permite una iniciativa por cada tres plenos frente a la posibilidad de que dispone el resto de los grupos de incluir hasta dos iniciativas en cada Pleno; asimismo, frente a las dos interpelaciones y cuatro preguntas por cada sesión plenaria que pueden incluir el resto de los grupos, al Grupo Mixto únicamente se le permite una interpelación y cuatro preguntas cada tres plenos; finalmente, también se le ha reducido el tiempo de intervención en todos los debates a un tercio del que corresponde al resto de los grupos.</w:t>
      </w:r>
    </w:p>
    <w:p w:rsidR="00C54F26" w:rsidRDefault="00C54F26" w:rsidP="00C54F26">
      <w:pPr>
        <w:pStyle w:val="TextoNormal"/>
      </w:pPr>
    </w:p>
    <w:p w:rsidR="00C54F26" w:rsidRDefault="00C54F26" w:rsidP="00C54F26">
      <w:pPr>
        <w:pStyle w:val="TextoNormal"/>
      </w:pPr>
      <w:r>
        <w:t>Considera “antidemocráticas” todas estas restricciones que, según refiere, tienen por finalidad “materializar ‘un cordón sanitario al fascismo para que no marque la agenda’ añadiendo que ‘a la ultraderecha hay que ponerla en su sitio y no puede, en ningún caso, marcar la agenda política de esta parte del país’”. Entiende, por ello, que la permanencia de estas restricciones le ocasionan unos perjuicios “que serían absolutamente irreparables al tiempo en que este tribunal se pronunciase sobre el fondo, convirtiendo en absolutamente irrelevante la justicia del tribunal”.</w:t>
      </w:r>
    </w:p>
    <w:p w:rsidR="00C54F26" w:rsidRDefault="00C54F26" w:rsidP="00C54F26">
      <w:pPr>
        <w:pStyle w:val="TextoNormal"/>
      </w:pPr>
    </w:p>
    <w:p w:rsidR="00C54F26" w:rsidRDefault="00C54F26" w:rsidP="00C54F26">
      <w:pPr>
        <w:pStyle w:val="TextoNormal"/>
      </w:pPr>
      <w:r>
        <w:t>Por otro lado, entiende que la suspensión no ocasiona perturbación grave a un interés constitucionalmente protegido, ni a los derechos fundamentales o libertades públicas de una tercera persona. Además, el acuerdo para el que solicita la medida cautelar “es insólito y nunca antes había sentido la mesa la necesidad de adoptar un acuerdo de estas características”. Por ello, afirma que si hasta ahora el Parlamento vasco ha funcionado sin un acuerdo análogo, “ningún perjuicio ha de ocasionar su suspensión hasta que el tribunal se pronuncie sobre su constitucionalidad”.</w:t>
      </w:r>
    </w:p>
    <w:p w:rsidR="00C54F26" w:rsidRDefault="00C54F26" w:rsidP="00C54F26">
      <w:pPr>
        <w:pStyle w:val="TextoNormal"/>
      </w:pPr>
    </w:p>
    <w:p w:rsidR="00C54F26" w:rsidRDefault="00C54F26" w:rsidP="00C54F26">
      <w:pPr>
        <w:pStyle w:val="TextoNormal"/>
      </w:pPr>
      <w:r>
        <w:t>Finalmente, aunque la parte reconoce que este tribunal “ha mostrado siempre la razonable cautela de no aplicar la apariencia de buen derecho en sede cautelar con la finalidad de no prejuzgar el fondo”, el caso de autos “presenta la evidente excepcionalidad de que la propia portavoz de uno de los partidos políticos que soportaron el acuerdo exteriorizó explícitamente la inconstitucional intención del mismo: extender un verdadero ‘cordón sanitario’ a una opción política absolutamente constitucional y a la ciudadanía” que votó la opción política que su formación representa.</w:t>
      </w:r>
    </w:p>
    <w:p w:rsidR="00C54F26" w:rsidRDefault="00C54F26" w:rsidP="00C54F26">
      <w:pPr>
        <w:pStyle w:val="TextoNormal"/>
      </w:pPr>
    </w:p>
    <w:p w:rsidR="00C54F26" w:rsidRDefault="00C54F26" w:rsidP="00C54F26">
      <w:pPr>
        <w:pStyle w:val="TextoNormal"/>
      </w:pPr>
      <w:r w:rsidRPr="00C54F26">
        <w:rPr>
          <w:rStyle w:val="NumeroAFNegritaCaracter"/>
        </w:rPr>
        <w:t>4</w:t>
      </w:r>
      <w:r>
        <w:t>. En virtud de providencia de 3 de marzo de 2021, la Sección Cuarta de la Sala Segunda de este tribunal acordó la admisión a trámite del recurso, apreciando que concurre en el mismo una especial trascendencia constitucional (art. 50.1 LOTC), por cuanto el asunto trasciende del caso concreto, toda vez que pudiera tener unas consecuencias políticas generales [STC 155/2009, FJ 2 g)].</w:t>
      </w:r>
    </w:p>
    <w:p w:rsidR="00C54F26" w:rsidRDefault="00C54F26" w:rsidP="00C54F26">
      <w:pPr>
        <w:pStyle w:val="TextoNormal"/>
      </w:pPr>
    </w:p>
    <w:p w:rsidR="00C54F26" w:rsidRDefault="00C54F26" w:rsidP="00C54F26">
      <w:pPr>
        <w:pStyle w:val="TextoNormal"/>
      </w:pPr>
      <w:r>
        <w:t>Además, en la misma resolución, se acordó dirigir atenta comunicación al Parlamento Vasco, a fin de que en el plazo que no excediera de diez días, remitiera certificación o copia adverada de las actuaciones correspondientes a los acuerdos de la mesa del Parlamento Vasco de 13 de agosto y de 8 de septiembre de 2020, debiendo emplazar a quienes hubieran intervenido en el procedimiento para que, por término de diez días, pudieran comparecer, excepto la recurrente en amparo.</w:t>
      </w:r>
    </w:p>
    <w:p w:rsidR="00C54F26" w:rsidRDefault="00C54F26" w:rsidP="00C54F26">
      <w:pPr>
        <w:pStyle w:val="TextoNormal"/>
      </w:pPr>
    </w:p>
    <w:p w:rsidR="00C54F26" w:rsidRDefault="00C54F26" w:rsidP="00C54F26">
      <w:pPr>
        <w:pStyle w:val="TextoNormal"/>
      </w:pPr>
      <w:r>
        <w:t xml:space="preserve">Igualmente, en relación con la solicitud de suspensión formulada en la demanda de amparo, la Sección no apreció la urgencia excepcional a que se refiere el art. 56.6 LOTC, por lo que no resolvió </w:t>
      </w:r>
      <w:r w:rsidRPr="00C54F26">
        <w:rPr>
          <w:i/>
        </w:rPr>
        <w:t>inaudita parte</w:t>
      </w:r>
      <w:r>
        <w:t>, “dado que el asunto presenta elementos sustantivos específicos que abogan por un estudio meditado y contradictorio de la medida cautelarísima instada”.</w:t>
      </w:r>
    </w:p>
    <w:p w:rsidR="00C54F26" w:rsidRDefault="00C54F26" w:rsidP="00C54F26">
      <w:pPr>
        <w:pStyle w:val="TextoNormal"/>
      </w:pPr>
    </w:p>
    <w:p w:rsidR="00C54F26" w:rsidRDefault="00C54F26" w:rsidP="00C54F26">
      <w:pPr>
        <w:pStyle w:val="TextoNormal"/>
      </w:pPr>
      <w:r>
        <w:t>Finalmente, decidió la formación de pieza separada de suspensión y conceder un plazo común de tres días al Ministerio Fiscal y a la parte recurrente para que alegaran lo que estimaran oportuno sobre la suspensión.</w:t>
      </w:r>
    </w:p>
    <w:p w:rsidR="00C54F26" w:rsidRDefault="00C54F26" w:rsidP="00C54F26">
      <w:pPr>
        <w:pStyle w:val="TextoNormal"/>
      </w:pPr>
    </w:p>
    <w:p w:rsidR="00C54F26" w:rsidRDefault="00C54F26" w:rsidP="00C54F26">
      <w:pPr>
        <w:pStyle w:val="TextoNormal"/>
      </w:pPr>
      <w:r w:rsidRPr="00C54F26">
        <w:rPr>
          <w:rStyle w:val="NumeroAFNegritaCaracter"/>
        </w:rPr>
        <w:t>5</w:t>
      </w:r>
      <w:r>
        <w:t>. En fecha 11 de marzo de 2021, quedaron registradas en este tribunal las alegaciones de los demandantes de amparo en las que, además de ratificarse en la solicitud de la medida cautelar de suspensión de la ejecución del acuerdo de referencia, en los términos en que fueron instados mediante otrosí en la demanda, añaden que, en un mes concreto, el Grupo Mixto solo ha podido presentar una iniciativa, frente a las seis que pudieron presentar cada uno de los restantes grupos parlamentarios, de tal manera que su participación ha sido seis veces inferior a la de cada uno de los restantes grupos de la Cámara vasca.</w:t>
      </w:r>
    </w:p>
    <w:p w:rsidR="00C54F26" w:rsidRDefault="00C54F26" w:rsidP="00C54F26">
      <w:pPr>
        <w:pStyle w:val="TextoNormal"/>
      </w:pPr>
    </w:p>
    <w:p w:rsidR="00C54F26" w:rsidRDefault="00C54F26" w:rsidP="00C54F26">
      <w:pPr>
        <w:pStyle w:val="TextoNormal"/>
      </w:pPr>
      <w:r>
        <w:t>Del mismo modo, frente a la disponibilidad de hasta quince minutos que cada grupo parlamentario tiene para sus intervenciones orales, el Grupo Mixto solo ha dispuesto de cinco minutos y, en los mismos términos, ha sufrido restricciones respecto de los plenos de control al Gobierno y en las comisiones de la Cámara. Con objeto de poder acreditar tales afirmaciones, aporta documental que queda incorporada a la pieza incidental de suspensión.</w:t>
      </w:r>
    </w:p>
    <w:p w:rsidR="00C54F26" w:rsidRDefault="00C54F26" w:rsidP="00C54F26">
      <w:pPr>
        <w:pStyle w:val="TextoNormal"/>
      </w:pPr>
    </w:p>
    <w:p w:rsidR="00C54F26" w:rsidRDefault="00C54F26" w:rsidP="00C54F26">
      <w:pPr>
        <w:pStyle w:val="TextoNormal"/>
      </w:pPr>
      <w:r>
        <w:t xml:space="preserve">Reitera que la eventual suspensión de la ejecución del acuerdo no causaría perjuicios a los intereses generales y a los derechos de terceros y que, sin embargo, la no suspensión le </w:t>
      </w:r>
      <w:r>
        <w:lastRenderedPageBreak/>
        <w:t>puede ocasionar perjuicios irreparables. Destaca, también, que en la historia del parlamentarismo vasco y de las anteriores legislaturas (en la VIII y en la X) hubo un grupo mixto integrado por un solo diputado “sin que se adoptara acuerdo alguno que restringiera su intervención”. En definitiva, si no se acuerda la suspensión permanecerá el “cordón sanitario” y los perjuicios irreparables que se le irrogan al Grupo Mixto y a la diputada integrante del mismo.</w:t>
      </w:r>
    </w:p>
    <w:p w:rsidR="00C54F26" w:rsidRDefault="00C54F26" w:rsidP="00C54F26">
      <w:pPr>
        <w:pStyle w:val="TextoNormal"/>
      </w:pPr>
    </w:p>
    <w:p w:rsidR="00C54F26" w:rsidRDefault="00C54F26" w:rsidP="00C54F26">
      <w:pPr>
        <w:pStyle w:val="TextoNormal"/>
      </w:pPr>
      <w:r w:rsidRPr="00C54F26">
        <w:rPr>
          <w:rStyle w:val="NumeroAFNegritaCaracter"/>
        </w:rPr>
        <w:t>6</w:t>
      </w:r>
      <w:r>
        <w:t>. El día 18 de marzo de 2021, tuvo entrada en el registro de este tribunal el escrito de alegaciones del Ministerio Fiscal por el que solicita la denegación de la medida cautelar oponiéndose a que este tribunal suspenda la ejecución del acuerdo impugnado.</w:t>
      </w:r>
    </w:p>
    <w:p w:rsidR="00C54F26" w:rsidRDefault="00C54F26" w:rsidP="00C54F26">
      <w:pPr>
        <w:pStyle w:val="TextoNormal"/>
      </w:pPr>
    </w:p>
    <w:p w:rsidR="00C54F26" w:rsidRDefault="00C54F26" w:rsidP="00C54F26">
      <w:pPr>
        <w:pStyle w:val="TextoNormal"/>
      </w:pPr>
      <w:r>
        <w:t>Después de hacer una detallada descripción de los antecedentes, destaca el fiscal que el objeto del recurso de amparo y de la decisión sobre el fondo que debe adoptar este tribunal se localiza en “dirimir si los acuerdos de la mesa vulneran los derechos fundamentales que alega o son respetuosos con lo previsto en el Reglamento de la Cámara”, de tal manera que la suspensión de uno de ellos se proyecta “sobre el fondo de la cuestión planteada en la demanda” y supone “predeterminar la solución del recurso, sin que sea este el momento procesal oportuno para hacerlo”.</w:t>
      </w:r>
    </w:p>
    <w:p w:rsidR="00C54F26" w:rsidRDefault="00C54F26" w:rsidP="00C54F26">
      <w:pPr>
        <w:pStyle w:val="TextoNormal"/>
      </w:pPr>
    </w:p>
    <w:p w:rsidR="00C54F26" w:rsidRDefault="00C54F26" w:rsidP="00C54F26">
      <w:pPr>
        <w:pStyle w:val="TextoNormal"/>
      </w:pPr>
      <w:r>
        <w:t>Por otro lado, entiende el fiscal que los recurrentes han podido, hasta el momento presente, ejercer funciones parlamentarias como Grupo Mixto y, por tanto, “pueden seguir haciendo valer los intereses de los concretos votantes de la formación política por la que resultaron elegidos, sin perjuicio de que su porcentaje de participación en la actividad parlamentaria se vea disminuida por los acuerdos impugnados, disminución que es precisamente el objeto del recurso de amparo, por lo que de concederse la suspensión se anticiparía el sentido del amparo”.</w:t>
      </w:r>
    </w:p>
    <w:p w:rsidR="00C54F26" w:rsidRDefault="00C54F26" w:rsidP="00C54F26">
      <w:pPr>
        <w:pStyle w:val="TextoNormal"/>
      </w:pPr>
    </w:p>
    <w:p w:rsidR="00C54F26" w:rsidRDefault="00C54F26" w:rsidP="00C54F26">
      <w:pPr>
        <w:pStyle w:val="TextoNormal"/>
      </w:pPr>
      <w:r>
        <w:t xml:space="preserve">Finalmente, rechaza también la alegación de los demandantes de amparo a la apariencia de buen derecho que defienden, porque este tribunal “ya declaró”, con cita del ATC 18/2002, de 11 de febrero, FJ 1, que “cuando, con ocasión de haber sido impugnado un acuerdo de la mesa del Parlamento de La Rioja de disolución de un grupo parlamentario y la incorporación de sus anteriores componentes al Grupo Mixto, que debía ‘desecharse </w:t>
      </w:r>
      <w:r w:rsidRPr="00C54F26">
        <w:rPr>
          <w:i/>
        </w:rPr>
        <w:t>a limine</w:t>
      </w:r>
      <w:r>
        <w:t xml:space="preserve"> el argumento que los recurrentes esgrimen del </w:t>
      </w:r>
      <w:r w:rsidRPr="00C54F26">
        <w:rPr>
          <w:i/>
        </w:rPr>
        <w:t>fumus boni iuris</w:t>
      </w:r>
      <w:r>
        <w:t xml:space="preserve"> que tiene el amparo que impetran’”.</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art. 56.1 de la Ley Orgánica del Tribunal Constitucional (LOTC) establece, como regla general, que la interposición de un recurso de amparo no suspenderá los efectos del acto o sentencia impugnados. No obstante, el apartado segundo del mismo art. 56 LOTC, prevé una excepción a dicha previsión general, admitiendo la suspensión del acto o sentencia impugnados cuando su ejecución produzca un perjuicio al recurrente que pudiera hacer perder su finalidad al amparo. Razón por la que se configura como una medida de carácter excepcional y de aplicación restrictiva (por todos, AATC 117/2015, de 6 de julio, FJ 1, y 59/2017, de 24 de abril, FJ 1).</w:t>
      </w:r>
    </w:p>
    <w:p w:rsidR="00C54F26" w:rsidRDefault="00C54F26" w:rsidP="00C54F26">
      <w:pPr>
        <w:pStyle w:val="TextoNormal"/>
      </w:pPr>
    </w:p>
    <w:p w:rsidR="00C54F26" w:rsidRDefault="00C54F26" w:rsidP="00C54F26">
      <w:pPr>
        <w:pStyle w:val="TextoNormal"/>
      </w:pPr>
      <w:r>
        <w:lastRenderedPageBreak/>
        <w:t>En atención a tal previsión legal, este tribunal ha declarado que “quien solicita la adopción de esta medida cautelar ha de alegar, probar o justificar, ofreciendo un principio razonable de prueba, la irreparabilidad o dificultad de la reparación de los perjuicios de seguirse la ejecución del acto impugnado, con el objeto de mostrar que dicha ejecución podría privar a la demanda de amparo de su finalidad, provocando que el restablecimiento del recurrente en el derecho constitucional vulnerado sea tardío y convirtiendo en meramente ilusorio y nominal el amparo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AATC 1/2016, de 18 de enero)” (ATC 26/2019, de 9 de abril, FJ 1).</w:t>
      </w:r>
    </w:p>
    <w:p w:rsidR="00C54F26" w:rsidRDefault="00C54F26" w:rsidP="00C54F26">
      <w:pPr>
        <w:pStyle w:val="TextoNormal"/>
      </w:pPr>
    </w:p>
    <w:p w:rsidR="00C54F26" w:rsidRDefault="00C54F26" w:rsidP="00C54F26">
      <w:pPr>
        <w:pStyle w:val="TextoNormal"/>
      </w:pPr>
      <w:r>
        <w:t>Por último, de modo general, también ha insistido este tribunal (ATC 23/2017, de 13 de febrero, FJ 1, y AATC 263/2001, de 15 de octubre, y 18/2002, de 11 de febrero, que se citan en aquella resolución) en la imposibilidad de adelantar cuestiones controvertidas propias del fondo del recurso de amparo en esta pieza incidental de suspensión, como tampoco de conceder la suspensión cautelar de la ejecución de una resolución o de un acuerdo, si con ello se puede anticipar el amparo que se solicita.</w:t>
      </w:r>
    </w:p>
    <w:p w:rsidR="00C54F26" w:rsidRDefault="00C54F26" w:rsidP="00C54F26">
      <w:pPr>
        <w:pStyle w:val="TextoNormal"/>
      </w:pPr>
    </w:p>
    <w:p w:rsidR="00C54F26" w:rsidRDefault="00C54F26" w:rsidP="00C54F26">
      <w:pPr>
        <w:pStyle w:val="TextoNormal"/>
      </w:pPr>
      <w:r w:rsidRPr="00C54F26">
        <w:rPr>
          <w:rStyle w:val="NumeroAFNegritaCaracter"/>
        </w:rPr>
        <w:t>2</w:t>
      </w:r>
      <w:r>
        <w:t>. Según se detalla en los antecedentes, los recurrentes han solicitado en la demanda de amparo la suspensión cautelar de la ejecución de uno de los tres acuerdos impugnados que adoptó la mesa del Parlamento Vasco, en su sesión celebrada el día 13 de agosto de 2020. En concreto, se refiere al acuerdo 2020/2094, por el que se han establecido los órdenes del día y los tiempos de debate en las sesiones plenarias. En dicho acuerdo la mesa dispuso una reducción de las iniciativas parlamentarias y de los tiempos de intervención asignados al Grupo Mixto, integrado por la diputada recurrente doña Amaia Martínez Grisaleña, de tal manera que la queja por alegada vulneración del derecho de participación política (art. 23 CE) que invocan los recurrentes constituye el objeto del recurso de amparo.</w:t>
      </w:r>
    </w:p>
    <w:p w:rsidR="00C54F26" w:rsidRDefault="00C54F26" w:rsidP="00C54F26">
      <w:pPr>
        <w:pStyle w:val="TextoNormal"/>
      </w:pPr>
    </w:p>
    <w:p w:rsidR="00C54F26" w:rsidRDefault="00C54F26" w:rsidP="00C54F26">
      <w:pPr>
        <w:pStyle w:val="TextoNormal"/>
      </w:pPr>
      <w:r>
        <w:t>A partir de esta delimitación del objeto del recurso de amparo y de la suspensión cautelar que se solicita, hemos de realizar las siguientes consideraciones:</w:t>
      </w:r>
    </w:p>
    <w:p w:rsidR="00C54F26" w:rsidRDefault="00C54F26" w:rsidP="00C54F26">
      <w:pPr>
        <w:pStyle w:val="TextoNormal"/>
      </w:pPr>
    </w:p>
    <w:p w:rsidR="00C54F26" w:rsidRDefault="00C54F26" w:rsidP="00C54F26">
      <w:pPr>
        <w:pStyle w:val="TextoNormal"/>
      </w:pPr>
      <w:r>
        <w:t xml:space="preserve">a) En primer lugar, como con acierto alega el Ministerio Fiscal, debemos rechazar </w:t>
      </w:r>
      <w:r w:rsidRPr="00C54F26">
        <w:rPr>
          <w:i/>
        </w:rPr>
        <w:t>a limine</w:t>
      </w:r>
      <w:r>
        <w:t xml:space="preserve"> el argumento de la apariencia de buen derecho que sostienen los demandantes pues, como ha declarado este tribunal, “dichos argumentos se proyectan sobre el fondo de la cuestión planteada en la demanda y suponen predeterminar la solución del recurso que, en su momento, esta Sala habrá de resolver en el sentido que razonadamente estime oportuno” (ATC 23/2017, de 13 de febrero, FJ 2).</w:t>
      </w:r>
    </w:p>
    <w:p w:rsidR="00C54F26" w:rsidRDefault="00C54F26" w:rsidP="00C54F26">
      <w:pPr>
        <w:pStyle w:val="TextoNormal"/>
      </w:pPr>
    </w:p>
    <w:p w:rsidR="00C54F26" w:rsidRDefault="00C54F26" w:rsidP="00C54F26">
      <w:pPr>
        <w:pStyle w:val="TextoNormal"/>
      </w:pPr>
      <w:r>
        <w:t xml:space="preserve">b) Y, en segundo término, es cierto que las facultades parlamentarias y los tiempos de intervención del Grupo Mixto y de la diputada que lo integra son más reducidas que las que tienen asignadas el resto de los grupos de la Cámara, y que, desde la perspectiva de los recurrentes, tal reducción les produce un perjuicio en el desarrollo de lo que aquellos entienden como el pleno ejercicio de sus funciones parlamentarias, pero esta es precisamente la cuestión de fondo que debe dirimir el tribunal a la hora de resolver sobre la pretensión de amparo ejercitada. En la sentencia que dicte deberá decidir si los acuerdos de la mesa impugnados vulneran los derechos fundamentales garantizados en el art. 23 CE, o si, por el </w:t>
      </w:r>
      <w:r>
        <w:lastRenderedPageBreak/>
        <w:t>contrario, aquellos, entre los que se encuentra el que ahora es objeto de la suspensión cautelar que se solicita, se ajustan a lo previsto en el Reglamento de la Cámara.</w:t>
      </w:r>
    </w:p>
    <w:p w:rsidR="00C54F26" w:rsidRDefault="00C54F26" w:rsidP="00C54F26">
      <w:pPr>
        <w:pStyle w:val="TextoNormal"/>
      </w:pPr>
    </w:p>
    <w:p w:rsidR="00C54F26" w:rsidRDefault="00C54F26" w:rsidP="00C54F26">
      <w:pPr>
        <w:pStyle w:val="TextoNormal"/>
      </w:pPr>
      <w:r>
        <w:t>“En ello abunda, por lo demás, el interés general que conlleva la ejecución de los actos y decisiones de los poderes públicos, amparados, como están, en la presunción de legalidad y veracidad, como hemos dicho siempre al tratar de la medida cautelar que posibilita el art. 56 LOTC (así, en el ATC 208/2001, de 16 de junio, y los que en él se mencionan en idéntica línea). Cuando, como en este caso, se trata de actos provenientes de órganos parlamentarios, se une, además, la característica y esencial autonomía parlamentaria que, como tal, ha de respetarse siempre en la medida de lo posible (ATC 18/2002, de 11 de febrero, FJ 3)” (ATC 26/2019, de 9 de abril, FJ 2).</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suspensión cautelar de la ejecución del acuerdo 2020/2094, de 13 de agosto de 2020, de la mesa del Parlamento Vasco, por el que se establecen los órdenes del día y los tiempos de debate en las sesiones parlamentarias.</w:t>
      </w:r>
    </w:p>
    <w:p w:rsidR="00C54F26" w:rsidRDefault="00C54F26" w:rsidP="00C54F26">
      <w:pPr>
        <w:pStyle w:val="TextoNormal"/>
      </w:pPr>
    </w:p>
    <w:p w:rsidR="00C54F26" w:rsidRDefault="00C54F26" w:rsidP="00C54F26">
      <w:pPr>
        <w:pStyle w:val="TextoNormal"/>
      </w:pPr>
      <w:r>
        <w:t>Madrid, a diecinueve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4" w:name="AUTO_2021_43"/>
      <w:r>
        <w:lastRenderedPageBreak/>
        <w:t>AUTO 43/2021, de 19 de abril de 2021</w:t>
      </w:r>
    </w:p>
    <w:bookmarkEnd w:id="184"/>
    <w:p w:rsidR="00C54F26" w:rsidRDefault="00C54F26" w:rsidP="00C54F26">
      <w:pPr>
        <w:pStyle w:val="TtuloResolucin"/>
      </w:pPr>
      <w:r>
        <w:t>Sala Segunda</w:t>
      </w:r>
    </w:p>
    <w:p w:rsidR="00C54F26" w:rsidRDefault="00C54F26" w:rsidP="00C54F26">
      <w:pPr>
        <w:pStyle w:val="TextoNormalCentrado"/>
      </w:pPr>
      <w:r>
        <w:t>ECLI:ES:TC:2021:43A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Deniega la aclaración del auto 16/2021, de 15 de febrero, dictado en el recurso de amparo 5513-2020, promovido por don Carles Puigdemont Casamajó y don Antoni Comín i Oliveres,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auto de 15 de febrero de 2021 (ATC 16/2021) se acordó desestimar la revisión de la diligencia de ordenación del secretario de justicia de la Sección Tercera de este tribunal, de 20 de noviembre de 2020, por la que se requirió a los recurrentes para que en el plazo de diez días acreditaran fehacientemente la fecha de notificación de la resolución recurrida en el recurso ordinario núm. 271-2019, “[c]on la advertencia que de no atender al precedente requerimiento de este tribunal, en el plazo indicado, la Sección podrá inadmitir el presente recurso, conforme a lo preceptuado en el art. 50.4”; acordándose además la devolución de la documentación relativa al recurso 278-2019, “haciéndole saber que deberá formular recurso de amparo diferenciado por cada procedimiento de instancia”.</w:t>
      </w:r>
    </w:p>
    <w:p w:rsidR="00C54F26" w:rsidRDefault="00C54F26" w:rsidP="00C54F26">
      <w:pPr>
        <w:pStyle w:val="TextoNormal"/>
      </w:pPr>
    </w:p>
    <w:p w:rsidR="00C54F26" w:rsidRDefault="00C54F26" w:rsidP="00C54F26">
      <w:pPr>
        <w:pStyle w:val="TextoNormal"/>
      </w:pPr>
      <w:r w:rsidRPr="00C54F26">
        <w:rPr>
          <w:rStyle w:val="NumeroAFNegritaCaracter"/>
        </w:rPr>
        <w:t>2</w:t>
      </w:r>
      <w:r>
        <w:t>. Por escrito fechado el 24 de febrero de 2021, los recurrentes solicitaron la aclaración de la resolución precedente, en el sentido de determinar “cuál es la acreditación fehaciente a la que se refiere en su auto de 15 de febrero de 2021”.</w:t>
      </w:r>
    </w:p>
    <w:p w:rsidR="00C54F26" w:rsidRDefault="00C54F26" w:rsidP="00C54F26">
      <w:pPr>
        <w:pStyle w:val="TextoNormal"/>
      </w:pPr>
    </w:p>
    <w:p w:rsidR="00C54F26" w:rsidRDefault="00C54F26" w:rsidP="00C54F26">
      <w:pPr>
        <w:pStyle w:val="TextoNormal"/>
      </w:pPr>
      <w:r w:rsidRPr="00C54F26">
        <w:rPr>
          <w:rStyle w:val="NumeroAFNegritaCaracter"/>
        </w:rPr>
        <w:t>3</w:t>
      </w:r>
      <w:r>
        <w:t>. Por diligencia de ordenación de 25 de febrero de 2021, se acordó que se uniera a las actuaciones el escrito anterior y que se diera cuenta del mismo.</w:t>
      </w:r>
    </w:p>
    <w:p w:rsidR="00C54F26" w:rsidRDefault="00C54F26" w:rsidP="00C54F26">
      <w:pPr>
        <w:pStyle w:val="TextoNormal"/>
      </w:pPr>
    </w:p>
    <w:p w:rsidR="00C54F26" w:rsidRDefault="00C54F26" w:rsidP="00C54F26">
      <w:pPr>
        <w:pStyle w:val="TextoNormal"/>
      </w:pPr>
      <w:r w:rsidRPr="00C54F26">
        <w:rPr>
          <w:rStyle w:val="NumeroAFNegritaCaracter"/>
        </w:rPr>
        <w:t>4</w:t>
      </w:r>
      <w:r>
        <w:t>. Por providencia de la Sección Tercera de este tribunal, de 26 de febrero de 2021, se acordó dar traslado de ese escrito al Ministerio Fiscal para que formulara las alegaciones que estimara convenientes.</w:t>
      </w:r>
    </w:p>
    <w:p w:rsidR="00C54F26" w:rsidRDefault="00C54F26" w:rsidP="00C54F26">
      <w:pPr>
        <w:pStyle w:val="TextoNormal"/>
      </w:pPr>
    </w:p>
    <w:p w:rsidR="00C54F26" w:rsidRDefault="00C54F26" w:rsidP="00C54F26">
      <w:pPr>
        <w:pStyle w:val="TextoNormal"/>
      </w:pPr>
      <w:r w:rsidRPr="00C54F26">
        <w:rPr>
          <w:rStyle w:val="NumeroAFNegritaCaracter"/>
        </w:rPr>
        <w:t>5</w:t>
      </w:r>
      <w:r>
        <w:t>. Con fecha de 15 de marzo de 2021, el Ministerio Fiscal presentó sus alegaciones, interesando la desestimación de la solicitud de aclaración.</w:t>
      </w:r>
    </w:p>
    <w:p w:rsidR="00C54F26" w:rsidRDefault="00C54F26" w:rsidP="00C54F26">
      <w:pPr>
        <w:pStyle w:val="TextoNormal"/>
      </w:pPr>
    </w:p>
    <w:p w:rsidR="00C54F26" w:rsidRDefault="00C54F26" w:rsidP="00C54F26">
      <w:pPr>
        <w:pStyle w:val="TextoNormal"/>
      </w:pPr>
      <w:r>
        <w:t xml:space="preserve">A tal objeto, el fiscal identificó la cuestión suscitada en el recurso de revisión presentado por los recurrentes frente a la diligencia de ordenación de 20 de noviembre de 2020, consistente en que “el requerimiento efectuado de la acreditación fehaciente de la fecha de notificación de los autos de 15 de septiembre de 2020 no encuentra sustento en el art. 49.4 </w:t>
      </w:r>
      <w:r>
        <w:lastRenderedPageBreak/>
        <w:t>LOTC”, objeción que resultó desestimada en el auto resolutorio en “términos claros y paladinos, por lo que no requiere de aclaración adicional que se pretende por los recurrentes”. Según sostiene, lo que ahora se plantea difiere de aquello, pues se refiere a la forma en que se ha de cumplimentar la susodicha notificación fehaciente, sin que en la resolución cuya aclaración se requiere, se hubiera adoptado decisión alguna acerca de la suficiencia de los documentos que se aportaron con el escrito solicitando la revisión. Indicando finalmente que, “sin perjuicio del alcance y validez de los documentos aportados”, debe tenerse en cuenta la facultades que se atribuyen al letrado de la administración de justicia en orden a ejercicio de la fe pública judicial, dejando constancia fehaciente de la realización de los actos procesales mediante las oportunas actas y diligencias, de conformidad con lo previsto en el art. 453 de la Ley Orgánica del Poder Judicial (LOPJ).</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w:t>
      </w:r>
      <w:r w:rsidRPr="00C54F26">
        <w:rPr>
          <w:i/>
        </w:rPr>
        <w:t>Sobre la aclaración de los autos del Tribunal Constitucional</w:t>
      </w:r>
    </w:p>
    <w:p w:rsidR="00C54F26" w:rsidRDefault="00C54F26" w:rsidP="00C54F26">
      <w:pPr>
        <w:pStyle w:val="TextoNormal"/>
      </w:pPr>
    </w:p>
    <w:p w:rsidR="00C54F26" w:rsidRDefault="00C54F26" w:rsidP="00C54F26">
      <w:pPr>
        <w:pStyle w:val="TextoNormal"/>
      </w:pPr>
      <w:r>
        <w:t>Objeto de esta resolución debe ser, en primer lugar, determinar la admisibilidad de la solicitud de aclaración del auto 16/2021, de 15 de febrero y, para el caso de ser la respuesta positiva, comprobar si esa resolución ha de ser aclarada.</w:t>
      </w:r>
    </w:p>
    <w:p w:rsidR="00C54F26" w:rsidRDefault="00C54F26" w:rsidP="00C54F26">
      <w:pPr>
        <w:pStyle w:val="TextoNormal"/>
      </w:pPr>
    </w:p>
    <w:p w:rsidR="00C54F26" w:rsidRDefault="00C54F26" w:rsidP="00C54F26">
      <w:pPr>
        <w:pStyle w:val="TextoNormal"/>
      </w:pPr>
      <w:r>
        <w:t>La posibilidad de aclarar una resolución como el auto referido, viene siendo pacíficamente reconocida por el tribunal, entre otras decisiones en el auto ATC 168/2017, de 12 de diciembre, donde se sostiene que “aunque el artículo 93 de la Ley Orgánica del Tribunal Constitucional (LOTC) se refiere únicamente a la aclaración de sentencias, y no de autos y providencias, contra las cuales, dice el apartado segundo del precepto, ‘solo procederá, en su caso, el recurso de súplica’, la posibilidad de aclarar estas resoluciones ha sido admitida por este tribunal acudiendo al régimen general de los artículos 267 de la Ley Orgánica del Poder Judicial y 214 de la Ley de enjuiciamiento civil que invoca el solicitante de la aclaración en su escrito (así, por ejemplo, AATC 110/2002, de 18 de junio, 209/2002, de 28 de octubre, y 106/2010, de 6 de septiembre). Ahora bien, como también hemos reiterado en multitud de ocasiones, el objeto de la solicitud de aclaración es, exclusivamente, la ‘corrección de errores materiales manifiestos o errores aritméticos, a la aclaración de algún concepto oscuro, a suplir cualquier omisión o a la rectificación de alguna contradicción manifiesta que se evidencie del propio texto de la [resolución], sin necesidad de nuevas deducciones o interpretaciones’ (por todos, ATC 133/2017, de 3 de octubre, FJ 1)” (FJ 1).</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w:t>
      </w:r>
      <w:r w:rsidRPr="00C54F26">
        <w:rPr>
          <w:i/>
        </w:rPr>
        <w:t>Sobre la solicitud de aclaración del auto de 15 de febrero de</w:t>
      </w:r>
      <w:r>
        <w:t xml:space="preserve"> 2021</w:t>
      </w:r>
    </w:p>
    <w:p w:rsidR="00C54F26" w:rsidRDefault="00C54F26" w:rsidP="00C54F26">
      <w:pPr>
        <w:pStyle w:val="TextoNormal"/>
      </w:pPr>
    </w:p>
    <w:p w:rsidR="00C54F26" w:rsidRDefault="00C54F26" w:rsidP="00C54F26">
      <w:pPr>
        <w:pStyle w:val="TextoNormal"/>
      </w:pPr>
      <w:r>
        <w:t>El auto cuestionado resuelve con absoluta claridad las objeciones formuladas por los recurrentes en relación con la diligencia de ordenación de 20 de noviembre de 2020, fundamentadas en que el requerimiento del secretario de justicia de la Sección Tercera del tribunal dirigido a los recurrentes, relativo a la acreditación fehaciente de la fecha de notificación de la resolución recurrida, carecía de sustento en el art. 49.4 LOTC, como a que tampoco encontraría amparo en precepto legal alguno la advertencia a los mismos de que debería formularse recurso de amparo diferenciado por cada procedimiento de instancia. Ambos motivos de revisión fueron desestimados expresa y rotundamente, siendo improcedente la petición formulada ahora por los recurrentes.</w:t>
      </w:r>
    </w:p>
    <w:p w:rsidR="00C54F26" w:rsidRDefault="00C54F26" w:rsidP="00C54F26">
      <w:pPr>
        <w:pStyle w:val="TextoNormal"/>
      </w:pPr>
    </w:p>
    <w:p w:rsidR="00C54F26" w:rsidRDefault="00C54F26" w:rsidP="00C54F26">
      <w:pPr>
        <w:pStyle w:val="TextoNormal"/>
      </w:pPr>
      <w:r>
        <w:t xml:space="preserve">La resolución cuya aclaración se interesa no contiene pronunciamiento alguno acerca de los requisitos de validez y la suficiencia de los certificados generados por el sistema de notificación electrónica Lexnet a los efectos requeridos; si bien es cierto que no cabe obviar el ejercicio de la fe pública judicial por los letrados de la administración de justicia en orden a la certificación fehaciente de los actos procesales </w:t>
      </w:r>
      <w:r w:rsidRPr="00C54F26">
        <w:rPr>
          <w:i/>
        </w:rPr>
        <w:t>ex</w:t>
      </w:r>
      <w:r>
        <w:t xml:space="preserve"> art. 453.1 LOPJ, como advierte el Ministerio Fiscal.</w:t>
      </w:r>
    </w:p>
    <w:p w:rsidR="00C54F26" w:rsidRDefault="00C54F26" w:rsidP="00C54F26">
      <w:pPr>
        <w:pStyle w:val="TextoNormal"/>
      </w:pPr>
    </w:p>
    <w:p w:rsidR="00C54F26" w:rsidRDefault="00C54F26" w:rsidP="00C54F26">
      <w:pPr>
        <w:pStyle w:val="TextoNormal"/>
      </w:pPr>
      <w:r>
        <w:t>Por lo demás, la cuestión que suscitan los recurrentes carece de trascendencia en las presentes actuaciones, al haberse aceptado los documentos aportados a efectos de acreditar la fecha de notificación del auto de la Sala de lo Contencioso-Administrativo del Tribunal Supremo, de 15 de septiembre de 2020, dictado en el procedimiento ordinario núm. 271-2020.</w:t>
      </w:r>
    </w:p>
    <w:p w:rsidR="00C54F26" w:rsidRDefault="00C54F26" w:rsidP="00C54F26">
      <w:pPr>
        <w:pStyle w:val="TextoNormal"/>
      </w:pPr>
    </w:p>
    <w:p w:rsidR="00C54F26" w:rsidRDefault="00C54F26" w:rsidP="00C54F26">
      <w:pPr>
        <w:pStyle w:val="TextoNormal"/>
      </w:pPr>
      <w:r>
        <w:t>No se aprecia, pues, ningún concepto oscuro que requiera ser aclarado.</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Desestimar la solicitud de aclaración formulada por los recurrentes.</w:t>
      </w:r>
    </w:p>
    <w:p w:rsidR="00C54F26" w:rsidRDefault="00C54F26" w:rsidP="00C54F26">
      <w:pPr>
        <w:pStyle w:val="TextoNormal"/>
      </w:pPr>
    </w:p>
    <w:p w:rsidR="00C54F26" w:rsidRDefault="00C54F26" w:rsidP="00C54F26">
      <w:pPr>
        <w:pStyle w:val="TextoNormal"/>
      </w:pPr>
      <w:r>
        <w:t>Madrid, a diecinueve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5" w:name="AUTO_2021_44"/>
      <w:r>
        <w:lastRenderedPageBreak/>
        <w:t>AUTO 44/2021, de 19 de abril de 2021</w:t>
      </w:r>
    </w:p>
    <w:bookmarkEnd w:id="185"/>
    <w:p w:rsidR="00C54F26" w:rsidRDefault="00C54F26" w:rsidP="00C54F26">
      <w:pPr>
        <w:pStyle w:val="TtuloResolucin"/>
      </w:pPr>
      <w:r>
        <w:t>Sala Segunda</w:t>
      </w:r>
    </w:p>
    <w:p w:rsidR="00C54F26" w:rsidRDefault="00C54F26" w:rsidP="00C54F26">
      <w:pPr>
        <w:pStyle w:val="TextoNormalCentrado"/>
      </w:pPr>
      <w:r>
        <w:t>ECLI:ES:TC:2021:44A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Acuerda la suspensión en el recurso de amparo 5789-2020, promovido por doña María Jesús Meneses Sigüenza,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presentado en el registro general de este tribunal, el día 26 de noviembre de 2020, doña María Jesús Meneses Sigüenza, representada por el procurador de tribunales don Bartolomé Quetglás Mesquida y asistida por el letrado don Antonio Juliá Barceló, interpuso recurso de amparo contra el auto, de fecha 10 de septiembre de 2020, dictado por la Sección Cuarta de la Audiencia Provincial de Palma, que desestimó el recurso de apelación interpuesto contra el auto de 13 de junio de 2019, del Juzgado de Primera Instancia núm. 5 de Manacor , que, a su vez, desestimó el recurso de reposición interpuesto contra la providencia de 20 de mayo de 2019, en cuya virtud se acordó no haber lugar a tener por presentada la nueva oposición al despecho de ejecución planteada por la demandante, en el procedimiento de ejecución hipotecaria núm. 323-2014.</w:t>
      </w:r>
    </w:p>
    <w:p w:rsidR="00C54F26" w:rsidRDefault="00C54F26" w:rsidP="00C54F26">
      <w:pPr>
        <w:pStyle w:val="TextoNormal"/>
      </w:pPr>
    </w:p>
    <w:p w:rsidR="00C54F26" w:rsidRDefault="00C54F26" w:rsidP="00C54F26">
      <w:pPr>
        <w:pStyle w:val="TextoNormal"/>
      </w:pPr>
      <w:r w:rsidRPr="00C54F26">
        <w:rPr>
          <w:rStyle w:val="NumeroAFNegritaCaracter"/>
        </w:rPr>
        <w:t>2</w:t>
      </w:r>
      <w:r>
        <w:t>. En la demanda de amparo, la recurrente invoca la vulneración del derecho a la tutela judicial efectiva sin indefensión en las ejecuciones hipotecarias (art. 24.1 CE), en relación con el derecho a una vivienda digna (art. 47 CE), el principio de primacía del Derecho comunitario (arts. 10.2 y 96.1 CE) y la especial protección de los consumidores y usuarios (art. 51.1 CE en relación con la Directiva 93/13).</w:t>
      </w:r>
    </w:p>
    <w:p w:rsidR="00C54F26" w:rsidRDefault="00C54F26" w:rsidP="00C54F26">
      <w:pPr>
        <w:pStyle w:val="TextoNormal"/>
      </w:pPr>
    </w:p>
    <w:p w:rsidR="00C54F26" w:rsidRDefault="00C54F26" w:rsidP="00C54F26">
      <w:pPr>
        <w:pStyle w:val="TextoNormal"/>
      </w:pPr>
      <w:r w:rsidRPr="00C54F26">
        <w:rPr>
          <w:rStyle w:val="NumeroAFNegritaCaracter"/>
        </w:rPr>
        <w:t>3</w:t>
      </w:r>
      <w:r>
        <w:t>. Mediante escrito de fecha 11 de febrero de 2021, la demandante interesó que se acordara la suspensión cautelar del desalojo y lanzamiento de la vivienda objeto de ejecución hipotecaria, toda vez que, por diligencia de ordenación de 8 de febrero de 2021, fue apercibida de lanzamiento para el día 6 de mayo del corriente. En dicho escrito alego que, de no accederse a la suspensión interesada el recurso de amparo interpuesto perdería su finalidad, que consiste en que sea examinada la abusividad de la cláusula alegada en la demanda antes de la finalización del procedimiento de ejecución.</w:t>
      </w:r>
    </w:p>
    <w:p w:rsidR="00C54F26" w:rsidRDefault="00C54F26" w:rsidP="00C54F26">
      <w:pPr>
        <w:pStyle w:val="TextoNormal"/>
      </w:pPr>
    </w:p>
    <w:p w:rsidR="00C54F26" w:rsidRDefault="00C54F26" w:rsidP="00C54F26">
      <w:pPr>
        <w:pStyle w:val="TextoNormal"/>
      </w:pPr>
      <w:r w:rsidRPr="00C54F26">
        <w:rPr>
          <w:rStyle w:val="NumeroAFNegritaCaracter"/>
        </w:rPr>
        <w:t>4</w:t>
      </w:r>
      <w:r>
        <w:t>. Por providencia de fecha 10 de marzo de 2021, la Sección Tercera de este tribunal acordó admitir a trámite el recurso de amparo, al apreciar que el asunto trasciende del caso concreto porque plantea una cuestión jurídica de relevante y general repercusión social y económica [STC 155/2009, FJ 2 g)]. Asimismo, acordó formar la correspondiente pieza separada para la sustanciación del incidente de suspensión.</w:t>
      </w:r>
    </w:p>
    <w:p w:rsidR="00C54F26" w:rsidRDefault="00C54F26" w:rsidP="00C54F26">
      <w:pPr>
        <w:pStyle w:val="TextoNormal"/>
      </w:pPr>
    </w:p>
    <w:p w:rsidR="00C54F26" w:rsidRDefault="00C54F26" w:rsidP="00C54F26">
      <w:pPr>
        <w:pStyle w:val="TextoNormal"/>
      </w:pPr>
      <w:r w:rsidRPr="00C54F26">
        <w:rPr>
          <w:rStyle w:val="NumeroAFNegritaCaracter"/>
        </w:rPr>
        <w:t>5</w:t>
      </w:r>
      <w:r>
        <w:t>. Por providencia de la misma fecha, la Sección Tercera de este tribunal dictó providencia acordando formar la pieza para la tramitación del incidente sobre la suspensión solicitada y conceder, conforme a lo dispuesto en el artículo 56 LOTC, un plazo común de tres días a la recurrente y al Ministerio Fiscal para que aleguen lo que consideren procedente.</w:t>
      </w:r>
    </w:p>
    <w:p w:rsidR="00C54F26" w:rsidRDefault="00C54F26" w:rsidP="00C54F26">
      <w:pPr>
        <w:pStyle w:val="TextoNormal"/>
      </w:pPr>
    </w:p>
    <w:p w:rsidR="00C54F26" w:rsidRDefault="00C54F26" w:rsidP="00C54F26">
      <w:pPr>
        <w:pStyle w:val="TextoNormal"/>
      </w:pPr>
      <w:r w:rsidRPr="00C54F26">
        <w:rPr>
          <w:rStyle w:val="NumeroAFNegritaCaracter"/>
        </w:rPr>
        <w:t>6</w:t>
      </w:r>
      <w:r>
        <w:t>. Mediante escrito presentado el 9 de abril de 2021, la demandante presentó sus alegaciones, en las que reitera la solicitud inicial de suspensión. Señala que la vivienda objeto de ejecución constituye su residencia habitual; y de no otorgarse la medida interesada, el recurso de amparo perdería su finalidad, para el caso de ser estimado, por el daño irreparable que le produciría la pérdida de la vivienda. Por otro lado, afirma que la adopción de la medida no originaría una perturbación grave a un interés constitucionalmente protegido o a los derechos fundamentales o libertades públicas de un tercero.</w:t>
      </w:r>
    </w:p>
    <w:p w:rsidR="00C54F26" w:rsidRDefault="00C54F26" w:rsidP="00C54F26">
      <w:pPr>
        <w:pStyle w:val="TextoNormal"/>
      </w:pPr>
    </w:p>
    <w:p w:rsidR="00C54F26" w:rsidRDefault="00C54F26" w:rsidP="00C54F26">
      <w:pPr>
        <w:pStyle w:val="TextoNormal"/>
      </w:pPr>
      <w:r w:rsidRPr="00C54F26">
        <w:rPr>
          <w:rStyle w:val="NumeroAFNegritaCaracter"/>
        </w:rPr>
        <w:t>7</w:t>
      </w:r>
      <w:r>
        <w:t>. El día 15 de abril de 2021 presentó sus alegaciones la fiscal. Tras resumir los antecedentes que consideró de interés y compendiar la doctrina constitucional que estimó de aplicación al caso, concluye que procede acceder a la medida cautelar interesada por la demandante, ya que, en caso contrario, la privación de la posesión de su vivienda habitual le abocaría a una situación difícilmente reversible, que haría perder al recurso de amparo su finalidad. Además, advierte que el otorgamiento de la suspensión cautelar no originaría una perturbación grave a un interés constitucionalmente protegido o a los derechos fundamentales o libertades públicas de un tercero.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presente recurso de amparo se interpone contra las resoluciones indicadas en los antecedentes de esta resolución. En dicho recurso fue solicitada la suspensión del desalojo y lanzamiento de la vivienda objeto de la ejecución hipotecaria, a fin de evitar a la demandante daños y perjuicios de imposible o difícil reparación.</w:t>
      </w:r>
    </w:p>
    <w:p w:rsidR="00C54F26" w:rsidRDefault="00C54F26" w:rsidP="00C54F26">
      <w:pPr>
        <w:pStyle w:val="TextoNormal"/>
      </w:pPr>
    </w:p>
    <w:p w:rsidR="00C54F26" w:rsidRDefault="00C54F26" w:rsidP="00C54F26">
      <w:pPr>
        <w:pStyle w:val="TextoNormal"/>
      </w:pPr>
      <w:r w:rsidRPr="00C54F26">
        <w:rPr>
          <w:rStyle w:val="NumeroAFNegritaCaracter"/>
        </w:rPr>
        <w:t>2</w:t>
      </w:r>
      <w:r>
        <w:t>. Este tribunal ha admitido de forma reiterada —entre otros muchos, en los AATC 74/2013, de 8 de abril, FJ 2; 152/2013, de 8 de julio, FJ 2; 37/2014, de 10 de febrero, FJ 2; 59/2015, de 16 de marzo, FJ 2; 48/2016, de 29 de febrero;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Con arreglo a la doctrina constitucional citada y sin prejuzgar la decisión de fondo del recurso, procede acordar la suspensión solicitada, puesto que, en caso contrario, se privaría a la demandante de la posesión de la vivienda que ocupa, mediante la ejecución del desalojo y lanzamiento acordado por el órgano judicial. Ello abocaría a una situación difícilmente reversible, que podría hacer perder al presente recurso de amparo su finalidad. Por lo demás, no se advierte en este momento procesal, atendidas las particulares circunstancias del presente caso, que la suspensión de la ejecución pueda entrañar una perturbación grave a un </w:t>
      </w:r>
      <w:r>
        <w:lastRenderedPageBreak/>
        <w:t>interés constitucionalmente protegido o a los derechos fundamentales o libertades públicas de un tercero.</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La suspensión cautelar del lanzamiento acordado en el procedimiento de ejecución hipotecaria núm. 323-2014 del Juzgado de Primera Instancia núm. 5 de Manacor.</w:t>
      </w:r>
    </w:p>
    <w:p w:rsidR="00C54F26" w:rsidRDefault="00C54F26" w:rsidP="00C54F26">
      <w:pPr>
        <w:pStyle w:val="TextoNormal"/>
      </w:pPr>
    </w:p>
    <w:p w:rsidR="00C54F26" w:rsidRDefault="00C54F26" w:rsidP="00C54F26">
      <w:pPr>
        <w:pStyle w:val="TextoNormal"/>
      </w:pPr>
      <w:r>
        <w:t>Madrid, a diecinueve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6" w:name="AUTO_2021_45"/>
      <w:r>
        <w:lastRenderedPageBreak/>
        <w:t>AUTO 45/2021, de 20 de abril de 2021</w:t>
      </w:r>
    </w:p>
    <w:bookmarkEnd w:id="186"/>
    <w:p w:rsidR="00C54F26" w:rsidRDefault="00C54F26" w:rsidP="00C54F26">
      <w:pPr>
        <w:pStyle w:val="TtuloResolucin"/>
      </w:pPr>
      <w:r>
        <w:t>Sección Segunda</w:t>
      </w:r>
    </w:p>
    <w:p w:rsidR="00C54F26" w:rsidRDefault="00C54F26" w:rsidP="00C54F26">
      <w:pPr>
        <w:pStyle w:val="TextoNormalCentrado"/>
      </w:pPr>
      <w:r>
        <w:t>ECLI:ES:TC:2021:45A</w:t>
      </w:r>
    </w:p>
    <w:p w:rsidR="00C54F26" w:rsidRDefault="00C54F26" w:rsidP="00C54F26">
      <w:pPr>
        <w:pStyle w:val="TextoNormalCentrado"/>
      </w:pPr>
    </w:p>
    <w:p w:rsidR="00C54F26" w:rsidRDefault="00C54F26" w:rsidP="00C54F26">
      <w:pPr>
        <w:pStyle w:val="SntesisDescriptiva"/>
      </w:pPr>
      <w:r>
        <w:t>Excms. Srs. don Andrés Ollero Tassara, don Santiago Martínez-Vares García y doña María Luisa Balaguer Callejón.</w:t>
      </w:r>
    </w:p>
    <w:p w:rsidR="00C54F26" w:rsidRDefault="00C54F26" w:rsidP="00C54F26">
      <w:pPr>
        <w:pStyle w:val="SntesisDescriptiva"/>
      </w:pPr>
    </w:p>
    <w:p w:rsidR="00C54F26" w:rsidRDefault="00C54F26" w:rsidP="00C54F26">
      <w:pPr>
        <w:pStyle w:val="SntesisDescriptiva"/>
      </w:pPr>
      <w:r>
        <w:t>Estima el recurso de súplica interpuesto por el Ministerio Fiscal e inadmite el recurso de amparo 4818-2020, promovido por doña Adela Gómez Alonso, en litigio social.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recibido en el registro general de este tribunal el 14 de octubre de 2020, la procuradora de los tribunales doña María José Bueno Ramírez, en nombre y representación de doña Adela Gómez Alonso, interpuso recurso de amparo contra las resoluciones de 18 de septiembre y de 26 de noviembre, ambas de 2014, dictadas por el presidente de la Comisión Nacional de los Mercados y la Competencia (CNMC), haciendo extensible la impugnación a la sentencia del Juzgado de lo Social núm. 5 de Madrid, de 5 de febrero de 2018 (autos sobre reconocimiento de derecho, núm. 98-2016), sentencia de la Sala de lo Social del Tribunal Superior de Justicia de Madrid, de 19 de marzo de 2019 (recurso de suplicación núm. 490-2018), y auto de la Sala de lo Social del Tribunal Supremo, de 21 de julio de 2020 (recurso de casación para la unificación de doctrina núm. 2143-2019), que las confirmaron.</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de los que trae causa el recurso de amparo son sucintamente, los que a continuación se recogen:</w:t>
      </w:r>
    </w:p>
    <w:p w:rsidR="00C54F26" w:rsidRDefault="00C54F26" w:rsidP="00C54F26">
      <w:pPr>
        <w:pStyle w:val="TextoNormal"/>
      </w:pPr>
    </w:p>
    <w:p w:rsidR="00C54F26" w:rsidRDefault="00C54F26" w:rsidP="00C54F26">
      <w:pPr>
        <w:pStyle w:val="TextoNormal"/>
      </w:pPr>
      <w:r>
        <w:t>a) La recurrente fue contratada para el desempeño del puesto de subdirectora por la Comisión del Mercado de Telecomunicaciones (CMT), mediante contrato laboral común, en el año 2008. En el momento de su ingreso fue considerada como personal directivo por lo que, de acuerdo con la normativa entonces aplicable, no fue seleccionada mediante convocatoria pública y conforme a los principios de mérito y capacidad.</w:t>
      </w:r>
    </w:p>
    <w:p w:rsidR="00C54F26" w:rsidRDefault="00C54F26" w:rsidP="00C54F26">
      <w:pPr>
        <w:pStyle w:val="TextoNormal"/>
      </w:pPr>
    </w:p>
    <w:p w:rsidR="00C54F26" w:rsidRDefault="00C54F26" w:rsidP="00C54F26">
      <w:pPr>
        <w:pStyle w:val="TextoNormal"/>
      </w:pPr>
      <w:r>
        <w:t>b) Por resolución de 9 de febrero de 2011 se le concedió excedencia por cuidado de hijos. Después renunció a ella, solicitando excedencia voluntaria con fecha de 29 de abril de 2011, que le fue reconocida por resolución de esa misma fecha.</w:t>
      </w:r>
    </w:p>
    <w:p w:rsidR="00C54F26" w:rsidRDefault="00C54F26" w:rsidP="00C54F26">
      <w:pPr>
        <w:pStyle w:val="TextoNormal"/>
      </w:pPr>
    </w:p>
    <w:p w:rsidR="00C54F26" w:rsidRDefault="00C54F26" w:rsidP="00C54F26">
      <w:pPr>
        <w:pStyle w:val="TextoNormal"/>
      </w:pPr>
      <w:r>
        <w:t xml:space="preserve">c) El 21 de septiembre de 2013, la demandante solicitó su reingreso en la CMT y por resolución de 18 de septiembre de 2014, del presidente de la CNMC (organismo en el que la CMT se había integrado) se desestimó, alegándose que siendo el puesto de origen desde el que se había reconocido la excedencia de naturaleza directiva y no común, su reingreso a un puesto de igual o similar naturaleza no era posible dado que la cobertura de los mismos en dicho organismo estaba reservada a la decisión del consejo. Por otra parte, dado que su </w:t>
      </w:r>
      <w:r>
        <w:lastRenderedPageBreak/>
        <w:t>nombramiento lo fue sin proceso selectivo previo, la aceptación de su reingreso implicaría una integración en la administración contraviniendo el art. 55 de la Ley 7/2007, de 12 de abril, del estatuto básico del empleado público (LEEP).</w:t>
      </w:r>
    </w:p>
    <w:p w:rsidR="00C54F26" w:rsidRDefault="00C54F26" w:rsidP="00C54F26">
      <w:pPr>
        <w:pStyle w:val="TextoNormal"/>
      </w:pPr>
    </w:p>
    <w:p w:rsidR="00C54F26" w:rsidRDefault="00C54F26" w:rsidP="00C54F26">
      <w:pPr>
        <w:pStyle w:val="TextoNormal"/>
      </w:pPr>
      <w:r>
        <w:t>d) Frente a esa decisión formuló reclamación previa, instando su reingreso como personal laboral común (y no directivo) conforme al art. 46.2 y 5 de la Ley del estatuto de los trabajadores, aprobada por Real Decreto Legislativo 1/1995, de 24 de marzo (LET). En la reclamación denunció un trato discriminatorio y diferenciador injustificado [arts. 4.2 apartados c) y h) LET], aduciendo que el organismo demandado había permitido la reincorporación de otros trabajadores desde la situación de excedencia voluntaria, con igual vinculación laboral y categoría a la suya.</w:t>
      </w:r>
    </w:p>
    <w:p w:rsidR="00C54F26" w:rsidRDefault="00C54F26" w:rsidP="00C54F26">
      <w:pPr>
        <w:pStyle w:val="TextoNormal"/>
      </w:pPr>
    </w:p>
    <w:p w:rsidR="00C54F26" w:rsidRDefault="00C54F26" w:rsidP="00C54F26">
      <w:pPr>
        <w:pStyle w:val="TextoNormal"/>
      </w:pPr>
      <w:r>
        <w:t>e) Por resolución de 26 de noviembre de 2014 del presidente de la CNMC se desestimó la reclamación previa formulada, negándose el derecho al reingreso de la recurrente sobre la base de la naturaleza directiva del puesto ocupado y la necesidad de su cobertura mediante concurrencia pública y procedimiento basado en los principios de igualdad, mérito y capacidad. Se rechazó también el trato desigual denunciado ya que la interesada no indicaba en su escrito los casos concretos de reincorporación reciente a los que se refería. En cualquier caso, se indicaba que la CNMC no había reincorporado a ningún trabajador en situación de excedencia voluntaria que estuviera en la misma situación de la reclamante.</w:t>
      </w:r>
    </w:p>
    <w:p w:rsidR="00C54F26" w:rsidRDefault="00C54F26" w:rsidP="00C54F26">
      <w:pPr>
        <w:pStyle w:val="TextoNormal"/>
      </w:pPr>
    </w:p>
    <w:p w:rsidR="00C54F26" w:rsidRDefault="00C54F26" w:rsidP="00C54F26">
      <w:pPr>
        <w:pStyle w:val="TextoNormal"/>
      </w:pPr>
      <w:r>
        <w:t>f) Disconforme con la anterior decisión, la recurrente presentó el 2 de enero de 2015 demanda en materia de tutela de derechos fundamentales y, subsidiariamente, de reconocimiento de derechos, y el Juzgado de lo Social núm. 16 de Madrid, la requirió para que optase por una de esas acciones al no ser acumulables. La parte actora eligió la primera de ellas, lo que dio lugar a la tramitación de los autos de tutela de derechos fundamentales núm. 23-2015. La actora alegaba que tenía derecho a la reincorporación en la CNMC sin serle exigible la participación y superación de pruebas selectivas para ello, y que se le había denegado su solicitud mediante una decisión vulneradora del derecho sentencia del Juzgado de lo Social núm. 5 de Madrid, de 5 de febrero de 2018 (autos sobre reconocimiento de derecho, núm. 98-2016), sentencia de la Sala de lo Social del Tribunal Superior de Justicia de Madrid, de 19 de marzo de 2019 (recurso de suplicación núm. 490-2018), y auto de la Sala de lo Social del Tribunal Supremo, de 21 de julio de 2020 (recurso de casación para la unificación de doctrina núm. 2143-2019) (art. 14 CE). En tal sentido, sostenía que había sido objeto de trato peyorativo respecto de otro trabajador (señor del Alisal) que se encontraba en idéntica situación a la suya (subdirector, contratado laboral, en excedencia), al que sí se le había permitido, por el contrario, la reincorporación.</w:t>
      </w:r>
    </w:p>
    <w:p w:rsidR="00C54F26" w:rsidRDefault="00C54F26" w:rsidP="00C54F26">
      <w:pPr>
        <w:pStyle w:val="TextoNormal"/>
      </w:pPr>
    </w:p>
    <w:p w:rsidR="00C54F26" w:rsidRDefault="00C54F26" w:rsidP="00C54F26">
      <w:pPr>
        <w:pStyle w:val="TextoNormal"/>
      </w:pPr>
      <w:r>
        <w:t xml:space="preserve">g) Por medio de sentencia del Juzgado de lo Social núm. 16 de Madrid, de 3 de diciembre de 2015 se desestimó la demanda, negándose la vulneración constitucional aducida por cuanto que, a diferencia de la actora, el trabajador con el que se comparaba había superado el proceso selectivo que le habilitaba para reincorporarse al trabajo. Frente a esa sentencia se interpuso recurso de suplicación en el que se alegó (motivo décimo del recurso) la inaplicación de la LEEP y que lo dispuesto en el art. 58 daba pie a apreciar “un nuevo motivo de discriminación, cual sería la distinción en la consideración de las circunstancias de los funcionarios europeos con respecto a los del Estado español”, en tanto que no podía olvidarse que la recurrente era funcionaria europea. Por sentencia de la Sala de lo Social del Tribunal Superior de Justicia de Madrid, de 19 de septiembre de 2016 (recurso núm. 492-2016) se </w:t>
      </w:r>
      <w:r>
        <w:lastRenderedPageBreak/>
        <w:t>desestimó el recurso, confirmándose la decisión impugnada. En cuanto al nuevo motivo de discriminación alegado, la Sala afirmó que bastaba para rechazarlo que lo indicado por la parte no tenía nada que ver con la situación de la recurrente y con la del trabajador con el que se comparaba, sin necesidad de tener que profundizar en otros argumentos que serían de legalidad ordinaria, como el hecho de que el vínculo jurídico que unía a la actora con la CNMC era de naturaleza laboral y no funcionarial. Tal sentencia adquirió firmeza con el auto de la Sala de lo Social del Tribunal Supremo, de 5 de julio de 2017, que inadmitió a trámite el recurso de casación para la unificación de doctrina (núm. 4212-2016) formulado frente a ella.</w:t>
      </w:r>
    </w:p>
    <w:p w:rsidR="00C54F26" w:rsidRDefault="00C54F26" w:rsidP="00C54F26">
      <w:pPr>
        <w:pStyle w:val="TextoNormal"/>
      </w:pPr>
    </w:p>
    <w:p w:rsidR="00C54F26" w:rsidRDefault="00C54F26" w:rsidP="00C54F26">
      <w:pPr>
        <w:pStyle w:val="TextoNormal"/>
      </w:pPr>
      <w:r>
        <w:t>h) Con fecha 8 de febrero de 2016, mientras se tramitaba el recurso de suplicación en los autos sobre tutela de derechos fundamentales anteriormente mencionados, la recurrente formuló frente a la CNMC demanda sobre reclamación de derechos, que dio lugar a los autos núm. 98-2016, seguidos ante el Juzgado de lo Social núm. 5 de Madrid (de los que el recurso de amparo núm. 4818-2020 trae causa). La parte demandada alegó la excepción de cosa juzgada, pero fue rechazada al no haber concurrencia en cuanto a la causa de pedir, pues el Juzgado de lo Social núm. 16 solo había resuelto la parte de la demanda de contenido constitucional y no la relacionada con la legalidad ordinaria (derecho al reingreso). Descartada la excepción planteada y delimitado el objeto del proceso, el Juzgado de lo Social núm. 5 de Madrid, se pronunció sobre el fondo del asunto planteado, y por medio de sentencia de 5 de febrero de 2017, desestimó la demanda al apreciar que la resolución impugnada no se había limitado a negar la existencia de una vacante que pudiera ocupar la actora, sino que negó su derecho al reingreso por carecer de habilitación para reincorporarse en un puesto de trabajo en la administración sin la superación de las pruebas selectivas pertinentes. En suma, el juzgado apreció que la actora, en realidad, había sido objeto de un despido en el mes de septiembre de 2014, decisión frente a la que hubiera podido reclamar en el plazo de veinte días. Estando, pues, el vínculo laboral extinguido no cabía estimar su pretendido derecho a reincorporarse en el puesto de trabajo y a obtener la indemnización reclamada por los daños sufridos con motivo del retraso en la reincorporación.</w:t>
      </w:r>
    </w:p>
    <w:p w:rsidR="00C54F26" w:rsidRDefault="00C54F26" w:rsidP="00C54F26">
      <w:pPr>
        <w:pStyle w:val="TextoNormal"/>
      </w:pPr>
    </w:p>
    <w:p w:rsidR="00C54F26" w:rsidRDefault="00C54F26" w:rsidP="00C54F26">
      <w:pPr>
        <w:pStyle w:val="TextoNormal"/>
      </w:pPr>
      <w:r>
        <w:t>i) Frente a la anterior sentencia se formuló por la actora recurso de suplicación en el que no solo instó la modificación de los hechos declarados probados, sino que alegó la infracción de normas sustantivas (LET y LEEP) y de la jurisprudencia que consideraba aplicable al caso, negando que la acción adecuada fuera la del despido, como se había apreciado en la instancia, defendiendo la existencia de un derecho adquirido a la reincorporación. Ese recurso fue desestimado por medio de sentencia de la Sala de lo Social del Tribunal Superior de Justicia de Madrid, de 19 de marzo de 2019 (recurso de suplicación núm. 490-2018), que confirmó lo decidido en la instancia, adquiriendo firmeza con el dictado del auto de la Sala de lo Social del Tribunal Supremo, de 21 de julio de 2020 (recurso de casación para la unificación de doctrina núm. 2143-2019), que inadmitió a trámite el recurso de casación para la unificación de doctrina formulado frente a ella.</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En su demanda de amparo la actora alega que las resoluciones judiciales recaídas en los autos sobre reconocimiento de derecho núm. 98-2016, seguidos ante el Juzgado de lo Social núm. 5 de Madrid, que han sido identificadas previamente, vulneran el derecho a la igualdad y a la no discriminación (art. 14 CE), en conexión con los arts. 9.3, 35.1 y 103.1, todos ellos de la Constitución Española. Aduce a este respecto la recurrente que la denegación de su derecho a la reincorporación en su puesto de trabajo o en otro de similar categoría </w:t>
      </w:r>
      <w:r>
        <w:lastRenderedPageBreak/>
        <w:t>al finalizar su excedencia voluntaria, supuso una desigualdad de trato con relación a otro trabajador (señor del Alisal), al que en idénticas condiciones se le habría permitido la reincorporación. Niega la recurrente que pueda servir como elemento de diferenciación su condición de funcionario, por cuanto que ambos lo son (aquel, del Estado español; la recurrente, de la Unión Europea). Considera, por lo tanto, que la negativa a su reincorporación basada en que las plazas estaban sujetas a concurso oposición, siendo necesaria la superación del mismo para acceder a la administración pública, no impediría el reconocimiento de su derecho. Primero, porque su no presentación al proceso selectivo habría sido provocada por la confusión generada por la propia administración, al haberle indicado que se estaba estudiando su solicitud de reingreso para poder asignarle puesto vacante; segundo, porque, no sería necesaria, en cualquier caso, la superación de tales pruebas al ser funcionaria de la Unión Europea en excedencia, teniendo en consecuencia sobrados méritos para ocupar el puesto de trabajo; y tercero, porque de todos modos la recurrente ostentaría un derecho adquirido a la reincorporación que no se podría ahora negar por la CNMC. En suma, la negación de su solicitud no solo habría supuesto una desigualdad de trato injustificada con relación al trabajador señalado (respecto del que, además, denuncia haber sido discriminada por razón de sexo), sino también una discriminación entre funcionarios públicos, en tanto que se estaría deparando un distinto tratamiento en materia de excedencia en el trabajo por razón de la administración de pertenencia (nacional o de la Unión Europea).</w:t>
      </w:r>
    </w:p>
    <w:p w:rsidR="00C54F26" w:rsidRDefault="00C54F26" w:rsidP="00C54F26">
      <w:pPr>
        <w:pStyle w:val="TextoNormal"/>
      </w:pPr>
    </w:p>
    <w:p w:rsidR="00C54F26" w:rsidRDefault="00C54F26" w:rsidP="00C54F26">
      <w:pPr>
        <w:pStyle w:val="TextoNormal"/>
      </w:pPr>
      <w:r>
        <w:t>Finalmente, la recurrente sostiene que el recurso planteado posee la especial trascendencia constitucional exigida en el art. 50.1 b) LOTC, al denunciar una doble discriminación (tanto por razón de sexo como por el origen de la condición funcionarial) sobre la que no habría doctrina de este tribunal. Además, la cuestión jurídica planteada trascendería del caso concreto y poseería una relevante y general repercusión social o económica a efectos laborales, cual sería “el reconocimiento general en el marco de los países miembros de la Unión Europea de las prestaciones de servicios efectuadas por funcionarios de otros estados miembros o, incluso, en la propia Comisión Europea”.</w:t>
      </w:r>
    </w:p>
    <w:p w:rsidR="00C54F26" w:rsidRDefault="00C54F26" w:rsidP="00C54F26">
      <w:pPr>
        <w:pStyle w:val="TextoNormal"/>
      </w:pPr>
    </w:p>
    <w:p w:rsidR="00C54F26" w:rsidRDefault="00C54F26" w:rsidP="00C54F26">
      <w:pPr>
        <w:pStyle w:val="TextoNormal"/>
      </w:pPr>
      <w:r w:rsidRPr="00C54F26">
        <w:rPr>
          <w:rStyle w:val="NumeroAFNegritaCaracter"/>
        </w:rPr>
        <w:t>4</w:t>
      </w:r>
      <w:r>
        <w:t>. Con fecha 8 de febrero de 2021 la Sección Segunda de este tribunal acordó por unanimidad la inadmisión de la indicada demanda de amparo con arreglo a lo previsto en el art. 50.1 a) LOTC, en relación con su art. 44.2, al considerar que se presentó fuera de plazo.</w:t>
      </w:r>
    </w:p>
    <w:p w:rsidR="00C54F26" w:rsidRDefault="00C54F26" w:rsidP="00C54F26">
      <w:pPr>
        <w:pStyle w:val="TextoNormal"/>
      </w:pPr>
    </w:p>
    <w:p w:rsidR="00C54F26" w:rsidRDefault="00C54F26" w:rsidP="00C54F26">
      <w:pPr>
        <w:pStyle w:val="TextoNormal"/>
      </w:pPr>
      <w:r w:rsidRPr="00C54F26">
        <w:rPr>
          <w:rStyle w:val="NumeroAFNegritaCaracter"/>
        </w:rPr>
        <w:t>5</w:t>
      </w:r>
      <w:r>
        <w:t>. El Ministerio Fiscal, mediante escrito registrado con fecha 25 de febrero de 2021, interpuso recurso de súplica al amparo del art. 50.3 LOTC, contra la providencia de 8 de febrero de 2021, en el que interesa que se deje sin efecto, sin perjuicio de que se adopte la resolución procedente en orden a la admisión o no, por otra causa, del recurso de amparo interpuesto.</w:t>
      </w:r>
    </w:p>
    <w:p w:rsidR="00C54F26" w:rsidRDefault="00C54F26" w:rsidP="00C54F26">
      <w:pPr>
        <w:pStyle w:val="TextoNormal"/>
      </w:pPr>
    </w:p>
    <w:p w:rsidR="00C54F26" w:rsidRDefault="00C54F26" w:rsidP="00C54F26">
      <w:pPr>
        <w:pStyle w:val="TextoNormal"/>
      </w:pPr>
      <w:r>
        <w:t>El Ministerio Fiscal argumenta que el recurso ha sido presentado dentro del plazo de treinta días previsto en el art. 44.2 LOTC, puesto que fue presentado con fecha de 14 de octubre de 2020 a las 13:59 horas y el plazo concluiría ese mismo día a las 15:00 horas.</w:t>
      </w:r>
    </w:p>
    <w:p w:rsidR="00C54F26" w:rsidRDefault="00C54F26" w:rsidP="00C54F26">
      <w:pPr>
        <w:pStyle w:val="TextoNormal"/>
      </w:pPr>
    </w:p>
    <w:p w:rsidR="00C54F26" w:rsidRDefault="00C54F26" w:rsidP="00C54F26">
      <w:pPr>
        <w:pStyle w:val="TextoNormal"/>
      </w:pPr>
      <w:r w:rsidRPr="00C54F26">
        <w:rPr>
          <w:rStyle w:val="NumeroAFNegritaCaracter"/>
        </w:rPr>
        <w:t>6</w:t>
      </w:r>
      <w:r>
        <w:t>. Mediante diligencia de ordenación de 26 de febrero de 2021, se tuvo por recibido el precedente escrito del Ministerio Fiscal y se acordó dar traslado del mismo a la representación del recurrente y concederle un plazo de tres días a fin de que pudiera alegar lo que estimare pertinente (art. 93.2 LOTC).</w:t>
      </w:r>
    </w:p>
    <w:p w:rsidR="00C54F26" w:rsidRDefault="00C54F26" w:rsidP="00C54F26">
      <w:pPr>
        <w:pStyle w:val="TextoNormal"/>
      </w:pPr>
    </w:p>
    <w:p w:rsidR="00C54F26" w:rsidRDefault="00C54F26" w:rsidP="00C54F26">
      <w:pPr>
        <w:pStyle w:val="TextoNormal"/>
      </w:pPr>
      <w:r w:rsidRPr="00C54F26">
        <w:rPr>
          <w:rStyle w:val="NumeroAFNegritaCaracter"/>
        </w:rPr>
        <w:t>7</w:t>
      </w:r>
      <w:r>
        <w:t>. La parte recurrente formuló alegaciones mediante escrito registrado con fecha de 9 de marzo de 2021, en el que se adhiere al recurso de súplica interpuesto por el Ministerio Fiscal, solicitando que este tribunal lo estime, admita el recurso de amparo y, previos los trámites oportunos, dicte sentencia por la que se otorgue el amparo solicitado.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Como ha quedado recogido en los antecedentes de esta resolución, el Ministerio Fiscal interpone recurso de súplica frente a la providencia de 8 de febrero de 2021, por la que la Sección Segunda de este tribunal acordó por unanimidad la inadmisión del recurso de amparo núm. 4818-2020, al considerar que fue presentado fuera de plazo [art. 50.1 a), en relación con el art. 44.2, ambos de la Ley Orgánica del Tribunal Constitucional].</w:t>
      </w:r>
    </w:p>
    <w:p w:rsidR="00C54F26" w:rsidRDefault="00C54F26" w:rsidP="00C54F26">
      <w:pPr>
        <w:pStyle w:val="TextoNormal"/>
      </w:pPr>
    </w:p>
    <w:p w:rsidR="00C54F26" w:rsidRDefault="00C54F26" w:rsidP="00C54F26">
      <w:pPr>
        <w:pStyle w:val="TextoNormal"/>
      </w:pPr>
      <w:r>
        <w:t>Procede la estimación del recurso de súplica planteado por el Ministerio Fiscal. En efecto, aunque las resoluciones impugnadas fueron dictadas por un organismo público (la Comisión Nacional de los Mercados y la Competencia), no fueron fruto del ejercicio de potestades administrativas, sino que constituyeron un mero acto de gestión de personal (denegación del derecho al reingreso de una trabajadora tras el disfrute de una excedencia voluntaria), regido por la legislación laboral (art. 46.5 del Estatuto de los trabajadores). Por consiguiente, no estamos ante un recurso de amparo del art. 43 LOTC (contra actos de las administraciones públicas), sino ante un recurso de amparo que debe quedar encuadrado en el art. 44 LOTC ya que, en la actuación discutida, el organismo público demandado intervino como empleadora, sin ejercer su potestad de imperio, desarrollando tan solo las facultades de orden jurídico-privado que le reconoce el ordenamiento laboral. En consecuencia, aunque la lesión la hubiera causado originariamente el organismo público demandado, es a los órganos judiciales a quienes corresponde, conforme al art. 53.2 CE, tutelar el derecho reconocido en el art. 14 CE. De este modo, al confirmar la decisión adoptada por la empleadora, es a ellos a quienes les es imputable la lesión, siendo las resoluciones judiciales dictadas el acto del poder público impugnado, respecto de las que opera el plazo de interposición de treinta días (art. 44.2 LOTC) [por todas, STC 79/2020, de 2 de julio, FJ 3], y no el más reducido de veinte días previsto en el art. 43.2 LOTC. Pues bien, habiéndose presentado el recurso de amparo dentro de aquél plazo, ha de dejarse sin efecto la providencia de inadmisión de 8 de febrero de 2021, que apreció la extemporaneidad de la demanda al aplicar el segundo de los referidos plazos.</w:t>
      </w:r>
    </w:p>
    <w:p w:rsidR="00C54F26" w:rsidRDefault="00C54F26" w:rsidP="00C54F26">
      <w:pPr>
        <w:pStyle w:val="TextoNormal"/>
      </w:pPr>
    </w:p>
    <w:p w:rsidR="00C54F26" w:rsidRDefault="00C54F26" w:rsidP="00C54F26">
      <w:pPr>
        <w:pStyle w:val="TextoNormal"/>
      </w:pPr>
      <w:r w:rsidRPr="00C54F26">
        <w:rPr>
          <w:rStyle w:val="NumeroAFNegritaCaracter"/>
        </w:rPr>
        <w:t>2</w:t>
      </w:r>
      <w:r>
        <w:t>. La estimación del recurso de súplica no debe conducir, sin embargo, a la admisión de la demanda, pues para ello no es solo preciso el cumplimiento de lo dispuesto en los artículos 41 a 46 y 49 LOTC [art. 50.1 a) LOTC], sino también que “el contenido del recurso justifique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[art. 50.1 b) LOTC].</w:t>
      </w:r>
    </w:p>
    <w:p w:rsidR="00C54F26" w:rsidRDefault="00C54F26" w:rsidP="00C54F26">
      <w:pPr>
        <w:pStyle w:val="TextoNormal"/>
      </w:pPr>
    </w:p>
    <w:p w:rsidR="00C54F26" w:rsidRDefault="00C54F26" w:rsidP="00C54F26">
      <w:pPr>
        <w:pStyle w:val="TextoNormal"/>
      </w:pPr>
      <w:r>
        <w:t xml:space="preserve">Debemos examinar, en consecuencia, si concurre en el presente caso la especial trascendencia constitucional del recurso exigida en el citado precepto, que la parte fundamenta, como ha quedado recogido en los antecedentes, en dos concretos motivos: la inexistencia </w:t>
      </w:r>
      <w:r>
        <w:lastRenderedPageBreak/>
        <w:t>de doctrina constitucional sobre la doble discriminación denunciada [apartado a) del FJ 2 de la STC 155/2009] y el planteamiento de una cuestión jurídica de relevante y general repercusión social o económica a efectos laborales [apartado g) del FJ 2, de la citada sentencia].</w:t>
      </w:r>
    </w:p>
    <w:p w:rsidR="00C54F26" w:rsidRDefault="00C54F26" w:rsidP="00C54F26">
      <w:pPr>
        <w:pStyle w:val="TextoNormal"/>
      </w:pPr>
    </w:p>
    <w:p w:rsidR="00C54F26" w:rsidRDefault="00C54F26" w:rsidP="00C54F26">
      <w:pPr>
        <w:pStyle w:val="TextoNormal"/>
      </w:pPr>
      <w:r>
        <w:t>Para poder comprobar si se cumple el mencionado requisito de admisión, se hace preciso recordar brevemente la base fáctica en la que se asienta la demanda. La recurrente (empleada laboral de la CMT con cargo de subdirectora, en situación de excedencia laboral) solicitó el reingreso en su puesto de trabajo o en vacante similar, siéndole denegada la petición por la CNMC (organismo sustitutivo de la CMT que la contrató), al no haber superado el correspondiente proceso selectivo público. Disconforme con la decisión de la CNMC por entender que tenía un derecho adquirido al reingreso que no podía quedar condicionado a la superación de un proceso selectivo público y que la denegación, además de no ser conforme a derecho le deparaba un trato desigual discriminatorio, promovió en la vía judicial dos procedimientos:</w:t>
      </w:r>
    </w:p>
    <w:p w:rsidR="00C54F26" w:rsidRDefault="00C54F26" w:rsidP="00C54F26">
      <w:pPr>
        <w:pStyle w:val="TextoNormal"/>
      </w:pPr>
    </w:p>
    <w:p w:rsidR="00C54F26" w:rsidRDefault="00C54F26" w:rsidP="00C54F26">
      <w:pPr>
        <w:pStyle w:val="TextoNormal"/>
      </w:pPr>
      <w:r>
        <w:t>a) Los autos de tutela de derechos fundamentales núm. 23-2015, seguidos ante el Juzgado de lo Social núm. 16 de Madrid, en los que denunció la infracción del art. 14 CE al considerar que había recibido un trato peyorativo injustificado (y discriminatorio por razón de sexo) con relación a otro trabajador (señor del Alisal), que en sus mismas circunstancias (también subdirector en excedencia), fue reincorporado en su puesto de trabajo. Negaba la actora que la diferencia de trato pudiera justificarse en que el trabajador con el que se comparaba fuera funcionario, por cuanto ella tenía también tal condición al ser funcionaria excedente en la Unión Europea, lo que le habilitaría a ocupar el puesto solicitado. Al exigírsele la superación del correspondiente proceso público selectivo, denunció en su recurso de suplicación discriminación entre funcionarios públicos por razón de su procedencia. La vulneración del art. 14 CE fue rechazada en todas las instancias judiciales, en tanto que las situaciones comparadas eran diversas ya que el trabajador con el que se contrastaba había superado el correspondiente proceso público de selección, circunstancia que no concurría en el caso de la actora. Se rechazó también la discriminación entre funcionarios públicos denunciada en el recurso de suplicación, al carecer de todo fundamento pues no tenía nada que ver con la situación de la recurrente y con la del trabajador con el que se comparaba, aparte de que, además, su relación jurídica con el organismo público demandado era laboral y no funcionarial.</w:t>
      </w:r>
    </w:p>
    <w:p w:rsidR="00C54F26" w:rsidRDefault="00C54F26" w:rsidP="00C54F26">
      <w:pPr>
        <w:pStyle w:val="TextoNormal"/>
      </w:pPr>
    </w:p>
    <w:p w:rsidR="00C54F26" w:rsidRDefault="00C54F26" w:rsidP="00C54F26">
      <w:pPr>
        <w:pStyle w:val="TextoNormal"/>
      </w:pPr>
      <w:r>
        <w:t>b) Los autos sobre reconocimiento de derecho núm. 98-2016, seguidos ante el Juzgado de lo Social núm. 5 de Madrid (de los que el recurso de amparo 4818-2020 trae causa), en los que se examinó si la recurrente ostentaba el derecho a la reincorporación que alegaba con base al art. 46.2 y 5 LET, en su calidad de empleada laboral de la CMT, con contrato de trabajo de carácter común y no directivo. Su pretensión fue desestimada al apreciarse, tanto por el juzgado como por el Tribunal Superior de Justicia, que la resolución impugnada no se había limitado a negar la existencia de una vacante que pudiera ocupar la actora, sino que en realidad negó su derecho al reingreso por carecer de habilitación para reincorporarse en un puesto de trabajo en la administración sin la superación de las pruebas selectivas pertinentes. Por lo tanto, había sido objeto de un despido que debió impugnarse en el plazo de veinte días. Estando, pues, el vínculo laboral extinguido, no cabía estimar su pretensión de que se reconociese su derecho a la reincorporación y a la consiguiente indemnización por el retraso en la misma.</w:t>
      </w:r>
    </w:p>
    <w:p w:rsidR="00C54F26" w:rsidRDefault="00C54F26" w:rsidP="00C54F26">
      <w:pPr>
        <w:pStyle w:val="TextoNormal"/>
      </w:pPr>
    </w:p>
    <w:p w:rsidR="00C54F26" w:rsidRDefault="00C54F26" w:rsidP="00C54F26">
      <w:pPr>
        <w:pStyle w:val="TextoNormal"/>
      </w:pPr>
      <w:r>
        <w:t xml:space="preserve">Con ocasión de este último procedimiento judicial en el que, como ha quedado señalado, no ha sido objeto de controversia la eventual infracción del art. 14 CE sino tan solo el examen de la legalidad de la decisión adoptada por la demandada (negación del derecho de la actora a su reingreso), la parte recurrente denuncia ahora </w:t>
      </w:r>
      <w:r w:rsidRPr="00C54F26">
        <w:rPr>
          <w:i/>
        </w:rPr>
        <w:t>per saltum</w:t>
      </w:r>
      <w:r>
        <w:t xml:space="preserve"> ante este Tribunal Constitucional una pretendida desigualdad de trato y discriminación, que ya fue descartada en el primer procedimiento sobre tutela de derechos fundamentales, al que se ha hecho referencia, y que devino firme y consentido al no haber sido impugnadas en vía de amparo las resoluciones judiciales dictadas en el mismo.</w:t>
      </w:r>
    </w:p>
    <w:p w:rsidR="00C54F26" w:rsidRDefault="00C54F26" w:rsidP="00C54F26">
      <w:pPr>
        <w:pStyle w:val="TextoNormal"/>
      </w:pPr>
    </w:p>
    <w:p w:rsidR="00C54F26" w:rsidRDefault="00C54F26" w:rsidP="00C54F26">
      <w:pPr>
        <w:pStyle w:val="TextoNormal"/>
      </w:pPr>
      <w:r>
        <w:t>Lo anterior determina que la especial trascendencia constitucional que la parte recurrente anuda a la infracción del derecho a la igualdad y a la no discriminación (art. 14 CE) resulte inexistente, al carecer de todo fundamento por los motivos que han sido indicados.</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Estimar el presente recurso de súplica y dejar sin efecto la providencia de 8 de febrero de 2021.</w:t>
      </w:r>
    </w:p>
    <w:p w:rsidR="00C54F26" w:rsidRDefault="00C54F26" w:rsidP="00C54F26">
      <w:pPr>
        <w:pStyle w:val="TextoNormal"/>
      </w:pPr>
    </w:p>
    <w:p w:rsidR="00C54F26" w:rsidRDefault="00C54F26" w:rsidP="00C54F26">
      <w:pPr>
        <w:pStyle w:val="TextoNormal"/>
      </w:pPr>
      <w:r>
        <w:t>2º Inadmitir el recurso de amparo núm. 4818-2020 planteado por doña Adela Gómez Alonso, por falta de especial trascendencia constitucional [art. 50.1 b) LOTC].</w:t>
      </w:r>
    </w:p>
    <w:p w:rsidR="00C54F26" w:rsidRDefault="00C54F26" w:rsidP="00C54F26">
      <w:pPr>
        <w:pStyle w:val="TextoNormal"/>
      </w:pPr>
    </w:p>
    <w:p w:rsidR="00C54F26" w:rsidRDefault="00C54F26" w:rsidP="00C54F26">
      <w:pPr>
        <w:pStyle w:val="TextoNormal"/>
      </w:pPr>
      <w:r>
        <w:t>Madrid, a veinte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7" w:name="AUTO_2021_46"/>
      <w:r>
        <w:lastRenderedPageBreak/>
        <w:t>AUTO 46/2021, de 20 de abril de 2021</w:t>
      </w:r>
    </w:p>
    <w:bookmarkEnd w:id="187"/>
    <w:p w:rsidR="00C54F26" w:rsidRDefault="00C54F26" w:rsidP="00C54F26">
      <w:pPr>
        <w:pStyle w:val="TtuloResolucin"/>
      </w:pPr>
      <w:r>
        <w:t>Pleno</w:t>
      </w:r>
    </w:p>
    <w:p w:rsidR="00C54F26" w:rsidRDefault="00C54F26" w:rsidP="00C54F26">
      <w:pPr>
        <w:pStyle w:val="TextoNormalCentrado"/>
      </w:pPr>
      <w:r>
        <w:t>ECLI:ES:TC:2021:46A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cautelar en el recurso de amparo 1293-2021, promovido por el sindicato UGT-Madrid,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día 8 de marzo de 2021 tuvo entrada en el registro general de este Tribunal Constitucional un escrito de la procuradora de los tribunales doña Ascensión Peláez Díez, en nombre y representación del sindicato UGT-Madrid, asistido por el letrado don Vicente José Carrasco Pula, por el que ha interpuesto recurso de amparo contra la sentencia núm. 187-2021, de 7 de marzo de la Sala de lo Contencioso-Administrativo (Sección Décima) del Tribunal Superior de Justicia de la Comunidad de Madrid, desestimatoria del recurso formalizado por la representación de dicho sindicato contra el acuerdo de 3 de marzo de 2021 del delegado del Gobierno de España en Madrid, que decidió prohibir, por razones de salud pública, la concentración convocada por dicho sindicato y otro más, que iba a tener lugar el día 8 de marzo de 2021, de 11:00 a 14:30 horas en la Plaza de Cibeles de la ciudad de Madrid.</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para la resolución de esta pieza de suspensión son los siguientes:</w:t>
      </w:r>
    </w:p>
    <w:p w:rsidR="00C54F26" w:rsidRDefault="00C54F26" w:rsidP="00C54F26">
      <w:pPr>
        <w:pStyle w:val="TextoNormal"/>
      </w:pPr>
    </w:p>
    <w:p w:rsidR="00C54F26" w:rsidRDefault="00C54F26" w:rsidP="00C54F26">
      <w:pPr>
        <w:pStyle w:val="TextoNormal"/>
      </w:pPr>
      <w:r>
        <w:t>a) Mediante escrito de fecha 22 de febrero de 2021, doña Rosa María Moreno Rodríguez, en su calidad de secretaria de organización del sindicato UGT-Madrid, en unión de otra persona, en su condición de representante de otro sindicato, comunicaron a la Delegación del Gobierno en Madrid la realización de una concentración en la Plaza de Cibeles de Madrid, para el día 8 de marzo de 2021, entre las 11:00 y las 14:30 horas, con motivo de la celebración del día de la mujer.</w:t>
      </w:r>
    </w:p>
    <w:p w:rsidR="00C54F26" w:rsidRDefault="00C54F26" w:rsidP="00C54F26">
      <w:pPr>
        <w:pStyle w:val="TextoNormal"/>
      </w:pPr>
    </w:p>
    <w:p w:rsidR="00C54F26" w:rsidRDefault="00C54F26" w:rsidP="00C54F26">
      <w:pPr>
        <w:pStyle w:val="TextoNormal"/>
      </w:pPr>
      <w:r>
        <w:t>El lema de la citada concentración era “En la igualdad. Ni un paso atrás” y la organización preveía la asistencia de 250 personas, así como la instalación de una estructura con megafonía para la intervención de oradores y dos vehículos de apoyo.</w:t>
      </w:r>
    </w:p>
    <w:p w:rsidR="00C54F26" w:rsidRDefault="00C54F26" w:rsidP="00C54F26">
      <w:pPr>
        <w:pStyle w:val="TextoNormal"/>
      </w:pPr>
    </w:p>
    <w:p w:rsidR="00C54F26" w:rsidRDefault="00C54F26" w:rsidP="00C54F26">
      <w:pPr>
        <w:pStyle w:val="TextoNormal"/>
      </w:pPr>
      <w:r>
        <w:t>b) Por medio de acuerdo de 3 de marzo de 2021, el delegado del Gobierno decidió prohibir, por razones de salud pública, la celebración de aquella concentración.</w:t>
      </w:r>
    </w:p>
    <w:p w:rsidR="00C54F26" w:rsidRDefault="00C54F26" w:rsidP="00C54F26">
      <w:pPr>
        <w:pStyle w:val="TextoNormal"/>
      </w:pPr>
    </w:p>
    <w:p w:rsidR="00C54F26" w:rsidRDefault="00C54F26" w:rsidP="00C54F26">
      <w:pPr>
        <w:pStyle w:val="TextoNormal"/>
      </w:pPr>
      <w:r>
        <w:t>c) El sindicato UGT-Madrid, junto con la otra organización sindical convocante de la concentración, interpuso recurso contencioso-administrativo contra el anterior acuerdo del delegado del Gobierno, quedando registrado como “autos del derecho de reunión núm. 275-2021”, cuyo conocimiento correspondió a la Sección Décima de la Sala de lo Contencioso-Administrativo del Tribunal Superior de Justicia de la Comunidad de Madrid, la que, con fecha 7 de marzo de 2021, dictó sentencia por la que desestimó íntegramente el recurso así formalizado.</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En la demanda de amparo, el sindicato recurrente invoca la vulneración del derecho de reunión en conexión con el derecho a la tutela judicial efectiva sin indefensión (art. 24.1 CE). Funda esa lesión en la decisión adoptada por el órgano judicial de desestimar el recurso contencioso-administrativo interpuesto contra la decisión gubernativa de prohibir la concentración que había organizado junto a otro sindicato, con motivo de la celebración del día internacional de la mujer, que iba a tener lugar el día 8 de marzo de 2021, entre las 11:00 y las 14:30 horas, en la Plaza de Cibeles de Madrid. A tal efecto, entiende que la sentencia impugnada adolece de falta de motivación y de proporcionalidad de la limitación impuesta, entendiendo que la decisión desestimatoria adoptada afecta gravemente al principio </w:t>
      </w:r>
      <w:r w:rsidRPr="00C54F26">
        <w:rPr>
          <w:i/>
        </w:rPr>
        <w:t>favor libertatis</w:t>
      </w:r>
      <w:r>
        <w:t>, que debería haber regido, toda vez que, a su juicio, existían vías menos gravosas para conciliar el ejercicio del derecho fundamental de reunión y manifestación con la protección de la salud pública y los derechos e intereses generales constitucionalmente protegibles.</w:t>
      </w:r>
    </w:p>
    <w:p w:rsidR="00C54F26" w:rsidRDefault="00C54F26" w:rsidP="00C54F26">
      <w:pPr>
        <w:pStyle w:val="TextoNormal"/>
      </w:pPr>
    </w:p>
    <w:p w:rsidR="00C54F26" w:rsidRDefault="00C54F26" w:rsidP="00C54F26">
      <w:pPr>
        <w:pStyle w:val="TextoNormal"/>
      </w:pPr>
      <w:r>
        <w:t>En la demanda, por medio de otrosí, solicitó el recurrente la medida cautelarísima de suspensión de la ejecución de la sentencia impugnada, al amparo de lo dispuesto en el art. 56.6, en relación con el art. 56.2, ambos de la Ley Orgánica del Tribunal Constitucional (LOTC), al objeto de que, por urgencia excepcional, quedara suspendida de modo cautelar la precitada ejecución de la sentencia.</w:t>
      </w:r>
    </w:p>
    <w:p w:rsidR="00C54F26" w:rsidRDefault="00C54F26" w:rsidP="00C54F26">
      <w:pPr>
        <w:pStyle w:val="TextoNormal"/>
      </w:pPr>
    </w:p>
    <w:p w:rsidR="00C54F26" w:rsidRDefault="00C54F26" w:rsidP="00C54F26">
      <w:pPr>
        <w:pStyle w:val="TextoNormal"/>
      </w:pPr>
      <w:r>
        <w:t>Entendía el demandante que la solicitud de suspensión cautelarísima tenía por objeto permitir que el sindicato pudiera celebrar la concentración el día 8 de marzo de 2021, toda vez que, en la fecha indicada, se celebraba el día de la mujer y esa era la razón de aquel acto colectivo, por lo que, “al preverse un pronunciamiento del amparo más tardío” de aquella jornada, podría provocarle perjuicios de imposible reparación si no llegaba a celebrarse en la fecha indicada.</w:t>
      </w:r>
    </w:p>
    <w:p w:rsidR="00C54F26" w:rsidRDefault="00C54F26" w:rsidP="00C54F26">
      <w:pPr>
        <w:pStyle w:val="TextoNormal"/>
      </w:pPr>
    </w:p>
    <w:p w:rsidR="00C54F26" w:rsidRDefault="00C54F26" w:rsidP="00C54F26">
      <w:pPr>
        <w:pStyle w:val="TextoNormal"/>
      </w:pPr>
      <w:r w:rsidRPr="00C54F26">
        <w:rPr>
          <w:rStyle w:val="NumeroAFNegritaCaracter"/>
        </w:rPr>
        <w:t>4</w:t>
      </w:r>
      <w:r>
        <w:t>. En virtud de providencia de 8 de marzo de 2021, el Pleno de este tribunal acordó recabar para sí el conocimiento del recurso de amparo que, hasta ese momento se tramitaba en la Sala Segunda, y admitirlo a trámite, apreciando que concurre en el mismo una especial trascendencia constitucional (art. 50.1 LOTC), por cuanto el asunto suscitado puede dar ocasión al tribunal para aclarar o cambiar su doctrina, como consecuencia del surgimiento de nuevas realidades sociales [STC 155/2009, FJ 2 b)] y porque el asunto trasciende del caso concreto, al plantear una cuestión jurídica de relevante y general repercusión social [STC 155/2009, FJ 2, g)].</w:t>
      </w:r>
    </w:p>
    <w:p w:rsidR="00C54F26" w:rsidRDefault="00C54F26" w:rsidP="00C54F26">
      <w:pPr>
        <w:pStyle w:val="TextoNormal"/>
      </w:pPr>
    </w:p>
    <w:p w:rsidR="00C54F26" w:rsidRDefault="00C54F26" w:rsidP="00C54F26">
      <w:pPr>
        <w:pStyle w:val="TextoNormal"/>
      </w:pPr>
      <w:r>
        <w:t xml:space="preserve">Además, en la misma resolución, se acordó emplazar a quienes hubieran sido parte en el procedimiento para que, por término de diez días, pudieran comparecer, excepto la recurrente en amparo. Igualmente, en relación con la solicitud de suspensión formulada en la </w:t>
      </w:r>
      <w:r>
        <w:lastRenderedPageBreak/>
        <w:t xml:space="preserve">demanda de amparo, el Pleno no apreció la urgencia excepcional a que se refiere el art. 56.6 LOTC, por lo que no resolvió </w:t>
      </w:r>
      <w:r w:rsidRPr="00C54F26">
        <w:rPr>
          <w:i/>
        </w:rPr>
        <w:t>inaudita parte</w:t>
      </w:r>
      <w:r>
        <w:t>, “dado que el asunto presenta elementos sustantivos específicos que abogan por un estudio meditado y contradictorio de la medida cautelarísima instada”.</w:t>
      </w:r>
    </w:p>
    <w:p w:rsidR="00C54F26" w:rsidRDefault="00C54F26" w:rsidP="00C54F26">
      <w:pPr>
        <w:pStyle w:val="TextoNormal"/>
      </w:pPr>
    </w:p>
    <w:p w:rsidR="00C54F26" w:rsidRDefault="00C54F26" w:rsidP="00C54F26">
      <w:pPr>
        <w:pStyle w:val="TextoNormal"/>
      </w:pPr>
      <w:r>
        <w:t>Finalmente, decidió la formación de pieza separada de suspensión y conceder un plazo común de tres días al Ministerio Fiscal y a la parte recurrente para que alegaran lo que estimaran oportuno sobre la suspensión.</w:t>
      </w:r>
    </w:p>
    <w:p w:rsidR="00C54F26" w:rsidRDefault="00C54F26" w:rsidP="00C54F26">
      <w:pPr>
        <w:pStyle w:val="TextoNormal"/>
      </w:pPr>
    </w:p>
    <w:p w:rsidR="00C54F26" w:rsidRDefault="00C54F26" w:rsidP="00C54F26">
      <w:pPr>
        <w:pStyle w:val="TextoNormal"/>
      </w:pPr>
      <w:r w:rsidRPr="00C54F26">
        <w:rPr>
          <w:rStyle w:val="NumeroAFNegritaCaracter"/>
        </w:rPr>
        <w:t>5</w:t>
      </w:r>
      <w:r>
        <w:t>. El día 10 de marzo de 2021, tuvo entrada en el registro de este tribunal el escrito de alegaciones del Ministerio Fiscal en el que puso de manifiesto la pérdida sobrevenida de objeto de la suspensión cautelar solicitada, toda vez que el sindicato recurrente había instado la suspensión cautelarísima para que pudiera tener lugar la concentración el día 8 de marzo de 2021, cobrando especial significación la indicada fecha pues el objeto de aquella asistencia colectiva al acto era el de celebrar el día internacional de la mujer, de tal manera que, sobrepasada aquella fecha, la solicitud de suspensión “ha perdido su objeto puesto que el alcance” de las resoluciones, la gubernativa y la judicial, “se limitaba a la prohibición de la concreta concentración convocada por la entidad recurrente para el día 8 de marzo de 2021”.</w:t>
      </w:r>
    </w:p>
    <w:p w:rsidR="00C54F26" w:rsidRDefault="00C54F26" w:rsidP="00C54F26">
      <w:pPr>
        <w:pStyle w:val="TextoNormal"/>
      </w:pPr>
    </w:p>
    <w:p w:rsidR="00C54F26" w:rsidRDefault="00C54F26" w:rsidP="00C54F26">
      <w:pPr>
        <w:pStyle w:val="TextoNormal"/>
      </w:pPr>
      <w:r>
        <w:t>De modo subsidiario, entiende que tampoco es posible acceder a la suspensión cautelar solicitada, toda vez que, con cita del ATC 57/2020, de 17 de junio, “no cabe justificar la suspensión de los acuerdos o actos impugnados con argumentos que se proyectan sobre el fondo de la cuestión planteada en la demanda y suponen, por tanto, predeterminar la solución del recurso”. Con tal afirmación, destaca la fiscal que, de acceder a la suspensión solicitada, “supondría una anticipación de la resolución de fondo que pudiera dictarse, lo cual no corresponde realizar a través del mecanismo del incidente cautelar de suspensión”, amén de que la suspensión de efectos de las resoluciones firmes “no pueda suponer una perturbación grave de intereses constitucionalmente protegidos o derechos fundamentales de terceros que en este caso debe entenderse concurriría, en cuanto que las resoluciones que se trata de suspender se han sustentado en la protección del interés general de la salud pública”.</w:t>
      </w:r>
    </w:p>
    <w:p w:rsidR="00C54F26" w:rsidRDefault="00C54F26" w:rsidP="00C54F26">
      <w:pPr>
        <w:pStyle w:val="TextoNormal"/>
      </w:pPr>
    </w:p>
    <w:p w:rsidR="00C54F26" w:rsidRDefault="00C54F26" w:rsidP="00C54F26">
      <w:pPr>
        <w:pStyle w:val="TextoNormal"/>
      </w:pPr>
      <w:r w:rsidRPr="00C54F26">
        <w:rPr>
          <w:rStyle w:val="NumeroAFNegritaCaracter"/>
        </w:rPr>
        <w:t>6</w:t>
      </w:r>
      <w:r>
        <w:t>. En fecha 15 de marzo de 2021, la representación del sindicato recurrente presentó escrito en el registro de este tribunal y formuló sus alegaciones en respuesta a lo acordado por este tribunal sobre la pieza de suspensión.</w:t>
      </w:r>
    </w:p>
    <w:p w:rsidR="00C54F26" w:rsidRDefault="00C54F26" w:rsidP="00C54F26">
      <w:pPr>
        <w:pStyle w:val="TextoNormal"/>
      </w:pPr>
    </w:p>
    <w:p w:rsidR="00C54F26" w:rsidRDefault="00C54F26" w:rsidP="00C54F26">
      <w:pPr>
        <w:pStyle w:val="TextoNormal"/>
      </w:pPr>
      <w:r>
        <w:t>En su escrito, la parte actora destaca que la denegada suspensión cautelarísima de la ejecución de la sentencia impugnada le ha ocasionado perjuicios irreparables, toda vez que el objetivo de la convocatoria era la celebración del día internacional de la mujer y, en consecuencia, la fecha elegida era esencial para conmemorar aquella celebración. Al no haber accedido a su petición, entiende que, aunque este tribunal modificara su inicial criterio y acordara la suspensión cautelar, la celebración tardía de la convocatoria haría perder la carga simbólica que ese día representa, “por lo que se ha provocado un daño irreparable para la recurrente”.</w:t>
      </w:r>
    </w:p>
    <w:p w:rsidR="00C54F26" w:rsidRDefault="00C54F26" w:rsidP="00C54F26">
      <w:pPr>
        <w:pStyle w:val="TextoNormal"/>
      </w:pPr>
    </w:p>
    <w:p w:rsidR="00C54F26" w:rsidRDefault="00C54F26" w:rsidP="00C54F26">
      <w:pPr>
        <w:pStyle w:val="TextoNormal"/>
      </w:pPr>
      <w:r>
        <w:t xml:space="preserve">Por todo lo expuesto, destaca el escrito que “sabiendo que la resolución aunque fuera positiva a nuestras pretensiones sería ineficaz por extemporánea, no pudiendo reparar el daño sufrido por la recurrente suplico que se tenga por solicitada la suspensión inmediata </w:t>
      </w:r>
      <w:r>
        <w:lastRenderedPageBreak/>
        <w:t xml:space="preserve">por urgencia excepcional de la sentencia dictada en fecha 07 de marzo de 2021 por el tribunal superior de justicia de Madrid (Sala de lo Contencioso Administrativo Sección Décima) en el procedimiento sustanciado con el número 275-2021, dictando de forma urgente auto que reconozca que en aplicación del principio </w:t>
      </w:r>
      <w:r w:rsidRPr="00C54F26">
        <w:rPr>
          <w:i/>
        </w:rPr>
        <w:t>in dubio favor libertatis</w:t>
      </w:r>
      <w:r>
        <w:t>, el derecho de la recurrente a ejercer libremente el derecho de reunión establecido en el artículo 21.2 de la Constitución y acuerde que como medida cautelar debió de suspenderse la ejecución de la precitada sentencia del Tribunal Superior de Justicia de Madrid (Sala de lo Contencioso Administrativo Sección Décima) y haberse autorizado la concentración convocada por doña Rosa Moreno Rodríguez, en representación de UGT-Madrid y doña Paloma Vega López, en representación de la unión sindical de Madrid región de CCOO, para el día 8 de marzo de 2021, de 11:00 a 14:30 horas, en la Plaza de Cibeles de Madrid”.</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art. 56.1 de la Ley Orgánica del Tribunal Constitucional establece, como regla general, que la interposición de un recurso de amparo no suspenderá los efectos del acto o sentencia impugnados. No obstante, el apartado segundo del mismo art. 56 LOTC, prevé una excepción a dicha previsión general, admitiendo la suspensión del acto o sentencia impugnados cuando su ejecución produzca un perjuicio al recurrente que pudiera hacer perder su finalidad al amparo. Razón por la que se configura como una medida de carácter excepcional y de aplicación restrictiva (por todos, AATC 117/2015, de 6 de julio, FJ 1, y 59/2017, de 24 de abril, FJ 1).</w:t>
      </w:r>
    </w:p>
    <w:p w:rsidR="00C54F26" w:rsidRDefault="00C54F26" w:rsidP="00C54F26">
      <w:pPr>
        <w:pStyle w:val="TextoNormal"/>
      </w:pPr>
    </w:p>
    <w:p w:rsidR="00C54F26" w:rsidRDefault="00C54F26" w:rsidP="00C54F26">
      <w:pPr>
        <w:pStyle w:val="TextoNormal"/>
      </w:pPr>
      <w:r>
        <w:t>En atención a tal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C54F26" w:rsidRDefault="00C54F26" w:rsidP="00C54F26">
      <w:pPr>
        <w:pStyle w:val="TextoNormal"/>
      </w:pPr>
    </w:p>
    <w:p w:rsidR="00C54F26" w:rsidRDefault="00C54F26" w:rsidP="00C54F26">
      <w:pPr>
        <w:pStyle w:val="TextoNormal"/>
      </w:pPr>
      <w:r>
        <w:t>Por último, de modo general, también ha insistido este tribunal (AATC 263/2001, de 15 de octubre y 18/2002, de 11 de febrero, entre otros muchos) en la imposibilidad de adelantar cuestiones controvertidas propias del fondo del recurso de amparo en esta pieza incidental de suspensión, como tampoco de conceder la suspensión cautelar de la ejecución de una resolución, si con ello se puede anticipar el amparo que se solicita.</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Según se detalla en los antecedentes, el sindicato recurrente solicitó, por medio de otrosí, la suspensión cautelar urgente e </w:t>
      </w:r>
      <w:r w:rsidRPr="00C54F26">
        <w:rPr>
          <w:i/>
        </w:rPr>
        <w:t>inaudita parte</w:t>
      </w:r>
      <w:r>
        <w:t xml:space="preserve"> de la ejecución de la sentencia del Tribunal Superior de Justicia de Madrid impugnada, con objeto de que este tribunal permitiera la celebración, el día 8 de marzo de 2021, de la concentración convocada para esa fecha, con motivo del día internacional de la mujer.</w:t>
      </w:r>
    </w:p>
    <w:p w:rsidR="00C54F26" w:rsidRDefault="00C54F26" w:rsidP="00C54F26">
      <w:pPr>
        <w:pStyle w:val="TextoNormal"/>
      </w:pPr>
    </w:p>
    <w:p w:rsidR="00C54F26" w:rsidRDefault="00C54F26" w:rsidP="00C54F26">
      <w:pPr>
        <w:pStyle w:val="TextoNormal"/>
      </w:pPr>
      <w:r>
        <w:t>Sin embargo, el tribunal denegó la adopción de aquella medida de suspensión cautelar, lo que determinó que el acto colectivo convocado no tuviera lugar en la citada fecha, al no haber sido alzada la prohibición de celebrarlo acordada por la autoridad gubernativa y confirmada por la resolución judicial impugnada.</w:t>
      </w:r>
    </w:p>
    <w:p w:rsidR="00C54F26" w:rsidRDefault="00C54F26" w:rsidP="00C54F26">
      <w:pPr>
        <w:pStyle w:val="TextoNormal"/>
      </w:pPr>
    </w:p>
    <w:p w:rsidR="00C54F26" w:rsidRDefault="00C54F26" w:rsidP="00C54F26">
      <w:pPr>
        <w:pStyle w:val="TextoNormal"/>
      </w:pPr>
      <w:r>
        <w:t>Pese a ello, la parte recurrente sigue solicitando, aunque sea a los meros efectos declarativos, que este tribunal dicte auto accediendo a la suspensión cautelar de la ejecución de la sentencia del Tribunal Superior de Justicia de Madrid. Por su parte, el Ministerio Fiscal postula la desestimación de la medida cautelar, por pérdida sobrevenida de objeto. De modo subsidiario, interesa su denegación porque, de ser concedida dicha suspensión, llevaría consigo una anticipación del fallo en la cuestión de fondo controvertida.</w:t>
      </w:r>
    </w:p>
    <w:p w:rsidR="00C54F26" w:rsidRDefault="00C54F26" w:rsidP="00C54F26">
      <w:pPr>
        <w:pStyle w:val="TextoNormal"/>
      </w:pPr>
    </w:p>
    <w:p w:rsidR="00C54F26" w:rsidRDefault="00C54F26" w:rsidP="00C54F26">
      <w:pPr>
        <w:pStyle w:val="TextoNormal"/>
      </w:pPr>
      <w:r w:rsidRPr="00C54F26">
        <w:rPr>
          <w:rStyle w:val="NumeroAFNegritaCaracter"/>
        </w:rPr>
        <w:t>3</w:t>
      </w:r>
      <w:r>
        <w:t>. En el caso de autos, la fecha señalada para la celebración del acto de concentrarse en la Plaza de Cibeles de Madrid era esencial y guardaba una íntima conexión con el motivo de su ejercicio, toda vez que, como se indica en la demanda de amparo, tenía por objeto la celebración del día internacional de la mujer. La jornada transcurrió sin que llegara a realizarse la concentración programada, por lo que, como sostiene el Ministerio Fiscal, la medida cautelar solicitada ha perdido sobrevenidamente su objeto.</w:t>
      </w:r>
    </w:p>
    <w:p w:rsidR="00C54F26" w:rsidRDefault="00C54F26" w:rsidP="00C54F26">
      <w:pPr>
        <w:pStyle w:val="TextoNormal"/>
      </w:pPr>
    </w:p>
    <w:p w:rsidR="00C54F26" w:rsidRDefault="00C54F26" w:rsidP="00C54F26">
      <w:pPr>
        <w:pStyle w:val="TextoNormal"/>
      </w:pPr>
      <w:r>
        <w:t>Sin embargo, no podemos detener aquí nuestro enjuiciamiento porque el demandante ha reiterado su solicitud de suspensión cautelar en el escrito incorporado a esta pieza, dado que pretende que este tribunal, a los meros efectos declarativos, resuelva sobre la petición así formalizada y acceda a su adopción.</w:t>
      </w:r>
    </w:p>
    <w:p w:rsidR="00C54F26" w:rsidRDefault="00C54F26" w:rsidP="00C54F26">
      <w:pPr>
        <w:pStyle w:val="TextoNormal"/>
      </w:pPr>
    </w:p>
    <w:p w:rsidR="00C54F26" w:rsidRDefault="00C54F26" w:rsidP="00C54F26">
      <w:pPr>
        <w:pStyle w:val="TextoNormal"/>
      </w:pPr>
      <w:r>
        <w:t xml:space="preserve">Pues bien, como hemos dicho </w:t>
      </w:r>
      <w:r w:rsidRPr="00C54F26">
        <w:rPr>
          <w:i/>
        </w:rPr>
        <w:t>supra</w:t>
      </w:r>
      <w:r>
        <w:t>, es “constante la doctrina de que la suspensión no puede anticipar el amparo que se solicita, de modo que si su concesión conlleva tal anticipación, ello se convierte en causa para denegarla” (por todos, ATC 52/2020, de 15 de junio, FJ 2 y las resoluciones aludidas en el mismo). De ahí que, como sostiene el Ministerio Fiscal, tampoco resulte procedente acceder a la suspensión de la ejecución de la sentencia impugnada, toda vez que ello requeriría una ponderación de los derechos e intereses generales en conflicto, que deben ser objeto de enjuiciamiento en la sentencia que este tribunal dicte en relación con la queja presentada por el sindicato recurrente. La petición excede de los efectos cautelares propios de esta pieza incidental.</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lastRenderedPageBreak/>
        <w:t>Denegar la suspensión cautelar de la ejecución de la sentencia de 7 de marzo de 2021, dictada por la Sección Décima de la Sala de lo Contencioso-Administrativo del Tribunal Superior de Justicia de la Comunidad de Madrid, solicitada por el recurrente de amparo.</w:t>
      </w:r>
    </w:p>
    <w:p w:rsidR="00C54F26" w:rsidRDefault="00C54F26" w:rsidP="00C54F26">
      <w:pPr>
        <w:pStyle w:val="TextoNormal"/>
      </w:pPr>
    </w:p>
    <w:p w:rsidR="00C54F26" w:rsidRDefault="00C54F26" w:rsidP="00C54F26">
      <w:pPr>
        <w:pStyle w:val="TextoNormal"/>
      </w:pPr>
      <w:r>
        <w:t>Madrid, a veinte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8" w:name="AUTO_2021_47"/>
      <w:r>
        <w:lastRenderedPageBreak/>
        <w:t>AUTO 47/2021, de 21 de abril de 2021</w:t>
      </w:r>
    </w:p>
    <w:bookmarkEnd w:id="188"/>
    <w:p w:rsidR="00C54F26" w:rsidRDefault="00C54F26" w:rsidP="00C54F26">
      <w:pPr>
        <w:pStyle w:val="TtuloResolucin"/>
      </w:pPr>
      <w:r>
        <w:t>Pleno</w:t>
      </w:r>
    </w:p>
    <w:p w:rsidR="00C54F26" w:rsidRDefault="00C54F26" w:rsidP="00C54F26">
      <w:pPr>
        <w:pStyle w:val="TextoNormalCentrado"/>
      </w:pPr>
      <w:r>
        <w:t>ECLI:ES:TC:2021:47A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aclaración de la sentencia 68/2021, de 18 de marzo, dictada en el recurso de inconstitucionalidad 4261-2018, interpuesto por el Gobierno de Aragón en relación con diversos preceptos de la Ley 9/2017, de 8 de noviembre, de contratos del sector público, por la que se transponen al ordenamiento jurídico español las Directivas del Parlamento Europeo y del Consejo 2014/23/UE y 2014/24/UE, de 26 de febrero de 2014.</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En el recurso de inconstitucionalidad núm. 4261-2018, interpuesto por el Gobierno de la Comunidad Autónoma de Aragón, contra diversos preceptos de la Ley 9/2017, de 8 de noviembre, de contratos del sector público, por la que se transponen al ordenamiento jurídico español las Directivas del Parlamento Europeo y del Consejo 2014/23/UE y 2014/24/UE, de 26 de febrero de 2014, se ha dictado la STC 68/2021 de 18 de marzo.</w:t>
      </w:r>
    </w:p>
    <w:p w:rsidR="00C54F26" w:rsidRDefault="00C54F26" w:rsidP="00C54F26">
      <w:pPr>
        <w:pStyle w:val="TextoNormal"/>
      </w:pPr>
    </w:p>
    <w:p w:rsidR="00C54F26" w:rsidRDefault="00C54F26" w:rsidP="00C54F26">
      <w:pPr>
        <w:pStyle w:val="TextoNormal"/>
      </w:pPr>
      <w:r w:rsidRPr="00C54F26">
        <w:rPr>
          <w:rStyle w:val="NumeroAFNegritaCaracter"/>
        </w:rPr>
        <w:t>2</w:t>
      </w:r>
      <w:r>
        <w:t>. Mediante escrito registrado en el Tribunal el 24 de marzo de 2021, la letrada de la Comunidad Autónoma de Aragón, al amparo de lo dispuesto en el art. 93 LOTC, solicitó la aclaración de la referida sentencia. La representación procesal del Gobierno de Aragón considera que, a pesar de que impugnó el art. 46.4 de la Ley 9/2017, de 8 de noviembre, de contratos del sector público, en su integridad, el tribunal únicamente se ha pronunciado sobre su párrafo segundo, declarándolo nulo e inconstitucional. Se aduce que este precepto fue recurrido por motivos diversos. Se alega que, aunque en el fundamento de derecho XI del escrito de interposición del recurso se fundamentó la inconstitucionalidad del párrafo segundo del art. 46.4 en que esta norma establecía una regulación supletoria y, que de acuerdo con la jurisprudencia constitucional (SSTC 118/1996 y 61/1997), el Estado carece de competencias para establecer este tipo de legislación, en el fundamento de derecho XII del referido escrito se alegó que este precepto era inconstitucional en su integridad porque vulneraba su potestad de autoorganización y sus competencias en materia de régimen local. Junto a ello se sostuvo que el art. 46.4 “infringe también la prohibición de introducir normativa de carácter supletorio”, señalándose a continuación “vicio de inconstitucionalidad al que ya se ha hecho alusión con anterioridad”.</w:t>
      </w:r>
    </w:p>
    <w:p w:rsidR="00C54F26" w:rsidRDefault="00C54F26" w:rsidP="00C54F26">
      <w:pPr>
        <w:pStyle w:val="TextoNormal"/>
      </w:pPr>
    </w:p>
    <w:p w:rsidR="00C54F26" w:rsidRDefault="00C54F26" w:rsidP="00C54F26">
      <w:pPr>
        <w:pStyle w:val="TextoNormal"/>
      </w:pPr>
      <w:r>
        <w:t xml:space="preserve">El Gobierno de Aragón sostiene que, en contra de lo declarado por el Tribunal al examinar la impugnación del art. 46.4 en la que afirma que “el párrafo segundo [es] el único </w:t>
      </w:r>
      <w:r>
        <w:lastRenderedPageBreak/>
        <w:t>expresamente cuestionado”, se recurrió el art. 46.4 en su totalidad y muy especialmente su párrafo tercero, por lo que solicita al tribunal que aclare su pronunciamiento en relación con el tercer párrafo del apartado cuarto del art. 46.4 de la Ley 9/2017, de 8 de noviembre.</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art. 93.1 de la Ley Orgánica del Tribunal Constitucional establece que contra las sentencias del Tribunal Constitucional no cabe recurso alguno, pero en el plazo de dos días a contar desde su notificación las partes podrán solicitar al tribunal la aclaración de sus sentencias. Como ha señalado reiteradamente la jurisprudencia de este tribunal, el objeto de la solicitud de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(AATC 235/2014, de 7 de octubre; 83/2020, de 21 de julio, FJ 1, entre otros muchos).</w:t>
      </w:r>
    </w:p>
    <w:p w:rsidR="00C54F26" w:rsidRDefault="00C54F26" w:rsidP="00C54F26">
      <w:pPr>
        <w:pStyle w:val="TextoNormal"/>
      </w:pPr>
    </w:p>
    <w:p w:rsidR="00C54F26" w:rsidRDefault="00C54F26" w:rsidP="00C54F26">
      <w:pPr>
        <w:pStyle w:val="TextoNormal"/>
      </w:pPr>
      <w:r w:rsidRPr="00C54F26">
        <w:rPr>
          <w:rStyle w:val="NumeroAFNegritaCaracter"/>
        </w:rPr>
        <w:t>2</w:t>
      </w:r>
      <w:r>
        <w:t>. En el fundamento jurídico 9 de la sentencia se examinan las impugnaciones relativas a las normas de carácter supletorio. En su apartado C, se enjuicia específicamente la vulneración constitucional que por este motivo se imputa al art. 46.4, limitándose su análisis a su párrafo segundo, pues solo respecto de este párrafo se plantea este motivo de inconstitucionalidad. Por ello, al imputarse esta infracción constitucional únicamente al párrafo segundo, no a los otros párrafos de este precepto, la sentencia afirma que es “el único cuestionado por el Gobierno de Aragón”.</w:t>
      </w:r>
    </w:p>
    <w:p w:rsidR="00C54F26" w:rsidRDefault="00C54F26" w:rsidP="00C54F26">
      <w:pPr>
        <w:pStyle w:val="TextoNormal"/>
      </w:pPr>
    </w:p>
    <w:p w:rsidR="00C54F26" w:rsidRDefault="00C54F26" w:rsidP="00C54F26">
      <w:pPr>
        <w:pStyle w:val="TextoNormal"/>
      </w:pPr>
      <w:r>
        <w:t>En este fundamento jurídico el Tribunal declaró inconstitucional y nulo este párrafo porque “el Estado no puede, excediendo el tenor de su título competencial en materia de contratación pública y penetrando en el ámbito reservado por la Constitución y los Estatutos a las comunidades autónomas, producir normas jurídicas meramente supletorias (STC 118/1996, FFJJ 6 y 8)”.</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La alegación por la que se adujo que el art. 46.4 vulnera las competencias de la Comunidad Autónoma de Aragón en materia de autoorganización y en materia de régimen local ha de entenderse implícitamente desestimada. Como reconoce el propio Gobierno de Aragón cuando fundamenta la impugnación relativa al art. 44, el art. 46, al permitirle establecer las normas competenciales para la resolución del recurso especial, respeta su potestad de autoorganización. Estas competencias no resultan vulneradas porque el párrafo tercero del art. 46.4 prevea la posibilidad de que los ayuntamientos de los municipios de gran población a los que se refiere el artículo 121 de la Ley 7/1985, de 2 de abril, reguladora de las bases del régimen local, y las diputaciones provinciales puedan crear un órgano especializado para la resolución de este recurso especial, que es el motivo en el que el Gobierno aragonés fundamenta la inconstitucionalidad del apartado tercero del art. 46.4. Esta norma, en virtud de las competencias que atribuye al Estado el art. 149.1.18 CE para establecer las bases del régimen jurídico de las administraciones públicas, se limita a prever la posibilidad de creación de un órgano especializado por parte de los citados entes locales, así como su régimen jurídico básico —atribuye al pleno de la corporación la competencia para acordar su creación y nombrar y remover a sus miembros—, remitiendo, en todo lo demás, a la </w:t>
      </w:r>
      <w:r>
        <w:lastRenderedPageBreak/>
        <w:t>legislación autonómica su regulación, por lo que no puede considerase lesiva de la competencias de la Comunidad Autónoma de Aragón en materia de régimen local.</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No haber lugar a la aclaración solicitada.</w:t>
      </w:r>
    </w:p>
    <w:p w:rsidR="00C54F26" w:rsidRDefault="00C54F26" w:rsidP="00C54F26">
      <w:pPr>
        <w:pStyle w:val="TextoNormal"/>
      </w:pPr>
    </w:p>
    <w:p w:rsidR="00C54F26" w:rsidRDefault="00C54F26" w:rsidP="00C54F26">
      <w:pPr>
        <w:pStyle w:val="TextoNormal"/>
      </w:pPr>
      <w:r>
        <w:t>Madrid, a veintiuno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89" w:name="AUTO_2021_48"/>
      <w:r>
        <w:lastRenderedPageBreak/>
        <w:t>AUTO 48/2021, de 21 de abril de 2021</w:t>
      </w:r>
    </w:p>
    <w:bookmarkEnd w:id="189"/>
    <w:p w:rsidR="00C54F26" w:rsidRDefault="00C54F26" w:rsidP="00C54F26">
      <w:pPr>
        <w:pStyle w:val="TtuloResolucin"/>
      </w:pPr>
      <w:r>
        <w:t>Pleno</w:t>
      </w:r>
    </w:p>
    <w:p w:rsidR="00C54F26" w:rsidRDefault="00C54F26" w:rsidP="00C54F26">
      <w:pPr>
        <w:pStyle w:val="TextoNormalCentrado"/>
      </w:pPr>
      <w:r>
        <w:t>ECLI:ES:TC:2021:48A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y doña María Luisa Balaguer Callejón.</w:t>
      </w:r>
    </w:p>
    <w:p w:rsidR="00C54F26" w:rsidRDefault="00C54F26" w:rsidP="00C54F26">
      <w:pPr>
        <w:pStyle w:val="SntesisDescriptiva"/>
      </w:pPr>
    </w:p>
    <w:p w:rsidR="00C54F26" w:rsidRDefault="00C54F26" w:rsidP="00C54F26">
      <w:pPr>
        <w:pStyle w:val="SntesisDescriptiva"/>
      </w:pPr>
      <w:r>
        <w:t>Acepta una abstención y archiva diversas solicitudes de recusación en distintos procesos de amparo promovidos en causas penales.</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4 de marzo de 2020, don Aníbal Bordallo Huidobro, procurador de los tribunales, en nombre y representación de don Jordi Turull i Negre, interpuso recurso de amparo contra la sentencia núm. 459/2019, de 14 de octubre, dictada por la Sala de lo Penal del Tribunal Supremo en la causa especial núm. 20907-2017; así como contra el auto de 29 de enero de 2020, que desestimó los incidentes de nulidad interpuestos frente a esta.</w:t>
      </w:r>
    </w:p>
    <w:p w:rsidR="00C54F26" w:rsidRDefault="00C54F26" w:rsidP="00C54F26">
      <w:pPr>
        <w:pStyle w:val="TextoNormal"/>
      </w:pPr>
    </w:p>
    <w:p w:rsidR="00C54F26" w:rsidRDefault="00C54F26" w:rsidP="00C54F26">
      <w:pPr>
        <w:pStyle w:val="TextoNormal"/>
      </w:pPr>
      <w:r>
        <w:t>Por providencia de 6 de mayo de 2020, el Pleno del Tribunal Constitucional acordó recabar para sí el conocimiento del recurso de amparo y admitirlo a trámite.</w:t>
      </w:r>
    </w:p>
    <w:p w:rsidR="00C54F26" w:rsidRDefault="00C54F26" w:rsidP="00C54F26">
      <w:pPr>
        <w:pStyle w:val="TextoNormal"/>
      </w:pPr>
    </w:p>
    <w:p w:rsidR="00C54F26" w:rsidRDefault="00C54F26" w:rsidP="00C54F26">
      <w:pPr>
        <w:pStyle w:val="TextoNormal"/>
      </w:pPr>
      <w:r w:rsidRPr="00C54F26">
        <w:rPr>
          <w:rStyle w:val="NumeroAFNegritaCaracter"/>
        </w:rPr>
        <w:t>2</w:t>
      </w:r>
      <w:r>
        <w:t>. Por escrito registrado en este tribunal el 26 de marzo de 2021, don Aníbal Bordallo Huidobro, procurador de los tribunales, en representación de don Jordi Turull i Negre, promovió la recusación del magistrado don Cándido Conde-Pumpido Tourón, con base en la causa prevista en el apartado décimo del art. 219 de la Ley Orgánica 6/1985, de 1 de julio, del Poder Judicial (LOPJ), por las manifestaciones realizadas en su intervención durante el coloquio que tuvo lugar el 23 de noviembre de 2017 en las dependencias del Congreso de los Diputados, para conmemorar el 40 aniversario del ingreso del Reino de España en el Consejo de Europa, que versó sobre el tema “La democracia representativa en Europa: amenazas y fortalezas”.</w:t>
      </w:r>
    </w:p>
    <w:p w:rsidR="00C54F26" w:rsidRDefault="00C54F26" w:rsidP="00C54F26">
      <w:pPr>
        <w:pStyle w:val="TextoNormal"/>
      </w:pPr>
    </w:p>
    <w:p w:rsidR="00C54F26" w:rsidRDefault="00C54F26" w:rsidP="00C54F26">
      <w:pPr>
        <w:pStyle w:val="TextoNormal"/>
      </w:pPr>
      <w:r>
        <w:t>Afirma el recusante haber tenido conocimiento de tales manifestaciones, en las que, a su juicio, el recusado mostró su convencimiento de la culpabilidad de los procesados en la causa especial núm. 20907-2017, por la información aparecida en prensa de la recusación del magistrado señor Conde-Pumpido presentada por don Carles Puigdemont i Casamajó el 17 de marzo de 2021. En esta se aludía a las causas previstas en los apartados noveno, décimo, duodécimo y decimotercero del art. 219 LOPJ, en el recurso de amparo núm. 972-2021, promovido por él contra determinadas resoluciones dictadas por la Sala de lo Penal del Tribunal Supremo en la referida causa especial.</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3</w:t>
      </w:r>
      <w:r>
        <w:t>. Constan registrados en este tribunal, tras la presentación, el 17 de marzo de 2021, de la referida recusación en el recurso de amparo núm. 972-2021 por la representación de don Carles Puigdemont i Casamajó, varios escritos de diversos demandantes que asimismo han solicitado la abstención o recusación del magistrado don Cándido Conde-Pumpido Tourón para el conocimiento de los recursos de amparo presentados por ellos contra la sentencia dictada por la Sala de lo Penal del Tribunal Supremo en la causa especial núm. 20907-2017 y contra el auto que desestimó los incidentes de nulidad interpuestos frente a dicha sentencia, por razón de las manifestaciones vertidas en dicha conferencia.</w:t>
      </w:r>
    </w:p>
    <w:p w:rsidR="00C54F26" w:rsidRDefault="00C54F26" w:rsidP="00C54F26">
      <w:pPr>
        <w:pStyle w:val="TextoNormal"/>
      </w:pPr>
    </w:p>
    <w:p w:rsidR="00C54F26" w:rsidRDefault="00C54F26" w:rsidP="00C54F26">
      <w:pPr>
        <w:pStyle w:val="TextoNormal"/>
      </w:pPr>
      <w:r>
        <w:t>Además del escrito presentado por representación de don Jordi Turull i Negre en el recurso de amparo núm. 1403-2020, al que ya se ha hecho referencia, se han presentado escritos de recusación en los siguientes recursos de amparo: núm. 1406-2020 (don Jordi Sánchez i Picanyol); núm. 1407-2020 (don Josep Rull i Andreu); núm. 1474-2020 (don Jordi Cuixart i Navarro); núm. 1599-2020 (doña Dolors Bassa i Coll); núm. 1611-2020 (doña Carme Forcadell i Lluis); núm. 1621-2020 (don Oriol Junqueras i Vies y don Raül Romeva i Rueda), y núm.1638-2020 (don Joaquim Forn i Chiarello).</w:t>
      </w:r>
    </w:p>
    <w:p w:rsidR="00C54F26" w:rsidRDefault="00C54F26" w:rsidP="00C54F26">
      <w:pPr>
        <w:pStyle w:val="TextoNormal"/>
      </w:pPr>
    </w:p>
    <w:p w:rsidR="00C54F26" w:rsidRDefault="00C54F26" w:rsidP="00C54F26">
      <w:pPr>
        <w:pStyle w:val="TextoNormal"/>
      </w:pPr>
      <w:r>
        <w:t>Don Antoni Comín i Oliveres, doña Clara Ponsatí i Obiols y don Lluís Puig i Gordi, demandantes junto a don Carles Puigdemont i Casamajó en el recurso de amparo núm. 972-2021, también han presentado escrito de recusación del magistrado don Cándido Conde-Pumpido Tourón por el mismo motivo (al que añaden otros).</w:t>
      </w:r>
    </w:p>
    <w:p w:rsidR="00C54F26" w:rsidRDefault="00C54F26" w:rsidP="00C54F26">
      <w:pPr>
        <w:pStyle w:val="TextoNormal"/>
      </w:pPr>
    </w:p>
    <w:p w:rsidR="00C54F26" w:rsidRDefault="00C54F26" w:rsidP="00C54F26">
      <w:pPr>
        <w:pStyle w:val="TextoNormal"/>
      </w:pPr>
      <w:r>
        <w:t>Asimismo han presentado el 26 de marzo de 2021 escrito de recusación del magistrado don Cándido Conde-Pumpido Tourón, por idéntica razón, don Jordi Sánchez i Picanyol, don Jordi Turull i Negre y don Josep Rull i Andreu, en el recurso de amparo núm. 6720-2019, que ya había sido resuelto por el Pleno de este tribunal en la STC 71/2021, de 18 de marzo.</w:t>
      </w:r>
    </w:p>
    <w:p w:rsidR="00C54F26" w:rsidRDefault="00C54F26" w:rsidP="00C54F26">
      <w:pPr>
        <w:pStyle w:val="TextoNormal"/>
      </w:pPr>
    </w:p>
    <w:p w:rsidR="00C54F26" w:rsidRDefault="00C54F26" w:rsidP="00C54F26">
      <w:pPr>
        <w:pStyle w:val="TextoNormal"/>
      </w:pPr>
      <w:r w:rsidRPr="00C54F26">
        <w:rPr>
          <w:rStyle w:val="NumeroAFNegritaCaracter"/>
        </w:rPr>
        <w:t>4</w:t>
      </w:r>
      <w:r>
        <w:t>. El 7 de abril de 2021, el magistrado don Cándido Conde-Pumpido Tourón presentó escrito en el que pone en conocimiento del Pleno de este tribunal, por conducto de su presidente, su decisión de comunicar su abstención, en aplicación de lo establecido en el apartado décimo del art. 219 LOPJ, del conocimiento de los recursos de amparo núms. 1403-2020 (señor Turull); 1406-2020 (señor Sánchez); 1407-2020 (señor Rull); 1474-2020 (señor Cuixart); 1599-2020 (señora Bassa); 1611-2020 (señora Forcadell); 1621-2020 (señores Junqueras y Romeva); 638-2020 (señor Forn), y 972-2021 (señores Puigdemont, Comín y Puig y señora Ponsatí). La abstención la hace extensiva a aquellos otros procesos de amparo pendientes de resolución en los que se impugnen resoluciones judiciales adoptadas en la causa especial núm. 20907-2017, seguida ante la Sala de lo Penal del Tribunal Supremo. Todo ello a fin de garantizar preventivamente el derecho a un proceso con todas las garantías de quienes son parte o se ven afectados por el contenido de las resoluciones cuestionadas en los distintos procesos de amparo reseñados, según afirma en su escrito.</w:t>
      </w:r>
    </w:p>
    <w:p w:rsidR="00C54F26" w:rsidRDefault="00C54F26" w:rsidP="00C54F26">
      <w:pPr>
        <w:pStyle w:val="TextoNormal"/>
      </w:pPr>
    </w:p>
    <w:p w:rsidR="00C54F26" w:rsidRDefault="00C54F26" w:rsidP="00C54F26">
      <w:pPr>
        <w:pStyle w:val="TextoNormal"/>
      </w:pPr>
      <w:r>
        <w:t xml:space="preserve">Tras resumir los hechos que, según las distintas solicitudes presentadas en los asuntos reseñados, constituirían base objetiva suficiente para solicitar su abstención o recusación, con el consiguiente apartamiento del conocimiento de los correspondientes procesos de amparo, el magistrado señor Conde-Pumpido explica, con cita de doctrina constitucional y del Tribunal Europeo de Derechos Humanos, que la imparcialidad de quienes integran los órganos jurisdiccionales constituye una exigencia básica del proceso debido (art. 24.2 CE) y constituye una garantía fundamental en la administración de justicia propia de un Estado de </w:t>
      </w:r>
      <w:r>
        <w:lastRenderedPageBreak/>
        <w:t>Derecho (art. 1.1 CE). La obligación de ser ajeno al litigio, de no jugarse nada en él, de no ser juez y parte ni juzgar la propia causa, puede resumirse en dos reglas: según la primera, el juez no puede asumir procesalmente funciones de parte; por la segunda, no puede realizar actos ni mantener con las partes relaciones jurídicas o conexiones de hecho que puedan poner de manifiesto o exteriorizar una previa toma de posición anímica a favor o en contra. Se trata —prosigue— de principios criterios y reglas plenamente trasladables al trabajo de los magistrados constitucionales, con los que afirma sentirse estrechamente comprometido.</w:t>
      </w:r>
    </w:p>
    <w:p w:rsidR="00C54F26" w:rsidRDefault="00C54F26" w:rsidP="00C54F26">
      <w:pPr>
        <w:pStyle w:val="TextoNormal"/>
      </w:pPr>
    </w:p>
    <w:p w:rsidR="00C54F26" w:rsidRDefault="00C54F26" w:rsidP="00C54F26">
      <w:pPr>
        <w:pStyle w:val="TextoNormal"/>
      </w:pPr>
      <w:r>
        <w:t>A partir de estas premisas, estima el magistrado señor Conde-Pumpido que no se encuentra incurso en ninguna de las causas de recusación a que se refiere el art. 219 LOPJ, razón por la cual, hasta la fecha, no se ha abstenido de participar en el debate y deliberación de los diversos procesos constitucionales suscitados en relación con resoluciones judiciales adoptadas en la causa especial núm. 20907-2017.</w:t>
      </w:r>
    </w:p>
    <w:p w:rsidR="00C54F26" w:rsidRDefault="00C54F26" w:rsidP="00C54F26">
      <w:pPr>
        <w:pStyle w:val="TextoNormal"/>
      </w:pPr>
    </w:p>
    <w:p w:rsidR="00C54F26" w:rsidRDefault="00C54F26" w:rsidP="00C54F26">
      <w:pPr>
        <w:pStyle w:val="TextoNormal"/>
      </w:pPr>
      <w:r>
        <w:t>El magistrado señor Conde-Pumpido expresa su desacuerdo con la tesis de que su intervención oral en el coloquio celebrado el 23 de noviembre de 2017 en las dependencias del Congreso de los Diputados anticipara un prejuicio sobre la culpabilidad de los implicados en la referida causa penal, ni sobre una supuesta vulneración de derechos fundamentales en un proceso penal apenas iniciado entonces. Sostiene que se limitó a identificar “la pretensión de subvertir el Estado social y democrático de Derecho utilizando fraudulentamente la propia bandera de la democracia” como una preocupante amenaza para la democracia representativa, y se refirió a este propósito a dos pronunciamientos previos del Tribunal Constitucional, concretamente la STC 259/2015, de 2 de diciembre, y la STC 114/2017, de 17 de octubre, con particular mención de los razonamientos referidos a la actuación del Parlamento de Cataluña en el proceso secesionista catalán. Con tales referencias —prosigue— no pretendía anticipar un juicio de culpabilidad penal sobre las decisiones parlamentarias allí analizadas, sino únicamente dar cuenta de su ilegitimidad constitucional, que había sido ya expresada por el Tribunal Constitucional en los referidos pronunciamientos. No cabe confundir la ilegitimidad constitucional de una conducta con su relevancia penal, concluye.</w:t>
      </w:r>
    </w:p>
    <w:p w:rsidR="00C54F26" w:rsidRDefault="00C54F26" w:rsidP="00C54F26">
      <w:pPr>
        <w:pStyle w:val="TextoNormal"/>
      </w:pPr>
    </w:p>
    <w:p w:rsidR="00C54F26" w:rsidRDefault="00C54F26" w:rsidP="00C54F26">
      <w:pPr>
        <w:pStyle w:val="TextoNormal"/>
      </w:pPr>
      <w:r>
        <w:t>En relación con las causas de recusación formuladas por algunos demandantes que se vinculan a la anterior responsabilidad del magistrado señor Conde-Pumpido como fiscal general del Estado (2004-2011), señala que los funcionarios que representan al ministerio público en las causas en que este interviene no son parte, a título personal, en dichos procedimientos, limitándose a expresar en cada uno de ellos la unidad de actuación que caracteriza a la institución (art. 124 CE); por ello no están expresamente incluidos en las causas de abstención y recusación invocadas por los demandantes, que se refieren específicamente a las partes procesales. El objeto de los recursos de amparo en los que se ha solicitado su abstención o recusación no es la pretensión de condena formulada por cualquiera de las acusaciones que han intervenido en la causa penal previa, sino la respuesta judicial dada a dichas pretensiones. En estos recursos de amparo intervendrán otros representantes diferentes del Ministerio Fiscal, que expresarán en todo caso la posición institucional del conjunto del ministerio público. Entiende por todo ello el magistrado señor Conde-Pumpido que no se halla incurso en las causas de recusación a que se refieren los apartados 9 y 12 del art. 219 LOPJ.</w:t>
      </w:r>
    </w:p>
    <w:p w:rsidR="00C54F26" w:rsidRDefault="00C54F26" w:rsidP="00C54F26">
      <w:pPr>
        <w:pStyle w:val="TextoNormal"/>
      </w:pPr>
    </w:p>
    <w:p w:rsidR="00C54F26" w:rsidRDefault="00C54F26" w:rsidP="00C54F26">
      <w:pPr>
        <w:pStyle w:val="TextoNormal"/>
      </w:pPr>
      <w:r>
        <w:t xml:space="preserve">Considera asimismo manifiestamente infundada la causa de recusación basada en su supuesta intercesión en 2018 ante el Gobierno de España, según anunció un diario digital, en </w:t>
      </w:r>
      <w:r>
        <w:lastRenderedPageBreak/>
        <w:t>favor de que el Estado español se hiciera cargo de los gastos que al magistrado instructor de la causa especial pudiera ocasionar su defensa frente a la demanda interpuesta en el Reino de Bélgica por algunos de los demandantes de amparo y ahora recusantes. La decisión de asumir los gastos de defensa jurídica del magistrado instructor, que fue demandado ante la justicia belga por cuestiones derivadas del ejercicio de su cargo, fue adoptada por la autoridad política competente, en ejercicio de sus funciones y de forma absolutamente independiente.</w:t>
      </w:r>
    </w:p>
    <w:p w:rsidR="00C54F26" w:rsidRDefault="00C54F26" w:rsidP="00C54F26">
      <w:pPr>
        <w:pStyle w:val="TextoNormal"/>
      </w:pPr>
    </w:p>
    <w:p w:rsidR="00C54F26" w:rsidRDefault="00C54F26" w:rsidP="00C54F26">
      <w:pPr>
        <w:pStyle w:val="TextoNormal"/>
      </w:pPr>
      <w:r>
        <w:t>Rechaza igualmente que se halle incurso en causa de abstención o recusación por razón de su previo ejercicio como magistrado de la Sala de lo Penal del Tribunal Supremo. La exteriorización jurisdiccional de un criterio jurídico al resolver un proceso no puede fundar una duda legítima de imparcialidad. No se exterioriza un prejuicio, sino un criterio jurídico. No solo el Tribunal Constitucional sino también el resto de los tribunales jurisdiccionales deben estar integrados por jueces que no tengan la mente vacía sobre los asuntos jurídicos sometidos a su consideración; solo las condiciones y circunstancias en las que ese criterio previo se ha formado, o la relación con el objeto del litigio o con las partes que permita afirmar inclinación de ánimo, son motivos que permitirían fundar una sospecha legítima de inclinación, a favor o en contra, hacia alguna de estas.</w:t>
      </w:r>
    </w:p>
    <w:p w:rsidR="00C54F26" w:rsidRDefault="00C54F26" w:rsidP="00C54F26">
      <w:pPr>
        <w:pStyle w:val="TextoNormal"/>
      </w:pPr>
    </w:p>
    <w:p w:rsidR="00C54F26" w:rsidRDefault="00C54F26" w:rsidP="00C54F26">
      <w:pPr>
        <w:pStyle w:val="TextoNormal"/>
      </w:pPr>
      <w:r>
        <w:t>No obstante lo anterior, recuerda el magistrado señor Conde-Pumpido que, el elenco de causas de recusación previstas en el art. 219 LOPJ no acoge todos los supuestos en los que cabe apoyar una duda sobre la imparcialidad judicial. Del contenido y fundamento del derecho a un juez imparcial, de la doctrina constitucional al respecto y de la jurisprudencia del Tribunal Europeo de Derechos Humanos cabe deducir la existencia de una “causa supralegal” que permite cuestionar y proponer apartar del conocimiento de una causa a aquel juez sobre el que se pueda mantener, desde el punto de vista de un observador exterior, un temor objetivamente justificado de que mantiene prejuicios o ideas preconcebidas sobre el objeto de enjuiciamiento, por tener interés personal en un asunto particular.</w:t>
      </w:r>
    </w:p>
    <w:p w:rsidR="00C54F26" w:rsidRDefault="00C54F26" w:rsidP="00C54F26">
      <w:pPr>
        <w:pStyle w:val="TextoNormal"/>
      </w:pPr>
    </w:p>
    <w:p w:rsidR="00C54F26" w:rsidRDefault="00C54F26" w:rsidP="00C54F26">
      <w:pPr>
        <w:pStyle w:val="TextoNormal"/>
      </w:pPr>
      <w:r>
        <w:t>Afirma a continuación el magistrado señor Conde-Pumpido ser consciente de que, en algunas ocasiones patológicas, las recusaciones pueden ser parte de una estrategia procesal dirigida a retrasar la resolución de los asuntos, a minar la legítima confianza de los ciudadanos en el ejercicio de la jurisdicción, sea ordinaria o constitucional, o, en fin, a intentar apartar del conocimiento del caso al juez predeterminado por la ley. Por ello, la doctrina del Tribunal Europeo de Derechos Humanos y del Tribunal Constitucional se refiere a la interpretación restrictiva de los supuestos de abstención y recusación. Esas cautelas deben ser extremadas en el caso de los miembros del Tribunal Constitucional, subraya, dado que no existe posibilidad de habilitar su sustitución y la conformación del colegio de magistrados es fruto de amplios consensos políticos, en los que participan diversas instituciones del Estado.</w:t>
      </w:r>
    </w:p>
    <w:p w:rsidR="00C54F26" w:rsidRDefault="00C54F26" w:rsidP="00C54F26">
      <w:pPr>
        <w:pStyle w:val="TextoNormal"/>
      </w:pPr>
    </w:p>
    <w:p w:rsidR="00C54F26" w:rsidRDefault="00C54F26" w:rsidP="00C54F26">
      <w:pPr>
        <w:pStyle w:val="TextoNormal"/>
      </w:pPr>
      <w:r>
        <w:t>Concluye el magistrado señor Conde-Pumpido señalando que, en relación con las reflexiones que formuló en su intervención oral en el coloquio celebrado el 23 de noviembre de 2017 en las dependencias del Congreso de los Diputados, no se siente personalmente concernido por los intereses que se ventilan en los recursos de amparo sometidos a la consideración del Tribunal Constitucional respecto de las resoluciones dictadas en la causa especial núm. 20907-2017, ni mantiene ninguna toma de partido anímica previa sobre el contenido de los procesos constitucionales en los que se le ha recusado.</w:t>
      </w:r>
    </w:p>
    <w:p w:rsidR="00C54F26" w:rsidRDefault="00C54F26" w:rsidP="00C54F26">
      <w:pPr>
        <w:pStyle w:val="TextoNormal"/>
      </w:pPr>
    </w:p>
    <w:p w:rsidR="00C54F26" w:rsidRDefault="00C54F26" w:rsidP="00C54F26">
      <w:pPr>
        <w:pStyle w:val="TextoNormal"/>
      </w:pPr>
      <w:r>
        <w:t>En suma, mantiene que no se considera incurso en ninguna de las causas de recusación, pero añade que, dada la notoria controversia constitucional, social y política generada en torno a la causa especial núm. 20907-2017, se “impone y justifica, de forma singular, el mayor cuidado y exigencia en mantener la confianza en la imparcialidad de la actuación de este tribunal, de manera que, cualquiera que sea su sentido, no se puedan deslegitimar indebidamente las resoluciones que habrán de ser dictadas, en sentido estimatorio o desestimatorio”, en relación con los recursos de amparo pendientes de resolución que tienen por objeto resoluciones dictadas en la referida causa especial.</w:t>
      </w:r>
    </w:p>
    <w:p w:rsidR="00C54F26" w:rsidRDefault="00C54F26" w:rsidP="00C54F26">
      <w:pPr>
        <w:pStyle w:val="TextoNormal"/>
      </w:pPr>
    </w:p>
    <w:p w:rsidR="00C54F26" w:rsidRDefault="00C54F26" w:rsidP="00C54F26">
      <w:pPr>
        <w:pStyle w:val="TextoNormal"/>
      </w:pPr>
      <w:r>
        <w:t>Por ello, el magistrado señor Conde-Pumpido comunica que ha decidido abstenerse, en aplicación de lo establecido en el apartado décimo del art. 219 LOPJ, en los recursos de amparo en los que ha sido recusado, así como en todos aquellos que se refieren a resoluciones judiciales adoptadas en el curso de la causa especial núm. 20907-2017, seguida ante la Sala de lo Penal del Tribunal Supremo, en la que se ha determinado la responsabilidad penal de los demandantes. Lo hace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 destacando “la singularidad política y social del objeto de los recursos presentados por los demandantes en relación con su enjuiciamiento penal”. Precisa que de dicha abstención queda expresamente excluido el recurso de amparo núm. 6720-2019, por haber sido resuelto mediante sentencia sobre el fondo el pasado 18 de marzo de 2021, esto es, en fecha anterior a la recusación formulada, que lo fue el siguiente día 26 de marzo.</w:t>
      </w:r>
    </w:p>
    <w:p w:rsidR="00C54F26" w:rsidRDefault="00C54F26" w:rsidP="00C54F26">
      <w:pPr>
        <w:pStyle w:val="TextoNormal"/>
      </w:pPr>
    </w:p>
    <w:p w:rsidR="00C54F26" w:rsidRDefault="00C54F26" w:rsidP="00C54F26">
      <w:pPr>
        <w:pStyle w:val="TextoNormal"/>
      </w:pPr>
      <w:r w:rsidRPr="00C54F26">
        <w:rPr>
          <w:rStyle w:val="NumeroAFNegritaCaracter"/>
        </w:rPr>
        <w:t>5</w:t>
      </w:r>
      <w:r>
        <w:t>. Los recursos de amparo pendientes de resolución en los que se impugnan resoluciones judiciales dictadas en la meritada causa especial núm. 20907-2017, distintos de los recursos de amparo en los que ha sido formalmente recusado el magistrado señor Conde-Pumpido, son los recursos núms. 5382-2019 (señor Puigdemont); 64-2020 (señor Puigdemont); 212-2020 (señor Junqueras); 1523-2020 (señor Junqueras) y 1634-2020 (señor Junqueras).</w:t>
      </w:r>
    </w:p>
    <w:p w:rsidR="00C54F26" w:rsidRDefault="00C54F26" w:rsidP="00C54F26">
      <w:pPr>
        <w:pStyle w:val="TextoNormal"/>
      </w:pPr>
    </w:p>
    <w:p w:rsidR="00C54F26" w:rsidRDefault="00C54F26" w:rsidP="00C54F26">
      <w:pPr>
        <w:pStyle w:val="TextoNormal"/>
      </w:pPr>
      <w:r w:rsidRPr="00C54F26">
        <w:rPr>
          <w:rStyle w:val="NumeroAFNegritaCaracter"/>
        </w:rPr>
        <w:t>6</w:t>
      </w:r>
      <w:r>
        <w:t>. Mediante providencia de 7 de abril de 2021, en virtud de las atribuciones conferidas por el artículo 15 de la Ley Orgánica del Tribunal Constitucional, el presidente de este tribunal acordó designar a don Andrés Ollero Tassara magistrado ponente del escrito de abstención presentado por el magistrado don Cándido Conde-Pumpido Tourón en los recursos de amparo promovidos en la causa especial núm. 20907-2017, seguida ante la Sala de lo Penal del Tribunal Supremo, al objeto de que proponga, en forma de auto, la resolución correspondiente, de la que conocerá el Pleno de este tribunal. Acordó asimismo la formación de pieza separada en el primero de los recursos señalados en el escrito de abstención presentado por el magistrado don Cándido Conde-Pumpido Tourón (recurso de amparo núm. 1403-2020) y llevar testimonio de la providencia, así como del escrito de abstención, al resto de los recursos de amparo interpuestos contra resoluciones recaídas en la referida causa especial que se encuentren pendientes de resolución de este tribunal.</w:t>
      </w:r>
    </w:p>
    <w:p w:rsidR="00C54F26" w:rsidRDefault="00C54F26" w:rsidP="00C54F26">
      <w:pPr>
        <w:pStyle w:val="TextoNormal"/>
      </w:pPr>
    </w:p>
    <w:p w:rsidR="00C54F26" w:rsidRDefault="00C54F26" w:rsidP="00C54F26">
      <w:pPr>
        <w:pStyle w:val="TextoNormalNegritaCentrado"/>
        <w:keepNext/>
      </w:pPr>
      <w:r>
        <w:lastRenderedPageBreak/>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El Pleno ha examinado el escrito presentado por el magistrado don Cándido Conde-Pumpido Tourón el 7 de abril de 2021, en el que comunica su intención de abstenerse, en aplicación de lo establecido en el apartado décimo del art. 219 LOPJ, en los recursos de amparo en los que ha sido recusado (recursos núms. 1403-2020, 1406-2020, 1407-2020, 1474-2020, 1599-2020, 1611-2020, 1621-2020, 1638-2020 y 972-2021), así como en todos aquellos que se refieren a resoluciones judiciales adoptadas en el curso de la causa especial núm. 20907-2017, seguida ante la Sala de lo Penal del Tribunal Supremo (que son los recursos núm. 5382-2019, 64-2020, 212-2020, 1523-2020 y 1634-2020, como ha quedado indicado en el antecedente 5 del presente auto), con excepción del recurso de amparo núm. 6720-2019, por haber sido resuelto mediante la STC 71/2021, de 18 de marzo, en fecha anterior por tanto a la recusación formulada por los demandantes, que lo fue el 26 de marzo siguiente.</w:t>
      </w:r>
    </w:p>
    <w:p w:rsidR="00C54F26" w:rsidRDefault="00C54F26" w:rsidP="00C54F26">
      <w:pPr>
        <w:pStyle w:val="TextoNormal"/>
      </w:pPr>
    </w:p>
    <w:p w:rsidR="00C54F26" w:rsidRDefault="00C54F26" w:rsidP="00C54F26">
      <w:pPr>
        <w:pStyle w:val="TextoNormal"/>
      </w:pPr>
      <w:r>
        <w:t>Visto el referido escrito del magistrado don Cándido Conde-Pumpido Tourón, por el que comunica su decisión de abstenerse “a fin de garantizar preventivamente el derecho a un proceso con todas las garantías de quienes son parte o se ven afectados por el contenido de las resoluciones cuestionadas en los distintos procesos de amparo que han sido reseñados” y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 resulta procedente aceptar la abstención formulada en los términos que se interesa.</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Aceptar la abstención formulada por el magistrado don Cándido Conde-Pumpido Tourón en el recurso de amparo núm. 1403-2020, así como en los recursos de amparo núms. 1406-2020, 1407-2020, 1474-2020, 1599-2020, 1611-2020, 1621-2020, 1638-2020 y 972-2021, que se hace extensiva a los recursos de amparo núms. 5382-2019, 64-2020, 212-2020, 1523-2020 y 1634-2020, y apartarle definitivamente de los referidos recursos y de todas sus incidencias.</w:t>
      </w:r>
    </w:p>
    <w:p w:rsidR="00C54F26" w:rsidRDefault="00C54F26" w:rsidP="00C54F26">
      <w:pPr>
        <w:pStyle w:val="TextoNormal"/>
      </w:pPr>
    </w:p>
    <w:p w:rsidR="00C54F26" w:rsidRDefault="00C54F26" w:rsidP="00C54F26">
      <w:pPr>
        <w:pStyle w:val="TextoNormal"/>
      </w:pPr>
      <w:r>
        <w:t>2º Archivar la pieza separada de abstención del recurso de amparo núm. 1403-2020; y archivar asimismo las solicitudes de recusación formuladas por los demandantes en los recursos de amparo núms. 1403-2020, 1406-2020, 1407-2020, 1474-2020, 1599-2020, 1611-2020, 1621-2020, 1638-2020 y 972-2021, por pérdida de objeto.</w:t>
      </w:r>
    </w:p>
    <w:p w:rsidR="00C54F26" w:rsidRDefault="00C54F26" w:rsidP="00C54F26">
      <w:pPr>
        <w:pStyle w:val="TextoNormal"/>
      </w:pPr>
    </w:p>
    <w:p w:rsidR="00C54F26" w:rsidRDefault="00C54F26" w:rsidP="00C54F26">
      <w:pPr>
        <w:pStyle w:val="TextoNormal"/>
      </w:pPr>
      <w:r>
        <w:t xml:space="preserve">3º Inadmitir </w:t>
      </w:r>
      <w:r w:rsidRPr="00C54F26">
        <w:rPr>
          <w:i/>
        </w:rPr>
        <w:t>a limine</w:t>
      </w:r>
      <w:r>
        <w:t xml:space="preserve"> la recusación planteada en el recurso de amparo núm. 6720-2019, por extemporánea.</w:t>
      </w:r>
    </w:p>
    <w:p w:rsidR="00C54F26" w:rsidRDefault="00C54F26" w:rsidP="00C54F26">
      <w:pPr>
        <w:pStyle w:val="TextoNormal"/>
      </w:pPr>
    </w:p>
    <w:p w:rsidR="00C54F26" w:rsidRDefault="00C54F26" w:rsidP="00C54F26">
      <w:pPr>
        <w:pStyle w:val="TextoNormal"/>
      </w:pPr>
      <w:r>
        <w:t>Contra la presente resolución no cabe recurso alguno (art. 221.4 LOPJ).</w:t>
      </w:r>
    </w:p>
    <w:p w:rsidR="00C54F26" w:rsidRDefault="00C54F26" w:rsidP="00C54F26">
      <w:pPr>
        <w:pStyle w:val="TextoNormal"/>
      </w:pPr>
    </w:p>
    <w:p w:rsidR="00C54F26" w:rsidRDefault="00C54F26" w:rsidP="00C54F26">
      <w:pPr>
        <w:pStyle w:val="TextoNormal"/>
      </w:pPr>
      <w:r>
        <w:t>Madrid, a veintiuno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C54F26" w:rsidRDefault="00C54F26" w:rsidP="00C54F26">
      <w:pPr>
        <w:pStyle w:val="TtuloResolucin"/>
      </w:pPr>
      <w:bookmarkStart w:id="190" w:name="AUTO_2021_49"/>
      <w:r>
        <w:lastRenderedPageBreak/>
        <w:t>AUTO 49/2021, de 21 de abril de 2021</w:t>
      </w:r>
    </w:p>
    <w:bookmarkEnd w:id="190"/>
    <w:p w:rsidR="00C54F26" w:rsidRDefault="00C54F26" w:rsidP="00C54F26">
      <w:pPr>
        <w:pStyle w:val="TtuloResolucin"/>
      </w:pPr>
      <w:r>
        <w:t>Pleno</w:t>
      </w:r>
    </w:p>
    <w:p w:rsidR="00C54F26" w:rsidRDefault="00C54F26" w:rsidP="00C54F26">
      <w:pPr>
        <w:pStyle w:val="TextoNormalCentrado"/>
      </w:pPr>
      <w:r>
        <w:t>ECLI:ES:TC:2021:49A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y doña María Luisa Balaguer Callejón.</w:t>
      </w:r>
    </w:p>
    <w:p w:rsidR="00C54F26" w:rsidRDefault="00C54F26" w:rsidP="00C54F26">
      <w:pPr>
        <w:pStyle w:val="SntesisDescriptiva"/>
      </w:pPr>
    </w:p>
    <w:p w:rsidR="00C54F26" w:rsidRDefault="00C54F26" w:rsidP="00C54F26">
      <w:pPr>
        <w:pStyle w:val="SntesisDescriptiva"/>
      </w:pPr>
      <w:r>
        <w:t>Deniega la aclaración del auto 18/2021, de 16 de febrero, que extiende la abstención acordada en el auto 17/2021 a varios recursos de amparo promovidos en causas penales.</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11 de marzo de 2020, doña Carme Forcadell i Lluis, representada por el procurador de los tribunales don Emilio Martínez Benítez y asistida por la letrada doña Olga Arderiu Ripoll y por el letrado don Raimon Tomàs Vinardell, presentaron recurso de amparo contra la sentencia dictada por la Sala de lo Penal del Tribunal Supremo, el 14 de octubre de 2019, en la causa especial núm. 20907-2017, y contra el auto de 29 de enero de 2020, en cuya virtud se desestima el incidente de nulidad de actuaciones deducido contra la indicada sentencia.</w:t>
      </w:r>
    </w:p>
    <w:p w:rsidR="00C54F26" w:rsidRDefault="00C54F26" w:rsidP="00C54F26">
      <w:pPr>
        <w:pStyle w:val="TextoNormal"/>
      </w:pPr>
    </w:p>
    <w:p w:rsidR="00C54F26" w:rsidRDefault="00C54F26" w:rsidP="00C54F26">
      <w:pPr>
        <w:pStyle w:val="TextoNormal"/>
      </w:pPr>
      <w:r>
        <w:t>Por providencia de 6 de mayo de 2020, el Pleno del Tribunal Constitucional, a propuesta del presidente, acordó recabar para sí el conocimiento del recurso de amparo y admitirlo a trámite.</w:t>
      </w:r>
    </w:p>
    <w:p w:rsidR="00C54F26" w:rsidRDefault="00C54F26" w:rsidP="00C54F26">
      <w:pPr>
        <w:pStyle w:val="TextoNormal"/>
      </w:pPr>
    </w:p>
    <w:p w:rsidR="00C54F26" w:rsidRDefault="00C54F26" w:rsidP="00C54F26">
      <w:pPr>
        <w:pStyle w:val="TextoNormal"/>
      </w:pPr>
      <w:r w:rsidRPr="00C54F26">
        <w:rPr>
          <w:rStyle w:val="NumeroAFNegritaCaracter"/>
        </w:rPr>
        <w:t>2</w:t>
      </w:r>
      <w:r>
        <w:t>. Por escrito presentado el 30 de octubre de 2020, el procurador de los tribunales antes indicado formuló incidente de recusación contra el magistrado don Antonio Narváez Rodríguez por concurrir la causa 10 del art. 219 de la Ley Orgánica del Poder Judicial (LOPJ). Y ello como consecuencia de las declaraciones por él efectuadas, en relación con la causa especial núm. 20907-2017, en el transcurso de una conferencia con el título “El problema catalán. Perspectiva constitucional”, organizada por una entidad denominada “Club de la Constitución”, cuando ya ostentaba la citada condición.</w:t>
      </w:r>
    </w:p>
    <w:p w:rsidR="00C54F26" w:rsidRDefault="00C54F26" w:rsidP="00C54F26">
      <w:pPr>
        <w:pStyle w:val="TextoNormal"/>
      </w:pPr>
    </w:p>
    <w:p w:rsidR="00C54F26" w:rsidRDefault="00C54F26" w:rsidP="00C54F26">
      <w:pPr>
        <w:pStyle w:val="TextoNormal"/>
      </w:pPr>
      <w:r w:rsidRPr="00C54F26">
        <w:rPr>
          <w:rStyle w:val="NumeroAFNegritaCaracter"/>
        </w:rPr>
        <w:t>3</w:t>
      </w:r>
      <w:r>
        <w:t>. Abierta la pieza separada de recusación, en fecha 16 de febrero de 2021, se presentó escrito por el magistrado don Antonio Narváez Rodríguez, en el que pone en conocimiento del Pleno de este tribunal, por conducto de su presidente, a los efectos procesales oportunos, lo siguiente:</w:t>
      </w:r>
    </w:p>
    <w:p w:rsidR="00C54F26" w:rsidRDefault="00C54F26" w:rsidP="00C54F26">
      <w:pPr>
        <w:pStyle w:val="TextoNormal"/>
      </w:pPr>
    </w:p>
    <w:p w:rsidR="00C54F26" w:rsidRDefault="00C54F26" w:rsidP="00C54F26">
      <w:pPr>
        <w:pStyle w:val="TextoNormal"/>
      </w:pPr>
      <w:r>
        <w:t xml:space="preserve">“Deseo comunicar al Pleno del tribunal mi decisión de abstenerme de participar en las deliberaciones y de intervenir como magistrado en las resoluciones que este tribunal haya de dictar en todos los recursos de amparo interpuestos contra autos recaídos en la causa </w:t>
      </w:r>
      <w:r>
        <w:lastRenderedPageBreak/>
        <w:t>especial núm. 20.907-2017 de la Sala Segunda del Tribunal Supremo, así como contra la sentencia de 14 de octubre de 2019, dictada por ese Alto Tribunal en aquel procedimiento.</w:t>
      </w:r>
    </w:p>
    <w:p w:rsidR="00C54F26" w:rsidRDefault="00C54F26" w:rsidP="00C54F26">
      <w:pPr>
        <w:pStyle w:val="TextoNormal"/>
      </w:pPr>
    </w:p>
    <w:p w:rsidR="00C54F26" w:rsidRDefault="00C54F26" w:rsidP="00C54F26">
      <w:pPr>
        <w:pStyle w:val="TextoNormal"/>
      </w:pPr>
      <w:r>
        <w:t>Asimismo y, en correspondencia con esta decisión, declino también las ponencias de los recursos de amparo núms. 1599-2020 (demandante doña Dolors Bassa i Coll) y 1611-2020 (demandante doña Carme Forcadell y Lluis). Considero que con esta decisión contribuyo a fortalecer la idea de independencia e imparcialidad del Tribunal al que me honro en pertenecer.</w:t>
      </w:r>
    </w:p>
    <w:p w:rsidR="00C54F26" w:rsidRDefault="00C54F26" w:rsidP="00C54F26">
      <w:pPr>
        <w:pStyle w:val="TextoNormal"/>
      </w:pPr>
    </w:p>
    <w:p w:rsidR="00C54F26" w:rsidRDefault="00C54F26" w:rsidP="00C54F26">
      <w:pPr>
        <w:pStyle w:val="TextoNormal"/>
      </w:pPr>
      <w:r>
        <w:t>Lo que pongo en conocimiento del Pleno, por conducto del Excmo. Sr. presidente del Tribunal, a los efectos procesales oportunos”.</w:t>
      </w:r>
    </w:p>
    <w:p w:rsidR="00C54F26" w:rsidRDefault="00C54F26" w:rsidP="00C54F26">
      <w:pPr>
        <w:pStyle w:val="TextoNormal"/>
      </w:pPr>
    </w:p>
    <w:p w:rsidR="00C54F26" w:rsidRDefault="00C54F26" w:rsidP="00C54F26">
      <w:pPr>
        <w:pStyle w:val="TextoNormal"/>
      </w:pPr>
      <w:r w:rsidRPr="00C54F26">
        <w:rPr>
          <w:rStyle w:val="NumeroAFNegritaCaracter"/>
        </w:rPr>
        <w:t>4</w:t>
      </w:r>
      <w:r>
        <w:t>. La abstención formulada fue aceptada por auto del Pleno 17/2021, de 16 de febrero, dictado en la pieza separada de recusación dimanante del recurso de amparo avocado 5382-2019. En su fundamento jurídico único se dice: “El Pleno, visto el escrito presentado por don Carles Puigdemont i Casamajó en el que promueve la recusación del magistrado don Antonio Narváez Rodríguez con base en la causa prevista en el art. 219.10 LOPJ, así como el escrito presentado por el magistrado don Antonio Narváez Rodríguez el 16 de febrero de 2021, en el que comunica su intención de abstenerse por considerar que con su decisión contribuye ‘a fortalecer la idea de independencia e imparcialidad del tribunal al que me honro en pertenecer’, acepta la abstención formulada”.</w:t>
      </w:r>
    </w:p>
    <w:p w:rsidR="00C54F26" w:rsidRDefault="00C54F26" w:rsidP="00C54F26">
      <w:pPr>
        <w:pStyle w:val="TextoNormal"/>
      </w:pPr>
    </w:p>
    <w:p w:rsidR="00C54F26" w:rsidRDefault="00C54F26" w:rsidP="00C54F26">
      <w:pPr>
        <w:pStyle w:val="TextoNormal"/>
      </w:pPr>
      <w:r>
        <w:t>Mediante auto dictado también por el Pleno y en la misma fecha (ATC 18/2021), dicha decisión se hacía “extensiva a los recursos de amparo interpuestos contra las resoluciones recaídas en la causa especial núm. 20907-2017 de la Sala Segunda del Tribunal Supremo pendientes de resolución”. Entre los que se encontraba el recurso de amparo presentado por doña Carme Forcadell i Lluis y que fue registrado con el núm. 1611-2020. Como consecuencia, se decidía también el archivo de la pieza de recusación por pérdida de objeto.</w:t>
      </w:r>
    </w:p>
    <w:p w:rsidR="00C54F26" w:rsidRDefault="00C54F26" w:rsidP="00C54F26">
      <w:pPr>
        <w:pStyle w:val="TextoNormal"/>
      </w:pPr>
    </w:p>
    <w:p w:rsidR="00C54F26" w:rsidRDefault="00C54F26" w:rsidP="00C54F26">
      <w:pPr>
        <w:pStyle w:val="TextoNormal"/>
      </w:pPr>
      <w:r w:rsidRPr="00C54F26">
        <w:rPr>
          <w:rStyle w:val="NumeroAFNegritaCaracter"/>
        </w:rPr>
        <w:t>5</w:t>
      </w:r>
      <w:r>
        <w:t>. La parte comparecida, doña Carme Forcadell i Lluis, representada por el procurador de los tribunales don Emilio Martínez Benítez y asistida por la letrada doña Olga Arderiu Ripoll y por el letrado don Raimon Tomàs Vinardell, mediante escrito registrado en este tribunal el 2 de marzo de 2021, solicita la aclaración del auto de 16 de febrero de 2021, para que se indique en qué causa del artículo 219 LOPJ se enmarca la abstención formulada por el magistrado don Antonio Narváez Rodríguez y los motivos por los que el Pleno la estima justificada. También considera que no cabe el archivo del incidente de recusación sin dar una respuesta fundamentada en Derecho a las pretensiones debidamente deducidas por la recurrente. Todo ello se solicita “en aras a garantizar el derecho a la tutela judicial efectiva de la M.H. Sra. Forcadell”.</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 xml:space="preserve">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(ATC 159/2020, de 14 de diciembre, FJ 1, y 120/2019, de 21 de octubre, FJ 1). De acuerdo con el art. 267.1 de la Ley Orgánica </w:t>
      </w:r>
      <w:r>
        <w:lastRenderedPageBreak/>
        <w:t>del Poder Judicial esta actuación judicial deberá limitarse a “aclarar algún concepto oscuro y rectificar cualquier error material de que adolezcan”, pero no podrá suponer, sin embargo, variación o modificación de la resolución judicial (ATC 159/2020, de 14 de diciembre, FJ 1 y los allí citados), o dicho de otra manera, “no constituye un medio de impugnación para la sustitución o revisión de la decisión adoptada, pues contra las sentencias del Tribunal Constitucional no cabe recurso alguno” (ATC 102/2020, de 21 de septiembre, FJ único); tampoco, en este caso, contra los autos que se pronuncien sobre la abstención (art. 221.4 LOPJ).</w:t>
      </w:r>
    </w:p>
    <w:p w:rsidR="00C54F26" w:rsidRDefault="00C54F26" w:rsidP="00C54F26">
      <w:pPr>
        <w:pStyle w:val="TextoNormal"/>
      </w:pPr>
    </w:p>
    <w:p w:rsidR="00C54F26" w:rsidRDefault="00C54F26" w:rsidP="00C54F26">
      <w:pPr>
        <w:pStyle w:val="TextoNormal"/>
      </w:pPr>
      <w:r>
        <w:t>La aclaración solicitada excede del objeto de este trámite procesal. La solicitante es conocedora de la decisión de aceptación de la abstención presentada por el magistrado don Antonio Narváez Rodríguez y este tribunal no aprecia en el auto del que se solicita aclaración, ni conceptos oscuros que aclarar, ni omisión alguna que suplir. Basta su lectura para conocer de la motivación que la parte comparecida considera inexistente.</w:t>
      </w:r>
    </w:p>
    <w:p w:rsidR="00C54F26" w:rsidRDefault="00C54F26" w:rsidP="00C54F26">
      <w:pPr>
        <w:pStyle w:val="TextoNormal"/>
      </w:pPr>
    </w:p>
    <w:p w:rsidR="00C54F26" w:rsidRDefault="00C54F26" w:rsidP="00C54F26">
      <w:pPr>
        <w:pStyle w:val="TextoNormal"/>
      </w:pPr>
      <w:r>
        <w:t>No procede, por tanto, hacer manifestación alguna que pueda conllevar alteración de la fundamentación o de la decisión del auto.</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No haber lugar a la aclaración solicitada.</w:t>
      </w:r>
    </w:p>
    <w:p w:rsidR="00C54F26" w:rsidRDefault="00C54F26" w:rsidP="00C54F26">
      <w:pPr>
        <w:pStyle w:val="TextoNormal"/>
      </w:pPr>
    </w:p>
    <w:p w:rsidR="00C54F26" w:rsidRDefault="00C54F26" w:rsidP="00C54F26">
      <w:pPr>
        <w:pStyle w:val="TextoNormal"/>
      </w:pPr>
      <w:r>
        <w:t>Madrid, a veintiuno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1" w:name="AUTO_2021_50"/>
      <w:r>
        <w:lastRenderedPageBreak/>
        <w:t>AUTO 50/2021, de 21 de abril de 2021</w:t>
      </w:r>
    </w:p>
    <w:bookmarkEnd w:id="191"/>
    <w:p w:rsidR="00C54F26" w:rsidRDefault="00C54F26" w:rsidP="00C54F26">
      <w:pPr>
        <w:pStyle w:val="TtuloResolucin"/>
      </w:pPr>
      <w:r>
        <w:t>Pleno</w:t>
      </w:r>
    </w:p>
    <w:p w:rsidR="00C54F26" w:rsidRDefault="00C54F26" w:rsidP="00C54F26">
      <w:pPr>
        <w:pStyle w:val="TextoNormalCentrado"/>
      </w:pPr>
      <w:r>
        <w:t>ECLI:ES:TC:2021:50A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Alfredo Montoya Melgar, don Ricardo Enríquez Sancho y doña María Luisa Balaguer Callejón.</w:t>
      </w:r>
    </w:p>
    <w:p w:rsidR="00C54F26" w:rsidRDefault="00C54F26" w:rsidP="00C54F26">
      <w:pPr>
        <w:pStyle w:val="SntesisDescriptiva"/>
      </w:pPr>
    </w:p>
    <w:p w:rsidR="00C54F26" w:rsidRDefault="00C54F26" w:rsidP="00C54F26">
      <w:pPr>
        <w:pStyle w:val="SntesisDescriptiva"/>
      </w:pPr>
      <w:r>
        <w:t>Deniega la aclaración del auto 18/2021, de 16 de febrero, que extiende la abstención acordada en el auto 17/2021 a varios recursos de amparo promovidos en causas penales.</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11 de marzo de 2020, don Oriol Junqueras i Vies y don Raül Romeva Rueda, representados por la procuradora de tribunales doña Celia López Ariza y asistidos por el letrado don Andreu Van den Eynde, presentaron recurso de amparo contra la sentencia dictada por la Sala de lo Penal del Tribunal Supremo, el 14 de octubre de 2019, en la causa especial núm. 20907-2017; el auto de 18 de noviembre de 2019, que deniega la aclaración interesada en relación con la sentencia a que se ha hecho mención; y el auto de 29 de enero de 2020, en cuya virtud se desestima el incidente de nulidad de actuaciones deducido contra la sentencia objeto de cita.</w:t>
      </w:r>
    </w:p>
    <w:p w:rsidR="00C54F26" w:rsidRDefault="00C54F26" w:rsidP="00C54F26">
      <w:pPr>
        <w:pStyle w:val="TextoNormal"/>
      </w:pPr>
    </w:p>
    <w:p w:rsidR="00C54F26" w:rsidRDefault="00C54F26" w:rsidP="00C54F26">
      <w:pPr>
        <w:pStyle w:val="TextoNormal"/>
      </w:pPr>
      <w:r>
        <w:t>Por providencia de 21 de julio de 2020, el Pleno del Tribunal Constitucional, a propuesta del presidente, acordó recabar para sí el conocimiento del recurso de amparo y admitirlo a trámite.</w:t>
      </w:r>
    </w:p>
    <w:p w:rsidR="00C54F26" w:rsidRDefault="00C54F26" w:rsidP="00C54F26">
      <w:pPr>
        <w:pStyle w:val="TextoNormal"/>
      </w:pPr>
    </w:p>
    <w:p w:rsidR="00C54F26" w:rsidRDefault="00C54F26" w:rsidP="00C54F26">
      <w:pPr>
        <w:pStyle w:val="TextoNormal"/>
      </w:pPr>
      <w:r w:rsidRPr="00C54F26">
        <w:rPr>
          <w:rStyle w:val="NumeroAFNegritaCaracter"/>
        </w:rPr>
        <w:t>2</w:t>
      </w:r>
      <w:r>
        <w:t>. Por escrito presentado el 26 de octubre del 2020, la procuradora de los tribunales antes indicada formuló incidente de recusación contra el magistrado don Antonio Narváez Rodríguez por concurrir la causa 10 del art. 219 de la Ley Orgánica del Poder Judicial (LOPJ), a consecuencia de las declaraciones efectuadas en relación con la causa especial núm. 20907-2017, en el transcurso de una charla con el título “El problema catalán”.</w:t>
      </w:r>
    </w:p>
    <w:p w:rsidR="00C54F26" w:rsidRDefault="00C54F26" w:rsidP="00C54F26">
      <w:pPr>
        <w:pStyle w:val="TextoNormal"/>
      </w:pPr>
    </w:p>
    <w:p w:rsidR="00C54F26" w:rsidRDefault="00C54F26" w:rsidP="00C54F26">
      <w:pPr>
        <w:pStyle w:val="TextoNormal"/>
      </w:pPr>
      <w:r w:rsidRPr="00C54F26">
        <w:rPr>
          <w:rStyle w:val="NumeroAFNegritaCaracter"/>
        </w:rPr>
        <w:t>3</w:t>
      </w:r>
      <w:r>
        <w:t>. Abierta la pieza separada de recusación, en fecha 16 de febrero de 2021, se presentó escrito por el magistrado don Antonio Narváez Rodríguez, en el que pone en conocimiento del Pleno de este tribunal, por conducto de su presidente, lo siguiente:</w:t>
      </w:r>
    </w:p>
    <w:p w:rsidR="00C54F26" w:rsidRDefault="00C54F26" w:rsidP="00C54F26">
      <w:pPr>
        <w:pStyle w:val="TextoNormal"/>
      </w:pPr>
    </w:p>
    <w:p w:rsidR="00C54F26" w:rsidRDefault="00C54F26" w:rsidP="00C54F26">
      <w:pPr>
        <w:pStyle w:val="TextoNormal"/>
      </w:pPr>
      <w:r>
        <w:t>“Deseo comunicar al Pleno del tribunal mi decisión de abstenerme de participar en las deliberaciones y de intervenir como magistrado en las resoluciones que este tribunal haya de dictar en todos los recursos de amparo interpuestos contra autos recaídos en la causa especial núm. 20907-2017 de la Sala Segunda del Tribunal Supremo, así como contra la sentencia de 14 de octubre de 2019, dictada por ese Alto Tribunal en aquel procedimiento.</w:t>
      </w:r>
    </w:p>
    <w:p w:rsidR="00C54F26" w:rsidRDefault="00C54F26" w:rsidP="00C54F26">
      <w:pPr>
        <w:pStyle w:val="TextoNormal"/>
      </w:pPr>
    </w:p>
    <w:p w:rsidR="00C54F26" w:rsidRDefault="00C54F26" w:rsidP="00C54F26">
      <w:pPr>
        <w:pStyle w:val="TextoNormal"/>
      </w:pPr>
      <w:r>
        <w:lastRenderedPageBreak/>
        <w:t>Asimismo y, en correspondencia con esta decisión, declino también las ponencias de los recursos de amparo núms. 1599-2020 (demandante doña Dolors Bassa i Coll) y 1611-2020 (demandante doña Carme Forcadell i Lluis). Considero que con esta decisión contribuyo a fortalecer la idea de independencia e imparcialidad del tribunal al que me honro en pertenecer.</w:t>
      </w:r>
    </w:p>
    <w:p w:rsidR="00C54F26" w:rsidRDefault="00C54F26" w:rsidP="00C54F26">
      <w:pPr>
        <w:pStyle w:val="TextoNormal"/>
      </w:pPr>
    </w:p>
    <w:p w:rsidR="00C54F26" w:rsidRDefault="00C54F26" w:rsidP="00C54F26">
      <w:pPr>
        <w:pStyle w:val="TextoNormal"/>
      </w:pPr>
      <w:r>
        <w:t>Lo que pongo en conocimiento del Pleno, por conducto del Excmo. Sr. presidente del Tribunal, a los efectos procesales oportunos”.</w:t>
      </w:r>
    </w:p>
    <w:p w:rsidR="00C54F26" w:rsidRDefault="00C54F26" w:rsidP="00C54F26">
      <w:pPr>
        <w:pStyle w:val="TextoNormal"/>
      </w:pPr>
    </w:p>
    <w:p w:rsidR="00C54F26" w:rsidRDefault="00C54F26" w:rsidP="00C54F26">
      <w:pPr>
        <w:pStyle w:val="TextoNormal"/>
      </w:pPr>
      <w:r w:rsidRPr="00C54F26">
        <w:rPr>
          <w:rStyle w:val="NumeroAFNegritaCaracter"/>
        </w:rPr>
        <w:t>4</w:t>
      </w:r>
      <w:r>
        <w:t>. La abstención formulada fue aceptada por auto del Pleno 17/2021, de 16 de febrero, dictado en la pieza separada de recusación dimanante del recurso de amparo avocado 5382-2019. En su fundamento jurídico único se dice: “El Pleno, visto el escrito presentado por don Carles Puigdemont i Casamajó en el que promueve la recusación del magistrado don Antonio Narváez Rodríguez con base en la causa prevista en el art. 219.10 LOPJ, así como el escrito presentado por el magistrado don Antonio Narváez Rodríguez el 16 de febrero de 2021, en el que comunica su intención de abstenerse por considerar que con su decisión contribuye ‘a fortalecer la idea de independencia e imparcialidad del tribunal al que me honro en pertenecer’, acepta la abstención formulada”.</w:t>
      </w:r>
    </w:p>
    <w:p w:rsidR="00C54F26" w:rsidRDefault="00C54F26" w:rsidP="00C54F26">
      <w:pPr>
        <w:pStyle w:val="TextoNormal"/>
      </w:pPr>
    </w:p>
    <w:p w:rsidR="00C54F26" w:rsidRDefault="00C54F26" w:rsidP="00C54F26">
      <w:pPr>
        <w:pStyle w:val="TextoNormal"/>
      </w:pPr>
      <w:r>
        <w:t>Mediante auto dictado también por el Pleno y en la misma fecha (ATC 18/2021), dicha decisión se hacía “extensiva a los recursos de amparo interpuestos contra las resoluciones recaídas en la causa especial núm. 20907-2017 de la Sala Segunda del Tribunal Supremo pendientes de resolución”. Entre los que se encontraba el recurso de amparo presentado por don Oriol Junqueras i Vies y don Raül Romeva Rueda y que fue registrado con el núm. 1621-2020. Como consecuencia, se decidía también el archivo de la pieza de recusación por pérdida de objeto.</w:t>
      </w:r>
    </w:p>
    <w:p w:rsidR="00C54F26" w:rsidRDefault="00C54F26" w:rsidP="00C54F26">
      <w:pPr>
        <w:pStyle w:val="TextoNormal"/>
      </w:pPr>
    </w:p>
    <w:p w:rsidR="00C54F26" w:rsidRDefault="00C54F26" w:rsidP="00C54F26">
      <w:pPr>
        <w:pStyle w:val="TextoNormal"/>
      </w:pPr>
      <w:r w:rsidRPr="00C54F26">
        <w:rPr>
          <w:rStyle w:val="NumeroAFNegritaCaracter"/>
        </w:rPr>
        <w:t>5</w:t>
      </w:r>
      <w:r>
        <w:t>. La parte comparecida, don Oriol Junqueras i Vies y don Raül Romeva Rueda, representados por la procuradora de tribunales doña Celia López Ariza y asistidos por el letrado don Andreu Van den Eynde, mediante escrito registrado en este tribunal el 26 de febrero de 2021, solicitaron la aclaración del fallo del citado auto de 16 de febrero de 2021. Se solicita, en concreto, que se “acuerde aclarar o completar la resolución referida con la mención de la causa de abstención o recusación que se estima concurrente en el magistrado referenciado […] y si la misma se ha hallado o no justificada por el tribunal”.</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 xml:space="preserve">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 De acuerdo con el art. 267.1 de la Ley Orgánica del Poder Judicial, esta actuación judicial deberá limitarse a “aclarar algún concepto oscuro y rectificar cualquier error material de que adolezcan”, pero no podrá suponer, sin embargo, variación o modificación de la resolución judicial (ATC 159/2020, de 14 de diciembre, FJ 1, y los allí citados), o dicho de otra manera, “no constituye un medio de impugnación para la sustitución o revisión de la decisión adoptada, pues contra las sentencias del Tribunal </w:t>
      </w:r>
      <w:r>
        <w:lastRenderedPageBreak/>
        <w:t>Constitucional no cabe recurso alguno” (ATC 102/2020, de 21 de septiembre, FJ único); tampoco, en este caso, contra los autos que se pronuncien sobre la abstención (art. 221.4 LOPJ).</w:t>
      </w:r>
    </w:p>
    <w:p w:rsidR="00C54F26" w:rsidRDefault="00C54F26" w:rsidP="00C54F26">
      <w:pPr>
        <w:pStyle w:val="TextoNormal"/>
      </w:pPr>
    </w:p>
    <w:p w:rsidR="00C54F26" w:rsidRDefault="00C54F26" w:rsidP="00C54F26">
      <w:pPr>
        <w:pStyle w:val="TextoNormal"/>
      </w:pPr>
      <w:r>
        <w:t>La aclaración solicitada excede del objeto de este trámite procesal. Los solicitantes son conocedores de la decisión de aceptación de la abstención presentada por el magistrado don Antonio Narváez Rodríguez y este tribunal no aprecia en el auto del que se solicita aclaración, ni conceptos oscuros que aclarar, ni omisión alguna que suplir. Basta su lectura para conocer de la motivación que la parte comparecida considera inexistente.</w:t>
      </w:r>
    </w:p>
    <w:p w:rsidR="00C54F26" w:rsidRDefault="00C54F26" w:rsidP="00C54F26">
      <w:pPr>
        <w:pStyle w:val="TextoNormal"/>
      </w:pPr>
    </w:p>
    <w:p w:rsidR="00C54F26" w:rsidRDefault="00C54F26" w:rsidP="00C54F26">
      <w:pPr>
        <w:pStyle w:val="TextoNormal"/>
      </w:pPr>
      <w:r>
        <w:t>No procede, por tanto, hacer manifestación alguna que pueda conllevar alteración de la fundamentación o de la decisión del auto.</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No haber lugar a la aclaración solicitada.</w:t>
      </w:r>
    </w:p>
    <w:p w:rsidR="00C54F26" w:rsidRDefault="00C54F26" w:rsidP="00C54F26">
      <w:pPr>
        <w:pStyle w:val="TextoNormal"/>
      </w:pPr>
    </w:p>
    <w:p w:rsidR="00C54F26" w:rsidRDefault="00C54F26" w:rsidP="00C54F26">
      <w:pPr>
        <w:pStyle w:val="TextoNormal"/>
      </w:pPr>
      <w:r>
        <w:t>Madrid, a veintiuno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2" w:name="AUTO_2021_51"/>
      <w:r>
        <w:lastRenderedPageBreak/>
        <w:t>AUTO 51/2021, de 22 de abril de 2021</w:t>
      </w:r>
    </w:p>
    <w:bookmarkEnd w:id="192"/>
    <w:p w:rsidR="00C54F26" w:rsidRDefault="00C54F26" w:rsidP="00C54F26">
      <w:pPr>
        <w:pStyle w:val="TtuloResolucin"/>
      </w:pPr>
      <w:r>
        <w:t>Pleno</w:t>
      </w:r>
    </w:p>
    <w:p w:rsidR="00C54F26" w:rsidRDefault="00C54F26" w:rsidP="00C54F26">
      <w:pPr>
        <w:pStyle w:val="TextoNormalCentrado"/>
      </w:pPr>
      <w:r>
        <w:t>ECLI:ES:TC:2021:51A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Mantiene la suspensión acordada en el conflicto positivo de competencia 6201-2020, planteado por el Gobierno de la Nación en relación con diversos apartados del Decreto del presidente de la Comunidad Autónoma de Canarias 87/2020, de 9 de diciembre, por el que se establece el cierre perimetral de la Comunidad Autónoma en aplicación del Real Decreto 926/2020, de 25 de octubre, por el que se declara el estado de alarma, para contener la propagación de infecciones causadas por el SARS-CoV-2.</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día 15 de diciembre de 2020, el abogado del Estado, en la representación que ostenta, promueve conflicto positivo de competencia contra los apartados segundo, tercero, cuarto, octavo.4, noveno y anexo del Decreto 87/2020, de 9 de diciembre, del presidente de la Comunidad Autónoma de Canarias, por el que se establece el cierre perimetral de la Comunidad Autónoma de Canarias, en aplicación del Real Decreto 926/2020, de 25 de octubre, por el que se declara el estado de alarma, para contener la propagación de infecciones causadas por el SARS-CoV-2.</w:t>
      </w:r>
    </w:p>
    <w:p w:rsidR="00C54F26" w:rsidRDefault="00C54F26" w:rsidP="00C54F26">
      <w:pPr>
        <w:pStyle w:val="TextoNormal"/>
      </w:pPr>
    </w:p>
    <w:p w:rsidR="00C54F26" w:rsidRDefault="00C54F26" w:rsidP="00C54F26">
      <w:pPr>
        <w:pStyle w:val="TextoNormal"/>
      </w:pPr>
      <w:r>
        <w:t>El abogado del Estado invocó el art. 161.2 CE y el art. 64.2 de la Ley Orgánica del Tribunal Constitucional (LOTC) a fin de que se produjera la suspensión de la aplicación de las disposiciones impugnadas en los términos que se concretan en el suplico de la demanda.</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Por providencia de 16 de diciembre de 2020, el Pleno del Tribunal Constitucional, a propuesta de la Sección Segunda, acordó admitir a trámite el conflicto positivo de competencia y dar traslado de la demanda y documentos presentados al Gobierno de la Comunidad Autónoma de Canarias, por conducto de su presidente, al objeto de que, en el plazo de veinte días aportase cuantos documentos y alegaciones considerase convenientes. Asimismo, se tuvo por invocado por el Gobierno el art. 161.2 CE, lo que, a su tenor y conforme dispone el art. 64.2 LOTC, produce la suspensión de la vigencia y aplicación de “lo dispuesto en los preceptos impugnados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 desde el día 15 de </w:t>
      </w:r>
      <w:r>
        <w:lastRenderedPageBreak/>
        <w:t>diciembre de 2020, fecha de interposición del conflicto, lo que se comunicó al presidente de la Comunidad Autónoma de Canarias. Igualmente, se acordó comunicar la interposición del presente conflicto a la Sala de lo Contencioso-Administrativo del Tribunal Superior de Justicia de Canarias por si ante la misma estuviere impugnado o se impugnare el Decreto 87/2020, en cuyo caso se suspendería el curso del proceso hasta la decisión del conflicto, según dispone el art. 61.2 LOTC, así como publicar la incoación del conflicto en el “Boletín Oficial del Estado” y en el “Boletín Oficial de Canarias”.</w:t>
      </w:r>
    </w:p>
    <w:p w:rsidR="00C54F26" w:rsidRDefault="00C54F26" w:rsidP="00C54F26">
      <w:pPr>
        <w:pStyle w:val="TextoNormal"/>
      </w:pPr>
    </w:p>
    <w:p w:rsidR="00C54F26" w:rsidRDefault="00C54F26" w:rsidP="00C54F26">
      <w:pPr>
        <w:pStyle w:val="TextoNormal"/>
      </w:pPr>
      <w:r w:rsidRPr="00C54F26">
        <w:rPr>
          <w:rStyle w:val="NumeroAFNegritaCaracter"/>
        </w:rPr>
        <w:t>3</w:t>
      </w:r>
      <w:r>
        <w:t>. Por escrito registrado el 3 de febrero de 2021, la representación procesal del Gobierno de Canarias presentó sus alegaciones frente a la demanda que plantea el conflicto positivo de competencia solicitando su desestimación.</w:t>
      </w:r>
    </w:p>
    <w:p w:rsidR="00C54F26" w:rsidRDefault="00C54F26" w:rsidP="00C54F26">
      <w:pPr>
        <w:pStyle w:val="TextoNormal"/>
      </w:pPr>
    </w:p>
    <w:p w:rsidR="00C54F26" w:rsidRDefault="00C54F26" w:rsidP="00C54F26">
      <w:pPr>
        <w:pStyle w:val="TextoNormal"/>
      </w:pPr>
      <w:r w:rsidRPr="00C54F26">
        <w:rPr>
          <w:rStyle w:val="NumeroAFNegritaCaracter"/>
        </w:rPr>
        <w:t>4</w:t>
      </w:r>
      <w:r>
        <w:t>. Por diligencia de ordenación del secretario de justicia del Pleno de 16 de marzo de 2021, se acordó que, próximo a finalizar el plazo de los cinco meses que señala el artículo 65.2 de la Ley Orgánica del Tribunal Constitucional desde que se produjo la suspensión de los preceptos impugnados en este conflicto positivo de competencia, se oiga a las partes personadas —abogado del Estado y Gobierno de Canarias— para que, en el plazo de cinco días, expongan lo que consideren conveniente acerca del mantenimiento o levantamiento de dicha suspensión.</w:t>
      </w:r>
    </w:p>
    <w:p w:rsidR="00C54F26" w:rsidRDefault="00C54F26" w:rsidP="00C54F26">
      <w:pPr>
        <w:pStyle w:val="TextoNormal"/>
      </w:pPr>
    </w:p>
    <w:p w:rsidR="00C54F26" w:rsidRDefault="00C54F26" w:rsidP="00C54F26">
      <w:pPr>
        <w:pStyle w:val="TextoNormal"/>
      </w:pPr>
      <w:r w:rsidRPr="00C54F26">
        <w:rPr>
          <w:rStyle w:val="NumeroAFNegritaCaracter"/>
        </w:rPr>
        <w:t>5</w:t>
      </w:r>
      <w:r>
        <w:t>. El abogado del Estado interesó el mantenimiento de la suspensión inicialmente acordada por escrito registrado el 25 de marzo de 2021, en el que, resumidamente, expone lo siguiente.</w:t>
      </w:r>
    </w:p>
    <w:p w:rsidR="00C54F26" w:rsidRDefault="00C54F26" w:rsidP="00C54F26">
      <w:pPr>
        <w:pStyle w:val="TextoNormal"/>
      </w:pPr>
    </w:p>
    <w:p w:rsidR="00C54F26" w:rsidRDefault="00C54F26" w:rsidP="00C54F26">
      <w:pPr>
        <w:pStyle w:val="TextoNormal"/>
      </w:pPr>
      <w:r>
        <w:t>Alude en primer lugar a las disposiciones objeto del presente incidente, así como a la aprobación por la Comunidad Autónoma de Canarias del Decreto 93/2020, de 22 de diciembre, del presidente, por el que se establece un régimen suspensivo y transitorio para el cierre perimetral de la Comunidad Autónoma de Canarias durante el período de suspensión decretado por el Tribunal Constitucional sobre determinados preceptos del Decreto 87/2020.</w:t>
      </w:r>
    </w:p>
    <w:p w:rsidR="00C54F26" w:rsidRDefault="00C54F26" w:rsidP="00C54F26">
      <w:pPr>
        <w:pStyle w:val="TextoNormal"/>
      </w:pPr>
    </w:p>
    <w:p w:rsidR="00C54F26" w:rsidRDefault="00C54F26" w:rsidP="00C54F26">
      <w:pPr>
        <w:pStyle w:val="TextoNormal"/>
      </w:pPr>
      <w:r>
        <w:t xml:space="preserve">Recuerda a continuación la doctrina constitucional reiterada sobre los criterios para la resolución de esta clase de incidentes, cita los AATC 11/2018, de 7 de febrero, y 36/2018, de 21 de marzo, y analiza los perjuicios de imposible o difícil reparación que, a su juicio, derivarían del levantamiento de la suspensión de las disposiciones impugnadas. A tal efecto, recuerda que la disposición adicional sexta del Real Decreto-ley 23/2020, de 23 de junio, disciplina, en ejercicio de la competencia exclusiva del Estado en materia de sanidad, el control sanitario que puede imponerse a los pasajeros internacionales, señalando que corresponde al Ministerio de Sanidad no solo su determinación, sino también su ejecución, lo que se ha concretado en la Resolución de 11 de noviembre de 2020, de la Dirección General de Salud Pública, relativa a los controles sanitarios a realizar en los puntos de entrada de España, desarrollada por otra resolución posterior de 9 de diciembre de 2020. Esta regulación estatal dispone que el control sanitario de los viajeros internacionales consiste en la presentación de una PCR (reacción en cadena de la polimerasa), TMA (amplificación mediada por transcripción) y otras pruebas basadas en técnicas moleculares equivalentes, quedando excluidos los test rápidos de anticuerpos, pruebas rápidas de detección de antígeno o serologías de alto rendimiento. Ese control es solo exigible a los pasajeros procedentes de países con </w:t>
      </w:r>
      <w:r>
        <w:lastRenderedPageBreak/>
        <w:t>alto riesgo epidemiológico de los listados en el anexo II de la resolución de 11 de noviembre de 2020 de la Dirección General de Salud Pública objeto de actualización periódica.</w:t>
      </w:r>
    </w:p>
    <w:p w:rsidR="00C54F26" w:rsidRDefault="00C54F26" w:rsidP="00C54F26">
      <w:pPr>
        <w:pStyle w:val="TextoNormal"/>
      </w:pPr>
    </w:p>
    <w:p w:rsidR="00C54F26" w:rsidRDefault="00C54F26" w:rsidP="00C54F26">
      <w:pPr>
        <w:pStyle w:val="TextoNormal"/>
      </w:pPr>
      <w:r>
        <w:t>Añade que el decreto de Canarias va más allá y permite los “test rápidos de detección de antígenos” y establece este control sanitario a todo pasajero que provenga del extranjero cualquiera que sea el país de origen y excluye de la realización de pruebas diagnósticas en una frontera marítima o aérea cuando se trate de personas que se sometan a controles de admisión en un establecimiento de alojamiento conforme a lo previsto en el Decreto-ley 17/2020, de 29 de octubre. Además el apartado cuarto establece condiciones limitantes a las excepciones al confinamiento perimetral contempladas en el art. 6.1 del Real Decreto 926/2020. En concreto, se prevé que el aislamiento como excepción planteada por el Decreto al confinamiento perimetral, adicional a las previstas en el citado art. 6.19, no sea aplicable en una serie de supuestos, tales como exclusivamente algunas categorías de trabajadores o cuando se vaya a la comunidad autónoma por razones médicas imperativas.</w:t>
      </w:r>
    </w:p>
    <w:p w:rsidR="00C54F26" w:rsidRDefault="00C54F26" w:rsidP="00C54F26">
      <w:pPr>
        <w:pStyle w:val="TextoNormal"/>
      </w:pPr>
    </w:p>
    <w:p w:rsidR="00C54F26" w:rsidRDefault="00C54F26" w:rsidP="00C54F26">
      <w:pPr>
        <w:pStyle w:val="TextoNormal"/>
      </w:pPr>
      <w:r>
        <w:t>Para el abogado del Estado “[r]esulta evidente que estos apartados no solo perjudican el cumplimiento de las medidas aprobadas por el Estado en ejercicio de materia de sanidad exterior, singularmente las incorporadas en la Resolución de 11 de noviembre de 2020 de la Dirección General de Salud Pública sino que impedirían la aplicación de los controles que, con posterioridad a diciembre de 2020 se han ido implantando a la vista de la evolución de la pandemia”. Alude a un informe que adjunta a su escrito, que ha sido elaborado por la Dirección General de Salud Pública del Ministerio de Sanidad, en el que se mencionan determinadas medidas de limitación de los vuelos directos y buques de pasaje entre Reino Unido y los aeropuertos y puertos españoles; y los vuelos entre la República Federativa de Brasil y la República de Sudáfrica y los aeropuertos españoles, así como en relación a las condiciones de cuarentena que han de cumplir las personas que lleguen desde cualquier aeropuerto situado en la República Federativa de Brasil, la República de Sudáfrica, República de Botsuana, Unión de Comoras, República de Ghana, República de Kenia, República de Mozambique, República Unida de Tanzania, República de Zambia, República de Zimbabue, República de Perú y República de Colombia a cualquier aeropuerto situado en el Reino de España, con o sin escalas intermedias. Se alude también a la prórroga de la Orden INT/657/2020, de 17 de julio, por la que se modifican los criterios para la aplicación de una restricción temporal de viajes no imprescindibles desde terceros países a la Unión Europea y países asociados Schengen por razones de orden público y salud pública con motivo de la crisis sanitaria ocasionada por la COVID-19.</w:t>
      </w:r>
    </w:p>
    <w:p w:rsidR="00C54F26" w:rsidRDefault="00C54F26" w:rsidP="00C54F26">
      <w:pPr>
        <w:pStyle w:val="TextoNormal"/>
      </w:pPr>
    </w:p>
    <w:p w:rsidR="00C54F26" w:rsidRDefault="00C54F26" w:rsidP="00C54F26">
      <w:pPr>
        <w:pStyle w:val="TextoNormal"/>
      </w:pPr>
      <w:r>
        <w:t>Para el abogado del Estado, lo anteriormente descrito “permite disponer de los mecanismos más adecuados para la vigilancia y control de los riesgos del COVID-19 derivados del tráfico internacional de viajeros, en sintonía con las acciones que también realizan los países de nuestro entorno”. Por ello, se deben “evitar las inferencias que supone el Decreto 87/2020, de 9 de diciembre, del Gobierno de la comunidad canaria que no solo plantea varios preceptos contrarios al ordenamiento jurídico sino que supondría perjuicios de carácter sanitario derivados de la no realización de los controles por parte de Sanidad Exterior”.</w:t>
      </w:r>
    </w:p>
    <w:p w:rsidR="00C54F26" w:rsidRDefault="00C54F26" w:rsidP="00C54F26">
      <w:pPr>
        <w:pStyle w:val="TextoNormal"/>
      </w:pPr>
    </w:p>
    <w:p w:rsidR="00C54F26" w:rsidRDefault="00C54F26" w:rsidP="00C54F26">
      <w:pPr>
        <w:pStyle w:val="TextoNormal"/>
      </w:pPr>
      <w:r>
        <w:t xml:space="preserve">Además, el abogado del Estado alega que procede la ratificación de la suspensión por entrañar los apartados impugnados del Decreto 87/2020 un bloqueo de la competencia estatal en materia de sanidad exterior </w:t>
      </w:r>
      <w:r w:rsidRPr="00C54F26">
        <w:rPr>
          <w:i/>
        </w:rPr>
        <w:t>ex</w:t>
      </w:r>
      <w:r>
        <w:t xml:space="preserve"> art 149.1.16 CE. Recuerda la doctrina del ATC 56/2020, de 17 de junio, en relación a los supuestos excepcionales en la resolución de este </w:t>
      </w:r>
      <w:r>
        <w:lastRenderedPageBreak/>
        <w:t>tipo de incidentes en los que se produce un bloqueo de las competencias estatales. Para el abogado del Estado esa pretensión de bloqueo de las competencias estatales resulta del apartado octavo.4 del Decreto 87/2020 que declara expresamente el desplazamiento de las medidas adoptadas por el Estado en materia de sanidad exterior y asimismo de su apartado noveno, que contempla tres supuestos de notificación del Decreto, a los servicios de sanidad exterior dependientes de la administración general del Estado localizados en Canarias, a los efectos de que se dé cumplimiento al mismo; a la Delegación del Gobierno en Canarias, a los efectos de recabar la colaboración de las fuerzas y cuerpos de seguridad del Estado para la asistencia a los servicios de sanidad exterior en los controles, así como para la aplicación de las medidas en los controles exteriores, de acuerdo con lo dispuesto en el art. 9.2 de la Ley Orgánica 4/1981, de 1 de junio, y, finalmente, al operador aeroportuario y a los operadores de puertos en Canarias. La finalidad y efecto de estas notificaciones es instar a diferentes órganos de la administración del Estado a la aplicación del contenido del Decreto en perjuicio de las disposiciones en materia de sanidad exterior ordenadas por la autoridad estatal.</w:t>
      </w:r>
    </w:p>
    <w:p w:rsidR="00C54F26" w:rsidRDefault="00C54F26" w:rsidP="00C54F26">
      <w:pPr>
        <w:pStyle w:val="TextoNormal"/>
      </w:pPr>
    </w:p>
    <w:p w:rsidR="00C54F26" w:rsidRDefault="00C54F26" w:rsidP="00C54F26">
      <w:pPr>
        <w:pStyle w:val="TextoNormal"/>
      </w:pPr>
      <w:r>
        <w:t>En esos términos, y sin perjuicio de las diferencias en cuanto al supuesto enjuiciado, entiende el abogado del Estado que nos encontraríamos en el caso del ATC 104/2010, de 28 de julio: una competencia incontrovertida del Estado y una norma autonómica dictada con el propósito confesado de desplazar aquella para evitar que sea menoscabada por el ejercicio por el Estado de sus propias competencias, por lo que resultaría igualmente procedente el mantenimiento de la suspensión acudiendo a este criterio.</w:t>
      </w:r>
    </w:p>
    <w:p w:rsidR="00C54F26" w:rsidRDefault="00C54F26" w:rsidP="00C54F26">
      <w:pPr>
        <w:pStyle w:val="TextoNormal"/>
      </w:pPr>
    </w:p>
    <w:p w:rsidR="00C54F26" w:rsidRDefault="00C54F26" w:rsidP="00C54F26">
      <w:pPr>
        <w:pStyle w:val="TextoNormal"/>
      </w:pPr>
      <w:r w:rsidRPr="00C54F26">
        <w:rPr>
          <w:rStyle w:val="NumeroAFNegritaCaracter"/>
        </w:rPr>
        <w:t>6</w:t>
      </w:r>
      <w:r>
        <w:t>. La representación procesal del Gobierno de Canarias interesó el levantamiento de la suspensión por escrito registrado el día 25 de marzo de 2021.</w:t>
      </w:r>
    </w:p>
    <w:p w:rsidR="00C54F26" w:rsidRDefault="00C54F26" w:rsidP="00C54F26">
      <w:pPr>
        <w:pStyle w:val="TextoNormal"/>
      </w:pPr>
    </w:p>
    <w:p w:rsidR="00C54F26" w:rsidRDefault="00C54F26" w:rsidP="00C54F26">
      <w:pPr>
        <w:pStyle w:val="TextoNormal"/>
      </w:pPr>
      <w:r>
        <w:t>Alude en primer lugar a los antecedentes del caso y a la delimitación del objeto del conflicto positivo de competencia. Al respecto menciona que, en el Decreto 87/2020, Canarias ha optado por un modelo menos restrictivo, evitando el cierre perimetral íntegro, estableciendo, como medida de carácter temporal y extraordinaria, un control sanitario a la entrada en su territorio aplicable a todas las personas, con independencia de que su procedencia sea nacional o de otros países. Se persigue el objetivo de proteger la salud de los residentes, a la vez que se atiende a la realidad económica de la comunidad autónoma, en la que el turismo es la principal fuente de ingresos y de empleo. Añade que todas las entradas en el territorio autonómico se han de producir necesariamente a través de la vía marítima o área, puertos y aeropuertos en los que la comunidad no ostenta competencias por corresponder al Estado, y en cuyos puntos de acceso se asientan a estos efectos los controles de sanidad exterior, sin que la comunidad autónoma tenga permitido enviar personal propio para el desarrollo de las funciones de control de entrada en su territorio. Motivo por el cual otorgar la posibilidad de restricción de la entrada sin posibilidad de controlar el cumplimiento de la citada restricción supondría, sin poder contar con la colaboración de sanidad exterior y las fuerzas y cuerpos de seguridad del Estado para el caso que fuese necesario, darle una potestad en su condición de autoridad delegada en el estado de alarma vacía de contenido. Menciona también el Decreto 93/2020, de 22 de diciembre, por el que se establece un régimen suspensivo y transitorio para el cierre perimetral de la Comunidad Autónoma de Canarias durante el período de suspensión decretado por el Tribunal Constitucional sobre determinados apartados del Decreto 87/2020.</w:t>
      </w:r>
    </w:p>
    <w:p w:rsidR="00C54F26" w:rsidRDefault="00C54F26" w:rsidP="00C54F26">
      <w:pPr>
        <w:pStyle w:val="TextoNormal"/>
      </w:pPr>
    </w:p>
    <w:p w:rsidR="00C54F26" w:rsidRDefault="00C54F26" w:rsidP="00C54F26">
      <w:pPr>
        <w:pStyle w:val="TextoNormal"/>
      </w:pPr>
      <w:r>
        <w:lastRenderedPageBreak/>
        <w:t>Hace referencia a continuación a los criterios que se derivan de la doctrina constitucional respecto a la resolución de este tipo de incidentes y aborda la ponderación de los perjuicios estimando procedente el levantamiento de la suspensión.</w:t>
      </w:r>
    </w:p>
    <w:p w:rsidR="00C54F26" w:rsidRDefault="00C54F26" w:rsidP="00C54F26">
      <w:pPr>
        <w:pStyle w:val="TextoNormal"/>
      </w:pPr>
    </w:p>
    <w:p w:rsidR="00C54F26" w:rsidRDefault="00C54F26" w:rsidP="00C54F26">
      <w:pPr>
        <w:pStyle w:val="TextoNormal"/>
      </w:pPr>
      <w:r>
        <w:t>Indica que el Decreto 87/2020 es una disposición dictada por el presidente de la comunidad autónoma que, en su condición de autoridad delegada competente del estado de alarma, establece el cierre perimetral de la comunidad autónoma, limitación de entrada que se modula en el apartado dos, el cual viene a establecer la sustitución de la restricción de entrada por el control sanitario, control que se desarrolla en el apartado tercero y que se aplica preferentemente al establecido por el Estado y para cuya aplicación se requiere la colaboración de los servicios de sanidad exterior y de las fuerzas y cuerpos de seguridad del Estado. Según la letrada autonómica dichas previsiones “no han menoscabado ni perjudicado el pacífico ejercicio por la administración del Estado en la Comunidad Autónoma de sus competencias propias, no generando perjuicio alguno para el interés general y menos de carácter irreversible, pues se trata de medidas que resultan menos limitativas que la restricción de entrada en el territorio insular al permitir la entrada y la libre circulación de las personas sin atender solo a las excepciones basadas en motivos justificados del desplazamiento, sino dando la posibilidad a las personas que deseen entrar en el territorio autonómico y en las que no concurran los motivos justificados a que puedan hacerlo con tal que se sometan a un control sanitario y articulando cómo se desarrolla dicho control sanitario”.</w:t>
      </w:r>
    </w:p>
    <w:p w:rsidR="00C54F26" w:rsidRDefault="00C54F26" w:rsidP="00C54F26">
      <w:pPr>
        <w:pStyle w:val="TextoNormal"/>
      </w:pPr>
    </w:p>
    <w:p w:rsidR="00C54F26" w:rsidRDefault="00C54F26" w:rsidP="00C54F26">
      <w:pPr>
        <w:pStyle w:val="TextoNormal"/>
      </w:pPr>
      <w:r>
        <w:t xml:space="preserve">Respecto a la previsión contenida en el apartado octavo.4, relativa a la preferencia de la aplicación de las medidas contenidas en el Decreto 87/2020 sobre las establecidas en la resolución de 11 de noviembre de 2020 de la Dirección General de Salud Pública, sostiene que se declara “a los solos efectos de ampliar el ámbito subjetivo establecido en la misma al extender el Decreto territorial el control sanitario no solo a los pasajeros de vuelos internacionales, sino también a los procedentes de vuelos nacionales”. En cuanto a la admisión de la prueba de los test rápidos de antígenos, contemplada en el apartado b) del anexo, señala que “aun sin estar en consonancia con las previsiones contenidas en aquel momento con la resolución estatal citada, que en ese momento solo admitía la prueba PCR (RT-PCR de Covid-19) no se menoscaba el interés general y menos con carácter irreversible, ni se violenta el pacífico ejercicio de las competencias estatales”. Considera que la resolución estatal viene a ser aplicación de la recomendación (UE) 2020/1052 del Consejo de la Unión Europea y la propia resolución estatal vincula el uso de los test rápidos de detección de antígenos a que sea aceptado su uso armonizado en la Unión Europea. Señala que la citada recomendación se ha modificado por la recomendación (UE) 2021/119, de 1 de febrero, que permite estas pruebas rápidas de antígenos, según determinen las autoridades sanitarias nacionales. De esta modificación, la letrada del Gobierno de Canarias deduce que la “aceptación de su uso armonizado en la Unión Europea” implica que “se ha producido la condición suspensiva a la que somete la Resolución de 11 de noviembre la admisión de las pruebas de los test de antígenos y con ello se ha producido una modificación legal sobrevenida que otorga cobertura legal suficiente a la inclusión de la prueba de test de antígenos incluida en el anexo suspendido cuyo levantamiento de suspensión no conllevaría perjuicio alguno al interés general ni al orden de reparto constitucional de competencias al tener perfecta cobertura legal europea y estatal”. Indica también que dichos test de antígenos están, de hecho, siendo utilizados para lo que alude al procedimiento de control sanitario a la llegada de pasajeros a España por vía aérea, que adjunta, dispuesto en el marco del convenio entre el Ministerio de Sanidad y Aeropuertos Españoles y Navegación Aérea (AENA). Por ello, entiende que </w:t>
      </w:r>
      <w:r>
        <w:lastRenderedPageBreak/>
        <w:t>“el levantamiento de la suspensión de la eficacia del anexo del Decreto territorial controvertido no conllevaría perjuicio alguno al interés general, así como que tampoco alteraría el orden competencial, al ser acorde con lo que supone la práctica diaria del quehacer de sanidad exterior en los aeropuertos españoles al permitir, tras la realización de dicha prueba de test de antígenos con resultado negativo, la entrada en España de los viajeros procedentes de vuelos internacionales sin otros condicionantes, así como que es acorde con las recomendaciones de la Unión Europea”.</w:t>
      </w:r>
    </w:p>
    <w:p w:rsidR="00C54F26" w:rsidRDefault="00C54F26" w:rsidP="00C54F26">
      <w:pPr>
        <w:pStyle w:val="TextoNormal"/>
      </w:pPr>
    </w:p>
    <w:p w:rsidR="00C54F26" w:rsidRDefault="00C54F26" w:rsidP="00C54F26">
      <w:pPr>
        <w:pStyle w:val="TextoNormal"/>
      </w:pPr>
      <w:r>
        <w:t>Por lo que respecta a las exclusiones contenidas en el apartado cuarto, estima que el levantamiento de su suspensión tampoco produciría perjuicios al interés general, en cuanto que “recoge, respecto de la limitación a la entrada, con idéntica literalidad a la establecida en el artículo 6 del Real Decreto estatal, los motivos para los que se excepciona la restricción de entrada. Por tanto, la limitación de entrada no opera para tales motivos, por lo que no es en ningún caso más restrictivo que lo establecido por la norma estatal, sino totalmente respetuoso con el mismo”. Sobre las exclusiones del apartado tercero alega que la no aplicación del aislamiento a determinados colectivos de personas, cuando la urgencia del desplazamiento impida su realización, es plenamente acorde con las recomendaciones de la Unión Europea “por lo que el levantamiento de su suspensión en nada afectaría al interés general, al no menoscabar ni limitar los derechos de las personas a los desplazamientos por los motivos tasados establecidos en la norma estatal y en la disposición autonómica”. En cuanto al levantamiento de la suspensión relativa al apartado noveno, por el que se dispone notificar a sanidad exterior, así como a la Delegación del Gobierno a efectos de recabar la colaboración de las fuerzas y cuerpos de seguridad del Estado para la asistencia a los servicios de sanidad exterior en los controles, así como para la aplicación de las medidas en esos controles, se entiende que su levantamiento tampoco afectaría al interés general, ni repercutiría en un menoscabo de las competencias estatales, en cuanto manifestación de los principios de colaboración interadministrativa.</w:t>
      </w:r>
    </w:p>
    <w:p w:rsidR="00C54F26" w:rsidRDefault="00C54F26" w:rsidP="00C54F26">
      <w:pPr>
        <w:pStyle w:val="TextoNormal"/>
      </w:pPr>
    </w:p>
    <w:p w:rsidR="00C54F26" w:rsidRDefault="00C54F26" w:rsidP="00C54F26">
      <w:pPr>
        <w:pStyle w:val="TextoNormal"/>
      </w:pPr>
      <w:r>
        <w:t>Por último, defiende que el mantenimiento de la suspensión provocaría perjuicios de carácter irreversible y no reparable al suspender la efectividad del cierre perimetral de Canarias, con el que se pretende la salvaguarda de la salud pública, la vida y la integridad física de las personas que residen en Canarias conjugándola con la preservación de la actividad económica de la región, basada en la actividad turística. Según el escrito del Gobierno Canario “[d]icho cierre perimetral en Canarias, permitiendo solo la entrada en nuestro territorio a las personas que se desplazaren por los motivos de entrada tasados establecidos en el marco del estado de alarma, supondría provocar en Canarias una situación de aislamiento que hundiría al archipiélago canario y a sus gentes”.</w:t>
      </w:r>
    </w:p>
    <w:p w:rsidR="00C54F26" w:rsidRDefault="00C54F26" w:rsidP="00C54F26">
      <w:pPr>
        <w:pStyle w:val="TextoNormal"/>
      </w:pPr>
    </w:p>
    <w:p w:rsidR="00C54F26" w:rsidRDefault="00C54F26" w:rsidP="00C54F26">
      <w:pPr>
        <w:pStyle w:val="TextoNormal"/>
      </w:pPr>
      <w:r>
        <w:t>Finalmente se señala que, de mantenerse la suspensión, se encarecerá el coste del desplazamiento a Canarias por el elevado coste de las pruebas PCR frente a las de antígenos, dificultándose también los desplazamientos de las personas interesadas por la falta de laboratorios disponibles para realizar las pruebas PCR, así como que la admisión de la prueba PCR como única prueba válida para poder entrar en la Comunidad Autónoma de Canarias ha tenido como resultado un aumento del gasto público para costear los cribados que se han establecido como medida de salud pública para entrar en el territorio autonómico.</w:t>
      </w:r>
    </w:p>
    <w:p w:rsidR="00C54F26" w:rsidRDefault="00C54F26" w:rsidP="00C54F26">
      <w:pPr>
        <w:pStyle w:val="TextoNormal"/>
      </w:pPr>
    </w:p>
    <w:p w:rsidR="00C54F26" w:rsidRDefault="00C54F26" w:rsidP="00C54F26">
      <w:pPr>
        <w:pStyle w:val="TextoNormalNegritaCentrado"/>
        <w:keepNext/>
      </w:pPr>
      <w:r>
        <w:lastRenderedPageBreak/>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la presente resolución consiste en determinar si procede levantar o mantener la suspensión de la vigencia de los apartados segundo, tercero, cuarto, octavo.4, noveno y anexo del Decreto 87/2020, de 9 de diciembre, del presidente de la Comunidad Autónoma de Canarias, por el que se establece el cierre perimetral de la Comunidad Autónoma de Canarias, en aplicación del Real Decreto 926/2020, de 25 de octubre, por el que se declara el estado de alarma, para contener la propagación de infecciones causadas por el SARS-CoV-2.</w:t>
      </w:r>
    </w:p>
    <w:p w:rsidR="00C54F26" w:rsidRDefault="00C54F26" w:rsidP="00C54F26">
      <w:pPr>
        <w:pStyle w:val="TextoNormal"/>
      </w:pPr>
    </w:p>
    <w:p w:rsidR="00C54F26" w:rsidRDefault="00C54F26" w:rsidP="00C54F26">
      <w:pPr>
        <w:pStyle w:val="TextoNormal"/>
      </w:pPr>
      <w:r>
        <w:t>La vigencia y aplicación de los preceptos impugnados fue suspendida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 como consecuencia de la invocación del art. 161.2 CE y 64.2 de la Ley Orgánica del Tribunal Constitucional, al promoverse el conflicto de competencia por el Gobierno de la Nación.</w:t>
      </w:r>
    </w:p>
    <w:p w:rsidR="00C54F26" w:rsidRDefault="00C54F26" w:rsidP="00C54F26">
      <w:pPr>
        <w:pStyle w:val="TextoNormal"/>
      </w:pPr>
    </w:p>
    <w:p w:rsidR="00C54F26" w:rsidRDefault="00C54F26" w:rsidP="00C54F26">
      <w:pPr>
        <w:pStyle w:val="TextoNormal"/>
      </w:pPr>
      <w:r>
        <w:t xml:space="preserve">En su parte dispositiva, la norma autonómica restringe la entrada de personas en el territorio de la Comunidad Autónoma de Canarias salvo para aquellos desplazamientos, adecuadamente justificados, que se produzcan por alguno de los motivos previstos en el apartado primero, si bien, tal restricción, según el apartado segundo, no será aplicable a aquellos pasajeros que se sometan al control sanitario señalado en el apartado tercero, consistente en a) suscripción de una declaración responsable; b) control de sintomatología y c) prueba diagnóstica de infección activa y/o aislamiento, régimen del que se excepciona a las personas que se sometan a controles de admisión en un establecimiento alojativo conforme a lo previsto en el Decreto-ley 17/2020, de 29 de octubre. La prueba diagnóstica de infección activa, de acuerdo con el último párrafo del punto 4 del apartado tercero, “será la señalada en el anexo del presente Decreto”. El apartado cuarto añade que el aislamiento dispuesto en el apartado tercero.4 b), no será aplicable —en los supuestos tasados que enumera— a las personas que opten por esta modalidad de control sanitario cuando la urgencia del desplazamiento impida la realización del mismo. El punto 4 del apartado octavo, dispone que “las medidas establecidas en el presente decreto tienen aplicación preferente con respecto a las establecidas en la Resolución de 11 de noviembre de 2020, de la Dirección General de Salud Pública, relativa a los controles sanitarios a realizar en los puntos de entrada de España, mientras dure el estado de alarma”; y el apartado noveno, bajo la rúbrica “notificación”, ordena que esta se practique a los servicios de sanidad exterior dependientes de la administración general del Estado localizados en Canarias, a la Delegación del Gobierno en Canarias, a los efectos de recabar la colaboración de las fuerzas y cuerpos de seguridad del Estado para la asistencia a los servicios de sanidad exterior en los controles, así como para la aplicación de las medidas en los controles exteriores, de acuerdo con lo dispuesto en el art. 9.2 de la Ley Orgánica 4/1981 de 1 de junio, de los estados de alarma, excepción y sitio; y al operador aeroportuario y a los operadores de puertos en Canarias. Por último, el anexo dispone que son “pruebas de diagnóstico de infección activa por SARS-CoV-2 admitidas: a) PCR (RT-PCR de COVID-19); b) Test rápidos de detección de antígenos de SARS-CoV-2 con una especificidad de más del 97 por 100 y una sensibilidad de más del 80 por 100, de </w:t>
      </w:r>
      <w:r>
        <w:lastRenderedPageBreak/>
        <w:t>acuerdo con la homologación correspondiente de un país de la Unión Europea o del espacio económico europeo”.</w:t>
      </w:r>
    </w:p>
    <w:p w:rsidR="00C54F26" w:rsidRDefault="00C54F26" w:rsidP="00C54F26">
      <w:pPr>
        <w:pStyle w:val="TextoNormal"/>
      </w:pPr>
    </w:p>
    <w:p w:rsidR="00C54F26" w:rsidRDefault="00C54F26" w:rsidP="00C54F26">
      <w:pPr>
        <w:pStyle w:val="TextoNormal"/>
      </w:pPr>
      <w:r>
        <w:t>La impugnación tiene un fundamento competencial, por cuanto entiende el recurrente que las disposiciones impugnadas vulneran la competencia exclusiva del Estado en materia de sanidad exterior art. 149.1.16 CE, al alterar el régimen de control sanitario que, para los pasajeros internacionales que lleguen a España por vía aérea o marítima, ha sido dispuesto por el Estado.</w:t>
      </w:r>
    </w:p>
    <w:p w:rsidR="00C54F26" w:rsidRDefault="00C54F26" w:rsidP="00C54F26">
      <w:pPr>
        <w:pStyle w:val="TextoNormal"/>
      </w:pPr>
    </w:p>
    <w:p w:rsidR="00C54F26" w:rsidRDefault="00C54F26" w:rsidP="00C54F26">
      <w:pPr>
        <w:pStyle w:val="TextoNormal"/>
      </w:pPr>
      <w:r w:rsidRPr="00C54F26">
        <w:rPr>
          <w:rStyle w:val="NumeroAFNegritaCaracter"/>
        </w:rPr>
        <w:t>2</w:t>
      </w:r>
      <w:r>
        <w:t>. Como ha quedado recogido en los antecedentes, el abogado del Estado ha interesado el mantenimiento de la suspensión, argumentando, en primer lugar, los perjuicios de imposible o difícil reparación que el alzamiento provocaría, por cuanto se ocasionarían interferencias en las decisiones que, en materia de control sanitario de la pandemia, sean adoptadas por el Estado, y supondría perjuicios de carácter sanitario derivados de la no realización de los controles por parte de los servicios estatales de sanidad exterior. Considera también que debería mantenerse la suspensión, en aplicación del criterio del ATC 104/2010, de 28 de julio, FJ 4, por entender que se trata de una competencia incontrovertida del Estado y una norma autonómica dictada con el propósito confesado de evitar que sea menoscabada por el ejercicio por el Estado de sus propias competencias.</w:t>
      </w:r>
    </w:p>
    <w:p w:rsidR="00C54F26" w:rsidRDefault="00C54F26" w:rsidP="00C54F26">
      <w:pPr>
        <w:pStyle w:val="TextoNormal"/>
      </w:pPr>
    </w:p>
    <w:p w:rsidR="00C54F26" w:rsidRDefault="00C54F26" w:rsidP="00C54F26">
      <w:pPr>
        <w:pStyle w:val="TextoNormal"/>
      </w:pPr>
      <w:r>
        <w:t>Por su parte, la representación procesal del Gobierno de Canarias ha sostenido, en los términos que han quedado recogidos en los antecedentes, que el levantamiento de la suspensión no origina perjuicio para el interés general, mientras que el mantenimiento de la suspensión provocaría perjuicios de carácter irreversible y no reparable al suspender la efectividad del cierre perimetral impuesto por el Decreto 87/2020 y generar tanto dificultades a los particulares en los desplazamientos a esa comunidad autónoma como un incremento de gasto público.</w:t>
      </w:r>
    </w:p>
    <w:p w:rsidR="00C54F26" w:rsidRDefault="00C54F26" w:rsidP="00C54F26">
      <w:pPr>
        <w:pStyle w:val="TextoNormal"/>
      </w:pPr>
    </w:p>
    <w:p w:rsidR="00C54F26" w:rsidRDefault="00C54F26" w:rsidP="00C54F26">
      <w:pPr>
        <w:pStyle w:val="TextoNormal"/>
      </w:pPr>
      <w:r w:rsidRPr="00C54F26">
        <w:rPr>
          <w:rStyle w:val="NumeroAFNegritaCaracter"/>
        </w:rPr>
        <w:t>3</w:t>
      </w:r>
      <w:r>
        <w:t>. A fin de abordar el examen de las alegaciones formuladas por la abogacía del Estado a favor de mantener la suspensión de la vigencia y aplicación de las disposiciones impugnadas, así como de las de la representación procesal del Gobierno de Canarias postulando su levantamiento, es preciso hacer una referencia previa al régimen de controles sanitarios que, para la entrada en Canarias de viajeros procedentes de fuera del territorio nacional, resulta de las normas estatales y autonómicas que se refieren a esta cuestión.</w:t>
      </w:r>
    </w:p>
    <w:p w:rsidR="00C54F26" w:rsidRDefault="00C54F26" w:rsidP="00C54F26">
      <w:pPr>
        <w:pStyle w:val="TextoNormal"/>
      </w:pPr>
    </w:p>
    <w:p w:rsidR="00C54F26" w:rsidRDefault="00C54F26" w:rsidP="00C54F26">
      <w:pPr>
        <w:pStyle w:val="TextoNormal"/>
      </w:pPr>
      <w:r>
        <w:t>No se ha discutido en el proceso, quedando fuera del objeto del presente incidente, el régimen exigible a los pasajeros que entren en Canarias procedentes del resto del territorio nacional, determinado actualmente en la Orden de 26 de febrero de 2021, del consejero de Sanidad, por la que se prorroga la Orden de 14 de diciembre de 2020, por la que se dispone la realización de cribados mediante pruebas diagnósticas de infección activa a los pasajeros y pasajeras que entren en el territorio de la Comunidad Autónoma de Canarias procedentes del resto del territorio nacional, por vía aérea o marítima, para contener la propagación de infecciones causadas por el SARS-CoV-2.</w:t>
      </w:r>
    </w:p>
    <w:p w:rsidR="00C54F26" w:rsidRDefault="00C54F26" w:rsidP="00C54F26">
      <w:pPr>
        <w:pStyle w:val="TextoNormal"/>
      </w:pPr>
    </w:p>
    <w:p w:rsidR="00C54F26" w:rsidRDefault="00C54F26" w:rsidP="00C54F26">
      <w:pPr>
        <w:pStyle w:val="TextoNormal"/>
      </w:pPr>
      <w:r>
        <w:t xml:space="preserve">En cuanto a las normas estatales, el Real Decreto-ley 23/2020, de 23 de junio, por el que se aprueban medidas en materia de energía y en otros ámbitos para la reactivación económica, contempla en su disposición adicional sexta que el Ministerio de Sanidad determinará los controles sanitarios necesarios a los que deben someterse los pasajeros que lleguen a </w:t>
      </w:r>
      <w:r>
        <w:lastRenderedPageBreak/>
        <w:t>España por vía aérea o marítima y el alcance de dichos controles, siendo el responsable de su ejecución. Dichos controles sanitarios podrán incluir la toma de la temperatura, un control documental y un control visual sobre el estado del pasajero. De conformidad con esta norma, y siguiendo la recomendación (UE) 2020/1475, de 13 de octubre de 2020, sobre un enfoque coordinado de la restricción de la libre circulación en respuesta a la pandemia de COVID-19, del Consejo de la Unión Europea, este régimen de control sanitario, que no se aplica a viajeros que lleguen a Canarias procedentes del resto del territorio nacional, se ha desarrollado por la Resolución de 11 de noviembre de 2020, de la Dirección General de Salud Pública, relativa a los controles sanitarios a realizar en los puntos de entrada de España. En el apartado cuarto de dicha resolución se exige que los pasajeros que lleguen a España procedentes de los países o las zonas de riesgo contemplados en su anexo II, listado que se actualiza quincenalmente en función de la evolución de la pandemia en los términos del apartado octavo, dispongan del resultado negativo de una prueba diagnóstica de infección activa de COVID-19, realizada en las setenta y dos horas previas a la llegada a España. La posterior Resolución de 9 de diciembre de 2020, de la Dirección General de Salud Pública, especifica las modalidades de pruebas diagnósticas de infección activa para SARS-CoV-2 en relación con los controles sanitarios a realizar en los puntos de entrada de España, fijando como modalidades admitidas la prueba PCR (RT-PCR), la TMA y otras pruebas basadas en técnicas moleculares equivalentes, quedando excluidos los test rápidos de anticuerpos, pruebas rápidas de detección de antígenos o serologías de alto rendimiento.</w:t>
      </w:r>
    </w:p>
    <w:p w:rsidR="00C54F26" w:rsidRDefault="00C54F26" w:rsidP="00C54F26">
      <w:pPr>
        <w:pStyle w:val="TextoNormal"/>
      </w:pPr>
    </w:p>
    <w:p w:rsidR="00C54F26" w:rsidRDefault="00C54F26" w:rsidP="00C54F26">
      <w:pPr>
        <w:pStyle w:val="TextoNormal"/>
      </w:pPr>
      <w:r>
        <w:t>En el caso de Canarias, el anexo I del Acuerdo del Gobierno de Canarias de 18 de marzo de 2021 por el que se aprueba la actualización de las medidas de prevención establecidas mediante Acuerdo del Gobierno de 19 de junio de 2020, para hacer frente a la crisis sanitaria ocasionada por el COVID-19, una vez superada la fase III del plan para la transición hacia una nueva normalidad, finalizada la vigencia de las medidas propias del estado de alarma, y se aprueban medidas específicas y temporales, en el ámbito de la Comunidad Autónoma de Canarias, con motivo de la Semana Santa de 2021 (“Boletín Oficial de Canarias”, núm. 57, del 20 de marzo de 2021), dispone, en su apartado 5 “Control de pasajeros en puertos y aeropuertos” que “[p]odrá realizarse control de temperatura así como otro tipo de medida sanitaria, a la llegada o a la salida, según se trate de viajes procedentes de aeropuertos o puertos nacionales e interinsulares al ámbito territorial de la Comunidad Autónoma de Canarias. En relación a los controles sanitarios a realizar en los puntos de entrada de España, se seguirán las prescripciones establecidas en las Resoluciones de 11 y 20 de noviembre, 9 y 17 de diciembre de 2020, de la Dirección General de Salud Pública, Calidad e Innovación y la Dirección de la Agencia Estatal de Seguridad Aérea, relativa a los controles sanitarios a realizar en los puntos de entrada de España, o normas que las sustituyan”.</w:t>
      </w:r>
    </w:p>
    <w:p w:rsidR="00C54F26" w:rsidRDefault="00C54F26" w:rsidP="00C54F26">
      <w:pPr>
        <w:pStyle w:val="TextoNormal"/>
      </w:pPr>
    </w:p>
    <w:p w:rsidR="00C54F26" w:rsidRDefault="00C54F26" w:rsidP="00C54F26">
      <w:pPr>
        <w:pStyle w:val="TextoNormal"/>
      </w:pPr>
      <w:r>
        <w:t xml:space="preserve">En relación con esta cuestión, el Decreto 87/2020, algunos de cuyos preceptos son el objeto de la presente resolución, fijaba el régimen que se ha expuesto en el fundamento jurídico anterior, régimen al que se aplica ahora el Decreto 93/2020, de 22 de diciembre, del presidente del Gobierno de Canarias, por el que se establece un régimen suspensivo y transitorio para el cierre perimetral de la Comunidad Autónoma de Canarias durante el período de suspensión decretado por el Tribunal Constitucional sobre determinados preceptos del Decreto 87/2020. Conforme al apartado primero de este Decreto 93/2020, “[e]n tanto no se levante por el Tribunal Constitucional la suspensión de los apartados segundo, tercero, cuarto, octavo punto 4, noveno y anexo del Decreto 87/2020, de 9 de diciembre, del presidente de Canarias, tales disposiciones no estarán vigentes ni serán de aplicación en lo que </w:t>
      </w:r>
      <w:r>
        <w:lastRenderedPageBreak/>
        <w:t>se refiere a los pasajeros provenientes de otro Estado”; también se resuelve que “[l]as restantes disposiciones del mencionado Decreto 87/2020, no suspendidas por el Tribunal Constitucional, quedan igualmente suspendidas en su vigencia y aplicación en tanto no se levante la suspensión del Tribunal Constitucional sobre el resto de preceptos mencionada [</w:t>
      </w:r>
      <w:r w:rsidRPr="00C54F26">
        <w:rPr>
          <w:i/>
        </w:rPr>
        <w:t>sic</w:t>
      </w:r>
      <w:r>
        <w:t>], se proceda a su modificación o sustitución” así como que “[e]l control sanitario aplicable a los pasajeros procedentes del extranjero, en los puntos de entrada al territorio español situados en el ámbito territorial de la Comunidad Autónoma de Canarias, se practicará por los servicios competentes con arreglo a lo dispuesto en la Resolución de la Dirección General de Salud Pública de 11 de noviembre de 2020, relativa a los controles sanitarios a realizar en los puntos de entrada de España, en su redacción dada por la Resolución de 9 de diciembre de 2020, u otra disposición o acto que modifique o altere”.</w:t>
      </w:r>
    </w:p>
    <w:p w:rsidR="00C54F26" w:rsidRDefault="00C54F26" w:rsidP="00C54F26">
      <w:pPr>
        <w:pStyle w:val="TextoNormal"/>
      </w:pPr>
    </w:p>
    <w:p w:rsidR="00C54F26" w:rsidRDefault="00C54F26" w:rsidP="00C54F26">
      <w:pPr>
        <w:pStyle w:val="TextoNormal"/>
      </w:pPr>
      <w:r>
        <w:t>Finalmente, debe mencionarse el Decreto-ley de Canarias 17/2020, de 29 de octubre, de medidas extraordinarias en materia turística para afrontar los efectos de la crisis sanitaria y económica producida por la pandemia ocasionada por la COVID-19, cuyo artículo único.1 prescribe que “[p]ara acceder a los establecimientos turísticos de alojamiento de Canarias será preciso que los usuarios turísticos mayores de seis años, que no provengan del territorio de la Comunidad Autónoma de Canarias demuestren la realización, en el plazo máximo de las setenta y dos horas previas a su llegada, del test de diagnóstico de infección activa que establezcan las autoridades sanitarias y que acredite que el usuario turístico no ha dado positivo como transmisor de la COVID-19”, tales test de diagnóstico de infección activa válidos, a los efectos de acreditar a los usuarios turísticos como negativos como transmisores de la COVID-19, la PCR (RT-PCR de COVID-19) y los test rápidos de detección de antígenos (acuerdo del Gobierno de Canarias de 12 de noviembre de 2020, “Boletín Oficial de Canarias”, núm. 233, de 13 de noviembre de 2020).</w:t>
      </w:r>
    </w:p>
    <w:p w:rsidR="00C54F26" w:rsidRDefault="00C54F26" w:rsidP="00C54F26">
      <w:pPr>
        <w:pStyle w:val="TextoNormal"/>
      </w:pPr>
    </w:p>
    <w:p w:rsidR="00C54F26" w:rsidRDefault="00C54F26" w:rsidP="00C54F26">
      <w:pPr>
        <w:pStyle w:val="TextoNormal"/>
      </w:pPr>
      <w:r w:rsidRPr="00C54F26">
        <w:rPr>
          <w:rStyle w:val="NumeroAFNegritaCaracter"/>
        </w:rPr>
        <w:t>4</w:t>
      </w:r>
      <w:r>
        <w:t>. Procede ahora hacer referencia a la consolidada doctrina constitucional sobre la naturaleza de este incidente cautelar y los parámetros a los que debe ajustarse su resolución, (por todos, ATC 56/2020, de 17 de junio, FJ 4).</w:t>
      </w:r>
    </w:p>
    <w:p w:rsidR="00C54F26" w:rsidRDefault="00C54F26" w:rsidP="00C54F26">
      <w:pPr>
        <w:pStyle w:val="TextoNormal"/>
      </w:pPr>
    </w:p>
    <w:p w:rsidR="00C54F26" w:rsidRDefault="00C54F26" w:rsidP="00C54F26">
      <w:pPr>
        <w:pStyle w:val="TextoNormal"/>
      </w:pPr>
      <w:r>
        <w:t>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00C54F26" w:rsidRDefault="00C54F26" w:rsidP="00C54F26">
      <w:pPr>
        <w:pStyle w:val="TextoNormal"/>
      </w:pPr>
    </w:p>
    <w:p w:rsidR="00C54F26" w:rsidRDefault="00C54F26" w:rsidP="00C54F26">
      <w:pPr>
        <w:pStyle w:val="TextoNormal"/>
      </w:pPr>
      <w:r>
        <w:t>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rsidR="00C54F26" w:rsidRDefault="00C54F26" w:rsidP="00C54F26">
      <w:pPr>
        <w:pStyle w:val="TextoNormal"/>
      </w:pPr>
    </w:p>
    <w:p w:rsidR="00C54F26" w:rsidRDefault="00C54F26" w:rsidP="00C54F26">
      <w:pPr>
        <w:pStyle w:val="TextoNormal"/>
      </w:pPr>
      <w:r>
        <w:lastRenderedPageBreak/>
        <w:t>c) En cuanto a los criterios para sustanciar este tipo de incidentes, el ATC 157/2016, de 20 de septiembre, FJ 3, sintetizó nuestra doctrina señalando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C54F26" w:rsidRDefault="00C54F26" w:rsidP="00C54F26">
      <w:pPr>
        <w:pStyle w:val="TextoNormal"/>
      </w:pPr>
    </w:p>
    <w:p w:rsidR="00C54F26" w:rsidRDefault="00C54F26" w:rsidP="00C54F26">
      <w:pPr>
        <w:pStyle w:val="TextoNormal"/>
      </w:pPr>
      <w:r>
        <w:t>d) No obstante, este tribunal también ha admitido que el mantenimiento de la suspensión se pueda acordar excepcionalmente con arreglo a otros criterios o consideraciones, sin entrar a valorar los perjuicios de imposible o difícil reparación que ello generaría.</w:t>
      </w:r>
    </w:p>
    <w:p w:rsidR="00C54F26" w:rsidRDefault="00C54F26" w:rsidP="00C54F26">
      <w:pPr>
        <w:pStyle w:val="TextoNormal"/>
      </w:pPr>
    </w:p>
    <w:p w:rsidR="00C54F26" w:rsidRDefault="00C54F26" w:rsidP="00C54F26">
      <w:pPr>
        <w:pStyle w:val="TextoNormal"/>
      </w:pPr>
      <w:r>
        <w:t xml:space="preserve">Uno de esos criterios excepcionales es el criterio del </w:t>
      </w:r>
      <w:r w:rsidRPr="00C54F26">
        <w:rPr>
          <w:i/>
        </w:rPr>
        <w:t>fumus boni iuris</w:t>
      </w:r>
      <w:r>
        <w:t>, que resulta aplicable cuando los preceptos impugnados sobre los que versa el incidente de suspensión contienen previsiones muy similares, como una “similitud intensa o coincidencia literal” con otras normas ya declaradas inconstitucionales y nulas por sentencia de este tribunal ( así, AATC 78/1987, de 22 de enero, FJ 2; 183/2011, de 14 de diciembre, FJ 4; 182/2015, de 3 de noviembre, FJ 6; 41/2016, de 16 de febrero, FFJJ 2 y 3, y 171/2016, de 6 de octubre, FJ 3).</w:t>
      </w:r>
    </w:p>
    <w:p w:rsidR="00C54F26" w:rsidRDefault="00C54F26" w:rsidP="00C54F26">
      <w:pPr>
        <w:pStyle w:val="TextoNormal"/>
      </w:pPr>
    </w:p>
    <w:p w:rsidR="00C54F26" w:rsidRDefault="00C54F26" w:rsidP="00C54F26">
      <w:pPr>
        <w:pStyle w:val="TextoNormal"/>
      </w:pPr>
      <w:r>
        <w:t>Otro de los supuestos excepcionales es el bloqueo de competencias estatales. Según se recuerda en el ATC 63/2015, de 17 de marzo,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00C54F26" w:rsidRDefault="00C54F26" w:rsidP="00C54F26">
      <w:pPr>
        <w:pStyle w:val="TextoNormal"/>
      </w:pPr>
    </w:p>
    <w:p w:rsidR="00C54F26" w:rsidRDefault="00C54F26" w:rsidP="00C54F26">
      <w:pPr>
        <w:pStyle w:val="TextoNormal"/>
      </w:pPr>
      <w:r>
        <w:t>Finalmente, en alguna ocasión este tribunal ha declarado el mantenimiento de la suspensión de determinadas disposiciones porque se suscitaban cuestiones de gran relieve constitucional. Lo ha hecho muy excepcionalmente cuando el asunto que origina el incidente cautelar excede de las situaciones normales de controversia competencial. Tal fue el caso del ATC 156/2013, de 11 de julio, sobre la suspensión de la resolución 5/X, de 23 de enero, del Parlamento de Cataluña, por la que se aprueba la declaración de soberanía y del derecho a decidir del pueblo de Cataluña y en los AATC 182/2015 y 186/2015, de 3 de noviembre, referidos, respectivamente, a determinadas disposiciones adicionales de la Ley del Parlamento de Cataluña 3/2015, de 11 de marzo, de medidas fiscales, financieras y administrati</w:t>
      </w:r>
      <w:r>
        <w:lastRenderedPageBreak/>
        <w:t>vas, que prevén la creación de estructuras para la eventual asunción de competencias estatales, y al Decreto de la Generalitat de Cataluña 16/2015, de 24 de febrero, por el que se crea el comisionado para la transición nacional.</w:t>
      </w:r>
    </w:p>
    <w:p w:rsidR="00C54F26" w:rsidRDefault="00C54F26" w:rsidP="00C54F26">
      <w:pPr>
        <w:pStyle w:val="TextoNormal"/>
      </w:pPr>
    </w:p>
    <w:p w:rsidR="00C54F26" w:rsidRDefault="00C54F26" w:rsidP="00C54F26">
      <w:pPr>
        <w:pStyle w:val="TextoNormal"/>
      </w:pPr>
      <w:r w:rsidRPr="00C54F26">
        <w:rPr>
          <w:rStyle w:val="NumeroAFNegritaCaracter"/>
        </w:rPr>
        <w:t>5</w:t>
      </w:r>
      <w:r>
        <w:t>. Llegados a este punto debe advertirse que el Decreto 87/2020 tenía, en principio, una vigencia temporal limitada, desde las 00:00 horas del 10 de diciembre de 2020 y hasta el 10 de enero de 2021, según su apartado octavo.1, que ya ha transcurrido en el momento de resolver el presente incidente. A diferencia de otros casos en los que se ha apreciado la extinción del incidente cautelar de suspensión por ser una decisión que ya no puede ser puesta en práctica al haber transcurrido ya el momento en el que, conforme a sus propios términos, había de realizarse (ATC 54/2015, de 3 de marzo), o por no encontrarse la norma vigente al haber sido derogada (ATC 244/2013, de 22 de octubre, entre otros), en este resulta pertinente pronunciarse ya que, conforme a los mismos términos del citado apartado octavo.1, el Decreto 87/2020, puede ser objeto de prórrogas, a lo que se añade que el ya también mencionado Decreto 93/2020 deja sin efecto el anterior “en tanto no se levante por el Tribunal Constitucional la suspensión”.</w:t>
      </w:r>
    </w:p>
    <w:p w:rsidR="00C54F26" w:rsidRDefault="00C54F26" w:rsidP="00C54F26">
      <w:pPr>
        <w:pStyle w:val="TextoNormal"/>
      </w:pPr>
    </w:p>
    <w:p w:rsidR="00C54F26" w:rsidRDefault="00C54F26" w:rsidP="00C54F26">
      <w:pPr>
        <w:pStyle w:val="TextoNormal"/>
      </w:pPr>
      <w:r>
        <w:t>Por tanto, procede iniciar la ponderación que es propia de este tipo de incidentes.</w:t>
      </w:r>
    </w:p>
    <w:p w:rsidR="00C54F26" w:rsidRDefault="00C54F26" w:rsidP="00C54F26">
      <w:pPr>
        <w:pStyle w:val="TextoNormal"/>
      </w:pPr>
    </w:p>
    <w:p w:rsidR="00C54F26" w:rsidRDefault="00C54F26" w:rsidP="00C54F26">
      <w:pPr>
        <w:pStyle w:val="TextoNormal"/>
      </w:pPr>
      <w:r>
        <w:t>Como ha quedado expuesto, el abogado del Estado acude a dos líneas argumentales para sostener el mantenimiento de la suspensión de la totalidad de los preceptos impugnados. La primera de ellas se reconduce a la doctrina sobre la ponderación de los intereses que se encuentran concernidos a la hora de adoptar la decisión de levantamiento o de mantenimiento de la suspensión. La segunda remite a uno de los supuestos que, de modo excepcional, justifican el mantenimiento de la suspensión de las actuaciones autonómicas impugnadas.</w:t>
      </w:r>
    </w:p>
    <w:p w:rsidR="00C54F26" w:rsidRDefault="00C54F26" w:rsidP="00C54F26">
      <w:pPr>
        <w:pStyle w:val="TextoNormal"/>
      </w:pPr>
    </w:p>
    <w:p w:rsidR="00C54F26" w:rsidRDefault="00C54F26" w:rsidP="00C54F26">
      <w:pPr>
        <w:pStyle w:val="TextoNormal"/>
      </w:pPr>
      <w:r>
        <w:t>El examen de este incidente debe abordarse partiendo de las razones esgrimidas por el abogado del Estado en favor de mantener la suspensión de las disposiciones impugnadas, a partir del criterio de ponderación que, según lo expuesto en el fundamento anterior, es el de aplicación general. Dicho criterio exige valorar los intereses que se encuentran concernidos, tanto el general y público como, en su caso, el particular o privado de las personas afectadas, así como los perjuicios de imposible o difícil reparación que puedan derivarse del mantenimiento o levantamiento de la suspensión.</w:t>
      </w:r>
    </w:p>
    <w:p w:rsidR="00C54F26" w:rsidRDefault="00C54F26" w:rsidP="00C54F26">
      <w:pPr>
        <w:pStyle w:val="TextoNormal"/>
      </w:pPr>
    </w:p>
    <w:p w:rsidR="00C54F26" w:rsidRDefault="00C54F26" w:rsidP="00C54F26">
      <w:pPr>
        <w:pStyle w:val="TextoNormal"/>
      </w:pPr>
      <w:r>
        <w:t>Como ya quedó expuesto, de la escueta argumentación del abogado del Estado se infiere que justifica su petición de mantenimiento de la suspensión en (i) las interferencias que los preceptos ahora suspendidos producirían en las decisiones que, en materia de control sanitario de la pandemia, sean adoptadas por el Estado y (ii) en los perjuicios de carácter sanitario derivados de la no realización de los controles por parte de los servicios estatales de sanidad exterior que están previstos en las diversas normas que cita.</w:t>
      </w:r>
    </w:p>
    <w:p w:rsidR="00C54F26" w:rsidRDefault="00C54F26" w:rsidP="00C54F26">
      <w:pPr>
        <w:pStyle w:val="TextoNormal"/>
      </w:pPr>
    </w:p>
    <w:p w:rsidR="00C54F26" w:rsidRDefault="00C54F26" w:rsidP="00C54F26">
      <w:pPr>
        <w:pStyle w:val="TextoNormal"/>
      </w:pPr>
      <w:r>
        <w:t xml:space="preserve">Conforme a la doctrina reiterada sobre estos incidentes, para que proceda el mantenimiento de la suspensión no basta con invocar la existencia de los perjuicios que la eficacia de la norma podría ocasionar, sino que, además, es necesario “demostrar o, al menos, razonar consistentemente su procedencia y la imposible o difícil reparación de los mismos, ya que debe partirse en principio de la existencia de una presunción de constitucionalidad a favor de las normas o actos objeto de conflicto” (entre otros muchos, ATC 157/2016, de 20 </w:t>
      </w:r>
      <w:r>
        <w:lastRenderedPageBreak/>
        <w:t>de septiembre, FJ 3). Esta carga que pesa sobre el recurrente no comporta la necesidad de demostrar indubitadamente la existencia y cuantificación de los referidos perjuicios, pero sí la de argumentar de forma consistente sobre su existencia.</w:t>
      </w:r>
    </w:p>
    <w:p w:rsidR="00C54F26" w:rsidRDefault="00C54F26" w:rsidP="00C54F26">
      <w:pPr>
        <w:pStyle w:val="TextoNormal"/>
      </w:pPr>
    </w:p>
    <w:p w:rsidR="00C54F26" w:rsidRDefault="00C54F26" w:rsidP="00C54F26">
      <w:pPr>
        <w:pStyle w:val="TextoNormal"/>
      </w:pPr>
      <w:r>
        <w:t>En el caso sometido a nuestra consideración, los perjuicios alegados se centran en las interferencias que las normas suspendidas producen en las decisiones estatales con lo que vienen a confundirse con la misma invasión competencial que se denuncia en el escrito principal del conflicto y es, en tal medida, potencial o hipotético, pues viene condicionado por la declaración de que la comunidad autónoma, al dictar las disposiciones objeto del presente proceso, ha invadido, efectivamente, la competencia estatal en materia de sanidad exterior, concretada en las resoluciones que ya se han citado. Este planteamiento exige anticipar un juicio sobre la extralimitación competencial denunciada, por lo que no puede servir para el mantenimiento de la suspensión [en un sentido similar ATC 36/2018, de 22 de marzo, FFJJ 3 b) y 4], en la medida en que implicaría automáticamente la transformación de las perturbaciones competenciales en perjuicios de imposible o difícil reparación.</w:t>
      </w:r>
    </w:p>
    <w:p w:rsidR="00C54F26" w:rsidRDefault="00C54F26" w:rsidP="00C54F26">
      <w:pPr>
        <w:pStyle w:val="TextoNormal"/>
      </w:pPr>
    </w:p>
    <w:p w:rsidR="00C54F26" w:rsidRDefault="00C54F26" w:rsidP="00C54F26">
      <w:pPr>
        <w:pStyle w:val="TextoNormal"/>
      </w:pPr>
      <w:r>
        <w:t>Este tribunal ha reiterado que “los daños que pudieran producirse a la seguridad jurídica o a los intereses de los afectados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(AATC 398/2005, de 8 de noviembre, FJ 6; 303/2006, de 12 de septiembre, FJ 5, y18/2017, de 31 de enero, FJ 3). Estos perjuicios, por tanto, “se derivan de cualquier impugnación” y no justifican el mantenimiento de la suspensión de la eficacia de los preceptos recurridos (ATC 131/2017, de 3 de octubre, FJ 4).</w:t>
      </w:r>
    </w:p>
    <w:p w:rsidR="00C54F26" w:rsidRDefault="00C54F26" w:rsidP="00C54F26">
      <w:pPr>
        <w:pStyle w:val="TextoNormal"/>
      </w:pPr>
    </w:p>
    <w:p w:rsidR="00C54F26" w:rsidRDefault="00C54F26" w:rsidP="00C54F26">
      <w:pPr>
        <w:pStyle w:val="TextoNormal"/>
      </w:pPr>
      <w:r>
        <w:t>Por tanto, la denunciada interferencia en el ejercicio de las competencias estatales no es suficiente por sí sola para mantener la suspensión en aplicación de los criterios generales de nuestra doctrina, ya que se fundamenta en razones de fondo que deben quedar imprejuzgadas en este momento procesal, (ATC 56/2020, de 17 de junio, FJ 6). Y no cabe acudir al argumento de la trascendencia de la competencia estatal afectada, porque esa misma trascendencia podría ser predicada respecto de muchas otras competencias, de manera que, de generalizarse tal modo de proceder, se postergaría el criterio de la ponderación de los intereses concernidos y de los perjuicios que pudieran derivarse del mantenimiento o levantamiento de la suspensión que este tribunal ha venido aplicando reiteradamente, como regla general, en la resolución de estos incidentes cautelares.</w:t>
      </w:r>
    </w:p>
    <w:p w:rsidR="00C54F26" w:rsidRDefault="00C54F26" w:rsidP="00C54F26">
      <w:pPr>
        <w:pStyle w:val="TextoNormal"/>
      </w:pPr>
    </w:p>
    <w:p w:rsidR="00C54F26" w:rsidRDefault="00C54F26" w:rsidP="00C54F26">
      <w:pPr>
        <w:pStyle w:val="TextoNormal"/>
      </w:pPr>
      <w:r>
        <w:t>Además, en este caso tal denuncia no va acompañada de la identificación y acreditación de los concretos perjuicios que se originarían, máxime teniendo en cuenta que tampoco se ha alegado que el régimen previsto por las normas estatales proteja con mayor intensidad o efectividad la salud y la integridad física de los ciudadanos, que es de preferente valoración en este tipo de incidentes (por todos, ATC 239/2012, de 12 de diciembre).</w:t>
      </w:r>
    </w:p>
    <w:p w:rsidR="00C54F26" w:rsidRDefault="00C54F26" w:rsidP="00C54F26">
      <w:pPr>
        <w:pStyle w:val="TextoNormal"/>
      </w:pPr>
    </w:p>
    <w:p w:rsidR="00C54F26" w:rsidRDefault="00C54F26" w:rsidP="00C54F26">
      <w:pPr>
        <w:pStyle w:val="TextoNormal"/>
      </w:pPr>
      <w:r w:rsidRPr="00C54F26">
        <w:rPr>
          <w:rStyle w:val="NumeroAFNegritaCaracter"/>
        </w:rPr>
        <w:t>6</w:t>
      </w:r>
      <w:r>
        <w:t xml:space="preserve">. Descartada, pues, la primera línea argumental a que acude la abogacía del Estado para acordar el mantenimiento de la suspensión cautelar de los preceptos impugnados, cumple </w:t>
      </w:r>
      <w:r>
        <w:lastRenderedPageBreak/>
        <w:t>abordar la segunda, que se refiere a la posibilidad, siempre excepcional, tal y como se ha expuesto previamente, de mantener la suspensión de los preceptos impugnados por entender que se produciría un bloqueo de las competencias estatales, bloqueo en este caso referido a la competencia exclusiva estatal en materia de sanidad exterior del art. 149.1.16 CE.</w:t>
      </w:r>
    </w:p>
    <w:p w:rsidR="00C54F26" w:rsidRDefault="00C54F26" w:rsidP="00C54F26">
      <w:pPr>
        <w:pStyle w:val="TextoNormal"/>
      </w:pPr>
    </w:p>
    <w:p w:rsidR="00C54F26" w:rsidRDefault="00C54F26" w:rsidP="00C54F26">
      <w:pPr>
        <w:pStyle w:val="TextoNormal"/>
      </w:pPr>
      <w:r>
        <w:t>Para que pueda acordarse el mantenimiento de la suspensión en virtud de este argumento es preciso, como ha señalado, con cita de otros, el ATC 54/2016, de 1 de marzo, FJ 7, que la controversia suscitada en el recurso que origina el incidente cautelar exceda de las situaciones normales de controversia competencial hasta el punto de que se esté produciendo un bloqueo de las competencias estatales. La apreciación de esta situación de anormalidad no tiene que ver con la viabilidad de las pretensiones de la demanda o con su apariencia de buen derecho, sino que solo puede producirse “bien porque la competencia estatal afectada está palmariamente reconocida por el bloque de la constitucionalidad y no es discutida por las partes, (ATC 336/2005, de 15 de septiembre, FJ 5); bien porque la norma autonómica impugnada reconoce expresamente que se ha dictado con la única finalidad de dejar en suspenso el ejercicio de una competencia estatal cuya legitimidad esta discute (ATC 146/2013, de 5 de junio, FJ 4), bien, finalmente, porque concurren a la vez ambos requisitos: una competencia incontrovertida del Estado y una norma autonómica que se dicta con el propósito confesado de evitar que sea menoscabada por el ejercicio por el Estado de sus propias competencias, (ATC 104/2010, de 28 de julio, FJ 5)”.</w:t>
      </w:r>
    </w:p>
    <w:p w:rsidR="00C54F26" w:rsidRDefault="00C54F26" w:rsidP="00C54F26">
      <w:pPr>
        <w:pStyle w:val="TextoNormal"/>
      </w:pPr>
    </w:p>
    <w:p w:rsidR="00C54F26" w:rsidRDefault="00C54F26" w:rsidP="00C54F26">
      <w:pPr>
        <w:pStyle w:val="TextoNormal"/>
      </w:pPr>
      <w:r>
        <w:t xml:space="preserve">En este caso, el carácter estatal de la competencia sobre sanidad exterior </w:t>
      </w:r>
      <w:r w:rsidRPr="00C54F26">
        <w:rPr>
          <w:i/>
        </w:rPr>
        <w:t>ex</w:t>
      </w:r>
      <w:r>
        <w:t xml:space="preserve"> art. 149.1.16 CE y, por tanto, de los servicios competentes en dicha materia no es discutido por la comunidad autónoma, que reconoce expresamente que dicho carácter estatal es el presupuesto a partir del cual las disposiciones ahora suspendidas se aprueban y pretenden desplegar sus efectos. Confirma lo anterior el Acuerdo del Gobierno de Canarias de 18 de marzo de 2021 por el que se aprueba la actualización de las medidas de prevención establecidas mediante Acuerdo del Gobierno de 19 de junio de 2020, para hacer frente a la crisis sanitaria ocasionada por el COVID-19, una vez superada la fase III del plan para la transición hacia una nueva normalidad, finalizada la vigencia de las medidas propias del estado de alarma, y se aprueban medidas específicas y temporales, en el ámbito de la Comunidad Autónoma de Canarias, con motivo de la Semana Santa de 2021 (“Boletín Oficial de Canarias”, núm. 57, de 20 de marzo de 2021), cuyo anexo I, apartado 5, en relación al control de pasajeros en puertos y aeropuertos prescribe que: “En relación a los controles sanitarios a realizar en los puntos de entrada de España, se seguirán las prescripciones establecidas en las Resoluciones de 11 y 20 de noviembre, 9 y 17 de diciembre de 2020, de la Dirección General de Salud Pública, Calidad e Innovación y la Dirección de la Agencia Estatal de Seguridad Aérea, relativa a los controles sanitarios a realizar en los puntos de entrada de España, o normas que las sustituyan”.</w:t>
      </w:r>
    </w:p>
    <w:p w:rsidR="00C54F26" w:rsidRDefault="00C54F26" w:rsidP="00C54F26">
      <w:pPr>
        <w:pStyle w:val="TextoNormal"/>
      </w:pPr>
    </w:p>
    <w:p w:rsidR="00C54F26" w:rsidRDefault="00C54F26" w:rsidP="00C54F26">
      <w:pPr>
        <w:pStyle w:val="TextoNormal"/>
      </w:pPr>
      <w:r>
        <w:t>La pretensión de bloquear el ejercicio de la competencia estatal se expresa con claridad en el apartado octavo del Decreto 87/2020, cuyo enunciado es suficientemente expresivo de la finalidad de la norma cuando alude a la “inaplicación del régimen ordinario de controles sanitarios en los puntos de entrada en Canarias”, inaplicación concretada en su número 4, que afirma que “[l]as medidas establecidas en el presente decreto tienen aplicación preferente con respecto a las establecidas en la Resolución de 11 de noviembre de 2020, de la Dirección General de Salud Pública, relativa a los controles sanitarios a realizar en los pun</w:t>
      </w:r>
      <w:r>
        <w:lastRenderedPageBreak/>
        <w:t>tos de entrada de España, mientras dure el estado de alarma”. Desplazamiento de las decisiones estatales que se confirma en el apartado noveno que dispone la notificación del Decreto 87/2020 a “los servicios de sanidad exterior dependientes de la administración general del Estado localizados en Canarias, a los efectos de que se dé cumplimiento a la misma [</w:t>
      </w:r>
      <w:r w:rsidRPr="00C54F26">
        <w:rPr>
          <w:i/>
        </w:rPr>
        <w:t>sic</w:t>
      </w:r>
      <w:r>
        <w:t>]” (apartado 1) y a la “Delegación del Gobierno en Canarias, a los efectos de recabar la colaboración de las fuerzas y cuerpos de seguridad del Estado para la asistencia a los servicios de sanidad exterior en los controles, así como para la aplicación de las medidas en los controles exteriores” (apartado 2). La perturbación de las competencias estatales que puede producir la aplicación de las disposiciones ahora suspendidas es así evidente, hasta el punto de que se requiere a los servicios estatales de sanidad exterior y a las fuerzas y cuerpos de seguridad del Estado para que aseguren su puesta en práctica, con preferencia a lo prescrito por las decisiones estatales en punto a los controles a efectuar y al listado de países o zonas de riesgo al que se aplican, las cuales devienen inaplicables. Se desplazan así los controles fijados por el titular de una competencia que no se discute en el proceso y se sustituyen por los previstos en el Decreto 87/2020, obligando a los servicios de sanidad exterior a ponerlos en práctica y recabando para ello la colaboración de las fuerzas y cuerpos de seguridad del Estado. Por tanto, en cuanto que las disposiciones ahora suspendidas pretenden que los propios servicios estatales desconozcan la regulación estatal y apliquen la autonómica, se puede deducir que la norma autonómica, en lo que ha sido concretamente impugnada, se ha dictado con la finalidad explícita de dejar en suspenso el ejercicio de una indiscutida competencia estatal.</w:t>
      </w:r>
    </w:p>
    <w:p w:rsidR="00C54F26" w:rsidRDefault="00C54F26" w:rsidP="00C54F26">
      <w:pPr>
        <w:pStyle w:val="TextoNormal"/>
      </w:pPr>
    </w:p>
    <w:p w:rsidR="00C54F26" w:rsidRDefault="00C54F26" w:rsidP="00C54F26">
      <w:pPr>
        <w:pStyle w:val="TextoNormal"/>
      </w:pPr>
      <w:r>
        <w:t>Se trata así de un supuesto en el que la inmediata vigencia y aplicación de las disposiciones suspendidas puede obstaculizar, más allá de la controversia trabada en cuanto al fondo del asunto, el correcto desenvolvimiento de las competencias estatales ejercidas impidiendo la plena efectividad de las decisiones estatales en un ámbito de gran relevancia, como es el relativo al control y vigilancia sanitarios de los pasajeros que pretenden entrar en nuestro país en el contexto de una “pandemia global muy grave, que ha producido un gran número de afectados y de fallecidos en nuestro país” [STC 40/2021, de 18 de febrero, FJ 3 c), citando el ATC 40/2020, de 30 de abril, FJ 2] y que supone un “grave problema que, por desgracia, afecta a la salud pública colectiva y, también, a la salud individual de cada ciudadano” (ATC 88/2020, de 22 de julio, FJ 2).</w:t>
      </w:r>
    </w:p>
    <w:p w:rsidR="00C54F26" w:rsidRDefault="00C54F26" w:rsidP="00C54F26">
      <w:pPr>
        <w:pStyle w:val="TextoNormal"/>
      </w:pPr>
    </w:p>
    <w:p w:rsidR="00C54F26" w:rsidRDefault="00C54F26" w:rsidP="00C54F26">
      <w:pPr>
        <w:pStyle w:val="TextoNormal"/>
      </w:pPr>
      <w:r>
        <w:t>En consecuencia, la relevancia de la cuestión planteada ha de ser suficiente en este momento procesal para mantener la suspensión, sin perjuicio de la valoración que las disposiciones impugnadas merezcan en su posterior análisis de fondo.</w:t>
      </w:r>
    </w:p>
    <w:p w:rsidR="00C54F26" w:rsidRDefault="00C54F26" w:rsidP="00C54F26">
      <w:pPr>
        <w:pStyle w:val="TextoNormal"/>
      </w:pPr>
    </w:p>
    <w:p w:rsidR="00C54F26" w:rsidRDefault="00C54F26" w:rsidP="00C54F26">
      <w:pPr>
        <w:pStyle w:val="TextoNormal"/>
      </w:pPr>
      <w:r w:rsidRPr="00C54F26">
        <w:rPr>
          <w:rStyle w:val="NumeroAFNegritaCaracter"/>
        </w:rPr>
        <w:t>7</w:t>
      </w:r>
      <w:r>
        <w:t>. La conclusión así alcanzada no queda desvirtuada por las alegaciones del gobierno de Canarias en pro del levantamiento de la suspensión.</w:t>
      </w:r>
    </w:p>
    <w:p w:rsidR="00C54F26" w:rsidRDefault="00C54F26" w:rsidP="00C54F26">
      <w:pPr>
        <w:pStyle w:val="TextoNormal"/>
      </w:pPr>
    </w:p>
    <w:p w:rsidR="00C54F26" w:rsidRDefault="00C54F26" w:rsidP="00C54F26">
      <w:pPr>
        <w:pStyle w:val="TextoNormal"/>
      </w:pPr>
      <w:r>
        <w:t>En primer lugar, no es aceptable la afirmación de que las decisiones autonómicas suspendidas se adoptan para que también se aplicasen a los pasajeros procedentes de vuelos nacionales, ya que tal extremo no está en discusión en el proceso, por cuanto, además, la aplicación del Decreto 87/2020 a tales pasajeros estaba condicionada a que lo dispusiera “la persona titular de la consejería con competencias en materia de sanidad”, conforme al no impugnado apartado octavo.2. En todo caso, la comunidad autónoma ya ha regulado esta cuestión en otras disposiciones que no han resultado controvertidas competencialmente (Orden de 26 de febrero de 2021, citada en el fundamento jurídico 3).</w:t>
      </w:r>
    </w:p>
    <w:p w:rsidR="00C54F26" w:rsidRDefault="00C54F26" w:rsidP="00C54F26">
      <w:pPr>
        <w:pStyle w:val="TextoNormal"/>
      </w:pPr>
    </w:p>
    <w:p w:rsidR="00C54F26" w:rsidRDefault="00C54F26" w:rsidP="00C54F26">
      <w:pPr>
        <w:pStyle w:val="TextoNormal"/>
      </w:pPr>
      <w:r>
        <w:t>Tampoco es posible aceptar como argumento para levantar la suspensión el del supuesto ajuste de la regulación autonómica a lo dispuesto en las recomendaciones de la Unión Europa en torno al uso de los test de antígenos, pues la propia recomendación (UE) 2021/119, de 1 de febrero, que se cita por la letrada autonómica, refiere tal decisión a que lo “determinen las autoridades sanitarias nacionales” y la comunidad autónoma no ha discutido, antes al contrario, que tal decisión corresponde al Estado, sin que conste que se haya producido. Nada aporta, a estos efectos, la referencia al procedimiento de control sanitario a la llegada de pasajeros a España por vía aérea, adoptado en el seno del convenio suscrito entre el Ministerio de Sanidad y AENA, previsto actualmente en la disposición adicional primera de la Ley 2/2021, de 29 de marzo, de medidas urgentes de prevención, contención y coordinación para hacer frente a la crisis sanitaria ocasionada por el COVID-19, ya que, como ha señalado la propia representación del Gobierno de Canarias, confirma lo dispuesto por las resoluciones estatales que regulan los requisitos para la entrada en España, sin perjuicio de lo que al respecto se prevea en el caso de que el viajero que pretende entrar en territorio español no pueda acreditar su cumplimiento.</w:t>
      </w:r>
    </w:p>
    <w:p w:rsidR="00C54F26" w:rsidRDefault="00C54F26" w:rsidP="00C54F26">
      <w:pPr>
        <w:pStyle w:val="TextoNormal"/>
      </w:pPr>
    </w:p>
    <w:p w:rsidR="00C54F26" w:rsidRDefault="00C54F26" w:rsidP="00C54F26">
      <w:pPr>
        <w:pStyle w:val="TextoNormal"/>
      </w:pPr>
      <w:r>
        <w:t>El alegato relativo a los graves daños que produciría el cierre perimetral de la comunidad autónoma no puede ser tomado en consideración, por cuanto la restricción de entrada depende de las decisiones que al efecto adopte el presidente autonómico, como se desprende del art. 9 del Real Decreto 926/2020, de 25 de octubre, por el que se declara el estado de alarma para contener la propagación de infecciones causadas por el SARS-CoV-2, y confirma el no impugnado apartado primero del Decreto 87/2020, pudiendo, además, adoptar otras medidas de prevención que estime oportunas, por ejemplo, el Decreto16/2021, de 18 de marzo, del presidente, por el que se aprueban medidas específicas y temporales, en el ámbito de la Comunidad Autónoma de Canarias, con motivo de la Semana Santa de 2021, en aplicación del Real Decreto 926/2020, de 25 de octubre, por el que se declara el estado de alarma, para contener la propagación de infecciones causadas por el SARS-CoV-2.</w:t>
      </w:r>
    </w:p>
    <w:p w:rsidR="00C54F26" w:rsidRDefault="00C54F26" w:rsidP="00C54F26">
      <w:pPr>
        <w:pStyle w:val="TextoNormal"/>
      </w:pPr>
    </w:p>
    <w:p w:rsidR="00C54F26" w:rsidRDefault="00C54F26" w:rsidP="00C54F26">
      <w:pPr>
        <w:pStyle w:val="TextoNormal"/>
      </w:pPr>
      <w:r>
        <w:t>Finalmente, los perjuicios relativos al encarecimiento sobre el coste del desplazamiento a Canarias que supone la exigencia de una prueba PCR tampoco pueden ser estimados, pues se trata de intereses privados en relación con el desplazamiento a Canarias de los que en ningún momento se aportan datos concretos o estimación cuantitativa alguna que permita su ponderación. Por tanto, esta genérica alegación sobre los perjuicios a los intereses particulares no es suficiente a efectos de considerar argumentada la existencia de los daños invocados.</w:t>
      </w:r>
    </w:p>
    <w:p w:rsidR="00C54F26" w:rsidRDefault="00C54F26" w:rsidP="00C54F26">
      <w:pPr>
        <w:pStyle w:val="TextoNormal"/>
      </w:pPr>
    </w:p>
    <w:p w:rsidR="00C54F26" w:rsidRDefault="00C54F26" w:rsidP="00C54F26">
      <w:pPr>
        <w:pStyle w:val="TextoNormal"/>
      </w:pPr>
      <w:r>
        <w:t>Tampoco, en fin, ha quedado acreditado en modo alguno que el impacto del mantenimiento de la suspensión comporte una desviación presupuestaria que pudiera considerarse como un perjuicio económico para la comunidad autónoma.</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 xml:space="preserve">Mantener la suspensión de los apartados segundo, tercero, cuarto, octavo.4, noveno y anexo del Decreto 87/2020, de 9 de diciembre, del presidente de la Comunidad Autónoma de Canarias, por el que se establece el cierre perimetral de la Comunidad Autónoma de </w:t>
      </w:r>
      <w:r>
        <w:lastRenderedPageBreak/>
        <w:t>Canarias, en aplicación del Real Decreto 926/2020, de 25 de octubre, por el que se declara el estado de alarma, para contener la propagación de infecciones causadas por el SARS-CoV-2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w:t>
      </w:r>
    </w:p>
    <w:p w:rsidR="00C54F26" w:rsidRDefault="00C54F26" w:rsidP="00C54F26">
      <w:pPr>
        <w:pStyle w:val="TextoNormal"/>
      </w:pPr>
    </w:p>
    <w:p w:rsidR="00C54F26" w:rsidRDefault="00C54F26" w:rsidP="00C54F26">
      <w:pPr>
        <w:pStyle w:val="TextoNormal"/>
      </w:pPr>
      <w:r>
        <w:t>Madrid, a veintidós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3" w:name="AUTO_2021_52"/>
      <w:r>
        <w:lastRenderedPageBreak/>
        <w:t>AUTO 52/2021, de 22 de abril de 2021</w:t>
      </w:r>
    </w:p>
    <w:bookmarkEnd w:id="193"/>
    <w:p w:rsidR="00C54F26" w:rsidRDefault="00C54F26" w:rsidP="00C54F26">
      <w:pPr>
        <w:pStyle w:val="TtuloResolucin"/>
      </w:pPr>
      <w:r>
        <w:t>Pleno</w:t>
      </w:r>
    </w:p>
    <w:p w:rsidR="00C54F26" w:rsidRDefault="00C54F26" w:rsidP="00C54F26">
      <w:pPr>
        <w:pStyle w:val="TextoNormalCentrado"/>
      </w:pPr>
      <w:r>
        <w:t>ECLI:ES:TC:2021:52A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en el recurso de amparo 1294-2021, promovido por la Unión Sindical de Madrid del sindicato Comisiones Obreras,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día 8 de marzo de 2021, a las 7:47 horas, tuvo entrada en el Registro General de este Tribunal Constitucional un escrito de la procuradora de los tribunales doña Dolores Maroto Gómez, en nombre y representación del sindicato Unión Sindical de Madrid de Comisiones Obreras (en adelante USMCCOO), asistido por el letrado don Carlos Fuentes Varea, por el que interponía recurso de amparo contra la sentencia núm. 187/2021, de 7 de marzo de la Sección Décima de la Sala de lo Contencioso-Administrativo del Tribunal Superior de Justicia de la Comunidad de Madrid, desestimatoria del recurso formalizado por la representación de dicho sindicato contra el acuerdo de 3 de marzo de 2021 del delegado del Gobierno de España en Madrid, que decidió prohibir, por razones de salud pública, la concentración convocada por dicho sindicato y otro más, que iba a tener lugar el día 8 de marzo de 2021, de 11 a 14:30 horas en la Plaza de Cibeles de la ciudad de Madrid.</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para la resolución de esta pieza de suspensión son los siguientes:</w:t>
      </w:r>
    </w:p>
    <w:p w:rsidR="00C54F26" w:rsidRDefault="00C54F26" w:rsidP="00C54F26">
      <w:pPr>
        <w:pStyle w:val="TextoNormal"/>
      </w:pPr>
    </w:p>
    <w:p w:rsidR="00C54F26" w:rsidRDefault="00C54F26" w:rsidP="00C54F26">
      <w:pPr>
        <w:pStyle w:val="TextoNormal"/>
      </w:pPr>
      <w:r>
        <w:t>a) Mediante escrito de fecha 22 de febrero de 2021, doña Paloma Vega López, en su calidad de secretaria de organización del sindicato USMCCOO, en unión de otra persona, en su condición de representante de otro sindicato, comunicaron a la Delegación del Gobierno en Madrid la realización de una concentración en la Plaza de Cibeles de Madrid, para el día 8 de marzo de 2021, entre las 11:00 y las 14:30 horas, con motivo de la celebración del Día de la Mujer.</w:t>
      </w:r>
    </w:p>
    <w:p w:rsidR="00C54F26" w:rsidRDefault="00C54F26" w:rsidP="00C54F26">
      <w:pPr>
        <w:pStyle w:val="TextoNormal"/>
      </w:pPr>
    </w:p>
    <w:p w:rsidR="00C54F26" w:rsidRDefault="00C54F26" w:rsidP="00C54F26">
      <w:pPr>
        <w:pStyle w:val="TextoNormal"/>
      </w:pPr>
      <w:r>
        <w:t>El lema de la citada concentración era “En la igualdad. Ni un paso atrás” y la organización preveía la asistencia de 250 personas, así como la instalación de una estructura con megafonía para la intervención de oradores y dos vehículos de apoyo.</w:t>
      </w:r>
    </w:p>
    <w:p w:rsidR="00C54F26" w:rsidRDefault="00C54F26" w:rsidP="00C54F26">
      <w:pPr>
        <w:pStyle w:val="TextoNormal"/>
      </w:pPr>
    </w:p>
    <w:p w:rsidR="00C54F26" w:rsidRDefault="00C54F26" w:rsidP="00C54F26">
      <w:pPr>
        <w:pStyle w:val="TextoNormal"/>
      </w:pPr>
      <w:r>
        <w:t>b) Por medio de acuerdo de 3 de marzo de 2021, el delegado del Gobierno decidió prohibir, por razones de salud pública, la celebración de aquella concentración.</w:t>
      </w:r>
    </w:p>
    <w:p w:rsidR="00C54F26" w:rsidRDefault="00C54F26" w:rsidP="00C54F26">
      <w:pPr>
        <w:pStyle w:val="TextoNormal"/>
      </w:pPr>
    </w:p>
    <w:p w:rsidR="00C54F26" w:rsidRDefault="00C54F26" w:rsidP="00C54F26">
      <w:pPr>
        <w:pStyle w:val="TextoNormal"/>
      </w:pPr>
      <w:r>
        <w:t>c) El sindicato USMCCOO, junto con la otra organización sindical convocante de la concentración, interpuso recurso contencioso-administrativo contra el anterior acuerdo del delegado del Gobierno, quedando registrado como “autos del derecho de reunión núm. 275-2021”, cuyo conocimiento correspondió a la Sección Décima de la Sala de lo Contencioso-Administrativo del Tribunal Superior de Justicia de la Comunidad de Madrid, la que, con fecha 7 de marzo de 2021, dictó sentencia por la que desestimó íntegramente el recurso así formalizado.</w:t>
      </w:r>
    </w:p>
    <w:p w:rsidR="00C54F26" w:rsidRDefault="00C54F26" w:rsidP="00C54F26">
      <w:pPr>
        <w:pStyle w:val="TextoNormal"/>
      </w:pPr>
    </w:p>
    <w:p w:rsidR="00C54F26" w:rsidRDefault="00C54F26" w:rsidP="00C54F26">
      <w:pPr>
        <w:pStyle w:val="TextoNormal"/>
      </w:pPr>
      <w:r w:rsidRPr="00C54F26">
        <w:rPr>
          <w:rStyle w:val="NumeroAFNegritaCaracter"/>
        </w:rPr>
        <w:t>3</w:t>
      </w:r>
      <w:r>
        <w:t>. En la demanda de amparo el sindicato recurrente invocó la vulneración del derecho fundamental de reunión (art. 21 CE). Entendía que no es lo mismo suspender y prohibir derechos fundamentales amparados en un estado de excepción o de sitio, que limitar y restringir los mismos en un estado de alarma. El hecho es que todas las manifestaciones y concentraciones previstas para el 8 de marzo en Madrid habían sido suspendidas, o prohibidas, siendo la única comunidad que impedía la celebración de tan significativo evento lo cual induce a pensar que bajo un estado de alarma se están aplicando medidas de un estado de excepción o de sitio, conculcando derechos fundamentales que acreditan un Estado de Derecho. Considera que es trascendental que el Tribunal Constitucional examine si la sentencia que confirma la resolución del delegado de Gobierno de Madrid que prohíbe ejercer el legítimo derecho de reunión establecido en el artículo 21.2 CE se ajusta a la legalidad de un estado de alarma o de un estado de excepción o de sitio.</w:t>
      </w:r>
    </w:p>
    <w:p w:rsidR="00C54F26" w:rsidRDefault="00C54F26" w:rsidP="00C54F26">
      <w:pPr>
        <w:pStyle w:val="TextoNormal"/>
      </w:pPr>
    </w:p>
    <w:p w:rsidR="00C54F26" w:rsidRDefault="00C54F26" w:rsidP="00C54F26">
      <w:pPr>
        <w:pStyle w:val="TextoNormal"/>
      </w:pPr>
      <w:r>
        <w:t>A continuación, dedica un primer bloque argumental a exponer las razones por las que considera que la sentencia del Tribunal Superior de Justicia de Madrid, no está suficientemente motivada, pues es obvio que, planteada la cuestión en abstracto, la salud, la integridad física y la vida de las personas deben prevalecer sobre el derecho de reunión. Refiere que el objeto del recurso no versa sobre una abstracción sino sobre un hecho concreto, esto es, si el ejercicio del derecho fundamental de reunión amparado por el artículo 21.2 CE y la Ley Orgánica 9/1983, de 15 de julio, reguladora del derecho de reunión, pone en peligro la salud, la integridad física y la vida de las personas para lo cual es necesario describir sucintamente las características del acto convocado: i) una concentración pedida por dos sindicatos para el día 8 de marzo entre las 11:00 horas y 14:30 horas en la Plaza de Cibeles de Madrid bajo el lema “En la igualdad, Ni un paso atrás”; ii) con la previsión de la intervención de oradores para hacer públicas las propuestas; iii) la existencia para el desarrollo de la concentración se ha previsto un servicio de orden como medida de seguridad; iv) asumiendo los convocantes el compromiso de que la asistencia testimonial y representativa al acto fuera de 250 personas; v) y, finalmente, el día y la hora de la concentración comunicada corresponde a un día laborable, al aire libre que permite mantener la distancia de seguridad, con un compromiso de controlar la asistencia a 250 personas con un servicio de orden experimentado en este tipo de concentraciones.</w:t>
      </w:r>
    </w:p>
    <w:p w:rsidR="00C54F26" w:rsidRDefault="00C54F26" w:rsidP="00C54F26">
      <w:pPr>
        <w:pStyle w:val="TextoNormal"/>
      </w:pPr>
    </w:p>
    <w:p w:rsidR="00C54F26" w:rsidRDefault="00C54F26" w:rsidP="00C54F26">
      <w:pPr>
        <w:pStyle w:val="TextoNormal"/>
      </w:pPr>
      <w:r>
        <w:t xml:space="preserve">Añade que para prohibir un derecho fundamental tienen que existir razones fundadas, convincentes e imperativas que justifiquen las restricciones de esa libertad. Analiza si la sentencia se sustenta sobre razones fundadas, convincentes e imperativas, y tras examinar las mismas, concluye que las razones alegadas por la sentencia no son razonables, no son convincentes, no se fundan en datos objetivos que prueben que la celebración de la concentración atenta contra la salud, integridad física y la vida de las personas por lo que si existen </w:t>
      </w:r>
      <w:r>
        <w:lastRenderedPageBreak/>
        <w:t xml:space="preserve">dudas razonables debe aplicarse el principio </w:t>
      </w:r>
      <w:r w:rsidRPr="00C54F26">
        <w:rPr>
          <w:i/>
        </w:rPr>
        <w:t>favor libertatis</w:t>
      </w:r>
      <w:r>
        <w:t xml:space="preserve"> y permitir la concentración programada.</w:t>
      </w:r>
    </w:p>
    <w:p w:rsidR="00C54F26" w:rsidRDefault="00C54F26" w:rsidP="00C54F26">
      <w:pPr>
        <w:pStyle w:val="TextoNormal"/>
      </w:pPr>
    </w:p>
    <w:p w:rsidR="00C54F26" w:rsidRDefault="00C54F26" w:rsidP="00C54F26">
      <w:pPr>
        <w:pStyle w:val="TextoNormal"/>
      </w:pPr>
      <w:r>
        <w:t>En segundo lugar cuestiona el juicio de proporcionalidad y la constitucionalidad de la limitación impuesta, refiriendo que lo que se está aquí enjuiciando es la justa proporción entre derechos y deberes: si el deber de trabajar permite y exige que 250 personas se desplacen a su trabajo dentro de un vagón de metro, un espacio cerrado, sin posibilidad de mantener las distancias de protección recomendadas por las autoridades sanitarias, lo justo y equitativo es que 250 personas tengan derecho a reunirse en un espacio al aire libre manteniendo la distancia de seguridad en defensa de sus derechos. Si a esas 250 personas se les prohíbe el derecho a reunirse con todas las condiciones favorables invocando la preeminencia del derecho a la salud, con qué derecho se les puede exigir que tengan que desplazarse a su centro de trabajo en el transporte público poniendo en riesgo su salud, o cabe preguntarse si en este caso la obligación de trabajar del artículo 35 CE está por encima del derecho a la salud y a la integridad física y a la vida de las personas de los artículos 15 y 45 CE que la sentencia dice que deben prevalecer. Afirma que si se confirma la sentencia se corre el riesgo de propagar la idea de que los ciudadanos, respecto a los deberes como productores los tienen todos, y como ciudadanos derechos ninguno.</w:t>
      </w:r>
    </w:p>
    <w:p w:rsidR="00C54F26" w:rsidRDefault="00C54F26" w:rsidP="00C54F26">
      <w:pPr>
        <w:pStyle w:val="TextoNormal"/>
      </w:pPr>
    </w:p>
    <w:p w:rsidR="00C54F26" w:rsidRDefault="00C54F26" w:rsidP="00C54F26">
      <w:pPr>
        <w:pStyle w:val="TextoNormal"/>
      </w:pPr>
      <w:r>
        <w:t>Añade que la solicitud de la concentración que efectúa la recurrente no entraña la potencialidad de que se convierta, en una concentración masiva o en una manifestación, pues, como se ha expuesto, está limitada a 250 personas, que es la asistencia prevista, de cuyo cumplimiento se encargaría el servicio de orden de los propios sindicatos convocantes, y no implica recorrido alguno, es por ello que se habla de concentración y no de manifestación. El riesgo de esta concentración no es superior, en absoluto, al que pueda existir, por ejemplo, en cualquier gran comercio de la Comunidad de Madrid, cuya actividad, como se sabe, está perfectamente permitida. Insiste en que se trata de una concentración ya de por sí limitada y auto contenida, en la que el riesgo de contagios, en el caso de la concentración comunicada es mínimo. Añade que no se argumenta en la sentencia que se impugna, que la concentración comunicada coincida con ninguna otra que haya de producirse en el mismo espacio elegido, Plaza de la Cibeles. Incluso aunque así fuera, deberían ponderarse las características de las concentraciones para, en su caso, limitarlas, pero no prohibirlas.</w:t>
      </w:r>
    </w:p>
    <w:p w:rsidR="00C54F26" w:rsidRDefault="00C54F26" w:rsidP="00C54F26">
      <w:pPr>
        <w:pStyle w:val="TextoNormal"/>
      </w:pPr>
    </w:p>
    <w:p w:rsidR="00C54F26" w:rsidRDefault="00C54F26" w:rsidP="00C54F26">
      <w:pPr>
        <w:pStyle w:val="TextoNormal"/>
      </w:pPr>
      <w:r>
        <w:t>Finalmente cierra su argumentación indicando: “Que este virus deje de matar depende de la medicina pero que acabe o no con los derechos fundamentales que definen un Estado de Derecho depende de la justicia, de la decisión que el Tribunal Constitucional adopte en este recurso y en otros similares”.</w:t>
      </w:r>
    </w:p>
    <w:p w:rsidR="00C54F26" w:rsidRDefault="00C54F26" w:rsidP="00C54F26">
      <w:pPr>
        <w:pStyle w:val="TextoNormal"/>
      </w:pPr>
    </w:p>
    <w:p w:rsidR="00C54F26" w:rsidRDefault="00C54F26" w:rsidP="00C54F26">
      <w:pPr>
        <w:pStyle w:val="TextoNormal"/>
      </w:pPr>
      <w:r>
        <w:t>Termina suplicando que se declare la nulidad de la sentencia dictada por la Sección Décima de la Sala de lo Contencioso Administrativo del Tribunal Superior de Justicia de Madrid y se reconozca al sindicato recurrente el derecho de reunión establecido en el artículo 21.2 CE y acuerde haber lugar a la concentración convocada para el día 8 de marzo de 2021, de 11:00 a 14:30 horas, en la Plaza de Cibeles de Madrid.</w:t>
      </w:r>
    </w:p>
    <w:p w:rsidR="00C54F26" w:rsidRDefault="00C54F26" w:rsidP="00C54F26">
      <w:pPr>
        <w:pStyle w:val="TextoNormal"/>
      </w:pPr>
    </w:p>
    <w:p w:rsidR="00C54F26" w:rsidRDefault="00C54F26" w:rsidP="00C54F26">
      <w:pPr>
        <w:pStyle w:val="TextoNormal"/>
      </w:pPr>
      <w:r>
        <w:t xml:space="preserve">En la demanda, por medio de otrosí, el sindicato recurrente solicita la medida cautelarísima de suspensión de la ejecución de la sentencia impugnada, al amparo de lo dispuesto en el art. 56.6, en relación con el art. 56.2, ambos de la Ley Orgánica del Tribunal Constitucional (LOTC), al objeto de que, por urgencia excepcional, quede suspendida de modo cautelar </w:t>
      </w:r>
      <w:r>
        <w:lastRenderedPageBreak/>
        <w:t>la precitada ejecución de la sentencia. Entiende el demandante que la solicitud de suspensión cautelarísima tiene por objeto permitir que el sindicato pudiera celebrar la concentración el día 8 de marzo de 2021, toda vez que, en la fecha indicada, se celebraba el Día de la Mujer y esa era la razón de aquel acto colectivo, por lo que, “al preverse un pronunciamiento del amparo más tardío” de aquella jornada, podría provocarle perjuicios de imposible reparación si no llegaba a celebrarse en la fecha indicada.</w:t>
      </w:r>
    </w:p>
    <w:p w:rsidR="00C54F26" w:rsidRDefault="00C54F26" w:rsidP="00C54F26">
      <w:pPr>
        <w:pStyle w:val="TextoNormal"/>
      </w:pPr>
    </w:p>
    <w:p w:rsidR="00C54F26" w:rsidRDefault="00C54F26" w:rsidP="00C54F26">
      <w:pPr>
        <w:pStyle w:val="TextoNormal"/>
      </w:pPr>
      <w:r w:rsidRPr="00C54F26">
        <w:rPr>
          <w:rStyle w:val="NumeroAFNegritaCaracter"/>
        </w:rPr>
        <w:t>4</w:t>
      </w:r>
      <w:r>
        <w:t>. En virtud de providencia de 8 de marzo de 2021, el Pleno de este tribunal acordó recabar para sí el conocimiento del recurso de amparo que, hasta ese momento se tramitaba en la Sala Segunda, y admitirlo a trámite, apreciando que concurre en el mismo una especial trascendencia constitucional (art. 50.1 LOTC), por cuanto el asunto suscitado podía dar ocasión al tribunal para aclarar o cambiar su doctrina, como consecuencia del surgimiento de nuevas realidades sociales [STC 155/2009, FJ 2 b)] y porque el asunto trascendía del caso concreto, al plantear una cuestión jurídica de relevante y general repercusión social [STC 155/2009, FJ 2 g)].</w:t>
      </w:r>
    </w:p>
    <w:p w:rsidR="00C54F26" w:rsidRDefault="00C54F26" w:rsidP="00C54F26">
      <w:pPr>
        <w:pStyle w:val="TextoNormal"/>
      </w:pPr>
    </w:p>
    <w:p w:rsidR="00C54F26" w:rsidRDefault="00C54F26" w:rsidP="00C54F26">
      <w:pPr>
        <w:pStyle w:val="TextoNormal"/>
      </w:pPr>
      <w:r>
        <w:t xml:space="preserve">Además, en la misma resolución, se acordó emplazar a quienes hubieran sido parte en el procedimiento para que, por término de diez días, pudieran comparecer, excepto la recurrente en amparo. Igualmente, en relación con la solicitud de suspensión formulada en la demanda de amparo, el Pleno no apreció la urgencia excepcional a que se refiere el art. 56.6 LOTC, por lo que no resolvió </w:t>
      </w:r>
      <w:r w:rsidRPr="00C54F26">
        <w:rPr>
          <w:i/>
        </w:rPr>
        <w:t>inaudita parte</w:t>
      </w:r>
      <w:r>
        <w:t>, “dado que el asunto presenta elementos sustantivos específicos que abogan por un estudio meditado y contradictorio de la medida cautelarísima instada”.</w:t>
      </w:r>
    </w:p>
    <w:p w:rsidR="00C54F26" w:rsidRDefault="00C54F26" w:rsidP="00C54F26">
      <w:pPr>
        <w:pStyle w:val="TextoNormal"/>
      </w:pPr>
    </w:p>
    <w:p w:rsidR="00C54F26" w:rsidRDefault="00C54F26" w:rsidP="00C54F26">
      <w:pPr>
        <w:pStyle w:val="TextoNormal"/>
      </w:pPr>
      <w:r>
        <w:t>Finalmente, decidió la formación de pieza separada de suspensión y conceder un plazo común de tres días al Ministerio Fiscal y a la parte recurrente para que alegaran lo que estimaran oportuno sobre la suspensión.</w:t>
      </w:r>
    </w:p>
    <w:p w:rsidR="00C54F26" w:rsidRDefault="00C54F26" w:rsidP="00C54F26">
      <w:pPr>
        <w:pStyle w:val="TextoNormal"/>
      </w:pPr>
    </w:p>
    <w:p w:rsidR="00C54F26" w:rsidRDefault="00C54F26" w:rsidP="00C54F26">
      <w:pPr>
        <w:pStyle w:val="TextoNormal"/>
      </w:pPr>
      <w:r w:rsidRPr="00C54F26">
        <w:rPr>
          <w:rStyle w:val="NumeroAFNegritaCaracter"/>
        </w:rPr>
        <w:t>5</w:t>
      </w:r>
      <w:r>
        <w:t>. El día 10 de marzo de 2021, tuvo entrada en el registro de este tribunal el escrito de alegaciones del Ministerio Fiscal en el que puso de manifiesto la pérdida sobrevenida de objeto de la suspensión cautelar solicitada, toda vez que el sindicato recurrente había instado la suspensión cautelarísima para que pudiera tener lugar la concentración el día 8 de marzo de 2021, cobrando especial significación la indicada fecha pues el objeto de aquella asistencia colectiva al acto era el de celebrar el Día Internacional de la Mujer, de tal manera que, sobrepasada aquella fecha, la solicitud de suspensión “ha perdido su objeto puesto que el alcance” de las resoluciones, la gubernativa y la judicial, “se limitaba a la prohibición de la concreta concentración convocada por la entidad recurrente para el día 8 de marzo de 2021”.</w:t>
      </w:r>
    </w:p>
    <w:p w:rsidR="00C54F26" w:rsidRDefault="00C54F26" w:rsidP="00C54F26">
      <w:pPr>
        <w:pStyle w:val="TextoNormal"/>
      </w:pPr>
    </w:p>
    <w:p w:rsidR="00C54F26" w:rsidRDefault="00C54F26" w:rsidP="00C54F26">
      <w:pPr>
        <w:pStyle w:val="TextoNormal"/>
      </w:pPr>
      <w:r>
        <w:t>De modo subsidiario, entiende que tampoco es posible acceder a la suspensión cautelar solicitada, toda vez que, con cita del ATC 57/2020, de 17 de junio, “no cabe justificar la suspensión de los acuerdos o actos impugnados con argumentos que se proyectan sobre el fondo de la cuestión planteada en la demanda y suponen, por tanto, predeterminar la solución del recurso”. Con tal afirmación, destaca la fiscal que, de acceder a la suspensión solicitada, “supondría una anticipación de la resolución de fondo que pudiera dictarse, lo cual no corresponde realizar a través del mecanismo del incidente cautelar de suspensión”, amén de que la suspensión de efectos de las resoluciones firmes “no pueda suponer una perturba</w:t>
      </w:r>
      <w:r>
        <w:lastRenderedPageBreak/>
        <w:t>ción grave de intereses constitucionalmente protegidos o derechos fundamentales de terceros que en este caso debe entenderse concurriría, en cuanto que las resoluciones que se tratan de suspender se han sustentado en la protección del interés general de la salud pública”.</w:t>
      </w:r>
    </w:p>
    <w:p w:rsidR="00C54F26" w:rsidRDefault="00C54F26" w:rsidP="00C54F26">
      <w:pPr>
        <w:pStyle w:val="TextoNormal"/>
      </w:pPr>
    </w:p>
    <w:p w:rsidR="00C54F26" w:rsidRDefault="00C54F26" w:rsidP="00C54F26">
      <w:pPr>
        <w:pStyle w:val="TextoNormal"/>
      </w:pPr>
      <w:r w:rsidRPr="00C54F26">
        <w:rPr>
          <w:rStyle w:val="NumeroAFNegritaCaracter"/>
        </w:rPr>
        <w:t>6</w:t>
      </w:r>
      <w:r>
        <w:t>. En fecha 15 de marzo de 2021, la representación del sindicato recurrente presentó escrito en el registro de este tribunal y formuló sus alegaciones en respuesta a lo acordado por este tribunal sobre la pieza de suspensión.</w:t>
      </w:r>
    </w:p>
    <w:p w:rsidR="00C54F26" w:rsidRDefault="00C54F26" w:rsidP="00C54F26">
      <w:pPr>
        <w:pStyle w:val="TextoNormal"/>
      </w:pPr>
    </w:p>
    <w:p w:rsidR="00C54F26" w:rsidRDefault="00C54F26" w:rsidP="00C54F26">
      <w:pPr>
        <w:pStyle w:val="TextoNormal"/>
      </w:pPr>
      <w:r>
        <w:t>En su escrito, la parte actora destaca que la denegada suspensión cautelarísima de la ejecución de la sentencia impugnada le ha ocasionado perjuicios irreparables, toda vez que el objetivo de la convocatoria era la celebración del Día Internacional de la Mujer y, en consecuencia, la fecha elegida era esencial para conmemorar aquella celebración. Al no haber accedido a su petición, entiende que, aunque este tribunal modificara su inicial criterio y acordara la suspensión cautelar, la celebración tardía de la convocatoria haría perder la carga simbólica que ese día representa, “por lo que se ha provocado un daño irreparable para la recurrente”.</w:t>
      </w:r>
    </w:p>
    <w:p w:rsidR="00C54F26" w:rsidRDefault="00C54F26" w:rsidP="00C54F26">
      <w:pPr>
        <w:pStyle w:val="TextoNormal"/>
      </w:pPr>
    </w:p>
    <w:p w:rsidR="00C54F26" w:rsidRDefault="00C54F26" w:rsidP="00C54F26">
      <w:pPr>
        <w:pStyle w:val="TextoNormal"/>
      </w:pPr>
      <w:r>
        <w:t xml:space="preserve">Por todo lo expuesto, destaca el escrito que “sabiendo que la resolución aunque fuera positiva a nuestras pretensiones sería ineficaz por extemporánea, no pudiendo reparar el daño sufrido por la recurrente, suplico que se tenga por solicitada la suspensión inmediata por urgencia excepcional de la sentencia dictada en fecha 07-03-2021 por el Tribunal Superior de Justicia de Madrid, Sala de lo Contencioso-Administrativo, Sección Décima en el procedimiento sustanciado con el número 275-2021, dictando de forma urgente auto que reconozca que en aplicación del principio </w:t>
      </w:r>
      <w:r w:rsidRPr="00C54F26">
        <w:rPr>
          <w:i/>
        </w:rPr>
        <w:t>in dubio favor libertatis</w:t>
      </w:r>
      <w:r>
        <w:t>, el derecho de la recurrente a ejercer libremente el derecho de reunión establecido en el artículo 21.2 de la Constitución y acuerde que como medida cautelar debió de suspenderse la ejecución de la precitada sentencia del Tribunal Superior de Justicia de Madrid, Sala de lo Contencioso-Administrativo, Sección Décima y haberse autorizado la concentración convocada por doña Rosa Moreno Rodríguez, en representación de UGT-Madrid y doña Paloma Vega López, en representación de la Unión Sindical de Madrid Región de CC.OO, para el día 8 de marzo de 2021, de 11:00 a 14:30 horas, en la Plaza de Cibeles de Madrid”.</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art. 56.1 de la Ley Orgánica del Tribunal Constitucional (LOTC) establece, como regla general, que la interposición de un recurso de amparo no suspenderá los efectos del acto o sentencia impugnados. No obstante, el apartado segundo del mismo art. 56 LOTC, prevé una excepción a dicha previsión general, admitiendo la suspensión del acto o sentencia impugnados cuando su ejecución produzca un perjuicio al recurrente que pudiera hacer perder su finalidad al amparo. Razón por la que se configura como una medida de carácter excepcional y de aplicación restrictiva (por todos, AATC 117/2015, de 6 de julio, FJ 1, y 59/2017, de 24 de abril, FJ 1).</w:t>
      </w:r>
    </w:p>
    <w:p w:rsidR="00C54F26" w:rsidRDefault="00C54F26" w:rsidP="00C54F26">
      <w:pPr>
        <w:pStyle w:val="TextoNormal"/>
      </w:pPr>
    </w:p>
    <w:p w:rsidR="00C54F26" w:rsidRDefault="00C54F26" w:rsidP="00C54F26">
      <w:pPr>
        <w:pStyle w:val="TextoNormal"/>
      </w:pPr>
      <w:r>
        <w:t xml:space="preserve">En atención a tal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w:t>
      </w:r>
      <w:r>
        <w:lastRenderedPageBreak/>
        <w:t>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C54F26" w:rsidRDefault="00C54F26" w:rsidP="00C54F26">
      <w:pPr>
        <w:pStyle w:val="TextoNormal"/>
      </w:pPr>
    </w:p>
    <w:p w:rsidR="00C54F26" w:rsidRDefault="00C54F26" w:rsidP="00C54F26">
      <w:pPr>
        <w:pStyle w:val="TextoNormal"/>
      </w:pPr>
      <w:r>
        <w:t>Por último, de modo general, también ha insistido este tribunal AATC 263/2001, de 15 de octubre, y 18/2002, de 11 de febrero, entre otros muchos en la imposibilidad de adelantar cuestiones controvertidas propias del fondo del recurso de amparo en esta pieza incidental de suspensión, como tampoco de conceder la suspensión cautelar de la ejecución de una resolución, si con ello se puede anticipar el amparo que se solicita.</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Según se detalla en los antecedentes, el sindicato recurrente solicitó, por medio de otrosí, la suspensión cautelar urgente e </w:t>
      </w:r>
      <w:r w:rsidRPr="00C54F26">
        <w:rPr>
          <w:i/>
        </w:rPr>
        <w:t>inaudita parte</w:t>
      </w:r>
      <w:r>
        <w:t xml:space="preserve"> de la ejecución de la sentencia del Tribunal Superior de Justicia impugnada, con objeto de que este tribunal permitiera la celebración, el día 8 de marzo de 2021, de la concentración convocada para esa fecha, con motivo del Día Internacional de la Mujer.</w:t>
      </w:r>
    </w:p>
    <w:p w:rsidR="00C54F26" w:rsidRDefault="00C54F26" w:rsidP="00C54F26">
      <w:pPr>
        <w:pStyle w:val="TextoNormal"/>
      </w:pPr>
    </w:p>
    <w:p w:rsidR="00C54F26" w:rsidRDefault="00C54F26" w:rsidP="00C54F26">
      <w:pPr>
        <w:pStyle w:val="TextoNormal"/>
      </w:pPr>
      <w:r>
        <w:t>Sin embargo, el tribunal denegó la adopción de aquella medida de suspensión cautelar, lo que determinó que el acto colectivo convocado no tuviera lugar en la citada fecha, al no haber sido alzada la prohibición de celebrarlo acordada por la autoridad gubernativa y confirmada por la resolución judicial impugnada.</w:t>
      </w:r>
    </w:p>
    <w:p w:rsidR="00C54F26" w:rsidRDefault="00C54F26" w:rsidP="00C54F26">
      <w:pPr>
        <w:pStyle w:val="TextoNormal"/>
      </w:pPr>
    </w:p>
    <w:p w:rsidR="00C54F26" w:rsidRDefault="00C54F26" w:rsidP="00C54F26">
      <w:pPr>
        <w:pStyle w:val="TextoNormal"/>
      </w:pPr>
      <w:r>
        <w:t>Pese a ello, la parte recurrente sigue solicitando, aunque sea a los meros efectos declarativos, que este tribunal dicte auto accediendo a la suspensión cautelar de la ejecución de la sentencia del Tribunal Superior de Justicia. Por su parte, el Ministerio Fiscal postula la desestimación de la medida cautelar, por pérdida sobrevenida de objeto. De modo subsidiario, interesa su denegación porque, de ser concedida dicha suspensión, llevaría consigo una anticipación del fallo en la cuestión de fondo controvertida.</w:t>
      </w:r>
    </w:p>
    <w:p w:rsidR="00C54F26" w:rsidRDefault="00C54F26" w:rsidP="00C54F26">
      <w:pPr>
        <w:pStyle w:val="TextoNormal"/>
      </w:pPr>
    </w:p>
    <w:p w:rsidR="00C54F26" w:rsidRDefault="00C54F26" w:rsidP="00C54F26">
      <w:pPr>
        <w:pStyle w:val="TextoNormal"/>
      </w:pPr>
      <w:r w:rsidRPr="00C54F26">
        <w:rPr>
          <w:rStyle w:val="NumeroAFNegritaCaracter"/>
        </w:rPr>
        <w:t>3</w:t>
      </w:r>
      <w:r>
        <w:t>. En el caso de autos, la fecha señalada para la celebración del acto de concentración en la Plaza de Cibeles de Madrid era esencial y guardaba una íntima conexión con el motivo de su ejercicio, toda vez que, como se indica en la demanda de amparo, tenía por objeto la celebración del Día Internacional de la Mujer. La jornada transcurrió sin que llegara a realizarse la concentración programada, por lo que, como sostiene el Ministerio Fiscal, la medida cautelar solicitada ha perdido su objeto de modo sobrevenido.</w:t>
      </w:r>
    </w:p>
    <w:p w:rsidR="00C54F26" w:rsidRDefault="00C54F26" w:rsidP="00C54F26">
      <w:pPr>
        <w:pStyle w:val="TextoNormal"/>
      </w:pPr>
    </w:p>
    <w:p w:rsidR="00C54F26" w:rsidRDefault="00C54F26" w:rsidP="00C54F26">
      <w:pPr>
        <w:pStyle w:val="TextoNormal"/>
      </w:pPr>
      <w:r>
        <w:t xml:space="preserve">Sin embargo, no podemos detener aquí nuestro enjuiciamiento porque el demandante ha reiterado su solicitud de suspensión cautelar en el escrito incorporado a esta pieza, dado que </w:t>
      </w:r>
      <w:r>
        <w:lastRenderedPageBreak/>
        <w:t>pretende que este tribunal, a los meros efectos declarativos, resuelva sobre la petición así formalizada y acceda a su adopción.</w:t>
      </w:r>
    </w:p>
    <w:p w:rsidR="00C54F26" w:rsidRDefault="00C54F26" w:rsidP="00C54F26">
      <w:pPr>
        <w:pStyle w:val="TextoNormal"/>
      </w:pPr>
    </w:p>
    <w:p w:rsidR="00C54F26" w:rsidRDefault="00C54F26" w:rsidP="00C54F26">
      <w:pPr>
        <w:pStyle w:val="TextoNormal"/>
      </w:pPr>
      <w:r>
        <w:t xml:space="preserve">Pues bien, como hemos dicho </w:t>
      </w:r>
      <w:r w:rsidRPr="00C54F26">
        <w:rPr>
          <w:i/>
        </w:rPr>
        <w:t>ut supra</w:t>
      </w:r>
      <w:r>
        <w:t xml:space="preserve"> es “constante la doctrina de que la suspensión no puede anticipar el amparo que se solicita, de modo que si su concesión conlleva tal anticipación, ello se convierte en causa para denegarla” por todos, ATC 52/2020, de 15 de junio, FJ 2 y las resoluciones aludidas en el mismo. De ahí que, como sostiene el Ministerio Fiscal, tampoco resulte procedente acceder a la suspensión de la ejecución de la sentencia impugnada, toda vez que ello requeriría una ponderación de los derechos e intereses generales en conflicto, que deben ser objeto de enjuiciamiento en la sentencia que este tribunal dicte en relación con la queja presentada por el sindicato recurrente. La petición excede de los efectos cautelares propios de esta pieza incidental.</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suspensión cautelar de la ejecución de la sentencia de 7 de marzo de 2021, dictada por la Sección Décima de la Sala de lo Contencioso-Administrativo del Tribunal Superior de Justicia, solicitada por el recurrente de amparo.</w:t>
      </w:r>
    </w:p>
    <w:p w:rsidR="00C54F26" w:rsidRDefault="00C54F26" w:rsidP="00C54F26">
      <w:pPr>
        <w:pStyle w:val="TextoNormal"/>
      </w:pPr>
    </w:p>
    <w:p w:rsidR="00C54F26" w:rsidRDefault="00C54F26" w:rsidP="00C54F26">
      <w:pPr>
        <w:pStyle w:val="TextoNormal"/>
      </w:pPr>
      <w:r>
        <w:t>Madrid, a veintidós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4" w:name="AUTO_2021_53"/>
      <w:r>
        <w:lastRenderedPageBreak/>
        <w:t>AUTO 53/2021, de 28 de abril de 2021</w:t>
      </w:r>
    </w:p>
    <w:bookmarkEnd w:id="194"/>
    <w:p w:rsidR="00C54F26" w:rsidRDefault="00C54F26" w:rsidP="00C54F26">
      <w:pPr>
        <w:pStyle w:val="TtuloResolucin"/>
      </w:pPr>
      <w:r>
        <w:t>Sección Segunda</w:t>
      </w:r>
    </w:p>
    <w:p w:rsidR="00C54F26" w:rsidRDefault="00C54F26" w:rsidP="00C54F26">
      <w:pPr>
        <w:pStyle w:val="TextoNormalCentrado"/>
      </w:pPr>
      <w:r>
        <w:t>ECLI:ES:TC:2021:53A</w:t>
      </w:r>
    </w:p>
    <w:p w:rsidR="00C54F26" w:rsidRDefault="00C54F26" w:rsidP="00C54F26">
      <w:pPr>
        <w:pStyle w:val="TextoNormalCentrado"/>
      </w:pPr>
    </w:p>
    <w:p w:rsidR="00C54F26" w:rsidRDefault="00C54F26" w:rsidP="00C54F26">
      <w:pPr>
        <w:pStyle w:val="SntesisDescriptiva"/>
      </w:pPr>
      <w:r>
        <w:t>Excms. Srs. don Andrés Ollero Tassara y doña María Luisa Balaguer Callejón.</w:t>
      </w:r>
    </w:p>
    <w:p w:rsidR="00C54F26" w:rsidRDefault="00C54F26" w:rsidP="00C54F26">
      <w:pPr>
        <w:pStyle w:val="SntesisDescriptiva"/>
      </w:pPr>
    </w:p>
    <w:p w:rsidR="00C54F26" w:rsidRDefault="00C54F26" w:rsidP="00C54F26">
      <w:pPr>
        <w:pStyle w:val="SntesisDescriptiva"/>
      </w:pPr>
      <w:r>
        <w:t>Acepta una abstención en el recurso de amparo 3123-2020, promovido por don José Manuel Ramírez Sineiro,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En el recurso de amparo núm. 3123-2020 se impugna sentencia de la Sala de lo Civil del Tribunal Supremo núm. 83/2020, de 5 de febrero de 2020, y la providencia de 15 de junio de 2020 dictada por la misma Sala por la que se inadmite el incidente de nulidad de actuaciones interpuesto contra la referida sentencia, dictadas en el recurso de casación núm. 1348-2019.</w:t>
      </w:r>
    </w:p>
    <w:p w:rsidR="00C54F26" w:rsidRDefault="00C54F26" w:rsidP="00C54F26">
      <w:pPr>
        <w:pStyle w:val="TextoNormal"/>
      </w:pPr>
    </w:p>
    <w:p w:rsidR="00C54F26" w:rsidRDefault="00C54F26" w:rsidP="00C54F26">
      <w:pPr>
        <w:pStyle w:val="TextoNormal"/>
      </w:pPr>
      <w:r>
        <w:t>Mediante escrito fechado el 5 de abril de 2021 el magistrado don Santiago Martínez-Vares García comunicó a los efectos oportunos que se abstenía de intervenir en el antes indicado recurso de amparo, de conformidad con el artículo 80 de la Ley Orgánica del Tribunal Constitucional, por concurrir la causa de abstención prevista en el artículo 219.9 de la Ley Orgánica del Poder Judicial.</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Vista la comunicación efectuada por don Santiago Martínez-Vares García, magistrado de esta Sección Segunda del Tribunal Constitucional, la Sección, en virtud de lo previsto en el artículo 219.9 de la Ley Orgánica del Poder Judicial, supletoria de la Ley Orgánica del Tribunal Constitucional (art. 80), estima justificada la causa de abstención formulada.</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Estimar justificada la abstención formulada por el magistrado don Santiago Martínez-Vares García en el recurso de amparo núm. 3123-2020, apartándole definitivamente del conocimiento del referido recurso y de todas sus incidencias.</w:t>
      </w:r>
    </w:p>
    <w:p w:rsidR="00C54F26" w:rsidRDefault="00C54F26" w:rsidP="00C54F26">
      <w:pPr>
        <w:pStyle w:val="TextoNormal"/>
      </w:pPr>
    </w:p>
    <w:p w:rsidR="00C54F26" w:rsidRDefault="00C54F26" w:rsidP="00C54F26">
      <w:pPr>
        <w:pStyle w:val="TextoNormal"/>
      </w:pPr>
      <w:r>
        <w:t>Madrid, a veintiocho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5" w:name="AUTO_2021_54"/>
      <w:r>
        <w:lastRenderedPageBreak/>
        <w:t>AUTO 54/2021, de 29 de abril de 2021</w:t>
      </w:r>
    </w:p>
    <w:bookmarkEnd w:id="195"/>
    <w:p w:rsidR="00C54F26" w:rsidRDefault="00C54F26" w:rsidP="00C54F26">
      <w:pPr>
        <w:pStyle w:val="TtuloResolucin"/>
      </w:pPr>
      <w:r>
        <w:t>Sección Cuarta</w:t>
      </w:r>
    </w:p>
    <w:p w:rsidR="00C54F26" w:rsidRDefault="00C54F26" w:rsidP="00C54F26">
      <w:pPr>
        <w:pStyle w:val="TextoNormalCentrado"/>
      </w:pPr>
      <w:r>
        <w:t>ECLI:ES:TC:2021:54A</w:t>
      </w:r>
    </w:p>
    <w:p w:rsidR="00C54F26" w:rsidRDefault="00C54F26" w:rsidP="00C54F26">
      <w:pPr>
        <w:pStyle w:val="TextoNormalCentrado"/>
      </w:pPr>
    </w:p>
    <w:p w:rsidR="00C54F26" w:rsidRDefault="00C54F26" w:rsidP="00C54F26">
      <w:pPr>
        <w:pStyle w:val="SntesisDescriptiva"/>
      </w:pPr>
      <w:r>
        <w:t>Excms. Srs. don Antonio Narváez Rodríguez y don Ricardo Enríquez Sancho.</w:t>
      </w:r>
    </w:p>
    <w:p w:rsidR="00C54F26" w:rsidRDefault="00C54F26" w:rsidP="00C54F26">
      <w:pPr>
        <w:pStyle w:val="SntesisDescriptiva"/>
      </w:pPr>
    </w:p>
    <w:p w:rsidR="00C54F26" w:rsidRDefault="00C54F26" w:rsidP="00C54F26">
      <w:pPr>
        <w:pStyle w:val="SntesisDescriptiva"/>
      </w:pPr>
      <w:r>
        <w:t>Desestima el recurso de súplica interpuesto por el Ministerio Fiscal sobre inadmisión del recurso de amparo 5983-2020, promovido por don Miguel Alejandro Hernández Díaz,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Con fecha 3 de diciembre de 2020, tuvo entrada en el registro general de este Tribunal Constitucional un escrito del procurador don Álvaro García de la Noceda de las Alas Pumariño, en representación de don Miguel Alejandro Hernández Díaz, por el que interpuso recurso de amparo contra la sentencia de la Sala de lo Contencioso-Administrativo, Sección Séptima, de la Audiencia Nacional, de 3 de noviembre de 2020, que desestimó el recurso contencioso-administrativo (procedimiento ordinario núm. 2520-2019), promovido contra la resolución de la directora general de Política Interior del Ministerio del Interior, de 16 de octubre de 2020 denegatoria de la solicitud de protección internacional.</w:t>
      </w:r>
    </w:p>
    <w:p w:rsidR="00C54F26" w:rsidRDefault="00C54F26" w:rsidP="00C54F26">
      <w:pPr>
        <w:pStyle w:val="TextoNormal"/>
      </w:pPr>
    </w:p>
    <w:p w:rsidR="00C54F26" w:rsidRDefault="00C54F26" w:rsidP="00C54F26">
      <w:pPr>
        <w:pStyle w:val="TextoNormal"/>
      </w:pPr>
      <w:r>
        <w:t>La sentencia contenía el siguiente pie de recurso: “La presente sentencia es susceptible de recurso de casación que deberá prepararse ante esta Sala en el plazo de treinta días contados desde el siguiente al de su notificación; en el escrito de preparación del recurso deberá acreditarse el cumplimiento de los requisitos establecidos en el artículo 89.2 de la Ley de la jurisdicción, justificando el interés casacional objetivo que presenta”.</w:t>
      </w:r>
    </w:p>
    <w:p w:rsidR="00C54F26" w:rsidRDefault="00C54F26" w:rsidP="00C54F26">
      <w:pPr>
        <w:pStyle w:val="TextoNormal"/>
      </w:pPr>
    </w:p>
    <w:p w:rsidR="00C54F26" w:rsidRDefault="00C54F26" w:rsidP="00C54F26">
      <w:pPr>
        <w:pStyle w:val="TextoNormal"/>
      </w:pPr>
      <w:r w:rsidRPr="00C54F26">
        <w:rPr>
          <w:rStyle w:val="NumeroAFNegritaCaracter"/>
        </w:rPr>
        <w:t>2</w:t>
      </w:r>
      <w:r>
        <w:t>. Notificada la sentencia se interpuso directamente la demanda de amparo, en la que se alega la vulneración por aquella del derecho fundamental a la tutela judicial efectiva (art. 24.1 CE), por no haber estimado su pretensión de fondo.</w:t>
      </w:r>
    </w:p>
    <w:p w:rsidR="00C54F26" w:rsidRDefault="00C54F26" w:rsidP="00C54F26">
      <w:pPr>
        <w:pStyle w:val="TextoNormal"/>
      </w:pPr>
    </w:p>
    <w:p w:rsidR="00C54F26" w:rsidRDefault="00C54F26" w:rsidP="00C54F26">
      <w:pPr>
        <w:pStyle w:val="TextoNormal"/>
      </w:pPr>
      <w:r>
        <w:t>En el apartado D) del escrito de demanda, dedicado a los “requisitos de admisibilidad”, epígrafe III, se indica lo que sigue:</w:t>
      </w:r>
    </w:p>
    <w:p w:rsidR="00C54F26" w:rsidRDefault="00C54F26" w:rsidP="00C54F26">
      <w:pPr>
        <w:pStyle w:val="TextoNormal"/>
      </w:pPr>
    </w:p>
    <w:p w:rsidR="00C54F26" w:rsidRDefault="00C54F26" w:rsidP="00C54F26">
      <w:pPr>
        <w:pStyle w:val="TextoNormal"/>
      </w:pPr>
      <w:r>
        <w:t>“El presente recurso de amparo constitucional se interpone contra un acto procedente de un órgano judicial, acreditándose lo siguiente:</w:t>
      </w:r>
    </w:p>
    <w:p w:rsidR="00C54F26" w:rsidRDefault="00C54F26" w:rsidP="00C54F26">
      <w:pPr>
        <w:pStyle w:val="TextoNormal"/>
      </w:pPr>
    </w:p>
    <w:p w:rsidR="00C54F26" w:rsidRDefault="00C54F26" w:rsidP="00C54F26">
      <w:pPr>
        <w:pStyle w:val="TextoNormal"/>
      </w:pPr>
      <w:r>
        <w:t>1º.- Este recurso se interpone contra una resolución firme habiéndose agotado todos los recursos en vía judicial [art. 44.1 a) LOTC]”.</w:t>
      </w:r>
    </w:p>
    <w:p w:rsidR="00C54F26" w:rsidRDefault="00C54F26" w:rsidP="00C54F26">
      <w:pPr>
        <w:pStyle w:val="TextoNormal"/>
      </w:pPr>
    </w:p>
    <w:p w:rsidR="00C54F26" w:rsidRDefault="00C54F26" w:rsidP="00C54F26">
      <w:pPr>
        <w:pStyle w:val="TextoNormal"/>
      </w:pPr>
      <w:r w:rsidRPr="00C54F26">
        <w:rPr>
          <w:rStyle w:val="NumeroAFNegritaCaracter"/>
        </w:rPr>
        <w:t>3</w:t>
      </w:r>
      <w:r>
        <w:t>. La Sección Cuarta, Sala Segunda, de este Tribunal Constitucional, dictó providencia el 5 de marzo de 2021 con el siguiente tenor:</w:t>
      </w:r>
    </w:p>
    <w:p w:rsidR="00C54F26" w:rsidRDefault="00C54F26" w:rsidP="00C54F26">
      <w:pPr>
        <w:pStyle w:val="TextoNormal"/>
      </w:pPr>
    </w:p>
    <w:p w:rsidR="00C54F26" w:rsidRDefault="00C54F26" w:rsidP="00C54F26">
      <w:pPr>
        <w:pStyle w:val="TextoNormal"/>
      </w:pPr>
      <w:r>
        <w:lastRenderedPageBreak/>
        <w:t>“La Sección ha examinado el recurso presentado y ha acordado no admitirlo a trámite con arreglo a lo previsto en el art. 50.1 a) de la Ley Orgánica del Tribunal Constitucional (LOTC), en relación con su art. 44.1 a), toda vez que el recurrente no ha agotado debidamente los medios de impugnación dentro de la vía judicial (no interposición del incidente de nulidad de actuaciones previsto en el art. 241.1 LOPJ).</w:t>
      </w:r>
    </w:p>
    <w:p w:rsidR="00C54F26" w:rsidRDefault="00C54F26" w:rsidP="00C54F26">
      <w:pPr>
        <w:pStyle w:val="TextoNormal"/>
      </w:pPr>
    </w:p>
    <w:p w:rsidR="00C54F26" w:rsidRDefault="00C54F26" w:rsidP="00C54F26">
      <w:pPr>
        <w:pStyle w:val="TextoNormal"/>
      </w:pPr>
      <w:r>
        <w:t>Notifíquese con indicación de que, si el Ministerio Fiscal no hubiere interpuesto recurso de súplica en el plazo legal de tres días, se archivarán estas actuaciones sin más trámite (art. 50.3 LOTC)”.</w:t>
      </w:r>
    </w:p>
    <w:p w:rsidR="00C54F26" w:rsidRDefault="00C54F26" w:rsidP="00C54F26">
      <w:pPr>
        <w:pStyle w:val="TextoNormal"/>
      </w:pPr>
    </w:p>
    <w:p w:rsidR="00C54F26" w:rsidRDefault="00C54F26" w:rsidP="00C54F26">
      <w:pPr>
        <w:pStyle w:val="TextoNormal"/>
      </w:pPr>
      <w:r w:rsidRPr="00C54F26">
        <w:rPr>
          <w:rStyle w:val="NumeroAFNegritaCaracter"/>
        </w:rPr>
        <w:t>4</w:t>
      </w:r>
      <w:r>
        <w:t>. Con fecha 25 de marzo de 2021, el fiscal ante este Tribunal Constitucional interpuso recurso de súplica contra la providencia de 5 de marzo de 2021, interesando en su escrito que con estimación del recurso se proceda a dejar sin efecto la resolución impugnada, “y reponer las actuaciones al momento anterior a dictarse dicha providencia”.</w:t>
      </w:r>
    </w:p>
    <w:p w:rsidR="00C54F26" w:rsidRDefault="00C54F26" w:rsidP="00C54F26">
      <w:pPr>
        <w:pStyle w:val="TextoNormal"/>
      </w:pPr>
    </w:p>
    <w:p w:rsidR="00C54F26" w:rsidRDefault="00C54F26" w:rsidP="00C54F26">
      <w:pPr>
        <w:pStyle w:val="TextoNormal"/>
      </w:pPr>
      <w:r>
        <w:t>En su escrito, tras recordar cuál fue el pie de recurso de la sentencia de instancia e indicar que de la documentación recibida por la fiscalía de este tribunal “no consta que por el recurrente se haya preparado o se haya interpuesto el recurso de casación frente a la sentencia que es objeto del recurso de amparo”, el fiscal sostiene que “el recurrente no habría agotado los medios de impugnación previsto en las normas procesales para el caso concreto dentro de la vía judicial, en el presente caso, era necesario la interposición del recurso de casación (art. 86.1 de la Ley reguladora de la jurisdicción contencioso-administrativa), circunstancia que no cumplimentó […]. En consecuencia, consideramos que no procedería la mención de ‘no interposición del incidente de nulidad de actuaciones previsto en el art. 241.1 LOPJ”.</w:t>
      </w:r>
    </w:p>
    <w:p w:rsidR="00C54F26" w:rsidRDefault="00C54F26" w:rsidP="00C54F26">
      <w:pPr>
        <w:pStyle w:val="TextoNormal"/>
      </w:pPr>
    </w:p>
    <w:p w:rsidR="00C54F26" w:rsidRDefault="00C54F26" w:rsidP="00C54F26">
      <w:pPr>
        <w:pStyle w:val="TextoNormal"/>
      </w:pPr>
      <w:r w:rsidRPr="00C54F26">
        <w:rPr>
          <w:rStyle w:val="NumeroAFNegritaCaracter"/>
        </w:rPr>
        <w:t>5</w:t>
      </w:r>
      <w:r>
        <w:t>. Por diligencia de ordenación de la secretaria de justicia de la Sección Cuarta de este tribunal, se acordó unir a las actuaciones el escrito del fiscal, dando plazo de tres días a la parte recurrente para formular alegaciones, sin que conste haberlas realizado.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fiscal ante este tribunal ha interpuesto recurso de súplica (art. 50.3 LOTC) contra la providencia de esta Sección Cuarta que acordó inadmitir la demanda de amparo del recurrente por falta de agotamiento de la vía judicial previa [art. 44.1 a) LOTC], al no haber interpuesto incidente de nulidad de actuaciones contra la sentencia de instancia. A criterio del fiscal, sin embargo, la parte debió deducir necesariamente recurso de casación contra dicha sentencia, por lo que al no haberlo hecho el recurso de amparo efectivamente debe ser inadmitido por falta de agotamiento, pero suprimiendo la mención al incidente de nulidad de actuaciones, con revocación de aquella providencia para que se dicte otra en su lugar.</w:t>
      </w:r>
    </w:p>
    <w:p w:rsidR="00C54F26" w:rsidRDefault="00C54F26" w:rsidP="00C54F26">
      <w:pPr>
        <w:pStyle w:val="TextoNormal"/>
      </w:pPr>
    </w:p>
    <w:p w:rsidR="00C54F26" w:rsidRDefault="00C54F26" w:rsidP="00C54F26">
      <w:pPr>
        <w:pStyle w:val="TextoNormal"/>
      </w:pPr>
      <w:r w:rsidRPr="00C54F26">
        <w:rPr>
          <w:rStyle w:val="NumeroAFNegritaCaracter"/>
        </w:rPr>
        <w:t>2</w:t>
      </w:r>
      <w:r>
        <w:t>. En los términos con que se plantea el recurso de súplica del fiscal, el mismo debe ser desestimado.</w:t>
      </w:r>
    </w:p>
    <w:p w:rsidR="00C54F26" w:rsidRDefault="00C54F26" w:rsidP="00C54F26">
      <w:pPr>
        <w:pStyle w:val="TextoNormal"/>
      </w:pPr>
    </w:p>
    <w:p w:rsidR="00C54F26" w:rsidRDefault="00C54F26" w:rsidP="00C54F26">
      <w:pPr>
        <w:pStyle w:val="TextoNormal"/>
      </w:pPr>
      <w:r>
        <w:t xml:space="preserve">El recurso de casación contencioso-administrativo es un recurso extraordinario que, por tanto, no procede en todo caso sino que exige para su procedencia en cada caso concreto, el </w:t>
      </w:r>
      <w:r>
        <w:lastRenderedPageBreak/>
        <w:t>cumplimiento de requisitos no solo de forma sino también sustanciales, como es la acreditación de la existencia de un “interés casacional objetivo”, en los términos descritos por el art. 88 de la Ley reguladora de la jurisdicción contencioso-administrativa [por todas, STC 98/2020, de 22 de julio, FJ 2 B), y las que ahí se citan].</w:t>
      </w:r>
    </w:p>
    <w:p w:rsidR="00C54F26" w:rsidRDefault="00C54F26" w:rsidP="00C54F26">
      <w:pPr>
        <w:pStyle w:val="TextoNormal"/>
      </w:pPr>
    </w:p>
    <w:p w:rsidR="00C54F26" w:rsidRDefault="00C54F26" w:rsidP="00C54F26">
      <w:pPr>
        <w:pStyle w:val="TextoNormal"/>
      </w:pPr>
      <w:r>
        <w:t>En el pie de recurso de la sentencia de instancia, si bien se ofrece la posibilidad de interponer el recurso de casación contra ella, se advierte que para su procedencia resultará necesario que “en el escrito de preparación del recurso deberá acreditarse el cumplimiento de los requisitos establecidos en el artículo 89.2 de la Ley de la jurisdicción, justificando el interés casacional objetivo que presenta”. Por tanto, el pie de recurso no garantiza la procedencia del recurso en este caso, solamente que el tipo de resolución dictada (sentencia de instancia de un Tribunal Superior de Justicia de una Comunidad Autónoma) es recurrible en casación, dejando a la parte la comprobación última de si concurren todos los requisitos para interponerlo.</w:t>
      </w:r>
    </w:p>
    <w:p w:rsidR="00C54F26" w:rsidRDefault="00C54F26" w:rsidP="00C54F26">
      <w:pPr>
        <w:pStyle w:val="TextoNormal"/>
      </w:pPr>
    </w:p>
    <w:p w:rsidR="00C54F26" w:rsidRDefault="00C54F26" w:rsidP="00C54F26">
      <w:pPr>
        <w:pStyle w:val="TextoNormal"/>
      </w:pPr>
      <w:r>
        <w:t>Así las cosas, y no constando promovida la casación por el aquí recurrente de amparo, en su demanda este no explica por qué no resultaba un recurso procedente, limitándose a decir que el amparo se interpone contra una resolución firme “habiéndose agotado todos los recursos en vía judicial”. No siendo por tanto un recurso ordinario que quepa en todo caso, y no correspondiendo a este tribunal la labor de sustituir al recurrente en la carga de alegar si cumplía o no con los requisitos para su interposición, la alternativa por fuerza era la promoción por su parte de un incidente de nulidad de actuaciones [art. 241 de la Ley Orgánica del Poder Judicial (LOPJ)], con el fin de impetrar ante la sección competente de la Audiencia Nacional la reparación del derecho fundamental que se dice vulnerado por esta, cosa que sin embargo no hizo.</w:t>
      </w:r>
    </w:p>
    <w:p w:rsidR="00C54F26" w:rsidRDefault="00C54F26" w:rsidP="00C54F26">
      <w:pPr>
        <w:pStyle w:val="TextoNormal"/>
      </w:pPr>
    </w:p>
    <w:p w:rsidR="00C54F26" w:rsidRDefault="00C54F26" w:rsidP="00C54F26">
      <w:pPr>
        <w:pStyle w:val="TextoNormal"/>
      </w:pPr>
      <w:r>
        <w:t>De allí que nuestra providencia de 5 de marzo de 2021 haya especificado esta circunstancia, la inadmisión del recurso al no haber agotado debidamente los medios de impugnación dentro de la vía judicial, por la no interposición del incidente de nulidad de actuaciones. No ha lugar por tanto a revocar dicha decisión.</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Desestimar el recurso de súplica del fiscal.</w:t>
      </w:r>
    </w:p>
    <w:p w:rsidR="00C54F26" w:rsidRDefault="00C54F26" w:rsidP="00C54F26">
      <w:pPr>
        <w:pStyle w:val="TextoNormal"/>
      </w:pPr>
    </w:p>
    <w:p w:rsidR="00C54F26" w:rsidRDefault="00C54F26" w:rsidP="00C54F26">
      <w:pPr>
        <w:pStyle w:val="TextoNormal"/>
      </w:pPr>
      <w:r>
        <w:t>Madrid, a veintinueve de abril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6" w:name="AUTO_2021_55"/>
      <w:r>
        <w:lastRenderedPageBreak/>
        <w:t>AUTO 55/2021, de 10 de mayo de 2021</w:t>
      </w:r>
    </w:p>
    <w:bookmarkEnd w:id="196"/>
    <w:p w:rsidR="00C54F26" w:rsidRDefault="00C54F26" w:rsidP="00C54F26">
      <w:pPr>
        <w:pStyle w:val="TtuloResolucin"/>
      </w:pPr>
      <w:r>
        <w:t>Sala Segunda</w:t>
      </w:r>
    </w:p>
    <w:p w:rsidR="00C54F26" w:rsidRDefault="00C54F26" w:rsidP="00C54F26">
      <w:pPr>
        <w:pStyle w:val="TextoNormalCentrado"/>
      </w:pPr>
      <w:r>
        <w:t>ECLI:ES:TC:2021:55A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Acuerda la suspensión en el recurso de amparo 5467-2019, promovido por don Víctor Hugo Sánchez Mina,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26 de septiembre de 2019, don Víctor Hugo Sánchez Mina, representado por la procuradora de los tribunales doña María Isabel García Martínez, bajo la dirección del letrado don Miguel Cobas Pascual, interpuso recurso de amparo contra la providencia de la Sección Primera de la Sala de lo Contencioso-Administrativo del Tribunal Supremo de 18 de julio de 2019, por la que se inadmite el recurso de casación núm. 2615-2019, interpuesto contra la sentencia de la Sección Segunda de la Sala de lo Contencioso-Administrativo del Tribunal Superior de Justicia de Madrid núm. 86/2019, de 6 de febrero de 2019, por la que se desestima el recurso de apelación núm. 668-2018, interpuesto contra la sentencia núm. 95/2018 del Juzgado de lo Contencioso-Administrativo núm. 9 de Madrid, de 9 de abril de 2018, pronunciada en el procedimiento abreviado núm. 213-2017, por la que se desestima el recurso interpuesto contra la resolución de la delegada del Gobierno en Madrid de 30 de diciembre de 2016, pronunciada en el expediente sancionador núm. 280020160018293, en que se acuerda la expulsión de territorio nacional con la prohibición de entrada en España por un periodo de tres años.</w:t>
      </w:r>
    </w:p>
    <w:p w:rsidR="00C54F26" w:rsidRDefault="00C54F26" w:rsidP="00C54F26">
      <w:pPr>
        <w:pStyle w:val="TextoNormal"/>
      </w:pPr>
    </w:p>
    <w:p w:rsidR="00C54F26" w:rsidRDefault="00C54F26" w:rsidP="00C54F26">
      <w:pPr>
        <w:pStyle w:val="TextoNormal"/>
      </w:pPr>
      <w:r>
        <w:t>En la demanda de amparo el recurrente solicita la suspensión de las resoluciones impugnadas argumentando, con cita de diversa jurisprudencia constitucional (AATC 82/1999, de 12 de abril; 356/2008, de 10 de noviembre, y 156/2010, de 15 de noviembre) que la ejecución de la expulsión del territorio nacional provocaría perjuicios de carácter personal, económico y familiar de imposible resarcimiento.</w:t>
      </w:r>
    </w:p>
    <w:p w:rsidR="00C54F26" w:rsidRDefault="00C54F26" w:rsidP="00C54F26">
      <w:pPr>
        <w:pStyle w:val="TextoNormal"/>
      </w:pPr>
    </w:p>
    <w:p w:rsidR="00C54F26" w:rsidRDefault="00C54F26" w:rsidP="00C54F26">
      <w:pPr>
        <w:pStyle w:val="TextoNormal"/>
      </w:pPr>
      <w:r w:rsidRPr="00C54F26">
        <w:rPr>
          <w:rStyle w:val="NumeroAFNegritaCaracter"/>
        </w:rPr>
        <w:t>2</w:t>
      </w:r>
      <w:r>
        <w:t>. La Sección Tercera de este tribunal por sendas providencias de 10 de marzo de 2021,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3</w:t>
      </w:r>
      <w:r>
        <w:t>. El Ministerio Fiscal, por escrito registrado el 15 de abril de 2021, presentó alegaciones interesando que se acceda a la suspensión solicitada en aplicación de la jurisprudencia constitucional sobre la suspensión de la sanción de expulsión que establece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(ATC 47/2016, de 29 de febrero, FJ 2).</w:t>
      </w:r>
    </w:p>
    <w:p w:rsidR="00C54F26" w:rsidRDefault="00C54F26" w:rsidP="00C54F26">
      <w:pPr>
        <w:pStyle w:val="TextoNormal"/>
      </w:pPr>
    </w:p>
    <w:p w:rsidR="00C54F26" w:rsidRDefault="00C54F26" w:rsidP="00C54F26">
      <w:pPr>
        <w:pStyle w:val="TextoNormal"/>
      </w:pPr>
      <w:r w:rsidRPr="00C54F26">
        <w:rPr>
          <w:rStyle w:val="NumeroAFNegritaCaracter"/>
        </w:rPr>
        <w:t>4</w:t>
      </w:r>
      <w:r>
        <w:t>. El recurrente no ha presentado alegaciones.</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determinar la procedencia o no de acordar la suspensión de las resoluciones impugnadas en la medida en que se acuerda la expulsión del recurrente del territorio nacional y la prohibición de entrada en España por un periodo de tres años.</w:t>
      </w:r>
    </w:p>
    <w:p w:rsidR="00C54F26" w:rsidRDefault="00C54F26" w:rsidP="00C54F26">
      <w:pPr>
        <w:pStyle w:val="TextoNormal"/>
      </w:pPr>
    </w:p>
    <w:p w:rsidR="00C54F26" w:rsidRDefault="00C54F26" w:rsidP="00C54F26">
      <w:pPr>
        <w:pStyle w:val="TextoNormal"/>
      </w:pPr>
      <w:r w:rsidRPr="00C54F26">
        <w:rPr>
          <w:rStyle w:val="NumeroAFNegritaCaracter"/>
        </w:rPr>
        <w:t>2</w:t>
      </w:r>
      <w:r>
        <w:t>.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condición que “la suspensión no ocasione perturbación grave a un interés constitucionalmente protegido, ni a los derechos fundamentales o libertades de otra persona”.</w:t>
      </w:r>
    </w:p>
    <w:p w:rsidR="00C54F26" w:rsidRDefault="00C54F26" w:rsidP="00C54F26">
      <w:pPr>
        <w:pStyle w:val="TextoNormal"/>
      </w:pPr>
    </w:p>
    <w:p w:rsidR="00C54F26" w:rsidRDefault="00C54F26" w:rsidP="00C54F26">
      <w:pPr>
        <w:pStyle w:val="TextoNormal"/>
      </w:pPr>
      <w:r>
        <w:t>La jurisprudencia constitucional ha reiterado, en relación con la suspensión de la sanción de expulsión de territorio nacional y de prohibición de entrada en España, que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(AATC 82/1999, de 12 de abril, FJ 2; 356/2008, de 10 de noviembre, FJ único; 156/2010, de 15 de noviembre, FJ único; 66/2012, de 16 de abril, FJ 2; 116/2013, de 20 de mayo, FJ 2; 90/2015, de 25 de mayo, FJ 2; 47/2016, de 29 de febrero, FJ 2, y 133/2016, de 22 de junio, FJ 2).</w:t>
      </w:r>
    </w:p>
    <w:p w:rsidR="00C54F26" w:rsidRDefault="00C54F26" w:rsidP="00C54F26">
      <w:pPr>
        <w:pStyle w:val="TextoNormal"/>
      </w:pPr>
    </w:p>
    <w:p w:rsidR="00C54F26" w:rsidRDefault="00C54F26" w:rsidP="00C54F26">
      <w:pPr>
        <w:pStyle w:val="TextoNormal"/>
      </w:pPr>
      <w:r>
        <w:t>En el presente caso, en aplicación de lo expuesto y de acuerdo con lo que solicita el Ministerio Fiscal, resulta procedente acordar la suspensión de la expulsión del territorio nacional del recurrente y la prohibición de entrada durante tres años en España atendiendo al conjunto de circunstancias personales que se reflejan en las actuaciones y al hecho de que no cabe apreciar que dicha suspensión pueda originar una perturbación grave de los intereses generales ni de los derechos fundamentales o libertades públicas de un tercero.</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Suspender la ejecución de la resolución de la delegada del Gobierno en Madrid de 30 de diciembre de 2016, pronunciada en el expediente sancionador núm. 280020160018293, en que se acuerda la expulsión del recurrente de territorio nacional con la prohibición de entrada en España por un periodo de tres años.</w:t>
      </w:r>
    </w:p>
    <w:p w:rsidR="00C54F26" w:rsidRDefault="00C54F26" w:rsidP="00C54F26">
      <w:pPr>
        <w:pStyle w:val="TextoNormal"/>
      </w:pPr>
    </w:p>
    <w:p w:rsidR="00C54F26" w:rsidRDefault="00C54F26" w:rsidP="00C54F26">
      <w:pPr>
        <w:pStyle w:val="TextoNormal"/>
      </w:pPr>
      <w:r>
        <w:t>Madrid, a diez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7" w:name="AUTO_2021_56"/>
      <w:r>
        <w:lastRenderedPageBreak/>
        <w:t>AUTO 56/2021, de 10 de mayo de 2021</w:t>
      </w:r>
    </w:p>
    <w:bookmarkEnd w:id="197"/>
    <w:p w:rsidR="00C54F26" w:rsidRDefault="00C54F26" w:rsidP="00C54F26">
      <w:pPr>
        <w:pStyle w:val="TtuloResolucin"/>
      </w:pPr>
      <w:r>
        <w:t>Sala Segunda</w:t>
      </w:r>
    </w:p>
    <w:p w:rsidR="00C54F26" w:rsidRDefault="00C54F26" w:rsidP="00C54F26">
      <w:pPr>
        <w:pStyle w:val="TextoNormalCentrado"/>
      </w:pPr>
      <w:r>
        <w:t>ECLI:ES:TC:2021:56A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don Pedro José González-Trevijano Sánchez, don Antonio Narváez Rodríguez y don Ricardo Enríquez Sancho.</w:t>
      </w:r>
    </w:p>
    <w:p w:rsidR="00C54F26" w:rsidRDefault="00C54F26" w:rsidP="00C54F26">
      <w:pPr>
        <w:pStyle w:val="SntesisDescriptiva"/>
      </w:pPr>
    </w:p>
    <w:p w:rsidR="00C54F26" w:rsidRDefault="00C54F26" w:rsidP="00C54F26">
      <w:pPr>
        <w:pStyle w:val="SntesisDescriptiva"/>
      </w:pPr>
      <w:r>
        <w:t>Deniega la suspensión en el recurso de amparo 1264-2020, promovido por don Hassan Ashini, en procedimiento penitenciario.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día 14 de diciembre de 2020, la procuradora de los tribunales doña María Ángela Sánchez Fernández, en nombre y representación de don Hassan Ashini, bajo la dirección del letrado don Antonio Ortiz Fernández, interpuso recurso de amparo contra el auto de fecha 31 de enero de 2020, dictado por la Sección Sexta de la Audiencia Provincial de Tenerife en el recurso de apelación núm. 1087-2019, y contra el auto de fecha 7 de junio de 2019 dictado por el Juzgado de Vigilancia Penitenciaria núm. 2 de Canarias con sede en Santa Cruz de Tenerife en el expediente núm. 1361-2019.</w:t>
      </w:r>
    </w:p>
    <w:p w:rsidR="00C54F26" w:rsidRDefault="00C54F26" w:rsidP="00C54F26">
      <w:pPr>
        <w:pStyle w:val="TextoNormal"/>
      </w:pPr>
    </w:p>
    <w:p w:rsidR="00C54F26" w:rsidRDefault="00C54F26" w:rsidP="00C54F26">
      <w:pPr>
        <w:pStyle w:val="TextoNormal"/>
      </w:pPr>
      <w:r w:rsidRPr="00C54F26">
        <w:rPr>
          <w:rStyle w:val="NumeroAFNegritaCaracter"/>
        </w:rPr>
        <w:t>2</w:t>
      </w:r>
      <w:r>
        <w:t>. El recurrente alega la vulneración del derecho a la tutela judicial efectiva sin indefensión (art. 24.1 CE). Señala que la presente demanda de amparo trae causa de su solicitud como interno, preso en el centro penitenciario de Tenerife II, a la directora del mismo, para que le facilitara una copia del informe del educador social, de la psicóloga y de la trabajadora social, dictados en el seno de su expediente penitenciario, en relación con la denegación de permisos y progresión de grado de la que era objeto, denegación que asimismo confirmó el Juzgado de Vigilancia Penitenciaria desestimando la queja planteada al efecto, y ulteriormente la Sección Sexta de la Audiencia Provincial de Tenerife, que desestimó el recurso de apelación interpuesto contra la anterior. En definitiva, para el demandante, nos encontramos ante una motivación estereotipada, inadecuada, que no plasma las circunstancias propias de su caso y del interno. La ausencia total de identificación del caso, e incluso de los preceptos aplicables, convierte en imposible el conocimiento de las razones de la decisión, vulnerando con ello el derecho a la tutela judicial efectiva por ausencia de una resolución motivada.</w:t>
      </w:r>
    </w:p>
    <w:p w:rsidR="00C54F26" w:rsidRDefault="00C54F26" w:rsidP="00C54F26">
      <w:pPr>
        <w:pStyle w:val="TextoNormal"/>
      </w:pPr>
    </w:p>
    <w:p w:rsidR="00C54F26" w:rsidRDefault="00C54F26" w:rsidP="00C54F26">
      <w:pPr>
        <w:pStyle w:val="TextoNormal"/>
      </w:pPr>
      <w:r>
        <w:t xml:space="preserve">Insiste, de este modo, en que el derecho de acceso a los informes técnicos, al protocolo de personalidad, se ve reforzado, necesariamente, cuando el contenido de ellos afecta directamente, como es el caso, a la esfera jurídica del mismo (en particular a la denegación de permisos y grado), de modo que ese derecho se convierte en instrumental o medial de otros derechos, en cuanto al contenido de los archivos es medio de ejercicio de ese otro derecho, como solicitar los permisos o la progresión de grado, y del propio contenido, acreditación y fundamentación del mismo. Encuentra así vulnerado su derecho a la defensa, en cuanto no tiene conocimiento de los criterios utilizados para denegarle los permisos y la progresión en </w:t>
      </w:r>
      <w:r>
        <w:lastRenderedPageBreak/>
        <w:t>grado, desconociéndose la información existente en el protocolo de personalidad, para poder utilizar todos los medios para la defensa de sus intereses.</w:t>
      </w:r>
    </w:p>
    <w:p w:rsidR="00C54F26" w:rsidRDefault="00C54F26" w:rsidP="00C54F26">
      <w:pPr>
        <w:pStyle w:val="TextoNormal"/>
      </w:pPr>
    </w:p>
    <w:p w:rsidR="00C54F26" w:rsidRDefault="00C54F26" w:rsidP="00C54F26">
      <w:pPr>
        <w:pStyle w:val="TextoNormal"/>
      </w:pPr>
      <w:r w:rsidRPr="00C54F26">
        <w:rPr>
          <w:rStyle w:val="NumeroAFNegritaCaracter"/>
        </w:rPr>
        <w:t>3</w:t>
      </w:r>
      <w:r>
        <w:t>. En la demanda de amparo se solicita por otrosí que se suspenda la ejecución de la resolución impugnada, que deniega la concesión de copias del expediente personal penitenciario y protocolo de personalidad, informes de educador, psicóloga y trabajadora social, “a fin de no hacer ilusoria la eficacia del presente amparo constitucional que se impetra y evitar perjuicios irreparables”.</w:t>
      </w:r>
    </w:p>
    <w:p w:rsidR="00C54F26" w:rsidRDefault="00C54F26" w:rsidP="00C54F26">
      <w:pPr>
        <w:pStyle w:val="TextoNormal"/>
      </w:pPr>
    </w:p>
    <w:p w:rsidR="00C54F26" w:rsidRDefault="00C54F26" w:rsidP="00C54F26">
      <w:pPr>
        <w:pStyle w:val="TextoNormal"/>
      </w:pPr>
      <w:r w:rsidRPr="00C54F26">
        <w:rPr>
          <w:rStyle w:val="NumeroAFNegritaCaracter"/>
        </w:rPr>
        <w:t>4</w:t>
      </w:r>
      <w:r>
        <w:t>. La Sección Tercera de este tribunal, por providencia de 15 de marzo de 2021,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en consecuencia, dirigir atenta comunicación a la Sección Sexta de la Audiencia Provincial de Santa Cruz de Tenerife a fin de que, en plazo que no excediera de diez días, remitiera certificación o fotocopia adverada de las actuaciones correspondientes al recurso de apelación 1087-2019. Igualmente se acordó dirigir atenta comunicación al Juzgado de Vigilancia Penitenciaria núm. 2 de Canarias, con sede en Santa Cruz de Tenerife, a fin de que, en ese mismo plazo, remitiera certificación o fotocopia adverada de las actuaciones correspondientes al expediente núm. 1361-2019; debiendo previamente emplazarse, para que en el plazo de diez días pudieran comparecer, si lo deseaban, en el recurso de amparo a quienes hubieran sido parte en el procedimiento, excepto la parte recurrente en amparo. Por providencia de la misma fecha, la Sección Tercera del Tribunal Constitucional acordó formar la oportuna pieza de suspensión, en los términos del art. 56 LOTC, concediendo tres días al recurrente y al Ministerio Fiscal para alegaciones.</w:t>
      </w:r>
    </w:p>
    <w:p w:rsidR="00C54F26" w:rsidRDefault="00C54F26" w:rsidP="00C54F26">
      <w:pPr>
        <w:pStyle w:val="TextoNormal"/>
      </w:pPr>
    </w:p>
    <w:p w:rsidR="00C54F26" w:rsidRDefault="00C54F26" w:rsidP="00C54F26">
      <w:pPr>
        <w:pStyle w:val="TextoNormal"/>
      </w:pPr>
      <w:r w:rsidRPr="00C54F26">
        <w:rPr>
          <w:rStyle w:val="NumeroAFNegritaCaracter"/>
        </w:rPr>
        <w:t>5</w:t>
      </w:r>
      <w:r>
        <w:t>. La parte recurrente, por escrito registrado el día 26 de marzo de 2021, reiteró su solicitud señalando que efectivamente, si es objeto de la demanda de amparo precisamente la eventual lesión de los derechos fundamentales invocados derivados de la falta de facilitación de tales informes al interno, que se revelan, además, como imprescindibles para el debido ejercicio de sus derechos ante la administración penitenciaria y/o jurisdicción competente, procede en consecuencia que se habilite entre tanto su acceso y conocimiento, a fin de preservar tales derechos y que no se prolongue aún más el eventual perjuicio e indefensión que de ello derive. Si no se conocen tales informes por el interno, difícilmente puede ejercer sus derechos de queja, recurso, etc. con las mínimas garantías, abocándole a permanecer y a continuar en una situación de indefensión, pues las resoluciones que se dicten habrían prescindido del previo y debido conocimiento por parte del interno a la hora de formular y argumentar sus correspondientes quejas y recursos, tratándose pues en tales supuestos de un perjuicio irreparable aun para el caso de una eventual estimación del amparo solicitado, pues ya habrían ganado efectividad práctica las resoluciones que de tal situación hubieran derivado y ejecutado. De otro lado, ningún perjuicio se causa a terceros ni al interés general con dicha suspensión, por lo que no se atisba impedimento alguno.</w:t>
      </w:r>
    </w:p>
    <w:p w:rsidR="00C54F26" w:rsidRDefault="00C54F26" w:rsidP="00C54F26">
      <w:pPr>
        <w:pStyle w:val="TextoNormal"/>
      </w:pPr>
    </w:p>
    <w:p w:rsidR="00C54F26" w:rsidRDefault="00C54F26" w:rsidP="00C54F26">
      <w:pPr>
        <w:pStyle w:val="TextoNormal"/>
      </w:pPr>
      <w:r w:rsidRPr="00C54F26">
        <w:rPr>
          <w:rStyle w:val="NumeroAFNegritaCaracter"/>
        </w:rPr>
        <w:t>6</w:t>
      </w:r>
      <w:r>
        <w:t xml:space="preserve">. En escrito registrado con fecha de 15 de abril de 2021, el representante del Ministerio Fiscal ante este tribunal, tras exponer los antecedentes de hecho y la doctrina constitucional derivada de la aplicación del art. 56 LOTC, interesa la desestimación de la pretensión de </w:t>
      </w:r>
      <w:r>
        <w:lastRenderedPageBreak/>
        <w:t>suspensión que ha sido formulada, esto es, de las resoluciones que confirman la negativa a dar copia al interno de determinados informes.</w:t>
      </w:r>
    </w:p>
    <w:p w:rsidR="00C54F26" w:rsidRDefault="00C54F26" w:rsidP="00C54F26">
      <w:pPr>
        <w:pStyle w:val="TextoNormal"/>
      </w:pPr>
    </w:p>
    <w:p w:rsidR="00C54F26" w:rsidRDefault="00C54F26" w:rsidP="00C54F26">
      <w:pPr>
        <w:pStyle w:val="TextoNormal"/>
      </w:pPr>
      <w:r>
        <w:t>Tal pretensión viene justificada en la consideración de que, no solo el demandante no ha acreditado motivos suficientes para establecer una excepción a la regla general de que la interposición del recurso de amparo no suspenderá los efectos del acto o sentencia impugnados, sino que en este caso concreto, la suspensión implicaría que se le diera copia al demandante de los informes solicitados y, por consiguiente, una vez los tenga en su poder, el resultado es igual que si se le concediera el amparo, y la desestimación del mismo, en el caso de acordarse, no tendría ningún efecto práctico, pues ya habría accedido a la integridad de dichos informes, por lo que cualquiera que fuese la decisión de fondo que se tomara en la sentencia, no tendría otro efecto que el meramente declarativo.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consiste en determinar si procede acordar la suspensión de la ejecución de los autos de la Sección Sexta de la Audiencia Provincial de Santa Cruz de Tenerife en el recurso de apelación 1087-2019, y del auto del Juzgado de Vigilancia Penitenciaria núm. 2 de Canarias con sede en Santa Cruz de Tenerife en el expediente núm. 1361-2019, que denegaron al recurrente la copia del informe del educador social, de la psicóloga y de la trabajadora social dictados en el seno de su expediente penitenciario, en relación con la denegación de permisos y progresión de grado de la que era objeto.</w:t>
      </w:r>
    </w:p>
    <w:p w:rsidR="00C54F26" w:rsidRDefault="00C54F26" w:rsidP="00C54F26">
      <w:pPr>
        <w:pStyle w:val="TextoNormal"/>
      </w:pPr>
    </w:p>
    <w:p w:rsidR="00C54F26" w:rsidRDefault="00C54F26" w:rsidP="00C54F26">
      <w:pPr>
        <w:pStyle w:val="TextoNormal"/>
      </w:pPr>
      <w:r w:rsidRPr="00C54F26">
        <w:rPr>
          <w:rStyle w:val="NumeroAFNegritaCaracter"/>
        </w:rPr>
        <w:t>2</w:t>
      </w:r>
      <w:r>
        <w:t>.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00C54F26" w:rsidRDefault="00C54F26" w:rsidP="00C54F26">
      <w:pPr>
        <w:pStyle w:val="TextoNormal"/>
      </w:pPr>
    </w:p>
    <w:p w:rsidR="00C54F26" w:rsidRDefault="00C54F26" w:rsidP="00C54F26">
      <w:pPr>
        <w:pStyle w:val="TextoNormal"/>
      </w:pPr>
      <w:r w:rsidRPr="00C54F26">
        <w:rPr>
          <w:rStyle w:val="NumeroAFNegritaCaracter"/>
        </w:rPr>
        <w:t>3</w:t>
      </w:r>
      <w:r>
        <w:t>. Este tribunal, entre otros, en los AATC 55/2018, de 22 de mayo, FJ 2 b), y 130/2018 de 17 de diciembre, FJ 1,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4</w:t>
      </w:r>
      <w:r>
        <w:t>. La regla general es, por tanto, que no procede la suspensión de los efectos de los actos o resoluciones judiciales impugnadas, en particular, en lo que hace a estas últimas, porque tal suspensión acarrea la perturbación de la función jurisdiccional, y supone una injerencia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00C54F26" w:rsidRDefault="00C54F26" w:rsidP="00C54F26">
      <w:pPr>
        <w:pStyle w:val="TextoNormal"/>
      </w:pPr>
    </w:p>
    <w:p w:rsidR="00C54F26" w:rsidRDefault="00C54F26" w:rsidP="00C54F26">
      <w:pPr>
        <w:pStyle w:val="TextoNormal"/>
      </w:pPr>
      <w:r>
        <w:t>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00C54F26" w:rsidRDefault="00C54F26" w:rsidP="00C54F26">
      <w:pPr>
        <w:pStyle w:val="TextoNormal"/>
      </w:pPr>
    </w:p>
    <w:p w:rsidR="00C54F26" w:rsidRDefault="00C54F26" w:rsidP="00C54F26">
      <w:pPr>
        <w:pStyle w:val="TextoNormal"/>
      </w:pPr>
      <w:r>
        <w:t>En el presente supuesto, el recurrente, como único argumento, alega que, en el caso de que no se acordara la suspensión interesada, el recurso de amparo perdería su finalidad, con base en que si no conoce los informes que le han sido denegados, “difícilmente puede ejercer sus derechos de queja, recurso, etc. con las mínimas garantías, abocándole a permanecer y continuar en una situación de indefensión, pues las resoluciones que se dicten habrían prescindido del previo y debido conocimiento por parte del interno a la hora de formular y argumentar sus correspondientes quejas y recursos, tratándose pues en tales supuestos de un perjuicio irreparable aún para el caso de una eventual estimación del amparo solicitado, pues ya habrían ganado efectividad práctica las resoluciones que en tal situación hubieran derivado y ejecutado ya”.</w:t>
      </w:r>
    </w:p>
    <w:p w:rsidR="00C54F26" w:rsidRDefault="00C54F26" w:rsidP="00C54F26">
      <w:pPr>
        <w:pStyle w:val="TextoNormal"/>
      </w:pPr>
    </w:p>
    <w:p w:rsidR="00C54F26" w:rsidRDefault="00C54F26" w:rsidP="00C54F26">
      <w:pPr>
        <w:pStyle w:val="TextoNormal"/>
      </w:pPr>
      <w:r>
        <w:t>Sin embargo, como acertadamente señala el fiscal, si se acordara la suspensión y se le diera copia al demandante de los informes solicitados, el resultado sería el mismo que el obtenido en caso de concedérsele el amparo. Por el contrario, en caso de que finalmente este tribunal desestimase su recurso, no tendría ningún efecto práctico, pues el recurrente ya habría accedido al contenido de la documentación solicitada, por lo que cualquiera que fuese la decisión de fondo que se tomara en la sentencia, no tendría otro efecto que el meramente declarativo.</w:t>
      </w:r>
    </w:p>
    <w:p w:rsidR="00C54F26" w:rsidRDefault="00C54F26" w:rsidP="00C54F26">
      <w:pPr>
        <w:pStyle w:val="TextoNormal"/>
      </w:pPr>
    </w:p>
    <w:p w:rsidR="00C54F26" w:rsidRDefault="00C54F26" w:rsidP="00C54F26">
      <w:pPr>
        <w:pStyle w:val="TextoNormal"/>
      </w:pPr>
      <w:r>
        <w:t>Esta conclusión no es, además, contradictoria con la jurisprudencia de este tribunal al subrayar que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w:t>
      </w:r>
    </w:p>
    <w:p w:rsidR="00C54F26" w:rsidRDefault="00C54F26" w:rsidP="00C54F26">
      <w:pPr>
        <w:pStyle w:val="TextoNormal"/>
      </w:pPr>
    </w:p>
    <w:p w:rsidR="00C54F26" w:rsidRDefault="00C54F26" w:rsidP="00C54F26">
      <w:pPr>
        <w:pStyle w:val="TextoNormal"/>
      </w:pPr>
      <w:r>
        <w:t xml:space="preserve">Por lo demás, cabe recordar que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w:t>
      </w:r>
      <w:r>
        <w:lastRenderedPageBreak/>
        <w:t>constitucional vulnerado sea tardío y convirtiendo en meramente ilusorio y nominal el amparo [AATC 90/2014, de 27 de marzo, FJ 1; 190/2015, de 5 de noviembre, FJ 2 a); 59/2017, de 24 de abril, FJ 1, y 147/2017, de 13 de noviembre, FJ 1]. Sin embargo, en el presente asunto, la parte recurrente se limita a poner de manifiesto, que la actual denegación de la documentación que solicita puede hacer perder al recurso de amparo su finalidad, sin añadir indicación alguna sobre la situación y circunstancias en las que se origina tal pérdida, ni el irreparable perjuicio que le pueda causar la ausencia de conocimiento del contenido de la misma.</w:t>
      </w:r>
    </w:p>
    <w:p w:rsidR="00C54F26" w:rsidRDefault="00C54F26" w:rsidP="00C54F26">
      <w:pPr>
        <w:pStyle w:val="TextoNormal"/>
      </w:pPr>
    </w:p>
    <w:p w:rsidR="00C54F26" w:rsidRDefault="00C54F26" w:rsidP="00C54F26">
      <w:pPr>
        <w:pStyle w:val="TextoNormal"/>
      </w:pPr>
      <w:r w:rsidRPr="00C54F26">
        <w:rPr>
          <w:rStyle w:val="NumeroAFNegritaCaracter"/>
        </w:rPr>
        <w:t>5</w:t>
      </w:r>
      <w:r>
        <w:t>. Los razonamientos expuestos conducen a la conclusión de rechazar que, en el caso que nos ocupa, concurran las excepcionales circunstancias que habilitan la suspensión de la entrega de los documentos solicitados por el recurrente.</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petición de suspensión de las resoluciones impugnadas.</w:t>
      </w:r>
    </w:p>
    <w:p w:rsidR="00C54F26" w:rsidRDefault="00C54F26" w:rsidP="00C54F26">
      <w:pPr>
        <w:pStyle w:val="TextoNormal"/>
      </w:pPr>
    </w:p>
    <w:p w:rsidR="00C54F26" w:rsidRDefault="00C54F26" w:rsidP="00C54F26">
      <w:pPr>
        <w:pStyle w:val="TextoNormal"/>
      </w:pPr>
      <w:r>
        <w:t>Madrid, a diez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8" w:name="AUTO_2021_57"/>
      <w:r>
        <w:lastRenderedPageBreak/>
        <w:t>AUTO 57/2021, de 10 de mayo de 2021</w:t>
      </w:r>
    </w:p>
    <w:bookmarkEnd w:id="198"/>
    <w:p w:rsidR="00C54F26" w:rsidRDefault="00C54F26" w:rsidP="00C54F26">
      <w:pPr>
        <w:pStyle w:val="TtuloResolucin"/>
      </w:pPr>
      <w:r>
        <w:t>Sala Primera</w:t>
      </w:r>
    </w:p>
    <w:p w:rsidR="00C54F26" w:rsidRDefault="00C54F26" w:rsidP="00C54F26">
      <w:pPr>
        <w:pStyle w:val="TextoNormalCentrado"/>
      </w:pPr>
      <w:r>
        <w:t>ECLI:ES:TC:2021:57A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Estima el incidente de ejecución de la STC 12/2021, de 25 de enero, dictada en el recurso de amparo promovido por doña Ana Isabel Pérez Cordido en procedimiento de ejecución de títulos judiciales, y anula un auto de un juzgado de primera instancia de A Coruña.</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10 de marzo de 2020, doña Ana Isabel Pérez Cordido, representada por el procurador de los tribunales don Eduardo Codes Feijoo, con asistencia letrada de don Javier Vázquez Santos, interpuso recurso de amparo contra el auto de 3 de febrero de 2020 dictado por el Juzgado de Primera Instancia núm. 8 de A Coruña, en el procedimiento de ejecución de títulos judiciales núm. 9249-2010, que desestimó el incidente de nulidad promovido por la demandante y denegó la revisión de las cláusulas abusivas que la recurrente pretendía.</w:t>
      </w:r>
    </w:p>
    <w:p w:rsidR="00C54F26" w:rsidRDefault="00C54F26" w:rsidP="00C54F26">
      <w:pPr>
        <w:pStyle w:val="TextoNormal"/>
      </w:pPr>
    </w:p>
    <w:p w:rsidR="00C54F26" w:rsidRDefault="00C54F26" w:rsidP="00C54F26">
      <w:pPr>
        <w:pStyle w:val="TextoNormal"/>
      </w:pPr>
      <w:r w:rsidRPr="00C54F26">
        <w:rPr>
          <w:rStyle w:val="NumeroAFNegritaCaracter"/>
        </w:rPr>
        <w:t>2</w:t>
      </w:r>
      <w:r>
        <w:t>. El recurso de amparo que fue registrado bajo el núm. 1588-2020, fue estimado por la STC 12/2021, de 25 de enero, que declaró vulnerado el derecho fundamental de la demandante de amparo a la tutela judicial efectiva sin indefensión (art. 24.1 CE) y anuló el auto de 3 de febrero de 2020 dictado por el Juzgado de Primera Instancia núm. 8 de A Coruña, en el procedimiento de ejecución de títulos judiciales núm. 9249-2010. Asimismo, acordó retrotraer las actuaciones al momento inmediatamente anterior al pronunciamiento de la citada resolución, para que el órgano judicial dictase una nueva resolución que fuera respetuosa con el derecho fundamental vulnerado.</w:t>
      </w:r>
    </w:p>
    <w:p w:rsidR="00C54F26" w:rsidRDefault="00C54F26" w:rsidP="00C54F26">
      <w:pPr>
        <w:pStyle w:val="TextoNormal"/>
      </w:pPr>
    </w:p>
    <w:p w:rsidR="00C54F26" w:rsidRDefault="00C54F26" w:rsidP="00C54F26">
      <w:pPr>
        <w:pStyle w:val="TextoNormal"/>
      </w:pPr>
      <w:r>
        <w:t>En la fundamentación de la sentencia, en relación con la queja planteada por la recurrente de amparo relativa a la falta de revisión de las cláusulas abusivas, se indicaba:</w:t>
      </w:r>
    </w:p>
    <w:p w:rsidR="00C54F26" w:rsidRDefault="00C54F26" w:rsidP="00C54F26">
      <w:pPr>
        <w:pStyle w:val="TextoNormal"/>
      </w:pPr>
    </w:p>
    <w:p w:rsidR="00C54F26" w:rsidRDefault="00C54F26" w:rsidP="00C54F26">
      <w:pPr>
        <w:pStyle w:val="TextoNormal"/>
      </w:pPr>
      <w:r>
        <w:t xml:space="preserve">“El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w:t>
      </w:r>
      <w:r w:rsidRPr="00C54F26">
        <w:rPr>
          <w:i/>
        </w:rPr>
        <w:t>Banco Primus, S.A</w:t>
      </w:r>
      <w:r>
        <w:t>., aportaba los elementos de hecho y de Derecho que permitían, en el caso de que así procediera, declarar abusiva la cláusula de vencimiento anticipado” (FJ 3).</w:t>
      </w:r>
    </w:p>
    <w:p w:rsidR="00C54F26" w:rsidRDefault="00C54F26" w:rsidP="00C54F26">
      <w:pPr>
        <w:pStyle w:val="TextoNormal"/>
      </w:pPr>
    </w:p>
    <w:p w:rsidR="00C54F26" w:rsidRDefault="00C54F26" w:rsidP="00C54F26">
      <w:pPr>
        <w:pStyle w:val="TextoNormal"/>
      </w:pPr>
      <w:r>
        <w:t>Y se añadía, en el fundamento jurídico 4, en relación con la argumentación del órgano judicial, que la misma:</w:t>
      </w:r>
    </w:p>
    <w:p w:rsidR="00C54F26" w:rsidRDefault="00C54F26" w:rsidP="00C54F26">
      <w:pPr>
        <w:pStyle w:val="TextoNormal"/>
      </w:pPr>
    </w:p>
    <w:p w:rsidR="00C54F26" w:rsidRDefault="00C54F26" w:rsidP="00C54F26">
      <w:pPr>
        <w:pStyle w:val="TextoNormal"/>
      </w:pPr>
      <w:r>
        <w:t>“[O]mite cualquier referencia tanto al artículo 6, apartado 1, de la Directiva 93/13/CEE, de 5 de abril, vigente cuando se dictaron los aludidos autos, como a nuestra STC 31/2019, pese a que ambas fueron expresamente invocadas por la recurrente en el incidente de nulidad de actuaciones. El auto impugnado también desconoce que la Directiva 93/13/CEE debe interpretarse en el sentido de que el juez nacional está obligado a apreciar, a instancia de las partes o de oficio, el eventual carácter abusivo de esas cláusulas.</w:t>
      </w:r>
    </w:p>
    <w:p w:rsidR="00C54F26" w:rsidRDefault="00C54F26" w:rsidP="00C54F26">
      <w:pPr>
        <w:pStyle w:val="TextoNormal"/>
      </w:pPr>
    </w:p>
    <w:p w:rsidR="00C54F26" w:rsidRDefault="00C54F26" w:rsidP="00C54F26">
      <w:pPr>
        <w:pStyle w:val="TextoNormal"/>
      </w:pPr>
      <w:r>
        <w:t>La escueta respuesta del órgano judicial además de frustrar la expectativa revisora de la recurrente, con infracción de las exigencias de motivación derivadas del contenido del derecho a la tutela judicial efectiva (art. 24.1 CE), y de la propia doctrina anteriormente expuesta, se enfrenta con la obligación de control de oficio por el órgano judicial del eventual abuso de las cláusulas, que únicamente se exceptúa en el caso de que el carácter abusivo hubiera sido examinada en un anterior control judicial.</w:t>
      </w:r>
    </w:p>
    <w:p w:rsidR="00C54F26" w:rsidRDefault="00C54F26" w:rsidP="00C54F26">
      <w:pPr>
        <w:pStyle w:val="TextoNormal"/>
      </w:pPr>
    </w:p>
    <w:p w:rsidR="00C54F26" w:rsidRDefault="00C54F26" w:rsidP="00C54F26">
      <w:pPr>
        <w:pStyle w:val="TextoNormal"/>
      </w:pPr>
      <w:r>
        <w:t>En efecto, de la doctrina expuesta resulta que se residencia en el juez nacional la obligación de apreciar el eventual carácter abusivo de una cláusula, incluso tras el dictado de una resolución con fuerza de cosa juzgada, cuando disponga de los elementos de hecho y de Derecho necesarios para ello, siempre que la cláusula denunciada no hubiera sido examinada previamente. Sin embargo, el órgano judicial rechaza realizar ese control pese a que no ha existido un anterior control judicial en relación con el eventual carácter abusivo de la cláusula de vencimiento anticipado. La resolución intenta justificar la negativa a realizar el control del abuso en que los preceptos de la legislación procesal no habían sido adaptados a las exigencias derivadas de la Directiva 93/13, con olvido del principio de primacía del Derecho de la Unión Europea”.</w:t>
      </w:r>
    </w:p>
    <w:p w:rsidR="00C54F26" w:rsidRDefault="00C54F26" w:rsidP="00C54F26">
      <w:pPr>
        <w:pStyle w:val="TextoNormal"/>
      </w:pPr>
    </w:p>
    <w:p w:rsidR="00C54F26" w:rsidRDefault="00C54F26" w:rsidP="00C54F26">
      <w:pPr>
        <w:pStyle w:val="TextoNormal"/>
      </w:pPr>
      <w:r>
        <w:t>Finalmente se indicaba:</w:t>
      </w:r>
    </w:p>
    <w:p w:rsidR="00C54F26" w:rsidRDefault="00C54F26" w:rsidP="00C54F26">
      <w:pPr>
        <w:pStyle w:val="TextoNormal"/>
      </w:pPr>
    </w:p>
    <w:p w:rsidR="00C54F26" w:rsidRDefault="00C54F26" w:rsidP="00C54F26">
      <w:pPr>
        <w:pStyle w:val="TextoNormal"/>
      </w:pPr>
      <w:r>
        <w:t>“[C]ompartiendo el criterio del Ministerio Fiscal, la resolución impugnada en esta sede constitucional ha lesionado el derecho a la tutela judicial efectiva sin indefensión de la recurrente (art. 24.1 CE), tanto por la falta de motivación material a que se ha hecho mención, como porque la decisión de no atender la revisión interesada por la recurrente” (FJ 5).</w:t>
      </w:r>
    </w:p>
    <w:p w:rsidR="00C54F26" w:rsidRDefault="00C54F26" w:rsidP="00C54F26">
      <w:pPr>
        <w:pStyle w:val="TextoNormal"/>
      </w:pPr>
    </w:p>
    <w:p w:rsidR="00C54F26" w:rsidRDefault="00C54F26" w:rsidP="00C54F26">
      <w:pPr>
        <w:pStyle w:val="TextoNormal"/>
      </w:pPr>
      <w:r w:rsidRPr="00C54F26">
        <w:rPr>
          <w:rStyle w:val="NumeroAFNegritaCaracter"/>
        </w:rPr>
        <w:t>3</w:t>
      </w:r>
      <w:r>
        <w:t>. El Juzgado de Primera Instancia núm. 8 de A Coruña recibió el testimonio de la STC 12/2021 y dictó el auto de 15 de febrero de 2021 por el que rechazó la nulidad de actuaciones, así como la revisión de las cláusulas abusivas de la póliza de préstamo.</w:t>
      </w:r>
    </w:p>
    <w:p w:rsidR="00C54F26" w:rsidRDefault="00C54F26" w:rsidP="00C54F26">
      <w:pPr>
        <w:pStyle w:val="TextoNormal"/>
      </w:pPr>
    </w:p>
    <w:p w:rsidR="00C54F26" w:rsidRDefault="00C54F26" w:rsidP="00C54F26">
      <w:pPr>
        <w:pStyle w:val="TextoNormal"/>
      </w:pPr>
      <w:r>
        <w:t xml:space="preserve">En su razonamiento indica que el modo en que se pronuncia el propio Tribunal Constitucional “parece fustigar la resolución jurisdiccional”, que “no hace sino dar una clara y razonada respuesta a la petición de la parte”, por mucho que se disienta de ello. Refiere que no habiéndose producido infracción alguna, pues la ley procesal vigente en aquel momento no permitía el control de oficio —requisito de la nulidad que se recoge en los arts. 225 y 227 de la Ley de enjuiciamiento civil (LEC)—, no procedía la nulidad. Añade, que la STC 12/2021 no impone qué norma o disposición, interna o comunitaria se debe aplicar, “en el entendimiento de que ello quedaría al margen, con carácter general, de las competencias de </w:t>
      </w:r>
      <w:r>
        <w:lastRenderedPageBreak/>
        <w:t>un tribunal de garantías constitucionales, pues se trata de una labor privativa de la jurisdicción ordinaria”. Sostiene que “se nos puede censurar que la motivación no es suficiente, por ejemplo, porque no aludimos a aquella normativa comunitaria, pero no se nos puede indicar, o al menos así lo creemos, qué disposiciones hemos de aplicar”.</w:t>
      </w:r>
    </w:p>
    <w:p w:rsidR="00C54F26" w:rsidRDefault="00C54F26" w:rsidP="00C54F26">
      <w:pPr>
        <w:pStyle w:val="TextoNormal"/>
      </w:pPr>
    </w:p>
    <w:p w:rsidR="00C54F26" w:rsidRDefault="00C54F26" w:rsidP="00C54F26">
      <w:pPr>
        <w:pStyle w:val="TextoNormal"/>
      </w:pPr>
      <w:r>
        <w:t>Destaca que debe negarse que el Tribunal de Justicia de la Unión Europea tenga la potestad de dejar sin efecto una ley interna. Apoya su posición en dos artículos elaborados por el propio magistrado con motivo de la STJUE de 14 de marzo de 2019. Mantiene que dicha sentencia rompe “las reglas del juego, pues una directiva no puede beneficiarse del principio de primacía del Derecho de la Unión frente a una ley interna […]. La soberanía de los países miembros padece los excesos de la jurisprudencia comunitaria, que ya viene a equiparar la eficacia de las directivas a reglamentos y decisiones, y es que ya solo nos resta que se dé otro paso más y los jueces nacionales tengamos que dejar de aplicar las constituciones internas con sustento en lo dispuesto por una mera directiva: ¿A dónde vamos a llegar?”. Más adelante refiere que “ni por vía de la interpretación de la directiva conforme a los criterios del Tribunal de Justicia de la Unión Europea ni por la fuerza de la decisión de este mismo tribunal, los jueces nacionales españoles pueden abolir las normas de Derecho interno” (</w:t>
      </w:r>
      <w:r w:rsidRPr="00C54F26">
        <w:rPr>
          <w:i/>
        </w:rPr>
        <w:t>sic</w:t>
      </w:r>
      <w:r>
        <w:t>).</w:t>
      </w:r>
    </w:p>
    <w:p w:rsidR="00C54F26" w:rsidRDefault="00C54F26" w:rsidP="00C54F26">
      <w:pPr>
        <w:pStyle w:val="TextoNormal"/>
      </w:pPr>
    </w:p>
    <w:p w:rsidR="00C54F26" w:rsidRDefault="00C54F26" w:rsidP="00C54F26">
      <w:pPr>
        <w:pStyle w:val="TextoNormal"/>
      </w:pPr>
      <w:r>
        <w:t>Entiende que debe ser el legislador interno el que ponga remedio a las deficiencias de incorporación de la Directiva 93/13/CEE, de 5 de abril de 1993, puestas de manifiesto por el Tribunal de Justicia de la Unión Europea, sin que puedan los jueces corregir la disfunción so pena de asumir facultades de derogar leyes que obviamente les están vedadas, aseverando que dicha postura ha sido finalmente asumida por la STJUE de 4 de marzo de 2020, C-34/19. Dichas consideraciones le llevan a posicionarse a favor de la interpretación del Derecho interno conforme a la Directiva y la doctrina emanada del Tribunal de Justicia de la Unión Europea, y a rechazar la inaplicación de la norma interna.</w:t>
      </w:r>
    </w:p>
    <w:p w:rsidR="00C54F26" w:rsidRDefault="00C54F26" w:rsidP="00C54F26">
      <w:pPr>
        <w:pStyle w:val="TextoNormal"/>
      </w:pPr>
    </w:p>
    <w:p w:rsidR="00C54F26" w:rsidRDefault="00C54F26" w:rsidP="00C54F26">
      <w:pPr>
        <w:pStyle w:val="TextoNormal"/>
      </w:pPr>
      <w:r>
        <w:t>Valora la argumentación del auto anulado al indicar que “es suficiente motivación para, desde la jurisdicción ordinaria que nos compete, prescindir de la aplicación de la Directiva en casos como el enjuiciado, no pudiendo adjetivarse el razonamiento, tras el esfuerzo de los argumentos expuestos, de selección irrazonable y arbitraria de una norma aplicable al proceso”.</w:t>
      </w:r>
    </w:p>
    <w:p w:rsidR="00C54F26" w:rsidRDefault="00C54F26" w:rsidP="00C54F26">
      <w:pPr>
        <w:pStyle w:val="TextoNormal"/>
      </w:pPr>
    </w:p>
    <w:p w:rsidR="00C54F26" w:rsidRDefault="00C54F26" w:rsidP="00C54F26">
      <w:pPr>
        <w:pStyle w:val="TextoNormal"/>
      </w:pPr>
      <w:r>
        <w:t>Pese a la autoafirmada suficiencia del razonamiento, continua examinando el anulado auto de 3 de febrero de 2020 e insiste en que la normativa procesal “en vigor” establecía claramente y sin margen a interpretaciones que no era aplicable el control de oficio a los procesos anteriores, siendo el imperio de la ley interna, sobre la que no es posible que se imponga una mera directiva, se entendió que en aquellas resoluciones no se había producido infracción alguna y, por lo tanto, no había nulidad de actuaciones (arts. 225.3 y 227, ambos de la LEC). Afirma que así “se razonó que no habiéndose producido infracción alguna (requisito de la nulidad que se recoge en los arts. 225 y 227 de la LEC) no procedía la nulidad, lo que seguimos manteniendo”.</w:t>
      </w:r>
    </w:p>
    <w:p w:rsidR="00C54F26" w:rsidRDefault="00C54F26" w:rsidP="00C54F26">
      <w:pPr>
        <w:pStyle w:val="TextoNormal"/>
      </w:pPr>
    </w:p>
    <w:p w:rsidR="00C54F26" w:rsidRDefault="00C54F26" w:rsidP="00C54F26">
      <w:pPr>
        <w:pStyle w:val="TextoNormal"/>
      </w:pPr>
      <w:r>
        <w:t xml:space="preserve">Indica en lo referente al control de oficio a realizar por el juez o tribunal, (que lo ha de apreciar en cualquier momento, mientras no haya pronunciamiento con fuerza de cosa juzgada, según doctrina del Tribunal de Justicia de la Unión Europea y del propio Tribunal Constitucional), que en relación con el procedimiento monitorio finalizado “no parece asumible en modo alguno que el control de oficio pueda llevarse a cabo </w:t>
      </w:r>
      <w:r w:rsidRPr="00C54F26">
        <w:rPr>
          <w:i/>
        </w:rPr>
        <w:t>sine die</w:t>
      </w:r>
      <w:r>
        <w:t xml:space="preserve">”, y rechaza el </w:t>
      </w:r>
      <w:r>
        <w:lastRenderedPageBreak/>
        <w:t>control del carácter abusivo en la ejecución por “el demoledor argumento de que el título ejecutivo que la sustenta no es la póliza de préstamo, sino un título judicial”, y no en la ejecución de una póliza de préstamo que fue la que originó la STC 31/2019, de 28 de febrero.</w:t>
      </w:r>
    </w:p>
    <w:p w:rsidR="00C54F26" w:rsidRDefault="00C54F26" w:rsidP="00C54F26">
      <w:pPr>
        <w:pStyle w:val="TextoNormal"/>
      </w:pPr>
    </w:p>
    <w:p w:rsidR="00C54F26" w:rsidRDefault="00C54F26" w:rsidP="00C54F26">
      <w:pPr>
        <w:pStyle w:val="TextoNormal"/>
      </w:pPr>
      <w:r w:rsidRPr="00C54F26">
        <w:rPr>
          <w:rStyle w:val="NumeroAFNegritaCaracter"/>
        </w:rPr>
        <w:t>4</w:t>
      </w:r>
      <w:r>
        <w:t>. Por escrito registrado en este tribunal el 2 de marzo de 2021, la representación procesal de doña Ana Isabel Pérez Cordido, al amparo de los arts. 87 y 92 de la Ley Orgánica del Tribunal Constitucional (LOTC), planteó incidente de ejecución de la STC 12/2021.</w:t>
      </w:r>
    </w:p>
    <w:p w:rsidR="00C54F26" w:rsidRDefault="00C54F26" w:rsidP="00C54F26">
      <w:pPr>
        <w:pStyle w:val="TextoNormal"/>
      </w:pPr>
    </w:p>
    <w:p w:rsidR="00C54F26" w:rsidRDefault="00C54F26" w:rsidP="00C54F26">
      <w:pPr>
        <w:pStyle w:val="TextoNormal"/>
      </w:pPr>
      <w:r>
        <w:t>En el escrito afirma que el Juzgado de Primera Instancia núm. 8 de A Coruña, lejos de atender lo indicado por el tribunal, dicta una nueva resolución en la que, rechazando nuevamente el incidente de nulidad instado, se niega a efectuar el control de abusividad que le ha sido ordenado. Sostiene que es obvio que no fue solo la falta de motivación de la resolución lo que determinó la anulación del auto recurrido en amparo, pues se le reprochó tanto la falta de motivación material como la decisión de no atender la revisión interesada por la recurrente. Afirma, que conforme a la doctrina del Tribunal Constitucional el control acerca de la posible existencia de dichas cláusulas nulas ha de ser efectuado de oficio y que el único motivo que impide su realización es que ya haya sido realizado, lo que no ha sucedido en el presente caso. Discrepa del razonamiento mantenido en la resolución judicial impugnada indicando que el nuevo auto dictado de fecha 15 de febrero de 2021 adolece de nulidad radical, lo que ha de ser así declarado de acuerdo con lo establecido en el segundo párrafo del art. 92.1 LOTC, pues es evidente que se ha producido un menoscabo o intromisión en la jurisdicción del Tribunal Constitucional, tanto en su fallo como en sus fundamentos, que debe ser necesariamente enmendado (AATC 107/2009, FJ 4, y 141/2016, FJ 2).</w:t>
      </w:r>
    </w:p>
    <w:p w:rsidR="00C54F26" w:rsidRDefault="00C54F26" w:rsidP="00C54F26">
      <w:pPr>
        <w:pStyle w:val="TextoNormal"/>
      </w:pPr>
    </w:p>
    <w:p w:rsidR="00C54F26" w:rsidRDefault="00C54F26" w:rsidP="00C54F26">
      <w:pPr>
        <w:pStyle w:val="TextoNormal"/>
      </w:pPr>
      <w:r w:rsidRPr="00C54F26">
        <w:rPr>
          <w:rStyle w:val="NumeroAFNegritaCaracter"/>
        </w:rPr>
        <w:t>5</w:t>
      </w:r>
      <w:r>
        <w:t>. Por providencia de 19 de abril de 2021, la Sala Primera del Tribunal Constitucional acordó, conforme a lo dispuesto en el art. 92 LOTC, tener por promovido incidente de ejecución respecto de la sentencia 12/2021 de 25 de enero, y dar traslado de dicho escrito al Ministerio Fiscal y al Juzgado de Primera Instancia núm. 8 de A Coruña para que en plazo de cinco días puedan formular las alegaciones que estimen oportunas.</w:t>
      </w:r>
    </w:p>
    <w:p w:rsidR="00C54F26" w:rsidRDefault="00C54F26" w:rsidP="00C54F26">
      <w:pPr>
        <w:pStyle w:val="TextoNormal"/>
      </w:pPr>
    </w:p>
    <w:p w:rsidR="00C54F26" w:rsidRDefault="00C54F26" w:rsidP="00C54F26">
      <w:pPr>
        <w:pStyle w:val="TextoNormal"/>
      </w:pPr>
      <w:r w:rsidRPr="00C54F26">
        <w:rPr>
          <w:rStyle w:val="NumeroAFNegritaCaracter"/>
        </w:rPr>
        <w:t>6</w:t>
      </w:r>
      <w:r>
        <w:t>. Por oficio, firmado el 27 de abril de 2021, que tuvo entrada en este tribunal el 4 de mayo de 2021, el magistrado juez titular del Juzgado de Primera Instancia núm. 8 de A Coruña, informó al respecto en el sentido de considerar que había cumplido la STC 12/2021 en sus propios términos. Sostiene que la sentencia del Tribunal Constitucional ordenó “retrotraer las actuaciones al momento inmediatamente anterior al pronunciamiento de la [citada] resolución” y que como se acogía la nulidad del auto de 3 de febrero por “falta de motivación”, se dictó un nuevo auto en el que se razonaba que no cabía el control de abusividad. Añade, cuestionando nuevamente lo resuelto en la sentencia, que “como ya advertimos en el auto que ahora se cuestiona es claramente distinto al examinado por otras sentencias de este Alto Tribunal, citadas en la propia STC de 25 de enero de 2021, y es que en estos supuestos se trataba de ejecuciones basadas en títulos no procesales”. Finaliza su informe solicitando que de entenderse incumplida la sentencia se “precise si la misma impone, directamente, sin más […] la obligación de analizar la eventual abusividad de unas cláusulas que no son el fundamento de la ejecución cuya nulidad se pretende, cuyo sustento, reiteramos, es una resolución procesal”.</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7</w:t>
      </w:r>
      <w:r>
        <w:t>. El Ministerio Fiscal presentó su escrito de alegaciones el 5 de mayo de 2021, en el que considera que en el auto de 15 de febrero de 2021, el juez reafirma su postura en relación con las causas que a su juicio motivan la no revisión de las cláusulas abusivas, reinterpreta según su entender los principios de primacía del Derecho de la Unión Europea y abunda en los argumentos tenidos en cuenta en el auto de 3 de febrero de 2020 que fue anulado por la sentencia del Tribunal Constitucional cuya ejecución se pretende. Sostiene que el Juzgado de Primera Instancia núm. 8 de A Coruña insiste en los argumentos del auto anulado e intenta reforzarlos con alusiones a una interpretación propia publicada en una determinada revista y sosteniendo razonamientos que no solo son contrarios a la doctrina constitucional sentada al respecto, sino a lo expresamente resuelto en nuestra STC 12/2021 de 25 de enero, respecto del demandante de amparo. En conclusión, afirma que toda vez que el juez en el auto de 15 de febrero de 2021 insiste en aquellos argumentos que fueron censurados por este tribunal en la STC 12/2021, la efectiva reparación de la vulneración del derecho del demandante a la tutela judicial efectiva, sin duda exige la anulación del auto de 15 de febrero de 2021 por contravenir la STC 12/2021, de 25 de enero.</w:t>
      </w:r>
    </w:p>
    <w:p w:rsidR="00C54F26" w:rsidRDefault="00C54F26" w:rsidP="00C54F26">
      <w:pPr>
        <w:pStyle w:val="TextoNormal"/>
      </w:pPr>
    </w:p>
    <w:p w:rsidR="00C54F26" w:rsidRDefault="00C54F26" w:rsidP="00C54F26">
      <w:pPr>
        <w:pStyle w:val="TextoNormal"/>
      </w:pPr>
      <w:r>
        <w:t>En cuanto a las medidas que se pudieran acordar para garantizar el efectivo cumplimiento de la sentencia del Tribunal Constitucional, además de mantener el pronunciamiento de la sentencia 12/2021, de 25 de enero, y anular el auto de 15 de febrero de 2021, lo procedente es requerir al juzgado para que proceda a ejecutar la sentencia de este tribunal en sus propios términos con los apercibimientos que procedan.</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Según se ha expuesto con más detalle en los antecedentes, doña Ana Isabel Pérez Cordido ha promovido un incidente de ejecución de la STC 12/2021, de 25 de enero, dictada en el recurso de amparo núm. 1588-2020 (publicada en el “Boletín Oficial del Estado” de 23 de febrero de 2021), que declaró que se había vulnerado el derecho fundamental de la demandante de amparo a la tutela judicial efectiva sin indefensión del art. 24.1 CE y anuló el auto de 3 de febrero de 2020 dictado por el Juzgado de Primera Instancia núm. 8 de A Coruña, en el procedimiento de ejecución de títulos judiciales núm. 9249-2010, acordando que el órgano judicial dictase una nueva resolución que fuera respetuosa con el derecho fundamental vulnerado.</w:t>
      </w:r>
    </w:p>
    <w:p w:rsidR="00C54F26" w:rsidRDefault="00C54F26" w:rsidP="00C54F26">
      <w:pPr>
        <w:pStyle w:val="TextoNormal"/>
      </w:pPr>
    </w:p>
    <w:p w:rsidR="00C54F26" w:rsidRDefault="00C54F26" w:rsidP="00C54F26">
      <w:pPr>
        <w:pStyle w:val="TextoNormal"/>
      </w:pPr>
      <w:r>
        <w:t>Doña Ana Isabel Pérez Cordido, invoca los arts. 87 y 92 LOTC, y con sustento en los mismos, considera que el razonamiento y la decisión del auto de 15 de febrero de 2021 adolece de nulidad radical, al contravenir lo dispuesto en la STC 12/2021, ocasionando un menoscabo o intromisión en la jurisdicción del Tribunal Constitucional, que debe ser necesariamente corregida (AATC 107/2009, FJ 4, y 141/2016, FJ 2).</w:t>
      </w:r>
    </w:p>
    <w:p w:rsidR="00C54F26" w:rsidRDefault="00C54F26" w:rsidP="00C54F26">
      <w:pPr>
        <w:pStyle w:val="TextoNormal"/>
      </w:pPr>
    </w:p>
    <w:p w:rsidR="00C54F26" w:rsidRDefault="00C54F26" w:rsidP="00C54F26">
      <w:pPr>
        <w:pStyle w:val="TextoNormal"/>
      </w:pPr>
      <w:r>
        <w:t>El magistrado juez titular del Juzgado de Primera Instancia núm. 8 de A Coruña informó en el sentido de haber dado cumplimiento a las exigencias de motivación referidas en la STC 12/2021, insistiendo en la improcedencia del control de abusividad de las cláusulas.</w:t>
      </w:r>
    </w:p>
    <w:p w:rsidR="00C54F26" w:rsidRDefault="00C54F26" w:rsidP="00C54F26">
      <w:pPr>
        <w:pStyle w:val="TextoNormal"/>
      </w:pPr>
    </w:p>
    <w:p w:rsidR="00C54F26" w:rsidRDefault="00C54F26" w:rsidP="00C54F26">
      <w:pPr>
        <w:pStyle w:val="TextoNormal"/>
      </w:pPr>
      <w:r>
        <w:t xml:space="preserve">El Ministerio Fiscal, por su parte, considera que el auto de 15 de febrero de 2021 contraviene la STC 12/2021, de 25 de enero, y solicita su anulación así como que se requiera al </w:t>
      </w:r>
      <w:r>
        <w:lastRenderedPageBreak/>
        <w:t>juzgado para que proceda a ejecutar la sentencia de este tribunal en sus propios términos con los apercibimientos que procedan.</w:t>
      </w:r>
    </w:p>
    <w:p w:rsidR="00C54F26" w:rsidRDefault="00C54F26" w:rsidP="00C54F26">
      <w:pPr>
        <w:pStyle w:val="TextoNormal"/>
      </w:pPr>
    </w:p>
    <w:p w:rsidR="00C54F26" w:rsidRDefault="00C54F26" w:rsidP="00C54F26">
      <w:pPr>
        <w:pStyle w:val="TextoNormal"/>
      </w:pPr>
      <w:r w:rsidRPr="00C54F26">
        <w:rPr>
          <w:rStyle w:val="NumeroAFNegritaCaracter"/>
        </w:rPr>
        <w:t>2</w:t>
      </w:r>
      <w:r>
        <w:t>. A la vista de lo interesado por la representación procesal de doña Ana Isabel Pérez Cordido, el objeto de la presente resolución se contrae exclusivamente a determinar si lo decidido en el auto dictado de fecha 15 de febrero de 2021 por el Juzgado de Primera Instancia e Instrucción núm. 8 de A Coruña, en tanto que rechaza la revisión del carácter abusivo de las cláusulas del contrato origen del procedimiento, contradice o menoscaba de algún modo lo resuelto por este tribunal en la STC 12/2021. Tal cuestión deberemos resolverla aplicando los criterios sentados en nuestra doctrina en cuanto al art. 92 LOTC.</w:t>
      </w:r>
    </w:p>
    <w:p w:rsidR="00C54F26" w:rsidRDefault="00C54F26" w:rsidP="00C54F26">
      <w:pPr>
        <w:pStyle w:val="TextoNormal"/>
      </w:pPr>
    </w:p>
    <w:p w:rsidR="00C54F26" w:rsidRDefault="00C54F26" w:rsidP="00C54F26">
      <w:pPr>
        <w:pStyle w:val="TextoNormal"/>
      </w:pPr>
      <w:r>
        <w:t>Es por ello necesario recordar que los arts. 4 y 92 LOTC, “tienen por finalidad la defensa de la posición institucional del Tribunal Constitucional, protegiendo su ámbito jurisdiccional frente a cualquier intromisión ulterior, pues establecen la posibilidad de anular cualquier acto que pudiera menoscabar dicho ámbito, ofreciendo al mismo tiempo las suficientes garantías a los órganos autores de las resoluciones concernidas, toda vez que, junto a la necesaria motivación de la decisión del tribunal, se exige la previa audiencia del Ministerio Fiscal, así como la del órgano al que sea imputable el acto o resolución controvertido” (AATC 107/2009, de 24 de marzo, FJ 2, y 177/2012, de 2 de octubre, FJ 2).</w:t>
      </w:r>
    </w:p>
    <w:p w:rsidR="00C54F26" w:rsidRDefault="00C54F26" w:rsidP="00C54F26">
      <w:pPr>
        <w:pStyle w:val="TextoNormal"/>
      </w:pPr>
    </w:p>
    <w:p w:rsidR="00C54F26" w:rsidRDefault="00C54F26" w:rsidP="00C54F26">
      <w:pPr>
        <w:pStyle w:val="TextoNormal"/>
      </w:pPr>
      <w:r>
        <w:t>El incidente de ejecución regulado por el art. 92 LOTC atiende al propósito de garantizar la defensa de la posición institucional de este tribunal y la efectividad de sus sentencias y resoluciones, protegiendo su ámbito jurisdiccional frente a cualquier intromisión ulterior de un poder público que pudiera menoscabarla. El art. 87.1 LOTC determina que todos los poderes públicos están obligados al cumplimiento de lo que el Tribunal Constitucional resuelva y el art. 92 LOTC establece la facultad de este tribunal de anular cualquier acto o resolución que incumpla, menoscabe o contravenga las resoluciones dictadas en el ejercicio de su jurisdicción (art. 92.1 LOTC).</w:t>
      </w:r>
    </w:p>
    <w:p w:rsidR="00C54F26" w:rsidRDefault="00C54F26" w:rsidP="00C54F26">
      <w:pPr>
        <w:pStyle w:val="TextoNormal"/>
      </w:pPr>
    </w:p>
    <w:p w:rsidR="00C54F26" w:rsidRDefault="00C54F26" w:rsidP="00C54F26">
      <w:pPr>
        <w:pStyle w:val="TextoNormal"/>
      </w:pPr>
      <w:r>
        <w:t>Siguiendo la doctrina establecida en relación con los incidentes de ejecución de sentencias y resoluciones de este tribunal (por todos, ATC 107/2009, FJ 4, y 128/2016, de 21 de junio, FJ 2), procede cotejar el contenido de la STC 12/2021 con el auto de 15 de febrero de 2021 del Juzgado de Primera Instancia e Instrucción núm. 8 de A Coruña, en lo que se refiere a la decisión de rechazar la revisión del carácter abusivo de las cláusulas del contrato al ser este el aspecto al que se circunscribe el incidente. Esto es, procede dilucidar si dicha decisión o la argumentación que la sostiene, incurren en menoscabo o contravención de la STC 12/2021. Tal situación se produciría de contener el auto aludido un pronunciamiento contrario a la STC 12/2021 o suponer un intento de menoscabar la eficacia —jurídica o material— de lo que se resolvió en esta. Es conveniente señalar que la vinculación de todos los poderes públicos al cumplimiento de lo que el Tribunal Constitucional resuelva (art. 87.1 LOTC) se extiende tanto al fallo como a la fundamentación jurídica de sus sentencias y demás resoluciones (SSTC 158/2004, de 21 de septiembre, FJ 4, y 302/2005, de 21 de noviembre, FJ 6; AATC 273/2006, de 17 de julio, FJ 4, y 120/2010, de 4 de octubre, FJ 1, por todos) y también es oportuno recordar que es el Tribunal Constitucional quien delimitará el ámbito de su jurisdicción y adoptará cuantas medidas sean necesarias para preservarla (art. 4.1 LOTC).</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3</w:t>
      </w:r>
      <w:r>
        <w:t>. La STC 12/2021 declaró que había sido vulnerado el derecho fundamental de la demandante a la tutela judicial efectiva sin indefensión (art. 24.1 CE) y además de anular el auto de 3 de febrero de 2020 dictado por el Juzgado de Primera Instancia núm. 8 de A Coruña, en el procedimiento de ejecución de títulos judiciales núm. 9249-2010, acordó retrotraer las actuaciones al momento inmediatamente anterior al pronunciamiento de la citada resolución, para que el órgano judicial dictase “una nueva resolución que fuera respetuosa con el derecho fundamental vulnerado”.</w:t>
      </w:r>
    </w:p>
    <w:p w:rsidR="00C54F26" w:rsidRDefault="00C54F26" w:rsidP="00C54F26">
      <w:pPr>
        <w:pStyle w:val="TextoNormal"/>
      </w:pPr>
    </w:p>
    <w:p w:rsidR="00C54F26" w:rsidRDefault="00C54F26" w:rsidP="00C54F26">
      <w:pPr>
        <w:pStyle w:val="TextoNormal"/>
      </w:pPr>
      <w:r>
        <w:t>En la STC 12/2021, FFJJ 3 y 4, se expone que “el Tribunal de Justicia de la Unión Europea obliga al juez nacional a apreciar el eventual carácter abusivo de una cláusula incluso tras el dictado de una resolución con fuerza de cosa juzgada […] siempre que la cláusula denunciada no hubiera sido examinada previamente”, y además de cuestionar la omisión argumental en la que incurrió el órgano judicial y calificar de escueta la respuesta dada por el mismo, al prescindir de “cualquier referencia tanto al artículo 6, apartado 1, de la Directiva 93/13/CEE, de 5 de abril, […] como a nuestra STC 31/2019, pese a que ambas fueron expresamente invocadas“, se le recordó que “se residencia en el juez nacional la obligación de apreciar el eventual carácter abusivo” y se cuestionó que la resolución anulada rechazara “realizar ese control pese a que no ha existido un anterior control judicial en relación con el eventual carácter abusivo de la cláusula de vencimiento anticipado”, y que justificara esa negativa “en que los preceptos de la legislación procesal no habían sido adaptados a las exigencias derivadas de la Directiva 93/13, con olvido del principio de primacía del Derecho de la Unión Europea”. De este modo se concluía afirmando que se había vulnerado el referido derecho fundamental a la tutela judicial efectiva sin indefensión de la recurrente (art. 24.1 CE), tanto por la falta de motivación material a que se ha hecho mención, como por “la decisión de no atender la revisión interesada por la recurrente”.</w:t>
      </w:r>
    </w:p>
    <w:p w:rsidR="00C54F26" w:rsidRDefault="00C54F26" w:rsidP="00C54F26">
      <w:pPr>
        <w:pStyle w:val="TextoNormal"/>
      </w:pPr>
    </w:p>
    <w:p w:rsidR="00C54F26" w:rsidRDefault="00C54F26" w:rsidP="00C54F26">
      <w:pPr>
        <w:pStyle w:val="TextoNormal"/>
      </w:pPr>
      <w:r w:rsidRPr="00C54F26">
        <w:rPr>
          <w:rStyle w:val="NumeroAFNegritaCaracter"/>
        </w:rPr>
        <w:t>4</w:t>
      </w:r>
      <w:r>
        <w:t>. De lo expuesto se colige con facilidad, como afirma el Ministerio Fiscal, que el auto de 15 de febrero de 2021, dictado por el Juzgado de Primera Instancia núm. 8 de A Coruña, por el que se desestima el incidente de nulidad de actuaciones y de nuevo se rechaza el control del carácter abusivo de las cláusulas instado por la demandante de amparo, contraviene frontalmente la STC 12/2021.</w:t>
      </w:r>
    </w:p>
    <w:p w:rsidR="00C54F26" w:rsidRDefault="00C54F26" w:rsidP="00C54F26">
      <w:pPr>
        <w:pStyle w:val="TextoNormal"/>
      </w:pPr>
    </w:p>
    <w:p w:rsidR="00C54F26" w:rsidRDefault="00C54F26" w:rsidP="00C54F26">
      <w:pPr>
        <w:pStyle w:val="TextoNormal"/>
      </w:pPr>
      <w:r>
        <w:t>En efecto, por una parte, dicho auto insiste en la suficiencia de la motivación de una resolución que dejó de existir en la realidad jurídica al haber sino anulada. Con ello, desconoce la posición que el órgano judicial ocupa en el ordenamiento jurídico (art. 5 de la Ley Orgánica del Poder Judicial), y se sitúa fuera del mismo, antepone su propia valoración sobre la suficiencia de la motivación, a la realizada por este tribunal que consideró que el auto anulado infringió las exigencias de motivación derivadas del contenido de la tutela judicial efectiva (art. 24.1 CE). Ahora bien, no se detiene ahí el quebranto de la STC 12/2021, y el desconocimiento del alcance de la jurisdicción constitucional. El órgano judicial además de pronunciarse sobre el alcance de nuestra jurisdicción, adentrándose en un ámbito que le está vedado [art. 92.1 e) LOTC], insiste en los argumentos del anulado auto y vuelve a rechazar que deba cumplir con la obligación de controlar de oficio el carácter abusivo de las cláusulas del contrato de préstamo que expresamente se recogió en la misma, desconociendo ahora, no solo nuestro pronunciamiento sino el contenido del principio de primacía del Derecho de la Unión Europea.</w:t>
      </w:r>
    </w:p>
    <w:p w:rsidR="00C54F26" w:rsidRDefault="00C54F26" w:rsidP="00C54F26">
      <w:pPr>
        <w:pStyle w:val="TextoNormal"/>
      </w:pPr>
    </w:p>
    <w:p w:rsidR="00C54F26" w:rsidRDefault="00C54F26" w:rsidP="00C54F26">
      <w:pPr>
        <w:pStyle w:val="TextoNormal"/>
      </w:pPr>
      <w:r>
        <w:lastRenderedPageBreak/>
        <w:t>En definitiva, como acertadamente ha puesto de relieve el Ministerio Fiscal, el examen del contenido del auto de 15 de febrero de 2021 dictado por el Juzgado de Primera Instancia núm. 8 de A Coruña, permite concluir que se aprecia tanto en la parte dispositiva, como en la fundamentación jurídica del mismo un incumplimiento de la STC 12/2021 por lo que ha de estimarse el incidente de ejecución, y conforme a lo dispuesto en el art. 92.1 y 4 LOTC, anular el citado auto y requerir al órgano judicial para que en el plazo de cinco días dé cumplimiento a lo ordenado en la STC 12/2021.</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Haber lugar al incidente de ejecución de la STC 12/2021, de 25 de enero, promovido por doña Ana Isabel Pérez Cordido, y en consecuencia declarar la nulidad del auto de 15 de febrero de 2021 dictado por el Juzgado de Primera Instancia núm. 8 de A Coruña, y requerirle para que en el plazo de cinco días dé cumplimiento a lo ordenado en la citada sentencia.</w:t>
      </w:r>
    </w:p>
    <w:p w:rsidR="00C54F26" w:rsidRDefault="00C54F26" w:rsidP="00C54F26">
      <w:pPr>
        <w:pStyle w:val="TextoNormal"/>
      </w:pPr>
    </w:p>
    <w:p w:rsidR="00C54F26" w:rsidRDefault="00C54F26" w:rsidP="00C54F26">
      <w:pPr>
        <w:pStyle w:val="TextoNormal"/>
      </w:pPr>
      <w:r>
        <w:t>Madrid, a diez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199" w:name="AUTO_2021_58"/>
      <w:r>
        <w:lastRenderedPageBreak/>
        <w:t>AUTO 58/2021, de 11 de mayo de 2021</w:t>
      </w:r>
    </w:p>
    <w:bookmarkEnd w:id="199"/>
    <w:p w:rsidR="00C54F26" w:rsidRDefault="00C54F26" w:rsidP="00C54F26">
      <w:pPr>
        <w:pStyle w:val="TtuloResolucin"/>
      </w:pPr>
      <w:r>
        <w:t>Pleno</w:t>
      </w:r>
    </w:p>
    <w:p w:rsidR="00C54F26" w:rsidRDefault="00C54F26" w:rsidP="00C54F26">
      <w:pPr>
        <w:pStyle w:val="TextoNormalCentrado"/>
      </w:pPr>
      <w:r>
        <w:t>ECLI:ES:TC:2021:58A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Desestima el recurso de súplica en relación con el ATC 33/2021, de 16 de marzo, que inadmitió el recurso de inconstitucionalidad 4868-2020, interpuesto por cincuenta diputados de los grupos parlamentarios Confederal de Unidas Podemos-En Comú Podem-Galicia en Común, Republicano y Euskal Herria Bildu, en relación con el Decreto-ley del Gobierno de Murcia 3/2020, de 23 de abril, el acuerdo de convalidación y la Ley de la Asamblea Regional de Murcia 2/2020, de 27 de julio.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16 de octubre de 2020, don Javier Sánchez Serna, ejerciendo como comisionado en nombre y representación de cincuenta diputadas y diputados, promovió recurso de inconstitucionalidad contra las siguientes disposiciones: el Decreto-ley 3/2020, de 23 de abril, de mitigación del impacto socioeconómico del COVID-19 en el área de vivienda e infraestructuras, dictado por el Consejo de Gobierno de la Región de Murcia; el acuerdo del Pleno de la Asamblea Regional de Murcia, de fecha 6 de mayo de 2020, de convalidación del Decreto-ley 3/2020, de 23 de abril, de mitigación del impacto socioeconómico del COVID-19 en el área de vivienda e infraestructuras; y la Ley de la Asamblea Regional de Murcia 2/2020, de 27 de julio, de mitigación del impacto socioeconómico del COVID-19 en el área de vivienda e infraestructuras.</w:t>
      </w:r>
    </w:p>
    <w:p w:rsidR="00C54F26" w:rsidRDefault="00C54F26" w:rsidP="00C54F26">
      <w:pPr>
        <w:pStyle w:val="TextoNormal"/>
      </w:pPr>
    </w:p>
    <w:p w:rsidR="00C54F26" w:rsidRDefault="00C54F26" w:rsidP="00C54F26">
      <w:pPr>
        <w:pStyle w:val="TextoNormal"/>
      </w:pPr>
      <w:r w:rsidRPr="00C54F26">
        <w:rPr>
          <w:rStyle w:val="NumeroAFNegritaCaracter"/>
        </w:rPr>
        <w:t>2</w:t>
      </w:r>
      <w:r>
        <w:t>. Mediante providencia del Pleno, de fecha 17 de noviembre de 2020, se acordó, con carácter previo al pronunciamiento sobre la admisión del recurso de inconstitucionalidad, conceder al procurador, don José Miguel Martínez-Fresneda Gambra, un plazo de diez días para identificar a los diputados y diputadas recurrentes; aportar certificación expedida por el secretario general del Congreso relativa a si los diputados firmantes del recurso integran o no actualmente la Cámara, ostentando así la legitimación para recurrir; acreditar documentalmente que los diputados y diputadas promotores del recurso formalizaron su voluntad de impugnar el Decreto-ley y la Ley dentro del plazo de los tres meses establecido a tal fin en el art. 33 de la Ley Orgánica del Tribunal Constitucional (LOTC); y aportar poder de representación del comisionado y del procurador, así como copia de la resolución que recurre, en la que conste la fecha de publicación.</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3</w:t>
      </w:r>
      <w:r>
        <w:t>. El día 3 de diciembre de 2020, don José Miguel Martínez-Fresneda Gambra presentó ante este tribunal escrito al que acompañaba la documentación requerida, tal y como se relata en el antecedente cuarto del ATC 33/2021, de 16 de marzo. En este pronunciamiento, el Pleno acordó inadmitir a trámite el presente recurso de inconstitucionalidad, al entender que ninguno de los documentos aportados por el procurador en el trámite de subsanación abierto por la providencia de 17 de noviembre de 2020 acreditaba el cumplimiento de los requisitos de legitimación requeridos en los arts. 162.1 a) CE y 32.1 c) LOTC.</w:t>
      </w:r>
    </w:p>
    <w:p w:rsidR="00C54F26" w:rsidRDefault="00C54F26" w:rsidP="00C54F26">
      <w:pPr>
        <w:pStyle w:val="TextoNormal"/>
      </w:pPr>
    </w:p>
    <w:p w:rsidR="00C54F26" w:rsidRDefault="00C54F26" w:rsidP="00C54F26">
      <w:pPr>
        <w:pStyle w:val="TextoNormal"/>
      </w:pPr>
      <w:r>
        <w:t>El auto sostiene que los poderes generales para pleitos, fechados el 22 de octubre de 2020, y presentados tras el requerimiento formulado por providencia de 17 de noviembre de 2020 “muestran que en cada uno de ellos solo interviene un diputado ‘en su propio nombre y derecho, como secretario general y portavoz sustituto’; lo que hace además ‘en nombre y representación de los diputados’ del grupo respectivo” (ATC 33/2021, de 16 de marzo, FJ único), apreciándose que no consta que esos diputados y diputadas hayan “otorgado su representación al secretario general y portavoz sustituto” que actúa en nombre de todos los demás. El tribunal deriva de esta circunstancia que solo tres poderdantes facultan a don Javier Sánchez Serna para actuar como comisionado en la interposición del presente recurso de inconstitucionalidad.</w:t>
      </w:r>
    </w:p>
    <w:p w:rsidR="00C54F26" w:rsidRDefault="00C54F26" w:rsidP="00C54F26">
      <w:pPr>
        <w:pStyle w:val="TextoNormal"/>
      </w:pPr>
    </w:p>
    <w:p w:rsidR="00C54F26" w:rsidRDefault="00C54F26" w:rsidP="00C54F26">
      <w:pPr>
        <w:pStyle w:val="TextoNormal"/>
      </w:pPr>
      <w:r>
        <w:t>También se afirma en el auto que en el documento acreditativo de la concurrencia de la voluntad de los diputados y diputadas recurrentes para impugnar las normas ya referidas, aparecen seis firmas a las “que no se asocia nombre o documento de identificación alguno, tampoco grupo parlamentario al que pertenezcan” (ATC 33/2021, de 16 de marzo, FJ único), faltando la identificación de las firmas de los diputados y diputadas de los grupos parlamentarios Euskal Herria Bildu y grupo parlamentario Plural, quienes aparecen citados en el acta notarial protocolizada. Siendo las firmas identificadas inferiores al número de cincuenta, el Tribunal considera incumplido el requisito de legitimación que exigen los arts. 162.1 CE y 32.1 LOTC.</w:t>
      </w:r>
    </w:p>
    <w:p w:rsidR="00C54F26" w:rsidRDefault="00C54F26" w:rsidP="00C54F26">
      <w:pPr>
        <w:pStyle w:val="TextoNormal"/>
      </w:pPr>
    </w:p>
    <w:p w:rsidR="00C54F26" w:rsidRDefault="00C54F26" w:rsidP="00C54F26">
      <w:pPr>
        <w:pStyle w:val="TextoNormal"/>
      </w:pPr>
      <w:r w:rsidRPr="00C54F26">
        <w:rPr>
          <w:rStyle w:val="NumeroAFNegritaCaracter"/>
        </w:rPr>
        <w:t>4</w:t>
      </w:r>
      <w:r>
        <w:t>. Mediante escrito registrado en el Tribunal el día 29 de marzo de 2021, el procurador de los tribunales don José Miguel Martínez-Fresneda Gambra, con la asistencia letrada de don José Mateos Martínez, presentó recurso de súplica frente al auto de inadmisión de 16 de marzo de 2021, notificado el 25 de marzo, interesando —con fundamento en las alegaciones que seguidamente se resumen— la revocación del auto impugnado y la admisión a trámite del recurso de inconstitucionalidad núm. 4868-2020.</w:t>
      </w:r>
    </w:p>
    <w:p w:rsidR="00C54F26" w:rsidRDefault="00C54F26" w:rsidP="00C54F26">
      <w:pPr>
        <w:pStyle w:val="TextoNormal"/>
      </w:pPr>
    </w:p>
    <w:p w:rsidR="00C54F26" w:rsidRDefault="00C54F26" w:rsidP="00C54F26">
      <w:pPr>
        <w:pStyle w:val="TextoNormal"/>
      </w:pPr>
      <w:r>
        <w:t>El escrito denuncia la vulneración, por parte del auto de inadmisión, del art. 24.1 CE, en su vertiente de acceso a los recursos, en relación con el derecho a la participación política del art. 23.1 CE, así como la vulneración de lo previsto en el art. 32.1 LOTC y en el art. 1 del Reglamento de organización y régimen del notariado, aprobado por Decreto de 2 de junio de 1944, en la redacción dada por el Real Decreto 45/2007, de 19 de enero.</w:t>
      </w:r>
    </w:p>
    <w:p w:rsidR="00C54F26" w:rsidRDefault="00C54F26" w:rsidP="00C54F26">
      <w:pPr>
        <w:pStyle w:val="TextoNormal"/>
      </w:pPr>
    </w:p>
    <w:p w:rsidR="00C54F26" w:rsidRDefault="00C54F26" w:rsidP="00C54F26">
      <w:pPr>
        <w:pStyle w:val="TextoNormal"/>
      </w:pPr>
      <w:r>
        <w:t xml:space="preserve">Respecto del motivo de inadmisión relacionado con el otorgamiento de los poderes generales para pleitos, el escrito sostiene que el notario da fe de que el secretario general del grupo parlamentario interviene en su propio nombre y derecho “así como en nombre y representación de los diputados que forman parte de dicho grupo parlamentario”, apareciendo después los nombres de todos ellos y haciéndose constar que son todos “mayores de edad, </w:t>
      </w:r>
      <w:r>
        <w:lastRenderedPageBreak/>
        <w:t>de nacionalidad española, diputados y diputadas, pertenecientes a los grupos parlamentarios” reflejados en el poder.</w:t>
      </w:r>
    </w:p>
    <w:p w:rsidR="00C54F26" w:rsidRDefault="00C54F26" w:rsidP="00C54F26">
      <w:pPr>
        <w:pStyle w:val="TextoNormal"/>
      </w:pPr>
    </w:p>
    <w:p w:rsidR="00C54F26" w:rsidRDefault="00C54F26" w:rsidP="00C54F26">
      <w:pPr>
        <w:pStyle w:val="TextoNormal"/>
      </w:pPr>
      <w:r>
        <w:t>Sostiene esta parte que no hay dudas de que el notario certifica que se han dado las circunstancias jurídicas y fácticas precisas para que esa representación sea válida, esto es, para que el secretario general pueda obrar en su nombre y también en nombre del resto de diputados que componen el grupo. Además, que si el notario certifica haber identificado a la parte compareciente constata que, a su juicio, esta parte tiene capacidad y está legitimada para el otorgamiento de poder, y da fe de que este otorgamiento se adecúa a la legalidad. Esta parte argumenta que la fe pública notarial, consagrada en el art. 1 del Reglamento de la organización y régimen del notariado, abarca la constatación fáctica y jurídica de la identidad, legitimación y capacidad de los poderdantes. Se afirma que si el notario certifica que todos los integrantes del grupo parlamentario otorgaron poder, dicha acta tiene plena validez mientras no se impugne, vulnerando el precepto esgrimido el que de forma sumaria se niegue la veracidad de lo que contiene el documento notarial. Esta negación también vulneraría los derechos fundamentales a la tutela judicial efectiva y a la participación política, negando a los recurrentes el acceso al recurso de inconstitucionalidad y la defensa de los intereses de los electores a quienes representan.</w:t>
      </w:r>
    </w:p>
    <w:p w:rsidR="00C54F26" w:rsidRDefault="00C54F26" w:rsidP="00C54F26">
      <w:pPr>
        <w:pStyle w:val="TextoNormal"/>
      </w:pPr>
    </w:p>
    <w:p w:rsidR="00C54F26" w:rsidRDefault="00C54F26" w:rsidP="00C54F26">
      <w:pPr>
        <w:pStyle w:val="TextoNormal"/>
      </w:pPr>
      <w:r>
        <w:t>Se afirma, además, que no se ha dado posibilidad de subsanar los hipotéticos defectos que han causado la inadmisión del recurso, lo que estaría singularmente justificado al haber acudido los recurrentes a esta jurisdicción confiando en la fe pública notarial.</w:t>
      </w:r>
    </w:p>
    <w:p w:rsidR="00C54F26" w:rsidRDefault="00C54F26" w:rsidP="00C54F26">
      <w:pPr>
        <w:pStyle w:val="TextoNormal"/>
      </w:pPr>
    </w:p>
    <w:p w:rsidR="00C54F26" w:rsidRDefault="00C54F26" w:rsidP="00C54F26">
      <w:pPr>
        <w:pStyle w:val="TextoNormal"/>
      </w:pPr>
      <w:r>
        <w:t>En lo que se refiere a la defectuosa protocolización del recurso en relación con la falta de identificación de varias firmas, el escrito invoca la validez de la fe pública notarial, alegando que el acta en la página 2, da fe de la firma de los diputados de tres grupos parlamentarios, incluido Euskal Herria Bildu, y que, estando identificadas las firmas de los integrantes de los otros dos grupos, se deduce que las firmas no identificadas son las de los diputados del grupo Euskal Herria Bildu, quedando así suficientemente certificada la firma de cincuenta diputados y diputadas, suficientes para validar el recurso. Afirma esta parte que “sostener que parte de las firmas (cincuenta en total) no son válidas por no haber escrito los diputados su nombre bajo las mismas, vulnera la fe pública notarial al dar fe el notario de su condición de diputados, fe que viene ratificada por el hecho de que en los tres poderes generales para pleitos figuren los mismos cincuenta diputados que firman el acta de protocolización”. En relación con este argumento, se insiste de nuevo en la vulneración del art. 24 CE.</w:t>
      </w:r>
    </w:p>
    <w:p w:rsidR="00C54F26" w:rsidRDefault="00C54F26" w:rsidP="00C54F26">
      <w:pPr>
        <w:pStyle w:val="TextoNormal"/>
      </w:pPr>
    </w:p>
    <w:p w:rsidR="00C54F26" w:rsidRDefault="00C54F26" w:rsidP="00C54F26">
      <w:pPr>
        <w:pStyle w:val="TextoNormal"/>
      </w:pPr>
      <w:r>
        <w:t xml:space="preserve">Por último, en el escrito se solicita que, para el caso de que el Pleno entendiese que la ausencia de un pie de firma donde cada diputado escriba su nombre y apellidos es un defecto del documento, la recta interpretación del principio </w:t>
      </w:r>
      <w:r w:rsidRPr="00C54F26">
        <w:rPr>
          <w:i/>
        </w:rPr>
        <w:t>pro actione</w:t>
      </w:r>
      <w:r>
        <w:t>, puesto en conexión con el derecho fundamental a la tutela judicial efectiva, exigiría que se otorgase un plazo para subsanarlo.</w:t>
      </w:r>
    </w:p>
    <w:p w:rsidR="00C54F26" w:rsidRDefault="00C54F26" w:rsidP="00C54F26">
      <w:pPr>
        <w:pStyle w:val="TextoNormal"/>
      </w:pPr>
    </w:p>
    <w:p w:rsidR="00C54F26" w:rsidRDefault="00C54F26" w:rsidP="00C54F26">
      <w:pPr>
        <w:pStyle w:val="TextoNormal"/>
      </w:pPr>
      <w:r>
        <w:t xml:space="preserve">En el </w:t>
      </w:r>
      <w:r w:rsidRPr="00C54F26">
        <w:rPr>
          <w:i/>
        </w:rPr>
        <w:t>petitum</w:t>
      </w:r>
      <w:r>
        <w:t xml:space="preserve"> del escrito se solicita la revocación del auto de 16 de marzo de 2021 y la admisión a trámite del recurso de inconstitucionalidad objeto de autos.</w:t>
      </w:r>
    </w:p>
    <w:p w:rsidR="00C54F26" w:rsidRDefault="00C54F26" w:rsidP="00C54F26">
      <w:pPr>
        <w:pStyle w:val="TextoNormal"/>
      </w:pPr>
    </w:p>
    <w:p w:rsidR="00C54F26" w:rsidRDefault="00C54F26" w:rsidP="00C54F26">
      <w:pPr>
        <w:pStyle w:val="TextoNormal"/>
      </w:pPr>
      <w:r w:rsidRPr="00C54F26">
        <w:rPr>
          <w:rStyle w:val="NumeroAFNegritaCaracter"/>
        </w:rPr>
        <w:t>5</w:t>
      </w:r>
      <w:r>
        <w:t xml:space="preserve">. El mismo día 29 de marzo de 2021, se registra un segundo escrito aclaratorio firmado por los mismos abogado y procurador, para solicitar como pretensión subsidiaria del recurso </w:t>
      </w:r>
      <w:r>
        <w:lastRenderedPageBreak/>
        <w:t>de súplica, la concesión de un plazo improrrogable de subsanación para ratificar las firmas de los diputados integrantes de los grupos parlamentarios, así como las firmas de los diputados que aparecen en la protocolización del recurso de inconstitucionalidad.</w:t>
      </w:r>
    </w:p>
    <w:p w:rsidR="00C54F26" w:rsidRDefault="00C54F26" w:rsidP="00C54F26">
      <w:pPr>
        <w:pStyle w:val="TextoNormal"/>
      </w:pPr>
    </w:p>
    <w:p w:rsidR="00C54F26" w:rsidRDefault="00C54F26" w:rsidP="00C54F26">
      <w:pPr>
        <w:pStyle w:val="TextoNormal"/>
      </w:pPr>
      <w:r>
        <w:t>En el mismo escrito se informa al tribunal de que en el recurso de inconstitucionalidad núm. 4652-2020, interpuesto por el grupo parlamentario de Unidas Podemos, junto a otros grupos, se usaron unos poderes generales para pleitos de idéntica redacción a los que ahora se rechazan, no advirtiendo el tribunal óbice alguno y admitiéndose a trámite aquel recurso.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Examinados los razonamientos que se contienen en el recurso de súplica interpuesto, este tribunal acuerda desestimarlo, confirmando lo acordado en el ATC 33/2021, de 16 de marzo, esto es, la inadmisión del recurso de inconstitucionalidad ante la falta de acreditación suficiente de los requisitos procesales exigidos por los arts. 162.1 a) CE y art. 32 de la Ley Orgánica del Tribunal Constitucional (LOTC), y la insuficiente subsanación intentada por los recurrentes una vez efectuado un primer requerimiento para ello, mediante providencia de 17 de noviembre de 2020.</w:t>
      </w:r>
    </w:p>
    <w:p w:rsidR="00C54F26" w:rsidRDefault="00C54F26" w:rsidP="00C54F26">
      <w:pPr>
        <w:pStyle w:val="TextoNormal"/>
      </w:pPr>
    </w:p>
    <w:p w:rsidR="00C54F26" w:rsidRDefault="00C54F26" w:rsidP="00C54F26">
      <w:pPr>
        <w:pStyle w:val="TextoNormal"/>
      </w:pPr>
      <w:r w:rsidRPr="00C54F26">
        <w:rPr>
          <w:rStyle w:val="NumeroAFNegritaCaracter"/>
        </w:rPr>
        <w:t>2</w:t>
      </w:r>
      <w:r>
        <w:t>. Ante todo, debe señalarse que la facultad de promover el recurso de inconstitucionalidad por cincuenta diputados o senadores [art. 162.1 a) CE y art. 32 LOTC] no la otorga la Constitución en atención a un interés propio de los legitimados, sino en virtud de la alta cualificación política que resulta de su cometido constitucional. Así se afirmó en el ATC 98/2011, de 22 de junio, en el que también se sostuvo que “esta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w:t>
      </w:r>
    </w:p>
    <w:p w:rsidR="00C54F26" w:rsidRDefault="00C54F26" w:rsidP="00C54F26">
      <w:pPr>
        <w:pStyle w:val="TextoNormal"/>
      </w:pPr>
    </w:p>
    <w:p w:rsidR="00C54F26" w:rsidRDefault="00C54F26" w:rsidP="00C54F26">
      <w:pPr>
        <w:pStyle w:val="TextoNormal"/>
      </w:pPr>
      <w:r>
        <w:t>También recoge nuestra jurisprudencia, de forma constante y reiterada que “la decisión de recurrir que incumbe a cincuenta o más diputados o senadores —sujetos legitimados para interponer el recurso de inconstitucionalidad que constituyen fracciones de órganos constitucionales— debe ir acompañada de la satisfacción de determinados requisitos formales, cuyo incumplimiento determina la existencia de un vicio en la legitimación misma que se erige en causa de inadmisibilidad del recurso” (ATC 55/2011, FJ 2). “Entre tales requisitos formales cobra especial importancia en este caso el acuerdo previo de los más de cincuenta senadores de expresar su voluntad de formalizar el recurso y de comisionar a tal efecto a una de ellos para que lo presentara dentro del plazo legal, de conformidad con lo que disponen los artículos 32.2, 33.1 y 82.1 LOTC, tal y como, por otra parte, así lo ha declarado este tribunal en SSTC 42/1985, de 15 de marzo, FJ 2; 150/1990, de 4 de octubre, FJ 1, y 180/2000, de 29 de junio, FJ 2 b), entre otras” (STC 14/2019, de 31 de enero, FJ 2).</w:t>
      </w:r>
    </w:p>
    <w:p w:rsidR="00C54F26" w:rsidRDefault="00C54F26" w:rsidP="00C54F26">
      <w:pPr>
        <w:pStyle w:val="TextoNormal"/>
      </w:pPr>
    </w:p>
    <w:p w:rsidR="00C54F26" w:rsidRDefault="00C54F26" w:rsidP="00C54F26">
      <w:pPr>
        <w:pStyle w:val="TextoNormal"/>
      </w:pPr>
      <w:r>
        <w:lastRenderedPageBreak/>
        <w:t xml:space="preserve">La verificación de los requisitos formales es una obligación de este tribunal, y su cumplimiento una exigencia debida por parte de los recurrentes. No puede entenderse, por tanto, que la mera constatación por parte del Pleno del Tribunal Constitucional, de la existencia de un óbice procesal, que produce la inadmisión del recurso de inconstitucionalidad, suponga </w:t>
      </w:r>
      <w:r w:rsidRPr="00C54F26">
        <w:rPr>
          <w:i/>
        </w:rPr>
        <w:t>per se</w:t>
      </w:r>
      <w:r>
        <w:t xml:space="preserve"> una lesión del derecho a la tutela judicial efectiva de los recurrentes (art. 24.1 CE), ni tampoco una vulneración de su derecho a la participación política (art. 23.1 CE) ni de sí mismos, ni de sus representados.</w:t>
      </w:r>
    </w:p>
    <w:p w:rsidR="00C54F26" w:rsidRDefault="00C54F26" w:rsidP="00C54F26">
      <w:pPr>
        <w:pStyle w:val="TextoNormal"/>
      </w:pPr>
    </w:p>
    <w:p w:rsidR="00C54F26" w:rsidRDefault="00C54F26" w:rsidP="00C54F26">
      <w:pPr>
        <w:pStyle w:val="TextoNormal"/>
      </w:pPr>
      <w:r>
        <w:t>La facultad para impugnar la constitucionalidad de una norma con rango de ley, aprobada por la mayoría de una cámara de representación política, va necesariamente acompañada de la responsabilidad de quienes están constitucionalmente legitimados para ejercer el control de constitucionalidad, que deben cumplir adecuadamente unas exigencias procesales que tienen como objetivos: i) garantizar la seguridad jurídica evitando la impugnación extemporánea de las normas aprobadas en sede parlamentaria; y ii) asegurar la existencia de la voluntad impugnatoria de quienes contestan la adecuación constitucional de una norma con rango de ley, elaborada por quienes, como los recurrentes, también son titulares del derecho fundamental contemplado en el art. 23.1 CE.</w:t>
      </w:r>
    </w:p>
    <w:p w:rsidR="00C54F26" w:rsidRDefault="00C54F26" w:rsidP="00C54F26">
      <w:pPr>
        <w:pStyle w:val="TextoNormal"/>
      </w:pPr>
    </w:p>
    <w:p w:rsidR="00C54F26" w:rsidRDefault="00C54F26" w:rsidP="00C54F26">
      <w:pPr>
        <w:pStyle w:val="TextoNormal"/>
      </w:pPr>
      <w:r>
        <w:t>Como afirmamos en el ATC 98/2011, de 22 de junio,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w:t>
      </w:r>
    </w:p>
    <w:p w:rsidR="00C54F26" w:rsidRDefault="00C54F26" w:rsidP="00C54F26">
      <w:pPr>
        <w:pStyle w:val="TextoNormal"/>
      </w:pPr>
    </w:p>
    <w:p w:rsidR="00C54F26" w:rsidRDefault="00C54F26" w:rsidP="00C54F26">
      <w:pPr>
        <w:pStyle w:val="TextoNormal"/>
      </w:pPr>
      <w:r w:rsidRPr="00C54F26">
        <w:rPr>
          <w:rStyle w:val="NumeroAFNegritaCaracter"/>
        </w:rPr>
        <w:t>3</w:t>
      </w:r>
      <w:r>
        <w:t>. En el supuesto de hecho que nos ocupa se constatan las siguientes circunstancias, que no permiten al tribunal asumir que han concurrido las voluntades inequívocas de cincuenta diputados y diputadas para discutir la validez de una norma aprobada, en este caso, por un parlamento autonómico:</w:t>
      </w:r>
    </w:p>
    <w:p w:rsidR="00C54F26" w:rsidRDefault="00C54F26" w:rsidP="00C54F26">
      <w:pPr>
        <w:pStyle w:val="TextoNormal"/>
      </w:pPr>
    </w:p>
    <w:p w:rsidR="00C54F26" w:rsidRDefault="00C54F26" w:rsidP="00C54F26">
      <w:pPr>
        <w:pStyle w:val="TextoNormal"/>
      </w:pPr>
      <w:r>
        <w:t>a) La demanda del recurso de inconstitucionalidad núm. 4868-2020, fue registrada en este tribunal el 16 de octubre 2020. No se acompañaba a ese escrito ninguno de los documentos necesarios para verificar la concurrencia de los requisitos procesales exigidos para plantear un recurso de inconstitucionalidad. Tampoco venía firmado por nadie más que el abogado y el procurador. No se acompañaba a este escrito de demanda listado alguno identificando a las diputadas y diputados recurrentes. Tampoco aparece en dicho documento mención del grupo o grupos parlamentarios a los que pertenecerían los hipotéticos recurrentes. No aparece tampoco voluntad impugnatoria alguna, ni se hace constar la filiación como diputado de don Javier Sánchez Serna, que aparecía mencionado como comisionado para la interposición del recurso.</w:t>
      </w:r>
    </w:p>
    <w:p w:rsidR="00C54F26" w:rsidRDefault="00C54F26" w:rsidP="00C54F26">
      <w:pPr>
        <w:pStyle w:val="TextoNormal"/>
      </w:pPr>
    </w:p>
    <w:p w:rsidR="00C54F26" w:rsidRDefault="00C54F26" w:rsidP="00C54F26">
      <w:pPr>
        <w:pStyle w:val="TextoNormal"/>
      </w:pPr>
      <w:r>
        <w:t xml:space="preserve">b) Mediante providencia del Pleno, fechada el 17 de noviembre de 2020, se solicitó al procurador que presentase la documentación faltante en el sentido expuesto en el auto frente </w:t>
      </w:r>
      <w:r>
        <w:lastRenderedPageBreak/>
        <w:t xml:space="preserve">al que se plantea el presente recurso de súplica. Ya se dio entonces ocasión, a través de una providencia del Pleno de este tribunal, para que los recurrentes subsanasen adecuadamente los vicios de admisibilidad identificados exhaustivamente en dicha providencia. En ese momento, se aplicó con toda su amplitud el principio </w:t>
      </w:r>
      <w:r w:rsidRPr="00C54F26">
        <w:rPr>
          <w:i/>
        </w:rPr>
        <w:t>pro actione</w:t>
      </w:r>
      <w:r>
        <w:t>, que invoca en este recurso de súplica la parte recurrente.</w:t>
      </w:r>
    </w:p>
    <w:p w:rsidR="00C54F26" w:rsidRDefault="00C54F26" w:rsidP="00C54F26">
      <w:pPr>
        <w:pStyle w:val="TextoNormal"/>
      </w:pPr>
    </w:p>
    <w:p w:rsidR="00C54F26" w:rsidRDefault="00C54F26" w:rsidP="00C54F26">
      <w:pPr>
        <w:pStyle w:val="TextoNormal"/>
      </w:pPr>
      <w:r>
        <w:t>c) Una vez presentado el escrito de subsanación, y la documentación requerida, este tribunal constata las siguientes circunstancias procesales relacionadas con la manifestación de la voluntad de recurrir:</w:t>
      </w:r>
    </w:p>
    <w:p w:rsidR="00C54F26" w:rsidRDefault="00C54F26" w:rsidP="00C54F26">
      <w:pPr>
        <w:pStyle w:val="TextoNormal"/>
      </w:pPr>
    </w:p>
    <w:p w:rsidR="00C54F26" w:rsidRDefault="00C54F26" w:rsidP="00C54F26">
      <w:pPr>
        <w:pStyle w:val="TextoNormal"/>
      </w:pPr>
      <w:r>
        <w:t>(i) En primer lugar, la acreditación de que los diputados y diputadas promotores del recurso formalizaron su voluntad de impugnar, dentro del plazo de los tres meses establecido a tal fin en el art. 33 LOTC, se presenta en forma de protocolización notarial de una copia de la demanda por la que se interpone el recurso de inconstitucionalidad.</w:t>
      </w:r>
    </w:p>
    <w:p w:rsidR="00C54F26" w:rsidRDefault="00C54F26" w:rsidP="00C54F26">
      <w:pPr>
        <w:pStyle w:val="TextoNormal"/>
      </w:pPr>
    </w:p>
    <w:p w:rsidR="00C54F26" w:rsidRDefault="00C54F26" w:rsidP="00C54F26">
      <w:pPr>
        <w:pStyle w:val="TextoNormal"/>
      </w:pPr>
      <w:r>
        <w:t>El acta de protocolización está fechada el 22 de octubre de 2020 y en ella se certifica una copia de la demanda que aparece firmada según consta literalmente en el acta, por los parlamentarios del “Grupo Parlamentario Confederal De Unidas Podemos-En Comú Podem-Galicia En Comú”, del “Grupo Parlamentario Republicano”, del “Grupo Parlamentario Euskal Herria Bildu”, y del “Grupo Parlamentario Plural” que figuran en el documento. Respecto del último grupo parlamentario citado ninguna mención existe en ningún otro documento, y no aparecen identificados, aparentemente, firmantes de dicho grupo.</w:t>
      </w:r>
    </w:p>
    <w:p w:rsidR="00C54F26" w:rsidRDefault="00C54F26" w:rsidP="00C54F26">
      <w:pPr>
        <w:pStyle w:val="TextoNormal"/>
      </w:pPr>
    </w:p>
    <w:p w:rsidR="00C54F26" w:rsidRDefault="00C54F26" w:rsidP="00C54F26">
      <w:pPr>
        <w:pStyle w:val="TextoNormal"/>
      </w:pPr>
      <w:r>
        <w:t>En el acta de protocolización, el notario dice expresamente que se advierte al compareciente —que es exclusivamente don Txema Guijarro García, como secretario general y portavoz sustituto del “Grupo Parlamentario Confederal De Unidas Podemos-En Comú Podem-Galicia En Común”— de lo siguiente: “esta protocolización se efectúa a los efectos de evitar el extravío del documento citado y de dar autenticidad a su fecha, pero sin ninguno de los efectos de la escritura pública y solo a los efectos del artículo 1227 del Código civil”.</w:t>
      </w:r>
    </w:p>
    <w:p w:rsidR="00C54F26" w:rsidRDefault="00C54F26" w:rsidP="00C54F26">
      <w:pPr>
        <w:pStyle w:val="TextoNormal"/>
      </w:pPr>
    </w:p>
    <w:p w:rsidR="00C54F26" w:rsidRDefault="00C54F26" w:rsidP="00C54F26">
      <w:pPr>
        <w:pStyle w:val="TextoNormal"/>
      </w:pPr>
      <w:r>
        <w:t>Por último, en la demanda protocolizada se identifica la firma de cuarenta y cinco diputados, integrantes de los grupos parlamentarios “Confederal De Unidas Podemos-En Comú Podem-Galicia En Común” (treinta y cinco diputados y diputadas), y “Parlamentario Republicano” (diez diputados y diputadas). En el documento aparecen otras seis rúbricas no identificadas ni con un nombre, ni con un número de documento nacional de identidad, ni con grupo parlamentario de pertenencia. Estas rúbricas no aparecen en ninguno otro de los documentos formalizados y presentados ante este tribunal.</w:t>
      </w:r>
    </w:p>
    <w:p w:rsidR="00C54F26" w:rsidRDefault="00C54F26" w:rsidP="00C54F26">
      <w:pPr>
        <w:pStyle w:val="TextoNormal"/>
      </w:pPr>
    </w:p>
    <w:p w:rsidR="00C54F26" w:rsidRDefault="00C54F26" w:rsidP="00C54F26">
      <w:pPr>
        <w:pStyle w:val="TextoNormal"/>
      </w:pPr>
      <w:r>
        <w:t>(ii) En segundo lugar, el comisionado que interpuso la demanda, es decir, el diputado don Javier Sánchez Serna, aparece en los tres poderes generales para pleitos, otorgados por: don Txema Guijarro García como secretario general y portavoz sustituto del grupo parlamentario “Confederal De Unidas Podemos-En Comú Podem-Galicia En Común”; don Oskar Matute García de Jalón como secretario general y portavoz sustituto (</w:t>
      </w:r>
      <w:r w:rsidRPr="00C54F26">
        <w:rPr>
          <w:i/>
        </w:rPr>
        <w:t>sic</w:t>
      </w:r>
      <w:r>
        <w:t>) del grupo parlamentario “Euskal Herria Bildu”; y don Gabriel Rufián Moreno como secretario general y portavoz sustituto (</w:t>
      </w:r>
      <w:r w:rsidRPr="00C54F26">
        <w:rPr>
          <w:i/>
        </w:rPr>
        <w:t>sic</w:t>
      </w:r>
      <w:r>
        <w:t>) del “Grupo Parlamentario Republicano”.</w:t>
      </w:r>
    </w:p>
    <w:p w:rsidR="00C54F26" w:rsidRDefault="00C54F26" w:rsidP="00C54F26">
      <w:pPr>
        <w:pStyle w:val="TextoNormal"/>
      </w:pPr>
    </w:p>
    <w:p w:rsidR="00C54F26" w:rsidRDefault="00C54F26" w:rsidP="00C54F26">
      <w:pPr>
        <w:pStyle w:val="TextoNormal"/>
      </w:pPr>
      <w:r>
        <w:t xml:space="preserve">Se hace notar, respecto de estas constataciones que don Oskar Matute García de Jalón es portavoz adjunto en el Congreso de los Diputados del grupo parlamentario al que pertenece </w:t>
      </w:r>
      <w:r>
        <w:lastRenderedPageBreak/>
        <w:t>y que don Gabriel Rufián Moreno es portavoz titular en el Congreso de los Diputados del grupo parlamentario al que pertenece. Asimismo se constata que en el poder que comparece para otorgar don Oskar Matute García de Jalón aparecen citadas como personas a las que se confiere el poder, el procurador y letrado firmantes de la demanda, y doña Mertxe Aizpurua Arallus en lugar de don Oskar Matute García.</w:t>
      </w:r>
    </w:p>
    <w:p w:rsidR="00C54F26" w:rsidRDefault="00C54F26" w:rsidP="00C54F26">
      <w:pPr>
        <w:pStyle w:val="TextoNormal"/>
      </w:pPr>
    </w:p>
    <w:p w:rsidR="00C54F26" w:rsidRDefault="00C54F26" w:rsidP="00C54F26">
      <w:pPr>
        <w:pStyle w:val="TextoNormal"/>
      </w:pPr>
      <w:r>
        <w:t>(iii) En tercer lugar, el apoderamiento, la designación del comisionado y la manifestación de la voluntad de recurrir se hicieron efectivas ante notario el día 22 de octubre de 2020, y, por tanto, con posterioridad a la presentación del recurso, que lo fue el 16 de octubre de 2020.</w:t>
      </w:r>
    </w:p>
    <w:p w:rsidR="00C54F26" w:rsidRDefault="00C54F26" w:rsidP="00C54F26">
      <w:pPr>
        <w:pStyle w:val="TextoNormal"/>
      </w:pPr>
    </w:p>
    <w:p w:rsidR="00C54F26" w:rsidRDefault="00C54F26" w:rsidP="00C54F26">
      <w:pPr>
        <w:pStyle w:val="TextoNormal"/>
      </w:pPr>
      <w:r w:rsidRPr="00C54F26">
        <w:rPr>
          <w:rStyle w:val="NumeroAFNegritaCaracter"/>
        </w:rPr>
        <w:t>4</w:t>
      </w:r>
      <w:r>
        <w:t>. De los datos anteriores se puede concluir, como se pone de manifiesto de forma sucinta en el ATC 33/2021, de 16 de marzo, que no ha quedado suficientemente acreditada la manifestación, dentro del plazo de tres meses que prevé el art. 33 LOTC, de la voluntad de cincuenta diputados y diputadas de nombrar como comisionado a don Javier Sánchez Serna para plantear la demanda de inconstitucionalidad que da lugar al presente recurso.</w:t>
      </w:r>
    </w:p>
    <w:p w:rsidR="00C54F26" w:rsidRDefault="00C54F26" w:rsidP="00C54F26">
      <w:pPr>
        <w:pStyle w:val="TextoNormal"/>
      </w:pPr>
    </w:p>
    <w:p w:rsidR="00C54F26" w:rsidRDefault="00C54F26" w:rsidP="00C54F26">
      <w:pPr>
        <w:pStyle w:val="TextoNormal"/>
      </w:pPr>
      <w:r>
        <w:t>Estos poderes, fechados el 22 de octubre de 2020 y presentados tras el requerimiento formulado por providencia de 17 de noviembre de 2020, “muestran que en cada uno de ellos solo interviene un diputado ‘en su propio nombre y derecho, como secretario general y portavoz sustituto’; lo que hace además ‘en nombre y representación de los diputados’ del grupo respectivo” (ATC 33/2021, de 16 de marzo, FJ único), apreciándose que no consta que esos diputados y diputadas hayan “otorgado su representación al secretario general y portavoz sustituto” que actúa en nombre de todos los demás.</w:t>
      </w:r>
    </w:p>
    <w:p w:rsidR="00C54F26" w:rsidRDefault="00C54F26" w:rsidP="00C54F26">
      <w:pPr>
        <w:pStyle w:val="TextoNormal"/>
      </w:pPr>
    </w:p>
    <w:p w:rsidR="00C54F26" w:rsidRDefault="00C54F26" w:rsidP="00C54F26">
      <w:pPr>
        <w:pStyle w:val="TextoNormal"/>
      </w:pPr>
      <w:r>
        <w:t>Es decir, los poderes que designan al diputado don Javier Sánchez Serna como comisionado, solo certifican que los tres portavoces de los grupos parlamentarios previamente identificados han formalizado dicho mandato, pero no permiten verificar si el resto de firmantes del recurso también lo hicieron, porque no consta la voluntad de delegar en los portavoces la facultad de nombramiento del comisionado.</w:t>
      </w:r>
    </w:p>
    <w:p w:rsidR="00C54F26" w:rsidRDefault="00C54F26" w:rsidP="00C54F26">
      <w:pPr>
        <w:pStyle w:val="TextoNormal"/>
      </w:pPr>
    </w:p>
    <w:p w:rsidR="00C54F26" w:rsidRDefault="00C54F26" w:rsidP="00C54F26">
      <w:pPr>
        <w:pStyle w:val="TextoNormal"/>
      </w:pPr>
      <w:r>
        <w:t xml:space="preserve">En la medida en que la legitimación prevista en el art. 32 LOTC está atribuida a una agrupación ocasional o </w:t>
      </w:r>
      <w:r w:rsidRPr="00C54F26">
        <w:rPr>
          <w:i/>
        </w:rPr>
        <w:t>ad hoc</w:t>
      </w:r>
      <w:r>
        <w:t xml:space="preserve"> de diputados, en este caso, que se constituyen a los solos efectos de impugnar la validez constitucional de una ley, no puede entenderse que el portavoz del grupo parlamentario, o su secretario general ostenten, con carácter general, la facultad de representación de los integrantes de su grupo a la hora de plantear un recurso. Ya se sostuvo así en la STC 42/1985, de 15 de marzo, en la que se estableció que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y que, en consecuencia, la decisión de impugnar no puede ser adoptada en términos genéricos, habilitando a delegados, apoderados o mandatarios para interponer o no la acción de inconstitucionalidad, según su propio criterio, contra las leyes que en el futuro se vayan promulgando. Esta conclusión, a la que igualmente conduce el elemental razonamiento de que no cabe adoptar la decisión de impugnar una ley mientras tal ley no exista, aparece consagrada por el tan citado art. 32.2 LOTC, que no solo exige ‘acuerdo previo’, sino que también este haya sido ‘adoptado al efecto’” (FJ 2).</w:t>
      </w:r>
    </w:p>
    <w:p w:rsidR="00C54F26" w:rsidRDefault="00C54F26" w:rsidP="00C54F26">
      <w:pPr>
        <w:pStyle w:val="TextoNormal"/>
      </w:pPr>
    </w:p>
    <w:p w:rsidR="00C54F26" w:rsidRDefault="00C54F26" w:rsidP="00C54F26">
      <w:pPr>
        <w:pStyle w:val="TextoNormal"/>
      </w:pPr>
      <w:r>
        <w:lastRenderedPageBreak/>
        <w:t>Por esa misma lógica, si no cabe entender que existe un mandato genérico para interponer un recurso de inconstitucionalidad, tampoco parece aceptable que el portavoz de un grupo parlamentario, sea titular, adjunto o sustituto, o su secretario o secretaria general se arroguen o asuman la facultad de nombrar a un tercero como comisionado para interponer un recurso de inconstitucionalidad, sin contar para ello con el respaldo expreso de los eventuales firmantes del recurso de inconstitucionalidad. Si admitiésemos esta posibilidad estaríamos asumiendo que la mera portavocía o presidencia de grupo, por la vía de nombramiento de un tercero como comisionado, faculta al portavoz para interponer por sí solo el recurso de inconstitucionalidad, y precisamente eso es lo que niega nuestra jurisprudencia, insistiendo en ello, por ejemplo el ATC 24/1990, de 16 de enero: “no se ostenta la condición de comisionado ante el Tribunal Constitucional de forma permanente y para toda una legislatura. Esta interpretación del art. 82.1 de la LOTC debe ser rechazada, pues como este tribunal ya ha dicho en distintas ocasiones: no cabe transferir o delegar la facultad de impugnar ni en el miembro de la agrupación ni en el comisionado”.</w:t>
      </w:r>
    </w:p>
    <w:p w:rsidR="00C54F26" w:rsidRDefault="00C54F26" w:rsidP="00C54F26">
      <w:pPr>
        <w:pStyle w:val="TextoNormal"/>
      </w:pPr>
    </w:p>
    <w:p w:rsidR="00C54F26" w:rsidRDefault="00C54F26" w:rsidP="00C54F26">
      <w:pPr>
        <w:pStyle w:val="TextoNormal"/>
      </w:pPr>
      <w:r>
        <w:t>No constando, por tanto, ningún mandato expreso previo a los otorgantes del poder, en que se les delegue por parte de los firmantes del recurso de inconstitucionalidad la facultad para comisionar a una tercera persona, no podemos tener por adecuada tal nominación, independientemente de que esté o no contenida en un documento notarial. Por tanto, ha de concluirse que los recurrentes no han podido certificar que el día en que el diputado don Javier Sánchez Serna interpuso la demanda que da lugar al presente recurso de inconstitucionalidad, lo hizo en nombre de cincuenta diputados y diputadas. Y tampoco ha podido constatarse, de forma fehaciente, que ese mandato fuera efectuado después, por todos y cada uno de los recurrentes.</w:t>
      </w:r>
    </w:p>
    <w:p w:rsidR="00C54F26" w:rsidRDefault="00C54F26" w:rsidP="00C54F26">
      <w:pPr>
        <w:pStyle w:val="TextoNormal"/>
      </w:pPr>
    </w:p>
    <w:p w:rsidR="00C54F26" w:rsidRDefault="00C54F26" w:rsidP="00C54F26">
      <w:pPr>
        <w:pStyle w:val="TextoNormal"/>
      </w:pPr>
      <w:r w:rsidRPr="00C54F26">
        <w:rPr>
          <w:rStyle w:val="NumeroAFNegritaCaracter"/>
        </w:rPr>
        <w:t>5</w:t>
      </w:r>
      <w:r>
        <w:t>. Asimismo resulta obligado precisar que no es posible considerar como referente la decisión de este tribunal relativa al recurso de inconstitucionalidad núm. 4652-2020, al que se refiere el recurso de súplica. Aquel recurso fue también inadmitido a trámite por ATC 174/2020, de 15 de diciembre, al haberse formalizado el mismo en fecha posterior a la expiración del plazo preclusivo derivado de la aplicación del art. 33 LOTC, resultando, por tanto, extemporáneo. El tribunal no se ha pronunciado sobre la validez de los poderes otorgados en el marco de aquel procedimiento y no puede deducirse de la ausencia de pronunciamiento la aceptación de dicha validez. Al no ser subsanable la inobservancia de los plazos de presentación del recurso de inconstitucionalidad, una vez formalizado el recurso, no fue necesario requerir a los recurrentes para efectuar ninguna otra eventual subsanación, que hubiera sido innecesaria por su incapacidad para desplegar efecto alguno en el procedimiento.</w:t>
      </w:r>
    </w:p>
    <w:p w:rsidR="00C54F26" w:rsidRDefault="00C54F26" w:rsidP="00C54F26">
      <w:pPr>
        <w:pStyle w:val="TextoNormal"/>
      </w:pPr>
    </w:p>
    <w:p w:rsidR="00C54F26" w:rsidRDefault="00C54F26" w:rsidP="00C54F26">
      <w:pPr>
        <w:pStyle w:val="TextoNormal"/>
      </w:pPr>
      <w:r w:rsidRPr="00C54F26">
        <w:rPr>
          <w:rStyle w:val="NumeroAFNegritaCaracter"/>
        </w:rPr>
        <w:t>6</w:t>
      </w:r>
      <w:r>
        <w:t>. La cuestión relativa a la identificación de la totalidad de las firmas de la demanda protocolizada es meramente complementaria de la anterior. Siendo el óbice procesal relativo a la falta de representación del comisionado totalmente insubsanable, la respuesta a la cuestión relativa a la identificación implícita de las firmas, resulta innecesaria.</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lastRenderedPageBreak/>
        <w:t>Desestimar el recurso de súplica interpuesto contra el ATC 33/2021, de 16 de marzo.</w:t>
      </w:r>
    </w:p>
    <w:p w:rsidR="00C54F26" w:rsidRDefault="00C54F26" w:rsidP="00C54F26">
      <w:pPr>
        <w:pStyle w:val="TextoNormal"/>
      </w:pPr>
    </w:p>
    <w:p w:rsidR="00C54F26" w:rsidRDefault="00C54F26" w:rsidP="00C54F26">
      <w:pPr>
        <w:pStyle w:val="TextoNormal"/>
      </w:pPr>
      <w:r>
        <w:t>Madrid, a once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0" w:name="AUTO_2021_59"/>
      <w:r>
        <w:lastRenderedPageBreak/>
        <w:t>AUTO 59/2021, de 11 de mayo de 2021</w:t>
      </w:r>
    </w:p>
    <w:bookmarkEnd w:id="200"/>
    <w:p w:rsidR="00C54F26" w:rsidRDefault="00C54F26" w:rsidP="00C54F26">
      <w:pPr>
        <w:pStyle w:val="TtuloResolucin"/>
      </w:pPr>
      <w:r>
        <w:t>Pleno</w:t>
      </w:r>
    </w:p>
    <w:p w:rsidR="00C54F26" w:rsidRDefault="00C54F26" w:rsidP="00C54F26">
      <w:pPr>
        <w:pStyle w:val="TextoNormalCentrado"/>
      </w:pPr>
      <w:r>
        <w:t>ECLI:ES:TC:2021:59A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Desestima el recurso de súplica en relación con el ATC 34/2021, de 16 de marzo, que inadmitió el recurso de inconstitucionalidad 4870-2020, interpuesto por cincuenta diputados de los grupos parlamentarios Confederal de Unidas Podemos-En Comú Podem-Galicia en Común,  Republicano y Euskal Herria Bildu, en relación con el Decreto-ley del Gobierno de Murcia 5/2020, de 7 de mayo, y la Ley de la Asamblea Regional de Murcia 5/2020, de 3 de agosto.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xml:space="preserve">. Mediante escrito registrado en este tribunal el 16 de octubre de 2020, don Javier Sánchez Serna, ejerciendo como comisionado en nombre y representación de cincuenta diputadas y diputados, promovió recurso de inconstitucionalidad contra las siguientes disposiciones: el Decreto-Ley 5/2020, de 7 de mayo, de mitigación del impacto socioeconómico del COVID-19 en el área de medio ambiente, dictado por el Gobierno autonómico de la Región de Murcia [“Boletín Oficial de la Región de Murcia” (“BORM”) de 9 de mayo de 2020]; el acuerdo de convalidación del Decreto-ley 5/2020, publicado en el “BORM” de 16 de julio de 2020, en la medida que ratifica preceptos claramente inconstitucionales; y la Ley 5/2020, de 3 de agosto, de mitigación del impacto socioeconómico del COVID-19 en el área de medio ambiente, tramitada a partir del texto del Decreto-ley 5/2020 </w:t>
      </w:r>
      <w:r w:rsidRPr="00C54F26">
        <w:rPr>
          <w:i/>
        </w:rPr>
        <w:t>ex</w:t>
      </w:r>
      <w:r>
        <w:t xml:space="preserve"> art. 30.3 del Estatuto de Autonomía de la Región de Murcia (“BORM” de 4 de agosto de 2020).</w:t>
      </w:r>
    </w:p>
    <w:p w:rsidR="00C54F26" w:rsidRDefault="00C54F26" w:rsidP="00C54F26">
      <w:pPr>
        <w:pStyle w:val="TextoNormal"/>
      </w:pPr>
    </w:p>
    <w:p w:rsidR="00C54F26" w:rsidRDefault="00C54F26" w:rsidP="00C54F26">
      <w:pPr>
        <w:pStyle w:val="TextoNormal"/>
      </w:pPr>
      <w:r w:rsidRPr="00C54F26">
        <w:rPr>
          <w:rStyle w:val="NumeroAFNegritaCaracter"/>
        </w:rPr>
        <w:t>2</w:t>
      </w:r>
      <w:r>
        <w:t>. Mediante providencia del Pleno, de fecha 17 de noviembre de 2020, se acordó, con carácter previo al pronunciamiento sobre la admisión del recurso de inconstitucionalidad, conceder al procurador don José Miguel Martínez-Fresneda Gambra un plazo de diez días para identificar a los diputados y diputadas recurrentes; aportar certificación expedida por el secretario general del Congreso relativa a si los diputados firmantes del recurso integran o no actualmente la Cámara, ostentando así la legitimación para recurrir; acreditar documentalmente que los diputados y diputadas promotores del recurso formalizaron su voluntad de impugnar el decreto-ley y la ley dentro del plazo de los tres meses establecido a tal fin en el art. 33 de la Ley Orgánica del Tribunal Constitucional (LOTC); y aportar poder de representación del comisionado y del procurador, así como copia de la resolución que recurre, en la que conste la fecha de publicación.</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3</w:t>
      </w:r>
      <w:r>
        <w:t>. El día 3 de diciembre de 2020, don José Miguel Martínez-Fresneda Gambra presentó ante este tribunal escrito al que acompañaba de la documentación requerida, tal y como se relata en el antecedente tercero del ATC 34/2021, de 16 de marzo. En este pronunciamiento, el Pleno acordó inadmitir a trámite el presente recurso de inconstitucionalidad, al entender que ninguno de los documentos aportados por el procurador, en el trámite de subsanación abierto por la providencia de 17 de noviembre de 2020, acreditaba el cumplimiento de los requisitos de legitimación requeridos en los arts. 162.1 a) CE y 32.1 c) LOTC.</w:t>
      </w:r>
    </w:p>
    <w:p w:rsidR="00C54F26" w:rsidRDefault="00C54F26" w:rsidP="00C54F26">
      <w:pPr>
        <w:pStyle w:val="TextoNormal"/>
      </w:pPr>
    </w:p>
    <w:p w:rsidR="00C54F26" w:rsidRDefault="00C54F26" w:rsidP="00C54F26">
      <w:pPr>
        <w:pStyle w:val="TextoNormal"/>
      </w:pPr>
      <w:r>
        <w:t>El auto sostiene que los poderes generales para pleitos, fechados el 22 de octubre de 2020, y presentados tras el requerimiento formulado por providencia de 17 de noviembre de 2020 “muestran que en cada uno de ellos sólo interviene un diputado ‘en su propio nombre y derecho, como secretario general y portavoz sustituto’; lo que hace además ‘en nombre y representación de los diputados’ del grupo respectivo” (ATC 34/2021, de 16 de marzo, FJ único), apreciándose que no consta que esos diputados y diputadas hayan “otorgado su representación al secretario general y portavoz sustituto” que actúa en nombre de todos los demás. El Tribunal deriva de esta circunstancia que solo tres poderdantes facultan a don Javier Sánchez Serna para actuar como comisionado en la interposición del presente recurso de inconstitucionalidad.</w:t>
      </w:r>
    </w:p>
    <w:p w:rsidR="00C54F26" w:rsidRDefault="00C54F26" w:rsidP="00C54F26">
      <w:pPr>
        <w:pStyle w:val="TextoNormal"/>
      </w:pPr>
    </w:p>
    <w:p w:rsidR="00C54F26" w:rsidRDefault="00C54F26" w:rsidP="00C54F26">
      <w:pPr>
        <w:pStyle w:val="TextoNormal"/>
      </w:pPr>
      <w:r>
        <w:t>También se afirma en el auto que en el documento acreditativo de la concurrencia de la voluntad de los diputados y diputadas recurrentes para impugnar las normas ya referidas, aparecen seis firmas a las “que no se asocia nombre o documento de identificación alguno, tampoco grupo parlamentario al que pertenezcan” (ATC 34/2021, de 16 de marzo, FJ único), faltando la identificación de las firmas de los diputados y diputadas de los grupos parlamentarios Euskal Herria Bildu y grupo parlamentario Plural, quienes aparecen citados en el acta notarial protocolizada. Siendo las firmas identificadas inferiores al número de cincuenta, el Tribunal considera incumplido el requisito de legitimación que exigen los arts. 162.1 CE y 32.1 LOTC.</w:t>
      </w:r>
    </w:p>
    <w:p w:rsidR="00C54F26" w:rsidRDefault="00C54F26" w:rsidP="00C54F26">
      <w:pPr>
        <w:pStyle w:val="TextoNormal"/>
      </w:pPr>
    </w:p>
    <w:p w:rsidR="00C54F26" w:rsidRDefault="00C54F26" w:rsidP="00C54F26">
      <w:pPr>
        <w:pStyle w:val="TextoNormal"/>
      </w:pPr>
      <w:r w:rsidRPr="00C54F26">
        <w:rPr>
          <w:rStyle w:val="NumeroAFNegritaCaracter"/>
        </w:rPr>
        <w:t>4</w:t>
      </w:r>
      <w:r>
        <w:t>. Mediante escrito registrado en el tribunal el día 29 de marzo de 2021, el procurador de los tribunales don José Miguel Martínez-Fresneda Gambra, con la asistencia letrada de don José Mateos Martínez, presentó recurso de súplica frente al auto de inadmisión de 16 de marzo de 2021, notificado el 25 de marzo, interesando —con fundamento en las alegaciones que seguidamente se resumen— la revocación del auto impugnado y la admisión a trámite del recurso de inconstitucionalidad núm. 4870-2020.</w:t>
      </w:r>
    </w:p>
    <w:p w:rsidR="00C54F26" w:rsidRDefault="00C54F26" w:rsidP="00C54F26">
      <w:pPr>
        <w:pStyle w:val="TextoNormal"/>
      </w:pPr>
    </w:p>
    <w:p w:rsidR="00C54F26" w:rsidRDefault="00C54F26" w:rsidP="00C54F26">
      <w:pPr>
        <w:pStyle w:val="TextoNormal"/>
      </w:pPr>
      <w:r>
        <w:t>El escrito denuncia la vulneración, por parte del auto de inadmisión, del art. 24.1 CE, en su vertiente de acceso a los recursos, en relación con el derecho a la participación política del art. 23.1 CE, así como la vulneración de lo previsto en los arts. 32.1 LOTC, y en el art. 1 del Reglamento de organización y régimen del Notariado, aprobado por Decreto de 2 de junio de 1944, en la redacción dada por el Real Decreto 45/2007, de 19 de enero.</w:t>
      </w:r>
    </w:p>
    <w:p w:rsidR="00C54F26" w:rsidRDefault="00C54F26" w:rsidP="00C54F26">
      <w:pPr>
        <w:pStyle w:val="TextoNormal"/>
      </w:pPr>
    </w:p>
    <w:p w:rsidR="00C54F26" w:rsidRDefault="00C54F26" w:rsidP="00C54F26">
      <w:pPr>
        <w:pStyle w:val="TextoNormal"/>
      </w:pPr>
      <w:r>
        <w:t xml:space="preserve">Respecto del motivo de inadmisión relacionado con el otorgamiento de los poderes generales para pleitos, el escrito sostiene que el notario da fe de que el secretario general del grupo parlamentario interviene en su propio nombre y derecho “así como en nombre y representación de los diputados que forman parte de dicho grupo parlamentario”, apareciendo después los nombres de todos ellos y haciéndose constar que son todos “mayores de edad, </w:t>
      </w:r>
      <w:r>
        <w:lastRenderedPageBreak/>
        <w:t>de nacionalidad española, diputados y diputadas, pertenecientes a los grupos parlamentarios” reflejados en el poder.</w:t>
      </w:r>
    </w:p>
    <w:p w:rsidR="00C54F26" w:rsidRDefault="00C54F26" w:rsidP="00C54F26">
      <w:pPr>
        <w:pStyle w:val="TextoNormal"/>
      </w:pPr>
    </w:p>
    <w:p w:rsidR="00C54F26" w:rsidRDefault="00C54F26" w:rsidP="00C54F26">
      <w:pPr>
        <w:pStyle w:val="TextoNormal"/>
      </w:pPr>
      <w:r>
        <w:t>Sostiene esta parte que no hay dudas de que el notario certifica que se han dado las circunstancias jurídicas y fácticas precisas para que esa representación sea válida, esto es, para que el secretario general pueda obrar en su nombre y también en nombre del resto de diputados que componen el grupo. Además, que si el notario certifica haber identificado a la parte compareciente; constata que, a su juicio, esta parte tiene capacidad y está legitimada para el otorgamiento de poder; y da fe de que este otorgamiento se adecúa a la legalidad. Esta parte argumenta que la fe pública notarial, consagrada en el art. 1 del Reglamento de la organización y régimen del Notariado, abarca la constatación fáctica y jurídica de la identidad, legitimación y capacidad de los poderdantes. Se afirma que si el notario certifica que todos los integrantes del grupo parlamentario otorgaron poder, dicha acta tiene plena validez mientras no se impugne, vulnerando el precepto esgrimido el que de forma sumaria se niegue la veracidad de lo que contiene el documento notarial. Esta negación también vulneraría los derechos fundamentales a la tutela judicial efectiva y a la participación política, negando a los recurrentes el acceso al recurso de inconstitucionalidad y la defensa de los intereses de los electores a quienes representan.</w:t>
      </w:r>
    </w:p>
    <w:p w:rsidR="00C54F26" w:rsidRDefault="00C54F26" w:rsidP="00C54F26">
      <w:pPr>
        <w:pStyle w:val="TextoNormal"/>
      </w:pPr>
    </w:p>
    <w:p w:rsidR="00C54F26" w:rsidRDefault="00C54F26" w:rsidP="00C54F26">
      <w:pPr>
        <w:pStyle w:val="TextoNormal"/>
      </w:pPr>
      <w:r>
        <w:t>Se afirma, además, que no se ha dado posibilidad de subsanar los hipotéticos defectos que han causado la inadmisión del recurso, lo que estaría singularmente justificado al haber acudido los recurrentes a esta jurisdicción confiando en la fe pública notarial.</w:t>
      </w:r>
    </w:p>
    <w:p w:rsidR="00C54F26" w:rsidRDefault="00C54F26" w:rsidP="00C54F26">
      <w:pPr>
        <w:pStyle w:val="TextoNormal"/>
      </w:pPr>
    </w:p>
    <w:p w:rsidR="00C54F26" w:rsidRDefault="00C54F26" w:rsidP="00C54F26">
      <w:pPr>
        <w:pStyle w:val="TextoNormal"/>
      </w:pPr>
      <w:r>
        <w:t>En lo que se refiere a la defectuosa protocolización del recurso en relación con la falta de identificación de varias firmas, el escrito invoca la validez de la fe pública notarial, alegando que el acta en la página 2, da fe de la firma de los diputados de tres grupos parlamentarios, incluido “Euskal Herria Bildu”, y que, estando identificadas las firmas de los integrantes de los otros dos grupos, se deduce que las firmas no identificadas son las de los diputados del grupo Euskal Herria Bildu, quedando así suficientemente certificada la firma de cincuenta diputados y diputadas, las suficientes para validar el recurso. Afirma esta parte que “sostener que parte de las firmas (cincuenta en total) no son válidas por no haber escrito los diputados su nombre bajo las mismas, vulnera la fe pública notarial al dar fe el notario de su condición de diputados, fe que viene ratificada por el hecho de que en los tres poderes generales para pleitos figuren los mismos cincuenta diputados que firman el acta de protocolización”. En relación con este argumento, se insiste de nuevo en la vulneración del art. 24.</w:t>
      </w:r>
    </w:p>
    <w:p w:rsidR="00C54F26" w:rsidRDefault="00C54F26" w:rsidP="00C54F26">
      <w:pPr>
        <w:pStyle w:val="TextoNormal"/>
      </w:pPr>
    </w:p>
    <w:p w:rsidR="00C54F26" w:rsidRDefault="00C54F26" w:rsidP="00C54F26">
      <w:pPr>
        <w:pStyle w:val="TextoNormal"/>
      </w:pPr>
      <w:r>
        <w:t xml:space="preserve">Por último, en el escrito se solicita que, para el caso de que el Pleno entendiese que la ausencia de un pie de firma donde cada diputado escriba su nombre y apellidos es un defecto del documento, la recta interpretación del principio </w:t>
      </w:r>
      <w:r w:rsidRPr="00C54F26">
        <w:rPr>
          <w:i/>
        </w:rPr>
        <w:t>pro actione</w:t>
      </w:r>
      <w:r>
        <w:t>, puesto en conexión con el derecho fundamental a la tutela judicial efectiva, exigiría que se otorgase un plazo para subsanarlo.</w:t>
      </w:r>
    </w:p>
    <w:p w:rsidR="00C54F26" w:rsidRDefault="00C54F26" w:rsidP="00C54F26">
      <w:pPr>
        <w:pStyle w:val="TextoNormal"/>
      </w:pPr>
    </w:p>
    <w:p w:rsidR="00C54F26" w:rsidRDefault="00C54F26" w:rsidP="00C54F26">
      <w:pPr>
        <w:pStyle w:val="TextoNormal"/>
      </w:pPr>
      <w:r>
        <w:t xml:space="preserve">En el </w:t>
      </w:r>
      <w:r w:rsidRPr="00C54F26">
        <w:rPr>
          <w:i/>
        </w:rPr>
        <w:t>petitum</w:t>
      </w:r>
      <w:r>
        <w:t xml:space="preserve"> del escrito se solicita la revocación del auto de 16 de marzo de 2021 y la admisión a trámite del recurso de inconstitucionalidad objeto de autos.</w:t>
      </w:r>
    </w:p>
    <w:p w:rsidR="00C54F26" w:rsidRDefault="00C54F26" w:rsidP="00C54F26">
      <w:pPr>
        <w:pStyle w:val="TextoNormal"/>
      </w:pPr>
    </w:p>
    <w:p w:rsidR="00C54F26" w:rsidRDefault="00C54F26" w:rsidP="00C54F26">
      <w:pPr>
        <w:pStyle w:val="TextoNormal"/>
      </w:pPr>
      <w:r w:rsidRPr="00C54F26">
        <w:rPr>
          <w:rStyle w:val="NumeroAFNegritaCaracter"/>
        </w:rPr>
        <w:t>5</w:t>
      </w:r>
      <w:r>
        <w:t xml:space="preserve">. El mismo día 29 de marzo de 2021, se registra un segundo escrito aclaratorio firmado por los mismos abogado y procurador, para solicitar como pretensión subsidiaria del recurso </w:t>
      </w:r>
      <w:r>
        <w:lastRenderedPageBreak/>
        <w:t>de súplica, la concesión de un plazo improrrogable de subsanación para ratificar las firmas de los diputados integrantes de los grupos parlamentarios, así como las firmas de los diputados que aparecen en la protocolización del recurso de inconstitucionalidad.</w:t>
      </w:r>
    </w:p>
    <w:p w:rsidR="00C54F26" w:rsidRDefault="00C54F26" w:rsidP="00C54F26">
      <w:pPr>
        <w:pStyle w:val="TextoNormal"/>
      </w:pPr>
    </w:p>
    <w:p w:rsidR="00C54F26" w:rsidRDefault="00C54F26" w:rsidP="00C54F26">
      <w:pPr>
        <w:pStyle w:val="TextoNormal"/>
      </w:pPr>
      <w:r>
        <w:t>En el mismo escrito se informa al Tribunal de que en el recurso de inconstitucionalidad núm. 4652-2020, interpuesto por el grupo parlamentario de Unidas Podemos, junto a otros grupos, se usaron unos poderes generales para pleitos de idéntica redacción a los que ahora se rechazan, no advirtiendo el Tribunal óbice alguno y admitiéndose a trámite aquel recurso.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Examinados los razonamientos que se contienen en el recurso de súplica interpuesto, este tribunal acuerda desestimarlo, confirmando lo acordado en el ATC 34/2021, de 16 de marzo, esto es, la inadmisión del recurso de inconstitucionalidad ante la falta de acreditación suficiente de los requisitos procesales exigidos por los arts. 162.1 a) CE y 32 LOTC, y la insuficiente subsanación intentada por los recurrentes una vez efectuado un primer requerimiento para ello, mediante providencia de 17 de noviembre de 2020.</w:t>
      </w:r>
    </w:p>
    <w:p w:rsidR="00C54F26" w:rsidRDefault="00C54F26" w:rsidP="00C54F26">
      <w:pPr>
        <w:pStyle w:val="TextoNormal"/>
      </w:pPr>
    </w:p>
    <w:p w:rsidR="00C54F26" w:rsidRDefault="00C54F26" w:rsidP="00C54F26">
      <w:pPr>
        <w:pStyle w:val="TextoNormal"/>
      </w:pPr>
      <w:r w:rsidRPr="00C54F26">
        <w:rPr>
          <w:rStyle w:val="NumeroAFNegritaCaracter"/>
        </w:rPr>
        <w:t>2</w:t>
      </w:r>
      <w:r>
        <w:t>. Ante todo, debe señalarse que la facultad de promover el recurso de inconstitucionalidad por cincuenta diputados o senadores [art. 162.1 a) CE y art. 32 LOTC] no la otorga la Constitución en atención a un interés propio de los legitimados, sino en virtud de la alta cualificación política que resulta de su cometido constitucional. Así se afirmó en el ATC 98/2011, de 22 de junio, en el que también se sostuvo que “esta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w:t>
      </w:r>
    </w:p>
    <w:p w:rsidR="00C54F26" w:rsidRDefault="00C54F26" w:rsidP="00C54F26">
      <w:pPr>
        <w:pStyle w:val="TextoNormal"/>
      </w:pPr>
    </w:p>
    <w:p w:rsidR="00C54F26" w:rsidRDefault="00C54F26" w:rsidP="00C54F26">
      <w:pPr>
        <w:pStyle w:val="TextoNormal"/>
      </w:pPr>
      <w:r>
        <w:t>También recoge nuestra jurisprudencia, de forma constante y reiterada que “la decisión de recurrir que incumbe a cincuenta o más diputados o senadores —sujetos legitimados para interponer el recurso de inconstitucionalidad que constituyen fracciones de órganos constitucionales— debe ir acompañada de la satisfacción de determinados requisitos formales, cuyo incumplimiento determina la existencia de un vicio en la legitimación misma que se erige en causa de inadmisibilidad del recurso” (ATC 55/2011, FJ 2). Entre tales requisitos formales “cobra especial importancia, en este caso, el acuerdo previo de los más de cincuenta senadores de expresar su voluntad de formalizar el recurso y de comisionar, a tal efecto, a uno de ellos para que lo presentara dentro del plazo legal, de conformidad con lo que disponen los artículos 32.2, 33.1 y 82.1 LOTC, tal y como, por otra parte, así lo ha declarado este tribunal en las SSTC 42/1985, de 15 de marzo, FJ 2; 150/1990, de 4 de octubre, FJ 1, y 180/2000, de 29 de junio, FJ 2 b), entre otras” (STC 14/2019, de 31 de enero, FJ 2).</w:t>
      </w:r>
    </w:p>
    <w:p w:rsidR="00C54F26" w:rsidRDefault="00C54F26" w:rsidP="00C54F26">
      <w:pPr>
        <w:pStyle w:val="TextoNormal"/>
      </w:pPr>
    </w:p>
    <w:p w:rsidR="00C54F26" w:rsidRDefault="00C54F26" w:rsidP="00C54F26">
      <w:pPr>
        <w:pStyle w:val="TextoNormal"/>
      </w:pPr>
      <w:r>
        <w:lastRenderedPageBreak/>
        <w:t xml:space="preserve">La verificación de los requisitos formales es una obligación de este tribunal, y su cumplimiento una exigencia debida por parte de los recurrentes. No puede entenderse, por tanto, que la mera constatación por parte del Pleno del Tribunal Constitucional, de la existencia de un óbice procesal, que produce en la inadmisión del recurso de inconstitucionalidad, suponga </w:t>
      </w:r>
      <w:r w:rsidRPr="00C54F26">
        <w:rPr>
          <w:i/>
        </w:rPr>
        <w:t>per se</w:t>
      </w:r>
      <w:r>
        <w:t xml:space="preserve"> una lesión del derecho a la tutela judicial efectiva de los recurrentes (art. 24.1 CE), ni tampoco una vulneración de su derecho a la participación política (art. 23.1 CE) ni de sí mismos, ni de sus representados.</w:t>
      </w:r>
    </w:p>
    <w:p w:rsidR="00C54F26" w:rsidRDefault="00C54F26" w:rsidP="00C54F26">
      <w:pPr>
        <w:pStyle w:val="TextoNormal"/>
      </w:pPr>
    </w:p>
    <w:p w:rsidR="00C54F26" w:rsidRDefault="00C54F26" w:rsidP="00C54F26">
      <w:pPr>
        <w:pStyle w:val="TextoNormal"/>
      </w:pPr>
      <w:r>
        <w:t>La facultad para impugnar la constitucionalidad de una norma con rango de ley, aprobada por la mayoría de una cámara de representación política, va necesariamente acompañada de la responsabilidad de quienes están constitucionalmente legitimados para ejercer el control de constitucionalidad, que deben cumplir adecuadamente unas exigencias procesales que tienen como objetivos: i) garantizar la seguridad jurídica evitando la impugnación extemporánea de las normas aprobadas en sede parlamentaria, y ii) asegurar la existencia de la voluntad impugnatoria de quienes contestan la adecuación constitucional de una norma con rango de ley, elaborada por quienes, como los recurrentes, también son titulares del derecho fundamental contemplado en el art. 23.1 CE.</w:t>
      </w:r>
    </w:p>
    <w:p w:rsidR="00C54F26" w:rsidRDefault="00C54F26" w:rsidP="00C54F26">
      <w:pPr>
        <w:pStyle w:val="TextoNormal"/>
      </w:pPr>
    </w:p>
    <w:p w:rsidR="00C54F26" w:rsidRDefault="00C54F26" w:rsidP="00C54F26">
      <w:pPr>
        <w:pStyle w:val="TextoNormal"/>
      </w:pPr>
      <w:r>
        <w:t>Como afirmamos en el ATC 98/2011, de 22 de junio,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w:t>
      </w:r>
    </w:p>
    <w:p w:rsidR="00C54F26" w:rsidRDefault="00C54F26" w:rsidP="00C54F26">
      <w:pPr>
        <w:pStyle w:val="TextoNormal"/>
      </w:pPr>
    </w:p>
    <w:p w:rsidR="00C54F26" w:rsidRDefault="00C54F26" w:rsidP="00C54F26">
      <w:pPr>
        <w:pStyle w:val="TextoNormal"/>
      </w:pPr>
      <w:r w:rsidRPr="00C54F26">
        <w:rPr>
          <w:rStyle w:val="NumeroAFNegritaCaracter"/>
        </w:rPr>
        <w:t>3</w:t>
      </w:r>
      <w:r>
        <w:t>. En el supuesto de hecho que nos ocupa se constatan las siguientes circunstancias, que no permiten al tribunal asumir que han concurrido las voluntades inequívocas de cincuenta diputados y diputadas para discutir la validez de una norma aprobada, en este caso, por un parlamento autonómico:</w:t>
      </w:r>
    </w:p>
    <w:p w:rsidR="00C54F26" w:rsidRDefault="00C54F26" w:rsidP="00C54F26">
      <w:pPr>
        <w:pStyle w:val="TextoNormal"/>
      </w:pPr>
    </w:p>
    <w:p w:rsidR="00C54F26" w:rsidRDefault="00C54F26" w:rsidP="00C54F26">
      <w:pPr>
        <w:pStyle w:val="TextoNormal"/>
      </w:pPr>
      <w:r>
        <w:t>a) La demanda del recurso de inconstitucionalidad núm. 4870-2020, fue registrada en este tribunal el 16 de octubre de 2020. No se acompañaba a ese escrito ninguno de los documentos necesarios para verificar la concurrencia de los requisitos procesales exigidos para plantear un recurso de inconstitucionalidad. Tampoco venía firmado por nadie más que el abogado y el procurador. No se acompañaba a este escrito de demanda listado alguno identificando a las diputadas y diputados recurrentes. Tampoco aparece en dicho documento mención del grupo o grupos parlamentarios a los que pertenecerían los hipotéticos recurrentes. No aparece tampoco voluntad impugnatoria alguna, ni se hace constar la filiación como diputado de don Javier Sánchez Serna, que aparecía mencionado como comisionado para la interposición del recurso.</w:t>
      </w:r>
    </w:p>
    <w:p w:rsidR="00C54F26" w:rsidRDefault="00C54F26" w:rsidP="00C54F26">
      <w:pPr>
        <w:pStyle w:val="TextoNormal"/>
      </w:pPr>
    </w:p>
    <w:p w:rsidR="00C54F26" w:rsidRDefault="00C54F26" w:rsidP="00C54F26">
      <w:pPr>
        <w:pStyle w:val="TextoNormal"/>
      </w:pPr>
      <w:r>
        <w:t xml:space="preserve">b) Mediante providencia del Pleno, fechada el 17 de noviembre de 2020, se solicitó al procurador que presentante la documentación faltante en el sentido expuesto en el auto </w:t>
      </w:r>
      <w:r>
        <w:lastRenderedPageBreak/>
        <w:t xml:space="preserve">frente al que se plantea el presente recurso de súplica. Ya se dio entonces ocasión, a través de una providencia del Pleno de este tribunal, para que los recurrentes subsanasen adecuadamente los vicios de admisibilidad identificados exhaustivamente en dicha providencia. En ese momento, se aplicó con toda su amplitud el principio </w:t>
      </w:r>
      <w:r w:rsidRPr="00C54F26">
        <w:rPr>
          <w:i/>
        </w:rPr>
        <w:t>pro actione</w:t>
      </w:r>
      <w:r>
        <w:t>, que invoca en este recurso de súplica la parte recurrente.</w:t>
      </w:r>
    </w:p>
    <w:p w:rsidR="00C54F26" w:rsidRDefault="00C54F26" w:rsidP="00C54F26">
      <w:pPr>
        <w:pStyle w:val="TextoNormal"/>
      </w:pPr>
    </w:p>
    <w:p w:rsidR="00C54F26" w:rsidRDefault="00C54F26" w:rsidP="00C54F26">
      <w:pPr>
        <w:pStyle w:val="TextoNormal"/>
      </w:pPr>
      <w:r>
        <w:t>c) Una vez presentado el escrito de subsanación, y la documentación requerida, este Tribunal constata las siguientes circunstancias procesales relacionadas con la manifestación de la voluntad de recurrir:</w:t>
      </w:r>
    </w:p>
    <w:p w:rsidR="00C54F26" w:rsidRDefault="00C54F26" w:rsidP="00C54F26">
      <w:pPr>
        <w:pStyle w:val="TextoNormal"/>
      </w:pPr>
    </w:p>
    <w:p w:rsidR="00C54F26" w:rsidRDefault="00C54F26" w:rsidP="00C54F26">
      <w:pPr>
        <w:pStyle w:val="TextoNormal"/>
      </w:pPr>
      <w:r>
        <w:t>(i) En primer lugar la acreditación de que los diputados y diputadas promotores del recurso formalizaron su voluntad de impugnar dentro del plazo de los tres meses establecido a tal fin en el art. 33 LOTC, se presenta en forma de protocolización notarial de una copia de la demanda por la que se interpone el recurso de inconstitucionalidad.</w:t>
      </w:r>
    </w:p>
    <w:p w:rsidR="00C54F26" w:rsidRDefault="00C54F26" w:rsidP="00C54F26">
      <w:pPr>
        <w:pStyle w:val="TextoNormal"/>
      </w:pPr>
    </w:p>
    <w:p w:rsidR="00C54F26" w:rsidRDefault="00C54F26" w:rsidP="00C54F26">
      <w:pPr>
        <w:pStyle w:val="TextoNormal"/>
      </w:pPr>
      <w:r>
        <w:t>El acta de protocolización está fechada el 22 de octubre de 2020 y en ella se certifica una copia de la demanda que aparece firmada según consta literalmente en el acta, por los parlamentarios del “grupo parlamentario confederal de Unidas Podemos-En Comú Podem-Galicia En Comú”, del “grupo parlamentario Republicano”, del “grupo parlamentario Euskal Herria Bildu”, y del “grupo parlamentario Plural” que figuran en el documento. Respecto del último grupo parlamentario citado ninguna mención existe en ningún otro documento, y no aparecen identificados, aparentemente, firmantes de dicho grupo.</w:t>
      </w:r>
    </w:p>
    <w:p w:rsidR="00C54F26" w:rsidRDefault="00C54F26" w:rsidP="00C54F26">
      <w:pPr>
        <w:pStyle w:val="TextoNormal"/>
      </w:pPr>
    </w:p>
    <w:p w:rsidR="00C54F26" w:rsidRDefault="00C54F26" w:rsidP="00C54F26">
      <w:pPr>
        <w:pStyle w:val="TextoNormal"/>
      </w:pPr>
      <w:r>
        <w:t>En el acta de protocolización el notario dice expresamente que se advierte al compareciente, que es exclusivamente don Txema Guijarro García, como secretario general y portavoz sustituto del “grupo parlamentario confederal de Unidas Podemos-En Comú Podem-Galicia En Comú”, de lo siguiente: “esta protocolización se efectúa a los efectos de evitar el extravío del documento citado y de dar autenticidad a su fecha, pero sin ninguno de los efectos de la escritura pública y sólo a los efectos del artículo 1227 del Código civil”.</w:t>
      </w:r>
    </w:p>
    <w:p w:rsidR="00C54F26" w:rsidRDefault="00C54F26" w:rsidP="00C54F26">
      <w:pPr>
        <w:pStyle w:val="TextoNormal"/>
      </w:pPr>
    </w:p>
    <w:p w:rsidR="00C54F26" w:rsidRDefault="00C54F26" w:rsidP="00C54F26">
      <w:pPr>
        <w:pStyle w:val="TextoNormal"/>
      </w:pPr>
      <w:r>
        <w:t>Por último, en la demanda protocolizada se identifica la firma de cuarenta y seis diputados, integrantes de los grupos parlamentarios “confederal de Unidas Podemos-En Comú Podem-Galicia En Comú” (treinta y cinco diputados y diputadas), y “parlamentario Republicano” (once diputados y diputadas). En el documento aparecen otras cinco rúbricas no identificadas ni con un nombre, ni con un número de documento nacional de identidad, ni con grupo parlamentario de pertenencia. Estas rúbricas no aparecen en ninguno otro de los documentos formalizados y presentados ante este tribunal.</w:t>
      </w:r>
    </w:p>
    <w:p w:rsidR="00C54F26" w:rsidRDefault="00C54F26" w:rsidP="00C54F26">
      <w:pPr>
        <w:pStyle w:val="TextoNormal"/>
      </w:pPr>
    </w:p>
    <w:p w:rsidR="00C54F26" w:rsidRDefault="00C54F26" w:rsidP="00C54F26">
      <w:pPr>
        <w:pStyle w:val="TextoNormal"/>
      </w:pPr>
      <w:r>
        <w:t>(ii) En segundo lugar, el comisionado que interpuso la demanda, es decir el diputado don Javier Sánchez Serna, aparece en los tres poderes generales para pleitos, otorgados por: don Txema Guijarro García como secretario general y portavoz sustituto del grupo parlamentario “confederal de Unidas Podemos-En Comú Podem-Galicia En Comú; don Oskar Matute García de Jalón como secretario general y portavoz sustituto (</w:t>
      </w:r>
      <w:r w:rsidRPr="00C54F26">
        <w:rPr>
          <w:i/>
        </w:rPr>
        <w:t>sic</w:t>
      </w:r>
      <w:r>
        <w:t>) del grupo parlamentario “Euskal Herria Bildu”; y don Gabriel Rufián Moreno como secretario general y portavoz sustituto (</w:t>
      </w:r>
      <w:r w:rsidRPr="00C54F26">
        <w:rPr>
          <w:i/>
        </w:rPr>
        <w:t>sic</w:t>
      </w:r>
      <w:r>
        <w:t>) del “grupo parlamentario Republicano”.</w:t>
      </w:r>
    </w:p>
    <w:p w:rsidR="00C54F26" w:rsidRDefault="00C54F26" w:rsidP="00C54F26">
      <w:pPr>
        <w:pStyle w:val="TextoNormal"/>
      </w:pPr>
    </w:p>
    <w:p w:rsidR="00C54F26" w:rsidRDefault="00C54F26" w:rsidP="00C54F26">
      <w:pPr>
        <w:pStyle w:val="TextoNormal"/>
      </w:pPr>
      <w:r>
        <w:t xml:space="preserve">Se hace notar, respecto de estas constataciones que don Oskar Matute García de Jalón es portavoz adjunto en el Congreso de los Diputados del grupo parlamentario al que pertenece </w:t>
      </w:r>
      <w:r>
        <w:lastRenderedPageBreak/>
        <w:t>y que don Gabriel Rufián Moreno es portavoz titular en el Congreso de los Diputados del grupo parlamentario al que pertenece. Asimismo se constata que en el poder que comparece para otorgar don Oskar Matute García de Jalón aparecen citadas como personas a las que se confiere el poder, el procurador y letrado firmantes de la demanda, y doña Mertxe Aizpurua Arallus en lugar don Oskar Matute García.</w:t>
      </w:r>
    </w:p>
    <w:p w:rsidR="00C54F26" w:rsidRDefault="00C54F26" w:rsidP="00C54F26">
      <w:pPr>
        <w:pStyle w:val="TextoNormal"/>
      </w:pPr>
    </w:p>
    <w:p w:rsidR="00C54F26" w:rsidRDefault="00C54F26" w:rsidP="00C54F26">
      <w:pPr>
        <w:pStyle w:val="TextoNormal"/>
      </w:pPr>
      <w:r>
        <w:t>(iii) En tercer lugar, el apoderamiento, la designación del comisionado y la manifestación de la voluntad de recurrir se hicieron efectivas ante notario el día 22 de octubre de 2020, y, por tanto, con posterioridad a la presentación del recurso, que lo fue el 16 de octubre de 2020.</w:t>
      </w:r>
    </w:p>
    <w:p w:rsidR="00C54F26" w:rsidRDefault="00C54F26" w:rsidP="00C54F26">
      <w:pPr>
        <w:pStyle w:val="TextoNormal"/>
      </w:pPr>
    </w:p>
    <w:p w:rsidR="00C54F26" w:rsidRDefault="00C54F26" w:rsidP="00C54F26">
      <w:pPr>
        <w:pStyle w:val="TextoNormal"/>
      </w:pPr>
      <w:r w:rsidRPr="00C54F26">
        <w:rPr>
          <w:rStyle w:val="NumeroAFNegritaCaracter"/>
        </w:rPr>
        <w:t>4</w:t>
      </w:r>
      <w:r>
        <w:t>. De los datos anteriores se puede concluir, como se pone de manifiesto de forma sucinta en el ATC 34/2021, de 16 de marzo, que no ha quedado suficientemente acreditada la manifestación, dentro del plazo de tres meses que prevé el art. 33 LOTC, de la voluntad de cincuenta diputados y diputadas de nombrar como comisionado a don Manuel Sánchez Serna para plantear la demanda de inconstitucionalidad que da lugar al presente recurso.</w:t>
      </w:r>
    </w:p>
    <w:p w:rsidR="00C54F26" w:rsidRDefault="00C54F26" w:rsidP="00C54F26">
      <w:pPr>
        <w:pStyle w:val="TextoNormal"/>
      </w:pPr>
    </w:p>
    <w:p w:rsidR="00C54F26" w:rsidRDefault="00C54F26" w:rsidP="00C54F26">
      <w:pPr>
        <w:pStyle w:val="TextoNormal"/>
      </w:pPr>
      <w:r>
        <w:t>Estos poderes, fechados el 22 de octubre de 2020, y presentados tras el requerimiento formulado por providencia de 17 de noviembre de 2020 “muestran que en cada uno de ellos sólo interviene un diputado ‘en su propio nombre y derecho, como secretario general y portavoz sustituto’; lo que hace además ‘en nombre y representación de los diputados’ del grupo respectivo” (ATC 34/2021, de 16 de marzo, FJ único), apreciándose que no consta que esos diputados y diputadas hayan “otorgado su representación al secretario general y portavoz sustituto” que actúa en nombre de todos los demás.</w:t>
      </w:r>
    </w:p>
    <w:p w:rsidR="00C54F26" w:rsidRDefault="00C54F26" w:rsidP="00C54F26">
      <w:pPr>
        <w:pStyle w:val="TextoNormal"/>
      </w:pPr>
    </w:p>
    <w:p w:rsidR="00C54F26" w:rsidRDefault="00C54F26" w:rsidP="00C54F26">
      <w:pPr>
        <w:pStyle w:val="TextoNormal"/>
      </w:pPr>
      <w:r>
        <w:t>Es decir, los poderes que designan al diputado don Manuel Sánchez Serna como comisionado, solo certifican que los tres portavoces de los grupos parlamentarios previamente identificados han formalizado dicho mandato, pero no permiten verificar si el resto de firmantes del recurso también lo hicieron, porque no consta la voluntad de delegar en los portavoces la facultad de nombramiento del comisionado.</w:t>
      </w:r>
    </w:p>
    <w:p w:rsidR="00C54F26" w:rsidRDefault="00C54F26" w:rsidP="00C54F26">
      <w:pPr>
        <w:pStyle w:val="TextoNormal"/>
      </w:pPr>
    </w:p>
    <w:p w:rsidR="00C54F26" w:rsidRDefault="00C54F26" w:rsidP="00C54F26">
      <w:pPr>
        <w:pStyle w:val="TextoNormal"/>
      </w:pPr>
      <w:r>
        <w:t xml:space="preserve">En la medida en que la legitimación prevista en el art. 32 LOTC está atribuida a una agrupación ocasional o </w:t>
      </w:r>
      <w:r w:rsidRPr="00C54F26">
        <w:rPr>
          <w:i/>
        </w:rPr>
        <w:t>ad hoc</w:t>
      </w:r>
      <w:r>
        <w:t xml:space="preserve"> de diputados, en este caso, que se constituyen a los solos efectos de impugnar la validez constitucional de una ley, no puede entenderse que el portavoz del grupo parlamentario, o su secretario general ostenten, con carácter general, la facultad de representación de los integrantes de su grupo a la hora de plantear un recurso. Ya se sostuvo así en la STC 42/1985, de 15 de marzo, en la que se estableció que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y que, en consecuencia, la decisión de impugnar no puede ser adoptada en términos genéricos, habilitando a delegados, apoderados o mandatarios para interponer o no la acción de inconstitucionalidad, según su propio criterio, contra las leyes que en el futuro se vayan promulgando. Esta conclusión, a la que igualmente conduce el elemental razonamiento de que no cabe adoptar la decisión de impugnar una ley mientras tal ley no exista, aparece consagrada por el tan citado art. 32.2 LOTC, que no sólo exige ‘acuerdo previo’, sino que también este haya sido ‘adoptado al efecto’” (FJ 2).</w:t>
      </w:r>
    </w:p>
    <w:p w:rsidR="00C54F26" w:rsidRDefault="00C54F26" w:rsidP="00C54F26">
      <w:pPr>
        <w:pStyle w:val="TextoNormal"/>
      </w:pPr>
    </w:p>
    <w:p w:rsidR="00C54F26" w:rsidRDefault="00C54F26" w:rsidP="00C54F26">
      <w:pPr>
        <w:pStyle w:val="TextoNormal"/>
      </w:pPr>
      <w:r>
        <w:lastRenderedPageBreak/>
        <w:t>Por esa misma lógica, si no cabe entender que existe un mandato genérico para interponer un recurso de inconstitucionalidad, tampoco parece aceptable que el portavoz de un grupo parlamentario, sea titular, adjunto o sustituto, o su secretario o secretaria general se arroguen o asuman la facultad de nombrar a un tercero como comisionado para interponer un recurso de inconstitucionalidad, sin contar para ello con el respaldo expreso de los eventuales firmantes del recurso de inconstitucionalidad. Si admitiésemos esta posibilidad estaríamos asumiendo que la mera portavocía o presidencia de grupo, por la vía de nombramiento de un tercero como comisionado, faculta al portavoz para interponer por si solo el recurso de inconstitucionalidad, y precisamente eso es lo que niega nuestra jurisprudencia, insistiendo en ello, por ejemplo el ATC 24/1990, de 16 de enero: “no se ostenta la condición de comisionado ante el Tribunal Constitucional de forma permanente y para toda una legislatura, Esta interpretación del art. 82.1 LOTC debe ser rechazada, pues como este tribunal ya ha dicho en distintas ocasiones: no cabe transferir o delegar la facultad de impugnar ni en el miembro de la agrupación ni en el comisionado”.</w:t>
      </w:r>
    </w:p>
    <w:p w:rsidR="00C54F26" w:rsidRDefault="00C54F26" w:rsidP="00C54F26">
      <w:pPr>
        <w:pStyle w:val="TextoNormal"/>
      </w:pPr>
    </w:p>
    <w:p w:rsidR="00C54F26" w:rsidRDefault="00C54F26" w:rsidP="00C54F26">
      <w:pPr>
        <w:pStyle w:val="TextoNormal"/>
      </w:pPr>
      <w:r>
        <w:t>No constando, por tanto, ningún mandato expreso previo a los otorgantes del poder, en que se les delegue por parte de los firmantes del recurso de inconstitucionalidad la facultad para comisionar a una tercera persona, no podemos tener por adecuada tal nominación, independientemente de que esté o no contenida en un documento notarial. Por tanto, ha de concluirse que los recurrentes no han podido certificar que el día en que el diputado don Javier Sánchez Serna interpuso la demanda que da lugar al presente recurso de inconstitucionalidad lo hizo en nombre de cincuenta diputados y diputadas. Y tampoco ha podido constatarse, de forma fehaciente, que ese mandato fuera efectuado después, por todos y cada uno de los recurrentes.</w:t>
      </w:r>
    </w:p>
    <w:p w:rsidR="00C54F26" w:rsidRDefault="00C54F26" w:rsidP="00C54F26">
      <w:pPr>
        <w:pStyle w:val="TextoNormal"/>
      </w:pPr>
    </w:p>
    <w:p w:rsidR="00C54F26" w:rsidRDefault="00C54F26" w:rsidP="00C54F26">
      <w:pPr>
        <w:pStyle w:val="TextoNormal"/>
      </w:pPr>
      <w:r w:rsidRPr="00C54F26">
        <w:rPr>
          <w:rStyle w:val="NumeroAFNegritaCaracter"/>
        </w:rPr>
        <w:t>5</w:t>
      </w:r>
      <w:r>
        <w:t>. Asimismo resulta obligado precisar que no es posible considerar como referente la decisión de este tribunal relativa al recurso de inconstitucionalidad núm. 4652-2020, al que se refiere el recurso de súplica. Aquel recurso fue también inadmitido a trámite por ATC 174/2020, de 15 de diciembre, al haberse formalizado el mismo en fecha posterior a la expiración del plazo preclusivo derivado de la aplicación del art. 33 LOTC, resultando, por tanto, extemporáneo. El tribunal no se ha pronunciado sobre la validez de los poderes otorgados en el marco de aquel procedimiento y no puede deducirse de la ausencia de pronunciamiento la aceptación de dicha validez. Al no ser subsanable la inobservancia de los plazos de presentación del recurso de inconstitucionalidad, una vez formalizado el recurso, no fue necesario requerir a los recurrentes para efectuar ninguna otra eventual subsanación, que hubiera sido innecesaria por su incapacidad para desplegar efecto alguno en el procedimiento.</w:t>
      </w:r>
    </w:p>
    <w:p w:rsidR="00C54F26" w:rsidRDefault="00C54F26" w:rsidP="00C54F26">
      <w:pPr>
        <w:pStyle w:val="TextoNormal"/>
      </w:pPr>
    </w:p>
    <w:p w:rsidR="00C54F26" w:rsidRDefault="00C54F26" w:rsidP="00C54F26">
      <w:pPr>
        <w:pStyle w:val="TextoNormal"/>
      </w:pPr>
      <w:r w:rsidRPr="00C54F26">
        <w:rPr>
          <w:rStyle w:val="NumeroAFNegritaCaracter"/>
        </w:rPr>
        <w:t>6</w:t>
      </w:r>
      <w:r>
        <w:t>. La cuestión relativa a la identificación de la totalidad de las firmas de la demanda protocolizada es meramente complementaria de la anterior. Siendo el óbice procesal relativo a la falta de representación del comisionado totalmente insubsanable, la respuesta a la cuestión relativa a la identificación implícita de las firmas, resulta innecesaria.</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lastRenderedPageBreak/>
        <w:t>Desestimar el recurso de súplica interpuesto contra al ATC 34/2021, de 16 de marzo.</w:t>
      </w:r>
    </w:p>
    <w:p w:rsidR="00C54F26" w:rsidRDefault="00C54F26" w:rsidP="00C54F26">
      <w:pPr>
        <w:pStyle w:val="TextoNormal"/>
      </w:pPr>
    </w:p>
    <w:p w:rsidR="00C54F26" w:rsidRDefault="00C54F26" w:rsidP="00C54F26">
      <w:pPr>
        <w:pStyle w:val="TextoNormal"/>
      </w:pPr>
      <w:r>
        <w:t>Madrid, a once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1" w:name="AUTO_2021_60"/>
      <w:r>
        <w:lastRenderedPageBreak/>
        <w:t>AUTO 60/2021, de 12 de mayo de 2021</w:t>
      </w:r>
    </w:p>
    <w:bookmarkEnd w:id="201"/>
    <w:p w:rsidR="00C54F26" w:rsidRDefault="00C54F26" w:rsidP="00C54F26">
      <w:pPr>
        <w:pStyle w:val="TtuloResolucin"/>
      </w:pPr>
      <w:r>
        <w:t>Sección Cuarta</w:t>
      </w:r>
    </w:p>
    <w:p w:rsidR="00C54F26" w:rsidRDefault="00C54F26" w:rsidP="00C54F26">
      <w:pPr>
        <w:pStyle w:val="TextoNormalCentrado"/>
      </w:pPr>
      <w:r>
        <w:t>ECLI:ES:TC:2021:60A</w:t>
      </w:r>
    </w:p>
    <w:p w:rsidR="00C54F26" w:rsidRDefault="00C54F26" w:rsidP="00C54F26">
      <w:pPr>
        <w:pStyle w:val="TextoNormalCentrado"/>
      </w:pPr>
    </w:p>
    <w:p w:rsidR="00C54F26" w:rsidRDefault="00C54F26" w:rsidP="00C54F26">
      <w:pPr>
        <w:pStyle w:val="SntesisDescriptiva"/>
      </w:pPr>
      <w:r>
        <w:t>Excms. Srs. don Antonio Narváez Rodríguez y don Ricardo Enríquez Sancho.</w:t>
      </w:r>
    </w:p>
    <w:p w:rsidR="00C54F26" w:rsidRDefault="00C54F26" w:rsidP="00C54F26">
      <w:pPr>
        <w:pStyle w:val="SntesisDescriptiva"/>
      </w:pPr>
    </w:p>
    <w:p w:rsidR="00C54F26" w:rsidRDefault="00C54F26" w:rsidP="00C54F26">
      <w:pPr>
        <w:pStyle w:val="SntesisDescriptiva"/>
      </w:pPr>
      <w:r>
        <w:t>Estima el recurso de súplica interpuesto por el Ministerio Fiscal y ordena la retroacción de actuaciones para que se dicte providencia sobre admisibilidad del recurso de amparo 2465-2020, promovido por doña Aicha Elena Hammadi Zaba,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día 4 de noviembre de 2020, la procuradora de los tribunales, doña María Soledad Vallés Rodríguez, en nombre y representación de doña Aicha Elena Hammadi Zaba, bajo la dirección del letrado don Antonio Carranza Fernández, interpuso demanda de amparo contra la providencia de 23 de enero de 2020 dictada por la Sala de lo Contencioso-Administrativo del Tribunal Supremo, por la que se inadmite a trámite el recurso de casación interpuesto contra la sentencia de fecha 11 de abril de 2019, dictada por la Sala de lo Contencioso-Administrativo del Tribunal Superior de Justicia de Andalucía, por la que se desestimaba el recurso interpuesto contra la sentencia de 11 de junio de 2018 dictada por el Juzgado de lo Contencioso-Administrativo núm. 2 de Granada.</w:t>
      </w:r>
    </w:p>
    <w:p w:rsidR="00C54F26" w:rsidRDefault="00C54F26" w:rsidP="00C54F26">
      <w:pPr>
        <w:pStyle w:val="TextoNormal"/>
      </w:pPr>
    </w:p>
    <w:p w:rsidR="00C54F26" w:rsidRDefault="00C54F26" w:rsidP="00C54F26">
      <w:pPr>
        <w:pStyle w:val="TextoNormal"/>
      </w:pPr>
      <w:r w:rsidRPr="00C54F26">
        <w:rPr>
          <w:rStyle w:val="NumeroAFNegritaCaracter"/>
        </w:rPr>
        <w:t>2</w:t>
      </w:r>
      <w:r>
        <w:t>. En lo que ahora interesa, los hechos relevantes para dictar la presente resolución son los siguientes:</w:t>
      </w:r>
    </w:p>
    <w:p w:rsidR="00C54F26" w:rsidRDefault="00C54F26" w:rsidP="00C54F26">
      <w:pPr>
        <w:pStyle w:val="TextoNormal"/>
      </w:pPr>
    </w:p>
    <w:p w:rsidR="00C54F26" w:rsidRDefault="00C54F26" w:rsidP="00C54F26">
      <w:pPr>
        <w:pStyle w:val="TextoNormal"/>
      </w:pPr>
      <w:r>
        <w:t>a) En fecha 11 de junio de 2018 el Juzgado de lo Contencioso-Administrativo núm. 2 de Granada desestimó una demanda interpuesta por la ahora recurrente contra una resolución dictada por la Consejería de Salud de la Junta de Andalucía, por la que se desestimaba una reclamación de indemnización de daños y perjuicios derivados de una asistencia sanitaria en un hospital de esa capital.</w:t>
      </w:r>
    </w:p>
    <w:p w:rsidR="00C54F26" w:rsidRDefault="00C54F26" w:rsidP="00C54F26">
      <w:pPr>
        <w:pStyle w:val="TextoNormal"/>
      </w:pPr>
    </w:p>
    <w:p w:rsidR="00C54F26" w:rsidRDefault="00C54F26" w:rsidP="00C54F26">
      <w:pPr>
        <w:pStyle w:val="TextoNormal"/>
      </w:pPr>
      <w:r>
        <w:t>b) Interpuesto recurso de apelación, fue desestimado por una sentencia de 11 de abril de 2019, dictada por la Sala de lo Contencioso-Administrativo del Tribunal Superior de Justicia de Andalucía.</w:t>
      </w:r>
    </w:p>
    <w:p w:rsidR="00C54F26" w:rsidRDefault="00C54F26" w:rsidP="00C54F26">
      <w:pPr>
        <w:pStyle w:val="TextoNormal"/>
      </w:pPr>
    </w:p>
    <w:p w:rsidR="00C54F26" w:rsidRDefault="00C54F26" w:rsidP="00C54F26">
      <w:pPr>
        <w:pStyle w:val="TextoNormal"/>
      </w:pPr>
      <w:r>
        <w:t>c) Frente a esta resolución se interpuso un recurso de casación que fue inadmitido a trámite por providencia de fecha 23 de enero de 2020, dictada por la Sala de lo Contencioso-Administrativo del Tribunal Supremo.</w:t>
      </w:r>
    </w:p>
    <w:p w:rsidR="00C54F26" w:rsidRDefault="00C54F26" w:rsidP="00C54F26">
      <w:pPr>
        <w:pStyle w:val="TextoNormal"/>
      </w:pPr>
    </w:p>
    <w:p w:rsidR="00C54F26" w:rsidRDefault="00C54F26" w:rsidP="00C54F26">
      <w:pPr>
        <w:pStyle w:val="TextoNormal"/>
      </w:pPr>
      <w:r>
        <w:t>d) La recurrente planteó un incidente de nulidad de actuaciones contra la citada providencia, que fue inadmitido por la misma Sala del Tribunal Supremo mediante providencia de 21 de mayo de 2020.</w:t>
      </w:r>
    </w:p>
    <w:p w:rsidR="00C54F26" w:rsidRDefault="00C54F26" w:rsidP="00C54F26">
      <w:pPr>
        <w:pStyle w:val="TextoNormal"/>
      </w:pPr>
    </w:p>
    <w:p w:rsidR="00C54F26" w:rsidRDefault="00C54F26" w:rsidP="00C54F26">
      <w:pPr>
        <w:pStyle w:val="TextoNormal"/>
      </w:pPr>
      <w:r>
        <w:t>e) En fecha 15 de junio de 2020 se anunció la interposición del presente recurso de amparo, mediante escrito en el que se solicitaba la designación de abogado de oficio a tal efecto.</w:t>
      </w:r>
    </w:p>
    <w:p w:rsidR="00C54F26" w:rsidRDefault="00C54F26" w:rsidP="00C54F26">
      <w:pPr>
        <w:pStyle w:val="TextoNormal"/>
      </w:pPr>
    </w:p>
    <w:p w:rsidR="00C54F26" w:rsidRDefault="00C54F26" w:rsidP="00C54F26">
      <w:pPr>
        <w:pStyle w:val="TextoNormal"/>
      </w:pPr>
      <w:r>
        <w:t>f) Una vez subsanados algunos defectos formales y designado el abogado de oficio correspondiente, en la demanda de amparo presentada se alegó, por un lado, la vulneración del derecho a la tutela judicial efectiva (art. 24.1 CE) en relación con el derecho a la salud (art. 43 CE), por insuficiente motivación de las resoluciones judiciales impugnadas; y por otro, la vulneración del derecho a la tutela judicial efectiva (art. 24.1 CE), en su vertiente de derecho de acceso al recurso, por la inadmisión del recurso de casación interpuesto.</w:t>
      </w:r>
    </w:p>
    <w:p w:rsidR="00C54F26" w:rsidRDefault="00C54F26" w:rsidP="00C54F26">
      <w:pPr>
        <w:pStyle w:val="TextoNormal"/>
      </w:pPr>
    </w:p>
    <w:p w:rsidR="00C54F26" w:rsidRDefault="00C54F26" w:rsidP="00C54F26">
      <w:pPr>
        <w:pStyle w:val="TextoNormal"/>
      </w:pPr>
      <w:r w:rsidRPr="00C54F26">
        <w:rPr>
          <w:rStyle w:val="NumeroAFNegritaCaracter"/>
        </w:rPr>
        <w:t>3</w:t>
      </w:r>
      <w:r>
        <w:t>. En fecha 24 de marzo de 2021, la Sección Cuarta de este tribunal dictó una providencia por la que se acordó la inadmisión a trámite de este recurso de amparo, por los siguientes motivos:</w:t>
      </w:r>
    </w:p>
    <w:p w:rsidR="00C54F26" w:rsidRDefault="00C54F26" w:rsidP="00C54F26">
      <w:pPr>
        <w:pStyle w:val="TextoNormal"/>
      </w:pPr>
    </w:p>
    <w:p w:rsidR="00C54F26" w:rsidRDefault="00C54F26" w:rsidP="00C54F26">
      <w:pPr>
        <w:pStyle w:val="TextoNormal"/>
      </w:pPr>
      <w:r>
        <w:t>“1. Respecto a la vulneración del derecho al acceso al recurso,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00C54F26" w:rsidRDefault="00C54F26" w:rsidP="00C54F26">
      <w:pPr>
        <w:pStyle w:val="TextoNormal"/>
      </w:pPr>
    </w:p>
    <w:p w:rsidR="00C54F26" w:rsidRDefault="00C54F26" w:rsidP="00C54F26">
      <w:pPr>
        <w:pStyle w:val="TextoNormal"/>
      </w:pPr>
      <w:r>
        <w:t>2. En relación al resto de quejas alegadas, con arreglo a lo previsto en el art. 50.1 a) LOTC,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w:t>
      </w:r>
    </w:p>
    <w:p w:rsidR="00C54F26" w:rsidRDefault="00C54F26" w:rsidP="00C54F26">
      <w:pPr>
        <w:pStyle w:val="TextoNormal"/>
      </w:pPr>
    </w:p>
    <w:p w:rsidR="00C54F26" w:rsidRDefault="00C54F26" w:rsidP="00C54F26">
      <w:pPr>
        <w:pStyle w:val="TextoNormal"/>
      </w:pPr>
      <w:r w:rsidRPr="00C54F26">
        <w:rPr>
          <w:rStyle w:val="NumeroAFNegritaCaracter"/>
        </w:rPr>
        <w:t>4</w:t>
      </w:r>
      <w:r>
        <w:t>. Con fecha 23 de abril de 2021, el Ministerio Fiscal interpuso recurso de súplica contra el apartado 1 de la citada resolución, conforme a lo dispuesto en el art. 50.3 de la Ley Orgánica del Tribunal Constitucional (LOTC). En su escrito, el fiscal señala que “consta en las actuaciones que [se] formuló un incidente de nulidad de actuaciones contra la providencia dictada por la Sección Primera de la Sala de lo Contencioso-Administrativo del Tribunal Supremo en el Recurso de casación número 5313-2019 con fecha 23 de enero de 2020, que dispuso la inadmisión a trámite del indicado recurso, y que dicho incidente […] fue inadmitido por esa Sala mediante providencia recaída […] con fecha 21 de mayo de 2020, lo que evidencia que la parte que ahora recurre en amparo sí agotó la vía judicial previa conforme a lo establecido en el art. 44.1 a) LOTC”. En consecuencia, el fiscal interesa que se deje sin efecto ese apartado de la resolución impugnada, quedando las actuaciones pendientes de la resolución que proceda sobre la admisión de ese motivo de amparo.</w:t>
      </w:r>
    </w:p>
    <w:p w:rsidR="00C54F26" w:rsidRDefault="00C54F26" w:rsidP="00C54F26">
      <w:pPr>
        <w:pStyle w:val="TextoNormal"/>
      </w:pPr>
    </w:p>
    <w:p w:rsidR="00C54F26" w:rsidRDefault="00C54F26" w:rsidP="00C54F26">
      <w:pPr>
        <w:pStyle w:val="TextoNormal"/>
      </w:pPr>
      <w:r w:rsidRPr="00C54F26">
        <w:rPr>
          <w:rStyle w:val="NumeroAFNegritaCaracter"/>
        </w:rPr>
        <w:t>5</w:t>
      </w:r>
      <w:r>
        <w:t>. Por diligencia de ordenación de 26 de abril de 2021 se acordó dar traslado del recurso de súplica a la parte recurrente, que no ha formulado alegaciones.</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 xml:space="preserve">Tiene razón el Ministerio Fiscal. Con independencia de la eventual decisión que proceda sobre la admisión o inadmisión del recurso de amparo, lo cierto es que la parte </w:t>
      </w:r>
      <w:r>
        <w:lastRenderedPageBreak/>
        <w:t>recurrente planteó el correspondiente incidente de nulidad de actuaciones contra la providencia de inadmisión del recurso de casación interpuesto, lo que colma el requisito del agotamiento de la vía judicial previa, exigido en el art. 44.1 a) LOTC en relación con el art. 241 de la Ley Orgánica del Poder Judicial (LOPJ), tal y como se ha expuesto, entre otras, en la STC 126/2011, de 18 de julio (FJ 3).</w:t>
      </w:r>
    </w:p>
    <w:p w:rsidR="00C54F26" w:rsidRDefault="00C54F26" w:rsidP="00C54F26">
      <w:pPr>
        <w:pStyle w:val="TextoNormal"/>
      </w:pPr>
    </w:p>
    <w:p w:rsidR="00C54F26" w:rsidRDefault="00C54F26" w:rsidP="00C54F26">
      <w:pPr>
        <w:pStyle w:val="TextoNormal"/>
      </w:pPr>
      <w:r>
        <w:t>En consecuencia, de conformidad con lo interesado por el Ministerio Fiscal, procede anular el apartado 1 de la providencia impugnada, retrotrayendo las actuaciones al momento inmediatamente anterior a su dictado, a fin de resolver sobre la admisión o inadmisión a trámite del presente recurso de amparo, en lo relativo al concreto motivo de la alegada vulneración del derecho de acceso al recurso (art. 24.1 CE), conforme a lo dispuesto en el art. 50 LOTC.</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Estimar el recurso de súplica interpuesto por el Ministerio Fiscal contra la providencia de 24 de marzo de 2021, que se anula.</w:t>
      </w:r>
    </w:p>
    <w:p w:rsidR="00C54F26" w:rsidRDefault="00C54F26" w:rsidP="00C54F26">
      <w:pPr>
        <w:pStyle w:val="TextoNormal"/>
      </w:pPr>
    </w:p>
    <w:p w:rsidR="00C54F26" w:rsidRDefault="00C54F26" w:rsidP="00C54F26">
      <w:pPr>
        <w:pStyle w:val="TextoNormal"/>
      </w:pPr>
      <w:r>
        <w:t>2º Retrotraer las actuaciones al momento inmediatamente anterior al dictado de la providencia ahora parcialmente anulada, a fin de resolver sobre la admisión o inadmisión a trámite del presente recurso de amparo, en lo relativo al concreto motivo de la alegada vulneración del derecho de acceso al recurso (art. 24.1 CE), conforme a lo dispuesto en el art. 50 LOTC.</w:t>
      </w:r>
    </w:p>
    <w:p w:rsidR="00C54F26" w:rsidRDefault="00C54F26" w:rsidP="00C54F26">
      <w:pPr>
        <w:pStyle w:val="TextoNormal"/>
      </w:pPr>
    </w:p>
    <w:p w:rsidR="00C54F26" w:rsidRDefault="00C54F26" w:rsidP="00C54F26">
      <w:pPr>
        <w:pStyle w:val="TextoNormal"/>
      </w:pPr>
      <w:r>
        <w:t>Madrid, a doce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2" w:name="AUTO_2021_61"/>
      <w:r>
        <w:lastRenderedPageBreak/>
        <w:t>AUTO 61/2021, de 12 de mayo de 2021</w:t>
      </w:r>
    </w:p>
    <w:bookmarkEnd w:id="202"/>
    <w:p w:rsidR="00C54F26" w:rsidRDefault="00C54F26" w:rsidP="00C54F26">
      <w:pPr>
        <w:pStyle w:val="TtuloResolucin"/>
      </w:pPr>
      <w:r>
        <w:t>Sección Cuarta</w:t>
      </w:r>
    </w:p>
    <w:p w:rsidR="00C54F26" w:rsidRDefault="00C54F26" w:rsidP="00C54F26">
      <w:pPr>
        <w:pStyle w:val="TextoNormalCentrado"/>
      </w:pPr>
      <w:r>
        <w:t>ECLI:ES:TC:2021:61A</w:t>
      </w:r>
    </w:p>
    <w:p w:rsidR="00C54F26" w:rsidRDefault="00C54F26" w:rsidP="00C54F26">
      <w:pPr>
        <w:pStyle w:val="TextoNormalCentrado"/>
      </w:pPr>
    </w:p>
    <w:p w:rsidR="00C54F26" w:rsidRDefault="00C54F26" w:rsidP="00C54F26">
      <w:pPr>
        <w:pStyle w:val="SntesisDescriptiva"/>
      </w:pPr>
      <w:r>
        <w:t>Excms. Srs. don Antonio Narváez Rodríguez y don Ricardo Enríquez Sancho.</w:t>
      </w:r>
    </w:p>
    <w:p w:rsidR="00C54F26" w:rsidRDefault="00C54F26" w:rsidP="00C54F26">
      <w:pPr>
        <w:pStyle w:val="SntesisDescriptiva"/>
      </w:pPr>
    </w:p>
    <w:p w:rsidR="00C54F26" w:rsidRDefault="00C54F26" w:rsidP="00C54F26">
      <w:pPr>
        <w:pStyle w:val="SntesisDescriptiva"/>
      </w:pPr>
      <w:r>
        <w:t>Estima el recurso de súplica interpuesto por el Ministerio Fiscal y ordena la retroacción de actuaciones para que se dicte providencia sobre admisibilidad del recurso de amparo 3751-2020, promovido por doña Nieves Casañas Morales, en proceso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registrado en este tribunal el día 28 de julio de 2020, la procuradora de los tribunales, doña Teresa Castro Rodríguez, en nombre y representación de doña Nieves Casañas Morales, bajo la dirección del letrado don José de la Paz Pérez, interpuso demanda de amparo contra el auto de 25 de junio de 2020, dictado por la Audiencia Provincial de Santa Cruz de Tenerife, por el que se acordó el sobreseimiento provisional y archivo de las diligencias previas núm. 170-2017 seguidas ante el Juzgado de Instrucción núm. 4 de la citada capital.</w:t>
      </w:r>
    </w:p>
    <w:p w:rsidR="00C54F26" w:rsidRDefault="00C54F26" w:rsidP="00C54F26">
      <w:pPr>
        <w:pStyle w:val="TextoNormal"/>
      </w:pPr>
    </w:p>
    <w:p w:rsidR="00C54F26" w:rsidRDefault="00C54F26" w:rsidP="00C54F26">
      <w:pPr>
        <w:pStyle w:val="TextoNormal"/>
      </w:pPr>
      <w:r w:rsidRPr="00C54F26">
        <w:rPr>
          <w:rStyle w:val="NumeroAFNegritaCaracter"/>
        </w:rPr>
        <w:t>2</w:t>
      </w:r>
      <w:r>
        <w:t>. En lo que ahora interesa, los hechos relevantes para dictar la presente resolución son los siguientes:</w:t>
      </w:r>
    </w:p>
    <w:p w:rsidR="00C54F26" w:rsidRDefault="00C54F26" w:rsidP="00C54F26">
      <w:pPr>
        <w:pStyle w:val="TextoNormal"/>
      </w:pPr>
    </w:p>
    <w:p w:rsidR="00C54F26" w:rsidRDefault="00C54F26" w:rsidP="00C54F26">
      <w:pPr>
        <w:pStyle w:val="TextoNormal"/>
      </w:pPr>
      <w:r>
        <w:t>a) En fecha 25 de junio de 2020, la Sección Segunda de la Audiencia Provincial de Santa Cruz de Tenerife dictó un auto por el que se estimaba un recurso de apelación interpuesto contra el auto de 29 de abril de 2019, de incoación de procedimiento abreviado, dictado por el Juzgado de Instrucción núm. 4 de Santa Cruz de Tenerife, en el marco de las diligencias previas núm. 170-2017. En virtud de esa resolución, la audiencia provincial acordaba el sobreseimiento provisional y archivo de la causa penal. En la parte dispositiva de este auto se hacía constar que el mismo era firme.</w:t>
      </w:r>
    </w:p>
    <w:p w:rsidR="00C54F26" w:rsidRDefault="00C54F26" w:rsidP="00C54F26">
      <w:pPr>
        <w:pStyle w:val="TextoNormal"/>
      </w:pPr>
    </w:p>
    <w:p w:rsidR="00C54F26" w:rsidRDefault="00C54F26" w:rsidP="00C54F26">
      <w:pPr>
        <w:pStyle w:val="TextoNormal"/>
      </w:pPr>
      <w:r>
        <w:t>b) Contra la decisión de la audiencia, en fecha 1 de julio de 2020 la ahora recurrente en amparo interpuso un recurso de súplica, que fue inadmitido a trámite por medio de auto de 13 de julio de 2020. En esta resolución se indicaba que contra los autos que resuelven un recurso de apelación solo está previsto el recurso “de casación conforme al artículo 848 de la Ley de enjuiciamiento criminal  y únicamente por infracción de ley en los casos en que esta lo autorice de modo expreso”.</w:t>
      </w:r>
    </w:p>
    <w:p w:rsidR="00C54F26" w:rsidRDefault="00C54F26" w:rsidP="00C54F26">
      <w:pPr>
        <w:pStyle w:val="TextoNormal"/>
      </w:pPr>
    </w:p>
    <w:p w:rsidR="00C54F26" w:rsidRDefault="00C54F26" w:rsidP="00C54F26">
      <w:pPr>
        <w:pStyle w:val="TextoNormal"/>
      </w:pPr>
      <w:r>
        <w:t>c) En fecha 20 de julio de 2020 se interpuso, a su vez, una solicitud de aclaración del auto de 13 de julio de 2020 que, en la fecha de presentación de la demanda de amparo, se encontraba pendiente de resolución, como se admitía en el propio escrito de recurso.</w:t>
      </w:r>
    </w:p>
    <w:p w:rsidR="00C54F26" w:rsidRDefault="00C54F26" w:rsidP="00C54F26">
      <w:pPr>
        <w:pStyle w:val="TextoNormal"/>
      </w:pPr>
    </w:p>
    <w:p w:rsidR="00C54F26" w:rsidRDefault="00C54F26" w:rsidP="00C54F26">
      <w:pPr>
        <w:pStyle w:val="TextoNormal"/>
      </w:pPr>
      <w:r>
        <w:lastRenderedPageBreak/>
        <w:t>d) La citada solicitud de aclaración fue resuelta en sentido desestimatorio por auto de 18 de septiembre de 2020, posteriormente rectificado por auto de 28 de octubre de 2020, en lo relativo a la reseña errónea de una fecha.</w:t>
      </w:r>
    </w:p>
    <w:p w:rsidR="00C54F26" w:rsidRDefault="00C54F26" w:rsidP="00C54F26">
      <w:pPr>
        <w:pStyle w:val="TextoNormal"/>
      </w:pPr>
    </w:p>
    <w:p w:rsidR="00C54F26" w:rsidRDefault="00C54F26" w:rsidP="00C54F26">
      <w:pPr>
        <w:pStyle w:val="TextoNormal"/>
      </w:pPr>
      <w:r>
        <w:t>En estas resoluciones, la audiencia señala, en esencia, que el auto de 25 de junio de 2020 contenía en su parte dispositiva “la indicación expresa de su firmeza”. Y aunque admite que la redacción del auto de 13 de julio de 2020 no fue afortunada, lo que “se pretendía argumentar es que los autos que resuelven los recursos de apelación solo serán recurribles en casación, pero evidentemente tan solo en aquellos supuestos previstos en la ley, no estando el auto de 25 de junio de 2020 entre tales supuestos”.</w:t>
      </w:r>
    </w:p>
    <w:p w:rsidR="00C54F26" w:rsidRDefault="00C54F26" w:rsidP="00C54F26">
      <w:pPr>
        <w:pStyle w:val="TextoNormal"/>
      </w:pPr>
    </w:p>
    <w:p w:rsidR="00C54F26" w:rsidRDefault="00C54F26" w:rsidP="00C54F26">
      <w:pPr>
        <w:pStyle w:val="TextoNormal"/>
      </w:pPr>
      <w:r w:rsidRPr="00C54F26">
        <w:rPr>
          <w:rStyle w:val="NumeroAFNegritaCaracter"/>
        </w:rPr>
        <w:t>3</w:t>
      </w:r>
      <w:r>
        <w:t>. En fecha 7 de abril de 2021, la Sección Cuarta de este tribunal dictó una providencia por la que se acordó la inadmisión a trámite de este recurso de amparo, con arreglo a lo previsto en el art. 50.1 a) de la Ley Orgánica del Tribunal Constitucional (LOTC), en relación con su art. 44.2, “toda vez que incurre en extemporaneidad por haber prolongado, de modo manifiestamente improcedente, la vía judicial previa”.</w:t>
      </w:r>
    </w:p>
    <w:p w:rsidR="00C54F26" w:rsidRDefault="00C54F26" w:rsidP="00C54F26">
      <w:pPr>
        <w:pStyle w:val="TextoNormal"/>
      </w:pPr>
    </w:p>
    <w:p w:rsidR="00C54F26" w:rsidRDefault="00C54F26" w:rsidP="00C54F26">
      <w:pPr>
        <w:pStyle w:val="TextoNormal"/>
      </w:pPr>
      <w:r w:rsidRPr="00C54F26">
        <w:rPr>
          <w:rStyle w:val="NumeroAFNegritaCaracter"/>
        </w:rPr>
        <w:t>4</w:t>
      </w:r>
      <w:r>
        <w:t>. Con fecha 23 de abril de 2021, el Ministerio Fiscal interpuso recurso de súplica contra la citada resolución, conforme a lo dispuesto en el art. 50.3 LOTC. En su escrito, el fiscal señala que la demanda fue interpuesta en fecha 28 de julio de 2020, por lo que, en esa fecha, no había transcurrido el plazo de treinta días previsto en el art. 44.2 LOTC, contados desde la fecha de notificación del auto impugnado, que se produjo el 26 de junio de 2020. Al margen de lo anterior, tras dejar constancia de que, en la fecha de presentación de la demanda no se había resuelto la petición de aclaración del auto de 13 de julio de 2020, el fiscal considera que, en todo caso, la eventual estimación del recurso de súplica no implica la admisión a trámite de la demanda, “dejando pendiente el estudio y decisión sobre [esa cuestión] por razones distintas a las que aquí resueltas y reponiendo por tanto las actuaciones al momento anterior a dictarse la providencia anulada” [ATC 17/2010, de 4 de febrero (FJ 3)].</w:t>
      </w:r>
    </w:p>
    <w:p w:rsidR="00C54F26" w:rsidRDefault="00C54F26" w:rsidP="00C54F26">
      <w:pPr>
        <w:pStyle w:val="TextoNormal"/>
      </w:pPr>
    </w:p>
    <w:p w:rsidR="00C54F26" w:rsidRDefault="00C54F26" w:rsidP="00C54F26">
      <w:pPr>
        <w:pStyle w:val="TextoNormal"/>
      </w:pPr>
      <w:r w:rsidRPr="00C54F26">
        <w:rPr>
          <w:rStyle w:val="NumeroAFNegritaCaracter"/>
        </w:rPr>
        <w:t>5</w:t>
      </w:r>
      <w:r>
        <w:t>. Por diligencia de ordenación de 27 de abril de 2021 se acordó dar traslado del recurso de súplica a la parte recurrente que, en fecha 4 de mayo de 2021 presentó escrito adhiriéndose al recurso interpuesto por el Ministerio Fiscal.</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Tiene razón el Ministerio Fiscal. Con independencia de la eventual improcedencia del recurso de súplica interpuesto por la demandante contra la resolución ahora impugnada de 25 de junio de 2020, así como de la pendencia de la decisión sobre la solicitud de aclaración planteada por la recurrente antes de la presentación de la demanda de amparo, lo cierto es que esta fue interpuesta dentro del plazo de treinta días hábiles previsto en el art. 44.2 LOTC, contados desde el día siguiente a la fecha del auto impugnado, dictado el 25 de junio de 2020.</w:t>
      </w:r>
    </w:p>
    <w:p w:rsidR="00C54F26" w:rsidRDefault="00C54F26" w:rsidP="00C54F26">
      <w:pPr>
        <w:pStyle w:val="TextoNormal"/>
      </w:pPr>
    </w:p>
    <w:p w:rsidR="00C54F26" w:rsidRDefault="00C54F26" w:rsidP="00C54F26">
      <w:pPr>
        <w:pStyle w:val="TextoNormal"/>
      </w:pPr>
      <w:r>
        <w:t>En consecuencia, tal y como interesa el Ministerio Fiscal, procede anular la providencia impugnada, retrotrayendo las actuaciones al momento inmediatamente anterior a su dictado, a fin de resolver sobre la admisión o inadmisión a trámite del presente recurso de amparo, conforme a lo dispuesto en el art. 50 LOTC.</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1º Estimar el recurso de súplica interpuesto por el Ministerio Fiscal contra la providencia de 7 de abril de 2021, que se anula.</w:t>
      </w:r>
    </w:p>
    <w:p w:rsidR="00C54F26" w:rsidRDefault="00C54F26" w:rsidP="00C54F26">
      <w:pPr>
        <w:pStyle w:val="TextoNormal"/>
      </w:pPr>
    </w:p>
    <w:p w:rsidR="00C54F26" w:rsidRDefault="00C54F26" w:rsidP="00C54F26">
      <w:pPr>
        <w:pStyle w:val="TextoNormal"/>
      </w:pPr>
      <w:r>
        <w:t>2º Retrotraer las actuaciones al momento inmediatamente anterior al dictado de la providencia ahora anulada, a fin de resolver sobre la admisión o inadmisión a trámite del presente recurso de amparo, conforme a lo dispuesto en el art. 50 LOTC.</w:t>
      </w:r>
    </w:p>
    <w:p w:rsidR="00C54F26" w:rsidRDefault="00C54F26" w:rsidP="00C54F26">
      <w:pPr>
        <w:pStyle w:val="TextoNormal"/>
      </w:pPr>
    </w:p>
    <w:p w:rsidR="00C54F26" w:rsidRDefault="00C54F26" w:rsidP="00C54F26">
      <w:pPr>
        <w:pStyle w:val="TextoNormal"/>
      </w:pPr>
      <w:r>
        <w:t>Madrid, a doce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3" w:name="AUTO_2021_62"/>
      <w:r>
        <w:lastRenderedPageBreak/>
        <w:t>AUTO 62/2021, de 18 de mayo de 2021</w:t>
      </w:r>
    </w:p>
    <w:bookmarkEnd w:id="203"/>
    <w:p w:rsidR="00C54F26" w:rsidRDefault="00C54F26" w:rsidP="00C54F26">
      <w:pPr>
        <w:pStyle w:val="TtuloResolucin"/>
      </w:pPr>
      <w:r>
        <w:t>Sección Tercera</w:t>
      </w:r>
    </w:p>
    <w:p w:rsidR="00C54F26" w:rsidRDefault="00C54F26" w:rsidP="00C54F26">
      <w:pPr>
        <w:pStyle w:val="TextoNormalCentrado"/>
      </w:pPr>
      <w:r>
        <w:t>ECLI:ES:TC:2021:62A</w:t>
      </w:r>
    </w:p>
    <w:p w:rsidR="00C54F26" w:rsidRDefault="00C54F26" w:rsidP="00C54F26">
      <w:pPr>
        <w:pStyle w:val="TextoNormalCentrado"/>
      </w:pPr>
    </w:p>
    <w:p w:rsidR="00C54F26" w:rsidRDefault="00C54F26" w:rsidP="00C54F26">
      <w:pPr>
        <w:pStyle w:val="SntesisDescriptiva"/>
      </w:pPr>
      <w:r>
        <w:t>Excms. Srs. doña Encarnación Roca Trías, don Juan Antonio Xiol Ríos y don Pedro José González-Trevijano Sánchez.</w:t>
      </w:r>
    </w:p>
    <w:p w:rsidR="00C54F26" w:rsidRDefault="00C54F26" w:rsidP="00C54F26">
      <w:pPr>
        <w:pStyle w:val="SntesisDescriptiva"/>
      </w:pPr>
    </w:p>
    <w:p w:rsidR="00C54F26" w:rsidRDefault="00C54F26" w:rsidP="00C54F26">
      <w:pPr>
        <w:pStyle w:val="SntesisDescriptiva"/>
      </w:pPr>
      <w:r>
        <w:t>Estima el recurso de súplica interpuesto por el Ayuntamiento de Villanueva de Sijena en relación con la exigencia de comparecer representado por procurador en el recurso de amparo 3444-2020, promovido por Don Lluis Puig Gordi,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Don Lluis Puig Gordi, representado por el procurador de los tribunales don Carlos Estévez Sanz, bajo la dirección del letrado don Jaume Alonso-Cuevillas i Sayrol, interpuso recurso de amparo contra el auto de la Audiencia Provincial de Huesca núm. 43-2020, de 11 de febrero de 2020, por el que se desestima el recurso de apelación núm. 81-2020 interpuesto contra el auto del Juzgado de Instrucción número 3 de Huesca de 8 de enero de 2020 —aclarado por auto de 25 de febrero de 2020—, por el que se desestima el recurso de reforma interpuesto contra el auto de 5 de diciembre de 2019, pronunciados en el procedimiento abreviado núm. 573-2017, mediante escrito registrado en este tribunal el 17 de julio de 2020.</w:t>
      </w:r>
    </w:p>
    <w:p w:rsidR="00C54F26" w:rsidRDefault="00C54F26" w:rsidP="00C54F26">
      <w:pPr>
        <w:pStyle w:val="TextoNormal"/>
      </w:pPr>
    </w:p>
    <w:p w:rsidR="00C54F26" w:rsidRDefault="00C54F26" w:rsidP="00C54F26">
      <w:pPr>
        <w:pStyle w:val="TextoNormal"/>
      </w:pPr>
      <w:r w:rsidRPr="00C54F26">
        <w:rPr>
          <w:rStyle w:val="NumeroAFNegritaCaracter"/>
        </w:rPr>
        <w:t>2</w:t>
      </w:r>
      <w:r>
        <w:t>. La Sección Tercera del Tribunal, mediante providencia de 10 de febrero de 2021, acordó, entre otros extremos, admitir el recurso a trámite y dirigir atenta comunicación a los órganos judiciales para el emplazamiento de los que hubieran sido parte en el procedimiento del que trae causa el presente recurso de amparo para que pudieran comparecer en este.</w:t>
      </w:r>
    </w:p>
    <w:p w:rsidR="00C54F26" w:rsidRDefault="00C54F26" w:rsidP="00C54F26">
      <w:pPr>
        <w:pStyle w:val="TextoNormal"/>
      </w:pPr>
    </w:p>
    <w:p w:rsidR="00C54F26" w:rsidRDefault="00C54F26" w:rsidP="00C54F26">
      <w:pPr>
        <w:pStyle w:val="TextoNormal"/>
      </w:pPr>
      <w:r w:rsidRPr="00C54F26">
        <w:rPr>
          <w:rStyle w:val="NumeroAFNegritaCaracter"/>
        </w:rPr>
        <w:t>3</w:t>
      </w:r>
      <w:r>
        <w:t>. El Ayuntamiento de Villanueva de Sijena, mediante escrito registrado el 6 de marzo de 2021, solicitó que se le tuviera como parte personada a cuyos efectos, con invocación del art. 551.3 de la Ley Orgánica del Poder Judicial, comparecía bajo la representación y asistencia de un letrado de libre designación.</w:t>
      </w:r>
    </w:p>
    <w:p w:rsidR="00C54F26" w:rsidRDefault="00C54F26" w:rsidP="00C54F26">
      <w:pPr>
        <w:pStyle w:val="TextoNormal"/>
      </w:pPr>
    </w:p>
    <w:p w:rsidR="00C54F26" w:rsidRDefault="00C54F26" w:rsidP="00C54F26">
      <w:pPr>
        <w:pStyle w:val="TextoNormal"/>
      </w:pPr>
      <w:r w:rsidRPr="00C54F26">
        <w:rPr>
          <w:rStyle w:val="NumeroAFNegritaCaracter"/>
        </w:rPr>
        <w:t>4</w:t>
      </w:r>
      <w:r>
        <w:t>. La Sección Tercera del tribunal, mediante providencia de 29 de marzo de 2021, acordó, previo a tener por personado y parte el Ayuntamiento de Villanueva de Sijena, de conformidad con el art. 81 de la Ley Orgánica del Tribunal Constitucional (LOTC), a que compareciera representado por procurador que lo represente en el plazo de diez días, con el apercibimiento de que no efectuarlo se le tendría por decaído en su derecho.</w:t>
      </w:r>
    </w:p>
    <w:p w:rsidR="00C54F26" w:rsidRDefault="00C54F26" w:rsidP="00C54F26">
      <w:pPr>
        <w:pStyle w:val="TextoNormal"/>
      </w:pPr>
    </w:p>
    <w:p w:rsidR="00C54F26" w:rsidRDefault="00C54F26" w:rsidP="00C54F26">
      <w:pPr>
        <w:pStyle w:val="TextoNormal"/>
      </w:pPr>
      <w:r w:rsidRPr="00C54F26">
        <w:rPr>
          <w:rStyle w:val="NumeroAFNegritaCaracter"/>
        </w:rPr>
        <w:t>5</w:t>
      </w:r>
      <w:r>
        <w:t xml:space="preserve">. El Ayuntamiento de Villanueva de Sijena, mediante escrito registrado el 8 de abril de 2021, interpuso recurso de súplica contra la citada providencia de 29 de marzo de 2021 en el extremo relativo a la obligación de comparecer representado por procurador, alegando, al </w:t>
      </w:r>
      <w:r>
        <w:lastRenderedPageBreak/>
        <w:t>amparo del art. 80 LOTC, la aplicación supletoria del art. 551.3 de la Ley Orgánica del Poder Judicial que autoriza a los entes locales a que actúen bajo la representación y defensa de abogados de libre designación. Además, se pone de manifiesto los precedentes de los recursos de amparo 6513-2018 y 3324-2018, en que el ayuntamiento afirma que se le permitió actuar sin representación de procurador, y la jurisprudencia establecida en el ATC 359/2004.</w:t>
      </w:r>
    </w:p>
    <w:p w:rsidR="00C54F26" w:rsidRDefault="00C54F26" w:rsidP="00C54F26">
      <w:pPr>
        <w:pStyle w:val="TextoNormal"/>
      </w:pPr>
    </w:p>
    <w:p w:rsidR="00C54F26" w:rsidRDefault="00C54F26" w:rsidP="00C54F26">
      <w:pPr>
        <w:pStyle w:val="TextoNormal"/>
      </w:pPr>
      <w:r w:rsidRPr="00C54F26">
        <w:rPr>
          <w:rStyle w:val="NumeroAFNegritaCaracter"/>
        </w:rPr>
        <w:t>6</w:t>
      </w:r>
      <w:r>
        <w:t>. La secretaria de justicia de la Sección Tercera del Tribunal, mediante diligencia de ordenación de 9 de abril de 2021, acordó dar traslado al Ministerio Fiscal y partes personadas para que en el plazo de tres días hicieran las alegaciones que estimaran pertinentes en relación con el recurso de súplica.</w:t>
      </w:r>
    </w:p>
    <w:p w:rsidR="00C54F26" w:rsidRDefault="00C54F26" w:rsidP="00C54F26">
      <w:pPr>
        <w:pStyle w:val="TextoNormal"/>
      </w:pPr>
    </w:p>
    <w:p w:rsidR="00C54F26" w:rsidRDefault="00C54F26" w:rsidP="00C54F26">
      <w:pPr>
        <w:pStyle w:val="TextoNormal"/>
      </w:pPr>
      <w:r w:rsidRPr="00C54F26">
        <w:rPr>
          <w:rStyle w:val="NumeroAFNegritaCaracter"/>
        </w:rPr>
        <w:t>7</w:t>
      </w:r>
      <w:r>
        <w:t>. El Ministerio Fiscal, por escrito registrado el 22 de abril de 2020, formuló alegaciones en las que solicita la estimación del recurso de súplica, al considerar que “la regla del art. 81 LOTC, de comparecer en los procesos constitucionales por medio de procurador, no es obstáculo a que sea de aplicación la normativa específica de sobre representación procesal de los entes públicos, en este caso, de un ente local […], normativa que se recoge en el art. 551.3 LOPJ que […] habilita que la representación, en todo tipo de procesos, pueda ser ostentada por el letrado que ejerce la defensa técnica del ente local por lo que no sería exigible que la representación procesal del mismo sea otorgada a favor de procurador alguno”.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El art. 82.2 LOTC incurre en una laguna al no regular específicamente la representación de los entes locales, aspecto que sí se aborda en relación con el Estado y las comunidades autónomas, en que se dispone que tanto su defensa como su representación será ejercida por sus abogados. Para integrar esa laguna procede acudir, sin necesidad de la supletoriedad del art. 80 LOTC, a la regla de la analogía con la regulación dispensada en el citado art. 82.2 LOTC al resto de entes públicos, para concluir que esa misma posibilidad de ejercicio de la defensa y representación a través de su abogado corresponde también a los entes locales.</w:t>
      </w:r>
    </w:p>
    <w:p w:rsidR="00C54F26" w:rsidRDefault="00C54F26" w:rsidP="00C54F26">
      <w:pPr>
        <w:pStyle w:val="TextoNormal"/>
      </w:pPr>
    </w:p>
    <w:p w:rsidR="00C54F26" w:rsidRDefault="00C54F26" w:rsidP="00C54F26">
      <w:pPr>
        <w:pStyle w:val="TextoNormal"/>
      </w:pPr>
      <w:r>
        <w:t>Por tanto, con estimación del recurso de súplica interpuesto, procede dejar sin efecto la providencia impugnada en el concreto extremo impugnado en que se exigía la comparecencia por medio de procurador y tener por personado y parte al ente local recurrente con la representación que ostenta el abogado que dicho ayuntamiento ha designado.</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Estimar el recurso de súplica interpuesto por el Ayuntamiento de Villanueva de Sijena contra la providencia de 4 de junio de 2020, que se deja sin efecto en el extremo relativo a la exigencia de que compareciera representado por procurador, acordándose tener por personado y parte al abogado designado en nombre y presentación del citado ayuntamiento con el que se entenderá en esta y las siguientes diligencias en modo y forma legal.</w:t>
      </w:r>
    </w:p>
    <w:p w:rsidR="00C54F26" w:rsidRDefault="00C54F26" w:rsidP="00C54F26">
      <w:pPr>
        <w:pStyle w:val="TextoNormal"/>
      </w:pPr>
    </w:p>
    <w:p w:rsidR="00C54F26" w:rsidRDefault="00C54F26" w:rsidP="00C54F26">
      <w:pPr>
        <w:pStyle w:val="TextoNormal"/>
      </w:pPr>
      <w:r>
        <w:t>Madrid, a dieciocho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4" w:name="AUTO_2021_63"/>
      <w:r>
        <w:lastRenderedPageBreak/>
        <w:t>AUTO 63/2021, de 31 de mayo de 2021</w:t>
      </w:r>
    </w:p>
    <w:bookmarkEnd w:id="204"/>
    <w:p w:rsidR="00C54F26" w:rsidRDefault="00C54F26" w:rsidP="00C54F26">
      <w:pPr>
        <w:pStyle w:val="TtuloResolucin"/>
      </w:pPr>
      <w:r>
        <w:t>Sala Primera</w:t>
      </w:r>
    </w:p>
    <w:p w:rsidR="00C54F26" w:rsidRDefault="00C54F26" w:rsidP="00C54F26">
      <w:pPr>
        <w:pStyle w:val="TextoNormalCentrado"/>
      </w:pPr>
      <w:r>
        <w:t>ECLI:ES:TC:2021:63A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Acuerda el desistimiento y archivo de las actuaciones en el recurso de amparo 249-2020, promovido por la Generalitat de Cataluña, en proceso contencioso-administrativo.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que tuvo entrada en el registro general de este tribunal el día 14 de enero de 2020, la abogada de la Generalitat de Cataluña en su nombre y representación , interpuso recurso de amparo contra el auto 22/2019 de la Sección de Casación de lo Contencioso Administrativo del Tribunal Superior de Justicia de Cataluña, de 20 de noviembre de 2019, resolviendo recurso de queja interpuesto contra el auto de la Sección Quinta de dicha Sala, de 2 de julio de 2019 que denegó la preparación del recurso de casación contra la sentencia de dicha Sección Quinta 940/2017, de 15 de diciembre de 2017.</w:t>
      </w:r>
    </w:p>
    <w:p w:rsidR="00C54F26" w:rsidRDefault="00C54F26" w:rsidP="00C54F26">
      <w:pPr>
        <w:pStyle w:val="TextoNormal"/>
      </w:pPr>
    </w:p>
    <w:p w:rsidR="00C54F26" w:rsidRDefault="00C54F26" w:rsidP="00C54F26">
      <w:pPr>
        <w:pStyle w:val="TextoNormal"/>
      </w:pPr>
      <w:r w:rsidRPr="00C54F26">
        <w:rPr>
          <w:rStyle w:val="NumeroAFNegritaCaracter"/>
        </w:rPr>
        <w:t>2</w:t>
      </w:r>
      <w:r>
        <w:t>. Por providencia de 21 de septiembre de 2020 la Sección Primera de este tribunal acordó la admisión a trámite, ordenando dirigir atenta comunicación a la Sección de Casación de la Sala Contencioso- Administrativo del Tribunal Superior de Justicia de Cataluña y a la Sección Quinta de dicho tribunal para que en el plazo de diez días remitieran respectivamente certificación o fotocopia adverada de las actuaciones correspondientes al recurso de queja núm. 10-2019 y debiendo emplazar a quienes hubieran sido parte en dicho procedimiento excepto a la recurrente en amparo.</w:t>
      </w:r>
    </w:p>
    <w:p w:rsidR="00C54F26" w:rsidRDefault="00C54F26" w:rsidP="00C54F26">
      <w:pPr>
        <w:pStyle w:val="TextoNormal"/>
      </w:pPr>
    </w:p>
    <w:p w:rsidR="00C54F26" w:rsidRDefault="00C54F26" w:rsidP="00C54F26">
      <w:pPr>
        <w:pStyle w:val="TextoNormal"/>
      </w:pPr>
      <w:r w:rsidRPr="00C54F26">
        <w:rPr>
          <w:rStyle w:val="NumeroAFNegritaCaracter"/>
        </w:rPr>
        <w:t>3</w:t>
      </w:r>
      <w:r>
        <w:t>. Por diligencia de ordenación de 4 de noviembre de 2020 se acordó tener por personado y parte en el presente proceso constitucional al procurador don Rafael de Palma Crespo en nombre y representación del ayuntamiento de Esplugues de Llobregat. Y dar vista de las actuaciones recibidas a las partes personadas y al Ministerio Fiscal, por plazo común de veinte días para presentar las alegaciones que estimasen pertinentes de conformidad con el art. 52.1 de la Ley Orgánica del Tribunal Constitucional (LOTC). En este trámite se presentaron alegaciones por la representación de la Generalitat de Cataluña y por el Ministerio Fiscal.</w:t>
      </w:r>
    </w:p>
    <w:p w:rsidR="00C54F26" w:rsidRDefault="00C54F26" w:rsidP="00C54F26">
      <w:pPr>
        <w:pStyle w:val="TextoNormal"/>
      </w:pPr>
    </w:p>
    <w:p w:rsidR="00C54F26" w:rsidRDefault="00C54F26" w:rsidP="00C54F26">
      <w:pPr>
        <w:pStyle w:val="TextoNormal"/>
      </w:pPr>
      <w:r w:rsidRPr="00C54F26">
        <w:rPr>
          <w:rStyle w:val="NumeroAFNegritaCaracter"/>
        </w:rPr>
        <w:t>4</w:t>
      </w:r>
      <w:r>
        <w:t>. Estando el presente recurso pendiente de deliberación y fallo, la representación procesal de la Generalitat de Cataluña presentó escrito solicitando tenerla por desistida al haberse firmado un acuerdo transaccional entre el Departamento de Educación de la Generalitat de Cataluña y el Ayuntamiento de Esplugues de Llobregat.</w:t>
      </w:r>
    </w:p>
    <w:p w:rsidR="00C54F26" w:rsidRDefault="00C54F26" w:rsidP="00C54F26">
      <w:pPr>
        <w:pStyle w:val="TextoNormal"/>
      </w:pPr>
    </w:p>
    <w:p w:rsidR="00C54F26" w:rsidRDefault="00C54F26" w:rsidP="00C54F26">
      <w:pPr>
        <w:pStyle w:val="TextoNormal"/>
      </w:pPr>
      <w:r w:rsidRPr="00C54F26">
        <w:rPr>
          <w:rStyle w:val="NumeroAFNegritaCaracter"/>
        </w:rPr>
        <w:lastRenderedPageBreak/>
        <w:t>5</w:t>
      </w:r>
      <w:r>
        <w:t>. Por diligencia de ordenación de 9 de marzo de 2021, se dio traslado al Ministerio Fiscal y al procurador don Rafael de Palma Crespo para que alegaran lo que estimaran oportuno en relación con el desistimiento formulado.</w:t>
      </w:r>
    </w:p>
    <w:p w:rsidR="00C54F26" w:rsidRDefault="00C54F26" w:rsidP="00C54F26">
      <w:pPr>
        <w:pStyle w:val="TextoNormal"/>
      </w:pPr>
    </w:p>
    <w:p w:rsidR="00C54F26" w:rsidRDefault="00C54F26" w:rsidP="00C54F26">
      <w:pPr>
        <w:pStyle w:val="TextoNormal"/>
      </w:pPr>
      <w:r w:rsidRPr="00C54F26">
        <w:rPr>
          <w:rStyle w:val="NumeroAFNegritaCaracter"/>
        </w:rPr>
        <w:t>6</w:t>
      </w:r>
      <w:r>
        <w:t>. El Ministerio Fiscal, por dictamen que tuvo entrada en el Tribunal el 23 de marzo de 2021, manifiesta que es procedente acceder al desistimiento.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Entre las formas de terminación del recurso de amparo figura la del desistimiento, prevista en el artículo 86.1 LOTC, y a la que es de aplicación supletoria la legislación procesal ordinaria (artículo 80 LOTC), que la recoge en los artículos 19.1 y 20.2 y 3 de la Ley de enjuiciamiento civil.</w:t>
      </w:r>
    </w:p>
    <w:p w:rsidR="00C54F26" w:rsidRDefault="00C54F26" w:rsidP="00C54F26">
      <w:pPr>
        <w:pStyle w:val="TextoNormal"/>
      </w:pPr>
    </w:p>
    <w:p w:rsidR="00C54F26" w:rsidRDefault="00C54F26" w:rsidP="00C54F26">
      <w:pPr>
        <w:pStyle w:val="TextoNormal"/>
      </w:pPr>
      <w:r>
        <w:t>Esta fórmula y decisión de la parte aparece revestida de los requisitos legales, además de que no se aprecia perjuicio de parte ni daño para el interés general o público. Es procedente, pues, sancionar afirmativamente esa voluntad de desistir.</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Tener por desistido del presente recurso de amparo a la Generalitat de Cataluña y archivar las presentes actuaciones.</w:t>
      </w:r>
    </w:p>
    <w:p w:rsidR="00C54F26" w:rsidRDefault="00C54F26" w:rsidP="00C54F26">
      <w:pPr>
        <w:pStyle w:val="TextoNormal"/>
      </w:pPr>
    </w:p>
    <w:p w:rsidR="00C54F26" w:rsidRDefault="00C54F26" w:rsidP="00C54F26">
      <w:pPr>
        <w:pStyle w:val="TextoNormal"/>
      </w:pPr>
      <w:r>
        <w:t>Madrid, a treinta y uno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5" w:name="AUTO_2021_64"/>
      <w:r>
        <w:lastRenderedPageBreak/>
        <w:t>AUTO 64/2021, de 31 de mayo de 2021</w:t>
      </w:r>
    </w:p>
    <w:bookmarkEnd w:id="205"/>
    <w:p w:rsidR="00C54F26" w:rsidRDefault="00C54F26" w:rsidP="00C54F26">
      <w:pPr>
        <w:pStyle w:val="TtuloResolucin"/>
      </w:pPr>
      <w:r>
        <w:t>Sección Segunda</w:t>
      </w:r>
    </w:p>
    <w:p w:rsidR="00C54F26" w:rsidRDefault="00C54F26" w:rsidP="00C54F26">
      <w:pPr>
        <w:pStyle w:val="TextoNormalCentrado"/>
      </w:pPr>
      <w:r>
        <w:t>ECLI:ES:TC:2021:64A</w:t>
      </w:r>
    </w:p>
    <w:p w:rsidR="00C54F26" w:rsidRDefault="00C54F26" w:rsidP="00C54F26">
      <w:pPr>
        <w:pStyle w:val="TextoNormalCentrado"/>
      </w:pPr>
    </w:p>
    <w:p w:rsidR="00C54F26" w:rsidRDefault="00C54F26" w:rsidP="00C54F26">
      <w:pPr>
        <w:pStyle w:val="SntesisDescriptiva"/>
      </w:pPr>
      <w:r>
        <w:t>Excms. Srs. don Andrés Ollero Tassara, don Santiago Martínez-Vares García y doña María Luisa Balaguer Callejón.</w:t>
      </w:r>
    </w:p>
    <w:p w:rsidR="00C54F26" w:rsidRDefault="00C54F26" w:rsidP="00C54F26">
      <w:pPr>
        <w:pStyle w:val="SntesisDescriptiva"/>
      </w:pPr>
    </w:p>
    <w:p w:rsidR="00C54F26" w:rsidRDefault="00C54F26" w:rsidP="00C54F26">
      <w:pPr>
        <w:pStyle w:val="SntesisDescriptiva"/>
      </w:pPr>
      <w:r>
        <w:t>Estima el recurso de súplica interpuesto por el Ministerio Fiscal y ordena la retroacción de actuaciones para que se dicte providencia sobre admisibilidad del recurso de amparo 4796-2020, promovido por doña Carmen Baena Salamanca,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día 13 de octubre de 2020 tuvo entrada en el registro general de este tribunal el recurso de amparo interpuesto por doña Carmen Baena Salamanca contra la sentencia dictada por la Sala de lo Civil del Tribunal Supremo de fecha 26 de febrero de 2020, dictada en el recurso de casación núm. 1883-2019 y contra la providencia de 27 de julio siguiente, de la misma Sala, que inadmitió el incidente de nulidad interpuesto contra la misma.</w:t>
      </w:r>
    </w:p>
    <w:p w:rsidR="00C54F26" w:rsidRDefault="00C54F26" w:rsidP="00C54F26">
      <w:pPr>
        <w:pStyle w:val="TextoNormal"/>
      </w:pPr>
    </w:p>
    <w:p w:rsidR="00C54F26" w:rsidRDefault="00C54F26" w:rsidP="00C54F26">
      <w:pPr>
        <w:pStyle w:val="TextoNormal"/>
      </w:pPr>
      <w:r w:rsidRPr="00C54F26">
        <w:rPr>
          <w:rStyle w:val="NumeroAFNegritaCaracter"/>
        </w:rPr>
        <w:t>2</w:t>
      </w:r>
      <w:r>
        <w:t>. Con fecha 4 de mayo de 2021, la Sección Segunda de este tribunal acordó la inadmisión por unanimidad de la indicada demanda de amparo en atención a que en la misma concurría la causa de extemporaneidad prevenida en el art. 50.1 a), en relación con el art. 44.2 de la Ley Orgánica del Tribunal Constitucional (LOTC) al considerar que el recurso se había presentado fuera de plazo.</w:t>
      </w:r>
    </w:p>
    <w:p w:rsidR="00C54F26" w:rsidRDefault="00C54F26" w:rsidP="00C54F26">
      <w:pPr>
        <w:pStyle w:val="TextoNormal"/>
      </w:pPr>
    </w:p>
    <w:p w:rsidR="00C54F26" w:rsidRDefault="00C54F26" w:rsidP="00C54F26">
      <w:pPr>
        <w:pStyle w:val="TextoNormal"/>
      </w:pPr>
      <w:r w:rsidRPr="00C54F26">
        <w:rPr>
          <w:rStyle w:val="NumeroAFNegritaCaracter"/>
        </w:rPr>
        <w:t>3</w:t>
      </w:r>
      <w:r>
        <w:t xml:space="preserve">. El Ministerio Fiscal, mediante escrito registrado con fecha 18 de mayo de 2021, interpuso recurso de súplica </w:t>
      </w:r>
      <w:r w:rsidRPr="00C54F26">
        <w:rPr>
          <w:i/>
        </w:rPr>
        <w:t>ex</w:t>
      </w:r>
      <w:r>
        <w:t xml:space="preserve"> art. 50.3 LOTC contra la providencia de 4 de mayo de 2021, en el que interesa que se deje sin efecto la providencia indicada, sin perjuicio de la consideración que pudiera hacer el tribunal sobre la admisibilidad del recurso de amparo interpuesto. El Ministerio Fiscal argumenta en su recurso que, atendida la fecha de recepción por la procuradora de los tribunales de la notificación de la providencia dictada por la Sala de lo Civil del Tribunal Supremo, de conformidad con lo dispuesto en el art. 151.2 LEC, el día inicial del cómputo para la interposición de la demanda de amparo es el día 31 de julio de 2020, por lo que el plazo finalizó el día 14 de octubre de 2020 a las 15:00 horas, de modo que la demanda de amparo se ha presentado dentro del plazo de treinta días que establece el art. 44.2 LOTC.</w:t>
      </w:r>
    </w:p>
    <w:p w:rsidR="00C54F26" w:rsidRDefault="00C54F26" w:rsidP="00C54F26">
      <w:pPr>
        <w:pStyle w:val="TextoNormal"/>
      </w:pPr>
    </w:p>
    <w:p w:rsidR="00C54F26" w:rsidRDefault="00C54F26" w:rsidP="00C54F26">
      <w:pPr>
        <w:pStyle w:val="TextoNormal"/>
      </w:pPr>
      <w:r w:rsidRPr="00C54F26">
        <w:rPr>
          <w:rStyle w:val="NumeroAFNegritaCaracter"/>
        </w:rPr>
        <w:t>4</w:t>
      </w:r>
      <w:r>
        <w:t>. Mediante providencia de 19 de mayo de 2021, se acordó dar traslado del recurso a la representación del recurrente y concederle un plazo común de tres días a fin de que alegue lo que estime pertinente (art. 93.2 LOTC).</w:t>
      </w:r>
    </w:p>
    <w:p w:rsidR="00C54F26" w:rsidRDefault="00C54F26" w:rsidP="00C54F26">
      <w:pPr>
        <w:pStyle w:val="TextoNormal"/>
      </w:pPr>
    </w:p>
    <w:p w:rsidR="00C54F26" w:rsidRDefault="00C54F26" w:rsidP="00C54F26">
      <w:pPr>
        <w:pStyle w:val="TextoNormal"/>
      </w:pPr>
      <w:r w:rsidRPr="00C54F26">
        <w:rPr>
          <w:rStyle w:val="NumeroAFNegritaCaracter"/>
        </w:rPr>
        <w:t>5</w:t>
      </w:r>
      <w:r>
        <w:t>. La parte recurrente formuló alegaciones mediante escrito registrado el 26 de mayo de 2021, en el que manifiesta su plena conformidad con el recurso de súplica interpuesto por el Ministerio Fiscal y solicita a este tribunal que dicte una resolución estimatoria del mismo.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Procede estimar el recurso de súplica interpuesto por el Ministerio Fiscal y dejar sin efecto, en consecuencia, la providencia de esta Sección, de 4 de mayo del corriente al haberse incurrido en un error material en el cómputo del plazo para la interposición del recurso de amparo.</w:t>
      </w:r>
    </w:p>
    <w:p w:rsidR="00C54F26" w:rsidRDefault="00C54F26" w:rsidP="00C54F26">
      <w:pPr>
        <w:pStyle w:val="TextoNormal"/>
      </w:pPr>
    </w:p>
    <w:p w:rsidR="00C54F26" w:rsidRDefault="00C54F26" w:rsidP="00C54F26">
      <w:pPr>
        <w:pStyle w:val="TextoNormal"/>
      </w:pPr>
      <w:r>
        <w:t>En efecto, consta en las actuaciones que la notificación de la providencia de 27 de julio de 2020 fue recibida por la procuradora de la recurrente el día 30 de julio a las 12:17 horas, por lo que conforme al art. 151.2 de la Ley de enjuiciamiento civil, el día inicial del cómputo para la interposición de la demanda de amparo es el día 31 de julio de 2020, y es por ello que ha de concluirse que el presente recurso de amparo, cuya entrada en el registro general del Tribunal Constitucional tuvo lugar el día 13 de octubre de 2020, se interpuso dentro del plazo legalmente establecido al efecto (art. 44.2 LOTC), al finalizar este el 14 de octubre de 2020 a las 15:00 horas, como señalan la demandante de amparo y el Ministerio Fiscal.</w:t>
      </w:r>
    </w:p>
    <w:p w:rsidR="00C54F26" w:rsidRDefault="00C54F26" w:rsidP="00C54F26">
      <w:pPr>
        <w:pStyle w:val="TextoNormal"/>
      </w:pPr>
    </w:p>
    <w:p w:rsidR="00C54F26" w:rsidRDefault="00C54F26" w:rsidP="00C54F26">
      <w:pPr>
        <w:pStyle w:val="TextoNormal"/>
      </w:pPr>
      <w:r>
        <w:t>La estimación del recurso de súplica del Ministerio Fiscal determina que se deje sin efecto la providencia impugnada, sin que ello comporte la admisión a trámite del presente recurso de amparo, pues sobre ese particular se resolverá en una nueva providencia que se dictará a tal efecto (por todos, AATC 13/2003, de 20 de enero; 182/2003, de 2 de julio; 48/2006, de 14 de febrero; 286/2013, de 19 de noviembre, y 126/2018, de 3 de diciembre).</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Estimar el recurso de súplica interpuesto por el Ministerio Fiscal y, en consecuencia:</w:t>
      </w:r>
    </w:p>
    <w:p w:rsidR="00C54F26" w:rsidRDefault="00C54F26" w:rsidP="00C54F26">
      <w:pPr>
        <w:pStyle w:val="TextoNormal"/>
      </w:pPr>
    </w:p>
    <w:p w:rsidR="00C54F26" w:rsidRDefault="00C54F26" w:rsidP="00C54F26">
      <w:pPr>
        <w:pStyle w:val="TextoNormal"/>
      </w:pPr>
      <w:r>
        <w:t>1º Dejar sin efecto la providencia de 4 de mayo de 2021 que declaró la inadmisión del presente recurso de amparo.</w:t>
      </w:r>
    </w:p>
    <w:p w:rsidR="00C54F26" w:rsidRDefault="00C54F26" w:rsidP="00C54F26">
      <w:pPr>
        <w:pStyle w:val="TextoNormal"/>
      </w:pPr>
    </w:p>
    <w:p w:rsidR="00C54F26" w:rsidRDefault="00C54F26" w:rsidP="00C54F26">
      <w:pPr>
        <w:pStyle w:val="TextoNormal"/>
      </w:pPr>
      <w:r>
        <w:t>2º Reponer las actuaciones al momento anterior a dictarse la providencia anulada.</w:t>
      </w:r>
    </w:p>
    <w:p w:rsidR="00C54F26" w:rsidRDefault="00C54F26" w:rsidP="00C54F26">
      <w:pPr>
        <w:pStyle w:val="TextoNormal"/>
      </w:pPr>
    </w:p>
    <w:p w:rsidR="00C54F26" w:rsidRDefault="00C54F26" w:rsidP="00C54F26">
      <w:pPr>
        <w:pStyle w:val="TextoNormal"/>
      </w:pPr>
      <w:r>
        <w:t>Madrid, a treinta y uno de mayo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6" w:name="AUTO_2021_65"/>
      <w:r>
        <w:t>AUTO 65/2021, de 1 de junio de 2021</w:t>
      </w:r>
    </w:p>
    <w:bookmarkEnd w:id="206"/>
    <w:p w:rsidR="00C54F26" w:rsidRDefault="00C54F26" w:rsidP="00C54F26">
      <w:pPr>
        <w:pStyle w:val="TtuloResolucin"/>
      </w:pPr>
      <w:r>
        <w:t>Pleno</w:t>
      </w:r>
    </w:p>
    <w:p w:rsidR="00C54F26" w:rsidRDefault="00C54F26" w:rsidP="00C54F26">
      <w:pPr>
        <w:pStyle w:val="TtuloBOE"/>
      </w:pPr>
      <w:r>
        <w:t>(BOE núm. 161, de 7 de julio de 2021)</w:t>
      </w:r>
    </w:p>
    <w:p w:rsidR="00C54F26" w:rsidRDefault="00C54F26" w:rsidP="00C54F26">
      <w:pPr>
        <w:pStyle w:val="TextoNormalCentrado"/>
      </w:pPr>
      <w:r>
        <w:t>ECLI:ES:TC:2021:65A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Inadmite a trámite la cuestión de inconstitucionalidad 1431-2021, planteada por el Juzgado Contencioso-Administrativo núm. 3 de Palma de Mallorca en relación con la disposición transitoria 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11 de marzo de 2021 tuvo entrada en el registro general de este tribunal oficio del Juzgado Contencioso-Administrativo núm. 3 de Palma de Mallorca, al que se acompañaba, junto con un “CD” que contenía escritos presentados y resoluciones dictadas en la pieza de medidas cautelarísimas núm. 1-2021 tramitada en el procedimiento ordinario núm. 16-2021 seguido ante dicho juzgado, el auto de fecha 24 de febrero de 2021 por el que se acuerda plantear cuestión de inconstitucionalidad respecto de la disposición transitoria 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por vulnerar la legislación básica [disposición final tercera y apartado c) del punto 4 del artículo 24 de la Ley 30/2014, de 3 de diciembre, de parques nacionales].</w:t>
      </w:r>
    </w:p>
    <w:p w:rsidR="00C54F26" w:rsidRDefault="00C54F26" w:rsidP="00C54F26">
      <w:pPr>
        <w:pStyle w:val="TextoNormal"/>
      </w:pPr>
    </w:p>
    <w:p w:rsidR="00C54F26" w:rsidRDefault="00C54F26" w:rsidP="00C54F26">
      <w:pPr>
        <w:pStyle w:val="TextoNormal"/>
      </w:pPr>
      <w:r w:rsidRPr="00C54F26">
        <w:rPr>
          <w:rStyle w:val="NumeroAFNegritaCaracter"/>
        </w:rPr>
        <w:t>2</w:t>
      </w:r>
      <w:r>
        <w:t>. Los antecedentes de hecho relevantes para el examen de la cuestión de inconstitucionalidad planteada son, sucintamente expuestos, los siguientes:</w:t>
      </w:r>
    </w:p>
    <w:p w:rsidR="00C54F26" w:rsidRDefault="00C54F26" w:rsidP="00C54F26">
      <w:pPr>
        <w:pStyle w:val="TextoNormal"/>
      </w:pPr>
    </w:p>
    <w:p w:rsidR="00C54F26" w:rsidRDefault="00C54F26" w:rsidP="00C54F26">
      <w:pPr>
        <w:pStyle w:val="TextoNormal"/>
      </w:pPr>
      <w:r>
        <w:t>a) El 30 de marzo de 2019, se publicó el anuncio de licitación del concurso para el otorgamiento de autorizaciones administrativas relativas al transporte de visitantes al parque nacional marítimo-terrestre del archipiélago de Cabrera, convocado por el consejo de administración del Instituto Balear de la Naturaleza, en virtud de resolución de su director gerente de 26 de marzo de 2019. La entidad Excursions a Cabrera, S.L., interpuso contra dicha resolución recurso especial en materia de contratación ante el Tribunal Administrativo Especial de Recursos Contractuales.</w:t>
      </w:r>
    </w:p>
    <w:p w:rsidR="00C54F26" w:rsidRDefault="00C54F26" w:rsidP="00C54F26">
      <w:pPr>
        <w:pStyle w:val="TextoNormal"/>
      </w:pPr>
    </w:p>
    <w:p w:rsidR="00C54F26" w:rsidRDefault="00C54F26" w:rsidP="00C54F26">
      <w:pPr>
        <w:pStyle w:val="TextoNormal"/>
      </w:pPr>
      <w:r>
        <w:t>b) Por resolución del presidente del Instituto Balear de la Naturaleza de 10 de mayo de 2019 se acordó suspender la tramitación del indicado concurso público, aludiendo a la solicitud de medida cautelar de suspensión del procedimiento de licitación interesada en los recursos interpuestos, entre otros, por la entidad Excursions a Cabrera, S.L. Contra dicha resolución, la referida entidad interpuso recurso de reposición. Este recurso y su tramitación no forman parte del contencioso administrativo que motiva el planteamiento de la cuestión de inconstitucionalidad.</w:t>
      </w:r>
    </w:p>
    <w:p w:rsidR="00C54F26" w:rsidRDefault="00C54F26" w:rsidP="00C54F26">
      <w:pPr>
        <w:pStyle w:val="TextoNormal"/>
      </w:pPr>
    </w:p>
    <w:p w:rsidR="00C54F26" w:rsidRDefault="00C54F26" w:rsidP="00C54F26">
      <w:pPr>
        <w:pStyle w:val="TextoNormal"/>
      </w:pPr>
      <w:r>
        <w:t>c) El 16 de enero de 2021, el “Butlletí Oficial de les Illes Balears” (“BOIB”), publicó el acuerdo del consejo de administración del Instituto Balear de la Naturaleza por el que se declaraba la pérdida sobrevenida de objeto del expediente relativo al concurso público para el otorgamiento de autorizaciones administrativas relativas al transporte de visitantes al parque nacional marítimo terrestre del archipiélago de Cabrera (expediente AA1-2019). El contenido de dicho acuerdo disponía:</w:t>
      </w:r>
    </w:p>
    <w:p w:rsidR="00C54F26" w:rsidRDefault="00C54F26" w:rsidP="00C54F26">
      <w:pPr>
        <w:pStyle w:val="TextoNormal"/>
      </w:pPr>
    </w:p>
    <w:p w:rsidR="00C54F26" w:rsidRDefault="00C54F26" w:rsidP="00C54F26">
      <w:pPr>
        <w:pStyle w:val="TextoNormal"/>
      </w:pPr>
      <w:r>
        <w:t>“El consejo de administración del IBANAT [Instituto Balear de la Naturaleza], en la sesión que tuvo lugar el 23 de diciembre de 2020 a propuesta del director gerente adoptó el acuerdo siguiente:</w:t>
      </w:r>
    </w:p>
    <w:p w:rsidR="00C54F26" w:rsidRDefault="00C54F26" w:rsidP="00C54F26">
      <w:pPr>
        <w:pStyle w:val="TextoNormal"/>
      </w:pPr>
    </w:p>
    <w:p w:rsidR="00C54F26" w:rsidRDefault="00C54F26" w:rsidP="00C54F26">
      <w:pPr>
        <w:pStyle w:val="TextoNormal"/>
      </w:pPr>
      <w:r>
        <w:t>Primero. Declarar la pérdida del objeto en la tramitación del concurso público para el otorgamiento de autorizaciones administrativas relativas al transporte de visitantes al parque nacional marítimo-terrestre del archipiélago de Cabrera promovido por el IBANAT (exp. AA 1-2019) a causa de la aprobación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w:t>
      </w:r>
    </w:p>
    <w:p w:rsidR="00C54F26" w:rsidRDefault="00C54F26" w:rsidP="00C54F26">
      <w:pPr>
        <w:pStyle w:val="TextoNormal"/>
      </w:pPr>
    </w:p>
    <w:p w:rsidR="00C54F26" w:rsidRDefault="00C54F26" w:rsidP="00C54F26">
      <w:pPr>
        <w:pStyle w:val="TextoNormal"/>
      </w:pPr>
      <w:r>
        <w:t>Segundo. Inadmitir los recursos de alzada interpuestos por el señor Rafael Velasco Fernández, las empresas Excursions a Cabrera, S.L., y Cabrera Sea Fun, S.L., y la Asociación Patronal de Empresas de Actividades Marítimas (APEAM), formulados contra las resoluciones del director gerente de fechas 18 y 26 de marzo de 2019, contra el acuerdo del consejo de administración de 6 de marzo de 2019 y otros que de manera genérica no se detallan en los recursos de manera directa y contra el anuncio de licitación y el pliego de bases que rigen en el procedimiento, todo en relación con el concurso público para el otorgamiento de autorizaciones administrativas relativas al transporte de visitantes al parque nacional marítimo-terrestre del archipiélago de Cabrera promovido por el IBANAT (exp. AA 1-2019) por pérdida sobrevenida de su objeto.</w:t>
      </w:r>
    </w:p>
    <w:p w:rsidR="00C54F26" w:rsidRDefault="00C54F26" w:rsidP="00C54F26">
      <w:pPr>
        <w:pStyle w:val="TextoNormal"/>
      </w:pPr>
    </w:p>
    <w:p w:rsidR="00C54F26" w:rsidRDefault="00C54F26" w:rsidP="00C54F26">
      <w:pPr>
        <w:pStyle w:val="TextoNormal"/>
      </w:pPr>
      <w:r>
        <w:t>Tercero. Levantar la suspensión del procedimiento adoptada mediante resolución del presidente del IBANAT de 10 de mayo de 2019”.</w:t>
      </w:r>
    </w:p>
    <w:p w:rsidR="00C54F26" w:rsidRDefault="00C54F26" w:rsidP="00C54F26">
      <w:pPr>
        <w:pStyle w:val="TextoNormal"/>
      </w:pPr>
    </w:p>
    <w:p w:rsidR="00C54F26" w:rsidRDefault="00C54F26" w:rsidP="00C54F26">
      <w:pPr>
        <w:pStyle w:val="TextoNormal"/>
      </w:pPr>
      <w:r>
        <w:t>d) Contra el acuerdo del consejo de administración del citado Instituto, con fecha de 21 de enero de 2021 se interpuso recurso contencioso-administrativo por el procurador de los tribunales don Gabriel Tomás Gili, en representación de la entidad Excursions a Cabrera, S.L., solicitándose —mediante otrosí— medida cautelar urgente consistente en suspensión del citado procedimiento de selección. El recurrente también interesó el planteamiento de cuestión de inconstitucionalidad respecto de la disposición transitoria 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por vulnerar el art. 20 de la Ley 30/2014, de 3 de diciembre y el art. 149.1.23 CE.</w:t>
      </w:r>
    </w:p>
    <w:p w:rsidR="00C54F26" w:rsidRDefault="00C54F26" w:rsidP="00C54F26">
      <w:pPr>
        <w:pStyle w:val="TextoNormal"/>
      </w:pPr>
    </w:p>
    <w:p w:rsidR="00C54F26" w:rsidRDefault="00C54F26" w:rsidP="00C54F26">
      <w:pPr>
        <w:pStyle w:val="TextoNormal"/>
      </w:pPr>
      <w:r>
        <w:t>e) Repartido el recurso al Juzgado Contencioso-Administrativo núm. 3 de Palma de Mallorca, fue registrado como procedimiento ordinario núm. 16-2021, abriéndose pieza separada para la tramitación de la medida cautelar con el núm. 1-2021. Mediante auto de 22 de enero de 2021, el Juzgado Contencioso-Administrativo núm. 3 de Palma de Mallorca, denegó la medida cautelar provisionalísima solicitada, continuándose la tramitación de la medida cautelar con arreglo a lo dispuesto en los artículos 131 y ss., de la Ley de la jurisdicción contencioso-administrativa (LJCA), concediéndose en el mismo auto un plazo de diez días a la administración demandada para formular alegaciones.</w:t>
      </w:r>
    </w:p>
    <w:p w:rsidR="00C54F26" w:rsidRDefault="00C54F26" w:rsidP="00C54F26">
      <w:pPr>
        <w:pStyle w:val="TextoNormal"/>
      </w:pPr>
    </w:p>
    <w:p w:rsidR="00C54F26" w:rsidRDefault="00C54F26" w:rsidP="00C54F26">
      <w:pPr>
        <w:pStyle w:val="TextoNormal"/>
      </w:pPr>
      <w:r>
        <w:t xml:space="preserve">f) Por escrito de 4 de febrero de 2021, la administración demandada se opuso a la medida de suspensión, razonando contra la pretendida declaración de inconstitucionalidad de la disposición transitoria primera de la Ley del Parlamento de las Illes Balears 2/2020, de 15 de octubre, añadiendo que la existencia o inexistencia de inconstitucionalidad de una norma con rango de ley no es cuestión que deba debatirse ni resolverse en el trámite de decisión sobre medidas cautelares, e indicando que tampoco su conformidad o no con la Constitución es relevante para el otorgamiento de medida cautelar alguna. Por otra parte descarta que concurran los requisitos que exigen los arts. 129 y 130 LJCA, al no existir la apariencia de buen derecho ni el </w:t>
      </w:r>
      <w:r w:rsidRPr="00C54F26">
        <w:rPr>
          <w:i/>
        </w:rPr>
        <w:t>periculum in mora</w:t>
      </w:r>
      <w:r>
        <w:t xml:space="preserve"> necesarios para adoptar la medida cautelar.</w:t>
      </w:r>
    </w:p>
    <w:p w:rsidR="00C54F26" w:rsidRDefault="00C54F26" w:rsidP="00C54F26">
      <w:pPr>
        <w:pStyle w:val="TextoNormal"/>
      </w:pPr>
    </w:p>
    <w:p w:rsidR="00C54F26" w:rsidRDefault="00C54F26" w:rsidP="00C54F26">
      <w:pPr>
        <w:pStyle w:val="TextoNormal"/>
      </w:pPr>
      <w:r>
        <w:t>En relación con este segundo presupuesto de la medida cautelar, recuerda que conforme al art. 130.1, inciso segundo LJCA, “la medida cautelar podrá acordarse únicamente cuando la ejecución del acto o la aplicación de la disposición pudieran hacer perder su finalidad legítima al recurso”. Indica que tal presupuesto no existe pues: (i) los transportes colectivos al parque nacional marítimo-terrestre del archipiélago de Cabrera se prorrogaron, hasta el 31 de diciembre de 2020, respecto de las autorizaciones ya concedidas (conforme a la disposición adicional cuarta de la Ley del Parlamento de las Illes Balears 2/2020, de 15 de octubre) y, a partir del 1 de enero de 2021, la disposición transitoria primera de esa misma Ley 2/2020, de 15 de octubre, permite dicho transporte colectivo conforme a lo establecido en el punto 3 de la misma —pudiéndose solicitar la autorización entre el 1 de enero y el 28 de febrero del año en curso— hasta que se apruebe el nuevo plan rector de usos y gestión (PRUG) o se modifique el actual; (ii) nada impide a la entidad actora solicitar y, en su caso, obtener dicha autorización con arreglo a dicha norma; (iii) en el caso de que la nueva situación le causara perjuicios económicos que no tuviera el deber de soportar y así lo demostrara, esos perjuicios siempre serían resarcibles y no conllevarían la pérdida de la finalidad legítima del recurso.</w:t>
      </w:r>
    </w:p>
    <w:p w:rsidR="00C54F26" w:rsidRDefault="00C54F26" w:rsidP="00C54F26">
      <w:pPr>
        <w:pStyle w:val="TextoNormal"/>
      </w:pPr>
    </w:p>
    <w:p w:rsidR="00C54F26" w:rsidRDefault="00C54F26" w:rsidP="00C54F26">
      <w:pPr>
        <w:pStyle w:val="TextoNormal"/>
      </w:pPr>
      <w:r>
        <w:t>Finalmente, añade que no se acredita que la regulación actual ocasione perjuicios irreparables para el interés general, y, al propio tiempo entiende que la suspensión interesada perjudicaría el interés de terceros que quisieran solicitar dicha autorización en el modo ahora vigente.</w:t>
      </w:r>
    </w:p>
    <w:p w:rsidR="00C54F26" w:rsidRDefault="00C54F26" w:rsidP="00C54F26">
      <w:pPr>
        <w:pStyle w:val="TextoNormal"/>
      </w:pPr>
    </w:p>
    <w:p w:rsidR="00C54F26" w:rsidRDefault="00C54F26" w:rsidP="00C54F26">
      <w:pPr>
        <w:pStyle w:val="TextoNormal"/>
      </w:pPr>
      <w:r>
        <w:t>g) Consta en las actuaciones un informe del fiscal, fechado el 26 de enero de 2021, en el que indica que resulta competente para el enjuiciamiento y fallo de la cuestión litigiosa suscitada por la entidad demandante, y, que debe admitirse y dar lugar a la medida cautelarísima interesada. El fiscal señala en su informe que “con adhesión expresa a la totalidad de los argumentos expuestos por la entidad demandante en su escrito de fecha 19 de enero de 2021 y relativos a la fundamentación jurídica de la medida cautelarísima que se solicita, esta fiscalía, como garante del principio de legalidad, no puede admitir los indicios, no de discrecionalidad, sino de evidente arbitrariedad administrativa que ha permitido a un organismo público —el Instituto Balear de la Naturaleza— modificar a su antojo un marco normativo con utilización de vías dudosamente legales, perjudicando los legítimos derechos de la entidad concesionaria”.</w:t>
      </w:r>
    </w:p>
    <w:p w:rsidR="00C54F26" w:rsidRDefault="00C54F26" w:rsidP="00C54F26">
      <w:pPr>
        <w:pStyle w:val="TextoNormal"/>
      </w:pPr>
    </w:p>
    <w:p w:rsidR="00C54F26" w:rsidRDefault="00C54F26" w:rsidP="00C54F26">
      <w:pPr>
        <w:pStyle w:val="TextoNormal"/>
      </w:pPr>
      <w:r>
        <w:t>h) Por diligencia de ordenación de 9 de febrero de 2021, se interesa del Ministerio Fiscal que aclare, en un plazo de tres días, “si ha habido un error puesto que el traslado que se le confirió fue para que alegase respecto a la cuestión de inconstitucionalidad planteada por la parte actora y sobre la suspensión de la tramitación del pleito hasta que se resuelva la cuestión de inconstitucionalidad en el supuesto en que se acceda a plantearse la reseñada cuestión”</w:t>
      </w:r>
      <w:r w:rsidRPr="00C54F26">
        <w:rPr>
          <w:i/>
        </w:rPr>
        <w:t xml:space="preserve"> (s</w:t>
      </w:r>
      <w:r>
        <w:t>ic).</w:t>
      </w:r>
    </w:p>
    <w:p w:rsidR="00C54F26" w:rsidRDefault="00C54F26" w:rsidP="00C54F26">
      <w:pPr>
        <w:pStyle w:val="TextoNormal"/>
      </w:pPr>
    </w:p>
    <w:p w:rsidR="00C54F26" w:rsidRDefault="00C54F26" w:rsidP="00C54F26">
      <w:pPr>
        <w:pStyle w:val="TextoNormal"/>
      </w:pPr>
      <w:r>
        <w:t>i) Con fecha de 10 de febrero de 2021, el fiscal, evacuando el traslado conferido por la diligencia de ordenación anterior, manifiesta que “no se opone a la apertura del trámite procesal previsto en el art. 35 de la Ley Orgánica del Tribunal Constitucional (LOTC), entendiendo que por S.Sª, y en los estrictos términos legales descritos en el mencionado precepto, se debe concretar la norma legal que puede ser objeto de cuestión de inconstitucionalidad, así como el artículo constitucional que se considera incumplido. En cuanto a la solicitud de suspensión provisional que formula la parte demandante, el fiscal no se opone a dicha solicitud de suspensión de las actuaciones” (</w:t>
      </w:r>
      <w:r w:rsidRPr="00C54F26">
        <w:rPr>
          <w:i/>
        </w:rPr>
        <w:t>sic</w:t>
      </w:r>
      <w:r>
        <w:t>). Sin dictar la providencia prevista en el art. 35 LOTC, por el órgano judicial mediante auto de 24 de febrero de 2021 se acuerda plantear cuestión de inconstitucionalidad respecto de la disposición transitoria primera de la Ley del Parlamento de las Illes Balears 2/2020, de 15 de octubre.</w:t>
      </w:r>
    </w:p>
    <w:p w:rsidR="00C54F26" w:rsidRDefault="00C54F26" w:rsidP="00C54F26">
      <w:pPr>
        <w:pStyle w:val="TextoNormal"/>
      </w:pPr>
    </w:p>
    <w:p w:rsidR="00C54F26" w:rsidRDefault="00C54F26" w:rsidP="00C54F26">
      <w:pPr>
        <w:pStyle w:val="TextoNormal"/>
      </w:pPr>
      <w:r w:rsidRPr="00C54F26">
        <w:rPr>
          <w:rStyle w:val="NumeroAFNegritaCaracter"/>
        </w:rPr>
        <w:t>3</w:t>
      </w:r>
      <w:r>
        <w:t>. El auto de planteamiento comienza su razonamiento jurídico identificando el acto impugnado en el procedimiento, esto es, el acuerdo del consejo de administración del Instituto Balear de la Naturaleza de 23 de diciembre de 2020 por el que se declaró la pérdida sobrevenida de objeto del expediente relativo al concurso público para el otorgamiento de autorizaciones administrativas relativas al transporte de visitantes al parque nacional marítimo-terrestre del archipiélago de Cabrera (expediente AA 1-2019). Indica que el expediente de contratación se basaba en las previsiones del plan rector de usos y gestión, aprobado mediante el Decreto del Gobierno de las Illes Balears 58/2006, de 1 de julio, transcribiendo el apartado 2.3.5, dedicado al transporte colectivo al citado parque nacional.</w:t>
      </w:r>
    </w:p>
    <w:p w:rsidR="00C54F26" w:rsidRDefault="00C54F26" w:rsidP="00C54F26">
      <w:pPr>
        <w:pStyle w:val="TextoNormal"/>
      </w:pPr>
    </w:p>
    <w:p w:rsidR="00C54F26" w:rsidRDefault="00C54F26" w:rsidP="00C54F26">
      <w:pPr>
        <w:pStyle w:val="TextoNormal"/>
      </w:pPr>
      <w:r>
        <w:t>Señala que la causa de la pérdida de objeto viene determinada por la aprobación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(“BOIB” núm. 180, de 20 de octubre de 2020). Trascribe su disposición transitoria primera, relativa al “régimen de acceso de visitantes en transporte colectivo al parque nacional marítimo-terrestre del archipiélago de Cabrera”, aclarando que dicha disposición fue incorporada al texto legal durante la tramitación parlamentaria del Decreto-ley del Gobierno de las Illes Balears 8/2020, de 13 de mayo.</w:t>
      </w:r>
    </w:p>
    <w:p w:rsidR="00C54F26" w:rsidRDefault="00C54F26" w:rsidP="00C54F26">
      <w:pPr>
        <w:pStyle w:val="TextoNormal"/>
      </w:pPr>
    </w:p>
    <w:p w:rsidR="00C54F26" w:rsidRDefault="00C54F26" w:rsidP="00C54F26">
      <w:pPr>
        <w:pStyle w:val="TextoNormal"/>
      </w:pPr>
      <w:r>
        <w:t>A continuación, recoge el contenido del art. 20 de la Ley 30/2014, de 3 de diciembre, de Parques Nacionales, que se refiere a “[l]os planes rectores de uso y gestión”, y afirma su carácter de legislación básica de conformidad con lo que establece su disposición final tercera. Añade, que el apartado c) del punto 4 del artículo 24 de dicho texto legal incluye entre las funciones del patronato del parque nacional la de “informar el plan rector de uso y gestión y sus modificaciones, así como los planes de trabajo e inversiones, o cualquier desarrollo sectorial derivados del mismo”.</w:t>
      </w:r>
    </w:p>
    <w:p w:rsidR="00C54F26" w:rsidRDefault="00C54F26" w:rsidP="00C54F26">
      <w:pPr>
        <w:pStyle w:val="TextoNormal"/>
      </w:pPr>
    </w:p>
    <w:p w:rsidR="00C54F26" w:rsidRDefault="00C54F26" w:rsidP="00C54F26">
      <w:pPr>
        <w:pStyle w:val="TextoNormal"/>
      </w:pPr>
      <w:r>
        <w:t>Tras reproducir el art. 35 LOTC, indica que el acto impugnado se basó, única y exclusivamente, en el cambio operado por la entrada en vigor de la disposición transitoria primera de la Ley del Parlamento de las Illes Balears 2/2020, “de forma que, para poder decidir si se ajustó o no a derecho, en definitiva, deberá apreciarse si ese cambio legislativo se adecuaba a las previsiones del bloque de constitucionalidad sobre la materia. Es capital, por tanto, examinar si las previsiones de la citada disposición transitoria se ajustan a la normativa básica que regula la materia, ya que, caso de que se considere que ello es así, habrá que plantear la cuestión de inconstitucionalidad […]. No cabe duda, por tanto, que nos encontramos ante una norma con rango de ley aplicable al caso y de cuya validez depende el fallo, tal como reza el punto 1 del artículo 35 LOTC”.</w:t>
      </w:r>
    </w:p>
    <w:p w:rsidR="00C54F26" w:rsidRDefault="00C54F26" w:rsidP="00C54F26">
      <w:pPr>
        <w:pStyle w:val="TextoNormal"/>
      </w:pPr>
    </w:p>
    <w:p w:rsidR="00C54F26" w:rsidRDefault="00C54F26" w:rsidP="00C54F26">
      <w:pPr>
        <w:pStyle w:val="TextoNormal"/>
      </w:pPr>
      <w:r>
        <w:t>Añade, en cuanto al momento procesal oportuno para efectuar el planteamiento, que coincide con la parte actora en que es este el momento, inmediatamente antes de resolver la citada pieza de medidas cautelares mediante auto, pues, como señala el artículo 35.2 LOTC, el órgano judicial solo podrá plantear la cuestión una vez concluso el procedimiento y dentro del plazo para dictar sentencia, o la resolución jurisdiccional que procediese. Afirma, que “una vez formuladas alegaciones por las partes y el Ministerio Fiscal, se está en disposición de resolver si procede plantear cuestión de inconstitucionalidad”.</w:t>
      </w:r>
    </w:p>
    <w:p w:rsidR="00C54F26" w:rsidRDefault="00C54F26" w:rsidP="00C54F26">
      <w:pPr>
        <w:pStyle w:val="TextoNormal"/>
      </w:pPr>
    </w:p>
    <w:p w:rsidR="00C54F26" w:rsidRDefault="00C54F26" w:rsidP="00C54F26">
      <w:pPr>
        <w:pStyle w:val="TextoNormal"/>
      </w:pPr>
      <w:r>
        <w:t>En cuanto al fondo del planteamiento de la cuestión de inconstitucionalidad razona que es claro el carácter básico de la Ley 30/2014, lo que significa que la Comunidad Autónoma de las Islas Baleares en lo que concierne al parque nacional marítimo terrestre del archipiélago de Cabrera, debe ajustarse a su contenido cuando aprueben normas de desarrollo de la misma en virtud del mecanismo bases-desarrollo previsto en el texto constitucional (art. 149.1.23 CE, en relación con el art. 30.46 EAIB).</w:t>
      </w:r>
    </w:p>
    <w:p w:rsidR="00C54F26" w:rsidRDefault="00C54F26" w:rsidP="00C54F26">
      <w:pPr>
        <w:pStyle w:val="TextoNormal"/>
      </w:pPr>
    </w:p>
    <w:p w:rsidR="00C54F26" w:rsidRDefault="00C54F26" w:rsidP="00C54F26">
      <w:pPr>
        <w:pStyle w:val="TextoNormal"/>
      </w:pPr>
      <w:r>
        <w:t>Sostiene que la Ley 30/2014, al referirse a la elaboración y aprobación de los planes rectores de uso y gestión, contiene una serie de previsiones que fueron obviadas por la comunidad autónoma cuando aprobó la disposición transitoria primera de la Ley del Parlamento de las Illes Balears 2/2020 sin atender a tales trámites y procedimientos, mediante la incorporación de dicha disposición al texto legal. Esos trámites, tal como detalla la parte actora en el escrito de interposición del recurso venían referidos a la audiencia a los interesados, trámite de información pública, consulta a las administraciones afectadas e informe de las administraciones competentes en materia urbanística (que en este caso serían el Consell Insular de Mallorca y el Ayuntamiento de Palma), así como informe previo del Consejo de la Red de Parques Nacionales. Esos trámites, forman parte de la legislación básica estatal, de tal manera que la modificación introducida mediante la referida disposición transitoria viene a suponer de facto una modificación del plan rector de uso y gestión aprobado mediante el Decreto del Gobierno de las Illes Balears 58/2006, de 1 de julio, cuyo apartado 2.3.5 queda suspendido por la disposición legal que ahora se cuestiona. Aunque sea de modo transitorio, la modificación no se ajustó a las previsiones contenidas en la legislación básica.</w:t>
      </w:r>
    </w:p>
    <w:p w:rsidR="00C54F26" w:rsidRDefault="00C54F26" w:rsidP="00C54F26">
      <w:pPr>
        <w:pStyle w:val="TextoNormal"/>
      </w:pPr>
    </w:p>
    <w:p w:rsidR="00C54F26" w:rsidRDefault="00C54F26" w:rsidP="00C54F26">
      <w:pPr>
        <w:pStyle w:val="TextoNormal"/>
      </w:pPr>
      <w:r>
        <w:t>Ello supone alterar de forma irregular el sistema de planificación ordinaria expresamente regulado por ley estatal para la elaboración del plan rector de uso y gestión, incumpliendo así los requisitos previstos en la norma estatal, y significa transcender los límites de la posibilidad de actuación de la comunidad autónoma, aprobando una disposición legal que modifica ese plan en lugar de cumplir los trámites de los artículos 20 y concordantes de la Ley 30/2014, que constituye normativa básica. En suma, implica desconocer el bloque de la constitucionalidad en esta materia, y, por ende, incurrir en extralimitación legal en contravención del artículo 149.1.23 CE; es decir, incurre en inconstitucionalidad, lo que obliga a plantear la cuestión ante el órgano competente, el Tribunal Constitucional, de conformidad con el artículo 35 LOTC.</w:t>
      </w:r>
    </w:p>
    <w:p w:rsidR="00C54F26" w:rsidRDefault="00C54F26" w:rsidP="00C54F26">
      <w:pPr>
        <w:pStyle w:val="TextoNormal"/>
      </w:pPr>
    </w:p>
    <w:p w:rsidR="00C54F26" w:rsidRDefault="00C54F26" w:rsidP="00C54F26">
      <w:pPr>
        <w:pStyle w:val="TextoNormal"/>
      </w:pPr>
      <w:r>
        <w:t>A ello añade que no constan en el texto de la enmienda parlamentaria que dio lugar a la norma ahora cuestionada, ni en la exposición de motivos de la Ley, ninguna justificación de la inclusión de la disposición transitoria en una norma cuya finalidad venía dada por el impulso de la actividad económica y la simplificación administrativa en el ámbito de las administraciones públicas de las Illes Balears para paliar los efectos de la crisis ocasionada por la COVID-19 (según su propia denominación). Ello, a juicio del órgano judicial promovente de la cuestión, hace aún más inexplicable su encaje en ese contexto, al margen del sistema de fuentes constitucional y estatutariamente establecido.</w:t>
      </w:r>
    </w:p>
    <w:p w:rsidR="00C54F26" w:rsidRDefault="00C54F26" w:rsidP="00C54F26">
      <w:pPr>
        <w:pStyle w:val="TextoNormal"/>
      </w:pPr>
    </w:p>
    <w:p w:rsidR="00C54F26" w:rsidRDefault="00C54F26" w:rsidP="00C54F26">
      <w:pPr>
        <w:pStyle w:val="TextoNormal"/>
      </w:pPr>
      <w:r>
        <w:t>Por ello plantea cuestión de inconstitucionalidad respecto de la disposición transitoria 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por vulnerar la legislación básica y, en consecuencia, el artículo 149.1.23 CE.</w:t>
      </w:r>
    </w:p>
    <w:p w:rsidR="00C54F26" w:rsidRDefault="00C54F26" w:rsidP="00C54F26">
      <w:pPr>
        <w:pStyle w:val="TextoNormal"/>
      </w:pPr>
    </w:p>
    <w:p w:rsidR="00C54F26" w:rsidRDefault="00C54F26" w:rsidP="00C54F26">
      <w:pPr>
        <w:pStyle w:val="TextoNormal"/>
      </w:pPr>
      <w:r w:rsidRPr="00C54F26">
        <w:rPr>
          <w:rStyle w:val="NumeroAFNegritaCaracter"/>
        </w:rPr>
        <w:t>4</w:t>
      </w:r>
      <w:r>
        <w:t>. Por providencia de 20 de abril de 2021, la Sección Segunda del Tribunal Constitucional acordó oír a la fiscal general del Estado, a los efectos que determina el art. 37.1 LOTC, para que en el plazo de diez días alegue lo que considere conveniente acerca de la admisibilidad de la presente cuestión de inconstitucionalidad, en relación con el cumplimiento de los requisitos procesales (art. 35.2 LOTC).</w:t>
      </w:r>
    </w:p>
    <w:p w:rsidR="00C54F26" w:rsidRDefault="00C54F26" w:rsidP="00C54F26">
      <w:pPr>
        <w:pStyle w:val="TextoNormal"/>
      </w:pPr>
    </w:p>
    <w:p w:rsidR="00C54F26" w:rsidRDefault="00C54F26" w:rsidP="00C54F26">
      <w:pPr>
        <w:pStyle w:val="TextoNormal"/>
      </w:pPr>
      <w:r w:rsidRPr="00C54F26">
        <w:rPr>
          <w:rStyle w:val="NumeroAFNegritaCaracter"/>
        </w:rPr>
        <w:t>5</w:t>
      </w:r>
      <w:r>
        <w:t>. La fiscal general del Estado presentó sus alegaciones mediante escrito registrado en este tribunal el 25 de mayo de 2021, interesando la inadmisión de la presente cuestión de inconstitucionalidad por falta de cumplimiento de los requisitos procesales, en concreto por incumplimiento del trámite de audiencia previsto en el art. 35.2 LOTC, y, en relación con el juicio de aplicabilidad y de relevancia, por no precisar la dependencia de la decisión del procedimiento cautelar de la constitucionalidad de la disposición transitoria primera de la Ley del Parlamento de las Illes Balears 2/2020.</w:t>
      </w:r>
    </w:p>
    <w:p w:rsidR="00C54F26" w:rsidRDefault="00C54F26" w:rsidP="00C54F26">
      <w:pPr>
        <w:pStyle w:val="TextoNormal"/>
      </w:pPr>
    </w:p>
    <w:p w:rsidR="00C54F26" w:rsidRDefault="00C54F26" w:rsidP="00C54F26">
      <w:pPr>
        <w:pStyle w:val="TextoNormal"/>
      </w:pPr>
      <w:r>
        <w:t>Comienza sus alegaciones exponiendo los antecedentes administrativos y procesales que preceden al planteamiento de la cuestión de inconstitucionalidad, así como el contenido de la disposición transitoria primera de la Ley del Parlamento de las Illes Balears 2/2020 cuestionada, y del auto de planteamiento de la cuestión de inconstitucionalidad. Con carácter previo destaca que nada impide al órgano judicial plantear la cuestión de inconstitucionalidad en una pieza de medidas cautelares.</w:t>
      </w:r>
    </w:p>
    <w:p w:rsidR="00C54F26" w:rsidRDefault="00C54F26" w:rsidP="00C54F26">
      <w:pPr>
        <w:pStyle w:val="TextoNormal"/>
      </w:pPr>
    </w:p>
    <w:p w:rsidR="00C54F26" w:rsidRDefault="00C54F26" w:rsidP="00C54F26">
      <w:pPr>
        <w:pStyle w:val="TextoNormal"/>
      </w:pPr>
      <w:r>
        <w:t>En primer lugar, examina el cumplimiento de los requisitos procesales previstos en el art. 35.2 LOTC. Tras exponer la doctrina del Tribunal Constitucional relativa al trámite de audiencia a las partes (ATC 267/2013, FJ 3), refiere, con nueva alusión a los antecedentes del procedimiento contencioso-administrativo, que no se han cumplido los presupuestos procedimentales del art. 35.2 LOTC, pues el órgano judicial, antes de plantear la cuestión de inconstitucionalidad no ha oído a las partes y al Ministerio Fiscal, identificando la norma legal cuestionada y los preceptos constitucionales que infringiría, permitiendo de este modo que las partes se pronunciaran sobre la duda de constitucionalidad.</w:t>
      </w:r>
    </w:p>
    <w:p w:rsidR="00C54F26" w:rsidRDefault="00C54F26" w:rsidP="00C54F26">
      <w:pPr>
        <w:pStyle w:val="TextoNormal"/>
      </w:pPr>
    </w:p>
    <w:p w:rsidR="00C54F26" w:rsidRDefault="00C54F26" w:rsidP="00C54F26">
      <w:pPr>
        <w:pStyle w:val="TextoNormal"/>
      </w:pPr>
      <w:r>
        <w:t>A continuación, se detiene a examinar si el órgano judicial ha dado cumplimiento al juicio de aplicabilidad y relevancia. En relación con el juicio de aplicabilidad indica que el auto de planteamiento de la cuestión de inconstitucionalidad no logra precisar que la decisión del procedimiento cautelar, esto es, la adopción o no de la medida cautelar demandada por la mercantil, depende enteramente de la constitucionalidad de la disposición cuestionada. Finalmente, indica que tampoco cumple con el juicio de relevancia, en tanto que para adoptar la medida cautelar deben concurrir los requisitos exigidos por los arts. 129 a 135 de la Ley reguladora de la jurisdicción contencioso-administrativa, y el auto de planteamiento no contiene ningún argumento sobre la concurrencia de los presupuestos para adoptar dicha medida cautelar.</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Juzgado Contencioso-Administrativo núm. 3 de Palma de Mallorca plantea cuestión de inconstitucionalidad respecto de la disposición transitoria primera de la Ley del Parlamento de las Illes Balears 2/2020, de 15 de octubre, de medidas urgentes y extraordinarias para el impulso de la actividad económica y la simplificación administrativa en el ámbito de las administraciones públicas de las Illes Balears para paliar los efectos de la crisis ocasionada por la COVID-19. Según el órgano judicial proponente, cabría sostener que la disposición cuestionada ha desconocido la legislación estatal básica y el art. 149.1.23 CE, en relación con el art. 30.46 EAIB. En concreto, la referida disposición habría infringido la disposición final tercera y el apartado c) del punto 4 del artículo 24 de la Ley 30/2014, de 3 de diciembre, de parques nacionales que, al referirse a la elaboración y aprobación de los planes rectores de uso y gestión, contiene una serie de previsiones que fueron obviadas por la comunidad autónoma cuando aprobó la controvertida disposición transitoria primera.</w:t>
      </w:r>
    </w:p>
    <w:p w:rsidR="00C54F26" w:rsidRDefault="00C54F26" w:rsidP="00C54F26">
      <w:pPr>
        <w:pStyle w:val="TextoNormal"/>
      </w:pPr>
    </w:p>
    <w:p w:rsidR="00C54F26" w:rsidRDefault="00C54F26" w:rsidP="00C54F26">
      <w:pPr>
        <w:pStyle w:val="TextoNormal"/>
      </w:pPr>
      <w:r>
        <w:t>La fiscal general del Estado, en el trámite previsto en el art. 37.1 LOTC, ha argumentado que la presente cuestión de inconstitucionalidad debe ser inadmitida por no cumplir ni el trámite de audiencia previsto en el art. 35.2 LOTC, ni el juicio de aplicabilidad y relevancia.</w:t>
      </w:r>
    </w:p>
    <w:p w:rsidR="00C54F26" w:rsidRDefault="00C54F26" w:rsidP="00C54F26">
      <w:pPr>
        <w:pStyle w:val="TextoNormal"/>
      </w:pPr>
    </w:p>
    <w:p w:rsidR="00C54F26" w:rsidRDefault="00C54F26" w:rsidP="00C54F26">
      <w:pPr>
        <w:pStyle w:val="TextoNormal"/>
      </w:pPr>
      <w:r w:rsidRPr="00C54F26">
        <w:rPr>
          <w:rStyle w:val="NumeroAFNegritaCaracter"/>
        </w:rPr>
        <w:t>2</w:t>
      </w:r>
      <w:r>
        <w:t>. Con carácter preliminar, ha de enjuiciarse el cumplimiento del requisito de admisibilidad aludido por la fiscal general del Estado en la presente fase de admisión, a saber: el cumplimiento del requisito prevenido en el art. 35.2 LOTC de que el órgano judicial oiga a las partes y al Ministerio Fiscal para que aleguen lo que deseen sobre la pertinencia de plantear la cuestión de inconstitucionalidad.</w:t>
      </w:r>
    </w:p>
    <w:p w:rsidR="00C54F26" w:rsidRDefault="00C54F26" w:rsidP="00C54F26">
      <w:pPr>
        <w:pStyle w:val="TextoNormal"/>
      </w:pPr>
    </w:p>
    <w:p w:rsidR="00C54F26" w:rsidRDefault="00C54F26" w:rsidP="00C54F26">
      <w:pPr>
        <w:pStyle w:val="TextoNormal"/>
      </w:pPr>
      <w:r>
        <w:t>En este sentido, el art. 37.1 LOTC dispone que el tribunal podrá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(STC 166/1986, de 19 de diciembre, FJ 4, y ATC 136/1995, de 9 de mayo, FJ único).</w:t>
      </w:r>
    </w:p>
    <w:p w:rsidR="00C54F26" w:rsidRDefault="00C54F26" w:rsidP="00C54F26">
      <w:pPr>
        <w:pStyle w:val="TextoNormal"/>
      </w:pPr>
    </w:p>
    <w:p w:rsidR="00C54F26" w:rsidRDefault="00C54F26" w:rsidP="00C54F26">
      <w:pPr>
        <w:pStyle w:val="TextoNormal"/>
      </w:pPr>
      <w:r w:rsidRPr="00C54F26">
        <w:rPr>
          <w:rStyle w:val="NumeroAFNegritaCaracter"/>
        </w:rPr>
        <w:t>3</w:t>
      </w:r>
      <w:r>
        <w:t>. Del examen de las actuaciones resulta que el órgano judicial ha planteado la cuestión de inconstitucionalidad sin cumplir el requisito de la audiencia a las partes y al Ministerio Fiscal (art. 35.2 LOTC). En efecto, el Juzgado Contencioso-Administrativo núm. 3 de Palma de Mallorca, denegó la medida cautelar provisionalísima solicitada en el escrito de interposición del procedimiento contencioso-administrativo y concedió un plazo de diez días a la administración demandada para que formulara alegaciones. Esta, aprovechando dicho trámite se opuso a las pretensiones del demandante, tanto en lo relativo a la concesión de medida cautelar como en relación con el planteamiento de la cuestión de inconstitucionalidad que solicitaba en el escrito de interposición del recurso contencioso administrativo. En la mencionada resolución no consta que se diera traslado alguno al Ministerio Fiscal para que se pronunciara sobre las pretensiones del recurrente, sin embargo, de las actuaciones resulta que el fiscal emitió un informe mostrándose a favor de la adopción de la medida cautelar interesada, sin informar, al no haberse abierto el trámite de audiencia del art. 35.2 LOTC sobre la procedencia del planteamiento de la cuestión de inconstitucionalidad.</w:t>
      </w:r>
    </w:p>
    <w:p w:rsidR="00C54F26" w:rsidRDefault="00C54F26" w:rsidP="00C54F26">
      <w:pPr>
        <w:pStyle w:val="TextoNormal"/>
      </w:pPr>
    </w:p>
    <w:p w:rsidR="00C54F26" w:rsidRDefault="00C54F26" w:rsidP="00C54F26">
      <w:pPr>
        <w:pStyle w:val="TextoNormal"/>
      </w:pPr>
      <w:r>
        <w:t>Pese a que el órgano judicial no había acordado oír a las partes y al Ministerio Fiscal para que en el plazo común de diez días pudieran alegar lo que consideraran pertinente sobre el planteamiento de la cuestión de inconstitucionalidad, la letrada de la administración de justicia dictó una diligencia de ordenación por la que solicitó al fiscal que aclarara su ausencia de posicionamiento en relación con “la cuestión de inconstitucionalidad planteada por la actora”. El fiscal dio respuesta a dicho traslado solicitando al órgano judicial que procediera a la apertura del trámite procesal previsto en el art. 35 LOTC, y concretara la norma legal que puede ser objeto de cuestión de inconstitucionalidad, así como el artículo constitucional que se considera incumplido. El Juzgado Contencioso-Administrativo núm. 3 de Palma de Mallorca, pese a lo alegado por el Ministerio Fiscal, no abrió dicho trámite procesal, y planteó la cuestión de inconstitucionalidad.</w:t>
      </w:r>
    </w:p>
    <w:p w:rsidR="00C54F26" w:rsidRDefault="00C54F26" w:rsidP="00C54F26">
      <w:pPr>
        <w:pStyle w:val="TextoNormal"/>
      </w:pPr>
    </w:p>
    <w:p w:rsidR="00C54F26" w:rsidRDefault="00C54F26" w:rsidP="00C54F26">
      <w:pPr>
        <w:pStyle w:val="TextoNormal"/>
      </w:pPr>
      <w:r>
        <w:t>Con dicho proceder el juzgado no precisó el precepto o preceptos cuestionables ni los motivos de inconstitucionalidad, sino que, mediante diligencia de ordenación de la letrada de la administración de justicia, el órgano judicial se limitó a dar audiencia expresamente al fiscal, pues la audiencia a la parte demandada debe entenderse implícita, en relación con “la cuestión de inconstitucionalidad planteada por la actora”. Es cierto que la actora, en su extenso y argumentado escrito de interposición del recurso contencioso-administrativo, formuló un alegato específico sobre la inconstitucionalidad de la disposición transitoria luego cuestionada, pero no lo es menos que le corresponde al órgano judicial abrir expresamente el trámite del art. 35.2 LOTC en los términos exigidos por la doctrina constitucional.</w:t>
      </w:r>
    </w:p>
    <w:p w:rsidR="00C54F26" w:rsidRDefault="00C54F26" w:rsidP="00C54F26">
      <w:pPr>
        <w:pStyle w:val="TextoNormal"/>
      </w:pPr>
    </w:p>
    <w:p w:rsidR="00C54F26" w:rsidRDefault="00C54F26" w:rsidP="00C54F26">
      <w:pPr>
        <w:pStyle w:val="TextoNormal"/>
      </w:pPr>
      <w:r>
        <w:t>De ahí que el mero traslado del escrito de interposición del recurso contencioso-administrativo, sin proceder a la apertura del trámite de audiencia previsto en el art. 35.2 LOTC, competencia exclusiva del órgano judicial, sin expresar los preceptos cuestionados, difícilmente pueda satisfacer dos de las funciones que, según reiterada doctrina constitucional, le son inherentes: garantizar una efectiva y real audiencia de las partes —de todas, y no solo de las personadas en el incidente cautelar— y del Ministerio Fiscal ante una posible decisión de tanta entidad; y facilitar el examen por parte de este tribunal acerca de la viabilidad de la cuestión misma y de su alcance. La importancia de la audiencia del art. 35.2 LOTC, no puede minimizarse reduciéndola a un simple traslado del escrito de la parte en que se propone su planteamiento. Resulta, pues, inexcusable que en el trámite de audiencia se identifique por el juez o tribunal el precepto o preceptos que se consideren vulnerados, así como que el juez quede vinculado a elevar la cuestión de inconstitucionalidad sobre los preceptos sometidos a este trámite de alegaciones.</w:t>
      </w:r>
    </w:p>
    <w:p w:rsidR="00C54F26" w:rsidRDefault="00C54F26" w:rsidP="00C54F26">
      <w:pPr>
        <w:pStyle w:val="TextoNormal"/>
      </w:pPr>
    </w:p>
    <w:p w:rsidR="00C54F26" w:rsidRDefault="00C54F26" w:rsidP="00C54F26">
      <w:pPr>
        <w:pStyle w:val="TextoNormal"/>
      </w:pPr>
      <w:r>
        <w:t>Al no haber procedido de este modo el órgano judicial, y al otorgar la audiencia de modo implícito por el mero traslado del escrito de la actora ha incurrido, como bien expone el Ministerio Fiscal en su informe, en la causa de inadmisibilidad consistente en la falta de una de las condiciones procesales (art. 37.1 LOTC), la relativa a la audiencia de las partes. De este modo, la omisión del trámite de audiencia no hace posible el cumplimiento del fin que lo justifica, esto es, la efectiva intervención de las partes en el proceso de formación del criterio judicial a propósito de la necesidad de cuestionar ante este tribunal una norma con valor de ley (ATC 56/1997, de 25 de febrero, FJ 1).</w:t>
      </w:r>
    </w:p>
    <w:p w:rsidR="00C54F26" w:rsidRDefault="00C54F26" w:rsidP="00C54F26">
      <w:pPr>
        <w:pStyle w:val="TextoNormal"/>
      </w:pPr>
    </w:p>
    <w:p w:rsidR="00C54F26" w:rsidRDefault="00C54F26" w:rsidP="00C54F26">
      <w:pPr>
        <w:pStyle w:val="TextoNormal"/>
      </w:pPr>
      <w:r>
        <w:t>Es por ello que los defectos señalados en el preceptivo trámite de audiencia, determinan la inadmisibilidad de la presente cuestión de inconstitucionalidad y hacen innecesario el examen de los otros defectos advertidos por la fiscal en sus alegaciones, puesto que, al resultar insubsanable la omisión de los requisitos a que se refiere el art. 35.2 LOTC, no es necesario que este tribunal entre a examinar ni el resto de los obstáculos procesales para la admisión de la cuestión de inconstitucionalidad, ni el objeto de la misma.</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Inadmitir a trámite la presente cuestión de inconstitucionalidad.</w:t>
      </w:r>
    </w:p>
    <w:p w:rsidR="00C54F26" w:rsidRDefault="00C54F26" w:rsidP="00C54F26">
      <w:pPr>
        <w:pStyle w:val="TextoNormal"/>
      </w:pPr>
    </w:p>
    <w:p w:rsidR="00C54F26" w:rsidRDefault="00C54F26" w:rsidP="00C54F26">
      <w:pPr>
        <w:pStyle w:val="TextoNormal"/>
      </w:pPr>
      <w:r>
        <w:t>Publíquese este auto en el “Boletín Oficial del Estado”.</w:t>
      </w:r>
    </w:p>
    <w:p w:rsidR="00C54F26" w:rsidRDefault="00C54F26" w:rsidP="00C54F26">
      <w:pPr>
        <w:pStyle w:val="TextoNormal"/>
      </w:pPr>
    </w:p>
    <w:p w:rsidR="00C54F26" w:rsidRDefault="00C54F26" w:rsidP="00C54F26">
      <w:pPr>
        <w:pStyle w:val="TextoNormal"/>
      </w:pPr>
      <w:r>
        <w:t>Madrid, a uno de junio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7" w:name="AUTO_2021_66"/>
      <w:r>
        <w:t>AUTO 66/2021, de 21 de junio de 2021</w:t>
      </w:r>
    </w:p>
    <w:bookmarkEnd w:id="207"/>
    <w:p w:rsidR="00C54F26" w:rsidRDefault="00C54F26" w:rsidP="00C54F26">
      <w:pPr>
        <w:pStyle w:val="TtuloResolucin"/>
      </w:pPr>
      <w:r>
        <w:t>Sala Primera</w:t>
      </w:r>
    </w:p>
    <w:p w:rsidR="00C54F26" w:rsidRDefault="00C54F26" w:rsidP="00C54F26">
      <w:pPr>
        <w:pStyle w:val="TtuloBOE"/>
      </w:pPr>
      <w:r>
        <w:t>(BOE núm. 182, de 31 de julio de 2021)</w:t>
      </w:r>
    </w:p>
    <w:p w:rsidR="00C54F26" w:rsidRDefault="00C54F26" w:rsidP="00C54F26">
      <w:pPr>
        <w:pStyle w:val="TextoNormalCentrado"/>
      </w:pPr>
      <w:r>
        <w:t>ECLI:ES:TC:2021:66A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y la anotación preventiva de la demanda en el recurso de amparo 5872-2020, promovido por Viviendas Chimenea II de Águilas, Sociedad Cooperativa, en pleito civil.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Por escrito presentado en el registro general de este tribunal el día 30 de noviembre de 2020 el procurador de los tribunales don Pedro Arcas Barnes, en nombre y representación de la entidad Viviendas Chimenea II de Águilas, Sociedad Cooperativa, asistida por el letrado don Fernando Bastida García, interpuso recurso de amparo contra el auto de 28 de octubre de 2020, dictado por el Juzgado de Primera Instancia núm. 3 de Lorca, en el procedimiento de ejecución hipotecaria núm. 207-2019, que desestimó el incidente de nulidad promovido por la demandante.</w:t>
      </w:r>
    </w:p>
    <w:p w:rsidR="00C54F26" w:rsidRDefault="00C54F26" w:rsidP="00C54F26">
      <w:pPr>
        <w:pStyle w:val="TextoNormal"/>
      </w:pPr>
    </w:p>
    <w:p w:rsidR="00C54F26" w:rsidRDefault="00C54F26" w:rsidP="00C54F26">
      <w:pPr>
        <w:pStyle w:val="TextoNormal"/>
      </w:pPr>
      <w:r w:rsidRPr="00C54F26">
        <w:rPr>
          <w:rStyle w:val="NumeroAFNegritaCaracter"/>
        </w:rPr>
        <w:t>2</w:t>
      </w:r>
      <w:r>
        <w:t>. Los hechos relevantes que se desprenden de la demanda de amparo y de las actuaciones que la acompañan, son los siguientes:</w:t>
      </w:r>
    </w:p>
    <w:p w:rsidR="00C54F26" w:rsidRDefault="00C54F26" w:rsidP="00C54F26">
      <w:pPr>
        <w:pStyle w:val="TextoNormal"/>
      </w:pPr>
    </w:p>
    <w:p w:rsidR="00C54F26" w:rsidRDefault="00C54F26" w:rsidP="00C54F26">
      <w:pPr>
        <w:pStyle w:val="TextoNormal"/>
      </w:pPr>
      <w:r>
        <w:t>a) En fecha 24 de julio de 2019 la Sociedad de gestión de activos procedentes de la reestructuración bancaria, S.A. (SAREB), que había adquirido los activos de la entidad Banco Mare Nostrum, S.A., presentó demanda de ejecución hipotecaria contra la entidad Viviendas Chimenea II de Águilas, Sociedad Cooperativa, como deudor hipotecario en relación con el préstamo con garantía hipotecaria constituido sobre setenta y tres fincas registrales y elevado a escritura pública el 27 de mayo de 2008, en reclamación de la cantidad de 24 165 916,75 €, en concepto de principal y 7 249 775,02 € en concepto de intereses y costas de la ejecución.</w:t>
      </w:r>
    </w:p>
    <w:p w:rsidR="00C54F26" w:rsidRDefault="00C54F26" w:rsidP="00C54F26">
      <w:pPr>
        <w:pStyle w:val="TextoNormal"/>
      </w:pPr>
    </w:p>
    <w:p w:rsidR="00C54F26" w:rsidRDefault="00C54F26" w:rsidP="00C54F26">
      <w:pPr>
        <w:pStyle w:val="TextoNormal"/>
      </w:pPr>
      <w:r>
        <w:t>b) Dicha demanda correspondió al Juzgado de Primera Instancia núm. 3 de Lorca, que la tramitó con el núm. 207-2019. Por auto de 10 de septiembre de 2019, el juzgado despachó ejecución frente al prestatario por el indicado importe.</w:t>
      </w:r>
    </w:p>
    <w:p w:rsidR="00C54F26" w:rsidRDefault="00C54F26" w:rsidP="00C54F26">
      <w:pPr>
        <w:pStyle w:val="TextoNormal"/>
      </w:pPr>
    </w:p>
    <w:p w:rsidR="00C54F26" w:rsidRDefault="00C54F26" w:rsidP="00C54F26">
      <w:pPr>
        <w:pStyle w:val="TextoNormal"/>
      </w:pPr>
      <w:r>
        <w:t>c) Intentada la notificación y el emplazamiento a la ejecutada el 18 de septiembre de 2019, se extendió diligencia para “hacer constar que, habiéndome constituido en el domicilio facilitado como de la interesada, en c/ Pio XII, núm. 21, 4º B) resulta ser un despacho de abogados y manifiestan que no tienen relación con la empresa que pudiese ser que la tuviera con la Asesoría Serveco que se ubicaba antes en este domicilio”.</w:t>
      </w:r>
    </w:p>
    <w:p w:rsidR="00C54F26" w:rsidRDefault="00C54F26" w:rsidP="00C54F26">
      <w:pPr>
        <w:pStyle w:val="TextoNormal"/>
      </w:pPr>
    </w:p>
    <w:p w:rsidR="00C54F26" w:rsidRDefault="00C54F26" w:rsidP="00C54F26">
      <w:pPr>
        <w:pStyle w:val="TextoNormal"/>
      </w:pPr>
      <w:r>
        <w:t>d) Mediante diligencia de ordenación de 3 de octubre de 2019, se facultó al procurador de los tribunales, que representa a la ejecutante, para que practicara el requerimiento de pago en la persona de Ricardo José Montoya Morata, legal representante de Llave Azul 2006, S.L., que a su vez era apoderada de la entidad ejecutada.</w:t>
      </w:r>
    </w:p>
    <w:p w:rsidR="00C54F26" w:rsidRDefault="00C54F26" w:rsidP="00C54F26">
      <w:pPr>
        <w:pStyle w:val="TextoNormal"/>
      </w:pPr>
    </w:p>
    <w:p w:rsidR="00C54F26" w:rsidRDefault="00C54F26" w:rsidP="00C54F26">
      <w:pPr>
        <w:pStyle w:val="TextoNormal"/>
      </w:pPr>
      <w:r>
        <w:t>e) El 22 de octubre siguiente, por el procurador de los tribunales de la SAREB se comunicó la diligencia negativa de requerimiento de pago, y dos días después se interesó por el mismo que el requerimiento se realizara por edictos. Así se acordó por la letrada de la administración de justicia mediante diligencia de ordenación dictada el 5 de noviembre de 2019, procediendo a la inserción del edicto ese mismo día y siendo retirado el 5 de diciembre siguiente.</w:t>
      </w:r>
    </w:p>
    <w:p w:rsidR="00C54F26" w:rsidRDefault="00C54F26" w:rsidP="00C54F26">
      <w:pPr>
        <w:pStyle w:val="TextoNormal"/>
      </w:pPr>
    </w:p>
    <w:p w:rsidR="00C54F26" w:rsidRDefault="00C54F26" w:rsidP="00C54F26">
      <w:pPr>
        <w:pStyle w:val="TextoNormal"/>
      </w:pPr>
      <w:r>
        <w:t>f) La recurrente presentó incidente de nulidad actuaciones el 6 de julio de 2020 alegando la vulneración del derecho a la tutela judicial efectiva por haber procedido el órgano judicial al emplazamiento mediante edictos sin agotar previamente las posibilidades de averiguación del domicilio real de la ejecutada, bien a través de la localización del domicilio de don Ricardo José Montoya Morata, bien por la consulta telemática al Registro de Cooperativas de la Región de Murcia a fin de averiguar la identidad de los miembros de su consejo rector y solicitó la suspensión de la ejecución.</w:t>
      </w:r>
    </w:p>
    <w:p w:rsidR="00C54F26" w:rsidRDefault="00C54F26" w:rsidP="00C54F26">
      <w:pPr>
        <w:pStyle w:val="TextoNormal"/>
      </w:pPr>
    </w:p>
    <w:p w:rsidR="00C54F26" w:rsidRDefault="00C54F26" w:rsidP="00C54F26">
      <w:pPr>
        <w:pStyle w:val="TextoNormal"/>
      </w:pPr>
      <w:r>
        <w:t>g) Por auto de 28 de octubre de 2020, se rechazó la nulidad de actuaciones pretendida por la parte recurrente y se acordó continuar el procedimiento. En la fundamentación del auto, con cita del artículo 686.1 de la Ley de enjuiciamiento civil (LEC) se recogía el contenido del auto de 8 de enero de 2018, de la Sección Primera de la Audiencia Provincial de Murcia, que, con referencia a otros anteriores de la misma sección, atendía a la vinculación de las partes al domicilio pactado en la escritura de hipoteca, y, a la consecuencia de que intentado el emplazamiento en el domicilio pactado, la falta de notificación del saldo deudor no es imputable a la entidad ejecutante, al regir en la ejecución hipotecaria el artículo 683 LEC que impide al deudor el cambio del domicilio fijado para recibir notificaciones derivadas de la hipoteca, amén de establecer una serie de normas para que se pueda llevar a cabo y de exigir una expresa y fehaciente notificación al deudor del cambio de domicilio, aspectos estos que evidentemente no se han producido por lo que habrá que estar al domicilio pactado e inscrito en el registro de la propiedad.</w:t>
      </w:r>
    </w:p>
    <w:p w:rsidR="00C54F26" w:rsidRDefault="00C54F26" w:rsidP="00C54F26">
      <w:pPr>
        <w:pStyle w:val="TextoNormal"/>
      </w:pPr>
    </w:p>
    <w:p w:rsidR="00C54F26" w:rsidRDefault="00C54F26" w:rsidP="00C54F26">
      <w:pPr>
        <w:pStyle w:val="TextoNormal"/>
      </w:pPr>
      <w:r w:rsidRPr="00C54F26">
        <w:rPr>
          <w:rStyle w:val="NumeroAFNegritaCaracter"/>
        </w:rPr>
        <w:t>3</w:t>
      </w:r>
      <w:r>
        <w:t>. La recurrente invoca la vulneración del derecho a la tutela judicial efectiva (art. 24.1 CE) sin indefensión, en su manifestación de derecho de acceso al proceso, reconocido en el artículo 24.1 CE, al haber seguido el órgano judicial el procedimiento de ejecución acudiendo al emplazamiento por edictos sin haber agotado, previamente, los mecanismos previstos en el artículo 686.3 LEC, para intentar la averiguación y localización del domicilio de la recurrente por otros medios.</w:t>
      </w:r>
    </w:p>
    <w:p w:rsidR="00C54F26" w:rsidRDefault="00C54F26" w:rsidP="00C54F26">
      <w:pPr>
        <w:pStyle w:val="TextoNormal"/>
      </w:pPr>
    </w:p>
    <w:p w:rsidR="00C54F26" w:rsidRDefault="00C54F26" w:rsidP="00C54F26">
      <w:pPr>
        <w:pStyle w:val="TextoNormal"/>
      </w:pPr>
      <w:r>
        <w:t>Entiende que el órgano judicial ha decidido soslayar de forma consciente e intencionada la doctrina del Tribunal Constitucional sobre el artículo 686.3 LEC establecida en las SSTC 122/2013, de 20 de mayo, 131/2014, de 21 de julio; 137/2014, de 8 de septiembre; 169/2014, 22 de octubre ; 89/2015, de 11 de mayo; 151/2016, de 19 de septiembre; 5/2017; 6/2017, de 16 de enero; 106/2017, de 18 de septiembre; 137/2017, de 27 de noviembre, y 5/2018, de 22 de enero.</w:t>
      </w:r>
    </w:p>
    <w:p w:rsidR="00C54F26" w:rsidRDefault="00C54F26" w:rsidP="00C54F26">
      <w:pPr>
        <w:pStyle w:val="TextoNormal"/>
      </w:pPr>
    </w:p>
    <w:p w:rsidR="00C54F26" w:rsidRDefault="00C54F26" w:rsidP="00C54F26">
      <w:pPr>
        <w:pStyle w:val="TextoNormal"/>
      </w:pPr>
      <w:r>
        <w:t>Considera, que se ha acudido al emplazamiento por edictos sin practicar ninguna diligencia de averiguación domiciliaria de la ejecutada, ni de su apoderada, o del representante legal de esta última, cuando fácilmente se hubiera podido localizar el domicilio de este o consultar telemáticamente al registro de cooperativas de la Región de Murcia a fin de identificar a los miembros del consejo rector de la recurrente.</w:t>
      </w:r>
    </w:p>
    <w:p w:rsidR="00C54F26" w:rsidRDefault="00C54F26" w:rsidP="00C54F26">
      <w:pPr>
        <w:pStyle w:val="TextoNormal"/>
      </w:pPr>
    </w:p>
    <w:p w:rsidR="00C54F26" w:rsidRDefault="00C54F26" w:rsidP="00C54F26">
      <w:pPr>
        <w:pStyle w:val="TextoNormal"/>
      </w:pPr>
      <w:r>
        <w:t>Finalmente, solicita que se reconozca la vulneración invocada y que se declare la nulidad del auto de 28 de octubre de 2020 del Juzgado de Primera Instancia núm. 3 de Lorca y que se acuerde la retracción de las actuaciones al momento inmediatamente anterior al requerimiento de pago.</w:t>
      </w:r>
    </w:p>
    <w:p w:rsidR="00C54F26" w:rsidRDefault="00C54F26" w:rsidP="00C54F26">
      <w:pPr>
        <w:pStyle w:val="TextoNormal"/>
      </w:pPr>
    </w:p>
    <w:p w:rsidR="00C54F26" w:rsidRDefault="00C54F26" w:rsidP="00C54F26">
      <w:pPr>
        <w:pStyle w:val="TextoNormal"/>
      </w:pPr>
      <w:r>
        <w:t>Por otrosí digo, pide que se acuerde la suspensión del procedimiento de ejecución hipotecaria en el que se ha dictado decreto de fecha 5 de noviembre de 2020, acordando la adjudicación a la parte ejecutante de las fincas subastadas, pues, de no proceder a la suspensión solicitada, la adjudicataria podría vender a terceras personas las fincas adjudicadas, que resultarían no reivindicables en virtud del artículo 34 de la Ley hipotecaria (LH) y por tanto la continuación del procedimiento ejecutivo haría perder al recurso de amparo su finalidad, sin que, por otra parte, concurra perturbación grave de los intereses generales, ni de los derechos fundamentales.</w:t>
      </w:r>
    </w:p>
    <w:p w:rsidR="00C54F26" w:rsidRDefault="00C54F26" w:rsidP="00C54F26">
      <w:pPr>
        <w:pStyle w:val="TextoNormal"/>
      </w:pPr>
    </w:p>
    <w:p w:rsidR="00C54F26" w:rsidRDefault="00C54F26" w:rsidP="00C54F26">
      <w:pPr>
        <w:pStyle w:val="TextoNormal"/>
      </w:pPr>
      <w:r w:rsidRPr="00C54F26">
        <w:rPr>
          <w:rStyle w:val="NumeroAFNegritaCaracter"/>
        </w:rPr>
        <w:t>4</w:t>
      </w:r>
      <w:r>
        <w:t>. Mediante sendas providencias de 10 de mayo de 2021, la Sección Segunda de este tribunal acordó admitir a trámite el recurso de amparo apreciando que concurre en el mismo especial trascendencia constitucional [art. 50.1 de la Ley Orgánica del Tribunal Constitucional (LOTC)] porque el órgano judicial pudiera haber incurrido en una negativa manifiesta del deber de acatamiento de la doctrina de este tribunal [STC 155/2009, FJ 2 f)], y dirigir comunicación al órgano judicial interviniente, a fin de que en el plazo que no exceda de diez días remita certificación o fotocopia adverada de las actuaciones correspondientes al procedimiento de ejecución hipotecaria núm. 207-2019, y que proceda a emplazar a quienes hubieran sido parte en el proceso del que trae causa el presente recurso, excepto la parte recurrente en amparo, para que en plazo de diez días puedan comparecer, si lo desean.</w:t>
      </w:r>
    </w:p>
    <w:p w:rsidR="00C54F26" w:rsidRDefault="00C54F26" w:rsidP="00C54F26">
      <w:pPr>
        <w:pStyle w:val="TextoNormal"/>
      </w:pPr>
    </w:p>
    <w:p w:rsidR="00C54F26" w:rsidRDefault="00C54F26" w:rsidP="00C54F26">
      <w:pPr>
        <w:pStyle w:val="TextoNormal"/>
      </w:pPr>
      <w:r>
        <w:t>Asimismo, la Sección dispuso formar pieza separada para la tramitación del incidente de suspensión y, conforme a lo dispuesto en el art. 56 LOTC, concedió un plazo común de tres días a la parte recurrente y al Ministerio Fiscal, para que alegaran lo que estimasen pertinente sobre dicha suspensión.</w:t>
      </w:r>
    </w:p>
    <w:p w:rsidR="00C54F26" w:rsidRDefault="00C54F26" w:rsidP="00C54F26">
      <w:pPr>
        <w:pStyle w:val="TextoNormal"/>
      </w:pPr>
    </w:p>
    <w:p w:rsidR="00C54F26" w:rsidRDefault="00C54F26" w:rsidP="00C54F26">
      <w:pPr>
        <w:pStyle w:val="TextoNormal"/>
      </w:pPr>
      <w:r w:rsidRPr="00C54F26">
        <w:rPr>
          <w:rStyle w:val="NumeroAFNegritaCaracter"/>
        </w:rPr>
        <w:t>5</w:t>
      </w:r>
      <w:r>
        <w:t>. El 17 de mayo de 2021 la recurrente presentó escrito de alegaciones en el que además de insistir en la solicitud efectuada en la demanda de amparo, afirmaba que la suspensión de actuaciones es la única medida cautelar apta e idónea para evitar el perjuicio que supondría la continuación de la ejecución, pues si bien la anotación preventiva de la demanda de amparo en el registro de la propiedad podría evitar la presunción de buena fe del tercer adquirente, y con ello evitar el carácter no reivindicable de su enajenación, tal medida no evitaría la toma de posesión de las fincas por el ejecutante y el consecuente desalojo de aquellos terceros compradores de las fincas durante el proceso de construcción de la nueva edificación, que vienen ocupando las mismas y que no han podido subrogarse en los concretos préstamos de sus viviendas por la irregular situación de mora del préstamo a la promoción. Refería que, si bien el órgano judicial había acordado la suspensión del lanzamiento fijado para la fecha de 22 de noviembre de 2019, podría señalar una nueva fecha de lanzamiento que ocasionaría los perjuicios irreparables ya indicados en el recurso de amparo, privando al amparo su finalidad. Por otra parte, indica que, “la medida cautelar de anotación preventiva de la demanda de amparo en el registro de la propiedad, implica su anotación en las setenta y tres fincas ejecutadas, con un coste económico por aranceles registrales imposible de asumir por mi representada”.</w:t>
      </w:r>
    </w:p>
    <w:p w:rsidR="00C54F26" w:rsidRDefault="00C54F26" w:rsidP="00C54F26">
      <w:pPr>
        <w:pStyle w:val="TextoNormal"/>
      </w:pPr>
    </w:p>
    <w:p w:rsidR="00C54F26" w:rsidRDefault="00C54F26" w:rsidP="00C54F26">
      <w:pPr>
        <w:pStyle w:val="TextoNormal"/>
      </w:pPr>
      <w:r w:rsidRPr="00C54F26">
        <w:rPr>
          <w:rStyle w:val="NumeroAFNegritaCaracter"/>
        </w:rPr>
        <w:t>6</w:t>
      </w:r>
      <w:r>
        <w:t>. El Ministerio Fiscal, presentó escrito el día 31 de mayo de 2021, por el que partiendo de la doctrina constitucional considera que no se acredita la incidencia económica negativa e irreparable que la continuación del procedimiento pudiera causar, más allá de la mera petición de suspensión y la referencia a los efectos jurídicos de la inscripción registral. Añade que sí es posible lograr el efecto protector deseado por la recurrente mediante la práctica de la anotación preventiva de la demanda de amparo.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objeto de esta pieza de suspensión consiste en determinar la procedencia o no de la solicitud de suspensión cautelar del procedimiento de ejecución hipotecaria. La recurrente refiere que solo la suspensión del procedimiento puede evitar el desalojo de los compradores de las viviendas en construcción, no siendo efectiva a tal efecto la anotación preventiva de la demanda en el registro de la propiedad, pues con ella solo se evitaría la protección del tercer adquirente y la recurrente carece de recursos económicos para la satisfacción de los aranceles registrales. El Ministerio Fiscal considera que no concurren los presupuestos exigidos para acordar la suspensión del procedimiento de ejecución y propone como alternativa la medida cautelar de anotación preventiva de la demanda de amparo en el registro de la propiedad.</w:t>
      </w:r>
    </w:p>
    <w:p w:rsidR="00C54F26" w:rsidRDefault="00C54F26" w:rsidP="00C54F26">
      <w:pPr>
        <w:pStyle w:val="TextoNormal"/>
      </w:pPr>
    </w:p>
    <w:p w:rsidR="00C54F26" w:rsidRDefault="00C54F26" w:rsidP="00C54F26">
      <w:pPr>
        <w:pStyle w:val="TextoNormal"/>
      </w:pPr>
      <w:r w:rsidRPr="00C54F26">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C54F26" w:rsidRDefault="00C54F26" w:rsidP="00C54F26">
      <w:pPr>
        <w:pStyle w:val="TextoNormal"/>
      </w:pPr>
    </w:p>
    <w:p w:rsidR="00C54F26" w:rsidRDefault="00C54F26" w:rsidP="00C54F26">
      <w:pPr>
        <w:pStyle w:val="TextoNormal"/>
      </w:pPr>
      <w:r>
        <w:t>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 Ahora bien, “el perjuicio irreparable debe ser real, sin que sea posible alegar un perjuicio futuro o hipotético o un simple temor” (ATC 250/2013, de 4 de noviembre, FJ 1).</w:t>
      </w:r>
    </w:p>
    <w:p w:rsidR="00C54F26" w:rsidRDefault="00C54F26" w:rsidP="00C54F26">
      <w:pPr>
        <w:pStyle w:val="TextoNormal"/>
      </w:pPr>
    </w:p>
    <w:p w:rsidR="00C54F26" w:rsidRDefault="00C54F26" w:rsidP="00C54F26">
      <w:pPr>
        <w:pStyle w:val="TextoNormal"/>
      </w:pPr>
      <w:r w:rsidRPr="00C54F26">
        <w:rPr>
          <w:rStyle w:val="NumeroAFNegritaCaracter"/>
        </w:rPr>
        <w:t>3</w:t>
      </w:r>
      <w:r>
        <w:t>. La aplicación de la doctrina de la que se ha hecho mención al caso aquí planteado permite concluir que no es jurídicamente sostenible fundar la medida cautelar, para atender la finalidad de evitar un eventual, futuro e incierto lanzamiento de posibles ocupantes de las viviendas, cuya existencia, pese afirmarse de modo genérico e inconcreto, no consta acreditada por la demandante de amparo. Es por ello que el único riesgo atendible es que las fincas pudieran ser transmitidas a un tercero de buena fe, con la consiguiente consolidación de una posición jurídicamente inatacable, y dicho riesgo, una vez que las fincas han sido adjudicadas a favor de la entidad ejecutante no puede preservarse con la mera suspensión del procedimiento, pues solamente la prohibición de disponer o la anotación de la demanda de amparo en el registro de la propiedad, podrían evitar la adquisición irreivindicable por tercero de las fincas.</w:t>
      </w:r>
    </w:p>
    <w:p w:rsidR="00C54F26" w:rsidRDefault="00C54F26" w:rsidP="00C54F26">
      <w:pPr>
        <w:pStyle w:val="TextoNormal"/>
      </w:pPr>
    </w:p>
    <w:p w:rsidR="00C54F26" w:rsidRDefault="00C54F26" w:rsidP="00C54F26">
      <w:pPr>
        <w:pStyle w:val="TextoNormal"/>
      </w:pPr>
      <w:r>
        <w:t>Es por ello que el tribunal, atendidas las circunstancias que presenta el supuesto sometido a consideración, estima que de modo alternativo, procedería que se acordara la medida cautelar de anotación preventiva de la demanda de amparo en el registro de la propiedad. Esta medida, como bien indica el Ministerio Fiscal, se evidencia, y así hemos tenido ocasión de declararlo, como medida idónea para evitar el perjuicio derivado de que la adquisición de los bienes inmuebles por terceros de buena fe los hagan irreivindicables, evitando los perjuicios derivados de la paralización de un procedimiento que goza de las características de celeridad y sumariedad. En efecto, con la práctica de la anotación preventiva de la demanda de amparo, se podría lograr, una de las finalidades del registro de la propiedad, esto es, que sea fiel trasunto de la realidad jurídica —en este caso, advertir de la pendencia del presente proceso constitucional— y, por ende, un eficaz instrumento de seguridad jurídica (AATC 18/2012, de 30 de enero, FJ 4; 282/2014, de 17 de noviembre, FJ 5; 29/2015, de 16 de febrero, FFJJ 3 y 4; 50/2015, de 2 de marzo, FJ 4, y 59/2015, de 16 de marzo, FJ 3), que no se podría lograr —una vez adjudicadas las fincas a la entidad ejecutante— mediante la suspensión del procedimiento de ejecución hipotecaria.</w:t>
      </w:r>
    </w:p>
    <w:p w:rsidR="00C54F26" w:rsidRDefault="00C54F26" w:rsidP="00C54F26">
      <w:pPr>
        <w:pStyle w:val="TextoNormal"/>
      </w:pPr>
    </w:p>
    <w:p w:rsidR="00C54F26" w:rsidRDefault="00C54F26" w:rsidP="00C54F26">
      <w:pPr>
        <w:pStyle w:val="TextoNormal"/>
      </w:pPr>
      <w:r>
        <w:t>Como hemos afirmado la anotación preventiva es una medida cautelar que este tribunal, de conformidad con el art. 56 LOTC, puede adoptar de oficio o a instancia de parte, con fundamento en el art. 42.1 LH (AATC 274/2002, de 18 de diciembre; 257/2003, de 14 de julio; 230/2007, de 7 de mayo, FJ 3; 415/2007, de 5 de noviembre, FJ 4, y 28/2009, de 26 de enero, FJ 2), pero difícilmente puede acordarse contra la voluntad del solicitante de la medida cautelar, que es quien a la postre deberá satisfacer los correspondientes aranceles derivados de la anotación.</w:t>
      </w:r>
    </w:p>
    <w:p w:rsidR="00C54F26" w:rsidRDefault="00C54F26" w:rsidP="00C54F26">
      <w:pPr>
        <w:pStyle w:val="TextoNormal"/>
      </w:pPr>
    </w:p>
    <w:p w:rsidR="00C54F26" w:rsidRDefault="00C54F26" w:rsidP="00C54F26">
      <w:pPr>
        <w:pStyle w:val="TextoNormal"/>
      </w:pPr>
      <w:r>
        <w:t>En efecto, la mercantil recurrente rechaza como medida cautelar adecuada la anotación preventiva, al considerar que no evitaría el riesgo del lanzamiento de los ocupantes de las fincas —riesgo que hemos calificado de insuficiente—, y porque se encuentra imposibilitada de hacer frente a los costes de arancel derivados de la práctica de la anotación registral y que le serían reclamados una vez la misma se hubiera materializado. En tales circunstancias, no pudiendo conceder una medida cautelar contra la voluntad del propio interesado en la misma, procede denegar la práctica de la anotación preventiva interesada por el Ministerio Fiscal con carácter alternativo.</w:t>
      </w:r>
    </w:p>
    <w:p w:rsidR="00C54F26" w:rsidRDefault="00C54F26" w:rsidP="00C54F26">
      <w:pPr>
        <w:pStyle w:val="TextoNormal"/>
      </w:pPr>
    </w:p>
    <w:p w:rsidR="00C54F26" w:rsidRDefault="00C54F26" w:rsidP="00C54F26">
      <w:pPr>
        <w:pStyle w:val="TextoNormal"/>
      </w:pPr>
      <w:r w:rsidRPr="00C54F26">
        <w:rPr>
          <w:rStyle w:val="NumeroAFNegritaCaracter"/>
        </w:rPr>
        <w:t>4</w:t>
      </w:r>
      <w:r>
        <w:t>. Los razonamientos anteriores, de conformidad con la doctrina expuesta, y sin prejuzgar la decisión de fondo del recurso, conducen a denegar la suspensión solicitada, y, la anotación preventiva de la demanda de amparo en el registro de la propiedad alternativamente interesada por el Ministerio Fiscal. En cualquier caso, ello no impide que, en virtud de circunstancias sobrevenidas o que no pudieron ser conocidas al tiempo de sustanciarse el incidente de suspensión, la mercantil recurrente pueda acudir de nuevo ante este tribunal solicitando la modificación de nuestra decisión al amparo de lo previsto en el art. 57 LOTC.</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suspensión cautelar solicitada del procedimiento de ejecución hipotecaria núm. 207-2019 seguido en el Juzgado de Primera Instancia núm. 3 de Lorca, así como la práctica de la anotación preventiva de la demanda de amparo.</w:t>
      </w:r>
    </w:p>
    <w:p w:rsidR="00C54F26" w:rsidRDefault="00C54F26" w:rsidP="00C54F26">
      <w:pPr>
        <w:pStyle w:val="TextoNormal"/>
      </w:pPr>
    </w:p>
    <w:p w:rsidR="00C54F26" w:rsidRDefault="00C54F26" w:rsidP="00C54F26">
      <w:pPr>
        <w:pStyle w:val="TextoNormal"/>
      </w:pPr>
      <w:r>
        <w:t>Publíquese este auto en el “Boletín Oficial del Estado”.</w:t>
      </w:r>
    </w:p>
    <w:p w:rsidR="00C54F26" w:rsidRDefault="00C54F26" w:rsidP="00C54F26">
      <w:pPr>
        <w:pStyle w:val="TextoNormal"/>
      </w:pPr>
    </w:p>
    <w:p w:rsidR="00C54F26" w:rsidRDefault="00C54F26" w:rsidP="00C54F26">
      <w:pPr>
        <w:pStyle w:val="TextoNormal"/>
      </w:pPr>
      <w:r>
        <w:t>Madrid, a veintiuno de junio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8" w:name="AUTO_2021_67"/>
      <w:r>
        <w:t>AUTO 67/2021, de 21 de junio de 2021</w:t>
      </w:r>
    </w:p>
    <w:bookmarkEnd w:id="208"/>
    <w:p w:rsidR="00C54F26" w:rsidRDefault="00C54F26" w:rsidP="00C54F26">
      <w:pPr>
        <w:pStyle w:val="TtuloResolucin"/>
      </w:pPr>
      <w:r>
        <w:t>Sala Primera</w:t>
      </w:r>
    </w:p>
    <w:p w:rsidR="00C54F26" w:rsidRDefault="00C54F26" w:rsidP="00C54F26">
      <w:pPr>
        <w:pStyle w:val="TextoNormalCentrado"/>
      </w:pPr>
      <w:r>
        <w:t>ECLI:ES:TC:2021:67A</w:t>
      </w:r>
    </w:p>
    <w:p w:rsidR="00C54F26" w:rsidRDefault="00C54F26" w:rsidP="00C54F26">
      <w:pPr>
        <w:pStyle w:val="TextoNormalCentrado"/>
      </w:pPr>
    </w:p>
    <w:p w:rsidR="00C54F26" w:rsidRDefault="00C54F26" w:rsidP="00C54F26">
      <w:pPr>
        <w:pStyle w:val="SntesisDescriptiva"/>
      </w:pPr>
      <w:r>
        <w:t>Excms. Srs. don Juan José González Rivas, don Andrés Ollero Tassara, don Santiago Martínez-Vares García, don Alfredo Montoya Melgar,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Deniega la suspensión en el recurso de amparo 6513-2020, promovido por doña María Teresa Rodríguez Vázquez y otros en proceso parlamentario.</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registrado en este tribunal el día 29 de diciembre de 2020, la procuradora de los tribunales doña Virginia Sánchez de León Herencia, en nombre y representación de un grupo de diputados del Parlamento de Andalucía, interpuso recurso de amparo contra el acuerdo de la mesa del Parlamento de Andalucía de 18 de noviembre de 2020, por el que los recurrentes adquieren la condición de diputados no adscritos, y contra el acuerdo de la mesa del Parlamento de Andalucía de 25 de noviembre de 2020, que desestima los recursos de reconsideración planteados por los recurrentes en amparo.</w:t>
      </w:r>
    </w:p>
    <w:p w:rsidR="00C54F26" w:rsidRDefault="00C54F26" w:rsidP="00C54F26">
      <w:pPr>
        <w:pStyle w:val="TextoNormal"/>
      </w:pPr>
    </w:p>
    <w:p w:rsidR="00C54F26" w:rsidRDefault="00C54F26" w:rsidP="00C54F26">
      <w:pPr>
        <w:pStyle w:val="TextoNormal"/>
      </w:pPr>
      <w:r w:rsidRPr="00C54F26">
        <w:rPr>
          <w:rStyle w:val="NumeroAFNegritaCaracter"/>
        </w:rPr>
        <w:t>2</w:t>
      </w:r>
      <w:r>
        <w:t>. Sucintamente expuestos, los hechos en que se basa la pretensión de amparo son los siguientes:</w:t>
      </w:r>
    </w:p>
    <w:p w:rsidR="00C54F26" w:rsidRDefault="00C54F26" w:rsidP="00C54F26">
      <w:pPr>
        <w:pStyle w:val="TextoNormal"/>
      </w:pPr>
    </w:p>
    <w:p w:rsidR="00C54F26" w:rsidRDefault="00C54F26" w:rsidP="00C54F26">
      <w:pPr>
        <w:pStyle w:val="TextoNormal"/>
      </w:pPr>
      <w:r>
        <w:t>a) El 27 de octubre de 2020, el secretario de organización del partido político Podemos Andalucía remite un escrito a la portavoz del grupo parlamentario Adelante Andalucía en el que le comunica, entre otras cuestiones, que el 16 de octubre de 2018 se constituyó, al amparo del art. 44.2 de la Ley Orgánica del régimen electoral general, la coalición “Adelante Andalucía-Podemos-Izquierda Unida-Primavera Andaluza-Izquierda Andalucista”, para las elecciones al Parlamento de Andalucía de 3 de diciembre de 2018. Celebradas las mismas, se constituyó el grupo parlamentario Adelante Andalucía. Once diputados eran personas afiliadas y propuestas por Podemos Andalucía y seis por Izquierda Unida de Andalucía. Ocho de los diputados han causado baja en el partido político Podemos Andalucía, sin que hayan dimitido, lo que les coloca en situación de transfuguismo. Se solicita causen baja en el grupo parlamentario y se dé traslado a la mesa de la Cámara que adquiera la condición de no adscritos.</w:t>
      </w:r>
    </w:p>
    <w:p w:rsidR="00C54F26" w:rsidRDefault="00C54F26" w:rsidP="00C54F26">
      <w:pPr>
        <w:pStyle w:val="TextoNormal"/>
      </w:pPr>
    </w:p>
    <w:p w:rsidR="00C54F26" w:rsidRDefault="00C54F26" w:rsidP="00C54F26">
      <w:pPr>
        <w:pStyle w:val="TextoNormal"/>
      </w:pPr>
      <w:r>
        <w:t>b) El mismo día, la portavoz del grupo parlamentario Adelante Andalucía, comunica a la presidenta del Parlamento que los diputados recurrentes (a excepción de la diputada doña Ana Villaverde Valenciano), habían causado baja como afiliados en su formación política, y dado que ya no pertenecían al partido político/coalición electoral en cuya candidatura concurrieron a las elecciones, había procedido a cursar la baja del grupo parlamentario. Solicitaba, asimismo, se diera traslado a la mesa del Parlamento de Andalucía para que adquirieran la condición de diputados no adscritos.</w:t>
      </w:r>
    </w:p>
    <w:p w:rsidR="00C54F26" w:rsidRDefault="00C54F26" w:rsidP="00C54F26">
      <w:pPr>
        <w:pStyle w:val="TextoNormal"/>
      </w:pPr>
    </w:p>
    <w:p w:rsidR="00C54F26" w:rsidRDefault="00C54F26" w:rsidP="00C54F26">
      <w:pPr>
        <w:pStyle w:val="TextoNormal"/>
      </w:pPr>
      <w:r>
        <w:t>c) La mesa, con fecha de 28 de octubre, acuerda, conforme a lo solicitado en el escrito anterior, que los diputados a los que se refiere dicho escrito adquieran la condición de diputados no adscritos (“Boletín Oficial del Parlamento de Andalucía” núm. 451, de 11 de noviembre de 2020).</w:t>
      </w:r>
    </w:p>
    <w:p w:rsidR="00C54F26" w:rsidRDefault="00C54F26" w:rsidP="00C54F26">
      <w:pPr>
        <w:pStyle w:val="TextoNormal"/>
      </w:pPr>
    </w:p>
    <w:p w:rsidR="00C54F26" w:rsidRDefault="00C54F26" w:rsidP="00C54F26">
      <w:pPr>
        <w:pStyle w:val="TextoNormal"/>
      </w:pPr>
      <w:r>
        <w:t>d) Con fecha de 29 de octubre, los diputados afectados por dicho acuerdo interpusieron solicitud de reconsideración contra el mismo.</w:t>
      </w:r>
    </w:p>
    <w:p w:rsidR="00C54F26" w:rsidRDefault="00C54F26" w:rsidP="00C54F26">
      <w:pPr>
        <w:pStyle w:val="TextoNormal"/>
      </w:pPr>
    </w:p>
    <w:p w:rsidR="00C54F26" w:rsidRDefault="00C54F26" w:rsidP="00C54F26">
      <w:pPr>
        <w:pStyle w:val="TextoNormal"/>
      </w:pPr>
      <w:r>
        <w:t>e) Con fecha 5 de noviembre, once diputados (los ocho diputados expulsados y tres más: doña Ana Villaverde Valenciano, doña María Isabel Mora Grande, y doña María del Carmen Bueno García) presentan un escrito ante la mesa, declarando que no existía un reglamento interno de funcionamiento del grupo parlamentario Adelante Andalucía, que los acuerdos se adoptaban por consenso o, en defecto de este, por mayoría del grupo, y que no hubo nunca una reunión del mencionado grupo parlamentario que respaldara la decisión del escrito presentado por la portavoz del mismo.</w:t>
      </w:r>
    </w:p>
    <w:p w:rsidR="00C54F26" w:rsidRDefault="00C54F26" w:rsidP="00C54F26">
      <w:pPr>
        <w:pStyle w:val="TextoNormal"/>
      </w:pPr>
    </w:p>
    <w:p w:rsidR="00C54F26" w:rsidRDefault="00C54F26" w:rsidP="00C54F26">
      <w:pPr>
        <w:pStyle w:val="TextoNormal"/>
      </w:pPr>
      <w:r>
        <w:t>f) Con fecha, asimismo, de 5 de noviembre, la mesa estima parcialmente la solicitud de reconsideración y resuelve que el acuerdo de la mesa de 28 de octubre de 2020 quede sin efecto y que se requiera a la portavoz del grupo parlamentario Adelante Andalucía para que acreditase, en el plazo de dos días naturales, que los ocho diputados a los que refería su escrito de 27 de octubre habían causado baja del grupo parlamentario, como consecuencia de su baja como afiliados en su formación política.</w:t>
      </w:r>
    </w:p>
    <w:p w:rsidR="00C54F26" w:rsidRDefault="00C54F26" w:rsidP="00C54F26">
      <w:pPr>
        <w:pStyle w:val="TextoNormal"/>
      </w:pPr>
    </w:p>
    <w:p w:rsidR="00C54F26" w:rsidRDefault="00C54F26" w:rsidP="00C54F26">
      <w:pPr>
        <w:pStyle w:val="TextoNormal"/>
      </w:pPr>
      <w:r>
        <w:t>g) El 6 de noviembre, la portavoz del grupo parlamentario Adelante Andalucía, tras recibir nuevo escrito del secretario de organización del partido político Podemos Andalucía, dice que cursa la baja en el grupo parlamentario de la diputada doña Ana Villaverde Valenciano, y solicita a la mesa que adquiera la condición de diputada no adscrita.</w:t>
      </w:r>
    </w:p>
    <w:p w:rsidR="00C54F26" w:rsidRDefault="00C54F26" w:rsidP="00C54F26">
      <w:pPr>
        <w:pStyle w:val="TextoNormal"/>
      </w:pPr>
    </w:p>
    <w:p w:rsidR="00C54F26" w:rsidRDefault="00C54F26" w:rsidP="00C54F26">
      <w:pPr>
        <w:pStyle w:val="TextoNormal"/>
      </w:pPr>
      <w:r>
        <w:t>h) El 7 de noviembre de 2020, once de los diputados y diputadas del grupo parlamentario Adelante Andalucía, (los ocho diputados expulsados y tres más: doña Ana Villaverde Valenciano, doña María Isabel Mora Grande, y doña María del Carmen Bueno García) presentan un escrito poniendo en conocimiento de la mesa diversas consideraciones respecto de su pertenencia a la coalición electoral Adelante Andalucía así como los procedimientos de expulsión, no firmes, que había iniciado el partido político Podemos respecto de varios diputados.</w:t>
      </w:r>
    </w:p>
    <w:p w:rsidR="00C54F26" w:rsidRDefault="00C54F26" w:rsidP="00C54F26">
      <w:pPr>
        <w:pStyle w:val="TextoNormal"/>
      </w:pPr>
    </w:p>
    <w:p w:rsidR="00C54F26" w:rsidRDefault="00C54F26" w:rsidP="00C54F26">
      <w:pPr>
        <w:pStyle w:val="TextoNormal"/>
      </w:pPr>
      <w:r>
        <w:t>i) El 8 de noviembre de 2020, según consta en la demanda, la portavoz del grupo parlamentario presenta escrito en el que expone que la baja en el grupo parlamentario de los ocho diputados expulsados está motivada por un supuesto de transfuguismo, y adjunta al mismo un escrito del secretario de organización de Podemos Andalucía, una certificación del delegado de protección de datos de Podemos de que los diputados expulsados han causado baja en dicho partido, y documentación relativa a la presentación de dichos diputados a procesos de primarias en Podemos. Según la demanda, no aporta nada respecto del acuerdo o procedimiento para la baja del grupo parlamentario.</w:t>
      </w:r>
    </w:p>
    <w:p w:rsidR="00C54F26" w:rsidRDefault="00C54F26" w:rsidP="00C54F26">
      <w:pPr>
        <w:pStyle w:val="TextoNormal"/>
      </w:pPr>
    </w:p>
    <w:p w:rsidR="00C54F26" w:rsidRDefault="00C54F26" w:rsidP="00C54F26">
      <w:pPr>
        <w:pStyle w:val="TextoNormal"/>
      </w:pPr>
      <w:r>
        <w:t>j) El 10 de noviembre de 2020 se emite informe de la letrada adjunta al letrado mayor, en el que se considera que: a) la mesa del Parlamento de Andalucía está facultada y debe verificar antes de declarar la condición de diputado no adscrito que el mismo realmente ha causado baja en el grupo parlamentario; b) que resulta plenamente justificado que la mesa del Parlamento pida a la portavoz del grupo parlamentario que comunica la baja que acredite la realidad de la misma conforme a las normas internas de dicho grupo parlamentario, y c) que la mera baja en un partido político no puede determinar, sin más, la baja en el grupo parlamentario ya que son realidades distintas, aunque no significa que en el Parlamento de Andalucía los diputados no puedan causar baja en su grupo parlamentario por razones de transfuguismo político, pero ello solo será posible si así resulta de las normas internas por las que este se rija o a las que aquellos se hayan sometido libremente.</w:t>
      </w:r>
    </w:p>
    <w:p w:rsidR="00C54F26" w:rsidRDefault="00C54F26" w:rsidP="00C54F26">
      <w:pPr>
        <w:pStyle w:val="TextoNormal"/>
      </w:pPr>
    </w:p>
    <w:p w:rsidR="00C54F26" w:rsidRDefault="00C54F26" w:rsidP="00C54F26">
      <w:pPr>
        <w:pStyle w:val="TextoNormal"/>
      </w:pPr>
      <w:r>
        <w:t>k) Con fecha 13 de noviembre, la portavoz del grupo parlamentario Adelante Andalucía, en respuesta al requerimiento que se le realiza para que acredite la baja del grupo parlamentario de Doña Ana Villaverde, presenta escrito en el que se remite a lo ya manifestado con fecha 8 de noviembre y 11 de noviembre.</w:t>
      </w:r>
    </w:p>
    <w:p w:rsidR="00C54F26" w:rsidRDefault="00C54F26" w:rsidP="00C54F26">
      <w:pPr>
        <w:pStyle w:val="TextoNormal"/>
      </w:pPr>
    </w:p>
    <w:p w:rsidR="00C54F26" w:rsidRDefault="00C54F26" w:rsidP="00C54F26">
      <w:pPr>
        <w:pStyle w:val="TextoNormal"/>
      </w:pPr>
      <w:r>
        <w:t>l) La mesa del Parlamento, en sesión celebrada el día 18 de noviembre, resuelve, en sendos acuerdos, que los diputados recurrentes adquieran la condición de diputados no adscritos, de acuerdo con lo previsto en el art. 24.1 del Reglamento del Parlamento de Andalucía, habida cuenta de que ha quedado acreditado, con las consideraciones realizadas y la documentación aportada por la portavoz del grupo parlamentario Adelante Andalucía que los diputados han causado baja en el grupo parlamentario como consecuencia de su baja como afiliados de su formación política.</w:t>
      </w:r>
    </w:p>
    <w:p w:rsidR="00C54F26" w:rsidRDefault="00C54F26" w:rsidP="00C54F26">
      <w:pPr>
        <w:pStyle w:val="TextoNormal"/>
      </w:pPr>
    </w:p>
    <w:p w:rsidR="00C54F26" w:rsidRDefault="00C54F26" w:rsidP="00C54F26">
      <w:pPr>
        <w:pStyle w:val="TextoNormal"/>
      </w:pPr>
      <w:r>
        <w:t>m) Por acuerdos de la mesa de la Cámara de 25 de noviembre de 2020, se desestiman las solicitudes de reconsideración formuladas por los recurrentes.</w:t>
      </w:r>
    </w:p>
    <w:p w:rsidR="00C54F26" w:rsidRDefault="00C54F26" w:rsidP="00C54F26">
      <w:pPr>
        <w:pStyle w:val="TextoNormal"/>
      </w:pPr>
    </w:p>
    <w:p w:rsidR="00C54F26" w:rsidRDefault="00C54F26" w:rsidP="00C54F26">
      <w:pPr>
        <w:pStyle w:val="TextoNormal"/>
      </w:pPr>
      <w:r w:rsidRPr="00C54F26">
        <w:rPr>
          <w:rStyle w:val="NumeroAFNegritaCaracter"/>
        </w:rPr>
        <w:t>3</w:t>
      </w:r>
      <w:r>
        <w:t>. En la demanda de amparo se alega vulneración del art. 23.2 CE en relación con el art. 23.1 CE.</w:t>
      </w:r>
    </w:p>
    <w:p w:rsidR="00C54F26" w:rsidRDefault="00C54F26" w:rsidP="00C54F26">
      <w:pPr>
        <w:pStyle w:val="TextoNormal"/>
      </w:pPr>
    </w:p>
    <w:p w:rsidR="00C54F26" w:rsidRDefault="00C54F26" w:rsidP="00C54F26">
      <w:pPr>
        <w:pStyle w:val="TextoNormal"/>
      </w:pPr>
      <w:r>
        <w:t xml:space="preserve">En primer lugar, se afirma que los acuerdos inciden sobre el </w:t>
      </w:r>
      <w:r w:rsidRPr="00C54F26">
        <w:rPr>
          <w:i/>
        </w:rPr>
        <w:t>ius in officium</w:t>
      </w:r>
      <w:r>
        <w:t xml:space="preserve"> de los diputados. La demanda expone que el Reglamento del Parlamento de Andalucía prima la organización a través de los grupos parlamentarios, reservando a los mismos, o a un número importante de diputados, la iniciativa legislativa (art. 108.2 y 3), las proposiciones no de ley (art. 168), las mociones (art.157.2), presentación de enmiendas a la totalidad (art. 110.1), la participación en debates de totalidad de proyectos de ley (art.80) o convalidación de decretos-leyes, y de investidura del presidente o presidenta de la Junta. En consecuencia, cuando los recurrentes pasan a la condición de diputados no adscritos pierden la mayor parte de los derechos que tienen reconocidos en el reglamento. Además, el </w:t>
      </w:r>
      <w:r w:rsidRPr="00C54F26">
        <w:rPr>
          <w:i/>
        </w:rPr>
        <w:t>ius in officium</w:t>
      </w:r>
      <w:r>
        <w:t xml:space="preserve"> de los diputados comprende no solo su incorporación a un grupo parlamentario, sino también el derecho a no ser removidos si no es por causas y de acuerdo con procedimientos legalmente establecidos, y que tales causas tienen que ser compatibles con la Constitución (STC 28/1984, de 28 de febrero, FJ 2).</w:t>
      </w:r>
    </w:p>
    <w:p w:rsidR="00C54F26" w:rsidRDefault="00C54F26" w:rsidP="00C54F26">
      <w:pPr>
        <w:pStyle w:val="TextoNormal"/>
      </w:pPr>
    </w:p>
    <w:p w:rsidR="00C54F26" w:rsidRDefault="00C54F26" w:rsidP="00C54F26">
      <w:pPr>
        <w:pStyle w:val="TextoNormal"/>
      </w:pPr>
      <w:r>
        <w:t>La demanda cuestiona, asimismo, la propia figura de diputado no adscrito por no ser respetuosa con el derecho de participación política.</w:t>
      </w:r>
    </w:p>
    <w:p w:rsidR="00C54F26" w:rsidRDefault="00C54F26" w:rsidP="00C54F26">
      <w:pPr>
        <w:pStyle w:val="TextoNormal"/>
      </w:pPr>
    </w:p>
    <w:p w:rsidR="00C54F26" w:rsidRDefault="00C54F26" w:rsidP="00C54F26">
      <w:pPr>
        <w:pStyle w:val="TextoNormal"/>
      </w:pPr>
      <w:r>
        <w:t>En segundo lugar, se afirma la inexistencia de respaldo legal o jurisprudencial para la adopción del acuerdo de la mesa de 18 de noviembre de 2020. La demanda pone de relieve que los grupos parlamentarios (arts. 20 y ss. Reglamento del Parlamento de Andalucía) nacen de una suma de voluntades individuales y tienen naturaleza asociativa (cita las SSTC 11/1981, de 8 de abril; 132/1998, de 18 de julio, o 361/2006, de 18 de diciembre, entre otras), en la que junto a su autonomía organizativa ha de regir el principio democrático, en lo que se refiere, por ejemplo, a la adopción de las normas por las que se rigen. Y, en todo caso, es necesaria la previa definición de un procedimiento de expulsión, que es consecuencia del principio de predeterminación normativa que debe regir la configuración legal de las sanciones (SSTC 14/1998, de 22 de enero; 113/2002, de 9 de mayo; 100/2003, de 2 de junio, o 210/2005, de 18 de julio).</w:t>
      </w:r>
    </w:p>
    <w:p w:rsidR="00C54F26" w:rsidRDefault="00C54F26" w:rsidP="00C54F26">
      <w:pPr>
        <w:pStyle w:val="TextoNormal"/>
      </w:pPr>
    </w:p>
    <w:p w:rsidR="00C54F26" w:rsidRDefault="00C54F26" w:rsidP="00C54F26">
      <w:pPr>
        <w:pStyle w:val="TextoNormal"/>
      </w:pPr>
      <w:r>
        <w:t>La posibilidad de expulsión de un grupo parlamentario sin un procedimiento previamente acordado, o al menos aceptado, por los miembros del grupo parlamentario, vulneraría también la prohibición de mandato de imperativo del art. 67.2 CE, así como el art. 71.1 CE. Además, se alega que la figura del diputado no adscrito tiene naturaleza punitiva, ya que esta categoría surge con un objetivo claro: penalizar el transfuguismo político por lo que su adopción ha de regirse por los principios del art. 25 CE.</w:t>
      </w:r>
    </w:p>
    <w:p w:rsidR="00C54F26" w:rsidRDefault="00C54F26" w:rsidP="00C54F26">
      <w:pPr>
        <w:pStyle w:val="TextoNormal"/>
      </w:pPr>
    </w:p>
    <w:p w:rsidR="00C54F26" w:rsidRDefault="00C54F26" w:rsidP="00C54F26">
      <w:pPr>
        <w:pStyle w:val="TextoNormal"/>
      </w:pPr>
      <w:r>
        <w:t>La demanda considera que el silencio del Reglamento del Parlamento de Andalucía sobre la forma en que un diputado puede ser expulsado de un grupo parlamentario ha de interpretarse de forma más favorable para la efectividad del derecho fundamental, lo que supone que, conforme al principio democrático, es el grupo parlamentario el que debe aprobar por mayoría la expulsión de un diputado. Al respecto, la demanda cita una providencia del Tribunal Constitucional de 28 de febrero de 1994, de la que se infiere que el Tribunal señala la necesidad de que la expulsión de un diputado de su grupo parlamentario debe responder a una acreditada voluntad previamente formada del citado grupo.</w:t>
      </w:r>
    </w:p>
    <w:p w:rsidR="00C54F26" w:rsidRDefault="00C54F26" w:rsidP="00C54F26">
      <w:pPr>
        <w:pStyle w:val="TextoNormal"/>
      </w:pPr>
    </w:p>
    <w:p w:rsidR="00C54F26" w:rsidRDefault="00C54F26" w:rsidP="00C54F26">
      <w:pPr>
        <w:pStyle w:val="TextoNormal"/>
      </w:pPr>
      <w:r>
        <w:t>Por lo tanto, la mera comunicación del portavoz a la mesa de la Cámara sin acreditar la adopción de dicho acuerdo es insuficiente para que el órgano parlamentario admita y tramite la comunicación a los efectos pretendidos. La mesa del Parlamento de Andalucía tiene, entre sus funciones reglamentarias, ordenar la vida de la Cámara y velar por que las alteraciones en la vida de los grupos que produzcan efectos externos, se lleven a cabo con todas las garantías para los diputados afectados, ya que es una responsabilidad de los órganos parlamentarios la salvaguarda del derecho fundamental a la participación política (cita la STC 109/2016, de 7 de junio).</w:t>
      </w:r>
    </w:p>
    <w:p w:rsidR="00C54F26" w:rsidRDefault="00C54F26" w:rsidP="00C54F26">
      <w:pPr>
        <w:pStyle w:val="TextoNormal"/>
      </w:pPr>
    </w:p>
    <w:p w:rsidR="00C54F26" w:rsidRDefault="00C54F26" w:rsidP="00C54F26">
      <w:pPr>
        <w:pStyle w:val="TextoNormal"/>
      </w:pPr>
      <w:r>
        <w:t>La mesa de la Cámara, a juicio de la demanda, no ha protegido a los diputados, ya que adoptó un acuerdo sin que estuviera acreditada la expulsión del grupo parlamentario de los diputados recurrentes. En consecuencia, la mesa del Parlamento de Andalucía carecía de cobertura legal o reglamentaria para adoptar el acuerdo del 18 de noviembre de 2018, confirmado por acuerdo del 25 del mismo mes. Se alega, además, que se ignoró el asesoramiento técnico de los letrados del Parlamento de Andalucía</w:t>
      </w:r>
    </w:p>
    <w:p w:rsidR="00C54F26" w:rsidRDefault="00C54F26" w:rsidP="00C54F26">
      <w:pPr>
        <w:pStyle w:val="TextoNormal"/>
      </w:pPr>
    </w:p>
    <w:p w:rsidR="00C54F26" w:rsidRDefault="00C54F26" w:rsidP="00C54F26">
      <w:pPr>
        <w:pStyle w:val="TextoNormal"/>
      </w:pPr>
      <w:r>
        <w:t>En tercer lugar, se aduce que los acuerdos impugnados restringen los derechos fundamentales sin justificación, al adoptarse los acuerdos de la mesa, que afectan al núcleo esencial del derecho de representación, justificándolos en una certificación expedida por un partido político cuando se afirma que: “los citados diputados han causado baja en el Grupo Parlamentario Adelante Andalucía como consecuencia de su baja como afiliados de su formación política”.</w:t>
      </w:r>
    </w:p>
    <w:p w:rsidR="00C54F26" w:rsidRDefault="00C54F26" w:rsidP="00C54F26">
      <w:pPr>
        <w:pStyle w:val="TextoNormal"/>
      </w:pPr>
    </w:p>
    <w:p w:rsidR="00C54F26" w:rsidRDefault="00C54F26" w:rsidP="00C54F26">
      <w:pPr>
        <w:pStyle w:val="TextoNormal"/>
      </w:pPr>
      <w:r>
        <w:t xml:space="preserve">La demanda pone de manifiesto que, si bien es innegable la relación existente entre grupos parlamentarios y partidos políticos (art. 20.2 del Reglamento del Parlamento de Andalucía y STC 361/2006, de 18 de diciembre), las diferencias entre los mismos (STC 36/1990, de 1 de marzo) impedirían que los partidos políticos afectaran al </w:t>
      </w:r>
      <w:r w:rsidRPr="00C54F26">
        <w:rPr>
          <w:i/>
        </w:rPr>
        <w:t>ius in officium</w:t>
      </w:r>
      <w:r>
        <w:t xml:space="preserve"> de los parlamentarios.</w:t>
      </w:r>
    </w:p>
    <w:p w:rsidR="00C54F26" w:rsidRDefault="00C54F26" w:rsidP="00C54F26">
      <w:pPr>
        <w:pStyle w:val="TextoNormal"/>
      </w:pPr>
    </w:p>
    <w:p w:rsidR="00C54F26" w:rsidRDefault="00C54F26" w:rsidP="00C54F26">
      <w:pPr>
        <w:pStyle w:val="TextoNormal"/>
      </w:pPr>
      <w:r>
        <w:t>La demanda concluye reiterando que el reglamento limita los derechos de participación política de los diputados no adscritos en sus artículos 22 y 24, y no contempla para los diputados no adscritos cupos para la intervención en los Plenos; son la mesa y la junta de portavoces los que se encargarán de definirlo y relaciona las iniciativas reservadas a grupos parlamentarios.</w:t>
      </w:r>
    </w:p>
    <w:p w:rsidR="00C54F26" w:rsidRDefault="00C54F26" w:rsidP="00C54F26">
      <w:pPr>
        <w:pStyle w:val="TextoNormal"/>
      </w:pPr>
    </w:p>
    <w:p w:rsidR="00C54F26" w:rsidRDefault="00C54F26" w:rsidP="00C54F26">
      <w:pPr>
        <w:pStyle w:val="TextoNormal"/>
      </w:pPr>
      <w:r>
        <w:t>Además, hace referencia a la resolución de 25 de noviembre, por la que la mesa del Parlamento ha denegado medios materiales a los diputados recurrentes.</w:t>
      </w:r>
    </w:p>
    <w:p w:rsidR="00C54F26" w:rsidRDefault="00C54F26" w:rsidP="00C54F26">
      <w:pPr>
        <w:pStyle w:val="TextoNormal"/>
      </w:pPr>
    </w:p>
    <w:p w:rsidR="00C54F26" w:rsidRDefault="00C54F26" w:rsidP="00C54F26">
      <w:pPr>
        <w:pStyle w:val="TextoNormal"/>
      </w:pPr>
      <w:r>
        <w:t>Finalmente, la demanda solicita la pronta resolución del recurso de amparo, así como que de acuerdo con el artículo 56.6 Ley Orgánica del Tribunal Constitucional (LOTC) se acuerde con carácter urgente la suspensión de los efectos de los acuerdos de la mesa del Parlamento de Andalucía, de 18 de noviembre y de 25 de noviembre de 2020, y los diputados recurrentes sean readmitidos en el grupo parlamentario Adelante Andalucía con toda restitución de los derechos que tenían anteriormente a su expulsión por los acuerdos recurridos. En caso de no estimarse la suspensión del art. 56.6 LOTC, subsidiariamente y hasta que se dicte sentencia en el presente recurso de amparo, solicita que se suspendan urgentemente (art. 56.2 LOTC) los efectos de los acuerdos de 18 y 25 de noviembre de 2020. Alternativamente, que en virtud del art. 56.3 LOTC se inste a la presidencia del Parlamento de Andalucía a que hasta la resolución del presente recurso se suspendan los efectos de dichos acuerdos y los diputados recurrentes sean readmitidos en el grupo parlamentario Adelante Andalucía con toda restitución de los derechos que tenían anteriormente a su expulsión por los acuerdos recurridos.</w:t>
      </w:r>
    </w:p>
    <w:p w:rsidR="00C54F26" w:rsidRDefault="00C54F26" w:rsidP="00C54F26">
      <w:pPr>
        <w:pStyle w:val="TextoNormal"/>
      </w:pPr>
    </w:p>
    <w:p w:rsidR="00C54F26" w:rsidRDefault="00C54F26" w:rsidP="00C54F26">
      <w:pPr>
        <w:pStyle w:val="TextoNormal"/>
      </w:pPr>
      <w:r>
        <w:t>Las razones por las que solicita la suspensión son las siguientes.</w:t>
      </w:r>
    </w:p>
    <w:p w:rsidR="00C54F26" w:rsidRDefault="00C54F26" w:rsidP="00C54F26">
      <w:pPr>
        <w:pStyle w:val="TextoNormal"/>
      </w:pPr>
    </w:p>
    <w:p w:rsidR="00C54F26" w:rsidRDefault="00C54F26" w:rsidP="00C54F26">
      <w:pPr>
        <w:pStyle w:val="TextoNormal"/>
      </w:pPr>
      <w:r>
        <w:t>Consideran los recurrentes que, sin entrar a dirimir el fondo del asunto, resulta evidente que los acuerdos de 18 y 25 de noviembre de 2020 de la mesa del Parlamento de Andalucía no encuentran fundamento legal ni en la Constitución, ni en el Estatuto de Autonomía, ni en el Reglamento del Parlamento de Andalucía, y suponen una restricción del derecho fundamental recogido en el art. 23.1 y 2 CE de los diputados recurrentes. Añaden que tratándose de una cuestión básicamente jurídica y no fáctica, el análisis que puede efectuarse en fase cautelar, “puede resultar bastante aproximado de lo que pudiera ser la resolución final del procedimiento, sin que ello comprometa en ningún caso la decisión que finalmente se adopte”.</w:t>
      </w:r>
    </w:p>
    <w:p w:rsidR="00C54F26" w:rsidRDefault="00C54F26" w:rsidP="00C54F26">
      <w:pPr>
        <w:pStyle w:val="TextoNormal"/>
      </w:pPr>
    </w:p>
    <w:p w:rsidR="00C54F26" w:rsidRDefault="00C54F26" w:rsidP="00C54F26">
      <w:pPr>
        <w:pStyle w:val="TextoNormal"/>
      </w:pPr>
      <w:r>
        <w:t>Afirman que nos hallamos ante unos acuerdos de la mesa del Parlamento de Andalucía en los que los efectos de dicha ejecución están causando a los diputados recurrentes unos perjuicios de imposible reparación, pues dicha ejecución se extiende en el tiempo que queda de legislatura a la hora de ejercer sus derechos políticos que se ven extraordinariamente limitados. Por tanto, si no se produce la suspensión de dichos acuerdos los efectos de la estimación del amparo serían meramente declarativos.</w:t>
      </w:r>
    </w:p>
    <w:p w:rsidR="00C54F26" w:rsidRDefault="00C54F26" w:rsidP="00C54F26">
      <w:pPr>
        <w:pStyle w:val="TextoNormal"/>
      </w:pPr>
    </w:p>
    <w:p w:rsidR="00C54F26" w:rsidRDefault="00C54F26" w:rsidP="00C54F26">
      <w:pPr>
        <w:pStyle w:val="TextoNormal"/>
      </w:pPr>
      <w:r>
        <w:t>Insisten en que los acuerdos afectan al desempeño del núcleo esencial de las funciones públicas de representación parlamentaria. Así, señalan como ejemplo que se está negociando entre los grupos parlamentarios una modificación del reglamento para introducir el pretendido nuevo “pacto antitransfuguismo”, sin que se haya facilitado copia a los diputados recurrentes, que desconocen por completo lo que se está negociando.</w:t>
      </w:r>
    </w:p>
    <w:p w:rsidR="00C54F26" w:rsidRDefault="00C54F26" w:rsidP="00C54F26">
      <w:pPr>
        <w:pStyle w:val="TextoNormal"/>
      </w:pPr>
    </w:p>
    <w:p w:rsidR="00C54F26" w:rsidRDefault="00C54F26" w:rsidP="00C54F26">
      <w:pPr>
        <w:pStyle w:val="TextoNormal"/>
      </w:pPr>
      <w:r>
        <w:t xml:space="preserve">A continuación señalan que los acuerdos de la mesa del Parlamento de Andalucía impugnados son en sí mismos un grave atentado al interés general, pues en tanto estén desplegando sus efectos, despojan a miles de ciudadanos del derecho fundamental a la participación política. Los diputados no adscritos no han sido sustituidos por otros electos con su </w:t>
      </w:r>
      <w:r w:rsidRPr="00C54F26">
        <w:rPr>
          <w:i/>
        </w:rPr>
        <w:t>ius in officium</w:t>
      </w:r>
      <w:r>
        <w:t xml:space="preserve"> intacto, sino que permanecen en sus cargos, si bien condenados al ostracismo parlamentario. Añaden que la suspensión de los acuerdos impugnados no afectaría a derechos de terceros.</w:t>
      </w:r>
    </w:p>
    <w:p w:rsidR="00C54F26" w:rsidRDefault="00C54F26" w:rsidP="00C54F26">
      <w:pPr>
        <w:pStyle w:val="TextoNormal"/>
      </w:pPr>
    </w:p>
    <w:p w:rsidR="00C54F26" w:rsidRDefault="00C54F26" w:rsidP="00C54F26">
      <w:pPr>
        <w:pStyle w:val="TextoNormal"/>
      </w:pPr>
      <w:r w:rsidRPr="00C54F26">
        <w:rPr>
          <w:rStyle w:val="NumeroAFNegritaCaracter"/>
        </w:rPr>
        <w:t>4</w:t>
      </w:r>
      <w:r>
        <w:t>. La Sección Primera de este tribunal, por providencia de 10 de mayo de 2021, acordó admitir a trámite el recurso de amparo, apreciando que concurre en el mismo una especial trascendencia constitucional (art. 50.1 de la Ley Orgánica del Tribunal Constitucional) porque el recurso plantea un problema o afecta a una faceta de un derecho fundamental sobre el que no hay doctrina de este tribunal [STC 155/2009, FJ 2, a)] y el asunto suscitado trasciende del caso concreto porque pudiera tener unas consecuencias políticas generales [STC 155/2009, FJ 2, g)].</w:t>
      </w:r>
    </w:p>
    <w:p w:rsidR="00C54F26" w:rsidRDefault="00C54F26" w:rsidP="00C54F26">
      <w:pPr>
        <w:pStyle w:val="TextoNormal"/>
      </w:pPr>
    </w:p>
    <w:p w:rsidR="00C54F26" w:rsidRDefault="00C54F26" w:rsidP="00C54F26">
      <w:pPr>
        <w:pStyle w:val="TextoNormal"/>
      </w:pPr>
      <w:r>
        <w:t>Por ello, en aplicación de lo dispuesto en el art. 51 LOTC, se acordó dirigir comunicación al presidente del Parlamento de Andalucía a fin de que en el plazo de diez días remita testimonio de los expedientes correspondientes a los acuerdos de la mesa del citado Parlamento de 18 de noviembre de 2020y de 25 de noviembre de 2020, con remisión de copia de la demanda para conocimiento de la mesa del Parlamento de Andalucía, a efectos de su personación en el presente proceso constitucional en el citado plazo.</w:t>
      </w:r>
    </w:p>
    <w:p w:rsidR="00C54F26" w:rsidRDefault="00C54F26" w:rsidP="00C54F26">
      <w:pPr>
        <w:pStyle w:val="TextoNormal"/>
      </w:pPr>
    </w:p>
    <w:p w:rsidR="00C54F26" w:rsidRDefault="00C54F26" w:rsidP="00C54F26">
      <w:pPr>
        <w:pStyle w:val="TextoNormal"/>
      </w:pPr>
      <w:r>
        <w:t xml:space="preserve">En relación con la solicitud de suspensión formulada en la demanda de amparo, mediante otrosí, la Sección no aprecia la urgencia excepcional a la que se refiere el art. 56.6 LOTC, que justificaría su adopción </w:t>
      </w:r>
      <w:r w:rsidRPr="00C54F26">
        <w:rPr>
          <w:i/>
        </w:rPr>
        <w:t>inaudita parte</w:t>
      </w:r>
      <w:r>
        <w:t xml:space="preserve"> de forma inmotivada, por lo que, a fin de resolver sobre la misma, procede formar la oportuna pieza separada.</w:t>
      </w:r>
    </w:p>
    <w:p w:rsidR="00C54F26" w:rsidRDefault="00C54F26" w:rsidP="00C54F26">
      <w:pPr>
        <w:pStyle w:val="TextoNormal"/>
      </w:pPr>
    </w:p>
    <w:p w:rsidR="00C54F26" w:rsidRDefault="00C54F26" w:rsidP="00C54F26">
      <w:pPr>
        <w:pStyle w:val="TextoNormal"/>
      </w:pPr>
      <w:r>
        <w:t>Por providencia de la misma fecha, 10 de mayo de 2021, la Sección Primera acordó formar la correspondiente pieza separada de suspensión y, de conformidad con lo prevenido en el art. 56 LOTC, conceder un plazo común de tres días, al Ministerio Fiscal y al solicitante del amparo, para que dentro de dicho término aleguen lo que estimen pertinente en relación con la petición de suspensión interesada.</w:t>
      </w:r>
    </w:p>
    <w:p w:rsidR="00C54F26" w:rsidRDefault="00C54F26" w:rsidP="00C54F26">
      <w:pPr>
        <w:pStyle w:val="TextoNormal"/>
      </w:pPr>
    </w:p>
    <w:p w:rsidR="00C54F26" w:rsidRDefault="00C54F26" w:rsidP="00C54F26">
      <w:pPr>
        <w:pStyle w:val="TextoNormal"/>
      </w:pPr>
      <w:r w:rsidRPr="00C54F26">
        <w:rPr>
          <w:rStyle w:val="NumeroAFNegritaCaracter"/>
        </w:rPr>
        <w:t>5</w:t>
      </w:r>
      <w:r>
        <w:t>. Por diligencia de ordenación del secretario de justicia de la Sala Primera de 14 de mayo de 2021, al haberse personado en las actuaciones principales del presente recurso el Parlamento de Andalucía, por medio de su letrado mayor, de conformidad con el art. 56 LOTC, se concedió un plazo de tres días a dicha parte, para que dentro de dicho término alegue lo que estime pertinente en relación con la petición de suspensión interesada por la parte recurrente.</w:t>
      </w:r>
    </w:p>
    <w:p w:rsidR="00C54F26" w:rsidRDefault="00C54F26" w:rsidP="00C54F26">
      <w:pPr>
        <w:pStyle w:val="TextoNormal"/>
      </w:pPr>
    </w:p>
    <w:p w:rsidR="00C54F26" w:rsidRDefault="00C54F26" w:rsidP="00C54F26">
      <w:pPr>
        <w:pStyle w:val="TextoNormal"/>
      </w:pPr>
      <w:r w:rsidRPr="00C54F26">
        <w:rPr>
          <w:rStyle w:val="NumeroAFNegritaCaracter"/>
        </w:rPr>
        <w:t>6</w:t>
      </w:r>
      <w:r>
        <w:t>. Por escrito presentado el 17 de mayo de 2021, la procuradora de los tribunales doña Virginia Sánchez de León Herencia, en nombre de doña María Teresa Rodríguez-Rubio Vázquez y otros, reiteró la petición de suspensión solicitada. Insisten en su escrito en señalar que nos hallamos ante unos acuerdos de la mesa del Parlamento de Andalucía en los que los efectos de dicha ejecución están causando a los diputados recurrentes unos perjuicios de imposible reparación, puesto que dicha ejecución no se ha producido y agotado con la adopción de los acuerdos recurridos, sino que se extienden en el tiempo que queda de legislatura a la hora de ejercer sus derechos políticos, que se ven extraordinariamente limitados.</w:t>
      </w:r>
    </w:p>
    <w:p w:rsidR="00C54F26" w:rsidRDefault="00C54F26" w:rsidP="00C54F26">
      <w:pPr>
        <w:pStyle w:val="TextoNormal"/>
      </w:pPr>
    </w:p>
    <w:p w:rsidR="00C54F26" w:rsidRDefault="00C54F26" w:rsidP="00C54F26">
      <w:pPr>
        <w:pStyle w:val="TextoNormal"/>
      </w:pPr>
      <w:r>
        <w:t>Señalan que los diputados no adscritos no pueden presentar iniciativas reservadas a grupos parlamentarios, como proposiciones de ley, enmiendas a la totalidad a proyectos de ley, asumir enmiendas de iniciativas ciudadanas, votos particulares y enmiendas a la totalidad de iniciativas legislativas, iniciativas de impulso a la acción del gobierno, enmiendas a proposiciones no de ley, etc.</w:t>
      </w:r>
    </w:p>
    <w:p w:rsidR="00C54F26" w:rsidRDefault="00C54F26" w:rsidP="00C54F26">
      <w:pPr>
        <w:pStyle w:val="TextoNormal"/>
      </w:pPr>
    </w:p>
    <w:p w:rsidR="00C54F26" w:rsidRDefault="00C54F26" w:rsidP="00C54F26">
      <w:pPr>
        <w:pStyle w:val="TextoNormal"/>
      </w:pPr>
      <w:r>
        <w:t xml:space="preserve">Afirman que se están produciendo en la práctica, por parte de la mesa del Parlamento de Andalucía, una serie de limitaciones o restricciones del </w:t>
      </w:r>
      <w:r w:rsidRPr="00C54F26">
        <w:rPr>
          <w:i/>
        </w:rPr>
        <w:t>ius in officium</w:t>
      </w:r>
      <w:r>
        <w:t xml:space="preserve"> de los diputados recurrentes que se concretan en los siguientes actos:</w:t>
      </w:r>
    </w:p>
    <w:p w:rsidR="00C54F26" w:rsidRDefault="00C54F26" w:rsidP="00C54F26">
      <w:pPr>
        <w:pStyle w:val="TextoNormal"/>
      </w:pPr>
    </w:p>
    <w:p w:rsidR="00C54F26" w:rsidRDefault="00C54F26" w:rsidP="00C54F26">
      <w:pPr>
        <w:pStyle w:val="TextoNormal"/>
      </w:pPr>
      <w:r>
        <w:t>-Actos que limitan o anulan el ejercicio de la capacidad legislativa. Entre ellos señalan la limitación de defender enmiendas y de registrar y tramitar iniciativas legislativas.</w:t>
      </w:r>
    </w:p>
    <w:p w:rsidR="00C54F26" w:rsidRDefault="00C54F26" w:rsidP="00C54F26">
      <w:pPr>
        <w:pStyle w:val="TextoNormal"/>
      </w:pPr>
    </w:p>
    <w:p w:rsidR="00C54F26" w:rsidRDefault="00C54F26" w:rsidP="00C54F26">
      <w:pPr>
        <w:pStyle w:val="TextoNormal"/>
      </w:pPr>
      <w:r>
        <w:t>-Actos que limitan o anulan el control sobre la acción del Consejo de Gobierno y sobre la acción de la administración situada bajo su autoridad. Aquí mencionan la denegación de interpelaciones, de comparecencias, de comparecencias por acumulación, de preguntas orales, de información de la toma de decisiones de la mesa y la expulsión de todas las comisiones.</w:t>
      </w:r>
    </w:p>
    <w:p w:rsidR="00C54F26" w:rsidRDefault="00C54F26" w:rsidP="00C54F26">
      <w:pPr>
        <w:pStyle w:val="TextoNormal"/>
      </w:pPr>
    </w:p>
    <w:p w:rsidR="00C54F26" w:rsidRDefault="00C54F26" w:rsidP="00C54F26">
      <w:pPr>
        <w:pStyle w:val="TextoNormal"/>
      </w:pPr>
      <w:r>
        <w:t>-Limitación de recursos y medios materiales que impiden el ejercicio de las funciones de diputados a los recurrentes. Señalan que la mesa del Parlamento ha denegado despacho para cada diputado, así como sala de reuniones para poder atender a los colectivos o ciudadanos que requieren de su intervención.</w:t>
      </w:r>
    </w:p>
    <w:p w:rsidR="00C54F26" w:rsidRDefault="00C54F26" w:rsidP="00C54F26">
      <w:pPr>
        <w:pStyle w:val="TextoNormal"/>
      </w:pPr>
    </w:p>
    <w:p w:rsidR="00C54F26" w:rsidRDefault="00C54F26" w:rsidP="00C54F26">
      <w:pPr>
        <w:pStyle w:val="TextoNormal"/>
      </w:pPr>
      <w:r w:rsidRPr="00C54F26">
        <w:rPr>
          <w:rStyle w:val="NumeroAFNegritaCaracter"/>
        </w:rPr>
        <w:t>7</w:t>
      </w:r>
      <w:r>
        <w:t>. La fiscal ante el Tribunal Constitucional presentó su escrito de alegaciones el 19 de mayo de 2021.</w:t>
      </w:r>
    </w:p>
    <w:p w:rsidR="00C54F26" w:rsidRDefault="00C54F26" w:rsidP="00C54F26">
      <w:pPr>
        <w:pStyle w:val="TextoNormal"/>
      </w:pPr>
    </w:p>
    <w:p w:rsidR="00C54F26" w:rsidRDefault="00C54F26" w:rsidP="00C54F26">
      <w:pPr>
        <w:pStyle w:val="TextoNormal"/>
      </w:pPr>
      <w:r>
        <w:t>Tras exponer la doctrina constitucional sobre la aplicación de la medida de suspensión de los actos de los poderes públicos y resoluciones judiciales impugnados en amparo y los argumentos en los que los recurrentes sustentan la solicitud de la medida cautelar de suspensión, la fiscal expone las razones por las que considera que no resulta procedente su admisión.</w:t>
      </w:r>
    </w:p>
    <w:p w:rsidR="00C54F26" w:rsidRDefault="00C54F26" w:rsidP="00C54F26">
      <w:pPr>
        <w:pStyle w:val="TextoNormal"/>
      </w:pPr>
    </w:p>
    <w:p w:rsidR="00C54F26" w:rsidRDefault="00C54F26" w:rsidP="00C54F26">
      <w:pPr>
        <w:pStyle w:val="TextoNormal"/>
      </w:pPr>
      <w:r>
        <w:t>Indica que en el presente caso el perjuicio irreparable invocado se centra en las limitaciones que se derivan para los recurrentes en el ejercicio de la función parlamentaria como consecuencia de que los acuerdos parlamentarios recurridos les han asignado la condición de diputados no adscritos. Señala que las limitaciones en el desempeño del cargo parlamentario de los diputados no adscritos, respecto de los diputados integrados en un grupo parlamentario, afectan, primordialmente, al número de iniciativas parlamentarias que les son atribuidas, si bien no implican que los diputados recurrentes no puedan ejercer la función parlamentaria y, en particular, ejercer sus derechos de voto en la Cámara. La posibilidad de que el recurso de amparo carezca de toda virtualidad, si resulta estimada la vulneración del derecho al ejercicio del cargo parlamentario, cuando se haya acabado la legislatura, es tan solo una conjetura sobre el tiempo que puede emplear el tribunal en dictar sentencia que no puede ser acogida para estimar acreditado que, si no se concede la suspensión cautelar de los acuerdos parlamentarios, el recurso de amparo carecerá de toda efectividad para la reparación del derecho fundamental.</w:t>
      </w:r>
    </w:p>
    <w:p w:rsidR="00C54F26" w:rsidRDefault="00C54F26" w:rsidP="00C54F26">
      <w:pPr>
        <w:pStyle w:val="TextoNormal"/>
      </w:pPr>
    </w:p>
    <w:p w:rsidR="00C54F26" w:rsidRDefault="00C54F26" w:rsidP="00C54F26">
      <w:pPr>
        <w:pStyle w:val="TextoNormal"/>
      </w:pPr>
      <w:r>
        <w:t>Añade que no corresponde en este trámite sobre la adopción de la medida cautelar de suspensión solicitada por los recurrentes, entrar en el examen anticipado de la cuestión de fondo, sobre la existencia de la lesión del derecho fundamental del art. 23.2 CE, supuestamente causada por los acuerdos impugnados. A su juicio, en el presente caso la adopción de la medida cautelar de suspensión de los acuerdos impugnados supone anticipar el examen de la cuestión de fondo que se suscita por los recurrentes en el recurso de amparo, al considerar que la mesa del Parlamento de Andalucía carecía de base normativa en el reglamento para haberles dado de baja en el Grupo Parlamentario Adelante Andalucía, y pasarles a la condición de diputados no adscritos, viniendo a anticipar, en su caso, la suspensión de efectos de los acuerdos de la mesa y la reintegración de los demandantes al Grupo Parlamentario Adelante Andalucía la resolución que ha de dictarse sobre el fondo del recurso.</w:t>
      </w:r>
    </w:p>
    <w:p w:rsidR="00C54F26" w:rsidRDefault="00C54F26" w:rsidP="00C54F26">
      <w:pPr>
        <w:pStyle w:val="TextoNormal"/>
      </w:pPr>
    </w:p>
    <w:p w:rsidR="00C54F26" w:rsidRDefault="00C54F26" w:rsidP="00C54F26">
      <w:pPr>
        <w:pStyle w:val="TextoNormal"/>
      </w:pPr>
      <w:r>
        <w:t>Por todo ello, estima que no resulta procedente admitir la medida cautelar de suspensión.</w:t>
      </w:r>
    </w:p>
    <w:p w:rsidR="00C54F26" w:rsidRDefault="00C54F26" w:rsidP="00C54F26">
      <w:pPr>
        <w:pStyle w:val="TextoNormal"/>
      </w:pPr>
    </w:p>
    <w:p w:rsidR="00C54F26" w:rsidRDefault="00C54F26" w:rsidP="00C54F26">
      <w:pPr>
        <w:pStyle w:val="TextoNormal"/>
      </w:pPr>
      <w:r w:rsidRPr="00C54F26">
        <w:rPr>
          <w:rStyle w:val="NumeroAFNegritaCaracter"/>
        </w:rPr>
        <w:t>8</w:t>
      </w:r>
      <w:r>
        <w:t>. El 26 de mayo de 2021 presentó escrito de alegaciones el letrado mayor del Parlamento de Andalucía.</w:t>
      </w:r>
    </w:p>
    <w:p w:rsidR="00C54F26" w:rsidRDefault="00C54F26" w:rsidP="00C54F26">
      <w:pPr>
        <w:pStyle w:val="TextoNormal"/>
      </w:pPr>
    </w:p>
    <w:p w:rsidR="00C54F26" w:rsidRDefault="00C54F26" w:rsidP="00C54F26">
      <w:pPr>
        <w:pStyle w:val="TextoNormal"/>
      </w:pPr>
      <w:r>
        <w:t>Tras exponer la doctrina constitucional sobre la suspensión de la ejecución de los actos recurridos en amparo, señala que existe un supuesto en el que determinados perjuicios que podrían producir a los recurrentes los acuerdos impugnados no podrían ser en ningún caso enervados, ni siquiera hacia el futuro, por el otorgamiento del amparo. Esto se produciría en el caso de que el amparo se otorgue una vez concluida la presente legislatura del Parlamento de Andalucía.</w:t>
      </w:r>
    </w:p>
    <w:p w:rsidR="00C54F26" w:rsidRDefault="00C54F26" w:rsidP="00C54F26">
      <w:pPr>
        <w:pStyle w:val="TextoNormal"/>
      </w:pPr>
    </w:p>
    <w:p w:rsidR="00C54F26" w:rsidRDefault="00C54F26" w:rsidP="00C54F26">
      <w:pPr>
        <w:pStyle w:val="TextoNormal"/>
      </w:pPr>
      <w:r>
        <w:t>Sin embargo, entiende que aún en ese caso no resulta posible acceder a la suspensión solicitada. Si se accediera a la suspensión sobre la base de que la legislatura va a concluir antes de la sentencia, ello significaría, a su juicio, que se estaría accediendo a la solicitud de suspensión sobre la base de que esta se va a mantener durante toda la legislatura. De este modo, considera que se estaría otorgando el amparo solicitado de manera anticipada y con carácter definitivo, precisamente porque la suspensión se mantendría hasta el final de la legislatura. Con esta solución quedaría desprovista de toda relevancia y eficacia una sentencia que denegase el amparo, porque ya habría terminado la legislatura y, hasta ese momento y desde el otorgamiento de la suspensión, los acuerdos recurridos en amparo habrían quedado privados de todo efecto.</w:t>
      </w:r>
    </w:p>
    <w:p w:rsidR="00C54F26" w:rsidRDefault="00C54F26" w:rsidP="00C54F26">
      <w:pPr>
        <w:pStyle w:val="TextoNormal"/>
      </w:pPr>
    </w:p>
    <w:p w:rsidR="00C54F26" w:rsidRDefault="00C54F26" w:rsidP="00C54F26">
      <w:pPr>
        <w:pStyle w:val="TextoNormal"/>
      </w:pPr>
      <w:r>
        <w:t>Señala que el amparo y la suspensión que se solicitan coinciden sustancialmente en su objeto. En ambos casos, lo que se pide, en esencia, es que se dejen sin efectos los acuerdos impugnados y que los diputados recurrentes sean inmediatamente readmitidos y pasen a formar parte del Grupo Parlamentario Adelante Andalucía. Por ello, considera que si se accediera a la suspensión hasta la finalización de la legislatura, lo que se estaría produciendo, en realidad, es un otorgamiento anticipado del amparo.</w:t>
      </w:r>
    </w:p>
    <w:p w:rsidR="00C54F26" w:rsidRDefault="00C54F26" w:rsidP="00C54F26">
      <w:pPr>
        <w:pStyle w:val="TextoNormal"/>
      </w:pPr>
    </w:p>
    <w:p w:rsidR="00C54F26" w:rsidRDefault="00C54F26" w:rsidP="00C54F26">
      <w:pPr>
        <w:pStyle w:val="TextoNormal"/>
      </w:pPr>
      <w:r>
        <w:t>Por otro lado, indica el letrado mayor del Parlamento de Andalucía, que como consecuencia de los acuerdos recurridos en amparo de lo que se priva a cada uno de los recurrentes es de la posibilidad de formar parte de un grupo parlamentario, no de ejercer las facultades propias de este, que, lógicamente, corresponden precisamente al grupo parlamentario. Ello limita indudablemente el alcance de la restricción de sus derechos parlamentarios por los acuerdos impugnados, frente a lo que de manera confusa y ambigua se expresa en la demanda de amparo.</w:t>
      </w:r>
    </w:p>
    <w:p w:rsidR="00C54F26" w:rsidRDefault="00C54F26" w:rsidP="00C54F26">
      <w:pPr>
        <w:pStyle w:val="TextoNormal"/>
      </w:pPr>
    </w:p>
    <w:p w:rsidR="00C54F26" w:rsidRDefault="00C54F26" w:rsidP="00C54F26">
      <w:pPr>
        <w:pStyle w:val="TextoNormal"/>
      </w:pPr>
      <w:r>
        <w:t>Recuerda la doctrina constitucional en relación con el fenómeno del transfuguismo y cita en este sentido las SSTC 159/2019, 12 de diciembre; 246/2012, de 20 de diciembre, y 151/2017, de 21 de diciembre. Y, aplicando esta doctrina al presente supuesto, señala que los acuerdos impugnados en amparo han determinado que los recurrentes adquieran la condición de diputados no adscritos como consecuencia, en última instancia, de su condición de tránsfugas, esto es, por haber causado baja como afiliados de la formación política a la que pertenecían y que era integrante de la coalición electoral en cuya candidatura concurrieron a las elecciones. En consecuencia, a su juicio, si se suspendiera la ejecución de los acuerdos impugnados en amparo, y los recurrentes volvieran a incorporarse al Grupo Parlamentario Adelante Andalucía y dejasen de ser diputados no adscritos, se estaría mermando la eficacia de una medida que tiene por objeto y finalidad esencial, precisamente, la lucha contra el transfuguismo y sus efectos que, conforme a la doctrina constitucional, se configura como una finalidad constitucional legítima, como un interés general constitucionalmente reconocido, digno de protección, en cuanto que de ese modo, se está también protegiendo a aquellos ciudadanos que concedieron su voto a una candidatura presentada por una determinada formación política.</w:t>
      </w:r>
    </w:p>
    <w:p w:rsidR="00C54F26" w:rsidRDefault="00C54F26" w:rsidP="00C54F26">
      <w:pPr>
        <w:pStyle w:val="TextoNormal"/>
      </w:pPr>
    </w:p>
    <w:p w:rsidR="00C54F26" w:rsidRDefault="00C54F26" w:rsidP="00C54F26">
      <w:pPr>
        <w:pStyle w:val="TextoNormal"/>
      </w:pPr>
      <w:r>
        <w:t>Considera que la suspensión de los acuerdos recurridos en amparo puede provocar perjuicios graves para intereses constitucionalmente protegidos y derechos fundamentales y libertades de terceros, perjuicios graves que resultan de los efectos intolerables que el transfuguismo puede provocar desestabilizando la vida parlamentaria y defraudando la voluntad popular.</w:t>
      </w:r>
    </w:p>
    <w:p w:rsidR="00C54F26" w:rsidRDefault="00C54F26" w:rsidP="00C54F26">
      <w:pPr>
        <w:pStyle w:val="TextoNormal"/>
      </w:pPr>
    </w:p>
    <w:p w:rsidR="00C54F26" w:rsidRDefault="00C54F26" w:rsidP="00C54F26">
      <w:pPr>
        <w:pStyle w:val="TextoNormal"/>
      </w:pPr>
      <w:r>
        <w:t>Señala que sin perjuicio de las limitaciones que los recurrentes en amparo sufren en el ejercicio de su actividad parlamentaria, aquellos pueden seguir ejerciendo sus derechos representativos esenciales y pueden seguir haciendo valer los intereses de los concretos votantes de la formación política por la que resultaron elegidos.</w:t>
      </w:r>
    </w:p>
    <w:p w:rsidR="00C54F26" w:rsidRDefault="00C54F26" w:rsidP="00C54F26">
      <w:pPr>
        <w:pStyle w:val="TextoNormal"/>
      </w:pPr>
    </w:p>
    <w:p w:rsidR="00C54F26" w:rsidRDefault="00C54F26" w:rsidP="00C54F26">
      <w:pPr>
        <w:pStyle w:val="TextoNormal"/>
      </w:pPr>
      <w:r>
        <w:t>Además pone de manifiesto que no es cierto que los diputados no adscritos no puedan presentar enmiendas a iniciativas legislativas, como se desprende del art. 113.1 del Reglamento del Parlamento de Andalucía; que se les ha reconocido, como a todos los demás diputados, conforme al art. 161.2.2 de dicho reglamento, el cupo de dos preguntas orales en Pleno por cada diputado en cada período de sesiones, habiendo sido incluidas dichas preguntas en el orden del día de los correspondientes Plenos; y que cada uno de los diputados no adscritos forma parte de una comisión del Parlamento de Andalucía, a la que ha sido asignado por la mesa del Parlamento de Andalucía, oída la junta de portavoces, de acuerdo con las vacantes existentes.</w:t>
      </w:r>
    </w:p>
    <w:p w:rsidR="00C54F26" w:rsidRDefault="00C54F26" w:rsidP="00C54F26">
      <w:pPr>
        <w:pStyle w:val="TextoNormal"/>
      </w:pPr>
    </w:p>
    <w:p w:rsidR="00C54F26" w:rsidRDefault="00C54F26" w:rsidP="00C54F26">
      <w:pPr>
        <w:pStyle w:val="TextoNormal"/>
      </w:pPr>
      <w:r w:rsidRPr="00C54F26">
        <w:rPr>
          <w:rStyle w:val="NumeroAFNegritaCaracter"/>
        </w:rPr>
        <w:t>9</w:t>
      </w:r>
      <w:r>
        <w:t>. Por diligencia de ordenación del secretario de justicia de la Sala Primera de 28 de mayo de 2021, al haberse personado en las actuaciones principales del presente recurso el procurador don José Miguel Martínez-Fresneda Gambara en nombre y representación del Grupo Parlamentario Adelante Andalucía, de conformidad con el art. 56 LOTC, se concede un plazo de tres días a dicha parte, para que dentro de ese término alegue lo que estime pertinente en relación con la petición de suspensión interesada por la parte recurrente.</w:t>
      </w:r>
    </w:p>
    <w:p w:rsidR="00C54F26" w:rsidRDefault="00C54F26" w:rsidP="00C54F26">
      <w:pPr>
        <w:pStyle w:val="TextoNormal"/>
      </w:pPr>
    </w:p>
    <w:p w:rsidR="00C54F26" w:rsidRDefault="00C54F26" w:rsidP="00C54F26">
      <w:pPr>
        <w:pStyle w:val="TextoNormal"/>
      </w:pPr>
      <w:r w:rsidRPr="00C54F26">
        <w:rPr>
          <w:rStyle w:val="NumeroAFNegritaCaracter"/>
        </w:rPr>
        <w:t>10</w:t>
      </w:r>
      <w:r>
        <w:t>. El 7 de junio de 2021 presentó su escrito de alegaciones el Grupo Parlamentario Adelante Andalucía, en el que pone de manifiesto que la medida cautelar interesada por la parte recurrente solicitando la suspensión de los acuerdos impugnados observa identidad manifiesta con la pretensión principal del recurso de amparo, tanto en el objeto como en la argumentación con la que se justifica.</w:t>
      </w:r>
    </w:p>
    <w:p w:rsidR="00C54F26" w:rsidRDefault="00C54F26" w:rsidP="00C54F26">
      <w:pPr>
        <w:pStyle w:val="TextoNormal"/>
      </w:pPr>
    </w:p>
    <w:p w:rsidR="00C54F26" w:rsidRDefault="00C54F26" w:rsidP="00C54F26">
      <w:pPr>
        <w:pStyle w:val="TextoNormal"/>
      </w:pPr>
      <w:r>
        <w:t>Señala que no puede tener cabida como justificación que ampare la viabilidad de una suspensión cautelar el peligro en la demora de la resolución del procedimiento de amparo, pues la argumentación con la que pretenden invocar tal riesgo y que fundamentan en la preclusividad que comporta en los asuntos de origen parlamentario el final de la legislatura, arrojaría un automatismo en la adopción de medidas cautelares de todas las causas de origen parlamentario que arranquen superado cierto tramo de la legislatura.</w:t>
      </w:r>
    </w:p>
    <w:p w:rsidR="00C54F26" w:rsidRDefault="00C54F26" w:rsidP="00C54F26">
      <w:pPr>
        <w:pStyle w:val="TextoNormal"/>
      </w:pPr>
    </w:p>
    <w:p w:rsidR="00C54F26" w:rsidRDefault="00C54F26" w:rsidP="00C54F26">
      <w:pPr>
        <w:pStyle w:val="TextoNormal"/>
      </w:pPr>
      <w:r>
        <w:t>Por otro lado, destaca que las restricciones de derechos que alegan los recurrentes dimanantes de la ejecución de los actos impugnados, en modo alguno interfieren en sus derechos como parlamentarios individualmente considerados, sino que únicamente afectan a la imposibilidad de participar de los derechos propios de los grupos parlamentarios.</w:t>
      </w:r>
    </w:p>
    <w:p w:rsidR="00C54F26" w:rsidRDefault="00C54F26" w:rsidP="00C54F26">
      <w:pPr>
        <w:pStyle w:val="TextoNormal"/>
      </w:pPr>
    </w:p>
    <w:p w:rsidR="00C54F26" w:rsidRDefault="00C54F26" w:rsidP="00C54F26">
      <w:pPr>
        <w:pStyle w:val="TextoNormal"/>
      </w:pPr>
      <w:r>
        <w:t>Finalmente, considera que la adopción de la suspensión interesada, que conllevaría la reintegración en el Grupo Parlamentario Adelante Andalucía, estaría conculcando la protección de la que el arco parlamentario, legítimamente, se ha dotado para poner freno a la anomalía democrática que supone el transfuguismo político.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art. 56.1 de la Ley Orgánica del Tribunal Constitucional (LOTC) establece, como regla general, que la interposición de un recurso de amparo no suspenderá los efectos del acto o sentencia impugnados. No obstante, el apartado segundo del mismo art. 56 LOTC prevé una excepción a dicha previsión general, admitiendo la suspensión del acto o sentencia impugnados cuando su ejecución produzca un perjuicio al recurrente que pudiera hacer perder su finalidad al amparo. Razón por la que se configura como una medida de carácter excepcional y de aplicación restrictiva (por todos, AATC 117/2015, de 6 de julio, FJ 1, y 59/2017, de 24 de abril, FJ 1).</w:t>
      </w:r>
    </w:p>
    <w:p w:rsidR="00C54F26" w:rsidRDefault="00C54F26" w:rsidP="00C54F26">
      <w:pPr>
        <w:pStyle w:val="TextoNormal"/>
      </w:pPr>
    </w:p>
    <w:p w:rsidR="00C54F26" w:rsidRDefault="00C54F26" w:rsidP="00C54F26">
      <w:pPr>
        <w:pStyle w:val="TextoNormal"/>
      </w:pPr>
      <w:r>
        <w:t>En atención a tal previsión legal, este tribunal ha declarado que “quien solicita la adopción de esta medida cautelar ha de alegar, probar o justificar, ofreciendo un principio razonable de prueba, la irreparabilidad o dificultad de la reparación de los perjuicios de seguirse la ejecución del acto impugnado, con el objeto de mostrar que dicha ejecución podría privar a la demanda de amparo de su finalidad, provocando que el restablecimiento del recurrente en el derecho constitucional vulnerado sea tardío y convirtiendo en meramente ilusorio y nominal el amparo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AATC 1/2016, de 18 de enero)” (ATC 26/2019, de 9 de abril, FJ 1).</w:t>
      </w:r>
    </w:p>
    <w:p w:rsidR="00C54F26" w:rsidRDefault="00C54F26" w:rsidP="00C54F26">
      <w:pPr>
        <w:pStyle w:val="TextoNormal"/>
      </w:pPr>
    </w:p>
    <w:p w:rsidR="00C54F26" w:rsidRDefault="00C54F26" w:rsidP="00C54F26">
      <w:pPr>
        <w:pStyle w:val="TextoNormal"/>
      </w:pPr>
      <w:r>
        <w:t>Por último, de modo general, también ha insistido este tribunal (ATC 23/2017, de 13 de febrero, FJ 1, y AATC 263/2001, de 15 de octubre, y 18/2002, de 11 de febrero, que se citan en aquella resolución) en la imposibilidad de adelantar cuestiones controvertidas propias del fondo del recurso de amparo en esta pieza incidental de suspensión, como tampoco de conceder la suspensión cautelar de la ejecución de una resolución o de un acuerdo, si con ello se puede anticipar el amparo que se solicita.</w:t>
      </w:r>
    </w:p>
    <w:p w:rsidR="00C54F26" w:rsidRDefault="00C54F26" w:rsidP="00C54F26">
      <w:pPr>
        <w:pStyle w:val="TextoNormal"/>
      </w:pPr>
    </w:p>
    <w:p w:rsidR="00C54F26" w:rsidRDefault="00C54F26" w:rsidP="00C54F26">
      <w:pPr>
        <w:pStyle w:val="TextoNormal"/>
      </w:pPr>
      <w:r w:rsidRPr="00C54F26">
        <w:rPr>
          <w:rStyle w:val="NumeroAFNegritaCaracter"/>
        </w:rPr>
        <w:t>2</w:t>
      </w:r>
      <w:r>
        <w:t>. Según se detalla en los antecedentes, los recurrentes han solicitado en la demanda de amparo la suspensión cautelar de la ejecución de los efectos de los acuerdos de la mesa del Parlamento de Andalucía, por los que se acredita la baja de los nueve diputados ahora recurrentes en el Grupo Parlamentario Adelante Andalucía y se acuerda que pasen a tener la condición de diputados no adscritos, y la readmisión de los mismos en el citado grupo parlamentario.</w:t>
      </w:r>
    </w:p>
    <w:p w:rsidR="00C54F26" w:rsidRDefault="00C54F26" w:rsidP="00C54F26">
      <w:pPr>
        <w:pStyle w:val="TextoNormal"/>
      </w:pPr>
    </w:p>
    <w:p w:rsidR="00C54F26" w:rsidRDefault="00C54F26" w:rsidP="00C54F26">
      <w:pPr>
        <w:pStyle w:val="TextoNormal"/>
      </w:pPr>
      <w:r>
        <w:t>Los demandantes sustentan su petición en que la efectividad de dichos acuerdos causa en los mismos unos perjuicios de imposible reparación, en cuanto que esos efectos no se agotaron al adoptar los acuerdos, sino que se mantienen en la legislatura vigente y suponen que sus derechos políticos como parlamentarios se ven extraordinariamente limitados. Alegan también, que la no suspensión de efectos puede causar un daño irreparable, en el caso de que la estimación del amparo se produzca después de agotarse la legislatura y ponen de manifiesto la apariencia de buen derecho de la pretensión de amparo que es planteada en el recurso, sustentada en la ausencia de base legal para la adopción de los acuerdos de la mesa del Parlamento de Andalucía que les atribuyen la condición de diputados no adscritos.</w:t>
      </w:r>
    </w:p>
    <w:p w:rsidR="00C54F26" w:rsidRDefault="00C54F26" w:rsidP="00C54F26">
      <w:pPr>
        <w:pStyle w:val="TextoNormal"/>
      </w:pPr>
    </w:p>
    <w:p w:rsidR="00C54F26" w:rsidRDefault="00C54F26" w:rsidP="00C54F26">
      <w:pPr>
        <w:pStyle w:val="TextoNormal"/>
      </w:pPr>
      <w:r>
        <w:t xml:space="preserve">La doctrina que resumidamente se acaba de recordar en el fundamento jurídico anterior supone, respecto del objeto de la presente solicitud de suspensión de los acuerdos impugnados de la mesa del Parlamento de Andalucía, que ha de desecharse </w:t>
      </w:r>
      <w:r w:rsidRPr="00C54F26">
        <w:rPr>
          <w:i/>
        </w:rPr>
        <w:t>a limine</w:t>
      </w:r>
      <w:r>
        <w:t xml:space="preserve"> el argumento que los recurrentes esgrimen del </w:t>
      </w:r>
      <w:r w:rsidRPr="00C54F26">
        <w:rPr>
          <w:i/>
        </w:rPr>
        <w:t>fumus boni iuris</w:t>
      </w:r>
      <w:r>
        <w:t xml:space="preserve"> que tiene el amparo que impetran, pues no corresponde en este trámite entrar en el examen anticipado de la cuestión de fondo. Como ha declarado este tribunal, “dichos argumentos se proyectan sobre el fondo de la cuestión planteada en la demanda y suponen predeterminar la solución del recurso que, en su momento, esta Sala habrá de resolver en el sentido que razonadamente estime oportuno” (ATC 23/2017, de 13 de febrero, FJ 2). En este sentido, los propios recurrentes han puesto de manifiesto que “el análisis que se haga por el tribunal en la fase cautelar, puede resultar bastante aproximado de lo que pudiera ser la resolución final del procedimiento”.</w:t>
      </w:r>
    </w:p>
    <w:p w:rsidR="00C54F26" w:rsidRDefault="00C54F26" w:rsidP="00C54F26">
      <w:pPr>
        <w:pStyle w:val="TextoNormal"/>
      </w:pPr>
    </w:p>
    <w:p w:rsidR="00C54F26" w:rsidRDefault="00C54F26" w:rsidP="00C54F26">
      <w:pPr>
        <w:pStyle w:val="TextoNormal"/>
      </w:pPr>
      <w:r>
        <w:t>Por lo que se refiere a la alegación relativa a que la no suspensión de efectos puede causar un daño irreparable, en caso de que la estimación del amparo se produzca después de agotarse la legislatura, hay que tener en cuenta que, aun no siendo iguales, evidentemente, las circunstancias en que los recurrentes pueden desarrollar sus derechos representativos como diputados no adscritos que las que tenían en su originaria condición de integrantes de un grupo parlamentario, sí pueden, sin duda, seguir ejerciendo tales derechos representativos en su esencia y, en particular, ejercer su derecho de voto en la Cámara. Por ello, en consecuencia, no cabe entender que la eventual concesión del amparo en relación con el acuerdo de su baja en el grupo parlamentario al que pertenecían pierda su finalidad si no se suspenden los acuerdos impugnados que tienen por contenido derechos parlamentarios. En ello abunda, por lo demás, como ha señalado el ATC 18/2002, de 11 de febrero, FJ 3, “el interés general que conlleva la ejecución de los actos y decisiones de los poderes públicos, amparados, como están, en la presunción de legalidad y veracidad, como hemos dicho siempre al tratar de la medida cautelar que posibilita el art. 56 de nuestra Ley Orgánica reguladora (recientemente, ATC 208/2001, de 16 de junio y los en él mencionados en idéntica línea). En el caso de actos provenientes de órganos parlamentarios, se une la característica y esencial autonomía parlamentaria que, como tal, ha de respetarse siempre en la medida de lo posible”.</w:t>
      </w:r>
    </w:p>
    <w:p w:rsidR="00C54F26" w:rsidRDefault="00C54F26" w:rsidP="00C54F26">
      <w:pPr>
        <w:pStyle w:val="TextoNormal"/>
      </w:pPr>
    </w:p>
    <w:p w:rsidR="00C54F26" w:rsidRDefault="00C54F26" w:rsidP="00C54F26">
      <w:pPr>
        <w:pStyle w:val="TextoNormal"/>
      </w:pPr>
      <w:r>
        <w:t>Dicho lo anterior, ha de reseñarse que este tribunal es consciente de la preclusividad que comporta en los asuntos de origen parlamentario el final, natural o provocado, de la legislatura, y por ello entiende conveniente apuntar —como hemos hecho ya en ocasiones similares (AATC 144/1990, de 29 de marzo; 254/1994, de 19 de septiembre; 18/2002, de 11 de febrero)— que, el hecho de que el presente recurso de amparo sea instado por quienes están investidos por el voto popular y ejercen la esencial función representativa de los ciudadanos, aconseja reducir al máximo posible la eventual afectación de sus derechos y, consiguientemente, adelantar, en cuanto sea compatible con la tramitación procesal, el momento de dictar sentencia.</w:t>
      </w:r>
    </w:p>
    <w:p w:rsidR="00C54F26" w:rsidRDefault="00C54F26" w:rsidP="00C54F26">
      <w:pPr>
        <w:pStyle w:val="TextoNormal"/>
      </w:pPr>
    </w:p>
    <w:p w:rsidR="00C54F26" w:rsidRDefault="00C54F26" w:rsidP="00C54F26">
      <w:pPr>
        <w:pStyle w:val="TextoNormal"/>
      </w:pPr>
      <w:r>
        <w:t>Por lo expuesto, la Sala</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Denegar la suspensión de los acuerdos parlamentarios de la mesa del Parlamento de Andalucía de 18 de noviembre de 2020 y de 25 de noviembre de 2020, solicitada en el presente recurso de amparo.</w:t>
      </w:r>
    </w:p>
    <w:p w:rsidR="00C54F26" w:rsidRDefault="00C54F26" w:rsidP="00C54F26">
      <w:pPr>
        <w:pStyle w:val="TextoNormal"/>
      </w:pPr>
    </w:p>
    <w:p w:rsidR="00C54F26" w:rsidRDefault="00C54F26" w:rsidP="00C54F26">
      <w:pPr>
        <w:pStyle w:val="TextoNormal"/>
      </w:pPr>
      <w:r>
        <w:t>Madrid, a veintiuno de junio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09" w:name="AUTO_2021_68"/>
      <w:r>
        <w:t>AUTO 68/2021, de 24 de junio de 2021</w:t>
      </w:r>
    </w:p>
    <w:bookmarkEnd w:id="209"/>
    <w:p w:rsidR="00C54F26" w:rsidRDefault="00C54F26" w:rsidP="00C54F26">
      <w:pPr>
        <w:pStyle w:val="TtuloResolucin"/>
      </w:pPr>
      <w:r>
        <w:t>Pleno</w:t>
      </w:r>
    </w:p>
    <w:p w:rsidR="00C54F26" w:rsidRDefault="00C54F26" w:rsidP="00C54F26">
      <w:pPr>
        <w:pStyle w:val="TtuloBOE"/>
      </w:pPr>
      <w:r>
        <w:t>(BOE núm. 182, de 31 de julio de 2021)</w:t>
      </w:r>
    </w:p>
    <w:p w:rsidR="00C54F26" w:rsidRDefault="00C54F26" w:rsidP="00C54F26">
      <w:pPr>
        <w:pStyle w:val="TextoNormalCentrado"/>
      </w:pPr>
      <w:r>
        <w:t>ECLI:ES:TC:2021:68A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Antonio Narváez Rodríguez, don Alfredo Montoya Melgar, don Ricardo Enríquez Sancho, don Cándido Conde-Pumpido Tourón y doña María Luisa Balaguer Callejón.</w:t>
      </w:r>
    </w:p>
    <w:p w:rsidR="00C54F26" w:rsidRDefault="00C54F26" w:rsidP="00C54F26">
      <w:pPr>
        <w:pStyle w:val="SntesisDescriptiva"/>
      </w:pPr>
    </w:p>
    <w:p w:rsidR="00C54F26" w:rsidRDefault="00C54F26" w:rsidP="00C54F26">
      <w:pPr>
        <w:pStyle w:val="SntesisDescriptiva"/>
      </w:pPr>
      <w:r>
        <w:t>Acuerda el desistimiento en el recurso de inconstitucionalidad 1998-2020, planteado por el presidente del Gobierno en relación con diversos preceptos del Decreto-ley 2/2020, de 9 de marzo, de mejora y simplificación de la regulación para el fomento de la actividad productiva de Andalucía.</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presentado en el registro del tribunal el 22 de abril de 2020, el abogado del Estado, en representación del presidente del Gobierno, interpuso recurso de inconstitucionalidad contra el art. 13, con exclusión de su párrafo primero, y el art. 28, apartados 4 y 6 del Decreto-ley 2/2020, de 9 de marzo, de mejora y simplificación de la regulación para el fomento de la actividad productiva de Andalucía. También solicita que se declare la nulidad de los apartados 11, 12, 13, 14 y 15 del art. 28 por su conexión con el apartado 6 de este mismo precepto. El abogado del Estado invocó expresamente el art. 161.2 CE y el art. 30 de la Ley Orgánica del Tribunal Constitucional (LOTC) con el fin de que se produjera la suspensión del art. 13, con exclusión de su párrafo primero, y la de los apartados 6, 11, 12, 13, 14 y 15 del art. 28.</w:t>
      </w:r>
    </w:p>
    <w:p w:rsidR="00C54F26" w:rsidRDefault="00C54F26" w:rsidP="00C54F26">
      <w:pPr>
        <w:pStyle w:val="TextoNormal"/>
      </w:pPr>
    </w:p>
    <w:p w:rsidR="00C54F26" w:rsidRDefault="00C54F26" w:rsidP="00C54F26">
      <w:pPr>
        <w:pStyle w:val="TextoNormal"/>
      </w:pPr>
      <w:r w:rsidRPr="00C54F26">
        <w:rPr>
          <w:rStyle w:val="NumeroAFNegritaCaracter"/>
        </w:rPr>
        <w:t>2</w:t>
      </w:r>
      <w:r>
        <w:t>. El Pleno del tribunal, por providencia de 6 de mayo 2020, a propuesta de la Sección Tercera acordó admitir a trámite al recurso y dar traslado de la demanda y documentos presentados, conforme establece el art. 34 LOTC, al Congreso de los Diputados y al Senado, así como al Parlamento de Andalucía y a la Junta de Andalucía, al objeto de que en el plazo de quince días pudieran personarse en el procedimiento y formular las alegaciones que estimaran convenientes.</w:t>
      </w:r>
    </w:p>
    <w:p w:rsidR="00C54F26" w:rsidRDefault="00C54F26" w:rsidP="00C54F26">
      <w:pPr>
        <w:pStyle w:val="TextoNormal"/>
      </w:pPr>
    </w:p>
    <w:p w:rsidR="00C54F26" w:rsidRDefault="00C54F26" w:rsidP="00C54F26">
      <w:pPr>
        <w:pStyle w:val="TextoNormal"/>
      </w:pPr>
      <w:r>
        <w:t>Asimismo, se tuvo por invocado el art. 161.2 CE, en lo que se circunscribe al art. 13, con exclusión de su párrafo primero, y los apartados 6, 11, 12, 13, 14 y 15 del art. 28 del Decreto-ley 2/2020, de 9 de marzo, de mejora y simplificación de la regulación para el fomento de la actividad productiva de Andalucía, lo que produjo la suspensión de la eficacia de estos preceptos desde la fecha de interposición del recurso —22 de abril de 2020— para las partes del proceso y desde el día en que apareció publicada la suspensión en el “Boletín Oficial del Estado” para los terceros, lo que tuvo lugar el 8 de mayo de 2020.</w:t>
      </w:r>
    </w:p>
    <w:p w:rsidR="00C54F26" w:rsidRDefault="00C54F26" w:rsidP="00C54F26">
      <w:pPr>
        <w:pStyle w:val="TextoNormal"/>
      </w:pPr>
    </w:p>
    <w:p w:rsidR="00C54F26" w:rsidRDefault="00C54F26" w:rsidP="00C54F26">
      <w:pPr>
        <w:pStyle w:val="TextoNormal"/>
      </w:pPr>
      <w:r w:rsidRPr="00C54F26">
        <w:rPr>
          <w:rStyle w:val="NumeroAFNegritaCaracter"/>
        </w:rPr>
        <w:t>3</w:t>
      </w:r>
      <w:r>
        <w:t>. Por escritos registrados en este tribunal los días 21 de mayo y 12 de junio de 2020, los presidentes del Senado y del Congreso de los Diputados, respectivamente, comunicaron los acuerdos de las mesas de estas cámaras de personarse en el proceso, ofreciendo su colaboración a los efectos del artículo 88.1 LOTC.</w:t>
      </w:r>
    </w:p>
    <w:p w:rsidR="00C54F26" w:rsidRDefault="00C54F26" w:rsidP="00C54F26">
      <w:pPr>
        <w:pStyle w:val="TextoNormal"/>
      </w:pPr>
    </w:p>
    <w:p w:rsidR="00C54F26" w:rsidRDefault="00C54F26" w:rsidP="00C54F26">
      <w:pPr>
        <w:pStyle w:val="TextoNormal"/>
      </w:pPr>
      <w:r>
        <w:t>La letrada de la Junta de Andalucía, por escrito registrado en el Tribunal el 27 de mayo de 2020, solicitó que se tuviera por personada a la Junta de Andalucía en este procedimiento. La letrada del Parlamento de Andalucía, por escrito presentado en el Tribunal el 16 de junio de 2020, se personó en este proceso en nombre y representación del Parlamento de Andalucía.</w:t>
      </w:r>
    </w:p>
    <w:p w:rsidR="00C54F26" w:rsidRDefault="00C54F26" w:rsidP="00C54F26">
      <w:pPr>
        <w:pStyle w:val="TextoNormal"/>
      </w:pPr>
    </w:p>
    <w:p w:rsidR="00C54F26" w:rsidRDefault="00C54F26" w:rsidP="00C54F26">
      <w:pPr>
        <w:pStyle w:val="TextoNormal"/>
      </w:pPr>
      <w:r w:rsidRPr="00C54F26">
        <w:rPr>
          <w:rStyle w:val="NumeroAFNegritaCaracter"/>
        </w:rPr>
        <w:t>4</w:t>
      </w:r>
      <w:r>
        <w:t>. Por escrito registrado en este Tribunal el 25 de junio de 2020, la letrada de la Junta de Andalucía formuló alegaciones y solicitó la desestimación del recurso de inconstitucionalidad. El Parlamento de Andalucía presentó su escrito de alegaciones el 6 de julio de 2020 y solicitó también la íntegra desestimación del presente recurso de inconstitucionalidad.</w:t>
      </w:r>
    </w:p>
    <w:p w:rsidR="00C54F26" w:rsidRDefault="00C54F26" w:rsidP="00C54F26">
      <w:pPr>
        <w:pStyle w:val="TextoNormal"/>
      </w:pPr>
    </w:p>
    <w:p w:rsidR="00C54F26" w:rsidRDefault="00C54F26" w:rsidP="00C54F26">
      <w:pPr>
        <w:pStyle w:val="TextoNormal"/>
      </w:pPr>
      <w:r w:rsidRPr="00C54F26">
        <w:rPr>
          <w:rStyle w:val="NumeroAFNegritaCaracter"/>
        </w:rPr>
        <w:t>5</w:t>
      </w:r>
      <w:r>
        <w:t>. Por diligencia de ordenación de 7 de julio de 2020, el Pleno del tribunal acordó oír a las partes personadas para que en el plazo de cinco días expusieran lo que estimaran procedente sobre el levantamiento o mantenimiento de los preceptos del Decreto-ley 2/2020, de 9 de marzo, de mejora y simplificación de la regulación para el fomento de la actividad productiva de Andalucía que se encontraban suspendidos en virtud de lo dispuesto en el art. 161.2 CE (el art. 13, con exclusión de su párrafo primero, y los apartados 6, 11,12,13,14 y 15 del art. 28).</w:t>
      </w:r>
    </w:p>
    <w:p w:rsidR="00C54F26" w:rsidRDefault="00C54F26" w:rsidP="00C54F26">
      <w:pPr>
        <w:pStyle w:val="TextoNormal"/>
      </w:pPr>
    </w:p>
    <w:p w:rsidR="00C54F26" w:rsidRDefault="00C54F26" w:rsidP="00C54F26">
      <w:pPr>
        <w:pStyle w:val="TextoNormal"/>
      </w:pPr>
      <w:r>
        <w:t>El 15 de julio de 2020, el abogado del Estado formuló alegaciones interesando el mantenimiento de la suspensión. La letrada de la Junta de Andalucía presentó su escrito de alegaciones el 21 de julio de 2020 solicitando el levantamiento de la suspensión. El Parlamento de Andalucía, por escrito de 22 de julio de 2020, formuló alegaciones solicitando también el levantamiento de la suspensión.</w:t>
      </w:r>
    </w:p>
    <w:p w:rsidR="00C54F26" w:rsidRDefault="00C54F26" w:rsidP="00C54F26">
      <w:pPr>
        <w:pStyle w:val="TextoNormal"/>
      </w:pPr>
    </w:p>
    <w:p w:rsidR="00C54F26" w:rsidRDefault="00C54F26" w:rsidP="00C54F26">
      <w:pPr>
        <w:pStyle w:val="TextoNormal"/>
      </w:pPr>
      <w:r>
        <w:t>El Tribunal, por ATC 92/2020, de 9 de septiembre acordó el levantamiento de la suspensión.</w:t>
      </w:r>
    </w:p>
    <w:p w:rsidR="00C54F26" w:rsidRDefault="00C54F26" w:rsidP="00C54F26">
      <w:pPr>
        <w:pStyle w:val="TextoNormal"/>
      </w:pPr>
    </w:p>
    <w:p w:rsidR="00C54F26" w:rsidRDefault="00C54F26" w:rsidP="00C54F26">
      <w:pPr>
        <w:pStyle w:val="TextoNormal"/>
      </w:pPr>
      <w:r w:rsidRPr="00C54F26">
        <w:rPr>
          <w:rStyle w:val="NumeroAFNegritaCaracter"/>
        </w:rPr>
        <w:t>6</w:t>
      </w:r>
      <w:r>
        <w:t>. Por escrito registrado en el tribunal el 29 de abril de 2021, el abogado del Estado, expone que en la reunión del Consejo de Ministros celebrada el día 27 de abril de 2021 se acordó solicitar del presidente del Gobierno el desistimiento del presente recurso de inconstitucionalidad (se adjunta certificación de la vicepresidenta del Gobierno y ministra de la Presidencia, Relaciones con las Cortes y Memoria democrática) y que en esta misma fecha el presidente del Gobierno acordó desistir de este recurso de inconstitucionalidad (se adjunta el acuerdo del presidente del Gobierno). Por ello solicita que se le tenga por desistido en este recurso de inconstitucionalidad.</w:t>
      </w:r>
    </w:p>
    <w:p w:rsidR="00C54F26" w:rsidRDefault="00C54F26" w:rsidP="00C54F26">
      <w:pPr>
        <w:pStyle w:val="TextoNormal"/>
      </w:pPr>
    </w:p>
    <w:p w:rsidR="00C54F26" w:rsidRDefault="00C54F26" w:rsidP="00C54F26">
      <w:pPr>
        <w:pStyle w:val="TextoNormal"/>
      </w:pPr>
      <w:r w:rsidRPr="00C54F26">
        <w:rPr>
          <w:rStyle w:val="NumeroAFNegritaCaracter"/>
        </w:rPr>
        <w:t>7</w:t>
      </w:r>
      <w:r>
        <w:t>. Por diligencia de ordenación del secretario de justicia del Pleno de treinta de abril de 2021 se acordó oír a las partes personadas para que, en el plazo de diez días, alegaran lo que estimasen pertinente en relación con la solicitud de desistimiento formulada por el presidente del Gobierno.</w:t>
      </w:r>
    </w:p>
    <w:p w:rsidR="00C54F26" w:rsidRDefault="00C54F26" w:rsidP="00C54F26">
      <w:pPr>
        <w:pStyle w:val="TextoNormal"/>
      </w:pPr>
    </w:p>
    <w:p w:rsidR="00C54F26" w:rsidRDefault="00C54F26" w:rsidP="00C54F26">
      <w:pPr>
        <w:pStyle w:val="TextoNormal"/>
      </w:pPr>
      <w:r w:rsidRPr="00C54F26">
        <w:rPr>
          <w:rStyle w:val="NumeroAFNegritaCaracter"/>
        </w:rPr>
        <w:t>8</w:t>
      </w:r>
      <w:r>
        <w:t>. Por escrito registrado el 21 de mayo de 2021 la Junta de Andalucía manifestó que nada tenía que objetar a que el tribunal acordará la terminación de este proceso constitucional por desistimiento del presidente del Gobierno. El Parlamento de Andalucía, por escrito registrado en el tribunal el 24 de mayo de 2021, alegó que se mostraba a favor de que se accediera a la solicitud de desistimiento del presente recurso de inconstitucionalidad formulada por el presidente del Gobierno.</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20.2 LEC), que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288/2013, de 17 de diciembre, y 19/2020, de 11 de febrero, entre otros muchos).</w:t>
      </w:r>
    </w:p>
    <w:p w:rsidR="00C54F26" w:rsidRDefault="00C54F26" w:rsidP="00C54F26">
      <w:pPr>
        <w:pStyle w:val="TextoNormal"/>
      </w:pPr>
    </w:p>
    <w:p w:rsidR="00C54F26" w:rsidRDefault="00C54F26" w:rsidP="00C54F26">
      <w:pPr>
        <w:pStyle w:val="TextoNormal"/>
      </w:pPr>
      <w:r>
        <w:t>En virtud de lo establecido en los citados preceptos, el tribunal ha considerado que puede estimarse como forma admitida para poner fin a un recurso de inconstitucionalidad, total o parcialmente, la manifestación de la voluntad de desistir, siempre que, según reiterada doctrina de este tribunal, no se advierta interés constitucional que justifique la prosecución del proceso hasta su finalización por sentencia (entre otros , AATC 34/1993, de 26 de enero; 30/2006, de 1 de febrero; 79/2008, de 11 de marzo; 288/2013, de 17 de diciembre; 186/2014, de 15 de julio; 223/2015, de 15 de diciembre; 19/2020, de 11 de febrero).</w:t>
      </w:r>
    </w:p>
    <w:p w:rsidR="00C54F26" w:rsidRDefault="00C54F26" w:rsidP="00C54F26">
      <w:pPr>
        <w:pStyle w:val="TextoNormal"/>
      </w:pPr>
    </w:p>
    <w:p w:rsidR="00C54F26" w:rsidRDefault="00C54F26" w:rsidP="00C54F26">
      <w:pPr>
        <w:pStyle w:val="TextoNormal"/>
      </w:pPr>
      <w:r>
        <w:t>Ni la Junta de Andalucía ni el Parlamento de Andalucía se han opuesto a la solicitud de desistimiento formulada por la abogacía del Estado en nombre del presidente del Gobierno y no se advierte tampoco interés constitucional alguno que justifique la prosecución del recurso hasta su finalización por sentencia, por lo que procede acceder a lo solicitado.</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Tener por desistido al abogado del Estado, en la representación que legalmente ostenta, en el recurso de inconstitucionalidad núm. 1998-2020 promovido por el presidente del Gobierno contra el art. 13, con exclusión de su párrafo primero, y el art. 28, apartados 4 y 6 del Decreto-ley 2/2020, de 9 de marzo, de mejora y simplificación de la regulación para el fomento de la actividad productiva de Andalucía.</w:t>
      </w:r>
    </w:p>
    <w:p w:rsidR="00C54F26" w:rsidRDefault="00C54F26" w:rsidP="00C54F26">
      <w:pPr>
        <w:pStyle w:val="TextoNormal"/>
      </w:pPr>
    </w:p>
    <w:p w:rsidR="00C54F26" w:rsidRDefault="00C54F26" w:rsidP="00C54F26">
      <w:pPr>
        <w:pStyle w:val="TextoNormal"/>
      </w:pPr>
      <w:r>
        <w:t>Publíquese este auto en el “Boletín Oficial del Estado”.</w:t>
      </w:r>
    </w:p>
    <w:p w:rsidR="00C54F26" w:rsidRDefault="00C54F26" w:rsidP="00C54F26">
      <w:pPr>
        <w:pStyle w:val="TextoNormal"/>
      </w:pPr>
    </w:p>
    <w:p w:rsidR="00C54F26" w:rsidRDefault="00C54F26" w:rsidP="00C54F26">
      <w:pPr>
        <w:pStyle w:val="TextoNormal"/>
      </w:pPr>
      <w:r>
        <w:t>Madrid,  a veinticuatro de junio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10" w:name="AUTO_2021_69"/>
      <w:r>
        <w:t>AUTO 69/2021, de 24 de junio de 2021</w:t>
      </w:r>
    </w:p>
    <w:bookmarkEnd w:id="210"/>
    <w:p w:rsidR="00C54F26" w:rsidRDefault="00C54F26" w:rsidP="00C54F26">
      <w:pPr>
        <w:pStyle w:val="TtuloResolucin"/>
      </w:pPr>
      <w:r>
        <w:t>Pleno</w:t>
      </w:r>
    </w:p>
    <w:p w:rsidR="00C54F26" w:rsidRDefault="00C54F26" w:rsidP="00C54F26">
      <w:pPr>
        <w:pStyle w:val="TextoNormalCentrado"/>
      </w:pPr>
      <w:r>
        <w:t>ECLI:ES:TC:2021:69A</w:t>
      </w:r>
    </w:p>
    <w:p w:rsidR="00C54F26" w:rsidRDefault="00C54F26" w:rsidP="00C54F26">
      <w:pPr>
        <w:pStyle w:val="TextoNormalCentrado"/>
      </w:pPr>
    </w:p>
    <w:p w:rsidR="00C54F26" w:rsidRDefault="00C54F26" w:rsidP="00C54F26">
      <w:pPr>
        <w:pStyle w:val="SntesisDescriptiva"/>
      </w:pPr>
      <w:r>
        <w:t>Excms. Srs. don Juan José González Rivas, doña Encarnación Roca Trías, don Andrés Ollero Tassara, don Santiago Martínez-Vares García, don Juan Antonio Xiol Ríos, don Antonio Narváez Rodríguez, don Alfredo Montoya Melgar, don Ricardo Enríquez Sancho y doña María Luisa Balaguer Callejón.</w:t>
      </w:r>
    </w:p>
    <w:p w:rsidR="00C54F26" w:rsidRDefault="00C54F26" w:rsidP="00C54F26">
      <w:pPr>
        <w:pStyle w:val="SntesisDescriptiva"/>
      </w:pPr>
    </w:p>
    <w:p w:rsidR="00C54F26" w:rsidRDefault="00C54F26" w:rsidP="00C54F26">
      <w:pPr>
        <w:pStyle w:val="SntesisDescriptiva"/>
      </w:pPr>
      <w:r>
        <w:t>Inadmite la recusación formulada en el recurso de amparo núm. 5840-2020, promovido por don Joaquim Torra i Pla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27 de noviembre de 2020, don Joaquim Torra i Pla, representado por el procurador de los tribunales don Javier Fernández Estrada y asistido por el letrado don Gonzalo Boye Tuset, presentó recurso de amparo —registrado con el núm. 5840-2020— contra el auto de la Sala Civil y Penal del Tribunal Superior de Justicia de Cataluña de 13 de octubre de 2020, que desestimó el recurso de súplica interpuesto contra el auto de 28 de septiembre de 2020 de la misma Sala, dictados en el procedimiento abreviado núm. 1-2019 que ulteriormente dio lugar a la ejecutoria núm. 1-2020.</w:t>
      </w:r>
    </w:p>
    <w:p w:rsidR="00C54F26" w:rsidRDefault="00C54F26" w:rsidP="00C54F26">
      <w:pPr>
        <w:pStyle w:val="TextoNormal"/>
      </w:pPr>
    </w:p>
    <w:p w:rsidR="00C54F26" w:rsidRDefault="00C54F26" w:rsidP="00C54F26">
      <w:pPr>
        <w:pStyle w:val="TextoNormal"/>
      </w:pPr>
      <w:r>
        <w:t>En dichos autos se declaró firme la sentencia de 19 de diciembre de 2019, dictada por la Sala de lo Civil y Penal del Tribunal Superior de Justicia de Cataluña que condenó al recurrente como autor penalmente responsable de un delito de desobediencia cometido por autoridad o funcionario público, tras ser desestimado el recurso de casación interpuesto en virtud de la sentencia de 28 de septiembre de 2020 dictada por la Sala Segunda del Tribunal Supremo.</w:t>
      </w:r>
    </w:p>
    <w:p w:rsidR="00C54F26" w:rsidRDefault="00C54F26" w:rsidP="00C54F26">
      <w:pPr>
        <w:pStyle w:val="TextoNormal"/>
      </w:pPr>
    </w:p>
    <w:p w:rsidR="00C54F26" w:rsidRDefault="00C54F26" w:rsidP="00C54F26">
      <w:pPr>
        <w:pStyle w:val="TextoNormal"/>
      </w:pPr>
      <w:r>
        <w:t>El demandante de amparo, había interpuesto antes del presente recurso de amparo, mediante la misma representación y defensa, otros dos recursos de amparo. El recurso de amparo núm. 4586-2020, deducido contra las dos sentencias citadas, por las que se le condenó como autor penalmente responsable de un delito de desobediencia, que ha sido admitido y recabado para su conocimiento por el Pleno del Tribunal Constitucional mediante providencia de 6 de octubre de 2020. Y, previamente, interpuso el recurso de amparo núm. 3476-2020, contra los autos de la Sala Tercera del Tribunal Supremo de 20 de febrero de 2020 y 23 de enero de 2020, que denegaron la adopción de medidas cautelares solicitadas en el procedimiento contencioso-administrativo para la protección de los derechos fundamentales núm. 8-2020, y que el Pleno de este tribunal también admitió a trámite y recabó su conocimiento en virtud de providencia de 22 de julio de 2020.</w:t>
      </w:r>
    </w:p>
    <w:p w:rsidR="00C54F26" w:rsidRDefault="00C54F26" w:rsidP="00C54F26">
      <w:pPr>
        <w:pStyle w:val="TextoNormal"/>
      </w:pPr>
    </w:p>
    <w:p w:rsidR="00C54F26" w:rsidRDefault="00C54F26" w:rsidP="00C54F26">
      <w:pPr>
        <w:pStyle w:val="TextoNormal"/>
      </w:pPr>
      <w:r w:rsidRPr="00C54F26">
        <w:rPr>
          <w:rStyle w:val="NumeroAFNegritaCaracter"/>
        </w:rPr>
        <w:t>2</w:t>
      </w:r>
      <w:r>
        <w:t>. Por providencia de 22 de abril de 2021, la Sala Segunda de este tribunal decidió la admisión a trámite del presente recurso de amparo y propuso su avocación al Pleno, que por providencia de 18 de mayo siguiente, acordó recabar para sí su conocimiento conforme establece el artículo 10.1 n) de la Ley Orgánica del Tribunal Constitucional.</w:t>
      </w:r>
    </w:p>
    <w:p w:rsidR="00C54F26" w:rsidRDefault="00C54F26" w:rsidP="00C54F26">
      <w:pPr>
        <w:pStyle w:val="TextoNormal"/>
      </w:pPr>
    </w:p>
    <w:p w:rsidR="00C54F26" w:rsidRDefault="00C54F26" w:rsidP="00C54F26">
      <w:pPr>
        <w:pStyle w:val="TextoNormal"/>
      </w:pPr>
      <w:r w:rsidRPr="00C54F26">
        <w:rPr>
          <w:rStyle w:val="NumeroAFNegritaCaracter"/>
        </w:rPr>
        <w:t>3</w:t>
      </w:r>
      <w:r>
        <w:t>. Mediante escrito presentado el 4 de junio del 2021, el procurador de los tribunales antes indicado, bajo la invocación de los derechos a un tribunal imparcial, en relación con el derecho a un procedimiento con todas las garantías previsto en el art. 24.2 de la CE y art. 6 del Convenio Europeo de Derechos Humanos, art. 47 de la Carta de Derechos Fundamentales de la Unión Europea, ha formulado, en el presente recurso de amparo, incidente de recusación del magistrado don Cándido Conde-Pumpido Tourón, al considerar que concurren en el mismo las causas novena, décima y duodécima del art. 219 de la Ley Orgánica del Poder Judicial (LOPJ).</w:t>
      </w:r>
    </w:p>
    <w:p w:rsidR="00C54F26" w:rsidRDefault="00C54F26" w:rsidP="00C54F26">
      <w:pPr>
        <w:pStyle w:val="TextoNormal"/>
      </w:pPr>
    </w:p>
    <w:p w:rsidR="00C54F26" w:rsidRDefault="00C54F26" w:rsidP="00C54F26">
      <w:pPr>
        <w:pStyle w:val="TextoNormal"/>
      </w:pPr>
      <w:r>
        <w:t>Según refiere, el magistrado recusado se encuentra incurso en la causa legal prevista en el art. 219 décima LOPJ, pues dada la relación “notoria” entre este proceso y la causa especial núm. 20907-2017 seguida en el Tribunal Supremo y que ha dado lugar al recurso de amparo núm. 5840-2020, el reconocimiento por el magistrado de esta causa de abstención en dicho recurso de amparo debe proyectarse sobre el presente recurso, al ser “notorio” que el recurrente fue condenado “por haber manifestado su solidaridad con los presos políticos y exiliados catalanes” sujetos a dicha causa especial.</w:t>
      </w:r>
    </w:p>
    <w:p w:rsidR="00C54F26" w:rsidRDefault="00C54F26" w:rsidP="00C54F26">
      <w:pPr>
        <w:pStyle w:val="TextoNormal"/>
      </w:pPr>
    </w:p>
    <w:p w:rsidR="00C54F26" w:rsidRDefault="00C54F26" w:rsidP="00C54F26">
      <w:pPr>
        <w:pStyle w:val="TextoNormal"/>
      </w:pPr>
      <w:r>
        <w:t>Por otra parte, entiende que también se encuentra incurso en las causas legales de recusación novena y duodécima del art. 219 LOPJ, como consecuencia de su anterior condición de fiscal general del Estado y por su amistad con el Sr. Pedro Crespo Barquero, encontrándose el recusado en una relación análoga con el presente proceso a la que llevó a la abstención del magistrado don Antonio Narváez, aceptada por ATC 99/2018, en el recurso de amparo 5934-2017. Añade que es notorio que el Sr. Pedro Crespo Barquero que ha sido nombrado por RD 345/2021, de 18 de mayo como fiscal Jefe ante el Tribunal Constitucional fue uno de los más estrechos colaboradores del magistrado recusado en la etapa en que fue fiscal general del Estado, añadiendo que el teniente fiscal ante el Tribunal Constitucional también fue nombrado por don Cándido Conde-Pumpido Touron por Real Decreto 1424/2006 de 1 de diciembre.</w:t>
      </w:r>
    </w:p>
    <w:p w:rsidR="00C54F26" w:rsidRDefault="00C54F26" w:rsidP="00C54F26">
      <w:pPr>
        <w:pStyle w:val="TextoNormal"/>
      </w:pPr>
    </w:p>
    <w:p w:rsidR="00C54F26" w:rsidRDefault="00C54F26" w:rsidP="00C54F26">
      <w:pPr>
        <w:pStyle w:val="TextoNormal"/>
      </w:pPr>
      <w:r w:rsidRPr="00C54F26">
        <w:rPr>
          <w:rStyle w:val="NumeroAFNegritaCaracter"/>
        </w:rPr>
        <w:t>4</w:t>
      </w:r>
      <w:r>
        <w:t>. Por providencia de 7 de junio de 2021 dictada por el Pleno del Tribunal Constitucional se acordó unir el anterior escrito presentado formulando incidente de recusación, así como la formación de pieza separada de recusación con suspensión de las actuaciones y designar al magistrado don Santiago Martínez-Vares García para que proponga al Pleno la resolución que proceda.</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El 4 de junio de 2021, el procurador de los tribunales don Javier Fernández Estrada, en nombre y representación de don Joaquim Torra i Pla, formuló incidente de recusación para conocer del recurso de amparo núm. 5840-2020 contra el magistrado don Cándido Conde-Pumpido Touron, por concurrir en el mismo las causas novena, décima y duodécima del art. 219 LOPJ.</w:t>
      </w:r>
    </w:p>
    <w:p w:rsidR="00C54F26" w:rsidRDefault="00C54F26" w:rsidP="00C54F26">
      <w:pPr>
        <w:pStyle w:val="TextoNormal"/>
      </w:pPr>
    </w:p>
    <w:p w:rsidR="00C54F26" w:rsidRDefault="00C54F26" w:rsidP="00C54F26">
      <w:pPr>
        <w:pStyle w:val="TextoNormal"/>
      </w:pPr>
      <w:r w:rsidRPr="00C54F26">
        <w:rPr>
          <w:rStyle w:val="NumeroAFNegritaCaracter"/>
        </w:rPr>
        <w:t>2</w:t>
      </w:r>
      <w:r>
        <w:t xml:space="preserve">. Desde las primeras resoluciones dictadas en materia de recusación, este tribunal ha admitido la posibilidad de denegar su tramitación cuando razones procesales o de fondo así lo exijan (AATC 109/1981, de 30 de octubre; 269/2014, de 4 de noviembre, entre otros muchos). El rechazo </w:t>
      </w:r>
      <w:r w:rsidRPr="00C54F26">
        <w:rPr>
          <w:i/>
        </w:rPr>
        <w:t>a limine</w:t>
      </w:r>
      <w:r>
        <w:t xml:space="preserve"> de una recusación puede producirse como consecuencia de su defectuoso planteamiento procesal (AATC 383/2006, de 2 de noviembre, FJ 2, y 394/2006, de 7 de noviembre, FJ 2). También es posible inadmitir a trámite las recusaciones en atención al momento en que se suscitan, su reiteración, las circunstancias que las circundan, a su planteamiento o a las argumentaciones que las fundamentan (AATC 394/2006, de 7 de noviembre, FJ 2; 454/2006, de 12 de diciembre, FJ 3, y 177/2007, de 7 de marzo, FJ 1), cuando son formuladas con manifiesto abuso de derecho o entrañan fraude de ley o procesal (art. 11.2 LOPJ), tal y como reiteradamente ha sostenido la jurisprudencia constitucional (ATC 119/2017, de 7 de septiembre, FJ 3). En tales casos, hemos afirmado que este último comportamiento también constituye una evidente infracción del deber de actuar con probidad en el proceso (art. 11.2 LOPJ), sin formular incidentes dilatorios, que resulta de la genérica obligación de colaborar en la recta administración de justicia (art. 118 CE), exigencia esta que, lamentablemente, en muchas ocasiones es desconocida.</w:t>
      </w:r>
    </w:p>
    <w:p w:rsidR="00C54F26" w:rsidRDefault="00C54F26" w:rsidP="00C54F26">
      <w:pPr>
        <w:pStyle w:val="TextoNormal"/>
      </w:pPr>
    </w:p>
    <w:p w:rsidR="00C54F26" w:rsidRDefault="00C54F26" w:rsidP="00C54F26">
      <w:pPr>
        <w:pStyle w:val="TextoNormal"/>
      </w:pPr>
      <w:r w:rsidRPr="00C54F26">
        <w:rPr>
          <w:rStyle w:val="NumeroAFNegritaCaracter"/>
        </w:rPr>
        <w:t>3</w:t>
      </w:r>
      <w:r>
        <w:t>. Aplicando la doctrina expuesta al presente caso, este tribunal considera conveniente destacar el carácter manifiestamente infundado de la recusación planteada.</w:t>
      </w:r>
    </w:p>
    <w:p w:rsidR="00C54F26" w:rsidRDefault="00C54F26" w:rsidP="00C54F26">
      <w:pPr>
        <w:pStyle w:val="TextoNormal"/>
      </w:pPr>
    </w:p>
    <w:p w:rsidR="00C54F26" w:rsidRDefault="00C54F26" w:rsidP="00C54F26">
      <w:pPr>
        <w:pStyle w:val="TextoNormal"/>
      </w:pPr>
      <w:r>
        <w:t>a) En primer lugar, debe destacarse la inconsistencia de la afirmada causa de recusación prevista en el art. 219 décima LOPJ, “tener interés directo o indirecto en el pleito o causa”, pues el recurrente omite cualquier referencia a la concurrencia de dicho interés y lo sustituye por la mera afirmación, huérfana de desarrollo argumental, de la existencia de una relación entre la causa penal en la que fue condenado el demandante de amparo y la causa especial núm. 20907-2017 seguida en la Sala Segunda del Tribunal Supremo, en cuyos recursos de amparo este Pleno por ATC 48/2021, de 21 de abril ha admitido la abstención del magistrado don Cándido Conde-Pumpido Touron. En este sentido, hemos afirmado que en el escrito en el que se proponga una recusación se deben expresar “los hechos concretos en que la parte funde tal afirmación y que estos hechos constituyan —en principio— los que configuran la causa invocada” (ATC 109/1981, de 30 de octubre, FJ 2; en el mismo sentido, AATC 115/2002, de 10 de julio, FJ 1; 80/2005, de 17 de febrero, FJ 3; 454/2006, de 12 de diciembre, FJ 3, y 26/2007, de 5 de febrero, FJ 2).</w:t>
      </w:r>
    </w:p>
    <w:p w:rsidR="00C54F26" w:rsidRDefault="00C54F26" w:rsidP="00C54F26">
      <w:pPr>
        <w:pStyle w:val="TextoNormal"/>
      </w:pPr>
    </w:p>
    <w:p w:rsidR="00C54F26" w:rsidRDefault="00C54F26" w:rsidP="00C54F26">
      <w:pPr>
        <w:pStyle w:val="TextoNormal"/>
      </w:pPr>
      <w:r>
        <w:t>b) En segundo lugar el recurrente, pese al carácter eminentemente personalísimo de la causa de recusación prevista en el art. 219 novena LOPJ (“amistad íntima”), afirma que entre don Pedro Crespo Barquero y el recusado existe “amistad”, sin justificar su afirmación, ni adjetivarla en modo alguno. Esto es, no expresa los hechos concretos en que la parte pudiera fundar tal afirmación, ni menos aún el proceso de inferencia en virtud del cual alcanza de modo lógico y racional dicha conclusión. En efecto, no podemos entender que el recusante infiere la existencia de amistad entre el recusado con don Pedro Crespo, de la circunstancia de que este fuera nombrado por don Cándido Conde-Pumpido fiscal jefe de la Secretaría Técnica de la Fiscalía General del Estado, pues ello supondría atribuirle un entendimiento de la función pública ajeno a elementales exigencias constitucionales (art. 23.1 CE). Es por ello que debe recordarse que no basta afirmar un motivo de recusación, sino que es preciso expresar los hechos concretos en que la parte funde tal afirmación y que estos hechos constituyan —en principio— los que configuran la causa invocada (ATC 109/1981, de 30 de octubre, FJ 2; en el mismo sentido, AATC 115/2002, de 10 de julio, FJ 1, y 80/2005, de 17 de febrero, FJ 3). Por otra parte, debe destacarse que el recurrente alude a la existencia de amistad, rebajando la intensidad contenida en la causa legal que sustenta la misma, y olvidando con ello que la interpretación del ámbito de las causas de recusación recogidas en la ley es estricta, o no extensiva (STC 162/1999, de 27 de septiembre, FJ 8).</w:t>
      </w:r>
    </w:p>
    <w:p w:rsidR="00C54F26" w:rsidRDefault="00C54F26" w:rsidP="00C54F26">
      <w:pPr>
        <w:pStyle w:val="TextoNormal"/>
      </w:pPr>
    </w:p>
    <w:p w:rsidR="00C54F26" w:rsidRDefault="00C54F26" w:rsidP="00C54F26">
      <w:pPr>
        <w:pStyle w:val="TextoNormal"/>
      </w:pPr>
      <w:r>
        <w:t xml:space="preserve">c) Y también debe indicarse que no menos endeble es la invocación de la causa de recusación contenida en el art. 219 duodécima LOPJ (“haber sido una de las partes subordinado del juez que deba resolver la contienda litigiosa”), que el recurrente ampara en la relación de subordinación existente “en su día entre quien ostenta actualmente la condición de magistrado del Tribunal Constitucional con los fiscales que han intervenido en este procedimiento”. Al plantear dicha causa de recusación el recusante no advierte que en la regulación de las causas de abstención y recusación el término parte no comprende al representante del Ministerio Fiscal (véase el art. 219 primera LOPJ), pues los funcionarios que representan al ministerio público en las causas en que este interviene no son parte, a título personal, en dichos procedimientos, limitándose a expresar en cada uno de ellos la unidad de actuación que caracteriza a la institución (art. 124 CE), y en segundo lugar, introduce de facto una nueva causa de inelegibilidad como magistrado del Tribunal Constitucional, ser o haber sido fiscal general del Estado, exceptuando parcialmente lo dispuesto en el art. 159.2 CE y 18 de la Ley Orgánica del Tribunal Constitucional, pues el magistrado que hubiera tenido dicha condición debería apartarse de la mayor parte de los procedimientos que se tramitan ante el Tribunal Constitucional, mermando el </w:t>
      </w:r>
      <w:r w:rsidRPr="00C54F26">
        <w:rPr>
          <w:i/>
        </w:rPr>
        <w:t>quorum</w:t>
      </w:r>
      <w:r>
        <w:t xml:space="preserve"> de las Secciones, las Salas y el Pleno del Tribunal Constitucional.</w:t>
      </w:r>
    </w:p>
    <w:p w:rsidR="00C54F26" w:rsidRDefault="00C54F26" w:rsidP="00C54F26">
      <w:pPr>
        <w:pStyle w:val="TextoNormal"/>
      </w:pPr>
    </w:p>
    <w:p w:rsidR="00C54F26" w:rsidRDefault="00C54F26" w:rsidP="00C54F26">
      <w:pPr>
        <w:pStyle w:val="TextoNormal"/>
      </w:pPr>
      <w:r w:rsidRPr="00C54F26">
        <w:rPr>
          <w:rStyle w:val="NumeroAFNegritaCaracter"/>
        </w:rPr>
        <w:t>4</w:t>
      </w:r>
      <w:r>
        <w:t>. En conclusión, en aplicación de los criterios que han sido ya expuestos, apreciándose el carácter manifiestamente infundado de la recusación formulada, procede su inadmisión a trámite.</w:t>
      </w:r>
    </w:p>
    <w:p w:rsidR="00C54F26" w:rsidRDefault="00C54F26" w:rsidP="00C54F26">
      <w:pPr>
        <w:pStyle w:val="TextoNormal"/>
      </w:pPr>
    </w:p>
    <w:p w:rsidR="00C54F26" w:rsidRDefault="00C54F26" w:rsidP="00C54F26">
      <w:pPr>
        <w:pStyle w:val="TextoNormal"/>
      </w:pPr>
      <w:r>
        <w:t>Por lo expuesto, el Pleno</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1. No admitir a trámite la recusación formulada por don Joaquim Torra i Pla.</w:t>
      </w:r>
    </w:p>
    <w:p w:rsidR="00C54F26" w:rsidRDefault="00C54F26" w:rsidP="00C54F26">
      <w:pPr>
        <w:pStyle w:val="TextoNormal"/>
      </w:pPr>
    </w:p>
    <w:p w:rsidR="00C54F26" w:rsidRDefault="00C54F26" w:rsidP="00C54F26">
      <w:pPr>
        <w:pStyle w:val="TextoNormal"/>
      </w:pPr>
      <w:r>
        <w:t>2. Llevar testimonio de esta resolución para su incorporación en el procedimiento principal en el que se ha formulado la recusación.</w:t>
      </w:r>
    </w:p>
    <w:p w:rsidR="00C54F26" w:rsidRDefault="00C54F26" w:rsidP="00C54F26">
      <w:pPr>
        <w:pStyle w:val="TextoNormal"/>
      </w:pPr>
    </w:p>
    <w:p w:rsidR="00C54F26" w:rsidRDefault="00C54F26" w:rsidP="00C54F26">
      <w:pPr>
        <w:pStyle w:val="TextoNormal"/>
      </w:pPr>
      <w:r>
        <w:t>Madrid, a veinticuatro de junio de dos mil veintiuno.</w:t>
      </w:r>
    </w:p>
    <w:p w:rsidR="00C54F26" w:rsidRDefault="00C54F26">
      <w:pPr>
        <w:spacing w:after="0" w:line="360" w:lineRule="auto"/>
        <w:ind w:firstLine="851"/>
        <w:jc w:val="both"/>
        <w:rPr>
          <w:rFonts w:ascii="Times New Roman" w:eastAsia="Times New Roman" w:hAnsi="Times New Roman" w:cs="Times New Roman"/>
          <w:sz w:val="24"/>
          <w:szCs w:val="24"/>
          <w:lang w:eastAsia="es-ES"/>
        </w:rPr>
      </w:pPr>
      <w:r>
        <w:br w:type="page"/>
      </w:r>
    </w:p>
    <w:p w:rsidR="00C54F26" w:rsidRDefault="00C54F26" w:rsidP="00C54F26">
      <w:pPr>
        <w:pStyle w:val="TtuloResolucin"/>
      </w:pPr>
      <w:bookmarkStart w:id="211" w:name="AUTO_2021_70"/>
      <w:r>
        <w:t>AUTO 70/2021, de 29 de junio de 2021</w:t>
      </w:r>
    </w:p>
    <w:bookmarkEnd w:id="211"/>
    <w:p w:rsidR="00C54F26" w:rsidRDefault="00C54F26" w:rsidP="00C54F26">
      <w:pPr>
        <w:pStyle w:val="TtuloResolucin"/>
      </w:pPr>
      <w:r>
        <w:t>Sección Primera</w:t>
      </w:r>
    </w:p>
    <w:p w:rsidR="00C54F26" w:rsidRDefault="00C54F26" w:rsidP="00C54F26">
      <w:pPr>
        <w:pStyle w:val="TextoNormalCentrado"/>
      </w:pPr>
      <w:r>
        <w:t>ECLI:ES:TC:2021:70A</w:t>
      </w:r>
    </w:p>
    <w:p w:rsidR="00C54F26" w:rsidRDefault="00C54F26" w:rsidP="00C54F26">
      <w:pPr>
        <w:pStyle w:val="TextoNormalCentrado"/>
      </w:pPr>
    </w:p>
    <w:p w:rsidR="00C54F26" w:rsidRDefault="00C54F26" w:rsidP="00C54F26">
      <w:pPr>
        <w:pStyle w:val="SntesisDescriptiva"/>
      </w:pPr>
      <w:r>
        <w:t>Excms. Srs. don Juan José González Rivas, don Alfredo Montoya Melgar y don Cándido Conde-Pumpido Tourón.</w:t>
      </w:r>
    </w:p>
    <w:p w:rsidR="00C54F26" w:rsidRDefault="00C54F26" w:rsidP="00C54F26">
      <w:pPr>
        <w:pStyle w:val="SntesisDescriptiva"/>
      </w:pPr>
    </w:p>
    <w:p w:rsidR="00C54F26" w:rsidRDefault="00C54F26" w:rsidP="00C54F26">
      <w:pPr>
        <w:pStyle w:val="SntesisDescriptiva"/>
      </w:pPr>
      <w:r>
        <w:t>Desestima el recurso de súplica interpuesto por el Ministerio Fiscal frente a la providencia de inadmisión del recurso de amparo 636-2021, promovido por don Christian Sánchez Escuder en causa penal.</w:t>
      </w:r>
    </w:p>
    <w:p w:rsidR="00C54F26" w:rsidRDefault="00C54F26" w:rsidP="00C54F26">
      <w:pPr>
        <w:pStyle w:val="SntesisDescriptiva"/>
      </w:pPr>
    </w:p>
    <w:p w:rsidR="00C54F26" w:rsidRDefault="00C54F26" w:rsidP="00C54F26">
      <w:pPr>
        <w:pStyle w:val="SntesisDescriptiva"/>
      </w:pPr>
    </w:p>
    <w:p w:rsidR="00C54F26" w:rsidRDefault="00C54F26" w:rsidP="00C54F26">
      <w:pPr>
        <w:pStyle w:val="SntesisDescriptiva"/>
      </w:pPr>
    </w:p>
    <w:p w:rsidR="00C54F26" w:rsidRDefault="00C54F26" w:rsidP="00C54F26">
      <w:pPr>
        <w:pStyle w:val="TextoNormalNegritaCentrado"/>
      </w:pPr>
      <w:r>
        <w:t>AUTO</w:t>
      </w:r>
    </w:p>
    <w:p w:rsidR="00C54F26" w:rsidRDefault="00C54F26" w:rsidP="00C54F26">
      <w:pPr>
        <w:pStyle w:val="TextoNormalNegritaCentrado"/>
      </w:pPr>
    </w:p>
    <w:p w:rsidR="00C54F26" w:rsidRDefault="00C54F26" w:rsidP="00C54F26">
      <w:pPr>
        <w:pStyle w:val="TextoNormalNegritaCentrado"/>
        <w:keepNext/>
      </w:pPr>
      <w:r>
        <w:t>I. Antecedentes</w:t>
      </w:r>
    </w:p>
    <w:p w:rsidR="00C54F26" w:rsidRDefault="00C54F26" w:rsidP="00C54F26">
      <w:pPr>
        <w:pStyle w:val="TextoNormalNegritaCentrado"/>
        <w:keepNext/>
      </w:pPr>
    </w:p>
    <w:p w:rsidR="00C54F26" w:rsidRDefault="00C54F26" w:rsidP="00C54F26">
      <w:pPr>
        <w:pStyle w:val="TextoNormal"/>
      </w:pPr>
      <w:r w:rsidRPr="00C54F26">
        <w:rPr>
          <w:rStyle w:val="NumeroAFNegritaCaracter"/>
        </w:rPr>
        <w:t>1</w:t>
      </w:r>
      <w:r>
        <w:t>. Mediante escrito recibido en el registro general de este tribunal el 3 de febrero de 2021, la procuradora de los tribunales doña María José Balsera Romero, en nombre y representación de don Christian Sánchez Escuder, interpuso recurso de amparo que, según su encabezamiento, se dirigía contra la sentencia núm. 659/2020, de 3 de diciembre, dictada por la Sala de lo Penal del Tribunal Supremo, que estimaba parcialmente el recurso de casación interpuesto contra la sentencia dictada por el Tribunal Superior de Justicia de la Comunidad Valenciana, con fecha 12 de mayo de 2020, que desestimó el recurso de apelación interpuesto contra la sentencia de la Sección Tercera de la Audiencia Provincial de Valencia, de fecha 12 de diciembre de 2019, que condenó al recurrente como autor de varios delitos de abusos sexuales.</w:t>
      </w:r>
    </w:p>
    <w:p w:rsidR="00C54F26" w:rsidRDefault="00C54F26" w:rsidP="00C54F26">
      <w:pPr>
        <w:pStyle w:val="TextoNormal"/>
      </w:pPr>
    </w:p>
    <w:p w:rsidR="00C54F26" w:rsidRDefault="00C54F26" w:rsidP="00C54F26">
      <w:pPr>
        <w:pStyle w:val="TextoNormal"/>
      </w:pPr>
      <w:r w:rsidRPr="00C54F26">
        <w:rPr>
          <w:rStyle w:val="NumeroAFNegritaCaracter"/>
        </w:rPr>
        <w:t>2</w:t>
      </w:r>
      <w:r>
        <w:t>. En la demanda de amparo se esgrimen tres quejas:</w:t>
      </w:r>
    </w:p>
    <w:p w:rsidR="00C54F26" w:rsidRDefault="00C54F26" w:rsidP="00C54F26">
      <w:pPr>
        <w:pStyle w:val="TextoNormal"/>
      </w:pPr>
    </w:p>
    <w:p w:rsidR="00C54F26" w:rsidRDefault="00C54F26" w:rsidP="00C54F26">
      <w:pPr>
        <w:pStyle w:val="TextoNormal"/>
      </w:pPr>
      <w:r>
        <w:t>a) Vulneración del derecho tutela judicial efectiva en relación con la utilización de medios de pertinentes para la defensa (art. 24 CE), al habérsele inadmitido ya desde la fase de instrucción una determinada diligencia, que entiende necesaria.</w:t>
      </w:r>
    </w:p>
    <w:p w:rsidR="00C54F26" w:rsidRDefault="00C54F26" w:rsidP="00C54F26">
      <w:pPr>
        <w:pStyle w:val="TextoNormal"/>
      </w:pPr>
    </w:p>
    <w:p w:rsidR="00C54F26" w:rsidRDefault="00C54F26" w:rsidP="00C54F26">
      <w:pPr>
        <w:pStyle w:val="TextoNormal"/>
      </w:pPr>
      <w:r>
        <w:t>b) Vulneración del derecho a la presunción de inocencia (art. 24.2 CE), al cuestionar las declaraciones de las víctimas, que califica de titubeantes y dubitativas, de modo que no permiten entender acreditados datos relevantes que despejen cualquier duda sobre la prestación de su consentimiento.</w:t>
      </w:r>
    </w:p>
    <w:p w:rsidR="00C54F26" w:rsidRDefault="00C54F26" w:rsidP="00C54F26">
      <w:pPr>
        <w:pStyle w:val="TextoNormal"/>
      </w:pPr>
    </w:p>
    <w:p w:rsidR="00C54F26" w:rsidRDefault="00C54F26" w:rsidP="00C54F26">
      <w:pPr>
        <w:pStyle w:val="TextoNormal"/>
      </w:pPr>
      <w:r>
        <w:t>c) Vulneración del derecho tutela judicial efectiva en relación con el principio acusatorio y derecho de defensa dado que, a su juicio, el Tribunal Supremo llevó a cabo una subsunción de los hechos diferente respecto del tipo penal objeto de condena en primera instancia, y para ello modificó los hechos declarados probados. Aunque no varíe la pena, con semejante proceder infringió las reglas del principio acusatorio.</w:t>
      </w:r>
    </w:p>
    <w:p w:rsidR="00C54F26" w:rsidRDefault="00C54F26" w:rsidP="00C54F26">
      <w:pPr>
        <w:pStyle w:val="TextoNormal"/>
      </w:pPr>
    </w:p>
    <w:p w:rsidR="00C54F26" w:rsidRDefault="00C54F26" w:rsidP="00C54F26">
      <w:pPr>
        <w:pStyle w:val="TextoNormal"/>
      </w:pPr>
      <w:r>
        <w:t>La demanda termina suplicando que se dicte sentencia “anulando y dejando sin efecto las citadas sentencias, en relación con los dos delitos de abusos sexuales continuados del artículo 181.1 y 4, en relación con el artículo 74 del Código penal (CP), el delito de abusos sexuales del artículo 181.4 CP, el delito de abusos sexuales del artículo 183.1 CP y el delito de abusos sexuales del artículo 181.1 CP, absolviendo expresamente a mi representado de los mismos en los términos interesados en la presente demanda de amparo y en la forma que proceda en derecho”.</w:t>
      </w:r>
    </w:p>
    <w:p w:rsidR="00C54F26" w:rsidRDefault="00C54F26" w:rsidP="00C54F26">
      <w:pPr>
        <w:pStyle w:val="TextoNormal"/>
      </w:pPr>
    </w:p>
    <w:p w:rsidR="00C54F26" w:rsidRDefault="00C54F26" w:rsidP="00C54F26">
      <w:pPr>
        <w:pStyle w:val="TextoNormal"/>
      </w:pPr>
      <w:r w:rsidRPr="00C54F26">
        <w:rPr>
          <w:rStyle w:val="NumeroAFNegritaCaracter"/>
        </w:rPr>
        <w:t>3</w:t>
      </w:r>
      <w:r>
        <w:t>. Mediante providencia de fecha 14 de mayo de 2021 esta Sección acordó inadmitir a trámite el recurso de amparo con arreglo a lo previsto en el art. 50.1 a) de la Ley Orgánica del Tribunal Constitucional (LOTC), en relación con su art. 44.1 a), por no haber concluido el proceso abierto en la vía judicial.</w:t>
      </w:r>
    </w:p>
    <w:p w:rsidR="00C54F26" w:rsidRDefault="00C54F26" w:rsidP="00C54F26">
      <w:pPr>
        <w:pStyle w:val="TextoNormal"/>
      </w:pPr>
    </w:p>
    <w:p w:rsidR="00C54F26" w:rsidRDefault="00C54F26" w:rsidP="00C54F26">
      <w:pPr>
        <w:pStyle w:val="TextoNormal"/>
      </w:pPr>
      <w:r w:rsidRPr="00C54F26">
        <w:rPr>
          <w:rStyle w:val="NumeroAFNegritaCaracter"/>
        </w:rPr>
        <w:t>4</w:t>
      </w:r>
      <w:r>
        <w:t>. Por escrito registrado el 2 de junio de 2021, el Ministerio Fiscal interpuso recurso de súplica contra la referida providencia, alegando que el proceso ha terminado con las dos sentencias dictadas por el Tribunal Supremo y, si bien es cierto que el recurrente habla de la “sentencia núm. 659/2020 de fecha 3 de diciembre, considera el [f]iscal que sería excesivamente formalista entender que, como solo menciona la primera sentencia de casación, el proceso aún está abierto en la vía judicial previa, teniendo en cuenta que la segunda sentencia del Tribunal Supremo es de la misma fecha, es el complemento de la anterior y parece evidente que el recurrente la pretende impugnar”.</w:t>
      </w:r>
    </w:p>
    <w:p w:rsidR="00C54F26" w:rsidRDefault="00C54F26" w:rsidP="00C54F26">
      <w:pPr>
        <w:pStyle w:val="TextoNormal"/>
      </w:pPr>
    </w:p>
    <w:p w:rsidR="00C54F26" w:rsidRDefault="00C54F26" w:rsidP="00C54F26">
      <w:pPr>
        <w:pStyle w:val="TextoNormal"/>
      </w:pPr>
      <w:r>
        <w:t>Por ello, el Ministerio Fiscal solicita se deje sin efecto la providencia de inadmisión, sin perjuicio de la adopción de la resolución procedente en orden a la admisión o no, por otras causas, del recurso de amparo interpuesto.</w:t>
      </w:r>
    </w:p>
    <w:p w:rsidR="00C54F26" w:rsidRDefault="00C54F26" w:rsidP="00C54F26">
      <w:pPr>
        <w:pStyle w:val="TextoNormal"/>
      </w:pPr>
    </w:p>
    <w:p w:rsidR="00C54F26" w:rsidRDefault="00C54F26" w:rsidP="00C54F26">
      <w:pPr>
        <w:pStyle w:val="TextoNormal"/>
      </w:pPr>
      <w:r w:rsidRPr="00C54F26">
        <w:rPr>
          <w:rStyle w:val="NumeroAFNegritaCaracter"/>
        </w:rPr>
        <w:t>5</w:t>
      </w:r>
      <w:r>
        <w:t>. De conformidad con lo previsto en el artículo 93.2 LOTC, por diligencia de ordenación de 4 de junio de 2021, se acordó dar traslado del recurso de súplica al demandante, para que en el plazo de tres días alegara lo que estimase pertinente. Su representación procesal presentó el 22 de junio pasado un escrito en el que muestra su conformidad con el recurso de súplica interpuesto por el Ministerio Fiscal.</w:t>
      </w:r>
    </w:p>
    <w:p w:rsidR="00C54F26" w:rsidRDefault="00C54F26" w:rsidP="00C54F26">
      <w:pPr>
        <w:pStyle w:val="TextoNormal"/>
      </w:pPr>
    </w:p>
    <w:p w:rsidR="00C54F26" w:rsidRDefault="00C54F26" w:rsidP="00C54F26">
      <w:pPr>
        <w:pStyle w:val="TextoNormalNegritaCentrado"/>
        <w:keepNext/>
      </w:pPr>
      <w:r>
        <w:t>II. Fundamentos jurídicos</w:t>
      </w:r>
    </w:p>
    <w:p w:rsidR="00C54F26" w:rsidRDefault="00C54F26" w:rsidP="00C54F26">
      <w:pPr>
        <w:pStyle w:val="TextoNormalNegritaCentrado"/>
        <w:keepNext/>
      </w:pPr>
    </w:p>
    <w:p w:rsidR="00C54F26" w:rsidRDefault="00C54F26" w:rsidP="00C54F26">
      <w:pPr>
        <w:pStyle w:val="TextoNormal"/>
      </w:pPr>
      <w:r w:rsidRPr="00C54F26">
        <w:rPr>
          <w:rStyle w:val="TextoNormalNegritaCaracter"/>
        </w:rPr>
        <w:t xml:space="preserve">Único. </w:t>
      </w:r>
      <w:r>
        <w:t>Como ha sido expuesto en los antecedentes, el presente recurso de amparo fue inadmitido a trámite mediante providencia de la Sección Primera de este tribunal de fecha 14 de mayo de 2021 con arreglo a lo previsto en el art. 50.1 a) LOTC, en relación con su art. 44.1 a), por no haber concluido el proceso abierto en la vía judicial.</w:t>
      </w:r>
    </w:p>
    <w:p w:rsidR="00C54F26" w:rsidRDefault="00C54F26" w:rsidP="00C54F26">
      <w:pPr>
        <w:pStyle w:val="TextoNormal"/>
      </w:pPr>
    </w:p>
    <w:p w:rsidR="00C54F26" w:rsidRDefault="00C54F26" w:rsidP="00C54F26">
      <w:pPr>
        <w:pStyle w:val="TextoNormal"/>
      </w:pPr>
      <w:r>
        <w:t>La Sección adoptó esta decisión al tomar en consideración que el recurrente en amparo promovió incidente excepcional de nulidad de actuaciones del art. 241 de la Ley Orgánica del Poder Judicial contra la sentencia citada de la Sala de lo Penal del Tribunal Supremo (recurso de casación núm. 10282-2020) y acudió al recurso de amparo cuando el mismo se hallaba aún pendiente de resolver, lo que tuvo lugar por auto de 11 de marzo de 2021, posterior a la fecha de presentación de la demanda.</w:t>
      </w:r>
    </w:p>
    <w:p w:rsidR="00C54F26" w:rsidRDefault="00C54F26" w:rsidP="00C54F26">
      <w:pPr>
        <w:pStyle w:val="TextoNormal"/>
      </w:pPr>
    </w:p>
    <w:p w:rsidR="00C54F26" w:rsidRDefault="00C54F26" w:rsidP="00C54F26">
      <w:pPr>
        <w:pStyle w:val="TextoNormal"/>
      </w:pPr>
      <w:r>
        <w:t>Ello determina que en el presente caso concurra el óbice procesal de falta de agotamiento de la vía judicial previa [arts. 50.1 a) y 44.1 a) LOTC], al haberse hecho coexistir esta jurisdicción de amparo con la vía judicial ordinaria, pues el demandante compareció ante este Tribunal Constitucional “cuando aún no se habían resuelto los medios de impugnación que había puesto en marcha dentro de la vía judicial previa, provocando así la coexistencia temporal de ambos procedimientos, el de la jurisdicción ordinaria y el presente proceso de amparo” (STC 199/2012, de 12 de noviembre, FJ 2). Un defecto insubsanable para cuya determinación, tal y como ha establecido la doctrina de este tribunal, el momento relevante es “la demanda de amparo, en el momento de su interposición, que es el que se ha de tomar como ‘punto de referencia’” (SSTC 249/2006, de 24 de junio, FJ 2; 242/2007, de 10 de diciembre, FJ 4, y 199/2012, de 12 de noviembre, FJ 2).</w:t>
      </w:r>
    </w:p>
    <w:p w:rsidR="00C54F26" w:rsidRDefault="00C54F26" w:rsidP="00C54F26">
      <w:pPr>
        <w:pStyle w:val="TextoNormal"/>
      </w:pPr>
    </w:p>
    <w:p w:rsidR="00C54F26" w:rsidRDefault="00C54F26" w:rsidP="00C54F26">
      <w:pPr>
        <w:pStyle w:val="TextoNormal"/>
      </w:pPr>
      <w:r>
        <w:t>Procede, pues, la desestimación del recurso de súplica, al no haberse desvirtuado la razón que llevó a inadmitir el presente recurso de amparo.</w:t>
      </w:r>
    </w:p>
    <w:p w:rsidR="00C54F26" w:rsidRDefault="00C54F26" w:rsidP="00C54F26">
      <w:pPr>
        <w:pStyle w:val="TextoNormal"/>
      </w:pPr>
    </w:p>
    <w:p w:rsidR="00C54F26" w:rsidRDefault="00C54F26" w:rsidP="00C54F26">
      <w:pPr>
        <w:pStyle w:val="TextoNormal"/>
      </w:pPr>
      <w:r>
        <w:t>Por lo expuesto, la Sección</w:t>
      </w:r>
    </w:p>
    <w:p w:rsidR="00C54F26" w:rsidRDefault="00C54F26" w:rsidP="00C54F26">
      <w:pPr>
        <w:pStyle w:val="TextoNormal"/>
      </w:pPr>
    </w:p>
    <w:p w:rsidR="00C54F26" w:rsidRDefault="00C54F26" w:rsidP="00C54F26">
      <w:pPr>
        <w:pStyle w:val="TextoNormalCentrado"/>
      </w:pPr>
      <w:r>
        <w:t>ACUERDA</w:t>
      </w:r>
    </w:p>
    <w:p w:rsidR="00C54F26" w:rsidRDefault="00C54F26" w:rsidP="00C54F26">
      <w:pPr>
        <w:pStyle w:val="TextoNormalCentrado"/>
      </w:pPr>
    </w:p>
    <w:p w:rsidR="00C54F26" w:rsidRDefault="00C54F26" w:rsidP="00C54F26">
      <w:pPr>
        <w:pStyle w:val="TextoNormal"/>
      </w:pPr>
      <w:r>
        <w:t>Desestimar el recurso de súplica interpuesto por el Ministerio Fiscal contra la providencia de fecha 14 de mayo de 2021.</w:t>
      </w:r>
    </w:p>
    <w:p w:rsidR="00C54F26" w:rsidRDefault="00C54F26" w:rsidP="00C54F26">
      <w:pPr>
        <w:pStyle w:val="TextoNormal"/>
      </w:pPr>
    </w:p>
    <w:p w:rsidR="00C54F26" w:rsidRDefault="00C54F26" w:rsidP="002C5A78">
      <w:pPr>
        <w:pStyle w:val="TextoNormal"/>
      </w:pPr>
      <w:r>
        <w:t>Madrid,  a veintinueve de junio de dos mil veintiuno.</w:t>
      </w:r>
    </w:p>
    <w:p w:rsidR="002C5A78" w:rsidRDefault="002C5A78">
      <w:pPr>
        <w:spacing w:after="0" w:line="360" w:lineRule="auto"/>
        <w:ind w:firstLine="851"/>
        <w:jc w:val="both"/>
        <w:rPr>
          <w:rFonts w:ascii="Times New Roman" w:eastAsia="Times New Roman" w:hAnsi="Times New Roman" w:cs="Times New Roman"/>
          <w:sz w:val="24"/>
          <w:szCs w:val="24"/>
          <w:lang w:eastAsia="es-ES"/>
        </w:rPr>
      </w:pPr>
      <w:r>
        <w:br w:type="page"/>
      </w:r>
    </w:p>
    <w:p w:rsidR="002C5A78" w:rsidRDefault="002C5A78" w:rsidP="00C54F26">
      <w:pPr>
        <w:pStyle w:val="ParrafoNormal"/>
      </w:pPr>
    </w:p>
    <w:p w:rsidR="002C5A78" w:rsidRDefault="002C5A78" w:rsidP="002C5A78">
      <w:pPr>
        <w:pStyle w:val="TextoNormal"/>
      </w:pPr>
    </w:p>
    <w:p w:rsidR="002C5A78" w:rsidRDefault="002C5A78" w:rsidP="002C5A78">
      <w:pPr>
        <w:pStyle w:val="TextoNormal"/>
      </w:pPr>
    </w:p>
    <w:p w:rsidR="002C5A78" w:rsidRDefault="002C5A78" w:rsidP="002C5A78">
      <w:pPr>
        <w:pStyle w:val="TextoNormal"/>
      </w:pPr>
    </w:p>
    <w:p w:rsidR="002C5A78" w:rsidRDefault="002C5A78" w:rsidP="002C5A78">
      <w:pPr>
        <w:pStyle w:val="Ttulondice"/>
        <w:suppressAutoHyphens/>
      </w:pPr>
      <w:r>
        <w:t>3. ÍNDICE DE DISPOSICIONES CON FUERZA DE LEY IMPUGNADAS</w:t>
      </w: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pPr>
    </w:p>
    <w:p w:rsidR="002C5A78" w:rsidRDefault="002C5A78" w:rsidP="002C5A78">
      <w:pPr>
        <w:pStyle w:val="TextoNormal"/>
      </w:pPr>
      <w:bookmarkStart w:id="212" w:name="INDICE22802"/>
      <w:bookmarkEnd w:id="212"/>
    </w:p>
    <w:p w:rsidR="002C5A78" w:rsidRDefault="002C5A78" w:rsidP="002C5A78">
      <w:pPr>
        <w:pStyle w:val="TextoIndiceNivel2"/>
        <w:suppressAutoHyphens/>
      </w:pPr>
      <w:r>
        <w:t>A) Disposiciones con fuerza de ley del Estado</w:t>
      </w:r>
    </w:p>
    <w:p w:rsidR="002C5A78" w:rsidRDefault="002C5A78" w:rsidP="002C5A78">
      <w:pPr>
        <w:pStyle w:val="TextoIndiceNivel2"/>
      </w:pPr>
    </w:p>
    <w:p w:rsidR="002C5A78" w:rsidRDefault="002C5A78" w:rsidP="002C5A78">
      <w:pPr>
        <w:pStyle w:val="TextoNormalNegritaCursivandice"/>
        <w:keepNext/>
      </w:pPr>
      <w:r>
        <w:t>Ley 14/1966, de 18 de marzo. Prensa e imprenta</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14" w:history="1">
        <w:r w:rsidRPr="002C5A78">
          <w:rPr>
            <w:rStyle w:val="TextoNormalCaracter"/>
          </w:rPr>
          <w:t>14/2021</w:t>
        </w:r>
      </w:hyperlink>
      <w:r>
        <w:t>.</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14" w:history="1">
        <w:r w:rsidRPr="002C5A78">
          <w:rPr>
            <w:rStyle w:val="TextoNormalCaracter"/>
          </w:rPr>
          <w:t>14/2021</w:t>
        </w:r>
      </w:hyperlink>
      <w:r>
        <w:t>.</w:t>
      </w:r>
    </w:p>
    <w:p w:rsidR="002C5A78" w:rsidRDefault="002C5A78" w:rsidP="002C5A78">
      <w:pPr>
        <w:pStyle w:val="SangriaFrancesaArticulo"/>
      </w:pPr>
    </w:p>
    <w:p w:rsidR="002C5A78" w:rsidRDefault="002C5A78" w:rsidP="002C5A78">
      <w:pPr>
        <w:pStyle w:val="TextoNormalNegritaCursivandice"/>
        <w:keepNext/>
      </w:pPr>
      <w:r>
        <w:t>Ley Orgánica 5/1985, de 19 de junio, del régimen electoral general</w:t>
      </w:r>
    </w:p>
    <w:p w:rsidR="002C5A78" w:rsidRDefault="002C5A78" w:rsidP="002C5A78">
      <w:pPr>
        <w:pStyle w:val="SangriaFrancesaArticulo"/>
      </w:pPr>
      <w:r w:rsidRPr="002C5A78">
        <w:rPr>
          <w:rStyle w:val="TextoNormalNegritaCaracter"/>
        </w:rPr>
        <w:t>Artículo 137.</w:t>
      </w:r>
      <w:r w:rsidRPr="002C5A78">
        <w:rPr>
          <w:rStyle w:val="TextoNormalCaracter"/>
        </w:rPr>
        <w:t>-</w:t>
      </w:r>
      <w:r>
        <w:t xml:space="preserve"> Sentencia </w:t>
      </w:r>
      <w:hyperlink w:anchor="SENTENCIA_2021_126" w:history="1">
        <w:r w:rsidRPr="002C5A78">
          <w:rPr>
            <w:rStyle w:val="TextoNormalCaracter"/>
          </w:rPr>
          <w:t>126/2021</w:t>
        </w:r>
      </w:hyperlink>
      <w:r>
        <w:t>.</w:t>
      </w:r>
    </w:p>
    <w:p w:rsidR="002C5A78" w:rsidRDefault="002C5A78" w:rsidP="002C5A78">
      <w:pPr>
        <w:pStyle w:val="SangriaFrancesaArticulo"/>
      </w:pPr>
      <w:r w:rsidRPr="002C5A78">
        <w:rPr>
          <w:rStyle w:val="TextoNormalNegritaCaracter"/>
        </w:rPr>
        <w:t>Artículo 153.1.</w:t>
      </w:r>
      <w:r w:rsidRPr="002C5A78">
        <w:rPr>
          <w:rStyle w:val="TextoNormalCaracter"/>
        </w:rPr>
        <w:t>-</w:t>
      </w:r>
      <w:r>
        <w:t xml:space="preserve"> Sentencia </w:t>
      </w:r>
      <w:hyperlink w:anchor="SENTENCIA_2021_14" w:history="1">
        <w:r w:rsidRPr="002C5A78">
          <w:rPr>
            <w:rStyle w:val="TextoNormalCaracter"/>
          </w:rPr>
          <w:t>14/2021</w:t>
        </w:r>
      </w:hyperlink>
      <w:r>
        <w:t>.</w:t>
      </w:r>
    </w:p>
    <w:p w:rsidR="002C5A78" w:rsidRDefault="002C5A78" w:rsidP="002C5A78">
      <w:pPr>
        <w:pStyle w:val="SangriaFrancesaArticulo"/>
      </w:pPr>
    </w:p>
    <w:p w:rsidR="002C5A78" w:rsidRDefault="002C5A78" w:rsidP="002C5A78">
      <w:pPr>
        <w:pStyle w:val="TextoNormalNegritaCursivandice"/>
        <w:keepNext/>
      </w:pPr>
      <w:r>
        <w:t>Ley Orgánica 4/2000, de 11 de enero. Derechos y libertades de los extranjeros en España y su integración social</w:t>
      </w:r>
    </w:p>
    <w:p w:rsidR="002C5A78" w:rsidRDefault="002C5A78" w:rsidP="002C5A78">
      <w:pPr>
        <w:pStyle w:val="SangriaFrancesaArticulo"/>
      </w:pPr>
      <w:r w:rsidRPr="002C5A78">
        <w:rPr>
          <w:rStyle w:val="TextoNormalNegritaCaracter"/>
        </w:rPr>
        <w:t>Disposición adicional décima</w:t>
      </w:r>
      <w:r>
        <w:t xml:space="preserve"> (redactada por la Ley Orgánica 4/2015, de 30 de marzo)</w:t>
      </w:r>
      <w:r w:rsidRPr="002C5A78">
        <w:rPr>
          <w:rStyle w:val="TextoNormalNegritaCaracter"/>
        </w:rPr>
        <w:t>.</w:t>
      </w:r>
      <w:r w:rsidRPr="002C5A78">
        <w:rPr>
          <w:rStyle w:val="TextoNormalCaracter"/>
        </w:rPr>
        <w:t>-</w:t>
      </w:r>
      <w:r>
        <w:t xml:space="preserve"> Sentencia </w:t>
      </w:r>
      <w:hyperlink w:anchor="SENTENCIA_2021_13" w:history="1">
        <w:r w:rsidRPr="002C5A78">
          <w:rPr>
            <w:rStyle w:val="TextoNormalCaracter"/>
          </w:rPr>
          <w:t>13/2021</w:t>
        </w:r>
      </w:hyperlink>
      <w:r>
        <w:t xml:space="preserve"> (interpreta).</w:t>
      </w:r>
    </w:p>
    <w:p w:rsidR="002C5A78" w:rsidRDefault="002C5A78" w:rsidP="002C5A78">
      <w:pPr>
        <w:pStyle w:val="SangriaFrancesaArticulo"/>
      </w:pPr>
    </w:p>
    <w:p w:rsidR="002C5A78" w:rsidRDefault="002C5A78" w:rsidP="002C5A78">
      <w:pPr>
        <w:pStyle w:val="TextoNormalNegritaCursivandice"/>
        <w:keepNext/>
      </w:pPr>
      <w:r>
        <w:t>Ley 54/2007, de 28 de diciembre. Adopción internacional</w:t>
      </w:r>
    </w:p>
    <w:p w:rsidR="002C5A78" w:rsidRDefault="002C5A78" w:rsidP="002C5A78">
      <w:pPr>
        <w:pStyle w:val="SangriaFrancesaArticulo"/>
      </w:pPr>
      <w:r w:rsidRPr="002C5A78">
        <w:rPr>
          <w:rStyle w:val="TextoNormalNegritaCaracter"/>
        </w:rPr>
        <w:t>Artículo 7.2 párrafo primero.</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7.7 inciso "la administración general del Estado, a iniciativa propia o a propuesta de las entidades públicas en su ámbito territorial".</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8.1 inciso "que se encuentre acreditado por la administración general del Estado".</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Ley Orgánica 4/2015, de 30 de marzo, de protección de la seguridad ciudadana</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13" w:history="1">
        <w:r w:rsidRPr="002C5A78">
          <w:rPr>
            <w:rStyle w:val="TextoNormalCaracter"/>
          </w:rPr>
          <w:t>13/2021</w:t>
        </w:r>
      </w:hyperlink>
      <w:r>
        <w:t>.</w:t>
      </w:r>
    </w:p>
    <w:p w:rsidR="002C5A78" w:rsidRDefault="002C5A78" w:rsidP="002C5A78">
      <w:pPr>
        <w:pStyle w:val="SangriaFrancesaArticulo"/>
      </w:pPr>
      <w:r w:rsidRPr="002C5A78">
        <w:rPr>
          <w:rStyle w:val="TextoNormalNegritaCaracter"/>
        </w:rPr>
        <w:t>Artículo 35.1.</w:t>
      </w:r>
      <w:r w:rsidRPr="002C5A78">
        <w:rPr>
          <w:rStyle w:val="TextoNormalCaracter"/>
        </w:rPr>
        <w:t>-</w:t>
      </w:r>
      <w:r>
        <w:t xml:space="preserve"> Sentencia </w:t>
      </w:r>
      <w:hyperlink w:anchor="SENTENCIA_2021_13" w:history="1">
        <w:r w:rsidRPr="002C5A78">
          <w:rPr>
            <w:rStyle w:val="TextoNormalCaracter"/>
          </w:rPr>
          <w:t>13/2021</w:t>
        </w:r>
      </w:hyperlink>
      <w:r>
        <w:t>.</w:t>
      </w:r>
    </w:p>
    <w:p w:rsidR="002C5A78" w:rsidRDefault="002C5A78" w:rsidP="002C5A78">
      <w:pPr>
        <w:pStyle w:val="SangriaFrancesaArticulo"/>
      </w:pPr>
      <w:r w:rsidRPr="002C5A78">
        <w:rPr>
          <w:rStyle w:val="TextoNormalNegritaCaracter"/>
        </w:rPr>
        <w:t>Artículo 36.1.</w:t>
      </w:r>
      <w:r w:rsidRPr="002C5A78">
        <w:rPr>
          <w:rStyle w:val="TextoNormalCaracter"/>
        </w:rPr>
        <w:t>-</w:t>
      </w:r>
      <w:r>
        <w:t xml:space="preserve"> Sentencia </w:t>
      </w:r>
      <w:hyperlink w:anchor="SENTENCIA_2021_13" w:history="1">
        <w:r w:rsidRPr="002C5A78">
          <w:rPr>
            <w:rStyle w:val="TextoNormalCaracter"/>
          </w:rPr>
          <w:t>13/2021</w:t>
        </w:r>
      </w:hyperlink>
      <w:r>
        <w:t>.</w:t>
      </w:r>
    </w:p>
    <w:p w:rsidR="002C5A78" w:rsidRDefault="002C5A78" w:rsidP="002C5A78">
      <w:pPr>
        <w:pStyle w:val="SangriaFrancesaArticulo"/>
      </w:pPr>
      <w:r w:rsidRPr="002C5A78">
        <w:rPr>
          <w:rStyle w:val="TextoNormalNegritaCaracter"/>
        </w:rPr>
        <w:t>Artículo 36.2.</w:t>
      </w:r>
      <w:r w:rsidRPr="002C5A78">
        <w:rPr>
          <w:rStyle w:val="TextoNormalCaracter"/>
        </w:rPr>
        <w:t>-</w:t>
      </w:r>
      <w:r>
        <w:t xml:space="preserve"> Sentencia </w:t>
      </w:r>
      <w:hyperlink w:anchor="SENTENCIA_2021_13" w:history="1">
        <w:r w:rsidRPr="002C5A78">
          <w:rPr>
            <w:rStyle w:val="TextoNormalCaracter"/>
          </w:rPr>
          <w:t>13/2021</w:t>
        </w:r>
      </w:hyperlink>
      <w:r>
        <w:t>.</w:t>
      </w:r>
    </w:p>
    <w:p w:rsidR="002C5A78" w:rsidRDefault="002C5A78" w:rsidP="002C5A78">
      <w:pPr>
        <w:pStyle w:val="SangriaFrancesaArticulo"/>
      </w:pPr>
      <w:r w:rsidRPr="002C5A78">
        <w:rPr>
          <w:rStyle w:val="TextoNormalNegritaCaracter"/>
        </w:rPr>
        <w:t>Artículo 36.8.</w:t>
      </w:r>
      <w:r w:rsidRPr="002C5A78">
        <w:rPr>
          <w:rStyle w:val="TextoNormalCaracter"/>
        </w:rPr>
        <w:t>-</w:t>
      </w:r>
      <w:r>
        <w:t xml:space="preserve"> Sentencia </w:t>
      </w:r>
      <w:hyperlink w:anchor="SENTENCIA_2021_13" w:history="1">
        <w:r w:rsidRPr="002C5A78">
          <w:rPr>
            <w:rStyle w:val="TextoNormalCaracter"/>
          </w:rPr>
          <w:t>13/2021</w:t>
        </w:r>
      </w:hyperlink>
      <w:r>
        <w:t>.</w:t>
      </w:r>
    </w:p>
    <w:p w:rsidR="002C5A78" w:rsidRDefault="002C5A78" w:rsidP="002C5A78">
      <w:pPr>
        <w:pStyle w:val="SangriaFrancesaArticulo"/>
      </w:pPr>
      <w:r w:rsidRPr="002C5A78">
        <w:rPr>
          <w:rStyle w:val="TextoNormalNegritaCaracter"/>
        </w:rPr>
        <w:t>Artículo 36.22.</w:t>
      </w:r>
      <w:r w:rsidRPr="002C5A78">
        <w:rPr>
          <w:rStyle w:val="TextoNormalCaracter"/>
        </w:rPr>
        <w:t>-</w:t>
      </w:r>
      <w:r>
        <w:t xml:space="preserve"> Sentencia </w:t>
      </w:r>
      <w:hyperlink w:anchor="SENTENCIA_2021_13" w:history="1">
        <w:r w:rsidRPr="002C5A78">
          <w:rPr>
            <w:rStyle w:val="TextoNormalCaracter"/>
          </w:rPr>
          <w:t>13/2021</w:t>
        </w:r>
      </w:hyperlink>
      <w:r>
        <w:t xml:space="preserve"> (interpreta).</w:t>
      </w:r>
    </w:p>
    <w:p w:rsidR="002C5A78" w:rsidRDefault="002C5A78" w:rsidP="002C5A78">
      <w:pPr>
        <w:pStyle w:val="SangriaFrancesaArticulo"/>
      </w:pPr>
      <w:r w:rsidRPr="002C5A78">
        <w:rPr>
          <w:rStyle w:val="TextoNormalNegritaCaracter"/>
        </w:rPr>
        <w:t>Artículo 36.23.</w:t>
      </w:r>
      <w:r w:rsidRPr="002C5A78">
        <w:rPr>
          <w:rStyle w:val="TextoNormalCaracter"/>
        </w:rPr>
        <w:t>-</w:t>
      </w:r>
      <w:r>
        <w:t xml:space="preserve"> Sentencia </w:t>
      </w:r>
      <w:hyperlink w:anchor="SENTENCIA_2021_13" w:history="1">
        <w:r w:rsidRPr="002C5A78">
          <w:rPr>
            <w:rStyle w:val="TextoNormalCaracter"/>
          </w:rPr>
          <w:t>13/2021</w:t>
        </w:r>
      </w:hyperlink>
      <w:r>
        <w:t xml:space="preserve"> (interpreta).</w:t>
      </w:r>
    </w:p>
    <w:p w:rsidR="002C5A78" w:rsidRDefault="002C5A78" w:rsidP="002C5A78">
      <w:pPr>
        <w:pStyle w:val="SangriaFrancesaArticulo"/>
      </w:pPr>
      <w:r w:rsidRPr="002C5A78">
        <w:rPr>
          <w:rStyle w:val="TextoNormalNegritaCaracter"/>
        </w:rPr>
        <w:t>Artículo 36.23 inciso "no autorizado".</w:t>
      </w:r>
      <w:r w:rsidRPr="002C5A78">
        <w:rPr>
          <w:rStyle w:val="TextoNormalCaracter"/>
        </w:rPr>
        <w:t>-</w:t>
      </w:r>
      <w:r>
        <w:t xml:space="preserve"> Sentencia </w:t>
      </w:r>
      <w:hyperlink w:anchor="SENTENCIA_2021_13" w:history="1">
        <w:r w:rsidRPr="002C5A78">
          <w:rPr>
            <w:rStyle w:val="TextoNormalCaracter"/>
          </w:rPr>
          <w:t>13/2021</w:t>
        </w:r>
      </w:hyperlink>
      <w:r>
        <w:t>.</w:t>
      </w:r>
    </w:p>
    <w:p w:rsidR="002C5A78" w:rsidRDefault="002C5A78" w:rsidP="002C5A78">
      <w:pPr>
        <w:pStyle w:val="SangriaFrancesaArticulo"/>
      </w:pPr>
      <w:r w:rsidRPr="002C5A78">
        <w:rPr>
          <w:rStyle w:val="TextoNormalNegritaCaracter"/>
        </w:rPr>
        <w:t>Artículo 37.7.</w:t>
      </w:r>
      <w:r w:rsidRPr="002C5A78">
        <w:rPr>
          <w:rStyle w:val="TextoNormalCaracter"/>
        </w:rPr>
        <w:t>-</w:t>
      </w:r>
      <w:r>
        <w:t xml:space="preserve"> Sentencia </w:t>
      </w:r>
      <w:hyperlink w:anchor="SENTENCIA_2021_13" w:history="1">
        <w:r w:rsidRPr="002C5A78">
          <w:rPr>
            <w:rStyle w:val="TextoNormalCaracter"/>
          </w:rPr>
          <w:t>13/2021</w:t>
        </w:r>
      </w:hyperlink>
      <w:r>
        <w:t xml:space="preserve"> (interpreta).</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13" w:history="1">
        <w:r w:rsidRPr="002C5A78">
          <w:rPr>
            <w:rStyle w:val="TextoNormalCaracter"/>
          </w:rPr>
          <w:t>13/2021</w:t>
        </w:r>
      </w:hyperlink>
      <w:r>
        <w:t xml:space="preserve"> (interpreta).</w:t>
      </w:r>
    </w:p>
    <w:p w:rsidR="002C5A78" w:rsidRDefault="002C5A78" w:rsidP="002C5A78">
      <w:pPr>
        <w:pStyle w:val="SangriaFrancesaArticulo"/>
      </w:pPr>
    </w:p>
    <w:p w:rsidR="002C5A78" w:rsidRDefault="002C5A78" w:rsidP="002C5A78">
      <w:pPr>
        <w:pStyle w:val="TextoNormalNegritaCursivandice"/>
        <w:keepNext/>
      </w:pPr>
      <w:r>
        <w:t>Ley 9/2017, de 8 de noviembre, de contratos del sector público, por la que se transponen al ordenamiento jurídico español las Directivas del Parlamento Europeo y del Consejo 2014/23/UE y 2014/24/UE, de 26 de febrero de 2014</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9.2.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26.2.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27.2 a).</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28.4.</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29.2.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30.</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32.1.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32.2.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32.4.</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32.6.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32.7 b) párrafo 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39.2 c).</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41.3.</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Artículo 44.1 a).</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44.1 c).</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44.2 e).</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44.7.</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46.4.</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IzquierdaArticulo"/>
      </w:pPr>
      <w:r>
        <w:t xml:space="preserve">Auto </w:t>
      </w:r>
      <w:hyperlink w:anchor="AUTO_2021_47" w:history="1">
        <w:r w:rsidRPr="002C5A78">
          <w:rPr>
            <w:rStyle w:val="TextoNormalCaracter"/>
          </w:rPr>
          <w:t>47/2021</w:t>
        </w:r>
      </w:hyperlink>
      <w:r>
        <w:t>.</w:t>
      </w:r>
    </w:p>
    <w:p w:rsidR="002C5A78" w:rsidRDefault="002C5A78" w:rsidP="002C5A78">
      <w:pPr>
        <w:pStyle w:val="SangriaFrancesaArticulo"/>
      </w:pPr>
      <w:r w:rsidRPr="002C5A78">
        <w:rPr>
          <w:rStyle w:val="TextoNormalNegritaCaracter"/>
        </w:rPr>
        <w:t>Artículo 46.4 párrafo 2.</w:t>
      </w:r>
      <w:r w:rsidRPr="002C5A78">
        <w:rPr>
          <w:rStyle w:val="TextoNormalCaracter"/>
        </w:rPr>
        <w:t>-</w:t>
      </w:r>
      <w:r>
        <w:t xml:space="preserve"> Sentencia </w:t>
      </w:r>
      <w:hyperlink w:anchor="SENTENCIA_2021_68" w:history="1">
        <w:r w:rsidRPr="002C5A78">
          <w:rPr>
            <w:rStyle w:val="TextoNormalCaracter"/>
          </w:rPr>
          <w:t>68/2021</w:t>
        </w:r>
      </w:hyperlink>
      <w:r>
        <w:t xml:space="preserve"> (anula).</w:t>
      </w:r>
    </w:p>
    <w:p w:rsidR="002C5A78" w:rsidRDefault="002C5A78" w:rsidP="002C5A78">
      <w:pPr>
        <w:pStyle w:val="SangriaFrancesaArticulo"/>
      </w:pPr>
      <w:r w:rsidRPr="002C5A78">
        <w:rPr>
          <w:rStyle w:val="TextoNormalNegritaCaracter"/>
        </w:rPr>
        <w:t>Artículo 49.</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52.3.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52.3 inciso "cinco días hábiles".</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52.3 inciso "de diez días".</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52.3 inciso "de dos días hábiles".</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58.2.</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63.4.</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63.6.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69.1.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69.2.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71.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72.4.</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73.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77.3.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80.2.</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Artículo 80.2 inciso "que serán eficaces, únicamente, a efectos de contratar con la comunidad autónoma que las haya adoptado, con las entidades locales incluidas en su ámbito territorial, y con los entes, organismos y entidades del sector público dependientes de una y otras".</w:t>
      </w:r>
      <w:r w:rsidRPr="002C5A78">
        <w:rPr>
          <w:rStyle w:val="TextoNormalCaracter"/>
        </w:rPr>
        <w:t>-</w:t>
      </w:r>
      <w:r>
        <w:t xml:space="preserve"> Sentencia </w:t>
      </w:r>
      <w:hyperlink w:anchor="SENTENCIA_2021_68" w:history="1">
        <w:r w:rsidRPr="002C5A78">
          <w:rPr>
            <w:rStyle w:val="TextoNormalCaracter"/>
          </w:rPr>
          <w:t>68/2021</w:t>
        </w:r>
      </w:hyperlink>
      <w:r>
        <w:t xml:space="preserve"> (anula).</w:t>
      </w:r>
    </w:p>
    <w:p w:rsidR="002C5A78" w:rsidRDefault="002C5A78" w:rsidP="002C5A78">
      <w:pPr>
        <w:pStyle w:val="SangriaFrancesaArticulo"/>
      </w:pPr>
      <w:r w:rsidRPr="002C5A78">
        <w:rPr>
          <w:rStyle w:val="TextoNormalNegritaCaracter"/>
        </w:rPr>
        <w:t>Artículo 82.2.</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Artículo 86.3.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88.1 a).</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88.1 c).</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88.1 e).</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 xml:space="preserve">Artículo 90.1 a) párrafo 2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90.1 e).</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90.1 g).</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99.</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101.3.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103.6.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106.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107.</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108.1.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111.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115.1.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115.3.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117.</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118.3.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118.4.</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121.2.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122.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122.2 párrafo 1.</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122.2 párrafo 1 inciso "En el caso de contratos mixtos, se detallará el régimen jurídico aplicable a sus efectos, cumplimiento y extinción, atendiendo a las normas aplicables a las diferentes prestaciones fusionadas en ellos".</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122.2 párrafo 1 inciso "los pactos y condiciones definidores de los derechos y obligaciones de las partes del contrato".</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125.1.</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127.2.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128.2.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141.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143.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145.</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146.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147.</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148.3 párrafo 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149.4.</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149.6.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150.1.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154.7 párrafo 2.</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154.7 párrafo 3.</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156.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157.</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159.1 a).</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159.4 a).</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166.2.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177.3 a).</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Artículo 185.3.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185.3 párrafo 1.</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185.3 párrafo 2.</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185.3 párrafo 3.</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185.3 párrafo 5.</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185.3 párrafo 6.</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187.3.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187.11.</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Artículo 191.3 b).</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195.</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198.2 párrafo 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202.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212.8.</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213.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214.2 a).</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214.2 b).</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215.</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217.2.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221.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226.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232.6.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232.7.</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232.8.</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241.3.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242.3.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242.3 inciso "con una antelación mínima de cinco días".</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r w:rsidRPr="002C5A78">
        <w:rPr>
          <w:rStyle w:val="TextoNormalNegritaCaracter"/>
        </w:rPr>
        <w:t>Artículo 250.1 b).</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270.</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279.</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280.</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283.1 párrafo 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 xml:space="preserve">Artículo 288 a)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290.6.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 xml:space="preserve">Artículo 294 c)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 xml:space="preserve">Artículo 308.2 párrafo 2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308.3.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312.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319.</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331.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332.</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333.3.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333.6.</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334.1.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335.1.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336.1.</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346.3 párrafo 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347.3.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347.3 párrafo 3.</w:t>
      </w:r>
      <w:r w:rsidRPr="002C5A78">
        <w:rPr>
          <w:rStyle w:val="TextoNormalCaracter"/>
        </w:rPr>
        <w:t>-</w:t>
      </w:r>
      <w:r>
        <w:t xml:space="preserve"> Sentencia </w:t>
      </w:r>
      <w:hyperlink w:anchor="SENTENCIA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347.3 párrafo 5.</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Artículo 347.3 párrafo 5 inciso "de forma excluyente y exclusiva".</w:t>
      </w:r>
      <w:r w:rsidRPr="002C5A78">
        <w:rPr>
          <w:rStyle w:val="TextoNormalCaracter"/>
        </w:rPr>
        <w:t>-</w:t>
      </w:r>
      <w:r>
        <w:t xml:space="preserve"> Sentencia </w:t>
      </w:r>
      <w:hyperlink w:anchor="SENTENCIA_2021_68" w:history="1">
        <w:r w:rsidRPr="002C5A78">
          <w:rPr>
            <w:rStyle w:val="TextoNormalCaracter"/>
          </w:rPr>
          <w:t>68/2021</w:t>
        </w:r>
      </w:hyperlink>
      <w:r>
        <w:t xml:space="preserve"> (anula).</w:t>
      </w:r>
    </w:p>
    <w:p w:rsidR="002C5A78" w:rsidRDefault="002C5A78" w:rsidP="002C5A78">
      <w:pPr>
        <w:pStyle w:val="SangriaFrancesaArticulo"/>
      </w:pPr>
      <w:r w:rsidRPr="002C5A78">
        <w:rPr>
          <w:rStyle w:val="TextoNormalNegritaCaracter"/>
        </w:rPr>
        <w:t>Disposición adicional trigésima octava.</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Disposición final primera, apartado 3, párrafo 1.</w:t>
      </w:r>
      <w:r w:rsidRPr="002C5A78">
        <w:rPr>
          <w:rStyle w:val="TextoNormalCaracter"/>
        </w:rPr>
        <w:t>-</w:t>
      </w:r>
      <w:r>
        <w:t xml:space="preserve"> Sentencia </w:t>
      </w:r>
      <w:hyperlink w:anchor="SENTENCIA_2021_68" w:history="1">
        <w:r w:rsidRPr="002C5A78">
          <w:rPr>
            <w:rStyle w:val="TextoNormalCaracter"/>
          </w:rPr>
          <w:t>68/2021</w:t>
        </w:r>
      </w:hyperlink>
      <w:r>
        <w:t xml:space="preserve"> (interpreta).</w:t>
      </w:r>
    </w:p>
    <w:p w:rsidR="002C5A78" w:rsidRDefault="002C5A78" w:rsidP="002C5A78">
      <w:pPr>
        <w:pStyle w:val="SangriaFrancesaArticulo"/>
      </w:pPr>
      <w:r w:rsidRPr="002C5A78">
        <w:rPr>
          <w:rStyle w:val="TextoNormalNegritaCaracter"/>
        </w:rPr>
        <w:t>Disposición final sexta, apartado 2.</w:t>
      </w:r>
      <w:r w:rsidRPr="002C5A78">
        <w:rPr>
          <w:rStyle w:val="TextoNormalCaracter"/>
        </w:rPr>
        <w:t>-</w:t>
      </w:r>
      <w:r>
        <w:t xml:space="preserve"> Sentencia </w:t>
      </w:r>
      <w:hyperlink w:anchor="SENTENCIA_2021_68" w:history="1">
        <w:r w:rsidRPr="002C5A78">
          <w:rPr>
            <w:rStyle w:val="TextoNormalCaracter"/>
          </w:rPr>
          <w:t>68/2021</w:t>
        </w:r>
      </w:hyperlink>
      <w:r>
        <w:t xml:space="preserve"> (delimita).</w:t>
      </w:r>
    </w:p>
    <w:p w:rsidR="002C5A78" w:rsidRDefault="002C5A78" w:rsidP="002C5A78">
      <w:pPr>
        <w:pStyle w:val="SangriaFrancesaArticulo"/>
      </w:pPr>
    </w:p>
    <w:p w:rsidR="002C5A78" w:rsidRDefault="002C5A78" w:rsidP="002C5A78">
      <w:pPr>
        <w:pStyle w:val="TextoNormalNegritaCursivandice"/>
        <w:keepNext/>
      </w:pPr>
      <w:r>
        <w:t>Real Decreto-ley 4/2018, de 22 de junio. Régimen jurídico aplicable a la designación del consejo de administración de la Corporación de Radio y Televisión Española y de su presidente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4" w:history="1">
        <w:r w:rsidRPr="002C5A78">
          <w:rPr>
            <w:rStyle w:val="TextoNormalCaracter"/>
          </w:rPr>
          <w:t>134/2021</w:t>
        </w:r>
      </w:hyperlink>
      <w:r>
        <w:t>.</w:t>
      </w:r>
    </w:p>
    <w:p w:rsidR="002C5A78" w:rsidRDefault="002C5A78" w:rsidP="002C5A78">
      <w:pPr>
        <w:pStyle w:val="SangriaFrancesaArticulo"/>
      </w:pPr>
      <w:r w:rsidRPr="002C5A78">
        <w:rPr>
          <w:rStyle w:val="TextoNormalNegritaCaracter"/>
        </w:rPr>
        <w:t>Artículo único, apartado tercero.</w:t>
      </w:r>
      <w:r w:rsidRPr="002C5A78">
        <w:rPr>
          <w:rStyle w:val="TextoNormalCaracter"/>
        </w:rPr>
        <w:t>-</w:t>
      </w:r>
      <w:r>
        <w:t xml:space="preserve"> Sentencia </w:t>
      </w:r>
      <w:hyperlink w:anchor="SENTENCIA_2021_134" w:history="1">
        <w:r w:rsidRPr="002C5A78">
          <w:rPr>
            <w:rStyle w:val="TextoNormalCaracter"/>
          </w:rPr>
          <w:t>134/2021</w:t>
        </w:r>
      </w:hyperlink>
      <w:r>
        <w:t xml:space="preserve"> (anula).</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134" w:history="1">
        <w:r w:rsidRPr="002C5A78">
          <w:rPr>
            <w:rStyle w:val="TextoNormalCaracter"/>
          </w:rPr>
          <w:t>134/2021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Real Decreto-ley 8/2020, de 17 de marzo. Medidas urgentes extraordinarias para hacer frente al impacto económico y social del COVID-19</w:t>
      </w:r>
    </w:p>
    <w:p w:rsidR="002C5A78" w:rsidRDefault="002C5A78" w:rsidP="002C5A78">
      <w:pPr>
        <w:pStyle w:val="SangriaFrancesaArticulo"/>
      </w:pPr>
      <w:r w:rsidRPr="002C5A78">
        <w:rPr>
          <w:rStyle w:val="TextoNormalNegritaCaracter"/>
        </w:rPr>
        <w:t>Disposición final segunda.</w:t>
      </w:r>
      <w:r w:rsidRPr="002C5A78">
        <w:rPr>
          <w:rStyle w:val="TextoNormalCaracter"/>
        </w:rPr>
        <w:t>-</w:t>
      </w:r>
      <w:r>
        <w:t xml:space="preserve"> Sentencia </w:t>
      </w:r>
      <w:hyperlink w:anchor="SENTENCIA_2021_110" w:history="1">
        <w:r w:rsidRPr="002C5A78">
          <w:rPr>
            <w:rStyle w:val="TextoNormalCaracter"/>
          </w:rPr>
          <w:t>110/2021</w:t>
        </w:r>
      </w:hyperlink>
      <w:r>
        <w:t xml:space="preserve"> (anula).</w:t>
      </w:r>
    </w:p>
    <w:p w:rsidR="002C5A78" w:rsidRDefault="002C5A78" w:rsidP="002C5A78">
      <w:pPr>
        <w:pStyle w:val="SangriaFrancesaArticulo"/>
      </w:pPr>
      <w:r w:rsidRPr="002C5A78">
        <w:rPr>
          <w:rStyle w:val="TextoNormalNegritaCaracter"/>
        </w:rPr>
        <w:t>Disposición final segunda.</w:t>
      </w:r>
      <w:r w:rsidRPr="002C5A78">
        <w:rPr>
          <w:rStyle w:val="TextoNormalCaracter"/>
        </w:rPr>
        <w:t>-</w:t>
      </w:r>
      <w:r>
        <w:t xml:space="preserve"> Sentencia </w:t>
      </w:r>
      <w:hyperlink w:anchor="SENTENCIA_2021_124" w:history="1">
        <w:r w:rsidRPr="002C5A78">
          <w:rPr>
            <w:rStyle w:val="TextoNormalCaracter"/>
          </w:rPr>
          <w:t>124/2021</w:t>
        </w:r>
      </w:hyperlink>
      <w:r>
        <w:t>.</w:t>
      </w:r>
    </w:p>
    <w:p w:rsidR="002C5A78" w:rsidRDefault="002C5A78" w:rsidP="002C5A78">
      <w:pPr>
        <w:pStyle w:val="SangriaFrancesaArticulo"/>
      </w:pPr>
    </w:p>
    <w:p w:rsidR="002C5A78" w:rsidRDefault="002C5A78" w:rsidP="002C5A78">
      <w:pPr>
        <w:pStyle w:val="TextoNormalNegritaCursivandice"/>
        <w:keepNext/>
      </w:pPr>
      <w:r>
        <w:t>Real Decreto-ley 15/2020, de 21 de abril. Medidas urgentes complementarias para apoyar la economía y el empleo.</w:t>
      </w:r>
    </w:p>
    <w:p w:rsidR="002C5A78" w:rsidRDefault="002C5A78" w:rsidP="002C5A78">
      <w:pPr>
        <w:pStyle w:val="SangriaFrancesaArticulo"/>
      </w:pPr>
      <w:r w:rsidRPr="002C5A78">
        <w:rPr>
          <w:rStyle w:val="TextoNormalNegritaCaracter"/>
        </w:rPr>
        <w:t>Disposición adicional sexta.</w:t>
      </w:r>
      <w:r w:rsidRPr="002C5A78">
        <w:rPr>
          <w:rStyle w:val="TextoNormalCaracter"/>
        </w:rPr>
        <w:t>-</w:t>
      </w:r>
      <w:r>
        <w:t xml:space="preserve"> Sentencia </w:t>
      </w:r>
      <w:hyperlink w:anchor="SENTENCIA_2021_111" w:history="1">
        <w:r w:rsidRPr="002C5A78">
          <w:rPr>
            <w:rStyle w:val="TextoNormalCaracter"/>
          </w:rPr>
          <w:t>111/2021</w:t>
        </w:r>
      </w:hyperlink>
      <w:r>
        <w:t xml:space="preserve"> (anula).</w:t>
      </w:r>
    </w:p>
    <w:p w:rsidR="002C5A78" w:rsidRDefault="002C5A78" w:rsidP="002C5A78">
      <w:pPr>
        <w:pStyle w:val="SangriaFrancesaArticulo"/>
      </w:pPr>
      <w:r w:rsidRPr="002C5A78">
        <w:rPr>
          <w:rStyle w:val="TextoNormalNegritaCaracter"/>
        </w:rPr>
        <w:t>Disposición adicional séptima.</w:t>
      </w:r>
      <w:r w:rsidRPr="002C5A78">
        <w:rPr>
          <w:rStyle w:val="TextoNormalCaracter"/>
        </w:rPr>
        <w:t>-</w:t>
      </w:r>
      <w:r>
        <w:t xml:space="preserve"> Sentencia </w:t>
      </w:r>
      <w:hyperlink w:anchor="SENTENCIA_2021_111" w:history="1">
        <w:r w:rsidRPr="002C5A78">
          <w:rPr>
            <w:rStyle w:val="TextoNormalCaracter"/>
          </w:rPr>
          <w:t>111/2021</w:t>
        </w:r>
      </w:hyperlink>
      <w:r>
        <w:t xml:space="preserve"> (anula).</w:t>
      </w:r>
    </w:p>
    <w:p w:rsidR="002C5A78" w:rsidRDefault="002C5A78" w:rsidP="002C5A78">
      <w:pPr>
        <w:pStyle w:val="SangriaFrancesaArticulo"/>
      </w:pPr>
      <w:r w:rsidRPr="002C5A78">
        <w:rPr>
          <w:rStyle w:val="TextoNormalNegritaCaracter"/>
        </w:rPr>
        <w:t>Disposición transitoria segunda.</w:t>
      </w:r>
      <w:r w:rsidRPr="002C5A78">
        <w:rPr>
          <w:rStyle w:val="TextoNormalCaracter"/>
        </w:rPr>
        <w:t>-</w:t>
      </w:r>
      <w:r>
        <w:t xml:space="preserve"> Sentencia </w:t>
      </w:r>
      <w:hyperlink w:anchor="SENTENCIA_2021_111" w:history="1">
        <w:r w:rsidRPr="002C5A78">
          <w:rPr>
            <w:rStyle w:val="TextoNormalCaracter"/>
          </w:rPr>
          <w:t>111/2021</w:t>
        </w:r>
      </w:hyperlink>
      <w:r>
        <w:t xml:space="preserve"> (anula).</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111" w:history="1">
        <w:r w:rsidRPr="002C5A78">
          <w:rPr>
            <w:rStyle w:val="TextoNormalCaracter"/>
          </w:rPr>
          <w:t>111/2021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Ley 2/2020, de 27 de julio. Modifica el artículo 324 de la Ley de enjuiciamiento criminal</w:t>
      </w:r>
    </w:p>
    <w:p w:rsidR="002C5A78" w:rsidRDefault="002C5A78" w:rsidP="002C5A78">
      <w:pPr>
        <w:pStyle w:val="SangriaFrancesaArticulo"/>
      </w:pPr>
      <w:r w:rsidRPr="002C5A78">
        <w:rPr>
          <w:rStyle w:val="TextoNormalNegritaCaracter"/>
        </w:rPr>
        <w:t>Disposición transitoria.</w:t>
      </w:r>
      <w:r w:rsidRPr="002C5A78">
        <w:rPr>
          <w:rStyle w:val="TextoNormalCaracter"/>
        </w:rPr>
        <w:t>-</w:t>
      </w:r>
      <w:r>
        <w:t xml:space="preserve"> Auto </w:t>
      </w:r>
      <w:hyperlink w:anchor="AUTO_2021_7" w:history="1">
        <w:r w:rsidRPr="002C5A78">
          <w:rPr>
            <w:rStyle w:val="TextoNormalCaracter"/>
          </w:rPr>
          <w:t>7/2021</w:t>
        </w:r>
      </w:hyperlink>
      <w:r>
        <w:t>.</w:t>
      </w:r>
    </w:p>
    <w:p w:rsidR="002C5A78" w:rsidRDefault="002C5A78" w:rsidP="002C5A78">
      <w:pPr>
        <w:pStyle w:val="TextoNormal"/>
      </w:pPr>
    </w:p>
    <w:p w:rsidR="002C5A78" w:rsidRDefault="002C5A78" w:rsidP="002C5A78">
      <w:pPr>
        <w:pStyle w:val="SangriaFrancesaArticulo"/>
      </w:pPr>
      <w:bookmarkStart w:id="213" w:name="INDICE22806"/>
    </w:p>
    <w:bookmarkEnd w:id="213"/>
    <w:p w:rsidR="002C5A78" w:rsidRDefault="002C5A78" w:rsidP="002C5A78">
      <w:pPr>
        <w:pStyle w:val="TextoIndiceNivel2"/>
        <w:suppressAutoHyphens/>
      </w:pPr>
      <w:r>
        <w:t>B) Disposiciones con fuerza de ley de las Comunidades Autónomas</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B.1) Andalucía</w:t>
      </w:r>
    </w:p>
    <w:p w:rsidR="002C5A78" w:rsidRDefault="002C5A78" w:rsidP="002C5A78">
      <w:pPr>
        <w:pStyle w:val="TextoNormalNegritaCentrado"/>
      </w:pPr>
    </w:p>
    <w:p w:rsidR="002C5A78" w:rsidRDefault="002C5A78" w:rsidP="002C5A78">
      <w:pPr>
        <w:pStyle w:val="TextoNormalNegritaCursivandice"/>
        <w:keepNext/>
      </w:pPr>
      <w:r>
        <w:t>Comunidad Autónoma de Andalucía. Ley 7/2007, de 9 de julio de gestión integrada de la calidad ambiental</w:t>
      </w:r>
    </w:p>
    <w:p w:rsidR="002C5A78" w:rsidRDefault="002C5A78" w:rsidP="002C5A78">
      <w:pPr>
        <w:pStyle w:val="SangriaFrancesaArticulo"/>
      </w:pPr>
      <w:r w:rsidRPr="002C5A78">
        <w:rPr>
          <w:rStyle w:val="TextoNormalNegritaCaracter"/>
        </w:rPr>
        <w:t>Artículo 40.4 a).</w:t>
      </w:r>
      <w:r w:rsidRPr="002C5A78">
        <w:rPr>
          <w:rStyle w:val="TextoNormalCaracter"/>
        </w:rPr>
        <w:t>-</w:t>
      </w:r>
      <w:r>
        <w:t xml:space="preserve"> Sentencia </w:t>
      </w:r>
      <w:hyperlink w:anchor="SENTENCIA_2021_123" w:history="1">
        <w:r w:rsidRPr="002C5A78">
          <w:rPr>
            <w:rStyle w:val="TextoNormalCaracter"/>
          </w:rPr>
          <w:t>123/2021</w:t>
        </w:r>
      </w:hyperlink>
      <w:r>
        <w:t>.</w:t>
      </w:r>
    </w:p>
    <w:p w:rsidR="002C5A78" w:rsidRDefault="002C5A78" w:rsidP="002C5A78">
      <w:pPr>
        <w:pStyle w:val="SangriaFrancesaArticulo"/>
      </w:pPr>
      <w:r w:rsidRPr="002C5A78">
        <w:rPr>
          <w:rStyle w:val="TextoNormalNegritaCaracter"/>
        </w:rPr>
        <w:t>Artículo 40.4 c).</w:t>
      </w:r>
      <w:r w:rsidRPr="002C5A78">
        <w:rPr>
          <w:rStyle w:val="TextoNormalCaracter"/>
        </w:rPr>
        <w:t>-</w:t>
      </w:r>
      <w:r>
        <w:t xml:space="preserve"> Sentencia </w:t>
      </w:r>
      <w:hyperlink w:anchor="SENTENCIA_2021_123" w:history="1">
        <w:r w:rsidRPr="002C5A78">
          <w:rPr>
            <w:rStyle w:val="TextoNormalCaracter"/>
          </w:rPr>
          <w:t>123/2021</w:t>
        </w:r>
      </w:hyperlink>
      <w:r>
        <w:t>.</w:t>
      </w:r>
    </w:p>
    <w:p w:rsidR="002C5A78" w:rsidRDefault="002C5A78" w:rsidP="002C5A78">
      <w:pPr>
        <w:pStyle w:val="SangriaFrancesaArticulo"/>
      </w:pPr>
    </w:p>
    <w:p w:rsidR="002C5A78" w:rsidRDefault="002C5A78" w:rsidP="002C5A78">
      <w:pPr>
        <w:pStyle w:val="TextoNormalNegritaCursivandice"/>
        <w:keepNext/>
      </w:pPr>
      <w:r>
        <w:t>Decreto-ley de la Junta de Andalucía 2/2020, de 9 de marzo. Mejora y simplificación de la regulación para el fomento de la actividad productiva</w:t>
      </w:r>
    </w:p>
    <w:p w:rsidR="002C5A78" w:rsidRDefault="002C5A78" w:rsidP="002C5A78">
      <w:pPr>
        <w:pStyle w:val="SangriaFrancesaArticulo"/>
      </w:pPr>
      <w:r w:rsidRPr="002C5A78">
        <w:rPr>
          <w:rStyle w:val="TextoNormalNegritaCaracter"/>
        </w:rPr>
        <w:t>Artículo 13, salvo el párrafo 1.</w:t>
      </w:r>
      <w:r w:rsidRPr="002C5A78">
        <w:rPr>
          <w:rStyle w:val="TextoNormalCaracter"/>
        </w:rPr>
        <w:t>-</w:t>
      </w:r>
      <w:r>
        <w:t xml:space="preserve"> Auto </w:t>
      </w:r>
      <w:hyperlink w:anchor="AUTO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28.4.</w:t>
      </w:r>
      <w:r w:rsidRPr="002C5A78">
        <w:rPr>
          <w:rStyle w:val="TextoNormalCaracter"/>
        </w:rPr>
        <w:t>-</w:t>
      </w:r>
      <w:r>
        <w:t xml:space="preserve"> Auto </w:t>
      </w:r>
      <w:hyperlink w:anchor="AUTO_2021_68" w:history="1">
        <w:r w:rsidRPr="002C5A78">
          <w:rPr>
            <w:rStyle w:val="TextoNormalCaracter"/>
          </w:rPr>
          <w:t>68/2021</w:t>
        </w:r>
      </w:hyperlink>
      <w:r>
        <w:t>.</w:t>
      </w:r>
    </w:p>
    <w:p w:rsidR="002C5A78" w:rsidRDefault="002C5A78" w:rsidP="002C5A78">
      <w:pPr>
        <w:pStyle w:val="SangriaFrancesaArticulo"/>
      </w:pPr>
      <w:r w:rsidRPr="002C5A78">
        <w:rPr>
          <w:rStyle w:val="TextoNormalNegritaCaracter"/>
        </w:rPr>
        <w:t>Artículo 28.6.</w:t>
      </w:r>
      <w:r w:rsidRPr="002C5A78">
        <w:rPr>
          <w:rStyle w:val="TextoNormalCaracter"/>
        </w:rPr>
        <w:t>-</w:t>
      </w:r>
      <w:r>
        <w:t xml:space="preserve"> Auto </w:t>
      </w:r>
      <w:hyperlink w:anchor="AUTO_2021_68" w:history="1">
        <w:r w:rsidRPr="002C5A78">
          <w:rPr>
            <w:rStyle w:val="TextoNormalCaracter"/>
          </w:rPr>
          <w:t>68/2021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B.2) Asturias</w:t>
      </w:r>
    </w:p>
    <w:p w:rsidR="002C5A78" w:rsidRDefault="002C5A78" w:rsidP="002C5A78">
      <w:pPr>
        <w:pStyle w:val="TextoNormalNegritaCentrado"/>
      </w:pPr>
    </w:p>
    <w:p w:rsidR="002C5A78" w:rsidRDefault="002C5A78" w:rsidP="002C5A78">
      <w:pPr>
        <w:pStyle w:val="TextoNormalNegritaCursivandice"/>
        <w:keepNext/>
      </w:pPr>
      <w:r>
        <w:t>Reglamento de la Junta General del Principado de Asturias, de 18 de junio de 1997</w:t>
      </w:r>
    </w:p>
    <w:p w:rsidR="002C5A78" w:rsidRDefault="002C5A78" w:rsidP="002C5A78">
      <w:pPr>
        <w:pStyle w:val="SangriaFrancesaArticulo"/>
      </w:pPr>
      <w:r w:rsidRPr="002C5A78">
        <w:rPr>
          <w:rStyle w:val="TextoNormalNegritaCaracter"/>
        </w:rPr>
        <w:t>Artículo 3 bis</w:t>
      </w:r>
      <w:r>
        <w:t xml:space="preserve"> (redactado por la reforma de 1 de julio de 2020)</w:t>
      </w:r>
      <w:r w:rsidRPr="002C5A78">
        <w:rPr>
          <w:rStyle w:val="TextoNormalNegritaCaracter"/>
        </w:rPr>
        <w:t>.</w:t>
      </w:r>
      <w:r w:rsidRPr="002C5A78">
        <w:rPr>
          <w:rStyle w:val="TextoNormalCaracter"/>
        </w:rPr>
        <w:t>-</w:t>
      </w:r>
      <w:r>
        <w:t xml:space="preserve"> Sentencia </w:t>
      </w:r>
      <w:hyperlink w:anchor="SENTENCIA_2021_75" w:history="1">
        <w:r w:rsidRPr="002C5A78">
          <w:rPr>
            <w:rStyle w:val="TextoNormalCaracter"/>
          </w:rPr>
          <w:t>75/2021</w:t>
        </w:r>
      </w:hyperlink>
      <w:r>
        <w:t>.</w:t>
      </w:r>
    </w:p>
    <w:p w:rsidR="002C5A78" w:rsidRDefault="002C5A78" w:rsidP="002C5A78">
      <w:pPr>
        <w:pStyle w:val="SangriaFrancesaArticulo"/>
      </w:pPr>
    </w:p>
    <w:p w:rsidR="002C5A78" w:rsidRDefault="002C5A78" w:rsidP="002C5A78">
      <w:pPr>
        <w:pStyle w:val="TextoNormalNegritaCursivandice"/>
        <w:keepNext/>
      </w:pPr>
      <w:r>
        <w:t>Reglamento de la Junta General del Principado de Asturias, de 18 de junio de 1997. Reforma aprobada por el Pleno de la Cámara de 1 de julio de 2020</w:t>
      </w:r>
    </w:p>
    <w:p w:rsidR="002C5A78" w:rsidRDefault="002C5A78" w:rsidP="002C5A78">
      <w:pPr>
        <w:pStyle w:val="SangriaFrancesaArticulo"/>
      </w:pPr>
      <w:r w:rsidRPr="002C5A78">
        <w:rPr>
          <w:rStyle w:val="TextoNormalNegritaCaracter"/>
        </w:rPr>
        <w:t>Artículo único.</w:t>
      </w:r>
      <w:r w:rsidRPr="002C5A78">
        <w:rPr>
          <w:rStyle w:val="TextoNormalCaracter"/>
        </w:rPr>
        <w:t>-</w:t>
      </w:r>
      <w:r>
        <w:t xml:space="preserve"> Sentencia </w:t>
      </w:r>
      <w:hyperlink w:anchor="SENTENCIA_2021_75" w:history="1">
        <w:r w:rsidRPr="002C5A78">
          <w:rPr>
            <w:rStyle w:val="TextoNormalCaracter"/>
          </w:rPr>
          <w:t>75/2021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B.3) Baleares</w:t>
      </w:r>
    </w:p>
    <w:p w:rsidR="002C5A78" w:rsidRDefault="002C5A78" w:rsidP="002C5A78">
      <w:pPr>
        <w:pStyle w:val="TextoNormalNegritaCentrado"/>
      </w:pPr>
    </w:p>
    <w:p w:rsidR="002C5A78" w:rsidRDefault="002C5A78" w:rsidP="002C5A78">
      <w:pPr>
        <w:pStyle w:val="TextoNormalNegritaCursivandice"/>
        <w:keepNext/>
      </w:pPr>
      <w:r>
        <w:t>Ley del Parlamento de las Illes Balears 2/2020, de 15 de octubre. Medidas urgentes y extraordinarias para el impulso de la actividad económica y la simplificación administrativa en el ámbito de las administraciones públicas de las Illes Balears para paliar los efectos de la crisis ocasionada por la COVID-19</w:t>
      </w:r>
    </w:p>
    <w:p w:rsidR="002C5A78" w:rsidRDefault="002C5A78" w:rsidP="002C5A78">
      <w:pPr>
        <w:pStyle w:val="SangriaFrancesaArticulo"/>
      </w:pPr>
      <w:r w:rsidRPr="002C5A78">
        <w:rPr>
          <w:rStyle w:val="TextoNormalNegritaCaracter"/>
        </w:rPr>
        <w:t>Disposición transitoria primera.</w:t>
      </w:r>
      <w:r w:rsidRPr="002C5A78">
        <w:rPr>
          <w:rStyle w:val="TextoNormalCaracter"/>
        </w:rPr>
        <w:t>-</w:t>
      </w:r>
      <w:r>
        <w:t xml:space="preserve"> Auto </w:t>
      </w:r>
      <w:hyperlink w:anchor="AUTO_2021_65" w:history="1">
        <w:r w:rsidRPr="002C5A78">
          <w:rPr>
            <w:rStyle w:val="TextoNormalCaracter"/>
          </w:rPr>
          <w:t>65/2021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B.4) Canarias</w:t>
      </w:r>
    </w:p>
    <w:p w:rsidR="002C5A78" w:rsidRDefault="002C5A78" w:rsidP="002C5A78">
      <w:pPr>
        <w:pStyle w:val="TextoNormalNegritaCentrado"/>
      </w:pPr>
    </w:p>
    <w:p w:rsidR="002C5A78" w:rsidRDefault="002C5A78" w:rsidP="002C5A78">
      <w:pPr>
        <w:pStyle w:val="TextoNormalNegritaCursivandice"/>
        <w:keepNext/>
      </w:pPr>
      <w:r>
        <w:t>Ley del Parlamento de Canarias 6/2019, de 9 de abril. Calidad agroalimentaria</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74" w:history="1">
        <w:r w:rsidRPr="002C5A78">
          <w:rPr>
            <w:rStyle w:val="TextoNormalCaracter"/>
          </w:rPr>
          <w:t>74/2021</w:t>
        </w:r>
      </w:hyperlink>
      <w:r>
        <w:t xml:space="preserve"> (declara inconstitucional).</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B.5) Cantabria</w:t>
      </w:r>
    </w:p>
    <w:p w:rsidR="002C5A78" w:rsidRDefault="002C5A78" w:rsidP="002C5A78">
      <w:pPr>
        <w:pStyle w:val="TextoNormalNegritaCentrado"/>
      </w:pPr>
    </w:p>
    <w:p w:rsidR="002C5A78" w:rsidRDefault="002C5A78" w:rsidP="002C5A78">
      <w:pPr>
        <w:pStyle w:val="TextoNormalNegritaCursivandice"/>
        <w:keepNext/>
      </w:pPr>
      <w:r>
        <w:t>Ley del Parlamento de Cantabria 9/2010, de 23 de diciembre. Personal estatutario de instituciones sanitarias</w:t>
      </w:r>
    </w:p>
    <w:p w:rsidR="002C5A78" w:rsidRDefault="002C5A78" w:rsidP="002C5A78">
      <w:pPr>
        <w:pStyle w:val="SangriaFrancesaArticulo"/>
      </w:pPr>
      <w:r w:rsidRPr="002C5A78">
        <w:rPr>
          <w:rStyle w:val="TextoNormalNegritaCaracter"/>
        </w:rPr>
        <w:t>Disposición adicional undécima.</w:t>
      </w:r>
      <w:r w:rsidRPr="002C5A78">
        <w:rPr>
          <w:rStyle w:val="TextoNormalCaracter"/>
        </w:rPr>
        <w:t>-</w:t>
      </w:r>
      <w:r>
        <w:t xml:space="preserve"> Autos </w:t>
      </w:r>
      <w:hyperlink w:anchor="AUTO_2021_5" w:history="1">
        <w:r w:rsidRPr="002C5A78">
          <w:rPr>
            <w:rStyle w:val="TextoNormalCaracter"/>
          </w:rPr>
          <w:t>5/2021</w:t>
        </w:r>
      </w:hyperlink>
      <w:r>
        <w:t xml:space="preserve">; </w:t>
      </w:r>
      <w:hyperlink w:anchor="AUTO_2021_6" w:history="1">
        <w:r w:rsidRPr="002C5A78">
          <w:rPr>
            <w:rStyle w:val="TextoNormalCaracter"/>
          </w:rPr>
          <w:t>6/2021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B.6) Castilla y León</w:t>
      </w:r>
    </w:p>
    <w:p w:rsidR="002C5A78" w:rsidRDefault="002C5A78" w:rsidP="002C5A78">
      <w:pPr>
        <w:pStyle w:val="TextoNormalNegritaCentrado"/>
      </w:pPr>
    </w:p>
    <w:p w:rsidR="002C5A78" w:rsidRDefault="002C5A78" w:rsidP="002C5A78">
      <w:pPr>
        <w:pStyle w:val="TextoNormalNegritaCursivandice"/>
        <w:keepNext/>
      </w:pPr>
      <w:r>
        <w:t>Decreto-ley de la Junta de Castilla y León 6/2020, de 2 de julio. Medidas urgentes para incentivar las medidas de recuperación económica y social en el ámbito local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40" w:history="1">
        <w:r w:rsidRPr="002C5A78">
          <w:rPr>
            <w:rStyle w:val="TextoNormalCaracter"/>
          </w:rPr>
          <w:t>40/2021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B.7) Cataluña</w:t>
      </w:r>
    </w:p>
    <w:p w:rsidR="002C5A78" w:rsidRDefault="002C5A78" w:rsidP="002C5A78">
      <w:pPr>
        <w:pStyle w:val="TextoNormalNegritaCentrado"/>
      </w:pPr>
    </w:p>
    <w:p w:rsidR="002C5A78" w:rsidRDefault="002C5A78" w:rsidP="002C5A78">
      <w:pPr>
        <w:pStyle w:val="TextoNormalNegritaCursivandice"/>
        <w:keepNext/>
      </w:pPr>
      <w:r>
        <w:t>Comunidad Autónoma de Cataluña. Decreto-ley 17/2019, de 23 de diciembre, de medidas urgentes para mejorar el acceso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xml:space="preserve"> (anula parcialmente).</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2.5.</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2.10.</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2.11.</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2.11 inciso "sin perjuicio del supuesto a que hace referencia el artículo 42.6".</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2.12.</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4.5 inciso "y del apartado 2 de la disposición adicional primera".</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4.6.</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5.7.</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6.4.</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6.6.</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8.5.</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Artículo 13.2.</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r w:rsidRPr="002C5A78">
        <w:rPr>
          <w:rStyle w:val="TextoNormalNegritaCaracter"/>
        </w:rPr>
        <w:t>Disposición transitoria primera.</w:t>
      </w:r>
      <w:r w:rsidRPr="002C5A78">
        <w:rPr>
          <w:rStyle w:val="TextoNormalCaracter"/>
        </w:rPr>
        <w:t>-</w:t>
      </w:r>
      <w:r>
        <w:t xml:space="preserve"> Sentencia </w:t>
      </w:r>
      <w:hyperlink w:anchor="SENTENCIA_2021_16" w:history="1">
        <w:r w:rsidRPr="002C5A78">
          <w:rPr>
            <w:rStyle w:val="TextoNormalCaracter"/>
          </w:rPr>
          <w:t>16/2021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Decreto-ley de la Generalitat de Cataluña 1/2020, de 21 de enero. Modifica el Decreto-ley 17/2019, de 23 de diciembre, de medidas urgentes para mejorar el acceso a la vivienda</w:t>
      </w:r>
    </w:p>
    <w:p w:rsidR="002C5A78" w:rsidRDefault="002C5A78" w:rsidP="002C5A78">
      <w:pPr>
        <w:pStyle w:val="SangriaFrancesaArticulo"/>
      </w:pPr>
      <w:r w:rsidRPr="002C5A78">
        <w:rPr>
          <w:rStyle w:val="TextoNormalNegritaCaracter"/>
        </w:rPr>
        <w:t>Artículo único.</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p>
    <w:p w:rsidR="002C5A78" w:rsidRDefault="002C5A78" w:rsidP="002C5A78">
      <w:pPr>
        <w:pStyle w:val="TextoNormalNegritaCursivandice"/>
        <w:keepNext/>
      </w:pPr>
      <w:r>
        <w:t>Resolución del Parlamento de Cataluña 751/XII, de 4 de marzo de 2020, de convalidación del Decreto-ley 1/2020, de 21 de enero, por el que se modifica el Decreto-ley 17/2019, de 23 de diciembre, de medidas urgentes para mejorar el acceso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w:t>
      </w:r>
    </w:p>
    <w:p w:rsidR="002C5A78" w:rsidRDefault="002C5A78" w:rsidP="002C5A78">
      <w:pPr>
        <w:pStyle w:val="SangriaFrancesaArticulo"/>
      </w:pPr>
    </w:p>
    <w:p w:rsidR="002C5A78" w:rsidRDefault="002C5A78" w:rsidP="002C5A78">
      <w:pPr>
        <w:pStyle w:val="TextoNormalNegritaCursivandice"/>
        <w:keepNext/>
      </w:pPr>
      <w:r>
        <w:t>Comunidad Autónoma de Cataluña. Ley 5/2020, de 29 de abril, de medidas fiscales, financieras, administrativas y del sector público y de creación del impuesto sobre las instalaciones que inciden en el medio ambiente</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125" w:history="1">
        <w:r w:rsidRPr="002C5A78">
          <w:rPr>
            <w:rStyle w:val="TextoNormalCaracter"/>
          </w:rPr>
          <w:t>125/2021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B.8) Extremadura</w:t>
      </w:r>
    </w:p>
    <w:p w:rsidR="002C5A78" w:rsidRDefault="002C5A78" w:rsidP="002C5A78">
      <w:pPr>
        <w:pStyle w:val="TextoNormalNegritaCentrado"/>
      </w:pPr>
    </w:p>
    <w:p w:rsidR="002C5A78" w:rsidRDefault="002C5A78" w:rsidP="002C5A78">
      <w:pPr>
        <w:pStyle w:val="TextoNormalNegritaCursivandice"/>
        <w:keepNext/>
      </w:pPr>
      <w:r>
        <w:t>Ley 6/2019, de 20 de febrero. Estatuto de las personas consumidoras de Extremadura</w:t>
      </w:r>
    </w:p>
    <w:p w:rsidR="002C5A78" w:rsidRDefault="002C5A78" w:rsidP="002C5A78">
      <w:pPr>
        <w:pStyle w:val="SangriaFrancesaArticulo"/>
      </w:pPr>
      <w:r w:rsidRPr="002C5A78">
        <w:rPr>
          <w:rStyle w:val="TextoNormalNegritaCaracter"/>
        </w:rPr>
        <w:t>Artículo 13 d).</w:t>
      </w:r>
      <w:r w:rsidRPr="002C5A78">
        <w:rPr>
          <w:rStyle w:val="TextoNormalCaracter"/>
        </w:rPr>
        <w:t>-</w:t>
      </w:r>
      <w:r>
        <w:t xml:space="preserve"> Sentencia </w:t>
      </w:r>
      <w:hyperlink w:anchor="SENTENCIA_2021_72" w:history="1">
        <w:r w:rsidRPr="002C5A78">
          <w:rPr>
            <w:rStyle w:val="TextoNormalCaracter"/>
          </w:rPr>
          <w:t>72/2021</w:t>
        </w:r>
      </w:hyperlink>
      <w:r>
        <w:t xml:space="preserve"> (anula).</w:t>
      </w:r>
    </w:p>
    <w:p w:rsidR="002C5A78" w:rsidRDefault="002C5A78" w:rsidP="002C5A78">
      <w:pPr>
        <w:pStyle w:val="SangriaFrancesaArticulo"/>
      </w:pPr>
      <w:r w:rsidRPr="002C5A78">
        <w:rPr>
          <w:rStyle w:val="TextoNormalNegritaCaracter"/>
        </w:rPr>
        <w:t>Artículo 17.2.</w:t>
      </w:r>
      <w:r w:rsidRPr="002C5A78">
        <w:rPr>
          <w:rStyle w:val="TextoNormalCaracter"/>
        </w:rPr>
        <w:t>-</w:t>
      </w:r>
      <w:r>
        <w:t xml:space="preserve"> Sentencia </w:t>
      </w:r>
      <w:hyperlink w:anchor="SENTENCIA_2021_72" w:history="1">
        <w:r w:rsidRPr="002C5A78">
          <w:rPr>
            <w:rStyle w:val="TextoNormalCaracter"/>
          </w:rPr>
          <w:t>72/2021</w:t>
        </w:r>
      </w:hyperlink>
      <w:r>
        <w:t>.</w:t>
      </w:r>
    </w:p>
    <w:p w:rsidR="002C5A78" w:rsidRDefault="002C5A78" w:rsidP="002C5A78">
      <w:pPr>
        <w:pStyle w:val="SangriaFrancesaArticulo"/>
      </w:pPr>
      <w:r w:rsidRPr="002C5A78">
        <w:rPr>
          <w:rStyle w:val="TextoNormalNegritaCaracter"/>
        </w:rPr>
        <w:t>Artículo 17.2 párrafo 1.</w:t>
      </w:r>
      <w:r w:rsidRPr="002C5A78">
        <w:rPr>
          <w:rStyle w:val="TextoNormalCaracter"/>
        </w:rPr>
        <w:t>-</w:t>
      </w:r>
      <w:r>
        <w:t xml:space="preserve"> Sentencia </w:t>
      </w:r>
      <w:hyperlink w:anchor="SENTENCIA_2021_72" w:history="1">
        <w:r w:rsidRPr="002C5A78">
          <w:rPr>
            <w:rStyle w:val="TextoNormalCaracter"/>
          </w:rPr>
          <w:t>72/2021</w:t>
        </w:r>
      </w:hyperlink>
      <w:r>
        <w:t xml:space="preserve"> (anula).</w:t>
      </w:r>
    </w:p>
    <w:p w:rsidR="002C5A78" w:rsidRDefault="002C5A78" w:rsidP="002C5A78">
      <w:pPr>
        <w:pStyle w:val="SangriaFrancesaArticulo"/>
      </w:pPr>
      <w:r w:rsidRPr="002C5A78">
        <w:rPr>
          <w:rStyle w:val="TextoNormalNegritaCaracter"/>
        </w:rPr>
        <w:t>Artículo 28.6.</w:t>
      </w:r>
      <w:r w:rsidRPr="002C5A78">
        <w:rPr>
          <w:rStyle w:val="TextoNormalCaracter"/>
        </w:rPr>
        <w:t>-</w:t>
      </w:r>
      <w:r>
        <w:t xml:space="preserve"> Sentencia </w:t>
      </w:r>
      <w:hyperlink w:anchor="SENTENCIA_2021_72" w:history="1">
        <w:r w:rsidRPr="002C5A78">
          <w:rPr>
            <w:rStyle w:val="TextoNormalCaracter"/>
          </w:rPr>
          <w:t>72/2021</w:t>
        </w:r>
      </w:hyperlink>
      <w:r>
        <w:t>.</w:t>
      </w:r>
    </w:p>
    <w:p w:rsidR="002C5A78" w:rsidRDefault="002C5A78" w:rsidP="002C5A78">
      <w:pPr>
        <w:pStyle w:val="SangriaFrancesaArticulo"/>
      </w:pPr>
      <w:r w:rsidRPr="002C5A78">
        <w:rPr>
          <w:rStyle w:val="TextoNormalNegritaCaracter"/>
        </w:rPr>
        <w:t>Artículo 28.6 inciso "y debe comunicarles que esta cláusula dejará de aplicarse en los términos establecidos por la resolución o sentencia judicial".</w:t>
      </w:r>
      <w:r w:rsidRPr="002C5A78">
        <w:rPr>
          <w:rStyle w:val="TextoNormalCaracter"/>
        </w:rPr>
        <w:t>-</w:t>
      </w:r>
      <w:r>
        <w:t xml:space="preserve"> Sentencia </w:t>
      </w:r>
      <w:hyperlink w:anchor="SENTENCIA_2021_72" w:history="1">
        <w:r w:rsidRPr="002C5A78">
          <w:rPr>
            <w:rStyle w:val="TextoNormalCaracter"/>
          </w:rPr>
          <w:t>72/2021</w:t>
        </w:r>
      </w:hyperlink>
      <w:r>
        <w:t xml:space="preserve"> (anula).</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72" w:history="1">
        <w:r w:rsidRPr="002C5A78">
          <w:rPr>
            <w:rStyle w:val="TextoNormalCaracter"/>
          </w:rPr>
          <w:t>72/2021</w:t>
        </w:r>
      </w:hyperlink>
      <w:r>
        <w:t xml:space="preserve"> (anula).</w:t>
      </w:r>
    </w:p>
    <w:p w:rsidR="002C5A78" w:rsidRDefault="002C5A78" w:rsidP="002C5A78">
      <w:pPr>
        <w:pStyle w:val="SangriaFrancesaArticulo"/>
      </w:pPr>
      <w:r w:rsidRPr="002C5A78">
        <w:rPr>
          <w:rStyle w:val="TextoNormalNegritaCaracter"/>
        </w:rPr>
        <w:t>Artículo 73.41.</w:t>
      </w:r>
      <w:r w:rsidRPr="002C5A78">
        <w:rPr>
          <w:rStyle w:val="TextoNormalCaracter"/>
        </w:rPr>
        <w:t>-</w:t>
      </w:r>
      <w:r>
        <w:t xml:space="preserve"> Sentencia </w:t>
      </w:r>
      <w:hyperlink w:anchor="SENTENCIA_2021_72" w:history="1">
        <w:r w:rsidRPr="002C5A78">
          <w:rPr>
            <w:rStyle w:val="TextoNormalCaracter"/>
          </w:rPr>
          <w:t>72/2021</w:t>
        </w:r>
      </w:hyperlink>
      <w:r>
        <w:t xml:space="preserve"> (anula).</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B.9) Murcia</w:t>
      </w:r>
    </w:p>
    <w:p w:rsidR="002C5A78" w:rsidRDefault="002C5A78" w:rsidP="002C5A78">
      <w:pPr>
        <w:pStyle w:val="TextoNormalNegritaCentrado"/>
      </w:pPr>
    </w:p>
    <w:p w:rsidR="002C5A78" w:rsidRDefault="002C5A78" w:rsidP="002C5A78">
      <w:pPr>
        <w:pStyle w:val="TextoNormalNegritaCursivandice"/>
        <w:keepNext/>
      </w:pPr>
      <w:r>
        <w:t>Decreto-ley del Gobierno de la Región de Murcia 3/2020, de 23 de abril. Mitigación del impacto socioeconómico del Covid-19 en el área de vivienda e infraestructuras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Autos </w:t>
      </w:r>
      <w:hyperlink w:anchor="AUTO_2021_33" w:history="1">
        <w:r w:rsidRPr="002C5A78">
          <w:rPr>
            <w:rStyle w:val="TextoNormalCaracter"/>
          </w:rPr>
          <w:t>33/2021</w:t>
        </w:r>
      </w:hyperlink>
      <w:r>
        <w:t xml:space="preserve">; </w:t>
      </w:r>
      <w:hyperlink w:anchor="AUTO_2021_58" w:history="1">
        <w:r w:rsidRPr="002C5A78">
          <w:rPr>
            <w:rStyle w:val="TextoNormalCaracter"/>
          </w:rPr>
          <w:t>58/2021</w:t>
        </w:r>
      </w:hyperlink>
      <w:r>
        <w:t>.</w:t>
      </w:r>
    </w:p>
    <w:p w:rsidR="002C5A78" w:rsidRDefault="002C5A78" w:rsidP="002C5A78">
      <w:pPr>
        <w:pStyle w:val="SangriaFrancesaArticulo"/>
      </w:pPr>
    </w:p>
    <w:p w:rsidR="002C5A78" w:rsidRDefault="002C5A78" w:rsidP="002C5A78">
      <w:pPr>
        <w:pStyle w:val="TextoNormalNegritaCursivandice"/>
        <w:keepNext/>
      </w:pPr>
      <w:r>
        <w:t>Acuerdo del Pleno de la Asamblea Regional de Murcia, de 6 de mayo de 2020. Acuerda la convalidación del Decreto-ley 3/2020, de 23 de abril, de mitigación del impacto socioeconómico del Covid-19 en el área de vivienda e infraestructuras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Autos </w:t>
      </w:r>
      <w:hyperlink w:anchor="AUTO_2021_33" w:history="1">
        <w:r w:rsidRPr="002C5A78">
          <w:rPr>
            <w:rStyle w:val="TextoNormalCaracter"/>
          </w:rPr>
          <w:t>33/2021</w:t>
        </w:r>
      </w:hyperlink>
      <w:r>
        <w:t xml:space="preserve">; </w:t>
      </w:r>
      <w:hyperlink w:anchor="AUTO_2021_58" w:history="1">
        <w:r w:rsidRPr="002C5A78">
          <w:rPr>
            <w:rStyle w:val="TextoNormalCaracter"/>
          </w:rPr>
          <w:t>58/2021</w:t>
        </w:r>
      </w:hyperlink>
      <w:r>
        <w:t>.</w:t>
      </w:r>
    </w:p>
    <w:p w:rsidR="002C5A78" w:rsidRDefault="002C5A78" w:rsidP="002C5A78">
      <w:pPr>
        <w:pStyle w:val="SangriaFrancesaArticulo"/>
      </w:pPr>
    </w:p>
    <w:p w:rsidR="002C5A78" w:rsidRDefault="002C5A78" w:rsidP="002C5A78">
      <w:pPr>
        <w:pStyle w:val="TextoNormalNegritaCursivandice"/>
        <w:keepNext/>
      </w:pPr>
      <w:r>
        <w:t>Decreto-ley del Gobierno de la Región de Murcia 5/2020, de 7 de mayo. Mitigación del impacto socioeconómico del Covid-19 en el área de medio ambiente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Autos </w:t>
      </w:r>
      <w:hyperlink w:anchor="AUTO_2021_34" w:history="1">
        <w:r w:rsidRPr="002C5A78">
          <w:rPr>
            <w:rStyle w:val="TextoNormalCaracter"/>
          </w:rPr>
          <w:t>34/2021</w:t>
        </w:r>
      </w:hyperlink>
      <w:r>
        <w:t xml:space="preserve">; </w:t>
      </w:r>
      <w:hyperlink w:anchor="AUTO_2021_59" w:history="1">
        <w:r w:rsidRPr="002C5A78">
          <w:rPr>
            <w:rStyle w:val="TextoNormalCaracter"/>
          </w:rPr>
          <w:t>59/2021</w:t>
        </w:r>
      </w:hyperlink>
      <w:r>
        <w:t>.</w:t>
      </w:r>
    </w:p>
    <w:p w:rsidR="002C5A78" w:rsidRDefault="002C5A78" w:rsidP="002C5A78">
      <w:pPr>
        <w:pStyle w:val="SangriaFrancesaArticulo"/>
      </w:pPr>
    </w:p>
    <w:p w:rsidR="002C5A78" w:rsidRDefault="002C5A78" w:rsidP="002C5A78">
      <w:pPr>
        <w:pStyle w:val="TextoNormalNegritaCursivandice"/>
        <w:keepNext/>
      </w:pPr>
      <w:r>
        <w:t>Acuerdo del Pleno de la Asamblea Regional de Murcia, de 16 de julio de 2020. Acuerda la convalidación del Decreto-ley 5/2020, de 7 de abril, de mitigación del impacto socioeconómico del Covid-19 en el área de medio ambiente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9" w:history="1">
        <w:r w:rsidRPr="002C5A78">
          <w:rPr>
            <w:rStyle w:val="TextoNormalCaracter"/>
          </w:rPr>
          <w:t>59/2021</w:t>
        </w:r>
      </w:hyperlink>
      <w:r>
        <w:t>.</w:t>
      </w:r>
    </w:p>
    <w:p w:rsidR="002C5A78" w:rsidRDefault="002C5A78" w:rsidP="002C5A78">
      <w:pPr>
        <w:pStyle w:val="SangriaFrancesaArticulo"/>
      </w:pPr>
    </w:p>
    <w:p w:rsidR="002C5A78" w:rsidRDefault="002C5A78" w:rsidP="002C5A78">
      <w:pPr>
        <w:pStyle w:val="TextoNormalNegritaCursivandice"/>
        <w:keepNext/>
      </w:pPr>
      <w:r>
        <w:t>Ley de la Asamblea Regional de Murcia 2/2020, de 27 de julio. Mitigación del impacto socioeconómico del Covid-19 en el área de vivienda e infraestructuras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Autos </w:t>
      </w:r>
      <w:hyperlink w:anchor="AUTO_2021_33" w:history="1">
        <w:r w:rsidRPr="002C5A78">
          <w:rPr>
            <w:rStyle w:val="TextoNormalCaracter"/>
          </w:rPr>
          <w:t>33/2021</w:t>
        </w:r>
      </w:hyperlink>
      <w:r>
        <w:t xml:space="preserve">; </w:t>
      </w:r>
      <w:hyperlink w:anchor="AUTO_2021_58" w:history="1">
        <w:r w:rsidRPr="002C5A78">
          <w:rPr>
            <w:rStyle w:val="TextoNormalCaracter"/>
          </w:rPr>
          <w:t>58/2021</w:t>
        </w:r>
      </w:hyperlink>
      <w:r>
        <w:t>.</w:t>
      </w:r>
    </w:p>
    <w:p w:rsidR="002C5A78" w:rsidRDefault="002C5A78" w:rsidP="002C5A78">
      <w:pPr>
        <w:pStyle w:val="SangriaFrancesaArticulo"/>
      </w:pPr>
    </w:p>
    <w:p w:rsidR="002C5A78" w:rsidRDefault="002C5A78" w:rsidP="002C5A78">
      <w:pPr>
        <w:pStyle w:val="TextoNormalNegritaCursivandice"/>
        <w:keepNext/>
      </w:pPr>
      <w:r>
        <w:t>Ley de la Asamblea Regional de Murcia 3/2020, de 27 de julio. Recuperación y protección del Mar Menor</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36.</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37.</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38.</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40.</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50.</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d).</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e).</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f).</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g).</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h).</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i).</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j).</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k).</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l).</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n).</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ñ).</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81.2 o).</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a).</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b).</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d).</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e).</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f).</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g).</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h).</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i).</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j).</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m).</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n).</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ñ).</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p).</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q).</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r).</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81.3 s).</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81.4 a).</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81.4 b).</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81.4 c).</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81.4 d).</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81.4 e).</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83.1.</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83.2.</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83.3.</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83.4.</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Artículo 83.5.</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Disposición transitoria tercera.</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Disposición transitoria cuarta.</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r w:rsidRPr="002C5A78">
        <w:rPr>
          <w:rStyle w:val="TextoNormalNegritaCaracter"/>
        </w:rPr>
        <w:t>Anexo I.</w:t>
      </w:r>
      <w:r w:rsidRPr="002C5A78">
        <w:rPr>
          <w:rStyle w:val="TextoNormalCaracter"/>
        </w:rPr>
        <w:t>-</w:t>
      </w:r>
      <w:r>
        <w:t xml:space="preserve"> Sentencia </w:t>
      </w:r>
      <w:hyperlink w:anchor="SENTENCIA_2021_112" w:history="1">
        <w:r w:rsidRPr="002C5A78">
          <w:rPr>
            <w:rStyle w:val="TextoNormalCaracter"/>
          </w:rPr>
          <w:t>112/2021</w:t>
        </w:r>
      </w:hyperlink>
      <w:r>
        <w:t>.</w:t>
      </w:r>
    </w:p>
    <w:p w:rsidR="002C5A78" w:rsidRDefault="002C5A78" w:rsidP="002C5A78">
      <w:pPr>
        <w:pStyle w:val="SangriaFrancesaArticulo"/>
      </w:pPr>
    </w:p>
    <w:p w:rsidR="002C5A78" w:rsidRDefault="002C5A78" w:rsidP="002C5A78">
      <w:pPr>
        <w:pStyle w:val="TextoNormalNegritaCursivandice"/>
        <w:keepNext/>
      </w:pPr>
      <w:r>
        <w:t>Región de Murcia. Ley 5/2020, de 3 de agosto, de mitigación del impacto socioeconómico del Covid-19 en el área de medio ambiente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Autos </w:t>
      </w:r>
      <w:hyperlink w:anchor="AUTO_2021_34" w:history="1">
        <w:r w:rsidRPr="002C5A78">
          <w:rPr>
            <w:rStyle w:val="TextoNormalCaracter"/>
          </w:rPr>
          <w:t>34/2021</w:t>
        </w:r>
      </w:hyperlink>
      <w:r>
        <w:t xml:space="preserve">; </w:t>
      </w:r>
      <w:hyperlink w:anchor="AUTO_2021_59" w:history="1">
        <w:r w:rsidRPr="002C5A78">
          <w:rPr>
            <w:rStyle w:val="TextoNormalCaracter"/>
          </w:rPr>
          <w:t>59/2021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B.10) Navarra</w:t>
      </w:r>
    </w:p>
    <w:p w:rsidR="002C5A78" w:rsidRDefault="002C5A78" w:rsidP="002C5A78">
      <w:pPr>
        <w:pStyle w:val="TextoNormalNegritaCentrado"/>
      </w:pPr>
    </w:p>
    <w:p w:rsidR="002C5A78" w:rsidRDefault="002C5A78" w:rsidP="002C5A78">
      <w:pPr>
        <w:pStyle w:val="TextoNormalNegritaCursivandice"/>
        <w:keepNext/>
      </w:pPr>
      <w:r>
        <w:t>Ley Foral del Parlamento de Navarra 16/2019, de 26 de marzo. Reconocimiento y reparación de las víctimas por actos de motivación política provocados por grupos de extrema derecha o funcionarios públicos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08" w:history="1">
        <w:r w:rsidRPr="002C5A78">
          <w:rPr>
            <w:rStyle w:val="TextoNormalCaracter"/>
          </w:rPr>
          <w:t>108/2021</w:t>
        </w:r>
      </w:hyperlink>
      <w:r>
        <w:t xml:space="preserve">; </w:t>
      </w:r>
      <w:hyperlink w:anchor="SENTENCIA_2021_135" w:history="1">
        <w:r w:rsidRPr="002C5A78">
          <w:rPr>
            <w:rStyle w:val="TextoNormalCaracter"/>
          </w:rPr>
          <w:t>135/2021</w:t>
        </w:r>
      </w:hyperlink>
      <w:r>
        <w:t>.</w:t>
      </w:r>
    </w:p>
    <w:p w:rsidR="002C5A78" w:rsidRDefault="002C5A78" w:rsidP="002C5A78">
      <w:pPr>
        <w:pStyle w:val="SangriaFrancesaArticulo"/>
      </w:pPr>
      <w:r w:rsidRPr="002C5A78">
        <w:rPr>
          <w:rStyle w:val="TextoNormalNegritaCaracter"/>
        </w:rPr>
        <w:t>Artículo 6 parrafo 1.</w:t>
      </w:r>
      <w:r w:rsidRPr="002C5A78">
        <w:rPr>
          <w:rStyle w:val="TextoNormalCaracter"/>
        </w:rPr>
        <w:t>-</w:t>
      </w:r>
      <w:r>
        <w:t xml:space="preserve"> Sentencias </w:t>
      </w:r>
      <w:hyperlink w:anchor="SENTENCIA_2021_108" w:history="1">
        <w:r w:rsidRPr="002C5A78">
          <w:rPr>
            <w:rStyle w:val="TextoNormalCaracter"/>
          </w:rPr>
          <w:t>108/2021</w:t>
        </w:r>
      </w:hyperlink>
      <w:r>
        <w:t xml:space="preserve"> (interpreta); </w:t>
      </w:r>
      <w:hyperlink w:anchor="SENTENCIA_2021_135" w:history="1">
        <w:r w:rsidRPr="002C5A78">
          <w:rPr>
            <w:rStyle w:val="TextoNormalCaracter"/>
          </w:rPr>
          <w:t>135/2021</w:t>
        </w:r>
      </w:hyperlink>
      <w:r>
        <w:t xml:space="preserve"> (interpreta).</w:t>
      </w:r>
    </w:p>
    <w:p w:rsidR="002C5A78" w:rsidRDefault="002C5A78" w:rsidP="002C5A78">
      <w:pPr>
        <w:pStyle w:val="SangriaFrancesaArticulo"/>
      </w:pPr>
      <w:r w:rsidRPr="002C5A78">
        <w:rPr>
          <w:rStyle w:val="TextoNormalNegritaCaracter"/>
        </w:rPr>
        <w:t>Artículo 9.3 inciso "sin perjuicio de las actuaciones y gestiones que pueda realizar la Comisión para la documentación y acreditación de los mismos".</w:t>
      </w:r>
      <w:r w:rsidRPr="002C5A78">
        <w:rPr>
          <w:rStyle w:val="TextoNormalCaracter"/>
        </w:rPr>
        <w:t>-</w:t>
      </w:r>
      <w:r>
        <w:t xml:space="preserve"> Sentencias </w:t>
      </w:r>
      <w:hyperlink w:anchor="SENTENCIA_2021_108" w:history="1">
        <w:r w:rsidRPr="002C5A78">
          <w:rPr>
            <w:rStyle w:val="TextoNormalCaracter"/>
          </w:rPr>
          <w:t>108/2021</w:t>
        </w:r>
      </w:hyperlink>
      <w:r>
        <w:t xml:space="preserve"> (interpreta); </w:t>
      </w:r>
      <w:hyperlink w:anchor="SENTENCIA_2021_135" w:history="1">
        <w:r w:rsidRPr="002C5A78">
          <w:rPr>
            <w:rStyle w:val="TextoNormalCaracter"/>
          </w:rPr>
          <w:t>135/2021</w:t>
        </w:r>
      </w:hyperlink>
      <w:r>
        <w:t xml:space="preserve"> (interpreta).</w:t>
      </w:r>
    </w:p>
    <w:p w:rsidR="002C5A78" w:rsidRDefault="002C5A78" w:rsidP="002C5A78">
      <w:pPr>
        <w:pStyle w:val="SangriaFrancesaArticulo"/>
      </w:pPr>
      <w:r w:rsidRPr="002C5A78">
        <w:rPr>
          <w:rStyle w:val="TextoNormalNegritaCaracter"/>
        </w:rPr>
        <w:t>Artículo 10.2 e).</w:t>
      </w:r>
      <w:r w:rsidRPr="002C5A78">
        <w:rPr>
          <w:rStyle w:val="TextoNormalCaracter"/>
        </w:rPr>
        <w:t>-</w:t>
      </w:r>
      <w:r>
        <w:t xml:space="preserve"> Sentencias </w:t>
      </w:r>
      <w:hyperlink w:anchor="SENTENCIA_2021_108" w:history="1">
        <w:r w:rsidRPr="002C5A78">
          <w:rPr>
            <w:rStyle w:val="TextoNormalCaracter"/>
          </w:rPr>
          <w:t>108/2021</w:t>
        </w:r>
      </w:hyperlink>
      <w:r>
        <w:t xml:space="preserve"> (interpreta); </w:t>
      </w:r>
      <w:hyperlink w:anchor="SENTENCIA_2021_135" w:history="1">
        <w:r w:rsidRPr="002C5A78">
          <w:rPr>
            <w:rStyle w:val="TextoNormalCaracter"/>
          </w:rPr>
          <w:t>135/2021</w:t>
        </w:r>
      </w:hyperlink>
      <w:r>
        <w:t xml:space="preserve"> (interpreta).</w:t>
      </w:r>
    </w:p>
    <w:p w:rsidR="002C5A78" w:rsidRDefault="002C5A78" w:rsidP="002C5A78">
      <w:pPr>
        <w:pStyle w:val="SangriaFrancesaArticulo"/>
      </w:pPr>
      <w:r w:rsidRPr="002C5A78">
        <w:rPr>
          <w:rStyle w:val="TextoNormalNegritaCaracter"/>
        </w:rPr>
        <w:t>Artículo 11.1 párrafo 1 inciso "realizará un resumen de los hechos que ocasionaron la vulneración de los derechos humanos de la víctima".</w:t>
      </w:r>
      <w:r w:rsidRPr="002C5A78">
        <w:rPr>
          <w:rStyle w:val="TextoNormalCaracter"/>
        </w:rPr>
        <w:t>-</w:t>
      </w:r>
      <w:r>
        <w:t xml:space="preserve"> Sentencias </w:t>
      </w:r>
      <w:hyperlink w:anchor="SENTENCIA_2021_108" w:history="1">
        <w:r w:rsidRPr="002C5A78">
          <w:rPr>
            <w:rStyle w:val="TextoNormalCaracter"/>
          </w:rPr>
          <w:t>108/2021</w:t>
        </w:r>
      </w:hyperlink>
      <w:r>
        <w:t xml:space="preserve"> (interpreta); </w:t>
      </w:r>
      <w:hyperlink w:anchor="SENTENCIA_2021_135" w:history="1">
        <w:r w:rsidRPr="002C5A78">
          <w:rPr>
            <w:rStyle w:val="TextoNormalCaracter"/>
          </w:rPr>
          <w:t>135/2021</w:t>
        </w:r>
      </w:hyperlink>
      <w:r>
        <w:t xml:space="preserve"> (interpreta).</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B.11) País Vasco</w:t>
      </w:r>
    </w:p>
    <w:p w:rsidR="002C5A78" w:rsidRDefault="002C5A78" w:rsidP="002C5A78">
      <w:pPr>
        <w:pStyle w:val="TextoNormalNegritaCentrado"/>
      </w:pPr>
    </w:p>
    <w:p w:rsidR="002C5A78" w:rsidRDefault="002C5A78" w:rsidP="002C5A78">
      <w:pPr>
        <w:pStyle w:val="TextoNormalNegritaCursivandice"/>
        <w:keepNext/>
      </w:pPr>
      <w:r>
        <w:t>Ley del Parlamento Vasco 3/1998, de 27 de febrero. General de protección del medio ambiente del País Vasco</w:t>
      </w:r>
    </w:p>
    <w:p w:rsidR="002C5A78" w:rsidRDefault="002C5A78" w:rsidP="002C5A78">
      <w:pPr>
        <w:pStyle w:val="SangriaFrancesaArticulo"/>
      </w:pPr>
      <w:r w:rsidRPr="002C5A78">
        <w:rPr>
          <w:rStyle w:val="TextoNormalNegritaCaracter"/>
        </w:rPr>
        <w:t>Artículo 3.4 inciso "como jurisdiccional".</w:t>
      </w:r>
      <w:r w:rsidRPr="002C5A78">
        <w:rPr>
          <w:rStyle w:val="TextoNormalCaracter"/>
        </w:rPr>
        <w:t>-</w:t>
      </w:r>
      <w:r>
        <w:t xml:space="preserve"> Sentencia </w:t>
      </w:r>
      <w:hyperlink w:anchor="SENTENCIA_2021_15" w:history="1">
        <w:r w:rsidRPr="002C5A78">
          <w:rPr>
            <w:rStyle w:val="TextoNormalCaracter"/>
          </w:rPr>
          <w:t>15/2021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Ley del Parlamento Vasco 7/2019, de 27 de junio. Quinta modificación de la Ley de policía del País Vasco</w:t>
      </w:r>
    </w:p>
    <w:p w:rsidR="002C5A78" w:rsidRDefault="002C5A78" w:rsidP="002C5A78">
      <w:pPr>
        <w:pStyle w:val="SangriaFrancesaArticulo"/>
      </w:pPr>
      <w:r w:rsidRPr="002C5A78">
        <w:rPr>
          <w:rStyle w:val="TextoNormalNegritaCaracter"/>
        </w:rPr>
        <w:t>Disposición transitoria décima, apartado 2.</w:t>
      </w:r>
      <w:r w:rsidRPr="002C5A78">
        <w:rPr>
          <w:rStyle w:val="TextoNormalCaracter"/>
        </w:rPr>
        <w:t>-</w:t>
      </w:r>
      <w:r>
        <w:t xml:space="preserve"> Sentencia </w:t>
      </w:r>
      <w:hyperlink w:anchor="SENTENCIA_2021_38" w:history="1">
        <w:r w:rsidRPr="002C5A78">
          <w:rPr>
            <w:rStyle w:val="TextoNormalCaracter"/>
          </w:rPr>
          <w:t>38/2021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Decreto Legislativo del Gobierno Vasco 1/2020, de 22 de julio, por el que se aprueba el texto refundido de la Ley de policía del País Vasco</w:t>
      </w:r>
    </w:p>
    <w:p w:rsidR="002C5A78" w:rsidRDefault="002C5A78" w:rsidP="002C5A78">
      <w:pPr>
        <w:pStyle w:val="SangriaFrancesaArticulo"/>
      </w:pPr>
      <w:r w:rsidRPr="002C5A78">
        <w:rPr>
          <w:rStyle w:val="TextoNormalNegritaCaracter"/>
        </w:rPr>
        <w:t>Disposición transitoria novena, apartado 2.</w:t>
      </w:r>
      <w:r w:rsidRPr="002C5A78">
        <w:rPr>
          <w:rStyle w:val="TextoNormalCaracter"/>
        </w:rPr>
        <w:t>-</w:t>
      </w:r>
      <w:r>
        <w:t xml:space="preserve"> Sentencia </w:t>
      </w:r>
      <w:hyperlink w:anchor="SENTENCIA_2021_38" w:history="1">
        <w:r w:rsidRPr="002C5A78">
          <w:rPr>
            <w:rStyle w:val="TextoNormalCaracter"/>
          </w:rPr>
          <w:t>38/2021</w:t>
        </w:r>
      </w:hyperlink>
      <w:r>
        <w:t xml:space="preserve"> (anula).</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B.12) Valencia</w:t>
      </w:r>
    </w:p>
    <w:p w:rsidR="002C5A78" w:rsidRDefault="002C5A78" w:rsidP="002C5A78">
      <w:pPr>
        <w:pStyle w:val="TextoNormalNegritaCentrado"/>
      </w:pPr>
    </w:p>
    <w:p w:rsidR="002C5A78" w:rsidRDefault="002C5A78" w:rsidP="002C5A78">
      <w:pPr>
        <w:pStyle w:val="TextoNormalNegritaCursivandice"/>
        <w:keepNext/>
      </w:pPr>
      <w:r>
        <w:t>Comunitat Valenciana. Ley 14/2016, de 30 de diciembre, de presupuestos de la Generalitat para el ejercicio 2017</w:t>
      </w:r>
    </w:p>
    <w:p w:rsidR="002C5A78" w:rsidRDefault="002C5A78" w:rsidP="002C5A78">
      <w:pPr>
        <w:pStyle w:val="SangriaFrancesaArticulo"/>
      </w:pPr>
      <w:r w:rsidRPr="002C5A78">
        <w:rPr>
          <w:rStyle w:val="TextoNormalNegritaCaracter"/>
        </w:rPr>
        <w:t>Disposición adicional trigesima tercera, apartado 1.</w:t>
      </w:r>
      <w:r w:rsidRPr="002C5A78">
        <w:rPr>
          <w:rStyle w:val="TextoNormalCaracter"/>
        </w:rPr>
        <w:t>-</w:t>
      </w:r>
      <w:r>
        <w:t xml:space="preserve"> Sentencia </w:t>
      </w:r>
      <w:hyperlink w:anchor="SENTENCIA_2021_109" w:history="1">
        <w:r w:rsidRPr="002C5A78">
          <w:rPr>
            <w:rStyle w:val="TextoNormalCaracter"/>
          </w:rPr>
          <w:t>109/2021</w:t>
        </w:r>
      </w:hyperlink>
      <w:r>
        <w:t xml:space="preserve"> (declara inconstitucional).</w:t>
      </w:r>
    </w:p>
    <w:p w:rsidR="002C5A78" w:rsidRDefault="002C5A78" w:rsidP="002C5A78">
      <w:pPr>
        <w:pStyle w:val="SangriaFrancesaArticulo"/>
      </w:pPr>
      <w:r w:rsidRPr="002C5A78">
        <w:rPr>
          <w:rStyle w:val="TextoNormalNegritaCaracter"/>
        </w:rPr>
        <w:t>Disposición adicional trigesima tercera, apartado 2.</w:t>
      </w:r>
      <w:r w:rsidRPr="002C5A78">
        <w:rPr>
          <w:rStyle w:val="TextoNormalCaracter"/>
        </w:rPr>
        <w:t>-</w:t>
      </w:r>
      <w:r>
        <w:t xml:space="preserve"> Sentencia </w:t>
      </w:r>
      <w:hyperlink w:anchor="SENTENCIA_2021_109" w:history="1">
        <w:r w:rsidRPr="002C5A78">
          <w:rPr>
            <w:rStyle w:val="TextoNormalCaracter"/>
          </w:rPr>
          <w:t>109/2021</w:t>
        </w:r>
      </w:hyperlink>
      <w:r>
        <w:t xml:space="preserve"> (declara inconstitucional).</w:t>
      </w:r>
    </w:p>
    <w:p w:rsidR="002C5A78" w:rsidRDefault="002C5A78">
      <w:pPr>
        <w:spacing w:after="0" w:line="360" w:lineRule="auto"/>
        <w:ind w:firstLine="851"/>
        <w:jc w:val="both"/>
        <w:rPr>
          <w:rFonts w:ascii="Times New Roman" w:eastAsia="Times New Roman" w:hAnsi="Times New Roman" w:cs="Times New Roman"/>
          <w:sz w:val="24"/>
          <w:szCs w:val="24"/>
          <w:lang w:eastAsia="es-ES"/>
        </w:rPr>
      </w:pPr>
      <w:r>
        <w:br w:type="page"/>
      </w:r>
    </w:p>
    <w:p w:rsidR="002C5A78" w:rsidRDefault="002C5A78" w:rsidP="002C5A78">
      <w:pPr>
        <w:pStyle w:val="SangriaFrancesaArticulo"/>
      </w:pPr>
    </w:p>
    <w:p w:rsidR="002C5A78" w:rsidRDefault="002C5A78" w:rsidP="002C5A78">
      <w:pPr>
        <w:pStyle w:val="TextoNormal"/>
      </w:pPr>
    </w:p>
    <w:p w:rsidR="002C5A78" w:rsidRDefault="002C5A78" w:rsidP="002C5A78">
      <w:pPr>
        <w:pStyle w:val="TextoNormal"/>
      </w:pPr>
    </w:p>
    <w:p w:rsidR="002C5A78" w:rsidRDefault="002C5A78" w:rsidP="002C5A78">
      <w:pPr>
        <w:pStyle w:val="TextoNormal"/>
      </w:pPr>
    </w:p>
    <w:p w:rsidR="002C5A78" w:rsidRDefault="002C5A78" w:rsidP="002C5A78">
      <w:pPr>
        <w:pStyle w:val="Ttulondice"/>
        <w:suppressAutoHyphens/>
      </w:pPr>
      <w:r>
        <w:t>4. ÍNDICE DE DISPOSICIONES GENERALES Y RESOLUCIONES IMPUGNADAS</w:t>
      </w: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pPr>
    </w:p>
    <w:p w:rsidR="002C5A78" w:rsidRDefault="002C5A78" w:rsidP="002C5A78">
      <w:pPr>
        <w:pStyle w:val="TextoNormal"/>
      </w:pPr>
      <w:bookmarkStart w:id="214" w:name="INDICE22803"/>
      <w:bookmarkEnd w:id="214"/>
    </w:p>
    <w:p w:rsidR="002C5A78" w:rsidRDefault="002C5A78" w:rsidP="002C5A78">
      <w:pPr>
        <w:pStyle w:val="TextoIndiceNivel2"/>
        <w:suppressAutoHyphens/>
      </w:pPr>
      <w:r>
        <w:t>A) Disposiciones del Estado</w:t>
      </w:r>
    </w:p>
    <w:p w:rsidR="002C5A78" w:rsidRDefault="002C5A78" w:rsidP="002C5A78">
      <w:pPr>
        <w:pStyle w:val="TextoIndiceNivel2"/>
      </w:pPr>
    </w:p>
    <w:p w:rsidR="002C5A78" w:rsidRDefault="002C5A78" w:rsidP="002C5A78">
      <w:pPr>
        <w:pStyle w:val="TextoNormalNegritaCursivandice"/>
        <w:keepNext/>
      </w:pPr>
      <w:r>
        <w:t>Acuerdo de la mesa del Congreso de los Diputados de 31 de octubre de 2018, de denegación de la solicitud del uso de la sala constitucional. Acuerdo de la mesa del Congreso de los Diputados de 15 de noviembre de 2018, de desestimación de la reconsideración del acuerdo anterior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7" w:history="1">
        <w:r w:rsidRPr="002C5A78">
          <w:rPr>
            <w:rStyle w:val="TextoNormalCaracter"/>
          </w:rPr>
          <w:t>137/2021</w:t>
        </w:r>
      </w:hyperlink>
      <w:r>
        <w:t>.</w:t>
      </w:r>
    </w:p>
    <w:p w:rsidR="002C5A78" w:rsidRDefault="002C5A78" w:rsidP="002C5A78">
      <w:pPr>
        <w:pStyle w:val="SangriaFrancesaArticulo"/>
      </w:pPr>
    </w:p>
    <w:p w:rsidR="002C5A78" w:rsidRDefault="002C5A78" w:rsidP="002C5A78">
      <w:pPr>
        <w:pStyle w:val="TextoNormalNegritaCursivandice"/>
        <w:keepNext/>
      </w:pPr>
      <w:r>
        <w:t>Real Decreto 130/2019, de 8 de marzo. Base de datos nacional de subvenciones y la publicidad de las subvenciones y demás ayudas públicas</w:t>
      </w:r>
    </w:p>
    <w:p w:rsidR="002C5A78" w:rsidRDefault="002C5A78" w:rsidP="002C5A78">
      <w:pPr>
        <w:pStyle w:val="SangriaFrancesaArticulo"/>
      </w:pPr>
      <w:r w:rsidRPr="002C5A78">
        <w:rPr>
          <w:rStyle w:val="TextoNormalNegritaCaracter"/>
        </w:rPr>
        <w:t xml:space="preserve">Artículo 3.1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37" w:history="1">
        <w:r w:rsidRPr="002C5A78">
          <w:rPr>
            <w:rStyle w:val="TextoNormalCaracter"/>
          </w:rPr>
          <w:t>37/2021</w:t>
        </w:r>
      </w:hyperlink>
      <w:r>
        <w:t>.</w:t>
      </w:r>
    </w:p>
    <w:p w:rsidR="002C5A78" w:rsidRDefault="002C5A78" w:rsidP="002C5A78">
      <w:pPr>
        <w:pStyle w:val="SangriaFrancesaArticulo"/>
      </w:pPr>
      <w:r w:rsidRPr="002C5A78">
        <w:rPr>
          <w:rStyle w:val="TextoNormalNegritaCaracter"/>
        </w:rPr>
        <w:t xml:space="preserve">Artículo 3.1 </w:t>
      </w:r>
      <w:r w:rsidRPr="002C5A78">
        <w:rPr>
          <w:rStyle w:val="TextoNormalNegritaCursivaCaracter"/>
        </w:rPr>
        <w:t>in fine</w:t>
      </w:r>
      <w:r w:rsidRPr="002C5A78">
        <w:rPr>
          <w:rStyle w:val="TextoNormalCaracter"/>
        </w:rPr>
        <w:t>, inciso "legislativos y"</w:t>
      </w:r>
      <w:r w:rsidRPr="002C5A78">
        <w:rPr>
          <w:rStyle w:val="TextoNormalNegritaCaracter"/>
        </w:rPr>
        <w:t>.</w:t>
      </w:r>
      <w:r w:rsidRPr="002C5A78">
        <w:rPr>
          <w:rStyle w:val="TextoNormalCaracter"/>
        </w:rPr>
        <w:t>-</w:t>
      </w:r>
      <w:r>
        <w:t xml:space="preserve"> Sentencia </w:t>
      </w:r>
      <w:hyperlink w:anchor="SENTENCIA_2021_37" w:history="1">
        <w:r w:rsidRPr="002C5A78">
          <w:rPr>
            <w:rStyle w:val="TextoNormalCaracter"/>
          </w:rPr>
          <w:t>37/2021</w:t>
        </w:r>
      </w:hyperlink>
      <w:r>
        <w:t xml:space="preserve"> (anula).</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37" w:history="1">
        <w:r w:rsidRPr="002C5A78">
          <w:rPr>
            <w:rStyle w:val="TextoNormalCaracter"/>
          </w:rPr>
          <w:t>37/2021</w:t>
        </w:r>
      </w:hyperlink>
      <w:r>
        <w:t>.</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37" w:history="1">
        <w:r w:rsidRPr="002C5A78">
          <w:rPr>
            <w:rStyle w:val="TextoNormalCaracter"/>
          </w:rPr>
          <w:t>37/2021</w:t>
        </w:r>
      </w:hyperlink>
      <w:r>
        <w:t>.</w:t>
      </w:r>
    </w:p>
    <w:p w:rsidR="002C5A78" w:rsidRDefault="002C5A78" w:rsidP="002C5A78">
      <w:pPr>
        <w:pStyle w:val="SangriaFrancesaArticulo"/>
      </w:pPr>
      <w:r w:rsidRPr="002C5A78">
        <w:rPr>
          <w:rStyle w:val="TextoNormalNegritaCaracter"/>
        </w:rPr>
        <w:t>Artículo 6.7.</w:t>
      </w:r>
      <w:r w:rsidRPr="002C5A78">
        <w:rPr>
          <w:rStyle w:val="TextoNormalCaracter"/>
        </w:rPr>
        <w:t>-</w:t>
      </w:r>
      <w:r>
        <w:t xml:space="preserve"> Sentencia </w:t>
      </w:r>
      <w:hyperlink w:anchor="SENTENCIA_2021_37" w:history="1">
        <w:r w:rsidRPr="002C5A78">
          <w:rPr>
            <w:rStyle w:val="TextoNormalCaracter"/>
          </w:rPr>
          <w:t>37/2021</w:t>
        </w:r>
      </w:hyperlink>
      <w:r>
        <w:t>.</w:t>
      </w:r>
    </w:p>
    <w:p w:rsidR="002C5A78" w:rsidRDefault="002C5A78" w:rsidP="002C5A78">
      <w:pPr>
        <w:pStyle w:val="SangriaFrancesaArticulo"/>
      </w:pPr>
      <w:r w:rsidRPr="002C5A78">
        <w:rPr>
          <w:rStyle w:val="TextoNormalNegritaCaracter"/>
        </w:rPr>
        <w:t>Artículo 10.1.</w:t>
      </w:r>
      <w:r w:rsidRPr="002C5A78">
        <w:rPr>
          <w:rStyle w:val="TextoNormalCaracter"/>
        </w:rPr>
        <w:t>-</w:t>
      </w:r>
      <w:r>
        <w:t xml:space="preserve"> Sentencia </w:t>
      </w:r>
      <w:hyperlink w:anchor="SENTENCIA_2021_37" w:history="1">
        <w:r w:rsidRPr="002C5A78">
          <w:rPr>
            <w:rStyle w:val="TextoNormalCaracter"/>
          </w:rPr>
          <w:t>37/2021</w:t>
        </w:r>
      </w:hyperlink>
      <w:r>
        <w:t>.</w:t>
      </w:r>
    </w:p>
    <w:p w:rsidR="002C5A78" w:rsidRDefault="002C5A78" w:rsidP="002C5A78">
      <w:pPr>
        <w:pStyle w:val="SangriaFrancesaArticulo"/>
      </w:pPr>
    </w:p>
    <w:p w:rsidR="002C5A78" w:rsidRDefault="002C5A78" w:rsidP="002C5A78">
      <w:pPr>
        <w:pStyle w:val="TextoNormalNegritaCursivandice"/>
        <w:keepNext/>
      </w:pPr>
      <w:r>
        <w:t>Real Decreto 165/2019, de 22 de marzo, por el que se aprueba el reglamento de adopción internacional.</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25.</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26.</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30.</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32 apartado 2 j) inciso "de la dirección general y".</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33.1.</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38.2 inciso "por la dirección general".</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38.4 inciso "a la dirección general".</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39.3 b) inciso "para que pueda proceder, en su caso, a la aplicación de lo establecido en el artículo 28".</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39.4 c) inciso "los organismos de intermediación o".</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Artículo 39.4 e) inciso "la dirección general".</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r w:rsidRPr="002C5A78">
        <w:rPr>
          <w:rStyle w:val="TextoNormalNegritaCaracter"/>
        </w:rPr>
        <w:t>Disposición transitoria única, apartados 1, 2 y 3.</w:t>
      </w:r>
      <w:r w:rsidRPr="002C5A78">
        <w:rPr>
          <w:rStyle w:val="TextoNormalCaracter"/>
        </w:rPr>
        <w:t>-</w:t>
      </w:r>
      <w:r>
        <w:t xml:space="preserve"> Sentencia </w:t>
      </w:r>
      <w:hyperlink w:anchor="SENTENCIA_2021_36" w:history="1">
        <w:r w:rsidRPr="002C5A78">
          <w:rPr>
            <w:rStyle w:val="TextoNormalCaracter"/>
          </w:rPr>
          <w:t>36/2021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Acuerdo de la mesa del Congreso de los Diputados de 24 de mayo de 2019, de declaración de suspensión de la condición de diputado. Acuerdo de la mesa del Congreso de los Diputados de 16 de julio de 2019, de desestimación de la solicitud de reconsideración presentada contra el acuerdo de la mesa de 5 de junio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69" w:history="1">
        <w:r w:rsidRPr="002C5A78">
          <w:rPr>
            <w:rStyle w:val="TextoNormalCaracter"/>
          </w:rPr>
          <w:t>69/2021</w:t>
        </w:r>
      </w:hyperlink>
      <w:r>
        <w:t xml:space="preserve">; </w:t>
      </w:r>
      <w:hyperlink w:anchor="SENTENCIA_2021_90" w:history="1">
        <w:r w:rsidRPr="002C5A78">
          <w:rPr>
            <w:rStyle w:val="TextoNormalCaracter"/>
          </w:rPr>
          <w:t>90/2021</w:t>
        </w:r>
      </w:hyperlink>
      <w:r>
        <w:t xml:space="preserve">; </w:t>
      </w:r>
      <w:hyperlink w:anchor="SENTENCIA_2021_105" w:history="1">
        <w:r w:rsidRPr="002C5A78">
          <w:rPr>
            <w:rStyle w:val="TextoNormalCaracter"/>
          </w:rPr>
          <w:t>105/2021</w:t>
        </w:r>
      </w:hyperlink>
      <w:r>
        <w:t>.</w:t>
      </w:r>
    </w:p>
    <w:p w:rsidR="002C5A78" w:rsidRDefault="002C5A78" w:rsidP="002C5A78">
      <w:pPr>
        <w:pStyle w:val="SangriaFrancesaArticulo"/>
      </w:pPr>
    </w:p>
    <w:p w:rsidR="002C5A78" w:rsidRDefault="002C5A78" w:rsidP="002C5A78">
      <w:pPr>
        <w:pStyle w:val="TextoNormalNegritaCursivandice"/>
        <w:keepNext/>
      </w:pPr>
      <w:r>
        <w:t>Real Decreto 498/2020, de 28 de abril. Desarrolla la estructura orgánica básica del Ministerio de Educación y Formación Profesional</w:t>
      </w:r>
    </w:p>
    <w:p w:rsidR="002C5A78" w:rsidRDefault="002C5A78" w:rsidP="002C5A78">
      <w:pPr>
        <w:pStyle w:val="SangriaFrancesaArticulo"/>
      </w:pPr>
      <w:r w:rsidRPr="002C5A78">
        <w:rPr>
          <w:rStyle w:val="TextoNormalNegritaCaracter"/>
        </w:rPr>
        <w:t>Artículo 5.3 a).</w:t>
      </w:r>
      <w:r w:rsidRPr="002C5A78">
        <w:rPr>
          <w:rStyle w:val="TextoNormalCaracter"/>
        </w:rPr>
        <w:t>-</w:t>
      </w:r>
      <w:r>
        <w:t xml:space="preserve"> Sentencia </w:t>
      </w:r>
      <w:hyperlink w:anchor="SENTENCIA_2021_39" w:history="1">
        <w:r w:rsidRPr="002C5A78">
          <w:rPr>
            <w:rStyle w:val="TextoNormalCaracter"/>
          </w:rPr>
          <w:t>39/2021</w:t>
        </w:r>
      </w:hyperlink>
      <w:r>
        <w:t>.</w:t>
      </w:r>
    </w:p>
    <w:p w:rsidR="002C5A78" w:rsidRDefault="002C5A78" w:rsidP="002C5A78">
      <w:pPr>
        <w:pStyle w:val="SangriaFrancesaArticulo"/>
      </w:pPr>
      <w:r w:rsidRPr="002C5A78">
        <w:rPr>
          <w:rStyle w:val="TextoNormalNegritaCaracter"/>
        </w:rPr>
        <w:t>Artículo 5.3 a) inciso "y las autonómicas".</w:t>
      </w:r>
      <w:r w:rsidRPr="002C5A78">
        <w:rPr>
          <w:rStyle w:val="TextoNormalCaracter"/>
        </w:rPr>
        <w:t>-</w:t>
      </w:r>
      <w:r>
        <w:t xml:space="preserve"> Sentencia </w:t>
      </w:r>
      <w:hyperlink w:anchor="SENTENCIA_2021_39" w:history="1">
        <w:r w:rsidRPr="002C5A78">
          <w:rPr>
            <w:rStyle w:val="TextoNormalCaracter"/>
          </w:rPr>
          <w:t>39/2021</w:t>
        </w:r>
      </w:hyperlink>
      <w:r>
        <w:t xml:space="preserve"> (anula).</w:t>
      </w:r>
    </w:p>
    <w:p w:rsidR="002C5A78" w:rsidRDefault="002C5A78" w:rsidP="002C5A78">
      <w:pPr>
        <w:pStyle w:val="TextoNormal"/>
      </w:pPr>
    </w:p>
    <w:p w:rsidR="002C5A78" w:rsidRDefault="002C5A78" w:rsidP="002C5A78">
      <w:pPr>
        <w:pStyle w:val="SangriaFrancesaArticulo"/>
      </w:pPr>
      <w:bookmarkStart w:id="215" w:name="INDICE22824"/>
    </w:p>
    <w:bookmarkEnd w:id="215"/>
    <w:p w:rsidR="002C5A78" w:rsidRDefault="002C5A78" w:rsidP="002C5A78">
      <w:pPr>
        <w:pStyle w:val="TextoIndiceNivel2"/>
        <w:suppressAutoHyphens/>
      </w:pPr>
      <w:r>
        <w:t>B) Disposiciones de las Comunidades y Ciudades Autónomas</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B.1) Andalucía</w:t>
      </w:r>
    </w:p>
    <w:p w:rsidR="002C5A78" w:rsidRDefault="002C5A78" w:rsidP="002C5A78">
      <w:pPr>
        <w:pStyle w:val="TextoNormalNegritaCentrado"/>
      </w:pPr>
    </w:p>
    <w:p w:rsidR="002C5A78" w:rsidRDefault="002C5A78" w:rsidP="002C5A78">
      <w:pPr>
        <w:pStyle w:val="TextoNormalNegritaCursivandice"/>
        <w:keepNext/>
      </w:pPr>
      <w:r>
        <w:t>Acuerdo de la mesa del Parlamento de Andalucía de 18 de noviembre de 2020, de adquisición de la condición de diputados no adscritos. Acuerdo de la mesa del Parlamento de Andalucía de 25 de noviembre de 2020, que desestima los recursos de reconsideración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67" w:history="1">
        <w:r w:rsidRPr="002C5A78">
          <w:rPr>
            <w:rStyle w:val="TextoNormalCaracter"/>
          </w:rPr>
          <w:t>67/2021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B.2) Canarias</w:t>
      </w:r>
    </w:p>
    <w:p w:rsidR="002C5A78" w:rsidRDefault="002C5A78" w:rsidP="002C5A78">
      <w:pPr>
        <w:pStyle w:val="TextoNormalNegritaCentrado"/>
      </w:pPr>
    </w:p>
    <w:p w:rsidR="002C5A78" w:rsidRDefault="002C5A78" w:rsidP="002C5A78">
      <w:pPr>
        <w:pStyle w:val="TextoNormalNegritaCursivandice"/>
        <w:keepNext/>
      </w:pPr>
      <w:r>
        <w:t>Comunidad Autónoma de Canarias. Decreto 87/2020, de 9 de diciembre, del presidente, por el que se establece el cierre perimetral de la Comunidad Autónoma, en aplicación del Real Decreto 926/2020, de 25 de octubre, por el que se declara el estado de alarma, para contener la propagación de infecciones causadas por el SARS-CoV-2</w:t>
      </w:r>
    </w:p>
    <w:p w:rsidR="002C5A78" w:rsidRDefault="002C5A78" w:rsidP="002C5A78">
      <w:pPr>
        <w:pStyle w:val="SangriaFrancesaArticulo"/>
      </w:pPr>
      <w:r w:rsidRPr="002C5A78">
        <w:rPr>
          <w:rStyle w:val="TextoNormalNegritaCaracter"/>
        </w:rPr>
        <w:t>Apartado cuarto.</w:t>
      </w:r>
      <w:r w:rsidRPr="002C5A78">
        <w:rPr>
          <w:rStyle w:val="TextoNormalCaracter"/>
        </w:rPr>
        <w:t>-</w:t>
      </w:r>
      <w:r>
        <w:t xml:space="preserve"> Auto </w:t>
      </w:r>
      <w:hyperlink w:anchor="AUTO_2021_51" w:history="1">
        <w:r w:rsidRPr="002C5A78">
          <w:rPr>
            <w:rStyle w:val="TextoNormalCaracter"/>
          </w:rPr>
          <w:t>51/2021</w:t>
        </w:r>
      </w:hyperlink>
      <w:r>
        <w:t>.</w:t>
      </w:r>
    </w:p>
    <w:p w:rsidR="002C5A78" w:rsidRDefault="002C5A78" w:rsidP="002C5A78">
      <w:pPr>
        <w:pStyle w:val="SangriaFrancesaArticulo"/>
      </w:pPr>
      <w:r w:rsidRPr="002C5A78">
        <w:rPr>
          <w:rStyle w:val="TextoNormalNegritaCaracter"/>
        </w:rPr>
        <w:t>Anexo.</w:t>
      </w:r>
      <w:r w:rsidRPr="002C5A78">
        <w:rPr>
          <w:rStyle w:val="TextoNormalCaracter"/>
        </w:rPr>
        <w:t>-</w:t>
      </w:r>
      <w:r>
        <w:t xml:space="preserve"> Auto </w:t>
      </w:r>
      <w:hyperlink w:anchor="AUTO_2021_51" w:history="1">
        <w:r w:rsidRPr="002C5A78">
          <w:rPr>
            <w:rStyle w:val="TextoNormalCaracter"/>
          </w:rPr>
          <w:t>51/2021</w:t>
        </w:r>
      </w:hyperlink>
      <w:r>
        <w:t>.</w:t>
      </w:r>
    </w:p>
    <w:p w:rsidR="002C5A78" w:rsidRDefault="002C5A78" w:rsidP="002C5A78">
      <w:pPr>
        <w:pStyle w:val="SangriaFrancesaArticulo"/>
      </w:pPr>
      <w:r w:rsidRPr="002C5A78">
        <w:rPr>
          <w:rStyle w:val="TextoNormalNegritaCaracter"/>
        </w:rPr>
        <w:t>Apartado noveno.</w:t>
      </w:r>
      <w:r w:rsidRPr="002C5A78">
        <w:rPr>
          <w:rStyle w:val="TextoNormalCaracter"/>
        </w:rPr>
        <w:t>-</w:t>
      </w:r>
      <w:r>
        <w:t xml:space="preserve"> Auto </w:t>
      </w:r>
      <w:hyperlink w:anchor="AUTO_2021_51" w:history="1">
        <w:r w:rsidRPr="002C5A78">
          <w:rPr>
            <w:rStyle w:val="TextoNormalCaracter"/>
          </w:rPr>
          <w:t>51/2021</w:t>
        </w:r>
      </w:hyperlink>
      <w:r>
        <w:t>.</w:t>
      </w:r>
    </w:p>
    <w:p w:rsidR="002C5A78" w:rsidRDefault="002C5A78" w:rsidP="002C5A78">
      <w:pPr>
        <w:pStyle w:val="SangriaFrancesaArticulo"/>
      </w:pPr>
      <w:r w:rsidRPr="002C5A78">
        <w:rPr>
          <w:rStyle w:val="TextoNormalNegritaCaracter"/>
        </w:rPr>
        <w:t>Apartado octavo.4.</w:t>
      </w:r>
      <w:r w:rsidRPr="002C5A78">
        <w:rPr>
          <w:rStyle w:val="TextoNormalCaracter"/>
        </w:rPr>
        <w:t>-</w:t>
      </w:r>
      <w:r>
        <w:t xml:space="preserve"> Auto </w:t>
      </w:r>
      <w:hyperlink w:anchor="AUTO_2021_51" w:history="1">
        <w:r w:rsidRPr="002C5A78">
          <w:rPr>
            <w:rStyle w:val="TextoNormalCaracter"/>
          </w:rPr>
          <w:t>51/2021</w:t>
        </w:r>
      </w:hyperlink>
      <w:r>
        <w:t>.</w:t>
      </w:r>
    </w:p>
    <w:p w:rsidR="002C5A78" w:rsidRDefault="002C5A78" w:rsidP="002C5A78">
      <w:pPr>
        <w:pStyle w:val="SangriaFrancesaArticulo"/>
      </w:pPr>
      <w:r w:rsidRPr="002C5A78">
        <w:rPr>
          <w:rStyle w:val="TextoNormalNegritaCaracter"/>
        </w:rPr>
        <w:t>Apartado segundo.</w:t>
      </w:r>
      <w:r w:rsidRPr="002C5A78">
        <w:rPr>
          <w:rStyle w:val="TextoNormalCaracter"/>
        </w:rPr>
        <w:t>-</w:t>
      </w:r>
      <w:r>
        <w:t xml:space="preserve"> Auto </w:t>
      </w:r>
      <w:hyperlink w:anchor="AUTO_2021_51" w:history="1">
        <w:r w:rsidRPr="002C5A78">
          <w:rPr>
            <w:rStyle w:val="TextoNormalCaracter"/>
          </w:rPr>
          <w:t>51/2021</w:t>
        </w:r>
      </w:hyperlink>
      <w:r>
        <w:t>.</w:t>
      </w:r>
    </w:p>
    <w:p w:rsidR="002C5A78" w:rsidRDefault="002C5A78" w:rsidP="002C5A78">
      <w:pPr>
        <w:pStyle w:val="SangriaFrancesaArticulo"/>
      </w:pPr>
      <w:r w:rsidRPr="002C5A78">
        <w:rPr>
          <w:rStyle w:val="TextoNormalNegritaCaracter"/>
        </w:rPr>
        <w:t>Apartado tercero.</w:t>
      </w:r>
      <w:r w:rsidRPr="002C5A78">
        <w:rPr>
          <w:rStyle w:val="TextoNormalCaracter"/>
        </w:rPr>
        <w:t>-</w:t>
      </w:r>
      <w:r>
        <w:t xml:space="preserve"> Auto </w:t>
      </w:r>
      <w:hyperlink w:anchor="AUTO_2021_51" w:history="1">
        <w:r w:rsidRPr="002C5A78">
          <w:rPr>
            <w:rStyle w:val="TextoNormalCaracter"/>
          </w:rPr>
          <w:t>51/2021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B.3) Cataluña</w:t>
      </w:r>
    </w:p>
    <w:p w:rsidR="002C5A78" w:rsidRDefault="002C5A78" w:rsidP="002C5A78">
      <w:pPr>
        <w:pStyle w:val="TextoNormalNegritaCentrado"/>
      </w:pPr>
    </w:p>
    <w:p w:rsidR="002C5A78" w:rsidRDefault="002C5A78" w:rsidP="002C5A78">
      <w:pPr>
        <w:pStyle w:val="TextoNormalNegritaCursivandice"/>
        <w:keepNext/>
      </w:pPr>
      <w:r>
        <w:t>Acuerdos de 14 y de 27 de enero de 2020 de la mesa del Parlamento de Cataluña. Decisión del presidente de la misma cámara legislativa catalana 12 de febrero de 2020.</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6" w:history="1">
        <w:r w:rsidRPr="002C5A78">
          <w:rPr>
            <w:rStyle w:val="TextoNormalCaracter"/>
          </w:rPr>
          <w:t>66/2021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B.4) Murcia</w:t>
      </w:r>
    </w:p>
    <w:p w:rsidR="002C5A78" w:rsidRDefault="002C5A78" w:rsidP="002C5A78">
      <w:pPr>
        <w:pStyle w:val="TextoNormalNegritaCentrado"/>
      </w:pPr>
    </w:p>
    <w:p w:rsidR="002C5A78" w:rsidRDefault="002C5A78" w:rsidP="002C5A78">
      <w:pPr>
        <w:pStyle w:val="TextoNormalNegritaCursivandice"/>
        <w:keepNext/>
      </w:pPr>
      <w:r>
        <w:t>Acuerdo de la mesa de la Asamblea Regional de Murcia, de 28 de mayo de 2018. Acuerdo 6 de septiembre de 2018, desestimatorio de la solicitud de reconsideración del anterior.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3" w:history="1">
        <w:r w:rsidRPr="002C5A78">
          <w:rPr>
            <w:rStyle w:val="TextoNormalCaracter"/>
          </w:rPr>
          <w:t>53/2021</w:t>
        </w:r>
      </w:hyperlink>
      <w:r>
        <w:t xml:space="preserve"> (anula).</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B.5) País Vasco</w:t>
      </w:r>
    </w:p>
    <w:p w:rsidR="002C5A78" w:rsidRDefault="002C5A78" w:rsidP="002C5A78">
      <w:pPr>
        <w:pStyle w:val="TextoNormalNegritaCentrado"/>
      </w:pPr>
    </w:p>
    <w:p w:rsidR="002C5A78" w:rsidRDefault="002C5A78" w:rsidP="002C5A78">
      <w:pPr>
        <w:pStyle w:val="TextoNormalNegritaCursivandice"/>
        <w:keepNext/>
      </w:pPr>
      <w:r>
        <w:t>Acuerdo de la mesa del Parlamento Vasco, de 13 de agosto de 2020, por el que se establecen los órdenes del día y los tiempos de debate en las sesiones plenarias y se deniegan otras solicitudes. Acuerdo del mismo órgano, de 8 de septiembre de 2020, que rechaza la solicitud de reconsideración del anterior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42" w:history="1">
        <w:r w:rsidRPr="002C5A78">
          <w:rPr>
            <w:rStyle w:val="TextoNormalCaracter"/>
          </w:rPr>
          <w:t>42/2021</w:t>
        </w:r>
      </w:hyperlink>
      <w:r>
        <w:t>.</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B.6) Valencia</w:t>
      </w:r>
    </w:p>
    <w:p w:rsidR="002C5A78" w:rsidRDefault="002C5A78" w:rsidP="002C5A78">
      <w:pPr>
        <w:pStyle w:val="TextoNormalNegritaCentrado"/>
      </w:pPr>
    </w:p>
    <w:p w:rsidR="002C5A78" w:rsidRDefault="002C5A78" w:rsidP="002C5A78">
      <w:pPr>
        <w:pStyle w:val="TextoNormalNegritaCursivandice"/>
        <w:keepNext/>
      </w:pPr>
      <w:r>
        <w:t>Comunitat Valenciana. Orden 23/2015, de 1 de diciembre, de la Consellería de Educación, Investigación, Cultura y Deporte, por la que se convocan becas para el alumnado que inicia sus estu</w:t>
      </w:r>
      <w:r>
        <w:t>dios universitarios de grado y para el alumnado que vaya a finalizar sus estudios universitarios en el curso académi</w:t>
      </w:r>
      <w:r>
        <w:t>co 2015-2016 en las universidades públicas de la Comuni</w:t>
      </w:r>
      <w:r>
        <w:t>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 w:history="1">
        <w:r w:rsidRPr="002C5A78">
          <w:rPr>
            <w:rStyle w:val="TextoNormalCaracter"/>
          </w:rPr>
          <w:t>6/2021</w:t>
        </w:r>
      </w:hyperlink>
      <w:r>
        <w:t>.</w:t>
      </w:r>
    </w:p>
    <w:p w:rsidR="002C5A78" w:rsidRDefault="002C5A78" w:rsidP="002C5A78">
      <w:pPr>
        <w:pStyle w:val="SangriaFrancesaArticulo"/>
      </w:pPr>
      <w:r w:rsidRPr="002C5A78">
        <w:rPr>
          <w:rStyle w:val="TextoNormalNegritaCaracter"/>
        </w:rPr>
        <w:t>Artículo 1.1 término "públicas".</w:t>
      </w:r>
      <w:r w:rsidRPr="002C5A78">
        <w:rPr>
          <w:rStyle w:val="TextoNormalCaracter"/>
        </w:rPr>
        <w:t>-</w:t>
      </w:r>
      <w:r>
        <w:t xml:space="preserve"> Sentencia </w:t>
      </w:r>
      <w:hyperlink w:anchor="SENTENCIA_2021_6" w:history="1">
        <w:r w:rsidRPr="002C5A78">
          <w:rPr>
            <w:rStyle w:val="TextoNormalCaracter"/>
          </w:rPr>
          <w:t>6/2021</w:t>
        </w:r>
      </w:hyperlink>
      <w:r>
        <w:t xml:space="preserve"> (anula).</w:t>
      </w:r>
    </w:p>
    <w:p w:rsidR="002C5A78" w:rsidRDefault="002C5A78" w:rsidP="002C5A78">
      <w:pPr>
        <w:pStyle w:val="SangriaFrancesaArticulo"/>
      </w:pPr>
      <w:r w:rsidRPr="002C5A78">
        <w:rPr>
          <w:rStyle w:val="TextoNormalNegritaCaracter"/>
        </w:rPr>
        <w:t>Artículo 1.2 término "públicas".</w:t>
      </w:r>
      <w:r w:rsidRPr="002C5A78">
        <w:rPr>
          <w:rStyle w:val="TextoNormalCaracter"/>
        </w:rPr>
        <w:t>-</w:t>
      </w:r>
      <w:r>
        <w:t xml:space="preserve"> Sentencia </w:t>
      </w:r>
      <w:hyperlink w:anchor="SENTENCIA_2021_6" w:history="1">
        <w:r w:rsidRPr="002C5A78">
          <w:rPr>
            <w:rStyle w:val="TextoNormalCaracter"/>
          </w:rPr>
          <w:t>6/2021</w:t>
        </w:r>
      </w:hyperlink>
      <w:r>
        <w:t xml:space="preserve"> (anula).</w:t>
      </w:r>
    </w:p>
    <w:p w:rsidR="002C5A78" w:rsidRDefault="002C5A78" w:rsidP="002C5A78">
      <w:pPr>
        <w:pStyle w:val="SangriaFrancesaArticulo"/>
      </w:pPr>
      <w:r w:rsidRPr="002C5A78">
        <w:rPr>
          <w:rStyle w:val="TextoNormalNegritaCaracter"/>
        </w:rPr>
        <w:t>Anexo I base cuarta, apartado c) término "públicas".</w:t>
      </w:r>
      <w:r w:rsidRPr="002C5A78">
        <w:rPr>
          <w:rStyle w:val="TextoNormalCaracter"/>
        </w:rPr>
        <w:t>-</w:t>
      </w:r>
      <w:r>
        <w:t xml:space="preserve"> Sentencia </w:t>
      </w:r>
      <w:hyperlink w:anchor="SENTENCIA_2021_6" w:history="1">
        <w:r w:rsidRPr="002C5A78">
          <w:rPr>
            <w:rStyle w:val="TextoNormalCaracter"/>
          </w:rPr>
          <w:t>6/2021</w:t>
        </w:r>
      </w:hyperlink>
      <w:r>
        <w:t xml:space="preserve"> (anula).</w:t>
      </w:r>
    </w:p>
    <w:p w:rsidR="002C5A78" w:rsidRDefault="002C5A78" w:rsidP="002C5A78">
      <w:pPr>
        <w:pStyle w:val="SangriaFrancesaArticulo"/>
      </w:pPr>
      <w:r w:rsidRPr="002C5A78">
        <w:rPr>
          <w:rStyle w:val="TextoNormalNegritaCaracter"/>
        </w:rPr>
        <w:t>Anexo I base primera, apartado 1 término "públicas".</w:t>
      </w:r>
      <w:r w:rsidRPr="002C5A78">
        <w:rPr>
          <w:rStyle w:val="TextoNormalCaracter"/>
        </w:rPr>
        <w:t>-</w:t>
      </w:r>
      <w:r>
        <w:t xml:space="preserve"> Sentencia </w:t>
      </w:r>
      <w:hyperlink w:anchor="SENTENCIA_2021_6" w:history="1">
        <w:r w:rsidRPr="002C5A78">
          <w:rPr>
            <w:rStyle w:val="TextoNormalCaracter"/>
          </w:rPr>
          <w:t>6/2021</w:t>
        </w:r>
      </w:hyperlink>
      <w:r>
        <w:t xml:space="preserve"> (anula).</w:t>
      </w:r>
    </w:p>
    <w:p w:rsidR="002C5A78" w:rsidRDefault="002C5A78" w:rsidP="002C5A78">
      <w:pPr>
        <w:pStyle w:val="SangriaFrancesaArticulo"/>
      </w:pPr>
      <w:r w:rsidRPr="002C5A78">
        <w:rPr>
          <w:rStyle w:val="TextoNormalNegritaCaracter"/>
        </w:rPr>
        <w:t>Anexo I base primera, apartado 2 término "públicas".</w:t>
      </w:r>
      <w:r w:rsidRPr="002C5A78">
        <w:rPr>
          <w:rStyle w:val="TextoNormalCaracter"/>
        </w:rPr>
        <w:t>-</w:t>
      </w:r>
      <w:r>
        <w:t xml:space="preserve"> Sentencia </w:t>
      </w:r>
      <w:hyperlink w:anchor="SENTENCIA_2021_6" w:history="1">
        <w:r w:rsidRPr="002C5A78">
          <w:rPr>
            <w:rStyle w:val="TextoNormalCaracter"/>
          </w:rPr>
          <w:t>6/2021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Orden de la Consellería de Educación, Investigación, Cultura y Deporte de la Comunitat Valenciana 23/2016, de 10 de junio.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 w:history="1">
        <w:r w:rsidRPr="002C5A78">
          <w:rPr>
            <w:rStyle w:val="TextoNormalCaracter"/>
          </w:rPr>
          <w:t>2/2021</w:t>
        </w:r>
      </w:hyperlink>
      <w:r>
        <w:t xml:space="preserve"> (anula parcialmente).</w:t>
      </w:r>
    </w:p>
    <w:p w:rsidR="002C5A78" w:rsidRDefault="002C5A78" w:rsidP="002C5A78">
      <w:pPr>
        <w:pStyle w:val="SangriaFrancesaArticulo"/>
      </w:pPr>
      <w:r w:rsidRPr="002C5A78">
        <w:rPr>
          <w:rStyle w:val="TextoNormalNegritaCaracter"/>
        </w:rPr>
        <w:t>Artículo 1.1 término "públicas".</w:t>
      </w:r>
      <w:r w:rsidRPr="002C5A78">
        <w:rPr>
          <w:rStyle w:val="TextoNormalCaracter"/>
        </w:rPr>
        <w:t>-</w:t>
      </w:r>
      <w:r>
        <w:t xml:space="preserve"> Sentencia </w:t>
      </w:r>
      <w:hyperlink w:anchor="SENTENCIA_2021_2" w:history="1">
        <w:r w:rsidRPr="002C5A78">
          <w:rPr>
            <w:rStyle w:val="TextoNormalCaracter"/>
          </w:rPr>
          <w:t>2/2021</w:t>
        </w:r>
      </w:hyperlink>
      <w:r>
        <w:t xml:space="preserve"> (anula).</w:t>
      </w:r>
    </w:p>
    <w:p w:rsidR="002C5A78" w:rsidRDefault="002C5A78" w:rsidP="002C5A78">
      <w:pPr>
        <w:pStyle w:val="SangriaFrancesaArticulo"/>
      </w:pPr>
      <w:r w:rsidRPr="002C5A78">
        <w:rPr>
          <w:rStyle w:val="TextoNormalNegritaCaracter"/>
        </w:rPr>
        <w:t>Artículo 2 a) término "públicas".</w:t>
      </w:r>
      <w:r w:rsidRPr="002C5A78">
        <w:rPr>
          <w:rStyle w:val="TextoNormalCaracter"/>
        </w:rPr>
        <w:t>-</w:t>
      </w:r>
      <w:r>
        <w:t xml:space="preserve"> Sentencia </w:t>
      </w:r>
      <w:hyperlink w:anchor="SENTENCIA_2021_2" w:history="1">
        <w:r w:rsidRPr="002C5A78">
          <w:rPr>
            <w:rStyle w:val="TextoNormalCaracter"/>
          </w:rPr>
          <w:t>2/2021</w:t>
        </w:r>
      </w:hyperlink>
      <w:r>
        <w:t xml:space="preserve"> (anula).</w:t>
      </w:r>
    </w:p>
    <w:p w:rsidR="002C5A78" w:rsidRDefault="002C5A78" w:rsidP="002C5A78">
      <w:pPr>
        <w:pStyle w:val="SangriaFrancesaArticulo"/>
      </w:pPr>
      <w:r w:rsidRPr="002C5A78">
        <w:rPr>
          <w:rStyle w:val="TextoNormalNegritaCaracter"/>
        </w:rPr>
        <w:t>Artículo 4.1 a) término "públicas".</w:t>
      </w:r>
      <w:r w:rsidRPr="002C5A78">
        <w:rPr>
          <w:rStyle w:val="TextoNormalCaracter"/>
        </w:rPr>
        <w:t>-</w:t>
      </w:r>
      <w:r>
        <w:t xml:space="preserve"> Sentencia </w:t>
      </w:r>
      <w:hyperlink w:anchor="SENTENCIA_2021_2" w:history="1">
        <w:r w:rsidRPr="002C5A78">
          <w:rPr>
            <w:rStyle w:val="TextoNormalCaracter"/>
          </w:rPr>
          <w:t>2/2021</w:t>
        </w:r>
      </w:hyperlink>
      <w:r>
        <w:t xml:space="preserve"> (anula).</w:t>
      </w:r>
    </w:p>
    <w:p w:rsidR="002C5A78" w:rsidRDefault="002C5A78" w:rsidP="002C5A78">
      <w:pPr>
        <w:pStyle w:val="SangriaFrancesaArticulo"/>
      </w:pPr>
      <w:r w:rsidRPr="002C5A78">
        <w:rPr>
          <w:rStyle w:val="TextoNormalNegritaCaracter"/>
        </w:rPr>
        <w:t>Artículo 6.1 término "públicas".</w:t>
      </w:r>
      <w:r w:rsidRPr="002C5A78">
        <w:rPr>
          <w:rStyle w:val="TextoNormalCaracter"/>
        </w:rPr>
        <w:t>-</w:t>
      </w:r>
      <w:r>
        <w:t xml:space="preserve"> Sentencia </w:t>
      </w:r>
      <w:hyperlink w:anchor="SENTENCIA_2021_2" w:history="1">
        <w:r w:rsidRPr="002C5A78">
          <w:rPr>
            <w:rStyle w:val="TextoNormalCaracter"/>
          </w:rPr>
          <w:t>2/2021</w:t>
        </w:r>
      </w:hyperlink>
      <w:r>
        <w:t xml:space="preserve"> (anula).</w:t>
      </w:r>
    </w:p>
    <w:p w:rsidR="002C5A78" w:rsidRDefault="002C5A78" w:rsidP="002C5A78">
      <w:pPr>
        <w:pStyle w:val="SangriaFrancesaArticulo"/>
      </w:pPr>
      <w:r w:rsidRPr="002C5A78">
        <w:rPr>
          <w:rStyle w:val="TextoNormalNegritaCaracter"/>
        </w:rPr>
        <w:t>Artículo 7 término "públicas".</w:t>
      </w:r>
      <w:r w:rsidRPr="002C5A78">
        <w:rPr>
          <w:rStyle w:val="TextoNormalCaracter"/>
        </w:rPr>
        <w:t>-</w:t>
      </w:r>
      <w:r>
        <w:t xml:space="preserve"> Sentencia </w:t>
      </w:r>
      <w:hyperlink w:anchor="SENTENCIA_2021_2" w:history="1">
        <w:r w:rsidRPr="002C5A78">
          <w:rPr>
            <w:rStyle w:val="TextoNormalCaracter"/>
          </w:rPr>
          <w:t>2/2021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Orden de la Conselleria de Educación, Investigación, Cultura y Deporte de la Generalitat Valenciana 24/2016, de 10 de junio. Bases reguladoras para la concesión de las becas para el alumnado que vaya a finalizar sus estudios universitarios en las universidades públicas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9" w:history="1">
        <w:r w:rsidRPr="002C5A78">
          <w:rPr>
            <w:rStyle w:val="TextoNormalCaracter"/>
          </w:rPr>
          <w:t>19/2021</w:t>
        </w:r>
      </w:hyperlink>
      <w:r>
        <w:t xml:space="preserve"> (anula parcialmente).</w:t>
      </w:r>
    </w:p>
    <w:p w:rsidR="002C5A78" w:rsidRDefault="002C5A78" w:rsidP="002C5A78">
      <w:pPr>
        <w:pStyle w:val="SangriaFrancesaArticulo"/>
      </w:pPr>
      <w:r w:rsidRPr="002C5A78">
        <w:rPr>
          <w:rStyle w:val="TextoNormalNegritaCaracter"/>
        </w:rPr>
        <w:t>Artículo 1.1 término "públicas".</w:t>
      </w:r>
      <w:r w:rsidRPr="002C5A78">
        <w:rPr>
          <w:rStyle w:val="TextoNormalCaracter"/>
        </w:rPr>
        <w:t>-</w:t>
      </w:r>
      <w:r>
        <w:t xml:space="preserve"> Sentencia </w:t>
      </w:r>
      <w:hyperlink w:anchor="SENTENCIA_2021_19" w:history="1">
        <w:r w:rsidRPr="002C5A78">
          <w:rPr>
            <w:rStyle w:val="TextoNormalCaracter"/>
          </w:rPr>
          <w:t>19/2021</w:t>
        </w:r>
      </w:hyperlink>
      <w:r>
        <w:t xml:space="preserve"> (anula).</w:t>
      </w:r>
    </w:p>
    <w:p w:rsidR="002C5A78" w:rsidRDefault="002C5A78" w:rsidP="002C5A78">
      <w:pPr>
        <w:pStyle w:val="SangriaFrancesaArticulo"/>
      </w:pPr>
      <w:r w:rsidRPr="002C5A78">
        <w:rPr>
          <w:rStyle w:val="TextoNormalNegritaCaracter"/>
        </w:rPr>
        <w:t>Artículo 2.1 término "públicas".</w:t>
      </w:r>
      <w:r w:rsidRPr="002C5A78">
        <w:rPr>
          <w:rStyle w:val="TextoNormalCaracter"/>
        </w:rPr>
        <w:t>-</w:t>
      </w:r>
      <w:r>
        <w:t xml:space="preserve"> Sentencia </w:t>
      </w:r>
      <w:hyperlink w:anchor="SENTENCIA_2021_19" w:history="1">
        <w:r w:rsidRPr="002C5A78">
          <w:rPr>
            <w:rStyle w:val="TextoNormalCaracter"/>
          </w:rPr>
          <w:t>19/2021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Resolución de la Consellería de Educación, Investigación, Cultura y Deporte de la Generalitat Valenciana, de 11 de julio de 2016. Se convocan becas para el alumnado que vaya a finalizar sus estudios universitarios en las universidades públicas de la comunidad valenciana durante el curso 2016/2017</w:t>
      </w:r>
    </w:p>
    <w:p w:rsidR="002C5A78" w:rsidRDefault="002C5A78" w:rsidP="002C5A78">
      <w:pPr>
        <w:pStyle w:val="SangriaFrancesaArticulo"/>
      </w:pPr>
      <w:r w:rsidRPr="002C5A78">
        <w:rPr>
          <w:rStyle w:val="TextoNormalNegritaCaracter"/>
        </w:rPr>
        <w:t>Apartado 1 referencia a la letra A.</w:t>
      </w:r>
      <w:r w:rsidRPr="002C5A78">
        <w:rPr>
          <w:rStyle w:val="TextoNormalCaracter"/>
        </w:rPr>
        <w:t>-</w:t>
      </w:r>
      <w:r>
        <w:t xml:space="preserve"> Sentencia </w:t>
      </w:r>
      <w:hyperlink w:anchor="SENTENCIA_2021_19" w:history="1">
        <w:r w:rsidRPr="002C5A78">
          <w:rPr>
            <w:rStyle w:val="TextoNormalCaracter"/>
          </w:rPr>
          <w:t>19/2021</w:t>
        </w:r>
      </w:hyperlink>
      <w:r>
        <w:t xml:space="preserve"> (anula).</w:t>
      </w:r>
    </w:p>
    <w:p w:rsidR="002C5A78" w:rsidRDefault="002C5A78" w:rsidP="002C5A78">
      <w:pPr>
        <w:pStyle w:val="SangriaFrancesaArticulo"/>
      </w:pPr>
      <w:r w:rsidRPr="002C5A78">
        <w:rPr>
          <w:rStyle w:val="TextoNormalNegritaCaracter"/>
        </w:rPr>
        <w:t>Apartado 2.1 término "públicas".</w:t>
      </w:r>
      <w:r w:rsidRPr="002C5A78">
        <w:rPr>
          <w:rStyle w:val="TextoNormalCaracter"/>
        </w:rPr>
        <w:t>-</w:t>
      </w:r>
      <w:r>
        <w:t xml:space="preserve"> Sentencia </w:t>
      </w:r>
      <w:hyperlink w:anchor="SENTENCIA_2021_19" w:history="1">
        <w:r w:rsidRPr="002C5A78">
          <w:rPr>
            <w:rStyle w:val="TextoNormalCaracter"/>
          </w:rPr>
          <w:t>19/2021</w:t>
        </w:r>
      </w:hyperlink>
      <w:r>
        <w:t xml:space="preserve"> (anula).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9" w:history="1">
        <w:r w:rsidRPr="002C5A78">
          <w:rPr>
            <w:rStyle w:val="TextoNormalCaracter"/>
          </w:rPr>
          <w:t>19/2021</w:t>
        </w:r>
      </w:hyperlink>
      <w:r>
        <w:t xml:space="preserve"> (anula parcialmente).</w:t>
      </w:r>
    </w:p>
    <w:p w:rsidR="002C5A78" w:rsidRDefault="002C5A78" w:rsidP="002C5A78">
      <w:pPr>
        <w:pStyle w:val="SangriaFrancesaArticulo"/>
      </w:pPr>
    </w:p>
    <w:p w:rsidR="002C5A78" w:rsidRDefault="002C5A78" w:rsidP="002C5A78">
      <w:pPr>
        <w:pStyle w:val="TextoNormalNegritaCursivandice"/>
        <w:keepNext/>
      </w:pPr>
      <w:r>
        <w:t>Comunitat Valenciana. Resolución de la Consellería de Educación, Investigación, Cultura y Deporte de la Comunitat Valenciana, de 26 de junio de 2016, por la que se convocan becas para la realización de estudios universitarios durante el curso académico 2015-2016 en las Universidades de la Comunitat Valenciana</w:t>
      </w:r>
    </w:p>
    <w:p w:rsidR="002C5A78" w:rsidRDefault="002C5A78" w:rsidP="002C5A78">
      <w:pPr>
        <w:pStyle w:val="SangriaFrancesaArticulo"/>
      </w:pPr>
      <w:r w:rsidRPr="002C5A78">
        <w:rPr>
          <w:rStyle w:val="TextoNormalNegritaCaracter"/>
        </w:rPr>
        <w:t>Apartado segundo, 1, del apartado primero, 1, de su extracto públicado inciso "públicas".</w:t>
      </w:r>
      <w:r w:rsidRPr="002C5A78">
        <w:rPr>
          <w:rStyle w:val="TextoNormalCaracter"/>
        </w:rPr>
        <w:t>-</w:t>
      </w:r>
      <w:r>
        <w:t xml:space="preserve"> Sentencia </w:t>
      </w:r>
      <w:hyperlink w:anchor="SENTENCIA_2021_42" w:history="1">
        <w:r w:rsidRPr="002C5A78">
          <w:rPr>
            <w:rStyle w:val="TextoNormalCaracter"/>
          </w:rPr>
          <w:t>42/2021</w:t>
        </w:r>
      </w:hyperlink>
      <w:r>
        <w:t xml:space="preserve"> (anula).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42" w:history="1">
        <w:r w:rsidRPr="002C5A78">
          <w:rPr>
            <w:rStyle w:val="TextoNormalCaracter"/>
          </w:rPr>
          <w:t>42/2021</w:t>
        </w:r>
      </w:hyperlink>
      <w:r>
        <w:t xml:space="preserve"> (anula parcialmente).</w:t>
      </w:r>
    </w:p>
    <w:p w:rsidR="002C5A78" w:rsidRDefault="002C5A78" w:rsidP="002C5A78">
      <w:pPr>
        <w:pStyle w:val="SangriaFrancesaArticulo"/>
      </w:pPr>
      <w:r w:rsidRPr="002C5A78">
        <w:rPr>
          <w:rStyle w:val="TextoNormalNegritaCaracter"/>
        </w:rPr>
        <w:t>Apartado segundo, 1, del apartado primero, 1, de su extracto públicado inciso "sus centros públicos adscritos".</w:t>
      </w:r>
      <w:r w:rsidRPr="002C5A78">
        <w:rPr>
          <w:rStyle w:val="TextoNormalCaracter"/>
        </w:rPr>
        <w:t>-</w:t>
      </w:r>
      <w:r>
        <w:t xml:space="preserve"> Sentencia </w:t>
      </w:r>
      <w:hyperlink w:anchor="SENTENCIA_2021_42" w:history="1">
        <w:r w:rsidRPr="002C5A78">
          <w:rPr>
            <w:rStyle w:val="TextoNormalCaracter"/>
          </w:rPr>
          <w:t>42/2021</w:t>
        </w:r>
      </w:hyperlink>
      <w:r>
        <w:t xml:space="preserve"> (anula).</w:t>
      </w:r>
    </w:p>
    <w:p w:rsidR="002C5A78" w:rsidRDefault="002C5A78" w:rsidP="002C5A78">
      <w:pPr>
        <w:pStyle w:val="SangriaFrancesaArticulo"/>
      </w:pPr>
      <w:r w:rsidRPr="002C5A78">
        <w:rPr>
          <w:rStyle w:val="TextoNormalNegritaCaracter"/>
        </w:rPr>
        <w:t>Apartado segundo, 3, del apartado primero, 2, de su extracto públicado.</w:t>
      </w:r>
      <w:r w:rsidRPr="002C5A78">
        <w:rPr>
          <w:rStyle w:val="TextoNormalCaracter"/>
        </w:rPr>
        <w:t>-</w:t>
      </w:r>
      <w:r>
        <w:t xml:space="preserve"> Sentencia </w:t>
      </w:r>
      <w:hyperlink w:anchor="SENTENCIA_2021_42" w:history="1">
        <w:r w:rsidRPr="002C5A78">
          <w:rPr>
            <w:rStyle w:val="TextoNormalCaracter"/>
          </w:rPr>
          <w:t>42/2021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Orden de la Consellería de Educación, Investigación, Cultura y Deporte de la Generalitat Valenciana 24/2017, de 21 de junio, por las que se establecen las bases reguladoras para la concesión de las becas de promoción de la excelencia académica del alumnado universitario de las universidades públicas y de los centros adscritos al Instituto Superior de Enseñanzas Artísticas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8" w:history="1">
        <w:r w:rsidRPr="002C5A78">
          <w:rPr>
            <w:rStyle w:val="TextoNormalCaracter"/>
          </w:rPr>
          <w:t>138/2021</w:t>
        </w:r>
      </w:hyperlink>
      <w:r>
        <w:t>.</w:t>
      </w:r>
    </w:p>
    <w:p w:rsidR="002C5A78" w:rsidRDefault="002C5A78" w:rsidP="002C5A78">
      <w:pPr>
        <w:pStyle w:val="SangriaFrancesaArticulo"/>
      </w:pPr>
      <w:r w:rsidRPr="002C5A78">
        <w:rPr>
          <w:rStyle w:val="TextoNormalNegritaCaracter"/>
        </w:rPr>
        <w:t>Artículo 1.1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xml:space="preserve"> (anula).</w:t>
      </w:r>
    </w:p>
    <w:p w:rsidR="002C5A78" w:rsidRDefault="002C5A78" w:rsidP="002C5A78">
      <w:pPr>
        <w:pStyle w:val="SangriaFrancesaArticulo"/>
      </w:pPr>
      <w:r w:rsidRPr="002C5A78">
        <w:rPr>
          <w:rStyle w:val="TextoNormalNegritaCaracter"/>
        </w:rPr>
        <w:t>Artículo 2 a)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xml:space="preserve"> (anula).</w:t>
      </w:r>
    </w:p>
    <w:p w:rsidR="002C5A78" w:rsidRDefault="002C5A78" w:rsidP="002C5A78">
      <w:pPr>
        <w:pStyle w:val="SangriaFrancesaArticulo"/>
      </w:pPr>
      <w:r w:rsidRPr="002C5A78">
        <w:rPr>
          <w:rStyle w:val="TextoNormalNegritaCaracter"/>
        </w:rPr>
        <w:t>Artículo 4.1 a)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xml:space="preserve"> (anula).</w:t>
      </w:r>
    </w:p>
    <w:p w:rsidR="002C5A78" w:rsidRDefault="002C5A78" w:rsidP="002C5A78">
      <w:pPr>
        <w:pStyle w:val="SangriaFrancesaArticulo"/>
      </w:pPr>
      <w:r w:rsidRPr="002C5A78">
        <w:rPr>
          <w:rStyle w:val="TextoNormalNegritaCaracter"/>
        </w:rPr>
        <w:t>Artículo 6.1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xml:space="preserve"> (anula).</w:t>
      </w:r>
    </w:p>
    <w:p w:rsidR="002C5A78" w:rsidRDefault="002C5A78" w:rsidP="002C5A78">
      <w:pPr>
        <w:pStyle w:val="SangriaFrancesaArticulo"/>
      </w:pPr>
      <w:r w:rsidRPr="002C5A78">
        <w:rPr>
          <w:rStyle w:val="TextoNormalNegritaCaracter"/>
        </w:rPr>
        <w:t>Artículo 7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xml:space="preserve"> (anula).</w:t>
      </w:r>
    </w:p>
    <w:p w:rsidR="002C5A78" w:rsidRDefault="002C5A78" w:rsidP="002C5A78">
      <w:pPr>
        <w:pStyle w:val="SangriaFrancesaArticulo"/>
      </w:pPr>
    </w:p>
    <w:p w:rsidR="002C5A78" w:rsidRDefault="002C5A78" w:rsidP="002C5A78">
      <w:pPr>
        <w:pStyle w:val="TextoNormalNegritaCursivandice"/>
        <w:keepNext/>
      </w:pPr>
      <w:r>
        <w:t>Orden de la Consellería de Educación, Investigación, Cultura y Deporte de la Generalitat Valenciana 27/2017, de 3 de julio, por la que se establecen las bases reguladoras de las ayudas para complementar las becas para la actividad de movilidad de estudiantes por estudios, del programa Erasmus+, pertenecientes a instituciones públicas de educación superior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8" w:history="1">
        <w:r w:rsidRPr="002C5A78">
          <w:rPr>
            <w:rStyle w:val="TextoNormalCaracter"/>
          </w:rPr>
          <w:t>138/2021</w:t>
        </w:r>
      </w:hyperlink>
      <w:r>
        <w:t>.</w:t>
      </w:r>
    </w:p>
    <w:p w:rsidR="002C5A78" w:rsidRDefault="002C5A78" w:rsidP="002C5A78">
      <w:pPr>
        <w:pStyle w:val="SangriaFrancesaArticulo"/>
      </w:pPr>
      <w:r w:rsidRPr="002C5A78">
        <w:rPr>
          <w:rStyle w:val="TextoNormalNegritaCaracter"/>
        </w:rPr>
        <w:t>Artículo 1.1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xml:space="preserve"> (anula).</w:t>
      </w:r>
    </w:p>
    <w:p w:rsidR="002C5A78" w:rsidRDefault="002C5A78">
      <w:pPr>
        <w:spacing w:after="0" w:line="360" w:lineRule="auto"/>
        <w:ind w:firstLine="851"/>
        <w:jc w:val="both"/>
        <w:rPr>
          <w:rFonts w:ascii="Times New Roman" w:eastAsia="Times New Roman" w:hAnsi="Times New Roman" w:cs="Times New Roman"/>
          <w:sz w:val="24"/>
          <w:szCs w:val="24"/>
          <w:lang w:eastAsia="es-ES"/>
        </w:rPr>
      </w:pPr>
      <w:r>
        <w:br w:type="page"/>
      </w:r>
    </w:p>
    <w:p w:rsidR="002C5A78" w:rsidRDefault="002C5A78" w:rsidP="002C5A78">
      <w:pPr>
        <w:pStyle w:val="SangriaFrancesaArticulo"/>
      </w:pPr>
    </w:p>
    <w:p w:rsidR="002C5A78" w:rsidRDefault="002C5A78" w:rsidP="002C5A78">
      <w:pPr>
        <w:pStyle w:val="TextoNormal"/>
      </w:pPr>
    </w:p>
    <w:p w:rsidR="002C5A78" w:rsidRDefault="002C5A78" w:rsidP="002C5A78">
      <w:pPr>
        <w:pStyle w:val="TextoNormal"/>
      </w:pPr>
    </w:p>
    <w:p w:rsidR="002C5A78" w:rsidRDefault="002C5A78" w:rsidP="002C5A78">
      <w:pPr>
        <w:pStyle w:val="TextoNormal"/>
      </w:pPr>
    </w:p>
    <w:p w:rsidR="002C5A78" w:rsidRDefault="002C5A78" w:rsidP="002C5A78">
      <w:pPr>
        <w:pStyle w:val="Ttulondice"/>
        <w:suppressAutoHyphens/>
      </w:pPr>
      <w:r>
        <w:t>5. ÍNDICE DE DISPOSICIONES CITADAS</w:t>
      </w: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pPr>
    </w:p>
    <w:p w:rsidR="002C5A78" w:rsidRDefault="002C5A78" w:rsidP="002C5A78">
      <w:pPr>
        <w:pStyle w:val="TextoNormal"/>
      </w:pPr>
      <w:bookmarkStart w:id="216" w:name="INDICE22804"/>
      <w:bookmarkEnd w:id="216"/>
    </w:p>
    <w:p w:rsidR="002C5A78" w:rsidRDefault="002C5A78" w:rsidP="002C5A78">
      <w:pPr>
        <w:pStyle w:val="TextoIndiceNivel2"/>
        <w:suppressAutoHyphens/>
      </w:pPr>
      <w:r>
        <w:t>A) Constitución</w:t>
      </w:r>
    </w:p>
    <w:p w:rsidR="002C5A78" w:rsidRDefault="002C5A78" w:rsidP="002C5A78">
      <w:pPr>
        <w:pStyle w:val="TextoIndiceNivel2"/>
      </w:pPr>
    </w:p>
    <w:p w:rsidR="002C5A78" w:rsidRDefault="002C5A78" w:rsidP="002C5A78">
      <w:pPr>
        <w:pStyle w:val="TextoNormalNegritaCursivandice"/>
        <w:keepNext/>
      </w:pPr>
      <w:r>
        <w:t>Constitución de la Monarquía española, de 24 de junio de 1837</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0" w:history="1">
        <w:r w:rsidRPr="002C5A78">
          <w:rPr>
            <w:rStyle w:val="TextoNormalCaracter"/>
          </w:rPr>
          <w:t>70/2021</w:t>
        </w:r>
      </w:hyperlink>
      <w:r>
        <w:t xml:space="preserve">, f. 5; </w:t>
      </w:r>
      <w:hyperlink w:anchor="SENTENCIA_2021_71" w:history="1">
        <w:r w:rsidRPr="002C5A78">
          <w:rPr>
            <w:rStyle w:val="TextoNormalCaracter"/>
          </w:rPr>
          <w:t>71/2021</w:t>
        </w:r>
      </w:hyperlink>
      <w:r>
        <w:t>, f. 5.</w:t>
      </w:r>
    </w:p>
    <w:p w:rsidR="002C5A78" w:rsidRDefault="002C5A78" w:rsidP="002C5A78">
      <w:pPr>
        <w:pStyle w:val="SangriaFrancesaArticulo"/>
      </w:pPr>
    </w:p>
    <w:p w:rsidR="002C5A78" w:rsidRDefault="002C5A78" w:rsidP="002C5A78">
      <w:pPr>
        <w:pStyle w:val="TextoNormalNegritaCursivandice"/>
        <w:keepNext/>
      </w:pPr>
      <w:r>
        <w:t>Constitución de la República española, de 10 de diciembre de 1931</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Sentencias </w:t>
      </w:r>
      <w:hyperlink w:anchor="SENTENCIA_2021_70" w:history="1">
        <w:r w:rsidRPr="002C5A78">
          <w:rPr>
            <w:rStyle w:val="TextoNormalCaracter"/>
          </w:rPr>
          <w:t>70/2021</w:t>
        </w:r>
      </w:hyperlink>
      <w:r>
        <w:t xml:space="preserve">, f. 5; </w:t>
      </w:r>
      <w:hyperlink w:anchor="SENTENCIA_2021_71" w:history="1">
        <w:r w:rsidRPr="002C5A78">
          <w:rPr>
            <w:rStyle w:val="TextoNormalCaracter"/>
          </w:rPr>
          <w:t>71/2021</w:t>
        </w:r>
      </w:hyperlink>
      <w:r>
        <w:t>, f. 5.</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Sentencias </w:t>
      </w:r>
      <w:hyperlink w:anchor="SENTENCIA_2021_70" w:history="1">
        <w:r w:rsidRPr="002C5A78">
          <w:rPr>
            <w:rStyle w:val="TextoNormalCaracter"/>
          </w:rPr>
          <w:t>70/2021</w:t>
        </w:r>
      </w:hyperlink>
      <w:r>
        <w:t xml:space="preserve">, f. 5; </w:t>
      </w:r>
      <w:hyperlink w:anchor="SENTENCIA_2021_71" w:history="1">
        <w:r w:rsidRPr="002C5A78">
          <w:rPr>
            <w:rStyle w:val="TextoNormalCaracter"/>
          </w:rPr>
          <w:t>71/2021</w:t>
        </w:r>
      </w:hyperlink>
      <w:r>
        <w:t>, f. 5.</w:t>
      </w:r>
    </w:p>
    <w:p w:rsidR="002C5A78" w:rsidRDefault="002C5A78" w:rsidP="002C5A78">
      <w:pPr>
        <w:pStyle w:val="SangriaFrancesaArticulo"/>
      </w:pPr>
    </w:p>
    <w:p w:rsidR="002C5A78" w:rsidRDefault="002C5A78" w:rsidP="002C5A78">
      <w:pPr>
        <w:pStyle w:val="TextoNormalNegritaCursivandice"/>
        <w:keepNext/>
      </w:pPr>
      <w:r>
        <w:t>Constitución española, de 27 de diciembre de 1978</w:t>
      </w:r>
    </w:p>
    <w:p w:rsidR="002C5A78" w:rsidRDefault="002C5A78" w:rsidP="002C5A78">
      <w:pPr>
        <w:pStyle w:val="SangriaFrancesaArticulo"/>
      </w:pPr>
      <w:r w:rsidRPr="002C5A78">
        <w:rPr>
          <w:rStyle w:val="TextoNormalNegritaCaracter"/>
        </w:rPr>
        <w:t>Título preliminar.</w:t>
      </w:r>
      <w:r w:rsidRPr="002C5A78">
        <w:rPr>
          <w:rStyle w:val="TextoNormalCaracter"/>
        </w:rPr>
        <w:t>-</w:t>
      </w:r>
      <w:r>
        <w:t xml:space="preserve"> Sentencia </w:t>
      </w:r>
      <w:hyperlink w:anchor="SENTENCIA_2021_75" w:history="1">
        <w:r w:rsidRPr="002C5A78">
          <w:rPr>
            <w:rStyle w:val="TextoNormalCaracter"/>
          </w:rPr>
          <w:t>75/2021</w:t>
        </w:r>
      </w:hyperlink>
      <w:r>
        <w:t>, f. 2.</w:t>
      </w:r>
    </w:p>
    <w:p w:rsidR="002C5A78" w:rsidRDefault="002C5A78" w:rsidP="002C5A78">
      <w:pPr>
        <w:pStyle w:val="SangriaFrancesaArticulo"/>
      </w:pPr>
      <w:r w:rsidRPr="002C5A78">
        <w:rPr>
          <w:rStyle w:val="TextoNormalNegritaCaracter"/>
        </w:rPr>
        <w:t>Título I.</w:t>
      </w:r>
      <w:r w:rsidRPr="002C5A78">
        <w:rPr>
          <w:rStyle w:val="TextoNormalCaracter"/>
        </w:rPr>
        <w:t>-</w:t>
      </w:r>
      <w:r>
        <w:t xml:space="preserve"> Sentencias </w:t>
      </w:r>
      <w:hyperlink w:anchor="SENTENCIA_2021_16" w:history="1">
        <w:r w:rsidRPr="002C5A78">
          <w:rPr>
            <w:rStyle w:val="TextoNormalCaracter"/>
          </w:rPr>
          <w:t>16/2021</w:t>
        </w:r>
      </w:hyperlink>
      <w:r>
        <w:t xml:space="preserve">, f. 5; </w:t>
      </w:r>
      <w:hyperlink w:anchor="SENTENCIA_2021_111" w:history="1">
        <w:r w:rsidRPr="002C5A78">
          <w:rPr>
            <w:rStyle w:val="TextoNormalCaracter"/>
          </w:rPr>
          <w:t>111/2021</w:t>
        </w:r>
      </w:hyperlink>
      <w:r>
        <w:t xml:space="preserve">, f. 3; </w:t>
      </w:r>
      <w:hyperlink w:anchor="SENTENCIA_2021_134" w:history="1">
        <w:r w:rsidRPr="002C5A78">
          <w:rPr>
            <w:rStyle w:val="TextoNormalCaracter"/>
          </w:rPr>
          <w:t>134/2021</w:t>
        </w:r>
      </w:hyperlink>
      <w:r>
        <w:t>, f. 4.</w:t>
      </w:r>
    </w:p>
    <w:p w:rsidR="002C5A78" w:rsidRDefault="002C5A78" w:rsidP="002C5A78">
      <w:pPr>
        <w:pStyle w:val="SangriaFrancesaArticulo"/>
      </w:pPr>
      <w:r w:rsidRPr="002C5A78">
        <w:rPr>
          <w:rStyle w:val="TextoNormalNegritaCaracter"/>
        </w:rPr>
        <w:t>Título I, capítulo II, sección primera.</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Título V.</w:t>
      </w:r>
      <w:r w:rsidRPr="002C5A78">
        <w:rPr>
          <w:rStyle w:val="TextoNormalCaracter"/>
        </w:rPr>
        <w:t>-</w:t>
      </w:r>
      <w:r>
        <w:t xml:space="preserve"> Sentencia </w:t>
      </w:r>
      <w:hyperlink w:anchor="SENTENCIA_2021_134" w:history="1">
        <w:r w:rsidRPr="002C5A78">
          <w:rPr>
            <w:rStyle w:val="TextoNormalCaracter"/>
          </w:rPr>
          <w:t>134/2021</w:t>
        </w:r>
      </w:hyperlink>
      <w:r>
        <w:t>, VP III.</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75" w:history="1">
        <w:r w:rsidRPr="002C5A78">
          <w:rPr>
            <w:rStyle w:val="TextoNormalCaracter"/>
          </w:rPr>
          <w:t>75/2021</w:t>
        </w:r>
      </w:hyperlink>
      <w:r>
        <w:t>, f. 2.</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Sentencias </w:t>
      </w:r>
      <w:hyperlink w:anchor="SENTENCIA_2021_65" w:history="1">
        <w:r w:rsidRPr="002C5A78">
          <w:rPr>
            <w:rStyle w:val="TextoNormalCaracter"/>
          </w:rPr>
          <w:t>65/2021</w:t>
        </w:r>
      </w:hyperlink>
      <w:r>
        <w:t xml:space="preserve">, ff. 3 a 5; </w:t>
      </w:r>
      <w:hyperlink w:anchor="SENTENCIA_2021_71" w:history="1">
        <w:r w:rsidRPr="002C5A78">
          <w:rPr>
            <w:rStyle w:val="TextoNormalCaracter"/>
          </w:rPr>
          <w:t>71/2021</w:t>
        </w:r>
      </w:hyperlink>
      <w:r>
        <w:t xml:space="preserve">, f. 2; </w:t>
      </w:r>
      <w:hyperlink w:anchor="SENTENCIA_2021_76" w:history="1">
        <w:r w:rsidRPr="002C5A78">
          <w:rPr>
            <w:rStyle w:val="TextoNormalCaracter"/>
          </w:rPr>
          <w:t>76/2021</w:t>
        </w:r>
      </w:hyperlink>
      <w:r>
        <w:t xml:space="preserve">, f. 4;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xml:space="preserve">, f. 10, VP; </w:t>
      </w:r>
      <w:hyperlink w:anchor="SENTENCIA_2021_121" w:history="1">
        <w:r w:rsidRPr="002C5A78">
          <w:rPr>
            <w:rStyle w:val="TextoNormalCaracter"/>
          </w:rPr>
          <w:t>121/2021</w:t>
        </w:r>
      </w:hyperlink>
      <w:r>
        <w:t xml:space="preserve">, f. 11; </w:t>
      </w:r>
      <w:hyperlink w:anchor="SENTENCIA_2021_133" w:history="1">
        <w:r w:rsidRPr="002C5A78">
          <w:rPr>
            <w:rStyle w:val="TextoNormalCaracter"/>
          </w:rPr>
          <w:t>133/2021</w:t>
        </w:r>
      </w:hyperlink>
      <w:r>
        <w:t>, ff. 3, 4.</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Sentencias </w:t>
      </w:r>
      <w:hyperlink w:anchor="SENTENCIA_2021_5" w:history="1">
        <w:r w:rsidRPr="002C5A78">
          <w:rPr>
            <w:rStyle w:val="TextoNormalCaracter"/>
          </w:rPr>
          <w:t>5/2021</w:t>
        </w:r>
      </w:hyperlink>
      <w:r>
        <w:t xml:space="preserve">, f. 4; </w:t>
      </w:r>
      <w:hyperlink w:anchor="SENTENCIA_2021_17" w:history="1">
        <w:r w:rsidRPr="002C5A78">
          <w:rPr>
            <w:rStyle w:val="TextoNormalCaracter"/>
          </w:rPr>
          <w:t>17/2021</w:t>
        </w:r>
      </w:hyperlink>
      <w:r>
        <w:t xml:space="preserve">, f. 2; </w:t>
      </w:r>
      <w:hyperlink w:anchor="SENTENCIA_2021_24" w:history="1">
        <w:r w:rsidRPr="002C5A78">
          <w:rPr>
            <w:rStyle w:val="TextoNormalCaracter"/>
          </w:rPr>
          <w:t>24/2021</w:t>
        </w:r>
      </w:hyperlink>
      <w:r>
        <w:t xml:space="preserve">, f. 3; </w:t>
      </w:r>
      <w:hyperlink w:anchor="SENTENCIA_2021_70" w:history="1">
        <w:r w:rsidRPr="002C5A78">
          <w:rPr>
            <w:rStyle w:val="TextoNormalCaracter"/>
          </w:rPr>
          <w:t>70/2021</w:t>
        </w:r>
      </w:hyperlink>
      <w:r>
        <w:t xml:space="preserve">, ff. 3, 6; </w:t>
      </w:r>
      <w:hyperlink w:anchor="SENTENCIA_2021_71" w:history="1">
        <w:r w:rsidRPr="002C5A78">
          <w:rPr>
            <w:rStyle w:val="TextoNormalCaracter"/>
          </w:rPr>
          <w:t>71/2021</w:t>
        </w:r>
      </w:hyperlink>
      <w:r>
        <w:t xml:space="preserve">, f. 3; </w:t>
      </w:r>
      <w:hyperlink w:anchor="SENTENCIA_2021_73" w:history="1">
        <w:r w:rsidRPr="002C5A78">
          <w:rPr>
            <w:rStyle w:val="TextoNormalCaracter"/>
          </w:rPr>
          <w:t>73/2021</w:t>
        </w:r>
      </w:hyperlink>
      <w:r>
        <w:t xml:space="preserve">, f. 2; </w:t>
      </w:r>
      <w:hyperlink w:anchor="SENTENCIA_2021_76" w:history="1">
        <w:r w:rsidRPr="002C5A78">
          <w:rPr>
            <w:rStyle w:val="TextoNormalCaracter"/>
          </w:rPr>
          <w:t>76/2021</w:t>
        </w:r>
      </w:hyperlink>
      <w:r>
        <w:t xml:space="preserve">, VP II; </w:t>
      </w:r>
      <w:hyperlink w:anchor="SENTENCIA_2021_80" w:history="1">
        <w:r w:rsidRPr="002C5A78">
          <w:rPr>
            <w:rStyle w:val="TextoNormalCaracter"/>
          </w:rPr>
          <w:t>80/2021</w:t>
        </w:r>
      </w:hyperlink>
      <w:r>
        <w:t xml:space="preserve">, f. 4; </w:t>
      </w:r>
      <w:hyperlink w:anchor="SENTENCIA_2021_91" w:history="1">
        <w:r w:rsidRPr="002C5A78">
          <w:rPr>
            <w:rStyle w:val="TextoNormalCaracter"/>
          </w:rPr>
          <w:t>91/2021</w:t>
        </w:r>
      </w:hyperlink>
      <w:r>
        <w:t xml:space="preserve">, f. 11, VP; </w:t>
      </w:r>
      <w:hyperlink w:anchor="SENTENCIA_2021_99" w:history="1">
        <w:r w:rsidRPr="002C5A78">
          <w:rPr>
            <w:rStyle w:val="TextoNormalCaracter"/>
          </w:rPr>
          <w:t>99/2021</w:t>
        </w:r>
      </w:hyperlink>
      <w:r>
        <w:t xml:space="preserve">, f. 3; </w:t>
      </w:r>
      <w:hyperlink w:anchor="SENTENCIA_2021_102" w:history="1">
        <w:r w:rsidRPr="002C5A78">
          <w:rPr>
            <w:rStyle w:val="TextoNormalCaracter"/>
          </w:rPr>
          <w:t>102/2021</w:t>
        </w:r>
      </w:hyperlink>
      <w:r>
        <w:t xml:space="preserve">, f. 3; </w:t>
      </w:r>
      <w:hyperlink w:anchor="SENTENCIA_2021_106" w:history="1">
        <w:r w:rsidRPr="002C5A78">
          <w:rPr>
            <w:rStyle w:val="TextoNormalCaracter"/>
          </w:rPr>
          <w:t>106/2021</w:t>
        </w:r>
      </w:hyperlink>
      <w:r>
        <w:t xml:space="preserve">, f. 11, VP; </w:t>
      </w:r>
      <w:hyperlink w:anchor="SENTENCIA_2021_112" w:history="1">
        <w:r w:rsidRPr="002C5A78">
          <w:rPr>
            <w:rStyle w:val="TextoNormalCaracter"/>
          </w:rPr>
          <w:t>112/2021</w:t>
        </w:r>
      </w:hyperlink>
      <w:r>
        <w:t xml:space="preserve">, f. 1; </w:t>
      </w:r>
      <w:hyperlink w:anchor="SENTENCIA_2021_121" w:history="1">
        <w:r w:rsidRPr="002C5A78">
          <w:rPr>
            <w:rStyle w:val="TextoNormalCaracter"/>
          </w:rPr>
          <w:t>121/2021</w:t>
        </w:r>
      </w:hyperlink>
      <w:r>
        <w:t xml:space="preserve">, ff. 3, 12; </w:t>
      </w:r>
      <w:hyperlink w:anchor="SENTENCIA_2021_122" w:history="1">
        <w:r w:rsidRPr="002C5A78">
          <w:rPr>
            <w:rStyle w:val="TextoNormalCaracter"/>
          </w:rPr>
          <w:t>122/2021</w:t>
        </w:r>
      </w:hyperlink>
      <w:r>
        <w:t xml:space="preserve">, ff. 3, 10, 11; </w:t>
      </w:r>
      <w:hyperlink w:anchor="SENTENCIA_2021_133" w:history="1">
        <w:r w:rsidRPr="002C5A78">
          <w:rPr>
            <w:rStyle w:val="TextoNormalCaracter"/>
          </w:rPr>
          <w:t>133/2021</w:t>
        </w:r>
      </w:hyperlink>
      <w:r>
        <w:t xml:space="preserve">, f. 7; </w:t>
      </w:r>
      <w:hyperlink w:anchor="SENTENCIA_2021_134" w:history="1">
        <w:r w:rsidRPr="002C5A78">
          <w:rPr>
            <w:rStyle w:val="TextoNormalCaracter"/>
          </w:rPr>
          <w:t>134/2021</w:t>
        </w:r>
      </w:hyperlink>
      <w:r>
        <w:t>, ff. 1, 4.</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Sentencias </w:t>
      </w:r>
      <w:hyperlink w:anchor="SENTENCIA_2021_76" w:history="1">
        <w:r w:rsidRPr="002C5A78">
          <w:rPr>
            <w:rStyle w:val="TextoNormalCaracter"/>
          </w:rPr>
          <w:t>76/2021</w:t>
        </w:r>
      </w:hyperlink>
      <w:r>
        <w:t xml:space="preserve">, f. 4;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xml:space="preserve">, ff. 3, 9; </w:t>
      </w:r>
      <w:hyperlink w:anchor="SENTENCIA_2021_133" w:history="1">
        <w:r w:rsidRPr="002C5A78">
          <w:rPr>
            <w:rStyle w:val="TextoNormalCaracter"/>
          </w:rPr>
          <w:t>133/2021</w:t>
        </w:r>
      </w:hyperlink>
      <w:r>
        <w:t xml:space="preserve">, f. 4; </w:t>
      </w:r>
      <w:hyperlink w:anchor="SENTENCIA_2021_134" w:history="1">
        <w:r w:rsidRPr="002C5A78">
          <w:rPr>
            <w:rStyle w:val="TextoNormalCaracter"/>
          </w:rPr>
          <w:t>134/2021</w:t>
        </w:r>
      </w:hyperlink>
      <w:r>
        <w:t>, f. 4.</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Sentencias </w:t>
      </w:r>
      <w:hyperlink w:anchor="SENTENCIA_2021_112" w:history="1">
        <w:r w:rsidRPr="002C5A78">
          <w:rPr>
            <w:rStyle w:val="TextoNormalCaracter"/>
          </w:rPr>
          <w:t>112/2021</w:t>
        </w:r>
      </w:hyperlink>
      <w:r>
        <w:t xml:space="preserve">, f. 3;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xml:space="preserve">, ff. 3, 9; </w:t>
      </w:r>
      <w:hyperlink w:anchor="SENTENCIA_2021_125" w:history="1">
        <w:r w:rsidRPr="002C5A78">
          <w:rPr>
            <w:rStyle w:val="TextoNormalCaracter"/>
          </w:rPr>
          <w:t>125/2021</w:t>
        </w:r>
      </w:hyperlink>
      <w:r>
        <w:t>, ff. 1, 7.</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Sentencias </w:t>
      </w:r>
      <w:hyperlink w:anchor="SENTENCIA_2021_61" w:history="1">
        <w:r w:rsidRPr="002C5A78">
          <w:rPr>
            <w:rStyle w:val="TextoNormalCaracter"/>
          </w:rPr>
          <w:t>61/2021</w:t>
        </w:r>
      </w:hyperlink>
      <w:r>
        <w:t xml:space="preserve">, ff. 2, 3, 6, VP I; </w:t>
      </w:r>
      <w:hyperlink w:anchor="SENTENCIA_2021_75" w:history="1">
        <w:r w:rsidRPr="002C5A78">
          <w:rPr>
            <w:rStyle w:val="TextoNormalCaracter"/>
          </w:rPr>
          <w:t>75/2021</w:t>
        </w:r>
      </w:hyperlink>
      <w:r>
        <w:t xml:space="preserve">, f. 2, VP I, VP II;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Sentencias </w:t>
      </w:r>
      <w:hyperlink w:anchor="SENTENCIA_2021_75" w:history="1">
        <w:r w:rsidRPr="002C5A78">
          <w:rPr>
            <w:rStyle w:val="TextoNormalCaracter"/>
          </w:rPr>
          <w:t>75/2021</w:t>
        </w:r>
      </w:hyperlink>
      <w:r>
        <w:t xml:space="preserve">, f. 2, VP I;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Sentencias </w:t>
      </w:r>
      <w:hyperlink w:anchor="SENTENCIA_2021_75" w:history="1">
        <w:r w:rsidRPr="002C5A78">
          <w:rPr>
            <w:rStyle w:val="TextoNormalCaracter"/>
          </w:rPr>
          <w:t>75/2021</w:t>
        </w:r>
      </w:hyperlink>
      <w:r>
        <w:t xml:space="preserve">, ff. 1, 2, VP I, VP II;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 </w:t>
      </w:r>
      <w:hyperlink w:anchor="SENTENCIA_2021_75" w:history="1">
        <w:r w:rsidRPr="002C5A78">
          <w:rPr>
            <w:rStyle w:val="TextoNormalCaracter"/>
          </w:rPr>
          <w:t>75/2021</w:t>
        </w:r>
      </w:hyperlink>
      <w:r>
        <w:t>, f. 2, VP I, VP II.</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130" w:history="1">
        <w:r w:rsidRPr="002C5A78">
          <w:rPr>
            <w:rStyle w:val="TextoNormalCaracter"/>
          </w:rPr>
          <w:t>130/2021</w:t>
        </w:r>
      </w:hyperlink>
      <w:r>
        <w:t>, f. 3.</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Auto </w:t>
      </w:r>
      <w:hyperlink w:anchor="AUTO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Artículo 9.1.</w:t>
      </w:r>
      <w:r w:rsidRPr="002C5A78">
        <w:rPr>
          <w:rStyle w:val="TextoNormalCaracter"/>
        </w:rPr>
        <w:t>-</w:t>
      </w:r>
      <w:r>
        <w:t xml:space="preserve"> Sentencias </w:t>
      </w:r>
      <w:hyperlink w:anchor="SENTENCIA_2021_102" w:history="1">
        <w:r w:rsidRPr="002C5A78">
          <w:rPr>
            <w:rStyle w:val="TextoNormalCaracter"/>
          </w:rPr>
          <w:t>102/2021</w:t>
        </w:r>
      </w:hyperlink>
      <w:r>
        <w:t xml:space="preserve">, ff. 1, 2;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Artículo 9.2.</w:t>
      </w:r>
      <w:r w:rsidRPr="002C5A78">
        <w:rPr>
          <w:rStyle w:val="TextoNormalCaracter"/>
        </w:rPr>
        <w:t>-</w:t>
      </w:r>
      <w:r>
        <w:t xml:space="preserve"> Sentencias </w:t>
      </w:r>
      <w:hyperlink w:anchor="SENTENCIA_2021_6" w:history="1">
        <w:r w:rsidRPr="002C5A78">
          <w:rPr>
            <w:rStyle w:val="TextoNormalCaracter"/>
          </w:rPr>
          <w:t>6/2021</w:t>
        </w:r>
      </w:hyperlink>
      <w:r>
        <w:t xml:space="preserve">, VP I; </w:t>
      </w:r>
      <w:hyperlink w:anchor="SENTENCIA_2021_51" w:history="1">
        <w:r w:rsidRPr="002C5A78">
          <w:rPr>
            <w:rStyle w:val="TextoNormalCaracter"/>
          </w:rPr>
          <w:t>51/2021</w:t>
        </w:r>
      </w:hyperlink>
      <w:r>
        <w:t xml:space="preserve">, ff. 3, 4; </w:t>
      </w:r>
      <w:hyperlink w:anchor="SENTENCIA_2021_133" w:history="1">
        <w:r w:rsidRPr="002C5A78">
          <w:rPr>
            <w:rStyle w:val="TextoNormalCaracter"/>
          </w:rPr>
          <w:t>133/2021</w:t>
        </w:r>
      </w:hyperlink>
      <w:r>
        <w:t>, f. 3.</w:t>
      </w:r>
    </w:p>
    <w:p w:rsidR="002C5A78" w:rsidRDefault="002C5A78" w:rsidP="002C5A78">
      <w:pPr>
        <w:pStyle w:val="SangriaFrancesaArticulo"/>
      </w:pPr>
      <w:r w:rsidRPr="002C5A78">
        <w:rPr>
          <w:rStyle w:val="TextoNormalNegritaCaracter"/>
        </w:rPr>
        <w:t>Artículo 9.3.</w:t>
      </w:r>
      <w:r w:rsidRPr="002C5A78">
        <w:rPr>
          <w:rStyle w:val="TextoNormalCaracter"/>
        </w:rPr>
        <w:t>-</w:t>
      </w:r>
      <w:r>
        <w:t xml:space="preserve"> Sentencias </w:t>
      </w:r>
      <w:hyperlink w:anchor="SENTENCIA_2021_65" w:history="1">
        <w:r w:rsidRPr="002C5A78">
          <w:rPr>
            <w:rStyle w:val="TextoNormalCaracter"/>
          </w:rPr>
          <w:t>65/2021</w:t>
        </w:r>
      </w:hyperlink>
      <w:r>
        <w:t xml:space="preserve">, f. 6; </w:t>
      </w:r>
      <w:hyperlink w:anchor="SENTENCIA_2021_68" w:history="1">
        <w:r w:rsidRPr="002C5A78">
          <w:rPr>
            <w:rStyle w:val="TextoNormalCaracter"/>
          </w:rPr>
          <w:t>68/2021</w:t>
        </w:r>
      </w:hyperlink>
      <w:r>
        <w:t xml:space="preserve">, f. 6; </w:t>
      </w:r>
      <w:hyperlink w:anchor="SENTENCIA_2021_69" w:history="1">
        <w:r w:rsidRPr="002C5A78">
          <w:rPr>
            <w:rStyle w:val="TextoNormalCaracter"/>
          </w:rPr>
          <w:t>69/2021</w:t>
        </w:r>
      </w:hyperlink>
      <w:r>
        <w:t xml:space="preserve">, f. 1; </w:t>
      </w:r>
      <w:hyperlink w:anchor="SENTENCIA_2021_90" w:history="1">
        <w:r w:rsidRPr="002C5A78">
          <w:rPr>
            <w:rStyle w:val="TextoNormalCaracter"/>
          </w:rPr>
          <w:t>90/2021</w:t>
        </w:r>
      </w:hyperlink>
      <w:r>
        <w:t xml:space="preserve">, f. 1; </w:t>
      </w:r>
      <w:hyperlink w:anchor="SENTENCIA_2021_95" w:history="1">
        <w:r w:rsidRPr="002C5A78">
          <w:rPr>
            <w:rStyle w:val="TextoNormalCaracter"/>
          </w:rPr>
          <w:t>95/2021</w:t>
        </w:r>
      </w:hyperlink>
      <w:r>
        <w:t xml:space="preserve">, f. 1; </w:t>
      </w:r>
      <w:hyperlink w:anchor="SENTENCIA_2021_105" w:history="1">
        <w:r w:rsidRPr="002C5A78">
          <w:rPr>
            <w:rStyle w:val="TextoNormalCaracter"/>
          </w:rPr>
          <w:t>105/2021</w:t>
        </w:r>
      </w:hyperlink>
      <w:r>
        <w:t xml:space="preserve">, f. 1; </w:t>
      </w:r>
      <w:hyperlink w:anchor="SENTENCIA_2021_109" w:history="1">
        <w:r w:rsidRPr="002C5A78">
          <w:rPr>
            <w:rStyle w:val="TextoNormalCaracter"/>
          </w:rPr>
          <w:t>109/2021</w:t>
        </w:r>
      </w:hyperlink>
      <w:r>
        <w:t xml:space="preserve">, ff. 2, 3; </w:t>
      </w:r>
      <w:hyperlink w:anchor="SENTENCIA_2021_112" w:history="1">
        <w:r w:rsidRPr="002C5A78">
          <w:rPr>
            <w:rStyle w:val="TextoNormalCaracter"/>
          </w:rPr>
          <w:t>112/2021</w:t>
        </w:r>
      </w:hyperlink>
      <w:r>
        <w:t xml:space="preserve">, ff. 1, 5;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24" w:history="1">
        <w:r w:rsidRPr="002C5A78">
          <w:rPr>
            <w:rStyle w:val="TextoNormalCaracter"/>
          </w:rPr>
          <w:t>124/2021</w:t>
        </w:r>
      </w:hyperlink>
      <w:r>
        <w:t xml:space="preserve">, f. 1; </w:t>
      </w:r>
      <w:hyperlink w:anchor="SENTENCIA_2021_133" w:history="1">
        <w:r w:rsidRPr="002C5A78">
          <w:rPr>
            <w:rStyle w:val="TextoNormalCaracter"/>
          </w:rPr>
          <w:t>133/2021</w:t>
        </w:r>
      </w:hyperlink>
      <w:r>
        <w:t xml:space="preserve">, f. 7; </w:t>
      </w:r>
      <w:hyperlink w:anchor="SENTENCIA_2021_134" w:history="1">
        <w:r w:rsidRPr="002C5A78">
          <w:rPr>
            <w:rStyle w:val="TextoNormalCaracter"/>
          </w:rPr>
          <w:t>134/2021</w:t>
        </w:r>
      </w:hyperlink>
      <w:r>
        <w:t>, f. 1.</w:t>
      </w:r>
    </w:p>
    <w:p w:rsidR="002C5A78" w:rsidRDefault="002C5A78" w:rsidP="002C5A78">
      <w:pPr>
        <w:pStyle w:val="SangriaFrancesaArticulo"/>
      </w:pPr>
      <w:r w:rsidRPr="002C5A78">
        <w:rPr>
          <w:rStyle w:val="TextoNormalNegritaCaracter"/>
        </w:rPr>
        <w:t>Artículo 9.3</w:t>
      </w:r>
      <w:r>
        <w:t xml:space="preserve"> (interdicción de la arbitrariedad de los poderes públicos)</w:t>
      </w:r>
      <w:r w:rsidRPr="002C5A78">
        <w:rPr>
          <w:rStyle w:val="TextoNormalNegritaCaracter"/>
        </w:rPr>
        <w:t>.</w:t>
      </w:r>
      <w:r w:rsidRPr="002C5A78">
        <w:rPr>
          <w:rStyle w:val="TextoNormalCaracter"/>
        </w:rPr>
        <w:t>-</w:t>
      </w:r>
      <w:r>
        <w:t xml:space="preserve"> Sentencias </w:t>
      </w:r>
      <w:hyperlink w:anchor="SENTENCIA_2021_21" w:history="1">
        <w:r w:rsidRPr="002C5A78">
          <w:rPr>
            <w:rStyle w:val="TextoNormalCaracter"/>
          </w:rPr>
          <w:t>21/2021</w:t>
        </w:r>
      </w:hyperlink>
      <w:r>
        <w:t xml:space="preserve">, f. 1; </w:t>
      </w:r>
      <w:hyperlink w:anchor="SENTENCIA_2021_51" w:history="1">
        <w:r w:rsidRPr="002C5A78">
          <w:rPr>
            <w:rStyle w:val="TextoNormalCaracter"/>
          </w:rPr>
          <w:t>51/2021</w:t>
        </w:r>
      </w:hyperlink>
      <w:r>
        <w:t xml:space="preserve">, f. 6; </w:t>
      </w:r>
      <w:hyperlink w:anchor="SENTENCIA_2021_102" w:history="1">
        <w:r w:rsidRPr="002C5A78">
          <w:rPr>
            <w:rStyle w:val="TextoNormalCaracter"/>
          </w:rPr>
          <w:t>102/2021</w:t>
        </w:r>
      </w:hyperlink>
      <w:r>
        <w:t xml:space="preserve">, ff. 1, 2;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9.3</w:t>
      </w:r>
      <w:r>
        <w:t xml:space="preserve"> (seguridad jurídica)</w:t>
      </w:r>
      <w:r w:rsidRPr="002C5A78">
        <w:rPr>
          <w:rStyle w:val="TextoNormalNegritaCaracter"/>
        </w:rPr>
        <w:t>.</w:t>
      </w:r>
      <w:r w:rsidRPr="002C5A78">
        <w:rPr>
          <w:rStyle w:val="TextoNormalCaracter"/>
        </w:rPr>
        <w:t>-</w:t>
      </w:r>
      <w:r>
        <w:t xml:space="preserve"> Sentencias </w:t>
      </w:r>
      <w:hyperlink w:anchor="SENTENCIA_2021_13" w:history="1">
        <w:r w:rsidRPr="002C5A78">
          <w:rPr>
            <w:rStyle w:val="TextoNormalCaracter"/>
          </w:rPr>
          <w:t>13/2021</w:t>
        </w:r>
      </w:hyperlink>
      <w:r>
        <w:t xml:space="preserve">, ff. 2, 4, VP II; </w:t>
      </w:r>
      <w:hyperlink w:anchor="SENTENCIA_2021_14" w:history="1">
        <w:r w:rsidRPr="002C5A78">
          <w:rPr>
            <w:rStyle w:val="TextoNormalCaracter"/>
          </w:rPr>
          <w:t>14/2021</w:t>
        </w:r>
      </w:hyperlink>
      <w:r>
        <w:t xml:space="preserve">, ff. 1, 2, 4, 6; </w:t>
      </w:r>
      <w:hyperlink w:anchor="SENTENCIA_2021_16" w:history="1">
        <w:r w:rsidRPr="002C5A78">
          <w:rPr>
            <w:rStyle w:val="TextoNormalCaracter"/>
          </w:rPr>
          <w:t>16/2021</w:t>
        </w:r>
      </w:hyperlink>
      <w:r>
        <w:t xml:space="preserve">, f. 6; </w:t>
      </w:r>
      <w:hyperlink w:anchor="SENTENCIA_2021_36" w:history="1">
        <w:r w:rsidRPr="002C5A78">
          <w:rPr>
            <w:rStyle w:val="TextoNormalCaracter"/>
          </w:rPr>
          <w:t>36/2021</w:t>
        </w:r>
      </w:hyperlink>
      <w:r>
        <w:t xml:space="preserve">, f. 16; </w:t>
      </w:r>
      <w:hyperlink w:anchor="SENTENCIA_2021_68" w:history="1">
        <w:r w:rsidRPr="002C5A78">
          <w:rPr>
            <w:rStyle w:val="TextoNormalCaracter"/>
          </w:rPr>
          <w:t>68/2021</w:t>
        </w:r>
      </w:hyperlink>
      <w:r>
        <w:t xml:space="preserve">, f. 7;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11" w:history="1">
        <w:r w:rsidRPr="002C5A78">
          <w:rPr>
            <w:rStyle w:val="TextoNormalCaracter"/>
          </w:rPr>
          <w:t>111/2021</w:t>
        </w:r>
      </w:hyperlink>
      <w:r>
        <w:t xml:space="preserve">, ff. 2, 3;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10.</w:t>
      </w:r>
      <w:r w:rsidRPr="002C5A78">
        <w:rPr>
          <w:rStyle w:val="TextoNormalCaracter"/>
        </w:rPr>
        <w:t>-</w:t>
      </w:r>
      <w:r>
        <w:t xml:space="preserve"> Sentencias </w:t>
      </w:r>
      <w:hyperlink w:anchor="SENTENCIA_2021_14" w:history="1">
        <w:r w:rsidRPr="002C5A78">
          <w:rPr>
            <w:rStyle w:val="TextoNormalCaracter"/>
          </w:rPr>
          <w:t>14/2021</w:t>
        </w:r>
      </w:hyperlink>
      <w:r>
        <w:t xml:space="preserve">, f. 5; </w:t>
      </w:r>
      <w:hyperlink w:anchor="SENTENCIA_2021_16" w:history="1">
        <w:r w:rsidRPr="002C5A78">
          <w:rPr>
            <w:rStyle w:val="TextoNormalCaracter"/>
          </w:rPr>
          <w:t>16/2021</w:t>
        </w:r>
      </w:hyperlink>
      <w:r>
        <w:t xml:space="preserve">, f. 6; </w:t>
      </w:r>
      <w:hyperlink w:anchor="SENTENCIA_2021_17" w:history="1">
        <w:r w:rsidRPr="002C5A78">
          <w:rPr>
            <w:rStyle w:val="TextoNormalCaracter"/>
          </w:rPr>
          <w:t>17/2021</w:t>
        </w:r>
      </w:hyperlink>
      <w:r>
        <w:t xml:space="preserve">, ff. 1, 2; </w:t>
      </w:r>
      <w:hyperlink w:anchor="SENTENCIA_2021_51" w:history="1">
        <w:r w:rsidRPr="002C5A78">
          <w:rPr>
            <w:rStyle w:val="TextoNormalCaracter"/>
          </w:rPr>
          <w:t>51/2021</w:t>
        </w:r>
      </w:hyperlink>
      <w:r>
        <w:t xml:space="preserve">, f. 5; </w:t>
      </w:r>
      <w:hyperlink w:anchor="SENTENCIA_2021_65" w:history="1">
        <w:r w:rsidRPr="002C5A78">
          <w:rPr>
            <w:rStyle w:val="TextoNormalCaracter"/>
          </w:rPr>
          <w:t>65/2021</w:t>
        </w:r>
      </w:hyperlink>
      <w:r>
        <w:t xml:space="preserve">, ff. 2, 3 a 6; </w:t>
      </w:r>
      <w:hyperlink w:anchor="SENTENCIA_2021_91" w:history="1">
        <w:r w:rsidRPr="002C5A78">
          <w:rPr>
            <w:rStyle w:val="TextoNormalCaracter"/>
          </w:rPr>
          <w:t>91/2021</w:t>
        </w:r>
      </w:hyperlink>
      <w:r>
        <w:t xml:space="preserve">, f. 8, VP; </w:t>
      </w:r>
      <w:hyperlink w:anchor="SENTENCIA_2021_106" w:history="1">
        <w:r w:rsidRPr="002C5A78">
          <w:rPr>
            <w:rStyle w:val="TextoNormalCaracter"/>
          </w:rPr>
          <w:t>106/2021</w:t>
        </w:r>
      </w:hyperlink>
      <w:r>
        <w:t xml:space="preserve">, f. 8, VP; </w:t>
      </w:r>
      <w:hyperlink w:anchor="SENTENCIA_2021_121" w:history="1">
        <w:r w:rsidRPr="002C5A78">
          <w:rPr>
            <w:rStyle w:val="TextoNormalCaracter"/>
          </w:rPr>
          <w:t>121/2021</w:t>
        </w:r>
      </w:hyperlink>
      <w:r>
        <w:t>, f. 9.</w:t>
      </w:r>
    </w:p>
    <w:p w:rsidR="002C5A78" w:rsidRDefault="002C5A78" w:rsidP="002C5A78">
      <w:pPr>
        <w:pStyle w:val="SangriaFrancesaArticulo"/>
      </w:pPr>
      <w:r w:rsidRPr="002C5A78">
        <w:rPr>
          <w:rStyle w:val="TextoNormalNegritaCaracter"/>
        </w:rPr>
        <w:t>Artículo 10.1.</w:t>
      </w:r>
      <w:r w:rsidRPr="002C5A78">
        <w:rPr>
          <w:rStyle w:val="TextoNormalCaracter"/>
        </w:rPr>
        <w:t>-</w:t>
      </w:r>
      <w:r>
        <w:t xml:space="preserve"> Sentencias </w:t>
      </w:r>
      <w:hyperlink w:anchor="SENTENCIA_2021_1" w:history="1">
        <w:r w:rsidRPr="002C5A78">
          <w:rPr>
            <w:rStyle w:val="TextoNormalCaracter"/>
          </w:rPr>
          <w:t>1/2021</w:t>
        </w:r>
      </w:hyperlink>
      <w:r>
        <w:t xml:space="preserve">, f. 3; </w:t>
      </w:r>
      <w:hyperlink w:anchor="SENTENCIA_2021_5" w:history="1">
        <w:r w:rsidRPr="002C5A78">
          <w:rPr>
            <w:rStyle w:val="TextoNormalCaracter"/>
          </w:rPr>
          <w:t>5/2021</w:t>
        </w:r>
      </w:hyperlink>
      <w:r>
        <w:t xml:space="preserve">, f. 4; </w:t>
      </w:r>
      <w:hyperlink w:anchor="SENTENCIA_2021_91" w:history="1">
        <w:r w:rsidRPr="002C5A78">
          <w:rPr>
            <w:rStyle w:val="TextoNormalCaracter"/>
          </w:rPr>
          <w:t>91/2021</w:t>
        </w:r>
      </w:hyperlink>
      <w:r>
        <w:t xml:space="preserve">, VP; </w:t>
      </w:r>
      <w:hyperlink w:anchor="SENTENCIA_2021_93" w:history="1">
        <w:r w:rsidRPr="002C5A78">
          <w:rPr>
            <w:rStyle w:val="TextoNormalCaracter"/>
          </w:rPr>
          <w:t>93/2021</w:t>
        </w:r>
      </w:hyperlink>
      <w:r>
        <w:t xml:space="preserve">, ff. 4, 7; </w:t>
      </w:r>
      <w:hyperlink w:anchor="SENTENCIA_2021_106" w:history="1">
        <w:r w:rsidRPr="002C5A78">
          <w:rPr>
            <w:rStyle w:val="TextoNormalCaracter"/>
          </w:rPr>
          <w:t>106/2021</w:t>
        </w:r>
      </w:hyperlink>
      <w:r>
        <w:t xml:space="preserve">, VP; </w:t>
      </w:r>
      <w:hyperlink w:anchor="SENTENCIA_2021_119" w:history="1">
        <w:r w:rsidRPr="002C5A78">
          <w:rPr>
            <w:rStyle w:val="TextoNormalCaracter"/>
          </w:rPr>
          <w:t>119/2021</w:t>
        </w:r>
      </w:hyperlink>
      <w:r>
        <w:t xml:space="preserve">, f. 3;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ff. 6, 9, 10; </w:t>
      </w:r>
      <w:hyperlink w:anchor="SENTENCIA_2021_133" w:history="1">
        <w:r w:rsidRPr="002C5A78">
          <w:rPr>
            <w:rStyle w:val="TextoNormalCaracter"/>
          </w:rPr>
          <w:t>133/2021</w:t>
        </w:r>
      </w:hyperlink>
      <w:r>
        <w:t>, ff. 3, 7.</w:t>
      </w:r>
    </w:p>
    <w:p w:rsidR="002C5A78" w:rsidRDefault="002C5A78" w:rsidP="002C5A78">
      <w:pPr>
        <w:pStyle w:val="SangriaFrancesaArticulo"/>
      </w:pPr>
      <w:r w:rsidRPr="002C5A78">
        <w:rPr>
          <w:rStyle w:val="TextoNormalNegritaCaracter"/>
        </w:rPr>
        <w:t>Artículo 10.2.</w:t>
      </w:r>
      <w:r w:rsidRPr="002C5A78">
        <w:rPr>
          <w:rStyle w:val="TextoNormalCaracter"/>
        </w:rPr>
        <w:t>-</w:t>
      </w:r>
      <w:r>
        <w:t xml:space="preserve"> Sentencias </w:t>
      </w:r>
      <w:hyperlink w:anchor="SENTENCIA_2021_21" w:history="1">
        <w:r w:rsidRPr="002C5A78">
          <w:rPr>
            <w:rStyle w:val="TextoNormalCaracter"/>
          </w:rPr>
          <w:t>21/2021</w:t>
        </w:r>
      </w:hyperlink>
      <w:r>
        <w:t xml:space="preserve">, f. 5; </w:t>
      </w:r>
      <w:hyperlink w:anchor="SENTENCIA_2021_22" w:history="1">
        <w:r w:rsidRPr="002C5A78">
          <w:rPr>
            <w:rStyle w:val="TextoNormalCaracter"/>
          </w:rPr>
          <w:t>22/2021</w:t>
        </w:r>
      </w:hyperlink>
      <w:r>
        <w:t xml:space="preserve">, f. 1; </w:t>
      </w:r>
      <w:hyperlink w:anchor="SENTENCIA_2021_51" w:history="1">
        <w:r w:rsidRPr="002C5A78">
          <w:rPr>
            <w:rStyle w:val="TextoNormalCaracter"/>
          </w:rPr>
          <w:t>51/2021</w:t>
        </w:r>
      </w:hyperlink>
      <w:r>
        <w:t xml:space="preserve">, f. 3; </w:t>
      </w:r>
      <w:hyperlink w:anchor="SENTENCIA_2021_69" w:history="1">
        <w:r w:rsidRPr="002C5A78">
          <w:rPr>
            <w:rStyle w:val="TextoNormalCaracter"/>
          </w:rPr>
          <w:t>69/2021</w:t>
        </w:r>
      </w:hyperlink>
      <w:r>
        <w:t xml:space="preserve">, ff. 1, 4;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xml:space="preserve">, f. 3; </w:t>
      </w:r>
      <w:hyperlink w:anchor="SENTENCIA_2021_81" w:history="1">
        <w:r w:rsidRPr="002C5A78">
          <w:rPr>
            <w:rStyle w:val="TextoNormalCaracter"/>
          </w:rPr>
          <w:t>81/2021</w:t>
        </w:r>
      </w:hyperlink>
      <w:r>
        <w:t xml:space="preserve">, f. 2; </w:t>
      </w:r>
      <w:hyperlink w:anchor="SENTENCIA_2021_90" w:history="1">
        <w:r w:rsidRPr="002C5A78">
          <w:rPr>
            <w:rStyle w:val="TextoNormalCaracter"/>
          </w:rPr>
          <w:t>90/2021</w:t>
        </w:r>
      </w:hyperlink>
      <w:r>
        <w:t xml:space="preserve">, f. 1; </w:t>
      </w:r>
      <w:hyperlink w:anchor="SENTENCIA_2021_91" w:history="1">
        <w:r w:rsidRPr="002C5A78">
          <w:rPr>
            <w:rStyle w:val="TextoNormalCaracter"/>
          </w:rPr>
          <w:t>91/2021</w:t>
        </w:r>
      </w:hyperlink>
      <w:r>
        <w:t xml:space="preserve">, ff. 5, 11; </w:t>
      </w:r>
      <w:hyperlink w:anchor="SENTENCIA_2021_93" w:history="1">
        <w:r w:rsidRPr="002C5A78">
          <w:rPr>
            <w:rStyle w:val="TextoNormalCaracter"/>
          </w:rPr>
          <w:t>93/2021</w:t>
        </w:r>
      </w:hyperlink>
      <w:r>
        <w:t xml:space="preserve">, f. 4, VP; </w:t>
      </w:r>
      <w:hyperlink w:anchor="SENTENCIA_2021_99" w:history="1">
        <w:r w:rsidRPr="002C5A78">
          <w:rPr>
            <w:rStyle w:val="TextoNormalCaracter"/>
          </w:rPr>
          <w:t>99/2021</w:t>
        </w:r>
      </w:hyperlink>
      <w:r>
        <w:t xml:space="preserve">, f. 4; </w:t>
      </w:r>
      <w:hyperlink w:anchor="SENTENCIA_2021_102" w:history="1">
        <w:r w:rsidRPr="002C5A78">
          <w:rPr>
            <w:rStyle w:val="TextoNormalCaracter"/>
          </w:rPr>
          <w:t>102/2021</w:t>
        </w:r>
      </w:hyperlink>
      <w:r>
        <w:t xml:space="preserve">, ff. 1, 2; </w:t>
      </w:r>
      <w:hyperlink w:anchor="SENTENCIA_2021_105" w:history="1">
        <w:r w:rsidRPr="002C5A78">
          <w:rPr>
            <w:rStyle w:val="TextoNormalCaracter"/>
          </w:rPr>
          <w:t>105/2021</w:t>
        </w:r>
      </w:hyperlink>
      <w:r>
        <w:t xml:space="preserve">, f. 1; </w:t>
      </w:r>
      <w:hyperlink w:anchor="SENTENCIA_2021_106" w:history="1">
        <w:r w:rsidRPr="002C5A78">
          <w:rPr>
            <w:rStyle w:val="TextoNormalCaracter"/>
          </w:rPr>
          <w:t>106/2021</w:t>
        </w:r>
      </w:hyperlink>
      <w:r>
        <w:t xml:space="preserve">, ff. 5, 11; </w:t>
      </w:r>
      <w:hyperlink w:anchor="SENTENCIA_2021_121" w:history="1">
        <w:r w:rsidRPr="002C5A78">
          <w:rPr>
            <w:rStyle w:val="TextoNormalCaracter"/>
          </w:rPr>
          <w:t>121/2021</w:t>
        </w:r>
      </w:hyperlink>
      <w:r>
        <w:t xml:space="preserve">, ff. 6, 12, VP; </w:t>
      </w:r>
      <w:hyperlink w:anchor="SENTENCIA_2021_122" w:history="1">
        <w:r w:rsidRPr="002C5A78">
          <w:rPr>
            <w:rStyle w:val="TextoNormalCaracter"/>
          </w:rPr>
          <w:t>122/2021</w:t>
        </w:r>
      </w:hyperlink>
      <w:r>
        <w:t xml:space="preserve">, ff. 7, 10, 11, VP; </w:t>
      </w:r>
      <w:hyperlink w:anchor="SENTENCIA_2021_132" w:history="1">
        <w:r w:rsidRPr="002C5A78">
          <w:rPr>
            <w:rStyle w:val="TextoNormalCaracter"/>
          </w:rPr>
          <w:t>132/2021</w:t>
        </w:r>
      </w:hyperlink>
      <w:r>
        <w:t xml:space="preserve">, f. 2;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Artículo 13.4.</w:t>
      </w:r>
      <w:r w:rsidRPr="002C5A78">
        <w:rPr>
          <w:rStyle w:val="TextoNormalCaracter"/>
        </w:rPr>
        <w:t>-</w:t>
      </w:r>
      <w:r>
        <w:t xml:space="preserve"> Sentencia </w:t>
      </w:r>
      <w:hyperlink w:anchor="SENTENCIA_2021_13" w:history="1">
        <w:r w:rsidRPr="002C5A78">
          <w:rPr>
            <w:rStyle w:val="TextoNormalCaracter"/>
          </w:rPr>
          <w:t>13/2021</w:t>
        </w:r>
      </w:hyperlink>
      <w:r>
        <w:t>, f. 2.</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Sentencias </w:t>
      </w:r>
      <w:hyperlink w:anchor="SENTENCIA_2021_1" w:history="1">
        <w:r w:rsidRPr="002C5A78">
          <w:rPr>
            <w:rStyle w:val="TextoNormalCaracter"/>
          </w:rPr>
          <w:t>1/2021</w:t>
        </w:r>
      </w:hyperlink>
      <w:r>
        <w:t xml:space="preserve">, ff. 1, 3 a 7; </w:t>
      </w:r>
      <w:hyperlink w:anchor="SENTENCIA_2021_2" w:history="1">
        <w:r w:rsidRPr="002C5A78">
          <w:rPr>
            <w:rStyle w:val="TextoNormalCaracter"/>
          </w:rPr>
          <w:t>2/2021</w:t>
        </w:r>
      </w:hyperlink>
      <w:r>
        <w:t xml:space="preserve">, ff. 3, 4; </w:t>
      </w:r>
      <w:hyperlink w:anchor="SENTENCIA_2021_6" w:history="1">
        <w:r w:rsidRPr="002C5A78">
          <w:rPr>
            <w:rStyle w:val="TextoNormalCaracter"/>
          </w:rPr>
          <w:t>6/2021</w:t>
        </w:r>
      </w:hyperlink>
      <w:r>
        <w:t xml:space="preserve">, ff. 1 a 4, VP I; </w:t>
      </w:r>
      <w:hyperlink w:anchor="SENTENCIA_2021_16" w:history="1">
        <w:r w:rsidRPr="002C5A78">
          <w:rPr>
            <w:rStyle w:val="TextoNormalCaracter"/>
          </w:rPr>
          <w:t>16/2021</w:t>
        </w:r>
      </w:hyperlink>
      <w:r>
        <w:t xml:space="preserve">, f. 6; </w:t>
      </w:r>
      <w:hyperlink w:anchor="SENTENCIA_2021_19" w:history="1">
        <w:r w:rsidRPr="002C5A78">
          <w:rPr>
            <w:rStyle w:val="TextoNormalCaracter"/>
          </w:rPr>
          <w:t>19/2021</w:t>
        </w:r>
      </w:hyperlink>
      <w:r>
        <w:t xml:space="preserve">, ff. 1 a 4; </w:t>
      </w:r>
      <w:hyperlink w:anchor="SENTENCIA_2021_41" w:history="1">
        <w:r w:rsidRPr="002C5A78">
          <w:rPr>
            <w:rStyle w:val="TextoNormalCaracter"/>
          </w:rPr>
          <w:t>41/2021</w:t>
        </w:r>
      </w:hyperlink>
      <w:r>
        <w:t xml:space="preserve">, ff. 2 a 4; </w:t>
      </w:r>
      <w:hyperlink w:anchor="SENTENCIA_2021_42" w:history="1">
        <w:r w:rsidRPr="002C5A78">
          <w:rPr>
            <w:rStyle w:val="TextoNormalCaracter"/>
          </w:rPr>
          <w:t>42/2021</w:t>
        </w:r>
      </w:hyperlink>
      <w:r>
        <w:t xml:space="preserve">, ff. 1, 2; </w:t>
      </w:r>
      <w:hyperlink w:anchor="SENTENCIA_2021_51" w:history="1">
        <w:r w:rsidRPr="002C5A78">
          <w:rPr>
            <w:rStyle w:val="TextoNormalCaracter"/>
          </w:rPr>
          <w:t>51/2021</w:t>
        </w:r>
      </w:hyperlink>
      <w:r>
        <w:t xml:space="preserve">, ff. 1 a 4, 7; </w:t>
      </w:r>
      <w:hyperlink w:anchor="SENTENCIA_2021_55" w:history="1">
        <w:r w:rsidRPr="002C5A78">
          <w:rPr>
            <w:rStyle w:val="TextoNormalCaracter"/>
          </w:rPr>
          <w:t>55/2021</w:t>
        </w:r>
      </w:hyperlink>
      <w:r>
        <w:t xml:space="preserve">, f. 1; </w:t>
      </w:r>
      <w:hyperlink w:anchor="SENTENCIA_2021_69" w:history="1">
        <w:r w:rsidRPr="002C5A78">
          <w:rPr>
            <w:rStyle w:val="TextoNormalCaracter"/>
          </w:rPr>
          <w:t>69/2021</w:t>
        </w:r>
      </w:hyperlink>
      <w:r>
        <w:t xml:space="preserve">, f. 3; </w:t>
      </w:r>
      <w:hyperlink w:anchor="SENTENCIA_2021_76" w:history="1">
        <w:r w:rsidRPr="002C5A78">
          <w:rPr>
            <w:rStyle w:val="TextoNormalCaracter"/>
          </w:rPr>
          <w:t>76/2021</w:t>
        </w:r>
      </w:hyperlink>
      <w:r>
        <w:t xml:space="preserve">, ff. 3, 5, VP III; </w:t>
      </w:r>
      <w:hyperlink w:anchor="SENTENCIA_2021_81" w:history="1">
        <w:r w:rsidRPr="002C5A78">
          <w:rPr>
            <w:rStyle w:val="TextoNormalCaracter"/>
          </w:rPr>
          <w:t>81/2021</w:t>
        </w:r>
      </w:hyperlink>
      <w:r>
        <w:t xml:space="preserve">, ff. 1, 4, VP; </w:t>
      </w:r>
      <w:hyperlink w:anchor="SENTENCIA_2021_88" w:history="1">
        <w:r w:rsidRPr="002C5A78">
          <w:rPr>
            <w:rStyle w:val="TextoNormalCaracter"/>
          </w:rPr>
          <w:t>88/2021</w:t>
        </w:r>
      </w:hyperlink>
      <w:r>
        <w:t xml:space="preserve">, f. 1; </w:t>
      </w:r>
      <w:hyperlink w:anchor="SENTENCIA_2021_91" w:history="1">
        <w:r w:rsidRPr="002C5A78">
          <w:rPr>
            <w:rStyle w:val="TextoNormalCaracter"/>
          </w:rPr>
          <w:t>91/2021</w:t>
        </w:r>
      </w:hyperlink>
      <w:r>
        <w:t xml:space="preserve">, ff. 1, 4, 11; </w:t>
      </w:r>
      <w:hyperlink w:anchor="SENTENCIA_2021_95" w:history="1">
        <w:r w:rsidRPr="002C5A78">
          <w:rPr>
            <w:rStyle w:val="TextoNormalCaracter"/>
          </w:rPr>
          <w:t>95/2021</w:t>
        </w:r>
      </w:hyperlink>
      <w:r>
        <w:t xml:space="preserve">, ff. 1, 2; </w:t>
      </w:r>
      <w:hyperlink w:anchor="SENTENCIA_2021_98" w:history="1">
        <w:r w:rsidRPr="002C5A78">
          <w:rPr>
            <w:rStyle w:val="TextoNormalCaracter"/>
          </w:rPr>
          <w:t>98/2021</w:t>
        </w:r>
      </w:hyperlink>
      <w:r>
        <w:t xml:space="preserve">, ff. 1 a 3; </w:t>
      </w:r>
      <w:hyperlink w:anchor="SENTENCIA_2021_106" w:history="1">
        <w:r w:rsidRPr="002C5A78">
          <w:rPr>
            <w:rStyle w:val="TextoNormalCaracter"/>
          </w:rPr>
          <w:t>106/2021</w:t>
        </w:r>
      </w:hyperlink>
      <w:r>
        <w:t xml:space="preserve">, ff. 1, 4, 11; </w:t>
      </w:r>
      <w:hyperlink w:anchor="SENTENCIA_2021_107" w:history="1">
        <w:r w:rsidRPr="002C5A78">
          <w:rPr>
            <w:rStyle w:val="TextoNormalCaracter"/>
          </w:rPr>
          <w:t>107/2021</w:t>
        </w:r>
      </w:hyperlink>
      <w:r>
        <w:t xml:space="preserve">, ff. 1, 2; </w:t>
      </w:r>
      <w:hyperlink w:anchor="SENTENCIA_2021_114" w:history="1">
        <w:r w:rsidRPr="002C5A78">
          <w:rPr>
            <w:rStyle w:val="TextoNormalCaracter"/>
          </w:rPr>
          <w:t>114/2021</w:t>
        </w:r>
      </w:hyperlink>
      <w:r>
        <w:t xml:space="preserve">, f. único; </w:t>
      </w:r>
      <w:hyperlink w:anchor="SENTENCIA_2021_119" w:history="1">
        <w:r w:rsidRPr="002C5A78">
          <w:rPr>
            <w:rStyle w:val="TextoNormalCaracter"/>
          </w:rPr>
          <w:t>119/2021</w:t>
        </w:r>
      </w:hyperlink>
      <w:r>
        <w:t xml:space="preserve">, f. 4; </w:t>
      </w:r>
      <w:hyperlink w:anchor="SENTENCIA_2021_121" w:history="1">
        <w:r w:rsidRPr="002C5A78">
          <w:rPr>
            <w:rStyle w:val="TextoNormalCaracter"/>
          </w:rPr>
          <w:t>121/2021</w:t>
        </w:r>
      </w:hyperlink>
      <w:r>
        <w:t xml:space="preserve">, ff. 1, 5, 12; </w:t>
      </w:r>
      <w:hyperlink w:anchor="SENTENCIA_2021_122" w:history="1">
        <w:r w:rsidRPr="002C5A78">
          <w:rPr>
            <w:rStyle w:val="TextoNormalCaracter"/>
          </w:rPr>
          <w:t>122/2021</w:t>
        </w:r>
      </w:hyperlink>
      <w:r>
        <w:t xml:space="preserve">, f. 6; </w:t>
      </w:r>
      <w:hyperlink w:anchor="SENTENCIA_2021_125" w:history="1">
        <w:r w:rsidRPr="002C5A78">
          <w:rPr>
            <w:rStyle w:val="TextoNormalCaracter"/>
          </w:rPr>
          <w:t>125/2021</w:t>
        </w:r>
      </w:hyperlink>
      <w:r>
        <w:t xml:space="preserve">, ff. 1, 5; </w:t>
      </w:r>
      <w:hyperlink w:anchor="SENTENCIA_2021_127" w:history="1">
        <w:r w:rsidRPr="002C5A78">
          <w:rPr>
            <w:rStyle w:val="TextoNormalCaracter"/>
          </w:rPr>
          <w:t>127/2021</w:t>
        </w:r>
      </w:hyperlink>
      <w:r>
        <w:t xml:space="preserve">, f. único; </w:t>
      </w:r>
      <w:hyperlink w:anchor="SENTENCIA_2021_128" w:history="1">
        <w:r w:rsidRPr="002C5A78">
          <w:rPr>
            <w:rStyle w:val="TextoNormalCaracter"/>
          </w:rPr>
          <w:t>128/2021</w:t>
        </w:r>
      </w:hyperlink>
      <w:r>
        <w:t xml:space="preserve">, f. único; </w:t>
      </w:r>
      <w:hyperlink w:anchor="SENTENCIA_2021_134" w:history="1">
        <w:r w:rsidRPr="002C5A78">
          <w:rPr>
            <w:rStyle w:val="TextoNormalCaracter"/>
          </w:rPr>
          <w:t>134/2021</w:t>
        </w:r>
      </w:hyperlink>
      <w:r>
        <w:t xml:space="preserve">, VP III; </w:t>
      </w:r>
      <w:hyperlink w:anchor="SENTENCIA_2021_138" w:history="1">
        <w:r w:rsidRPr="002C5A78">
          <w:rPr>
            <w:rStyle w:val="TextoNormalCaracter"/>
          </w:rPr>
          <w:t>138/2021</w:t>
        </w:r>
      </w:hyperlink>
      <w:r>
        <w:t>, ff. 1, 3, 4.</w:t>
      </w:r>
    </w:p>
    <w:p w:rsidR="002C5A78" w:rsidRDefault="002C5A78" w:rsidP="002C5A78">
      <w:pPr>
        <w:pStyle w:val="SangriaIzquierdaArticulo"/>
      </w:pPr>
      <w:r>
        <w:t xml:space="preserve">Autos </w:t>
      </w:r>
      <w:hyperlink w:anchor="AUTO_2021_4" w:history="1">
        <w:r w:rsidRPr="002C5A78">
          <w:rPr>
            <w:rStyle w:val="TextoNormalCaracter"/>
          </w:rPr>
          <w:t>4/2021</w:t>
        </w:r>
      </w:hyperlink>
      <w:r>
        <w:t xml:space="preserve">, ff. 1, 5; </w:t>
      </w:r>
      <w:hyperlink w:anchor="AUTO_2021_5" w:history="1">
        <w:r w:rsidRPr="002C5A78">
          <w:rPr>
            <w:rStyle w:val="TextoNormalCaracter"/>
          </w:rPr>
          <w:t>5/2021</w:t>
        </w:r>
      </w:hyperlink>
      <w:r>
        <w:t xml:space="preserve">, f. único; </w:t>
      </w:r>
      <w:hyperlink w:anchor="AUTO_2021_6" w:history="1">
        <w:r w:rsidRPr="002C5A78">
          <w:rPr>
            <w:rStyle w:val="TextoNormalCaracter"/>
          </w:rPr>
          <w:t>6/2021</w:t>
        </w:r>
      </w:hyperlink>
      <w:r>
        <w:t xml:space="preserve">, f. único; </w:t>
      </w:r>
      <w:hyperlink w:anchor="AUTO_2021_45" w:history="1">
        <w:r w:rsidRPr="002C5A78">
          <w:rPr>
            <w:rStyle w:val="TextoNormalCaracter"/>
          </w:rPr>
          <w:t>45/2021</w:t>
        </w:r>
      </w:hyperlink>
      <w:r>
        <w:t>, ff. 1, 2.</w:t>
      </w:r>
    </w:p>
    <w:p w:rsidR="002C5A78" w:rsidRDefault="002C5A78" w:rsidP="002C5A78">
      <w:pPr>
        <w:pStyle w:val="SangriaFrancesaArticulo"/>
      </w:pPr>
      <w:r w:rsidRPr="002C5A78">
        <w:rPr>
          <w:rStyle w:val="TextoNormalNegritaCaracter"/>
        </w:rPr>
        <w:t>Artículo 14</w:t>
      </w:r>
      <w:r>
        <w:t xml:space="preserve"> (discriminación por circunstancias personales o sociales)</w:t>
      </w:r>
      <w:r w:rsidRPr="002C5A78">
        <w:rPr>
          <w:rStyle w:val="TextoNormalNegritaCaracter"/>
        </w:rPr>
        <w:t>.</w:t>
      </w:r>
      <w:r w:rsidRPr="002C5A78">
        <w:rPr>
          <w:rStyle w:val="TextoNormalCaracter"/>
        </w:rPr>
        <w:t>-</w:t>
      </w:r>
      <w:r>
        <w:t xml:space="preserve"> Sentencia </w:t>
      </w:r>
      <w:hyperlink w:anchor="SENTENCIA_2021_81" w:history="1">
        <w:r w:rsidRPr="002C5A78">
          <w:rPr>
            <w:rStyle w:val="TextoNormalCaracter"/>
          </w:rPr>
          <w:t>81/2021</w:t>
        </w:r>
      </w:hyperlink>
      <w:r>
        <w:t>, f. 1.</w:t>
      </w:r>
    </w:p>
    <w:p w:rsidR="002C5A78" w:rsidRDefault="002C5A78" w:rsidP="002C5A78">
      <w:pPr>
        <w:pStyle w:val="SangriaFrancesaArticulo"/>
      </w:pPr>
      <w:r w:rsidRPr="002C5A78">
        <w:rPr>
          <w:rStyle w:val="TextoNormalNegritaCaracter"/>
        </w:rPr>
        <w:t>Artículo 14</w:t>
      </w:r>
      <w:r>
        <w:t xml:space="preserve"> (discriminación por sexo)</w:t>
      </w:r>
      <w:r w:rsidRPr="002C5A78">
        <w:rPr>
          <w:rStyle w:val="TextoNormalNegritaCaracter"/>
        </w:rPr>
        <w:t>.</w:t>
      </w:r>
      <w:r w:rsidRPr="002C5A78">
        <w:rPr>
          <w:rStyle w:val="TextoNormalCaracter"/>
        </w:rPr>
        <w:t>-</w:t>
      </w:r>
      <w:r>
        <w:t xml:space="preserve"> Sentencia </w:t>
      </w:r>
      <w:hyperlink w:anchor="SENTENCIA_2021_119" w:history="1">
        <w:r w:rsidRPr="002C5A78">
          <w:rPr>
            <w:rStyle w:val="TextoNormalCaracter"/>
          </w:rPr>
          <w:t>119/2021</w:t>
        </w:r>
      </w:hyperlink>
      <w:r>
        <w:t>, ff. 1, 3, 4.</w:t>
      </w:r>
    </w:p>
    <w:p w:rsidR="002C5A78" w:rsidRDefault="002C5A78" w:rsidP="002C5A78">
      <w:pPr>
        <w:pStyle w:val="SangriaFrancesaArticulo"/>
      </w:pPr>
      <w:r w:rsidRPr="002C5A78">
        <w:rPr>
          <w:rStyle w:val="TextoNormalNegritaCaracter"/>
        </w:rPr>
        <w:t>Artículo 14</w:t>
      </w:r>
      <w:r>
        <w:t xml:space="preserve"> (igualdad ante la ley)</w:t>
      </w:r>
      <w:r w:rsidRPr="002C5A78">
        <w:rPr>
          <w:rStyle w:val="TextoNormalNegritaCaracter"/>
        </w:rPr>
        <w:t>.</w:t>
      </w:r>
      <w:r w:rsidRPr="002C5A78">
        <w:rPr>
          <w:rStyle w:val="TextoNormalCaracter"/>
        </w:rPr>
        <w:t>-</w:t>
      </w:r>
      <w:r>
        <w:t xml:space="preserve"> Sentencias </w:t>
      </w:r>
      <w:hyperlink w:anchor="SENTENCIA_2021_70" w:history="1">
        <w:r w:rsidRPr="002C5A78">
          <w:rPr>
            <w:rStyle w:val="TextoNormalCaracter"/>
          </w:rPr>
          <w:t>70/2021</w:t>
        </w:r>
      </w:hyperlink>
      <w:r>
        <w:t xml:space="preserve">, f. 4; </w:t>
      </w:r>
      <w:hyperlink w:anchor="SENTENCIA_2021_71" w:history="1">
        <w:r w:rsidRPr="002C5A78">
          <w:rPr>
            <w:rStyle w:val="TextoNormalCaracter"/>
          </w:rPr>
          <w:t>71/2021</w:t>
        </w:r>
      </w:hyperlink>
      <w:r>
        <w:t xml:space="preserve">, f. 4; </w:t>
      </w:r>
      <w:hyperlink w:anchor="SENTENCIA_2021_81" w:history="1">
        <w:r w:rsidRPr="002C5A78">
          <w:rPr>
            <w:rStyle w:val="TextoNormalCaracter"/>
          </w:rPr>
          <w:t>81/2021</w:t>
        </w:r>
      </w:hyperlink>
      <w:r>
        <w:t xml:space="preserve">, f. 1; </w:t>
      </w:r>
      <w:hyperlink w:anchor="SENTENCIA_2021_83" w:history="1">
        <w:r w:rsidRPr="002C5A78">
          <w:rPr>
            <w:rStyle w:val="TextoNormalCaracter"/>
          </w:rPr>
          <w:t>83/2021</w:t>
        </w:r>
      </w:hyperlink>
      <w:r>
        <w:t xml:space="preserve">, f. único; </w:t>
      </w:r>
      <w:hyperlink w:anchor="SENTENCIA_2021_119" w:history="1">
        <w:r w:rsidRPr="002C5A78">
          <w:rPr>
            <w:rStyle w:val="TextoNormalCaracter"/>
          </w:rPr>
          <w:t>119/2021</w:t>
        </w:r>
      </w:hyperlink>
      <w:r>
        <w:t>, ff. 1, 4.</w:t>
      </w:r>
    </w:p>
    <w:p w:rsidR="002C5A78" w:rsidRDefault="002C5A78" w:rsidP="002C5A78">
      <w:pPr>
        <w:pStyle w:val="SangriaIzquierdaArticulo"/>
      </w:pPr>
      <w:r>
        <w:t xml:space="preserve">Auto </w:t>
      </w:r>
      <w:hyperlink w:anchor="AUTO_2021_4" w:history="1">
        <w:r w:rsidRPr="002C5A78">
          <w:rPr>
            <w:rStyle w:val="TextoNormalCaracter"/>
          </w:rPr>
          <w:t>4/2021</w:t>
        </w:r>
      </w:hyperlink>
      <w:r>
        <w:t>, f. 5.</w:t>
      </w:r>
    </w:p>
    <w:p w:rsidR="002C5A78" w:rsidRDefault="002C5A78" w:rsidP="002C5A78">
      <w:pPr>
        <w:pStyle w:val="SangriaFrancesaArticulo"/>
      </w:pPr>
      <w:r w:rsidRPr="002C5A78">
        <w:rPr>
          <w:rStyle w:val="TextoNormalNegritaCaracter"/>
        </w:rPr>
        <w:t>Artículo 14</w:t>
      </w:r>
      <w:r>
        <w:t xml:space="preserve"> (igualdad en la aplicación de la ley)</w:t>
      </w:r>
      <w:r w:rsidRPr="002C5A78">
        <w:rPr>
          <w:rStyle w:val="TextoNormalNegritaCaracter"/>
        </w:rPr>
        <w:t>.</w:t>
      </w:r>
      <w:r w:rsidRPr="002C5A78">
        <w:rPr>
          <w:rStyle w:val="TextoNormalCaracter"/>
        </w:rPr>
        <w:t>-</w:t>
      </w:r>
      <w:r>
        <w:t xml:space="preserve"> Sentencia </w:t>
      </w:r>
      <w:hyperlink w:anchor="SENTENCIA_2021_21" w:history="1">
        <w:r w:rsidRPr="002C5A78">
          <w:rPr>
            <w:rStyle w:val="TextoNormalCaracter"/>
          </w:rPr>
          <w:t>21/2021</w:t>
        </w:r>
      </w:hyperlink>
      <w:r>
        <w:t>, ff. 1, 2.</w:t>
      </w:r>
    </w:p>
    <w:p w:rsidR="002C5A78" w:rsidRDefault="002C5A78" w:rsidP="002C5A78">
      <w:pPr>
        <w:pStyle w:val="SangriaFrancesaArticulo"/>
      </w:pPr>
      <w:r w:rsidRPr="002C5A78">
        <w:rPr>
          <w:rStyle w:val="TextoNormalNegritaCaracter"/>
        </w:rPr>
        <w:t>Artículos 14 a 29.</w:t>
      </w:r>
      <w:r w:rsidRPr="002C5A78">
        <w:rPr>
          <w:rStyle w:val="TextoNormalCaracter"/>
        </w:rPr>
        <w:t>-</w:t>
      </w:r>
      <w:r>
        <w:t xml:space="preserve"> Sentencia </w:t>
      </w:r>
      <w:hyperlink w:anchor="SENTENCIA_2021_102" w:history="1">
        <w:r w:rsidRPr="002C5A78">
          <w:rPr>
            <w:rStyle w:val="TextoNormalCaracter"/>
          </w:rPr>
          <w:t>102/2021</w:t>
        </w:r>
      </w:hyperlink>
      <w:r>
        <w:t>, f. 2.</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81" w:history="1">
        <w:r w:rsidRPr="002C5A78">
          <w:rPr>
            <w:rStyle w:val="TextoNormalCaracter"/>
          </w:rPr>
          <w:t>81/2021</w:t>
        </w:r>
      </w:hyperlink>
      <w:r>
        <w:t>, ff. 1, 4, VP.</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Sentencias </w:t>
      </w:r>
      <w:hyperlink w:anchor="SENTENCIA_2021_2" w:history="1">
        <w:r w:rsidRPr="002C5A78">
          <w:rPr>
            <w:rStyle w:val="TextoNormalCaracter"/>
          </w:rPr>
          <w:t>2/2021</w:t>
        </w:r>
      </w:hyperlink>
      <w:r>
        <w:t xml:space="preserve">, ff. 3, 4; </w:t>
      </w:r>
      <w:hyperlink w:anchor="SENTENCIA_2021_6" w:history="1">
        <w:r w:rsidRPr="002C5A78">
          <w:rPr>
            <w:rStyle w:val="TextoNormalCaracter"/>
          </w:rPr>
          <w:t>6/2021</w:t>
        </w:r>
      </w:hyperlink>
      <w:r>
        <w:t xml:space="preserve">, ff. 1, 4; </w:t>
      </w:r>
      <w:hyperlink w:anchor="SENTENCIA_2021_19" w:history="1">
        <w:r w:rsidRPr="002C5A78">
          <w:rPr>
            <w:rStyle w:val="TextoNormalCaracter"/>
          </w:rPr>
          <w:t>19/2021</w:t>
        </w:r>
      </w:hyperlink>
      <w:r>
        <w:t xml:space="preserve">, ff. 1, 4; </w:t>
      </w:r>
      <w:hyperlink w:anchor="SENTENCIA_2021_42" w:history="1">
        <w:r w:rsidRPr="002C5A78">
          <w:rPr>
            <w:rStyle w:val="TextoNormalCaracter"/>
          </w:rPr>
          <w:t>42/2021</w:t>
        </w:r>
      </w:hyperlink>
      <w:r>
        <w:t xml:space="preserve">, ff. 1, 2; </w:t>
      </w:r>
      <w:hyperlink w:anchor="SENTENCIA_2021_91" w:history="1">
        <w:r w:rsidRPr="002C5A78">
          <w:rPr>
            <w:rStyle w:val="TextoNormalCaracter"/>
          </w:rPr>
          <w:t>91/2021</w:t>
        </w:r>
      </w:hyperlink>
      <w:r>
        <w:t xml:space="preserve">, f. 1, VP; </w:t>
      </w:r>
      <w:hyperlink w:anchor="SENTENCIA_2021_106" w:history="1">
        <w:r w:rsidRPr="002C5A78">
          <w:rPr>
            <w:rStyle w:val="TextoNormalCaracter"/>
          </w:rPr>
          <w:t>106/2021</w:t>
        </w:r>
      </w:hyperlink>
      <w:r>
        <w:t xml:space="preserve">, f. 1, VP; </w:t>
      </w:r>
      <w:hyperlink w:anchor="SENTENCIA_2021_121" w:history="1">
        <w:r w:rsidRPr="002C5A78">
          <w:rPr>
            <w:rStyle w:val="TextoNormalCaracter"/>
          </w:rPr>
          <w:t>121/2021</w:t>
        </w:r>
      </w:hyperlink>
      <w:r>
        <w:t xml:space="preserve">, f. 1, VP; </w:t>
      </w:r>
      <w:hyperlink w:anchor="SENTENCIA_2021_122" w:history="1">
        <w:r w:rsidRPr="002C5A78">
          <w:rPr>
            <w:rStyle w:val="TextoNormalCaracter"/>
          </w:rPr>
          <w:t>122/2021</w:t>
        </w:r>
      </w:hyperlink>
      <w:r>
        <w:t xml:space="preserve">, f. 11, VP; </w:t>
      </w:r>
      <w:hyperlink w:anchor="SENTENCIA_2021_138" w:history="1">
        <w:r w:rsidRPr="002C5A78">
          <w:rPr>
            <w:rStyle w:val="TextoNormalCaracter"/>
          </w:rPr>
          <w:t>138/2021</w:t>
        </w:r>
      </w:hyperlink>
      <w:r>
        <w:t>, ff. 1, 2, 4.</w:t>
      </w:r>
    </w:p>
    <w:p w:rsidR="002C5A78" w:rsidRDefault="002C5A78" w:rsidP="002C5A78">
      <w:pPr>
        <w:pStyle w:val="SangriaFrancesaArticulo"/>
      </w:pPr>
      <w:r w:rsidRPr="002C5A78">
        <w:rPr>
          <w:rStyle w:val="TextoNormalNegritaCaracter"/>
        </w:rPr>
        <w:t>Artículo 16.1.</w:t>
      </w:r>
      <w:r w:rsidRPr="002C5A78">
        <w:rPr>
          <w:rStyle w:val="TextoNormalCaracter"/>
        </w:rPr>
        <w:t>-</w:t>
      </w:r>
      <w:r>
        <w:t xml:space="preserve"> Sentencias </w:t>
      </w:r>
      <w:hyperlink w:anchor="SENTENCIA_2021_69" w:history="1">
        <w:r w:rsidRPr="002C5A78">
          <w:rPr>
            <w:rStyle w:val="TextoNormalCaracter"/>
          </w:rPr>
          <w:t>69/2021</w:t>
        </w:r>
      </w:hyperlink>
      <w:r>
        <w:t xml:space="preserve">, f. 1; </w:t>
      </w:r>
      <w:hyperlink w:anchor="SENTENCIA_2021_90" w:history="1">
        <w:r w:rsidRPr="002C5A78">
          <w:rPr>
            <w:rStyle w:val="TextoNormalCaracter"/>
          </w:rPr>
          <w:t>90/2021</w:t>
        </w:r>
      </w:hyperlink>
      <w:r>
        <w:t xml:space="preserve">, f. 1; </w:t>
      </w:r>
      <w:hyperlink w:anchor="SENTENCIA_2021_105" w:history="1">
        <w:r w:rsidRPr="002C5A78">
          <w:rPr>
            <w:rStyle w:val="TextoNormalCaracter"/>
          </w:rPr>
          <w:t>105/2021</w:t>
        </w:r>
      </w:hyperlink>
      <w:r>
        <w:t>, f. 1.</w:t>
      </w:r>
    </w:p>
    <w:p w:rsidR="002C5A78" w:rsidRDefault="002C5A78" w:rsidP="002C5A78">
      <w:pPr>
        <w:pStyle w:val="SangriaFrancesaArticulo"/>
      </w:pPr>
      <w:r w:rsidRPr="002C5A78">
        <w:rPr>
          <w:rStyle w:val="TextoNormalNegritaCaracter"/>
        </w:rPr>
        <w:t>Artículo 16.2.</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Sentencias </w:t>
      </w:r>
      <w:hyperlink w:anchor="SENTENCIA_2021_73" w:history="1">
        <w:r w:rsidRPr="002C5A78">
          <w:rPr>
            <w:rStyle w:val="TextoNormalCaracter"/>
          </w:rPr>
          <w:t>73/2021</w:t>
        </w:r>
      </w:hyperlink>
      <w:r>
        <w:t xml:space="preserve">, ff. 2 a 4, VP I, VP II; </w:t>
      </w:r>
      <w:hyperlink w:anchor="SENTENCIA_2021_80" w:history="1">
        <w:r w:rsidRPr="002C5A78">
          <w:rPr>
            <w:rStyle w:val="TextoNormalCaracter"/>
          </w:rPr>
          <w:t>80/2021</w:t>
        </w:r>
      </w:hyperlink>
      <w:r>
        <w:t xml:space="preserve">, f. 4; </w:t>
      </w:r>
      <w:hyperlink w:anchor="SENTENCIA_2021_91" w:history="1">
        <w:r w:rsidRPr="002C5A78">
          <w:rPr>
            <w:rStyle w:val="TextoNormalCaracter"/>
          </w:rPr>
          <w:t>91/2021</w:t>
        </w:r>
      </w:hyperlink>
      <w:r>
        <w:t xml:space="preserve">, f. 1, VP; </w:t>
      </w:r>
      <w:hyperlink w:anchor="SENTENCIA_2021_98" w:history="1">
        <w:r w:rsidRPr="002C5A78">
          <w:rPr>
            <w:rStyle w:val="TextoNormalCaracter"/>
          </w:rPr>
          <w:t>98/2021</w:t>
        </w:r>
      </w:hyperlink>
      <w:r>
        <w:t xml:space="preserve">, ff. 1, 2; </w:t>
      </w:r>
      <w:hyperlink w:anchor="SENTENCIA_2021_106" w:history="1">
        <w:r w:rsidRPr="002C5A78">
          <w:rPr>
            <w:rStyle w:val="TextoNormalCaracter"/>
          </w:rPr>
          <w:t>106/2021</w:t>
        </w:r>
      </w:hyperlink>
      <w:r>
        <w:t xml:space="preserve">, f. 1, VP; </w:t>
      </w:r>
      <w:hyperlink w:anchor="SENTENCIA_2021_121" w:history="1">
        <w:r w:rsidRPr="002C5A78">
          <w:rPr>
            <w:rStyle w:val="TextoNormalCaracter"/>
          </w:rPr>
          <w:t>121/2021</w:t>
        </w:r>
      </w:hyperlink>
      <w:r>
        <w:t xml:space="preserve">, f. 1; </w:t>
      </w:r>
      <w:hyperlink w:anchor="SENTENCIA_2021_122" w:history="1">
        <w:r w:rsidRPr="002C5A78">
          <w:rPr>
            <w:rStyle w:val="TextoNormalCaracter"/>
          </w:rPr>
          <w:t>122/2021</w:t>
        </w:r>
      </w:hyperlink>
      <w:r>
        <w:t xml:space="preserve">, ff. 1, 9 a 11; </w:t>
      </w:r>
      <w:hyperlink w:anchor="SENTENCIA_2021_133" w:history="1">
        <w:r w:rsidRPr="002C5A78">
          <w:rPr>
            <w:rStyle w:val="TextoNormalCaracter"/>
          </w:rPr>
          <w:t>133/2021</w:t>
        </w:r>
      </w:hyperlink>
      <w:r>
        <w:t>, f. 3.</w:t>
      </w:r>
    </w:p>
    <w:p w:rsidR="002C5A78" w:rsidRDefault="002C5A78" w:rsidP="002C5A78">
      <w:pPr>
        <w:pStyle w:val="SangriaFrancesaArticulo"/>
      </w:pPr>
      <w:r w:rsidRPr="002C5A78">
        <w:rPr>
          <w:rStyle w:val="TextoNormalNegritaCaracter"/>
        </w:rPr>
        <w:t>Artículo 17.1.</w:t>
      </w:r>
      <w:r w:rsidRPr="002C5A78">
        <w:rPr>
          <w:rStyle w:val="TextoNormalCaracter"/>
        </w:rPr>
        <w:t>-</w:t>
      </w:r>
      <w:r>
        <w:t xml:space="preserve"> Sentencias </w:t>
      </w:r>
      <w:hyperlink w:anchor="SENTENCIA_2021_73" w:history="1">
        <w:r w:rsidRPr="002C5A78">
          <w:rPr>
            <w:rStyle w:val="TextoNormalCaracter"/>
          </w:rPr>
          <w:t>73/2021</w:t>
        </w:r>
      </w:hyperlink>
      <w:r>
        <w:t xml:space="preserve">, ff. 4, 5; </w:t>
      </w:r>
      <w:hyperlink w:anchor="SENTENCIA_2021_80" w:history="1">
        <w:r w:rsidRPr="002C5A78">
          <w:rPr>
            <w:rStyle w:val="TextoNormalCaracter"/>
          </w:rPr>
          <w:t>80/2021</w:t>
        </w:r>
      </w:hyperlink>
      <w:r>
        <w:t xml:space="preserve">, ff. 1, 4 a 6; </w:t>
      </w:r>
      <w:hyperlink w:anchor="SENTENCIA_2021_91" w:history="1">
        <w:r w:rsidRPr="002C5A78">
          <w:rPr>
            <w:rStyle w:val="TextoNormalCaracter"/>
          </w:rPr>
          <w:t>91/2021</w:t>
        </w:r>
      </w:hyperlink>
      <w:r>
        <w:t xml:space="preserve">, f. 11, VP; </w:t>
      </w:r>
      <w:hyperlink w:anchor="SENTENCIA_2021_106" w:history="1">
        <w:r w:rsidRPr="002C5A78">
          <w:rPr>
            <w:rStyle w:val="TextoNormalCaracter"/>
          </w:rPr>
          <w:t>106/2021</w:t>
        </w:r>
      </w:hyperlink>
      <w:r>
        <w:t xml:space="preserve">, f. 11, VP; </w:t>
      </w:r>
      <w:hyperlink w:anchor="SENTENCIA_2021_121" w:history="1">
        <w:r w:rsidRPr="002C5A78">
          <w:rPr>
            <w:rStyle w:val="TextoNormalCaracter"/>
          </w:rPr>
          <w:t>121/2021</w:t>
        </w:r>
      </w:hyperlink>
      <w:r>
        <w:t xml:space="preserve">, f. 12, VP; </w:t>
      </w:r>
      <w:hyperlink w:anchor="SENTENCIA_2021_122" w:history="1">
        <w:r w:rsidRPr="002C5A78">
          <w:rPr>
            <w:rStyle w:val="TextoNormalCaracter"/>
          </w:rPr>
          <w:t>122/2021</w:t>
        </w:r>
      </w:hyperlink>
      <w:r>
        <w:t>, ff. 10, 11, VP.</w:t>
      </w:r>
    </w:p>
    <w:p w:rsidR="002C5A78" w:rsidRDefault="002C5A78" w:rsidP="002C5A78">
      <w:pPr>
        <w:pStyle w:val="SangriaFrancesaArticulo"/>
      </w:pPr>
      <w:r w:rsidRPr="002C5A78">
        <w:rPr>
          <w:rStyle w:val="TextoNormalNegritaCaracter"/>
        </w:rPr>
        <w:t>Artículo 17.2.</w:t>
      </w:r>
      <w:r w:rsidRPr="002C5A78">
        <w:rPr>
          <w:rStyle w:val="TextoNormalCaracter"/>
        </w:rPr>
        <w:t>-</w:t>
      </w:r>
      <w:r>
        <w:t xml:space="preserve"> Sentencia </w:t>
      </w:r>
      <w:hyperlink w:anchor="SENTENCIA_2021_73" w:history="1">
        <w:r w:rsidRPr="002C5A78">
          <w:rPr>
            <w:rStyle w:val="TextoNormalCaracter"/>
          </w:rPr>
          <w:t>73/2021</w:t>
        </w:r>
      </w:hyperlink>
      <w:r>
        <w:t>, f. 3, VP I.</w:t>
      </w:r>
    </w:p>
    <w:p w:rsidR="002C5A78" w:rsidRDefault="002C5A78" w:rsidP="002C5A78">
      <w:pPr>
        <w:pStyle w:val="SangriaFrancesaArticulo"/>
      </w:pPr>
      <w:r w:rsidRPr="002C5A78">
        <w:rPr>
          <w:rStyle w:val="TextoNormalNegritaCaracter"/>
        </w:rPr>
        <w:t>Artículo 17.3.</w:t>
      </w:r>
      <w:r w:rsidRPr="002C5A78">
        <w:rPr>
          <w:rStyle w:val="TextoNormalCaracter"/>
        </w:rPr>
        <w:t>-</w:t>
      </w:r>
      <w:r>
        <w:t xml:space="preserve"> Sentencias </w:t>
      </w:r>
      <w:hyperlink w:anchor="SENTENCIA_2021_73" w:history="1">
        <w:r w:rsidRPr="002C5A78">
          <w:rPr>
            <w:rStyle w:val="TextoNormalCaracter"/>
          </w:rPr>
          <w:t>73/2021</w:t>
        </w:r>
      </w:hyperlink>
      <w:r>
        <w:t xml:space="preserve">, f. 2; </w:t>
      </w:r>
      <w:hyperlink w:anchor="SENTENCIA_2021_80" w:history="1">
        <w:r w:rsidRPr="002C5A78">
          <w:rPr>
            <w:rStyle w:val="TextoNormalCaracter"/>
          </w:rPr>
          <w:t>80/2021</w:t>
        </w:r>
      </w:hyperlink>
      <w:r>
        <w:t>, f. 4.</w:t>
      </w:r>
    </w:p>
    <w:p w:rsidR="002C5A78" w:rsidRDefault="002C5A78" w:rsidP="002C5A78">
      <w:pPr>
        <w:pStyle w:val="SangriaFrancesaArticulo"/>
      </w:pPr>
      <w:r w:rsidRPr="002C5A78">
        <w:rPr>
          <w:rStyle w:val="TextoNormalNegritaCaracter"/>
        </w:rPr>
        <w:t>Artículo 17.4.</w:t>
      </w:r>
      <w:r w:rsidRPr="002C5A78">
        <w:rPr>
          <w:rStyle w:val="TextoNormalCaracter"/>
        </w:rPr>
        <w:t>-</w:t>
      </w:r>
      <w:r>
        <w:t xml:space="preserve"> Sentencia </w:t>
      </w:r>
      <w:hyperlink w:anchor="SENTENCIA_2021_73" w:history="1">
        <w:r w:rsidRPr="002C5A78">
          <w:rPr>
            <w:rStyle w:val="TextoNormalCaracter"/>
          </w:rPr>
          <w:t>73/2021</w:t>
        </w:r>
      </w:hyperlink>
      <w:r>
        <w:t>, ff. 2 a 5, VP I, VP II.</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Sentencias </w:t>
      </w:r>
      <w:hyperlink w:anchor="SENTENCIA_2021_16" w:history="1">
        <w:r w:rsidRPr="002C5A78">
          <w:rPr>
            <w:rStyle w:val="TextoNormalCaracter"/>
          </w:rPr>
          <w:t>16/2021</w:t>
        </w:r>
      </w:hyperlink>
      <w:r>
        <w:t xml:space="preserve">, f. 9; </w:t>
      </w:r>
      <w:hyperlink w:anchor="SENTENCIA_2021_91" w:history="1">
        <w:r w:rsidRPr="002C5A78">
          <w:rPr>
            <w:rStyle w:val="TextoNormalCaracter"/>
          </w:rPr>
          <w:t>91/2021</w:t>
        </w:r>
      </w:hyperlink>
      <w:r>
        <w:t xml:space="preserve">, f. 8; </w:t>
      </w:r>
      <w:hyperlink w:anchor="SENTENCIA_2021_93" w:history="1">
        <w:r w:rsidRPr="002C5A78">
          <w:rPr>
            <w:rStyle w:val="TextoNormalCaracter"/>
          </w:rPr>
          <w:t>93/2021</w:t>
        </w:r>
      </w:hyperlink>
      <w:r>
        <w:t xml:space="preserve">, VP; </w:t>
      </w:r>
      <w:hyperlink w:anchor="SENTENCIA_2021_106" w:history="1">
        <w:r w:rsidRPr="002C5A78">
          <w:rPr>
            <w:rStyle w:val="TextoNormalCaracter"/>
          </w:rPr>
          <w:t>106/2021</w:t>
        </w:r>
      </w:hyperlink>
      <w:r>
        <w:t xml:space="preserve">, f. 8; </w:t>
      </w:r>
      <w:hyperlink w:anchor="SENTENCIA_2021_121" w:history="1">
        <w:r w:rsidRPr="002C5A78">
          <w:rPr>
            <w:rStyle w:val="TextoNormalCaracter"/>
          </w:rPr>
          <w:t>121/2021</w:t>
        </w:r>
      </w:hyperlink>
      <w:r>
        <w:t>, f. 9.</w:t>
      </w:r>
    </w:p>
    <w:p w:rsidR="002C5A78" w:rsidRDefault="002C5A78" w:rsidP="002C5A78">
      <w:pPr>
        <w:pStyle w:val="SangriaFrancesaArticulo"/>
      </w:pPr>
      <w:r w:rsidRPr="002C5A78">
        <w:rPr>
          <w:rStyle w:val="TextoNormalNegritaCaracter"/>
        </w:rPr>
        <w:t>Artículo 18.1.</w:t>
      </w:r>
      <w:r w:rsidRPr="002C5A78">
        <w:rPr>
          <w:rStyle w:val="TextoNormalCaracter"/>
        </w:rPr>
        <w:t>-</w:t>
      </w:r>
      <w:r>
        <w:t xml:space="preserve"> Sentencias </w:t>
      </w:r>
      <w:hyperlink w:anchor="SENTENCIA_2021_13" w:history="1">
        <w:r w:rsidRPr="002C5A78">
          <w:rPr>
            <w:rStyle w:val="TextoNormalCaracter"/>
          </w:rPr>
          <w:t>13/2021</w:t>
        </w:r>
      </w:hyperlink>
      <w:r>
        <w:t xml:space="preserve">, f. 3, VP II; </w:t>
      </w:r>
      <w:hyperlink w:anchor="SENTENCIA_2021_16" w:history="1">
        <w:r w:rsidRPr="002C5A78">
          <w:rPr>
            <w:rStyle w:val="TextoNormalCaracter"/>
          </w:rPr>
          <w:t>16/2021</w:t>
        </w:r>
      </w:hyperlink>
      <w:r>
        <w:t xml:space="preserve">, f. 9; </w:t>
      </w:r>
      <w:hyperlink w:anchor="SENTENCIA_2021_61" w:history="1">
        <w:r w:rsidRPr="002C5A78">
          <w:rPr>
            <w:rStyle w:val="TextoNormalCaracter"/>
          </w:rPr>
          <w:t>61/2021</w:t>
        </w:r>
      </w:hyperlink>
      <w:r>
        <w:t xml:space="preserve">, ff. 1 a 5, 6, VP I; </w:t>
      </w:r>
      <w:hyperlink w:anchor="SENTENCIA_2021_81" w:history="1">
        <w:r w:rsidRPr="002C5A78">
          <w:rPr>
            <w:rStyle w:val="TextoNormalCaracter"/>
          </w:rPr>
          <w:t>81/2021</w:t>
        </w:r>
      </w:hyperlink>
      <w:r>
        <w:t xml:space="preserve">, f. 1; </w:t>
      </w:r>
      <w:hyperlink w:anchor="SENTENCIA_2021_88" w:history="1">
        <w:r w:rsidRPr="002C5A78">
          <w:rPr>
            <w:rStyle w:val="TextoNormalCaracter"/>
          </w:rPr>
          <w:t>88/2021</w:t>
        </w:r>
      </w:hyperlink>
      <w:r>
        <w:t xml:space="preserve">, f. 2; </w:t>
      </w:r>
      <w:hyperlink w:anchor="SENTENCIA_2021_91" w:history="1">
        <w:r w:rsidRPr="002C5A78">
          <w:rPr>
            <w:rStyle w:val="TextoNormalCaracter"/>
          </w:rPr>
          <w:t>91/2021</w:t>
        </w:r>
      </w:hyperlink>
      <w:r>
        <w:t xml:space="preserve">, f. 8; </w:t>
      </w:r>
      <w:hyperlink w:anchor="SENTENCIA_2021_93" w:history="1">
        <w:r w:rsidRPr="002C5A78">
          <w:rPr>
            <w:rStyle w:val="TextoNormalCaracter"/>
          </w:rPr>
          <w:t>93/2021</w:t>
        </w:r>
      </w:hyperlink>
      <w:r>
        <w:t xml:space="preserve">, ff. 4, 5, 7; </w:t>
      </w:r>
      <w:hyperlink w:anchor="SENTENCIA_2021_99" w:history="1">
        <w:r w:rsidRPr="002C5A78">
          <w:rPr>
            <w:rStyle w:val="TextoNormalCaracter"/>
          </w:rPr>
          <w:t>99/2021</w:t>
        </w:r>
      </w:hyperlink>
      <w:r>
        <w:t xml:space="preserve">, ff. 1 a 3, 6, 7; </w:t>
      </w:r>
      <w:hyperlink w:anchor="SENTENCIA_2021_106" w:history="1">
        <w:r w:rsidRPr="002C5A78">
          <w:rPr>
            <w:rStyle w:val="TextoNormalCaracter"/>
          </w:rPr>
          <w:t>106/2021</w:t>
        </w:r>
      </w:hyperlink>
      <w:r>
        <w:t xml:space="preserve">, ff. 8, 11; </w:t>
      </w:r>
      <w:hyperlink w:anchor="SENTENCIA_2021_108" w:history="1">
        <w:r w:rsidRPr="002C5A78">
          <w:rPr>
            <w:rStyle w:val="TextoNormalCaracter"/>
          </w:rPr>
          <w:t>108/2021</w:t>
        </w:r>
      </w:hyperlink>
      <w:r>
        <w:t>, f. 1.</w:t>
      </w:r>
    </w:p>
    <w:p w:rsidR="002C5A78" w:rsidRDefault="002C5A78" w:rsidP="002C5A78">
      <w:pPr>
        <w:pStyle w:val="SangriaFrancesaArticulo"/>
      </w:pPr>
      <w:r w:rsidRPr="002C5A78">
        <w:rPr>
          <w:rStyle w:val="TextoNormalNegritaCaracter"/>
        </w:rPr>
        <w:t>Artículo 18.2.</w:t>
      </w:r>
      <w:r w:rsidRPr="002C5A78">
        <w:rPr>
          <w:rStyle w:val="TextoNormalCaracter"/>
        </w:rPr>
        <w:t>-</w:t>
      </w:r>
      <w:r>
        <w:t xml:space="preserve"> Sentencias </w:t>
      </w:r>
      <w:hyperlink w:anchor="SENTENCIA_2021_16" w:history="1">
        <w:r w:rsidRPr="002C5A78">
          <w:rPr>
            <w:rStyle w:val="TextoNormalCaracter"/>
          </w:rPr>
          <w:t>16/2021</w:t>
        </w:r>
      </w:hyperlink>
      <w:r>
        <w:t xml:space="preserve">, f. 9;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18.3.</w:t>
      </w:r>
      <w:r w:rsidRPr="002C5A78">
        <w:rPr>
          <w:rStyle w:val="TextoNormalCaracter"/>
        </w:rPr>
        <w:t>-</w:t>
      </w:r>
      <w:r>
        <w:t xml:space="preserve"> Sentencias </w:t>
      </w:r>
      <w:hyperlink w:anchor="SENTENCIA_2021_61" w:history="1">
        <w:r w:rsidRPr="002C5A78">
          <w:rPr>
            <w:rStyle w:val="TextoNormalCaracter"/>
          </w:rPr>
          <w:t>61/2021</w:t>
        </w:r>
      </w:hyperlink>
      <w:r>
        <w:t xml:space="preserve">, f. 1; </w:t>
      </w:r>
      <w:hyperlink w:anchor="SENTENCIA_2021_99" w:history="1">
        <w:r w:rsidRPr="002C5A78">
          <w:rPr>
            <w:rStyle w:val="TextoNormalCaracter"/>
          </w:rPr>
          <w:t>99/2021</w:t>
        </w:r>
      </w:hyperlink>
      <w:r>
        <w:t>, ff. 1 a 3, 6 a 8.</w:t>
      </w:r>
    </w:p>
    <w:p w:rsidR="002C5A78" w:rsidRDefault="002C5A78" w:rsidP="002C5A78">
      <w:pPr>
        <w:pStyle w:val="SangriaFrancesaArticulo"/>
      </w:pPr>
      <w:r w:rsidRPr="002C5A78">
        <w:rPr>
          <w:rStyle w:val="TextoNormalNegritaCaracter"/>
        </w:rPr>
        <w:t>Artículo 18.4.</w:t>
      </w:r>
      <w:r w:rsidRPr="002C5A78">
        <w:rPr>
          <w:rStyle w:val="TextoNormalCaracter"/>
        </w:rPr>
        <w:t>-</w:t>
      </w:r>
      <w:r>
        <w:t xml:space="preserve"> Sentencias </w:t>
      </w:r>
      <w:hyperlink w:anchor="SENTENCIA_2021_81" w:history="1">
        <w:r w:rsidRPr="002C5A78">
          <w:rPr>
            <w:rStyle w:val="TextoNormalCaracter"/>
          </w:rPr>
          <w:t>81/2021</w:t>
        </w:r>
      </w:hyperlink>
      <w:r>
        <w:t xml:space="preserve">, f. 1; </w:t>
      </w:r>
      <w:hyperlink w:anchor="SENTENCIA_2021_108" w:history="1">
        <w:r w:rsidRPr="002C5A78">
          <w:rPr>
            <w:rStyle w:val="TextoNormalCaracter"/>
          </w:rPr>
          <w:t>108/2021</w:t>
        </w:r>
      </w:hyperlink>
      <w:r>
        <w:t>, f. 1.</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78" w:history="1">
        <w:r w:rsidRPr="002C5A78">
          <w:rPr>
            <w:rStyle w:val="TextoNormalCaracter"/>
          </w:rPr>
          <w:t>78/2021</w:t>
        </w:r>
      </w:hyperlink>
      <w:r>
        <w:t>, f. 6.</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Sentencias </w:t>
      </w:r>
      <w:hyperlink w:anchor="SENTENCIA_2021_14" w:history="1">
        <w:r w:rsidRPr="002C5A78">
          <w:rPr>
            <w:rStyle w:val="TextoNormalCaracter"/>
          </w:rPr>
          <w:t>14/2021</w:t>
        </w:r>
      </w:hyperlink>
      <w:r>
        <w:t xml:space="preserve">, ff. 4, 5, VP I, VP II; </w:t>
      </w:r>
      <w:hyperlink w:anchor="SENTENCIA_2021_91" w:history="1">
        <w:r w:rsidRPr="002C5A78">
          <w:rPr>
            <w:rStyle w:val="TextoNormalCaracter"/>
          </w:rPr>
          <w:t>91/2021</w:t>
        </w:r>
      </w:hyperlink>
      <w:r>
        <w:t xml:space="preserve">, f. 1, VP; </w:t>
      </w:r>
      <w:hyperlink w:anchor="SENTENCIA_2021_93" w:history="1">
        <w:r w:rsidRPr="002C5A78">
          <w:rPr>
            <w:rStyle w:val="TextoNormalCaracter"/>
          </w:rPr>
          <w:t>93/2021</w:t>
        </w:r>
      </w:hyperlink>
      <w:r>
        <w:t xml:space="preserve">, VP; </w:t>
      </w:r>
      <w:hyperlink w:anchor="SENTENCIA_2021_106" w:history="1">
        <w:r w:rsidRPr="002C5A78">
          <w:rPr>
            <w:rStyle w:val="TextoNormalCaracter"/>
          </w:rPr>
          <w:t>106/2021</w:t>
        </w:r>
      </w:hyperlink>
      <w:r>
        <w:t xml:space="preserve">, f. 1, VP; </w:t>
      </w:r>
      <w:hyperlink w:anchor="SENTENCIA_2021_121" w:history="1">
        <w:r w:rsidRPr="002C5A78">
          <w:rPr>
            <w:rStyle w:val="TextoNormalCaracter"/>
          </w:rPr>
          <w:t>121/2021</w:t>
        </w:r>
      </w:hyperlink>
      <w:r>
        <w:t xml:space="preserve">, f. 1; </w:t>
      </w:r>
      <w:hyperlink w:anchor="SENTENCIA_2021_122" w:history="1">
        <w:r w:rsidRPr="002C5A78">
          <w:rPr>
            <w:rStyle w:val="TextoNormalCaracter"/>
          </w:rPr>
          <w:t>122/2021</w:t>
        </w:r>
      </w:hyperlink>
      <w:r>
        <w:t xml:space="preserve">, ff. 9, 11; </w:t>
      </w:r>
      <w:hyperlink w:anchor="SENTENCIA_2021_133" w:history="1">
        <w:r w:rsidRPr="002C5A78">
          <w:rPr>
            <w:rStyle w:val="TextoNormalCaracter"/>
          </w:rPr>
          <w:t>133/2021</w:t>
        </w:r>
      </w:hyperlink>
      <w:r>
        <w:t xml:space="preserve">, ff. 1, 3, 4, VP III; </w:t>
      </w:r>
      <w:hyperlink w:anchor="SENTENCIA_2021_134" w:history="1">
        <w:r w:rsidRPr="002C5A78">
          <w:rPr>
            <w:rStyle w:val="TextoNormalCaracter"/>
          </w:rPr>
          <w:t>134/2021</w:t>
        </w:r>
      </w:hyperlink>
      <w:r>
        <w:t>, f. 4, VP II.</w:t>
      </w:r>
    </w:p>
    <w:p w:rsidR="002C5A78" w:rsidRDefault="002C5A78" w:rsidP="002C5A78">
      <w:pPr>
        <w:pStyle w:val="SangriaFrancesaArticulo"/>
      </w:pPr>
      <w:r w:rsidRPr="002C5A78">
        <w:rPr>
          <w:rStyle w:val="TextoNormalNegritaCaracter"/>
        </w:rPr>
        <w:t>Artículo 20.1.</w:t>
      </w:r>
      <w:r w:rsidRPr="002C5A78">
        <w:rPr>
          <w:rStyle w:val="TextoNormalCaracter"/>
        </w:rPr>
        <w:t>-</w:t>
      </w:r>
      <w:r>
        <w:t xml:space="preserve"> Sentencias </w:t>
      </w:r>
      <w:hyperlink w:anchor="SENTENCIA_2021_14" w:history="1">
        <w:r w:rsidRPr="002C5A78">
          <w:rPr>
            <w:rStyle w:val="TextoNormalCaracter"/>
          </w:rPr>
          <w:t>14/2021</w:t>
        </w:r>
      </w:hyperlink>
      <w:r>
        <w:t xml:space="preserve">, f. 5;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f. 1.</w:t>
      </w:r>
    </w:p>
    <w:p w:rsidR="002C5A78" w:rsidRDefault="002C5A78" w:rsidP="002C5A78">
      <w:pPr>
        <w:pStyle w:val="SangriaFrancesaArticulo"/>
      </w:pPr>
      <w:r w:rsidRPr="002C5A78">
        <w:rPr>
          <w:rStyle w:val="TextoNormalNegritaCaracter"/>
        </w:rPr>
        <w:t>Artículo 20.1 a).</w:t>
      </w:r>
      <w:r w:rsidRPr="002C5A78">
        <w:rPr>
          <w:rStyle w:val="TextoNormalCaracter"/>
        </w:rPr>
        <w:t>-</w:t>
      </w:r>
      <w:r>
        <w:t xml:space="preserve"> Sentencias </w:t>
      </w:r>
      <w:hyperlink w:anchor="SENTENCIA_2021_5" w:history="1">
        <w:r w:rsidRPr="002C5A78">
          <w:rPr>
            <w:rStyle w:val="TextoNormalCaracter"/>
          </w:rPr>
          <w:t>5/2021</w:t>
        </w:r>
      </w:hyperlink>
      <w:r>
        <w:t xml:space="preserve">, f. 4; </w:t>
      </w:r>
      <w:hyperlink w:anchor="SENTENCIA_2021_14" w:history="1">
        <w:r w:rsidRPr="002C5A78">
          <w:rPr>
            <w:rStyle w:val="TextoNormalCaracter"/>
          </w:rPr>
          <w:t>14/2021</w:t>
        </w:r>
      </w:hyperlink>
      <w:r>
        <w:t xml:space="preserve">, VP II; </w:t>
      </w:r>
      <w:hyperlink w:anchor="SENTENCIA_2021_69" w:history="1">
        <w:r w:rsidRPr="002C5A78">
          <w:rPr>
            <w:rStyle w:val="TextoNormalCaracter"/>
          </w:rPr>
          <w:t>69/2021</w:t>
        </w:r>
      </w:hyperlink>
      <w:r>
        <w:t xml:space="preserve">, f. 1; </w:t>
      </w:r>
      <w:hyperlink w:anchor="SENTENCIA_2021_90" w:history="1">
        <w:r w:rsidRPr="002C5A78">
          <w:rPr>
            <w:rStyle w:val="TextoNormalCaracter"/>
          </w:rPr>
          <w:t>90/2021</w:t>
        </w:r>
      </w:hyperlink>
      <w:r>
        <w:t xml:space="preserve">, f. 1; </w:t>
      </w:r>
      <w:hyperlink w:anchor="SENTENCIA_2021_91" w:history="1">
        <w:r w:rsidRPr="002C5A78">
          <w:rPr>
            <w:rStyle w:val="TextoNormalCaracter"/>
          </w:rPr>
          <w:t>91/2021</w:t>
        </w:r>
      </w:hyperlink>
      <w:r>
        <w:t xml:space="preserve">, f. 11; </w:t>
      </w:r>
      <w:hyperlink w:anchor="SENTENCIA_2021_93" w:history="1">
        <w:r w:rsidRPr="002C5A78">
          <w:rPr>
            <w:rStyle w:val="TextoNormalCaracter"/>
          </w:rPr>
          <w:t>93/2021</w:t>
        </w:r>
      </w:hyperlink>
      <w:r>
        <w:t xml:space="preserve">, ff. 1, 4, 5, VP; </w:t>
      </w:r>
      <w:hyperlink w:anchor="SENTENCIA_2021_105" w:history="1">
        <w:r w:rsidRPr="002C5A78">
          <w:rPr>
            <w:rStyle w:val="TextoNormalCaracter"/>
          </w:rPr>
          <w:t>105/2021</w:t>
        </w:r>
      </w:hyperlink>
      <w:r>
        <w:t xml:space="preserve">, f. 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9; </w:t>
      </w:r>
      <w:hyperlink w:anchor="SENTENCIA_2021_133" w:history="1">
        <w:r w:rsidRPr="002C5A78">
          <w:rPr>
            <w:rStyle w:val="TextoNormalCaracter"/>
          </w:rPr>
          <w:t>133/2021</w:t>
        </w:r>
      </w:hyperlink>
      <w:r>
        <w:t>, ff. 4, 8.</w:t>
      </w:r>
    </w:p>
    <w:p w:rsidR="002C5A78" w:rsidRDefault="002C5A78" w:rsidP="002C5A78">
      <w:pPr>
        <w:pStyle w:val="SangriaFrancesaArticulo"/>
      </w:pPr>
      <w:r w:rsidRPr="002C5A78">
        <w:rPr>
          <w:rStyle w:val="TextoNormalNegritaCaracter"/>
        </w:rPr>
        <w:t>Artículo 20.1 d).</w:t>
      </w:r>
      <w:r w:rsidRPr="002C5A78">
        <w:rPr>
          <w:rStyle w:val="TextoNormalCaracter"/>
        </w:rPr>
        <w:t>-</w:t>
      </w:r>
      <w:r>
        <w:t xml:space="preserve"> Sentencias </w:t>
      </w:r>
      <w:hyperlink w:anchor="SENTENCIA_2021_5" w:history="1">
        <w:r w:rsidRPr="002C5A78">
          <w:rPr>
            <w:rStyle w:val="TextoNormalCaracter"/>
          </w:rPr>
          <w:t>5/2021</w:t>
        </w:r>
      </w:hyperlink>
      <w:r>
        <w:t xml:space="preserve">, f. 4; </w:t>
      </w:r>
      <w:hyperlink w:anchor="SENTENCIA_2021_14" w:history="1">
        <w:r w:rsidRPr="002C5A78">
          <w:rPr>
            <w:rStyle w:val="TextoNormalCaracter"/>
          </w:rPr>
          <w:t>14/2021</w:t>
        </w:r>
      </w:hyperlink>
      <w:r>
        <w:t xml:space="preserve">, ff. 1, 5, VP II;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Artículo 20.2.</w:t>
      </w:r>
      <w:r w:rsidRPr="002C5A78">
        <w:rPr>
          <w:rStyle w:val="TextoNormalCaracter"/>
        </w:rPr>
        <w:t>-</w:t>
      </w:r>
      <w:r>
        <w:t xml:space="preserve"> Sentencias </w:t>
      </w:r>
      <w:hyperlink w:anchor="SENTENCIA_2021_14" w:history="1">
        <w:r w:rsidRPr="002C5A78">
          <w:rPr>
            <w:rStyle w:val="TextoNormalCaracter"/>
          </w:rPr>
          <w:t>14/2021</w:t>
        </w:r>
      </w:hyperlink>
      <w:r>
        <w:t xml:space="preserve">, f. 5, VP II; </w:t>
      </w:r>
      <w:hyperlink w:anchor="SENTENCIA_2021_134" w:history="1">
        <w:r w:rsidRPr="002C5A78">
          <w:rPr>
            <w:rStyle w:val="TextoNormalCaracter"/>
          </w:rPr>
          <w:t>134/2021</w:t>
        </w:r>
      </w:hyperlink>
      <w:r>
        <w:t>, f. 4.</w:t>
      </w:r>
    </w:p>
    <w:p w:rsidR="002C5A78" w:rsidRDefault="002C5A78" w:rsidP="002C5A78">
      <w:pPr>
        <w:pStyle w:val="SangriaFrancesaArticulo"/>
      </w:pPr>
      <w:r w:rsidRPr="002C5A78">
        <w:rPr>
          <w:rStyle w:val="TextoNormalNegritaCaracter"/>
        </w:rPr>
        <w:t>Artículo 20.3.</w:t>
      </w:r>
      <w:r w:rsidRPr="002C5A78">
        <w:rPr>
          <w:rStyle w:val="TextoNormalCaracter"/>
        </w:rPr>
        <w:t>-</w:t>
      </w:r>
      <w:r>
        <w:t xml:space="preserve"> Sentencias </w:t>
      </w:r>
      <w:hyperlink w:anchor="SENTENCIA_2021_75" w:history="1">
        <w:r w:rsidRPr="002C5A78">
          <w:rPr>
            <w:rStyle w:val="TextoNormalCaracter"/>
          </w:rPr>
          <w:t>75/2021</w:t>
        </w:r>
      </w:hyperlink>
      <w:r>
        <w:t xml:space="preserve">, f. 2; </w:t>
      </w:r>
      <w:hyperlink w:anchor="SENTENCIA_2021_134" w:history="1">
        <w:r w:rsidRPr="002C5A78">
          <w:rPr>
            <w:rStyle w:val="TextoNormalCaracter"/>
          </w:rPr>
          <w:t>134/2021</w:t>
        </w:r>
      </w:hyperlink>
      <w:r>
        <w:t>, ff. 1, 4, VP I, VP II, VP III.</w:t>
      </w:r>
    </w:p>
    <w:p w:rsidR="002C5A78" w:rsidRDefault="002C5A78" w:rsidP="002C5A78">
      <w:pPr>
        <w:pStyle w:val="SangriaFrancesaArticulo"/>
      </w:pPr>
      <w:r w:rsidRPr="002C5A78">
        <w:rPr>
          <w:rStyle w:val="TextoNormalNegritaCaracter"/>
        </w:rPr>
        <w:t>Artículo 20.4.</w:t>
      </w:r>
      <w:r w:rsidRPr="002C5A78">
        <w:rPr>
          <w:rStyle w:val="TextoNormalCaracter"/>
        </w:rPr>
        <w:t>-</w:t>
      </w:r>
      <w:r>
        <w:t xml:space="preserve"> Sentencias </w:t>
      </w:r>
      <w:hyperlink w:anchor="SENTENCIA_2021_14" w:history="1">
        <w:r w:rsidRPr="002C5A78">
          <w:rPr>
            <w:rStyle w:val="TextoNormalCaracter"/>
          </w:rPr>
          <w:t>14/2021</w:t>
        </w:r>
      </w:hyperlink>
      <w:r>
        <w:t xml:space="preserve">, f. 5, VP II; </w:t>
      </w:r>
      <w:hyperlink w:anchor="SENTENCIA_2021_93" w:history="1">
        <w:r w:rsidRPr="002C5A78">
          <w:rPr>
            <w:rStyle w:val="TextoNormalCaracter"/>
          </w:rPr>
          <w:t>93/2021</w:t>
        </w:r>
      </w:hyperlink>
      <w:r>
        <w:t>, ff. 4, 5, 7.</w:t>
      </w:r>
    </w:p>
    <w:p w:rsidR="002C5A78" w:rsidRDefault="002C5A78" w:rsidP="002C5A78">
      <w:pPr>
        <w:pStyle w:val="SangriaFrancesaArticulo"/>
      </w:pPr>
      <w:r w:rsidRPr="002C5A78">
        <w:rPr>
          <w:rStyle w:val="TextoNormalNegritaCaracter"/>
        </w:rPr>
        <w:t>Artículo 20.5.</w:t>
      </w:r>
      <w:r w:rsidRPr="002C5A78">
        <w:rPr>
          <w:rStyle w:val="TextoNormalCaracter"/>
        </w:rPr>
        <w:t>-</w:t>
      </w:r>
      <w:r>
        <w:t xml:space="preserve"> Sentencia </w:t>
      </w:r>
      <w:hyperlink w:anchor="SENTENCIA_2021_134" w:history="1">
        <w:r w:rsidRPr="002C5A78">
          <w:rPr>
            <w:rStyle w:val="TextoNormalCaracter"/>
          </w:rPr>
          <w:t>134/2021</w:t>
        </w:r>
      </w:hyperlink>
      <w:r>
        <w:t>, f. 4.</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Sentencias </w:t>
      </w:r>
      <w:hyperlink w:anchor="SENTENCIA_2021_13" w:history="1">
        <w:r w:rsidRPr="002C5A78">
          <w:rPr>
            <w:rStyle w:val="TextoNormalCaracter"/>
          </w:rPr>
          <w:t>13/2021</w:t>
        </w:r>
      </w:hyperlink>
      <w:r>
        <w:t xml:space="preserve">, f. 6; </w:t>
      </w:r>
      <w:hyperlink w:anchor="SENTENCIA_2021_91" w:history="1">
        <w:r w:rsidRPr="002C5A78">
          <w:rPr>
            <w:rStyle w:val="TextoNormalCaracter"/>
          </w:rPr>
          <w:t>91/2021</w:t>
        </w:r>
      </w:hyperlink>
      <w:r>
        <w:t xml:space="preserve">, ff. 1, 11, VP; </w:t>
      </w:r>
      <w:hyperlink w:anchor="SENTENCIA_2021_106" w:history="1">
        <w:r w:rsidRPr="002C5A78">
          <w:rPr>
            <w:rStyle w:val="TextoNormalCaracter"/>
          </w:rPr>
          <w:t>106/2021</w:t>
        </w:r>
      </w:hyperlink>
      <w:r>
        <w:t xml:space="preserve">, ff. 1, 11, VP; </w:t>
      </w:r>
      <w:hyperlink w:anchor="SENTENCIA_2021_121" w:history="1">
        <w:r w:rsidRPr="002C5A78">
          <w:rPr>
            <w:rStyle w:val="TextoNormalCaracter"/>
          </w:rPr>
          <w:t>121/2021</w:t>
        </w:r>
      </w:hyperlink>
      <w:r>
        <w:t xml:space="preserve">, ff. 1, 12, VP; </w:t>
      </w:r>
      <w:hyperlink w:anchor="SENTENCIA_2021_122" w:history="1">
        <w:r w:rsidRPr="002C5A78">
          <w:rPr>
            <w:rStyle w:val="TextoNormalCaracter"/>
          </w:rPr>
          <w:t>122/2021</w:t>
        </w:r>
      </w:hyperlink>
      <w:r>
        <w:t xml:space="preserve">, ff. 1, 9 a 11, VP; </w:t>
      </w:r>
      <w:hyperlink w:anchor="SENTENCIA_2021_133" w:history="1">
        <w:r w:rsidRPr="002C5A78">
          <w:rPr>
            <w:rStyle w:val="TextoNormalCaracter"/>
          </w:rPr>
          <w:t>133/2021</w:t>
        </w:r>
      </w:hyperlink>
      <w:r>
        <w:t>, ff. 1, 3, 4, 8, VP II, VP III.</w:t>
      </w:r>
    </w:p>
    <w:p w:rsidR="002C5A78" w:rsidRDefault="002C5A78" w:rsidP="002C5A78">
      <w:pPr>
        <w:pStyle w:val="SangriaFrancesaArticulo"/>
      </w:pPr>
      <w:r w:rsidRPr="002C5A78">
        <w:rPr>
          <w:rStyle w:val="TextoNormalNegritaCaracter"/>
        </w:rPr>
        <w:t>Artículo 21.1.</w:t>
      </w:r>
      <w:r w:rsidRPr="002C5A78">
        <w:rPr>
          <w:rStyle w:val="TextoNormalCaracter"/>
        </w:rPr>
        <w:t>-</w:t>
      </w:r>
      <w:r>
        <w:t xml:space="preserve"> Sentencia </w:t>
      </w:r>
      <w:hyperlink w:anchor="SENTENCIA_2021_122" w:history="1">
        <w:r w:rsidRPr="002C5A78">
          <w:rPr>
            <w:rStyle w:val="TextoNormalCaracter"/>
          </w:rPr>
          <w:t>122/2021</w:t>
        </w:r>
      </w:hyperlink>
      <w:r>
        <w:t>, f. 9.</w:t>
      </w:r>
    </w:p>
    <w:p w:rsidR="002C5A78" w:rsidRDefault="002C5A78" w:rsidP="002C5A78">
      <w:pPr>
        <w:pStyle w:val="SangriaFrancesaArticulo"/>
      </w:pPr>
      <w:r w:rsidRPr="002C5A78">
        <w:rPr>
          <w:rStyle w:val="TextoNormalNegritaCaracter"/>
        </w:rPr>
        <w:t>Artículo 21.2.</w:t>
      </w:r>
      <w:r w:rsidRPr="002C5A78">
        <w:rPr>
          <w:rStyle w:val="TextoNormalCaracter"/>
        </w:rPr>
        <w:t>-</w:t>
      </w:r>
      <w:r>
        <w:t xml:space="preserve"> Sentencia </w:t>
      </w:r>
      <w:hyperlink w:anchor="SENTENCIA_2021_122" w:history="1">
        <w:r w:rsidRPr="002C5A78">
          <w:rPr>
            <w:rStyle w:val="TextoNormalCaracter"/>
          </w:rPr>
          <w:t>122/2021</w:t>
        </w:r>
      </w:hyperlink>
      <w:r>
        <w:t>, f. 9.</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Sentencias </w:t>
      </w:r>
      <w:hyperlink w:anchor="SENTENCIA_2021_14" w:history="1">
        <w:r w:rsidRPr="002C5A78">
          <w:rPr>
            <w:rStyle w:val="TextoNormalCaracter"/>
          </w:rPr>
          <w:t>14/2021</w:t>
        </w:r>
      </w:hyperlink>
      <w:r>
        <w:t xml:space="preserve">, VP II; </w:t>
      </w:r>
      <w:hyperlink w:anchor="SENTENCIA_2021_16" w:history="1">
        <w:r w:rsidRPr="002C5A78">
          <w:rPr>
            <w:rStyle w:val="TextoNormalCaracter"/>
          </w:rPr>
          <w:t>16/2021</w:t>
        </w:r>
      </w:hyperlink>
      <w:r>
        <w:t xml:space="preserve">, f. 9; </w:t>
      </w:r>
      <w:hyperlink w:anchor="SENTENCIA_2021_38" w:history="1">
        <w:r w:rsidRPr="002C5A78">
          <w:rPr>
            <w:rStyle w:val="TextoNormalCaracter"/>
          </w:rPr>
          <w:t>38/2021</w:t>
        </w:r>
      </w:hyperlink>
      <w:r>
        <w:t xml:space="preserve">, f. 4; </w:t>
      </w:r>
      <w:hyperlink w:anchor="SENTENCIA_2021_53" w:history="1">
        <w:r w:rsidRPr="002C5A78">
          <w:rPr>
            <w:rStyle w:val="TextoNormalCaracter"/>
          </w:rPr>
          <w:t>53/2021</w:t>
        </w:r>
      </w:hyperlink>
      <w:r>
        <w:t xml:space="preserve">, ff. 5, 6; </w:t>
      </w:r>
      <w:hyperlink w:anchor="SENTENCIA_2021_69" w:history="1">
        <w:r w:rsidRPr="002C5A78">
          <w:rPr>
            <w:rStyle w:val="TextoNormalCaracter"/>
          </w:rPr>
          <w:t>69/2021</w:t>
        </w:r>
      </w:hyperlink>
      <w:r>
        <w:t xml:space="preserve">, ff. 3, 5; </w:t>
      </w:r>
      <w:hyperlink w:anchor="SENTENCIA_2021_70" w:history="1">
        <w:r w:rsidRPr="002C5A78">
          <w:rPr>
            <w:rStyle w:val="TextoNormalCaracter"/>
          </w:rPr>
          <w:t>70/2021</w:t>
        </w:r>
      </w:hyperlink>
      <w:r>
        <w:t xml:space="preserve">, ff. 1, 2; </w:t>
      </w:r>
      <w:hyperlink w:anchor="SENTENCIA_2021_71" w:history="1">
        <w:r w:rsidRPr="002C5A78">
          <w:rPr>
            <w:rStyle w:val="TextoNormalCaracter"/>
          </w:rPr>
          <w:t>71/2021</w:t>
        </w:r>
      </w:hyperlink>
      <w:r>
        <w:t xml:space="preserve">, ff. 1, 2; </w:t>
      </w:r>
      <w:hyperlink w:anchor="SENTENCIA_2021_75" w:history="1">
        <w:r w:rsidRPr="002C5A78">
          <w:rPr>
            <w:rStyle w:val="TextoNormalCaracter"/>
          </w:rPr>
          <w:t>75/2021</w:t>
        </w:r>
      </w:hyperlink>
      <w:r>
        <w:t xml:space="preserve">, ff. 1, 3, VP II; </w:t>
      </w:r>
      <w:hyperlink w:anchor="SENTENCIA_2021_76" w:history="1">
        <w:r w:rsidRPr="002C5A78">
          <w:rPr>
            <w:rStyle w:val="TextoNormalCaracter"/>
          </w:rPr>
          <w:t>76/2021</w:t>
        </w:r>
      </w:hyperlink>
      <w:r>
        <w:t xml:space="preserve">, ff. 4, 5, VP II, VP III; </w:t>
      </w:r>
      <w:hyperlink w:anchor="SENTENCIA_2021_90" w:history="1">
        <w:r w:rsidRPr="002C5A78">
          <w:rPr>
            <w:rStyle w:val="TextoNormalCaracter"/>
          </w:rPr>
          <w:t>90/2021</w:t>
        </w:r>
      </w:hyperlink>
      <w:r>
        <w:t xml:space="preserve">, f. 4; </w:t>
      </w:r>
      <w:hyperlink w:anchor="SENTENCIA_2021_91" w:history="1">
        <w:r w:rsidRPr="002C5A78">
          <w:rPr>
            <w:rStyle w:val="TextoNormalCaracter"/>
          </w:rPr>
          <w:t>91/2021</w:t>
        </w:r>
      </w:hyperlink>
      <w:r>
        <w:t xml:space="preserve">, VP; </w:t>
      </w:r>
      <w:hyperlink w:anchor="SENTENCIA_2021_105" w:history="1">
        <w:r w:rsidRPr="002C5A78">
          <w:rPr>
            <w:rStyle w:val="TextoNormalCaracter"/>
          </w:rPr>
          <w:t>105/2021</w:t>
        </w:r>
      </w:hyperlink>
      <w:r>
        <w:t xml:space="preserve">, f. 4; </w:t>
      </w:r>
      <w:hyperlink w:anchor="SENTENCIA_2021_106" w:history="1">
        <w:r w:rsidRPr="002C5A78">
          <w:rPr>
            <w:rStyle w:val="TextoNormalCaracter"/>
          </w:rPr>
          <w:t>106/2021</w:t>
        </w:r>
      </w:hyperlink>
      <w:r>
        <w:t xml:space="preserve">, VP; </w:t>
      </w:r>
      <w:hyperlink w:anchor="SENTENCIA_2021_133" w:history="1">
        <w:r w:rsidRPr="002C5A78">
          <w:rPr>
            <w:rStyle w:val="TextoNormalCaracter"/>
          </w:rPr>
          <w:t>133/2021</w:t>
        </w:r>
      </w:hyperlink>
      <w:r>
        <w:t xml:space="preserve">, ff. 1, 3 a 6, 8; </w:t>
      </w:r>
      <w:hyperlink w:anchor="SENTENCIA_2021_137" w:history="1">
        <w:r w:rsidRPr="002C5A78">
          <w:rPr>
            <w:rStyle w:val="TextoNormalCaracter"/>
          </w:rPr>
          <w:t>137/2021</w:t>
        </w:r>
      </w:hyperlink>
      <w:r>
        <w:t>, ff. 1, 4.</w:t>
      </w:r>
    </w:p>
    <w:p w:rsidR="002C5A78" w:rsidRDefault="002C5A78" w:rsidP="002C5A78">
      <w:pPr>
        <w:pStyle w:val="SangriaIzquierdaArticulo"/>
      </w:pPr>
      <w:r>
        <w:t xml:space="preserve">Autos </w:t>
      </w:r>
      <w:hyperlink w:anchor="AUTO_2021_4" w:history="1">
        <w:r w:rsidRPr="002C5A78">
          <w:rPr>
            <w:rStyle w:val="TextoNormalCaracter"/>
          </w:rPr>
          <w:t>4/2021</w:t>
        </w:r>
      </w:hyperlink>
      <w:r>
        <w:t xml:space="preserve">, ff. 2, 5; </w:t>
      </w:r>
      <w:hyperlink w:anchor="AUTO_2021_5" w:history="1">
        <w:r w:rsidRPr="002C5A78">
          <w:rPr>
            <w:rStyle w:val="TextoNormalCaracter"/>
          </w:rPr>
          <w:t>5/2021</w:t>
        </w:r>
      </w:hyperlink>
      <w:r>
        <w:t xml:space="preserve">, f. único; </w:t>
      </w:r>
      <w:hyperlink w:anchor="AUTO_2021_42" w:history="1">
        <w:r w:rsidRPr="002C5A78">
          <w:rPr>
            <w:rStyle w:val="TextoNormalCaracter"/>
          </w:rPr>
          <w:t>42/2021</w:t>
        </w:r>
      </w:hyperlink>
      <w:r>
        <w:t>, f. 2.</w:t>
      </w:r>
    </w:p>
    <w:p w:rsidR="002C5A78" w:rsidRDefault="002C5A78" w:rsidP="002C5A78">
      <w:pPr>
        <w:pStyle w:val="SangriaFrancesaArticulo"/>
      </w:pPr>
      <w:r w:rsidRPr="002C5A78">
        <w:rPr>
          <w:rStyle w:val="TextoNormalNegritaCaracter"/>
        </w:rPr>
        <w:t>Artículo 23.1.</w:t>
      </w:r>
      <w:r w:rsidRPr="002C5A78">
        <w:rPr>
          <w:rStyle w:val="TextoNormalCaracter"/>
        </w:rPr>
        <w:t>-</w:t>
      </w:r>
      <w:r>
        <w:t xml:space="preserve"> Sentencias </w:t>
      </w:r>
      <w:hyperlink w:anchor="SENTENCIA_2021_14" w:history="1">
        <w:r w:rsidRPr="002C5A78">
          <w:rPr>
            <w:rStyle w:val="TextoNormalCaracter"/>
          </w:rPr>
          <w:t>14/2021</w:t>
        </w:r>
      </w:hyperlink>
      <w:r>
        <w:t xml:space="preserve">, VP II; </w:t>
      </w:r>
      <w:hyperlink w:anchor="SENTENCIA_2021_53" w:history="1">
        <w:r w:rsidRPr="002C5A78">
          <w:rPr>
            <w:rStyle w:val="TextoNormalCaracter"/>
          </w:rPr>
          <w:t>53/2021</w:t>
        </w:r>
      </w:hyperlink>
      <w:r>
        <w:t xml:space="preserve">, ff. 1, 3, 6; </w:t>
      </w:r>
      <w:hyperlink w:anchor="SENTENCIA_2021_66" w:history="1">
        <w:r w:rsidRPr="002C5A78">
          <w:rPr>
            <w:rStyle w:val="TextoNormalCaracter"/>
          </w:rPr>
          <w:t>66/2021</w:t>
        </w:r>
      </w:hyperlink>
      <w:r>
        <w:t xml:space="preserve">, f. 3; </w:t>
      </w:r>
      <w:hyperlink w:anchor="SENTENCIA_2021_69" w:history="1">
        <w:r w:rsidRPr="002C5A78">
          <w:rPr>
            <w:rStyle w:val="TextoNormalCaracter"/>
          </w:rPr>
          <w:t>69/2021</w:t>
        </w:r>
      </w:hyperlink>
      <w:r>
        <w:t xml:space="preserve">, ff. 1, 3, 4; </w:t>
      </w:r>
      <w:hyperlink w:anchor="SENTENCIA_2021_70" w:history="1">
        <w:r w:rsidRPr="002C5A78">
          <w:rPr>
            <w:rStyle w:val="TextoNormalCaracter"/>
          </w:rPr>
          <w:t>70/2021</w:t>
        </w:r>
      </w:hyperlink>
      <w:r>
        <w:t xml:space="preserve">, ff. 3, 6; </w:t>
      </w:r>
      <w:hyperlink w:anchor="SENTENCIA_2021_71" w:history="1">
        <w:r w:rsidRPr="002C5A78">
          <w:rPr>
            <w:rStyle w:val="TextoNormalCaracter"/>
          </w:rPr>
          <w:t>71/2021</w:t>
        </w:r>
      </w:hyperlink>
      <w:r>
        <w:t xml:space="preserve">, ff. 3, 6; </w:t>
      </w:r>
      <w:hyperlink w:anchor="SENTENCIA_2021_75" w:history="1">
        <w:r w:rsidRPr="002C5A78">
          <w:rPr>
            <w:rStyle w:val="TextoNormalCaracter"/>
          </w:rPr>
          <w:t>75/2021</w:t>
        </w:r>
      </w:hyperlink>
      <w:r>
        <w:t xml:space="preserve">, f. 3; </w:t>
      </w:r>
      <w:hyperlink w:anchor="SENTENCIA_2021_76" w:history="1">
        <w:r w:rsidRPr="002C5A78">
          <w:rPr>
            <w:rStyle w:val="TextoNormalCaracter"/>
          </w:rPr>
          <w:t>76/2021</w:t>
        </w:r>
      </w:hyperlink>
      <w:r>
        <w:t xml:space="preserve">, ff. 3, 4; </w:t>
      </w:r>
      <w:hyperlink w:anchor="SENTENCIA_2021_90" w:history="1">
        <w:r w:rsidRPr="002C5A78">
          <w:rPr>
            <w:rStyle w:val="TextoNormalCaracter"/>
          </w:rPr>
          <w:t>90/2021</w:t>
        </w:r>
      </w:hyperlink>
      <w:r>
        <w:t xml:space="preserve">, f. 1; </w:t>
      </w:r>
      <w:hyperlink w:anchor="SENTENCIA_2021_105" w:history="1">
        <w:r w:rsidRPr="002C5A78">
          <w:rPr>
            <w:rStyle w:val="TextoNormalCaracter"/>
          </w:rPr>
          <w:t>105/2021</w:t>
        </w:r>
      </w:hyperlink>
      <w:r>
        <w:t xml:space="preserve">, f. 1; </w:t>
      </w:r>
      <w:hyperlink w:anchor="SENTENCIA_2021_133" w:history="1">
        <w:r w:rsidRPr="002C5A78">
          <w:rPr>
            <w:rStyle w:val="TextoNormalCaracter"/>
          </w:rPr>
          <w:t>133/2021</w:t>
        </w:r>
      </w:hyperlink>
      <w:r>
        <w:t xml:space="preserve">, ff. 1 a 4; </w:t>
      </w:r>
      <w:hyperlink w:anchor="SENTENCIA_2021_137" w:history="1">
        <w:r w:rsidRPr="002C5A78">
          <w:rPr>
            <w:rStyle w:val="TextoNormalCaracter"/>
          </w:rPr>
          <w:t>137/2021</w:t>
        </w:r>
      </w:hyperlink>
      <w:r>
        <w:t>, ff. 1, 3.</w:t>
      </w:r>
    </w:p>
    <w:p w:rsidR="002C5A78" w:rsidRDefault="002C5A78" w:rsidP="002C5A78">
      <w:pPr>
        <w:pStyle w:val="SangriaIzquierdaArticulo"/>
      </w:pPr>
      <w:r>
        <w:t xml:space="preserve">Autos </w:t>
      </w:r>
      <w:hyperlink w:anchor="AUTO_2021_58" w:history="1">
        <w:r w:rsidRPr="002C5A78">
          <w:rPr>
            <w:rStyle w:val="TextoNormalCaracter"/>
          </w:rPr>
          <w:t>58/2021</w:t>
        </w:r>
      </w:hyperlink>
      <w:r>
        <w:t xml:space="preserve">, f. 2; </w:t>
      </w:r>
      <w:hyperlink w:anchor="AUTO_2021_59" w:history="1">
        <w:r w:rsidRPr="002C5A78">
          <w:rPr>
            <w:rStyle w:val="TextoNormalCaracter"/>
          </w:rPr>
          <w:t>59/2021</w:t>
        </w:r>
      </w:hyperlink>
      <w:r>
        <w:t>, f. 2.</w:t>
      </w:r>
    </w:p>
    <w:p w:rsidR="002C5A78" w:rsidRDefault="002C5A78" w:rsidP="002C5A78">
      <w:pPr>
        <w:pStyle w:val="SangriaFrancesaArticulo"/>
      </w:pPr>
      <w:r w:rsidRPr="002C5A78">
        <w:rPr>
          <w:rStyle w:val="TextoNormalNegritaCaracter"/>
        </w:rPr>
        <w:t>Artículo 23.2.</w:t>
      </w:r>
      <w:r w:rsidRPr="002C5A78">
        <w:rPr>
          <w:rStyle w:val="TextoNormalCaracter"/>
        </w:rPr>
        <w:t>-</w:t>
      </w:r>
      <w:r>
        <w:t xml:space="preserve"> Sentencias </w:t>
      </w:r>
      <w:hyperlink w:anchor="SENTENCIA_2021_14" w:history="1">
        <w:r w:rsidRPr="002C5A78">
          <w:rPr>
            <w:rStyle w:val="TextoNormalCaracter"/>
          </w:rPr>
          <w:t>14/2021</w:t>
        </w:r>
      </w:hyperlink>
      <w:r>
        <w:t xml:space="preserve">, f. 5, VP II; </w:t>
      </w:r>
      <w:hyperlink w:anchor="SENTENCIA_2021_53" w:history="1">
        <w:r w:rsidRPr="002C5A78">
          <w:rPr>
            <w:rStyle w:val="TextoNormalCaracter"/>
          </w:rPr>
          <w:t>53/2021</w:t>
        </w:r>
      </w:hyperlink>
      <w:r>
        <w:t xml:space="preserve">, ff. 1, 3, 4, 6; </w:t>
      </w:r>
      <w:hyperlink w:anchor="SENTENCIA_2021_61" w:history="1">
        <w:r w:rsidRPr="002C5A78">
          <w:rPr>
            <w:rStyle w:val="TextoNormalCaracter"/>
          </w:rPr>
          <w:t>61/2021</w:t>
        </w:r>
      </w:hyperlink>
      <w:r>
        <w:t xml:space="preserve">, f. 5; </w:t>
      </w:r>
      <w:hyperlink w:anchor="SENTENCIA_2021_66" w:history="1">
        <w:r w:rsidRPr="002C5A78">
          <w:rPr>
            <w:rStyle w:val="TextoNormalCaracter"/>
          </w:rPr>
          <w:t>66/2021</w:t>
        </w:r>
      </w:hyperlink>
      <w:r>
        <w:t xml:space="preserve">, ff. 1, 3, 4; </w:t>
      </w:r>
      <w:hyperlink w:anchor="SENTENCIA_2021_68" w:history="1">
        <w:r w:rsidRPr="002C5A78">
          <w:rPr>
            <w:rStyle w:val="TextoNormalCaracter"/>
          </w:rPr>
          <w:t>68/2021</w:t>
        </w:r>
      </w:hyperlink>
      <w:r>
        <w:t xml:space="preserve">, f. 7; </w:t>
      </w:r>
      <w:hyperlink w:anchor="SENTENCIA_2021_69" w:history="1">
        <w:r w:rsidRPr="002C5A78">
          <w:rPr>
            <w:rStyle w:val="TextoNormalCaracter"/>
          </w:rPr>
          <w:t>69/2021</w:t>
        </w:r>
      </w:hyperlink>
      <w:r>
        <w:t xml:space="preserve">, ff. 1, 2, 4, 5; </w:t>
      </w:r>
      <w:hyperlink w:anchor="SENTENCIA_2021_70" w:history="1">
        <w:r w:rsidRPr="002C5A78">
          <w:rPr>
            <w:rStyle w:val="TextoNormalCaracter"/>
          </w:rPr>
          <w:t>70/2021</w:t>
        </w:r>
      </w:hyperlink>
      <w:r>
        <w:t xml:space="preserve">, ff. 1 a 3, 5, 6; </w:t>
      </w:r>
      <w:hyperlink w:anchor="SENTENCIA_2021_71" w:history="1">
        <w:r w:rsidRPr="002C5A78">
          <w:rPr>
            <w:rStyle w:val="TextoNormalCaracter"/>
          </w:rPr>
          <w:t>71/2021</w:t>
        </w:r>
      </w:hyperlink>
      <w:r>
        <w:t xml:space="preserve">, ff. 1 a 3, 5, 6; </w:t>
      </w:r>
      <w:hyperlink w:anchor="SENTENCIA_2021_75" w:history="1">
        <w:r w:rsidRPr="002C5A78">
          <w:rPr>
            <w:rStyle w:val="TextoNormalCaracter"/>
          </w:rPr>
          <w:t>75/2021</w:t>
        </w:r>
      </w:hyperlink>
      <w:r>
        <w:t xml:space="preserve">, f. 3; </w:t>
      </w:r>
      <w:hyperlink w:anchor="SENTENCIA_2021_76" w:history="1">
        <w:r w:rsidRPr="002C5A78">
          <w:rPr>
            <w:rStyle w:val="TextoNormalCaracter"/>
          </w:rPr>
          <w:t>76/2021</w:t>
        </w:r>
      </w:hyperlink>
      <w:r>
        <w:t xml:space="preserve">, ff. 1, 3 a 5, VP I, VP II, VP III; </w:t>
      </w:r>
      <w:hyperlink w:anchor="SENTENCIA_2021_90" w:history="1">
        <w:r w:rsidRPr="002C5A78">
          <w:rPr>
            <w:rStyle w:val="TextoNormalCaracter"/>
          </w:rPr>
          <w:t>90/2021</w:t>
        </w:r>
      </w:hyperlink>
      <w:r>
        <w:t xml:space="preserve">, ff. 1, 4; </w:t>
      </w:r>
      <w:hyperlink w:anchor="SENTENCIA_2021_105" w:history="1">
        <w:r w:rsidRPr="002C5A78">
          <w:rPr>
            <w:rStyle w:val="TextoNormalCaracter"/>
          </w:rPr>
          <w:t>105/2021</w:t>
        </w:r>
      </w:hyperlink>
      <w:r>
        <w:t xml:space="preserve">, ff. 1, 4; </w:t>
      </w:r>
      <w:hyperlink w:anchor="SENTENCIA_2021_126" w:history="1">
        <w:r w:rsidRPr="002C5A78">
          <w:rPr>
            <w:rStyle w:val="TextoNormalCaracter"/>
          </w:rPr>
          <w:t>126/2021</w:t>
        </w:r>
      </w:hyperlink>
      <w:r>
        <w:t xml:space="preserve">, ff. 1, 2, 6, 7; </w:t>
      </w:r>
      <w:hyperlink w:anchor="SENTENCIA_2021_133" w:history="1">
        <w:r w:rsidRPr="002C5A78">
          <w:rPr>
            <w:rStyle w:val="TextoNormalCaracter"/>
          </w:rPr>
          <w:t>133/2021</w:t>
        </w:r>
      </w:hyperlink>
      <w:r>
        <w:t xml:space="preserve">, f. 4; </w:t>
      </w:r>
      <w:hyperlink w:anchor="SENTENCIA_2021_134" w:history="1">
        <w:r w:rsidRPr="002C5A78">
          <w:rPr>
            <w:rStyle w:val="TextoNormalCaracter"/>
          </w:rPr>
          <w:t>134/2021</w:t>
        </w:r>
      </w:hyperlink>
      <w:r>
        <w:t xml:space="preserve">, ff. 1, 6; </w:t>
      </w:r>
      <w:hyperlink w:anchor="SENTENCIA_2021_137" w:history="1">
        <w:r w:rsidRPr="002C5A78">
          <w:rPr>
            <w:rStyle w:val="TextoNormalCaracter"/>
          </w:rPr>
          <w:t>137/2021</w:t>
        </w:r>
      </w:hyperlink>
      <w:r>
        <w:t>, ff. 1 a 4.</w:t>
      </w:r>
    </w:p>
    <w:p w:rsidR="002C5A78" w:rsidRDefault="002C5A78" w:rsidP="002C5A78">
      <w:pPr>
        <w:pStyle w:val="SangriaIzquierdaArticulo"/>
      </w:pPr>
      <w:r>
        <w:t xml:space="preserve">Auto </w:t>
      </w:r>
      <w:hyperlink w:anchor="AUTO_2021_6" w:history="1">
        <w:r w:rsidRPr="002C5A78">
          <w:rPr>
            <w:rStyle w:val="TextoNormalCaracter"/>
          </w:rPr>
          <w:t>6/2021</w:t>
        </w:r>
      </w:hyperlink>
      <w:r>
        <w:t>, f. único.</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Sentencias </w:t>
      </w:r>
      <w:hyperlink w:anchor="SENTENCIA_2021_2" w:history="1">
        <w:r w:rsidRPr="002C5A78">
          <w:rPr>
            <w:rStyle w:val="TextoNormalCaracter"/>
          </w:rPr>
          <w:t>2/2021</w:t>
        </w:r>
      </w:hyperlink>
      <w:r>
        <w:t xml:space="preserve">, f. 1; </w:t>
      </w:r>
      <w:hyperlink w:anchor="SENTENCIA_2021_9" w:history="1">
        <w:r w:rsidRPr="002C5A78">
          <w:rPr>
            <w:rStyle w:val="TextoNormalCaracter"/>
          </w:rPr>
          <w:t>9/2021</w:t>
        </w:r>
      </w:hyperlink>
      <w:r>
        <w:t xml:space="preserve">, f. único; </w:t>
      </w:r>
      <w:hyperlink w:anchor="SENTENCIA_2021_10" w:history="1">
        <w:r w:rsidRPr="002C5A78">
          <w:rPr>
            <w:rStyle w:val="TextoNormalCaracter"/>
          </w:rPr>
          <w:t>10/2021</w:t>
        </w:r>
      </w:hyperlink>
      <w:r>
        <w:t xml:space="preserve">, f. único; </w:t>
      </w:r>
      <w:hyperlink w:anchor="SENTENCIA_2021_14" w:history="1">
        <w:r w:rsidRPr="002C5A78">
          <w:rPr>
            <w:rStyle w:val="TextoNormalCaracter"/>
          </w:rPr>
          <w:t>14/2021</w:t>
        </w:r>
      </w:hyperlink>
      <w:r>
        <w:t xml:space="preserve">, f. 5, VP II; </w:t>
      </w:r>
      <w:hyperlink w:anchor="SENTENCIA_2021_16" w:history="1">
        <w:r w:rsidRPr="002C5A78">
          <w:rPr>
            <w:rStyle w:val="TextoNormalCaracter"/>
          </w:rPr>
          <w:t>16/2021</w:t>
        </w:r>
      </w:hyperlink>
      <w:r>
        <w:t xml:space="preserve">, f. 6; </w:t>
      </w:r>
      <w:hyperlink w:anchor="SENTENCIA_2021_17" w:history="1">
        <w:r w:rsidRPr="002C5A78">
          <w:rPr>
            <w:rStyle w:val="TextoNormalCaracter"/>
          </w:rPr>
          <w:t>17/2021</w:t>
        </w:r>
      </w:hyperlink>
      <w:r>
        <w:t xml:space="preserve">, f. 2; </w:t>
      </w:r>
      <w:hyperlink w:anchor="SENTENCIA_2021_30" w:history="1">
        <w:r w:rsidRPr="002C5A78">
          <w:rPr>
            <w:rStyle w:val="TextoNormalCaracter"/>
          </w:rPr>
          <w:t>30/2021</w:t>
        </w:r>
      </w:hyperlink>
      <w:r>
        <w:t xml:space="preserve">, f. único; </w:t>
      </w:r>
      <w:hyperlink w:anchor="SENTENCIA_2021_31" w:history="1">
        <w:r w:rsidRPr="002C5A78">
          <w:rPr>
            <w:rStyle w:val="TextoNormalCaracter"/>
          </w:rPr>
          <w:t>31/2021</w:t>
        </w:r>
      </w:hyperlink>
      <w:r>
        <w:t xml:space="preserve">, f. único; </w:t>
      </w:r>
      <w:hyperlink w:anchor="SENTENCIA_2021_35" w:history="1">
        <w:r w:rsidRPr="002C5A78">
          <w:rPr>
            <w:rStyle w:val="TextoNormalCaracter"/>
          </w:rPr>
          <w:t>35/2021</w:t>
        </w:r>
      </w:hyperlink>
      <w:r>
        <w:t xml:space="preserve">, ff. 2, 3; </w:t>
      </w:r>
      <w:hyperlink w:anchor="SENTENCIA_2021_42" w:history="1">
        <w:r w:rsidRPr="002C5A78">
          <w:rPr>
            <w:rStyle w:val="TextoNormalCaracter"/>
          </w:rPr>
          <w:t>42/2021</w:t>
        </w:r>
      </w:hyperlink>
      <w:r>
        <w:t xml:space="preserve">, f. 1; </w:t>
      </w:r>
      <w:hyperlink w:anchor="SENTENCIA_2021_43" w:history="1">
        <w:r w:rsidRPr="002C5A78">
          <w:rPr>
            <w:rStyle w:val="TextoNormalCaracter"/>
          </w:rPr>
          <w:t>43/2021</w:t>
        </w:r>
      </w:hyperlink>
      <w:r>
        <w:t xml:space="preserve">, f. 2; </w:t>
      </w:r>
      <w:hyperlink w:anchor="SENTENCIA_2021_44" w:history="1">
        <w:r w:rsidRPr="002C5A78">
          <w:rPr>
            <w:rStyle w:val="TextoNormalCaracter"/>
          </w:rPr>
          <w:t>44/2021</w:t>
        </w:r>
      </w:hyperlink>
      <w:r>
        <w:t xml:space="preserve">, f. único; </w:t>
      </w:r>
      <w:hyperlink w:anchor="SENTENCIA_2021_46" w:history="1">
        <w:r w:rsidRPr="002C5A78">
          <w:rPr>
            <w:rStyle w:val="TextoNormalCaracter"/>
          </w:rPr>
          <w:t>46/2021</w:t>
        </w:r>
      </w:hyperlink>
      <w:r>
        <w:t xml:space="preserve">, f. único; </w:t>
      </w:r>
      <w:hyperlink w:anchor="SENTENCIA_2021_47" w:history="1">
        <w:r w:rsidRPr="002C5A78">
          <w:rPr>
            <w:rStyle w:val="TextoNormalCaracter"/>
          </w:rPr>
          <w:t>47/2021</w:t>
        </w:r>
      </w:hyperlink>
      <w:r>
        <w:t xml:space="preserve">, f. único; </w:t>
      </w:r>
      <w:hyperlink w:anchor="SENTENCIA_2021_48" w:history="1">
        <w:r w:rsidRPr="002C5A78">
          <w:rPr>
            <w:rStyle w:val="TextoNormalCaracter"/>
          </w:rPr>
          <w:t>48/2021</w:t>
        </w:r>
      </w:hyperlink>
      <w:r>
        <w:t xml:space="preserve">, f. 3; </w:t>
      </w:r>
      <w:hyperlink w:anchor="SENTENCIA_2021_51" w:history="1">
        <w:r w:rsidRPr="002C5A78">
          <w:rPr>
            <w:rStyle w:val="TextoNormalCaracter"/>
          </w:rPr>
          <w:t>51/2021</w:t>
        </w:r>
      </w:hyperlink>
      <w:r>
        <w:t xml:space="preserve">, f. 5; </w:t>
      </w:r>
      <w:hyperlink w:anchor="SENTENCIA_2021_57" w:history="1">
        <w:r w:rsidRPr="002C5A78">
          <w:rPr>
            <w:rStyle w:val="TextoNormalCaracter"/>
          </w:rPr>
          <w:t>57/2021</w:t>
        </w:r>
      </w:hyperlink>
      <w:r>
        <w:t xml:space="preserve">, f. 2; </w:t>
      </w:r>
      <w:hyperlink w:anchor="SENTENCIA_2021_63" w:history="1">
        <w:r w:rsidRPr="002C5A78">
          <w:rPr>
            <w:rStyle w:val="TextoNormalCaracter"/>
          </w:rPr>
          <w:t>63/2021</w:t>
        </w:r>
      </w:hyperlink>
      <w:r>
        <w:t xml:space="preserve">, f. 3; </w:t>
      </w:r>
      <w:hyperlink w:anchor="SENTENCIA_2021_65" w:history="1">
        <w:r w:rsidRPr="002C5A78">
          <w:rPr>
            <w:rStyle w:val="TextoNormalCaracter"/>
          </w:rPr>
          <w:t>65/2021</w:t>
        </w:r>
      </w:hyperlink>
      <w:r>
        <w:t xml:space="preserve">, ff. 4, 5, 6; </w:t>
      </w:r>
      <w:hyperlink w:anchor="SENTENCIA_2021_67" w:history="1">
        <w:r w:rsidRPr="002C5A78">
          <w:rPr>
            <w:rStyle w:val="TextoNormalCaracter"/>
          </w:rPr>
          <w:t>67/2021</w:t>
        </w:r>
      </w:hyperlink>
      <w:r>
        <w:t xml:space="preserve">, f. 1; </w:t>
      </w:r>
      <w:hyperlink w:anchor="SENTENCIA_2021_69" w:history="1">
        <w:r w:rsidRPr="002C5A78">
          <w:rPr>
            <w:rStyle w:val="TextoNormalCaracter"/>
          </w:rPr>
          <w:t>69/2021</w:t>
        </w:r>
      </w:hyperlink>
      <w:r>
        <w:t xml:space="preserve">, f. 5; </w:t>
      </w:r>
      <w:hyperlink w:anchor="SENTENCIA_2021_70" w:history="1">
        <w:r w:rsidRPr="002C5A78">
          <w:rPr>
            <w:rStyle w:val="TextoNormalCaracter"/>
          </w:rPr>
          <w:t>70/2021</w:t>
        </w:r>
      </w:hyperlink>
      <w:r>
        <w:t xml:space="preserve">, f. 2; </w:t>
      </w:r>
      <w:hyperlink w:anchor="SENTENCIA_2021_71" w:history="1">
        <w:r w:rsidRPr="002C5A78">
          <w:rPr>
            <w:rStyle w:val="TextoNormalCaracter"/>
          </w:rPr>
          <w:t>71/2021</w:t>
        </w:r>
      </w:hyperlink>
      <w:r>
        <w:t xml:space="preserve">, f. 2; </w:t>
      </w:r>
      <w:hyperlink w:anchor="SENTENCIA_2021_73" w:history="1">
        <w:r w:rsidRPr="002C5A78">
          <w:rPr>
            <w:rStyle w:val="TextoNormalCaracter"/>
          </w:rPr>
          <w:t>73/2021</w:t>
        </w:r>
      </w:hyperlink>
      <w:r>
        <w:t xml:space="preserve">, f. 2; </w:t>
      </w:r>
      <w:hyperlink w:anchor="SENTENCIA_2021_81" w:history="1">
        <w:r w:rsidRPr="002C5A78">
          <w:rPr>
            <w:rStyle w:val="TextoNormalCaracter"/>
          </w:rPr>
          <w:t>81/2021</w:t>
        </w:r>
      </w:hyperlink>
      <w:r>
        <w:t xml:space="preserve">, f. 4; </w:t>
      </w:r>
      <w:hyperlink w:anchor="SENTENCIA_2021_82" w:history="1">
        <w:r w:rsidRPr="002C5A78">
          <w:rPr>
            <w:rStyle w:val="TextoNormalCaracter"/>
          </w:rPr>
          <w:t>82/2021</w:t>
        </w:r>
      </w:hyperlink>
      <w:r>
        <w:t xml:space="preserve">, f. 2; </w:t>
      </w:r>
      <w:hyperlink w:anchor="SENTENCIA_2021_91" w:history="1">
        <w:r w:rsidRPr="002C5A78">
          <w:rPr>
            <w:rStyle w:val="TextoNormalCaracter"/>
          </w:rPr>
          <w:t>91/2021</w:t>
        </w:r>
      </w:hyperlink>
      <w:r>
        <w:t xml:space="preserve">, ff. 1, 4 a 6; </w:t>
      </w:r>
      <w:hyperlink w:anchor="SENTENCIA_2021_94" w:history="1">
        <w:r w:rsidRPr="002C5A78">
          <w:rPr>
            <w:rStyle w:val="TextoNormalCaracter"/>
          </w:rPr>
          <w:t>94/2021</w:t>
        </w:r>
      </w:hyperlink>
      <w:r>
        <w:t xml:space="preserve">, f. 2; </w:t>
      </w:r>
      <w:hyperlink w:anchor="SENTENCIA_2021_97" w:history="1">
        <w:r w:rsidRPr="002C5A78">
          <w:rPr>
            <w:rStyle w:val="TextoNormalCaracter"/>
          </w:rPr>
          <w:t>97/2021</w:t>
        </w:r>
      </w:hyperlink>
      <w:r>
        <w:t xml:space="preserve">, f. 2; </w:t>
      </w:r>
      <w:hyperlink w:anchor="SENTENCIA_2021_98" w:history="1">
        <w:r w:rsidRPr="002C5A78">
          <w:rPr>
            <w:rStyle w:val="TextoNormalCaracter"/>
          </w:rPr>
          <w:t>98/2021</w:t>
        </w:r>
      </w:hyperlink>
      <w:r>
        <w:t xml:space="preserve">, f. 1; </w:t>
      </w:r>
      <w:hyperlink w:anchor="SENTENCIA_2021_106" w:history="1">
        <w:r w:rsidRPr="002C5A78">
          <w:rPr>
            <w:rStyle w:val="TextoNormalCaracter"/>
          </w:rPr>
          <w:t>106/2021</w:t>
        </w:r>
      </w:hyperlink>
      <w:r>
        <w:t xml:space="preserve">, ff. 1, 4 a 6; </w:t>
      </w:r>
      <w:hyperlink w:anchor="SENTENCIA_2021_108" w:history="1">
        <w:r w:rsidRPr="002C5A78">
          <w:rPr>
            <w:rStyle w:val="TextoNormalCaracter"/>
          </w:rPr>
          <w:t>108/2021</w:t>
        </w:r>
      </w:hyperlink>
      <w:r>
        <w:t xml:space="preserve">, f. 6; </w:t>
      </w:r>
      <w:hyperlink w:anchor="SENTENCIA_2021_117" w:history="1">
        <w:r w:rsidRPr="002C5A78">
          <w:rPr>
            <w:rStyle w:val="TextoNormalCaracter"/>
          </w:rPr>
          <w:t>117/2021</w:t>
        </w:r>
      </w:hyperlink>
      <w:r>
        <w:t xml:space="preserve">, f. 3; </w:t>
      </w:r>
      <w:hyperlink w:anchor="SENTENCIA_2021_119" w:history="1">
        <w:r w:rsidRPr="002C5A78">
          <w:rPr>
            <w:rStyle w:val="TextoNormalCaracter"/>
          </w:rPr>
          <w:t>119/2021</w:t>
        </w:r>
      </w:hyperlink>
      <w:r>
        <w:t xml:space="preserve">, f. 2; </w:t>
      </w:r>
      <w:hyperlink w:anchor="SENTENCIA_2021_120" w:history="1">
        <w:r w:rsidRPr="002C5A78">
          <w:rPr>
            <w:rStyle w:val="TextoNormalCaracter"/>
          </w:rPr>
          <w:t>120/2021</w:t>
        </w:r>
      </w:hyperlink>
      <w:r>
        <w:t xml:space="preserve">, f. 3; </w:t>
      </w:r>
      <w:hyperlink w:anchor="SENTENCIA_2021_121" w:history="1">
        <w:r w:rsidRPr="002C5A78">
          <w:rPr>
            <w:rStyle w:val="TextoNormalCaracter"/>
          </w:rPr>
          <w:t>121/2021</w:t>
        </w:r>
      </w:hyperlink>
      <w:r>
        <w:t xml:space="preserve">, ff. 1, 5 a 7; </w:t>
      </w:r>
      <w:hyperlink w:anchor="SENTENCIA_2021_122" w:history="1">
        <w:r w:rsidRPr="002C5A78">
          <w:rPr>
            <w:rStyle w:val="TextoNormalCaracter"/>
          </w:rPr>
          <w:t>122/2021</w:t>
        </w:r>
      </w:hyperlink>
      <w:r>
        <w:t xml:space="preserve">, ff. 6, 7; </w:t>
      </w:r>
      <w:hyperlink w:anchor="SENTENCIA_2021_129" w:history="1">
        <w:r w:rsidRPr="002C5A78">
          <w:rPr>
            <w:rStyle w:val="TextoNormalCaracter"/>
          </w:rPr>
          <w:t>129/2021</w:t>
        </w:r>
      </w:hyperlink>
      <w:r>
        <w:t xml:space="preserve">, f. único; </w:t>
      </w:r>
      <w:hyperlink w:anchor="SENTENCIA_2021_130" w:history="1">
        <w:r w:rsidRPr="002C5A78">
          <w:rPr>
            <w:rStyle w:val="TextoNormalCaracter"/>
          </w:rPr>
          <w:t>130/2021</w:t>
        </w:r>
      </w:hyperlink>
      <w:r>
        <w:t xml:space="preserve">, f. 2; </w:t>
      </w:r>
      <w:hyperlink w:anchor="SENTENCIA_2021_132" w:history="1">
        <w:r w:rsidRPr="002C5A78">
          <w:rPr>
            <w:rStyle w:val="TextoNormalCaracter"/>
          </w:rPr>
          <w:t>132/2021</w:t>
        </w:r>
      </w:hyperlink>
      <w:r>
        <w:t>, ff. 1, 2, 4.</w:t>
      </w:r>
    </w:p>
    <w:p w:rsidR="002C5A78" w:rsidRDefault="002C5A78" w:rsidP="002C5A78">
      <w:pPr>
        <w:pStyle w:val="SangriaIzquierdaArticulo"/>
      </w:pPr>
      <w:r>
        <w:t xml:space="preserve">Auto </w:t>
      </w:r>
      <w:hyperlink w:anchor="AUTO_2021_28" w:history="1">
        <w:r w:rsidRPr="002C5A78">
          <w:rPr>
            <w:rStyle w:val="TextoNormalCaracter"/>
          </w:rPr>
          <w:t>28/2021</w:t>
        </w:r>
      </w:hyperlink>
      <w:r>
        <w:t>, f. 2.</w:t>
      </w:r>
    </w:p>
    <w:p w:rsidR="002C5A78" w:rsidRDefault="002C5A78" w:rsidP="002C5A78">
      <w:pPr>
        <w:pStyle w:val="SangriaFrancesaArticulo"/>
      </w:pPr>
      <w:r w:rsidRPr="002C5A78">
        <w:rPr>
          <w:rStyle w:val="TextoNormalNegritaCaracter"/>
        </w:rPr>
        <w:t>Artículo 24.1.</w:t>
      </w:r>
      <w:r w:rsidRPr="002C5A78">
        <w:rPr>
          <w:rStyle w:val="TextoNormalCaracter"/>
        </w:rPr>
        <w:t>-</w:t>
      </w:r>
      <w:r>
        <w:t xml:space="preserve"> Sentencias </w:t>
      </w:r>
      <w:hyperlink w:anchor="SENTENCIA_2021_2" w:history="1">
        <w:r w:rsidRPr="002C5A78">
          <w:rPr>
            <w:rStyle w:val="TextoNormalCaracter"/>
          </w:rPr>
          <w:t>2/2021</w:t>
        </w:r>
      </w:hyperlink>
      <w:r>
        <w:t xml:space="preserve">, ff. 3, 4; </w:t>
      </w:r>
      <w:hyperlink w:anchor="SENTENCIA_2021_6" w:history="1">
        <w:r w:rsidRPr="002C5A78">
          <w:rPr>
            <w:rStyle w:val="TextoNormalCaracter"/>
          </w:rPr>
          <w:t>6/2021</w:t>
        </w:r>
      </w:hyperlink>
      <w:r>
        <w:t xml:space="preserve">, ff. 1, 4; </w:t>
      </w:r>
      <w:hyperlink w:anchor="SENTENCIA_2021_7" w:history="1">
        <w:r w:rsidRPr="002C5A78">
          <w:rPr>
            <w:rStyle w:val="TextoNormalCaracter"/>
          </w:rPr>
          <w:t>7/2021</w:t>
        </w:r>
      </w:hyperlink>
      <w:r>
        <w:t xml:space="preserve">, ff. 1 a 3; </w:t>
      </w:r>
      <w:hyperlink w:anchor="SENTENCIA_2021_8" w:history="1">
        <w:r w:rsidRPr="002C5A78">
          <w:rPr>
            <w:rStyle w:val="TextoNormalCaracter"/>
          </w:rPr>
          <w:t>8/2021</w:t>
        </w:r>
      </w:hyperlink>
      <w:r>
        <w:t xml:space="preserve">, ff. 1 a 4; </w:t>
      </w:r>
      <w:hyperlink w:anchor="SENTENCIA_2021_9" w:history="1">
        <w:r w:rsidRPr="002C5A78">
          <w:rPr>
            <w:rStyle w:val="TextoNormalCaracter"/>
          </w:rPr>
          <w:t>9/2021</w:t>
        </w:r>
      </w:hyperlink>
      <w:r>
        <w:t xml:space="preserve">, f. único; </w:t>
      </w:r>
      <w:hyperlink w:anchor="SENTENCIA_2021_10" w:history="1">
        <w:r w:rsidRPr="002C5A78">
          <w:rPr>
            <w:rStyle w:val="TextoNormalCaracter"/>
          </w:rPr>
          <w:t>10/2021</w:t>
        </w:r>
      </w:hyperlink>
      <w:r>
        <w:t xml:space="preserve">, f. único; </w:t>
      </w:r>
      <w:hyperlink w:anchor="SENTENCIA_2021_11" w:history="1">
        <w:r w:rsidRPr="002C5A78">
          <w:rPr>
            <w:rStyle w:val="TextoNormalCaracter"/>
          </w:rPr>
          <w:t>11/2021</w:t>
        </w:r>
      </w:hyperlink>
      <w:r>
        <w:t xml:space="preserve">, f. único; </w:t>
      </w:r>
      <w:hyperlink w:anchor="SENTENCIA_2021_12" w:history="1">
        <w:r w:rsidRPr="002C5A78">
          <w:rPr>
            <w:rStyle w:val="TextoNormalCaracter"/>
          </w:rPr>
          <w:t>12/2021</w:t>
        </w:r>
      </w:hyperlink>
      <w:r>
        <w:t xml:space="preserve">, ff. 1 a 4; </w:t>
      </w:r>
      <w:hyperlink w:anchor="SENTENCIA_2021_13" w:history="1">
        <w:r w:rsidRPr="002C5A78">
          <w:rPr>
            <w:rStyle w:val="TextoNormalCaracter"/>
          </w:rPr>
          <w:t>13/2021</w:t>
        </w:r>
      </w:hyperlink>
      <w:r>
        <w:t xml:space="preserve">, f. 2; </w:t>
      </w:r>
      <w:hyperlink w:anchor="SENTENCIA_2021_17" w:history="1">
        <w:r w:rsidRPr="002C5A78">
          <w:rPr>
            <w:rStyle w:val="TextoNormalCaracter"/>
          </w:rPr>
          <w:t>17/2021</w:t>
        </w:r>
      </w:hyperlink>
      <w:r>
        <w:t xml:space="preserve">, ff. 1 a 3; </w:t>
      </w:r>
      <w:hyperlink w:anchor="SENTENCIA_2021_18" w:history="1">
        <w:r w:rsidRPr="002C5A78">
          <w:rPr>
            <w:rStyle w:val="TextoNormalCaracter"/>
          </w:rPr>
          <w:t>18/2021</w:t>
        </w:r>
      </w:hyperlink>
      <w:r>
        <w:t xml:space="preserve">, ff. 1, 3; </w:t>
      </w:r>
      <w:hyperlink w:anchor="SENTENCIA_2021_19" w:history="1">
        <w:r w:rsidRPr="002C5A78">
          <w:rPr>
            <w:rStyle w:val="TextoNormalCaracter"/>
          </w:rPr>
          <w:t>19/2021</w:t>
        </w:r>
      </w:hyperlink>
      <w:r>
        <w:t xml:space="preserve">, ff. 1, 4; </w:t>
      </w:r>
      <w:hyperlink w:anchor="SENTENCIA_2021_20" w:history="1">
        <w:r w:rsidRPr="002C5A78">
          <w:rPr>
            <w:rStyle w:val="TextoNormalCaracter"/>
          </w:rPr>
          <w:t>20/2021</w:t>
        </w:r>
      </w:hyperlink>
      <w:r>
        <w:t xml:space="preserve">, ff. 1, 3; </w:t>
      </w:r>
      <w:hyperlink w:anchor="SENTENCIA_2021_21" w:history="1">
        <w:r w:rsidRPr="002C5A78">
          <w:rPr>
            <w:rStyle w:val="TextoNormalCaracter"/>
          </w:rPr>
          <w:t>21/2021</w:t>
        </w:r>
      </w:hyperlink>
      <w:r>
        <w:t xml:space="preserve">, ff. 1, 2; </w:t>
      </w:r>
      <w:hyperlink w:anchor="SENTENCIA_2021_23" w:history="1">
        <w:r w:rsidRPr="002C5A78">
          <w:rPr>
            <w:rStyle w:val="TextoNormalCaracter"/>
          </w:rPr>
          <w:t>23/2021</w:t>
        </w:r>
      </w:hyperlink>
      <w:r>
        <w:t xml:space="preserve">, ff. 1, 2; </w:t>
      </w:r>
      <w:hyperlink w:anchor="SENTENCIA_2021_24" w:history="1">
        <w:r w:rsidRPr="002C5A78">
          <w:rPr>
            <w:rStyle w:val="TextoNormalCaracter"/>
          </w:rPr>
          <w:t>24/2021</w:t>
        </w:r>
      </w:hyperlink>
      <w:r>
        <w:t xml:space="preserve">, ff. 1, 2, 3; </w:t>
      </w:r>
      <w:hyperlink w:anchor="SENTENCIA_2021_25" w:history="1">
        <w:r w:rsidRPr="002C5A78">
          <w:rPr>
            <w:rStyle w:val="TextoNormalCaracter"/>
          </w:rPr>
          <w:t>25/2021</w:t>
        </w:r>
      </w:hyperlink>
      <w:r>
        <w:t xml:space="preserve">, ff. 1, 2; </w:t>
      </w:r>
      <w:hyperlink w:anchor="SENTENCIA_2021_26" w:history="1">
        <w:r w:rsidRPr="002C5A78">
          <w:rPr>
            <w:rStyle w:val="TextoNormalCaracter"/>
          </w:rPr>
          <w:t>26/2021</w:t>
        </w:r>
      </w:hyperlink>
      <w:r>
        <w:t xml:space="preserve">, f. único; </w:t>
      </w:r>
      <w:hyperlink w:anchor="SENTENCIA_2021_27" w:history="1">
        <w:r w:rsidRPr="002C5A78">
          <w:rPr>
            <w:rStyle w:val="TextoNormalCaracter"/>
          </w:rPr>
          <w:t>27/2021</w:t>
        </w:r>
      </w:hyperlink>
      <w:r>
        <w:t xml:space="preserve">, f. único; </w:t>
      </w:r>
      <w:hyperlink w:anchor="SENTENCIA_2021_28" w:history="1">
        <w:r w:rsidRPr="002C5A78">
          <w:rPr>
            <w:rStyle w:val="TextoNormalCaracter"/>
          </w:rPr>
          <w:t>28/2021</w:t>
        </w:r>
      </w:hyperlink>
      <w:r>
        <w:t xml:space="preserve">, f. único; </w:t>
      </w:r>
      <w:hyperlink w:anchor="SENTENCIA_2021_29" w:history="1">
        <w:r w:rsidRPr="002C5A78">
          <w:rPr>
            <w:rStyle w:val="TextoNormalCaracter"/>
          </w:rPr>
          <w:t>29/2021</w:t>
        </w:r>
      </w:hyperlink>
      <w:r>
        <w:t xml:space="preserve">, ff. 1, 3 a 5; </w:t>
      </w:r>
      <w:hyperlink w:anchor="SENTENCIA_2021_30" w:history="1">
        <w:r w:rsidRPr="002C5A78">
          <w:rPr>
            <w:rStyle w:val="TextoNormalCaracter"/>
          </w:rPr>
          <w:t>30/2021</w:t>
        </w:r>
      </w:hyperlink>
      <w:r>
        <w:t xml:space="preserve">, f. único; </w:t>
      </w:r>
      <w:hyperlink w:anchor="SENTENCIA_2021_31" w:history="1">
        <w:r w:rsidRPr="002C5A78">
          <w:rPr>
            <w:rStyle w:val="TextoNormalCaracter"/>
          </w:rPr>
          <w:t>31/2021</w:t>
        </w:r>
      </w:hyperlink>
      <w:r>
        <w:t xml:space="preserve">, f. único; </w:t>
      </w:r>
      <w:hyperlink w:anchor="SENTENCIA_2021_32" w:history="1">
        <w:r w:rsidRPr="002C5A78">
          <w:rPr>
            <w:rStyle w:val="TextoNormalCaracter"/>
          </w:rPr>
          <w:t>32/2021</w:t>
        </w:r>
      </w:hyperlink>
      <w:r>
        <w:t xml:space="preserve">, f. único; </w:t>
      </w:r>
      <w:hyperlink w:anchor="SENTENCIA_2021_33" w:history="1">
        <w:r w:rsidRPr="002C5A78">
          <w:rPr>
            <w:rStyle w:val="TextoNormalCaracter"/>
          </w:rPr>
          <w:t>33/2021</w:t>
        </w:r>
      </w:hyperlink>
      <w:r>
        <w:t xml:space="preserve">, f. 1, 3; </w:t>
      </w:r>
      <w:hyperlink w:anchor="SENTENCIA_2021_34" w:history="1">
        <w:r w:rsidRPr="002C5A78">
          <w:rPr>
            <w:rStyle w:val="TextoNormalCaracter"/>
          </w:rPr>
          <w:t>34/2021</w:t>
        </w:r>
      </w:hyperlink>
      <w:r>
        <w:t xml:space="preserve">, f. 1; </w:t>
      </w:r>
      <w:hyperlink w:anchor="SENTENCIA_2021_35" w:history="1">
        <w:r w:rsidRPr="002C5A78">
          <w:rPr>
            <w:rStyle w:val="TextoNormalCaracter"/>
          </w:rPr>
          <w:t>35/2021</w:t>
        </w:r>
      </w:hyperlink>
      <w:r>
        <w:t xml:space="preserve">, ff. 1 a 3; </w:t>
      </w:r>
      <w:hyperlink w:anchor="SENTENCIA_2021_42" w:history="1">
        <w:r w:rsidRPr="002C5A78">
          <w:rPr>
            <w:rStyle w:val="TextoNormalCaracter"/>
          </w:rPr>
          <w:t>42/2021</w:t>
        </w:r>
      </w:hyperlink>
      <w:r>
        <w:t xml:space="preserve">, ff. 1, 2; </w:t>
      </w:r>
      <w:hyperlink w:anchor="SENTENCIA_2021_43" w:history="1">
        <w:r w:rsidRPr="002C5A78">
          <w:rPr>
            <w:rStyle w:val="TextoNormalCaracter"/>
          </w:rPr>
          <w:t>43/2021</w:t>
        </w:r>
      </w:hyperlink>
      <w:r>
        <w:t xml:space="preserve">, ff. 1 a 4; </w:t>
      </w:r>
      <w:hyperlink w:anchor="SENTENCIA_2021_44" w:history="1">
        <w:r w:rsidRPr="002C5A78">
          <w:rPr>
            <w:rStyle w:val="TextoNormalCaracter"/>
          </w:rPr>
          <w:t>44/2021</w:t>
        </w:r>
      </w:hyperlink>
      <w:r>
        <w:t xml:space="preserve">, f. único; </w:t>
      </w:r>
      <w:hyperlink w:anchor="SENTENCIA_2021_45" w:history="1">
        <w:r w:rsidRPr="002C5A78">
          <w:rPr>
            <w:rStyle w:val="TextoNormalCaracter"/>
          </w:rPr>
          <w:t>45/2021</w:t>
        </w:r>
      </w:hyperlink>
      <w:r>
        <w:t xml:space="preserve">, f. único; </w:t>
      </w:r>
      <w:hyperlink w:anchor="SENTENCIA_2021_46" w:history="1">
        <w:r w:rsidRPr="002C5A78">
          <w:rPr>
            <w:rStyle w:val="TextoNormalCaracter"/>
          </w:rPr>
          <w:t>46/2021</w:t>
        </w:r>
      </w:hyperlink>
      <w:r>
        <w:t xml:space="preserve">, f. único; </w:t>
      </w:r>
      <w:hyperlink w:anchor="SENTENCIA_2021_47" w:history="1">
        <w:r w:rsidRPr="002C5A78">
          <w:rPr>
            <w:rStyle w:val="TextoNormalCaracter"/>
          </w:rPr>
          <w:t>47/2021</w:t>
        </w:r>
      </w:hyperlink>
      <w:r>
        <w:t xml:space="preserve">, f. único; </w:t>
      </w:r>
      <w:hyperlink w:anchor="SENTENCIA_2021_48" w:history="1">
        <w:r w:rsidRPr="002C5A78">
          <w:rPr>
            <w:rStyle w:val="TextoNormalCaracter"/>
          </w:rPr>
          <w:t>48/2021</w:t>
        </w:r>
      </w:hyperlink>
      <w:r>
        <w:t xml:space="preserve">, ff. 1, 3; </w:t>
      </w:r>
      <w:hyperlink w:anchor="SENTENCIA_2021_49" w:history="1">
        <w:r w:rsidRPr="002C5A78">
          <w:rPr>
            <w:rStyle w:val="TextoNormalCaracter"/>
          </w:rPr>
          <w:t>49/2021</w:t>
        </w:r>
      </w:hyperlink>
      <w:r>
        <w:t xml:space="preserve">, f. único; </w:t>
      </w:r>
      <w:hyperlink w:anchor="SENTENCIA_2021_50" w:history="1">
        <w:r w:rsidRPr="002C5A78">
          <w:rPr>
            <w:rStyle w:val="TextoNormalCaracter"/>
          </w:rPr>
          <w:t>50/2021</w:t>
        </w:r>
      </w:hyperlink>
      <w:r>
        <w:t xml:space="preserve">, ff. 1 a 3; </w:t>
      </w:r>
      <w:hyperlink w:anchor="SENTENCIA_2021_52" w:history="1">
        <w:r w:rsidRPr="002C5A78">
          <w:rPr>
            <w:rStyle w:val="TextoNormalCaracter"/>
          </w:rPr>
          <w:t>52/2021</w:t>
        </w:r>
      </w:hyperlink>
      <w:r>
        <w:t xml:space="preserve">, f. 1; </w:t>
      </w:r>
      <w:hyperlink w:anchor="SENTENCIA_2021_54" w:history="1">
        <w:r w:rsidRPr="002C5A78">
          <w:rPr>
            <w:rStyle w:val="TextoNormalCaracter"/>
          </w:rPr>
          <w:t>54/2021</w:t>
        </w:r>
      </w:hyperlink>
      <w:r>
        <w:t xml:space="preserve">, ff. 1 a 3; </w:t>
      </w:r>
      <w:hyperlink w:anchor="SENTENCIA_2021_55" w:history="1">
        <w:r w:rsidRPr="002C5A78">
          <w:rPr>
            <w:rStyle w:val="TextoNormalCaracter"/>
          </w:rPr>
          <w:t>55/2021</w:t>
        </w:r>
      </w:hyperlink>
      <w:r>
        <w:t xml:space="preserve">, ff. 1 a 3; </w:t>
      </w:r>
      <w:hyperlink w:anchor="SENTENCIA_2021_56" w:history="1">
        <w:r w:rsidRPr="002C5A78">
          <w:rPr>
            <w:rStyle w:val="TextoNormalCaracter"/>
          </w:rPr>
          <w:t>56/2021</w:t>
        </w:r>
      </w:hyperlink>
      <w:r>
        <w:t xml:space="preserve">, ff. 1 a 3; </w:t>
      </w:r>
      <w:hyperlink w:anchor="SENTENCIA_2021_57" w:history="1">
        <w:r w:rsidRPr="002C5A78">
          <w:rPr>
            <w:rStyle w:val="TextoNormalCaracter"/>
          </w:rPr>
          <w:t>57/2021</w:t>
        </w:r>
      </w:hyperlink>
      <w:r>
        <w:t xml:space="preserve">, ff. 2 a 4; </w:t>
      </w:r>
      <w:hyperlink w:anchor="SENTENCIA_2021_58" w:history="1">
        <w:r w:rsidRPr="002C5A78">
          <w:rPr>
            <w:rStyle w:val="TextoNormalCaracter"/>
          </w:rPr>
          <w:t>58/2021</w:t>
        </w:r>
      </w:hyperlink>
      <w:r>
        <w:t xml:space="preserve">, f. único; </w:t>
      </w:r>
      <w:hyperlink w:anchor="SENTENCIA_2021_59" w:history="1">
        <w:r w:rsidRPr="002C5A78">
          <w:rPr>
            <w:rStyle w:val="TextoNormalCaracter"/>
          </w:rPr>
          <w:t>59/2021</w:t>
        </w:r>
      </w:hyperlink>
      <w:r>
        <w:t xml:space="preserve">, f. único; </w:t>
      </w:r>
      <w:hyperlink w:anchor="SENTENCIA_2021_60" w:history="1">
        <w:r w:rsidRPr="002C5A78">
          <w:rPr>
            <w:rStyle w:val="TextoNormalCaracter"/>
          </w:rPr>
          <w:t>60/2021</w:t>
        </w:r>
      </w:hyperlink>
      <w:r>
        <w:t xml:space="preserve">, ff. 1, 3, 4; </w:t>
      </w:r>
      <w:hyperlink w:anchor="SENTENCIA_2021_61" w:history="1">
        <w:r w:rsidRPr="002C5A78">
          <w:rPr>
            <w:rStyle w:val="TextoNormalCaracter"/>
          </w:rPr>
          <w:t>61/2021</w:t>
        </w:r>
      </w:hyperlink>
      <w:r>
        <w:t xml:space="preserve">, ff. 1 a 4, 6, 7, VP I; </w:t>
      </w:r>
      <w:hyperlink w:anchor="SENTENCIA_2021_62" w:history="1">
        <w:r w:rsidRPr="002C5A78">
          <w:rPr>
            <w:rStyle w:val="TextoNormalCaracter"/>
          </w:rPr>
          <w:t>62/2021</w:t>
        </w:r>
      </w:hyperlink>
      <w:r>
        <w:t xml:space="preserve">, ff. 1, 3; </w:t>
      </w:r>
      <w:hyperlink w:anchor="SENTENCIA_2021_63" w:history="1">
        <w:r w:rsidRPr="002C5A78">
          <w:rPr>
            <w:rStyle w:val="TextoNormalCaracter"/>
          </w:rPr>
          <w:t>63/2021</w:t>
        </w:r>
      </w:hyperlink>
      <w:r>
        <w:t xml:space="preserve">, ff. 1 a 4; </w:t>
      </w:r>
      <w:hyperlink w:anchor="SENTENCIA_2021_64" w:history="1">
        <w:r w:rsidRPr="002C5A78">
          <w:rPr>
            <w:rStyle w:val="TextoNormalCaracter"/>
          </w:rPr>
          <w:t>64/2021</w:t>
        </w:r>
      </w:hyperlink>
      <w:r>
        <w:t xml:space="preserve">, ff. 2, 3; </w:t>
      </w:r>
      <w:hyperlink w:anchor="SENTENCIA_2021_65" w:history="1">
        <w:r w:rsidRPr="002C5A78">
          <w:rPr>
            <w:rStyle w:val="TextoNormalCaracter"/>
          </w:rPr>
          <w:t>65/2021</w:t>
        </w:r>
      </w:hyperlink>
      <w:r>
        <w:t xml:space="preserve">, ff. 1 a 3, 5, 6; </w:t>
      </w:r>
      <w:hyperlink w:anchor="SENTENCIA_2021_69" w:history="1">
        <w:r w:rsidRPr="002C5A78">
          <w:rPr>
            <w:rStyle w:val="TextoNormalCaracter"/>
          </w:rPr>
          <w:t>69/2021</w:t>
        </w:r>
      </w:hyperlink>
      <w:r>
        <w:t xml:space="preserve">, f. 1; </w:t>
      </w:r>
      <w:hyperlink w:anchor="SENTENCIA_2021_71" w:history="1">
        <w:r w:rsidRPr="002C5A78">
          <w:rPr>
            <w:rStyle w:val="TextoNormalCaracter"/>
          </w:rPr>
          <w:t>71/2021</w:t>
        </w:r>
      </w:hyperlink>
      <w:r>
        <w:t xml:space="preserve">, f. 2; </w:t>
      </w:r>
      <w:hyperlink w:anchor="SENTENCIA_2021_73" w:history="1">
        <w:r w:rsidRPr="002C5A78">
          <w:rPr>
            <w:rStyle w:val="TextoNormalCaracter"/>
          </w:rPr>
          <w:t>73/2021</w:t>
        </w:r>
      </w:hyperlink>
      <w:r>
        <w:t xml:space="preserve">, ff. 2, 5, VP I; </w:t>
      </w:r>
      <w:hyperlink w:anchor="SENTENCIA_2021_77" w:history="1">
        <w:r w:rsidRPr="002C5A78">
          <w:rPr>
            <w:rStyle w:val="TextoNormalCaracter"/>
          </w:rPr>
          <w:t>77/2021</w:t>
        </w:r>
      </w:hyperlink>
      <w:r>
        <w:t xml:space="preserve">, ff. 1 a 3; </w:t>
      </w:r>
      <w:hyperlink w:anchor="SENTENCIA_2021_78" w:history="1">
        <w:r w:rsidRPr="002C5A78">
          <w:rPr>
            <w:rStyle w:val="TextoNormalCaracter"/>
          </w:rPr>
          <w:t>78/2021</w:t>
        </w:r>
      </w:hyperlink>
      <w:r>
        <w:t xml:space="preserve">, ff. 1, 2; </w:t>
      </w:r>
      <w:hyperlink w:anchor="SENTENCIA_2021_79" w:history="1">
        <w:r w:rsidRPr="002C5A78">
          <w:rPr>
            <w:rStyle w:val="TextoNormalCaracter"/>
          </w:rPr>
          <w:t>79/2021</w:t>
        </w:r>
      </w:hyperlink>
      <w:r>
        <w:t xml:space="preserve">, ff. 1, 3, 4; </w:t>
      </w:r>
      <w:hyperlink w:anchor="SENTENCIA_2021_80" w:history="1">
        <w:r w:rsidRPr="002C5A78">
          <w:rPr>
            <w:rStyle w:val="TextoNormalCaracter"/>
          </w:rPr>
          <w:t>80/2021</w:t>
        </w:r>
      </w:hyperlink>
      <w:r>
        <w:t xml:space="preserve">, ff. 1, 4 a 6; </w:t>
      </w:r>
      <w:hyperlink w:anchor="SENTENCIA_2021_81" w:history="1">
        <w:r w:rsidRPr="002C5A78">
          <w:rPr>
            <w:rStyle w:val="TextoNormalCaracter"/>
          </w:rPr>
          <w:t>81/2021</w:t>
        </w:r>
      </w:hyperlink>
      <w:r>
        <w:t xml:space="preserve">, ff. 1, 4; </w:t>
      </w:r>
      <w:hyperlink w:anchor="SENTENCIA_2021_82" w:history="1">
        <w:r w:rsidRPr="002C5A78">
          <w:rPr>
            <w:rStyle w:val="TextoNormalCaracter"/>
          </w:rPr>
          <w:t>82/2021</w:t>
        </w:r>
      </w:hyperlink>
      <w:r>
        <w:t xml:space="preserve">, f. 1; </w:t>
      </w:r>
      <w:hyperlink w:anchor="SENTENCIA_2021_84" w:history="1">
        <w:r w:rsidRPr="002C5A78">
          <w:rPr>
            <w:rStyle w:val="TextoNormalCaracter"/>
          </w:rPr>
          <w:t>84/2021</w:t>
        </w:r>
      </w:hyperlink>
      <w:r>
        <w:t xml:space="preserve">, f. único; </w:t>
      </w:r>
      <w:hyperlink w:anchor="SENTENCIA_2021_85" w:history="1">
        <w:r w:rsidRPr="002C5A78">
          <w:rPr>
            <w:rStyle w:val="TextoNormalCaracter"/>
          </w:rPr>
          <w:t>85/2021</w:t>
        </w:r>
      </w:hyperlink>
      <w:r>
        <w:t xml:space="preserve">, f. único; </w:t>
      </w:r>
      <w:hyperlink w:anchor="SENTENCIA_2021_86" w:history="1">
        <w:r w:rsidRPr="002C5A78">
          <w:rPr>
            <w:rStyle w:val="TextoNormalCaracter"/>
          </w:rPr>
          <w:t>86/2021</w:t>
        </w:r>
      </w:hyperlink>
      <w:r>
        <w:t xml:space="preserve">, f. único; </w:t>
      </w:r>
      <w:hyperlink w:anchor="SENTENCIA_2021_87" w:history="1">
        <w:r w:rsidRPr="002C5A78">
          <w:rPr>
            <w:rStyle w:val="TextoNormalCaracter"/>
          </w:rPr>
          <w:t>87/2021</w:t>
        </w:r>
      </w:hyperlink>
      <w:r>
        <w:t xml:space="preserve">, ff. 1 a 4; </w:t>
      </w:r>
      <w:hyperlink w:anchor="SENTENCIA_2021_88" w:history="1">
        <w:r w:rsidRPr="002C5A78">
          <w:rPr>
            <w:rStyle w:val="TextoNormalCaracter"/>
          </w:rPr>
          <w:t>88/2021</w:t>
        </w:r>
      </w:hyperlink>
      <w:r>
        <w:t xml:space="preserve">, ff. 1 a 3, 5; </w:t>
      </w:r>
      <w:hyperlink w:anchor="SENTENCIA_2021_89" w:history="1">
        <w:r w:rsidRPr="002C5A78">
          <w:rPr>
            <w:rStyle w:val="TextoNormalCaracter"/>
          </w:rPr>
          <w:t>89/2021</w:t>
        </w:r>
      </w:hyperlink>
      <w:r>
        <w:t xml:space="preserve">, ff. 1, 2; </w:t>
      </w:r>
      <w:hyperlink w:anchor="SENTENCIA_2021_90" w:history="1">
        <w:r w:rsidRPr="002C5A78">
          <w:rPr>
            <w:rStyle w:val="TextoNormalCaracter"/>
          </w:rPr>
          <w:t>90/2021</w:t>
        </w:r>
      </w:hyperlink>
      <w:r>
        <w:t xml:space="preserve">, f. 1; </w:t>
      </w:r>
      <w:hyperlink w:anchor="SENTENCIA_2021_91" w:history="1">
        <w:r w:rsidRPr="002C5A78">
          <w:rPr>
            <w:rStyle w:val="TextoNormalCaracter"/>
          </w:rPr>
          <w:t>91/2021</w:t>
        </w:r>
      </w:hyperlink>
      <w:r>
        <w:t xml:space="preserve">, ff. 1, 4 a 8; </w:t>
      </w:r>
      <w:hyperlink w:anchor="SENTENCIA_2021_92" w:history="1">
        <w:r w:rsidRPr="002C5A78">
          <w:rPr>
            <w:rStyle w:val="TextoNormalCaracter"/>
          </w:rPr>
          <w:t>92/2021</w:t>
        </w:r>
      </w:hyperlink>
      <w:r>
        <w:t xml:space="preserve">, ff. 1 a 3; </w:t>
      </w:r>
      <w:hyperlink w:anchor="SENTENCIA_2021_94" w:history="1">
        <w:r w:rsidRPr="002C5A78">
          <w:rPr>
            <w:rStyle w:val="TextoNormalCaracter"/>
          </w:rPr>
          <w:t>94/2021</w:t>
        </w:r>
      </w:hyperlink>
      <w:r>
        <w:t xml:space="preserve">, ff. 1, 3; </w:t>
      </w:r>
      <w:hyperlink w:anchor="SENTENCIA_2021_95" w:history="1">
        <w:r w:rsidRPr="002C5A78">
          <w:rPr>
            <w:rStyle w:val="TextoNormalCaracter"/>
          </w:rPr>
          <w:t>95/2021</w:t>
        </w:r>
      </w:hyperlink>
      <w:r>
        <w:t xml:space="preserve">, ff. 2, 3; </w:t>
      </w:r>
      <w:hyperlink w:anchor="SENTENCIA_2021_96" w:history="1">
        <w:r w:rsidRPr="002C5A78">
          <w:rPr>
            <w:rStyle w:val="TextoNormalCaracter"/>
          </w:rPr>
          <w:t>96/2021</w:t>
        </w:r>
      </w:hyperlink>
      <w:r>
        <w:t xml:space="preserve">, f. único; </w:t>
      </w:r>
      <w:hyperlink w:anchor="SENTENCIA_2021_97" w:history="1">
        <w:r w:rsidRPr="002C5A78">
          <w:rPr>
            <w:rStyle w:val="TextoNormalCaracter"/>
          </w:rPr>
          <w:t>97/2021</w:t>
        </w:r>
      </w:hyperlink>
      <w:r>
        <w:t xml:space="preserve">, f. 1; </w:t>
      </w:r>
      <w:hyperlink w:anchor="SENTENCIA_2021_98" w:history="1">
        <w:r w:rsidRPr="002C5A78">
          <w:rPr>
            <w:rStyle w:val="TextoNormalCaracter"/>
          </w:rPr>
          <w:t>98/2021</w:t>
        </w:r>
      </w:hyperlink>
      <w:r>
        <w:t xml:space="preserve">, ff. 1, 2; </w:t>
      </w:r>
      <w:hyperlink w:anchor="SENTENCIA_2021_100" w:history="1">
        <w:r w:rsidRPr="002C5A78">
          <w:rPr>
            <w:rStyle w:val="TextoNormalCaracter"/>
          </w:rPr>
          <w:t>100/2021</w:t>
        </w:r>
      </w:hyperlink>
      <w:r>
        <w:t xml:space="preserve">, f. único; </w:t>
      </w:r>
      <w:hyperlink w:anchor="SENTENCIA_2021_101" w:history="1">
        <w:r w:rsidRPr="002C5A78">
          <w:rPr>
            <w:rStyle w:val="TextoNormalCaracter"/>
          </w:rPr>
          <w:t>101/2021</w:t>
        </w:r>
      </w:hyperlink>
      <w:r>
        <w:t xml:space="preserve">, ff. 1 a 4; </w:t>
      </w:r>
      <w:hyperlink w:anchor="SENTENCIA_2021_102" w:history="1">
        <w:r w:rsidRPr="002C5A78">
          <w:rPr>
            <w:rStyle w:val="TextoNormalCaracter"/>
          </w:rPr>
          <w:t>102/2021</w:t>
        </w:r>
      </w:hyperlink>
      <w:r>
        <w:t xml:space="preserve">, ff. 1 a 4; </w:t>
      </w:r>
      <w:hyperlink w:anchor="SENTENCIA_2021_103" w:history="1">
        <w:r w:rsidRPr="002C5A78">
          <w:rPr>
            <w:rStyle w:val="TextoNormalCaracter"/>
          </w:rPr>
          <w:t>103/2021</w:t>
        </w:r>
      </w:hyperlink>
      <w:r>
        <w:t xml:space="preserve">, f. único; </w:t>
      </w:r>
      <w:hyperlink w:anchor="SENTENCIA_2021_104" w:history="1">
        <w:r w:rsidRPr="002C5A78">
          <w:rPr>
            <w:rStyle w:val="TextoNormalCaracter"/>
          </w:rPr>
          <w:t>104/2021</w:t>
        </w:r>
      </w:hyperlink>
      <w:r>
        <w:t xml:space="preserve">, ff. 1, 3, 4; </w:t>
      </w:r>
      <w:hyperlink w:anchor="SENTENCIA_2021_105" w:history="1">
        <w:r w:rsidRPr="002C5A78">
          <w:rPr>
            <w:rStyle w:val="TextoNormalCaracter"/>
          </w:rPr>
          <w:t>105/2021</w:t>
        </w:r>
      </w:hyperlink>
      <w:r>
        <w:t xml:space="preserve">, f. 1; </w:t>
      </w:r>
      <w:hyperlink w:anchor="SENTENCIA_2021_106" w:history="1">
        <w:r w:rsidRPr="002C5A78">
          <w:rPr>
            <w:rStyle w:val="TextoNormalCaracter"/>
          </w:rPr>
          <w:t>106/2021</w:t>
        </w:r>
      </w:hyperlink>
      <w:r>
        <w:t xml:space="preserve">, ff. 1, 4 a 8, 10, 11; </w:t>
      </w:r>
      <w:hyperlink w:anchor="SENTENCIA_2021_107" w:history="1">
        <w:r w:rsidRPr="002C5A78">
          <w:rPr>
            <w:rStyle w:val="TextoNormalCaracter"/>
          </w:rPr>
          <w:t>107/2021</w:t>
        </w:r>
      </w:hyperlink>
      <w:r>
        <w:t xml:space="preserve">, ff. 1, 2; </w:t>
      </w:r>
      <w:hyperlink w:anchor="SENTENCIA_2021_108" w:history="1">
        <w:r w:rsidRPr="002C5A78">
          <w:rPr>
            <w:rStyle w:val="TextoNormalCaracter"/>
          </w:rPr>
          <w:t>108/2021</w:t>
        </w:r>
      </w:hyperlink>
      <w:r>
        <w:t xml:space="preserve">, ff. 1, 7; </w:t>
      </w:r>
      <w:hyperlink w:anchor="SENTENCIA_2021_113" w:history="1">
        <w:r w:rsidRPr="002C5A78">
          <w:rPr>
            <w:rStyle w:val="TextoNormalCaracter"/>
          </w:rPr>
          <w:t>113/2021</w:t>
        </w:r>
      </w:hyperlink>
      <w:r>
        <w:t xml:space="preserve">, ff. 1, 2, VP; </w:t>
      </w:r>
      <w:hyperlink w:anchor="SENTENCIA_2021_115" w:history="1">
        <w:r w:rsidRPr="002C5A78">
          <w:rPr>
            <w:rStyle w:val="TextoNormalCaracter"/>
          </w:rPr>
          <w:t>115/2021</w:t>
        </w:r>
      </w:hyperlink>
      <w:r>
        <w:t xml:space="preserve">, ff. 1, 2; </w:t>
      </w:r>
      <w:hyperlink w:anchor="SENTENCIA_2021_116" w:history="1">
        <w:r w:rsidRPr="002C5A78">
          <w:rPr>
            <w:rStyle w:val="TextoNormalCaracter"/>
          </w:rPr>
          <w:t>116/2021</w:t>
        </w:r>
      </w:hyperlink>
      <w:r>
        <w:t xml:space="preserve">, ff. 2, 3; </w:t>
      </w:r>
      <w:hyperlink w:anchor="SENTENCIA_2021_117" w:history="1">
        <w:r w:rsidRPr="002C5A78">
          <w:rPr>
            <w:rStyle w:val="TextoNormalCaracter"/>
          </w:rPr>
          <w:t>117/2021</w:t>
        </w:r>
      </w:hyperlink>
      <w:r>
        <w:t xml:space="preserve">, ff. 1, 4; </w:t>
      </w:r>
      <w:hyperlink w:anchor="SENTENCIA_2021_118" w:history="1">
        <w:r w:rsidRPr="002C5A78">
          <w:rPr>
            <w:rStyle w:val="TextoNormalCaracter"/>
          </w:rPr>
          <w:t>118/2021</w:t>
        </w:r>
      </w:hyperlink>
      <w:r>
        <w:t xml:space="preserve">, ff. 1 a 4; </w:t>
      </w:r>
      <w:hyperlink w:anchor="SENTENCIA_2021_119" w:history="1">
        <w:r w:rsidRPr="002C5A78">
          <w:rPr>
            <w:rStyle w:val="TextoNormalCaracter"/>
          </w:rPr>
          <w:t>119/2021</w:t>
        </w:r>
      </w:hyperlink>
      <w:r>
        <w:t xml:space="preserve">, ff. 1, 2, 4; </w:t>
      </w:r>
      <w:hyperlink w:anchor="SENTENCIA_2021_120" w:history="1">
        <w:r w:rsidRPr="002C5A78">
          <w:rPr>
            <w:rStyle w:val="TextoNormalCaracter"/>
          </w:rPr>
          <w:t>120/2021</w:t>
        </w:r>
      </w:hyperlink>
      <w:r>
        <w:t xml:space="preserve">, ff. 1, 3, 4; </w:t>
      </w:r>
      <w:hyperlink w:anchor="SENTENCIA_2021_121" w:history="1">
        <w:r w:rsidRPr="002C5A78">
          <w:rPr>
            <w:rStyle w:val="TextoNormalCaracter"/>
          </w:rPr>
          <w:t>121/2021</w:t>
        </w:r>
      </w:hyperlink>
      <w:r>
        <w:t xml:space="preserve">, ff. 1, 5 a 9, 11; </w:t>
      </w:r>
      <w:hyperlink w:anchor="SENTENCIA_2021_122" w:history="1">
        <w:r w:rsidRPr="002C5A78">
          <w:rPr>
            <w:rStyle w:val="TextoNormalCaracter"/>
          </w:rPr>
          <w:t>122/2021</w:t>
        </w:r>
      </w:hyperlink>
      <w:r>
        <w:t xml:space="preserve">, ff. 6 a 8; </w:t>
      </w:r>
      <w:hyperlink w:anchor="SENTENCIA_2021_129" w:history="1">
        <w:r w:rsidRPr="002C5A78">
          <w:rPr>
            <w:rStyle w:val="TextoNormalCaracter"/>
          </w:rPr>
          <w:t>129/2021</w:t>
        </w:r>
      </w:hyperlink>
      <w:r>
        <w:t xml:space="preserve">, f. único; </w:t>
      </w:r>
      <w:hyperlink w:anchor="SENTENCIA_2021_130" w:history="1">
        <w:r w:rsidRPr="002C5A78">
          <w:rPr>
            <w:rStyle w:val="TextoNormalCaracter"/>
          </w:rPr>
          <w:t>130/2021</w:t>
        </w:r>
      </w:hyperlink>
      <w:r>
        <w:t xml:space="preserve">, ff. 1, 2; </w:t>
      </w:r>
      <w:hyperlink w:anchor="SENTENCIA_2021_131" w:history="1">
        <w:r w:rsidRPr="002C5A78">
          <w:rPr>
            <w:rStyle w:val="TextoNormalCaracter"/>
          </w:rPr>
          <w:t>131/2021</w:t>
        </w:r>
      </w:hyperlink>
      <w:r>
        <w:t xml:space="preserve">, ff. 1 a 3; </w:t>
      </w:r>
      <w:hyperlink w:anchor="SENTENCIA_2021_132" w:history="1">
        <w:r w:rsidRPr="002C5A78">
          <w:rPr>
            <w:rStyle w:val="TextoNormalCaracter"/>
          </w:rPr>
          <w:t>132/2021</w:t>
        </w:r>
      </w:hyperlink>
      <w:r>
        <w:t xml:space="preserve">, ff. 1, 2, 4; </w:t>
      </w:r>
      <w:hyperlink w:anchor="SENTENCIA_2021_133" w:history="1">
        <w:r w:rsidRPr="002C5A78">
          <w:rPr>
            <w:rStyle w:val="TextoNormalCaracter"/>
          </w:rPr>
          <w:t>133/2021</w:t>
        </w:r>
      </w:hyperlink>
      <w:r>
        <w:t xml:space="preserve">, f. 1, VP III; </w:t>
      </w:r>
      <w:hyperlink w:anchor="SENTENCIA_2021_136" w:history="1">
        <w:r w:rsidRPr="002C5A78">
          <w:rPr>
            <w:rStyle w:val="TextoNormalCaracter"/>
          </w:rPr>
          <w:t>136/2021</w:t>
        </w:r>
      </w:hyperlink>
      <w:r>
        <w:t xml:space="preserve">, f. único; </w:t>
      </w:r>
      <w:hyperlink w:anchor="SENTENCIA_2021_138" w:history="1">
        <w:r w:rsidRPr="002C5A78">
          <w:rPr>
            <w:rStyle w:val="TextoNormalCaracter"/>
          </w:rPr>
          <w:t>138/2021</w:t>
        </w:r>
      </w:hyperlink>
      <w:r>
        <w:t>, ff. 1, 3, 4.</w:t>
      </w:r>
    </w:p>
    <w:p w:rsidR="002C5A78" w:rsidRDefault="002C5A78" w:rsidP="002C5A78">
      <w:pPr>
        <w:pStyle w:val="SangriaIzquierdaArticulo"/>
      </w:pPr>
      <w:r>
        <w:t xml:space="preserve">Autos </w:t>
      </w:r>
      <w:hyperlink w:anchor="AUTO_2021_4" w:history="1">
        <w:r w:rsidRPr="002C5A78">
          <w:rPr>
            <w:rStyle w:val="TextoNormalCaracter"/>
          </w:rPr>
          <w:t>4/2021</w:t>
        </w:r>
      </w:hyperlink>
      <w:r>
        <w:t xml:space="preserve">, ff. 1, 5; </w:t>
      </w:r>
      <w:hyperlink w:anchor="AUTO_2021_13" w:history="1">
        <w:r w:rsidRPr="002C5A78">
          <w:rPr>
            <w:rStyle w:val="TextoNormalCaracter"/>
          </w:rPr>
          <w:t>13/2021</w:t>
        </w:r>
      </w:hyperlink>
      <w:r>
        <w:t xml:space="preserve">, f. único; </w:t>
      </w:r>
      <w:hyperlink w:anchor="AUTO_2021_23" w:history="1">
        <w:r w:rsidRPr="002C5A78">
          <w:rPr>
            <w:rStyle w:val="TextoNormalCaracter"/>
          </w:rPr>
          <w:t>23/2021</w:t>
        </w:r>
      </w:hyperlink>
      <w:r>
        <w:t xml:space="preserve">, f. único; </w:t>
      </w:r>
      <w:hyperlink w:anchor="AUTO_2021_25" w:history="1">
        <w:r w:rsidRPr="002C5A78">
          <w:rPr>
            <w:rStyle w:val="TextoNormalCaracter"/>
          </w:rPr>
          <w:t>25/2021</w:t>
        </w:r>
      </w:hyperlink>
      <w:r>
        <w:t xml:space="preserve">, f. único; </w:t>
      </w:r>
      <w:hyperlink w:anchor="AUTO_2021_57" w:history="1">
        <w:r w:rsidRPr="002C5A78">
          <w:rPr>
            <w:rStyle w:val="TextoNormalCaracter"/>
          </w:rPr>
          <w:t>57/2021</w:t>
        </w:r>
      </w:hyperlink>
      <w:r>
        <w:t xml:space="preserve">, ff. 1, 3, 4; </w:t>
      </w:r>
      <w:hyperlink w:anchor="AUTO_2021_58" w:history="1">
        <w:r w:rsidRPr="002C5A78">
          <w:rPr>
            <w:rStyle w:val="TextoNormalCaracter"/>
          </w:rPr>
          <w:t>58/2021</w:t>
        </w:r>
      </w:hyperlink>
      <w:r>
        <w:t xml:space="preserve">, f. 2; </w:t>
      </w:r>
      <w:hyperlink w:anchor="AUTO_2021_59" w:history="1">
        <w:r w:rsidRPr="002C5A78">
          <w:rPr>
            <w:rStyle w:val="TextoNormalCaracter"/>
          </w:rPr>
          <w:t>59/2021</w:t>
        </w:r>
      </w:hyperlink>
      <w:r>
        <w:t xml:space="preserve">, f. 2; </w:t>
      </w:r>
      <w:hyperlink w:anchor="AUTO_2021_60" w:history="1">
        <w:r w:rsidRPr="002C5A78">
          <w:rPr>
            <w:rStyle w:val="TextoNormalCaracter"/>
          </w:rPr>
          <w:t>60/2021</w:t>
        </w:r>
      </w:hyperlink>
      <w:r>
        <w:t>, f. único.</w:t>
      </w:r>
    </w:p>
    <w:p w:rsidR="002C5A78" w:rsidRDefault="002C5A78" w:rsidP="002C5A78">
      <w:pPr>
        <w:pStyle w:val="SangriaFrancesaArticulo"/>
      </w:pPr>
      <w:r w:rsidRPr="002C5A78">
        <w:rPr>
          <w:rStyle w:val="TextoNormalNegritaCaracter"/>
        </w:rPr>
        <w:t>Artículo 24.2.</w:t>
      </w:r>
      <w:r w:rsidRPr="002C5A78">
        <w:rPr>
          <w:rStyle w:val="TextoNormalCaracter"/>
        </w:rPr>
        <w:t>-</w:t>
      </w:r>
      <w:r>
        <w:t xml:space="preserve"> Sentencias </w:t>
      </w:r>
      <w:hyperlink w:anchor="SENTENCIA_2021_5" w:history="1">
        <w:r w:rsidRPr="002C5A78">
          <w:rPr>
            <w:rStyle w:val="TextoNormalCaracter"/>
          </w:rPr>
          <w:t>5/2021</w:t>
        </w:r>
      </w:hyperlink>
      <w:r>
        <w:t xml:space="preserve">, f. 3; </w:t>
      </w:r>
      <w:hyperlink w:anchor="SENTENCIA_2021_14" w:history="1">
        <w:r w:rsidRPr="002C5A78">
          <w:rPr>
            <w:rStyle w:val="TextoNormalCaracter"/>
          </w:rPr>
          <w:t>14/2021</w:t>
        </w:r>
      </w:hyperlink>
      <w:r>
        <w:t xml:space="preserve">, ff. 2, 5; </w:t>
      </w:r>
      <w:hyperlink w:anchor="SENTENCIA_2021_18" w:history="1">
        <w:r w:rsidRPr="002C5A78">
          <w:rPr>
            <w:rStyle w:val="TextoNormalCaracter"/>
          </w:rPr>
          <w:t>18/2021</w:t>
        </w:r>
      </w:hyperlink>
      <w:r>
        <w:t xml:space="preserve">, ff. 3, 5, VP; </w:t>
      </w:r>
      <w:hyperlink w:anchor="SENTENCIA_2021_21" w:history="1">
        <w:r w:rsidRPr="002C5A78">
          <w:rPr>
            <w:rStyle w:val="TextoNormalCaracter"/>
          </w:rPr>
          <w:t>21/2021</w:t>
        </w:r>
      </w:hyperlink>
      <w:r>
        <w:t xml:space="preserve">, f. 4; </w:t>
      </w:r>
      <w:hyperlink w:anchor="SENTENCIA_2021_22" w:history="1">
        <w:r w:rsidRPr="002C5A78">
          <w:rPr>
            <w:rStyle w:val="TextoNormalCaracter"/>
          </w:rPr>
          <w:t>22/2021</w:t>
        </w:r>
      </w:hyperlink>
      <w:r>
        <w:t xml:space="preserve">, ff. 1, 3, 4, VP; </w:t>
      </w:r>
      <w:hyperlink w:anchor="SENTENCIA_2021_34" w:history="1">
        <w:r w:rsidRPr="002C5A78">
          <w:rPr>
            <w:rStyle w:val="TextoNormalCaracter"/>
          </w:rPr>
          <w:t>34/2021</w:t>
        </w:r>
      </w:hyperlink>
      <w:r>
        <w:t xml:space="preserve">, ff. 1, 3, 6; </w:t>
      </w:r>
      <w:hyperlink w:anchor="SENTENCIA_2021_35" w:history="1">
        <w:r w:rsidRPr="002C5A78">
          <w:rPr>
            <w:rStyle w:val="TextoNormalCaracter"/>
          </w:rPr>
          <w:t>35/2021</w:t>
        </w:r>
      </w:hyperlink>
      <w:r>
        <w:t xml:space="preserve">, ff. 2, 3; </w:t>
      </w:r>
      <w:hyperlink w:anchor="SENTENCIA_2021_51" w:history="1">
        <w:r w:rsidRPr="002C5A78">
          <w:rPr>
            <w:rStyle w:val="TextoNormalCaracter"/>
          </w:rPr>
          <w:t>51/2021</w:t>
        </w:r>
      </w:hyperlink>
      <w:r>
        <w:t xml:space="preserve">, ff. 1, 5; </w:t>
      </w:r>
      <w:hyperlink w:anchor="SENTENCIA_2021_63" w:history="1">
        <w:r w:rsidRPr="002C5A78">
          <w:rPr>
            <w:rStyle w:val="TextoNormalCaracter"/>
          </w:rPr>
          <w:t>63/2021</w:t>
        </w:r>
      </w:hyperlink>
      <w:r>
        <w:t xml:space="preserve">, ff. 3, 4; </w:t>
      </w:r>
      <w:hyperlink w:anchor="SENTENCIA_2021_69" w:history="1">
        <w:r w:rsidRPr="002C5A78">
          <w:rPr>
            <w:rStyle w:val="TextoNormalCaracter"/>
          </w:rPr>
          <w:t>69/2021</w:t>
        </w:r>
      </w:hyperlink>
      <w:r>
        <w:t xml:space="preserve">, f. 1; </w:t>
      </w:r>
      <w:hyperlink w:anchor="SENTENCIA_2021_78" w:history="1">
        <w:r w:rsidRPr="002C5A78">
          <w:rPr>
            <w:rStyle w:val="TextoNormalCaracter"/>
          </w:rPr>
          <w:t>78/2021</w:t>
        </w:r>
      </w:hyperlink>
      <w:r>
        <w:t xml:space="preserve">, f. 6; </w:t>
      </w:r>
      <w:hyperlink w:anchor="SENTENCIA_2021_80" w:history="1">
        <w:r w:rsidRPr="002C5A78">
          <w:rPr>
            <w:rStyle w:val="TextoNormalCaracter"/>
          </w:rPr>
          <w:t>80/2021</w:t>
        </w:r>
      </w:hyperlink>
      <w:r>
        <w:t xml:space="preserve">, ff. 1, 4; </w:t>
      </w:r>
      <w:hyperlink w:anchor="SENTENCIA_2021_81" w:history="1">
        <w:r w:rsidRPr="002C5A78">
          <w:rPr>
            <w:rStyle w:val="TextoNormalCaracter"/>
          </w:rPr>
          <w:t>81/2021</w:t>
        </w:r>
      </w:hyperlink>
      <w:r>
        <w:t xml:space="preserve">, f. 4; </w:t>
      </w:r>
      <w:hyperlink w:anchor="SENTENCIA_2021_90" w:history="1">
        <w:r w:rsidRPr="002C5A78">
          <w:rPr>
            <w:rStyle w:val="TextoNormalCaracter"/>
          </w:rPr>
          <w:t>90/2021</w:t>
        </w:r>
      </w:hyperlink>
      <w:r>
        <w:t xml:space="preserve">, f. 1; </w:t>
      </w:r>
      <w:hyperlink w:anchor="SENTENCIA_2021_91" w:history="1">
        <w:r w:rsidRPr="002C5A78">
          <w:rPr>
            <w:rStyle w:val="TextoNormalCaracter"/>
          </w:rPr>
          <w:t>91/2021</w:t>
        </w:r>
      </w:hyperlink>
      <w:r>
        <w:t xml:space="preserve">, ff. 1, 3 a 5, 10; </w:t>
      </w:r>
      <w:hyperlink w:anchor="SENTENCIA_2021_105" w:history="1">
        <w:r w:rsidRPr="002C5A78">
          <w:rPr>
            <w:rStyle w:val="TextoNormalCaracter"/>
          </w:rPr>
          <w:t>105/2021</w:t>
        </w:r>
      </w:hyperlink>
      <w:r>
        <w:t xml:space="preserve">, f. 1; </w:t>
      </w:r>
      <w:hyperlink w:anchor="SENTENCIA_2021_106" w:history="1">
        <w:r w:rsidRPr="002C5A78">
          <w:rPr>
            <w:rStyle w:val="TextoNormalCaracter"/>
          </w:rPr>
          <w:t>106/2021</w:t>
        </w:r>
      </w:hyperlink>
      <w:r>
        <w:t xml:space="preserve">, ff. 1, 3 a 7; </w:t>
      </w:r>
      <w:hyperlink w:anchor="SENTENCIA_2021_107" w:history="1">
        <w:r w:rsidRPr="002C5A78">
          <w:rPr>
            <w:rStyle w:val="TextoNormalCaracter"/>
          </w:rPr>
          <w:t>107/2021</w:t>
        </w:r>
      </w:hyperlink>
      <w:r>
        <w:t xml:space="preserve">, ff. 1, 2; </w:t>
      </w:r>
      <w:hyperlink w:anchor="SENTENCIA_2021_108" w:history="1">
        <w:r w:rsidRPr="002C5A78">
          <w:rPr>
            <w:rStyle w:val="TextoNormalCaracter"/>
          </w:rPr>
          <w:t>108/2021</w:t>
        </w:r>
      </w:hyperlink>
      <w:r>
        <w:t xml:space="preserve">, f. 1, 6; </w:t>
      </w:r>
      <w:hyperlink w:anchor="SENTENCIA_2021_114" w:history="1">
        <w:r w:rsidRPr="002C5A78">
          <w:rPr>
            <w:rStyle w:val="TextoNormalCaracter"/>
          </w:rPr>
          <w:t>114/2021</w:t>
        </w:r>
      </w:hyperlink>
      <w:r>
        <w:t xml:space="preserve">, f. único; </w:t>
      </w:r>
      <w:hyperlink w:anchor="SENTENCIA_2021_121" w:history="1">
        <w:r w:rsidRPr="002C5A78">
          <w:rPr>
            <w:rStyle w:val="TextoNormalCaracter"/>
          </w:rPr>
          <w:t>121/2021</w:t>
        </w:r>
      </w:hyperlink>
      <w:r>
        <w:t xml:space="preserve">, ff. 1, 4 a 8; </w:t>
      </w:r>
      <w:hyperlink w:anchor="SENTENCIA_2021_122" w:history="1">
        <w:r w:rsidRPr="002C5A78">
          <w:rPr>
            <w:rStyle w:val="TextoNormalCaracter"/>
          </w:rPr>
          <w:t>122/2021</w:t>
        </w:r>
      </w:hyperlink>
      <w:r>
        <w:t xml:space="preserve">, ff. 4, 6, 8, 11; </w:t>
      </w:r>
      <w:hyperlink w:anchor="SENTENCIA_2021_127" w:history="1">
        <w:r w:rsidRPr="002C5A78">
          <w:rPr>
            <w:rStyle w:val="TextoNormalCaracter"/>
          </w:rPr>
          <w:t>127/2021</w:t>
        </w:r>
      </w:hyperlink>
      <w:r>
        <w:t xml:space="preserve">, f. único; </w:t>
      </w:r>
      <w:hyperlink w:anchor="SENTENCIA_2021_128" w:history="1">
        <w:r w:rsidRPr="002C5A78">
          <w:rPr>
            <w:rStyle w:val="TextoNormalCaracter"/>
          </w:rPr>
          <w:t>128/2021</w:t>
        </w:r>
      </w:hyperlink>
      <w:r>
        <w:t xml:space="preserve">, f. único; </w:t>
      </w:r>
      <w:hyperlink w:anchor="SENTENCIA_2021_132" w:history="1">
        <w:r w:rsidRPr="002C5A78">
          <w:rPr>
            <w:rStyle w:val="TextoNormalCaracter"/>
          </w:rPr>
          <w:t>132/2021</w:t>
        </w:r>
      </w:hyperlink>
      <w:r>
        <w:t xml:space="preserve">, ff. 1 a 4;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Artículo 24.2</w:t>
      </w:r>
      <w:r>
        <w:t xml:space="preserve"> (derecho a la asistencia de letrado)</w:t>
      </w:r>
      <w:r w:rsidRPr="002C5A78">
        <w:rPr>
          <w:rStyle w:val="TextoNormalNegritaCaracter"/>
        </w:rPr>
        <w:t>.</w:t>
      </w:r>
      <w:r w:rsidRPr="002C5A78">
        <w:rPr>
          <w:rStyle w:val="TextoNormalCaracter"/>
        </w:rPr>
        <w:t>-</w:t>
      </w:r>
      <w:r>
        <w:t xml:space="preserve"> Sentencias </w:t>
      </w:r>
      <w:hyperlink w:anchor="SENTENCIA_2021_26" w:history="1">
        <w:r w:rsidRPr="002C5A78">
          <w:rPr>
            <w:rStyle w:val="TextoNormalCaracter"/>
          </w:rPr>
          <w:t>26/2021</w:t>
        </w:r>
      </w:hyperlink>
      <w:r>
        <w:t xml:space="preserve">, f. único; </w:t>
      </w:r>
      <w:hyperlink w:anchor="SENTENCIA_2021_28" w:history="1">
        <w:r w:rsidRPr="002C5A78">
          <w:rPr>
            <w:rStyle w:val="TextoNormalCaracter"/>
          </w:rPr>
          <w:t>28/2021</w:t>
        </w:r>
      </w:hyperlink>
      <w:r>
        <w:t xml:space="preserve">, f. único; </w:t>
      </w:r>
      <w:hyperlink w:anchor="SENTENCIA_2021_29" w:history="1">
        <w:r w:rsidRPr="002C5A78">
          <w:rPr>
            <w:rStyle w:val="TextoNormalCaracter"/>
          </w:rPr>
          <w:t>29/2021</w:t>
        </w:r>
      </w:hyperlink>
      <w:r>
        <w:t xml:space="preserve">, ff. 1, 3 a 5; </w:t>
      </w:r>
      <w:hyperlink w:anchor="SENTENCIA_2021_35" w:history="1">
        <w:r w:rsidRPr="002C5A78">
          <w:rPr>
            <w:rStyle w:val="TextoNormalCaracter"/>
          </w:rPr>
          <w:t>35/2021</w:t>
        </w:r>
      </w:hyperlink>
      <w:r>
        <w:t xml:space="preserve">, f. 2; </w:t>
      </w:r>
      <w:hyperlink w:anchor="SENTENCIA_2021_58" w:history="1">
        <w:r w:rsidRPr="002C5A78">
          <w:rPr>
            <w:rStyle w:val="TextoNormalCaracter"/>
          </w:rPr>
          <w:t>58/2021</w:t>
        </w:r>
      </w:hyperlink>
      <w:r>
        <w:t xml:space="preserve">, f. único; </w:t>
      </w:r>
      <w:hyperlink w:anchor="SENTENCIA_2021_59" w:history="1">
        <w:r w:rsidRPr="002C5A78">
          <w:rPr>
            <w:rStyle w:val="TextoNormalCaracter"/>
          </w:rPr>
          <w:t>59/2021</w:t>
        </w:r>
      </w:hyperlink>
      <w:r>
        <w:t xml:space="preserve">, f. único; </w:t>
      </w:r>
      <w:hyperlink w:anchor="SENTENCIA_2021_85" w:history="1">
        <w:r w:rsidRPr="002C5A78">
          <w:rPr>
            <w:rStyle w:val="TextoNormalCaracter"/>
          </w:rPr>
          <w:t>85/2021</w:t>
        </w:r>
      </w:hyperlink>
      <w:r>
        <w:t xml:space="preserve">, f. único; </w:t>
      </w:r>
      <w:hyperlink w:anchor="SENTENCIA_2021_100" w:history="1">
        <w:r w:rsidRPr="002C5A78">
          <w:rPr>
            <w:rStyle w:val="TextoNormalCaracter"/>
          </w:rPr>
          <w:t>100/2021</w:t>
        </w:r>
      </w:hyperlink>
      <w:r>
        <w:t>, f. único.</w:t>
      </w:r>
    </w:p>
    <w:p w:rsidR="002C5A78" w:rsidRDefault="002C5A78" w:rsidP="002C5A78">
      <w:pPr>
        <w:pStyle w:val="SangriaFrancesaArticulo"/>
      </w:pPr>
      <w:r w:rsidRPr="002C5A78">
        <w:rPr>
          <w:rStyle w:val="TextoNormalNegritaCaracter"/>
        </w:rPr>
        <w:t>Artículo 24.2</w:t>
      </w:r>
      <w:r>
        <w:t xml:space="preserve"> (derecho a la defensa)</w:t>
      </w:r>
      <w:r w:rsidRPr="002C5A78">
        <w:rPr>
          <w:rStyle w:val="TextoNormalNegritaCaracter"/>
        </w:rPr>
        <w:t>.</w:t>
      </w:r>
      <w:r w:rsidRPr="002C5A78">
        <w:rPr>
          <w:rStyle w:val="TextoNormalCaracter"/>
        </w:rPr>
        <w:t>-</w:t>
      </w:r>
      <w:r>
        <w:t xml:space="preserve"> Sentencias </w:t>
      </w:r>
      <w:hyperlink w:anchor="SENTENCIA_2021_18" w:history="1">
        <w:r w:rsidRPr="002C5A78">
          <w:rPr>
            <w:rStyle w:val="TextoNormalCaracter"/>
          </w:rPr>
          <w:t>18/2021</w:t>
        </w:r>
      </w:hyperlink>
      <w:r>
        <w:t xml:space="preserve">, f. 3, VP; </w:t>
      </w:r>
      <w:hyperlink w:anchor="SENTENCIA_2021_22" w:history="1">
        <w:r w:rsidRPr="002C5A78">
          <w:rPr>
            <w:rStyle w:val="TextoNormalCaracter"/>
          </w:rPr>
          <w:t>22/2021</w:t>
        </w:r>
      </w:hyperlink>
      <w:r>
        <w:t xml:space="preserve">, ff. 1 a 3, VP; </w:t>
      </w:r>
      <w:hyperlink w:anchor="SENTENCIA_2021_35" w:history="1">
        <w:r w:rsidRPr="002C5A78">
          <w:rPr>
            <w:rStyle w:val="TextoNormalCaracter"/>
          </w:rPr>
          <w:t>35/2021</w:t>
        </w:r>
      </w:hyperlink>
      <w:r>
        <w:t xml:space="preserve">, ff. 1 a 5; </w:t>
      </w:r>
      <w:hyperlink w:anchor="SENTENCIA_2021_79" w:history="1">
        <w:r w:rsidRPr="002C5A78">
          <w:rPr>
            <w:rStyle w:val="TextoNormalCaracter"/>
          </w:rPr>
          <w:t>79/2021</w:t>
        </w:r>
      </w:hyperlink>
      <w:r>
        <w:t xml:space="preserve">, f. 4; </w:t>
      </w:r>
      <w:hyperlink w:anchor="SENTENCIA_2021_91" w:history="1">
        <w:r w:rsidRPr="002C5A78">
          <w:rPr>
            <w:rStyle w:val="TextoNormalCaracter"/>
          </w:rPr>
          <w:t>91/2021</w:t>
        </w:r>
      </w:hyperlink>
      <w:r>
        <w:t xml:space="preserve">, ff. 1, 5, 7, 10; </w:t>
      </w:r>
      <w:hyperlink w:anchor="SENTENCIA_2021_106" w:history="1">
        <w:r w:rsidRPr="002C5A78">
          <w:rPr>
            <w:rStyle w:val="TextoNormalCaracter"/>
          </w:rPr>
          <w:t>106/2021</w:t>
        </w:r>
      </w:hyperlink>
      <w:r>
        <w:t xml:space="preserve">, ff. 1, 4, 5, 7; </w:t>
      </w:r>
      <w:hyperlink w:anchor="SENTENCIA_2021_121" w:history="1">
        <w:r w:rsidRPr="002C5A78">
          <w:rPr>
            <w:rStyle w:val="TextoNormalCaracter"/>
          </w:rPr>
          <w:t>121/2021</w:t>
        </w:r>
      </w:hyperlink>
      <w:r>
        <w:t xml:space="preserve">, ff. 1, 5, 6, 8; </w:t>
      </w:r>
      <w:hyperlink w:anchor="SENTENCIA_2021_122" w:history="1">
        <w:r w:rsidRPr="002C5A78">
          <w:rPr>
            <w:rStyle w:val="TextoNormalCaracter"/>
          </w:rPr>
          <w:t>122/2021</w:t>
        </w:r>
      </w:hyperlink>
      <w:r>
        <w:t xml:space="preserve">, f. 6; </w:t>
      </w:r>
      <w:hyperlink w:anchor="SENTENCIA_2021_133" w:history="1">
        <w:r w:rsidRPr="002C5A78">
          <w:rPr>
            <w:rStyle w:val="TextoNormalCaracter"/>
          </w:rPr>
          <w:t>133/2021</w:t>
        </w:r>
      </w:hyperlink>
      <w:r>
        <w:t>, ff. 1, 8, VP I, VP III.</w:t>
      </w:r>
    </w:p>
    <w:p w:rsidR="002C5A78" w:rsidRDefault="002C5A78" w:rsidP="002C5A78">
      <w:pPr>
        <w:pStyle w:val="SangriaFrancesaArticulo"/>
      </w:pPr>
      <w:r w:rsidRPr="002C5A78">
        <w:rPr>
          <w:rStyle w:val="TextoNormalNegritaCaracter"/>
        </w:rPr>
        <w:t>Artículo 24.2</w:t>
      </w:r>
      <w:r>
        <w:t xml:space="preserve"> (derecho a la presunción de inocencia)</w:t>
      </w:r>
      <w:r w:rsidRPr="002C5A78">
        <w:rPr>
          <w:rStyle w:val="TextoNormalNegritaCaracter"/>
        </w:rPr>
        <w:t>.</w:t>
      </w:r>
      <w:r w:rsidRPr="002C5A78">
        <w:rPr>
          <w:rStyle w:val="TextoNormalCaracter"/>
        </w:rPr>
        <w:t>-</w:t>
      </w:r>
      <w:r>
        <w:t xml:space="preserve"> Sentencias </w:t>
      </w:r>
      <w:hyperlink w:anchor="SENTENCIA_2021_18" w:history="1">
        <w:r w:rsidRPr="002C5A78">
          <w:rPr>
            <w:rStyle w:val="TextoNormalCaracter"/>
          </w:rPr>
          <w:t>18/2021</w:t>
        </w:r>
      </w:hyperlink>
      <w:r>
        <w:t xml:space="preserve">, f. 1; </w:t>
      </w:r>
      <w:hyperlink w:anchor="SENTENCIA_2021_21" w:history="1">
        <w:r w:rsidRPr="002C5A78">
          <w:rPr>
            <w:rStyle w:val="TextoNormalCaracter"/>
          </w:rPr>
          <w:t>21/2021</w:t>
        </w:r>
      </w:hyperlink>
      <w:r>
        <w:t xml:space="preserve">, ff. 1 a 3; </w:t>
      </w:r>
      <w:hyperlink w:anchor="SENTENCIA_2021_22" w:history="1">
        <w:r w:rsidRPr="002C5A78">
          <w:rPr>
            <w:rStyle w:val="TextoNormalCaracter"/>
          </w:rPr>
          <w:t>22/2021</w:t>
        </w:r>
      </w:hyperlink>
      <w:r>
        <w:t xml:space="preserve">, f. 1; </w:t>
      </w:r>
      <w:hyperlink w:anchor="SENTENCIA_2021_35" w:history="1">
        <w:r w:rsidRPr="002C5A78">
          <w:rPr>
            <w:rStyle w:val="TextoNormalCaracter"/>
          </w:rPr>
          <w:t>35/2021</w:t>
        </w:r>
      </w:hyperlink>
      <w:r>
        <w:t xml:space="preserve">, f. 1; </w:t>
      </w:r>
      <w:hyperlink w:anchor="SENTENCIA_2021_41" w:history="1">
        <w:r w:rsidRPr="002C5A78">
          <w:rPr>
            <w:rStyle w:val="TextoNormalCaracter"/>
          </w:rPr>
          <w:t>41/2021</w:t>
        </w:r>
      </w:hyperlink>
      <w:r>
        <w:t xml:space="preserve">, ff. 1 a 4; </w:t>
      </w:r>
      <w:hyperlink w:anchor="SENTENCIA_2021_51" w:history="1">
        <w:r w:rsidRPr="002C5A78">
          <w:rPr>
            <w:rStyle w:val="TextoNormalCaracter"/>
          </w:rPr>
          <w:t>51/2021</w:t>
        </w:r>
      </w:hyperlink>
      <w:r>
        <w:t xml:space="preserve">, ff. 1, 2, 5 a 7; </w:t>
      </w:r>
      <w:hyperlink w:anchor="SENTENCIA_2021_67" w:history="1">
        <w:r w:rsidRPr="002C5A78">
          <w:rPr>
            <w:rStyle w:val="TextoNormalCaracter"/>
          </w:rPr>
          <w:t>67/2021</w:t>
        </w:r>
      </w:hyperlink>
      <w:r>
        <w:t xml:space="preserve">, f. 1; </w:t>
      </w:r>
      <w:hyperlink w:anchor="SENTENCIA_2021_81" w:history="1">
        <w:r w:rsidRPr="002C5A78">
          <w:rPr>
            <w:rStyle w:val="TextoNormalCaracter"/>
          </w:rPr>
          <w:t>81/2021</w:t>
        </w:r>
      </w:hyperlink>
      <w:r>
        <w:t xml:space="preserve">, f. 1; </w:t>
      </w:r>
      <w:hyperlink w:anchor="SENTENCIA_2021_83" w:history="1">
        <w:r w:rsidRPr="002C5A78">
          <w:rPr>
            <w:rStyle w:val="TextoNormalCaracter"/>
          </w:rPr>
          <w:t>83/2021</w:t>
        </w:r>
      </w:hyperlink>
      <w:r>
        <w:t xml:space="preserve">, f. único; </w:t>
      </w:r>
      <w:hyperlink w:anchor="SENTENCIA_2021_91" w:history="1">
        <w:r w:rsidRPr="002C5A78">
          <w:rPr>
            <w:rStyle w:val="TextoNormalCaracter"/>
          </w:rPr>
          <w:t>91/2021</w:t>
        </w:r>
      </w:hyperlink>
      <w:r>
        <w:t xml:space="preserve">, ff. 4, 6, 8; </w:t>
      </w:r>
      <w:hyperlink w:anchor="SENTENCIA_2021_98" w:history="1">
        <w:r w:rsidRPr="002C5A78">
          <w:rPr>
            <w:rStyle w:val="TextoNormalCaracter"/>
          </w:rPr>
          <w:t>98/2021</w:t>
        </w:r>
      </w:hyperlink>
      <w:r>
        <w:t xml:space="preserve">, ff. 1 a 3; </w:t>
      </w:r>
      <w:hyperlink w:anchor="SENTENCIA_2021_99" w:history="1">
        <w:r w:rsidRPr="002C5A78">
          <w:rPr>
            <w:rStyle w:val="TextoNormalCaracter"/>
          </w:rPr>
          <w:t>99/2021</w:t>
        </w:r>
      </w:hyperlink>
      <w:r>
        <w:t xml:space="preserve">, ff. 1, 9; </w:t>
      </w:r>
      <w:hyperlink w:anchor="SENTENCIA_2021_106" w:history="1">
        <w:r w:rsidRPr="002C5A78">
          <w:rPr>
            <w:rStyle w:val="TextoNormalCaracter"/>
          </w:rPr>
          <w:t>106/2021</w:t>
        </w:r>
      </w:hyperlink>
      <w:r>
        <w:t xml:space="preserve">, ff. 4, 6, 8; </w:t>
      </w:r>
      <w:hyperlink w:anchor="SENTENCIA_2021_107" w:history="1">
        <w:r w:rsidRPr="002C5A78">
          <w:rPr>
            <w:rStyle w:val="TextoNormalCaracter"/>
          </w:rPr>
          <w:t>107/2021</w:t>
        </w:r>
      </w:hyperlink>
      <w:r>
        <w:t xml:space="preserve">, ff. 1, 2; </w:t>
      </w:r>
      <w:hyperlink w:anchor="SENTENCIA_2021_108" w:history="1">
        <w:r w:rsidRPr="002C5A78">
          <w:rPr>
            <w:rStyle w:val="TextoNormalCaracter"/>
          </w:rPr>
          <w:t>108/2021</w:t>
        </w:r>
      </w:hyperlink>
      <w:r>
        <w:t xml:space="preserve">, f. 1; </w:t>
      </w:r>
      <w:hyperlink w:anchor="SENTENCIA_2021_121" w:history="1">
        <w:r w:rsidRPr="002C5A78">
          <w:rPr>
            <w:rStyle w:val="TextoNormalCaracter"/>
          </w:rPr>
          <w:t>121/2021</w:t>
        </w:r>
      </w:hyperlink>
      <w:r>
        <w:t xml:space="preserve">, ff. 1, 7, 9; </w:t>
      </w:r>
      <w:hyperlink w:anchor="SENTENCIA_2021_122" w:history="1">
        <w:r w:rsidRPr="002C5A78">
          <w:rPr>
            <w:rStyle w:val="TextoNormalCaracter"/>
          </w:rPr>
          <w:t>122/2021</w:t>
        </w:r>
      </w:hyperlink>
      <w:r>
        <w:t xml:space="preserve">, ff. 7, 8; </w:t>
      </w:r>
      <w:hyperlink w:anchor="SENTENCIA_2021_133" w:history="1">
        <w:r w:rsidRPr="002C5A78">
          <w:rPr>
            <w:rStyle w:val="TextoNormalCaracter"/>
          </w:rPr>
          <w:t>133/2021</w:t>
        </w:r>
      </w:hyperlink>
      <w:r>
        <w:t>, f. 8, VP II.</w:t>
      </w:r>
    </w:p>
    <w:p w:rsidR="002C5A78" w:rsidRDefault="002C5A78" w:rsidP="002C5A78">
      <w:pPr>
        <w:pStyle w:val="SangriaFrancesaArticulo"/>
      </w:pPr>
      <w:r w:rsidRPr="002C5A78">
        <w:rPr>
          <w:rStyle w:val="TextoNormalNegritaCaracter"/>
        </w:rPr>
        <w:t>Artículo 24.2</w:t>
      </w:r>
      <w:r>
        <w:t xml:space="preserve"> (derecho a la prueba)</w:t>
      </w:r>
      <w:r w:rsidRPr="002C5A78">
        <w:rPr>
          <w:rStyle w:val="TextoNormalNegritaCaracter"/>
        </w:rPr>
        <w:t>.</w:t>
      </w:r>
      <w:r w:rsidRPr="002C5A78">
        <w:rPr>
          <w:rStyle w:val="TextoNormalCaracter"/>
        </w:rPr>
        <w:t>-</w:t>
      </w:r>
      <w:r>
        <w:t xml:space="preserve"> Sentencias </w:t>
      </w:r>
      <w:hyperlink w:anchor="SENTENCIA_2021_35" w:history="1">
        <w:r w:rsidRPr="002C5A78">
          <w:rPr>
            <w:rStyle w:val="TextoNormalCaracter"/>
          </w:rPr>
          <w:t>35/2021</w:t>
        </w:r>
      </w:hyperlink>
      <w:r>
        <w:t xml:space="preserve">, ff. 3, 4; </w:t>
      </w:r>
      <w:hyperlink w:anchor="SENTENCIA_2021_91" w:history="1">
        <w:r w:rsidRPr="002C5A78">
          <w:rPr>
            <w:rStyle w:val="TextoNormalCaracter"/>
          </w:rPr>
          <w:t>91/2021</w:t>
        </w:r>
      </w:hyperlink>
      <w:r>
        <w:t xml:space="preserve">, ff. 4, 6, 7; </w:t>
      </w:r>
      <w:hyperlink w:anchor="SENTENCIA_2021_106" w:history="1">
        <w:r w:rsidRPr="002C5A78">
          <w:rPr>
            <w:rStyle w:val="TextoNormalCaracter"/>
          </w:rPr>
          <w:t>106/2021</w:t>
        </w:r>
      </w:hyperlink>
      <w:r>
        <w:t xml:space="preserve">, ff. 6, 7; </w:t>
      </w:r>
      <w:hyperlink w:anchor="SENTENCIA_2021_107" w:history="1">
        <w:r w:rsidRPr="002C5A78">
          <w:rPr>
            <w:rStyle w:val="TextoNormalCaracter"/>
          </w:rPr>
          <w:t>107/2021</w:t>
        </w:r>
      </w:hyperlink>
      <w:r>
        <w:t xml:space="preserve">, ff. 1, 3; </w:t>
      </w:r>
      <w:hyperlink w:anchor="SENTENCIA_2021_121" w:history="1">
        <w:r w:rsidRPr="002C5A78">
          <w:rPr>
            <w:rStyle w:val="TextoNormalCaracter"/>
          </w:rPr>
          <w:t>121/2021</w:t>
        </w:r>
      </w:hyperlink>
      <w:r>
        <w:t xml:space="preserve">, ff. 7, 8;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Artículo 24.2</w:t>
      </w:r>
      <w:r>
        <w:t xml:space="preserve"> (derecho a no confesarse culpable)</w:t>
      </w:r>
      <w:r w:rsidRPr="002C5A78">
        <w:rPr>
          <w:rStyle w:val="TextoNormalNegritaCaracter"/>
        </w:rPr>
        <w:t>.</w:t>
      </w:r>
      <w:r w:rsidRPr="002C5A78">
        <w:rPr>
          <w:rStyle w:val="TextoNormalCaracter"/>
        </w:rPr>
        <w:t>-</w:t>
      </w:r>
      <w:r>
        <w:t xml:space="preserve"> Sentencia </w:t>
      </w:r>
      <w:hyperlink w:anchor="SENTENCIA_2021_21" w:history="1">
        <w:r w:rsidRPr="002C5A78">
          <w:rPr>
            <w:rStyle w:val="TextoNormalCaracter"/>
          </w:rPr>
          <w:t>21/2021</w:t>
        </w:r>
      </w:hyperlink>
      <w:r>
        <w:t>, ff. 1 a 3.</w:t>
      </w:r>
    </w:p>
    <w:p w:rsidR="002C5A78" w:rsidRDefault="002C5A78" w:rsidP="002C5A78">
      <w:pPr>
        <w:pStyle w:val="SangriaFrancesaArticulo"/>
      </w:pPr>
      <w:r w:rsidRPr="002C5A78">
        <w:rPr>
          <w:rStyle w:val="TextoNormalNegritaCaracter"/>
        </w:rPr>
        <w:t>Artículo 24.2</w:t>
      </w:r>
      <w:r>
        <w:t xml:space="preserve"> (derecho a no declarar contra sí mismo)</w:t>
      </w:r>
      <w:r w:rsidRPr="002C5A78">
        <w:rPr>
          <w:rStyle w:val="TextoNormalNegritaCaracter"/>
        </w:rPr>
        <w:t>.</w:t>
      </w:r>
      <w:r w:rsidRPr="002C5A78">
        <w:rPr>
          <w:rStyle w:val="TextoNormalCaracter"/>
        </w:rPr>
        <w:t>-</w:t>
      </w:r>
      <w:r>
        <w:t xml:space="preserve"> Sentencia </w:t>
      </w:r>
      <w:hyperlink w:anchor="SENTENCIA_2021_21" w:history="1">
        <w:r w:rsidRPr="002C5A78">
          <w:rPr>
            <w:rStyle w:val="TextoNormalCaracter"/>
          </w:rPr>
          <w:t>21/2021</w:t>
        </w:r>
      </w:hyperlink>
      <w:r>
        <w:t>, f. 4.</w:t>
      </w:r>
    </w:p>
    <w:p w:rsidR="002C5A78" w:rsidRDefault="002C5A78" w:rsidP="002C5A78">
      <w:pPr>
        <w:pStyle w:val="SangriaFrancesaArticulo"/>
      </w:pPr>
      <w:r w:rsidRPr="002C5A78">
        <w:rPr>
          <w:rStyle w:val="TextoNormalNegritaCaracter"/>
        </w:rPr>
        <w:t>Artículo 24.2</w:t>
      </w:r>
      <w:r>
        <w:t xml:space="preserve"> (derecho a ser informado de la acusación)</w:t>
      </w:r>
      <w:r w:rsidRPr="002C5A78">
        <w:rPr>
          <w:rStyle w:val="TextoNormalNegritaCaracter"/>
        </w:rPr>
        <w:t>.</w:t>
      </w:r>
      <w:r w:rsidRPr="002C5A78">
        <w:rPr>
          <w:rStyle w:val="TextoNormalCaracter"/>
        </w:rPr>
        <w:t>-</w:t>
      </w:r>
      <w:r>
        <w:t xml:space="preserve"> Sentencias </w:t>
      </w:r>
      <w:hyperlink w:anchor="SENTENCIA_2021_22" w:history="1">
        <w:r w:rsidRPr="002C5A78">
          <w:rPr>
            <w:rStyle w:val="TextoNormalCaracter"/>
          </w:rPr>
          <w:t>22/2021</w:t>
        </w:r>
      </w:hyperlink>
      <w:r>
        <w:t xml:space="preserve">, ff. 1, 3; </w:t>
      </w:r>
      <w:hyperlink w:anchor="SENTENCIA_2021_91" w:history="1">
        <w:r w:rsidRPr="002C5A78">
          <w:rPr>
            <w:rStyle w:val="TextoNormalCaracter"/>
          </w:rPr>
          <w:t>91/2021</w:t>
        </w:r>
      </w:hyperlink>
      <w:r>
        <w:t xml:space="preserve">, ff. 5, 10;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Artículo 24.2</w:t>
      </w:r>
      <w:r>
        <w:t xml:space="preserve"> (derecho a un juez imparcial)</w:t>
      </w:r>
      <w:r w:rsidRPr="002C5A78">
        <w:rPr>
          <w:rStyle w:val="TextoNormalNegritaCaracter"/>
        </w:rPr>
        <w:t>.</w:t>
      </w:r>
      <w:r w:rsidRPr="002C5A78">
        <w:rPr>
          <w:rStyle w:val="TextoNormalCaracter"/>
        </w:rPr>
        <w:t>-</w:t>
      </w:r>
      <w:r>
        <w:t xml:space="preserve"> Sentencias </w:t>
      </w:r>
      <w:hyperlink w:anchor="SENTENCIA_2021_22" w:history="1">
        <w:r w:rsidRPr="002C5A78">
          <w:rPr>
            <w:rStyle w:val="TextoNormalCaracter"/>
          </w:rPr>
          <w:t>22/2021</w:t>
        </w:r>
      </w:hyperlink>
      <w:r>
        <w:t xml:space="preserve">, ff. 1, 3; </w:t>
      </w:r>
      <w:hyperlink w:anchor="SENTENCIA_2021_35" w:history="1">
        <w:r w:rsidRPr="002C5A78">
          <w:rPr>
            <w:rStyle w:val="TextoNormalCaracter"/>
          </w:rPr>
          <w:t>35/2021</w:t>
        </w:r>
      </w:hyperlink>
      <w:r>
        <w:t xml:space="preserve">, f. 3; </w:t>
      </w:r>
      <w:hyperlink w:anchor="SENTENCIA_2021_91" w:history="1">
        <w:r w:rsidRPr="002C5A78">
          <w:rPr>
            <w:rStyle w:val="TextoNormalCaracter"/>
          </w:rPr>
          <w:t>91/2021</w:t>
        </w:r>
      </w:hyperlink>
      <w:r>
        <w:t xml:space="preserve">, ff. 1, 5, 9, 10; </w:t>
      </w:r>
      <w:hyperlink w:anchor="SENTENCIA_2021_106" w:history="1">
        <w:r w:rsidRPr="002C5A78">
          <w:rPr>
            <w:rStyle w:val="TextoNormalCaracter"/>
          </w:rPr>
          <w:t>106/2021</w:t>
        </w:r>
      </w:hyperlink>
      <w:r>
        <w:t xml:space="preserve">, ff. 1, 5, 9; </w:t>
      </w:r>
      <w:hyperlink w:anchor="SENTENCIA_2021_121" w:history="1">
        <w:r w:rsidRPr="002C5A78">
          <w:rPr>
            <w:rStyle w:val="TextoNormalCaracter"/>
          </w:rPr>
          <w:t>121/2021</w:t>
        </w:r>
      </w:hyperlink>
      <w:r>
        <w:t xml:space="preserve">, ff. 1, 4, 6, 10; </w:t>
      </w:r>
      <w:hyperlink w:anchor="SENTENCIA_2021_122" w:history="1">
        <w:r w:rsidRPr="002C5A78">
          <w:rPr>
            <w:rStyle w:val="TextoNormalCaracter"/>
          </w:rPr>
          <w:t>122/2021</w:t>
        </w:r>
      </w:hyperlink>
      <w:r>
        <w:t>, ff. 1, 7.</w:t>
      </w:r>
    </w:p>
    <w:p w:rsidR="002C5A78" w:rsidRDefault="002C5A78" w:rsidP="002C5A78">
      <w:pPr>
        <w:pStyle w:val="SangriaFrancesaArticulo"/>
      </w:pPr>
      <w:r w:rsidRPr="002C5A78">
        <w:rPr>
          <w:rStyle w:val="TextoNormalNegritaCaracter"/>
        </w:rPr>
        <w:t>Artículo 24.2</w:t>
      </w:r>
      <w:r>
        <w:t xml:space="preserve"> (derecho a un proceso con todas las garantías)</w:t>
      </w:r>
      <w:r w:rsidRPr="002C5A78">
        <w:rPr>
          <w:rStyle w:val="TextoNormalNegritaCaracter"/>
        </w:rPr>
        <w:t>.</w:t>
      </w:r>
      <w:r w:rsidRPr="002C5A78">
        <w:rPr>
          <w:rStyle w:val="TextoNormalCaracter"/>
        </w:rPr>
        <w:t>-</w:t>
      </w:r>
      <w:r>
        <w:t xml:space="preserve"> Sentencias </w:t>
      </w:r>
      <w:hyperlink w:anchor="SENTENCIA_2021_3" w:history="1">
        <w:r w:rsidRPr="002C5A78">
          <w:rPr>
            <w:rStyle w:val="TextoNormalCaracter"/>
          </w:rPr>
          <w:t>3/2021</w:t>
        </w:r>
      </w:hyperlink>
      <w:r>
        <w:t xml:space="preserve">, ff. 1 a 4; </w:t>
      </w:r>
      <w:hyperlink w:anchor="SENTENCIA_2021_4" w:history="1">
        <w:r w:rsidRPr="002C5A78">
          <w:rPr>
            <w:rStyle w:val="TextoNormalCaracter"/>
          </w:rPr>
          <w:t>4/2021</w:t>
        </w:r>
      </w:hyperlink>
      <w:r>
        <w:t xml:space="preserve">, ff. 1 a 4; </w:t>
      </w:r>
      <w:hyperlink w:anchor="SENTENCIA_2021_18" w:history="1">
        <w:r w:rsidRPr="002C5A78">
          <w:rPr>
            <w:rStyle w:val="TextoNormalCaracter"/>
          </w:rPr>
          <w:t>18/2021</w:t>
        </w:r>
      </w:hyperlink>
      <w:r>
        <w:t xml:space="preserve">, ff. 1 a 4, VP; </w:t>
      </w:r>
      <w:hyperlink w:anchor="SENTENCIA_2021_22" w:history="1">
        <w:r w:rsidRPr="002C5A78">
          <w:rPr>
            <w:rStyle w:val="TextoNormalCaracter"/>
          </w:rPr>
          <w:t>22/2021</w:t>
        </w:r>
      </w:hyperlink>
      <w:r>
        <w:t xml:space="preserve">, ff. 1, 2, 4, VP; </w:t>
      </w:r>
      <w:hyperlink w:anchor="SENTENCIA_2021_26" w:history="1">
        <w:r w:rsidRPr="002C5A78">
          <w:rPr>
            <w:rStyle w:val="TextoNormalCaracter"/>
          </w:rPr>
          <w:t>26/2021</w:t>
        </w:r>
      </w:hyperlink>
      <w:r>
        <w:t xml:space="preserve">, f. único; </w:t>
      </w:r>
      <w:hyperlink w:anchor="SENTENCIA_2021_28" w:history="1">
        <w:r w:rsidRPr="002C5A78">
          <w:rPr>
            <w:rStyle w:val="TextoNormalCaracter"/>
          </w:rPr>
          <w:t>28/2021</w:t>
        </w:r>
      </w:hyperlink>
      <w:r>
        <w:t xml:space="preserve">, f. único; </w:t>
      </w:r>
      <w:hyperlink w:anchor="SENTENCIA_2021_35" w:history="1">
        <w:r w:rsidRPr="002C5A78">
          <w:rPr>
            <w:rStyle w:val="TextoNormalCaracter"/>
          </w:rPr>
          <w:t>35/2021</w:t>
        </w:r>
      </w:hyperlink>
      <w:r>
        <w:t xml:space="preserve">, ff. 1, 2, 5; </w:t>
      </w:r>
      <w:hyperlink w:anchor="SENTENCIA_2021_51" w:history="1">
        <w:r w:rsidRPr="002C5A78">
          <w:rPr>
            <w:rStyle w:val="TextoNormalCaracter"/>
          </w:rPr>
          <w:t>51/2021</w:t>
        </w:r>
      </w:hyperlink>
      <w:r>
        <w:t xml:space="preserve">, ff. 1, 2, 6; </w:t>
      </w:r>
      <w:hyperlink w:anchor="SENTENCIA_2021_58" w:history="1">
        <w:r w:rsidRPr="002C5A78">
          <w:rPr>
            <w:rStyle w:val="TextoNormalCaracter"/>
          </w:rPr>
          <w:t>58/2021</w:t>
        </w:r>
      </w:hyperlink>
      <w:r>
        <w:t xml:space="preserve">, f. único; </w:t>
      </w:r>
      <w:hyperlink w:anchor="SENTENCIA_2021_59" w:history="1">
        <w:r w:rsidRPr="002C5A78">
          <w:rPr>
            <w:rStyle w:val="TextoNormalCaracter"/>
          </w:rPr>
          <w:t>59/2021</w:t>
        </w:r>
      </w:hyperlink>
      <w:r>
        <w:t xml:space="preserve">, f. único; </w:t>
      </w:r>
      <w:hyperlink w:anchor="SENTENCIA_2021_70" w:history="1">
        <w:r w:rsidRPr="002C5A78">
          <w:rPr>
            <w:rStyle w:val="TextoNormalCaracter"/>
          </w:rPr>
          <w:t>70/2021</w:t>
        </w:r>
      </w:hyperlink>
      <w:r>
        <w:t xml:space="preserve">, ff. 1 a 3, 5, 6; </w:t>
      </w:r>
      <w:hyperlink w:anchor="SENTENCIA_2021_71" w:history="1">
        <w:r w:rsidRPr="002C5A78">
          <w:rPr>
            <w:rStyle w:val="TextoNormalCaracter"/>
          </w:rPr>
          <w:t>71/2021</w:t>
        </w:r>
      </w:hyperlink>
      <w:r>
        <w:t xml:space="preserve">, ff. 1 a 3, 5, 6; </w:t>
      </w:r>
      <w:hyperlink w:anchor="SENTENCIA_2021_85" w:history="1">
        <w:r w:rsidRPr="002C5A78">
          <w:rPr>
            <w:rStyle w:val="TextoNormalCaracter"/>
          </w:rPr>
          <w:t>85/2021</w:t>
        </w:r>
      </w:hyperlink>
      <w:r>
        <w:t xml:space="preserve">, f. único; </w:t>
      </w:r>
      <w:hyperlink w:anchor="SENTENCIA_2021_91" w:history="1">
        <w:r w:rsidRPr="002C5A78">
          <w:rPr>
            <w:rStyle w:val="TextoNormalCaracter"/>
          </w:rPr>
          <w:t>91/2021</w:t>
        </w:r>
      </w:hyperlink>
      <w:r>
        <w:t xml:space="preserve">, ff. 1, 3, 5 a 7, 10; </w:t>
      </w:r>
      <w:hyperlink w:anchor="SENTENCIA_2021_92" w:history="1">
        <w:r w:rsidRPr="002C5A78">
          <w:rPr>
            <w:rStyle w:val="TextoNormalCaracter"/>
          </w:rPr>
          <w:t>92/2021</w:t>
        </w:r>
      </w:hyperlink>
      <w:r>
        <w:t xml:space="preserve">, f. 1; </w:t>
      </w:r>
      <w:hyperlink w:anchor="SENTENCIA_2021_100" w:history="1">
        <w:r w:rsidRPr="002C5A78">
          <w:rPr>
            <w:rStyle w:val="TextoNormalCaracter"/>
          </w:rPr>
          <w:t>100/2021</w:t>
        </w:r>
      </w:hyperlink>
      <w:r>
        <w:t xml:space="preserve">, f. único; </w:t>
      </w:r>
      <w:hyperlink w:anchor="SENTENCIA_2021_106" w:history="1">
        <w:r w:rsidRPr="002C5A78">
          <w:rPr>
            <w:rStyle w:val="TextoNormalCaracter"/>
          </w:rPr>
          <w:t>106/2021</w:t>
        </w:r>
      </w:hyperlink>
      <w:r>
        <w:t xml:space="preserve">, ff. 1, 3, 5, 6; </w:t>
      </w:r>
      <w:hyperlink w:anchor="SENTENCIA_2021_120" w:history="1">
        <w:r w:rsidRPr="002C5A78">
          <w:rPr>
            <w:rStyle w:val="TextoNormalCaracter"/>
          </w:rPr>
          <w:t>120/2021</w:t>
        </w:r>
      </w:hyperlink>
      <w:r>
        <w:t xml:space="preserve">, ff. 1, 4; </w:t>
      </w:r>
      <w:hyperlink w:anchor="SENTENCIA_2021_121" w:history="1">
        <w:r w:rsidRPr="002C5A78">
          <w:rPr>
            <w:rStyle w:val="TextoNormalCaracter"/>
          </w:rPr>
          <w:t>121/2021</w:t>
        </w:r>
      </w:hyperlink>
      <w:r>
        <w:t xml:space="preserve">, ff. 1, 4, 6, 7; </w:t>
      </w:r>
      <w:hyperlink w:anchor="SENTENCIA_2021_122" w:history="1">
        <w:r w:rsidRPr="002C5A78">
          <w:rPr>
            <w:rStyle w:val="TextoNormalCaracter"/>
          </w:rPr>
          <w:t>122/2021</w:t>
        </w:r>
      </w:hyperlink>
      <w:r>
        <w:t xml:space="preserve">, ff. 5, 7; </w:t>
      </w:r>
      <w:hyperlink w:anchor="SENTENCIA_2021_133" w:history="1">
        <w:r w:rsidRPr="002C5A78">
          <w:rPr>
            <w:rStyle w:val="TextoNormalCaracter"/>
          </w:rPr>
          <w:t>133/2021</w:t>
        </w:r>
      </w:hyperlink>
      <w:r>
        <w:t>, ff. 1, 8, VP I, VP II, VP III.</w:t>
      </w:r>
    </w:p>
    <w:p w:rsidR="002C5A78" w:rsidRDefault="002C5A78" w:rsidP="002C5A78">
      <w:pPr>
        <w:pStyle w:val="SangriaFrancesaArticulo"/>
      </w:pPr>
      <w:r w:rsidRPr="002C5A78">
        <w:rPr>
          <w:rStyle w:val="TextoNormalNegritaCaracter"/>
        </w:rPr>
        <w:t>Artículo 24.2</w:t>
      </w:r>
      <w:r>
        <w:t xml:space="preserve"> (derecho a un proceso público)</w:t>
      </w:r>
      <w:r w:rsidRPr="002C5A78">
        <w:rPr>
          <w:rStyle w:val="TextoNormalNegritaCaracter"/>
        </w:rPr>
        <w:t>.</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xml:space="preserve">, f. 10; </w:t>
      </w:r>
      <w:hyperlink w:anchor="SENTENCIA_2021_122" w:history="1">
        <w:r w:rsidRPr="002C5A78">
          <w:rPr>
            <w:rStyle w:val="TextoNormalCaracter"/>
          </w:rPr>
          <w:t>122/2021</w:t>
        </w:r>
      </w:hyperlink>
      <w:r>
        <w:t>, ff. 6, 7.</w:t>
      </w:r>
    </w:p>
    <w:p w:rsidR="002C5A78" w:rsidRDefault="002C5A78" w:rsidP="002C5A78">
      <w:pPr>
        <w:pStyle w:val="SangriaFrancesaArticulo"/>
      </w:pPr>
      <w:r w:rsidRPr="002C5A78">
        <w:rPr>
          <w:rStyle w:val="TextoNormalNegritaCaracter"/>
        </w:rPr>
        <w:t>Artículo 24.2</w:t>
      </w:r>
      <w:r>
        <w:t xml:space="preserve"> (derecho al juez ordinario predeterminado por la ley)</w:t>
      </w:r>
      <w:r w:rsidRPr="002C5A78">
        <w:rPr>
          <w:rStyle w:val="TextoNormalNegritaCaracter"/>
        </w:rPr>
        <w:t>.</w:t>
      </w:r>
      <w:r w:rsidRPr="002C5A78">
        <w:rPr>
          <w:rStyle w:val="TextoNormalCaracter"/>
        </w:rPr>
        <w:t>-</w:t>
      </w:r>
      <w:r>
        <w:t xml:space="preserve"> Sentencias </w:t>
      </w:r>
      <w:hyperlink w:anchor="SENTENCIA_2021_23" w:history="1">
        <w:r w:rsidRPr="002C5A78">
          <w:rPr>
            <w:rStyle w:val="TextoNormalCaracter"/>
          </w:rPr>
          <w:t>23/2021</w:t>
        </w:r>
      </w:hyperlink>
      <w:r>
        <w:t xml:space="preserve">, ff. 1, 2; </w:t>
      </w:r>
      <w:hyperlink w:anchor="SENTENCIA_2021_35" w:history="1">
        <w:r w:rsidRPr="002C5A78">
          <w:rPr>
            <w:rStyle w:val="TextoNormalCaracter"/>
          </w:rPr>
          <w:t>35/2021</w:t>
        </w:r>
      </w:hyperlink>
      <w:r>
        <w:t xml:space="preserve">, f. 3; </w:t>
      </w:r>
      <w:hyperlink w:anchor="SENTENCIA_2021_91" w:history="1">
        <w:r w:rsidRPr="002C5A78">
          <w:rPr>
            <w:rStyle w:val="TextoNormalCaracter"/>
          </w:rPr>
          <w:t>91/2021</w:t>
        </w:r>
      </w:hyperlink>
      <w:r>
        <w:t xml:space="preserve">, ff. 1, 3, 5; </w:t>
      </w:r>
      <w:hyperlink w:anchor="SENTENCIA_2021_106" w:history="1">
        <w:r w:rsidRPr="002C5A78">
          <w:rPr>
            <w:rStyle w:val="TextoNormalCaracter"/>
          </w:rPr>
          <w:t>106/2021</w:t>
        </w:r>
      </w:hyperlink>
      <w:r>
        <w:t xml:space="preserve">, ff. 1, 3, 5; </w:t>
      </w:r>
      <w:hyperlink w:anchor="SENTENCIA_2021_108" w:history="1">
        <w:r w:rsidRPr="002C5A78">
          <w:rPr>
            <w:rStyle w:val="TextoNormalCaracter"/>
          </w:rPr>
          <w:t>108/2021</w:t>
        </w:r>
      </w:hyperlink>
      <w:r>
        <w:t xml:space="preserve">, f. 6; </w:t>
      </w:r>
      <w:hyperlink w:anchor="SENTENCIA_2021_121" w:history="1">
        <w:r w:rsidRPr="002C5A78">
          <w:rPr>
            <w:rStyle w:val="TextoNormalCaracter"/>
          </w:rPr>
          <w:t>121/2021</w:t>
        </w:r>
      </w:hyperlink>
      <w:r>
        <w:t xml:space="preserve">, ff. 1, 4, 6; </w:t>
      </w:r>
      <w:hyperlink w:anchor="SENTENCIA_2021_122" w:history="1">
        <w:r w:rsidRPr="002C5A78">
          <w:rPr>
            <w:rStyle w:val="TextoNormalCaracter"/>
          </w:rPr>
          <w:t>122/2021</w:t>
        </w:r>
      </w:hyperlink>
      <w:r>
        <w:t>, ff. 1, 4, 6.</w:t>
      </w:r>
    </w:p>
    <w:p w:rsidR="002C5A78" w:rsidRDefault="002C5A78" w:rsidP="002C5A78">
      <w:pPr>
        <w:pStyle w:val="SangriaFrancesaArticulo"/>
      </w:pPr>
      <w:r w:rsidRPr="002C5A78">
        <w:rPr>
          <w:rStyle w:val="TextoNormalNegritaCaracter"/>
        </w:rPr>
        <w:t>Artículo 25.</w:t>
      </w:r>
      <w:r w:rsidRPr="002C5A78">
        <w:rPr>
          <w:rStyle w:val="TextoNormalCaracter"/>
        </w:rPr>
        <w:t>-</w:t>
      </w:r>
      <w:r>
        <w:t xml:space="preserve"> Sentencias </w:t>
      </w:r>
      <w:hyperlink w:anchor="SENTENCIA_2021_13" w:history="1">
        <w:r w:rsidRPr="002C5A78">
          <w:rPr>
            <w:rStyle w:val="TextoNormalCaracter"/>
          </w:rPr>
          <w:t>13/2021</w:t>
        </w:r>
      </w:hyperlink>
      <w:r>
        <w:t xml:space="preserve">, ff. 2, 4, VP II; </w:t>
      </w:r>
      <w:hyperlink w:anchor="SENTENCIA_2021_14" w:history="1">
        <w:r w:rsidRPr="002C5A78">
          <w:rPr>
            <w:rStyle w:val="TextoNormalCaracter"/>
          </w:rPr>
          <w:t>14/2021</w:t>
        </w:r>
      </w:hyperlink>
      <w:r>
        <w:t xml:space="preserve">, f. 5, VP II; </w:t>
      </w:r>
      <w:hyperlink w:anchor="SENTENCIA_2021_51" w:history="1">
        <w:r w:rsidRPr="002C5A78">
          <w:rPr>
            <w:rStyle w:val="TextoNormalCaracter"/>
          </w:rPr>
          <w:t>51/2021</w:t>
        </w:r>
      </w:hyperlink>
      <w:r>
        <w:t xml:space="preserve">, f. 5; </w:t>
      </w:r>
      <w:hyperlink w:anchor="SENTENCIA_2021_67" w:history="1">
        <w:r w:rsidRPr="002C5A78">
          <w:rPr>
            <w:rStyle w:val="TextoNormalCaracter"/>
          </w:rPr>
          <w:t>67/2021</w:t>
        </w:r>
      </w:hyperlink>
      <w:r>
        <w:t xml:space="preserve">, f. 1; </w:t>
      </w:r>
      <w:hyperlink w:anchor="SENTENCIA_2021_69" w:history="1">
        <w:r w:rsidRPr="002C5A78">
          <w:rPr>
            <w:rStyle w:val="TextoNormalCaracter"/>
          </w:rPr>
          <w:t>69/2021</w:t>
        </w:r>
      </w:hyperlink>
      <w:r>
        <w:t xml:space="preserve">, f. 1; </w:t>
      </w:r>
      <w:hyperlink w:anchor="SENTENCIA_2021_90" w:history="1">
        <w:r w:rsidRPr="002C5A78">
          <w:rPr>
            <w:rStyle w:val="TextoNormalCaracter"/>
          </w:rPr>
          <w:t>90/2021</w:t>
        </w:r>
      </w:hyperlink>
      <w:r>
        <w:t xml:space="preserve">, f. 1; </w:t>
      </w:r>
      <w:hyperlink w:anchor="SENTENCIA_2021_91" w:history="1">
        <w:r w:rsidRPr="002C5A78">
          <w:rPr>
            <w:rStyle w:val="TextoNormalCaracter"/>
          </w:rPr>
          <w:t>91/2021</w:t>
        </w:r>
      </w:hyperlink>
      <w:r>
        <w:t xml:space="preserve">, f. 11, VP; </w:t>
      </w:r>
      <w:hyperlink w:anchor="SENTENCIA_2021_105" w:history="1">
        <w:r w:rsidRPr="002C5A78">
          <w:rPr>
            <w:rStyle w:val="TextoNormalCaracter"/>
          </w:rPr>
          <w:t>105/2021</w:t>
        </w:r>
      </w:hyperlink>
      <w:r>
        <w:t xml:space="preserve">, f. 1; </w:t>
      </w:r>
      <w:hyperlink w:anchor="SENTENCIA_2021_106" w:history="1">
        <w:r w:rsidRPr="002C5A78">
          <w:rPr>
            <w:rStyle w:val="TextoNormalCaracter"/>
          </w:rPr>
          <w:t>106/2021</w:t>
        </w:r>
      </w:hyperlink>
      <w:r>
        <w:t xml:space="preserve">, f. 11, VP; </w:t>
      </w:r>
      <w:hyperlink w:anchor="SENTENCIA_2021_107" w:history="1">
        <w:r w:rsidRPr="002C5A78">
          <w:rPr>
            <w:rStyle w:val="TextoNormalCaracter"/>
          </w:rPr>
          <w:t>107/2021</w:t>
        </w:r>
      </w:hyperlink>
      <w:r>
        <w:t xml:space="preserve">, f. 2; </w:t>
      </w:r>
      <w:hyperlink w:anchor="SENTENCIA_2021_121" w:history="1">
        <w:r w:rsidRPr="002C5A78">
          <w:rPr>
            <w:rStyle w:val="TextoNormalCaracter"/>
          </w:rPr>
          <w:t>121/2021</w:t>
        </w:r>
      </w:hyperlink>
      <w:r>
        <w:t xml:space="preserve">, ff. 1, 12; </w:t>
      </w:r>
      <w:hyperlink w:anchor="SENTENCIA_2021_122" w:history="1">
        <w:r w:rsidRPr="002C5A78">
          <w:rPr>
            <w:rStyle w:val="TextoNormalCaracter"/>
          </w:rPr>
          <w:t>122/2021</w:t>
        </w:r>
      </w:hyperlink>
      <w:r>
        <w:t xml:space="preserve">, ff. 10, 11; </w:t>
      </w:r>
      <w:hyperlink w:anchor="SENTENCIA_2021_126" w:history="1">
        <w:r w:rsidRPr="002C5A78">
          <w:rPr>
            <w:rStyle w:val="TextoNormalCaracter"/>
          </w:rPr>
          <w:t>126/2021</w:t>
        </w:r>
      </w:hyperlink>
      <w:r>
        <w:t xml:space="preserve">, ff. 1, 7;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Artículo 25.1.</w:t>
      </w:r>
      <w:r w:rsidRPr="002C5A78">
        <w:rPr>
          <w:rStyle w:val="TextoNormalCaracter"/>
        </w:rPr>
        <w:t>-</w:t>
      </w:r>
      <w:r>
        <w:t xml:space="preserve"> Sentencias </w:t>
      </w:r>
      <w:hyperlink w:anchor="SENTENCIA_2021_13" w:history="1">
        <w:r w:rsidRPr="002C5A78">
          <w:rPr>
            <w:rStyle w:val="TextoNormalCaracter"/>
          </w:rPr>
          <w:t>13/2021</w:t>
        </w:r>
      </w:hyperlink>
      <w:r>
        <w:t xml:space="preserve">, ff. 2, 4 a 6, 8 a 10, VP II; </w:t>
      </w:r>
      <w:hyperlink w:anchor="SENTENCIA_2021_14" w:history="1">
        <w:r w:rsidRPr="002C5A78">
          <w:rPr>
            <w:rStyle w:val="TextoNormalCaracter"/>
          </w:rPr>
          <w:t>14/2021</w:t>
        </w:r>
      </w:hyperlink>
      <w:r>
        <w:t xml:space="preserve">, ff. 1 a 6, VP I, VP II; </w:t>
      </w:r>
      <w:hyperlink w:anchor="SENTENCIA_2021_16" w:history="1">
        <w:r w:rsidRPr="002C5A78">
          <w:rPr>
            <w:rStyle w:val="TextoNormalCaracter"/>
          </w:rPr>
          <w:t>16/2021</w:t>
        </w:r>
      </w:hyperlink>
      <w:r>
        <w:t xml:space="preserve">, f. 6; </w:t>
      </w:r>
      <w:hyperlink w:anchor="SENTENCIA_2021_18" w:history="1">
        <w:r w:rsidRPr="002C5A78">
          <w:rPr>
            <w:rStyle w:val="TextoNormalCaracter"/>
          </w:rPr>
          <w:t>18/2021</w:t>
        </w:r>
      </w:hyperlink>
      <w:r>
        <w:t xml:space="preserve">, f. 5; </w:t>
      </w:r>
      <w:hyperlink w:anchor="SENTENCIA_2021_51" w:history="1">
        <w:r w:rsidRPr="002C5A78">
          <w:rPr>
            <w:rStyle w:val="TextoNormalCaracter"/>
          </w:rPr>
          <w:t>51/2021</w:t>
        </w:r>
      </w:hyperlink>
      <w:r>
        <w:t xml:space="preserve">, ff. 6, 7; </w:t>
      </w:r>
      <w:hyperlink w:anchor="SENTENCIA_2021_78" w:history="1">
        <w:r w:rsidRPr="002C5A78">
          <w:rPr>
            <w:rStyle w:val="TextoNormalCaracter"/>
          </w:rPr>
          <w:t>78/2021</w:t>
        </w:r>
      </w:hyperlink>
      <w:r>
        <w:t xml:space="preserve">, ff. 1, 3, 5 a 7; </w:t>
      </w:r>
      <w:hyperlink w:anchor="SENTENCIA_2021_91" w:history="1">
        <w:r w:rsidRPr="002C5A78">
          <w:rPr>
            <w:rStyle w:val="TextoNormalCaracter"/>
          </w:rPr>
          <w:t>91/2021</w:t>
        </w:r>
      </w:hyperlink>
      <w:r>
        <w:t xml:space="preserve">, ff. 1, 11, VP; </w:t>
      </w:r>
      <w:hyperlink w:anchor="SENTENCIA_2021_98" w:history="1">
        <w:r w:rsidRPr="002C5A78">
          <w:rPr>
            <w:rStyle w:val="TextoNormalCaracter"/>
          </w:rPr>
          <w:t>98/2021</w:t>
        </w:r>
      </w:hyperlink>
      <w:r>
        <w:t xml:space="preserve">, f. 1; </w:t>
      </w:r>
      <w:hyperlink w:anchor="SENTENCIA_2021_106" w:history="1">
        <w:r w:rsidRPr="002C5A78">
          <w:rPr>
            <w:rStyle w:val="TextoNormalCaracter"/>
          </w:rPr>
          <w:t>106/2021</w:t>
        </w:r>
      </w:hyperlink>
      <w:r>
        <w:t xml:space="preserve">, ff. 1, 10, 11, VP; </w:t>
      </w:r>
      <w:hyperlink w:anchor="SENTENCIA_2021_107" w:history="1">
        <w:r w:rsidRPr="002C5A78">
          <w:rPr>
            <w:rStyle w:val="TextoNormalCaracter"/>
          </w:rPr>
          <w:t>107/2021</w:t>
        </w:r>
      </w:hyperlink>
      <w:r>
        <w:t xml:space="preserve">, f. 2; </w:t>
      </w:r>
      <w:hyperlink w:anchor="SENTENCIA_2021_121" w:history="1">
        <w:r w:rsidRPr="002C5A78">
          <w:rPr>
            <w:rStyle w:val="TextoNormalCaracter"/>
          </w:rPr>
          <w:t>121/2021</w:t>
        </w:r>
      </w:hyperlink>
      <w:r>
        <w:t xml:space="preserve">, ff. 1, 12, VP; </w:t>
      </w:r>
      <w:hyperlink w:anchor="SENTENCIA_2021_122" w:history="1">
        <w:r w:rsidRPr="002C5A78">
          <w:rPr>
            <w:rStyle w:val="TextoNormalCaracter"/>
          </w:rPr>
          <w:t>122/2021</w:t>
        </w:r>
      </w:hyperlink>
      <w:r>
        <w:t xml:space="preserve">, ff. 1, 9 a 11, VP; </w:t>
      </w:r>
      <w:hyperlink w:anchor="SENTENCIA_2021_126" w:history="1">
        <w:r w:rsidRPr="002C5A78">
          <w:rPr>
            <w:rStyle w:val="TextoNormalCaracter"/>
          </w:rPr>
          <w:t>126/2021</w:t>
        </w:r>
      </w:hyperlink>
      <w:r>
        <w:t xml:space="preserve">, ff. 2, 3, 6, 7; </w:t>
      </w:r>
      <w:hyperlink w:anchor="SENTENCIA_2021_133" w:history="1">
        <w:r w:rsidRPr="002C5A78">
          <w:rPr>
            <w:rStyle w:val="TextoNormalCaracter"/>
          </w:rPr>
          <w:t>133/2021</w:t>
        </w:r>
      </w:hyperlink>
      <w:r>
        <w:t>, ff. 1, 3, 4, 6, 7, VP III.</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Sentencias </w:t>
      </w:r>
      <w:hyperlink w:anchor="SENTENCIA_2021_2" w:history="1">
        <w:r w:rsidRPr="002C5A78">
          <w:rPr>
            <w:rStyle w:val="TextoNormalCaracter"/>
          </w:rPr>
          <w:t>2/2021</w:t>
        </w:r>
      </w:hyperlink>
      <w:r>
        <w:t xml:space="preserve">, ff. 3, 4; </w:t>
      </w:r>
      <w:hyperlink w:anchor="SENTENCIA_2021_6" w:history="1">
        <w:r w:rsidRPr="002C5A78">
          <w:rPr>
            <w:rStyle w:val="TextoNormalCaracter"/>
          </w:rPr>
          <w:t>6/2021</w:t>
        </w:r>
      </w:hyperlink>
      <w:r>
        <w:t xml:space="preserve">, ff. 1 a 4, VP I; </w:t>
      </w:r>
      <w:hyperlink w:anchor="SENTENCIA_2021_19" w:history="1">
        <w:r w:rsidRPr="002C5A78">
          <w:rPr>
            <w:rStyle w:val="TextoNormalCaracter"/>
          </w:rPr>
          <w:t>19/2021</w:t>
        </w:r>
      </w:hyperlink>
      <w:r>
        <w:t xml:space="preserve">, ff. 1 a 4; </w:t>
      </w:r>
      <w:hyperlink w:anchor="SENTENCIA_2021_42" w:history="1">
        <w:r w:rsidRPr="002C5A78">
          <w:rPr>
            <w:rStyle w:val="TextoNormalCaracter"/>
          </w:rPr>
          <w:t>42/2021</w:t>
        </w:r>
      </w:hyperlink>
      <w:r>
        <w:t xml:space="preserve">, f. 1; </w:t>
      </w:r>
      <w:hyperlink w:anchor="SENTENCIA_2021_81" w:history="1">
        <w:r w:rsidRPr="002C5A78">
          <w:rPr>
            <w:rStyle w:val="TextoNormalCaracter"/>
          </w:rPr>
          <w:t>81/2021</w:t>
        </w:r>
      </w:hyperlink>
      <w:r>
        <w:t xml:space="preserve">, ff. 1 a 4; </w:t>
      </w:r>
      <w:hyperlink w:anchor="SENTENCIA_2021_138" w:history="1">
        <w:r w:rsidRPr="002C5A78">
          <w:rPr>
            <w:rStyle w:val="TextoNormalCaracter"/>
          </w:rPr>
          <w:t>138/2021</w:t>
        </w:r>
      </w:hyperlink>
      <w:r>
        <w:t>, ff. 1 a 4.</w:t>
      </w:r>
    </w:p>
    <w:p w:rsidR="002C5A78" w:rsidRDefault="002C5A78" w:rsidP="002C5A78">
      <w:pPr>
        <w:pStyle w:val="SangriaFrancesaArticulo"/>
      </w:pPr>
      <w:r w:rsidRPr="002C5A78">
        <w:rPr>
          <w:rStyle w:val="TextoNormalNegritaCaracter"/>
        </w:rPr>
        <w:t>Artículo 27.1.</w:t>
      </w:r>
      <w:r w:rsidRPr="002C5A78">
        <w:rPr>
          <w:rStyle w:val="TextoNormalCaracter"/>
        </w:rPr>
        <w:t>-</w:t>
      </w:r>
      <w:r>
        <w:t xml:space="preserve"> Sentencias </w:t>
      </w:r>
      <w:hyperlink w:anchor="SENTENCIA_2021_2" w:history="1">
        <w:r w:rsidRPr="002C5A78">
          <w:rPr>
            <w:rStyle w:val="TextoNormalCaracter"/>
          </w:rPr>
          <w:t>2/2021</w:t>
        </w:r>
      </w:hyperlink>
      <w:r>
        <w:t xml:space="preserve">, f. 4; </w:t>
      </w:r>
      <w:hyperlink w:anchor="SENTENCIA_2021_6" w:history="1">
        <w:r w:rsidRPr="002C5A78">
          <w:rPr>
            <w:rStyle w:val="TextoNormalCaracter"/>
          </w:rPr>
          <w:t>6/2021</w:t>
        </w:r>
      </w:hyperlink>
      <w:r>
        <w:t xml:space="preserve">, f. 3; </w:t>
      </w:r>
      <w:hyperlink w:anchor="SENTENCIA_2021_19" w:history="1">
        <w:r w:rsidRPr="002C5A78">
          <w:rPr>
            <w:rStyle w:val="TextoNormalCaracter"/>
          </w:rPr>
          <w:t>19/2021</w:t>
        </w:r>
      </w:hyperlink>
      <w:r>
        <w:t xml:space="preserve">, f. 3; </w:t>
      </w:r>
      <w:hyperlink w:anchor="SENTENCIA_2021_81" w:history="1">
        <w:r w:rsidRPr="002C5A78">
          <w:rPr>
            <w:rStyle w:val="TextoNormalCaracter"/>
          </w:rPr>
          <w:t>81/2021</w:t>
        </w:r>
      </w:hyperlink>
      <w:r>
        <w:t xml:space="preserve">, ff. 1, 2, VP; </w:t>
      </w:r>
      <w:hyperlink w:anchor="SENTENCIA_2021_138" w:history="1">
        <w:r w:rsidRPr="002C5A78">
          <w:rPr>
            <w:rStyle w:val="TextoNormalCaracter"/>
          </w:rPr>
          <w:t>138/2021</w:t>
        </w:r>
      </w:hyperlink>
      <w:r>
        <w:t>, f. 4.</w:t>
      </w:r>
    </w:p>
    <w:p w:rsidR="002C5A78" w:rsidRDefault="002C5A78" w:rsidP="002C5A78">
      <w:pPr>
        <w:pStyle w:val="SangriaFrancesaArticulo"/>
      </w:pPr>
      <w:r w:rsidRPr="002C5A78">
        <w:rPr>
          <w:rStyle w:val="TextoNormalNegritaCaracter"/>
        </w:rPr>
        <w:t>Artículo 27.2.</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r w:rsidRPr="002C5A78">
        <w:rPr>
          <w:rStyle w:val="TextoNormalNegritaCaracter"/>
        </w:rPr>
        <w:t>Artículo 27.4.</w:t>
      </w:r>
      <w:r w:rsidRPr="002C5A78">
        <w:rPr>
          <w:rStyle w:val="TextoNormalCaracter"/>
        </w:rPr>
        <w:t>-</w:t>
      </w:r>
      <w:r>
        <w:t xml:space="preserve"> Sentencia </w:t>
      </w:r>
      <w:hyperlink w:anchor="SENTENCIA_2021_81" w:history="1">
        <w:r w:rsidRPr="002C5A78">
          <w:rPr>
            <w:rStyle w:val="TextoNormalCaracter"/>
          </w:rPr>
          <w:t>81/2021</w:t>
        </w:r>
      </w:hyperlink>
      <w:r>
        <w:t>, ff. 1, 2.</w:t>
      </w:r>
    </w:p>
    <w:p w:rsidR="002C5A78" w:rsidRDefault="002C5A78" w:rsidP="002C5A78">
      <w:pPr>
        <w:pStyle w:val="SangriaFrancesaArticulo"/>
      </w:pPr>
      <w:r w:rsidRPr="002C5A78">
        <w:rPr>
          <w:rStyle w:val="TextoNormalNegritaCaracter"/>
        </w:rPr>
        <w:t>Artículo 27.5.</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42" w:history="1">
        <w:r w:rsidRPr="002C5A78">
          <w:rPr>
            <w:rStyle w:val="TextoNormalCaracter"/>
          </w:rPr>
          <w:t>42/2021</w:t>
        </w:r>
      </w:hyperlink>
      <w:r>
        <w:t xml:space="preserve">, ff. 1, 2; </w:t>
      </w:r>
      <w:hyperlink w:anchor="SENTENCIA_2021_81" w:history="1">
        <w:r w:rsidRPr="002C5A78">
          <w:rPr>
            <w:rStyle w:val="TextoNormalCaracter"/>
          </w:rPr>
          <w:t>81/2021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27.6.</w:t>
      </w:r>
      <w:r w:rsidRPr="002C5A78">
        <w:rPr>
          <w:rStyle w:val="TextoNormalCaracter"/>
        </w:rPr>
        <w:t>-</w:t>
      </w:r>
      <w:r>
        <w:t xml:space="preserve"> Sentencias </w:t>
      </w:r>
      <w:hyperlink w:anchor="SENTENCIA_2021_2" w:history="1">
        <w:r w:rsidRPr="002C5A78">
          <w:rPr>
            <w:rStyle w:val="TextoNormalCaracter"/>
          </w:rPr>
          <w:t>2/2021</w:t>
        </w:r>
      </w:hyperlink>
      <w:r>
        <w:t xml:space="preserve">, ff. 3, 4; </w:t>
      </w:r>
      <w:hyperlink w:anchor="SENTENCIA_2021_6" w:history="1">
        <w:r w:rsidRPr="002C5A78">
          <w:rPr>
            <w:rStyle w:val="TextoNormalCaracter"/>
          </w:rPr>
          <w:t>6/2021</w:t>
        </w:r>
      </w:hyperlink>
      <w:r>
        <w:t xml:space="preserve">, f. 3; </w:t>
      </w:r>
      <w:hyperlink w:anchor="SENTENCIA_2021_19" w:history="1">
        <w:r w:rsidRPr="002C5A78">
          <w:rPr>
            <w:rStyle w:val="TextoNormalCaracter"/>
          </w:rPr>
          <w:t>19/2021</w:t>
        </w:r>
      </w:hyperlink>
      <w:r>
        <w:t xml:space="preserve">, f. 3; </w:t>
      </w:r>
      <w:hyperlink w:anchor="SENTENCIA_2021_42" w:history="1">
        <w:r w:rsidRPr="002C5A78">
          <w:rPr>
            <w:rStyle w:val="TextoNormalCaracter"/>
          </w:rPr>
          <w:t>42/2021</w:t>
        </w:r>
      </w:hyperlink>
      <w:r>
        <w:t xml:space="preserve">, f. 1; </w:t>
      </w:r>
      <w:hyperlink w:anchor="SENTENCIA_2021_138" w:history="1">
        <w:r w:rsidRPr="002C5A78">
          <w:rPr>
            <w:rStyle w:val="TextoNormalCaracter"/>
          </w:rPr>
          <w:t>138/2021</w:t>
        </w:r>
      </w:hyperlink>
      <w:r>
        <w:t>, ff. 1, 3, 4.</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130" w:history="1">
        <w:r w:rsidRPr="002C5A78">
          <w:rPr>
            <w:rStyle w:val="TextoNormalCaracter"/>
          </w:rPr>
          <w:t>130/2021</w:t>
        </w:r>
      </w:hyperlink>
      <w:r>
        <w:t>, ff. 1, 3.</w:t>
      </w:r>
    </w:p>
    <w:p w:rsidR="002C5A78" w:rsidRDefault="002C5A78" w:rsidP="002C5A78">
      <w:pPr>
        <w:pStyle w:val="SangriaFrancesaArticulo"/>
      </w:pPr>
      <w:r w:rsidRPr="002C5A78">
        <w:rPr>
          <w:rStyle w:val="TextoNormalNegritaCaracter"/>
        </w:rPr>
        <w:t>Artículo 28.1.</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30" w:history="1">
        <w:r w:rsidRPr="002C5A78">
          <w:rPr>
            <w:rStyle w:val="TextoNormalCaracter"/>
          </w:rPr>
          <w:t>130/2021</w:t>
        </w:r>
      </w:hyperlink>
      <w:r>
        <w:t xml:space="preserve">, f. 3; </w:t>
      </w:r>
      <w:hyperlink w:anchor="SENTENCIA_2021_134" w:history="1">
        <w:r w:rsidRPr="002C5A78">
          <w:rPr>
            <w:rStyle w:val="TextoNormalCaracter"/>
          </w:rPr>
          <w:t>134/2021</w:t>
        </w:r>
      </w:hyperlink>
      <w:r>
        <w:t>, VP III.</w:t>
      </w:r>
    </w:p>
    <w:p w:rsidR="002C5A78" w:rsidRDefault="002C5A78" w:rsidP="002C5A78">
      <w:pPr>
        <w:pStyle w:val="SangriaFrancesaArticulo"/>
      </w:pPr>
      <w:r w:rsidRPr="002C5A78">
        <w:rPr>
          <w:rStyle w:val="TextoNormalNegritaCaracter"/>
        </w:rPr>
        <w:t>Artículo 28.2.</w:t>
      </w:r>
      <w:r w:rsidRPr="002C5A78">
        <w:rPr>
          <w:rStyle w:val="TextoNormalCaracter"/>
        </w:rPr>
        <w:t>-</w:t>
      </w:r>
      <w:r>
        <w:t xml:space="preserve"> Sentencia </w:t>
      </w:r>
      <w:hyperlink w:anchor="SENTENCIA_2021_130" w:history="1">
        <w:r w:rsidRPr="002C5A78">
          <w:rPr>
            <w:rStyle w:val="TextoNormalCaracter"/>
          </w:rPr>
          <w:t>130/2021</w:t>
        </w:r>
      </w:hyperlink>
      <w:r>
        <w:t>, f. 3.</w:t>
      </w:r>
    </w:p>
    <w:p w:rsidR="002C5A78" w:rsidRDefault="002C5A78" w:rsidP="002C5A78">
      <w:pPr>
        <w:pStyle w:val="SangriaFrancesaArticulo"/>
      </w:pPr>
      <w:r w:rsidRPr="002C5A78">
        <w:rPr>
          <w:rStyle w:val="TextoNormalNegritaCaracter"/>
        </w:rPr>
        <w:t>Artículo 30.</w:t>
      </w:r>
      <w:r w:rsidRPr="002C5A78">
        <w:rPr>
          <w:rStyle w:val="TextoNormalCaracter"/>
        </w:rPr>
        <w:t>-</w:t>
      </w:r>
      <w:r>
        <w:t xml:space="preserve"> Sentencia </w:t>
      </w:r>
      <w:hyperlink w:anchor="SENTENCIA_2021_102" w:history="1">
        <w:r w:rsidRPr="002C5A78">
          <w:rPr>
            <w:rStyle w:val="TextoNormalCaracter"/>
          </w:rPr>
          <w:t>102/2021</w:t>
        </w:r>
      </w:hyperlink>
      <w:r>
        <w:t>, f. 2.</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r w:rsidRPr="002C5A78">
        <w:rPr>
          <w:rStyle w:val="TextoNormalNegritaCaracter"/>
        </w:rPr>
        <w:t>Artículo 31.1.</w:t>
      </w:r>
      <w:r w:rsidRPr="002C5A78">
        <w:rPr>
          <w:rStyle w:val="TextoNormalCaracter"/>
        </w:rPr>
        <w:t>-</w:t>
      </w:r>
      <w:r>
        <w:t xml:space="preserve"> Sentencia </w:t>
      </w:r>
      <w:hyperlink w:anchor="SENTENCIA_2021_125" w:history="1">
        <w:r w:rsidRPr="002C5A78">
          <w:rPr>
            <w:rStyle w:val="TextoNormalCaracter"/>
          </w:rPr>
          <w:t>125/2021</w:t>
        </w:r>
      </w:hyperlink>
      <w:r>
        <w:t>, ff. 1, 3, 4, 6.</w:t>
      </w:r>
    </w:p>
    <w:p w:rsidR="002C5A78" w:rsidRDefault="002C5A78" w:rsidP="002C5A78">
      <w:pPr>
        <w:pStyle w:val="SangriaFrancesaArticulo"/>
      </w:pPr>
      <w:r w:rsidRPr="002C5A78">
        <w:rPr>
          <w:rStyle w:val="TextoNormalNegritaCaracter"/>
        </w:rPr>
        <w:t>Artículo 31.3.</w:t>
      </w:r>
      <w:r w:rsidRPr="002C5A78">
        <w:rPr>
          <w:rStyle w:val="TextoNormalCaracter"/>
        </w:rPr>
        <w:t>-</w:t>
      </w:r>
      <w:r>
        <w:t xml:space="preserve"> Sentencia </w:t>
      </w:r>
      <w:hyperlink w:anchor="SENTENCIA_2021_125" w:history="1">
        <w:r w:rsidRPr="002C5A78">
          <w:rPr>
            <w:rStyle w:val="TextoNormalCaracter"/>
          </w:rPr>
          <w:t>125/2021</w:t>
        </w:r>
      </w:hyperlink>
      <w:r>
        <w:t>, ff. 1, 4, 7.</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 </w:t>
      </w:r>
      <w:hyperlink w:anchor="SENTENCIA_2021_1" w:history="1">
        <w:r w:rsidRPr="002C5A78">
          <w:rPr>
            <w:rStyle w:val="TextoNormalCaracter"/>
          </w:rPr>
          <w:t>1/2021</w:t>
        </w:r>
      </w:hyperlink>
      <w:r>
        <w:t>, f. 4.</w:t>
      </w:r>
    </w:p>
    <w:p w:rsidR="002C5A78" w:rsidRDefault="002C5A78" w:rsidP="002C5A78">
      <w:pPr>
        <w:pStyle w:val="SangriaFrancesaArticulo"/>
      </w:pPr>
      <w:r w:rsidRPr="002C5A78">
        <w:rPr>
          <w:rStyle w:val="TextoNormalNegritaCaracter"/>
        </w:rPr>
        <w:t>Artículo 32.2.</w:t>
      </w:r>
      <w:r w:rsidRPr="002C5A78">
        <w:rPr>
          <w:rStyle w:val="TextoNormalCaracter"/>
        </w:rPr>
        <w:t>-</w:t>
      </w:r>
      <w:r>
        <w:t xml:space="preserve"> Sentencia </w:t>
      </w:r>
      <w:hyperlink w:anchor="SENTENCIA_2021_1" w:history="1">
        <w:r w:rsidRPr="002C5A78">
          <w:rPr>
            <w:rStyle w:val="TextoNormalCaracter"/>
          </w:rPr>
          <w:t>1/2021</w:t>
        </w:r>
      </w:hyperlink>
      <w:r>
        <w:t>, f. 4.</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Sentencias </w:t>
      </w:r>
      <w:hyperlink w:anchor="SENTENCIA_2021_16" w:history="1">
        <w:r w:rsidRPr="002C5A78">
          <w:rPr>
            <w:rStyle w:val="TextoNormalCaracter"/>
          </w:rPr>
          <w:t>16/2021</w:t>
        </w:r>
      </w:hyperlink>
      <w:r>
        <w:t xml:space="preserve">, ff. 5, 6, 8; </w:t>
      </w:r>
      <w:hyperlink w:anchor="SENTENCIA_2021_112" w:history="1">
        <w:r w:rsidRPr="002C5A78">
          <w:rPr>
            <w:rStyle w:val="TextoNormalCaracter"/>
          </w:rPr>
          <w:t>112/2021</w:t>
        </w:r>
      </w:hyperlink>
      <w:r>
        <w:t xml:space="preserve">, ff. 1, 6, 8;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33.2.</w:t>
      </w:r>
      <w:r w:rsidRPr="002C5A78">
        <w:rPr>
          <w:rStyle w:val="TextoNormalCaracter"/>
        </w:rPr>
        <w:t>-</w:t>
      </w:r>
      <w:r>
        <w:t xml:space="preserve"> Sentencias </w:t>
      </w:r>
      <w:hyperlink w:anchor="SENTENCIA_2021_16" w:history="1">
        <w:r w:rsidRPr="002C5A78">
          <w:rPr>
            <w:rStyle w:val="TextoNormalCaracter"/>
          </w:rPr>
          <w:t>16/2021</w:t>
        </w:r>
      </w:hyperlink>
      <w:r>
        <w:t xml:space="preserve">, f. 5; </w:t>
      </w:r>
      <w:hyperlink w:anchor="SENTENCIA_2021_112" w:history="1">
        <w:r w:rsidRPr="002C5A78">
          <w:rPr>
            <w:rStyle w:val="TextoNormalCaracter"/>
          </w:rPr>
          <w:t>112/2021</w:t>
        </w:r>
      </w:hyperlink>
      <w:r>
        <w:t>, ff. 1, 3, 6, 7.</w:t>
      </w:r>
    </w:p>
    <w:p w:rsidR="002C5A78" w:rsidRDefault="002C5A78" w:rsidP="002C5A78">
      <w:pPr>
        <w:pStyle w:val="SangriaFrancesaArticulo"/>
      </w:pPr>
      <w:r w:rsidRPr="002C5A78">
        <w:rPr>
          <w:rStyle w:val="TextoNormalNegritaCaracter"/>
        </w:rPr>
        <w:t>Artículo 33.3.</w:t>
      </w:r>
      <w:r w:rsidRPr="002C5A78">
        <w:rPr>
          <w:rStyle w:val="TextoNormalCaracter"/>
        </w:rPr>
        <w:t>-</w:t>
      </w:r>
      <w:r>
        <w:t xml:space="preserve"> Sentencias </w:t>
      </w:r>
      <w:hyperlink w:anchor="SENTENCIA_2021_16" w:history="1">
        <w:r w:rsidRPr="002C5A78">
          <w:rPr>
            <w:rStyle w:val="TextoNormalCaracter"/>
          </w:rPr>
          <w:t>16/2021</w:t>
        </w:r>
      </w:hyperlink>
      <w:r>
        <w:t xml:space="preserve">, f. 8; </w:t>
      </w:r>
      <w:hyperlink w:anchor="SENTENCIA_2021_69" w:history="1">
        <w:r w:rsidRPr="002C5A78">
          <w:rPr>
            <w:rStyle w:val="TextoNormalCaracter"/>
          </w:rPr>
          <w:t>69/2021</w:t>
        </w:r>
      </w:hyperlink>
      <w:r>
        <w:t xml:space="preserve">, ff. 1, 5; </w:t>
      </w:r>
      <w:hyperlink w:anchor="SENTENCIA_2021_90" w:history="1">
        <w:r w:rsidRPr="002C5A78">
          <w:rPr>
            <w:rStyle w:val="TextoNormalCaracter"/>
          </w:rPr>
          <w:t>90/2021</w:t>
        </w:r>
      </w:hyperlink>
      <w:r>
        <w:t xml:space="preserve">, f. 1; </w:t>
      </w:r>
      <w:hyperlink w:anchor="SENTENCIA_2021_105" w:history="1">
        <w:r w:rsidRPr="002C5A78">
          <w:rPr>
            <w:rStyle w:val="TextoNormalCaracter"/>
          </w:rPr>
          <w:t>105/2021</w:t>
        </w:r>
      </w:hyperlink>
      <w:r>
        <w:t>, f. 1.</w:t>
      </w:r>
    </w:p>
    <w:p w:rsidR="002C5A78" w:rsidRDefault="002C5A78" w:rsidP="002C5A78">
      <w:pPr>
        <w:pStyle w:val="SangriaFrancesaArticulo"/>
      </w:pPr>
      <w:r w:rsidRPr="002C5A78">
        <w:rPr>
          <w:rStyle w:val="TextoNormalNegritaCaracter"/>
        </w:rPr>
        <w:t>Artículo 38.</w:t>
      </w:r>
      <w:r w:rsidRPr="002C5A78">
        <w:rPr>
          <w:rStyle w:val="TextoNormalCaracter"/>
        </w:rPr>
        <w:t>-</w:t>
      </w:r>
      <w:r>
        <w:t xml:space="preserve"> Sentencias </w:t>
      </w:r>
      <w:hyperlink w:anchor="SENTENCIA_2021_112" w:history="1">
        <w:r w:rsidRPr="002C5A78">
          <w:rPr>
            <w:rStyle w:val="TextoNormalCaracter"/>
          </w:rPr>
          <w:t>112/2021</w:t>
        </w:r>
      </w:hyperlink>
      <w:r>
        <w:t xml:space="preserve">, ff. 1, 6 a 8;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Sentencias </w:t>
      </w:r>
      <w:hyperlink w:anchor="SENTENCIA_2021_1" w:history="1">
        <w:r w:rsidRPr="002C5A78">
          <w:rPr>
            <w:rStyle w:val="TextoNormalCaracter"/>
          </w:rPr>
          <w:t>1/2021</w:t>
        </w:r>
      </w:hyperlink>
      <w:r>
        <w:t xml:space="preserve">, f. 4; </w:t>
      </w:r>
      <w:hyperlink w:anchor="SENTENCIA_2021_81" w:history="1">
        <w:r w:rsidRPr="002C5A78">
          <w:rPr>
            <w:rStyle w:val="TextoNormalCaracter"/>
          </w:rPr>
          <w:t>81/2021</w:t>
        </w:r>
      </w:hyperlink>
      <w:r>
        <w:t xml:space="preserve">, f. 2; </w:t>
      </w:r>
      <w:hyperlink w:anchor="SENTENCIA_2021_113" w:history="1">
        <w:r w:rsidRPr="002C5A78">
          <w:rPr>
            <w:rStyle w:val="TextoNormalCaracter"/>
          </w:rPr>
          <w:t>113/2021</w:t>
        </w:r>
      </w:hyperlink>
      <w:r>
        <w:t xml:space="preserve">, ff. 1, 2, VP; </w:t>
      </w:r>
      <w:hyperlink w:anchor="SENTENCIA_2021_119" w:history="1">
        <w:r w:rsidRPr="002C5A78">
          <w:rPr>
            <w:rStyle w:val="TextoNormalCaracter"/>
          </w:rPr>
          <w:t>119/2021</w:t>
        </w:r>
      </w:hyperlink>
      <w:r>
        <w:t>, f. 3.</w:t>
      </w:r>
    </w:p>
    <w:p w:rsidR="002C5A78" w:rsidRDefault="002C5A78" w:rsidP="002C5A78">
      <w:pPr>
        <w:pStyle w:val="SangriaFrancesaArticulo"/>
      </w:pPr>
      <w:r w:rsidRPr="002C5A78">
        <w:rPr>
          <w:rStyle w:val="TextoNormalNegritaCaracter"/>
        </w:rPr>
        <w:t>Artículo 39.1.</w:t>
      </w:r>
      <w:r w:rsidRPr="002C5A78">
        <w:rPr>
          <w:rStyle w:val="TextoNormalCaracter"/>
        </w:rPr>
        <w:t>-</w:t>
      </w:r>
      <w:r>
        <w:t xml:space="preserve"> Sentencia </w:t>
      </w:r>
      <w:hyperlink w:anchor="SENTENCIA_2021_88" w:history="1">
        <w:r w:rsidRPr="002C5A78">
          <w:rPr>
            <w:rStyle w:val="TextoNormalCaracter"/>
          </w:rPr>
          <w:t>88/2021</w:t>
        </w:r>
      </w:hyperlink>
      <w:r>
        <w:t>, f. 2.</w:t>
      </w:r>
    </w:p>
    <w:p w:rsidR="002C5A78" w:rsidRDefault="002C5A78" w:rsidP="002C5A78">
      <w:pPr>
        <w:pStyle w:val="SangriaFrancesaArticulo"/>
      </w:pPr>
      <w:r w:rsidRPr="002C5A78">
        <w:rPr>
          <w:rStyle w:val="TextoNormalNegritaCaracter"/>
        </w:rPr>
        <w:t>Artículo 39.3.</w:t>
      </w:r>
      <w:r w:rsidRPr="002C5A78">
        <w:rPr>
          <w:rStyle w:val="TextoNormalCaracter"/>
        </w:rPr>
        <w:t>-</w:t>
      </w:r>
      <w:r>
        <w:t xml:space="preserve"> Sentencia </w:t>
      </w:r>
      <w:hyperlink w:anchor="SENTENCIA_2021_119" w:history="1">
        <w:r w:rsidRPr="002C5A78">
          <w:rPr>
            <w:rStyle w:val="TextoNormalCaracter"/>
          </w:rPr>
          <w:t>119/2021</w:t>
        </w:r>
      </w:hyperlink>
      <w:r>
        <w:t>, f. 4.</w:t>
      </w:r>
    </w:p>
    <w:p w:rsidR="002C5A78" w:rsidRDefault="002C5A78" w:rsidP="002C5A78">
      <w:pPr>
        <w:pStyle w:val="SangriaFrancesaArticulo"/>
      </w:pPr>
      <w:r w:rsidRPr="002C5A78">
        <w:rPr>
          <w:rStyle w:val="TextoNormalNegritaCaracter"/>
        </w:rPr>
        <w:t>Artículo 39.4.</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43.</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45.</w:t>
      </w:r>
      <w:r w:rsidRPr="002C5A78">
        <w:rPr>
          <w:rStyle w:val="TextoNormalCaracter"/>
        </w:rPr>
        <w:t>-</w:t>
      </w:r>
      <w:r>
        <w:t xml:space="preserve"> Sentencia </w:t>
      </w:r>
      <w:hyperlink w:anchor="SENTENCIA_2021_112" w:history="1">
        <w:r w:rsidRPr="002C5A78">
          <w:rPr>
            <w:rStyle w:val="TextoNormalCaracter"/>
          </w:rPr>
          <w:t>112/2021</w:t>
        </w:r>
      </w:hyperlink>
      <w:r>
        <w:t>, ff. 2, 7, 8.</w:t>
      </w:r>
    </w:p>
    <w:p w:rsidR="002C5A78" w:rsidRDefault="002C5A78" w:rsidP="002C5A78">
      <w:pPr>
        <w:pStyle w:val="SangriaFrancesaArticulo"/>
      </w:pPr>
      <w:r w:rsidRPr="002C5A78">
        <w:rPr>
          <w:rStyle w:val="TextoNormalNegritaCaracter"/>
        </w:rPr>
        <w:t>Artículo 47.</w:t>
      </w:r>
      <w:r w:rsidRPr="002C5A78">
        <w:rPr>
          <w:rStyle w:val="TextoNormalCaracter"/>
        </w:rPr>
        <w:t>-</w:t>
      </w:r>
      <w:r>
        <w:t xml:space="preserve"> Sentencias </w:t>
      </w:r>
      <w:hyperlink w:anchor="SENTENCIA_2021_16" w:history="1">
        <w:r w:rsidRPr="002C5A78">
          <w:rPr>
            <w:rStyle w:val="TextoNormalCaracter"/>
          </w:rPr>
          <w:t>16/2021</w:t>
        </w:r>
      </w:hyperlink>
      <w:r>
        <w:t xml:space="preserve">, ff. 3, 5, 9; </w:t>
      </w:r>
      <w:hyperlink w:anchor="SENTENCIA_2021_102" w:history="1">
        <w:r w:rsidRPr="002C5A78">
          <w:rPr>
            <w:rStyle w:val="TextoNormalCaracter"/>
          </w:rPr>
          <w:t>102/2021</w:t>
        </w:r>
      </w:hyperlink>
      <w:r>
        <w:t xml:space="preserve">, ff. 1, 2; </w:t>
      </w:r>
      <w:hyperlink w:anchor="SENTENCIA_2021_113" w:history="1">
        <w:r w:rsidRPr="002C5A78">
          <w:rPr>
            <w:rStyle w:val="TextoNormalCaracter"/>
          </w:rPr>
          <w:t>113/2021</w:t>
        </w:r>
      </w:hyperlink>
      <w:r>
        <w:t>, VP.</w:t>
      </w:r>
    </w:p>
    <w:p w:rsidR="002C5A78" w:rsidRDefault="002C5A78" w:rsidP="002C5A78">
      <w:pPr>
        <w:pStyle w:val="SangriaIzquierdaArticulo"/>
      </w:pPr>
      <w:r>
        <w:t xml:space="preserve">Auto </w:t>
      </w:r>
      <w:hyperlink w:anchor="AUTO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Artículo 49.</w:t>
      </w:r>
      <w:r w:rsidRPr="002C5A78">
        <w:rPr>
          <w:rStyle w:val="TextoNormalCaracter"/>
        </w:rPr>
        <w:t>-</w:t>
      </w:r>
      <w:r>
        <w:t xml:space="preserve"> Sentencias </w:t>
      </w:r>
      <w:hyperlink w:anchor="SENTENCIA_2021_51" w:history="1">
        <w:r w:rsidRPr="002C5A78">
          <w:rPr>
            <w:rStyle w:val="TextoNormalCaracter"/>
          </w:rPr>
          <w:t>51/2021</w:t>
        </w:r>
      </w:hyperlink>
      <w:r>
        <w:t xml:space="preserve">, ff. 3, 4; </w:t>
      </w:r>
      <w:hyperlink w:anchor="SENTENCIA_2021_113" w:history="1">
        <w:r w:rsidRPr="002C5A78">
          <w:rPr>
            <w:rStyle w:val="TextoNormalCaracter"/>
          </w:rPr>
          <w:t>113/2021</w:t>
        </w:r>
      </w:hyperlink>
      <w:r>
        <w:t>, ff. 1, 2, VP.</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Sentencias </w:t>
      </w:r>
      <w:hyperlink w:anchor="SENTENCIA_2021_24" w:history="1">
        <w:r w:rsidRPr="002C5A78">
          <w:rPr>
            <w:rStyle w:val="TextoNormalCaracter"/>
          </w:rPr>
          <w:t>24/2021</w:t>
        </w:r>
      </w:hyperlink>
      <w:r>
        <w:t xml:space="preserve">, f. 3; </w:t>
      </w:r>
      <w:hyperlink w:anchor="SENTENCIA_2021_72" w:history="1">
        <w:r w:rsidRPr="002C5A78">
          <w:rPr>
            <w:rStyle w:val="TextoNormalCaracter"/>
          </w:rPr>
          <w:t>72/2021</w:t>
        </w:r>
      </w:hyperlink>
      <w:r>
        <w:t xml:space="preserve">, f. 3; </w:t>
      </w:r>
      <w:hyperlink w:anchor="SENTENCIA_2021_101" w:history="1">
        <w:r w:rsidRPr="002C5A78">
          <w:rPr>
            <w:rStyle w:val="TextoNormalCaracter"/>
          </w:rPr>
          <w:t>101/2021</w:t>
        </w:r>
      </w:hyperlink>
      <w:r>
        <w:t xml:space="preserve">, f. 3; </w:t>
      </w:r>
      <w:hyperlink w:anchor="SENTENCIA_2021_102" w:history="1">
        <w:r w:rsidRPr="002C5A78">
          <w:rPr>
            <w:rStyle w:val="TextoNormalCaracter"/>
          </w:rPr>
          <w:t>102/2021</w:t>
        </w:r>
      </w:hyperlink>
      <w:r>
        <w:t>, f. 3.</w:t>
      </w:r>
    </w:p>
    <w:p w:rsidR="002C5A78" w:rsidRDefault="002C5A78" w:rsidP="002C5A78">
      <w:pPr>
        <w:pStyle w:val="SangriaFrancesaArticulo"/>
      </w:pPr>
      <w:r w:rsidRPr="002C5A78">
        <w:rPr>
          <w:rStyle w:val="TextoNormalNegritaCaracter"/>
        </w:rPr>
        <w:t>Artículo 51.1.</w:t>
      </w:r>
      <w:r w:rsidRPr="002C5A78">
        <w:rPr>
          <w:rStyle w:val="TextoNormalCaracter"/>
        </w:rPr>
        <w:t>-</w:t>
      </w:r>
      <w:r>
        <w:t xml:space="preserve"> Sentencia </w:t>
      </w:r>
      <w:hyperlink w:anchor="SENTENCIA_2021_102" w:history="1">
        <w:r w:rsidRPr="002C5A78">
          <w:rPr>
            <w:rStyle w:val="TextoNormalCaracter"/>
          </w:rPr>
          <w:t>102/2021</w:t>
        </w:r>
      </w:hyperlink>
      <w:r>
        <w:t>, ff. 1, 2.</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130" w:history="1">
        <w:r w:rsidRPr="002C5A78">
          <w:rPr>
            <w:rStyle w:val="TextoNormalCaracter"/>
          </w:rPr>
          <w:t>130/2021</w:t>
        </w:r>
      </w:hyperlink>
      <w:r>
        <w:t>, f. 3.</w:t>
      </w:r>
    </w:p>
    <w:p w:rsidR="002C5A78" w:rsidRDefault="002C5A78" w:rsidP="002C5A78">
      <w:pPr>
        <w:pStyle w:val="SangriaFrancesaArticulo"/>
      </w:pPr>
      <w:r w:rsidRPr="002C5A78">
        <w:rPr>
          <w:rStyle w:val="TextoNormalNegritaCaracter"/>
        </w:rPr>
        <w:t>Artículo 53.1.</w:t>
      </w:r>
      <w:r w:rsidRPr="002C5A78">
        <w:rPr>
          <w:rStyle w:val="TextoNormalCaracter"/>
        </w:rPr>
        <w:t>-</w:t>
      </w:r>
      <w:r>
        <w:t xml:space="preserve"> Sentencias </w:t>
      </w:r>
      <w:hyperlink w:anchor="SENTENCIA_2021_13" w:history="1">
        <w:r w:rsidRPr="002C5A78">
          <w:rPr>
            <w:rStyle w:val="TextoNormalCaracter"/>
          </w:rPr>
          <w:t>13/2021</w:t>
        </w:r>
      </w:hyperlink>
      <w:r>
        <w:t xml:space="preserve">, VP II; </w:t>
      </w:r>
      <w:hyperlink w:anchor="SENTENCIA_2021_16" w:history="1">
        <w:r w:rsidRPr="002C5A78">
          <w:rPr>
            <w:rStyle w:val="TextoNormalCaracter"/>
          </w:rPr>
          <w:t>16/2021</w:t>
        </w:r>
      </w:hyperlink>
      <w:r>
        <w:t xml:space="preserve">, ff. 6, 9; </w:t>
      </w:r>
      <w:hyperlink w:anchor="SENTENCIA_2021_76" w:history="1">
        <w:r w:rsidRPr="002C5A78">
          <w:rPr>
            <w:rStyle w:val="TextoNormalCaracter"/>
          </w:rPr>
          <w:t>76/2021</w:t>
        </w:r>
      </w:hyperlink>
      <w:r>
        <w:t xml:space="preserve">, f. 4; </w:t>
      </w:r>
      <w:hyperlink w:anchor="SENTENCIA_2021_99" w:history="1">
        <w:r w:rsidRPr="002C5A78">
          <w:rPr>
            <w:rStyle w:val="TextoNormalCaracter"/>
          </w:rPr>
          <w:t>99/2021</w:t>
        </w:r>
      </w:hyperlink>
      <w:r>
        <w:t xml:space="preserve">, f. 3; </w:t>
      </w:r>
      <w:hyperlink w:anchor="SENTENCIA_2021_112" w:history="1">
        <w:r w:rsidRPr="002C5A78">
          <w:rPr>
            <w:rStyle w:val="TextoNormalCaracter"/>
          </w:rPr>
          <w:t>112/2021</w:t>
        </w:r>
      </w:hyperlink>
      <w:r>
        <w:t xml:space="preserve">, ff. 1, 6, 8;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53.2.</w:t>
      </w:r>
      <w:r w:rsidRPr="002C5A78">
        <w:rPr>
          <w:rStyle w:val="TextoNormalCaracter"/>
        </w:rPr>
        <w:t>-</w:t>
      </w:r>
      <w:r>
        <w:t xml:space="preserve"> Sentencias </w:t>
      </w:r>
      <w:hyperlink w:anchor="SENTENCIA_2021_34" w:history="1">
        <w:r w:rsidRPr="002C5A78">
          <w:rPr>
            <w:rStyle w:val="TextoNormalCaracter"/>
          </w:rPr>
          <w:t>34/2021</w:t>
        </w:r>
      </w:hyperlink>
      <w:r>
        <w:t xml:space="preserve">, f. 2; </w:t>
      </w:r>
      <w:hyperlink w:anchor="SENTENCIA_2021_35" w:history="1">
        <w:r w:rsidRPr="002C5A78">
          <w:rPr>
            <w:rStyle w:val="TextoNormalCaracter"/>
          </w:rPr>
          <w:t>35/2021</w:t>
        </w:r>
      </w:hyperlink>
      <w:r>
        <w:t xml:space="preserve">, f. 1; </w:t>
      </w:r>
      <w:hyperlink w:anchor="SENTENCIA_2021_73" w:history="1">
        <w:r w:rsidRPr="002C5A78">
          <w:rPr>
            <w:rStyle w:val="TextoNormalCaracter"/>
          </w:rPr>
          <w:t>73/2021</w:t>
        </w:r>
      </w:hyperlink>
      <w:r>
        <w:t xml:space="preserve">, VP I; </w:t>
      </w:r>
      <w:hyperlink w:anchor="SENTENCIA_2021_78" w:history="1">
        <w:r w:rsidRPr="002C5A78">
          <w:rPr>
            <w:rStyle w:val="TextoNormalCaracter"/>
          </w:rPr>
          <w:t>78/2021</w:t>
        </w:r>
      </w:hyperlink>
      <w:r>
        <w:t xml:space="preserve">, f. 2; </w:t>
      </w:r>
      <w:hyperlink w:anchor="SENTENCIA_2021_91" w:history="1">
        <w:r w:rsidRPr="002C5A78">
          <w:rPr>
            <w:rStyle w:val="TextoNormalCaracter"/>
          </w:rPr>
          <w:t>91/2021</w:t>
        </w:r>
      </w:hyperlink>
      <w:r>
        <w:t xml:space="preserve">, ff. 5, 8; </w:t>
      </w:r>
      <w:hyperlink w:anchor="SENTENCIA_2021_102" w:history="1">
        <w:r w:rsidRPr="002C5A78">
          <w:rPr>
            <w:rStyle w:val="TextoNormalCaracter"/>
          </w:rPr>
          <w:t>102/2021</w:t>
        </w:r>
      </w:hyperlink>
      <w:r>
        <w:t xml:space="preserve">, f. 2; </w:t>
      </w:r>
      <w:hyperlink w:anchor="SENTENCIA_2021_106" w:history="1">
        <w:r w:rsidRPr="002C5A78">
          <w:rPr>
            <w:rStyle w:val="TextoNormalCaracter"/>
          </w:rPr>
          <w:t>106/2021</w:t>
        </w:r>
      </w:hyperlink>
      <w:r>
        <w:t xml:space="preserve">, ff. 5, 8; </w:t>
      </w:r>
      <w:hyperlink w:anchor="SENTENCIA_2021_107" w:history="1">
        <w:r w:rsidRPr="002C5A78">
          <w:rPr>
            <w:rStyle w:val="TextoNormalCaracter"/>
          </w:rPr>
          <w:t>107/2021</w:t>
        </w:r>
      </w:hyperlink>
      <w:r>
        <w:t xml:space="preserve">, f. 2; </w:t>
      </w:r>
      <w:hyperlink w:anchor="SENTENCIA_2021_108" w:history="1">
        <w:r w:rsidRPr="002C5A78">
          <w:rPr>
            <w:rStyle w:val="TextoNormalCaracter"/>
          </w:rPr>
          <w:t>108/2021</w:t>
        </w:r>
      </w:hyperlink>
      <w:r>
        <w:t xml:space="preserve">, ff. 1, 5; </w:t>
      </w:r>
      <w:hyperlink w:anchor="SENTENCIA_2021_121" w:history="1">
        <w:r w:rsidRPr="002C5A78">
          <w:rPr>
            <w:rStyle w:val="TextoNormalCaracter"/>
          </w:rPr>
          <w:t>121/2021</w:t>
        </w:r>
      </w:hyperlink>
      <w:r>
        <w:t xml:space="preserve">, ff. 6, 9; </w:t>
      </w:r>
      <w:hyperlink w:anchor="SENTENCIA_2021_122" w:history="1">
        <w:r w:rsidRPr="002C5A78">
          <w:rPr>
            <w:rStyle w:val="TextoNormalCaracter"/>
          </w:rPr>
          <w:t>122/2021</w:t>
        </w:r>
      </w:hyperlink>
      <w:r>
        <w:t>, f. 11.</w:t>
      </w:r>
    </w:p>
    <w:p w:rsidR="002C5A78" w:rsidRDefault="002C5A78" w:rsidP="002C5A78">
      <w:pPr>
        <w:pStyle w:val="SangriaIzquierdaArticulo"/>
      </w:pPr>
      <w:r>
        <w:t xml:space="preserve">Autos </w:t>
      </w:r>
      <w:hyperlink w:anchor="AUTO_2021_4" w:history="1">
        <w:r w:rsidRPr="002C5A78">
          <w:rPr>
            <w:rStyle w:val="TextoNormalCaracter"/>
          </w:rPr>
          <w:t>4/2021</w:t>
        </w:r>
      </w:hyperlink>
      <w:r>
        <w:t xml:space="preserve">, f. 3; </w:t>
      </w:r>
      <w:hyperlink w:anchor="AUTO_2021_45" w:history="1">
        <w:r w:rsidRPr="002C5A78">
          <w:rPr>
            <w:rStyle w:val="TextoNormalCaracter"/>
          </w:rPr>
          <w:t>45/2021</w:t>
        </w:r>
      </w:hyperlink>
      <w:r>
        <w:t>, f. 1.</w:t>
      </w:r>
    </w:p>
    <w:p w:rsidR="002C5A78" w:rsidRDefault="002C5A78" w:rsidP="002C5A78">
      <w:pPr>
        <w:pStyle w:val="SangriaFrancesaArticulo"/>
      </w:pPr>
      <w:r w:rsidRPr="002C5A78">
        <w:rPr>
          <w:rStyle w:val="TextoNormalNegritaCaracter"/>
        </w:rPr>
        <w:t>Artículo 62 a).</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62 f).</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66.</w:t>
      </w:r>
      <w:r w:rsidRPr="002C5A78">
        <w:rPr>
          <w:rStyle w:val="TextoNormalCaracter"/>
        </w:rPr>
        <w:t>-</w:t>
      </w:r>
      <w:r>
        <w:t xml:space="preserve"> Sentencia </w:t>
      </w:r>
      <w:hyperlink w:anchor="SENTENCIA_2021_134" w:history="1">
        <w:r w:rsidRPr="002C5A78">
          <w:rPr>
            <w:rStyle w:val="TextoNormalCaracter"/>
          </w:rPr>
          <w:t>134/2021</w:t>
        </w:r>
      </w:hyperlink>
      <w:r>
        <w:t>, ff. 1, 6.</w:t>
      </w:r>
    </w:p>
    <w:p w:rsidR="002C5A78" w:rsidRDefault="002C5A78" w:rsidP="002C5A78">
      <w:pPr>
        <w:pStyle w:val="SangriaFrancesaArticulo"/>
      </w:pPr>
      <w:r w:rsidRPr="002C5A78">
        <w:rPr>
          <w:rStyle w:val="TextoNormalNegritaCaracter"/>
        </w:rPr>
        <w:t>Artículo 66.2.</w:t>
      </w:r>
      <w:r w:rsidRPr="002C5A78">
        <w:rPr>
          <w:rStyle w:val="TextoNormalCaracter"/>
        </w:rPr>
        <w:t>-</w:t>
      </w:r>
      <w:r>
        <w:t xml:space="preserve"> Sentencias </w:t>
      </w:r>
      <w:hyperlink w:anchor="SENTENCIA_2021_109" w:history="1">
        <w:r w:rsidRPr="002C5A78">
          <w:rPr>
            <w:rStyle w:val="TextoNormalCaracter"/>
          </w:rPr>
          <w:t>109/2021</w:t>
        </w:r>
      </w:hyperlink>
      <w:r>
        <w:t xml:space="preserve">, ff. 1 a 4; </w:t>
      </w:r>
      <w:hyperlink w:anchor="SENTENCIA_2021_110" w:history="1">
        <w:r w:rsidRPr="002C5A78">
          <w:rPr>
            <w:rStyle w:val="TextoNormalCaracter"/>
          </w:rPr>
          <w:t>110/2021</w:t>
        </w:r>
      </w:hyperlink>
      <w:r>
        <w:t xml:space="preserve">, ff. 4, 9, VP; </w:t>
      </w:r>
      <w:hyperlink w:anchor="SENTENCIA_2021_111" w:history="1">
        <w:r w:rsidRPr="002C5A78">
          <w:rPr>
            <w:rStyle w:val="TextoNormalCaracter"/>
          </w:rPr>
          <w:t>111/2021</w:t>
        </w:r>
      </w:hyperlink>
      <w:r>
        <w:t xml:space="preserve">, f. 7, VP; </w:t>
      </w:r>
      <w:hyperlink w:anchor="SENTENCIA_2021_137" w:history="1">
        <w:r w:rsidRPr="002C5A78">
          <w:rPr>
            <w:rStyle w:val="TextoNormalCaracter"/>
          </w:rPr>
          <w:t>137/2021</w:t>
        </w:r>
      </w:hyperlink>
      <w:r>
        <w:t>, f. 4.</w:t>
      </w:r>
    </w:p>
    <w:p w:rsidR="002C5A78" w:rsidRDefault="002C5A78" w:rsidP="002C5A78">
      <w:pPr>
        <w:pStyle w:val="SangriaFrancesaArticulo"/>
      </w:pPr>
      <w:r w:rsidRPr="002C5A78">
        <w:rPr>
          <w:rStyle w:val="TextoNormalNegritaCaracter"/>
        </w:rPr>
        <w:t>Artículo 66.3.</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xml:space="preserve">, f. 3; </w:t>
      </w:r>
      <w:hyperlink w:anchor="SENTENCIA_2021_133" w:history="1">
        <w:r w:rsidRPr="002C5A78">
          <w:rPr>
            <w:rStyle w:val="TextoNormalCaracter"/>
          </w:rPr>
          <w:t>133/2021</w:t>
        </w:r>
      </w:hyperlink>
      <w:r>
        <w:t>, f. 4.</w:t>
      </w:r>
    </w:p>
    <w:p w:rsidR="002C5A78" w:rsidRDefault="002C5A78" w:rsidP="002C5A78">
      <w:pPr>
        <w:pStyle w:val="SangriaFrancesaArticulo"/>
      </w:pPr>
      <w:r w:rsidRPr="002C5A78">
        <w:rPr>
          <w:rStyle w:val="TextoNormalNegritaCaracter"/>
        </w:rPr>
        <w:t>Artículo 67.2.</w:t>
      </w:r>
      <w:r w:rsidRPr="002C5A78">
        <w:rPr>
          <w:rStyle w:val="TextoNormalCaracter"/>
        </w:rPr>
        <w:t>-</w:t>
      </w:r>
      <w:r>
        <w:t xml:space="preserve"> Sentencia </w:t>
      </w:r>
      <w:hyperlink w:anchor="SENTENCIA_2021_133" w:history="1">
        <w:r w:rsidRPr="002C5A78">
          <w:rPr>
            <w:rStyle w:val="TextoNormalCaracter"/>
          </w:rPr>
          <w:t>133/2021</w:t>
        </w:r>
      </w:hyperlink>
      <w:r>
        <w:t>, f. 4.</w:t>
      </w:r>
    </w:p>
    <w:p w:rsidR="002C5A78" w:rsidRDefault="002C5A78" w:rsidP="002C5A78">
      <w:pPr>
        <w:pStyle w:val="SangriaFrancesaArticulo"/>
      </w:pPr>
      <w:r w:rsidRPr="002C5A78">
        <w:rPr>
          <w:rStyle w:val="TextoNormalNegritaCaracter"/>
        </w:rPr>
        <w:t>Artículo 68.4.</w:t>
      </w:r>
      <w:r w:rsidRPr="002C5A78">
        <w:rPr>
          <w:rStyle w:val="TextoNormalCaracter"/>
        </w:rPr>
        <w:t>-</w:t>
      </w:r>
      <w:r>
        <w:t xml:space="preserve"> Sentencias </w:t>
      </w:r>
      <w:hyperlink w:anchor="SENTENCIA_2021_69" w:history="1">
        <w:r w:rsidRPr="002C5A78">
          <w:rPr>
            <w:rStyle w:val="TextoNormalCaracter"/>
          </w:rPr>
          <w:t>69/2021</w:t>
        </w:r>
      </w:hyperlink>
      <w:r>
        <w:t xml:space="preserve">, f. 2; </w:t>
      </w:r>
      <w:hyperlink w:anchor="SENTENCIA_2021_90" w:history="1">
        <w:r w:rsidRPr="002C5A78">
          <w:rPr>
            <w:rStyle w:val="TextoNormalCaracter"/>
          </w:rPr>
          <w:t>90/2021</w:t>
        </w:r>
      </w:hyperlink>
      <w:r>
        <w:t xml:space="preserve">, f. 3; </w:t>
      </w:r>
      <w:hyperlink w:anchor="SENTENCIA_2021_105" w:history="1">
        <w:r w:rsidRPr="002C5A78">
          <w:rPr>
            <w:rStyle w:val="TextoNormalCaracter"/>
          </w:rPr>
          <w:t>105/2021</w:t>
        </w:r>
      </w:hyperlink>
      <w:r>
        <w:t>, f. 3.</w:t>
      </w:r>
    </w:p>
    <w:p w:rsidR="002C5A78" w:rsidRDefault="002C5A78" w:rsidP="002C5A78">
      <w:pPr>
        <w:pStyle w:val="SangriaFrancesaArticulo"/>
      </w:pPr>
      <w:r w:rsidRPr="002C5A78">
        <w:rPr>
          <w:rStyle w:val="TextoNormalNegritaCaracter"/>
        </w:rPr>
        <w:t>Artículo 70.</w:t>
      </w:r>
      <w:r w:rsidRPr="002C5A78">
        <w:rPr>
          <w:rStyle w:val="TextoNormalCaracter"/>
        </w:rPr>
        <w:t>-</w:t>
      </w:r>
      <w:r>
        <w:t xml:space="preserve"> Sentencias </w:t>
      </w:r>
      <w:hyperlink w:anchor="SENTENCIA_2021_69" w:history="1">
        <w:r w:rsidRPr="002C5A78">
          <w:rPr>
            <w:rStyle w:val="TextoNormalCaracter"/>
          </w:rPr>
          <w:t>69/2021</w:t>
        </w:r>
      </w:hyperlink>
      <w:r>
        <w:t xml:space="preserve">, f. 1; </w:t>
      </w:r>
      <w:hyperlink w:anchor="SENTENCIA_2021_90" w:history="1">
        <w:r w:rsidRPr="002C5A78">
          <w:rPr>
            <w:rStyle w:val="TextoNormalCaracter"/>
          </w:rPr>
          <w:t>90/2021</w:t>
        </w:r>
      </w:hyperlink>
      <w:r>
        <w:t xml:space="preserve">, f. 1; </w:t>
      </w:r>
      <w:hyperlink w:anchor="SENTENCIA_2021_105" w:history="1">
        <w:r w:rsidRPr="002C5A78">
          <w:rPr>
            <w:rStyle w:val="TextoNormalCaracter"/>
          </w:rPr>
          <w:t>105/2021</w:t>
        </w:r>
      </w:hyperlink>
      <w:r>
        <w:t>, f. 1.</w:t>
      </w:r>
    </w:p>
    <w:p w:rsidR="002C5A78" w:rsidRDefault="002C5A78" w:rsidP="002C5A78">
      <w:pPr>
        <w:pStyle w:val="SangriaFrancesaArticulo"/>
      </w:pPr>
      <w:r w:rsidRPr="002C5A78">
        <w:rPr>
          <w:rStyle w:val="TextoNormalNegritaCaracter"/>
        </w:rPr>
        <w:t>Artículo 71.</w:t>
      </w:r>
      <w:r w:rsidRPr="002C5A78">
        <w:rPr>
          <w:rStyle w:val="TextoNormalCaracter"/>
        </w:rPr>
        <w:t>-</w:t>
      </w:r>
      <w:r>
        <w:t xml:space="preserve"> Sentencias </w:t>
      </w:r>
      <w:hyperlink w:anchor="SENTENCIA_2021_69" w:history="1">
        <w:r w:rsidRPr="002C5A78">
          <w:rPr>
            <w:rStyle w:val="TextoNormalCaracter"/>
          </w:rPr>
          <w:t>69/2021</w:t>
        </w:r>
      </w:hyperlink>
      <w:r>
        <w:t xml:space="preserve">, f. 1;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xml:space="preserve">, f. 3; </w:t>
      </w:r>
      <w:hyperlink w:anchor="SENTENCIA_2021_90" w:history="1">
        <w:r w:rsidRPr="002C5A78">
          <w:rPr>
            <w:rStyle w:val="TextoNormalCaracter"/>
          </w:rPr>
          <w:t>90/2021</w:t>
        </w:r>
      </w:hyperlink>
      <w:r>
        <w:t xml:space="preserve">, f. 1; </w:t>
      </w:r>
      <w:hyperlink w:anchor="SENTENCIA_2021_105" w:history="1">
        <w:r w:rsidRPr="002C5A78">
          <w:rPr>
            <w:rStyle w:val="TextoNormalCaracter"/>
          </w:rPr>
          <w:t>105/2021</w:t>
        </w:r>
      </w:hyperlink>
      <w:r>
        <w:t>, f. 1.</w:t>
      </w:r>
    </w:p>
    <w:p w:rsidR="002C5A78" w:rsidRDefault="002C5A78" w:rsidP="002C5A78">
      <w:pPr>
        <w:pStyle w:val="SangriaFrancesaArticulo"/>
      </w:pPr>
      <w:r w:rsidRPr="002C5A78">
        <w:rPr>
          <w:rStyle w:val="TextoNormalNegritaCaracter"/>
        </w:rPr>
        <w:t>Artículo 71.1.</w:t>
      </w:r>
      <w:r w:rsidRPr="002C5A78">
        <w:rPr>
          <w:rStyle w:val="TextoNormalCaracter"/>
        </w:rPr>
        <w:t>-</w:t>
      </w:r>
      <w:r>
        <w:t xml:space="preserve"> Sentencia </w:t>
      </w:r>
      <w:hyperlink w:anchor="SENTENCIA_2021_133" w:history="1">
        <w:r w:rsidRPr="002C5A78">
          <w:rPr>
            <w:rStyle w:val="TextoNormalCaracter"/>
          </w:rPr>
          <w:t>133/2021</w:t>
        </w:r>
      </w:hyperlink>
      <w:r>
        <w:t>, f. 4.</w:t>
      </w:r>
    </w:p>
    <w:p w:rsidR="002C5A78" w:rsidRDefault="002C5A78" w:rsidP="002C5A78">
      <w:pPr>
        <w:pStyle w:val="SangriaFrancesaArticulo"/>
      </w:pPr>
      <w:r w:rsidRPr="002C5A78">
        <w:rPr>
          <w:rStyle w:val="TextoNormalNegritaCaracter"/>
        </w:rPr>
        <w:t>Artículo 71.2.</w:t>
      </w:r>
      <w:r w:rsidRPr="002C5A78">
        <w:rPr>
          <w:rStyle w:val="TextoNormalCaracter"/>
        </w:rPr>
        <w:t>-</w:t>
      </w:r>
      <w:r>
        <w:t xml:space="preserve"> Sentencias </w:t>
      </w:r>
      <w:hyperlink w:anchor="SENTENCIA_2021_37" w:history="1">
        <w:r w:rsidRPr="002C5A78">
          <w:rPr>
            <w:rStyle w:val="TextoNormalCaracter"/>
          </w:rPr>
          <w:t>37/2021</w:t>
        </w:r>
      </w:hyperlink>
      <w:r>
        <w:t xml:space="preserve">, ff. 1, 5; </w:t>
      </w:r>
      <w:hyperlink w:anchor="SENTENCIA_2021_70" w:history="1">
        <w:r w:rsidRPr="002C5A78">
          <w:rPr>
            <w:rStyle w:val="TextoNormalCaracter"/>
          </w:rPr>
          <w:t>70/2021</w:t>
        </w:r>
      </w:hyperlink>
      <w:r>
        <w:t xml:space="preserve">, ff. 1 a 6; </w:t>
      </w:r>
      <w:hyperlink w:anchor="SENTENCIA_2021_71" w:history="1">
        <w:r w:rsidRPr="002C5A78">
          <w:rPr>
            <w:rStyle w:val="TextoNormalCaracter"/>
          </w:rPr>
          <w:t>71/2021</w:t>
        </w:r>
      </w:hyperlink>
      <w:r>
        <w:t>, ff. 1 a 6.</w:t>
      </w:r>
    </w:p>
    <w:p w:rsidR="002C5A78" w:rsidRDefault="002C5A78" w:rsidP="002C5A78">
      <w:pPr>
        <w:pStyle w:val="SangriaFrancesaArticulo"/>
      </w:pPr>
      <w:r w:rsidRPr="002C5A78">
        <w:rPr>
          <w:rStyle w:val="TextoNormalNegritaCaracter"/>
        </w:rPr>
        <w:t>Artículo 71.3.</w:t>
      </w:r>
      <w:r w:rsidRPr="002C5A78">
        <w:rPr>
          <w:rStyle w:val="TextoNormalCaracter"/>
        </w:rPr>
        <w:t>-</w:t>
      </w:r>
      <w:r>
        <w:t xml:space="preserve"> Sentencias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f. 4.</w:t>
      </w:r>
    </w:p>
    <w:p w:rsidR="002C5A78" w:rsidRDefault="002C5A78" w:rsidP="002C5A78">
      <w:pPr>
        <w:pStyle w:val="SangriaFrancesaArticulo"/>
      </w:pPr>
      <w:r w:rsidRPr="002C5A78">
        <w:rPr>
          <w:rStyle w:val="TextoNormalNegritaCaracter"/>
        </w:rPr>
        <w:t>Artículo 71.4.</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137" w:history="1">
        <w:r w:rsidRPr="002C5A78">
          <w:rPr>
            <w:rStyle w:val="TextoNormalCaracter"/>
          </w:rPr>
          <w:t>137/2021</w:t>
        </w:r>
      </w:hyperlink>
      <w:r>
        <w:t>, f. 4.</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134" w:history="1">
        <w:r w:rsidRPr="002C5A78">
          <w:rPr>
            <w:rStyle w:val="TextoNormalCaracter"/>
          </w:rPr>
          <w:t>134/2021</w:t>
        </w:r>
      </w:hyperlink>
      <w:r>
        <w:t>, ff. 1, 6.</w:t>
      </w:r>
    </w:p>
    <w:p w:rsidR="002C5A78" w:rsidRDefault="002C5A78" w:rsidP="002C5A78">
      <w:pPr>
        <w:pStyle w:val="SangriaFrancesaArticulo"/>
      </w:pPr>
      <w:r w:rsidRPr="002C5A78">
        <w:rPr>
          <w:rStyle w:val="TextoNormalNegritaCaracter"/>
        </w:rPr>
        <w:t>Artículo 72.1.</w:t>
      </w:r>
      <w:r w:rsidRPr="002C5A78">
        <w:rPr>
          <w:rStyle w:val="TextoNormalCaracter"/>
        </w:rPr>
        <w:t>-</w:t>
      </w:r>
      <w:r>
        <w:t xml:space="preserve"> Sentencias </w:t>
      </w:r>
      <w:hyperlink w:anchor="SENTENCIA_2021_70" w:history="1">
        <w:r w:rsidRPr="002C5A78">
          <w:rPr>
            <w:rStyle w:val="TextoNormalCaracter"/>
          </w:rPr>
          <w:t>70/2021</w:t>
        </w:r>
      </w:hyperlink>
      <w:r>
        <w:t xml:space="preserve">, f. 5; </w:t>
      </w:r>
      <w:hyperlink w:anchor="SENTENCIA_2021_71" w:history="1">
        <w:r w:rsidRPr="002C5A78">
          <w:rPr>
            <w:rStyle w:val="TextoNormalCaracter"/>
          </w:rPr>
          <w:t>71/2021</w:t>
        </w:r>
      </w:hyperlink>
      <w:r>
        <w:t>, f. 5.</w:t>
      </w:r>
    </w:p>
    <w:p w:rsidR="002C5A78" w:rsidRDefault="002C5A78" w:rsidP="002C5A78">
      <w:pPr>
        <w:pStyle w:val="SangriaFrancesaArticulo"/>
      </w:pPr>
      <w:r w:rsidRPr="002C5A78">
        <w:rPr>
          <w:rStyle w:val="TextoNormalNegritaCaracter"/>
        </w:rPr>
        <w:t>Artículo 75.</w:t>
      </w:r>
      <w:r w:rsidRPr="002C5A78">
        <w:rPr>
          <w:rStyle w:val="TextoNormalCaracter"/>
        </w:rPr>
        <w:t>-</w:t>
      </w:r>
      <w:r>
        <w:t xml:space="preserve"> Sentencia </w:t>
      </w:r>
      <w:hyperlink w:anchor="SENTENCIA_2021_134" w:history="1">
        <w:r w:rsidRPr="002C5A78">
          <w:rPr>
            <w:rStyle w:val="TextoNormalCaracter"/>
          </w:rPr>
          <w:t>134/2021</w:t>
        </w:r>
      </w:hyperlink>
      <w:r>
        <w:t>, f. 1.</w:t>
      </w:r>
    </w:p>
    <w:p w:rsidR="002C5A78" w:rsidRDefault="002C5A78" w:rsidP="002C5A78">
      <w:pPr>
        <w:pStyle w:val="SangriaFrancesaArticulo"/>
      </w:pPr>
      <w:r w:rsidRPr="002C5A78">
        <w:rPr>
          <w:rStyle w:val="TextoNormalNegritaCaracter"/>
        </w:rPr>
        <w:t>Artículo 79.</w:t>
      </w:r>
      <w:r w:rsidRPr="002C5A78">
        <w:rPr>
          <w:rStyle w:val="TextoNormalCaracter"/>
        </w:rPr>
        <w:t>-</w:t>
      </w:r>
      <w:r>
        <w:t xml:space="preserve"> Sentencia </w:t>
      </w:r>
      <w:hyperlink w:anchor="SENTENCIA_2021_134" w:history="1">
        <w:r w:rsidRPr="002C5A78">
          <w:rPr>
            <w:rStyle w:val="TextoNormalCaracter"/>
          </w:rPr>
          <w:t>134/2021</w:t>
        </w:r>
      </w:hyperlink>
      <w:r>
        <w:t>, f. 1.</w:t>
      </w:r>
    </w:p>
    <w:p w:rsidR="002C5A78" w:rsidRDefault="002C5A78" w:rsidP="002C5A78">
      <w:pPr>
        <w:pStyle w:val="SangriaFrancesaArticulo"/>
      </w:pPr>
      <w:r w:rsidRPr="002C5A78">
        <w:rPr>
          <w:rStyle w:val="TextoNormalNegritaCaracter"/>
        </w:rPr>
        <w:t>Artículo 81.1.</w:t>
      </w:r>
      <w:r w:rsidRPr="002C5A78">
        <w:rPr>
          <w:rStyle w:val="TextoNormalCaracter"/>
        </w:rPr>
        <w:t>-</w:t>
      </w:r>
      <w:r>
        <w:t xml:space="preserve"> Sentencias </w:t>
      </w:r>
      <w:hyperlink w:anchor="SENTENCIA_2021_75" w:history="1">
        <w:r w:rsidRPr="002C5A78">
          <w:rPr>
            <w:rStyle w:val="TextoNormalCaracter"/>
          </w:rPr>
          <w:t>75/2021</w:t>
        </w:r>
      </w:hyperlink>
      <w:r>
        <w:t xml:space="preserve">, ff. 1, 2, VP I; </w:t>
      </w:r>
      <w:hyperlink w:anchor="SENTENCIA_2021_76" w:history="1">
        <w:r w:rsidRPr="002C5A78">
          <w:rPr>
            <w:rStyle w:val="TextoNormalCaracter"/>
          </w:rPr>
          <w:t>76/2021</w:t>
        </w:r>
      </w:hyperlink>
      <w:r>
        <w:t xml:space="preserve">, f. 4;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111" w:history="1">
        <w:r w:rsidRPr="002C5A78">
          <w:rPr>
            <w:rStyle w:val="TextoNormalCaracter"/>
          </w:rPr>
          <w:t>111/2021</w:t>
        </w:r>
      </w:hyperlink>
      <w:r>
        <w:t>, f. 3.</w:t>
      </w:r>
    </w:p>
    <w:p w:rsidR="002C5A78" w:rsidRDefault="002C5A78" w:rsidP="002C5A78">
      <w:pPr>
        <w:pStyle w:val="SangriaFrancesaArticulo"/>
      </w:pPr>
      <w:r w:rsidRPr="002C5A78">
        <w:rPr>
          <w:rStyle w:val="TextoNormalNegritaCaracter"/>
        </w:rPr>
        <w:t>Artículo 82.1.</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86.</w:t>
      </w:r>
      <w:r w:rsidRPr="002C5A78">
        <w:rPr>
          <w:rStyle w:val="TextoNormalCaracter"/>
        </w:rPr>
        <w:t>-</w:t>
      </w:r>
      <w:r>
        <w:t xml:space="preserve"> Sentencia </w:t>
      </w:r>
      <w:hyperlink w:anchor="SENTENCIA_2021_134" w:history="1">
        <w:r w:rsidRPr="002C5A78">
          <w:rPr>
            <w:rStyle w:val="TextoNormalCaracter"/>
          </w:rPr>
          <w:t>134/2021</w:t>
        </w:r>
      </w:hyperlink>
      <w:r>
        <w:t>, ff. 3, 6, VP I.</w:t>
      </w:r>
    </w:p>
    <w:p w:rsidR="002C5A78" w:rsidRDefault="002C5A78" w:rsidP="002C5A78">
      <w:pPr>
        <w:pStyle w:val="SangriaFrancesaArticulo"/>
      </w:pPr>
      <w:r w:rsidRPr="002C5A78">
        <w:rPr>
          <w:rStyle w:val="TextoNormalNegritaCaracter"/>
        </w:rPr>
        <w:t>Artículo 86.1.</w:t>
      </w:r>
      <w:r w:rsidRPr="002C5A78">
        <w:rPr>
          <w:rStyle w:val="TextoNormalCaracter"/>
        </w:rPr>
        <w:t>-</w:t>
      </w:r>
      <w:r>
        <w:t xml:space="preserve"> Sentencias </w:t>
      </w:r>
      <w:hyperlink w:anchor="SENTENCIA_2021_16" w:history="1">
        <w:r w:rsidRPr="002C5A78">
          <w:rPr>
            <w:rStyle w:val="TextoNormalCaracter"/>
          </w:rPr>
          <w:t>16/2021</w:t>
        </w:r>
      </w:hyperlink>
      <w:r>
        <w:t xml:space="preserve">, ff. 2 a 6; </w:t>
      </w:r>
      <w:hyperlink w:anchor="SENTENCIA_2021_40" w:history="1">
        <w:r w:rsidRPr="002C5A78">
          <w:rPr>
            <w:rStyle w:val="TextoNormalCaracter"/>
          </w:rPr>
          <w:t>40/2021</w:t>
        </w:r>
      </w:hyperlink>
      <w:r>
        <w:t xml:space="preserve">, ff. 2, 5; </w:t>
      </w:r>
      <w:hyperlink w:anchor="SENTENCIA_2021_110" w:history="1">
        <w:r w:rsidRPr="002C5A78">
          <w:rPr>
            <w:rStyle w:val="TextoNormalCaracter"/>
          </w:rPr>
          <w:t>110/2021</w:t>
        </w:r>
      </w:hyperlink>
      <w:r>
        <w:t xml:space="preserve">, ff. 1, 3 a 5, 9, VP; </w:t>
      </w:r>
      <w:hyperlink w:anchor="SENTENCIA_2021_111" w:history="1">
        <w:r w:rsidRPr="002C5A78">
          <w:rPr>
            <w:rStyle w:val="TextoNormalCaracter"/>
          </w:rPr>
          <w:t>111/2021</w:t>
        </w:r>
      </w:hyperlink>
      <w:r>
        <w:t xml:space="preserve">, ff. 2 a 8, VP; </w:t>
      </w:r>
      <w:hyperlink w:anchor="SENTENCIA_2021_124" w:history="1">
        <w:r w:rsidRPr="002C5A78">
          <w:rPr>
            <w:rStyle w:val="TextoNormalCaracter"/>
          </w:rPr>
          <w:t>124/2021</w:t>
        </w:r>
      </w:hyperlink>
      <w:r>
        <w:t xml:space="preserve">, ff. 1, 2, VP; </w:t>
      </w:r>
      <w:hyperlink w:anchor="SENTENCIA_2021_134" w:history="1">
        <w:r w:rsidRPr="002C5A78">
          <w:rPr>
            <w:rStyle w:val="TextoNormalCaracter"/>
          </w:rPr>
          <w:t>134/2021</w:t>
        </w:r>
      </w:hyperlink>
      <w:r>
        <w:t>, ff. 1, 3 a 6, VP I, VP II, VP III.</w:t>
      </w:r>
    </w:p>
    <w:p w:rsidR="002C5A78" w:rsidRDefault="002C5A78" w:rsidP="002C5A78">
      <w:pPr>
        <w:pStyle w:val="SangriaFrancesaArticulo"/>
      </w:pPr>
      <w:r w:rsidRPr="002C5A78">
        <w:rPr>
          <w:rStyle w:val="TextoNormalNegritaCaracter"/>
        </w:rPr>
        <w:t>Artículo 86.2.</w:t>
      </w:r>
      <w:r w:rsidRPr="002C5A78">
        <w:rPr>
          <w:rStyle w:val="TextoNormalCaracter"/>
        </w:rPr>
        <w:t>-</w:t>
      </w:r>
      <w:r>
        <w:t xml:space="preserve"> Sentencias </w:t>
      </w:r>
      <w:hyperlink w:anchor="SENTENCIA_2021_16" w:history="1">
        <w:r w:rsidRPr="002C5A78">
          <w:rPr>
            <w:rStyle w:val="TextoNormalCaracter"/>
          </w:rPr>
          <w:t>16/2021</w:t>
        </w:r>
      </w:hyperlink>
      <w:r>
        <w:t xml:space="preserve">, f. 2; </w:t>
      </w:r>
      <w:hyperlink w:anchor="SENTENCIA_2021_110" w:history="1">
        <w:r w:rsidRPr="002C5A78">
          <w:rPr>
            <w:rStyle w:val="TextoNormalCaracter"/>
          </w:rPr>
          <w:t>110/2021</w:t>
        </w:r>
      </w:hyperlink>
      <w:r>
        <w:t xml:space="preserve">, ff. 2, 4, VP; </w:t>
      </w:r>
      <w:hyperlink w:anchor="SENTENCIA_2021_111" w:history="1">
        <w:r w:rsidRPr="002C5A78">
          <w:rPr>
            <w:rStyle w:val="TextoNormalCaracter"/>
          </w:rPr>
          <w:t>111/2021</w:t>
        </w:r>
      </w:hyperlink>
      <w:r>
        <w:t>, VP.</w:t>
      </w:r>
    </w:p>
    <w:p w:rsidR="002C5A78" w:rsidRDefault="002C5A78" w:rsidP="002C5A78">
      <w:pPr>
        <w:pStyle w:val="SangriaFrancesaArticulo"/>
      </w:pPr>
      <w:r w:rsidRPr="002C5A78">
        <w:rPr>
          <w:rStyle w:val="TextoNormalNegritaCaracter"/>
        </w:rPr>
        <w:t>Artículo 86.3.</w:t>
      </w:r>
      <w:r w:rsidRPr="002C5A78">
        <w:rPr>
          <w:rStyle w:val="TextoNormalCaracter"/>
        </w:rPr>
        <w:t>-</w:t>
      </w:r>
      <w:r>
        <w:t xml:space="preserve"> Sentencias </w:t>
      </w:r>
      <w:hyperlink w:anchor="SENTENCIA_2021_110" w:history="1">
        <w:r w:rsidRPr="002C5A78">
          <w:rPr>
            <w:rStyle w:val="TextoNormalCaracter"/>
          </w:rPr>
          <w:t>110/2021</w:t>
        </w:r>
      </w:hyperlink>
      <w:r>
        <w:t xml:space="preserve">, ff. 2, 5; </w:t>
      </w:r>
      <w:hyperlink w:anchor="SENTENCIA_2021_111" w:history="1">
        <w:r w:rsidRPr="002C5A78">
          <w:rPr>
            <w:rStyle w:val="TextoNormalCaracter"/>
          </w:rPr>
          <w:t>111/2021</w:t>
        </w:r>
      </w:hyperlink>
      <w:r>
        <w:t>, f. 7.</w:t>
      </w:r>
    </w:p>
    <w:p w:rsidR="002C5A78" w:rsidRDefault="002C5A78" w:rsidP="002C5A78">
      <w:pPr>
        <w:pStyle w:val="SangriaFrancesaArticulo"/>
      </w:pPr>
      <w:r w:rsidRPr="002C5A78">
        <w:rPr>
          <w:rStyle w:val="TextoNormalNegritaCaracter"/>
        </w:rPr>
        <w:t>Artículo 87.1.</w:t>
      </w:r>
      <w:r w:rsidRPr="002C5A78">
        <w:rPr>
          <w:rStyle w:val="TextoNormalCaracter"/>
        </w:rPr>
        <w:t>-</w:t>
      </w:r>
      <w:r>
        <w:t xml:space="preserve"> Sentencia </w:t>
      </w:r>
      <w:hyperlink w:anchor="SENTENCIA_2021_111" w:history="1">
        <w:r w:rsidRPr="002C5A78">
          <w:rPr>
            <w:rStyle w:val="TextoNormalCaracter"/>
          </w:rPr>
          <w:t>111/2021</w:t>
        </w:r>
      </w:hyperlink>
      <w:r>
        <w:t>, f. 7.</w:t>
      </w:r>
    </w:p>
    <w:p w:rsidR="002C5A78" w:rsidRDefault="002C5A78" w:rsidP="002C5A78">
      <w:pPr>
        <w:pStyle w:val="SangriaFrancesaArticulo"/>
      </w:pPr>
      <w:r w:rsidRPr="002C5A78">
        <w:rPr>
          <w:rStyle w:val="TextoNormalNegritaCaracter"/>
        </w:rPr>
        <w:t>Artículo 87.2.</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Artículo 88.</w:t>
      </w:r>
      <w:r w:rsidRPr="002C5A78">
        <w:rPr>
          <w:rStyle w:val="TextoNormalCaracter"/>
        </w:rPr>
        <w:t>-</w:t>
      </w:r>
      <w:r>
        <w:t xml:space="preserve"> Sentencia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89.</w:t>
      </w:r>
      <w:r w:rsidRPr="002C5A78">
        <w:rPr>
          <w:rStyle w:val="TextoNormalCaracter"/>
        </w:rPr>
        <w:t>-</w:t>
      </w:r>
      <w:r>
        <w:t xml:space="preserve"> Sentencia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90.</w:t>
      </w:r>
      <w:r w:rsidRPr="002C5A78">
        <w:rPr>
          <w:rStyle w:val="TextoNormalCaracter"/>
        </w:rPr>
        <w:t>-</w:t>
      </w:r>
      <w:r>
        <w:t xml:space="preserve"> Sentencia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91.</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92.</w:t>
      </w:r>
      <w:r w:rsidRPr="002C5A78">
        <w:rPr>
          <w:rStyle w:val="TextoNormalCaracter"/>
        </w:rPr>
        <w:t>-</w:t>
      </w:r>
      <w:r>
        <w:t xml:space="preserve"> Sentencia </w:t>
      </w:r>
      <w:hyperlink w:anchor="SENTENCIA_2021_111" w:history="1">
        <w:r w:rsidRPr="002C5A78">
          <w:rPr>
            <w:rStyle w:val="TextoNormalCaracter"/>
          </w:rPr>
          <w:t>111/2021</w:t>
        </w:r>
      </w:hyperlink>
      <w:r>
        <w:t>, f. 3.</w:t>
      </w:r>
    </w:p>
    <w:p w:rsidR="002C5A78" w:rsidRDefault="002C5A78" w:rsidP="002C5A78">
      <w:pPr>
        <w:pStyle w:val="SangriaFrancesaArticulo"/>
      </w:pPr>
      <w:r w:rsidRPr="002C5A78">
        <w:rPr>
          <w:rStyle w:val="TextoNormalNegritaCaracter"/>
        </w:rPr>
        <w:t>Artículo 93.</w:t>
      </w:r>
      <w:r w:rsidRPr="002C5A78">
        <w:rPr>
          <w:rStyle w:val="TextoNormalCaracter"/>
        </w:rPr>
        <w:t>-</w:t>
      </w:r>
      <w:r>
        <w:t xml:space="preserve"> Sentencia </w:t>
      </w:r>
      <w:hyperlink w:anchor="SENTENCIA_2021_111" w:history="1">
        <w:r w:rsidRPr="002C5A78">
          <w:rPr>
            <w:rStyle w:val="TextoNormalCaracter"/>
          </w:rPr>
          <w:t>111/2021</w:t>
        </w:r>
      </w:hyperlink>
      <w:r>
        <w:t>, f. 3.</w:t>
      </w:r>
    </w:p>
    <w:p w:rsidR="002C5A78" w:rsidRDefault="002C5A78" w:rsidP="002C5A78">
      <w:pPr>
        <w:pStyle w:val="SangriaFrancesaArticulo"/>
      </w:pPr>
      <w:r w:rsidRPr="002C5A78">
        <w:rPr>
          <w:rStyle w:val="TextoNormalNegritaCaracter"/>
        </w:rPr>
        <w:t>Artículo 94.1.</w:t>
      </w:r>
      <w:r w:rsidRPr="002C5A78">
        <w:rPr>
          <w:rStyle w:val="TextoNormalCaracter"/>
        </w:rPr>
        <w:t>-</w:t>
      </w:r>
      <w:r>
        <w:t xml:space="preserve"> Sentencia </w:t>
      </w:r>
      <w:hyperlink w:anchor="SENTENCIA_2021_111" w:history="1">
        <w:r w:rsidRPr="002C5A78">
          <w:rPr>
            <w:rStyle w:val="TextoNormalCaracter"/>
          </w:rPr>
          <w:t>111/2021</w:t>
        </w:r>
      </w:hyperlink>
      <w:r>
        <w:t>, f. 3.</w:t>
      </w:r>
    </w:p>
    <w:p w:rsidR="002C5A78" w:rsidRDefault="002C5A78" w:rsidP="002C5A78">
      <w:pPr>
        <w:pStyle w:val="SangriaFrancesaArticulo"/>
      </w:pPr>
      <w:r w:rsidRPr="002C5A78">
        <w:rPr>
          <w:rStyle w:val="TextoNormalNegritaCaracter"/>
        </w:rPr>
        <w:t>Artículo 96.</w:t>
      </w:r>
      <w:r w:rsidRPr="002C5A78">
        <w:rPr>
          <w:rStyle w:val="TextoNormalCaracter"/>
        </w:rPr>
        <w:t>-</w:t>
      </w:r>
      <w:r>
        <w:t xml:space="preserve"> Sentencia </w:t>
      </w:r>
      <w:hyperlink w:anchor="SENTENCIA_2021_120" w:history="1">
        <w:r w:rsidRPr="002C5A78">
          <w:rPr>
            <w:rStyle w:val="TextoNormalCaracter"/>
          </w:rPr>
          <w:t>120/2021</w:t>
        </w:r>
      </w:hyperlink>
      <w:r>
        <w:t>, f. 3.</w:t>
      </w:r>
    </w:p>
    <w:p w:rsidR="002C5A78" w:rsidRDefault="002C5A78" w:rsidP="002C5A78">
      <w:pPr>
        <w:pStyle w:val="SangriaFrancesaArticulo"/>
      </w:pPr>
      <w:r w:rsidRPr="002C5A78">
        <w:rPr>
          <w:rStyle w:val="TextoNormalNegritaCaracter"/>
        </w:rPr>
        <w:t>Artículo 96.1.</w:t>
      </w:r>
      <w:r w:rsidRPr="002C5A78">
        <w:rPr>
          <w:rStyle w:val="TextoNormalCaracter"/>
        </w:rPr>
        <w:t>-</w:t>
      </w:r>
      <w:r>
        <w:t xml:space="preserve"> Sentencia </w:t>
      </w:r>
      <w:hyperlink w:anchor="SENTENCIA_2021_102" w:history="1">
        <w:r w:rsidRPr="002C5A78">
          <w:rPr>
            <w:rStyle w:val="TextoNormalCaracter"/>
          </w:rPr>
          <w:t>102/2021</w:t>
        </w:r>
      </w:hyperlink>
      <w:r>
        <w:t>, ff. 1, 2.</w:t>
      </w:r>
    </w:p>
    <w:p w:rsidR="002C5A78" w:rsidRDefault="002C5A78" w:rsidP="002C5A78">
      <w:pPr>
        <w:pStyle w:val="SangriaFrancesaArticulo"/>
      </w:pPr>
      <w:r w:rsidRPr="002C5A78">
        <w:rPr>
          <w:rStyle w:val="TextoNormalNegritaCaracter"/>
        </w:rPr>
        <w:t>Artículo 97.</w:t>
      </w:r>
      <w:r w:rsidRPr="002C5A78">
        <w:rPr>
          <w:rStyle w:val="TextoNormalCaracter"/>
        </w:rPr>
        <w:t>-</w:t>
      </w:r>
      <w:r>
        <w:t xml:space="preserve"> Sentencias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VP.</w:t>
      </w:r>
    </w:p>
    <w:p w:rsidR="002C5A78" w:rsidRDefault="002C5A78" w:rsidP="002C5A78">
      <w:pPr>
        <w:pStyle w:val="SangriaFrancesaArticulo"/>
      </w:pPr>
      <w:r w:rsidRPr="002C5A78">
        <w:rPr>
          <w:rStyle w:val="TextoNormalNegritaCaracter"/>
        </w:rPr>
        <w:t>Artículo 99.</w:t>
      </w:r>
      <w:r w:rsidRPr="002C5A78">
        <w:rPr>
          <w:rStyle w:val="TextoNormalCaracter"/>
        </w:rPr>
        <w:t>-</w:t>
      </w:r>
      <w:r>
        <w:t xml:space="preserve"> Sentencias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xml:space="preserve">, VP;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103.1.</w:t>
      </w:r>
      <w:r w:rsidRPr="002C5A78">
        <w:rPr>
          <w:rStyle w:val="TextoNormalCaracter"/>
        </w:rPr>
        <w:t>-</w:t>
      </w:r>
      <w:r>
        <w:t xml:space="preserve"> Sentencias </w:t>
      </w:r>
      <w:hyperlink w:anchor="SENTENCIA_2021_37" w:history="1">
        <w:r w:rsidRPr="002C5A78">
          <w:rPr>
            <w:rStyle w:val="TextoNormalCaracter"/>
          </w:rPr>
          <w:t>37/2021</w:t>
        </w:r>
      </w:hyperlink>
      <w:r>
        <w:t xml:space="preserve">, f. 4; </w:t>
      </w:r>
      <w:hyperlink w:anchor="SENTENCIA_2021_51" w:history="1">
        <w:r w:rsidRPr="002C5A78">
          <w:rPr>
            <w:rStyle w:val="TextoNormalCaracter"/>
          </w:rPr>
          <w:t>51/2021</w:t>
        </w:r>
      </w:hyperlink>
      <w:r>
        <w:t xml:space="preserve">, f. 6; </w:t>
      </w:r>
      <w:hyperlink w:anchor="SENTENCIA_2021_63" w:history="1">
        <w:r w:rsidRPr="002C5A78">
          <w:rPr>
            <w:rStyle w:val="TextoNormalCaracter"/>
          </w:rPr>
          <w:t>63/2021</w:t>
        </w:r>
      </w:hyperlink>
      <w:r>
        <w:t>, f. 3.</w:t>
      </w:r>
    </w:p>
    <w:p w:rsidR="002C5A78" w:rsidRDefault="002C5A78" w:rsidP="002C5A78">
      <w:pPr>
        <w:pStyle w:val="SangriaFrancesaArticulo"/>
      </w:pPr>
      <w:r w:rsidRPr="002C5A78">
        <w:rPr>
          <w:rStyle w:val="TextoNormalNegritaCaracter"/>
        </w:rPr>
        <w:t>Artículo 103.3.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106.</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106.1.</w:t>
      </w:r>
      <w:r w:rsidRPr="002C5A78">
        <w:rPr>
          <w:rStyle w:val="TextoNormalCaracter"/>
        </w:rPr>
        <w:t>-</w:t>
      </w:r>
      <w:r>
        <w:t xml:space="preserve"> Sentencias </w:t>
      </w:r>
      <w:hyperlink w:anchor="SENTENCIA_2021_13" w:history="1">
        <w:r w:rsidRPr="002C5A78">
          <w:rPr>
            <w:rStyle w:val="TextoNormalCaracter"/>
          </w:rPr>
          <w:t>13/2021</w:t>
        </w:r>
      </w:hyperlink>
      <w:r>
        <w:t xml:space="preserve">, f. 2; </w:t>
      </w:r>
      <w:hyperlink w:anchor="SENTENCIA_2021_51" w:history="1">
        <w:r w:rsidRPr="002C5A78">
          <w:rPr>
            <w:rStyle w:val="TextoNormalCaracter"/>
          </w:rPr>
          <w:t>51/2021</w:t>
        </w:r>
      </w:hyperlink>
      <w:r>
        <w:t xml:space="preserve">, f. 6; </w:t>
      </w:r>
      <w:hyperlink w:anchor="SENTENCIA_2021_63" w:history="1">
        <w:r w:rsidRPr="002C5A78">
          <w:rPr>
            <w:rStyle w:val="TextoNormalCaracter"/>
          </w:rPr>
          <w:t>63/2021</w:t>
        </w:r>
      </w:hyperlink>
      <w:r>
        <w:t>, f. 3.</w:t>
      </w:r>
    </w:p>
    <w:p w:rsidR="002C5A78" w:rsidRDefault="002C5A78" w:rsidP="002C5A78">
      <w:pPr>
        <w:pStyle w:val="SangriaFrancesaArticulo"/>
      </w:pPr>
      <w:r w:rsidRPr="002C5A78">
        <w:rPr>
          <w:rStyle w:val="TextoNormalNegritaCaracter"/>
        </w:rPr>
        <w:t>Artículo 112.</w:t>
      </w:r>
      <w:r w:rsidRPr="002C5A78">
        <w:rPr>
          <w:rStyle w:val="TextoNormalCaracter"/>
        </w:rPr>
        <w:t>-</w:t>
      </w:r>
      <w:r>
        <w:t xml:space="preserve"> Sentencia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113.</w:t>
      </w:r>
      <w:r w:rsidRPr="002C5A78">
        <w:rPr>
          <w:rStyle w:val="TextoNormalCaracter"/>
        </w:rPr>
        <w:t>-</w:t>
      </w:r>
      <w:r>
        <w:t xml:space="preserve"> Sentencia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114.</w:t>
      </w:r>
      <w:r w:rsidRPr="002C5A78">
        <w:rPr>
          <w:rStyle w:val="TextoNormalCaracter"/>
        </w:rPr>
        <w:t>-</w:t>
      </w:r>
      <w:r>
        <w:t xml:space="preserve"> Sentencia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115.</w:t>
      </w:r>
      <w:r w:rsidRPr="002C5A78">
        <w:rPr>
          <w:rStyle w:val="TextoNormalCaracter"/>
        </w:rPr>
        <w:t>-</w:t>
      </w:r>
      <w:r>
        <w:t xml:space="preserve"> Sentencias </w:t>
      </w:r>
      <w:hyperlink w:anchor="SENTENCIA_2021_70" w:history="1">
        <w:r w:rsidRPr="002C5A78">
          <w:rPr>
            <w:rStyle w:val="TextoNormalCaracter"/>
          </w:rPr>
          <w:t>70/2021</w:t>
        </w:r>
      </w:hyperlink>
      <w:r>
        <w:t xml:space="preserve">, f. 6; </w:t>
      </w:r>
      <w:hyperlink w:anchor="SENTENCIA_2021_71" w:history="1">
        <w:r w:rsidRPr="002C5A78">
          <w:rPr>
            <w:rStyle w:val="TextoNormalCaracter"/>
          </w:rPr>
          <w:t>71/2021</w:t>
        </w:r>
      </w:hyperlink>
      <w:r>
        <w:t>, f. 6.</w:t>
      </w:r>
    </w:p>
    <w:p w:rsidR="002C5A78" w:rsidRDefault="002C5A78" w:rsidP="002C5A78">
      <w:pPr>
        <w:pStyle w:val="SangriaFrancesaArticulo"/>
      </w:pPr>
      <w:r w:rsidRPr="002C5A78">
        <w:rPr>
          <w:rStyle w:val="TextoNormalNegritaCaracter"/>
        </w:rPr>
        <w:t>Artículo 116.</w:t>
      </w:r>
      <w:r w:rsidRPr="002C5A78">
        <w:rPr>
          <w:rStyle w:val="TextoNormalCaracter"/>
        </w:rPr>
        <w:t>-</w:t>
      </w:r>
      <w:r>
        <w:t xml:space="preserve"> Sentencias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f. 3, VP.</w:t>
      </w:r>
    </w:p>
    <w:p w:rsidR="002C5A78" w:rsidRDefault="002C5A78" w:rsidP="002C5A78">
      <w:pPr>
        <w:pStyle w:val="SangriaFrancesaArticulo"/>
      </w:pPr>
      <w:r w:rsidRPr="002C5A78">
        <w:rPr>
          <w:rStyle w:val="TextoNormalNegritaCaracter"/>
        </w:rPr>
        <w:t>Artículo 116.5.</w:t>
      </w:r>
      <w:r w:rsidRPr="002C5A78">
        <w:rPr>
          <w:rStyle w:val="TextoNormalCaracter"/>
        </w:rPr>
        <w:t>-</w:t>
      </w:r>
      <w:r>
        <w:t xml:space="preserve"> Sentencias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VP.</w:t>
      </w:r>
    </w:p>
    <w:p w:rsidR="002C5A78" w:rsidRDefault="002C5A78" w:rsidP="002C5A78">
      <w:pPr>
        <w:pStyle w:val="SangriaFrancesaArticulo"/>
      </w:pPr>
      <w:r w:rsidRPr="002C5A78">
        <w:rPr>
          <w:rStyle w:val="TextoNormalNegritaCaracter"/>
        </w:rPr>
        <w:t>Artículo 117.</w:t>
      </w:r>
      <w:r w:rsidRPr="002C5A78">
        <w:rPr>
          <w:rStyle w:val="TextoNormalCaracter"/>
        </w:rPr>
        <w:t>-</w:t>
      </w:r>
      <w:r>
        <w:t xml:space="preserve"> Sentencias </w:t>
      </w:r>
      <w:hyperlink w:anchor="SENTENCIA_2021_22" w:history="1">
        <w:r w:rsidRPr="002C5A78">
          <w:rPr>
            <w:rStyle w:val="TextoNormalCaracter"/>
          </w:rPr>
          <w:t>22/2021</w:t>
        </w:r>
      </w:hyperlink>
      <w:r>
        <w:t xml:space="preserve">, f. 3; </w:t>
      </w:r>
      <w:hyperlink w:anchor="SENTENCIA_2021_65" w:history="1">
        <w:r w:rsidRPr="002C5A78">
          <w:rPr>
            <w:rStyle w:val="TextoNormalCaracter"/>
          </w:rPr>
          <w:t>65/2021</w:t>
        </w:r>
      </w:hyperlink>
      <w:r>
        <w:t xml:space="preserve">, f. 4;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08" w:history="1">
        <w:r w:rsidRPr="002C5A78">
          <w:rPr>
            <w:rStyle w:val="TextoNormalCaracter"/>
          </w:rPr>
          <w:t>108/2021</w:t>
        </w:r>
      </w:hyperlink>
      <w:r>
        <w:t xml:space="preserve">, f. 3;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xml:space="preserve">, f. 7; </w:t>
      </w:r>
      <w:hyperlink w:anchor="SENTENCIA_2021_132" w:history="1">
        <w:r w:rsidRPr="002C5A78">
          <w:rPr>
            <w:rStyle w:val="TextoNormalCaracter"/>
          </w:rPr>
          <w:t>132/2021</w:t>
        </w:r>
      </w:hyperlink>
      <w:r>
        <w:t>, f. 3.</w:t>
      </w:r>
    </w:p>
    <w:p w:rsidR="002C5A78" w:rsidRDefault="002C5A78" w:rsidP="002C5A78">
      <w:pPr>
        <w:pStyle w:val="SangriaFrancesaArticulo"/>
      </w:pPr>
      <w:r w:rsidRPr="002C5A78">
        <w:rPr>
          <w:rStyle w:val="TextoNormalNegritaCaracter"/>
        </w:rPr>
        <w:t>Artículo 117.1.</w:t>
      </w:r>
      <w:r w:rsidRPr="002C5A78">
        <w:rPr>
          <w:rStyle w:val="TextoNormalCaracter"/>
        </w:rPr>
        <w:t>-</w:t>
      </w:r>
      <w:r>
        <w:t xml:space="preserve"> Sentencias </w:t>
      </w:r>
      <w:hyperlink w:anchor="SENTENCIA_2021_14" w:history="1">
        <w:r w:rsidRPr="002C5A78">
          <w:rPr>
            <w:rStyle w:val="TextoNormalCaracter"/>
          </w:rPr>
          <w:t>14/2021</w:t>
        </w:r>
      </w:hyperlink>
      <w:r>
        <w:t xml:space="preserve">, f. 2; </w:t>
      </w:r>
      <w:hyperlink w:anchor="SENTENCIA_2021_24" w:history="1">
        <w:r w:rsidRPr="002C5A78">
          <w:rPr>
            <w:rStyle w:val="TextoNormalCaracter"/>
          </w:rPr>
          <w:t>24/2021</w:t>
        </w:r>
      </w:hyperlink>
      <w:r>
        <w:t xml:space="preserve">, f. 3; </w:t>
      </w:r>
      <w:hyperlink w:anchor="SENTENCIA_2021_63" w:history="1">
        <w:r w:rsidRPr="002C5A78">
          <w:rPr>
            <w:rStyle w:val="TextoNormalCaracter"/>
          </w:rPr>
          <w:t>63/2021</w:t>
        </w:r>
      </w:hyperlink>
      <w:r>
        <w:t xml:space="preserve">, f. 3; </w:t>
      </w:r>
      <w:hyperlink w:anchor="SENTENCIA_2021_91" w:history="1">
        <w:r w:rsidRPr="002C5A78">
          <w:rPr>
            <w:rStyle w:val="TextoNormalCaracter"/>
          </w:rPr>
          <w:t>91/2021</w:t>
        </w:r>
      </w:hyperlink>
      <w:r>
        <w:t xml:space="preserve">, ff. 5, 6; </w:t>
      </w:r>
      <w:hyperlink w:anchor="SENTENCIA_2021_102" w:history="1">
        <w:r w:rsidRPr="002C5A78">
          <w:rPr>
            <w:rStyle w:val="TextoNormalCaracter"/>
          </w:rPr>
          <w:t>102/2021</w:t>
        </w:r>
      </w:hyperlink>
      <w:r>
        <w:t xml:space="preserve">, f. 3; </w:t>
      </w:r>
      <w:hyperlink w:anchor="SENTENCIA_2021_106" w:history="1">
        <w:r w:rsidRPr="002C5A78">
          <w:rPr>
            <w:rStyle w:val="TextoNormalCaracter"/>
          </w:rPr>
          <w:t>106/2021</w:t>
        </w:r>
      </w:hyperlink>
      <w:r>
        <w:t xml:space="preserve">, ff. 5, 6; </w:t>
      </w:r>
      <w:hyperlink w:anchor="SENTENCIA_2021_121" w:history="1">
        <w:r w:rsidRPr="002C5A78">
          <w:rPr>
            <w:rStyle w:val="TextoNormalCaracter"/>
          </w:rPr>
          <w:t>121/2021</w:t>
        </w:r>
      </w:hyperlink>
      <w:r>
        <w:t>, ff. 6, 7.</w:t>
      </w:r>
    </w:p>
    <w:p w:rsidR="002C5A78" w:rsidRDefault="002C5A78" w:rsidP="002C5A78">
      <w:pPr>
        <w:pStyle w:val="SangriaFrancesaArticulo"/>
      </w:pPr>
      <w:r w:rsidRPr="002C5A78">
        <w:rPr>
          <w:rStyle w:val="TextoNormalNegritaCaracter"/>
        </w:rPr>
        <w:t>Artículo 117.3.</w:t>
      </w:r>
      <w:r w:rsidRPr="002C5A78">
        <w:rPr>
          <w:rStyle w:val="TextoNormalCaracter"/>
        </w:rPr>
        <w:t>-</w:t>
      </w:r>
      <w:r>
        <w:t xml:space="preserve"> Sentencias </w:t>
      </w:r>
      <w:hyperlink w:anchor="SENTENCIA_2021_5" w:history="1">
        <w:r w:rsidRPr="002C5A78">
          <w:rPr>
            <w:rStyle w:val="TextoNormalCaracter"/>
          </w:rPr>
          <w:t>5/2021</w:t>
        </w:r>
      </w:hyperlink>
      <w:r>
        <w:t xml:space="preserve">, f. 3; </w:t>
      </w:r>
      <w:hyperlink w:anchor="SENTENCIA_2021_14" w:history="1">
        <w:r w:rsidRPr="002C5A78">
          <w:rPr>
            <w:rStyle w:val="TextoNormalCaracter"/>
          </w:rPr>
          <w:t>14/2021</w:t>
        </w:r>
      </w:hyperlink>
      <w:r>
        <w:t xml:space="preserve">, f. 5; </w:t>
      </w:r>
      <w:hyperlink w:anchor="SENTENCIA_2021_17" w:history="1">
        <w:r w:rsidRPr="002C5A78">
          <w:rPr>
            <w:rStyle w:val="TextoNormalCaracter"/>
          </w:rPr>
          <w:t>17/2021</w:t>
        </w:r>
      </w:hyperlink>
      <w:r>
        <w:t xml:space="preserve">, f. 2; </w:t>
      </w:r>
      <w:hyperlink w:anchor="SENTENCIA_2021_18" w:history="1">
        <w:r w:rsidRPr="002C5A78">
          <w:rPr>
            <w:rStyle w:val="TextoNormalCaracter"/>
          </w:rPr>
          <w:t>18/2021</w:t>
        </w:r>
      </w:hyperlink>
      <w:r>
        <w:t xml:space="preserve">, f. 5; </w:t>
      </w:r>
      <w:hyperlink w:anchor="SENTENCIA_2021_23" w:history="1">
        <w:r w:rsidRPr="002C5A78">
          <w:rPr>
            <w:rStyle w:val="TextoNormalCaracter"/>
          </w:rPr>
          <w:t>23/2021</w:t>
        </w:r>
      </w:hyperlink>
      <w:r>
        <w:t xml:space="preserve">, f. 2; </w:t>
      </w:r>
      <w:hyperlink w:anchor="SENTENCIA_2021_24" w:history="1">
        <w:r w:rsidRPr="002C5A78">
          <w:rPr>
            <w:rStyle w:val="TextoNormalCaracter"/>
          </w:rPr>
          <w:t>24/2021</w:t>
        </w:r>
      </w:hyperlink>
      <w:r>
        <w:t xml:space="preserve">, f. 3; </w:t>
      </w:r>
      <w:hyperlink w:anchor="SENTENCIA_2021_34" w:history="1">
        <w:r w:rsidRPr="002C5A78">
          <w:rPr>
            <w:rStyle w:val="TextoNormalCaracter"/>
          </w:rPr>
          <w:t>34/2021</w:t>
        </w:r>
      </w:hyperlink>
      <w:r>
        <w:t xml:space="preserve">, f. 3; </w:t>
      </w:r>
      <w:hyperlink w:anchor="SENTENCIA_2021_35" w:history="1">
        <w:r w:rsidRPr="002C5A78">
          <w:rPr>
            <w:rStyle w:val="TextoNormalCaracter"/>
          </w:rPr>
          <w:t>35/2021</w:t>
        </w:r>
      </w:hyperlink>
      <w:r>
        <w:t xml:space="preserve">, f. 2; </w:t>
      </w:r>
      <w:hyperlink w:anchor="SENTENCIA_2021_46" w:history="1">
        <w:r w:rsidRPr="002C5A78">
          <w:rPr>
            <w:rStyle w:val="TextoNormalCaracter"/>
          </w:rPr>
          <w:t>46/2021</w:t>
        </w:r>
      </w:hyperlink>
      <w:r>
        <w:t xml:space="preserve">, f. único; </w:t>
      </w:r>
      <w:hyperlink w:anchor="SENTENCIA_2021_47" w:history="1">
        <w:r w:rsidRPr="002C5A78">
          <w:rPr>
            <w:rStyle w:val="TextoNormalCaracter"/>
          </w:rPr>
          <w:t>47/2021</w:t>
        </w:r>
      </w:hyperlink>
      <w:r>
        <w:t xml:space="preserve">, f. único; </w:t>
      </w:r>
      <w:hyperlink w:anchor="SENTENCIA_2021_57" w:history="1">
        <w:r w:rsidRPr="002C5A78">
          <w:rPr>
            <w:rStyle w:val="TextoNormalCaracter"/>
          </w:rPr>
          <w:t>57/2021</w:t>
        </w:r>
      </w:hyperlink>
      <w:r>
        <w:t xml:space="preserve">, ff. 2, 3; </w:t>
      </w:r>
      <w:hyperlink w:anchor="SENTENCIA_2021_61" w:history="1">
        <w:r w:rsidRPr="002C5A78">
          <w:rPr>
            <w:rStyle w:val="TextoNormalCaracter"/>
          </w:rPr>
          <w:t>61/2021</w:t>
        </w:r>
      </w:hyperlink>
      <w:r>
        <w:t xml:space="preserve">, f. 5; </w:t>
      </w:r>
      <w:hyperlink w:anchor="SENTENCIA_2021_65" w:history="1">
        <w:r w:rsidRPr="002C5A78">
          <w:rPr>
            <w:rStyle w:val="TextoNormalCaracter"/>
          </w:rPr>
          <w:t>65/2021</w:t>
        </w:r>
      </w:hyperlink>
      <w:r>
        <w:t xml:space="preserve">, f. 5; </w:t>
      </w:r>
      <w:hyperlink w:anchor="SENTENCIA_2021_91" w:history="1">
        <w:r w:rsidRPr="002C5A78">
          <w:rPr>
            <w:rStyle w:val="TextoNormalCaracter"/>
          </w:rPr>
          <w:t>91/2021</w:t>
        </w:r>
      </w:hyperlink>
      <w:r>
        <w:t xml:space="preserve">, ff. 3, 11; </w:t>
      </w:r>
      <w:hyperlink w:anchor="SENTENCIA_2021_102" w:history="1">
        <w:r w:rsidRPr="002C5A78">
          <w:rPr>
            <w:rStyle w:val="TextoNormalCaracter"/>
          </w:rPr>
          <w:t>102/2021</w:t>
        </w:r>
      </w:hyperlink>
      <w:r>
        <w:t xml:space="preserve">, f. 3; </w:t>
      </w:r>
      <w:hyperlink w:anchor="SENTENCIA_2021_106" w:history="1">
        <w:r w:rsidRPr="002C5A78">
          <w:rPr>
            <w:rStyle w:val="TextoNormalCaracter"/>
          </w:rPr>
          <w:t>106/2021</w:t>
        </w:r>
      </w:hyperlink>
      <w:r>
        <w:t xml:space="preserve">, ff. 3, 11; </w:t>
      </w:r>
      <w:hyperlink w:anchor="SENTENCIA_2021_108" w:history="1">
        <w:r w:rsidRPr="002C5A78">
          <w:rPr>
            <w:rStyle w:val="TextoNormalCaracter"/>
          </w:rPr>
          <w:t>108/2021</w:t>
        </w:r>
      </w:hyperlink>
      <w:r>
        <w:t xml:space="preserve">, ff. 1, 5, 6; </w:t>
      </w:r>
      <w:hyperlink w:anchor="SENTENCIA_2021_119" w:history="1">
        <w:r w:rsidRPr="002C5A78">
          <w:rPr>
            <w:rStyle w:val="TextoNormalCaracter"/>
          </w:rPr>
          <w:t>119/2021</w:t>
        </w:r>
      </w:hyperlink>
      <w:r>
        <w:t xml:space="preserve">, f. 4; </w:t>
      </w:r>
      <w:hyperlink w:anchor="SENTENCIA_2021_120" w:history="1">
        <w:r w:rsidRPr="002C5A78">
          <w:rPr>
            <w:rStyle w:val="TextoNormalCaracter"/>
          </w:rPr>
          <w:t>120/2021</w:t>
        </w:r>
      </w:hyperlink>
      <w:r>
        <w:t xml:space="preserve">, f. 3; </w:t>
      </w:r>
      <w:hyperlink w:anchor="SENTENCIA_2021_121" w:history="1">
        <w:r w:rsidRPr="002C5A78">
          <w:rPr>
            <w:rStyle w:val="TextoNormalCaracter"/>
          </w:rPr>
          <w:t>121/2021</w:t>
        </w:r>
      </w:hyperlink>
      <w:r>
        <w:t xml:space="preserve">, ff. 4, 12; </w:t>
      </w:r>
      <w:hyperlink w:anchor="SENTENCIA_2021_122" w:history="1">
        <w:r w:rsidRPr="002C5A78">
          <w:rPr>
            <w:rStyle w:val="TextoNormalCaracter"/>
          </w:rPr>
          <w:t>122/2021</w:t>
        </w:r>
      </w:hyperlink>
      <w:r>
        <w:t xml:space="preserve">, ff. 4, 10; </w:t>
      </w:r>
      <w:hyperlink w:anchor="SENTENCIA_2021_126" w:history="1">
        <w:r w:rsidRPr="002C5A78">
          <w:rPr>
            <w:rStyle w:val="TextoNormalCaracter"/>
          </w:rPr>
          <w:t>126/2021</w:t>
        </w:r>
      </w:hyperlink>
      <w:r>
        <w:t xml:space="preserve">, f. 2; </w:t>
      </w:r>
      <w:hyperlink w:anchor="SENTENCIA_2021_133" w:history="1">
        <w:r w:rsidRPr="002C5A78">
          <w:rPr>
            <w:rStyle w:val="TextoNormalCaracter"/>
          </w:rPr>
          <w:t>133/2021</w:t>
        </w:r>
      </w:hyperlink>
      <w:r>
        <w:t xml:space="preserve">, ff. 6, 7; </w:t>
      </w:r>
      <w:hyperlink w:anchor="SENTENCIA_2021_135" w:history="1">
        <w:r w:rsidRPr="002C5A78">
          <w:rPr>
            <w:rStyle w:val="TextoNormalCaracter"/>
          </w:rPr>
          <w:t>135/2021</w:t>
        </w:r>
      </w:hyperlink>
      <w:r>
        <w:t xml:space="preserve">, ff. 1, 3, 4; </w:t>
      </w:r>
      <w:hyperlink w:anchor="SENTENCIA_2021_136" w:history="1">
        <w:r w:rsidRPr="002C5A78">
          <w:rPr>
            <w:rStyle w:val="TextoNormalCaracter"/>
          </w:rPr>
          <w:t>136/2021</w:t>
        </w:r>
      </w:hyperlink>
      <w:r>
        <w:t>, f. único.</w:t>
      </w:r>
    </w:p>
    <w:p w:rsidR="002C5A78" w:rsidRDefault="002C5A78" w:rsidP="002C5A78">
      <w:pPr>
        <w:pStyle w:val="SangriaIzquierdaArticulo"/>
      </w:pPr>
      <w:r>
        <w:t xml:space="preserve">Autos </w:t>
      </w:r>
      <w:hyperlink w:anchor="AUTO_2021_4" w:history="1">
        <w:r w:rsidRPr="002C5A78">
          <w:rPr>
            <w:rStyle w:val="TextoNormalCaracter"/>
          </w:rPr>
          <w:t>4/2021</w:t>
        </w:r>
      </w:hyperlink>
      <w:r>
        <w:t xml:space="preserve">, ff. 2, 4; </w:t>
      </w:r>
      <w:hyperlink w:anchor="AUTO_2021_10" w:history="1">
        <w:r w:rsidRPr="002C5A78">
          <w:rPr>
            <w:rStyle w:val="TextoNormalCaracter"/>
          </w:rPr>
          <w:t>10/2021</w:t>
        </w:r>
      </w:hyperlink>
      <w:r>
        <w:t xml:space="preserve">, f. 2; </w:t>
      </w:r>
      <w:hyperlink w:anchor="AUTO_2021_14" w:history="1">
        <w:r w:rsidRPr="002C5A78">
          <w:rPr>
            <w:rStyle w:val="TextoNormalCaracter"/>
          </w:rPr>
          <w:t>14/2021</w:t>
        </w:r>
      </w:hyperlink>
      <w:r>
        <w:t xml:space="preserve">, f. 1; </w:t>
      </w:r>
      <w:hyperlink w:anchor="AUTO_2021_15" w:history="1">
        <w:r w:rsidRPr="002C5A78">
          <w:rPr>
            <w:rStyle w:val="TextoNormalCaracter"/>
          </w:rPr>
          <w:t>15/2021</w:t>
        </w:r>
      </w:hyperlink>
      <w:r>
        <w:t xml:space="preserve">, f. 1; </w:t>
      </w:r>
      <w:hyperlink w:anchor="AUTO_2021_39" w:history="1">
        <w:r w:rsidRPr="002C5A78">
          <w:rPr>
            <w:rStyle w:val="TextoNormalCaracter"/>
          </w:rPr>
          <w:t>39/2021</w:t>
        </w:r>
      </w:hyperlink>
      <w:r>
        <w:t xml:space="preserve">, f. 2; </w:t>
      </w:r>
      <w:hyperlink w:anchor="AUTO_2021_46" w:history="1">
        <w:r w:rsidRPr="002C5A78">
          <w:rPr>
            <w:rStyle w:val="TextoNormalCaracter"/>
          </w:rPr>
          <w:t>46/2021</w:t>
        </w:r>
      </w:hyperlink>
      <w:r>
        <w:t xml:space="preserve">, f. 1; </w:t>
      </w:r>
      <w:hyperlink w:anchor="AUTO_2021_52" w:history="1">
        <w:r w:rsidRPr="002C5A78">
          <w:rPr>
            <w:rStyle w:val="TextoNormalCaracter"/>
          </w:rPr>
          <w:t>52/2021</w:t>
        </w:r>
      </w:hyperlink>
      <w:r>
        <w:t xml:space="preserve">, f. 1; </w:t>
      </w:r>
      <w:hyperlink w:anchor="AUTO_2021_56" w:history="1">
        <w:r w:rsidRPr="002C5A78">
          <w:rPr>
            <w:rStyle w:val="TextoNormalCaracter"/>
          </w:rPr>
          <w:t>56/2021</w:t>
        </w:r>
      </w:hyperlink>
      <w:r>
        <w:t>, f. 3.</w:t>
      </w:r>
    </w:p>
    <w:p w:rsidR="002C5A78" w:rsidRDefault="002C5A78" w:rsidP="002C5A78">
      <w:pPr>
        <w:pStyle w:val="SangriaFrancesaArticulo"/>
      </w:pPr>
      <w:r w:rsidRPr="002C5A78">
        <w:rPr>
          <w:rStyle w:val="TextoNormalNegritaCaracter"/>
        </w:rPr>
        <w:t>Artículo 117.4.</w:t>
      </w:r>
      <w:r w:rsidRPr="002C5A78">
        <w:rPr>
          <w:rStyle w:val="TextoNormalCaracter"/>
        </w:rPr>
        <w:t>-</w:t>
      </w:r>
      <w:r>
        <w:t xml:space="preserve"> Sentencia </w:t>
      </w:r>
      <w:hyperlink w:anchor="SENTENCIA_2021_87" w:history="1">
        <w:r w:rsidRPr="002C5A78">
          <w:rPr>
            <w:rStyle w:val="TextoNormalCaracter"/>
          </w:rPr>
          <w:t>87/2021</w:t>
        </w:r>
      </w:hyperlink>
      <w:r>
        <w:t>, f. 3.</w:t>
      </w:r>
    </w:p>
    <w:p w:rsidR="002C5A78" w:rsidRDefault="002C5A78" w:rsidP="002C5A78">
      <w:pPr>
        <w:pStyle w:val="SangriaFrancesaArticulo"/>
      </w:pPr>
      <w:r w:rsidRPr="002C5A78">
        <w:rPr>
          <w:rStyle w:val="TextoNormalNegritaCaracter"/>
        </w:rPr>
        <w:t>Artículo 118.</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08" w:history="1">
        <w:r w:rsidRPr="002C5A78">
          <w:rPr>
            <w:rStyle w:val="TextoNormalCaracter"/>
          </w:rPr>
          <w:t>108/2021</w:t>
        </w:r>
      </w:hyperlink>
      <w:r>
        <w:t xml:space="preserve">, f. 7; </w:t>
      </w:r>
      <w:hyperlink w:anchor="SENTENCIA_2021_113" w:history="1">
        <w:r w:rsidRPr="002C5A78">
          <w:rPr>
            <w:rStyle w:val="TextoNormalCaracter"/>
          </w:rPr>
          <w:t>113/2021</w:t>
        </w:r>
      </w:hyperlink>
      <w:r>
        <w:t>, VP.</w:t>
      </w:r>
    </w:p>
    <w:p w:rsidR="002C5A78" w:rsidRDefault="002C5A78" w:rsidP="002C5A78">
      <w:pPr>
        <w:pStyle w:val="SangriaIzquierdaArticulo"/>
      </w:pPr>
      <w:r>
        <w:t xml:space="preserve">Auto </w:t>
      </w:r>
      <w:hyperlink w:anchor="AUTO_2021_69" w:history="1">
        <w:r w:rsidRPr="002C5A78">
          <w:rPr>
            <w:rStyle w:val="TextoNormalCaracter"/>
          </w:rPr>
          <w:t>69/2021</w:t>
        </w:r>
      </w:hyperlink>
      <w:r>
        <w:t>, f. 2.</w:t>
      </w:r>
    </w:p>
    <w:p w:rsidR="002C5A78" w:rsidRDefault="002C5A78" w:rsidP="002C5A78">
      <w:pPr>
        <w:pStyle w:val="SangriaFrancesaArticulo"/>
      </w:pPr>
      <w:r w:rsidRPr="002C5A78">
        <w:rPr>
          <w:rStyle w:val="TextoNormalNegritaCaracter"/>
        </w:rPr>
        <w:t>Artículo 119.</w:t>
      </w:r>
      <w:r w:rsidRPr="002C5A78">
        <w:rPr>
          <w:rStyle w:val="TextoNormalCaracter"/>
        </w:rPr>
        <w:t>-</w:t>
      </w:r>
      <w:r>
        <w:t xml:space="preserve"> Sentencia </w:t>
      </w:r>
      <w:hyperlink w:anchor="SENTENCIA_2021_29" w:history="1">
        <w:r w:rsidRPr="002C5A78">
          <w:rPr>
            <w:rStyle w:val="TextoNormalCaracter"/>
          </w:rPr>
          <w:t>29/2021</w:t>
        </w:r>
      </w:hyperlink>
      <w:r>
        <w:t>, ff. 4, 5.</w:t>
      </w:r>
    </w:p>
    <w:p w:rsidR="002C5A78" w:rsidRDefault="002C5A78" w:rsidP="002C5A78">
      <w:pPr>
        <w:pStyle w:val="SangriaFrancesaArticulo"/>
      </w:pPr>
      <w:r w:rsidRPr="002C5A78">
        <w:rPr>
          <w:rStyle w:val="TextoNormalNegritaCaracter"/>
        </w:rPr>
        <w:t>Artículo 120.1.</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120.3.</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xml:space="preserve">, f. 3; </w:t>
      </w:r>
      <w:hyperlink w:anchor="SENTENCIA_2021_24" w:history="1">
        <w:r w:rsidRPr="002C5A78">
          <w:rPr>
            <w:rStyle w:val="TextoNormalCaracter"/>
          </w:rPr>
          <w:t>24/2021</w:t>
        </w:r>
      </w:hyperlink>
      <w:r>
        <w:t xml:space="preserve">, f. 2; </w:t>
      </w:r>
      <w:hyperlink w:anchor="SENTENCIA_2021_34" w:history="1">
        <w:r w:rsidRPr="002C5A78">
          <w:rPr>
            <w:rStyle w:val="TextoNormalCaracter"/>
          </w:rPr>
          <w:t>34/2021</w:t>
        </w:r>
      </w:hyperlink>
      <w:r>
        <w:t xml:space="preserve">, f. 7; </w:t>
      </w:r>
      <w:hyperlink w:anchor="SENTENCIA_2021_65" w:history="1">
        <w:r w:rsidRPr="002C5A78">
          <w:rPr>
            <w:rStyle w:val="TextoNormalCaracter"/>
          </w:rPr>
          <w:t>65/2021</w:t>
        </w:r>
      </w:hyperlink>
      <w:r>
        <w:t xml:space="preserve">, f. 5; </w:t>
      </w:r>
      <w:hyperlink w:anchor="SENTENCIA_2021_88" w:history="1">
        <w:r w:rsidRPr="002C5A78">
          <w:rPr>
            <w:rStyle w:val="TextoNormalCaracter"/>
          </w:rPr>
          <w:t>88/2021</w:t>
        </w:r>
      </w:hyperlink>
      <w:r>
        <w:t xml:space="preserve">, f. 3; </w:t>
      </w:r>
      <w:hyperlink w:anchor="SENTENCIA_2021_95" w:history="1">
        <w:r w:rsidRPr="002C5A78">
          <w:rPr>
            <w:rStyle w:val="TextoNormalCaracter"/>
          </w:rPr>
          <w:t>95/2021</w:t>
        </w:r>
      </w:hyperlink>
      <w:r>
        <w:t xml:space="preserve">, f. 3; </w:t>
      </w:r>
      <w:hyperlink w:anchor="SENTENCIA_2021_106" w:history="1">
        <w:r w:rsidRPr="002C5A78">
          <w:rPr>
            <w:rStyle w:val="TextoNormalCaracter"/>
          </w:rPr>
          <w:t>106/2021</w:t>
        </w:r>
      </w:hyperlink>
      <w:r>
        <w:t xml:space="preserve">, f. 10; </w:t>
      </w:r>
      <w:hyperlink w:anchor="SENTENCIA_2021_113" w:history="1">
        <w:r w:rsidRPr="002C5A78">
          <w:rPr>
            <w:rStyle w:val="TextoNormalCaracter"/>
          </w:rPr>
          <w:t>113/2021</w:t>
        </w:r>
      </w:hyperlink>
      <w:r>
        <w:t xml:space="preserve">, f. 2; </w:t>
      </w:r>
      <w:hyperlink w:anchor="SENTENCIA_2021_121" w:history="1">
        <w:r w:rsidRPr="002C5A78">
          <w:rPr>
            <w:rStyle w:val="TextoNormalCaracter"/>
          </w:rPr>
          <w:t>121/2021</w:t>
        </w:r>
      </w:hyperlink>
      <w:r>
        <w:t>, ff. 1, 11.</w:t>
      </w:r>
    </w:p>
    <w:p w:rsidR="002C5A78" w:rsidRDefault="002C5A78" w:rsidP="002C5A78">
      <w:pPr>
        <w:pStyle w:val="SangriaFrancesaArticulo"/>
      </w:pPr>
      <w:r w:rsidRPr="002C5A78">
        <w:rPr>
          <w:rStyle w:val="TextoNormalNegritaCaracter"/>
        </w:rPr>
        <w:t>Artículo 123.</w:t>
      </w:r>
      <w:r w:rsidRPr="002C5A78">
        <w:rPr>
          <w:rStyle w:val="TextoNormalCaracter"/>
        </w:rPr>
        <w:t>-</w:t>
      </w:r>
      <w:r>
        <w:t xml:space="preserve"> Sentencias </w:t>
      </w:r>
      <w:hyperlink w:anchor="SENTENCIA_2021_34" w:history="1">
        <w:r w:rsidRPr="002C5A78">
          <w:rPr>
            <w:rStyle w:val="TextoNormalCaracter"/>
          </w:rPr>
          <w:t>34/2021</w:t>
        </w:r>
      </w:hyperlink>
      <w:r>
        <w:t xml:space="preserve">, ff. 4, 6;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ff. 5, 11.</w:t>
      </w:r>
    </w:p>
    <w:p w:rsidR="002C5A78" w:rsidRDefault="002C5A78" w:rsidP="002C5A78">
      <w:pPr>
        <w:pStyle w:val="SangriaFrancesaArticulo"/>
      </w:pPr>
      <w:r w:rsidRPr="002C5A78">
        <w:rPr>
          <w:rStyle w:val="TextoNormalNegritaCaracter"/>
        </w:rPr>
        <w:t>Artículo 123.1.</w:t>
      </w:r>
      <w:r w:rsidRPr="002C5A78">
        <w:rPr>
          <w:rStyle w:val="TextoNormalCaracter"/>
        </w:rPr>
        <w:t>-</w:t>
      </w:r>
      <w:r>
        <w:t xml:space="preserve"> Sentencias </w:t>
      </w:r>
      <w:hyperlink w:anchor="SENTENCIA_2021_18" w:history="1">
        <w:r w:rsidRPr="002C5A78">
          <w:rPr>
            <w:rStyle w:val="TextoNormalCaracter"/>
          </w:rPr>
          <w:t>18/2021</w:t>
        </w:r>
      </w:hyperlink>
      <w:r>
        <w:t xml:space="preserve">, VP; </w:t>
      </w:r>
      <w:hyperlink w:anchor="SENTENCIA_2021_22" w:history="1">
        <w:r w:rsidRPr="002C5A78">
          <w:rPr>
            <w:rStyle w:val="TextoNormalCaracter"/>
          </w:rPr>
          <w:t>22/2021</w:t>
        </w:r>
      </w:hyperlink>
      <w:r>
        <w:t xml:space="preserve">, VP; </w:t>
      </w:r>
      <w:hyperlink w:anchor="SENTENCIA_2021_61" w:history="1">
        <w:r w:rsidRPr="002C5A78">
          <w:rPr>
            <w:rStyle w:val="TextoNormalCaracter"/>
          </w:rPr>
          <w:t>61/2021</w:t>
        </w:r>
      </w:hyperlink>
      <w:r>
        <w:t xml:space="preserve">, f. 5; </w:t>
      </w:r>
      <w:hyperlink w:anchor="SENTENCIA_2021_91" w:history="1">
        <w:r w:rsidRPr="002C5A78">
          <w:rPr>
            <w:rStyle w:val="TextoNormalCaracter"/>
          </w:rPr>
          <w:t>91/2021</w:t>
        </w:r>
      </w:hyperlink>
      <w:r>
        <w:t xml:space="preserve">, ff. 4, 6, 9; </w:t>
      </w:r>
      <w:hyperlink w:anchor="SENTENCIA_2021_106" w:history="1">
        <w:r w:rsidRPr="002C5A78">
          <w:rPr>
            <w:rStyle w:val="TextoNormalCaracter"/>
          </w:rPr>
          <w:t>106/2021</w:t>
        </w:r>
      </w:hyperlink>
      <w:r>
        <w:t xml:space="preserve">, ff. 4, 6, 9; </w:t>
      </w:r>
      <w:hyperlink w:anchor="SENTENCIA_2021_121" w:history="1">
        <w:r w:rsidRPr="002C5A78">
          <w:rPr>
            <w:rStyle w:val="TextoNormalCaracter"/>
          </w:rPr>
          <w:t>121/2021</w:t>
        </w:r>
      </w:hyperlink>
      <w:r>
        <w:t xml:space="preserve">, ff. 5, 7, 10; </w:t>
      </w:r>
      <w:hyperlink w:anchor="SENTENCIA_2021_122" w:history="1">
        <w:r w:rsidRPr="002C5A78">
          <w:rPr>
            <w:rStyle w:val="TextoNormalCaracter"/>
          </w:rPr>
          <w:t>122/2021</w:t>
        </w:r>
      </w:hyperlink>
      <w:r>
        <w:t>, ff. 5 a 7.</w:t>
      </w:r>
    </w:p>
    <w:p w:rsidR="002C5A78" w:rsidRDefault="002C5A78" w:rsidP="002C5A78">
      <w:pPr>
        <w:pStyle w:val="SangriaIzquierdaArticulo"/>
      </w:pPr>
      <w:r>
        <w:t xml:space="preserve">Auto </w:t>
      </w:r>
      <w:hyperlink w:anchor="AUTO_2021_23" w:history="1">
        <w:r w:rsidRPr="002C5A78">
          <w:rPr>
            <w:rStyle w:val="TextoNormalCaracter"/>
          </w:rPr>
          <w:t>23/2021</w:t>
        </w:r>
      </w:hyperlink>
      <w:r>
        <w:t>, f. único.</w:t>
      </w:r>
    </w:p>
    <w:p w:rsidR="002C5A78" w:rsidRDefault="002C5A78" w:rsidP="002C5A78">
      <w:pPr>
        <w:pStyle w:val="SangriaFrancesaArticulo"/>
      </w:pPr>
      <w:r w:rsidRPr="002C5A78">
        <w:rPr>
          <w:rStyle w:val="TextoNormalNegritaCaracter"/>
        </w:rPr>
        <w:t>Artículo 124.</w:t>
      </w:r>
      <w:r w:rsidRPr="002C5A78">
        <w:rPr>
          <w:rStyle w:val="TextoNormalCaracter"/>
        </w:rPr>
        <w:t>-</w:t>
      </w:r>
      <w:r>
        <w:t xml:space="preserve"> Sentencias </w:t>
      </w:r>
      <w:hyperlink w:anchor="SENTENCIA_2021_22" w:history="1">
        <w:r w:rsidRPr="002C5A78">
          <w:rPr>
            <w:rStyle w:val="TextoNormalCaracter"/>
          </w:rPr>
          <w:t>22/2021</w:t>
        </w:r>
      </w:hyperlink>
      <w:r>
        <w:t xml:space="preserve">, f. 3; </w:t>
      </w:r>
      <w:hyperlink w:anchor="SENTENCIA_2021_122" w:history="1">
        <w:r w:rsidRPr="002C5A78">
          <w:rPr>
            <w:rStyle w:val="TextoNormalCaracter"/>
          </w:rPr>
          <w:t>122/2021</w:t>
        </w:r>
      </w:hyperlink>
      <w:r>
        <w:t xml:space="preserve">, f. 11; </w:t>
      </w:r>
      <w:hyperlink w:anchor="SENTENCIA_2021_132" w:history="1">
        <w:r w:rsidRPr="002C5A78">
          <w:rPr>
            <w:rStyle w:val="TextoNormalCaracter"/>
          </w:rPr>
          <w:t>132/2021</w:t>
        </w:r>
      </w:hyperlink>
      <w:r>
        <w:t>, f. 3.</w:t>
      </w:r>
    </w:p>
    <w:p w:rsidR="002C5A78" w:rsidRDefault="002C5A78" w:rsidP="002C5A78">
      <w:pPr>
        <w:pStyle w:val="SangriaIzquierdaArticulo"/>
      </w:pPr>
      <w:r>
        <w:t xml:space="preserve">Auto </w:t>
      </w:r>
      <w:hyperlink w:anchor="AUTO_2021_69" w:history="1">
        <w:r w:rsidRPr="002C5A78">
          <w:rPr>
            <w:rStyle w:val="TextoNormalCaracter"/>
          </w:rPr>
          <w:t>69/2021</w:t>
        </w:r>
      </w:hyperlink>
      <w:r>
        <w:t>, f. 3.</w:t>
      </w:r>
    </w:p>
    <w:p w:rsidR="002C5A78" w:rsidRDefault="002C5A78" w:rsidP="002C5A78">
      <w:pPr>
        <w:pStyle w:val="SangriaFrancesaArticulo"/>
      </w:pPr>
      <w:r w:rsidRPr="002C5A78">
        <w:rPr>
          <w:rStyle w:val="TextoNormalNegritaCaracter"/>
        </w:rPr>
        <w:t>Artículo 124.1.</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Artículo 132.2.</w:t>
      </w:r>
      <w:r w:rsidRPr="002C5A78">
        <w:rPr>
          <w:rStyle w:val="TextoNormalCaracter"/>
        </w:rPr>
        <w:t>-</w:t>
      </w:r>
      <w:r>
        <w:t xml:space="preserve"> Sentencias </w:t>
      </w:r>
      <w:hyperlink w:anchor="SENTENCIA_2021_88" w:history="1">
        <w:r w:rsidRPr="002C5A78">
          <w:rPr>
            <w:rStyle w:val="TextoNormalCaracter"/>
          </w:rPr>
          <w:t>88/2021</w:t>
        </w:r>
      </w:hyperlink>
      <w:r>
        <w:t xml:space="preserve">, f. 4;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133.1.</w:t>
      </w:r>
      <w:r w:rsidRPr="002C5A78">
        <w:rPr>
          <w:rStyle w:val="TextoNormalCaracter"/>
        </w:rPr>
        <w:t>-</w:t>
      </w:r>
      <w:r>
        <w:t xml:space="preserve"> Sentencia </w:t>
      </w:r>
      <w:hyperlink w:anchor="SENTENCIA_2021_125" w:history="1">
        <w:r w:rsidRPr="002C5A78">
          <w:rPr>
            <w:rStyle w:val="TextoNormalCaracter"/>
          </w:rPr>
          <w:t>125/2021</w:t>
        </w:r>
      </w:hyperlink>
      <w:r>
        <w:t>, ff. 1, 7.</w:t>
      </w:r>
    </w:p>
    <w:p w:rsidR="002C5A78" w:rsidRDefault="002C5A78" w:rsidP="002C5A78">
      <w:pPr>
        <w:pStyle w:val="SangriaFrancesaArticulo"/>
      </w:pPr>
      <w:r w:rsidRPr="002C5A78">
        <w:rPr>
          <w:rStyle w:val="TextoNormalNegritaCaracter"/>
        </w:rPr>
        <w:t>Artículo 133.2.</w:t>
      </w:r>
      <w:r w:rsidRPr="002C5A78">
        <w:rPr>
          <w:rStyle w:val="TextoNormalCaracter"/>
        </w:rPr>
        <w:t>-</w:t>
      </w:r>
      <w:r>
        <w:t xml:space="preserve"> Sentencia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134.</w:t>
      </w:r>
      <w:r w:rsidRPr="002C5A78">
        <w:rPr>
          <w:rStyle w:val="TextoNormalCaracter"/>
        </w:rPr>
        <w:t>-</w:t>
      </w:r>
      <w:r>
        <w:t xml:space="preserve"> Sentencias </w:t>
      </w:r>
      <w:hyperlink w:anchor="SENTENCIA_2021_53" w:history="1">
        <w:r w:rsidRPr="002C5A78">
          <w:rPr>
            <w:rStyle w:val="TextoNormalCaracter"/>
          </w:rPr>
          <w:t>53/2021</w:t>
        </w:r>
      </w:hyperlink>
      <w:r>
        <w:t xml:space="preserve">, f. 5; </w:t>
      </w:r>
      <w:hyperlink w:anchor="SENTENCIA_2021_109" w:history="1">
        <w:r w:rsidRPr="002C5A78">
          <w:rPr>
            <w:rStyle w:val="TextoNormalCaracter"/>
          </w:rPr>
          <w:t>109/2021</w:t>
        </w:r>
      </w:hyperlink>
      <w:r>
        <w:t xml:space="preserve">, f. 3; </w:t>
      </w:r>
      <w:hyperlink w:anchor="SENTENCIA_2021_111" w:history="1">
        <w:r w:rsidRPr="002C5A78">
          <w:rPr>
            <w:rStyle w:val="TextoNormalCaracter"/>
          </w:rPr>
          <w:t>111/2021</w:t>
        </w:r>
      </w:hyperlink>
      <w:r>
        <w:t>, f. 3.</w:t>
      </w:r>
    </w:p>
    <w:p w:rsidR="002C5A78" w:rsidRDefault="002C5A78" w:rsidP="002C5A78">
      <w:pPr>
        <w:pStyle w:val="SangriaFrancesaArticulo"/>
      </w:pPr>
      <w:r w:rsidRPr="002C5A78">
        <w:rPr>
          <w:rStyle w:val="TextoNormalNegritaCaracter"/>
        </w:rPr>
        <w:t>Artículo 134.1.</w:t>
      </w:r>
      <w:r w:rsidRPr="002C5A78">
        <w:rPr>
          <w:rStyle w:val="TextoNormalCaracter"/>
        </w:rPr>
        <w:t>-</w:t>
      </w:r>
      <w:r>
        <w:t xml:space="preserve"> Sentencia </w:t>
      </w:r>
      <w:hyperlink w:anchor="SENTENCIA_2021_109" w:history="1">
        <w:r w:rsidRPr="002C5A78">
          <w:rPr>
            <w:rStyle w:val="TextoNormalCaracter"/>
          </w:rPr>
          <w:t>109/2021</w:t>
        </w:r>
      </w:hyperlink>
      <w:r>
        <w:t>, f. 3.</w:t>
      </w:r>
    </w:p>
    <w:p w:rsidR="002C5A78" w:rsidRDefault="002C5A78" w:rsidP="002C5A78">
      <w:pPr>
        <w:pStyle w:val="SangriaFrancesaArticulo"/>
      </w:pPr>
      <w:r w:rsidRPr="002C5A78">
        <w:rPr>
          <w:rStyle w:val="TextoNormalNegritaCaracter"/>
        </w:rPr>
        <w:t>Artículo 134.2.</w:t>
      </w:r>
      <w:r w:rsidRPr="002C5A78">
        <w:rPr>
          <w:rStyle w:val="TextoNormalCaracter"/>
        </w:rPr>
        <w:t>-</w:t>
      </w:r>
      <w:r>
        <w:t xml:space="preserve"> Sentencia </w:t>
      </w:r>
      <w:hyperlink w:anchor="SENTENCIA_2021_109" w:history="1">
        <w:r w:rsidRPr="002C5A78">
          <w:rPr>
            <w:rStyle w:val="TextoNormalCaracter"/>
          </w:rPr>
          <w:t>109/2021</w:t>
        </w:r>
      </w:hyperlink>
      <w:r>
        <w:t>, ff. 1 a 4.</w:t>
      </w:r>
    </w:p>
    <w:p w:rsidR="002C5A78" w:rsidRDefault="002C5A78" w:rsidP="002C5A78">
      <w:pPr>
        <w:pStyle w:val="SangriaFrancesaArticulo"/>
      </w:pPr>
      <w:r w:rsidRPr="002C5A78">
        <w:rPr>
          <w:rStyle w:val="TextoNormalNegritaCaracter"/>
        </w:rPr>
        <w:t>Artículo 134.6.</w:t>
      </w:r>
      <w:r w:rsidRPr="002C5A78">
        <w:rPr>
          <w:rStyle w:val="TextoNormalCaracter"/>
        </w:rPr>
        <w:t>-</w:t>
      </w:r>
      <w:r>
        <w:t xml:space="preserve"> Sentencias </w:t>
      </w:r>
      <w:hyperlink w:anchor="SENTENCIA_2021_53" w:history="1">
        <w:r w:rsidRPr="002C5A78">
          <w:rPr>
            <w:rStyle w:val="TextoNormalCaracter"/>
          </w:rPr>
          <w:t>53/2021</w:t>
        </w:r>
      </w:hyperlink>
      <w:r>
        <w:t xml:space="preserve">, f. 5; </w:t>
      </w:r>
      <w:hyperlink w:anchor="SENTENCIA_2021_109" w:history="1">
        <w:r w:rsidRPr="002C5A78">
          <w:rPr>
            <w:rStyle w:val="TextoNormalCaracter"/>
          </w:rPr>
          <w:t>109/2021</w:t>
        </w:r>
      </w:hyperlink>
      <w:r>
        <w:t>, f. 3.</w:t>
      </w:r>
    </w:p>
    <w:p w:rsidR="002C5A78" w:rsidRDefault="002C5A78" w:rsidP="002C5A78">
      <w:pPr>
        <w:pStyle w:val="SangriaFrancesaArticulo"/>
      </w:pPr>
      <w:r w:rsidRPr="002C5A78">
        <w:rPr>
          <w:rStyle w:val="TextoNormalNegritaCaracter"/>
        </w:rPr>
        <w:t>Artículo 134.7.</w:t>
      </w:r>
      <w:r w:rsidRPr="002C5A78">
        <w:rPr>
          <w:rStyle w:val="TextoNormalCaracter"/>
        </w:rPr>
        <w:t>-</w:t>
      </w:r>
      <w:r>
        <w:t xml:space="preserve"> Sentencia </w:t>
      </w:r>
      <w:hyperlink w:anchor="SENTENCIA_2021_109" w:history="1">
        <w:r w:rsidRPr="002C5A78">
          <w:rPr>
            <w:rStyle w:val="TextoNormalCaracter"/>
          </w:rPr>
          <w:t>109/2021</w:t>
        </w:r>
      </w:hyperlink>
      <w:r>
        <w:t>, f. 3.</w:t>
      </w:r>
    </w:p>
    <w:p w:rsidR="002C5A78" w:rsidRDefault="002C5A78" w:rsidP="002C5A78">
      <w:pPr>
        <w:pStyle w:val="SangriaFrancesaArticulo"/>
      </w:pPr>
      <w:r w:rsidRPr="002C5A78">
        <w:rPr>
          <w:rStyle w:val="TextoNormalNegritaCaracter"/>
        </w:rPr>
        <w:t>Artículo 135.3.</w:t>
      </w:r>
      <w:r w:rsidRPr="002C5A78">
        <w:rPr>
          <w:rStyle w:val="TextoNormalCaracter"/>
        </w:rPr>
        <w:t>-</w:t>
      </w:r>
      <w:r>
        <w:t xml:space="preserve"> Sentencia </w:t>
      </w:r>
      <w:hyperlink w:anchor="SENTENCIA_2021_111" w:history="1">
        <w:r w:rsidRPr="002C5A78">
          <w:rPr>
            <w:rStyle w:val="TextoNormalCaracter"/>
          </w:rPr>
          <w:t>111/2021</w:t>
        </w:r>
      </w:hyperlink>
      <w:r>
        <w:t>, f. 3.</w:t>
      </w:r>
    </w:p>
    <w:p w:rsidR="002C5A78" w:rsidRDefault="002C5A78" w:rsidP="002C5A78">
      <w:pPr>
        <w:pStyle w:val="SangriaFrancesaArticulo"/>
      </w:pPr>
      <w:r w:rsidRPr="002C5A78">
        <w:rPr>
          <w:rStyle w:val="TextoNormalNegritaCaracter"/>
        </w:rPr>
        <w:t>Artículo 137.</w:t>
      </w:r>
      <w:r w:rsidRPr="002C5A78">
        <w:rPr>
          <w:rStyle w:val="TextoNormalCaracter"/>
        </w:rPr>
        <w:t>-</w:t>
      </w:r>
      <w:r>
        <w:t xml:space="preserve"> Sentencias </w:t>
      </w:r>
      <w:hyperlink w:anchor="SENTENCIA_2021_16" w:history="1">
        <w:r w:rsidRPr="002C5A78">
          <w:rPr>
            <w:rStyle w:val="TextoNormalCaracter"/>
          </w:rPr>
          <w:t>16/2021</w:t>
        </w:r>
      </w:hyperlink>
      <w:r>
        <w:t xml:space="preserve">, f. 8; </w:t>
      </w:r>
      <w:hyperlink w:anchor="SENTENCIA_2021_112" w:history="1">
        <w:r w:rsidRPr="002C5A78">
          <w:rPr>
            <w:rStyle w:val="TextoNormalCaracter"/>
          </w:rPr>
          <w:t>112/2021</w:t>
        </w:r>
      </w:hyperlink>
      <w:r>
        <w:t>, ff. 3, 4.</w:t>
      </w:r>
    </w:p>
    <w:p w:rsidR="002C5A78" w:rsidRDefault="002C5A78" w:rsidP="002C5A78">
      <w:pPr>
        <w:pStyle w:val="SangriaFrancesaArticulo"/>
      </w:pPr>
      <w:r w:rsidRPr="002C5A78">
        <w:rPr>
          <w:rStyle w:val="TextoNormalNegritaCaracter"/>
        </w:rPr>
        <w:t>Artículo 139.</w:t>
      </w:r>
      <w:r w:rsidRPr="002C5A78">
        <w:rPr>
          <w:rStyle w:val="TextoNormalCaracter"/>
        </w:rPr>
        <w:t>-</w:t>
      </w:r>
      <w:r>
        <w:t xml:space="preserve"> Sentencia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139.1.</w:t>
      </w:r>
      <w:r w:rsidRPr="002C5A78">
        <w:rPr>
          <w:rStyle w:val="TextoNormalCaracter"/>
        </w:rPr>
        <w:t>-</w:t>
      </w:r>
      <w:r>
        <w:t xml:space="preserve"> Sentencia </w:t>
      </w:r>
      <w:hyperlink w:anchor="SENTENCIA_2021_16" w:history="1">
        <w:r w:rsidRPr="002C5A78">
          <w:rPr>
            <w:rStyle w:val="TextoNormalCaracter"/>
          </w:rPr>
          <w:t>16/2021</w:t>
        </w:r>
      </w:hyperlink>
      <w:r>
        <w:t>, f. 6.</w:t>
      </w:r>
    </w:p>
    <w:p w:rsidR="002C5A78" w:rsidRDefault="002C5A78" w:rsidP="002C5A78">
      <w:pPr>
        <w:pStyle w:val="SangriaFrancesaArticulo"/>
      </w:pPr>
      <w:r w:rsidRPr="002C5A78">
        <w:rPr>
          <w:rStyle w:val="TextoNormalNegritaCaracter"/>
        </w:rPr>
        <w:t>Artículo 139.2.</w:t>
      </w:r>
      <w:r w:rsidRPr="002C5A78">
        <w:rPr>
          <w:rStyle w:val="TextoNormalCaracter"/>
        </w:rPr>
        <w:t>-</w:t>
      </w:r>
      <w:r>
        <w:t xml:space="preserve"> Sentencias </w:t>
      </w:r>
      <w:hyperlink w:anchor="SENTENCIA_2021_68" w:history="1">
        <w:r w:rsidRPr="002C5A78">
          <w:rPr>
            <w:rStyle w:val="TextoNormalCaracter"/>
          </w:rPr>
          <w:t>68/2021</w:t>
        </w:r>
      </w:hyperlink>
      <w:r>
        <w:t xml:space="preserve">, f. 6;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140.</w:t>
      </w:r>
      <w:r w:rsidRPr="002C5A78">
        <w:rPr>
          <w:rStyle w:val="TextoNormalCaracter"/>
        </w:rPr>
        <w:t>-</w:t>
      </w:r>
      <w:r>
        <w:t xml:space="preserve"> Sentencia </w:t>
      </w:r>
      <w:hyperlink w:anchor="SENTENCIA_2021_125" w:history="1">
        <w:r w:rsidRPr="002C5A78">
          <w:rPr>
            <w:rStyle w:val="TextoNormalCaracter"/>
          </w:rPr>
          <w:t>125/2021</w:t>
        </w:r>
      </w:hyperlink>
      <w:r>
        <w:t>, f. 7.</w:t>
      </w:r>
    </w:p>
    <w:p w:rsidR="002C5A78" w:rsidRDefault="002C5A78" w:rsidP="002C5A78">
      <w:pPr>
        <w:pStyle w:val="SangriaFrancesaArticulo"/>
      </w:pPr>
      <w:r w:rsidRPr="002C5A78">
        <w:rPr>
          <w:rStyle w:val="TextoNormalNegritaCaracter"/>
        </w:rPr>
        <w:t>Artículo 142.</w:t>
      </w:r>
      <w:r w:rsidRPr="002C5A78">
        <w:rPr>
          <w:rStyle w:val="TextoNormalCaracter"/>
        </w:rPr>
        <w:t>-</w:t>
      </w:r>
      <w:r>
        <w:t xml:space="preserve"> Sentencias </w:t>
      </w:r>
      <w:hyperlink w:anchor="SENTENCIA_2021_40" w:history="1">
        <w:r w:rsidRPr="002C5A78">
          <w:rPr>
            <w:rStyle w:val="TextoNormalCaracter"/>
          </w:rPr>
          <w:t>40/2021</w:t>
        </w:r>
      </w:hyperlink>
      <w:r>
        <w:t xml:space="preserve">, f. 5; </w:t>
      </w:r>
      <w:hyperlink w:anchor="SENTENCIA_2021_125" w:history="1">
        <w:r w:rsidRPr="002C5A78">
          <w:rPr>
            <w:rStyle w:val="TextoNormalCaracter"/>
          </w:rPr>
          <w:t>125/2021</w:t>
        </w:r>
      </w:hyperlink>
      <w:r>
        <w:t>, f. 7.</w:t>
      </w:r>
    </w:p>
    <w:p w:rsidR="002C5A78" w:rsidRDefault="002C5A78" w:rsidP="002C5A78">
      <w:pPr>
        <w:pStyle w:val="SangriaFrancesaArticulo"/>
      </w:pPr>
      <w:r w:rsidRPr="002C5A78">
        <w:rPr>
          <w:rStyle w:val="TextoNormalNegritaCaracter"/>
        </w:rPr>
        <w:t>Artículo 147.1.</w:t>
      </w:r>
      <w:r w:rsidRPr="002C5A78">
        <w:rPr>
          <w:rStyle w:val="TextoNormalCaracter"/>
        </w:rPr>
        <w:t>-</w:t>
      </w:r>
      <w:r>
        <w:t xml:space="preserve"> Sentencias </w:t>
      </w:r>
      <w:hyperlink w:anchor="SENTENCIA_2021_40" w:history="1">
        <w:r w:rsidRPr="002C5A78">
          <w:rPr>
            <w:rStyle w:val="TextoNormalCaracter"/>
          </w:rPr>
          <w:t>40/2021</w:t>
        </w:r>
      </w:hyperlink>
      <w:r>
        <w:t xml:space="preserve">, f. 5; </w:t>
      </w:r>
      <w:hyperlink w:anchor="SENTENCIA_2021_75" w:history="1">
        <w:r w:rsidRPr="002C5A78">
          <w:rPr>
            <w:rStyle w:val="TextoNormalCaracter"/>
          </w:rPr>
          <w:t>75/2021</w:t>
        </w:r>
      </w:hyperlink>
      <w:r>
        <w:t>, f. 2, VP I.</w:t>
      </w:r>
    </w:p>
    <w:p w:rsidR="002C5A78" w:rsidRDefault="002C5A78" w:rsidP="002C5A78">
      <w:pPr>
        <w:pStyle w:val="SangriaFrancesaArticulo"/>
      </w:pPr>
      <w:r w:rsidRPr="002C5A78">
        <w:rPr>
          <w:rStyle w:val="TextoNormalNegritaCaracter"/>
        </w:rPr>
        <w:t>Artículo 148.</w:t>
      </w:r>
      <w:r w:rsidRPr="002C5A78">
        <w:rPr>
          <w:rStyle w:val="TextoNormalCaracter"/>
        </w:rPr>
        <w:t>-</w:t>
      </w:r>
      <w:r>
        <w:t xml:space="preserve"> Sentencia </w:t>
      </w:r>
      <w:hyperlink w:anchor="SENTENCIA_2021_72" w:history="1">
        <w:r w:rsidRPr="002C5A78">
          <w:rPr>
            <w:rStyle w:val="TextoNormalCaracter"/>
          </w:rPr>
          <w:t>72/2021</w:t>
        </w:r>
      </w:hyperlink>
      <w:r>
        <w:t>, f. 3.</w:t>
      </w:r>
    </w:p>
    <w:p w:rsidR="002C5A78" w:rsidRDefault="002C5A78" w:rsidP="002C5A78">
      <w:pPr>
        <w:pStyle w:val="SangriaFrancesaArticulo"/>
      </w:pPr>
      <w:r w:rsidRPr="002C5A78">
        <w:rPr>
          <w:rStyle w:val="TextoNormalNegritaCaracter"/>
        </w:rPr>
        <w:t>Artículo 148.1.3.</w:t>
      </w:r>
      <w:r w:rsidRPr="002C5A78">
        <w:rPr>
          <w:rStyle w:val="TextoNormalCaracter"/>
        </w:rPr>
        <w:t>-</w:t>
      </w:r>
      <w:r>
        <w:t xml:space="preserve"> Sentencias </w:t>
      </w:r>
      <w:hyperlink w:anchor="SENTENCIA_2021_16" w:history="1">
        <w:r w:rsidRPr="002C5A78">
          <w:rPr>
            <w:rStyle w:val="TextoNormalCaracter"/>
          </w:rPr>
          <w:t>16/2021</w:t>
        </w:r>
      </w:hyperlink>
      <w:r>
        <w:t xml:space="preserve">, f. 8; </w:t>
      </w:r>
      <w:hyperlink w:anchor="SENTENCIA_2021_68" w:history="1">
        <w:r w:rsidRPr="002C5A78">
          <w:rPr>
            <w:rStyle w:val="TextoNormalCaracter"/>
          </w:rPr>
          <w:t>68/2021</w:t>
        </w:r>
      </w:hyperlink>
      <w:r>
        <w:t xml:space="preserve">, f. 7; </w:t>
      </w:r>
      <w:hyperlink w:anchor="SENTENCIA_2021_112" w:history="1">
        <w:r w:rsidRPr="002C5A78">
          <w:rPr>
            <w:rStyle w:val="TextoNormalCaracter"/>
          </w:rPr>
          <w:t>112/2021</w:t>
        </w:r>
      </w:hyperlink>
      <w:r>
        <w:t>, f. 3.</w:t>
      </w:r>
    </w:p>
    <w:p w:rsidR="002C5A78" w:rsidRDefault="002C5A78" w:rsidP="002C5A78">
      <w:pPr>
        <w:pStyle w:val="SangriaFrancesaArticulo"/>
      </w:pPr>
      <w:r w:rsidRPr="002C5A78">
        <w:rPr>
          <w:rStyle w:val="TextoNormalNegritaCaracter"/>
        </w:rPr>
        <w:t>Artículo 148.1.7.</w:t>
      </w:r>
      <w:r w:rsidRPr="002C5A78">
        <w:rPr>
          <w:rStyle w:val="TextoNormalCaracter"/>
        </w:rPr>
        <w:t>-</w:t>
      </w:r>
      <w:r>
        <w:t xml:space="preserve"> Sentencia </w:t>
      </w:r>
      <w:hyperlink w:anchor="SENTENCIA_2021_112" w:history="1">
        <w:r w:rsidRPr="002C5A78">
          <w:rPr>
            <w:rStyle w:val="TextoNormalCaracter"/>
          </w:rPr>
          <w:t>112/2021</w:t>
        </w:r>
      </w:hyperlink>
      <w:r>
        <w:t>, f. 3.</w:t>
      </w:r>
    </w:p>
    <w:p w:rsidR="002C5A78" w:rsidRDefault="002C5A78" w:rsidP="002C5A78">
      <w:pPr>
        <w:pStyle w:val="SangriaFrancesaArticulo"/>
      </w:pPr>
      <w:r w:rsidRPr="002C5A78">
        <w:rPr>
          <w:rStyle w:val="TextoNormalNegritaCaracter"/>
        </w:rPr>
        <w:t>Artículo 149.</w:t>
      </w:r>
      <w:r w:rsidRPr="002C5A78">
        <w:rPr>
          <w:rStyle w:val="TextoNormalCaracter"/>
        </w:rPr>
        <w:t>-</w:t>
      </w:r>
      <w:r>
        <w:t xml:space="preserve"> Sentencia </w:t>
      </w:r>
      <w:hyperlink w:anchor="SENTENCIA_2021_72" w:history="1">
        <w:r w:rsidRPr="002C5A78">
          <w:rPr>
            <w:rStyle w:val="TextoNormalCaracter"/>
          </w:rPr>
          <w:t>72/2021</w:t>
        </w:r>
      </w:hyperlink>
      <w:r>
        <w:t>, f. 3.</w:t>
      </w:r>
    </w:p>
    <w:p w:rsidR="002C5A78" w:rsidRDefault="002C5A78" w:rsidP="002C5A78">
      <w:pPr>
        <w:pStyle w:val="SangriaFrancesaArticulo"/>
      </w:pPr>
      <w:r w:rsidRPr="002C5A78">
        <w:rPr>
          <w:rStyle w:val="TextoNormalNegritaCaracter"/>
        </w:rPr>
        <w:t>Artículo 149.1.</w:t>
      </w:r>
      <w:r w:rsidRPr="002C5A78">
        <w:rPr>
          <w:rStyle w:val="TextoNormalCaracter"/>
        </w:rPr>
        <w:t>-</w:t>
      </w:r>
      <w:r>
        <w:t xml:space="preserve"> Sentencias </w:t>
      </w:r>
      <w:hyperlink w:anchor="SENTENCIA_2021_36" w:history="1">
        <w:r w:rsidRPr="002C5A78">
          <w:rPr>
            <w:rStyle w:val="TextoNormalCaracter"/>
          </w:rPr>
          <w:t>36/2021</w:t>
        </w:r>
      </w:hyperlink>
      <w:r>
        <w:t xml:space="preserve">, f. 4; </w:t>
      </w:r>
      <w:hyperlink w:anchor="SENTENCIA_2021_72" w:history="1">
        <w:r w:rsidRPr="002C5A78">
          <w:rPr>
            <w:rStyle w:val="TextoNormalCaracter"/>
          </w:rPr>
          <w:t>72/2021</w:t>
        </w:r>
      </w:hyperlink>
      <w:r>
        <w:t>, f. 3.</w:t>
      </w:r>
    </w:p>
    <w:p w:rsidR="002C5A78" w:rsidRDefault="002C5A78" w:rsidP="002C5A78">
      <w:pPr>
        <w:pStyle w:val="SangriaFrancesaArticulo"/>
      </w:pPr>
      <w:r w:rsidRPr="002C5A78">
        <w:rPr>
          <w:rStyle w:val="TextoNormalNegritaCaracter"/>
        </w:rPr>
        <w:t>Artículo 149.1.1.</w:t>
      </w:r>
      <w:r w:rsidRPr="002C5A78">
        <w:rPr>
          <w:rStyle w:val="TextoNormalCaracter"/>
        </w:rPr>
        <w:t>-</w:t>
      </w:r>
      <w:r>
        <w:t xml:space="preserve"> Sentencias </w:t>
      </w:r>
      <w:hyperlink w:anchor="SENTENCIA_2021_16" w:history="1">
        <w:r w:rsidRPr="002C5A78">
          <w:rPr>
            <w:rStyle w:val="TextoNormalCaracter"/>
          </w:rPr>
          <w:t>16/2021</w:t>
        </w:r>
      </w:hyperlink>
      <w:r>
        <w:t xml:space="preserve">, ff. 6, 8; </w:t>
      </w:r>
      <w:hyperlink w:anchor="SENTENCIA_2021_36" w:history="1">
        <w:r w:rsidRPr="002C5A78">
          <w:rPr>
            <w:rStyle w:val="TextoNormalCaracter"/>
          </w:rPr>
          <w:t>36/2021</w:t>
        </w:r>
      </w:hyperlink>
      <w:r>
        <w:t xml:space="preserve">, f. 4; </w:t>
      </w:r>
      <w:hyperlink w:anchor="SENTENCIA_2021_112" w:history="1">
        <w:r w:rsidRPr="002C5A78">
          <w:rPr>
            <w:rStyle w:val="TextoNormalCaracter"/>
          </w:rPr>
          <w:t>112/2021</w:t>
        </w:r>
      </w:hyperlink>
      <w:r>
        <w:t xml:space="preserve">, ff. 1, 3;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149.1.2.</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149.1.3.</w:t>
      </w:r>
      <w:r w:rsidRPr="002C5A78">
        <w:rPr>
          <w:rStyle w:val="TextoNormalCaracter"/>
        </w:rPr>
        <w:t>-</w:t>
      </w:r>
      <w:r>
        <w:t xml:space="preserve"> Sentencia </w:t>
      </w:r>
      <w:hyperlink w:anchor="SENTENCIA_2021_36" w:history="1">
        <w:r w:rsidRPr="002C5A78">
          <w:rPr>
            <w:rStyle w:val="TextoNormalCaracter"/>
          </w:rPr>
          <w:t>36/2021</w:t>
        </w:r>
      </w:hyperlink>
      <w:r>
        <w:t>, ff. 1, 4 a 6, 11 a 13, VP.</w:t>
      </w:r>
    </w:p>
    <w:p w:rsidR="002C5A78" w:rsidRDefault="002C5A78" w:rsidP="002C5A78">
      <w:pPr>
        <w:pStyle w:val="SangriaFrancesaArticulo"/>
      </w:pPr>
      <w:r w:rsidRPr="002C5A78">
        <w:rPr>
          <w:rStyle w:val="TextoNormalNegritaCaracter"/>
        </w:rPr>
        <w:t>Artículo 149.1.5.</w:t>
      </w:r>
      <w:r w:rsidRPr="002C5A78">
        <w:rPr>
          <w:rStyle w:val="TextoNormalCaracter"/>
        </w:rPr>
        <w:t>-</w:t>
      </w:r>
      <w:r>
        <w:t xml:space="preserve"> Sentencias </w:t>
      </w:r>
      <w:hyperlink w:anchor="SENTENCIA_2021_36" w:history="1">
        <w:r w:rsidRPr="002C5A78">
          <w:rPr>
            <w:rStyle w:val="TextoNormalCaracter"/>
          </w:rPr>
          <w:t>36/2021</w:t>
        </w:r>
      </w:hyperlink>
      <w:r>
        <w:t xml:space="preserve">, f. 4, VP;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149.1.6.</w:t>
      </w:r>
      <w:r w:rsidRPr="002C5A78">
        <w:rPr>
          <w:rStyle w:val="TextoNormalCaracter"/>
        </w:rPr>
        <w:t>-</w:t>
      </w:r>
      <w:r>
        <w:t xml:space="preserve"> Sentencias </w:t>
      </w:r>
      <w:hyperlink w:anchor="SENTENCIA_2021_15" w:history="1">
        <w:r w:rsidRPr="002C5A78">
          <w:rPr>
            <w:rStyle w:val="TextoNormalCaracter"/>
          </w:rPr>
          <w:t>15/2021</w:t>
        </w:r>
      </w:hyperlink>
      <w:r>
        <w:t xml:space="preserve">, ff. 1, 3, 4; </w:t>
      </w:r>
      <w:hyperlink w:anchor="SENTENCIA_2021_16" w:history="1">
        <w:r w:rsidRPr="002C5A78">
          <w:rPr>
            <w:rStyle w:val="TextoNormalCaracter"/>
          </w:rPr>
          <w:t>16/2021</w:t>
        </w:r>
      </w:hyperlink>
      <w:r>
        <w:t xml:space="preserve">, f. 6; </w:t>
      </w:r>
      <w:hyperlink w:anchor="SENTENCIA_2021_36" w:history="1">
        <w:r w:rsidRPr="002C5A78">
          <w:rPr>
            <w:rStyle w:val="TextoNormalCaracter"/>
          </w:rPr>
          <w:t>36/2021</w:t>
        </w:r>
      </w:hyperlink>
      <w:r>
        <w:t xml:space="preserve">, VP; </w:t>
      </w:r>
      <w:hyperlink w:anchor="SENTENCIA_2021_68" w:history="1">
        <w:r w:rsidRPr="002C5A78">
          <w:rPr>
            <w:rStyle w:val="TextoNormalCaracter"/>
          </w:rPr>
          <w:t>68/2021</w:t>
        </w:r>
      </w:hyperlink>
      <w:r>
        <w:t xml:space="preserve">, f. 3; </w:t>
      </w:r>
      <w:hyperlink w:anchor="SENTENCIA_2021_72" w:history="1">
        <w:r w:rsidRPr="002C5A78">
          <w:rPr>
            <w:rStyle w:val="TextoNormalCaracter"/>
          </w:rPr>
          <w:t>72/2021</w:t>
        </w:r>
      </w:hyperlink>
      <w:r>
        <w:t xml:space="preserve">, ff. 1, 3 a 6;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xml:space="preserve">, f. 6;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149.1.7.</w:t>
      </w:r>
      <w:r w:rsidRPr="002C5A78">
        <w:rPr>
          <w:rStyle w:val="TextoNormalCaracter"/>
        </w:rPr>
        <w:t>-</w:t>
      </w:r>
      <w:r>
        <w:t xml:space="preserve"> Sentencias </w:t>
      </w:r>
      <w:hyperlink w:anchor="SENTENCIA_2021_39" w:history="1">
        <w:r w:rsidRPr="002C5A78">
          <w:rPr>
            <w:rStyle w:val="TextoNormalCaracter"/>
          </w:rPr>
          <w:t>39/2021</w:t>
        </w:r>
      </w:hyperlink>
      <w:r>
        <w:t xml:space="preserve">, f. 2;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149.1.8.</w:t>
      </w:r>
      <w:r w:rsidRPr="002C5A78">
        <w:rPr>
          <w:rStyle w:val="TextoNormalCaracter"/>
        </w:rPr>
        <w:t>-</w:t>
      </w:r>
      <w:r>
        <w:t xml:space="preserve"> Sentencias </w:t>
      </w:r>
      <w:hyperlink w:anchor="SENTENCIA_2021_16" w:history="1">
        <w:r w:rsidRPr="002C5A78">
          <w:rPr>
            <w:rStyle w:val="TextoNormalCaracter"/>
          </w:rPr>
          <w:t>16/2021</w:t>
        </w:r>
      </w:hyperlink>
      <w:r>
        <w:t xml:space="preserve">, ff. 6, 7; </w:t>
      </w:r>
      <w:hyperlink w:anchor="SENTENCIA_2021_36" w:history="1">
        <w:r w:rsidRPr="002C5A78">
          <w:rPr>
            <w:rStyle w:val="TextoNormalCaracter"/>
          </w:rPr>
          <w:t>36/2021</w:t>
        </w:r>
      </w:hyperlink>
      <w:r>
        <w:t xml:space="preserve">, ff. 1, 4, 14, VP; </w:t>
      </w:r>
      <w:hyperlink w:anchor="SENTENCIA_2021_68" w:history="1">
        <w:r w:rsidRPr="002C5A78">
          <w:rPr>
            <w:rStyle w:val="TextoNormalCaracter"/>
          </w:rPr>
          <w:t>68/2021</w:t>
        </w:r>
      </w:hyperlink>
      <w:r>
        <w:t xml:space="preserve">, f. 4; </w:t>
      </w:r>
      <w:hyperlink w:anchor="SENTENCIA_2021_72" w:history="1">
        <w:r w:rsidRPr="002C5A78">
          <w:rPr>
            <w:rStyle w:val="TextoNormalCaracter"/>
          </w:rPr>
          <w:t>72/2021</w:t>
        </w:r>
      </w:hyperlink>
      <w:r>
        <w:t xml:space="preserve">, ff. 1, 3 a 6; </w:t>
      </w:r>
      <w:hyperlink w:anchor="SENTENCIA_2021_112" w:history="1">
        <w:r w:rsidRPr="002C5A78">
          <w:rPr>
            <w:rStyle w:val="TextoNormalCaracter"/>
          </w:rPr>
          <w:t>112/2021</w:t>
        </w:r>
      </w:hyperlink>
      <w:r>
        <w:t xml:space="preserve">, f. 3;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149.1.9.</w:t>
      </w:r>
      <w:r w:rsidRPr="002C5A78">
        <w:rPr>
          <w:rStyle w:val="TextoNormalCaracter"/>
        </w:rPr>
        <w:t>-</w:t>
      </w:r>
      <w:r>
        <w:t xml:space="preserve"> Sentencia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149.1.11.</w:t>
      </w:r>
      <w:r w:rsidRPr="002C5A78">
        <w:rPr>
          <w:rStyle w:val="TextoNormalCaracter"/>
        </w:rPr>
        <w:t>-</w:t>
      </w:r>
      <w:r>
        <w:t xml:space="preserve"> Sentencia </w:t>
      </w:r>
      <w:hyperlink w:anchor="SENTENCIA_2021_72" w:history="1">
        <w:r w:rsidRPr="002C5A78">
          <w:rPr>
            <w:rStyle w:val="TextoNormalCaracter"/>
          </w:rPr>
          <w:t>72/2021</w:t>
        </w:r>
      </w:hyperlink>
      <w:r>
        <w:t>, ff. 1, 3, 6.</w:t>
      </w:r>
    </w:p>
    <w:p w:rsidR="002C5A78" w:rsidRDefault="002C5A78" w:rsidP="002C5A78">
      <w:pPr>
        <w:pStyle w:val="SangriaFrancesaArticulo"/>
      </w:pPr>
      <w:r w:rsidRPr="002C5A78">
        <w:rPr>
          <w:rStyle w:val="TextoNormalNegritaCaracter"/>
        </w:rPr>
        <w:t>Artículo 149.1.13.</w:t>
      </w:r>
      <w:r w:rsidRPr="002C5A78">
        <w:rPr>
          <w:rStyle w:val="TextoNormalCaracter"/>
        </w:rPr>
        <w:t>-</w:t>
      </w:r>
      <w:r>
        <w:t xml:space="preserve"> Sentencias </w:t>
      </w:r>
      <w:hyperlink w:anchor="SENTENCIA_2021_16" w:history="1">
        <w:r w:rsidRPr="002C5A78">
          <w:rPr>
            <w:rStyle w:val="TextoNormalCaracter"/>
          </w:rPr>
          <w:t>16/2021</w:t>
        </w:r>
      </w:hyperlink>
      <w:r>
        <w:t xml:space="preserve">, ff. 6 a 8; </w:t>
      </w:r>
      <w:hyperlink w:anchor="SENTENCIA_2021_37" w:history="1">
        <w:r w:rsidRPr="002C5A78">
          <w:rPr>
            <w:rStyle w:val="TextoNormalCaracter"/>
          </w:rPr>
          <w:t>37/2021</w:t>
        </w:r>
      </w:hyperlink>
      <w:r>
        <w:t xml:space="preserve">, ff. 3, 4; </w:t>
      </w:r>
      <w:hyperlink w:anchor="SENTENCIA_2021_38" w:history="1">
        <w:r w:rsidRPr="002C5A78">
          <w:rPr>
            <w:rStyle w:val="TextoNormalCaracter"/>
          </w:rPr>
          <w:t>38/2021</w:t>
        </w:r>
      </w:hyperlink>
      <w:r>
        <w:t xml:space="preserve">, f. 1; </w:t>
      </w:r>
      <w:hyperlink w:anchor="SENTENCIA_2021_72" w:history="1">
        <w:r w:rsidRPr="002C5A78">
          <w:rPr>
            <w:rStyle w:val="TextoNormalCaracter"/>
          </w:rPr>
          <w:t>72/2021</w:t>
        </w:r>
      </w:hyperlink>
      <w:r>
        <w:t xml:space="preserve">, ff. 1, 3, 6; </w:t>
      </w:r>
      <w:hyperlink w:anchor="SENTENCIA_2021_74" w:history="1">
        <w:r w:rsidRPr="002C5A78">
          <w:rPr>
            <w:rStyle w:val="TextoNormalCaracter"/>
          </w:rPr>
          <w:t>74/2021</w:t>
        </w:r>
      </w:hyperlink>
      <w:r>
        <w:t xml:space="preserve">, ff. 1, 3; </w:t>
      </w:r>
      <w:hyperlink w:anchor="SENTENCIA_2021_112" w:history="1">
        <w:r w:rsidRPr="002C5A78">
          <w:rPr>
            <w:rStyle w:val="TextoNormalCaracter"/>
          </w:rPr>
          <w:t>112/2021</w:t>
        </w:r>
      </w:hyperlink>
      <w:r>
        <w:t xml:space="preserve">, ff. 1, 3, 4;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149.1.14.</w:t>
      </w:r>
      <w:r w:rsidRPr="002C5A78">
        <w:rPr>
          <w:rStyle w:val="TextoNormalCaracter"/>
        </w:rPr>
        <w:t>-</w:t>
      </w:r>
      <w:r>
        <w:t xml:space="preserve"> Sentencias </w:t>
      </w:r>
      <w:hyperlink w:anchor="SENTENCIA_2021_37" w:history="1">
        <w:r w:rsidRPr="002C5A78">
          <w:rPr>
            <w:rStyle w:val="TextoNormalCaracter"/>
          </w:rPr>
          <w:t>37/2021</w:t>
        </w:r>
      </w:hyperlink>
      <w:r>
        <w:t xml:space="preserve">, ff. 3, 4; </w:t>
      </w:r>
      <w:hyperlink w:anchor="SENTENCIA_2021_125" w:history="1">
        <w:r w:rsidRPr="002C5A78">
          <w:rPr>
            <w:rStyle w:val="TextoNormalCaracter"/>
          </w:rPr>
          <w:t>125/2021</w:t>
        </w:r>
      </w:hyperlink>
      <w:r>
        <w:t>, f. 7.</w:t>
      </w:r>
    </w:p>
    <w:p w:rsidR="002C5A78" w:rsidRDefault="002C5A78" w:rsidP="002C5A78">
      <w:pPr>
        <w:pStyle w:val="SangriaFrancesaArticulo"/>
      </w:pPr>
      <w:r w:rsidRPr="002C5A78">
        <w:rPr>
          <w:rStyle w:val="TextoNormalNegritaCaracter"/>
        </w:rPr>
        <w:t>Artículo 149.1.16.</w:t>
      </w:r>
      <w:r w:rsidRPr="002C5A78">
        <w:rPr>
          <w:rStyle w:val="TextoNormalCaracter"/>
        </w:rPr>
        <w:t>-</w:t>
      </w:r>
      <w:r>
        <w:t xml:space="preserve"> Auto </w:t>
      </w:r>
      <w:hyperlink w:anchor="AUTO_2021_51" w:history="1">
        <w:r w:rsidRPr="002C5A78">
          <w:rPr>
            <w:rStyle w:val="TextoNormalCaracter"/>
          </w:rPr>
          <w:t>51/2021</w:t>
        </w:r>
      </w:hyperlink>
      <w:r>
        <w:t>, ff. 1, 6.</w:t>
      </w:r>
    </w:p>
    <w:p w:rsidR="002C5A78" w:rsidRDefault="002C5A78" w:rsidP="002C5A78">
      <w:pPr>
        <w:pStyle w:val="SangriaFrancesaArticulo"/>
      </w:pPr>
      <w:r w:rsidRPr="002C5A78">
        <w:rPr>
          <w:rStyle w:val="TextoNormalNegritaCaracter"/>
        </w:rPr>
        <w:t>Artículo 149.1.18.</w:t>
      </w:r>
      <w:r w:rsidRPr="002C5A78">
        <w:rPr>
          <w:rStyle w:val="TextoNormalCaracter"/>
        </w:rPr>
        <w:t>-</w:t>
      </w:r>
      <w:r>
        <w:t xml:space="preserve"> Sentencias </w:t>
      </w:r>
      <w:hyperlink w:anchor="SENTENCIA_2021_37" w:history="1">
        <w:r w:rsidRPr="002C5A78">
          <w:rPr>
            <w:rStyle w:val="TextoNormalCaracter"/>
          </w:rPr>
          <w:t>37/2021</w:t>
        </w:r>
      </w:hyperlink>
      <w:r>
        <w:t xml:space="preserve">, ff. 3, 4, 5, 7; </w:t>
      </w:r>
      <w:hyperlink w:anchor="SENTENCIA_2021_38" w:history="1">
        <w:r w:rsidRPr="002C5A78">
          <w:rPr>
            <w:rStyle w:val="TextoNormalCaracter"/>
          </w:rPr>
          <w:t>38/2021</w:t>
        </w:r>
      </w:hyperlink>
      <w:r>
        <w:t xml:space="preserve">, ff. 1 a 3; </w:t>
      </w:r>
      <w:hyperlink w:anchor="SENTENCIA_2021_68" w:history="1">
        <w:r w:rsidRPr="002C5A78">
          <w:rPr>
            <w:rStyle w:val="TextoNormalCaracter"/>
          </w:rPr>
          <w:t>68/2021</w:t>
        </w:r>
      </w:hyperlink>
      <w:r>
        <w:t xml:space="preserve">, ff. 1 a 3, 5 a 7, 9, 10; </w:t>
      </w:r>
      <w:hyperlink w:anchor="SENTENCIA_2021_109" w:history="1">
        <w:r w:rsidRPr="002C5A78">
          <w:rPr>
            <w:rStyle w:val="TextoNormalCaracter"/>
          </w:rPr>
          <w:t>109/2021</w:t>
        </w:r>
      </w:hyperlink>
      <w:r>
        <w:t>, ff. 1, 2, 4.</w:t>
      </w:r>
    </w:p>
    <w:p w:rsidR="002C5A78" w:rsidRDefault="002C5A78" w:rsidP="002C5A78">
      <w:pPr>
        <w:pStyle w:val="SangriaIzquierdaArticulo"/>
      </w:pPr>
      <w:r>
        <w:t xml:space="preserve">Auto </w:t>
      </w:r>
      <w:hyperlink w:anchor="AUTO_2021_47" w:history="1">
        <w:r w:rsidRPr="002C5A78">
          <w:rPr>
            <w:rStyle w:val="TextoNormalCaracter"/>
          </w:rPr>
          <w:t>47/2021</w:t>
        </w:r>
      </w:hyperlink>
      <w:r>
        <w:t>, f. 3.</w:t>
      </w:r>
    </w:p>
    <w:p w:rsidR="002C5A78" w:rsidRDefault="002C5A78" w:rsidP="002C5A78">
      <w:pPr>
        <w:pStyle w:val="SangriaFrancesaArticulo"/>
      </w:pPr>
      <w:r w:rsidRPr="002C5A78">
        <w:rPr>
          <w:rStyle w:val="TextoNormalNegritaCaracter"/>
        </w:rPr>
        <w:t>Artículo 149.1.22.</w:t>
      </w:r>
      <w:r w:rsidRPr="002C5A78">
        <w:rPr>
          <w:rStyle w:val="TextoNormalCaracter"/>
        </w:rPr>
        <w:t>-</w:t>
      </w:r>
      <w:r>
        <w:t xml:space="preserve"> Sentencia </w:t>
      </w:r>
      <w:hyperlink w:anchor="SENTENCIA_2021_112" w:history="1">
        <w:r w:rsidRPr="002C5A78">
          <w:rPr>
            <w:rStyle w:val="TextoNormalCaracter"/>
          </w:rPr>
          <w:t>112/2021</w:t>
        </w:r>
      </w:hyperlink>
      <w:r>
        <w:t>, ff. 3, 4.</w:t>
      </w:r>
    </w:p>
    <w:p w:rsidR="002C5A78" w:rsidRDefault="002C5A78" w:rsidP="002C5A78">
      <w:pPr>
        <w:pStyle w:val="SangriaFrancesaArticulo"/>
      </w:pPr>
      <w:r w:rsidRPr="002C5A78">
        <w:rPr>
          <w:rStyle w:val="TextoNormalNegritaCaracter"/>
        </w:rPr>
        <w:t>Artículo 149.1.23.</w:t>
      </w:r>
      <w:r w:rsidRPr="002C5A78">
        <w:rPr>
          <w:rStyle w:val="TextoNormalCaracter"/>
        </w:rPr>
        <w:t>-</w:t>
      </w:r>
      <w:r>
        <w:t xml:space="preserve"> Sentencias </w:t>
      </w:r>
      <w:hyperlink w:anchor="SENTENCIA_2021_15" w:history="1">
        <w:r w:rsidRPr="002C5A78">
          <w:rPr>
            <w:rStyle w:val="TextoNormalCaracter"/>
          </w:rPr>
          <w:t>15/2021</w:t>
        </w:r>
      </w:hyperlink>
      <w:r>
        <w:t xml:space="preserve">, f. 3; </w:t>
      </w:r>
      <w:hyperlink w:anchor="SENTENCIA_2021_112" w:history="1">
        <w:r w:rsidRPr="002C5A78">
          <w:rPr>
            <w:rStyle w:val="TextoNormalCaracter"/>
          </w:rPr>
          <w:t>112/2021</w:t>
        </w:r>
      </w:hyperlink>
      <w:r>
        <w:t xml:space="preserve">, ff. 2, 3, 4; </w:t>
      </w:r>
      <w:hyperlink w:anchor="SENTENCIA_2021_123" w:history="1">
        <w:r w:rsidRPr="002C5A78">
          <w:rPr>
            <w:rStyle w:val="TextoNormalCaracter"/>
          </w:rPr>
          <w:t>123/2021</w:t>
        </w:r>
      </w:hyperlink>
      <w:r>
        <w:t>, ff. 1 a 5.</w:t>
      </w:r>
    </w:p>
    <w:p w:rsidR="002C5A78" w:rsidRDefault="002C5A78" w:rsidP="002C5A78">
      <w:pPr>
        <w:pStyle w:val="SangriaIzquierdaArticulo"/>
      </w:pPr>
      <w:r>
        <w:t xml:space="preserve">Auto </w:t>
      </w:r>
      <w:hyperlink w:anchor="AUTO_2021_65" w:history="1">
        <w:r w:rsidRPr="002C5A78">
          <w:rPr>
            <w:rStyle w:val="TextoNormalCaracter"/>
          </w:rPr>
          <w:t>65/2021</w:t>
        </w:r>
      </w:hyperlink>
      <w:r>
        <w:t>, f. 1.</w:t>
      </w:r>
    </w:p>
    <w:p w:rsidR="002C5A78" w:rsidRDefault="002C5A78" w:rsidP="002C5A78">
      <w:pPr>
        <w:pStyle w:val="SangriaFrancesaArticulo"/>
      </w:pPr>
      <w:r w:rsidRPr="002C5A78">
        <w:rPr>
          <w:rStyle w:val="TextoNormalNegritaCaracter"/>
        </w:rPr>
        <w:t>Artículo 149.1.25.</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149.1.30.</w:t>
      </w:r>
      <w:r w:rsidRPr="002C5A78">
        <w:rPr>
          <w:rStyle w:val="TextoNormalCaracter"/>
        </w:rPr>
        <w:t>-</w:t>
      </w:r>
      <w:r>
        <w:t xml:space="preserve"> Sentencia </w:t>
      </w:r>
      <w:hyperlink w:anchor="SENTENCIA_2021_39" w:history="1">
        <w:r w:rsidRPr="002C5A78">
          <w:rPr>
            <w:rStyle w:val="TextoNormalCaracter"/>
          </w:rPr>
          <w:t>39/2021</w:t>
        </w:r>
      </w:hyperlink>
      <w:r>
        <w:t>, ff. 2, 3.</w:t>
      </w:r>
    </w:p>
    <w:p w:rsidR="002C5A78" w:rsidRDefault="002C5A78" w:rsidP="002C5A78">
      <w:pPr>
        <w:pStyle w:val="SangriaFrancesaArticulo"/>
      </w:pPr>
      <w:r w:rsidRPr="002C5A78">
        <w:rPr>
          <w:rStyle w:val="TextoNormalNegritaCaracter"/>
        </w:rPr>
        <w:t>Artículo 149.3.</w:t>
      </w:r>
      <w:r w:rsidRPr="002C5A78">
        <w:rPr>
          <w:rStyle w:val="TextoNormalCaracter"/>
        </w:rPr>
        <w:t>-</w:t>
      </w:r>
      <w:r>
        <w:t xml:space="preserve"> Sentencias </w:t>
      </w:r>
      <w:hyperlink w:anchor="SENTENCIA_2021_36" w:history="1">
        <w:r w:rsidRPr="002C5A78">
          <w:rPr>
            <w:rStyle w:val="TextoNormalCaracter"/>
          </w:rPr>
          <w:t>36/2021</w:t>
        </w:r>
      </w:hyperlink>
      <w:r>
        <w:t xml:space="preserve">, VP; </w:t>
      </w:r>
      <w:hyperlink w:anchor="SENTENCIA_2021_68" w:history="1">
        <w:r w:rsidRPr="002C5A78">
          <w:rPr>
            <w:rStyle w:val="TextoNormalCaracter"/>
          </w:rPr>
          <w:t>68/2021</w:t>
        </w:r>
      </w:hyperlink>
      <w:r>
        <w:t>, ff. 1, 9.</w:t>
      </w:r>
    </w:p>
    <w:p w:rsidR="002C5A78" w:rsidRDefault="002C5A78" w:rsidP="002C5A78">
      <w:pPr>
        <w:pStyle w:val="SangriaFrancesaArticulo"/>
      </w:pPr>
      <w:r w:rsidRPr="002C5A78">
        <w:rPr>
          <w:rStyle w:val="TextoNormalNegritaCaracter"/>
        </w:rPr>
        <w:t xml:space="preserve">Artículo 149.3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9.</w:t>
      </w:r>
    </w:p>
    <w:p w:rsidR="002C5A78" w:rsidRDefault="002C5A78" w:rsidP="002C5A78">
      <w:pPr>
        <w:pStyle w:val="SangriaFrancesaArticulo"/>
      </w:pPr>
      <w:r w:rsidRPr="002C5A78">
        <w:rPr>
          <w:rStyle w:val="TextoNormalNegritaCaracter"/>
        </w:rPr>
        <w:t>Artículo 150.1.</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150.2.</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150.3.</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152.1.</w:t>
      </w:r>
      <w:r w:rsidRPr="002C5A78">
        <w:rPr>
          <w:rStyle w:val="TextoNormalCaracter"/>
        </w:rPr>
        <w:t>-</w:t>
      </w:r>
      <w:r>
        <w:t xml:space="preserve"> Auto </w:t>
      </w:r>
      <w:hyperlink w:anchor="AUTO_2021_4" w:history="1">
        <w:r w:rsidRPr="002C5A78">
          <w:rPr>
            <w:rStyle w:val="TextoNormalCaracter"/>
          </w:rPr>
          <w:t>4/2021</w:t>
        </w:r>
      </w:hyperlink>
      <w:r>
        <w:t>, f. 4.</w:t>
      </w:r>
    </w:p>
    <w:p w:rsidR="002C5A78" w:rsidRDefault="002C5A78" w:rsidP="002C5A78">
      <w:pPr>
        <w:pStyle w:val="SangriaFrancesaArticulo"/>
      </w:pPr>
      <w:r w:rsidRPr="002C5A78">
        <w:rPr>
          <w:rStyle w:val="TextoNormalNegritaCaracter"/>
        </w:rPr>
        <w:t>Artículo 153 a).</w:t>
      </w:r>
      <w:r w:rsidRPr="002C5A78">
        <w:rPr>
          <w:rStyle w:val="TextoNormalCaracter"/>
        </w:rPr>
        <w:t>-</w:t>
      </w:r>
      <w:r>
        <w:t xml:space="preserve"> Sentencias </w:t>
      </w:r>
      <w:hyperlink w:anchor="SENTENCIA_2021_16" w:history="1">
        <w:r w:rsidRPr="002C5A78">
          <w:rPr>
            <w:rStyle w:val="TextoNormalCaracter"/>
          </w:rPr>
          <w:t>16/2021</w:t>
        </w:r>
      </w:hyperlink>
      <w:r>
        <w:t xml:space="preserve">, f. 5; </w:t>
      </w:r>
      <w:hyperlink w:anchor="SENTENCIA_2021_112" w:history="1">
        <w:r w:rsidRPr="002C5A78">
          <w:rPr>
            <w:rStyle w:val="TextoNormalCaracter"/>
          </w:rPr>
          <w:t>112/2021</w:t>
        </w:r>
      </w:hyperlink>
      <w:r>
        <w:t xml:space="preserve">, f. 5; </w:t>
      </w:r>
      <w:hyperlink w:anchor="SENTENCIA_2021_120" w:history="1">
        <w:r w:rsidRPr="002C5A78">
          <w:rPr>
            <w:rStyle w:val="TextoNormalCaracter"/>
          </w:rPr>
          <w:t>120/2021</w:t>
        </w:r>
      </w:hyperlink>
      <w:r>
        <w:t>, f. 3.</w:t>
      </w:r>
    </w:p>
    <w:p w:rsidR="002C5A78" w:rsidRDefault="002C5A78" w:rsidP="002C5A78">
      <w:pPr>
        <w:pStyle w:val="SangriaFrancesaArticulo"/>
      </w:pPr>
      <w:r w:rsidRPr="002C5A78">
        <w:rPr>
          <w:rStyle w:val="TextoNormalNegritaCaracter"/>
        </w:rPr>
        <w:t>Artículo 153 c).</w:t>
      </w:r>
      <w:r w:rsidRPr="002C5A78">
        <w:rPr>
          <w:rStyle w:val="TextoNormalCaracter"/>
        </w:rPr>
        <w:t>-</w:t>
      </w:r>
      <w:r>
        <w:t xml:space="preserve"> Sentencia </w:t>
      </w:r>
      <w:hyperlink w:anchor="SENTENCIA_2021_120" w:history="1">
        <w:r w:rsidRPr="002C5A78">
          <w:rPr>
            <w:rStyle w:val="TextoNormalCaracter"/>
          </w:rPr>
          <w:t>120/2021</w:t>
        </w:r>
      </w:hyperlink>
      <w:r>
        <w:t>, f. 3.</w:t>
      </w:r>
    </w:p>
    <w:p w:rsidR="002C5A78" w:rsidRDefault="002C5A78" w:rsidP="002C5A78">
      <w:pPr>
        <w:pStyle w:val="SangriaFrancesaArticulo"/>
      </w:pPr>
      <w:r w:rsidRPr="002C5A78">
        <w:rPr>
          <w:rStyle w:val="TextoNormalNegritaCaracter"/>
        </w:rPr>
        <w:t>Artículo 155.</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ff. 3, 12; </w:t>
      </w:r>
      <w:hyperlink w:anchor="SENTENCIA_2021_122" w:history="1">
        <w:r w:rsidRPr="002C5A78">
          <w:rPr>
            <w:rStyle w:val="TextoNormalCaracter"/>
          </w:rPr>
          <w:t>122/2021</w:t>
        </w:r>
      </w:hyperlink>
      <w:r>
        <w:t xml:space="preserve">, ff. 3, 10;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155.1.</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Artículo 157.1 b).</w:t>
      </w:r>
      <w:r w:rsidRPr="002C5A78">
        <w:rPr>
          <w:rStyle w:val="TextoNormalCaracter"/>
        </w:rPr>
        <w:t>-</w:t>
      </w:r>
      <w:r>
        <w:t xml:space="preserve"> Sentencia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157.2.</w:t>
      </w:r>
      <w:r w:rsidRPr="002C5A78">
        <w:rPr>
          <w:rStyle w:val="TextoNormalCaracter"/>
        </w:rPr>
        <w:t>-</w:t>
      </w:r>
      <w:r>
        <w:t xml:space="preserve"> Sentencia </w:t>
      </w:r>
      <w:hyperlink w:anchor="SENTENCIA_2021_125" w:history="1">
        <w:r w:rsidRPr="002C5A78">
          <w:rPr>
            <w:rStyle w:val="TextoNormalCaracter"/>
          </w:rPr>
          <w:t>125/2021</w:t>
        </w:r>
      </w:hyperlink>
      <w:r>
        <w:t>, ff. 1, 5.</w:t>
      </w:r>
    </w:p>
    <w:p w:rsidR="002C5A78" w:rsidRDefault="002C5A78" w:rsidP="002C5A78">
      <w:pPr>
        <w:pStyle w:val="SangriaFrancesaArticulo"/>
      </w:pPr>
      <w:r w:rsidRPr="002C5A78">
        <w:rPr>
          <w:rStyle w:val="TextoNormalNegritaCaracter"/>
        </w:rPr>
        <w:t>Artículo 159.2.</w:t>
      </w:r>
      <w:r w:rsidRPr="002C5A78">
        <w:rPr>
          <w:rStyle w:val="TextoNormalCaracter"/>
        </w:rPr>
        <w:t>-</w:t>
      </w:r>
      <w:r>
        <w:t xml:space="preserve"> Auto </w:t>
      </w:r>
      <w:hyperlink w:anchor="AUTO_2021_69" w:history="1">
        <w:r w:rsidRPr="002C5A78">
          <w:rPr>
            <w:rStyle w:val="TextoNormalCaracter"/>
          </w:rPr>
          <w:t>69/2021</w:t>
        </w:r>
      </w:hyperlink>
      <w:r>
        <w:t>, f. 3.</w:t>
      </w:r>
    </w:p>
    <w:p w:rsidR="002C5A78" w:rsidRDefault="002C5A78" w:rsidP="002C5A78">
      <w:pPr>
        <w:pStyle w:val="SangriaFrancesaArticulo"/>
      </w:pPr>
      <w:r w:rsidRPr="002C5A78">
        <w:rPr>
          <w:rStyle w:val="TextoNormalNegritaCaracter"/>
        </w:rPr>
        <w:t>Artículo 161.1 b).</w:t>
      </w:r>
      <w:r w:rsidRPr="002C5A78">
        <w:rPr>
          <w:rStyle w:val="TextoNormalCaracter"/>
        </w:rPr>
        <w:t>-</w:t>
      </w:r>
      <w:r>
        <w:t xml:space="preserve"> Sentencias </w:t>
      </w:r>
      <w:hyperlink w:anchor="SENTENCIA_2021_35" w:history="1">
        <w:r w:rsidRPr="002C5A78">
          <w:rPr>
            <w:rStyle w:val="TextoNormalCaracter"/>
          </w:rPr>
          <w:t>35/2021</w:t>
        </w:r>
      </w:hyperlink>
      <w:r>
        <w:t xml:space="preserve">, f. 1; </w:t>
      </w:r>
      <w:hyperlink w:anchor="SENTENCIA_2021_102" w:history="1">
        <w:r w:rsidRPr="002C5A78">
          <w:rPr>
            <w:rStyle w:val="TextoNormalCaracter"/>
          </w:rPr>
          <w:t>102/2021</w:t>
        </w:r>
      </w:hyperlink>
      <w:r>
        <w:t>, f. 2.</w:t>
      </w:r>
    </w:p>
    <w:p w:rsidR="002C5A78" w:rsidRDefault="002C5A78" w:rsidP="002C5A78">
      <w:pPr>
        <w:pStyle w:val="SangriaIzquierdaArticulo"/>
      </w:pPr>
      <w:r>
        <w:t xml:space="preserve">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161.1 c).</w:t>
      </w:r>
      <w:r w:rsidRPr="002C5A78">
        <w:rPr>
          <w:rStyle w:val="TextoNormalCaracter"/>
        </w:rPr>
        <w:t>-</w:t>
      </w:r>
      <w:r>
        <w:t xml:space="preserve"> Auto </w:t>
      </w:r>
      <w:hyperlink w:anchor="AUTO_2021_8" w:history="1">
        <w:r w:rsidRPr="002C5A78">
          <w:rPr>
            <w:rStyle w:val="TextoNormalCaracter"/>
          </w:rPr>
          <w:t>8/2021</w:t>
        </w:r>
      </w:hyperlink>
      <w:r>
        <w:t>, f. 2.</w:t>
      </w:r>
    </w:p>
    <w:p w:rsidR="002C5A78" w:rsidRDefault="002C5A78" w:rsidP="002C5A78">
      <w:pPr>
        <w:pStyle w:val="SangriaFrancesaArticulo"/>
      </w:pPr>
      <w:r w:rsidRPr="002C5A78">
        <w:rPr>
          <w:rStyle w:val="TextoNormalNegritaCaracter"/>
        </w:rPr>
        <w:t>Artículo 161.2.</w:t>
      </w:r>
      <w:r w:rsidRPr="002C5A78">
        <w:rPr>
          <w:rStyle w:val="TextoNormalCaracter"/>
        </w:rPr>
        <w:t>-</w:t>
      </w:r>
      <w:r>
        <w:t xml:space="preserve"> Auto </w:t>
      </w:r>
      <w:hyperlink w:anchor="AUTO_2021_51" w:history="1">
        <w:r w:rsidRPr="002C5A78">
          <w:rPr>
            <w:rStyle w:val="TextoNormalCaracter"/>
          </w:rPr>
          <w:t>51/2021</w:t>
        </w:r>
      </w:hyperlink>
      <w:r>
        <w:t>, ff. 1, 4.</w:t>
      </w:r>
    </w:p>
    <w:p w:rsidR="002C5A78" w:rsidRDefault="002C5A78" w:rsidP="002C5A78">
      <w:pPr>
        <w:pStyle w:val="SangriaFrancesaArticulo"/>
      </w:pPr>
      <w:r w:rsidRPr="002C5A78">
        <w:rPr>
          <w:rStyle w:val="TextoNormalNegritaCaracter"/>
        </w:rPr>
        <w:t>Artículo 162.1 a).</w:t>
      </w:r>
      <w:r w:rsidRPr="002C5A78">
        <w:rPr>
          <w:rStyle w:val="TextoNormalCaracter"/>
        </w:rPr>
        <w:t>-</w:t>
      </w:r>
      <w:r>
        <w:t xml:space="preserve"> Autos </w:t>
      </w:r>
      <w:hyperlink w:anchor="AUTO_2021_33" w:history="1">
        <w:r w:rsidRPr="002C5A78">
          <w:rPr>
            <w:rStyle w:val="TextoNormalCaracter"/>
          </w:rPr>
          <w:t>33/2021</w:t>
        </w:r>
      </w:hyperlink>
      <w:r>
        <w:t xml:space="preserve">, f. único; </w:t>
      </w:r>
      <w:hyperlink w:anchor="AUTO_2021_34" w:history="1">
        <w:r w:rsidRPr="002C5A78">
          <w:rPr>
            <w:rStyle w:val="TextoNormalCaracter"/>
          </w:rPr>
          <w:t>34/2021</w:t>
        </w:r>
      </w:hyperlink>
      <w:r>
        <w:t xml:space="preserve">, f. único; </w:t>
      </w:r>
      <w:hyperlink w:anchor="AUTO_2021_58" w:history="1">
        <w:r w:rsidRPr="002C5A78">
          <w:rPr>
            <w:rStyle w:val="TextoNormalCaracter"/>
          </w:rPr>
          <w:t>58/2021</w:t>
        </w:r>
      </w:hyperlink>
      <w:r>
        <w:t xml:space="preserve">, ff. 1, 2; </w:t>
      </w:r>
      <w:hyperlink w:anchor="AUTO_2021_59" w:history="1">
        <w:r w:rsidRPr="002C5A78">
          <w:rPr>
            <w:rStyle w:val="TextoNormalCaracter"/>
          </w:rPr>
          <w:t>59/2021</w:t>
        </w:r>
      </w:hyperlink>
      <w:r>
        <w:t>, ff. 1, 2.</w:t>
      </w:r>
    </w:p>
    <w:p w:rsidR="002C5A78" w:rsidRDefault="002C5A78" w:rsidP="002C5A78">
      <w:pPr>
        <w:pStyle w:val="SangriaFrancesaArticulo"/>
      </w:pPr>
      <w:r w:rsidRPr="002C5A78">
        <w:rPr>
          <w:rStyle w:val="TextoNormalNegritaCaracter"/>
        </w:rPr>
        <w:t>Artículo 162.1 b).</w:t>
      </w:r>
      <w:r w:rsidRPr="002C5A78">
        <w:rPr>
          <w:rStyle w:val="TextoNormalCaracter"/>
        </w:rPr>
        <w:t>-</w:t>
      </w:r>
      <w:r>
        <w:t xml:space="preserve"> Sentencia </w:t>
      </w:r>
      <w:hyperlink w:anchor="SENTENCIA_2021_42" w:history="1">
        <w:r w:rsidRPr="002C5A78">
          <w:rPr>
            <w:rStyle w:val="TextoNormalCaracter"/>
          </w:rPr>
          <w:t>42/2021</w:t>
        </w:r>
      </w:hyperlink>
      <w:r>
        <w:t>, f. 1.</w:t>
      </w:r>
    </w:p>
    <w:p w:rsidR="002C5A78" w:rsidRDefault="002C5A78" w:rsidP="002C5A78">
      <w:pPr>
        <w:pStyle w:val="SangriaFrancesaArticulo"/>
      </w:pPr>
      <w:r w:rsidRPr="002C5A78">
        <w:rPr>
          <w:rStyle w:val="TextoNormalNegritaCaracter"/>
        </w:rPr>
        <w:t>Artículo 163.</w:t>
      </w:r>
      <w:r w:rsidRPr="002C5A78">
        <w:rPr>
          <w:rStyle w:val="TextoNormalCaracter"/>
        </w:rPr>
        <w:t>-</w:t>
      </w:r>
      <w:r>
        <w:t xml:space="preserve"> Sentencias </w:t>
      </w:r>
      <w:hyperlink w:anchor="SENTENCIA_2021_63" w:history="1">
        <w:r w:rsidRPr="002C5A78">
          <w:rPr>
            <w:rStyle w:val="TextoNormalCaracter"/>
          </w:rPr>
          <w:t>63/2021</w:t>
        </w:r>
      </w:hyperlink>
      <w:r>
        <w:t xml:space="preserve">, f. 3; </w:t>
      </w:r>
      <w:hyperlink w:anchor="SENTENCIA_2021_120" w:history="1">
        <w:r w:rsidRPr="002C5A78">
          <w:rPr>
            <w:rStyle w:val="TextoNormalCaracter"/>
          </w:rPr>
          <w:t>120/2021</w:t>
        </w:r>
      </w:hyperlink>
      <w:r>
        <w:t xml:space="preserve">, f. 3; </w:t>
      </w:r>
      <w:hyperlink w:anchor="SENTENCIA_2021_123" w:history="1">
        <w:r w:rsidRPr="002C5A78">
          <w:rPr>
            <w:rStyle w:val="TextoNormalCaracter"/>
          </w:rPr>
          <w:t>123/2021</w:t>
        </w:r>
      </w:hyperlink>
      <w:r>
        <w:t xml:space="preserve">, f. 2; </w:t>
      </w:r>
      <w:hyperlink w:anchor="SENTENCIA_2021_126" w:history="1">
        <w:r w:rsidRPr="002C5A78">
          <w:rPr>
            <w:rStyle w:val="TextoNormalCaracter"/>
          </w:rPr>
          <w:t>126/2021</w:t>
        </w:r>
      </w:hyperlink>
      <w:r>
        <w:t>, f. 2.</w:t>
      </w:r>
    </w:p>
    <w:p w:rsidR="002C5A78" w:rsidRDefault="002C5A78" w:rsidP="002C5A78">
      <w:pPr>
        <w:pStyle w:val="SangriaFrancesaArticulo"/>
      </w:pPr>
      <w:r w:rsidRPr="002C5A78">
        <w:rPr>
          <w:rStyle w:val="TextoNormalNegritaCaracter"/>
        </w:rPr>
        <w:t>Artículo 165.</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166.</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Artículo 167.</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Artículo 168.</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Disposición adicional primera.</w:t>
      </w:r>
      <w:r w:rsidRPr="002C5A78">
        <w:rPr>
          <w:rStyle w:val="TextoNormalCaracter"/>
        </w:rPr>
        <w:t>-</w:t>
      </w:r>
      <w:r>
        <w:t xml:space="preserve"> Sentencia </w:t>
      </w:r>
      <w:hyperlink w:anchor="SENTENCIA_2021_68" w:history="1">
        <w:r w:rsidRPr="002C5A78">
          <w:rPr>
            <w:rStyle w:val="TextoNormalCaracter"/>
          </w:rPr>
          <w:t>68/2021</w:t>
        </w:r>
      </w:hyperlink>
      <w:r>
        <w:t>, f. 4.</w:t>
      </w:r>
    </w:p>
    <w:p w:rsidR="002C5A78" w:rsidRDefault="002C5A78" w:rsidP="002C5A78">
      <w:pPr>
        <w:pStyle w:val="SangriaFrancesaArticulo"/>
      </w:pPr>
      <w:r w:rsidRPr="002C5A78">
        <w:rPr>
          <w:rStyle w:val="TextoNormalNegritaCaracter"/>
        </w:rPr>
        <w:t>Disposición derogatoria tercera.</w:t>
      </w:r>
      <w:r w:rsidRPr="002C5A78">
        <w:rPr>
          <w:rStyle w:val="TextoNormalCaracter"/>
        </w:rPr>
        <w:t>-</w:t>
      </w:r>
      <w:r>
        <w:t xml:space="preserve"> Sentencia </w:t>
      </w:r>
      <w:hyperlink w:anchor="SENTENCIA_2021_120" w:history="1">
        <w:r w:rsidRPr="002C5A78">
          <w:rPr>
            <w:rStyle w:val="TextoNormalCaracter"/>
          </w:rPr>
          <w:t>120/2021</w:t>
        </w:r>
      </w:hyperlink>
      <w:r>
        <w:t>, f. 3.</w:t>
      </w:r>
    </w:p>
    <w:p w:rsidR="002C5A78" w:rsidRDefault="002C5A78" w:rsidP="002C5A78">
      <w:pPr>
        <w:pStyle w:val="TextoNormal"/>
      </w:pPr>
    </w:p>
    <w:p w:rsidR="002C5A78" w:rsidRDefault="002C5A78" w:rsidP="002C5A78">
      <w:pPr>
        <w:pStyle w:val="SangriaFrancesaArticulo"/>
      </w:pPr>
      <w:bookmarkStart w:id="217" w:name="INDICE22843"/>
    </w:p>
    <w:bookmarkEnd w:id="217"/>
    <w:p w:rsidR="002C5A78" w:rsidRDefault="002C5A78" w:rsidP="002C5A78">
      <w:pPr>
        <w:pStyle w:val="TextoIndiceNivel2"/>
        <w:suppressAutoHyphens/>
      </w:pPr>
      <w:r>
        <w:t>B) Tribunal Constitucional</w:t>
      </w:r>
    </w:p>
    <w:p w:rsidR="002C5A78" w:rsidRDefault="002C5A78" w:rsidP="002C5A78">
      <w:pPr>
        <w:pStyle w:val="TextoIndiceNivel2"/>
      </w:pPr>
    </w:p>
    <w:p w:rsidR="002C5A78" w:rsidRDefault="002C5A78" w:rsidP="002C5A78">
      <w:pPr>
        <w:pStyle w:val="TextoNormalNegritaCursivandice"/>
        <w:keepNext/>
      </w:pPr>
      <w:r>
        <w:t>Ley Orgánica 2/1979, de 3 de octubre. Tribunal Constitucional</w:t>
      </w:r>
    </w:p>
    <w:p w:rsidR="002C5A78" w:rsidRDefault="002C5A78" w:rsidP="002C5A78">
      <w:pPr>
        <w:pStyle w:val="SangriaFrancesaArticulo"/>
        <w:keepNext/>
      </w:pPr>
      <w:r w:rsidRPr="002C5A78">
        <w:rPr>
          <w:rStyle w:val="TextoNormalNegritaCaracter"/>
        </w:rPr>
        <w:t>En general.</w:t>
      </w:r>
      <w:r w:rsidRPr="002C5A78">
        <w:rPr>
          <w:rStyle w:val="TextoNormalCaracter"/>
        </w:rPr>
        <w:t>-</w:t>
      </w:r>
      <w:r>
        <w:t xml:space="preserve"> Sentencias </w:t>
      </w:r>
      <w:hyperlink w:anchor="SENTENCIA_2021_70" w:history="1">
        <w:r w:rsidRPr="002C5A78">
          <w:rPr>
            <w:rStyle w:val="TextoNormalCaracter"/>
          </w:rPr>
          <w:t>70/2021</w:t>
        </w:r>
      </w:hyperlink>
      <w:r>
        <w:t xml:space="preserve">, f. 2; </w:t>
      </w:r>
      <w:hyperlink w:anchor="SENTENCIA_2021_71" w:history="1">
        <w:r w:rsidRPr="002C5A78">
          <w:rPr>
            <w:rStyle w:val="TextoNormalCaracter"/>
          </w:rPr>
          <w:t>71/2021</w:t>
        </w:r>
      </w:hyperlink>
      <w:r>
        <w:t>, f. 2.</w:t>
      </w:r>
    </w:p>
    <w:p w:rsidR="002C5A78" w:rsidRDefault="002C5A78" w:rsidP="002C5A78">
      <w:pPr>
        <w:pStyle w:val="SangriaIzquierdaArticulo"/>
      </w:pPr>
      <w:r>
        <w:t xml:space="preserve">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Auto </w:t>
      </w:r>
      <w:hyperlink w:anchor="AUTO_2021_57" w:history="1">
        <w:r w:rsidRPr="002C5A78">
          <w:rPr>
            <w:rStyle w:val="TextoNormalCaracter"/>
          </w:rPr>
          <w:t>57/2021</w:t>
        </w:r>
      </w:hyperlink>
      <w:r>
        <w:t>, ff. 2, 4.</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Auto </w:t>
      </w:r>
      <w:hyperlink w:anchor="AUTO_2021_57" w:history="1">
        <w:r w:rsidRPr="002C5A78">
          <w:rPr>
            <w:rStyle w:val="TextoNormalCaracter"/>
          </w:rPr>
          <w:t>57/2021</w:t>
        </w:r>
      </w:hyperlink>
      <w:r>
        <w:t>, f. 2.</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Auto </w:t>
      </w:r>
      <w:hyperlink w:anchor="AUTO_2021_16" w:history="1">
        <w:r w:rsidRPr="002C5A78">
          <w:rPr>
            <w:rStyle w:val="TextoNormalCaracter"/>
          </w:rPr>
          <w:t>16/2021</w:t>
        </w:r>
      </w:hyperlink>
      <w:r>
        <w:t>, f. 1.</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Auto </w:t>
      </w:r>
      <w:hyperlink w:anchor="AUTO_2021_69" w:history="1">
        <w:r w:rsidRPr="002C5A78">
          <w:rPr>
            <w:rStyle w:val="TextoNormalCaracter"/>
          </w:rPr>
          <w:t>69/2021</w:t>
        </w:r>
      </w:hyperlink>
      <w:r>
        <w:t>, f. 3.</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112" w:history="1">
        <w:r w:rsidRPr="002C5A78">
          <w:rPr>
            <w:rStyle w:val="TextoNormalCaracter"/>
          </w:rPr>
          <w:t>112/2021</w:t>
        </w:r>
      </w:hyperlink>
      <w:r>
        <w:t>, f. 3.</w:t>
      </w:r>
    </w:p>
    <w:p w:rsidR="002C5A78" w:rsidRDefault="002C5A78" w:rsidP="002C5A78">
      <w:pPr>
        <w:pStyle w:val="SangriaFrancesaArticulo"/>
      </w:pPr>
      <w:r w:rsidRPr="002C5A78">
        <w:rPr>
          <w:rStyle w:val="TextoNormalNegritaCaracter"/>
        </w:rPr>
        <w:t>Artículo 27.1.</w:t>
      </w:r>
      <w:r w:rsidRPr="002C5A78">
        <w:rPr>
          <w:rStyle w:val="TextoNormalCaracter"/>
        </w:rPr>
        <w:t>-</w:t>
      </w:r>
      <w:r>
        <w:t xml:space="preserve"> Sentencia </w:t>
      </w:r>
      <w:hyperlink w:anchor="SENTENCIA_2021_16" w:history="1">
        <w:r w:rsidRPr="002C5A78">
          <w:rPr>
            <w:rStyle w:val="TextoNormalCaracter"/>
          </w:rPr>
          <w:t>16/2021</w:t>
        </w:r>
      </w:hyperlink>
      <w:r>
        <w:t>, f. 3.</w:t>
      </w:r>
    </w:p>
    <w:p w:rsidR="002C5A78" w:rsidRDefault="002C5A78" w:rsidP="002C5A78">
      <w:pPr>
        <w:pStyle w:val="SangriaFrancesaArticulo"/>
      </w:pPr>
      <w:r w:rsidRPr="002C5A78">
        <w:rPr>
          <w:rStyle w:val="TextoNormalNegritaCaracter"/>
        </w:rPr>
        <w:t>Artículo 27.2 e).</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Sentencias </w:t>
      </w:r>
      <w:hyperlink w:anchor="SENTENCIA_2021_37" w:history="1">
        <w:r w:rsidRPr="002C5A78">
          <w:rPr>
            <w:rStyle w:val="TextoNormalCaracter"/>
          </w:rPr>
          <w:t>37/2021</w:t>
        </w:r>
      </w:hyperlink>
      <w:r>
        <w:t xml:space="preserve">, f. 6; </w:t>
      </w:r>
      <w:hyperlink w:anchor="SENTENCIA_2021_112" w:history="1">
        <w:r w:rsidRPr="002C5A78">
          <w:rPr>
            <w:rStyle w:val="TextoNormalCaracter"/>
          </w:rPr>
          <w:t>112/2021</w:t>
        </w:r>
      </w:hyperlink>
      <w:r>
        <w:t>, f. 3.</w:t>
      </w:r>
    </w:p>
    <w:p w:rsidR="002C5A78" w:rsidRDefault="002C5A78" w:rsidP="002C5A78">
      <w:pPr>
        <w:pStyle w:val="SangriaFrancesaArticulo"/>
      </w:pPr>
      <w:r w:rsidRPr="002C5A78">
        <w:rPr>
          <w:rStyle w:val="TextoNormalNegritaCaracter"/>
        </w:rPr>
        <w:t>Artículo 28.1.</w:t>
      </w:r>
      <w:r w:rsidRPr="002C5A78">
        <w:rPr>
          <w:rStyle w:val="TextoNormalCaracter"/>
        </w:rPr>
        <w:t>-</w:t>
      </w:r>
      <w:r>
        <w:t xml:space="preserve"> Sentencia </w:t>
      </w:r>
      <w:hyperlink w:anchor="SENTENCIA_2021_112" w:history="1">
        <w:r w:rsidRPr="002C5A78">
          <w:rPr>
            <w:rStyle w:val="TextoNormalCaracter"/>
          </w:rPr>
          <w:t>112/2021</w:t>
        </w:r>
      </w:hyperlink>
      <w:r>
        <w:t>, f. 5.</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Sentencias </w:t>
      </w:r>
      <w:hyperlink w:anchor="SENTENCIA_2021_33" w:history="1">
        <w:r w:rsidRPr="002C5A78">
          <w:rPr>
            <w:rStyle w:val="TextoNormalCaracter"/>
          </w:rPr>
          <w:t>33/2021</w:t>
        </w:r>
      </w:hyperlink>
      <w:r>
        <w:t xml:space="preserve">, f. 3; </w:t>
      </w:r>
      <w:hyperlink w:anchor="SENTENCIA_2021_64" w:history="1">
        <w:r w:rsidRPr="002C5A78">
          <w:rPr>
            <w:rStyle w:val="TextoNormalCaracter"/>
          </w:rPr>
          <w:t>64/2021</w:t>
        </w:r>
      </w:hyperlink>
      <w:r>
        <w:t>, f. 3.</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Autos </w:t>
      </w:r>
      <w:hyperlink w:anchor="AUTO_2021_58" w:history="1">
        <w:r w:rsidRPr="002C5A78">
          <w:rPr>
            <w:rStyle w:val="TextoNormalCaracter"/>
          </w:rPr>
          <w:t>58/2021</w:t>
        </w:r>
      </w:hyperlink>
      <w:r>
        <w:t xml:space="preserve">, ff. 1, 2, 4; </w:t>
      </w:r>
      <w:hyperlink w:anchor="AUTO_2021_59" w:history="1">
        <w:r w:rsidRPr="002C5A78">
          <w:rPr>
            <w:rStyle w:val="TextoNormalCaracter"/>
          </w:rPr>
          <w:t>59/2021</w:t>
        </w:r>
      </w:hyperlink>
      <w:r>
        <w:t>, ff. 1, 2, 4.</w:t>
      </w:r>
    </w:p>
    <w:p w:rsidR="002C5A78" w:rsidRDefault="002C5A78" w:rsidP="002C5A78">
      <w:pPr>
        <w:pStyle w:val="SangriaFrancesaArticulo"/>
      </w:pPr>
      <w:r w:rsidRPr="002C5A78">
        <w:rPr>
          <w:rStyle w:val="TextoNormalNegritaCaracter"/>
        </w:rPr>
        <w:t>Artículo 32.1 c).</w:t>
      </w:r>
      <w:r w:rsidRPr="002C5A78">
        <w:rPr>
          <w:rStyle w:val="TextoNormalCaracter"/>
        </w:rPr>
        <w:t>-</w:t>
      </w:r>
      <w:r>
        <w:t xml:space="preserve"> Autos </w:t>
      </w:r>
      <w:hyperlink w:anchor="AUTO_2021_33" w:history="1">
        <w:r w:rsidRPr="002C5A78">
          <w:rPr>
            <w:rStyle w:val="TextoNormalCaracter"/>
          </w:rPr>
          <w:t>33/2021</w:t>
        </w:r>
      </w:hyperlink>
      <w:r>
        <w:t xml:space="preserve">, f. único; </w:t>
      </w:r>
      <w:hyperlink w:anchor="AUTO_2021_34" w:history="1">
        <w:r w:rsidRPr="002C5A78">
          <w:rPr>
            <w:rStyle w:val="TextoNormalCaracter"/>
          </w:rPr>
          <w:t>34/2021</w:t>
        </w:r>
      </w:hyperlink>
      <w:r>
        <w:t>, f. único.</w:t>
      </w:r>
    </w:p>
    <w:p w:rsidR="002C5A78" w:rsidRDefault="002C5A78" w:rsidP="002C5A78">
      <w:pPr>
        <w:pStyle w:val="SangriaFrancesaArticulo"/>
      </w:pPr>
      <w:r w:rsidRPr="002C5A78">
        <w:rPr>
          <w:rStyle w:val="TextoNormalNegritaCaracter"/>
        </w:rPr>
        <w:t>Artículo 32.2.</w:t>
      </w:r>
      <w:r w:rsidRPr="002C5A78">
        <w:rPr>
          <w:rStyle w:val="TextoNormalCaracter"/>
        </w:rPr>
        <w:t>-</w:t>
      </w:r>
      <w:r>
        <w:t xml:space="preserve"> Sentencia </w:t>
      </w:r>
      <w:hyperlink w:anchor="SENTENCIA_2021_13" w:history="1">
        <w:r w:rsidRPr="002C5A78">
          <w:rPr>
            <w:rStyle w:val="TextoNormalCaracter"/>
          </w:rPr>
          <w:t>13/2021</w:t>
        </w:r>
      </w:hyperlink>
      <w:r>
        <w:t>, f. 2.</w:t>
      </w:r>
    </w:p>
    <w:p w:rsidR="002C5A78" w:rsidRDefault="002C5A78" w:rsidP="002C5A78">
      <w:pPr>
        <w:pStyle w:val="SangriaIzquierdaArticulo"/>
      </w:pPr>
      <w:r>
        <w:t xml:space="preserve">Autos </w:t>
      </w:r>
      <w:hyperlink w:anchor="AUTO_2021_58" w:history="1">
        <w:r w:rsidRPr="002C5A78">
          <w:rPr>
            <w:rStyle w:val="TextoNormalCaracter"/>
          </w:rPr>
          <w:t>58/2021</w:t>
        </w:r>
      </w:hyperlink>
      <w:r>
        <w:t xml:space="preserve">, ff. 2, 4; </w:t>
      </w:r>
      <w:hyperlink w:anchor="AUTO_2021_59" w:history="1">
        <w:r w:rsidRPr="002C5A78">
          <w:rPr>
            <w:rStyle w:val="TextoNormalCaracter"/>
          </w:rPr>
          <w:t>59/2021</w:t>
        </w:r>
      </w:hyperlink>
      <w:r>
        <w:t>, ff. 2, 4.</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Sentencias </w:t>
      </w:r>
      <w:hyperlink w:anchor="SENTENCIA_2021_16" w:history="1">
        <w:r w:rsidRPr="002C5A78">
          <w:rPr>
            <w:rStyle w:val="TextoNormalCaracter"/>
          </w:rPr>
          <w:t>16/2021</w:t>
        </w:r>
      </w:hyperlink>
      <w:r>
        <w:t xml:space="preserve">, f. 9; </w:t>
      </w:r>
      <w:hyperlink w:anchor="SENTENCIA_2021_125" w:history="1">
        <w:r w:rsidRPr="002C5A78">
          <w:rPr>
            <w:rStyle w:val="TextoNormalCaracter"/>
          </w:rPr>
          <w:t>125/2021</w:t>
        </w:r>
      </w:hyperlink>
      <w:r>
        <w:t xml:space="preserve">, f. 2; </w:t>
      </w:r>
      <w:hyperlink w:anchor="SENTENCIA_2021_135" w:history="1">
        <w:r w:rsidRPr="002C5A78">
          <w:rPr>
            <w:rStyle w:val="TextoNormalCaracter"/>
          </w:rPr>
          <w:t>135/2021</w:t>
        </w:r>
      </w:hyperlink>
      <w:r>
        <w:t>, f. 1.</w:t>
      </w:r>
    </w:p>
    <w:p w:rsidR="002C5A78" w:rsidRDefault="002C5A78" w:rsidP="002C5A78">
      <w:pPr>
        <w:pStyle w:val="SangriaIzquierdaArticulo"/>
      </w:pPr>
      <w:r>
        <w:t xml:space="preserve">Autos </w:t>
      </w:r>
      <w:hyperlink w:anchor="AUTO_2021_7" w:history="1">
        <w:r w:rsidRPr="002C5A78">
          <w:rPr>
            <w:rStyle w:val="TextoNormalCaracter"/>
          </w:rPr>
          <w:t>7/2021</w:t>
        </w:r>
      </w:hyperlink>
      <w:r>
        <w:t xml:space="preserve">, f. único; </w:t>
      </w:r>
      <w:hyperlink w:anchor="AUTO_2021_58" w:history="1">
        <w:r w:rsidRPr="002C5A78">
          <w:rPr>
            <w:rStyle w:val="TextoNormalCaracter"/>
          </w:rPr>
          <w:t>58/2021</w:t>
        </w:r>
      </w:hyperlink>
      <w:r>
        <w:t xml:space="preserve">, ff. 3, 4; </w:t>
      </w:r>
      <w:hyperlink w:anchor="AUTO_2021_59" w:history="1">
        <w:r w:rsidRPr="002C5A78">
          <w:rPr>
            <w:rStyle w:val="TextoNormalCaracter"/>
          </w:rPr>
          <w:t>59/2021</w:t>
        </w:r>
      </w:hyperlink>
      <w:r>
        <w:t>, ff. 3 a 5.</w:t>
      </w:r>
    </w:p>
    <w:p w:rsidR="002C5A78" w:rsidRDefault="002C5A78" w:rsidP="002C5A78">
      <w:pPr>
        <w:pStyle w:val="SangriaFrancesaArticulo"/>
      </w:pPr>
      <w:r w:rsidRPr="002C5A78">
        <w:rPr>
          <w:rStyle w:val="TextoNormalNegritaCaracter"/>
        </w:rPr>
        <w:t>Artículo 33.1.</w:t>
      </w:r>
      <w:r w:rsidRPr="002C5A78">
        <w:rPr>
          <w:rStyle w:val="TextoNormalCaracter"/>
        </w:rPr>
        <w:t>-</w:t>
      </w:r>
      <w:r>
        <w:t xml:space="preserve"> Sentencias </w:t>
      </w:r>
      <w:hyperlink w:anchor="SENTENCIA_2021_38" w:history="1">
        <w:r w:rsidRPr="002C5A78">
          <w:rPr>
            <w:rStyle w:val="TextoNormalCaracter"/>
          </w:rPr>
          <w:t>38/2021</w:t>
        </w:r>
      </w:hyperlink>
      <w:r>
        <w:t xml:space="preserve">, f. 2; </w:t>
      </w:r>
      <w:hyperlink w:anchor="SENTENCIA_2021_125" w:history="1">
        <w:r w:rsidRPr="002C5A78">
          <w:rPr>
            <w:rStyle w:val="TextoNormalCaracter"/>
          </w:rPr>
          <w:t>125/2021</w:t>
        </w:r>
      </w:hyperlink>
      <w:r>
        <w:t xml:space="preserve">, f. 2; </w:t>
      </w:r>
      <w:hyperlink w:anchor="SENTENCIA_2021_135" w:history="1">
        <w:r w:rsidRPr="002C5A78">
          <w:rPr>
            <w:rStyle w:val="TextoNormalCaracter"/>
          </w:rPr>
          <w:t>135/2021</w:t>
        </w:r>
      </w:hyperlink>
      <w:r>
        <w:t>, f. 2.</w:t>
      </w:r>
    </w:p>
    <w:p w:rsidR="002C5A78" w:rsidRDefault="002C5A78" w:rsidP="002C5A78">
      <w:pPr>
        <w:pStyle w:val="SangriaIzquierdaArticulo"/>
      </w:pPr>
      <w:r>
        <w:t xml:space="preserve">Autos </w:t>
      </w:r>
      <w:hyperlink w:anchor="AUTO_2021_58" w:history="1">
        <w:r w:rsidRPr="002C5A78">
          <w:rPr>
            <w:rStyle w:val="TextoNormalCaracter"/>
          </w:rPr>
          <w:t>58/2021</w:t>
        </w:r>
      </w:hyperlink>
      <w:r>
        <w:t xml:space="preserve">, f. 2; </w:t>
      </w:r>
      <w:hyperlink w:anchor="AUTO_2021_59" w:history="1">
        <w:r w:rsidRPr="002C5A78">
          <w:rPr>
            <w:rStyle w:val="TextoNormalCaracter"/>
          </w:rPr>
          <w:t>59/2021</w:t>
        </w:r>
      </w:hyperlink>
      <w:r>
        <w:t>, f. 2.</w:t>
      </w:r>
    </w:p>
    <w:p w:rsidR="002C5A78" w:rsidRDefault="002C5A78" w:rsidP="002C5A78">
      <w:pPr>
        <w:pStyle w:val="SangriaFrancesaArticulo"/>
      </w:pPr>
      <w:r w:rsidRPr="002C5A78">
        <w:rPr>
          <w:rStyle w:val="TextoNormalNegritaCaracter"/>
        </w:rPr>
        <w:t>Artículo 33.2.</w:t>
      </w:r>
      <w:r w:rsidRPr="002C5A78">
        <w:rPr>
          <w:rStyle w:val="TextoNormalCaracter"/>
        </w:rPr>
        <w:t>-</w:t>
      </w:r>
      <w:r>
        <w:t xml:space="preserve"> Sentencias </w:t>
      </w:r>
      <w:hyperlink w:anchor="SENTENCIA_2021_36" w:history="1">
        <w:r w:rsidRPr="002C5A78">
          <w:rPr>
            <w:rStyle w:val="TextoNormalCaracter"/>
          </w:rPr>
          <w:t>36/2021</w:t>
        </w:r>
      </w:hyperlink>
      <w:r>
        <w:t xml:space="preserve">, f. 2; </w:t>
      </w:r>
      <w:hyperlink w:anchor="SENTENCIA_2021_72" w:history="1">
        <w:r w:rsidRPr="002C5A78">
          <w:rPr>
            <w:rStyle w:val="TextoNormalCaracter"/>
          </w:rPr>
          <w:t>72/2021</w:t>
        </w:r>
      </w:hyperlink>
      <w:r>
        <w:t>, f. 2.</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35.</w:t>
      </w:r>
      <w:r w:rsidRPr="002C5A78">
        <w:rPr>
          <w:rStyle w:val="TextoNormalCaracter"/>
        </w:rPr>
        <w:t>-</w:t>
      </w:r>
      <w:r>
        <w:t xml:space="preserve"> Sentencia </w:t>
      </w:r>
      <w:hyperlink w:anchor="SENTENCIA_2021_126" w:history="1">
        <w:r w:rsidRPr="002C5A78">
          <w:rPr>
            <w:rStyle w:val="TextoNormalCaracter"/>
          </w:rPr>
          <w:t>126/2021</w:t>
        </w:r>
      </w:hyperlink>
      <w:r>
        <w:t>, f. 2.</w:t>
      </w:r>
    </w:p>
    <w:p w:rsidR="002C5A78" w:rsidRDefault="002C5A78" w:rsidP="002C5A78">
      <w:pPr>
        <w:pStyle w:val="SangriaIzquierdaArticulo"/>
      </w:pPr>
      <w:r>
        <w:t xml:space="preserve">Auto </w:t>
      </w:r>
      <w:hyperlink w:anchor="AUTO_2021_65" w:history="1">
        <w:r w:rsidRPr="002C5A78">
          <w:rPr>
            <w:rStyle w:val="TextoNormalCaracter"/>
          </w:rPr>
          <w:t>65/2021</w:t>
        </w:r>
      </w:hyperlink>
      <w:r>
        <w:t>, f. 3.</w:t>
      </w:r>
    </w:p>
    <w:p w:rsidR="002C5A78" w:rsidRDefault="002C5A78" w:rsidP="002C5A78">
      <w:pPr>
        <w:pStyle w:val="SangriaFrancesaArticulo"/>
      </w:pPr>
      <w:r w:rsidRPr="002C5A78">
        <w:rPr>
          <w:rStyle w:val="TextoNormalNegritaCaracter"/>
        </w:rPr>
        <w:t>33.</w:t>
      </w:r>
      <w:r w:rsidRPr="002C5A78">
        <w:rPr>
          <w:rStyle w:val="TextoNormalCaracter"/>
        </w:rPr>
        <w:t>-</w:t>
      </w:r>
      <w:r>
        <w:t xml:space="preserve"> Sentencia </w:t>
      </w:r>
      <w:hyperlink w:anchor="SENTENCIA_2021_15" w:history="1">
        <w:r w:rsidRPr="002C5A78">
          <w:rPr>
            <w:rStyle w:val="TextoNormalCaracter"/>
          </w:rPr>
          <w:t>15/2021</w:t>
        </w:r>
      </w:hyperlink>
      <w:r>
        <w:t>, f. 4.</w:t>
      </w:r>
    </w:p>
    <w:p w:rsidR="002C5A78" w:rsidRDefault="002C5A78" w:rsidP="002C5A78">
      <w:pPr>
        <w:pStyle w:val="SangriaFrancesaArticulo"/>
      </w:pPr>
      <w:r w:rsidRPr="002C5A78">
        <w:rPr>
          <w:rStyle w:val="TextoNormalNegritaCaracter"/>
        </w:rPr>
        <w:t>Artículo 35.2.</w:t>
      </w:r>
      <w:r w:rsidRPr="002C5A78">
        <w:rPr>
          <w:rStyle w:val="TextoNormalCaracter"/>
        </w:rPr>
        <w:t>-</w:t>
      </w:r>
      <w:r>
        <w:t xml:space="preserve"> Sentencias </w:t>
      </w:r>
      <w:hyperlink w:anchor="SENTENCIA_2021_15" w:history="1">
        <w:r w:rsidRPr="002C5A78">
          <w:rPr>
            <w:rStyle w:val="TextoNormalCaracter"/>
          </w:rPr>
          <w:t>15/2021</w:t>
        </w:r>
      </w:hyperlink>
      <w:r>
        <w:t xml:space="preserve">, f. 2; </w:t>
      </w:r>
      <w:hyperlink w:anchor="SENTENCIA_2021_109" w:history="1">
        <w:r w:rsidRPr="002C5A78">
          <w:rPr>
            <w:rStyle w:val="TextoNormalCaracter"/>
          </w:rPr>
          <w:t>109/2021</w:t>
        </w:r>
      </w:hyperlink>
      <w:r>
        <w:t xml:space="preserve">, f. 2; </w:t>
      </w:r>
      <w:hyperlink w:anchor="SENTENCIA_2021_123" w:history="1">
        <w:r w:rsidRPr="002C5A78">
          <w:rPr>
            <w:rStyle w:val="TextoNormalCaracter"/>
          </w:rPr>
          <w:t>123/2021</w:t>
        </w:r>
      </w:hyperlink>
      <w:r>
        <w:t xml:space="preserve">, f. 2; </w:t>
      </w:r>
      <w:hyperlink w:anchor="SENTENCIA_2021_126" w:history="1">
        <w:r w:rsidRPr="002C5A78">
          <w:rPr>
            <w:rStyle w:val="TextoNormalCaracter"/>
          </w:rPr>
          <w:t>126/2021</w:t>
        </w:r>
      </w:hyperlink>
      <w:r>
        <w:t>, f. 2.</w:t>
      </w:r>
    </w:p>
    <w:p w:rsidR="002C5A78" w:rsidRDefault="002C5A78" w:rsidP="002C5A78">
      <w:pPr>
        <w:pStyle w:val="SangriaIzquierdaArticulo"/>
      </w:pPr>
      <w:r>
        <w:t xml:space="preserve">Auto </w:t>
      </w:r>
      <w:hyperlink w:anchor="AUTO_2021_65" w:history="1">
        <w:r w:rsidRPr="002C5A78">
          <w:rPr>
            <w:rStyle w:val="TextoNormalCaracter"/>
          </w:rPr>
          <w:t>65/2021</w:t>
        </w:r>
      </w:hyperlink>
      <w:r>
        <w:t>, ff. 1 a 3.</w:t>
      </w:r>
    </w:p>
    <w:p w:rsidR="002C5A78" w:rsidRDefault="002C5A78" w:rsidP="002C5A78">
      <w:pPr>
        <w:pStyle w:val="SangriaFrancesaArticulo"/>
      </w:pPr>
      <w:r w:rsidRPr="002C5A78">
        <w:rPr>
          <w:rStyle w:val="TextoNormalNegritaCaracter"/>
        </w:rPr>
        <w:t>Artículo 37.</w:t>
      </w:r>
      <w:r w:rsidRPr="002C5A78">
        <w:rPr>
          <w:rStyle w:val="TextoNormalCaracter"/>
        </w:rPr>
        <w:t>-</w:t>
      </w:r>
      <w:r>
        <w:t xml:space="preserve"> Sentencia </w:t>
      </w:r>
      <w:hyperlink w:anchor="SENTENCIA_2021_126" w:history="1">
        <w:r w:rsidRPr="002C5A78">
          <w:rPr>
            <w:rStyle w:val="TextoNormalCaracter"/>
          </w:rPr>
          <w:t>126/2021</w:t>
        </w:r>
      </w:hyperlink>
      <w:r>
        <w:t>, f. 2.</w:t>
      </w:r>
    </w:p>
    <w:p w:rsidR="002C5A78" w:rsidRDefault="002C5A78" w:rsidP="002C5A78">
      <w:pPr>
        <w:pStyle w:val="SangriaIzquierdaArticulo"/>
      </w:pPr>
      <w:r>
        <w:t xml:space="preserve">Auto </w:t>
      </w:r>
      <w:hyperlink w:anchor="AUTO_2021_65" w:history="1">
        <w:r w:rsidRPr="002C5A78">
          <w:rPr>
            <w:rStyle w:val="TextoNormalCaracter"/>
          </w:rPr>
          <w:t>65/2021</w:t>
        </w:r>
      </w:hyperlink>
      <w:r>
        <w:t>, f. 2.</w:t>
      </w:r>
    </w:p>
    <w:p w:rsidR="002C5A78" w:rsidRDefault="002C5A78" w:rsidP="002C5A78">
      <w:pPr>
        <w:pStyle w:val="SangriaFrancesaArticulo"/>
      </w:pPr>
      <w:r w:rsidRPr="002C5A78">
        <w:rPr>
          <w:rStyle w:val="TextoNormalNegritaCaracter"/>
        </w:rPr>
        <w:t>Artículo 37.1.</w:t>
      </w:r>
      <w:r w:rsidRPr="002C5A78">
        <w:rPr>
          <w:rStyle w:val="TextoNormalCaracter"/>
        </w:rPr>
        <w:t>-</w:t>
      </w:r>
      <w:r>
        <w:t xml:space="preserve"> Sentencia </w:t>
      </w:r>
      <w:hyperlink w:anchor="SENTENCIA_2021_38" w:history="1">
        <w:r w:rsidRPr="002C5A78">
          <w:rPr>
            <w:rStyle w:val="TextoNormalCaracter"/>
          </w:rPr>
          <w:t>38/2021</w:t>
        </w:r>
      </w:hyperlink>
      <w:r>
        <w:t>, f. 2.</w:t>
      </w:r>
    </w:p>
    <w:p w:rsidR="002C5A78" w:rsidRDefault="002C5A78" w:rsidP="002C5A78">
      <w:pPr>
        <w:pStyle w:val="SangriaIzquierdaArticulo"/>
      </w:pPr>
      <w:r>
        <w:t xml:space="preserve">Autos </w:t>
      </w:r>
      <w:hyperlink w:anchor="AUTO_2021_5" w:history="1">
        <w:r w:rsidRPr="002C5A78">
          <w:rPr>
            <w:rStyle w:val="TextoNormalCaracter"/>
          </w:rPr>
          <w:t>5/2021</w:t>
        </w:r>
      </w:hyperlink>
      <w:r>
        <w:t xml:space="preserve">, f. único; </w:t>
      </w:r>
      <w:hyperlink w:anchor="AUTO_2021_6" w:history="1">
        <w:r w:rsidRPr="002C5A78">
          <w:rPr>
            <w:rStyle w:val="TextoNormalCaracter"/>
          </w:rPr>
          <w:t>6/2021</w:t>
        </w:r>
      </w:hyperlink>
      <w:r>
        <w:t xml:space="preserve">, f. único; </w:t>
      </w:r>
      <w:hyperlink w:anchor="AUTO_2021_65" w:history="1">
        <w:r w:rsidRPr="002C5A78">
          <w:rPr>
            <w:rStyle w:val="TextoNormalCaracter"/>
          </w:rPr>
          <w:t>65/2021</w:t>
        </w:r>
      </w:hyperlink>
      <w:r>
        <w:t>, ff. 1 a 3.</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125" w:history="1">
        <w:r w:rsidRPr="002C5A78">
          <w:rPr>
            <w:rStyle w:val="TextoNormalCaracter"/>
          </w:rPr>
          <w:t>125/2021</w:t>
        </w:r>
      </w:hyperlink>
      <w:r>
        <w:t>, f. 2.</w:t>
      </w:r>
    </w:p>
    <w:p w:rsidR="002C5A78" w:rsidRDefault="002C5A78" w:rsidP="002C5A78">
      <w:pPr>
        <w:pStyle w:val="SangriaFrancesaArticulo"/>
      </w:pPr>
      <w:r w:rsidRPr="002C5A78">
        <w:rPr>
          <w:rStyle w:val="TextoNormalNegritaCaracter"/>
        </w:rPr>
        <w:t>Artículo 39.1.</w:t>
      </w:r>
      <w:r w:rsidRPr="002C5A78">
        <w:rPr>
          <w:rStyle w:val="TextoNormalCaracter"/>
        </w:rPr>
        <w:t>-</w:t>
      </w:r>
      <w:r>
        <w:t xml:space="preserve"> Sentencias </w:t>
      </w:r>
      <w:hyperlink w:anchor="SENTENCIA_2021_16" w:history="1">
        <w:r w:rsidRPr="002C5A78">
          <w:rPr>
            <w:rStyle w:val="TextoNormalCaracter"/>
          </w:rPr>
          <w:t>16/2021</w:t>
        </w:r>
      </w:hyperlink>
      <w:r>
        <w:t xml:space="preserve">, f. 5; </w:t>
      </w:r>
      <w:hyperlink w:anchor="SENTENCIA_2021_38" w:history="1">
        <w:r w:rsidRPr="002C5A78">
          <w:rPr>
            <w:rStyle w:val="TextoNormalCaracter"/>
          </w:rPr>
          <w:t>38/2021</w:t>
        </w:r>
      </w:hyperlink>
      <w:r>
        <w:t xml:space="preserve">, f. 2; </w:t>
      </w:r>
      <w:hyperlink w:anchor="SENTENCIA_2021_72" w:history="1">
        <w:r w:rsidRPr="002C5A78">
          <w:rPr>
            <w:rStyle w:val="TextoNormalCaracter"/>
          </w:rPr>
          <w:t>72/2021</w:t>
        </w:r>
      </w:hyperlink>
      <w:r>
        <w:t xml:space="preserve">, f. 6; </w:t>
      </w:r>
      <w:hyperlink w:anchor="SENTENCIA_2021_111" w:history="1">
        <w:r w:rsidRPr="002C5A78">
          <w:rPr>
            <w:rStyle w:val="TextoNormalCaracter"/>
          </w:rPr>
          <w:t>111/2021</w:t>
        </w:r>
      </w:hyperlink>
      <w:r>
        <w:t xml:space="preserve">, f. 8; </w:t>
      </w:r>
      <w:hyperlink w:anchor="SENTENCIA_2021_123" w:history="1">
        <w:r w:rsidRPr="002C5A78">
          <w:rPr>
            <w:rStyle w:val="TextoNormalCaracter"/>
          </w:rPr>
          <w:t>123/2021</w:t>
        </w:r>
      </w:hyperlink>
      <w:r>
        <w:t xml:space="preserve">, f. 2; </w:t>
      </w:r>
      <w:hyperlink w:anchor="SENTENCIA_2021_125" w:history="1">
        <w:r w:rsidRPr="002C5A78">
          <w:rPr>
            <w:rStyle w:val="TextoNormalCaracter"/>
          </w:rPr>
          <w:t>125/2021</w:t>
        </w:r>
      </w:hyperlink>
      <w:r>
        <w:t>, f. 2.</w:t>
      </w:r>
    </w:p>
    <w:p w:rsidR="002C5A78" w:rsidRDefault="002C5A78" w:rsidP="002C5A78">
      <w:pPr>
        <w:pStyle w:val="SangriaFrancesaArticulo"/>
      </w:pPr>
      <w:r w:rsidRPr="002C5A78">
        <w:rPr>
          <w:rStyle w:val="TextoNormalNegritaCaracter"/>
        </w:rPr>
        <w:t>Artículo 40.</w:t>
      </w:r>
      <w:r w:rsidRPr="002C5A78">
        <w:rPr>
          <w:rStyle w:val="TextoNormalCaracter"/>
        </w:rPr>
        <w:t>-</w:t>
      </w:r>
      <w:r>
        <w:t xml:space="preserve"> Sentencias </w:t>
      </w:r>
      <w:hyperlink w:anchor="SENTENCIA_2021_33" w:history="1">
        <w:r w:rsidRPr="002C5A78">
          <w:rPr>
            <w:rStyle w:val="TextoNormalCaracter"/>
          </w:rPr>
          <w:t>33/2021</w:t>
        </w:r>
      </w:hyperlink>
      <w:r>
        <w:t xml:space="preserve">, f. 3; </w:t>
      </w:r>
      <w:hyperlink w:anchor="SENTENCIA_2021_64" w:history="1">
        <w:r w:rsidRPr="002C5A78">
          <w:rPr>
            <w:rStyle w:val="TextoNormalCaracter"/>
          </w:rPr>
          <w:t>64/2021</w:t>
        </w:r>
      </w:hyperlink>
      <w:r>
        <w:t>, f. 3.</w:t>
      </w:r>
    </w:p>
    <w:p w:rsidR="002C5A78" w:rsidRDefault="002C5A78" w:rsidP="002C5A78">
      <w:pPr>
        <w:pStyle w:val="SangriaFrancesaArticulo"/>
      </w:pPr>
      <w:r w:rsidRPr="002C5A78">
        <w:rPr>
          <w:rStyle w:val="TextoNormalNegritaCaracter"/>
        </w:rPr>
        <w:t>Artículo 40.1.</w:t>
      </w:r>
      <w:r w:rsidRPr="002C5A78">
        <w:rPr>
          <w:rStyle w:val="TextoNormalCaracter"/>
        </w:rPr>
        <w:t>-</w:t>
      </w:r>
      <w:r>
        <w:t xml:space="preserve"> Sentencia </w:t>
      </w:r>
      <w:hyperlink w:anchor="SENTENCIA_2021_36" w:history="1">
        <w:r w:rsidRPr="002C5A78">
          <w:rPr>
            <w:rStyle w:val="TextoNormalCaracter"/>
          </w:rPr>
          <w:t>36/2021</w:t>
        </w:r>
      </w:hyperlink>
      <w:r>
        <w:t>, f. 16.</w:t>
      </w:r>
    </w:p>
    <w:p w:rsidR="002C5A78" w:rsidRDefault="002C5A78" w:rsidP="002C5A78">
      <w:pPr>
        <w:pStyle w:val="SangriaFrancesaArticulo"/>
      </w:pPr>
      <w:r w:rsidRPr="002C5A78">
        <w:rPr>
          <w:rStyle w:val="TextoNormalNegritaCaracter"/>
        </w:rPr>
        <w:t>Artículo 40.2.</w:t>
      </w:r>
      <w:r w:rsidRPr="002C5A78">
        <w:rPr>
          <w:rStyle w:val="TextoNormalCaracter"/>
        </w:rPr>
        <w:t>-</w:t>
      </w:r>
      <w:r>
        <w:t xml:space="preserve"> Sentencia </w:t>
      </w:r>
      <w:hyperlink w:anchor="SENTENCIA_2021_48" w:history="1">
        <w:r w:rsidRPr="002C5A78">
          <w:rPr>
            <w:rStyle w:val="TextoNormalCaracter"/>
          </w:rPr>
          <w:t>48/2021</w:t>
        </w:r>
      </w:hyperlink>
      <w:r>
        <w:t>, f. 2.</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Artículo 41 a 46.</w:t>
      </w:r>
      <w:r w:rsidRPr="002C5A78">
        <w:rPr>
          <w:rStyle w:val="TextoNormalCaracter"/>
        </w:rPr>
        <w:t>-</w:t>
      </w:r>
      <w:r>
        <w:t xml:space="preserve"> Auto </w:t>
      </w:r>
      <w:hyperlink w:anchor="AUTO_2021_45" w:history="1">
        <w:r w:rsidRPr="002C5A78">
          <w:rPr>
            <w:rStyle w:val="TextoNormalCaracter"/>
          </w:rPr>
          <w:t>45/2021</w:t>
        </w:r>
      </w:hyperlink>
      <w:r>
        <w:t>, f. 2.</w:t>
      </w:r>
    </w:p>
    <w:p w:rsidR="002C5A78" w:rsidRDefault="002C5A78" w:rsidP="002C5A78">
      <w:pPr>
        <w:pStyle w:val="SangriaFrancesaArticulo"/>
      </w:pPr>
      <w:r w:rsidRPr="002C5A78">
        <w:rPr>
          <w:rStyle w:val="TextoNormalNegritaCaracter"/>
        </w:rPr>
        <w:t>Artículo 41.1.</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2" w:history="1">
        <w:r w:rsidRPr="002C5A78">
          <w:rPr>
            <w:rStyle w:val="TextoNormalCaracter"/>
          </w:rPr>
          <w:t>102/2021</w:t>
        </w:r>
      </w:hyperlink>
      <w:r>
        <w:t xml:space="preserve">, f. 2;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Artículo 41.2.</w:t>
      </w:r>
      <w:r w:rsidRPr="002C5A78">
        <w:rPr>
          <w:rStyle w:val="TextoNormalCaracter"/>
        </w:rPr>
        <w:t>-</w:t>
      </w:r>
      <w:r>
        <w:t xml:space="preserve"> Sentencia </w:t>
      </w:r>
      <w:hyperlink w:anchor="SENTENCIA_2021_42" w:history="1">
        <w:r w:rsidRPr="002C5A78">
          <w:rPr>
            <w:rStyle w:val="TextoNormalCaracter"/>
          </w:rPr>
          <w:t>42/2021</w:t>
        </w:r>
      </w:hyperlink>
      <w:r>
        <w:t>, f. 1.</w:t>
      </w:r>
    </w:p>
    <w:p w:rsidR="002C5A78" w:rsidRDefault="002C5A78" w:rsidP="002C5A78">
      <w:pPr>
        <w:pStyle w:val="SangriaIzquierdaArticulo"/>
      </w:pPr>
      <w:r>
        <w:t xml:space="preserve">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41.3.</w:t>
      </w:r>
      <w:r w:rsidRPr="002C5A78">
        <w:rPr>
          <w:rStyle w:val="TextoNormalCaracter"/>
        </w:rPr>
        <w:t>-</w:t>
      </w:r>
      <w:r>
        <w:t xml:space="preserve"> Sentencia </w:t>
      </w:r>
      <w:hyperlink w:anchor="SENTENCIA_2021_52" w:history="1">
        <w:r w:rsidRPr="002C5A78">
          <w:rPr>
            <w:rStyle w:val="TextoNormalCaracter"/>
          </w:rPr>
          <w:t>52/2021</w:t>
        </w:r>
      </w:hyperlink>
      <w:r>
        <w:t>, f. 2.</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Sentencias </w:t>
      </w:r>
      <w:hyperlink w:anchor="SENTENCIA_2021_53" w:history="1">
        <w:r w:rsidRPr="002C5A78">
          <w:rPr>
            <w:rStyle w:val="TextoNormalCaracter"/>
          </w:rPr>
          <w:t>53/2021</w:t>
        </w:r>
      </w:hyperlink>
      <w:r>
        <w:t xml:space="preserve">, ff. 2, 3; </w:t>
      </w:r>
      <w:hyperlink w:anchor="SENTENCIA_2021_66" w:history="1">
        <w:r w:rsidRPr="002C5A78">
          <w:rPr>
            <w:rStyle w:val="TextoNormalCaracter"/>
          </w:rPr>
          <w:t>66/2021</w:t>
        </w:r>
      </w:hyperlink>
      <w:r>
        <w:t xml:space="preserve">, ff. 3, 4; </w:t>
      </w:r>
      <w:hyperlink w:anchor="SENTENCIA_2021_69" w:history="1">
        <w:r w:rsidRPr="002C5A78">
          <w:rPr>
            <w:rStyle w:val="TextoNormalCaracter"/>
          </w:rPr>
          <w:t>69/2021</w:t>
        </w:r>
      </w:hyperlink>
      <w:r>
        <w:t xml:space="preserve">, ff. 2, 5; </w:t>
      </w:r>
      <w:hyperlink w:anchor="SENTENCIA_2021_90" w:history="1">
        <w:r w:rsidRPr="002C5A78">
          <w:rPr>
            <w:rStyle w:val="TextoNormalCaracter"/>
          </w:rPr>
          <w:t>90/2021</w:t>
        </w:r>
      </w:hyperlink>
      <w:r>
        <w:t xml:space="preserve">, f. 3; </w:t>
      </w:r>
      <w:hyperlink w:anchor="SENTENCIA_2021_105" w:history="1">
        <w:r w:rsidRPr="002C5A78">
          <w:rPr>
            <w:rStyle w:val="TextoNormalCaracter"/>
          </w:rPr>
          <w:t>105/2021</w:t>
        </w:r>
      </w:hyperlink>
      <w:r>
        <w:t xml:space="preserve">, f. 3; </w:t>
      </w:r>
      <w:hyperlink w:anchor="SENTENCIA_2021_134" w:history="1">
        <w:r w:rsidRPr="002C5A78">
          <w:rPr>
            <w:rStyle w:val="TextoNormalCaracter"/>
          </w:rPr>
          <w:t>134/2021</w:t>
        </w:r>
      </w:hyperlink>
      <w:r>
        <w:t xml:space="preserve">, VP III; </w:t>
      </w:r>
      <w:hyperlink w:anchor="SENTENCIA_2021_137" w:history="1">
        <w:r w:rsidRPr="002C5A78">
          <w:rPr>
            <w:rStyle w:val="TextoNormalCaracter"/>
          </w:rPr>
          <w:t>137/2021</w:t>
        </w:r>
      </w:hyperlink>
      <w:r>
        <w:t>, f. 2.</w:t>
      </w:r>
    </w:p>
    <w:p w:rsidR="002C5A78" w:rsidRDefault="002C5A78" w:rsidP="002C5A78">
      <w:pPr>
        <w:pStyle w:val="SangriaIzquierdaArticulo"/>
      </w:pPr>
      <w:r>
        <w:t xml:space="preserve">Auto </w:t>
      </w:r>
      <w:hyperlink w:anchor="AUTO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Artículos 42 a 44.</w:t>
      </w:r>
      <w:r w:rsidRPr="002C5A78">
        <w:rPr>
          <w:rStyle w:val="TextoNormalCaracter"/>
        </w:rPr>
        <w:t>-</w:t>
      </w:r>
      <w:r>
        <w:t xml:space="preserve"> Auto </w:t>
      </w:r>
      <w:hyperlink w:anchor="AUTO_2021_36" w:history="1">
        <w:r w:rsidRPr="002C5A78">
          <w:rPr>
            <w:rStyle w:val="TextoNormalCaracter"/>
          </w:rPr>
          <w:t>36/2021</w:t>
        </w:r>
      </w:hyperlink>
      <w:r>
        <w:t>, f. único.</w:t>
      </w:r>
    </w:p>
    <w:p w:rsidR="002C5A78" w:rsidRDefault="002C5A78" w:rsidP="002C5A78">
      <w:pPr>
        <w:pStyle w:val="SangriaFrancesaArticulo"/>
      </w:pPr>
      <w:r w:rsidRPr="002C5A78">
        <w:rPr>
          <w:rStyle w:val="TextoNormalNegritaCaracter"/>
        </w:rPr>
        <w:t>Artículo 43.</w:t>
      </w:r>
      <w:r w:rsidRPr="002C5A78">
        <w:rPr>
          <w:rStyle w:val="TextoNormalCaracter"/>
        </w:rPr>
        <w:t>-</w:t>
      </w:r>
      <w:r>
        <w:t xml:space="preserve"> Sentencias </w:t>
      </w:r>
      <w:hyperlink w:anchor="SENTENCIA_2021_42" w:history="1">
        <w:r w:rsidRPr="002C5A78">
          <w:rPr>
            <w:rStyle w:val="TextoNormalCaracter"/>
          </w:rPr>
          <w:t>42/2021</w:t>
        </w:r>
      </w:hyperlink>
      <w:r>
        <w:t xml:space="preserve">, f. 1; </w:t>
      </w:r>
      <w:hyperlink w:anchor="SENTENCIA_2021_51" w:history="1">
        <w:r w:rsidRPr="002C5A78">
          <w:rPr>
            <w:rStyle w:val="TextoNormalCaracter"/>
          </w:rPr>
          <w:t>51/2021</w:t>
        </w:r>
      </w:hyperlink>
      <w:r>
        <w:t xml:space="preserve">, f. 2; </w:t>
      </w:r>
      <w:hyperlink w:anchor="SENTENCIA_2021_73" w:history="1">
        <w:r w:rsidRPr="002C5A78">
          <w:rPr>
            <w:rStyle w:val="TextoNormalCaracter"/>
          </w:rPr>
          <w:t>73/2021</w:t>
        </w:r>
      </w:hyperlink>
      <w:r>
        <w:t xml:space="preserve">, f. 2; </w:t>
      </w:r>
      <w:hyperlink w:anchor="SENTENCIA_2021_81" w:history="1">
        <w:r w:rsidRPr="002C5A78">
          <w:rPr>
            <w:rStyle w:val="TextoNormalCaracter"/>
          </w:rPr>
          <w:t>81/2021</w:t>
        </w:r>
      </w:hyperlink>
      <w:r>
        <w:t xml:space="preserve">, f. 1; </w:t>
      </w:r>
      <w:hyperlink w:anchor="SENTENCIA_2021_88" w:history="1">
        <w:r w:rsidRPr="002C5A78">
          <w:rPr>
            <w:rStyle w:val="TextoNormalCaracter"/>
          </w:rPr>
          <w:t>88/2021</w:t>
        </w:r>
      </w:hyperlink>
      <w:r>
        <w:t xml:space="preserve">, f. 1; </w:t>
      </w:r>
      <w:hyperlink w:anchor="SENTENCIA_2021_98" w:history="1">
        <w:r w:rsidRPr="002C5A78">
          <w:rPr>
            <w:rStyle w:val="TextoNormalCaracter"/>
          </w:rPr>
          <w:t>98/2021</w:t>
        </w:r>
      </w:hyperlink>
      <w:r>
        <w:t>, f. 2.</w:t>
      </w:r>
    </w:p>
    <w:p w:rsidR="002C5A78" w:rsidRDefault="002C5A78" w:rsidP="002C5A78">
      <w:pPr>
        <w:pStyle w:val="SangriaIzquierdaArticulo"/>
      </w:pPr>
      <w:r>
        <w:t xml:space="preserve">Auto </w:t>
      </w:r>
      <w:hyperlink w:anchor="AUTO_2021_45" w:history="1">
        <w:r w:rsidRPr="002C5A78">
          <w:rPr>
            <w:rStyle w:val="TextoNormalCaracter"/>
          </w:rPr>
          <w:t>45/2021</w:t>
        </w:r>
      </w:hyperlink>
      <w:r>
        <w:t>, f. 1.</w:t>
      </w:r>
    </w:p>
    <w:p w:rsidR="002C5A78" w:rsidRDefault="002C5A78" w:rsidP="002C5A78">
      <w:pPr>
        <w:pStyle w:val="SangriaFrancesaArticulo"/>
      </w:pPr>
      <w:r w:rsidRPr="002C5A78">
        <w:rPr>
          <w:rStyle w:val="TextoNormalNegritaCaracter"/>
        </w:rPr>
        <w:t>Artículo 43.1.</w:t>
      </w:r>
      <w:r w:rsidRPr="002C5A78">
        <w:rPr>
          <w:rStyle w:val="TextoNormalCaracter"/>
        </w:rPr>
        <w:t>-</w:t>
      </w:r>
      <w:r>
        <w:t xml:space="preserve"> Sentencias </w:t>
      </w:r>
      <w:hyperlink w:anchor="SENTENCIA_2021_5" w:history="1">
        <w:r w:rsidRPr="002C5A78">
          <w:rPr>
            <w:rStyle w:val="TextoNormalCaracter"/>
          </w:rPr>
          <w:t>5/2021</w:t>
        </w:r>
      </w:hyperlink>
      <w:r>
        <w:t xml:space="preserve">, f. 1; </w:t>
      </w:r>
      <w:hyperlink w:anchor="SENTENCIA_2021_42" w:history="1">
        <w:r w:rsidRPr="002C5A78">
          <w:rPr>
            <w:rStyle w:val="TextoNormalCaracter"/>
          </w:rPr>
          <w:t>42/2021</w:t>
        </w:r>
      </w:hyperlink>
      <w:r>
        <w:t xml:space="preserve">, f. 1; </w:t>
      </w:r>
      <w:hyperlink w:anchor="SENTENCIA_2021_63" w:history="1">
        <w:r w:rsidRPr="002C5A78">
          <w:rPr>
            <w:rStyle w:val="TextoNormalCaracter"/>
          </w:rPr>
          <w:t>63/2021</w:t>
        </w:r>
      </w:hyperlink>
      <w:r>
        <w:t xml:space="preserve">, f. 2; </w:t>
      </w:r>
      <w:hyperlink w:anchor="SENTENCIA_2021_91" w:history="1">
        <w:r w:rsidRPr="002C5A78">
          <w:rPr>
            <w:rStyle w:val="TextoNormalCaracter"/>
          </w:rPr>
          <w:t>91/2021</w:t>
        </w:r>
      </w:hyperlink>
      <w:r>
        <w:t xml:space="preserve">, f. 8; </w:t>
      </w:r>
      <w:hyperlink w:anchor="SENTENCIA_2021_106" w:history="1">
        <w:r w:rsidRPr="002C5A78">
          <w:rPr>
            <w:rStyle w:val="TextoNormalCaracter"/>
          </w:rPr>
          <w:t>106/2021</w:t>
        </w:r>
      </w:hyperlink>
      <w:r>
        <w:t xml:space="preserve">, f. 8; </w:t>
      </w:r>
      <w:hyperlink w:anchor="SENTENCIA_2021_121" w:history="1">
        <w:r w:rsidRPr="002C5A78">
          <w:rPr>
            <w:rStyle w:val="TextoNormalCaracter"/>
          </w:rPr>
          <w:t>121/2021</w:t>
        </w:r>
      </w:hyperlink>
      <w:r>
        <w:t>, f. 9.</w:t>
      </w:r>
    </w:p>
    <w:p w:rsidR="002C5A78" w:rsidRDefault="002C5A78" w:rsidP="002C5A78">
      <w:pPr>
        <w:pStyle w:val="SangriaFrancesaArticulo"/>
      </w:pPr>
      <w:r w:rsidRPr="002C5A78">
        <w:rPr>
          <w:rStyle w:val="TextoNormalNegritaCaracter"/>
        </w:rPr>
        <w:t>Artículo 43.2.</w:t>
      </w:r>
      <w:r w:rsidRPr="002C5A78">
        <w:rPr>
          <w:rStyle w:val="TextoNormalCaracter"/>
        </w:rPr>
        <w:t>-</w:t>
      </w:r>
      <w:r>
        <w:t xml:space="preserve"> Sentencias </w:t>
      </w:r>
      <w:hyperlink w:anchor="SENTENCIA_2021_51" w:history="1">
        <w:r w:rsidRPr="002C5A78">
          <w:rPr>
            <w:rStyle w:val="TextoNormalCaracter"/>
          </w:rPr>
          <w:t>51/2021</w:t>
        </w:r>
      </w:hyperlink>
      <w:r>
        <w:t xml:space="preserve">, f. 2; </w:t>
      </w:r>
      <w:hyperlink w:anchor="SENTENCIA_2021_73" w:history="1">
        <w:r w:rsidRPr="002C5A78">
          <w:rPr>
            <w:rStyle w:val="TextoNormalCaracter"/>
          </w:rPr>
          <w:t>73/2021</w:t>
        </w:r>
      </w:hyperlink>
      <w:r>
        <w:t xml:space="preserve">, f. 2; </w:t>
      </w:r>
      <w:hyperlink w:anchor="SENTENCIA_2021_83" w:history="1">
        <w:r w:rsidRPr="002C5A78">
          <w:rPr>
            <w:rStyle w:val="TextoNormalCaracter"/>
          </w:rPr>
          <w:t>83/2021</w:t>
        </w:r>
      </w:hyperlink>
      <w:r>
        <w:t xml:space="preserve">, f. único; </w:t>
      </w:r>
      <w:hyperlink w:anchor="SENTENCIA_2021_98" w:history="1">
        <w:r w:rsidRPr="002C5A78">
          <w:rPr>
            <w:rStyle w:val="TextoNormalCaracter"/>
          </w:rPr>
          <w:t>98/2021</w:t>
        </w:r>
      </w:hyperlink>
      <w:r>
        <w:t>, f. 1.</w:t>
      </w:r>
    </w:p>
    <w:p w:rsidR="002C5A78" w:rsidRDefault="002C5A78" w:rsidP="002C5A78">
      <w:pPr>
        <w:pStyle w:val="SangriaIzquierdaArticulo"/>
      </w:pPr>
      <w:r>
        <w:t xml:space="preserve">Autos </w:t>
      </w:r>
      <w:hyperlink w:anchor="AUTO_2021_7" w:history="1">
        <w:r w:rsidRPr="002C5A78">
          <w:rPr>
            <w:rStyle w:val="TextoNormalCaracter"/>
          </w:rPr>
          <w:t>7/2021</w:t>
        </w:r>
      </w:hyperlink>
      <w:r>
        <w:t xml:space="preserve">, f. único; </w:t>
      </w:r>
      <w:hyperlink w:anchor="AUTO_2021_16" w:history="1">
        <w:r w:rsidRPr="002C5A78">
          <w:rPr>
            <w:rStyle w:val="TextoNormalCaracter"/>
          </w:rPr>
          <w:t>16/2021</w:t>
        </w:r>
      </w:hyperlink>
      <w:r>
        <w:t xml:space="preserve">, f. 2; </w:t>
      </w:r>
      <w:hyperlink w:anchor="AUTO_2021_45" w:history="1">
        <w:r w:rsidRPr="002C5A78">
          <w:rPr>
            <w:rStyle w:val="TextoNormalCaracter"/>
          </w:rPr>
          <w:t>45/2021</w:t>
        </w:r>
      </w:hyperlink>
      <w:r>
        <w:t>, f. 1.</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Sentencias </w:t>
      </w:r>
      <w:hyperlink w:anchor="SENTENCIA_2021_21" w:history="1">
        <w:r w:rsidRPr="002C5A78">
          <w:rPr>
            <w:rStyle w:val="TextoNormalCaracter"/>
          </w:rPr>
          <w:t>21/2021</w:t>
        </w:r>
      </w:hyperlink>
      <w:r>
        <w:t xml:space="preserve">, f. 3; </w:t>
      </w:r>
      <w:hyperlink w:anchor="SENTENCIA_2021_42" w:history="1">
        <w:r w:rsidRPr="002C5A78">
          <w:rPr>
            <w:rStyle w:val="TextoNormalCaracter"/>
          </w:rPr>
          <w:t>42/2021</w:t>
        </w:r>
      </w:hyperlink>
      <w:r>
        <w:t xml:space="preserve">, f. 1; </w:t>
      </w:r>
      <w:hyperlink w:anchor="SENTENCIA_2021_73" w:history="1">
        <w:r w:rsidRPr="002C5A78">
          <w:rPr>
            <w:rStyle w:val="TextoNormalCaracter"/>
          </w:rPr>
          <w:t>73/2021</w:t>
        </w:r>
      </w:hyperlink>
      <w:r>
        <w:t xml:space="preserve">, ff. 1, 2, VP I; </w:t>
      </w:r>
      <w:hyperlink w:anchor="SENTENCIA_2021_88" w:history="1">
        <w:r w:rsidRPr="002C5A78">
          <w:rPr>
            <w:rStyle w:val="TextoNormalCaracter"/>
          </w:rPr>
          <w:t>88/2021</w:t>
        </w:r>
      </w:hyperlink>
      <w:r>
        <w:t xml:space="preserve">, ff. 1, 2; </w:t>
      </w:r>
      <w:hyperlink w:anchor="SENTENCIA_2021_95" w:history="1">
        <w:r w:rsidRPr="002C5A78">
          <w:rPr>
            <w:rStyle w:val="TextoNormalCaracter"/>
          </w:rPr>
          <w:t>95/2021</w:t>
        </w:r>
      </w:hyperlink>
      <w:r>
        <w:t xml:space="preserve">, f. 4; </w:t>
      </w:r>
      <w:hyperlink w:anchor="SENTENCIA_2021_98" w:history="1">
        <w:r w:rsidRPr="002C5A78">
          <w:rPr>
            <w:rStyle w:val="TextoNormalCaracter"/>
          </w:rPr>
          <w:t>98/2021</w:t>
        </w:r>
      </w:hyperlink>
      <w:r>
        <w:t>, f. 2.</w:t>
      </w:r>
    </w:p>
    <w:p w:rsidR="002C5A78" w:rsidRDefault="002C5A78" w:rsidP="002C5A78">
      <w:pPr>
        <w:pStyle w:val="SangriaIzquierdaArticulo"/>
      </w:pPr>
      <w:r>
        <w:t xml:space="preserve">Auto </w:t>
      </w:r>
      <w:hyperlink w:anchor="AUTO_2021_45" w:history="1">
        <w:r w:rsidRPr="002C5A78">
          <w:rPr>
            <w:rStyle w:val="TextoNormalCaracter"/>
          </w:rPr>
          <w:t>45/2021</w:t>
        </w:r>
      </w:hyperlink>
      <w:r>
        <w:t>, f. 1.</w:t>
      </w:r>
    </w:p>
    <w:p w:rsidR="002C5A78" w:rsidRDefault="002C5A78" w:rsidP="002C5A78">
      <w:pPr>
        <w:pStyle w:val="SangriaFrancesaArticulo"/>
      </w:pPr>
      <w:r w:rsidRPr="002C5A78">
        <w:rPr>
          <w:rStyle w:val="TextoNormalNegritaCaracter"/>
        </w:rPr>
        <w:t>Artículo 44.1.</w:t>
      </w:r>
      <w:r w:rsidRPr="002C5A78">
        <w:rPr>
          <w:rStyle w:val="TextoNormalCaracter"/>
        </w:rPr>
        <w:t>-</w:t>
      </w:r>
      <w:r>
        <w:t xml:space="preserve"> Sentencias </w:t>
      </w:r>
      <w:hyperlink w:anchor="SENTENCIA_2021_21" w:history="1">
        <w:r w:rsidRPr="002C5A78">
          <w:rPr>
            <w:rStyle w:val="TextoNormalCaracter"/>
          </w:rPr>
          <w:t>21/2021</w:t>
        </w:r>
      </w:hyperlink>
      <w:r>
        <w:t xml:space="preserve">, f. 2; </w:t>
      </w:r>
      <w:hyperlink w:anchor="SENTENCIA_2021_42" w:history="1">
        <w:r w:rsidRPr="002C5A78">
          <w:rPr>
            <w:rStyle w:val="TextoNormalCaracter"/>
          </w:rPr>
          <w:t>42/2021</w:t>
        </w:r>
      </w:hyperlink>
      <w:r>
        <w:t>, f. 1.</w:t>
      </w:r>
    </w:p>
    <w:p w:rsidR="002C5A78" w:rsidRDefault="002C5A78" w:rsidP="002C5A78">
      <w:pPr>
        <w:pStyle w:val="SangriaFrancesaArticulo"/>
      </w:pPr>
      <w:r w:rsidRPr="002C5A78">
        <w:rPr>
          <w:rStyle w:val="TextoNormalNegritaCaracter"/>
        </w:rPr>
        <w:t>Artículo 44.1 a).</w:t>
      </w:r>
      <w:r w:rsidRPr="002C5A78">
        <w:rPr>
          <w:rStyle w:val="TextoNormalCaracter"/>
        </w:rPr>
        <w:t>-</w:t>
      </w:r>
      <w:r>
        <w:t xml:space="preserve"> Sentencias </w:t>
      </w:r>
      <w:hyperlink w:anchor="SENTENCIA_2021_5" w:history="1">
        <w:r w:rsidRPr="002C5A78">
          <w:rPr>
            <w:rStyle w:val="TextoNormalCaracter"/>
          </w:rPr>
          <w:t>5/2021</w:t>
        </w:r>
      </w:hyperlink>
      <w:r>
        <w:t xml:space="preserve">, f. 2; </w:t>
      </w:r>
      <w:hyperlink w:anchor="SENTENCIA_2021_28" w:history="1">
        <w:r w:rsidRPr="002C5A78">
          <w:rPr>
            <w:rStyle w:val="TextoNormalCaracter"/>
          </w:rPr>
          <w:t>28/2021</w:t>
        </w:r>
      </w:hyperlink>
      <w:r>
        <w:t xml:space="preserve">, f. único; </w:t>
      </w:r>
      <w:hyperlink w:anchor="SENTENCIA_2021_34" w:history="1">
        <w:r w:rsidRPr="002C5A78">
          <w:rPr>
            <w:rStyle w:val="TextoNormalCaracter"/>
          </w:rPr>
          <w:t>34/2021</w:t>
        </w:r>
      </w:hyperlink>
      <w:r>
        <w:t xml:space="preserve">, ff. 1, 2; </w:t>
      </w:r>
      <w:hyperlink w:anchor="SENTENCIA_2021_35" w:history="1">
        <w:r w:rsidRPr="002C5A78">
          <w:rPr>
            <w:rStyle w:val="TextoNormalCaracter"/>
          </w:rPr>
          <w:t>35/2021</w:t>
        </w:r>
      </w:hyperlink>
      <w:r>
        <w:t xml:space="preserve">, f. 1; </w:t>
      </w:r>
      <w:hyperlink w:anchor="SENTENCIA_2021_52" w:history="1">
        <w:r w:rsidRPr="002C5A78">
          <w:rPr>
            <w:rStyle w:val="TextoNormalCaracter"/>
          </w:rPr>
          <w:t>52/2021</w:t>
        </w:r>
      </w:hyperlink>
      <w:r>
        <w:t xml:space="preserve">, f. 2; </w:t>
      </w:r>
      <w:hyperlink w:anchor="SENTENCIA_2021_58" w:history="1">
        <w:r w:rsidRPr="002C5A78">
          <w:rPr>
            <w:rStyle w:val="TextoNormalCaracter"/>
          </w:rPr>
          <w:t>58/2021</w:t>
        </w:r>
      </w:hyperlink>
      <w:r>
        <w:t xml:space="preserve">, f. único; </w:t>
      </w:r>
      <w:hyperlink w:anchor="SENTENCIA_2021_59" w:history="1">
        <w:r w:rsidRPr="002C5A78">
          <w:rPr>
            <w:rStyle w:val="TextoNormalCaracter"/>
          </w:rPr>
          <w:t>59/2021</w:t>
        </w:r>
      </w:hyperlink>
      <w:r>
        <w:t xml:space="preserve">, f. único; </w:t>
      </w:r>
      <w:hyperlink w:anchor="SENTENCIA_2021_63" w:history="1">
        <w:r w:rsidRPr="002C5A78">
          <w:rPr>
            <w:rStyle w:val="TextoNormalCaracter"/>
          </w:rPr>
          <w:t>63/2021</w:t>
        </w:r>
      </w:hyperlink>
      <w:r>
        <w:t xml:space="preserve">, f. 2; </w:t>
      </w:r>
      <w:hyperlink w:anchor="SENTENCIA_2021_70" w:history="1">
        <w:r w:rsidRPr="002C5A78">
          <w:rPr>
            <w:rStyle w:val="TextoNormalCaracter"/>
          </w:rPr>
          <w:t>70/2021</w:t>
        </w:r>
      </w:hyperlink>
      <w:r>
        <w:t xml:space="preserve">, ff. 1, 2; </w:t>
      </w:r>
      <w:hyperlink w:anchor="SENTENCIA_2021_71" w:history="1">
        <w:r w:rsidRPr="002C5A78">
          <w:rPr>
            <w:rStyle w:val="TextoNormalCaracter"/>
          </w:rPr>
          <w:t>71/2021</w:t>
        </w:r>
      </w:hyperlink>
      <w:r>
        <w:t xml:space="preserve">, ff. 1, 2; </w:t>
      </w:r>
      <w:hyperlink w:anchor="SENTENCIA_2021_73" w:history="1">
        <w:r w:rsidRPr="002C5A78">
          <w:rPr>
            <w:rStyle w:val="TextoNormalCaracter"/>
          </w:rPr>
          <w:t>73/2021</w:t>
        </w:r>
      </w:hyperlink>
      <w:r>
        <w:t xml:space="preserve">, f. 2; </w:t>
      </w:r>
      <w:hyperlink w:anchor="SENTENCIA_2021_78" w:history="1">
        <w:r w:rsidRPr="002C5A78">
          <w:rPr>
            <w:rStyle w:val="TextoNormalCaracter"/>
          </w:rPr>
          <w:t>78/2021</w:t>
        </w:r>
      </w:hyperlink>
      <w:r>
        <w:t xml:space="preserve">, f. 2; </w:t>
      </w:r>
      <w:hyperlink w:anchor="SENTENCIA_2021_85" w:history="1">
        <w:r w:rsidRPr="002C5A78">
          <w:rPr>
            <w:rStyle w:val="TextoNormalCaracter"/>
          </w:rPr>
          <w:t>85/2021</w:t>
        </w:r>
      </w:hyperlink>
      <w:r>
        <w:t xml:space="preserve">, f. único; </w:t>
      </w:r>
      <w:hyperlink w:anchor="SENTENCIA_2021_91" w:history="1">
        <w:r w:rsidRPr="002C5A78">
          <w:rPr>
            <w:rStyle w:val="TextoNormalCaracter"/>
          </w:rPr>
          <w:t>91/2021</w:t>
        </w:r>
      </w:hyperlink>
      <w:r>
        <w:t xml:space="preserve">, f. 8; </w:t>
      </w:r>
      <w:hyperlink w:anchor="SENTENCIA_2021_100" w:history="1">
        <w:r w:rsidRPr="002C5A78">
          <w:rPr>
            <w:rStyle w:val="TextoNormalCaracter"/>
          </w:rPr>
          <w:t>100/2021</w:t>
        </w:r>
      </w:hyperlink>
      <w:r>
        <w:t xml:space="preserve">, f. único; </w:t>
      </w:r>
      <w:hyperlink w:anchor="SENTENCIA_2021_104" w:history="1">
        <w:r w:rsidRPr="002C5A78">
          <w:rPr>
            <w:rStyle w:val="TextoNormalCaracter"/>
          </w:rPr>
          <w:t>104/2021</w:t>
        </w:r>
      </w:hyperlink>
      <w:r>
        <w:t xml:space="preserve">, ff. 2, 3; </w:t>
      </w:r>
      <w:hyperlink w:anchor="SENTENCIA_2021_106" w:history="1">
        <w:r w:rsidRPr="002C5A78">
          <w:rPr>
            <w:rStyle w:val="TextoNormalCaracter"/>
          </w:rPr>
          <w:t>106/2021</w:t>
        </w:r>
      </w:hyperlink>
      <w:r>
        <w:t xml:space="preserve">, f. 8; </w:t>
      </w:r>
      <w:hyperlink w:anchor="SENTENCIA_2021_107" w:history="1">
        <w:r w:rsidRPr="002C5A78">
          <w:rPr>
            <w:rStyle w:val="TextoNormalCaracter"/>
          </w:rPr>
          <w:t>107/2021</w:t>
        </w:r>
      </w:hyperlink>
      <w:r>
        <w:t xml:space="preserve">, ff. 1, 2; </w:t>
      </w:r>
      <w:hyperlink w:anchor="SENTENCIA_2021_115" w:history="1">
        <w:r w:rsidRPr="002C5A78">
          <w:rPr>
            <w:rStyle w:val="TextoNormalCaracter"/>
          </w:rPr>
          <w:t>115/2021</w:t>
        </w:r>
      </w:hyperlink>
      <w:r>
        <w:t xml:space="preserve">, f. 2; </w:t>
      </w:r>
      <w:hyperlink w:anchor="SENTENCIA_2021_117" w:history="1">
        <w:r w:rsidRPr="002C5A78">
          <w:rPr>
            <w:rStyle w:val="TextoNormalCaracter"/>
          </w:rPr>
          <w:t>117/2021</w:t>
        </w:r>
      </w:hyperlink>
      <w:r>
        <w:t xml:space="preserve">, f. 2; </w:t>
      </w:r>
      <w:hyperlink w:anchor="SENTENCIA_2021_120" w:history="1">
        <w:r w:rsidRPr="002C5A78">
          <w:rPr>
            <w:rStyle w:val="TextoNormalCaracter"/>
          </w:rPr>
          <w:t>120/2021</w:t>
        </w:r>
      </w:hyperlink>
      <w:r>
        <w:t xml:space="preserve">, f. 2; </w:t>
      </w:r>
      <w:hyperlink w:anchor="SENTENCIA_2021_121" w:history="1">
        <w:r w:rsidRPr="002C5A78">
          <w:rPr>
            <w:rStyle w:val="TextoNormalCaracter"/>
          </w:rPr>
          <w:t>121/2021</w:t>
        </w:r>
      </w:hyperlink>
      <w:r>
        <w:t>, ff. 6, 9.</w:t>
      </w:r>
    </w:p>
    <w:p w:rsidR="002C5A78" w:rsidRDefault="002C5A78" w:rsidP="002C5A78">
      <w:pPr>
        <w:pStyle w:val="SangriaIzquierdaArticulo"/>
      </w:pPr>
      <w:r>
        <w:t xml:space="preserve">Autos </w:t>
      </w:r>
      <w:hyperlink w:anchor="AUTO_2021_54" w:history="1">
        <w:r w:rsidRPr="002C5A78">
          <w:rPr>
            <w:rStyle w:val="TextoNormalCaracter"/>
          </w:rPr>
          <w:t>54/2021</w:t>
        </w:r>
      </w:hyperlink>
      <w:r>
        <w:t xml:space="preserve">, f. 1; </w:t>
      </w:r>
      <w:hyperlink w:anchor="AUTO_2021_60" w:history="1">
        <w:r w:rsidRPr="002C5A78">
          <w:rPr>
            <w:rStyle w:val="TextoNormalCaracter"/>
          </w:rPr>
          <w:t>60/2021</w:t>
        </w:r>
      </w:hyperlink>
      <w:r>
        <w:t xml:space="preserve">, f. único; </w:t>
      </w:r>
      <w:hyperlink w:anchor="AUTO_2021_70" w:history="1">
        <w:r w:rsidRPr="002C5A78">
          <w:rPr>
            <w:rStyle w:val="TextoNormalCaracter"/>
          </w:rPr>
          <w:t>70/2021</w:t>
        </w:r>
      </w:hyperlink>
      <w:r>
        <w:t>, f. único.</w:t>
      </w:r>
    </w:p>
    <w:p w:rsidR="002C5A78" w:rsidRDefault="002C5A78" w:rsidP="002C5A78">
      <w:pPr>
        <w:pStyle w:val="SangriaFrancesaArticulo"/>
      </w:pPr>
      <w:r w:rsidRPr="002C5A78">
        <w:rPr>
          <w:rStyle w:val="TextoNormalNegritaCaracter"/>
        </w:rPr>
        <w:t>Artículo 44.1 b).</w:t>
      </w:r>
      <w:r w:rsidRPr="002C5A78">
        <w:rPr>
          <w:rStyle w:val="TextoNormalCaracter"/>
        </w:rPr>
        <w:t>-</w:t>
      </w:r>
      <w:r>
        <w:t xml:space="preserve"> Sentencias </w:t>
      </w:r>
      <w:hyperlink w:anchor="SENTENCIA_2021_5" w:history="1">
        <w:r w:rsidRPr="002C5A78">
          <w:rPr>
            <w:rStyle w:val="TextoNormalCaracter"/>
          </w:rPr>
          <w:t>5/2021</w:t>
        </w:r>
      </w:hyperlink>
      <w:r>
        <w:t xml:space="preserve">, f. 3; </w:t>
      </w:r>
      <w:hyperlink w:anchor="SENTENCIA_2021_21" w:history="1">
        <w:r w:rsidRPr="002C5A78">
          <w:rPr>
            <w:rStyle w:val="TextoNormalCaracter"/>
          </w:rPr>
          <w:t>21/2021</w:t>
        </w:r>
      </w:hyperlink>
      <w:r>
        <w:t xml:space="preserve">, f. 2; </w:t>
      </w:r>
      <w:hyperlink w:anchor="SENTENCIA_2021_51" w:history="1">
        <w:r w:rsidRPr="002C5A78">
          <w:rPr>
            <w:rStyle w:val="TextoNormalCaracter"/>
          </w:rPr>
          <w:t>51/2021</w:t>
        </w:r>
      </w:hyperlink>
      <w:r>
        <w:t xml:space="preserve">, f. 2; </w:t>
      </w:r>
      <w:hyperlink w:anchor="SENTENCIA_2021_93" w:history="1">
        <w:r w:rsidRPr="002C5A78">
          <w:rPr>
            <w:rStyle w:val="TextoNormalCaracter"/>
          </w:rPr>
          <w:t>93/2021</w:t>
        </w:r>
      </w:hyperlink>
      <w:r>
        <w:t>, f. 3.</w:t>
      </w:r>
    </w:p>
    <w:p w:rsidR="002C5A78" w:rsidRDefault="002C5A78" w:rsidP="002C5A78">
      <w:pPr>
        <w:pStyle w:val="SangriaFrancesaArticulo"/>
      </w:pPr>
      <w:r w:rsidRPr="002C5A78">
        <w:rPr>
          <w:rStyle w:val="TextoNormalNegritaCaracter"/>
        </w:rPr>
        <w:t>Artículo 44.1 c).</w:t>
      </w:r>
      <w:r w:rsidRPr="002C5A78">
        <w:rPr>
          <w:rStyle w:val="TextoNormalCaracter"/>
        </w:rPr>
        <w:t>-</w:t>
      </w:r>
      <w:r>
        <w:t xml:space="preserve"> Sentencias </w:t>
      </w:r>
      <w:hyperlink w:anchor="SENTENCIA_2021_21" w:history="1">
        <w:r w:rsidRPr="002C5A78">
          <w:rPr>
            <w:rStyle w:val="TextoNormalCaracter"/>
          </w:rPr>
          <w:t>21/2021</w:t>
        </w:r>
      </w:hyperlink>
      <w:r>
        <w:t xml:space="preserve">, f. 2; </w:t>
      </w:r>
      <w:hyperlink w:anchor="SENTENCIA_2021_22" w:history="1">
        <w:r w:rsidRPr="002C5A78">
          <w:rPr>
            <w:rStyle w:val="TextoNormalCaracter"/>
          </w:rPr>
          <w:t>22/2021</w:t>
        </w:r>
      </w:hyperlink>
      <w:r>
        <w:t xml:space="preserve">, f. 4; </w:t>
      </w:r>
      <w:hyperlink w:anchor="SENTENCIA_2021_35" w:history="1">
        <w:r w:rsidRPr="002C5A78">
          <w:rPr>
            <w:rStyle w:val="TextoNormalCaracter"/>
          </w:rPr>
          <w:t>35/2021</w:t>
        </w:r>
      </w:hyperlink>
      <w:r>
        <w:t xml:space="preserve">, f. 1;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07" w:history="1">
        <w:r w:rsidRPr="002C5A78">
          <w:rPr>
            <w:rStyle w:val="TextoNormalCaracter"/>
          </w:rPr>
          <w:t>107/2021</w:t>
        </w:r>
      </w:hyperlink>
      <w:r>
        <w:t xml:space="preserve">, f. 2; </w:t>
      </w:r>
      <w:hyperlink w:anchor="SENTENCIA_2021_120" w:history="1">
        <w:r w:rsidRPr="002C5A78">
          <w:rPr>
            <w:rStyle w:val="TextoNormalCaracter"/>
          </w:rPr>
          <w:t>120/2021</w:t>
        </w:r>
      </w:hyperlink>
      <w:r>
        <w:t xml:space="preserve">, f. 2;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Artículo 44.2.</w:t>
      </w:r>
      <w:r w:rsidRPr="002C5A78">
        <w:rPr>
          <w:rStyle w:val="TextoNormalCaracter"/>
        </w:rPr>
        <w:t>-</w:t>
      </w:r>
      <w:r>
        <w:t xml:space="preserve"> Sentencias </w:t>
      </w:r>
      <w:hyperlink w:anchor="SENTENCIA_2021_65" w:history="1">
        <w:r w:rsidRPr="002C5A78">
          <w:rPr>
            <w:rStyle w:val="TextoNormalCaracter"/>
          </w:rPr>
          <w:t>65/2021</w:t>
        </w:r>
      </w:hyperlink>
      <w:r>
        <w:t xml:space="preserve">, f. 2; </w:t>
      </w:r>
      <w:hyperlink w:anchor="SENTENCIA_2021_73" w:history="1">
        <w:r w:rsidRPr="002C5A78">
          <w:rPr>
            <w:rStyle w:val="TextoNormalCaracter"/>
          </w:rPr>
          <w:t>73/2021</w:t>
        </w:r>
      </w:hyperlink>
      <w:r>
        <w:t xml:space="preserve">, f. 2; </w:t>
      </w:r>
      <w:hyperlink w:anchor="SENTENCIA_2021_78" w:history="1">
        <w:r w:rsidRPr="002C5A78">
          <w:rPr>
            <w:rStyle w:val="TextoNormalCaracter"/>
          </w:rPr>
          <w:t>78/2021</w:t>
        </w:r>
      </w:hyperlink>
      <w:r>
        <w:t xml:space="preserve">, f. 2; </w:t>
      </w:r>
      <w:hyperlink w:anchor="SENTENCIA_2021_83" w:history="1">
        <w:r w:rsidRPr="002C5A78">
          <w:rPr>
            <w:rStyle w:val="TextoNormalCaracter"/>
          </w:rPr>
          <w:t>83/2021</w:t>
        </w:r>
      </w:hyperlink>
      <w:r>
        <w:t xml:space="preserve">, f. único; </w:t>
      </w:r>
      <w:hyperlink w:anchor="SENTENCIA_2021_98" w:history="1">
        <w:r w:rsidRPr="002C5A78">
          <w:rPr>
            <w:rStyle w:val="TextoNormalCaracter"/>
          </w:rPr>
          <w:t>98/2021</w:t>
        </w:r>
      </w:hyperlink>
      <w:r>
        <w:t>, f. 2.</w:t>
      </w:r>
    </w:p>
    <w:p w:rsidR="002C5A78" w:rsidRDefault="002C5A78" w:rsidP="002C5A78">
      <w:pPr>
        <w:pStyle w:val="SangriaIzquierdaArticulo"/>
      </w:pPr>
      <w:r>
        <w:t xml:space="preserve">Autos </w:t>
      </w:r>
      <w:hyperlink w:anchor="AUTO_2021_7" w:history="1">
        <w:r w:rsidRPr="002C5A78">
          <w:rPr>
            <w:rStyle w:val="TextoNormalCaracter"/>
          </w:rPr>
          <w:t>7/2021</w:t>
        </w:r>
      </w:hyperlink>
      <w:r>
        <w:t xml:space="preserve">, f. único; </w:t>
      </w:r>
      <w:hyperlink w:anchor="AUTO_2021_16" w:history="1">
        <w:r w:rsidRPr="002C5A78">
          <w:rPr>
            <w:rStyle w:val="TextoNormalCaracter"/>
          </w:rPr>
          <w:t>16/2021</w:t>
        </w:r>
      </w:hyperlink>
      <w:r>
        <w:t xml:space="preserve">, f. 2; </w:t>
      </w:r>
      <w:hyperlink w:anchor="AUTO_2021_45" w:history="1">
        <w:r w:rsidRPr="002C5A78">
          <w:rPr>
            <w:rStyle w:val="TextoNormalCaracter"/>
          </w:rPr>
          <w:t>45/2021</w:t>
        </w:r>
      </w:hyperlink>
      <w:r>
        <w:t xml:space="preserve">, f. 1; </w:t>
      </w:r>
      <w:hyperlink w:anchor="AUTO_2021_61" w:history="1">
        <w:r w:rsidRPr="002C5A78">
          <w:rPr>
            <w:rStyle w:val="TextoNormalCaracter"/>
          </w:rPr>
          <w:t>61/2021</w:t>
        </w:r>
      </w:hyperlink>
      <w:r>
        <w:t xml:space="preserve">, f. único; </w:t>
      </w:r>
      <w:hyperlink w:anchor="AUTO_2021_64" w:history="1">
        <w:r w:rsidRPr="002C5A78">
          <w:rPr>
            <w:rStyle w:val="TextoNormalCaracter"/>
          </w:rPr>
          <w:t>64/2021</w:t>
        </w:r>
      </w:hyperlink>
      <w:r>
        <w:t>, f. único.</w:t>
      </w:r>
    </w:p>
    <w:p w:rsidR="002C5A78" w:rsidRDefault="002C5A78" w:rsidP="002C5A78">
      <w:pPr>
        <w:pStyle w:val="SangriaFrancesaArticulo"/>
      </w:pPr>
      <w:r w:rsidRPr="002C5A78">
        <w:rPr>
          <w:rStyle w:val="TextoNormalNegritaCaracter"/>
        </w:rPr>
        <w:t>Artículo 46.1 a).</w:t>
      </w:r>
      <w:r w:rsidRPr="002C5A78">
        <w:rPr>
          <w:rStyle w:val="TextoNormalCaracter"/>
        </w:rPr>
        <w:t>-</w:t>
      </w:r>
      <w:r>
        <w:t xml:space="preserve"> Sentencia </w:t>
      </w:r>
      <w:hyperlink w:anchor="SENTENCIA_2021_137" w:history="1">
        <w:r w:rsidRPr="002C5A78">
          <w:rPr>
            <w:rStyle w:val="TextoNormalCaracter"/>
          </w:rPr>
          <w:t>137/2021</w:t>
        </w:r>
      </w:hyperlink>
      <w:r>
        <w:t>, f. 2.</w:t>
      </w:r>
    </w:p>
    <w:p w:rsidR="002C5A78" w:rsidRDefault="002C5A78" w:rsidP="002C5A78">
      <w:pPr>
        <w:pStyle w:val="SangriaFrancesaArticulo"/>
      </w:pPr>
      <w:r w:rsidRPr="002C5A78">
        <w:rPr>
          <w:rStyle w:val="TextoNormalNegritaCaracter"/>
        </w:rPr>
        <w:t>Artículo 49.</w:t>
      </w:r>
      <w:r w:rsidRPr="002C5A78">
        <w:rPr>
          <w:rStyle w:val="TextoNormalCaracter"/>
        </w:rPr>
        <w:t>-</w:t>
      </w:r>
      <w:r>
        <w:t xml:space="preserve"> Autos </w:t>
      </w:r>
      <w:hyperlink w:anchor="AUTO_2021_16" w:history="1">
        <w:r w:rsidRPr="002C5A78">
          <w:rPr>
            <w:rStyle w:val="TextoNormalCaracter"/>
          </w:rPr>
          <w:t>16/2021</w:t>
        </w:r>
      </w:hyperlink>
      <w:r>
        <w:t xml:space="preserve">, f. 2; </w:t>
      </w:r>
      <w:hyperlink w:anchor="AUTO_2021_45" w:history="1">
        <w:r w:rsidRPr="002C5A78">
          <w:rPr>
            <w:rStyle w:val="TextoNormalCaracter"/>
          </w:rPr>
          <w:t>45/2021</w:t>
        </w:r>
      </w:hyperlink>
      <w:r>
        <w:t>, f. 2.</w:t>
      </w:r>
    </w:p>
    <w:p w:rsidR="002C5A78" w:rsidRDefault="002C5A78" w:rsidP="002C5A78">
      <w:pPr>
        <w:pStyle w:val="SangriaFrancesaArticulo"/>
      </w:pPr>
      <w:r w:rsidRPr="002C5A78">
        <w:rPr>
          <w:rStyle w:val="TextoNormalNegritaCaracter"/>
        </w:rPr>
        <w:t>Artículo 49.1.</w:t>
      </w:r>
      <w:r w:rsidRPr="002C5A78">
        <w:rPr>
          <w:rStyle w:val="TextoNormalCaracter"/>
        </w:rPr>
        <w:t>-</w:t>
      </w:r>
      <w:r>
        <w:t xml:space="preserve"> Sentencias </w:t>
      </w:r>
      <w:hyperlink w:anchor="SENTENCIA_2021_5" w:history="1">
        <w:r w:rsidRPr="002C5A78">
          <w:rPr>
            <w:rStyle w:val="TextoNormalCaracter"/>
          </w:rPr>
          <w:t>5/2021</w:t>
        </w:r>
      </w:hyperlink>
      <w:r>
        <w:t xml:space="preserve">, f. 2; </w:t>
      </w:r>
      <w:hyperlink w:anchor="SENTENCIA_2021_18" w:history="1">
        <w:r w:rsidRPr="002C5A78">
          <w:rPr>
            <w:rStyle w:val="TextoNormalCaracter"/>
          </w:rPr>
          <w:t>18/2021</w:t>
        </w:r>
      </w:hyperlink>
      <w:r>
        <w:t xml:space="preserve">, f. 2; </w:t>
      </w:r>
      <w:hyperlink w:anchor="SENTENCIA_2021_22" w:history="1">
        <w:r w:rsidRPr="002C5A78">
          <w:rPr>
            <w:rStyle w:val="TextoNormalCaracter"/>
          </w:rPr>
          <w:t>22/2021</w:t>
        </w:r>
      </w:hyperlink>
      <w:r>
        <w:t xml:space="preserve">, f. 2; </w:t>
      </w:r>
      <w:hyperlink w:anchor="SENTENCIA_2021_33" w:history="1">
        <w:r w:rsidRPr="002C5A78">
          <w:rPr>
            <w:rStyle w:val="TextoNormalCaracter"/>
          </w:rPr>
          <w:t>33/2021</w:t>
        </w:r>
      </w:hyperlink>
      <w:r>
        <w:t xml:space="preserve">, f. 2; </w:t>
      </w:r>
      <w:hyperlink w:anchor="SENTENCIA_2021_65" w:history="1">
        <w:r w:rsidRPr="002C5A78">
          <w:rPr>
            <w:rStyle w:val="TextoNormalCaracter"/>
          </w:rPr>
          <w:t>65/2021</w:t>
        </w:r>
      </w:hyperlink>
      <w:r>
        <w:t xml:space="preserve">, f. 2; </w:t>
      </w:r>
      <w:hyperlink w:anchor="SENTENCIA_2021_91" w:history="1">
        <w:r w:rsidRPr="002C5A78">
          <w:rPr>
            <w:rStyle w:val="TextoNormalCaracter"/>
          </w:rPr>
          <w:t>91/2021</w:t>
        </w:r>
      </w:hyperlink>
      <w:r>
        <w:t xml:space="preserve">, f. 2; </w:t>
      </w:r>
      <w:hyperlink w:anchor="SENTENCIA_2021_104" w:history="1">
        <w:r w:rsidRPr="002C5A78">
          <w:rPr>
            <w:rStyle w:val="TextoNormalCaracter"/>
          </w:rPr>
          <w:t>104/2021</w:t>
        </w:r>
      </w:hyperlink>
      <w:r>
        <w:t xml:space="preserve">, f. 2; </w:t>
      </w:r>
      <w:hyperlink w:anchor="SENTENCIA_2021_106" w:history="1">
        <w:r w:rsidRPr="002C5A78">
          <w:rPr>
            <w:rStyle w:val="TextoNormalCaracter"/>
          </w:rPr>
          <w:t>106/2021</w:t>
        </w:r>
      </w:hyperlink>
      <w:r>
        <w:t xml:space="preserve">, f. 2; </w:t>
      </w:r>
      <w:hyperlink w:anchor="SENTENCIA_2021_121" w:history="1">
        <w:r w:rsidRPr="002C5A78">
          <w:rPr>
            <w:rStyle w:val="TextoNormalCaracter"/>
          </w:rPr>
          <w:t>121/2021</w:t>
        </w:r>
      </w:hyperlink>
      <w:r>
        <w:t xml:space="preserve">, f. 2;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xml:space="preserve">Artículo 49.1 </w:t>
      </w:r>
      <w:r w:rsidRPr="002C5A78">
        <w:rPr>
          <w:rStyle w:val="TextoNormalNegritaCursivaCaracter"/>
        </w:rPr>
        <w:t>in fine</w:t>
      </w:r>
      <w:r w:rsidRPr="002C5A78">
        <w:rPr>
          <w:rStyle w:val="TextoNormalNegritaCaracter"/>
        </w:rPr>
        <w:t>.</w:t>
      </w:r>
      <w:r w:rsidRPr="002C5A78">
        <w:rPr>
          <w:rStyle w:val="TextoNormalCaracter"/>
        </w:rPr>
        <w:t>-</w:t>
      </w:r>
      <w:r>
        <w:t xml:space="preserve"> Sentencias </w:t>
      </w:r>
      <w:hyperlink w:anchor="SENTENCIA_2021_64" w:history="1">
        <w:r w:rsidRPr="002C5A78">
          <w:rPr>
            <w:rStyle w:val="TextoNormalCaracter"/>
          </w:rPr>
          <w:t>64/2021</w:t>
        </w:r>
      </w:hyperlink>
      <w:r>
        <w:t xml:space="preserve">, f. 2; </w:t>
      </w:r>
      <w:hyperlink w:anchor="SENTENCIA_2021_91" w:history="1">
        <w:r w:rsidRPr="002C5A78">
          <w:rPr>
            <w:rStyle w:val="TextoNormalCaracter"/>
          </w:rPr>
          <w:t>91/2021</w:t>
        </w:r>
      </w:hyperlink>
      <w:r>
        <w:t xml:space="preserve">, f. 2; </w:t>
      </w:r>
      <w:hyperlink w:anchor="SENTENCIA_2021_106" w:history="1">
        <w:r w:rsidRPr="002C5A78">
          <w:rPr>
            <w:rStyle w:val="TextoNormalCaracter"/>
          </w:rPr>
          <w:t>106/2021</w:t>
        </w:r>
      </w:hyperlink>
      <w:r>
        <w:t xml:space="preserve">, f. 2; </w:t>
      </w:r>
      <w:hyperlink w:anchor="SENTENCIA_2021_121" w:history="1">
        <w:r w:rsidRPr="002C5A78">
          <w:rPr>
            <w:rStyle w:val="TextoNormalCaracter"/>
          </w:rPr>
          <w:t>121/2021</w:t>
        </w:r>
      </w:hyperlink>
      <w:r>
        <w:t xml:space="preserve">, f. 2; </w:t>
      </w:r>
      <w:hyperlink w:anchor="SENTENCIA_2021_122" w:history="1">
        <w:r w:rsidRPr="002C5A78">
          <w:rPr>
            <w:rStyle w:val="TextoNormalCaracter"/>
          </w:rPr>
          <w:t>122/2021</w:t>
        </w:r>
      </w:hyperlink>
      <w:r>
        <w:t>, f. 2.</w:t>
      </w:r>
    </w:p>
    <w:p w:rsidR="002C5A78" w:rsidRDefault="002C5A78" w:rsidP="002C5A78">
      <w:pPr>
        <w:pStyle w:val="SangriaIzquierdaArticulo"/>
      </w:pPr>
      <w:r>
        <w:t xml:space="preserve">Auto </w:t>
      </w:r>
      <w:hyperlink w:anchor="AUTO_2021_36" w:history="1">
        <w:r w:rsidRPr="002C5A78">
          <w:rPr>
            <w:rStyle w:val="TextoNormalCaracter"/>
          </w:rPr>
          <w:t>36/2021</w:t>
        </w:r>
      </w:hyperlink>
      <w:r>
        <w:t>, f. único.</w:t>
      </w:r>
    </w:p>
    <w:p w:rsidR="002C5A78" w:rsidRDefault="002C5A78" w:rsidP="002C5A78">
      <w:pPr>
        <w:pStyle w:val="SangriaFrancesaArticulo"/>
      </w:pPr>
      <w:r w:rsidRPr="002C5A78">
        <w:rPr>
          <w:rStyle w:val="TextoNormalNegritaCaracter"/>
        </w:rPr>
        <w:t>Artículo 49.2.</w:t>
      </w:r>
      <w:r w:rsidRPr="002C5A78">
        <w:rPr>
          <w:rStyle w:val="TextoNormalCaracter"/>
        </w:rPr>
        <w:t>-</w:t>
      </w:r>
      <w:r>
        <w:t xml:space="preserve"> Sentencia </w:t>
      </w:r>
      <w:hyperlink w:anchor="SENTENCIA_2021_53" w:history="1">
        <w:r w:rsidRPr="002C5A78">
          <w:rPr>
            <w:rStyle w:val="TextoNormalCaracter"/>
          </w:rPr>
          <w:t>53/2021</w:t>
        </w:r>
      </w:hyperlink>
      <w:r>
        <w:t>, f. 2.</w:t>
      </w:r>
    </w:p>
    <w:p w:rsidR="002C5A78" w:rsidRDefault="002C5A78" w:rsidP="002C5A78">
      <w:pPr>
        <w:pStyle w:val="SangriaFrancesaArticulo"/>
      </w:pPr>
      <w:r w:rsidRPr="002C5A78">
        <w:rPr>
          <w:rStyle w:val="TextoNormalNegritaCaracter"/>
        </w:rPr>
        <w:t>Artículo 49.4.</w:t>
      </w:r>
      <w:r w:rsidRPr="002C5A78">
        <w:rPr>
          <w:rStyle w:val="TextoNormalCaracter"/>
        </w:rPr>
        <w:t>-</w:t>
      </w:r>
      <w:r>
        <w:t xml:space="preserve"> Autos </w:t>
      </w:r>
      <w:hyperlink w:anchor="AUTO_2021_16" w:history="1">
        <w:r w:rsidRPr="002C5A78">
          <w:rPr>
            <w:rStyle w:val="TextoNormalCaracter"/>
          </w:rPr>
          <w:t>16/2021</w:t>
        </w:r>
      </w:hyperlink>
      <w:r>
        <w:t xml:space="preserve">, f. 2; </w:t>
      </w:r>
      <w:hyperlink w:anchor="AUTO_2021_43" w:history="1">
        <w:r w:rsidRPr="002C5A78">
          <w:rPr>
            <w:rStyle w:val="TextoNormalCaracter"/>
          </w:rPr>
          <w:t>43/2021</w:t>
        </w:r>
      </w:hyperlink>
      <w:r>
        <w:t>, f. 2.</w:t>
      </w:r>
    </w:p>
    <w:p w:rsidR="002C5A78" w:rsidRDefault="002C5A78" w:rsidP="002C5A78">
      <w:pPr>
        <w:pStyle w:val="SangriaFrancesaArticulo"/>
      </w:pPr>
      <w:r w:rsidRPr="002C5A78">
        <w:rPr>
          <w:rStyle w:val="TextoNormalNegritaCaracter"/>
        </w:rPr>
        <w:t>Artículo 50.</w:t>
      </w:r>
      <w:r w:rsidRPr="002C5A78">
        <w:rPr>
          <w:rStyle w:val="TextoNormalCaracter"/>
        </w:rPr>
        <w:t>-</w:t>
      </w:r>
      <w:r>
        <w:t xml:space="preserve"> Autos </w:t>
      </w:r>
      <w:hyperlink w:anchor="AUTO_2021_16" w:history="1">
        <w:r w:rsidRPr="002C5A78">
          <w:rPr>
            <w:rStyle w:val="TextoNormalCaracter"/>
          </w:rPr>
          <w:t>16/2021</w:t>
        </w:r>
      </w:hyperlink>
      <w:r>
        <w:t xml:space="preserve">, f. 2; </w:t>
      </w:r>
      <w:hyperlink w:anchor="AUTO_2021_61" w:history="1">
        <w:r w:rsidRPr="002C5A78">
          <w:rPr>
            <w:rStyle w:val="TextoNormalCaracter"/>
          </w:rPr>
          <w:t>61/2021</w:t>
        </w:r>
      </w:hyperlink>
      <w:r>
        <w:t>, f. único.</w:t>
      </w:r>
    </w:p>
    <w:p w:rsidR="002C5A78" w:rsidRDefault="002C5A78" w:rsidP="002C5A78">
      <w:pPr>
        <w:pStyle w:val="SangriaFrancesaArticulo"/>
      </w:pPr>
      <w:r w:rsidRPr="002C5A78">
        <w:rPr>
          <w:rStyle w:val="TextoNormalNegritaCaracter"/>
        </w:rPr>
        <w:t>Artículo 50.1.</w:t>
      </w:r>
      <w:r w:rsidRPr="002C5A78">
        <w:rPr>
          <w:rStyle w:val="TextoNormalCaracter"/>
        </w:rPr>
        <w:t>-</w:t>
      </w:r>
      <w:r>
        <w:t xml:space="preserve"> Sentencias </w:t>
      </w:r>
      <w:hyperlink w:anchor="SENTENCIA_2021_5" w:history="1">
        <w:r w:rsidRPr="002C5A78">
          <w:rPr>
            <w:rStyle w:val="TextoNormalCaracter"/>
          </w:rPr>
          <w:t>5/2021</w:t>
        </w:r>
      </w:hyperlink>
      <w:r>
        <w:t xml:space="preserve">, f. 2; </w:t>
      </w:r>
      <w:hyperlink w:anchor="SENTENCIA_2021_18" w:history="1">
        <w:r w:rsidRPr="002C5A78">
          <w:rPr>
            <w:rStyle w:val="TextoNormalCaracter"/>
          </w:rPr>
          <w:t>18/2021</w:t>
        </w:r>
      </w:hyperlink>
      <w:r>
        <w:t xml:space="preserve">, f. 2; </w:t>
      </w:r>
      <w:hyperlink w:anchor="SENTENCIA_2021_34" w:history="1">
        <w:r w:rsidRPr="002C5A78">
          <w:rPr>
            <w:rStyle w:val="TextoNormalCaracter"/>
          </w:rPr>
          <w:t>34/2021</w:t>
        </w:r>
      </w:hyperlink>
      <w:r>
        <w:t xml:space="preserve">, f. 2; </w:t>
      </w:r>
      <w:hyperlink w:anchor="SENTENCIA_2021_51" w:history="1">
        <w:r w:rsidRPr="002C5A78">
          <w:rPr>
            <w:rStyle w:val="TextoNormalCaracter"/>
          </w:rPr>
          <w:t>51/2021</w:t>
        </w:r>
      </w:hyperlink>
      <w:r>
        <w:t xml:space="preserve">, f. 2; </w:t>
      </w:r>
      <w:hyperlink w:anchor="SENTENCIA_2021_65" w:history="1">
        <w:r w:rsidRPr="002C5A78">
          <w:rPr>
            <w:rStyle w:val="TextoNormalCaracter"/>
          </w:rPr>
          <w:t>65/2021</w:t>
        </w:r>
      </w:hyperlink>
      <w:r>
        <w:t xml:space="preserve">, f. 2; </w:t>
      </w:r>
      <w:hyperlink w:anchor="SENTENCIA_2021_71" w:history="1">
        <w:r w:rsidRPr="002C5A78">
          <w:rPr>
            <w:rStyle w:val="TextoNormalCaracter"/>
          </w:rPr>
          <w:t>71/2021</w:t>
        </w:r>
      </w:hyperlink>
      <w:r>
        <w:t xml:space="preserve">, f. 2; </w:t>
      </w:r>
      <w:hyperlink w:anchor="SENTENCIA_2021_78" w:history="1">
        <w:r w:rsidRPr="002C5A78">
          <w:rPr>
            <w:rStyle w:val="TextoNormalCaracter"/>
          </w:rPr>
          <w:t>78/2021</w:t>
        </w:r>
      </w:hyperlink>
      <w:r>
        <w:t xml:space="preserve">, f. 3; </w:t>
      </w:r>
      <w:hyperlink w:anchor="SENTENCIA_2021_99" w:history="1">
        <w:r w:rsidRPr="002C5A78">
          <w:rPr>
            <w:rStyle w:val="TextoNormalCaracter"/>
          </w:rPr>
          <w:t>99/2021</w:t>
        </w:r>
      </w:hyperlink>
      <w:r>
        <w:t xml:space="preserve">, f. 2; </w:t>
      </w:r>
      <w:hyperlink w:anchor="SENTENCIA_2021_104" w:history="1">
        <w:r w:rsidRPr="002C5A78">
          <w:rPr>
            <w:rStyle w:val="TextoNormalCaracter"/>
          </w:rPr>
          <w:t>104/2021</w:t>
        </w:r>
      </w:hyperlink>
      <w:r>
        <w:t>, f. 2.</w:t>
      </w:r>
    </w:p>
    <w:p w:rsidR="002C5A78" w:rsidRDefault="002C5A78" w:rsidP="002C5A78">
      <w:pPr>
        <w:pStyle w:val="SangriaIzquierdaArticulo"/>
      </w:pPr>
      <w:r>
        <w:t xml:space="preserve">Auto </w:t>
      </w:r>
      <w:hyperlink w:anchor="AUTO_2021_23" w:history="1">
        <w:r w:rsidRPr="002C5A78">
          <w:rPr>
            <w:rStyle w:val="TextoNormalCaracter"/>
          </w:rPr>
          <w:t>23/2021</w:t>
        </w:r>
      </w:hyperlink>
      <w:r>
        <w:t>, f. único.</w:t>
      </w:r>
    </w:p>
    <w:p w:rsidR="002C5A78" w:rsidRDefault="002C5A78" w:rsidP="002C5A78">
      <w:pPr>
        <w:pStyle w:val="SangriaFrancesaArticulo"/>
      </w:pPr>
      <w:r w:rsidRPr="002C5A78">
        <w:rPr>
          <w:rStyle w:val="TextoNormalNegritaCaracter"/>
        </w:rPr>
        <w:t>Artículo 50.1 a).</w:t>
      </w:r>
      <w:r w:rsidRPr="002C5A78">
        <w:rPr>
          <w:rStyle w:val="TextoNormalCaracter"/>
        </w:rPr>
        <w:t>-</w:t>
      </w:r>
      <w:r>
        <w:t xml:space="preserve"> Sentencias </w:t>
      </w:r>
      <w:hyperlink w:anchor="SENTENCIA_2021_33" w:history="1">
        <w:r w:rsidRPr="002C5A78">
          <w:rPr>
            <w:rStyle w:val="TextoNormalCaracter"/>
          </w:rPr>
          <w:t>33/2021</w:t>
        </w:r>
      </w:hyperlink>
      <w:r>
        <w:t xml:space="preserve">, f. 2; </w:t>
      </w:r>
      <w:hyperlink w:anchor="SENTENCIA_2021_63" w:history="1">
        <w:r w:rsidRPr="002C5A78">
          <w:rPr>
            <w:rStyle w:val="TextoNormalCaracter"/>
          </w:rPr>
          <w:t>63/2021</w:t>
        </w:r>
      </w:hyperlink>
      <w:r>
        <w:t xml:space="preserve">, f. 2; </w:t>
      </w:r>
      <w:hyperlink w:anchor="SENTENCIA_2021_91" w:history="1">
        <w:r w:rsidRPr="002C5A78">
          <w:rPr>
            <w:rStyle w:val="TextoNormalCaracter"/>
          </w:rPr>
          <w:t>91/2021</w:t>
        </w:r>
      </w:hyperlink>
      <w:r>
        <w:t xml:space="preserve">, f. 5; </w:t>
      </w:r>
      <w:hyperlink w:anchor="SENTENCIA_2021_104" w:history="1">
        <w:r w:rsidRPr="002C5A78">
          <w:rPr>
            <w:rStyle w:val="TextoNormalCaracter"/>
          </w:rPr>
          <w:t>104/2021</w:t>
        </w:r>
      </w:hyperlink>
      <w:r>
        <w:t xml:space="preserve">, f. 2; </w:t>
      </w:r>
      <w:hyperlink w:anchor="SENTENCIA_2021_106" w:history="1">
        <w:r w:rsidRPr="002C5A78">
          <w:rPr>
            <w:rStyle w:val="TextoNormalCaracter"/>
          </w:rPr>
          <w:t>106/2021</w:t>
        </w:r>
      </w:hyperlink>
      <w:r>
        <w:t xml:space="preserve">, f. 5; </w:t>
      </w:r>
      <w:hyperlink w:anchor="SENTENCIA_2021_107" w:history="1">
        <w:r w:rsidRPr="002C5A78">
          <w:rPr>
            <w:rStyle w:val="TextoNormalCaracter"/>
          </w:rPr>
          <w:t>107/2021</w:t>
        </w:r>
      </w:hyperlink>
      <w:r>
        <w:t xml:space="preserve">, ff. 1, 2;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IzquierdaArticulo"/>
      </w:pPr>
      <w:r>
        <w:t xml:space="preserve">Autos </w:t>
      </w:r>
      <w:hyperlink w:anchor="AUTO_2021_36" w:history="1">
        <w:r w:rsidRPr="002C5A78">
          <w:rPr>
            <w:rStyle w:val="TextoNormalCaracter"/>
          </w:rPr>
          <w:t>36/2021</w:t>
        </w:r>
      </w:hyperlink>
      <w:r>
        <w:t xml:space="preserve">, f. único; </w:t>
      </w:r>
      <w:hyperlink w:anchor="AUTO_2021_45" w:history="1">
        <w:r w:rsidRPr="002C5A78">
          <w:rPr>
            <w:rStyle w:val="TextoNormalCaracter"/>
          </w:rPr>
          <w:t>45/2021</w:t>
        </w:r>
      </w:hyperlink>
      <w:r>
        <w:t xml:space="preserve">, ff. 1, 2; </w:t>
      </w:r>
      <w:hyperlink w:anchor="AUTO_2021_70" w:history="1">
        <w:r w:rsidRPr="002C5A78">
          <w:rPr>
            <w:rStyle w:val="TextoNormalCaracter"/>
          </w:rPr>
          <w:t>70/2021</w:t>
        </w:r>
      </w:hyperlink>
      <w:r>
        <w:t>, f. único.</w:t>
      </w:r>
    </w:p>
    <w:p w:rsidR="002C5A78" w:rsidRDefault="002C5A78" w:rsidP="002C5A78">
      <w:pPr>
        <w:pStyle w:val="SangriaFrancesaArticulo"/>
      </w:pPr>
      <w:r w:rsidRPr="002C5A78">
        <w:rPr>
          <w:rStyle w:val="TextoNormalNegritaCaracter"/>
        </w:rPr>
        <w:t>Artículo 50.1 b).</w:t>
      </w:r>
      <w:r w:rsidRPr="002C5A78">
        <w:rPr>
          <w:rStyle w:val="TextoNormalCaracter"/>
        </w:rPr>
        <w:t>-</w:t>
      </w:r>
      <w:r>
        <w:t xml:space="preserve"> Sentencias </w:t>
      </w:r>
      <w:hyperlink w:anchor="SENTENCIA_2021_5" w:history="1">
        <w:r w:rsidRPr="002C5A78">
          <w:rPr>
            <w:rStyle w:val="TextoNormalCaracter"/>
          </w:rPr>
          <w:t>5/2021</w:t>
        </w:r>
      </w:hyperlink>
      <w:r>
        <w:t xml:space="preserve">, f. 2; </w:t>
      </w:r>
      <w:hyperlink w:anchor="SENTENCIA_2021_18" w:history="1">
        <w:r w:rsidRPr="002C5A78">
          <w:rPr>
            <w:rStyle w:val="TextoNormalCaracter"/>
          </w:rPr>
          <w:t>18/2021</w:t>
        </w:r>
      </w:hyperlink>
      <w:r>
        <w:t xml:space="preserve">, f. 2; </w:t>
      </w:r>
      <w:hyperlink w:anchor="SENTENCIA_2021_22" w:history="1">
        <w:r w:rsidRPr="002C5A78">
          <w:rPr>
            <w:rStyle w:val="TextoNormalCaracter"/>
          </w:rPr>
          <w:t>22/2021</w:t>
        </w:r>
      </w:hyperlink>
      <w:r>
        <w:t xml:space="preserve">, f. 2; </w:t>
      </w:r>
      <w:hyperlink w:anchor="SENTENCIA_2021_33" w:history="1">
        <w:r w:rsidRPr="002C5A78">
          <w:rPr>
            <w:rStyle w:val="TextoNormalCaracter"/>
          </w:rPr>
          <w:t>33/2021</w:t>
        </w:r>
      </w:hyperlink>
      <w:r>
        <w:t xml:space="preserve">, f. 2; </w:t>
      </w:r>
      <w:hyperlink w:anchor="SENTENCIA_2021_34" w:history="1">
        <w:r w:rsidRPr="002C5A78">
          <w:rPr>
            <w:rStyle w:val="TextoNormalCaracter"/>
          </w:rPr>
          <w:t>34/2021</w:t>
        </w:r>
      </w:hyperlink>
      <w:r>
        <w:t xml:space="preserve">, f. 2; </w:t>
      </w:r>
      <w:hyperlink w:anchor="SENTENCIA_2021_53" w:history="1">
        <w:r w:rsidRPr="002C5A78">
          <w:rPr>
            <w:rStyle w:val="TextoNormalCaracter"/>
          </w:rPr>
          <w:t>53/2021</w:t>
        </w:r>
      </w:hyperlink>
      <w:r>
        <w:t xml:space="preserve">, f. 2; </w:t>
      </w:r>
      <w:hyperlink w:anchor="SENTENCIA_2021_64" w:history="1">
        <w:r w:rsidRPr="002C5A78">
          <w:rPr>
            <w:rStyle w:val="TextoNormalCaracter"/>
          </w:rPr>
          <w:t>64/2021</w:t>
        </w:r>
      </w:hyperlink>
      <w:r>
        <w:t xml:space="preserve">, f. 2; </w:t>
      </w:r>
      <w:hyperlink w:anchor="SENTENCIA_2021_67" w:history="1">
        <w:r w:rsidRPr="002C5A78">
          <w:rPr>
            <w:rStyle w:val="TextoNormalCaracter"/>
          </w:rPr>
          <w:t>67/2021</w:t>
        </w:r>
      </w:hyperlink>
      <w:r>
        <w:t xml:space="preserve">, f. 2; </w:t>
      </w:r>
      <w:hyperlink w:anchor="SENTENCIA_2021_91" w:history="1">
        <w:r w:rsidRPr="002C5A78">
          <w:rPr>
            <w:rStyle w:val="TextoNormalCaracter"/>
          </w:rPr>
          <w:t>91/2021</w:t>
        </w:r>
      </w:hyperlink>
      <w:r>
        <w:t xml:space="preserve">, f. 2; </w:t>
      </w:r>
      <w:hyperlink w:anchor="SENTENCIA_2021_104" w:history="1">
        <w:r w:rsidRPr="002C5A78">
          <w:rPr>
            <w:rStyle w:val="TextoNormalCaracter"/>
          </w:rPr>
          <w:t>104/2021</w:t>
        </w:r>
      </w:hyperlink>
      <w:r>
        <w:t xml:space="preserve">, f. 2; </w:t>
      </w:r>
      <w:hyperlink w:anchor="SENTENCIA_2021_106" w:history="1">
        <w:r w:rsidRPr="002C5A78">
          <w:rPr>
            <w:rStyle w:val="TextoNormalCaracter"/>
          </w:rPr>
          <w:t>106/2021</w:t>
        </w:r>
      </w:hyperlink>
      <w:r>
        <w:t xml:space="preserve">, f. 2; </w:t>
      </w:r>
      <w:hyperlink w:anchor="SENTENCIA_2021_121" w:history="1">
        <w:r w:rsidRPr="002C5A78">
          <w:rPr>
            <w:rStyle w:val="TextoNormalCaracter"/>
          </w:rPr>
          <w:t>121/2021</w:t>
        </w:r>
      </w:hyperlink>
      <w:r>
        <w:t xml:space="preserve">, f. 2; </w:t>
      </w:r>
      <w:hyperlink w:anchor="SENTENCIA_2021_122" w:history="1">
        <w:r w:rsidRPr="002C5A78">
          <w:rPr>
            <w:rStyle w:val="TextoNormalCaracter"/>
          </w:rPr>
          <w:t>122/2021</w:t>
        </w:r>
      </w:hyperlink>
      <w:r>
        <w:t>, f. 2.</w:t>
      </w:r>
    </w:p>
    <w:p w:rsidR="002C5A78" w:rsidRDefault="002C5A78" w:rsidP="002C5A78">
      <w:pPr>
        <w:pStyle w:val="SangriaIzquierdaArticulo"/>
      </w:pPr>
      <w:r>
        <w:t xml:space="preserve">Autos </w:t>
      </w:r>
      <w:hyperlink w:anchor="AUTO_2021_23" w:history="1">
        <w:r w:rsidRPr="002C5A78">
          <w:rPr>
            <w:rStyle w:val="TextoNormalCaracter"/>
          </w:rPr>
          <w:t>23/2021</w:t>
        </w:r>
      </w:hyperlink>
      <w:r>
        <w:t xml:space="preserve">, f. único; </w:t>
      </w:r>
      <w:hyperlink w:anchor="AUTO_2021_35" w:history="1">
        <w:r w:rsidRPr="002C5A78">
          <w:rPr>
            <w:rStyle w:val="TextoNormalCaracter"/>
          </w:rPr>
          <w:t>35/2021</w:t>
        </w:r>
      </w:hyperlink>
      <w:r>
        <w:t xml:space="preserve">, ff. 1, 2; </w:t>
      </w:r>
      <w:hyperlink w:anchor="AUTO_2021_36" w:history="1">
        <w:r w:rsidRPr="002C5A78">
          <w:rPr>
            <w:rStyle w:val="TextoNormalCaracter"/>
          </w:rPr>
          <w:t>36/2021</w:t>
        </w:r>
      </w:hyperlink>
      <w:r>
        <w:t xml:space="preserve">, f. único; </w:t>
      </w:r>
      <w:hyperlink w:anchor="AUTO_2021_45" w:history="1">
        <w:r w:rsidRPr="002C5A78">
          <w:rPr>
            <w:rStyle w:val="TextoNormalCaracter"/>
          </w:rPr>
          <w:t>45/2021</w:t>
        </w:r>
      </w:hyperlink>
      <w:r>
        <w:t>, f. 2.</w:t>
      </w:r>
    </w:p>
    <w:p w:rsidR="002C5A78" w:rsidRDefault="002C5A78" w:rsidP="002C5A78">
      <w:pPr>
        <w:pStyle w:val="SangriaFrancesaArticulo"/>
      </w:pPr>
      <w:r w:rsidRPr="002C5A78">
        <w:rPr>
          <w:rStyle w:val="TextoNormalNegritaCaracter"/>
        </w:rPr>
        <w:t>Artículo 50.1 b)</w:t>
      </w:r>
      <w:r>
        <w:t xml:space="preserve"> (redactado por la Ley Orgánica 6/2007, de 24 de mayo)</w:t>
      </w:r>
      <w:r w:rsidRPr="002C5A78">
        <w:rPr>
          <w:rStyle w:val="TextoNormalNegritaCaracter"/>
        </w:rPr>
        <w:t>.</w:t>
      </w:r>
      <w:r w:rsidRPr="002C5A78">
        <w:rPr>
          <w:rStyle w:val="TextoNormalCaracter"/>
        </w:rPr>
        <w:t>-</w:t>
      </w:r>
      <w:r>
        <w:t xml:space="preserve"> Sentencias </w:t>
      </w:r>
      <w:hyperlink w:anchor="SENTENCIA_2021_35" w:history="1">
        <w:r w:rsidRPr="002C5A78">
          <w:rPr>
            <w:rStyle w:val="TextoNormalCaracter"/>
          </w:rPr>
          <w:t>35/2021</w:t>
        </w:r>
      </w:hyperlink>
      <w:r>
        <w:t xml:space="preserve">, f. 1; </w:t>
      </w:r>
      <w:hyperlink w:anchor="SENTENCIA_2021_61" w:history="1">
        <w:r w:rsidRPr="002C5A78">
          <w:rPr>
            <w:rStyle w:val="TextoNormalCaracter"/>
          </w:rPr>
          <w:t>61/2021</w:t>
        </w:r>
      </w:hyperlink>
      <w:r>
        <w:t>, f. 2.</w:t>
      </w:r>
    </w:p>
    <w:p w:rsidR="002C5A78" w:rsidRDefault="002C5A78" w:rsidP="002C5A78">
      <w:pPr>
        <w:pStyle w:val="SangriaFrancesaArticulo"/>
      </w:pPr>
      <w:r w:rsidRPr="002C5A78">
        <w:rPr>
          <w:rStyle w:val="TextoNormalNegritaCaracter"/>
        </w:rPr>
        <w:t>Artículo 50.3.</w:t>
      </w:r>
      <w:r w:rsidRPr="002C5A78">
        <w:rPr>
          <w:rStyle w:val="TextoNormalCaracter"/>
        </w:rPr>
        <w:t>-</w:t>
      </w:r>
      <w:r>
        <w:t xml:space="preserve"> Autos </w:t>
      </w:r>
      <w:hyperlink w:anchor="AUTO_2021_16" w:history="1">
        <w:r w:rsidRPr="002C5A78">
          <w:rPr>
            <w:rStyle w:val="TextoNormalCaracter"/>
          </w:rPr>
          <w:t>16/2021</w:t>
        </w:r>
      </w:hyperlink>
      <w:r>
        <w:t xml:space="preserve">, f. 2; </w:t>
      </w:r>
      <w:hyperlink w:anchor="AUTO_2021_54" w:history="1">
        <w:r w:rsidRPr="002C5A78">
          <w:rPr>
            <w:rStyle w:val="TextoNormalCaracter"/>
          </w:rPr>
          <w:t>54/2021</w:t>
        </w:r>
      </w:hyperlink>
      <w:r>
        <w:t>, f. 1.</w:t>
      </w:r>
    </w:p>
    <w:p w:rsidR="002C5A78" w:rsidRDefault="002C5A78" w:rsidP="002C5A78">
      <w:pPr>
        <w:pStyle w:val="SangriaFrancesaArticulo"/>
      </w:pPr>
      <w:r w:rsidRPr="002C5A78">
        <w:rPr>
          <w:rStyle w:val="TextoNormalNegritaCaracter"/>
        </w:rPr>
        <w:t>Artículo 50.4.</w:t>
      </w:r>
      <w:r w:rsidRPr="002C5A78">
        <w:rPr>
          <w:rStyle w:val="TextoNormalCaracter"/>
        </w:rPr>
        <w:t>-</w:t>
      </w:r>
      <w:r>
        <w:t xml:space="preserve"> Auto </w:t>
      </w:r>
      <w:hyperlink w:anchor="AUTO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51.1.</w:t>
      </w:r>
      <w:r w:rsidRPr="002C5A78">
        <w:rPr>
          <w:rStyle w:val="TextoNormalCaracter"/>
        </w:rPr>
        <w:t>-</w:t>
      </w:r>
      <w:r>
        <w:t xml:space="preserve"> Auto </w:t>
      </w:r>
      <w:hyperlink w:anchor="AUTO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Sentencias </w:t>
      </w:r>
      <w:hyperlink w:anchor="SENTENCIA_2021_35" w:history="1">
        <w:r w:rsidRPr="002C5A78">
          <w:rPr>
            <w:rStyle w:val="TextoNormalCaracter"/>
          </w:rPr>
          <w:t>35/2021</w:t>
        </w:r>
      </w:hyperlink>
      <w:r>
        <w:t xml:space="preserve">, f. 1; </w:t>
      </w:r>
      <w:hyperlink w:anchor="SENTENCIA_2021_52" w:history="1">
        <w:r w:rsidRPr="002C5A78">
          <w:rPr>
            <w:rStyle w:val="TextoNormalCaracter"/>
          </w:rPr>
          <w:t>52/2021</w:t>
        </w:r>
      </w:hyperlink>
      <w:r>
        <w:t xml:space="preserve">, f. 2; </w:t>
      </w:r>
      <w:hyperlink w:anchor="SENTENCIA_2021_56" w:history="1">
        <w:r w:rsidRPr="002C5A78">
          <w:rPr>
            <w:rStyle w:val="TextoNormalCaracter"/>
          </w:rPr>
          <w:t>56/2021</w:t>
        </w:r>
      </w:hyperlink>
      <w:r>
        <w:t xml:space="preserve">, f. 1; </w:t>
      </w:r>
      <w:hyperlink w:anchor="SENTENCIA_2021_80" w:history="1">
        <w:r w:rsidRPr="002C5A78">
          <w:rPr>
            <w:rStyle w:val="TextoNormalCaracter"/>
          </w:rPr>
          <w:t>80/2021</w:t>
        </w:r>
      </w:hyperlink>
      <w:r>
        <w:t>, ff. 1, 5.</w:t>
      </w:r>
    </w:p>
    <w:p w:rsidR="002C5A78" w:rsidRDefault="002C5A78" w:rsidP="002C5A78">
      <w:pPr>
        <w:pStyle w:val="SangriaFrancesaArticulo"/>
      </w:pPr>
      <w:r w:rsidRPr="002C5A78">
        <w:rPr>
          <w:rStyle w:val="TextoNormalNegritaCaracter"/>
        </w:rPr>
        <w:t>Artículo 52.1.</w:t>
      </w:r>
      <w:r w:rsidRPr="002C5A78">
        <w:rPr>
          <w:rStyle w:val="TextoNormalCaracter"/>
        </w:rPr>
        <w:t>-</w:t>
      </w:r>
      <w:r>
        <w:t xml:space="preserve"> Sentencias </w:t>
      </w:r>
      <w:hyperlink w:anchor="SENTENCIA_2021_22" w:history="1">
        <w:r w:rsidRPr="002C5A78">
          <w:rPr>
            <w:rStyle w:val="TextoNormalCaracter"/>
          </w:rPr>
          <w:t>22/2021</w:t>
        </w:r>
      </w:hyperlink>
      <w:r>
        <w:t xml:space="preserve">, f. 1; </w:t>
      </w:r>
      <w:hyperlink w:anchor="SENTENCIA_2021_80" w:history="1">
        <w:r w:rsidRPr="002C5A78">
          <w:rPr>
            <w:rStyle w:val="TextoNormalCaracter"/>
          </w:rPr>
          <w:t>80/2021</w:t>
        </w:r>
      </w:hyperlink>
      <w:r>
        <w:t>, f. 1.</w:t>
      </w:r>
    </w:p>
    <w:p w:rsidR="002C5A78" w:rsidRDefault="002C5A78" w:rsidP="002C5A78">
      <w:pPr>
        <w:pStyle w:val="SangriaFrancesaArticulo"/>
      </w:pPr>
      <w:r w:rsidRPr="002C5A78">
        <w:rPr>
          <w:rStyle w:val="TextoNormalNegritaCaracter"/>
        </w:rPr>
        <w:t>Artículo 52.2.</w:t>
      </w:r>
      <w:r w:rsidRPr="002C5A78">
        <w:rPr>
          <w:rStyle w:val="TextoNormalCaracter"/>
        </w:rPr>
        <w:t>-</w:t>
      </w:r>
      <w:r>
        <w:t xml:space="preserve"> Autos </w:t>
      </w:r>
      <w:hyperlink w:anchor="AUTO_2021_3" w:history="1">
        <w:r w:rsidRPr="002C5A78">
          <w:rPr>
            <w:rStyle w:val="TextoNormalCaracter"/>
          </w:rPr>
          <w:t>3/2021</w:t>
        </w:r>
      </w:hyperlink>
      <w:r>
        <w:t xml:space="preserve">, f. 2; </w:t>
      </w:r>
      <w:hyperlink w:anchor="AUTO_2021_4" w:history="1">
        <w:r w:rsidRPr="002C5A78">
          <w:rPr>
            <w:rStyle w:val="TextoNormalCaracter"/>
          </w:rPr>
          <w:t>4/2021</w:t>
        </w:r>
      </w:hyperlink>
      <w:r>
        <w:t xml:space="preserve">, f. 2; </w:t>
      </w:r>
      <w:hyperlink w:anchor="AUTO_2021_11" w:history="1">
        <w:r w:rsidRPr="002C5A78">
          <w:rPr>
            <w:rStyle w:val="TextoNormalCaracter"/>
          </w:rPr>
          <w:t>11/2021</w:t>
        </w:r>
      </w:hyperlink>
      <w:r>
        <w:t xml:space="preserve">, f. 2; </w:t>
      </w:r>
      <w:hyperlink w:anchor="AUTO_2021_12" w:history="1">
        <w:r w:rsidRPr="002C5A78">
          <w:rPr>
            <w:rStyle w:val="TextoNormalCaracter"/>
          </w:rPr>
          <w:t>12/2021</w:t>
        </w:r>
      </w:hyperlink>
      <w:r>
        <w:t xml:space="preserve">, f. 2; </w:t>
      </w:r>
      <w:hyperlink w:anchor="AUTO_2021_14" w:history="1">
        <w:r w:rsidRPr="002C5A78">
          <w:rPr>
            <w:rStyle w:val="TextoNormalCaracter"/>
          </w:rPr>
          <w:t>14/2021</w:t>
        </w:r>
      </w:hyperlink>
      <w:r>
        <w:t xml:space="preserve">, f. 1; </w:t>
      </w:r>
      <w:hyperlink w:anchor="AUTO_2021_66" w:history="1">
        <w:r w:rsidRPr="002C5A78">
          <w:rPr>
            <w:rStyle w:val="TextoNormalCaracter"/>
          </w:rPr>
          <w:t>66/2021</w:t>
        </w:r>
      </w:hyperlink>
      <w:r>
        <w:t>, f. 2.</w:t>
      </w:r>
    </w:p>
    <w:p w:rsidR="002C5A78" w:rsidRDefault="002C5A78" w:rsidP="002C5A78">
      <w:pPr>
        <w:pStyle w:val="SangriaFrancesaArticulo"/>
      </w:pPr>
      <w:r w:rsidRPr="002C5A78">
        <w:rPr>
          <w:rStyle w:val="TextoNormalNegritaCaracter"/>
        </w:rPr>
        <w:t>Artículo 52.2</w:t>
      </w:r>
      <w:r>
        <w:t xml:space="preserve"> (redactado por la Ley Orgánica 6/2007, de 24 de mayo)</w:t>
      </w:r>
      <w:r w:rsidRPr="002C5A78">
        <w:rPr>
          <w:rStyle w:val="TextoNormalNegritaCaracter"/>
        </w:rPr>
        <w:t>.</w:t>
      </w:r>
      <w:r w:rsidRPr="002C5A78">
        <w:rPr>
          <w:rStyle w:val="TextoNormalCaracter"/>
        </w:rPr>
        <w:t>-</w:t>
      </w:r>
      <w:r>
        <w:t xml:space="preserve"> Autos </w:t>
      </w:r>
      <w:hyperlink w:anchor="AUTO_2021_1" w:history="1">
        <w:r w:rsidRPr="002C5A78">
          <w:rPr>
            <w:rStyle w:val="TextoNormalCaracter"/>
          </w:rPr>
          <w:t>1/2021</w:t>
        </w:r>
      </w:hyperlink>
      <w:r>
        <w:t xml:space="preserve">, f. 2; </w:t>
      </w:r>
      <w:hyperlink w:anchor="AUTO_2021_2" w:history="1">
        <w:r w:rsidRPr="002C5A78">
          <w:rPr>
            <w:rStyle w:val="TextoNormalCaracter"/>
          </w:rPr>
          <w:t>2/2021</w:t>
        </w:r>
      </w:hyperlink>
      <w:r>
        <w:t>, f. 2.</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Sentencias </w:t>
      </w:r>
      <w:hyperlink w:anchor="SENTENCIA_2021_34" w:history="1">
        <w:r w:rsidRPr="002C5A78">
          <w:rPr>
            <w:rStyle w:val="TextoNormalCaracter"/>
          </w:rPr>
          <w:t>34/2021</w:t>
        </w:r>
      </w:hyperlink>
      <w:r>
        <w:t xml:space="preserve">, f. 2; </w:t>
      </w:r>
      <w:hyperlink w:anchor="SENTENCIA_2021_70" w:history="1">
        <w:r w:rsidRPr="002C5A78">
          <w:rPr>
            <w:rStyle w:val="TextoNormalCaracter"/>
          </w:rPr>
          <w:t>70/2021</w:t>
        </w:r>
      </w:hyperlink>
      <w:r>
        <w:t xml:space="preserve">, f. 2; </w:t>
      </w:r>
      <w:hyperlink w:anchor="SENTENCIA_2021_71" w:history="1">
        <w:r w:rsidRPr="002C5A78">
          <w:rPr>
            <w:rStyle w:val="TextoNormalCaracter"/>
          </w:rPr>
          <w:t>71/2021</w:t>
        </w:r>
      </w:hyperlink>
      <w:r>
        <w:t xml:space="preserve">, f. 2; </w:t>
      </w:r>
      <w:hyperlink w:anchor="SENTENCIA_2021_78" w:history="1">
        <w:r w:rsidRPr="002C5A78">
          <w:rPr>
            <w:rStyle w:val="TextoNormalCaracter"/>
          </w:rPr>
          <w:t>78/2021</w:t>
        </w:r>
      </w:hyperlink>
      <w:r>
        <w:t xml:space="preserve">, f. 2;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07" w:history="1">
        <w:r w:rsidRPr="002C5A78">
          <w:rPr>
            <w:rStyle w:val="TextoNormalCaracter"/>
          </w:rPr>
          <w:t>107/2021</w:t>
        </w:r>
      </w:hyperlink>
      <w:r>
        <w:t xml:space="preserve">, f. 2;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Artículo 53 a).</w:t>
      </w:r>
      <w:r w:rsidRPr="002C5A78">
        <w:rPr>
          <w:rStyle w:val="TextoNormalCaracter"/>
        </w:rPr>
        <w:t>-</w:t>
      </w:r>
      <w:r>
        <w:t xml:space="preserve"> Sentencia </w:t>
      </w:r>
      <w:hyperlink w:anchor="SENTENCIA_2021_80" w:history="1">
        <w:r w:rsidRPr="002C5A78">
          <w:rPr>
            <w:rStyle w:val="TextoNormalCaracter"/>
          </w:rPr>
          <w:t>80/2021</w:t>
        </w:r>
      </w:hyperlink>
      <w:r>
        <w:t>, f. 6.</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Sentencias </w:t>
      </w:r>
      <w:hyperlink w:anchor="SENTENCIA_2021_20" w:history="1">
        <w:r w:rsidRPr="002C5A78">
          <w:rPr>
            <w:rStyle w:val="TextoNormalCaracter"/>
          </w:rPr>
          <w:t>20/2021</w:t>
        </w:r>
      </w:hyperlink>
      <w:r>
        <w:t xml:space="preserve">, f. 3; </w:t>
      </w:r>
      <w:hyperlink w:anchor="SENTENCIA_2021_43" w:history="1">
        <w:r w:rsidRPr="002C5A78">
          <w:rPr>
            <w:rStyle w:val="TextoNormalCaracter"/>
          </w:rPr>
          <w:t>43/2021</w:t>
        </w:r>
      </w:hyperlink>
      <w:r>
        <w:t xml:space="preserve">, f. 4; </w:t>
      </w:r>
      <w:hyperlink w:anchor="SENTENCIA_2021_45" w:history="1">
        <w:r w:rsidRPr="002C5A78">
          <w:rPr>
            <w:rStyle w:val="TextoNormalCaracter"/>
          </w:rPr>
          <w:t>45/2021</w:t>
        </w:r>
      </w:hyperlink>
      <w:r>
        <w:t xml:space="preserve">, f. único; </w:t>
      </w:r>
      <w:hyperlink w:anchor="SENTENCIA_2021_48" w:history="1">
        <w:r w:rsidRPr="002C5A78">
          <w:rPr>
            <w:rStyle w:val="TextoNormalCaracter"/>
          </w:rPr>
          <w:t>48/2021</w:t>
        </w:r>
      </w:hyperlink>
      <w:r>
        <w:t xml:space="preserve">, f. 3; </w:t>
      </w:r>
      <w:hyperlink w:anchor="SENTENCIA_2021_56" w:history="1">
        <w:r w:rsidRPr="002C5A78">
          <w:rPr>
            <w:rStyle w:val="TextoNormalCaracter"/>
          </w:rPr>
          <w:t>56/2021</w:t>
        </w:r>
      </w:hyperlink>
      <w:r>
        <w:t xml:space="preserve">, f. 3; </w:t>
      </w:r>
      <w:hyperlink w:anchor="SENTENCIA_2021_62" w:history="1">
        <w:r w:rsidRPr="002C5A78">
          <w:rPr>
            <w:rStyle w:val="TextoNormalCaracter"/>
          </w:rPr>
          <w:t>62/2021</w:t>
        </w:r>
      </w:hyperlink>
      <w:r>
        <w:t xml:space="preserve">, f. 3; </w:t>
      </w:r>
      <w:hyperlink w:anchor="SENTENCIA_2021_63" w:history="1">
        <w:r w:rsidRPr="002C5A78">
          <w:rPr>
            <w:rStyle w:val="TextoNormalCaracter"/>
          </w:rPr>
          <w:t>63/2021</w:t>
        </w:r>
      </w:hyperlink>
      <w:r>
        <w:t xml:space="preserve">, f. 4; </w:t>
      </w:r>
      <w:hyperlink w:anchor="SENTENCIA_2021_84" w:history="1">
        <w:r w:rsidRPr="002C5A78">
          <w:rPr>
            <w:rStyle w:val="TextoNormalCaracter"/>
          </w:rPr>
          <w:t>84/2021</w:t>
        </w:r>
      </w:hyperlink>
      <w:r>
        <w:t xml:space="preserve">, f. único; </w:t>
      </w:r>
      <w:hyperlink w:anchor="SENTENCIA_2021_86" w:history="1">
        <w:r w:rsidRPr="002C5A78">
          <w:rPr>
            <w:rStyle w:val="TextoNormalCaracter"/>
          </w:rPr>
          <w:t>86/2021</w:t>
        </w:r>
      </w:hyperlink>
      <w:r>
        <w:t xml:space="preserve">, f. único; </w:t>
      </w:r>
      <w:hyperlink w:anchor="SENTENCIA_2021_94" w:history="1">
        <w:r w:rsidRPr="002C5A78">
          <w:rPr>
            <w:rStyle w:val="TextoNormalCaracter"/>
          </w:rPr>
          <w:t>94/2021</w:t>
        </w:r>
      </w:hyperlink>
      <w:r>
        <w:t xml:space="preserve">, f. 3; </w:t>
      </w:r>
      <w:hyperlink w:anchor="SENTENCIA_2021_117" w:history="1">
        <w:r w:rsidRPr="002C5A78">
          <w:rPr>
            <w:rStyle w:val="TextoNormalCaracter"/>
          </w:rPr>
          <w:t>117/2021</w:t>
        </w:r>
      </w:hyperlink>
      <w:r>
        <w:t xml:space="preserve">, f. 4; </w:t>
      </w:r>
      <w:hyperlink w:anchor="SENTENCIA_2021_118" w:history="1">
        <w:r w:rsidRPr="002C5A78">
          <w:rPr>
            <w:rStyle w:val="TextoNormalCaracter"/>
          </w:rPr>
          <w:t>118/2021</w:t>
        </w:r>
      </w:hyperlink>
      <w:r>
        <w:t>, f. 4.</w:t>
      </w:r>
    </w:p>
    <w:p w:rsidR="002C5A78" w:rsidRDefault="002C5A78" w:rsidP="002C5A78">
      <w:pPr>
        <w:pStyle w:val="SangriaIzquierdaArticulo"/>
      </w:pPr>
      <w:r>
        <w:t xml:space="preserve">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55.1.</w:t>
      </w:r>
      <w:r w:rsidRPr="002C5A78">
        <w:rPr>
          <w:rStyle w:val="TextoNormalCaracter"/>
        </w:rPr>
        <w:t>-</w:t>
      </w:r>
      <w:r>
        <w:t xml:space="preserve"> Sentencias </w:t>
      </w:r>
      <w:hyperlink w:anchor="SENTENCIA_2021_53" w:history="1">
        <w:r w:rsidRPr="002C5A78">
          <w:rPr>
            <w:rStyle w:val="TextoNormalCaracter"/>
          </w:rPr>
          <w:t>53/2021</w:t>
        </w:r>
      </w:hyperlink>
      <w:r>
        <w:t xml:space="preserve">, f. 6; </w:t>
      </w:r>
      <w:hyperlink w:anchor="SENTENCIA_2021_80" w:history="1">
        <w:r w:rsidRPr="002C5A78">
          <w:rPr>
            <w:rStyle w:val="TextoNormalCaracter"/>
          </w:rPr>
          <w:t>80/2021</w:t>
        </w:r>
      </w:hyperlink>
      <w:r>
        <w:t xml:space="preserve">, f. 6; </w:t>
      </w:r>
      <w:hyperlink w:anchor="SENTENCIA_2021_132" w:history="1">
        <w:r w:rsidRPr="002C5A78">
          <w:rPr>
            <w:rStyle w:val="TextoNormalCaracter"/>
          </w:rPr>
          <w:t>132/2021</w:t>
        </w:r>
      </w:hyperlink>
      <w:r>
        <w:t>, f. 5.</w:t>
      </w:r>
    </w:p>
    <w:p w:rsidR="002C5A78" w:rsidRDefault="002C5A78" w:rsidP="002C5A78">
      <w:pPr>
        <w:pStyle w:val="SangriaFrancesaArticulo"/>
      </w:pPr>
      <w:r w:rsidRPr="002C5A78">
        <w:rPr>
          <w:rStyle w:val="TextoNormalNegritaCaracter"/>
        </w:rPr>
        <w:t>Artículo 55.2.</w:t>
      </w:r>
      <w:r w:rsidRPr="002C5A78">
        <w:rPr>
          <w:rStyle w:val="TextoNormalCaracter"/>
        </w:rPr>
        <w:t>-</w:t>
      </w:r>
      <w:r>
        <w:t xml:space="preserve"> Sentencias </w:t>
      </w:r>
      <w:hyperlink w:anchor="SENTENCIA_2021_70" w:history="1">
        <w:r w:rsidRPr="002C5A78">
          <w:rPr>
            <w:rStyle w:val="TextoNormalCaracter"/>
          </w:rPr>
          <w:t>70/2021</w:t>
        </w:r>
      </w:hyperlink>
      <w:r>
        <w:t xml:space="preserve">, f. 6; </w:t>
      </w:r>
      <w:hyperlink w:anchor="SENTENCIA_2021_120" w:history="1">
        <w:r w:rsidRPr="002C5A78">
          <w:rPr>
            <w:rStyle w:val="TextoNormalCaracter"/>
          </w:rPr>
          <w:t>120/2021</w:t>
        </w:r>
      </w:hyperlink>
      <w:r>
        <w:t xml:space="preserve">, f. 3;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Autos </w:t>
      </w:r>
      <w:hyperlink w:anchor="AUTO_2021_1" w:history="1">
        <w:r w:rsidRPr="002C5A78">
          <w:rPr>
            <w:rStyle w:val="TextoNormalCaracter"/>
          </w:rPr>
          <w:t>1/2021</w:t>
        </w:r>
      </w:hyperlink>
      <w:r>
        <w:t xml:space="preserve">, f. 3; </w:t>
      </w:r>
      <w:hyperlink w:anchor="AUTO_2021_2" w:history="1">
        <w:r w:rsidRPr="002C5A78">
          <w:rPr>
            <w:rStyle w:val="TextoNormalCaracter"/>
          </w:rPr>
          <w:t>2/2021</w:t>
        </w:r>
      </w:hyperlink>
      <w:r>
        <w:t xml:space="preserve">, f. 3; </w:t>
      </w:r>
      <w:hyperlink w:anchor="AUTO_2021_3" w:history="1">
        <w:r w:rsidRPr="002C5A78">
          <w:rPr>
            <w:rStyle w:val="TextoNormalCaracter"/>
          </w:rPr>
          <w:t>3/2021</w:t>
        </w:r>
      </w:hyperlink>
      <w:r>
        <w:t xml:space="preserve">, f. 3; </w:t>
      </w:r>
      <w:hyperlink w:anchor="AUTO_2021_4" w:history="1">
        <w:r w:rsidRPr="002C5A78">
          <w:rPr>
            <w:rStyle w:val="TextoNormalCaracter"/>
          </w:rPr>
          <w:t>4/2021</w:t>
        </w:r>
      </w:hyperlink>
      <w:r>
        <w:t xml:space="preserve">, f. 3; </w:t>
      </w:r>
      <w:hyperlink w:anchor="AUTO_2021_10" w:history="1">
        <w:r w:rsidRPr="002C5A78">
          <w:rPr>
            <w:rStyle w:val="TextoNormalCaracter"/>
          </w:rPr>
          <w:t>10/2021</w:t>
        </w:r>
      </w:hyperlink>
      <w:r>
        <w:t xml:space="preserve">, f. 4; </w:t>
      </w:r>
      <w:hyperlink w:anchor="AUTO_2021_11" w:history="1">
        <w:r w:rsidRPr="002C5A78">
          <w:rPr>
            <w:rStyle w:val="TextoNormalCaracter"/>
          </w:rPr>
          <w:t>11/2021</w:t>
        </w:r>
      </w:hyperlink>
      <w:r>
        <w:t xml:space="preserve">, f. 3; </w:t>
      </w:r>
      <w:hyperlink w:anchor="AUTO_2021_12" w:history="1">
        <w:r w:rsidRPr="002C5A78">
          <w:rPr>
            <w:rStyle w:val="TextoNormalCaracter"/>
          </w:rPr>
          <w:t>12/2021</w:t>
        </w:r>
      </w:hyperlink>
      <w:r>
        <w:t xml:space="preserve">, f. 3; </w:t>
      </w:r>
      <w:hyperlink w:anchor="AUTO_2021_28" w:history="1">
        <w:r w:rsidRPr="002C5A78">
          <w:rPr>
            <w:rStyle w:val="TextoNormalCaracter"/>
          </w:rPr>
          <w:t>28/2021</w:t>
        </w:r>
      </w:hyperlink>
      <w:r>
        <w:t xml:space="preserve">, f. 1; </w:t>
      </w:r>
      <w:hyperlink w:anchor="AUTO_2021_42" w:history="1">
        <w:r w:rsidRPr="002C5A78">
          <w:rPr>
            <w:rStyle w:val="TextoNormalCaracter"/>
          </w:rPr>
          <w:t>42/2021</w:t>
        </w:r>
      </w:hyperlink>
      <w:r>
        <w:t xml:space="preserve">, ff. 1, 2; </w:t>
      </w:r>
      <w:hyperlink w:anchor="AUTO_2021_46" w:history="1">
        <w:r w:rsidRPr="002C5A78">
          <w:rPr>
            <w:rStyle w:val="TextoNormalCaracter"/>
          </w:rPr>
          <w:t>46/2021</w:t>
        </w:r>
      </w:hyperlink>
      <w:r>
        <w:t xml:space="preserve">, f. 1; </w:t>
      </w:r>
      <w:hyperlink w:anchor="AUTO_2021_66" w:history="1">
        <w:r w:rsidRPr="002C5A78">
          <w:rPr>
            <w:rStyle w:val="TextoNormalCaracter"/>
          </w:rPr>
          <w:t>66/2021</w:t>
        </w:r>
      </w:hyperlink>
      <w:r>
        <w:t>, f. 3.</w:t>
      </w:r>
    </w:p>
    <w:p w:rsidR="002C5A78" w:rsidRDefault="002C5A78" w:rsidP="002C5A78">
      <w:pPr>
        <w:pStyle w:val="SangriaFrancesaArticulo"/>
      </w:pPr>
      <w:r w:rsidRPr="002C5A78">
        <w:rPr>
          <w:rStyle w:val="TextoNormalNegritaCaracter"/>
        </w:rPr>
        <w:t>Artículo 56.1.</w:t>
      </w:r>
      <w:r w:rsidRPr="002C5A78">
        <w:rPr>
          <w:rStyle w:val="TextoNormalCaracter"/>
        </w:rPr>
        <w:t>-</w:t>
      </w:r>
      <w:r>
        <w:t xml:space="preserve"> Autos </w:t>
      </w:r>
      <w:hyperlink w:anchor="AUTO_2021_4" w:history="1">
        <w:r w:rsidRPr="002C5A78">
          <w:rPr>
            <w:rStyle w:val="TextoNormalCaracter"/>
          </w:rPr>
          <w:t>4/2021</w:t>
        </w:r>
      </w:hyperlink>
      <w:r>
        <w:t xml:space="preserve">, f. 2; </w:t>
      </w:r>
      <w:hyperlink w:anchor="AUTO_2021_10" w:history="1">
        <w:r w:rsidRPr="002C5A78">
          <w:rPr>
            <w:rStyle w:val="TextoNormalCaracter"/>
          </w:rPr>
          <w:t>10/2021</w:t>
        </w:r>
      </w:hyperlink>
      <w:r>
        <w:t xml:space="preserve">, f. 2; </w:t>
      </w:r>
      <w:hyperlink w:anchor="AUTO_2021_15" w:history="1">
        <w:r w:rsidRPr="002C5A78">
          <w:rPr>
            <w:rStyle w:val="TextoNormalCaracter"/>
          </w:rPr>
          <w:t>15/2021</w:t>
        </w:r>
      </w:hyperlink>
      <w:r>
        <w:t xml:space="preserve">, f. 1; </w:t>
      </w:r>
      <w:hyperlink w:anchor="AUTO_2021_28" w:history="1">
        <w:r w:rsidRPr="002C5A78">
          <w:rPr>
            <w:rStyle w:val="TextoNormalCaracter"/>
          </w:rPr>
          <w:t>28/2021</w:t>
        </w:r>
      </w:hyperlink>
      <w:r>
        <w:t xml:space="preserve">, f. 3; </w:t>
      </w:r>
      <w:hyperlink w:anchor="AUTO_2021_39" w:history="1">
        <w:r w:rsidRPr="002C5A78">
          <w:rPr>
            <w:rStyle w:val="TextoNormalCaracter"/>
          </w:rPr>
          <w:t>39/2021</w:t>
        </w:r>
      </w:hyperlink>
      <w:r>
        <w:t xml:space="preserve">, f. 2; </w:t>
      </w:r>
      <w:hyperlink w:anchor="AUTO_2021_40" w:history="1">
        <w:r w:rsidRPr="002C5A78">
          <w:rPr>
            <w:rStyle w:val="TextoNormalCaracter"/>
          </w:rPr>
          <w:t>40/2021</w:t>
        </w:r>
      </w:hyperlink>
      <w:r>
        <w:t xml:space="preserve">, f. 2; </w:t>
      </w:r>
      <w:hyperlink w:anchor="AUTO_2021_42" w:history="1">
        <w:r w:rsidRPr="002C5A78">
          <w:rPr>
            <w:rStyle w:val="TextoNormalCaracter"/>
          </w:rPr>
          <w:t>42/2021</w:t>
        </w:r>
      </w:hyperlink>
      <w:r>
        <w:t xml:space="preserve">, f. 1; </w:t>
      </w:r>
      <w:hyperlink w:anchor="AUTO_2021_46" w:history="1">
        <w:r w:rsidRPr="002C5A78">
          <w:rPr>
            <w:rStyle w:val="TextoNormalCaracter"/>
          </w:rPr>
          <w:t>46/2021</w:t>
        </w:r>
      </w:hyperlink>
      <w:r>
        <w:t xml:space="preserve">, f. 1; </w:t>
      </w:r>
      <w:hyperlink w:anchor="AUTO_2021_52" w:history="1">
        <w:r w:rsidRPr="002C5A78">
          <w:rPr>
            <w:rStyle w:val="TextoNormalCaracter"/>
          </w:rPr>
          <w:t>52/2021</w:t>
        </w:r>
      </w:hyperlink>
      <w:r>
        <w:t xml:space="preserve">, f. 1; </w:t>
      </w:r>
      <w:hyperlink w:anchor="AUTO_2021_55" w:history="1">
        <w:r w:rsidRPr="002C5A78">
          <w:rPr>
            <w:rStyle w:val="TextoNormalCaracter"/>
          </w:rPr>
          <w:t>55/2021</w:t>
        </w:r>
      </w:hyperlink>
      <w:r>
        <w:t xml:space="preserve">, f. 2; </w:t>
      </w:r>
      <w:hyperlink w:anchor="AUTO_2021_56" w:history="1">
        <w:r w:rsidRPr="002C5A78">
          <w:rPr>
            <w:rStyle w:val="TextoNormalCaracter"/>
          </w:rPr>
          <w:t>56/2021</w:t>
        </w:r>
      </w:hyperlink>
      <w:r>
        <w:t xml:space="preserve">, f. 3; </w:t>
      </w:r>
      <w:hyperlink w:anchor="AUTO_2021_67" w:history="1">
        <w:r w:rsidRPr="002C5A78">
          <w:rPr>
            <w:rStyle w:val="TextoNormalCaracter"/>
          </w:rPr>
          <w:t>67/2021</w:t>
        </w:r>
      </w:hyperlink>
      <w:r>
        <w:t>, f. 1.</w:t>
      </w:r>
    </w:p>
    <w:p w:rsidR="002C5A78" w:rsidRDefault="002C5A78" w:rsidP="002C5A78">
      <w:pPr>
        <w:pStyle w:val="SangriaFrancesaArticulo"/>
      </w:pPr>
      <w:r w:rsidRPr="002C5A78">
        <w:rPr>
          <w:rStyle w:val="TextoNormalNegritaCaracter"/>
        </w:rPr>
        <w:t>Artículo 56.2.</w:t>
      </w:r>
      <w:r w:rsidRPr="002C5A78">
        <w:rPr>
          <w:rStyle w:val="TextoNormalCaracter"/>
        </w:rPr>
        <w:t>-</w:t>
      </w:r>
      <w:r>
        <w:t xml:space="preserve"> Autos </w:t>
      </w:r>
      <w:hyperlink w:anchor="AUTO_2021_3" w:history="1">
        <w:r w:rsidRPr="002C5A78">
          <w:rPr>
            <w:rStyle w:val="TextoNormalCaracter"/>
          </w:rPr>
          <w:t>3/2021</w:t>
        </w:r>
      </w:hyperlink>
      <w:r>
        <w:t xml:space="preserve">, f. 2; </w:t>
      </w:r>
      <w:hyperlink w:anchor="AUTO_2021_4" w:history="1">
        <w:r w:rsidRPr="002C5A78">
          <w:rPr>
            <w:rStyle w:val="TextoNormalCaracter"/>
          </w:rPr>
          <w:t>4/2021</w:t>
        </w:r>
      </w:hyperlink>
      <w:r>
        <w:t xml:space="preserve">, ff. 2, 3, 5; </w:t>
      </w:r>
      <w:hyperlink w:anchor="AUTO_2021_10" w:history="1">
        <w:r w:rsidRPr="002C5A78">
          <w:rPr>
            <w:rStyle w:val="TextoNormalCaracter"/>
          </w:rPr>
          <w:t>10/2021</w:t>
        </w:r>
      </w:hyperlink>
      <w:r>
        <w:t xml:space="preserve">, f. 2; </w:t>
      </w:r>
      <w:hyperlink w:anchor="AUTO_2021_14" w:history="1">
        <w:r w:rsidRPr="002C5A78">
          <w:rPr>
            <w:rStyle w:val="TextoNormalCaracter"/>
          </w:rPr>
          <w:t>14/2021</w:t>
        </w:r>
      </w:hyperlink>
      <w:r>
        <w:t xml:space="preserve">, f. 1; </w:t>
      </w:r>
      <w:hyperlink w:anchor="AUTO_2021_15" w:history="1">
        <w:r w:rsidRPr="002C5A78">
          <w:rPr>
            <w:rStyle w:val="TextoNormalCaracter"/>
          </w:rPr>
          <w:t>15/2021</w:t>
        </w:r>
      </w:hyperlink>
      <w:r>
        <w:t xml:space="preserve">, f. 1; </w:t>
      </w:r>
      <w:hyperlink w:anchor="AUTO_2021_27" w:history="1">
        <w:r w:rsidRPr="002C5A78">
          <w:rPr>
            <w:rStyle w:val="TextoNormalCaracter"/>
          </w:rPr>
          <w:t>27/2021</w:t>
        </w:r>
      </w:hyperlink>
      <w:r>
        <w:t xml:space="preserve">, f. único; </w:t>
      </w:r>
      <w:hyperlink w:anchor="AUTO_2021_28" w:history="1">
        <w:r w:rsidRPr="002C5A78">
          <w:rPr>
            <w:rStyle w:val="TextoNormalCaracter"/>
          </w:rPr>
          <w:t>28/2021</w:t>
        </w:r>
      </w:hyperlink>
      <w:r>
        <w:t xml:space="preserve">, f. 3; </w:t>
      </w:r>
      <w:hyperlink w:anchor="AUTO_2021_39" w:history="1">
        <w:r w:rsidRPr="002C5A78">
          <w:rPr>
            <w:rStyle w:val="TextoNormalCaracter"/>
          </w:rPr>
          <w:t>39/2021</w:t>
        </w:r>
      </w:hyperlink>
      <w:r>
        <w:t xml:space="preserve">, f. 2; </w:t>
      </w:r>
      <w:hyperlink w:anchor="AUTO_2021_40" w:history="1">
        <w:r w:rsidRPr="002C5A78">
          <w:rPr>
            <w:rStyle w:val="TextoNormalCaracter"/>
          </w:rPr>
          <w:t>40/2021</w:t>
        </w:r>
      </w:hyperlink>
      <w:r>
        <w:t xml:space="preserve">, f. 2; </w:t>
      </w:r>
      <w:hyperlink w:anchor="AUTO_2021_41" w:history="1">
        <w:r w:rsidRPr="002C5A78">
          <w:rPr>
            <w:rStyle w:val="TextoNormalCaracter"/>
          </w:rPr>
          <w:t>41/2021</w:t>
        </w:r>
      </w:hyperlink>
      <w:r>
        <w:t xml:space="preserve">, f. único; </w:t>
      </w:r>
      <w:hyperlink w:anchor="AUTO_2021_55" w:history="1">
        <w:r w:rsidRPr="002C5A78">
          <w:rPr>
            <w:rStyle w:val="TextoNormalCaracter"/>
          </w:rPr>
          <w:t>55/2021</w:t>
        </w:r>
      </w:hyperlink>
      <w:r>
        <w:t xml:space="preserve">, f. 2; </w:t>
      </w:r>
      <w:hyperlink w:anchor="AUTO_2021_56" w:history="1">
        <w:r w:rsidRPr="002C5A78">
          <w:rPr>
            <w:rStyle w:val="TextoNormalCaracter"/>
          </w:rPr>
          <w:t>56/2021</w:t>
        </w:r>
      </w:hyperlink>
      <w:r>
        <w:t xml:space="preserve">, f. 2; </w:t>
      </w:r>
      <w:hyperlink w:anchor="AUTO_2021_66" w:history="1">
        <w:r w:rsidRPr="002C5A78">
          <w:rPr>
            <w:rStyle w:val="TextoNormalCaracter"/>
          </w:rPr>
          <w:t>66/2021</w:t>
        </w:r>
      </w:hyperlink>
      <w:r>
        <w:t xml:space="preserve">, f. 2; </w:t>
      </w:r>
      <w:hyperlink w:anchor="AUTO_2021_67" w:history="1">
        <w:r w:rsidRPr="002C5A78">
          <w:rPr>
            <w:rStyle w:val="TextoNormalCaracter"/>
          </w:rPr>
          <w:t>67/2021</w:t>
        </w:r>
      </w:hyperlink>
      <w:r>
        <w:t>, f. 1.</w:t>
      </w:r>
    </w:p>
    <w:p w:rsidR="002C5A78" w:rsidRDefault="002C5A78" w:rsidP="002C5A78">
      <w:pPr>
        <w:pStyle w:val="SangriaFrancesaArticulo"/>
      </w:pPr>
      <w:r w:rsidRPr="002C5A78">
        <w:rPr>
          <w:rStyle w:val="TextoNormalNegritaCaracter"/>
        </w:rPr>
        <w:t>Artículo 56.2</w:t>
      </w:r>
      <w:r>
        <w:t xml:space="preserve"> (redactado por la Ley Orgánica 6/2007, de 24 de mayo)</w:t>
      </w:r>
      <w:r w:rsidRPr="002C5A78">
        <w:rPr>
          <w:rStyle w:val="TextoNormalNegritaCaracter"/>
        </w:rPr>
        <w:t>.</w:t>
      </w:r>
      <w:r w:rsidRPr="002C5A78">
        <w:rPr>
          <w:rStyle w:val="TextoNormalCaracter"/>
        </w:rPr>
        <w:t>-</w:t>
      </w:r>
      <w:r>
        <w:t xml:space="preserve"> Autos </w:t>
      </w:r>
      <w:hyperlink w:anchor="AUTO_2021_1" w:history="1">
        <w:r w:rsidRPr="002C5A78">
          <w:rPr>
            <w:rStyle w:val="TextoNormalCaracter"/>
          </w:rPr>
          <w:t>1/2021</w:t>
        </w:r>
      </w:hyperlink>
      <w:r>
        <w:t xml:space="preserve">, f. 2; </w:t>
      </w:r>
      <w:hyperlink w:anchor="AUTO_2021_2" w:history="1">
        <w:r w:rsidRPr="002C5A78">
          <w:rPr>
            <w:rStyle w:val="TextoNormalCaracter"/>
          </w:rPr>
          <w:t>2/2021</w:t>
        </w:r>
      </w:hyperlink>
      <w:r>
        <w:t xml:space="preserve">, f. 2; </w:t>
      </w:r>
      <w:hyperlink w:anchor="AUTO_2021_11" w:history="1">
        <w:r w:rsidRPr="002C5A78">
          <w:rPr>
            <w:rStyle w:val="TextoNormalCaracter"/>
          </w:rPr>
          <w:t>11/2021</w:t>
        </w:r>
      </w:hyperlink>
      <w:r>
        <w:t xml:space="preserve">, f. 2; </w:t>
      </w:r>
      <w:hyperlink w:anchor="AUTO_2021_12" w:history="1">
        <w:r w:rsidRPr="002C5A78">
          <w:rPr>
            <w:rStyle w:val="TextoNormalCaracter"/>
          </w:rPr>
          <w:t>12/2021</w:t>
        </w:r>
      </w:hyperlink>
      <w:r>
        <w:t>, f. 2.</w:t>
      </w:r>
    </w:p>
    <w:p w:rsidR="002C5A78" w:rsidRDefault="002C5A78" w:rsidP="002C5A78">
      <w:pPr>
        <w:pStyle w:val="SangriaFrancesaArticulo"/>
      </w:pPr>
      <w:r w:rsidRPr="002C5A78">
        <w:rPr>
          <w:rStyle w:val="TextoNormalNegritaCaracter"/>
        </w:rPr>
        <w:t>Artículo 56.3.</w:t>
      </w:r>
      <w:r w:rsidRPr="002C5A78">
        <w:rPr>
          <w:rStyle w:val="TextoNormalCaracter"/>
        </w:rPr>
        <w:t>-</w:t>
      </w:r>
      <w:r>
        <w:t xml:space="preserve"> Auto </w:t>
      </w:r>
      <w:hyperlink w:anchor="AUTO_2021_28" w:history="1">
        <w:r w:rsidRPr="002C5A78">
          <w:rPr>
            <w:rStyle w:val="TextoNormalCaracter"/>
          </w:rPr>
          <w:t>28/2021</w:t>
        </w:r>
      </w:hyperlink>
      <w:r>
        <w:t>, f. 2.</w:t>
      </w:r>
    </w:p>
    <w:p w:rsidR="002C5A78" w:rsidRDefault="002C5A78" w:rsidP="002C5A78">
      <w:pPr>
        <w:pStyle w:val="SangriaFrancesaArticulo"/>
      </w:pPr>
      <w:r w:rsidRPr="002C5A78">
        <w:rPr>
          <w:rStyle w:val="TextoNormalNegritaCaracter"/>
        </w:rPr>
        <w:t>Artículo 56.4.</w:t>
      </w:r>
      <w:r w:rsidRPr="002C5A78">
        <w:rPr>
          <w:rStyle w:val="TextoNormalCaracter"/>
        </w:rPr>
        <w:t>-</w:t>
      </w:r>
      <w:r>
        <w:t xml:space="preserve"> Autos </w:t>
      </w:r>
      <w:hyperlink w:anchor="AUTO_2021_4" w:history="1">
        <w:r w:rsidRPr="002C5A78">
          <w:rPr>
            <w:rStyle w:val="TextoNormalCaracter"/>
          </w:rPr>
          <w:t>4/2021</w:t>
        </w:r>
      </w:hyperlink>
      <w:r>
        <w:t xml:space="preserve">, f. 1; </w:t>
      </w:r>
      <w:hyperlink w:anchor="AUTO_2021_29" w:history="1">
        <w:r w:rsidRPr="002C5A78">
          <w:rPr>
            <w:rStyle w:val="TextoNormalCaracter"/>
          </w:rPr>
          <w:t>29/2021</w:t>
        </w:r>
      </w:hyperlink>
      <w:r>
        <w:t xml:space="preserve">, f. 2; </w:t>
      </w:r>
      <w:hyperlink w:anchor="AUTO_2021_30" w:history="1">
        <w:r w:rsidRPr="002C5A78">
          <w:rPr>
            <w:rStyle w:val="TextoNormalCaracter"/>
          </w:rPr>
          <w:t>30/2021</w:t>
        </w:r>
      </w:hyperlink>
      <w:r>
        <w:t xml:space="preserve">, f. 2; </w:t>
      </w:r>
      <w:hyperlink w:anchor="AUTO_2021_31" w:history="1">
        <w:r w:rsidRPr="002C5A78">
          <w:rPr>
            <w:rStyle w:val="TextoNormalCaracter"/>
          </w:rPr>
          <w:t>31/2021</w:t>
        </w:r>
      </w:hyperlink>
      <w:r>
        <w:t>, f. 2.</w:t>
      </w:r>
    </w:p>
    <w:p w:rsidR="002C5A78" w:rsidRDefault="002C5A78" w:rsidP="002C5A78">
      <w:pPr>
        <w:pStyle w:val="SangriaFrancesaArticulo"/>
      </w:pPr>
      <w:r w:rsidRPr="002C5A78">
        <w:rPr>
          <w:rStyle w:val="TextoNormalNegritaCaracter"/>
        </w:rPr>
        <w:t>Artículo 56.6.</w:t>
      </w:r>
      <w:r w:rsidRPr="002C5A78">
        <w:rPr>
          <w:rStyle w:val="TextoNormalCaracter"/>
        </w:rPr>
        <w:t>-</w:t>
      </w:r>
      <w:r>
        <w:t xml:space="preserve"> Autos </w:t>
      </w:r>
      <w:hyperlink w:anchor="AUTO_2021_4" w:history="1">
        <w:r w:rsidRPr="002C5A78">
          <w:rPr>
            <w:rStyle w:val="TextoNormalCaracter"/>
          </w:rPr>
          <w:t>4/2021</w:t>
        </w:r>
      </w:hyperlink>
      <w:r>
        <w:t xml:space="preserve">, ff. 1, 3; </w:t>
      </w:r>
      <w:hyperlink w:anchor="AUTO_2021_28" w:history="1">
        <w:r w:rsidRPr="002C5A78">
          <w:rPr>
            <w:rStyle w:val="TextoNormalCaracter"/>
          </w:rPr>
          <w:t>28/2021</w:t>
        </w:r>
      </w:hyperlink>
      <w:r>
        <w:t>, f. 2.</w:t>
      </w:r>
    </w:p>
    <w:p w:rsidR="002C5A78" w:rsidRDefault="002C5A78" w:rsidP="002C5A78">
      <w:pPr>
        <w:pStyle w:val="SangriaFrancesaArticulo"/>
      </w:pPr>
      <w:r w:rsidRPr="002C5A78">
        <w:rPr>
          <w:rStyle w:val="TextoNormalNegritaCaracter"/>
        </w:rPr>
        <w:t>Artículo 57.</w:t>
      </w:r>
      <w:r w:rsidRPr="002C5A78">
        <w:rPr>
          <w:rStyle w:val="TextoNormalCaracter"/>
        </w:rPr>
        <w:t>-</w:t>
      </w:r>
      <w:r>
        <w:t xml:space="preserve"> Autos </w:t>
      </w:r>
      <w:hyperlink w:anchor="AUTO_2021_29" w:history="1">
        <w:r w:rsidRPr="002C5A78">
          <w:rPr>
            <w:rStyle w:val="TextoNormalCaracter"/>
          </w:rPr>
          <w:t>29/2021</w:t>
        </w:r>
      </w:hyperlink>
      <w:r>
        <w:t xml:space="preserve">, ff. 2, 3; </w:t>
      </w:r>
      <w:hyperlink w:anchor="AUTO_2021_30" w:history="1">
        <w:r w:rsidRPr="002C5A78">
          <w:rPr>
            <w:rStyle w:val="TextoNormalCaracter"/>
          </w:rPr>
          <w:t>30/2021</w:t>
        </w:r>
      </w:hyperlink>
      <w:r>
        <w:t xml:space="preserve">, ff. 2, 3; </w:t>
      </w:r>
      <w:hyperlink w:anchor="AUTO_2021_31" w:history="1">
        <w:r w:rsidRPr="002C5A78">
          <w:rPr>
            <w:rStyle w:val="TextoNormalCaracter"/>
          </w:rPr>
          <w:t>31/2021</w:t>
        </w:r>
      </w:hyperlink>
      <w:r>
        <w:t xml:space="preserve">, ff. 2, 3; </w:t>
      </w:r>
      <w:hyperlink w:anchor="AUTO_2021_32" w:history="1">
        <w:r w:rsidRPr="002C5A78">
          <w:rPr>
            <w:rStyle w:val="TextoNormalCaracter"/>
          </w:rPr>
          <w:t>32/2021</w:t>
        </w:r>
      </w:hyperlink>
      <w:r>
        <w:t xml:space="preserve">, ff. 2, 3; </w:t>
      </w:r>
      <w:hyperlink w:anchor="AUTO_2021_66" w:history="1">
        <w:r w:rsidRPr="002C5A78">
          <w:rPr>
            <w:rStyle w:val="TextoNormalCaracter"/>
          </w:rPr>
          <w:t>66/2021</w:t>
        </w:r>
      </w:hyperlink>
      <w:r>
        <w:t>, f. 4.</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15" w:history="1">
        <w:r w:rsidRPr="002C5A78">
          <w:rPr>
            <w:rStyle w:val="TextoNormalCaracter"/>
          </w:rPr>
          <w:t>15/2021</w:t>
        </w:r>
      </w:hyperlink>
      <w:r>
        <w:t>, f. 4.</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63.1.</w:t>
      </w:r>
      <w:r w:rsidRPr="002C5A78">
        <w:rPr>
          <w:rStyle w:val="TextoNormalCaracter"/>
        </w:rPr>
        <w:t>-</w:t>
      </w:r>
      <w:r>
        <w:t xml:space="preserve"> Sentencia </w:t>
      </w:r>
      <w:hyperlink w:anchor="SENTENCIA_2021_37" w:history="1">
        <w:r w:rsidRPr="002C5A78">
          <w:rPr>
            <w:rStyle w:val="TextoNormalCaracter"/>
          </w:rPr>
          <w:t>37/2021</w:t>
        </w:r>
      </w:hyperlink>
      <w:r>
        <w:t>, f. 6.</w:t>
      </w:r>
    </w:p>
    <w:p w:rsidR="002C5A78" w:rsidRDefault="002C5A78" w:rsidP="002C5A78">
      <w:pPr>
        <w:pStyle w:val="SangriaFrancesaArticulo"/>
      </w:pPr>
      <w:r w:rsidRPr="002C5A78">
        <w:rPr>
          <w:rStyle w:val="TextoNormalNegritaCaracter"/>
        </w:rPr>
        <w:t>Artículo 63.3.</w:t>
      </w:r>
      <w:r w:rsidRPr="002C5A78">
        <w:rPr>
          <w:rStyle w:val="TextoNormalCaracter"/>
        </w:rPr>
        <w:t>-</w:t>
      </w:r>
      <w:r>
        <w:t xml:space="preserve"> Sentencias </w:t>
      </w:r>
      <w:hyperlink w:anchor="SENTENCIA_2021_36" w:history="1">
        <w:r w:rsidRPr="002C5A78">
          <w:rPr>
            <w:rStyle w:val="TextoNormalCaracter"/>
          </w:rPr>
          <w:t>36/2021</w:t>
        </w:r>
      </w:hyperlink>
      <w:r>
        <w:t xml:space="preserve">, VP; </w:t>
      </w:r>
      <w:hyperlink w:anchor="SENTENCIA_2021_37" w:history="1">
        <w:r w:rsidRPr="002C5A78">
          <w:rPr>
            <w:rStyle w:val="TextoNormalCaracter"/>
          </w:rPr>
          <w:t>37/2021</w:t>
        </w:r>
      </w:hyperlink>
      <w:r>
        <w:t>, f. 2.</w:t>
      </w:r>
    </w:p>
    <w:p w:rsidR="002C5A78" w:rsidRDefault="002C5A78" w:rsidP="002C5A78">
      <w:pPr>
        <w:pStyle w:val="SangriaFrancesaArticulo"/>
      </w:pPr>
      <w:r w:rsidRPr="002C5A78">
        <w:rPr>
          <w:rStyle w:val="TextoNormalNegritaCaracter"/>
        </w:rPr>
        <w:t>Artículo 64.2.</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Artículo 66.</w:t>
      </w:r>
      <w:r w:rsidRPr="002C5A78">
        <w:rPr>
          <w:rStyle w:val="TextoNormalCaracter"/>
        </w:rPr>
        <w:t>-</w:t>
      </w:r>
      <w:r>
        <w:t xml:space="preserve"> Sentencia </w:t>
      </w:r>
      <w:hyperlink w:anchor="SENTENCIA_2021_36" w:history="1">
        <w:r w:rsidRPr="002C5A78">
          <w:rPr>
            <w:rStyle w:val="TextoNormalCaracter"/>
          </w:rPr>
          <w:t>36/2021</w:t>
        </w:r>
      </w:hyperlink>
      <w:r>
        <w:t>, f. 16, VP.</w:t>
      </w:r>
    </w:p>
    <w:p w:rsidR="002C5A78" w:rsidRDefault="002C5A78" w:rsidP="002C5A78">
      <w:pPr>
        <w:pStyle w:val="SangriaFrancesaArticulo"/>
      </w:pPr>
      <w:r w:rsidRPr="002C5A78">
        <w:rPr>
          <w:rStyle w:val="TextoNormalNegritaCaracter"/>
        </w:rPr>
        <w:t>Artículo 67.</w:t>
      </w:r>
      <w:r w:rsidRPr="002C5A78">
        <w:rPr>
          <w:rStyle w:val="TextoNormalCaracter"/>
        </w:rPr>
        <w:t>-</w:t>
      </w:r>
      <w:r>
        <w:t xml:space="preserve"> Sentencia </w:t>
      </w:r>
      <w:hyperlink w:anchor="SENTENCIA_2021_36" w:history="1">
        <w:r w:rsidRPr="002C5A78">
          <w:rPr>
            <w:rStyle w:val="TextoNormalCaracter"/>
          </w:rPr>
          <w:t>36/2021</w:t>
        </w:r>
      </w:hyperlink>
      <w:r>
        <w:t>, f. 2.</w:t>
      </w:r>
    </w:p>
    <w:p w:rsidR="002C5A78" w:rsidRDefault="002C5A78" w:rsidP="002C5A78">
      <w:pPr>
        <w:pStyle w:val="SangriaFrancesaArticulo"/>
      </w:pPr>
      <w:r w:rsidRPr="002C5A78">
        <w:rPr>
          <w:rStyle w:val="TextoNormalNegritaCaracter"/>
        </w:rPr>
        <w:t>Artículo 68.</w:t>
      </w:r>
      <w:r w:rsidRPr="002C5A78">
        <w:rPr>
          <w:rStyle w:val="TextoNormalCaracter"/>
        </w:rPr>
        <w:t>-</w:t>
      </w:r>
      <w:r>
        <w:t xml:space="preserve"> Auto </w:t>
      </w:r>
      <w:hyperlink w:anchor="AUTO_2021_8" w:history="1">
        <w:r w:rsidRPr="002C5A78">
          <w:rPr>
            <w:rStyle w:val="TextoNormalCaracter"/>
          </w:rPr>
          <w:t>8/2021</w:t>
        </w:r>
      </w:hyperlink>
      <w:r>
        <w:t>, f. 2.</w:t>
      </w:r>
    </w:p>
    <w:p w:rsidR="002C5A78" w:rsidRDefault="002C5A78" w:rsidP="002C5A78">
      <w:pPr>
        <w:pStyle w:val="SangriaFrancesaArticulo"/>
      </w:pPr>
      <w:r w:rsidRPr="002C5A78">
        <w:rPr>
          <w:rStyle w:val="TextoNormalNegritaCaracter"/>
        </w:rPr>
        <w:t>Artículo 68 y ss.</w:t>
      </w:r>
      <w:r w:rsidRPr="002C5A78">
        <w:rPr>
          <w:rStyle w:val="TextoNormalCaracter"/>
        </w:rPr>
        <w:t>-</w:t>
      </w:r>
      <w:r>
        <w:t xml:space="preserve"> Auto </w:t>
      </w:r>
      <w:hyperlink w:anchor="AUTO_2021_8" w:history="1">
        <w:r w:rsidRPr="002C5A78">
          <w:rPr>
            <w:rStyle w:val="TextoNormalCaracter"/>
          </w:rPr>
          <w:t>8/2021</w:t>
        </w:r>
      </w:hyperlink>
      <w:r>
        <w:t>, f. 2.</w:t>
      </w:r>
    </w:p>
    <w:p w:rsidR="002C5A78" w:rsidRDefault="002C5A78" w:rsidP="002C5A78">
      <w:pPr>
        <w:pStyle w:val="SangriaFrancesaArticulo"/>
      </w:pPr>
      <w:r w:rsidRPr="002C5A78">
        <w:rPr>
          <w:rStyle w:val="TextoNormalNegritaCaracter"/>
        </w:rPr>
        <w:t>Artículo 68.1.</w:t>
      </w:r>
      <w:r w:rsidRPr="002C5A78">
        <w:rPr>
          <w:rStyle w:val="TextoNormalCaracter"/>
        </w:rPr>
        <w:t>-</w:t>
      </w:r>
      <w:r>
        <w:t xml:space="preserve"> Auto </w:t>
      </w:r>
      <w:hyperlink w:anchor="AUTO_2021_8" w:history="1">
        <w:r w:rsidRPr="002C5A78">
          <w:rPr>
            <w:rStyle w:val="TextoNormalCaracter"/>
          </w:rPr>
          <w:t>8/2021</w:t>
        </w:r>
      </w:hyperlink>
      <w:r>
        <w:t>, ff. 2, 3.</w:t>
      </w:r>
    </w:p>
    <w:p w:rsidR="002C5A78" w:rsidRDefault="002C5A78" w:rsidP="002C5A78">
      <w:pPr>
        <w:pStyle w:val="SangriaFrancesaArticulo"/>
      </w:pPr>
      <w:r w:rsidRPr="002C5A78">
        <w:rPr>
          <w:rStyle w:val="TextoNormalNegritaCaracter"/>
        </w:rPr>
        <w:t>Artículo 68.2.</w:t>
      </w:r>
      <w:r w:rsidRPr="002C5A78">
        <w:rPr>
          <w:rStyle w:val="TextoNormalCaracter"/>
        </w:rPr>
        <w:t>-</w:t>
      </w:r>
      <w:r>
        <w:t xml:space="preserve"> Auto </w:t>
      </w:r>
      <w:hyperlink w:anchor="AUTO_2021_8" w:history="1">
        <w:r w:rsidRPr="002C5A78">
          <w:rPr>
            <w:rStyle w:val="TextoNormalCaracter"/>
          </w:rPr>
          <w:t>8/2021</w:t>
        </w:r>
      </w:hyperlink>
      <w:r>
        <w:t>, f. 2.</w:t>
      </w:r>
    </w:p>
    <w:p w:rsidR="002C5A78" w:rsidRDefault="002C5A78" w:rsidP="002C5A78">
      <w:pPr>
        <w:pStyle w:val="SangriaFrancesaArticulo"/>
      </w:pPr>
      <w:r w:rsidRPr="002C5A78">
        <w:rPr>
          <w:rStyle w:val="TextoNormalNegritaCaracter"/>
        </w:rPr>
        <w:t>Artículo 69.2.</w:t>
      </w:r>
      <w:r w:rsidRPr="002C5A78">
        <w:rPr>
          <w:rStyle w:val="TextoNormalCaracter"/>
        </w:rPr>
        <w:t>-</w:t>
      </w:r>
      <w:r>
        <w:t xml:space="preserve"> Auto </w:t>
      </w:r>
      <w:hyperlink w:anchor="AUTO_2021_8" w:history="1">
        <w:r w:rsidRPr="002C5A78">
          <w:rPr>
            <w:rStyle w:val="TextoNormalCaracter"/>
          </w:rPr>
          <w:t>8/2021</w:t>
        </w:r>
      </w:hyperlink>
      <w:r>
        <w:t>, f. 2.</w:t>
      </w:r>
    </w:p>
    <w:p w:rsidR="002C5A78" w:rsidRDefault="002C5A78" w:rsidP="002C5A78">
      <w:pPr>
        <w:pStyle w:val="SangriaFrancesaArticulo"/>
      </w:pPr>
      <w:r w:rsidRPr="002C5A78">
        <w:rPr>
          <w:rStyle w:val="TextoNormalNegritaCaracter"/>
        </w:rPr>
        <w:t>Artículo 75 quinquies, apartado 1.</w:t>
      </w:r>
      <w:r w:rsidRPr="002C5A78">
        <w:rPr>
          <w:rStyle w:val="TextoNormalCaracter"/>
        </w:rPr>
        <w:t>-</w:t>
      </w:r>
      <w:r>
        <w:t xml:space="preserve"> Sentencia </w:t>
      </w:r>
      <w:hyperlink w:anchor="SENTENCIA_2021_38" w:history="1">
        <w:r w:rsidRPr="002C5A78">
          <w:rPr>
            <w:rStyle w:val="TextoNormalCaracter"/>
          </w:rPr>
          <w:t>38/2021</w:t>
        </w:r>
      </w:hyperlink>
      <w:r>
        <w:t>, f. 2.</w:t>
      </w:r>
    </w:p>
    <w:p w:rsidR="002C5A78" w:rsidRDefault="002C5A78" w:rsidP="002C5A78">
      <w:pPr>
        <w:pStyle w:val="SangriaFrancesaArticulo"/>
      </w:pPr>
      <w:r w:rsidRPr="002C5A78">
        <w:rPr>
          <w:rStyle w:val="TextoNormalNegritaCaracter"/>
        </w:rPr>
        <w:t>Artículo 80.</w:t>
      </w:r>
      <w:r w:rsidRPr="002C5A78">
        <w:rPr>
          <w:rStyle w:val="TextoNormalCaracter"/>
        </w:rPr>
        <w:t>-</w:t>
      </w:r>
      <w:r>
        <w:t xml:space="preserve"> Autos </w:t>
      </w:r>
      <w:hyperlink w:anchor="AUTO_2021_7" w:history="1">
        <w:r w:rsidRPr="002C5A78">
          <w:rPr>
            <w:rStyle w:val="TextoNormalCaracter"/>
          </w:rPr>
          <w:t>7/2021</w:t>
        </w:r>
      </w:hyperlink>
      <w:r>
        <w:t xml:space="preserve">, f. único; </w:t>
      </w:r>
      <w:hyperlink w:anchor="AUTO_2021_9" w:history="1">
        <w:r w:rsidRPr="002C5A78">
          <w:rPr>
            <w:rStyle w:val="TextoNormalCaracter"/>
          </w:rPr>
          <w:t>9/2021</w:t>
        </w:r>
      </w:hyperlink>
      <w:r>
        <w:t xml:space="preserve">, f. único; </w:t>
      </w:r>
      <w:hyperlink w:anchor="AUTO_2021_13" w:history="1">
        <w:r w:rsidRPr="002C5A78">
          <w:rPr>
            <w:rStyle w:val="TextoNormalCaracter"/>
          </w:rPr>
          <w:t>13/2021</w:t>
        </w:r>
      </w:hyperlink>
      <w:r>
        <w:t>, f. único.</w:t>
      </w:r>
    </w:p>
    <w:p w:rsidR="002C5A78" w:rsidRDefault="002C5A78" w:rsidP="002C5A78">
      <w:pPr>
        <w:pStyle w:val="SangriaFrancesaArticulo"/>
      </w:pPr>
      <w:r w:rsidRPr="002C5A78">
        <w:rPr>
          <w:rStyle w:val="TextoNormalNegritaCaracter"/>
        </w:rPr>
        <w:t>50.</w:t>
      </w:r>
      <w:r w:rsidRPr="002C5A78">
        <w:rPr>
          <w:rStyle w:val="TextoNormalCaracter"/>
        </w:rPr>
        <w:t>-</w:t>
      </w:r>
      <w:r>
        <w:t xml:space="preserve"> Auto </w:t>
      </w:r>
      <w:hyperlink w:anchor="AUTO_2021_60" w:history="1">
        <w:r w:rsidRPr="002C5A78">
          <w:rPr>
            <w:rStyle w:val="TextoNormalCaracter"/>
          </w:rPr>
          <w:t>60/2021</w:t>
        </w:r>
      </w:hyperlink>
      <w:r>
        <w:t>, f. único.</w:t>
      </w:r>
    </w:p>
    <w:p w:rsidR="002C5A78" w:rsidRDefault="002C5A78" w:rsidP="002C5A78">
      <w:pPr>
        <w:pStyle w:val="SangriaFrancesaArticulo"/>
      </w:pPr>
      <w:r w:rsidRPr="002C5A78">
        <w:rPr>
          <w:rStyle w:val="TextoNormalNegritaCaracter"/>
        </w:rPr>
        <w:t>Artículo 80.</w:t>
      </w:r>
      <w:r w:rsidRPr="002C5A78">
        <w:rPr>
          <w:rStyle w:val="TextoNormalCaracter"/>
        </w:rPr>
        <w:t>-</w:t>
      </w:r>
      <w:r>
        <w:t xml:space="preserve"> Sentencia </w:t>
      </w:r>
      <w:hyperlink w:anchor="SENTENCIA_2021_52" w:history="1">
        <w:r w:rsidRPr="002C5A78">
          <w:rPr>
            <w:rStyle w:val="TextoNormalCaracter"/>
          </w:rPr>
          <w:t>52/2021</w:t>
        </w:r>
      </w:hyperlink>
      <w:r>
        <w:t>, f. 2.</w:t>
      </w:r>
    </w:p>
    <w:p w:rsidR="002C5A78" w:rsidRDefault="002C5A78" w:rsidP="002C5A78">
      <w:pPr>
        <w:pStyle w:val="SangriaIzquierdaArticulo"/>
      </w:pPr>
      <w:r>
        <w:t xml:space="preserve">Autos </w:t>
      </w:r>
      <w:hyperlink w:anchor="AUTO_2021_19" w:history="1">
        <w:r w:rsidRPr="002C5A78">
          <w:rPr>
            <w:rStyle w:val="TextoNormalCaracter"/>
          </w:rPr>
          <w:t>19/2021</w:t>
        </w:r>
      </w:hyperlink>
      <w:r>
        <w:t xml:space="preserve">, f. único; </w:t>
      </w:r>
      <w:hyperlink w:anchor="AUTO_2021_20" w:history="1">
        <w:r w:rsidRPr="002C5A78">
          <w:rPr>
            <w:rStyle w:val="TextoNormalCaracter"/>
          </w:rPr>
          <w:t>20/2021</w:t>
        </w:r>
      </w:hyperlink>
      <w:r>
        <w:t xml:space="preserve">, f. único; </w:t>
      </w:r>
      <w:hyperlink w:anchor="AUTO_2021_25" w:history="1">
        <w:r w:rsidRPr="002C5A78">
          <w:rPr>
            <w:rStyle w:val="TextoNormalCaracter"/>
          </w:rPr>
          <w:t>25/2021</w:t>
        </w:r>
      </w:hyperlink>
      <w:r>
        <w:t xml:space="preserve">, f. único; </w:t>
      </w:r>
      <w:hyperlink w:anchor="AUTO_2021_38" w:history="1">
        <w:r w:rsidRPr="002C5A78">
          <w:rPr>
            <w:rStyle w:val="TextoNormalCaracter"/>
          </w:rPr>
          <w:t>38/2021</w:t>
        </w:r>
      </w:hyperlink>
      <w:r>
        <w:t xml:space="preserve">, f. único; </w:t>
      </w:r>
      <w:hyperlink w:anchor="AUTO_2021_53" w:history="1">
        <w:r w:rsidRPr="002C5A78">
          <w:rPr>
            <w:rStyle w:val="TextoNormalCaracter"/>
          </w:rPr>
          <w:t>53/2021</w:t>
        </w:r>
      </w:hyperlink>
      <w:r>
        <w:t xml:space="preserve">, f. único; </w:t>
      </w:r>
      <w:hyperlink w:anchor="AUTO_2021_62" w:history="1">
        <w:r w:rsidRPr="002C5A78">
          <w:rPr>
            <w:rStyle w:val="TextoNormalCaracter"/>
          </w:rPr>
          <w:t>62/2021</w:t>
        </w:r>
      </w:hyperlink>
      <w:r>
        <w:t xml:space="preserve">, f. único; </w:t>
      </w:r>
      <w:hyperlink w:anchor="AUTO_2021_63" w:history="1">
        <w:r w:rsidRPr="002C5A78">
          <w:rPr>
            <w:rStyle w:val="TextoNormalCaracter"/>
          </w:rPr>
          <w:t>63/2021</w:t>
        </w:r>
      </w:hyperlink>
      <w:r>
        <w:t xml:space="preserve">, f. único; </w:t>
      </w:r>
      <w:hyperlink w:anchor="AUTO_2021_68" w:history="1">
        <w:r w:rsidRPr="002C5A78">
          <w:rPr>
            <w:rStyle w:val="TextoNormalCaracter"/>
          </w:rPr>
          <w:t>68/2021</w:t>
        </w:r>
      </w:hyperlink>
      <w:r>
        <w:t>, f. único.</w:t>
      </w:r>
    </w:p>
    <w:p w:rsidR="002C5A78" w:rsidRDefault="002C5A78" w:rsidP="002C5A78">
      <w:pPr>
        <w:pStyle w:val="SangriaFrancesaArticulo"/>
      </w:pPr>
      <w:r w:rsidRPr="002C5A78">
        <w:rPr>
          <w:rStyle w:val="TextoNormalNegritaCaracter"/>
        </w:rPr>
        <w:t>Artículo 82.1.</w:t>
      </w:r>
      <w:r w:rsidRPr="002C5A78">
        <w:rPr>
          <w:rStyle w:val="TextoNormalCaracter"/>
        </w:rPr>
        <w:t>-</w:t>
      </w:r>
      <w:r>
        <w:t xml:space="preserve"> Autos </w:t>
      </w:r>
      <w:hyperlink w:anchor="AUTO_2021_58" w:history="1">
        <w:r w:rsidRPr="002C5A78">
          <w:rPr>
            <w:rStyle w:val="TextoNormalCaracter"/>
          </w:rPr>
          <w:t>58/2021</w:t>
        </w:r>
      </w:hyperlink>
      <w:r>
        <w:t xml:space="preserve">, ff. 2, 4; </w:t>
      </w:r>
      <w:hyperlink w:anchor="AUTO_2021_59" w:history="1">
        <w:r w:rsidRPr="002C5A78">
          <w:rPr>
            <w:rStyle w:val="TextoNormalCaracter"/>
          </w:rPr>
          <w:t>59/2021</w:t>
        </w:r>
      </w:hyperlink>
      <w:r>
        <w:t>, ff. 2, 4.</w:t>
      </w:r>
    </w:p>
    <w:p w:rsidR="002C5A78" w:rsidRDefault="002C5A78" w:rsidP="002C5A78">
      <w:pPr>
        <w:pStyle w:val="SangriaFrancesaArticulo"/>
      </w:pPr>
      <w:r w:rsidRPr="002C5A78">
        <w:rPr>
          <w:rStyle w:val="TextoNormalNegritaCaracter"/>
        </w:rPr>
        <w:t>Artículo 82.2.</w:t>
      </w:r>
      <w:r w:rsidRPr="002C5A78">
        <w:rPr>
          <w:rStyle w:val="TextoNormalCaracter"/>
        </w:rPr>
        <w:t>-</w:t>
      </w:r>
      <w:r>
        <w:t xml:space="preserve"> Auto </w:t>
      </w:r>
      <w:hyperlink w:anchor="AUTO_2021_62" w:history="1">
        <w:r w:rsidRPr="002C5A78">
          <w:rPr>
            <w:rStyle w:val="TextoNormalCaracter"/>
          </w:rPr>
          <w:t>62/2021</w:t>
        </w:r>
      </w:hyperlink>
      <w:r>
        <w:t>, f. único.</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Autos </w:t>
      </w:r>
      <w:hyperlink w:anchor="AUTO_2021_13" w:history="1">
        <w:r w:rsidRPr="002C5A78">
          <w:rPr>
            <w:rStyle w:val="TextoNormalCaracter"/>
          </w:rPr>
          <w:t>13/2021</w:t>
        </w:r>
      </w:hyperlink>
      <w:r>
        <w:t xml:space="preserve">, f. único; </w:t>
      </w:r>
      <w:hyperlink w:anchor="AUTO_2021_16" w:history="1">
        <w:r w:rsidRPr="002C5A78">
          <w:rPr>
            <w:rStyle w:val="TextoNormalCaracter"/>
          </w:rPr>
          <w:t>16/2021</w:t>
        </w:r>
      </w:hyperlink>
      <w:r>
        <w:t xml:space="preserve">, f. 3; </w:t>
      </w:r>
      <w:hyperlink w:anchor="AUTO_2021_21" w:history="1">
        <w:r w:rsidRPr="002C5A78">
          <w:rPr>
            <w:rStyle w:val="TextoNormalCaracter"/>
          </w:rPr>
          <w:t>21/2021</w:t>
        </w:r>
      </w:hyperlink>
      <w:r>
        <w:t xml:space="preserve">, f. único; </w:t>
      </w:r>
      <w:hyperlink w:anchor="AUTO_2021_25" w:history="1">
        <w:r w:rsidRPr="002C5A78">
          <w:rPr>
            <w:rStyle w:val="TextoNormalCaracter"/>
          </w:rPr>
          <w:t>25/2021</w:t>
        </w:r>
      </w:hyperlink>
      <w:r>
        <w:t>, f. único.</w:t>
      </w:r>
    </w:p>
    <w:p w:rsidR="002C5A78" w:rsidRDefault="002C5A78" w:rsidP="002C5A78">
      <w:pPr>
        <w:pStyle w:val="SangriaFrancesaArticulo"/>
      </w:pPr>
      <w:r w:rsidRPr="002C5A78">
        <w:rPr>
          <w:rStyle w:val="TextoNormalNegritaCaracter"/>
        </w:rPr>
        <w:t>Artículo 85.1.</w:t>
      </w:r>
      <w:r w:rsidRPr="002C5A78">
        <w:rPr>
          <w:rStyle w:val="TextoNormalCaracter"/>
        </w:rPr>
        <w:t>-</w:t>
      </w:r>
      <w:r>
        <w:t xml:space="preserve"> Sentencia </w:t>
      </w:r>
      <w:hyperlink w:anchor="SENTENCIA_2021_38" w:history="1">
        <w:r w:rsidRPr="002C5A78">
          <w:rPr>
            <w:rStyle w:val="TextoNormalCaracter"/>
          </w:rPr>
          <w:t>38/2021</w:t>
        </w:r>
      </w:hyperlink>
      <w:r>
        <w:t>, f. 2.</w:t>
      </w:r>
    </w:p>
    <w:p w:rsidR="002C5A78" w:rsidRDefault="002C5A78" w:rsidP="002C5A78">
      <w:pPr>
        <w:pStyle w:val="SangriaFrancesaArticulo"/>
      </w:pPr>
      <w:r w:rsidRPr="002C5A78">
        <w:rPr>
          <w:rStyle w:val="TextoNormalNegritaCaracter"/>
        </w:rPr>
        <w:t>Artículo 85.3.</w:t>
      </w:r>
      <w:r w:rsidRPr="002C5A78">
        <w:rPr>
          <w:rStyle w:val="TextoNormalCaracter"/>
        </w:rPr>
        <w:t>-</w:t>
      </w:r>
      <w:r>
        <w:t xml:space="preserve"> Auto </w:t>
      </w:r>
      <w:hyperlink w:anchor="AUTO_2021_28" w:history="1">
        <w:r w:rsidRPr="002C5A78">
          <w:rPr>
            <w:rStyle w:val="TextoNormalCaracter"/>
          </w:rPr>
          <w:t>28/2021</w:t>
        </w:r>
      </w:hyperlink>
      <w:r>
        <w:t>, f. 2.</w:t>
      </w:r>
    </w:p>
    <w:p w:rsidR="002C5A78" w:rsidRDefault="002C5A78" w:rsidP="002C5A78">
      <w:pPr>
        <w:pStyle w:val="SangriaFrancesaArticulo"/>
      </w:pPr>
      <w:r w:rsidRPr="002C5A78">
        <w:rPr>
          <w:rStyle w:val="TextoNormalNegritaCaracter"/>
        </w:rPr>
        <w:t>Artículo 86.</w:t>
      </w:r>
      <w:r w:rsidRPr="002C5A78">
        <w:rPr>
          <w:rStyle w:val="TextoNormalCaracter"/>
        </w:rPr>
        <w:t>-</w:t>
      </w:r>
      <w:r>
        <w:t xml:space="preserve"> Sentencia </w:t>
      </w:r>
      <w:hyperlink w:anchor="SENTENCIA_2021_52" w:history="1">
        <w:r w:rsidRPr="002C5A78">
          <w:rPr>
            <w:rStyle w:val="TextoNormalCaracter"/>
          </w:rPr>
          <w:t>52/2021</w:t>
        </w:r>
      </w:hyperlink>
      <w:r>
        <w:t>, f. 2.</w:t>
      </w:r>
    </w:p>
    <w:p w:rsidR="002C5A78" w:rsidRDefault="002C5A78" w:rsidP="002C5A78">
      <w:pPr>
        <w:pStyle w:val="SangriaIzquierdaArticulo"/>
      </w:pPr>
      <w:r>
        <w:t xml:space="preserve">Auto </w:t>
      </w:r>
      <w:hyperlink w:anchor="AUTO_2021_68" w:history="1">
        <w:r w:rsidRPr="002C5A78">
          <w:rPr>
            <w:rStyle w:val="TextoNormalCaracter"/>
          </w:rPr>
          <w:t>68/2021</w:t>
        </w:r>
      </w:hyperlink>
      <w:r>
        <w:t>, f. único.</w:t>
      </w:r>
    </w:p>
    <w:p w:rsidR="002C5A78" w:rsidRDefault="002C5A78" w:rsidP="002C5A78">
      <w:pPr>
        <w:pStyle w:val="SangriaFrancesaArticulo"/>
      </w:pPr>
      <w:r w:rsidRPr="002C5A78">
        <w:rPr>
          <w:rStyle w:val="TextoNormalNegritaCaracter"/>
        </w:rPr>
        <w:t>Artículo 86.1.</w:t>
      </w:r>
      <w:r w:rsidRPr="002C5A78">
        <w:rPr>
          <w:rStyle w:val="TextoNormalCaracter"/>
        </w:rPr>
        <w:t>-</w:t>
      </w:r>
      <w:r>
        <w:t xml:space="preserve"> Sentencia </w:t>
      </w:r>
      <w:hyperlink w:anchor="SENTENCIA_2021_52" w:history="1">
        <w:r w:rsidRPr="002C5A78">
          <w:rPr>
            <w:rStyle w:val="TextoNormalCaracter"/>
          </w:rPr>
          <w:t>52/2021</w:t>
        </w:r>
      </w:hyperlink>
      <w:r>
        <w:t>, f. 2.</w:t>
      </w:r>
    </w:p>
    <w:p w:rsidR="002C5A78" w:rsidRDefault="002C5A78" w:rsidP="002C5A78">
      <w:pPr>
        <w:pStyle w:val="SangriaIzquierdaArticulo"/>
      </w:pPr>
      <w:r>
        <w:t xml:space="preserve">Autos </w:t>
      </w:r>
      <w:hyperlink w:anchor="AUTO_2021_38" w:history="1">
        <w:r w:rsidRPr="002C5A78">
          <w:rPr>
            <w:rStyle w:val="TextoNormalCaracter"/>
          </w:rPr>
          <w:t>38/2021</w:t>
        </w:r>
      </w:hyperlink>
      <w:r>
        <w:t xml:space="preserve">, f. único; </w:t>
      </w:r>
      <w:hyperlink w:anchor="AUTO_2021_63" w:history="1">
        <w:r w:rsidRPr="002C5A78">
          <w:rPr>
            <w:rStyle w:val="TextoNormalCaracter"/>
          </w:rPr>
          <w:t>63/2021</w:t>
        </w:r>
      </w:hyperlink>
      <w:r>
        <w:t>, f. único.</w:t>
      </w:r>
    </w:p>
    <w:p w:rsidR="002C5A78" w:rsidRDefault="002C5A78" w:rsidP="002C5A78">
      <w:pPr>
        <w:pStyle w:val="SangriaFrancesaArticulo"/>
      </w:pPr>
      <w:r w:rsidRPr="002C5A78">
        <w:rPr>
          <w:rStyle w:val="TextoNormalNegritaCaracter"/>
        </w:rPr>
        <w:t>Artículo 86.3.</w:t>
      </w:r>
      <w:r w:rsidRPr="002C5A78">
        <w:rPr>
          <w:rStyle w:val="TextoNormalCaracter"/>
        </w:rPr>
        <w:t>-</w:t>
      </w:r>
      <w:r>
        <w:t xml:space="preserve"> Sentencias </w:t>
      </w:r>
      <w:hyperlink w:anchor="SENTENCIA_2021_51" w:history="1">
        <w:r w:rsidRPr="002C5A78">
          <w:rPr>
            <w:rStyle w:val="TextoNormalCaracter"/>
          </w:rPr>
          <w:t>51/2021</w:t>
        </w:r>
      </w:hyperlink>
      <w:r>
        <w:t xml:space="preserve">, f. 1; </w:t>
      </w:r>
      <w:hyperlink w:anchor="SENTENCIA_2021_81" w:history="1">
        <w:r w:rsidRPr="002C5A78">
          <w:rPr>
            <w:rStyle w:val="TextoNormalCaracter"/>
          </w:rPr>
          <w:t>81/2021</w:t>
        </w:r>
      </w:hyperlink>
      <w:r>
        <w:t>, f. 1.</w:t>
      </w:r>
    </w:p>
    <w:p w:rsidR="002C5A78" w:rsidRDefault="002C5A78" w:rsidP="002C5A78">
      <w:pPr>
        <w:pStyle w:val="SangriaIzquierdaArticulo"/>
      </w:pPr>
      <w:r>
        <w:t xml:space="preserve">Auto </w:t>
      </w:r>
      <w:hyperlink w:anchor="AUTO_2021_37" w:history="1">
        <w:r w:rsidRPr="002C5A78">
          <w:rPr>
            <w:rStyle w:val="TextoNormalCaracter"/>
          </w:rPr>
          <w:t>37/2021</w:t>
        </w:r>
      </w:hyperlink>
      <w:r>
        <w:t>, f. único.</w:t>
      </w:r>
    </w:p>
    <w:p w:rsidR="002C5A78" w:rsidRDefault="002C5A78" w:rsidP="002C5A78">
      <w:pPr>
        <w:pStyle w:val="SangriaFrancesaArticulo"/>
      </w:pPr>
      <w:r w:rsidRPr="002C5A78">
        <w:rPr>
          <w:rStyle w:val="TextoNormalNegritaCaracter"/>
        </w:rPr>
        <w:t>Artículo 87.</w:t>
      </w:r>
      <w:r w:rsidRPr="002C5A78">
        <w:rPr>
          <w:rStyle w:val="TextoNormalCaracter"/>
        </w:rPr>
        <w:t>-</w:t>
      </w:r>
      <w:r>
        <w:t xml:space="preserve"> Auto </w:t>
      </w:r>
      <w:hyperlink w:anchor="AUTO_2021_57" w:history="1">
        <w:r w:rsidRPr="002C5A78">
          <w:rPr>
            <w:rStyle w:val="TextoNormalCaracter"/>
          </w:rPr>
          <w:t>57/2021</w:t>
        </w:r>
      </w:hyperlink>
      <w:r>
        <w:t>, f. 1.</w:t>
      </w:r>
    </w:p>
    <w:p w:rsidR="002C5A78" w:rsidRDefault="002C5A78" w:rsidP="002C5A78">
      <w:pPr>
        <w:pStyle w:val="SangriaFrancesaArticulo"/>
      </w:pPr>
      <w:r w:rsidRPr="002C5A78">
        <w:rPr>
          <w:rStyle w:val="TextoNormalNegritaCaracter"/>
        </w:rPr>
        <w:t>Artículo 87.1.</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f. 11.</w:t>
      </w:r>
    </w:p>
    <w:p w:rsidR="002C5A78" w:rsidRDefault="002C5A78" w:rsidP="002C5A78">
      <w:pPr>
        <w:pStyle w:val="SangriaIzquierdaArticulo"/>
      </w:pPr>
      <w:r>
        <w:t xml:space="preserve">Auto </w:t>
      </w:r>
      <w:hyperlink w:anchor="AUTO_2021_57" w:history="1">
        <w:r w:rsidRPr="002C5A78">
          <w:rPr>
            <w:rStyle w:val="TextoNormalCaracter"/>
          </w:rPr>
          <w:t>57/2021</w:t>
        </w:r>
      </w:hyperlink>
      <w:r>
        <w:t>, f. 2.</w:t>
      </w:r>
    </w:p>
    <w:p w:rsidR="002C5A78" w:rsidRDefault="002C5A78" w:rsidP="002C5A78">
      <w:pPr>
        <w:pStyle w:val="SangriaFrancesaArticulo"/>
      </w:pPr>
      <w:r w:rsidRPr="002C5A78">
        <w:rPr>
          <w:rStyle w:val="TextoNormalNegritaCaracter"/>
        </w:rPr>
        <w:t>Artículo 88.1.</w:t>
      </w:r>
      <w:r w:rsidRPr="002C5A78">
        <w:rPr>
          <w:rStyle w:val="TextoNormalCaracter"/>
        </w:rPr>
        <w:t>-</w:t>
      </w:r>
      <w:r>
        <w:t xml:space="preserve"> Sentencia </w:t>
      </w:r>
      <w:hyperlink w:anchor="SENTENCIA_2021_69" w:history="1">
        <w:r w:rsidRPr="002C5A78">
          <w:rPr>
            <w:rStyle w:val="TextoNormalCaracter"/>
          </w:rPr>
          <w:t>69/2021</w:t>
        </w:r>
      </w:hyperlink>
      <w:r>
        <w:t>, f. 2.</w:t>
      </w:r>
    </w:p>
    <w:p w:rsidR="002C5A78" w:rsidRDefault="002C5A78" w:rsidP="002C5A78">
      <w:pPr>
        <w:pStyle w:val="SangriaFrancesaArticulo"/>
      </w:pPr>
      <w:r w:rsidRPr="002C5A78">
        <w:rPr>
          <w:rStyle w:val="TextoNormalNegritaCaracter"/>
        </w:rPr>
        <w:t>Artículo 89.1.</w:t>
      </w:r>
      <w:r w:rsidRPr="002C5A78">
        <w:rPr>
          <w:rStyle w:val="TextoNormalCaracter"/>
        </w:rPr>
        <w:t>-</w:t>
      </w:r>
      <w:r>
        <w:t xml:space="preserve"> Sentencia </w:t>
      </w:r>
      <w:hyperlink w:anchor="SENTENCIA_2021_69" w:history="1">
        <w:r w:rsidRPr="002C5A78">
          <w:rPr>
            <w:rStyle w:val="TextoNormalCaracter"/>
          </w:rPr>
          <w:t>69/2021</w:t>
        </w:r>
      </w:hyperlink>
      <w:r>
        <w:t>, f. 2.</w:t>
      </w:r>
    </w:p>
    <w:p w:rsidR="002C5A78" w:rsidRDefault="002C5A78" w:rsidP="002C5A78">
      <w:pPr>
        <w:pStyle w:val="SangriaFrancesaArticulo"/>
      </w:pPr>
      <w:r w:rsidRPr="002C5A78">
        <w:rPr>
          <w:rStyle w:val="TextoNormalNegritaCaracter"/>
        </w:rPr>
        <w:t>Artículo 90.2.</w:t>
      </w:r>
      <w:r w:rsidRPr="002C5A78">
        <w:rPr>
          <w:rStyle w:val="TextoNormalCaracter"/>
        </w:rPr>
        <w:t>-</w:t>
      </w:r>
      <w:r>
        <w:t xml:space="preserve"> Sentencias </w:t>
      </w:r>
      <w:hyperlink w:anchor="SENTENCIA_2021_6" w:history="1">
        <w:r w:rsidRPr="002C5A78">
          <w:rPr>
            <w:rStyle w:val="TextoNormalCaracter"/>
          </w:rPr>
          <w:t>6/2021</w:t>
        </w:r>
      </w:hyperlink>
      <w:r>
        <w:t xml:space="preserve">, VP I, VP II; </w:t>
      </w:r>
      <w:hyperlink w:anchor="SENTENCIA_2021_7" w:history="1">
        <w:r w:rsidRPr="002C5A78">
          <w:rPr>
            <w:rStyle w:val="TextoNormalCaracter"/>
          </w:rPr>
          <w:t>7/2021</w:t>
        </w:r>
      </w:hyperlink>
      <w:r>
        <w:t xml:space="preserve">, VP I; </w:t>
      </w:r>
      <w:hyperlink w:anchor="SENTENCIA_2021_11" w:history="1">
        <w:r w:rsidRPr="002C5A78">
          <w:rPr>
            <w:rStyle w:val="TextoNormalCaracter"/>
          </w:rPr>
          <w:t>11/2021</w:t>
        </w:r>
      </w:hyperlink>
      <w:r>
        <w:t xml:space="preserve">, VP II; </w:t>
      </w:r>
      <w:hyperlink w:anchor="SENTENCIA_2021_13" w:history="1">
        <w:r w:rsidRPr="002C5A78">
          <w:rPr>
            <w:rStyle w:val="TextoNormalCaracter"/>
          </w:rPr>
          <w:t>13/2021</w:t>
        </w:r>
      </w:hyperlink>
      <w:r>
        <w:t xml:space="preserve">, VP I, VP II; </w:t>
      </w:r>
      <w:hyperlink w:anchor="SENTENCIA_2021_14" w:history="1">
        <w:r w:rsidRPr="002C5A78">
          <w:rPr>
            <w:rStyle w:val="TextoNormalCaracter"/>
          </w:rPr>
          <w:t>14/2021</w:t>
        </w:r>
      </w:hyperlink>
      <w:r>
        <w:t xml:space="preserve">, VP II; </w:t>
      </w:r>
      <w:hyperlink w:anchor="SENTENCIA_2021_36" w:history="1">
        <w:r w:rsidRPr="002C5A78">
          <w:rPr>
            <w:rStyle w:val="TextoNormalCaracter"/>
          </w:rPr>
          <w:t>36/2021</w:t>
        </w:r>
      </w:hyperlink>
      <w:r>
        <w:t xml:space="preserve">, VP; </w:t>
      </w:r>
      <w:hyperlink w:anchor="SENTENCIA_2021_50" w:history="1">
        <w:r w:rsidRPr="002C5A78">
          <w:rPr>
            <w:rStyle w:val="TextoNormalCaracter"/>
          </w:rPr>
          <w:t>50/2021</w:t>
        </w:r>
      </w:hyperlink>
      <w:r>
        <w:t xml:space="preserve">, VP; </w:t>
      </w:r>
      <w:hyperlink w:anchor="SENTENCIA_2021_61" w:history="1">
        <w:r w:rsidRPr="002C5A78">
          <w:rPr>
            <w:rStyle w:val="TextoNormalCaracter"/>
          </w:rPr>
          <w:t>61/2021</w:t>
        </w:r>
      </w:hyperlink>
      <w:r>
        <w:t xml:space="preserve">, VP I; </w:t>
      </w:r>
      <w:hyperlink w:anchor="SENTENCIA_2021_73" w:history="1">
        <w:r w:rsidRPr="002C5A78">
          <w:rPr>
            <w:rStyle w:val="TextoNormalCaracter"/>
          </w:rPr>
          <w:t>73/2021</w:t>
        </w:r>
      </w:hyperlink>
      <w:r>
        <w:t xml:space="preserve">, VP I, VP II; </w:t>
      </w:r>
      <w:hyperlink w:anchor="SENTENCIA_2021_75" w:history="1">
        <w:r w:rsidRPr="002C5A78">
          <w:rPr>
            <w:rStyle w:val="TextoNormalCaracter"/>
          </w:rPr>
          <w:t>75/2021</w:t>
        </w:r>
      </w:hyperlink>
      <w:r>
        <w:t xml:space="preserve">, VP I, VP II; </w:t>
      </w:r>
      <w:hyperlink w:anchor="SENTENCIA_2021_76" w:history="1">
        <w:r w:rsidRPr="002C5A78">
          <w:rPr>
            <w:rStyle w:val="TextoNormalCaracter"/>
          </w:rPr>
          <w:t>76/2021</w:t>
        </w:r>
      </w:hyperlink>
      <w:r>
        <w:t xml:space="preserve">, VP I, VP II, VP III; </w:t>
      </w:r>
      <w:hyperlink w:anchor="SENTENCIA_2021_93" w:history="1">
        <w:r w:rsidRPr="002C5A78">
          <w:rPr>
            <w:rStyle w:val="TextoNormalCaracter"/>
          </w:rPr>
          <w:t>93/2021</w:t>
        </w:r>
      </w:hyperlink>
      <w:r>
        <w:t xml:space="preserve">, VP; </w:t>
      </w:r>
      <w:hyperlink w:anchor="SENTENCIA_2021_101" w:history="1">
        <w:r w:rsidRPr="002C5A78">
          <w:rPr>
            <w:rStyle w:val="TextoNormalCaracter"/>
          </w:rPr>
          <w:t>101/2021</w:t>
        </w:r>
      </w:hyperlink>
      <w:r>
        <w:t xml:space="preserve">, VP;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xml:space="preserve">, VP; </w:t>
      </w:r>
      <w:hyperlink w:anchor="SENTENCIA_2021_113" w:history="1">
        <w:r w:rsidRPr="002C5A78">
          <w:rPr>
            <w:rStyle w:val="TextoNormalCaracter"/>
          </w:rPr>
          <w:t>113/2021</w:t>
        </w:r>
      </w:hyperlink>
      <w:r>
        <w:t xml:space="preserve">, VP; </w:t>
      </w:r>
      <w:hyperlink w:anchor="SENTENCIA_2021_124" w:history="1">
        <w:r w:rsidRPr="002C5A78">
          <w:rPr>
            <w:rStyle w:val="TextoNormalCaracter"/>
          </w:rPr>
          <w:t>124/2021</w:t>
        </w:r>
      </w:hyperlink>
      <w:r>
        <w:t xml:space="preserve">, VP; </w:t>
      </w:r>
      <w:hyperlink w:anchor="SENTENCIA_2021_133" w:history="1">
        <w:r w:rsidRPr="002C5A78">
          <w:rPr>
            <w:rStyle w:val="TextoNormalCaracter"/>
          </w:rPr>
          <w:t>133/2021</w:t>
        </w:r>
      </w:hyperlink>
      <w:r>
        <w:t xml:space="preserve">, VP I, VP III; </w:t>
      </w:r>
      <w:hyperlink w:anchor="SENTENCIA_2021_134" w:history="1">
        <w:r w:rsidRPr="002C5A78">
          <w:rPr>
            <w:rStyle w:val="TextoNormalCaracter"/>
          </w:rPr>
          <w:t>134/2021</w:t>
        </w:r>
      </w:hyperlink>
      <w:r>
        <w:t>, VP I, VP II, VP III.</w:t>
      </w:r>
    </w:p>
    <w:p w:rsidR="002C5A78" w:rsidRDefault="002C5A78" w:rsidP="002C5A78">
      <w:pPr>
        <w:pStyle w:val="SangriaFrancesaArticulo"/>
      </w:pPr>
      <w:r w:rsidRPr="002C5A78">
        <w:rPr>
          <w:rStyle w:val="TextoNormalNegritaCaracter"/>
        </w:rPr>
        <w:t>Artículo 92.</w:t>
      </w:r>
      <w:r w:rsidRPr="002C5A78">
        <w:rPr>
          <w:rStyle w:val="TextoNormalCaracter"/>
        </w:rPr>
        <w:t>-</w:t>
      </w:r>
      <w:r>
        <w:t xml:space="preserve"> Auto </w:t>
      </w:r>
      <w:hyperlink w:anchor="AUTO_2021_57" w:history="1">
        <w:r w:rsidRPr="002C5A78">
          <w:rPr>
            <w:rStyle w:val="TextoNormalCaracter"/>
          </w:rPr>
          <w:t>57/2021</w:t>
        </w:r>
      </w:hyperlink>
      <w:r>
        <w:t>, ff. 1, 2.</w:t>
      </w:r>
    </w:p>
    <w:p w:rsidR="002C5A78" w:rsidRDefault="002C5A78" w:rsidP="002C5A78">
      <w:pPr>
        <w:pStyle w:val="SangriaFrancesaArticulo"/>
      </w:pPr>
      <w:r w:rsidRPr="002C5A78">
        <w:rPr>
          <w:rStyle w:val="TextoNormalNegritaCaracter"/>
        </w:rPr>
        <w:t>Artículo 92.1.</w:t>
      </w:r>
      <w:r w:rsidRPr="002C5A78">
        <w:rPr>
          <w:rStyle w:val="TextoNormalCaracter"/>
        </w:rPr>
        <w:t>-</w:t>
      </w:r>
      <w:r>
        <w:t xml:space="preserve"> Auto </w:t>
      </w:r>
      <w:hyperlink w:anchor="AUTO_2021_57" w:history="1">
        <w:r w:rsidRPr="002C5A78">
          <w:rPr>
            <w:rStyle w:val="TextoNormalCaracter"/>
          </w:rPr>
          <w:t>57/2021</w:t>
        </w:r>
      </w:hyperlink>
      <w:r>
        <w:t>, f. 4.</w:t>
      </w:r>
    </w:p>
    <w:p w:rsidR="002C5A78" w:rsidRDefault="002C5A78" w:rsidP="002C5A78">
      <w:pPr>
        <w:pStyle w:val="SangriaFrancesaArticulo"/>
      </w:pPr>
      <w:r w:rsidRPr="002C5A78">
        <w:rPr>
          <w:rStyle w:val="TextoNormalNegritaCaracter"/>
        </w:rPr>
        <w:t>Artículo 92.1 e).</w:t>
      </w:r>
      <w:r w:rsidRPr="002C5A78">
        <w:rPr>
          <w:rStyle w:val="TextoNormalCaracter"/>
        </w:rPr>
        <w:t>-</w:t>
      </w:r>
      <w:r>
        <w:t xml:space="preserve"> Auto </w:t>
      </w:r>
      <w:hyperlink w:anchor="AUTO_2021_57" w:history="1">
        <w:r w:rsidRPr="002C5A78">
          <w:rPr>
            <w:rStyle w:val="TextoNormalCaracter"/>
          </w:rPr>
          <w:t>57/2021</w:t>
        </w:r>
      </w:hyperlink>
      <w:r>
        <w:t>, f. 4.</w:t>
      </w:r>
    </w:p>
    <w:p w:rsidR="002C5A78" w:rsidRDefault="002C5A78" w:rsidP="002C5A78">
      <w:pPr>
        <w:pStyle w:val="SangriaFrancesaArticulo"/>
      </w:pPr>
      <w:r w:rsidRPr="002C5A78">
        <w:rPr>
          <w:rStyle w:val="TextoNormalNegritaCaracter"/>
        </w:rPr>
        <w:t>Artículo 93.</w:t>
      </w:r>
      <w:r w:rsidRPr="002C5A78">
        <w:rPr>
          <w:rStyle w:val="TextoNormalCaracter"/>
        </w:rPr>
        <w:t>-</w:t>
      </w:r>
      <w:r>
        <w:t xml:space="preserve"> Auto </w:t>
      </w:r>
      <w:hyperlink w:anchor="AUTO_2021_43" w:history="1">
        <w:r w:rsidRPr="002C5A78">
          <w:rPr>
            <w:rStyle w:val="TextoNormalCaracter"/>
          </w:rPr>
          <w:t>43/2021</w:t>
        </w:r>
      </w:hyperlink>
      <w:r>
        <w:t>, f. 1.</w:t>
      </w:r>
    </w:p>
    <w:p w:rsidR="002C5A78" w:rsidRDefault="002C5A78" w:rsidP="002C5A78">
      <w:pPr>
        <w:pStyle w:val="SangriaFrancesaArticulo"/>
      </w:pPr>
      <w:r w:rsidRPr="002C5A78">
        <w:rPr>
          <w:rStyle w:val="TextoNormalNegritaCaracter"/>
        </w:rPr>
        <w:t>Artículo 93.1.</w:t>
      </w:r>
      <w:r w:rsidRPr="002C5A78">
        <w:rPr>
          <w:rStyle w:val="TextoNormalCaracter"/>
        </w:rPr>
        <w:t>-</w:t>
      </w:r>
      <w:r>
        <w:t xml:space="preserve"> Autos </w:t>
      </w:r>
      <w:hyperlink w:anchor="AUTO_2021_47" w:history="1">
        <w:r w:rsidRPr="002C5A78">
          <w:rPr>
            <w:rStyle w:val="TextoNormalCaracter"/>
          </w:rPr>
          <w:t>47/2021</w:t>
        </w:r>
      </w:hyperlink>
      <w:r>
        <w:t xml:space="preserve">, f. 1; </w:t>
      </w:r>
      <w:hyperlink w:anchor="AUTO_2021_49" w:history="1">
        <w:r w:rsidRPr="002C5A78">
          <w:rPr>
            <w:rStyle w:val="TextoNormalCaracter"/>
          </w:rPr>
          <w:t>49/2021</w:t>
        </w:r>
      </w:hyperlink>
      <w:r>
        <w:t xml:space="preserve">, f. único; </w:t>
      </w:r>
      <w:hyperlink w:anchor="AUTO_2021_50" w:history="1">
        <w:r w:rsidRPr="002C5A78">
          <w:rPr>
            <w:rStyle w:val="TextoNormalCaracter"/>
          </w:rPr>
          <w:t>50/2021</w:t>
        </w:r>
      </w:hyperlink>
      <w:r>
        <w:t>, f. único.</w:t>
      </w:r>
    </w:p>
    <w:p w:rsidR="002C5A78" w:rsidRDefault="002C5A78" w:rsidP="002C5A78">
      <w:pPr>
        <w:pStyle w:val="SangriaFrancesaArticulo"/>
      </w:pPr>
      <w:r w:rsidRPr="002C5A78">
        <w:rPr>
          <w:rStyle w:val="TextoNormalNegritaCaracter"/>
        </w:rPr>
        <w:t>Artículo 93.2.</w:t>
      </w:r>
      <w:r w:rsidRPr="002C5A78">
        <w:rPr>
          <w:rStyle w:val="TextoNormalCaracter"/>
        </w:rPr>
        <w:t>-</w:t>
      </w:r>
      <w:r>
        <w:t xml:space="preserve"> Auto </w:t>
      </w:r>
      <w:hyperlink w:anchor="AUTO_2021_16" w:history="1">
        <w:r w:rsidRPr="002C5A78">
          <w:rPr>
            <w:rStyle w:val="TextoNormalCaracter"/>
          </w:rPr>
          <w:t>16/2021</w:t>
        </w:r>
      </w:hyperlink>
      <w:r>
        <w:t>, f. 1.</w:t>
      </w:r>
    </w:p>
    <w:p w:rsidR="002C5A78" w:rsidRDefault="002C5A78" w:rsidP="002C5A78">
      <w:pPr>
        <w:pStyle w:val="SangriaFrancesaArticulo"/>
      </w:pPr>
      <w:r w:rsidRPr="002C5A78">
        <w:rPr>
          <w:rStyle w:val="TextoNormalNegritaCaracter"/>
        </w:rPr>
        <w:t>Artículo 219.10.</w:t>
      </w:r>
      <w:r w:rsidRPr="002C5A78">
        <w:rPr>
          <w:rStyle w:val="TextoNormalCaracter"/>
        </w:rPr>
        <w:t>-</w:t>
      </w:r>
      <w:r>
        <w:t xml:space="preserve"> Auto </w:t>
      </w:r>
      <w:hyperlink w:anchor="AUTO_2021_48" w:history="1">
        <w:r w:rsidRPr="002C5A78">
          <w:rPr>
            <w:rStyle w:val="TextoNormalCaracter"/>
          </w:rPr>
          <w:t>48/2021</w:t>
        </w:r>
      </w:hyperlink>
      <w:r>
        <w:t>, f. único.</w:t>
      </w:r>
    </w:p>
    <w:p w:rsidR="002C5A78" w:rsidRDefault="002C5A78" w:rsidP="002C5A78">
      <w:pPr>
        <w:pStyle w:val="SangriaFrancesaArticulo"/>
      </w:pPr>
      <w:r w:rsidRPr="002C5A78">
        <w:rPr>
          <w:rStyle w:val="TextoNormalNegritaCaracter"/>
        </w:rPr>
        <w:t>Artículo 294.1.</w:t>
      </w:r>
      <w:r w:rsidRPr="002C5A78">
        <w:rPr>
          <w:rStyle w:val="TextoNormalCaracter"/>
        </w:rPr>
        <w:t>-</w:t>
      </w:r>
      <w:r>
        <w:t xml:space="preserve"> Sentencia </w:t>
      </w:r>
      <w:hyperlink w:anchor="SENTENCIA_2021_114" w:history="1">
        <w:r w:rsidRPr="002C5A78">
          <w:rPr>
            <w:rStyle w:val="TextoNormalCaracter"/>
          </w:rPr>
          <w:t>114/2021</w:t>
        </w:r>
      </w:hyperlink>
      <w:r>
        <w:t>, f. único.</w:t>
      </w:r>
    </w:p>
    <w:p w:rsidR="002C5A78" w:rsidRDefault="002C5A78" w:rsidP="002C5A78">
      <w:pPr>
        <w:pStyle w:val="SangriaFrancesaArticulo"/>
      </w:pPr>
    </w:p>
    <w:p w:rsidR="002C5A78" w:rsidRDefault="002C5A78" w:rsidP="002C5A78">
      <w:pPr>
        <w:pStyle w:val="TextoNormalNegritaCursivandice"/>
        <w:keepNext/>
      </w:pPr>
      <w:r>
        <w:t>Acuerdo del Pleno del Tribunal Constitucional, de 15 de junio de 1982. Normas que han de regir el funcionamiento del Tribunal durante el período de vacaciones</w:t>
      </w:r>
    </w:p>
    <w:p w:rsidR="002C5A78" w:rsidRDefault="002C5A78" w:rsidP="002C5A78">
      <w:pPr>
        <w:pStyle w:val="SangriaFrancesaArticulo"/>
      </w:pPr>
      <w:r w:rsidRPr="002C5A78">
        <w:rPr>
          <w:rStyle w:val="TextoNormalNegritaCaracter"/>
        </w:rPr>
        <w:t>Artículo 2</w:t>
      </w:r>
      <w:r>
        <w:t xml:space="preserve"> (redactado por el Acuerdo de 17 de junio de 1999)</w:t>
      </w:r>
      <w:r w:rsidRPr="002C5A78">
        <w:rPr>
          <w:rStyle w:val="TextoNormalNegritaCaracter"/>
        </w:rPr>
        <w:t>.</w:t>
      </w:r>
      <w:r w:rsidRPr="002C5A78">
        <w:rPr>
          <w:rStyle w:val="TextoNormalCaracter"/>
        </w:rPr>
        <w:t>-</w:t>
      </w:r>
      <w:r>
        <w:t xml:space="preserve"> Auto </w:t>
      </w:r>
      <w:hyperlink w:anchor="AUTO_2021_7" w:history="1">
        <w:r w:rsidRPr="002C5A78">
          <w:rPr>
            <w:rStyle w:val="TextoNormalCaracter"/>
          </w:rPr>
          <w:t>7/2021</w:t>
        </w:r>
      </w:hyperlink>
      <w:r>
        <w:t>, f. único.</w:t>
      </w:r>
    </w:p>
    <w:p w:rsidR="002C5A78" w:rsidRDefault="002C5A78" w:rsidP="002C5A78">
      <w:pPr>
        <w:pStyle w:val="SangriaFrancesaArticulo"/>
      </w:pPr>
    </w:p>
    <w:p w:rsidR="002C5A78" w:rsidRDefault="002C5A78" w:rsidP="002C5A78">
      <w:pPr>
        <w:pStyle w:val="TextoNormalNegritaCursivandice"/>
        <w:keepNext/>
      </w:pPr>
      <w:r>
        <w:t>Acuerdo del Pleno del Tribunal Constitucional, de 17 de junio de 1999. Reforma del artículo 2 del Acuerdo de 15 de junio de 1982, del propio Pleno, por el que se acuerdan las normas que han de regir el funcionamiento del Tribunal durante el período de vacaciones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7" w:history="1">
        <w:r w:rsidRPr="002C5A78">
          <w:rPr>
            <w:rStyle w:val="TextoNormalCaracter"/>
          </w:rPr>
          <w:t>7/2021</w:t>
        </w:r>
      </w:hyperlink>
      <w:r>
        <w:t>, f. único.</w:t>
      </w:r>
    </w:p>
    <w:p w:rsidR="002C5A78" w:rsidRDefault="002C5A78" w:rsidP="002C5A78">
      <w:pPr>
        <w:pStyle w:val="SangriaFrancesaArticulo"/>
      </w:pPr>
    </w:p>
    <w:p w:rsidR="002C5A78" w:rsidRDefault="002C5A78" w:rsidP="002C5A78">
      <w:pPr>
        <w:pStyle w:val="TextoNormalNegritaCursivandice"/>
        <w:keepNext/>
      </w:pPr>
      <w:r>
        <w:t>Ley Orgánica 6/2007, de 24 de mayo, por la que se modifica la Ley Orgánica 2/1979, de 3 de octubre, del Tribunal Constitucional</w:t>
      </w:r>
    </w:p>
    <w:p w:rsidR="002C5A78" w:rsidRDefault="002C5A78" w:rsidP="002C5A78">
      <w:pPr>
        <w:pStyle w:val="SangriaFrancesaArticulo"/>
        <w:keepNext/>
      </w:pPr>
      <w:r w:rsidRPr="002C5A78">
        <w:rPr>
          <w:rStyle w:val="TextoNormalNegritaCaracter"/>
        </w:rPr>
        <w:t>En general.</w:t>
      </w:r>
      <w:r w:rsidRPr="002C5A78">
        <w:rPr>
          <w:rStyle w:val="TextoNormalCaracter"/>
        </w:rPr>
        <w:t>-</w:t>
      </w:r>
      <w:r>
        <w:t xml:space="preserve"> Sentencias </w:t>
      </w:r>
      <w:hyperlink w:anchor="SENTENCIA_2021_35" w:history="1">
        <w:r w:rsidRPr="002C5A78">
          <w:rPr>
            <w:rStyle w:val="TextoNormalCaracter"/>
          </w:rPr>
          <w:t>35/2021</w:t>
        </w:r>
      </w:hyperlink>
      <w:r>
        <w:t xml:space="preserve">, f. 1; </w:t>
      </w:r>
      <w:hyperlink w:anchor="SENTENCIA_2021_61" w:history="1">
        <w:r w:rsidRPr="002C5A78">
          <w:rPr>
            <w:rStyle w:val="TextoNormalCaracter"/>
          </w:rPr>
          <w:t>61/2021</w:t>
        </w:r>
      </w:hyperlink>
      <w:r>
        <w:t xml:space="preserve">, f. 2; </w:t>
      </w:r>
      <w:hyperlink w:anchor="SENTENCIA_2021_73" w:history="1">
        <w:r w:rsidRPr="002C5A78">
          <w:rPr>
            <w:rStyle w:val="TextoNormalCaracter"/>
          </w:rPr>
          <w:t>73/2021</w:t>
        </w:r>
      </w:hyperlink>
      <w:r>
        <w:t xml:space="preserve">, f. 2; </w:t>
      </w:r>
      <w:hyperlink w:anchor="SENTENCIA_2021_104" w:history="1">
        <w:r w:rsidRPr="002C5A78">
          <w:rPr>
            <w:rStyle w:val="TextoNormalCaracter"/>
          </w:rPr>
          <w:t>104/2021</w:t>
        </w:r>
      </w:hyperlink>
      <w:r>
        <w:t xml:space="preserve">, f. 2; </w:t>
      </w:r>
      <w:hyperlink w:anchor="SENTENCIA_2021_107" w:history="1">
        <w:r w:rsidRPr="002C5A78">
          <w:rPr>
            <w:rStyle w:val="TextoNormalCaracter"/>
          </w:rPr>
          <w:t>107/2021</w:t>
        </w:r>
      </w:hyperlink>
      <w:r>
        <w:t>, f. 2.</w:t>
      </w:r>
    </w:p>
    <w:p w:rsidR="002C5A78" w:rsidRDefault="002C5A78" w:rsidP="002C5A78">
      <w:pPr>
        <w:pStyle w:val="SangriaIzquierdaArticulo"/>
      </w:pPr>
      <w:r>
        <w:t xml:space="preserve">Autos </w:t>
      </w:r>
      <w:hyperlink w:anchor="AUTO_2021_1" w:history="1">
        <w:r w:rsidRPr="002C5A78">
          <w:rPr>
            <w:rStyle w:val="TextoNormalCaracter"/>
          </w:rPr>
          <w:t>1/2021</w:t>
        </w:r>
      </w:hyperlink>
      <w:r>
        <w:t xml:space="preserve">, f. 2; </w:t>
      </w:r>
      <w:hyperlink w:anchor="AUTO_2021_2" w:history="1">
        <w:r w:rsidRPr="002C5A78">
          <w:rPr>
            <w:rStyle w:val="TextoNormalCaracter"/>
          </w:rPr>
          <w:t>2/2021</w:t>
        </w:r>
      </w:hyperlink>
      <w:r>
        <w:t xml:space="preserve">, f. 2; </w:t>
      </w:r>
      <w:hyperlink w:anchor="AUTO_2021_11" w:history="1">
        <w:r w:rsidRPr="002C5A78">
          <w:rPr>
            <w:rStyle w:val="TextoNormalCaracter"/>
          </w:rPr>
          <w:t>11/2021</w:t>
        </w:r>
      </w:hyperlink>
      <w:r>
        <w:t xml:space="preserve">, f. 2; </w:t>
      </w:r>
      <w:hyperlink w:anchor="AUTO_2021_12" w:history="1">
        <w:r w:rsidRPr="002C5A78">
          <w:rPr>
            <w:rStyle w:val="TextoNormalCaracter"/>
          </w:rPr>
          <w:t>12/2021</w:t>
        </w:r>
      </w:hyperlink>
      <w:r>
        <w:t xml:space="preserve">, f. 2; </w:t>
      </w:r>
      <w:hyperlink w:anchor="AUTO_2021_23" w:history="1">
        <w:r w:rsidRPr="002C5A78">
          <w:rPr>
            <w:rStyle w:val="TextoNormalCaracter"/>
          </w:rPr>
          <w:t>23/2021</w:t>
        </w:r>
      </w:hyperlink>
      <w:r>
        <w:t xml:space="preserve">, f. único; </w:t>
      </w:r>
      <w:hyperlink w:anchor="AUTO_2021_35" w:history="1">
        <w:r w:rsidRPr="002C5A78">
          <w:rPr>
            <w:rStyle w:val="TextoNormalCaracter"/>
          </w:rPr>
          <w:t>35/2021</w:t>
        </w:r>
      </w:hyperlink>
      <w:r>
        <w:t xml:space="preserve">, f. 2; </w:t>
      </w:r>
      <w:hyperlink w:anchor="AUTO_2021_36" w:history="1">
        <w:r w:rsidRPr="002C5A78">
          <w:rPr>
            <w:rStyle w:val="TextoNormalCaracter"/>
          </w:rPr>
          <w:t>36/2021</w:t>
        </w:r>
      </w:hyperlink>
      <w:r>
        <w:t>, f. único.</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73" w:history="1">
        <w:r w:rsidRPr="002C5A78">
          <w:rPr>
            <w:rStyle w:val="TextoNormalCaracter"/>
          </w:rPr>
          <w:t>73/2021</w:t>
        </w:r>
      </w:hyperlink>
      <w:r>
        <w:t>, VP I.</w:t>
      </w:r>
    </w:p>
    <w:p w:rsidR="002C5A78" w:rsidRDefault="002C5A78" w:rsidP="002C5A78">
      <w:pPr>
        <w:pStyle w:val="SangriaFrancesaArticulo"/>
      </w:pPr>
    </w:p>
    <w:p w:rsidR="002C5A78" w:rsidRDefault="002C5A78" w:rsidP="002C5A78">
      <w:pPr>
        <w:pStyle w:val="TextoNormalNegritaCursivandice"/>
        <w:keepNext/>
      </w:pPr>
      <w:r>
        <w:t>Acuerdo del Pleno del Tribunal Constitucional de 23 de julio de 2015. Regula la exclusión de los datos de identidad personal en la publicación de las resoluciones jurisdiccionales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1" w:history="1">
        <w:r w:rsidRPr="002C5A78">
          <w:rPr>
            <w:rStyle w:val="TextoNormalCaracter"/>
          </w:rPr>
          <w:t>51/2021</w:t>
        </w:r>
      </w:hyperlink>
      <w:r>
        <w:t>, f. 2.</w:t>
      </w:r>
    </w:p>
    <w:p w:rsidR="002C5A78" w:rsidRDefault="002C5A78" w:rsidP="002C5A78">
      <w:pPr>
        <w:pStyle w:val="TextoNormal"/>
      </w:pPr>
    </w:p>
    <w:p w:rsidR="002C5A78" w:rsidRDefault="002C5A78" w:rsidP="002C5A78">
      <w:pPr>
        <w:pStyle w:val="SangriaFrancesaArticulo"/>
      </w:pPr>
      <w:bookmarkStart w:id="218" w:name="INDICE22844"/>
    </w:p>
    <w:bookmarkEnd w:id="218"/>
    <w:p w:rsidR="002C5A78" w:rsidRDefault="002C5A78" w:rsidP="002C5A78">
      <w:pPr>
        <w:pStyle w:val="TextoIndiceNivel2"/>
        <w:suppressAutoHyphens/>
      </w:pPr>
      <w:r>
        <w:t>C) Cortes Generales</w:t>
      </w:r>
    </w:p>
    <w:p w:rsidR="002C5A78" w:rsidRDefault="002C5A78" w:rsidP="002C5A78">
      <w:pPr>
        <w:pStyle w:val="TextoIndiceNivel2"/>
      </w:pPr>
    </w:p>
    <w:p w:rsidR="002C5A78" w:rsidRDefault="002C5A78" w:rsidP="002C5A78">
      <w:pPr>
        <w:pStyle w:val="TextoNormalNegritaCursivandice"/>
        <w:keepNext/>
      </w:pPr>
      <w:r>
        <w:t>Reglamento del Congreso de los Diputados, de 10 de febrero de 1982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7" w:history="1">
        <w:r w:rsidRPr="002C5A78">
          <w:rPr>
            <w:rStyle w:val="TextoNormalCaracter"/>
          </w:rPr>
          <w:t>137/2021</w:t>
        </w:r>
      </w:hyperlink>
      <w:r>
        <w:t>, f. 4.</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90" w:history="1">
        <w:r w:rsidRPr="002C5A78">
          <w:rPr>
            <w:rStyle w:val="TextoNormalCaracter"/>
          </w:rPr>
          <w:t>90/2021</w:t>
        </w:r>
      </w:hyperlink>
      <w:r>
        <w:t xml:space="preserve">, f. 4; </w:t>
      </w:r>
      <w:hyperlink w:anchor="SENTENCIA_2021_105" w:history="1">
        <w:r w:rsidRPr="002C5A78">
          <w:rPr>
            <w:rStyle w:val="TextoNormalCaracter"/>
          </w:rPr>
          <w:t>105/2021</w:t>
        </w:r>
      </w:hyperlink>
      <w:r>
        <w:t xml:space="preserve">, f. 4; </w:t>
      </w:r>
      <w:hyperlink w:anchor="SENTENCIA_2021_137" w:history="1">
        <w:r w:rsidRPr="002C5A78">
          <w:rPr>
            <w:rStyle w:val="TextoNormalCaracter"/>
          </w:rPr>
          <w:t>137/2021</w:t>
        </w:r>
      </w:hyperlink>
      <w:r>
        <w:t>, ff. 2, 4.</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69" w:history="1">
        <w:r w:rsidRPr="002C5A78">
          <w:rPr>
            <w:rStyle w:val="TextoNormalCaracter"/>
          </w:rPr>
          <w:t>69/2021</w:t>
        </w:r>
      </w:hyperlink>
      <w:r>
        <w:t>, f. 5.</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90" w:history="1">
        <w:r w:rsidRPr="002C5A78">
          <w:rPr>
            <w:rStyle w:val="TextoNormalCaracter"/>
          </w:rPr>
          <w:t>90/2021</w:t>
        </w:r>
      </w:hyperlink>
      <w:r>
        <w:t xml:space="preserve">, f. 4; </w:t>
      </w:r>
      <w:hyperlink w:anchor="SENTENCIA_2021_105" w:history="1">
        <w:r w:rsidRPr="002C5A78">
          <w:rPr>
            <w:rStyle w:val="TextoNormalCaracter"/>
          </w:rPr>
          <w:t>105/2021</w:t>
        </w:r>
      </w:hyperlink>
      <w:r>
        <w:t xml:space="preserve">, f. 4; </w:t>
      </w:r>
      <w:hyperlink w:anchor="SENTENCIA_2021_137" w:history="1">
        <w:r w:rsidRPr="002C5A78">
          <w:rPr>
            <w:rStyle w:val="TextoNormalCaracter"/>
          </w:rPr>
          <w:t>137/2021</w:t>
        </w:r>
      </w:hyperlink>
      <w:r>
        <w:t>, f. 2.</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Sentencias </w:t>
      </w:r>
      <w:hyperlink w:anchor="SENTENCIA_2021_70" w:history="1">
        <w:r w:rsidRPr="002C5A78">
          <w:rPr>
            <w:rStyle w:val="TextoNormalCaracter"/>
          </w:rPr>
          <w:t>70/2021</w:t>
        </w:r>
      </w:hyperlink>
      <w:r>
        <w:t xml:space="preserve">, ff. 1, 4, 5; </w:t>
      </w:r>
      <w:hyperlink w:anchor="SENTENCIA_2021_71" w:history="1">
        <w:r w:rsidRPr="002C5A78">
          <w:rPr>
            <w:rStyle w:val="TextoNormalCaracter"/>
          </w:rPr>
          <w:t>71/2021</w:t>
        </w:r>
      </w:hyperlink>
      <w:r>
        <w:t>, ff. 4, 5.</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137" w:history="1">
        <w:r w:rsidRPr="002C5A78">
          <w:rPr>
            <w:rStyle w:val="TextoNormalCaracter"/>
          </w:rPr>
          <w:t>137/2021</w:t>
        </w:r>
      </w:hyperlink>
      <w:r>
        <w:t>, f. 4.</w:t>
      </w:r>
    </w:p>
    <w:p w:rsidR="002C5A78" w:rsidRDefault="002C5A78" w:rsidP="002C5A78">
      <w:pPr>
        <w:pStyle w:val="SangriaFrancesaArticulo"/>
      </w:pPr>
      <w:r w:rsidRPr="002C5A78">
        <w:rPr>
          <w:rStyle w:val="TextoNormalNegritaCaracter"/>
        </w:rPr>
        <w:t>Artículo 28.1.</w:t>
      </w:r>
      <w:r w:rsidRPr="002C5A78">
        <w:rPr>
          <w:rStyle w:val="TextoNormalCaracter"/>
        </w:rPr>
        <w:t>-</w:t>
      </w:r>
      <w:r>
        <w:t xml:space="preserve"> Sentencia </w:t>
      </w:r>
      <w:hyperlink w:anchor="SENTENCIA_2021_137" w:history="1">
        <w:r w:rsidRPr="002C5A78">
          <w:rPr>
            <w:rStyle w:val="TextoNormalCaracter"/>
          </w:rPr>
          <w:t>137/2021</w:t>
        </w:r>
      </w:hyperlink>
      <w:r>
        <w:t>, f. 3.</w:t>
      </w:r>
    </w:p>
    <w:p w:rsidR="002C5A78" w:rsidRDefault="002C5A78" w:rsidP="002C5A78">
      <w:pPr>
        <w:pStyle w:val="SangriaFrancesaArticulo"/>
      </w:pPr>
      <w:r w:rsidRPr="002C5A78">
        <w:rPr>
          <w:rStyle w:val="TextoNormalNegritaCaracter"/>
        </w:rPr>
        <w:t>Artículo 30.1.</w:t>
      </w:r>
      <w:r w:rsidRPr="002C5A78">
        <w:rPr>
          <w:rStyle w:val="TextoNormalCaracter"/>
        </w:rPr>
        <w:t>-</w:t>
      </w:r>
      <w:r>
        <w:t xml:space="preserve"> Sentencia </w:t>
      </w:r>
      <w:hyperlink w:anchor="SENTENCIA_2021_69" w:history="1">
        <w:r w:rsidRPr="002C5A78">
          <w:rPr>
            <w:rStyle w:val="TextoNormalCaracter"/>
          </w:rPr>
          <w:t>69/2021</w:t>
        </w:r>
      </w:hyperlink>
      <w:r>
        <w:t>, f. 5.</w:t>
      </w:r>
    </w:p>
    <w:p w:rsidR="002C5A78" w:rsidRDefault="002C5A78" w:rsidP="002C5A78">
      <w:pPr>
        <w:pStyle w:val="SangriaFrancesaArticulo"/>
      </w:pPr>
      <w:r w:rsidRPr="002C5A78">
        <w:rPr>
          <w:rStyle w:val="TextoNormalNegritaCaracter"/>
        </w:rPr>
        <w:t>Artículo 31.1.1.</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137" w:history="1">
        <w:r w:rsidRPr="002C5A78">
          <w:rPr>
            <w:rStyle w:val="TextoNormalCaracter"/>
          </w:rPr>
          <w:t>137/2021</w:t>
        </w:r>
      </w:hyperlink>
      <w:r>
        <w:t>, f. 4.</w:t>
      </w:r>
    </w:p>
    <w:p w:rsidR="002C5A78" w:rsidRDefault="002C5A78" w:rsidP="002C5A78">
      <w:pPr>
        <w:pStyle w:val="SangriaFrancesaArticulo"/>
      </w:pPr>
      <w:r w:rsidRPr="002C5A78">
        <w:rPr>
          <w:rStyle w:val="TextoNormalNegritaCaracter"/>
        </w:rPr>
        <w:t>Artículo 31.1.4.</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137" w:history="1">
        <w:r w:rsidRPr="002C5A78">
          <w:rPr>
            <w:rStyle w:val="TextoNormalCaracter"/>
          </w:rPr>
          <w:t>137/2021</w:t>
        </w:r>
      </w:hyperlink>
      <w:r>
        <w:t>, f. 4.</w:t>
      </w:r>
    </w:p>
    <w:p w:rsidR="002C5A78" w:rsidRDefault="002C5A78" w:rsidP="002C5A78">
      <w:pPr>
        <w:pStyle w:val="SangriaFrancesaArticulo"/>
      </w:pPr>
      <w:r w:rsidRPr="002C5A78">
        <w:rPr>
          <w:rStyle w:val="TextoNormalNegritaCaracter"/>
        </w:rPr>
        <w:t>Artículo 31.1.5.</w:t>
      </w:r>
      <w:r w:rsidRPr="002C5A78">
        <w:rPr>
          <w:rStyle w:val="TextoNormalCaracter"/>
        </w:rPr>
        <w:t>-</w:t>
      </w:r>
      <w:r>
        <w:t xml:space="preserve"> Sentencia </w:t>
      </w:r>
      <w:hyperlink w:anchor="SENTENCIA_2021_69" w:history="1">
        <w:r w:rsidRPr="002C5A78">
          <w:rPr>
            <w:rStyle w:val="TextoNormalCaracter"/>
          </w:rPr>
          <w:t>69/2021</w:t>
        </w:r>
      </w:hyperlink>
      <w:r>
        <w:t>, f. 5.</w:t>
      </w:r>
    </w:p>
    <w:p w:rsidR="002C5A78" w:rsidRDefault="002C5A78" w:rsidP="002C5A78">
      <w:pPr>
        <w:pStyle w:val="SangriaFrancesaArticulo"/>
      </w:pPr>
      <w:r w:rsidRPr="002C5A78">
        <w:rPr>
          <w:rStyle w:val="TextoNormalNegritaCaracter"/>
        </w:rPr>
        <w:t>Artículo 31.1.7.</w:t>
      </w:r>
      <w:r w:rsidRPr="002C5A78">
        <w:rPr>
          <w:rStyle w:val="TextoNormalCaracter"/>
        </w:rPr>
        <w:t>-</w:t>
      </w:r>
      <w:r>
        <w:t xml:space="preserve"> Sentencia </w:t>
      </w:r>
      <w:hyperlink w:anchor="SENTENCIA_2021_69" w:history="1">
        <w:r w:rsidRPr="002C5A78">
          <w:rPr>
            <w:rStyle w:val="TextoNormalCaracter"/>
          </w:rPr>
          <w:t>69/2021</w:t>
        </w:r>
      </w:hyperlink>
      <w:r>
        <w:t>, f. 5.</w:t>
      </w:r>
    </w:p>
    <w:p w:rsidR="002C5A78" w:rsidRDefault="002C5A78" w:rsidP="002C5A78">
      <w:pPr>
        <w:pStyle w:val="SangriaFrancesaArticulo"/>
      </w:pPr>
      <w:r w:rsidRPr="002C5A78">
        <w:rPr>
          <w:rStyle w:val="TextoNormalNegritaCaracter"/>
        </w:rPr>
        <w:t>Artículo 31.2.</w:t>
      </w:r>
      <w:r w:rsidRPr="002C5A78">
        <w:rPr>
          <w:rStyle w:val="TextoNormalCaracter"/>
        </w:rPr>
        <w:t>-</w:t>
      </w:r>
      <w:r>
        <w:t xml:space="preserve"> Sentencias </w:t>
      </w:r>
      <w:hyperlink w:anchor="SENTENCIA_2021_69" w:history="1">
        <w:r w:rsidRPr="002C5A78">
          <w:rPr>
            <w:rStyle w:val="TextoNormalCaracter"/>
          </w:rPr>
          <w:t>69/2021</w:t>
        </w:r>
      </w:hyperlink>
      <w:r>
        <w:t xml:space="preserve">, ff. 1, 2, 5; </w:t>
      </w:r>
      <w:hyperlink w:anchor="SENTENCIA_2021_90" w:history="1">
        <w:r w:rsidRPr="002C5A78">
          <w:rPr>
            <w:rStyle w:val="TextoNormalCaracter"/>
          </w:rPr>
          <w:t>90/2021</w:t>
        </w:r>
      </w:hyperlink>
      <w:r>
        <w:t xml:space="preserve">, ff. 1, 3, 4; </w:t>
      </w:r>
      <w:hyperlink w:anchor="SENTENCIA_2021_105" w:history="1">
        <w:r w:rsidRPr="002C5A78">
          <w:rPr>
            <w:rStyle w:val="TextoNormalCaracter"/>
          </w:rPr>
          <w:t>105/2021</w:t>
        </w:r>
      </w:hyperlink>
      <w:r>
        <w:t>, ff. 1, 3.</w:t>
      </w:r>
    </w:p>
    <w:p w:rsidR="002C5A78" w:rsidRDefault="002C5A78" w:rsidP="002C5A78">
      <w:pPr>
        <w:pStyle w:val="SangriaFrancesaArticulo"/>
      </w:pPr>
      <w:r w:rsidRPr="002C5A78">
        <w:rPr>
          <w:rStyle w:val="TextoNormalNegritaCaracter"/>
        </w:rPr>
        <w:t>Artículo 32.2.</w:t>
      </w:r>
      <w:r w:rsidRPr="002C5A78">
        <w:rPr>
          <w:rStyle w:val="TextoNormalCaracter"/>
        </w:rPr>
        <w:t>-</w:t>
      </w:r>
      <w:r>
        <w:t xml:space="preserve"> Sentencia </w:t>
      </w:r>
      <w:hyperlink w:anchor="SENTENCIA_2021_69" w:history="1">
        <w:r w:rsidRPr="002C5A78">
          <w:rPr>
            <w:rStyle w:val="TextoNormalCaracter"/>
          </w:rPr>
          <w:t>69/2021</w:t>
        </w:r>
      </w:hyperlink>
      <w:r>
        <w:t>, f. 5.</w:t>
      </w:r>
    </w:p>
    <w:p w:rsidR="002C5A78" w:rsidRDefault="002C5A78" w:rsidP="002C5A78">
      <w:pPr>
        <w:pStyle w:val="SangriaFrancesaArticulo"/>
      </w:pPr>
      <w:r w:rsidRPr="002C5A78">
        <w:rPr>
          <w:rStyle w:val="TextoNormalNegritaCaracter"/>
        </w:rPr>
        <w:t>Artículo 40.1.</w:t>
      </w:r>
      <w:r w:rsidRPr="002C5A78">
        <w:rPr>
          <w:rStyle w:val="TextoNormalCaracter"/>
        </w:rPr>
        <w:t>-</w:t>
      </w:r>
      <w:r>
        <w:t xml:space="preserve"> Sentencia </w:t>
      </w:r>
      <w:hyperlink w:anchor="SENTENCIA_2021_134" w:history="1">
        <w:r w:rsidRPr="002C5A78">
          <w:rPr>
            <w:rStyle w:val="TextoNormalCaracter"/>
          </w:rPr>
          <w:t>134/2021</w:t>
        </w:r>
      </w:hyperlink>
      <w:r>
        <w:t>, f. 1.</w:t>
      </w:r>
    </w:p>
    <w:p w:rsidR="002C5A78" w:rsidRDefault="002C5A78" w:rsidP="002C5A78">
      <w:pPr>
        <w:pStyle w:val="SangriaFrancesaArticulo"/>
      </w:pPr>
      <w:r w:rsidRPr="002C5A78">
        <w:rPr>
          <w:rStyle w:val="TextoNormalNegritaCaracter"/>
        </w:rPr>
        <w:t>Artículo 60.</w:t>
      </w:r>
      <w:r w:rsidRPr="002C5A78">
        <w:rPr>
          <w:rStyle w:val="TextoNormalCaracter"/>
        </w:rPr>
        <w:t>-</w:t>
      </w:r>
      <w:r>
        <w:t xml:space="preserve"> Sentencia </w:t>
      </w:r>
      <w:hyperlink w:anchor="SENTENCIA_2021_137" w:history="1">
        <w:r w:rsidRPr="002C5A78">
          <w:rPr>
            <w:rStyle w:val="TextoNormalCaracter"/>
          </w:rPr>
          <w:t>137/2021</w:t>
        </w:r>
      </w:hyperlink>
      <w:r>
        <w:t>, f. 2.</w:t>
      </w:r>
    </w:p>
    <w:p w:rsidR="002C5A78" w:rsidRDefault="002C5A78" w:rsidP="002C5A78">
      <w:pPr>
        <w:pStyle w:val="SangriaFrancesaArticulo"/>
      </w:pPr>
      <w:r w:rsidRPr="002C5A78">
        <w:rPr>
          <w:rStyle w:val="TextoNormalNegritaCaracter"/>
        </w:rPr>
        <w:t>Artículo 126.2.</w:t>
      </w:r>
      <w:r w:rsidRPr="002C5A78">
        <w:rPr>
          <w:rStyle w:val="TextoNormalCaracter"/>
        </w:rPr>
        <w:t>-</w:t>
      </w:r>
      <w:r>
        <w:t xml:space="preserve"> Sentencia </w:t>
      </w:r>
      <w:hyperlink w:anchor="SENTENCIA_2021_53" w:history="1">
        <w:r w:rsidRPr="002C5A78">
          <w:rPr>
            <w:rStyle w:val="TextoNormalCaracter"/>
          </w:rPr>
          <w:t>53/2021</w:t>
        </w:r>
      </w:hyperlink>
      <w:r>
        <w:t>, f. 5.</w:t>
      </w:r>
    </w:p>
    <w:p w:rsidR="002C5A78" w:rsidRDefault="002C5A78" w:rsidP="002C5A78">
      <w:pPr>
        <w:pStyle w:val="SangriaFrancesaArticulo"/>
      </w:pPr>
      <w:r w:rsidRPr="002C5A78">
        <w:rPr>
          <w:rStyle w:val="TextoNormalNegritaCaracter"/>
        </w:rPr>
        <w:t>Artículo 151.</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p>
    <w:p w:rsidR="002C5A78" w:rsidRDefault="002C5A78" w:rsidP="002C5A78">
      <w:pPr>
        <w:pStyle w:val="TextoNormalNegritaCursivandice"/>
        <w:keepNext/>
      </w:pPr>
      <w:r>
        <w:t>Texto refundido del Reglamento del Senado aprobado por la mesa del Senado, oída la junta de portavoces, en su reunión del día 3 de mayo de 1994</w:t>
      </w:r>
    </w:p>
    <w:p w:rsidR="002C5A78" w:rsidRDefault="002C5A78" w:rsidP="002C5A78">
      <w:pPr>
        <w:pStyle w:val="SangriaFrancesaArticulo"/>
      </w:pPr>
      <w:r w:rsidRPr="002C5A78">
        <w:rPr>
          <w:rStyle w:val="TextoNormalNegritaCaracter"/>
        </w:rPr>
        <w:t>Artículo 21.1.</w:t>
      </w:r>
      <w:r w:rsidRPr="002C5A78">
        <w:rPr>
          <w:rStyle w:val="TextoNormalCaracter"/>
        </w:rPr>
        <w:t>-</w:t>
      </w:r>
      <w:r>
        <w:t xml:space="preserve"> Sentencias </w:t>
      </w:r>
      <w:hyperlink w:anchor="SENTENCIA_2021_70" w:history="1">
        <w:r w:rsidRPr="002C5A78">
          <w:rPr>
            <w:rStyle w:val="TextoNormalCaracter"/>
          </w:rPr>
          <w:t>70/2021</w:t>
        </w:r>
      </w:hyperlink>
      <w:r>
        <w:t xml:space="preserve">, f. 5; </w:t>
      </w:r>
      <w:hyperlink w:anchor="SENTENCIA_2021_71" w:history="1">
        <w:r w:rsidRPr="002C5A78">
          <w:rPr>
            <w:rStyle w:val="TextoNormalCaracter"/>
          </w:rPr>
          <w:t>71/2021</w:t>
        </w:r>
      </w:hyperlink>
      <w:r>
        <w:t>, f. 5.</w:t>
      </w:r>
    </w:p>
    <w:p w:rsidR="002C5A78" w:rsidRDefault="002C5A78" w:rsidP="002C5A78">
      <w:pPr>
        <w:pStyle w:val="SangriaFrancesaArticulo"/>
      </w:pPr>
      <w:r w:rsidRPr="002C5A78">
        <w:rPr>
          <w:rStyle w:val="TextoNormalNegritaCaracter"/>
        </w:rPr>
        <w:t>Artículo 22.1.</w:t>
      </w:r>
      <w:r w:rsidRPr="002C5A78">
        <w:rPr>
          <w:rStyle w:val="TextoNormalCaracter"/>
        </w:rPr>
        <w:t>-</w:t>
      </w:r>
      <w:r>
        <w:t xml:space="preserve"> Sentencias </w:t>
      </w:r>
      <w:hyperlink w:anchor="SENTENCIA_2021_70" w:history="1">
        <w:r w:rsidRPr="002C5A78">
          <w:rPr>
            <w:rStyle w:val="TextoNormalCaracter"/>
          </w:rPr>
          <w:t>70/2021</w:t>
        </w:r>
      </w:hyperlink>
      <w:r>
        <w:t xml:space="preserve">, ff. 1, 4; </w:t>
      </w:r>
      <w:hyperlink w:anchor="SENTENCIA_2021_71" w:history="1">
        <w:r w:rsidRPr="002C5A78">
          <w:rPr>
            <w:rStyle w:val="TextoNormalCaracter"/>
          </w:rPr>
          <w:t>71/2021</w:t>
        </w:r>
      </w:hyperlink>
      <w:r>
        <w:t>, f. 4.</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 </w:t>
      </w:r>
      <w:hyperlink w:anchor="SENTENCIA_2021_134" w:history="1">
        <w:r w:rsidRPr="002C5A78">
          <w:rPr>
            <w:rStyle w:val="TextoNormalCaracter"/>
          </w:rPr>
          <w:t>134/2021</w:t>
        </w:r>
      </w:hyperlink>
      <w:r>
        <w:t>, f. 1.</w:t>
      </w:r>
    </w:p>
    <w:p w:rsidR="002C5A78" w:rsidRDefault="002C5A78" w:rsidP="002C5A78">
      <w:pPr>
        <w:pStyle w:val="SangriaFrancesaArticulo"/>
      </w:pPr>
    </w:p>
    <w:p w:rsidR="002C5A78" w:rsidRDefault="002C5A78" w:rsidP="002C5A78">
      <w:pPr>
        <w:pStyle w:val="TextoNormalNegritaCursivandice"/>
        <w:keepNext/>
      </w:pPr>
      <w:r>
        <w:t>Acuerdo del Pleno del Senado, de 27 de octubre de 2017, por el que se aprueba autorizar las medidas requeridas por el Gobierno, al amparo del artículo 155 de la Constitución; publicado mediante resolución de 27 de octubre de 2017</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Acuerdo de la mesa del Congreso de los Diputados de 31 de octubre de 2018, de denegación de la solicitud del uso de la sala constitucional. Acuerdo de la mesa del Congreso de los Diputados de 15 de noviembre de 2018, de desestimación de la reconsideración del acuerdo anterior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7" w:history="1">
        <w:r w:rsidRPr="002C5A78">
          <w:rPr>
            <w:rStyle w:val="TextoNormalCaracter"/>
          </w:rPr>
          <w:t>137/2021</w:t>
        </w:r>
      </w:hyperlink>
      <w:r>
        <w:t>, ff. 1, 2, 4.</w:t>
      </w:r>
    </w:p>
    <w:p w:rsidR="002C5A78" w:rsidRDefault="002C5A78" w:rsidP="002C5A78">
      <w:pPr>
        <w:pStyle w:val="SangriaFrancesaArticulo"/>
      </w:pPr>
    </w:p>
    <w:p w:rsidR="002C5A78" w:rsidRDefault="002C5A78" w:rsidP="002C5A78">
      <w:pPr>
        <w:pStyle w:val="TextoNormalNegritaCursivandice"/>
        <w:keepNext/>
      </w:pPr>
      <w:r>
        <w:t>Acuerdo de la mesa del Congreso de los Diputados de 23 de mayo de 2019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9" w:history="1">
        <w:r w:rsidRPr="002C5A78">
          <w:rPr>
            <w:rStyle w:val="TextoNormalCaracter"/>
          </w:rPr>
          <w:t>69/2021</w:t>
        </w:r>
      </w:hyperlink>
      <w:r>
        <w:t>, f. 5.</w:t>
      </w:r>
    </w:p>
    <w:p w:rsidR="002C5A78" w:rsidRDefault="002C5A78" w:rsidP="002C5A78">
      <w:pPr>
        <w:pStyle w:val="SangriaFrancesaArticulo"/>
      </w:pPr>
    </w:p>
    <w:p w:rsidR="002C5A78" w:rsidRDefault="002C5A78" w:rsidP="002C5A78">
      <w:pPr>
        <w:pStyle w:val="TextoNormalNegritaCursivandice"/>
        <w:keepNext/>
      </w:pPr>
      <w:r>
        <w:t>Acuerdo de la mesa del Congreso de los Diputados de 24 de mayo de 2019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9" w:history="1">
        <w:r w:rsidRPr="002C5A78">
          <w:rPr>
            <w:rStyle w:val="TextoNormalCaracter"/>
          </w:rPr>
          <w:t>69/2021</w:t>
        </w:r>
      </w:hyperlink>
      <w:r>
        <w:t>, ff. 2, 3, 5.</w:t>
      </w:r>
    </w:p>
    <w:p w:rsidR="002C5A78" w:rsidRDefault="002C5A78" w:rsidP="002C5A78">
      <w:pPr>
        <w:pStyle w:val="SangriaFrancesaArticulo"/>
      </w:pPr>
    </w:p>
    <w:p w:rsidR="002C5A78" w:rsidRDefault="002C5A78" w:rsidP="002C5A78">
      <w:pPr>
        <w:pStyle w:val="TextoNormalNegritaCursivandice"/>
        <w:keepNext/>
      </w:pPr>
      <w:r>
        <w:t>Acuerdo de la mesa del Congreso de los Diputados de 5 de junio de 2019</w:t>
      </w:r>
    </w:p>
    <w:p w:rsidR="002C5A78" w:rsidRDefault="002C5A78" w:rsidP="002C5A78">
      <w:pPr>
        <w:pStyle w:val="SangriaFrancesaArticulo"/>
      </w:pPr>
      <w:r w:rsidRPr="002C5A78">
        <w:rPr>
          <w:rStyle w:val="TextoNormalNegritaCaracter"/>
        </w:rPr>
        <w:t>Apartado 2.</w:t>
      </w:r>
      <w:r w:rsidRPr="002C5A78">
        <w:rPr>
          <w:rStyle w:val="TextoNormalCaracter"/>
        </w:rPr>
        <w:t>-</w:t>
      </w:r>
      <w:r>
        <w:t xml:space="preserve"> Sentencias </w:t>
      </w:r>
      <w:hyperlink w:anchor="SENTENCIA_2021_69" w:history="1">
        <w:r w:rsidRPr="002C5A78">
          <w:rPr>
            <w:rStyle w:val="TextoNormalCaracter"/>
          </w:rPr>
          <w:t>69/2021</w:t>
        </w:r>
      </w:hyperlink>
      <w:r>
        <w:t xml:space="preserve">, ff. 2, 5; </w:t>
      </w:r>
      <w:hyperlink w:anchor="SENTENCIA_2021_105" w:history="1">
        <w:r w:rsidRPr="002C5A78">
          <w:rPr>
            <w:rStyle w:val="TextoNormalCaracter"/>
          </w:rPr>
          <w:t>105/2021</w:t>
        </w:r>
      </w:hyperlink>
      <w:r>
        <w:t>, f. 3.</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05" w:history="1">
        <w:r w:rsidRPr="002C5A78">
          <w:rPr>
            <w:rStyle w:val="TextoNormalCaracter"/>
          </w:rPr>
          <w:t>105/2021</w:t>
        </w:r>
      </w:hyperlink>
      <w:r>
        <w:t>, ff. 1, 2, 4.</w:t>
      </w:r>
    </w:p>
    <w:p w:rsidR="002C5A78" w:rsidRDefault="002C5A78" w:rsidP="002C5A78">
      <w:pPr>
        <w:pStyle w:val="SangriaFrancesaArticulo"/>
      </w:pPr>
      <w:r w:rsidRPr="002C5A78">
        <w:rPr>
          <w:rStyle w:val="TextoNormalNegritaCaracter"/>
        </w:rPr>
        <w:t>Apartado 4.</w:t>
      </w:r>
      <w:r w:rsidRPr="002C5A78">
        <w:rPr>
          <w:rStyle w:val="TextoNormalCaracter"/>
        </w:rPr>
        <w:t>-</w:t>
      </w:r>
      <w:r>
        <w:t xml:space="preserve"> Sentencias </w:t>
      </w:r>
      <w:hyperlink w:anchor="SENTENCIA_2021_69" w:history="1">
        <w:r w:rsidRPr="002C5A78">
          <w:rPr>
            <w:rStyle w:val="TextoNormalCaracter"/>
          </w:rPr>
          <w:t>69/2021</w:t>
        </w:r>
      </w:hyperlink>
      <w:r>
        <w:t xml:space="preserve">, ff. 2, 5; </w:t>
      </w:r>
      <w:hyperlink w:anchor="SENTENCIA_2021_105" w:history="1">
        <w:r w:rsidRPr="002C5A78">
          <w:rPr>
            <w:rStyle w:val="TextoNormalCaracter"/>
          </w:rPr>
          <w:t>105/2021</w:t>
        </w:r>
      </w:hyperlink>
      <w:r>
        <w:t>, f. 3.</w:t>
      </w:r>
    </w:p>
    <w:p w:rsidR="002C5A78" w:rsidRDefault="002C5A78" w:rsidP="002C5A78">
      <w:pPr>
        <w:pStyle w:val="SangriaFrancesaArticulo"/>
      </w:pPr>
      <w:r w:rsidRPr="002C5A78">
        <w:rPr>
          <w:rStyle w:val="TextoNormalNegritaCaracter"/>
        </w:rPr>
        <w:t>Apartado 5.</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105" w:history="1">
        <w:r w:rsidRPr="002C5A78">
          <w:rPr>
            <w:rStyle w:val="TextoNormalCaracter"/>
          </w:rPr>
          <w:t>105/2021</w:t>
        </w:r>
      </w:hyperlink>
      <w:r>
        <w:t>, f. 4.</w:t>
      </w:r>
    </w:p>
    <w:p w:rsidR="002C5A78" w:rsidRDefault="002C5A78" w:rsidP="002C5A78">
      <w:pPr>
        <w:pStyle w:val="SangriaFrancesaArticulo"/>
      </w:pPr>
      <w:r w:rsidRPr="002C5A78">
        <w:rPr>
          <w:rStyle w:val="TextoNormalNegritaCaracter"/>
        </w:rPr>
        <w:t>Apartado 6.</w:t>
      </w:r>
      <w:r w:rsidRPr="002C5A78">
        <w:rPr>
          <w:rStyle w:val="TextoNormalCaracter"/>
        </w:rPr>
        <w:t>-</w:t>
      </w:r>
      <w:r>
        <w:t xml:space="preserve"> Sentencia </w:t>
      </w:r>
      <w:hyperlink w:anchor="SENTENCIA_2021_69" w:history="1">
        <w:r w:rsidRPr="002C5A78">
          <w:rPr>
            <w:rStyle w:val="TextoNormalCaracter"/>
          </w:rPr>
          <w:t>69/2021</w:t>
        </w:r>
      </w:hyperlink>
      <w:r>
        <w:t>, ff. 2, 5.</w:t>
      </w:r>
    </w:p>
    <w:p w:rsidR="002C5A78" w:rsidRDefault="002C5A78" w:rsidP="002C5A78">
      <w:pPr>
        <w:pStyle w:val="SangriaFrancesaArticulo"/>
      </w:pPr>
      <w:r w:rsidRPr="002C5A78">
        <w:rPr>
          <w:rStyle w:val="TextoNormalNegritaCaracter"/>
        </w:rPr>
        <w:t>Apartado 7.</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105" w:history="1">
        <w:r w:rsidRPr="002C5A78">
          <w:rPr>
            <w:rStyle w:val="TextoNormalCaracter"/>
          </w:rPr>
          <w:t>105/2021</w:t>
        </w:r>
      </w:hyperlink>
      <w:r>
        <w:t>, f. 3.</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9" w:history="1">
        <w:r w:rsidRPr="002C5A78">
          <w:rPr>
            <w:rStyle w:val="TextoNormalCaracter"/>
          </w:rPr>
          <w:t>69/2021</w:t>
        </w:r>
      </w:hyperlink>
      <w:r>
        <w:t>, ff. 3, 5.</w:t>
      </w:r>
    </w:p>
    <w:p w:rsidR="002C5A78" w:rsidRDefault="002C5A78" w:rsidP="002C5A78">
      <w:pPr>
        <w:pStyle w:val="SangriaFrancesaArticulo"/>
      </w:pPr>
    </w:p>
    <w:p w:rsidR="002C5A78" w:rsidRDefault="002C5A78" w:rsidP="002C5A78">
      <w:pPr>
        <w:pStyle w:val="TextoNormalNegritaCursivandice"/>
        <w:keepNext/>
      </w:pPr>
      <w:r>
        <w:t>Acuerdo de la mesa del Congreso de los Diputados de 11 de junio de 2019, por el que se desestima la solicitud de reconsideración presentada contra el acuerdo de la mesa de 24 de mayo, en relación con la declaración de suspensión de varios diputados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69" w:history="1">
        <w:r w:rsidRPr="002C5A78">
          <w:rPr>
            <w:rStyle w:val="TextoNormalCaracter"/>
          </w:rPr>
          <w:t>69/2021</w:t>
        </w:r>
      </w:hyperlink>
      <w:r>
        <w:t xml:space="preserve">, ff. 2, 3, 5; </w:t>
      </w:r>
      <w:hyperlink w:anchor="SENTENCIA_2021_105" w:history="1">
        <w:r w:rsidRPr="002C5A78">
          <w:rPr>
            <w:rStyle w:val="TextoNormalCaracter"/>
          </w:rPr>
          <w:t>105/2021</w:t>
        </w:r>
      </w:hyperlink>
      <w:r>
        <w:t>, ff. 2, 4.</w:t>
      </w:r>
    </w:p>
    <w:p w:rsidR="002C5A78" w:rsidRDefault="002C5A78" w:rsidP="002C5A78">
      <w:pPr>
        <w:pStyle w:val="SangriaFrancesaArticulo"/>
      </w:pPr>
    </w:p>
    <w:p w:rsidR="002C5A78" w:rsidRDefault="002C5A78" w:rsidP="002C5A78">
      <w:pPr>
        <w:pStyle w:val="TextoNormalNegritaCursivandice"/>
        <w:keepNext/>
      </w:pPr>
      <w:r>
        <w:t>Acuerdo de la mesa del Congreso de los Diputados de 24 de mayo de 2019, de declaración de suspensión de la condición de diputado. Acuerdo de la mesa del Congreso de los Diputados de 16 de julio de 2019, de desestimación de la solicitud de reconsideración presentada contra el acuerdo de la mesa de 5 de junio</w:t>
      </w:r>
    </w:p>
    <w:p w:rsidR="002C5A78" w:rsidRDefault="002C5A78" w:rsidP="002C5A78">
      <w:pPr>
        <w:pStyle w:val="SangriaFrancesaArticulo"/>
      </w:pPr>
      <w:r w:rsidRPr="002C5A78">
        <w:rPr>
          <w:rStyle w:val="TextoNormalNegritaCaracter"/>
        </w:rPr>
        <w:t>Punto 2.</w:t>
      </w:r>
      <w:r w:rsidRPr="002C5A78">
        <w:rPr>
          <w:rStyle w:val="TextoNormalCaracter"/>
        </w:rPr>
        <w:t>-</w:t>
      </w:r>
      <w:r>
        <w:t xml:space="preserve"> Sentencia </w:t>
      </w:r>
      <w:hyperlink w:anchor="SENTENCIA_2021_90" w:history="1">
        <w:r w:rsidRPr="002C5A78">
          <w:rPr>
            <w:rStyle w:val="TextoNormalCaracter"/>
          </w:rPr>
          <w:t>90/2021</w:t>
        </w:r>
      </w:hyperlink>
      <w:r>
        <w:t>, ff. 3, 4.</w:t>
      </w:r>
    </w:p>
    <w:p w:rsidR="002C5A78" w:rsidRDefault="002C5A78" w:rsidP="002C5A78">
      <w:pPr>
        <w:pStyle w:val="SangriaFrancesaArticulo"/>
      </w:pPr>
      <w:r w:rsidRPr="002C5A78">
        <w:rPr>
          <w:rStyle w:val="TextoNormalNegritaCaracter"/>
        </w:rPr>
        <w:t>Punto 4.</w:t>
      </w:r>
      <w:r w:rsidRPr="002C5A78">
        <w:rPr>
          <w:rStyle w:val="TextoNormalCaracter"/>
        </w:rPr>
        <w:t>-</w:t>
      </w:r>
      <w:r>
        <w:t xml:space="preserve"> Sentencia </w:t>
      </w:r>
      <w:hyperlink w:anchor="SENTENCIA_2021_90" w:history="1">
        <w:r w:rsidRPr="002C5A78">
          <w:rPr>
            <w:rStyle w:val="TextoNormalCaracter"/>
          </w:rPr>
          <w:t>90/2021</w:t>
        </w:r>
      </w:hyperlink>
      <w:r>
        <w:t>, ff. 3, 4.</w:t>
      </w:r>
    </w:p>
    <w:p w:rsidR="002C5A78" w:rsidRDefault="002C5A78" w:rsidP="002C5A78">
      <w:pPr>
        <w:pStyle w:val="SangriaFrancesaArticulo"/>
      </w:pPr>
      <w:r w:rsidRPr="002C5A78">
        <w:rPr>
          <w:rStyle w:val="TextoNormalNegritaCaracter"/>
        </w:rPr>
        <w:t>Punto 5.</w:t>
      </w:r>
      <w:r w:rsidRPr="002C5A78">
        <w:rPr>
          <w:rStyle w:val="TextoNormalCaracter"/>
        </w:rPr>
        <w:t>-</w:t>
      </w:r>
      <w:r>
        <w:t xml:space="preserve"> Sentencia </w:t>
      </w:r>
      <w:hyperlink w:anchor="SENTENCIA_2021_90" w:history="1">
        <w:r w:rsidRPr="002C5A78">
          <w:rPr>
            <w:rStyle w:val="TextoNormalCaracter"/>
          </w:rPr>
          <w:t>90/2021</w:t>
        </w:r>
      </w:hyperlink>
      <w:r>
        <w:t>, f. 4.</w:t>
      </w:r>
    </w:p>
    <w:p w:rsidR="002C5A78" w:rsidRDefault="002C5A78" w:rsidP="002C5A78">
      <w:pPr>
        <w:pStyle w:val="SangriaFrancesaArticulo"/>
      </w:pPr>
      <w:r w:rsidRPr="002C5A78">
        <w:rPr>
          <w:rStyle w:val="TextoNormalNegritaCaracter"/>
        </w:rPr>
        <w:t>Punto 7.</w:t>
      </w:r>
      <w:r w:rsidRPr="002C5A78">
        <w:rPr>
          <w:rStyle w:val="TextoNormalCaracter"/>
        </w:rPr>
        <w:t>-</w:t>
      </w:r>
      <w:r>
        <w:t xml:space="preserve"> Sentencia </w:t>
      </w:r>
      <w:hyperlink w:anchor="SENTENCIA_2021_90" w:history="1">
        <w:r w:rsidRPr="002C5A78">
          <w:rPr>
            <w:rStyle w:val="TextoNormalCaracter"/>
          </w:rPr>
          <w:t>90/2021</w:t>
        </w:r>
      </w:hyperlink>
      <w:r>
        <w:t>, f. 4.</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69" w:history="1">
        <w:r w:rsidRPr="002C5A78">
          <w:rPr>
            <w:rStyle w:val="TextoNormalCaracter"/>
          </w:rPr>
          <w:t>69/2021</w:t>
        </w:r>
      </w:hyperlink>
      <w:r>
        <w:t xml:space="preserve">, ff. 1, 2, 3, 5; </w:t>
      </w:r>
      <w:hyperlink w:anchor="SENTENCIA_2021_90" w:history="1">
        <w:r w:rsidRPr="002C5A78">
          <w:rPr>
            <w:rStyle w:val="TextoNormalCaracter"/>
          </w:rPr>
          <w:t>90/2021</w:t>
        </w:r>
      </w:hyperlink>
      <w:r>
        <w:t>, ff. 1 a 4.</w:t>
      </w:r>
    </w:p>
    <w:p w:rsidR="002C5A78" w:rsidRDefault="002C5A78" w:rsidP="002C5A78">
      <w:pPr>
        <w:pStyle w:val="SangriaFrancesaArticulo"/>
      </w:pPr>
      <w:r w:rsidRPr="002C5A78">
        <w:rPr>
          <w:rStyle w:val="TextoNormalNegritaCaracter"/>
        </w:rPr>
        <w:t>Punto 6.</w:t>
      </w:r>
      <w:r w:rsidRPr="002C5A78">
        <w:rPr>
          <w:rStyle w:val="TextoNormalCaracter"/>
        </w:rPr>
        <w:t>-</w:t>
      </w:r>
      <w:r>
        <w:t xml:space="preserve"> Sentencia </w:t>
      </w:r>
      <w:hyperlink w:anchor="SENTENCIA_2021_90" w:history="1">
        <w:r w:rsidRPr="002C5A78">
          <w:rPr>
            <w:rStyle w:val="TextoNormalCaracter"/>
          </w:rPr>
          <w:t>90/2021</w:t>
        </w:r>
      </w:hyperlink>
      <w:r>
        <w:t>, ff. 3, 4.</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05" w:history="1">
        <w:r w:rsidRPr="002C5A78">
          <w:rPr>
            <w:rStyle w:val="TextoNormalCaracter"/>
          </w:rPr>
          <w:t>105/2021</w:t>
        </w:r>
      </w:hyperlink>
      <w:r>
        <w:t>, ff. 1, 2, 4.</w:t>
      </w:r>
    </w:p>
    <w:p w:rsidR="002C5A78" w:rsidRDefault="002C5A78" w:rsidP="002C5A78">
      <w:pPr>
        <w:pStyle w:val="SangriaFrancesaArticulo"/>
      </w:pPr>
    </w:p>
    <w:p w:rsidR="002C5A78" w:rsidRDefault="002C5A78" w:rsidP="002C5A78">
      <w:pPr>
        <w:pStyle w:val="TextoNormalNegritaCursivandice"/>
        <w:keepNext/>
      </w:pPr>
      <w:r>
        <w:t>Resolución de 20 de mayo de 2021, del Congreso de los Diputados. Ordena la publicación del acuerdo de convalidación del 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TextoNormal"/>
      </w:pPr>
    </w:p>
    <w:p w:rsidR="002C5A78" w:rsidRDefault="002C5A78" w:rsidP="002C5A78">
      <w:pPr>
        <w:pStyle w:val="SangriaFrancesaArticulo"/>
      </w:pPr>
      <w:bookmarkStart w:id="219" w:name="INDICE22845"/>
    </w:p>
    <w:bookmarkEnd w:id="219"/>
    <w:p w:rsidR="002C5A78" w:rsidRDefault="002C5A78" w:rsidP="002C5A78">
      <w:pPr>
        <w:pStyle w:val="TextoIndiceNivel2"/>
        <w:suppressAutoHyphens/>
      </w:pPr>
      <w:r>
        <w:t>D) Leyes Orgánicas</w:t>
      </w:r>
    </w:p>
    <w:p w:rsidR="002C5A78" w:rsidRDefault="002C5A78" w:rsidP="002C5A78">
      <w:pPr>
        <w:pStyle w:val="TextoIndiceNivel2"/>
      </w:pPr>
    </w:p>
    <w:p w:rsidR="002C5A78" w:rsidRDefault="002C5A78" w:rsidP="002C5A78">
      <w:pPr>
        <w:pStyle w:val="TextoNormalNegritaCursivandice"/>
        <w:keepNext/>
      </w:pPr>
      <w:r>
        <w:t>Ley Orgánica 8/1980, de 22 de septiembre, de financiación de las comunidades autónomas</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25" w:history="1">
        <w:r w:rsidRPr="002C5A78">
          <w:rPr>
            <w:rStyle w:val="TextoNormalCaracter"/>
          </w:rPr>
          <w:t>125/2021</w:t>
        </w:r>
      </w:hyperlink>
      <w:r>
        <w:t>, f. 3.</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125" w:history="1">
        <w:r w:rsidRPr="002C5A78">
          <w:rPr>
            <w:rStyle w:val="TextoNormalCaracter"/>
          </w:rPr>
          <w:t>125/2021</w:t>
        </w:r>
      </w:hyperlink>
      <w:r>
        <w:t>, ff. 1, 3, 4.</w:t>
      </w:r>
    </w:p>
    <w:p w:rsidR="002C5A78" w:rsidRDefault="002C5A78" w:rsidP="002C5A78">
      <w:pPr>
        <w:pStyle w:val="SangriaFrancesaArticulo"/>
      </w:pPr>
      <w:r w:rsidRPr="002C5A78">
        <w:rPr>
          <w:rStyle w:val="TextoNormalNegritaCaracter"/>
        </w:rPr>
        <w:t>Artículo 6.3</w:t>
      </w:r>
      <w:r>
        <w:t xml:space="preserve"> (redactado por la Ley Orgánica 3/2009, de 18 de diciembre)</w:t>
      </w:r>
      <w:r w:rsidRPr="002C5A78">
        <w:rPr>
          <w:rStyle w:val="TextoNormalNegritaCaracter"/>
        </w:rPr>
        <w:t>.</w:t>
      </w:r>
      <w:r w:rsidRPr="002C5A78">
        <w:rPr>
          <w:rStyle w:val="TextoNormalCaracter"/>
        </w:rPr>
        <w:t>-</w:t>
      </w:r>
      <w:r>
        <w:t xml:space="preserve"> Sentencia </w:t>
      </w:r>
      <w:hyperlink w:anchor="SENTENCIA_2021_125" w:history="1">
        <w:r w:rsidRPr="002C5A78">
          <w:rPr>
            <w:rStyle w:val="TextoNormalCaracter"/>
          </w:rPr>
          <w:t>125/2021</w:t>
        </w:r>
      </w:hyperlink>
      <w:r>
        <w:t>, f. 3.</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 </w:t>
      </w:r>
      <w:hyperlink w:anchor="SENTENCIA_2021_40" w:history="1">
        <w:r w:rsidRPr="002C5A78">
          <w:rPr>
            <w:rStyle w:val="TextoNormalCaracter"/>
          </w:rPr>
          <w:t>40/2021</w:t>
        </w:r>
      </w:hyperlink>
      <w:r>
        <w:t>, f. 5.</w:t>
      </w:r>
    </w:p>
    <w:p w:rsidR="002C5A78" w:rsidRDefault="002C5A78" w:rsidP="002C5A78">
      <w:pPr>
        <w:pStyle w:val="SangriaFrancesaArticulo"/>
      </w:pPr>
      <w:r w:rsidRPr="002C5A78">
        <w:rPr>
          <w:rStyle w:val="TextoNormalNegritaCaracter"/>
        </w:rPr>
        <w:t>Artículo 9 c).</w:t>
      </w:r>
      <w:r w:rsidRPr="002C5A78">
        <w:rPr>
          <w:rStyle w:val="TextoNormalCaracter"/>
        </w:rPr>
        <w:t>-</w:t>
      </w:r>
      <w:r>
        <w:t xml:space="preserve"> Sentencia </w:t>
      </w:r>
      <w:hyperlink w:anchor="SENTENCIA_2021_125" w:history="1">
        <w:r w:rsidRPr="002C5A78">
          <w:rPr>
            <w:rStyle w:val="TextoNormalCaracter"/>
          </w:rPr>
          <w:t>125/2021</w:t>
        </w:r>
      </w:hyperlink>
      <w:r>
        <w:t>, ff. 1, 5.</w:t>
      </w:r>
    </w:p>
    <w:p w:rsidR="002C5A78" w:rsidRDefault="002C5A78" w:rsidP="002C5A78">
      <w:pPr>
        <w:pStyle w:val="SangriaFrancesaArticulo"/>
      </w:pPr>
      <w:r w:rsidRPr="002C5A78">
        <w:rPr>
          <w:rStyle w:val="TextoNormalNegritaCaracter"/>
        </w:rPr>
        <w:t>Artículo 21.2.</w:t>
      </w:r>
      <w:r w:rsidRPr="002C5A78">
        <w:rPr>
          <w:rStyle w:val="TextoNormalCaracter"/>
        </w:rPr>
        <w:t>-</w:t>
      </w:r>
      <w:r>
        <w:t xml:space="preserve"> Sentencia </w:t>
      </w:r>
      <w:hyperlink w:anchor="SENTENCIA_2021_68" w:history="1">
        <w:r w:rsidRPr="002C5A78">
          <w:rPr>
            <w:rStyle w:val="TextoNormalCaracter"/>
          </w:rPr>
          <w:t>68/2021</w:t>
        </w:r>
      </w:hyperlink>
      <w:r>
        <w:t>, f. 5.</w:t>
      </w:r>
    </w:p>
    <w:p w:rsidR="002C5A78" w:rsidRDefault="002C5A78" w:rsidP="002C5A78">
      <w:pPr>
        <w:pStyle w:val="SangriaFrancesaArticulo"/>
      </w:pPr>
      <w:r w:rsidRPr="002C5A78">
        <w:rPr>
          <w:rStyle w:val="TextoNormalNegritaCaracter"/>
        </w:rPr>
        <w:t>Artículo 157.2.</w:t>
      </w:r>
      <w:r w:rsidRPr="002C5A78">
        <w:rPr>
          <w:rStyle w:val="TextoNormalCaracter"/>
        </w:rPr>
        <w:t>-</w:t>
      </w:r>
      <w:r>
        <w:t xml:space="preserve"> Sentencia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157.9 c).</w:t>
      </w:r>
      <w:r w:rsidRPr="002C5A78">
        <w:rPr>
          <w:rStyle w:val="TextoNormalCaracter"/>
        </w:rPr>
        <w:t>-</w:t>
      </w:r>
      <w:r>
        <w:t xml:space="preserve"> Sentencia </w:t>
      </w:r>
      <w:hyperlink w:anchor="SENTENCIA_2021_125" w:history="1">
        <w:r w:rsidRPr="002C5A78">
          <w:rPr>
            <w:rStyle w:val="TextoNormalCaracter"/>
          </w:rPr>
          <w:t>125/2021</w:t>
        </w:r>
      </w:hyperlink>
      <w:r>
        <w:t>, f. 5.</w:t>
      </w:r>
    </w:p>
    <w:p w:rsidR="002C5A78" w:rsidRDefault="002C5A78" w:rsidP="002C5A78">
      <w:pPr>
        <w:pStyle w:val="SangriaFrancesaArticulo"/>
      </w:pPr>
    </w:p>
    <w:p w:rsidR="002C5A78" w:rsidRDefault="002C5A78" w:rsidP="002C5A78">
      <w:pPr>
        <w:pStyle w:val="TextoNormalNegritaCursivandice"/>
        <w:keepNext/>
      </w:pPr>
      <w:r>
        <w:t>Ley Orgánica 4/1981, de 1 de junio, de los estados de alarma, excepción y sitio</w:t>
      </w:r>
    </w:p>
    <w:p w:rsidR="002C5A78" w:rsidRDefault="002C5A78" w:rsidP="002C5A78">
      <w:pPr>
        <w:pStyle w:val="SangriaFrancesaArticulo"/>
      </w:pPr>
      <w:r w:rsidRPr="002C5A78">
        <w:rPr>
          <w:rStyle w:val="TextoNormalNegritaCaracter"/>
        </w:rPr>
        <w:t>Artículo 9.2.</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p>
    <w:p w:rsidR="002C5A78" w:rsidRDefault="002C5A78" w:rsidP="002C5A78">
      <w:pPr>
        <w:pStyle w:val="TextoNormalNegritaCursivandice"/>
        <w:keepNext/>
      </w:pPr>
      <w:r>
        <w:t>Ley Orgánica 9/1983, de 15 de julio, reguladora del derecho de reunión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Artículo 5 a).</w:t>
      </w:r>
      <w:r w:rsidRPr="002C5A78">
        <w:rPr>
          <w:rStyle w:val="TextoNormalCaracter"/>
        </w:rPr>
        <w:t>-</w:t>
      </w:r>
      <w:r>
        <w:t xml:space="preserve"> Sentencia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Ley Orgánica 14/1983, de 12 de diciembre, por la que se desarrolla el artículo 17.3 de la Constitución, en materia de asistencia letrada al detenido y al preso, y modificación de los artículos 520 y 527 de la Ley de enjuiciamiento criminal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p>
    <w:p w:rsidR="002C5A78" w:rsidRDefault="002C5A78" w:rsidP="002C5A78">
      <w:pPr>
        <w:pStyle w:val="TextoNormalNegritaCursivandice"/>
        <w:keepNext/>
      </w:pPr>
      <w:r>
        <w:t>Ley Orgánica 6/1984, de 24 de mayo. Regula el procedimiento de habeas corpus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3" w:history="1">
        <w:r w:rsidRPr="002C5A78">
          <w:rPr>
            <w:rStyle w:val="TextoNormalCaracter"/>
          </w:rPr>
          <w:t>73/2021</w:t>
        </w:r>
      </w:hyperlink>
      <w:r>
        <w:t>, ff. 2 a 4, VP II.</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73" w:history="1">
        <w:r w:rsidRPr="002C5A78">
          <w:rPr>
            <w:rStyle w:val="TextoNormalCaracter"/>
          </w:rPr>
          <w:t>73/2021</w:t>
        </w:r>
      </w:hyperlink>
      <w:r>
        <w:t>, ff. 2, 4.</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73" w:history="1">
        <w:r w:rsidRPr="002C5A78">
          <w:rPr>
            <w:rStyle w:val="TextoNormalCaracter"/>
          </w:rPr>
          <w:t>73/2021</w:t>
        </w:r>
      </w:hyperlink>
      <w:r>
        <w:t>, f. 4.</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73" w:history="1">
        <w:r w:rsidRPr="002C5A78">
          <w:rPr>
            <w:rStyle w:val="TextoNormalCaracter"/>
          </w:rPr>
          <w:t>73/2021</w:t>
        </w:r>
      </w:hyperlink>
      <w:r>
        <w:t>, f. 4, VP I.</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73" w:history="1">
        <w:r w:rsidRPr="002C5A78">
          <w:rPr>
            <w:rStyle w:val="TextoNormalCaracter"/>
          </w:rPr>
          <w:t>73/2021</w:t>
        </w:r>
      </w:hyperlink>
      <w:r>
        <w:t>, f. 4.</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73" w:history="1">
        <w:r w:rsidRPr="002C5A78">
          <w:rPr>
            <w:rStyle w:val="TextoNormalCaracter"/>
          </w:rPr>
          <w:t>73/2021</w:t>
        </w:r>
      </w:hyperlink>
      <w:r>
        <w:t>, f. 3.</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73" w:history="1">
        <w:r w:rsidRPr="002C5A78">
          <w:rPr>
            <w:rStyle w:val="TextoNormalCaracter"/>
          </w:rPr>
          <w:t>73/2021</w:t>
        </w:r>
      </w:hyperlink>
      <w:r>
        <w:t>, VP II.</w:t>
      </w:r>
    </w:p>
    <w:p w:rsidR="002C5A78" w:rsidRDefault="002C5A78" w:rsidP="002C5A78">
      <w:pPr>
        <w:pStyle w:val="SangriaFrancesaArticulo"/>
      </w:pPr>
    </w:p>
    <w:p w:rsidR="002C5A78" w:rsidRDefault="002C5A78" w:rsidP="002C5A78">
      <w:pPr>
        <w:pStyle w:val="TextoNormalNegritaCursivandice"/>
        <w:keepNext/>
      </w:pPr>
      <w:r>
        <w:t>Ley Orgánica 5/1985, de 19 de junio, del régimen electoral general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 VP III.</w:t>
      </w:r>
    </w:p>
    <w:p w:rsidR="002C5A78" w:rsidRDefault="002C5A78" w:rsidP="002C5A78">
      <w:pPr>
        <w:pStyle w:val="SangriaFrancesaArticulo"/>
      </w:pPr>
      <w:r w:rsidRPr="002C5A78">
        <w:rPr>
          <w:rStyle w:val="TextoNormalNegritaCaracter"/>
        </w:rPr>
        <w:t>En general</w:t>
      </w:r>
      <w:r>
        <w:t xml:space="preserve"> (redactada por la Ley Orgánica 2/2011, de 28 de enero)</w:t>
      </w:r>
      <w:r w:rsidRPr="002C5A78">
        <w:rPr>
          <w:rStyle w:val="TextoNormalNegritaCaracter"/>
        </w:rPr>
        <w:t>.</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Título I.</w:t>
      </w:r>
      <w:r w:rsidRPr="002C5A78">
        <w:rPr>
          <w:rStyle w:val="TextoNormalCaracter"/>
        </w:rPr>
        <w:t>-</w:t>
      </w:r>
      <w:r>
        <w:t xml:space="preserve"> Sentencia </w:t>
      </w:r>
      <w:hyperlink w:anchor="SENTENCIA_2021_76" w:history="1">
        <w:r w:rsidRPr="002C5A78">
          <w:rPr>
            <w:rStyle w:val="TextoNormalCaracter"/>
          </w:rPr>
          <w:t>76/2021</w:t>
        </w:r>
      </w:hyperlink>
      <w:r>
        <w:t>, f. 4, VP II, VP III.</w:t>
      </w:r>
    </w:p>
    <w:p w:rsidR="002C5A78" w:rsidRDefault="002C5A78" w:rsidP="002C5A78">
      <w:pPr>
        <w:pStyle w:val="SangriaFrancesaArticulo"/>
      </w:pPr>
      <w:r w:rsidRPr="002C5A78">
        <w:rPr>
          <w:rStyle w:val="TextoNormalNegritaCaracter"/>
        </w:rPr>
        <w:t>Título I, capítulos I y II.</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Auto </w:t>
      </w:r>
      <w:hyperlink w:anchor="AUTO_2021_4" w:history="1">
        <w:r w:rsidRPr="002C5A78">
          <w:rPr>
            <w:rStyle w:val="TextoNormalCaracter"/>
          </w:rPr>
          <w:t>4/2021</w:t>
        </w:r>
      </w:hyperlink>
      <w:r>
        <w:t>, f. 4.</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26" w:history="1">
        <w:r w:rsidRPr="002C5A78">
          <w:rPr>
            <w:rStyle w:val="TextoNormalCaracter"/>
          </w:rPr>
          <w:t>126/2021</w:t>
        </w:r>
      </w:hyperlink>
      <w:r>
        <w:t>, f. 5.</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76" w:history="1">
        <w:r w:rsidRPr="002C5A78">
          <w:rPr>
            <w:rStyle w:val="TextoNormalCaracter"/>
          </w:rPr>
          <w:t>76/2021</w:t>
        </w:r>
      </w:hyperlink>
      <w:r>
        <w:t>, f. 4, VP II.</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76" w:history="1">
        <w:r w:rsidRPr="002C5A78">
          <w:rPr>
            <w:rStyle w:val="TextoNormalCaracter"/>
          </w:rPr>
          <w:t>76/2021</w:t>
        </w:r>
      </w:hyperlink>
      <w:r>
        <w:t>, f. 4, VP II.</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126" w:history="1">
        <w:r w:rsidRPr="002C5A78">
          <w:rPr>
            <w:rStyle w:val="TextoNormalCaracter"/>
          </w:rPr>
          <w:t>126/2021</w:t>
        </w:r>
      </w:hyperlink>
      <w:r>
        <w:t>, f. 7.</w:t>
      </w:r>
    </w:p>
    <w:p w:rsidR="002C5A78" w:rsidRDefault="002C5A78" w:rsidP="002C5A78">
      <w:pPr>
        <w:pStyle w:val="SangriaFrancesaArticulo"/>
      </w:pPr>
      <w:r w:rsidRPr="002C5A78">
        <w:rPr>
          <w:rStyle w:val="TextoNormalNegritaCaracter"/>
        </w:rPr>
        <w:t>Artículo 6.2 a).</w:t>
      </w:r>
      <w:r w:rsidRPr="002C5A78">
        <w:rPr>
          <w:rStyle w:val="TextoNormalCaracter"/>
        </w:rPr>
        <w:t>-</w:t>
      </w:r>
      <w:r>
        <w:t xml:space="preserve"> Sentencia </w:t>
      </w:r>
      <w:hyperlink w:anchor="SENTENCIA_2021_126" w:history="1">
        <w:r w:rsidRPr="002C5A78">
          <w:rPr>
            <w:rStyle w:val="TextoNormalCaracter"/>
          </w:rPr>
          <w:t>126/2021</w:t>
        </w:r>
      </w:hyperlink>
      <w:r>
        <w:t>, f. 7.</w:t>
      </w:r>
    </w:p>
    <w:p w:rsidR="002C5A78" w:rsidRDefault="002C5A78" w:rsidP="002C5A78">
      <w:pPr>
        <w:pStyle w:val="SangriaFrancesaArticulo"/>
      </w:pPr>
      <w:r w:rsidRPr="002C5A78">
        <w:rPr>
          <w:rStyle w:val="TextoNormalNegritaCaracter"/>
        </w:rPr>
        <w:t>Artículo 6.2 b).</w:t>
      </w:r>
      <w:r w:rsidRPr="002C5A78">
        <w:rPr>
          <w:rStyle w:val="TextoNormalCaracter"/>
        </w:rPr>
        <w:t>-</w:t>
      </w:r>
      <w:r>
        <w:t xml:space="preserve"> Sentencia </w:t>
      </w:r>
      <w:hyperlink w:anchor="SENTENCIA_2021_66" w:history="1">
        <w:r w:rsidRPr="002C5A78">
          <w:rPr>
            <w:rStyle w:val="TextoNormalCaracter"/>
          </w:rPr>
          <w:t>66/2021</w:t>
        </w:r>
      </w:hyperlink>
      <w:r>
        <w:t>, ff. 1, 2.</w:t>
      </w:r>
    </w:p>
    <w:p w:rsidR="002C5A78" w:rsidRDefault="002C5A78" w:rsidP="002C5A78">
      <w:pPr>
        <w:pStyle w:val="SangriaFrancesaArticulo"/>
      </w:pPr>
      <w:r w:rsidRPr="002C5A78">
        <w:rPr>
          <w:rStyle w:val="TextoNormalNegritaCaracter"/>
        </w:rPr>
        <w:t>Artículo 6.4.</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IzquierdaArticulo"/>
      </w:pPr>
      <w:r>
        <w:t xml:space="preserve">Auto </w:t>
      </w:r>
      <w:hyperlink w:anchor="AUTO_2021_4" w:history="1">
        <w:r w:rsidRPr="002C5A78">
          <w:rPr>
            <w:rStyle w:val="TextoNormalCaracter"/>
          </w:rPr>
          <w:t>4/2021</w:t>
        </w:r>
      </w:hyperlink>
      <w:r>
        <w:t>, f. 4.</w:t>
      </w:r>
    </w:p>
    <w:p w:rsidR="002C5A78" w:rsidRDefault="002C5A78" w:rsidP="002C5A78">
      <w:pPr>
        <w:pStyle w:val="SangriaFrancesaArticulo"/>
      </w:pPr>
      <w:r w:rsidRPr="002C5A78">
        <w:rPr>
          <w:rStyle w:val="TextoNormalNegritaCaracter"/>
        </w:rPr>
        <w:t>Artículo 19.1.</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19.1 c).</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19.1 d).</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19.1 e).</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19.1 f).</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31.1.</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r w:rsidRPr="002C5A78">
        <w:rPr>
          <w:rStyle w:val="TextoNormalNegritaCaracter"/>
        </w:rPr>
        <w:t>Artículo 35</w:t>
      </w:r>
      <w:r>
        <w:t xml:space="preserve"> (redactado por la Ley Orgánica 2/2011, de 28 de enero)</w:t>
      </w:r>
      <w:r w:rsidRPr="002C5A78">
        <w:rPr>
          <w:rStyle w:val="TextoNormalNegritaCaracter"/>
        </w:rPr>
        <w:t>.</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39.1.</w:t>
      </w:r>
      <w:r w:rsidRPr="002C5A78">
        <w:rPr>
          <w:rStyle w:val="TextoNormalCaracter"/>
        </w:rPr>
        <w:t>-</w:t>
      </w:r>
      <w:r>
        <w:t xml:space="preserve"> Sentencia </w:t>
      </w:r>
      <w:hyperlink w:anchor="SENTENCIA_2021_76" w:history="1">
        <w:r w:rsidRPr="002C5A78">
          <w:rPr>
            <w:rStyle w:val="TextoNormalCaracter"/>
          </w:rPr>
          <w:t>76/2021</w:t>
        </w:r>
      </w:hyperlink>
      <w:r>
        <w:t>, ff. 3, 4, VP II.</w:t>
      </w:r>
    </w:p>
    <w:p w:rsidR="002C5A78" w:rsidRDefault="002C5A78" w:rsidP="002C5A78">
      <w:pPr>
        <w:pStyle w:val="SangriaFrancesaArticulo"/>
      </w:pPr>
      <w:r w:rsidRPr="002C5A78">
        <w:rPr>
          <w:rStyle w:val="TextoNormalNegritaCaracter"/>
        </w:rPr>
        <w:t>Artículo 39.3.</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43.1.</w:t>
      </w:r>
      <w:r w:rsidRPr="002C5A78">
        <w:rPr>
          <w:rStyle w:val="TextoNormalCaracter"/>
        </w:rPr>
        <w:t>-</w:t>
      </w:r>
      <w:r>
        <w:t xml:space="preserve"> Sentencia </w:t>
      </w:r>
      <w:hyperlink w:anchor="SENTENCIA_2021_76" w:history="1">
        <w:r w:rsidRPr="002C5A78">
          <w:rPr>
            <w:rStyle w:val="TextoNormalCaracter"/>
          </w:rPr>
          <w:t>76/2021</w:t>
        </w:r>
      </w:hyperlink>
      <w:r>
        <w:t>, f. 2.</w:t>
      </w:r>
    </w:p>
    <w:p w:rsidR="002C5A78" w:rsidRDefault="002C5A78" w:rsidP="002C5A78">
      <w:pPr>
        <w:pStyle w:val="SangriaFrancesaArticulo"/>
      </w:pPr>
      <w:r w:rsidRPr="002C5A78">
        <w:rPr>
          <w:rStyle w:val="TextoNormalNegritaCaracter"/>
        </w:rPr>
        <w:t>Artículo 43.3.</w:t>
      </w:r>
      <w:r w:rsidRPr="002C5A78">
        <w:rPr>
          <w:rStyle w:val="TextoNormalCaracter"/>
        </w:rPr>
        <w:t>-</w:t>
      </w:r>
      <w:r>
        <w:t xml:space="preserve"> Sentencia </w:t>
      </w:r>
      <w:hyperlink w:anchor="SENTENCIA_2021_76" w:history="1">
        <w:r w:rsidRPr="002C5A78">
          <w:rPr>
            <w:rStyle w:val="TextoNormalCaracter"/>
          </w:rPr>
          <w:t>76/2021</w:t>
        </w:r>
      </w:hyperlink>
      <w:r>
        <w:t>, f. 2.</w:t>
      </w:r>
    </w:p>
    <w:p w:rsidR="002C5A78" w:rsidRDefault="002C5A78" w:rsidP="002C5A78">
      <w:pPr>
        <w:pStyle w:val="SangriaFrancesaArticulo"/>
      </w:pPr>
      <w:r w:rsidRPr="002C5A78">
        <w:rPr>
          <w:rStyle w:val="TextoNormalNegritaCaracter"/>
        </w:rPr>
        <w:t>Artículo 49.</w:t>
      </w:r>
      <w:r w:rsidRPr="002C5A78">
        <w:rPr>
          <w:rStyle w:val="TextoNormalCaracter"/>
        </w:rPr>
        <w:t>-</w:t>
      </w:r>
      <w:r>
        <w:t xml:space="preserve"> Sentencia </w:t>
      </w:r>
      <w:hyperlink w:anchor="SENTENCIA_2021_76" w:history="1">
        <w:r w:rsidRPr="002C5A78">
          <w:rPr>
            <w:rStyle w:val="TextoNormalCaracter"/>
          </w:rPr>
          <w:t>76/2021</w:t>
        </w:r>
      </w:hyperlink>
      <w:r>
        <w:t>, f. 2.</w:t>
      </w:r>
    </w:p>
    <w:p w:rsidR="002C5A78" w:rsidRDefault="002C5A78" w:rsidP="002C5A78">
      <w:pPr>
        <w:pStyle w:val="SangriaFrancesaArticulo"/>
      </w:pPr>
      <w:r w:rsidRPr="002C5A78">
        <w:rPr>
          <w:rStyle w:val="TextoNormalNegritaCaracter"/>
        </w:rPr>
        <w:t>Artículo 50.4.</w:t>
      </w:r>
      <w:r w:rsidRPr="002C5A78">
        <w:rPr>
          <w:rStyle w:val="TextoNormalCaracter"/>
        </w:rPr>
        <w:t>-</w:t>
      </w:r>
      <w:r>
        <w:t xml:space="preserve"> Sentencia </w:t>
      </w:r>
      <w:hyperlink w:anchor="SENTENCIA_2021_14" w:history="1">
        <w:r w:rsidRPr="002C5A78">
          <w:rPr>
            <w:rStyle w:val="TextoNormalCaracter"/>
          </w:rPr>
          <w:t>14/2021</w:t>
        </w:r>
      </w:hyperlink>
      <w:r>
        <w:t>, ff. 1, 3, 4, 5, VP II.</w:t>
      </w:r>
    </w:p>
    <w:p w:rsidR="002C5A78" w:rsidRDefault="002C5A78" w:rsidP="002C5A78">
      <w:pPr>
        <w:pStyle w:val="SangriaFrancesaArticulo"/>
      </w:pPr>
      <w:r w:rsidRPr="002C5A78">
        <w:rPr>
          <w:rStyle w:val="TextoNormalNegritaCaracter"/>
        </w:rPr>
        <w:t>Artículo 50.5.</w:t>
      </w:r>
      <w:r w:rsidRPr="002C5A78">
        <w:rPr>
          <w:rStyle w:val="TextoNormalCaracter"/>
        </w:rPr>
        <w:t>-</w:t>
      </w:r>
      <w:r>
        <w:t xml:space="preserve"> Sentencia </w:t>
      </w:r>
      <w:hyperlink w:anchor="SENTENCIA_2021_14" w:history="1">
        <w:r w:rsidRPr="002C5A78">
          <w:rPr>
            <w:rStyle w:val="TextoNormalCaracter"/>
          </w:rPr>
          <w:t>14/2021</w:t>
        </w:r>
      </w:hyperlink>
      <w:r>
        <w:t>, f. 4, VP II.</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 </w:t>
      </w:r>
      <w:hyperlink w:anchor="SENTENCIA_2021_14" w:history="1">
        <w:r w:rsidRPr="002C5A78">
          <w:rPr>
            <w:rStyle w:val="TextoNormalCaracter"/>
          </w:rPr>
          <w:t>14/2021</w:t>
        </w:r>
      </w:hyperlink>
      <w:r>
        <w:t>, f. 3, VP I.</w:t>
      </w:r>
    </w:p>
    <w:p w:rsidR="002C5A78" w:rsidRDefault="002C5A78" w:rsidP="002C5A78">
      <w:pPr>
        <w:pStyle w:val="SangriaFrancesaArticulo"/>
      </w:pPr>
      <w:r w:rsidRPr="002C5A78">
        <w:rPr>
          <w:rStyle w:val="TextoNormalNegritaCaracter"/>
        </w:rPr>
        <w:t>Artículo 51.3.</w:t>
      </w:r>
      <w:r w:rsidRPr="002C5A78">
        <w:rPr>
          <w:rStyle w:val="TextoNormalCaracter"/>
        </w:rPr>
        <w:t>-</w:t>
      </w:r>
      <w:r>
        <w:t xml:space="preserve"> Sentencia </w:t>
      </w:r>
      <w:hyperlink w:anchor="SENTENCIA_2021_14" w:history="1">
        <w:r w:rsidRPr="002C5A78">
          <w:rPr>
            <w:rStyle w:val="TextoNormalCaracter"/>
          </w:rPr>
          <w:t>14/2021</w:t>
        </w:r>
      </w:hyperlink>
      <w:r>
        <w:t>, f. 3.</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14" w:history="1">
        <w:r w:rsidRPr="002C5A78">
          <w:rPr>
            <w:rStyle w:val="TextoNormalCaracter"/>
          </w:rPr>
          <w:t>14/2021</w:t>
        </w:r>
      </w:hyperlink>
      <w:r>
        <w:t>, ff. 3, 4, 5, VP I, VP II.</w:t>
      </w:r>
    </w:p>
    <w:p w:rsidR="002C5A78" w:rsidRDefault="002C5A78" w:rsidP="002C5A78">
      <w:pPr>
        <w:pStyle w:val="SangriaFrancesaArticulo"/>
      </w:pPr>
      <w:r w:rsidRPr="002C5A78">
        <w:rPr>
          <w:rStyle w:val="TextoNormalNegritaCaracter"/>
        </w:rPr>
        <w:t>Artículo 53 párrafo 2.</w:t>
      </w:r>
      <w:r w:rsidRPr="002C5A78">
        <w:rPr>
          <w:rStyle w:val="TextoNormalCaracter"/>
        </w:rPr>
        <w:t>-</w:t>
      </w:r>
      <w:r>
        <w:t xml:space="preserve"> Sentencia </w:t>
      </w:r>
      <w:hyperlink w:anchor="SENTENCIA_2021_14" w:history="1">
        <w:r w:rsidRPr="002C5A78">
          <w:rPr>
            <w:rStyle w:val="TextoNormalCaracter"/>
          </w:rPr>
          <w:t>14/2021</w:t>
        </w:r>
      </w:hyperlink>
      <w:r>
        <w:t>, VP I.</w:t>
      </w:r>
    </w:p>
    <w:p w:rsidR="002C5A78" w:rsidRDefault="002C5A78" w:rsidP="002C5A78">
      <w:pPr>
        <w:pStyle w:val="SangriaFrancesaArticulo"/>
      </w:pPr>
      <w:r w:rsidRPr="002C5A78">
        <w:rPr>
          <w:rStyle w:val="TextoNormalNegritaCaracter"/>
        </w:rPr>
        <w:t>Artículo 53.1.</w:t>
      </w:r>
      <w:r w:rsidRPr="002C5A78">
        <w:rPr>
          <w:rStyle w:val="TextoNormalCaracter"/>
        </w:rPr>
        <w:t>-</w:t>
      </w:r>
      <w:r>
        <w:t xml:space="preserve"> Sentencia </w:t>
      </w:r>
      <w:hyperlink w:anchor="SENTENCIA_2021_14" w:history="1">
        <w:r w:rsidRPr="002C5A78">
          <w:rPr>
            <w:rStyle w:val="TextoNormalCaracter"/>
          </w:rPr>
          <w:t>14/2021</w:t>
        </w:r>
      </w:hyperlink>
      <w:r>
        <w:t>, ff. 1, 4, 5.</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 </w:t>
      </w:r>
      <w:hyperlink w:anchor="SENTENCIA_2021_14" w:history="1">
        <w:r w:rsidRPr="002C5A78">
          <w:rPr>
            <w:rStyle w:val="TextoNormalCaracter"/>
          </w:rPr>
          <w:t>14/2021</w:t>
        </w:r>
      </w:hyperlink>
      <w:r>
        <w:t>, VP I.</w:t>
      </w:r>
    </w:p>
    <w:p w:rsidR="002C5A78" w:rsidRDefault="002C5A78" w:rsidP="002C5A78">
      <w:pPr>
        <w:pStyle w:val="SangriaFrancesaArticulo"/>
      </w:pPr>
      <w:r w:rsidRPr="002C5A78">
        <w:rPr>
          <w:rStyle w:val="TextoNormalNegritaCaracter"/>
        </w:rPr>
        <w:t>Artículo 58.</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58.2.</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60.</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66.</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68.</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69.</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85.5</w:t>
      </w:r>
      <w:r>
        <w:t xml:space="preserve"> (redactado por Ley Orgánica 3/1995, de 23 de marzo)</w:t>
      </w:r>
      <w:r w:rsidRPr="002C5A78">
        <w:rPr>
          <w:rStyle w:val="TextoNormalNegritaCaracter"/>
        </w:rPr>
        <w:t>.</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137.</w:t>
      </w:r>
      <w:r w:rsidRPr="002C5A78">
        <w:rPr>
          <w:rStyle w:val="TextoNormalCaracter"/>
        </w:rPr>
        <w:t>-</w:t>
      </w:r>
      <w:r>
        <w:t xml:space="preserve"> Sentencia </w:t>
      </w:r>
      <w:hyperlink w:anchor="SENTENCIA_2021_126" w:history="1">
        <w:r w:rsidRPr="002C5A78">
          <w:rPr>
            <w:rStyle w:val="TextoNormalCaracter"/>
          </w:rPr>
          <w:t>126/2021</w:t>
        </w:r>
      </w:hyperlink>
      <w:r>
        <w:t>, ff. 1, 4 a 7.</w:t>
      </w:r>
    </w:p>
    <w:p w:rsidR="002C5A78" w:rsidRDefault="002C5A78" w:rsidP="002C5A78">
      <w:pPr>
        <w:pStyle w:val="SangriaFrancesaArticulo"/>
      </w:pPr>
      <w:r w:rsidRPr="002C5A78">
        <w:rPr>
          <w:rStyle w:val="TextoNormalNegritaCaracter"/>
        </w:rPr>
        <w:t>Artículo 138.</w:t>
      </w:r>
      <w:r w:rsidRPr="002C5A78">
        <w:rPr>
          <w:rStyle w:val="TextoNormalCaracter"/>
        </w:rPr>
        <w:t>-</w:t>
      </w:r>
      <w:r>
        <w:t xml:space="preserve"> Sentencia </w:t>
      </w:r>
      <w:hyperlink w:anchor="SENTENCIA_2021_126" w:history="1">
        <w:r w:rsidRPr="002C5A78">
          <w:rPr>
            <w:rStyle w:val="TextoNormalCaracter"/>
          </w:rPr>
          <w:t>126/2021</w:t>
        </w:r>
      </w:hyperlink>
      <w:r>
        <w:t>, ff. 5, 7.</w:t>
      </w:r>
    </w:p>
    <w:p w:rsidR="002C5A78" w:rsidRDefault="002C5A78" w:rsidP="002C5A78">
      <w:pPr>
        <w:pStyle w:val="SangriaFrancesaArticulo"/>
      </w:pPr>
      <w:r w:rsidRPr="002C5A78">
        <w:rPr>
          <w:rStyle w:val="TextoNormalNegritaCaracter"/>
        </w:rPr>
        <w:t>Artículo 139 a 150.</w:t>
      </w:r>
      <w:r w:rsidRPr="002C5A78">
        <w:rPr>
          <w:rStyle w:val="TextoNormalCaracter"/>
        </w:rPr>
        <w:t>-</w:t>
      </w:r>
      <w:r>
        <w:t xml:space="preserve"> Sentencia </w:t>
      </w:r>
      <w:hyperlink w:anchor="SENTENCIA_2021_126" w:history="1">
        <w:r w:rsidRPr="002C5A78">
          <w:rPr>
            <w:rStyle w:val="TextoNormalCaracter"/>
          </w:rPr>
          <w:t>126/2021</w:t>
        </w:r>
      </w:hyperlink>
      <w:r>
        <w:t>, ff. 1, 5, 7.</w:t>
      </w:r>
    </w:p>
    <w:p w:rsidR="002C5A78" w:rsidRDefault="002C5A78" w:rsidP="002C5A78">
      <w:pPr>
        <w:pStyle w:val="SangriaFrancesaArticulo"/>
      </w:pPr>
      <w:r w:rsidRPr="002C5A78">
        <w:rPr>
          <w:rStyle w:val="TextoNormalNegritaCaracter"/>
        </w:rPr>
        <w:t>Artículo 139 y ss..</w:t>
      </w:r>
      <w:r w:rsidRPr="002C5A78">
        <w:rPr>
          <w:rStyle w:val="TextoNormalCaracter"/>
        </w:rPr>
        <w:t>-</w:t>
      </w:r>
      <w:r>
        <w:t xml:space="preserve"> Sentencia </w:t>
      </w:r>
      <w:hyperlink w:anchor="SENTENCIA_2021_14" w:history="1">
        <w:r w:rsidRPr="002C5A78">
          <w:rPr>
            <w:rStyle w:val="TextoNormalCaracter"/>
          </w:rPr>
          <w:t>14/2021</w:t>
        </w:r>
      </w:hyperlink>
      <w:r>
        <w:t>, f. 3.</w:t>
      </w:r>
    </w:p>
    <w:p w:rsidR="002C5A78" w:rsidRDefault="002C5A78" w:rsidP="002C5A78">
      <w:pPr>
        <w:pStyle w:val="SangriaFrancesaArticulo"/>
      </w:pPr>
      <w:r w:rsidRPr="002C5A78">
        <w:rPr>
          <w:rStyle w:val="TextoNormalNegritaCaracter"/>
        </w:rPr>
        <w:t>Artículo 143.</w:t>
      </w:r>
      <w:r w:rsidRPr="002C5A78">
        <w:rPr>
          <w:rStyle w:val="TextoNormalCaracter"/>
        </w:rPr>
        <w:t>-</w:t>
      </w:r>
      <w:r>
        <w:t xml:space="preserve"> Sentencia </w:t>
      </w:r>
      <w:hyperlink w:anchor="SENTENCIA_2021_126" w:history="1">
        <w:r w:rsidRPr="002C5A78">
          <w:rPr>
            <w:rStyle w:val="TextoNormalCaracter"/>
          </w:rPr>
          <w:t>126/2021</w:t>
        </w:r>
      </w:hyperlink>
      <w:r>
        <w:t>, f. 2.</w:t>
      </w:r>
    </w:p>
    <w:p w:rsidR="002C5A78" w:rsidRDefault="002C5A78" w:rsidP="002C5A78">
      <w:pPr>
        <w:pStyle w:val="SangriaFrancesaArticulo"/>
      </w:pPr>
      <w:r w:rsidRPr="002C5A78">
        <w:rPr>
          <w:rStyle w:val="TextoNormalNegritaCaracter"/>
        </w:rPr>
        <w:t>Artículo 144.1 a).</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153.</w:t>
      </w:r>
      <w:r w:rsidRPr="002C5A78">
        <w:rPr>
          <w:rStyle w:val="TextoNormalCaracter"/>
        </w:rPr>
        <w:t>-</w:t>
      </w:r>
      <w:r>
        <w:t xml:space="preserve"> Sentencia </w:t>
      </w:r>
      <w:hyperlink w:anchor="SENTENCIA_2021_14" w:history="1">
        <w:r w:rsidRPr="002C5A78">
          <w:rPr>
            <w:rStyle w:val="TextoNormalCaracter"/>
          </w:rPr>
          <w:t>14/2021</w:t>
        </w:r>
      </w:hyperlink>
      <w:r>
        <w:t>, VP I.</w:t>
      </w:r>
    </w:p>
    <w:p w:rsidR="002C5A78" w:rsidRDefault="002C5A78" w:rsidP="002C5A78">
      <w:pPr>
        <w:pStyle w:val="SangriaFrancesaArticulo"/>
      </w:pPr>
      <w:r w:rsidRPr="002C5A78">
        <w:rPr>
          <w:rStyle w:val="TextoNormalNegritaCaracter"/>
        </w:rPr>
        <w:t>Artículo 153.1.</w:t>
      </w:r>
      <w:r w:rsidRPr="002C5A78">
        <w:rPr>
          <w:rStyle w:val="TextoNormalCaracter"/>
        </w:rPr>
        <w:t>-</w:t>
      </w:r>
      <w:r>
        <w:t xml:space="preserve"> Sentencia </w:t>
      </w:r>
      <w:hyperlink w:anchor="SENTENCIA_2021_14" w:history="1">
        <w:r w:rsidRPr="002C5A78">
          <w:rPr>
            <w:rStyle w:val="TextoNormalCaracter"/>
          </w:rPr>
          <w:t>14/2021</w:t>
        </w:r>
      </w:hyperlink>
      <w:r>
        <w:t>, ff. 1, 3 a 6, VP II.</w:t>
      </w:r>
    </w:p>
    <w:p w:rsidR="002C5A78" w:rsidRDefault="002C5A78" w:rsidP="002C5A78">
      <w:pPr>
        <w:pStyle w:val="SangriaFrancesaArticulo"/>
      </w:pPr>
      <w:r w:rsidRPr="002C5A78">
        <w:rPr>
          <w:rStyle w:val="TextoNormalNegritaCaracter"/>
        </w:rPr>
        <w:t>Artículo 155.</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178.</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203.</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211.</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224.</w:t>
      </w:r>
      <w:r w:rsidRPr="002C5A78">
        <w:rPr>
          <w:rStyle w:val="TextoNormalCaracter"/>
        </w:rPr>
        <w:t>-</w:t>
      </w:r>
      <w:r>
        <w:t xml:space="preserve"> Sentencias </w:t>
      </w:r>
      <w:hyperlink w:anchor="SENTENCIA_2021_70" w:history="1">
        <w:r w:rsidRPr="002C5A78">
          <w:rPr>
            <w:rStyle w:val="TextoNormalCaracter"/>
          </w:rPr>
          <w:t>70/2021</w:t>
        </w:r>
      </w:hyperlink>
      <w:r>
        <w:t xml:space="preserve">, f. 7; </w:t>
      </w:r>
      <w:hyperlink w:anchor="SENTENCIA_2021_71" w:history="1">
        <w:r w:rsidRPr="002C5A78">
          <w:rPr>
            <w:rStyle w:val="TextoNormalCaracter"/>
          </w:rPr>
          <w:t>71/2021</w:t>
        </w:r>
      </w:hyperlink>
      <w:r>
        <w:t>, f. 7.</w:t>
      </w:r>
    </w:p>
    <w:p w:rsidR="002C5A78" w:rsidRDefault="002C5A78" w:rsidP="002C5A78">
      <w:pPr>
        <w:pStyle w:val="SangriaFrancesaArticulo"/>
      </w:pPr>
      <w:r w:rsidRPr="002C5A78">
        <w:rPr>
          <w:rStyle w:val="TextoNormalNegritaCaracter"/>
        </w:rPr>
        <w:t>Artículo 224.2.</w:t>
      </w:r>
      <w:r w:rsidRPr="002C5A78">
        <w:rPr>
          <w:rStyle w:val="TextoNormalCaracter"/>
        </w:rPr>
        <w:t>-</w:t>
      </w:r>
      <w:r>
        <w:t xml:space="preserve"> Auto </w:t>
      </w:r>
      <w:hyperlink w:anchor="AUTO_2021_16" w:history="1">
        <w:r w:rsidRPr="002C5A78">
          <w:rPr>
            <w:rStyle w:val="TextoNormalCaracter"/>
          </w:rPr>
          <w:t>16/2021</w:t>
        </w:r>
      </w:hyperlink>
      <w:r>
        <w:t>, f. 3.</w:t>
      </w:r>
    </w:p>
    <w:p w:rsidR="002C5A78" w:rsidRDefault="002C5A78" w:rsidP="002C5A78">
      <w:pPr>
        <w:pStyle w:val="SangriaFrancesaArticulo"/>
      </w:pPr>
      <w:r w:rsidRPr="002C5A78">
        <w:rPr>
          <w:rStyle w:val="TextoNormalNegritaCaracter"/>
        </w:rPr>
        <w:t>Disposición adicional primera, apartado 1.</w:t>
      </w:r>
      <w:r w:rsidRPr="002C5A78">
        <w:rPr>
          <w:rStyle w:val="TextoNormalCaracter"/>
        </w:rPr>
        <w:t>-</w:t>
      </w:r>
      <w:r>
        <w:t xml:space="preserve"> Sentencia </w:t>
      </w:r>
      <w:hyperlink w:anchor="SENTENCIA_2021_76" w:history="1">
        <w:r w:rsidRPr="002C5A78">
          <w:rPr>
            <w:rStyle w:val="TextoNormalCaracter"/>
          </w:rPr>
          <w:t>76/2021</w:t>
        </w:r>
      </w:hyperlink>
      <w:r>
        <w:t>, VP II.</w:t>
      </w:r>
    </w:p>
    <w:p w:rsidR="002C5A78" w:rsidRDefault="002C5A78" w:rsidP="002C5A78">
      <w:pPr>
        <w:pStyle w:val="SangriaFrancesaArticulo"/>
      </w:pPr>
      <w:r w:rsidRPr="002C5A78">
        <w:rPr>
          <w:rStyle w:val="TextoNormalNegritaCaracter"/>
        </w:rPr>
        <w:t>Disposición adicional primera, apartado 2.</w:t>
      </w:r>
      <w:r w:rsidRPr="002C5A78">
        <w:rPr>
          <w:rStyle w:val="TextoNormalCaracter"/>
        </w:rPr>
        <w:t>-</w:t>
      </w:r>
      <w:r>
        <w:t xml:space="preserve"> Sentencia </w:t>
      </w:r>
      <w:hyperlink w:anchor="SENTENCIA_2021_76" w:history="1">
        <w:r w:rsidRPr="002C5A78">
          <w:rPr>
            <w:rStyle w:val="TextoNormalCaracter"/>
          </w:rPr>
          <w:t>76/2021</w:t>
        </w:r>
      </w:hyperlink>
      <w:r>
        <w:t>, f. 4, VP II, VP III.</w:t>
      </w:r>
    </w:p>
    <w:p w:rsidR="002C5A78" w:rsidRDefault="002C5A78" w:rsidP="002C5A78">
      <w:pPr>
        <w:pStyle w:val="SangriaFrancesaArticulo"/>
      </w:pPr>
    </w:p>
    <w:p w:rsidR="002C5A78" w:rsidRDefault="002C5A78" w:rsidP="002C5A78">
      <w:pPr>
        <w:pStyle w:val="TextoNormalNegritaCursivandice"/>
        <w:keepNext/>
      </w:pPr>
      <w:r>
        <w:t>Ley Orgánica 6/1985, de 1 de julio. Poder judicial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52" w:history="1">
        <w:r w:rsidRPr="002C5A78">
          <w:rPr>
            <w:rStyle w:val="TextoNormalCaracter"/>
          </w:rPr>
          <w:t>52/2021</w:t>
        </w:r>
      </w:hyperlink>
      <w:r>
        <w:t xml:space="preserve">, f. 2; </w:t>
      </w:r>
      <w:hyperlink w:anchor="SENTENCIA_2021_56" w:history="1">
        <w:r w:rsidRPr="002C5A78">
          <w:rPr>
            <w:rStyle w:val="TextoNormalCaracter"/>
          </w:rPr>
          <w:t>56/2021</w:t>
        </w:r>
      </w:hyperlink>
      <w:r>
        <w:t xml:space="preserve">, f. 2;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73" w:history="1">
        <w:r w:rsidRPr="002C5A78">
          <w:rPr>
            <w:rStyle w:val="TextoNormalCaracter"/>
          </w:rPr>
          <w:t>73/2021</w:t>
        </w:r>
      </w:hyperlink>
      <w:r>
        <w:t>, VP II.</w:t>
      </w:r>
    </w:p>
    <w:p w:rsidR="002C5A78" w:rsidRDefault="002C5A78" w:rsidP="002C5A78">
      <w:pPr>
        <w:pStyle w:val="SangriaIzquierdaArticulo"/>
      </w:pPr>
      <w:r>
        <w:t xml:space="preserve">Auto </w:t>
      </w:r>
      <w:hyperlink w:anchor="AUTO_2021_57" w:history="1">
        <w:r w:rsidRPr="002C5A78">
          <w:rPr>
            <w:rStyle w:val="TextoNormalCaracter"/>
          </w:rPr>
          <w:t>57/2021</w:t>
        </w:r>
      </w:hyperlink>
      <w:r>
        <w:t>, f. 4.</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Sentencias </w:t>
      </w:r>
      <w:hyperlink w:anchor="SENTENCIA_2021_33" w:history="1">
        <w:r w:rsidRPr="002C5A78">
          <w:rPr>
            <w:rStyle w:val="TextoNormalCaracter"/>
          </w:rPr>
          <w:t>33/2021</w:t>
        </w:r>
      </w:hyperlink>
      <w:r>
        <w:t xml:space="preserve">, f. 3; </w:t>
      </w:r>
      <w:hyperlink w:anchor="SENTENCIA_2021_48" w:history="1">
        <w:r w:rsidRPr="002C5A78">
          <w:rPr>
            <w:rStyle w:val="TextoNormalCaracter"/>
          </w:rPr>
          <w:t>48/2021</w:t>
        </w:r>
      </w:hyperlink>
      <w:r>
        <w:t xml:space="preserve">, f. 2; </w:t>
      </w:r>
      <w:hyperlink w:anchor="SENTENCIA_2021_64" w:history="1">
        <w:r w:rsidRPr="002C5A78">
          <w:rPr>
            <w:rStyle w:val="TextoNormalCaracter"/>
          </w:rPr>
          <w:t>64/2021</w:t>
        </w:r>
      </w:hyperlink>
      <w:r>
        <w:t xml:space="preserve">, f. 3; </w:t>
      </w:r>
      <w:hyperlink w:anchor="SENTENCIA_2021_73" w:history="1">
        <w:r w:rsidRPr="002C5A78">
          <w:rPr>
            <w:rStyle w:val="TextoNormalCaracter"/>
          </w:rPr>
          <w:t>73/2021</w:t>
        </w:r>
      </w:hyperlink>
      <w:r>
        <w:t xml:space="preserve">, ff. 3, 4;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Artículo 7.1.</w:t>
      </w:r>
      <w:r w:rsidRPr="002C5A78">
        <w:rPr>
          <w:rStyle w:val="TextoNormalCaracter"/>
        </w:rPr>
        <w:t>-</w:t>
      </w:r>
      <w:r>
        <w:t xml:space="preserve"> Sentencia </w:t>
      </w:r>
      <w:hyperlink w:anchor="SENTENCIA_2021_73" w:history="1">
        <w:r w:rsidRPr="002C5A78">
          <w:rPr>
            <w:rStyle w:val="TextoNormalCaracter"/>
          </w:rPr>
          <w:t>73/2021</w:t>
        </w:r>
      </w:hyperlink>
      <w:r>
        <w:t>, f. 3.</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 </w:t>
      </w:r>
      <w:hyperlink w:anchor="SENTENCIA_2021_73" w:history="1">
        <w:r w:rsidRPr="002C5A78">
          <w:rPr>
            <w:rStyle w:val="TextoNormalCaracter"/>
          </w:rPr>
          <w:t>73/2021</w:t>
        </w:r>
      </w:hyperlink>
      <w:r>
        <w:t>, f. 3.</w:t>
      </w:r>
    </w:p>
    <w:p w:rsidR="002C5A78" w:rsidRDefault="002C5A78" w:rsidP="002C5A78">
      <w:pPr>
        <w:pStyle w:val="SangriaFrancesaArticulo"/>
      </w:pPr>
      <w:r w:rsidRPr="002C5A78">
        <w:rPr>
          <w:rStyle w:val="TextoNormalNegritaCaracter"/>
        </w:rPr>
        <w:t>Artículo 9.1.</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11.1.</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rsidP="002C5A78">
      <w:pPr>
        <w:pStyle w:val="SangriaFrancesaArticulo"/>
      </w:pPr>
      <w:r w:rsidRPr="002C5A78">
        <w:rPr>
          <w:rStyle w:val="TextoNormalNegritaCaracter"/>
        </w:rPr>
        <w:t>Artículo 11.2.</w:t>
      </w:r>
      <w:r w:rsidRPr="002C5A78">
        <w:rPr>
          <w:rStyle w:val="TextoNormalCaracter"/>
        </w:rPr>
        <w:t>-</w:t>
      </w:r>
      <w:r>
        <w:t xml:space="preserve"> Auto </w:t>
      </w:r>
      <w:hyperlink w:anchor="AUTO_2021_69" w:history="1">
        <w:r w:rsidRPr="002C5A78">
          <w:rPr>
            <w:rStyle w:val="TextoNormalCaracter"/>
          </w:rPr>
          <w:t>69/2021</w:t>
        </w:r>
      </w:hyperlink>
      <w:r>
        <w:t>, f. 2.</w:t>
      </w:r>
    </w:p>
    <w:p w:rsidR="002C5A78" w:rsidRDefault="002C5A78" w:rsidP="002C5A78">
      <w:pPr>
        <w:pStyle w:val="SangriaFrancesaArticulo"/>
      </w:pPr>
      <w:r w:rsidRPr="002C5A78">
        <w:rPr>
          <w:rStyle w:val="TextoNormalNegritaCaracter"/>
        </w:rPr>
        <w:t>Artículo 17.2.</w:t>
      </w:r>
      <w:r w:rsidRPr="002C5A78">
        <w:rPr>
          <w:rStyle w:val="TextoNormalCaracter"/>
        </w:rPr>
        <w:t>-</w:t>
      </w:r>
      <w:r>
        <w:t xml:space="preserve"> Sentencia </w:t>
      </w:r>
      <w:hyperlink w:anchor="SENTENCIA_2021_108" w:history="1">
        <w:r w:rsidRPr="002C5A78">
          <w:rPr>
            <w:rStyle w:val="TextoNormalCaracter"/>
          </w:rPr>
          <w:t>108/2021</w:t>
        </w:r>
      </w:hyperlink>
      <w:r>
        <w:t>, f. 7.</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21.1.</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21.2.</w:t>
      </w:r>
      <w:r w:rsidRPr="002C5A78">
        <w:rPr>
          <w:rStyle w:val="TextoNormalCaracter"/>
        </w:rPr>
        <w:t>-</w:t>
      </w:r>
      <w:r>
        <w:t xml:space="preserve"> Sentencia </w:t>
      </w:r>
      <w:hyperlink w:anchor="SENTENCIA_2021_120" w:history="1">
        <w:r w:rsidRPr="002C5A78">
          <w:rPr>
            <w:rStyle w:val="TextoNormalCaracter"/>
          </w:rPr>
          <w:t>120/2021</w:t>
        </w:r>
      </w:hyperlink>
      <w:r>
        <w:t>, f. 3.</w:t>
      </w:r>
    </w:p>
    <w:p w:rsidR="002C5A78" w:rsidRDefault="002C5A78" w:rsidP="002C5A78">
      <w:pPr>
        <w:pStyle w:val="SangriaFrancesaArticulo"/>
      </w:pPr>
      <w:r w:rsidRPr="002C5A78">
        <w:rPr>
          <w:rStyle w:val="TextoNormalNegritaCaracter"/>
        </w:rPr>
        <w:t>Artículo 25.</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25.1.</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53.2.</w:t>
      </w:r>
      <w:r w:rsidRPr="002C5A78">
        <w:rPr>
          <w:rStyle w:val="TextoNormalCaracter"/>
        </w:rPr>
        <w:t>-</w:t>
      </w:r>
      <w:r>
        <w:t xml:space="preserve"> Sentencia </w:t>
      </w:r>
      <w:hyperlink w:anchor="SENTENCIA_2021_73" w:history="1">
        <w:r w:rsidRPr="002C5A78">
          <w:rPr>
            <w:rStyle w:val="TextoNormalCaracter"/>
          </w:rPr>
          <w:t>73/2021</w:t>
        </w:r>
      </w:hyperlink>
      <w:r>
        <w:t>, f. 3.</w:t>
      </w:r>
    </w:p>
    <w:p w:rsidR="002C5A78" w:rsidRDefault="002C5A78" w:rsidP="002C5A78">
      <w:pPr>
        <w:pStyle w:val="SangriaFrancesaArticulo"/>
      </w:pPr>
      <w:r w:rsidRPr="002C5A78">
        <w:rPr>
          <w:rStyle w:val="TextoNormalNegritaCaracter"/>
        </w:rPr>
        <w:t>Artículo 57.1.</w:t>
      </w:r>
      <w:r w:rsidRPr="002C5A78">
        <w:rPr>
          <w:rStyle w:val="TextoNormalCaracter"/>
        </w:rPr>
        <w:t>-</w:t>
      </w:r>
      <w:r>
        <w:t xml:space="preserve"> Sentencia </w:t>
      </w:r>
      <w:hyperlink w:anchor="SENTENCIA_2021_34" w:history="1">
        <w:r w:rsidRPr="002C5A78">
          <w:rPr>
            <w:rStyle w:val="TextoNormalCaracter"/>
          </w:rPr>
          <w:t>34/2021</w:t>
        </w:r>
      </w:hyperlink>
      <w:r>
        <w:t>, f. 5.</w:t>
      </w:r>
    </w:p>
    <w:p w:rsidR="002C5A78" w:rsidRDefault="002C5A78" w:rsidP="002C5A78">
      <w:pPr>
        <w:pStyle w:val="SangriaFrancesaArticulo"/>
      </w:pPr>
      <w:r w:rsidRPr="002C5A78">
        <w:rPr>
          <w:rStyle w:val="TextoNormalNegritaCaracter"/>
        </w:rPr>
        <w:t>Artículo 57.1.2.</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57.2.</w:t>
      </w:r>
      <w:r w:rsidRPr="002C5A78">
        <w:rPr>
          <w:rStyle w:val="TextoNormalCaracter"/>
        </w:rPr>
        <w:t>-</w:t>
      </w:r>
      <w:r>
        <w:t xml:space="preserve"> Sentencias </w:t>
      </w:r>
      <w:hyperlink w:anchor="SENTENCIA_2021_34" w:history="1">
        <w:r w:rsidRPr="002C5A78">
          <w:rPr>
            <w:rStyle w:val="TextoNormalCaracter"/>
          </w:rPr>
          <w:t>34/2021</w:t>
        </w:r>
      </w:hyperlink>
      <w:r>
        <w:t xml:space="preserve">, f. 5;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Artículo 73.3 a).</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185.</w:t>
      </w:r>
      <w:r w:rsidRPr="002C5A78">
        <w:rPr>
          <w:rStyle w:val="TextoNormalCaracter"/>
        </w:rPr>
        <w:t>-</w:t>
      </w:r>
      <w:r>
        <w:t xml:space="preserve"> Auto </w:t>
      </w:r>
      <w:hyperlink w:anchor="AUTO_2021_7" w:history="1">
        <w:r w:rsidRPr="002C5A78">
          <w:rPr>
            <w:rStyle w:val="TextoNormalCaracter"/>
          </w:rPr>
          <w:t>7/2021</w:t>
        </w:r>
      </w:hyperlink>
      <w:r>
        <w:t>, f. único.</w:t>
      </w:r>
    </w:p>
    <w:p w:rsidR="002C5A78" w:rsidRDefault="002C5A78" w:rsidP="002C5A78">
      <w:pPr>
        <w:pStyle w:val="SangriaFrancesaArticulo"/>
      </w:pPr>
      <w:r w:rsidRPr="002C5A78">
        <w:rPr>
          <w:rStyle w:val="TextoNormalNegritaCaracter"/>
        </w:rPr>
        <w:t>Artículo 219.</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IzquierdaArticulo"/>
      </w:pPr>
      <w:r>
        <w:t xml:space="preserve">Auto </w:t>
      </w:r>
      <w:hyperlink w:anchor="AUTO_2021_69" w:history="1">
        <w:r w:rsidRPr="002C5A78">
          <w:rPr>
            <w:rStyle w:val="TextoNormalCaracter"/>
          </w:rPr>
          <w:t>69/2021</w:t>
        </w:r>
      </w:hyperlink>
      <w:r>
        <w:t>, f. 1.</w:t>
      </w:r>
    </w:p>
    <w:p w:rsidR="002C5A78" w:rsidRDefault="002C5A78" w:rsidP="002C5A78">
      <w:pPr>
        <w:pStyle w:val="SangriaFrancesaArticulo"/>
      </w:pPr>
      <w:r w:rsidRPr="002C5A78">
        <w:rPr>
          <w:rStyle w:val="TextoNormalNegritaCaracter"/>
        </w:rPr>
        <w:t>Artículo 219.1.</w:t>
      </w:r>
      <w:r w:rsidRPr="002C5A78">
        <w:rPr>
          <w:rStyle w:val="TextoNormalCaracter"/>
        </w:rPr>
        <w:t>-</w:t>
      </w:r>
      <w:r>
        <w:t xml:space="preserve"> Auto </w:t>
      </w:r>
      <w:hyperlink w:anchor="AUTO_2021_69" w:history="1">
        <w:r w:rsidRPr="002C5A78">
          <w:rPr>
            <w:rStyle w:val="TextoNormalCaracter"/>
          </w:rPr>
          <w:t>69/2021</w:t>
        </w:r>
      </w:hyperlink>
      <w:r>
        <w:t>, f. 3.</w:t>
      </w:r>
    </w:p>
    <w:p w:rsidR="002C5A78" w:rsidRDefault="002C5A78" w:rsidP="002C5A78">
      <w:pPr>
        <w:pStyle w:val="SangriaFrancesaArticulo"/>
      </w:pPr>
      <w:r w:rsidRPr="002C5A78">
        <w:rPr>
          <w:rStyle w:val="TextoNormalNegritaCaracter"/>
        </w:rPr>
        <w:t>Artículo 219.9.</w:t>
      </w:r>
      <w:r w:rsidRPr="002C5A78">
        <w:rPr>
          <w:rStyle w:val="TextoNormalCaracter"/>
        </w:rPr>
        <w:t>-</w:t>
      </w:r>
      <w:r>
        <w:t xml:space="preserve"> Sentencia </w:t>
      </w:r>
      <w:hyperlink w:anchor="SENTENCIA_2021_122" w:history="1">
        <w:r w:rsidRPr="002C5A78">
          <w:rPr>
            <w:rStyle w:val="TextoNormalCaracter"/>
          </w:rPr>
          <w:t>122/2021</w:t>
        </w:r>
      </w:hyperlink>
      <w:r>
        <w:t>, f. 7.</w:t>
      </w:r>
    </w:p>
    <w:p w:rsidR="002C5A78" w:rsidRDefault="002C5A78" w:rsidP="002C5A78">
      <w:pPr>
        <w:pStyle w:val="SangriaIzquierdaArticulo"/>
      </w:pPr>
      <w:r>
        <w:t xml:space="preserve">Autos </w:t>
      </w:r>
      <w:hyperlink w:anchor="AUTO_2021_53" w:history="1">
        <w:r w:rsidRPr="002C5A78">
          <w:rPr>
            <w:rStyle w:val="TextoNormalCaracter"/>
          </w:rPr>
          <w:t>53/2021</w:t>
        </w:r>
      </w:hyperlink>
      <w:r>
        <w:t xml:space="preserve">, f. único; </w:t>
      </w:r>
      <w:hyperlink w:anchor="AUTO_2021_69" w:history="1">
        <w:r w:rsidRPr="002C5A78">
          <w:rPr>
            <w:rStyle w:val="TextoNormalCaracter"/>
          </w:rPr>
          <w:t>69/2021</w:t>
        </w:r>
      </w:hyperlink>
      <w:r>
        <w:t>, f. 3.</w:t>
      </w:r>
    </w:p>
    <w:p w:rsidR="002C5A78" w:rsidRDefault="002C5A78" w:rsidP="002C5A78">
      <w:pPr>
        <w:pStyle w:val="SangriaFrancesaArticulo"/>
      </w:pPr>
      <w:r w:rsidRPr="002C5A78">
        <w:rPr>
          <w:rStyle w:val="TextoNormalNegritaCaracter"/>
        </w:rPr>
        <w:t>Artículo 219.10.</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IzquierdaArticulo"/>
      </w:pPr>
      <w:r>
        <w:t xml:space="preserve">Autos </w:t>
      </w:r>
      <w:hyperlink w:anchor="AUTO_2021_17" w:history="1">
        <w:r w:rsidRPr="002C5A78">
          <w:rPr>
            <w:rStyle w:val="TextoNormalCaracter"/>
          </w:rPr>
          <w:t>17/2021</w:t>
        </w:r>
      </w:hyperlink>
      <w:r>
        <w:t xml:space="preserve">, f. único; </w:t>
      </w:r>
      <w:hyperlink w:anchor="AUTO_2021_19" w:history="1">
        <w:r w:rsidRPr="002C5A78">
          <w:rPr>
            <w:rStyle w:val="TextoNormalCaracter"/>
          </w:rPr>
          <w:t>19/2021</w:t>
        </w:r>
      </w:hyperlink>
      <w:r>
        <w:t xml:space="preserve">, f. único; </w:t>
      </w:r>
      <w:hyperlink w:anchor="AUTO_2021_69" w:history="1">
        <w:r w:rsidRPr="002C5A78">
          <w:rPr>
            <w:rStyle w:val="TextoNormalCaracter"/>
          </w:rPr>
          <w:t>69/2021</w:t>
        </w:r>
      </w:hyperlink>
      <w:r>
        <w:t>, f. 3.</w:t>
      </w:r>
    </w:p>
    <w:p w:rsidR="002C5A78" w:rsidRDefault="002C5A78" w:rsidP="002C5A78">
      <w:pPr>
        <w:pStyle w:val="SangriaFrancesaArticulo"/>
      </w:pPr>
      <w:r w:rsidRPr="002C5A78">
        <w:rPr>
          <w:rStyle w:val="TextoNormalNegritaCaracter"/>
        </w:rPr>
        <w:t>Artículo 219.11.</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IzquierdaArticulo"/>
      </w:pPr>
      <w:r>
        <w:t xml:space="preserve">Auto </w:t>
      </w:r>
      <w:hyperlink w:anchor="AUTO_2021_20" w:history="1">
        <w:r w:rsidRPr="002C5A78">
          <w:rPr>
            <w:rStyle w:val="TextoNormalCaracter"/>
          </w:rPr>
          <w:t>20/2021</w:t>
        </w:r>
      </w:hyperlink>
      <w:r>
        <w:t>, f. único.</w:t>
      </w:r>
    </w:p>
    <w:p w:rsidR="002C5A78" w:rsidRDefault="002C5A78" w:rsidP="002C5A78">
      <w:pPr>
        <w:pStyle w:val="SangriaFrancesaArticulo"/>
      </w:pPr>
      <w:r w:rsidRPr="002C5A78">
        <w:rPr>
          <w:rStyle w:val="TextoNormalNegritaCaracter"/>
        </w:rPr>
        <w:t>Artículo 219.12.</w:t>
      </w:r>
      <w:r w:rsidRPr="002C5A78">
        <w:rPr>
          <w:rStyle w:val="TextoNormalCaracter"/>
        </w:rPr>
        <w:t>-</w:t>
      </w:r>
      <w:r>
        <w:t xml:space="preserve"> Auto </w:t>
      </w:r>
      <w:hyperlink w:anchor="AUTO_2021_69" w:history="1">
        <w:r w:rsidRPr="002C5A78">
          <w:rPr>
            <w:rStyle w:val="TextoNormalCaracter"/>
          </w:rPr>
          <w:t>69/2021</w:t>
        </w:r>
      </w:hyperlink>
      <w:r>
        <w:t>, f. 3.</w:t>
      </w:r>
    </w:p>
    <w:p w:rsidR="002C5A78" w:rsidRDefault="002C5A78" w:rsidP="002C5A78">
      <w:pPr>
        <w:pStyle w:val="SangriaFrancesaArticulo"/>
      </w:pPr>
      <w:r w:rsidRPr="002C5A78">
        <w:rPr>
          <w:rStyle w:val="TextoNormalNegritaCaracter"/>
        </w:rPr>
        <w:t>Artículo 221.4.</w:t>
      </w:r>
      <w:r w:rsidRPr="002C5A78">
        <w:rPr>
          <w:rStyle w:val="TextoNormalCaracter"/>
        </w:rPr>
        <w:t>-</w:t>
      </w:r>
      <w:r>
        <w:t xml:space="preserve"> Autos </w:t>
      </w:r>
      <w:hyperlink w:anchor="AUTO_2021_9" w:history="1">
        <w:r w:rsidRPr="002C5A78">
          <w:rPr>
            <w:rStyle w:val="TextoNormalCaracter"/>
          </w:rPr>
          <w:t>9/2021</w:t>
        </w:r>
      </w:hyperlink>
      <w:r>
        <w:t xml:space="preserve">, f. único; </w:t>
      </w:r>
      <w:hyperlink w:anchor="AUTO_2021_19" w:history="1">
        <w:r w:rsidRPr="002C5A78">
          <w:rPr>
            <w:rStyle w:val="TextoNormalCaracter"/>
          </w:rPr>
          <w:t>19/2021</w:t>
        </w:r>
      </w:hyperlink>
      <w:r>
        <w:t xml:space="preserve">, f. único; </w:t>
      </w:r>
      <w:hyperlink w:anchor="AUTO_2021_49" w:history="1">
        <w:r w:rsidRPr="002C5A78">
          <w:rPr>
            <w:rStyle w:val="TextoNormalCaracter"/>
          </w:rPr>
          <w:t>49/2021</w:t>
        </w:r>
      </w:hyperlink>
      <w:r>
        <w:t xml:space="preserve">, f. único; </w:t>
      </w:r>
      <w:hyperlink w:anchor="AUTO_2021_50" w:history="1">
        <w:r w:rsidRPr="002C5A78">
          <w:rPr>
            <w:rStyle w:val="TextoNormalCaracter"/>
          </w:rPr>
          <w:t>50/2021</w:t>
        </w:r>
      </w:hyperlink>
      <w:r>
        <w:t>, f. único.</w:t>
      </w:r>
    </w:p>
    <w:p w:rsidR="002C5A78" w:rsidRDefault="002C5A78" w:rsidP="002C5A78">
      <w:pPr>
        <w:pStyle w:val="SangriaFrancesaArticulo"/>
      </w:pPr>
      <w:r w:rsidRPr="002C5A78">
        <w:rPr>
          <w:rStyle w:val="TextoNormalNegritaCaracter"/>
        </w:rPr>
        <w:t>Artículo 223.</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Artículo 223.1.</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Artículo 224.</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Artículo 225.</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Artículo 227.</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Artículo 231.</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231.1.</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231.2.</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231.3.</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240.</w:t>
      </w:r>
      <w:r w:rsidRPr="002C5A78">
        <w:rPr>
          <w:rStyle w:val="TextoNormalCaracter"/>
        </w:rPr>
        <w:t>-</w:t>
      </w:r>
      <w:r>
        <w:t xml:space="preserve"> Sentencia </w:t>
      </w:r>
      <w:hyperlink w:anchor="SENTENCIA_2021_117" w:history="1">
        <w:r w:rsidRPr="002C5A78">
          <w:rPr>
            <w:rStyle w:val="TextoNormalCaracter"/>
          </w:rPr>
          <w:t>117/2021</w:t>
        </w:r>
      </w:hyperlink>
      <w:r>
        <w:t>, f. 4.</w:t>
      </w:r>
    </w:p>
    <w:p w:rsidR="002C5A78" w:rsidRDefault="002C5A78" w:rsidP="002C5A78">
      <w:pPr>
        <w:pStyle w:val="SangriaFrancesaArticulo"/>
      </w:pPr>
      <w:r w:rsidRPr="002C5A78">
        <w:rPr>
          <w:rStyle w:val="TextoNormalNegritaCaracter"/>
        </w:rPr>
        <w:t>Artículo 241.</w:t>
      </w:r>
      <w:r w:rsidRPr="002C5A78">
        <w:rPr>
          <w:rStyle w:val="TextoNormalCaracter"/>
        </w:rPr>
        <w:t>-</w:t>
      </w:r>
      <w:r>
        <w:t xml:space="preserve"> Sentencias </w:t>
      </w:r>
      <w:hyperlink w:anchor="SENTENCIA_2021_34" w:history="1">
        <w:r w:rsidRPr="002C5A78">
          <w:rPr>
            <w:rStyle w:val="TextoNormalCaracter"/>
          </w:rPr>
          <w:t>34/2021</w:t>
        </w:r>
      </w:hyperlink>
      <w:r>
        <w:t xml:space="preserve">, f. 2; </w:t>
      </w:r>
      <w:hyperlink w:anchor="SENTENCIA_2021_73" w:history="1">
        <w:r w:rsidRPr="002C5A78">
          <w:rPr>
            <w:rStyle w:val="TextoNormalCaracter"/>
          </w:rPr>
          <w:t>73/2021</w:t>
        </w:r>
      </w:hyperlink>
      <w:r>
        <w:t xml:space="preserve">, f. 2, VP I, VP II; </w:t>
      </w:r>
      <w:hyperlink w:anchor="SENTENCIA_2021_78" w:history="1">
        <w:r w:rsidRPr="002C5A78">
          <w:rPr>
            <w:rStyle w:val="TextoNormalCaracter"/>
          </w:rPr>
          <w:t>78/2021</w:t>
        </w:r>
      </w:hyperlink>
      <w:r>
        <w:t xml:space="preserve">, f. 2; </w:t>
      </w:r>
      <w:hyperlink w:anchor="SENTENCIA_2021_87" w:history="1">
        <w:r w:rsidRPr="002C5A78">
          <w:rPr>
            <w:rStyle w:val="TextoNormalCaracter"/>
          </w:rPr>
          <w:t>87/2021</w:t>
        </w:r>
      </w:hyperlink>
      <w:r>
        <w:t xml:space="preserve">, f. 3; </w:t>
      </w:r>
      <w:hyperlink w:anchor="SENTENCIA_2021_91" w:history="1">
        <w:r w:rsidRPr="002C5A78">
          <w:rPr>
            <w:rStyle w:val="TextoNormalCaracter"/>
          </w:rPr>
          <w:t>91/2021</w:t>
        </w:r>
      </w:hyperlink>
      <w:r>
        <w:t xml:space="preserve">, f. 5; </w:t>
      </w:r>
      <w:hyperlink w:anchor="SENTENCIA_2021_104" w:history="1">
        <w:r w:rsidRPr="002C5A78">
          <w:rPr>
            <w:rStyle w:val="TextoNormalCaracter"/>
          </w:rPr>
          <w:t>104/2021</w:t>
        </w:r>
      </w:hyperlink>
      <w:r>
        <w:t xml:space="preserve">, f. 4; </w:t>
      </w:r>
      <w:hyperlink w:anchor="SENTENCIA_2021_106" w:history="1">
        <w:r w:rsidRPr="002C5A78">
          <w:rPr>
            <w:rStyle w:val="TextoNormalCaracter"/>
          </w:rPr>
          <w:t>106/2021</w:t>
        </w:r>
      </w:hyperlink>
      <w:r>
        <w:t xml:space="preserve">, f. 5; </w:t>
      </w:r>
      <w:hyperlink w:anchor="SENTENCIA_2021_107" w:history="1">
        <w:r w:rsidRPr="002C5A78">
          <w:rPr>
            <w:rStyle w:val="TextoNormalCaracter"/>
          </w:rPr>
          <w:t>107/2021</w:t>
        </w:r>
      </w:hyperlink>
      <w:r>
        <w:t xml:space="preserve">, f. 2; </w:t>
      </w:r>
      <w:hyperlink w:anchor="SENTENCIA_2021_117" w:history="1">
        <w:r w:rsidRPr="002C5A78">
          <w:rPr>
            <w:rStyle w:val="TextoNormalCaracter"/>
          </w:rPr>
          <w:t>117/2021</w:t>
        </w:r>
      </w:hyperlink>
      <w:r>
        <w:t xml:space="preserve">, f. 4;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4.</w:t>
      </w:r>
    </w:p>
    <w:p w:rsidR="002C5A78" w:rsidRDefault="002C5A78" w:rsidP="002C5A78">
      <w:pPr>
        <w:pStyle w:val="SangriaIzquierdaArticulo"/>
      </w:pPr>
      <w:r>
        <w:t xml:space="preserve">Autos </w:t>
      </w:r>
      <w:hyperlink w:anchor="AUTO_2021_54" w:history="1">
        <w:r w:rsidRPr="002C5A78">
          <w:rPr>
            <w:rStyle w:val="TextoNormalCaracter"/>
          </w:rPr>
          <w:t>54/2021</w:t>
        </w:r>
      </w:hyperlink>
      <w:r>
        <w:t xml:space="preserve">, f. 2; </w:t>
      </w:r>
      <w:hyperlink w:anchor="AUTO_2021_60" w:history="1">
        <w:r w:rsidRPr="002C5A78">
          <w:rPr>
            <w:rStyle w:val="TextoNormalCaracter"/>
          </w:rPr>
          <w:t>60/2021</w:t>
        </w:r>
      </w:hyperlink>
      <w:r>
        <w:t xml:space="preserve">, f. único; </w:t>
      </w:r>
      <w:hyperlink w:anchor="AUTO_2021_70" w:history="1">
        <w:r w:rsidRPr="002C5A78">
          <w:rPr>
            <w:rStyle w:val="TextoNormalCaracter"/>
          </w:rPr>
          <w:t>70/2021</w:t>
        </w:r>
      </w:hyperlink>
      <w:r>
        <w:t>, f. único.</w:t>
      </w:r>
    </w:p>
    <w:p w:rsidR="002C5A78" w:rsidRDefault="002C5A78" w:rsidP="002C5A78">
      <w:pPr>
        <w:pStyle w:val="SangriaFrancesaArticulo"/>
      </w:pPr>
      <w:r w:rsidRPr="002C5A78">
        <w:rPr>
          <w:rStyle w:val="TextoNormalNegritaCaracter"/>
        </w:rPr>
        <w:t>Artículo 241</w:t>
      </w:r>
      <w:r>
        <w:t xml:space="preserve"> (redactado por la Ley Orgánica 6/2007, de 24 de mayo)</w:t>
      </w:r>
      <w:r w:rsidRPr="002C5A78">
        <w:rPr>
          <w:rStyle w:val="TextoNormalNegritaCaracter"/>
        </w:rPr>
        <w:t>.</w:t>
      </w:r>
      <w:r w:rsidRPr="002C5A78">
        <w:rPr>
          <w:rStyle w:val="TextoNormalCaracter"/>
        </w:rPr>
        <w:t>-</w:t>
      </w:r>
      <w:r>
        <w:t xml:space="preserve"> Sentencia </w:t>
      </w:r>
      <w:hyperlink w:anchor="SENTENCIA_2021_107" w:history="1">
        <w:r w:rsidRPr="002C5A78">
          <w:rPr>
            <w:rStyle w:val="TextoNormalCaracter"/>
          </w:rPr>
          <w:t>107/2021</w:t>
        </w:r>
      </w:hyperlink>
      <w:r>
        <w:t>, f. 2.</w:t>
      </w:r>
    </w:p>
    <w:p w:rsidR="002C5A78" w:rsidRDefault="002C5A78" w:rsidP="002C5A78">
      <w:pPr>
        <w:pStyle w:val="SangriaFrancesaArticulo"/>
      </w:pPr>
      <w:r w:rsidRPr="002C5A78">
        <w:rPr>
          <w:rStyle w:val="TextoNormalNegritaCaracter"/>
        </w:rPr>
        <w:t>Artículo 241.1.</w:t>
      </w:r>
      <w:r w:rsidRPr="002C5A78">
        <w:rPr>
          <w:rStyle w:val="TextoNormalCaracter"/>
        </w:rPr>
        <w:t>-</w:t>
      </w:r>
      <w:r>
        <w:t xml:space="preserve"> Sentencias </w:t>
      </w:r>
      <w:hyperlink w:anchor="SENTENCIA_2021_34" w:history="1">
        <w:r w:rsidRPr="002C5A78">
          <w:rPr>
            <w:rStyle w:val="TextoNormalCaracter"/>
          </w:rPr>
          <w:t>34/2021</w:t>
        </w:r>
      </w:hyperlink>
      <w:r>
        <w:t xml:space="preserve">, f. 2; </w:t>
      </w:r>
      <w:hyperlink w:anchor="SENTENCIA_2021_73" w:history="1">
        <w:r w:rsidRPr="002C5A78">
          <w:rPr>
            <w:rStyle w:val="TextoNormalCaracter"/>
          </w:rPr>
          <w:t>73/2021</w:t>
        </w:r>
      </w:hyperlink>
      <w:r>
        <w:t xml:space="preserve">, VP II; </w:t>
      </w:r>
      <w:hyperlink w:anchor="SENTENCIA_2021_78" w:history="1">
        <w:r w:rsidRPr="002C5A78">
          <w:rPr>
            <w:rStyle w:val="TextoNormalCaracter"/>
          </w:rPr>
          <w:t>78/2021</w:t>
        </w:r>
      </w:hyperlink>
      <w:r>
        <w:t xml:space="preserve">, f. 2; </w:t>
      </w:r>
      <w:hyperlink w:anchor="SENTENCIA_2021_88" w:history="1">
        <w:r w:rsidRPr="002C5A78">
          <w:rPr>
            <w:rStyle w:val="TextoNormalCaracter"/>
          </w:rPr>
          <w:t>88/2021</w:t>
        </w:r>
      </w:hyperlink>
      <w:r>
        <w:t xml:space="preserve">, f. 2; </w:t>
      </w:r>
      <w:hyperlink w:anchor="SENTENCIA_2021_104" w:history="1">
        <w:r w:rsidRPr="002C5A78">
          <w:rPr>
            <w:rStyle w:val="TextoNormalCaracter"/>
          </w:rPr>
          <w:t>104/2021</w:t>
        </w:r>
      </w:hyperlink>
      <w:r>
        <w:t xml:space="preserve">, f. 1; </w:t>
      </w:r>
      <w:hyperlink w:anchor="SENTENCIA_2021_107" w:history="1">
        <w:r w:rsidRPr="002C5A78">
          <w:rPr>
            <w:rStyle w:val="TextoNormalCaracter"/>
          </w:rPr>
          <w:t>107/2021</w:t>
        </w:r>
      </w:hyperlink>
      <w:r>
        <w:t>, f. 2.</w:t>
      </w:r>
    </w:p>
    <w:p w:rsidR="002C5A78" w:rsidRDefault="002C5A78" w:rsidP="002C5A78">
      <w:pPr>
        <w:pStyle w:val="SangriaFrancesaArticulo"/>
      </w:pPr>
      <w:r w:rsidRPr="002C5A78">
        <w:rPr>
          <w:rStyle w:val="TextoNormalNegritaCaracter"/>
        </w:rPr>
        <w:t>Artículo 241.1</w:t>
      </w:r>
      <w:r>
        <w:t xml:space="preserve"> (redactado por la Ley Orgánica 6/2007, de 24 de mayo)</w:t>
      </w:r>
      <w:r w:rsidRPr="002C5A78">
        <w:rPr>
          <w:rStyle w:val="TextoNormalNegritaCaracter"/>
        </w:rPr>
        <w:t>.</w:t>
      </w:r>
      <w:r w:rsidRPr="002C5A78">
        <w:rPr>
          <w:rStyle w:val="TextoNormalCaracter"/>
        </w:rPr>
        <w:t>-</w:t>
      </w:r>
      <w:r>
        <w:t xml:space="preserve"> Sentencia </w:t>
      </w:r>
      <w:hyperlink w:anchor="SENTENCIA_2021_73" w:history="1">
        <w:r w:rsidRPr="002C5A78">
          <w:rPr>
            <w:rStyle w:val="TextoNormalCaracter"/>
          </w:rPr>
          <w:t>73/2021</w:t>
        </w:r>
      </w:hyperlink>
      <w:r>
        <w:t>, f. 2, VP I.</w:t>
      </w:r>
    </w:p>
    <w:p w:rsidR="002C5A78" w:rsidRDefault="002C5A78" w:rsidP="002C5A78">
      <w:pPr>
        <w:pStyle w:val="SangriaFrancesaArticulo"/>
      </w:pPr>
      <w:r w:rsidRPr="002C5A78">
        <w:rPr>
          <w:rStyle w:val="TextoNormalNegritaCaracter"/>
        </w:rPr>
        <w:t>Artículo 267.</w:t>
      </w:r>
      <w:r w:rsidRPr="002C5A78">
        <w:rPr>
          <w:rStyle w:val="TextoNormalCaracter"/>
        </w:rPr>
        <w:t>-</w:t>
      </w:r>
      <w:r>
        <w:t xml:space="preserve"> Sentencias </w:t>
      </w:r>
      <w:hyperlink w:anchor="SENTENCIA_2021_78" w:history="1">
        <w:r w:rsidRPr="002C5A78">
          <w:rPr>
            <w:rStyle w:val="TextoNormalCaracter"/>
          </w:rPr>
          <w:t>78/2021</w:t>
        </w:r>
      </w:hyperlink>
      <w:r>
        <w:t xml:space="preserve">, f. 2; </w:t>
      </w:r>
      <w:hyperlink w:anchor="SENTENCIA_2021_107" w:history="1">
        <w:r w:rsidRPr="002C5A78">
          <w:rPr>
            <w:rStyle w:val="TextoNormalCaracter"/>
          </w:rPr>
          <w:t>107/2021</w:t>
        </w:r>
      </w:hyperlink>
      <w:r>
        <w:t>, f. 2.</w:t>
      </w:r>
    </w:p>
    <w:p w:rsidR="002C5A78" w:rsidRDefault="002C5A78" w:rsidP="002C5A78">
      <w:pPr>
        <w:pStyle w:val="SangriaIzquierdaArticulo"/>
      </w:pPr>
      <w:r>
        <w:t xml:space="preserve">Auto </w:t>
      </w:r>
      <w:hyperlink w:anchor="AUTO_2021_43" w:history="1">
        <w:r w:rsidRPr="002C5A78">
          <w:rPr>
            <w:rStyle w:val="TextoNormalCaracter"/>
          </w:rPr>
          <w:t>43/2021</w:t>
        </w:r>
      </w:hyperlink>
      <w:r>
        <w:t>, f. 1.</w:t>
      </w:r>
    </w:p>
    <w:p w:rsidR="002C5A78" w:rsidRDefault="002C5A78" w:rsidP="002C5A78">
      <w:pPr>
        <w:pStyle w:val="SangriaFrancesaArticulo"/>
      </w:pPr>
      <w:r w:rsidRPr="002C5A78">
        <w:rPr>
          <w:rStyle w:val="TextoNormalNegritaCaracter"/>
        </w:rPr>
        <w:t>Artículo 267.1.</w:t>
      </w:r>
      <w:r w:rsidRPr="002C5A78">
        <w:rPr>
          <w:rStyle w:val="TextoNormalCaracter"/>
        </w:rPr>
        <w:t>-</w:t>
      </w:r>
      <w:r>
        <w:t xml:space="preserve"> Autos </w:t>
      </w:r>
      <w:hyperlink w:anchor="AUTO_2021_49" w:history="1">
        <w:r w:rsidRPr="002C5A78">
          <w:rPr>
            <w:rStyle w:val="TextoNormalCaracter"/>
          </w:rPr>
          <w:t>49/2021</w:t>
        </w:r>
      </w:hyperlink>
      <w:r>
        <w:t xml:space="preserve">, f. único; </w:t>
      </w:r>
      <w:hyperlink w:anchor="AUTO_2021_50" w:history="1">
        <w:r w:rsidRPr="002C5A78">
          <w:rPr>
            <w:rStyle w:val="TextoNormalCaracter"/>
          </w:rPr>
          <w:t>50/2021</w:t>
        </w:r>
      </w:hyperlink>
      <w:r>
        <w:t>, f. único.</w:t>
      </w:r>
    </w:p>
    <w:p w:rsidR="002C5A78" w:rsidRDefault="002C5A78" w:rsidP="002C5A78">
      <w:pPr>
        <w:pStyle w:val="SangriaFrancesaArticulo"/>
      </w:pPr>
      <w:r w:rsidRPr="002C5A78">
        <w:rPr>
          <w:rStyle w:val="TextoNormalNegritaCaracter"/>
        </w:rPr>
        <w:t>Artículo 267.3.</w:t>
      </w:r>
      <w:r w:rsidRPr="002C5A78">
        <w:rPr>
          <w:rStyle w:val="TextoNormalCaracter"/>
        </w:rPr>
        <w:t>-</w:t>
      </w:r>
      <w:r>
        <w:t xml:space="preserve"> Auto </w:t>
      </w:r>
      <w:hyperlink w:anchor="AUTO_2021_26" w:history="1">
        <w:r w:rsidRPr="002C5A78">
          <w:rPr>
            <w:rStyle w:val="TextoNormalCaracter"/>
          </w:rPr>
          <w:t>26/2021</w:t>
        </w:r>
      </w:hyperlink>
      <w:r>
        <w:t>, f. único.</w:t>
      </w:r>
    </w:p>
    <w:p w:rsidR="002C5A78" w:rsidRDefault="002C5A78" w:rsidP="002C5A78">
      <w:pPr>
        <w:pStyle w:val="SangriaFrancesaArticulo"/>
      </w:pPr>
      <w:r w:rsidRPr="002C5A78">
        <w:rPr>
          <w:rStyle w:val="TextoNormalNegritaCaracter"/>
        </w:rPr>
        <w:t>Artículo 267.9.</w:t>
      </w:r>
      <w:r w:rsidRPr="002C5A78">
        <w:rPr>
          <w:rStyle w:val="TextoNormalCaracter"/>
        </w:rPr>
        <w:t>-</w:t>
      </w:r>
      <w:r>
        <w:t xml:space="preserve"> Sentencia </w:t>
      </w:r>
      <w:hyperlink w:anchor="SENTENCIA_2021_96" w:history="1">
        <w:r w:rsidRPr="002C5A78">
          <w:rPr>
            <w:rStyle w:val="TextoNormalCaracter"/>
          </w:rPr>
          <w:t>96/2021</w:t>
        </w:r>
      </w:hyperlink>
      <w:r>
        <w:t>, f. único.</w:t>
      </w:r>
    </w:p>
    <w:p w:rsidR="002C5A78" w:rsidRDefault="002C5A78" w:rsidP="002C5A78">
      <w:pPr>
        <w:pStyle w:val="SangriaFrancesaArticulo"/>
      </w:pPr>
      <w:r w:rsidRPr="002C5A78">
        <w:rPr>
          <w:rStyle w:val="TextoNormalNegritaCaracter"/>
        </w:rPr>
        <w:t>Artículo 271.</w:t>
      </w:r>
      <w:r w:rsidRPr="002C5A78">
        <w:rPr>
          <w:rStyle w:val="TextoNormalCaracter"/>
        </w:rPr>
        <w:t>-</w:t>
      </w:r>
      <w:r>
        <w:t xml:space="preserve"> Sentencia </w:t>
      </w:r>
      <w:hyperlink w:anchor="SENTENCIA_2021_43" w:history="1">
        <w:r w:rsidRPr="002C5A78">
          <w:rPr>
            <w:rStyle w:val="TextoNormalCaracter"/>
          </w:rPr>
          <w:t>43/2021</w:t>
        </w:r>
      </w:hyperlink>
      <w:r>
        <w:t>, f. 2.</w:t>
      </w:r>
    </w:p>
    <w:p w:rsidR="002C5A78" w:rsidRDefault="002C5A78" w:rsidP="002C5A78">
      <w:pPr>
        <w:pStyle w:val="SangriaFrancesaArticulo"/>
      </w:pPr>
      <w:r w:rsidRPr="002C5A78">
        <w:rPr>
          <w:rStyle w:val="TextoNormalNegritaCaracter"/>
        </w:rPr>
        <w:t>Artículo 294.</w:t>
      </w:r>
      <w:r w:rsidRPr="002C5A78">
        <w:rPr>
          <w:rStyle w:val="TextoNormalCaracter"/>
        </w:rPr>
        <w:t>-</w:t>
      </w:r>
      <w:r>
        <w:t xml:space="preserve"> Sentencia </w:t>
      </w:r>
      <w:hyperlink w:anchor="SENTENCIA_2021_41" w:history="1">
        <w:r w:rsidRPr="002C5A78">
          <w:rPr>
            <w:rStyle w:val="TextoNormalCaracter"/>
          </w:rPr>
          <w:t>41/2021</w:t>
        </w:r>
      </w:hyperlink>
      <w:r>
        <w:t>, f. 2.</w:t>
      </w:r>
    </w:p>
    <w:p w:rsidR="002C5A78" w:rsidRDefault="002C5A78" w:rsidP="002C5A78">
      <w:pPr>
        <w:pStyle w:val="SangriaFrancesaArticulo"/>
      </w:pPr>
      <w:r w:rsidRPr="002C5A78">
        <w:rPr>
          <w:rStyle w:val="TextoNormalNegritaCaracter"/>
        </w:rPr>
        <w:t>Artículo 294.1.</w:t>
      </w:r>
      <w:r w:rsidRPr="002C5A78">
        <w:rPr>
          <w:rStyle w:val="TextoNormalCaracter"/>
        </w:rPr>
        <w:t>-</w:t>
      </w:r>
      <w:r>
        <w:t xml:space="preserve"> Sentencias </w:t>
      </w:r>
      <w:hyperlink w:anchor="SENTENCIA_2021_41" w:history="1">
        <w:r w:rsidRPr="002C5A78">
          <w:rPr>
            <w:rStyle w:val="TextoNormalCaracter"/>
          </w:rPr>
          <w:t>41/2021</w:t>
        </w:r>
      </w:hyperlink>
      <w:r>
        <w:t xml:space="preserve">, f. 3; </w:t>
      </w:r>
      <w:hyperlink w:anchor="SENTENCIA_2021_83" w:history="1">
        <w:r w:rsidRPr="002C5A78">
          <w:rPr>
            <w:rStyle w:val="TextoNormalCaracter"/>
          </w:rPr>
          <w:t>83/2021</w:t>
        </w:r>
      </w:hyperlink>
      <w:r>
        <w:t xml:space="preserve">, f. único; </w:t>
      </w:r>
      <w:hyperlink w:anchor="SENTENCIA_2021_98" w:history="1">
        <w:r w:rsidRPr="002C5A78">
          <w:rPr>
            <w:rStyle w:val="TextoNormalCaracter"/>
          </w:rPr>
          <w:t>98/2021</w:t>
        </w:r>
      </w:hyperlink>
      <w:r>
        <w:t xml:space="preserve">, f. 3; </w:t>
      </w:r>
      <w:hyperlink w:anchor="SENTENCIA_2021_127" w:history="1">
        <w:r w:rsidRPr="002C5A78">
          <w:rPr>
            <w:rStyle w:val="TextoNormalCaracter"/>
          </w:rPr>
          <w:t>127/2021</w:t>
        </w:r>
      </w:hyperlink>
      <w:r>
        <w:t xml:space="preserve">, f. único; </w:t>
      </w:r>
      <w:hyperlink w:anchor="SENTENCIA_2021_128" w:history="1">
        <w:r w:rsidRPr="002C5A78">
          <w:rPr>
            <w:rStyle w:val="TextoNormalCaracter"/>
          </w:rPr>
          <w:t>128/2021</w:t>
        </w:r>
      </w:hyperlink>
      <w:r>
        <w:t>, f. único.</w:t>
      </w:r>
    </w:p>
    <w:p w:rsidR="002C5A78" w:rsidRDefault="002C5A78" w:rsidP="002C5A78">
      <w:pPr>
        <w:pStyle w:val="SangriaFrancesaArticulo"/>
      </w:pPr>
      <w:r w:rsidRPr="002C5A78">
        <w:rPr>
          <w:rStyle w:val="TextoNormalNegritaCaracter"/>
        </w:rPr>
        <w:t>Artículo 453.1.</w:t>
      </w:r>
      <w:r w:rsidRPr="002C5A78">
        <w:rPr>
          <w:rStyle w:val="TextoNormalCaracter"/>
        </w:rPr>
        <w:t>-</w:t>
      </w:r>
      <w:r>
        <w:t xml:space="preserve"> Auto </w:t>
      </w:r>
      <w:hyperlink w:anchor="AUTO_2021_43" w:history="1">
        <w:r w:rsidRPr="002C5A78">
          <w:rPr>
            <w:rStyle w:val="TextoNormalCaracter"/>
          </w:rPr>
          <w:t>43/2021</w:t>
        </w:r>
      </w:hyperlink>
      <w:r>
        <w:t>, f. 2.</w:t>
      </w:r>
    </w:p>
    <w:p w:rsidR="002C5A78" w:rsidRDefault="002C5A78" w:rsidP="002C5A78">
      <w:pPr>
        <w:pStyle w:val="SangriaFrancesaArticulo"/>
      </w:pPr>
      <w:r w:rsidRPr="002C5A78">
        <w:rPr>
          <w:rStyle w:val="TextoNormalNegritaCaracter"/>
        </w:rPr>
        <w:t>Artículo 468 bis.1 h).</w:t>
      </w:r>
      <w:r w:rsidRPr="002C5A78">
        <w:rPr>
          <w:rStyle w:val="TextoNormalCaracter"/>
        </w:rPr>
        <w:t>-</w:t>
      </w:r>
      <w:r>
        <w:t xml:space="preserve"> Sentencia </w:t>
      </w:r>
      <w:hyperlink w:anchor="SENTENCIA_2021_51" w:history="1">
        <w:r w:rsidRPr="002C5A78">
          <w:rPr>
            <w:rStyle w:val="TextoNormalCaracter"/>
          </w:rPr>
          <w:t>51/2021</w:t>
        </w:r>
      </w:hyperlink>
      <w:r>
        <w:t>, f. 1.</w:t>
      </w:r>
    </w:p>
    <w:p w:rsidR="002C5A78" w:rsidRDefault="002C5A78" w:rsidP="002C5A78">
      <w:pPr>
        <w:pStyle w:val="SangriaFrancesaArticulo"/>
      </w:pPr>
    </w:p>
    <w:p w:rsidR="002C5A78" w:rsidRDefault="002C5A78" w:rsidP="002C5A78">
      <w:pPr>
        <w:pStyle w:val="TextoNormalNegritaCursivandice"/>
        <w:keepNext/>
      </w:pPr>
      <w:r>
        <w:t>Ley Orgánica 11/1985, de 2 de agosto. Libertad sindical</w:t>
      </w:r>
    </w:p>
    <w:p w:rsidR="002C5A78" w:rsidRDefault="002C5A78" w:rsidP="002C5A78">
      <w:pPr>
        <w:pStyle w:val="SangriaFrancesaArticulo"/>
      </w:pPr>
      <w:r w:rsidRPr="002C5A78">
        <w:rPr>
          <w:rStyle w:val="TextoNormalNegritaCaracter"/>
        </w:rPr>
        <w:t>Artículo 2.1 d).</w:t>
      </w:r>
      <w:r w:rsidRPr="002C5A78">
        <w:rPr>
          <w:rStyle w:val="TextoNormalCaracter"/>
        </w:rPr>
        <w:t>-</w:t>
      </w:r>
      <w:r>
        <w:t xml:space="preserve"> Sentencia </w:t>
      </w:r>
      <w:hyperlink w:anchor="SENTENCIA_2021_130" w:history="1">
        <w:r w:rsidRPr="002C5A78">
          <w:rPr>
            <w:rStyle w:val="TextoNormalCaracter"/>
          </w:rPr>
          <w:t>130/2021</w:t>
        </w:r>
      </w:hyperlink>
      <w:r>
        <w:t>, f. 3.</w:t>
      </w:r>
    </w:p>
    <w:p w:rsidR="002C5A78" w:rsidRDefault="002C5A78" w:rsidP="002C5A78">
      <w:pPr>
        <w:pStyle w:val="SangriaFrancesaArticulo"/>
      </w:pPr>
      <w:r w:rsidRPr="002C5A78">
        <w:rPr>
          <w:rStyle w:val="TextoNormalNegritaCaracter"/>
        </w:rPr>
        <w:t>Artículo 2.2 d).</w:t>
      </w:r>
      <w:r w:rsidRPr="002C5A78">
        <w:rPr>
          <w:rStyle w:val="TextoNormalCaracter"/>
        </w:rPr>
        <w:t>-</w:t>
      </w:r>
      <w:r>
        <w:t xml:space="preserve"> Sentencia </w:t>
      </w:r>
      <w:hyperlink w:anchor="SENTENCIA_2021_130" w:history="1">
        <w:r w:rsidRPr="002C5A78">
          <w:rPr>
            <w:rStyle w:val="TextoNormalCaracter"/>
          </w:rPr>
          <w:t>130/2021</w:t>
        </w:r>
      </w:hyperlink>
      <w:r>
        <w:t>, f. 3.</w:t>
      </w:r>
    </w:p>
    <w:p w:rsidR="002C5A78" w:rsidRDefault="002C5A78" w:rsidP="002C5A78">
      <w:pPr>
        <w:pStyle w:val="SangriaFrancesaArticulo"/>
      </w:pPr>
    </w:p>
    <w:p w:rsidR="002C5A78" w:rsidRDefault="002C5A78" w:rsidP="002C5A78">
      <w:pPr>
        <w:pStyle w:val="TextoNormalNegritaCursivandice"/>
        <w:keepNext/>
      </w:pPr>
      <w:r>
        <w:t>Ley Orgánica 2/1986, de 13 de marzo, de fuerzas y cuerpos de seguridad</w:t>
      </w:r>
    </w:p>
    <w:p w:rsidR="002C5A78" w:rsidRDefault="002C5A78" w:rsidP="002C5A78">
      <w:pPr>
        <w:pStyle w:val="SangriaFrancesaArticulo"/>
      </w:pPr>
      <w:r w:rsidRPr="002C5A78">
        <w:rPr>
          <w:rStyle w:val="TextoNormalNegritaCaracter"/>
        </w:rPr>
        <w:t>Artículo 46.2.</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Ley Orgánica 1/1992, de 21 de febrero. Protección de la seguridad ciudadana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 w:history="1">
        <w:r w:rsidRPr="002C5A78">
          <w:rPr>
            <w:rStyle w:val="TextoNormalCaracter"/>
          </w:rPr>
          <w:t>13/2021</w:t>
        </w:r>
      </w:hyperlink>
      <w:r>
        <w:t>, f. 10.</w:t>
      </w:r>
    </w:p>
    <w:p w:rsidR="002C5A78" w:rsidRDefault="002C5A78" w:rsidP="002C5A78">
      <w:pPr>
        <w:pStyle w:val="SangriaFrancesaArticulo"/>
      </w:pPr>
    </w:p>
    <w:p w:rsidR="002C5A78" w:rsidRDefault="002C5A78" w:rsidP="002C5A78">
      <w:pPr>
        <w:pStyle w:val="TextoNormalNegritaCursivandice"/>
        <w:keepNext/>
      </w:pPr>
      <w:r>
        <w:t>Ley Orgánica 3/1995, de 23 de marzo. Modificación de la Ley Orgánica 5/1985, de 19 de junio, del régimen electoral general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Ley Orgánica 10/1995, de 23 de noviembre, del Código penal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3" w:history="1">
        <w:r w:rsidRPr="002C5A78">
          <w:rPr>
            <w:rStyle w:val="TextoNormalCaracter"/>
          </w:rPr>
          <w:t>13/2021</w:t>
        </w:r>
      </w:hyperlink>
      <w:r>
        <w:t xml:space="preserve">, VP II; </w:t>
      </w:r>
      <w:hyperlink w:anchor="SENTENCIA_2021_106" w:history="1">
        <w:r w:rsidRPr="002C5A78">
          <w:rPr>
            <w:rStyle w:val="TextoNormalCaracter"/>
          </w:rPr>
          <w:t>106/2021</w:t>
        </w:r>
      </w:hyperlink>
      <w:r>
        <w:t xml:space="preserve">, ff. 10, 11;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ff. 1, 10.</w:t>
      </w:r>
    </w:p>
    <w:p w:rsidR="002C5A78" w:rsidRDefault="002C5A78" w:rsidP="002C5A78">
      <w:pPr>
        <w:pStyle w:val="SangriaFrancesaArticulo"/>
      </w:pPr>
      <w:r w:rsidRPr="002C5A78">
        <w:rPr>
          <w:rStyle w:val="TextoNormalNegritaCaracter"/>
        </w:rPr>
        <w:t>Libro II, título XXI.</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Libro II, título XXII.</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Libro II, título XXII, capítulo I.</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ff. 3, 10.</w:t>
      </w:r>
    </w:p>
    <w:p w:rsidR="002C5A78" w:rsidRDefault="002C5A78" w:rsidP="002C5A78">
      <w:pPr>
        <w:pStyle w:val="SangriaFrancesaArticulo"/>
      </w:pPr>
      <w:r w:rsidRPr="002C5A78">
        <w:rPr>
          <w:rStyle w:val="TextoNormalNegritaCaracter"/>
        </w:rPr>
        <w:t>Libro II, título XXII, capítulo II.</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Libro II, título XXIII.</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r w:rsidRPr="002C5A78">
        <w:rPr>
          <w:rStyle w:val="TextoNormalNegritaCaracter"/>
        </w:rPr>
        <w:t>Artículo 4.3.</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 </w:t>
      </w:r>
      <w:hyperlink w:anchor="SENTENCIA_2021_126" w:history="1">
        <w:r w:rsidRPr="002C5A78">
          <w:rPr>
            <w:rStyle w:val="TextoNormalCaracter"/>
          </w:rPr>
          <w:t>126/2021</w:t>
        </w:r>
      </w:hyperlink>
      <w:r>
        <w:t>, f. 5.</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Sentencias </w:t>
      </w:r>
      <w:hyperlink w:anchor="SENTENCIA_2021_18" w:history="1">
        <w:r w:rsidRPr="002C5A78">
          <w:rPr>
            <w:rStyle w:val="TextoNormalCaracter"/>
          </w:rPr>
          <w:t>18/2021</w:t>
        </w:r>
      </w:hyperlink>
      <w:r>
        <w:t xml:space="preserve">, f. 4;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20.7.</w:t>
      </w:r>
      <w:r w:rsidRPr="002C5A78">
        <w:rPr>
          <w:rStyle w:val="TextoNormalCaracter"/>
        </w:rPr>
        <w:t>-</w:t>
      </w:r>
      <w:r>
        <w:t xml:space="preserve"> Sentencias </w:t>
      </w:r>
      <w:hyperlink w:anchor="SENTENCIA_2021_91" w:history="1">
        <w:r w:rsidRPr="002C5A78">
          <w:rPr>
            <w:rStyle w:val="TextoNormalCaracter"/>
          </w:rPr>
          <w:t>91/2021</w:t>
        </w:r>
      </w:hyperlink>
      <w:r>
        <w:t xml:space="preserve">, f. 11, VP; </w:t>
      </w:r>
      <w:hyperlink w:anchor="SENTENCIA_2021_106" w:history="1">
        <w:r w:rsidRPr="002C5A78">
          <w:rPr>
            <w:rStyle w:val="TextoNormalCaracter"/>
          </w:rPr>
          <w:t>106/2021</w:t>
        </w:r>
      </w:hyperlink>
      <w:r>
        <w:t xml:space="preserve">, f. 11, VP; </w:t>
      </w:r>
      <w:hyperlink w:anchor="SENTENCIA_2021_121" w:history="1">
        <w:r w:rsidRPr="002C5A78">
          <w:rPr>
            <w:rStyle w:val="TextoNormalCaracter"/>
          </w:rPr>
          <w:t>121/2021</w:t>
        </w:r>
      </w:hyperlink>
      <w:r>
        <w:t xml:space="preserve">, f. 12; </w:t>
      </w:r>
      <w:hyperlink w:anchor="SENTENCIA_2021_133" w:history="1">
        <w:r w:rsidRPr="002C5A78">
          <w:rPr>
            <w:rStyle w:val="TextoNormalCaracter"/>
          </w:rPr>
          <w:t>133/2021</w:t>
        </w:r>
      </w:hyperlink>
      <w:r>
        <w:t>, f. 8, VP III.</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Artículo 21.1.</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21.2.</w:t>
      </w:r>
      <w:r w:rsidRPr="002C5A78">
        <w:rPr>
          <w:rStyle w:val="TextoNormalCaracter"/>
        </w:rPr>
        <w:t>-</w:t>
      </w:r>
      <w:r>
        <w:t xml:space="preserve"> Sentencia </w:t>
      </w:r>
      <w:hyperlink w:anchor="SENTENCIA_2021_22" w:history="1">
        <w:r w:rsidRPr="002C5A78">
          <w:rPr>
            <w:rStyle w:val="TextoNormalCaracter"/>
          </w:rPr>
          <w:t>22/2021</w:t>
        </w:r>
      </w:hyperlink>
      <w:r>
        <w:t>, f. 1.</w:t>
      </w:r>
    </w:p>
    <w:p w:rsidR="002C5A78" w:rsidRDefault="002C5A78" w:rsidP="002C5A78">
      <w:pPr>
        <w:pStyle w:val="SangriaFrancesaArticulo"/>
      </w:pPr>
      <w:r w:rsidRPr="002C5A78">
        <w:rPr>
          <w:rStyle w:val="TextoNormalNegritaCaracter"/>
        </w:rPr>
        <w:t>Artículo 21.7.</w:t>
      </w:r>
      <w:r w:rsidRPr="002C5A78">
        <w:rPr>
          <w:rStyle w:val="TextoNormalCaracter"/>
        </w:rPr>
        <w:t>-</w:t>
      </w:r>
      <w:r>
        <w:t xml:space="preserve"> Sentencias </w:t>
      </w:r>
      <w:hyperlink w:anchor="SENTENCIA_2021_22" w:history="1">
        <w:r w:rsidRPr="002C5A78">
          <w:rPr>
            <w:rStyle w:val="TextoNormalCaracter"/>
          </w:rPr>
          <w:t>22/2021</w:t>
        </w:r>
      </w:hyperlink>
      <w:r>
        <w:t xml:space="preserve">, f. 1;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22.7.</w:t>
      </w:r>
      <w:r w:rsidRPr="002C5A78">
        <w:rPr>
          <w:rStyle w:val="TextoNormalCaracter"/>
        </w:rPr>
        <w:t>-</w:t>
      </w:r>
      <w:r>
        <w:t xml:space="preserve"> Sentencia </w:t>
      </w:r>
      <w:hyperlink w:anchor="SENTENCIA_2021_106" w:history="1">
        <w:r w:rsidRPr="002C5A78">
          <w:rPr>
            <w:rStyle w:val="TextoNormalCaracter"/>
          </w:rPr>
          <w:t>106/2021</w:t>
        </w:r>
      </w:hyperlink>
      <w:r>
        <w:t>, f. 10.</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 </w:t>
      </w:r>
      <w:hyperlink w:anchor="SENTENCIA_2021_126" w:history="1">
        <w:r w:rsidRPr="002C5A78">
          <w:rPr>
            <w:rStyle w:val="TextoNormalCaracter"/>
          </w:rPr>
          <w:t>126/2021</w:t>
        </w:r>
      </w:hyperlink>
      <w:r>
        <w:t>, f. 5.</w:t>
      </w:r>
    </w:p>
    <w:p w:rsidR="002C5A78" w:rsidRDefault="002C5A78" w:rsidP="002C5A78">
      <w:pPr>
        <w:pStyle w:val="SangriaFrancesaArticulo"/>
      </w:pPr>
      <w:r w:rsidRPr="002C5A78">
        <w:rPr>
          <w:rStyle w:val="TextoNormalNegritaCaracter"/>
        </w:rPr>
        <w:t>Artículo 33.2 c).</w:t>
      </w:r>
      <w:r w:rsidRPr="002C5A78">
        <w:rPr>
          <w:rStyle w:val="TextoNormalCaracter"/>
        </w:rPr>
        <w:t>-</w:t>
      </w:r>
      <w:r>
        <w:t xml:space="preserve"> Sentencia </w:t>
      </w:r>
      <w:hyperlink w:anchor="SENTENCIA_2021_126" w:history="1">
        <w:r w:rsidRPr="002C5A78">
          <w:rPr>
            <w:rStyle w:val="TextoNormalCaracter"/>
          </w:rPr>
          <w:t>126/2021</w:t>
        </w:r>
      </w:hyperlink>
      <w:r>
        <w:t>, f. 5.</w:t>
      </w:r>
    </w:p>
    <w:p w:rsidR="002C5A78" w:rsidRDefault="002C5A78" w:rsidP="002C5A78">
      <w:pPr>
        <w:pStyle w:val="SangriaFrancesaArticulo"/>
      </w:pPr>
      <w:r w:rsidRPr="002C5A78">
        <w:rPr>
          <w:rStyle w:val="TextoNormalNegritaCaracter"/>
        </w:rPr>
        <w:t>Artículo 33.3.</w:t>
      </w:r>
      <w:r w:rsidRPr="002C5A78">
        <w:rPr>
          <w:rStyle w:val="TextoNormalCaracter"/>
        </w:rPr>
        <w:t>-</w:t>
      </w:r>
      <w:r>
        <w:t xml:space="preserve"> Sentencia </w:t>
      </w:r>
      <w:hyperlink w:anchor="SENTENCIA_2021_133" w:history="1">
        <w:r w:rsidRPr="002C5A78">
          <w:rPr>
            <w:rStyle w:val="TextoNormalCaracter"/>
          </w:rPr>
          <w:t>133/2021</w:t>
        </w:r>
      </w:hyperlink>
      <w:r>
        <w:t>, f. 7.</w:t>
      </w:r>
    </w:p>
    <w:p w:rsidR="002C5A78" w:rsidRDefault="002C5A78" w:rsidP="002C5A78">
      <w:pPr>
        <w:pStyle w:val="SangriaFrancesaArticulo"/>
      </w:pPr>
      <w:r w:rsidRPr="002C5A78">
        <w:rPr>
          <w:rStyle w:val="TextoNormalNegritaCaracter"/>
        </w:rPr>
        <w:t>Artículo 33.3 b).</w:t>
      </w:r>
      <w:r w:rsidRPr="002C5A78">
        <w:rPr>
          <w:rStyle w:val="TextoNormalCaracter"/>
        </w:rPr>
        <w:t>-</w:t>
      </w:r>
      <w:r>
        <w:t xml:space="preserve"> Sentencia </w:t>
      </w:r>
      <w:hyperlink w:anchor="SENTENCIA_2021_126" w:history="1">
        <w:r w:rsidRPr="002C5A78">
          <w:rPr>
            <w:rStyle w:val="TextoNormalCaracter"/>
          </w:rPr>
          <w:t>126/2021</w:t>
        </w:r>
      </w:hyperlink>
      <w:r>
        <w:t>, f. 5.</w:t>
      </w:r>
    </w:p>
    <w:p w:rsidR="002C5A78" w:rsidRDefault="002C5A78" w:rsidP="002C5A78">
      <w:pPr>
        <w:pStyle w:val="SangriaFrancesaArticulo"/>
      </w:pPr>
      <w:r w:rsidRPr="002C5A78">
        <w:rPr>
          <w:rStyle w:val="TextoNormalNegritaCaracter"/>
        </w:rPr>
        <w:t>Artículo 33.6.</w:t>
      </w:r>
      <w:r w:rsidRPr="002C5A78">
        <w:rPr>
          <w:rStyle w:val="TextoNormalCaracter"/>
        </w:rPr>
        <w:t>-</w:t>
      </w:r>
      <w:r>
        <w:t xml:space="preserve"> Sentencia </w:t>
      </w:r>
      <w:hyperlink w:anchor="SENTENCIA_2021_126" w:history="1">
        <w:r w:rsidRPr="002C5A78">
          <w:rPr>
            <w:rStyle w:val="TextoNormalCaracter"/>
          </w:rPr>
          <w:t>126/2021</w:t>
        </w:r>
      </w:hyperlink>
      <w:r>
        <w:t>, ff. 5, 7.</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126" w:history="1">
        <w:r w:rsidRPr="002C5A78">
          <w:rPr>
            <w:rStyle w:val="TextoNormalCaracter"/>
          </w:rPr>
          <w:t>126/2021</w:t>
        </w:r>
      </w:hyperlink>
      <w:r>
        <w:t>, f. 5.</w:t>
      </w:r>
    </w:p>
    <w:p w:rsidR="002C5A78" w:rsidRDefault="002C5A78" w:rsidP="002C5A78">
      <w:pPr>
        <w:pStyle w:val="SangriaFrancesaArticulo"/>
      </w:pPr>
      <w:r w:rsidRPr="002C5A78">
        <w:rPr>
          <w:rStyle w:val="TextoNormalNegritaCaracter"/>
        </w:rPr>
        <w:t>Artículo 40.1.</w:t>
      </w:r>
      <w:r w:rsidRPr="002C5A78">
        <w:rPr>
          <w:rStyle w:val="TextoNormalCaracter"/>
        </w:rPr>
        <w:t>-</w:t>
      </w:r>
      <w:r>
        <w:t xml:space="preserve"> Sentencia </w:t>
      </w:r>
      <w:hyperlink w:anchor="SENTENCIA_2021_126" w:history="1">
        <w:r w:rsidRPr="002C5A78">
          <w:rPr>
            <w:rStyle w:val="TextoNormalCaracter"/>
          </w:rPr>
          <w:t>126/2021</w:t>
        </w:r>
      </w:hyperlink>
      <w:r>
        <w:t>, ff. 1, 4 a 7.</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 </w:t>
      </w:r>
      <w:hyperlink w:anchor="SENTENCIA_2021_126" w:history="1">
        <w:r w:rsidRPr="002C5A78">
          <w:rPr>
            <w:rStyle w:val="TextoNormalCaracter"/>
          </w:rPr>
          <w:t>126/2021</w:t>
        </w:r>
      </w:hyperlink>
      <w:r>
        <w:t>, ff. 1, 5.</w:t>
      </w:r>
    </w:p>
    <w:p w:rsidR="002C5A78" w:rsidRDefault="002C5A78" w:rsidP="002C5A78">
      <w:pPr>
        <w:pStyle w:val="SangriaFrancesaArticulo"/>
      </w:pPr>
      <w:r w:rsidRPr="002C5A78">
        <w:rPr>
          <w:rStyle w:val="TextoNormalNegritaCaracter"/>
        </w:rPr>
        <w:t>Artículo 48.</w:t>
      </w:r>
      <w:r w:rsidRPr="002C5A78">
        <w:rPr>
          <w:rStyle w:val="TextoNormalCaracter"/>
        </w:rPr>
        <w:t>-</w:t>
      </w:r>
      <w:r>
        <w:t xml:space="preserve"> Sentencia </w:t>
      </w:r>
      <w:hyperlink w:anchor="SENTENCIA_2021_78" w:history="1">
        <w:r w:rsidRPr="002C5A78">
          <w:rPr>
            <w:rStyle w:val="TextoNormalCaracter"/>
          </w:rPr>
          <w:t>78/2021</w:t>
        </w:r>
      </w:hyperlink>
      <w:r>
        <w:t>, f. 6.</w:t>
      </w:r>
    </w:p>
    <w:p w:rsidR="002C5A78" w:rsidRDefault="002C5A78" w:rsidP="002C5A78">
      <w:pPr>
        <w:pStyle w:val="SangriaFrancesaArticulo"/>
      </w:pPr>
      <w:r w:rsidRPr="002C5A78">
        <w:rPr>
          <w:rStyle w:val="TextoNormalNegritaCaracter"/>
        </w:rPr>
        <w:t>Artículo 50.4.</w:t>
      </w:r>
      <w:r w:rsidRPr="002C5A78">
        <w:rPr>
          <w:rStyle w:val="TextoNormalCaracter"/>
        </w:rPr>
        <w:t>-</w:t>
      </w:r>
      <w:r>
        <w:t xml:space="preserve"> Sentencias </w:t>
      </w:r>
      <w:hyperlink w:anchor="SENTENCIA_2021_34" w:history="1">
        <w:r w:rsidRPr="002C5A78">
          <w:rPr>
            <w:rStyle w:val="TextoNormalCaracter"/>
          </w:rPr>
          <w:t>34/2021</w:t>
        </w:r>
      </w:hyperlink>
      <w:r>
        <w:t xml:space="preserve">, f. 7; </w:t>
      </w:r>
      <w:hyperlink w:anchor="SENTENCIA_2021_67" w:history="1">
        <w:r w:rsidRPr="002C5A78">
          <w:rPr>
            <w:rStyle w:val="TextoNormalCaracter"/>
          </w:rPr>
          <w:t>67/2021</w:t>
        </w:r>
      </w:hyperlink>
      <w:r>
        <w:t>, f. 4.</w:t>
      </w:r>
    </w:p>
    <w:p w:rsidR="002C5A78" w:rsidRDefault="002C5A78" w:rsidP="002C5A78">
      <w:pPr>
        <w:pStyle w:val="SangriaFrancesaArticulo"/>
      </w:pPr>
      <w:r w:rsidRPr="002C5A78">
        <w:rPr>
          <w:rStyle w:val="TextoNormalNegritaCaracter"/>
        </w:rPr>
        <w:t>Artículo 50.5.</w:t>
      </w:r>
      <w:r w:rsidRPr="002C5A78">
        <w:rPr>
          <w:rStyle w:val="TextoNormalCaracter"/>
        </w:rPr>
        <w:t>-</w:t>
      </w:r>
      <w:r>
        <w:t xml:space="preserve"> Sentencias </w:t>
      </w:r>
      <w:hyperlink w:anchor="SENTENCIA_2021_34" w:history="1">
        <w:r w:rsidRPr="002C5A78">
          <w:rPr>
            <w:rStyle w:val="TextoNormalCaracter"/>
          </w:rPr>
          <w:t>34/2021</w:t>
        </w:r>
      </w:hyperlink>
      <w:r>
        <w:t xml:space="preserve">, f. 7; </w:t>
      </w:r>
      <w:hyperlink w:anchor="SENTENCIA_2021_67" w:history="1">
        <w:r w:rsidRPr="002C5A78">
          <w:rPr>
            <w:rStyle w:val="TextoNormalCaracter"/>
          </w:rPr>
          <w:t>67/2021</w:t>
        </w:r>
      </w:hyperlink>
      <w:r>
        <w:t>, f. 4.</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126" w:history="1">
        <w:r w:rsidRPr="002C5A78">
          <w:rPr>
            <w:rStyle w:val="TextoNormalCaracter"/>
          </w:rPr>
          <w:t>126/2021</w:t>
        </w:r>
      </w:hyperlink>
      <w:r>
        <w:t>, f. 7.</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 </w:t>
      </w:r>
      <w:hyperlink w:anchor="SENTENCIA_2021_126" w:history="1">
        <w:r w:rsidRPr="002C5A78">
          <w:rPr>
            <w:rStyle w:val="TextoNormalCaracter"/>
          </w:rPr>
          <w:t>126/2021</w:t>
        </w:r>
      </w:hyperlink>
      <w:r>
        <w:t>, f. 7.</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 </w:t>
      </w:r>
      <w:hyperlink w:anchor="SENTENCIA_2021_126" w:history="1">
        <w:r w:rsidRPr="002C5A78">
          <w:rPr>
            <w:rStyle w:val="TextoNormalCaracter"/>
          </w:rPr>
          <w:t>126/2021</w:t>
        </w:r>
      </w:hyperlink>
      <w:r>
        <w:t>, f. 7.</w:t>
      </w:r>
    </w:p>
    <w:p w:rsidR="002C5A78" w:rsidRDefault="002C5A78" w:rsidP="002C5A78">
      <w:pPr>
        <w:pStyle w:val="SangriaFrancesaArticulo"/>
      </w:pPr>
      <w:r w:rsidRPr="002C5A78">
        <w:rPr>
          <w:rStyle w:val="TextoNormalNegritaCaracter"/>
        </w:rPr>
        <w:t>Artículo 56.1.</w:t>
      </w:r>
      <w:r w:rsidRPr="002C5A78">
        <w:rPr>
          <w:rStyle w:val="TextoNormalCaracter"/>
        </w:rPr>
        <w:t>-</w:t>
      </w:r>
      <w:r>
        <w:t xml:space="preserve"> Sentencia </w:t>
      </w:r>
      <w:hyperlink w:anchor="SENTENCIA_2021_126" w:history="1">
        <w:r w:rsidRPr="002C5A78">
          <w:rPr>
            <w:rStyle w:val="TextoNormalCaracter"/>
          </w:rPr>
          <w:t>126/2021</w:t>
        </w:r>
      </w:hyperlink>
      <w:r>
        <w:t>, ff. 5, 7.</w:t>
      </w:r>
    </w:p>
    <w:p w:rsidR="002C5A78" w:rsidRDefault="002C5A78" w:rsidP="002C5A78">
      <w:pPr>
        <w:pStyle w:val="SangriaFrancesaArticulo"/>
      </w:pPr>
      <w:r w:rsidRPr="002C5A78">
        <w:rPr>
          <w:rStyle w:val="TextoNormalNegritaCaracter"/>
        </w:rPr>
        <w:t>Artículo 57 ter 1 b).</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Artículos 61 a 72.</w:t>
      </w:r>
      <w:r w:rsidRPr="002C5A78">
        <w:rPr>
          <w:rStyle w:val="TextoNormalCaracter"/>
        </w:rPr>
        <w:t>-</w:t>
      </w:r>
      <w:r>
        <w:t xml:space="preserve"> Sentencias </w:t>
      </w:r>
      <w:hyperlink w:anchor="SENTENCIA_2021_106" w:history="1">
        <w:r w:rsidRPr="002C5A78">
          <w:rPr>
            <w:rStyle w:val="TextoNormalCaracter"/>
          </w:rPr>
          <w:t>106/2021</w:t>
        </w:r>
      </w:hyperlink>
      <w:r>
        <w:t xml:space="preserve">, f. 10; </w:t>
      </w:r>
      <w:hyperlink w:anchor="SENTENCIA_2021_121" w:history="1">
        <w:r w:rsidRPr="002C5A78">
          <w:rPr>
            <w:rStyle w:val="TextoNormalCaracter"/>
          </w:rPr>
          <w:t>121/2021</w:t>
        </w:r>
      </w:hyperlink>
      <w:r>
        <w:t>, f. 11.</w:t>
      </w:r>
    </w:p>
    <w:p w:rsidR="002C5A78" w:rsidRDefault="002C5A78" w:rsidP="002C5A78">
      <w:pPr>
        <w:pStyle w:val="SangriaFrancesaArticulo"/>
      </w:pPr>
      <w:r w:rsidRPr="002C5A78">
        <w:rPr>
          <w:rStyle w:val="TextoNormalNegritaCaracter"/>
        </w:rPr>
        <w:t>Artículo 66.</w:t>
      </w:r>
      <w:r w:rsidRPr="002C5A78">
        <w:rPr>
          <w:rStyle w:val="TextoNormalCaracter"/>
        </w:rPr>
        <w:t>-</w:t>
      </w:r>
      <w:r>
        <w:t xml:space="preserve"> Sentencias </w:t>
      </w:r>
      <w:hyperlink w:anchor="SENTENCIA_2021_106" w:history="1">
        <w:r w:rsidRPr="002C5A78">
          <w:rPr>
            <w:rStyle w:val="TextoNormalCaracter"/>
          </w:rPr>
          <w:t>106/2021</w:t>
        </w:r>
      </w:hyperlink>
      <w:r>
        <w:t xml:space="preserve">, f. 10; </w:t>
      </w:r>
      <w:hyperlink w:anchor="SENTENCIA_2021_121" w:history="1">
        <w:r w:rsidRPr="002C5A78">
          <w:rPr>
            <w:rStyle w:val="TextoNormalCaracter"/>
          </w:rPr>
          <w:t>121/2021</w:t>
        </w:r>
      </w:hyperlink>
      <w:r>
        <w:t>, f. 11.</w:t>
      </w:r>
    </w:p>
    <w:p w:rsidR="002C5A78" w:rsidRDefault="002C5A78" w:rsidP="002C5A78">
      <w:pPr>
        <w:pStyle w:val="SangriaFrancesaArticulo"/>
      </w:pPr>
      <w:r w:rsidRPr="002C5A78">
        <w:rPr>
          <w:rStyle w:val="TextoNormalNegritaCaracter"/>
        </w:rPr>
        <w:t>Artículo 66.1.2.</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66.6.</w:t>
      </w:r>
      <w:r w:rsidRPr="002C5A78">
        <w:rPr>
          <w:rStyle w:val="TextoNormalCaracter"/>
        </w:rPr>
        <w:t>-</w:t>
      </w:r>
      <w:r>
        <w:t xml:space="preserve"> Sentencias </w:t>
      </w:r>
      <w:hyperlink w:anchor="SENTENCIA_2021_106" w:history="1">
        <w:r w:rsidRPr="002C5A78">
          <w:rPr>
            <w:rStyle w:val="TextoNormalCaracter"/>
          </w:rPr>
          <w:t>106/2021</w:t>
        </w:r>
      </w:hyperlink>
      <w:r>
        <w:t xml:space="preserve">, f. 10; </w:t>
      </w:r>
      <w:hyperlink w:anchor="SENTENCIA_2021_121" w:history="1">
        <w:r w:rsidRPr="002C5A78">
          <w:rPr>
            <w:rStyle w:val="TextoNormalCaracter"/>
          </w:rPr>
          <w:t>121/2021</w:t>
        </w:r>
      </w:hyperlink>
      <w:r>
        <w:t xml:space="preserve">, f. 11;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Artículo 68.</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Sentencias </w:t>
      </w:r>
      <w:hyperlink w:anchor="SENTENCIA_2021_106" w:history="1">
        <w:r w:rsidRPr="002C5A78">
          <w:rPr>
            <w:rStyle w:val="TextoNormalCaracter"/>
          </w:rPr>
          <w:t>106/2021</w:t>
        </w:r>
      </w:hyperlink>
      <w:r>
        <w:t xml:space="preserve">, f. 10; </w:t>
      </w:r>
      <w:hyperlink w:anchor="SENTENCIA_2021_121" w:history="1">
        <w:r w:rsidRPr="002C5A78">
          <w:rPr>
            <w:rStyle w:val="TextoNormalCaracter"/>
          </w:rPr>
          <w:t>121/2021</w:t>
        </w:r>
      </w:hyperlink>
      <w:r>
        <w:t>, f. 11.</w:t>
      </w:r>
    </w:p>
    <w:p w:rsidR="002C5A78" w:rsidRDefault="002C5A78" w:rsidP="002C5A78">
      <w:pPr>
        <w:pStyle w:val="SangriaFrancesaArticulo"/>
      </w:pPr>
      <w:r w:rsidRPr="002C5A78">
        <w:rPr>
          <w:rStyle w:val="TextoNormalNegritaCaracter"/>
        </w:rPr>
        <w:t>Artículo 73.</w:t>
      </w:r>
      <w:r w:rsidRPr="002C5A78">
        <w:rPr>
          <w:rStyle w:val="TextoNormalCaracter"/>
        </w:rPr>
        <w:t>-</w:t>
      </w:r>
      <w:r>
        <w:t xml:space="preserve"> Sentencia </w:t>
      </w:r>
      <w:hyperlink w:anchor="SENTENCIA_2021_91" w:history="1">
        <w:r w:rsidRPr="002C5A78">
          <w:rPr>
            <w:rStyle w:val="TextoNormalCaracter"/>
          </w:rPr>
          <w:t>91/2021</w:t>
        </w:r>
      </w:hyperlink>
      <w:r>
        <w:t>, f. 10.</w:t>
      </w:r>
    </w:p>
    <w:p w:rsidR="002C5A78" w:rsidRDefault="002C5A78" w:rsidP="002C5A78">
      <w:pPr>
        <w:pStyle w:val="SangriaFrancesaArticulo"/>
      </w:pPr>
      <w:r w:rsidRPr="002C5A78">
        <w:rPr>
          <w:rStyle w:val="TextoNormalNegritaCaracter"/>
        </w:rPr>
        <w:t>Artículo 73.2.</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74.1.</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74.2.</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77.3.</w:t>
      </w:r>
      <w:r w:rsidRPr="002C5A78">
        <w:rPr>
          <w:rStyle w:val="TextoNormalCaracter"/>
        </w:rPr>
        <w:t>-</w:t>
      </w:r>
      <w:r>
        <w:t xml:space="preserve"> Sentencia </w:t>
      </w:r>
      <w:hyperlink w:anchor="SENTENCIA_2021_91" w:history="1">
        <w:r w:rsidRPr="002C5A78">
          <w:rPr>
            <w:rStyle w:val="TextoNormalCaracter"/>
          </w:rPr>
          <w:t>91/2021</w:t>
        </w:r>
      </w:hyperlink>
      <w:r>
        <w:t>, ff. 10, 11, VP.</w:t>
      </w:r>
    </w:p>
    <w:p w:rsidR="002C5A78" w:rsidRDefault="002C5A78" w:rsidP="002C5A78">
      <w:pPr>
        <w:pStyle w:val="SangriaFrancesaArticulo"/>
      </w:pPr>
      <w:r w:rsidRPr="002C5A78">
        <w:rPr>
          <w:rStyle w:val="TextoNormalNegritaCaracter"/>
        </w:rPr>
        <w:t>Artículo 80.</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Artículo 130.1.4.</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142.</w:t>
      </w:r>
      <w:r w:rsidRPr="002C5A78">
        <w:rPr>
          <w:rStyle w:val="TextoNormalCaracter"/>
        </w:rPr>
        <w:t>-</w:t>
      </w:r>
      <w:r>
        <w:t xml:space="preserve"> Sentencia </w:t>
      </w:r>
      <w:hyperlink w:anchor="SENTENCIA_2021_18" w:history="1">
        <w:r w:rsidRPr="002C5A78">
          <w:rPr>
            <w:rStyle w:val="TextoNormalCaracter"/>
          </w:rPr>
          <w:t>18/2021</w:t>
        </w:r>
      </w:hyperlink>
      <w:r>
        <w:t>, f. 4.</w:t>
      </w:r>
    </w:p>
    <w:p w:rsidR="002C5A78" w:rsidRDefault="002C5A78" w:rsidP="002C5A78">
      <w:pPr>
        <w:pStyle w:val="SangriaFrancesaArticulo"/>
      </w:pPr>
      <w:r w:rsidRPr="002C5A78">
        <w:rPr>
          <w:rStyle w:val="TextoNormalNegritaCaracter"/>
        </w:rPr>
        <w:t>Artículo 142.1.</w:t>
      </w:r>
      <w:r w:rsidRPr="002C5A78">
        <w:rPr>
          <w:rStyle w:val="TextoNormalCaracter"/>
        </w:rPr>
        <w:t>-</w:t>
      </w:r>
      <w:r>
        <w:t xml:space="preserve"> Sentencia </w:t>
      </w:r>
      <w:hyperlink w:anchor="SENTENCIA_2021_18" w:history="1">
        <w:r w:rsidRPr="002C5A78">
          <w:rPr>
            <w:rStyle w:val="TextoNormalCaracter"/>
          </w:rPr>
          <w:t>18/2021</w:t>
        </w:r>
      </w:hyperlink>
      <w:r>
        <w:t>, f. 1, VP.</w:t>
      </w:r>
    </w:p>
    <w:p w:rsidR="002C5A78" w:rsidRDefault="002C5A78" w:rsidP="002C5A78">
      <w:pPr>
        <w:pStyle w:val="SangriaFrancesaArticulo"/>
      </w:pPr>
      <w:r w:rsidRPr="002C5A78">
        <w:rPr>
          <w:rStyle w:val="TextoNormalNegritaCaracter"/>
        </w:rPr>
        <w:t>Artículo 142.3.</w:t>
      </w:r>
      <w:r w:rsidRPr="002C5A78">
        <w:rPr>
          <w:rStyle w:val="TextoNormalCaracter"/>
        </w:rPr>
        <w:t>-</w:t>
      </w:r>
      <w:r>
        <w:t xml:space="preserve"> Sentencia </w:t>
      </w:r>
      <w:hyperlink w:anchor="SENTENCIA_2021_18" w:history="1">
        <w:r w:rsidRPr="002C5A78">
          <w:rPr>
            <w:rStyle w:val="TextoNormalCaracter"/>
          </w:rPr>
          <w:t>18/2021</w:t>
        </w:r>
      </w:hyperlink>
      <w:r>
        <w:t>, f. 1, VP.</w:t>
      </w:r>
    </w:p>
    <w:p w:rsidR="002C5A78" w:rsidRDefault="002C5A78" w:rsidP="002C5A78">
      <w:pPr>
        <w:pStyle w:val="SangriaFrancesaArticulo"/>
      </w:pPr>
      <w:r w:rsidRPr="002C5A78">
        <w:rPr>
          <w:rStyle w:val="TextoNormalNegritaCaracter"/>
        </w:rPr>
        <w:t>Artículo 171.4.</w:t>
      </w:r>
      <w:r w:rsidRPr="002C5A78">
        <w:rPr>
          <w:rStyle w:val="TextoNormalCaracter"/>
        </w:rPr>
        <w:t>-</w:t>
      </w:r>
      <w:r>
        <w:t xml:space="preserve"> Sentencia </w:t>
      </w:r>
      <w:hyperlink w:anchor="SENTENCIA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Artículo 173.2.</w:t>
      </w:r>
      <w:r w:rsidRPr="002C5A78">
        <w:rPr>
          <w:rStyle w:val="TextoNormalCaracter"/>
        </w:rPr>
        <w:t>-</w:t>
      </w:r>
      <w:r>
        <w:t xml:space="preserve"> Sentencia </w:t>
      </w:r>
      <w:hyperlink w:anchor="SENTENCIA_2021_78" w:history="1">
        <w:r w:rsidRPr="002C5A78">
          <w:rPr>
            <w:rStyle w:val="TextoNormalCaracter"/>
          </w:rPr>
          <w:t>78/2021</w:t>
        </w:r>
      </w:hyperlink>
      <w:r>
        <w:t>, f. 6.</w:t>
      </w:r>
    </w:p>
    <w:p w:rsidR="002C5A78" w:rsidRDefault="002C5A78" w:rsidP="002C5A78">
      <w:pPr>
        <w:pStyle w:val="SangriaFrancesaArticulo"/>
      </w:pPr>
      <w:r w:rsidRPr="002C5A78">
        <w:rPr>
          <w:rStyle w:val="TextoNormalNegritaCaracter"/>
        </w:rPr>
        <w:t>Artículo 237.</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238.2.</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238.3.</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238.4.</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241.1.</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270.4</w:t>
      </w:r>
      <w:r>
        <w:t xml:space="preserve"> (redactado por la Ley Orgánica 1/2015, de 30 de marzo)</w:t>
      </w:r>
      <w:r w:rsidRPr="002C5A78">
        <w:rPr>
          <w:rStyle w:val="TextoNormalNegritaCaracter"/>
        </w:rPr>
        <w:t>.</w:t>
      </w:r>
      <w:r w:rsidRPr="002C5A78">
        <w:rPr>
          <w:rStyle w:val="TextoNormalCaracter"/>
        </w:rPr>
        <w:t>-</w:t>
      </w:r>
      <w:r>
        <w:t xml:space="preserve"> Sentencia </w:t>
      </w:r>
      <w:hyperlink w:anchor="SENTENCIA_2021_13" w:history="1">
        <w:r w:rsidRPr="002C5A78">
          <w:rPr>
            <w:rStyle w:val="TextoNormalCaracter"/>
          </w:rPr>
          <w:t>13/2021</w:t>
        </w:r>
      </w:hyperlink>
      <w:r>
        <w:t>, VP II.</w:t>
      </w:r>
    </w:p>
    <w:p w:rsidR="002C5A78" w:rsidRDefault="002C5A78" w:rsidP="002C5A78">
      <w:pPr>
        <w:pStyle w:val="SangriaFrancesaArticulo"/>
      </w:pPr>
      <w:r w:rsidRPr="002C5A78">
        <w:rPr>
          <w:rStyle w:val="TextoNormalNegritaCaracter"/>
        </w:rPr>
        <w:t>Artículo 274.3</w:t>
      </w:r>
      <w:r>
        <w:t xml:space="preserve"> (redactado por la Ley Orgánica 1/2015, de 30 de marzo)</w:t>
      </w:r>
      <w:r w:rsidRPr="002C5A78">
        <w:rPr>
          <w:rStyle w:val="TextoNormalNegritaCaracter"/>
        </w:rPr>
        <w:t>.</w:t>
      </w:r>
      <w:r w:rsidRPr="002C5A78">
        <w:rPr>
          <w:rStyle w:val="TextoNormalCaracter"/>
        </w:rPr>
        <w:t>-</w:t>
      </w:r>
      <w:r>
        <w:t xml:space="preserve"> Sentencia </w:t>
      </w:r>
      <w:hyperlink w:anchor="SENTENCIA_2021_13" w:history="1">
        <w:r w:rsidRPr="002C5A78">
          <w:rPr>
            <w:rStyle w:val="TextoNormalCaracter"/>
          </w:rPr>
          <w:t>13/2021</w:t>
        </w:r>
      </w:hyperlink>
      <w:r>
        <w:t>, VP II.</w:t>
      </w:r>
    </w:p>
    <w:p w:rsidR="002C5A78" w:rsidRDefault="002C5A78" w:rsidP="002C5A78">
      <w:pPr>
        <w:pStyle w:val="SangriaFrancesaArticulo"/>
      </w:pPr>
      <w:r w:rsidRPr="002C5A78">
        <w:rPr>
          <w:rStyle w:val="TextoNormalNegritaCaracter"/>
        </w:rPr>
        <w:t>Artículo 368.</w:t>
      </w:r>
      <w:r w:rsidRPr="002C5A78">
        <w:rPr>
          <w:rStyle w:val="TextoNormalCaracter"/>
        </w:rPr>
        <w:t>-</w:t>
      </w:r>
      <w:r>
        <w:t xml:space="preserve"> Sentencias </w:t>
      </w:r>
      <w:hyperlink w:anchor="SENTENCIA_2021_22" w:history="1">
        <w:r w:rsidRPr="002C5A78">
          <w:rPr>
            <w:rStyle w:val="TextoNormalCaracter"/>
          </w:rPr>
          <w:t>22/2021</w:t>
        </w:r>
      </w:hyperlink>
      <w:r>
        <w:t xml:space="preserve">, f. 2, VP; </w:t>
      </w:r>
      <w:hyperlink w:anchor="SENTENCIA_2021_132" w:history="1">
        <w:r w:rsidRPr="002C5A78">
          <w:rPr>
            <w:rStyle w:val="TextoNormalCaracter"/>
          </w:rPr>
          <w:t>132/2021</w:t>
        </w:r>
      </w:hyperlink>
      <w:r>
        <w:t>, ff. 1, 4.</w:t>
      </w:r>
    </w:p>
    <w:p w:rsidR="002C5A78" w:rsidRDefault="002C5A78" w:rsidP="002C5A78">
      <w:pPr>
        <w:pStyle w:val="SangriaFrancesaArticulo"/>
      </w:pPr>
      <w:r w:rsidRPr="002C5A78">
        <w:rPr>
          <w:rStyle w:val="TextoNormalNegritaCaracter"/>
        </w:rPr>
        <w:t>Artículo 368.1</w:t>
      </w:r>
      <w:r>
        <w:t xml:space="preserve"> (redactado por la Ley Orgánica 5/2010, de 22 de junio)</w:t>
      </w:r>
      <w:r w:rsidRPr="002C5A78">
        <w:rPr>
          <w:rStyle w:val="TextoNormalNegritaCaracter"/>
        </w:rPr>
        <w:t>.</w:t>
      </w:r>
      <w:r w:rsidRPr="002C5A78">
        <w:rPr>
          <w:rStyle w:val="TextoNormalCaracter"/>
        </w:rPr>
        <w:t>-</w:t>
      </w:r>
      <w:r>
        <w:t xml:space="preserve"> Sentencia </w:t>
      </w:r>
      <w:hyperlink w:anchor="SENTENCIA_2021_132" w:history="1">
        <w:r w:rsidRPr="002C5A78">
          <w:rPr>
            <w:rStyle w:val="TextoNormalCaracter"/>
          </w:rPr>
          <w:t>132/2021</w:t>
        </w:r>
      </w:hyperlink>
      <w:r>
        <w:t>, f. 4.</w:t>
      </w:r>
    </w:p>
    <w:p w:rsidR="002C5A78" w:rsidRDefault="002C5A78" w:rsidP="002C5A78">
      <w:pPr>
        <w:pStyle w:val="SangriaFrancesaArticulo"/>
      </w:pPr>
      <w:r w:rsidRPr="002C5A78">
        <w:rPr>
          <w:rStyle w:val="TextoNormalNegritaCaracter"/>
        </w:rPr>
        <w:t>Artículo 368.2.</w:t>
      </w:r>
      <w:r w:rsidRPr="002C5A78">
        <w:rPr>
          <w:rStyle w:val="TextoNormalCaracter"/>
        </w:rPr>
        <w:t>-</w:t>
      </w:r>
      <w:r>
        <w:t xml:space="preserve"> Sentencia </w:t>
      </w:r>
      <w:hyperlink w:anchor="SENTENCIA_2021_132" w:history="1">
        <w:r w:rsidRPr="002C5A78">
          <w:rPr>
            <w:rStyle w:val="TextoNormalCaracter"/>
          </w:rPr>
          <w:t>132/2021</w:t>
        </w:r>
      </w:hyperlink>
      <w:r>
        <w:t>, f. 4.</w:t>
      </w:r>
    </w:p>
    <w:p w:rsidR="002C5A78" w:rsidRDefault="002C5A78" w:rsidP="002C5A78">
      <w:pPr>
        <w:pStyle w:val="SangriaFrancesaArticulo"/>
      </w:pPr>
      <w:r w:rsidRPr="002C5A78">
        <w:rPr>
          <w:rStyle w:val="TextoNormalNegritaCaracter"/>
        </w:rPr>
        <w:t>Artículo 369 bis.</w:t>
      </w:r>
      <w:r w:rsidRPr="002C5A78">
        <w:rPr>
          <w:rStyle w:val="TextoNormalCaracter"/>
        </w:rPr>
        <w:t>-</w:t>
      </w:r>
      <w:r>
        <w:t xml:space="preserve"> Sentencia </w:t>
      </w:r>
      <w:hyperlink w:anchor="SENTENCIA_2021_22" w:history="1">
        <w:r w:rsidRPr="002C5A78">
          <w:rPr>
            <w:rStyle w:val="TextoNormalCaracter"/>
          </w:rPr>
          <w:t>22/2021</w:t>
        </w:r>
      </w:hyperlink>
      <w:r>
        <w:t>, ff. 2, 3, VP.</w:t>
      </w:r>
    </w:p>
    <w:p w:rsidR="002C5A78" w:rsidRDefault="002C5A78" w:rsidP="002C5A78">
      <w:pPr>
        <w:pStyle w:val="SangriaFrancesaArticulo"/>
      </w:pPr>
      <w:r w:rsidRPr="002C5A78">
        <w:rPr>
          <w:rStyle w:val="TextoNormalNegritaCaracter"/>
        </w:rPr>
        <w:t>Artículo 369 bis, párrafo primero.</w:t>
      </w:r>
      <w:r w:rsidRPr="002C5A78">
        <w:rPr>
          <w:rStyle w:val="TextoNormalCaracter"/>
        </w:rPr>
        <w:t>-</w:t>
      </w:r>
      <w:r>
        <w:t xml:space="preserve"> Sentencia </w:t>
      </w:r>
      <w:hyperlink w:anchor="SENTENCIA_2021_22" w:history="1">
        <w:r w:rsidRPr="002C5A78">
          <w:rPr>
            <w:rStyle w:val="TextoNormalCaracter"/>
          </w:rPr>
          <w:t>22/2021</w:t>
        </w:r>
      </w:hyperlink>
      <w:r>
        <w:t>, ff. 1 a 3, VP.</w:t>
      </w:r>
    </w:p>
    <w:p w:rsidR="002C5A78" w:rsidRDefault="002C5A78" w:rsidP="002C5A78">
      <w:pPr>
        <w:pStyle w:val="SangriaFrancesaArticulo"/>
      </w:pPr>
      <w:r w:rsidRPr="002C5A78">
        <w:rPr>
          <w:rStyle w:val="TextoNormalNegritaCaracter"/>
        </w:rPr>
        <w:t>Artículo 369 bis, párrafo segundo.</w:t>
      </w:r>
      <w:r w:rsidRPr="002C5A78">
        <w:rPr>
          <w:rStyle w:val="TextoNormalCaracter"/>
        </w:rPr>
        <w:t>-</w:t>
      </w:r>
      <w:r>
        <w:t xml:space="preserve"> Sentencia </w:t>
      </w:r>
      <w:hyperlink w:anchor="SENTENCIA_2021_22" w:history="1">
        <w:r w:rsidRPr="002C5A78">
          <w:rPr>
            <w:rStyle w:val="TextoNormalCaracter"/>
          </w:rPr>
          <w:t>22/2021</w:t>
        </w:r>
      </w:hyperlink>
      <w:r>
        <w:t>, ff. 1 a 3, VP.</w:t>
      </w:r>
    </w:p>
    <w:p w:rsidR="002C5A78" w:rsidRDefault="002C5A78" w:rsidP="002C5A78">
      <w:pPr>
        <w:pStyle w:val="SangriaFrancesaArticulo"/>
      </w:pPr>
      <w:r w:rsidRPr="002C5A78">
        <w:rPr>
          <w:rStyle w:val="TextoNormalNegritaCaracter"/>
        </w:rPr>
        <w:t>Artículo 369.1.5.</w:t>
      </w:r>
      <w:r w:rsidRPr="002C5A78">
        <w:rPr>
          <w:rStyle w:val="TextoNormalCaracter"/>
        </w:rPr>
        <w:t>-</w:t>
      </w:r>
      <w:r>
        <w:t xml:space="preserve"> Sentencias </w:t>
      </w:r>
      <w:hyperlink w:anchor="SENTENCIA_2021_22" w:history="1">
        <w:r w:rsidRPr="002C5A78">
          <w:rPr>
            <w:rStyle w:val="TextoNormalCaracter"/>
          </w:rPr>
          <w:t>22/2021</w:t>
        </w:r>
      </w:hyperlink>
      <w:r>
        <w:t xml:space="preserve">, f. 2; </w:t>
      </w:r>
      <w:hyperlink w:anchor="SENTENCIA_2021_132" w:history="1">
        <w:r w:rsidRPr="002C5A78">
          <w:rPr>
            <w:rStyle w:val="TextoNormalCaracter"/>
          </w:rPr>
          <w:t>132/2021</w:t>
        </w:r>
      </w:hyperlink>
      <w:r>
        <w:t>, ff. 1, 4.</w:t>
      </w:r>
    </w:p>
    <w:p w:rsidR="002C5A78" w:rsidRDefault="002C5A78" w:rsidP="002C5A78">
      <w:pPr>
        <w:pStyle w:val="SangriaFrancesaArticulo"/>
      </w:pPr>
      <w:r w:rsidRPr="002C5A78">
        <w:rPr>
          <w:rStyle w:val="TextoNormalNegritaCaracter"/>
        </w:rPr>
        <w:t>Artículo 384.</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390.1.2.</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392.1.</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410.</w:t>
      </w:r>
      <w:r w:rsidRPr="002C5A78">
        <w:rPr>
          <w:rStyle w:val="TextoNormalCaracter"/>
        </w:rPr>
        <w:t>-</w:t>
      </w:r>
      <w:r>
        <w:t xml:space="preserve"> Sentencias </w:t>
      </w:r>
      <w:hyperlink w:anchor="SENTENCIA_2021_34" w:history="1">
        <w:r w:rsidRPr="002C5A78">
          <w:rPr>
            <w:rStyle w:val="TextoNormalCaracter"/>
          </w:rPr>
          <w:t>34/2021</w:t>
        </w:r>
      </w:hyperlink>
      <w:r>
        <w:t xml:space="preserve">, f. 1; </w:t>
      </w:r>
      <w:hyperlink w:anchor="SENTENCIA_2021_67" w:history="1">
        <w:r w:rsidRPr="002C5A78">
          <w:rPr>
            <w:rStyle w:val="TextoNormalCaracter"/>
          </w:rPr>
          <w:t>67/2021</w:t>
        </w:r>
      </w:hyperlink>
      <w:r>
        <w:t xml:space="preserve">, f. 1;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xml:space="preserve">, VP; </w:t>
      </w:r>
      <w:hyperlink w:anchor="SENTENCIA_2021_107" w:history="1">
        <w:r w:rsidRPr="002C5A78">
          <w:rPr>
            <w:rStyle w:val="TextoNormalCaracter"/>
          </w:rPr>
          <w:t>107/2021</w:t>
        </w:r>
      </w:hyperlink>
      <w:r>
        <w:t>, ff. 1, 4.</w:t>
      </w:r>
    </w:p>
    <w:p w:rsidR="002C5A78" w:rsidRDefault="002C5A78" w:rsidP="002C5A78">
      <w:pPr>
        <w:pStyle w:val="SangriaIzquierdaArticulo"/>
      </w:pPr>
      <w:r>
        <w:t xml:space="preserve">Auto </w:t>
      </w:r>
      <w:hyperlink w:anchor="AUTO_2021_4" w:history="1">
        <w:r w:rsidRPr="002C5A78">
          <w:rPr>
            <w:rStyle w:val="TextoNormalCaracter"/>
          </w:rPr>
          <w:t>4/2021</w:t>
        </w:r>
      </w:hyperlink>
      <w:r>
        <w:t>, f. 4.</w:t>
      </w:r>
    </w:p>
    <w:p w:rsidR="002C5A78" w:rsidRDefault="002C5A78" w:rsidP="002C5A78">
      <w:pPr>
        <w:pStyle w:val="SangriaFrancesaArticulo"/>
      </w:pPr>
      <w:r w:rsidRPr="002C5A78">
        <w:rPr>
          <w:rStyle w:val="TextoNormalNegritaCaracter"/>
        </w:rPr>
        <w:t>Artículo 432.1.</w:t>
      </w:r>
      <w:r w:rsidRPr="002C5A78">
        <w:rPr>
          <w:rStyle w:val="TextoNormalCaracter"/>
        </w:rPr>
        <w:t>-</w:t>
      </w:r>
      <w:r>
        <w:t xml:space="preserve"> Sentencias </w:t>
      </w:r>
      <w:hyperlink w:anchor="SENTENCIA_2021_91" w:history="1">
        <w:r w:rsidRPr="002C5A78">
          <w:rPr>
            <w:rStyle w:val="TextoNormalCaracter"/>
          </w:rPr>
          <w:t>91/2021</w:t>
        </w:r>
      </w:hyperlink>
      <w:r>
        <w:t xml:space="preserve">, ff. 1, 11, VPV;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432.3.</w:t>
      </w:r>
      <w:r w:rsidRPr="002C5A78">
        <w:rPr>
          <w:rStyle w:val="TextoNormalCaracter"/>
        </w:rPr>
        <w:t>-</w:t>
      </w:r>
      <w:r>
        <w:t xml:space="preserve"> Sentencias </w:t>
      </w:r>
      <w:hyperlink w:anchor="SENTENCIA_2021_91" w:history="1">
        <w:r w:rsidRPr="002C5A78">
          <w:rPr>
            <w:rStyle w:val="TextoNormalCaracter"/>
          </w:rPr>
          <w:t>91/2021</w:t>
        </w:r>
      </w:hyperlink>
      <w:r>
        <w:t xml:space="preserve">, ff. 1, 10, 11,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432.3, último párrafo.</w:t>
      </w:r>
      <w:r w:rsidRPr="002C5A78">
        <w:rPr>
          <w:rStyle w:val="TextoNormalCaracter"/>
        </w:rPr>
        <w:t>-</w:t>
      </w:r>
      <w:r>
        <w:t xml:space="preserve"> Sentencia </w:t>
      </w:r>
      <w:hyperlink w:anchor="SENTENCIA_2021_91" w:history="1">
        <w:r w:rsidRPr="002C5A78">
          <w:rPr>
            <w:rStyle w:val="TextoNormalCaracter"/>
          </w:rPr>
          <w:t>91/2021</w:t>
        </w:r>
      </w:hyperlink>
      <w:r>
        <w:t>, f. 10, VP.</w:t>
      </w:r>
    </w:p>
    <w:p w:rsidR="002C5A78" w:rsidRDefault="002C5A78" w:rsidP="002C5A78">
      <w:pPr>
        <w:pStyle w:val="SangriaFrancesaArticulo"/>
      </w:pPr>
      <w:r w:rsidRPr="002C5A78">
        <w:rPr>
          <w:rStyle w:val="TextoNormalNegritaCaracter"/>
        </w:rPr>
        <w:t>Artículo 458.1.</w:t>
      </w:r>
      <w:r w:rsidRPr="002C5A78">
        <w:rPr>
          <w:rStyle w:val="TextoNormalCaracter"/>
        </w:rPr>
        <w:t>-</w:t>
      </w:r>
      <w:r>
        <w:t xml:space="preserve"> Sentencia </w:t>
      </w:r>
      <w:hyperlink w:anchor="SENTENCIA_2021_21" w:history="1">
        <w:r w:rsidRPr="002C5A78">
          <w:rPr>
            <w:rStyle w:val="TextoNormalCaracter"/>
          </w:rPr>
          <w:t>21/2021</w:t>
        </w:r>
      </w:hyperlink>
      <w:r>
        <w:t>, f. 6.</w:t>
      </w:r>
    </w:p>
    <w:p w:rsidR="002C5A78" w:rsidRDefault="002C5A78" w:rsidP="002C5A78">
      <w:pPr>
        <w:pStyle w:val="SangriaFrancesaArticulo"/>
      </w:pPr>
      <w:r w:rsidRPr="002C5A78">
        <w:rPr>
          <w:rStyle w:val="TextoNormalNegritaCaracter"/>
        </w:rPr>
        <w:t>Artículo 461.</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468.2.</w:t>
      </w:r>
      <w:r w:rsidRPr="002C5A78">
        <w:rPr>
          <w:rStyle w:val="TextoNormalCaracter"/>
        </w:rPr>
        <w:t>-</w:t>
      </w:r>
      <w:r>
        <w:t xml:space="preserve"> Sentencia </w:t>
      </w:r>
      <w:hyperlink w:anchor="SENTENCIA_2021_78" w:history="1">
        <w:r w:rsidRPr="002C5A78">
          <w:rPr>
            <w:rStyle w:val="TextoNormalCaracter"/>
          </w:rPr>
          <w:t>78/2021</w:t>
        </w:r>
      </w:hyperlink>
      <w:r>
        <w:t>, ff. 3 a 7.</w:t>
      </w:r>
    </w:p>
    <w:p w:rsidR="002C5A78" w:rsidRDefault="002C5A78" w:rsidP="002C5A78">
      <w:pPr>
        <w:pStyle w:val="SangriaFrancesaArticulo"/>
      </w:pPr>
      <w:r w:rsidRPr="002C5A78">
        <w:rPr>
          <w:rStyle w:val="TextoNormalNegritaCaracter"/>
        </w:rPr>
        <w:t>Artículo 472.</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91" w:history="1">
        <w:r w:rsidRPr="002C5A78">
          <w:rPr>
            <w:rStyle w:val="TextoNormalCaracter"/>
          </w:rPr>
          <w:t>91/2021</w:t>
        </w:r>
      </w:hyperlink>
      <w:r>
        <w:t xml:space="preserve">, ff. 3, 5, 11; </w:t>
      </w:r>
      <w:hyperlink w:anchor="SENTENCIA_2021_106" w:history="1">
        <w:r w:rsidRPr="002C5A78">
          <w:rPr>
            <w:rStyle w:val="TextoNormalCaracter"/>
          </w:rPr>
          <w:t>106/2021</w:t>
        </w:r>
      </w:hyperlink>
      <w:r>
        <w:t xml:space="preserve">, ff. 3, 5, 11; </w:t>
      </w:r>
      <w:hyperlink w:anchor="SENTENCIA_2021_121" w:history="1">
        <w:r w:rsidRPr="002C5A78">
          <w:rPr>
            <w:rStyle w:val="TextoNormalCaracter"/>
          </w:rPr>
          <w:t>121/2021</w:t>
        </w:r>
      </w:hyperlink>
      <w:r>
        <w:t xml:space="preserve">, ff. 4, 6, 12;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472.5.</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473.2.</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91" w:history="1">
        <w:r w:rsidRPr="002C5A78">
          <w:rPr>
            <w:rStyle w:val="TextoNormalCaracter"/>
          </w:rPr>
          <w:t>91/2021</w:t>
        </w:r>
      </w:hyperlink>
      <w:r>
        <w:t xml:space="preserve">, ff. 3, 10;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493.</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494.</w:t>
      </w:r>
      <w:r w:rsidRPr="002C5A78">
        <w:rPr>
          <w:rStyle w:val="TextoNormalCaracter"/>
        </w:rPr>
        <w:t>-</w:t>
      </w:r>
      <w:r>
        <w:t xml:space="preserve"> Sentencia </w:t>
      </w:r>
      <w:hyperlink w:anchor="SENTENCIA_2021_13" w:history="1">
        <w:r w:rsidRPr="002C5A78">
          <w:rPr>
            <w:rStyle w:val="TextoNormalCaracter"/>
          </w:rPr>
          <w:t>13/2021</w:t>
        </w:r>
      </w:hyperlink>
      <w:r>
        <w:t>, f. 6.</w:t>
      </w:r>
    </w:p>
    <w:p w:rsidR="002C5A78" w:rsidRDefault="002C5A78" w:rsidP="002C5A78">
      <w:pPr>
        <w:pStyle w:val="SangriaFrancesaArticulo"/>
      </w:pPr>
      <w:r w:rsidRPr="002C5A78">
        <w:rPr>
          <w:rStyle w:val="TextoNormalNegritaCaracter"/>
        </w:rPr>
        <w:t>Artículo 498.</w:t>
      </w:r>
      <w:r w:rsidRPr="002C5A78">
        <w:rPr>
          <w:rStyle w:val="TextoNormalCaracter"/>
        </w:rPr>
        <w:t>-</w:t>
      </w:r>
      <w:r>
        <w:t xml:space="preserve"> Sentencias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ff. 1, 6 a 8, VP I, VP II, VP III.</w:t>
      </w:r>
    </w:p>
    <w:p w:rsidR="002C5A78" w:rsidRDefault="002C5A78" w:rsidP="002C5A78">
      <w:pPr>
        <w:pStyle w:val="SangriaFrancesaArticulo"/>
      </w:pPr>
      <w:r w:rsidRPr="002C5A78">
        <w:rPr>
          <w:rStyle w:val="TextoNormalNegritaCaracter"/>
        </w:rPr>
        <w:t>Artículo 503.</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506 bis</w:t>
      </w:r>
      <w:r>
        <w:t xml:space="preserve"> (redactado por la Ley Orgánica 20/2003, de 23 de diciembre)</w:t>
      </w:r>
      <w:r w:rsidRPr="002C5A78">
        <w:rPr>
          <w:rStyle w:val="TextoNormalNegritaCaracter"/>
        </w:rPr>
        <w:t>.</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513.</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9.</w:t>
      </w:r>
    </w:p>
    <w:p w:rsidR="002C5A78" w:rsidRDefault="002C5A78" w:rsidP="002C5A78">
      <w:pPr>
        <w:pStyle w:val="SangriaFrancesaArticulo"/>
      </w:pPr>
      <w:r w:rsidRPr="002C5A78">
        <w:rPr>
          <w:rStyle w:val="TextoNormalNegritaCaracter"/>
        </w:rPr>
        <w:t>Artículo 514.</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9.</w:t>
      </w:r>
    </w:p>
    <w:p w:rsidR="002C5A78" w:rsidRDefault="002C5A78" w:rsidP="002C5A78">
      <w:pPr>
        <w:pStyle w:val="SangriaFrancesaArticulo"/>
      </w:pPr>
      <w:r w:rsidRPr="002C5A78">
        <w:rPr>
          <w:rStyle w:val="TextoNormalNegritaCaracter"/>
        </w:rPr>
        <w:t>Artículo 521 bis</w:t>
      </w:r>
      <w:r>
        <w:t xml:space="preserve"> (redactado por la Ley Orgánica 20/2003, de 23 de diciembre)</w:t>
      </w:r>
      <w:r w:rsidRPr="002C5A78">
        <w:rPr>
          <w:rStyle w:val="TextoNormalNegritaCaracter"/>
        </w:rPr>
        <w:t>.</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Artículo 544.</w:t>
      </w:r>
      <w:r w:rsidRPr="002C5A78">
        <w:rPr>
          <w:rStyle w:val="TextoNormalCaracter"/>
        </w:rPr>
        <w:t>-</w:t>
      </w:r>
      <w:r>
        <w:t xml:space="preserve"> Sentencias </w:t>
      </w:r>
      <w:hyperlink w:anchor="SENTENCIA_2021_91" w:history="1">
        <w:r w:rsidRPr="002C5A78">
          <w:rPr>
            <w:rStyle w:val="TextoNormalCaracter"/>
          </w:rPr>
          <w:t>91/2021</w:t>
        </w:r>
      </w:hyperlink>
      <w:r>
        <w:t xml:space="preserve">, ff. 1, 2, 5, 11, VP; </w:t>
      </w:r>
      <w:hyperlink w:anchor="SENTENCIA_2021_106" w:history="1">
        <w:r w:rsidRPr="002C5A78">
          <w:rPr>
            <w:rStyle w:val="TextoNormalCaracter"/>
          </w:rPr>
          <w:t>106/2021</w:t>
        </w:r>
      </w:hyperlink>
      <w:r>
        <w:t xml:space="preserve">, ff. 1, 2, 5, 10, 11, VP; </w:t>
      </w:r>
      <w:hyperlink w:anchor="SENTENCIA_2021_121" w:history="1">
        <w:r w:rsidRPr="002C5A78">
          <w:rPr>
            <w:rStyle w:val="TextoNormalCaracter"/>
          </w:rPr>
          <w:t>121/2021</w:t>
        </w:r>
      </w:hyperlink>
      <w:r>
        <w:t xml:space="preserve">, ff. 1 a 3, 6, 11, 12; </w:t>
      </w:r>
      <w:hyperlink w:anchor="SENTENCIA_2021_122" w:history="1">
        <w:r w:rsidRPr="002C5A78">
          <w:rPr>
            <w:rStyle w:val="TextoNormalCaracter"/>
          </w:rPr>
          <w:t>122/2021</w:t>
        </w:r>
      </w:hyperlink>
      <w:r>
        <w:t>, ff. 1 a 3, 8 a 10.</w:t>
      </w:r>
    </w:p>
    <w:p w:rsidR="002C5A78" w:rsidRDefault="002C5A78" w:rsidP="002C5A78">
      <w:pPr>
        <w:pStyle w:val="SangriaFrancesaArticulo"/>
      </w:pPr>
      <w:r w:rsidRPr="002C5A78">
        <w:rPr>
          <w:rStyle w:val="TextoNormalNegritaCaracter"/>
        </w:rPr>
        <w:t>Artículo 545.</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ff. 10, 11; </w:t>
      </w:r>
      <w:hyperlink w:anchor="SENTENCIA_2021_121" w:history="1">
        <w:r w:rsidRPr="002C5A78">
          <w:rPr>
            <w:rStyle w:val="TextoNormalCaracter"/>
          </w:rPr>
          <w:t>121/2021</w:t>
        </w:r>
      </w:hyperlink>
      <w:r>
        <w:t xml:space="preserve">, ff. 11, 12; </w:t>
      </w:r>
      <w:hyperlink w:anchor="SENTENCIA_2021_122" w:history="1">
        <w:r w:rsidRPr="002C5A78">
          <w:rPr>
            <w:rStyle w:val="TextoNormalCaracter"/>
          </w:rPr>
          <w:t>122/2021</w:t>
        </w:r>
      </w:hyperlink>
      <w:r>
        <w:t>, ff. 2, 10.</w:t>
      </w:r>
    </w:p>
    <w:p w:rsidR="002C5A78" w:rsidRDefault="002C5A78" w:rsidP="002C5A78">
      <w:pPr>
        <w:pStyle w:val="SangriaFrancesaArticulo"/>
      </w:pPr>
      <w:r w:rsidRPr="002C5A78">
        <w:rPr>
          <w:rStyle w:val="TextoNormalNegritaCaracter"/>
        </w:rPr>
        <w:t>Artículo 545.1.</w:t>
      </w:r>
      <w:r w:rsidRPr="002C5A78">
        <w:rPr>
          <w:rStyle w:val="TextoNormalCaracter"/>
        </w:rPr>
        <w:t>-</w:t>
      </w:r>
      <w:r>
        <w:t xml:space="preserve"> Sentencias </w:t>
      </w:r>
      <w:hyperlink w:anchor="SENTENCIA_2021_91" w:history="1">
        <w:r w:rsidRPr="002C5A78">
          <w:rPr>
            <w:rStyle w:val="TextoNormalCaracter"/>
          </w:rPr>
          <w:t>91/2021</w:t>
        </w:r>
      </w:hyperlink>
      <w:r>
        <w:t xml:space="preserve">, ff. 1, 10, 11, VP; </w:t>
      </w:r>
      <w:hyperlink w:anchor="SENTENCIA_2021_106" w:history="1">
        <w:r w:rsidRPr="002C5A78">
          <w:rPr>
            <w:rStyle w:val="TextoNormalCaracter"/>
          </w:rPr>
          <w:t>106/2021</w:t>
        </w:r>
      </w:hyperlink>
      <w:r>
        <w:t xml:space="preserve">, ff. 1, 10, 11, VP; </w:t>
      </w:r>
      <w:hyperlink w:anchor="SENTENCIA_2021_121" w:history="1">
        <w:r w:rsidRPr="002C5A78">
          <w:rPr>
            <w:rStyle w:val="TextoNormalCaracter"/>
          </w:rPr>
          <w:t>121/2021</w:t>
        </w:r>
      </w:hyperlink>
      <w:r>
        <w:t xml:space="preserve">, ff. 1, 3, 11, 12; </w:t>
      </w:r>
      <w:hyperlink w:anchor="SENTENCIA_2021_122" w:history="1">
        <w:r w:rsidRPr="002C5A78">
          <w:rPr>
            <w:rStyle w:val="TextoNormalCaracter"/>
          </w:rPr>
          <w:t>122/2021</w:t>
        </w:r>
      </w:hyperlink>
      <w:r>
        <w:t>, ff. 1, 3, 9, 10.</w:t>
      </w:r>
    </w:p>
    <w:p w:rsidR="002C5A78" w:rsidRDefault="002C5A78" w:rsidP="002C5A78">
      <w:pPr>
        <w:pStyle w:val="SangriaFrancesaArticulo"/>
      </w:pPr>
      <w:r w:rsidRPr="002C5A78">
        <w:rPr>
          <w:rStyle w:val="TextoNormalNegritaCaracter"/>
        </w:rPr>
        <w:t>Artículo 545.1, primer inciso.</w:t>
      </w:r>
      <w:r w:rsidRPr="002C5A78">
        <w:rPr>
          <w:rStyle w:val="TextoNormalCaracter"/>
        </w:rPr>
        <w:t>-</w:t>
      </w:r>
      <w:r>
        <w:t xml:space="preserve"> Sentencia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Artículo 545.1, segundo inciso.</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f. 11.</w:t>
      </w:r>
    </w:p>
    <w:p w:rsidR="002C5A78" w:rsidRDefault="002C5A78" w:rsidP="002C5A78">
      <w:pPr>
        <w:pStyle w:val="SangriaFrancesaArticulo"/>
      </w:pPr>
      <w:r w:rsidRPr="002C5A78">
        <w:rPr>
          <w:rStyle w:val="TextoNormalNegritaCaracter"/>
        </w:rPr>
        <w:t>Artículo 545.2.</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xml:space="preserve">, VP;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547.</w:t>
      </w:r>
      <w:r w:rsidRPr="002C5A78">
        <w:rPr>
          <w:rStyle w:val="TextoNormalCaracter"/>
        </w:rPr>
        <w:t>-</w:t>
      </w:r>
      <w:r>
        <w:t xml:space="preserve"> Sentencias </w:t>
      </w:r>
      <w:hyperlink w:anchor="SENTENCIA_2021_91" w:history="1">
        <w:r w:rsidRPr="002C5A78">
          <w:rPr>
            <w:rStyle w:val="TextoNormalCaracter"/>
          </w:rPr>
          <w:t>91/2021</w:t>
        </w:r>
      </w:hyperlink>
      <w:r>
        <w:t xml:space="preserve">, f. 11, VP; </w:t>
      </w:r>
      <w:hyperlink w:anchor="SENTENCIA_2021_106" w:history="1">
        <w:r w:rsidRPr="002C5A78">
          <w:rPr>
            <w:rStyle w:val="TextoNormalCaracter"/>
          </w:rPr>
          <w:t>106/2021</w:t>
        </w:r>
      </w:hyperlink>
      <w:r>
        <w:t xml:space="preserve">, f. 11, VP;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550.</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556.</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556.1.</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557.</w:t>
      </w:r>
      <w:r w:rsidRPr="002C5A78">
        <w:rPr>
          <w:rStyle w:val="TextoNormalCaracter"/>
        </w:rPr>
        <w:t>-</w:t>
      </w:r>
      <w:r>
        <w:t xml:space="preserve"> Sentencias </w:t>
      </w:r>
      <w:hyperlink w:anchor="SENTENCIA_2021_13" w:history="1">
        <w:r w:rsidRPr="002C5A78">
          <w:rPr>
            <w:rStyle w:val="TextoNormalCaracter"/>
          </w:rPr>
          <w:t>13/2021</w:t>
        </w:r>
      </w:hyperlink>
      <w:r>
        <w:t xml:space="preserve">, f. 5;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xml:space="preserve">, VP;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557 bis.</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Artículo 557 bis.1.3.</w:t>
      </w:r>
      <w:r w:rsidRPr="002C5A78">
        <w:rPr>
          <w:rStyle w:val="TextoNormalCaracter"/>
        </w:rPr>
        <w:t>-</w:t>
      </w:r>
      <w:r>
        <w:t xml:space="preserve"> Sentencia </w:t>
      </w:r>
      <w:hyperlink w:anchor="SENTENCIA_2021_13" w:history="1">
        <w:r w:rsidRPr="002C5A78">
          <w:rPr>
            <w:rStyle w:val="TextoNormalCaracter"/>
          </w:rPr>
          <w:t>13/2021</w:t>
        </w:r>
      </w:hyperlink>
      <w:r>
        <w:t>, f. 7.</w:t>
      </w:r>
    </w:p>
    <w:p w:rsidR="002C5A78" w:rsidRDefault="002C5A78" w:rsidP="002C5A78">
      <w:pPr>
        <w:pStyle w:val="SangriaFrancesaArticulo"/>
      </w:pPr>
      <w:r w:rsidRPr="002C5A78">
        <w:rPr>
          <w:rStyle w:val="TextoNormalNegritaCaracter"/>
        </w:rPr>
        <w:t>Artículo 557.1.</w:t>
      </w:r>
      <w:r w:rsidRPr="002C5A78">
        <w:rPr>
          <w:rStyle w:val="TextoNormalCaracter"/>
        </w:rPr>
        <w:t>-</w:t>
      </w:r>
      <w:r>
        <w:t xml:space="preserve"> Sentencia </w:t>
      </w:r>
      <w:hyperlink w:anchor="SENTENCIA_2021_13" w:history="1">
        <w:r w:rsidRPr="002C5A78">
          <w:rPr>
            <w:rStyle w:val="TextoNormalCaracter"/>
          </w:rPr>
          <w:t>13/2021</w:t>
        </w:r>
      </w:hyperlink>
      <w:r>
        <w:t>, ff. 5, 7.</w:t>
      </w:r>
    </w:p>
    <w:p w:rsidR="002C5A78" w:rsidRDefault="002C5A78" w:rsidP="002C5A78">
      <w:pPr>
        <w:pStyle w:val="SangriaFrancesaArticulo"/>
      </w:pPr>
      <w:r w:rsidRPr="002C5A78">
        <w:rPr>
          <w:rStyle w:val="TextoNormalNegritaCaracter"/>
        </w:rPr>
        <w:t>Artículo 558.</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r w:rsidRPr="002C5A78">
        <w:rPr>
          <w:rStyle w:val="TextoNormalNegritaCaracter"/>
        </w:rPr>
        <w:t>Artículo 560.</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563.</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564.1.2.</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564.2.1.</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570 bis.</w:t>
      </w:r>
      <w:r w:rsidRPr="002C5A78">
        <w:rPr>
          <w:rStyle w:val="TextoNormalCaracter"/>
        </w:rPr>
        <w:t>-</w:t>
      </w:r>
      <w:r>
        <w:t xml:space="preserve"> Sentencias </w:t>
      </w:r>
      <w:hyperlink w:anchor="SENTENCIA_2021_22" w:history="1">
        <w:r w:rsidRPr="002C5A78">
          <w:rPr>
            <w:rStyle w:val="TextoNormalCaracter"/>
          </w:rPr>
          <w:t>22/2021</w:t>
        </w:r>
      </w:hyperlink>
      <w:r>
        <w:t xml:space="preserve">, f. 2;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570.1.</w:t>
      </w:r>
      <w:r w:rsidRPr="002C5A78">
        <w:rPr>
          <w:rStyle w:val="TextoNormalCaracter"/>
        </w:rPr>
        <w:t>-</w:t>
      </w:r>
      <w:r>
        <w:t xml:space="preserve"> Sentencia </w:t>
      </w:r>
      <w:hyperlink w:anchor="SENTENCIA_2021_99" w:history="1">
        <w:r w:rsidRPr="002C5A78">
          <w:rPr>
            <w:rStyle w:val="TextoNormalCaracter"/>
          </w:rPr>
          <w:t>99/2021</w:t>
        </w:r>
      </w:hyperlink>
      <w:r>
        <w:t>, f. 1.</w:t>
      </w:r>
    </w:p>
    <w:p w:rsidR="002C5A78" w:rsidRDefault="002C5A78" w:rsidP="002C5A78">
      <w:pPr>
        <w:pStyle w:val="SangriaFrancesaArticulo"/>
      </w:pPr>
      <w:r w:rsidRPr="002C5A78">
        <w:rPr>
          <w:rStyle w:val="TextoNormalNegritaCaracter"/>
        </w:rPr>
        <w:t>Artículo 573.1.1.</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576 bis</w:t>
      </w:r>
      <w:r>
        <w:t xml:space="preserve"> (redactado por la Ley Orgánica 20/2003, de 23 de diciembre)</w:t>
      </w:r>
      <w:r w:rsidRPr="002C5A78">
        <w:rPr>
          <w:rStyle w:val="TextoNormalNegritaCaracter"/>
        </w:rPr>
        <w:t>.</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Artículo 633.</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p>
    <w:p w:rsidR="002C5A78" w:rsidRDefault="002C5A78" w:rsidP="002C5A78">
      <w:pPr>
        <w:pStyle w:val="TextoNormalNegritaCursivandice"/>
        <w:keepNext/>
      </w:pPr>
      <w:r>
        <w:t>Ley Orgánica 1/1996, de 15 de enero. Protección jurídica del menor, modificación parcial del Código civil y de la Ley de enjuiciamiento civil</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25.</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p>
    <w:p w:rsidR="002C5A78" w:rsidRDefault="002C5A78" w:rsidP="002C5A78">
      <w:pPr>
        <w:pStyle w:val="TextoNormalNegritaCursivandice"/>
        <w:keepNext/>
      </w:pPr>
      <w:r>
        <w:t>Ley Orgánica 15/1999, de 13 de diciembre. Protección de datos de carácter personal</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p>
    <w:p w:rsidR="002C5A78" w:rsidRDefault="002C5A78" w:rsidP="002C5A78">
      <w:pPr>
        <w:pStyle w:val="TextoNormalNegritaCursivandice"/>
        <w:keepNext/>
      </w:pPr>
      <w:r>
        <w:t>Ley Orgánica 4/2000, de 11 de enero. Derechos y libertades de los extranjeros en España y su integración social</w:t>
      </w:r>
    </w:p>
    <w:p w:rsidR="002C5A78" w:rsidRDefault="002C5A78" w:rsidP="002C5A78">
      <w:pPr>
        <w:pStyle w:val="SangriaFrancesaArticulo"/>
      </w:pPr>
      <w:r w:rsidRPr="002C5A78">
        <w:rPr>
          <w:rStyle w:val="TextoNormalNegritaCaracter"/>
        </w:rPr>
        <w:t>Artículo 62 quinquies, apartado 1.</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r w:rsidRPr="002C5A78">
        <w:rPr>
          <w:rStyle w:val="TextoNormalNegritaCaracter"/>
        </w:rPr>
        <w:t>Disposición adicional décima</w:t>
      </w:r>
      <w:r>
        <w:t xml:space="preserve"> (redactada por la Ley Orgánica 4/2015, de 30 de marzo)</w:t>
      </w:r>
      <w:r w:rsidRPr="002C5A78">
        <w:rPr>
          <w:rStyle w:val="TextoNormalNegritaCaracter"/>
        </w:rPr>
        <w:t>.</w:t>
      </w:r>
      <w:r w:rsidRPr="002C5A78">
        <w:rPr>
          <w:rStyle w:val="TextoNormalCaracter"/>
        </w:rPr>
        <w:t>-</w:t>
      </w:r>
      <w:r>
        <w:t xml:space="preserve"> Sentencia </w:t>
      </w:r>
      <w:hyperlink w:anchor="SENTENCIA_2021_13" w:history="1">
        <w:r w:rsidRPr="002C5A78">
          <w:rPr>
            <w:rStyle w:val="TextoNormalCaracter"/>
          </w:rPr>
          <w:t>13/2021</w:t>
        </w:r>
      </w:hyperlink>
      <w:r>
        <w:t>.</w:t>
      </w:r>
    </w:p>
    <w:p w:rsidR="002C5A78" w:rsidRDefault="002C5A78" w:rsidP="002C5A78">
      <w:pPr>
        <w:pStyle w:val="SangriaFrancesaArticulo"/>
      </w:pPr>
    </w:p>
    <w:p w:rsidR="002C5A78" w:rsidRDefault="002C5A78" w:rsidP="002C5A78">
      <w:pPr>
        <w:pStyle w:val="TextoNormalNegritaCursivandice"/>
        <w:keepNext/>
      </w:pPr>
      <w:r>
        <w:t>Ley Orgánica 6/2001, de 21 de diciembre, de universidades</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6" w:history="1">
        <w:r w:rsidRPr="002C5A78">
          <w:rPr>
            <w:rStyle w:val="TextoNormalCaracter"/>
          </w:rPr>
          <w:t>6/2021</w:t>
        </w:r>
      </w:hyperlink>
      <w:r>
        <w:t xml:space="preserve">, f. 2; </w:t>
      </w:r>
      <w:hyperlink w:anchor="SENTENCIA_2021_19" w:history="1">
        <w:r w:rsidRPr="002C5A78">
          <w:rPr>
            <w:rStyle w:val="TextoNormalCaracter"/>
          </w:rPr>
          <w:t>19/2021</w:t>
        </w:r>
      </w:hyperlink>
      <w:r>
        <w:t xml:space="preserve">, f. 2; </w:t>
      </w:r>
      <w:hyperlink w:anchor="SENTENCIA_2021_42" w:history="1">
        <w:r w:rsidRPr="002C5A78">
          <w:rPr>
            <w:rStyle w:val="TextoNormalCaracter"/>
          </w:rPr>
          <w:t>42/2021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42" w:history="1">
        <w:r w:rsidRPr="002C5A78">
          <w:rPr>
            <w:rStyle w:val="TextoNormalCaracter"/>
          </w:rPr>
          <w:t>42/2021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42" w:history="1">
        <w:r w:rsidRPr="002C5A78">
          <w:rPr>
            <w:rStyle w:val="TextoNormalCaracter"/>
          </w:rPr>
          <w:t>42/2021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42" w:history="1">
        <w:r w:rsidRPr="002C5A78">
          <w:rPr>
            <w:rStyle w:val="TextoNormalCaracter"/>
          </w:rPr>
          <w:t>42/2021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42" w:history="1">
        <w:r w:rsidRPr="002C5A78">
          <w:rPr>
            <w:rStyle w:val="TextoNormalCaracter"/>
          </w:rPr>
          <w:t>42/2021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45.</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6" w:history="1">
        <w:r w:rsidRPr="002C5A78">
          <w:rPr>
            <w:rStyle w:val="TextoNormalCaracter"/>
          </w:rPr>
          <w:t>6/2021</w:t>
        </w:r>
      </w:hyperlink>
      <w:r>
        <w:t xml:space="preserve">, f. 2; </w:t>
      </w:r>
      <w:hyperlink w:anchor="SENTENCIA_2021_19" w:history="1">
        <w:r w:rsidRPr="002C5A78">
          <w:rPr>
            <w:rStyle w:val="TextoNormalCaracter"/>
          </w:rPr>
          <w:t>19/2021</w:t>
        </w:r>
      </w:hyperlink>
      <w:r>
        <w:t xml:space="preserve">, f. 2; </w:t>
      </w:r>
      <w:hyperlink w:anchor="SENTENCIA_2021_42" w:history="1">
        <w:r w:rsidRPr="002C5A78">
          <w:rPr>
            <w:rStyle w:val="TextoNormalCaracter"/>
          </w:rPr>
          <w:t>42/2021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45.1.</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45.2.</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45.4.</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6" w:history="1">
        <w:r w:rsidRPr="002C5A78">
          <w:rPr>
            <w:rStyle w:val="TextoNormalCaracter"/>
          </w:rPr>
          <w:t>6/2021</w:t>
        </w:r>
      </w:hyperlink>
      <w:r>
        <w:t xml:space="preserve">, VP I;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6" w:history="1">
        <w:r w:rsidRPr="002C5A78">
          <w:rPr>
            <w:rStyle w:val="TextoNormalCaracter"/>
          </w:rPr>
          <w:t>6/2021</w:t>
        </w:r>
      </w:hyperlink>
      <w:r>
        <w:t>, VP I.</w:t>
      </w:r>
    </w:p>
    <w:p w:rsidR="002C5A78" w:rsidRDefault="002C5A78" w:rsidP="002C5A78">
      <w:pPr>
        <w:pStyle w:val="SangriaFrancesaArticulo"/>
      </w:pPr>
    </w:p>
    <w:p w:rsidR="002C5A78" w:rsidRDefault="002C5A78" w:rsidP="002C5A78">
      <w:pPr>
        <w:pStyle w:val="TextoNormalNegritaCursivandice"/>
        <w:keepNext/>
      </w:pPr>
      <w:r>
        <w:t>Ley Orgánica 5/2002, de 19 de junio. Cualificaciones y formación profesional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39" w:history="1">
        <w:r w:rsidRPr="002C5A78">
          <w:rPr>
            <w:rStyle w:val="TextoNormalCaracter"/>
          </w:rPr>
          <w:t>39/2021</w:t>
        </w:r>
      </w:hyperlink>
      <w:r>
        <w:t>, ff. 2, 3.</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8.4.</w:t>
      </w:r>
      <w:r w:rsidRPr="002C5A78">
        <w:rPr>
          <w:rStyle w:val="TextoNormalCaracter"/>
        </w:rPr>
        <w:t>-</w:t>
      </w:r>
      <w:r>
        <w:t xml:space="preserve"> Sentencia </w:t>
      </w:r>
      <w:hyperlink w:anchor="SENTENCIA_2021_39" w:history="1">
        <w:r w:rsidRPr="002C5A78">
          <w:rPr>
            <w:rStyle w:val="TextoNormalCaracter"/>
          </w:rPr>
          <w:t>39/2021</w:t>
        </w:r>
      </w:hyperlink>
      <w:r>
        <w:t>, f. 2.</w:t>
      </w:r>
    </w:p>
    <w:p w:rsidR="002C5A78" w:rsidRDefault="002C5A78" w:rsidP="002C5A78">
      <w:pPr>
        <w:pStyle w:val="SangriaFrancesaArticulo"/>
      </w:pPr>
    </w:p>
    <w:p w:rsidR="002C5A78" w:rsidRDefault="002C5A78" w:rsidP="002C5A78">
      <w:pPr>
        <w:pStyle w:val="TextoNormalNegritaCursivandice"/>
        <w:keepNext/>
      </w:pPr>
      <w:r>
        <w:t>Ley Orgánica 20/2003, de 23 de diciembre, de modificación de la Ley Orgánica del Poder Judicial y del Código penal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10.</w:t>
      </w:r>
    </w:p>
    <w:p w:rsidR="002C5A78" w:rsidRDefault="002C5A78" w:rsidP="002C5A78">
      <w:pPr>
        <w:pStyle w:val="SangriaFrancesaArticulo"/>
      </w:pPr>
    </w:p>
    <w:p w:rsidR="002C5A78" w:rsidRDefault="002C5A78" w:rsidP="002C5A78">
      <w:pPr>
        <w:pStyle w:val="TextoNormalNegritaCursivandice"/>
        <w:keepNext/>
      </w:pPr>
      <w:r>
        <w:t>Ley Orgánica 1/2004, de 28 de diciembre. Medidas de protección integral contra la violencia de género</w:t>
      </w:r>
    </w:p>
    <w:p w:rsidR="002C5A78" w:rsidRDefault="002C5A78" w:rsidP="002C5A78">
      <w:pPr>
        <w:pStyle w:val="SangriaFrancesaArticulo"/>
      </w:pPr>
      <w:r w:rsidRPr="002C5A78">
        <w:rPr>
          <w:rStyle w:val="TextoNormalNegritaCaracter"/>
        </w:rPr>
        <w:t>Artículo 64.3.</w:t>
      </w:r>
      <w:r w:rsidRPr="002C5A78">
        <w:rPr>
          <w:rStyle w:val="TextoNormalCaracter"/>
        </w:rPr>
        <w:t>-</w:t>
      </w:r>
      <w:r>
        <w:t xml:space="preserve"> Sentencia </w:t>
      </w:r>
      <w:hyperlink w:anchor="SENTENCIA_2021_78" w:history="1">
        <w:r w:rsidRPr="002C5A78">
          <w:rPr>
            <w:rStyle w:val="TextoNormalCaracter"/>
          </w:rPr>
          <w:t>78/2021</w:t>
        </w:r>
      </w:hyperlink>
      <w:r>
        <w:t>, f. 6.</w:t>
      </w:r>
    </w:p>
    <w:p w:rsidR="002C5A78" w:rsidRDefault="002C5A78" w:rsidP="002C5A78">
      <w:pPr>
        <w:pStyle w:val="SangriaFrancesaArticulo"/>
      </w:pPr>
      <w:r w:rsidRPr="002C5A78">
        <w:rPr>
          <w:rStyle w:val="TextoNormalNegritaCaracter"/>
        </w:rPr>
        <w:t>Artículo 69.</w:t>
      </w:r>
      <w:r w:rsidRPr="002C5A78">
        <w:rPr>
          <w:rStyle w:val="TextoNormalCaracter"/>
        </w:rPr>
        <w:t>-</w:t>
      </w:r>
      <w:r>
        <w:t xml:space="preserve"> Sentencia </w:t>
      </w:r>
      <w:hyperlink w:anchor="SENTENCIA_2021_78" w:history="1">
        <w:r w:rsidRPr="002C5A78">
          <w:rPr>
            <w:rStyle w:val="TextoNormalCaracter"/>
          </w:rPr>
          <w:t>78/2021</w:t>
        </w:r>
      </w:hyperlink>
      <w:r>
        <w:t>, f. 6.</w:t>
      </w:r>
    </w:p>
    <w:p w:rsidR="002C5A78" w:rsidRDefault="002C5A78" w:rsidP="002C5A78">
      <w:pPr>
        <w:pStyle w:val="SangriaFrancesaArticulo"/>
      </w:pPr>
    </w:p>
    <w:p w:rsidR="002C5A78" w:rsidRDefault="002C5A78" w:rsidP="002C5A78">
      <w:pPr>
        <w:pStyle w:val="TextoNormalNegritaCursivandice"/>
        <w:keepNext/>
      </w:pPr>
      <w:r>
        <w:t>Ley Orgánica 2/2005, de 22 de junio, de modificación del Código penal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10.</w:t>
      </w:r>
    </w:p>
    <w:p w:rsidR="002C5A78" w:rsidRDefault="002C5A78" w:rsidP="002C5A78">
      <w:pPr>
        <w:pStyle w:val="SangriaFrancesaArticulo"/>
      </w:pPr>
    </w:p>
    <w:p w:rsidR="002C5A78" w:rsidRDefault="002C5A78" w:rsidP="002C5A78">
      <w:pPr>
        <w:pStyle w:val="TextoNormalNegritaCursivandice"/>
        <w:keepNext/>
      </w:pPr>
      <w:r>
        <w:t>Ley Orgánica 2/2006, de 3 de mayo, de educación</w:t>
      </w:r>
    </w:p>
    <w:p w:rsidR="002C5A78" w:rsidRDefault="002C5A78" w:rsidP="002C5A78">
      <w:pPr>
        <w:pStyle w:val="SangriaFrancesaArticulo"/>
      </w:pPr>
      <w:r w:rsidRPr="002C5A78">
        <w:rPr>
          <w:rStyle w:val="TextoNormalNegritaCaracter"/>
        </w:rPr>
        <w:t>Artículo 1 a)</w:t>
      </w:r>
      <w:r>
        <w:t xml:space="preserve"> (redactado por la Ley Orgánica 3/2020, de 29 de diciembre)</w:t>
      </w:r>
      <w:r w:rsidRPr="002C5A78">
        <w:rPr>
          <w:rStyle w:val="TextoNormalNegritaCaracter"/>
        </w:rPr>
        <w:t>.</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1 h).</w:t>
      </w:r>
      <w:r w:rsidRPr="002C5A78">
        <w:rPr>
          <w:rStyle w:val="TextoNormalCaracter"/>
        </w:rPr>
        <w:t>-</w:t>
      </w:r>
      <w:r>
        <w:t xml:space="preserve"> Sentencia </w:t>
      </w:r>
      <w:hyperlink w:anchor="SENTENCIA_2021_81" w:history="1">
        <w:r w:rsidRPr="002C5A78">
          <w:rPr>
            <w:rStyle w:val="TextoNormalCaracter"/>
          </w:rPr>
          <w:t>81/2021</w:t>
        </w:r>
      </w:hyperlink>
      <w:r>
        <w:t>, f. 3.</w:t>
      </w:r>
    </w:p>
    <w:p w:rsidR="002C5A78" w:rsidRDefault="002C5A78" w:rsidP="002C5A78">
      <w:pPr>
        <w:pStyle w:val="SangriaFrancesaArticulo"/>
      </w:pPr>
      <w:r w:rsidRPr="002C5A78">
        <w:rPr>
          <w:rStyle w:val="TextoNormalNegritaCaracter"/>
        </w:rPr>
        <w:t>Artículo 1 h) bis.</w:t>
      </w:r>
      <w:r w:rsidRPr="002C5A78">
        <w:rPr>
          <w:rStyle w:val="TextoNormalCaracter"/>
        </w:rPr>
        <w:t>-</w:t>
      </w:r>
      <w:r>
        <w:t xml:space="preserve"> Sentencia </w:t>
      </w:r>
      <w:hyperlink w:anchor="SENTENCIA_2021_81" w:history="1">
        <w:r w:rsidRPr="002C5A78">
          <w:rPr>
            <w:rStyle w:val="TextoNormalCaracter"/>
          </w:rPr>
          <w:t>81/2021</w:t>
        </w:r>
      </w:hyperlink>
      <w:r>
        <w:t>, f. 3.</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81" w:history="1">
        <w:r w:rsidRPr="002C5A78">
          <w:rPr>
            <w:rStyle w:val="TextoNormalCaracter"/>
          </w:rPr>
          <w:t>81/2021</w:t>
        </w:r>
      </w:hyperlink>
      <w:r>
        <w:t>, f. 3.</w:t>
      </w:r>
    </w:p>
    <w:p w:rsidR="002C5A78" w:rsidRDefault="002C5A78" w:rsidP="002C5A78">
      <w:pPr>
        <w:pStyle w:val="SangriaFrancesaArticulo"/>
      </w:pPr>
      <w:r w:rsidRPr="002C5A78">
        <w:rPr>
          <w:rStyle w:val="TextoNormalNegritaCaracter"/>
        </w:rPr>
        <w:t>Artículo 12.1.</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12.3.</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14.1.</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15.2.</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73.</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73.1.</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73.2.</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74.</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74.1.</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74.2.</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124.2.</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p>
    <w:p w:rsidR="002C5A78" w:rsidRDefault="002C5A78" w:rsidP="002C5A78">
      <w:pPr>
        <w:pStyle w:val="TextoNormalNegritaCursivandice"/>
        <w:keepNext/>
      </w:pPr>
      <w:r>
        <w:t>Ley Orgánica 3/2007, de 22 de marzo, para la igualdad efectiva de mujeres y hombres</w:t>
      </w:r>
    </w:p>
    <w:p w:rsidR="002C5A78" w:rsidRDefault="002C5A78" w:rsidP="002C5A78">
      <w:pPr>
        <w:pStyle w:val="SangriaFrancesaArticulo"/>
      </w:pPr>
      <w:r w:rsidRPr="002C5A78">
        <w:rPr>
          <w:rStyle w:val="TextoNormalNegritaCaracter"/>
        </w:rPr>
        <w:t>Exposición de motivos.</w:t>
      </w:r>
      <w:r w:rsidRPr="002C5A78">
        <w:rPr>
          <w:rStyle w:val="TextoNormalCaracter"/>
        </w:rPr>
        <w:t>-</w:t>
      </w:r>
      <w:r>
        <w:t xml:space="preserve"> Sentencia </w:t>
      </w:r>
      <w:hyperlink w:anchor="SENTENCIA_2021_119" w:history="1">
        <w:r w:rsidRPr="002C5A78">
          <w:rPr>
            <w:rStyle w:val="TextoNormalCaracter"/>
          </w:rPr>
          <w:t>119/2021</w:t>
        </w:r>
      </w:hyperlink>
      <w:r>
        <w:t>, f. 3.</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119" w:history="1">
        <w:r w:rsidRPr="002C5A78">
          <w:rPr>
            <w:rStyle w:val="TextoNormalCaracter"/>
          </w:rPr>
          <w:t>119/2021</w:t>
        </w:r>
      </w:hyperlink>
      <w:r>
        <w:t>, f. 3.</w:t>
      </w:r>
    </w:p>
    <w:p w:rsidR="002C5A78" w:rsidRDefault="002C5A78" w:rsidP="002C5A78">
      <w:pPr>
        <w:pStyle w:val="SangriaFrancesaArticulo"/>
      </w:pPr>
    </w:p>
    <w:p w:rsidR="002C5A78" w:rsidRDefault="002C5A78" w:rsidP="002C5A78">
      <w:pPr>
        <w:pStyle w:val="TextoNormalNegritaCursivandice"/>
        <w:keepNext/>
      </w:pPr>
      <w:r>
        <w:t>Ley Orgánica 12/2007, de 22 de octubre, del régimen disciplinario de la Guardia Civil</w:t>
      </w:r>
    </w:p>
    <w:p w:rsidR="002C5A78" w:rsidRDefault="002C5A78" w:rsidP="002C5A78">
      <w:pPr>
        <w:pStyle w:val="SangriaFrancesaArticulo"/>
      </w:pPr>
      <w:r w:rsidRPr="002C5A78">
        <w:rPr>
          <w:rStyle w:val="TextoNormalNegritaCaracter"/>
        </w:rPr>
        <w:t>Artículo 8.6.</w:t>
      </w:r>
      <w:r w:rsidRPr="002C5A78">
        <w:rPr>
          <w:rStyle w:val="TextoNormalCaracter"/>
        </w:rPr>
        <w:t>-</w:t>
      </w:r>
      <w:r>
        <w:t xml:space="preserve"> Sentencia </w:t>
      </w:r>
      <w:hyperlink w:anchor="SENTENCIA_2021_21" w:history="1">
        <w:r w:rsidRPr="002C5A78">
          <w:rPr>
            <w:rStyle w:val="TextoNormalCaracter"/>
          </w:rPr>
          <w:t>21/2021</w:t>
        </w:r>
      </w:hyperlink>
      <w:r>
        <w:t>, f. 1.</w:t>
      </w:r>
    </w:p>
    <w:p w:rsidR="002C5A78" w:rsidRDefault="002C5A78" w:rsidP="002C5A78">
      <w:pPr>
        <w:pStyle w:val="SangriaFrancesaArticulo"/>
      </w:pPr>
    </w:p>
    <w:p w:rsidR="002C5A78" w:rsidRDefault="002C5A78" w:rsidP="002C5A78">
      <w:pPr>
        <w:pStyle w:val="TextoNormalNegritaCursivandice"/>
        <w:keepNext/>
      </w:pPr>
      <w:r>
        <w:t>Ley Orgánica 3/2009, de 18 de diciembre. Modificación de la Ley Orgánica 8/1980, de 22 de septiembre. Financiación de las comunidades autónomas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5" w:history="1">
        <w:r w:rsidRPr="002C5A78">
          <w:rPr>
            <w:rStyle w:val="TextoNormalCaracter"/>
          </w:rPr>
          <w:t>125/2021</w:t>
        </w:r>
      </w:hyperlink>
      <w:r>
        <w:t>, f. 3.</w:t>
      </w:r>
    </w:p>
    <w:p w:rsidR="002C5A78" w:rsidRDefault="002C5A78" w:rsidP="002C5A78">
      <w:pPr>
        <w:pStyle w:val="SangriaFrancesaArticulo"/>
      </w:pPr>
    </w:p>
    <w:p w:rsidR="002C5A78" w:rsidRDefault="002C5A78" w:rsidP="002C5A78">
      <w:pPr>
        <w:pStyle w:val="TextoNormalNegritaCursivandice"/>
        <w:keepNext/>
      </w:pPr>
      <w:r>
        <w:t>Ley Orgánica 2/2011, de 28 de enero, por la que se modifica la Ley Orgánica 5/1985, de 19 de junio, del régimen electoral general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4" w:history="1">
        <w:r w:rsidRPr="002C5A78">
          <w:rPr>
            <w:rStyle w:val="TextoNormalCaracter"/>
          </w:rPr>
          <w:t>14/2021</w:t>
        </w:r>
      </w:hyperlink>
      <w:r>
        <w:t xml:space="preserve">, VP I; </w:t>
      </w:r>
      <w:hyperlink w:anchor="SENTENCIA_2021_76" w:history="1">
        <w:r w:rsidRPr="002C5A78">
          <w:rPr>
            <w:rStyle w:val="TextoNormalCaracter"/>
          </w:rPr>
          <w:t>76/2021</w:t>
        </w:r>
      </w:hyperlink>
      <w:r>
        <w:t>, f. 4, VP I.</w:t>
      </w:r>
    </w:p>
    <w:p w:rsidR="002C5A78" w:rsidRDefault="002C5A78" w:rsidP="002C5A78">
      <w:pPr>
        <w:pStyle w:val="SangriaFrancesaArticulo"/>
      </w:pPr>
      <w:r w:rsidRPr="002C5A78">
        <w:rPr>
          <w:rStyle w:val="TextoNormalNegritaCaracter"/>
        </w:rPr>
        <w:t>Exposición de motivos.</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Ley Orgánica 2/2012, de 27 de abril, de estabilidad presupuestaria y sostenibilidad financiera</w:t>
      </w:r>
    </w:p>
    <w:p w:rsidR="002C5A78" w:rsidRDefault="002C5A78" w:rsidP="002C5A78">
      <w:pPr>
        <w:pStyle w:val="SangriaFrancesaArticulo"/>
      </w:pPr>
      <w:r w:rsidRPr="002C5A78">
        <w:rPr>
          <w:rStyle w:val="TextoNormalNegritaCaracter"/>
        </w:rPr>
        <w:t>Artículo 7.1.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 </w:t>
      </w:r>
      <w:hyperlink w:anchor="SENTENCIA_2021_37" w:history="1">
        <w:r w:rsidRPr="002C5A78">
          <w:rPr>
            <w:rStyle w:val="TextoNormalCaracter"/>
          </w:rPr>
          <w:t>37/2021</w:t>
        </w:r>
      </w:hyperlink>
      <w:r>
        <w:t>, f. 6.</w:t>
      </w:r>
    </w:p>
    <w:p w:rsidR="002C5A78" w:rsidRDefault="002C5A78" w:rsidP="002C5A78">
      <w:pPr>
        <w:pStyle w:val="SangriaFrancesaArticulo"/>
      </w:pPr>
      <w:r w:rsidRPr="002C5A78">
        <w:rPr>
          <w:rStyle w:val="TextoNormalNegritaCaracter"/>
        </w:rPr>
        <w:t>Artículo 12.2.</w:t>
      </w:r>
      <w:r w:rsidRPr="002C5A78">
        <w:rPr>
          <w:rStyle w:val="TextoNormalCaracter"/>
        </w:rPr>
        <w:t>-</w:t>
      </w:r>
      <w:r>
        <w:t xml:space="preserve"> Sentencia </w:t>
      </w:r>
      <w:hyperlink w:anchor="SENTENCIA_2021_40" w:history="1">
        <w:r w:rsidRPr="002C5A78">
          <w:rPr>
            <w:rStyle w:val="TextoNormalCaracter"/>
          </w:rPr>
          <w:t>40/2021</w:t>
        </w:r>
      </w:hyperlink>
      <w:r>
        <w:t>, f. 4.</w:t>
      </w:r>
    </w:p>
    <w:p w:rsidR="002C5A78" w:rsidRDefault="002C5A78" w:rsidP="002C5A78">
      <w:pPr>
        <w:pStyle w:val="SangriaFrancesaArticulo"/>
      </w:pPr>
      <w:r w:rsidRPr="002C5A78">
        <w:rPr>
          <w:rStyle w:val="TextoNormalNegritaCaracter"/>
        </w:rPr>
        <w:t>Disposición final tercera.</w:t>
      </w:r>
      <w:r w:rsidRPr="002C5A78">
        <w:rPr>
          <w:rStyle w:val="TextoNormalCaracter"/>
        </w:rPr>
        <w:t>-</w:t>
      </w:r>
      <w:r>
        <w:t xml:space="preserve"> Sentencia </w:t>
      </w:r>
      <w:hyperlink w:anchor="SENTENCIA_2021_37" w:history="1">
        <w:r w:rsidRPr="002C5A78">
          <w:rPr>
            <w:rStyle w:val="TextoNormalCaracter"/>
          </w:rPr>
          <w:t>37/2021</w:t>
        </w:r>
      </w:hyperlink>
      <w:r>
        <w:t>, ff. 1, 6.</w:t>
      </w:r>
    </w:p>
    <w:p w:rsidR="002C5A78" w:rsidRDefault="002C5A78" w:rsidP="002C5A78">
      <w:pPr>
        <w:pStyle w:val="SangriaFrancesaArticulo"/>
      </w:pPr>
      <w:r w:rsidRPr="002C5A78">
        <w:rPr>
          <w:rStyle w:val="TextoNormalNegritaCaracter"/>
        </w:rPr>
        <w:t>Disposición final tercera, apartado segundo.</w:t>
      </w:r>
      <w:r w:rsidRPr="002C5A78">
        <w:rPr>
          <w:rStyle w:val="TextoNormalCaracter"/>
        </w:rPr>
        <w:t>-</w:t>
      </w:r>
      <w:r>
        <w:t xml:space="preserve"> Sentencia </w:t>
      </w:r>
      <w:hyperlink w:anchor="SENTENCIA_2021_37" w:history="1">
        <w:r w:rsidRPr="002C5A78">
          <w:rPr>
            <w:rStyle w:val="TextoNormalCaracter"/>
          </w:rPr>
          <w:t>37/2021</w:t>
        </w:r>
      </w:hyperlink>
      <w:r>
        <w:t>, f. 6.</w:t>
      </w:r>
    </w:p>
    <w:p w:rsidR="002C5A78" w:rsidRDefault="002C5A78" w:rsidP="002C5A78">
      <w:pPr>
        <w:pStyle w:val="SangriaFrancesaArticulo"/>
      </w:pPr>
    </w:p>
    <w:p w:rsidR="002C5A78" w:rsidRDefault="002C5A78" w:rsidP="002C5A78">
      <w:pPr>
        <w:pStyle w:val="TextoNormalNegritaCursivandice"/>
        <w:keepNext/>
      </w:pPr>
      <w:r>
        <w:t>Ley Orgánica 1/2015, de 30 de marzo, por la que se modifica la Ley Orgánica 10/1995, de 23 de noviembre, del Código penal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3" w:history="1">
        <w:r w:rsidRPr="002C5A78">
          <w:rPr>
            <w:rStyle w:val="TextoNormalCaracter"/>
          </w:rPr>
          <w:t>13/2021</w:t>
        </w:r>
      </w:hyperlink>
      <w:r>
        <w:t xml:space="preserve">, f. 5, VP II; </w:t>
      </w:r>
      <w:hyperlink w:anchor="SENTENCIA_2021_18" w:history="1">
        <w:r w:rsidRPr="002C5A78">
          <w:rPr>
            <w:rStyle w:val="TextoNormalCaracter"/>
          </w:rPr>
          <w:t>18/2021</w:t>
        </w:r>
      </w:hyperlink>
      <w:r>
        <w:t xml:space="preserve">, VP; </w:t>
      </w:r>
      <w:hyperlink w:anchor="SENTENCIA_2021_126" w:history="1">
        <w:r w:rsidRPr="002C5A78">
          <w:rPr>
            <w:rStyle w:val="TextoNormalCaracter"/>
          </w:rPr>
          <w:t>126/2021</w:t>
        </w:r>
      </w:hyperlink>
      <w:r>
        <w:t>, f. 5.</w:t>
      </w:r>
    </w:p>
    <w:p w:rsidR="002C5A78" w:rsidRDefault="002C5A78" w:rsidP="002C5A78">
      <w:pPr>
        <w:pStyle w:val="SangriaFrancesaArticulo"/>
      </w:pPr>
    </w:p>
    <w:p w:rsidR="002C5A78" w:rsidRDefault="002C5A78" w:rsidP="002C5A78">
      <w:pPr>
        <w:pStyle w:val="TextoNormalNegritaCursivandice"/>
        <w:keepNext/>
      </w:pPr>
      <w:r>
        <w:t>Ley Orgánica 4/2015, de 30 de marzo, de protección de la seguridad ciudadana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 w:history="1">
        <w:r w:rsidRPr="002C5A78">
          <w:rPr>
            <w:rStyle w:val="TextoNormalCaracter"/>
          </w:rPr>
          <w:t>13/2021</w:t>
        </w:r>
      </w:hyperlink>
      <w:r>
        <w:t>, ff. 1, 2, 5, 10, VP II.</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r w:rsidRPr="002C5A78">
        <w:rPr>
          <w:rStyle w:val="TextoNormalNegritaCaracter"/>
        </w:rPr>
        <w:t>Artículo 3 a).</w:t>
      </w:r>
      <w:r w:rsidRPr="002C5A78">
        <w:rPr>
          <w:rStyle w:val="TextoNormalCaracter"/>
        </w:rPr>
        <w:t>-</w:t>
      </w:r>
      <w:r>
        <w:t xml:space="preserve"> Sentencia </w:t>
      </w:r>
      <w:hyperlink w:anchor="SENTENCIA_2021_13" w:history="1">
        <w:r w:rsidRPr="002C5A78">
          <w:rPr>
            <w:rStyle w:val="TextoNormalCaracter"/>
          </w:rPr>
          <w:t>13/2021</w:t>
        </w:r>
      </w:hyperlink>
      <w:r>
        <w:t>, f. 6.</w:t>
      </w:r>
    </w:p>
    <w:p w:rsidR="002C5A78" w:rsidRDefault="002C5A78" w:rsidP="002C5A78">
      <w:pPr>
        <w:pStyle w:val="SangriaFrancesaArticulo"/>
      </w:pPr>
      <w:r w:rsidRPr="002C5A78">
        <w:rPr>
          <w:rStyle w:val="TextoNormalNegritaCaracter"/>
        </w:rPr>
        <w:t>Artículo 3 c).</w:t>
      </w:r>
      <w:r w:rsidRPr="002C5A78">
        <w:rPr>
          <w:rStyle w:val="TextoNormalCaracter"/>
        </w:rPr>
        <w:t>-</w:t>
      </w:r>
      <w:r>
        <w:t xml:space="preserve"> Sentencia </w:t>
      </w:r>
      <w:hyperlink w:anchor="SENTENCIA_2021_13" w:history="1">
        <w:r w:rsidRPr="002C5A78">
          <w:rPr>
            <w:rStyle w:val="TextoNormalCaracter"/>
          </w:rPr>
          <w:t>13/2021</w:t>
        </w:r>
      </w:hyperlink>
      <w:r>
        <w:t>, f. 6.</w:t>
      </w:r>
    </w:p>
    <w:p w:rsidR="002C5A78" w:rsidRDefault="002C5A78" w:rsidP="002C5A78">
      <w:pPr>
        <w:pStyle w:val="SangriaFrancesaArticulo"/>
      </w:pPr>
      <w:r w:rsidRPr="002C5A78">
        <w:rPr>
          <w:rStyle w:val="TextoNormalNegritaCaracter"/>
        </w:rPr>
        <w:t>Artículo 3 f).</w:t>
      </w:r>
      <w:r w:rsidRPr="002C5A78">
        <w:rPr>
          <w:rStyle w:val="TextoNormalCaracter"/>
        </w:rPr>
        <w:t>-</w:t>
      </w:r>
      <w:r>
        <w:t xml:space="preserve"> Sentencia </w:t>
      </w:r>
      <w:hyperlink w:anchor="SENTENCIA_2021_13" w:history="1">
        <w:r w:rsidRPr="002C5A78">
          <w:rPr>
            <w:rStyle w:val="TextoNormalCaracter"/>
          </w:rPr>
          <w:t>13/2021</w:t>
        </w:r>
      </w:hyperlink>
      <w:r>
        <w:t>, f. 2, VP II.</w:t>
      </w:r>
    </w:p>
    <w:p w:rsidR="002C5A78" w:rsidRDefault="002C5A78" w:rsidP="002C5A78">
      <w:pPr>
        <w:pStyle w:val="SangriaFrancesaArticulo"/>
      </w:pPr>
      <w:r w:rsidRPr="002C5A78">
        <w:rPr>
          <w:rStyle w:val="TextoNormalNegritaCaracter"/>
        </w:rPr>
        <w:t>Artículo 3 g).</w:t>
      </w:r>
      <w:r w:rsidRPr="002C5A78">
        <w:rPr>
          <w:rStyle w:val="TextoNormalCaracter"/>
        </w:rPr>
        <w:t>-</w:t>
      </w:r>
      <w:r>
        <w:t xml:space="preserve"> Sentencia </w:t>
      </w:r>
      <w:hyperlink w:anchor="SENTENCIA_2021_13" w:history="1">
        <w:r w:rsidRPr="002C5A78">
          <w:rPr>
            <w:rStyle w:val="TextoNormalCaracter"/>
          </w:rPr>
          <w:t>13/2021</w:t>
        </w:r>
      </w:hyperlink>
      <w:r>
        <w:t>, f. 4.</w:t>
      </w:r>
    </w:p>
    <w:p w:rsidR="002C5A78" w:rsidRDefault="002C5A78" w:rsidP="002C5A78">
      <w:pPr>
        <w:pStyle w:val="SangriaFrancesaArticulo"/>
      </w:pPr>
      <w:r w:rsidRPr="002C5A78">
        <w:rPr>
          <w:rStyle w:val="TextoNormalNegritaCaracter"/>
        </w:rPr>
        <w:t>Artículo 4.3.</w:t>
      </w:r>
      <w:r w:rsidRPr="002C5A78">
        <w:rPr>
          <w:rStyle w:val="TextoNormalCaracter"/>
        </w:rPr>
        <w:t>-</w:t>
      </w:r>
      <w:r>
        <w:t xml:space="preserve"> Sentencia </w:t>
      </w:r>
      <w:hyperlink w:anchor="SENTENCIA_2021_13" w:history="1">
        <w:r w:rsidRPr="002C5A78">
          <w:rPr>
            <w:rStyle w:val="TextoNormalCaracter"/>
          </w:rPr>
          <w:t>13/2021</w:t>
        </w:r>
      </w:hyperlink>
      <w:r>
        <w:t>, f. 10.</w:t>
      </w:r>
    </w:p>
    <w:p w:rsidR="002C5A78" w:rsidRDefault="002C5A78" w:rsidP="002C5A78">
      <w:pPr>
        <w:pStyle w:val="SangriaFrancesaArticulo"/>
      </w:pPr>
      <w:r w:rsidRPr="002C5A78">
        <w:rPr>
          <w:rStyle w:val="TextoNormalNegritaCaracter"/>
        </w:rPr>
        <w:t>Artículo 8.1</w:t>
      </w:r>
      <w:r>
        <w:t xml:space="preserve"> (redactado por el Real Decreto-ley 14/2019, de 31 de octubre)</w:t>
      </w:r>
      <w:r w:rsidRPr="002C5A78">
        <w:rPr>
          <w:rStyle w:val="TextoNormalNegritaCaracter"/>
        </w:rPr>
        <w:t>.</w:t>
      </w:r>
      <w:r w:rsidRPr="002C5A78">
        <w:rPr>
          <w:rStyle w:val="TextoNormalCaracter"/>
        </w:rPr>
        <w:t>-</w:t>
      </w:r>
      <w:r>
        <w:t xml:space="preserve"> Sentencia </w:t>
      </w:r>
      <w:hyperlink w:anchor="SENTENCIA_2021_13" w:history="1">
        <w:r w:rsidRPr="002C5A78">
          <w:rPr>
            <w:rStyle w:val="TextoNormalCaracter"/>
          </w:rPr>
          <w:t>13/2021</w:t>
        </w:r>
      </w:hyperlink>
      <w:r>
        <w:t>, f. 1.</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13" w:history="1">
        <w:r w:rsidRPr="002C5A78">
          <w:rPr>
            <w:rStyle w:val="TextoNormalCaracter"/>
          </w:rPr>
          <w:t>13/2021</w:t>
        </w:r>
      </w:hyperlink>
      <w:r>
        <w:t>, ff. 1 a 3, VP II.</w:t>
      </w:r>
    </w:p>
    <w:p w:rsidR="002C5A78" w:rsidRDefault="002C5A78" w:rsidP="002C5A78">
      <w:pPr>
        <w:pStyle w:val="SangriaFrancesaArticulo"/>
      </w:pPr>
      <w:r w:rsidRPr="002C5A78">
        <w:rPr>
          <w:rStyle w:val="TextoNormalNegritaCaracter"/>
        </w:rPr>
        <w:t>Artículo 20.1.</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r w:rsidRPr="002C5A78">
        <w:rPr>
          <w:rStyle w:val="TextoNormalNegritaCaracter"/>
        </w:rPr>
        <w:t>Artículo 20.2.</w:t>
      </w:r>
      <w:r w:rsidRPr="002C5A78">
        <w:rPr>
          <w:rStyle w:val="TextoNormalCaracter"/>
        </w:rPr>
        <w:t>-</w:t>
      </w:r>
      <w:r>
        <w:t xml:space="preserve"> Sentencia </w:t>
      </w:r>
      <w:hyperlink w:anchor="SENTENCIA_2021_13" w:history="1">
        <w:r w:rsidRPr="002C5A78">
          <w:rPr>
            <w:rStyle w:val="TextoNormalCaracter"/>
          </w:rPr>
          <w:t>13/2021</w:t>
        </w:r>
      </w:hyperlink>
      <w:r>
        <w:t>, f. 3, VP II.</w:t>
      </w:r>
    </w:p>
    <w:p w:rsidR="002C5A78" w:rsidRDefault="002C5A78" w:rsidP="002C5A78">
      <w:pPr>
        <w:pStyle w:val="SangriaFrancesaArticulo"/>
      </w:pPr>
      <w:r w:rsidRPr="002C5A78">
        <w:rPr>
          <w:rStyle w:val="TextoNormalNegritaCaracter"/>
        </w:rPr>
        <w:t>Artículo 20.3.</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r w:rsidRPr="002C5A78">
        <w:rPr>
          <w:rStyle w:val="TextoNormalNegritaCaracter"/>
        </w:rPr>
        <w:t>Artículo 20.4.</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r w:rsidRPr="002C5A78">
        <w:rPr>
          <w:rStyle w:val="TextoNormalNegritaCaracter"/>
        </w:rPr>
        <w:t>Artículo 35.1.</w:t>
      </w:r>
      <w:r w:rsidRPr="002C5A78">
        <w:rPr>
          <w:rStyle w:val="TextoNormalCaracter"/>
        </w:rPr>
        <w:t>-</w:t>
      </w:r>
      <w:r>
        <w:t xml:space="preserve"> Sentencia </w:t>
      </w:r>
      <w:hyperlink w:anchor="SENTENCIA_2021_13" w:history="1">
        <w:r w:rsidRPr="002C5A78">
          <w:rPr>
            <w:rStyle w:val="TextoNormalCaracter"/>
          </w:rPr>
          <w:t>13/2021</w:t>
        </w:r>
      </w:hyperlink>
      <w:r>
        <w:t>, ff. 1, 2, 4, 5.</w:t>
      </w:r>
    </w:p>
    <w:p w:rsidR="002C5A78" w:rsidRDefault="002C5A78" w:rsidP="002C5A78">
      <w:pPr>
        <w:pStyle w:val="SangriaFrancesaArticulo"/>
      </w:pPr>
      <w:r w:rsidRPr="002C5A78">
        <w:rPr>
          <w:rStyle w:val="TextoNormalNegritaCaracter"/>
        </w:rPr>
        <w:t>Artículo 35.2.</w:t>
      </w:r>
      <w:r w:rsidRPr="002C5A78">
        <w:rPr>
          <w:rStyle w:val="TextoNormalCaracter"/>
        </w:rPr>
        <w:t>-</w:t>
      </w:r>
      <w:r>
        <w:t xml:space="preserve"> Sentencia </w:t>
      </w:r>
      <w:hyperlink w:anchor="SENTENCIA_2021_13" w:history="1">
        <w:r w:rsidRPr="002C5A78">
          <w:rPr>
            <w:rStyle w:val="TextoNormalCaracter"/>
          </w:rPr>
          <w:t>13/2021</w:t>
        </w:r>
      </w:hyperlink>
      <w:r>
        <w:t>, ff. 5, 7.</w:t>
      </w:r>
    </w:p>
    <w:p w:rsidR="002C5A78" w:rsidRDefault="002C5A78" w:rsidP="002C5A78">
      <w:pPr>
        <w:pStyle w:val="SangriaFrancesaArticulo"/>
      </w:pPr>
      <w:r w:rsidRPr="002C5A78">
        <w:rPr>
          <w:rStyle w:val="TextoNormalNegritaCaracter"/>
        </w:rPr>
        <w:t>Artículo 36.1.</w:t>
      </w:r>
      <w:r w:rsidRPr="002C5A78">
        <w:rPr>
          <w:rStyle w:val="TextoNormalCaracter"/>
        </w:rPr>
        <w:t>-</w:t>
      </w:r>
      <w:r>
        <w:t xml:space="preserve"> Sentencia </w:t>
      </w:r>
      <w:hyperlink w:anchor="SENTENCIA_2021_13" w:history="1">
        <w:r w:rsidRPr="002C5A78">
          <w:rPr>
            <w:rStyle w:val="TextoNormalCaracter"/>
          </w:rPr>
          <w:t>13/2021</w:t>
        </w:r>
      </w:hyperlink>
      <w:r>
        <w:t>, ff. 1, 2, 4, 5, 7.</w:t>
      </w:r>
    </w:p>
    <w:p w:rsidR="002C5A78" w:rsidRDefault="002C5A78" w:rsidP="002C5A78">
      <w:pPr>
        <w:pStyle w:val="SangriaFrancesaArticulo"/>
      </w:pPr>
      <w:r w:rsidRPr="002C5A78">
        <w:rPr>
          <w:rStyle w:val="TextoNormalNegritaCaracter"/>
        </w:rPr>
        <w:t>Artículo 36.2.</w:t>
      </w:r>
      <w:r w:rsidRPr="002C5A78">
        <w:rPr>
          <w:rStyle w:val="TextoNormalCaracter"/>
        </w:rPr>
        <w:t>-</w:t>
      </w:r>
      <w:r>
        <w:t xml:space="preserve"> Sentencia </w:t>
      </w:r>
      <w:hyperlink w:anchor="SENTENCIA_2021_13" w:history="1">
        <w:r w:rsidRPr="002C5A78">
          <w:rPr>
            <w:rStyle w:val="TextoNormalCaracter"/>
          </w:rPr>
          <w:t>13/2021</w:t>
        </w:r>
      </w:hyperlink>
      <w:r>
        <w:t>, ff. 1, 2, 4 a 7, VP II.</w:t>
      </w:r>
    </w:p>
    <w:p w:rsidR="002C5A78" w:rsidRDefault="002C5A78" w:rsidP="002C5A78">
      <w:pPr>
        <w:pStyle w:val="SangriaFrancesaArticulo"/>
      </w:pPr>
      <w:r w:rsidRPr="002C5A78">
        <w:rPr>
          <w:rStyle w:val="TextoNormalNegritaCaracter"/>
        </w:rPr>
        <w:t>Artículo 36.3.</w:t>
      </w:r>
      <w:r w:rsidRPr="002C5A78">
        <w:rPr>
          <w:rStyle w:val="TextoNormalCaracter"/>
        </w:rPr>
        <w:t>-</w:t>
      </w:r>
      <w:r>
        <w:t xml:space="preserve"> Sentencia </w:t>
      </w:r>
      <w:hyperlink w:anchor="SENTENCIA_2021_13" w:history="1">
        <w:r w:rsidRPr="002C5A78">
          <w:rPr>
            <w:rStyle w:val="TextoNormalCaracter"/>
          </w:rPr>
          <w:t>13/2021</w:t>
        </w:r>
      </w:hyperlink>
      <w:r>
        <w:t>, ff. 5, 7.</w:t>
      </w:r>
    </w:p>
    <w:p w:rsidR="002C5A78" w:rsidRDefault="002C5A78" w:rsidP="002C5A78">
      <w:pPr>
        <w:pStyle w:val="SangriaFrancesaArticulo"/>
      </w:pPr>
      <w:r w:rsidRPr="002C5A78">
        <w:rPr>
          <w:rStyle w:val="TextoNormalNegritaCaracter"/>
        </w:rPr>
        <w:t>Artículo 36.4.</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36.5.</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r w:rsidRPr="002C5A78">
        <w:rPr>
          <w:rStyle w:val="TextoNormalNegritaCaracter"/>
        </w:rPr>
        <w:t>Artículo 36.8.</w:t>
      </w:r>
      <w:r w:rsidRPr="002C5A78">
        <w:rPr>
          <w:rStyle w:val="TextoNormalCaracter"/>
        </w:rPr>
        <w:t>-</w:t>
      </w:r>
      <w:r>
        <w:t xml:space="preserve"> Sentencia </w:t>
      </w:r>
      <w:hyperlink w:anchor="SENTENCIA_2021_13" w:history="1">
        <w:r w:rsidRPr="002C5A78">
          <w:rPr>
            <w:rStyle w:val="TextoNormalCaracter"/>
          </w:rPr>
          <w:t>13/2021</w:t>
        </w:r>
      </w:hyperlink>
      <w:r>
        <w:t>, ff. 1, 2, 4, 7.</w:t>
      </w:r>
    </w:p>
    <w:p w:rsidR="002C5A78" w:rsidRDefault="002C5A78" w:rsidP="002C5A78">
      <w:pPr>
        <w:pStyle w:val="SangriaFrancesaArticulo"/>
      </w:pPr>
      <w:r w:rsidRPr="002C5A78">
        <w:rPr>
          <w:rStyle w:val="TextoNormalNegritaCaracter"/>
        </w:rPr>
        <w:t>Artículo 36.11.</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r w:rsidRPr="002C5A78">
        <w:rPr>
          <w:rStyle w:val="TextoNormalNegritaCaracter"/>
        </w:rPr>
        <w:t>Artículo 36.22.</w:t>
      </w:r>
      <w:r w:rsidRPr="002C5A78">
        <w:rPr>
          <w:rStyle w:val="TextoNormalCaracter"/>
        </w:rPr>
        <w:t>-</w:t>
      </w:r>
      <w:r>
        <w:t xml:space="preserve"> Sentencia </w:t>
      </w:r>
      <w:hyperlink w:anchor="SENTENCIA_2021_13" w:history="1">
        <w:r w:rsidRPr="002C5A78">
          <w:rPr>
            <w:rStyle w:val="TextoNormalCaracter"/>
          </w:rPr>
          <w:t>13/2021</w:t>
        </w:r>
      </w:hyperlink>
      <w:r>
        <w:t>, ff. 1, 2, 8 a 10, VP II.</w:t>
      </w:r>
    </w:p>
    <w:p w:rsidR="002C5A78" w:rsidRDefault="002C5A78" w:rsidP="002C5A78">
      <w:pPr>
        <w:pStyle w:val="SangriaFrancesaArticulo"/>
      </w:pPr>
      <w:r w:rsidRPr="002C5A78">
        <w:rPr>
          <w:rStyle w:val="TextoNormalNegritaCaracter"/>
        </w:rPr>
        <w:t>Artículo 36.23.</w:t>
      </w:r>
      <w:r w:rsidRPr="002C5A78">
        <w:rPr>
          <w:rStyle w:val="TextoNormalCaracter"/>
        </w:rPr>
        <w:t>-</w:t>
      </w:r>
      <w:r>
        <w:t xml:space="preserve"> Sentencia </w:t>
      </w:r>
      <w:hyperlink w:anchor="SENTENCIA_2021_13" w:history="1">
        <w:r w:rsidRPr="002C5A78">
          <w:rPr>
            <w:rStyle w:val="TextoNormalCaracter"/>
          </w:rPr>
          <w:t>13/2021</w:t>
        </w:r>
      </w:hyperlink>
      <w:r>
        <w:t>, ff. 1, 2, 11.</w:t>
      </w:r>
    </w:p>
    <w:p w:rsidR="002C5A78" w:rsidRDefault="002C5A78" w:rsidP="002C5A78">
      <w:pPr>
        <w:pStyle w:val="SangriaFrancesaArticulo"/>
      </w:pPr>
      <w:r w:rsidRPr="002C5A78">
        <w:rPr>
          <w:rStyle w:val="TextoNormalNegritaCaracter"/>
        </w:rPr>
        <w:t>Artículo 36.23 inciso "no autorizado".</w:t>
      </w:r>
      <w:r w:rsidRPr="002C5A78">
        <w:rPr>
          <w:rStyle w:val="TextoNormalCaracter"/>
        </w:rPr>
        <w:t>-</w:t>
      </w:r>
      <w:r>
        <w:t xml:space="preserve"> Sentencia </w:t>
      </w:r>
      <w:hyperlink w:anchor="SENTENCIA_2021_13" w:history="1">
        <w:r w:rsidRPr="002C5A78">
          <w:rPr>
            <w:rStyle w:val="TextoNormalCaracter"/>
          </w:rPr>
          <w:t>13/2021</w:t>
        </w:r>
      </w:hyperlink>
      <w:r>
        <w:t>, ff. 2, 11.</w:t>
      </w:r>
    </w:p>
    <w:p w:rsidR="002C5A78" w:rsidRDefault="002C5A78" w:rsidP="002C5A78">
      <w:pPr>
        <w:pStyle w:val="SangriaFrancesaArticulo"/>
      </w:pPr>
      <w:r w:rsidRPr="002C5A78">
        <w:rPr>
          <w:rStyle w:val="TextoNormalNegritaCaracter"/>
        </w:rPr>
        <w:t>Artículo 37.3.</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r w:rsidRPr="002C5A78">
        <w:rPr>
          <w:rStyle w:val="TextoNormalNegritaCaracter"/>
        </w:rPr>
        <w:t>Artículo 37.7.</w:t>
      </w:r>
      <w:r w:rsidRPr="002C5A78">
        <w:rPr>
          <w:rStyle w:val="TextoNormalCaracter"/>
        </w:rPr>
        <w:t>-</w:t>
      </w:r>
      <w:r>
        <w:t xml:space="preserve"> Sentencia </w:t>
      </w:r>
      <w:hyperlink w:anchor="SENTENCIA_2021_13" w:history="1">
        <w:r w:rsidRPr="002C5A78">
          <w:rPr>
            <w:rStyle w:val="TextoNormalCaracter"/>
          </w:rPr>
          <w:t>13/2021</w:t>
        </w:r>
      </w:hyperlink>
      <w:r>
        <w:t>, ff. 1, 2, VP II.</w:t>
      </w:r>
    </w:p>
    <w:p w:rsidR="002C5A78" w:rsidRDefault="002C5A78" w:rsidP="002C5A78">
      <w:pPr>
        <w:pStyle w:val="SangriaFrancesaArticulo"/>
      </w:pPr>
      <w:r w:rsidRPr="002C5A78">
        <w:rPr>
          <w:rStyle w:val="TextoNormalNegritaCaracter"/>
        </w:rPr>
        <w:t>Artículo 37.7, párrafo 2.</w:t>
      </w:r>
      <w:r w:rsidRPr="002C5A78">
        <w:rPr>
          <w:rStyle w:val="TextoNormalCaracter"/>
        </w:rPr>
        <w:t>-</w:t>
      </w:r>
      <w:r>
        <w:t xml:space="preserve"> Sentencia </w:t>
      </w:r>
      <w:hyperlink w:anchor="SENTENCIA_2021_13" w:history="1">
        <w:r w:rsidRPr="002C5A78">
          <w:rPr>
            <w:rStyle w:val="TextoNormalCaracter"/>
          </w:rPr>
          <w:t>13/2021</w:t>
        </w:r>
      </w:hyperlink>
      <w:r>
        <w:t>, f. 11.</w:t>
      </w:r>
    </w:p>
    <w:p w:rsidR="002C5A78" w:rsidRDefault="002C5A78" w:rsidP="002C5A78">
      <w:pPr>
        <w:pStyle w:val="SangriaFrancesaArticulo"/>
      </w:pPr>
      <w:r w:rsidRPr="002C5A78">
        <w:rPr>
          <w:rStyle w:val="TextoNormalNegritaCaracter"/>
        </w:rPr>
        <w:t>Artículo 37.7, párrafo 2, último inciso.</w:t>
      </w:r>
      <w:r w:rsidRPr="002C5A78">
        <w:rPr>
          <w:rStyle w:val="TextoNormalCaracter"/>
        </w:rPr>
        <w:t>-</w:t>
      </w:r>
      <w:r>
        <w:t xml:space="preserve"> Sentencia </w:t>
      </w:r>
      <w:hyperlink w:anchor="SENTENCIA_2021_13" w:history="1">
        <w:r w:rsidRPr="002C5A78">
          <w:rPr>
            <w:rStyle w:val="TextoNormalCaracter"/>
          </w:rPr>
          <w:t>13/2021</w:t>
        </w:r>
      </w:hyperlink>
      <w:r>
        <w:t>, f. 2.</w:t>
      </w:r>
    </w:p>
    <w:p w:rsidR="002C5A78" w:rsidRDefault="002C5A78" w:rsidP="002C5A78">
      <w:pPr>
        <w:pStyle w:val="SangriaFrancesaArticulo"/>
      </w:pPr>
      <w:r w:rsidRPr="002C5A78">
        <w:rPr>
          <w:rStyle w:val="TextoNormalNegritaCaracter"/>
        </w:rPr>
        <w:t>Artículo 37.14.</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r w:rsidRPr="002C5A78">
        <w:rPr>
          <w:rStyle w:val="TextoNormalNegritaCaracter"/>
        </w:rPr>
        <w:t>Artículo 39.1 b).</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13" w:history="1">
        <w:r w:rsidRPr="002C5A78">
          <w:rPr>
            <w:rStyle w:val="TextoNormalCaracter"/>
          </w:rPr>
          <w:t>13/2021</w:t>
        </w:r>
      </w:hyperlink>
      <w:r>
        <w:t>, ff. 1, 2, VP II.</w:t>
      </w:r>
    </w:p>
    <w:p w:rsidR="002C5A78" w:rsidRDefault="002C5A78" w:rsidP="002C5A78">
      <w:pPr>
        <w:pStyle w:val="SangriaFrancesaArticulo"/>
      </w:pPr>
    </w:p>
    <w:p w:rsidR="002C5A78" w:rsidRDefault="002C5A78" w:rsidP="002C5A78">
      <w:pPr>
        <w:pStyle w:val="TextoNormalNegritaCursivandice"/>
        <w:keepNext/>
      </w:pPr>
      <w:r>
        <w:t>Ley Orgánica 5/2015, de 27 de abril, por la que se modifican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5" w:history="1">
        <w:r w:rsidRPr="002C5A78">
          <w:rPr>
            <w:rStyle w:val="TextoNormalCaracter"/>
          </w:rPr>
          <w:t>35/2021</w:t>
        </w:r>
      </w:hyperlink>
      <w:r>
        <w:t>, f. 1.</w:t>
      </w:r>
    </w:p>
    <w:p w:rsidR="002C5A78" w:rsidRDefault="002C5A78" w:rsidP="002C5A78">
      <w:pPr>
        <w:pStyle w:val="SangriaFrancesaArticulo"/>
      </w:pPr>
    </w:p>
    <w:p w:rsidR="002C5A78" w:rsidRDefault="002C5A78" w:rsidP="002C5A78">
      <w:pPr>
        <w:pStyle w:val="TextoNormalNegritaCursivandice"/>
        <w:keepNext/>
      </w:pPr>
      <w:r>
        <w:t>Ley Orgánica 7/2015, de 21 de julio. Modificación de la Ley Orgánica 6/1985, de 1 de julio, del Poder Judicial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 w:history="1">
        <w:r w:rsidRPr="002C5A78">
          <w:rPr>
            <w:rStyle w:val="TextoNormalCaracter"/>
          </w:rPr>
          <w:t>11/2021</w:t>
        </w:r>
      </w:hyperlink>
      <w:r>
        <w:t>, f. único.</w:t>
      </w:r>
    </w:p>
    <w:p w:rsidR="002C5A78" w:rsidRDefault="002C5A78" w:rsidP="002C5A78">
      <w:pPr>
        <w:pStyle w:val="SangriaFrancesaArticulo"/>
      </w:pPr>
    </w:p>
    <w:p w:rsidR="002C5A78" w:rsidRDefault="002C5A78" w:rsidP="002C5A78">
      <w:pPr>
        <w:pStyle w:val="TextoNormalNegritaCursivandice"/>
        <w:keepNext/>
      </w:pPr>
      <w:r>
        <w:t>Ley Orgánica 13/2015, de 5 de octubre. Modifica la Ley de enjuiciamiento criminal para el fortalecimiento de las garantías procesales y la regulación de las medidas de investigación tecnológica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Exposición de motivos.</w:t>
      </w:r>
      <w:r w:rsidRPr="002C5A78">
        <w:rPr>
          <w:rStyle w:val="TextoNormalCaracter"/>
        </w:rPr>
        <w:t>-</w:t>
      </w:r>
      <w:r>
        <w:t xml:space="preserve"> Sentencia </w:t>
      </w:r>
      <w:hyperlink w:anchor="SENTENCIA_2021_99" w:history="1">
        <w:r w:rsidRPr="002C5A78">
          <w:rPr>
            <w:rStyle w:val="TextoNormalCaracter"/>
          </w:rPr>
          <w:t>99/2021</w:t>
        </w:r>
      </w:hyperlink>
      <w:r>
        <w:t>, f. 6.</w:t>
      </w:r>
    </w:p>
    <w:p w:rsidR="002C5A78" w:rsidRDefault="002C5A78" w:rsidP="002C5A78">
      <w:pPr>
        <w:pStyle w:val="SangriaFrancesaArticulo"/>
      </w:pPr>
    </w:p>
    <w:p w:rsidR="002C5A78" w:rsidRDefault="002C5A78" w:rsidP="002C5A78">
      <w:pPr>
        <w:pStyle w:val="TextoNormalNegritaCursivandice"/>
        <w:keepNext/>
      </w:pPr>
      <w:r>
        <w:t>Ley Orgánica 16/2015, de 27 de octubre. Privilegios e inmunidades de los Estados extranjeros, las organizaciones internacionales con sede u oficina en España y las conferencias y reuniones internacionales celebradas en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0" w:history="1">
        <w:r w:rsidRPr="002C5A78">
          <w:rPr>
            <w:rStyle w:val="TextoNormalCaracter"/>
          </w:rPr>
          <w:t>120/2021</w:t>
        </w:r>
      </w:hyperlink>
      <w:r>
        <w:t>, f. 2.</w:t>
      </w:r>
    </w:p>
    <w:p w:rsidR="002C5A78" w:rsidRDefault="002C5A78" w:rsidP="002C5A78">
      <w:pPr>
        <w:pStyle w:val="SangriaFrancesaArticulo"/>
      </w:pPr>
      <w:r w:rsidRPr="002C5A78">
        <w:rPr>
          <w:rStyle w:val="TextoNormalNegritaCaracter"/>
        </w:rPr>
        <w:t>Artículo 35.1.</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35.1 párrafo 2.</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p>
    <w:p w:rsidR="002C5A78" w:rsidRDefault="002C5A78" w:rsidP="002C5A78">
      <w:pPr>
        <w:pStyle w:val="TextoNormalNegritaCursivandice"/>
        <w:keepNext/>
      </w:pPr>
      <w:r>
        <w:t>Ley Orgánica 3/2018, de 5 de diciembre. Protección de datos personales y garantía de los derechos digitales</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p>
    <w:p w:rsidR="002C5A78" w:rsidRDefault="002C5A78" w:rsidP="002C5A78">
      <w:pPr>
        <w:pStyle w:val="TextoNormalNegritaCursivandice"/>
        <w:keepNext/>
      </w:pPr>
      <w:r>
        <w:t>Ley Orgánica 3/2020, de 29 de diciembre, por la que se modifica la Ley Orgánica 2/2006, de 3 de mayo, de educación.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TextoNormal"/>
      </w:pPr>
    </w:p>
    <w:p w:rsidR="002C5A78" w:rsidRDefault="002C5A78" w:rsidP="002C5A78">
      <w:pPr>
        <w:pStyle w:val="SangriaFrancesaArticulo"/>
      </w:pPr>
      <w:bookmarkStart w:id="220" w:name="INDICE22846"/>
    </w:p>
    <w:bookmarkEnd w:id="220"/>
    <w:p w:rsidR="002C5A78" w:rsidRDefault="002C5A78" w:rsidP="002C5A78">
      <w:pPr>
        <w:pStyle w:val="TextoIndiceNivel2"/>
        <w:suppressAutoHyphens/>
      </w:pPr>
      <w:r>
        <w:t>E) Leyes de las Cortes Generales</w:t>
      </w:r>
    </w:p>
    <w:p w:rsidR="002C5A78" w:rsidRDefault="002C5A78" w:rsidP="002C5A78">
      <w:pPr>
        <w:pStyle w:val="TextoIndiceNivel2"/>
      </w:pPr>
    </w:p>
    <w:p w:rsidR="002C5A78" w:rsidRDefault="002C5A78" w:rsidP="002C5A78">
      <w:pPr>
        <w:pStyle w:val="TextoNormalNegritaCursivandice"/>
        <w:keepNext/>
      </w:pPr>
      <w:r>
        <w:t>Ley 4/1980, de 10 de enero. Estatuto de la radio y la televisión</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134" w:history="1">
        <w:r w:rsidRPr="002C5A78">
          <w:rPr>
            <w:rStyle w:val="TextoNormalCaracter"/>
          </w:rPr>
          <w:t>134/2021</w:t>
        </w:r>
      </w:hyperlink>
      <w:r>
        <w:t>, f. 4.</w:t>
      </w:r>
    </w:p>
    <w:p w:rsidR="002C5A78" w:rsidRDefault="002C5A78" w:rsidP="002C5A78">
      <w:pPr>
        <w:pStyle w:val="SangriaFrancesaArticulo"/>
      </w:pPr>
    </w:p>
    <w:p w:rsidR="002C5A78" w:rsidRDefault="002C5A78" w:rsidP="002C5A78">
      <w:pPr>
        <w:pStyle w:val="TextoNormalNegritaCursivandice"/>
        <w:keepNext/>
      </w:pPr>
      <w:r>
        <w:t>Ley 8/1980, de 10 de marzo. Estatuto de los trabajadores</w:t>
      </w:r>
    </w:p>
    <w:p w:rsidR="002C5A78" w:rsidRDefault="002C5A78" w:rsidP="002C5A78">
      <w:pPr>
        <w:pStyle w:val="SangriaFrancesaArticulo"/>
      </w:pPr>
      <w:r w:rsidRPr="002C5A78">
        <w:rPr>
          <w:rStyle w:val="TextoNormalNegritaCaracter"/>
        </w:rPr>
        <w:t>Artículo 37.6.</w:t>
      </w:r>
      <w:r w:rsidRPr="002C5A78">
        <w:rPr>
          <w:rStyle w:val="TextoNormalCaracter"/>
        </w:rPr>
        <w:t>-</w:t>
      </w:r>
      <w:r>
        <w:t xml:space="preserve"> Sentencia </w:t>
      </w:r>
      <w:hyperlink w:anchor="SENTENCIA_2021_119" w:history="1">
        <w:r w:rsidRPr="002C5A78">
          <w:rPr>
            <w:rStyle w:val="TextoNormalCaracter"/>
          </w:rPr>
          <w:t>119/2021</w:t>
        </w:r>
      </w:hyperlink>
      <w:r>
        <w:t>, f. 3.</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119" w:history="1">
        <w:r w:rsidRPr="002C5A78">
          <w:rPr>
            <w:rStyle w:val="TextoNormalCaracter"/>
          </w:rPr>
          <w:t>119/2021</w:t>
        </w:r>
      </w:hyperlink>
      <w:r>
        <w:t>, f. 4.</w:t>
      </w:r>
    </w:p>
    <w:p w:rsidR="002C5A78" w:rsidRDefault="002C5A78" w:rsidP="002C5A78">
      <w:pPr>
        <w:pStyle w:val="SangriaFrancesaArticulo"/>
      </w:pPr>
      <w:r w:rsidRPr="002C5A78">
        <w:rPr>
          <w:rStyle w:val="TextoNormalNegritaCaracter"/>
        </w:rPr>
        <w:t>Artículo 46.2.</w:t>
      </w:r>
      <w:r w:rsidRPr="002C5A78">
        <w:rPr>
          <w:rStyle w:val="TextoNormalCaracter"/>
        </w:rPr>
        <w:t>-</w:t>
      </w:r>
      <w:r>
        <w:t xml:space="preserve"> Auto </w:t>
      </w:r>
      <w:hyperlink w:anchor="AUTO_2021_45" w:history="1">
        <w:r w:rsidRPr="002C5A78">
          <w:rPr>
            <w:rStyle w:val="TextoNormalCaracter"/>
          </w:rPr>
          <w:t>45/2021</w:t>
        </w:r>
      </w:hyperlink>
      <w:r>
        <w:t>, f. 2.</w:t>
      </w:r>
    </w:p>
    <w:p w:rsidR="002C5A78" w:rsidRDefault="002C5A78" w:rsidP="002C5A78">
      <w:pPr>
        <w:pStyle w:val="SangriaFrancesaArticulo"/>
      </w:pPr>
      <w:r w:rsidRPr="002C5A78">
        <w:rPr>
          <w:rStyle w:val="TextoNormalNegritaCaracter"/>
        </w:rPr>
        <w:t>Artículo 46.3.</w:t>
      </w:r>
      <w:r w:rsidRPr="002C5A78">
        <w:rPr>
          <w:rStyle w:val="TextoNormalCaracter"/>
        </w:rPr>
        <w:t>-</w:t>
      </w:r>
      <w:r>
        <w:t xml:space="preserve"> Sentencia </w:t>
      </w:r>
      <w:hyperlink w:anchor="SENTENCIA_2021_119" w:history="1">
        <w:r w:rsidRPr="002C5A78">
          <w:rPr>
            <w:rStyle w:val="TextoNormalCaracter"/>
          </w:rPr>
          <w:t>119/2021</w:t>
        </w:r>
      </w:hyperlink>
      <w:r>
        <w:t>, f. 3.</w:t>
      </w:r>
    </w:p>
    <w:p w:rsidR="002C5A78" w:rsidRDefault="002C5A78" w:rsidP="002C5A78">
      <w:pPr>
        <w:pStyle w:val="SangriaFrancesaArticulo"/>
      </w:pPr>
      <w:r w:rsidRPr="002C5A78">
        <w:rPr>
          <w:rStyle w:val="TextoNormalNegritaCaracter"/>
        </w:rPr>
        <w:t>Artículo 46.5.</w:t>
      </w:r>
      <w:r w:rsidRPr="002C5A78">
        <w:rPr>
          <w:rStyle w:val="TextoNormalCaracter"/>
        </w:rPr>
        <w:t>-</w:t>
      </w:r>
      <w:r>
        <w:t xml:space="preserve"> Auto </w:t>
      </w:r>
      <w:hyperlink w:anchor="AUTO_2021_45" w:history="1">
        <w:r w:rsidRPr="002C5A78">
          <w:rPr>
            <w:rStyle w:val="TextoNormalCaracter"/>
          </w:rPr>
          <w:t>45/2021</w:t>
        </w:r>
      </w:hyperlink>
      <w:r>
        <w:t>, ff. 1, 2.</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rsidP="002C5A78">
      <w:pPr>
        <w:pStyle w:val="SangriaFrancesaArticulo"/>
      </w:pPr>
      <w:r w:rsidRPr="002C5A78">
        <w:rPr>
          <w:rStyle w:val="TextoNormalNegritaCaracter"/>
        </w:rPr>
        <w:t>Artículo 55.5.</w:t>
      </w:r>
      <w:r w:rsidRPr="002C5A78">
        <w:rPr>
          <w:rStyle w:val="TextoNormalCaracter"/>
        </w:rPr>
        <w:t>-</w:t>
      </w:r>
      <w:r>
        <w:t xml:space="preserve"> Sentencia </w:t>
      </w:r>
      <w:hyperlink w:anchor="SENTENCIA_2021_61" w:history="1">
        <w:r w:rsidRPr="002C5A78">
          <w:rPr>
            <w:rStyle w:val="TextoNormalCaracter"/>
          </w:rPr>
          <w:t>61/2021</w:t>
        </w:r>
      </w:hyperlink>
      <w:r>
        <w:t>, ff. 1, 5, VP I.</w:t>
      </w:r>
    </w:p>
    <w:p w:rsidR="002C5A78" w:rsidRDefault="002C5A78" w:rsidP="002C5A78">
      <w:pPr>
        <w:pStyle w:val="SangriaFrancesaArticulo"/>
      </w:pPr>
    </w:p>
    <w:p w:rsidR="002C5A78" w:rsidRDefault="002C5A78" w:rsidP="002C5A78">
      <w:pPr>
        <w:pStyle w:val="TextoNormalNegritaCursivandice"/>
        <w:keepNext/>
      </w:pPr>
      <w:r>
        <w:t>Ley 13/1980, de 31 de marzo. General de la cultura física y deporte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12.2.</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p>
    <w:p w:rsidR="002C5A78" w:rsidRDefault="002C5A78" w:rsidP="002C5A78">
      <w:pPr>
        <w:pStyle w:val="TextoNormalNegritaCursivandice"/>
        <w:keepNext/>
      </w:pPr>
      <w:r>
        <w:t>Ley 2/1981, de 25 de marzo. Regulación del mercado hipotecario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Artículos 11 a 18.</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p>
    <w:p w:rsidR="002C5A78" w:rsidRDefault="002C5A78" w:rsidP="002C5A78">
      <w:pPr>
        <w:pStyle w:val="TextoNormalNegritaCursivandice"/>
        <w:keepNext/>
      </w:pPr>
      <w:r>
        <w:t>Ley 30/1984, de 2 de agosto, de medidas para la reforma de la función pública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8" w:history="1">
        <w:r w:rsidRPr="002C5A78">
          <w:rPr>
            <w:rStyle w:val="TextoNormalCaracter"/>
          </w:rPr>
          <w:t>38/2021</w:t>
        </w:r>
      </w:hyperlink>
      <w:r>
        <w:t>, f. 3.</w:t>
      </w:r>
    </w:p>
    <w:p w:rsidR="002C5A78" w:rsidRDefault="002C5A78" w:rsidP="002C5A78">
      <w:pPr>
        <w:pStyle w:val="SangriaFrancesaArticulo"/>
      </w:pPr>
      <w:r w:rsidRPr="002C5A78">
        <w:rPr>
          <w:rStyle w:val="TextoNormalNegritaCaracter"/>
        </w:rPr>
        <w:t>Artículo 19.1.</w:t>
      </w:r>
      <w:r w:rsidRPr="002C5A78">
        <w:rPr>
          <w:rStyle w:val="TextoNormalCaracter"/>
        </w:rPr>
        <w:t>-</w:t>
      </w:r>
      <w:r>
        <w:t xml:space="preserve"> Sentencia </w:t>
      </w:r>
      <w:hyperlink w:anchor="SENTENCIA_2021_38" w:history="1">
        <w:r w:rsidRPr="002C5A78">
          <w:rPr>
            <w:rStyle w:val="TextoNormalCaracter"/>
          </w:rPr>
          <w:t>38/2021</w:t>
        </w:r>
      </w:hyperlink>
      <w:r>
        <w:t>, f. 4.</w:t>
      </w:r>
    </w:p>
    <w:p w:rsidR="002C5A78" w:rsidRDefault="002C5A78" w:rsidP="002C5A78">
      <w:pPr>
        <w:pStyle w:val="SangriaFrancesaArticulo"/>
      </w:pPr>
    </w:p>
    <w:p w:rsidR="002C5A78" w:rsidRDefault="002C5A78" w:rsidP="002C5A78">
      <w:pPr>
        <w:pStyle w:val="TextoNormalNegritaCursivandice"/>
        <w:keepNext/>
      </w:pPr>
      <w:r>
        <w:t>Ley 7/1985, de 2 de abril, reguladora de las bases del régimen local</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Sentencias </w:t>
      </w:r>
      <w:hyperlink w:anchor="SENTENCIA_2021_16" w:history="1">
        <w:r w:rsidRPr="002C5A78">
          <w:rPr>
            <w:rStyle w:val="TextoNormalCaracter"/>
          </w:rPr>
          <w:t>16/2021</w:t>
        </w:r>
      </w:hyperlink>
      <w:r>
        <w:t xml:space="preserve">, f. 9;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Sentencias </w:t>
      </w:r>
      <w:hyperlink w:anchor="SENTENCIA_2021_16" w:history="1">
        <w:r w:rsidRPr="002C5A78">
          <w:rPr>
            <w:rStyle w:val="TextoNormalCaracter"/>
          </w:rPr>
          <w:t>16/2021</w:t>
        </w:r>
      </w:hyperlink>
      <w:r>
        <w:t xml:space="preserve">, f. 9;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Artículo 121.</w:t>
      </w:r>
      <w:r w:rsidRPr="002C5A78">
        <w:rPr>
          <w:rStyle w:val="TextoNormalCaracter"/>
        </w:rPr>
        <w:t>-</w:t>
      </w:r>
      <w:r>
        <w:t xml:space="preserve"> Auto </w:t>
      </w:r>
      <w:hyperlink w:anchor="AUTO_2021_47" w:history="1">
        <w:r w:rsidRPr="002C5A78">
          <w:rPr>
            <w:rStyle w:val="TextoNormalCaracter"/>
          </w:rPr>
          <w:t>47/2021</w:t>
        </w:r>
      </w:hyperlink>
      <w:r>
        <w:t>, f. 3.</w:t>
      </w:r>
    </w:p>
    <w:p w:rsidR="002C5A78" w:rsidRDefault="002C5A78" w:rsidP="002C5A78">
      <w:pPr>
        <w:pStyle w:val="SangriaFrancesaArticulo"/>
      </w:pPr>
      <w:r w:rsidRPr="002C5A78">
        <w:rPr>
          <w:rStyle w:val="TextoNormalNegritaCaracter"/>
        </w:rPr>
        <w:t>Disposición adicional segunda.</w:t>
      </w:r>
      <w:r w:rsidRPr="002C5A78">
        <w:rPr>
          <w:rStyle w:val="TextoNormalCaracter"/>
        </w:rPr>
        <w:t>-</w:t>
      </w:r>
      <w:r>
        <w:t xml:space="preserve"> Sentencia </w:t>
      </w:r>
      <w:hyperlink w:anchor="SENTENCIA_2021_37" w:history="1">
        <w:r w:rsidRPr="002C5A78">
          <w:rPr>
            <w:rStyle w:val="TextoNormalCaracter"/>
          </w:rPr>
          <w:t>37/2021</w:t>
        </w:r>
      </w:hyperlink>
      <w:r>
        <w:t>, f. 6.</w:t>
      </w:r>
    </w:p>
    <w:p w:rsidR="002C5A78" w:rsidRDefault="002C5A78" w:rsidP="002C5A78">
      <w:pPr>
        <w:pStyle w:val="SangriaFrancesaArticulo"/>
      </w:pPr>
    </w:p>
    <w:p w:rsidR="002C5A78" w:rsidRDefault="002C5A78" w:rsidP="002C5A78">
      <w:pPr>
        <w:pStyle w:val="TextoNormalNegritaCursivandice"/>
        <w:keepNext/>
      </w:pPr>
      <w:r>
        <w:t>Ley 22/1988, de 28 de julio, de costas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88" w:history="1">
        <w:r w:rsidRPr="002C5A78">
          <w:rPr>
            <w:rStyle w:val="TextoNormalCaracter"/>
          </w:rPr>
          <w:t>88/2021</w:t>
        </w:r>
      </w:hyperlink>
      <w:r>
        <w:t>, ff. 1, 3, 4.</w:t>
      </w:r>
    </w:p>
    <w:p w:rsidR="002C5A78" w:rsidRDefault="002C5A78" w:rsidP="002C5A78">
      <w:pPr>
        <w:pStyle w:val="SangriaFrancesaArticulo"/>
      </w:pPr>
      <w:r w:rsidRPr="002C5A78">
        <w:rPr>
          <w:rStyle w:val="TextoNormalNegritaCaracter"/>
        </w:rPr>
        <w:t>Artículo 24.1.</w:t>
      </w:r>
      <w:r w:rsidRPr="002C5A78">
        <w:rPr>
          <w:rStyle w:val="TextoNormalCaracter"/>
        </w:rPr>
        <w:t>-</w:t>
      </w:r>
      <w:r>
        <w:t xml:space="preserve"> Sentencia </w:t>
      </w:r>
      <w:hyperlink w:anchor="SENTENCIA_2021_112" w:history="1">
        <w:r w:rsidRPr="002C5A78">
          <w:rPr>
            <w:rStyle w:val="TextoNormalCaracter"/>
          </w:rPr>
          <w:t>112/2021</w:t>
        </w:r>
      </w:hyperlink>
      <w:r>
        <w:t>, ff. 1, 4.</w:t>
      </w:r>
    </w:p>
    <w:p w:rsidR="002C5A78" w:rsidRDefault="002C5A78" w:rsidP="002C5A78">
      <w:pPr>
        <w:pStyle w:val="SangriaFrancesaArticulo"/>
      </w:pPr>
      <w:r w:rsidRPr="002C5A78">
        <w:rPr>
          <w:rStyle w:val="TextoNormalNegritaCaracter"/>
        </w:rPr>
        <w:t>Artículo 25.3.</w:t>
      </w:r>
      <w:r w:rsidRPr="002C5A78">
        <w:rPr>
          <w:rStyle w:val="TextoNormalCaracter"/>
        </w:rPr>
        <w:t>-</w:t>
      </w:r>
      <w:r>
        <w:t xml:space="preserve"> Sentencia </w:t>
      </w:r>
      <w:hyperlink w:anchor="SENTENCIA_2021_112" w:history="1">
        <w:r w:rsidRPr="002C5A78">
          <w:rPr>
            <w:rStyle w:val="TextoNormalCaracter"/>
          </w:rPr>
          <w:t>112/2021</w:t>
        </w:r>
      </w:hyperlink>
      <w:r>
        <w:t>, f. 4.</w:t>
      </w:r>
    </w:p>
    <w:p w:rsidR="002C5A78" w:rsidRDefault="002C5A78" w:rsidP="002C5A78">
      <w:pPr>
        <w:pStyle w:val="SangriaFrancesaArticulo"/>
      </w:pPr>
      <w:r w:rsidRPr="002C5A78">
        <w:rPr>
          <w:rStyle w:val="TextoNormalNegritaCaracter"/>
        </w:rPr>
        <w:t>Artículo 26.2.</w:t>
      </w:r>
      <w:r w:rsidRPr="002C5A78">
        <w:rPr>
          <w:rStyle w:val="TextoNormalCaracter"/>
        </w:rPr>
        <w:t>-</w:t>
      </w:r>
      <w:r>
        <w:t xml:space="preserve"> Sentencia </w:t>
      </w:r>
      <w:hyperlink w:anchor="SENTENCIA_2021_112" w:history="1">
        <w:r w:rsidRPr="002C5A78">
          <w:rPr>
            <w:rStyle w:val="TextoNormalCaracter"/>
          </w:rPr>
          <w:t>112/2021</w:t>
        </w:r>
      </w:hyperlink>
      <w:r>
        <w:t>, f. 4.</w:t>
      </w:r>
    </w:p>
    <w:p w:rsidR="002C5A78" w:rsidRDefault="002C5A78" w:rsidP="002C5A78">
      <w:pPr>
        <w:pStyle w:val="SangriaFrancesaArticulo"/>
      </w:pPr>
      <w:r w:rsidRPr="002C5A78">
        <w:rPr>
          <w:rStyle w:val="TextoNormalNegritaCaracter"/>
        </w:rPr>
        <w:t>Artículo 37.3.</w:t>
      </w:r>
      <w:r w:rsidRPr="002C5A78">
        <w:rPr>
          <w:rStyle w:val="TextoNormalCaracter"/>
        </w:rPr>
        <w:t>-</w:t>
      </w:r>
      <w:r>
        <w:t xml:space="preserve"> Sentencia </w:t>
      </w:r>
      <w:hyperlink w:anchor="SENTENCIA_2021_88" w:history="1">
        <w:r w:rsidRPr="002C5A78">
          <w:rPr>
            <w:rStyle w:val="TextoNormalCaracter"/>
          </w:rPr>
          <w:t>88/2021</w:t>
        </w:r>
      </w:hyperlink>
      <w:r>
        <w:t>, f. 4.</w:t>
      </w:r>
    </w:p>
    <w:p w:rsidR="002C5A78" w:rsidRDefault="002C5A78" w:rsidP="002C5A78">
      <w:pPr>
        <w:pStyle w:val="SangriaFrancesaArticulo"/>
      </w:pPr>
      <w:r w:rsidRPr="002C5A78">
        <w:rPr>
          <w:rStyle w:val="TextoNormalNegritaCaracter"/>
        </w:rPr>
        <w:t>Disposición adicional quinta, apartado 2.</w:t>
      </w:r>
      <w:r w:rsidRPr="002C5A78">
        <w:rPr>
          <w:rStyle w:val="TextoNormalCaracter"/>
        </w:rPr>
        <w:t>-</w:t>
      </w:r>
      <w:r>
        <w:t xml:space="preserve"> Sentencia </w:t>
      </w:r>
      <w:hyperlink w:anchor="SENTENCIA_2021_112" w:history="1">
        <w:r w:rsidRPr="002C5A78">
          <w:rPr>
            <w:rStyle w:val="TextoNormalCaracter"/>
          </w:rPr>
          <w:t>112/2021</w:t>
        </w:r>
      </w:hyperlink>
      <w:r>
        <w:t>, f. 4.</w:t>
      </w:r>
    </w:p>
    <w:p w:rsidR="002C5A78" w:rsidRDefault="002C5A78" w:rsidP="002C5A78">
      <w:pPr>
        <w:pStyle w:val="SangriaFrancesaArticulo"/>
      </w:pPr>
      <w:r w:rsidRPr="002C5A78">
        <w:rPr>
          <w:rStyle w:val="TextoNormalNegritaCaracter"/>
        </w:rPr>
        <w:t>Disposición transitoria primera.</w:t>
      </w:r>
      <w:r w:rsidRPr="002C5A78">
        <w:rPr>
          <w:rStyle w:val="TextoNormalCaracter"/>
        </w:rPr>
        <w:t>-</w:t>
      </w:r>
      <w:r>
        <w:t xml:space="preserve"> Sentencia </w:t>
      </w:r>
      <w:hyperlink w:anchor="SENTENCIA_2021_88" w:history="1">
        <w:r w:rsidRPr="002C5A78">
          <w:rPr>
            <w:rStyle w:val="TextoNormalCaracter"/>
          </w:rPr>
          <w:t>88/2021</w:t>
        </w:r>
      </w:hyperlink>
      <w:r>
        <w:t>, ff. 1, 3, 4.</w:t>
      </w:r>
    </w:p>
    <w:p w:rsidR="002C5A78" w:rsidRDefault="002C5A78" w:rsidP="002C5A78">
      <w:pPr>
        <w:pStyle w:val="SangriaFrancesaArticulo"/>
      </w:pPr>
      <w:r w:rsidRPr="002C5A78">
        <w:rPr>
          <w:rStyle w:val="TextoNormalNegritaCaracter"/>
        </w:rPr>
        <w:t>Disposición transitoria primera</w:t>
      </w:r>
      <w:r>
        <w:t xml:space="preserve"> (redactada por Ley 2/2013, de 29 de mayo)</w:t>
      </w:r>
      <w:r w:rsidRPr="002C5A78">
        <w:rPr>
          <w:rStyle w:val="TextoNormalNegritaCaracter"/>
        </w:rPr>
        <w:t>.</w:t>
      </w:r>
      <w:r w:rsidRPr="002C5A78">
        <w:rPr>
          <w:rStyle w:val="TextoNormalCaracter"/>
        </w:rPr>
        <w:t>-</w:t>
      </w:r>
      <w:r>
        <w:t xml:space="preserve"> Sentencia </w:t>
      </w:r>
      <w:hyperlink w:anchor="SENTENCIA_2021_88" w:history="1">
        <w:r w:rsidRPr="002C5A78">
          <w:rPr>
            <w:rStyle w:val="TextoNormalCaracter"/>
          </w:rPr>
          <w:t>88/2021</w:t>
        </w:r>
      </w:hyperlink>
      <w:r>
        <w:t>, f. 4.</w:t>
      </w:r>
    </w:p>
    <w:p w:rsidR="002C5A78" w:rsidRDefault="002C5A78" w:rsidP="002C5A78">
      <w:pPr>
        <w:pStyle w:val="SangriaFrancesaArticulo"/>
      </w:pPr>
      <w:r w:rsidRPr="002C5A78">
        <w:rPr>
          <w:rStyle w:val="TextoNormalNegritaCaracter"/>
        </w:rPr>
        <w:t>Disposición transitoria cuarta.</w:t>
      </w:r>
      <w:r w:rsidRPr="002C5A78">
        <w:rPr>
          <w:rStyle w:val="TextoNormalCaracter"/>
        </w:rPr>
        <w:t>-</w:t>
      </w:r>
      <w:r>
        <w:t xml:space="preserve"> Sentencia </w:t>
      </w:r>
      <w:hyperlink w:anchor="SENTENCIA_2021_88" w:history="1">
        <w:r w:rsidRPr="002C5A78">
          <w:rPr>
            <w:rStyle w:val="TextoNormalCaracter"/>
          </w:rPr>
          <w:t>88/2021</w:t>
        </w:r>
      </w:hyperlink>
      <w:r>
        <w:t>, f. 1.</w:t>
      </w:r>
    </w:p>
    <w:p w:rsidR="002C5A78" w:rsidRDefault="002C5A78" w:rsidP="002C5A78">
      <w:pPr>
        <w:pStyle w:val="SangriaFrancesaArticulo"/>
      </w:pPr>
    </w:p>
    <w:p w:rsidR="002C5A78" w:rsidRDefault="002C5A78" w:rsidP="002C5A78">
      <w:pPr>
        <w:pStyle w:val="TextoNormalNegritaCursivandice"/>
        <w:keepNext/>
      </w:pPr>
      <w:r>
        <w:t>Ley 10/1990, de 15 de octubre. Deporte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30.1.</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30.2.</w:t>
      </w:r>
      <w:r w:rsidRPr="002C5A78">
        <w:rPr>
          <w:rStyle w:val="TextoNormalCaracter"/>
        </w:rPr>
        <w:t>-</w:t>
      </w:r>
      <w:r>
        <w:t xml:space="preserve"> Sentencia </w:t>
      </w:r>
      <w:hyperlink w:anchor="SENTENCIA_2021_5" w:history="1">
        <w:r w:rsidRPr="002C5A78">
          <w:rPr>
            <w:rStyle w:val="TextoNormalCaracter"/>
          </w:rPr>
          <w:t>5/2021</w:t>
        </w:r>
      </w:hyperlink>
      <w:r>
        <w:t>, ff. 2, 5.</w:t>
      </w:r>
    </w:p>
    <w:p w:rsidR="002C5A78" w:rsidRDefault="002C5A78" w:rsidP="002C5A78">
      <w:pPr>
        <w:pStyle w:val="SangriaFrancesaArticulo"/>
      </w:pPr>
      <w:r w:rsidRPr="002C5A78">
        <w:rPr>
          <w:rStyle w:val="TextoNormalNegritaCaracter"/>
        </w:rPr>
        <w:t>Artículo 31.2.</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33.1.</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69.3 c).</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SangriaFrancesaArticulo"/>
      </w:pPr>
      <w:r w:rsidRPr="002C5A78">
        <w:rPr>
          <w:rStyle w:val="TextoNormalNegritaCaracter"/>
        </w:rPr>
        <w:t>Artículo 76.</w:t>
      </w:r>
      <w:r w:rsidRPr="002C5A78">
        <w:rPr>
          <w:rStyle w:val="TextoNormalCaracter"/>
        </w:rPr>
        <w:t>-</w:t>
      </w:r>
      <w:r>
        <w:t xml:space="preserve"> Sentencia </w:t>
      </w:r>
      <w:hyperlink w:anchor="SENTENCIA_2021_5" w:history="1">
        <w:r w:rsidRPr="002C5A78">
          <w:rPr>
            <w:rStyle w:val="TextoNormalCaracter"/>
          </w:rPr>
          <w:t>5/2021</w:t>
        </w:r>
      </w:hyperlink>
      <w:r>
        <w:t>, f. 3.</w:t>
      </w:r>
    </w:p>
    <w:p w:rsidR="002C5A78" w:rsidRDefault="002C5A78" w:rsidP="002C5A78">
      <w:pPr>
        <w:pStyle w:val="SangriaFrancesaArticulo"/>
      </w:pPr>
      <w:r w:rsidRPr="002C5A78">
        <w:rPr>
          <w:rStyle w:val="TextoNormalNegritaCaracter"/>
        </w:rPr>
        <w:t>Artículo 79.</w:t>
      </w:r>
      <w:r w:rsidRPr="002C5A78">
        <w:rPr>
          <w:rStyle w:val="TextoNormalCaracter"/>
        </w:rPr>
        <w:t>-</w:t>
      </w:r>
      <w:r>
        <w:t xml:space="preserve"> Sentencia </w:t>
      </w:r>
      <w:hyperlink w:anchor="SENTENCIA_2021_5" w:history="1">
        <w:r w:rsidRPr="002C5A78">
          <w:rPr>
            <w:rStyle w:val="TextoNormalCaracter"/>
          </w:rPr>
          <w:t>5/2021</w:t>
        </w:r>
      </w:hyperlink>
      <w:r>
        <w:t>, f. 3.</w:t>
      </w:r>
    </w:p>
    <w:p w:rsidR="002C5A78" w:rsidRDefault="002C5A78" w:rsidP="002C5A78">
      <w:pPr>
        <w:pStyle w:val="SangriaFrancesaArticulo"/>
      </w:pPr>
      <w:r w:rsidRPr="002C5A78">
        <w:rPr>
          <w:rStyle w:val="TextoNormalNegritaCaracter"/>
        </w:rPr>
        <w:t>Artículo 84.1 c).</w:t>
      </w:r>
      <w:r w:rsidRPr="002C5A78">
        <w:rPr>
          <w:rStyle w:val="TextoNormalCaracter"/>
        </w:rPr>
        <w:t>-</w:t>
      </w:r>
      <w:r>
        <w:t xml:space="preserve"> Sentencia </w:t>
      </w:r>
      <w:hyperlink w:anchor="SENTENCIA_2021_5" w:history="1">
        <w:r w:rsidRPr="002C5A78">
          <w:rPr>
            <w:rStyle w:val="TextoNormalCaracter"/>
          </w:rPr>
          <w:t>5/2021</w:t>
        </w:r>
      </w:hyperlink>
      <w:r>
        <w:t>, ff. 3, 5.</w:t>
      </w:r>
    </w:p>
    <w:p w:rsidR="002C5A78" w:rsidRDefault="002C5A78" w:rsidP="002C5A78">
      <w:pPr>
        <w:pStyle w:val="SangriaFrancesaArticulo"/>
      </w:pPr>
    </w:p>
    <w:p w:rsidR="002C5A78" w:rsidRDefault="002C5A78" w:rsidP="002C5A78">
      <w:pPr>
        <w:pStyle w:val="TextoNormalNegritaCursivandice"/>
        <w:keepNext/>
      </w:pPr>
      <w:r>
        <w:t>Ley 19/1992, de 7 de julio. Régimen de sociedades y fondos de inversión inmobiliaria y sobre fondos de titulización hipotecaria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p>
    <w:p w:rsidR="002C5A78" w:rsidRDefault="002C5A78" w:rsidP="002C5A78">
      <w:pPr>
        <w:pStyle w:val="TextoNormalNegritaCursivandice"/>
        <w:keepNext/>
      </w:pPr>
      <w:r>
        <w:t>Ley 21/1992, de 16 de julio. Industria</w:t>
      </w:r>
    </w:p>
    <w:p w:rsidR="002C5A78" w:rsidRDefault="002C5A78" w:rsidP="002C5A78">
      <w:pPr>
        <w:pStyle w:val="SangriaFrancesaArticulo"/>
      </w:pPr>
      <w:r w:rsidRPr="002C5A78">
        <w:rPr>
          <w:rStyle w:val="TextoNormalNegritaCaracter"/>
        </w:rPr>
        <w:t>Artículo 31.3 a).</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SangriaFrancesaArticulo"/>
      </w:pPr>
    </w:p>
    <w:p w:rsidR="002C5A78" w:rsidRDefault="002C5A78" w:rsidP="002C5A78">
      <w:pPr>
        <w:pStyle w:val="TextoNormalNegritaCursivandice"/>
        <w:keepNext/>
      </w:pPr>
      <w:r>
        <w:t>Ley 29/1994, de 24 de noviembre. Arrendamientos urbanos</w:t>
      </w:r>
    </w:p>
    <w:p w:rsidR="002C5A78" w:rsidRDefault="002C5A78" w:rsidP="002C5A78">
      <w:pPr>
        <w:pStyle w:val="SangriaFrancesaArticulo"/>
      </w:pPr>
      <w:r w:rsidRPr="002C5A78">
        <w:rPr>
          <w:rStyle w:val="TextoNormalNegritaCaracter"/>
        </w:rPr>
        <w:t>Artículo 9</w:t>
      </w:r>
      <w:r>
        <w:t xml:space="preserve"> (redactado por el Real Decreto-ley 7/2019, de 1 de marzo)</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p>
    <w:p w:rsidR="002C5A78" w:rsidRDefault="002C5A78" w:rsidP="002C5A78">
      <w:pPr>
        <w:pStyle w:val="TextoNormalNegritaCursivandice"/>
        <w:keepNext/>
      </w:pPr>
      <w:r>
        <w:t>Ley 19/1995, de 4 de julio. Modernización de las explotaciones agrarias</w:t>
      </w:r>
    </w:p>
    <w:p w:rsidR="002C5A78" w:rsidRDefault="002C5A78" w:rsidP="002C5A78">
      <w:pPr>
        <w:pStyle w:val="SangriaFrancesaArticulo"/>
      </w:pPr>
      <w:r w:rsidRPr="002C5A78">
        <w:rPr>
          <w:rStyle w:val="TextoNormalNegritaCaracter"/>
        </w:rPr>
        <w:t>Disposición adicional primera.</w:t>
      </w:r>
      <w:r w:rsidRPr="002C5A78">
        <w:rPr>
          <w:rStyle w:val="TextoNormalCaracter"/>
        </w:rPr>
        <w:t>-</w:t>
      </w:r>
      <w:r>
        <w:t xml:space="preserve"> Sentencia </w:t>
      </w:r>
      <w:hyperlink w:anchor="SENTENCIA_2021_112" w:history="1">
        <w:r w:rsidRPr="002C5A78">
          <w:rPr>
            <w:rStyle w:val="TextoNormalCaracter"/>
          </w:rPr>
          <w:t>112/2021</w:t>
        </w:r>
      </w:hyperlink>
      <w:r>
        <w:t>, f. 3.</w:t>
      </w:r>
    </w:p>
    <w:p w:rsidR="002C5A78" w:rsidRDefault="002C5A78" w:rsidP="002C5A78">
      <w:pPr>
        <w:pStyle w:val="SangriaFrancesaArticulo"/>
      </w:pPr>
    </w:p>
    <w:p w:rsidR="002C5A78" w:rsidRDefault="002C5A78" w:rsidP="002C5A78">
      <w:pPr>
        <w:pStyle w:val="TextoNormalNegritaCursivandice"/>
        <w:keepNext/>
      </w:pPr>
      <w:r>
        <w:t>Ley 1/1996, de 10 de enero, de asistencia jurídica gratuita</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Sentencias </w:t>
      </w:r>
      <w:hyperlink w:anchor="SENTENCIA_2021_29" w:history="1">
        <w:r w:rsidRPr="002C5A78">
          <w:rPr>
            <w:rStyle w:val="TextoNormalCaracter"/>
          </w:rPr>
          <w:t>29/2021</w:t>
        </w:r>
      </w:hyperlink>
      <w:r>
        <w:t xml:space="preserve">, f. 4;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29" w:history="1">
        <w:r w:rsidRPr="002C5A78">
          <w:rPr>
            <w:rStyle w:val="TextoNormalCaracter"/>
          </w:rPr>
          <w:t>29/2021</w:t>
        </w:r>
      </w:hyperlink>
      <w:r>
        <w:t>, f. 4.</w:t>
      </w:r>
    </w:p>
    <w:p w:rsidR="002C5A78" w:rsidRDefault="002C5A78" w:rsidP="002C5A78">
      <w:pPr>
        <w:pStyle w:val="SangriaFrancesaArticulo"/>
      </w:pPr>
      <w:r w:rsidRPr="002C5A78">
        <w:rPr>
          <w:rStyle w:val="TextoNormalNegritaCaracter"/>
        </w:rPr>
        <w:t>Artículo 36.</w:t>
      </w:r>
      <w:r w:rsidRPr="002C5A78">
        <w:rPr>
          <w:rStyle w:val="TextoNormalCaracter"/>
        </w:rPr>
        <w:t>-</w:t>
      </w:r>
      <w:r>
        <w:t xml:space="preserve"> Sentencia </w:t>
      </w:r>
      <w:hyperlink w:anchor="SENTENCIA_2021_29" w:history="1">
        <w:r w:rsidRPr="002C5A78">
          <w:rPr>
            <w:rStyle w:val="TextoNormalCaracter"/>
          </w:rPr>
          <w:t>29/2021</w:t>
        </w:r>
      </w:hyperlink>
      <w:r>
        <w:t>, f. 4.</w:t>
      </w:r>
    </w:p>
    <w:p w:rsidR="002C5A78" w:rsidRDefault="002C5A78" w:rsidP="002C5A78">
      <w:pPr>
        <w:pStyle w:val="SangriaFrancesaArticulo"/>
      </w:pPr>
      <w:r w:rsidRPr="002C5A78">
        <w:rPr>
          <w:rStyle w:val="TextoNormalNegritaCaracter"/>
        </w:rPr>
        <w:t>Artículo 36.2.</w:t>
      </w:r>
      <w:r w:rsidRPr="002C5A78">
        <w:rPr>
          <w:rStyle w:val="TextoNormalCaracter"/>
        </w:rPr>
        <w:t>-</w:t>
      </w:r>
      <w:r>
        <w:t xml:space="preserve"> Sentencia </w:t>
      </w:r>
      <w:hyperlink w:anchor="SENTENCIA_2021_29" w:history="1">
        <w:r w:rsidRPr="002C5A78">
          <w:rPr>
            <w:rStyle w:val="TextoNormalCaracter"/>
          </w:rPr>
          <w:t>29/2021</w:t>
        </w:r>
      </w:hyperlink>
      <w:r>
        <w:t>, f. 4.</w:t>
      </w:r>
    </w:p>
    <w:p w:rsidR="002C5A78" w:rsidRDefault="002C5A78" w:rsidP="002C5A78">
      <w:pPr>
        <w:pStyle w:val="SangriaFrancesaArticulo"/>
      </w:pPr>
      <w:r w:rsidRPr="002C5A78">
        <w:rPr>
          <w:rStyle w:val="TextoNormalNegritaCaracter"/>
        </w:rPr>
        <w:t>Artículo 36.3.</w:t>
      </w:r>
      <w:r w:rsidRPr="002C5A78">
        <w:rPr>
          <w:rStyle w:val="TextoNormalCaracter"/>
        </w:rPr>
        <w:t>-</w:t>
      </w:r>
      <w:r>
        <w:t xml:space="preserve"> Sentencia </w:t>
      </w:r>
      <w:hyperlink w:anchor="SENTENCIA_2021_29" w:history="1">
        <w:r w:rsidRPr="002C5A78">
          <w:rPr>
            <w:rStyle w:val="TextoNormalCaracter"/>
          </w:rPr>
          <w:t>29/2021</w:t>
        </w:r>
      </w:hyperlink>
      <w:r>
        <w:t>, f. 4.</w:t>
      </w:r>
    </w:p>
    <w:p w:rsidR="002C5A78" w:rsidRDefault="002C5A78" w:rsidP="002C5A78">
      <w:pPr>
        <w:pStyle w:val="SangriaFrancesaArticulo"/>
      </w:pPr>
    </w:p>
    <w:p w:rsidR="002C5A78" w:rsidRDefault="002C5A78" w:rsidP="002C5A78">
      <w:pPr>
        <w:pStyle w:val="TextoNormalNegritaCursivandice"/>
        <w:keepNext/>
      </w:pPr>
      <w:r>
        <w:t>Ley 50/1997, de 27 de noviembre. Gobierno</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10" w:history="1">
        <w:r w:rsidRPr="002C5A78">
          <w:rPr>
            <w:rStyle w:val="TextoNormalCaracter"/>
          </w:rPr>
          <w:t>110/2021</w:t>
        </w:r>
      </w:hyperlink>
      <w:r>
        <w:t>, VP.</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10" w:history="1">
        <w:r w:rsidRPr="002C5A78">
          <w:rPr>
            <w:rStyle w:val="TextoNormalCaracter"/>
          </w:rPr>
          <w:t>110/2021</w:t>
        </w:r>
      </w:hyperlink>
      <w:r>
        <w:t>, VP.</w:t>
      </w:r>
    </w:p>
    <w:p w:rsidR="002C5A78" w:rsidRDefault="002C5A78" w:rsidP="002C5A78">
      <w:pPr>
        <w:pStyle w:val="SangriaFrancesaArticulo"/>
      </w:pPr>
      <w:r w:rsidRPr="002C5A78">
        <w:rPr>
          <w:rStyle w:val="TextoNormalNegritaCaracter"/>
        </w:rPr>
        <w:t>Artículo 2.2 j).</w:t>
      </w:r>
      <w:r w:rsidRPr="002C5A78">
        <w:rPr>
          <w:rStyle w:val="TextoNormalCaracter"/>
        </w:rPr>
        <w:t>-</w:t>
      </w:r>
      <w:r>
        <w:t xml:space="preserve"> Sentencia </w:t>
      </w:r>
      <w:hyperlink w:anchor="SENTENCIA_2021_111" w:history="1">
        <w:r w:rsidRPr="002C5A78">
          <w:rPr>
            <w:rStyle w:val="TextoNormalCaracter"/>
          </w:rPr>
          <w:t>111/2021</w:t>
        </w:r>
      </w:hyperlink>
      <w:r>
        <w:t>, VP.</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10" w:history="1">
        <w:r w:rsidRPr="002C5A78">
          <w:rPr>
            <w:rStyle w:val="TextoNormalCaracter"/>
          </w:rPr>
          <w:t>110/2021</w:t>
        </w:r>
      </w:hyperlink>
      <w:r>
        <w:t>, f. 3, VP.</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110" w:history="1">
        <w:r w:rsidRPr="002C5A78">
          <w:rPr>
            <w:rStyle w:val="TextoNormalCaracter"/>
          </w:rPr>
          <w:t>110/2021</w:t>
        </w:r>
      </w:hyperlink>
      <w:r>
        <w:t>, f. 9.</w:t>
      </w:r>
    </w:p>
    <w:p w:rsidR="002C5A78" w:rsidRDefault="002C5A78" w:rsidP="002C5A78">
      <w:pPr>
        <w:pStyle w:val="SangriaFrancesaArticulo"/>
      </w:pPr>
    </w:p>
    <w:p w:rsidR="002C5A78" w:rsidRDefault="002C5A78" w:rsidP="002C5A78">
      <w:pPr>
        <w:pStyle w:val="TextoNormalNegritaCursivandice"/>
        <w:keepNext/>
      </w:pPr>
      <w:r>
        <w:t>Ley 66/1997, de 30 de diciembre, de medidas fiscales, administrativas y del orden social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p>
    <w:p w:rsidR="002C5A78" w:rsidRDefault="002C5A78" w:rsidP="002C5A78">
      <w:pPr>
        <w:pStyle w:val="TextoNormalNegritaCursivandice"/>
        <w:keepNext/>
      </w:pPr>
      <w:r>
        <w:t>Ley 29/1998, de 13 de julio, reguladora de la jurisdicción contencioso-administrativa</w:t>
      </w:r>
    </w:p>
    <w:p w:rsidR="002C5A78" w:rsidRDefault="002C5A78" w:rsidP="002C5A78">
      <w:pPr>
        <w:pStyle w:val="SangriaFrancesaArticulo"/>
      </w:pPr>
      <w:r w:rsidRPr="002C5A78">
        <w:rPr>
          <w:rStyle w:val="TextoNormalNegritaCaracter"/>
        </w:rPr>
        <w:t>Artículo 19 h).</w:t>
      </w:r>
      <w:r w:rsidRPr="002C5A78">
        <w:rPr>
          <w:rStyle w:val="TextoNormalCaracter"/>
        </w:rPr>
        <w:t>-</w:t>
      </w:r>
      <w:r>
        <w:t xml:space="preserve"> Sentencia </w:t>
      </w:r>
      <w:hyperlink w:anchor="SENTENCIA_2021_15" w:history="1">
        <w:r w:rsidRPr="002C5A78">
          <w:rPr>
            <w:rStyle w:val="TextoNormalCaracter"/>
          </w:rPr>
          <w:t>15/2021</w:t>
        </w:r>
      </w:hyperlink>
      <w:r>
        <w:t>, f. 4.</w:t>
      </w:r>
    </w:p>
    <w:p w:rsidR="002C5A78" w:rsidRDefault="002C5A78" w:rsidP="002C5A78">
      <w:pPr>
        <w:pStyle w:val="SangriaFrancesaArticulo"/>
      </w:pPr>
      <w:r w:rsidRPr="002C5A78">
        <w:rPr>
          <w:rStyle w:val="TextoNormalNegritaCaracter"/>
        </w:rPr>
        <w:t>Artículo 19.1 a).</w:t>
      </w:r>
      <w:r w:rsidRPr="002C5A78">
        <w:rPr>
          <w:rStyle w:val="TextoNormalCaracter"/>
        </w:rPr>
        <w:t>-</w:t>
      </w:r>
      <w:r>
        <w:t xml:space="preserve"> Sentencia </w:t>
      </w:r>
      <w:hyperlink w:anchor="SENTENCIA_2021_15" w:history="1">
        <w:r w:rsidRPr="002C5A78">
          <w:rPr>
            <w:rStyle w:val="TextoNormalCaracter"/>
          </w:rPr>
          <w:t>15/2021</w:t>
        </w:r>
      </w:hyperlink>
      <w:r>
        <w:t>, f. 3.</w:t>
      </w:r>
    </w:p>
    <w:p w:rsidR="002C5A78" w:rsidRDefault="002C5A78" w:rsidP="002C5A78">
      <w:pPr>
        <w:pStyle w:val="SangriaFrancesaArticulo"/>
      </w:pPr>
      <w:r w:rsidRPr="002C5A78">
        <w:rPr>
          <w:rStyle w:val="TextoNormalNegritaCaracter"/>
        </w:rPr>
        <w:t>Artículo 85.1.</w:t>
      </w:r>
      <w:r w:rsidRPr="002C5A78">
        <w:rPr>
          <w:rStyle w:val="TextoNormalCaracter"/>
        </w:rPr>
        <w:t>-</w:t>
      </w:r>
      <w:r>
        <w:t xml:space="preserve"> Sentencia </w:t>
      </w:r>
      <w:hyperlink w:anchor="SENTENCIA_2021_96" w:history="1">
        <w:r w:rsidRPr="002C5A78">
          <w:rPr>
            <w:rStyle w:val="TextoNormalCaracter"/>
          </w:rPr>
          <w:t>96/2021</w:t>
        </w:r>
      </w:hyperlink>
      <w:r>
        <w:t>, f. único.</w:t>
      </w:r>
    </w:p>
    <w:p w:rsidR="002C5A78" w:rsidRDefault="002C5A78" w:rsidP="002C5A78">
      <w:pPr>
        <w:pStyle w:val="SangriaFrancesaArticulo"/>
      </w:pPr>
      <w:r w:rsidRPr="002C5A78">
        <w:rPr>
          <w:rStyle w:val="TextoNormalNegritaCaracter"/>
        </w:rPr>
        <w:t>Artículo 86.</w:t>
      </w:r>
      <w:r w:rsidRPr="002C5A78">
        <w:rPr>
          <w:rStyle w:val="TextoNormalCaracter"/>
        </w:rPr>
        <w:t>-</w:t>
      </w:r>
      <w:r>
        <w:t xml:space="preserve"> Sentencia </w:t>
      </w:r>
      <w:hyperlink w:anchor="SENTENCIA_2021_11" w:history="1">
        <w:r w:rsidRPr="002C5A78">
          <w:rPr>
            <w:rStyle w:val="TextoNormalCaracter"/>
          </w:rPr>
          <w:t>11/2021</w:t>
        </w:r>
      </w:hyperlink>
      <w:r>
        <w:t>, f. único.</w:t>
      </w:r>
    </w:p>
    <w:p w:rsidR="002C5A78" w:rsidRDefault="002C5A78" w:rsidP="002C5A78">
      <w:pPr>
        <w:pStyle w:val="SangriaFrancesaArticulo"/>
      </w:pPr>
      <w:r w:rsidRPr="002C5A78">
        <w:rPr>
          <w:rStyle w:val="TextoNormalNegritaCaracter"/>
        </w:rPr>
        <w:t>Artículo 86.3.</w:t>
      </w:r>
      <w:r w:rsidRPr="002C5A78">
        <w:rPr>
          <w:rStyle w:val="TextoNormalCaracter"/>
        </w:rPr>
        <w:t>-</w:t>
      </w:r>
      <w:r>
        <w:t xml:space="preserve"> Sentencia </w:t>
      </w:r>
      <w:hyperlink w:anchor="SENTENCIA_2021_11" w:history="1">
        <w:r w:rsidRPr="002C5A78">
          <w:rPr>
            <w:rStyle w:val="TextoNormalCaracter"/>
          </w:rPr>
          <w:t>11/2021</w:t>
        </w:r>
      </w:hyperlink>
      <w:r>
        <w:t>, VP I.</w:t>
      </w:r>
    </w:p>
    <w:p w:rsidR="002C5A78" w:rsidRDefault="002C5A78" w:rsidP="002C5A78">
      <w:pPr>
        <w:pStyle w:val="SangriaFrancesaArticulo"/>
      </w:pPr>
      <w:r w:rsidRPr="002C5A78">
        <w:rPr>
          <w:rStyle w:val="TextoNormalNegritaCaracter"/>
        </w:rPr>
        <w:t>Artículo 86.3</w:t>
      </w:r>
      <w:r>
        <w:t xml:space="preserve"> (redactado por la Ley Orgánica 7/2015, de 21 de julio)</w:t>
      </w:r>
      <w:r w:rsidRPr="002C5A78">
        <w:rPr>
          <w:rStyle w:val="TextoNormalNegritaCaracter"/>
        </w:rPr>
        <w:t>.</w:t>
      </w:r>
      <w:r w:rsidRPr="002C5A78">
        <w:rPr>
          <w:rStyle w:val="TextoNormalCaracter"/>
        </w:rPr>
        <w:t>-</w:t>
      </w:r>
      <w:r>
        <w:t xml:space="preserve"> Sentencia </w:t>
      </w:r>
      <w:hyperlink w:anchor="SENTENCIA_2021_11" w:history="1">
        <w:r w:rsidRPr="002C5A78">
          <w:rPr>
            <w:rStyle w:val="TextoNormalCaracter"/>
          </w:rPr>
          <w:t>11/2021</w:t>
        </w:r>
      </w:hyperlink>
      <w:r>
        <w:t>, f. único.</w:t>
      </w:r>
    </w:p>
    <w:p w:rsidR="002C5A78" w:rsidRDefault="002C5A78" w:rsidP="002C5A78">
      <w:pPr>
        <w:pStyle w:val="SangriaFrancesaArticulo"/>
      </w:pPr>
      <w:r w:rsidRPr="002C5A78">
        <w:rPr>
          <w:rStyle w:val="TextoNormalNegritaCaracter"/>
        </w:rPr>
        <w:t>Artículo 89.2.</w:t>
      </w:r>
      <w:r w:rsidRPr="002C5A78">
        <w:rPr>
          <w:rStyle w:val="TextoNormalCaracter"/>
        </w:rPr>
        <w:t>-</w:t>
      </w:r>
      <w:r>
        <w:t xml:space="preserve"> Auto </w:t>
      </w:r>
      <w:hyperlink w:anchor="AUTO_2021_54" w:history="1">
        <w:r w:rsidRPr="002C5A78">
          <w:rPr>
            <w:rStyle w:val="TextoNormalCaracter"/>
          </w:rPr>
          <w:t>54/2021</w:t>
        </w:r>
      </w:hyperlink>
      <w:r>
        <w:t>, f. 2.</w:t>
      </w:r>
    </w:p>
    <w:p w:rsidR="002C5A78" w:rsidRDefault="002C5A78" w:rsidP="002C5A78">
      <w:pPr>
        <w:pStyle w:val="SangriaFrancesaArticulo"/>
      </w:pPr>
      <w:r w:rsidRPr="002C5A78">
        <w:rPr>
          <w:rStyle w:val="TextoNormalNegritaCaracter"/>
        </w:rPr>
        <w:t>Artículo 102 bis.2.</w:t>
      </w:r>
      <w:r w:rsidRPr="002C5A78">
        <w:rPr>
          <w:rStyle w:val="TextoNormalCaracter"/>
        </w:rPr>
        <w:t>-</w:t>
      </w:r>
      <w:r>
        <w:t xml:space="preserve"> Sentencia </w:t>
      </w:r>
      <w:hyperlink w:anchor="SENTENCIA_2021_54" w:history="1">
        <w:r w:rsidRPr="002C5A78">
          <w:rPr>
            <w:rStyle w:val="TextoNormalCaracter"/>
          </w:rPr>
          <w:t>54/2021</w:t>
        </w:r>
      </w:hyperlink>
      <w:r>
        <w:t>, f. 1.</w:t>
      </w:r>
    </w:p>
    <w:p w:rsidR="002C5A78" w:rsidRDefault="002C5A78" w:rsidP="002C5A78">
      <w:pPr>
        <w:pStyle w:val="SangriaFrancesaArticulo"/>
      </w:pPr>
    </w:p>
    <w:p w:rsidR="002C5A78" w:rsidRDefault="002C5A78" w:rsidP="002C5A78">
      <w:pPr>
        <w:pStyle w:val="TextoNormalNegritaCursivandice"/>
        <w:keepNext/>
      </w:pPr>
      <w:r>
        <w:t>Ley 39/1999, de 5 de noviembre. Promoción de la conciliación de la vida familiar y laboral de las personas trabajadoras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9" w:history="1">
        <w:r w:rsidRPr="002C5A78">
          <w:rPr>
            <w:rStyle w:val="TextoNormalCaracter"/>
          </w:rPr>
          <w:t>119/2021</w:t>
        </w:r>
      </w:hyperlink>
      <w:r>
        <w:t>, f. 3.</w:t>
      </w:r>
    </w:p>
    <w:p w:rsidR="002C5A78" w:rsidRDefault="002C5A78" w:rsidP="002C5A78">
      <w:pPr>
        <w:pStyle w:val="SangriaFrancesaArticulo"/>
      </w:pPr>
    </w:p>
    <w:p w:rsidR="002C5A78" w:rsidRDefault="002C5A78" w:rsidP="002C5A78">
      <w:pPr>
        <w:pStyle w:val="TextoNormalNegritaCursivandice"/>
        <w:keepNext/>
      </w:pPr>
      <w:r>
        <w:t>Ley 1/2000, de 7 de enero. Enjuiciamiento civil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5" w:history="1">
        <w:r w:rsidRPr="002C5A78">
          <w:rPr>
            <w:rStyle w:val="TextoNormalCaracter"/>
          </w:rPr>
          <w:t>25/2021</w:t>
        </w:r>
      </w:hyperlink>
      <w:r>
        <w:t xml:space="preserve">, f. 2; </w:t>
      </w:r>
      <w:hyperlink w:anchor="SENTENCIA_2021_26" w:history="1">
        <w:r w:rsidRPr="002C5A78">
          <w:rPr>
            <w:rStyle w:val="TextoNormalCaracter"/>
          </w:rPr>
          <w:t>26/2021</w:t>
        </w:r>
      </w:hyperlink>
      <w:r>
        <w:t xml:space="preserve">, f. único; </w:t>
      </w:r>
      <w:hyperlink w:anchor="SENTENCIA_2021_28" w:history="1">
        <w:r w:rsidRPr="002C5A78">
          <w:rPr>
            <w:rStyle w:val="TextoNormalCaracter"/>
          </w:rPr>
          <w:t>28/2021</w:t>
        </w:r>
      </w:hyperlink>
      <w:r>
        <w:t xml:space="preserve">, f. único; </w:t>
      </w:r>
      <w:hyperlink w:anchor="SENTENCIA_2021_32" w:history="1">
        <w:r w:rsidRPr="002C5A78">
          <w:rPr>
            <w:rStyle w:val="TextoNormalCaracter"/>
          </w:rPr>
          <w:t>32/2021</w:t>
        </w:r>
      </w:hyperlink>
      <w:r>
        <w:t xml:space="preserve">, f. único; </w:t>
      </w:r>
      <w:hyperlink w:anchor="SENTENCIA_2021_43" w:history="1">
        <w:r w:rsidRPr="002C5A78">
          <w:rPr>
            <w:rStyle w:val="TextoNormalCaracter"/>
          </w:rPr>
          <w:t>43/2021</w:t>
        </w:r>
      </w:hyperlink>
      <w:r>
        <w:t xml:space="preserve">, ff. 2, 4; </w:t>
      </w:r>
      <w:hyperlink w:anchor="SENTENCIA_2021_46" w:history="1">
        <w:r w:rsidRPr="002C5A78">
          <w:rPr>
            <w:rStyle w:val="TextoNormalCaracter"/>
          </w:rPr>
          <w:t>46/2021</w:t>
        </w:r>
      </w:hyperlink>
      <w:r>
        <w:t xml:space="preserve">, f. único; </w:t>
      </w:r>
      <w:hyperlink w:anchor="SENTENCIA_2021_47" w:history="1">
        <w:r w:rsidRPr="002C5A78">
          <w:rPr>
            <w:rStyle w:val="TextoNormalCaracter"/>
          </w:rPr>
          <w:t>47/2021</w:t>
        </w:r>
      </w:hyperlink>
      <w:r>
        <w:t xml:space="preserve">, f. único; </w:t>
      </w:r>
      <w:hyperlink w:anchor="SENTENCIA_2021_48" w:history="1">
        <w:r w:rsidRPr="002C5A78">
          <w:rPr>
            <w:rStyle w:val="TextoNormalCaracter"/>
          </w:rPr>
          <w:t>48/2021</w:t>
        </w:r>
      </w:hyperlink>
      <w:r>
        <w:t xml:space="preserve">, ff. 2, 3; </w:t>
      </w:r>
      <w:hyperlink w:anchor="SENTENCIA_2021_52" w:history="1">
        <w:r w:rsidRPr="002C5A78">
          <w:rPr>
            <w:rStyle w:val="TextoNormalCaracter"/>
          </w:rPr>
          <w:t>52/2021</w:t>
        </w:r>
      </w:hyperlink>
      <w:r>
        <w:t xml:space="preserve">, f. 2; </w:t>
      </w:r>
      <w:hyperlink w:anchor="SENTENCIA_2021_55" w:history="1">
        <w:r w:rsidRPr="002C5A78">
          <w:rPr>
            <w:rStyle w:val="TextoNormalCaracter"/>
          </w:rPr>
          <w:t>55/2021</w:t>
        </w:r>
      </w:hyperlink>
      <w:r>
        <w:t xml:space="preserve">, f. 3; </w:t>
      </w:r>
      <w:hyperlink w:anchor="SENTENCIA_2021_58" w:history="1">
        <w:r w:rsidRPr="002C5A78">
          <w:rPr>
            <w:rStyle w:val="TextoNormalCaracter"/>
          </w:rPr>
          <w:t>58/2021</w:t>
        </w:r>
      </w:hyperlink>
      <w:r>
        <w:t xml:space="preserve">, f. único; </w:t>
      </w:r>
      <w:hyperlink w:anchor="SENTENCIA_2021_59" w:history="1">
        <w:r w:rsidRPr="002C5A78">
          <w:rPr>
            <w:rStyle w:val="TextoNormalCaracter"/>
          </w:rPr>
          <w:t>59/2021</w:t>
        </w:r>
      </w:hyperlink>
      <w:r>
        <w:t xml:space="preserve">, f. único; </w:t>
      </w:r>
      <w:hyperlink w:anchor="SENTENCIA_2021_64" w:history="1">
        <w:r w:rsidRPr="002C5A78">
          <w:rPr>
            <w:rStyle w:val="TextoNormalCaracter"/>
          </w:rPr>
          <w:t>64/2021</w:t>
        </w:r>
      </w:hyperlink>
      <w:r>
        <w:t xml:space="preserve">, ff. 1, 3; </w:t>
      </w:r>
      <w:hyperlink w:anchor="SENTENCIA_2021_94" w:history="1">
        <w:r w:rsidRPr="002C5A78">
          <w:rPr>
            <w:rStyle w:val="TextoNormalCaracter"/>
          </w:rPr>
          <w:t>94/2021</w:t>
        </w:r>
      </w:hyperlink>
      <w:r>
        <w:t xml:space="preserve">, f. 3; </w:t>
      </w:r>
      <w:hyperlink w:anchor="SENTENCIA_2021_100" w:history="1">
        <w:r w:rsidRPr="002C5A78">
          <w:rPr>
            <w:rStyle w:val="TextoNormalCaracter"/>
          </w:rPr>
          <w:t>100/2021</w:t>
        </w:r>
      </w:hyperlink>
      <w:r>
        <w:t xml:space="preserve">, f. único; </w:t>
      </w:r>
      <w:hyperlink w:anchor="SENTENCIA_2021_115" w:history="1">
        <w:r w:rsidRPr="002C5A78">
          <w:rPr>
            <w:rStyle w:val="TextoNormalCaracter"/>
          </w:rPr>
          <w:t>115/2021</w:t>
        </w:r>
      </w:hyperlink>
      <w:r>
        <w:t>, ff. 1, 2.</w:t>
      </w:r>
    </w:p>
    <w:p w:rsidR="002C5A78" w:rsidRDefault="002C5A78" w:rsidP="002C5A78">
      <w:pPr>
        <w:pStyle w:val="SangriaFrancesaArticulo"/>
      </w:pPr>
      <w:r w:rsidRPr="002C5A78">
        <w:rPr>
          <w:rStyle w:val="TextoNormalNegritaCaracter"/>
        </w:rPr>
        <w:t>Capítulo IV.</w:t>
      </w:r>
      <w:r w:rsidRPr="002C5A78">
        <w:rPr>
          <w:rStyle w:val="TextoNormalCaracter"/>
        </w:rPr>
        <w:t>-</w:t>
      </w:r>
      <w:r>
        <w:t xml:space="preserve"> Sentencia </w:t>
      </w:r>
      <w:hyperlink w:anchor="SENTENCIA_2021_55" w:history="1">
        <w:r w:rsidRPr="002C5A78">
          <w:rPr>
            <w:rStyle w:val="TextoNormalCaracter"/>
          </w:rPr>
          <w:t>55/2021</w:t>
        </w:r>
      </w:hyperlink>
      <w:r>
        <w:t>, f. 3.</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55" w:history="1">
        <w:r w:rsidRPr="002C5A78">
          <w:rPr>
            <w:rStyle w:val="TextoNormalCaracter"/>
          </w:rPr>
          <w:t>55/2021</w:t>
        </w:r>
      </w:hyperlink>
      <w:r>
        <w:t>, f. 3.</w:t>
      </w:r>
    </w:p>
    <w:p w:rsidR="002C5A78" w:rsidRDefault="002C5A78" w:rsidP="002C5A78">
      <w:pPr>
        <w:pStyle w:val="SangriaFrancesaArticulo"/>
      </w:pPr>
      <w:r w:rsidRPr="002C5A78">
        <w:rPr>
          <w:rStyle w:val="TextoNormalNegritaCaracter"/>
        </w:rPr>
        <w:t>Artículo 19.1.</w:t>
      </w:r>
      <w:r w:rsidRPr="002C5A78">
        <w:rPr>
          <w:rStyle w:val="TextoNormalCaracter"/>
        </w:rPr>
        <w:t>-</w:t>
      </w:r>
      <w:r>
        <w:t xml:space="preserve"> Autos </w:t>
      </w:r>
      <w:hyperlink w:anchor="AUTO_2021_38" w:history="1">
        <w:r w:rsidRPr="002C5A78">
          <w:rPr>
            <w:rStyle w:val="TextoNormalCaracter"/>
          </w:rPr>
          <w:t>38/2021</w:t>
        </w:r>
      </w:hyperlink>
      <w:r>
        <w:t xml:space="preserve">, f. único; </w:t>
      </w:r>
      <w:hyperlink w:anchor="AUTO_2021_63" w:history="1">
        <w:r w:rsidRPr="002C5A78">
          <w:rPr>
            <w:rStyle w:val="TextoNormalCaracter"/>
          </w:rPr>
          <w:t>63/2021</w:t>
        </w:r>
      </w:hyperlink>
      <w:r>
        <w:t xml:space="preserve">, f. único; </w:t>
      </w:r>
      <w:hyperlink w:anchor="AUTO_2021_68" w:history="1">
        <w:r w:rsidRPr="002C5A78">
          <w:rPr>
            <w:rStyle w:val="TextoNormalCaracter"/>
          </w:rPr>
          <w:t>68/2021</w:t>
        </w:r>
      </w:hyperlink>
      <w:r>
        <w:t>, f. único.</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55" w:history="1">
        <w:r w:rsidRPr="002C5A78">
          <w:rPr>
            <w:rStyle w:val="TextoNormalCaracter"/>
          </w:rPr>
          <w:t>55/2021</w:t>
        </w:r>
      </w:hyperlink>
      <w:r>
        <w:t>, f. 3.</w:t>
      </w:r>
    </w:p>
    <w:p w:rsidR="002C5A78" w:rsidRDefault="002C5A78" w:rsidP="002C5A78">
      <w:pPr>
        <w:pStyle w:val="SangriaFrancesaArticulo"/>
      </w:pPr>
      <w:r w:rsidRPr="002C5A78">
        <w:rPr>
          <w:rStyle w:val="TextoNormalNegritaCaracter"/>
        </w:rPr>
        <w:t>Artículo 20.2.</w:t>
      </w:r>
      <w:r w:rsidRPr="002C5A78">
        <w:rPr>
          <w:rStyle w:val="TextoNormalCaracter"/>
        </w:rPr>
        <w:t>-</w:t>
      </w:r>
      <w:r>
        <w:t xml:space="preserve"> Autos </w:t>
      </w:r>
      <w:hyperlink w:anchor="AUTO_2021_38" w:history="1">
        <w:r w:rsidRPr="002C5A78">
          <w:rPr>
            <w:rStyle w:val="TextoNormalCaracter"/>
          </w:rPr>
          <w:t>38/2021</w:t>
        </w:r>
      </w:hyperlink>
      <w:r>
        <w:t xml:space="preserve">, f. único; </w:t>
      </w:r>
      <w:hyperlink w:anchor="AUTO_2021_63" w:history="1">
        <w:r w:rsidRPr="002C5A78">
          <w:rPr>
            <w:rStyle w:val="TextoNormalCaracter"/>
          </w:rPr>
          <w:t>63/2021</w:t>
        </w:r>
      </w:hyperlink>
      <w:r>
        <w:t xml:space="preserve">, f. único; </w:t>
      </w:r>
      <w:hyperlink w:anchor="AUTO_2021_68" w:history="1">
        <w:r w:rsidRPr="002C5A78">
          <w:rPr>
            <w:rStyle w:val="TextoNormalCaracter"/>
          </w:rPr>
          <w:t>68/2021</w:t>
        </w:r>
      </w:hyperlink>
      <w:r>
        <w:t>, f. único.</w:t>
      </w:r>
    </w:p>
    <w:p w:rsidR="002C5A78" w:rsidRDefault="002C5A78" w:rsidP="002C5A78">
      <w:pPr>
        <w:pStyle w:val="SangriaFrancesaArticulo"/>
      </w:pPr>
      <w:r w:rsidRPr="002C5A78">
        <w:rPr>
          <w:rStyle w:val="TextoNormalNegritaCaracter"/>
        </w:rPr>
        <w:t>Artículo 20.3.</w:t>
      </w:r>
      <w:r w:rsidRPr="002C5A78">
        <w:rPr>
          <w:rStyle w:val="TextoNormalCaracter"/>
        </w:rPr>
        <w:t>-</w:t>
      </w:r>
      <w:r>
        <w:t xml:space="preserve"> Autos </w:t>
      </w:r>
      <w:hyperlink w:anchor="AUTO_2021_38" w:history="1">
        <w:r w:rsidRPr="002C5A78">
          <w:rPr>
            <w:rStyle w:val="TextoNormalCaracter"/>
          </w:rPr>
          <w:t>38/2021</w:t>
        </w:r>
      </w:hyperlink>
      <w:r>
        <w:t xml:space="preserve">, f. único; </w:t>
      </w:r>
      <w:hyperlink w:anchor="AUTO_2021_63" w:history="1">
        <w:r w:rsidRPr="002C5A78">
          <w:rPr>
            <w:rStyle w:val="TextoNormalCaracter"/>
          </w:rPr>
          <w:t>63/2021</w:t>
        </w:r>
      </w:hyperlink>
      <w:r>
        <w:t>, f. único.</w:t>
      </w:r>
    </w:p>
    <w:p w:rsidR="002C5A78" w:rsidRDefault="002C5A78" w:rsidP="002C5A78">
      <w:pPr>
        <w:pStyle w:val="SangriaFrancesaArticulo"/>
      </w:pPr>
      <w:r w:rsidRPr="002C5A78">
        <w:rPr>
          <w:rStyle w:val="TextoNormalNegritaCaracter"/>
        </w:rPr>
        <w:t>Artículo 25.2.1.</w:t>
      </w:r>
      <w:r w:rsidRPr="002C5A78">
        <w:rPr>
          <w:rStyle w:val="TextoNormalCaracter"/>
        </w:rPr>
        <w:t>-</w:t>
      </w:r>
      <w:r>
        <w:t xml:space="preserve"> Auto </w:t>
      </w:r>
      <w:hyperlink w:anchor="AUTO_2021_38" w:history="1">
        <w:r w:rsidRPr="002C5A78">
          <w:rPr>
            <w:rStyle w:val="TextoNormalCaracter"/>
          </w:rPr>
          <w:t>38/2021</w:t>
        </w:r>
      </w:hyperlink>
      <w:r>
        <w:t>, f. único.</w:t>
      </w:r>
    </w:p>
    <w:p w:rsidR="002C5A78" w:rsidRDefault="002C5A78" w:rsidP="002C5A78">
      <w:pPr>
        <w:pStyle w:val="SangriaFrancesaArticulo"/>
      </w:pPr>
      <w:r w:rsidRPr="002C5A78">
        <w:rPr>
          <w:rStyle w:val="TextoNormalNegritaCaracter"/>
        </w:rPr>
        <w:t>Artículo 26.</w:t>
      </w:r>
      <w:r w:rsidRPr="002C5A78">
        <w:rPr>
          <w:rStyle w:val="TextoNormalCaracter"/>
        </w:rPr>
        <w:t>-</w:t>
      </w:r>
      <w:r>
        <w:t xml:space="preserve"> Sentencia </w:t>
      </w:r>
      <w:hyperlink w:anchor="SENTENCIA_2021_79" w:history="1">
        <w:r w:rsidRPr="002C5A78">
          <w:rPr>
            <w:rStyle w:val="TextoNormalCaracter"/>
          </w:rPr>
          <w:t>79/2021</w:t>
        </w:r>
      </w:hyperlink>
      <w:r>
        <w:t>, f. 4.</w:t>
      </w:r>
    </w:p>
    <w:p w:rsidR="002C5A78" w:rsidRDefault="002C5A78" w:rsidP="002C5A78">
      <w:pPr>
        <w:pStyle w:val="SangriaFrancesaArticulo"/>
      </w:pPr>
      <w:r w:rsidRPr="002C5A78">
        <w:rPr>
          <w:rStyle w:val="TextoNormalNegritaCaracter"/>
        </w:rPr>
        <w:t>Artículo 84.1.</w:t>
      </w:r>
      <w:r w:rsidRPr="002C5A78">
        <w:rPr>
          <w:rStyle w:val="TextoNormalCaracter"/>
        </w:rPr>
        <w:t>-</w:t>
      </w:r>
      <w:r>
        <w:t xml:space="preserve"> Autos </w:t>
      </w:r>
      <w:hyperlink w:anchor="AUTO_2021_13" w:history="1">
        <w:r w:rsidRPr="002C5A78">
          <w:rPr>
            <w:rStyle w:val="TextoNormalCaracter"/>
          </w:rPr>
          <w:t>13/2021</w:t>
        </w:r>
      </w:hyperlink>
      <w:r>
        <w:t xml:space="preserve">, f. único; </w:t>
      </w:r>
      <w:hyperlink w:anchor="AUTO_2021_25" w:history="1">
        <w:r w:rsidRPr="002C5A78">
          <w:rPr>
            <w:rStyle w:val="TextoNormalCaracter"/>
          </w:rPr>
          <w:t>25/2021</w:t>
        </w:r>
      </w:hyperlink>
      <w:r>
        <w:t>, f. único.</w:t>
      </w:r>
    </w:p>
    <w:p w:rsidR="002C5A78" w:rsidRDefault="002C5A78" w:rsidP="002C5A78">
      <w:pPr>
        <w:pStyle w:val="SangriaFrancesaArticulo"/>
      </w:pPr>
      <w:r w:rsidRPr="002C5A78">
        <w:rPr>
          <w:rStyle w:val="TextoNormalNegritaCaracter"/>
        </w:rPr>
        <w:t>Artículo 133.3.</w:t>
      </w:r>
      <w:r w:rsidRPr="002C5A78">
        <w:rPr>
          <w:rStyle w:val="TextoNormalCaracter"/>
        </w:rPr>
        <w:t>-</w:t>
      </w:r>
      <w:r>
        <w:t xml:space="preserve"> Auto </w:t>
      </w:r>
      <w:hyperlink w:anchor="AUTO_2021_7" w:history="1">
        <w:r w:rsidRPr="002C5A78">
          <w:rPr>
            <w:rStyle w:val="TextoNormalCaracter"/>
          </w:rPr>
          <w:t>7/2021</w:t>
        </w:r>
      </w:hyperlink>
      <w:r>
        <w:t>, f. único.</w:t>
      </w:r>
    </w:p>
    <w:p w:rsidR="002C5A78" w:rsidRDefault="002C5A78" w:rsidP="002C5A78">
      <w:pPr>
        <w:pStyle w:val="SangriaFrancesaArticulo"/>
      </w:pPr>
      <w:r w:rsidRPr="002C5A78">
        <w:rPr>
          <w:rStyle w:val="TextoNormalNegritaCaracter"/>
        </w:rPr>
        <w:t>Artículo 136.</w:t>
      </w:r>
      <w:r w:rsidRPr="002C5A78">
        <w:rPr>
          <w:rStyle w:val="TextoNormalCaracter"/>
        </w:rPr>
        <w:t>-</w:t>
      </w:r>
      <w:r>
        <w:t xml:space="preserve"> Sentencia </w:t>
      </w:r>
      <w:hyperlink w:anchor="SENTENCIA_2021_24" w:history="1">
        <w:r w:rsidRPr="002C5A78">
          <w:rPr>
            <w:rStyle w:val="TextoNormalCaracter"/>
          </w:rPr>
          <w:t>24/2021</w:t>
        </w:r>
      </w:hyperlink>
      <w:r>
        <w:t>, f. 2.</w:t>
      </w:r>
    </w:p>
    <w:p w:rsidR="002C5A78" w:rsidRDefault="002C5A78" w:rsidP="002C5A78">
      <w:pPr>
        <w:pStyle w:val="SangriaFrancesaArticulo"/>
      </w:pPr>
      <w:r w:rsidRPr="002C5A78">
        <w:rPr>
          <w:rStyle w:val="TextoNormalNegritaCaracter"/>
        </w:rPr>
        <w:t>Artículo 150.4</w:t>
      </w:r>
      <w:r>
        <w:t xml:space="preserve"> (redactado por la Ley 5/2018, de 11 de junio)</w:t>
      </w:r>
      <w:r w:rsidRPr="002C5A78">
        <w:rPr>
          <w:rStyle w:val="TextoNormalNegritaCaracter"/>
        </w:rPr>
        <w:t>.</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151.2.</w:t>
      </w:r>
      <w:r w:rsidRPr="002C5A78">
        <w:rPr>
          <w:rStyle w:val="TextoNormalCaracter"/>
        </w:rPr>
        <w:t>-</w:t>
      </w:r>
      <w:r>
        <w:t xml:space="preserve"> Auto </w:t>
      </w:r>
      <w:hyperlink w:anchor="AUTO_2021_64" w:history="1">
        <w:r w:rsidRPr="002C5A78">
          <w:rPr>
            <w:rStyle w:val="TextoNormalCaracter"/>
          </w:rPr>
          <w:t>64/2021</w:t>
        </w:r>
      </w:hyperlink>
      <w:r>
        <w:t>, f. único.</w:t>
      </w:r>
    </w:p>
    <w:p w:rsidR="002C5A78" w:rsidRDefault="002C5A78" w:rsidP="002C5A78">
      <w:pPr>
        <w:pStyle w:val="SangriaFrancesaArticulo"/>
      </w:pPr>
      <w:r w:rsidRPr="002C5A78">
        <w:rPr>
          <w:rStyle w:val="TextoNormalNegritaCaracter"/>
        </w:rPr>
        <w:t>Artículo 152.1.2.</w:t>
      </w:r>
      <w:r w:rsidRPr="002C5A78">
        <w:rPr>
          <w:rStyle w:val="TextoNormalCaracter"/>
        </w:rPr>
        <w:t>-</w:t>
      </w:r>
      <w:r>
        <w:t xml:space="preserve"> Sentencia </w:t>
      </w:r>
      <w:hyperlink w:anchor="SENTENCIA_2021_87" w:history="1">
        <w:r w:rsidRPr="002C5A78">
          <w:rPr>
            <w:rStyle w:val="TextoNormalCaracter"/>
          </w:rPr>
          <w:t>87/2021</w:t>
        </w:r>
      </w:hyperlink>
      <w:r>
        <w:t>, f. 3.</w:t>
      </w:r>
    </w:p>
    <w:p w:rsidR="002C5A78" w:rsidRDefault="002C5A78" w:rsidP="002C5A78">
      <w:pPr>
        <w:pStyle w:val="SangriaFrancesaArticulo"/>
      </w:pPr>
      <w:r w:rsidRPr="002C5A78">
        <w:rPr>
          <w:rStyle w:val="TextoNormalNegritaCaracter"/>
        </w:rPr>
        <w:t>Artículo 152.2.</w:t>
      </w:r>
      <w:r w:rsidRPr="002C5A78">
        <w:rPr>
          <w:rStyle w:val="TextoNormalCaracter"/>
        </w:rPr>
        <w:t>-</w:t>
      </w:r>
      <w:r>
        <w:t xml:space="preserve"> Sentencias </w:t>
      </w:r>
      <w:hyperlink w:anchor="SENTENCIA_2021_48" w:history="1">
        <w:r w:rsidRPr="002C5A78">
          <w:rPr>
            <w:rStyle w:val="TextoNormalCaracter"/>
          </w:rPr>
          <w:t>48/2021</w:t>
        </w:r>
      </w:hyperlink>
      <w:r>
        <w:t xml:space="preserve">, f. 2; </w:t>
      </w:r>
      <w:hyperlink w:anchor="SENTENCIA_2021_86" w:history="1">
        <w:r w:rsidRPr="002C5A78">
          <w:rPr>
            <w:rStyle w:val="TextoNormalCaracter"/>
          </w:rPr>
          <w:t>86/2021</w:t>
        </w:r>
      </w:hyperlink>
      <w:r>
        <w:t>, f. único.</w:t>
      </w:r>
    </w:p>
    <w:p w:rsidR="002C5A78" w:rsidRDefault="002C5A78" w:rsidP="002C5A78">
      <w:pPr>
        <w:pStyle w:val="SangriaFrancesaArticulo"/>
      </w:pPr>
      <w:r w:rsidRPr="002C5A78">
        <w:rPr>
          <w:rStyle w:val="TextoNormalNegritaCaracter"/>
        </w:rPr>
        <w:t>Artículo 152.2 último inciso.</w:t>
      </w:r>
      <w:r w:rsidRPr="002C5A78">
        <w:rPr>
          <w:rStyle w:val="TextoNormalCaracter"/>
        </w:rPr>
        <w:t>-</w:t>
      </w:r>
      <w:r>
        <w:t xml:space="preserve"> Sentencias </w:t>
      </w:r>
      <w:hyperlink w:anchor="SENTENCIA_2021_45" w:history="1">
        <w:r w:rsidRPr="002C5A78">
          <w:rPr>
            <w:rStyle w:val="TextoNormalCaracter"/>
          </w:rPr>
          <w:t>45/2021</w:t>
        </w:r>
      </w:hyperlink>
      <w:r>
        <w:t xml:space="preserve">, f. único; </w:t>
      </w:r>
      <w:hyperlink w:anchor="SENTENCIA_2021_62" w:history="1">
        <w:r w:rsidRPr="002C5A78">
          <w:rPr>
            <w:rStyle w:val="TextoNormalCaracter"/>
          </w:rPr>
          <w:t>62/2021</w:t>
        </w:r>
      </w:hyperlink>
      <w:r>
        <w:t xml:space="preserve">, f. 2; </w:t>
      </w:r>
      <w:hyperlink w:anchor="SENTENCIA_2021_84" w:history="1">
        <w:r w:rsidRPr="002C5A78">
          <w:rPr>
            <w:rStyle w:val="TextoNormalCaracter"/>
          </w:rPr>
          <w:t>84/2021</w:t>
        </w:r>
      </w:hyperlink>
      <w:r>
        <w:t>, f. único.</w:t>
      </w:r>
    </w:p>
    <w:p w:rsidR="002C5A78" w:rsidRDefault="002C5A78" w:rsidP="002C5A78">
      <w:pPr>
        <w:pStyle w:val="SangriaFrancesaArticulo"/>
      </w:pPr>
      <w:r w:rsidRPr="002C5A78">
        <w:rPr>
          <w:rStyle w:val="TextoNormalNegritaCaracter"/>
        </w:rPr>
        <w:t>Artículo 155.</w:t>
      </w:r>
      <w:r w:rsidRPr="002C5A78">
        <w:rPr>
          <w:rStyle w:val="TextoNormalCaracter"/>
        </w:rPr>
        <w:t>-</w:t>
      </w:r>
      <w:r>
        <w:t xml:space="preserve"> Sentencia </w:t>
      </w:r>
      <w:hyperlink w:anchor="SENTENCIA_2021_48" w:history="1">
        <w:r w:rsidRPr="002C5A78">
          <w:rPr>
            <w:rStyle w:val="TextoNormalCaracter"/>
          </w:rPr>
          <w:t>48/2021</w:t>
        </w:r>
      </w:hyperlink>
      <w:r>
        <w:t>, f. 1.</w:t>
      </w:r>
    </w:p>
    <w:p w:rsidR="002C5A78" w:rsidRDefault="002C5A78" w:rsidP="002C5A78">
      <w:pPr>
        <w:pStyle w:val="SangriaIzquierdaArticulo"/>
      </w:pPr>
      <w:r>
        <w:t xml:space="preserve">Auto </w:t>
      </w:r>
      <w:hyperlink w:anchor="AUTO_2021_36" w:history="1">
        <w:r w:rsidRPr="002C5A78">
          <w:rPr>
            <w:rStyle w:val="TextoNormalCaracter"/>
          </w:rPr>
          <w:t>36/2021</w:t>
        </w:r>
      </w:hyperlink>
      <w:r>
        <w:t>, f. único.</w:t>
      </w:r>
    </w:p>
    <w:p w:rsidR="002C5A78" w:rsidRDefault="002C5A78" w:rsidP="002C5A78">
      <w:pPr>
        <w:pStyle w:val="SangriaFrancesaArticulo"/>
      </w:pPr>
      <w:r w:rsidRPr="002C5A78">
        <w:rPr>
          <w:rStyle w:val="TextoNormalNegritaCaracter"/>
        </w:rPr>
        <w:t>Artículo 155.1.</w:t>
      </w:r>
      <w:r w:rsidRPr="002C5A78">
        <w:rPr>
          <w:rStyle w:val="TextoNormalCaracter"/>
        </w:rPr>
        <w:t>-</w:t>
      </w:r>
      <w:r>
        <w:t xml:space="preserve"> Sentencias </w:t>
      </w:r>
      <w:hyperlink w:anchor="SENTENCIA_2021_25" w:history="1">
        <w:r w:rsidRPr="002C5A78">
          <w:rPr>
            <w:rStyle w:val="TextoNormalCaracter"/>
          </w:rPr>
          <w:t>25/2021</w:t>
        </w:r>
      </w:hyperlink>
      <w:r>
        <w:t xml:space="preserve">, f. 2; </w:t>
      </w:r>
      <w:hyperlink w:anchor="SENTENCIA_2021_26" w:history="1">
        <w:r w:rsidRPr="002C5A78">
          <w:rPr>
            <w:rStyle w:val="TextoNormalCaracter"/>
          </w:rPr>
          <w:t>26/2021</w:t>
        </w:r>
      </w:hyperlink>
      <w:r>
        <w:t xml:space="preserve">, f. único; </w:t>
      </w:r>
      <w:hyperlink w:anchor="SENTENCIA_2021_27" w:history="1">
        <w:r w:rsidRPr="002C5A78">
          <w:rPr>
            <w:rStyle w:val="TextoNormalCaracter"/>
          </w:rPr>
          <w:t>27/2021</w:t>
        </w:r>
      </w:hyperlink>
      <w:r>
        <w:t xml:space="preserve">, f. único; </w:t>
      </w:r>
      <w:hyperlink w:anchor="SENTENCIA_2021_28" w:history="1">
        <w:r w:rsidRPr="002C5A78">
          <w:rPr>
            <w:rStyle w:val="TextoNormalCaracter"/>
          </w:rPr>
          <w:t>28/2021</w:t>
        </w:r>
      </w:hyperlink>
      <w:r>
        <w:t xml:space="preserve">, f. único; </w:t>
      </w:r>
      <w:hyperlink w:anchor="SENTENCIA_2021_32" w:history="1">
        <w:r w:rsidRPr="002C5A78">
          <w:rPr>
            <w:rStyle w:val="TextoNormalCaracter"/>
          </w:rPr>
          <w:t>32/2021</w:t>
        </w:r>
      </w:hyperlink>
      <w:r>
        <w:t xml:space="preserve">, f. único; </w:t>
      </w:r>
      <w:hyperlink w:anchor="SENTENCIA_2021_33" w:history="1">
        <w:r w:rsidRPr="002C5A78">
          <w:rPr>
            <w:rStyle w:val="TextoNormalCaracter"/>
          </w:rPr>
          <w:t>33/2021</w:t>
        </w:r>
      </w:hyperlink>
      <w:r>
        <w:t xml:space="preserve">, f. 3; </w:t>
      </w:r>
      <w:hyperlink w:anchor="SENTENCIA_2021_45" w:history="1">
        <w:r w:rsidRPr="002C5A78">
          <w:rPr>
            <w:rStyle w:val="TextoNormalCaracter"/>
          </w:rPr>
          <w:t>45/2021</w:t>
        </w:r>
      </w:hyperlink>
      <w:r>
        <w:t xml:space="preserve">, f. único; </w:t>
      </w:r>
      <w:hyperlink w:anchor="SENTENCIA_2021_46" w:history="1">
        <w:r w:rsidRPr="002C5A78">
          <w:rPr>
            <w:rStyle w:val="TextoNormalCaracter"/>
          </w:rPr>
          <w:t>46/2021</w:t>
        </w:r>
      </w:hyperlink>
      <w:r>
        <w:t xml:space="preserve">, f. único; </w:t>
      </w:r>
      <w:hyperlink w:anchor="SENTENCIA_2021_47" w:history="1">
        <w:r w:rsidRPr="002C5A78">
          <w:rPr>
            <w:rStyle w:val="TextoNormalCaracter"/>
          </w:rPr>
          <w:t>47/2021</w:t>
        </w:r>
      </w:hyperlink>
      <w:r>
        <w:t xml:space="preserve">, f. único; </w:t>
      </w:r>
      <w:hyperlink w:anchor="SENTENCIA_2021_48" w:history="1">
        <w:r w:rsidRPr="002C5A78">
          <w:rPr>
            <w:rStyle w:val="TextoNormalCaracter"/>
          </w:rPr>
          <w:t>48/2021</w:t>
        </w:r>
      </w:hyperlink>
      <w:r>
        <w:t xml:space="preserve">, f. 2; </w:t>
      </w:r>
      <w:hyperlink w:anchor="SENTENCIA_2021_49" w:history="1">
        <w:r w:rsidRPr="002C5A78">
          <w:rPr>
            <w:rStyle w:val="TextoNormalCaracter"/>
          </w:rPr>
          <w:t>49/2021</w:t>
        </w:r>
      </w:hyperlink>
      <w:r>
        <w:t xml:space="preserve">, f. único; </w:t>
      </w:r>
      <w:hyperlink w:anchor="SENTENCIA_2021_56" w:history="1">
        <w:r w:rsidRPr="002C5A78">
          <w:rPr>
            <w:rStyle w:val="TextoNormalCaracter"/>
          </w:rPr>
          <w:t>56/2021</w:t>
        </w:r>
      </w:hyperlink>
      <w:r>
        <w:t xml:space="preserve">, f. 2; </w:t>
      </w:r>
      <w:hyperlink w:anchor="SENTENCIA_2021_58" w:history="1">
        <w:r w:rsidRPr="002C5A78">
          <w:rPr>
            <w:rStyle w:val="TextoNormalCaracter"/>
          </w:rPr>
          <w:t>58/2021</w:t>
        </w:r>
      </w:hyperlink>
      <w:r>
        <w:t xml:space="preserve">, f. único; </w:t>
      </w:r>
      <w:hyperlink w:anchor="SENTENCIA_2021_59" w:history="1">
        <w:r w:rsidRPr="002C5A78">
          <w:rPr>
            <w:rStyle w:val="TextoNormalCaracter"/>
          </w:rPr>
          <w:t>59/2021</w:t>
        </w:r>
      </w:hyperlink>
      <w:r>
        <w:t xml:space="preserve">, f. único; </w:t>
      </w:r>
      <w:hyperlink w:anchor="SENTENCIA_2021_62" w:history="1">
        <w:r w:rsidRPr="002C5A78">
          <w:rPr>
            <w:rStyle w:val="TextoNormalCaracter"/>
          </w:rPr>
          <w:t>62/2021</w:t>
        </w:r>
      </w:hyperlink>
      <w:r>
        <w:t xml:space="preserve">, f. 2; </w:t>
      </w:r>
      <w:hyperlink w:anchor="SENTENCIA_2021_64" w:history="1">
        <w:r w:rsidRPr="002C5A78">
          <w:rPr>
            <w:rStyle w:val="TextoNormalCaracter"/>
          </w:rPr>
          <w:t>64/2021</w:t>
        </w:r>
      </w:hyperlink>
      <w:r>
        <w:t xml:space="preserve">, ff. 2, 3; </w:t>
      </w:r>
      <w:hyperlink w:anchor="SENTENCIA_2021_79" w:history="1">
        <w:r w:rsidRPr="002C5A78">
          <w:rPr>
            <w:rStyle w:val="TextoNormalCaracter"/>
          </w:rPr>
          <w:t>79/2021</w:t>
        </w:r>
      </w:hyperlink>
      <w:r>
        <w:t xml:space="preserve">, f. 3; </w:t>
      </w:r>
      <w:hyperlink w:anchor="SENTENCIA_2021_84" w:history="1">
        <w:r w:rsidRPr="002C5A78">
          <w:rPr>
            <w:rStyle w:val="TextoNormalCaracter"/>
          </w:rPr>
          <w:t>84/2021</w:t>
        </w:r>
      </w:hyperlink>
      <w:r>
        <w:t xml:space="preserve">, f. único; </w:t>
      </w:r>
      <w:hyperlink w:anchor="SENTENCIA_2021_85" w:history="1">
        <w:r w:rsidRPr="002C5A78">
          <w:rPr>
            <w:rStyle w:val="TextoNormalCaracter"/>
          </w:rPr>
          <w:t>85/2021</w:t>
        </w:r>
      </w:hyperlink>
      <w:r>
        <w:t xml:space="preserve">, f. único; </w:t>
      </w:r>
      <w:hyperlink w:anchor="SENTENCIA_2021_86" w:history="1">
        <w:r w:rsidRPr="002C5A78">
          <w:rPr>
            <w:rStyle w:val="TextoNormalCaracter"/>
          </w:rPr>
          <w:t>86/2021</w:t>
        </w:r>
      </w:hyperlink>
      <w:r>
        <w:t xml:space="preserve">, f. único; </w:t>
      </w:r>
      <w:hyperlink w:anchor="SENTENCIA_2021_89" w:history="1">
        <w:r w:rsidRPr="002C5A78">
          <w:rPr>
            <w:rStyle w:val="TextoNormalCaracter"/>
          </w:rPr>
          <w:t>89/2021</w:t>
        </w:r>
      </w:hyperlink>
      <w:r>
        <w:t xml:space="preserve">, f. 2; </w:t>
      </w:r>
      <w:hyperlink w:anchor="SENTENCIA_2021_100" w:history="1">
        <w:r w:rsidRPr="002C5A78">
          <w:rPr>
            <w:rStyle w:val="TextoNormalCaracter"/>
          </w:rPr>
          <w:t>100/2021</w:t>
        </w:r>
      </w:hyperlink>
      <w:r>
        <w:t xml:space="preserve">, f. único; </w:t>
      </w:r>
      <w:hyperlink w:anchor="SENTENCIA_2021_103" w:history="1">
        <w:r w:rsidRPr="002C5A78">
          <w:rPr>
            <w:rStyle w:val="TextoNormalCaracter"/>
          </w:rPr>
          <w:t>103/2021</w:t>
        </w:r>
      </w:hyperlink>
      <w:r>
        <w:t xml:space="preserve">, f. único; </w:t>
      </w:r>
      <w:hyperlink w:anchor="SENTENCIA_2021_115" w:history="1">
        <w:r w:rsidRPr="002C5A78">
          <w:rPr>
            <w:rStyle w:val="TextoNormalCaracter"/>
          </w:rPr>
          <w:t>115/2021</w:t>
        </w:r>
      </w:hyperlink>
      <w:r>
        <w:t>, f. 2.</w:t>
      </w:r>
    </w:p>
    <w:p w:rsidR="002C5A78" w:rsidRDefault="002C5A78" w:rsidP="002C5A78">
      <w:pPr>
        <w:pStyle w:val="SangriaFrancesaArticulo"/>
      </w:pPr>
      <w:r w:rsidRPr="002C5A78">
        <w:rPr>
          <w:rStyle w:val="TextoNormalNegritaCaracter"/>
        </w:rPr>
        <w:t>Artículo 155.2.</w:t>
      </w:r>
      <w:r w:rsidRPr="002C5A78">
        <w:rPr>
          <w:rStyle w:val="TextoNormalCaracter"/>
        </w:rPr>
        <w:t>-</w:t>
      </w:r>
      <w:r>
        <w:t xml:space="preserve"> Sentencias </w:t>
      </w:r>
      <w:hyperlink w:anchor="SENTENCIA_2021_48" w:history="1">
        <w:r w:rsidRPr="002C5A78">
          <w:rPr>
            <w:rStyle w:val="TextoNormalCaracter"/>
          </w:rPr>
          <w:t>48/2021</w:t>
        </w:r>
      </w:hyperlink>
      <w:r>
        <w:t xml:space="preserve">, f. 2; </w:t>
      </w:r>
      <w:hyperlink w:anchor="SENTENCIA_2021_56" w:history="1">
        <w:r w:rsidRPr="002C5A78">
          <w:rPr>
            <w:rStyle w:val="TextoNormalCaracter"/>
          </w:rPr>
          <w:t>56/2021</w:t>
        </w:r>
      </w:hyperlink>
      <w:r>
        <w:t xml:space="preserve">, f. 2; </w:t>
      </w:r>
      <w:hyperlink w:anchor="SENTENCIA_2021_87" w:history="1">
        <w:r w:rsidRPr="002C5A78">
          <w:rPr>
            <w:rStyle w:val="TextoNormalCaracter"/>
          </w:rPr>
          <w:t>87/2021</w:t>
        </w:r>
      </w:hyperlink>
      <w:r>
        <w:t>, f. 3.</w:t>
      </w:r>
    </w:p>
    <w:p w:rsidR="002C5A78" w:rsidRDefault="002C5A78" w:rsidP="002C5A78">
      <w:pPr>
        <w:pStyle w:val="SangriaFrancesaArticulo"/>
      </w:pPr>
      <w:r w:rsidRPr="002C5A78">
        <w:rPr>
          <w:rStyle w:val="TextoNormalNegritaCaracter"/>
        </w:rPr>
        <w:t>Artículo 155.3.</w:t>
      </w:r>
      <w:r w:rsidRPr="002C5A78">
        <w:rPr>
          <w:rStyle w:val="TextoNormalCaracter"/>
        </w:rPr>
        <w:t>-</w:t>
      </w:r>
      <w:r>
        <w:t xml:space="preserve"> Sentencias </w:t>
      </w:r>
      <w:hyperlink w:anchor="SENTENCIA_2021_48" w:history="1">
        <w:r w:rsidRPr="002C5A78">
          <w:rPr>
            <w:rStyle w:val="TextoNormalCaracter"/>
          </w:rPr>
          <w:t>48/2021</w:t>
        </w:r>
      </w:hyperlink>
      <w:r>
        <w:t xml:space="preserve">, f. 2; </w:t>
      </w:r>
      <w:hyperlink w:anchor="SENTENCIA_2021_56" w:history="1">
        <w:r w:rsidRPr="002C5A78">
          <w:rPr>
            <w:rStyle w:val="TextoNormalCaracter"/>
          </w:rPr>
          <w:t>56/2021</w:t>
        </w:r>
      </w:hyperlink>
      <w:r>
        <w:t xml:space="preserve">, f. 2; </w:t>
      </w:r>
      <w:hyperlink w:anchor="SENTENCIA_2021_82" w:history="1">
        <w:r w:rsidRPr="002C5A78">
          <w:rPr>
            <w:rStyle w:val="TextoNormalCaracter"/>
          </w:rPr>
          <w:t>82/2021</w:t>
        </w:r>
      </w:hyperlink>
      <w:r>
        <w:t xml:space="preserve">, f. 2; </w:t>
      </w:r>
      <w:hyperlink w:anchor="SENTENCIA_2021_94" w:history="1">
        <w:r w:rsidRPr="002C5A78">
          <w:rPr>
            <w:rStyle w:val="TextoNormalCaracter"/>
          </w:rPr>
          <w:t>94/2021</w:t>
        </w:r>
      </w:hyperlink>
      <w:r>
        <w:t xml:space="preserve">, f. 3; </w:t>
      </w:r>
      <w:hyperlink w:anchor="SENTENCIA_2021_97" w:history="1">
        <w:r w:rsidRPr="002C5A78">
          <w:rPr>
            <w:rStyle w:val="TextoNormalCaracter"/>
          </w:rPr>
          <w:t>97/2021</w:t>
        </w:r>
      </w:hyperlink>
      <w:r>
        <w:t>, f. 2.</w:t>
      </w:r>
    </w:p>
    <w:p w:rsidR="002C5A78" w:rsidRDefault="002C5A78" w:rsidP="002C5A78">
      <w:pPr>
        <w:pStyle w:val="SangriaFrancesaArticulo"/>
      </w:pPr>
      <w:r w:rsidRPr="002C5A78">
        <w:rPr>
          <w:rStyle w:val="TextoNormalNegritaCaracter"/>
        </w:rPr>
        <w:t>Artículo 155.3</w:t>
      </w:r>
      <w:r>
        <w:t xml:space="preserve"> (redactado por la Ley 19/2009, de 23 de noviembre)</w:t>
      </w:r>
      <w:r w:rsidRPr="002C5A78">
        <w:rPr>
          <w:rStyle w:val="TextoNormalNegritaCaracter"/>
        </w:rPr>
        <w:t>.</w:t>
      </w:r>
      <w:r w:rsidRPr="002C5A78">
        <w:rPr>
          <w:rStyle w:val="TextoNormalCaracter"/>
        </w:rPr>
        <w:t>-</w:t>
      </w:r>
      <w:r>
        <w:t xml:space="preserve"> Sentencias </w:t>
      </w:r>
      <w:hyperlink w:anchor="SENTENCIA_2021_20" w:history="1">
        <w:r w:rsidRPr="002C5A78">
          <w:rPr>
            <w:rStyle w:val="TextoNormalCaracter"/>
          </w:rPr>
          <w:t>20/2021</w:t>
        </w:r>
      </w:hyperlink>
      <w:r>
        <w:t xml:space="preserve">, f. 3; </w:t>
      </w:r>
      <w:hyperlink w:anchor="SENTENCIA_2021_94" w:history="1">
        <w:r w:rsidRPr="002C5A78">
          <w:rPr>
            <w:rStyle w:val="TextoNormalCaracter"/>
          </w:rPr>
          <w:t>94/2021</w:t>
        </w:r>
      </w:hyperlink>
      <w:r>
        <w:t>, f. 3.</w:t>
      </w:r>
    </w:p>
    <w:p w:rsidR="002C5A78" w:rsidRDefault="002C5A78" w:rsidP="002C5A78">
      <w:pPr>
        <w:pStyle w:val="SangriaFrancesaArticulo"/>
      </w:pPr>
      <w:r w:rsidRPr="002C5A78">
        <w:rPr>
          <w:rStyle w:val="TextoNormalNegritaCaracter"/>
        </w:rPr>
        <w:t>Artículo 156.</w:t>
      </w:r>
      <w:r w:rsidRPr="002C5A78">
        <w:rPr>
          <w:rStyle w:val="TextoNormalCaracter"/>
        </w:rPr>
        <w:t>-</w:t>
      </w:r>
      <w:r>
        <w:t xml:space="preserve"> Sentencias </w:t>
      </w:r>
      <w:hyperlink w:anchor="SENTENCIA_2021_20" w:history="1">
        <w:r w:rsidRPr="002C5A78">
          <w:rPr>
            <w:rStyle w:val="TextoNormalCaracter"/>
          </w:rPr>
          <w:t>20/2021</w:t>
        </w:r>
      </w:hyperlink>
      <w:r>
        <w:t xml:space="preserve">, f. 1; </w:t>
      </w:r>
      <w:hyperlink w:anchor="SENTENCIA_2021_43" w:history="1">
        <w:r w:rsidRPr="002C5A78">
          <w:rPr>
            <w:rStyle w:val="TextoNormalCaracter"/>
          </w:rPr>
          <w:t>43/2021</w:t>
        </w:r>
      </w:hyperlink>
      <w:r>
        <w:t xml:space="preserve">, f. 3; </w:t>
      </w:r>
      <w:hyperlink w:anchor="SENTENCIA_2021_97" w:history="1">
        <w:r w:rsidRPr="002C5A78">
          <w:rPr>
            <w:rStyle w:val="TextoNormalCaracter"/>
          </w:rPr>
          <w:t>97/2021</w:t>
        </w:r>
      </w:hyperlink>
      <w:r>
        <w:t>, f.</w:t>
      </w:r>
    </w:p>
    <w:p w:rsidR="002C5A78" w:rsidRDefault="002C5A78" w:rsidP="002C5A78">
      <w:pPr>
        <w:pStyle w:val="SangriaFrancesaArticulo"/>
      </w:pPr>
      <w:r w:rsidRPr="002C5A78">
        <w:rPr>
          <w:rStyle w:val="TextoNormalNegritaCaracter"/>
        </w:rPr>
        <w:t>Artículo 161.1.</w:t>
      </w:r>
      <w:r w:rsidRPr="002C5A78">
        <w:rPr>
          <w:rStyle w:val="TextoNormalCaracter"/>
        </w:rPr>
        <w:t>-</w:t>
      </w:r>
      <w:r>
        <w:t xml:space="preserve"> Sentencia </w:t>
      </w:r>
      <w:hyperlink w:anchor="SENTENCIA_2021_118" w:history="1">
        <w:r w:rsidRPr="002C5A78">
          <w:rPr>
            <w:rStyle w:val="TextoNormalCaracter"/>
          </w:rPr>
          <w:t>118/2021</w:t>
        </w:r>
      </w:hyperlink>
      <w:r>
        <w:t>, f. 3.</w:t>
      </w:r>
    </w:p>
    <w:p w:rsidR="002C5A78" w:rsidRDefault="002C5A78" w:rsidP="002C5A78">
      <w:pPr>
        <w:pStyle w:val="SangriaFrancesaArticulo"/>
      </w:pPr>
      <w:r w:rsidRPr="002C5A78">
        <w:rPr>
          <w:rStyle w:val="TextoNormalNegritaCaracter"/>
        </w:rPr>
        <w:t>Artículo 162.2.</w:t>
      </w:r>
      <w:r w:rsidRPr="002C5A78">
        <w:rPr>
          <w:rStyle w:val="TextoNormalCaracter"/>
        </w:rPr>
        <w:t>-</w:t>
      </w:r>
      <w:r>
        <w:t xml:space="preserve"> Sentencia </w:t>
      </w:r>
      <w:hyperlink w:anchor="SENTENCIA_2021_79" w:history="1">
        <w:r w:rsidRPr="002C5A78">
          <w:rPr>
            <w:rStyle w:val="TextoNormalCaracter"/>
          </w:rPr>
          <w:t>79/2021</w:t>
        </w:r>
      </w:hyperlink>
      <w:r>
        <w:t>, ff. 3, 4.</w:t>
      </w:r>
    </w:p>
    <w:p w:rsidR="002C5A78" w:rsidRDefault="002C5A78" w:rsidP="002C5A78">
      <w:pPr>
        <w:pStyle w:val="SangriaFrancesaArticulo"/>
      </w:pPr>
      <w:r w:rsidRPr="002C5A78">
        <w:rPr>
          <w:rStyle w:val="TextoNormalNegritaCaracter"/>
        </w:rPr>
        <w:t>Artículo 164.</w:t>
      </w:r>
      <w:r w:rsidRPr="002C5A78">
        <w:rPr>
          <w:rStyle w:val="TextoNormalCaracter"/>
        </w:rPr>
        <w:t>-</w:t>
      </w:r>
      <w:r>
        <w:t xml:space="preserve"> Sentencias </w:t>
      </w:r>
      <w:hyperlink w:anchor="SENTENCIA_2021_20" w:history="1">
        <w:r w:rsidRPr="002C5A78">
          <w:rPr>
            <w:rStyle w:val="TextoNormalCaracter"/>
          </w:rPr>
          <w:t>20/2021</w:t>
        </w:r>
      </w:hyperlink>
      <w:r>
        <w:t xml:space="preserve">, ff. 1, 3; </w:t>
      </w:r>
      <w:hyperlink w:anchor="SENTENCIA_2021_82" w:history="1">
        <w:r w:rsidRPr="002C5A78">
          <w:rPr>
            <w:rStyle w:val="TextoNormalCaracter"/>
          </w:rPr>
          <w:t>82/2021</w:t>
        </w:r>
      </w:hyperlink>
      <w:r>
        <w:t xml:space="preserve">, f. 2; </w:t>
      </w:r>
      <w:hyperlink w:anchor="SENTENCIA_2021_87" w:history="1">
        <w:r w:rsidRPr="002C5A78">
          <w:rPr>
            <w:rStyle w:val="TextoNormalCaracter"/>
          </w:rPr>
          <w:t>87/2021</w:t>
        </w:r>
      </w:hyperlink>
      <w:r>
        <w:t xml:space="preserve">, f. 3; </w:t>
      </w:r>
      <w:hyperlink w:anchor="SENTENCIA_2021_94" w:history="1">
        <w:r w:rsidRPr="002C5A78">
          <w:rPr>
            <w:rStyle w:val="TextoNormalCaracter"/>
          </w:rPr>
          <w:t>94/2021</w:t>
        </w:r>
      </w:hyperlink>
      <w:r>
        <w:t xml:space="preserve">, ff. 1, 3; </w:t>
      </w:r>
      <w:hyperlink w:anchor="SENTENCIA_2021_97" w:history="1">
        <w:r w:rsidRPr="002C5A78">
          <w:rPr>
            <w:rStyle w:val="TextoNormalCaracter"/>
          </w:rPr>
          <w:t>97/2021</w:t>
        </w:r>
      </w:hyperlink>
      <w:r>
        <w:t xml:space="preserve">, f. 2; </w:t>
      </w:r>
      <w:hyperlink w:anchor="SENTENCIA_2021_118" w:history="1">
        <w:r w:rsidRPr="002C5A78">
          <w:rPr>
            <w:rStyle w:val="TextoNormalCaracter"/>
          </w:rPr>
          <w:t>118/2021</w:t>
        </w:r>
      </w:hyperlink>
      <w:r>
        <w:t>, f. 3.</w:t>
      </w:r>
    </w:p>
    <w:p w:rsidR="002C5A78" w:rsidRDefault="002C5A78" w:rsidP="002C5A78">
      <w:pPr>
        <w:pStyle w:val="SangriaFrancesaArticulo"/>
      </w:pPr>
      <w:r w:rsidRPr="002C5A78">
        <w:rPr>
          <w:rStyle w:val="TextoNormalNegritaCaracter"/>
        </w:rPr>
        <w:t>Artículo 164</w:t>
      </w:r>
      <w:r>
        <w:t xml:space="preserve"> (redactado por la Ley 19/2009, de 23 de noviembre)</w:t>
      </w:r>
      <w:r w:rsidRPr="002C5A78">
        <w:rPr>
          <w:rStyle w:val="TextoNormalNegritaCaracter"/>
        </w:rPr>
        <w:t>.</w:t>
      </w:r>
      <w:r w:rsidRPr="002C5A78">
        <w:rPr>
          <w:rStyle w:val="TextoNormalCaracter"/>
        </w:rPr>
        <w:t>-</w:t>
      </w:r>
      <w:r>
        <w:t xml:space="preserve"> Sentencias </w:t>
      </w:r>
      <w:hyperlink w:anchor="SENTENCIA_2021_20" w:history="1">
        <w:r w:rsidRPr="002C5A78">
          <w:rPr>
            <w:rStyle w:val="TextoNormalCaracter"/>
          </w:rPr>
          <w:t>20/2021</w:t>
        </w:r>
      </w:hyperlink>
      <w:r>
        <w:t xml:space="preserve">, ff. 2, 3; </w:t>
      </w:r>
      <w:hyperlink w:anchor="SENTENCIA_2021_60" w:history="1">
        <w:r w:rsidRPr="002C5A78">
          <w:rPr>
            <w:rStyle w:val="TextoNormalCaracter"/>
          </w:rPr>
          <w:t>60/2021</w:t>
        </w:r>
      </w:hyperlink>
      <w:r>
        <w:t xml:space="preserve">, ff. 3, 4; </w:t>
      </w:r>
      <w:hyperlink w:anchor="SENTENCIA_2021_94" w:history="1">
        <w:r w:rsidRPr="002C5A78">
          <w:rPr>
            <w:rStyle w:val="TextoNormalCaracter"/>
          </w:rPr>
          <w:t>94/2021</w:t>
        </w:r>
      </w:hyperlink>
      <w:r>
        <w:t>, ff. 2, 3.</w:t>
      </w:r>
    </w:p>
    <w:p w:rsidR="002C5A78" w:rsidRDefault="002C5A78" w:rsidP="002C5A78">
      <w:pPr>
        <w:pStyle w:val="SangriaFrancesaArticulo"/>
      </w:pPr>
      <w:r w:rsidRPr="002C5A78">
        <w:rPr>
          <w:rStyle w:val="TextoNormalNegritaCaracter"/>
        </w:rPr>
        <w:t>Artículo 164.4.</w:t>
      </w:r>
      <w:r w:rsidRPr="002C5A78">
        <w:rPr>
          <w:rStyle w:val="TextoNormalCaracter"/>
        </w:rPr>
        <w:t>-</w:t>
      </w:r>
      <w:r>
        <w:t xml:space="preserve"> Sentencia </w:t>
      </w:r>
      <w:hyperlink w:anchor="SENTENCIA_2021_82" w:history="1">
        <w:r w:rsidRPr="002C5A78">
          <w:rPr>
            <w:rStyle w:val="TextoNormalCaracter"/>
          </w:rPr>
          <w:t>82/2021</w:t>
        </w:r>
      </w:hyperlink>
      <w:r>
        <w:t>, f. 2.</w:t>
      </w:r>
    </w:p>
    <w:p w:rsidR="002C5A78" w:rsidRDefault="002C5A78" w:rsidP="002C5A78">
      <w:pPr>
        <w:pStyle w:val="SangriaFrancesaArticulo"/>
      </w:pPr>
      <w:r w:rsidRPr="002C5A78">
        <w:rPr>
          <w:rStyle w:val="TextoNormalNegritaCaracter"/>
        </w:rPr>
        <w:t>Artículo 207.</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xml:space="preserve">, f. 3; </w:t>
      </w:r>
      <w:hyperlink w:anchor="SENTENCIA_2021_24" w:history="1">
        <w:r w:rsidRPr="002C5A78">
          <w:rPr>
            <w:rStyle w:val="TextoNormalCaracter"/>
          </w:rPr>
          <w:t>24/2021</w:t>
        </w:r>
      </w:hyperlink>
      <w:r>
        <w:t xml:space="preserve">, f. 2; </w:t>
      </w:r>
      <w:hyperlink w:anchor="SENTENCIA_2021_101" w:history="1">
        <w:r w:rsidRPr="002C5A78">
          <w:rPr>
            <w:rStyle w:val="TextoNormalCaracter"/>
          </w:rPr>
          <w:t>101/2021</w:t>
        </w:r>
      </w:hyperlink>
      <w:r>
        <w:t>, f. 3.</w:t>
      </w:r>
    </w:p>
    <w:p w:rsidR="002C5A78" w:rsidRDefault="002C5A78" w:rsidP="002C5A78">
      <w:pPr>
        <w:pStyle w:val="SangriaFrancesaArticulo"/>
      </w:pPr>
      <w:r w:rsidRPr="002C5A78">
        <w:rPr>
          <w:rStyle w:val="TextoNormalNegritaCaracter"/>
        </w:rPr>
        <w:t>Artículo 214.</w:t>
      </w:r>
      <w:r w:rsidRPr="002C5A78">
        <w:rPr>
          <w:rStyle w:val="TextoNormalCaracter"/>
        </w:rPr>
        <w:t>-</w:t>
      </w:r>
      <w:r>
        <w:t xml:space="preserve"> Auto </w:t>
      </w:r>
      <w:hyperlink w:anchor="AUTO_2021_43" w:history="1">
        <w:r w:rsidRPr="002C5A78">
          <w:rPr>
            <w:rStyle w:val="TextoNormalCaracter"/>
          </w:rPr>
          <w:t>43/2021</w:t>
        </w:r>
      </w:hyperlink>
      <w:r>
        <w:t>, f. 1.</w:t>
      </w:r>
    </w:p>
    <w:p w:rsidR="002C5A78" w:rsidRDefault="002C5A78" w:rsidP="002C5A78">
      <w:pPr>
        <w:pStyle w:val="SangriaFrancesaArticulo"/>
      </w:pPr>
      <w:r w:rsidRPr="002C5A78">
        <w:rPr>
          <w:rStyle w:val="TextoNormalNegritaCaracter"/>
        </w:rPr>
        <w:t>Artículo 214.1.</w:t>
      </w:r>
      <w:r w:rsidRPr="002C5A78">
        <w:rPr>
          <w:rStyle w:val="TextoNormalCaracter"/>
        </w:rPr>
        <w:t>-</w:t>
      </w:r>
      <w:r>
        <w:t xml:space="preserve"> Sentencia </w:t>
      </w:r>
      <w:hyperlink w:anchor="SENTENCIA_2021_24" w:history="1">
        <w:r w:rsidRPr="002C5A78">
          <w:rPr>
            <w:rStyle w:val="TextoNormalCaracter"/>
          </w:rPr>
          <w:t>24/2021</w:t>
        </w:r>
      </w:hyperlink>
      <w:r>
        <w:t>, f. 3.</w:t>
      </w:r>
    </w:p>
    <w:p w:rsidR="002C5A78" w:rsidRDefault="002C5A78" w:rsidP="002C5A78">
      <w:pPr>
        <w:pStyle w:val="SangriaFrancesaArticulo"/>
      </w:pPr>
      <w:r w:rsidRPr="002C5A78">
        <w:rPr>
          <w:rStyle w:val="TextoNormalNegritaCaracter"/>
        </w:rPr>
        <w:t>Artículo 218.</w:t>
      </w:r>
      <w:r w:rsidRPr="002C5A78">
        <w:rPr>
          <w:rStyle w:val="TextoNormalCaracter"/>
        </w:rPr>
        <w:t>-</w:t>
      </w:r>
      <w:r>
        <w:t xml:space="preserve"> Sentencia </w:t>
      </w:r>
      <w:hyperlink w:anchor="SENTENCIA_2021_104" w:history="1">
        <w:r w:rsidRPr="002C5A78">
          <w:rPr>
            <w:rStyle w:val="TextoNormalCaracter"/>
          </w:rPr>
          <w:t>104/2021</w:t>
        </w:r>
      </w:hyperlink>
      <w:r>
        <w:t>, f. 4.</w:t>
      </w:r>
    </w:p>
    <w:p w:rsidR="002C5A78" w:rsidRDefault="002C5A78" w:rsidP="002C5A78">
      <w:pPr>
        <w:pStyle w:val="SangriaFrancesaArticulo"/>
      </w:pPr>
      <w:r w:rsidRPr="002C5A78">
        <w:rPr>
          <w:rStyle w:val="TextoNormalNegritaCaracter"/>
        </w:rPr>
        <w:t>Artículo 227.</w:t>
      </w:r>
      <w:r w:rsidRPr="002C5A78">
        <w:rPr>
          <w:rStyle w:val="TextoNormalCaracter"/>
        </w:rPr>
        <w:t>-</w:t>
      </w:r>
      <w:r>
        <w:t xml:space="preserve"> Sentencia </w:t>
      </w:r>
      <w:hyperlink w:anchor="SENTENCIA_2021_52" w:history="1">
        <w:r w:rsidRPr="002C5A78">
          <w:rPr>
            <w:rStyle w:val="TextoNormalCaracter"/>
          </w:rPr>
          <w:t>52/2021</w:t>
        </w:r>
      </w:hyperlink>
      <w:r>
        <w:t>, f. 2.</w:t>
      </w:r>
    </w:p>
    <w:p w:rsidR="002C5A78" w:rsidRDefault="002C5A78" w:rsidP="002C5A78">
      <w:pPr>
        <w:pStyle w:val="SangriaFrancesaArticulo"/>
      </w:pPr>
      <w:r w:rsidRPr="002C5A78">
        <w:rPr>
          <w:rStyle w:val="TextoNormalNegritaCaracter"/>
        </w:rPr>
        <w:t>Artículo 228.</w:t>
      </w:r>
      <w:r w:rsidRPr="002C5A78">
        <w:rPr>
          <w:rStyle w:val="TextoNormalCaracter"/>
        </w:rPr>
        <w:t>-</w:t>
      </w:r>
      <w:r>
        <w:t xml:space="preserve"> Sentencia </w:t>
      </w:r>
      <w:hyperlink w:anchor="SENTENCIA_2021_94" w:history="1">
        <w:r w:rsidRPr="002C5A78">
          <w:rPr>
            <w:rStyle w:val="TextoNormalCaracter"/>
          </w:rPr>
          <w:t>94/2021</w:t>
        </w:r>
      </w:hyperlink>
      <w:r>
        <w:t>, f. 1.</w:t>
      </w:r>
    </w:p>
    <w:p w:rsidR="002C5A78" w:rsidRDefault="002C5A78" w:rsidP="002C5A78">
      <w:pPr>
        <w:pStyle w:val="SangriaFrancesaArticulo"/>
      </w:pPr>
      <w:r w:rsidRPr="002C5A78">
        <w:rPr>
          <w:rStyle w:val="TextoNormalNegritaCaracter"/>
        </w:rPr>
        <w:t>Artículo 228.1 párrafo 1.</w:t>
      </w:r>
      <w:r w:rsidRPr="002C5A78">
        <w:rPr>
          <w:rStyle w:val="TextoNormalCaracter"/>
        </w:rPr>
        <w:t>-</w:t>
      </w:r>
      <w:r>
        <w:t xml:space="preserve"> Sentencia </w:t>
      </w:r>
      <w:hyperlink w:anchor="SENTENCIA_2021_24" w:history="1">
        <w:r w:rsidRPr="002C5A78">
          <w:rPr>
            <w:rStyle w:val="TextoNormalCaracter"/>
          </w:rPr>
          <w:t>24/2021</w:t>
        </w:r>
      </w:hyperlink>
      <w:r>
        <w:t>, f. 2.</w:t>
      </w:r>
    </w:p>
    <w:p w:rsidR="002C5A78" w:rsidRDefault="002C5A78" w:rsidP="002C5A78">
      <w:pPr>
        <w:pStyle w:val="SangriaFrancesaArticulo"/>
      </w:pPr>
      <w:r w:rsidRPr="002C5A78">
        <w:rPr>
          <w:rStyle w:val="TextoNormalNegritaCaracter"/>
        </w:rPr>
        <w:t>Artículo 243.2.</w:t>
      </w:r>
      <w:r w:rsidRPr="002C5A78">
        <w:rPr>
          <w:rStyle w:val="TextoNormalCaracter"/>
        </w:rPr>
        <w:t>-</w:t>
      </w:r>
      <w:r>
        <w:t xml:space="preserve"> Sentencia </w:t>
      </w:r>
      <w:hyperlink w:anchor="SENTENCIA_2021_95" w:history="1">
        <w:r w:rsidRPr="002C5A78">
          <w:rPr>
            <w:rStyle w:val="TextoNormalCaracter"/>
          </w:rPr>
          <w:t>95/2021</w:t>
        </w:r>
      </w:hyperlink>
      <w:r>
        <w:t>, f. 3.</w:t>
      </w:r>
    </w:p>
    <w:p w:rsidR="002C5A78" w:rsidRDefault="002C5A78" w:rsidP="002C5A78">
      <w:pPr>
        <w:pStyle w:val="SangriaFrancesaArticulo"/>
      </w:pPr>
      <w:r w:rsidRPr="002C5A78">
        <w:rPr>
          <w:rStyle w:val="TextoNormalNegritaCaracter"/>
        </w:rPr>
        <w:t>Artículo 246.3.</w:t>
      </w:r>
      <w:r w:rsidRPr="002C5A78">
        <w:rPr>
          <w:rStyle w:val="TextoNormalCaracter"/>
        </w:rPr>
        <w:t>-</w:t>
      </w:r>
      <w:r>
        <w:t xml:space="preserve"> Sentencia </w:t>
      </w:r>
      <w:hyperlink w:anchor="SENTENCIA_2021_95" w:history="1">
        <w:r w:rsidRPr="002C5A78">
          <w:rPr>
            <w:rStyle w:val="TextoNormalCaracter"/>
          </w:rPr>
          <w:t>95/2021</w:t>
        </w:r>
      </w:hyperlink>
      <w:r>
        <w:t>, ff. 1, 3.</w:t>
      </w:r>
    </w:p>
    <w:p w:rsidR="002C5A78" w:rsidRDefault="002C5A78" w:rsidP="002C5A78">
      <w:pPr>
        <w:pStyle w:val="SangriaFrancesaArticulo"/>
      </w:pPr>
      <w:r w:rsidRPr="002C5A78">
        <w:rPr>
          <w:rStyle w:val="TextoNormalNegritaCaracter"/>
        </w:rPr>
        <w:t>Artículo 250.1.2.</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250.1.4.</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250.1.4</w:t>
      </w:r>
      <w:r>
        <w:t xml:space="preserve"> (redactado por la Ley 5/2018, de 11 de junio)</w:t>
      </w:r>
      <w:r w:rsidRPr="002C5A78">
        <w:rPr>
          <w:rStyle w:val="TextoNormalNegritaCaracter"/>
        </w:rPr>
        <w:t>.</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250.1.7.</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267.</w:t>
      </w:r>
      <w:r w:rsidRPr="002C5A78">
        <w:rPr>
          <w:rStyle w:val="TextoNormalCaracter"/>
        </w:rPr>
        <w:t>-</w:t>
      </w:r>
      <w:r>
        <w:t xml:space="preserve"> Sentencia </w:t>
      </w:r>
      <w:hyperlink w:anchor="SENTENCIA_2021_43" w:history="1">
        <w:r w:rsidRPr="002C5A78">
          <w:rPr>
            <w:rStyle w:val="TextoNormalCaracter"/>
          </w:rPr>
          <w:t>43/2021</w:t>
        </w:r>
      </w:hyperlink>
      <w:r>
        <w:t>, f. 2.</w:t>
      </w:r>
    </w:p>
    <w:p w:rsidR="002C5A78" w:rsidRDefault="002C5A78" w:rsidP="002C5A78">
      <w:pPr>
        <w:pStyle w:val="SangriaFrancesaArticulo"/>
      </w:pPr>
      <w:r w:rsidRPr="002C5A78">
        <w:rPr>
          <w:rStyle w:val="TextoNormalNegritaCaracter"/>
        </w:rPr>
        <w:t>Artículo 268.</w:t>
      </w:r>
      <w:r w:rsidRPr="002C5A78">
        <w:rPr>
          <w:rStyle w:val="TextoNormalCaracter"/>
        </w:rPr>
        <w:t>-</w:t>
      </w:r>
      <w:r>
        <w:t xml:space="preserve"> Sentencia </w:t>
      </w:r>
      <w:hyperlink w:anchor="SENTENCIA_2021_43" w:history="1">
        <w:r w:rsidRPr="002C5A78">
          <w:rPr>
            <w:rStyle w:val="TextoNormalCaracter"/>
          </w:rPr>
          <w:t>43/2021</w:t>
        </w:r>
      </w:hyperlink>
      <w:r>
        <w:t>, f. 2.</w:t>
      </w:r>
    </w:p>
    <w:p w:rsidR="002C5A78" w:rsidRDefault="002C5A78" w:rsidP="002C5A78">
      <w:pPr>
        <w:pStyle w:val="SangriaFrancesaArticulo"/>
      </w:pPr>
      <w:r w:rsidRPr="002C5A78">
        <w:rPr>
          <w:rStyle w:val="TextoNormalNegritaCaracter"/>
        </w:rPr>
        <w:t>Artículo 273.3.</w:t>
      </w:r>
      <w:r w:rsidRPr="002C5A78">
        <w:rPr>
          <w:rStyle w:val="TextoNormalCaracter"/>
        </w:rPr>
        <w:t>-</w:t>
      </w:r>
      <w:r>
        <w:t xml:space="preserve"> Sentencia </w:t>
      </w:r>
      <w:hyperlink w:anchor="SENTENCIA_2021_48" w:history="1">
        <w:r w:rsidRPr="002C5A78">
          <w:rPr>
            <w:rStyle w:val="TextoNormalCaracter"/>
          </w:rPr>
          <w:t>48/2021</w:t>
        </w:r>
      </w:hyperlink>
      <w:r>
        <w:t>, f. 2.</w:t>
      </w:r>
    </w:p>
    <w:p w:rsidR="002C5A78" w:rsidRDefault="002C5A78" w:rsidP="002C5A78">
      <w:pPr>
        <w:pStyle w:val="SangriaFrancesaArticulo"/>
      </w:pPr>
      <w:r w:rsidRPr="002C5A78">
        <w:rPr>
          <w:rStyle w:val="TextoNormalNegritaCaracter"/>
        </w:rPr>
        <w:t>Artículo 273.3 a).</w:t>
      </w:r>
      <w:r w:rsidRPr="002C5A78">
        <w:rPr>
          <w:rStyle w:val="TextoNormalCaracter"/>
        </w:rPr>
        <w:t>-</w:t>
      </w:r>
      <w:r>
        <w:t xml:space="preserve"> Sentencia </w:t>
      </w:r>
      <w:hyperlink w:anchor="SENTENCIA_2021_48" w:history="1">
        <w:r w:rsidRPr="002C5A78">
          <w:rPr>
            <w:rStyle w:val="TextoNormalCaracter"/>
          </w:rPr>
          <w:t>48/2021</w:t>
        </w:r>
      </w:hyperlink>
      <w:r>
        <w:t>, f. 2.</w:t>
      </w:r>
    </w:p>
    <w:p w:rsidR="002C5A78" w:rsidRDefault="002C5A78" w:rsidP="002C5A78">
      <w:pPr>
        <w:pStyle w:val="SangriaFrancesaArticulo"/>
      </w:pPr>
      <w:r w:rsidRPr="002C5A78">
        <w:rPr>
          <w:rStyle w:val="TextoNormalNegritaCaracter"/>
        </w:rPr>
        <w:t>Artículo 273.4.</w:t>
      </w:r>
      <w:r w:rsidRPr="002C5A78">
        <w:rPr>
          <w:rStyle w:val="TextoNormalCaracter"/>
        </w:rPr>
        <w:t>-</w:t>
      </w:r>
      <w:r>
        <w:t xml:space="preserve"> Sentencias </w:t>
      </w:r>
      <w:hyperlink w:anchor="SENTENCIA_2021_25" w:history="1">
        <w:r w:rsidRPr="002C5A78">
          <w:rPr>
            <w:rStyle w:val="TextoNormalCaracter"/>
          </w:rPr>
          <w:t>25/2021</w:t>
        </w:r>
      </w:hyperlink>
      <w:r>
        <w:t xml:space="preserve">, f. 2; </w:t>
      </w:r>
      <w:hyperlink w:anchor="SENTENCIA_2021_26" w:history="1">
        <w:r w:rsidRPr="002C5A78">
          <w:rPr>
            <w:rStyle w:val="TextoNormalCaracter"/>
          </w:rPr>
          <w:t>26/2021</w:t>
        </w:r>
      </w:hyperlink>
      <w:r>
        <w:t xml:space="preserve">, f. único; </w:t>
      </w:r>
      <w:hyperlink w:anchor="SENTENCIA_2021_27" w:history="1">
        <w:r w:rsidRPr="002C5A78">
          <w:rPr>
            <w:rStyle w:val="TextoNormalCaracter"/>
          </w:rPr>
          <w:t>27/2021</w:t>
        </w:r>
      </w:hyperlink>
      <w:r>
        <w:t xml:space="preserve">, f. único; </w:t>
      </w:r>
      <w:hyperlink w:anchor="SENTENCIA_2021_28" w:history="1">
        <w:r w:rsidRPr="002C5A78">
          <w:rPr>
            <w:rStyle w:val="TextoNormalCaracter"/>
          </w:rPr>
          <w:t>28/2021</w:t>
        </w:r>
      </w:hyperlink>
      <w:r>
        <w:t xml:space="preserve">, f. único; </w:t>
      </w:r>
      <w:hyperlink w:anchor="SENTENCIA_2021_32" w:history="1">
        <w:r w:rsidRPr="002C5A78">
          <w:rPr>
            <w:rStyle w:val="TextoNormalCaracter"/>
          </w:rPr>
          <w:t>32/2021</w:t>
        </w:r>
      </w:hyperlink>
      <w:r>
        <w:t xml:space="preserve">, f. único; </w:t>
      </w:r>
      <w:hyperlink w:anchor="SENTENCIA_2021_33" w:history="1">
        <w:r w:rsidRPr="002C5A78">
          <w:rPr>
            <w:rStyle w:val="TextoNormalCaracter"/>
          </w:rPr>
          <w:t>33/2021</w:t>
        </w:r>
      </w:hyperlink>
      <w:r>
        <w:t xml:space="preserve">, f. 3; </w:t>
      </w:r>
      <w:hyperlink w:anchor="SENTENCIA_2021_45" w:history="1">
        <w:r w:rsidRPr="002C5A78">
          <w:rPr>
            <w:rStyle w:val="TextoNormalCaracter"/>
          </w:rPr>
          <w:t>45/2021</w:t>
        </w:r>
      </w:hyperlink>
      <w:r>
        <w:t xml:space="preserve">, f. único; </w:t>
      </w:r>
      <w:hyperlink w:anchor="SENTENCIA_2021_46" w:history="1">
        <w:r w:rsidRPr="002C5A78">
          <w:rPr>
            <w:rStyle w:val="TextoNormalCaracter"/>
          </w:rPr>
          <w:t>46/2021</w:t>
        </w:r>
      </w:hyperlink>
      <w:r>
        <w:t xml:space="preserve">, f. único; </w:t>
      </w:r>
      <w:hyperlink w:anchor="SENTENCIA_2021_47" w:history="1">
        <w:r w:rsidRPr="002C5A78">
          <w:rPr>
            <w:rStyle w:val="TextoNormalCaracter"/>
          </w:rPr>
          <w:t>47/2021</w:t>
        </w:r>
      </w:hyperlink>
      <w:r>
        <w:t xml:space="preserve">, f. único; </w:t>
      </w:r>
      <w:hyperlink w:anchor="SENTENCIA_2021_49" w:history="1">
        <w:r w:rsidRPr="002C5A78">
          <w:rPr>
            <w:rStyle w:val="TextoNormalCaracter"/>
          </w:rPr>
          <w:t>49/2021</w:t>
        </w:r>
      </w:hyperlink>
      <w:r>
        <w:t xml:space="preserve">, f. único; </w:t>
      </w:r>
      <w:hyperlink w:anchor="SENTENCIA_2021_58" w:history="1">
        <w:r w:rsidRPr="002C5A78">
          <w:rPr>
            <w:rStyle w:val="TextoNormalCaracter"/>
          </w:rPr>
          <w:t>58/2021</w:t>
        </w:r>
      </w:hyperlink>
      <w:r>
        <w:t xml:space="preserve">, f. único; </w:t>
      </w:r>
      <w:hyperlink w:anchor="SENTENCIA_2021_59" w:history="1">
        <w:r w:rsidRPr="002C5A78">
          <w:rPr>
            <w:rStyle w:val="TextoNormalCaracter"/>
          </w:rPr>
          <w:t>59/2021</w:t>
        </w:r>
      </w:hyperlink>
      <w:r>
        <w:t xml:space="preserve">, f. único; </w:t>
      </w:r>
      <w:hyperlink w:anchor="SENTENCIA_2021_62" w:history="1">
        <w:r w:rsidRPr="002C5A78">
          <w:rPr>
            <w:rStyle w:val="TextoNormalCaracter"/>
          </w:rPr>
          <w:t>62/2021</w:t>
        </w:r>
      </w:hyperlink>
      <w:r>
        <w:t xml:space="preserve">, f. 2; </w:t>
      </w:r>
      <w:hyperlink w:anchor="SENTENCIA_2021_64" w:history="1">
        <w:r w:rsidRPr="002C5A78">
          <w:rPr>
            <w:rStyle w:val="TextoNormalCaracter"/>
          </w:rPr>
          <w:t>64/2021</w:t>
        </w:r>
      </w:hyperlink>
      <w:r>
        <w:t xml:space="preserve">, f. 3; </w:t>
      </w:r>
      <w:hyperlink w:anchor="SENTENCIA_2021_84" w:history="1">
        <w:r w:rsidRPr="002C5A78">
          <w:rPr>
            <w:rStyle w:val="TextoNormalCaracter"/>
          </w:rPr>
          <w:t>84/2021</w:t>
        </w:r>
      </w:hyperlink>
      <w:r>
        <w:t xml:space="preserve">, f. único; </w:t>
      </w:r>
      <w:hyperlink w:anchor="SENTENCIA_2021_85" w:history="1">
        <w:r w:rsidRPr="002C5A78">
          <w:rPr>
            <w:rStyle w:val="TextoNormalCaracter"/>
          </w:rPr>
          <w:t>85/2021</w:t>
        </w:r>
      </w:hyperlink>
      <w:r>
        <w:t xml:space="preserve">, f. único; </w:t>
      </w:r>
      <w:hyperlink w:anchor="SENTENCIA_2021_86" w:history="1">
        <w:r w:rsidRPr="002C5A78">
          <w:rPr>
            <w:rStyle w:val="TextoNormalCaracter"/>
          </w:rPr>
          <w:t>86/2021</w:t>
        </w:r>
      </w:hyperlink>
      <w:r>
        <w:t xml:space="preserve">, f. único; </w:t>
      </w:r>
      <w:hyperlink w:anchor="SENTENCIA_2021_89" w:history="1">
        <w:r w:rsidRPr="002C5A78">
          <w:rPr>
            <w:rStyle w:val="TextoNormalCaracter"/>
          </w:rPr>
          <w:t>89/2021</w:t>
        </w:r>
      </w:hyperlink>
      <w:r>
        <w:t xml:space="preserve">, f. 2; </w:t>
      </w:r>
      <w:hyperlink w:anchor="SENTENCIA_2021_100" w:history="1">
        <w:r w:rsidRPr="002C5A78">
          <w:rPr>
            <w:rStyle w:val="TextoNormalCaracter"/>
          </w:rPr>
          <w:t>100/2021</w:t>
        </w:r>
      </w:hyperlink>
      <w:r>
        <w:t xml:space="preserve">, f. único; </w:t>
      </w:r>
      <w:hyperlink w:anchor="SENTENCIA_2021_103" w:history="1">
        <w:r w:rsidRPr="002C5A78">
          <w:rPr>
            <w:rStyle w:val="TextoNormalCaracter"/>
          </w:rPr>
          <w:t>103/2021</w:t>
        </w:r>
      </w:hyperlink>
      <w:r>
        <w:t xml:space="preserve">, f. único; </w:t>
      </w:r>
      <w:hyperlink w:anchor="SENTENCIA_2021_115" w:history="1">
        <w:r w:rsidRPr="002C5A78">
          <w:rPr>
            <w:rStyle w:val="TextoNormalCaracter"/>
          </w:rPr>
          <w:t>115/2021</w:t>
        </w:r>
      </w:hyperlink>
      <w:r>
        <w:t>, f. 2.</w:t>
      </w:r>
    </w:p>
    <w:p w:rsidR="002C5A78" w:rsidRDefault="002C5A78" w:rsidP="002C5A78">
      <w:pPr>
        <w:pStyle w:val="SangriaFrancesaArticulo"/>
      </w:pPr>
      <w:r w:rsidRPr="002C5A78">
        <w:rPr>
          <w:rStyle w:val="TextoNormalNegritaCaracter"/>
        </w:rPr>
        <w:t>Artículo 273.4 párrafo 2.</w:t>
      </w:r>
      <w:r w:rsidRPr="002C5A78">
        <w:rPr>
          <w:rStyle w:val="TextoNormalCaracter"/>
        </w:rPr>
        <w:t>-</w:t>
      </w:r>
      <w:r>
        <w:t xml:space="preserve"> Sentencias </w:t>
      </w:r>
      <w:hyperlink w:anchor="SENTENCIA_2021_48" w:history="1">
        <w:r w:rsidRPr="002C5A78">
          <w:rPr>
            <w:rStyle w:val="TextoNormalCaracter"/>
          </w:rPr>
          <w:t>48/2021</w:t>
        </w:r>
      </w:hyperlink>
      <w:r>
        <w:t xml:space="preserve">, f. 2; </w:t>
      </w:r>
      <w:hyperlink w:anchor="SENTENCIA_2021_56" w:history="1">
        <w:r w:rsidRPr="002C5A78">
          <w:rPr>
            <w:rStyle w:val="TextoNormalCaracter"/>
          </w:rPr>
          <w:t>56/2021</w:t>
        </w:r>
      </w:hyperlink>
      <w:r>
        <w:t>, f. 2.</w:t>
      </w:r>
    </w:p>
    <w:p w:rsidR="002C5A78" w:rsidRDefault="002C5A78" w:rsidP="002C5A78">
      <w:pPr>
        <w:pStyle w:val="SangriaFrancesaArticulo"/>
      </w:pPr>
      <w:r w:rsidRPr="002C5A78">
        <w:rPr>
          <w:rStyle w:val="TextoNormalNegritaCaracter"/>
        </w:rPr>
        <w:t>Artículo 394.3.</w:t>
      </w:r>
      <w:r w:rsidRPr="002C5A78">
        <w:rPr>
          <w:rStyle w:val="TextoNormalCaracter"/>
        </w:rPr>
        <w:t>-</w:t>
      </w:r>
      <w:r>
        <w:t xml:space="preserve"> Sentencia </w:t>
      </w:r>
      <w:hyperlink w:anchor="SENTENCIA_2021_95" w:history="1">
        <w:r w:rsidRPr="002C5A78">
          <w:rPr>
            <w:rStyle w:val="TextoNormalCaracter"/>
          </w:rPr>
          <w:t>95/2021</w:t>
        </w:r>
      </w:hyperlink>
      <w:r>
        <w:t>, f. 3.</w:t>
      </w:r>
    </w:p>
    <w:p w:rsidR="002C5A78" w:rsidRDefault="002C5A78" w:rsidP="002C5A78">
      <w:pPr>
        <w:pStyle w:val="SangriaFrancesaArticulo"/>
      </w:pPr>
      <w:r w:rsidRPr="002C5A78">
        <w:rPr>
          <w:rStyle w:val="TextoNormalNegritaCaracter"/>
        </w:rPr>
        <w:t>Artículo 439.2.</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440.2.</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440.3.</w:t>
      </w:r>
      <w:r w:rsidRPr="002C5A78">
        <w:rPr>
          <w:rStyle w:val="TextoNormalCaracter"/>
        </w:rPr>
        <w:t>-</w:t>
      </w:r>
      <w:r>
        <w:t xml:space="preserve"> Sentencia </w:t>
      </w:r>
      <w:hyperlink w:anchor="SENTENCIA_2021_82" w:history="1">
        <w:r w:rsidRPr="002C5A78">
          <w:rPr>
            <w:rStyle w:val="TextoNormalCaracter"/>
          </w:rPr>
          <w:t>82/2021</w:t>
        </w:r>
      </w:hyperlink>
      <w:r>
        <w:t>, f. 1.</w:t>
      </w:r>
    </w:p>
    <w:p w:rsidR="002C5A78" w:rsidRDefault="002C5A78" w:rsidP="002C5A78">
      <w:pPr>
        <w:pStyle w:val="SangriaFrancesaArticulo"/>
      </w:pPr>
      <w:r w:rsidRPr="002C5A78">
        <w:rPr>
          <w:rStyle w:val="TextoNormalNegritaCaracter"/>
        </w:rPr>
        <w:t>Artículo 441.1 bis, párrafo 3</w:t>
      </w:r>
      <w:r>
        <w:t xml:space="preserve"> (redactado por la Ley 5/2018, de 11 de junio )</w:t>
      </w:r>
      <w:r w:rsidRPr="002C5A78">
        <w:rPr>
          <w:rStyle w:val="TextoNormalNegritaCaracter"/>
        </w:rPr>
        <w:t>.</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441.3.</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444.2.</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447.3.</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448.2.</w:t>
      </w:r>
      <w:r w:rsidRPr="002C5A78">
        <w:rPr>
          <w:rStyle w:val="TextoNormalCaracter"/>
        </w:rPr>
        <w:t>-</w:t>
      </w:r>
      <w:r>
        <w:t xml:space="preserve"> Sentencia </w:t>
      </w:r>
      <w:hyperlink w:anchor="SENTENCIA_2021_96" w:history="1">
        <w:r w:rsidRPr="002C5A78">
          <w:rPr>
            <w:rStyle w:val="TextoNormalCaracter"/>
          </w:rPr>
          <w:t>96/2021</w:t>
        </w:r>
      </w:hyperlink>
      <w:r>
        <w:t>, f. único.</w:t>
      </w:r>
    </w:p>
    <w:p w:rsidR="002C5A78" w:rsidRDefault="002C5A78" w:rsidP="002C5A78">
      <w:pPr>
        <w:pStyle w:val="SangriaFrancesaArticulo"/>
      </w:pPr>
      <w:r w:rsidRPr="002C5A78">
        <w:rPr>
          <w:rStyle w:val="TextoNormalNegritaCaracter"/>
        </w:rPr>
        <w:t>Artículo 454 bis.</w:t>
      </w:r>
      <w:r w:rsidRPr="002C5A78">
        <w:rPr>
          <w:rStyle w:val="TextoNormalCaracter"/>
        </w:rPr>
        <w:t>-</w:t>
      </w:r>
      <w:r>
        <w:t xml:space="preserve"> Sentencias </w:t>
      </w:r>
      <w:hyperlink w:anchor="SENTENCIA_2021_23" w:history="1">
        <w:r w:rsidRPr="002C5A78">
          <w:rPr>
            <w:rStyle w:val="TextoNormalCaracter"/>
          </w:rPr>
          <w:t>23/2021</w:t>
        </w:r>
      </w:hyperlink>
      <w:r>
        <w:t xml:space="preserve">, f. 2; </w:t>
      </w:r>
      <w:hyperlink w:anchor="SENTENCIA_2021_54" w:history="1">
        <w:r w:rsidRPr="002C5A78">
          <w:rPr>
            <w:rStyle w:val="TextoNormalCaracter"/>
          </w:rPr>
          <w:t>54/2021</w:t>
        </w:r>
      </w:hyperlink>
      <w:r>
        <w:t>, ff. 2, 3.</w:t>
      </w:r>
    </w:p>
    <w:p w:rsidR="002C5A78" w:rsidRDefault="002C5A78" w:rsidP="002C5A78">
      <w:pPr>
        <w:pStyle w:val="SangriaFrancesaArticulo"/>
      </w:pPr>
      <w:r w:rsidRPr="002C5A78">
        <w:rPr>
          <w:rStyle w:val="TextoNormalNegritaCaracter"/>
        </w:rPr>
        <w:t>Artículo 454 bis.1</w:t>
      </w:r>
      <w:r>
        <w:t xml:space="preserve"> (redactado por la Ley 37/2011, de 10 de octubre)</w:t>
      </w:r>
      <w:r w:rsidRPr="002C5A78">
        <w:rPr>
          <w:rStyle w:val="TextoNormalNegritaCaracter"/>
        </w:rPr>
        <w:t>.</w:t>
      </w:r>
      <w:r w:rsidRPr="002C5A78">
        <w:rPr>
          <w:rStyle w:val="TextoNormalCaracter"/>
        </w:rPr>
        <w:t>-</w:t>
      </w:r>
      <w:r>
        <w:t xml:space="preserve"> Sentencia </w:t>
      </w:r>
      <w:hyperlink w:anchor="SENTENCIA_2021_23" w:history="1">
        <w:r w:rsidRPr="002C5A78">
          <w:rPr>
            <w:rStyle w:val="TextoNormalCaracter"/>
          </w:rPr>
          <w:t>23/2021</w:t>
        </w:r>
      </w:hyperlink>
      <w:r>
        <w:t>, f. 2.</w:t>
      </w:r>
    </w:p>
    <w:p w:rsidR="002C5A78" w:rsidRDefault="002C5A78" w:rsidP="002C5A78">
      <w:pPr>
        <w:pStyle w:val="SangriaFrancesaArticulo"/>
      </w:pPr>
      <w:r w:rsidRPr="002C5A78">
        <w:rPr>
          <w:rStyle w:val="TextoNormalNegritaCaracter"/>
        </w:rPr>
        <w:t>Artículo 454 bis.1 párrafo primero.</w:t>
      </w:r>
      <w:r w:rsidRPr="002C5A78">
        <w:rPr>
          <w:rStyle w:val="TextoNormalCaracter"/>
        </w:rPr>
        <w:t>-</w:t>
      </w:r>
      <w:r>
        <w:t xml:space="preserve"> Sentencia </w:t>
      </w:r>
      <w:hyperlink w:anchor="SENTENCIA_2021_54" w:history="1">
        <w:r w:rsidRPr="002C5A78">
          <w:rPr>
            <w:rStyle w:val="TextoNormalCaracter"/>
          </w:rPr>
          <w:t>54/2021</w:t>
        </w:r>
      </w:hyperlink>
      <w:r>
        <w:t>, ff. 2, 3.</w:t>
      </w:r>
    </w:p>
    <w:p w:rsidR="002C5A78" w:rsidRDefault="002C5A78" w:rsidP="002C5A78">
      <w:pPr>
        <w:pStyle w:val="SangriaFrancesaArticulo"/>
      </w:pPr>
      <w:r w:rsidRPr="002C5A78">
        <w:rPr>
          <w:rStyle w:val="TextoNormalNegritaCaracter"/>
        </w:rPr>
        <w:t>Artículo 501.</w:t>
      </w:r>
      <w:r w:rsidRPr="002C5A78">
        <w:rPr>
          <w:rStyle w:val="TextoNormalCaracter"/>
        </w:rPr>
        <w:t>-</w:t>
      </w:r>
      <w:r>
        <w:t xml:space="preserve"> Sentencia </w:t>
      </w:r>
      <w:hyperlink w:anchor="SENTENCIA_2021_117" w:history="1">
        <w:r w:rsidRPr="002C5A78">
          <w:rPr>
            <w:rStyle w:val="TextoNormalCaracter"/>
          </w:rPr>
          <w:t>117/2021</w:t>
        </w:r>
      </w:hyperlink>
      <w:r>
        <w:t>, f. 4.</w:t>
      </w:r>
    </w:p>
    <w:p w:rsidR="002C5A78" w:rsidRDefault="002C5A78" w:rsidP="002C5A78">
      <w:pPr>
        <w:pStyle w:val="SangriaFrancesaArticulo"/>
      </w:pPr>
      <w:r w:rsidRPr="002C5A78">
        <w:rPr>
          <w:rStyle w:val="TextoNormalNegritaCaracter"/>
        </w:rPr>
        <w:t>Artículo 517.1.4.</w:t>
      </w:r>
      <w:r w:rsidRPr="002C5A78">
        <w:rPr>
          <w:rStyle w:val="TextoNormalCaracter"/>
        </w:rPr>
        <w:t>-</w:t>
      </w:r>
      <w:r>
        <w:t xml:space="preserve"> Sentencias </w:t>
      </w:r>
      <w:hyperlink w:anchor="SENTENCIA_2021_24" w:history="1">
        <w:r w:rsidRPr="002C5A78">
          <w:rPr>
            <w:rStyle w:val="TextoNormalCaracter"/>
          </w:rPr>
          <w:t>24/2021</w:t>
        </w:r>
      </w:hyperlink>
      <w:r>
        <w:t xml:space="preserve">, f. 2; </w:t>
      </w:r>
      <w:hyperlink w:anchor="SENTENCIA_2021_101" w:history="1">
        <w:r w:rsidRPr="002C5A78">
          <w:rPr>
            <w:rStyle w:val="TextoNormalCaracter"/>
          </w:rPr>
          <w:t>101/2021</w:t>
        </w:r>
      </w:hyperlink>
      <w:r>
        <w:t xml:space="preserve">, ff. 3, 4; </w:t>
      </w:r>
      <w:hyperlink w:anchor="SENTENCIA_2021_102" w:history="1">
        <w:r w:rsidRPr="002C5A78">
          <w:rPr>
            <w:rStyle w:val="TextoNormalCaracter"/>
          </w:rPr>
          <w:t>102/2021</w:t>
        </w:r>
      </w:hyperlink>
      <w:r>
        <w:t>, f. 3.</w:t>
      </w:r>
    </w:p>
    <w:p w:rsidR="002C5A78" w:rsidRDefault="002C5A78" w:rsidP="002C5A78">
      <w:pPr>
        <w:pStyle w:val="SangriaFrancesaArticulo"/>
      </w:pPr>
      <w:r w:rsidRPr="002C5A78">
        <w:rPr>
          <w:rStyle w:val="TextoNormalNegritaCaracter"/>
        </w:rPr>
        <w:t>Artículo 549.</w:t>
      </w:r>
      <w:r w:rsidRPr="002C5A78">
        <w:rPr>
          <w:rStyle w:val="TextoNormalCaracter"/>
        </w:rPr>
        <w:t>-</w:t>
      </w:r>
      <w:r>
        <w:t xml:space="preserve"> Sentencia </w:t>
      </w:r>
      <w:hyperlink w:anchor="SENTENCIA_2021_101" w:history="1">
        <w:r w:rsidRPr="002C5A78">
          <w:rPr>
            <w:rStyle w:val="TextoNormalCaracter"/>
          </w:rPr>
          <w:t>101/2021</w:t>
        </w:r>
      </w:hyperlink>
      <w:r>
        <w:t>, f. 4.</w:t>
      </w:r>
    </w:p>
    <w:p w:rsidR="002C5A78" w:rsidRDefault="002C5A78" w:rsidP="002C5A78">
      <w:pPr>
        <w:pStyle w:val="SangriaFrancesaArticulo"/>
      </w:pPr>
      <w:r w:rsidRPr="002C5A78">
        <w:rPr>
          <w:rStyle w:val="TextoNormalNegritaCaracter"/>
        </w:rPr>
        <w:t>Artículo 550.</w:t>
      </w:r>
      <w:r w:rsidRPr="002C5A78">
        <w:rPr>
          <w:rStyle w:val="TextoNormalCaracter"/>
        </w:rPr>
        <w:t>-</w:t>
      </w:r>
      <w:r>
        <w:t xml:space="preserve"> Sentencia </w:t>
      </w:r>
      <w:hyperlink w:anchor="SENTENCIA_2021_101" w:history="1">
        <w:r w:rsidRPr="002C5A78">
          <w:rPr>
            <w:rStyle w:val="TextoNormalCaracter"/>
          </w:rPr>
          <w:t>101/2021</w:t>
        </w:r>
      </w:hyperlink>
      <w:r>
        <w:t>, f. 4.</w:t>
      </w:r>
    </w:p>
    <w:p w:rsidR="002C5A78" w:rsidRDefault="002C5A78" w:rsidP="002C5A78">
      <w:pPr>
        <w:pStyle w:val="SangriaFrancesaArticulo"/>
      </w:pPr>
      <w:r w:rsidRPr="002C5A78">
        <w:rPr>
          <w:rStyle w:val="TextoNormalNegritaCaracter"/>
        </w:rPr>
        <w:t>Artículo 551.</w:t>
      </w:r>
      <w:r w:rsidRPr="002C5A78">
        <w:rPr>
          <w:rStyle w:val="TextoNormalCaracter"/>
        </w:rPr>
        <w:t>-</w:t>
      </w:r>
      <w:r>
        <w:t xml:space="preserve"> Sentencia </w:t>
      </w:r>
      <w:hyperlink w:anchor="SENTENCIA_2021_101" w:history="1">
        <w:r w:rsidRPr="002C5A78">
          <w:rPr>
            <w:rStyle w:val="TextoNormalCaracter"/>
          </w:rPr>
          <w:t>101/2021</w:t>
        </w:r>
      </w:hyperlink>
      <w:r>
        <w:t>, ff. 3, 4.</w:t>
      </w:r>
    </w:p>
    <w:p w:rsidR="002C5A78" w:rsidRDefault="002C5A78" w:rsidP="002C5A78">
      <w:pPr>
        <w:pStyle w:val="SangriaFrancesaArticulo"/>
      </w:pPr>
      <w:r w:rsidRPr="002C5A78">
        <w:rPr>
          <w:rStyle w:val="TextoNormalNegritaCaracter"/>
        </w:rPr>
        <w:t>Artículo 552.1.</w:t>
      </w:r>
      <w:r w:rsidRPr="002C5A78">
        <w:rPr>
          <w:rStyle w:val="TextoNormalCaracter"/>
        </w:rPr>
        <w:t>-</w:t>
      </w:r>
      <w:r>
        <w:t xml:space="preserve"> Sentencia </w:t>
      </w:r>
      <w:hyperlink w:anchor="SENTENCIA_2021_24" w:history="1">
        <w:r w:rsidRPr="002C5A78">
          <w:rPr>
            <w:rStyle w:val="TextoNormalCaracter"/>
          </w:rPr>
          <w:t>24/2021</w:t>
        </w:r>
      </w:hyperlink>
      <w:r>
        <w:t>, f. 3.</w:t>
      </w:r>
    </w:p>
    <w:p w:rsidR="002C5A78" w:rsidRDefault="002C5A78" w:rsidP="002C5A78">
      <w:pPr>
        <w:pStyle w:val="SangriaFrancesaArticulo"/>
      </w:pPr>
      <w:r w:rsidRPr="002C5A78">
        <w:rPr>
          <w:rStyle w:val="TextoNormalNegritaCaracter"/>
        </w:rPr>
        <w:t>Artículo 553.</w:t>
      </w:r>
      <w:r w:rsidRPr="002C5A78">
        <w:rPr>
          <w:rStyle w:val="TextoNormalCaracter"/>
        </w:rPr>
        <w:t>-</w:t>
      </w:r>
      <w:r>
        <w:t xml:space="preserve"> Sentencias </w:t>
      </w:r>
      <w:hyperlink w:anchor="SENTENCIA_2021_87" w:history="1">
        <w:r w:rsidRPr="002C5A78">
          <w:rPr>
            <w:rStyle w:val="TextoNormalCaracter"/>
          </w:rPr>
          <w:t>87/2021</w:t>
        </w:r>
      </w:hyperlink>
      <w:r>
        <w:t xml:space="preserve">, f. 2; </w:t>
      </w:r>
      <w:hyperlink w:anchor="SENTENCIA_2021_118" w:history="1">
        <w:r w:rsidRPr="002C5A78">
          <w:rPr>
            <w:rStyle w:val="TextoNormalCaracter"/>
          </w:rPr>
          <w:t>118/2021</w:t>
        </w:r>
      </w:hyperlink>
      <w:r>
        <w:t>, f. 2.</w:t>
      </w:r>
    </w:p>
    <w:p w:rsidR="002C5A78" w:rsidRDefault="002C5A78" w:rsidP="002C5A78">
      <w:pPr>
        <w:pStyle w:val="SangriaFrancesaArticulo"/>
      </w:pPr>
      <w:r w:rsidRPr="002C5A78">
        <w:rPr>
          <w:rStyle w:val="TextoNormalNegritaCaracter"/>
        </w:rPr>
        <w:t>Artículo 556.</w:t>
      </w:r>
      <w:r w:rsidRPr="002C5A78">
        <w:rPr>
          <w:rStyle w:val="TextoNormalCaracter"/>
        </w:rPr>
        <w:t>-</w:t>
      </w:r>
      <w:r>
        <w:t xml:space="preserve"> Sentencias </w:t>
      </w:r>
      <w:hyperlink w:anchor="SENTENCIA_2021_26" w:history="1">
        <w:r w:rsidRPr="002C5A78">
          <w:rPr>
            <w:rStyle w:val="TextoNormalCaracter"/>
          </w:rPr>
          <w:t>26/2021</w:t>
        </w:r>
      </w:hyperlink>
      <w:r>
        <w:t xml:space="preserve">, f. único; </w:t>
      </w:r>
      <w:hyperlink w:anchor="SENTENCIA_2021_27" w:history="1">
        <w:r w:rsidRPr="002C5A78">
          <w:rPr>
            <w:rStyle w:val="TextoNormalCaracter"/>
          </w:rPr>
          <w:t>27/2021</w:t>
        </w:r>
      </w:hyperlink>
      <w:r>
        <w:t xml:space="preserve">, f. único; </w:t>
      </w:r>
      <w:hyperlink w:anchor="SENTENCIA_2021_28" w:history="1">
        <w:r w:rsidRPr="002C5A78">
          <w:rPr>
            <w:rStyle w:val="TextoNormalCaracter"/>
          </w:rPr>
          <w:t>28/2021</w:t>
        </w:r>
      </w:hyperlink>
      <w:r>
        <w:t xml:space="preserve">, f. único; </w:t>
      </w:r>
      <w:hyperlink w:anchor="SENTENCIA_2021_32" w:history="1">
        <w:r w:rsidRPr="002C5A78">
          <w:rPr>
            <w:rStyle w:val="TextoNormalCaracter"/>
          </w:rPr>
          <w:t>32/2021</w:t>
        </w:r>
      </w:hyperlink>
      <w:r>
        <w:t xml:space="preserve">, f. único; </w:t>
      </w:r>
      <w:hyperlink w:anchor="SENTENCIA_2021_49" w:history="1">
        <w:r w:rsidRPr="002C5A78">
          <w:rPr>
            <w:rStyle w:val="TextoNormalCaracter"/>
          </w:rPr>
          <w:t>49/2021</w:t>
        </w:r>
      </w:hyperlink>
      <w:r>
        <w:t xml:space="preserve">, f. único; </w:t>
      </w:r>
      <w:hyperlink w:anchor="SENTENCIA_2021_50" w:history="1">
        <w:r w:rsidRPr="002C5A78">
          <w:rPr>
            <w:rStyle w:val="TextoNormalCaracter"/>
          </w:rPr>
          <w:t>50/2021</w:t>
        </w:r>
      </w:hyperlink>
      <w:r>
        <w:t xml:space="preserve">, f. 2; </w:t>
      </w:r>
      <w:hyperlink w:anchor="SENTENCIA_2021_58" w:history="1">
        <w:r w:rsidRPr="002C5A78">
          <w:rPr>
            <w:rStyle w:val="TextoNormalCaracter"/>
          </w:rPr>
          <w:t>58/2021</w:t>
        </w:r>
      </w:hyperlink>
      <w:r>
        <w:t xml:space="preserve">, f. único; </w:t>
      </w:r>
      <w:hyperlink w:anchor="SENTENCIA_2021_59" w:history="1">
        <w:r w:rsidRPr="002C5A78">
          <w:rPr>
            <w:rStyle w:val="TextoNormalCaracter"/>
          </w:rPr>
          <w:t>59/2021</w:t>
        </w:r>
      </w:hyperlink>
      <w:r>
        <w:t xml:space="preserve">, f. único; </w:t>
      </w:r>
      <w:hyperlink w:anchor="SENTENCIA_2021_85" w:history="1">
        <w:r w:rsidRPr="002C5A78">
          <w:rPr>
            <w:rStyle w:val="TextoNormalCaracter"/>
          </w:rPr>
          <w:t>85/2021</w:t>
        </w:r>
      </w:hyperlink>
      <w:r>
        <w:t xml:space="preserve">, f. único; </w:t>
      </w:r>
      <w:hyperlink w:anchor="SENTENCIA_2021_100" w:history="1">
        <w:r w:rsidRPr="002C5A78">
          <w:rPr>
            <w:rStyle w:val="TextoNormalCaracter"/>
          </w:rPr>
          <w:t>100/2021</w:t>
        </w:r>
      </w:hyperlink>
      <w:r>
        <w:t xml:space="preserve">, f. único; </w:t>
      </w:r>
      <w:hyperlink w:anchor="SENTENCIA_2021_103" w:history="1">
        <w:r w:rsidRPr="002C5A78">
          <w:rPr>
            <w:rStyle w:val="TextoNormalCaracter"/>
          </w:rPr>
          <w:t>103/2021</w:t>
        </w:r>
      </w:hyperlink>
      <w:r>
        <w:t xml:space="preserve">, f. único; </w:t>
      </w:r>
      <w:hyperlink w:anchor="SENTENCIA_2021_113" w:history="1">
        <w:r w:rsidRPr="002C5A78">
          <w:rPr>
            <w:rStyle w:val="TextoNormalCaracter"/>
          </w:rPr>
          <w:t>113/2021</w:t>
        </w:r>
      </w:hyperlink>
      <w:r>
        <w:t xml:space="preserve">, f. 3, VP; </w:t>
      </w:r>
      <w:hyperlink w:anchor="SENTENCIA_2021_115" w:history="1">
        <w:r w:rsidRPr="002C5A78">
          <w:rPr>
            <w:rStyle w:val="TextoNormalCaracter"/>
          </w:rPr>
          <w:t>115/2021</w:t>
        </w:r>
      </w:hyperlink>
      <w:r>
        <w:t>, f. 2.</w:t>
      </w:r>
    </w:p>
    <w:p w:rsidR="002C5A78" w:rsidRDefault="002C5A78" w:rsidP="002C5A78">
      <w:pPr>
        <w:pStyle w:val="SangriaFrancesaArticulo"/>
      </w:pPr>
      <w:r w:rsidRPr="002C5A78">
        <w:rPr>
          <w:rStyle w:val="TextoNormalNegritaCaracter"/>
        </w:rPr>
        <w:t>Artículo 557.</w:t>
      </w:r>
      <w:r w:rsidRPr="002C5A78">
        <w:rPr>
          <w:rStyle w:val="TextoNormalCaracter"/>
        </w:rPr>
        <w:t>-</w:t>
      </w:r>
      <w:r>
        <w:t xml:space="preserve"> Sentencia </w:t>
      </w:r>
      <w:hyperlink w:anchor="SENTENCIA_2021_50" w:history="1">
        <w:r w:rsidRPr="002C5A78">
          <w:rPr>
            <w:rStyle w:val="TextoNormalCaracter"/>
          </w:rPr>
          <w:t>50/2021</w:t>
        </w:r>
      </w:hyperlink>
      <w:r>
        <w:t>, f. 2.</w:t>
      </w:r>
    </w:p>
    <w:p w:rsidR="002C5A78" w:rsidRDefault="002C5A78" w:rsidP="002C5A78">
      <w:pPr>
        <w:pStyle w:val="SangriaFrancesaArticulo"/>
      </w:pPr>
      <w:r w:rsidRPr="002C5A78">
        <w:rPr>
          <w:rStyle w:val="TextoNormalNegritaCaracter"/>
        </w:rPr>
        <w:t>Artículo 557.1.7.</w:t>
      </w:r>
      <w:r w:rsidRPr="002C5A78">
        <w:rPr>
          <w:rStyle w:val="TextoNormalCaracter"/>
        </w:rPr>
        <w:t>-</w:t>
      </w:r>
      <w:r>
        <w:t xml:space="preserve"> Sentencia </w:t>
      </w:r>
      <w:hyperlink w:anchor="SENTENCIA_2021_50" w:history="1">
        <w:r w:rsidRPr="002C5A78">
          <w:rPr>
            <w:rStyle w:val="TextoNormalCaracter"/>
          </w:rPr>
          <w:t>50/2021</w:t>
        </w:r>
      </w:hyperlink>
      <w:r>
        <w:t>, f. 3.</w:t>
      </w:r>
    </w:p>
    <w:p w:rsidR="002C5A78" w:rsidRDefault="002C5A78" w:rsidP="002C5A78">
      <w:pPr>
        <w:pStyle w:val="SangriaFrancesaArticulo"/>
      </w:pPr>
      <w:r w:rsidRPr="002C5A78">
        <w:rPr>
          <w:rStyle w:val="TextoNormalNegritaCaracter"/>
        </w:rPr>
        <w:t>Artículo 559.</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560.</w:t>
      </w:r>
      <w:r w:rsidRPr="002C5A78">
        <w:rPr>
          <w:rStyle w:val="TextoNormalCaracter"/>
        </w:rPr>
        <w:t>-</w:t>
      </w:r>
      <w:r>
        <w:t xml:space="preserve"> Sentencia </w:t>
      </w:r>
      <w:hyperlink w:anchor="SENTENCIA_2021_54" w:history="1">
        <w:r w:rsidRPr="002C5A78">
          <w:rPr>
            <w:rStyle w:val="TextoNormalCaracter"/>
          </w:rPr>
          <w:t>54/2021</w:t>
        </w:r>
      </w:hyperlink>
      <w:r>
        <w:t>, f. 2.</w:t>
      </w:r>
    </w:p>
    <w:p w:rsidR="002C5A78" w:rsidRDefault="002C5A78" w:rsidP="002C5A78">
      <w:pPr>
        <w:pStyle w:val="SangriaFrancesaArticulo"/>
      </w:pPr>
      <w:r w:rsidRPr="002C5A78">
        <w:rPr>
          <w:rStyle w:val="TextoNormalNegritaCaracter"/>
        </w:rPr>
        <w:t>Artículo 570.</w:t>
      </w:r>
      <w:r w:rsidRPr="002C5A78">
        <w:rPr>
          <w:rStyle w:val="TextoNormalCaracter"/>
        </w:rPr>
        <w:t>-</w:t>
      </w:r>
      <w:r>
        <w:t xml:space="preserve"> Sentencias </w:t>
      </w:r>
      <w:hyperlink w:anchor="SENTENCIA_2021_54" w:history="1">
        <w:r w:rsidRPr="002C5A78">
          <w:rPr>
            <w:rStyle w:val="TextoNormalCaracter"/>
          </w:rPr>
          <w:t>54/2021</w:t>
        </w:r>
      </w:hyperlink>
      <w:r>
        <w:t xml:space="preserve">, f. 2; </w:t>
      </w:r>
      <w:hyperlink w:anchor="SENTENCIA_2021_101" w:history="1">
        <w:r w:rsidRPr="002C5A78">
          <w:rPr>
            <w:rStyle w:val="TextoNormalCaracter"/>
          </w:rPr>
          <w:t>101/2021</w:t>
        </w:r>
      </w:hyperlink>
      <w:r>
        <w:t>, f. 4.</w:t>
      </w:r>
    </w:p>
    <w:p w:rsidR="002C5A78" w:rsidRDefault="002C5A78" w:rsidP="002C5A78">
      <w:pPr>
        <w:pStyle w:val="SangriaFrancesaArticulo"/>
      </w:pPr>
      <w:r w:rsidRPr="002C5A78">
        <w:rPr>
          <w:rStyle w:val="TextoNormalNegritaCaracter"/>
        </w:rPr>
        <w:t>Artículo 662.1.</w:t>
      </w:r>
      <w:r w:rsidRPr="002C5A78">
        <w:rPr>
          <w:rStyle w:val="TextoNormalCaracter"/>
        </w:rPr>
        <w:t>-</w:t>
      </w:r>
      <w:r>
        <w:t xml:space="preserve"> Sentencia </w:t>
      </w:r>
      <w:hyperlink w:anchor="SENTENCIA_2021_131" w:history="1">
        <w:r w:rsidRPr="002C5A78">
          <w:rPr>
            <w:rStyle w:val="TextoNormalCaracter"/>
          </w:rPr>
          <w:t>131/2021</w:t>
        </w:r>
      </w:hyperlink>
      <w:r>
        <w:t>, f. 2.</w:t>
      </w:r>
    </w:p>
    <w:p w:rsidR="002C5A78" w:rsidRDefault="002C5A78" w:rsidP="002C5A78">
      <w:pPr>
        <w:pStyle w:val="SangriaFrancesaArticulo"/>
      </w:pPr>
      <w:r w:rsidRPr="002C5A78">
        <w:rPr>
          <w:rStyle w:val="TextoNormalNegritaCaracter"/>
        </w:rPr>
        <w:t>Artículo 662.2.</w:t>
      </w:r>
      <w:r w:rsidRPr="002C5A78">
        <w:rPr>
          <w:rStyle w:val="TextoNormalCaracter"/>
        </w:rPr>
        <w:t>-</w:t>
      </w:r>
      <w:r>
        <w:t xml:space="preserve"> Sentencia </w:t>
      </w:r>
      <w:hyperlink w:anchor="SENTENCIA_2021_131" w:history="1">
        <w:r w:rsidRPr="002C5A78">
          <w:rPr>
            <w:rStyle w:val="TextoNormalCaracter"/>
          </w:rPr>
          <w:t>131/2021</w:t>
        </w:r>
      </w:hyperlink>
      <w:r>
        <w:t>, f. 3.</w:t>
      </w:r>
    </w:p>
    <w:p w:rsidR="002C5A78" w:rsidRDefault="002C5A78" w:rsidP="002C5A78">
      <w:pPr>
        <w:pStyle w:val="SangriaFrancesaArticulo"/>
      </w:pPr>
      <w:r w:rsidRPr="002C5A78">
        <w:rPr>
          <w:rStyle w:val="TextoNormalNegritaCaracter"/>
        </w:rPr>
        <w:t>Artículo 662.3.</w:t>
      </w:r>
      <w:r w:rsidRPr="002C5A78">
        <w:rPr>
          <w:rStyle w:val="TextoNormalCaracter"/>
        </w:rPr>
        <w:t>-</w:t>
      </w:r>
      <w:r>
        <w:t xml:space="preserve"> Sentencia </w:t>
      </w:r>
      <w:hyperlink w:anchor="SENTENCIA_2021_131" w:history="1">
        <w:r w:rsidRPr="002C5A78">
          <w:rPr>
            <w:rStyle w:val="TextoNormalCaracter"/>
          </w:rPr>
          <w:t>131/2021</w:t>
        </w:r>
      </w:hyperlink>
      <w:r>
        <w:t>, f. 3.</w:t>
      </w:r>
    </w:p>
    <w:p w:rsidR="002C5A78" w:rsidRDefault="002C5A78" w:rsidP="002C5A78">
      <w:pPr>
        <w:pStyle w:val="SangriaFrancesaArticulo"/>
      </w:pPr>
      <w:r w:rsidRPr="002C5A78">
        <w:rPr>
          <w:rStyle w:val="TextoNormalNegritaCaracter"/>
        </w:rPr>
        <w:t>Artículo 681 y ss..</w:t>
      </w:r>
      <w:r w:rsidRPr="002C5A78">
        <w:rPr>
          <w:rStyle w:val="TextoNormalCaracter"/>
        </w:rPr>
        <w:t>-</w:t>
      </w:r>
      <w:r>
        <w:t xml:space="preserve"> Sentencia </w:t>
      </w:r>
      <w:hyperlink w:anchor="SENTENCIA_2021_101" w:history="1">
        <w:r w:rsidRPr="002C5A78">
          <w:rPr>
            <w:rStyle w:val="TextoNormalCaracter"/>
          </w:rPr>
          <w:t>101/2021</w:t>
        </w:r>
      </w:hyperlink>
      <w:r>
        <w:t>, f. 3.</w:t>
      </w:r>
    </w:p>
    <w:p w:rsidR="002C5A78" w:rsidRDefault="002C5A78" w:rsidP="002C5A78">
      <w:pPr>
        <w:pStyle w:val="SangriaFrancesaArticulo"/>
      </w:pPr>
      <w:r w:rsidRPr="002C5A78">
        <w:rPr>
          <w:rStyle w:val="TextoNormalNegritaCaracter"/>
        </w:rPr>
        <w:t>Artículo 685.</w:t>
      </w:r>
      <w:r w:rsidRPr="002C5A78">
        <w:rPr>
          <w:rStyle w:val="TextoNormalCaracter"/>
        </w:rPr>
        <w:t>-</w:t>
      </w:r>
      <w:r>
        <w:t xml:space="preserve"> Sentencias </w:t>
      </w:r>
      <w:hyperlink w:anchor="SENTENCIA_2021_24" w:history="1">
        <w:r w:rsidRPr="002C5A78">
          <w:rPr>
            <w:rStyle w:val="TextoNormalCaracter"/>
          </w:rPr>
          <w:t>24/2021</w:t>
        </w:r>
      </w:hyperlink>
      <w:r>
        <w:t xml:space="preserve">, f. 2; </w:t>
      </w:r>
      <w:hyperlink w:anchor="SENTENCIA_2021_50" w:history="1">
        <w:r w:rsidRPr="002C5A78">
          <w:rPr>
            <w:rStyle w:val="TextoNormalCaracter"/>
          </w:rPr>
          <w:t>50/2021</w:t>
        </w:r>
      </w:hyperlink>
      <w:r>
        <w:t xml:space="preserve">, f. 2; </w:t>
      </w:r>
      <w:hyperlink w:anchor="SENTENCIA_2021_101" w:history="1">
        <w:r w:rsidRPr="002C5A78">
          <w:rPr>
            <w:rStyle w:val="TextoNormalCaracter"/>
          </w:rPr>
          <w:t>101/2021</w:t>
        </w:r>
      </w:hyperlink>
      <w:r>
        <w:t xml:space="preserve">, f. 3; </w:t>
      </w:r>
      <w:hyperlink w:anchor="SENTENCIA_2021_102" w:history="1">
        <w:r w:rsidRPr="002C5A78">
          <w:rPr>
            <w:rStyle w:val="TextoNormalCaracter"/>
          </w:rPr>
          <w:t>102/2021</w:t>
        </w:r>
      </w:hyperlink>
      <w:r>
        <w:t>, f. 3.</w:t>
      </w:r>
    </w:p>
    <w:p w:rsidR="002C5A78" w:rsidRDefault="002C5A78" w:rsidP="002C5A78">
      <w:pPr>
        <w:pStyle w:val="SangriaFrancesaArticulo"/>
      </w:pPr>
      <w:r w:rsidRPr="002C5A78">
        <w:rPr>
          <w:rStyle w:val="TextoNormalNegritaCaracter"/>
        </w:rPr>
        <w:t>Artículo 685.2.</w:t>
      </w:r>
      <w:r w:rsidRPr="002C5A78">
        <w:rPr>
          <w:rStyle w:val="TextoNormalCaracter"/>
        </w:rPr>
        <w:t>-</w:t>
      </w:r>
      <w:r>
        <w:t xml:space="preserve"> Sentencia </w:t>
      </w:r>
      <w:hyperlink w:anchor="SENTENCIA_2021_101" w:history="1">
        <w:r w:rsidRPr="002C5A78">
          <w:rPr>
            <w:rStyle w:val="TextoNormalCaracter"/>
          </w:rPr>
          <w:t>101/2021</w:t>
        </w:r>
      </w:hyperlink>
      <w:r>
        <w:t>, f. 4.</w:t>
      </w:r>
    </w:p>
    <w:p w:rsidR="002C5A78" w:rsidRDefault="002C5A78" w:rsidP="002C5A78">
      <w:pPr>
        <w:pStyle w:val="SangriaFrancesaArticulo"/>
      </w:pPr>
      <w:r w:rsidRPr="002C5A78">
        <w:rPr>
          <w:rStyle w:val="TextoNormalNegritaCaracter"/>
        </w:rPr>
        <w:t>Artículo 686.</w:t>
      </w:r>
      <w:r w:rsidRPr="002C5A78">
        <w:rPr>
          <w:rStyle w:val="TextoNormalCaracter"/>
        </w:rPr>
        <w:t>-</w:t>
      </w:r>
      <w:r>
        <w:t xml:space="preserve"> Sentencia </w:t>
      </w:r>
      <w:hyperlink w:anchor="SENTENCIA_2021_97" w:history="1">
        <w:r w:rsidRPr="002C5A78">
          <w:rPr>
            <w:rStyle w:val="TextoNormalCaracter"/>
          </w:rPr>
          <w:t>97/2021</w:t>
        </w:r>
      </w:hyperlink>
      <w:r>
        <w:t>, f. 2.</w:t>
      </w:r>
    </w:p>
    <w:p w:rsidR="002C5A78" w:rsidRDefault="002C5A78" w:rsidP="002C5A78">
      <w:pPr>
        <w:pStyle w:val="SangriaFrancesaArticulo"/>
      </w:pPr>
      <w:r w:rsidRPr="002C5A78">
        <w:rPr>
          <w:rStyle w:val="TextoNormalNegritaCaracter"/>
        </w:rPr>
        <w:t>Artículo 686.3.</w:t>
      </w:r>
      <w:r w:rsidRPr="002C5A78">
        <w:rPr>
          <w:rStyle w:val="TextoNormalCaracter"/>
        </w:rPr>
        <w:t>-</w:t>
      </w:r>
      <w:r>
        <w:t xml:space="preserve"> Sentencias </w:t>
      </w:r>
      <w:hyperlink w:anchor="SENTENCIA_2021_82" w:history="1">
        <w:r w:rsidRPr="002C5A78">
          <w:rPr>
            <w:rStyle w:val="TextoNormalCaracter"/>
          </w:rPr>
          <w:t>82/2021</w:t>
        </w:r>
      </w:hyperlink>
      <w:r>
        <w:t xml:space="preserve">, f. 2; </w:t>
      </w:r>
      <w:hyperlink w:anchor="SENTENCIA_2021_87" w:history="1">
        <w:r w:rsidRPr="002C5A78">
          <w:rPr>
            <w:rStyle w:val="TextoNormalCaracter"/>
          </w:rPr>
          <w:t>87/2021</w:t>
        </w:r>
      </w:hyperlink>
      <w:r>
        <w:t xml:space="preserve">, ff. 1 a 3; </w:t>
      </w:r>
      <w:hyperlink w:anchor="SENTENCIA_2021_97" w:history="1">
        <w:r w:rsidRPr="002C5A78">
          <w:rPr>
            <w:rStyle w:val="TextoNormalCaracter"/>
          </w:rPr>
          <w:t>97/2021</w:t>
        </w:r>
      </w:hyperlink>
      <w:r>
        <w:t xml:space="preserve">, f. 2; </w:t>
      </w:r>
      <w:hyperlink w:anchor="SENTENCIA_2021_118" w:history="1">
        <w:r w:rsidRPr="002C5A78">
          <w:rPr>
            <w:rStyle w:val="TextoNormalCaracter"/>
          </w:rPr>
          <w:t>118/2021</w:t>
        </w:r>
      </w:hyperlink>
      <w:r>
        <w:t>, f. 3.</w:t>
      </w:r>
    </w:p>
    <w:p w:rsidR="002C5A78" w:rsidRDefault="002C5A78" w:rsidP="002C5A78">
      <w:pPr>
        <w:pStyle w:val="SangriaFrancesaArticulo"/>
      </w:pPr>
      <w:r w:rsidRPr="002C5A78">
        <w:rPr>
          <w:rStyle w:val="TextoNormalNegritaCaracter"/>
        </w:rPr>
        <w:t>Artículo 686.3</w:t>
      </w:r>
      <w:r>
        <w:t xml:space="preserve"> (redactado por la Ley 13/2009, de 3 de noviembre)</w:t>
      </w:r>
      <w:r w:rsidRPr="002C5A78">
        <w:rPr>
          <w:rStyle w:val="TextoNormalNegritaCaracter"/>
        </w:rPr>
        <w:t>.</w:t>
      </w:r>
      <w:r w:rsidRPr="002C5A78">
        <w:rPr>
          <w:rStyle w:val="TextoNormalCaracter"/>
        </w:rPr>
        <w:t>-</w:t>
      </w:r>
      <w:r>
        <w:t xml:space="preserve"> Sentencia </w:t>
      </w:r>
      <w:hyperlink w:anchor="SENTENCIA_2021_118" w:history="1">
        <w:r w:rsidRPr="002C5A78">
          <w:rPr>
            <w:rStyle w:val="TextoNormalCaracter"/>
          </w:rPr>
          <w:t>118/2021</w:t>
        </w:r>
      </w:hyperlink>
      <w:r>
        <w:t>, f. 2.</w:t>
      </w:r>
    </w:p>
    <w:p w:rsidR="002C5A78" w:rsidRDefault="002C5A78" w:rsidP="002C5A78">
      <w:pPr>
        <w:pStyle w:val="SangriaFrancesaArticulo"/>
      </w:pPr>
      <w:r w:rsidRPr="002C5A78">
        <w:rPr>
          <w:rStyle w:val="TextoNormalNegritaCaracter"/>
        </w:rPr>
        <w:t>Artículo 691.1.</w:t>
      </w:r>
      <w:r w:rsidRPr="002C5A78">
        <w:rPr>
          <w:rStyle w:val="TextoNormalCaracter"/>
        </w:rPr>
        <w:t>-</w:t>
      </w:r>
      <w:r>
        <w:t xml:space="preserve"> Sentencia </w:t>
      </w:r>
      <w:hyperlink w:anchor="SENTENCIA_2021_131" w:history="1">
        <w:r w:rsidRPr="002C5A78">
          <w:rPr>
            <w:rStyle w:val="TextoNormalCaracter"/>
          </w:rPr>
          <w:t>131/2021</w:t>
        </w:r>
      </w:hyperlink>
      <w:r>
        <w:t>, f. 3.</w:t>
      </w:r>
    </w:p>
    <w:p w:rsidR="002C5A78" w:rsidRDefault="002C5A78" w:rsidP="002C5A78">
      <w:pPr>
        <w:pStyle w:val="SangriaFrancesaArticulo"/>
      </w:pPr>
      <w:r w:rsidRPr="002C5A78">
        <w:rPr>
          <w:rStyle w:val="TextoNormalNegritaCaracter"/>
        </w:rPr>
        <w:t>Artículo 695.</w:t>
      </w:r>
      <w:r w:rsidRPr="002C5A78">
        <w:rPr>
          <w:rStyle w:val="TextoNormalCaracter"/>
        </w:rPr>
        <w:t>-</w:t>
      </w:r>
      <w:r>
        <w:t xml:space="preserve"> Sentencias </w:t>
      </w:r>
      <w:hyperlink w:anchor="SENTENCIA_2021_54" w:history="1">
        <w:r w:rsidRPr="002C5A78">
          <w:rPr>
            <w:rStyle w:val="TextoNormalCaracter"/>
          </w:rPr>
          <w:t>54/2021</w:t>
        </w:r>
      </w:hyperlink>
      <w:r>
        <w:t xml:space="preserve">, f. 2;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695.2.</w:t>
      </w:r>
      <w:r w:rsidRPr="002C5A78">
        <w:rPr>
          <w:rStyle w:val="TextoNormalCaracter"/>
        </w:rPr>
        <w:t>-</w:t>
      </w:r>
      <w:r>
        <w:t xml:space="preserve"> Sentencia </w:t>
      </w:r>
      <w:hyperlink w:anchor="SENTENCIA_2021_52" w:history="1">
        <w:r w:rsidRPr="002C5A78">
          <w:rPr>
            <w:rStyle w:val="TextoNormalCaracter"/>
          </w:rPr>
          <w:t>52/2021</w:t>
        </w:r>
      </w:hyperlink>
      <w:r>
        <w:t>, f. 2.</w:t>
      </w:r>
    </w:p>
    <w:p w:rsidR="002C5A78" w:rsidRDefault="002C5A78" w:rsidP="002C5A78">
      <w:pPr>
        <w:pStyle w:val="SangriaFrancesaArticulo"/>
      </w:pPr>
      <w:r w:rsidRPr="002C5A78">
        <w:rPr>
          <w:rStyle w:val="TextoNormalNegritaCaracter"/>
        </w:rPr>
        <w:t>Artículo 698.1.</w:t>
      </w:r>
      <w:r w:rsidRPr="002C5A78">
        <w:rPr>
          <w:rStyle w:val="TextoNormalCaracter"/>
        </w:rPr>
        <w:t>-</w:t>
      </w:r>
      <w:r>
        <w:t xml:space="preserve"> Sentencia </w:t>
      </w:r>
      <w:hyperlink w:anchor="SENTENCIA_2021_131" w:history="1">
        <w:r w:rsidRPr="002C5A78">
          <w:rPr>
            <w:rStyle w:val="TextoNormalCaracter"/>
          </w:rPr>
          <w:t>131/2021</w:t>
        </w:r>
      </w:hyperlink>
      <w:r>
        <w:t>, f. 3.</w:t>
      </w:r>
    </w:p>
    <w:p w:rsidR="002C5A78" w:rsidRDefault="002C5A78" w:rsidP="002C5A78">
      <w:pPr>
        <w:pStyle w:val="SangriaFrancesaArticulo"/>
      </w:pPr>
      <w:r w:rsidRPr="002C5A78">
        <w:rPr>
          <w:rStyle w:val="TextoNormalNegritaCaracter"/>
        </w:rPr>
        <w:t>Artículo 815</w:t>
      </w:r>
      <w:r>
        <w:t xml:space="preserve"> (redactado por la Ley 42/2015, de 5 de octubre)</w:t>
      </w:r>
      <w:r w:rsidRPr="002C5A78">
        <w:rPr>
          <w:rStyle w:val="TextoNormalNegritaCaracter"/>
        </w:rPr>
        <w:t>.</w:t>
      </w:r>
      <w:r w:rsidRPr="002C5A78">
        <w:rPr>
          <w:rStyle w:val="TextoNormalCaracter"/>
        </w:rPr>
        <w:t>-</w:t>
      </w:r>
      <w:r>
        <w:t xml:space="preserve"> Sentencia </w:t>
      </w:r>
      <w:hyperlink w:anchor="SENTENCIA_2021_12" w:history="1">
        <w:r w:rsidRPr="002C5A78">
          <w:rPr>
            <w:rStyle w:val="TextoNormalCaracter"/>
          </w:rPr>
          <w:t>12/2021</w:t>
        </w:r>
      </w:hyperlink>
      <w:r>
        <w:t>, f. 1.</w:t>
      </w:r>
    </w:p>
    <w:p w:rsidR="002C5A78" w:rsidRDefault="002C5A78" w:rsidP="002C5A78">
      <w:pPr>
        <w:pStyle w:val="SangriaFrancesaArticulo"/>
      </w:pPr>
    </w:p>
    <w:p w:rsidR="002C5A78" w:rsidRDefault="002C5A78" w:rsidP="002C5A78">
      <w:pPr>
        <w:pStyle w:val="TextoNormalNegritaCursivandice"/>
        <w:keepNext/>
      </w:pPr>
      <w:r>
        <w:t>Ley 11/2002, de 6 de mayo. Reguladora del Centro Nacional de Inteligencia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0" w:history="1">
        <w:r w:rsidRPr="002C5A78">
          <w:rPr>
            <w:rStyle w:val="TextoNormalCaracter"/>
          </w:rPr>
          <w:t>110/2021</w:t>
        </w:r>
      </w:hyperlink>
      <w:r>
        <w:t>, f. 5, VP.</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10" w:history="1">
        <w:r w:rsidRPr="002C5A78">
          <w:rPr>
            <w:rStyle w:val="TextoNormalCaracter"/>
          </w:rPr>
          <w:t>110/2021</w:t>
        </w:r>
      </w:hyperlink>
      <w:r>
        <w:t>, VP.</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110" w:history="1">
        <w:r w:rsidRPr="002C5A78">
          <w:rPr>
            <w:rStyle w:val="TextoNormalCaracter"/>
          </w:rPr>
          <w:t>110/2021</w:t>
        </w:r>
      </w:hyperlink>
      <w:r>
        <w:t>, f. 7.</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Sentencias </w:t>
      </w:r>
      <w:hyperlink w:anchor="SENTENCIA_2021_110" w:history="1">
        <w:r w:rsidRPr="002C5A78">
          <w:rPr>
            <w:rStyle w:val="TextoNormalCaracter"/>
          </w:rPr>
          <w:t>110/2021</w:t>
        </w:r>
      </w:hyperlink>
      <w:r>
        <w:t xml:space="preserve">, ff. 1, 2, 9; </w:t>
      </w:r>
      <w:hyperlink w:anchor="SENTENCIA_2021_124" w:history="1">
        <w:r w:rsidRPr="002C5A78">
          <w:rPr>
            <w:rStyle w:val="TextoNormalCaracter"/>
          </w:rPr>
          <w:t>124/2021</w:t>
        </w:r>
      </w:hyperlink>
      <w:r>
        <w:t>, f. 1.</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110" w:history="1">
        <w:r w:rsidRPr="002C5A78">
          <w:rPr>
            <w:rStyle w:val="TextoNormalCaracter"/>
          </w:rPr>
          <w:t>110/2021</w:t>
        </w:r>
      </w:hyperlink>
      <w:r>
        <w:t>, f. 9.</w:t>
      </w:r>
    </w:p>
    <w:p w:rsidR="002C5A78" w:rsidRDefault="002C5A78" w:rsidP="002C5A78">
      <w:pPr>
        <w:pStyle w:val="SangriaFrancesaArticulo"/>
      </w:pPr>
      <w:r w:rsidRPr="002C5A78">
        <w:rPr>
          <w:rStyle w:val="TextoNormalNegritaCaracter"/>
        </w:rPr>
        <w:t>Artículo 6.4.</w:t>
      </w:r>
      <w:r w:rsidRPr="002C5A78">
        <w:rPr>
          <w:rStyle w:val="TextoNormalCaracter"/>
        </w:rPr>
        <w:t>-</w:t>
      </w:r>
      <w:r>
        <w:t xml:space="preserve"> Sentencia </w:t>
      </w:r>
      <w:hyperlink w:anchor="SENTENCIA_2021_110" w:history="1">
        <w:r w:rsidRPr="002C5A78">
          <w:rPr>
            <w:rStyle w:val="TextoNormalCaracter"/>
          </w:rPr>
          <w:t>110/2021</w:t>
        </w:r>
      </w:hyperlink>
      <w:r>
        <w:t>, f. 7.</w:t>
      </w:r>
    </w:p>
    <w:p w:rsidR="002C5A78" w:rsidRDefault="002C5A78" w:rsidP="002C5A78">
      <w:pPr>
        <w:pStyle w:val="SangriaFrancesaArticulo"/>
      </w:pPr>
    </w:p>
    <w:p w:rsidR="002C5A78" w:rsidRDefault="002C5A78" w:rsidP="002C5A78">
      <w:pPr>
        <w:pStyle w:val="TextoNormalNegritaCursivandice"/>
        <w:keepNext/>
      </w:pPr>
      <w:r>
        <w:t>Ley 12/2002, de 23 de mayo. Concierto económico con la Comunidad Autónoma del País Vasco</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37" w:history="1">
        <w:r w:rsidRPr="002C5A78">
          <w:rPr>
            <w:rStyle w:val="TextoNormalCaracter"/>
          </w:rPr>
          <w:t>37/2021</w:t>
        </w:r>
      </w:hyperlink>
      <w:r>
        <w:t>, f. 5.</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 </w:t>
      </w:r>
      <w:hyperlink w:anchor="SENTENCIA_2021_37" w:history="1">
        <w:r w:rsidRPr="002C5A78">
          <w:rPr>
            <w:rStyle w:val="TextoNormalCaracter"/>
          </w:rPr>
          <w:t>37/2021</w:t>
        </w:r>
      </w:hyperlink>
      <w:r>
        <w:t>, f. 1.</w:t>
      </w:r>
    </w:p>
    <w:p w:rsidR="002C5A78" w:rsidRDefault="002C5A78" w:rsidP="002C5A78">
      <w:pPr>
        <w:pStyle w:val="SangriaFrancesaArticulo"/>
      </w:pPr>
    </w:p>
    <w:p w:rsidR="002C5A78" w:rsidRDefault="002C5A78" w:rsidP="002C5A78">
      <w:pPr>
        <w:pStyle w:val="TextoNormalNegritaCursivandice"/>
        <w:keepNext/>
      </w:pPr>
      <w:r>
        <w:t>Ley 24/2003, de 10 de julio. De la viña y del vino</w:t>
      </w:r>
    </w:p>
    <w:p w:rsidR="002C5A78" w:rsidRDefault="002C5A78" w:rsidP="002C5A78">
      <w:pPr>
        <w:pStyle w:val="SangriaFrancesaArticulo"/>
      </w:pPr>
      <w:r w:rsidRPr="002C5A78">
        <w:rPr>
          <w:rStyle w:val="TextoNormalNegritaCaracter"/>
        </w:rPr>
        <w:t>Preámbulo, apartado I.</w:t>
      </w:r>
      <w:r w:rsidRPr="002C5A78">
        <w:rPr>
          <w:rStyle w:val="TextoNormalCaracter"/>
        </w:rPr>
        <w:t>-</w:t>
      </w:r>
      <w:r>
        <w:t xml:space="preserve"> Sentencia </w:t>
      </w:r>
      <w:hyperlink w:anchor="SENTENCIA_2021_74" w:history="1">
        <w:r w:rsidRPr="002C5A78">
          <w:rPr>
            <w:rStyle w:val="TextoNormalCaracter"/>
          </w:rPr>
          <w:t>74/2021</w:t>
        </w:r>
      </w:hyperlink>
      <w:r>
        <w:t>, f. 3.</w:t>
      </w:r>
    </w:p>
    <w:p w:rsidR="002C5A78" w:rsidRDefault="002C5A78" w:rsidP="002C5A78">
      <w:pPr>
        <w:pStyle w:val="SangriaFrancesaArticulo"/>
      </w:pPr>
      <w:r w:rsidRPr="002C5A78">
        <w:rPr>
          <w:rStyle w:val="TextoNormalNegritaCaracter"/>
        </w:rPr>
        <w:t>Preámbulo, apartado IV.</w:t>
      </w:r>
      <w:r w:rsidRPr="002C5A78">
        <w:rPr>
          <w:rStyle w:val="TextoNormalCaracter"/>
        </w:rPr>
        <w:t>-</w:t>
      </w:r>
      <w:r>
        <w:t xml:space="preserve"> Sentencia </w:t>
      </w:r>
      <w:hyperlink w:anchor="SENTENCIA_2021_74" w:history="1">
        <w:r w:rsidRPr="002C5A78">
          <w:rPr>
            <w:rStyle w:val="TextoNormalCaracter"/>
          </w:rPr>
          <w:t>74/2021</w:t>
        </w:r>
      </w:hyperlink>
      <w:r>
        <w:t>, f. 3.</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74" w:history="1">
        <w:r w:rsidRPr="002C5A78">
          <w:rPr>
            <w:rStyle w:val="TextoNormalCaracter"/>
          </w:rPr>
          <w:t>74/2021</w:t>
        </w:r>
      </w:hyperlink>
      <w:r>
        <w:t>, f. 3.</w:t>
      </w:r>
    </w:p>
    <w:p w:rsidR="002C5A78" w:rsidRDefault="002C5A78" w:rsidP="002C5A78">
      <w:pPr>
        <w:pStyle w:val="SangriaFrancesaArticulo"/>
      </w:pPr>
      <w:r w:rsidRPr="002C5A78">
        <w:rPr>
          <w:rStyle w:val="TextoNormalNegritaCaracter"/>
        </w:rPr>
        <w:t>Artículo 2.2 e).</w:t>
      </w:r>
      <w:r w:rsidRPr="002C5A78">
        <w:rPr>
          <w:rStyle w:val="TextoNormalCaracter"/>
        </w:rPr>
        <w:t>-</w:t>
      </w:r>
      <w:r>
        <w:t xml:space="preserve"> Sentencia </w:t>
      </w:r>
      <w:hyperlink w:anchor="SENTENCIA_2021_74" w:history="1">
        <w:r w:rsidRPr="002C5A78">
          <w:rPr>
            <w:rStyle w:val="TextoNormalCaracter"/>
          </w:rPr>
          <w:t>74/2021</w:t>
        </w:r>
      </w:hyperlink>
      <w:r>
        <w:t>, ff. 1, 3.</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74" w:history="1">
        <w:r w:rsidRPr="002C5A78">
          <w:rPr>
            <w:rStyle w:val="TextoNormalCaracter"/>
          </w:rPr>
          <w:t>74/2021</w:t>
        </w:r>
      </w:hyperlink>
      <w:r>
        <w:t>, ff. 1, 3.</w:t>
      </w:r>
    </w:p>
    <w:p w:rsidR="002C5A78" w:rsidRDefault="002C5A78" w:rsidP="002C5A78">
      <w:pPr>
        <w:pStyle w:val="SangriaFrancesaArticulo"/>
      </w:pPr>
      <w:r w:rsidRPr="002C5A78">
        <w:rPr>
          <w:rStyle w:val="TextoNormalNegritaCaracter"/>
        </w:rPr>
        <w:t>Disposición final segunda, apartado 2 a).</w:t>
      </w:r>
      <w:r w:rsidRPr="002C5A78">
        <w:rPr>
          <w:rStyle w:val="TextoNormalCaracter"/>
        </w:rPr>
        <w:t>-</w:t>
      </w:r>
      <w:r>
        <w:t xml:space="preserve"> Sentencia </w:t>
      </w:r>
      <w:hyperlink w:anchor="SENTENCIA_2021_74" w:history="1">
        <w:r w:rsidRPr="002C5A78">
          <w:rPr>
            <w:rStyle w:val="TextoNormalCaracter"/>
          </w:rPr>
          <w:t>74/2021</w:t>
        </w:r>
      </w:hyperlink>
      <w:r>
        <w:t>, f. 3.</w:t>
      </w:r>
    </w:p>
    <w:p w:rsidR="002C5A78" w:rsidRDefault="002C5A78" w:rsidP="002C5A78">
      <w:pPr>
        <w:pStyle w:val="SangriaFrancesaArticulo"/>
      </w:pPr>
    </w:p>
    <w:p w:rsidR="002C5A78" w:rsidRDefault="002C5A78" w:rsidP="002C5A78">
      <w:pPr>
        <w:pStyle w:val="TextoNormalNegritaCursivandice"/>
        <w:keepNext/>
      </w:pPr>
      <w:r>
        <w:t>Ley 38/2003, de 17 de noviembre, general de subvenciones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5.</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37" w:history="1">
        <w:r w:rsidRPr="002C5A78">
          <w:rPr>
            <w:rStyle w:val="TextoNormalCaracter"/>
          </w:rPr>
          <w:t>37/2021</w:t>
        </w:r>
      </w:hyperlink>
      <w:r>
        <w:t>, ff. 2, 4.</w:t>
      </w:r>
    </w:p>
    <w:p w:rsidR="002C5A78" w:rsidRDefault="002C5A78" w:rsidP="002C5A78">
      <w:pPr>
        <w:pStyle w:val="SangriaFrancesaArticulo"/>
      </w:pPr>
      <w:r w:rsidRPr="002C5A78">
        <w:rPr>
          <w:rStyle w:val="TextoNormalNegritaCaracter"/>
        </w:rPr>
        <w:t>Artículo 20.2.</w:t>
      </w:r>
      <w:r w:rsidRPr="002C5A78">
        <w:rPr>
          <w:rStyle w:val="TextoNormalCaracter"/>
        </w:rPr>
        <w:t>-</w:t>
      </w:r>
      <w:r>
        <w:t xml:space="preserve"> Sentencia </w:t>
      </w:r>
      <w:hyperlink w:anchor="SENTENCIA_2021_37" w:history="1">
        <w:r w:rsidRPr="002C5A78">
          <w:rPr>
            <w:rStyle w:val="TextoNormalCaracter"/>
          </w:rPr>
          <w:t>37/2021</w:t>
        </w:r>
      </w:hyperlink>
      <w:r>
        <w:t>, ff. 4, 7.</w:t>
      </w:r>
    </w:p>
    <w:p w:rsidR="002C5A78" w:rsidRDefault="002C5A78" w:rsidP="002C5A78">
      <w:pPr>
        <w:pStyle w:val="SangriaFrancesaArticulo"/>
      </w:pPr>
      <w:r w:rsidRPr="002C5A78">
        <w:rPr>
          <w:rStyle w:val="TextoNormalNegritaCaracter"/>
        </w:rPr>
        <w:t>Artículo 20.4.</w:t>
      </w:r>
      <w:r w:rsidRPr="002C5A78">
        <w:rPr>
          <w:rStyle w:val="TextoNormalCaracter"/>
        </w:rPr>
        <w:t>-</w:t>
      </w:r>
      <w:r>
        <w:t xml:space="preserve"> Sentencia </w:t>
      </w:r>
      <w:hyperlink w:anchor="SENTENCIA_2021_37" w:history="1">
        <w:r w:rsidRPr="002C5A78">
          <w:rPr>
            <w:rStyle w:val="TextoNormalCaracter"/>
          </w:rPr>
          <w:t>37/2021</w:t>
        </w:r>
      </w:hyperlink>
      <w:r>
        <w:t>, ff. 1, 5.</w:t>
      </w:r>
    </w:p>
    <w:p w:rsidR="002C5A78" w:rsidRDefault="002C5A78" w:rsidP="002C5A78">
      <w:pPr>
        <w:pStyle w:val="SangriaFrancesaArticulo"/>
      </w:pPr>
      <w:r w:rsidRPr="002C5A78">
        <w:rPr>
          <w:rStyle w:val="TextoNormalNegritaCaracter"/>
        </w:rPr>
        <w:t>Artículo 20.8.</w:t>
      </w:r>
      <w:r w:rsidRPr="002C5A78">
        <w:rPr>
          <w:rStyle w:val="TextoNormalCaracter"/>
        </w:rPr>
        <w:t>-</w:t>
      </w:r>
      <w:r>
        <w:t xml:space="preserve"> Sentencia </w:t>
      </w:r>
      <w:hyperlink w:anchor="SENTENCIA_2021_37" w:history="1">
        <w:r w:rsidRPr="002C5A78">
          <w:rPr>
            <w:rStyle w:val="TextoNormalCaracter"/>
          </w:rPr>
          <w:t>37/2021</w:t>
        </w:r>
      </w:hyperlink>
      <w:r>
        <w:t>, ff. 4, 7.</w:t>
      </w:r>
    </w:p>
    <w:p w:rsidR="002C5A78" w:rsidRDefault="002C5A78" w:rsidP="002C5A78">
      <w:pPr>
        <w:pStyle w:val="SangriaFrancesaArticulo"/>
      </w:pPr>
      <w:r w:rsidRPr="002C5A78">
        <w:rPr>
          <w:rStyle w:val="TextoNormalNegritaCaracter"/>
        </w:rPr>
        <w:t>Artículo 20.8 a).</w:t>
      </w:r>
      <w:r w:rsidRPr="002C5A78">
        <w:rPr>
          <w:rStyle w:val="TextoNormalCaracter"/>
        </w:rPr>
        <w:t>-</w:t>
      </w:r>
      <w:r>
        <w:t xml:space="preserve"> Sentencia </w:t>
      </w:r>
      <w:hyperlink w:anchor="SENTENCIA_2021_37" w:history="1">
        <w:r w:rsidRPr="002C5A78">
          <w:rPr>
            <w:rStyle w:val="TextoNormalCaracter"/>
          </w:rPr>
          <w:t>37/2021</w:t>
        </w:r>
      </w:hyperlink>
      <w:r>
        <w:t>, f. 7.</w:t>
      </w:r>
    </w:p>
    <w:p w:rsidR="002C5A78" w:rsidRDefault="002C5A78" w:rsidP="002C5A78">
      <w:pPr>
        <w:pStyle w:val="SangriaFrancesaArticulo"/>
      </w:pPr>
      <w:r w:rsidRPr="002C5A78">
        <w:rPr>
          <w:rStyle w:val="TextoNormalNegritaCaracter"/>
        </w:rPr>
        <w:t>Disposición final vigesimo segunda.</w:t>
      </w:r>
      <w:r w:rsidRPr="002C5A78">
        <w:rPr>
          <w:rStyle w:val="TextoNormalCaracter"/>
        </w:rPr>
        <w:t>-</w:t>
      </w:r>
      <w:r>
        <w:t xml:space="preserve"> Sentencia </w:t>
      </w:r>
      <w:hyperlink w:anchor="SENTENCIA_2021_37" w:history="1">
        <w:r w:rsidRPr="002C5A78">
          <w:rPr>
            <w:rStyle w:val="TextoNormalCaracter"/>
          </w:rPr>
          <w:t>37/2021</w:t>
        </w:r>
      </w:hyperlink>
      <w:r>
        <w:t>, ff. 1, 6.</w:t>
      </w:r>
    </w:p>
    <w:p w:rsidR="002C5A78" w:rsidRDefault="002C5A78" w:rsidP="002C5A78">
      <w:pPr>
        <w:pStyle w:val="SangriaFrancesaArticulo"/>
      </w:pPr>
    </w:p>
    <w:p w:rsidR="002C5A78" w:rsidRDefault="002C5A78" w:rsidP="002C5A78">
      <w:pPr>
        <w:pStyle w:val="TextoNormalNegritaCursivandice"/>
        <w:keepNext/>
      </w:pPr>
      <w:r>
        <w:t>Ley 55/2003, de 16 de diciembre. Estatuto marco del personal estatutario de los servicios de salud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109" w:history="1">
        <w:r w:rsidRPr="002C5A78">
          <w:rPr>
            <w:rStyle w:val="TextoNormalCaracter"/>
          </w:rPr>
          <w:t>109/2021</w:t>
        </w:r>
      </w:hyperlink>
      <w:r>
        <w:t>, ff. 3, 4.</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 </w:t>
      </w:r>
      <w:hyperlink w:anchor="SENTENCIA_2021_109" w:history="1">
        <w:r w:rsidRPr="002C5A78">
          <w:rPr>
            <w:rStyle w:val="TextoNormalCaracter"/>
          </w:rPr>
          <w:t>109/2021</w:t>
        </w:r>
      </w:hyperlink>
      <w:r>
        <w:t>, f. 3.</w:t>
      </w:r>
    </w:p>
    <w:p w:rsidR="002C5A78" w:rsidRDefault="002C5A78" w:rsidP="002C5A78">
      <w:pPr>
        <w:pStyle w:val="SangriaFrancesaArticulo"/>
      </w:pPr>
      <w:r w:rsidRPr="002C5A78">
        <w:rPr>
          <w:rStyle w:val="TextoNormalNegritaCaracter"/>
        </w:rPr>
        <w:t>Artículo 43.2 b).</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r w:rsidRPr="002C5A78">
        <w:rPr>
          <w:rStyle w:val="TextoNormalNegritaCaracter"/>
        </w:rPr>
        <w:t>Artículo 77.2.</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p>
    <w:p w:rsidR="002C5A78" w:rsidRDefault="002C5A78" w:rsidP="002C5A78">
      <w:pPr>
        <w:pStyle w:val="TextoNormalNegritaCursivandice"/>
        <w:keepNext/>
      </w:pPr>
      <w:r>
        <w:t>Ley 58/2003, de 17 de diciembre. General tributaria</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2.2 a).</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2.2 c).</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25.2.</w:t>
      </w:r>
      <w:r w:rsidRPr="002C5A78">
        <w:rPr>
          <w:rStyle w:val="TextoNormalCaracter"/>
        </w:rPr>
        <w:t>-</w:t>
      </w:r>
      <w:r>
        <w:t xml:space="preserve"> Sentencia </w:t>
      </w:r>
      <w:hyperlink w:anchor="SENTENCIA_2021_125" w:history="1">
        <w:r w:rsidRPr="002C5A78">
          <w:rPr>
            <w:rStyle w:val="TextoNormalCaracter"/>
          </w:rPr>
          <w:t>125/2021</w:t>
        </w:r>
      </w:hyperlink>
      <w:r>
        <w:t>, f. 7.</w:t>
      </w:r>
    </w:p>
    <w:p w:rsidR="002C5A78" w:rsidRDefault="002C5A78" w:rsidP="002C5A78">
      <w:pPr>
        <w:pStyle w:val="SangriaFrancesaArticulo"/>
      </w:pPr>
      <w:r w:rsidRPr="002C5A78">
        <w:rPr>
          <w:rStyle w:val="TextoNormalNegritaCaracter"/>
        </w:rPr>
        <w:t xml:space="preserve">Artículo 36.3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195.2.</w:t>
      </w:r>
      <w:r w:rsidRPr="002C5A78">
        <w:rPr>
          <w:rStyle w:val="TextoNormalCaracter"/>
        </w:rPr>
        <w:t>-</w:t>
      </w:r>
      <w:r>
        <w:t xml:space="preserve"> Sentencia </w:t>
      </w:r>
      <w:hyperlink w:anchor="SENTENCIA_2021_13" w:history="1">
        <w:r w:rsidRPr="002C5A78">
          <w:rPr>
            <w:rStyle w:val="TextoNormalCaracter"/>
          </w:rPr>
          <w:t>13/2021</w:t>
        </w:r>
      </w:hyperlink>
      <w:r>
        <w:t>, f. 5.</w:t>
      </w:r>
    </w:p>
    <w:p w:rsidR="002C5A78" w:rsidRDefault="002C5A78" w:rsidP="002C5A78">
      <w:pPr>
        <w:pStyle w:val="SangriaFrancesaArticulo"/>
      </w:pPr>
    </w:p>
    <w:p w:rsidR="002C5A78" w:rsidRDefault="002C5A78" w:rsidP="002C5A78">
      <w:pPr>
        <w:pStyle w:val="TextoNormalNegritaCursivandice"/>
        <w:keepNext/>
      </w:pPr>
      <w:r>
        <w:t>Ley 60/2003, de 23 diciembre, de arbitraje</w:t>
      </w:r>
    </w:p>
    <w:p w:rsidR="002C5A78" w:rsidRDefault="002C5A78" w:rsidP="002C5A78">
      <w:pPr>
        <w:pStyle w:val="SangriaFrancesaArticulo"/>
      </w:pPr>
      <w:r w:rsidRPr="002C5A78">
        <w:rPr>
          <w:rStyle w:val="TextoNormalNegritaCaracter"/>
        </w:rPr>
        <w:t>Artículo 8.5.</w:t>
      </w:r>
      <w:r w:rsidRPr="002C5A78">
        <w:rPr>
          <w:rStyle w:val="TextoNormalCaracter"/>
        </w:rPr>
        <w:t>-</w:t>
      </w:r>
      <w:r>
        <w:t xml:space="preserve"> Sentencia </w:t>
      </w:r>
      <w:hyperlink w:anchor="SENTENCIA_2021_17" w:history="1">
        <w:r w:rsidRPr="002C5A78">
          <w:rPr>
            <w:rStyle w:val="TextoNormalCaracter"/>
          </w:rPr>
          <w:t>17/2021</w:t>
        </w:r>
      </w:hyperlink>
      <w:r>
        <w:t>, f. 1.</w:t>
      </w:r>
    </w:p>
    <w:p w:rsidR="002C5A78" w:rsidRDefault="002C5A78" w:rsidP="002C5A78">
      <w:pPr>
        <w:pStyle w:val="SangriaFrancesaArticulo"/>
      </w:pPr>
      <w:r w:rsidRPr="002C5A78">
        <w:rPr>
          <w:rStyle w:val="TextoNormalNegritaCaracter"/>
        </w:rPr>
        <w:t>Artículo 37.</w:t>
      </w:r>
      <w:r w:rsidRPr="002C5A78">
        <w:rPr>
          <w:rStyle w:val="TextoNormalCaracter"/>
        </w:rPr>
        <w:t>-</w:t>
      </w:r>
      <w:r>
        <w:t xml:space="preserve"> Sentencia </w:t>
      </w:r>
      <w:hyperlink w:anchor="SENTENCIA_2021_17" w:history="1">
        <w:r w:rsidRPr="002C5A78">
          <w:rPr>
            <w:rStyle w:val="TextoNormalCaracter"/>
          </w:rPr>
          <w:t>17/2021</w:t>
        </w:r>
      </w:hyperlink>
      <w:r>
        <w:t>, f. 3.</w:t>
      </w:r>
    </w:p>
    <w:p w:rsidR="002C5A78" w:rsidRDefault="002C5A78" w:rsidP="002C5A78">
      <w:pPr>
        <w:pStyle w:val="SangriaFrancesaArticulo"/>
      </w:pPr>
      <w:r w:rsidRPr="002C5A78">
        <w:rPr>
          <w:rStyle w:val="TextoNormalNegritaCaracter"/>
        </w:rPr>
        <w:t>Artículo 37.2.</w:t>
      </w:r>
      <w:r w:rsidRPr="002C5A78">
        <w:rPr>
          <w:rStyle w:val="TextoNormalCaracter"/>
        </w:rPr>
        <w:t>-</w:t>
      </w:r>
      <w:r>
        <w:t xml:space="preserve"> Sentencia </w:t>
      </w:r>
      <w:hyperlink w:anchor="SENTENCIA_2021_17" w:history="1">
        <w:r w:rsidRPr="002C5A78">
          <w:rPr>
            <w:rStyle w:val="TextoNormalCaracter"/>
          </w:rPr>
          <w:t>17/2021</w:t>
        </w:r>
      </w:hyperlink>
      <w:r>
        <w:t>, f. 1.</w:t>
      </w:r>
    </w:p>
    <w:p w:rsidR="002C5A78" w:rsidRDefault="002C5A78" w:rsidP="002C5A78">
      <w:pPr>
        <w:pStyle w:val="SangriaFrancesaArticulo"/>
      </w:pPr>
      <w:r w:rsidRPr="002C5A78">
        <w:rPr>
          <w:rStyle w:val="TextoNormalNegritaCaracter"/>
        </w:rPr>
        <w:t>Artículo 37.4.</w:t>
      </w:r>
      <w:r w:rsidRPr="002C5A78">
        <w:rPr>
          <w:rStyle w:val="TextoNormalCaracter"/>
        </w:rPr>
        <w:t>-</w:t>
      </w:r>
      <w:r>
        <w:t xml:space="preserve"> Sentencias </w:t>
      </w:r>
      <w:hyperlink w:anchor="SENTENCIA_2021_17" w:history="1">
        <w:r w:rsidRPr="002C5A78">
          <w:rPr>
            <w:rStyle w:val="TextoNormalCaracter"/>
          </w:rPr>
          <w:t>17/2021</w:t>
        </w:r>
      </w:hyperlink>
      <w:r>
        <w:t xml:space="preserve">, ff. 1 a 3; </w:t>
      </w:r>
      <w:hyperlink w:anchor="SENTENCIA_2021_65" w:history="1">
        <w:r w:rsidRPr="002C5A78">
          <w:rPr>
            <w:rStyle w:val="TextoNormalCaracter"/>
          </w:rPr>
          <w:t>65/2021</w:t>
        </w:r>
      </w:hyperlink>
      <w:r>
        <w:t>, ff. 1, 5.</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Sentencias </w:t>
      </w:r>
      <w:hyperlink w:anchor="SENTENCIA_2021_17" w:history="1">
        <w:r w:rsidRPr="002C5A78">
          <w:rPr>
            <w:rStyle w:val="TextoNormalCaracter"/>
          </w:rPr>
          <w:t>17/2021</w:t>
        </w:r>
      </w:hyperlink>
      <w:r>
        <w:t xml:space="preserve">, ff. 1 a 3; </w:t>
      </w:r>
      <w:hyperlink w:anchor="SENTENCIA_2021_65" w:history="1">
        <w:r w:rsidRPr="002C5A78">
          <w:rPr>
            <w:rStyle w:val="TextoNormalCaracter"/>
          </w:rPr>
          <w:t>65/2021</w:t>
        </w:r>
      </w:hyperlink>
      <w:r>
        <w:t>, ff. 4, 6.</w:t>
      </w:r>
    </w:p>
    <w:p w:rsidR="002C5A78" w:rsidRDefault="002C5A78" w:rsidP="002C5A78">
      <w:pPr>
        <w:pStyle w:val="SangriaFrancesaArticulo"/>
      </w:pPr>
      <w:r w:rsidRPr="002C5A78">
        <w:rPr>
          <w:rStyle w:val="TextoNormalNegritaCaracter"/>
        </w:rPr>
        <w:t>Artículo 41.1.</w:t>
      </w:r>
      <w:r w:rsidRPr="002C5A78">
        <w:rPr>
          <w:rStyle w:val="TextoNormalCaracter"/>
        </w:rPr>
        <w:t>-</w:t>
      </w:r>
      <w:r>
        <w:t xml:space="preserve"> Sentencia </w:t>
      </w:r>
      <w:hyperlink w:anchor="SENTENCIA_2021_17" w:history="1">
        <w:r w:rsidRPr="002C5A78">
          <w:rPr>
            <w:rStyle w:val="TextoNormalCaracter"/>
          </w:rPr>
          <w:t>17/2021</w:t>
        </w:r>
      </w:hyperlink>
      <w:r>
        <w:t>, f. 3.</w:t>
      </w:r>
    </w:p>
    <w:p w:rsidR="002C5A78" w:rsidRDefault="002C5A78" w:rsidP="002C5A78">
      <w:pPr>
        <w:pStyle w:val="SangriaFrancesaArticulo"/>
      </w:pPr>
      <w:r w:rsidRPr="002C5A78">
        <w:rPr>
          <w:rStyle w:val="TextoNormalNegritaCaracter"/>
        </w:rPr>
        <w:t>Artículo 41.1 f).</w:t>
      </w:r>
      <w:r w:rsidRPr="002C5A78">
        <w:rPr>
          <w:rStyle w:val="TextoNormalCaracter"/>
        </w:rPr>
        <w:t>-</w:t>
      </w:r>
      <w:r>
        <w:t xml:space="preserve"> Sentencias </w:t>
      </w:r>
      <w:hyperlink w:anchor="SENTENCIA_2021_17" w:history="1">
        <w:r w:rsidRPr="002C5A78">
          <w:rPr>
            <w:rStyle w:val="TextoNormalCaracter"/>
          </w:rPr>
          <w:t>17/2021</w:t>
        </w:r>
      </w:hyperlink>
      <w:r>
        <w:t xml:space="preserve">, ff. 1 a 3; </w:t>
      </w:r>
      <w:hyperlink w:anchor="SENTENCIA_2021_55" w:history="1">
        <w:r w:rsidRPr="002C5A78">
          <w:rPr>
            <w:rStyle w:val="TextoNormalCaracter"/>
          </w:rPr>
          <w:t>55/2021</w:t>
        </w:r>
      </w:hyperlink>
      <w:r>
        <w:t xml:space="preserve">, f. 3; </w:t>
      </w:r>
      <w:hyperlink w:anchor="SENTENCIA_2021_65" w:history="1">
        <w:r w:rsidRPr="002C5A78">
          <w:rPr>
            <w:rStyle w:val="TextoNormalCaracter"/>
          </w:rPr>
          <w:t>65/2021</w:t>
        </w:r>
      </w:hyperlink>
      <w:r>
        <w:t>, ff. 1, 3, 6.</w:t>
      </w:r>
    </w:p>
    <w:p w:rsidR="002C5A78" w:rsidRDefault="002C5A78" w:rsidP="002C5A78">
      <w:pPr>
        <w:pStyle w:val="SangriaFrancesaArticulo"/>
      </w:pPr>
      <w:r w:rsidRPr="002C5A78">
        <w:rPr>
          <w:rStyle w:val="TextoNormalNegritaCaracter"/>
        </w:rPr>
        <w:t>Artículo 41.2.</w:t>
      </w:r>
      <w:r w:rsidRPr="002C5A78">
        <w:rPr>
          <w:rStyle w:val="TextoNormalCaracter"/>
        </w:rPr>
        <w:t>-</w:t>
      </w:r>
      <w:r>
        <w:t xml:space="preserve"> Sentencia </w:t>
      </w:r>
      <w:hyperlink w:anchor="SENTENCIA_2021_55" w:history="1">
        <w:r w:rsidRPr="002C5A78">
          <w:rPr>
            <w:rStyle w:val="TextoNormalCaracter"/>
          </w:rPr>
          <w:t>55/2021</w:t>
        </w:r>
      </w:hyperlink>
      <w:r>
        <w:t>, ff. 1, 3.</w:t>
      </w:r>
    </w:p>
    <w:p w:rsidR="002C5A78" w:rsidRDefault="002C5A78" w:rsidP="002C5A78">
      <w:pPr>
        <w:pStyle w:val="SangriaFrancesaArticulo"/>
      </w:pPr>
      <w:r w:rsidRPr="002C5A78">
        <w:rPr>
          <w:rStyle w:val="TextoNormalNegritaCaracter"/>
        </w:rPr>
        <w:t>Artículo 41.2 f).</w:t>
      </w:r>
      <w:r w:rsidRPr="002C5A78">
        <w:rPr>
          <w:rStyle w:val="TextoNormalCaracter"/>
        </w:rPr>
        <w:t>-</w:t>
      </w:r>
      <w:r>
        <w:t xml:space="preserve"> Sentencia </w:t>
      </w:r>
      <w:hyperlink w:anchor="SENTENCIA_2021_17" w:history="1">
        <w:r w:rsidRPr="002C5A78">
          <w:rPr>
            <w:rStyle w:val="TextoNormalCaracter"/>
          </w:rPr>
          <w:t>17/2021</w:t>
        </w:r>
      </w:hyperlink>
      <w:r>
        <w:t>, f. 2.</w:t>
      </w:r>
    </w:p>
    <w:p w:rsidR="002C5A78" w:rsidRDefault="002C5A78" w:rsidP="002C5A78">
      <w:pPr>
        <w:pStyle w:val="SangriaFrancesaArticulo"/>
      </w:pPr>
      <w:r w:rsidRPr="002C5A78">
        <w:rPr>
          <w:rStyle w:val="TextoNormalNegritaCaracter"/>
        </w:rPr>
        <w:t>Artículo 43.</w:t>
      </w:r>
      <w:r w:rsidRPr="002C5A78">
        <w:rPr>
          <w:rStyle w:val="TextoNormalCaracter"/>
        </w:rPr>
        <w:t>-</w:t>
      </w:r>
      <w:r>
        <w:t xml:space="preserve"> Sentencia </w:t>
      </w:r>
      <w:hyperlink w:anchor="SENTENCIA_2021_65" w:history="1">
        <w:r w:rsidRPr="002C5A78">
          <w:rPr>
            <w:rStyle w:val="TextoNormalCaracter"/>
          </w:rPr>
          <w:t>65/2021</w:t>
        </w:r>
      </w:hyperlink>
      <w:r>
        <w:t>, f. 4.</w:t>
      </w:r>
    </w:p>
    <w:p w:rsidR="002C5A78" w:rsidRDefault="002C5A78" w:rsidP="002C5A78">
      <w:pPr>
        <w:pStyle w:val="SangriaFrancesaArticulo"/>
      </w:pPr>
    </w:p>
    <w:p w:rsidR="002C5A78" w:rsidRDefault="002C5A78" w:rsidP="002C5A78">
      <w:pPr>
        <w:pStyle w:val="TextoNormalNegritaCursivandice"/>
        <w:keepNext/>
      </w:pPr>
      <w:r>
        <w:t>Ley 17/2006, de 5 de junio. De la radio y la televisión de titularidad estatal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4" w:history="1">
        <w:r w:rsidRPr="002C5A78">
          <w:rPr>
            <w:rStyle w:val="TextoNormalCaracter"/>
          </w:rPr>
          <w:t>134/2021</w:t>
        </w:r>
      </w:hyperlink>
      <w:r>
        <w:t>, ff. 3, 4, 6.</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34" w:history="1">
        <w:r w:rsidRPr="002C5A78">
          <w:rPr>
            <w:rStyle w:val="TextoNormalCaracter"/>
          </w:rPr>
          <w:t>134/2021</w:t>
        </w:r>
      </w:hyperlink>
      <w:r>
        <w:t>, f. 5.</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134" w:history="1">
        <w:r w:rsidRPr="002C5A78">
          <w:rPr>
            <w:rStyle w:val="TextoNormalCaracter"/>
          </w:rPr>
          <w:t>134/2021</w:t>
        </w:r>
      </w:hyperlink>
      <w:r>
        <w:t>, f. 5.</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134" w:history="1">
        <w:r w:rsidRPr="002C5A78">
          <w:rPr>
            <w:rStyle w:val="TextoNormalCaracter"/>
          </w:rPr>
          <w:t>134/2021</w:t>
        </w:r>
      </w:hyperlink>
      <w:r>
        <w:t>, f. 4.</w:t>
      </w:r>
    </w:p>
    <w:p w:rsidR="002C5A78" w:rsidRDefault="002C5A78" w:rsidP="002C5A78">
      <w:pPr>
        <w:pStyle w:val="SangriaFrancesaArticulo"/>
      </w:pPr>
      <w:r w:rsidRPr="002C5A78">
        <w:rPr>
          <w:rStyle w:val="TextoNormalNegritaCaracter"/>
        </w:rPr>
        <w:t>Artículo 10.1.</w:t>
      </w:r>
      <w:r w:rsidRPr="002C5A78">
        <w:rPr>
          <w:rStyle w:val="TextoNormalCaracter"/>
        </w:rPr>
        <w:t>-</w:t>
      </w:r>
      <w:r>
        <w:t xml:space="preserve"> Sentencia </w:t>
      </w:r>
      <w:hyperlink w:anchor="SENTENCIA_2021_134" w:history="1">
        <w:r w:rsidRPr="002C5A78">
          <w:rPr>
            <w:rStyle w:val="TextoNormalCaracter"/>
          </w:rPr>
          <w:t>134/2021</w:t>
        </w:r>
      </w:hyperlink>
      <w:r>
        <w:t>, ff. 1, 2.</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134" w:history="1">
        <w:r w:rsidRPr="002C5A78">
          <w:rPr>
            <w:rStyle w:val="TextoNormalCaracter"/>
          </w:rPr>
          <w:t>134/2021</w:t>
        </w:r>
      </w:hyperlink>
      <w:r>
        <w:t>, f. 4.</w:t>
      </w:r>
    </w:p>
    <w:p w:rsidR="002C5A78" w:rsidRDefault="002C5A78" w:rsidP="002C5A78">
      <w:pPr>
        <w:pStyle w:val="SangriaFrancesaArticulo"/>
      </w:pPr>
      <w:r w:rsidRPr="002C5A78">
        <w:rPr>
          <w:rStyle w:val="TextoNormalNegritaCaracter"/>
        </w:rPr>
        <w:t>Artículo 11.1.</w:t>
      </w:r>
      <w:r w:rsidRPr="002C5A78">
        <w:rPr>
          <w:rStyle w:val="TextoNormalCaracter"/>
        </w:rPr>
        <w:t>-</w:t>
      </w:r>
      <w:r>
        <w:t xml:space="preserve"> Sentencia </w:t>
      </w:r>
      <w:hyperlink w:anchor="SENTENCIA_2021_134" w:history="1">
        <w:r w:rsidRPr="002C5A78">
          <w:rPr>
            <w:rStyle w:val="TextoNormalCaracter"/>
          </w:rPr>
          <w:t>134/2021</w:t>
        </w:r>
      </w:hyperlink>
      <w:r>
        <w:t>, ff. 1, 2.</w:t>
      </w:r>
    </w:p>
    <w:p w:rsidR="002C5A78" w:rsidRDefault="002C5A78" w:rsidP="002C5A78">
      <w:pPr>
        <w:pStyle w:val="SangriaFrancesaArticulo"/>
      </w:pPr>
      <w:r w:rsidRPr="002C5A78">
        <w:rPr>
          <w:rStyle w:val="TextoNormalNegritaCaracter"/>
        </w:rPr>
        <w:t>Artículo 11.3</w:t>
      </w:r>
      <w:r>
        <w:t xml:space="preserve"> (redactado por el Real Decreto-ley 15/2012, de 20 de abril)</w:t>
      </w:r>
      <w:r w:rsidRPr="002C5A78">
        <w:rPr>
          <w:rStyle w:val="TextoNormalNegritaCaracter"/>
        </w:rPr>
        <w:t>.</w:t>
      </w:r>
      <w:r w:rsidRPr="002C5A78">
        <w:rPr>
          <w:rStyle w:val="TextoNormalCaracter"/>
        </w:rPr>
        <w:t>-</w:t>
      </w:r>
      <w:r>
        <w:t xml:space="preserve"> Sentencia </w:t>
      </w:r>
      <w:hyperlink w:anchor="SENTENCIA_2021_134" w:history="1">
        <w:r w:rsidRPr="002C5A78">
          <w:rPr>
            <w:rStyle w:val="TextoNormalCaracter"/>
          </w:rPr>
          <w:t>134/2021</w:t>
        </w:r>
      </w:hyperlink>
      <w:r>
        <w:t>, f. 2.</w:t>
      </w:r>
    </w:p>
    <w:p w:rsidR="002C5A78" w:rsidRDefault="002C5A78" w:rsidP="002C5A78">
      <w:pPr>
        <w:pStyle w:val="SangriaFrancesaArticulo"/>
      </w:pPr>
      <w:r w:rsidRPr="002C5A78">
        <w:rPr>
          <w:rStyle w:val="TextoNormalNegritaCaracter"/>
        </w:rPr>
        <w:t>Artículo 11.4.</w:t>
      </w:r>
      <w:r w:rsidRPr="002C5A78">
        <w:rPr>
          <w:rStyle w:val="TextoNormalCaracter"/>
        </w:rPr>
        <w:t>-</w:t>
      </w:r>
      <w:r>
        <w:t xml:space="preserve"> Sentencia </w:t>
      </w:r>
      <w:hyperlink w:anchor="SENTENCIA_2021_134" w:history="1">
        <w:r w:rsidRPr="002C5A78">
          <w:rPr>
            <w:rStyle w:val="TextoNormalCaracter"/>
          </w:rPr>
          <w:t>134/2021</w:t>
        </w:r>
      </w:hyperlink>
      <w:r>
        <w:t>, ff. 2, 4.</w:t>
      </w:r>
    </w:p>
    <w:p w:rsidR="002C5A78" w:rsidRDefault="002C5A78" w:rsidP="002C5A78">
      <w:pPr>
        <w:pStyle w:val="SangriaFrancesaArticulo"/>
      </w:pPr>
      <w:r w:rsidRPr="002C5A78">
        <w:rPr>
          <w:rStyle w:val="TextoNormalNegritaCaracter"/>
        </w:rPr>
        <w:t>Artículo 11.4</w:t>
      </w:r>
      <w:r>
        <w:t xml:space="preserve"> (redactado por el Real Decreto-ley 15/2012, de 20 de abril)</w:t>
      </w:r>
      <w:r w:rsidRPr="002C5A78">
        <w:rPr>
          <w:rStyle w:val="TextoNormalNegritaCaracter"/>
        </w:rPr>
        <w:t>.</w:t>
      </w:r>
      <w:r w:rsidRPr="002C5A78">
        <w:rPr>
          <w:rStyle w:val="TextoNormalCaracter"/>
        </w:rPr>
        <w:t>-</w:t>
      </w:r>
      <w:r>
        <w:t xml:space="preserve"> Sentencia </w:t>
      </w:r>
      <w:hyperlink w:anchor="SENTENCIA_2021_134" w:history="1">
        <w:r w:rsidRPr="002C5A78">
          <w:rPr>
            <w:rStyle w:val="TextoNormalCaracter"/>
          </w:rPr>
          <w:t>134/2021</w:t>
        </w:r>
      </w:hyperlink>
      <w:r>
        <w:t>, f. 4.</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34" w:history="1">
        <w:r w:rsidRPr="002C5A78">
          <w:rPr>
            <w:rStyle w:val="TextoNormalCaracter"/>
          </w:rPr>
          <w:t>134/2021</w:t>
        </w:r>
      </w:hyperlink>
      <w:r>
        <w:t>, f. 3.</w:t>
      </w:r>
    </w:p>
    <w:p w:rsidR="002C5A78" w:rsidRDefault="002C5A78" w:rsidP="002C5A78">
      <w:pPr>
        <w:pStyle w:val="SangriaFrancesaArticulo"/>
      </w:pPr>
      <w:r w:rsidRPr="002C5A78">
        <w:rPr>
          <w:rStyle w:val="TextoNormalNegritaCaracter"/>
        </w:rPr>
        <w:t>Artículo 13.1 c).</w:t>
      </w:r>
      <w:r w:rsidRPr="002C5A78">
        <w:rPr>
          <w:rStyle w:val="TextoNormalCaracter"/>
        </w:rPr>
        <w:t>-</w:t>
      </w:r>
      <w:r>
        <w:t xml:space="preserve"> Sentencia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13.1 d).</w:t>
      </w:r>
      <w:r w:rsidRPr="002C5A78">
        <w:rPr>
          <w:rStyle w:val="TextoNormalCaracter"/>
        </w:rPr>
        <w:t>-</w:t>
      </w:r>
      <w:r>
        <w:t xml:space="preserve"> Sentencia </w:t>
      </w:r>
      <w:hyperlink w:anchor="SENTENCIA_2021_134" w:history="1">
        <w:r w:rsidRPr="002C5A78">
          <w:rPr>
            <w:rStyle w:val="TextoNormalCaracter"/>
          </w:rPr>
          <w:t>134/2021</w:t>
        </w:r>
      </w:hyperlink>
      <w:r>
        <w:t>, f. 6.</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134" w:history="1">
        <w:r w:rsidRPr="002C5A78">
          <w:rPr>
            <w:rStyle w:val="TextoNormalCaracter"/>
          </w:rPr>
          <w:t>134/2021</w:t>
        </w:r>
      </w:hyperlink>
      <w:r>
        <w:t>, f. 5.</w:t>
      </w:r>
    </w:p>
    <w:p w:rsidR="002C5A78" w:rsidRDefault="002C5A78" w:rsidP="002C5A78">
      <w:pPr>
        <w:pStyle w:val="SangriaFrancesaArticulo"/>
      </w:pPr>
      <w:r w:rsidRPr="002C5A78">
        <w:rPr>
          <w:rStyle w:val="TextoNormalNegritaCaracter"/>
        </w:rPr>
        <w:t>Artículo 32.4.</w:t>
      </w:r>
      <w:r w:rsidRPr="002C5A78">
        <w:rPr>
          <w:rStyle w:val="TextoNormalCaracter"/>
        </w:rPr>
        <w:t>-</w:t>
      </w:r>
      <w:r>
        <w:t xml:space="preserve"> Sentencia </w:t>
      </w:r>
      <w:hyperlink w:anchor="SENTENCIA_2021_134" w:history="1">
        <w:r w:rsidRPr="002C5A78">
          <w:rPr>
            <w:rStyle w:val="TextoNormalCaracter"/>
          </w:rPr>
          <w:t>134/2021</w:t>
        </w:r>
      </w:hyperlink>
      <w:r>
        <w:t>, f. 4.</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134" w:history="1">
        <w:r w:rsidRPr="002C5A78">
          <w:rPr>
            <w:rStyle w:val="TextoNormalCaracter"/>
          </w:rPr>
          <w:t>134/2021</w:t>
        </w:r>
      </w:hyperlink>
      <w:r>
        <w:t>, f. 4.</w:t>
      </w:r>
    </w:p>
    <w:p w:rsidR="002C5A78" w:rsidRDefault="002C5A78" w:rsidP="002C5A78">
      <w:pPr>
        <w:pStyle w:val="SangriaFrancesaArticulo"/>
      </w:pPr>
    </w:p>
    <w:p w:rsidR="002C5A78" w:rsidRDefault="002C5A78" w:rsidP="002C5A78">
      <w:pPr>
        <w:pStyle w:val="TextoNormalNegritaCursivandice"/>
        <w:keepNext/>
      </w:pPr>
      <w:r>
        <w:t>Ley 27/2006, de 18 de julio. Regula los derechos de acceso a la información, de participación pública y de acceso a la justicia en materia de medio ambiente (incorpora las Directivas 2003/4/CE y 2003/35/CE)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5" w:history="1">
        <w:r w:rsidRPr="002C5A78">
          <w:rPr>
            <w:rStyle w:val="TextoNormalCaracter"/>
          </w:rPr>
          <w:t>15/2021</w:t>
        </w:r>
      </w:hyperlink>
      <w:r>
        <w:t>, f. 4.</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15" w:history="1">
        <w:r w:rsidRPr="002C5A78">
          <w:rPr>
            <w:rStyle w:val="TextoNormalCaracter"/>
          </w:rPr>
          <w:t>15/2021</w:t>
        </w:r>
      </w:hyperlink>
      <w:r>
        <w:t>, f. 4.</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15" w:history="1">
        <w:r w:rsidRPr="002C5A78">
          <w:rPr>
            <w:rStyle w:val="TextoNormalCaracter"/>
          </w:rPr>
          <w:t>15/2021</w:t>
        </w:r>
      </w:hyperlink>
      <w:r>
        <w:t>, f. 4.</w:t>
      </w:r>
    </w:p>
    <w:p w:rsidR="002C5A78" w:rsidRDefault="002C5A78" w:rsidP="002C5A78">
      <w:pPr>
        <w:pStyle w:val="SangriaFrancesaArticulo"/>
      </w:pPr>
    </w:p>
    <w:p w:rsidR="002C5A78" w:rsidRDefault="002C5A78" w:rsidP="002C5A78">
      <w:pPr>
        <w:pStyle w:val="TextoNormalNegritaCursivandice"/>
        <w:keepNext/>
      </w:pPr>
      <w:r>
        <w:t>Ley 7/2007, de 12 de abril, del estatuto básico del empleado público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8" w:history="1">
        <w:r w:rsidRPr="002C5A78">
          <w:rPr>
            <w:rStyle w:val="TextoNormalCaracter"/>
          </w:rPr>
          <w:t>38/2021</w:t>
        </w:r>
      </w:hyperlink>
      <w:r>
        <w:t>, f. 3.</w:t>
      </w:r>
    </w:p>
    <w:p w:rsidR="002C5A78" w:rsidRDefault="002C5A78" w:rsidP="002C5A78">
      <w:pPr>
        <w:pStyle w:val="SangriaFrancesaArticulo"/>
      </w:pPr>
      <w:r w:rsidRPr="002C5A78">
        <w:rPr>
          <w:rStyle w:val="TextoNormalNegritaCaracter"/>
        </w:rPr>
        <w:t>Disposición transitoria segunda.</w:t>
      </w:r>
      <w:r w:rsidRPr="002C5A78">
        <w:rPr>
          <w:rStyle w:val="TextoNormalCaracter"/>
        </w:rPr>
        <w:t>-</w:t>
      </w:r>
      <w:r>
        <w:t xml:space="preserve"> Sentencia </w:t>
      </w:r>
      <w:hyperlink w:anchor="SENTENCIA_2021_38" w:history="1">
        <w:r w:rsidRPr="002C5A78">
          <w:rPr>
            <w:rStyle w:val="TextoNormalCaracter"/>
          </w:rPr>
          <w:t>38/2021</w:t>
        </w:r>
      </w:hyperlink>
      <w:r>
        <w:t>, f. 3.</w:t>
      </w:r>
    </w:p>
    <w:p w:rsidR="002C5A78" w:rsidRDefault="002C5A78" w:rsidP="002C5A78">
      <w:pPr>
        <w:pStyle w:val="SangriaFrancesaArticulo"/>
      </w:pPr>
    </w:p>
    <w:p w:rsidR="002C5A78" w:rsidRDefault="002C5A78" w:rsidP="002C5A78">
      <w:pPr>
        <w:pStyle w:val="TextoNormalNegritaCursivandice"/>
        <w:keepNext/>
      </w:pPr>
      <w:r>
        <w:t>Ley 41/2007, de 7 de diciembre. Modifica la Ley 2/1981, de 25 de marzo, de regulación del mercado hipotecario y otras normas del sistema hipotecario y financiero, de regulación de las hipotecas inversas y el seguro de dependencia y por la que se establece determinada norma tributaria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p>
    <w:p w:rsidR="002C5A78" w:rsidRDefault="002C5A78" w:rsidP="002C5A78">
      <w:pPr>
        <w:pStyle w:val="TextoNormalNegritaCursivandice"/>
        <w:keepNext/>
      </w:pPr>
      <w:r>
        <w:t>Ley 42/2007, de 13 de diciembre, del patrimonio natural y de la biodiversidad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3" w:history="1">
        <w:r w:rsidRPr="002C5A78">
          <w:rPr>
            <w:rStyle w:val="TextoNormalCaracter"/>
          </w:rPr>
          <w:t>123/2021</w:t>
        </w:r>
      </w:hyperlink>
      <w:r>
        <w:t>, f. 3.</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 </w:t>
      </w:r>
      <w:hyperlink w:anchor="SENTENCIA_2021_112" w:history="1">
        <w:r w:rsidRPr="002C5A78">
          <w:rPr>
            <w:rStyle w:val="TextoNormalCaracter"/>
          </w:rPr>
          <w:t>112/2021</w:t>
        </w:r>
      </w:hyperlink>
      <w:r>
        <w:t>, f. 3.</w:t>
      </w:r>
    </w:p>
    <w:p w:rsidR="002C5A78" w:rsidRDefault="002C5A78" w:rsidP="002C5A78">
      <w:pPr>
        <w:pStyle w:val="SangriaFrancesaArticulo"/>
      </w:pPr>
    </w:p>
    <w:p w:rsidR="002C5A78" w:rsidRDefault="002C5A78" w:rsidP="002C5A78">
      <w:pPr>
        <w:pStyle w:val="TextoNormalNegritaCursivandice"/>
        <w:keepNext/>
      </w:pPr>
      <w:r>
        <w:t>Ley 54/2007, de 28 de diciembre. Adopción internacional</w:t>
      </w:r>
    </w:p>
    <w:p w:rsidR="002C5A78" w:rsidRDefault="002C5A78" w:rsidP="002C5A78">
      <w:pPr>
        <w:pStyle w:val="SangriaFrancesaArticulo"/>
      </w:pPr>
      <w:r w:rsidRPr="002C5A78">
        <w:rPr>
          <w:rStyle w:val="TextoNormalNegritaCaracter"/>
        </w:rPr>
        <w:t>Preámbulo, apartado II.</w:t>
      </w:r>
      <w:r w:rsidRPr="002C5A78">
        <w:rPr>
          <w:rStyle w:val="TextoNormalCaracter"/>
        </w:rPr>
        <w:t>-</w:t>
      </w:r>
      <w:r>
        <w:t xml:space="preserve"> Sentencia </w:t>
      </w:r>
      <w:hyperlink w:anchor="SENTENCIA_2021_36" w:history="1">
        <w:r w:rsidRPr="002C5A78">
          <w:rPr>
            <w:rStyle w:val="TextoNormalCaracter"/>
          </w:rPr>
          <w:t>36/2021</w:t>
        </w:r>
      </w:hyperlink>
      <w:r>
        <w:t>, f. 4.</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36" w:history="1">
        <w:r w:rsidRPr="002C5A78">
          <w:rPr>
            <w:rStyle w:val="TextoNormalCaracter"/>
          </w:rPr>
          <w:t>36/2021</w:t>
        </w:r>
      </w:hyperlink>
      <w:r>
        <w:t>, ff. 3, 6.</w:t>
      </w:r>
    </w:p>
    <w:p w:rsidR="002C5A78" w:rsidRDefault="002C5A78" w:rsidP="002C5A78">
      <w:pPr>
        <w:pStyle w:val="SangriaFrancesaArticulo"/>
      </w:pPr>
      <w:r w:rsidRPr="002C5A78">
        <w:rPr>
          <w:rStyle w:val="TextoNormalNegritaCaracter"/>
        </w:rPr>
        <w:t>Artículo 4 apartados 1, 3, 6.</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Artículo 4.3.</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Artículo 4.3 apartado 2.</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Tìtulo II.</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Titulo I.</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Titulo III.</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36" w:history="1">
        <w:r w:rsidRPr="002C5A78">
          <w:rPr>
            <w:rStyle w:val="TextoNormalCaracter"/>
          </w:rPr>
          <w:t>36/2021</w:t>
        </w:r>
      </w:hyperlink>
      <w:r>
        <w:t>, ff. 4, 5.</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Disposión final vigésimo primera.</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4.5.</w:t>
      </w:r>
      <w:r w:rsidRPr="002C5A78">
        <w:rPr>
          <w:rStyle w:val="TextoNormalCaracter"/>
        </w:rPr>
        <w:t>-</w:t>
      </w:r>
      <w:r>
        <w:t xml:space="preserve"> Sentencia </w:t>
      </w:r>
      <w:hyperlink w:anchor="SENTENCIA_2021_36" w:history="1">
        <w:r w:rsidRPr="002C5A78">
          <w:rPr>
            <w:rStyle w:val="TextoNormalCaracter"/>
          </w:rPr>
          <w:t>36/2021</w:t>
        </w:r>
      </w:hyperlink>
      <w:r>
        <w:t>, ff. 3, 7.</w:t>
      </w:r>
    </w:p>
    <w:p w:rsidR="002C5A78" w:rsidRDefault="002C5A78" w:rsidP="002C5A78">
      <w:pPr>
        <w:pStyle w:val="SangriaFrancesaArticulo"/>
      </w:pPr>
      <w:r w:rsidRPr="002C5A78">
        <w:rPr>
          <w:rStyle w:val="TextoNormalNegritaCaracter"/>
        </w:rPr>
        <w:t>Artículo 4.5 párrafo 5.</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4.5 párrafo primero.</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4.6.</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36" w:history="1">
        <w:r w:rsidRPr="002C5A78">
          <w:rPr>
            <w:rStyle w:val="TextoNormalCaracter"/>
          </w:rPr>
          <w:t>36/2021</w:t>
        </w:r>
      </w:hyperlink>
      <w:r>
        <w:t>, f. 4.</w:t>
      </w:r>
    </w:p>
    <w:p w:rsidR="002C5A78" w:rsidRDefault="002C5A78" w:rsidP="002C5A78">
      <w:pPr>
        <w:pStyle w:val="SangriaFrancesaArticulo"/>
      </w:pPr>
      <w:r w:rsidRPr="002C5A78">
        <w:rPr>
          <w:rStyle w:val="TextoNormalNegritaCaracter"/>
        </w:rPr>
        <w:t>Artículo 5 apartados a), b), c), g), i).</w:t>
      </w:r>
      <w:r w:rsidRPr="002C5A78">
        <w:rPr>
          <w:rStyle w:val="TextoNormalCaracter"/>
        </w:rPr>
        <w:t>-</w:t>
      </w:r>
      <w:r>
        <w:t xml:space="preserve"> Sentencia </w:t>
      </w:r>
      <w:hyperlink w:anchor="SENTENCIA_2021_36" w:history="1">
        <w:r w:rsidRPr="002C5A78">
          <w:rPr>
            <w:rStyle w:val="TextoNormalCaracter"/>
          </w:rPr>
          <w:t>36/2021</w:t>
        </w:r>
      </w:hyperlink>
      <w:r>
        <w:t>, f. 8.</w:t>
      </w:r>
    </w:p>
    <w:p w:rsidR="002C5A78" w:rsidRDefault="002C5A78" w:rsidP="002C5A78">
      <w:pPr>
        <w:pStyle w:val="SangriaFrancesaArticulo"/>
      </w:pPr>
      <w:r w:rsidRPr="002C5A78">
        <w:rPr>
          <w:rStyle w:val="TextoNormalNegritaCaracter"/>
        </w:rPr>
        <w:t>Artículo 5 c).</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5 j).</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5.1 c).</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36" w:history="1">
        <w:r w:rsidRPr="002C5A78">
          <w:rPr>
            <w:rStyle w:val="TextoNormalCaracter"/>
          </w:rPr>
          <w:t>36/2021</w:t>
        </w:r>
      </w:hyperlink>
      <w:r>
        <w:t>, ff. 4, 8.</w:t>
      </w:r>
    </w:p>
    <w:p w:rsidR="002C5A78" w:rsidRDefault="002C5A78" w:rsidP="002C5A78">
      <w:pPr>
        <w:pStyle w:val="SangriaFrancesaArticulo"/>
      </w:pPr>
      <w:r w:rsidRPr="002C5A78">
        <w:rPr>
          <w:rStyle w:val="TextoNormalNegritaCaracter"/>
        </w:rPr>
        <w:t>Artículo 6 apartados 1, 2, 3.</w:t>
      </w:r>
      <w:r w:rsidRPr="002C5A78">
        <w:rPr>
          <w:rStyle w:val="TextoNormalCaracter"/>
        </w:rPr>
        <w:t>-</w:t>
      </w:r>
      <w:r>
        <w:t xml:space="preserve"> Sentencia </w:t>
      </w:r>
      <w:hyperlink w:anchor="SENTENCIA_2021_36" w:history="1">
        <w:r w:rsidRPr="002C5A78">
          <w:rPr>
            <w:rStyle w:val="TextoNormalCaracter"/>
          </w:rPr>
          <w:t>36/2021</w:t>
        </w:r>
      </w:hyperlink>
      <w:r>
        <w:t>, f. 8.</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36" w:history="1">
        <w:r w:rsidRPr="002C5A78">
          <w:rPr>
            <w:rStyle w:val="TextoNormalCaracter"/>
          </w:rPr>
          <w:t>36/2021</w:t>
        </w:r>
      </w:hyperlink>
      <w:r>
        <w:t>, f. 8.</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36" w:history="1">
        <w:r w:rsidRPr="002C5A78">
          <w:rPr>
            <w:rStyle w:val="TextoNormalCaracter"/>
          </w:rPr>
          <w:t>36/2021</w:t>
        </w:r>
      </w:hyperlink>
      <w:r>
        <w:t>, f. 8.</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7.1.</w:t>
      </w:r>
      <w:r w:rsidRPr="002C5A78">
        <w:rPr>
          <w:rStyle w:val="TextoNormalCaracter"/>
        </w:rPr>
        <w:t>-</w:t>
      </w:r>
      <w:r>
        <w:t xml:space="preserve"> Sentencia </w:t>
      </w:r>
      <w:hyperlink w:anchor="SENTENCIA_2021_36" w:history="1">
        <w:r w:rsidRPr="002C5A78">
          <w:rPr>
            <w:rStyle w:val="TextoNormalCaracter"/>
          </w:rPr>
          <w:t>36/2021</w:t>
        </w:r>
      </w:hyperlink>
      <w:r>
        <w:t>, f. 8.</w:t>
      </w:r>
    </w:p>
    <w:p w:rsidR="002C5A78" w:rsidRDefault="002C5A78" w:rsidP="002C5A78">
      <w:pPr>
        <w:pStyle w:val="SangriaFrancesaArticulo"/>
      </w:pPr>
      <w:r w:rsidRPr="002C5A78">
        <w:rPr>
          <w:rStyle w:val="TextoNormalNegritaCaracter"/>
        </w:rPr>
        <w:t>Artículo 7.2 párrafo primero.</w:t>
      </w:r>
      <w:r w:rsidRPr="002C5A78">
        <w:rPr>
          <w:rStyle w:val="TextoNormalCaracter"/>
        </w:rPr>
        <w:t>-</w:t>
      </w:r>
      <w:r>
        <w:t xml:space="preserve"> Sentencia </w:t>
      </w:r>
      <w:hyperlink w:anchor="SENTENCIA_2021_36" w:history="1">
        <w:r w:rsidRPr="002C5A78">
          <w:rPr>
            <w:rStyle w:val="TextoNormalCaracter"/>
          </w:rPr>
          <w:t>36/2021</w:t>
        </w:r>
      </w:hyperlink>
      <w:r>
        <w:t>, ff. 9, 13.</w:t>
      </w:r>
    </w:p>
    <w:p w:rsidR="002C5A78" w:rsidRDefault="002C5A78" w:rsidP="002C5A78">
      <w:pPr>
        <w:pStyle w:val="SangriaFrancesaArticulo"/>
      </w:pPr>
      <w:r w:rsidRPr="002C5A78">
        <w:rPr>
          <w:rStyle w:val="TextoNormalNegritaCaracter"/>
        </w:rPr>
        <w:t>Artículo 7.2 párrafo segundo.</w:t>
      </w:r>
      <w:r w:rsidRPr="002C5A78">
        <w:rPr>
          <w:rStyle w:val="TextoNormalCaracter"/>
        </w:rPr>
        <w:t>-</w:t>
      </w:r>
      <w:r>
        <w:t xml:space="preserve"> Sentencia </w:t>
      </w:r>
      <w:hyperlink w:anchor="SENTENCIA_2021_36" w:history="1">
        <w:r w:rsidRPr="002C5A78">
          <w:rPr>
            <w:rStyle w:val="TextoNormalCaracter"/>
          </w:rPr>
          <w:t>36/2021</w:t>
        </w:r>
      </w:hyperlink>
      <w:r>
        <w:t>, f. 14.</w:t>
      </w:r>
    </w:p>
    <w:p w:rsidR="002C5A78" w:rsidRDefault="002C5A78" w:rsidP="002C5A78">
      <w:pPr>
        <w:pStyle w:val="SangriaFrancesaArticulo"/>
      </w:pPr>
      <w:r w:rsidRPr="002C5A78">
        <w:rPr>
          <w:rStyle w:val="TextoNormalNegritaCaracter"/>
        </w:rPr>
        <w:t>Artículo 7.6.</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7.7 inciso "la administración general del Estado, a iniciativa propia o a propuesta de las entidades públicas en su ámbito territorial".</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8.1 inciso "que se encuentre acreditado por la administración general del Estado".</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8.2 párrafo segundo.</w:t>
      </w:r>
      <w:r w:rsidRPr="002C5A78">
        <w:rPr>
          <w:rStyle w:val="TextoNormalCaracter"/>
        </w:rPr>
        <w:t>-</w:t>
      </w:r>
      <w:r>
        <w:t xml:space="preserve"> Sentencia </w:t>
      </w:r>
      <w:hyperlink w:anchor="SENTENCIA_2021_36" w:history="1">
        <w:r w:rsidRPr="002C5A78">
          <w:rPr>
            <w:rStyle w:val="TextoNormalCaracter"/>
          </w:rPr>
          <w:t>36/2021</w:t>
        </w:r>
      </w:hyperlink>
      <w:r>
        <w:t>, f. 12.</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36" w:history="1">
        <w:r w:rsidRPr="002C5A78">
          <w:rPr>
            <w:rStyle w:val="TextoNormalCaracter"/>
          </w:rPr>
          <w:t>36/2021</w:t>
        </w:r>
      </w:hyperlink>
      <w:r>
        <w:t>, f. 14.</w:t>
      </w:r>
    </w:p>
    <w:p w:rsidR="002C5A78" w:rsidRDefault="002C5A78" w:rsidP="002C5A78">
      <w:pPr>
        <w:pStyle w:val="SangriaFrancesaArticulo"/>
      </w:pPr>
      <w:r w:rsidRPr="002C5A78">
        <w:rPr>
          <w:rStyle w:val="TextoNormalNegritaCaracter"/>
        </w:rPr>
        <w:t>Artículo 10.</w:t>
      </w:r>
      <w:r w:rsidRPr="002C5A78">
        <w:rPr>
          <w:rStyle w:val="TextoNormalCaracter"/>
        </w:rPr>
        <w:t>-</w:t>
      </w:r>
      <w:r>
        <w:t xml:space="preserve"> Sentencia </w:t>
      </w:r>
      <w:hyperlink w:anchor="SENTENCIA_2021_36" w:history="1">
        <w:r w:rsidRPr="002C5A78">
          <w:rPr>
            <w:rStyle w:val="TextoNormalCaracter"/>
          </w:rPr>
          <w:t>36/2021</w:t>
        </w:r>
      </w:hyperlink>
      <w:r>
        <w:t>, f. 4.</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36" w:history="1">
        <w:r w:rsidRPr="002C5A78">
          <w:rPr>
            <w:rStyle w:val="TextoNormalCaracter"/>
          </w:rPr>
          <w:t>36/2021</w:t>
        </w:r>
      </w:hyperlink>
      <w:r>
        <w:t>, f. 4.</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36" w:history="1">
        <w:r w:rsidRPr="002C5A78">
          <w:rPr>
            <w:rStyle w:val="TextoNormalCaracter"/>
          </w:rPr>
          <w:t>36/2021</w:t>
        </w:r>
      </w:hyperlink>
      <w:r>
        <w:t>, f. 4.</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36" w:history="1">
        <w:r w:rsidRPr="002C5A78">
          <w:rPr>
            <w:rStyle w:val="TextoNormalCaracter"/>
          </w:rPr>
          <w:t>36/2021</w:t>
        </w:r>
      </w:hyperlink>
      <w:r>
        <w:t>, f. 4.</w:t>
      </w:r>
    </w:p>
    <w:p w:rsidR="002C5A78" w:rsidRDefault="002C5A78" w:rsidP="002C5A78">
      <w:pPr>
        <w:pStyle w:val="SangriaFrancesaArticulo"/>
      </w:pPr>
      <w:r w:rsidRPr="002C5A78">
        <w:rPr>
          <w:rStyle w:val="TextoNormalNegritaCaracter"/>
        </w:rPr>
        <w:t>Disposición final quinta.</w:t>
      </w:r>
      <w:r w:rsidRPr="002C5A78">
        <w:rPr>
          <w:rStyle w:val="TextoNormalCaracter"/>
        </w:rPr>
        <w:t>-</w:t>
      </w:r>
      <w:r>
        <w:t xml:space="preserve"> Sentencia </w:t>
      </w:r>
      <w:hyperlink w:anchor="SENTENCIA_2021_36" w:history="1">
        <w:r w:rsidRPr="002C5A78">
          <w:rPr>
            <w:rStyle w:val="TextoNormalCaracter"/>
          </w:rPr>
          <w:t>36/2021</w:t>
        </w:r>
      </w:hyperlink>
      <w:r>
        <w:t>, f. 4.</w:t>
      </w:r>
    </w:p>
    <w:p w:rsidR="002C5A78" w:rsidRDefault="002C5A78" w:rsidP="002C5A78">
      <w:pPr>
        <w:pStyle w:val="SangriaFrancesaArticulo"/>
      </w:pPr>
    </w:p>
    <w:p w:rsidR="002C5A78" w:rsidRDefault="002C5A78" w:rsidP="002C5A78">
      <w:pPr>
        <w:pStyle w:val="TextoNormalNegritaCursivandice"/>
        <w:keepNext/>
      </w:pPr>
      <w:r>
        <w:t>Ley 13/2009, de 3 de noviembre. Reforma de la legislación procesal para la implantación de la nueva oficina judicial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82" w:history="1">
        <w:r w:rsidRPr="002C5A78">
          <w:rPr>
            <w:rStyle w:val="TextoNormalCaracter"/>
          </w:rPr>
          <w:t>82/2021</w:t>
        </w:r>
      </w:hyperlink>
      <w:r>
        <w:t xml:space="preserve">, f. 2; </w:t>
      </w:r>
      <w:hyperlink w:anchor="SENTENCIA_2021_118" w:history="1">
        <w:r w:rsidRPr="002C5A78">
          <w:rPr>
            <w:rStyle w:val="TextoNormalCaracter"/>
          </w:rPr>
          <w:t>118/2021</w:t>
        </w:r>
      </w:hyperlink>
      <w:r>
        <w:t>, f. 2.</w:t>
      </w:r>
    </w:p>
    <w:p w:rsidR="002C5A78" w:rsidRDefault="002C5A78" w:rsidP="002C5A78">
      <w:pPr>
        <w:pStyle w:val="SangriaFrancesaArticulo"/>
      </w:pPr>
    </w:p>
    <w:p w:rsidR="002C5A78" w:rsidRDefault="002C5A78" w:rsidP="002C5A78">
      <w:pPr>
        <w:pStyle w:val="TextoNormalNegritaCursivandice"/>
        <w:keepNext/>
      </w:pPr>
      <w:r>
        <w:t>Ley 19/2009, de 23 de noviembre. Medidas de fomento y agilización procesal del alquiler y de la eficiencia energética de los edificios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0" w:history="1">
        <w:r w:rsidRPr="002C5A78">
          <w:rPr>
            <w:rStyle w:val="TextoNormalCaracter"/>
          </w:rPr>
          <w:t>20/2021</w:t>
        </w:r>
      </w:hyperlink>
      <w:r>
        <w:t xml:space="preserve">, ff. 2, 3; </w:t>
      </w:r>
      <w:hyperlink w:anchor="SENTENCIA_2021_60" w:history="1">
        <w:r w:rsidRPr="002C5A78">
          <w:rPr>
            <w:rStyle w:val="TextoNormalCaracter"/>
          </w:rPr>
          <w:t>60/2021</w:t>
        </w:r>
      </w:hyperlink>
      <w:r>
        <w:t xml:space="preserve">, f. 3; </w:t>
      </w:r>
      <w:hyperlink w:anchor="SENTENCIA_2021_82" w:history="1">
        <w:r w:rsidRPr="002C5A78">
          <w:rPr>
            <w:rStyle w:val="TextoNormalCaracter"/>
          </w:rPr>
          <w:t>82/2021</w:t>
        </w:r>
      </w:hyperlink>
      <w:r>
        <w:t xml:space="preserve">, f. 2; </w:t>
      </w:r>
      <w:hyperlink w:anchor="SENTENCIA_2021_94" w:history="1">
        <w:r w:rsidRPr="002C5A78">
          <w:rPr>
            <w:rStyle w:val="TextoNormalCaracter"/>
          </w:rPr>
          <w:t>94/2021</w:t>
        </w:r>
      </w:hyperlink>
      <w:r>
        <w:t>, ff. 2, 3.</w:t>
      </w:r>
    </w:p>
    <w:p w:rsidR="002C5A78" w:rsidRDefault="002C5A78" w:rsidP="002C5A78">
      <w:pPr>
        <w:pStyle w:val="SangriaFrancesaArticulo"/>
      </w:pPr>
    </w:p>
    <w:p w:rsidR="002C5A78" w:rsidRDefault="002C5A78" w:rsidP="002C5A78">
      <w:pPr>
        <w:pStyle w:val="TextoNormalNegritaCursivandice"/>
        <w:keepNext/>
      </w:pPr>
      <w:r>
        <w:t>Ley 25/2009, de 22 de diciembre, de modificación de diversas leyes para su adaptación a la Ley sobre el libre acceso a las actividades de servicios y su ejercicio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9" w:history="1">
        <w:r w:rsidRPr="002C5A78">
          <w:rPr>
            <w:rStyle w:val="TextoNormalCaracter"/>
          </w:rPr>
          <w:t>79/2021</w:t>
        </w:r>
      </w:hyperlink>
      <w:r>
        <w:t>, f. 4.</w:t>
      </w:r>
    </w:p>
    <w:p w:rsidR="002C5A78" w:rsidRDefault="002C5A78" w:rsidP="002C5A78">
      <w:pPr>
        <w:pStyle w:val="SangriaFrancesaArticulo"/>
      </w:pPr>
    </w:p>
    <w:p w:rsidR="002C5A78" w:rsidRDefault="002C5A78" w:rsidP="002C5A78">
      <w:pPr>
        <w:pStyle w:val="TextoNormalNegritaCursivandice"/>
        <w:keepNext/>
      </w:pPr>
      <w:r>
        <w:t>Ley 18/2011, de 5 de julio. Regula el uso de las tecnologías de la información y la comunicación en la Administración de Justicia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9" w:history="1">
        <w:r w:rsidRPr="002C5A78">
          <w:rPr>
            <w:rStyle w:val="TextoNormalCaracter"/>
          </w:rPr>
          <w:t>79/2021</w:t>
        </w:r>
      </w:hyperlink>
      <w:r>
        <w:t>, f. 3.</w:t>
      </w:r>
    </w:p>
    <w:p w:rsidR="002C5A78" w:rsidRDefault="002C5A78" w:rsidP="002C5A78">
      <w:pPr>
        <w:pStyle w:val="SangriaFrancesaArticulo"/>
      </w:pPr>
    </w:p>
    <w:p w:rsidR="002C5A78" w:rsidRDefault="002C5A78" w:rsidP="002C5A78">
      <w:pPr>
        <w:pStyle w:val="TextoNormalNegritaCursivandice"/>
        <w:keepNext/>
      </w:pPr>
      <w:r>
        <w:t>Ley 36/2011, de 10 de octubre, reguladora de la jurisdicción social</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61" w:history="1">
        <w:r w:rsidRPr="002C5A78">
          <w:rPr>
            <w:rStyle w:val="TextoNormalCaracter"/>
          </w:rPr>
          <w:t>61/2021</w:t>
        </w:r>
      </w:hyperlink>
      <w:r>
        <w:t>, f. 6.</w:t>
      </w:r>
    </w:p>
    <w:p w:rsidR="002C5A78" w:rsidRDefault="002C5A78" w:rsidP="002C5A78">
      <w:pPr>
        <w:pStyle w:val="SangriaFrancesaArticulo"/>
      </w:pPr>
      <w:r w:rsidRPr="002C5A78">
        <w:rPr>
          <w:rStyle w:val="TextoNormalNegritaCaracter"/>
        </w:rPr>
        <w:t>Artículo 53.1.</w:t>
      </w:r>
      <w:r w:rsidRPr="002C5A78">
        <w:rPr>
          <w:rStyle w:val="TextoNormalCaracter"/>
        </w:rPr>
        <w:t>-</w:t>
      </w:r>
      <w:r>
        <w:t xml:space="preserve"> Sentencia </w:t>
      </w:r>
      <w:hyperlink w:anchor="SENTENCIA_2021_48" w:history="1">
        <w:r w:rsidRPr="002C5A78">
          <w:rPr>
            <w:rStyle w:val="TextoNormalCaracter"/>
          </w:rPr>
          <w:t>48/2021</w:t>
        </w:r>
      </w:hyperlink>
      <w:r>
        <w:t>, f. 2.</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 </w:t>
      </w:r>
      <w:hyperlink w:anchor="SENTENCIA_2021_48" w:history="1">
        <w:r w:rsidRPr="002C5A78">
          <w:rPr>
            <w:rStyle w:val="TextoNormalCaracter"/>
          </w:rPr>
          <w:t>48/2021</w:t>
        </w:r>
      </w:hyperlink>
      <w:r>
        <w:t>, f. 2.</w:t>
      </w:r>
    </w:p>
    <w:p w:rsidR="002C5A78" w:rsidRDefault="002C5A78" w:rsidP="002C5A78">
      <w:pPr>
        <w:pStyle w:val="SangriaFrancesaArticulo"/>
      </w:pPr>
      <w:r w:rsidRPr="002C5A78">
        <w:rPr>
          <w:rStyle w:val="TextoNormalNegritaCaracter"/>
        </w:rPr>
        <w:t>Artículo 90.2.</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rsidP="002C5A78">
      <w:pPr>
        <w:pStyle w:val="SangriaFrancesaArticulo"/>
      </w:pPr>
      <w:r w:rsidRPr="002C5A78">
        <w:rPr>
          <w:rStyle w:val="TextoNormalNegritaCaracter"/>
        </w:rPr>
        <w:t>Artículo 102.</w:t>
      </w:r>
      <w:r w:rsidRPr="002C5A78">
        <w:rPr>
          <w:rStyle w:val="TextoNormalCaracter"/>
        </w:rPr>
        <w:t>-</w:t>
      </w:r>
      <w:r>
        <w:t xml:space="preserve"> Sentencia </w:t>
      </w:r>
      <w:hyperlink w:anchor="SENTENCIA_2021_119" w:history="1">
        <w:r w:rsidRPr="002C5A78">
          <w:rPr>
            <w:rStyle w:val="TextoNormalCaracter"/>
          </w:rPr>
          <w:t>119/2021</w:t>
        </w:r>
      </w:hyperlink>
      <w:r>
        <w:t>, f. 1.</w:t>
      </w:r>
    </w:p>
    <w:p w:rsidR="002C5A78" w:rsidRDefault="002C5A78" w:rsidP="002C5A78">
      <w:pPr>
        <w:pStyle w:val="SangriaFrancesaArticulo"/>
      </w:pPr>
      <w:r w:rsidRPr="002C5A78">
        <w:rPr>
          <w:rStyle w:val="TextoNormalNegritaCaracter"/>
        </w:rPr>
        <w:t>Artículo 138.</w:t>
      </w:r>
      <w:r w:rsidRPr="002C5A78">
        <w:rPr>
          <w:rStyle w:val="TextoNormalCaracter"/>
        </w:rPr>
        <w:t>-</w:t>
      </w:r>
      <w:r>
        <w:t xml:space="preserve"> Sentencia </w:t>
      </w:r>
      <w:hyperlink w:anchor="SENTENCIA_2021_119" w:history="1">
        <w:r w:rsidRPr="002C5A78">
          <w:rPr>
            <w:rStyle w:val="TextoNormalCaracter"/>
          </w:rPr>
          <w:t>119/2021</w:t>
        </w:r>
      </w:hyperlink>
      <w:r>
        <w:t>, f. 2.</w:t>
      </w:r>
    </w:p>
    <w:p w:rsidR="002C5A78" w:rsidRDefault="002C5A78" w:rsidP="002C5A78">
      <w:pPr>
        <w:pStyle w:val="SangriaFrancesaArticulo"/>
      </w:pPr>
      <w:r w:rsidRPr="002C5A78">
        <w:rPr>
          <w:rStyle w:val="TextoNormalNegritaCaracter"/>
        </w:rPr>
        <w:t>Artículo 139.</w:t>
      </w:r>
      <w:r w:rsidRPr="002C5A78">
        <w:rPr>
          <w:rStyle w:val="TextoNormalCaracter"/>
        </w:rPr>
        <w:t>-</w:t>
      </w:r>
      <w:r>
        <w:t xml:space="preserve"> Sentencia </w:t>
      </w:r>
      <w:hyperlink w:anchor="SENTENCIA_2021_119" w:history="1">
        <w:r w:rsidRPr="002C5A78">
          <w:rPr>
            <w:rStyle w:val="TextoNormalCaracter"/>
          </w:rPr>
          <w:t>119/2021</w:t>
        </w:r>
      </w:hyperlink>
      <w:r>
        <w:t>, f. 2.</w:t>
      </w:r>
    </w:p>
    <w:p w:rsidR="002C5A78" w:rsidRDefault="002C5A78" w:rsidP="002C5A78">
      <w:pPr>
        <w:pStyle w:val="SangriaFrancesaArticulo"/>
      </w:pPr>
      <w:r w:rsidRPr="002C5A78">
        <w:rPr>
          <w:rStyle w:val="TextoNormalNegritaCaracter"/>
        </w:rPr>
        <w:t>Artículo 183.</w:t>
      </w:r>
      <w:r w:rsidRPr="002C5A78">
        <w:rPr>
          <w:rStyle w:val="TextoNormalCaracter"/>
        </w:rPr>
        <w:t>-</w:t>
      </w:r>
      <w:r>
        <w:t xml:space="preserve"> Sentencia </w:t>
      </w:r>
      <w:hyperlink w:anchor="SENTENCIA_2021_61" w:history="1">
        <w:r w:rsidRPr="002C5A78">
          <w:rPr>
            <w:rStyle w:val="TextoNormalCaracter"/>
          </w:rPr>
          <w:t>61/2021</w:t>
        </w:r>
      </w:hyperlink>
      <w:r>
        <w:t>, f. 6.</w:t>
      </w:r>
    </w:p>
    <w:p w:rsidR="002C5A78" w:rsidRDefault="002C5A78" w:rsidP="002C5A78">
      <w:pPr>
        <w:pStyle w:val="SangriaFrancesaArticulo"/>
      </w:pPr>
      <w:r w:rsidRPr="002C5A78">
        <w:rPr>
          <w:rStyle w:val="TextoNormalNegritaCaracter"/>
        </w:rPr>
        <w:t>Artículo 183.1.</w:t>
      </w:r>
      <w:r w:rsidRPr="002C5A78">
        <w:rPr>
          <w:rStyle w:val="TextoNormalCaracter"/>
        </w:rPr>
        <w:t>-</w:t>
      </w:r>
      <w:r>
        <w:t xml:space="preserve"> Sentencia </w:t>
      </w:r>
      <w:hyperlink w:anchor="SENTENCIA_2021_61" w:history="1">
        <w:r w:rsidRPr="002C5A78">
          <w:rPr>
            <w:rStyle w:val="TextoNormalCaracter"/>
          </w:rPr>
          <w:t>61/2021</w:t>
        </w:r>
      </w:hyperlink>
      <w:r>
        <w:t>, f. 6.</w:t>
      </w:r>
    </w:p>
    <w:p w:rsidR="002C5A78" w:rsidRDefault="002C5A78" w:rsidP="002C5A78">
      <w:pPr>
        <w:pStyle w:val="SangriaFrancesaArticulo"/>
      </w:pPr>
      <w:r w:rsidRPr="002C5A78">
        <w:rPr>
          <w:rStyle w:val="TextoNormalNegritaCaracter"/>
        </w:rPr>
        <w:t>Artículo 185.</w:t>
      </w:r>
      <w:r w:rsidRPr="002C5A78">
        <w:rPr>
          <w:rStyle w:val="TextoNormalCaracter"/>
        </w:rPr>
        <w:t>-</w:t>
      </w:r>
      <w:r>
        <w:t xml:space="preserve"> Sentencia </w:t>
      </w:r>
      <w:hyperlink w:anchor="SENTENCIA_2021_117" w:history="1">
        <w:r w:rsidRPr="002C5A78">
          <w:rPr>
            <w:rStyle w:val="TextoNormalCaracter"/>
          </w:rPr>
          <w:t>117/2021</w:t>
        </w:r>
      </w:hyperlink>
      <w:r>
        <w:t>, f. 4.</w:t>
      </w:r>
    </w:p>
    <w:p w:rsidR="002C5A78" w:rsidRDefault="002C5A78" w:rsidP="002C5A78">
      <w:pPr>
        <w:pStyle w:val="SangriaFrancesaArticulo"/>
      </w:pPr>
      <w:r w:rsidRPr="002C5A78">
        <w:rPr>
          <w:rStyle w:val="TextoNormalNegritaCaracter"/>
        </w:rPr>
        <w:t>Artículo 188.1 párrafo 1.</w:t>
      </w:r>
      <w:r w:rsidRPr="002C5A78">
        <w:rPr>
          <w:rStyle w:val="TextoNormalCaracter"/>
        </w:rPr>
        <w:t>-</w:t>
      </w:r>
      <w:r>
        <w:t xml:space="preserve"> Sentencia </w:t>
      </w:r>
      <w:hyperlink w:anchor="SENTENCIA_2021_54" w:history="1">
        <w:r w:rsidRPr="002C5A78">
          <w:rPr>
            <w:rStyle w:val="TextoNormalCaracter"/>
          </w:rPr>
          <w:t>54/2021</w:t>
        </w:r>
      </w:hyperlink>
      <w:r>
        <w:t>, f. 1.</w:t>
      </w:r>
    </w:p>
    <w:p w:rsidR="002C5A78" w:rsidRDefault="002C5A78" w:rsidP="002C5A78">
      <w:pPr>
        <w:pStyle w:val="SangriaFrancesaArticulo"/>
      </w:pPr>
      <w:r w:rsidRPr="002C5A78">
        <w:rPr>
          <w:rStyle w:val="TextoNormalNegritaCaracter"/>
        </w:rPr>
        <w:t>Artículo 218.</w:t>
      </w:r>
      <w:r w:rsidRPr="002C5A78">
        <w:rPr>
          <w:rStyle w:val="TextoNormalCaracter"/>
        </w:rPr>
        <w:t>-</w:t>
      </w:r>
      <w:r>
        <w:t xml:space="preserve"> Sentencia </w:t>
      </w:r>
      <w:hyperlink w:anchor="SENTENCIA_2021_63" w:history="1">
        <w:r w:rsidRPr="002C5A78">
          <w:rPr>
            <w:rStyle w:val="TextoNormalCaracter"/>
          </w:rPr>
          <w:t>63/2021</w:t>
        </w:r>
      </w:hyperlink>
      <w:r>
        <w:t>, f. 2.</w:t>
      </w:r>
    </w:p>
    <w:p w:rsidR="002C5A78" w:rsidRDefault="002C5A78" w:rsidP="002C5A78">
      <w:pPr>
        <w:pStyle w:val="SangriaFrancesaArticulo"/>
      </w:pPr>
      <w:r w:rsidRPr="002C5A78">
        <w:rPr>
          <w:rStyle w:val="TextoNormalNegritaCaracter"/>
        </w:rPr>
        <w:t>Artículo 219.</w:t>
      </w:r>
      <w:r w:rsidRPr="002C5A78">
        <w:rPr>
          <w:rStyle w:val="TextoNormalCaracter"/>
        </w:rPr>
        <w:t>-</w:t>
      </w:r>
      <w:r>
        <w:t xml:space="preserve"> Sentencia </w:t>
      </w:r>
      <w:hyperlink w:anchor="SENTENCIA_2021_104" w:history="1">
        <w:r w:rsidRPr="002C5A78">
          <w:rPr>
            <w:rStyle w:val="TextoNormalCaracter"/>
          </w:rPr>
          <w:t>104/2021</w:t>
        </w:r>
      </w:hyperlink>
      <w:r>
        <w:t>, f. 4.</w:t>
      </w:r>
    </w:p>
    <w:p w:rsidR="002C5A78" w:rsidRDefault="002C5A78" w:rsidP="002C5A78">
      <w:pPr>
        <w:pStyle w:val="SangriaFrancesaArticulo"/>
      </w:pPr>
      <w:r w:rsidRPr="002C5A78">
        <w:rPr>
          <w:rStyle w:val="TextoNormalNegritaCaracter"/>
        </w:rPr>
        <w:t>Artículo 219.1.</w:t>
      </w:r>
      <w:r w:rsidRPr="002C5A78">
        <w:rPr>
          <w:rStyle w:val="TextoNormalCaracter"/>
        </w:rPr>
        <w:t>-</w:t>
      </w:r>
      <w:r>
        <w:t xml:space="preserve"> Sentencia </w:t>
      </w:r>
      <w:hyperlink w:anchor="SENTENCIA_2021_104" w:history="1">
        <w:r w:rsidRPr="002C5A78">
          <w:rPr>
            <w:rStyle w:val="TextoNormalCaracter"/>
          </w:rPr>
          <w:t>104/2021</w:t>
        </w:r>
      </w:hyperlink>
      <w:r>
        <w:t>, ff. 3, 4.</w:t>
      </w:r>
    </w:p>
    <w:p w:rsidR="002C5A78" w:rsidRDefault="002C5A78" w:rsidP="002C5A78">
      <w:pPr>
        <w:pStyle w:val="SangriaFrancesaArticulo"/>
      </w:pPr>
      <w:r w:rsidRPr="002C5A78">
        <w:rPr>
          <w:rStyle w:val="TextoNormalNegritaCaracter"/>
        </w:rPr>
        <w:t>Artículo 219.2.</w:t>
      </w:r>
      <w:r w:rsidRPr="002C5A78">
        <w:rPr>
          <w:rStyle w:val="TextoNormalCaracter"/>
        </w:rPr>
        <w:t>-</w:t>
      </w:r>
      <w:r>
        <w:t xml:space="preserve"> Sentencia </w:t>
      </w:r>
      <w:hyperlink w:anchor="SENTENCIA_2021_104" w:history="1">
        <w:r w:rsidRPr="002C5A78">
          <w:rPr>
            <w:rStyle w:val="TextoNormalCaracter"/>
          </w:rPr>
          <w:t>104/2021</w:t>
        </w:r>
      </w:hyperlink>
      <w:r>
        <w:t>, ff. 3, 4.</w:t>
      </w:r>
    </w:p>
    <w:p w:rsidR="002C5A78" w:rsidRDefault="002C5A78" w:rsidP="002C5A78">
      <w:pPr>
        <w:pStyle w:val="SangriaFrancesaArticulo"/>
      </w:pPr>
    </w:p>
    <w:p w:rsidR="002C5A78" w:rsidRDefault="002C5A78" w:rsidP="002C5A78">
      <w:pPr>
        <w:pStyle w:val="TextoNormalNegritaCursivandice"/>
        <w:keepNext/>
      </w:pPr>
      <w:r>
        <w:t>Ley 37/2011, de 10 de octubre. Medidas de agilización procesal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3" w:history="1">
        <w:r w:rsidRPr="002C5A78">
          <w:rPr>
            <w:rStyle w:val="TextoNormalCaracter"/>
          </w:rPr>
          <w:t>23/2021</w:t>
        </w:r>
      </w:hyperlink>
      <w:r>
        <w:t xml:space="preserve">, f. 2; </w:t>
      </w:r>
      <w:hyperlink w:anchor="SENTENCIA_2021_54" w:history="1">
        <w:r w:rsidRPr="002C5A78">
          <w:rPr>
            <w:rStyle w:val="TextoNormalCaracter"/>
          </w:rPr>
          <w:t>54/2021</w:t>
        </w:r>
      </w:hyperlink>
      <w:r>
        <w:t>, f. 2.</w:t>
      </w:r>
    </w:p>
    <w:p w:rsidR="002C5A78" w:rsidRDefault="002C5A78" w:rsidP="002C5A78">
      <w:pPr>
        <w:pStyle w:val="SangriaFrancesaArticulo"/>
      </w:pPr>
    </w:p>
    <w:p w:rsidR="002C5A78" w:rsidRDefault="002C5A78" w:rsidP="002C5A78">
      <w:pPr>
        <w:pStyle w:val="TextoNormalNegritaCursivandice"/>
        <w:keepNext/>
      </w:pPr>
      <w:r>
        <w:t>Ley 1/2013, de 14 de mayo, de medidas para reforzar la protección a los deudores hipotecarios, reestructuración de deuda y alquiler social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xml:space="preserve">, f. 3;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Disposición transitoria cuarta.</w:t>
      </w:r>
      <w:r w:rsidRPr="002C5A78">
        <w:rPr>
          <w:rStyle w:val="TextoNormalCaracter"/>
        </w:rPr>
        <w:t>-</w:t>
      </w:r>
      <w:r>
        <w:t xml:space="preserve"> Auto </w:t>
      </w:r>
      <w:hyperlink w:anchor="AUTO_2021_35" w:history="1">
        <w:r w:rsidRPr="002C5A78">
          <w:rPr>
            <w:rStyle w:val="TextoNormalCaracter"/>
          </w:rPr>
          <w:t>35/2021</w:t>
        </w:r>
      </w:hyperlink>
      <w:r>
        <w:t>, f. 2.</w:t>
      </w:r>
    </w:p>
    <w:p w:rsidR="002C5A78" w:rsidRDefault="002C5A78" w:rsidP="002C5A78">
      <w:pPr>
        <w:pStyle w:val="SangriaFrancesaArticulo"/>
      </w:pPr>
    </w:p>
    <w:p w:rsidR="002C5A78" w:rsidRDefault="002C5A78" w:rsidP="002C5A78">
      <w:pPr>
        <w:pStyle w:val="TextoNormalNegritaCursivandice"/>
        <w:keepNext/>
      </w:pPr>
      <w:r>
        <w:t>Ley 2/2013, de 29 de mayo, de protección y uso sostenible del litoral y de modificación de la Ley 22/1988, de 28 de julio, de costas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88" w:history="1">
        <w:r w:rsidRPr="002C5A78">
          <w:rPr>
            <w:rStyle w:val="TextoNormalCaracter"/>
          </w:rPr>
          <w:t>88/2021</w:t>
        </w:r>
      </w:hyperlink>
      <w:r>
        <w:t xml:space="preserve">, f. 4; </w:t>
      </w:r>
      <w:hyperlink w:anchor="SENTENCIA_2021_112" w:history="1">
        <w:r w:rsidRPr="002C5A78">
          <w:rPr>
            <w:rStyle w:val="TextoNormalCaracter"/>
          </w:rPr>
          <w:t>112/2021</w:t>
        </w:r>
      </w:hyperlink>
      <w:r>
        <w:t>, f. 8.</w:t>
      </w:r>
    </w:p>
    <w:p w:rsidR="002C5A78" w:rsidRDefault="002C5A78" w:rsidP="002C5A78">
      <w:pPr>
        <w:pStyle w:val="SangriaFrancesaArticulo"/>
      </w:pPr>
    </w:p>
    <w:p w:rsidR="002C5A78" w:rsidRDefault="002C5A78" w:rsidP="002C5A78">
      <w:pPr>
        <w:pStyle w:val="TextoNormalNegritaCursivandice"/>
        <w:keepNext/>
      </w:pPr>
      <w:r>
        <w:t>Ley 8/2013, de 26 de junio. Rehabilitación, regeneración y renovación urbanas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p>
    <w:p w:rsidR="002C5A78" w:rsidRDefault="002C5A78" w:rsidP="002C5A78">
      <w:pPr>
        <w:pStyle w:val="TextoNormalNegritaCursivandice"/>
        <w:keepNext/>
      </w:pPr>
      <w:r>
        <w:t>Ley 18/2013, de 12 de noviembre. Regulación de la tauromaquia como patrimonio cultural</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93" w:history="1">
        <w:r w:rsidRPr="002C5A78">
          <w:rPr>
            <w:rStyle w:val="TextoNormalCaracter"/>
          </w:rPr>
          <w:t>93/2021</w:t>
        </w:r>
      </w:hyperlink>
      <w:r>
        <w:t>, f. 7.</w:t>
      </w:r>
    </w:p>
    <w:p w:rsidR="002C5A78" w:rsidRDefault="002C5A78" w:rsidP="002C5A78">
      <w:pPr>
        <w:pStyle w:val="SangriaFrancesaArticulo"/>
      </w:pPr>
    </w:p>
    <w:p w:rsidR="002C5A78" w:rsidRDefault="002C5A78" w:rsidP="002C5A78">
      <w:pPr>
        <w:pStyle w:val="TextoNormalNegritaCursivandice"/>
        <w:keepNext/>
      </w:pPr>
      <w:r>
        <w:t>Ley 19/2013, de 9 de diciembre, de transparencia, acceso a la información pública y buen gobierno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7" w:history="1">
        <w:r w:rsidRPr="002C5A78">
          <w:rPr>
            <w:rStyle w:val="TextoNormalCaracter"/>
          </w:rPr>
          <w:t>37/2021</w:t>
        </w:r>
      </w:hyperlink>
      <w:r>
        <w:t xml:space="preserve">, f. 5;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Disposición adicional octava.</w:t>
      </w:r>
      <w:r w:rsidRPr="002C5A78">
        <w:rPr>
          <w:rStyle w:val="TextoNormalCaracter"/>
        </w:rPr>
        <w:t>-</w:t>
      </w:r>
      <w:r>
        <w:t xml:space="preserve"> Sentencia </w:t>
      </w:r>
      <w:hyperlink w:anchor="SENTENCIA_2021_37" w:history="1">
        <w:r w:rsidRPr="002C5A78">
          <w:rPr>
            <w:rStyle w:val="TextoNormalCaracter"/>
          </w:rPr>
          <w:t>37/2021</w:t>
        </w:r>
      </w:hyperlink>
      <w:r>
        <w:t>, ff. 1, 5.</w:t>
      </w:r>
    </w:p>
    <w:p w:rsidR="002C5A78" w:rsidRDefault="002C5A78" w:rsidP="002C5A78">
      <w:pPr>
        <w:pStyle w:val="SangriaFrancesaArticulo"/>
      </w:pPr>
    </w:p>
    <w:p w:rsidR="002C5A78" w:rsidRDefault="002C5A78" w:rsidP="002C5A78">
      <w:pPr>
        <w:pStyle w:val="TextoNormalNegritaCursivandice"/>
        <w:keepNext/>
      </w:pPr>
      <w:r>
        <w:t>Ley 20/2013, de 9 de diciembre, de garantía de la unidad de mercado</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 </w:t>
      </w:r>
      <w:hyperlink w:anchor="SENTENCIA_2021_74" w:history="1">
        <w:r w:rsidRPr="002C5A78">
          <w:rPr>
            <w:rStyle w:val="TextoNormalCaracter"/>
          </w:rPr>
          <w:t>74/2021</w:t>
        </w:r>
      </w:hyperlink>
      <w:r>
        <w:t>, f. 3.</w:t>
      </w:r>
    </w:p>
    <w:p w:rsidR="002C5A78" w:rsidRDefault="002C5A78" w:rsidP="002C5A78">
      <w:pPr>
        <w:pStyle w:val="SangriaFrancesaArticulo"/>
      </w:pPr>
    </w:p>
    <w:p w:rsidR="002C5A78" w:rsidRDefault="002C5A78" w:rsidP="002C5A78">
      <w:pPr>
        <w:pStyle w:val="TextoNormalNegritaCursivandice"/>
        <w:keepNext/>
      </w:pPr>
      <w:r>
        <w:t>Ley 21/2013, de 9 de diciembre. Evaluación ambiental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23" w:history="1">
        <w:r w:rsidRPr="002C5A78">
          <w:rPr>
            <w:rStyle w:val="TextoNormalCaracter"/>
          </w:rPr>
          <w:t>123/2021</w:t>
        </w:r>
      </w:hyperlink>
      <w:r>
        <w:t>, ff. 3, 4.</w:t>
      </w:r>
    </w:p>
    <w:p w:rsidR="002C5A78" w:rsidRDefault="002C5A78" w:rsidP="002C5A78">
      <w:pPr>
        <w:pStyle w:val="SangriaFrancesaArticulo"/>
      </w:pPr>
      <w:r w:rsidRPr="002C5A78">
        <w:rPr>
          <w:rStyle w:val="TextoNormalNegritaCaracter"/>
        </w:rPr>
        <w:t>Artículo 5</w:t>
      </w:r>
      <w:r>
        <w:t xml:space="preserve"> (redactado por la Ley 9/2018, de 5 de diciembre)</w:t>
      </w:r>
      <w:r w:rsidRPr="002C5A78">
        <w:rPr>
          <w:rStyle w:val="TextoNormalNegritaCaracter"/>
        </w:rPr>
        <w:t>.</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 xml:space="preserve">Artículo 5.1 a) </w:t>
      </w:r>
      <w:r>
        <w:t xml:space="preserve"> (redactado por la Ley 9/2018, de 5 de diciembre)</w:t>
      </w:r>
      <w:r w:rsidRPr="002C5A78">
        <w:rPr>
          <w:rStyle w:val="TextoNormalNegritaCaracter"/>
        </w:rPr>
        <w:t>.</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5.2 e).</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23" w:history="1">
        <w:r w:rsidRPr="002C5A78">
          <w:rPr>
            <w:rStyle w:val="TextoNormalCaracter"/>
          </w:rPr>
          <w:t>123/2021</w:t>
        </w:r>
      </w:hyperlink>
      <w:r>
        <w:t>, ff. 1, 3 a 5.</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123" w:history="1">
        <w:r w:rsidRPr="002C5A78">
          <w:rPr>
            <w:rStyle w:val="TextoNormalCaracter"/>
          </w:rPr>
          <w:t>123/2021</w:t>
        </w:r>
      </w:hyperlink>
      <w:r>
        <w:t>, f. 2.</w:t>
      </w:r>
    </w:p>
    <w:p w:rsidR="002C5A78" w:rsidRDefault="002C5A78" w:rsidP="002C5A78">
      <w:pPr>
        <w:pStyle w:val="SangriaFrancesaArticulo"/>
      </w:pPr>
      <w:r w:rsidRPr="002C5A78">
        <w:rPr>
          <w:rStyle w:val="TextoNormalNegritaCaracter"/>
        </w:rPr>
        <w:t>Artículo 6.1 a).</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6.1 b).</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6.2 a).</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6.2 b).</w:t>
      </w:r>
      <w:r w:rsidRPr="002C5A78">
        <w:rPr>
          <w:rStyle w:val="TextoNormalCaracter"/>
        </w:rPr>
        <w:t>-</w:t>
      </w:r>
      <w:r>
        <w:t xml:space="preserve"> Sentencia </w:t>
      </w:r>
      <w:hyperlink w:anchor="SENTENCIA_2021_123" w:history="1">
        <w:r w:rsidRPr="002C5A78">
          <w:rPr>
            <w:rStyle w:val="TextoNormalCaracter"/>
          </w:rPr>
          <w:t>123/2021</w:t>
        </w:r>
      </w:hyperlink>
      <w:r>
        <w:t>, ff. 4, 5.</w:t>
      </w:r>
    </w:p>
    <w:p w:rsidR="002C5A78" w:rsidRDefault="002C5A78" w:rsidP="002C5A78">
      <w:pPr>
        <w:pStyle w:val="SangriaFrancesaArticulo"/>
      </w:pPr>
      <w:r w:rsidRPr="002C5A78">
        <w:rPr>
          <w:rStyle w:val="TextoNormalNegritaCaracter"/>
        </w:rPr>
        <w:t>Artículo 6.2 c).</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7.2 c).</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123" w:history="1">
        <w:r w:rsidRPr="002C5A78">
          <w:rPr>
            <w:rStyle w:val="TextoNormalCaracter"/>
          </w:rPr>
          <w:t>123/2021</w:t>
        </w:r>
      </w:hyperlink>
      <w:r>
        <w:t>, ff. 1, 3, 4.</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123" w:history="1">
        <w:r w:rsidRPr="002C5A78">
          <w:rPr>
            <w:rStyle w:val="TextoNormalCaracter"/>
          </w:rPr>
          <w:t>123/2021</w:t>
        </w:r>
      </w:hyperlink>
      <w:r>
        <w:t>, ff. 3 a 5.</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123" w:history="1">
        <w:r w:rsidRPr="002C5A78">
          <w:rPr>
            <w:rStyle w:val="TextoNormalCaracter"/>
          </w:rPr>
          <w:t>123/2021</w:t>
        </w:r>
      </w:hyperlink>
      <w:r>
        <w:t>, ff. 3, 4.</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123" w:history="1">
        <w:r w:rsidRPr="002C5A78">
          <w:rPr>
            <w:rStyle w:val="TextoNormalCaracter"/>
          </w:rPr>
          <w:t>123/2021</w:t>
        </w:r>
      </w:hyperlink>
      <w:r>
        <w:t>, ff. 3, 4.</w:t>
      </w:r>
    </w:p>
    <w:p w:rsidR="002C5A78" w:rsidRDefault="002C5A78" w:rsidP="002C5A78">
      <w:pPr>
        <w:pStyle w:val="SangriaFrancesaArticulo"/>
      </w:pPr>
      <w:r w:rsidRPr="002C5A78">
        <w:rPr>
          <w:rStyle w:val="TextoNormalNegritaCaracter"/>
        </w:rPr>
        <w:t>Artículo 8.5.</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Disposición adcional sexta.</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8.4.</w:t>
      </w:r>
      <w:r w:rsidRPr="002C5A78">
        <w:rPr>
          <w:rStyle w:val="TextoNormalCaracter"/>
        </w:rPr>
        <w:t>-</w:t>
      </w:r>
      <w:r>
        <w:t xml:space="preserve"> Sentencia </w:t>
      </w:r>
      <w:hyperlink w:anchor="SENTENCIA_2021_123" w:history="1">
        <w:r w:rsidRPr="002C5A78">
          <w:rPr>
            <w:rStyle w:val="TextoNormalCaracter"/>
          </w:rPr>
          <w:t>123/2021</w:t>
        </w:r>
      </w:hyperlink>
      <w:r>
        <w:t>, ff. 3, 4.</w:t>
      </w:r>
    </w:p>
    <w:p w:rsidR="002C5A78" w:rsidRDefault="002C5A78" w:rsidP="002C5A78">
      <w:pPr>
        <w:pStyle w:val="SangriaFrancesaArticulo"/>
      </w:pPr>
      <w:r w:rsidRPr="002C5A78">
        <w:rPr>
          <w:rStyle w:val="TextoNormalNegritaCaracter"/>
        </w:rPr>
        <w:t>Anexo I.</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Anexo II.</w:t>
      </w:r>
      <w:r w:rsidRPr="002C5A78">
        <w:rPr>
          <w:rStyle w:val="TextoNormalCaracter"/>
        </w:rPr>
        <w:t>-</w:t>
      </w:r>
      <w:r>
        <w:t xml:space="preserve"> Sentencia </w:t>
      </w:r>
      <w:hyperlink w:anchor="SENTENCIA_2021_123" w:history="1">
        <w:r w:rsidRPr="002C5A78">
          <w:rPr>
            <w:rStyle w:val="TextoNormalCaracter"/>
          </w:rPr>
          <w:t>123/2021</w:t>
        </w:r>
      </w:hyperlink>
      <w:r>
        <w:t>, ff. 4, 5.</w:t>
      </w:r>
    </w:p>
    <w:p w:rsidR="002C5A78" w:rsidRDefault="002C5A78" w:rsidP="002C5A78">
      <w:pPr>
        <w:pStyle w:val="SangriaFrancesaArticulo"/>
      </w:pPr>
      <w:r w:rsidRPr="002C5A78">
        <w:rPr>
          <w:rStyle w:val="TextoNormalNegritaCaracter"/>
        </w:rPr>
        <w:t>Anexo II, grupo 7 apartado b).</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Anexo V.</w:t>
      </w:r>
      <w:r w:rsidRPr="002C5A78">
        <w:rPr>
          <w:rStyle w:val="TextoNormalCaracter"/>
        </w:rPr>
        <w:t>-</w:t>
      </w:r>
      <w:r>
        <w:t xml:space="preserve"> Sentencia </w:t>
      </w:r>
      <w:hyperlink w:anchor="SENTENCIA_2021_123" w:history="1">
        <w:r w:rsidRPr="002C5A78">
          <w:rPr>
            <w:rStyle w:val="TextoNormalCaracter"/>
          </w:rPr>
          <w:t>123/2021</w:t>
        </w:r>
      </w:hyperlink>
      <w:r>
        <w:t>, ff. 3, 4.</w:t>
      </w:r>
    </w:p>
    <w:p w:rsidR="002C5A78" w:rsidRDefault="002C5A78" w:rsidP="002C5A78">
      <w:pPr>
        <w:pStyle w:val="SangriaFrancesaArticulo"/>
      </w:pPr>
    </w:p>
    <w:p w:rsidR="002C5A78" w:rsidRDefault="002C5A78" w:rsidP="002C5A78">
      <w:pPr>
        <w:pStyle w:val="TextoNormalNegritaCursivandice"/>
        <w:keepNext/>
      </w:pPr>
      <w:r>
        <w:t>Ley 2/2014, de 25 de marzo, de la acción y del servicio exterior del Estado</w:t>
      </w:r>
    </w:p>
    <w:p w:rsidR="002C5A78" w:rsidRDefault="002C5A78" w:rsidP="002C5A78">
      <w:pPr>
        <w:pStyle w:val="SangriaFrancesaArticulo"/>
      </w:pPr>
      <w:r w:rsidRPr="002C5A78">
        <w:rPr>
          <w:rStyle w:val="TextoNormalNegritaCaracter"/>
        </w:rPr>
        <w:t>Artículo 14.3.</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p>
    <w:p w:rsidR="002C5A78" w:rsidRDefault="002C5A78" w:rsidP="002C5A78">
      <w:pPr>
        <w:pStyle w:val="TextoNormalNegritaCursivandice"/>
        <w:keepNext/>
      </w:pPr>
      <w:r>
        <w:t>Ley 15/2014, de 16 de septiembre. Racionalización del sector público y otras medidas de reforma administrativa</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37" w:history="1">
        <w:r w:rsidRPr="002C5A78">
          <w:rPr>
            <w:rStyle w:val="TextoNormalCaracter"/>
          </w:rPr>
          <w:t>37/2021</w:t>
        </w:r>
      </w:hyperlink>
      <w:r>
        <w:t>, f. 4.</w:t>
      </w:r>
    </w:p>
    <w:p w:rsidR="002C5A78" w:rsidRDefault="002C5A78" w:rsidP="002C5A78">
      <w:pPr>
        <w:pStyle w:val="SangriaFrancesaArticulo"/>
      </w:pPr>
    </w:p>
    <w:p w:rsidR="002C5A78" w:rsidRDefault="002C5A78" w:rsidP="002C5A78">
      <w:pPr>
        <w:pStyle w:val="TextoNormalNegritaCursivandice"/>
        <w:keepNext/>
      </w:pPr>
      <w:r>
        <w:t>Ley 25/2014, de 27 de noviembre. Tratados y otros Acuerdos Internacionales</w:t>
      </w:r>
    </w:p>
    <w:p w:rsidR="002C5A78" w:rsidRDefault="002C5A78" w:rsidP="002C5A78">
      <w:pPr>
        <w:pStyle w:val="SangriaFrancesaArticulo"/>
      </w:pPr>
      <w:r w:rsidRPr="002C5A78">
        <w:rPr>
          <w:rStyle w:val="TextoNormalNegritaCaracter"/>
        </w:rPr>
        <w:t>Título III.</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Título V, Capítulo II.</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2 d).</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39.1.</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52.1.</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52.3.</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53.3.</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p>
    <w:p w:rsidR="002C5A78" w:rsidRDefault="002C5A78" w:rsidP="002C5A78">
      <w:pPr>
        <w:pStyle w:val="TextoNormalNegritaCursivandice"/>
        <w:keepNext/>
      </w:pPr>
      <w:r>
        <w:t>Ley 30/2014, de 3 de diciembre. Parques nacionales</w:t>
      </w:r>
    </w:p>
    <w:p w:rsidR="002C5A78" w:rsidRDefault="002C5A78" w:rsidP="002C5A78">
      <w:pPr>
        <w:pStyle w:val="SangriaFrancesaArticulo"/>
      </w:pPr>
      <w:r w:rsidRPr="002C5A78">
        <w:rPr>
          <w:rStyle w:val="TextoNormalNegritaCaracter"/>
        </w:rPr>
        <w:t>Artículo 24.4 c).</w:t>
      </w:r>
      <w:r w:rsidRPr="002C5A78">
        <w:rPr>
          <w:rStyle w:val="TextoNormalCaracter"/>
        </w:rPr>
        <w:t>-</w:t>
      </w:r>
      <w:r>
        <w:t xml:space="preserve"> Auto </w:t>
      </w:r>
      <w:hyperlink w:anchor="AUTO_2021_65" w:history="1">
        <w:r w:rsidRPr="002C5A78">
          <w:rPr>
            <w:rStyle w:val="TextoNormalCaracter"/>
          </w:rPr>
          <w:t>65/2021</w:t>
        </w:r>
      </w:hyperlink>
      <w:r>
        <w:t>, f. 1.</w:t>
      </w:r>
    </w:p>
    <w:p w:rsidR="002C5A78" w:rsidRDefault="002C5A78" w:rsidP="002C5A78">
      <w:pPr>
        <w:pStyle w:val="SangriaFrancesaArticulo"/>
      </w:pPr>
      <w:r w:rsidRPr="002C5A78">
        <w:rPr>
          <w:rStyle w:val="TextoNormalNegritaCaracter"/>
        </w:rPr>
        <w:t>Disposición final tercera.</w:t>
      </w:r>
      <w:r w:rsidRPr="002C5A78">
        <w:rPr>
          <w:rStyle w:val="TextoNormalCaracter"/>
        </w:rPr>
        <w:t>-</w:t>
      </w:r>
      <w:r>
        <w:t xml:space="preserve"> Auto </w:t>
      </w:r>
      <w:hyperlink w:anchor="AUTO_2021_65" w:history="1">
        <w:r w:rsidRPr="002C5A78">
          <w:rPr>
            <w:rStyle w:val="TextoNormalCaracter"/>
          </w:rPr>
          <w:t>65/2021</w:t>
        </w:r>
      </w:hyperlink>
      <w:r>
        <w:t>, f. 1.</w:t>
      </w:r>
    </w:p>
    <w:p w:rsidR="002C5A78" w:rsidRDefault="002C5A78" w:rsidP="002C5A78">
      <w:pPr>
        <w:pStyle w:val="SangriaFrancesaArticulo"/>
      </w:pPr>
    </w:p>
    <w:p w:rsidR="002C5A78" w:rsidRDefault="002C5A78" w:rsidP="002C5A78">
      <w:pPr>
        <w:pStyle w:val="TextoNormalNegritaCursivandice"/>
        <w:keepNext/>
      </w:pPr>
      <w:r>
        <w:t>Ley 5/2015, de 27 de abril. Fomento de la financiación empresarial</w:t>
      </w:r>
    </w:p>
    <w:p w:rsidR="002C5A78" w:rsidRDefault="002C5A78" w:rsidP="002C5A78">
      <w:pPr>
        <w:pStyle w:val="SangriaFrancesaArticulo"/>
      </w:pPr>
      <w:r w:rsidRPr="002C5A78">
        <w:rPr>
          <w:rStyle w:val="TextoNormalNegritaCaracter"/>
        </w:rPr>
        <w:t>Artículo 15 a 42.</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Disposición final undécima.</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p>
    <w:p w:rsidR="002C5A78" w:rsidRDefault="002C5A78" w:rsidP="002C5A78">
      <w:pPr>
        <w:pStyle w:val="TextoNormalNegritaCursivandice"/>
        <w:keepNext/>
      </w:pPr>
      <w:r>
        <w:t>Ley 15/2015, de 2 de julio. Jurisdicción Voluntaria</w:t>
      </w:r>
    </w:p>
    <w:p w:rsidR="002C5A78" w:rsidRDefault="002C5A78" w:rsidP="002C5A78">
      <w:pPr>
        <w:pStyle w:val="SangriaFrancesaArticulo"/>
      </w:pPr>
      <w:r w:rsidRPr="002C5A78">
        <w:rPr>
          <w:rStyle w:val="TextoNormalNegritaCaracter"/>
        </w:rPr>
        <w:t>Artículo 35.</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p>
    <w:p w:rsidR="002C5A78" w:rsidRDefault="002C5A78" w:rsidP="002C5A78">
      <w:pPr>
        <w:pStyle w:val="TextoNormalNegritaCursivandice"/>
        <w:keepNext/>
      </w:pPr>
      <w:r>
        <w:t>Ley 19/2015, de 13 de julio, de medidas de reforma administrativa en el ámbito de la administración de justicia y del registro civil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82" w:history="1">
        <w:r w:rsidRPr="002C5A78">
          <w:rPr>
            <w:rStyle w:val="TextoNormalCaracter"/>
          </w:rPr>
          <w:t>82/2021</w:t>
        </w:r>
      </w:hyperlink>
      <w:r>
        <w:t>, f. 2.</w:t>
      </w:r>
    </w:p>
    <w:p w:rsidR="002C5A78" w:rsidRDefault="002C5A78" w:rsidP="002C5A78">
      <w:pPr>
        <w:pStyle w:val="SangriaFrancesaArticulo"/>
      </w:pPr>
    </w:p>
    <w:p w:rsidR="002C5A78" w:rsidRDefault="002C5A78" w:rsidP="002C5A78">
      <w:pPr>
        <w:pStyle w:val="TextoNormalNegritaCursivandice"/>
        <w:keepNext/>
      </w:pPr>
      <w:r>
        <w:t>Ley 26/2015, de 28 de julio, de modificación del sistema de protección a la infancia y a la adolescencia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6" w:history="1">
        <w:r w:rsidRPr="002C5A78">
          <w:rPr>
            <w:rStyle w:val="TextoNormalCaracter"/>
          </w:rPr>
          <w:t>36/2021</w:t>
        </w:r>
      </w:hyperlink>
      <w:r>
        <w:t>, ff. 2, 4.</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p>
    <w:p w:rsidR="002C5A78" w:rsidRDefault="002C5A78" w:rsidP="002C5A78">
      <w:pPr>
        <w:pStyle w:val="TextoNormalNegritaCursivandice"/>
        <w:keepNext/>
      </w:pPr>
      <w:r>
        <w:t>Ley 39/2015, de 1 de octubre, del procedimiento administrativo común de las administraciones públicas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7" w:history="1">
        <w:r w:rsidRPr="002C5A78">
          <w:rPr>
            <w:rStyle w:val="TextoNormalCaracter"/>
          </w:rPr>
          <w:t>37/2021</w:t>
        </w:r>
      </w:hyperlink>
      <w:r>
        <w:t>, f. 3.</w:t>
      </w:r>
    </w:p>
    <w:p w:rsidR="002C5A78" w:rsidRDefault="002C5A78" w:rsidP="002C5A78">
      <w:pPr>
        <w:pStyle w:val="SangriaFrancesaArticulo"/>
      </w:pPr>
      <w:r w:rsidRPr="002C5A78">
        <w:rPr>
          <w:rStyle w:val="TextoNormalNegritaCaracter"/>
        </w:rPr>
        <w:t>Título IV, capítulo IV.</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37" w:history="1">
        <w:r w:rsidRPr="002C5A78">
          <w:rPr>
            <w:rStyle w:val="TextoNormalCaracter"/>
          </w:rPr>
          <w:t>37/2021</w:t>
        </w:r>
      </w:hyperlink>
      <w:r>
        <w:t>, f. 7.</w:t>
      </w:r>
    </w:p>
    <w:p w:rsidR="002C5A78" w:rsidRDefault="002C5A78" w:rsidP="002C5A78">
      <w:pPr>
        <w:pStyle w:val="SangriaFrancesaArticulo"/>
      </w:pPr>
      <w:r w:rsidRPr="002C5A78">
        <w:rPr>
          <w:rStyle w:val="TextoNormalNegritaCaracter"/>
        </w:rPr>
        <w:t>Artículo 2.2 b).</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15.2.</w:t>
      </w:r>
      <w:r w:rsidRPr="002C5A78">
        <w:rPr>
          <w:rStyle w:val="TextoNormalCaracter"/>
        </w:rPr>
        <w:t>-</w:t>
      </w:r>
      <w:r>
        <w:t xml:space="preserve"> Sentencia </w:t>
      </w:r>
      <w:hyperlink w:anchor="SENTENCIA_2021_37" w:history="1">
        <w:r w:rsidRPr="002C5A78">
          <w:rPr>
            <w:rStyle w:val="TextoNormalCaracter"/>
          </w:rPr>
          <w:t>37/2021</w:t>
        </w:r>
      </w:hyperlink>
      <w:r>
        <w:t>, f. 8.</w:t>
      </w:r>
    </w:p>
    <w:p w:rsidR="002C5A78" w:rsidRDefault="002C5A78" w:rsidP="002C5A78">
      <w:pPr>
        <w:pStyle w:val="SangriaFrancesaArticulo"/>
      </w:pPr>
      <w:r w:rsidRPr="002C5A78">
        <w:rPr>
          <w:rStyle w:val="TextoNormalNegritaCaracter"/>
        </w:rPr>
        <w:t>Artículo 15.3.</w:t>
      </w:r>
      <w:r w:rsidRPr="002C5A78">
        <w:rPr>
          <w:rStyle w:val="TextoNormalCaracter"/>
        </w:rPr>
        <w:t>-</w:t>
      </w:r>
      <w:r>
        <w:t xml:space="preserve"> Sentencia </w:t>
      </w:r>
      <w:hyperlink w:anchor="SENTENCIA_2021_37" w:history="1">
        <w:r w:rsidRPr="002C5A78">
          <w:rPr>
            <w:rStyle w:val="TextoNormalCaracter"/>
          </w:rPr>
          <w:t>37/2021</w:t>
        </w:r>
      </w:hyperlink>
      <w:r>
        <w:t>, f. 8.</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22.1 g).</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43.2.</w:t>
      </w:r>
      <w:r w:rsidRPr="002C5A78">
        <w:rPr>
          <w:rStyle w:val="TextoNormalCaracter"/>
        </w:rPr>
        <w:t>-</w:t>
      </w:r>
      <w:r>
        <w:t xml:space="preserve"> Sentencia </w:t>
      </w:r>
      <w:hyperlink w:anchor="SENTENCIA_2021_63" w:history="1">
        <w:r w:rsidRPr="002C5A78">
          <w:rPr>
            <w:rStyle w:val="TextoNormalCaracter"/>
          </w:rPr>
          <w:t>63/2021</w:t>
        </w:r>
      </w:hyperlink>
      <w:r>
        <w:t>, f. 1.</w:t>
      </w:r>
    </w:p>
    <w:p w:rsidR="002C5A78" w:rsidRDefault="002C5A78" w:rsidP="002C5A78">
      <w:pPr>
        <w:pStyle w:val="SangriaFrancesaArticulo"/>
      </w:pPr>
      <w:r w:rsidRPr="002C5A78">
        <w:rPr>
          <w:rStyle w:val="TextoNormalNegritaCaracter"/>
        </w:rPr>
        <w:t>Artículo 75.</w:t>
      </w:r>
      <w:r w:rsidRPr="002C5A78">
        <w:rPr>
          <w:rStyle w:val="TextoNormalCaracter"/>
        </w:rPr>
        <w:t>-</w:t>
      </w:r>
      <w:r>
        <w:t xml:space="preserve"> Sentencia </w:t>
      </w:r>
      <w:hyperlink w:anchor="SENTENCIA_2021_108" w:history="1">
        <w:r w:rsidRPr="002C5A78">
          <w:rPr>
            <w:rStyle w:val="TextoNormalCaracter"/>
          </w:rPr>
          <w:t>108/2021</w:t>
        </w:r>
      </w:hyperlink>
      <w:r>
        <w:t>, f. 6.</w:t>
      </w:r>
    </w:p>
    <w:p w:rsidR="002C5A78" w:rsidRDefault="002C5A78" w:rsidP="002C5A78">
      <w:pPr>
        <w:pStyle w:val="SangriaFrancesaArticulo"/>
      </w:pPr>
      <w:r w:rsidRPr="002C5A78">
        <w:rPr>
          <w:rStyle w:val="TextoNormalNegritaCaracter"/>
        </w:rPr>
        <w:t>Artículo 75.1.</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77.1.</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77.2.</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p>
    <w:p w:rsidR="002C5A78" w:rsidRDefault="002C5A78" w:rsidP="002C5A78">
      <w:pPr>
        <w:pStyle w:val="TextoNormalNegritaCursivandice"/>
        <w:keepNext/>
      </w:pPr>
      <w:r>
        <w:t>Ley 40/2015, de 1 de octubre, de régimen jurídico del sector público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7" w:history="1">
        <w:r w:rsidRPr="002C5A78">
          <w:rPr>
            <w:rStyle w:val="TextoNormalCaracter"/>
          </w:rPr>
          <w:t>37/2021</w:t>
        </w:r>
      </w:hyperlink>
      <w:r>
        <w:t>, f. 3.</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28.1.</w:t>
      </w:r>
      <w:r w:rsidRPr="002C5A78">
        <w:rPr>
          <w:rStyle w:val="TextoNormalCaracter"/>
        </w:rPr>
        <w:t>-</w:t>
      </w:r>
      <w:r>
        <w:t xml:space="preserve"> Sentencia </w:t>
      </w:r>
      <w:hyperlink w:anchor="SENTENCIA_2021_14" w:history="1">
        <w:r w:rsidRPr="002C5A78">
          <w:rPr>
            <w:rStyle w:val="TextoNormalCaracter"/>
          </w:rPr>
          <w:t>14/2021</w:t>
        </w:r>
      </w:hyperlink>
      <w:r>
        <w:t>, f. 5.</w:t>
      </w:r>
    </w:p>
    <w:p w:rsidR="002C5A78" w:rsidRDefault="002C5A78" w:rsidP="002C5A78">
      <w:pPr>
        <w:pStyle w:val="SangriaFrancesaArticulo"/>
      </w:pPr>
      <w:r w:rsidRPr="002C5A78">
        <w:rPr>
          <w:rStyle w:val="TextoNormalNegritaCaracter"/>
        </w:rPr>
        <w:t>Artículo 29.3.</w:t>
      </w:r>
      <w:r w:rsidRPr="002C5A78">
        <w:rPr>
          <w:rStyle w:val="TextoNormalCaracter"/>
        </w:rPr>
        <w:t>-</w:t>
      </w:r>
      <w:r>
        <w:t xml:space="preserve"> Sentencia </w:t>
      </w:r>
      <w:hyperlink w:anchor="SENTENCIA_2021_14" w:history="1">
        <w:r w:rsidRPr="002C5A78">
          <w:rPr>
            <w:rStyle w:val="TextoNormalCaracter"/>
          </w:rPr>
          <w:t>14/2021</w:t>
        </w:r>
      </w:hyperlink>
      <w:r>
        <w:t>, f. 6.</w:t>
      </w:r>
    </w:p>
    <w:p w:rsidR="002C5A78" w:rsidRDefault="002C5A78" w:rsidP="002C5A78">
      <w:pPr>
        <w:pStyle w:val="SangriaFrancesaArticulo"/>
      </w:pPr>
      <w:r w:rsidRPr="002C5A78">
        <w:rPr>
          <w:rStyle w:val="TextoNormalNegritaCaracter"/>
        </w:rPr>
        <w:t>Artículo 55.3.</w:t>
      </w:r>
      <w:r w:rsidRPr="002C5A78">
        <w:rPr>
          <w:rStyle w:val="TextoNormalCaracter"/>
        </w:rPr>
        <w:t>-</w:t>
      </w:r>
      <w:r>
        <w:t xml:space="preserve"> Sentencia </w:t>
      </w:r>
      <w:hyperlink w:anchor="SENTENCIA_2021_110" w:history="1">
        <w:r w:rsidRPr="002C5A78">
          <w:rPr>
            <w:rStyle w:val="TextoNormalCaracter"/>
          </w:rPr>
          <w:t>110/2021</w:t>
        </w:r>
      </w:hyperlink>
      <w:r>
        <w:t>, f. 9.</w:t>
      </w:r>
    </w:p>
    <w:p w:rsidR="002C5A78" w:rsidRDefault="002C5A78" w:rsidP="002C5A78">
      <w:pPr>
        <w:pStyle w:val="SangriaFrancesaArticulo"/>
      </w:pPr>
      <w:r w:rsidRPr="002C5A78">
        <w:rPr>
          <w:rStyle w:val="TextoNormalNegritaCaracter"/>
        </w:rPr>
        <w:t>Artículo 142.</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p>
    <w:p w:rsidR="002C5A78" w:rsidRDefault="002C5A78" w:rsidP="002C5A78">
      <w:pPr>
        <w:pStyle w:val="TextoNormalNegritaCursivandice"/>
        <w:keepNext/>
      </w:pPr>
      <w:r>
        <w:t>Ley 41/2015, de 5 de octubre. Modifica la Ley de enjuiciamiento criminal para la agilización de la justicia penal y el fortalecimiento de las garantías procesales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 w:history="1">
        <w:r w:rsidRPr="002C5A78">
          <w:rPr>
            <w:rStyle w:val="TextoNormalCaracter"/>
          </w:rPr>
          <w:t>3/2021</w:t>
        </w:r>
      </w:hyperlink>
      <w:r>
        <w:t xml:space="preserve">, f. 2; </w:t>
      </w:r>
      <w:hyperlink w:anchor="SENTENCIA_2021_4" w:history="1">
        <w:r w:rsidRPr="002C5A78">
          <w:rPr>
            <w:rStyle w:val="TextoNormalCaracter"/>
          </w:rPr>
          <w:t>4/2021</w:t>
        </w:r>
      </w:hyperlink>
      <w:r>
        <w:t xml:space="preserve">, f. 2; </w:t>
      </w:r>
      <w:hyperlink w:anchor="SENTENCIA_2021_78" w:history="1">
        <w:r w:rsidRPr="002C5A78">
          <w:rPr>
            <w:rStyle w:val="TextoNormalCaracter"/>
          </w:rPr>
          <w:t>78/2021</w:t>
        </w:r>
      </w:hyperlink>
      <w:r>
        <w:t>, f. 2.</w:t>
      </w:r>
    </w:p>
    <w:p w:rsidR="002C5A78" w:rsidRDefault="002C5A78" w:rsidP="002C5A78">
      <w:pPr>
        <w:pStyle w:val="SangriaFrancesaArticulo"/>
      </w:pPr>
    </w:p>
    <w:p w:rsidR="002C5A78" w:rsidRDefault="002C5A78" w:rsidP="002C5A78">
      <w:pPr>
        <w:pStyle w:val="TextoNormalNegritaCursivandice"/>
        <w:keepNext/>
      </w:pPr>
      <w:r>
        <w:t>Ley 42/2015, de 5 de octubre, de reforma de la Ley 1/2000, de 7 de enero, de enjuiciamiento civil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 w:history="1">
        <w:r w:rsidRPr="002C5A78">
          <w:rPr>
            <w:rStyle w:val="TextoNormalCaracter"/>
          </w:rPr>
          <w:t>12/2021</w:t>
        </w:r>
      </w:hyperlink>
      <w:r>
        <w:t>, f. 1.</w:t>
      </w:r>
    </w:p>
    <w:p w:rsidR="002C5A78" w:rsidRDefault="002C5A78" w:rsidP="002C5A78">
      <w:pPr>
        <w:pStyle w:val="SangriaFrancesaArticulo"/>
      </w:pPr>
    </w:p>
    <w:p w:rsidR="002C5A78" w:rsidRDefault="002C5A78" w:rsidP="002C5A78">
      <w:pPr>
        <w:pStyle w:val="TextoNormalNegritaCursivandice"/>
        <w:keepNext/>
      </w:pPr>
      <w:r>
        <w:t>Ley 5/2017, de 29 de septiembre. Modifica la Ley 17/2006, de 5 de junio, de la radio y la televisión de titularidad estatal, para recuperar la independencia de la Corporación RTVE y el pluralismo en la elección parlamentaria de sus órganos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4" w:history="1">
        <w:r w:rsidRPr="002C5A78">
          <w:rPr>
            <w:rStyle w:val="TextoNormalCaracter"/>
          </w:rPr>
          <w:t>134/2021</w:t>
        </w:r>
      </w:hyperlink>
      <w:r>
        <w:t>, ff. 2 a 4, VP III.</w:t>
      </w:r>
    </w:p>
    <w:p w:rsidR="002C5A78" w:rsidRDefault="002C5A78" w:rsidP="002C5A78">
      <w:pPr>
        <w:pStyle w:val="SangriaFrancesaArticulo"/>
      </w:pPr>
      <w:r w:rsidRPr="002C5A78">
        <w:rPr>
          <w:rStyle w:val="TextoNormalNegritaCaracter"/>
        </w:rPr>
        <w:t>Disposiciones transitorias.</w:t>
      </w:r>
      <w:r w:rsidRPr="002C5A78">
        <w:rPr>
          <w:rStyle w:val="TextoNormalCaracter"/>
        </w:rPr>
        <w:t>-</w:t>
      </w:r>
      <w:r>
        <w:t xml:space="preserve"> Sentencia </w:t>
      </w:r>
      <w:hyperlink w:anchor="SENTENCIA_2021_134" w:history="1">
        <w:r w:rsidRPr="002C5A78">
          <w:rPr>
            <w:rStyle w:val="TextoNormalCaracter"/>
          </w:rPr>
          <w:t>134/2021</w:t>
        </w:r>
      </w:hyperlink>
      <w:r>
        <w:t>, ff. 1, 2, 4, 5.</w:t>
      </w:r>
    </w:p>
    <w:p w:rsidR="002C5A78" w:rsidRDefault="002C5A78" w:rsidP="002C5A78">
      <w:pPr>
        <w:pStyle w:val="SangriaFrancesaArticulo"/>
      </w:pPr>
      <w:r w:rsidRPr="002C5A78">
        <w:rPr>
          <w:rStyle w:val="TextoNormalNegritaCaracter"/>
        </w:rPr>
        <w:t>Disposición transitoria primera.</w:t>
      </w:r>
      <w:r w:rsidRPr="002C5A78">
        <w:rPr>
          <w:rStyle w:val="TextoNormalCaracter"/>
        </w:rPr>
        <w:t>-</w:t>
      </w:r>
      <w:r>
        <w:t xml:space="preserve"> Sentencia </w:t>
      </w:r>
      <w:hyperlink w:anchor="SENTENCIA_2021_134" w:history="1">
        <w:r w:rsidRPr="002C5A78">
          <w:rPr>
            <w:rStyle w:val="TextoNormalCaracter"/>
          </w:rPr>
          <w:t>134/2021</w:t>
        </w:r>
      </w:hyperlink>
      <w:r>
        <w:t>, ff. 2, 6.</w:t>
      </w:r>
    </w:p>
    <w:p w:rsidR="002C5A78" w:rsidRDefault="002C5A78" w:rsidP="002C5A78">
      <w:pPr>
        <w:pStyle w:val="SangriaFrancesaArticulo"/>
      </w:pPr>
      <w:r w:rsidRPr="002C5A78">
        <w:rPr>
          <w:rStyle w:val="TextoNormalNegritaCaracter"/>
        </w:rPr>
        <w:t>Disposición transitoria segunda.</w:t>
      </w:r>
      <w:r w:rsidRPr="002C5A78">
        <w:rPr>
          <w:rStyle w:val="TextoNormalCaracter"/>
        </w:rPr>
        <w:t>-</w:t>
      </w:r>
      <w:r>
        <w:t xml:space="preserve"> Sentencia </w:t>
      </w:r>
      <w:hyperlink w:anchor="SENTENCIA_2021_134" w:history="1">
        <w:r w:rsidRPr="002C5A78">
          <w:rPr>
            <w:rStyle w:val="TextoNormalCaracter"/>
          </w:rPr>
          <w:t>134/2021</w:t>
        </w:r>
      </w:hyperlink>
      <w:r>
        <w:t>, ff. 2 a 4.</w:t>
      </w:r>
    </w:p>
    <w:p w:rsidR="002C5A78" w:rsidRDefault="002C5A78" w:rsidP="002C5A78">
      <w:pPr>
        <w:pStyle w:val="SangriaFrancesaArticulo"/>
      </w:pPr>
      <w:r w:rsidRPr="002C5A78">
        <w:rPr>
          <w:rStyle w:val="TextoNormalNegritaCaracter"/>
        </w:rPr>
        <w:t>Disposición transitoria segunda, apartado 2.</w:t>
      </w:r>
      <w:r w:rsidRPr="002C5A78">
        <w:rPr>
          <w:rStyle w:val="TextoNormalCaracter"/>
        </w:rPr>
        <w:t>-</w:t>
      </w:r>
      <w:r>
        <w:t xml:space="preserve"> Sentencia </w:t>
      </w:r>
      <w:hyperlink w:anchor="SENTENCIA_2021_134" w:history="1">
        <w:r w:rsidRPr="002C5A78">
          <w:rPr>
            <w:rStyle w:val="TextoNormalCaracter"/>
          </w:rPr>
          <w:t>134/2021</w:t>
        </w:r>
      </w:hyperlink>
      <w:r>
        <w:t>, f. 2.</w:t>
      </w:r>
    </w:p>
    <w:p w:rsidR="002C5A78" w:rsidRDefault="002C5A78" w:rsidP="002C5A78">
      <w:pPr>
        <w:pStyle w:val="SangriaFrancesaArticulo"/>
      </w:pPr>
    </w:p>
    <w:p w:rsidR="002C5A78" w:rsidRDefault="002C5A78" w:rsidP="002C5A78">
      <w:pPr>
        <w:pStyle w:val="TextoNormalNegritaCursivandice"/>
        <w:keepNext/>
      </w:pPr>
      <w:r>
        <w:t>Ley 9/2017, de 8 de noviembre, de contratos del sector público, por la que se transponen al ordenamiento jurídico español las Directivas del Parlamento Europeo y del Consejo 2014/23/UE y 2014/24/UE, de 26 de febrero de 2014</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r w:rsidRPr="002C5A78">
        <w:rPr>
          <w:rStyle w:val="TextoNormalNegritaCaracter"/>
        </w:rPr>
        <w:t>Libro I.</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r w:rsidRPr="002C5A78">
        <w:rPr>
          <w:rStyle w:val="TextoNormalNegritaCaracter"/>
        </w:rPr>
        <w:t>Libro I, título I, capitulo IV.</w:t>
      </w:r>
      <w:r w:rsidRPr="002C5A78">
        <w:rPr>
          <w:rStyle w:val="TextoNormalCaracter"/>
        </w:rPr>
        <w:t>-</w:t>
      </w:r>
      <w:r>
        <w:t xml:space="preserve"> Sentencia </w:t>
      </w:r>
      <w:hyperlink w:anchor="SENTENCIA_2021_68" w:history="1">
        <w:r w:rsidRPr="002C5A78">
          <w:rPr>
            <w:rStyle w:val="TextoNormalCaracter"/>
          </w:rPr>
          <w:t>68/2021</w:t>
        </w:r>
      </w:hyperlink>
      <w:r>
        <w:t>, ff. 6, 9.</w:t>
      </w:r>
    </w:p>
    <w:p w:rsidR="002C5A78" w:rsidRDefault="002C5A78" w:rsidP="002C5A78">
      <w:pPr>
        <w:pStyle w:val="SangriaFrancesaArticulo"/>
      </w:pPr>
      <w:r w:rsidRPr="002C5A78">
        <w:rPr>
          <w:rStyle w:val="TextoNormalNegritaCaracter"/>
        </w:rPr>
        <w:t>Libro I, título I, capitulo V.</w:t>
      </w:r>
      <w:r w:rsidRPr="002C5A78">
        <w:rPr>
          <w:rStyle w:val="TextoNormalCaracter"/>
        </w:rPr>
        <w:t>-</w:t>
      </w:r>
      <w:r>
        <w:t xml:space="preserve"> Sentencia </w:t>
      </w:r>
      <w:hyperlink w:anchor="SENTENCIA_2021_68" w:history="1">
        <w:r w:rsidRPr="002C5A78">
          <w:rPr>
            <w:rStyle w:val="TextoNormalCaracter"/>
          </w:rPr>
          <w:t>68/2021</w:t>
        </w:r>
      </w:hyperlink>
      <w:r>
        <w:t>, ff. 6, 9.</w:t>
      </w:r>
    </w:p>
    <w:p w:rsidR="002C5A78" w:rsidRDefault="002C5A78" w:rsidP="002C5A78">
      <w:pPr>
        <w:pStyle w:val="SangriaFrancesaArticulo"/>
      </w:pPr>
      <w:r w:rsidRPr="002C5A78">
        <w:rPr>
          <w:rStyle w:val="TextoNormalNegritaCaracter"/>
        </w:rPr>
        <w:t>Libro I, título II, capitulo I.</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Libro I, título II, capitulo II.</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Libro I, título III.</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Libro I, título IV.</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Libro II.</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r w:rsidRPr="002C5A78">
        <w:rPr>
          <w:rStyle w:val="TextoNormalNegritaCaracter"/>
        </w:rPr>
        <w:t>Libro II, título I, capitulo I, seccion 1.</w:t>
      </w:r>
      <w:r w:rsidRPr="002C5A78">
        <w:rPr>
          <w:rStyle w:val="TextoNormalCaracter"/>
        </w:rPr>
        <w:t>-</w:t>
      </w:r>
      <w:r>
        <w:t xml:space="preserve"> Sentencia </w:t>
      </w:r>
      <w:hyperlink w:anchor="SENTENCIA_2021_68" w:history="1">
        <w:r w:rsidRPr="002C5A78">
          <w:rPr>
            <w:rStyle w:val="TextoNormalCaracter"/>
          </w:rPr>
          <w:t>68/2021</w:t>
        </w:r>
      </w:hyperlink>
      <w:r>
        <w:t>, ff. 7, 9.</w:t>
      </w:r>
    </w:p>
    <w:p w:rsidR="002C5A78" w:rsidRDefault="002C5A78" w:rsidP="002C5A78">
      <w:pPr>
        <w:pStyle w:val="SangriaFrancesaArticulo"/>
      </w:pPr>
      <w:r w:rsidRPr="002C5A78">
        <w:rPr>
          <w:rStyle w:val="TextoNormalNegritaCaracter"/>
        </w:rPr>
        <w:t>Libro II, título I, capitulo I, seccion 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 capitulo I, sección 2, subsección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 capitulo I, sección 2, subsección 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 capitulo I, sección 2, subsección 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 capitulo I, sección 2, subsección 7.</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II, capitulo I, seccion 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II, capitulo I, seccion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II, capitulo II, seccion 5.</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II, capitulo II, seccion 7.</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II, capítulo III, sección 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II, capítulo III, sección 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II, capítulo III, sección 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 título II, capitulo V, seccion 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Libro III.</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r w:rsidRPr="002C5A78">
        <w:rPr>
          <w:rStyle w:val="TextoNormalNegritaCaracter"/>
        </w:rPr>
        <w:t>Libro IV.</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r w:rsidRPr="002C5A78">
        <w:rPr>
          <w:rStyle w:val="TextoNormalNegritaCaracter"/>
        </w:rPr>
        <w:t>Libro IV, título I, capítulo III.</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Libro IV, título I, capítulo IV.</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Libro IV, título II, capítulo II.</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Libro IV, título III.</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Título preliminar.</w:t>
      </w:r>
      <w:r w:rsidRPr="002C5A78">
        <w:rPr>
          <w:rStyle w:val="TextoNormalCaracter"/>
        </w:rPr>
        <w:t>-</w:t>
      </w:r>
      <w:r>
        <w:t xml:space="preserve"> Sentencia </w:t>
      </w:r>
      <w:hyperlink w:anchor="SENTENCIA_2021_68" w:history="1">
        <w:r w:rsidRPr="002C5A78">
          <w:rPr>
            <w:rStyle w:val="TextoNormalCaracter"/>
          </w:rPr>
          <w:t>68/2021</w:t>
        </w:r>
      </w:hyperlink>
      <w:r>
        <w:t>, ff. 1, 6.</w:t>
      </w:r>
    </w:p>
    <w:p w:rsidR="002C5A78" w:rsidRDefault="002C5A78" w:rsidP="002C5A78">
      <w:pPr>
        <w:pStyle w:val="SangriaFrancesaArticulo"/>
      </w:pPr>
      <w:r w:rsidRPr="002C5A78">
        <w:rPr>
          <w:rStyle w:val="TextoNormalNegritaCaracter"/>
        </w:rPr>
        <w:t>Título preliminar, capítulo I.</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Título preliminar, capítulo II.</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Preámbulo, apartado II.</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68" w:history="1">
        <w:r w:rsidRPr="002C5A78">
          <w:rPr>
            <w:rStyle w:val="TextoNormalCaracter"/>
          </w:rPr>
          <w:t>68/2021</w:t>
        </w:r>
      </w:hyperlink>
      <w:r>
        <w:t>, ff. 1, 5.</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18 apartados 1 a 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19.2 e).</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21.1 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22.1 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25.1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25.1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26.1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26.1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26.2.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26.3.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Artículo 27.2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27.2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27.2 c).</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28.4.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29.2.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29.4.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30.5.</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32.1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32.2 a) párrafos 3, 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32.2 b).</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32.2 b) párrafos 2, 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32.2 b) último párrafo</w:t>
      </w:r>
      <w:r>
        <w:t xml:space="preserve"> (redactado por Ley 11/2020, de 30 de diciembre)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32.4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32.4 a) párrafos 3, 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32.4 b).</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32.4 b) último párrafo</w:t>
      </w:r>
      <w:r>
        <w:t xml:space="preserve"> (redactado por Ley 11/2020, de 30 de diciembre)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32.6.</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32.6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32.6 c).</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32.7 b).</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32.7 b) párrafo 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 xml:space="preserve">Artículo 32.7 b) párrafo 1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32.7 b) párrafo 1 inciso final</w:t>
      </w:r>
      <w:r>
        <w:t xml:space="preserve"> (redactado por la Ley 6/2018, de 3 de julio)</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32.7 b) párrafo 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32.7 b) párrafo 3.</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32.7 b) último párrafo.</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33.2.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33.3.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39.2 c).</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41.1.</w:t>
      </w:r>
      <w:r w:rsidRPr="002C5A78">
        <w:rPr>
          <w:rStyle w:val="TextoNormalCaracter"/>
        </w:rPr>
        <w:t>-</w:t>
      </w:r>
      <w:r>
        <w:t xml:space="preserve"> Sentencia </w:t>
      </w:r>
      <w:hyperlink w:anchor="SENTENCIA_2021_68" w:history="1">
        <w:r w:rsidRPr="002C5A78">
          <w:rPr>
            <w:rStyle w:val="TextoNormalCaracter"/>
          </w:rPr>
          <w:t>68/2021</w:t>
        </w:r>
      </w:hyperlink>
      <w:r>
        <w:t>, f. 9.</w:t>
      </w:r>
    </w:p>
    <w:p w:rsidR="002C5A78" w:rsidRDefault="002C5A78" w:rsidP="002C5A78">
      <w:pPr>
        <w:pStyle w:val="SangriaFrancesaArticulo"/>
      </w:pPr>
      <w:r w:rsidRPr="002C5A78">
        <w:rPr>
          <w:rStyle w:val="TextoNormalNegritaCaracter"/>
        </w:rPr>
        <w:t>Artículo 41.2.</w:t>
      </w:r>
      <w:r w:rsidRPr="002C5A78">
        <w:rPr>
          <w:rStyle w:val="TextoNormalCaracter"/>
        </w:rPr>
        <w:t>-</w:t>
      </w:r>
      <w:r>
        <w:t xml:space="preserve"> Sentencia </w:t>
      </w:r>
      <w:hyperlink w:anchor="SENTENCIA_2021_68" w:history="1">
        <w:r w:rsidRPr="002C5A78">
          <w:rPr>
            <w:rStyle w:val="TextoNormalCaracter"/>
          </w:rPr>
          <w:t>68/2021</w:t>
        </w:r>
      </w:hyperlink>
      <w:r>
        <w:t>, f. 9.</w:t>
      </w:r>
    </w:p>
    <w:p w:rsidR="002C5A78" w:rsidRDefault="002C5A78" w:rsidP="002C5A78">
      <w:pPr>
        <w:pStyle w:val="SangriaFrancesaArticulo"/>
      </w:pPr>
      <w:r w:rsidRPr="002C5A78">
        <w:rPr>
          <w:rStyle w:val="TextoNormalNegritaCaracter"/>
        </w:rPr>
        <w:t>Artículo 41.3.</w:t>
      </w:r>
      <w:r w:rsidRPr="002C5A78">
        <w:rPr>
          <w:rStyle w:val="TextoNormalCaracter"/>
        </w:rPr>
        <w:t>-</w:t>
      </w:r>
      <w:r>
        <w:t xml:space="preserve"> Sentencia </w:t>
      </w:r>
      <w:hyperlink w:anchor="SENTENCIA_2021_68" w:history="1">
        <w:r w:rsidRPr="002C5A78">
          <w:rPr>
            <w:rStyle w:val="TextoNormalCaracter"/>
          </w:rPr>
          <w:t>68/2021</w:t>
        </w:r>
      </w:hyperlink>
      <w:r>
        <w:t>, ff. 2, 9.</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IzquierdaArticulo"/>
      </w:pPr>
      <w:r>
        <w:t xml:space="preserve">Auto </w:t>
      </w:r>
      <w:hyperlink w:anchor="AUTO_2021_47" w:history="1">
        <w:r w:rsidRPr="002C5A78">
          <w:rPr>
            <w:rStyle w:val="TextoNormalCaracter"/>
          </w:rPr>
          <w:t>47/2021</w:t>
        </w:r>
      </w:hyperlink>
      <w:r>
        <w:t>, f. 3.</w:t>
      </w:r>
    </w:p>
    <w:p w:rsidR="002C5A78" w:rsidRDefault="002C5A78" w:rsidP="002C5A78">
      <w:pPr>
        <w:pStyle w:val="SangriaFrancesaArticulo"/>
      </w:pPr>
      <w:r w:rsidRPr="002C5A78">
        <w:rPr>
          <w:rStyle w:val="TextoNormalNegritaCaracter"/>
        </w:rPr>
        <w:t>Artículo 44.1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44.1 c).</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44.2 e).</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44.6.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44.7.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45.</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45.1.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46.</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IzquierdaArticulo"/>
      </w:pPr>
      <w:r>
        <w:t xml:space="preserve">Auto </w:t>
      </w:r>
      <w:hyperlink w:anchor="AUTO_2021_47" w:history="1">
        <w:r w:rsidRPr="002C5A78">
          <w:rPr>
            <w:rStyle w:val="TextoNormalCaracter"/>
          </w:rPr>
          <w:t>47/2021</w:t>
        </w:r>
      </w:hyperlink>
      <w:r>
        <w:t>, f. 3.</w:t>
      </w:r>
    </w:p>
    <w:p w:rsidR="002C5A78" w:rsidRDefault="002C5A78" w:rsidP="002C5A78">
      <w:pPr>
        <w:pStyle w:val="SangriaFrancesaArticulo"/>
      </w:pPr>
      <w:r w:rsidRPr="002C5A78">
        <w:rPr>
          <w:rStyle w:val="TextoNormalNegritaCaracter"/>
        </w:rPr>
        <w:t>Artículo 46.1.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46.2.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46.3.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46.4.</w:t>
      </w:r>
      <w:r w:rsidRPr="002C5A78">
        <w:rPr>
          <w:rStyle w:val="TextoNormalCaracter"/>
        </w:rPr>
        <w:t>-</w:t>
      </w:r>
      <w:r>
        <w:t xml:space="preserve"> Sentencia </w:t>
      </w:r>
      <w:hyperlink w:anchor="SENTENCIA_2021_68" w:history="1">
        <w:r w:rsidRPr="002C5A78">
          <w:rPr>
            <w:rStyle w:val="TextoNormalCaracter"/>
          </w:rPr>
          <w:t>68/2021</w:t>
        </w:r>
      </w:hyperlink>
      <w:r>
        <w:t>, f. 9.</w:t>
      </w:r>
    </w:p>
    <w:p w:rsidR="002C5A78" w:rsidRDefault="002C5A78" w:rsidP="002C5A78">
      <w:pPr>
        <w:pStyle w:val="SangriaIzquierdaArticulo"/>
      </w:pPr>
      <w:r>
        <w:t xml:space="preserve">Auto </w:t>
      </w:r>
      <w:hyperlink w:anchor="AUTO_2021_47" w:history="1">
        <w:r w:rsidRPr="002C5A78">
          <w:rPr>
            <w:rStyle w:val="TextoNormalCaracter"/>
          </w:rPr>
          <w:t>47/2021</w:t>
        </w:r>
      </w:hyperlink>
      <w:r>
        <w:t>, f. 3.</w:t>
      </w:r>
    </w:p>
    <w:p w:rsidR="002C5A78" w:rsidRDefault="002C5A78" w:rsidP="002C5A78">
      <w:pPr>
        <w:pStyle w:val="SangriaFrancesaArticulo"/>
      </w:pPr>
      <w:r w:rsidRPr="002C5A78">
        <w:rPr>
          <w:rStyle w:val="TextoNormalNegritaCaracter"/>
        </w:rPr>
        <w:t>Artículo 46.4 párrafo 1.</w:t>
      </w:r>
      <w:r w:rsidRPr="002C5A78">
        <w:rPr>
          <w:rStyle w:val="TextoNormalCaracter"/>
        </w:rPr>
        <w:t>-</w:t>
      </w:r>
      <w:r>
        <w:t xml:space="preserve"> Sentencia </w:t>
      </w:r>
      <w:hyperlink w:anchor="SENTENCIA_2021_68" w:history="1">
        <w:r w:rsidRPr="002C5A78">
          <w:rPr>
            <w:rStyle w:val="TextoNormalCaracter"/>
          </w:rPr>
          <w:t>68/2021</w:t>
        </w:r>
      </w:hyperlink>
      <w:r>
        <w:t>, f. 9.</w:t>
      </w:r>
    </w:p>
    <w:p w:rsidR="002C5A78" w:rsidRDefault="002C5A78" w:rsidP="002C5A78">
      <w:pPr>
        <w:pStyle w:val="SangriaFrancesaArticulo"/>
      </w:pPr>
      <w:r w:rsidRPr="002C5A78">
        <w:rPr>
          <w:rStyle w:val="TextoNormalNegritaCaracter"/>
        </w:rPr>
        <w:t>Artículo 46.4 párrafo 2.</w:t>
      </w:r>
      <w:r w:rsidRPr="002C5A78">
        <w:rPr>
          <w:rStyle w:val="TextoNormalCaracter"/>
        </w:rPr>
        <w:t>-</w:t>
      </w:r>
      <w:r>
        <w:t xml:space="preserve"> Sentencia </w:t>
      </w:r>
      <w:hyperlink w:anchor="SENTENCIA_2021_68" w:history="1">
        <w:r w:rsidRPr="002C5A78">
          <w:rPr>
            <w:rStyle w:val="TextoNormalCaracter"/>
          </w:rPr>
          <w:t>68/2021</w:t>
        </w:r>
      </w:hyperlink>
      <w:r>
        <w:t>, f. 9.</w:t>
      </w:r>
    </w:p>
    <w:p w:rsidR="002C5A78" w:rsidRDefault="002C5A78" w:rsidP="002C5A78">
      <w:pPr>
        <w:pStyle w:val="SangriaIzquierdaArticulo"/>
      </w:pPr>
      <w:r>
        <w:t xml:space="preserve">Auto </w:t>
      </w:r>
      <w:hyperlink w:anchor="AUTO_2021_47" w:history="1">
        <w:r w:rsidRPr="002C5A78">
          <w:rPr>
            <w:rStyle w:val="TextoNormalCaracter"/>
          </w:rPr>
          <w:t>47/2021</w:t>
        </w:r>
      </w:hyperlink>
      <w:r>
        <w:t>, f. 2.</w:t>
      </w:r>
    </w:p>
    <w:p w:rsidR="002C5A78" w:rsidRDefault="002C5A78" w:rsidP="002C5A78">
      <w:pPr>
        <w:pStyle w:val="SangriaFrancesaArticulo"/>
      </w:pPr>
      <w:r w:rsidRPr="002C5A78">
        <w:rPr>
          <w:rStyle w:val="TextoNormalNegritaCaracter"/>
        </w:rPr>
        <w:t>Artículo 46.4 párrafo 3.</w:t>
      </w:r>
      <w:r w:rsidRPr="002C5A78">
        <w:rPr>
          <w:rStyle w:val="TextoNormalCaracter"/>
        </w:rPr>
        <w:t>-</w:t>
      </w:r>
      <w:r>
        <w:t xml:space="preserve"> Auto </w:t>
      </w:r>
      <w:hyperlink w:anchor="AUTO_2021_47" w:history="1">
        <w:r w:rsidRPr="002C5A78">
          <w:rPr>
            <w:rStyle w:val="TextoNormalCaracter"/>
          </w:rPr>
          <w:t>47/2021</w:t>
        </w:r>
      </w:hyperlink>
      <w:r>
        <w:t>, f. 3.</w:t>
      </w:r>
    </w:p>
    <w:p w:rsidR="002C5A78" w:rsidRDefault="002C5A78" w:rsidP="002C5A78">
      <w:pPr>
        <w:pStyle w:val="SangriaFrancesaArticulo"/>
      </w:pPr>
      <w:r w:rsidRPr="002C5A78">
        <w:rPr>
          <w:rStyle w:val="TextoNormalNegritaCaracter"/>
        </w:rPr>
        <w:t>Artículo 49.</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49.1.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52.3.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52.3 inciso "cinco días hábiles".</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52.3 inciso "de diez días".</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52.3 inciso "de dos días hábiles".</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58.2.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62.1.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63.4.</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63.4 párrafo 1 inciso 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63.4 párrafo 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63.6.</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63.6 párrafo 2 inciso 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69.1.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69.2.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69.2 párrafo 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69.3.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71.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w:t>
      </w:r>
      <w:r>
        <w:t xml:space="preserve"> (redactado por Real Decreto-ley 14/2019, de 31 de octubre)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71.1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71.1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71.1 c).</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71.1 d).</w:t>
      </w:r>
      <w:r w:rsidRPr="002C5A78">
        <w:rPr>
          <w:rStyle w:val="TextoNormalCaracter"/>
        </w:rPr>
        <w:t>-</w:t>
      </w:r>
      <w:r>
        <w:t xml:space="preserve"> Sentencia </w:t>
      </w:r>
      <w:hyperlink w:anchor="SENTENCIA_2021_68" w:history="1">
        <w:r w:rsidRPr="002C5A78">
          <w:rPr>
            <w:rStyle w:val="TextoNormalCaracter"/>
          </w:rPr>
          <w:t>68/2021</w:t>
        </w:r>
      </w:hyperlink>
      <w:r>
        <w:t>, ff. 6, 7.</w:t>
      </w:r>
    </w:p>
    <w:p w:rsidR="002C5A78" w:rsidRDefault="002C5A78" w:rsidP="002C5A78">
      <w:pPr>
        <w:pStyle w:val="SangriaFrancesaArticulo"/>
      </w:pPr>
      <w:r w:rsidRPr="002C5A78">
        <w:rPr>
          <w:rStyle w:val="TextoNormalNegritaCaracter"/>
        </w:rPr>
        <w:t>Artículo 71.1 d) párrafo 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71.1 d) párrafo 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71.1 e).</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71.1 f).</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71.1 g).</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71.1 h).</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 xml:space="preserve">Artículo 71.2 d)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72.2 párrafo 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72.2 párrafo 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72.3 párrafo 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72.3 párrafo 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72.3 párrafo 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72.5.</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72.6.</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72.7.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73.1.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77.3.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78.</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80.</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80.2.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80.2 inciso "que serán eficaces, únicamente, a efectos de contratar con la comunidad autónoma que las haya adoptado, con las entidades locales incluidas en su ámbito territorial, y con los entes, organismos y entidades del sector público dependientes de una y otras".</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82.1.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82.2.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82.4.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86.3.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88.1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 xml:space="preserve">Artículo 88.1 a) párrafo 1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88.1 c).</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88.1 e).</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 xml:space="preserve">Artículo 90.1 a) párrafo 2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90.1 e).</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90.1 g).</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90.3.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90.4.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90.5.</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90.7.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96.2.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99.</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99.3.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99.4.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99.5.</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99.7.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101.1.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101.1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101.3.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101.3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101.3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101.3 c).</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101.3 d).</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101.3 e).</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103.6.</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105.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106.</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106.1.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 xml:space="preserve">Artículo 106.1 párrafo 1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 xml:space="preserve">Artículo 106.2 párrafo 1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107.1 párrafo 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107.2.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107.2 párrafo 2.</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108.1.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108.1 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108.1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108.1 c).</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111.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111.1.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115.1.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115.1 primer inciso.</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115.3.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116.3 párrafo 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116.5 párrafo 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117.</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117.2.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118.1.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118.2</w:t>
      </w:r>
      <w:r>
        <w:t xml:space="preserve"> (redactado por Real Decreto-ley 3/2020, de 4 de febrero)</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ff. 2, 7.</w:t>
      </w:r>
    </w:p>
    <w:p w:rsidR="002C5A78" w:rsidRDefault="002C5A78" w:rsidP="002C5A78">
      <w:pPr>
        <w:pStyle w:val="SangriaFrancesaArticulo"/>
      </w:pPr>
      <w:r w:rsidRPr="002C5A78">
        <w:rPr>
          <w:rStyle w:val="TextoNormalNegritaCaracter"/>
        </w:rPr>
        <w:t>Artículo 118.3.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118.4.</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118.5</w:t>
      </w:r>
      <w:r>
        <w:t xml:space="preserve"> (redactado por Real Decreto-ley 3/2020, de 4 de febrero)</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118.6</w:t>
      </w:r>
      <w:r>
        <w:t xml:space="preserve"> (redactado por Real Decreto-ley 3/2020, de 4 de febrero)</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ff. 2, 6.</w:t>
      </w:r>
    </w:p>
    <w:p w:rsidR="002C5A78" w:rsidRDefault="002C5A78" w:rsidP="002C5A78">
      <w:pPr>
        <w:pStyle w:val="SangriaFrancesaArticulo"/>
      </w:pPr>
      <w:r w:rsidRPr="002C5A78">
        <w:rPr>
          <w:rStyle w:val="TextoNormalNegritaCaracter"/>
        </w:rPr>
        <w:t>Artículo 119.2 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119.2 c).</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120.1 b).</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121.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121 apartado 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121.2.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122.2</w:t>
      </w:r>
      <w:r>
        <w:t xml:space="preserve"> (redactado por el Real Decreto-ley 14/2019, de 31 de octubre)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122.2 párrafo 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122.2 párrafo 1 inciso "En el caso de contratos mixtos, se detallará el régimen jurídico aplicable a sus efectos, cumplimiento y extinción, atendiendo a las normas aplicables a las diferentes prestaciones fusionadas en ellos".</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122.2 párrafo 1 inciso "los pactos y condiciones definidores de los derechos y obligaciones de las partes del contrato".</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122.2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122.2 párrafos tercero a quinto.</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122.3.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122.5.</w:t>
      </w:r>
      <w:r w:rsidRPr="002C5A78">
        <w:rPr>
          <w:rStyle w:val="TextoNormalCaracter"/>
        </w:rPr>
        <w:t>-</w:t>
      </w:r>
      <w:r>
        <w:t xml:space="preserve"> Sentencia </w:t>
      </w:r>
      <w:hyperlink w:anchor="SENTENCIA_2021_68" w:history="1">
        <w:r w:rsidRPr="002C5A78">
          <w:rPr>
            <w:rStyle w:val="TextoNormalCaracter"/>
          </w:rPr>
          <w:t>68/2021</w:t>
        </w:r>
      </w:hyperlink>
      <w:r>
        <w:t>, ff. 2, 7.</w:t>
      </w:r>
    </w:p>
    <w:p w:rsidR="002C5A78" w:rsidRDefault="002C5A78" w:rsidP="002C5A78">
      <w:pPr>
        <w:pStyle w:val="SangriaFrancesaArticulo"/>
      </w:pPr>
      <w:r w:rsidRPr="002C5A78">
        <w:rPr>
          <w:rStyle w:val="TextoNormalNegritaCaracter"/>
        </w:rPr>
        <w:t>Artículo 122.6.</w:t>
      </w:r>
      <w:r w:rsidRPr="002C5A78">
        <w:rPr>
          <w:rStyle w:val="TextoNormalCaracter"/>
        </w:rPr>
        <w:t>-</w:t>
      </w:r>
      <w:r>
        <w:t xml:space="preserve"> Sentencia </w:t>
      </w:r>
      <w:hyperlink w:anchor="SENTENCIA_2021_68" w:history="1">
        <w:r w:rsidRPr="002C5A78">
          <w:rPr>
            <w:rStyle w:val="TextoNormalCaracter"/>
          </w:rPr>
          <w:t>68/2021</w:t>
        </w:r>
      </w:hyperlink>
      <w:r>
        <w:t>, ff. 2, 7.</w:t>
      </w:r>
    </w:p>
    <w:p w:rsidR="002C5A78" w:rsidRDefault="002C5A78" w:rsidP="002C5A78">
      <w:pPr>
        <w:pStyle w:val="SangriaFrancesaArticulo"/>
      </w:pPr>
      <w:r w:rsidRPr="002C5A78">
        <w:rPr>
          <w:rStyle w:val="TextoNormalNegritaCaracter"/>
        </w:rPr>
        <w:t>Artículo 122.7.</w:t>
      </w:r>
      <w:r w:rsidRPr="002C5A78">
        <w:rPr>
          <w:rStyle w:val="TextoNormalCaracter"/>
        </w:rPr>
        <w:t>-</w:t>
      </w:r>
      <w:r>
        <w:t xml:space="preserve"> Sentencia </w:t>
      </w:r>
      <w:hyperlink w:anchor="SENTENCIA_2021_68" w:history="1">
        <w:r w:rsidRPr="002C5A78">
          <w:rPr>
            <w:rStyle w:val="TextoNormalCaracter"/>
          </w:rPr>
          <w:t>68/2021</w:t>
        </w:r>
      </w:hyperlink>
      <w:r>
        <w:t>, ff. 2, 7.</w:t>
      </w:r>
    </w:p>
    <w:p w:rsidR="002C5A78" w:rsidRDefault="002C5A78" w:rsidP="002C5A78">
      <w:pPr>
        <w:pStyle w:val="SangriaFrancesaArticulo"/>
      </w:pPr>
      <w:r w:rsidRPr="002C5A78">
        <w:rPr>
          <w:rStyle w:val="TextoNormalNegritaCaracter"/>
        </w:rPr>
        <w:t>Artículo 123.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124.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125.1.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125.1 a).</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125.1 b).</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127.2.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127.2 párrafo 1, a) a e).</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127.2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128.</w:t>
      </w:r>
      <w:r w:rsidRPr="002C5A78">
        <w:rPr>
          <w:rStyle w:val="TextoNormalCaracter"/>
        </w:rPr>
        <w:t>-</w:t>
      </w:r>
      <w:r>
        <w:t xml:space="preserve"> Sentencia </w:t>
      </w:r>
      <w:hyperlink w:anchor="SENTENCIA_2021_68" w:history="1">
        <w:r w:rsidRPr="002C5A78">
          <w:rPr>
            <w:rStyle w:val="TextoNormalCaracter"/>
          </w:rPr>
          <w:t>68/2021</w:t>
        </w:r>
      </w:hyperlink>
      <w:r>
        <w:t>, ff. 2, 9.</w:t>
      </w:r>
    </w:p>
    <w:p w:rsidR="002C5A78" w:rsidRDefault="002C5A78" w:rsidP="002C5A78">
      <w:pPr>
        <w:pStyle w:val="SangriaFrancesaArticulo"/>
      </w:pPr>
      <w:r w:rsidRPr="002C5A78">
        <w:rPr>
          <w:rStyle w:val="TextoNormalNegritaCaracter"/>
        </w:rPr>
        <w:t>Artículo 128.1.</w:t>
      </w:r>
      <w:r w:rsidRPr="002C5A78">
        <w:rPr>
          <w:rStyle w:val="TextoNormalCaracter"/>
        </w:rPr>
        <w:t>-</w:t>
      </w:r>
      <w:r>
        <w:t xml:space="preserve"> Sentencia </w:t>
      </w:r>
      <w:hyperlink w:anchor="SENTENCIA_2021_68" w:history="1">
        <w:r w:rsidRPr="002C5A78">
          <w:rPr>
            <w:rStyle w:val="TextoNormalCaracter"/>
          </w:rPr>
          <w:t>68/2021</w:t>
        </w:r>
      </w:hyperlink>
      <w:r>
        <w:t>, f. 9.</w:t>
      </w:r>
    </w:p>
    <w:p w:rsidR="002C5A78" w:rsidRDefault="002C5A78" w:rsidP="002C5A78">
      <w:pPr>
        <w:pStyle w:val="SangriaFrancesaArticulo"/>
      </w:pPr>
      <w:r w:rsidRPr="002C5A78">
        <w:rPr>
          <w:rStyle w:val="TextoNormalNegritaCaracter"/>
        </w:rPr>
        <w:t>Artículo 128.2.</w:t>
      </w:r>
      <w:r w:rsidRPr="002C5A78">
        <w:rPr>
          <w:rStyle w:val="TextoNormalCaracter"/>
        </w:rPr>
        <w:t>-</w:t>
      </w:r>
      <w:r>
        <w:t xml:space="preserve"> Sentencia </w:t>
      </w:r>
      <w:hyperlink w:anchor="SENTENCIA_2021_68" w:history="1">
        <w:r w:rsidRPr="002C5A78">
          <w:rPr>
            <w:rStyle w:val="TextoNormalCaracter"/>
          </w:rPr>
          <w:t>68/2021</w:t>
        </w:r>
      </w:hyperlink>
      <w:r>
        <w:t>, f. 9.</w:t>
      </w:r>
    </w:p>
    <w:p w:rsidR="002C5A78" w:rsidRDefault="002C5A78" w:rsidP="002C5A78">
      <w:pPr>
        <w:pStyle w:val="SangriaFrancesaArticulo"/>
      </w:pPr>
      <w:r w:rsidRPr="002C5A78">
        <w:rPr>
          <w:rStyle w:val="TextoNormalNegritaCaracter"/>
        </w:rPr>
        <w:t>Artículo 131.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134.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141.</w:t>
      </w:r>
      <w:r w:rsidRPr="002C5A78">
        <w:rPr>
          <w:rStyle w:val="TextoNormalCaracter"/>
        </w:rPr>
        <w:t>-</w:t>
      </w:r>
      <w:r>
        <w:t xml:space="preserve"> Sentencia </w:t>
      </w:r>
      <w:hyperlink w:anchor="SENTENCIA_2021_68" w:history="1">
        <w:r w:rsidRPr="002C5A78">
          <w:rPr>
            <w:rStyle w:val="TextoNormalCaracter"/>
          </w:rPr>
          <w:t>68/2021</w:t>
        </w:r>
      </w:hyperlink>
      <w:r>
        <w:t>, ff. 6, 7.</w:t>
      </w:r>
    </w:p>
    <w:p w:rsidR="002C5A78" w:rsidRDefault="002C5A78" w:rsidP="002C5A78">
      <w:pPr>
        <w:pStyle w:val="SangriaFrancesaArticulo"/>
      </w:pPr>
      <w:r w:rsidRPr="002C5A78">
        <w:rPr>
          <w:rStyle w:val="TextoNormalNegritaCaracter"/>
        </w:rPr>
        <w:t>Artículo 141.1.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141.2.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143.5.</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143.7.</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143.8.</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143.9.</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143.10.</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145.</w:t>
      </w:r>
      <w:r w:rsidRPr="002C5A78">
        <w:rPr>
          <w:rStyle w:val="TextoNormalCaracter"/>
        </w:rPr>
        <w:t>-</w:t>
      </w:r>
      <w:r>
        <w:t xml:space="preserve"> Sentencia </w:t>
      </w:r>
      <w:hyperlink w:anchor="SENTENCIA_2021_68" w:history="1">
        <w:r w:rsidRPr="002C5A78">
          <w:rPr>
            <w:rStyle w:val="TextoNormalCaracter"/>
          </w:rPr>
          <w:t>68/2021</w:t>
        </w:r>
      </w:hyperlink>
      <w:r>
        <w:t>, ff. 6, 7.</w:t>
      </w:r>
    </w:p>
    <w:p w:rsidR="002C5A78" w:rsidRDefault="002C5A78" w:rsidP="002C5A78">
      <w:pPr>
        <w:pStyle w:val="SangriaFrancesaArticulo"/>
      </w:pPr>
      <w:r w:rsidRPr="002C5A78">
        <w:rPr>
          <w:rStyle w:val="TextoNormalNegritaCaracter"/>
        </w:rPr>
        <w:t>Artículo 145.2.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145.2 último párrafo.</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146.2.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146.2 párrafo 2 a).</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146.2 último párrafo.</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147.</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147.1.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147.2.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148.3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149.</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149.4.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149.4 párrafo 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149.6.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 xml:space="preserve">Artículo 149.6 párrafo 1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150.1.</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150.1 párrafo 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153.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154.2.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154.7.</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154.7 párrafo 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154.7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154.7 párrafo 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156.1.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156.2.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156.3.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156.4.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156.6.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157.</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157.1.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157.2.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157.3.</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Artículo 157.4.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157.5.</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159.1.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159.1 a).</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159.1 a)</w:t>
      </w:r>
      <w:r>
        <w:t xml:space="preserve"> (redactado por Ley 11/2020, de 30 de diciembre)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159.1 b).</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159.4 a).</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159.4 d).</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159.4 f).</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166.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166.2.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177.1.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177.1 párrafo 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177.2.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177.3.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177.3 a).</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185.2.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185.3.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185.3 párrafo 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185.3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185.3 párrafo 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185.3 párrafo 5.</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185.3 párrafo 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187.3.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187.11.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190.</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191.2.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191.3.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191.3 b).</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191.3 c).</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192.2.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192.3.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193.2.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193.3.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193.4.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193.5.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194.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195.</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195.1.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195.2.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198.2.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198.2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201.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202.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202.1.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202.1 párrafo 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202.1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202.1 párrafo 3.</w:t>
      </w:r>
      <w:r w:rsidRPr="002C5A78">
        <w:rPr>
          <w:rStyle w:val="TextoNormalCaracter"/>
        </w:rPr>
        <w:t>-</w:t>
      </w:r>
      <w:r>
        <w:t xml:space="preserve"> Sentencia </w:t>
      </w:r>
      <w:hyperlink w:anchor="SENTENCIA_2021_68" w:history="1">
        <w:r w:rsidRPr="002C5A78">
          <w:rPr>
            <w:rStyle w:val="TextoNormalCaracter"/>
          </w:rPr>
          <w:t>68/2021</w:t>
        </w:r>
      </w:hyperlink>
      <w:r>
        <w:t>, ff. 2, 7.</w:t>
      </w:r>
    </w:p>
    <w:p w:rsidR="002C5A78" w:rsidRDefault="002C5A78" w:rsidP="002C5A78">
      <w:pPr>
        <w:pStyle w:val="SangriaFrancesaArticulo"/>
      </w:pPr>
      <w:r w:rsidRPr="002C5A78">
        <w:rPr>
          <w:rStyle w:val="TextoNormalNegritaCaracter"/>
        </w:rPr>
        <w:t>Artículo 202.1 párrafo 3</w:t>
      </w:r>
      <w:r>
        <w:t xml:space="preserve"> (redactado por Real Decreto-ley 14/2019, de 31 de octubre)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202.2.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202.3.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202.4.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208.2 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211.1 f).</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212.2.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212.5.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212.8.</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214.1.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214.2.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214.2 a).</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214.2 b).</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215.</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215.1.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215.2.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215.2 b).</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215.2 c).</w:t>
      </w:r>
      <w:r w:rsidRPr="002C5A78">
        <w:rPr>
          <w:rStyle w:val="TextoNormalCaracter"/>
        </w:rPr>
        <w:t>-</w:t>
      </w:r>
      <w:r>
        <w:t xml:space="preserve"> Sentencia </w:t>
      </w:r>
      <w:hyperlink w:anchor="SENTENCIA_2021_68" w:history="1">
        <w:r w:rsidRPr="002C5A78">
          <w:rPr>
            <w:rStyle w:val="TextoNormalCaracter"/>
          </w:rPr>
          <w:t>68/2021</w:t>
        </w:r>
      </w:hyperlink>
      <w:r>
        <w:t>, ff. 2, 7.</w:t>
      </w:r>
    </w:p>
    <w:p w:rsidR="002C5A78" w:rsidRDefault="002C5A78" w:rsidP="002C5A78">
      <w:pPr>
        <w:pStyle w:val="SangriaFrancesaArticulo"/>
      </w:pPr>
      <w:r w:rsidRPr="002C5A78">
        <w:rPr>
          <w:rStyle w:val="TextoNormalNegritaCaracter"/>
        </w:rPr>
        <w:t>Artículo 215.2 d).</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215.4</w:t>
      </w:r>
      <w:r>
        <w:t xml:space="preserve"> (redactado por Real Decreto-ley 14/2019, de 31 de octubre)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215.4 párrafo 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215.8.</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217.1.</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217.2.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221.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228.</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229.1.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229.2.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229.5.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229.6 párrafo 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229.7.</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229.8.</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230.</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232.2.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232.3.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232.4.</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232.6.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232.7.</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232.8.</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233.1 e).</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233.4.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234.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235.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236.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237.</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238.2.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240.</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241.1.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241.2.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241.3.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241.3 a).</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241.3 b).</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241.3 c).</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241.3 d).</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242.3.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242.3 inciso "con una antelación mínima de cinco días".</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242.4.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242.4 párrafo primero b).</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242.4 párrafo segundo.</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242.5.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243.</w:t>
      </w:r>
      <w:r w:rsidRPr="002C5A78">
        <w:rPr>
          <w:rStyle w:val="TextoNormalCaracter"/>
        </w:rPr>
        <w:t>-</w:t>
      </w:r>
      <w:r>
        <w:t xml:space="preserve"> Sentencia </w:t>
      </w:r>
      <w:hyperlink w:anchor="SENTENCIA_2021_68" w:history="1">
        <w:r w:rsidRPr="002C5A78">
          <w:rPr>
            <w:rStyle w:val="TextoNormalCaracter"/>
          </w:rPr>
          <w:t>68/2021</w:t>
        </w:r>
      </w:hyperlink>
      <w:r>
        <w:t>, ff. 2, 6, 7.</w:t>
      </w:r>
    </w:p>
    <w:p w:rsidR="002C5A78" w:rsidRDefault="002C5A78" w:rsidP="002C5A78">
      <w:pPr>
        <w:pStyle w:val="SangriaFrancesaArticulo"/>
      </w:pPr>
      <w:r w:rsidRPr="002C5A78">
        <w:rPr>
          <w:rStyle w:val="TextoNormalNegritaCaracter"/>
        </w:rPr>
        <w:t>Artículo 244.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250.1 b).</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253.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256.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260.</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263.2.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263.3.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266.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267.5.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268.</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270.</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272.6.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273.2.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279.</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280.</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283.1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 xml:space="preserve">Artículo 288 a)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290.6.</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294 b).</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 xml:space="preserve">Artículo 294 c)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298.</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300.2.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300.3.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307.2.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307.3.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308.</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308.2.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308.2 párrafo 2.</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 xml:space="preserve">Artículo 308.2 párrafo 2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308.3.</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312.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313.2.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313.3.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314.3.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314.4.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314.5.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314.6.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315.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319.</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323.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327.</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328.</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328.4.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328.4 b).</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328.4 c).</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328.4 d).</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328.4 e).</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329.</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331.</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 xml:space="preserve">Artículo 331 último párrafo </w:t>
      </w:r>
      <w:r w:rsidRPr="002C5A78">
        <w:rPr>
          <w:rStyle w:val="TextoNormalNegritaCursivaCaracter"/>
        </w:rPr>
        <w:t>in fine</w:t>
      </w:r>
      <w:r>
        <w:t xml:space="preserve"> </w:t>
      </w:r>
      <w:r w:rsidRPr="002C5A78">
        <w:rPr>
          <w:rStyle w:val="TextoNormalCaracter"/>
        </w:rPr>
        <w:t>(redactado por Real Decreto-ley 3/2020, de 4 de febrero)</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ff. 2, 8.</w:t>
      </w:r>
    </w:p>
    <w:p w:rsidR="002C5A78" w:rsidRDefault="002C5A78" w:rsidP="002C5A78">
      <w:pPr>
        <w:pStyle w:val="SangriaFrancesaArticulo"/>
      </w:pPr>
      <w:r w:rsidRPr="002C5A78">
        <w:rPr>
          <w:rStyle w:val="TextoNormalNegritaCaracter"/>
        </w:rPr>
        <w:t>Artículo 332.</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332.1.</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332.6.</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332.7 a).</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332.7 d).</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332.8.</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332.12.</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333.3.</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333.3 párrafo 4.</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333.6.</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334.1.</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334.1 párrafo 2 a).</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334.1 párrafo 2 e).</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334.8.</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335.1.</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335.1 párrafo 2.</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335.1 párrafo 3.</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335.4.</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336.1.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343.</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346.3 párrafo 3.</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347.1.</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347.2.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347.3.</w:t>
      </w:r>
      <w:r w:rsidRPr="002C5A78">
        <w:rPr>
          <w:rStyle w:val="TextoNormalCaracter"/>
        </w:rPr>
        <w:t>-</w:t>
      </w:r>
      <w:r>
        <w:t xml:space="preserve"> Sentencia </w:t>
      </w:r>
      <w:hyperlink w:anchor="SENTENCIA_2021_68" w:history="1">
        <w:r w:rsidRPr="002C5A78">
          <w:rPr>
            <w:rStyle w:val="TextoNormalCaracter"/>
          </w:rPr>
          <w:t>68/2021</w:t>
        </w:r>
      </w:hyperlink>
      <w:r>
        <w:t>, ff. 3, 6, 10.</w:t>
      </w:r>
    </w:p>
    <w:p w:rsidR="002C5A78" w:rsidRDefault="002C5A78" w:rsidP="002C5A78">
      <w:pPr>
        <w:pStyle w:val="SangriaFrancesaArticulo"/>
      </w:pPr>
      <w:r w:rsidRPr="002C5A78">
        <w:rPr>
          <w:rStyle w:val="TextoNormalNegritaCaracter"/>
        </w:rPr>
        <w:t>Artículo 347.3 párrafo 3.</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347.3 párrafo 5.</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347.3 párrafo 5 inciso "de forma excluyente y exclusiva".</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Artículo 347.7.</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primera, apartado 1 párrafo segundo f).</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segunda, apartado 7.</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cuarta, apartado 1 párrafo tercero.</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decimocuarta.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decimonovena.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vigésima.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vigesimosegunda.</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Disposición adicional vigesimotercera.</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Disposición adicional vigesimocuarta.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vigesimonovena.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trigésima.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adicional trigésima octava.</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Disposición transitoria primera.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68" w:history="1">
        <w:r w:rsidRPr="002C5A78">
          <w:rPr>
            <w:rStyle w:val="TextoNormalCaracter"/>
          </w:rPr>
          <w:t>68/2021</w:t>
        </w:r>
      </w:hyperlink>
      <w:r>
        <w:t>, ff. 3, 10.</w:t>
      </w:r>
    </w:p>
    <w:p w:rsidR="002C5A78" w:rsidRDefault="002C5A78" w:rsidP="002C5A78">
      <w:pPr>
        <w:pStyle w:val="SangriaFrancesaArticulo"/>
      </w:pPr>
      <w:r w:rsidRPr="002C5A78">
        <w:rPr>
          <w:rStyle w:val="TextoNormalNegritaCaracter"/>
        </w:rPr>
        <w:t>Disposición final primera, apartado 1.</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Disposición final primera, apartado 2.</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Disposición final primera, apartado 3.</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Disposición final primera, apartado 3, párrafo 1.</w:t>
      </w:r>
      <w:r w:rsidRPr="002C5A78">
        <w:rPr>
          <w:rStyle w:val="TextoNormalCaracter"/>
        </w:rPr>
        <w:t>-</w:t>
      </w:r>
      <w:r>
        <w:t xml:space="preserve"> Sentencia </w:t>
      </w:r>
      <w:hyperlink w:anchor="SENTENCIA_2021_68" w:history="1">
        <w:r w:rsidRPr="002C5A78">
          <w:rPr>
            <w:rStyle w:val="TextoNormalCaracter"/>
          </w:rPr>
          <w:t>68/2021</w:t>
        </w:r>
      </w:hyperlink>
      <w:r>
        <w:t>, ff. 3, 10.</w:t>
      </w:r>
    </w:p>
    <w:p w:rsidR="002C5A78" w:rsidRDefault="002C5A78" w:rsidP="002C5A78">
      <w:pPr>
        <w:pStyle w:val="SangriaFrancesaArticulo"/>
      </w:pPr>
      <w:r w:rsidRPr="002C5A78">
        <w:rPr>
          <w:rStyle w:val="TextoNormalNegritaCaracter"/>
        </w:rPr>
        <w:t>Disposición final primera, apartado 4.</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Disposición final primera, apartado 3, párrafo 2</w:t>
      </w:r>
      <w:r>
        <w:t xml:space="preserve"> (redactado por Real Decreto-ley 3/2020, de 4 de febrero)</w:t>
      </w:r>
      <w:r w:rsidRPr="002C5A78">
        <w:rPr>
          <w:rStyle w:val="TextoNormalNegritaCaracter"/>
        </w:rPr>
        <w:t>.</w:t>
      </w:r>
      <w:r w:rsidRPr="002C5A78">
        <w:rPr>
          <w:rStyle w:val="TextoNormalCaracter"/>
        </w:rPr>
        <w:t>-</w:t>
      </w:r>
      <w:r>
        <w:t xml:space="preserve"> Sentencia </w:t>
      </w:r>
      <w:hyperlink w:anchor="SENTENCIA_2021_68" w:history="1">
        <w:r w:rsidRPr="002C5A78">
          <w:rPr>
            <w:rStyle w:val="TextoNormalCaracter"/>
          </w:rPr>
          <w:t>68/2021</w:t>
        </w:r>
      </w:hyperlink>
      <w:r>
        <w:t>, ff. 3, 6.</w:t>
      </w:r>
    </w:p>
    <w:p w:rsidR="002C5A78" w:rsidRDefault="002C5A78" w:rsidP="002C5A78">
      <w:pPr>
        <w:pStyle w:val="SangriaFrancesaArticulo"/>
      </w:pPr>
      <w:r w:rsidRPr="002C5A78">
        <w:rPr>
          <w:rStyle w:val="TextoNormalNegritaCaracter"/>
        </w:rPr>
        <w:t>Disposición final segunda.</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Disposición final tercera.</w:t>
      </w:r>
      <w:r w:rsidRPr="002C5A78">
        <w:rPr>
          <w:rStyle w:val="TextoNormalCaracter"/>
        </w:rPr>
        <w:t>-</w:t>
      </w:r>
      <w:r>
        <w:t xml:space="preserve"> Sentencia </w:t>
      </w:r>
      <w:hyperlink w:anchor="SENTENCIA_2021_68" w:history="1">
        <w:r w:rsidRPr="002C5A78">
          <w:rPr>
            <w:rStyle w:val="TextoNormalCaracter"/>
          </w:rPr>
          <w:t>68/2021</w:t>
        </w:r>
      </w:hyperlink>
      <w:r>
        <w:t>, ff. 3, 4.</w:t>
      </w:r>
    </w:p>
    <w:p w:rsidR="002C5A78" w:rsidRDefault="002C5A78" w:rsidP="002C5A78">
      <w:pPr>
        <w:pStyle w:val="SangriaFrancesaArticulo"/>
      </w:pPr>
      <w:r w:rsidRPr="002C5A78">
        <w:rPr>
          <w:rStyle w:val="TextoNormalNegritaCaracter"/>
        </w:rPr>
        <w:t>Disposición final cuarta.</w:t>
      </w:r>
      <w:r w:rsidRPr="002C5A78">
        <w:rPr>
          <w:rStyle w:val="TextoNormalCaracter"/>
        </w:rPr>
        <w:t>-</w:t>
      </w:r>
      <w:r>
        <w:t xml:space="preserve"> Sentencia </w:t>
      </w:r>
      <w:hyperlink w:anchor="SENTENCIA_2021_68" w:history="1">
        <w:r w:rsidRPr="002C5A78">
          <w:rPr>
            <w:rStyle w:val="TextoNormalCaracter"/>
          </w:rPr>
          <w:t>68/2021</w:t>
        </w:r>
      </w:hyperlink>
      <w:r>
        <w:t>, f. 4.</w:t>
      </w:r>
    </w:p>
    <w:p w:rsidR="002C5A78" w:rsidRDefault="002C5A78" w:rsidP="002C5A78">
      <w:pPr>
        <w:pStyle w:val="SangriaFrancesaArticulo"/>
      </w:pPr>
      <w:r w:rsidRPr="002C5A78">
        <w:rPr>
          <w:rStyle w:val="TextoNormalNegritaCaracter"/>
        </w:rPr>
        <w:t>Disposición final quinta.</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Disposición final sexta, apartado 2.</w:t>
      </w:r>
      <w:r w:rsidRPr="002C5A78">
        <w:rPr>
          <w:rStyle w:val="TextoNormalCaracter"/>
        </w:rPr>
        <w:t>-</w:t>
      </w:r>
      <w:r>
        <w:t xml:space="preserve"> Sentencia </w:t>
      </w:r>
      <w:hyperlink w:anchor="SENTENCIA_2021_68" w:history="1">
        <w:r w:rsidRPr="002C5A78">
          <w:rPr>
            <w:rStyle w:val="TextoNormalCaracter"/>
          </w:rPr>
          <w:t>68/2021</w:t>
        </w:r>
      </w:hyperlink>
      <w:r>
        <w:t>, f. 8.</w:t>
      </w:r>
    </w:p>
    <w:p w:rsidR="002C5A78" w:rsidRDefault="002C5A78" w:rsidP="002C5A78">
      <w:pPr>
        <w:pStyle w:val="SangriaFrancesaArticulo"/>
      </w:pPr>
      <w:r w:rsidRPr="002C5A78">
        <w:rPr>
          <w:rStyle w:val="TextoNormalNegritaCaracter"/>
        </w:rPr>
        <w:t>Disposición final séptima.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final octava.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Ley 5/2018 de 11 de junio. Modifica la Ley 1/2000 de 7 de enero, de enjuiciamiento civil. Ocupación ilegal de viviendas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Disposición adicional.</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p>
    <w:p w:rsidR="002C5A78" w:rsidRDefault="002C5A78" w:rsidP="002C5A78">
      <w:pPr>
        <w:pStyle w:val="TextoNormalNegritaCursivandice"/>
        <w:keepNext/>
      </w:pPr>
      <w:r>
        <w:t>Ley 6/2018, de 3 de julio, de presupuestos generales del Estado para el año 2018</w:t>
      </w:r>
    </w:p>
    <w:p w:rsidR="002C5A78" w:rsidRDefault="002C5A78" w:rsidP="002C5A78">
      <w:pPr>
        <w:pStyle w:val="SangriaFrancesaArticulo"/>
      </w:pPr>
      <w:r w:rsidRPr="002C5A78">
        <w:rPr>
          <w:rStyle w:val="TextoNormalNegritaCaracter"/>
        </w:rPr>
        <w:t>Disposición final cuadragésima cuarta.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Ley 9/2018, de 5 de diciembre, por la que se modifica la Ley 21/2013, de 9 de diciembre, de evaluación ambiental, la Ley 21/2015, de 20 de julio, por la que se modifica la Ley 43/2003, de 21 de noviembre, de Montes y la Ley 1/2005, de 9 de marzo, por la que se regula el régimen del comercio de derechos de emisión de gases de efecto invernadero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Ley 5/2019, de 15 de marzo. Contratos de crédito inmobiliario</w:t>
      </w:r>
    </w:p>
    <w:p w:rsidR="002C5A78" w:rsidRDefault="002C5A78" w:rsidP="002C5A78">
      <w:pPr>
        <w:pStyle w:val="SangriaFrancesaArticulo"/>
      </w:pPr>
      <w:r w:rsidRPr="002C5A78">
        <w:rPr>
          <w:rStyle w:val="TextoNormalNegritaCaracter"/>
        </w:rPr>
        <w:t>Disposición transitoria tercera.</w:t>
      </w:r>
      <w:r w:rsidRPr="002C5A78">
        <w:rPr>
          <w:rStyle w:val="TextoNormalCaracter"/>
        </w:rPr>
        <w:t>-</w:t>
      </w:r>
      <w:r>
        <w:t xml:space="preserve"> Sentencia </w:t>
      </w:r>
      <w:hyperlink w:anchor="SENTENCIA_2021_52" w:history="1">
        <w:r w:rsidRPr="002C5A78">
          <w:rPr>
            <w:rStyle w:val="TextoNormalCaracter"/>
          </w:rPr>
          <w:t>52/2021</w:t>
        </w:r>
      </w:hyperlink>
      <w:r>
        <w:t>, f. 2.</w:t>
      </w:r>
    </w:p>
    <w:p w:rsidR="002C5A78" w:rsidRDefault="002C5A78" w:rsidP="002C5A78">
      <w:pPr>
        <w:pStyle w:val="SangriaFrancesaArticulo"/>
      </w:pPr>
    </w:p>
    <w:p w:rsidR="002C5A78" w:rsidRDefault="002C5A78" w:rsidP="002C5A78">
      <w:pPr>
        <w:pStyle w:val="TextoNormalNegritaCursivandice"/>
        <w:keepNext/>
      </w:pPr>
      <w:r>
        <w:t>Ley 2/2020, de 27 de julio. Modifica el artículo 324 de la Ley de enjuiciamiento criminal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7" w:history="1">
        <w:r w:rsidRPr="002C5A78">
          <w:rPr>
            <w:rStyle w:val="TextoNormalCaracter"/>
          </w:rPr>
          <w:t>7/2021</w:t>
        </w:r>
      </w:hyperlink>
      <w:r>
        <w:t>, f. único.</w:t>
      </w:r>
    </w:p>
    <w:p w:rsidR="002C5A78" w:rsidRDefault="002C5A78" w:rsidP="002C5A78">
      <w:pPr>
        <w:pStyle w:val="SangriaFrancesaArticulo"/>
      </w:pPr>
      <w:r w:rsidRPr="002C5A78">
        <w:rPr>
          <w:rStyle w:val="TextoNormalNegritaCaracter"/>
        </w:rPr>
        <w:t>Disposición transitoria.</w:t>
      </w:r>
      <w:r w:rsidRPr="002C5A78">
        <w:rPr>
          <w:rStyle w:val="TextoNormalCaracter"/>
        </w:rPr>
        <w:t>-</w:t>
      </w:r>
      <w:r>
        <w:t xml:space="preserve"> Auto </w:t>
      </w:r>
      <w:hyperlink w:anchor="AUTO_2021_7" w:history="1">
        <w:r w:rsidRPr="002C5A78">
          <w:rPr>
            <w:rStyle w:val="TextoNormalCaracter"/>
          </w:rPr>
          <w:t>7/2021</w:t>
        </w:r>
      </w:hyperlink>
      <w:r>
        <w:t>, f. único.</w:t>
      </w:r>
    </w:p>
    <w:p w:rsidR="002C5A78" w:rsidRDefault="002C5A78" w:rsidP="002C5A78">
      <w:pPr>
        <w:pStyle w:val="SangriaFrancesaArticulo"/>
      </w:pPr>
    </w:p>
    <w:p w:rsidR="002C5A78" w:rsidRDefault="002C5A78" w:rsidP="002C5A78">
      <w:pPr>
        <w:pStyle w:val="TextoNormalNegritaCursivandice"/>
        <w:keepNext/>
      </w:pPr>
      <w:r>
        <w:t>Ley 3/2020, de 18 de septiembre. Medidas procesales y organizativas para hacer frente al COVID-19 en el ámbito de la Administración de Justicia.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Disposición final séptima.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Ley 11/2020, de 30 de diciembre. Presupuestos Generales del Estado para el año 2021.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ff. 6, 7.</w:t>
      </w:r>
    </w:p>
    <w:p w:rsidR="002C5A78" w:rsidRDefault="002C5A78" w:rsidP="002C5A78">
      <w:pPr>
        <w:pStyle w:val="SangriaFrancesaArticulo"/>
      </w:pPr>
      <w:r w:rsidRPr="002C5A78">
        <w:rPr>
          <w:rStyle w:val="TextoNormalNegritaCaracter"/>
        </w:rPr>
        <w:t>Disposición final cuadragésima.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Ley 2/2021, de 29 de marzo, de medidas urgentes de prevención, contención y coordinación para hacer frente a la crisis sanitaria ocasionada por el COVID-19</w:t>
      </w:r>
    </w:p>
    <w:p w:rsidR="002C5A78" w:rsidRDefault="002C5A78" w:rsidP="002C5A78">
      <w:pPr>
        <w:pStyle w:val="SangriaFrancesaArticulo"/>
      </w:pPr>
      <w:r w:rsidRPr="002C5A78">
        <w:rPr>
          <w:rStyle w:val="TextoNormalNegritaCaracter"/>
        </w:rPr>
        <w:t>Disposición adicional primera.</w:t>
      </w:r>
      <w:r w:rsidRPr="002C5A78">
        <w:rPr>
          <w:rStyle w:val="TextoNormalCaracter"/>
        </w:rPr>
        <w:t>-</w:t>
      </w:r>
      <w:r>
        <w:t xml:space="preserve"> Auto </w:t>
      </w:r>
      <w:hyperlink w:anchor="AUTO_2021_51" w:history="1">
        <w:r w:rsidRPr="002C5A78">
          <w:rPr>
            <w:rStyle w:val="TextoNormalCaracter"/>
          </w:rPr>
          <w:t>51/2021</w:t>
        </w:r>
      </w:hyperlink>
      <w:r>
        <w:t>, f. 7.</w:t>
      </w:r>
    </w:p>
    <w:p w:rsidR="002C5A78" w:rsidRDefault="002C5A78" w:rsidP="002C5A78">
      <w:pPr>
        <w:pStyle w:val="TextoNormal"/>
      </w:pPr>
    </w:p>
    <w:p w:rsidR="002C5A78" w:rsidRDefault="002C5A78" w:rsidP="002C5A78">
      <w:pPr>
        <w:pStyle w:val="SangriaFrancesaArticulo"/>
      </w:pPr>
      <w:bookmarkStart w:id="221" w:name="INDICE22847"/>
    </w:p>
    <w:bookmarkEnd w:id="221"/>
    <w:p w:rsidR="002C5A78" w:rsidRDefault="002C5A78" w:rsidP="002C5A78">
      <w:pPr>
        <w:pStyle w:val="TextoIndiceNivel2"/>
        <w:suppressAutoHyphens/>
      </w:pPr>
      <w:r>
        <w:t>F) Reales Decretos Legislativos</w:t>
      </w:r>
    </w:p>
    <w:p w:rsidR="002C5A78" w:rsidRDefault="002C5A78" w:rsidP="002C5A78">
      <w:pPr>
        <w:pStyle w:val="TextoIndiceNivel2"/>
      </w:pPr>
    </w:p>
    <w:p w:rsidR="002C5A78" w:rsidRDefault="002C5A78" w:rsidP="002C5A78">
      <w:pPr>
        <w:pStyle w:val="TextoNormalNegritaCursivandice"/>
        <w:keepNext/>
      </w:pPr>
      <w:r>
        <w:t>Real Decreto Legislativo 670/1987, de 30 de abril. Texto refundido de la Ley de clases pasivas del Estado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1" w:history="1">
        <w:r w:rsidRPr="002C5A78">
          <w:rPr>
            <w:rStyle w:val="TextoNormalCaracter"/>
          </w:rPr>
          <w:t>111/2021</w:t>
        </w:r>
      </w:hyperlink>
      <w:r>
        <w:t>, ff. 1, 7.</w:t>
      </w:r>
    </w:p>
    <w:p w:rsidR="002C5A78" w:rsidRDefault="002C5A78" w:rsidP="002C5A78">
      <w:pPr>
        <w:pStyle w:val="SangriaFrancesaArticulo"/>
      </w:pPr>
      <w:r w:rsidRPr="002C5A78">
        <w:rPr>
          <w:rStyle w:val="TextoNormalNegritaCaracter"/>
        </w:rPr>
        <w:t>Artículo ter.3.</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13.3.</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16.1.</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32.4.</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34.2.</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37 quater.</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37 ter.1.</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Artículo 47.2.</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Disposición adicional decimoctava, apartado 2.</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Disposición adicional duodécima.</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Disposición adicional decimoquinta, apartado 2.</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p>
    <w:p w:rsidR="002C5A78" w:rsidRDefault="002C5A78" w:rsidP="002C5A78">
      <w:pPr>
        <w:pStyle w:val="TextoNormalNegritaCursivandice"/>
        <w:keepNext/>
      </w:pPr>
      <w:r>
        <w:t>Real Decreto Legislativo 1/1994, de 20 de junio. Texto refundido de la Ley general de la Seguridad Social</w:t>
      </w:r>
    </w:p>
    <w:p w:rsidR="002C5A78" w:rsidRDefault="002C5A78" w:rsidP="002C5A78">
      <w:pPr>
        <w:pStyle w:val="SangriaFrancesaArticulo"/>
      </w:pPr>
      <w:r w:rsidRPr="002C5A78">
        <w:rPr>
          <w:rStyle w:val="TextoNormalNegritaCaracter"/>
        </w:rPr>
        <w:t>Artículo 174.</w:t>
      </w:r>
      <w:r w:rsidRPr="002C5A78">
        <w:rPr>
          <w:rStyle w:val="TextoNormalCaracter"/>
        </w:rPr>
        <w:t>-</w:t>
      </w:r>
      <w:r>
        <w:t xml:space="preserve"> Sentencia </w:t>
      </w:r>
      <w:hyperlink w:anchor="SENTENCIA_2021_1" w:history="1">
        <w:r w:rsidRPr="002C5A78">
          <w:rPr>
            <w:rStyle w:val="TextoNormalCaracter"/>
          </w:rPr>
          <w:t>1/2021</w:t>
        </w:r>
      </w:hyperlink>
      <w:r>
        <w:t>, f. 5.</w:t>
      </w:r>
    </w:p>
    <w:p w:rsidR="002C5A78" w:rsidRDefault="002C5A78" w:rsidP="002C5A78">
      <w:pPr>
        <w:pStyle w:val="SangriaFrancesaArticulo"/>
      </w:pPr>
      <w:r w:rsidRPr="002C5A78">
        <w:rPr>
          <w:rStyle w:val="TextoNormalNegritaCaracter"/>
        </w:rPr>
        <w:t>Artículo 174.3.</w:t>
      </w:r>
      <w:r w:rsidRPr="002C5A78">
        <w:rPr>
          <w:rStyle w:val="TextoNormalCaracter"/>
        </w:rPr>
        <w:t>-</w:t>
      </w:r>
      <w:r>
        <w:t xml:space="preserve"> Sentencia </w:t>
      </w:r>
      <w:hyperlink w:anchor="SENTENCIA_2021_1" w:history="1">
        <w:r w:rsidRPr="002C5A78">
          <w:rPr>
            <w:rStyle w:val="TextoNormalCaracter"/>
          </w:rPr>
          <w:t>1/2021</w:t>
        </w:r>
      </w:hyperlink>
      <w:r>
        <w:t>, ff. 1, 5.</w:t>
      </w:r>
    </w:p>
    <w:p w:rsidR="002C5A78" w:rsidRDefault="002C5A78" w:rsidP="002C5A78">
      <w:pPr>
        <w:pStyle w:val="SangriaFrancesaArticulo"/>
      </w:pPr>
    </w:p>
    <w:p w:rsidR="002C5A78" w:rsidRDefault="002C5A78" w:rsidP="002C5A78">
      <w:pPr>
        <w:pStyle w:val="TextoNormalNegritaCursivandice"/>
        <w:keepNext/>
      </w:pPr>
      <w:r>
        <w:t>Real Decreto Legislativo 5/2000, de 4 de agosto. Texto refundido de la Ley sobre infracciones y sanciones en el orden social</w:t>
      </w:r>
    </w:p>
    <w:p w:rsidR="002C5A78" w:rsidRDefault="002C5A78" w:rsidP="002C5A78">
      <w:pPr>
        <w:pStyle w:val="SangriaFrancesaArticulo"/>
      </w:pPr>
      <w:r w:rsidRPr="002C5A78">
        <w:rPr>
          <w:rStyle w:val="TextoNormalNegritaCaracter"/>
        </w:rPr>
        <w:t>Artículo 8.11.</w:t>
      </w:r>
      <w:r w:rsidRPr="002C5A78">
        <w:rPr>
          <w:rStyle w:val="TextoNormalCaracter"/>
        </w:rPr>
        <w:t>-</w:t>
      </w:r>
      <w:r>
        <w:t xml:space="preserve"> Sentencia </w:t>
      </w:r>
      <w:hyperlink w:anchor="SENTENCIA_2021_61" w:history="1">
        <w:r w:rsidRPr="002C5A78">
          <w:rPr>
            <w:rStyle w:val="TextoNormalCaracter"/>
          </w:rPr>
          <w:t>61/2021</w:t>
        </w:r>
      </w:hyperlink>
      <w:r>
        <w:t>, f. 6.</w:t>
      </w:r>
    </w:p>
    <w:p w:rsidR="002C5A78" w:rsidRDefault="002C5A78" w:rsidP="002C5A78">
      <w:pPr>
        <w:pStyle w:val="SangriaFrancesaArticulo"/>
      </w:pPr>
      <w:r w:rsidRPr="002C5A78">
        <w:rPr>
          <w:rStyle w:val="TextoNormalNegritaCaracter"/>
        </w:rPr>
        <w:t>Artículo 40.1.</w:t>
      </w:r>
      <w:r w:rsidRPr="002C5A78">
        <w:rPr>
          <w:rStyle w:val="TextoNormalCaracter"/>
        </w:rPr>
        <w:t>-</w:t>
      </w:r>
      <w:r>
        <w:t xml:space="preserve"> Sentencia </w:t>
      </w:r>
      <w:hyperlink w:anchor="SENTENCIA_2021_61" w:history="1">
        <w:r w:rsidRPr="002C5A78">
          <w:rPr>
            <w:rStyle w:val="TextoNormalCaracter"/>
          </w:rPr>
          <w:t>61/2021</w:t>
        </w:r>
      </w:hyperlink>
      <w:r>
        <w:t>, f. 6.</w:t>
      </w:r>
    </w:p>
    <w:p w:rsidR="002C5A78" w:rsidRDefault="002C5A78" w:rsidP="002C5A78">
      <w:pPr>
        <w:pStyle w:val="SangriaFrancesaArticulo"/>
      </w:pPr>
      <w:r w:rsidRPr="002C5A78">
        <w:rPr>
          <w:rStyle w:val="TextoNormalNegritaCaracter"/>
        </w:rPr>
        <w:t>Artículo 40.1 c).</w:t>
      </w:r>
      <w:r w:rsidRPr="002C5A78">
        <w:rPr>
          <w:rStyle w:val="TextoNormalCaracter"/>
        </w:rPr>
        <w:t>-</w:t>
      </w:r>
      <w:r>
        <w:t xml:space="preserve"> Sentencia </w:t>
      </w:r>
      <w:hyperlink w:anchor="SENTENCIA_2021_61" w:history="1">
        <w:r w:rsidRPr="002C5A78">
          <w:rPr>
            <w:rStyle w:val="TextoNormalCaracter"/>
          </w:rPr>
          <w:t>61/2021</w:t>
        </w:r>
      </w:hyperlink>
      <w:r>
        <w:t>, f. 6.</w:t>
      </w:r>
    </w:p>
    <w:p w:rsidR="002C5A78" w:rsidRDefault="002C5A78" w:rsidP="002C5A78">
      <w:pPr>
        <w:pStyle w:val="SangriaFrancesaArticulo"/>
      </w:pPr>
    </w:p>
    <w:p w:rsidR="002C5A78" w:rsidRDefault="002C5A78" w:rsidP="002C5A78">
      <w:pPr>
        <w:pStyle w:val="TextoNormalNegritaCursivandice"/>
        <w:keepNext/>
      </w:pPr>
      <w:r>
        <w:t>Real Decreto Legislativo 2/2004, de 5 de marzo, por el que se aprueba el texto refundido de la Ley reguladora de las haciendas locales</w:t>
      </w:r>
    </w:p>
    <w:p w:rsidR="002C5A78" w:rsidRDefault="002C5A78" w:rsidP="002C5A78">
      <w:pPr>
        <w:pStyle w:val="SangriaFrancesaArticulo"/>
      </w:pPr>
      <w:r w:rsidRPr="002C5A78">
        <w:rPr>
          <w:rStyle w:val="TextoNormalNegritaCaracter"/>
        </w:rPr>
        <w:t>Artículo 38.2.</w:t>
      </w:r>
      <w:r w:rsidRPr="002C5A78">
        <w:rPr>
          <w:rStyle w:val="TextoNormalCaracter"/>
        </w:rPr>
        <w:t>-</w:t>
      </w:r>
      <w:r>
        <w:t xml:space="preserve"> Sentencia </w:t>
      </w:r>
      <w:hyperlink w:anchor="SENTENCIA_2021_125" w:history="1">
        <w:r w:rsidRPr="002C5A78">
          <w:rPr>
            <w:rStyle w:val="TextoNormalCaracter"/>
          </w:rPr>
          <w:t>125/2021</w:t>
        </w:r>
      </w:hyperlink>
      <w:r>
        <w:t>, f. 7.</w:t>
      </w:r>
    </w:p>
    <w:p w:rsidR="002C5A78" w:rsidRDefault="002C5A78" w:rsidP="002C5A78">
      <w:pPr>
        <w:pStyle w:val="SangriaFrancesaArticulo"/>
      </w:pPr>
    </w:p>
    <w:p w:rsidR="002C5A78" w:rsidRDefault="002C5A78" w:rsidP="002C5A78">
      <w:pPr>
        <w:pStyle w:val="TextoNormalNegritaCursivandice"/>
        <w:keepNext/>
      </w:pPr>
      <w:r>
        <w:t>Real Decreto Legislativo 4/2004, de 5 de marzo. Aprueba el texto refundido de la Ley del impuesto sobre sociedades</w:t>
      </w:r>
    </w:p>
    <w:p w:rsidR="002C5A78" w:rsidRDefault="002C5A78" w:rsidP="002C5A78">
      <w:pPr>
        <w:pStyle w:val="SangriaFrancesaArticulo"/>
      </w:pPr>
      <w:r w:rsidRPr="002C5A78">
        <w:rPr>
          <w:rStyle w:val="TextoNormalNegritaCaracter"/>
        </w:rPr>
        <w:t>Artículo 16.2.</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SangriaFrancesaArticulo"/>
      </w:pPr>
      <w:r w:rsidRPr="002C5A78">
        <w:rPr>
          <w:rStyle w:val="TextoNormalNegritaCaracter"/>
        </w:rPr>
        <w:t>Artículo 16.10.</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SangriaFrancesaArticulo"/>
      </w:pPr>
    </w:p>
    <w:p w:rsidR="002C5A78" w:rsidRDefault="002C5A78" w:rsidP="002C5A78">
      <w:pPr>
        <w:pStyle w:val="TextoNormalNegritaCursivandice"/>
        <w:keepNext/>
      </w:pPr>
      <w:r>
        <w:t>Real Decreto Legislativo 1/2007, de 16 de noviembre. Texto refundido de la Ley general para la defensa de los consumidores y usuarios y otras leyes complementarias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8.1 b).</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10.</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17.1.</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59.1.</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r w:rsidRPr="002C5A78">
        <w:rPr>
          <w:rStyle w:val="TextoNormalNegritaCaracter"/>
        </w:rPr>
        <w:t>Artículo 59.2.</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r w:rsidRPr="002C5A78">
        <w:rPr>
          <w:rStyle w:val="TextoNormalNegritaCaracter"/>
        </w:rPr>
        <w:t>Artículo 63.3.</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r w:rsidRPr="002C5A78">
        <w:rPr>
          <w:rStyle w:val="TextoNormalNegritaCaracter"/>
        </w:rPr>
        <w:t>Artículos 82 y siguientes.</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85.4.</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 86.</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Disposición final primera, apartado tercero.</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p>
    <w:p w:rsidR="002C5A78" w:rsidRDefault="002C5A78" w:rsidP="002C5A78">
      <w:pPr>
        <w:pStyle w:val="TextoNormalNegritaCursivandice"/>
        <w:keepNext/>
      </w:pPr>
      <w:r>
        <w:t>Real Decreto Legislativo 2/2008, de 20 de junio. Texto refundido de la Ley de suelo</w:t>
      </w:r>
    </w:p>
    <w:p w:rsidR="002C5A78" w:rsidRDefault="002C5A78" w:rsidP="002C5A78">
      <w:pPr>
        <w:pStyle w:val="SangriaFrancesaArticulo"/>
      </w:pPr>
      <w:r w:rsidRPr="002C5A78">
        <w:rPr>
          <w:rStyle w:val="TextoNormalNegritaCaracter"/>
        </w:rPr>
        <w:t>Artículo 10.1 b).</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10.1 b)</w:t>
      </w:r>
      <w:r>
        <w:t xml:space="preserve"> (redactado por la Ley 8/2013, de 26 de junio)</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p>
    <w:p w:rsidR="002C5A78" w:rsidRDefault="002C5A78" w:rsidP="002C5A78">
      <w:pPr>
        <w:pStyle w:val="TextoNormalNegritaCursivandice"/>
        <w:keepNext/>
      </w:pPr>
      <w:r>
        <w:t>Real Decreto Legislativo 2/2011, de 5 de septiembre, por el que se aprueba el texto refundido de la Ley de puertos del Estado y de la marina mercante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5" w:history="1">
        <w:r w:rsidRPr="002C5A78">
          <w:rPr>
            <w:rStyle w:val="TextoNormalCaracter"/>
          </w:rPr>
          <w:t>125/2021</w:t>
        </w:r>
      </w:hyperlink>
      <w:r>
        <w:t>, f. 3.</w:t>
      </w:r>
    </w:p>
    <w:p w:rsidR="002C5A78" w:rsidRDefault="002C5A78" w:rsidP="002C5A78">
      <w:pPr>
        <w:pStyle w:val="SangriaFrancesaArticulo"/>
      </w:pPr>
      <w:r w:rsidRPr="002C5A78">
        <w:rPr>
          <w:rStyle w:val="TextoNormalNegritaCaracter"/>
        </w:rPr>
        <w:t>Artículo 161.2 c).</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164.2 c).</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194.</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Artículos 194 a 204.</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195.1.</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195.2.</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196.</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197.</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198.</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199.</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200.1.</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p>
    <w:p w:rsidR="002C5A78" w:rsidRDefault="002C5A78" w:rsidP="002C5A78">
      <w:pPr>
        <w:pStyle w:val="TextoNormalNegritaCursivandice"/>
        <w:keepNext/>
      </w:pPr>
      <w:r>
        <w:t>Real Decreto Legislativo 1/2013, de 29 de noviembre, por el que se aprueba el texto refundido de la Ley general de derechos de las personas con discapacidad y de su inclusión social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Título III.</w:t>
      </w:r>
      <w:r w:rsidRPr="002C5A78">
        <w:rPr>
          <w:rStyle w:val="TextoNormalCaracter"/>
        </w:rPr>
        <w:t>-</w:t>
      </w:r>
      <w:r>
        <w:t xml:space="preserve"> Sentencia </w:t>
      </w:r>
      <w:hyperlink w:anchor="SENTENCIA_2021_51" w:history="1">
        <w:r w:rsidRPr="002C5A78">
          <w:rPr>
            <w:rStyle w:val="TextoNormalCaracter"/>
          </w:rPr>
          <w:t>51/2021</w:t>
        </w:r>
      </w:hyperlink>
      <w:r>
        <w:t>, f. 6.</w:t>
      </w:r>
    </w:p>
    <w:p w:rsidR="002C5A78" w:rsidRDefault="002C5A78" w:rsidP="002C5A78">
      <w:pPr>
        <w:pStyle w:val="SangriaFrancesaArticulo"/>
      </w:pPr>
      <w:r w:rsidRPr="002C5A78">
        <w:rPr>
          <w:rStyle w:val="TextoNormalNegritaCaracter"/>
        </w:rPr>
        <w:t>Artículo 2 c).</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2 d).</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2 m).</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3 a).</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51" w:history="1">
        <w:r w:rsidRPr="002C5A78">
          <w:rPr>
            <w:rStyle w:val="TextoNormalCaracter"/>
          </w:rPr>
          <w:t>51/2021</w:t>
        </w:r>
      </w:hyperlink>
      <w:r>
        <w:t>, ff. 3, 4.</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r w:rsidRPr="002C5A78">
        <w:rPr>
          <w:rStyle w:val="TextoNormalNegritaCaracter"/>
        </w:rPr>
        <w:t>Artículo 35.</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r w:rsidRPr="002C5A78">
        <w:rPr>
          <w:rStyle w:val="TextoNormalNegritaCaracter"/>
        </w:rPr>
        <w:t>Artículo 66.</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77.2.</w:t>
      </w:r>
      <w:r w:rsidRPr="002C5A78">
        <w:rPr>
          <w:rStyle w:val="TextoNormalCaracter"/>
        </w:rPr>
        <w:t>-</w:t>
      </w:r>
      <w:r>
        <w:t xml:space="preserve"> Sentencia </w:t>
      </w:r>
      <w:hyperlink w:anchor="SENTENCIA_2021_51" w:history="1">
        <w:r w:rsidRPr="002C5A78">
          <w:rPr>
            <w:rStyle w:val="TextoNormalCaracter"/>
          </w:rPr>
          <w:t>51/2021</w:t>
        </w:r>
      </w:hyperlink>
      <w:r>
        <w:t>, f. 6.</w:t>
      </w:r>
    </w:p>
    <w:p w:rsidR="002C5A78" w:rsidRDefault="002C5A78" w:rsidP="002C5A78">
      <w:pPr>
        <w:pStyle w:val="SangriaFrancesaArticulo"/>
      </w:pPr>
    </w:p>
    <w:p w:rsidR="002C5A78" w:rsidRDefault="002C5A78" w:rsidP="002C5A78">
      <w:pPr>
        <w:pStyle w:val="TextoNormalNegritaCursivandice"/>
        <w:keepNext/>
      </w:pPr>
      <w:r>
        <w:t>Real Decreto Legislativo 2/2015, de 23 de octubre. Texto refundido de la Ley del estatuto de los trabajadores</w:t>
      </w:r>
    </w:p>
    <w:p w:rsidR="002C5A78" w:rsidRDefault="002C5A78" w:rsidP="002C5A78">
      <w:pPr>
        <w:pStyle w:val="SangriaFrancesaArticulo"/>
      </w:pPr>
      <w:r w:rsidRPr="002C5A78">
        <w:rPr>
          <w:rStyle w:val="TextoNormalNegritaCaracter"/>
        </w:rPr>
        <w:t>Título III.</w:t>
      </w:r>
      <w:r w:rsidRPr="002C5A78">
        <w:rPr>
          <w:rStyle w:val="TextoNormalCaracter"/>
        </w:rPr>
        <w:t>-</w:t>
      </w:r>
      <w:r>
        <w:t xml:space="preserve"> Sentencia </w:t>
      </w:r>
      <w:hyperlink w:anchor="SENTENCIA_2021_130" w:history="1">
        <w:r w:rsidRPr="002C5A78">
          <w:rPr>
            <w:rStyle w:val="TextoNormalCaracter"/>
          </w:rPr>
          <w:t>130/2021</w:t>
        </w:r>
      </w:hyperlink>
      <w:r>
        <w:t>, f. 4.</w:t>
      </w:r>
    </w:p>
    <w:p w:rsidR="002C5A78" w:rsidRDefault="002C5A78" w:rsidP="002C5A78">
      <w:pPr>
        <w:pStyle w:val="SangriaFrancesaArticulo"/>
      </w:pPr>
      <w:r w:rsidRPr="002C5A78">
        <w:rPr>
          <w:rStyle w:val="TextoNormalNegritaCaracter"/>
        </w:rPr>
        <w:t>Artículo 87.</w:t>
      </w:r>
      <w:r w:rsidRPr="002C5A78">
        <w:rPr>
          <w:rStyle w:val="TextoNormalCaracter"/>
        </w:rPr>
        <w:t>-</w:t>
      </w:r>
      <w:r>
        <w:t xml:space="preserve"> Sentencia </w:t>
      </w:r>
      <w:hyperlink w:anchor="SENTENCIA_2021_130" w:history="1">
        <w:r w:rsidRPr="002C5A78">
          <w:rPr>
            <w:rStyle w:val="TextoNormalCaracter"/>
          </w:rPr>
          <w:t>130/2021</w:t>
        </w:r>
      </w:hyperlink>
      <w:r>
        <w:t>, f. 4.</w:t>
      </w:r>
    </w:p>
    <w:p w:rsidR="002C5A78" w:rsidRDefault="002C5A78" w:rsidP="002C5A78">
      <w:pPr>
        <w:pStyle w:val="SangriaFrancesaArticulo"/>
      </w:pPr>
      <w:r w:rsidRPr="002C5A78">
        <w:rPr>
          <w:rStyle w:val="TextoNormalNegritaCaracter"/>
        </w:rPr>
        <w:t>Artículo 88.4.</w:t>
      </w:r>
      <w:r w:rsidRPr="002C5A78">
        <w:rPr>
          <w:rStyle w:val="TextoNormalCaracter"/>
        </w:rPr>
        <w:t>-</w:t>
      </w:r>
      <w:r>
        <w:t xml:space="preserve"> Sentencia </w:t>
      </w:r>
      <w:hyperlink w:anchor="SENTENCIA_2021_130" w:history="1">
        <w:r w:rsidRPr="002C5A78">
          <w:rPr>
            <w:rStyle w:val="TextoNormalCaracter"/>
          </w:rPr>
          <w:t>130/2021</w:t>
        </w:r>
      </w:hyperlink>
      <w:r>
        <w:t>, f. 4.</w:t>
      </w:r>
    </w:p>
    <w:p w:rsidR="002C5A78" w:rsidRDefault="002C5A78" w:rsidP="002C5A78">
      <w:pPr>
        <w:pStyle w:val="SangriaFrancesaArticulo"/>
      </w:pPr>
    </w:p>
    <w:p w:rsidR="002C5A78" w:rsidRDefault="002C5A78" w:rsidP="002C5A78">
      <w:pPr>
        <w:pStyle w:val="TextoNormalNegritaCursivandice"/>
        <w:keepNext/>
      </w:pPr>
      <w:r>
        <w:t>Real Decreto Legislativo 3/2015, de 23 de octubre. Aprueba el texto refundido de la Ley de empleo</w:t>
      </w:r>
    </w:p>
    <w:p w:rsidR="002C5A78" w:rsidRDefault="002C5A78" w:rsidP="002C5A78">
      <w:pPr>
        <w:pStyle w:val="SangriaFrancesaArticulo"/>
      </w:pPr>
      <w:r w:rsidRPr="002C5A78">
        <w:rPr>
          <w:rStyle w:val="TextoNormalNegritaCaracter"/>
        </w:rPr>
        <w:t>Artículo 40.7.</w:t>
      </w:r>
      <w:r w:rsidRPr="002C5A78">
        <w:rPr>
          <w:rStyle w:val="TextoNormalCaracter"/>
        </w:rPr>
        <w:t>-</w:t>
      </w:r>
      <w:r>
        <w:t xml:space="preserve"> Sentencia </w:t>
      </w:r>
      <w:hyperlink w:anchor="SENTENCIA_2021_39" w:history="1">
        <w:r w:rsidRPr="002C5A78">
          <w:rPr>
            <w:rStyle w:val="TextoNormalCaracter"/>
          </w:rPr>
          <w:t>39/2021</w:t>
        </w:r>
      </w:hyperlink>
      <w:r>
        <w:t>, f. 2.</w:t>
      </w:r>
    </w:p>
    <w:p w:rsidR="002C5A78" w:rsidRDefault="002C5A78" w:rsidP="002C5A78">
      <w:pPr>
        <w:pStyle w:val="SangriaFrancesaArticulo"/>
      </w:pPr>
    </w:p>
    <w:p w:rsidR="002C5A78" w:rsidRDefault="002C5A78" w:rsidP="002C5A78">
      <w:pPr>
        <w:pStyle w:val="TextoNormalNegritaCursivandice"/>
        <w:keepNext/>
      </w:pPr>
      <w:r>
        <w:t>Real Decreto Legislativo 5/2015, de 30 de octubre, por el que se aprueba el texto refundido de la Ley del estatuto básico del empleado público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8" w:history="1">
        <w:r w:rsidRPr="002C5A78">
          <w:rPr>
            <w:rStyle w:val="TextoNormalCaracter"/>
          </w:rPr>
          <w:t>38/2021</w:t>
        </w:r>
      </w:hyperlink>
      <w:r>
        <w:t xml:space="preserve">, f. 3; </w:t>
      </w:r>
      <w:hyperlink w:anchor="SENTENCIA_2021_109" w:history="1">
        <w:r w:rsidRPr="002C5A78">
          <w:rPr>
            <w:rStyle w:val="TextoNormalCaracter"/>
          </w:rPr>
          <w:t>109/2021</w:t>
        </w:r>
      </w:hyperlink>
      <w:r>
        <w:t>, f. 4.</w:t>
      </w:r>
    </w:p>
    <w:p w:rsidR="002C5A78" w:rsidRDefault="002C5A78" w:rsidP="002C5A78">
      <w:pPr>
        <w:pStyle w:val="SangriaFrancesaArticulo"/>
      </w:pPr>
      <w:r w:rsidRPr="002C5A78">
        <w:rPr>
          <w:rStyle w:val="TextoNormalNegritaCaracter"/>
        </w:rPr>
        <w:t>Artículo 59.2.</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r w:rsidRPr="002C5A78">
        <w:rPr>
          <w:rStyle w:val="TextoNormalNegritaCaracter"/>
        </w:rPr>
        <w:t>Artículo 61.1.</w:t>
      </w:r>
      <w:r w:rsidRPr="002C5A78">
        <w:rPr>
          <w:rStyle w:val="TextoNormalCaracter"/>
        </w:rPr>
        <w:t>-</w:t>
      </w:r>
      <w:r>
        <w:t xml:space="preserve"> Sentencia </w:t>
      </w:r>
      <w:hyperlink w:anchor="SENTENCIA_2021_38" w:history="1">
        <w:r w:rsidRPr="002C5A78">
          <w:rPr>
            <w:rStyle w:val="TextoNormalCaracter"/>
          </w:rPr>
          <w:t>38/2021</w:t>
        </w:r>
      </w:hyperlink>
      <w:r>
        <w:t>, ff. 1 a 4.</w:t>
      </w:r>
    </w:p>
    <w:p w:rsidR="002C5A78" w:rsidRDefault="002C5A78" w:rsidP="002C5A78">
      <w:pPr>
        <w:pStyle w:val="SangriaFrancesaArticulo"/>
      </w:pPr>
      <w:r w:rsidRPr="002C5A78">
        <w:rPr>
          <w:rStyle w:val="TextoNormalNegritaCaracter"/>
        </w:rPr>
        <w:t>Artículo 61.3.</w:t>
      </w:r>
      <w:r w:rsidRPr="002C5A78">
        <w:rPr>
          <w:rStyle w:val="TextoNormalCaracter"/>
        </w:rPr>
        <w:t>-</w:t>
      </w:r>
      <w:r>
        <w:t xml:space="preserve"> Sentencia </w:t>
      </w:r>
      <w:hyperlink w:anchor="SENTENCIA_2021_38" w:history="1">
        <w:r w:rsidRPr="002C5A78">
          <w:rPr>
            <w:rStyle w:val="TextoNormalCaracter"/>
          </w:rPr>
          <w:t>38/2021</w:t>
        </w:r>
      </w:hyperlink>
      <w:r>
        <w:t>, ff. 1 a 4.</w:t>
      </w:r>
    </w:p>
    <w:p w:rsidR="002C5A78" w:rsidRDefault="002C5A78" w:rsidP="002C5A78">
      <w:pPr>
        <w:pStyle w:val="SangriaFrancesaArticulo"/>
      </w:pPr>
      <w:r w:rsidRPr="002C5A78">
        <w:rPr>
          <w:rStyle w:val="TextoNormalNegritaCaracter"/>
        </w:rPr>
        <w:t>Disposición transitoria cuarta.</w:t>
      </w:r>
      <w:r w:rsidRPr="002C5A78">
        <w:rPr>
          <w:rStyle w:val="TextoNormalCaracter"/>
        </w:rPr>
        <w:t>-</w:t>
      </w:r>
      <w:r>
        <w:t xml:space="preserve"> Sentencia </w:t>
      </w:r>
      <w:hyperlink w:anchor="SENTENCIA_2021_38" w:history="1">
        <w:r w:rsidRPr="002C5A78">
          <w:rPr>
            <w:rStyle w:val="TextoNormalCaracter"/>
          </w:rPr>
          <w:t>38/2021</w:t>
        </w:r>
      </w:hyperlink>
      <w:r>
        <w:t>, ff. 1 a 4.</w:t>
      </w:r>
    </w:p>
    <w:p w:rsidR="002C5A78" w:rsidRDefault="002C5A78" w:rsidP="002C5A78">
      <w:pPr>
        <w:pStyle w:val="SangriaFrancesaArticulo"/>
      </w:pPr>
      <w:r w:rsidRPr="002C5A78">
        <w:rPr>
          <w:rStyle w:val="TextoNormalNegritaCaracter"/>
        </w:rPr>
        <w:t>Disposición transitoria cuarta, apartado 3.</w:t>
      </w:r>
      <w:r w:rsidRPr="002C5A78">
        <w:rPr>
          <w:rStyle w:val="TextoNormalCaracter"/>
        </w:rPr>
        <w:t>-</w:t>
      </w:r>
      <w:r>
        <w:t xml:space="preserve"> Sentencia </w:t>
      </w:r>
      <w:hyperlink w:anchor="SENTENCIA_2021_38" w:history="1">
        <w:r w:rsidRPr="002C5A78">
          <w:rPr>
            <w:rStyle w:val="TextoNormalCaracter"/>
          </w:rPr>
          <w:t>38/2021</w:t>
        </w:r>
      </w:hyperlink>
      <w:r>
        <w:t>, ff. 1, 4.</w:t>
      </w:r>
    </w:p>
    <w:p w:rsidR="002C5A78" w:rsidRDefault="002C5A78" w:rsidP="002C5A78">
      <w:pPr>
        <w:pStyle w:val="SangriaFrancesaArticulo"/>
      </w:pPr>
      <w:r w:rsidRPr="002C5A78">
        <w:rPr>
          <w:rStyle w:val="TextoNormalNegritaCaracter"/>
        </w:rPr>
        <w:t>Disposición derogatoria única, apartado b).</w:t>
      </w:r>
      <w:r w:rsidRPr="002C5A78">
        <w:rPr>
          <w:rStyle w:val="TextoNormalCaracter"/>
        </w:rPr>
        <w:t>-</w:t>
      </w:r>
      <w:r>
        <w:t xml:space="preserve"> Sentencia </w:t>
      </w:r>
      <w:hyperlink w:anchor="SENTENCIA_2021_38" w:history="1">
        <w:r w:rsidRPr="002C5A78">
          <w:rPr>
            <w:rStyle w:val="TextoNormalCaracter"/>
          </w:rPr>
          <w:t>38/2021</w:t>
        </w:r>
      </w:hyperlink>
      <w:r>
        <w:t>, f. 4.</w:t>
      </w:r>
    </w:p>
    <w:p w:rsidR="002C5A78" w:rsidRDefault="002C5A78" w:rsidP="002C5A78">
      <w:pPr>
        <w:pStyle w:val="SangriaFrancesaArticulo"/>
      </w:pPr>
      <w:r w:rsidRPr="002C5A78">
        <w:rPr>
          <w:rStyle w:val="TextoNormalNegritaCaracter"/>
        </w:rPr>
        <w:t>Disposición final cuarta, apartado 2.</w:t>
      </w:r>
      <w:r w:rsidRPr="002C5A78">
        <w:rPr>
          <w:rStyle w:val="TextoNormalCaracter"/>
        </w:rPr>
        <w:t>-</w:t>
      </w:r>
      <w:r>
        <w:t xml:space="preserve"> Sentencia </w:t>
      </w:r>
      <w:hyperlink w:anchor="SENTENCIA_2021_38" w:history="1">
        <w:r w:rsidRPr="002C5A78">
          <w:rPr>
            <w:rStyle w:val="TextoNormalCaracter"/>
          </w:rPr>
          <w:t>38/2021</w:t>
        </w:r>
      </w:hyperlink>
      <w:r>
        <w:t>, f. 4.</w:t>
      </w:r>
    </w:p>
    <w:p w:rsidR="002C5A78" w:rsidRDefault="002C5A78" w:rsidP="002C5A78">
      <w:pPr>
        <w:pStyle w:val="SangriaFrancesaArticulo"/>
      </w:pPr>
    </w:p>
    <w:p w:rsidR="002C5A78" w:rsidRDefault="002C5A78" w:rsidP="002C5A78">
      <w:pPr>
        <w:pStyle w:val="TextoNormalNegritaCursivandice"/>
        <w:keepNext/>
      </w:pPr>
      <w:r>
        <w:t>Real Decreto Legislativo 7/2015, de 30 de octubre. Texto refundido de la Ley de suelo y rehabilitación urbana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7.1 a) 2.</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11.2.</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12.1.</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14.1 c).</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15.1 a).</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17.2.</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18.3.</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20.1.</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20.1 b).</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20.1 b), párrafo primero.</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20.1 b), párrafo segundo, primer inciso.</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20.1 b), párrafo segundo, segundo inciso.</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20.1 c).</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48.</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Disposición final segunda, apartado primero.</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TextoNormal"/>
      </w:pPr>
    </w:p>
    <w:p w:rsidR="002C5A78" w:rsidRDefault="002C5A78" w:rsidP="002C5A78">
      <w:pPr>
        <w:pStyle w:val="SangriaFrancesaArticulo"/>
      </w:pPr>
      <w:bookmarkStart w:id="222" w:name="INDICE22848"/>
    </w:p>
    <w:bookmarkEnd w:id="222"/>
    <w:p w:rsidR="002C5A78" w:rsidRDefault="002C5A78" w:rsidP="002C5A78">
      <w:pPr>
        <w:pStyle w:val="TextoIndiceNivel2"/>
        <w:suppressAutoHyphens/>
      </w:pPr>
      <w:r>
        <w:t>G) Reales Decretos-leyes</w:t>
      </w:r>
    </w:p>
    <w:p w:rsidR="002C5A78" w:rsidRDefault="002C5A78" w:rsidP="002C5A78">
      <w:pPr>
        <w:pStyle w:val="TextoIndiceNivel2"/>
      </w:pPr>
    </w:p>
    <w:p w:rsidR="002C5A78" w:rsidRDefault="002C5A78" w:rsidP="002C5A78">
      <w:pPr>
        <w:pStyle w:val="TextoNormalNegritaCursivandice"/>
        <w:keepNext/>
      </w:pPr>
      <w:r>
        <w:t>Real Decreto-ley 3/1979, de 26 de enero, sobre protección de la seguridad ciudadana</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SangriaFrancesaArticulo"/>
      </w:pPr>
    </w:p>
    <w:p w:rsidR="002C5A78" w:rsidRDefault="002C5A78" w:rsidP="002C5A78">
      <w:pPr>
        <w:pStyle w:val="TextoNormalNegritaCursivandice"/>
        <w:keepNext/>
      </w:pPr>
      <w:r>
        <w:t>Real Decreto-ley 22/1982, de 7 de diciembre. Medidas urgentes de reforma administrativa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4" w:history="1">
        <w:r w:rsidRPr="002C5A78">
          <w:rPr>
            <w:rStyle w:val="TextoNormalCaracter"/>
          </w:rPr>
          <w:t>124/2021</w:t>
        </w:r>
      </w:hyperlink>
      <w:r>
        <w:t>, VP.</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24" w:history="1">
        <w:r w:rsidRPr="002C5A78">
          <w:rPr>
            <w:rStyle w:val="TextoNormalCaracter"/>
          </w:rPr>
          <w:t>124/2021</w:t>
        </w:r>
      </w:hyperlink>
      <w:r>
        <w:t>, VP.</w:t>
      </w:r>
    </w:p>
    <w:p w:rsidR="002C5A78" w:rsidRDefault="002C5A78" w:rsidP="002C5A78">
      <w:pPr>
        <w:pStyle w:val="SangriaFrancesaArticulo"/>
      </w:pPr>
    </w:p>
    <w:p w:rsidR="002C5A78" w:rsidRDefault="002C5A78" w:rsidP="002C5A78">
      <w:pPr>
        <w:pStyle w:val="TextoNormalNegritaCursivandice"/>
        <w:keepNext/>
      </w:pPr>
      <w:r>
        <w:t>Real Decreto-ley 8/1983, de 30 de noviembre. Reconversión y reindustrialización de industrias en general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4.</w:t>
      </w:r>
    </w:p>
    <w:p w:rsidR="002C5A78" w:rsidRDefault="002C5A78" w:rsidP="002C5A78">
      <w:pPr>
        <w:pStyle w:val="SangriaFrancesaArticulo"/>
      </w:pPr>
    </w:p>
    <w:p w:rsidR="002C5A78" w:rsidRDefault="002C5A78" w:rsidP="002C5A78">
      <w:pPr>
        <w:pStyle w:val="TextoNormalNegritaCursivandice"/>
        <w:keepNext/>
      </w:pPr>
      <w:r>
        <w:t>Real Decreto-ley 3/1987, de 11 de septiembre. Régimen retributivo del personal estatutario del Instituto nacional de la salud</w:t>
      </w:r>
    </w:p>
    <w:p w:rsidR="002C5A78" w:rsidRDefault="002C5A78" w:rsidP="002C5A78">
      <w:pPr>
        <w:pStyle w:val="SangriaFrancesaArticulo"/>
      </w:pPr>
      <w:r w:rsidRPr="002C5A78">
        <w:rPr>
          <w:rStyle w:val="TextoNormalNegritaCaracter"/>
        </w:rPr>
        <w:t>Artículo 2.3 b).</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p>
    <w:p w:rsidR="002C5A78" w:rsidRDefault="002C5A78" w:rsidP="002C5A78">
      <w:pPr>
        <w:pStyle w:val="TextoNormalNegritaCursivandice"/>
        <w:keepNext/>
      </w:pPr>
      <w:r>
        <w:t>Real Decreto-ley 13/2010, de 3 de diciembre. Actuaciones en el ámbito fiscal, laboral y liberalizadoras para fomentar la inversión y la creación de empleo</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111" w:history="1">
        <w:r w:rsidRPr="002C5A78">
          <w:rPr>
            <w:rStyle w:val="TextoNormalCaracter"/>
          </w:rPr>
          <w:t>111/2021</w:t>
        </w:r>
      </w:hyperlink>
      <w:r>
        <w:t>, ff. 3, 7.</w:t>
      </w:r>
    </w:p>
    <w:p w:rsidR="002C5A78" w:rsidRDefault="002C5A78" w:rsidP="002C5A78">
      <w:pPr>
        <w:pStyle w:val="SangriaFrancesaArticulo"/>
      </w:pPr>
    </w:p>
    <w:p w:rsidR="002C5A78" w:rsidRDefault="002C5A78" w:rsidP="002C5A78">
      <w:pPr>
        <w:pStyle w:val="TextoNormalNegritaCursivandice"/>
        <w:keepNext/>
      </w:pPr>
      <w:r>
        <w:t>Real Decreto-ley 14/2012, de 20 de abril. Medidas urgentes de racionalización del gasto público en el ámbito educativo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VP.</w:t>
      </w:r>
    </w:p>
    <w:p w:rsidR="002C5A78" w:rsidRDefault="002C5A78" w:rsidP="002C5A78">
      <w:pPr>
        <w:pStyle w:val="SangriaFrancesaArticulo"/>
      </w:pPr>
    </w:p>
    <w:p w:rsidR="002C5A78" w:rsidRDefault="002C5A78" w:rsidP="002C5A78">
      <w:pPr>
        <w:pStyle w:val="TextoNormalNegritaCursivandice"/>
        <w:keepNext/>
      </w:pPr>
      <w:r>
        <w:t>Real Decreto-ley 15/2012, de 20 de abril. Modificación del régimen de administración de la Corporación RTVE, previsto en la Ley 17/2006, de 5 de junio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4" w:history="1">
        <w:r w:rsidRPr="002C5A78">
          <w:rPr>
            <w:rStyle w:val="TextoNormalCaracter"/>
          </w:rPr>
          <w:t>134/2021</w:t>
        </w:r>
      </w:hyperlink>
      <w:r>
        <w:t>, ff. 2 a 4.</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34" w:history="1">
        <w:r w:rsidRPr="002C5A78">
          <w:rPr>
            <w:rStyle w:val="TextoNormalCaracter"/>
          </w:rPr>
          <w:t>134/2021</w:t>
        </w:r>
      </w:hyperlink>
      <w:r>
        <w:t>, f. 4.</w:t>
      </w:r>
    </w:p>
    <w:p w:rsidR="002C5A78" w:rsidRDefault="002C5A78" w:rsidP="002C5A78">
      <w:pPr>
        <w:pStyle w:val="SangriaFrancesaArticulo"/>
      </w:pPr>
    </w:p>
    <w:p w:rsidR="002C5A78" w:rsidRDefault="002C5A78" w:rsidP="002C5A78">
      <w:pPr>
        <w:pStyle w:val="TextoNormalNegritaCursivandice"/>
        <w:keepNext/>
      </w:pPr>
      <w:r>
        <w:t>Real Decreto-ley 16/2012, de 20 de abril, de medidas urgentes para garantizar la sostenibilidad del sistema nacional de salud y mejorar la calidad y seguridad de sus prestaciones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VP.</w:t>
      </w:r>
    </w:p>
    <w:p w:rsidR="002C5A78" w:rsidRDefault="002C5A78" w:rsidP="002C5A78">
      <w:pPr>
        <w:pStyle w:val="SangriaFrancesaArticulo"/>
      </w:pPr>
    </w:p>
    <w:p w:rsidR="002C5A78" w:rsidRDefault="002C5A78" w:rsidP="002C5A78">
      <w:pPr>
        <w:pStyle w:val="TextoNormalNegritaCursivandice"/>
        <w:keepNext/>
      </w:pPr>
      <w:r>
        <w:t>Real Decreto-ley 20/2012, de 13 de julio. Medidas para garantizar la estabilidad presupuestaria y de fomento de la competitividad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VP.</w:t>
      </w:r>
    </w:p>
    <w:p w:rsidR="002C5A78" w:rsidRDefault="002C5A78" w:rsidP="002C5A78">
      <w:pPr>
        <w:pStyle w:val="SangriaFrancesaArticulo"/>
      </w:pPr>
    </w:p>
    <w:p w:rsidR="002C5A78" w:rsidRDefault="002C5A78" w:rsidP="002C5A78">
      <w:pPr>
        <w:pStyle w:val="TextoNormalNegritaCursivandice"/>
        <w:keepNext/>
      </w:pPr>
      <w:r>
        <w:t>Real Decreto-ley 7/2013, de 28 de junio, de medidas urgentes de naturaleza tributaria, presupuestaria y de fomento de la investigación, el desarrollo y la innovación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p>
    <w:p w:rsidR="002C5A78" w:rsidRDefault="002C5A78" w:rsidP="002C5A78">
      <w:pPr>
        <w:pStyle w:val="TextoNormalNegritaCursivandice"/>
        <w:keepNext/>
      </w:pPr>
      <w:r>
        <w:t>Real Decreto-ley 8/2014, de 4 de julio. Aprobación de medidas urgentes para el crecimiento, la competitividad y la eficiencia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10" w:history="1">
        <w:r w:rsidRPr="002C5A78">
          <w:rPr>
            <w:rStyle w:val="TextoNormalCaracter"/>
          </w:rPr>
          <w:t>110/2021</w:t>
        </w:r>
      </w:hyperlink>
      <w:r>
        <w:t xml:space="preserve">, VP; </w:t>
      </w:r>
      <w:hyperlink w:anchor="SENTENCIA_2021_111" w:history="1">
        <w:r w:rsidRPr="002C5A78">
          <w:rPr>
            <w:rStyle w:val="TextoNormalCaracter"/>
          </w:rPr>
          <w:t>111/2021</w:t>
        </w:r>
      </w:hyperlink>
      <w:r>
        <w:t>, VP.</w:t>
      </w:r>
    </w:p>
    <w:p w:rsidR="002C5A78" w:rsidRDefault="002C5A78" w:rsidP="002C5A78">
      <w:pPr>
        <w:pStyle w:val="SangriaFrancesaArticulo"/>
      </w:pPr>
    </w:p>
    <w:p w:rsidR="002C5A78" w:rsidRDefault="002C5A78" w:rsidP="002C5A78">
      <w:pPr>
        <w:pStyle w:val="TextoNormalNegritaCursivandice"/>
        <w:keepNext/>
      </w:pPr>
      <w:r>
        <w:t>Real Decreto-ley 11/2014, de 5 de septiembre, de medidas urgentes en materia concursal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p>
    <w:p w:rsidR="002C5A78" w:rsidRDefault="002C5A78" w:rsidP="002C5A78">
      <w:pPr>
        <w:pStyle w:val="TextoNormalNegritaCursivandice"/>
        <w:keepNext/>
      </w:pPr>
      <w:r>
        <w:t>Real Decreto-ley 4/2018, de 22 de junio. Régimen jurídico aplicable a la designación del consejo de administración de la Corporación de Radio y Televisión Española y de su presidente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4" w:history="1">
        <w:r w:rsidRPr="002C5A78">
          <w:rPr>
            <w:rStyle w:val="TextoNormalCaracter"/>
          </w:rPr>
          <w:t>134/2021</w:t>
        </w:r>
      </w:hyperlink>
      <w:r>
        <w:t>, ff. 1 a 4.</w:t>
      </w:r>
    </w:p>
    <w:p w:rsidR="002C5A78" w:rsidRDefault="002C5A78" w:rsidP="002C5A78">
      <w:pPr>
        <w:pStyle w:val="SangriaFrancesaArticulo"/>
      </w:pPr>
      <w:r w:rsidRPr="002C5A78">
        <w:rPr>
          <w:rStyle w:val="TextoNormalNegritaCaracter"/>
        </w:rPr>
        <w:t>Exposición de motivos.</w:t>
      </w:r>
      <w:r w:rsidRPr="002C5A78">
        <w:rPr>
          <w:rStyle w:val="TextoNormalCaracter"/>
        </w:rPr>
        <w:t>-</w:t>
      </w:r>
      <w:r>
        <w:t xml:space="preserve"> Sentencia </w:t>
      </w:r>
      <w:hyperlink w:anchor="SENTENCIA_2021_134" w:history="1">
        <w:r w:rsidRPr="002C5A78">
          <w:rPr>
            <w:rStyle w:val="TextoNormalCaracter"/>
          </w:rPr>
          <w:t>134/2021</w:t>
        </w:r>
      </w:hyperlink>
      <w:r>
        <w:t>, f. 3.</w:t>
      </w:r>
    </w:p>
    <w:p w:rsidR="002C5A78" w:rsidRDefault="002C5A78" w:rsidP="002C5A78">
      <w:pPr>
        <w:pStyle w:val="SangriaFrancesaArticulo"/>
      </w:pPr>
      <w:r w:rsidRPr="002C5A78">
        <w:rPr>
          <w:rStyle w:val="TextoNormalNegritaCaracter"/>
        </w:rPr>
        <w:t>Artículo único, apartado primero.</w:t>
      </w:r>
      <w:r w:rsidRPr="002C5A78">
        <w:rPr>
          <w:rStyle w:val="TextoNormalCaracter"/>
        </w:rPr>
        <w:t>-</w:t>
      </w:r>
      <w:r>
        <w:t xml:space="preserve"> Sentencia </w:t>
      </w:r>
      <w:hyperlink w:anchor="SENTENCIA_2021_134" w:history="1">
        <w:r w:rsidRPr="002C5A78">
          <w:rPr>
            <w:rStyle w:val="TextoNormalCaracter"/>
          </w:rPr>
          <w:t>134/2021</w:t>
        </w:r>
      </w:hyperlink>
      <w:r>
        <w:t>, f. 1.</w:t>
      </w:r>
    </w:p>
    <w:p w:rsidR="002C5A78" w:rsidRDefault="002C5A78" w:rsidP="002C5A78">
      <w:pPr>
        <w:pStyle w:val="SangriaFrancesaArticulo"/>
      </w:pPr>
      <w:r w:rsidRPr="002C5A78">
        <w:rPr>
          <w:rStyle w:val="TextoNormalNegritaCaracter"/>
        </w:rPr>
        <w:t>Artículo único, apartado segundo.</w:t>
      </w:r>
      <w:r w:rsidRPr="002C5A78">
        <w:rPr>
          <w:rStyle w:val="TextoNormalCaracter"/>
        </w:rPr>
        <w:t>-</w:t>
      </w:r>
      <w:r>
        <w:t xml:space="preserve"> Sentencia </w:t>
      </w:r>
      <w:hyperlink w:anchor="SENTENCIA_2021_134" w:history="1">
        <w:r w:rsidRPr="002C5A78">
          <w:rPr>
            <w:rStyle w:val="TextoNormalCaracter"/>
          </w:rPr>
          <w:t>134/2021</w:t>
        </w:r>
      </w:hyperlink>
      <w:r>
        <w:t>, f. 2.</w:t>
      </w:r>
    </w:p>
    <w:p w:rsidR="002C5A78" w:rsidRDefault="002C5A78" w:rsidP="002C5A78">
      <w:pPr>
        <w:pStyle w:val="SangriaFrancesaArticulo"/>
      </w:pPr>
      <w:r w:rsidRPr="002C5A78">
        <w:rPr>
          <w:rStyle w:val="TextoNormalNegritaCaracter"/>
        </w:rPr>
        <w:t>Artículo único, apartado tercero.</w:t>
      </w:r>
      <w:r w:rsidRPr="002C5A78">
        <w:rPr>
          <w:rStyle w:val="TextoNormalCaracter"/>
        </w:rPr>
        <w:t>-</w:t>
      </w:r>
      <w:r>
        <w:t xml:space="preserve"> Sentencia </w:t>
      </w:r>
      <w:hyperlink w:anchor="SENTENCIA_2021_134" w:history="1">
        <w:r w:rsidRPr="002C5A78">
          <w:rPr>
            <w:rStyle w:val="TextoNormalCaracter"/>
          </w:rPr>
          <w:t>134/2021</w:t>
        </w:r>
      </w:hyperlink>
      <w:r>
        <w:t>, ff. 1, 2, VP I, VP II.</w:t>
      </w:r>
    </w:p>
    <w:p w:rsidR="002C5A78" w:rsidRDefault="002C5A78" w:rsidP="002C5A78">
      <w:pPr>
        <w:pStyle w:val="SangriaFrancesaArticulo"/>
      </w:pPr>
      <w:r w:rsidRPr="002C5A78">
        <w:rPr>
          <w:rStyle w:val="TextoNormalNegritaCaracter"/>
        </w:rPr>
        <w:t>Artículo único, apartado sexto.</w:t>
      </w:r>
      <w:r w:rsidRPr="002C5A78">
        <w:rPr>
          <w:rStyle w:val="TextoNormalCaracter"/>
        </w:rPr>
        <w:t>-</w:t>
      </w:r>
      <w:r>
        <w:t xml:space="preserve"> Sentencia </w:t>
      </w:r>
      <w:hyperlink w:anchor="SENTENCIA_2021_134" w:history="1">
        <w:r w:rsidRPr="002C5A78">
          <w:rPr>
            <w:rStyle w:val="TextoNormalCaracter"/>
          </w:rPr>
          <w:t>134/2021</w:t>
        </w:r>
      </w:hyperlink>
      <w:r>
        <w:t>, ff. 1, 2.</w:t>
      </w:r>
    </w:p>
    <w:p w:rsidR="002C5A78" w:rsidRDefault="002C5A78" w:rsidP="002C5A78">
      <w:pPr>
        <w:pStyle w:val="SangriaFrancesaArticulo"/>
      </w:pPr>
      <w:r w:rsidRPr="002C5A78">
        <w:rPr>
          <w:rStyle w:val="TextoNormalNegritaCaracter"/>
        </w:rPr>
        <w:t>Artículo único.</w:t>
      </w:r>
      <w:r w:rsidRPr="002C5A78">
        <w:rPr>
          <w:rStyle w:val="TextoNormalCaracter"/>
        </w:rPr>
        <w:t>-</w:t>
      </w:r>
      <w:r>
        <w:t xml:space="preserve"> Sentencia </w:t>
      </w:r>
      <w:hyperlink w:anchor="SENTENCIA_2021_134" w:history="1">
        <w:r w:rsidRPr="002C5A78">
          <w:rPr>
            <w:rStyle w:val="TextoNormalCaracter"/>
          </w:rPr>
          <w:t>134/2021</w:t>
        </w:r>
      </w:hyperlink>
      <w:r>
        <w:t>, ff. 2, 5.</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134" w:history="1">
        <w:r w:rsidRPr="002C5A78">
          <w:rPr>
            <w:rStyle w:val="TextoNormalCaracter"/>
          </w:rPr>
          <w:t>134/2021</w:t>
        </w:r>
      </w:hyperlink>
      <w:r>
        <w:t>, ff. 1 a 3.</w:t>
      </w:r>
    </w:p>
    <w:p w:rsidR="002C5A78" w:rsidRDefault="002C5A78" w:rsidP="002C5A78">
      <w:pPr>
        <w:pStyle w:val="SangriaFrancesaArticulo"/>
      </w:pPr>
      <w:r w:rsidRPr="002C5A78">
        <w:rPr>
          <w:rStyle w:val="TextoNormalNegritaCaracter"/>
        </w:rPr>
        <w:t>Disposición final primera, apartado 1.</w:t>
      </w:r>
      <w:r w:rsidRPr="002C5A78">
        <w:rPr>
          <w:rStyle w:val="TextoNormalCaracter"/>
        </w:rPr>
        <w:t>-</w:t>
      </w:r>
      <w:r>
        <w:t xml:space="preserve"> Sentencia </w:t>
      </w:r>
      <w:hyperlink w:anchor="SENTENCIA_2021_134" w:history="1">
        <w:r w:rsidRPr="002C5A78">
          <w:rPr>
            <w:rStyle w:val="TextoNormalCaracter"/>
          </w:rPr>
          <w:t>134/2021</w:t>
        </w:r>
      </w:hyperlink>
      <w:r>
        <w:t>, f. 1.</w:t>
      </w:r>
    </w:p>
    <w:p w:rsidR="002C5A78" w:rsidRDefault="002C5A78" w:rsidP="002C5A78">
      <w:pPr>
        <w:pStyle w:val="SangriaFrancesaArticulo"/>
      </w:pPr>
    </w:p>
    <w:p w:rsidR="002C5A78" w:rsidRDefault="002C5A78" w:rsidP="002C5A78">
      <w:pPr>
        <w:pStyle w:val="TextoNormalNegritaCursivandice"/>
        <w:keepNext/>
      </w:pPr>
      <w:r>
        <w:t>Real Decreto-ley 7/2019, de 1 de marzo. Medidas urgentes en materia de vivienda y alquiler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3.</w:t>
      </w:r>
    </w:p>
    <w:p w:rsidR="002C5A78" w:rsidRDefault="002C5A78" w:rsidP="002C5A78">
      <w:pPr>
        <w:pStyle w:val="SangriaFrancesaArticulo"/>
      </w:pPr>
      <w:r w:rsidRPr="002C5A78">
        <w:rPr>
          <w:rStyle w:val="TextoNormalNegritaCaracter"/>
        </w:rPr>
        <w:t>Disposición adicional segunda.</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Disposición adicional segunda, apartado segundo.</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p>
    <w:p w:rsidR="002C5A78" w:rsidRDefault="002C5A78" w:rsidP="002C5A78">
      <w:pPr>
        <w:pStyle w:val="TextoNormalNegritaCursivandice"/>
        <w:keepNext/>
      </w:pPr>
      <w:r>
        <w:t>Real Decreto-ley 14/2019, de 31 de octubre. Adopta medidas urgentes por razones de seguridad pública en materia de administración digital, contratación del sector público y telecomunicaciones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3" w:history="1">
        <w:r w:rsidRPr="002C5A78">
          <w:rPr>
            <w:rStyle w:val="TextoNormalCaracter"/>
          </w:rPr>
          <w:t>13/2021</w:t>
        </w:r>
      </w:hyperlink>
      <w:r>
        <w:t xml:space="preserve">, f. 1;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5.7.</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Real Decreto-ley 3/2020, de 4 de febrero.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ff. 2, 7, 8.</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Real Decreto-ley 6/2020, de 10 de marzo. Se adoptan determinadas medidas urgentes en el ámbito económico y para la protección de la salud pública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0" w:history="1">
        <w:r w:rsidRPr="002C5A78">
          <w:rPr>
            <w:rStyle w:val="TextoNormalCaracter"/>
          </w:rPr>
          <w:t>110/2021</w:t>
        </w:r>
      </w:hyperlink>
      <w:r>
        <w:t>, f. 5.</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p>
    <w:p w:rsidR="002C5A78" w:rsidRDefault="002C5A78" w:rsidP="002C5A78">
      <w:pPr>
        <w:pStyle w:val="TextoNormalNegritaCursivandice"/>
        <w:keepNext/>
      </w:pPr>
      <w:r>
        <w:t>Real Decreto-ley 7/2020, de 12 de marzo. Se adoptan medidas urgentes para responder al impacto económico del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0" w:history="1">
        <w:r w:rsidRPr="002C5A78">
          <w:rPr>
            <w:rStyle w:val="TextoNormalCaracter"/>
          </w:rPr>
          <w:t>110/2021</w:t>
        </w:r>
      </w:hyperlink>
      <w:r>
        <w:t>, f. 5.</w:t>
      </w:r>
    </w:p>
    <w:p w:rsidR="002C5A78" w:rsidRDefault="002C5A78" w:rsidP="002C5A78">
      <w:pPr>
        <w:pStyle w:val="SangriaFrancesaArticulo"/>
      </w:pPr>
    </w:p>
    <w:p w:rsidR="002C5A78" w:rsidRDefault="002C5A78" w:rsidP="002C5A78">
      <w:pPr>
        <w:pStyle w:val="TextoNormalNegritaCursivandice"/>
        <w:keepNext/>
      </w:pPr>
      <w:r>
        <w:t>Real Decreto-ley 8/2020, de 17 de marzo. Medidas urgentes extraordinarias para hacer frente al impacto económico y social del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10" w:history="1">
        <w:r w:rsidRPr="002C5A78">
          <w:rPr>
            <w:rStyle w:val="TextoNormalCaracter"/>
          </w:rPr>
          <w:t>110/2021</w:t>
        </w:r>
      </w:hyperlink>
      <w:r>
        <w:t xml:space="preserve">, ff. 1, 2, 5 a 8, VP; </w:t>
      </w:r>
      <w:hyperlink w:anchor="SENTENCIA_2021_124" w:history="1">
        <w:r w:rsidRPr="002C5A78">
          <w:rPr>
            <w:rStyle w:val="TextoNormalCaracter"/>
          </w:rPr>
          <w:t>124/2021</w:t>
        </w:r>
      </w:hyperlink>
      <w:r>
        <w:t>, f. 2, VP.</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10" w:history="1">
        <w:r w:rsidRPr="002C5A78">
          <w:rPr>
            <w:rStyle w:val="TextoNormalCaracter"/>
          </w:rPr>
          <w:t>110/2021</w:t>
        </w:r>
      </w:hyperlink>
      <w:r>
        <w:t>, ff. 5, 7, 9, VP.</w:t>
      </w:r>
    </w:p>
    <w:p w:rsidR="002C5A78" w:rsidRDefault="002C5A78" w:rsidP="002C5A78">
      <w:pPr>
        <w:pStyle w:val="SangriaFrancesaArticulo"/>
      </w:pPr>
      <w:r w:rsidRPr="002C5A78">
        <w:rPr>
          <w:rStyle w:val="TextoNormalNegritaCaracter"/>
        </w:rPr>
        <w:t>Preámbulo, apartado I.</w:t>
      </w:r>
      <w:r w:rsidRPr="002C5A78">
        <w:rPr>
          <w:rStyle w:val="TextoNormalCaracter"/>
        </w:rPr>
        <w:t>-</w:t>
      </w:r>
      <w:r>
        <w:t xml:space="preserve"> Sentencia </w:t>
      </w:r>
      <w:hyperlink w:anchor="SENTENCIA_2021_110" w:history="1">
        <w:r w:rsidRPr="002C5A78">
          <w:rPr>
            <w:rStyle w:val="TextoNormalCaracter"/>
          </w:rPr>
          <w:t>110/2021</w:t>
        </w:r>
      </w:hyperlink>
      <w:r>
        <w:t>, f. 5.</w:t>
      </w:r>
    </w:p>
    <w:p w:rsidR="002C5A78" w:rsidRDefault="002C5A78" w:rsidP="002C5A78">
      <w:pPr>
        <w:pStyle w:val="SangriaFrancesaArticulo"/>
      </w:pPr>
      <w:r w:rsidRPr="002C5A78">
        <w:rPr>
          <w:rStyle w:val="TextoNormalNegritaCaracter"/>
        </w:rPr>
        <w:t>Preámbulo, apartado VI.</w:t>
      </w:r>
      <w:r w:rsidRPr="002C5A78">
        <w:rPr>
          <w:rStyle w:val="TextoNormalCaracter"/>
        </w:rPr>
        <w:t>-</w:t>
      </w:r>
      <w:r>
        <w:t xml:space="preserve"> Sentencia </w:t>
      </w:r>
      <w:hyperlink w:anchor="SENTENCIA_2021_110" w:history="1">
        <w:r w:rsidRPr="002C5A78">
          <w:rPr>
            <w:rStyle w:val="TextoNormalCaracter"/>
          </w:rPr>
          <w:t>110/2021</w:t>
        </w:r>
      </w:hyperlink>
      <w:r>
        <w:t>, ff. 5, 6.</w:t>
      </w:r>
    </w:p>
    <w:p w:rsidR="002C5A78" w:rsidRDefault="002C5A78" w:rsidP="002C5A78">
      <w:pPr>
        <w:pStyle w:val="SangriaFrancesaArticulo"/>
      </w:pPr>
      <w:r w:rsidRPr="002C5A78">
        <w:rPr>
          <w:rStyle w:val="TextoNormalNegritaCaracter"/>
        </w:rPr>
        <w:t>Disposición final segunda.</w:t>
      </w:r>
      <w:r w:rsidRPr="002C5A78">
        <w:rPr>
          <w:rStyle w:val="TextoNormalCaracter"/>
        </w:rPr>
        <w:t>-</w:t>
      </w:r>
      <w:r>
        <w:t xml:space="preserve"> Sentencias </w:t>
      </w:r>
      <w:hyperlink w:anchor="SENTENCIA_2021_110" w:history="1">
        <w:r w:rsidRPr="002C5A78">
          <w:rPr>
            <w:rStyle w:val="TextoNormalCaracter"/>
          </w:rPr>
          <w:t>110/2021</w:t>
        </w:r>
      </w:hyperlink>
      <w:r>
        <w:t xml:space="preserve">, ff. 1, 2, 5 a 8, VP; </w:t>
      </w:r>
      <w:hyperlink w:anchor="SENTENCIA_2021_124" w:history="1">
        <w:r w:rsidRPr="002C5A78">
          <w:rPr>
            <w:rStyle w:val="TextoNormalCaracter"/>
          </w:rPr>
          <w:t>124/2021</w:t>
        </w:r>
      </w:hyperlink>
      <w:r>
        <w:t>, f. 1, VP.</w:t>
      </w:r>
    </w:p>
    <w:p w:rsidR="002C5A78" w:rsidRDefault="002C5A78" w:rsidP="002C5A78">
      <w:pPr>
        <w:pStyle w:val="SangriaFrancesaArticulo"/>
      </w:pPr>
      <w:r w:rsidRPr="002C5A78">
        <w:rPr>
          <w:rStyle w:val="TextoNormalNegritaCaracter"/>
        </w:rPr>
        <w:t>Disposición final tercera.</w:t>
      </w:r>
      <w:r w:rsidRPr="002C5A78">
        <w:rPr>
          <w:rStyle w:val="TextoNormalCaracter"/>
        </w:rPr>
        <w:t>-</w:t>
      </w:r>
      <w:r>
        <w:t xml:space="preserve"> Sentencia </w:t>
      </w:r>
      <w:hyperlink w:anchor="SENTENCIA_2021_110" w:history="1">
        <w:r w:rsidRPr="002C5A78">
          <w:rPr>
            <w:rStyle w:val="TextoNormalCaracter"/>
          </w:rPr>
          <w:t>110/2021</w:t>
        </w:r>
      </w:hyperlink>
      <w:r>
        <w:t>, f. 5.</w:t>
      </w:r>
    </w:p>
    <w:p w:rsidR="002C5A78" w:rsidRDefault="002C5A78" w:rsidP="002C5A78">
      <w:pPr>
        <w:pStyle w:val="SangriaFrancesaArticulo"/>
      </w:pPr>
      <w:r w:rsidRPr="002C5A78">
        <w:rPr>
          <w:rStyle w:val="TextoNormalNegritaCaracter"/>
        </w:rPr>
        <w:t>Disposición final décima.</w:t>
      </w:r>
      <w:r w:rsidRPr="002C5A78">
        <w:rPr>
          <w:rStyle w:val="TextoNormalCaracter"/>
        </w:rPr>
        <w:t>-</w:t>
      </w:r>
      <w:r>
        <w:t xml:space="preserve"> Sentencia </w:t>
      </w:r>
      <w:hyperlink w:anchor="SENTENCIA_2021_110" w:history="1">
        <w:r w:rsidRPr="002C5A78">
          <w:rPr>
            <w:rStyle w:val="TextoNormalCaracter"/>
          </w:rPr>
          <w:t>110/2021</w:t>
        </w:r>
      </w:hyperlink>
      <w:r>
        <w:t>, ff. 2, 7.</w:t>
      </w:r>
    </w:p>
    <w:p w:rsidR="002C5A78" w:rsidRDefault="002C5A78" w:rsidP="002C5A78">
      <w:pPr>
        <w:pStyle w:val="SangriaFrancesaArticulo"/>
      </w:pPr>
    </w:p>
    <w:p w:rsidR="002C5A78" w:rsidRDefault="002C5A78" w:rsidP="002C5A78">
      <w:pPr>
        <w:pStyle w:val="TextoNormalNegritaCursivandice"/>
        <w:keepNext/>
      </w:pPr>
      <w:r>
        <w:t>Real Decreto-ley 11/2020, de 31 de marzo, por el que se adoptan medidas urgentes complementarias en el ámbito social y económico para hacer frente al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6" w:history="1">
        <w:r w:rsidRPr="002C5A78">
          <w:rPr>
            <w:rStyle w:val="TextoNormalCaracter"/>
          </w:rPr>
          <w:t>16/2021</w:t>
        </w:r>
      </w:hyperlink>
      <w:r>
        <w:t xml:space="preserve">, f. 6; </w:t>
      </w:r>
      <w:hyperlink w:anchor="SENTENCIA_2021_68" w:history="1">
        <w:r w:rsidRPr="002C5A78">
          <w:rPr>
            <w:rStyle w:val="TextoNormalCaracter"/>
          </w:rPr>
          <w:t>68/2021</w:t>
        </w:r>
      </w:hyperlink>
      <w:r>
        <w:t>, f. 2.</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16" w:history="1">
        <w:r w:rsidRPr="002C5A78">
          <w:rPr>
            <w:rStyle w:val="TextoNormalCaracter"/>
          </w:rPr>
          <w:t>16/2021</w:t>
        </w:r>
      </w:hyperlink>
      <w:r>
        <w:t>, f. 6.</w:t>
      </w:r>
    </w:p>
    <w:p w:rsidR="002C5A78" w:rsidRDefault="002C5A78" w:rsidP="002C5A78">
      <w:pPr>
        <w:pStyle w:val="SangriaFrancesaArticulo"/>
      </w:pPr>
    </w:p>
    <w:p w:rsidR="002C5A78" w:rsidRDefault="002C5A78" w:rsidP="002C5A78">
      <w:pPr>
        <w:pStyle w:val="TextoNormalNegritaCursivandice"/>
        <w:keepNext/>
      </w:pPr>
      <w:r>
        <w:t>Real Decreto-ley 15/2020, de 21 de abril. Medidas urgentes complementarias para apoyar la economía y el empleo.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68" w:history="1">
        <w:r w:rsidRPr="002C5A78">
          <w:rPr>
            <w:rStyle w:val="TextoNormalCaracter"/>
          </w:rPr>
          <w:t>68/2021</w:t>
        </w:r>
      </w:hyperlink>
      <w:r>
        <w:t xml:space="preserve">, f. 2; </w:t>
      </w:r>
      <w:hyperlink w:anchor="SENTENCIA_2021_111" w:history="1">
        <w:r w:rsidRPr="002C5A78">
          <w:rPr>
            <w:rStyle w:val="TextoNormalCaracter"/>
          </w:rPr>
          <w:t>111/2021</w:t>
        </w:r>
      </w:hyperlink>
      <w:r>
        <w:t>, ff. 2 a 8, VP.</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11" w:history="1">
        <w:r w:rsidRPr="002C5A78">
          <w:rPr>
            <w:rStyle w:val="TextoNormalCaracter"/>
          </w:rPr>
          <w:t>111/2021</w:t>
        </w:r>
      </w:hyperlink>
      <w:r>
        <w:t>, ff. 2, 4 a 7.</w:t>
      </w:r>
    </w:p>
    <w:p w:rsidR="002C5A78" w:rsidRDefault="002C5A78" w:rsidP="002C5A78">
      <w:pPr>
        <w:pStyle w:val="SangriaFrancesaArticulo"/>
      </w:pPr>
      <w:r w:rsidRPr="002C5A78">
        <w:rPr>
          <w:rStyle w:val="TextoNormalNegritaCaracter"/>
        </w:rPr>
        <w:t>Preámbulo, apartado VI.</w:t>
      </w:r>
      <w:r w:rsidRPr="002C5A78">
        <w:rPr>
          <w:rStyle w:val="TextoNormalCaracter"/>
        </w:rPr>
        <w:t>-</w:t>
      </w:r>
      <w:r>
        <w:t xml:space="preserve"> Sentencia </w:t>
      </w:r>
      <w:hyperlink w:anchor="SENTENCIA_2021_111" w:history="1">
        <w:r w:rsidRPr="002C5A78">
          <w:rPr>
            <w:rStyle w:val="TextoNormalCaracter"/>
          </w:rPr>
          <w:t>111/2021</w:t>
        </w:r>
      </w:hyperlink>
      <w:r>
        <w:t>, f. 7.</w:t>
      </w:r>
    </w:p>
    <w:p w:rsidR="002C5A78" w:rsidRDefault="002C5A78" w:rsidP="002C5A78">
      <w:pPr>
        <w:pStyle w:val="SangriaFrancesaArticulo"/>
      </w:pPr>
      <w:r w:rsidRPr="002C5A78">
        <w:rPr>
          <w:rStyle w:val="TextoNormalNegritaCaracter"/>
        </w:rPr>
        <w:t>Disposición adicional sexta.</w:t>
      </w:r>
      <w:r w:rsidRPr="002C5A78">
        <w:rPr>
          <w:rStyle w:val="TextoNormalCaracter"/>
        </w:rPr>
        <w:t>-</w:t>
      </w:r>
      <w:r>
        <w:t xml:space="preserve"> Sentencia </w:t>
      </w:r>
      <w:hyperlink w:anchor="SENTENCIA_2021_111" w:history="1">
        <w:r w:rsidRPr="002C5A78">
          <w:rPr>
            <w:rStyle w:val="TextoNormalCaracter"/>
          </w:rPr>
          <w:t>111/2021</w:t>
        </w:r>
      </w:hyperlink>
      <w:r>
        <w:t>, ff. 1, 2, 5 a 8, VP.</w:t>
      </w:r>
    </w:p>
    <w:p w:rsidR="002C5A78" w:rsidRDefault="002C5A78" w:rsidP="002C5A78">
      <w:pPr>
        <w:pStyle w:val="SangriaFrancesaArticulo"/>
      </w:pPr>
      <w:r w:rsidRPr="002C5A78">
        <w:rPr>
          <w:rStyle w:val="TextoNormalNegritaCaracter"/>
        </w:rPr>
        <w:t>Disposición adicional séptima.</w:t>
      </w:r>
      <w:r w:rsidRPr="002C5A78">
        <w:rPr>
          <w:rStyle w:val="TextoNormalCaracter"/>
        </w:rPr>
        <w:t>-</w:t>
      </w:r>
      <w:r>
        <w:t xml:space="preserve"> Sentencia </w:t>
      </w:r>
      <w:hyperlink w:anchor="SENTENCIA_2021_111" w:history="1">
        <w:r w:rsidRPr="002C5A78">
          <w:rPr>
            <w:rStyle w:val="TextoNormalCaracter"/>
          </w:rPr>
          <w:t>111/2021</w:t>
        </w:r>
      </w:hyperlink>
      <w:r>
        <w:t>, ff. 1, 2, 5 a 8, VP.</w:t>
      </w:r>
    </w:p>
    <w:p w:rsidR="002C5A78" w:rsidRDefault="002C5A78" w:rsidP="002C5A78">
      <w:pPr>
        <w:pStyle w:val="SangriaFrancesaArticulo"/>
      </w:pPr>
      <w:r w:rsidRPr="002C5A78">
        <w:rPr>
          <w:rStyle w:val="TextoNormalNegritaCaracter"/>
        </w:rPr>
        <w:t>Disposición transitoria segunda.</w:t>
      </w:r>
      <w:r w:rsidRPr="002C5A78">
        <w:rPr>
          <w:rStyle w:val="TextoNormalCaracter"/>
        </w:rPr>
        <w:t>-</w:t>
      </w:r>
      <w:r>
        <w:t xml:space="preserve"> Sentencia </w:t>
      </w:r>
      <w:hyperlink w:anchor="SENTENCIA_2021_111" w:history="1">
        <w:r w:rsidRPr="002C5A78">
          <w:rPr>
            <w:rStyle w:val="TextoNormalCaracter"/>
          </w:rPr>
          <w:t>111/2021</w:t>
        </w:r>
      </w:hyperlink>
      <w:r>
        <w:t>, ff. 1, 2, 5 a 8, VP.</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111" w:history="1">
        <w:r w:rsidRPr="002C5A78">
          <w:rPr>
            <w:rStyle w:val="TextoNormalCaracter"/>
          </w:rPr>
          <w:t>111/2021</w:t>
        </w:r>
      </w:hyperlink>
      <w:r>
        <w:t>, ff. 1, 2, 5 a 8, VP.</w:t>
      </w:r>
    </w:p>
    <w:p w:rsidR="002C5A78" w:rsidRDefault="002C5A78" w:rsidP="002C5A78">
      <w:pPr>
        <w:pStyle w:val="SangriaFrancesaArticulo"/>
      </w:pPr>
      <w:r w:rsidRPr="002C5A78">
        <w:rPr>
          <w:rStyle w:val="TextoNormalNegritaCaracter"/>
        </w:rPr>
        <w:t>Disposición final decimotercera.</w:t>
      </w:r>
      <w:r w:rsidRPr="002C5A78">
        <w:rPr>
          <w:rStyle w:val="TextoNormalCaracter"/>
        </w:rPr>
        <w:t>-</w:t>
      </w:r>
      <w:r>
        <w:t xml:space="preserve"> Sentencia </w:t>
      </w:r>
      <w:hyperlink w:anchor="SENTENCIA_2021_111" w:history="1">
        <w:r w:rsidRPr="002C5A78">
          <w:rPr>
            <w:rStyle w:val="TextoNormalCaracter"/>
          </w:rPr>
          <w:t>111/2021</w:t>
        </w:r>
      </w:hyperlink>
      <w:r>
        <w:t>, f. 7.</w:t>
      </w:r>
    </w:p>
    <w:p w:rsidR="002C5A78" w:rsidRDefault="002C5A78" w:rsidP="002C5A78">
      <w:pPr>
        <w:pStyle w:val="SangriaFrancesaArticulo"/>
      </w:pPr>
    </w:p>
    <w:p w:rsidR="002C5A78" w:rsidRDefault="002C5A78" w:rsidP="002C5A78">
      <w:pPr>
        <w:pStyle w:val="TextoNormalNegritaCursivandice"/>
        <w:keepNext/>
      </w:pPr>
      <w:r>
        <w:t>Real Decreto-ley 16/2020, de 28 de abril. Medidas procesales y organizativas para hacer frente al COVID-19 en el ámbito de la Administración de Justicia.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Real Decreto-ley 17/2020, de 5 de mayo, por el que se aprueban medidas de apoyo al sector cultural y de carácter tributario para hacer frente al impacto económico y social del COVID-2019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Real Decreto-ley 23/2020, de 23 de junio. Aprueba medidas en materia de energía y en otros ámbitos para la reactivación económica</w:t>
      </w:r>
    </w:p>
    <w:p w:rsidR="002C5A78" w:rsidRDefault="002C5A78" w:rsidP="002C5A78">
      <w:pPr>
        <w:pStyle w:val="SangriaFrancesaArticulo"/>
      </w:pPr>
      <w:r w:rsidRPr="002C5A78">
        <w:rPr>
          <w:rStyle w:val="TextoNormalNegritaCaracter"/>
        </w:rPr>
        <w:t>Disposición adicional sexta.</w:t>
      </w:r>
      <w:r w:rsidRPr="002C5A78">
        <w:rPr>
          <w:rStyle w:val="TextoNormalCaracter"/>
        </w:rPr>
        <w:t>-</w:t>
      </w:r>
      <w:r>
        <w:t xml:space="preserve"> Auto </w:t>
      </w:r>
      <w:hyperlink w:anchor="AUTO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Real Decreto-ley 36/2020, de 30 de diciembre, por el que se aprueban medidas urgentes para la modernización de la Administración Pública y para la ejecución del Plan de Recuperación, Transformación y Resiliencia.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TextoNormal"/>
      </w:pPr>
    </w:p>
    <w:p w:rsidR="002C5A78" w:rsidRDefault="002C5A78" w:rsidP="002C5A78">
      <w:pPr>
        <w:pStyle w:val="SangriaFrancesaArticulo"/>
      </w:pPr>
      <w:bookmarkStart w:id="223" w:name="INDICE22849"/>
    </w:p>
    <w:bookmarkEnd w:id="223"/>
    <w:p w:rsidR="002C5A78" w:rsidRDefault="002C5A78" w:rsidP="002C5A78">
      <w:pPr>
        <w:pStyle w:val="TextoIndiceNivel2"/>
        <w:suppressAutoHyphens/>
      </w:pPr>
      <w:r>
        <w:t>H) Reales Decretos y otras disposiciones generales del Estado</w:t>
      </w:r>
    </w:p>
    <w:p w:rsidR="002C5A78" w:rsidRDefault="002C5A78" w:rsidP="002C5A78">
      <w:pPr>
        <w:pStyle w:val="TextoIndiceNivel2"/>
      </w:pPr>
    </w:p>
    <w:p w:rsidR="002C5A78" w:rsidRDefault="002C5A78" w:rsidP="002C5A78">
      <w:pPr>
        <w:pStyle w:val="TextoNormalNegritaCursivandice"/>
        <w:keepNext/>
      </w:pPr>
      <w:r>
        <w:t>Decreto de 14 de febrero de 1947. Reglamento Hipotecario</w:t>
      </w:r>
    </w:p>
    <w:p w:rsidR="002C5A78" w:rsidRDefault="002C5A78" w:rsidP="002C5A78">
      <w:pPr>
        <w:pStyle w:val="SangriaFrancesaArticulo"/>
      </w:pPr>
      <w:r w:rsidRPr="002C5A78">
        <w:rPr>
          <w:rStyle w:val="TextoNormalNegritaCaracter"/>
        </w:rPr>
        <w:t>Artículo 242.</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p>
    <w:p w:rsidR="002C5A78" w:rsidRDefault="002C5A78" w:rsidP="002C5A78">
      <w:pPr>
        <w:pStyle w:val="TextoNormalNegritaCursivandice"/>
        <w:keepNext/>
      </w:pPr>
      <w:r>
        <w:t>Decreto 693/1972, de 9 de marzo. Declaran de alto interés nacional las actuaciones del IRYDA en el Campo de Cartagena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ff. 1, 3.</w:t>
      </w:r>
    </w:p>
    <w:p w:rsidR="002C5A78" w:rsidRDefault="002C5A78" w:rsidP="002C5A78">
      <w:pPr>
        <w:pStyle w:val="SangriaFrancesaArticulo"/>
      </w:pPr>
    </w:p>
    <w:p w:rsidR="002C5A78" w:rsidRDefault="002C5A78" w:rsidP="002C5A78">
      <w:pPr>
        <w:pStyle w:val="TextoNormalNegritaCursivandice"/>
        <w:keepNext/>
      </w:pPr>
      <w:r>
        <w:t>Real Decreto 1201/1981, de 8 de mayo. Reglamento penitenciario</w:t>
      </w:r>
    </w:p>
    <w:p w:rsidR="002C5A78" w:rsidRDefault="002C5A78" w:rsidP="002C5A78">
      <w:pPr>
        <w:pStyle w:val="SangriaFrancesaArticulo"/>
      </w:pPr>
      <w:r w:rsidRPr="002C5A78">
        <w:rPr>
          <w:rStyle w:val="TextoNormalNegritaCaracter"/>
        </w:rPr>
        <w:t>Artículo 46.</w:t>
      </w:r>
      <w:r w:rsidRPr="002C5A78">
        <w:rPr>
          <w:rStyle w:val="TextoNormalCaracter"/>
        </w:rPr>
        <w:t>-</w:t>
      </w:r>
      <w:r>
        <w:t xml:space="preserve"> Sentencia </w:t>
      </w:r>
      <w:hyperlink w:anchor="SENTENCIA_2021_99" w:history="1">
        <w:r w:rsidRPr="002C5A78">
          <w:rPr>
            <w:rStyle w:val="TextoNormalCaracter"/>
          </w:rPr>
          <w:t>99/2021</w:t>
        </w:r>
      </w:hyperlink>
      <w:r>
        <w:t>, ff. 3, 6.</w:t>
      </w:r>
    </w:p>
    <w:p w:rsidR="002C5A78" w:rsidRDefault="002C5A78" w:rsidP="002C5A78">
      <w:pPr>
        <w:pStyle w:val="SangriaFrancesaArticulo"/>
      </w:pPr>
      <w:r w:rsidRPr="002C5A78">
        <w:rPr>
          <w:rStyle w:val="TextoNormalNegritaCaracter"/>
        </w:rPr>
        <w:t>Artículo 47.</w:t>
      </w:r>
      <w:r w:rsidRPr="002C5A78">
        <w:rPr>
          <w:rStyle w:val="TextoNormalCaracter"/>
        </w:rPr>
        <w:t>-</w:t>
      </w:r>
      <w:r>
        <w:t xml:space="preserve"> Sentencia </w:t>
      </w:r>
      <w:hyperlink w:anchor="SENTENCIA_2021_99" w:history="1">
        <w:r w:rsidRPr="002C5A78">
          <w:rPr>
            <w:rStyle w:val="TextoNormalCaracter"/>
          </w:rPr>
          <w:t>99/2021</w:t>
        </w:r>
      </w:hyperlink>
      <w:r>
        <w:t>, ff. 3, 6.</w:t>
      </w:r>
    </w:p>
    <w:p w:rsidR="002C5A78" w:rsidRDefault="002C5A78" w:rsidP="002C5A78">
      <w:pPr>
        <w:pStyle w:val="SangriaFrancesaArticulo"/>
      </w:pPr>
    </w:p>
    <w:p w:rsidR="002C5A78" w:rsidRDefault="002C5A78" w:rsidP="002C5A78">
      <w:pPr>
        <w:pStyle w:val="TextoNormalNegritaCursivandice"/>
        <w:keepNext/>
      </w:pPr>
      <w:r>
        <w:t>Real Decreto 1690/1986, de 11 de julio. Reglamento de población y demarcación territorial de las entidades locales</w:t>
      </w:r>
    </w:p>
    <w:p w:rsidR="002C5A78" w:rsidRDefault="002C5A78" w:rsidP="002C5A78">
      <w:pPr>
        <w:pStyle w:val="SangriaFrancesaArticulo"/>
      </w:pPr>
      <w:r w:rsidRPr="002C5A78">
        <w:rPr>
          <w:rStyle w:val="TextoNormalNegritaCaracter"/>
        </w:rPr>
        <w:t>Título II.</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Real Decreto 2528/1986, de 28 de noviembre. Modificación del Reglamento de Contratación del Estado para adaptarlo al Real Decreto Legislativo 931/1986, de 2 de mayo, y a las Directivas de la Comunidad Económica Europea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p>
    <w:p w:rsidR="002C5A78" w:rsidRDefault="002C5A78" w:rsidP="002C5A78">
      <w:pPr>
        <w:pStyle w:val="TextoNormalNegritaCursivandice"/>
        <w:keepNext/>
      </w:pPr>
      <w:r>
        <w:t>Real Decreto 1119/1989, de 15 de septiembre. Regula el tráfico de embarcaciones especiales de alta velocidad en las aguas marítimas españolas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 w:history="1">
        <w:r w:rsidRPr="002C5A78">
          <w:rPr>
            <w:rStyle w:val="TextoNormalCaracter"/>
          </w:rPr>
          <w:t>13/2021</w:t>
        </w:r>
      </w:hyperlink>
      <w:r>
        <w:t>, f. 10.</w:t>
      </w:r>
    </w:p>
    <w:p w:rsidR="002C5A78" w:rsidRDefault="002C5A78" w:rsidP="002C5A78">
      <w:pPr>
        <w:pStyle w:val="SangriaFrancesaArticulo"/>
      </w:pPr>
    </w:p>
    <w:p w:rsidR="002C5A78" w:rsidRDefault="002C5A78" w:rsidP="002C5A78">
      <w:pPr>
        <w:pStyle w:val="TextoNormalNegritaCursivandice"/>
        <w:keepNext/>
      </w:pPr>
      <w:r>
        <w:t>Instrucción de la Junta Electoral Central 1/1991, de 4 de abril de 1991. Documentación que debe acompañarse en la presentación de candidaturas y no obligatoriedad de estar inscrito en el censo electoral para ser candidato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Real Decreto 1835/1991, de 20 de diciembre. Federaciones deportivas españolas y registro de asociaciones deportivas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p>
    <w:p w:rsidR="002C5A78" w:rsidRDefault="002C5A78" w:rsidP="002C5A78">
      <w:pPr>
        <w:pStyle w:val="TextoNormalNegritaCursivandice"/>
        <w:keepNext/>
      </w:pPr>
      <w:r>
        <w:t>Real Decreto 427/1993, de 26 de marzo. Traspaso de funciones y servicios de la gestión de la formación profesional ocupacional a la Comunidad Autónoma de Andalucía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p>
    <w:p w:rsidR="002C5A78" w:rsidRDefault="002C5A78" w:rsidP="002C5A78">
      <w:pPr>
        <w:pStyle w:val="TextoNormalNegritaCursivandice"/>
        <w:keepNext/>
      </w:pPr>
      <w:r>
        <w:t>Acuerdo de la Junta Electoral Central 167/1995, de 7 de abril. Consulta sobre criterios para resolver las reclamaciones formuladas durante la exposición de listas en período electoral, derivadas de cambios de residencia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Acuerdo de la Junta Electoral Central 700/1995, de 24 de mayo. Reclamación por no figurar inscritos en las listas del censo electoral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Real Decreto 261/1996, de 16 de febrero. Protección de las aguas contra la contaminación producida por los nitratos procedentes de fuentes agrarias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 4.</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 </w:t>
      </w:r>
      <w:hyperlink w:anchor="SENTENCIA_2021_112" w:history="1">
        <w:r w:rsidRPr="002C5A78">
          <w:rPr>
            <w:rStyle w:val="TextoNormalCaracter"/>
          </w:rPr>
          <w:t>112/2021</w:t>
        </w:r>
      </w:hyperlink>
      <w:r>
        <w:t>, ff. 1, 4.</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12" w:history="1">
        <w:r w:rsidRPr="002C5A78">
          <w:rPr>
            <w:rStyle w:val="TextoNormalCaracter"/>
          </w:rPr>
          <w:t>112/2021</w:t>
        </w:r>
      </w:hyperlink>
      <w:r>
        <w:t>, f. 4.</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112" w:history="1">
        <w:r w:rsidRPr="002C5A78">
          <w:rPr>
            <w:rStyle w:val="TextoNormalCaracter"/>
          </w:rPr>
          <w:t>112/2021</w:t>
        </w:r>
      </w:hyperlink>
      <w:r>
        <w:t>, f. 4.</w:t>
      </w:r>
    </w:p>
    <w:p w:rsidR="002C5A78" w:rsidRDefault="002C5A78" w:rsidP="002C5A78">
      <w:pPr>
        <w:pStyle w:val="SangriaFrancesaArticulo"/>
      </w:pPr>
    </w:p>
    <w:p w:rsidR="002C5A78" w:rsidRDefault="002C5A78" w:rsidP="002C5A78">
      <w:pPr>
        <w:pStyle w:val="TextoNormalNegritaCursivandice"/>
        <w:keepNext/>
      </w:pPr>
      <w:r>
        <w:t>Instrucción de la Junta Electoral Central, de 15 de marzo de 1999. Documentación que debe acompañarse en la presentación de candidaturas (elecciones locales y al Parlamento Europeo)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Acuerdo de la Junta Electoral Central 130/1999, de 27 de abril. Consulta sobre el censo vigente en el proceso electoral de 13 de junio de 1999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Instrucción de la Junta Electoral Central 1/2000, de 20 de enero de 2000. Documentación que debe acompañarse en la presentación de candidaturas (elecciones generales)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Norma primera, apartado 2.</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Norma segunda, apartado 3.</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r w:rsidRPr="002C5A78">
        <w:rPr>
          <w:rStyle w:val="TextoNormalNegritaCaracter"/>
        </w:rPr>
        <w:t>Norma tercera.</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Real Decreto 1098/2001, de 12 de octubre. Reglamento general de la Ley de Contratos de las Administraciones Públicas.</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p>
    <w:p w:rsidR="002C5A78" w:rsidRDefault="002C5A78" w:rsidP="002C5A78">
      <w:pPr>
        <w:pStyle w:val="TextoNormalNegritaCursivandice"/>
        <w:keepNext/>
      </w:pPr>
      <w:r>
        <w:t>Real Decreto 1608/2005, de 30 de diciembre. Reglamento orgánico del Cuerpo de secretarios judiciales</w:t>
      </w:r>
    </w:p>
    <w:p w:rsidR="002C5A78" w:rsidRDefault="002C5A78" w:rsidP="002C5A78">
      <w:pPr>
        <w:pStyle w:val="SangriaFrancesaArticulo"/>
      </w:pPr>
      <w:r w:rsidRPr="002C5A78">
        <w:rPr>
          <w:rStyle w:val="TextoNormalNegritaCaracter"/>
        </w:rPr>
        <w:t>Artículo 154.7.</w:t>
      </w:r>
      <w:r w:rsidRPr="002C5A78">
        <w:rPr>
          <w:rStyle w:val="TextoNormalCaracter"/>
        </w:rPr>
        <w:t>-</w:t>
      </w:r>
      <w:r>
        <w:t xml:space="preserve"> Sentencia </w:t>
      </w:r>
      <w:hyperlink w:anchor="SENTENCIA_2021_51" w:history="1">
        <w:r w:rsidRPr="002C5A78">
          <w:rPr>
            <w:rStyle w:val="TextoNormalCaracter"/>
          </w:rPr>
          <w:t>51/2021</w:t>
        </w:r>
      </w:hyperlink>
      <w:r>
        <w:t>, ff. 1, 6.</w:t>
      </w:r>
    </w:p>
    <w:p w:rsidR="002C5A78" w:rsidRDefault="002C5A78" w:rsidP="002C5A78">
      <w:pPr>
        <w:pStyle w:val="SangriaFrancesaArticulo"/>
      </w:pPr>
    </w:p>
    <w:p w:rsidR="002C5A78" w:rsidRDefault="002C5A78" w:rsidP="002C5A78">
      <w:pPr>
        <w:pStyle w:val="TextoNormalNegritaCursivandice"/>
        <w:keepNext/>
      </w:pPr>
      <w:r>
        <w:t>Real Decreto 887/2006, de 21 de julio. Reglamento de la Ley 38/2003, de 17 de noviembre, general de subvenciones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7" w:history="1">
        <w:r w:rsidRPr="002C5A78">
          <w:rPr>
            <w:rStyle w:val="TextoNormalCaracter"/>
          </w:rPr>
          <w:t>37/2021</w:t>
        </w:r>
      </w:hyperlink>
      <w:r>
        <w:t>, f. 3.</w:t>
      </w:r>
    </w:p>
    <w:p w:rsidR="002C5A78" w:rsidRDefault="002C5A78" w:rsidP="002C5A78">
      <w:pPr>
        <w:pStyle w:val="SangriaFrancesaArticulo"/>
      </w:pPr>
    </w:p>
    <w:p w:rsidR="002C5A78" w:rsidRDefault="002C5A78" w:rsidP="002C5A78">
      <w:pPr>
        <w:pStyle w:val="TextoNormalNegritaCursivandice"/>
        <w:keepNext/>
      </w:pPr>
      <w:r>
        <w:t>Real Decreto 1393/2007, de 29 de octubre. Ordenación de las enseñanzas universitarias oficiales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38" w:history="1">
        <w:r w:rsidRPr="002C5A78">
          <w:rPr>
            <w:rStyle w:val="TextoNormalCaracter"/>
          </w:rPr>
          <w:t>138/2021</w:t>
        </w:r>
      </w:hyperlink>
      <w:r>
        <w:t>, f. 3.</w:t>
      </w:r>
    </w:p>
    <w:p w:rsidR="002C5A78" w:rsidRDefault="002C5A78" w:rsidP="002C5A78">
      <w:pPr>
        <w:pStyle w:val="SangriaFrancesaArticulo"/>
      </w:pPr>
    </w:p>
    <w:p w:rsidR="002C5A78" w:rsidRDefault="002C5A78" w:rsidP="002C5A78">
      <w:pPr>
        <w:pStyle w:val="TextoNormalNegritaCursivandice"/>
        <w:keepNext/>
      </w:pPr>
      <w:r>
        <w:t>Real Decreto 34/2008, de 18 de enero. Regulación de los certificados de profesionalidad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39" w:history="1">
        <w:r w:rsidRPr="002C5A78">
          <w:rPr>
            <w:rStyle w:val="TextoNormalCaracter"/>
          </w:rPr>
          <w:t>39/2021</w:t>
        </w:r>
      </w:hyperlink>
      <w:r>
        <w:t>, f. 2.</w:t>
      </w:r>
    </w:p>
    <w:p w:rsidR="002C5A78" w:rsidRDefault="002C5A78" w:rsidP="002C5A78">
      <w:pPr>
        <w:pStyle w:val="SangriaFrancesaArticulo"/>
      </w:pPr>
      <w:r w:rsidRPr="002C5A78">
        <w:rPr>
          <w:rStyle w:val="TextoNormalNegritaCaracter"/>
        </w:rPr>
        <w:t>Disposición adcional primera.</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p>
    <w:p w:rsidR="002C5A78" w:rsidRDefault="002C5A78" w:rsidP="002C5A78">
      <w:pPr>
        <w:pStyle w:val="TextoNormalNegritaCursivandice"/>
        <w:keepNext/>
      </w:pPr>
      <w:r>
        <w:t>Real Decreto 716/2009, de 24 de abril. Desarrolla determinados aspectos de la Ley 2/1981, de 25 de marzo, de regulación del mercado hipotecario y otras normas del sistema hipotecario y financiero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Artículos 13 a 34.</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p>
    <w:p w:rsidR="002C5A78" w:rsidRDefault="002C5A78" w:rsidP="002C5A78">
      <w:pPr>
        <w:pStyle w:val="TextoNormalNegritaCursivandice"/>
        <w:keepNext/>
      </w:pPr>
      <w:r>
        <w:t>Real Decreto 1224/2009, de 17 de julio. Reconocimiento de las competencias profesionales adquiridas por experiencia laboral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9" w:history="1">
        <w:r w:rsidRPr="002C5A78">
          <w:rPr>
            <w:rStyle w:val="TextoNormalCaracter"/>
          </w:rPr>
          <w:t>39/2021</w:t>
        </w:r>
      </w:hyperlink>
      <w:r>
        <w:t>, f. 2.</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10.</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10.6.</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21.1 a) 5.</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21.1 b).</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26.</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disposición final tercera.</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p>
    <w:p w:rsidR="002C5A78" w:rsidRDefault="002C5A78" w:rsidP="002C5A78">
      <w:pPr>
        <w:pStyle w:val="TextoNormalNegritaCursivandice"/>
        <w:keepNext/>
      </w:pPr>
      <w:r>
        <w:t>Real Decreto 1025/2011, de 15 de julio. Establece las Comisiones Delegadas del Gobierno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0" w:history="1">
        <w:r w:rsidRPr="002C5A78">
          <w:rPr>
            <w:rStyle w:val="TextoNormalCaracter"/>
          </w:rPr>
          <w:t>110/2021</w:t>
        </w:r>
      </w:hyperlink>
      <w:r>
        <w:t>, VP.</w:t>
      </w:r>
    </w:p>
    <w:p w:rsidR="002C5A78" w:rsidRDefault="002C5A78" w:rsidP="002C5A78">
      <w:pPr>
        <w:pStyle w:val="SangriaFrancesaArticulo"/>
      </w:pPr>
    </w:p>
    <w:p w:rsidR="002C5A78" w:rsidRDefault="002C5A78" w:rsidP="002C5A78">
      <w:pPr>
        <w:pStyle w:val="TextoNormalNegritaCursivandice"/>
        <w:keepNext/>
      </w:pPr>
      <w:r>
        <w:t>Real Decreto 1886/2011, de 30 de diciembre. Establece las Comisiones Delegadas del Gobierno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0" w:history="1">
        <w:r w:rsidRPr="002C5A78">
          <w:rPr>
            <w:rStyle w:val="TextoNormalCaracter"/>
          </w:rPr>
          <w:t>110/2021</w:t>
        </w:r>
      </w:hyperlink>
      <w:r>
        <w:t>, VP.</w:t>
      </w:r>
    </w:p>
    <w:p w:rsidR="002C5A78" w:rsidRDefault="002C5A78" w:rsidP="002C5A78">
      <w:pPr>
        <w:pStyle w:val="SangriaFrancesaArticulo"/>
      </w:pPr>
    </w:p>
    <w:p w:rsidR="002C5A78" w:rsidRDefault="002C5A78" w:rsidP="002C5A78">
      <w:pPr>
        <w:pStyle w:val="TextoNormalNegritaCursivandice"/>
        <w:keepNext/>
      </w:pPr>
      <w:r>
        <w:t>Real Decreto 1529/2012, de 8 de noviembre. Desarrolla el contrato para la formación y el aprendizaje y se establecen las bases de la formación profesional dual</w:t>
      </w:r>
    </w:p>
    <w:p w:rsidR="002C5A78" w:rsidRDefault="002C5A78" w:rsidP="002C5A78">
      <w:pPr>
        <w:pStyle w:val="SangriaFrancesaArticulo"/>
      </w:pPr>
      <w:r w:rsidRPr="002C5A78">
        <w:rPr>
          <w:rStyle w:val="TextoNormalNegritaCaracter"/>
        </w:rPr>
        <w:t>Artículo 28.2.</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Artículos 28 a 34.</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p>
    <w:p w:rsidR="002C5A78" w:rsidRDefault="002C5A78" w:rsidP="002C5A78">
      <w:pPr>
        <w:pStyle w:val="TextoNormalNegritaCursivandice"/>
        <w:keepNext/>
      </w:pPr>
      <w:r>
        <w:t>Orden ESS/485/2013, de 26 de marzo, por la que se regulan las notificaciones y comunicaciones por medios electrónicos en el ámbito de la Seguridad Social.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3" w:history="1">
        <w:r w:rsidRPr="002C5A78">
          <w:rPr>
            <w:rStyle w:val="TextoNormalCaracter"/>
          </w:rPr>
          <w:t>63/2021</w:t>
        </w:r>
      </w:hyperlink>
      <w:r>
        <w:t>, f. 1.</w:t>
      </w:r>
    </w:p>
    <w:p w:rsidR="002C5A78" w:rsidRDefault="002C5A78" w:rsidP="002C5A78">
      <w:pPr>
        <w:pStyle w:val="SangriaFrancesaArticulo"/>
      </w:pPr>
    </w:p>
    <w:p w:rsidR="002C5A78" w:rsidRDefault="002C5A78" w:rsidP="002C5A78">
      <w:pPr>
        <w:pStyle w:val="TextoNormalNegritaCursivandice"/>
        <w:keepNext/>
      </w:pPr>
      <w:r>
        <w:t>Real Decreto 53/2014, de 31 de enero. Desarrollo de la composición, organización y funciones del Tribunal Administrativo del Deporte</w:t>
      </w:r>
    </w:p>
    <w:p w:rsidR="002C5A78" w:rsidRDefault="002C5A78" w:rsidP="002C5A78">
      <w:pPr>
        <w:pStyle w:val="SangriaFrancesaArticulo"/>
      </w:pPr>
      <w:r w:rsidRPr="002C5A78">
        <w:rPr>
          <w:rStyle w:val="TextoNormalNegritaCaracter"/>
        </w:rPr>
        <w:t>Artículo 1.1 c).</w:t>
      </w:r>
      <w:r w:rsidRPr="002C5A78">
        <w:rPr>
          <w:rStyle w:val="TextoNormalCaracter"/>
        </w:rPr>
        <w:t>-</w:t>
      </w:r>
      <w:r>
        <w:t xml:space="preserve"> Sentencia </w:t>
      </w:r>
      <w:hyperlink w:anchor="SENTENCIA_2021_5" w:history="1">
        <w:r w:rsidRPr="002C5A78">
          <w:rPr>
            <w:rStyle w:val="TextoNormalCaracter"/>
          </w:rPr>
          <w:t>5/2021</w:t>
        </w:r>
      </w:hyperlink>
      <w:r>
        <w:t>, f. 3.</w:t>
      </w:r>
    </w:p>
    <w:p w:rsidR="002C5A78" w:rsidRDefault="002C5A78" w:rsidP="002C5A78">
      <w:pPr>
        <w:pStyle w:val="SangriaFrancesaArticulo"/>
      </w:pPr>
    </w:p>
    <w:p w:rsidR="002C5A78" w:rsidRDefault="002C5A78" w:rsidP="002C5A78">
      <w:pPr>
        <w:pStyle w:val="TextoNormalNegritaCursivandice"/>
        <w:keepNext/>
      </w:pPr>
      <w:r>
        <w:t>Real Decreto 412/2014, de 6 de junio, por el que se establece la normativa básica de los procedimientos de admisión a las enseñanzas universitarias oficiales de grado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38" w:history="1">
        <w:r w:rsidRPr="002C5A78">
          <w:rPr>
            <w:rStyle w:val="TextoNormalCaracter"/>
          </w:rPr>
          <w:t>138/2021</w:t>
        </w:r>
      </w:hyperlink>
      <w:r>
        <w:t>, f. 3.</w:t>
      </w:r>
    </w:p>
    <w:p w:rsidR="002C5A78" w:rsidRDefault="002C5A78" w:rsidP="002C5A78">
      <w:pPr>
        <w:pStyle w:val="SangriaFrancesaArticulo"/>
      </w:pPr>
    </w:p>
    <w:p w:rsidR="002C5A78" w:rsidRDefault="002C5A78" w:rsidP="002C5A78">
      <w:pPr>
        <w:pStyle w:val="TextoNormalNegritaCursivandice"/>
        <w:keepNext/>
      </w:pPr>
      <w:r>
        <w:t>Real Decreto 420/2015, de 29 de mayo. Creación, reconocimiento, autorización y acreditación de universidades y centros universitarios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38" w:history="1">
        <w:r w:rsidRPr="002C5A78">
          <w:rPr>
            <w:rStyle w:val="TextoNormalCaracter"/>
          </w:rPr>
          <w:t>138/2021</w:t>
        </w:r>
      </w:hyperlink>
      <w:r>
        <w:t>, f. 3.</w:t>
      </w:r>
    </w:p>
    <w:p w:rsidR="002C5A78" w:rsidRDefault="002C5A78" w:rsidP="002C5A78">
      <w:pPr>
        <w:pStyle w:val="SangriaFrancesaArticulo"/>
      </w:pPr>
    </w:p>
    <w:p w:rsidR="002C5A78" w:rsidRDefault="002C5A78" w:rsidP="002C5A78">
      <w:pPr>
        <w:pStyle w:val="TextoNormalNegritaCursivandice"/>
        <w:keepNext/>
      </w:pPr>
      <w:r>
        <w:t>Orden ECD/2764/2015, de 18 de diciembre. Regula los procesos electorales en las federaciones deportivas españolas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3.2 c).</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5" w:history="1">
        <w:r w:rsidRPr="002C5A78">
          <w:rPr>
            <w:rStyle w:val="TextoNormalCaracter"/>
          </w:rPr>
          <w:t>5/2021</w:t>
        </w:r>
      </w:hyperlink>
      <w:r>
        <w:t>, f. 5.</w:t>
      </w:r>
    </w:p>
    <w:p w:rsidR="002C5A78" w:rsidRDefault="002C5A78" w:rsidP="002C5A78">
      <w:pPr>
        <w:pStyle w:val="SangriaFrancesaArticulo"/>
      </w:pPr>
      <w:r w:rsidRPr="002C5A78">
        <w:rPr>
          <w:rStyle w:val="TextoNormalNegritaCaracter"/>
        </w:rPr>
        <w:t>Artículo 12.4.</w:t>
      </w:r>
      <w:r w:rsidRPr="002C5A78">
        <w:rPr>
          <w:rStyle w:val="TextoNormalCaracter"/>
        </w:rPr>
        <w:t>-</w:t>
      </w:r>
      <w:r>
        <w:t xml:space="preserve"> Sentencia </w:t>
      </w:r>
      <w:hyperlink w:anchor="SENTENCIA_2021_5" w:history="1">
        <w:r w:rsidRPr="002C5A78">
          <w:rPr>
            <w:rStyle w:val="TextoNormalCaracter"/>
          </w:rPr>
          <w:t>5/2021</w:t>
        </w:r>
      </w:hyperlink>
      <w:r>
        <w:t>, ff. 1, 5.</w:t>
      </w:r>
    </w:p>
    <w:p w:rsidR="002C5A78" w:rsidRDefault="002C5A78" w:rsidP="002C5A78">
      <w:pPr>
        <w:pStyle w:val="SangriaFrancesaArticulo"/>
      </w:pPr>
      <w:r w:rsidRPr="002C5A78">
        <w:rPr>
          <w:rStyle w:val="TextoNormalNegritaCaracter"/>
        </w:rPr>
        <w:t>Artículo 25.1.</w:t>
      </w:r>
      <w:r w:rsidRPr="002C5A78">
        <w:rPr>
          <w:rStyle w:val="TextoNormalCaracter"/>
        </w:rPr>
        <w:t>-</w:t>
      </w:r>
      <w:r>
        <w:t xml:space="preserve"> Sentencia </w:t>
      </w:r>
      <w:hyperlink w:anchor="SENTENCIA_2021_5" w:history="1">
        <w:r w:rsidRPr="002C5A78">
          <w:rPr>
            <w:rStyle w:val="TextoNormalCaracter"/>
          </w:rPr>
          <w:t>5/2021</w:t>
        </w:r>
      </w:hyperlink>
      <w:r>
        <w:t>, f .3.</w:t>
      </w:r>
    </w:p>
    <w:p w:rsidR="002C5A78" w:rsidRDefault="002C5A78" w:rsidP="002C5A78">
      <w:pPr>
        <w:pStyle w:val="SangriaFrancesaArticulo"/>
      </w:pPr>
    </w:p>
    <w:p w:rsidR="002C5A78" w:rsidRDefault="002C5A78" w:rsidP="002C5A78">
      <w:pPr>
        <w:pStyle w:val="TextoNormalNegritaCursivandice"/>
        <w:keepNext/>
      </w:pPr>
      <w:r>
        <w:t>Real Decreto 1/2016, de 8 de enero. Aprueba la revisión de los planes hidrológicos de las demarcaciones hidrográficas del Cantábrico Occidental, Guadalquivir, Ceuta, Melilla, Segura y Júcar, y de la parte española de las demarcaciones hidrográficas del Cantábrico Oriental, Miño-Sil, Duero, Tajo, Guadiana y Ebro</w:t>
      </w:r>
    </w:p>
    <w:p w:rsidR="002C5A78" w:rsidRDefault="002C5A78" w:rsidP="002C5A78">
      <w:pPr>
        <w:pStyle w:val="SangriaFrancesaArticulo"/>
      </w:pPr>
      <w:r w:rsidRPr="002C5A78">
        <w:rPr>
          <w:rStyle w:val="TextoNormalNegritaCaracter"/>
        </w:rPr>
        <w:t>Anexo X. Artículo 14.8.</w:t>
      </w:r>
      <w:r w:rsidRPr="002C5A78">
        <w:rPr>
          <w:rStyle w:val="TextoNormalCaracter"/>
        </w:rPr>
        <w:t>-</w:t>
      </w:r>
      <w:r>
        <w:t xml:space="preserve"> Sentencia </w:t>
      </w:r>
      <w:hyperlink w:anchor="SENTENCIA_2021_112" w:history="1">
        <w:r w:rsidRPr="002C5A78">
          <w:rPr>
            <w:rStyle w:val="TextoNormalCaracter"/>
          </w:rPr>
          <w:t>112/2021</w:t>
        </w:r>
      </w:hyperlink>
      <w:r>
        <w:t>, f. 3.</w:t>
      </w:r>
    </w:p>
    <w:p w:rsidR="002C5A78" w:rsidRDefault="002C5A78" w:rsidP="002C5A78">
      <w:pPr>
        <w:pStyle w:val="SangriaFrancesaArticulo"/>
      </w:pPr>
    </w:p>
    <w:p w:rsidR="002C5A78" w:rsidRDefault="002C5A78" w:rsidP="002C5A78">
      <w:pPr>
        <w:pStyle w:val="TextoNormalNegritaCursivandice"/>
        <w:keepNext/>
      </w:pPr>
      <w:r>
        <w:t>Real Decreto 694/2017, de 3 de julio. Desarrolla la Ley 30/2015, de 9 de septiembre, por la que se regula el sistema de formación profesional para el empleo en el ámbito laboral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9" w:history="1">
        <w:r w:rsidRPr="002C5A78">
          <w:rPr>
            <w:rStyle w:val="TextoNormalCaracter"/>
          </w:rPr>
          <w:t>39/2021</w:t>
        </w:r>
      </w:hyperlink>
      <w:r>
        <w:t>, ff. 2, 3.</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p>
    <w:p w:rsidR="002C5A78" w:rsidRDefault="002C5A78" w:rsidP="002C5A78">
      <w:pPr>
        <w:pStyle w:val="TextoNormalNegritaCursivandice"/>
        <w:keepNext/>
      </w:pPr>
      <w:r>
        <w:t>Real Decreto 770/2017, de 28 de julio, por el que se desarrolla la estructura orgánica básica del Ministerio del Interior</w:t>
      </w:r>
    </w:p>
    <w:p w:rsidR="002C5A78" w:rsidRDefault="002C5A78" w:rsidP="002C5A78">
      <w:pPr>
        <w:pStyle w:val="SangriaFrancesaArticulo"/>
      </w:pPr>
      <w:r w:rsidRPr="002C5A78">
        <w:rPr>
          <w:rStyle w:val="TextoNormalNegritaCaracter"/>
        </w:rPr>
        <w:t>Artículo 2.3 a).</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Real Decreto 946/2017, de 27 de octubre, de convocatoria de elecciones al Parlamento de Cataluña y de su disolución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Real Decreto 1036/2017, de 15 de diciembre, por el que se regula la utilización civil de las aeronaves pilotadas por control remoto, y se modifican el Real Decreto 552/2014, de 27 de junio, por el que se desarrolla el reglamento del aire y disposiciones operativas comunes para los servicios y procedimientos de navegación aérea y el Real Decreto 57/2002, de 18 de enero, por el que se aprueba el reglamento de circulación aérea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 w:history="1">
        <w:r w:rsidRPr="002C5A78">
          <w:rPr>
            <w:rStyle w:val="TextoNormalCaracter"/>
          </w:rPr>
          <w:t>13/2021</w:t>
        </w:r>
      </w:hyperlink>
      <w:r>
        <w:t>, f. 10.</w:t>
      </w:r>
    </w:p>
    <w:p w:rsidR="002C5A78" w:rsidRDefault="002C5A78" w:rsidP="002C5A78">
      <w:pPr>
        <w:pStyle w:val="SangriaFrancesaArticulo"/>
      </w:pPr>
    </w:p>
    <w:p w:rsidR="002C5A78" w:rsidRDefault="002C5A78" w:rsidP="002C5A78">
      <w:pPr>
        <w:pStyle w:val="TextoNormalNegritaCursivandice"/>
        <w:keepNext/>
      </w:pPr>
      <w:r>
        <w:t>Resolución de 25 de febrero de 2019, de la Secretaría de Estado de Servicios Sociales. Reglamento interno del consejo territorial de servicios sociales y del sistema para la autonomía y atención a la dependencia.</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13.1.</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13.5 h).</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17.1.</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p>
    <w:p w:rsidR="002C5A78" w:rsidRDefault="002C5A78" w:rsidP="002C5A78">
      <w:pPr>
        <w:pStyle w:val="TextoNormalNegritaCursivandice"/>
        <w:keepNext/>
      </w:pPr>
      <w:r>
        <w:t>Real Decreto 129/2019, de 4 de marzo. Disolución del Congreso de los Diputados y del Senado y de convocatoria de elecciones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0" w:history="1">
        <w:r w:rsidRPr="002C5A78">
          <w:rPr>
            <w:rStyle w:val="TextoNormalCaracter"/>
          </w:rPr>
          <w:t>70/2021</w:t>
        </w:r>
      </w:hyperlink>
      <w:r>
        <w:t xml:space="preserve">, ff. 2, 6; </w:t>
      </w:r>
      <w:hyperlink w:anchor="SENTENCIA_2021_71" w:history="1">
        <w:r w:rsidRPr="002C5A78">
          <w:rPr>
            <w:rStyle w:val="TextoNormalCaracter"/>
          </w:rPr>
          <w:t>71/2021</w:t>
        </w:r>
      </w:hyperlink>
      <w:r>
        <w:t>, ff. 2, 6.</w:t>
      </w:r>
    </w:p>
    <w:p w:rsidR="002C5A78" w:rsidRDefault="002C5A78" w:rsidP="002C5A78">
      <w:pPr>
        <w:pStyle w:val="SangriaFrancesaArticulo"/>
      </w:pPr>
    </w:p>
    <w:p w:rsidR="002C5A78" w:rsidRDefault="002C5A78" w:rsidP="002C5A78">
      <w:pPr>
        <w:pStyle w:val="TextoNormalNegritaCursivandice"/>
        <w:keepNext/>
      </w:pPr>
      <w:r>
        <w:t>Real Decreto 130/2019, de 8 de marzo. Base de datos nacional de subvenciones y la publicidad de las subvenciones y demás ayudas públicas</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37" w:history="1">
        <w:r w:rsidRPr="002C5A78">
          <w:rPr>
            <w:rStyle w:val="TextoNormalCaracter"/>
          </w:rPr>
          <w:t>37/2021</w:t>
        </w:r>
      </w:hyperlink>
      <w:r>
        <w:t>, ff. 3, 7.</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37" w:history="1">
        <w:r w:rsidRPr="002C5A78">
          <w:rPr>
            <w:rStyle w:val="TextoNormalCaracter"/>
          </w:rPr>
          <w:t>37/2021</w:t>
        </w:r>
      </w:hyperlink>
      <w:r>
        <w:t>, f. 5.</w:t>
      </w:r>
    </w:p>
    <w:p w:rsidR="002C5A78" w:rsidRDefault="002C5A78" w:rsidP="002C5A78">
      <w:pPr>
        <w:pStyle w:val="SangriaFrancesaArticulo"/>
      </w:pPr>
      <w:r w:rsidRPr="002C5A78">
        <w:rPr>
          <w:rStyle w:val="TextoNormalNegritaCaracter"/>
        </w:rPr>
        <w:t xml:space="preserve">Artículo 3.1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37" w:history="1">
        <w:r w:rsidRPr="002C5A78">
          <w:rPr>
            <w:rStyle w:val="TextoNormalCaracter"/>
          </w:rPr>
          <w:t>37/2021</w:t>
        </w:r>
      </w:hyperlink>
      <w:r>
        <w:t>, ff. 1, 2.</w:t>
      </w:r>
    </w:p>
    <w:p w:rsidR="002C5A78" w:rsidRDefault="002C5A78" w:rsidP="002C5A78">
      <w:pPr>
        <w:pStyle w:val="SangriaFrancesaArticulo"/>
      </w:pPr>
      <w:r w:rsidRPr="002C5A78">
        <w:rPr>
          <w:rStyle w:val="TextoNormalNegritaCaracter"/>
        </w:rPr>
        <w:t xml:space="preserve">Artículo 3.1 </w:t>
      </w:r>
      <w:r w:rsidRPr="002C5A78">
        <w:rPr>
          <w:rStyle w:val="TextoNormalNegritaCursivaCaracter"/>
        </w:rPr>
        <w:t>in fine</w:t>
      </w:r>
      <w:r w:rsidRPr="002C5A78">
        <w:rPr>
          <w:rStyle w:val="TextoNormalCaracter"/>
        </w:rPr>
        <w:t>, inciso "legislativos y"</w:t>
      </w:r>
      <w:r w:rsidRPr="002C5A78">
        <w:rPr>
          <w:rStyle w:val="TextoNormalNegritaCaracter"/>
        </w:rPr>
        <w:t>.</w:t>
      </w:r>
      <w:r w:rsidRPr="002C5A78">
        <w:rPr>
          <w:rStyle w:val="TextoNormalCaracter"/>
        </w:rPr>
        <w:t>-</w:t>
      </w:r>
      <w:r>
        <w:t xml:space="preserve"> Sentencia </w:t>
      </w:r>
      <w:hyperlink w:anchor="SENTENCIA_2021_37" w:history="1">
        <w:r w:rsidRPr="002C5A78">
          <w:rPr>
            <w:rStyle w:val="TextoNormalCaracter"/>
          </w:rPr>
          <w:t>37/2021</w:t>
        </w:r>
      </w:hyperlink>
      <w:r>
        <w:t>, ff. 2, 5.</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37" w:history="1">
        <w:r w:rsidRPr="002C5A78">
          <w:rPr>
            <w:rStyle w:val="TextoNormalCaracter"/>
          </w:rPr>
          <w:t>37/2021</w:t>
        </w:r>
      </w:hyperlink>
      <w:r>
        <w:t>, ff. 1, 2, 6.</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 </w:t>
      </w:r>
      <w:hyperlink w:anchor="SENTENCIA_2021_37" w:history="1">
        <w:r w:rsidRPr="002C5A78">
          <w:rPr>
            <w:rStyle w:val="TextoNormalCaracter"/>
          </w:rPr>
          <w:t>37/2021</w:t>
        </w:r>
      </w:hyperlink>
      <w:r>
        <w:t>, ff. 2, 5, 6.</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37" w:history="1">
        <w:r w:rsidRPr="002C5A78">
          <w:rPr>
            <w:rStyle w:val="TextoNormalCaracter"/>
          </w:rPr>
          <w:t>37/2021</w:t>
        </w:r>
      </w:hyperlink>
      <w:r>
        <w:t>, f. 3.</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37" w:history="1">
        <w:r w:rsidRPr="002C5A78">
          <w:rPr>
            <w:rStyle w:val="TextoNormalCaracter"/>
          </w:rPr>
          <w:t>37/2021</w:t>
        </w:r>
      </w:hyperlink>
      <w:r>
        <w:t>, ff. 1, 2, 7.</w:t>
      </w:r>
    </w:p>
    <w:p w:rsidR="002C5A78" w:rsidRDefault="002C5A78" w:rsidP="002C5A78">
      <w:pPr>
        <w:pStyle w:val="SangriaFrancesaArticulo"/>
      </w:pPr>
      <w:r w:rsidRPr="002C5A78">
        <w:rPr>
          <w:rStyle w:val="TextoNormalNegritaCaracter"/>
        </w:rPr>
        <w:t>Artículo 6.3 inciso final.</w:t>
      </w:r>
      <w:r w:rsidRPr="002C5A78">
        <w:rPr>
          <w:rStyle w:val="TextoNormalCaracter"/>
        </w:rPr>
        <w:t>-</w:t>
      </w:r>
      <w:r>
        <w:t xml:space="preserve"> Sentencia </w:t>
      </w:r>
      <w:hyperlink w:anchor="SENTENCIA_2021_37" w:history="1">
        <w:r w:rsidRPr="002C5A78">
          <w:rPr>
            <w:rStyle w:val="TextoNormalCaracter"/>
          </w:rPr>
          <w:t>37/2021</w:t>
        </w:r>
      </w:hyperlink>
      <w:r>
        <w:t>, f. 2.</w:t>
      </w:r>
    </w:p>
    <w:p w:rsidR="002C5A78" w:rsidRDefault="002C5A78" w:rsidP="002C5A78">
      <w:pPr>
        <w:pStyle w:val="SangriaFrancesaArticulo"/>
      </w:pPr>
      <w:r w:rsidRPr="002C5A78">
        <w:rPr>
          <w:rStyle w:val="TextoNormalNegritaCaracter"/>
        </w:rPr>
        <w:t>Artículo 6.7.</w:t>
      </w:r>
      <w:r w:rsidRPr="002C5A78">
        <w:rPr>
          <w:rStyle w:val="TextoNormalCaracter"/>
        </w:rPr>
        <w:t>-</w:t>
      </w:r>
      <w:r>
        <w:t xml:space="preserve"> Sentencia </w:t>
      </w:r>
      <w:hyperlink w:anchor="SENTENCIA_2021_37" w:history="1">
        <w:r w:rsidRPr="002C5A78">
          <w:rPr>
            <w:rStyle w:val="TextoNormalCaracter"/>
          </w:rPr>
          <w:t>37/2021</w:t>
        </w:r>
      </w:hyperlink>
      <w:r>
        <w:t>, ff. 1, 2, 8.</w:t>
      </w:r>
    </w:p>
    <w:p w:rsidR="002C5A78" w:rsidRDefault="002C5A78" w:rsidP="002C5A78">
      <w:pPr>
        <w:pStyle w:val="SangriaFrancesaArticulo"/>
      </w:pPr>
      <w:r w:rsidRPr="002C5A78">
        <w:rPr>
          <w:rStyle w:val="TextoNormalNegritaCaracter"/>
        </w:rPr>
        <w:t>Artículo 10.1.</w:t>
      </w:r>
      <w:r w:rsidRPr="002C5A78">
        <w:rPr>
          <w:rStyle w:val="TextoNormalCaracter"/>
        </w:rPr>
        <w:t>-</w:t>
      </w:r>
      <w:r>
        <w:t xml:space="preserve"> Sentencia </w:t>
      </w:r>
      <w:hyperlink w:anchor="SENTENCIA_2021_37" w:history="1">
        <w:r w:rsidRPr="002C5A78">
          <w:rPr>
            <w:rStyle w:val="TextoNormalCaracter"/>
          </w:rPr>
          <w:t>37/2021</w:t>
        </w:r>
      </w:hyperlink>
      <w:r>
        <w:t>, ff. 1, 2.</w:t>
      </w:r>
    </w:p>
    <w:p w:rsidR="002C5A78" w:rsidRDefault="002C5A78" w:rsidP="002C5A78">
      <w:pPr>
        <w:pStyle w:val="SangriaFrancesaArticulo"/>
      </w:pPr>
      <w:r w:rsidRPr="002C5A78">
        <w:rPr>
          <w:rStyle w:val="TextoNormalNegritaCaracter"/>
        </w:rPr>
        <w:t>Artículo 10.5.</w:t>
      </w:r>
      <w:r w:rsidRPr="002C5A78">
        <w:rPr>
          <w:rStyle w:val="TextoNormalCaracter"/>
        </w:rPr>
        <w:t>-</w:t>
      </w:r>
      <w:r>
        <w:t xml:space="preserve"> Sentencia </w:t>
      </w:r>
      <w:hyperlink w:anchor="SENTENCIA_2021_37" w:history="1">
        <w:r w:rsidRPr="002C5A78">
          <w:rPr>
            <w:rStyle w:val="TextoNormalCaracter"/>
          </w:rPr>
          <w:t>37/2021</w:t>
        </w:r>
      </w:hyperlink>
      <w:r>
        <w:t>, f. 3.</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37" w:history="1">
        <w:r w:rsidRPr="002C5A78">
          <w:rPr>
            <w:rStyle w:val="TextoNormalCaracter"/>
          </w:rPr>
          <w:t>37/2021</w:t>
        </w:r>
      </w:hyperlink>
      <w:r>
        <w:t>, f. 3.</w:t>
      </w:r>
    </w:p>
    <w:p w:rsidR="002C5A78" w:rsidRDefault="002C5A78" w:rsidP="002C5A78">
      <w:pPr>
        <w:pStyle w:val="SangriaFrancesaArticulo"/>
      </w:pPr>
      <w:r w:rsidRPr="002C5A78">
        <w:rPr>
          <w:rStyle w:val="TextoNormalNegritaCaracter"/>
        </w:rPr>
        <w:t>Disposición final segunda.</w:t>
      </w:r>
      <w:r w:rsidRPr="002C5A78">
        <w:rPr>
          <w:rStyle w:val="TextoNormalCaracter"/>
        </w:rPr>
        <w:t>-</w:t>
      </w:r>
      <w:r>
        <w:t xml:space="preserve"> Sentencia </w:t>
      </w:r>
      <w:hyperlink w:anchor="SENTENCIA_2021_37" w:history="1">
        <w:r w:rsidRPr="002C5A78">
          <w:rPr>
            <w:rStyle w:val="TextoNormalCaracter"/>
          </w:rPr>
          <w:t>37/2021</w:t>
        </w:r>
      </w:hyperlink>
      <w:r>
        <w:t>, f. 3.</w:t>
      </w:r>
    </w:p>
    <w:p w:rsidR="002C5A78" w:rsidRDefault="002C5A78" w:rsidP="002C5A78">
      <w:pPr>
        <w:pStyle w:val="SangriaFrancesaArticulo"/>
      </w:pPr>
    </w:p>
    <w:p w:rsidR="002C5A78" w:rsidRDefault="002C5A78" w:rsidP="002C5A78">
      <w:pPr>
        <w:pStyle w:val="TextoNormalNegritaCursivandice"/>
        <w:keepNext/>
      </w:pPr>
      <w:r>
        <w:t>Real Decreto 165/2019, de 22 de marzo, por el que se aprueba el reglamento de adopción internacional.</w:t>
      </w:r>
    </w:p>
    <w:p w:rsidR="002C5A78" w:rsidRDefault="002C5A78" w:rsidP="002C5A78">
      <w:pPr>
        <w:pStyle w:val="SangriaFrancesaArticulo"/>
      </w:pPr>
      <w:r w:rsidRPr="002C5A78">
        <w:rPr>
          <w:rStyle w:val="TextoNormalNegritaCaracter"/>
        </w:rPr>
        <w:t>Capítulo VI.</w:t>
      </w:r>
      <w:r w:rsidRPr="002C5A78">
        <w:rPr>
          <w:rStyle w:val="TextoNormalCaracter"/>
        </w:rPr>
        <w:t>-</w:t>
      </w:r>
      <w:r>
        <w:t xml:space="preserve"> Sentencia </w:t>
      </w:r>
      <w:hyperlink w:anchor="SENTENCIA_2021_36" w:history="1">
        <w:r w:rsidRPr="002C5A78">
          <w:rPr>
            <w:rStyle w:val="TextoNormalCaracter"/>
          </w:rPr>
          <w:t>36/2021</w:t>
        </w:r>
      </w:hyperlink>
      <w:r>
        <w:t>, f. 14.</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36" w:history="1">
        <w:r w:rsidRPr="002C5A78">
          <w:rPr>
            <w:rStyle w:val="TextoNormalCaracter"/>
          </w:rPr>
          <w:t>36/2021</w:t>
        </w:r>
      </w:hyperlink>
      <w:r>
        <w:t>, ff. 1, 5, VP.</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36" w:history="1">
        <w:r w:rsidRPr="002C5A78">
          <w:rPr>
            <w:rStyle w:val="TextoNormalCaracter"/>
          </w:rPr>
          <w:t>36/2021</w:t>
        </w:r>
      </w:hyperlink>
      <w:r>
        <w:t>, ff. 1, 6, VP.</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36" w:history="1">
        <w:r w:rsidRPr="002C5A78">
          <w:rPr>
            <w:rStyle w:val="TextoNormalCaracter"/>
          </w:rPr>
          <w:t>36/2021</w:t>
        </w:r>
      </w:hyperlink>
      <w:r>
        <w:t>, ff. 1, 6, VP.</w:t>
      </w:r>
    </w:p>
    <w:p w:rsidR="002C5A78" w:rsidRDefault="002C5A78" w:rsidP="002C5A78">
      <w:pPr>
        <w:pStyle w:val="SangriaFrancesaArticulo"/>
      </w:pPr>
      <w:r w:rsidRPr="002C5A78">
        <w:rPr>
          <w:rStyle w:val="TextoNormalNegritaCaracter"/>
        </w:rPr>
        <w:t>Artículo 7.1.</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 </w:t>
      </w:r>
      <w:hyperlink w:anchor="SENTENCIA_2021_36" w:history="1">
        <w:r w:rsidRPr="002C5A78">
          <w:rPr>
            <w:rStyle w:val="TextoNormalCaracter"/>
          </w:rPr>
          <w:t>36/2021</w:t>
        </w:r>
      </w:hyperlink>
      <w:r>
        <w:t>, f. 6.</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36" w:history="1">
        <w:r w:rsidRPr="002C5A78">
          <w:rPr>
            <w:rStyle w:val="TextoNormalCaracter"/>
          </w:rPr>
          <w:t>36/2021</w:t>
        </w:r>
      </w:hyperlink>
      <w:r>
        <w:t>, ff. 1, 6, VP.</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36" w:history="1">
        <w:r w:rsidRPr="002C5A78">
          <w:rPr>
            <w:rStyle w:val="TextoNormalCaracter"/>
          </w:rPr>
          <w:t>36/2021</w:t>
        </w:r>
      </w:hyperlink>
      <w:r>
        <w:t>, ff. 1, 6, VP.</w:t>
      </w:r>
    </w:p>
    <w:p w:rsidR="002C5A78" w:rsidRDefault="002C5A78" w:rsidP="002C5A78">
      <w:pPr>
        <w:pStyle w:val="SangriaFrancesaArticulo"/>
      </w:pPr>
      <w:r w:rsidRPr="002C5A78">
        <w:rPr>
          <w:rStyle w:val="TextoNormalNegritaCaracter"/>
        </w:rPr>
        <w:t>Artículo 8.4.</w:t>
      </w:r>
      <w:r w:rsidRPr="002C5A78">
        <w:rPr>
          <w:rStyle w:val="TextoNormalCaracter"/>
        </w:rPr>
        <w:t>-</w:t>
      </w:r>
      <w:r>
        <w:t xml:space="preserve"> Sentencia </w:t>
      </w:r>
      <w:hyperlink w:anchor="SENTENCIA_2021_36" w:history="1">
        <w:r w:rsidRPr="002C5A78">
          <w:rPr>
            <w:rStyle w:val="TextoNormalCaracter"/>
          </w:rPr>
          <w:t>36/2021</w:t>
        </w:r>
      </w:hyperlink>
      <w:r>
        <w:t>, ff. 1, 6, VP.</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10.</w:t>
      </w:r>
      <w:r w:rsidRPr="002C5A78">
        <w:rPr>
          <w:rStyle w:val="TextoNormalCaracter"/>
        </w:rPr>
        <w:t>-</w:t>
      </w:r>
      <w:r>
        <w:t xml:space="preserve"> Sentencia </w:t>
      </w:r>
      <w:hyperlink w:anchor="SENTENCIA_2021_36" w:history="1">
        <w:r w:rsidRPr="002C5A78">
          <w:rPr>
            <w:rStyle w:val="TextoNormalCaracter"/>
          </w:rPr>
          <w:t>36/2021</w:t>
        </w:r>
      </w:hyperlink>
      <w:r>
        <w:t>, ff. 1, 7, VP.</w:t>
      </w:r>
    </w:p>
    <w:p w:rsidR="002C5A78" w:rsidRDefault="002C5A78" w:rsidP="002C5A78">
      <w:pPr>
        <w:pStyle w:val="SangriaFrancesaArticulo"/>
      </w:pPr>
      <w:r w:rsidRPr="002C5A78">
        <w:rPr>
          <w:rStyle w:val="TextoNormalNegritaCaracter"/>
        </w:rPr>
        <w:t>Artículo 10 apartados 1, 2, 5.</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10 apartados 3, 4.</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36" w:history="1">
        <w:r w:rsidRPr="002C5A78">
          <w:rPr>
            <w:rStyle w:val="TextoNormalCaracter"/>
          </w:rPr>
          <w:t>36/2021</w:t>
        </w:r>
      </w:hyperlink>
      <w:r>
        <w:t>, ff. 1, 7, VP.</w:t>
      </w:r>
    </w:p>
    <w:p w:rsidR="002C5A78" w:rsidRDefault="002C5A78" w:rsidP="002C5A78">
      <w:pPr>
        <w:pStyle w:val="SangriaFrancesaArticulo"/>
      </w:pPr>
      <w:r w:rsidRPr="002C5A78">
        <w:rPr>
          <w:rStyle w:val="TextoNormalNegritaCaracter"/>
        </w:rPr>
        <w:t>Artículo 11 apartado 3.</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11 apartados 1 y 2.</w:t>
      </w:r>
      <w:r w:rsidRPr="002C5A78">
        <w:rPr>
          <w:rStyle w:val="TextoNormalCaracter"/>
        </w:rPr>
        <w:t>-</w:t>
      </w:r>
      <w:r>
        <w:t xml:space="preserve"> Sentencia </w:t>
      </w:r>
      <w:hyperlink w:anchor="SENTENCIA_2021_36" w:history="1">
        <w:r w:rsidRPr="002C5A78">
          <w:rPr>
            <w:rStyle w:val="TextoNormalCaracter"/>
          </w:rPr>
          <w:t>36/2021</w:t>
        </w:r>
      </w:hyperlink>
      <w:r>
        <w:t>, f. 7.</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36" w:history="1">
        <w:r w:rsidRPr="002C5A78">
          <w:rPr>
            <w:rStyle w:val="TextoNormalCaracter"/>
          </w:rPr>
          <w:t>36/2021</w:t>
        </w:r>
      </w:hyperlink>
      <w:r>
        <w:t>, ff. 1, 8, 11, VP.</w:t>
      </w:r>
    </w:p>
    <w:p w:rsidR="002C5A78" w:rsidRDefault="002C5A78" w:rsidP="002C5A78">
      <w:pPr>
        <w:pStyle w:val="SangriaFrancesaArticulo"/>
      </w:pPr>
      <w:r w:rsidRPr="002C5A78">
        <w:rPr>
          <w:rStyle w:val="TextoNormalNegritaCaracter"/>
        </w:rPr>
        <w:t>Artículo 12.1.</w:t>
      </w:r>
      <w:r w:rsidRPr="002C5A78">
        <w:rPr>
          <w:rStyle w:val="TextoNormalCaracter"/>
        </w:rPr>
        <w:t>-</w:t>
      </w:r>
      <w:r>
        <w:t xml:space="preserve"> Sentencia </w:t>
      </w:r>
      <w:hyperlink w:anchor="SENTENCIA_2021_36" w:history="1">
        <w:r w:rsidRPr="002C5A78">
          <w:rPr>
            <w:rStyle w:val="TextoNormalCaracter"/>
          </w:rPr>
          <w:t>36/2021</w:t>
        </w:r>
      </w:hyperlink>
      <w:r>
        <w:t>, f. 11.</w:t>
      </w:r>
    </w:p>
    <w:p w:rsidR="002C5A78" w:rsidRDefault="002C5A78" w:rsidP="002C5A78">
      <w:pPr>
        <w:pStyle w:val="SangriaFrancesaArticulo"/>
      </w:pPr>
      <w:r w:rsidRPr="002C5A78">
        <w:rPr>
          <w:rStyle w:val="TextoNormalNegritaCaracter"/>
        </w:rPr>
        <w:t>Artículo 12.2.</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13.b.2.</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15 a).</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15 b).</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15 c).</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15 d).</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15 f).</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15 g).</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15 h).</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15 i).</w:t>
      </w:r>
      <w:r w:rsidRPr="002C5A78">
        <w:rPr>
          <w:rStyle w:val="TextoNormalCaracter"/>
        </w:rPr>
        <w:t>-</w:t>
      </w:r>
      <w:r>
        <w:t xml:space="preserve"> Sentencia </w:t>
      </w:r>
      <w:hyperlink w:anchor="SENTENCIA_2021_36" w:history="1">
        <w:r w:rsidRPr="002C5A78">
          <w:rPr>
            <w:rStyle w:val="TextoNormalCaracter"/>
          </w:rPr>
          <w:t>36/2021</w:t>
        </w:r>
      </w:hyperlink>
      <w:r>
        <w:t>, ff. 10, 13.</w:t>
      </w:r>
    </w:p>
    <w:p w:rsidR="002C5A78" w:rsidRDefault="002C5A78" w:rsidP="002C5A78">
      <w:pPr>
        <w:pStyle w:val="SangriaFrancesaArticulo"/>
      </w:pPr>
      <w:r w:rsidRPr="002C5A78">
        <w:rPr>
          <w:rStyle w:val="TextoNormalNegritaCaracter"/>
        </w:rPr>
        <w:t>Artículo 15 v).</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36" w:history="1">
        <w:r w:rsidRPr="002C5A78">
          <w:rPr>
            <w:rStyle w:val="TextoNormalCaracter"/>
          </w:rPr>
          <w:t>36/2021</w:t>
        </w:r>
      </w:hyperlink>
      <w:r>
        <w:t>, ff. 1, 8, 9, 10, VP.</w:t>
      </w:r>
    </w:p>
    <w:p w:rsidR="002C5A78" w:rsidRDefault="002C5A78" w:rsidP="002C5A78">
      <w:pPr>
        <w:pStyle w:val="SangriaFrancesaArticulo"/>
      </w:pPr>
      <w:r w:rsidRPr="002C5A78">
        <w:rPr>
          <w:rStyle w:val="TextoNormalNegritaCaracter"/>
        </w:rPr>
        <w:t>Artículo 17 apartados 1 y 2.</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20.1 c).</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20.2 b).</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20.2 d).</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22.1.</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22.4.</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22.6.</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22.7.</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22.8.</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23.4.</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23.6.</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 </w:t>
      </w:r>
      <w:hyperlink w:anchor="SENTENCIA_2021_36" w:history="1">
        <w:r w:rsidRPr="002C5A78">
          <w:rPr>
            <w:rStyle w:val="TextoNormalCaracter"/>
          </w:rPr>
          <w:t>36/2021</w:t>
        </w:r>
      </w:hyperlink>
      <w:r>
        <w:t>, ff. 1, 8, 9, 10, VP.</w:t>
      </w:r>
    </w:p>
    <w:p w:rsidR="002C5A78" w:rsidRDefault="002C5A78" w:rsidP="002C5A78">
      <w:pPr>
        <w:pStyle w:val="SangriaFrancesaArticulo"/>
      </w:pPr>
      <w:r w:rsidRPr="002C5A78">
        <w:rPr>
          <w:rStyle w:val="TextoNormalNegritaCaracter"/>
        </w:rPr>
        <w:t>Artículo  25.1.</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25.</w:t>
      </w:r>
      <w:r w:rsidRPr="002C5A78">
        <w:rPr>
          <w:rStyle w:val="TextoNormalCaracter"/>
        </w:rPr>
        <w:t>-</w:t>
      </w:r>
      <w:r>
        <w:t xml:space="preserve"> Sentencia </w:t>
      </w:r>
      <w:hyperlink w:anchor="SENTENCIA_2021_36" w:history="1">
        <w:r w:rsidRPr="002C5A78">
          <w:rPr>
            <w:rStyle w:val="TextoNormalCaracter"/>
          </w:rPr>
          <w:t>36/2021</w:t>
        </w:r>
      </w:hyperlink>
      <w:r>
        <w:t>, ff. 1, 8, 9, 10, VP.</w:t>
      </w:r>
    </w:p>
    <w:p w:rsidR="002C5A78" w:rsidRDefault="002C5A78" w:rsidP="002C5A78">
      <w:pPr>
        <w:pStyle w:val="SangriaFrancesaArticulo"/>
      </w:pPr>
      <w:r w:rsidRPr="002C5A78">
        <w:rPr>
          <w:rStyle w:val="TextoNormalNegritaCaracter"/>
        </w:rPr>
        <w:t>Artículo 26.</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26.1.</w:t>
      </w:r>
      <w:r w:rsidRPr="002C5A78">
        <w:rPr>
          <w:rStyle w:val="TextoNormalCaracter"/>
        </w:rPr>
        <w:t>-</w:t>
      </w:r>
      <w:r>
        <w:t xml:space="preserve"> Sentencia </w:t>
      </w:r>
      <w:hyperlink w:anchor="SENTENCIA_2021_36" w:history="1">
        <w:r w:rsidRPr="002C5A78">
          <w:rPr>
            <w:rStyle w:val="TextoNormalCaracter"/>
          </w:rPr>
          <w:t>36/2021</w:t>
        </w:r>
      </w:hyperlink>
      <w:r>
        <w:t>, ff. 9, 10.</w:t>
      </w:r>
    </w:p>
    <w:p w:rsidR="002C5A78" w:rsidRDefault="002C5A78" w:rsidP="002C5A78">
      <w:pPr>
        <w:pStyle w:val="SangriaFrancesaArticulo"/>
      </w:pPr>
      <w:r w:rsidRPr="002C5A78">
        <w:rPr>
          <w:rStyle w:val="TextoNormalNegritaCaracter"/>
        </w:rPr>
        <w:t>Artículo 26.3.</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26.5.</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36" w:history="1">
        <w:r w:rsidRPr="002C5A78">
          <w:rPr>
            <w:rStyle w:val="TextoNormalCaracter"/>
          </w:rPr>
          <w:t>36/2021</w:t>
        </w:r>
      </w:hyperlink>
      <w:r>
        <w:t>, ff. 1, 8, 9, 10, VP.</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36" w:history="1">
        <w:r w:rsidRPr="002C5A78">
          <w:rPr>
            <w:rStyle w:val="TextoNormalCaracter"/>
          </w:rPr>
          <w:t>36/2021</w:t>
        </w:r>
      </w:hyperlink>
      <w:r>
        <w:t>, ff. 1, 8 a 10, 14, VP.</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29 e).</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30.</w:t>
      </w:r>
      <w:r w:rsidRPr="002C5A78">
        <w:rPr>
          <w:rStyle w:val="TextoNormalCaracter"/>
        </w:rPr>
        <w:t>-</w:t>
      </w:r>
      <w:r>
        <w:t xml:space="preserve"> Sentencia </w:t>
      </w:r>
      <w:hyperlink w:anchor="SENTENCIA_2021_36" w:history="1">
        <w:r w:rsidRPr="002C5A78">
          <w:rPr>
            <w:rStyle w:val="TextoNormalCaracter"/>
          </w:rPr>
          <w:t>36/2021</w:t>
        </w:r>
      </w:hyperlink>
      <w:r>
        <w:t>, ff. 1, 8, 10, VP.</w:t>
      </w:r>
    </w:p>
    <w:p w:rsidR="002C5A78" w:rsidRDefault="002C5A78" w:rsidP="002C5A78">
      <w:pPr>
        <w:pStyle w:val="SangriaFrancesaArticulo"/>
      </w:pPr>
      <w:r w:rsidRPr="002C5A78">
        <w:rPr>
          <w:rStyle w:val="TextoNormalNegritaCaracter"/>
        </w:rPr>
        <w:t>Artículo 30.1.</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30.2.</w:t>
      </w:r>
      <w:r w:rsidRPr="002C5A78">
        <w:rPr>
          <w:rStyle w:val="TextoNormalCaracter"/>
        </w:rPr>
        <w:t>-</w:t>
      </w:r>
      <w:r>
        <w:t xml:space="preserve"> Sentencia </w:t>
      </w:r>
      <w:hyperlink w:anchor="SENTENCIA_2021_36" w:history="1">
        <w:r w:rsidRPr="002C5A78">
          <w:rPr>
            <w:rStyle w:val="TextoNormalCaracter"/>
          </w:rPr>
          <w:t>36/2021</w:t>
        </w:r>
      </w:hyperlink>
      <w:r>
        <w:t>, f. 9.</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36" w:history="1">
        <w:r w:rsidRPr="002C5A78">
          <w:rPr>
            <w:rStyle w:val="TextoNormalCaracter"/>
          </w:rPr>
          <w:t>36/2021</w:t>
        </w:r>
      </w:hyperlink>
      <w:r>
        <w:t>, ff. 1, 8, 12, VP.</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 </w:t>
      </w:r>
      <w:hyperlink w:anchor="SENTENCIA_2021_36" w:history="1">
        <w:r w:rsidRPr="002C5A78">
          <w:rPr>
            <w:rStyle w:val="TextoNormalCaracter"/>
          </w:rPr>
          <w:t>36/2021</w:t>
        </w:r>
      </w:hyperlink>
      <w:r>
        <w:t>, ff. 1, 8, 12, VP.</w:t>
      </w:r>
    </w:p>
    <w:p w:rsidR="002C5A78" w:rsidRDefault="002C5A78" w:rsidP="002C5A78">
      <w:pPr>
        <w:pStyle w:val="SangriaFrancesaArticulo"/>
      </w:pPr>
      <w:r w:rsidRPr="002C5A78">
        <w:rPr>
          <w:rStyle w:val="TextoNormalNegritaCaracter"/>
        </w:rPr>
        <w:t>Artículo 32 apartado 2 j) inciso "de la dirección general y".</w:t>
      </w:r>
      <w:r w:rsidRPr="002C5A78">
        <w:rPr>
          <w:rStyle w:val="TextoNormalCaracter"/>
        </w:rPr>
        <w:t>-</w:t>
      </w:r>
      <w:r>
        <w:t xml:space="preserve"> Sentencia </w:t>
      </w:r>
      <w:hyperlink w:anchor="SENTENCIA_2021_36" w:history="1">
        <w:r w:rsidRPr="002C5A78">
          <w:rPr>
            <w:rStyle w:val="TextoNormalCaracter"/>
          </w:rPr>
          <w:t>36/2021</w:t>
        </w:r>
      </w:hyperlink>
      <w:r>
        <w:t>, f. 12.</w:t>
      </w:r>
    </w:p>
    <w:p w:rsidR="002C5A78" w:rsidRDefault="002C5A78" w:rsidP="002C5A78">
      <w:pPr>
        <w:pStyle w:val="SangriaFrancesaArticulo"/>
      </w:pPr>
      <w:r w:rsidRPr="002C5A78">
        <w:rPr>
          <w:rStyle w:val="TextoNormalNegritaCaracter"/>
        </w:rPr>
        <w:t>Artículo 32.2 j).</w:t>
      </w:r>
      <w:r w:rsidRPr="002C5A78">
        <w:rPr>
          <w:rStyle w:val="TextoNormalCaracter"/>
        </w:rPr>
        <w:t>-</w:t>
      </w:r>
      <w:r>
        <w:t xml:space="preserve"> Sentencia </w:t>
      </w:r>
      <w:hyperlink w:anchor="SENTENCIA_2021_36" w:history="1">
        <w:r w:rsidRPr="002C5A78">
          <w:rPr>
            <w:rStyle w:val="TextoNormalCaracter"/>
          </w:rPr>
          <w:t>36/2021</w:t>
        </w:r>
      </w:hyperlink>
      <w:r>
        <w:t>, ff. 9, 12.</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 </w:t>
      </w:r>
      <w:hyperlink w:anchor="SENTENCIA_2021_36" w:history="1">
        <w:r w:rsidRPr="002C5A78">
          <w:rPr>
            <w:rStyle w:val="TextoNormalCaracter"/>
          </w:rPr>
          <w:t>36/2021</w:t>
        </w:r>
      </w:hyperlink>
      <w:r>
        <w:t>, ff. 1, 8, VP.</w:t>
      </w:r>
    </w:p>
    <w:p w:rsidR="002C5A78" w:rsidRDefault="002C5A78" w:rsidP="002C5A78">
      <w:pPr>
        <w:pStyle w:val="SangriaFrancesaArticulo"/>
      </w:pPr>
      <w:r w:rsidRPr="002C5A78">
        <w:rPr>
          <w:rStyle w:val="TextoNormalNegritaCaracter"/>
        </w:rPr>
        <w:t>Artículo 33.1.</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36" w:history="1">
        <w:r w:rsidRPr="002C5A78">
          <w:rPr>
            <w:rStyle w:val="TextoNormalCaracter"/>
          </w:rPr>
          <w:t>36/2021</w:t>
        </w:r>
      </w:hyperlink>
      <w:r>
        <w:t>, ff. 1, 8, 13, VP.</w:t>
      </w:r>
    </w:p>
    <w:p w:rsidR="002C5A78" w:rsidRDefault="002C5A78" w:rsidP="002C5A78">
      <w:pPr>
        <w:pStyle w:val="SangriaFrancesaArticulo"/>
      </w:pPr>
      <w:r w:rsidRPr="002C5A78">
        <w:rPr>
          <w:rStyle w:val="TextoNormalNegritaCaracter"/>
        </w:rPr>
        <w:t>Artículo 34.2.</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35.</w:t>
      </w:r>
      <w:r w:rsidRPr="002C5A78">
        <w:rPr>
          <w:rStyle w:val="TextoNormalCaracter"/>
        </w:rPr>
        <w:t>-</w:t>
      </w:r>
      <w:r>
        <w:t xml:space="preserve"> Sentencia </w:t>
      </w:r>
      <w:hyperlink w:anchor="SENTENCIA_2021_36" w:history="1">
        <w:r w:rsidRPr="002C5A78">
          <w:rPr>
            <w:rStyle w:val="TextoNormalCaracter"/>
          </w:rPr>
          <w:t>36/2021</w:t>
        </w:r>
      </w:hyperlink>
      <w:r>
        <w:t>, ff. 1, 8, VP.</w:t>
      </w:r>
    </w:p>
    <w:p w:rsidR="002C5A78" w:rsidRDefault="002C5A78" w:rsidP="002C5A78">
      <w:pPr>
        <w:pStyle w:val="SangriaFrancesaArticulo"/>
      </w:pPr>
      <w:r w:rsidRPr="002C5A78">
        <w:rPr>
          <w:rStyle w:val="TextoNormalNegritaCaracter"/>
        </w:rPr>
        <w:t>Artículo 35.1.</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35.2.</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35.4.</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35.5.</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36.</w:t>
      </w:r>
      <w:r w:rsidRPr="002C5A78">
        <w:rPr>
          <w:rStyle w:val="TextoNormalCaracter"/>
        </w:rPr>
        <w:t>-</w:t>
      </w:r>
      <w:r>
        <w:t xml:space="preserve"> Sentencia </w:t>
      </w:r>
      <w:hyperlink w:anchor="SENTENCIA_2021_36" w:history="1">
        <w:r w:rsidRPr="002C5A78">
          <w:rPr>
            <w:rStyle w:val="TextoNormalCaracter"/>
          </w:rPr>
          <w:t>36/2021</w:t>
        </w:r>
      </w:hyperlink>
      <w:r>
        <w:t>, ff. 1, 8, VP.</w:t>
      </w:r>
    </w:p>
    <w:p w:rsidR="002C5A78" w:rsidRDefault="002C5A78" w:rsidP="002C5A78">
      <w:pPr>
        <w:pStyle w:val="SangriaFrancesaArticulo"/>
      </w:pPr>
      <w:r w:rsidRPr="002C5A78">
        <w:rPr>
          <w:rStyle w:val="TextoNormalNegritaCaracter"/>
        </w:rPr>
        <w:t>Artículo 36.1.</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36.2.</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37.</w:t>
      </w:r>
      <w:r w:rsidRPr="002C5A78">
        <w:rPr>
          <w:rStyle w:val="TextoNormalCaracter"/>
        </w:rPr>
        <w:t>-</w:t>
      </w:r>
      <w:r>
        <w:t xml:space="preserve"> Sentencia </w:t>
      </w:r>
      <w:hyperlink w:anchor="SENTENCIA_2021_36" w:history="1">
        <w:r w:rsidRPr="002C5A78">
          <w:rPr>
            <w:rStyle w:val="TextoNormalCaracter"/>
          </w:rPr>
          <w:t>36/2021</w:t>
        </w:r>
      </w:hyperlink>
      <w:r>
        <w:t>, VP I.</w:t>
      </w:r>
    </w:p>
    <w:p w:rsidR="002C5A78" w:rsidRDefault="002C5A78" w:rsidP="002C5A78">
      <w:pPr>
        <w:pStyle w:val="SangriaFrancesaArticulo"/>
      </w:pPr>
      <w:r w:rsidRPr="002C5A78">
        <w:rPr>
          <w:rStyle w:val="TextoNormalNegritaCaracter"/>
        </w:rPr>
        <w:t>Artículo 38.</w:t>
      </w:r>
      <w:r w:rsidRPr="002C5A78">
        <w:rPr>
          <w:rStyle w:val="TextoNormalCaracter"/>
        </w:rPr>
        <w:t>-</w:t>
      </w:r>
      <w:r>
        <w:t xml:space="preserve"> Sentencia </w:t>
      </w:r>
      <w:hyperlink w:anchor="SENTENCIA_2021_36" w:history="1">
        <w:r w:rsidRPr="002C5A78">
          <w:rPr>
            <w:rStyle w:val="TextoNormalCaracter"/>
          </w:rPr>
          <w:t>36/2021</w:t>
        </w:r>
      </w:hyperlink>
      <w:r>
        <w:t>, VP I.</w:t>
      </w:r>
    </w:p>
    <w:p w:rsidR="002C5A78" w:rsidRDefault="002C5A78" w:rsidP="002C5A78">
      <w:pPr>
        <w:pStyle w:val="SangriaFrancesaArticulo"/>
      </w:pPr>
      <w:r w:rsidRPr="002C5A78">
        <w:rPr>
          <w:rStyle w:val="TextoNormalNegritaCaracter"/>
        </w:rPr>
        <w:t>Artículo 38.2.</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38.2 inciso "por la dirección general".</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38.4.</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38.4 inciso "a la dirección general".</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36" w:history="1">
        <w:r w:rsidRPr="002C5A78">
          <w:rPr>
            <w:rStyle w:val="TextoNormalCaracter"/>
          </w:rPr>
          <w:t>36/2021</w:t>
        </w:r>
      </w:hyperlink>
      <w:r>
        <w:t>, VP I.</w:t>
      </w:r>
    </w:p>
    <w:p w:rsidR="002C5A78" w:rsidRDefault="002C5A78" w:rsidP="002C5A78">
      <w:pPr>
        <w:pStyle w:val="SangriaFrancesaArticulo"/>
      </w:pPr>
      <w:r w:rsidRPr="002C5A78">
        <w:rPr>
          <w:rStyle w:val="TextoNormalNegritaCaracter"/>
        </w:rPr>
        <w:t>Artículo 39.3 b).</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39.3 b) inciso "para que pueda proceder, en su caso, a la aplicación de lo establecido en el artículo 28".</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39.4 c).</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39.4 c) inciso "los organismos de intermediación o".</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39.4 e).</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Artículo 39.4 e) inciso "la dirección general".</w:t>
      </w:r>
      <w:r w:rsidRPr="002C5A78">
        <w:rPr>
          <w:rStyle w:val="TextoNormalCaracter"/>
        </w:rPr>
        <w:t>-</w:t>
      </w:r>
      <w:r>
        <w:t xml:space="preserve"> Sentencia </w:t>
      </w:r>
      <w:hyperlink w:anchor="SENTENCIA_2021_36" w:history="1">
        <w:r w:rsidRPr="002C5A78">
          <w:rPr>
            <w:rStyle w:val="TextoNormalCaracter"/>
          </w:rPr>
          <w:t>36/2021</w:t>
        </w:r>
      </w:hyperlink>
      <w:r>
        <w:t>, ff. 1, 14.</w:t>
      </w:r>
    </w:p>
    <w:p w:rsidR="002C5A78" w:rsidRDefault="002C5A78" w:rsidP="002C5A78">
      <w:pPr>
        <w:pStyle w:val="SangriaFrancesaArticulo"/>
      </w:pPr>
      <w:r w:rsidRPr="002C5A78">
        <w:rPr>
          <w:rStyle w:val="TextoNormalNegritaCaracter"/>
        </w:rPr>
        <w:t>Disposición transitoria única.</w:t>
      </w:r>
      <w:r w:rsidRPr="002C5A78">
        <w:rPr>
          <w:rStyle w:val="TextoNormalCaracter"/>
        </w:rPr>
        <w:t>-</w:t>
      </w:r>
      <w:r>
        <w:t xml:space="preserve"> Sentencia </w:t>
      </w:r>
      <w:hyperlink w:anchor="SENTENCIA_2021_36" w:history="1">
        <w:r w:rsidRPr="002C5A78">
          <w:rPr>
            <w:rStyle w:val="TextoNormalCaracter"/>
          </w:rPr>
          <w:t>36/2021</w:t>
        </w:r>
      </w:hyperlink>
      <w:r>
        <w:t>, ff. 1, 8, 9.</w:t>
      </w:r>
    </w:p>
    <w:p w:rsidR="002C5A78" w:rsidRDefault="002C5A78" w:rsidP="002C5A78">
      <w:pPr>
        <w:pStyle w:val="SangriaFrancesaArticulo"/>
      </w:pPr>
      <w:r w:rsidRPr="002C5A78">
        <w:rPr>
          <w:rStyle w:val="TextoNormalNegritaCaracter"/>
        </w:rPr>
        <w:t>Disposición transitoria única, apartados 1, 2 y 3.</w:t>
      </w:r>
      <w:r w:rsidRPr="002C5A78">
        <w:rPr>
          <w:rStyle w:val="TextoNormalCaracter"/>
        </w:rPr>
        <w:t>-</w:t>
      </w:r>
      <w:r>
        <w:t xml:space="preserve"> Sentencia </w:t>
      </w:r>
      <w:hyperlink w:anchor="SENTENCIA_2021_36" w:history="1">
        <w:r w:rsidRPr="002C5A78">
          <w:rPr>
            <w:rStyle w:val="TextoNormalCaracter"/>
          </w:rPr>
          <w:t>36/2021</w:t>
        </w:r>
      </w:hyperlink>
      <w:r>
        <w:t>, ff. 1, 8, 9.</w:t>
      </w:r>
    </w:p>
    <w:p w:rsidR="002C5A78" w:rsidRDefault="002C5A78" w:rsidP="002C5A78">
      <w:pPr>
        <w:pStyle w:val="SangriaFrancesaArticulo"/>
      </w:pPr>
      <w:r w:rsidRPr="002C5A78">
        <w:rPr>
          <w:rStyle w:val="TextoNormalNegritaCaracter"/>
        </w:rPr>
        <w:t>Disposición final primera.</w:t>
      </w:r>
      <w:r w:rsidRPr="002C5A78">
        <w:rPr>
          <w:rStyle w:val="TextoNormalCaracter"/>
        </w:rPr>
        <w:t>-</w:t>
      </w:r>
      <w:r>
        <w:t xml:space="preserve"> Sentencia </w:t>
      </w:r>
      <w:hyperlink w:anchor="SENTENCIA_2021_36" w:history="1">
        <w:r w:rsidRPr="002C5A78">
          <w:rPr>
            <w:rStyle w:val="TextoNormalCaracter"/>
          </w:rPr>
          <w:t>36/2021</w:t>
        </w:r>
      </w:hyperlink>
      <w:r>
        <w:t>, ff. 1, 4.</w:t>
      </w:r>
    </w:p>
    <w:p w:rsidR="002C5A78" w:rsidRDefault="002C5A78" w:rsidP="002C5A78">
      <w:pPr>
        <w:pStyle w:val="SangriaFrancesaArticulo"/>
      </w:pPr>
    </w:p>
    <w:p w:rsidR="002C5A78" w:rsidRDefault="002C5A78" w:rsidP="002C5A78">
      <w:pPr>
        <w:pStyle w:val="TextoNormalNegritaCursivandice"/>
        <w:keepNext/>
      </w:pPr>
      <w:r>
        <w:t>Resolución de 21 de mayo de 2019, de la Secretaría General de Coordinación Territorial. Publica el Acuerdo de la Comisión Bilateral de Cooperación Administración General del Estado-Comunidad Autónoma de Extremadura en relación con la Ley 6/2019, de 20 de febrero, del estatuto de las personas consumidoras de Extremadura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2" w:history="1">
        <w:r w:rsidRPr="002C5A78">
          <w:rPr>
            <w:rStyle w:val="TextoNormalCaracter"/>
          </w:rPr>
          <w:t>72/2021</w:t>
        </w:r>
      </w:hyperlink>
      <w:r>
        <w:t>, ff. 1, 2.</w:t>
      </w:r>
    </w:p>
    <w:p w:rsidR="002C5A78" w:rsidRDefault="002C5A78" w:rsidP="002C5A78">
      <w:pPr>
        <w:pStyle w:val="SangriaFrancesaArticulo"/>
      </w:pPr>
    </w:p>
    <w:p w:rsidR="002C5A78" w:rsidRDefault="002C5A78" w:rsidP="002C5A78">
      <w:pPr>
        <w:pStyle w:val="TextoNormalNegritaCursivandice"/>
        <w:keepNext/>
      </w:pPr>
      <w:r>
        <w:t>Real Decreto 551/2019, de 24 de septiembre. Disolución del Congreso de los Diputados y del Senado y convocatoria de elecciones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69" w:history="1">
        <w:r w:rsidRPr="002C5A78">
          <w:rPr>
            <w:rStyle w:val="TextoNormalCaracter"/>
          </w:rPr>
          <w:t>69/2021</w:t>
        </w:r>
      </w:hyperlink>
      <w:r>
        <w:t xml:space="preserve">, f. 2; </w:t>
      </w:r>
      <w:hyperlink w:anchor="SENTENCIA_2021_90" w:history="1">
        <w:r w:rsidRPr="002C5A78">
          <w:rPr>
            <w:rStyle w:val="TextoNormalCaracter"/>
          </w:rPr>
          <w:t>90/2021</w:t>
        </w:r>
      </w:hyperlink>
      <w:r>
        <w:t>, f. 3.</w:t>
      </w:r>
    </w:p>
    <w:p w:rsidR="002C5A78" w:rsidRDefault="002C5A78" w:rsidP="002C5A78">
      <w:pPr>
        <w:pStyle w:val="SangriaFrancesaArticulo"/>
      </w:pPr>
    </w:p>
    <w:p w:rsidR="002C5A78" w:rsidRDefault="002C5A78" w:rsidP="002C5A78">
      <w:pPr>
        <w:pStyle w:val="TextoNormalNegritaCursivandice"/>
        <w:keepNext/>
      </w:pPr>
      <w:r>
        <w:t>Real Decreto 2/2020, de 12 de enero. Reestructuración de los departamentos ministeriales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10" w:history="1">
        <w:r w:rsidRPr="002C5A78">
          <w:rPr>
            <w:rStyle w:val="TextoNormalCaracter"/>
          </w:rPr>
          <w:t>110/2021</w:t>
        </w:r>
      </w:hyperlink>
      <w:r>
        <w:t xml:space="preserve">, f. 9; </w:t>
      </w:r>
      <w:hyperlink w:anchor="SENTENCIA_2021_111" w:history="1">
        <w:r w:rsidRPr="002C5A78">
          <w:rPr>
            <w:rStyle w:val="TextoNormalCaracter"/>
          </w:rPr>
          <w:t>111/2021</w:t>
        </w:r>
      </w:hyperlink>
      <w:r>
        <w:t>, ff. 1, 2, 5 a 7, VP.</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111" w:history="1">
        <w:r w:rsidRPr="002C5A78">
          <w:rPr>
            <w:rStyle w:val="TextoNormalCaracter"/>
          </w:rPr>
          <w:t>111/2021</w:t>
        </w:r>
      </w:hyperlink>
      <w:r>
        <w:t>, f. 7, VP.</w:t>
      </w:r>
    </w:p>
    <w:p w:rsidR="002C5A78" w:rsidRDefault="002C5A78" w:rsidP="002C5A78">
      <w:pPr>
        <w:pStyle w:val="SangriaFrancesaArticulo"/>
      </w:pPr>
    </w:p>
    <w:p w:rsidR="002C5A78" w:rsidRDefault="002C5A78" w:rsidP="002C5A78">
      <w:pPr>
        <w:pStyle w:val="TextoNormalNegritaCursivandice"/>
        <w:keepNext/>
      </w:pPr>
      <w:r>
        <w:t>Real Decreto 3/2020, de 12 de enero. Vicepresidencias del Gobierno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0" w:history="1">
        <w:r w:rsidRPr="002C5A78">
          <w:rPr>
            <w:rStyle w:val="TextoNormalCaracter"/>
          </w:rPr>
          <w:t>110/2021</w:t>
        </w:r>
      </w:hyperlink>
      <w:r>
        <w:t>, f. 9.</w:t>
      </w:r>
    </w:p>
    <w:p w:rsidR="002C5A78" w:rsidRDefault="002C5A78" w:rsidP="002C5A78">
      <w:pPr>
        <w:pStyle w:val="SangriaFrancesaArticulo"/>
      </w:pPr>
    </w:p>
    <w:p w:rsidR="002C5A78" w:rsidRDefault="002C5A78" w:rsidP="002C5A78">
      <w:pPr>
        <w:pStyle w:val="TextoNormalNegritaCursivandice"/>
        <w:keepNext/>
      </w:pPr>
      <w:r>
        <w:t>Real Decreto 136/2020, de 27 de enero. Reestructura la Presidencia del Gobierno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0" w:history="1">
        <w:r w:rsidRPr="002C5A78">
          <w:rPr>
            <w:rStyle w:val="TextoNormalCaracter"/>
          </w:rPr>
          <w:t>110/2021</w:t>
        </w:r>
      </w:hyperlink>
      <w:r>
        <w:t>, f. 9.</w:t>
      </w:r>
    </w:p>
    <w:p w:rsidR="002C5A78" w:rsidRDefault="002C5A78" w:rsidP="002C5A78">
      <w:pPr>
        <w:pStyle w:val="SangriaFrancesaArticulo"/>
      </w:pPr>
    </w:p>
    <w:p w:rsidR="002C5A78" w:rsidRDefault="002C5A78" w:rsidP="002C5A78">
      <w:pPr>
        <w:pStyle w:val="TextoNormalNegritaCursivandice"/>
        <w:keepNext/>
      </w:pPr>
      <w:r>
        <w:t>Real Decreto 399/2020, de 25 de febrero. Establece las Comisiones Delegadas del Gobierno</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10" w:history="1">
        <w:r w:rsidRPr="002C5A78">
          <w:rPr>
            <w:rStyle w:val="TextoNormalCaracter"/>
          </w:rPr>
          <w:t>110/2021</w:t>
        </w:r>
      </w:hyperlink>
      <w:r>
        <w:t>, f. 7.</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110" w:history="1">
        <w:r w:rsidRPr="002C5A78">
          <w:rPr>
            <w:rStyle w:val="TextoNormalCaracter"/>
          </w:rPr>
          <w:t>110/2021</w:t>
        </w:r>
      </w:hyperlink>
      <w:r>
        <w:t>, f. 9.</w:t>
      </w:r>
    </w:p>
    <w:p w:rsidR="002C5A78" w:rsidRDefault="002C5A78" w:rsidP="002C5A78">
      <w:pPr>
        <w:pStyle w:val="SangriaFrancesaArticulo"/>
      </w:pPr>
      <w:r w:rsidRPr="002C5A78">
        <w:rPr>
          <w:rStyle w:val="TextoNormalNegritaCaracter"/>
        </w:rPr>
        <w:t>Artículo 4.1 a 5.</w:t>
      </w:r>
      <w:r w:rsidRPr="002C5A78">
        <w:rPr>
          <w:rStyle w:val="TextoNormalCaracter"/>
        </w:rPr>
        <w:t>-</w:t>
      </w:r>
      <w:r>
        <w:t xml:space="preserve"> Sentencia </w:t>
      </w:r>
      <w:hyperlink w:anchor="SENTENCIA_2021_110" w:history="1">
        <w:r w:rsidRPr="002C5A78">
          <w:rPr>
            <w:rStyle w:val="TextoNormalCaracter"/>
          </w:rPr>
          <w:t>110/2021</w:t>
        </w:r>
      </w:hyperlink>
      <w:r>
        <w:t>, f. 7.</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 </w:t>
      </w:r>
      <w:hyperlink w:anchor="SENTENCIA_2021_110" w:history="1">
        <w:r w:rsidRPr="002C5A78">
          <w:rPr>
            <w:rStyle w:val="TextoNormalCaracter"/>
          </w:rPr>
          <w:t>110/2021</w:t>
        </w:r>
      </w:hyperlink>
      <w:r>
        <w:t>, f. 3.</w:t>
      </w:r>
    </w:p>
    <w:p w:rsidR="002C5A78" w:rsidRDefault="002C5A78" w:rsidP="002C5A78">
      <w:pPr>
        <w:pStyle w:val="SangriaFrancesaArticulo"/>
      </w:pPr>
    </w:p>
    <w:p w:rsidR="002C5A78" w:rsidRDefault="002C5A78" w:rsidP="002C5A78">
      <w:pPr>
        <w:pStyle w:val="TextoNormalNegritaCursivandice"/>
        <w:keepNext/>
      </w:pPr>
      <w:r>
        <w:t>Real Decreto 463/2020, de 14 de marzo, por el que se declara el estado de alarma para la gestión de la situación de crisis sanitaria ocasionada por el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68" w:history="1">
        <w:r w:rsidRPr="002C5A78">
          <w:rPr>
            <w:rStyle w:val="TextoNormalCaracter"/>
          </w:rPr>
          <w:t>68/2021</w:t>
        </w:r>
      </w:hyperlink>
      <w:r>
        <w:t xml:space="preserve">, f. 2; </w:t>
      </w:r>
      <w:hyperlink w:anchor="SENTENCIA_2021_74" w:history="1">
        <w:r w:rsidRPr="002C5A78">
          <w:rPr>
            <w:rStyle w:val="TextoNormalCaracter"/>
          </w:rPr>
          <w:t>74/2021</w:t>
        </w:r>
      </w:hyperlink>
      <w:r>
        <w:t xml:space="preserve">, f. 2; </w:t>
      </w:r>
      <w:hyperlink w:anchor="SENTENCIA_2021_110" w:history="1">
        <w:r w:rsidRPr="002C5A78">
          <w:rPr>
            <w:rStyle w:val="TextoNormalCaracter"/>
          </w:rPr>
          <w:t>110/2021</w:t>
        </w:r>
      </w:hyperlink>
      <w:r>
        <w:t xml:space="preserve">, ff. 5, 7, VP; </w:t>
      </w:r>
      <w:hyperlink w:anchor="SENTENCIA_2021_111" w:history="1">
        <w:r w:rsidRPr="002C5A78">
          <w:rPr>
            <w:rStyle w:val="TextoNormalCaracter"/>
          </w:rPr>
          <w:t>111/2021</w:t>
        </w:r>
      </w:hyperlink>
      <w:r>
        <w:t>, ff. 5 a 7, VP.</w:t>
      </w:r>
    </w:p>
    <w:p w:rsidR="002C5A78" w:rsidRDefault="002C5A78" w:rsidP="002C5A78">
      <w:pPr>
        <w:pStyle w:val="SangriaFrancesaArticulo"/>
      </w:pPr>
    </w:p>
    <w:p w:rsidR="002C5A78" w:rsidRDefault="002C5A78" w:rsidP="002C5A78">
      <w:pPr>
        <w:pStyle w:val="TextoNormalNegritaCursivandice"/>
        <w:keepNext/>
      </w:pPr>
      <w:r>
        <w:t>Real Decreto 497/2020, de 28 de abril. Desarrolla la estructura orgánica básica del Ministerio de Inclusión, Seguridad Social y Migraciones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Disposición adicional tercera.</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Disposición adicional séptima.</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r w:rsidRPr="002C5A78">
        <w:rPr>
          <w:rStyle w:val="TextoNormalNegritaCaracter"/>
        </w:rPr>
        <w:t>Disposición transitoria segunda.</w:t>
      </w:r>
      <w:r w:rsidRPr="002C5A78">
        <w:rPr>
          <w:rStyle w:val="TextoNormalCaracter"/>
        </w:rPr>
        <w:t>-</w:t>
      </w:r>
      <w:r>
        <w:t xml:space="preserve"> Sentencia </w:t>
      </w:r>
      <w:hyperlink w:anchor="SENTENCIA_2021_111" w:history="1">
        <w:r w:rsidRPr="002C5A78">
          <w:rPr>
            <w:rStyle w:val="TextoNormalCaracter"/>
          </w:rPr>
          <w:t>111/2021</w:t>
        </w:r>
      </w:hyperlink>
      <w:r>
        <w:t>, f. 3.</w:t>
      </w:r>
    </w:p>
    <w:p w:rsidR="002C5A78" w:rsidRDefault="002C5A78" w:rsidP="002C5A78">
      <w:pPr>
        <w:pStyle w:val="SangriaFrancesaArticulo"/>
      </w:pPr>
    </w:p>
    <w:p w:rsidR="002C5A78" w:rsidRDefault="002C5A78" w:rsidP="002C5A78">
      <w:pPr>
        <w:pStyle w:val="TextoNormalNegritaCursivandice"/>
        <w:keepNext/>
      </w:pPr>
      <w:r>
        <w:t>Real Decreto 498/2020, de 28 de abril. Desarrolla la estructura orgánica básica del Ministerio de Educación y Formación Profesional</w:t>
      </w:r>
    </w:p>
    <w:p w:rsidR="002C5A78" w:rsidRDefault="002C5A78" w:rsidP="002C5A78">
      <w:pPr>
        <w:pStyle w:val="SangriaFrancesaArticulo"/>
      </w:pPr>
      <w:r w:rsidRPr="002C5A78">
        <w:rPr>
          <w:rStyle w:val="TextoNormalNegritaCaracter"/>
        </w:rPr>
        <w:t>Artículo 5.3 a).</w:t>
      </w:r>
      <w:r w:rsidRPr="002C5A78">
        <w:rPr>
          <w:rStyle w:val="TextoNormalCaracter"/>
        </w:rPr>
        <w:t>-</w:t>
      </w:r>
      <w:r>
        <w:t xml:space="preserve"> Sentencia </w:t>
      </w:r>
      <w:hyperlink w:anchor="SENTENCIA_2021_39" w:history="1">
        <w:r w:rsidRPr="002C5A78">
          <w:rPr>
            <w:rStyle w:val="TextoNormalCaracter"/>
          </w:rPr>
          <w:t>39/2021</w:t>
        </w:r>
      </w:hyperlink>
      <w:r>
        <w:t>, f. 1.</w:t>
      </w:r>
    </w:p>
    <w:p w:rsidR="002C5A78" w:rsidRDefault="002C5A78" w:rsidP="002C5A78">
      <w:pPr>
        <w:pStyle w:val="SangriaFrancesaArticulo"/>
      </w:pPr>
      <w:r w:rsidRPr="002C5A78">
        <w:rPr>
          <w:rStyle w:val="TextoNormalNegritaCaracter"/>
        </w:rPr>
        <w:t>Artículo 5.3 a) inciso "y las autonómicas".</w:t>
      </w:r>
      <w:r w:rsidRPr="002C5A78">
        <w:rPr>
          <w:rStyle w:val="TextoNormalCaracter"/>
        </w:rPr>
        <w:t>-</w:t>
      </w:r>
      <w:r>
        <w:t xml:space="preserve"> Sentencia </w:t>
      </w:r>
      <w:hyperlink w:anchor="SENTENCIA_2021_39" w:history="1">
        <w:r w:rsidRPr="002C5A78">
          <w:rPr>
            <w:rStyle w:val="TextoNormalCaracter"/>
          </w:rPr>
          <w:t>39/2021</w:t>
        </w:r>
      </w:hyperlink>
      <w:r>
        <w:t>, f. 3.</w:t>
      </w:r>
    </w:p>
    <w:p w:rsidR="002C5A78" w:rsidRDefault="002C5A78" w:rsidP="002C5A78">
      <w:pPr>
        <w:pStyle w:val="SangriaFrancesaArticulo"/>
      </w:pPr>
    </w:p>
    <w:p w:rsidR="002C5A78" w:rsidRDefault="002C5A78" w:rsidP="002C5A78">
      <w:pPr>
        <w:pStyle w:val="TextoNormalNegritaCursivandice"/>
        <w:keepNext/>
      </w:pPr>
      <w:r>
        <w:t>Orden HAC/641/2020, de 14 de julio, por la que se dictan las normas para la elaboración de los Presupuestos Generales del Estado para 2021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40" w:history="1">
        <w:r w:rsidRPr="002C5A78">
          <w:rPr>
            <w:rStyle w:val="TextoNormalCaracter"/>
          </w:rPr>
          <w:t>40/2021</w:t>
        </w:r>
      </w:hyperlink>
      <w:r>
        <w:t>, f. 3.</w:t>
      </w:r>
    </w:p>
    <w:p w:rsidR="002C5A78" w:rsidRDefault="002C5A78" w:rsidP="002C5A78">
      <w:pPr>
        <w:pStyle w:val="SangriaFrancesaArticulo"/>
      </w:pPr>
    </w:p>
    <w:p w:rsidR="002C5A78" w:rsidRDefault="002C5A78" w:rsidP="002C5A78">
      <w:pPr>
        <w:pStyle w:val="TextoNormalNegritaCursivandice"/>
        <w:keepNext/>
      </w:pPr>
      <w:r>
        <w:t>Real Decreto 689/2020, de 21 de julio. Desarrolla la estructura orgánica básica del Ministerio de Hacienda y modifica el Real Decreto 139/2020, de 28 de enero, por el que se establece la estructura orgánica básica de los departamentos ministeriales</w:t>
      </w:r>
    </w:p>
    <w:p w:rsidR="002C5A78" w:rsidRDefault="002C5A78" w:rsidP="002C5A78">
      <w:pPr>
        <w:pStyle w:val="SangriaFrancesaArticulo"/>
      </w:pPr>
      <w:r w:rsidRPr="002C5A78">
        <w:rPr>
          <w:rStyle w:val="TextoNormalNegritaCaracter"/>
        </w:rPr>
        <w:t>Disposición transitoria séptima.</w:t>
      </w:r>
      <w:r w:rsidRPr="002C5A78">
        <w:rPr>
          <w:rStyle w:val="TextoNormalCaracter"/>
        </w:rPr>
        <w:t>-</w:t>
      </w:r>
      <w:r>
        <w:t xml:space="preserve"> Sentencia </w:t>
      </w:r>
      <w:hyperlink w:anchor="SENTENCIA_2021_111" w:history="1">
        <w:r w:rsidRPr="002C5A78">
          <w:rPr>
            <w:rStyle w:val="TextoNormalCaracter"/>
          </w:rPr>
          <w:t>111/2021</w:t>
        </w:r>
      </w:hyperlink>
      <w:r>
        <w:t>, f. 1.</w:t>
      </w:r>
    </w:p>
    <w:p w:rsidR="002C5A78" w:rsidRDefault="002C5A78" w:rsidP="002C5A78">
      <w:pPr>
        <w:pStyle w:val="SangriaFrancesaArticulo"/>
      </w:pPr>
    </w:p>
    <w:p w:rsidR="002C5A78" w:rsidRDefault="002C5A78" w:rsidP="002C5A78">
      <w:pPr>
        <w:pStyle w:val="TextoNormalNegritaCursivandice"/>
        <w:keepNext/>
      </w:pPr>
      <w:r>
        <w:t>Real Decreto 926/2020, de 25 de octubre, por el que se declara el estado de alarma para contener la propagación de infecciones causadas por el SARS-CoV-2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1, 7.</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Auto </w:t>
      </w:r>
      <w:hyperlink w:anchor="AUTO_2021_51" w:history="1">
        <w:r w:rsidRPr="002C5A78">
          <w:rPr>
            <w:rStyle w:val="TextoNormalCaracter"/>
          </w:rPr>
          <w:t>51/2021</w:t>
        </w:r>
      </w:hyperlink>
      <w:r>
        <w:t>, f. 7.</w:t>
      </w:r>
    </w:p>
    <w:p w:rsidR="002C5A78" w:rsidRDefault="002C5A78" w:rsidP="002C5A78">
      <w:pPr>
        <w:pStyle w:val="SangriaFrancesaArticulo"/>
      </w:pPr>
    </w:p>
    <w:p w:rsidR="002C5A78" w:rsidRDefault="002C5A78" w:rsidP="002C5A78">
      <w:pPr>
        <w:pStyle w:val="TextoNormalNegritaCursivandice"/>
        <w:keepNext/>
      </w:pPr>
      <w:r>
        <w:t>Resolución de 11 de noviembre de 2020, de la Dirección General de Salud Pública, relativa a los controles sanitarios a realizar en los puntos de entrada de España</w:t>
      </w:r>
    </w:p>
    <w:p w:rsidR="002C5A78" w:rsidRDefault="002C5A78" w:rsidP="002C5A78">
      <w:pPr>
        <w:pStyle w:val="SangriaFrancesaArticulo"/>
      </w:pPr>
      <w:r w:rsidRPr="002C5A78">
        <w:rPr>
          <w:rStyle w:val="TextoNormalNegritaCaracter"/>
        </w:rPr>
        <w:t>Apartado cuarto.</w:t>
      </w:r>
      <w:r w:rsidRPr="002C5A78">
        <w:rPr>
          <w:rStyle w:val="TextoNormalCaracter"/>
        </w:rPr>
        <w:t>-</w:t>
      </w:r>
      <w:r>
        <w:t xml:space="preserve"> Auto </w:t>
      </w:r>
      <w:hyperlink w:anchor="AUTO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1, 3, 6.</w:t>
      </w:r>
    </w:p>
    <w:p w:rsidR="002C5A78" w:rsidRDefault="002C5A78" w:rsidP="002C5A78">
      <w:pPr>
        <w:pStyle w:val="SangriaFrancesaArticulo"/>
      </w:pPr>
      <w:r w:rsidRPr="002C5A78">
        <w:rPr>
          <w:rStyle w:val="TextoNormalNegritaCaracter"/>
        </w:rPr>
        <w:t>Anexo II.</w:t>
      </w:r>
      <w:r w:rsidRPr="002C5A78">
        <w:rPr>
          <w:rStyle w:val="TextoNormalCaracter"/>
        </w:rPr>
        <w:t>-</w:t>
      </w:r>
      <w:r>
        <w:t xml:space="preserve"> Auto </w:t>
      </w:r>
      <w:hyperlink w:anchor="AUTO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Resolución de la Dirección de la Agencia Estatal de Seguridad Aérea, de 20 de noviembre de 2020. Actualiza las directrices operativas para la gestión de pasajeros aéreos y personal de aviación con relación a la pandemia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3, 6.</w:t>
      </w:r>
    </w:p>
    <w:p w:rsidR="002C5A78" w:rsidRDefault="002C5A78" w:rsidP="002C5A78">
      <w:pPr>
        <w:pStyle w:val="SangriaFrancesaArticulo"/>
      </w:pPr>
    </w:p>
    <w:p w:rsidR="002C5A78" w:rsidRDefault="002C5A78" w:rsidP="002C5A78">
      <w:pPr>
        <w:pStyle w:val="TextoNormalNegritaCursivandice"/>
        <w:keepNext/>
      </w:pPr>
      <w:r>
        <w:t>Resolución de 9 de diciembre de 2020, de la Dirección General de Salud Pública, por la que se especifican las modalidades de pruebas diagnósticas de infección activa para SARS-CoV-2 en relación con los controles sanitarios a realizar en los puntos de entrada de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3, 6.</w:t>
      </w:r>
    </w:p>
    <w:p w:rsidR="002C5A78" w:rsidRDefault="002C5A78" w:rsidP="002C5A78">
      <w:pPr>
        <w:pStyle w:val="SangriaFrancesaArticulo"/>
      </w:pPr>
    </w:p>
    <w:p w:rsidR="002C5A78" w:rsidRDefault="002C5A78" w:rsidP="002C5A78">
      <w:pPr>
        <w:pStyle w:val="TextoNormalNegritaCursivandice"/>
        <w:keepNext/>
      </w:pPr>
      <w:r>
        <w:t>Resolución de la Dirección de la Agencia Estatal de Seguridad Aérea, de 17 de diciembre de 2020. Actualiza las directrices operativas para la gestión de pasajeros aéreos y personal de aviación con relación a la pandemia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3, 6.</w:t>
      </w:r>
    </w:p>
    <w:p w:rsidR="002C5A78" w:rsidRDefault="002C5A78" w:rsidP="002C5A78">
      <w:pPr>
        <w:pStyle w:val="SangriaFrancesaArticulo"/>
      </w:pPr>
    </w:p>
    <w:p w:rsidR="002C5A78" w:rsidRDefault="002C5A78" w:rsidP="002C5A78">
      <w:pPr>
        <w:pStyle w:val="TextoNormalNegritaCursivandice"/>
        <w:keepNext/>
      </w:pPr>
      <w:r>
        <w:t>Real Decreto 242/2021, de 6 de abril. Modifica el Real Decreto 399/2020, de 25 de febrero, por el que se establecen las Comisiones Delegadas del Gobierno</w:t>
      </w:r>
    </w:p>
    <w:p w:rsidR="002C5A78" w:rsidRDefault="002C5A78" w:rsidP="002C5A78">
      <w:pPr>
        <w:pStyle w:val="SangriaFrancesaArticulo"/>
      </w:pPr>
      <w:r w:rsidRPr="002C5A78">
        <w:rPr>
          <w:rStyle w:val="TextoNormalNegritaCaracter"/>
        </w:rPr>
        <w:t>Artículo único, apartado 3.</w:t>
      </w:r>
      <w:r w:rsidRPr="002C5A78">
        <w:rPr>
          <w:rStyle w:val="TextoNormalCaracter"/>
        </w:rPr>
        <w:t>-</w:t>
      </w:r>
      <w:r>
        <w:t xml:space="preserve"> Sentencia </w:t>
      </w:r>
      <w:hyperlink w:anchor="SENTENCIA_2021_110" w:history="1">
        <w:r w:rsidRPr="002C5A78">
          <w:rPr>
            <w:rStyle w:val="TextoNormalCaracter"/>
          </w:rPr>
          <w:t>110/2021</w:t>
        </w:r>
      </w:hyperlink>
      <w:r>
        <w:t>, f. 3.</w:t>
      </w:r>
    </w:p>
    <w:p w:rsidR="002C5A78" w:rsidRDefault="002C5A78" w:rsidP="002C5A78">
      <w:pPr>
        <w:pStyle w:val="TextoNormal"/>
      </w:pPr>
    </w:p>
    <w:p w:rsidR="002C5A78" w:rsidRDefault="002C5A78" w:rsidP="002C5A78">
      <w:pPr>
        <w:pStyle w:val="SangriaFrancesaArticulo"/>
      </w:pPr>
      <w:bookmarkStart w:id="224" w:name="INDICE22850"/>
    </w:p>
    <w:bookmarkEnd w:id="224"/>
    <w:p w:rsidR="002C5A78" w:rsidRDefault="002C5A78" w:rsidP="002C5A78">
      <w:pPr>
        <w:pStyle w:val="TextoIndiceNivel2"/>
        <w:suppressAutoHyphens/>
      </w:pPr>
      <w:r>
        <w:t>I) Legislación preconstitucional</w:t>
      </w:r>
    </w:p>
    <w:p w:rsidR="002C5A78" w:rsidRDefault="002C5A78" w:rsidP="002C5A78">
      <w:pPr>
        <w:pStyle w:val="TextoIndiceNivel2"/>
      </w:pPr>
    </w:p>
    <w:p w:rsidR="002C5A78" w:rsidRDefault="002C5A78" w:rsidP="002C5A78">
      <w:pPr>
        <w:pStyle w:val="TextoNormalNegritaCursivandice"/>
        <w:keepNext/>
      </w:pPr>
      <w:r>
        <w:t>Decretos de nueva planta, 1707-1716</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4.</w:t>
      </w:r>
    </w:p>
    <w:p w:rsidR="002C5A78" w:rsidRDefault="002C5A78" w:rsidP="002C5A78">
      <w:pPr>
        <w:pStyle w:val="SangriaFrancesaArticulo"/>
      </w:pPr>
    </w:p>
    <w:p w:rsidR="002C5A78" w:rsidRDefault="002C5A78" w:rsidP="002C5A78">
      <w:pPr>
        <w:pStyle w:val="TextoNormalNegritaCursivandice"/>
        <w:keepNext/>
      </w:pPr>
      <w:r>
        <w:t>Ley de 18 de junio de 1870 estableciendo reglas para el ejercicio de la gracia de indulto</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p>
    <w:p w:rsidR="002C5A78" w:rsidRDefault="002C5A78" w:rsidP="002C5A78">
      <w:pPr>
        <w:pStyle w:val="TextoNormalNegritaCursivandice"/>
        <w:keepNext/>
      </w:pPr>
      <w:r>
        <w:t>Real Decreto de 3 de febrero de 1881. Ley de enjuiciamiento civil</w:t>
      </w:r>
    </w:p>
    <w:p w:rsidR="002C5A78" w:rsidRDefault="002C5A78" w:rsidP="002C5A78">
      <w:pPr>
        <w:pStyle w:val="SangriaFrancesaArticulo"/>
      </w:pPr>
      <w:r w:rsidRPr="002C5A78">
        <w:rPr>
          <w:rStyle w:val="TextoNormalNegritaCaracter"/>
        </w:rPr>
        <w:t>Artículo 227.1.</w:t>
      </w:r>
      <w:r w:rsidRPr="002C5A78">
        <w:rPr>
          <w:rStyle w:val="TextoNormalCaracter"/>
        </w:rPr>
        <w:t>-</w:t>
      </w:r>
      <w:r>
        <w:t xml:space="preserve"> Sentencia </w:t>
      </w:r>
      <w:hyperlink w:anchor="SENTENCIA_2021_73" w:history="1">
        <w:r w:rsidRPr="002C5A78">
          <w:rPr>
            <w:rStyle w:val="TextoNormalCaracter"/>
          </w:rPr>
          <w:t>73/2021</w:t>
        </w:r>
      </w:hyperlink>
      <w:r>
        <w:t>, VP I.</w:t>
      </w:r>
    </w:p>
    <w:p w:rsidR="002C5A78" w:rsidRDefault="002C5A78" w:rsidP="002C5A78">
      <w:pPr>
        <w:pStyle w:val="SangriaFrancesaArticulo"/>
      </w:pPr>
      <w:r w:rsidRPr="002C5A78">
        <w:rPr>
          <w:rStyle w:val="TextoNormalNegritaCaracter"/>
        </w:rPr>
        <w:t>Artículo 228.</w:t>
      </w:r>
      <w:r w:rsidRPr="002C5A78">
        <w:rPr>
          <w:rStyle w:val="TextoNormalCaracter"/>
        </w:rPr>
        <w:t>-</w:t>
      </w:r>
      <w:r>
        <w:t xml:space="preserve"> Sentencia </w:t>
      </w:r>
      <w:hyperlink w:anchor="SENTENCIA_2021_73" w:history="1">
        <w:r w:rsidRPr="002C5A78">
          <w:rPr>
            <w:rStyle w:val="TextoNormalCaracter"/>
          </w:rPr>
          <w:t>73/2021</w:t>
        </w:r>
      </w:hyperlink>
      <w:r>
        <w:t>, VP I.</w:t>
      </w:r>
    </w:p>
    <w:p w:rsidR="002C5A78" w:rsidRDefault="002C5A78" w:rsidP="002C5A78">
      <w:pPr>
        <w:pStyle w:val="SangriaFrancesaArticulo"/>
      </w:pPr>
      <w:r w:rsidRPr="002C5A78">
        <w:rPr>
          <w:rStyle w:val="TextoNormalNegritaCaracter"/>
        </w:rPr>
        <w:t>Artículo 556.</w:t>
      </w:r>
      <w:r w:rsidRPr="002C5A78">
        <w:rPr>
          <w:rStyle w:val="TextoNormalCaracter"/>
        </w:rPr>
        <w:t>-</w:t>
      </w:r>
      <w:r>
        <w:t xml:space="preserve"> Sentencia </w:t>
      </w:r>
      <w:hyperlink w:anchor="SENTENCIA_2021_7" w:history="1">
        <w:r w:rsidRPr="002C5A78">
          <w:rPr>
            <w:rStyle w:val="TextoNormalCaracter"/>
          </w:rPr>
          <w:t>7/2021</w:t>
        </w:r>
      </w:hyperlink>
      <w:r>
        <w:t>, f. 2.</w:t>
      </w:r>
    </w:p>
    <w:p w:rsidR="002C5A78" w:rsidRDefault="002C5A78" w:rsidP="002C5A78">
      <w:pPr>
        <w:pStyle w:val="SangriaFrancesaArticulo"/>
      </w:pPr>
      <w:r w:rsidRPr="002C5A78">
        <w:rPr>
          <w:rStyle w:val="TextoNormalNegritaCaracter"/>
        </w:rPr>
        <w:t>Artículo 557.</w:t>
      </w:r>
      <w:r w:rsidRPr="002C5A78">
        <w:rPr>
          <w:rStyle w:val="TextoNormalCaracter"/>
        </w:rPr>
        <w:t>-</w:t>
      </w:r>
      <w:r>
        <w:t xml:space="preserve"> Sentencia </w:t>
      </w:r>
      <w:hyperlink w:anchor="SENTENCIA_2021_7" w:history="1">
        <w:r w:rsidRPr="002C5A78">
          <w:rPr>
            <w:rStyle w:val="TextoNormalCaracter"/>
          </w:rPr>
          <w:t>7/2021</w:t>
        </w:r>
      </w:hyperlink>
      <w:r>
        <w:t>, f. 2.</w:t>
      </w:r>
    </w:p>
    <w:p w:rsidR="002C5A78" w:rsidRDefault="002C5A78" w:rsidP="002C5A78">
      <w:pPr>
        <w:pStyle w:val="SangriaFrancesaArticulo"/>
      </w:pPr>
      <w:r w:rsidRPr="002C5A78">
        <w:rPr>
          <w:rStyle w:val="TextoNormalNegritaCaracter"/>
        </w:rPr>
        <w:t>Artículo 685.</w:t>
      </w:r>
      <w:r w:rsidRPr="002C5A78">
        <w:rPr>
          <w:rStyle w:val="TextoNormalCaracter"/>
        </w:rPr>
        <w:t>-</w:t>
      </w:r>
      <w:r>
        <w:t xml:space="preserve"> Sentencia </w:t>
      </w:r>
      <w:hyperlink w:anchor="SENTENCIA_2021_7" w:history="1">
        <w:r w:rsidRPr="002C5A78">
          <w:rPr>
            <w:rStyle w:val="TextoNormalCaracter"/>
          </w:rPr>
          <w:t>7/2021</w:t>
        </w:r>
      </w:hyperlink>
      <w:r>
        <w:t>, f. 2.</w:t>
      </w:r>
    </w:p>
    <w:p w:rsidR="002C5A78" w:rsidRDefault="002C5A78" w:rsidP="002C5A78">
      <w:pPr>
        <w:pStyle w:val="SangriaFrancesaArticulo"/>
      </w:pPr>
    </w:p>
    <w:p w:rsidR="002C5A78" w:rsidRDefault="002C5A78" w:rsidP="002C5A78">
      <w:pPr>
        <w:pStyle w:val="TextoNormalNegritaCursivandice"/>
        <w:keepNext/>
      </w:pPr>
      <w:r>
        <w:t>Real Decreto de 14 de septiembre de 1882. Ley de enjuiciamiento criminal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5" w:history="1">
        <w:r w:rsidRPr="002C5A78">
          <w:rPr>
            <w:rStyle w:val="TextoNormalCaracter"/>
          </w:rPr>
          <w:t>35/2021</w:t>
        </w:r>
      </w:hyperlink>
      <w:r>
        <w:t xml:space="preserve">, f. 2; </w:t>
      </w:r>
      <w:hyperlink w:anchor="SENTENCIA_2021_91" w:history="1">
        <w:r w:rsidRPr="002C5A78">
          <w:rPr>
            <w:rStyle w:val="TextoNormalCaracter"/>
          </w:rPr>
          <w:t>91/2021</w:t>
        </w:r>
      </w:hyperlink>
      <w:r>
        <w:t xml:space="preserve">, ff. 4 a 7; </w:t>
      </w:r>
      <w:hyperlink w:anchor="SENTENCIA_2021_106" w:history="1">
        <w:r w:rsidRPr="002C5A78">
          <w:rPr>
            <w:rStyle w:val="TextoNormalCaracter"/>
          </w:rPr>
          <w:t>106/2021</w:t>
        </w:r>
      </w:hyperlink>
      <w:r>
        <w:t xml:space="preserve">, ff. 4 a 7; </w:t>
      </w:r>
      <w:hyperlink w:anchor="SENTENCIA_2021_121" w:history="1">
        <w:r w:rsidRPr="002C5A78">
          <w:rPr>
            <w:rStyle w:val="TextoNormalCaracter"/>
          </w:rPr>
          <w:t>121/2021</w:t>
        </w:r>
      </w:hyperlink>
      <w:r>
        <w:t xml:space="preserve">, ff. 5 a 8; </w:t>
      </w:r>
      <w:hyperlink w:anchor="SENTENCIA_2021_122" w:history="1">
        <w:r w:rsidRPr="002C5A78">
          <w:rPr>
            <w:rStyle w:val="TextoNormalCaracter"/>
          </w:rPr>
          <w:t>122/2021</w:t>
        </w:r>
      </w:hyperlink>
      <w:r>
        <w:t>, ff. 4, 6.</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17.1.</w:t>
      </w:r>
      <w:r w:rsidRPr="002C5A78">
        <w:rPr>
          <w:rStyle w:val="TextoNormalCaracter"/>
        </w:rPr>
        <w:t>-</w:t>
      </w:r>
      <w:r>
        <w:t xml:space="preserve"> Sentencias </w:t>
      </w:r>
      <w:hyperlink w:anchor="SENTENCIA_2021_34" w:history="1">
        <w:r w:rsidRPr="002C5A78">
          <w:rPr>
            <w:rStyle w:val="TextoNormalCaracter"/>
          </w:rPr>
          <w:t>34/2021</w:t>
        </w:r>
      </w:hyperlink>
      <w:r>
        <w:t xml:space="preserve">, ff. 4, 5;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17.2.</w:t>
      </w:r>
      <w:r w:rsidRPr="002C5A78">
        <w:rPr>
          <w:rStyle w:val="TextoNormalCaracter"/>
        </w:rPr>
        <w:t>-</w:t>
      </w:r>
      <w:r>
        <w:t xml:space="preserve"> Sentencias </w:t>
      </w:r>
      <w:hyperlink w:anchor="SENTENCIA_2021_34" w:history="1">
        <w:r w:rsidRPr="002C5A78">
          <w:rPr>
            <w:rStyle w:val="TextoNormalCaracter"/>
          </w:rPr>
          <w:t>34/2021</w:t>
        </w:r>
      </w:hyperlink>
      <w:r>
        <w:t xml:space="preserve">, ff. 4, 5;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17.3.</w:t>
      </w:r>
      <w:r w:rsidRPr="002C5A78">
        <w:rPr>
          <w:rStyle w:val="TextoNormalCaracter"/>
        </w:rPr>
        <w:t>-</w:t>
      </w:r>
      <w:r>
        <w:t xml:space="preserve"> Sentencias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Sentencias </w:t>
      </w:r>
      <w:hyperlink w:anchor="SENTENCIA_2021_34" w:history="1">
        <w:r w:rsidRPr="002C5A78">
          <w:rPr>
            <w:rStyle w:val="TextoNormalCaracter"/>
          </w:rPr>
          <w:t>34/2021</w:t>
        </w:r>
      </w:hyperlink>
      <w:r>
        <w:t xml:space="preserve">, f. 2;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21.1.</w:t>
      </w:r>
      <w:r w:rsidRPr="002C5A78">
        <w:rPr>
          <w:rStyle w:val="TextoNormalCaracter"/>
        </w:rPr>
        <w:t>-</w:t>
      </w:r>
      <w:r>
        <w:t xml:space="preserve"> Sentencia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58.</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113.</w:t>
      </w:r>
      <w:r w:rsidRPr="002C5A78">
        <w:rPr>
          <w:rStyle w:val="TextoNormalCaracter"/>
        </w:rPr>
        <w:t>-</w:t>
      </w:r>
      <w:r>
        <w:t xml:space="preserve"> Sentencia </w:t>
      </w:r>
      <w:hyperlink w:anchor="SENTENCIA_2021_29" w:history="1">
        <w:r w:rsidRPr="002C5A78">
          <w:rPr>
            <w:rStyle w:val="TextoNormalCaracter"/>
          </w:rPr>
          <w:t>29/2021</w:t>
        </w:r>
      </w:hyperlink>
      <w:r>
        <w:t>, ff. 1 a  5.</w:t>
      </w:r>
    </w:p>
    <w:p w:rsidR="002C5A78" w:rsidRDefault="002C5A78" w:rsidP="002C5A78">
      <w:pPr>
        <w:pStyle w:val="SangriaFrancesaArticulo"/>
      </w:pPr>
      <w:r w:rsidRPr="002C5A78">
        <w:rPr>
          <w:rStyle w:val="TextoNormalNegritaCaracter"/>
        </w:rPr>
        <w:t>Artículo 118.</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r w:rsidRPr="002C5A78">
        <w:rPr>
          <w:rStyle w:val="TextoNormalNegritaCaracter"/>
        </w:rPr>
        <w:t>Artículo 118.1 f)</w:t>
      </w:r>
      <w:r>
        <w:t xml:space="preserve"> (redactado por la Ley Orgánica 13/2015, de 5 de octubre)</w:t>
      </w:r>
      <w:r w:rsidRPr="002C5A78">
        <w:rPr>
          <w:rStyle w:val="TextoNormalNegritaCaracter"/>
        </w:rPr>
        <w:t>.</w:t>
      </w:r>
      <w:r w:rsidRPr="002C5A78">
        <w:rPr>
          <w:rStyle w:val="TextoNormalCaracter"/>
        </w:rPr>
        <w:t>-</w:t>
      </w:r>
      <w:r>
        <w:t xml:space="preserve"> Sentencia </w:t>
      </w:r>
      <w:hyperlink w:anchor="SENTENCIA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Artículo 123.1 c).</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123.2.</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Artículos 123 a 127</w:t>
      </w:r>
      <w:r>
        <w:t xml:space="preserve"> (redactados por la Ley Orgánica 5/2015, de 27 de abril)</w:t>
      </w:r>
      <w:r w:rsidRPr="002C5A78">
        <w:rPr>
          <w:rStyle w:val="TextoNormalNegritaCaracter"/>
        </w:rPr>
        <w:t>.</w:t>
      </w:r>
      <w:r w:rsidRPr="002C5A78">
        <w:rPr>
          <w:rStyle w:val="TextoNormalCaracter"/>
        </w:rPr>
        <w:t>-</w:t>
      </w:r>
      <w:r>
        <w:t xml:space="preserve"> Sentencia </w:t>
      </w:r>
      <w:hyperlink w:anchor="SENTENCIA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Artículo 238 bis.</w:t>
      </w:r>
      <w:r w:rsidRPr="002C5A78">
        <w:rPr>
          <w:rStyle w:val="TextoNormalCaracter"/>
        </w:rPr>
        <w:t>-</w:t>
      </w:r>
      <w:r>
        <w:t xml:space="preserve"> Sentencias </w:t>
      </w:r>
      <w:hyperlink w:anchor="SENTENCIA_2021_57" w:history="1">
        <w:r w:rsidRPr="002C5A78">
          <w:rPr>
            <w:rStyle w:val="TextoNormalCaracter"/>
          </w:rPr>
          <w:t>57/2021</w:t>
        </w:r>
      </w:hyperlink>
      <w:r>
        <w:t xml:space="preserve">, ff. 2 a 4; </w:t>
      </w:r>
      <w:hyperlink w:anchor="SENTENCIA_2021_136" w:history="1">
        <w:r w:rsidRPr="002C5A78">
          <w:rPr>
            <w:rStyle w:val="TextoNormalCaracter"/>
          </w:rPr>
          <w:t>136/2021</w:t>
        </w:r>
      </w:hyperlink>
      <w:r>
        <w:t>, f. único.</w:t>
      </w:r>
    </w:p>
    <w:p w:rsidR="002C5A78" w:rsidRDefault="002C5A78" w:rsidP="002C5A78">
      <w:pPr>
        <w:pStyle w:val="SangriaFrancesaArticulo"/>
      </w:pPr>
      <w:r w:rsidRPr="002C5A78">
        <w:rPr>
          <w:rStyle w:val="TextoNormalNegritaCaracter"/>
        </w:rPr>
        <w:t>Artículo 269.</w:t>
      </w:r>
      <w:r w:rsidRPr="002C5A78">
        <w:rPr>
          <w:rStyle w:val="TextoNormalCaracter"/>
        </w:rPr>
        <w:t>-</w:t>
      </w:r>
      <w:r>
        <w:t xml:space="preserve"> Sentencias </w:t>
      </w:r>
      <w:hyperlink w:anchor="SENTENCIA_2021_34" w:history="1">
        <w:r w:rsidRPr="002C5A78">
          <w:rPr>
            <w:rStyle w:val="TextoNormalCaracter"/>
          </w:rPr>
          <w:t>34/2021</w:t>
        </w:r>
      </w:hyperlink>
      <w:r>
        <w:t xml:space="preserve">, f. 5; </w:t>
      </w:r>
      <w:hyperlink w:anchor="SENTENCIA_2021_91" w:history="1">
        <w:r w:rsidRPr="002C5A78">
          <w:rPr>
            <w:rStyle w:val="TextoNormalCaracter"/>
          </w:rPr>
          <w:t>91/2021</w:t>
        </w:r>
      </w:hyperlink>
      <w:r>
        <w:t xml:space="preserve">, ff. 3, 5; </w:t>
      </w:r>
      <w:hyperlink w:anchor="SENTENCIA_2021_106" w:history="1">
        <w:r w:rsidRPr="002C5A78">
          <w:rPr>
            <w:rStyle w:val="TextoNormalCaracter"/>
          </w:rPr>
          <w:t>106/2021</w:t>
        </w:r>
      </w:hyperlink>
      <w:r>
        <w:t xml:space="preserve">, ff. 3, 5; </w:t>
      </w:r>
      <w:hyperlink w:anchor="SENTENCIA_2021_121" w:history="1">
        <w:r w:rsidRPr="002C5A78">
          <w:rPr>
            <w:rStyle w:val="TextoNormalCaracter"/>
          </w:rPr>
          <w:t>121/2021</w:t>
        </w:r>
      </w:hyperlink>
      <w:r>
        <w:t xml:space="preserve">, ff. 4, 6;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270.</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Artículo 272.</w:t>
      </w:r>
      <w:r w:rsidRPr="002C5A78">
        <w:rPr>
          <w:rStyle w:val="TextoNormalCaracter"/>
        </w:rPr>
        <w:t>-</w:t>
      </w:r>
      <w:r>
        <w:t xml:space="preserve"> Sentencias </w:t>
      </w:r>
      <w:hyperlink w:anchor="SENTENCIA_2021_34" w:history="1">
        <w:r w:rsidRPr="002C5A78">
          <w:rPr>
            <w:rStyle w:val="TextoNormalCaracter"/>
          </w:rPr>
          <w:t>34/2021</w:t>
        </w:r>
      </w:hyperlink>
      <w:r>
        <w:t xml:space="preserve">, ff. 4, 5;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272, párrafo 2.</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272, párrafo 3.</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301.</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r w:rsidRPr="002C5A78">
        <w:rPr>
          <w:rStyle w:val="TextoNormalNegritaCaracter"/>
        </w:rPr>
        <w:t>Artículo 302.</w:t>
      </w:r>
      <w:r w:rsidRPr="002C5A78">
        <w:rPr>
          <w:rStyle w:val="TextoNormalCaracter"/>
        </w:rPr>
        <w:t>-</w:t>
      </w:r>
      <w:r>
        <w:t xml:space="preserve"> Sentencias </w:t>
      </w:r>
      <w:hyperlink w:anchor="SENTENCIA_2021_35" w:history="1">
        <w:r w:rsidRPr="002C5A78">
          <w:rPr>
            <w:rStyle w:val="TextoNormalCaracter"/>
          </w:rPr>
          <w:t>35/2021</w:t>
        </w:r>
      </w:hyperlink>
      <w:r>
        <w:t xml:space="preserve">, f. 2; </w:t>
      </w:r>
      <w:hyperlink w:anchor="SENTENCIA_2021_80" w:history="1">
        <w:r w:rsidRPr="002C5A78">
          <w:rPr>
            <w:rStyle w:val="TextoNormalCaracter"/>
          </w:rPr>
          <w:t>80/2021</w:t>
        </w:r>
      </w:hyperlink>
      <w:r>
        <w:t>, ff. 3, 4.</w:t>
      </w:r>
    </w:p>
    <w:p w:rsidR="002C5A78" w:rsidRDefault="002C5A78" w:rsidP="002C5A78">
      <w:pPr>
        <w:pStyle w:val="SangriaFrancesaArticulo"/>
      </w:pPr>
      <w:r w:rsidRPr="002C5A78">
        <w:rPr>
          <w:rStyle w:val="TextoNormalNegritaCaracter"/>
        </w:rPr>
        <w:t>Artículo 313.</w:t>
      </w:r>
      <w:r w:rsidRPr="002C5A78">
        <w:rPr>
          <w:rStyle w:val="TextoNormalCaracter"/>
        </w:rPr>
        <w:t>-</w:t>
      </w:r>
      <w:r>
        <w:t xml:space="preserve"> Sentencias </w:t>
      </w:r>
      <w:hyperlink w:anchor="SENTENCIA_2021_34" w:history="1">
        <w:r w:rsidRPr="002C5A78">
          <w:rPr>
            <w:rStyle w:val="TextoNormalCaracter"/>
          </w:rPr>
          <w:t>34/2021</w:t>
        </w:r>
      </w:hyperlink>
      <w:r>
        <w:t xml:space="preserve">, f. 5; </w:t>
      </w:r>
      <w:hyperlink w:anchor="SENTENCIA_2021_91" w:history="1">
        <w:r w:rsidRPr="002C5A78">
          <w:rPr>
            <w:rStyle w:val="TextoNormalCaracter"/>
          </w:rPr>
          <w:t>91/2021</w:t>
        </w:r>
      </w:hyperlink>
      <w:r>
        <w:t xml:space="preserve">, ff. 3, 5; </w:t>
      </w:r>
      <w:hyperlink w:anchor="SENTENCIA_2021_106" w:history="1">
        <w:r w:rsidRPr="002C5A78">
          <w:rPr>
            <w:rStyle w:val="TextoNormalCaracter"/>
          </w:rPr>
          <w:t>106/2021</w:t>
        </w:r>
      </w:hyperlink>
      <w:r>
        <w:t xml:space="preserve">, ff. 3, 5; </w:t>
      </w:r>
      <w:hyperlink w:anchor="SENTENCIA_2021_121" w:history="1">
        <w:r w:rsidRPr="002C5A78">
          <w:rPr>
            <w:rStyle w:val="TextoNormalCaracter"/>
          </w:rPr>
          <w:t>121/2021</w:t>
        </w:r>
      </w:hyperlink>
      <w:r>
        <w:t xml:space="preserve">, ff. 4, 6;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333.</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336.2.</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350.2.</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356.</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368.</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384.</w:t>
      </w:r>
      <w:r w:rsidRPr="002C5A78">
        <w:rPr>
          <w:rStyle w:val="TextoNormalCaracter"/>
        </w:rPr>
        <w:t>-</w:t>
      </w:r>
      <w:r>
        <w:t xml:space="preserve"> Sentencias </w:t>
      </w:r>
      <w:hyperlink w:anchor="SENTENCIA_2021_70" w:history="1">
        <w:r w:rsidRPr="002C5A78">
          <w:rPr>
            <w:rStyle w:val="TextoNormalCaracter"/>
          </w:rPr>
          <w:t>70/2021</w:t>
        </w:r>
      </w:hyperlink>
      <w:r>
        <w:t xml:space="preserve">, f. 4; </w:t>
      </w:r>
      <w:hyperlink w:anchor="SENTENCIA_2021_71" w:history="1">
        <w:r w:rsidRPr="002C5A78">
          <w:rPr>
            <w:rStyle w:val="TextoNormalCaracter"/>
          </w:rPr>
          <w:t>71/2021</w:t>
        </w:r>
      </w:hyperlink>
      <w:r>
        <w:t>, f. 4.</w:t>
      </w:r>
    </w:p>
    <w:p w:rsidR="002C5A78" w:rsidRDefault="002C5A78" w:rsidP="002C5A78">
      <w:pPr>
        <w:pStyle w:val="SangriaFrancesaArticulo"/>
      </w:pPr>
      <w:r w:rsidRPr="002C5A78">
        <w:rPr>
          <w:rStyle w:val="TextoNormalNegritaCaracter"/>
        </w:rPr>
        <w:t>Artículo 384 bis.</w:t>
      </w:r>
      <w:r w:rsidRPr="002C5A78">
        <w:rPr>
          <w:rStyle w:val="TextoNormalCaracter"/>
        </w:rPr>
        <w:t>-</w:t>
      </w:r>
      <w:r>
        <w:t xml:space="preserve"> Sentencias </w:t>
      </w:r>
      <w:hyperlink w:anchor="SENTENCIA_2021_69" w:history="1">
        <w:r w:rsidRPr="002C5A78">
          <w:rPr>
            <w:rStyle w:val="TextoNormalCaracter"/>
          </w:rPr>
          <w:t>69/2021</w:t>
        </w:r>
      </w:hyperlink>
      <w:r>
        <w:t xml:space="preserve">, ff. 2, 3, 5; </w:t>
      </w:r>
      <w:hyperlink w:anchor="SENTENCIA_2021_90" w:history="1">
        <w:r w:rsidRPr="002C5A78">
          <w:rPr>
            <w:rStyle w:val="TextoNormalCaracter"/>
          </w:rPr>
          <w:t>90/2021</w:t>
        </w:r>
      </w:hyperlink>
      <w:r>
        <w:t xml:space="preserve">, f. 4; </w:t>
      </w:r>
      <w:hyperlink w:anchor="SENTENCIA_2021_105" w:history="1">
        <w:r w:rsidRPr="002C5A78">
          <w:rPr>
            <w:rStyle w:val="TextoNormalCaracter"/>
          </w:rPr>
          <w:t>105/2021</w:t>
        </w:r>
      </w:hyperlink>
      <w:r>
        <w:t>, f. 4.</w:t>
      </w:r>
    </w:p>
    <w:p w:rsidR="002C5A78" w:rsidRDefault="002C5A78" w:rsidP="002C5A78">
      <w:pPr>
        <w:pStyle w:val="SangriaFrancesaArticulo"/>
      </w:pPr>
      <w:r w:rsidRPr="002C5A78">
        <w:rPr>
          <w:rStyle w:val="TextoNormalNegritaCaracter"/>
        </w:rPr>
        <w:t>Artículo 396.</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400.</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411.</w:t>
      </w:r>
      <w:r w:rsidRPr="002C5A78">
        <w:rPr>
          <w:rStyle w:val="TextoNormalCaracter"/>
        </w:rPr>
        <w:t>-</w:t>
      </w:r>
      <w:r>
        <w:t xml:space="preserve"> Sentencias </w:t>
      </w:r>
      <w:hyperlink w:anchor="SENTENCIA_2021_91" w:history="1">
        <w:r w:rsidRPr="002C5A78">
          <w:rPr>
            <w:rStyle w:val="TextoNormalCaracter"/>
          </w:rPr>
          <w:t>91/2021</w:t>
        </w:r>
      </w:hyperlink>
      <w:r>
        <w:t xml:space="preserve">, f. 7; </w:t>
      </w:r>
      <w:hyperlink w:anchor="SENTENCIA_2021_106" w:history="1">
        <w:r w:rsidRPr="002C5A78">
          <w:rPr>
            <w:rStyle w:val="TextoNormalCaracter"/>
          </w:rPr>
          <w:t>106/2021</w:t>
        </w:r>
      </w:hyperlink>
      <w:r>
        <w:t xml:space="preserve">, f. 7; </w:t>
      </w:r>
      <w:hyperlink w:anchor="SENTENCIA_2021_121" w:history="1">
        <w:r w:rsidRPr="002C5A78">
          <w:rPr>
            <w:rStyle w:val="TextoNormalCaracter"/>
          </w:rPr>
          <w:t>121/2021</w:t>
        </w:r>
      </w:hyperlink>
      <w:r>
        <w:t>, f. 8.</w:t>
      </w:r>
    </w:p>
    <w:p w:rsidR="002C5A78" w:rsidRDefault="002C5A78" w:rsidP="002C5A78">
      <w:pPr>
        <w:pStyle w:val="SangriaFrancesaArticulo"/>
      </w:pPr>
      <w:r w:rsidRPr="002C5A78">
        <w:rPr>
          <w:rStyle w:val="TextoNormalNegritaCaracter"/>
        </w:rPr>
        <w:t>Artículo 436.</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Artículo 436, párrafo 1.</w:t>
      </w:r>
      <w:r w:rsidRPr="002C5A78">
        <w:rPr>
          <w:rStyle w:val="TextoNormalCaracter"/>
        </w:rPr>
        <w:t>-</w:t>
      </w:r>
      <w:r>
        <w:t xml:space="preserve"> Sentencias </w:t>
      </w:r>
      <w:hyperlink w:anchor="SENTENCIA_2021_91" w:history="1">
        <w:r w:rsidRPr="002C5A78">
          <w:rPr>
            <w:rStyle w:val="TextoNormalCaracter"/>
          </w:rPr>
          <w:t>91/2021</w:t>
        </w:r>
      </w:hyperlink>
      <w:r>
        <w:t xml:space="preserve">, ff. 5,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ff. 6, 7.</w:t>
      </w:r>
    </w:p>
    <w:p w:rsidR="002C5A78" w:rsidRDefault="002C5A78" w:rsidP="002C5A78">
      <w:pPr>
        <w:pStyle w:val="SangriaFrancesaArticulo"/>
      </w:pPr>
      <w:r w:rsidRPr="002C5A78">
        <w:rPr>
          <w:rStyle w:val="TextoNormalNegritaCaracter"/>
        </w:rPr>
        <w:t>Artículo 437.</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462.</w:t>
      </w:r>
      <w:r w:rsidRPr="002C5A78">
        <w:rPr>
          <w:rStyle w:val="TextoNormalCaracter"/>
        </w:rPr>
        <w:t>-</w:t>
      </w:r>
      <w:r>
        <w:t xml:space="preserve"> Sentencias </w:t>
      </w:r>
      <w:hyperlink w:anchor="SENTENCIA_2021_70" w:history="1">
        <w:r w:rsidRPr="002C5A78">
          <w:rPr>
            <w:rStyle w:val="TextoNormalCaracter"/>
          </w:rPr>
          <w:t>70/2021</w:t>
        </w:r>
      </w:hyperlink>
      <w:r>
        <w:t xml:space="preserve">, f. 1; </w:t>
      </w:r>
      <w:hyperlink w:anchor="SENTENCIA_2021_71" w:history="1">
        <w:r w:rsidRPr="002C5A78">
          <w:rPr>
            <w:rStyle w:val="TextoNormalCaracter"/>
          </w:rPr>
          <w:t>71/2021</w:t>
        </w:r>
      </w:hyperlink>
      <w:r>
        <w:t>, f. 1.</w:t>
      </w:r>
    </w:p>
    <w:p w:rsidR="002C5A78" w:rsidRDefault="002C5A78" w:rsidP="002C5A78">
      <w:pPr>
        <w:pStyle w:val="SangriaFrancesaArticulo"/>
      </w:pPr>
      <w:r w:rsidRPr="002C5A78">
        <w:rPr>
          <w:rStyle w:val="TextoNormalNegritaCaracter"/>
        </w:rPr>
        <w:t>Artículo 463.</w:t>
      </w:r>
      <w:r w:rsidRPr="002C5A78">
        <w:rPr>
          <w:rStyle w:val="TextoNormalCaracter"/>
        </w:rPr>
        <w:t>-</w:t>
      </w:r>
      <w:r>
        <w:t xml:space="preserve"> Sentencias </w:t>
      </w:r>
      <w:hyperlink w:anchor="SENTENCIA_2021_70" w:history="1">
        <w:r w:rsidRPr="002C5A78">
          <w:rPr>
            <w:rStyle w:val="TextoNormalCaracter"/>
          </w:rPr>
          <w:t>70/2021</w:t>
        </w:r>
      </w:hyperlink>
      <w:r>
        <w:t xml:space="preserve">, f. 1; </w:t>
      </w:r>
      <w:hyperlink w:anchor="SENTENCIA_2021_71" w:history="1">
        <w:r w:rsidRPr="002C5A78">
          <w:rPr>
            <w:rStyle w:val="TextoNormalCaracter"/>
          </w:rPr>
          <w:t>71/2021</w:t>
        </w:r>
      </w:hyperlink>
      <w:r>
        <w:t>, f. 1.</w:t>
      </w:r>
    </w:p>
    <w:p w:rsidR="002C5A78" w:rsidRDefault="002C5A78" w:rsidP="002C5A78">
      <w:pPr>
        <w:pStyle w:val="SangriaFrancesaArticulo"/>
      </w:pPr>
      <w:r w:rsidRPr="002C5A78">
        <w:rPr>
          <w:rStyle w:val="TextoNormalNegritaCaracter"/>
        </w:rPr>
        <w:t>Artículo 464.</w:t>
      </w:r>
      <w:r w:rsidRPr="002C5A78">
        <w:rPr>
          <w:rStyle w:val="TextoNormalCaracter"/>
        </w:rPr>
        <w:t>-</w:t>
      </w:r>
      <w:r>
        <w:t xml:space="preserve"> Sentencias </w:t>
      </w:r>
      <w:hyperlink w:anchor="SENTENCIA_2021_70" w:history="1">
        <w:r w:rsidRPr="002C5A78">
          <w:rPr>
            <w:rStyle w:val="TextoNormalCaracter"/>
          </w:rPr>
          <w:t>70/2021</w:t>
        </w:r>
      </w:hyperlink>
      <w:r>
        <w:t xml:space="preserve">, f. 1; </w:t>
      </w:r>
      <w:hyperlink w:anchor="SENTENCIA_2021_71" w:history="1">
        <w:r w:rsidRPr="002C5A78">
          <w:rPr>
            <w:rStyle w:val="TextoNormalCaracter"/>
          </w:rPr>
          <w:t>71/2021</w:t>
        </w:r>
      </w:hyperlink>
      <w:r>
        <w:t>, f. 1.</w:t>
      </w:r>
    </w:p>
    <w:p w:rsidR="002C5A78" w:rsidRDefault="002C5A78" w:rsidP="002C5A78">
      <w:pPr>
        <w:pStyle w:val="SangriaFrancesaArticulo"/>
      </w:pPr>
      <w:r w:rsidRPr="002C5A78">
        <w:rPr>
          <w:rStyle w:val="TextoNormalNegritaCaracter"/>
        </w:rPr>
        <w:t>Artículo 465.</w:t>
      </w:r>
      <w:r w:rsidRPr="002C5A78">
        <w:rPr>
          <w:rStyle w:val="TextoNormalCaracter"/>
        </w:rPr>
        <w:t>-</w:t>
      </w:r>
      <w:r>
        <w:t xml:space="preserve"> Sentencias </w:t>
      </w:r>
      <w:hyperlink w:anchor="SENTENCIA_2021_70" w:history="1">
        <w:r w:rsidRPr="002C5A78">
          <w:rPr>
            <w:rStyle w:val="TextoNormalCaracter"/>
          </w:rPr>
          <w:t>70/2021</w:t>
        </w:r>
      </w:hyperlink>
      <w:r>
        <w:t xml:space="preserve">, f. 1; </w:t>
      </w:r>
      <w:hyperlink w:anchor="SENTENCIA_2021_71" w:history="1">
        <w:r w:rsidRPr="002C5A78">
          <w:rPr>
            <w:rStyle w:val="TextoNormalCaracter"/>
          </w:rPr>
          <w:t>71/2021</w:t>
        </w:r>
      </w:hyperlink>
      <w:r>
        <w:t>, f. 1.</w:t>
      </w:r>
    </w:p>
    <w:p w:rsidR="002C5A78" w:rsidRDefault="002C5A78" w:rsidP="002C5A78">
      <w:pPr>
        <w:pStyle w:val="SangriaFrancesaArticulo"/>
      </w:pPr>
      <w:r w:rsidRPr="002C5A78">
        <w:rPr>
          <w:rStyle w:val="TextoNormalNegritaCaracter"/>
        </w:rPr>
        <w:t>Artículo 471.2.</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492.</w:t>
      </w:r>
      <w:r w:rsidRPr="002C5A78">
        <w:rPr>
          <w:rStyle w:val="TextoNormalCaracter"/>
        </w:rPr>
        <w:t>-</w:t>
      </w:r>
      <w:r>
        <w:t xml:space="preserve"> Sentencia </w:t>
      </w:r>
      <w:hyperlink w:anchor="SENTENCIA_2021_73" w:history="1">
        <w:r w:rsidRPr="002C5A78">
          <w:rPr>
            <w:rStyle w:val="TextoNormalCaracter"/>
          </w:rPr>
          <w:t>73/2021</w:t>
        </w:r>
      </w:hyperlink>
      <w:r>
        <w:t>, f. 4.</w:t>
      </w:r>
    </w:p>
    <w:p w:rsidR="002C5A78" w:rsidRDefault="002C5A78" w:rsidP="002C5A78">
      <w:pPr>
        <w:pStyle w:val="SangriaFrancesaArticulo"/>
      </w:pPr>
      <w:r w:rsidRPr="002C5A78">
        <w:rPr>
          <w:rStyle w:val="TextoNormalNegritaCaracter"/>
        </w:rPr>
        <w:t>Artículo 501.</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505.</w:t>
      </w:r>
      <w:r w:rsidRPr="002C5A78">
        <w:rPr>
          <w:rStyle w:val="TextoNormalCaracter"/>
        </w:rPr>
        <w:t>-</w:t>
      </w:r>
      <w:r>
        <w:t xml:space="preserve"> Sentencia </w:t>
      </w:r>
      <w:hyperlink w:anchor="SENTENCIA_2021_80" w:history="1">
        <w:r w:rsidRPr="002C5A78">
          <w:rPr>
            <w:rStyle w:val="TextoNormalCaracter"/>
          </w:rPr>
          <w:t>80/2021</w:t>
        </w:r>
      </w:hyperlink>
      <w:r>
        <w:t>, ff. 3, 4 a 6.</w:t>
      </w:r>
    </w:p>
    <w:p w:rsidR="002C5A78" w:rsidRDefault="002C5A78" w:rsidP="002C5A78">
      <w:pPr>
        <w:pStyle w:val="SangriaFrancesaArticulo"/>
      </w:pPr>
      <w:r w:rsidRPr="002C5A78">
        <w:rPr>
          <w:rStyle w:val="TextoNormalNegritaCaracter"/>
        </w:rPr>
        <w:t>Artículo 505.3.</w:t>
      </w:r>
      <w:r w:rsidRPr="002C5A78">
        <w:rPr>
          <w:rStyle w:val="TextoNormalCaracter"/>
        </w:rPr>
        <w:t>-</w:t>
      </w:r>
      <w:r>
        <w:t xml:space="preserve"> Sentencia </w:t>
      </w:r>
      <w:hyperlink w:anchor="SENTENCIA_2021_80" w:history="1">
        <w:r w:rsidRPr="002C5A78">
          <w:rPr>
            <w:rStyle w:val="TextoNormalCaracter"/>
          </w:rPr>
          <w:t>80/2021</w:t>
        </w:r>
      </w:hyperlink>
      <w:r>
        <w:t>, ff. 4, 5.</w:t>
      </w:r>
    </w:p>
    <w:p w:rsidR="002C5A78" w:rsidRDefault="002C5A78" w:rsidP="002C5A78">
      <w:pPr>
        <w:pStyle w:val="SangriaFrancesaArticulo"/>
      </w:pPr>
      <w:r w:rsidRPr="002C5A78">
        <w:rPr>
          <w:rStyle w:val="TextoNormalNegritaCaracter"/>
        </w:rPr>
        <w:t>Artículo 505.6.</w:t>
      </w:r>
      <w:r w:rsidRPr="002C5A78">
        <w:rPr>
          <w:rStyle w:val="TextoNormalCaracter"/>
        </w:rPr>
        <w:t>-</w:t>
      </w:r>
      <w:r>
        <w:t xml:space="preserve"> Sentencia </w:t>
      </w:r>
      <w:hyperlink w:anchor="SENTENCIA_2021_80" w:history="1">
        <w:r w:rsidRPr="002C5A78">
          <w:rPr>
            <w:rStyle w:val="TextoNormalCaracter"/>
          </w:rPr>
          <w:t>80/2021</w:t>
        </w:r>
      </w:hyperlink>
      <w:r>
        <w:t>, f. 5.</w:t>
      </w:r>
    </w:p>
    <w:p w:rsidR="002C5A78" w:rsidRDefault="002C5A78" w:rsidP="002C5A78">
      <w:pPr>
        <w:pStyle w:val="SangriaFrancesaArticulo"/>
      </w:pPr>
      <w:r w:rsidRPr="002C5A78">
        <w:rPr>
          <w:rStyle w:val="TextoNormalNegritaCaracter"/>
        </w:rPr>
        <w:t>Artículo 520.</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r w:rsidRPr="002C5A78">
        <w:rPr>
          <w:rStyle w:val="TextoNormalNegritaCaracter"/>
        </w:rPr>
        <w:t>Artículo 520.2.</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r w:rsidRPr="002C5A78">
        <w:rPr>
          <w:rStyle w:val="TextoNormalNegritaCaracter"/>
        </w:rPr>
        <w:t>Artículo 520.2 d).</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r w:rsidRPr="002C5A78">
        <w:rPr>
          <w:rStyle w:val="TextoNormalNegritaCaracter"/>
        </w:rPr>
        <w:t>Artículo 520.2 e)</w:t>
      </w:r>
      <w:r>
        <w:t xml:space="preserve"> (redactado por la Ley Orgánica 14/1983, de 12 de diciembre)</w:t>
      </w:r>
      <w:r w:rsidRPr="002C5A78">
        <w:rPr>
          <w:rStyle w:val="TextoNormalNegritaCaracter"/>
        </w:rPr>
        <w:t>.</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520.2 h)</w:t>
      </w:r>
      <w:r>
        <w:t xml:space="preserve"> (redactado por la Ley Orgánica 13/2015, de 5 de octubre)</w:t>
      </w:r>
      <w:r w:rsidRPr="002C5A78">
        <w:rPr>
          <w:rStyle w:val="TextoNormalNegritaCaracter"/>
        </w:rPr>
        <w:t>.</w:t>
      </w:r>
      <w:r w:rsidRPr="002C5A78">
        <w:rPr>
          <w:rStyle w:val="TextoNormalCaracter"/>
        </w:rPr>
        <w:t>-</w:t>
      </w:r>
      <w:r>
        <w:t xml:space="preserve"> Sentencia </w:t>
      </w:r>
      <w:hyperlink w:anchor="SENTENCIA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Artículo 520.2 inciso 1.</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r w:rsidRPr="002C5A78">
        <w:rPr>
          <w:rStyle w:val="TextoNormalNegritaCaracter"/>
        </w:rPr>
        <w:t>Artículo 520.2 j)</w:t>
      </w:r>
      <w:r>
        <w:t xml:space="preserve"> (redactado por la Ley Orgánica 13/2015, de 5 de octubre)</w:t>
      </w:r>
      <w:r w:rsidRPr="002C5A78">
        <w:rPr>
          <w:rStyle w:val="TextoNormalNegritaCaracter"/>
        </w:rPr>
        <w:t>.</w:t>
      </w:r>
      <w:r w:rsidRPr="002C5A78">
        <w:rPr>
          <w:rStyle w:val="TextoNormalCaracter"/>
        </w:rPr>
        <w:t>-</w:t>
      </w:r>
      <w:r>
        <w:t xml:space="preserve"> Sentencia </w:t>
      </w:r>
      <w:hyperlink w:anchor="SENTENCIA_2021_35" w:history="1">
        <w:r w:rsidRPr="002C5A78">
          <w:rPr>
            <w:rStyle w:val="TextoNormalCaracter"/>
          </w:rPr>
          <w:t>35/2021</w:t>
        </w:r>
      </w:hyperlink>
      <w:r>
        <w:t>, f. 1.</w:t>
      </w:r>
    </w:p>
    <w:p w:rsidR="002C5A78" w:rsidRDefault="002C5A78" w:rsidP="002C5A78">
      <w:pPr>
        <w:pStyle w:val="SangriaFrancesaArticulo"/>
      </w:pPr>
      <w:r w:rsidRPr="002C5A78">
        <w:rPr>
          <w:rStyle w:val="TextoNormalNegritaCaracter"/>
        </w:rPr>
        <w:t>Artículo 544 ter.</w:t>
      </w:r>
      <w:r w:rsidRPr="002C5A78">
        <w:rPr>
          <w:rStyle w:val="TextoNormalCaracter"/>
        </w:rPr>
        <w:t>-</w:t>
      </w:r>
      <w:r>
        <w:t xml:space="preserve"> Sentencia </w:t>
      </w:r>
      <w:hyperlink w:anchor="SENTENCIA_2021_78" w:history="1">
        <w:r w:rsidRPr="002C5A78">
          <w:rPr>
            <w:rStyle w:val="TextoNormalCaracter"/>
          </w:rPr>
          <w:t>78/2021</w:t>
        </w:r>
      </w:hyperlink>
      <w:r>
        <w:t>, f. 6.</w:t>
      </w:r>
    </w:p>
    <w:p w:rsidR="002C5A78" w:rsidRDefault="002C5A78" w:rsidP="002C5A78">
      <w:pPr>
        <w:pStyle w:val="SangriaFrancesaArticulo"/>
      </w:pPr>
      <w:r w:rsidRPr="002C5A78">
        <w:rPr>
          <w:rStyle w:val="TextoNormalNegritaCaracter"/>
        </w:rPr>
        <w:t>Artículo 569.</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579.</w:t>
      </w:r>
      <w:r w:rsidRPr="002C5A78">
        <w:rPr>
          <w:rStyle w:val="TextoNormalCaracter"/>
        </w:rPr>
        <w:t>-</w:t>
      </w:r>
      <w:r>
        <w:t xml:space="preserve"> Sentencia </w:t>
      </w:r>
      <w:hyperlink w:anchor="SENTENCIA_2021_99" w:history="1">
        <w:r w:rsidRPr="002C5A78">
          <w:rPr>
            <w:rStyle w:val="TextoNormalCaracter"/>
          </w:rPr>
          <w:t>99/2021</w:t>
        </w:r>
      </w:hyperlink>
      <w:r>
        <w:t>, f. 6.</w:t>
      </w:r>
    </w:p>
    <w:p w:rsidR="002C5A78" w:rsidRDefault="002C5A78" w:rsidP="002C5A78">
      <w:pPr>
        <w:pStyle w:val="SangriaFrancesaArticulo"/>
      </w:pPr>
      <w:r w:rsidRPr="002C5A78">
        <w:rPr>
          <w:rStyle w:val="TextoNormalNegritaCaracter"/>
        </w:rPr>
        <w:t>Artículo 579.2.</w:t>
      </w:r>
      <w:r w:rsidRPr="002C5A78">
        <w:rPr>
          <w:rStyle w:val="TextoNormalCaracter"/>
        </w:rPr>
        <w:t>-</w:t>
      </w:r>
      <w:r>
        <w:t xml:space="preserve"> Sentencia </w:t>
      </w:r>
      <w:hyperlink w:anchor="SENTENCIA_2021_99" w:history="1">
        <w:r w:rsidRPr="002C5A78">
          <w:rPr>
            <w:rStyle w:val="TextoNormalCaracter"/>
          </w:rPr>
          <w:t>99/2021</w:t>
        </w:r>
      </w:hyperlink>
      <w:r>
        <w:t>, f. 3.</w:t>
      </w:r>
    </w:p>
    <w:p w:rsidR="002C5A78" w:rsidRDefault="002C5A78" w:rsidP="002C5A78">
      <w:pPr>
        <w:pStyle w:val="SangriaFrancesaArticulo"/>
      </w:pPr>
      <w:r w:rsidRPr="002C5A78">
        <w:rPr>
          <w:rStyle w:val="TextoNormalNegritaCaracter"/>
        </w:rPr>
        <w:t>Artículo 588.</w:t>
      </w:r>
      <w:r w:rsidRPr="002C5A78">
        <w:rPr>
          <w:rStyle w:val="TextoNormalCaracter"/>
        </w:rPr>
        <w:t>-</w:t>
      </w:r>
      <w:r>
        <w:t xml:space="preserve"> Sentencia </w:t>
      </w:r>
      <w:hyperlink w:anchor="SENTENCIA_2021_99" w:history="1">
        <w:r w:rsidRPr="002C5A78">
          <w:rPr>
            <w:rStyle w:val="TextoNormalCaracter"/>
          </w:rPr>
          <w:t>99/2021</w:t>
        </w:r>
      </w:hyperlink>
      <w:r>
        <w:t>, f. 7.</w:t>
      </w:r>
    </w:p>
    <w:p w:rsidR="002C5A78" w:rsidRDefault="002C5A78" w:rsidP="002C5A78">
      <w:pPr>
        <w:pStyle w:val="SangriaFrancesaArticulo"/>
      </w:pPr>
      <w:r w:rsidRPr="002C5A78">
        <w:rPr>
          <w:rStyle w:val="TextoNormalNegritaCaracter"/>
        </w:rPr>
        <w:t>Artículo 588 bis a).</w:t>
      </w:r>
      <w:r w:rsidRPr="002C5A78">
        <w:rPr>
          <w:rStyle w:val="TextoNormalCaracter"/>
        </w:rPr>
        <w:t>-</w:t>
      </w:r>
      <w:r>
        <w:t xml:space="preserve"> Sentencia </w:t>
      </w:r>
      <w:hyperlink w:anchor="SENTENCIA_2021_99" w:history="1">
        <w:r w:rsidRPr="002C5A78">
          <w:rPr>
            <w:rStyle w:val="TextoNormalCaracter"/>
          </w:rPr>
          <w:t>99/2021</w:t>
        </w:r>
      </w:hyperlink>
      <w:r>
        <w:t>, f. 7.</w:t>
      </w:r>
    </w:p>
    <w:p w:rsidR="002C5A78" w:rsidRDefault="002C5A78" w:rsidP="002C5A78">
      <w:pPr>
        <w:pStyle w:val="SangriaFrancesaArticulo"/>
      </w:pPr>
      <w:r w:rsidRPr="002C5A78">
        <w:rPr>
          <w:rStyle w:val="TextoNormalNegritaCaracter"/>
        </w:rPr>
        <w:t>Artículo 588 bis d).</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r w:rsidRPr="002C5A78">
        <w:rPr>
          <w:rStyle w:val="TextoNormalNegritaCaracter"/>
        </w:rPr>
        <w:t>Artículo 588 bis j).</w:t>
      </w:r>
      <w:r w:rsidRPr="002C5A78">
        <w:rPr>
          <w:rStyle w:val="TextoNormalCaracter"/>
        </w:rPr>
        <w:t>-</w:t>
      </w:r>
      <w:r>
        <w:t xml:space="preserve"> Sentencia </w:t>
      </w:r>
      <w:hyperlink w:anchor="SENTENCIA_2021_99" w:history="1">
        <w:r w:rsidRPr="002C5A78">
          <w:rPr>
            <w:rStyle w:val="TextoNormalCaracter"/>
          </w:rPr>
          <w:t>99/2021</w:t>
        </w:r>
      </w:hyperlink>
      <w:r>
        <w:t>, f. 6.</w:t>
      </w:r>
    </w:p>
    <w:p w:rsidR="002C5A78" w:rsidRDefault="002C5A78" w:rsidP="002C5A78">
      <w:pPr>
        <w:pStyle w:val="SangriaFrancesaArticulo"/>
      </w:pPr>
      <w:r w:rsidRPr="002C5A78">
        <w:rPr>
          <w:rStyle w:val="TextoNormalNegritaCaracter"/>
        </w:rPr>
        <w:t>Artículo 588 quarter b).</w:t>
      </w:r>
      <w:r w:rsidRPr="002C5A78">
        <w:rPr>
          <w:rStyle w:val="TextoNormalCaracter"/>
        </w:rPr>
        <w:t>-</w:t>
      </w:r>
      <w:r>
        <w:t xml:space="preserve"> Sentencia </w:t>
      </w:r>
      <w:hyperlink w:anchor="SENTENCIA_2021_99" w:history="1">
        <w:r w:rsidRPr="002C5A78">
          <w:rPr>
            <w:rStyle w:val="TextoNormalCaracter"/>
          </w:rPr>
          <w:t>99/2021</w:t>
        </w:r>
      </w:hyperlink>
      <w:r>
        <w:t>, ff. 1, 5, 6.</w:t>
      </w:r>
    </w:p>
    <w:p w:rsidR="002C5A78" w:rsidRDefault="002C5A78" w:rsidP="002C5A78">
      <w:pPr>
        <w:pStyle w:val="SangriaFrancesaArticulo"/>
      </w:pPr>
      <w:r w:rsidRPr="002C5A78">
        <w:rPr>
          <w:rStyle w:val="TextoNormalNegritaCaracter"/>
        </w:rPr>
        <w:t>Artículo 588 quarter c).</w:t>
      </w:r>
      <w:r w:rsidRPr="002C5A78">
        <w:rPr>
          <w:rStyle w:val="TextoNormalCaracter"/>
        </w:rPr>
        <w:t>-</w:t>
      </w:r>
      <w:r>
        <w:t xml:space="preserve"> Sentencia </w:t>
      </w:r>
      <w:hyperlink w:anchor="SENTENCIA_2021_99" w:history="1">
        <w:r w:rsidRPr="002C5A78">
          <w:rPr>
            <w:rStyle w:val="TextoNormalCaracter"/>
          </w:rPr>
          <w:t>99/2021</w:t>
        </w:r>
      </w:hyperlink>
      <w:r>
        <w:t>, f. 6.</w:t>
      </w:r>
    </w:p>
    <w:p w:rsidR="002C5A78" w:rsidRDefault="002C5A78" w:rsidP="002C5A78">
      <w:pPr>
        <w:pStyle w:val="SangriaFrancesaArticulo"/>
      </w:pPr>
      <w:r w:rsidRPr="002C5A78">
        <w:rPr>
          <w:rStyle w:val="TextoNormalNegritaCaracter"/>
        </w:rPr>
        <w:t>Artículo 588 quarter e).</w:t>
      </w:r>
      <w:r w:rsidRPr="002C5A78">
        <w:rPr>
          <w:rStyle w:val="TextoNormalCaracter"/>
        </w:rPr>
        <w:t>-</w:t>
      </w:r>
      <w:r>
        <w:t xml:space="preserve"> Sentencia </w:t>
      </w:r>
      <w:hyperlink w:anchor="SENTENCIA_2021_99" w:history="1">
        <w:r w:rsidRPr="002C5A78">
          <w:rPr>
            <w:rStyle w:val="TextoNormalCaracter"/>
          </w:rPr>
          <w:t>99/2021</w:t>
        </w:r>
      </w:hyperlink>
      <w:r>
        <w:t>, f. 6.</w:t>
      </w:r>
    </w:p>
    <w:p w:rsidR="002C5A78" w:rsidRDefault="002C5A78" w:rsidP="002C5A78">
      <w:pPr>
        <w:pStyle w:val="SangriaFrancesaArticulo"/>
      </w:pPr>
      <w:r w:rsidRPr="002C5A78">
        <w:rPr>
          <w:rStyle w:val="TextoNormalNegritaCaracter"/>
        </w:rPr>
        <w:t>Artículo 588 ter g).</w:t>
      </w:r>
      <w:r w:rsidRPr="002C5A78">
        <w:rPr>
          <w:rStyle w:val="TextoNormalCaracter"/>
        </w:rPr>
        <w:t>-</w:t>
      </w:r>
      <w:r>
        <w:t xml:space="preserve"> Sentencia </w:t>
      </w:r>
      <w:hyperlink w:anchor="SENTENCIA_2021_99" w:history="1">
        <w:r w:rsidRPr="002C5A78">
          <w:rPr>
            <w:rStyle w:val="TextoNormalCaracter"/>
          </w:rPr>
          <w:t>99/2021</w:t>
        </w:r>
      </w:hyperlink>
      <w:r>
        <w:t>, f. 6.</w:t>
      </w:r>
    </w:p>
    <w:p w:rsidR="002C5A78" w:rsidRDefault="002C5A78" w:rsidP="002C5A78">
      <w:pPr>
        <w:pStyle w:val="SangriaFrancesaArticulo"/>
      </w:pPr>
      <w:r w:rsidRPr="002C5A78">
        <w:rPr>
          <w:rStyle w:val="TextoNormalNegritaCaracter"/>
        </w:rPr>
        <w:t>Artículo 641.1.</w:t>
      </w:r>
      <w:r w:rsidRPr="002C5A78">
        <w:rPr>
          <w:rStyle w:val="TextoNormalCaracter"/>
        </w:rPr>
        <w:t>-</w:t>
      </w:r>
      <w:r>
        <w:t xml:space="preserve"> Sentencia </w:t>
      </w:r>
      <w:hyperlink w:anchor="SENTENCIA_2021_78" w:history="1">
        <w:r w:rsidRPr="002C5A78">
          <w:rPr>
            <w:rStyle w:val="TextoNormalCaracter"/>
          </w:rPr>
          <w:t>78/2021</w:t>
        </w:r>
      </w:hyperlink>
      <w:r>
        <w:t>, ff. 4, 6.</w:t>
      </w:r>
    </w:p>
    <w:p w:rsidR="002C5A78" w:rsidRDefault="002C5A78" w:rsidP="002C5A78">
      <w:pPr>
        <w:pStyle w:val="SangriaFrancesaArticulo"/>
      </w:pPr>
      <w:r w:rsidRPr="002C5A78">
        <w:rPr>
          <w:rStyle w:val="TextoNormalNegritaCaracter"/>
        </w:rPr>
        <w:t>Artículo 641.2.</w:t>
      </w:r>
      <w:r w:rsidRPr="002C5A78">
        <w:rPr>
          <w:rStyle w:val="TextoNormalCaracter"/>
        </w:rPr>
        <w:t>-</w:t>
      </w:r>
      <w:r>
        <w:t xml:space="preserve"> Sentencia </w:t>
      </w:r>
      <w:hyperlink w:anchor="SENTENCIA_2021_41" w:history="1">
        <w:r w:rsidRPr="002C5A78">
          <w:rPr>
            <w:rStyle w:val="TextoNormalCaracter"/>
          </w:rPr>
          <w:t>41/2021</w:t>
        </w:r>
      </w:hyperlink>
      <w:r>
        <w:t>, f. 3.</w:t>
      </w:r>
    </w:p>
    <w:p w:rsidR="002C5A78" w:rsidRDefault="002C5A78" w:rsidP="002C5A78">
      <w:pPr>
        <w:pStyle w:val="SangriaFrancesaArticulo"/>
      </w:pPr>
      <w:r w:rsidRPr="002C5A78">
        <w:rPr>
          <w:rStyle w:val="TextoNormalNegritaCaracter"/>
        </w:rPr>
        <w:t>Artículo 655.</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666.</w:t>
      </w:r>
      <w:r w:rsidRPr="002C5A78">
        <w:rPr>
          <w:rStyle w:val="TextoNormalCaracter"/>
        </w:rPr>
        <w:t>-</w:t>
      </w:r>
      <w:r>
        <w:t xml:space="preserve"> Sentencia </w:t>
      </w:r>
      <w:hyperlink w:anchor="SENTENCIA_2021_34" w:history="1">
        <w:r w:rsidRPr="002C5A78">
          <w:rPr>
            <w:rStyle w:val="TextoNormalCaracter"/>
          </w:rPr>
          <w:t>34/2021</w:t>
        </w:r>
      </w:hyperlink>
      <w:r>
        <w:t>, f. 2.</w:t>
      </w:r>
    </w:p>
    <w:p w:rsidR="002C5A78" w:rsidRDefault="002C5A78" w:rsidP="002C5A78">
      <w:pPr>
        <w:pStyle w:val="SangriaFrancesaArticulo"/>
      </w:pPr>
      <w:r w:rsidRPr="002C5A78">
        <w:rPr>
          <w:rStyle w:val="TextoNormalNegritaCaracter"/>
        </w:rPr>
        <w:t>Artículo 666.1.</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666.1 a).</w:t>
      </w:r>
      <w:r w:rsidRPr="002C5A78">
        <w:rPr>
          <w:rStyle w:val="TextoNormalCaracter"/>
        </w:rPr>
        <w:t>-</w:t>
      </w:r>
      <w:r>
        <w:t xml:space="preserve"> Sentencia </w:t>
      </w:r>
      <w:hyperlink w:anchor="SENTENCIA_2021_34" w:history="1">
        <w:r w:rsidRPr="002C5A78">
          <w:rPr>
            <w:rStyle w:val="TextoNormalCaracter"/>
          </w:rPr>
          <w:t>34/2021</w:t>
        </w:r>
      </w:hyperlink>
      <w:r>
        <w:t>, f. 2.</w:t>
      </w:r>
    </w:p>
    <w:p w:rsidR="002C5A78" w:rsidRDefault="002C5A78" w:rsidP="002C5A78">
      <w:pPr>
        <w:pStyle w:val="SangriaFrancesaArticulo"/>
      </w:pPr>
      <w:r w:rsidRPr="002C5A78">
        <w:rPr>
          <w:rStyle w:val="TextoNormalNegritaCaracter"/>
        </w:rPr>
        <w:t>Artículo 676.</w:t>
      </w:r>
      <w:r w:rsidRPr="002C5A78">
        <w:rPr>
          <w:rStyle w:val="TextoNormalCaracter"/>
        </w:rPr>
        <w:t>-</w:t>
      </w:r>
      <w:r>
        <w:t xml:space="preserve"> Sentencia </w:t>
      </w:r>
      <w:hyperlink w:anchor="SENTENCIA_2021_34" w:history="1">
        <w:r w:rsidRPr="002C5A78">
          <w:rPr>
            <w:rStyle w:val="TextoNormalCaracter"/>
          </w:rPr>
          <w:t>34/2021</w:t>
        </w:r>
      </w:hyperlink>
      <w:r>
        <w:t>, f. 2.</w:t>
      </w:r>
    </w:p>
    <w:p w:rsidR="002C5A78" w:rsidRDefault="002C5A78" w:rsidP="002C5A78">
      <w:pPr>
        <w:pStyle w:val="SangriaFrancesaArticulo"/>
      </w:pPr>
      <w:r w:rsidRPr="002C5A78">
        <w:rPr>
          <w:rStyle w:val="TextoNormalNegritaCaracter"/>
        </w:rPr>
        <w:t>Artículo 678.</w:t>
      </w:r>
      <w:r w:rsidRPr="002C5A78">
        <w:rPr>
          <w:rStyle w:val="TextoNormalCaracter"/>
        </w:rPr>
        <w:t>-</w:t>
      </w:r>
      <w:r>
        <w:t xml:space="preserve"> Sentencia </w:t>
      </w:r>
      <w:hyperlink w:anchor="SENTENCIA_2021_34" w:history="1">
        <w:r w:rsidRPr="002C5A78">
          <w:rPr>
            <w:rStyle w:val="TextoNormalCaracter"/>
          </w:rPr>
          <w:t>34/2021</w:t>
        </w:r>
      </w:hyperlink>
      <w:r>
        <w:t>, f. 2.</w:t>
      </w:r>
    </w:p>
    <w:p w:rsidR="002C5A78" w:rsidRDefault="002C5A78" w:rsidP="002C5A78">
      <w:pPr>
        <w:pStyle w:val="SangriaFrancesaArticulo"/>
      </w:pPr>
      <w:r w:rsidRPr="002C5A78">
        <w:rPr>
          <w:rStyle w:val="TextoNormalNegritaCaracter"/>
        </w:rPr>
        <w:t>Artículo 683.</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701.</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708.</w:t>
      </w:r>
      <w:r w:rsidRPr="002C5A78">
        <w:rPr>
          <w:rStyle w:val="TextoNormalCaracter"/>
        </w:rPr>
        <w:t>-</w:t>
      </w:r>
      <w:r>
        <w:t xml:space="preserve"> Sentencias </w:t>
      </w:r>
      <w:hyperlink w:anchor="SENTENCIA_2021_35" w:history="1">
        <w:r w:rsidRPr="002C5A78">
          <w:rPr>
            <w:rStyle w:val="TextoNormalCaracter"/>
          </w:rPr>
          <w:t>35/2021</w:t>
        </w:r>
      </w:hyperlink>
      <w:r>
        <w:t xml:space="preserve">, f. 2;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Artículo 708, párrafo 1.</w:t>
      </w:r>
      <w:r w:rsidRPr="002C5A78">
        <w:rPr>
          <w:rStyle w:val="TextoNormalCaracter"/>
        </w:rPr>
        <w:t>-</w:t>
      </w:r>
      <w:r>
        <w:t xml:space="preserve"> Sentencias </w:t>
      </w:r>
      <w:hyperlink w:anchor="SENTENCIA_2021_91" w:history="1">
        <w:r w:rsidRPr="002C5A78">
          <w:rPr>
            <w:rStyle w:val="TextoNormalCaracter"/>
          </w:rPr>
          <w:t>91/2021</w:t>
        </w:r>
      </w:hyperlink>
      <w:r>
        <w:t xml:space="preserve">, ff. 5, 6; </w:t>
      </w:r>
      <w:hyperlink w:anchor="SENTENCIA_2021_106" w:history="1">
        <w:r w:rsidRPr="002C5A78">
          <w:rPr>
            <w:rStyle w:val="TextoNormalCaracter"/>
          </w:rPr>
          <w:t>106/2021</w:t>
        </w:r>
      </w:hyperlink>
      <w:r>
        <w:t xml:space="preserve">, ff. 5, 6; </w:t>
      </w:r>
      <w:hyperlink w:anchor="SENTENCIA_2021_121" w:history="1">
        <w:r w:rsidRPr="002C5A78">
          <w:rPr>
            <w:rStyle w:val="TextoNormalCaracter"/>
          </w:rPr>
          <w:t>121/2021</w:t>
        </w:r>
      </w:hyperlink>
      <w:r>
        <w:t>, ff. 6, 7.</w:t>
      </w:r>
    </w:p>
    <w:p w:rsidR="002C5A78" w:rsidRDefault="002C5A78" w:rsidP="002C5A78">
      <w:pPr>
        <w:pStyle w:val="SangriaFrancesaArticulo"/>
      </w:pPr>
      <w:r w:rsidRPr="002C5A78">
        <w:rPr>
          <w:rStyle w:val="TextoNormalNegritaCaracter"/>
        </w:rPr>
        <w:t>Artículo 708, párrafo 2.</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Artículo 713.</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714.</w:t>
      </w:r>
      <w:r w:rsidRPr="002C5A78">
        <w:rPr>
          <w:rStyle w:val="TextoNormalCaracter"/>
        </w:rPr>
        <w:t>-</w:t>
      </w:r>
      <w:r>
        <w:t xml:space="preserve"> Sentencias </w:t>
      </w:r>
      <w:hyperlink w:anchor="SENTENCIA_2021_91" w:history="1">
        <w:r w:rsidRPr="002C5A78">
          <w:rPr>
            <w:rStyle w:val="TextoNormalCaracter"/>
          </w:rPr>
          <w:t>91/2021</w:t>
        </w:r>
      </w:hyperlink>
      <w:r>
        <w:t xml:space="preserve">, f. 7; </w:t>
      </w:r>
      <w:hyperlink w:anchor="SENTENCIA_2021_106" w:history="1">
        <w:r w:rsidRPr="002C5A78">
          <w:rPr>
            <w:rStyle w:val="TextoNormalCaracter"/>
          </w:rPr>
          <w:t>106/2021</w:t>
        </w:r>
      </w:hyperlink>
      <w:r>
        <w:t xml:space="preserve">, f. 7; </w:t>
      </w:r>
      <w:hyperlink w:anchor="SENTENCIA_2021_121" w:history="1">
        <w:r w:rsidRPr="002C5A78">
          <w:rPr>
            <w:rStyle w:val="TextoNormalCaracter"/>
          </w:rPr>
          <w:t>121/2021</w:t>
        </w:r>
      </w:hyperlink>
      <w:r>
        <w:t>, f. 8.</w:t>
      </w:r>
    </w:p>
    <w:p w:rsidR="002C5A78" w:rsidRDefault="002C5A78" w:rsidP="002C5A78">
      <w:pPr>
        <w:pStyle w:val="SangriaFrancesaArticulo"/>
      </w:pPr>
      <w:r w:rsidRPr="002C5A78">
        <w:rPr>
          <w:rStyle w:val="TextoNormalNegritaCaracter"/>
        </w:rPr>
        <w:t>Artículo 726.</w:t>
      </w:r>
      <w:r w:rsidRPr="002C5A78">
        <w:rPr>
          <w:rStyle w:val="TextoNormalCaracter"/>
        </w:rPr>
        <w:t>-</w:t>
      </w:r>
      <w:r>
        <w:t xml:space="preserve"> Sentencias </w:t>
      </w:r>
      <w:hyperlink w:anchor="SENTENCIA_2021_91" w:history="1">
        <w:r w:rsidRPr="002C5A78">
          <w:rPr>
            <w:rStyle w:val="TextoNormalCaracter"/>
          </w:rPr>
          <w:t>91/2021</w:t>
        </w:r>
      </w:hyperlink>
      <w:r>
        <w:t xml:space="preserve">, f. 7; </w:t>
      </w:r>
      <w:hyperlink w:anchor="SENTENCIA_2021_106" w:history="1">
        <w:r w:rsidRPr="002C5A78">
          <w:rPr>
            <w:rStyle w:val="TextoNormalCaracter"/>
          </w:rPr>
          <w:t>106/2021</w:t>
        </w:r>
      </w:hyperlink>
      <w:r>
        <w:t xml:space="preserve">, f. 7; </w:t>
      </w:r>
      <w:hyperlink w:anchor="SENTENCIA_2021_121" w:history="1">
        <w:r w:rsidRPr="002C5A78">
          <w:rPr>
            <w:rStyle w:val="TextoNormalCaracter"/>
          </w:rPr>
          <w:t>121/2021</w:t>
        </w:r>
      </w:hyperlink>
      <w:r>
        <w:t>, f. 8.</w:t>
      </w:r>
    </w:p>
    <w:p w:rsidR="002C5A78" w:rsidRDefault="002C5A78" w:rsidP="002C5A78">
      <w:pPr>
        <w:pStyle w:val="SangriaFrancesaArticulo"/>
      </w:pPr>
      <w:r w:rsidRPr="002C5A78">
        <w:rPr>
          <w:rStyle w:val="TextoNormalNegritaCaracter"/>
        </w:rPr>
        <w:t>Artículo 729.2.</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729.3.</w:t>
      </w:r>
      <w:r w:rsidRPr="002C5A78">
        <w:rPr>
          <w:rStyle w:val="TextoNormalCaracter"/>
        </w:rPr>
        <w:t>-</w:t>
      </w:r>
      <w:r>
        <w:t xml:space="preserve"> Sentencias </w:t>
      </w:r>
      <w:hyperlink w:anchor="SENTENCIA_2021_91" w:history="1">
        <w:r w:rsidRPr="002C5A78">
          <w:rPr>
            <w:rStyle w:val="TextoNormalCaracter"/>
          </w:rPr>
          <w:t>91/2021</w:t>
        </w:r>
      </w:hyperlink>
      <w:r>
        <w:t xml:space="preserve">, f. 7; </w:t>
      </w:r>
      <w:hyperlink w:anchor="SENTENCIA_2021_106" w:history="1">
        <w:r w:rsidRPr="002C5A78">
          <w:rPr>
            <w:rStyle w:val="TextoNormalCaracter"/>
          </w:rPr>
          <w:t>106/2021</w:t>
        </w:r>
      </w:hyperlink>
      <w:r>
        <w:t xml:space="preserve">, f. 7; </w:t>
      </w:r>
      <w:hyperlink w:anchor="SENTENCIA_2021_121" w:history="1">
        <w:r w:rsidRPr="002C5A78">
          <w:rPr>
            <w:rStyle w:val="TextoNormalCaracter"/>
          </w:rPr>
          <w:t>121/2021</w:t>
        </w:r>
      </w:hyperlink>
      <w:r>
        <w:t>, f. 8.</w:t>
      </w:r>
    </w:p>
    <w:p w:rsidR="002C5A78" w:rsidRDefault="002C5A78" w:rsidP="002C5A78">
      <w:pPr>
        <w:pStyle w:val="SangriaFrancesaArticulo"/>
      </w:pPr>
      <w:r w:rsidRPr="002C5A78">
        <w:rPr>
          <w:rStyle w:val="TextoNormalNegritaCaracter"/>
        </w:rPr>
        <w:t>Artículo 730.</w:t>
      </w:r>
      <w:r w:rsidRPr="002C5A78">
        <w:rPr>
          <w:rStyle w:val="TextoNormalCaracter"/>
        </w:rPr>
        <w:t>-</w:t>
      </w:r>
      <w:r>
        <w:t xml:space="preserve"> Sentencias </w:t>
      </w:r>
      <w:hyperlink w:anchor="SENTENCIA_2021_91" w:history="1">
        <w:r w:rsidRPr="002C5A78">
          <w:rPr>
            <w:rStyle w:val="TextoNormalCaracter"/>
          </w:rPr>
          <w:t>91/2021</w:t>
        </w:r>
      </w:hyperlink>
      <w:r>
        <w:t xml:space="preserve">, f. 7; </w:t>
      </w:r>
      <w:hyperlink w:anchor="SENTENCIA_2021_106" w:history="1">
        <w:r w:rsidRPr="002C5A78">
          <w:rPr>
            <w:rStyle w:val="TextoNormalCaracter"/>
          </w:rPr>
          <w:t>106/2021</w:t>
        </w:r>
      </w:hyperlink>
      <w:r>
        <w:t xml:space="preserve">, f. 7; </w:t>
      </w:r>
      <w:hyperlink w:anchor="SENTENCIA_2021_121" w:history="1">
        <w:r w:rsidRPr="002C5A78">
          <w:rPr>
            <w:rStyle w:val="TextoNormalCaracter"/>
          </w:rPr>
          <w:t>121/2021</w:t>
        </w:r>
      </w:hyperlink>
      <w:r>
        <w:t>, f. 8.</w:t>
      </w:r>
    </w:p>
    <w:p w:rsidR="002C5A78" w:rsidRDefault="002C5A78" w:rsidP="002C5A78">
      <w:pPr>
        <w:pStyle w:val="SangriaFrancesaArticulo"/>
      </w:pPr>
      <w:r w:rsidRPr="002C5A78">
        <w:rPr>
          <w:rStyle w:val="TextoNormalNegritaCaracter"/>
        </w:rPr>
        <w:t>Artículo 734.</w:t>
      </w:r>
      <w:r w:rsidRPr="002C5A78">
        <w:rPr>
          <w:rStyle w:val="TextoNormalCaracter"/>
        </w:rPr>
        <w:t>-</w:t>
      </w:r>
      <w:r>
        <w:t xml:space="preserve"> Sentencias </w:t>
      </w:r>
      <w:hyperlink w:anchor="SENTENCIA_2021_91" w:history="1">
        <w:r w:rsidRPr="002C5A78">
          <w:rPr>
            <w:rStyle w:val="TextoNormalCaracter"/>
          </w:rPr>
          <w:t>91/2021</w:t>
        </w:r>
      </w:hyperlink>
      <w:r>
        <w:t xml:space="preserve">, f. 7; </w:t>
      </w:r>
      <w:hyperlink w:anchor="SENTENCIA_2021_106" w:history="1">
        <w:r w:rsidRPr="002C5A78">
          <w:rPr>
            <w:rStyle w:val="TextoNormalCaracter"/>
          </w:rPr>
          <w:t>106/2021</w:t>
        </w:r>
      </w:hyperlink>
      <w:r>
        <w:t>, f. 7.</w:t>
      </w:r>
    </w:p>
    <w:p w:rsidR="002C5A78" w:rsidRDefault="002C5A78" w:rsidP="002C5A78">
      <w:pPr>
        <w:pStyle w:val="SangriaFrancesaArticulo"/>
      </w:pPr>
      <w:r w:rsidRPr="002C5A78">
        <w:rPr>
          <w:rStyle w:val="TextoNormalNegritaCaracter"/>
        </w:rPr>
        <w:t>Artículo 739.</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741.</w:t>
      </w:r>
      <w:r w:rsidRPr="002C5A78">
        <w:rPr>
          <w:rStyle w:val="TextoNormalCaracter"/>
        </w:rPr>
        <w:t>-</w:t>
      </w:r>
      <w:r>
        <w:t xml:space="preserve"> Sentencias </w:t>
      </w:r>
      <w:hyperlink w:anchor="SENTENCIA_2021_22" w:history="1">
        <w:r w:rsidRPr="002C5A78">
          <w:rPr>
            <w:rStyle w:val="TextoNormalCaracter"/>
          </w:rPr>
          <w:t>22/2021</w:t>
        </w:r>
      </w:hyperlink>
      <w:r>
        <w:t xml:space="preserve">, VP; </w:t>
      </w:r>
      <w:hyperlink w:anchor="SENTENCIA_2021_91" w:history="1">
        <w:r w:rsidRPr="002C5A78">
          <w:rPr>
            <w:rStyle w:val="TextoNormalCaracter"/>
          </w:rPr>
          <w:t>91/2021</w:t>
        </w:r>
      </w:hyperlink>
      <w:r>
        <w:t xml:space="preserve">, ff. 5, 7; </w:t>
      </w:r>
      <w:hyperlink w:anchor="SENTENCIA_2021_106" w:history="1">
        <w:r w:rsidRPr="002C5A78">
          <w:rPr>
            <w:rStyle w:val="TextoNormalCaracter"/>
          </w:rPr>
          <w:t>106/2021</w:t>
        </w:r>
      </w:hyperlink>
      <w:r>
        <w:t xml:space="preserve">, ff. 5, 7; </w:t>
      </w:r>
      <w:hyperlink w:anchor="SENTENCIA_2021_121" w:history="1">
        <w:r w:rsidRPr="002C5A78">
          <w:rPr>
            <w:rStyle w:val="TextoNormalCaracter"/>
          </w:rPr>
          <w:t>121/2021</w:t>
        </w:r>
      </w:hyperlink>
      <w:r>
        <w:t>, ff. 6, 8.</w:t>
      </w:r>
    </w:p>
    <w:p w:rsidR="002C5A78" w:rsidRDefault="002C5A78" w:rsidP="002C5A78">
      <w:pPr>
        <w:pStyle w:val="SangriaFrancesaArticulo"/>
      </w:pPr>
      <w:r w:rsidRPr="002C5A78">
        <w:rPr>
          <w:rStyle w:val="TextoNormalNegritaCaracter"/>
        </w:rPr>
        <w:t>Artículo 746.6.</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747.</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750.</w:t>
      </w:r>
      <w:r w:rsidRPr="002C5A78">
        <w:rPr>
          <w:rStyle w:val="TextoNormalCaracter"/>
        </w:rPr>
        <w:t>-</w:t>
      </w:r>
      <w:r>
        <w:t xml:space="preserve"> Sentencias </w:t>
      </w:r>
      <w:hyperlink w:anchor="SENTENCIA_2021_70" w:history="1">
        <w:r w:rsidRPr="002C5A78">
          <w:rPr>
            <w:rStyle w:val="TextoNormalCaracter"/>
          </w:rPr>
          <w:t>70/2021</w:t>
        </w:r>
      </w:hyperlink>
      <w:r>
        <w:t xml:space="preserve">, f. 1; </w:t>
      </w:r>
      <w:hyperlink w:anchor="SENTENCIA_2021_71" w:history="1">
        <w:r w:rsidRPr="002C5A78">
          <w:rPr>
            <w:rStyle w:val="TextoNormalCaracter"/>
          </w:rPr>
          <w:t>71/2021</w:t>
        </w:r>
      </w:hyperlink>
      <w:r>
        <w:t>, f. 4.</w:t>
      </w:r>
    </w:p>
    <w:p w:rsidR="002C5A78" w:rsidRDefault="002C5A78" w:rsidP="002C5A78">
      <w:pPr>
        <w:pStyle w:val="SangriaFrancesaArticulo"/>
      </w:pPr>
      <w:r w:rsidRPr="002C5A78">
        <w:rPr>
          <w:rStyle w:val="TextoNormalNegritaCaracter"/>
        </w:rPr>
        <w:t>Artículo 750 a 756.</w:t>
      </w:r>
      <w:r w:rsidRPr="002C5A78">
        <w:rPr>
          <w:rStyle w:val="TextoNormalCaracter"/>
        </w:rPr>
        <w:t>-</w:t>
      </w:r>
      <w:r>
        <w:t xml:space="preserve"> Sentencias </w:t>
      </w:r>
      <w:hyperlink w:anchor="SENTENCIA_2021_70" w:history="1">
        <w:r w:rsidRPr="002C5A78">
          <w:rPr>
            <w:rStyle w:val="TextoNormalCaracter"/>
          </w:rPr>
          <w:t>70/2021</w:t>
        </w:r>
      </w:hyperlink>
      <w:r>
        <w:t xml:space="preserve">, ff. 4, 5; </w:t>
      </w:r>
      <w:hyperlink w:anchor="SENTENCIA_2021_71" w:history="1">
        <w:r w:rsidRPr="002C5A78">
          <w:rPr>
            <w:rStyle w:val="TextoNormalCaracter"/>
          </w:rPr>
          <w:t>71/2021</w:t>
        </w:r>
      </w:hyperlink>
      <w:r>
        <w:t>, ff. 4, 5.</w:t>
      </w:r>
    </w:p>
    <w:p w:rsidR="002C5A78" w:rsidRDefault="002C5A78" w:rsidP="002C5A78">
      <w:pPr>
        <w:pStyle w:val="SangriaFrancesaArticulo"/>
      </w:pPr>
      <w:r w:rsidRPr="002C5A78">
        <w:rPr>
          <w:rStyle w:val="TextoNormalNegritaCaracter"/>
        </w:rPr>
        <w:t>Artículo 751.</w:t>
      </w:r>
      <w:r w:rsidRPr="002C5A78">
        <w:rPr>
          <w:rStyle w:val="TextoNormalCaracter"/>
        </w:rPr>
        <w:t>-</w:t>
      </w:r>
      <w:r>
        <w:t xml:space="preserve"> Sentencias </w:t>
      </w:r>
      <w:hyperlink w:anchor="SENTENCIA_2021_70" w:history="1">
        <w:r w:rsidRPr="002C5A78">
          <w:rPr>
            <w:rStyle w:val="TextoNormalCaracter"/>
          </w:rPr>
          <w:t>70/2021</w:t>
        </w:r>
      </w:hyperlink>
      <w:r>
        <w:t xml:space="preserve">, f. 4; </w:t>
      </w:r>
      <w:hyperlink w:anchor="SENTENCIA_2021_71" w:history="1">
        <w:r w:rsidRPr="002C5A78">
          <w:rPr>
            <w:rStyle w:val="TextoNormalCaracter"/>
          </w:rPr>
          <w:t>71/2021</w:t>
        </w:r>
      </w:hyperlink>
      <w:r>
        <w:t>, f. 4.</w:t>
      </w:r>
    </w:p>
    <w:p w:rsidR="002C5A78" w:rsidRDefault="002C5A78" w:rsidP="002C5A78">
      <w:pPr>
        <w:pStyle w:val="SangriaFrancesaArticulo"/>
      </w:pPr>
      <w:r w:rsidRPr="002C5A78">
        <w:rPr>
          <w:rStyle w:val="TextoNormalNegritaCaracter"/>
        </w:rPr>
        <w:t>Artículo 751, párrafo 2.</w:t>
      </w:r>
      <w:r w:rsidRPr="002C5A78">
        <w:rPr>
          <w:rStyle w:val="TextoNormalCaracter"/>
        </w:rPr>
        <w:t>-</w:t>
      </w:r>
      <w:r>
        <w:t xml:space="preserve"> Sentencias </w:t>
      </w:r>
      <w:hyperlink w:anchor="SENTENCIA_2021_70" w:history="1">
        <w:r w:rsidRPr="002C5A78">
          <w:rPr>
            <w:rStyle w:val="TextoNormalCaracter"/>
          </w:rPr>
          <w:t>70/2021</w:t>
        </w:r>
      </w:hyperlink>
      <w:r>
        <w:t xml:space="preserve">, f. 4; </w:t>
      </w:r>
      <w:hyperlink w:anchor="SENTENCIA_2021_71" w:history="1">
        <w:r w:rsidRPr="002C5A78">
          <w:rPr>
            <w:rStyle w:val="TextoNormalCaracter"/>
          </w:rPr>
          <w:t>71/2021</w:t>
        </w:r>
      </w:hyperlink>
      <w:r>
        <w:t>, f. 3.</w:t>
      </w:r>
    </w:p>
    <w:p w:rsidR="002C5A78" w:rsidRDefault="002C5A78" w:rsidP="002C5A78">
      <w:pPr>
        <w:pStyle w:val="SangriaFrancesaArticulo"/>
      </w:pPr>
      <w:r w:rsidRPr="002C5A78">
        <w:rPr>
          <w:rStyle w:val="TextoNormalNegritaCaracter"/>
        </w:rPr>
        <w:t>Artículo 753.</w:t>
      </w:r>
      <w:r w:rsidRPr="002C5A78">
        <w:rPr>
          <w:rStyle w:val="TextoNormalCaracter"/>
        </w:rPr>
        <w:t>-</w:t>
      </w:r>
      <w:r>
        <w:t xml:space="preserve"> Sentencias </w:t>
      </w:r>
      <w:hyperlink w:anchor="SENTENCIA_2021_70" w:history="1">
        <w:r w:rsidRPr="002C5A78">
          <w:rPr>
            <w:rStyle w:val="TextoNormalCaracter"/>
          </w:rPr>
          <w:t>70/2021</w:t>
        </w:r>
      </w:hyperlink>
      <w:r>
        <w:t xml:space="preserve">, ff. 1, 4, 6; </w:t>
      </w:r>
      <w:hyperlink w:anchor="SENTENCIA_2021_71" w:history="1">
        <w:r w:rsidRPr="002C5A78">
          <w:rPr>
            <w:rStyle w:val="TextoNormalCaracter"/>
          </w:rPr>
          <w:t>71/2021</w:t>
        </w:r>
      </w:hyperlink>
      <w:r>
        <w:t>, ff. 4, 6.</w:t>
      </w:r>
    </w:p>
    <w:p w:rsidR="002C5A78" w:rsidRDefault="002C5A78" w:rsidP="002C5A78">
      <w:pPr>
        <w:pStyle w:val="SangriaFrancesaArticulo"/>
      </w:pPr>
      <w:r w:rsidRPr="002C5A78">
        <w:rPr>
          <w:rStyle w:val="TextoNormalNegritaCaracter"/>
        </w:rPr>
        <w:t>Artículo 758.</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787.3.</w:t>
      </w:r>
      <w:r w:rsidRPr="002C5A78">
        <w:rPr>
          <w:rStyle w:val="TextoNormalCaracter"/>
        </w:rPr>
        <w:t>-</w:t>
      </w:r>
      <w:r>
        <w:t xml:space="preserve"> Sentencia </w:t>
      </w:r>
      <w:hyperlink w:anchor="SENTENCIA_2021_126" w:history="1">
        <w:r w:rsidRPr="002C5A78">
          <w:rPr>
            <w:rStyle w:val="TextoNormalCaracter"/>
          </w:rPr>
          <w:t>126/2021</w:t>
        </w:r>
      </w:hyperlink>
      <w:r>
        <w:t>, f. 2.</w:t>
      </w:r>
    </w:p>
    <w:p w:rsidR="002C5A78" w:rsidRDefault="002C5A78" w:rsidP="002C5A78">
      <w:pPr>
        <w:pStyle w:val="SangriaFrancesaArticulo"/>
      </w:pPr>
      <w:r w:rsidRPr="002C5A78">
        <w:rPr>
          <w:rStyle w:val="TextoNormalNegritaCaracter"/>
        </w:rPr>
        <w:t>Artículo 793.3.</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794.</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849.1.</w:t>
      </w:r>
      <w:r w:rsidRPr="002C5A78">
        <w:rPr>
          <w:rStyle w:val="TextoNormalCaracter"/>
        </w:rPr>
        <w:t>-</w:t>
      </w:r>
      <w:r>
        <w:t xml:space="preserve"> Sentencia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Artículo 884.4.</w:t>
      </w:r>
      <w:r w:rsidRPr="002C5A78">
        <w:rPr>
          <w:rStyle w:val="TextoNormalCaracter"/>
        </w:rPr>
        <w:t>-</w:t>
      </w:r>
      <w:r>
        <w:t xml:space="preserve"> Sentencia </w:t>
      </w:r>
      <w:hyperlink w:anchor="SENTENCIA_2021_22" w:history="1">
        <w:r w:rsidRPr="002C5A78">
          <w:rPr>
            <w:rStyle w:val="TextoNormalCaracter"/>
          </w:rPr>
          <w:t>22/2021</w:t>
        </w:r>
      </w:hyperlink>
      <w:r>
        <w:t>, f. 4.</w:t>
      </w:r>
    </w:p>
    <w:p w:rsidR="002C5A78" w:rsidRDefault="002C5A78" w:rsidP="002C5A78">
      <w:pPr>
        <w:pStyle w:val="SangriaFrancesaArticulo"/>
      </w:pPr>
      <w:r w:rsidRPr="002C5A78">
        <w:rPr>
          <w:rStyle w:val="TextoNormalNegritaCaracter"/>
        </w:rPr>
        <w:t>Artículo 893.</w:t>
      </w:r>
      <w:r w:rsidRPr="002C5A78">
        <w:rPr>
          <w:rStyle w:val="TextoNormalCaracter"/>
        </w:rPr>
        <w:t>-</w:t>
      </w:r>
      <w:r>
        <w:t xml:space="preserve"> Sentencia </w:t>
      </w:r>
      <w:hyperlink w:anchor="SENTENCIA_2021_22" w:history="1">
        <w:r w:rsidRPr="002C5A78">
          <w:rPr>
            <w:rStyle w:val="TextoNormalCaracter"/>
          </w:rPr>
          <w:t>22/2021</w:t>
        </w:r>
      </w:hyperlink>
      <w:r>
        <w:t>, f. 2.</w:t>
      </w:r>
    </w:p>
    <w:p w:rsidR="002C5A78" w:rsidRDefault="002C5A78" w:rsidP="002C5A78">
      <w:pPr>
        <w:pStyle w:val="SangriaFrancesaArticulo"/>
      </w:pPr>
      <w:r w:rsidRPr="002C5A78">
        <w:rPr>
          <w:rStyle w:val="TextoNormalNegritaCaracter"/>
        </w:rPr>
        <w:t>Artículo 902.</w:t>
      </w:r>
      <w:r w:rsidRPr="002C5A78">
        <w:rPr>
          <w:rStyle w:val="TextoNormalCaracter"/>
        </w:rPr>
        <w:t>-</w:t>
      </w:r>
      <w:r>
        <w:t xml:space="preserve"> Sentencia </w:t>
      </w:r>
      <w:hyperlink w:anchor="SENTENCIA_2021_132" w:history="1">
        <w:r w:rsidRPr="002C5A78">
          <w:rPr>
            <w:rStyle w:val="TextoNormalCaracter"/>
          </w:rPr>
          <w:t>132/2021</w:t>
        </w:r>
      </w:hyperlink>
      <w:r>
        <w:t>, f. 2.</w:t>
      </w:r>
    </w:p>
    <w:p w:rsidR="002C5A78" w:rsidRDefault="002C5A78" w:rsidP="002C5A78">
      <w:pPr>
        <w:pStyle w:val="SangriaFrancesaArticulo"/>
      </w:pPr>
      <w:r w:rsidRPr="002C5A78">
        <w:rPr>
          <w:rStyle w:val="TextoNormalNegritaCaracter"/>
        </w:rPr>
        <w:t>Artículo 988.</w:t>
      </w:r>
      <w:r w:rsidRPr="002C5A78">
        <w:rPr>
          <w:rStyle w:val="TextoNormalCaracter"/>
        </w:rPr>
        <w:t>-</w:t>
      </w:r>
      <w:r>
        <w:t xml:space="preserve"> Auto </w:t>
      </w:r>
      <w:hyperlink w:anchor="AUTO_2021_4" w:history="1">
        <w:r w:rsidRPr="002C5A78">
          <w:rPr>
            <w:rStyle w:val="TextoNormalCaracter"/>
          </w:rPr>
          <w:t>4/2021</w:t>
        </w:r>
      </w:hyperlink>
      <w:r>
        <w:t>, f. 3.</w:t>
      </w:r>
    </w:p>
    <w:p w:rsidR="002C5A78" w:rsidRDefault="002C5A78" w:rsidP="002C5A78">
      <w:pPr>
        <w:pStyle w:val="SangriaFrancesaArticulo"/>
      </w:pPr>
    </w:p>
    <w:p w:rsidR="002C5A78" w:rsidRDefault="002C5A78" w:rsidP="002C5A78">
      <w:pPr>
        <w:pStyle w:val="TextoNormalNegritaCursivandice"/>
        <w:keepNext/>
      </w:pPr>
      <w:r>
        <w:t>Real Decreto de 22 de agosto de 1885. Código de comercio</w:t>
      </w:r>
    </w:p>
    <w:p w:rsidR="002C5A78" w:rsidRDefault="002C5A78" w:rsidP="002C5A78">
      <w:pPr>
        <w:pStyle w:val="SangriaFrancesaArticulo"/>
      </w:pPr>
      <w:r w:rsidRPr="002C5A78">
        <w:rPr>
          <w:rStyle w:val="TextoNormalNegritaCaracter"/>
        </w:rPr>
        <w:t>Artículo 326.</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p>
    <w:p w:rsidR="002C5A78" w:rsidRDefault="002C5A78" w:rsidP="002C5A78">
      <w:pPr>
        <w:pStyle w:val="TextoNormalNegritaCursivandice"/>
        <w:keepNext/>
      </w:pPr>
      <w:r>
        <w:t>Real Decreto de 24 de julio de 1889. Código civil</w:t>
      </w:r>
    </w:p>
    <w:p w:rsidR="002C5A78" w:rsidRDefault="002C5A78" w:rsidP="002C5A78">
      <w:pPr>
        <w:pStyle w:val="SangriaFrancesaArticulo"/>
      </w:pPr>
      <w:r w:rsidRPr="002C5A78">
        <w:rPr>
          <w:rStyle w:val="TextoNormalNegritaCaracter"/>
        </w:rPr>
        <w:t>Artículo 1</w:t>
      </w:r>
      <w:r>
        <w:t xml:space="preserve"> (redacción original)</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108.</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176.1.</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176.2.</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178.</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180.</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1101.</w:t>
      </w:r>
      <w:r w:rsidRPr="002C5A78">
        <w:rPr>
          <w:rStyle w:val="TextoNormalCaracter"/>
        </w:rPr>
        <w:t>-</w:t>
      </w:r>
      <w:r>
        <w:t xml:space="preserve"> Sentencia </w:t>
      </w:r>
      <w:hyperlink w:anchor="SENTENCIA_2021_65" w:history="1">
        <w:r w:rsidRPr="002C5A78">
          <w:rPr>
            <w:rStyle w:val="TextoNormalCaracter"/>
          </w:rPr>
          <w:t>65/2021</w:t>
        </w:r>
      </w:hyperlink>
      <w:r>
        <w:t>, f. 6.</w:t>
      </w:r>
    </w:p>
    <w:p w:rsidR="002C5A78" w:rsidRDefault="002C5A78" w:rsidP="002C5A78">
      <w:pPr>
        <w:pStyle w:val="SangriaFrancesaArticulo"/>
      </w:pPr>
      <w:r w:rsidRPr="002C5A78">
        <w:rPr>
          <w:rStyle w:val="TextoNormalNegritaCaracter"/>
        </w:rPr>
        <w:t>Artículo 1101 párrafo 79.</w:t>
      </w:r>
      <w:r w:rsidRPr="002C5A78">
        <w:rPr>
          <w:rStyle w:val="TextoNormalCaracter"/>
        </w:rPr>
        <w:t>-</w:t>
      </w:r>
      <w:r>
        <w:t xml:space="preserve"> Sentencia </w:t>
      </w:r>
      <w:hyperlink w:anchor="SENTENCIA_2021_65" w:history="1">
        <w:r w:rsidRPr="002C5A78">
          <w:rPr>
            <w:rStyle w:val="TextoNormalCaracter"/>
          </w:rPr>
          <w:t>65/2021</w:t>
        </w:r>
      </w:hyperlink>
      <w:r>
        <w:t>, f. 6.</w:t>
      </w:r>
    </w:p>
    <w:p w:rsidR="002C5A78" w:rsidRDefault="002C5A78" w:rsidP="002C5A78">
      <w:pPr>
        <w:pStyle w:val="SangriaFrancesaArticulo"/>
      </w:pPr>
      <w:r w:rsidRPr="002C5A78">
        <w:rPr>
          <w:rStyle w:val="TextoNormalNegritaCaracter"/>
        </w:rPr>
        <w:t>Artículo 1124.</w:t>
      </w:r>
      <w:r w:rsidRPr="002C5A78">
        <w:rPr>
          <w:rStyle w:val="TextoNormalCaracter"/>
        </w:rPr>
        <w:t>-</w:t>
      </w:r>
      <w:r>
        <w:t xml:space="preserve"> Sentencia </w:t>
      </w:r>
      <w:hyperlink w:anchor="SENTENCIA_2021_65" w:history="1">
        <w:r w:rsidRPr="002C5A78">
          <w:rPr>
            <w:rStyle w:val="TextoNormalCaracter"/>
          </w:rPr>
          <w:t>65/2021</w:t>
        </w:r>
      </w:hyperlink>
      <w:r>
        <w:t>, f. 6.</w:t>
      </w:r>
    </w:p>
    <w:p w:rsidR="002C5A78" w:rsidRDefault="002C5A78" w:rsidP="002C5A78">
      <w:pPr>
        <w:pStyle w:val="SangriaFrancesaArticulo"/>
      </w:pPr>
      <w:r w:rsidRPr="002C5A78">
        <w:rPr>
          <w:rStyle w:val="TextoNormalNegritaCaracter"/>
        </w:rPr>
        <w:t>Artículo 1227.</w:t>
      </w:r>
      <w:r w:rsidRPr="002C5A78">
        <w:rPr>
          <w:rStyle w:val="TextoNormalCaracter"/>
        </w:rPr>
        <w:t>-</w:t>
      </w:r>
      <w:r>
        <w:t xml:space="preserve"> Auto </w:t>
      </w:r>
      <w:hyperlink w:anchor="AUTO_2021_59" w:history="1">
        <w:r w:rsidRPr="002C5A78">
          <w:rPr>
            <w:rStyle w:val="TextoNormalCaracter"/>
          </w:rPr>
          <w:t>59/2021</w:t>
        </w:r>
      </w:hyperlink>
      <w:r>
        <w:t>, f. 3.</w:t>
      </w:r>
    </w:p>
    <w:p w:rsidR="002C5A78" w:rsidRDefault="002C5A78" w:rsidP="002C5A78">
      <w:pPr>
        <w:pStyle w:val="SangriaFrancesaArticulo"/>
      </w:pPr>
      <w:r w:rsidRPr="002C5A78">
        <w:rPr>
          <w:rStyle w:val="TextoNormalNegritaCaracter"/>
        </w:rPr>
        <w:t>Artículo 1526 y siguientes.</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 1527.</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 1535.</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 1967.</w:t>
      </w:r>
      <w:r w:rsidRPr="002C5A78">
        <w:rPr>
          <w:rStyle w:val="TextoNormalCaracter"/>
        </w:rPr>
        <w:t>-</w:t>
      </w:r>
      <w:r>
        <w:t xml:space="preserve"> Sentencia </w:t>
      </w:r>
      <w:hyperlink w:anchor="SENTENCIA_2021_29" w:history="1">
        <w:r w:rsidRPr="002C5A78">
          <w:rPr>
            <w:rStyle w:val="TextoNormalCaracter"/>
          </w:rPr>
          <w:t>29/2021</w:t>
        </w:r>
      </w:hyperlink>
      <w:r>
        <w:t>, f. 4.</w:t>
      </w:r>
    </w:p>
    <w:p w:rsidR="002C5A78" w:rsidRDefault="002C5A78" w:rsidP="002C5A78">
      <w:pPr>
        <w:pStyle w:val="SangriaFrancesaArticulo"/>
      </w:pPr>
    </w:p>
    <w:p w:rsidR="002C5A78" w:rsidRDefault="002C5A78" w:rsidP="002C5A78">
      <w:pPr>
        <w:pStyle w:val="TextoNormalNegritaCursivandice"/>
        <w:keepNext/>
      </w:pPr>
      <w:r>
        <w:t>Ley de 9 de febrero de 1912, de jurisdicción y procedimiento especiales en las causas contra senadores y diputados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0" w:history="1">
        <w:r w:rsidRPr="002C5A78">
          <w:rPr>
            <w:rStyle w:val="TextoNormalCaracter"/>
          </w:rPr>
          <w:t>70/2021</w:t>
        </w:r>
      </w:hyperlink>
      <w:r>
        <w:t xml:space="preserve">, ff. 4, 5; </w:t>
      </w:r>
      <w:hyperlink w:anchor="SENTENCIA_2021_71" w:history="1">
        <w:r w:rsidRPr="002C5A78">
          <w:rPr>
            <w:rStyle w:val="TextoNormalCaracter"/>
          </w:rPr>
          <w:t>71/2021</w:t>
        </w:r>
      </w:hyperlink>
      <w:r>
        <w:t>, ff. 4, 5.</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Sentencias </w:t>
      </w:r>
      <w:hyperlink w:anchor="SENTENCIA_2021_70" w:history="1">
        <w:r w:rsidRPr="002C5A78">
          <w:rPr>
            <w:rStyle w:val="TextoNormalCaracter"/>
          </w:rPr>
          <w:t>70/2021</w:t>
        </w:r>
      </w:hyperlink>
      <w:r>
        <w:t xml:space="preserve">, f. 4; </w:t>
      </w:r>
      <w:hyperlink w:anchor="SENTENCIA_2021_71" w:history="1">
        <w:r w:rsidRPr="002C5A78">
          <w:rPr>
            <w:rStyle w:val="TextoNormalCaracter"/>
          </w:rPr>
          <w:t>71/2021</w:t>
        </w:r>
      </w:hyperlink>
      <w:r>
        <w:t>, f. 4.</w:t>
      </w:r>
    </w:p>
    <w:p w:rsidR="002C5A78" w:rsidRDefault="002C5A78" w:rsidP="002C5A78">
      <w:pPr>
        <w:pStyle w:val="SangriaFrancesaArticulo"/>
      </w:pPr>
    </w:p>
    <w:p w:rsidR="002C5A78" w:rsidRDefault="002C5A78" w:rsidP="002C5A78">
      <w:pPr>
        <w:pStyle w:val="TextoNormalNegritaCursivandice"/>
        <w:keepNext/>
      </w:pPr>
      <w:r>
        <w:t>Ley de 22 de abril de 1938. Prensa</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p>
    <w:p w:rsidR="002C5A78" w:rsidRDefault="002C5A78" w:rsidP="002C5A78">
      <w:pPr>
        <w:pStyle w:val="TextoNormalNegritaCursivandice"/>
        <w:keepNext/>
      </w:pPr>
      <w:r>
        <w:t>Fuero de los Españoles, de 17 de julio de 1945</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p>
    <w:p w:rsidR="002C5A78" w:rsidRDefault="002C5A78" w:rsidP="002C5A78">
      <w:pPr>
        <w:pStyle w:val="TextoNormalNegritaCursivandice"/>
        <w:keepNext/>
      </w:pPr>
      <w:r>
        <w:t>Decreto de 8 de febrero de 1946. Texto refundido de la Ley hipotecaria</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88" w:history="1">
        <w:r w:rsidRPr="002C5A78">
          <w:rPr>
            <w:rStyle w:val="TextoNormalCaracter"/>
          </w:rPr>
          <w:t>88/2021</w:t>
        </w:r>
      </w:hyperlink>
      <w:r>
        <w:t>, ff. 1, 4.</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r w:rsidRPr="002C5A78">
        <w:rPr>
          <w:rStyle w:val="TextoNormalNegritaCaracter"/>
        </w:rPr>
        <w:t>Artículo 42.1.</w:t>
      </w:r>
      <w:r w:rsidRPr="002C5A78">
        <w:rPr>
          <w:rStyle w:val="TextoNormalCaracter"/>
        </w:rPr>
        <w:t>-</w:t>
      </w:r>
      <w:r>
        <w:t xml:space="preserve"> Autos </w:t>
      </w:r>
      <w:hyperlink w:anchor="AUTO_2021_1" w:history="1">
        <w:r w:rsidRPr="002C5A78">
          <w:rPr>
            <w:rStyle w:val="TextoNormalCaracter"/>
          </w:rPr>
          <w:t>1/2021</w:t>
        </w:r>
      </w:hyperlink>
      <w:r>
        <w:t xml:space="preserve">, f. 3; </w:t>
      </w:r>
      <w:hyperlink w:anchor="AUTO_2021_2" w:history="1">
        <w:r w:rsidRPr="002C5A78">
          <w:rPr>
            <w:rStyle w:val="TextoNormalCaracter"/>
          </w:rPr>
          <w:t>2/2021</w:t>
        </w:r>
      </w:hyperlink>
      <w:r>
        <w:t xml:space="preserve">, f. 3; </w:t>
      </w:r>
      <w:hyperlink w:anchor="AUTO_2021_3" w:history="1">
        <w:r w:rsidRPr="002C5A78">
          <w:rPr>
            <w:rStyle w:val="TextoNormalCaracter"/>
          </w:rPr>
          <w:t>3/2021</w:t>
        </w:r>
      </w:hyperlink>
      <w:r>
        <w:t xml:space="preserve">, f. 3; </w:t>
      </w:r>
      <w:hyperlink w:anchor="AUTO_2021_11" w:history="1">
        <w:r w:rsidRPr="002C5A78">
          <w:rPr>
            <w:rStyle w:val="TextoNormalCaracter"/>
          </w:rPr>
          <w:t>11/2021</w:t>
        </w:r>
      </w:hyperlink>
      <w:r>
        <w:t xml:space="preserve">, f. 3; </w:t>
      </w:r>
      <w:hyperlink w:anchor="AUTO_2021_12" w:history="1">
        <w:r w:rsidRPr="002C5A78">
          <w:rPr>
            <w:rStyle w:val="TextoNormalCaracter"/>
          </w:rPr>
          <w:t>12/2021</w:t>
        </w:r>
      </w:hyperlink>
      <w:r>
        <w:t xml:space="preserve">, f. 3; </w:t>
      </w:r>
      <w:hyperlink w:anchor="AUTO_2021_66" w:history="1">
        <w:r w:rsidRPr="002C5A78">
          <w:rPr>
            <w:rStyle w:val="TextoNormalCaracter"/>
          </w:rPr>
          <w:t>66/2021</w:t>
        </w:r>
      </w:hyperlink>
      <w:r>
        <w:t>, f. 3.</w:t>
      </w:r>
    </w:p>
    <w:p w:rsidR="002C5A78" w:rsidRDefault="002C5A78" w:rsidP="002C5A78">
      <w:pPr>
        <w:pStyle w:val="SangriaFrancesaArticulo"/>
      </w:pPr>
      <w:r w:rsidRPr="002C5A78">
        <w:rPr>
          <w:rStyle w:val="TextoNormalNegritaCaracter"/>
        </w:rPr>
        <w:t>Artículo 129.</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p>
    <w:p w:rsidR="002C5A78" w:rsidRDefault="002C5A78" w:rsidP="002C5A78">
      <w:pPr>
        <w:pStyle w:val="TextoNormalNegritaCursivandice"/>
        <w:keepNext/>
      </w:pPr>
      <w:r>
        <w:t>Ley de 17 de mayo de 1958. Ley Fundamental del Reino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p>
    <w:p w:rsidR="002C5A78" w:rsidRDefault="002C5A78" w:rsidP="002C5A78">
      <w:pPr>
        <w:pStyle w:val="TextoNormalNegritaCursivandice"/>
        <w:keepNext/>
      </w:pPr>
      <w:r>
        <w:t>Ley 25/1964, de 29 de abril. Energía nuclear</w:t>
      </w:r>
    </w:p>
    <w:p w:rsidR="002C5A78" w:rsidRDefault="002C5A78" w:rsidP="002C5A78">
      <w:pPr>
        <w:pStyle w:val="SangriaFrancesaArticulo"/>
      </w:pPr>
      <w:r w:rsidRPr="002C5A78">
        <w:rPr>
          <w:rStyle w:val="TextoNormalNegritaCaracter"/>
        </w:rPr>
        <w:t>Artículo 91 b) 1.</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SangriaFrancesaArticulo"/>
      </w:pPr>
    </w:p>
    <w:p w:rsidR="002C5A78" w:rsidRDefault="002C5A78" w:rsidP="002C5A78">
      <w:pPr>
        <w:pStyle w:val="TextoNormalNegritaCursivandice"/>
        <w:keepNext/>
      </w:pPr>
      <w:r>
        <w:t>Ley 14/1966, de 18 de marzo. Prensa e imprenta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14" w:history="1">
        <w:r w:rsidRPr="002C5A78">
          <w:rPr>
            <w:rStyle w:val="TextoNormalCaracter"/>
          </w:rPr>
          <w:t>14/2021</w:t>
        </w:r>
      </w:hyperlink>
      <w:r>
        <w:t>, ff. 1, 5, VP II.</w:t>
      </w:r>
    </w:p>
    <w:p w:rsidR="002C5A78" w:rsidRDefault="002C5A78" w:rsidP="002C5A78">
      <w:pPr>
        <w:pStyle w:val="SangriaFrancesaArticulo"/>
      </w:pPr>
      <w:r w:rsidRPr="002C5A78">
        <w:rPr>
          <w:rStyle w:val="TextoNormalNegritaCaracter"/>
        </w:rPr>
        <w:t>Artículo 37.</w:t>
      </w:r>
      <w:r w:rsidRPr="002C5A78">
        <w:rPr>
          <w:rStyle w:val="TextoNormalCaracter"/>
        </w:rPr>
        <w:t>-</w:t>
      </w:r>
      <w:r>
        <w:t xml:space="preserve"> Sentencia </w:t>
      </w:r>
      <w:hyperlink w:anchor="SENTENCIA_2021_14" w:history="1">
        <w:r w:rsidRPr="002C5A78">
          <w:rPr>
            <w:rStyle w:val="TextoNormalCaracter"/>
          </w:rPr>
          <w:t>14/2021</w:t>
        </w:r>
      </w:hyperlink>
      <w:r>
        <w:t>, f. 5, VP II.</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14" w:history="1">
        <w:r w:rsidRPr="002C5A78">
          <w:rPr>
            <w:rStyle w:val="TextoNormalCaracter"/>
          </w:rPr>
          <w:t>14/2021</w:t>
        </w:r>
      </w:hyperlink>
      <w:r>
        <w:t>, ff. 1, 5, VP II.</w:t>
      </w:r>
    </w:p>
    <w:p w:rsidR="002C5A78" w:rsidRDefault="002C5A78" w:rsidP="002C5A78">
      <w:pPr>
        <w:pStyle w:val="SangriaFrancesaArticulo"/>
      </w:pPr>
      <w:r w:rsidRPr="002C5A78">
        <w:rPr>
          <w:rStyle w:val="TextoNormalNegritaCaracter"/>
        </w:rPr>
        <w:t>Artículo 40.1.</w:t>
      </w:r>
      <w:r w:rsidRPr="002C5A78">
        <w:rPr>
          <w:rStyle w:val="TextoNormalCaracter"/>
        </w:rPr>
        <w:t>-</w:t>
      </w:r>
      <w:r>
        <w:t xml:space="preserve"> Sentencia </w:t>
      </w:r>
      <w:hyperlink w:anchor="SENTENCIA_2021_14" w:history="1">
        <w:r w:rsidRPr="002C5A78">
          <w:rPr>
            <w:rStyle w:val="TextoNormalCaracter"/>
          </w:rPr>
          <w:t>14/2021</w:t>
        </w:r>
      </w:hyperlink>
      <w:r>
        <w:t>, f. 5.</w:t>
      </w:r>
    </w:p>
    <w:p w:rsidR="002C5A78" w:rsidRDefault="002C5A78" w:rsidP="002C5A78">
      <w:pPr>
        <w:pStyle w:val="SangriaFrancesaArticulo"/>
      </w:pPr>
      <w:r w:rsidRPr="002C5A78">
        <w:rPr>
          <w:rStyle w:val="TextoNormalNegritaCaracter"/>
        </w:rPr>
        <w:t>Artículo 65.2.</w:t>
      </w:r>
      <w:r w:rsidRPr="002C5A78">
        <w:rPr>
          <w:rStyle w:val="TextoNormalCaracter"/>
        </w:rPr>
        <w:t>-</w:t>
      </w:r>
      <w:r>
        <w:t xml:space="preserve"> Sentencia </w:t>
      </w:r>
      <w:hyperlink w:anchor="SENTENCIA_2021_14" w:history="1">
        <w:r w:rsidRPr="002C5A78">
          <w:rPr>
            <w:rStyle w:val="TextoNormalCaracter"/>
          </w:rPr>
          <w:t>14/2021</w:t>
        </w:r>
      </w:hyperlink>
      <w:r>
        <w:t>, f. 5, VP II.</w:t>
      </w:r>
    </w:p>
    <w:p w:rsidR="002C5A78" w:rsidRDefault="002C5A78" w:rsidP="002C5A78">
      <w:pPr>
        <w:pStyle w:val="SangriaFrancesaArticulo"/>
      </w:pPr>
    </w:p>
    <w:p w:rsidR="002C5A78" w:rsidRDefault="002C5A78" w:rsidP="002C5A78">
      <w:pPr>
        <w:pStyle w:val="TextoNormalNegritaCursivandice"/>
        <w:keepNext/>
      </w:pPr>
      <w:r>
        <w:t>Decreto 744/1967, de 13 de abril. Texto refundido del estatuto de la profesión periodística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35.</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r w:rsidRPr="002C5A78">
        <w:rPr>
          <w:rStyle w:val="TextoNormalNegritaCaracter"/>
        </w:rPr>
        <w:t>Artículo 36.</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p>
    <w:p w:rsidR="002C5A78" w:rsidRDefault="002C5A78" w:rsidP="002C5A78">
      <w:pPr>
        <w:pStyle w:val="TextoNormalNegritaCursivandice"/>
        <w:keepNext/>
      </w:pPr>
      <w:r>
        <w:t>Ley 28/1969, de 26 de abril, sobre costas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88" w:history="1">
        <w:r w:rsidRPr="002C5A78">
          <w:rPr>
            <w:rStyle w:val="TextoNormalCaracter"/>
          </w:rPr>
          <w:t>88/2021</w:t>
        </w:r>
      </w:hyperlink>
      <w:r>
        <w:t>, f. 4.</w:t>
      </w:r>
    </w:p>
    <w:p w:rsidR="002C5A78" w:rsidRDefault="002C5A78" w:rsidP="002C5A78">
      <w:pPr>
        <w:pStyle w:val="SangriaFrancesaArticulo"/>
      </w:pPr>
    </w:p>
    <w:p w:rsidR="002C5A78" w:rsidRDefault="002C5A78" w:rsidP="002C5A78">
      <w:pPr>
        <w:pStyle w:val="TextoNormalNegritaCursivandice"/>
        <w:keepNext/>
      </w:pPr>
      <w:r>
        <w:t>Decreto 3096/1973, de 14 de septiembre. Texto refundido del Código penal conforme a la Ley 44/1971, de 15 de noviembre</w:t>
      </w:r>
    </w:p>
    <w:p w:rsidR="002C5A78" w:rsidRDefault="002C5A78" w:rsidP="002C5A78">
      <w:pPr>
        <w:pStyle w:val="SangriaFrancesaArticulo"/>
      </w:pPr>
      <w:r w:rsidRPr="002C5A78">
        <w:rPr>
          <w:rStyle w:val="TextoNormalNegritaCaracter"/>
        </w:rPr>
        <w:t>Artículo 174 bis a).</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218.</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xml:space="preserve">, VP;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219.</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Ley 2/1974, de 13 de febrero. Colegios profesionales</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 </w:t>
      </w:r>
      <w:hyperlink w:anchor="SENTENCIA_2021_79" w:history="1">
        <w:r w:rsidRPr="002C5A78">
          <w:rPr>
            <w:rStyle w:val="TextoNormalCaracter"/>
          </w:rPr>
          <w:t>79/2021</w:t>
        </w:r>
      </w:hyperlink>
      <w:r>
        <w:t>, f. 4.</w:t>
      </w:r>
    </w:p>
    <w:p w:rsidR="002C5A78" w:rsidRDefault="002C5A78" w:rsidP="002C5A78">
      <w:pPr>
        <w:pStyle w:val="SangriaFrancesaArticulo"/>
      </w:pPr>
    </w:p>
    <w:p w:rsidR="002C5A78" w:rsidRDefault="002C5A78" w:rsidP="002C5A78">
      <w:pPr>
        <w:pStyle w:val="TextoNormalNegritaCursivandice"/>
        <w:keepNext/>
      </w:pPr>
      <w:r>
        <w:t>Real Decreto-ley 17/1977, de 4 de marzo, sobre relaciones de trabajo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0" w:history="1">
        <w:r w:rsidRPr="002C5A78">
          <w:rPr>
            <w:rStyle w:val="TextoNormalCaracter"/>
          </w:rPr>
          <w:t>130/2021</w:t>
        </w:r>
      </w:hyperlink>
      <w:r>
        <w:t>, f. 2.</w:t>
      </w:r>
    </w:p>
    <w:p w:rsidR="002C5A78" w:rsidRDefault="002C5A78" w:rsidP="002C5A78">
      <w:pPr>
        <w:pStyle w:val="SangriaFrancesaArticulo"/>
      </w:pPr>
      <w:r w:rsidRPr="002C5A78">
        <w:rPr>
          <w:rStyle w:val="TextoNormalNegritaCaracter"/>
        </w:rPr>
        <w:t>Exposición de motivos.</w:t>
      </w:r>
      <w:r w:rsidRPr="002C5A78">
        <w:rPr>
          <w:rStyle w:val="TextoNormalCaracter"/>
        </w:rPr>
        <w:t>-</w:t>
      </w:r>
      <w:r>
        <w:t xml:space="preserve"> Sentencia </w:t>
      </w:r>
      <w:hyperlink w:anchor="SENTENCIA_2021_130" w:history="1">
        <w:r w:rsidRPr="002C5A78">
          <w:rPr>
            <w:rStyle w:val="TextoNormalCaracter"/>
          </w:rPr>
          <w:t>130/2021</w:t>
        </w:r>
      </w:hyperlink>
      <w:r>
        <w:t>, f. 3.</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130" w:history="1">
        <w:r w:rsidRPr="002C5A78">
          <w:rPr>
            <w:rStyle w:val="TextoNormalCaracter"/>
          </w:rPr>
          <w:t>130/2021</w:t>
        </w:r>
      </w:hyperlink>
      <w:r>
        <w:t>, f. 4.</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130" w:history="1">
        <w:r w:rsidRPr="002C5A78">
          <w:rPr>
            <w:rStyle w:val="TextoNormalCaracter"/>
          </w:rPr>
          <w:t>130/2021</w:t>
        </w:r>
      </w:hyperlink>
      <w:r>
        <w:t>, f. 4.</w:t>
      </w:r>
    </w:p>
    <w:p w:rsidR="002C5A78" w:rsidRDefault="002C5A78" w:rsidP="002C5A78">
      <w:pPr>
        <w:pStyle w:val="SangriaFrancesaArticulo"/>
      </w:pPr>
    </w:p>
    <w:p w:rsidR="002C5A78" w:rsidRDefault="002C5A78" w:rsidP="002C5A78">
      <w:pPr>
        <w:pStyle w:val="TextoNormalNegritaCursivandice"/>
        <w:keepNext/>
      </w:pPr>
      <w:r>
        <w:t>Real Decreto-ley 20/1977, de 18 de marzo. Normas electorales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4" w:history="1">
        <w:r w:rsidRPr="002C5A78">
          <w:rPr>
            <w:rStyle w:val="TextoNormalCaracter"/>
          </w:rPr>
          <w:t>14/2021</w:t>
        </w:r>
      </w:hyperlink>
      <w:r>
        <w:t>, VP I.</w:t>
      </w:r>
    </w:p>
    <w:p w:rsidR="002C5A78" w:rsidRDefault="002C5A78" w:rsidP="002C5A78">
      <w:pPr>
        <w:pStyle w:val="SangriaFrancesaArticulo"/>
      </w:pPr>
      <w:r w:rsidRPr="002C5A78">
        <w:rPr>
          <w:rStyle w:val="TextoNormalNegritaCaracter"/>
        </w:rPr>
        <w:t>Artículo 38.</w:t>
      </w:r>
      <w:r w:rsidRPr="002C5A78">
        <w:rPr>
          <w:rStyle w:val="TextoNormalCaracter"/>
        </w:rPr>
        <w:t>-</w:t>
      </w:r>
      <w:r>
        <w:t xml:space="preserve"> Sentencia </w:t>
      </w:r>
      <w:hyperlink w:anchor="SENTENCIA_2021_14" w:history="1">
        <w:r w:rsidRPr="002C5A78">
          <w:rPr>
            <w:rStyle w:val="TextoNormalCaracter"/>
          </w:rPr>
          <w:t>14/2021</w:t>
        </w:r>
      </w:hyperlink>
      <w:r>
        <w:t>, VP II.</w:t>
      </w:r>
    </w:p>
    <w:p w:rsidR="002C5A78" w:rsidRDefault="002C5A78" w:rsidP="002C5A78">
      <w:pPr>
        <w:pStyle w:val="SangriaFrancesaArticulo"/>
      </w:pPr>
    </w:p>
    <w:p w:rsidR="002C5A78" w:rsidRDefault="002C5A78" w:rsidP="002C5A78">
      <w:pPr>
        <w:pStyle w:val="TextoNormalNegritaCursivandice"/>
        <w:keepNext/>
      </w:pPr>
      <w:r>
        <w:t>Real Decreto-ley 36/1978, de 16 de noviembre. Gestión institucional de la Seguridad Social, la salud y el empleo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1" w:history="1">
        <w:r w:rsidRPr="002C5A78">
          <w:rPr>
            <w:rStyle w:val="TextoNormalCaracter"/>
          </w:rPr>
          <w:t>111/2021</w:t>
        </w:r>
      </w:hyperlink>
      <w:r>
        <w:t>, f. 7.</w:t>
      </w:r>
    </w:p>
    <w:p w:rsidR="002C5A78" w:rsidRDefault="002C5A78" w:rsidP="002C5A78">
      <w:pPr>
        <w:pStyle w:val="TextoNormal"/>
      </w:pPr>
    </w:p>
    <w:p w:rsidR="002C5A78" w:rsidRDefault="002C5A78" w:rsidP="002C5A78">
      <w:pPr>
        <w:pStyle w:val="SangriaFrancesaArticulo"/>
      </w:pPr>
      <w:bookmarkStart w:id="225" w:name="INDICE22851"/>
    </w:p>
    <w:bookmarkEnd w:id="225"/>
    <w:p w:rsidR="002C5A78" w:rsidRDefault="002C5A78" w:rsidP="002C5A78">
      <w:pPr>
        <w:pStyle w:val="TextoIndiceNivel2"/>
        <w:suppressAutoHyphens/>
      </w:pPr>
      <w:r>
        <w:t>J) Comunidades y Ciudades Autónomas</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J.1) Andalucía</w:t>
      </w:r>
    </w:p>
    <w:p w:rsidR="002C5A78" w:rsidRDefault="002C5A78" w:rsidP="002C5A78">
      <w:pPr>
        <w:pStyle w:val="TextoNormal"/>
      </w:pPr>
    </w:p>
    <w:p w:rsidR="002C5A78" w:rsidRDefault="002C5A78" w:rsidP="002C5A78">
      <w:pPr>
        <w:pStyle w:val="TextoNormalNegritaCentradoSubrayado"/>
        <w:suppressAutoHyphens/>
      </w:pPr>
      <w:r>
        <w:t>J.1.a)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6/1981, de 30 de diciembre.  Estatuto de Autonomía para Andalucía</w:t>
      </w:r>
    </w:p>
    <w:p w:rsidR="002C5A78" w:rsidRDefault="002C5A78" w:rsidP="002C5A78">
      <w:pPr>
        <w:pStyle w:val="SangriaFrancesaArticulo"/>
      </w:pPr>
      <w:r w:rsidRPr="002C5A78">
        <w:rPr>
          <w:rStyle w:val="TextoNormalNegritaCaracter"/>
        </w:rPr>
        <w:t>Artículo 63.1, apartado 1.</w:t>
      </w:r>
      <w:r w:rsidRPr="002C5A78">
        <w:rPr>
          <w:rStyle w:val="TextoNormalCaracter"/>
        </w:rPr>
        <w:t>-</w:t>
      </w:r>
      <w:r>
        <w:t xml:space="preserve"> Sentencia </w:t>
      </w:r>
      <w:hyperlink w:anchor="SENTENCIA_2021_39" w:history="1">
        <w:r w:rsidRPr="002C5A78">
          <w:rPr>
            <w:rStyle w:val="TextoNormalCaracter"/>
          </w:rPr>
          <w:t>39/2021</w:t>
        </w:r>
      </w:hyperlink>
      <w:r>
        <w:t>, ff. 1, 2.</w:t>
      </w:r>
    </w:p>
    <w:p w:rsidR="002C5A78" w:rsidRDefault="002C5A78" w:rsidP="002C5A78">
      <w:pPr>
        <w:pStyle w:val="SangriaFrancesaArticulo"/>
      </w:pPr>
      <w:r w:rsidRPr="002C5A78">
        <w:rPr>
          <w:rStyle w:val="TextoNormalNegritaCaracter"/>
        </w:rPr>
        <w:t>Artículo 63.1, apartado 2.</w:t>
      </w:r>
      <w:r w:rsidRPr="002C5A78">
        <w:rPr>
          <w:rStyle w:val="TextoNormalCaracter"/>
        </w:rPr>
        <w:t>-</w:t>
      </w:r>
      <w:r>
        <w:t xml:space="preserve"> Sentencia </w:t>
      </w:r>
      <w:hyperlink w:anchor="SENTENCIA_2021_39" w:history="1">
        <w:r w:rsidRPr="002C5A78">
          <w:rPr>
            <w:rStyle w:val="TextoNormalCaracter"/>
          </w:rPr>
          <w:t>39/2021</w:t>
        </w:r>
      </w:hyperlink>
      <w:r>
        <w:t>, ff. 1, 2.</w:t>
      </w:r>
    </w:p>
    <w:p w:rsidR="002C5A78" w:rsidRDefault="002C5A78" w:rsidP="002C5A78">
      <w:pPr>
        <w:pStyle w:val="SangriaFrancesaArticulo"/>
      </w:pPr>
    </w:p>
    <w:p w:rsidR="002C5A78" w:rsidRDefault="002C5A78" w:rsidP="002C5A78">
      <w:pPr>
        <w:pStyle w:val="TextoNormalNegritaCursivandice"/>
        <w:keepNext/>
      </w:pPr>
      <w:r>
        <w:t>Ley Orgánica 2/2007, de 19 de marzo, de reforma del Estatuto de Autonomía de Andalucía</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110.</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TextoNormal"/>
      </w:pPr>
    </w:p>
    <w:p w:rsidR="002C5A78" w:rsidRDefault="002C5A78" w:rsidP="002C5A78">
      <w:pPr>
        <w:pStyle w:val="TextoNormalNegritaCentradoSubrayado"/>
        <w:suppressAutoHyphens/>
      </w:pPr>
      <w:r>
        <w:t>J.1.b)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del Parlamento de Andalucía 7/2002, de 17 de diciembre. Ordenación urbanística de Andalucía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7.1.</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15.1.</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15.2.</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40.2.</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40.3.</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p>
    <w:p w:rsidR="002C5A78" w:rsidRDefault="002C5A78" w:rsidP="002C5A78">
      <w:pPr>
        <w:pStyle w:val="TextoNormalNegritaCursivandice"/>
        <w:keepNext/>
      </w:pPr>
      <w:r>
        <w:t>Comunidad Autónoma de Andalucía. Ley 7/2007, de 9 de julio de gestión integrada de la calidad ambiental</w:t>
      </w:r>
    </w:p>
    <w:p w:rsidR="002C5A78" w:rsidRDefault="002C5A78" w:rsidP="002C5A78">
      <w:pPr>
        <w:pStyle w:val="SangriaFrancesaArticulo"/>
      </w:pPr>
      <w:r w:rsidRPr="002C5A78">
        <w:rPr>
          <w:rStyle w:val="TextoNormalNegritaCaracter"/>
        </w:rPr>
        <w:t>Artículo 40.2.</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40.3.</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40.3 b).</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40.3 d).</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40.4.</w:t>
      </w:r>
      <w:r w:rsidRPr="002C5A78">
        <w:rPr>
          <w:rStyle w:val="TextoNormalCaracter"/>
        </w:rPr>
        <w:t>-</w:t>
      </w:r>
      <w:r>
        <w:t xml:space="preserve"> Sentencia </w:t>
      </w:r>
      <w:hyperlink w:anchor="SENTENCIA_2021_123" w:history="1">
        <w:r w:rsidRPr="002C5A78">
          <w:rPr>
            <w:rStyle w:val="TextoNormalCaracter"/>
          </w:rPr>
          <w:t>123/2021</w:t>
        </w:r>
      </w:hyperlink>
      <w:r>
        <w:t>, f. 2.</w:t>
      </w:r>
    </w:p>
    <w:p w:rsidR="002C5A78" w:rsidRDefault="002C5A78" w:rsidP="002C5A78">
      <w:pPr>
        <w:pStyle w:val="SangriaFrancesaArticulo"/>
      </w:pPr>
      <w:r w:rsidRPr="002C5A78">
        <w:rPr>
          <w:rStyle w:val="TextoNormalNegritaCaracter"/>
        </w:rPr>
        <w:t>Artículo 40.4 a).</w:t>
      </w:r>
      <w:r w:rsidRPr="002C5A78">
        <w:rPr>
          <w:rStyle w:val="TextoNormalCaracter"/>
        </w:rPr>
        <w:t>-</w:t>
      </w:r>
      <w:r>
        <w:t xml:space="preserve"> Sentencia </w:t>
      </w:r>
      <w:hyperlink w:anchor="SENTENCIA_2021_123" w:history="1">
        <w:r w:rsidRPr="002C5A78">
          <w:rPr>
            <w:rStyle w:val="TextoNormalCaracter"/>
          </w:rPr>
          <w:t>123/2021</w:t>
        </w:r>
      </w:hyperlink>
      <w:r>
        <w:t>, ff. 1 a 5.</w:t>
      </w:r>
    </w:p>
    <w:p w:rsidR="002C5A78" w:rsidRDefault="002C5A78" w:rsidP="002C5A78">
      <w:pPr>
        <w:pStyle w:val="SangriaFrancesaArticulo"/>
      </w:pPr>
      <w:r w:rsidRPr="002C5A78">
        <w:rPr>
          <w:rStyle w:val="TextoNormalNegritaCaracter"/>
        </w:rPr>
        <w:t>Artículo 40.4 c).</w:t>
      </w:r>
      <w:r w:rsidRPr="002C5A78">
        <w:rPr>
          <w:rStyle w:val="TextoNormalCaracter"/>
        </w:rPr>
        <w:t>-</w:t>
      </w:r>
      <w:r>
        <w:t xml:space="preserve"> Sentencia </w:t>
      </w:r>
      <w:hyperlink w:anchor="SENTENCIA_2021_123" w:history="1">
        <w:r w:rsidRPr="002C5A78">
          <w:rPr>
            <w:rStyle w:val="TextoNormalCaracter"/>
          </w:rPr>
          <w:t>123/2021</w:t>
        </w:r>
      </w:hyperlink>
      <w:r>
        <w:t>, ff. 1 a 5.</w:t>
      </w:r>
    </w:p>
    <w:p w:rsidR="002C5A78" w:rsidRDefault="002C5A78" w:rsidP="002C5A78">
      <w:pPr>
        <w:pStyle w:val="SangriaFrancesaArticulo"/>
      </w:pPr>
      <w:r w:rsidRPr="002C5A78">
        <w:rPr>
          <w:rStyle w:val="TextoNormalNegritaCaracter"/>
        </w:rPr>
        <w:t>Anexo I.</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p>
    <w:p w:rsidR="002C5A78" w:rsidRDefault="002C5A78" w:rsidP="002C5A78">
      <w:pPr>
        <w:pStyle w:val="TextoNormalNegritaCursivandice"/>
        <w:keepNext/>
      </w:pPr>
      <w:r>
        <w:t>Comunidad Autónoma de Andalucía. Ley 1/2010, de 8 de marzo, reguladora del derecho a la vivienda en Andalucía</w:t>
      </w:r>
    </w:p>
    <w:p w:rsidR="002C5A78" w:rsidRDefault="002C5A78" w:rsidP="002C5A78">
      <w:pPr>
        <w:pStyle w:val="SangriaFrancesaArticulo"/>
      </w:pPr>
      <w:r w:rsidRPr="002C5A78">
        <w:rPr>
          <w:rStyle w:val="TextoNormalNegritaCaracter"/>
        </w:rPr>
        <w:t>Título VI, capítulo III.</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1.3</w:t>
      </w:r>
      <w:r>
        <w:t xml:space="preserve"> (redactado por el Decreto-ley de la Junta de Andalucía 6/2013, de 9 de abril)</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25</w:t>
      </w:r>
      <w:r>
        <w:t xml:space="preserve"> (redactado por el Decreto-ley de la Junta de Andalucía 6/2013, de 9 de abril)</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42</w:t>
      </w:r>
      <w:r>
        <w:t xml:space="preserve"> (redactado por el Decreto-ley de la Junta de Andalucía 6/2013, de 9 de abril)</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Artículos 42 y ss.</w:t>
      </w:r>
      <w:r>
        <w:t xml:space="preserve"> (redactados por el Decreto-ley de la Junta de Andalucía 6/2013, de 9 de abril)</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53.1 a)</w:t>
      </w:r>
      <w:r>
        <w:t xml:space="preserve"> (redactado por el Decreto-ley de la Junta de Andalucía 6/2013, de 9 de abril)</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Decreto-ley de la Junta de Andalucía 6/2013, de 9 de abril. Medidas para asegurar el cumplimiento de la función social de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Andalucía. Ley 4/2013, de 1 de octubre, de medidas para asegurar el cumplimiento de la función social de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TextoNormal"/>
      </w:pPr>
    </w:p>
    <w:p w:rsidR="002C5A78" w:rsidRDefault="002C5A78" w:rsidP="002C5A78">
      <w:pPr>
        <w:pStyle w:val="TextoNormalNegritaCentradoSubrayado"/>
        <w:suppressAutoHyphens/>
      </w:pPr>
      <w:r>
        <w:t>J.1.d) Normas parlamentarias autonómicas</w:t>
      </w:r>
    </w:p>
    <w:p w:rsidR="002C5A78" w:rsidRDefault="002C5A78" w:rsidP="002C5A78">
      <w:pPr>
        <w:pStyle w:val="TextoNormalNegritaCentradoSubrayado"/>
      </w:pPr>
    </w:p>
    <w:p w:rsidR="002C5A78" w:rsidRDefault="002C5A78" w:rsidP="002C5A78">
      <w:pPr>
        <w:pStyle w:val="TextoNormalNegritaCursivandice"/>
        <w:keepNext/>
      </w:pPr>
      <w:r>
        <w:t>Acuerdo de la mesa del Parlamento de Andalucía de 18 de noviembre de 2020, de adquisición de la condición de diputados no adscritos. Acuerdo de la mesa del Parlamento de Andalucía de 25 de noviembre de 2020, que desestima los recursos de reconsideración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67" w:history="1">
        <w:r w:rsidRPr="002C5A78">
          <w:rPr>
            <w:rStyle w:val="TextoNormalCaracter"/>
          </w:rPr>
          <w:t>67/2021</w:t>
        </w:r>
      </w:hyperlink>
      <w:r>
        <w:t>, f. 2.</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J.2) Aragón</w:t>
      </w:r>
    </w:p>
    <w:p w:rsidR="002C5A78" w:rsidRDefault="002C5A78" w:rsidP="002C5A78">
      <w:pPr>
        <w:pStyle w:val="TextoNormal"/>
      </w:pPr>
    </w:p>
    <w:p w:rsidR="002C5A78" w:rsidRDefault="002C5A78" w:rsidP="002C5A78">
      <w:pPr>
        <w:pStyle w:val="TextoNormalNegritaCentradoSubrayado"/>
        <w:suppressAutoHyphens/>
      </w:pPr>
      <w:r>
        <w:t>J.2.a)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8/1982, de 10 de agosto. Estatuto de Autonomía de Aragón</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68" w:history="1">
        <w:r w:rsidRPr="002C5A78">
          <w:rPr>
            <w:rStyle w:val="TextoNormalCaracter"/>
          </w:rPr>
          <w:t>68/2021</w:t>
        </w:r>
      </w:hyperlink>
      <w:r>
        <w:t>, f. 4.</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68" w:history="1">
        <w:r w:rsidRPr="002C5A78">
          <w:rPr>
            <w:rStyle w:val="TextoNormalCaracter"/>
          </w:rPr>
          <w:t>68/2021</w:t>
        </w:r>
      </w:hyperlink>
      <w:r>
        <w:t>, ff. 1 a 3.</w:t>
      </w:r>
    </w:p>
    <w:p w:rsidR="002C5A78" w:rsidRDefault="002C5A78" w:rsidP="002C5A78">
      <w:pPr>
        <w:pStyle w:val="SangriaFrancesaArticulo"/>
      </w:pPr>
      <w:r w:rsidRPr="002C5A78">
        <w:rPr>
          <w:rStyle w:val="TextoNormalNegritaCaracter"/>
        </w:rPr>
        <w:t>Artículo 71.7.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71.9.</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71.10.</w:t>
      </w:r>
      <w:r w:rsidRPr="002C5A78">
        <w:rPr>
          <w:rStyle w:val="TextoNormalCaracter"/>
        </w:rPr>
        <w:t>-</w:t>
      </w:r>
      <w:r>
        <w:t xml:space="preserve"> Sentencia </w:t>
      </w:r>
      <w:hyperlink w:anchor="SENTENCIA_2021_68" w:history="1">
        <w:r w:rsidRPr="002C5A78">
          <w:rPr>
            <w:rStyle w:val="TextoNormalCaracter"/>
          </w:rPr>
          <w:t>68/2021</w:t>
        </w:r>
      </w:hyperlink>
      <w:r>
        <w:t>, f. 7.</w:t>
      </w:r>
    </w:p>
    <w:p w:rsidR="002C5A78" w:rsidRDefault="002C5A78" w:rsidP="002C5A78">
      <w:pPr>
        <w:pStyle w:val="SangriaFrancesaArticulo"/>
      </w:pPr>
      <w:r w:rsidRPr="002C5A78">
        <w:rPr>
          <w:rStyle w:val="TextoNormalNegritaCaracter"/>
        </w:rPr>
        <w:t>Artículo 75.11.</w:t>
      </w:r>
      <w:r w:rsidRPr="002C5A78">
        <w:rPr>
          <w:rStyle w:val="TextoNormalCaracter"/>
        </w:rPr>
        <w:t>-</w:t>
      </w:r>
      <w:r>
        <w:t xml:space="preserve"> Sentencia </w:t>
      </w:r>
      <w:hyperlink w:anchor="SENTENCIA_2021_68" w:history="1">
        <w:r w:rsidRPr="002C5A78">
          <w:rPr>
            <w:rStyle w:val="TextoNormalCaracter"/>
          </w:rPr>
          <w:t>68/2021</w:t>
        </w:r>
      </w:hyperlink>
      <w:r>
        <w:t>, ff. 1 a 3.</w:t>
      </w:r>
    </w:p>
    <w:p w:rsidR="002C5A78" w:rsidRDefault="002C5A78" w:rsidP="002C5A78">
      <w:pPr>
        <w:pStyle w:val="SangriaFrancesaArticulo"/>
      </w:pPr>
      <w:r w:rsidRPr="002C5A78">
        <w:rPr>
          <w:rStyle w:val="TextoNormalNegritaCaracter"/>
        </w:rPr>
        <w:t>Artículo 93.2.</w:t>
      </w:r>
      <w:r w:rsidRPr="002C5A78">
        <w:rPr>
          <w:rStyle w:val="TextoNormalCaracter"/>
        </w:rPr>
        <w:t>-</w:t>
      </w:r>
      <w:r>
        <w:t xml:space="preserve"> Sentencia </w:t>
      </w:r>
      <w:hyperlink w:anchor="SENTENCIA_2021_68" w:history="1">
        <w:r w:rsidRPr="002C5A78">
          <w:rPr>
            <w:rStyle w:val="TextoNormalCaracter"/>
          </w:rPr>
          <w:t>68/2021</w:t>
        </w:r>
      </w:hyperlink>
      <w:r>
        <w:t>, f. 3.</w:t>
      </w:r>
    </w:p>
    <w:p w:rsidR="002C5A78" w:rsidRDefault="002C5A78" w:rsidP="002C5A78">
      <w:pPr>
        <w:pStyle w:val="SangriaFrancesaArticulo"/>
      </w:pPr>
      <w:r w:rsidRPr="002C5A78">
        <w:rPr>
          <w:rStyle w:val="TextoNormalNegritaCaracter"/>
        </w:rPr>
        <w:t>Disposición adicional tercera.</w:t>
      </w:r>
      <w:r w:rsidRPr="002C5A78">
        <w:rPr>
          <w:rStyle w:val="TextoNormalCaracter"/>
        </w:rPr>
        <w:t>-</w:t>
      </w:r>
      <w:r>
        <w:t xml:space="preserve"> Sentencia </w:t>
      </w:r>
      <w:hyperlink w:anchor="SENTENCIA_2021_68" w:history="1">
        <w:r w:rsidRPr="002C5A78">
          <w:rPr>
            <w:rStyle w:val="TextoNormalCaracter"/>
          </w:rPr>
          <w:t>68/2021</w:t>
        </w:r>
      </w:hyperlink>
      <w:r>
        <w:t>, f. 4.</w:t>
      </w:r>
    </w:p>
    <w:p w:rsidR="002C5A78" w:rsidRDefault="002C5A78" w:rsidP="002C5A78">
      <w:pPr>
        <w:pStyle w:val="SangriaFrancesaArticulo"/>
      </w:pPr>
    </w:p>
    <w:p w:rsidR="002C5A78" w:rsidRDefault="002C5A78" w:rsidP="002C5A78">
      <w:pPr>
        <w:pStyle w:val="TextoNormalNegritaCursivandice"/>
        <w:keepNext/>
      </w:pPr>
      <w:r>
        <w:t>Ley Orgánica 5/2007, de 20 de abril. Reforma del Estatuto de Autonomía de Aragón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TextoNormal"/>
      </w:pPr>
    </w:p>
    <w:p w:rsidR="002C5A78" w:rsidRDefault="002C5A78" w:rsidP="002C5A78">
      <w:pPr>
        <w:pStyle w:val="TextoNormalNegritaCentradoSubrayado"/>
        <w:suppressAutoHyphens/>
      </w:pPr>
      <w:r>
        <w:t>J.2.b)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 las Cortes de Aragón 3/2011, de 24 de febrero. Medidas en materia de contratos del sector público de Aragón</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p>
    <w:p w:rsidR="002C5A78" w:rsidRDefault="002C5A78" w:rsidP="002C5A78">
      <w:pPr>
        <w:pStyle w:val="TextoNormalNegritaCursivandice"/>
        <w:keepNext/>
      </w:pPr>
      <w:r>
        <w:t>Decreto-ley de la Diputación General de Aragón 3/2015, de 15 de diciembre. Medidas urgentes de emergencia social en materia de prestaciones económicas de carácter social, pobreza energética y acceso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Ley de las Cortes de Aragón 10/2016, de 1 de diciembre. Medidas de emergencia en relación con las prestaciones económicas del sistema público de servicios sociales y con el acceso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Ley de las Cortes de Aragón 8/2018, de 28 de junio. Actualización de los derechos históricos de Aragón.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4.</w:t>
      </w:r>
    </w:p>
    <w:p w:rsidR="002C5A78" w:rsidRDefault="002C5A78" w:rsidP="002C5A78">
      <w:pPr>
        <w:pStyle w:val="TextoNormal"/>
      </w:pPr>
    </w:p>
    <w:p w:rsidR="002C5A78" w:rsidRDefault="002C5A78" w:rsidP="002C5A78">
      <w:pPr>
        <w:pStyle w:val="TextoNormalNegritaCentradoSubrayado"/>
        <w:suppressAutoHyphens/>
      </w:pPr>
      <w:r>
        <w:t>J.2.c) Decretos y otras disposiciones reglamentarias</w:t>
      </w:r>
    </w:p>
    <w:p w:rsidR="002C5A78" w:rsidRDefault="002C5A78" w:rsidP="002C5A78">
      <w:pPr>
        <w:pStyle w:val="TextoNormalNegritaCentradoSubrayado"/>
      </w:pPr>
    </w:p>
    <w:p w:rsidR="002C5A78" w:rsidRDefault="002C5A78" w:rsidP="002C5A78">
      <w:pPr>
        <w:pStyle w:val="TextoNormalNegritaCursivandice"/>
        <w:keepNext/>
      </w:pPr>
      <w:r>
        <w:t>Decreto del Gobierno de Aragón 223/2019, de 19 de noviembre. Crea la sede judicial electrónica correspondiente al ámbito territorial de la Comunidad Autónoma de Aragón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9" w:history="1">
        <w:r w:rsidRPr="002C5A78">
          <w:rPr>
            <w:rStyle w:val="TextoNormalCaracter"/>
          </w:rPr>
          <w:t>79/2021</w:t>
        </w:r>
      </w:hyperlink>
      <w:r>
        <w:t>, f. 4.</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J.3) Asturias</w:t>
      </w:r>
    </w:p>
    <w:p w:rsidR="002C5A78" w:rsidRDefault="002C5A78" w:rsidP="002C5A78">
      <w:pPr>
        <w:pStyle w:val="TextoNormal"/>
      </w:pPr>
    </w:p>
    <w:p w:rsidR="002C5A78" w:rsidRDefault="002C5A78" w:rsidP="002C5A78">
      <w:pPr>
        <w:pStyle w:val="TextoNormalNegritaCentradoSubrayado"/>
        <w:suppressAutoHyphens/>
      </w:pPr>
      <w:r>
        <w:t>J.3.a)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7/1981, de 30 de diciembre, de Estatuto de Autonomía del Principado de Asturias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5" w:history="1">
        <w:r w:rsidRPr="002C5A78">
          <w:rPr>
            <w:rStyle w:val="TextoNormalCaracter"/>
          </w:rPr>
          <w:t>75/2021</w:t>
        </w:r>
      </w:hyperlink>
      <w:r>
        <w:t>, f. 2, VP I, VP II.</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75" w:history="1">
        <w:r w:rsidRPr="002C5A78">
          <w:rPr>
            <w:rStyle w:val="TextoNormalCaracter"/>
          </w:rPr>
          <w:t>75/2021</w:t>
        </w:r>
      </w:hyperlink>
      <w:r>
        <w:t>, ff. 1, 2, VP I.</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75" w:history="1">
        <w:r w:rsidRPr="002C5A78">
          <w:rPr>
            <w:rStyle w:val="TextoNormalCaracter"/>
          </w:rPr>
          <w:t>75/2021</w:t>
        </w:r>
      </w:hyperlink>
      <w:r>
        <w:t>, VP II.</w:t>
      </w:r>
    </w:p>
    <w:p w:rsidR="002C5A78" w:rsidRDefault="002C5A78" w:rsidP="002C5A78">
      <w:pPr>
        <w:pStyle w:val="SangriaFrancesaArticulo"/>
      </w:pPr>
      <w:r w:rsidRPr="002C5A78">
        <w:rPr>
          <w:rStyle w:val="TextoNormalNegritaCaracter"/>
        </w:rPr>
        <w:t>Artículo 56.2.</w:t>
      </w:r>
      <w:r w:rsidRPr="002C5A78">
        <w:rPr>
          <w:rStyle w:val="TextoNormalCaracter"/>
        </w:rPr>
        <w:t>-</w:t>
      </w:r>
      <w:r>
        <w:t xml:space="preserve"> Sentencia </w:t>
      </w:r>
      <w:hyperlink w:anchor="SENTENCIA_2021_75" w:history="1">
        <w:r w:rsidRPr="002C5A78">
          <w:rPr>
            <w:rStyle w:val="TextoNormalCaracter"/>
          </w:rPr>
          <w:t>75/2021</w:t>
        </w:r>
      </w:hyperlink>
      <w:r>
        <w:t>, VP II.</w:t>
      </w:r>
    </w:p>
    <w:p w:rsidR="002C5A78" w:rsidRDefault="002C5A78" w:rsidP="002C5A78">
      <w:pPr>
        <w:pStyle w:val="TextoNormal"/>
      </w:pPr>
    </w:p>
    <w:p w:rsidR="002C5A78" w:rsidRDefault="002C5A78" w:rsidP="002C5A78">
      <w:pPr>
        <w:pStyle w:val="TextoNormalNegritaCentradoSubrayado"/>
        <w:suppressAutoHyphens/>
      </w:pPr>
      <w:r>
        <w:t>J.3.b)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Reglamento de la Junta General del Principado de Asturias, de 18 de junio de 1997</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5" w:history="1">
        <w:r w:rsidRPr="002C5A78">
          <w:rPr>
            <w:rStyle w:val="TextoNormalCaracter"/>
          </w:rPr>
          <w:t>75/2021</w:t>
        </w:r>
      </w:hyperlink>
      <w:r>
        <w:t>, f. 2, VP I, VP II.</w:t>
      </w:r>
    </w:p>
    <w:p w:rsidR="002C5A78" w:rsidRDefault="002C5A78" w:rsidP="002C5A78">
      <w:pPr>
        <w:pStyle w:val="SangriaFrancesaArticulo"/>
      </w:pPr>
      <w:r w:rsidRPr="002C5A78">
        <w:rPr>
          <w:rStyle w:val="TextoNormalNegritaCaracter"/>
        </w:rPr>
        <w:t>Artículo 3 bis</w:t>
      </w:r>
      <w:r>
        <w:t xml:space="preserve"> (redactado por la reforma de 1 de julio de 2020)</w:t>
      </w:r>
      <w:r w:rsidRPr="002C5A78">
        <w:rPr>
          <w:rStyle w:val="TextoNormalNegritaCaracter"/>
        </w:rPr>
        <w:t>.</w:t>
      </w:r>
      <w:r w:rsidRPr="002C5A78">
        <w:rPr>
          <w:rStyle w:val="TextoNormalCaracter"/>
        </w:rPr>
        <w:t>-</w:t>
      </w:r>
      <w:r>
        <w:t xml:space="preserve"> Sentencia </w:t>
      </w:r>
      <w:hyperlink w:anchor="SENTENCIA_2021_75" w:history="1">
        <w:r w:rsidRPr="002C5A78">
          <w:rPr>
            <w:rStyle w:val="TextoNormalCaracter"/>
          </w:rPr>
          <w:t>75/2021</w:t>
        </w:r>
      </w:hyperlink>
      <w:r>
        <w:t>, ff. 1 a 3, VP I.</w:t>
      </w:r>
    </w:p>
    <w:p w:rsidR="002C5A78" w:rsidRDefault="002C5A78" w:rsidP="002C5A78">
      <w:pPr>
        <w:pStyle w:val="SangriaFrancesaArticulo"/>
      </w:pPr>
      <w:r w:rsidRPr="002C5A78">
        <w:rPr>
          <w:rStyle w:val="TextoNormalNegritaCaracter"/>
        </w:rPr>
        <w:t>Artículo 3 bis.1</w:t>
      </w:r>
      <w:r>
        <w:t xml:space="preserve"> (redactado por la reforma de 1 de julio de 2020)</w:t>
      </w:r>
      <w:r w:rsidRPr="002C5A78">
        <w:rPr>
          <w:rStyle w:val="TextoNormalNegritaCaracter"/>
        </w:rPr>
        <w:t>.</w:t>
      </w:r>
      <w:r w:rsidRPr="002C5A78">
        <w:rPr>
          <w:rStyle w:val="TextoNormalCaracter"/>
        </w:rPr>
        <w:t>-</w:t>
      </w:r>
      <w:r>
        <w:t xml:space="preserve"> Sentencia </w:t>
      </w:r>
      <w:hyperlink w:anchor="SENTENCIA_2021_75" w:history="1">
        <w:r w:rsidRPr="002C5A78">
          <w:rPr>
            <w:rStyle w:val="TextoNormalCaracter"/>
          </w:rPr>
          <w:t>75/2021</w:t>
        </w:r>
      </w:hyperlink>
      <w:r>
        <w:t>, f. 3, VP II.</w:t>
      </w:r>
    </w:p>
    <w:p w:rsidR="002C5A78" w:rsidRDefault="002C5A78" w:rsidP="002C5A78">
      <w:pPr>
        <w:pStyle w:val="SangriaFrancesaArticulo"/>
      </w:pPr>
      <w:r w:rsidRPr="002C5A78">
        <w:rPr>
          <w:rStyle w:val="TextoNormalNegritaCaracter"/>
        </w:rPr>
        <w:t>Artículo 3 bis.2</w:t>
      </w:r>
      <w:r>
        <w:t xml:space="preserve"> (redactado por la reforma de 1 de julio de 2020)</w:t>
      </w:r>
      <w:r w:rsidRPr="002C5A78">
        <w:rPr>
          <w:rStyle w:val="TextoNormalNegritaCaracter"/>
        </w:rPr>
        <w:t>.</w:t>
      </w:r>
      <w:r w:rsidRPr="002C5A78">
        <w:rPr>
          <w:rStyle w:val="TextoNormalCaracter"/>
        </w:rPr>
        <w:t>-</w:t>
      </w:r>
      <w:r>
        <w:t xml:space="preserve"> Sentencia </w:t>
      </w:r>
      <w:hyperlink w:anchor="SENTENCIA_2021_75" w:history="1">
        <w:r w:rsidRPr="002C5A78">
          <w:rPr>
            <w:rStyle w:val="TextoNormalCaracter"/>
          </w:rPr>
          <w:t>75/2021</w:t>
        </w:r>
      </w:hyperlink>
      <w:r>
        <w:t>, f. 3, VP II.</w:t>
      </w:r>
    </w:p>
    <w:p w:rsidR="002C5A78" w:rsidRDefault="002C5A78" w:rsidP="002C5A78">
      <w:pPr>
        <w:pStyle w:val="SangriaFrancesaArticulo"/>
      </w:pPr>
    </w:p>
    <w:p w:rsidR="002C5A78" w:rsidRDefault="002C5A78" w:rsidP="002C5A78">
      <w:pPr>
        <w:pStyle w:val="TextoNormalNegritaCursivandice"/>
        <w:keepNext/>
      </w:pPr>
      <w:r>
        <w:t>Ley de la Junta General del Principado de Asturias 1/1998, de 23 de marzo. Uso y promoción del bable/asturiano</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 </w:t>
      </w:r>
      <w:hyperlink w:anchor="SENTENCIA_2021_75" w:history="1">
        <w:r w:rsidRPr="002C5A78">
          <w:rPr>
            <w:rStyle w:val="TextoNormalCaracter"/>
          </w:rPr>
          <w:t>75/2021</w:t>
        </w:r>
      </w:hyperlink>
      <w:r>
        <w:t>, f. 1.</w:t>
      </w:r>
    </w:p>
    <w:p w:rsidR="002C5A78" w:rsidRDefault="002C5A78" w:rsidP="002C5A78">
      <w:pPr>
        <w:pStyle w:val="SangriaFrancesaArticulo"/>
      </w:pPr>
    </w:p>
    <w:p w:rsidR="002C5A78" w:rsidRDefault="002C5A78" w:rsidP="002C5A78">
      <w:pPr>
        <w:pStyle w:val="TextoNormalNegritaCursivandice"/>
        <w:keepNext/>
      </w:pPr>
      <w:r>
        <w:t>Comunidad Autónoma del Principado de Asturias. Ley 2/2017, de 24 de marzo, de segunda modificación de la Ley 3/2004, de 23 de noviembre, de montes y ordenación forestal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 8.</w:t>
      </w:r>
    </w:p>
    <w:p w:rsidR="002C5A78" w:rsidRDefault="002C5A78" w:rsidP="002C5A78">
      <w:pPr>
        <w:pStyle w:val="SangriaFrancesaArticulo"/>
      </w:pPr>
    </w:p>
    <w:p w:rsidR="002C5A78" w:rsidRDefault="002C5A78" w:rsidP="002C5A78">
      <w:pPr>
        <w:pStyle w:val="TextoNormalNegritaCursivandice"/>
        <w:keepNext/>
      </w:pPr>
      <w:r>
        <w:t>Reglamento de la Junta General del Principado de Asturias, de 18 de junio de 1997. Reforma aprobada por el Pleno de la Cámara de 1 de julio de 2020</w:t>
      </w:r>
    </w:p>
    <w:p w:rsidR="002C5A78" w:rsidRDefault="002C5A78" w:rsidP="002C5A78">
      <w:pPr>
        <w:pStyle w:val="SangriaFrancesaArticulo"/>
      </w:pPr>
      <w:r w:rsidRPr="002C5A78">
        <w:rPr>
          <w:rStyle w:val="TextoNormalNegritaCaracter"/>
        </w:rPr>
        <w:t>Artículo único.</w:t>
      </w:r>
      <w:r w:rsidRPr="002C5A78">
        <w:rPr>
          <w:rStyle w:val="TextoNormalCaracter"/>
        </w:rPr>
        <w:t>-</w:t>
      </w:r>
      <w:r>
        <w:t xml:space="preserve"> Sentencia </w:t>
      </w:r>
      <w:hyperlink w:anchor="SENTENCIA_2021_75" w:history="1">
        <w:r w:rsidRPr="002C5A78">
          <w:rPr>
            <w:rStyle w:val="TextoNormalCaracter"/>
          </w:rPr>
          <w:t>75/2021</w:t>
        </w:r>
      </w:hyperlink>
      <w:r>
        <w:t>, ff. 1 a 3, VP I, VP II.</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J.4) Baleares</w:t>
      </w:r>
    </w:p>
    <w:p w:rsidR="002C5A78" w:rsidRDefault="002C5A78" w:rsidP="002C5A78">
      <w:pPr>
        <w:pStyle w:val="TextoNormal"/>
      </w:pPr>
    </w:p>
    <w:p w:rsidR="002C5A78" w:rsidRDefault="002C5A78" w:rsidP="002C5A78">
      <w:pPr>
        <w:pStyle w:val="TextoNormalNegritaCentradoSubrayado"/>
        <w:suppressAutoHyphens/>
      </w:pPr>
      <w:r>
        <w:t>J.4.a)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1/2007, de 28 de febrero. Reforma del Estatuto de Autonomía de las Illes Balears</w:t>
      </w:r>
    </w:p>
    <w:p w:rsidR="002C5A78" w:rsidRDefault="002C5A78" w:rsidP="002C5A78">
      <w:pPr>
        <w:pStyle w:val="SangriaFrancesaArticulo"/>
      </w:pPr>
      <w:r w:rsidRPr="002C5A78">
        <w:rPr>
          <w:rStyle w:val="TextoNormalNegritaCaracter"/>
        </w:rPr>
        <w:t>Artículo 30.46.</w:t>
      </w:r>
      <w:r w:rsidRPr="002C5A78">
        <w:rPr>
          <w:rStyle w:val="TextoNormalCaracter"/>
        </w:rPr>
        <w:t>-</w:t>
      </w:r>
      <w:r>
        <w:t xml:space="preserve"> Auto </w:t>
      </w:r>
      <w:hyperlink w:anchor="AUTO_2021_65" w:history="1">
        <w:r w:rsidRPr="002C5A78">
          <w:rPr>
            <w:rStyle w:val="TextoNormalCaracter"/>
          </w:rPr>
          <w:t>65/2021</w:t>
        </w:r>
      </w:hyperlink>
      <w:r>
        <w:t>, f. 1.</w:t>
      </w:r>
    </w:p>
    <w:p w:rsidR="002C5A78" w:rsidRDefault="002C5A78" w:rsidP="002C5A78">
      <w:pPr>
        <w:pStyle w:val="TextoNormal"/>
      </w:pPr>
    </w:p>
    <w:p w:rsidR="002C5A78" w:rsidRDefault="002C5A78" w:rsidP="002C5A78">
      <w:pPr>
        <w:pStyle w:val="TextoNormalNegritaCentradoSubrayado"/>
        <w:suppressAutoHyphens/>
      </w:pPr>
      <w:r>
        <w:t>J.4.b)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del Parlamento de las Illes Balears 12/2016, de 17 de agosto. Evaluación ambiental de las Illes Balears</w:t>
      </w:r>
    </w:p>
    <w:p w:rsidR="002C5A78" w:rsidRDefault="002C5A78" w:rsidP="002C5A78">
      <w:pPr>
        <w:pStyle w:val="SangriaFrancesaArticulo"/>
      </w:pPr>
      <w:r w:rsidRPr="002C5A78">
        <w:rPr>
          <w:rStyle w:val="TextoNormalNegritaCaracter"/>
        </w:rPr>
        <w:t>Artículo 9.4.</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Ley del Parlamento de las Illes Balears 2/2020, de 15 de octubre. Medidas urgentes y extraordinarias para el impulso de la actividad económica y la simplificación administrativa en el ámbito de las administraciones públicas de las Illes Balears para paliar los efectos de la crisis ocasionada por la COVID-19</w:t>
      </w:r>
    </w:p>
    <w:p w:rsidR="002C5A78" w:rsidRDefault="002C5A78" w:rsidP="002C5A78">
      <w:pPr>
        <w:pStyle w:val="SangriaFrancesaArticulo"/>
      </w:pPr>
      <w:r w:rsidRPr="002C5A78">
        <w:rPr>
          <w:rStyle w:val="TextoNormalNegritaCaracter"/>
        </w:rPr>
        <w:t>Disposición transitoria primera.</w:t>
      </w:r>
      <w:r w:rsidRPr="002C5A78">
        <w:rPr>
          <w:rStyle w:val="TextoNormalCaracter"/>
        </w:rPr>
        <w:t>-</w:t>
      </w:r>
      <w:r>
        <w:t xml:space="preserve"> Auto </w:t>
      </w:r>
      <w:hyperlink w:anchor="AUTO_2021_65" w:history="1">
        <w:r w:rsidRPr="002C5A78">
          <w:rPr>
            <w:rStyle w:val="TextoNormalCaracter"/>
          </w:rPr>
          <w:t>65/2021</w:t>
        </w:r>
      </w:hyperlink>
      <w:r>
        <w:t>, f. 1.</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J.5) Canarias</w:t>
      </w:r>
    </w:p>
    <w:p w:rsidR="002C5A78" w:rsidRDefault="002C5A78" w:rsidP="002C5A78">
      <w:pPr>
        <w:pStyle w:val="TextoNormal"/>
      </w:pPr>
    </w:p>
    <w:p w:rsidR="002C5A78" w:rsidRDefault="002C5A78" w:rsidP="002C5A78">
      <w:pPr>
        <w:pStyle w:val="TextoNormalNegritaCentradoSubrayado"/>
        <w:suppressAutoHyphens/>
      </w:pPr>
      <w:r>
        <w:t>J.5.a)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1/2018, de 5 de noviembre, de reforma del Estatuto de Autonomía de Canarias</w:t>
      </w:r>
    </w:p>
    <w:p w:rsidR="002C5A78" w:rsidRDefault="002C5A78" w:rsidP="002C5A78">
      <w:pPr>
        <w:pStyle w:val="SangriaFrancesaArticulo"/>
      </w:pPr>
      <w:r w:rsidRPr="002C5A78">
        <w:rPr>
          <w:rStyle w:val="TextoNormalNegritaCaracter"/>
        </w:rPr>
        <w:t>Artículo 130.1.</w:t>
      </w:r>
      <w:r w:rsidRPr="002C5A78">
        <w:rPr>
          <w:rStyle w:val="TextoNormalCaracter"/>
        </w:rPr>
        <w:t>-</w:t>
      </w:r>
      <w:r>
        <w:t xml:space="preserve"> Sentencia </w:t>
      </w:r>
      <w:hyperlink w:anchor="SENTENCIA_2021_74" w:history="1">
        <w:r w:rsidRPr="002C5A78">
          <w:rPr>
            <w:rStyle w:val="TextoNormalCaracter"/>
          </w:rPr>
          <w:t>74/2021</w:t>
        </w:r>
      </w:hyperlink>
      <w:r>
        <w:t>, f. 3.</w:t>
      </w:r>
    </w:p>
    <w:p w:rsidR="002C5A78" w:rsidRDefault="002C5A78" w:rsidP="002C5A78">
      <w:pPr>
        <w:pStyle w:val="SangriaFrancesaArticulo"/>
      </w:pPr>
      <w:r w:rsidRPr="002C5A78">
        <w:rPr>
          <w:rStyle w:val="TextoNormalNegritaCaracter"/>
        </w:rPr>
        <w:t>Artículo 197.1.</w:t>
      </w:r>
      <w:r w:rsidRPr="002C5A78">
        <w:rPr>
          <w:rStyle w:val="TextoNormalCaracter"/>
        </w:rPr>
        <w:t>-</w:t>
      </w:r>
      <w:r>
        <w:t xml:space="preserve"> Sentencia </w:t>
      </w:r>
      <w:hyperlink w:anchor="SENTENCIA_2021_74" w:history="1">
        <w:r w:rsidRPr="002C5A78">
          <w:rPr>
            <w:rStyle w:val="TextoNormalCaracter"/>
          </w:rPr>
          <w:t>74/2021</w:t>
        </w:r>
      </w:hyperlink>
      <w:r>
        <w:t>, f. 3.</w:t>
      </w:r>
    </w:p>
    <w:p w:rsidR="002C5A78" w:rsidRDefault="002C5A78" w:rsidP="002C5A78">
      <w:pPr>
        <w:pStyle w:val="TextoNormal"/>
      </w:pPr>
    </w:p>
    <w:p w:rsidR="002C5A78" w:rsidRDefault="002C5A78" w:rsidP="002C5A78">
      <w:pPr>
        <w:pStyle w:val="TextoNormalNegritaCentradoSubrayado"/>
        <w:suppressAutoHyphens/>
      </w:pPr>
      <w:r>
        <w:t>J.5.b)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Comunidad Autónoma de Canarias. Ley 2/2003, de 30 de enero, de vivienda de Canarias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Comunidad Autónoma de Canarias. Ley 4/2017, de 13 de julio, del suelo y de los espacios naturales protegidos de Canarias</w:t>
      </w:r>
    </w:p>
    <w:p w:rsidR="002C5A78" w:rsidRDefault="002C5A78" w:rsidP="002C5A78">
      <w:pPr>
        <w:pStyle w:val="SangriaFrancesaArticulo"/>
      </w:pPr>
      <w:r w:rsidRPr="002C5A78">
        <w:rPr>
          <w:rStyle w:val="TextoNormalNegritaCaracter"/>
        </w:rPr>
        <w:t>Artículo 150.4.</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Comunidad Autónoma de Canarias. Decreto-ley 17/2020, de 29 de octubre, de medidas extraordinarias en materia turística para afrontar los efectos de la crisis sanitaria y económica producida por la pandemia ocasionada por la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Artículo único.1.</w:t>
      </w:r>
      <w:r w:rsidRPr="002C5A78">
        <w:rPr>
          <w:rStyle w:val="TextoNormalCaracter"/>
        </w:rPr>
        <w:t>-</w:t>
      </w:r>
      <w:r>
        <w:t xml:space="preserve"> Auto </w:t>
      </w:r>
      <w:hyperlink w:anchor="AUTO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Ley del Parlamento de Canarias 6/2019, de 9 de abril. Calidad agroalimentaria</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74" w:history="1">
        <w:r w:rsidRPr="002C5A78">
          <w:rPr>
            <w:rStyle w:val="TextoNormalCaracter"/>
          </w:rPr>
          <w:t>74/2021</w:t>
        </w:r>
      </w:hyperlink>
      <w:r>
        <w:t>, ff. 1, 3.</w:t>
      </w:r>
    </w:p>
    <w:p w:rsidR="002C5A78" w:rsidRDefault="002C5A78" w:rsidP="002C5A78">
      <w:pPr>
        <w:pStyle w:val="TextoNormal"/>
      </w:pPr>
    </w:p>
    <w:p w:rsidR="002C5A78" w:rsidRDefault="002C5A78" w:rsidP="002C5A78">
      <w:pPr>
        <w:pStyle w:val="TextoNormalNegritaCentradoSubrayado"/>
        <w:suppressAutoHyphens/>
      </w:pPr>
      <w:r>
        <w:t>J.5.c) Decretos y otras disposiciones reglamentarias</w:t>
      </w:r>
    </w:p>
    <w:p w:rsidR="002C5A78" w:rsidRDefault="002C5A78" w:rsidP="002C5A78">
      <w:pPr>
        <w:pStyle w:val="TextoNormalNegritaCentradoSubrayado"/>
      </w:pPr>
    </w:p>
    <w:p w:rsidR="002C5A78" w:rsidRDefault="002C5A78" w:rsidP="002C5A78">
      <w:pPr>
        <w:pStyle w:val="TextoNormalNegritaCursivandice"/>
        <w:keepNext/>
      </w:pPr>
      <w:r>
        <w:t>Comunidad Autónoma de Canarias. Acuerdo del Gobierno de Canarias, de 19 de junio de 2020, por el que se establecen medidas de prevención para hacer frente a la crisis sanitaria ocasionada por la COVID-19, una vez superada la fase III del plan para la transición hacia una nueva normalidad, finalizada la vigencia de las medidas propias del estado de alarma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3, 6.</w:t>
      </w:r>
    </w:p>
    <w:p w:rsidR="002C5A78" w:rsidRDefault="002C5A78" w:rsidP="002C5A78">
      <w:pPr>
        <w:pStyle w:val="SangriaFrancesaArticulo"/>
      </w:pPr>
    </w:p>
    <w:p w:rsidR="002C5A78" w:rsidRDefault="002C5A78" w:rsidP="002C5A78">
      <w:pPr>
        <w:pStyle w:val="TextoNormalNegritaCursivandice"/>
        <w:keepNext/>
      </w:pPr>
      <w:r>
        <w:t>Acuerdo del Gobierno de Canarias, de 12 de noviembre de 2020, por el que se establecen los test de diagnóstico de infección activa válidos a los efectos de acreditar a los usuarios turísticos como negativos como transmisores de la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Canarias. Decreto 87/2020, de 9 de diciembre, del presidente, por el que se establece el cierre perimetral de la Comunidad Autónoma, en aplicación del Real Decreto 926/2020, de 25 de octubre, por el que se declara el estado de alarma, para contener la propagación de infecciones causadas por el SARS-CoV-2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2, 3, 7.</w:t>
      </w:r>
    </w:p>
    <w:p w:rsidR="002C5A78" w:rsidRDefault="002C5A78" w:rsidP="002C5A78">
      <w:pPr>
        <w:pStyle w:val="SangriaFrancesaArticulo"/>
      </w:pPr>
      <w:r w:rsidRPr="002C5A78">
        <w:rPr>
          <w:rStyle w:val="TextoNormalNegritaCaracter"/>
        </w:rPr>
        <w:t>Apartado cuarto.</w:t>
      </w:r>
      <w:r w:rsidRPr="002C5A78">
        <w:rPr>
          <w:rStyle w:val="TextoNormalCaracter"/>
        </w:rPr>
        <w:t>-</w:t>
      </w:r>
      <w:r>
        <w:t xml:space="preserve"> Auto </w:t>
      </w:r>
      <w:hyperlink w:anchor="AUTO_2021_51" w:history="1">
        <w:r w:rsidRPr="002C5A78">
          <w:rPr>
            <w:rStyle w:val="TextoNormalCaracter"/>
          </w:rPr>
          <w:t>51/2021</w:t>
        </w:r>
      </w:hyperlink>
      <w:r>
        <w:t>, ff. 1, 3.</w:t>
      </w:r>
    </w:p>
    <w:p w:rsidR="002C5A78" w:rsidRDefault="002C5A78" w:rsidP="002C5A78">
      <w:pPr>
        <w:pStyle w:val="SangriaFrancesaArticulo"/>
      </w:pPr>
      <w:r w:rsidRPr="002C5A78">
        <w:rPr>
          <w:rStyle w:val="TextoNormalNegritaCaracter"/>
        </w:rPr>
        <w:t>Apartado noveno.</w:t>
      </w:r>
      <w:r w:rsidRPr="002C5A78">
        <w:rPr>
          <w:rStyle w:val="TextoNormalCaracter"/>
        </w:rPr>
        <w:t>-</w:t>
      </w:r>
      <w:r>
        <w:t xml:space="preserve"> Auto </w:t>
      </w:r>
      <w:hyperlink w:anchor="AUTO_2021_51" w:history="1">
        <w:r w:rsidRPr="002C5A78">
          <w:rPr>
            <w:rStyle w:val="TextoNormalCaracter"/>
          </w:rPr>
          <w:t>51/2021</w:t>
        </w:r>
      </w:hyperlink>
      <w:r>
        <w:t>, ff. 1, 3, 6.</w:t>
      </w:r>
    </w:p>
    <w:p w:rsidR="002C5A78" w:rsidRDefault="002C5A78" w:rsidP="002C5A78">
      <w:pPr>
        <w:pStyle w:val="SangriaFrancesaArticulo"/>
      </w:pPr>
      <w:r w:rsidRPr="002C5A78">
        <w:rPr>
          <w:rStyle w:val="TextoNormalNegritaCaracter"/>
        </w:rPr>
        <w:t>Apartado noveno.1.</w:t>
      </w:r>
      <w:r w:rsidRPr="002C5A78">
        <w:rPr>
          <w:rStyle w:val="TextoNormalCaracter"/>
        </w:rPr>
        <w:t>-</w:t>
      </w:r>
      <w:r>
        <w:t xml:space="preserve"> Auto </w:t>
      </w:r>
      <w:hyperlink w:anchor="AUTO_2021_51" w:history="1">
        <w:r w:rsidRPr="002C5A78">
          <w:rPr>
            <w:rStyle w:val="TextoNormalCaracter"/>
          </w:rPr>
          <w:t>51/2021</w:t>
        </w:r>
      </w:hyperlink>
      <w:r>
        <w:t>, f. 6.</w:t>
      </w:r>
    </w:p>
    <w:p w:rsidR="002C5A78" w:rsidRDefault="002C5A78" w:rsidP="002C5A78">
      <w:pPr>
        <w:pStyle w:val="SangriaFrancesaArticulo"/>
      </w:pPr>
      <w:r w:rsidRPr="002C5A78">
        <w:rPr>
          <w:rStyle w:val="TextoNormalNegritaCaracter"/>
        </w:rPr>
        <w:t>Apartado noveno.2.</w:t>
      </w:r>
      <w:r w:rsidRPr="002C5A78">
        <w:rPr>
          <w:rStyle w:val="TextoNormalCaracter"/>
        </w:rPr>
        <w:t>-</w:t>
      </w:r>
      <w:r>
        <w:t xml:space="preserve"> Auto </w:t>
      </w:r>
      <w:hyperlink w:anchor="AUTO_2021_51" w:history="1">
        <w:r w:rsidRPr="002C5A78">
          <w:rPr>
            <w:rStyle w:val="TextoNormalCaracter"/>
          </w:rPr>
          <w:t>51/2021</w:t>
        </w:r>
      </w:hyperlink>
      <w:r>
        <w:t>, f. 6.</w:t>
      </w:r>
    </w:p>
    <w:p w:rsidR="002C5A78" w:rsidRDefault="002C5A78" w:rsidP="002C5A78">
      <w:pPr>
        <w:pStyle w:val="SangriaFrancesaArticulo"/>
      </w:pPr>
      <w:r w:rsidRPr="002C5A78">
        <w:rPr>
          <w:rStyle w:val="TextoNormalNegritaCaracter"/>
        </w:rPr>
        <w:t>Apartado octavo.</w:t>
      </w:r>
      <w:r w:rsidRPr="002C5A78">
        <w:rPr>
          <w:rStyle w:val="TextoNormalCaracter"/>
        </w:rPr>
        <w:t>-</w:t>
      </w:r>
      <w:r>
        <w:t xml:space="preserve"> Auto </w:t>
      </w:r>
      <w:hyperlink w:anchor="AUTO_2021_51" w:history="1">
        <w:r w:rsidRPr="002C5A78">
          <w:rPr>
            <w:rStyle w:val="TextoNormalCaracter"/>
          </w:rPr>
          <w:t>51/2021</w:t>
        </w:r>
      </w:hyperlink>
      <w:r>
        <w:t>, f. 6.</w:t>
      </w:r>
    </w:p>
    <w:p w:rsidR="002C5A78" w:rsidRDefault="002C5A78" w:rsidP="002C5A78">
      <w:pPr>
        <w:pStyle w:val="SangriaFrancesaArticulo"/>
      </w:pPr>
      <w:r w:rsidRPr="002C5A78">
        <w:rPr>
          <w:rStyle w:val="TextoNormalNegritaCaracter"/>
        </w:rPr>
        <w:t>Anexo.</w:t>
      </w:r>
      <w:r w:rsidRPr="002C5A78">
        <w:rPr>
          <w:rStyle w:val="TextoNormalCaracter"/>
        </w:rPr>
        <w:t>-</w:t>
      </w:r>
      <w:r>
        <w:t xml:space="preserve"> Auto </w:t>
      </w:r>
      <w:hyperlink w:anchor="AUTO_2021_51" w:history="1">
        <w:r w:rsidRPr="002C5A78">
          <w:rPr>
            <w:rStyle w:val="TextoNormalCaracter"/>
          </w:rPr>
          <w:t>51/2021</w:t>
        </w:r>
      </w:hyperlink>
      <w:r>
        <w:t>, ff. 1, 3.</w:t>
      </w:r>
    </w:p>
    <w:p w:rsidR="002C5A78" w:rsidRDefault="002C5A78" w:rsidP="002C5A78">
      <w:pPr>
        <w:pStyle w:val="SangriaFrancesaArticulo"/>
      </w:pPr>
      <w:r w:rsidRPr="002C5A78">
        <w:rPr>
          <w:rStyle w:val="TextoNormalNegritaCaracter"/>
        </w:rPr>
        <w:t>Apartado octavo.1.</w:t>
      </w:r>
      <w:r w:rsidRPr="002C5A78">
        <w:rPr>
          <w:rStyle w:val="TextoNormalCaracter"/>
        </w:rPr>
        <w:t>-</w:t>
      </w:r>
      <w:r>
        <w:t xml:space="preserve"> Auto </w:t>
      </w:r>
      <w:hyperlink w:anchor="AUTO_2021_51" w:history="1">
        <w:r w:rsidRPr="002C5A78">
          <w:rPr>
            <w:rStyle w:val="TextoNormalCaracter"/>
          </w:rPr>
          <w:t>51/2021</w:t>
        </w:r>
      </w:hyperlink>
      <w:r>
        <w:t>, f. 5.</w:t>
      </w:r>
    </w:p>
    <w:p w:rsidR="002C5A78" w:rsidRDefault="002C5A78" w:rsidP="002C5A78">
      <w:pPr>
        <w:pStyle w:val="SangriaFrancesaArticulo"/>
      </w:pPr>
      <w:r w:rsidRPr="002C5A78">
        <w:rPr>
          <w:rStyle w:val="TextoNormalNegritaCaracter"/>
        </w:rPr>
        <w:t>Apartado octavo.2.</w:t>
      </w:r>
      <w:r w:rsidRPr="002C5A78">
        <w:rPr>
          <w:rStyle w:val="TextoNormalCaracter"/>
        </w:rPr>
        <w:t>-</w:t>
      </w:r>
      <w:r>
        <w:t xml:space="preserve"> Auto </w:t>
      </w:r>
      <w:hyperlink w:anchor="AUTO_2021_51" w:history="1">
        <w:r w:rsidRPr="002C5A78">
          <w:rPr>
            <w:rStyle w:val="TextoNormalCaracter"/>
          </w:rPr>
          <w:t>51/2021</w:t>
        </w:r>
      </w:hyperlink>
      <w:r>
        <w:t>, f. 7.</w:t>
      </w:r>
    </w:p>
    <w:p w:rsidR="002C5A78" w:rsidRDefault="002C5A78" w:rsidP="002C5A78">
      <w:pPr>
        <w:pStyle w:val="SangriaFrancesaArticulo"/>
      </w:pPr>
      <w:r w:rsidRPr="002C5A78">
        <w:rPr>
          <w:rStyle w:val="TextoNormalNegritaCaracter"/>
        </w:rPr>
        <w:t>Anexo, apartado b).</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Apartado octavo.4.</w:t>
      </w:r>
      <w:r w:rsidRPr="002C5A78">
        <w:rPr>
          <w:rStyle w:val="TextoNormalCaracter"/>
        </w:rPr>
        <w:t>-</w:t>
      </w:r>
      <w:r>
        <w:t xml:space="preserve"> Auto </w:t>
      </w:r>
      <w:hyperlink w:anchor="AUTO_2021_51" w:history="1">
        <w:r w:rsidRPr="002C5A78">
          <w:rPr>
            <w:rStyle w:val="TextoNormalCaracter"/>
          </w:rPr>
          <w:t>51/2021</w:t>
        </w:r>
      </w:hyperlink>
      <w:r>
        <w:t>, ff. 1, 3, 6.</w:t>
      </w:r>
    </w:p>
    <w:p w:rsidR="002C5A78" w:rsidRDefault="002C5A78" w:rsidP="002C5A78">
      <w:pPr>
        <w:pStyle w:val="SangriaFrancesaArticulo"/>
      </w:pPr>
      <w:r w:rsidRPr="002C5A78">
        <w:rPr>
          <w:rStyle w:val="TextoNormalNegritaCaracter"/>
        </w:rPr>
        <w:t>Apartado primero.</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Apartado segundo.</w:t>
      </w:r>
      <w:r w:rsidRPr="002C5A78">
        <w:rPr>
          <w:rStyle w:val="TextoNormalCaracter"/>
        </w:rPr>
        <w:t>-</w:t>
      </w:r>
      <w:r>
        <w:t xml:space="preserve"> Auto </w:t>
      </w:r>
      <w:hyperlink w:anchor="AUTO_2021_51" w:history="1">
        <w:r w:rsidRPr="002C5A78">
          <w:rPr>
            <w:rStyle w:val="TextoNormalCaracter"/>
          </w:rPr>
          <w:t>51/2021</w:t>
        </w:r>
      </w:hyperlink>
      <w:r>
        <w:t>, ff. 1, 3.</w:t>
      </w:r>
    </w:p>
    <w:p w:rsidR="002C5A78" w:rsidRDefault="002C5A78" w:rsidP="002C5A78">
      <w:pPr>
        <w:pStyle w:val="SangriaFrancesaArticulo"/>
      </w:pPr>
      <w:r w:rsidRPr="002C5A78">
        <w:rPr>
          <w:rStyle w:val="TextoNormalNegritaCaracter"/>
        </w:rPr>
        <w:t>Apartado tercero.</w:t>
      </w:r>
      <w:r w:rsidRPr="002C5A78">
        <w:rPr>
          <w:rStyle w:val="TextoNormalCaracter"/>
        </w:rPr>
        <w:t>-</w:t>
      </w:r>
      <w:r>
        <w:t xml:space="preserve"> Auto </w:t>
      </w:r>
      <w:hyperlink w:anchor="AUTO_2021_51" w:history="1">
        <w:r w:rsidRPr="002C5A78">
          <w:rPr>
            <w:rStyle w:val="TextoNormalCaracter"/>
          </w:rPr>
          <w:t>51/2021</w:t>
        </w:r>
      </w:hyperlink>
      <w:r>
        <w:t>, ff. 1, 3.</w:t>
      </w:r>
    </w:p>
    <w:p w:rsidR="002C5A78" w:rsidRDefault="002C5A78" w:rsidP="002C5A78">
      <w:pPr>
        <w:pStyle w:val="SangriaFrancesaArticulo"/>
      </w:pPr>
      <w:r w:rsidRPr="002C5A78">
        <w:rPr>
          <w:rStyle w:val="TextoNormalNegritaCaracter"/>
        </w:rPr>
        <w:t>Apartado tercero.1 a).</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Apartado tercero.1 b).</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Apartado tercero.1 c).</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Apartado tercero.4 b).</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Anexo, apartado a).</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r w:rsidRPr="002C5A78">
        <w:rPr>
          <w:rStyle w:val="TextoNormalNegritaCaracter"/>
        </w:rPr>
        <w:t>Apartado tercero.4 último párrafo.</w:t>
      </w:r>
      <w:r w:rsidRPr="002C5A78">
        <w:rPr>
          <w:rStyle w:val="TextoNormalCaracter"/>
        </w:rPr>
        <w:t>-</w:t>
      </w:r>
      <w:r>
        <w:t xml:space="preserve"> Auto </w:t>
      </w:r>
      <w:hyperlink w:anchor="AUTO_2021_51" w:history="1">
        <w:r w:rsidRPr="002C5A78">
          <w:rPr>
            <w:rStyle w:val="TextoNormalCaracter"/>
          </w:rPr>
          <w:t>51/2021</w:t>
        </w:r>
      </w:hyperlink>
      <w:r>
        <w:t>, f. 1.</w:t>
      </w:r>
    </w:p>
    <w:p w:rsidR="002C5A78" w:rsidRDefault="002C5A78" w:rsidP="002C5A78">
      <w:pPr>
        <w:pStyle w:val="SangriaFrancesaArticulo"/>
      </w:pPr>
    </w:p>
    <w:p w:rsidR="002C5A78" w:rsidRDefault="002C5A78" w:rsidP="002C5A78">
      <w:pPr>
        <w:pStyle w:val="TextoNormalNegritaCursivandice"/>
        <w:keepNext/>
      </w:pPr>
      <w:r>
        <w:t>Orden de la Consejería de Sanidad de la Comunidad Autónoma de Canarias, de 14 de diciembre de 2020. Dispone la realización de cribados mediante pruebas diagnósticas de infección activa (PDIA) a los pasajeros y pasajeras que entren en el territorio de la Comunidad Autónoma procedentes del resto del territorio nacional, por vía aérea o marítima, para contener la propagación de infecciones causadas por el SARS-CoV-2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Canarias. Decreto 93/2020, de 22 de diciembre, del presidente, por el que se establece un régimen suspensivo y transitorio para el cierre perimetral de la Comunidad Autónoma durante el período de suspensión decretado por el Tribunal Constitucional sobre determinados preceptos del Decreto 87/2020, del presidente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3, 5.</w:t>
      </w:r>
    </w:p>
    <w:p w:rsidR="002C5A78" w:rsidRDefault="002C5A78" w:rsidP="002C5A78">
      <w:pPr>
        <w:pStyle w:val="SangriaFrancesaArticulo"/>
      </w:pPr>
      <w:r w:rsidRPr="002C5A78">
        <w:rPr>
          <w:rStyle w:val="TextoNormalNegritaCaracter"/>
        </w:rPr>
        <w:t>Apartado primero.</w:t>
      </w:r>
      <w:r w:rsidRPr="002C5A78">
        <w:rPr>
          <w:rStyle w:val="TextoNormalCaracter"/>
        </w:rPr>
        <w:t>-</w:t>
      </w:r>
      <w:r>
        <w:t xml:space="preserve"> Auto </w:t>
      </w:r>
      <w:hyperlink w:anchor="AUTO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Orden de la Consejería de Sanidad de la Comunidad Autónoma de Canarias, de 26 de febrero de 2021. Prorroga la Orden de 14 de diciembre de 2020, que dispone la realización de cribados mediante pruebas diagnósticas de infección activa (PDIA) a los pasajeros y pasajeras que entren en el territorio de la Comunidad Autónoma procedentes del resto del territorio nacional, por vía aérea o marítima, para contener la propagación de infecciones causadas por el SARS-CoV-2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3, 7.</w:t>
      </w:r>
    </w:p>
    <w:p w:rsidR="002C5A78" w:rsidRDefault="002C5A78" w:rsidP="002C5A78">
      <w:pPr>
        <w:pStyle w:val="SangriaFrancesaArticulo"/>
      </w:pPr>
    </w:p>
    <w:p w:rsidR="002C5A78" w:rsidRDefault="002C5A78" w:rsidP="002C5A78">
      <w:pPr>
        <w:pStyle w:val="TextoNormalNegritaCursivandice"/>
        <w:keepNext/>
      </w:pPr>
      <w:r>
        <w:t>Acuerdo del Gobierno de Canarias, de 18 de marzo de 2021, por el que se aprueba la actualización de las medidas de prevención establecidas mediante acuerdo del Gobierno de 19 de junio de 2020, para hacer frente a la crisis sanitaria ocasionada por el COVID-19, una vez superada la fase III del plan para la transición hacia una nueva normalidad, finalizada la vigencia de las medidas propias del estado de alarma, y se aprueban medidas específicas y temporales, en el ámbito de la Comunidad Autónoma, con motivo de la Semana Santa de 2021</w:t>
      </w:r>
    </w:p>
    <w:p w:rsidR="002C5A78" w:rsidRDefault="002C5A78" w:rsidP="002C5A78">
      <w:pPr>
        <w:pStyle w:val="SangriaFrancesaArticulo"/>
      </w:pPr>
      <w:r w:rsidRPr="002C5A78">
        <w:rPr>
          <w:rStyle w:val="TextoNormalNegritaCaracter"/>
        </w:rPr>
        <w:t>Anexo I, apartado 5.</w:t>
      </w:r>
      <w:r w:rsidRPr="002C5A78">
        <w:rPr>
          <w:rStyle w:val="TextoNormalCaracter"/>
        </w:rPr>
        <w:t>-</w:t>
      </w:r>
      <w:r>
        <w:t xml:space="preserve"> Auto </w:t>
      </w:r>
      <w:hyperlink w:anchor="AUTO_2021_51" w:history="1">
        <w:r w:rsidRPr="002C5A78">
          <w:rPr>
            <w:rStyle w:val="TextoNormalCaracter"/>
          </w:rPr>
          <w:t>51/2021</w:t>
        </w:r>
      </w:hyperlink>
      <w:r>
        <w:t>, ff. 3, 6.</w:t>
      </w:r>
    </w:p>
    <w:p w:rsidR="002C5A78" w:rsidRDefault="002C5A78" w:rsidP="002C5A78">
      <w:pPr>
        <w:pStyle w:val="SangriaFrancesaArticulo"/>
      </w:pPr>
    </w:p>
    <w:p w:rsidR="002C5A78" w:rsidRDefault="002C5A78" w:rsidP="002C5A78">
      <w:pPr>
        <w:pStyle w:val="TextoNormalNegritaCursivandice"/>
        <w:keepNext/>
      </w:pPr>
      <w:r>
        <w:t>Comunidad Autónoma de Canarias. Decreto 16/2021, de 18 de marzo, del presidente, por el que se aprueban medidas específicas y temporales, en el ámbito de la Comunidad Autónoma, con motivo de la Semana Santa de 2021, en aplicación del Real Decreto 926/2020, de 25 de octubre, por el que se declara el estado de alarma, para contener la propagación de infecciones causadas por el SARS-CoV-2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 7.</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J.6) Cantabria</w:t>
      </w:r>
    </w:p>
    <w:p w:rsidR="002C5A78" w:rsidRDefault="002C5A78" w:rsidP="002C5A78">
      <w:pPr>
        <w:pStyle w:val="TextoNormal"/>
      </w:pPr>
    </w:p>
    <w:p w:rsidR="002C5A78" w:rsidRDefault="002C5A78" w:rsidP="002C5A78">
      <w:pPr>
        <w:pStyle w:val="TextoNormalNegritaCentradoSubrayado"/>
        <w:suppressAutoHyphens/>
      </w:pPr>
      <w:r>
        <w:t>J.6.b)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del Parlamento de Cantabria 9/2010, de 23 de diciembre. Personal estatutario de instituciones sanitarias</w:t>
      </w:r>
    </w:p>
    <w:p w:rsidR="002C5A78" w:rsidRDefault="002C5A78" w:rsidP="002C5A78">
      <w:pPr>
        <w:pStyle w:val="SangriaFrancesaArticulo"/>
      </w:pPr>
      <w:r w:rsidRPr="002C5A78">
        <w:rPr>
          <w:rStyle w:val="TextoNormalNegritaCaracter"/>
        </w:rPr>
        <w:t>Disposición adicional undécima.</w:t>
      </w:r>
      <w:r w:rsidRPr="002C5A78">
        <w:rPr>
          <w:rStyle w:val="TextoNormalCaracter"/>
        </w:rPr>
        <w:t>-</w:t>
      </w:r>
      <w:r>
        <w:t xml:space="preserve"> Autos </w:t>
      </w:r>
      <w:hyperlink w:anchor="AUTO_2021_5" w:history="1">
        <w:r w:rsidRPr="002C5A78">
          <w:rPr>
            <w:rStyle w:val="TextoNormalCaracter"/>
          </w:rPr>
          <w:t>5/2021</w:t>
        </w:r>
      </w:hyperlink>
      <w:r>
        <w:t xml:space="preserve">, f. único; </w:t>
      </w:r>
      <w:hyperlink w:anchor="AUTO_2021_6" w:history="1">
        <w:r w:rsidRPr="002C5A78">
          <w:rPr>
            <w:rStyle w:val="TextoNormalCaracter"/>
          </w:rPr>
          <w:t>6/2021</w:t>
        </w:r>
      </w:hyperlink>
      <w:r>
        <w:t>, f. único.</w:t>
      </w:r>
    </w:p>
    <w:p w:rsidR="002C5A78" w:rsidRDefault="002C5A78" w:rsidP="002C5A78">
      <w:pPr>
        <w:pStyle w:val="SangriaFrancesaArticulo"/>
      </w:pPr>
      <w:r w:rsidRPr="002C5A78">
        <w:rPr>
          <w:rStyle w:val="TextoNormalNegritaCaracter"/>
        </w:rPr>
        <w:t>Disposición adicional undécima inciso "con vínculo de derecho administrativo durante cinco años en las instituciones sanitarias del Servicio Cántabro de Salud".</w:t>
      </w:r>
      <w:r w:rsidRPr="002C5A78">
        <w:rPr>
          <w:rStyle w:val="TextoNormalCaracter"/>
        </w:rPr>
        <w:t>-</w:t>
      </w:r>
      <w:r>
        <w:t xml:space="preserve"> Autos </w:t>
      </w:r>
      <w:hyperlink w:anchor="AUTO_2021_5" w:history="1">
        <w:r w:rsidRPr="002C5A78">
          <w:rPr>
            <w:rStyle w:val="TextoNormalCaracter"/>
          </w:rPr>
          <w:t>5/2021</w:t>
        </w:r>
      </w:hyperlink>
      <w:r>
        <w:t xml:space="preserve">, f. único; </w:t>
      </w:r>
      <w:hyperlink w:anchor="AUTO_2021_6" w:history="1">
        <w:r w:rsidRPr="002C5A78">
          <w:rPr>
            <w:rStyle w:val="TextoNormalCaracter"/>
          </w:rPr>
          <w:t>6/2021</w:t>
        </w:r>
      </w:hyperlink>
      <w:r>
        <w:t>, f. único.</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J.7) Castilla y León</w:t>
      </w:r>
    </w:p>
    <w:p w:rsidR="002C5A78" w:rsidRDefault="002C5A78" w:rsidP="002C5A78">
      <w:pPr>
        <w:pStyle w:val="TextoNormal"/>
      </w:pPr>
    </w:p>
    <w:p w:rsidR="002C5A78" w:rsidRDefault="002C5A78" w:rsidP="002C5A78">
      <w:pPr>
        <w:pStyle w:val="TextoNormalNegritaCentradoSubrayado"/>
        <w:suppressAutoHyphens/>
      </w:pPr>
      <w:r>
        <w:t>J.7.a)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14/2007, de 30 de noviembre, de reforma del Estatuto de Autonomía de Castilla y León</w:t>
      </w:r>
    </w:p>
    <w:p w:rsidR="002C5A78" w:rsidRDefault="002C5A78" w:rsidP="002C5A78">
      <w:pPr>
        <w:pStyle w:val="SangriaFrancesaArticulo"/>
      </w:pPr>
      <w:r w:rsidRPr="002C5A78">
        <w:rPr>
          <w:rStyle w:val="TextoNormalNegritaCaracter"/>
        </w:rPr>
        <w:t>Artículo 25.4.</w:t>
      </w:r>
      <w:r w:rsidRPr="002C5A78">
        <w:rPr>
          <w:rStyle w:val="TextoNormalCaracter"/>
        </w:rPr>
        <w:t>-</w:t>
      </w:r>
      <w:r>
        <w:t xml:space="preserve"> Sentencia </w:t>
      </w:r>
      <w:hyperlink w:anchor="SENTENCIA_2021_40" w:history="1">
        <w:r w:rsidRPr="002C5A78">
          <w:rPr>
            <w:rStyle w:val="TextoNormalCaracter"/>
          </w:rPr>
          <w:t>40/2021</w:t>
        </w:r>
      </w:hyperlink>
      <w:r>
        <w:t>, ff. 1, 2, 5.</w:t>
      </w:r>
    </w:p>
    <w:p w:rsidR="002C5A78" w:rsidRDefault="002C5A78" w:rsidP="002C5A78">
      <w:pPr>
        <w:pStyle w:val="SangriaFrancesaArticulo"/>
      </w:pPr>
      <w:r w:rsidRPr="002C5A78">
        <w:rPr>
          <w:rStyle w:val="TextoNormalNegritaCaracter"/>
        </w:rPr>
        <w:t>Artículo 55.3.</w:t>
      </w:r>
      <w:r w:rsidRPr="002C5A78">
        <w:rPr>
          <w:rStyle w:val="TextoNormalCaracter"/>
        </w:rPr>
        <w:t>-</w:t>
      </w:r>
      <w:r>
        <w:t xml:space="preserve"> Sentencia </w:t>
      </w:r>
      <w:hyperlink w:anchor="SENTENCIA_2021_40" w:history="1">
        <w:r w:rsidRPr="002C5A78">
          <w:rPr>
            <w:rStyle w:val="TextoNormalCaracter"/>
          </w:rPr>
          <w:t>40/2021</w:t>
        </w:r>
      </w:hyperlink>
      <w:r>
        <w:t>, f. 5.</w:t>
      </w:r>
    </w:p>
    <w:p w:rsidR="002C5A78" w:rsidRDefault="002C5A78" w:rsidP="002C5A78">
      <w:pPr>
        <w:pStyle w:val="TextoNormal"/>
      </w:pPr>
    </w:p>
    <w:p w:rsidR="002C5A78" w:rsidRDefault="002C5A78" w:rsidP="002C5A78">
      <w:pPr>
        <w:pStyle w:val="TextoNormalNegritaCentradoSubrayado"/>
        <w:suppressAutoHyphens/>
      </w:pPr>
      <w:r>
        <w:t>J.7.b)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 Cortes de Castilla y León 5/2008, de 25 de septiembre. Subvenciones de la Comunidad de Castilla y León.</w:t>
      </w:r>
    </w:p>
    <w:p w:rsidR="002C5A78" w:rsidRDefault="002C5A78" w:rsidP="002C5A78">
      <w:pPr>
        <w:pStyle w:val="SangriaFrancesaArticulo"/>
      </w:pPr>
      <w:r w:rsidRPr="002C5A78">
        <w:rPr>
          <w:rStyle w:val="TextoNormalNegritaCaracter"/>
        </w:rPr>
        <w:t>Disposición adicional cuarta.</w:t>
      </w:r>
      <w:r w:rsidRPr="002C5A78">
        <w:rPr>
          <w:rStyle w:val="TextoNormalCaracter"/>
        </w:rPr>
        <w:t>-</w:t>
      </w:r>
      <w:r>
        <w:t xml:space="preserve"> Sentencia </w:t>
      </w:r>
      <w:hyperlink w:anchor="SENTENCIA_2021_40" w:history="1">
        <w:r w:rsidRPr="002C5A78">
          <w:rPr>
            <w:rStyle w:val="TextoNormalCaracter"/>
          </w:rPr>
          <w:t>40/2021</w:t>
        </w:r>
      </w:hyperlink>
      <w:r>
        <w:t>, f. 5.</w:t>
      </w:r>
    </w:p>
    <w:p w:rsidR="002C5A78" w:rsidRDefault="002C5A78" w:rsidP="002C5A78">
      <w:pPr>
        <w:pStyle w:val="SangriaFrancesaArticulo"/>
      </w:pPr>
    </w:p>
    <w:p w:rsidR="002C5A78" w:rsidRDefault="002C5A78" w:rsidP="002C5A78">
      <w:pPr>
        <w:pStyle w:val="TextoNormalNegritaCursivandice"/>
        <w:keepNext/>
      </w:pPr>
      <w:r>
        <w:t>Ley de las Cortes de Castilla y León 10/2014, de 22 de diciembre. Medidas tributarias y de financiación de las entidades locales vinculada a ingresos impositivos de la Comunidad de Castilla y León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40" w:history="1">
        <w:r w:rsidRPr="002C5A78">
          <w:rPr>
            <w:rStyle w:val="TextoNormalCaracter"/>
          </w:rPr>
          <w:t>40/2021</w:t>
        </w:r>
      </w:hyperlink>
      <w:r>
        <w:t>, ff. 1, 5.</w:t>
      </w:r>
    </w:p>
    <w:p w:rsidR="002C5A78" w:rsidRDefault="002C5A78" w:rsidP="002C5A78">
      <w:pPr>
        <w:pStyle w:val="SangriaFrancesaArticulo"/>
      </w:pPr>
      <w:r w:rsidRPr="002C5A78">
        <w:rPr>
          <w:rStyle w:val="TextoNormalNegritaCaracter"/>
        </w:rPr>
        <w:t>Título II, capítulo II.</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Título II, capítulo III.</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40" w:history="1">
        <w:r w:rsidRPr="002C5A78">
          <w:rPr>
            <w:rStyle w:val="TextoNormalCaracter"/>
          </w:rPr>
          <w:t>40/2021</w:t>
        </w:r>
      </w:hyperlink>
      <w:r>
        <w:t>, f. 5.</w:t>
      </w:r>
    </w:p>
    <w:p w:rsidR="002C5A78" w:rsidRDefault="002C5A78" w:rsidP="002C5A78">
      <w:pPr>
        <w:pStyle w:val="SangriaFrancesaArticulo"/>
      </w:pPr>
      <w:r w:rsidRPr="002C5A78">
        <w:rPr>
          <w:rStyle w:val="TextoNormalNegritaCaracter"/>
        </w:rPr>
        <w:t>Artículo 7.2.</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40" w:history="1">
        <w:r w:rsidRPr="002C5A78">
          <w:rPr>
            <w:rStyle w:val="TextoNormalCaracter"/>
          </w:rPr>
          <w:t>40/2021</w:t>
        </w:r>
      </w:hyperlink>
      <w:r>
        <w:t>, f. 5.</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40" w:history="1">
        <w:r w:rsidRPr="002C5A78">
          <w:rPr>
            <w:rStyle w:val="TextoNormalCaracter"/>
          </w:rPr>
          <w:t>40/2021</w:t>
        </w:r>
      </w:hyperlink>
      <w:r>
        <w:t>, f. 5.</w:t>
      </w:r>
    </w:p>
    <w:p w:rsidR="002C5A78" w:rsidRDefault="002C5A78" w:rsidP="002C5A78">
      <w:pPr>
        <w:pStyle w:val="SangriaFrancesaArticulo"/>
      </w:pPr>
      <w:r w:rsidRPr="002C5A78">
        <w:rPr>
          <w:rStyle w:val="TextoNormalNegritaCaracter"/>
        </w:rPr>
        <w:t>Artículo 10.</w:t>
      </w:r>
      <w:r w:rsidRPr="002C5A78">
        <w:rPr>
          <w:rStyle w:val="TextoNormalCaracter"/>
        </w:rPr>
        <w:t>-</w:t>
      </w:r>
      <w:r>
        <w:t xml:space="preserve"> Sentencia </w:t>
      </w:r>
      <w:hyperlink w:anchor="SENTENCIA_2021_40" w:history="1">
        <w:r w:rsidRPr="002C5A78">
          <w:rPr>
            <w:rStyle w:val="TextoNormalCaracter"/>
          </w:rPr>
          <w:t>40/2021</w:t>
        </w:r>
      </w:hyperlink>
      <w:r>
        <w:t>, ff. 1, 5.</w:t>
      </w:r>
    </w:p>
    <w:p w:rsidR="002C5A78" w:rsidRDefault="002C5A78" w:rsidP="002C5A78">
      <w:pPr>
        <w:pStyle w:val="SangriaFrancesaArticulo"/>
      </w:pPr>
      <w:r w:rsidRPr="002C5A78">
        <w:rPr>
          <w:rStyle w:val="TextoNormalNegritaCaracter"/>
        </w:rPr>
        <w:t>Artículo 10.2.</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Artículo 10.3.</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Artículo 10.4.</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p>
    <w:p w:rsidR="002C5A78" w:rsidRDefault="002C5A78" w:rsidP="002C5A78">
      <w:pPr>
        <w:pStyle w:val="TextoNormalNegritaCursivandice"/>
        <w:keepNext/>
      </w:pPr>
      <w:r>
        <w:t>Decreto-ley de la Junta de Castilla y León 6/2020, de 2 de julio. Medidas urgentes para incentivar las medidas de recuperación económica y social en el ámbito local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40" w:history="1">
        <w:r w:rsidRPr="002C5A78">
          <w:rPr>
            <w:rStyle w:val="TextoNormalCaracter"/>
          </w:rPr>
          <w:t>40/2021</w:t>
        </w:r>
      </w:hyperlink>
      <w:r>
        <w:t>, ff. 1, 3, 5.</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40" w:history="1">
        <w:r w:rsidRPr="002C5A78">
          <w:rPr>
            <w:rStyle w:val="TextoNormalCaracter"/>
          </w:rPr>
          <w:t>40/2021</w:t>
        </w:r>
      </w:hyperlink>
      <w:r>
        <w:t>, f. 3.</w:t>
      </w:r>
    </w:p>
    <w:p w:rsidR="002C5A78" w:rsidRDefault="002C5A78" w:rsidP="002C5A78">
      <w:pPr>
        <w:pStyle w:val="SangriaFrancesaArticulo"/>
      </w:pPr>
      <w:r w:rsidRPr="002C5A78">
        <w:rPr>
          <w:rStyle w:val="TextoNormalNegritaCaracter"/>
        </w:rPr>
        <w:t>Preámbulo, apartado I.</w:t>
      </w:r>
      <w:r w:rsidRPr="002C5A78">
        <w:rPr>
          <w:rStyle w:val="TextoNormalCaracter"/>
        </w:rPr>
        <w:t>-</w:t>
      </w:r>
      <w:r>
        <w:t xml:space="preserve"> Sentencia </w:t>
      </w:r>
      <w:hyperlink w:anchor="SENTENCIA_2021_40" w:history="1">
        <w:r w:rsidRPr="002C5A78">
          <w:rPr>
            <w:rStyle w:val="TextoNormalCaracter"/>
          </w:rPr>
          <w:t>40/2021</w:t>
        </w:r>
      </w:hyperlink>
      <w:r>
        <w:t>, f. 3.</w:t>
      </w:r>
    </w:p>
    <w:p w:rsidR="002C5A78" w:rsidRDefault="002C5A78" w:rsidP="002C5A78">
      <w:pPr>
        <w:pStyle w:val="SangriaFrancesaArticulo"/>
      </w:pPr>
      <w:r w:rsidRPr="002C5A78">
        <w:rPr>
          <w:rStyle w:val="TextoNormalNegritaCaracter"/>
        </w:rPr>
        <w:t>Preámbulo, apartado III.</w:t>
      </w:r>
      <w:r w:rsidRPr="002C5A78">
        <w:rPr>
          <w:rStyle w:val="TextoNormalCaracter"/>
        </w:rPr>
        <w:t>-</w:t>
      </w:r>
      <w:r>
        <w:t xml:space="preserve"> Sentencia </w:t>
      </w:r>
      <w:hyperlink w:anchor="SENTENCIA_2021_40" w:history="1">
        <w:r w:rsidRPr="002C5A78">
          <w:rPr>
            <w:rStyle w:val="TextoNormalCaracter"/>
          </w:rPr>
          <w:t>40/2021</w:t>
        </w:r>
      </w:hyperlink>
      <w:r>
        <w:t>, f. 3.</w:t>
      </w:r>
    </w:p>
    <w:p w:rsidR="002C5A78" w:rsidRDefault="002C5A78" w:rsidP="002C5A78">
      <w:pPr>
        <w:pStyle w:val="SangriaFrancesaArticulo"/>
      </w:pPr>
      <w:r w:rsidRPr="002C5A78">
        <w:rPr>
          <w:rStyle w:val="TextoNormalNegritaCaracter"/>
        </w:rPr>
        <w:t>Preámbulo, apartado IV.</w:t>
      </w:r>
      <w:r w:rsidRPr="002C5A78">
        <w:rPr>
          <w:rStyle w:val="TextoNormalCaracter"/>
        </w:rPr>
        <w:t>-</w:t>
      </w:r>
      <w:r>
        <w:t xml:space="preserve"> Sentencia </w:t>
      </w:r>
      <w:hyperlink w:anchor="SENTENCIA_2021_40" w:history="1">
        <w:r w:rsidRPr="002C5A78">
          <w:rPr>
            <w:rStyle w:val="TextoNormalCaracter"/>
          </w:rPr>
          <w:t>40/2021</w:t>
        </w:r>
      </w:hyperlink>
      <w:r>
        <w:t>, f. 3.</w:t>
      </w:r>
    </w:p>
    <w:p w:rsidR="002C5A78" w:rsidRDefault="002C5A78" w:rsidP="002C5A78">
      <w:pPr>
        <w:pStyle w:val="SangriaFrancesaArticulo"/>
      </w:pPr>
      <w:r w:rsidRPr="002C5A78">
        <w:rPr>
          <w:rStyle w:val="TextoNormalNegritaCaracter"/>
        </w:rPr>
        <w:t>Artículo único, apartado cuatro.</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Artículo único, apartado dos.</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Artículo único, apartado cinco.</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Artículo único, apartado tres.</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SangriaFrancesaArticulo"/>
      </w:pPr>
      <w:r w:rsidRPr="002C5A78">
        <w:rPr>
          <w:rStyle w:val="TextoNormalNegritaCaracter"/>
        </w:rPr>
        <w:t>Artículo único, apartado uno.</w:t>
      </w:r>
      <w:r w:rsidRPr="002C5A78">
        <w:rPr>
          <w:rStyle w:val="TextoNormalCaracter"/>
        </w:rPr>
        <w:t>-</w:t>
      </w:r>
      <w:r>
        <w:t xml:space="preserve"> Sentencia </w:t>
      </w:r>
      <w:hyperlink w:anchor="SENTENCIA_2021_40" w:history="1">
        <w:r w:rsidRPr="002C5A78">
          <w:rPr>
            <w:rStyle w:val="TextoNormalCaracter"/>
          </w:rPr>
          <w:t>40/2021</w:t>
        </w:r>
      </w:hyperlink>
      <w:r>
        <w:t>, f. 1.</w:t>
      </w:r>
    </w:p>
    <w:p w:rsidR="002C5A78" w:rsidRDefault="002C5A78" w:rsidP="002C5A78">
      <w:pPr>
        <w:pStyle w:val="TextoNormal"/>
      </w:pPr>
    </w:p>
    <w:p w:rsidR="002C5A78" w:rsidRDefault="002C5A78" w:rsidP="002C5A78">
      <w:pPr>
        <w:pStyle w:val="TextoNormalNegritaCentradoSubrayado"/>
        <w:suppressAutoHyphens/>
      </w:pPr>
      <w:r>
        <w:t>J.7.c) Decretos y otras disposiciones reglamentarias</w:t>
      </w:r>
    </w:p>
    <w:p w:rsidR="002C5A78" w:rsidRDefault="002C5A78" w:rsidP="002C5A78">
      <w:pPr>
        <w:pStyle w:val="TextoNormalNegritaCentradoSubrayado"/>
      </w:pPr>
    </w:p>
    <w:p w:rsidR="002C5A78" w:rsidRDefault="002C5A78" w:rsidP="002C5A78">
      <w:pPr>
        <w:pStyle w:val="TextoNormalNegritaCursivandice"/>
        <w:keepNext/>
      </w:pPr>
      <w:r>
        <w:t>Orden de la Consejería de Economía y Hacienda EYH/717/2020, de 29 de julio, por la que se dictan las normas para la elaboración de los presupuestos generales de la Comunidad de Castilla y León para el año 2021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40" w:history="1">
        <w:r w:rsidRPr="002C5A78">
          <w:rPr>
            <w:rStyle w:val="TextoNormalCaracter"/>
          </w:rPr>
          <w:t>40/2021</w:t>
        </w:r>
      </w:hyperlink>
      <w:r>
        <w:t>, f. 3.</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J.8) Cataluña</w:t>
      </w:r>
    </w:p>
    <w:p w:rsidR="002C5A78" w:rsidRDefault="002C5A78" w:rsidP="002C5A78">
      <w:pPr>
        <w:pStyle w:val="TextoNormal"/>
      </w:pPr>
    </w:p>
    <w:p w:rsidR="002C5A78" w:rsidRDefault="002C5A78" w:rsidP="002C5A78">
      <w:pPr>
        <w:pStyle w:val="TextoNormalNegritaCentradoSubrayado"/>
        <w:suppressAutoHyphens/>
      </w:pPr>
      <w:r>
        <w:t>J.8.a)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4/1979, de 18 de diciembre, de Estatuto de Autonomía de Cataluña</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SangriaFrancesaArticulo"/>
      </w:pPr>
    </w:p>
    <w:p w:rsidR="002C5A78" w:rsidRDefault="002C5A78" w:rsidP="002C5A78">
      <w:pPr>
        <w:pStyle w:val="TextoNormalNegritaCursivandice"/>
        <w:keepNext/>
      </w:pPr>
      <w:r>
        <w:t>Ley Orgánica 6/2006, de 19 de julio, de reforma del Estatuto de Autonomía de Cataluña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5" w:history="1">
        <w:r w:rsidRPr="002C5A78">
          <w:rPr>
            <w:rStyle w:val="TextoNormalCaracter"/>
          </w:rPr>
          <w:t>75/2021</w:t>
        </w:r>
      </w:hyperlink>
      <w:r>
        <w:t xml:space="preserve">, VP I; </w:t>
      </w:r>
      <w:hyperlink w:anchor="SENTENCIA_2021_91" w:history="1">
        <w:r w:rsidRPr="002C5A78">
          <w:rPr>
            <w:rStyle w:val="TextoNormalCaracter"/>
          </w:rPr>
          <w:t>91/2021</w:t>
        </w:r>
      </w:hyperlink>
      <w:r>
        <w:t xml:space="preserve">, ff. 3, 4; </w:t>
      </w:r>
      <w:hyperlink w:anchor="SENTENCIA_2021_106" w:history="1">
        <w:r w:rsidRPr="002C5A78">
          <w:rPr>
            <w:rStyle w:val="TextoNormalCaracter"/>
          </w:rPr>
          <w:t>106/2021</w:t>
        </w:r>
      </w:hyperlink>
      <w:r>
        <w:t xml:space="preserve">, ff. 3, 4; </w:t>
      </w:r>
      <w:hyperlink w:anchor="SENTENCIA_2021_121" w:history="1">
        <w:r w:rsidRPr="002C5A78">
          <w:rPr>
            <w:rStyle w:val="TextoNormalCaracter"/>
          </w:rPr>
          <w:t>121/2021</w:t>
        </w:r>
      </w:hyperlink>
      <w:r>
        <w:t xml:space="preserve">, ff. 4, 5, 12; </w:t>
      </w:r>
      <w:hyperlink w:anchor="SENTENCIA_2021_122" w:history="1">
        <w:r w:rsidRPr="002C5A78">
          <w:rPr>
            <w:rStyle w:val="TextoNormalCaracter"/>
          </w:rPr>
          <w:t>122/2021</w:t>
        </w:r>
      </w:hyperlink>
      <w:r>
        <w:t>, ff. 4, 10.</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Artículo 2.4 inciso sobre el origen de los poderes de la Generalitat.</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f. 11.</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f. 11.</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 </w:t>
      </w:r>
      <w:hyperlink w:anchor="SENTENCIA_2021_75" w:history="1">
        <w:r w:rsidRPr="002C5A78">
          <w:rPr>
            <w:rStyle w:val="TextoNormalCaracter"/>
          </w:rPr>
          <w:t>75/2021</w:t>
        </w:r>
      </w:hyperlink>
      <w:r>
        <w:t>, VP I.</w:t>
      </w:r>
    </w:p>
    <w:p w:rsidR="002C5A78" w:rsidRDefault="002C5A78" w:rsidP="002C5A78">
      <w:pPr>
        <w:pStyle w:val="SangriaFrancesaArticulo"/>
      </w:pPr>
      <w:r w:rsidRPr="002C5A78">
        <w:rPr>
          <w:rStyle w:val="TextoNormalNegritaCaracter"/>
        </w:rPr>
        <w:t>Artículo 33.1.</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33.2.</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xml:space="preserve">, f. </w:t>
      </w:r>
      <w:r w:rsidR="00253E9C">
        <w:fldChar w:fldCharType="begin"/>
      </w:r>
      <w:r w:rsidR="00253E9C">
        <w:instrText xml:space="preserve"> PAGEREF SUMARIOSINDICES \h </w:instrText>
      </w:r>
      <w:r w:rsidR="00253E9C">
        <w:fldChar w:fldCharType="separate"/>
      </w:r>
      <w:r w:rsidR="00D03E93">
        <w:rPr>
          <w:noProof/>
        </w:rPr>
        <w:t>2</w:t>
      </w:r>
      <w:r w:rsidR="00253E9C">
        <w:fldChar w:fldCharType="end"/>
      </w:r>
      <w:r>
        <w:t>6.</w:t>
      </w:r>
    </w:p>
    <w:p w:rsidR="002C5A78" w:rsidRDefault="002C5A78" w:rsidP="002C5A78">
      <w:pPr>
        <w:pStyle w:val="SangriaFrancesaArticulo"/>
      </w:pPr>
      <w:r w:rsidRPr="002C5A78">
        <w:rPr>
          <w:rStyle w:val="TextoNormalNegritaCaracter"/>
        </w:rPr>
        <w:t>Artículo 33.5.</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 </w:t>
      </w:r>
      <w:hyperlink w:anchor="SENTENCIA_2021_133" w:history="1">
        <w:r w:rsidRPr="002C5A78">
          <w:rPr>
            <w:rStyle w:val="TextoNormalCaracter"/>
          </w:rPr>
          <w:t>133/2021</w:t>
        </w:r>
      </w:hyperlink>
      <w:r>
        <w:t>, f. 6.</w:t>
      </w:r>
    </w:p>
    <w:p w:rsidR="002C5A78" w:rsidRDefault="002C5A78" w:rsidP="002C5A78">
      <w:pPr>
        <w:pStyle w:val="SangriaFrancesaArticulo"/>
      </w:pPr>
      <w:r w:rsidRPr="002C5A78">
        <w:rPr>
          <w:rStyle w:val="TextoNormalNegritaCaracter"/>
        </w:rPr>
        <w:t>Artículo 57.</w:t>
      </w:r>
      <w:r w:rsidRPr="002C5A78">
        <w:rPr>
          <w:rStyle w:val="TextoNormalCaracter"/>
        </w:rPr>
        <w:t>-</w:t>
      </w:r>
      <w:r>
        <w:t xml:space="preserve"> Sentencias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f. 4.</w:t>
      </w:r>
    </w:p>
    <w:p w:rsidR="002C5A78" w:rsidRDefault="002C5A78" w:rsidP="002C5A78">
      <w:pPr>
        <w:pStyle w:val="SangriaFrancesaArticulo"/>
      </w:pPr>
      <w:r w:rsidRPr="002C5A78">
        <w:rPr>
          <w:rStyle w:val="TextoNormalNegritaCaracter"/>
        </w:rPr>
        <w:t>Artículo 57.1.</w:t>
      </w:r>
      <w:r w:rsidRPr="002C5A78">
        <w:rPr>
          <w:rStyle w:val="TextoNormalCaracter"/>
        </w:rPr>
        <w:t>-</w:t>
      </w:r>
      <w:r>
        <w:t xml:space="preserve"> Sentencias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57.2.</w:t>
      </w:r>
      <w:r w:rsidRPr="002C5A78">
        <w:rPr>
          <w:rStyle w:val="TextoNormalCaracter"/>
        </w:rPr>
        <w:t>-</w:t>
      </w:r>
      <w:r>
        <w:t xml:space="preserve"> Sentencias </w:t>
      </w:r>
      <w:hyperlink w:anchor="SENTENCIA_2021_34" w:history="1">
        <w:r w:rsidRPr="002C5A78">
          <w:rPr>
            <w:rStyle w:val="TextoNormalCaracter"/>
          </w:rPr>
          <w:t>34/2021</w:t>
        </w:r>
      </w:hyperlink>
      <w:r>
        <w:t xml:space="preserve">, ff. 1, 4 a 6;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ff. 4, 5.</w:t>
      </w:r>
    </w:p>
    <w:p w:rsidR="002C5A78" w:rsidRDefault="002C5A78" w:rsidP="002C5A78">
      <w:pPr>
        <w:pStyle w:val="SangriaFrancesaArticulo"/>
      </w:pPr>
      <w:r w:rsidRPr="002C5A78">
        <w:rPr>
          <w:rStyle w:val="TextoNormalNegritaCaracter"/>
        </w:rPr>
        <w:t>Artículo 64.</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64.1.</w:t>
      </w:r>
      <w:r w:rsidRPr="002C5A78">
        <w:rPr>
          <w:rStyle w:val="TextoNormalCaracter"/>
        </w:rPr>
        <w:t>-</w:t>
      </w:r>
      <w:r>
        <w:t xml:space="preserve"> Sentencia </w:t>
      </w:r>
      <w:hyperlink w:anchor="SENTENCIA_2021_16" w:history="1">
        <w:r w:rsidRPr="002C5A78">
          <w:rPr>
            <w:rStyle w:val="TextoNormalCaracter"/>
          </w:rPr>
          <w:t>16/2021</w:t>
        </w:r>
      </w:hyperlink>
      <w:r>
        <w:t>, ff. 3 a 6.</w:t>
      </w:r>
    </w:p>
    <w:p w:rsidR="002C5A78" w:rsidRDefault="002C5A78" w:rsidP="002C5A78">
      <w:pPr>
        <w:pStyle w:val="SangriaFrancesaArticulo"/>
      </w:pPr>
      <w:r w:rsidRPr="002C5A78">
        <w:rPr>
          <w:rStyle w:val="TextoNormalNegritaCaracter"/>
        </w:rPr>
        <w:t>Artículo 64.2.</w:t>
      </w:r>
      <w:r w:rsidRPr="002C5A78">
        <w:rPr>
          <w:rStyle w:val="TextoNormalCaracter"/>
        </w:rPr>
        <w:t>-</w:t>
      </w:r>
      <w:r>
        <w:t xml:space="preserve"> Sentencia </w:t>
      </w:r>
      <w:hyperlink w:anchor="SENTENCIA_2021_16" w:history="1">
        <w:r w:rsidRPr="002C5A78">
          <w:rPr>
            <w:rStyle w:val="TextoNormalCaracter"/>
          </w:rPr>
          <w:t>16/2021</w:t>
        </w:r>
      </w:hyperlink>
      <w:r>
        <w:t>, ff. 1 a 3.</w:t>
      </w:r>
    </w:p>
    <w:p w:rsidR="002C5A78" w:rsidRDefault="002C5A78" w:rsidP="002C5A78">
      <w:pPr>
        <w:pStyle w:val="SangriaFrancesaArticulo"/>
      </w:pPr>
      <w:r w:rsidRPr="002C5A78">
        <w:rPr>
          <w:rStyle w:val="TextoNormalNegritaCaracter"/>
        </w:rPr>
        <w:t>Artículo 65.</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67.2.</w:t>
      </w:r>
      <w:r w:rsidRPr="002C5A78">
        <w:rPr>
          <w:rStyle w:val="TextoNormalCaracter"/>
        </w:rPr>
        <w:t>-</w:t>
      </w:r>
      <w:r>
        <w:t xml:space="preserve"> Sentencia </w:t>
      </w:r>
      <w:hyperlink w:anchor="SENTENCIA_2021_66" w:history="1">
        <w:r w:rsidRPr="002C5A78">
          <w:rPr>
            <w:rStyle w:val="TextoNormalCaracter"/>
          </w:rPr>
          <w:t>66/2021</w:t>
        </w:r>
      </w:hyperlink>
      <w:r>
        <w:t>, f. 4.</w:t>
      </w:r>
    </w:p>
    <w:p w:rsidR="002C5A78" w:rsidRDefault="002C5A78" w:rsidP="002C5A78">
      <w:pPr>
        <w:pStyle w:val="SangriaFrancesaArticulo"/>
      </w:pPr>
      <w:r w:rsidRPr="002C5A78">
        <w:rPr>
          <w:rStyle w:val="TextoNormalNegritaCaracter"/>
        </w:rPr>
        <w:t>Artículo 67.6 a).</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r w:rsidRPr="002C5A78">
        <w:rPr>
          <w:rStyle w:val="TextoNormalNegritaCaracter"/>
        </w:rPr>
        <w:t>Artículo 67.7.</w:t>
      </w:r>
      <w:r w:rsidRPr="002C5A78">
        <w:rPr>
          <w:rStyle w:val="TextoNormalCaracter"/>
        </w:rPr>
        <w:t>-</w:t>
      </w:r>
      <w:r>
        <w:t xml:space="preserve"> Sentencia </w:t>
      </w:r>
      <w:hyperlink w:anchor="SENTENCIA_2021_66" w:history="1">
        <w:r w:rsidRPr="002C5A78">
          <w:rPr>
            <w:rStyle w:val="TextoNormalCaracter"/>
          </w:rPr>
          <w:t>66/2021</w:t>
        </w:r>
      </w:hyperlink>
      <w:r>
        <w:t>, f. 4.</w:t>
      </w:r>
    </w:p>
    <w:p w:rsidR="002C5A78" w:rsidRDefault="002C5A78" w:rsidP="002C5A78">
      <w:pPr>
        <w:pStyle w:val="SangriaFrancesaArticulo"/>
      </w:pPr>
      <w:r w:rsidRPr="002C5A78">
        <w:rPr>
          <w:rStyle w:val="TextoNormalNegritaCaracter"/>
        </w:rPr>
        <w:t>Artículo 70.2.</w:t>
      </w:r>
      <w:r w:rsidRPr="002C5A78">
        <w:rPr>
          <w:rStyle w:val="TextoNormalCaracter"/>
        </w:rPr>
        <w:t>-</w:t>
      </w:r>
      <w:r>
        <w:t xml:space="preserve"> Sentencia </w:t>
      </w:r>
      <w:hyperlink w:anchor="SENTENCIA_2021_34" w:history="1">
        <w:r w:rsidRPr="002C5A78">
          <w:rPr>
            <w:rStyle w:val="TextoNormalCaracter"/>
          </w:rPr>
          <w:t>34/2021</w:t>
        </w:r>
      </w:hyperlink>
      <w:r>
        <w:t>, ff. 4 a 6.</w:t>
      </w:r>
    </w:p>
    <w:p w:rsidR="002C5A78" w:rsidRDefault="002C5A78" w:rsidP="002C5A78">
      <w:pPr>
        <w:pStyle w:val="SangriaFrancesaArticulo"/>
      </w:pPr>
      <w:r w:rsidRPr="002C5A78">
        <w:rPr>
          <w:rStyle w:val="TextoNormalNegritaCaracter"/>
        </w:rPr>
        <w:t>Artículo 123.</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137.</w:t>
      </w:r>
      <w:r w:rsidRPr="002C5A78">
        <w:rPr>
          <w:rStyle w:val="TextoNormalCaracter"/>
        </w:rPr>
        <w:t>-</w:t>
      </w:r>
      <w:r>
        <w:t xml:space="preserve"> Sentencia </w:t>
      </w:r>
      <w:hyperlink w:anchor="SENTENCIA_2021_16" w:history="1">
        <w:r w:rsidRPr="002C5A78">
          <w:rPr>
            <w:rStyle w:val="TextoNormalCaracter"/>
          </w:rPr>
          <w:t>16/2021</w:t>
        </w:r>
      </w:hyperlink>
      <w:r>
        <w:t>, ff. 7, 9.</w:t>
      </w:r>
    </w:p>
    <w:p w:rsidR="002C5A78" w:rsidRDefault="002C5A78" w:rsidP="002C5A78">
      <w:pPr>
        <w:pStyle w:val="SangriaFrancesaArticulo"/>
      </w:pPr>
      <w:r w:rsidRPr="002C5A78">
        <w:rPr>
          <w:rStyle w:val="TextoNormalNegritaCaracter"/>
        </w:rPr>
        <w:t>Artículo 166.</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166.3.</w:t>
      </w:r>
      <w:r w:rsidRPr="002C5A78">
        <w:rPr>
          <w:rStyle w:val="TextoNormalCaracter"/>
        </w:rPr>
        <w:t>-</w:t>
      </w:r>
      <w:r>
        <w:t xml:space="preserve"> Sentencia </w:t>
      </w:r>
      <w:hyperlink w:anchor="SENTENCIA_2021_36" w:history="1">
        <w:r w:rsidRPr="002C5A78">
          <w:rPr>
            <w:rStyle w:val="TextoNormalCaracter"/>
          </w:rPr>
          <w:t>36/2021</w:t>
        </w:r>
      </w:hyperlink>
      <w:r>
        <w:t>, f. 4, VP.</w:t>
      </w:r>
    </w:p>
    <w:p w:rsidR="002C5A78" w:rsidRDefault="002C5A78" w:rsidP="002C5A78">
      <w:pPr>
        <w:pStyle w:val="SangriaFrancesaArticulo"/>
      </w:pPr>
      <w:r w:rsidRPr="002C5A78">
        <w:rPr>
          <w:rStyle w:val="TextoNormalNegritaCaracter"/>
        </w:rPr>
        <w:t>Artículo 166.3 a).</w:t>
      </w:r>
      <w:r w:rsidRPr="002C5A78">
        <w:rPr>
          <w:rStyle w:val="TextoNormalCaracter"/>
        </w:rPr>
        <w:t>-</w:t>
      </w:r>
      <w:r>
        <w:t xml:space="preserve"> Sentencia </w:t>
      </w:r>
      <w:hyperlink w:anchor="SENTENCIA_2021_36" w:history="1">
        <w:r w:rsidRPr="002C5A78">
          <w:rPr>
            <w:rStyle w:val="TextoNormalCaracter"/>
          </w:rPr>
          <w:t>36/2021</w:t>
        </w:r>
      </w:hyperlink>
      <w:r>
        <w:t>, ff. 1, 4, VP.</w:t>
      </w:r>
    </w:p>
    <w:p w:rsidR="002C5A78" w:rsidRDefault="002C5A78" w:rsidP="002C5A78">
      <w:pPr>
        <w:pStyle w:val="SangriaFrancesaArticulo"/>
      </w:pPr>
      <w:r w:rsidRPr="002C5A78">
        <w:rPr>
          <w:rStyle w:val="TextoNormalNegritaCaracter"/>
        </w:rPr>
        <w:t>Artículo 171.</w:t>
      </w:r>
      <w:r w:rsidRPr="002C5A78">
        <w:rPr>
          <w:rStyle w:val="TextoNormalCaracter"/>
        </w:rPr>
        <w:t>-</w:t>
      </w:r>
      <w:r>
        <w:t xml:space="preserve"> Sentencia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177.</w:t>
      </w:r>
      <w:r w:rsidRPr="002C5A78">
        <w:rPr>
          <w:rStyle w:val="TextoNormalCaracter"/>
        </w:rPr>
        <w:t>-</w:t>
      </w:r>
      <w:r>
        <w:t xml:space="preserve"> Sentencia </w:t>
      </w:r>
      <w:hyperlink w:anchor="SENTENCIA_2021_125" w:history="1">
        <w:r w:rsidRPr="002C5A78">
          <w:rPr>
            <w:rStyle w:val="TextoNormalCaracter"/>
          </w:rPr>
          <w:t>125/2021</w:t>
        </w:r>
      </w:hyperlink>
      <w:r>
        <w:t>, f. 7.</w:t>
      </w:r>
    </w:p>
    <w:p w:rsidR="002C5A78" w:rsidRDefault="002C5A78" w:rsidP="002C5A78">
      <w:pPr>
        <w:pStyle w:val="SangriaFrancesaArticulo"/>
      </w:pPr>
      <w:r w:rsidRPr="002C5A78">
        <w:rPr>
          <w:rStyle w:val="TextoNormalNegritaCaracter"/>
        </w:rPr>
        <w:t>Artículo 193.</w:t>
      </w:r>
      <w:r w:rsidRPr="002C5A78">
        <w:rPr>
          <w:rStyle w:val="TextoNormalCaracter"/>
        </w:rPr>
        <w:t>-</w:t>
      </w:r>
      <w:r>
        <w:t xml:space="preserve"> Sentencia </w:t>
      </w:r>
      <w:hyperlink w:anchor="SENTENCIA_2021_36" w:history="1">
        <w:r w:rsidRPr="002C5A78">
          <w:rPr>
            <w:rStyle w:val="TextoNormalCaracter"/>
          </w:rPr>
          <w:t>36/2021</w:t>
        </w:r>
      </w:hyperlink>
      <w:r>
        <w:t>, f. 13.</w:t>
      </w:r>
    </w:p>
    <w:p w:rsidR="002C5A78" w:rsidRDefault="002C5A78" w:rsidP="002C5A78">
      <w:pPr>
        <w:pStyle w:val="SangriaFrancesaArticulo"/>
      </w:pPr>
      <w:r w:rsidRPr="002C5A78">
        <w:rPr>
          <w:rStyle w:val="TextoNormalNegritaCaracter"/>
        </w:rPr>
        <w:t>Artículo 196.4.</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202.3 a).</w:t>
      </w:r>
      <w:r w:rsidRPr="002C5A78">
        <w:rPr>
          <w:rStyle w:val="TextoNormalCaracter"/>
        </w:rPr>
        <w:t>-</w:t>
      </w:r>
      <w:r>
        <w:t xml:space="preserve"> Sentencia </w:t>
      </w:r>
      <w:hyperlink w:anchor="SENTENCIA_2021_125" w:history="1">
        <w:r w:rsidRPr="002C5A78">
          <w:rPr>
            <w:rStyle w:val="TextoNormalCaracter"/>
          </w:rPr>
          <w:t>125/2021</w:t>
        </w:r>
      </w:hyperlink>
      <w:r>
        <w:t>, f. 5.</w:t>
      </w:r>
    </w:p>
    <w:p w:rsidR="002C5A78" w:rsidRDefault="002C5A78" w:rsidP="002C5A78">
      <w:pPr>
        <w:pStyle w:val="SangriaFrancesaArticulo"/>
      </w:pPr>
      <w:r w:rsidRPr="002C5A78">
        <w:rPr>
          <w:rStyle w:val="TextoNormalNegritaCaracter"/>
        </w:rPr>
        <w:t>Artículo 203.5.</w:t>
      </w:r>
      <w:r w:rsidRPr="002C5A78">
        <w:rPr>
          <w:rStyle w:val="TextoNormalCaracter"/>
        </w:rPr>
        <w:t>-</w:t>
      </w:r>
      <w:r>
        <w:t xml:space="preserve"> Sentencia </w:t>
      </w:r>
      <w:hyperlink w:anchor="SENTENCIA_2021_125" w:history="1">
        <w:r w:rsidRPr="002C5A78">
          <w:rPr>
            <w:rStyle w:val="TextoNormalCaracter"/>
          </w:rPr>
          <w:t>125/2021</w:t>
        </w:r>
      </w:hyperlink>
      <w:r>
        <w:t>, ff. 5, 7.</w:t>
      </w:r>
    </w:p>
    <w:p w:rsidR="002C5A78" w:rsidRDefault="002C5A78" w:rsidP="002C5A78">
      <w:pPr>
        <w:pStyle w:val="TextoNormal"/>
      </w:pPr>
    </w:p>
    <w:p w:rsidR="002C5A78" w:rsidRDefault="002C5A78" w:rsidP="002C5A78">
      <w:pPr>
        <w:pStyle w:val="TextoNormalNegritaCentradoSubrayado"/>
        <w:suppressAutoHyphens/>
      </w:pPr>
      <w:r>
        <w:t>J.8.b)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Comunidad Autónoma de Cataluña. Ley 10/1994, de 11 de julio, de la Policía de la Generalitat "Mossos d'Esquadra"</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f. 11.</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f. 11.</w:t>
      </w:r>
    </w:p>
    <w:p w:rsidR="002C5A78" w:rsidRDefault="002C5A78" w:rsidP="002C5A78">
      <w:pPr>
        <w:pStyle w:val="SangriaFrancesaArticulo"/>
      </w:pPr>
      <w:r w:rsidRPr="002C5A78">
        <w:rPr>
          <w:rStyle w:val="TextoNormalNegritaCaracter"/>
        </w:rPr>
        <w:t>Artículo 16.2.</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f. 11.</w:t>
      </w:r>
    </w:p>
    <w:p w:rsidR="002C5A78" w:rsidRDefault="002C5A78" w:rsidP="002C5A78">
      <w:pPr>
        <w:pStyle w:val="SangriaFrancesaArticulo"/>
      </w:pPr>
    </w:p>
    <w:p w:rsidR="002C5A78" w:rsidRDefault="002C5A78" w:rsidP="002C5A78">
      <w:pPr>
        <w:pStyle w:val="TextoNormalNegritaCursivandice"/>
        <w:keepNext/>
      </w:pPr>
      <w:r>
        <w:t>Comunidad Autónoma de Cataluña. Ley 18/2007, de 28 de diciembre, del derecho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ff. 1, 3 a 7.</w:t>
      </w:r>
    </w:p>
    <w:p w:rsidR="002C5A78" w:rsidRDefault="002C5A78" w:rsidP="002C5A78">
      <w:pPr>
        <w:pStyle w:val="SangriaFrancesaArticulo"/>
      </w:pPr>
      <w:r w:rsidRPr="002C5A78">
        <w:rPr>
          <w:rStyle w:val="TextoNormalNegritaCaracter"/>
        </w:rPr>
        <w:t>Artículo 3 d)</w:t>
      </w:r>
      <w:r>
        <w:t xml:space="preserve"> (redactado por el Decreto-ley 1/2020, de 21 de enero)</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ff. 1, 2, 5.</w:t>
      </w:r>
    </w:p>
    <w:p w:rsidR="002C5A78" w:rsidRDefault="002C5A78" w:rsidP="002C5A78">
      <w:pPr>
        <w:pStyle w:val="SangriaFrancesaArticulo"/>
      </w:pPr>
      <w:r w:rsidRPr="002C5A78">
        <w:rPr>
          <w:rStyle w:val="TextoNormalNegritaCaracter"/>
        </w:rPr>
        <w:t>Artículo 3 d)</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ff. 1, 2, 5.</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5.2 b)</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5.2 bis</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5.2 d)</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5.2 f)</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5.3 párrafo 2</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41.1</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41.1 a)</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ff. 5, 9.</w:t>
      </w:r>
    </w:p>
    <w:p w:rsidR="002C5A78" w:rsidRDefault="002C5A78" w:rsidP="002C5A78">
      <w:pPr>
        <w:pStyle w:val="SangriaFrancesaArticulo"/>
      </w:pPr>
      <w:r w:rsidRPr="002C5A78">
        <w:rPr>
          <w:rStyle w:val="TextoNormalNegritaCaracter"/>
        </w:rPr>
        <w:t>Artículo 41.3</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42.1</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Artículo 42.6</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42.7</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42.8</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51.2 a).</w:t>
      </w:r>
      <w:r w:rsidRPr="002C5A78">
        <w:rPr>
          <w:rStyle w:val="TextoNormalCaracter"/>
        </w:rPr>
        <w:t>-</w:t>
      </w:r>
      <w:r>
        <w:t xml:space="preserve"> Sentencia </w:t>
      </w:r>
      <w:hyperlink w:anchor="SENTENCIA_2021_16" w:history="1">
        <w:r w:rsidRPr="002C5A78">
          <w:rPr>
            <w:rStyle w:val="TextoNormalCaracter"/>
          </w:rPr>
          <w:t>16/2021</w:t>
        </w:r>
      </w:hyperlink>
      <w:r>
        <w:t>, f. 6.</w:t>
      </w:r>
    </w:p>
    <w:p w:rsidR="002C5A78" w:rsidRDefault="002C5A78" w:rsidP="002C5A78">
      <w:pPr>
        <w:pStyle w:val="SangriaFrancesaArticulo"/>
      </w:pPr>
      <w:r w:rsidRPr="002C5A78">
        <w:rPr>
          <w:rStyle w:val="TextoNormalNegritaCaracter"/>
        </w:rPr>
        <w:t>Artículo 51.2 b).</w:t>
      </w:r>
      <w:r w:rsidRPr="002C5A78">
        <w:rPr>
          <w:rStyle w:val="TextoNormalCaracter"/>
        </w:rPr>
        <w:t>-</w:t>
      </w:r>
      <w:r>
        <w:t xml:space="preserve"> Sentencia </w:t>
      </w:r>
      <w:hyperlink w:anchor="SENTENCIA_2021_16" w:history="1">
        <w:r w:rsidRPr="002C5A78">
          <w:rPr>
            <w:rStyle w:val="TextoNormalCaracter"/>
          </w:rPr>
          <w:t>16/2021</w:t>
        </w:r>
      </w:hyperlink>
      <w:r>
        <w:t>, f. 6.</w:t>
      </w:r>
    </w:p>
    <w:p w:rsidR="002C5A78" w:rsidRDefault="002C5A78" w:rsidP="002C5A78">
      <w:pPr>
        <w:pStyle w:val="SangriaFrancesaArticulo"/>
      </w:pPr>
      <w:r w:rsidRPr="002C5A78">
        <w:rPr>
          <w:rStyle w:val="TextoNormalNegritaCaracter"/>
        </w:rPr>
        <w:t>Artículo 59</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61.2</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66.2</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68 bis</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68 bis.2</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113</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113.1</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113.2</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123.1 h)</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124.2 j)</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124.2 j) inciso "y del apartado 2 de la disposición adicional primera"</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125.2</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Disposición adicional vigesimocuarta</w:t>
      </w:r>
      <w:r>
        <w:t xml:space="preserve"> (redactada por la Ley 24/2015, de 29 de julio)</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r w:rsidRPr="002C5A78">
        <w:rPr>
          <w:rStyle w:val="TextoNormalNegritaCaracter"/>
        </w:rPr>
        <w:t>Disposición adicional vigesimocuarta, apartado 1</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r w:rsidRPr="002C5A78">
        <w:rPr>
          <w:rStyle w:val="TextoNormalNegritaCaracter"/>
        </w:rPr>
        <w:t>Disposición adicional vigesimocuarta, apartado 2</w:t>
      </w:r>
      <w:r>
        <w:t xml:space="preserve"> (redactada por la Ley 24/2015, de 29 de julio)</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p>
    <w:p w:rsidR="002C5A78" w:rsidRDefault="002C5A78" w:rsidP="002C5A78">
      <w:pPr>
        <w:pStyle w:val="TextoNormalNegritaCursivandice"/>
        <w:keepNext/>
      </w:pPr>
      <w:r>
        <w:t>Comunidad Autónoma de Cataluña. Ley 13/2008, de 5 de noviembre, de la presidencia de la Generalidad y del Gobierno</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 </w:t>
      </w:r>
      <w:hyperlink w:anchor="SENTENCIA_2021_66" w:history="1">
        <w:r w:rsidRPr="002C5A78">
          <w:rPr>
            <w:rStyle w:val="TextoNormalCaracter"/>
          </w:rPr>
          <w:t>66/2021</w:t>
        </w:r>
      </w:hyperlink>
      <w:r>
        <w:t>, ff. 2 a 4.</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66" w:history="1">
        <w:r w:rsidRPr="002C5A78">
          <w:rPr>
            <w:rStyle w:val="TextoNormalCaracter"/>
          </w:rPr>
          <w:t>66/2021</w:t>
        </w:r>
      </w:hyperlink>
      <w:r>
        <w:t>, f. 4.</w:t>
      </w:r>
    </w:p>
    <w:p w:rsidR="002C5A78" w:rsidRDefault="002C5A78" w:rsidP="002C5A78">
      <w:pPr>
        <w:pStyle w:val="SangriaFrancesaArticulo"/>
      </w:pPr>
    </w:p>
    <w:p w:rsidR="002C5A78" w:rsidRDefault="002C5A78" w:rsidP="002C5A78">
      <w:pPr>
        <w:pStyle w:val="TextoNormalNegritaCursivandice"/>
        <w:keepNext/>
      </w:pPr>
      <w:r>
        <w:t>Ley del Parlamento de Cataluña 14/2010, de 27 de mayo. Derechos y oportunidades en la infancia y la adolescencia.</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98 y ss..</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r w:rsidRPr="002C5A78">
        <w:rPr>
          <w:rStyle w:val="TextoNormalNegritaCaracter"/>
        </w:rPr>
        <w:t>Artículo 124 a), b), c), f).</w:t>
      </w:r>
      <w:r w:rsidRPr="002C5A78">
        <w:rPr>
          <w:rStyle w:val="TextoNormalCaracter"/>
        </w:rPr>
        <w:t>-</w:t>
      </w:r>
      <w:r>
        <w:t xml:space="preserve"> Sentencia </w:t>
      </w:r>
      <w:hyperlink w:anchor="SENTENCIA_2021_36" w:history="1">
        <w:r w:rsidRPr="002C5A78">
          <w:rPr>
            <w:rStyle w:val="TextoNormalCaracter"/>
          </w:rPr>
          <w:t>36/2021</w:t>
        </w:r>
      </w:hyperlink>
      <w:r>
        <w:t>, VP.</w:t>
      </w:r>
    </w:p>
    <w:p w:rsidR="002C5A78" w:rsidRDefault="002C5A78" w:rsidP="002C5A78">
      <w:pPr>
        <w:pStyle w:val="SangriaFrancesaArticulo"/>
      </w:pPr>
    </w:p>
    <w:p w:rsidR="002C5A78" w:rsidRDefault="002C5A78" w:rsidP="002C5A78">
      <w:pPr>
        <w:pStyle w:val="TextoNormalNegritaCursivandice"/>
        <w:keepNext/>
      </w:pPr>
      <w:r>
        <w:t>Comunidad Autónoma de Cataluña. Ley 22/2010, de 20 de julio, del Código de consumo de Cataluña</w:t>
      </w:r>
    </w:p>
    <w:p w:rsidR="002C5A78" w:rsidRDefault="002C5A78" w:rsidP="002C5A78">
      <w:pPr>
        <w:pStyle w:val="SangriaFrancesaArticulo"/>
      </w:pPr>
      <w:r w:rsidRPr="002C5A78">
        <w:rPr>
          <w:rStyle w:val="TextoNormalNegritaCaracter"/>
        </w:rPr>
        <w:t>Artículo 251-6.</w:t>
      </w:r>
      <w:r w:rsidRPr="002C5A78">
        <w:rPr>
          <w:rStyle w:val="TextoNormalCaracter"/>
        </w:rPr>
        <w:t>-</w:t>
      </w:r>
      <w:r>
        <w:t xml:space="preserve"> Sentencia </w:t>
      </w:r>
      <w:hyperlink w:anchor="SENTENCIA_2021_72" w:history="1">
        <w:r w:rsidRPr="002C5A78">
          <w:rPr>
            <w:rStyle w:val="TextoNormalCaracter"/>
          </w:rPr>
          <w:t>72/2021</w:t>
        </w:r>
      </w:hyperlink>
      <w:r>
        <w:t>, ff. 5, 6.</w:t>
      </w:r>
    </w:p>
    <w:p w:rsidR="002C5A78" w:rsidRDefault="002C5A78" w:rsidP="002C5A78">
      <w:pPr>
        <w:pStyle w:val="SangriaFrancesaArticulo"/>
      </w:pPr>
      <w:r w:rsidRPr="002C5A78">
        <w:rPr>
          <w:rStyle w:val="TextoNormalNegritaCaracter"/>
        </w:rPr>
        <w:t>Artículo 262-6.2.</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 263-2.4.</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p>
    <w:p w:rsidR="002C5A78" w:rsidRDefault="002C5A78" w:rsidP="002C5A78">
      <w:pPr>
        <w:pStyle w:val="TextoNormalNegritaCursivandice"/>
        <w:keepNext/>
      </w:pPr>
      <w:r>
        <w:t>Comunidad Autónoma de Cataluña. Decreto Legislativo 1/2010, de 3 de agosto, por el que se aprueba el texto refundido de la Ley de urbanismo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1.</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 </w:t>
      </w:r>
      <w:hyperlink w:anchor="SENTENCIA_2021_123" w:history="1">
        <w:r w:rsidRPr="002C5A78">
          <w:rPr>
            <w:rStyle w:val="TextoNormalCaracter"/>
          </w:rPr>
          <w:t>123/2021</w:t>
        </w:r>
      </w:hyperlink>
      <w:r>
        <w:t>, f. 5.</w:t>
      </w:r>
    </w:p>
    <w:p w:rsidR="002C5A78" w:rsidRDefault="002C5A78" w:rsidP="002C5A78">
      <w:pPr>
        <w:pStyle w:val="SangriaFrancesaArticulo"/>
      </w:pPr>
      <w:r w:rsidRPr="002C5A78">
        <w:rPr>
          <w:rStyle w:val="TextoNormalNegritaCaracter"/>
        </w:rPr>
        <w:t>Artículo 57.6</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Artículo 57.7</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p>
    <w:p w:rsidR="002C5A78" w:rsidRDefault="002C5A78" w:rsidP="002C5A78">
      <w:pPr>
        <w:pStyle w:val="TextoNormalNegritaCursivandice"/>
        <w:keepNext/>
      </w:pPr>
      <w:r>
        <w:t>Ley del Parlamento de Cataluña 35/2010, de 1 de octubre. Del occitano, aranés en Arán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5" w:history="1">
        <w:r w:rsidRPr="002C5A78">
          <w:rPr>
            <w:rStyle w:val="TextoNormalCaracter"/>
          </w:rPr>
          <w:t>75/2021</w:t>
        </w:r>
      </w:hyperlink>
      <w:r>
        <w:t>, VP I.</w:t>
      </w:r>
    </w:p>
    <w:p w:rsidR="002C5A78" w:rsidRDefault="002C5A78" w:rsidP="002C5A78">
      <w:pPr>
        <w:pStyle w:val="SangriaFrancesaArticulo"/>
      </w:pPr>
    </w:p>
    <w:p w:rsidR="002C5A78" w:rsidRDefault="002C5A78" w:rsidP="002C5A78">
      <w:pPr>
        <w:pStyle w:val="TextoNormalNegritaCursivandice"/>
        <w:keepNext/>
      </w:pPr>
      <w:r>
        <w:t>Ley del Parlamento de Cataluña 5/2012, de 20 de marzo, Medidas fiscales, financieras y administrativas y de creación del impuesto sobre las estancias en establecimientos turísticos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p>
    <w:p w:rsidR="002C5A78" w:rsidRDefault="002C5A78" w:rsidP="002C5A78">
      <w:pPr>
        <w:pStyle w:val="TextoNormalNegritaCursivandice"/>
        <w:keepNext/>
      </w:pPr>
      <w:r>
        <w:t>Decreto-ley de la Generalitat de Cataluña 1/2015, de 24 de marzo. Medidas extraordinarias y urgentes para la movilización de las viviendas provenientes de procesos de ejecución hipotecaria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ff. 1, 9.</w:t>
      </w:r>
    </w:p>
    <w:p w:rsidR="002C5A78" w:rsidRDefault="002C5A78" w:rsidP="002C5A78">
      <w:pPr>
        <w:pStyle w:val="SangriaFrancesaArticulo"/>
      </w:pPr>
    </w:p>
    <w:p w:rsidR="002C5A78" w:rsidRDefault="002C5A78" w:rsidP="002C5A78">
      <w:pPr>
        <w:pStyle w:val="TextoNormalNegritaCursivandice"/>
        <w:keepNext/>
      </w:pPr>
      <w:r>
        <w:t>Comunidad Autónoma de Cataluña. Ley 24/2015, de 29 de julio, de medidas urgentes para afrontar la emergencia en el ámbito de la vivienda y la pobreza energética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ff. 1, 5.</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5.7.</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5.9.</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5.9 a).</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5.9 b).</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5.9 b)</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6.</w:t>
      </w:r>
    </w:p>
    <w:p w:rsidR="002C5A78" w:rsidRDefault="002C5A78" w:rsidP="002C5A78">
      <w:pPr>
        <w:pStyle w:val="SangriaFrancesaArticulo"/>
      </w:pPr>
      <w:r w:rsidRPr="002C5A78">
        <w:rPr>
          <w:rStyle w:val="TextoNormalNegritaCaracter"/>
        </w:rPr>
        <w:t>Artículo 7.1 c)</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10</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Disposición adicional.</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Disposición adicional primera</w:t>
      </w:r>
      <w:r>
        <w:t xml:space="preserve"> (redactada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Disposición adicional primera</w:t>
      </w:r>
      <w:r>
        <w:t xml:space="preserve"> (redactada por el Decreto-ley 37/2020, de 3 de noviembre)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Disposición adicional primera, apartado 2</w:t>
      </w:r>
      <w:r>
        <w:t xml:space="preserve"> (redactada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Disposición adicional primera, apartado 3 a)</w:t>
      </w:r>
      <w:r>
        <w:t xml:space="preserve"> (redactada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Comunidad Autónoma de Cataluña. Ley 4/2016, de 23 de diciembre, de medidas de protección del derecho a la vivienda de las personas en riesgo de exclusión residencial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ff. 1, 5.</w:t>
      </w:r>
    </w:p>
    <w:p w:rsidR="002C5A78" w:rsidRDefault="002C5A78" w:rsidP="002C5A78">
      <w:pPr>
        <w:pStyle w:val="SangriaFrancesaArticulo"/>
      </w:pPr>
      <w:r w:rsidRPr="002C5A78">
        <w:rPr>
          <w:rStyle w:val="TextoNormalNegritaCaracter"/>
        </w:rPr>
        <w:t>Artículo 15</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15.1</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16.1.</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16.2 a).</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16.2 b).</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16.3</w:t>
      </w:r>
      <w:r>
        <w:t xml:space="preserve"> (redactado por el Decreto-ley 17/2019, de 23 de diciembre)</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Comunidad Autónoma de Cataluña. Ley 4/2017, de 28 de marzo, de presupuestos de la Generalidad de Cataluña para 2017</w:t>
      </w:r>
    </w:p>
    <w:p w:rsidR="002C5A78" w:rsidRDefault="002C5A78" w:rsidP="002C5A78">
      <w:pPr>
        <w:pStyle w:val="SangriaFrancesaArticulo"/>
      </w:pPr>
      <w:r w:rsidRPr="002C5A78">
        <w:rPr>
          <w:rStyle w:val="TextoNormalNegritaCaracter"/>
        </w:rPr>
        <w:t>Disposición adicional cuadragésima.</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Ley del Parlamento de Cataluña 5/2017, de 28 de marzo. Medidas fiscales, administrativas, financieras y del sector público y de creación y regulación de los impuestos sobre grandes establecimientos comerciales, sobre estancias en establecimientos turísticos, sobre elementos radiotóxicos, sobre bebidas azucaradas envasadas y sobre emisiones de dióxido de carbono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5" w:history="1">
        <w:r w:rsidRPr="002C5A78">
          <w:rPr>
            <w:rStyle w:val="TextoNormalCaracter"/>
          </w:rPr>
          <w:t>125/2021</w:t>
        </w:r>
      </w:hyperlink>
      <w:r>
        <w:t>, ff. 1, 2.</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125" w:history="1">
        <w:r w:rsidRPr="002C5A78">
          <w:rPr>
            <w:rStyle w:val="TextoNormalCaracter"/>
          </w:rPr>
          <w:t>125/2021</w:t>
        </w:r>
      </w:hyperlink>
      <w:r>
        <w:t>, ff. 4, 6.</w:t>
      </w:r>
    </w:p>
    <w:p w:rsidR="002C5A78" w:rsidRDefault="002C5A78" w:rsidP="002C5A78">
      <w:pPr>
        <w:pStyle w:val="SangriaFrancesaArticulo"/>
      </w:pPr>
      <w:r w:rsidRPr="002C5A78">
        <w:rPr>
          <w:rStyle w:val="TextoNormalNegritaCaracter"/>
        </w:rPr>
        <w:t xml:space="preserve">Artículo 23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125" w:history="1">
        <w:r w:rsidRPr="002C5A78">
          <w:rPr>
            <w:rStyle w:val="TextoNormalCaracter"/>
          </w:rPr>
          <w:t>125/2021</w:t>
        </w:r>
      </w:hyperlink>
      <w:r>
        <w:t>, f. 6.</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 </w:t>
      </w:r>
      <w:hyperlink w:anchor="SENTENCIA_2021_125" w:history="1">
        <w:r w:rsidRPr="002C5A78">
          <w:rPr>
            <w:rStyle w:val="TextoNormalCaracter"/>
          </w:rPr>
          <w:t>125/2021</w:t>
        </w:r>
      </w:hyperlink>
      <w:r>
        <w:t>, ff. 1, 7.</w:t>
      </w:r>
    </w:p>
    <w:p w:rsidR="002C5A78" w:rsidRDefault="002C5A78" w:rsidP="002C5A78">
      <w:pPr>
        <w:pStyle w:val="SangriaFrancesaArticulo"/>
      </w:pPr>
      <w:r w:rsidRPr="002C5A78">
        <w:rPr>
          <w:rStyle w:val="TextoNormalNegritaCaracter"/>
        </w:rPr>
        <w:t>Artículo 24.2.</w:t>
      </w:r>
      <w:r w:rsidRPr="002C5A78">
        <w:rPr>
          <w:rStyle w:val="TextoNormalCaracter"/>
        </w:rPr>
        <w:t>-</w:t>
      </w:r>
      <w:r>
        <w:t xml:space="preserve"> Sentencia </w:t>
      </w:r>
      <w:hyperlink w:anchor="SENTENCIA_2021_125" w:history="1">
        <w:r w:rsidRPr="002C5A78">
          <w:rPr>
            <w:rStyle w:val="TextoNormalCaracter"/>
          </w:rPr>
          <w:t>125/2021</w:t>
        </w:r>
      </w:hyperlink>
      <w:r>
        <w:t>, f. 2.</w:t>
      </w:r>
    </w:p>
    <w:p w:rsidR="002C5A78" w:rsidRDefault="002C5A78" w:rsidP="002C5A78">
      <w:pPr>
        <w:pStyle w:val="SangriaFrancesaArticulo"/>
      </w:pPr>
      <w:r w:rsidRPr="002C5A78">
        <w:rPr>
          <w:rStyle w:val="TextoNormalNegritaCaracter"/>
        </w:rPr>
        <w:t>Artículo 26.1.</w:t>
      </w:r>
      <w:r w:rsidRPr="002C5A78">
        <w:rPr>
          <w:rStyle w:val="TextoNormalCaracter"/>
        </w:rPr>
        <w:t>-</w:t>
      </w:r>
      <w:r>
        <w:t xml:space="preserve"> Sentencia </w:t>
      </w:r>
      <w:hyperlink w:anchor="SENTENCIA_2021_125" w:history="1">
        <w:r w:rsidRPr="002C5A78">
          <w:rPr>
            <w:rStyle w:val="TextoNormalCaracter"/>
          </w:rPr>
          <w:t>125/2021</w:t>
        </w:r>
      </w:hyperlink>
      <w:r>
        <w:t>, ff. 1 a 6.</w:t>
      </w:r>
    </w:p>
    <w:p w:rsidR="002C5A78" w:rsidRDefault="002C5A78" w:rsidP="002C5A78">
      <w:pPr>
        <w:pStyle w:val="SangriaFrancesaArticulo"/>
      </w:pPr>
      <w:r w:rsidRPr="002C5A78">
        <w:rPr>
          <w:rStyle w:val="TextoNormalNegritaCaracter"/>
        </w:rPr>
        <w:t xml:space="preserve">Artículo 26.1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26.2.</w:t>
      </w:r>
      <w:r w:rsidRPr="002C5A78">
        <w:rPr>
          <w:rStyle w:val="TextoNormalCaracter"/>
        </w:rPr>
        <w:t>-</w:t>
      </w:r>
      <w:r>
        <w:t xml:space="preserve"> Sentencia </w:t>
      </w:r>
      <w:hyperlink w:anchor="SENTENCIA_2021_125" w:history="1">
        <w:r w:rsidRPr="002C5A78">
          <w:rPr>
            <w:rStyle w:val="TextoNormalCaracter"/>
          </w:rPr>
          <w:t>125/2021</w:t>
        </w:r>
      </w:hyperlink>
      <w:r>
        <w:t>, ff. 4, 6.</w:t>
      </w:r>
    </w:p>
    <w:p w:rsidR="002C5A78" w:rsidRDefault="002C5A78" w:rsidP="002C5A78">
      <w:pPr>
        <w:pStyle w:val="SangriaFrancesaArticulo"/>
      </w:pPr>
      <w:r w:rsidRPr="002C5A78">
        <w:rPr>
          <w:rStyle w:val="TextoNormalNegritaCaracter"/>
        </w:rPr>
        <w:t>Artículo 26.3.</w:t>
      </w:r>
      <w:r w:rsidRPr="002C5A78">
        <w:rPr>
          <w:rStyle w:val="TextoNormalCaracter"/>
        </w:rPr>
        <w:t>-</w:t>
      </w:r>
      <w:r>
        <w:t xml:space="preserve"> Sentencia </w:t>
      </w:r>
      <w:hyperlink w:anchor="SENTENCIA_2021_125" w:history="1">
        <w:r w:rsidRPr="002C5A78">
          <w:rPr>
            <w:rStyle w:val="TextoNormalCaracter"/>
          </w:rPr>
          <w:t>125/2021</w:t>
        </w:r>
      </w:hyperlink>
      <w:r>
        <w:t>, f. 6.</w:t>
      </w:r>
    </w:p>
    <w:p w:rsidR="002C5A78" w:rsidRDefault="002C5A78" w:rsidP="002C5A78">
      <w:pPr>
        <w:pStyle w:val="SangriaFrancesaArticulo"/>
      </w:pPr>
      <w:r w:rsidRPr="002C5A78">
        <w:rPr>
          <w:rStyle w:val="TextoNormalNegritaCaracter"/>
        </w:rPr>
        <w:t>Artículo 26.3 c).</w:t>
      </w:r>
      <w:r w:rsidRPr="002C5A78">
        <w:rPr>
          <w:rStyle w:val="TextoNormalCaracter"/>
        </w:rPr>
        <w:t>-</w:t>
      </w:r>
      <w:r>
        <w:t xml:space="preserve"> Sentencia </w:t>
      </w:r>
      <w:hyperlink w:anchor="SENTENCIA_2021_125" w:history="1">
        <w:r w:rsidRPr="002C5A78">
          <w:rPr>
            <w:rStyle w:val="TextoNormalCaracter"/>
          </w:rPr>
          <w:t>125/2021</w:t>
        </w:r>
      </w:hyperlink>
      <w:r>
        <w:t>, ff. 2, 4.</w:t>
      </w:r>
    </w:p>
    <w:p w:rsidR="002C5A78" w:rsidRDefault="002C5A78" w:rsidP="002C5A78">
      <w:pPr>
        <w:pStyle w:val="SangriaFrancesaArticulo"/>
      </w:pPr>
      <w:r w:rsidRPr="002C5A78">
        <w:rPr>
          <w:rStyle w:val="TextoNormalNegritaCaracter"/>
        </w:rPr>
        <w:t>Artículo 26.4.</w:t>
      </w:r>
      <w:r w:rsidRPr="002C5A78">
        <w:rPr>
          <w:rStyle w:val="TextoNormalCaracter"/>
        </w:rPr>
        <w:t>-</w:t>
      </w:r>
      <w:r>
        <w:t xml:space="preserve"> Sentencia </w:t>
      </w:r>
      <w:hyperlink w:anchor="SENTENCIA_2021_125" w:history="1">
        <w:r w:rsidRPr="002C5A78">
          <w:rPr>
            <w:rStyle w:val="TextoNormalCaracter"/>
          </w:rPr>
          <w:t>125/2021</w:t>
        </w:r>
      </w:hyperlink>
      <w:r>
        <w:t>, ff. 2, 6.</w:t>
      </w:r>
    </w:p>
    <w:p w:rsidR="002C5A78" w:rsidRDefault="002C5A78" w:rsidP="002C5A78">
      <w:pPr>
        <w:pStyle w:val="SangriaFrancesaArticulo"/>
      </w:pPr>
      <w:r w:rsidRPr="002C5A78">
        <w:rPr>
          <w:rStyle w:val="TextoNormalNegritaCaracter"/>
        </w:rPr>
        <w:t>Artículos 26 a 50 bis.</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28.2.</w:t>
      </w:r>
      <w:r w:rsidRPr="002C5A78">
        <w:rPr>
          <w:rStyle w:val="TextoNormalCaracter"/>
        </w:rPr>
        <w:t>-</w:t>
      </w:r>
      <w:r>
        <w:t xml:space="preserve"> Sentencia </w:t>
      </w:r>
      <w:hyperlink w:anchor="SENTENCIA_2021_125" w:history="1">
        <w:r w:rsidRPr="002C5A78">
          <w:rPr>
            <w:rStyle w:val="TextoNormalCaracter"/>
          </w:rPr>
          <w:t>125/2021</w:t>
        </w:r>
      </w:hyperlink>
      <w:r>
        <w:t>, ff. 2, 4 a 6.</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125" w:history="1">
        <w:r w:rsidRPr="002C5A78">
          <w:rPr>
            <w:rStyle w:val="TextoNormalCaracter"/>
          </w:rPr>
          <w:t>125/2021</w:t>
        </w:r>
      </w:hyperlink>
      <w:r>
        <w:t>, ff. 4, 5.</w:t>
      </w:r>
    </w:p>
    <w:p w:rsidR="002C5A78" w:rsidRDefault="002C5A78" w:rsidP="002C5A78">
      <w:pPr>
        <w:pStyle w:val="SangriaFrancesaArticulo"/>
      </w:pPr>
      <w:r w:rsidRPr="002C5A78">
        <w:rPr>
          <w:rStyle w:val="TextoNormalNegritaCaracter"/>
        </w:rPr>
        <w:t>Artículo 30.</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33.1.</w:t>
      </w:r>
      <w:r w:rsidRPr="002C5A78">
        <w:rPr>
          <w:rStyle w:val="TextoNormalCaracter"/>
        </w:rPr>
        <w:t>-</w:t>
      </w:r>
      <w:r>
        <w:t xml:space="preserve"> Sentencia </w:t>
      </w:r>
      <w:hyperlink w:anchor="SENTENCIA_2021_125" w:history="1">
        <w:r w:rsidRPr="002C5A78">
          <w:rPr>
            <w:rStyle w:val="TextoNormalCaracter"/>
          </w:rPr>
          <w:t>125/2021</w:t>
        </w:r>
      </w:hyperlink>
      <w:r>
        <w:t>, ff. 4, 6.</w:t>
      </w:r>
    </w:p>
    <w:p w:rsidR="002C5A78" w:rsidRDefault="002C5A78" w:rsidP="002C5A78">
      <w:pPr>
        <w:pStyle w:val="SangriaFrancesaArticulo"/>
      </w:pPr>
      <w:r w:rsidRPr="002C5A78">
        <w:rPr>
          <w:rStyle w:val="TextoNormalNegritaCaracter"/>
        </w:rPr>
        <w:t>Artículo 34 bis.</w:t>
      </w:r>
      <w:r w:rsidRPr="002C5A78">
        <w:rPr>
          <w:rStyle w:val="TextoNormalCaracter"/>
        </w:rPr>
        <w:t>-</w:t>
      </w:r>
      <w:r>
        <w:t xml:space="preserve"> Sentencia </w:t>
      </w:r>
      <w:hyperlink w:anchor="SENTENCIA_2021_125" w:history="1">
        <w:r w:rsidRPr="002C5A78">
          <w:rPr>
            <w:rStyle w:val="TextoNormalCaracter"/>
          </w:rPr>
          <w:t>125/2021</w:t>
        </w:r>
      </w:hyperlink>
      <w:r>
        <w:t>, ff. 1, 2, 7.</w:t>
      </w:r>
    </w:p>
    <w:p w:rsidR="002C5A78" w:rsidRDefault="002C5A78" w:rsidP="002C5A78">
      <w:pPr>
        <w:pStyle w:val="SangriaFrancesaArticulo"/>
      </w:pPr>
      <w:r w:rsidRPr="002C5A78">
        <w:rPr>
          <w:rStyle w:val="TextoNormalNegritaCaracter"/>
        </w:rPr>
        <w:t>Artículo 34.1.</w:t>
      </w:r>
      <w:r w:rsidRPr="002C5A78">
        <w:rPr>
          <w:rStyle w:val="TextoNormalCaracter"/>
        </w:rPr>
        <w:t>-</w:t>
      </w:r>
      <w:r>
        <w:t xml:space="preserve"> Sentencia </w:t>
      </w:r>
      <w:hyperlink w:anchor="SENTENCIA_2021_125" w:history="1">
        <w:r w:rsidRPr="002C5A78">
          <w:rPr>
            <w:rStyle w:val="TextoNormalCaracter"/>
          </w:rPr>
          <w:t>125/2021</w:t>
        </w:r>
      </w:hyperlink>
      <w:r>
        <w:t>, ff. 1, 2, 4, 6, 7.</w:t>
      </w:r>
    </w:p>
    <w:p w:rsidR="002C5A78" w:rsidRDefault="002C5A78" w:rsidP="002C5A78">
      <w:pPr>
        <w:pStyle w:val="SangriaFrancesaArticulo"/>
      </w:pPr>
      <w:r w:rsidRPr="002C5A78">
        <w:rPr>
          <w:rStyle w:val="TextoNormalNegritaCaracter"/>
        </w:rPr>
        <w:t>Artículo 34.3.</w:t>
      </w:r>
      <w:r w:rsidRPr="002C5A78">
        <w:rPr>
          <w:rStyle w:val="TextoNormalCaracter"/>
        </w:rPr>
        <w:t>-</w:t>
      </w:r>
      <w:r>
        <w:t xml:space="preserve"> Sentencia </w:t>
      </w:r>
      <w:hyperlink w:anchor="SENTENCIA_2021_125" w:history="1">
        <w:r w:rsidRPr="002C5A78">
          <w:rPr>
            <w:rStyle w:val="TextoNormalCaracter"/>
          </w:rPr>
          <w:t>125/2021</w:t>
        </w:r>
      </w:hyperlink>
      <w:r>
        <w:t>, ff. 1, 2.</w:t>
      </w:r>
    </w:p>
    <w:p w:rsidR="002C5A78" w:rsidRDefault="002C5A78" w:rsidP="002C5A78">
      <w:pPr>
        <w:pStyle w:val="SangriaFrancesaArticulo"/>
      </w:pPr>
      <w:r w:rsidRPr="002C5A78">
        <w:rPr>
          <w:rStyle w:val="TextoNormalNegritaCaracter"/>
        </w:rPr>
        <w:t>Artículo 35.</w:t>
      </w:r>
      <w:r w:rsidRPr="002C5A78">
        <w:rPr>
          <w:rStyle w:val="TextoNormalCaracter"/>
        </w:rPr>
        <w:t>-</w:t>
      </w:r>
      <w:r>
        <w:t xml:space="preserve"> Sentencia </w:t>
      </w:r>
      <w:hyperlink w:anchor="SENTENCIA_2021_125" w:history="1">
        <w:r w:rsidRPr="002C5A78">
          <w:rPr>
            <w:rStyle w:val="TextoNormalCaracter"/>
          </w:rPr>
          <w:t>125/2021</w:t>
        </w:r>
      </w:hyperlink>
      <w:r>
        <w:t>, ff. 1, 2, 4.</w:t>
      </w:r>
    </w:p>
    <w:p w:rsidR="002C5A78" w:rsidRDefault="002C5A78" w:rsidP="002C5A78">
      <w:pPr>
        <w:pStyle w:val="SangriaFrancesaArticulo"/>
      </w:pPr>
      <w:r w:rsidRPr="002C5A78">
        <w:rPr>
          <w:rStyle w:val="TextoNormalNegritaCaracter"/>
        </w:rPr>
        <w:t>Artículo 46.</w:t>
      </w:r>
      <w:r w:rsidRPr="002C5A78">
        <w:rPr>
          <w:rStyle w:val="TextoNormalCaracter"/>
        </w:rPr>
        <w:t>-</w:t>
      </w:r>
      <w:r>
        <w:t xml:space="preserve"> Sentencia </w:t>
      </w:r>
      <w:hyperlink w:anchor="SENTENCIA_2021_125" w:history="1">
        <w:r w:rsidRPr="002C5A78">
          <w:rPr>
            <w:rStyle w:val="TextoNormalCaracter"/>
          </w:rPr>
          <w:t>125/2021</w:t>
        </w:r>
      </w:hyperlink>
      <w:r>
        <w:t>, f. 2.</w:t>
      </w:r>
    </w:p>
    <w:p w:rsidR="002C5A78" w:rsidRDefault="002C5A78" w:rsidP="002C5A78">
      <w:pPr>
        <w:pStyle w:val="SangriaFrancesaArticulo"/>
      </w:pPr>
      <w:r w:rsidRPr="002C5A78">
        <w:rPr>
          <w:rStyle w:val="TextoNormalNegritaCaracter"/>
        </w:rPr>
        <w:t>Artículo 48.</w:t>
      </w:r>
      <w:r w:rsidRPr="002C5A78">
        <w:rPr>
          <w:rStyle w:val="TextoNormalCaracter"/>
        </w:rPr>
        <w:t>-</w:t>
      </w:r>
      <w:r>
        <w:t xml:space="preserve"> Sentencia </w:t>
      </w:r>
      <w:hyperlink w:anchor="SENTENCIA_2021_125" w:history="1">
        <w:r w:rsidRPr="002C5A78">
          <w:rPr>
            <w:rStyle w:val="TextoNormalCaracter"/>
          </w:rPr>
          <w:t>125/2021</w:t>
        </w:r>
      </w:hyperlink>
      <w:r>
        <w:t>, f. 4.</w:t>
      </w:r>
    </w:p>
    <w:p w:rsidR="002C5A78" w:rsidRDefault="002C5A78" w:rsidP="002C5A78">
      <w:pPr>
        <w:pStyle w:val="SangriaFrancesaArticulo"/>
      </w:pPr>
      <w:r w:rsidRPr="002C5A78">
        <w:rPr>
          <w:rStyle w:val="TextoNormalNegritaCaracter"/>
        </w:rPr>
        <w:t>Artículo 49.</w:t>
      </w:r>
      <w:r w:rsidRPr="002C5A78">
        <w:rPr>
          <w:rStyle w:val="TextoNormalCaracter"/>
        </w:rPr>
        <w:t>-</w:t>
      </w:r>
      <w:r>
        <w:t xml:space="preserve"> Sentencia </w:t>
      </w:r>
      <w:hyperlink w:anchor="SENTENCIA_2021_125" w:history="1">
        <w:r w:rsidRPr="002C5A78">
          <w:rPr>
            <w:rStyle w:val="TextoNormalCaracter"/>
          </w:rPr>
          <w:t>125/2021</w:t>
        </w:r>
      </w:hyperlink>
      <w:r>
        <w:t>, ff. 1, 4.</w:t>
      </w:r>
    </w:p>
    <w:p w:rsidR="002C5A78" w:rsidRDefault="002C5A78" w:rsidP="002C5A78">
      <w:pPr>
        <w:pStyle w:val="SangriaFrancesaArticulo"/>
      </w:pPr>
      <w:r w:rsidRPr="002C5A78">
        <w:rPr>
          <w:rStyle w:val="TextoNormalNegritaCaracter"/>
        </w:rPr>
        <w:t>Artículo 50 bis.</w:t>
      </w:r>
      <w:r w:rsidRPr="002C5A78">
        <w:rPr>
          <w:rStyle w:val="TextoNormalCaracter"/>
        </w:rPr>
        <w:t>-</w:t>
      </w:r>
      <w:r>
        <w:t xml:space="preserve"> Sentencia </w:t>
      </w:r>
      <w:hyperlink w:anchor="SENTENCIA_2021_125" w:history="1">
        <w:r w:rsidRPr="002C5A78">
          <w:rPr>
            <w:rStyle w:val="TextoNormalCaracter"/>
          </w:rPr>
          <w:t>125/2021</w:t>
        </w:r>
      </w:hyperlink>
      <w:r>
        <w:t>, ff. 1, 2.</w:t>
      </w:r>
    </w:p>
    <w:p w:rsidR="002C5A78" w:rsidRDefault="002C5A78" w:rsidP="002C5A78">
      <w:pPr>
        <w:pStyle w:val="SangriaFrancesaArticulo"/>
      </w:pPr>
    </w:p>
    <w:p w:rsidR="002C5A78" w:rsidRDefault="002C5A78" w:rsidP="002C5A78">
      <w:pPr>
        <w:pStyle w:val="TextoNormalNegritaCursivandice"/>
        <w:keepNext/>
      </w:pPr>
      <w:r>
        <w:t>Ley del Parlamento de Cataluña 18/2017, de 1 de agosto. Comercio, servicios y ferias</w:t>
      </w:r>
    </w:p>
    <w:p w:rsidR="002C5A78" w:rsidRDefault="002C5A78" w:rsidP="002C5A78">
      <w:pPr>
        <w:pStyle w:val="SangriaFrancesaArticulo"/>
      </w:pPr>
      <w:r w:rsidRPr="002C5A78">
        <w:rPr>
          <w:rStyle w:val="TextoNormalNegritaCaracter"/>
        </w:rPr>
        <w:t>Artículo 73.5.</w:t>
      </w:r>
      <w:r w:rsidRPr="002C5A78">
        <w:rPr>
          <w:rStyle w:val="TextoNormalCaracter"/>
        </w:rPr>
        <w:t>-</w:t>
      </w:r>
      <w:r>
        <w:t xml:space="preserve"> Sentencia </w:t>
      </w:r>
      <w:hyperlink w:anchor="SENTENCIA_2021_13" w:history="1">
        <w:r w:rsidRPr="002C5A78">
          <w:rPr>
            <w:rStyle w:val="TextoNormalCaracter"/>
          </w:rPr>
          <w:t>13/2021</w:t>
        </w:r>
      </w:hyperlink>
      <w:r>
        <w:t>, VP II.</w:t>
      </w:r>
    </w:p>
    <w:p w:rsidR="002C5A78" w:rsidRDefault="002C5A78" w:rsidP="002C5A78">
      <w:pPr>
        <w:pStyle w:val="SangriaFrancesaArticulo"/>
      </w:pPr>
    </w:p>
    <w:p w:rsidR="002C5A78" w:rsidRDefault="002C5A78" w:rsidP="002C5A78">
      <w:pPr>
        <w:pStyle w:val="TextoNormalNegritaCursivandice"/>
        <w:keepNext/>
      </w:pPr>
      <w:r>
        <w:t>Comunidad Autónoma de Cataluña. Ley 19/2017, de 6 de septiembre, del referéndum de autodeterminación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Comunidad Autónoma de Cataluña. Ley 20/2017, de 8 de septiembre, de transitoriedad jurídica y fundacional de la República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Decreto-ley de la Generalitat de Cataluña 5/2019, de 5 de marzo. Medidas urgentes para mejorar el acceso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Decreto-ley 17/2019, de 23 de diciembre, de medidas urgentes para mejorar el acceso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ff. 1, 3 a 6, 9.</w:t>
      </w:r>
    </w:p>
    <w:p w:rsidR="002C5A78" w:rsidRDefault="002C5A78" w:rsidP="002C5A78">
      <w:pPr>
        <w:pStyle w:val="SangriaFrancesaArticulo"/>
      </w:pPr>
      <w:r w:rsidRPr="002C5A78">
        <w:rPr>
          <w:rStyle w:val="TextoNormalNegritaCaracter"/>
        </w:rPr>
        <w:t>Exposición de motivos.</w:t>
      </w:r>
      <w:r w:rsidRPr="002C5A78">
        <w:rPr>
          <w:rStyle w:val="TextoNormalCaracter"/>
        </w:rPr>
        <w:t>-</w:t>
      </w:r>
      <w:r>
        <w:t xml:space="preserve"> Sentencia </w:t>
      </w:r>
      <w:hyperlink w:anchor="SENTENCIA_2021_16" w:history="1">
        <w:r w:rsidRPr="002C5A78">
          <w:rPr>
            <w:rStyle w:val="TextoNormalCaracter"/>
          </w:rPr>
          <w:t>16/2021</w:t>
        </w:r>
      </w:hyperlink>
      <w:r>
        <w:t>, ff. 3, 5, 9.</w:t>
      </w:r>
    </w:p>
    <w:p w:rsidR="002C5A78" w:rsidRDefault="002C5A78" w:rsidP="002C5A78">
      <w:pPr>
        <w:pStyle w:val="SangriaFrancesaArticulo"/>
      </w:pPr>
      <w:r w:rsidRPr="002C5A78">
        <w:rPr>
          <w:rStyle w:val="TextoNormalNegritaCaracter"/>
        </w:rPr>
        <w:t>Exposición de motivos, apartado I.</w:t>
      </w:r>
      <w:r w:rsidRPr="002C5A78">
        <w:rPr>
          <w:rStyle w:val="TextoNormalCaracter"/>
        </w:rPr>
        <w:t>-</w:t>
      </w:r>
      <w:r>
        <w:t xml:space="preserve"> Sentencia </w:t>
      </w:r>
      <w:hyperlink w:anchor="SENTENCIA_2021_16" w:history="1">
        <w:r w:rsidRPr="002C5A78">
          <w:rPr>
            <w:rStyle w:val="TextoNormalCaracter"/>
          </w:rPr>
          <w:t>16/2021</w:t>
        </w:r>
      </w:hyperlink>
      <w:r>
        <w:t>, f. 3.</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16" w:history="1">
        <w:r w:rsidRPr="002C5A78">
          <w:rPr>
            <w:rStyle w:val="TextoNormalCaracter"/>
          </w:rPr>
          <w:t>16/2021</w:t>
        </w:r>
      </w:hyperlink>
      <w:r>
        <w:t>, ff. 1, 4 a 6.</w:t>
      </w:r>
    </w:p>
    <w:p w:rsidR="002C5A78" w:rsidRDefault="002C5A78" w:rsidP="002C5A78">
      <w:pPr>
        <w:pStyle w:val="SangriaFrancesaArticulo"/>
      </w:pPr>
      <w:r w:rsidRPr="002C5A78">
        <w:rPr>
          <w:rStyle w:val="TextoNormalNegritaCaracter"/>
        </w:rPr>
        <w:t>Artículo 2.1</w:t>
      </w:r>
      <w:r>
        <w:t xml:space="preserve"> (redactado por el Decreto-ley 1/2020, de 21 de enero)</w:t>
      </w:r>
      <w:r w:rsidRPr="002C5A78">
        <w:rPr>
          <w:rStyle w:val="TextoNormalNegritaCaracter"/>
        </w:rPr>
        <w:t>.</w:t>
      </w:r>
      <w:r w:rsidRPr="002C5A78">
        <w:rPr>
          <w:rStyle w:val="TextoNormalCaracter"/>
        </w:rPr>
        <w:t>-</w:t>
      </w:r>
      <w:r>
        <w:t xml:space="preserve"> Sentencia </w:t>
      </w:r>
      <w:hyperlink w:anchor="SENTENCIA_2021_16" w:history="1">
        <w:r w:rsidRPr="002C5A78">
          <w:rPr>
            <w:rStyle w:val="TextoNormalCaracter"/>
          </w:rPr>
          <w:t>16/2021</w:t>
        </w:r>
      </w:hyperlink>
      <w:r>
        <w:t>, ff. 1, 5.</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2.5.</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Artículo 2.10.</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Artículo 2.11.</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2.11 inciso "sin perjuicio del supuesto a que hace referencia el artículo 42.6".</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2.12.</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Artículo 4.5 inciso "y del apartado 2 de la disposición adicional primera".</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4.6.</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 </w:t>
      </w:r>
      <w:hyperlink w:anchor="SENTENCIA_2021_16" w:history="1">
        <w:r w:rsidRPr="002C5A78">
          <w:rPr>
            <w:rStyle w:val="TextoNormalCaracter"/>
          </w:rPr>
          <w:t>16/2021</w:t>
        </w:r>
      </w:hyperlink>
      <w:r>
        <w:t>, f. 6.</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Artículo 5.7.</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Artículo 6.3.</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6.6.</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8.4.</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8.5.</w:t>
      </w:r>
      <w:r w:rsidRPr="002C5A78">
        <w:rPr>
          <w:rStyle w:val="TextoNormalCaracter"/>
        </w:rPr>
        <w:t>-</w:t>
      </w:r>
      <w:r>
        <w:t xml:space="preserve"> Sentencia </w:t>
      </w:r>
      <w:hyperlink w:anchor="SENTENCIA_2021_16" w:history="1">
        <w:r w:rsidRPr="002C5A78">
          <w:rPr>
            <w:rStyle w:val="TextoNormalCaracter"/>
          </w:rPr>
          <w:t>16/2021</w:t>
        </w:r>
      </w:hyperlink>
      <w:r>
        <w:t>, f. 7.</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16" w:history="1">
        <w:r w:rsidRPr="002C5A78">
          <w:rPr>
            <w:rStyle w:val="TextoNormalCaracter"/>
          </w:rPr>
          <w:t>16/2021</w:t>
        </w:r>
      </w:hyperlink>
      <w:r>
        <w:t>, f. 4.</w:t>
      </w:r>
    </w:p>
    <w:p w:rsidR="002C5A78" w:rsidRDefault="002C5A78" w:rsidP="002C5A78">
      <w:pPr>
        <w:pStyle w:val="SangriaFrancesaArticulo"/>
      </w:pPr>
      <w:r w:rsidRPr="002C5A78">
        <w:rPr>
          <w:rStyle w:val="TextoNormalNegritaCaracter"/>
        </w:rPr>
        <w:t>Artículo 13.2.</w:t>
      </w:r>
      <w:r w:rsidRPr="002C5A78">
        <w:rPr>
          <w:rStyle w:val="TextoNormalCaracter"/>
        </w:rPr>
        <w:t>-</w:t>
      </w:r>
      <w:r>
        <w:t xml:space="preserve"> Sentencia </w:t>
      </w:r>
      <w:hyperlink w:anchor="SENTENCIA_2021_16" w:history="1">
        <w:r w:rsidRPr="002C5A78">
          <w:rPr>
            <w:rStyle w:val="TextoNormalCaracter"/>
          </w:rPr>
          <w:t>16/2021</w:t>
        </w:r>
      </w:hyperlink>
      <w:r>
        <w:t>, f. 8.</w:t>
      </w:r>
    </w:p>
    <w:p w:rsidR="002C5A78" w:rsidRDefault="002C5A78" w:rsidP="002C5A78">
      <w:pPr>
        <w:pStyle w:val="SangriaFrancesaArticulo"/>
      </w:pPr>
      <w:r w:rsidRPr="002C5A78">
        <w:rPr>
          <w:rStyle w:val="TextoNormalNegritaCaracter"/>
        </w:rPr>
        <w:t>Disposición transitoria primera.</w:t>
      </w:r>
      <w:r w:rsidRPr="002C5A78">
        <w:rPr>
          <w:rStyle w:val="TextoNormalCaracter"/>
        </w:rPr>
        <w:t>-</w:t>
      </w:r>
      <w:r>
        <w:t xml:space="preserve"> Sentencia </w:t>
      </w:r>
      <w:hyperlink w:anchor="SENTENCIA_2021_16" w:history="1">
        <w:r w:rsidRPr="002C5A78">
          <w:rPr>
            <w:rStyle w:val="TextoNormalCaracter"/>
          </w:rPr>
          <w:t>16/2021</w:t>
        </w:r>
      </w:hyperlink>
      <w:r>
        <w:t>, ff. 5, 6.</w:t>
      </w:r>
    </w:p>
    <w:p w:rsidR="002C5A78" w:rsidRDefault="002C5A78" w:rsidP="002C5A78">
      <w:pPr>
        <w:pStyle w:val="SangriaFrancesaArticulo"/>
      </w:pPr>
    </w:p>
    <w:p w:rsidR="002C5A78" w:rsidRDefault="002C5A78" w:rsidP="002C5A78">
      <w:pPr>
        <w:pStyle w:val="TextoNormalNegritaCursivandice"/>
        <w:keepNext/>
      </w:pPr>
      <w:r>
        <w:t>Decreto-ley de la Generalitat de Cataluña 1/2020, de 21 de enero. Modifica el Decreto-ley 17/2019, de 23 de diciembre, de medidas urgentes para mejorar el acceso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ff. 1, 2.</w:t>
      </w:r>
    </w:p>
    <w:p w:rsidR="002C5A78" w:rsidRDefault="002C5A78" w:rsidP="002C5A78">
      <w:pPr>
        <w:pStyle w:val="SangriaFrancesaArticulo"/>
      </w:pPr>
      <w:r w:rsidRPr="002C5A78">
        <w:rPr>
          <w:rStyle w:val="TextoNormalNegritaCaracter"/>
        </w:rPr>
        <w:t>Exposición de motivos.</w:t>
      </w:r>
      <w:r w:rsidRPr="002C5A78">
        <w:rPr>
          <w:rStyle w:val="TextoNormalCaracter"/>
        </w:rPr>
        <w:t>-</w:t>
      </w:r>
      <w:r>
        <w:t xml:space="preserve"> Sentencia </w:t>
      </w:r>
      <w:hyperlink w:anchor="SENTENCIA_2021_16" w:history="1">
        <w:r w:rsidRPr="002C5A78">
          <w:rPr>
            <w:rStyle w:val="TextoNormalCaracter"/>
          </w:rPr>
          <w:t>16/2021</w:t>
        </w:r>
      </w:hyperlink>
      <w:r>
        <w:t>, f. 1.</w:t>
      </w:r>
    </w:p>
    <w:p w:rsidR="002C5A78" w:rsidRDefault="002C5A78" w:rsidP="002C5A78">
      <w:pPr>
        <w:pStyle w:val="SangriaFrancesaArticulo"/>
      </w:pPr>
      <w:r w:rsidRPr="002C5A78">
        <w:rPr>
          <w:rStyle w:val="TextoNormalNegritaCaracter"/>
        </w:rPr>
        <w:t>Artículo único.</w:t>
      </w:r>
      <w:r w:rsidRPr="002C5A78">
        <w:rPr>
          <w:rStyle w:val="TextoNormalCaracter"/>
        </w:rPr>
        <w:t>-</w:t>
      </w:r>
      <w:r>
        <w:t xml:space="preserve"> Sentencia </w:t>
      </w:r>
      <w:hyperlink w:anchor="SENTENCIA_2021_16" w:history="1">
        <w:r w:rsidRPr="002C5A78">
          <w:rPr>
            <w:rStyle w:val="TextoNormalCaracter"/>
          </w:rPr>
          <w:t>16/2021</w:t>
        </w:r>
      </w:hyperlink>
      <w:r>
        <w:t>, ff. 1, 5.</w:t>
      </w:r>
    </w:p>
    <w:p w:rsidR="002C5A78" w:rsidRDefault="002C5A78" w:rsidP="002C5A78">
      <w:pPr>
        <w:pStyle w:val="SangriaFrancesaArticulo"/>
      </w:pPr>
    </w:p>
    <w:p w:rsidR="002C5A78" w:rsidRDefault="002C5A78" w:rsidP="002C5A78">
      <w:pPr>
        <w:pStyle w:val="TextoNormalNegritaCursivandice"/>
        <w:keepNext/>
      </w:pPr>
      <w:r>
        <w:t>Resolución del Parlamento de Cataluña 751/XII, de 4 de marzo de 2020, de convalidación del Decreto-ley 1/2020, de 21 de enero, por el que se modifica el Decreto-ley 17/2019, de 23 de diciembre, de medidas urgentes para mejorar el acceso a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ff. 1, 2.</w:t>
      </w:r>
    </w:p>
    <w:p w:rsidR="002C5A78" w:rsidRDefault="002C5A78" w:rsidP="002C5A78">
      <w:pPr>
        <w:pStyle w:val="SangriaFrancesaArticulo"/>
      </w:pPr>
    </w:p>
    <w:p w:rsidR="002C5A78" w:rsidRDefault="002C5A78" w:rsidP="002C5A78">
      <w:pPr>
        <w:pStyle w:val="TextoNormalNegritaCursivandice"/>
        <w:keepNext/>
      </w:pPr>
      <w:r>
        <w:t>Ley del Parlamento de Cataluña 4/2020, de 29 de abril. Presupuestos de la Generalidad de Cataluña para 2020</w:t>
      </w:r>
    </w:p>
    <w:p w:rsidR="002C5A78" w:rsidRDefault="002C5A78" w:rsidP="002C5A78">
      <w:pPr>
        <w:pStyle w:val="SangriaFrancesaArticulo"/>
      </w:pPr>
      <w:r w:rsidRPr="002C5A78">
        <w:rPr>
          <w:rStyle w:val="TextoNormalNegritaCaracter"/>
        </w:rPr>
        <w:t>Disposición adicional decimoséptima.</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Comunidad Autónoma de Cataluña. Ley 5/2020, de 29 de abril, de medidas fiscales, financieras, administrativas y del sector público y de creación del impuesto sobre las instalaciones que inciden en el medio ambiente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5" w:history="1">
        <w:r w:rsidRPr="002C5A78">
          <w:rPr>
            <w:rStyle w:val="TextoNormalCaracter"/>
          </w:rPr>
          <w:t>125/2021</w:t>
        </w:r>
      </w:hyperlink>
      <w:r>
        <w:t>, f. 2.</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125" w:history="1">
        <w:r w:rsidRPr="002C5A78">
          <w:rPr>
            <w:rStyle w:val="TextoNormalCaracter"/>
          </w:rPr>
          <w:t>125/2021</w:t>
        </w:r>
      </w:hyperlink>
      <w:r>
        <w:t>, ff. 1, 2.</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 </w:t>
      </w:r>
      <w:hyperlink w:anchor="SENTENCIA_2021_125" w:history="1">
        <w:r w:rsidRPr="002C5A78">
          <w:rPr>
            <w:rStyle w:val="TextoNormalCaracter"/>
          </w:rPr>
          <w:t>125/2021</w:t>
        </w:r>
      </w:hyperlink>
      <w:r>
        <w:t>, ff. 1, 2, 7.</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 </w:t>
      </w:r>
      <w:hyperlink w:anchor="SENTENCIA_2021_125" w:history="1">
        <w:r w:rsidRPr="002C5A78">
          <w:rPr>
            <w:rStyle w:val="TextoNormalCaracter"/>
          </w:rPr>
          <w:t>125/2021</w:t>
        </w:r>
      </w:hyperlink>
      <w:r>
        <w:t>, ff. 1, 2.</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125" w:history="1">
        <w:r w:rsidRPr="002C5A78">
          <w:rPr>
            <w:rStyle w:val="TextoNormalCaracter"/>
          </w:rPr>
          <w:t>125/2021</w:t>
        </w:r>
      </w:hyperlink>
      <w:r>
        <w:t>, ff. 1, 2, 6.</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 </w:t>
      </w:r>
      <w:hyperlink w:anchor="SENTENCIA_2021_125" w:history="1">
        <w:r w:rsidRPr="002C5A78">
          <w:rPr>
            <w:rStyle w:val="TextoNormalCaracter"/>
          </w:rPr>
          <w:t>125/2021</w:t>
        </w:r>
      </w:hyperlink>
      <w:r>
        <w:t>, ff. 1, 2, 7.</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 </w:t>
      </w:r>
      <w:hyperlink w:anchor="SENTENCIA_2021_125" w:history="1">
        <w:r w:rsidRPr="002C5A78">
          <w:rPr>
            <w:rStyle w:val="TextoNormalCaracter"/>
          </w:rPr>
          <w:t>125/2021</w:t>
        </w:r>
      </w:hyperlink>
      <w:r>
        <w:t>, ff. 1, 2.</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 </w:t>
      </w:r>
      <w:hyperlink w:anchor="SENTENCIA_2021_125" w:history="1">
        <w:r w:rsidRPr="002C5A78">
          <w:rPr>
            <w:rStyle w:val="TextoNormalCaracter"/>
          </w:rPr>
          <w:t>125/2021</w:t>
        </w:r>
      </w:hyperlink>
      <w:r>
        <w:t>, ff. 1, 2.</w:t>
      </w:r>
    </w:p>
    <w:p w:rsidR="002C5A78" w:rsidRDefault="002C5A78" w:rsidP="002C5A78">
      <w:pPr>
        <w:pStyle w:val="SangriaFrancesaArticulo"/>
      </w:pPr>
    </w:p>
    <w:p w:rsidR="002C5A78" w:rsidRDefault="002C5A78" w:rsidP="002C5A78">
      <w:pPr>
        <w:pStyle w:val="TextoNormalNegritaCursivandice"/>
        <w:keepNext/>
      </w:pPr>
      <w:r>
        <w:t>Decreto-ley de la Generalitat de Cataluña 23/2020, de 9 de junio. Medidas urgentes en materia tributaria</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25" w:history="1">
        <w:r w:rsidRPr="002C5A78">
          <w:rPr>
            <w:rStyle w:val="TextoNormalCaracter"/>
          </w:rPr>
          <w:t>125/2021</w:t>
        </w:r>
      </w:hyperlink>
      <w:r>
        <w:t>, f. 1.</w:t>
      </w:r>
    </w:p>
    <w:p w:rsidR="002C5A78" w:rsidRDefault="002C5A78" w:rsidP="002C5A78">
      <w:pPr>
        <w:pStyle w:val="SangriaFrancesaArticulo"/>
      </w:pPr>
    </w:p>
    <w:p w:rsidR="002C5A78" w:rsidRDefault="002C5A78" w:rsidP="002C5A78">
      <w:pPr>
        <w:pStyle w:val="TextoNormalNegritaCursivandice"/>
        <w:keepNext/>
      </w:pPr>
      <w:r>
        <w:t>Decreto-ley de la Generalitat de Cataluña 36/2020, de 3 de noviembre. Medidas urgentes en el ámbito del impuesto sobre las estancias en establecimientos turísticos y del impuesto sobre la renta de las personas físicas</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25" w:history="1">
        <w:r w:rsidRPr="002C5A78">
          <w:rPr>
            <w:rStyle w:val="TextoNormalCaracter"/>
          </w:rPr>
          <w:t>125/2021</w:t>
        </w:r>
      </w:hyperlink>
      <w:r>
        <w:t>, f. 1.</w:t>
      </w:r>
    </w:p>
    <w:p w:rsidR="002C5A78" w:rsidRDefault="002C5A78" w:rsidP="002C5A78">
      <w:pPr>
        <w:pStyle w:val="SangriaFrancesaArticulo"/>
      </w:pPr>
    </w:p>
    <w:p w:rsidR="002C5A78" w:rsidRDefault="002C5A78" w:rsidP="002C5A78">
      <w:pPr>
        <w:pStyle w:val="TextoNormalNegritaCursivandice"/>
        <w:keepNext/>
      </w:pPr>
      <w:r>
        <w:t>Comunidad Autónoma de Cataluña. Decreto-ley 37/2020, de 3 de noviembre, de refuerzo de la protección del derecho a la vivienda ante los efectos de la pandemia de la Covid-19</w:t>
      </w:r>
    </w:p>
    <w:p w:rsidR="002C5A78" w:rsidRDefault="002C5A78" w:rsidP="002C5A78">
      <w:pPr>
        <w:pStyle w:val="SangriaFrancesaArticulo"/>
      </w:pPr>
      <w:r w:rsidRPr="002C5A78">
        <w:rPr>
          <w:rStyle w:val="TextoNormalNegritaCaracter"/>
        </w:rPr>
        <w:t>Artículo único.</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Comunidad Autónoma de Cataluña. Decreto-ley 12/2021, de 18 de mayo, relativo al impuesto sobre las estancias en establecimientos turísticos</w:t>
      </w:r>
    </w:p>
    <w:p w:rsidR="002C5A78" w:rsidRDefault="002C5A78" w:rsidP="002C5A78">
      <w:pPr>
        <w:pStyle w:val="SangriaFrancesaArticulo"/>
      </w:pPr>
      <w:r w:rsidRPr="002C5A78">
        <w:rPr>
          <w:rStyle w:val="TextoNormalNegritaCaracter"/>
        </w:rPr>
        <w:t>Artículo único.</w:t>
      </w:r>
      <w:r w:rsidRPr="002C5A78">
        <w:rPr>
          <w:rStyle w:val="TextoNormalCaracter"/>
        </w:rPr>
        <w:t>-</w:t>
      </w:r>
      <w:r>
        <w:t xml:space="preserve"> Sentencia </w:t>
      </w:r>
      <w:hyperlink w:anchor="SENTENCIA_2021_125" w:history="1">
        <w:r w:rsidRPr="002C5A78">
          <w:rPr>
            <w:rStyle w:val="TextoNormalCaracter"/>
          </w:rPr>
          <w:t>125/2021</w:t>
        </w:r>
      </w:hyperlink>
      <w:r>
        <w:t>, f. 1.</w:t>
      </w:r>
    </w:p>
    <w:p w:rsidR="002C5A78" w:rsidRDefault="002C5A78" w:rsidP="002C5A78">
      <w:pPr>
        <w:pStyle w:val="TextoNormal"/>
      </w:pPr>
    </w:p>
    <w:p w:rsidR="002C5A78" w:rsidRDefault="002C5A78" w:rsidP="002C5A78">
      <w:pPr>
        <w:pStyle w:val="TextoNormalNegritaCentradoSubrayado"/>
        <w:suppressAutoHyphens/>
      </w:pPr>
      <w:r>
        <w:t>J.8.c) Decretos y otras disposiciones reglamentarias</w:t>
      </w:r>
    </w:p>
    <w:p w:rsidR="002C5A78" w:rsidRDefault="002C5A78" w:rsidP="002C5A78">
      <w:pPr>
        <w:pStyle w:val="TextoNormalNegritaCentradoSubrayado"/>
      </w:pPr>
    </w:p>
    <w:p w:rsidR="002C5A78" w:rsidRDefault="002C5A78" w:rsidP="002C5A78">
      <w:pPr>
        <w:pStyle w:val="TextoNormalNegritaCursivandice"/>
        <w:keepNext/>
      </w:pPr>
      <w:r>
        <w:t>Comunidad Autónoma de Cataluña. Decreto 139/2017, de 6 de septiembre, de convocatoria del referéndum de autodeterminación de Cataluña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Decreto 140/2017, de 7 de septiembre, de normas complementarias para la realización del referéndum de autodeterminación de Cataluña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TextoNormal"/>
      </w:pPr>
    </w:p>
    <w:p w:rsidR="002C5A78" w:rsidRDefault="002C5A78" w:rsidP="002C5A78">
      <w:pPr>
        <w:pStyle w:val="TextoNormalNegritaCentradoSubrayado"/>
        <w:suppressAutoHyphens/>
      </w:pPr>
      <w:r>
        <w:t>J.8.d) Normas parlamentarias autonómicas</w:t>
      </w:r>
    </w:p>
    <w:p w:rsidR="002C5A78" w:rsidRDefault="002C5A78" w:rsidP="002C5A78">
      <w:pPr>
        <w:pStyle w:val="TextoNormalNegritaCentradoSubrayado"/>
      </w:pPr>
    </w:p>
    <w:p w:rsidR="002C5A78" w:rsidRDefault="002C5A78" w:rsidP="002C5A78">
      <w:pPr>
        <w:pStyle w:val="TextoNormalNegritaCursivandice"/>
        <w:keepNext/>
      </w:pPr>
      <w:r>
        <w:t>Comunidad Autónoma de Cataluña. Acuerdo del Pleno del Parlamento de Cataluña de 22 de diciembre de 2005, que aprueba el Reglamento del Parlamento de Cataluña</w:t>
      </w:r>
    </w:p>
    <w:p w:rsidR="002C5A78" w:rsidRDefault="002C5A78" w:rsidP="002C5A78">
      <w:pPr>
        <w:pStyle w:val="SangriaFrancesaArticulo"/>
      </w:pPr>
      <w:r w:rsidRPr="002C5A78">
        <w:rPr>
          <w:rStyle w:val="TextoNormalNegritaCaracter"/>
        </w:rPr>
        <w:t>Artículo 24 d).</w:t>
      </w:r>
      <w:r w:rsidRPr="002C5A78">
        <w:rPr>
          <w:rStyle w:val="TextoNormalCaracter"/>
        </w:rPr>
        <w:t>-</w:t>
      </w:r>
      <w:r>
        <w:t xml:space="preserve"> Sentencia </w:t>
      </w:r>
      <w:hyperlink w:anchor="SENTENCIA_2021_34" w:history="1">
        <w:r w:rsidRPr="002C5A78">
          <w:rPr>
            <w:rStyle w:val="TextoNormalCaracter"/>
          </w:rPr>
          <w:t>34/2021</w:t>
        </w:r>
      </w:hyperlink>
      <w:r>
        <w:t>, f. 4.</w:t>
      </w:r>
    </w:p>
    <w:p w:rsidR="002C5A78" w:rsidRDefault="002C5A78" w:rsidP="002C5A78">
      <w:pPr>
        <w:pStyle w:val="SangriaFrancesaArticulo"/>
      </w:pPr>
    </w:p>
    <w:p w:rsidR="002C5A78" w:rsidRDefault="002C5A78" w:rsidP="002C5A78">
      <w:pPr>
        <w:pStyle w:val="TextoNormalNegritaCursivandice"/>
        <w:keepNext/>
      </w:pPr>
      <w:r>
        <w:t>Comunidad Autónoma de Cataluña. Resolución del Parlamento de Cataluña 1/XI, de 9 de noviembre de 2015, sobre el inicio del proceso político en Cataluña como consecuencia de los resultados electorales del 27 de septiembre de 2015</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Resolución del Parlamento de Cataluña 5/XI, de 20 de enero de 2016, de creación de comisiones parlamentarias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Resolución del Parlamento de Cataluña 263/XI, de 27 de julio de 2016, por la que se ratifican el informe y las conclusiones de la comisión de estudio del proceso constituyente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Resolución del Parlamento de Cataluña 306/XI, de 6 de octubre de 2016, sobre la orientación política general del Gobierno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Acuerdo del Pleno del Parlamento de Cataluña de 26 de julio de 2017, de reforma parcial del Reglamento del Parlamento de Cataluña</w:t>
      </w:r>
    </w:p>
    <w:p w:rsidR="002C5A78" w:rsidRDefault="002C5A78" w:rsidP="002C5A78">
      <w:pPr>
        <w:pStyle w:val="SangriaFrancesaArticulo"/>
      </w:pPr>
      <w:r w:rsidRPr="002C5A78">
        <w:rPr>
          <w:rStyle w:val="TextoNormalNegritaCaracter"/>
        </w:rPr>
        <w:t>Artículo 24 d).</w:t>
      </w:r>
      <w:r w:rsidRPr="002C5A78">
        <w:rPr>
          <w:rStyle w:val="TextoNormalCaracter"/>
        </w:rPr>
        <w:t>-</w:t>
      </w:r>
      <w:r>
        <w:t xml:space="preserve"> Sentencias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Comunidad Autónoma de Cataluña. Resolución del Parlamento de Cataluña 807/XI, de 7 de septiembre de 2017, por la que se designan cinco síndicos de la sindicatura electoral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Resolución del Parlamento de Cataluña, de 27 de octubre de 2017, denominada "Declaración de los representantes de Cataluña"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Resolución del Parlamento de Cataluña, de 27 de octubre de 2017, denominada "Proceso constituyente"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f. 3; </w:t>
      </w:r>
      <w:hyperlink w:anchor="SENTENCIA_2021_122" w:history="1">
        <w:r w:rsidRPr="002C5A78">
          <w:rPr>
            <w:rStyle w:val="TextoNormalCaracter"/>
          </w:rPr>
          <w:t>122/2021</w:t>
        </w:r>
      </w:hyperlink>
      <w:r>
        <w:t>, f. 3.</w:t>
      </w:r>
    </w:p>
    <w:p w:rsidR="002C5A78" w:rsidRDefault="002C5A78" w:rsidP="002C5A78">
      <w:pPr>
        <w:pStyle w:val="SangriaFrancesaArticulo"/>
      </w:pPr>
    </w:p>
    <w:p w:rsidR="002C5A78" w:rsidRDefault="002C5A78" w:rsidP="002C5A78">
      <w:pPr>
        <w:pStyle w:val="TextoNormalNegritaCursivandice"/>
        <w:keepNext/>
      </w:pPr>
      <w:r>
        <w:t>Comunidad Autónoma de Cataluña. Acuerdo de la mesa del Parlamento de Cataluña de 20 de febrero de 2018, por el que se aprueba el texto refundido del Reglamento del Parlamento de Cataluña</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24 d).</w:t>
      </w:r>
      <w:r w:rsidRPr="002C5A78">
        <w:rPr>
          <w:rStyle w:val="TextoNormalCaracter"/>
        </w:rPr>
        <w:t>-</w:t>
      </w:r>
      <w:r>
        <w:t xml:space="preserve"> Sentencias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37.3 d).</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37.3 e).</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r w:rsidRPr="002C5A78">
        <w:rPr>
          <w:rStyle w:val="TextoNormalNegritaCaracter"/>
        </w:rPr>
        <w:t>Artículo 158.1.</w:t>
      </w:r>
      <w:r w:rsidRPr="002C5A78">
        <w:rPr>
          <w:rStyle w:val="TextoNormalCaracter"/>
        </w:rPr>
        <w:t>-</w:t>
      </w:r>
      <w:r>
        <w:t xml:space="preserve"> Sentencia </w:t>
      </w:r>
      <w:hyperlink w:anchor="SENTENCIA_2021_16" w:history="1">
        <w:r w:rsidRPr="002C5A78">
          <w:rPr>
            <w:rStyle w:val="TextoNormalCaracter"/>
          </w:rPr>
          <w:t>16/2021</w:t>
        </w:r>
      </w:hyperlink>
      <w:r>
        <w:t>, f. 2.</w:t>
      </w:r>
    </w:p>
    <w:p w:rsidR="002C5A78" w:rsidRDefault="002C5A78" w:rsidP="002C5A78">
      <w:pPr>
        <w:pStyle w:val="SangriaFrancesaArticulo"/>
      </w:pPr>
    </w:p>
    <w:p w:rsidR="002C5A78" w:rsidRDefault="002C5A78" w:rsidP="002C5A78">
      <w:pPr>
        <w:pStyle w:val="TextoNormalNegritaCursivandice"/>
        <w:keepNext/>
      </w:pPr>
      <w:r>
        <w:t>Acuerdos de 14 y de 27 de enero de 2020 de la mesa del Parlamento de Cataluña. Decisión del presidente de la misma cámara legislativa catalana 12 de febrero de 2020.</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6" w:history="1">
        <w:r w:rsidRPr="002C5A78">
          <w:rPr>
            <w:rStyle w:val="TextoNormalCaracter"/>
          </w:rPr>
          <w:t>66/2021</w:t>
        </w:r>
      </w:hyperlink>
      <w:r>
        <w:t>, f. 1.</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J.9) Extremadura</w:t>
      </w:r>
    </w:p>
    <w:p w:rsidR="002C5A78" w:rsidRDefault="002C5A78" w:rsidP="002C5A78">
      <w:pPr>
        <w:pStyle w:val="TextoNormal"/>
      </w:pPr>
    </w:p>
    <w:p w:rsidR="002C5A78" w:rsidRDefault="002C5A78" w:rsidP="002C5A78">
      <w:pPr>
        <w:pStyle w:val="TextoNormalNegritaCentradoSubrayado"/>
        <w:suppressAutoHyphens/>
      </w:pPr>
      <w:r>
        <w:t>J.9.a)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1/2011, de 28 de enero. Reforma del Estatuto de Autonomía de la Comunidad Autónoma de Extremadura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2" w:history="1">
        <w:r w:rsidRPr="002C5A78">
          <w:rPr>
            <w:rStyle w:val="TextoNormalCaracter"/>
          </w:rPr>
          <w:t>72/2021</w:t>
        </w:r>
      </w:hyperlink>
      <w:r>
        <w:t>, f. 2.</w:t>
      </w:r>
    </w:p>
    <w:p w:rsidR="002C5A78" w:rsidRDefault="002C5A78" w:rsidP="002C5A78">
      <w:pPr>
        <w:pStyle w:val="SangriaFrancesaArticulo"/>
      </w:pPr>
      <w:r w:rsidRPr="002C5A78">
        <w:rPr>
          <w:rStyle w:val="TextoNormalNegritaCaracter"/>
        </w:rPr>
        <w:t>Artículo 9.1.5.</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9.1.18.</w:t>
      </w:r>
      <w:r w:rsidRPr="002C5A78">
        <w:rPr>
          <w:rStyle w:val="TextoNormalCaracter"/>
        </w:rPr>
        <w:t>-</w:t>
      </w:r>
      <w:r>
        <w:t xml:space="preserve"> Sentencia </w:t>
      </w:r>
      <w:hyperlink w:anchor="SENTENCIA_2021_72" w:history="1">
        <w:r w:rsidRPr="002C5A78">
          <w:rPr>
            <w:rStyle w:val="TextoNormalCaracter"/>
          </w:rPr>
          <w:t>72/2021</w:t>
        </w:r>
      </w:hyperlink>
      <w:r>
        <w:t>, ff. 1, 3.</w:t>
      </w:r>
    </w:p>
    <w:p w:rsidR="002C5A78" w:rsidRDefault="002C5A78" w:rsidP="002C5A78">
      <w:pPr>
        <w:pStyle w:val="SangriaFrancesaArticulo"/>
      </w:pPr>
      <w:r w:rsidRPr="002C5A78">
        <w:rPr>
          <w:rStyle w:val="TextoNormalNegritaCaracter"/>
        </w:rPr>
        <w:t>Artículo 9.4.</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TextoNormal"/>
      </w:pPr>
    </w:p>
    <w:p w:rsidR="002C5A78" w:rsidRDefault="002C5A78" w:rsidP="002C5A78">
      <w:pPr>
        <w:pStyle w:val="TextoNormalNegritaCentradoSubrayado"/>
        <w:suppressAutoHyphens/>
      </w:pPr>
      <w:r>
        <w:t>J.9.b)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Comunidad Autónoma de Extremadura. Ley 2/2017, de 17 de febrero, de emergencia social de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Ley 6/2019, de 20 de febrero. Estatuto de las personas consumidoras de Extremadura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2" w:history="1">
        <w:r w:rsidRPr="002C5A78">
          <w:rPr>
            <w:rStyle w:val="TextoNormalCaracter"/>
          </w:rPr>
          <w:t>72/2021</w:t>
        </w:r>
      </w:hyperlink>
      <w:r>
        <w:t>, f. 3.</w:t>
      </w:r>
    </w:p>
    <w:p w:rsidR="002C5A78" w:rsidRDefault="002C5A78" w:rsidP="002C5A78">
      <w:pPr>
        <w:pStyle w:val="SangriaFrancesaArticulo"/>
      </w:pPr>
      <w:r w:rsidRPr="002C5A78">
        <w:rPr>
          <w:rStyle w:val="TextoNormalNegritaCaracter"/>
        </w:rPr>
        <w:t>Título I.</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r w:rsidRPr="002C5A78">
        <w:rPr>
          <w:rStyle w:val="TextoNormalNegritaCaracter"/>
        </w:rPr>
        <w:t>Artículo 2 a).</w:t>
      </w:r>
      <w:r w:rsidRPr="002C5A78">
        <w:rPr>
          <w:rStyle w:val="TextoNormalCaracter"/>
        </w:rPr>
        <w:t>-</w:t>
      </w:r>
      <w:r>
        <w:t xml:space="preserve"> Sentencia </w:t>
      </w:r>
      <w:hyperlink w:anchor="SENTENCIA_2021_72" w:history="1">
        <w:r w:rsidRPr="002C5A78">
          <w:rPr>
            <w:rStyle w:val="TextoNormalCaracter"/>
          </w:rPr>
          <w:t>72/2021</w:t>
        </w:r>
      </w:hyperlink>
      <w:r>
        <w:t>, f. 4.</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72" w:history="1">
        <w:r w:rsidRPr="002C5A78">
          <w:rPr>
            <w:rStyle w:val="TextoNormalCaracter"/>
          </w:rPr>
          <w:t>72/2021</w:t>
        </w:r>
      </w:hyperlink>
      <w:r>
        <w:t>, ff. 1, 2, 4.</w:t>
      </w:r>
    </w:p>
    <w:p w:rsidR="002C5A78" w:rsidRDefault="002C5A78" w:rsidP="002C5A78">
      <w:pPr>
        <w:pStyle w:val="SangriaFrancesaArticulo"/>
      </w:pPr>
      <w:r w:rsidRPr="002C5A78">
        <w:rPr>
          <w:rStyle w:val="TextoNormalNegritaCaracter"/>
        </w:rPr>
        <w:t>Artículo 13 d).</w:t>
      </w:r>
      <w:r w:rsidRPr="002C5A78">
        <w:rPr>
          <w:rStyle w:val="TextoNormalCaracter"/>
        </w:rPr>
        <w:t>-</w:t>
      </w:r>
      <w:r>
        <w:t xml:space="preserve"> Sentencia </w:t>
      </w:r>
      <w:hyperlink w:anchor="SENTENCIA_2021_72" w:history="1">
        <w:r w:rsidRPr="002C5A78">
          <w:rPr>
            <w:rStyle w:val="TextoNormalCaracter"/>
          </w:rPr>
          <w:t>72/2021</w:t>
        </w:r>
      </w:hyperlink>
      <w:r>
        <w:t>, ff. 1, 4.</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17.2.</w:t>
      </w:r>
      <w:r w:rsidRPr="002C5A78">
        <w:rPr>
          <w:rStyle w:val="TextoNormalCaracter"/>
        </w:rPr>
        <w:t>-</w:t>
      </w:r>
      <w:r>
        <w:t xml:space="preserve"> Sentencia </w:t>
      </w:r>
      <w:hyperlink w:anchor="SENTENCIA_2021_72" w:history="1">
        <w:r w:rsidRPr="002C5A78">
          <w:rPr>
            <w:rStyle w:val="TextoNormalCaracter"/>
          </w:rPr>
          <w:t>72/2021</w:t>
        </w:r>
      </w:hyperlink>
      <w:r>
        <w:t>, ff. 1, 2, 5.</w:t>
      </w:r>
    </w:p>
    <w:p w:rsidR="002C5A78" w:rsidRDefault="002C5A78" w:rsidP="002C5A78">
      <w:pPr>
        <w:pStyle w:val="SangriaFrancesaArticulo"/>
      </w:pPr>
      <w:r w:rsidRPr="002C5A78">
        <w:rPr>
          <w:rStyle w:val="TextoNormalNegritaCaracter"/>
        </w:rPr>
        <w:t>Artículo 17.2 párrafo 1.</w:t>
      </w:r>
      <w:r w:rsidRPr="002C5A78">
        <w:rPr>
          <w:rStyle w:val="TextoNormalCaracter"/>
        </w:rPr>
        <w:t>-</w:t>
      </w:r>
      <w:r>
        <w:t xml:space="preserve"> Sentencia </w:t>
      </w:r>
      <w:hyperlink w:anchor="SENTENCIA_2021_72" w:history="1">
        <w:r w:rsidRPr="002C5A78">
          <w:rPr>
            <w:rStyle w:val="TextoNormalCaracter"/>
          </w:rPr>
          <w:t>72/2021</w:t>
        </w:r>
      </w:hyperlink>
      <w:r>
        <w:t>, ff. 2, 5.</w:t>
      </w:r>
    </w:p>
    <w:p w:rsidR="002C5A78" w:rsidRDefault="002C5A78" w:rsidP="002C5A78">
      <w:pPr>
        <w:pStyle w:val="SangriaFrancesaArticulo"/>
      </w:pPr>
      <w:r w:rsidRPr="002C5A78">
        <w:rPr>
          <w:rStyle w:val="TextoNormalNegritaCaracter"/>
        </w:rPr>
        <w:t>Artículo 28.2.</w:t>
      </w:r>
      <w:r w:rsidRPr="002C5A78">
        <w:rPr>
          <w:rStyle w:val="TextoNormalCaracter"/>
        </w:rPr>
        <w:t>-</w:t>
      </w:r>
      <w:r>
        <w:t xml:space="preserve"> Sentencia </w:t>
      </w:r>
      <w:hyperlink w:anchor="SENTENCIA_2021_72" w:history="1">
        <w:r w:rsidRPr="002C5A78">
          <w:rPr>
            <w:rStyle w:val="TextoNormalCaracter"/>
          </w:rPr>
          <w:t>72/2021</w:t>
        </w:r>
      </w:hyperlink>
      <w:r>
        <w:t>, f. 2.</w:t>
      </w:r>
    </w:p>
    <w:p w:rsidR="002C5A78" w:rsidRDefault="002C5A78" w:rsidP="002C5A78">
      <w:pPr>
        <w:pStyle w:val="SangriaFrancesaArticulo"/>
      </w:pPr>
      <w:r w:rsidRPr="002C5A78">
        <w:rPr>
          <w:rStyle w:val="TextoNormalNegritaCaracter"/>
        </w:rPr>
        <w:t>Artículo 28.6.</w:t>
      </w:r>
      <w:r w:rsidRPr="002C5A78">
        <w:rPr>
          <w:rStyle w:val="TextoNormalCaracter"/>
        </w:rPr>
        <w:t>-</w:t>
      </w:r>
      <w:r>
        <w:t xml:space="preserve"> Sentencia </w:t>
      </w:r>
      <w:hyperlink w:anchor="SENTENCIA_2021_72" w:history="1">
        <w:r w:rsidRPr="002C5A78">
          <w:rPr>
            <w:rStyle w:val="TextoNormalCaracter"/>
          </w:rPr>
          <w:t>72/2021</w:t>
        </w:r>
      </w:hyperlink>
      <w:r>
        <w:t>, ff. 1, 2, 5.</w:t>
      </w:r>
    </w:p>
    <w:p w:rsidR="002C5A78" w:rsidRDefault="002C5A78" w:rsidP="002C5A78">
      <w:pPr>
        <w:pStyle w:val="SangriaFrancesaArticulo"/>
      </w:pPr>
      <w:r w:rsidRPr="002C5A78">
        <w:rPr>
          <w:rStyle w:val="TextoNormalNegritaCaracter"/>
        </w:rPr>
        <w:t>Artículo 28.6 inciso "y debe comunicarles que esta cláusula dejará de aplicarse en los términos establecidos por la resolución o sentencia judicial".</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72" w:history="1">
        <w:r w:rsidRPr="002C5A78">
          <w:rPr>
            <w:rStyle w:val="TextoNormalCaracter"/>
          </w:rPr>
          <w:t>72/2021</w:t>
        </w:r>
      </w:hyperlink>
      <w:r>
        <w:t>, ff. 1, 2, 6.</w:t>
      </w:r>
    </w:p>
    <w:p w:rsidR="002C5A78" w:rsidRDefault="002C5A78" w:rsidP="002C5A78">
      <w:pPr>
        <w:pStyle w:val="SangriaFrancesaArticulo"/>
      </w:pPr>
      <w:r w:rsidRPr="002C5A78">
        <w:rPr>
          <w:rStyle w:val="TextoNormalNegritaCaracter"/>
        </w:rPr>
        <w:t>Artículo 73.41.</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SangriaFrancesaArticulo"/>
      </w:pPr>
      <w:r w:rsidRPr="002C5A78">
        <w:rPr>
          <w:rStyle w:val="TextoNormalNegritaCaracter"/>
        </w:rPr>
        <w:t>Artículo 75.1.</w:t>
      </w:r>
      <w:r w:rsidRPr="002C5A78">
        <w:rPr>
          <w:rStyle w:val="TextoNormalCaracter"/>
        </w:rPr>
        <w:t>-</w:t>
      </w:r>
      <w:r>
        <w:t xml:space="preserve"> Sentencia </w:t>
      </w:r>
      <w:hyperlink w:anchor="SENTENCIA_2021_72" w:history="1">
        <w:r w:rsidRPr="002C5A78">
          <w:rPr>
            <w:rStyle w:val="TextoNormalCaracter"/>
          </w:rPr>
          <w:t>72/2021</w:t>
        </w:r>
      </w:hyperlink>
      <w:r>
        <w:t>, f. 6.</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J.10) Madrid</w:t>
      </w:r>
    </w:p>
    <w:p w:rsidR="002C5A78" w:rsidRDefault="002C5A78" w:rsidP="002C5A78">
      <w:pPr>
        <w:pStyle w:val="TextoNormal"/>
      </w:pPr>
    </w:p>
    <w:p w:rsidR="002C5A78" w:rsidRDefault="002C5A78" w:rsidP="002C5A78">
      <w:pPr>
        <w:pStyle w:val="TextoNormalNegritaCentradoSubrayado"/>
        <w:suppressAutoHyphens/>
      </w:pPr>
      <w:r>
        <w:t>J.10.a)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3/1983, de 25 de febrero, de Estatuto de Autonomía de la Comunidad de Madrid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 VP II.</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76" w:history="1">
        <w:r w:rsidRPr="002C5A78">
          <w:rPr>
            <w:rStyle w:val="TextoNormalCaracter"/>
          </w:rPr>
          <w:t>76/2021</w:t>
        </w:r>
      </w:hyperlink>
      <w:r>
        <w:t>, f. 4, VP II, VP III.</w:t>
      </w:r>
    </w:p>
    <w:p w:rsidR="002C5A78" w:rsidRDefault="002C5A78" w:rsidP="002C5A78">
      <w:pPr>
        <w:pStyle w:val="SangriaFrancesaArticulo"/>
      </w:pPr>
      <w:r w:rsidRPr="002C5A78">
        <w:rPr>
          <w:rStyle w:val="TextoNormalNegritaCaracter"/>
        </w:rPr>
        <w:t>Artículo 10.4.</w:t>
      </w:r>
      <w:r w:rsidRPr="002C5A78">
        <w:rPr>
          <w:rStyle w:val="TextoNormalCaracter"/>
        </w:rPr>
        <w:t>-</w:t>
      </w:r>
      <w:r>
        <w:t xml:space="preserve"> Sentencia </w:t>
      </w:r>
      <w:hyperlink w:anchor="SENTENCIA_2021_76" w:history="1">
        <w:r w:rsidRPr="002C5A78">
          <w:rPr>
            <w:rStyle w:val="TextoNormalCaracter"/>
          </w:rPr>
          <w:t>76/2021</w:t>
        </w:r>
      </w:hyperlink>
      <w:r>
        <w:t>, VP II.</w:t>
      </w:r>
    </w:p>
    <w:p w:rsidR="002C5A78" w:rsidRDefault="002C5A78" w:rsidP="002C5A78">
      <w:pPr>
        <w:pStyle w:val="SangriaFrancesaArticulo"/>
      </w:pPr>
      <w:r w:rsidRPr="002C5A78">
        <w:rPr>
          <w:rStyle w:val="TextoNormalNegritaCaracter"/>
        </w:rPr>
        <w:t>Artículo 10.8.</w:t>
      </w:r>
      <w:r w:rsidRPr="002C5A78">
        <w:rPr>
          <w:rStyle w:val="TextoNormalCaracter"/>
        </w:rPr>
        <w:t>-</w:t>
      </w:r>
      <w:r>
        <w:t xml:space="preserve"> Sentencia </w:t>
      </w:r>
      <w:hyperlink w:anchor="SENTENCIA_2021_76" w:history="1">
        <w:r w:rsidRPr="002C5A78">
          <w:rPr>
            <w:rStyle w:val="TextoNormalCaracter"/>
          </w:rPr>
          <w:t>76/2021</w:t>
        </w:r>
      </w:hyperlink>
      <w:r>
        <w:t>, f. 4.</w:t>
      </w:r>
    </w:p>
    <w:p w:rsidR="002C5A78" w:rsidRDefault="002C5A78" w:rsidP="002C5A78">
      <w:pPr>
        <w:pStyle w:val="TextoNormal"/>
      </w:pPr>
    </w:p>
    <w:p w:rsidR="002C5A78" w:rsidRDefault="002C5A78" w:rsidP="002C5A78">
      <w:pPr>
        <w:pStyle w:val="TextoNormalNegritaCentradoSubrayado"/>
        <w:suppressAutoHyphens/>
      </w:pPr>
      <w:r>
        <w:t>J.10.b)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 la Asamblea de Madrid 1/1985, de 23 de enero. Parque regional de la cuenca alta del Manzanares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 3.</w:t>
      </w:r>
    </w:p>
    <w:p w:rsidR="002C5A78" w:rsidRDefault="002C5A78" w:rsidP="002C5A78">
      <w:pPr>
        <w:pStyle w:val="SangriaFrancesaArticulo"/>
      </w:pPr>
    </w:p>
    <w:p w:rsidR="002C5A78" w:rsidRDefault="002C5A78" w:rsidP="002C5A78">
      <w:pPr>
        <w:pStyle w:val="TextoNormalNegritaCursivandice"/>
        <w:keepNext/>
      </w:pPr>
      <w:r>
        <w:t>Ley de la Asamblea de Madrid 11/1986, de 16 de diciembre. Electoral de la Comunidad de Madrid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f. 4, VP II, VP III.</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76" w:history="1">
        <w:r w:rsidRPr="002C5A78">
          <w:rPr>
            <w:rStyle w:val="TextoNormalCaracter"/>
          </w:rPr>
          <w:t>76/2021</w:t>
        </w:r>
      </w:hyperlink>
      <w:r>
        <w:t>, f. 4, VP II, VP III.</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76" w:history="1">
        <w:r w:rsidRPr="002C5A78">
          <w:rPr>
            <w:rStyle w:val="TextoNormalCaracter"/>
          </w:rPr>
          <w:t>76/2021</w:t>
        </w:r>
      </w:hyperlink>
      <w:r>
        <w:t>, ff. 3, 4.</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76" w:history="1">
        <w:r w:rsidRPr="002C5A78">
          <w:rPr>
            <w:rStyle w:val="TextoNormalCaracter"/>
          </w:rPr>
          <w:t>76/2021</w:t>
        </w:r>
      </w:hyperlink>
      <w:r>
        <w:t>, f. 4, VP I.</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76" w:history="1">
        <w:r w:rsidRPr="002C5A78">
          <w:rPr>
            <w:rStyle w:val="TextoNormalCaracter"/>
          </w:rPr>
          <w:t>76/2021</w:t>
        </w:r>
      </w:hyperlink>
      <w:r>
        <w:t>, f. 4, VP II, VP III.</w:t>
      </w:r>
    </w:p>
    <w:p w:rsidR="002C5A78" w:rsidRDefault="002C5A78" w:rsidP="002C5A78">
      <w:pPr>
        <w:pStyle w:val="SangriaFrancesaArticulo"/>
      </w:pPr>
      <w:r w:rsidRPr="002C5A78">
        <w:rPr>
          <w:rStyle w:val="TextoNormalNegritaCaracter"/>
        </w:rPr>
        <w:t>Artículo 3.2.</w:t>
      </w:r>
      <w:r w:rsidRPr="002C5A78">
        <w:rPr>
          <w:rStyle w:val="TextoNormalCaracter"/>
        </w:rPr>
        <w:t>-</w:t>
      </w:r>
      <w:r>
        <w:t xml:space="preserve"> Sentencia </w:t>
      </w:r>
      <w:hyperlink w:anchor="SENTENCIA_2021_76" w:history="1">
        <w:r w:rsidRPr="002C5A78">
          <w:rPr>
            <w:rStyle w:val="TextoNormalCaracter"/>
          </w:rPr>
          <w:t>76/2021</w:t>
        </w:r>
      </w:hyperlink>
      <w:r>
        <w:t>, f. 4, VP II, VP III.</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76" w:history="1">
        <w:r w:rsidRPr="002C5A78">
          <w:rPr>
            <w:rStyle w:val="TextoNormalCaracter"/>
          </w:rPr>
          <w:t>76/2021</w:t>
        </w:r>
      </w:hyperlink>
      <w:r>
        <w:t>, VP II.</w:t>
      </w:r>
    </w:p>
    <w:p w:rsidR="002C5A78" w:rsidRDefault="002C5A78" w:rsidP="002C5A78">
      <w:pPr>
        <w:pStyle w:val="SangriaFrancesaArticulo"/>
      </w:pPr>
      <w:r w:rsidRPr="002C5A78">
        <w:rPr>
          <w:rStyle w:val="TextoNormalNegritaCaracter"/>
        </w:rPr>
        <w:t>Artículo 4.2.</w:t>
      </w:r>
      <w:r w:rsidRPr="002C5A78">
        <w:rPr>
          <w:rStyle w:val="TextoNormalCaracter"/>
        </w:rPr>
        <w:t>-</w:t>
      </w:r>
      <w:r>
        <w:t xml:space="preserve"> Sentencia </w:t>
      </w:r>
      <w:hyperlink w:anchor="SENTENCIA_2021_76" w:history="1">
        <w:r w:rsidRPr="002C5A78">
          <w:rPr>
            <w:rStyle w:val="TextoNormalCaracter"/>
          </w:rPr>
          <w:t>76/2021</w:t>
        </w:r>
      </w:hyperlink>
      <w:r>
        <w:t>, f. 4, VP I, VP II, VP III.</w:t>
      </w:r>
    </w:p>
    <w:p w:rsidR="002C5A78" w:rsidRDefault="002C5A78" w:rsidP="002C5A78">
      <w:pPr>
        <w:pStyle w:val="SangriaFrancesaArticulo"/>
      </w:pPr>
      <w:r w:rsidRPr="002C5A78">
        <w:rPr>
          <w:rStyle w:val="TextoNormalNegritaCaracter"/>
        </w:rPr>
        <w:t>Disposición adicional primera.</w:t>
      </w:r>
      <w:r w:rsidRPr="002C5A78">
        <w:rPr>
          <w:rStyle w:val="TextoNormalCaracter"/>
        </w:rPr>
        <w:t>-</w:t>
      </w:r>
      <w:r>
        <w:t xml:space="preserve"> Sentencia </w:t>
      </w:r>
      <w:hyperlink w:anchor="SENTENCIA_2021_76" w:history="1">
        <w:r w:rsidRPr="002C5A78">
          <w:rPr>
            <w:rStyle w:val="TextoNormalCaracter"/>
          </w:rPr>
          <w:t>76/2021</w:t>
        </w:r>
      </w:hyperlink>
      <w:r>
        <w:t>, VP II.</w:t>
      </w:r>
    </w:p>
    <w:p w:rsidR="002C5A78" w:rsidRDefault="002C5A78" w:rsidP="002C5A78">
      <w:pPr>
        <w:pStyle w:val="SangriaFrancesaArticulo"/>
      </w:pPr>
    </w:p>
    <w:p w:rsidR="002C5A78" w:rsidRDefault="002C5A78" w:rsidP="002C5A78">
      <w:pPr>
        <w:pStyle w:val="TextoNormalNegritaCursivandice"/>
        <w:keepNext/>
      </w:pPr>
      <w:r>
        <w:t>Ley de la Asamblea de Madrid 17/1997, de 4 de julio.  Espectáculos públicos y actividades recreativas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SangriaFrancesaArticulo"/>
      </w:pPr>
      <w:r w:rsidRPr="002C5A78">
        <w:rPr>
          <w:rStyle w:val="TextoNormalNegritaCaracter"/>
        </w:rPr>
        <w:t>Artículo 39.4.</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SangriaFrancesaArticulo"/>
      </w:pPr>
    </w:p>
    <w:p w:rsidR="002C5A78" w:rsidRDefault="002C5A78" w:rsidP="002C5A78">
      <w:pPr>
        <w:pStyle w:val="TextoNormalNegritaCursivandice"/>
        <w:keepNext/>
      </w:pPr>
      <w:r>
        <w:t>Ley de la Asamblea de Madrid 20/1998, de 27 de noviembre. Ordenación y coordinación de los transportes urbanos</w:t>
      </w:r>
    </w:p>
    <w:p w:rsidR="002C5A78" w:rsidRDefault="002C5A78" w:rsidP="002C5A78">
      <w:pPr>
        <w:pStyle w:val="SangriaFrancesaArticulo"/>
      </w:pPr>
      <w:r w:rsidRPr="002C5A78">
        <w:rPr>
          <w:rStyle w:val="TextoNormalNegritaCaracter"/>
        </w:rPr>
        <w:t>Artículo 16.2 b) apartado 7.</w:t>
      </w:r>
      <w:r w:rsidRPr="002C5A78">
        <w:rPr>
          <w:rStyle w:val="TextoNormalCaracter"/>
        </w:rPr>
        <w:t>-</w:t>
      </w:r>
      <w:r>
        <w:t xml:space="preserve"> Sentencia </w:t>
      </w:r>
      <w:hyperlink w:anchor="SENTENCIA_2021_13" w:history="1">
        <w:r w:rsidRPr="002C5A78">
          <w:rPr>
            <w:rStyle w:val="TextoNormalCaracter"/>
          </w:rPr>
          <w:t>13/2021</w:t>
        </w:r>
      </w:hyperlink>
      <w:r>
        <w:t>, f. 9.</w:t>
      </w:r>
    </w:p>
    <w:p w:rsidR="002C5A78" w:rsidRDefault="002C5A78" w:rsidP="002C5A78">
      <w:pPr>
        <w:pStyle w:val="TextoNormal"/>
      </w:pPr>
    </w:p>
    <w:p w:rsidR="002C5A78" w:rsidRDefault="002C5A78" w:rsidP="002C5A78">
      <w:pPr>
        <w:pStyle w:val="TextoNormalNegritaCentradoSubrayado"/>
        <w:suppressAutoHyphens/>
      </w:pPr>
      <w:r>
        <w:t>J.10.c) Decretos y otras disposiciones reglamentarias</w:t>
      </w:r>
    </w:p>
    <w:p w:rsidR="002C5A78" w:rsidRDefault="002C5A78" w:rsidP="002C5A78">
      <w:pPr>
        <w:pStyle w:val="TextoNormalNegritaCentradoSubrayado"/>
      </w:pPr>
    </w:p>
    <w:p w:rsidR="002C5A78" w:rsidRDefault="002C5A78" w:rsidP="002C5A78">
      <w:pPr>
        <w:pStyle w:val="TextoNormalNegritaCursivandice"/>
        <w:keepNext/>
      </w:pPr>
      <w:r>
        <w:t>Comunidad de Madrid. Decreto 15/2021, de 10 de marzo, de la presidenta de la Comunidad de Madrid, de disolución de la Asamblea de Madrid y de convocatoria de elecciones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VP III.</w:t>
      </w:r>
    </w:p>
    <w:p w:rsidR="002C5A78" w:rsidRDefault="002C5A78" w:rsidP="002C5A78">
      <w:pPr>
        <w:pStyle w:val="SangriaFrancesaArticulo"/>
      </w:pPr>
    </w:p>
    <w:p w:rsidR="002C5A78" w:rsidRDefault="002C5A78" w:rsidP="002C5A78">
      <w:pPr>
        <w:pStyle w:val="TextoNormalNegritaCursivandice"/>
        <w:keepNext/>
      </w:pPr>
      <w:r>
        <w:t>Acuerdo de la Junta Electoral Provincial de Madrid, de 7 de abril de 2021. Proclama las candidaturas concurrentes a las elecciones a la Asamblea de Madrid del 4 de mayo de 2021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76" w:history="1">
        <w:r w:rsidRPr="002C5A78">
          <w:rPr>
            <w:rStyle w:val="TextoNormalCaracter"/>
          </w:rPr>
          <w:t>76/2021</w:t>
        </w:r>
      </w:hyperlink>
      <w:r>
        <w:t>, VP III.</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J.11) Murcia</w:t>
      </w:r>
    </w:p>
    <w:p w:rsidR="002C5A78" w:rsidRDefault="002C5A78" w:rsidP="002C5A78">
      <w:pPr>
        <w:pStyle w:val="TextoNormal"/>
      </w:pPr>
    </w:p>
    <w:p w:rsidR="002C5A78" w:rsidRDefault="002C5A78" w:rsidP="002C5A78">
      <w:pPr>
        <w:pStyle w:val="TextoNormalNegritaCentradoSubrayado"/>
        <w:suppressAutoHyphens/>
      </w:pPr>
      <w:r>
        <w:t>J.11.a)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4/1982, de 9 de junio. Estatuto de Autonomía de la Región de Murcia</w:t>
      </w:r>
    </w:p>
    <w:p w:rsidR="002C5A78" w:rsidRDefault="002C5A78" w:rsidP="002C5A78">
      <w:pPr>
        <w:pStyle w:val="SangriaFrancesaArticulo"/>
      </w:pPr>
      <w:r w:rsidRPr="002C5A78">
        <w:rPr>
          <w:rStyle w:val="TextoNormalNegritaCaracter"/>
        </w:rPr>
        <w:t>Artículo 10.2.</w:t>
      </w:r>
      <w:r w:rsidRPr="002C5A78">
        <w:rPr>
          <w:rStyle w:val="TextoNormalCaracter"/>
        </w:rPr>
        <w:t>-</w:t>
      </w:r>
      <w:r>
        <w:t xml:space="preserve"> Sentencia </w:t>
      </w:r>
      <w:hyperlink w:anchor="SENTENCIA_2021_112" w:history="1">
        <w:r w:rsidRPr="002C5A78">
          <w:rPr>
            <w:rStyle w:val="TextoNormalCaracter"/>
          </w:rPr>
          <w:t>112/2021</w:t>
        </w:r>
      </w:hyperlink>
      <w:r>
        <w:t>, ff. 2, 3.</w:t>
      </w:r>
    </w:p>
    <w:p w:rsidR="002C5A78" w:rsidRDefault="002C5A78" w:rsidP="002C5A78">
      <w:pPr>
        <w:pStyle w:val="SangriaFrancesaArticulo"/>
      </w:pPr>
      <w:r w:rsidRPr="002C5A78">
        <w:rPr>
          <w:rStyle w:val="TextoNormalNegritaCaracter"/>
        </w:rPr>
        <w:t>Artículo 10.6.</w:t>
      </w:r>
      <w:r w:rsidRPr="002C5A78">
        <w:rPr>
          <w:rStyle w:val="TextoNormalCaracter"/>
        </w:rPr>
        <w:t>-</w:t>
      </w:r>
      <w:r>
        <w:t xml:space="preserve"> Sentencia </w:t>
      </w:r>
      <w:hyperlink w:anchor="SENTENCIA_2021_112" w:history="1">
        <w:r w:rsidRPr="002C5A78">
          <w:rPr>
            <w:rStyle w:val="TextoNormalCaracter"/>
          </w:rPr>
          <w:t>112/2021</w:t>
        </w:r>
      </w:hyperlink>
      <w:r>
        <w:t>, ff. 2, 3.</w:t>
      </w:r>
    </w:p>
    <w:p w:rsidR="002C5A78" w:rsidRDefault="002C5A78" w:rsidP="002C5A78">
      <w:pPr>
        <w:pStyle w:val="SangriaFrancesaArticulo"/>
      </w:pPr>
      <w:r w:rsidRPr="002C5A78">
        <w:rPr>
          <w:rStyle w:val="TextoNormalNegritaCaracter"/>
        </w:rPr>
        <w:t>Artículo 10.7.</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10.17.</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11.2.</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11.3.</w:t>
      </w:r>
      <w:r w:rsidRPr="002C5A78">
        <w:rPr>
          <w:rStyle w:val="TextoNormalCaracter"/>
        </w:rPr>
        <w:t>-</w:t>
      </w:r>
      <w:r>
        <w:t xml:space="preserve"> Sentencia </w:t>
      </w:r>
      <w:hyperlink w:anchor="SENTENCIA_2021_112" w:history="1">
        <w:r w:rsidRPr="002C5A78">
          <w:rPr>
            <w:rStyle w:val="TextoNormalCaracter"/>
          </w:rPr>
          <w:t>112/2021</w:t>
        </w:r>
      </w:hyperlink>
      <w:r>
        <w:t>, ff. 2, 3.</w:t>
      </w:r>
    </w:p>
    <w:p w:rsidR="002C5A78" w:rsidRDefault="002C5A78" w:rsidP="002C5A78">
      <w:pPr>
        <w:pStyle w:val="SangriaFrancesaArticulo"/>
      </w:pPr>
      <w:r w:rsidRPr="002C5A78">
        <w:rPr>
          <w:rStyle w:val="TextoNormalNegritaCaracter"/>
        </w:rPr>
        <w:t>Artículo 11.4.</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18.1.4.</w:t>
      </w:r>
      <w:r w:rsidRPr="002C5A78">
        <w:rPr>
          <w:rStyle w:val="TextoNormalCaracter"/>
        </w:rPr>
        <w:t>-</w:t>
      </w:r>
      <w:r>
        <w:t xml:space="preserve"> Sentencia </w:t>
      </w:r>
      <w:hyperlink w:anchor="SENTENCIA_2021_112" w:history="1">
        <w:r w:rsidRPr="002C5A78">
          <w:rPr>
            <w:rStyle w:val="TextoNormalCaracter"/>
          </w:rPr>
          <w:t>112/2021</w:t>
        </w:r>
      </w:hyperlink>
      <w:r>
        <w:t>, f. 3.</w:t>
      </w:r>
    </w:p>
    <w:p w:rsidR="002C5A78" w:rsidRDefault="002C5A78" w:rsidP="002C5A78">
      <w:pPr>
        <w:pStyle w:val="SangriaFrancesaArticulo"/>
      </w:pPr>
      <w:r w:rsidRPr="002C5A78">
        <w:rPr>
          <w:rStyle w:val="TextoNormalNegritaCaracter"/>
        </w:rPr>
        <w:t>Artículo 30.3.</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TextoNormal"/>
      </w:pPr>
    </w:p>
    <w:p w:rsidR="002C5A78" w:rsidRDefault="002C5A78" w:rsidP="002C5A78">
      <w:pPr>
        <w:pStyle w:val="TextoNormalNegritaCentradoSubrayado"/>
        <w:suppressAutoHyphens/>
      </w:pPr>
      <w:r>
        <w:t>J.11.b)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 la Asamblea Regional de Murcia 3/1987, de 23 de abril. Protección y armonización de usos del Mar Menor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ff. 2, 3.</w:t>
      </w:r>
    </w:p>
    <w:p w:rsidR="002C5A78" w:rsidRDefault="002C5A78" w:rsidP="002C5A78">
      <w:pPr>
        <w:pStyle w:val="SangriaFrancesaArticulo"/>
      </w:pPr>
    </w:p>
    <w:p w:rsidR="002C5A78" w:rsidRDefault="002C5A78" w:rsidP="002C5A78">
      <w:pPr>
        <w:pStyle w:val="TextoNormalNegritaCursivandice"/>
        <w:keepNext/>
      </w:pPr>
      <w:r>
        <w:t>Ley 3/2009, de 11 de mayo, de los derechos y deberes de los usuarios del sistema sanitario de la Comunidad Autónoma de la Región de Murcia.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3" w:history="1">
        <w:r w:rsidRPr="002C5A78">
          <w:rPr>
            <w:rStyle w:val="TextoNormalCaracter"/>
          </w:rPr>
          <w:t>53/2021</w:t>
        </w:r>
      </w:hyperlink>
      <w:r>
        <w:t>, ff. 4, 6.</w:t>
      </w:r>
    </w:p>
    <w:p w:rsidR="002C5A78" w:rsidRDefault="002C5A78" w:rsidP="002C5A78">
      <w:pPr>
        <w:pStyle w:val="SangriaFrancesaArticulo"/>
      </w:pPr>
    </w:p>
    <w:p w:rsidR="002C5A78" w:rsidRDefault="002C5A78" w:rsidP="002C5A78">
      <w:pPr>
        <w:pStyle w:val="TextoNormalNegritaCursivandice"/>
        <w:keepNext/>
      </w:pPr>
      <w:r>
        <w:t>Ley de la Asamblea Regional de Murcia 13/2015, de 30 de marzo. Ordenación territorial y urbanística</w:t>
      </w:r>
    </w:p>
    <w:p w:rsidR="002C5A78" w:rsidRDefault="002C5A78" w:rsidP="002C5A78">
      <w:pPr>
        <w:pStyle w:val="SangriaFrancesaArticulo"/>
      </w:pPr>
      <w:r w:rsidRPr="002C5A78">
        <w:rPr>
          <w:rStyle w:val="TextoNormalNegritaCaracter"/>
        </w:rPr>
        <w:t>Artículo 145.4.</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Ley de la Asamblea Regional de Murcia 10/2016, de 7 de junio. Reforma de la Ley 6/2015, de 24 de marzo, de la vivienda, y de la Ley 4/1996, de 14 de junio, del estatuto de los consumidores y usuarios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Decreto-ley del Gobierno de la Región de Murcia 1/2017, de 4 de abril. Medidas urgentes para garantizar la sostenibilidad ambiental en el entorno del Mar Menor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p>
    <w:p w:rsidR="002C5A78" w:rsidRDefault="002C5A78" w:rsidP="002C5A78">
      <w:pPr>
        <w:pStyle w:val="TextoNormalNegritaCursivandice"/>
        <w:keepNext/>
      </w:pPr>
      <w:r>
        <w:t>Ley de la Asamblea Regional de Murcia 7/2017, de 21 de diciembre. Presupuestos generales de la comunidad autónoma de la Región de Murcia para el ejercicio 2018</w:t>
      </w:r>
    </w:p>
    <w:p w:rsidR="002C5A78" w:rsidRDefault="002C5A78" w:rsidP="002C5A78">
      <w:pPr>
        <w:pStyle w:val="SangriaFrancesaArticulo"/>
      </w:pPr>
      <w:r w:rsidRPr="002C5A78">
        <w:rPr>
          <w:rStyle w:val="TextoNormalNegritaCaracter"/>
        </w:rPr>
        <w:t>Capítulo I.</w:t>
      </w:r>
      <w:r w:rsidRPr="002C5A78">
        <w:rPr>
          <w:rStyle w:val="TextoNormalCaracter"/>
        </w:rPr>
        <w:t>-</w:t>
      </w:r>
      <w:r>
        <w:t xml:space="preserve"> Sentencia </w:t>
      </w:r>
      <w:hyperlink w:anchor="SENTENCIA_2021_53" w:history="1">
        <w:r w:rsidRPr="002C5A78">
          <w:rPr>
            <w:rStyle w:val="TextoNormalCaracter"/>
          </w:rPr>
          <w:t>53/2021</w:t>
        </w:r>
      </w:hyperlink>
      <w:r>
        <w:t>, f. 6.</w:t>
      </w:r>
    </w:p>
    <w:p w:rsidR="002C5A78" w:rsidRDefault="002C5A78" w:rsidP="002C5A78">
      <w:pPr>
        <w:pStyle w:val="SangriaFrancesaArticulo"/>
      </w:pPr>
      <w:r w:rsidRPr="002C5A78">
        <w:rPr>
          <w:rStyle w:val="TextoNormalNegritaCaracter"/>
        </w:rPr>
        <w:t>Capítulo II.</w:t>
      </w:r>
      <w:r w:rsidRPr="002C5A78">
        <w:rPr>
          <w:rStyle w:val="TextoNormalCaracter"/>
        </w:rPr>
        <w:t>-</w:t>
      </w:r>
      <w:r>
        <w:t xml:space="preserve"> Sentencia </w:t>
      </w:r>
      <w:hyperlink w:anchor="SENTENCIA_2021_53" w:history="1">
        <w:r w:rsidRPr="002C5A78">
          <w:rPr>
            <w:rStyle w:val="TextoNormalCaracter"/>
          </w:rPr>
          <w:t>53/2021</w:t>
        </w:r>
      </w:hyperlink>
      <w:r>
        <w:t>, f. 6.</w:t>
      </w:r>
    </w:p>
    <w:p w:rsidR="002C5A78" w:rsidRDefault="002C5A78" w:rsidP="002C5A78">
      <w:pPr>
        <w:pStyle w:val="SangriaFrancesaArticulo"/>
      </w:pPr>
    </w:p>
    <w:p w:rsidR="002C5A78" w:rsidRDefault="002C5A78" w:rsidP="002C5A78">
      <w:pPr>
        <w:pStyle w:val="TextoNormalNegritaCursivandice"/>
        <w:keepNext/>
      </w:pPr>
      <w:r>
        <w:t>Ley de la Asamblea Regional de Murcia 1/2018, de 7 de febrero. Medidas urgentes para garantizar la sostenibilidad ambiental en el entorno del Mar Menor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ff. 2, 5.</w:t>
      </w:r>
    </w:p>
    <w:p w:rsidR="002C5A78" w:rsidRDefault="002C5A78" w:rsidP="002C5A78">
      <w:pPr>
        <w:pStyle w:val="SangriaFrancesaArticulo"/>
      </w:pPr>
      <w:r w:rsidRPr="002C5A78">
        <w:rPr>
          <w:rStyle w:val="TextoNormalNegritaCaracter"/>
        </w:rPr>
        <w:t>Anexo I.</w:t>
      </w:r>
      <w:r w:rsidRPr="002C5A78">
        <w:rPr>
          <w:rStyle w:val="TextoNormalCaracter"/>
        </w:rPr>
        <w:t>-</w:t>
      </w:r>
      <w:r>
        <w:t xml:space="preserve"> Sentencia </w:t>
      </w:r>
      <w:hyperlink w:anchor="SENTENCIA_2021_112" w:history="1">
        <w:r w:rsidRPr="002C5A78">
          <w:rPr>
            <w:rStyle w:val="TextoNormalCaracter"/>
          </w:rPr>
          <w:t>112/2021</w:t>
        </w:r>
      </w:hyperlink>
      <w:r>
        <w:t>, f. 5.</w:t>
      </w:r>
    </w:p>
    <w:p w:rsidR="002C5A78" w:rsidRDefault="002C5A78" w:rsidP="002C5A78">
      <w:pPr>
        <w:pStyle w:val="SangriaFrancesaArticulo"/>
      </w:pPr>
    </w:p>
    <w:p w:rsidR="002C5A78" w:rsidRDefault="002C5A78" w:rsidP="002C5A78">
      <w:pPr>
        <w:pStyle w:val="TextoNormalNegritaCursivandice"/>
        <w:keepNext/>
      </w:pPr>
      <w:r>
        <w:t>Ley de la Asamblea Regional de Murcia 10/2018, de 9 de noviembre. Aceleración de la transformación del modelo económico regional para la generación de empleo estable de calidad</w:t>
      </w:r>
    </w:p>
    <w:p w:rsidR="002C5A78" w:rsidRDefault="002C5A78" w:rsidP="002C5A78">
      <w:pPr>
        <w:pStyle w:val="SangriaFrancesaArticulo"/>
      </w:pPr>
      <w:r w:rsidRPr="002C5A78">
        <w:rPr>
          <w:rStyle w:val="TextoNormalNegritaCaracter"/>
        </w:rPr>
        <w:t>Artículo 22.9.</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Decreto-ley del Gobierno de la Región de Murcia 2/2019, de 26 de diciembre. Protección Integral del Mar Menor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ff. 1, 2.</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p>
    <w:p w:rsidR="002C5A78" w:rsidRDefault="002C5A78" w:rsidP="002C5A78">
      <w:pPr>
        <w:pStyle w:val="TextoNormalNegritaCursivandice"/>
        <w:keepNext/>
      </w:pPr>
      <w:r>
        <w:t>Ley de la Asamblea Regional de Murcia 3/2020, de 27 de julio. Recuperación y protección del Mar Menor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ff. 1, 5.</w:t>
      </w:r>
    </w:p>
    <w:p w:rsidR="002C5A78" w:rsidRDefault="002C5A78" w:rsidP="002C5A78">
      <w:pPr>
        <w:pStyle w:val="SangriaFrancesaArticulo"/>
      </w:pPr>
      <w:r w:rsidRPr="002C5A78">
        <w:rPr>
          <w:rStyle w:val="TextoNormalNegritaCaracter"/>
        </w:rPr>
        <w:t>Preámbulo, apartado V.</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112" w:history="1">
        <w:r w:rsidRPr="002C5A78">
          <w:rPr>
            <w:rStyle w:val="TextoNormalCaracter"/>
          </w:rPr>
          <w:t>112/2021</w:t>
        </w:r>
      </w:hyperlink>
      <w:r>
        <w:t>, ff. 1 a 3, 5.</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Artículos 26 a 54.</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28.1.</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28.2.</w:t>
      </w:r>
      <w:r w:rsidRPr="002C5A78">
        <w:rPr>
          <w:rStyle w:val="TextoNormalCaracter"/>
        </w:rPr>
        <w:t>-</w:t>
      </w:r>
      <w:r>
        <w:t xml:space="preserve"> Sentencia </w:t>
      </w:r>
      <w:hyperlink w:anchor="SENTENCIA_2021_112" w:history="1">
        <w:r w:rsidRPr="002C5A78">
          <w:rPr>
            <w:rStyle w:val="TextoNormalCaracter"/>
          </w:rPr>
          <w:t>112/2021</w:t>
        </w:r>
      </w:hyperlink>
      <w:r>
        <w:t>, ff. 1, 2, 4.</w:t>
      </w:r>
    </w:p>
    <w:p w:rsidR="002C5A78" w:rsidRDefault="002C5A78" w:rsidP="002C5A78">
      <w:pPr>
        <w:pStyle w:val="SangriaFrancesaArticulo"/>
      </w:pPr>
      <w:r w:rsidRPr="002C5A78">
        <w:rPr>
          <w:rStyle w:val="TextoNormalNegritaCaracter"/>
        </w:rPr>
        <w:t>Artículo 29.</w:t>
      </w:r>
      <w:r w:rsidRPr="002C5A78">
        <w:rPr>
          <w:rStyle w:val="TextoNormalCaracter"/>
        </w:rPr>
        <w:t>-</w:t>
      </w:r>
      <w:r>
        <w:t xml:space="preserve"> Sentencia </w:t>
      </w:r>
      <w:hyperlink w:anchor="SENTENCIA_2021_112" w:history="1">
        <w:r w:rsidRPr="002C5A78">
          <w:rPr>
            <w:rStyle w:val="TextoNormalCaracter"/>
          </w:rPr>
          <w:t>112/2021</w:t>
        </w:r>
      </w:hyperlink>
      <w:r>
        <w:t>, ff. 1, 5.</w:t>
      </w:r>
    </w:p>
    <w:p w:rsidR="002C5A78" w:rsidRDefault="002C5A78" w:rsidP="002C5A78">
      <w:pPr>
        <w:pStyle w:val="SangriaFrancesaArticulo"/>
      </w:pPr>
      <w:r w:rsidRPr="002C5A78">
        <w:rPr>
          <w:rStyle w:val="TextoNormalNegritaCaracter"/>
        </w:rPr>
        <w:t>Artículo 36.</w:t>
      </w:r>
      <w:r w:rsidRPr="002C5A78">
        <w:rPr>
          <w:rStyle w:val="TextoNormalCaracter"/>
        </w:rPr>
        <w:t>-</w:t>
      </w:r>
      <w:r>
        <w:t xml:space="preserve"> Sentencia </w:t>
      </w:r>
      <w:hyperlink w:anchor="SENTENCIA_2021_112" w:history="1">
        <w:r w:rsidRPr="002C5A78">
          <w:rPr>
            <w:rStyle w:val="TextoNormalCaracter"/>
          </w:rPr>
          <w:t>112/2021</w:t>
        </w:r>
      </w:hyperlink>
      <w:r>
        <w:t>, ff. 1, 2.</w:t>
      </w:r>
    </w:p>
    <w:p w:rsidR="002C5A78" w:rsidRDefault="002C5A78" w:rsidP="002C5A78">
      <w:pPr>
        <w:pStyle w:val="SangriaFrancesaArticulo"/>
      </w:pPr>
      <w:r w:rsidRPr="002C5A78">
        <w:rPr>
          <w:rStyle w:val="TextoNormalNegritaCaracter"/>
        </w:rPr>
        <w:t>Artículo 37.</w:t>
      </w:r>
      <w:r w:rsidRPr="002C5A78">
        <w:rPr>
          <w:rStyle w:val="TextoNormalCaracter"/>
        </w:rPr>
        <w:t>-</w:t>
      </w:r>
      <w:r>
        <w:t xml:space="preserve"> Sentencia </w:t>
      </w:r>
      <w:hyperlink w:anchor="SENTENCIA_2021_112" w:history="1">
        <w:r w:rsidRPr="002C5A78">
          <w:rPr>
            <w:rStyle w:val="TextoNormalCaracter"/>
          </w:rPr>
          <w:t>112/2021</w:t>
        </w:r>
      </w:hyperlink>
      <w:r>
        <w:t>, ff. 1, 2.</w:t>
      </w:r>
    </w:p>
    <w:p w:rsidR="002C5A78" w:rsidRDefault="002C5A78" w:rsidP="002C5A78">
      <w:pPr>
        <w:pStyle w:val="SangriaFrancesaArticulo"/>
      </w:pPr>
      <w:r w:rsidRPr="002C5A78">
        <w:rPr>
          <w:rStyle w:val="TextoNormalNegritaCaracter"/>
        </w:rPr>
        <w:t>Artículo 38.</w:t>
      </w:r>
      <w:r w:rsidRPr="002C5A78">
        <w:rPr>
          <w:rStyle w:val="TextoNormalCaracter"/>
        </w:rPr>
        <w:t>-</w:t>
      </w:r>
      <w:r>
        <w:t xml:space="preserve"> Sentencia </w:t>
      </w:r>
      <w:hyperlink w:anchor="SENTENCIA_2021_112" w:history="1">
        <w:r w:rsidRPr="002C5A78">
          <w:rPr>
            <w:rStyle w:val="TextoNormalCaracter"/>
          </w:rPr>
          <w:t>112/2021</w:t>
        </w:r>
      </w:hyperlink>
      <w:r>
        <w:t>, ff. 1, 2.</w:t>
      </w:r>
    </w:p>
    <w:p w:rsidR="002C5A78" w:rsidRDefault="002C5A78" w:rsidP="002C5A78">
      <w:pPr>
        <w:pStyle w:val="SangriaFrancesaArticulo"/>
      </w:pPr>
      <w:r w:rsidRPr="002C5A78">
        <w:rPr>
          <w:rStyle w:val="TextoNormalNegritaCaracter"/>
        </w:rPr>
        <w:t>Artículo 39.</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SangriaFrancesaArticulo"/>
      </w:pPr>
      <w:r w:rsidRPr="002C5A78">
        <w:rPr>
          <w:rStyle w:val="TextoNormalNegritaCaracter"/>
        </w:rPr>
        <w:t>Artículo 40.</w:t>
      </w:r>
      <w:r w:rsidRPr="002C5A78">
        <w:rPr>
          <w:rStyle w:val="TextoNormalCaracter"/>
        </w:rPr>
        <w:t>-</w:t>
      </w:r>
      <w:r>
        <w:t xml:space="preserve"> Sentencia </w:t>
      </w:r>
      <w:hyperlink w:anchor="SENTENCIA_2021_112" w:history="1">
        <w:r w:rsidRPr="002C5A78">
          <w:rPr>
            <w:rStyle w:val="TextoNormalCaracter"/>
          </w:rPr>
          <w:t>112/2021</w:t>
        </w:r>
      </w:hyperlink>
      <w:r>
        <w:t>, ff. 1, 2.</w:t>
      </w:r>
    </w:p>
    <w:p w:rsidR="002C5A78" w:rsidRDefault="002C5A78" w:rsidP="002C5A78">
      <w:pPr>
        <w:pStyle w:val="SangriaFrancesaArticulo"/>
      </w:pPr>
      <w:r w:rsidRPr="002C5A78">
        <w:rPr>
          <w:rStyle w:val="TextoNormalNegritaCaracter"/>
        </w:rPr>
        <w:t>Artículo 44.</w:t>
      </w:r>
      <w:r w:rsidRPr="002C5A78">
        <w:rPr>
          <w:rStyle w:val="TextoNormalCaracter"/>
        </w:rPr>
        <w:t>-</w:t>
      </w:r>
      <w:r>
        <w:t xml:space="preserve"> Sentencia </w:t>
      </w:r>
      <w:hyperlink w:anchor="SENTENCIA_2021_112" w:history="1">
        <w:r w:rsidRPr="002C5A78">
          <w:rPr>
            <w:rStyle w:val="TextoNormalCaracter"/>
          </w:rPr>
          <w:t>112/2021</w:t>
        </w:r>
      </w:hyperlink>
      <w:r>
        <w:t>, ff. 1, 2.</w:t>
      </w:r>
    </w:p>
    <w:p w:rsidR="002C5A78" w:rsidRDefault="002C5A78" w:rsidP="002C5A78">
      <w:pPr>
        <w:pStyle w:val="SangriaFrancesaArticulo"/>
      </w:pPr>
      <w:r w:rsidRPr="002C5A78">
        <w:rPr>
          <w:rStyle w:val="TextoNormalNegritaCaracter"/>
        </w:rPr>
        <w:t>Artículo 50.</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SangriaFrancesaArticulo"/>
      </w:pPr>
      <w:r w:rsidRPr="002C5A78">
        <w:rPr>
          <w:rStyle w:val="TextoNormalNegritaCaracter"/>
        </w:rPr>
        <w:t>Artículos 55 a 58.</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Artículo 81.</w:t>
      </w:r>
      <w:r w:rsidRPr="002C5A78">
        <w:rPr>
          <w:rStyle w:val="TextoNormalCaracter"/>
        </w:rPr>
        <w:t>-</w:t>
      </w:r>
      <w:r>
        <w:t xml:space="preserve"> Sentencia </w:t>
      </w:r>
      <w:hyperlink w:anchor="SENTENCIA_2021_112" w:history="1">
        <w:r w:rsidRPr="002C5A78">
          <w:rPr>
            <w:rStyle w:val="TextoNormalCaracter"/>
          </w:rPr>
          <w:t>112/2021</w:t>
        </w:r>
      </w:hyperlink>
      <w:r>
        <w:t>, ff. 2, 8.</w:t>
      </w:r>
    </w:p>
    <w:p w:rsidR="002C5A78" w:rsidRDefault="002C5A78" w:rsidP="002C5A78">
      <w:pPr>
        <w:pStyle w:val="SangriaFrancesaArticulo"/>
      </w:pPr>
      <w:r w:rsidRPr="002C5A78">
        <w:rPr>
          <w:rStyle w:val="TextoNormalNegritaCaracter"/>
        </w:rPr>
        <w:t>Artículo 81.2 d).</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e).</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f).</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g).</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h).</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i).</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j).</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k).</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l).</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n).</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ñ).</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81.2 o).</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a).</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b).</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d).</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e).</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f).</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g).</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h).</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i).</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j).</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m).</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n).</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ñ).</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p).</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q).</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r).</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81.3 s).</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81.4 a).</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81.4 b).</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81.4 c).</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81.4 d).</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81.4 e).</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83.</w:t>
      </w:r>
      <w:r w:rsidRPr="002C5A78">
        <w:rPr>
          <w:rStyle w:val="TextoNormalCaracter"/>
        </w:rPr>
        <w:t>-</w:t>
      </w:r>
      <w:r>
        <w:t xml:space="preserve"> Sentencia </w:t>
      </w:r>
      <w:hyperlink w:anchor="SENTENCIA_2021_112" w:history="1">
        <w:r w:rsidRPr="002C5A78">
          <w:rPr>
            <w:rStyle w:val="TextoNormalCaracter"/>
          </w:rPr>
          <w:t>112/2021</w:t>
        </w:r>
      </w:hyperlink>
      <w:r>
        <w:t>, ff. 2, 8.</w:t>
      </w:r>
    </w:p>
    <w:p w:rsidR="002C5A78" w:rsidRDefault="002C5A78" w:rsidP="002C5A78">
      <w:pPr>
        <w:pStyle w:val="SangriaFrancesaArticulo"/>
      </w:pPr>
      <w:r w:rsidRPr="002C5A78">
        <w:rPr>
          <w:rStyle w:val="TextoNormalNegritaCaracter"/>
        </w:rPr>
        <w:t>Artículo 83.1.</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83.2.</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83.3.</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83.4.</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Artículo 83.5.</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SangriaFrancesaArticulo"/>
      </w:pPr>
      <w:r w:rsidRPr="002C5A78">
        <w:rPr>
          <w:rStyle w:val="TextoNormalNegritaCaracter"/>
        </w:rPr>
        <w:t>Disposición adicional segunda.</w:t>
      </w:r>
      <w:r w:rsidRPr="002C5A78">
        <w:rPr>
          <w:rStyle w:val="TextoNormalCaracter"/>
        </w:rPr>
        <w:t>-</w:t>
      </w:r>
      <w:r>
        <w:t xml:space="preserve"> Sentencia </w:t>
      </w:r>
      <w:hyperlink w:anchor="SENTENCIA_2021_112" w:history="1">
        <w:r w:rsidRPr="002C5A78">
          <w:rPr>
            <w:rStyle w:val="TextoNormalCaracter"/>
          </w:rPr>
          <w:t>112/2021</w:t>
        </w:r>
      </w:hyperlink>
      <w:r>
        <w:t>, f. 2.</w:t>
      </w:r>
    </w:p>
    <w:p w:rsidR="002C5A78" w:rsidRDefault="002C5A78" w:rsidP="002C5A78">
      <w:pPr>
        <w:pStyle w:val="SangriaFrancesaArticulo"/>
      </w:pPr>
      <w:r w:rsidRPr="002C5A78">
        <w:rPr>
          <w:rStyle w:val="TextoNormalNegritaCaracter"/>
        </w:rPr>
        <w:t>Disposición transitoria tercera.</w:t>
      </w:r>
      <w:r w:rsidRPr="002C5A78">
        <w:rPr>
          <w:rStyle w:val="TextoNormalCaracter"/>
        </w:rPr>
        <w:t>-</w:t>
      </w:r>
      <w:r>
        <w:t xml:space="preserve"> Sentencia </w:t>
      </w:r>
      <w:hyperlink w:anchor="SENTENCIA_2021_112" w:history="1">
        <w:r w:rsidRPr="002C5A78">
          <w:rPr>
            <w:rStyle w:val="TextoNormalCaracter"/>
          </w:rPr>
          <w:t>112/2021</w:t>
        </w:r>
      </w:hyperlink>
      <w:r>
        <w:t>, ff. 1, 2.</w:t>
      </w:r>
    </w:p>
    <w:p w:rsidR="002C5A78" w:rsidRDefault="002C5A78" w:rsidP="002C5A78">
      <w:pPr>
        <w:pStyle w:val="SangriaFrancesaArticulo"/>
      </w:pPr>
      <w:r w:rsidRPr="002C5A78">
        <w:rPr>
          <w:rStyle w:val="TextoNormalNegritaCaracter"/>
        </w:rPr>
        <w:t>Disposición transitoria cuarta.</w:t>
      </w:r>
      <w:r w:rsidRPr="002C5A78">
        <w:rPr>
          <w:rStyle w:val="TextoNormalCaracter"/>
        </w:rPr>
        <w:t>-</w:t>
      </w:r>
      <w:r>
        <w:t xml:space="preserve"> Sentencia </w:t>
      </w:r>
      <w:hyperlink w:anchor="SENTENCIA_2021_112" w:history="1">
        <w:r w:rsidRPr="002C5A78">
          <w:rPr>
            <w:rStyle w:val="TextoNormalCaracter"/>
          </w:rPr>
          <w:t>112/2021</w:t>
        </w:r>
      </w:hyperlink>
      <w:r>
        <w:t>, ff. 1, 2, 4.</w:t>
      </w:r>
    </w:p>
    <w:p w:rsidR="002C5A78" w:rsidRDefault="002C5A78" w:rsidP="002C5A78">
      <w:pPr>
        <w:pStyle w:val="SangriaFrancesaArticulo"/>
      </w:pPr>
      <w:r w:rsidRPr="002C5A78">
        <w:rPr>
          <w:rStyle w:val="TextoNormalNegritaCaracter"/>
        </w:rPr>
        <w:t>Disposición transitoria cuarta, apartado 1.</w:t>
      </w:r>
      <w:r w:rsidRPr="002C5A78">
        <w:rPr>
          <w:rStyle w:val="TextoNormalCaracter"/>
        </w:rPr>
        <w:t>-</w:t>
      </w:r>
      <w:r>
        <w:t xml:space="preserve"> Sentencia </w:t>
      </w:r>
      <w:hyperlink w:anchor="SENTENCIA_2021_112" w:history="1">
        <w:r w:rsidRPr="002C5A78">
          <w:rPr>
            <w:rStyle w:val="TextoNormalCaracter"/>
          </w:rPr>
          <w:t>112/2021</w:t>
        </w:r>
      </w:hyperlink>
      <w:r>
        <w:t>, ff. 1, 4.</w:t>
      </w:r>
    </w:p>
    <w:p w:rsidR="002C5A78" w:rsidRDefault="002C5A78" w:rsidP="002C5A78">
      <w:pPr>
        <w:pStyle w:val="SangriaFrancesaArticulo"/>
      </w:pPr>
      <w:r w:rsidRPr="002C5A78">
        <w:rPr>
          <w:rStyle w:val="TextoNormalNegritaCaracter"/>
        </w:rPr>
        <w:t>Disposición transitoria cuarta, apartado 2.</w:t>
      </w:r>
      <w:r w:rsidRPr="002C5A78">
        <w:rPr>
          <w:rStyle w:val="TextoNormalCaracter"/>
        </w:rPr>
        <w:t>-</w:t>
      </w:r>
      <w:r>
        <w:t xml:space="preserve"> Sentencia </w:t>
      </w:r>
      <w:hyperlink w:anchor="SENTENCIA_2021_112" w:history="1">
        <w:r w:rsidRPr="002C5A78">
          <w:rPr>
            <w:rStyle w:val="TextoNormalCaracter"/>
          </w:rPr>
          <w:t>112/2021</w:t>
        </w:r>
      </w:hyperlink>
      <w:r>
        <w:t>, f. 4.</w:t>
      </w:r>
    </w:p>
    <w:p w:rsidR="002C5A78" w:rsidRDefault="002C5A78" w:rsidP="002C5A78">
      <w:pPr>
        <w:pStyle w:val="SangriaFrancesaArticulo"/>
      </w:pPr>
      <w:r w:rsidRPr="002C5A78">
        <w:rPr>
          <w:rStyle w:val="TextoNormalNegritaCaracter"/>
        </w:rPr>
        <w:t>Disposición transitoria cuarta, apartado 3.</w:t>
      </w:r>
      <w:r w:rsidRPr="002C5A78">
        <w:rPr>
          <w:rStyle w:val="TextoNormalCaracter"/>
        </w:rPr>
        <w:t>-</w:t>
      </w:r>
      <w:r>
        <w:t xml:space="preserve"> Sentencia </w:t>
      </w:r>
      <w:hyperlink w:anchor="SENTENCIA_2021_112" w:history="1">
        <w:r w:rsidRPr="002C5A78">
          <w:rPr>
            <w:rStyle w:val="TextoNormalCaracter"/>
          </w:rPr>
          <w:t>112/2021</w:t>
        </w:r>
      </w:hyperlink>
      <w:r>
        <w:t>, ff. 1, 4.</w:t>
      </w:r>
    </w:p>
    <w:p w:rsidR="002C5A78" w:rsidRDefault="002C5A78" w:rsidP="002C5A78">
      <w:pPr>
        <w:pStyle w:val="SangriaFrancesaArticulo"/>
      </w:pPr>
      <w:r w:rsidRPr="002C5A78">
        <w:rPr>
          <w:rStyle w:val="TextoNormalNegritaCaracter"/>
        </w:rPr>
        <w:t>Anexo I.</w:t>
      </w:r>
      <w:r w:rsidRPr="002C5A78">
        <w:rPr>
          <w:rStyle w:val="TextoNormalCaracter"/>
        </w:rPr>
        <w:t>-</w:t>
      </w:r>
      <w:r>
        <w:t xml:space="preserve"> Sentencia </w:t>
      </w:r>
      <w:hyperlink w:anchor="SENTENCIA_2021_112" w:history="1">
        <w:r w:rsidRPr="002C5A78">
          <w:rPr>
            <w:rStyle w:val="TextoNormalCaracter"/>
          </w:rPr>
          <w:t>112/2021</w:t>
        </w:r>
      </w:hyperlink>
      <w:r>
        <w:t>, ff. 1, 2, 5.</w:t>
      </w:r>
    </w:p>
    <w:p w:rsidR="002C5A78" w:rsidRDefault="002C5A78" w:rsidP="002C5A78">
      <w:pPr>
        <w:pStyle w:val="TextoNormal"/>
      </w:pPr>
    </w:p>
    <w:p w:rsidR="002C5A78" w:rsidRDefault="002C5A78" w:rsidP="002C5A78">
      <w:pPr>
        <w:pStyle w:val="TextoNormalNegritaCentradoSubrayado"/>
        <w:suppressAutoHyphens/>
      </w:pPr>
      <w:r>
        <w:t>J.11.c) Decretos y otras disposiciones reglamentarias</w:t>
      </w:r>
    </w:p>
    <w:p w:rsidR="002C5A78" w:rsidRDefault="002C5A78" w:rsidP="002C5A78">
      <w:pPr>
        <w:pStyle w:val="TextoNormalNegritaCentradoSubrayado"/>
      </w:pPr>
    </w:p>
    <w:p w:rsidR="002C5A78" w:rsidRDefault="002C5A78" w:rsidP="002C5A78">
      <w:pPr>
        <w:pStyle w:val="TextoNormalNegritaCursivandice"/>
        <w:keepNext/>
      </w:pPr>
      <w:r>
        <w:t>Orden de la Consejería de Agricultura, Agua y Medio Ambiente de la Región de Murcia de 3 de diciembre de 2003. Código de Buenas Prácticas Agrarias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 1.</w:t>
      </w:r>
    </w:p>
    <w:p w:rsidR="002C5A78" w:rsidRDefault="002C5A78" w:rsidP="002C5A78">
      <w:pPr>
        <w:pStyle w:val="TextoNormal"/>
      </w:pPr>
    </w:p>
    <w:p w:rsidR="002C5A78" w:rsidRDefault="002C5A78" w:rsidP="002C5A78">
      <w:pPr>
        <w:pStyle w:val="TextoNormalNegritaCentradoSubrayado"/>
        <w:suppressAutoHyphens/>
      </w:pPr>
      <w:r>
        <w:t>J.11.d) Normas parlamentarias autonómicas</w:t>
      </w:r>
    </w:p>
    <w:p w:rsidR="002C5A78" w:rsidRDefault="002C5A78" w:rsidP="002C5A78">
      <w:pPr>
        <w:pStyle w:val="TextoNormalNegritaCentradoSubrayado"/>
      </w:pPr>
    </w:p>
    <w:p w:rsidR="002C5A78" w:rsidRDefault="002C5A78" w:rsidP="002C5A78">
      <w:pPr>
        <w:pStyle w:val="TextoNormalNegritaCursivandice"/>
        <w:keepNext/>
      </w:pPr>
      <w:r>
        <w:t>Reglamento de la Asamblea Regional de Murcia, de 13 de junio de 2002</w:t>
      </w:r>
    </w:p>
    <w:p w:rsidR="002C5A78" w:rsidRDefault="002C5A78" w:rsidP="002C5A78">
      <w:pPr>
        <w:pStyle w:val="SangriaFrancesaArticulo"/>
      </w:pPr>
      <w:r w:rsidRPr="002C5A78">
        <w:rPr>
          <w:rStyle w:val="TextoNormalNegritaCaracter"/>
        </w:rPr>
        <w:t>Artículo 120.</w:t>
      </w:r>
      <w:r w:rsidRPr="002C5A78">
        <w:rPr>
          <w:rStyle w:val="TextoNormalCaracter"/>
        </w:rPr>
        <w:t>-</w:t>
      </w:r>
      <w:r>
        <w:t xml:space="preserve"> Sentencia </w:t>
      </w:r>
      <w:hyperlink w:anchor="SENTENCIA_2021_53" w:history="1">
        <w:r w:rsidRPr="002C5A78">
          <w:rPr>
            <w:rStyle w:val="TextoNormalCaracter"/>
          </w:rPr>
          <w:t>53/2021</w:t>
        </w:r>
      </w:hyperlink>
      <w:r>
        <w:t>, ff. 1, 4, 6.</w:t>
      </w:r>
    </w:p>
    <w:p w:rsidR="002C5A78" w:rsidRDefault="002C5A78" w:rsidP="002C5A78">
      <w:pPr>
        <w:pStyle w:val="SangriaFrancesaArticulo"/>
      </w:pPr>
      <w:r w:rsidRPr="002C5A78">
        <w:rPr>
          <w:rStyle w:val="TextoNormalNegritaCaracter"/>
        </w:rPr>
        <w:t>Artículo 120.1.</w:t>
      </w:r>
      <w:r w:rsidRPr="002C5A78">
        <w:rPr>
          <w:rStyle w:val="TextoNormalCaracter"/>
        </w:rPr>
        <w:t>-</w:t>
      </w:r>
      <w:r>
        <w:t xml:space="preserve"> Sentencia </w:t>
      </w:r>
      <w:hyperlink w:anchor="SENTENCIA_2021_53" w:history="1">
        <w:r w:rsidRPr="002C5A78">
          <w:rPr>
            <w:rStyle w:val="TextoNormalCaracter"/>
          </w:rPr>
          <w:t>53/2021</w:t>
        </w:r>
      </w:hyperlink>
      <w:r>
        <w:t>, ff. 4, 6.</w:t>
      </w:r>
    </w:p>
    <w:p w:rsidR="002C5A78" w:rsidRDefault="002C5A78" w:rsidP="002C5A78">
      <w:pPr>
        <w:pStyle w:val="SangriaFrancesaArticulo"/>
      </w:pPr>
    </w:p>
    <w:p w:rsidR="002C5A78" w:rsidRDefault="002C5A78" w:rsidP="002C5A78">
      <w:pPr>
        <w:pStyle w:val="TextoNormalNegritaCursivandice"/>
        <w:keepNext/>
      </w:pPr>
      <w:r>
        <w:t>Acuerdo de la mesa de la Asamblea Regional de Murcia, de 28 de mayo de 2018. Acuerdo 6 de septiembre de 2018, desestimatorio de la solicitud de reconsideración del anterior.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3" w:history="1">
        <w:r w:rsidRPr="002C5A78">
          <w:rPr>
            <w:rStyle w:val="TextoNormalCaracter"/>
          </w:rPr>
          <w:t>53/2021</w:t>
        </w:r>
      </w:hyperlink>
      <w:r>
        <w:t>, ff. 1, 6.</w:t>
      </w:r>
    </w:p>
    <w:p w:rsidR="002C5A78" w:rsidRDefault="002C5A78" w:rsidP="002C5A78">
      <w:pPr>
        <w:pStyle w:val="SangriaFrancesaArticulo"/>
      </w:pPr>
    </w:p>
    <w:p w:rsidR="002C5A78" w:rsidRDefault="002C5A78" w:rsidP="002C5A78">
      <w:pPr>
        <w:pStyle w:val="TextoNormalNegritaCursivandice"/>
        <w:keepNext/>
      </w:pPr>
      <w:r>
        <w:t>Reglamento de la Asamblea Regional de Murcia, de 7 de marzo de 2019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3" w:history="1">
        <w:r w:rsidRPr="002C5A78">
          <w:rPr>
            <w:rStyle w:val="TextoNormalCaracter"/>
          </w:rPr>
          <w:t>53/2021</w:t>
        </w:r>
      </w:hyperlink>
      <w:r>
        <w:t>, f. 1.</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J.12) Navarra</w:t>
      </w:r>
    </w:p>
    <w:p w:rsidR="002C5A78" w:rsidRDefault="002C5A78" w:rsidP="002C5A78">
      <w:pPr>
        <w:pStyle w:val="TextoNormal"/>
      </w:pPr>
    </w:p>
    <w:p w:rsidR="002C5A78" w:rsidRDefault="002C5A78" w:rsidP="002C5A78">
      <w:pPr>
        <w:pStyle w:val="TextoNormalNegritaCentradoSubrayado"/>
        <w:suppressAutoHyphens/>
      </w:pPr>
      <w:r>
        <w:t>J.12.b)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Comunidad Foral de Navarra. Ley Foral 24/2013, de 2 de julio, de medidas urgentes para garantizar el derecho a la vivienda en Navarra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p>
    <w:p w:rsidR="002C5A78" w:rsidRDefault="002C5A78" w:rsidP="002C5A78">
      <w:pPr>
        <w:pStyle w:val="TextoNormalNegritaCursivandice"/>
        <w:keepNext/>
      </w:pPr>
      <w:r>
        <w:t>Ley Foral del Parlamento de Navarra 16/2015, de 10 de abril. Reconoce y repara las víctimas por actos de motivación política provocados por grupos de extrema derecha o funcionarios públicos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08" w:history="1">
        <w:r w:rsidRPr="002C5A78">
          <w:rPr>
            <w:rStyle w:val="TextoNormalCaracter"/>
          </w:rPr>
          <w:t>108/2021</w:t>
        </w:r>
      </w:hyperlink>
      <w:r>
        <w:t xml:space="preserve">, ff. 1 a 3; </w:t>
      </w:r>
      <w:hyperlink w:anchor="SENTENCIA_2021_135" w:history="1">
        <w:r w:rsidRPr="002C5A78">
          <w:rPr>
            <w:rStyle w:val="TextoNormalCaracter"/>
          </w:rPr>
          <w:t>135/2021</w:t>
        </w:r>
      </w:hyperlink>
      <w:r>
        <w:t>, ff. 1, 2.</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08" w:history="1">
        <w:r w:rsidRPr="002C5A78">
          <w:rPr>
            <w:rStyle w:val="TextoNormalCaracter"/>
          </w:rPr>
          <w:t>108/2021</w:t>
        </w:r>
      </w:hyperlink>
      <w:r>
        <w:t>, f. 3.</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2.4.</w:t>
      </w:r>
      <w:r w:rsidRPr="002C5A78">
        <w:rPr>
          <w:rStyle w:val="TextoNormalCaracter"/>
        </w:rPr>
        <w:t>-</w:t>
      </w:r>
      <w:r>
        <w:t xml:space="preserve"> Sentencia </w:t>
      </w:r>
      <w:hyperlink w:anchor="SENTENCIA_2021_108" w:history="1">
        <w:r w:rsidRPr="002C5A78">
          <w:rPr>
            <w:rStyle w:val="TextoNormalCaracter"/>
          </w:rPr>
          <w:t>108/2021</w:t>
        </w:r>
      </w:hyperlink>
      <w:r>
        <w:t>, ff. 4, 5.</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3.7.</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p>
    <w:p w:rsidR="002C5A78" w:rsidRDefault="002C5A78" w:rsidP="002C5A78">
      <w:pPr>
        <w:pStyle w:val="TextoNormalNegritaCursivandice"/>
        <w:keepNext/>
      </w:pPr>
      <w:r>
        <w:t>Ley Foral del Parlamento de Navarra 11/2019, de 11 de marzo. Administración de la Comunidad Foral de Navarra y del sector público institucional foral</w:t>
      </w:r>
    </w:p>
    <w:p w:rsidR="002C5A78" w:rsidRDefault="002C5A78" w:rsidP="002C5A78">
      <w:pPr>
        <w:pStyle w:val="SangriaFrancesaArticulo"/>
      </w:pPr>
      <w:r w:rsidRPr="002C5A78">
        <w:rPr>
          <w:rStyle w:val="TextoNormalNegritaCaracter"/>
        </w:rPr>
        <w:t>Artículo 10.3.</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116.1.</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116.2.</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p>
    <w:p w:rsidR="002C5A78" w:rsidRDefault="002C5A78" w:rsidP="002C5A78">
      <w:pPr>
        <w:pStyle w:val="TextoNormalNegritaCursivandice"/>
        <w:keepNext/>
      </w:pPr>
      <w:r>
        <w:t>Ley Foral del Parlamento de Navarra 16/2019, de 26 de marzo. Reconocimiento y reparación de las víctimas por actos de motivación política provocados por grupos de extrema derecha o funcionarios públicos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08" w:history="1">
        <w:r w:rsidRPr="002C5A78">
          <w:rPr>
            <w:rStyle w:val="TextoNormalCaracter"/>
          </w:rPr>
          <w:t>108/2021</w:t>
        </w:r>
      </w:hyperlink>
      <w:r>
        <w:t xml:space="preserve">, ff. 1, 2, 4 a 6; </w:t>
      </w:r>
      <w:hyperlink w:anchor="SENTENCIA_2021_135" w:history="1">
        <w:r w:rsidRPr="002C5A78">
          <w:rPr>
            <w:rStyle w:val="TextoNormalCaracter"/>
          </w:rPr>
          <w:t>135/2021</w:t>
        </w:r>
      </w:hyperlink>
      <w:r>
        <w:t>, ff. 1 a 4.</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108" w:history="1">
        <w:r w:rsidRPr="002C5A78">
          <w:rPr>
            <w:rStyle w:val="TextoNormalCaracter"/>
          </w:rPr>
          <w:t>108/2021</w:t>
        </w:r>
      </w:hyperlink>
      <w:r>
        <w:t>, ff. 4, 5.</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Sentencias </w:t>
      </w:r>
      <w:hyperlink w:anchor="SENTENCIA_2021_108" w:history="1">
        <w:r w:rsidRPr="002C5A78">
          <w:rPr>
            <w:rStyle w:val="TextoNormalCaracter"/>
          </w:rPr>
          <w:t>108/2021</w:t>
        </w:r>
      </w:hyperlink>
      <w:r>
        <w:t xml:space="preserve">, ff. 4 a 6;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2 b).</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4.</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Sentencias </w:t>
      </w:r>
      <w:hyperlink w:anchor="SENTENCIA_2021_108" w:history="1">
        <w:r w:rsidRPr="002C5A78">
          <w:rPr>
            <w:rStyle w:val="TextoNormalCaracter"/>
          </w:rPr>
          <w:t>108/2021</w:t>
        </w:r>
      </w:hyperlink>
      <w:r>
        <w:t xml:space="preserve">, ff. 4, 5;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Sentencias </w:t>
      </w:r>
      <w:hyperlink w:anchor="SENTENCIA_2021_108" w:history="1">
        <w:r w:rsidRPr="002C5A78">
          <w:rPr>
            <w:rStyle w:val="TextoNormalCaracter"/>
          </w:rPr>
          <w:t>108/2021</w:t>
        </w:r>
      </w:hyperlink>
      <w:r>
        <w:t xml:space="preserve">, f. 2;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Sentencias </w:t>
      </w:r>
      <w:hyperlink w:anchor="SENTENCIA_2021_108" w:history="1">
        <w:r w:rsidRPr="002C5A78">
          <w:rPr>
            <w:rStyle w:val="TextoNormalCaracter"/>
          </w:rPr>
          <w:t>108/2021</w:t>
        </w:r>
      </w:hyperlink>
      <w:r>
        <w:t xml:space="preserve">, ff. 4, 5;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ff. 3, 4.</w:t>
      </w:r>
    </w:p>
    <w:p w:rsidR="002C5A78" w:rsidRDefault="002C5A78" w:rsidP="002C5A78">
      <w:pPr>
        <w:pStyle w:val="SangriaFrancesaArticulo"/>
      </w:pPr>
      <w:r w:rsidRPr="002C5A78">
        <w:rPr>
          <w:rStyle w:val="TextoNormalNegritaCaracter"/>
        </w:rPr>
        <w:t>Artículo 5.2.</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Sentencias </w:t>
      </w:r>
      <w:hyperlink w:anchor="SENTENCIA_2021_108" w:history="1">
        <w:r w:rsidRPr="002C5A78">
          <w:rPr>
            <w:rStyle w:val="TextoNormalCaracter"/>
          </w:rPr>
          <w:t>108/2021</w:t>
        </w:r>
      </w:hyperlink>
      <w:r>
        <w:t xml:space="preserve">, ff. 4 a 6, 8; </w:t>
      </w:r>
      <w:hyperlink w:anchor="SENTENCIA_2021_135" w:history="1">
        <w:r w:rsidRPr="002C5A78">
          <w:rPr>
            <w:rStyle w:val="TextoNormalCaracter"/>
          </w:rPr>
          <w:t>135/2021</w:t>
        </w:r>
      </w:hyperlink>
      <w:r>
        <w:t>, f. 4.</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Sentencias </w:t>
      </w:r>
      <w:hyperlink w:anchor="SENTENCIA_2021_108" w:history="1">
        <w:r w:rsidRPr="002C5A78">
          <w:rPr>
            <w:rStyle w:val="TextoNormalCaracter"/>
          </w:rPr>
          <w:t>108/2021</w:t>
        </w:r>
      </w:hyperlink>
      <w:r>
        <w:t xml:space="preserve">, ff. 4 a 7; </w:t>
      </w:r>
      <w:hyperlink w:anchor="SENTENCIA_2021_135" w:history="1">
        <w:r w:rsidRPr="002C5A78">
          <w:rPr>
            <w:rStyle w:val="TextoNormalCaracter"/>
          </w:rPr>
          <w:t>135/2021</w:t>
        </w:r>
      </w:hyperlink>
      <w:r>
        <w:t>, f. 4.</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08" w:history="1">
        <w:r w:rsidRPr="002C5A78">
          <w:rPr>
            <w:rStyle w:val="TextoNormalCaracter"/>
          </w:rPr>
          <w:t>108/2021</w:t>
        </w:r>
      </w:hyperlink>
      <w:r>
        <w:t>, ff. 4 a 6, 8.</w:t>
      </w:r>
    </w:p>
    <w:p w:rsidR="002C5A78" w:rsidRDefault="002C5A78" w:rsidP="002C5A78">
      <w:pPr>
        <w:pStyle w:val="SangriaFrancesaArticulo"/>
      </w:pPr>
      <w:r w:rsidRPr="002C5A78">
        <w:rPr>
          <w:rStyle w:val="TextoNormalNegritaCaracter"/>
        </w:rPr>
        <w:t>Artículo 6 parrafo 1.</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6 parrafo 3.</w:t>
      </w:r>
      <w:r w:rsidRPr="002C5A78">
        <w:rPr>
          <w:rStyle w:val="TextoNormalCaracter"/>
        </w:rPr>
        <w:t>-</w:t>
      </w:r>
      <w:r>
        <w:t xml:space="preserve"> Sentencias </w:t>
      </w:r>
      <w:hyperlink w:anchor="SENTENCIA_2021_108" w:history="1">
        <w:r w:rsidRPr="002C5A78">
          <w:rPr>
            <w:rStyle w:val="TextoNormalCaracter"/>
          </w:rPr>
          <w:t>108/2021</w:t>
        </w:r>
      </w:hyperlink>
      <w:r>
        <w:t xml:space="preserve">, ff. 4, 5, 8; </w:t>
      </w:r>
      <w:hyperlink w:anchor="SENTENCIA_2021_135" w:history="1">
        <w:r w:rsidRPr="002C5A78">
          <w:rPr>
            <w:rStyle w:val="TextoNormalCaracter"/>
          </w:rPr>
          <w:t>135/2021</w:t>
        </w:r>
      </w:hyperlink>
      <w:r>
        <w:t>, f. 4.</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Sentencias </w:t>
      </w:r>
      <w:hyperlink w:anchor="SENTENCIA_2021_108" w:history="1">
        <w:r w:rsidRPr="002C5A78">
          <w:rPr>
            <w:rStyle w:val="TextoNormalCaracter"/>
          </w:rPr>
          <w:t>108/2021</w:t>
        </w:r>
      </w:hyperlink>
      <w:r>
        <w:t xml:space="preserve">, ff. 2, 4;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 </w:t>
      </w:r>
      <w:hyperlink w:anchor="SENTENCIA_2021_108" w:history="1">
        <w:r w:rsidRPr="002C5A78">
          <w:rPr>
            <w:rStyle w:val="TextoNormalCaracter"/>
          </w:rPr>
          <w:t>108/2021</w:t>
        </w:r>
      </w:hyperlink>
      <w:r>
        <w:t>, ff. 2, 4.</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9.3.</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9.3 inciso "sin perjuicio de las actuaciones y gestiones que pueda realizar la Comisión para la documentación y acreditación de los mismos".</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10.</w:t>
      </w:r>
      <w:r w:rsidRPr="002C5A78">
        <w:rPr>
          <w:rStyle w:val="TextoNormalCaracter"/>
        </w:rPr>
        <w:t>-</w:t>
      </w:r>
      <w:r>
        <w:t xml:space="preserve"> Sentencia </w:t>
      </w:r>
      <w:hyperlink w:anchor="SENTENCIA_2021_108" w:history="1">
        <w:r w:rsidRPr="002C5A78">
          <w:rPr>
            <w:rStyle w:val="TextoNormalCaracter"/>
          </w:rPr>
          <w:t>108/2021</w:t>
        </w:r>
      </w:hyperlink>
      <w:r>
        <w:t>, ff. 4, 5.</w:t>
      </w:r>
    </w:p>
    <w:p w:rsidR="002C5A78" w:rsidRDefault="002C5A78" w:rsidP="002C5A78">
      <w:pPr>
        <w:pStyle w:val="SangriaFrancesaArticulo"/>
      </w:pPr>
      <w:r w:rsidRPr="002C5A78">
        <w:rPr>
          <w:rStyle w:val="TextoNormalNegritaCaracter"/>
        </w:rPr>
        <w:t>Artículo 10.1.</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10.2.</w:t>
      </w:r>
      <w:r w:rsidRPr="002C5A78">
        <w:rPr>
          <w:rStyle w:val="TextoNormalCaracter"/>
        </w:rPr>
        <w:t>-</w:t>
      </w:r>
      <w:r>
        <w:t xml:space="preserve"> Sentencias </w:t>
      </w:r>
      <w:hyperlink w:anchor="SENTENCIA_2021_108" w:history="1">
        <w:r w:rsidRPr="002C5A78">
          <w:rPr>
            <w:rStyle w:val="TextoNormalCaracter"/>
          </w:rPr>
          <w:t>108/2021</w:t>
        </w:r>
      </w:hyperlink>
      <w:r>
        <w:t xml:space="preserve">, ff. 5, 7, 8;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10.2 a).</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10.2 b).</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10.2 c).</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10.2 d).</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10.2 e).</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10.3.</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10.4.</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ff. 3, 4.</w:t>
      </w:r>
    </w:p>
    <w:p w:rsidR="002C5A78" w:rsidRDefault="002C5A78" w:rsidP="002C5A78">
      <w:pPr>
        <w:pStyle w:val="SangriaFrancesaArticulo"/>
      </w:pPr>
      <w:r w:rsidRPr="002C5A78">
        <w:rPr>
          <w:rStyle w:val="TextoNormalNegritaCaracter"/>
        </w:rPr>
        <w:t>Artículo 10.5.</w:t>
      </w:r>
      <w:r w:rsidRPr="002C5A78">
        <w:rPr>
          <w:rStyle w:val="TextoNormalCaracter"/>
        </w:rPr>
        <w:t>-</w:t>
      </w:r>
      <w:r>
        <w:t xml:space="preserve"> Sentencias </w:t>
      </w:r>
      <w:hyperlink w:anchor="SENTENCIA_2021_108" w:history="1">
        <w:r w:rsidRPr="002C5A78">
          <w:rPr>
            <w:rStyle w:val="TextoNormalCaracter"/>
          </w:rPr>
          <w:t>108/2021</w:t>
        </w:r>
      </w:hyperlink>
      <w:r>
        <w:t xml:space="preserve">, ff. 4 a 7; </w:t>
      </w:r>
      <w:hyperlink w:anchor="SENTENCIA_2021_135" w:history="1">
        <w:r w:rsidRPr="002C5A78">
          <w:rPr>
            <w:rStyle w:val="TextoNormalCaracter"/>
          </w:rPr>
          <w:t>135/2021</w:t>
        </w:r>
      </w:hyperlink>
      <w:r>
        <w:t>, ff. 3, 4.</w:t>
      </w:r>
    </w:p>
    <w:p w:rsidR="002C5A78" w:rsidRDefault="002C5A78" w:rsidP="002C5A78">
      <w:pPr>
        <w:pStyle w:val="SangriaFrancesaArticulo"/>
      </w:pPr>
      <w:r w:rsidRPr="002C5A78">
        <w:rPr>
          <w:rStyle w:val="TextoNormalNegritaCaracter"/>
        </w:rPr>
        <w:t>Artículo 10.6.</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10.7.</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108" w:history="1">
        <w:r w:rsidRPr="002C5A78">
          <w:rPr>
            <w:rStyle w:val="TextoNormalCaracter"/>
          </w:rPr>
          <w:t>108/2021</w:t>
        </w:r>
      </w:hyperlink>
      <w:r>
        <w:t>, ff. 4, 5.</w:t>
      </w:r>
    </w:p>
    <w:p w:rsidR="002C5A78" w:rsidRDefault="002C5A78" w:rsidP="002C5A78">
      <w:pPr>
        <w:pStyle w:val="SangriaFrancesaArticulo"/>
      </w:pPr>
      <w:r w:rsidRPr="002C5A78">
        <w:rPr>
          <w:rStyle w:val="TextoNormalNegritaCaracter"/>
        </w:rPr>
        <w:t>Artículo 11.1.</w:t>
      </w:r>
      <w:r w:rsidRPr="002C5A78">
        <w:rPr>
          <w:rStyle w:val="TextoNormalCaracter"/>
        </w:rPr>
        <w:t>-</w:t>
      </w:r>
      <w:r>
        <w:t xml:space="preserve"> Sentencias </w:t>
      </w:r>
      <w:hyperlink w:anchor="SENTENCIA_2021_108" w:history="1">
        <w:r w:rsidRPr="002C5A78">
          <w:rPr>
            <w:rStyle w:val="TextoNormalCaracter"/>
          </w:rPr>
          <w:t>108/2021</w:t>
        </w:r>
      </w:hyperlink>
      <w:r>
        <w:t xml:space="preserve">, f. 5;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11.1 párrafo 1 inciso "realizará un resumen de los hechos que ocasionaron la vulneración de los derechos humanos de la víctima".</w:t>
      </w:r>
      <w:r w:rsidRPr="002C5A78">
        <w:rPr>
          <w:rStyle w:val="TextoNormalCaracter"/>
        </w:rPr>
        <w:t>-</w:t>
      </w:r>
      <w:r>
        <w:t xml:space="preserve"> Sentencias </w:t>
      </w:r>
      <w:hyperlink w:anchor="SENTENCIA_2021_108" w:history="1">
        <w:r w:rsidRPr="002C5A78">
          <w:rPr>
            <w:rStyle w:val="TextoNormalCaracter"/>
          </w:rPr>
          <w:t>108/2021</w:t>
        </w:r>
      </w:hyperlink>
      <w:r>
        <w:t xml:space="preserve">; </w:t>
      </w:r>
      <w:hyperlink w:anchor="SENTENCIA_2021_135" w:history="1">
        <w:r w:rsidRPr="002C5A78">
          <w:rPr>
            <w:rStyle w:val="TextoNormalCaracter"/>
          </w:rPr>
          <w:t>135/2021</w:t>
        </w:r>
      </w:hyperlink>
      <w:r>
        <w:t>, f. 3.</w:t>
      </w:r>
    </w:p>
    <w:p w:rsidR="002C5A78" w:rsidRDefault="002C5A78" w:rsidP="002C5A78">
      <w:pPr>
        <w:pStyle w:val="SangriaFrancesaArticulo"/>
      </w:pPr>
      <w:r w:rsidRPr="002C5A78">
        <w:rPr>
          <w:rStyle w:val="TextoNormalNegritaCaracter"/>
        </w:rPr>
        <w:t>Artículo 11.2.</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11.3.</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Artículo 11.4.</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r w:rsidRPr="002C5A78">
        <w:rPr>
          <w:rStyle w:val="TextoNormalNegritaCaracter"/>
        </w:rPr>
        <w:t>Artrículo 8.</w:t>
      </w:r>
      <w:r w:rsidRPr="002C5A78">
        <w:rPr>
          <w:rStyle w:val="TextoNormalCaracter"/>
        </w:rPr>
        <w:t>-</w:t>
      </w:r>
      <w:r>
        <w:t xml:space="preserve"> Sentencia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Sentencias </w:t>
      </w:r>
      <w:hyperlink w:anchor="SENTENCIA_2021_108" w:history="1">
        <w:r w:rsidRPr="002C5A78">
          <w:rPr>
            <w:rStyle w:val="TextoNormalCaracter"/>
          </w:rPr>
          <w:t>108/2021</w:t>
        </w:r>
      </w:hyperlink>
      <w:r>
        <w:t xml:space="preserve">, f. 2;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13.1.</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108" w:history="1">
        <w:r w:rsidRPr="002C5A78">
          <w:rPr>
            <w:rStyle w:val="TextoNormalCaracter"/>
          </w:rPr>
          <w:t>108/2021</w:t>
        </w:r>
      </w:hyperlink>
      <w:r>
        <w:t>, ff. 4, 8.</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Sentencias </w:t>
      </w:r>
      <w:hyperlink w:anchor="SENTENCIA_2021_108" w:history="1">
        <w:r w:rsidRPr="002C5A78">
          <w:rPr>
            <w:rStyle w:val="TextoNormalCaracter"/>
          </w:rPr>
          <w:t>108/2021</w:t>
        </w:r>
      </w:hyperlink>
      <w:r>
        <w:t xml:space="preserve">, ff. 2, 4;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Sentencias </w:t>
      </w:r>
      <w:hyperlink w:anchor="SENTENCIA_2021_108" w:history="1">
        <w:r w:rsidRPr="002C5A78">
          <w:rPr>
            <w:rStyle w:val="TextoNormalCaracter"/>
          </w:rPr>
          <w:t>108/2021</w:t>
        </w:r>
      </w:hyperlink>
      <w:r>
        <w:t xml:space="preserve">, ff. 2, 4;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108" w:history="1">
        <w:r w:rsidRPr="002C5A78">
          <w:rPr>
            <w:rStyle w:val="TextoNormalCaracter"/>
          </w:rPr>
          <w:t>108/2021</w:t>
        </w:r>
      </w:hyperlink>
      <w:r>
        <w:t>, ff. 4, 8.</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Sentencias </w:t>
      </w:r>
      <w:hyperlink w:anchor="SENTENCIA_2021_108" w:history="1">
        <w:r w:rsidRPr="002C5A78">
          <w:rPr>
            <w:rStyle w:val="TextoNormalCaracter"/>
          </w:rPr>
          <w:t>108/2021</w:t>
        </w:r>
      </w:hyperlink>
      <w:r>
        <w:t xml:space="preserve">, ff. 2, 4;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Artículo 23.</w:t>
      </w:r>
      <w:r w:rsidRPr="002C5A78">
        <w:rPr>
          <w:rStyle w:val="TextoNormalCaracter"/>
        </w:rPr>
        <w:t>-</w:t>
      </w:r>
      <w:r>
        <w:t xml:space="preserve"> Sentencias </w:t>
      </w:r>
      <w:hyperlink w:anchor="SENTENCIA_2021_108" w:history="1">
        <w:r w:rsidRPr="002C5A78">
          <w:rPr>
            <w:rStyle w:val="TextoNormalCaracter"/>
          </w:rPr>
          <w:t>108/2021</w:t>
        </w:r>
      </w:hyperlink>
      <w:r>
        <w:t xml:space="preserve">, ff. 2, 4;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Disposición adicional segunda.</w:t>
      </w:r>
      <w:r w:rsidRPr="002C5A78">
        <w:rPr>
          <w:rStyle w:val="TextoNormalCaracter"/>
        </w:rPr>
        <w:t>-</w:t>
      </w:r>
      <w:r>
        <w:t xml:space="preserve"> Sentencias </w:t>
      </w:r>
      <w:hyperlink w:anchor="SENTENCIA_2021_108" w:history="1">
        <w:r w:rsidRPr="002C5A78">
          <w:rPr>
            <w:rStyle w:val="TextoNormalCaracter"/>
          </w:rPr>
          <w:t>108/2021</w:t>
        </w:r>
      </w:hyperlink>
      <w:r>
        <w:t xml:space="preserve">, f. 2; </w:t>
      </w:r>
      <w:hyperlink w:anchor="SENTENCIA_2021_135" w:history="1">
        <w:r w:rsidRPr="002C5A78">
          <w:rPr>
            <w:rStyle w:val="TextoNormalCaracter"/>
          </w:rPr>
          <w:t>135/2021</w:t>
        </w:r>
      </w:hyperlink>
      <w:r>
        <w:t>, f.</w:t>
      </w:r>
    </w:p>
    <w:p w:rsidR="002C5A78" w:rsidRDefault="002C5A78" w:rsidP="002C5A78">
      <w:pPr>
        <w:pStyle w:val="SangriaFrancesaArticulo"/>
      </w:pPr>
      <w:r w:rsidRPr="002C5A78">
        <w:rPr>
          <w:rStyle w:val="TextoNormalNegritaCaracter"/>
        </w:rPr>
        <w:t>Disposición adicional tercera.</w:t>
      </w:r>
      <w:r w:rsidRPr="002C5A78">
        <w:rPr>
          <w:rStyle w:val="TextoNormalCaracter"/>
        </w:rPr>
        <w:t>-</w:t>
      </w:r>
      <w:r>
        <w:t xml:space="preserve"> Sentencias </w:t>
      </w:r>
      <w:hyperlink w:anchor="SENTENCIA_2021_108" w:history="1">
        <w:r w:rsidRPr="002C5A78">
          <w:rPr>
            <w:rStyle w:val="TextoNormalCaracter"/>
          </w:rPr>
          <w:t>108/2021</w:t>
        </w:r>
      </w:hyperlink>
      <w:r>
        <w:t xml:space="preserve">, f. 2;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Disposición derogatoria única.</w:t>
      </w:r>
      <w:r w:rsidRPr="002C5A78">
        <w:rPr>
          <w:rStyle w:val="TextoNormalCaracter"/>
        </w:rPr>
        <w:t>-</w:t>
      </w:r>
      <w:r>
        <w:t xml:space="preserve"> Sentencias </w:t>
      </w:r>
      <w:hyperlink w:anchor="SENTENCIA_2021_108" w:history="1">
        <w:r w:rsidRPr="002C5A78">
          <w:rPr>
            <w:rStyle w:val="TextoNormalCaracter"/>
          </w:rPr>
          <w:t>108/2021</w:t>
        </w:r>
      </w:hyperlink>
      <w:r>
        <w:t xml:space="preserve">, f. 2; </w:t>
      </w:r>
      <w:hyperlink w:anchor="SENTENCIA_2021_135" w:history="1">
        <w:r w:rsidRPr="002C5A78">
          <w:rPr>
            <w:rStyle w:val="TextoNormalCaracter"/>
          </w:rPr>
          <w:t>135/2021</w:t>
        </w:r>
      </w:hyperlink>
      <w:r>
        <w:t>, f. 2.</w:t>
      </w:r>
    </w:p>
    <w:p w:rsidR="002C5A78" w:rsidRDefault="002C5A78" w:rsidP="002C5A78">
      <w:pPr>
        <w:pStyle w:val="SangriaFrancesaArticulo"/>
      </w:pPr>
      <w:r w:rsidRPr="002C5A78">
        <w:rPr>
          <w:rStyle w:val="TextoNormalNegritaCaracter"/>
        </w:rPr>
        <w:t>Disposición final única.</w:t>
      </w:r>
      <w:r w:rsidRPr="002C5A78">
        <w:rPr>
          <w:rStyle w:val="TextoNormalCaracter"/>
        </w:rPr>
        <w:t>-</w:t>
      </w:r>
      <w:r>
        <w:t xml:space="preserve"> Sentencias </w:t>
      </w:r>
      <w:hyperlink w:anchor="SENTENCIA_2021_108" w:history="1">
        <w:r w:rsidRPr="002C5A78">
          <w:rPr>
            <w:rStyle w:val="TextoNormalCaracter"/>
          </w:rPr>
          <w:t>108/2021</w:t>
        </w:r>
      </w:hyperlink>
      <w:r>
        <w:t xml:space="preserve">, f. 2; </w:t>
      </w:r>
      <w:hyperlink w:anchor="SENTENCIA_2021_135" w:history="1">
        <w:r w:rsidRPr="002C5A78">
          <w:rPr>
            <w:rStyle w:val="TextoNormalCaracter"/>
          </w:rPr>
          <w:t>135/2021</w:t>
        </w:r>
      </w:hyperlink>
      <w:r>
        <w:t>, f. 2.</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J.13) País Vasco</w:t>
      </w:r>
    </w:p>
    <w:p w:rsidR="002C5A78" w:rsidRDefault="002C5A78" w:rsidP="002C5A78">
      <w:pPr>
        <w:pStyle w:val="TextoNormal"/>
      </w:pPr>
    </w:p>
    <w:p w:rsidR="002C5A78" w:rsidRDefault="002C5A78" w:rsidP="002C5A78">
      <w:pPr>
        <w:pStyle w:val="TextoNormalNegritaCentradoSubrayado"/>
        <w:suppressAutoHyphens/>
      </w:pPr>
      <w:r>
        <w:t>J.13.a) Estatuto de Autonomía</w:t>
      </w:r>
    </w:p>
    <w:p w:rsidR="002C5A78" w:rsidRDefault="002C5A78" w:rsidP="002C5A78">
      <w:pPr>
        <w:pStyle w:val="TextoNormalNegritaCentradoSubrayado"/>
      </w:pPr>
    </w:p>
    <w:p w:rsidR="002C5A78" w:rsidRDefault="002C5A78" w:rsidP="002C5A78">
      <w:pPr>
        <w:pStyle w:val="TextoNormalNegritaCursivandice"/>
        <w:keepNext/>
      </w:pPr>
      <w:r>
        <w:t>Ley Orgánica 3/1979, de 18 de diciembre, de Estatuto de Autonomía para el País Vasco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8" w:history="1">
        <w:r w:rsidRPr="002C5A78">
          <w:rPr>
            <w:rStyle w:val="TextoNormalCaracter"/>
          </w:rPr>
          <w:t>38/2021</w:t>
        </w:r>
      </w:hyperlink>
      <w:r>
        <w:t>, f. 3.</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37" w:history="1">
        <w:r w:rsidRPr="002C5A78">
          <w:rPr>
            <w:rStyle w:val="TextoNormalCaracter"/>
          </w:rPr>
          <w:t>37/2021</w:t>
        </w:r>
      </w:hyperlink>
      <w:r>
        <w:t>, ff. 1, 7, 8.</w:t>
      </w:r>
    </w:p>
    <w:p w:rsidR="002C5A78" w:rsidRDefault="002C5A78" w:rsidP="002C5A78">
      <w:pPr>
        <w:pStyle w:val="SangriaFrancesaArticulo"/>
      </w:pPr>
      <w:r w:rsidRPr="002C5A78">
        <w:rPr>
          <w:rStyle w:val="TextoNormalNegritaCaracter"/>
        </w:rPr>
        <w:t>Artículo 10.2.</w:t>
      </w:r>
      <w:r w:rsidRPr="002C5A78">
        <w:rPr>
          <w:rStyle w:val="TextoNormalCaracter"/>
        </w:rPr>
        <w:t>-</w:t>
      </w:r>
      <w:r>
        <w:t xml:space="preserve"> Sentencia </w:t>
      </w:r>
      <w:hyperlink w:anchor="SENTENCIA_2021_37" w:history="1">
        <w:r w:rsidRPr="002C5A78">
          <w:rPr>
            <w:rStyle w:val="TextoNormalCaracter"/>
          </w:rPr>
          <w:t>37/2021</w:t>
        </w:r>
      </w:hyperlink>
      <w:r>
        <w:t>, f. 4.</w:t>
      </w:r>
    </w:p>
    <w:p w:rsidR="002C5A78" w:rsidRDefault="002C5A78" w:rsidP="002C5A78">
      <w:pPr>
        <w:pStyle w:val="SangriaFrancesaArticulo"/>
      </w:pPr>
      <w:r w:rsidRPr="002C5A78">
        <w:rPr>
          <w:rStyle w:val="TextoNormalNegritaCaracter"/>
        </w:rPr>
        <w:t>Artículo 10.4.</w:t>
      </w:r>
      <w:r w:rsidRPr="002C5A78">
        <w:rPr>
          <w:rStyle w:val="TextoNormalCaracter"/>
        </w:rPr>
        <w:t>-</w:t>
      </w:r>
      <w:r>
        <w:t xml:space="preserve"> Sentencias </w:t>
      </w:r>
      <w:hyperlink w:anchor="SENTENCIA_2021_37" w:history="1">
        <w:r w:rsidRPr="002C5A78">
          <w:rPr>
            <w:rStyle w:val="TextoNormalCaracter"/>
          </w:rPr>
          <w:t>37/2021</w:t>
        </w:r>
      </w:hyperlink>
      <w:r>
        <w:t xml:space="preserve">, f. 4; </w:t>
      </w:r>
      <w:hyperlink w:anchor="SENTENCIA_2021_38" w:history="1">
        <w:r w:rsidRPr="002C5A78">
          <w:rPr>
            <w:rStyle w:val="TextoNormalCaracter"/>
          </w:rPr>
          <w:t>38/2021</w:t>
        </w:r>
      </w:hyperlink>
      <w:r>
        <w:t>, f. 3.</w:t>
      </w:r>
    </w:p>
    <w:p w:rsidR="002C5A78" w:rsidRDefault="002C5A78" w:rsidP="002C5A78">
      <w:pPr>
        <w:pStyle w:val="SangriaFrancesaArticulo"/>
      </w:pPr>
      <w:r w:rsidRPr="002C5A78">
        <w:rPr>
          <w:rStyle w:val="TextoNormalNegritaCaracter"/>
        </w:rPr>
        <w:t>Artículo 10.6.</w:t>
      </w:r>
      <w:r w:rsidRPr="002C5A78">
        <w:rPr>
          <w:rStyle w:val="TextoNormalCaracter"/>
        </w:rPr>
        <w:t>-</w:t>
      </w:r>
      <w:r>
        <w:t xml:space="preserve"> Sentencia </w:t>
      </w:r>
      <w:hyperlink w:anchor="SENTENCIA_2021_37" w:history="1">
        <w:r w:rsidRPr="002C5A78">
          <w:rPr>
            <w:rStyle w:val="TextoNormalCaracter"/>
          </w:rPr>
          <w:t>37/2021</w:t>
        </w:r>
      </w:hyperlink>
      <w:r>
        <w:t>, ff. 1, 4, 5.</w:t>
      </w:r>
    </w:p>
    <w:p w:rsidR="002C5A78" w:rsidRDefault="002C5A78" w:rsidP="002C5A78">
      <w:pPr>
        <w:pStyle w:val="SangriaFrancesaArticulo"/>
      </w:pPr>
      <w:r w:rsidRPr="002C5A78">
        <w:rPr>
          <w:rStyle w:val="TextoNormalNegritaCaracter"/>
        </w:rPr>
        <w:t>Artículo 10.28.</w:t>
      </w:r>
      <w:r w:rsidRPr="002C5A78">
        <w:rPr>
          <w:rStyle w:val="TextoNormalCaracter"/>
        </w:rPr>
        <w:t>-</w:t>
      </w:r>
      <w:r>
        <w:t xml:space="preserve"> Sentencia </w:t>
      </w:r>
      <w:hyperlink w:anchor="SENTENCIA_2021_72" w:history="1">
        <w:r w:rsidRPr="002C5A78">
          <w:rPr>
            <w:rStyle w:val="TextoNormalCaracter"/>
          </w:rPr>
          <w:t>72/2021</w:t>
        </w:r>
      </w:hyperlink>
      <w:r>
        <w:t>, f. 5.</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37" w:history="1">
        <w:r w:rsidRPr="002C5A78">
          <w:rPr>
            <w:rStyle w:val="TextoNormalCaracter"/>
          </w:rPr>
          <w:t>37/2021</w:t>
        </w:r>
      </w:hyperlink>
      <w:r>
        <w:t>, ff. 1, 4, 5.</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38" w:history="1">
        <w:r w:rsidRPr="002C5A78">
          <w:rPr>
            <w:rStyle w:val="TextoNormalCaracter"/>
          </w:rPr>
          <w:t>38/2021</w:t>
        </w:r>
      </w:hyperlink>
      <w:r>
        <w:t>, f. 3.</w:t>
      </w:r>
    </w:p>
    <w:p w:rsidR="002C5A78" w:rsidRDefault="002C5A78" w:rsidP="002C5A78">
      <w:pPr>
        <w:pStyle w:val="SangriaFrancesaArticulo"/>
      </w:pPr>
      <w:r w:rsidRPr="002C5A78">
        <w:rPr>
          <w:rStyle w:val="TextoNormalNegritaCaracter"/>
        </w:rPr>
        <w:t>Artículo 25.</w:t>
      </w:r>
      <w:r w:rsidRPr="002C5A78">
        <w:rPr>
          <w:rStyle w:val="TextoNormalCaracter"/>
        </w:rPr>
        <w:t>-</w:t>
      </w:r>
      <w:r>
        <w:t xml:space="preserve"> Sentencia </w:t>
      </w:r>
      <w:hyperlink w:anchor="SENTENCIA_2021_37" w:history="1">
        <w:r w:rsidRPr="002C5A78">
          <w:rPr>
            <w:rStyle w:val="TextoNormalCaracter"/>
          </w:rPr>
          <w:t>37/2021</w:t>
        </w:r>
      </w:hyperlink>
      <w:r>
        <w:t>, f. 5.</w:t>
      </w:r>
    </w:p>
    <w:p w:rsidR="002C5A78" w:rsidRDefault="002C5A78" w:rsidP="002C5A78">
      <w:pPr>
        <w:pStyle w:val="SangriaFrancesaArticulo"/>
      </w:pPr>
      <w:r w:rsidRPr="002C5A78">
        <w:rPr>
          <w:rStyle w:val="TextoNormalNegritaCaracter"/>
        </w:rPr>
        <w:t>Artículo 27.</w:t>
      </w:r>
      <w:r w:rsidRPr="002C5A78">
        <w:rPr>
          <w:rStyle w:val="TextoNormalCaracter"/>
        </w:rPr>
        <w:t>-</w:t>
      </w:r>
      <w:r>
        <w:t xml:space="preserve"> Sentencia </w:t>
      </w:r>
      <w:hyperlink w:anchor="SENTENCIA_2021_37" w:history="1">
        <w:r w:rsidRPr="002C5A78">
          <w:rPr>
            <w:rStyle w:val="TextoNormalCaracter"/>
          </w:rPr>
          <w:t>37/2021</w:t>
        </w:r>
      </w:hyperlink>
      <w:r>
        <w:t>, f. 5.</w:t>
      </w:r>
    </w:p>
    <w:p w:rsidR="002C5A78" w:rsidRDefault="002C5A78" w:rsidP="002C5A78">
      <w:pPr>
        <w:pStyle w:val="TextoNormal"/>
      </w:pPr>
    </w:p>
    <w:p w:rsidR="002C5A78" w:rsidRDefault="002C5A78" w:rsidP="002C5A78">
      <w:pPr>
        <w:pStyle w:val="TextoNormalNegritaCentradoSubrayado"/>
        <w:suppressAutoHyphens/>
      </w:pPr>
      <w:r>
        <w:t>J.13.b)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del Parlamento Vasco 3/1998, de 27 de febrero. General de protección del medio ambiente del País Vasco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5" w:history="1">
        <w:r w:rsidRPr="002C5A78">
          <w:rPr>
            <w:rStyle w:val="TextoNormalCaracter"/>
          </w:rPr>
          <w:t>15/2021</w:t>
        </w:r>
      </w:hyperlink>
      <w:r>
        <w:t>, ff. 3, 4.</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15" w:history="1">
        <w:r w:rsidRPr="002C5A78">
          <w:rPr>
            <w:rStyle w:val="TextoNormalCaracter"/>
          </w:rPr>
          <w:t>15/2021</w:t>
        </w:r>
      </w:hyperlink>
      <w:r>
        <w:t>, ff. 1 a 4.</w:t>
      </w:r>
    </w:p>
    <w:p w:rsidR="002C5A78" w:rsidRDefault="002C5A78" w:rsidP="002C5A78">
      <w:pPr>
        <w:pStyle w:val="SangriaFrancesaArticulo"/>
      </w:pPr>
      <w:r w:rsidRPr="002C5A78">
        <w:rPr>
          <w:rStyle w:val="TextoNormalNegritaCaracter"/>
        </w:rPr>
        <w:t>Artículo 3.4 inciso "como jurisdiccional".</w:t>
      </w:r>
      <w:r w:rsidRPr="002C5A78">
        <w:rPr>
          <w:rStyle w:val="TextoNormalCaracter"/>
        </w:rPr>
        <w:t>-</w:t>
      </w:r>
      <w:r>
        <w:t xml:space="preserve"> Sentencia </w:t>
      </w:r>
      <w:hyperlink w:anchor="SENTENCIA_2021_15" w:history="1">
        <w:r w:rsidRPr="002C5A78">
          <w:rPr>
            <w:rStyle w:val="TextoNormalCaracter"/>
          </w:rPr>
          <w:t>15/2021</w:t>
        </w:r>
      </w:hyperlink>
      <w:r>
        <w:t>, ff. 1, 3, 4.</w:t>
      </w:r>
    </w:p>
    <w:p w:rsidR="002C5A78" w:rsidRDefault="002C5A78" w:rsidP="002C5A78">
      <w:pPr>
        <w:pStyle w:val="SangriaFrancesaArticulo"/>
      </w:pPr>
    </w:p>
    <w:p w:rsidR="002C5A78" w:rsidRDefault="002C5A78" w:rsidP="002C5A78">
      <w:pPr>
        <w:pStyle w:val="TextoNormalNegritaCursivandice"/>
        <w:keepNext/>
      </w:pPr>
      <w:r>
        <w:t>Ley del Parlamento Vasco 3/2015, de 18 de junio.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15" w:history="1">
        <w:r w:rsidRPr="002C5A78">
          <w:rPr>
            <w:rStyle w:val="TextoNormalCaracter"/>
          </w:rPr>
          <w:t>15/2021</w:t>
        </w:r>
      </w:hyperlink>
      <w:r>
        <w:t>, f. 3.</w:t>
      </w:r>
    </w:p>
    <w:p w:rsidR="002C5A78" w:rsidRDefault="002C5A78" w:rsidP="002C5A78">
      <w:pPr>
        <w:pStyle w:val="SangriaFrancesaArticulo"/>
      </w:pPr>
    </w:p>
    <w:p w:rsidR="002C5A78" w:rsidRDefault="002C5A78" w:rsidP="002C5A78">
      <w:pPr>
        <w:pStyle w:val="TextoNormalNegritaCursivandice"/>
        <w:keepNext/>
      </w:pPr>
      <w:r>
        <w:t>Ley del Parlamento Vasco 12/2016, de 28 de julio. Reconocimiento y reparación de víctimas de vulneraciones de derechos humanos en el contexto de la violencia de motivación política en la Comunidad Autónoma del País Vasco entre 1978 y 1999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08" w:history="1">
        <w:r w:rsidRPr="002C5A78">
          <w:rPr>
            <w:rStyle w:val="TextoNormalCaracter"/>
          </w:rPr>
          <w:t>108/2021</w:t>
        </w:r>
      </w:hyperlink>
      <w:r>
        <w:t>, ff. 3, 5.</w:t>
      </w:r>
    </w:p>
    <w:p w:rsidR="002C5A78" w:rsidRDefault="002C5A78" w:rsidP="002C5A78">
      <w:pPr>
        <w:pStyle w:val="SangriaFrancesaArticulo"/>
      </w:pPr>
      <w:r w:rsidRPr="002C5A78">
        <w:rPr>
          <w:rStyle w:val="TextoNormalNegritaCaracter"/>
        </w:rPr>
        <w:t>Artículo 2.2 b).</w:t>
      </w:r>
      <w:r w:rsidRPr="002C5A78">
        <w:rPr>
          <w:rStyle w:val="TextoNormalCaracter"/>
        </w:rPr>
        <w:t>-</w:t>
      </w:r>
      <w:r>
        <w:t xml:space="preserve"> Sentencia </w:t>
      </w:r>
      <w:hyperlink w:anchor="SENTENCIA_2021_108" w:history="1">
        <w:r w:rsidRPr="002C5A78">
          <w:rPr>
            <w:rStyle w:val="TextoNormalCaracter"/>
          </w:rPr>
          <w:t>108/2021</w:t>
        </w:r>
      </w:hyperlink>
      <w:r>
        <w:t>, f. 6.</w:t>
      </w:r>
    </w:p>
    <w:p w:rsidR="002C5A78" w:rsidRDefault="002C5A78" w:rsidP="002C5A78">
      <w:pPr>
        <w:pStyle w:val="SangriaFrancesaArticulo"/>
      </w:pPr>
      <w:r w:rsidRPr="002C5A78">
        <w:rPr>
          <w:rStyle w:val="TextoNormalNegritaCaracter"/>
        </w:rPr>
        <w:t>Artículo 4.2 d).</w:t>
      </w:r>
      <w:r w:rsidRPr="002C5A78">
        <w:rPr>
          <w:rStyle w:val="TextoNormalCaracter"/>
        </w:rPr>
        <w:t>-</w:t>
      </w:r>
      <w:r>
        <w:t xml:space="preserve"> Sentencia </w:t>
      </w:r>
      <w:hyperlink w:anchor="SENTENCIA_2021_108" w:history="1">
        <w:r w:rsidRPr="002C5A78">
          <w:rPr>
            <w:rStyle w:val="TextoNormalCaracter"/>
          </w:rPr>
          <w:t>108/2021</w:t>
        </w:r>
      </w:hyperlink>
      <w:r>
        <w:t>, f. 8.</w:t>
      </w:r>
    </w:p>
    <w:p w:rsidR="002C5A78" w:rsidRDefault="002C5A78" w:rsidP="002C5A78">
      <w:pPr>
        <w:pStyle w:val="SangriaFrancesaArticulo"/>
      </w:pPr>
      <w:r w:rsidRPr="002C5A78">
        <w:rPr>
          <w:rStyle w:val="TextoNormalNegritaCaracter"/>
        </w:rPr>
        <w:t>Artículo 7</w:t>
      </w:r>
      <w:r>
        <w:t xml:space="preserve"> (redactado por la Ley 5/2019, de 4 de abril)</w:t>
      </w:r>
      <w:r w:rsidRPr="002C5A78">
        <w:rPr>
          <w:rStyle w:val="TextoNormalNegritaCaracter"/>
        </w:rPr>
        <w:t>.</w:t>
      </w:r>
      <w:r w:rsidRPr="002C5A78">
        <w:rPr>
          <w:rStyle w:val="TextoNormalCaracter"/>
        </w:rPr>
        <w:t>-</w:t>
      </w:r>
      <w:r>
        <w:t xml:space="preserve"> Sentencia </w:t>
      </w:r>
      <w:hyperlink w:anchor="SENTENCIA_2021_108" w:history="1">
        <w:r w:rsidRPr="002C5A78">
          <w:rPr>
            <w:rStyle w:val="TextoNormalCaracter"/>
          </w:rPr>
          <w:t>108/2021</w:t>
        </w:r>
      </w:hyperlink>
      <w:r>
        <w:t>, f. 5.</w:t>
      </w:r>
    </w:p>
    <w:p w:rsidR="002C5A78" w:rsidRDefault="002C5A78" w:rsidP="002C5A78">
      <w:pPr>
        <w:pStyle w:val="SangriaFrancesaArticulo"/>
      </w:pPr>
    </w:p>
    <w:p w:rsidR="002C5A78" w:rsidRDefault="002C5A78" w:rsidP="002C5A78">
      <w:pPr>
        <w:pStyle w:val="TextoNormalNegritaCursivandice"/>
        <w:keepNext/>
      </w:pPr>
      <w:r>
        <w:t>Ley del Parlamento Vasco 5/2019, de 4 de abril. Modifica la Ley 12/2016, de 28 de julio, de reconocimiento y reparación de víctimas de vulneraciones de derechos humanos en el contexto de la violencia de motivación política en la Comunidad Autónoma del País Vasco entre 1978 y 1999.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08" w:history="1">
        <w:r w:rsidRPr="002C5A78">
          <w:rPr>
            <w:rStyle w:val="TextoNormalCaracter"/>
          </w:rPr>
          <w:t>108/2021</w:t>
        </w:r>
      </w:hyperlink>
      <w:r>
        <w:t xml:space="preserve">, ff. 3, 5; </w:t>
      </w:r>
      <w:hyperlink w:anchor="SENTENCIA_2021_135" w:history="1">
        <w:r w:rsidRPr="002C5A78">
          <w:rPr>
            <w:rStyle w:val="TextoNormalCaracter"/>
          </w:rPr>
          <w:t>135/2021</w:t>
        </w:r>
      </w:hyperlink>
      <w:r>
        <w:t>, f. 3.</w:t>
      </w:r>
    </w:p>
    <w:p w:rsidR="002C5A78" w:rsidRDefault="002C5A78" w:rsidP="002C5A78">
      <w:pPr>
        <w:pStyle w:val="SangriaFrancesaArticulo"/>
      </w:pPr>
    </w:p>
    <w:p w:rsidR="002C5A78" w:rsidRDefault="002C5A78" w:rsidP="002C5A78">
      <w:pPr>
        <w:pStyle w:val="TextoNormalNegritaCursivandice"/>
        <w:keepNext/>
      </w:pPr>
      <w:r>
        <w:t>Ley del Parlamento Vasco 7/2019, de 27 de junio. Quinta modificación de la Ley de policía del País Vasco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8" w:history="1">
        <w:r w:rsidRPr="002C5A78">
          <w:rPr>
            <w:rStyle w:val="TextoNormalCaracter"/>
          </w:rPr>
          <w:t>38/2021</w:t>
        </w:r>
      </w:hyperlink>
      <w:r>
        <w:t>, f. 2.</w:t>
      </w:r>
    </w:p>
    <w:p w:rsidR="002C5A78" w:rsidRDefault="002C5A78" w:rsidP="002C5A78">
      <w:pPr>
        <w:pStyle w:val="SangriaFrancesaArticulo"/>
      </w:pPr>
      <w:r w:rsidRPr="002C5A78">
        <w:rPr>
          <w:rStyle w:val="TextoNormalNegritaCaracter"/>
        </w:rPr>
        <w:t>Disposición transitoria décima.</w:t>
      </w:r>
      <w:r w:rsidRPr="002C5A78">
        <w:rPr>
          <w:rStyle w:val="TextoNormalCaracter"/>
        </w:rPr>
        <w:t>-</w:t>
      </w:r>
      <w:r>
        <w:t xml:space="preserve"> Sentencia </w:t>
      </w:r>
      <w:hyperlink w:anchor="SENTENCIA_2021_38" w:history="1">
        <w:r w:rsidRPr="002C5A78">
          <w:rPr>
            <w:rStyle w:val="TextoNormalCaracter"/>
          </w:rPr>
          <w:t>38/2021</w:t>
        </w:r>
      </w:hyperlink>
      <w:r>
        <w:t>, ff. 2, 3.</w:t>
      </w:r>
    </w:p>
    <w:p w:rsidR="002C5A78" w:rsidRDefault="002C5A78" w:rsidP="002C5A78">
      <w:pPr>
        <w:pStyle w:val="SangriaFrancesaArticulo"/>
      </w:pPr>
      <w:r w:rsidRPr="002C5A78">
        <w:rPr>
          <w:rStyle w:val="TextoNormalNegritaCaracter"/>
        </w:rPr>
        <w:t>Disposición transitoria décima, apartado 2.</w:t>
      </w:r>
      <w:r w:rsidRPr="002C5A78">
        <w:rPr>
          <w:rStyle w:val="TextoNormalCaracter"/>
        </w:rPr>
        <w:t>-</w:t>
      </w:r>
      <w:r>
        <w:t xml:space="preserve"> Sentencia </w:t>
      </w:r>
      <w:hyperlink w:anchor="SENTENCIA_2021_38" w:history="1">
        <w:r w:rsidRPr="002C5A78">
          <w:rPr>
            <w:rStyle w:val="TextoNormalCaracter"/>
          </w:rPr>
          <w:t>38/2021</w:t>
        </w:r>
      </w:hyperlink>
      <w:r>
        <w:t>, ff. 1 a 4.</w:t>
      </w:r>
    </w:p>
    <w:p w:rsidR="002C5A78" w:rsidRDefault="002C5A78" w:rsidP="002C5A78">
      <w:pPr>
        <w:pStyle w:val="SangriaFrancesaArticulo"/>
      </w:pPr>
    </w:p>
    <w:p w:rsidR="002C5A78" w:rsidRDefault="002C5A78" w:rsidP="002C5A78">
      <w:pPr>
        <w:pStyle w:val="TextoNormalNegritaCursivandice"/>
        <w:keepNext/>
      </w:pPr>
      <w:r>
        <w:t>Decreto Legislativo del Gobierno Vasco 1/2020, de 22 de julio, por el que se aprueba el texto refundido de la Ley de policía del País Vasco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8" w:history="1">
        <w:r w:rsidRPr="002C5A78">
          <w:rPr>
            <w:rStyle w:val="TextoNormalCaracter"/>
          </w:rPr>
          <w:t>38/2021</w:t>
        </w:r>
      </w:hyperlink>
      <w:r>
        <w:t>, f. 2.</w:t>
      </w:r>
    </w:p>
    <w:p w:rsidR="002C5A78" w:rsidRDefault="002C5A78" w:rsidP="002C5A78">
      <w:pPr>
        <w:pStyle w:val="SangriaFrancesaArticulo"/>
      </w:pPr>
      <w:r w:rsidRPr="002C5A78">
        <w:rPr>
          <w:rStyle w:val="TextoNormalNegritaCaracter"/>
        </w:rPr>
        <w:t>Disposición transitoria novena, apartado 2.</w:t>
      </w:r>
      <w:r w:rsidRPr="002C5A78">
        <w:rPr>
          <w:rStyle w:val="TextoNormalCaracter"/>
        </w:rPr>
        <w:t>-</w:t>
      </w:r>
      <w:r>
        <w:t xml:space="preserve"> Sentencia </w:t>
      </w:r>
      <w:hyperlink w:anchor="SENTENCIA_2021_38" w:history="1">
        <w:r w:rsidRPr="002C5A78">
          <w:rPr>
            <w:rStyle w:val="TextoNormalCaracter"/>
          </w:rPr>
          <w:t>38/2021</w:t>
        </w:r>
      </w:hyperlink>
      <w:r>
        <w:t>, ff. 2, 5.</w:t>
      </w:r>
    </w:p>
    <w:p w:rsidR="002C5A78" w:rsidRDefault="002C5A78" w:rsidP="002C5A78">
      <w:pPr>
        <w:pStyle w:val="SangriaFrancesaArticulo"/>
      </w:pPr>
      <w:r w:rsidRPr="002C5A78">
        <w:rPr>
          <w:rStyle w:val="TextoNormalNegritaCaracter"/>
        </w:rPr>
        <w:t>Disposición derogatoria.</w:t>
      </w:r>
      <w:r w:rsidRPr="002C5A78">
        <w:rPr>
          <w:rStyle w:val="TextoNormalCaracter"/>
        </w:rPr>
        <w:t>-</w:t>
      </w:r>
      <w:r>
        <w:t xml:space="preserve"> Sentencia </w:t>
      </w:r>
      <w:hyperlink w:anchor="SENTENCIA_2021_38" w:history="1">
        <w:r w:rsidRPr="002C5A78">
          <w:rPr>
            <w:rStyle w:val="TextoNormalCaracter"/>
          </w:rPr>
          <w:t>38/2021</w:t>
        </w:r>
      </w:hyperlink>
      <w:r>
        <w:t>, f. 2.</w:t>
      </w:r>
    </w:p>
    <w:p w:rsidR="002C5A78" w:rsidRDefault="002C5A78" w:rsidP="002C5A78">
      <w:pPr>
        <w:pStyle w:val="TextoNormal"/>
      </w:pPr>
    </w:p>
    <w:p w:rsidR="002C5A78" w:rsidRDefault="002C5A78" w:rsidP="002C5A78">
      <w:pPr>
        <w:pStyle w:val="TextoNormalNegritaCentradoSubrayado"/>
        <w:suppressAutoHyphens/>
      </w:pPr>
      <w:r>
        <w:t>J.13.d) Normas parlamentarias autonómicas</w:t>
      </w:r>
    </w:p>
    <w:p w:rsidR="002C5A78" w:rsidRDefault="002C5A78" w:rsidP="002C5A78">
      <w:pPr>
        <w:pStyle w:val="TextoNormalNegritaCentradoSubrayado"/>
      </w:pPr>
    </w:p>
    <w:p w:rsidR="002C5A78" w:rsidRDefault="002C5A78" w:rsidP="002C5A78">
      <w:pPr>
        <w:pStyle w:val="TextoNormalNegritaCursivandice"/>
        <w:keepNext/>
      </w:pPr>
      <w:r>
        <w:t>Acuerdo de la mesa del Parlamento Vasco, de 13 de agosto de 2020, por el que se establecen los órdenes del día y los tiempos de debate en las sesiones plenarias y se deniegan otras solicitudes. Acuerdo del mismo órgano, de 8 de septiembre de 2020, que rechaza la solicitud de reconsideración del anterior</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42" w:history="1">
        <w:r w:rsidRPr="002C5A78">
          <w:rPr>
            <w:rStyle w:val="TextoNormalCaracter"/>
          </w:rPr>
          <w:t>42/2021</w:t>
        </w:r>
      </w:hyperlink>
      <w:r>
        <w:t>, f. 2.</w:t>
      </w:r>
    </w:p>
    <w:p w:rsidR="002C5A78" w:rsidRDefault="002C5A78" w:rsidP="002C5A78">
      <w:pPr>
        <w:pStyle w:val="TextoNormal"/>
      </w:pPr>
    </w:p>
    <w:p w:rsidR="002C5A78" w:rsidRDefault="002C5A78" w:rsidP="002C5A78">
      <w:pPr>
        <w:pStyle w:val="TextoNormalNegritaCentrado"/>
        <w:suppressAutoHyphens/>
      </w:pPr>
      <w:r w:rsidRPr="002C5A78">
        <w:rPr>
          <w:rStyle w:val="TextoNormalNegritaCentradoSombreado"/>
        </w:rPr>
        <w:t>J.14) Valencia</w:t>
      </w:r>
    </w:p>
    <w:p w:rsidR="002C5A78" w:rsidRDefault="002C5A78" w:rsidP="002C5A78">
      <w:pPr>
        <w:pStyle w:val="TextoNormal"/>
      </w:pPr>
    </w:p>
    <w:p w:rsidR="002C5A78" w:rsidRDefault="002C5A78" w:rsidP="002C5A78">
      <w:pPr>
        <w:pStyle w:val="TextoNormalNegritaCentradoSubrayado"/>
        <w:suppressAutoHyphens/>
      </w:pPr>
      <w:r>
        <w:t>J.14.b) Leyes y disposiciones con fuerza de Ley</w:t>
      </w:r>
    </w:p>
    <w:p w:rsidR="002C5A78" w:rsidRDefault="002C5A78" w:rsidP="002C5A78">
      <w:pPr>
        <w:pStyle w:val="TextoNormalNegritaCentradoSubrayado"/>
      </w:pPr>
    </w:p>
    <w:p w:rsidR="002C5A78" w:rsidRDefault="002C5A78" w:rsidP="002C5A78">
      <w:pPr>
        <w:pStyle w:val="TextoNormalNegritaCursivandice"/>
        <w:keepNext/>
      </w:pPr>
      <w:r>
        <w:t>Ley de las Cortes Valenciana 11/2000, de 28 de diciembre. Medidas fiscales, de gestión administrativa y financiera, y de organización de la Generalidad Valenciana</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109" w:history="1">
        <w:r w:rsidRPr="002C5A78">
          <w:rPr>
            <w:rStyle w:val="TextoNormalCaracter"/>
          </w:rPr>
          <w:t>109/2021</w:t>
        </w:r>
      </w:hyperlink>
      <w:r>
        <w:t>, f. 1.</w:t>
      </w:r>
    </w:p>
    <w:p w:rsidR="002C5A78" w:rsidRDefault="002C5A78" w:rsidP="002C5A78">
      <w:pPr>
        <w:pStyle w:val="SangriaFrancesaArticulo"/>
      </w:pPr>
      <w:r w:rsidRPr="002C5A78">
        <w:rPr>
          <w:rStyle w:val="TextoNormalNegritaCaracter"/>
        </w:rPr>
        <w:t>Artículo 54.</w:t>
      </w:r>
      <w:r w:rsidRPr="002C5A78">
        <w:rPr>
          <w:rStyle w:val="TextoNormalCaracter"/>
        </w:rPr>
        <w:t>-</w:t>
      </w:r>
      <w:r>
        <w:t xml:space="preserve"> Sentencia </w:t>
      </w:r>
      <w:hyperlink w:anchor="SENTENCIA_2021_109" w:history="1">
        <w:r w:rsidRPr="002C5A78">
          <w:rPr>
            <w:rStyle w:val="TextoNormalCaracter"/>
          </w:rPr>
          <w:t>109/2021</w:t>
        </w:r>
      </w:hyperlink>
      <w:r>
        <w:t>, ff. 1, 4.</w:t>
      </w:r>
    </w:p>
    <w:p w:rsidR="002C5A78" w:rsidRDefault="002C5A78" w:rsidP="002C5A78">
      <w:pPr>
        <w:pStyle w:val="SangriaFrancesaArticulo"/>
      </w:pPr>
      <w:r w:rsidRPr="002C5A78">
        <w:rPr>
          <w:rStyle w:val="TextoNormalNegritaCaracter"/>
        </w:rPr>
        <w:t>Artículo 55.</w:t>
      </w:r>
      <w:r w:rsidRPr="002C5A78">
        <w:rPr>
          <w:rStyle w:val="TextoNormalCaracter"/>
        </w:rPr>
        <w:t>-</w:t>
      </w:r>
      <w:r>
        <w:t xml:space="preserve"> Sentencia </w:t>
      </w:r>
      <w:hyperlink w:anchor="SENTENCIA_2021_109" w:history="1">
        <w:r w:rsidRPr="002C5A78">
          <w:rPr>
            <w:rStyle w:val="TextoNormalCaracter"/>
          </w:rPr>
          <w:t>109/2021</w:t>
        </w:r>
      </w:hyperlink>
      <w:r>
        <w:t>, f. 1.</w:t>
      </w:r>
    </w:p>
    <w:p w:rsidR="002C5A78" w:rsidRDefault="002C5A78" w:rsidP="002C5A78">
      <w:pPr>
        <w:pStyle w:val="SangriaFrancesaArticulo"/>
      </w:pPr>
      <w:r w:rsidRPr="002C5A78">
        <w:rPr>
          <w:rStyle w:val="TextoNormalNegritaCaracter"/>
        </w:rPr>
        <w:t>Artículo 56.</w:t>
      </w:r>
      <w:r w:rsidRPr="002C5A78">
        <w:rPr>
          <w:rStyle w:val="TextoNormalCaracter"/>
        </w:rPr>
        <w:t>-</w:t>
      </w:r>
      <w:r>
        <w:t xml:space="preserve"> Sentencia </w:t>
      </w:r>
      <w:hyperlink w:anchor="SENTENCIA_2021_109" w:history="1">
        <w:r w:rsidRPr="002C5A78">
          <w:rPr>
            <w:rStyle w:val="TextoNormalCaracter"/>
          </w:rPr>
          <w:t>109/2021</w:t>
        </w:r>
      </w:hyperlink>
      <w:r>
        <w:t>, f. 1.</w:t>
      </w:r>
    </w:p>
    <w:p w:rsidR="002C5A78" w:rsidRDefault="002C5A78" w:rsidP="002C5A78">
      <w:pPr>
        <w:pStyle w:val="SangriaFrancesaArticulo"/>
      </w:pPr>
    </w:p>
    <w:p w:rsidR="002C5A78" w:rsidRDefault="002C5A78" w:rsidP="002C5A78">
      <w:pPr>
        <w:pStyle w:val="TextoNormalNegritaCursivandice"/>
        <w:keepNext/>
      </w:pPr>
      <w:r>
        <w:t>Comunitat Valenciana. Ley 4/2007, de 9 de febrero, de coordinación del sistema universitario valenciano</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6" w:history="1">
        <w:r w:rsidRPr="002C5A78">
          <w:rPr>
            <w:rStyle w:val="TextoNormalCaracter"/>
          </w:rPr>
          <w:t>6/2021</w:t>
        </w:r>
      </w:hyperlink>
      <w:r>
        <w:t xml:space="preserve">, f. 2; </w:t>
      </w:r>
      <w:hyperlink w:anchor="SENTENCIA_2021_19" w:history="1">
        <w:r w:rsidRPr="002C5A78">
          <w:rPr>
            <w:rStyle w:val="TextoNormalCaracter"/>
          </w:rPr>
          <w:t>19/2021</w:t>
        </w:r>
      </w:hyperlink>
      <w:r>
        <w:t xml:space="preserve">, f. 2; </w:t>
      </w:r>
      <w:hyperlink w:anchor="SENTENCIA_2021_42" w:history="1">
        <w:r w:rsidRPr="002C5A78">
          <w:rPr>
            <w:rStyle w:val="TextoNormalCaracter"/>
          </w:rPr>
          <w:t>42/2021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2.1 b).</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6" w:history="1">
        <w:r w:rsidRPr="002C5A78">
          <w:rPr>
            <w:rStyle w:val="TextoNormalCaracter"/>
          </w:rPr>
          <w:t>6/2021</w:t>
        </w:r>
      </w:hyperlink>
      <w:r>
        <w:t xml:space="preserve">, f. 2; </w:t>
      </w:r>
      <w:hyperlink w:anchor="SENTENCIA_2021_19" w:history="1">
        <w:r w:rsidRPr="002C5A78">
          <w:rPr>
            <w:rStyle w:val="TextoNormalCaracter"/>
          </w:rPr>
          <w:t>19/2021</w:t>
        </w:r>
      </w:hyperlink>
      <w:r>
        <w:t xml:space="preserve">, f. 2; </w:t>
      </w:r>
      <w:hyperlink w:anchor="SENTENCIA_2021_42" w:history="1">
        <w:r w:rsidRPr="002C5A78">
          <w:rPr>
            <w:rStyle w:val="TextoNormalCaracter"/>
          </w:rPr>
          <w:t>42/2021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p>
    <w:p w:rsidR="002C5A78" w:rsidRDefault="002C5A78" w:rsidP="002C5A78">
      <w:pPr>
        <w:pStyle w:val="TextoNormalNegritaCursivandice"/>
        <w:keepNext/>
      </w:pPr>
      <w:r>
        <w:t>Comunitat Valenciana. Ley 8/2007, de 2 de marzo, de ordenación de centros superiores de enseñanzas artísticas y de la creación del Instituto Superior de Enseñanzas Artísticas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8" w:history="1">
        <w:r w:rsidRPr="002C5A78">
          <w:rPr>
            <w:rStyle w:val="TextoNormalCaracter"/>
          </w:rPr>
          <w:t>138/2021</w:t>
        </w:r>
      </w:hyperlink>
      <w:r>
        <w:t>, f. 1.</w:t>
      </w:r>
    </w:p>
    <w:p w:rsidR="002C5A78" w:rsidRDefault="002C5A78" w:rsidP="002C5A78">
      <w:pPr>
        <w:pStyle w:val="SangriaFrancesaArticulo"/>
      </w:pPr>
    </w:p>
    <w:p w:rsidR="002C5A78" w:rsidRDefault="002C5A78" w:rsidP="002C5A78">
      <w:pPr>
        <w:pStyle w:val="TextoNormalNegritaCursivandice"/>
        <w:keepNext/>
      </w:pPr>
      <w:r>
        <w:t>Ley de las Cortes Valencianas 10/2010, de 9 de julio. Ordenación y gestión de la función pública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r w:rsidRPr="002C5A78">
        <w:rPr>
          <w:rStyle w:val="TextoNormalNegritaCaracter"/>
        </w:rPr>
        <w:t>Artículo 76.</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p>
    <w:p w:rsidR="002C5A78" w:rsidRDefault="002C5A78" w:rsidP="002C5A78">
      <w:pPr>
        <w:pStyle w:val="TextoNormalNegritaCursivandice"/>
        <w:keepNext/>
      </w:pPr>
      <w:r>
        <w:t>Decreto-ley del Consell de la Generalitat Valenciana 5/2013, de 7 de noviembre. Medidas urgentes para garantizar la prestación del servicio público de radio y televisión de titularidad de la Generalitat</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4" w:history="1">
        <w:r w:rsidRPr="002C5A78">
          <w:rPr>
            <w:rStyle w:val="TextoNormalCaracter"/>
          </w:rPr>
          <w:t>134/2021</w:t>
        </w:r>
      </w:hyperlink>
      <w:r>
        <w:t>, VP III.</w:t>
      </w:r>
    </w:p>
    <w:p w:rsidR="002C5A78" w:rsidRDefault="002C5A78" w:rsidP="002C5A78">
      <w:pPr>
        <w:pStyle w:val="SangriaFrancesaArticulo"/>
      </w:pPr>
    </w:p>
    <w:p w:rsidR="002C5A78" w:rsidRDefault="002C5A78" w:rsidP="002C5A78">
      <w:pPr>
        <w:pStyle w:val="TextoNormalNegritaCursivandice"/>
        <w:keepNext/>
      </w:pPr>
      <w:r>
        <w:t>Comunitat Valenciana. Ley 14/2016, de 30 de diciembre, de presupuestos de la Generalitat para el ejercicio 2017</w:t>
      </w:r>
    </w:p>
    <w:p w:rsidR="002C5A78" w:rsidRDefault="002C5A78" w:rsidP="002C5A78">
      <w:pPr>
        <w:pStyle w:val="SangriaFrancesaArticulo"/>
      </w:pPr>
      <w:r w:rsidRPr="002C5A78">
        <w:rPr>
          <w:rStyle w:val="TextoNormalNegritaCaracter"/>
        </w:rPr>
        <w:t>Disposición adicional trigesima tercera.</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r w:rsidRPr="002C5A78">
        <w:rPr>
          <w:rStyle w:val="TextoNormalNegritaCaracter"/>
        </w:rPr>
        <w:t>Disposición adicional trigesima tercera, apartado 1.</w:t>
      </w:r>
      <w:r w:rsidRPr="002C5A78">
        <w:rPr>
          <w:rStyle w:val="TextoNormalCaracter"/>
        </w:rPr>
        <w:t>-</w:t>
      </w:r>
      <w:r>
        <w:t xml:space="preserve"> Sentencia </w:t>
      </w:r>
      <w:hyperlink w:anchor="SENTENCIA_2021_109" w:history="1">
        <w:r w:rsidRPr="002C5A78">
          <w:rPr>
            <w:rStyle w:val="TextoNormalCaracter"/>
          </w:rPr>
          <w:t>109/2021</w:t>
        </w:r>
      </w:hyperlink>
      <w:r>
        <w:t>, ff. 1, 4.</w:t>
      </w:r>
    </w:p>
    <w:p w:rsidR="002C5A78" w:rsidRDefault="002C5A78" w:rsidP="002C5A78">
      <w:pPr>
        <w:pStyle w:val="SangriaFrancesaArticulo"/>
      </w:pPr>
      <w:r w:rsidRPr="002C5A78">
        <w:rPr>
          <w:rStyle w:val="TextoNormalNegritaCaracter"/>
        </w:rPr>
        <w:t>Disposición adicional trigesima tercera, apartado 2.</w:t>
      </w:r>
      <w:r w:rsidRPr="002C5A78">
        <w:rPr>
          <w:rStyle w:val="TextoNormalCaracter"/>
        </w:rPr>
        <w:t>-</w:t>
      </w:r>
      <w:r>
        <w:t xml:space="preserve"> Sentencia </w:t>
      </w:r>
      <w:hyperlink w:anchor="SENTENCIA_2021_109" w:history="1">
        <w:r w:rsidRPr="002C5A78">
          <w:rPr>
            <w:rStyle w:val="TextoNormalCaracter"/>
          </w:rPr>
          <w:t>109/2021</w:t>
        </w:r>
      </w:hyperlink>
      <w:r>
        <w:t>, ff. 2, 5.</w:t>
      </w:r>
    </w:p>
    <w:p w:rsidR="002C5A78" w:rsidRDefault="002C5A78" w:rsidP="002C5A78">
      <w:pPr>
        <w:pStyle w:val="SangriaFrancesaArticulo"/>
      </w:pPr>
    </w:p>
    <w:p w:rsidR="002C5A78" w:rsidRDefault="002C5A78" w:rsidP="002C5A78">
      <w:pPr>
        <w:pStyle w:val="TextoNormalNegritaCursivandice"/>
        <w:keepNext/>
      </w:pPr>
      <w:r>
        <w:t>Comunitat Valenciana. Ley 2/2017, de 3 de febrero, por la función social de la vivienda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6" w:history="1">
        <w:r w:rsidRPr="002C5A78">
          <w:rPr>
            <w:rStyle w:val="TextoNormalCaracter"/>
          </w:rPr>
          <w:t>16/2021</w:t>
        </w:r>
      </w:hyperlink>
      <w:r>
        <w:t>, f. 5.</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15" w:history="1">
        <w:r w:rsidRPr="002C5A78">
          <w:rPr>
            <w:rStyle w:val="TextoNormalCaracter"/>
          </w:rPr>
          <w:t>15/2021</w:t>
        </w:r>
      </w:hyperlink>
      <w:r>
        <w:t>, f. 3.</w:t>
      </w:r>
    </w:p>
    <w:p w:rsidR="002C5A78" w:rsidRDefault="002C5A78" w:rsidP="002C5A78">
      <w:pPr>
        <w:pStyle w:val="TextoNormal"/>
      </w:pPr>
    </w:p>
    <w:p w:rsidR="002C5A78" w:rsidRDefault="002C5A78" w:rsidP="002C5A78">
      <w:pPr>
        <w:pStyle w:val="TextoNormalNegritaCentradoSubrayado"/>
        <w:suppressAutoHyphens/>
      </w:pPr>
      <w:r>
        <w:t>J.14.c) Decretos y otras disposiciones reglamentarias</w:t>
      </w:r>
    </w:p>
    <w:p w:rsidR="002C5A78" w:rsidRDefault="002C5A78" w:rsidP="002C5A78">
      <w:pPr>
        <w:pStyle w:val="TextoNormalNegritaCentradoSubrayado"/>
      </w:pPr>
    </w:p>
    <w:p w:rsidR="002C5A78" w:rsidRDefault="002C5A78" w:rsidP="002C5A78">
      <w:pPr>
        <w:pStyle w:val="TextoNormalNegritaCursivandice"/>
        <w:keepNext/>
      </w:pPr>
      <w:r>
        <w:t>Comunitat Valenciana. Decreto 40/2002, de 5 de marzo, del Gobierno Valenciano, de medidas de apoyo a los estudiantes universitarios en la Comunidad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9" w:history="1">
        <w:r w:rsidRPr="002C5A78">
          <w:rPr>
            <w:rStyle w:val="TextoNormalCaracter"/>
          </w:rPr>
          <w:t>19/2021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p>
    <w:p w:rsidR="002C5A78" w:rsidRDefault="002C5A78" w:rsidP="002C5A78">
      <w:pPr>
        <w:pStyle w:val="TextoNormalNegritaCursivandice"/>
        <w:keepNext/>
      </w:pPr>
      <w:r>
        <w:t>Comunitat Valenciana. Decreto 88/2006, de 16 de junio, por el que se modifica el Decreto 40/2002, de 5 de marzo, de medidas de apoyo a los estudiantes universitarios en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Sentencias </w:t>
      </w:r>
      <w:hyperlink w:anchor="SENTENCIA_2021_6" w:history="1">
        <w:r w:rsidRPr="002C5A78">
          <w:rPr>
            <w:rStyle w:val="TextoNormalCaracter"/>
          </w:rPr>
          <w:t>6/2021</w:t>
        </w:r>
      </w:hyperlink>
      <w:r>
        <w:t xml:space="preserve">, f. 2; </w:t>
      </w:r>
      <w:hyperlink w:anchor="SENTENCIA_2021_19" w:history="1">
        <w:r w:rsidRPr="002C5A78">
          <w:rPr>
            <w:rStyle w:val="TextoNormalCaracter"/>
          </w:rPr>
          <w:t>19/2021</w:t>
        </w:r>
      </w:hyperlink>
      <w:r>
        <w:t>, f. 2.</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38" w:history="1">
        <w:r w:rsidRPr="002C5A78">
          <w:rPr>
            <w:rStyle w:val="TextoNormalCaracter"/>
          </w:rPr>
          <w:t>138/2021</w:t>
        </w:r>
      </w:hyperlink>
      <w:r>
        <w:t>, f. 3.</w:t>
      </w:r>
    </w:p>
    <w:p w:rsidR="002C5A78" w:rsidRDefault="002C5A78" w:rsidP="002C5A78">
      <w:pPr>
        <w:pStyle w:val="SangriaFrancesaArticulo"/>
      </w:pPr>
    </w:p>
    <w:p w:rsidR="002C5A78" w:rsidRDefault="002C5A78" w:rsidP="002C5A78">
      <w:pPr>
        <w:pStyle w:val="TextoNormalNegritaCursivandice"/>
        <w:keepNext/>
      </w:pPr>
      <w:r>
        <w:t>Decreto de la Generalitat Valenciana 39/2008, de 4 de abril de 2008. Convivencia en los centros docentes no universitarios sostenidos con fondos públicos y sobre los derechos y deberes del alumnado, padres, madres, tutores o tutoras, profesorado y personal de administración y servicios</w:t>
      </w:r>
    </w:p>
    <w:p w:rsidR="002C5A78" w:rsidRDefault="002C5A78" w:rsidP="002C5A78">
      <w:pPr>
        <w:pStyle w:val="SangriaFrancesaArticulo"/>
      </w:pPr>
      <w:r w:rsidRPr="002C5A78">
        <w:rPr>
          <w:rStyle w:val="TextoNormalNegritaCaracter"/>
        </w:rPr>
        <w:t>Artículo 29.2.</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r w:rsidRPr="002C5A78">
        <w:rPr>
          <w:rStyle w:val="TextoNormalNegritaCaracter"/>
        </w:rPr>
        <w:t>Artículo 43.3 a).</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r w:rsidRPr="002C5A78">
        <w:rPr>
          <w:rStyle w:val="TextoNormalNegritaCaracter"/>
        </w:rPr>
        <w:t>Artículo 45.1.</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r w:rsidRPr="002C5A78">
        <w:rPr>
          <w:rStyle w:val="TextoNormalNegritaCaracter"/>
        </w:rPr>
        <w:t>Artículo 49.1.</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r w:rsidRPr="002C5A78">
        <w:rPr>
          <w:rStyle w:val="TextoNormalNegritaCaracter"/>
        </w:rPr>
        <w:t>Artículo 49.2 d).</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r w:rsidRPr="002C5A78">
        <w:rPr>
          <w:rStyle w:val="TextoNormalNegritaCaracter"/>
        </w:rPr>
        <w:t>Artículo 49.3.</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r w:rsidRPr="002C5A78">
        <w:rPr>
          <w:rStyle w:val="TextoNormalNegritaCaracter"/>
        </w:rPr>
        <w:t>Artículo 49.4.</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r w:rsidRPr="002C5A78">
        <w:rPr>
          <w:rStyle w:val="TextoNormalNegritaCaracter"/>
        </w:rPr>
        <w:t>Artículo 49.8.</w:t>
      </w:r>
      <w:r w:rsidRPr="002C5A78">
        <w:rPr>
          <w:rStyle w:val="TextoNormalCaracter"/>
        </w:rPr>
        <w:t>-</w:t>
      </w:r>
      <w:r>
        <w:t xml:space="preserve"> Sentencia </w:t>
      </w:r>
      <w:hyperlink w:anchor="SENTENCIA_2021_81" w:history="1">
        <w:r w:rsidRPr="002C5A78">
          <w:rPr>
            <w:rStyle w:val="TextoNormalCaracter"/>
          </w:rPr>
          <w:t>81/2021</w:t>
        </w:r>
      </w:hyperlink>
      <w:r>
        <w:t>, VP.</w:t>
      </w:r>
    </w:p>
    <w:p w:rsidR="002C5A78" w:rsidRDefault="002C5A78" w:rsidP="002C5A78">
      <w:pPr>
        <w:pStyle w:val="SangriaFrancesaArticulo"/>
      </w:pPr>
    </w:p>
    <w:p w:rsidR="002C5A78" w:rsidRDefault="002C5A78" w:rsidP="002C5A78">
      <w:pPr>
        <w:pStyle w:val="TextoNormalNegritaCursivandice"/>
        <w:keepNext/>
      </w:pPr>
      <w:r>
        <w:t>Comunitat Valenciana. Orden 23/2015, de 1 de diciembre, de la Consellería de Educación, Investigación, Cultura y Deporte, por la que se convocan becas para el alumnado que inicia sus estu</w:t>
      </w:r>
      <w:r>
        <w:t>dios universitarios de grado y para el alumnado que vaya a finalizar sus estudios universitarios en el curso académi</w:t>
      </w:r>
      <w:r>
        <w:t>co 2015-2016 en las universidades públicas de la Comuni</w:t>
      </w:r>
      <w:r>
        <w:t>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 w:history="1">
        <w:r w:rsidRPr="002C5A78">
          <w:rPr>
            <w:rStyle w:val="TextoNormalCaracter"/>
          </w:rPr>
          <w:t>6/2021</w:t>
        </w:r>
      </w:hyperlink>
      <w:r>
        <w:t>, f. 1.</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6" w:history="1">
        <w:r w:rsidRPr="002C5A78">
          <w:rPr>
            <w:rStyle w:val="TextoNormalCaracter"/>
          </w:rPr>
          <w:t>6/2021</w:t>
        </w:r>
      </w:hyperlink>
      <w:r>
        <w:t>, f. 1, 3, 4.</w:t>
      </w:r>
    </w:p>
    <w:p w:rsidR="002C5A78" w:rsidRDefault="002C5A78" w:rsidP="002C5A78">
      <w:pPr>
        <w:pStyle w:val="SangriaFrancesaArticulo"/>
      </w:pPr>
      <w:r w:rsidRPr="002C5A78">
        <w:rPr>
          <w:rStyle w:val="TextoNormalNegritaCaracter"/>
        </w:rPr>
        <w:t>Artículo 1.1 término "públicas".</w:t>
      </w:r>
      <w:r w:rsidRPr="002C5A78">
        <w:rPr>
          <w:rStyle w:val="TextoNormalCaracter"/>
        </w:rPr>
        <w:t>-</w:t>
      </w:r>
      <w:r>
        <w:t xml:space="preserve"> Sentencia </w:t>
      </w:r>
      <w:hyperlink w:anchor="SENTENCIA_2021_6" w:history="1">
        <w:r w:rsidRPr="002C5A78">
          <w:rPr>
            <w:rStyle w:val="TextoNormalCaracter"/>
          </w:rPr>
          <w:t>6/2021</w:t>
        </w:r>
      </w:hyperlink>
      <w:r>
        <w:t>, f. 4.</w:t>
      </w:r>
    </w:p>
    <w:p w:rsidR="002C5A78" w:rsidRDefault="002C5A78" w:rsidP="002C5A78">
      <w:pPr>
        <w:pStyle w:val="SangriaFrancesaArticulo"/>
      </w:pPr>
      <w:r w:rsidRPr="002C5A78">
        <w:rPr>
          <w:rStyle w:val="TextoNormalNegritaCaracter"/>
        </w:rPr>
        <w:t>Artículo 1.2 término "públicas".</w:t>
      </w:r>
      <w:r w:rsidRPr="002C5A78">
        <w:rPr>
          <w:rStyle w:val="TextoNormalCaracter"/>
        </w:rPr>
        <w:t>-</w:t>
      </w:r>
      <w:r>
        <w:t xml:space="preserve"> Sentencia </w:t>
      </w:r>
      <w:hyperlink w:anchor="SENTENCIA_2021_6" w:history="1">
        <w:r w:rsidRPr="002C5A78">
          <w:rPr>
            <w:rStyle w:val="TextoNormalCaracter"/>
          </w:rPr>
          <w:t>6/2021</w:t>
        </w:r>
      </w:hyperlink>
      <w:r>
        <w:t>, f. 4.</w:t>
      </w:r>
    </w:p>
    <w:p w:rsidR="002C5A78" w:rsidRDefault="002C5A78" w:rsidP="002C5A78">
      <w:pPr>
        <w:pStyle w:val="SangriaFrancesaArticulo"/>
      </w:pPr>
      <w:r w:rsidRPr="002C5A78">
        <w:rPr>
          <w:rStyle w:val="TextoNormalNegritaCaracter"/>
        </w:rPr>
        <w:t>Anexo I base cuarta, apartado c) término "públicas".</w:t>
      </w:r>
      <w:r w:rsidRPr="002C5A78">
        <w:rPr>
          <w:rStyle w:val="TextoNormalCaracter"/>
        </w:rPr>
        <w:t>-</w:t>
      </w:r>
      <w:r>
        <w:t xml:space="preserve"> Sentencia </w:t>
      </w:r>
      <w:hyperlink w:anchor="SENTENCIA_2021_6" w:history="1">
        <w:r w:rsidRPr="002C5A78">
          <w:rPr>
            <w:rStyle w:val="TextoNormalCaracter"/>
          </w:rPr>
          <w:t>6/2021</w:t>
        </w:r>
      </w:hyperlink>
      <w:r>
        <w:t>, f. 4.</w:t>
      </w:r>
    </w:p>
    <w:p w:rsidR="002C5A78" w:rsidRDefault="002C5A78" w:rsidP="002C5A78">
      <w:pPr>
        <w:pStyle w:val="SangriaFrancesaArticulo"/>
      </w:pPr>
      <w:r w:rsidRPr="002C5A78">
        <w:rPr>
          <w:rStyle w:val="TextoNormalNegritaCaracter"/>
        </w:rPr>
        <w:t>Anexo I base primera.</w:t>
      </w:r>
      <w:r w:rsidRPr="002C5A78">
        <w:rPr>
          <w:rStyle w:val="TextoNormalCaracter"/>
        </w:rPr>
        <w:t>-</w:t>
      </w:r>
      <w:r>
        <w:t xml:space="preserve"> Sentencia </w:t>
      </w:r>
      <w:hyperlink w:anchor="SENTENCIA_2021_6" w:history="1">
        <w:r w:rsidRPr="002C5A78">
          <w:rPr>
            <w:rStyle w:val="TextoNormalCaracter"/>
          </w:rPr>
          <w:t>6/2021</w:t>
        </w:r>
      </w:hyperlink>
      <w:r>
        <w:t>, f. 1, 3, 4.</w:t>
      </w:r>
    </w:p>
    <w:p w:rsidR="002C5A78" w:rsidRDefault="002C5A78" w:rsidP="002C5A78">
      <w:pPr>
        <w:pStyle w:val="SangriaFrancesaArticulo"/>
      </w:pPr>
      <w:r w:rsidRPr="002C5A78">
        <w:rPr>
          <w:rStyle w:val="TextoNormalNegritaCaracter"/>
        </w:rPr>
        <w:t>Anexo I base primera, apartado 1 término "públicas".</w:t>
      </w:r>
      <w:r w:rsidRPr="002C5A78">
        <w:rPr>
          <w:rStyle w:val="TextoNormalCaracter"/>
        </w:rPr>
        <w:t>-</w:t>
      </w:r>
      <w:r>
        <w:t xml:space="preserve"> Sentencia </w:t>
      </w:r>
      <w:hyperlink w:anchor="SENTENCIA_2021_6" w:history="1">
        <w:r w:rsidRPr="002C5A78">
          <w:rPr>
            <w:rStyle w:val="TextoNormalCaracter"/>
          </w:rPr>
          <w:t>6/2021</w:t>
        </w:r>
      </w:hyperlink>
      <w:r>
        <w:t>, f. 4.</w:t>
      </w:r>
    </w:p>
    <w:p w:rsidR="002C5A78" w:rsidRDefault="002C5A78" w:rsidP="002C5A78">
      <w:pPr>
        <w:pStyle w:val="SangriaFrancesaArticulo"/>
      </w:pPr>
      <w:r w:rsidRPr="002C5A78">
        <w:rPr>
          <w:rStyle w:val="TextoNormalNegritaCaracter"/>
        </w:rPr>
        <w:t>Anexo I base primera, apartado 2 término "públicas".</w:t>
      </w:r>
      <w:r w:rsidRPr="002C5A78">
        <w:rPr>
          <w:rStyle w:val="TextoNormalCaracter"/>
        </w:rPr>
        <w:t>-</w:t>
      </w:r>
      <w:r>
        <w:t xml:space="preserve"> Sentencia </w:t>
      </w:r>
      <w:hyperlink w:anchor="SENTENCIA_2021_6" w:history="1">
        <w:r w:rsidRPr="002C5A78">
          <w:rPr>
            <w:rStyle w:val="TextoNormalCaracter"/>
          </w:rPr>
          <w:t>6/2021</w:t>
        </w:r>
      </w:hyperlink>
      <w:r>
        <w:t>, f. 4.</w:t>
      </w:r>
    </w:p>
    <w:p w:rsidR="002C5A78" w:rsidRDefault="002C5A78" w:rsidP="002C5A78">
      <w:pPr>
        <w:pStyle w:val="SangriaFrancesaArticulo"/>
      </w:pPr>
      <w:r w:rsidRPr="002C5A78">
        <w:rPr>
          <w:rStyle w:val="TextoNormalNegritaCaracter"/>
        </w:rPr>
        <w:t>Anexo I bases.</w:t>
      </w:r>
      <w:r w:rsidRPr="002C5A78">
        <w:rPr>
          <w:rStyle w:val="TextoNormalCaracter"/>
        </w:rPr>
        <w:t>-</w:t>
      </w:r>
      <w:r>
        <w:t xml:space="preserve"> Sentencia </w:t>
      </w:r>
      <w:hyperlink w:anchor="SENTENCIA_2021_6" w:history="1">
        <w:r w:rsidRPr="002C5A78">
          <w:rPr>
            <w:rStyle w:val="TextoNormalCaracter"/>
          </w:rPr>
          <w:t>6/2021</w:t>
        </w:r>
      </w:hyperlink>
      <w:r>
        <w:t>, f. 3.</w:t>
      </w:r>
    </w:p>
    <w:p w:rsidR="002C5A78" w:rsidRDefault="002C5A78" w:rsidP="002C5A78">
      <w:pPr>
        <w:pStyle w:val="SangriaFrancesaArticulo"/>
      </w:pPr>
    </w:p>
    <w:p w:rsidR="002C5A78" w:rsidRDefault="002C5A78" w:rsidP="002C5A78">
      <w:pPr>
        <w:pStyle w:val="TextoNormalNegritaCursivandice"/>
        <w:keepNext/>
      </w:pPr>
      <w:r>
        <w:t>Comunitat Valenciana. Orden de la Consellería de Educación, Investigación, Cultura y Deporte 21/2016, de 10 de junio, por las que se establecen las bases reguladoras para la concesión de las becas para la realización de estudios universitarios en las universidades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6" w:history="1">
        <w:r w:rsidRPr="002C5A78">
          <w:rPr>
            <w:rStyle w:val="TextoNormalCaracter"/>
          </w:rPr>
          <w:t>6/2021</w:t>
        </w:r>
      </w:hyperlink>
      <w:r>
        <w:t xml:space="preserve">, f. 2; </w:t>
      </w:r>
      <w:hyperlink w:anchor="SENTENCIA_2021_19" w:history="1">
        <w:r w:rsidRPr="002C5A78">
          <w:rPr>
            <w:rStyle w:val="TextoNormalCaracter"/>
          </w:rPr>
          <w:t>19/2021</w:t>
        </w:r>
      </w:hyperlink>
      <w:r>
        <w:t xml:space="preserve">, f. 2;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42" w:history="1">
        <w:r w:rsidRPr="002C5A78">
          <w:rPr>
            <w:rStyle w:val="TextoNormalCaracter"/>
          </w:rPr>
          <w:t>42/2021</w:t>
        </w:r>
      </w:hyperlink>
      <w:r>
        <w:t>, f. 2.</w:t>
      </w:r>
    </w:p>
    <w:p w:rsidR="002C5A78" w:rsidRDefault="002C5A78" w:rsidP="002C5A78">
      <w:pPr>
        <w:pStyle w:val="SangriaFrancesaArticulo"/>
      </w:pPr>
      <w:r w:rsidRPr="002C5A78">
        <w:rPr>
          <w:rStyle w:val="TextoNormalNegritaCaracter"/>
        </w:rPr>
        <w:t>Artículo 2 apartado 1.</w:t>
      </w:r>
      <w:r w:rsidRPr="002C5A78">
        <w:rPr>
          <w:rStyle w:val="TextoNormalCaracter"/>
        </w:rPr>
        <w:t>-</w:t>
      </w:r>
      <w:r>
        <w:t xml:space="preserve"> Sentencia </w:t>
      </w:r>
      <w:hyperlink w:anchor="SENTENCIA_2021_42" w:history="1">
        <w:r w:rsidRPr="002C5A78">
          <w:rPr>
            <w:rStyle w:val="TextoNormalCaracter"/>
          </w:rPr>
          <w:t>42/2021</w:t>
        </w:r>
      </w:hyperlink>
      <w:r>
        <w:t>, f. 2.</w:t>
      </w:r>
    </w:p>
    <w:p w:rsidR="002C5A78" w:rsidRDefault="002C5A78" w:rsidP="002C5A78">
      <w:pPr>
        <w:pStyle w:val="SangriaFrancesaArticulo"/>
      </w:pPr>
      <w:r w:rsidRPr="002C5A78">
        <w:rPr>
          <w:rStyle w:val="TextoNormalNegritaCaracter"/>
        </w:rPr>
        <w:t>Artículo 2 apartado 3.</w:t>
      </w:r>
      <w:r w:rsidRPr="002C5A78">
        <w:rPr>
          <w:rStyle w:val="TextoNormalCaracter"/>
        </w:rPr>
        <w:t>-</w:t>
      </w:r>
      <w:r>
        <w:t xml:space="preserve"> Sentencia </w:t>
      </w:r>
      <w:hyperlink w:anchor="SENTENCIA_2021_42" w:history="1">
        <w:r w:rsidRPr="002C5A78">
          <w:rPr>
            <w:rStyle w:val="TextoNormalCaracter"/>
          </w:rPr>
          <w:t>42/2021</w:t>
        </w:r>
      </w:hyperlink>
      <w:r>
        <w:t>, f. 2.</w:t>
      </w:r>
    </w:p>
    <w:p w:rsidR="002C5A78" w:rsidRDefault="002C5A78" w:rsidP="002C5A78">
      <w:pPr>
        <w:pStyle w:val="SangriaFrancesaArticulo"/>
      </w:pPr>
      <w:r w:rsidRPr="002C5A78">
        <w:rPr>
          <w:rStyle w:val="TextoNormalNegritaCaracter"/>
        </w:rPr>
        <w:t>Artículo 5 y ss..</w:t>
      </w:r>
      <w:r w:rsidRPr="002C5A78">
        <w:rPr>
          <w:rStyle w:val="TextoNormalCaracter"/>
        </w:rPr>
        <w:t>-</w:t>
      </w:r>
      <w:r>
        <w:t xml:space="preserve"> Sentencia </w:t>
      </w:r>
      <w:hyperlink w:anchor="SENTENCIA_2021_42" w:history="1">
        <w:r w:rsidRPr="002C5A78">
          <w:rPr>
            <w:rStyle w:val="TextoNormalCaracter"/>
          </w:rPr>
          <w:t>42/2021</w:t>
        </w:r>
      </w:hyperlink>
      <w:r>
        <w:t>, f. 2.</w:t>
      </w:r>
    </w:p>
    <w:p w:rsidR="002C5A78" w:rsidRDefault="002C5A78" w:rsidP="002C5A78">
      <w:pPr>
        <w:pStyle w:val="SangriaFrancesaArticulo"/>
      </w:pPr>
    </w:p>
    <w:p w:rsidR="002C5A78" w:rsidRDefault="002C5A78" w:rsidP="002C5A78">
      <w:pPr>
        <w:pStyle w:val="TextoNormalNegritaCursivandice"/>
        <w:keepNext/>
      </w:pPr>
      <w:r>
        <w:t>Orden de la Consellería de Educación, Investigación, Cultura y Deporte de la Comunitat Valenciana 23/2016, de 10 de junio. Bases reguladoras para la concesión de las becas para la promoción de la excelencia académica destinadas a quienes hayan concluido estudios de educación universitaria en las universidades públicas de la Comunitat Valenciana y estudios superiores en centros de titularidad pública adscritos al Instituto Superior de Enseñanzas Artísticas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 w:history="1">
        <w:r w:rsidRPr="002C5A78">
          <w:rPr>
            <w:rStyle w:val="TextoNormalCaracter"/>
          </w:rPr>
          <w:t>2/2021</w:t>
        </w:r>
      </w:hyperlink>
      <w:r>
        <w:t>, f. 1.</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2" w:history="1">
        <w:r w:rsidRPr="002C5A78">
          <w:rPr>
            <w:rStyle w:val="TextoNormalCaracter"/>
          </w:rPr>
          <w:t>2/2021</w:t>
        </w:r>
      </w:hyperlink>
      <w:r>
        <w:t>, ff. 2, 3.</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2" w:history="1">
        <w:r w:rsidRPr="002C5A78">
          <w:rPr>
            <w:rStyle w:val="TextoNormalCaracter"/>
          </w:rPr>
          <w:t>2/2021</w:t>
        </w:r>
      </w:hyperlink>
      <w:r>
        <w:t>, f. 4.</w:t>
      </w:r>
    </w:p>
    <w:p w:rsidR="002C5A78" w:rsidRDefault="002C5A78" w:rsidP="002C5A78">
      <w:pPr>
        <w:pStyle w:val="SangriaFrancesaArticulo"/>
      </w:pPr>
      <w:r w:rsidRPr="002C5A78">
        <w:rPr>
          <w:rStyle w:val="TextoNormalNegritaCaracter"/>
        </w:rPr>
        <w:t>Artículo 1.1 término "públicas".</w:t>
      </w:r>
      <w:r w:rsidRPr="002C5A78">
        <w:rPr>
          <w:rStyle w:val="TextoNormalCaracter"/>
        </w:rPr>
        <w:t>-</w:t>
      </w:r>
      <w:r>
        <w:t xml:space="preserve"> Sentencia </w:t>
      </w:r>
      <w:hyperlink w:anchor="SENTENCIA_2021_2" w:history="1">
        <w:r w:rsidRPr="002C5A78">
          <w:rPr>
            <w:rStyle w:val="TextoNormalCaracter"/>
          </w:rPr>
          <w:t>2/2021</w:t>
        </w:r>
      </w:hyperlink>
      <w:r>
        <w:t>, f. 1.</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2" w:history="1">
        <w:r w:rsidRPr="002C5A78">
          <w:rPr>
            <w:rStyle w:val="TextoNormalCaracter"/>
          </w:rPr>
          <w:t>2/2021</w:t>
        </w:r>
      </w:hyperlink>
      <w:r>
        <w:t>, f. 2.</w:t>
      </w:r>
    </w:p>
    <w:p w:rsidR="002C5A78" w:rsidRDefault="002C5A78" w:rsidP="002C5A78">
      <w:pPr>
        <w:pStyle w:val="SangriaFrancesaArticulo"/>
      </w:pPr>
      <w:r w:rsidRPr="002C5A78">
        <w:rPr>
          <w:rStyle w:val="TextoNormalNegritaCaracter"/>
        </w:rPr>
        <w:t>Artículo 2 a).</w:t>
      </w:r>
      <w:r w:rsidRPr="002C5A78">
        <w:rPr>
          <w:rStyle w:val="TextoNormalCaracter"/>
        </w:rPr>
        <w:t>-</w:t>
      </w:r>
      <w:r>
        <w:t xml:space="preserve"> Sentencia </w:t>
      </w:r>
      <w:hyperlink w:anchor="SENTENCIA_2021_2" w:history="1">
        <w:r w:rsidRPr="002C5A78">
          <w:rPr>
            <w:rStyle w:val="TextoNormalCaracter"/>
          </w:rPr>
          <w:t>2/2021</w:t>
        </w:r>
      </w:hyperlink>
      <w:r>
        <w:t>, f. 4.</w:t>
      </w:r>
    </w:p>
    <w:p w:rsidR="002C5A78" w:rsidRDefault="002C5A78" w:rsidP="002C5A78">
      <w:pPr>
        <w:pStyle w:val="SangriaFrancesaArticulo"/>
      </w:pPr>
      <w:r w:rsidRPr="002C5A78">
        <w:rPr>
          <w:rStyle w:val="TextoNormalNegritaCaracter"/>
        </w:rPr>
        <w:t>Artículo 2 a) término "públicas".</w:t>
      </w:r>
      <w:r w:rsidRPr="002C5A78">
        <w:rPr>
          <w:rStyle w:val="TextoNormalCaracter"/>
        </w:rPr>
        <w:t>-</w:t>
      </w:r>
      <w:r>
        <w:t xml:space="preserve"> Sentencia </w:t>
      </w:r>
      <w:hyperlink w:anchor="SENTENCIA_2021_2" w:history="1">
        <w:r w:rsidRPr="002C5A78">
          <w:rPr>
            <w:rStyle w:val="TextoNormalCaracter"/>
          </w:rPr>
          <w:t>2/2021</w:t>
        </w:r>
      </w:hyperlink>
      <w:r>
        <w:t>, f. 3.</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2" w:history="1">
        <w:r w:rsidRPr="002C5A78">
          <w:rPr>
            <w:rStyle w:val="TextoNormalCaracter"/>
          </w:rPr>
          <w:t>2/2021</w:t>
        </w:r>
      </w:hyperlink>
      <w:r>
        <w:t>, ff. 2, 3.</w:t>
      </w:r>
    </w:p>
    <w:p w:rsidR="002C5A78" w:rsidRDefault="002C5A78" w:rsidP="002C5A78">
      <w:pPr>
        <w:pStyle w:val="SangriaFrancesaArticulo"/>
      </w:pPr>
      <w:r w:rsidRPr="002C5A78">
        <w:rPr>
          <w:rStyle w:val="TextoNormalNegritaCaracter"/>
        </w:rPr>
        <w:t>Artículo 4.</w:t>
      </w:r>
      <w:r w:rsidRPr="002C5A78">
        <w:rPr>
          <w:rStyle w:val="TextoNormalCaracter"/>
        </w:rPr>
        <w:t>-</w:t>
      </w:r>
      <w:r>
        <w:t xml:space="preserve"> Sentencia </w:t>
      </w:r>
      <w:hyperlink w:anchor="SENTENCIA_2021_2" w:history="1">
        <w:r w:rsidRPr="002C5A78">
          <w:rPr>
            <w:rStyle w:val="TextoNormalCaracter"/>
          </w:rPr>
          <w:t>2/2021</w:t>
        </w:r>
      </w:hyperlink>
      <w:r>
        <w:t>, f. 2.</w:t>
      </w:r>
    </w:p>
    <w:p w:rsidR="002C5A78" w:rsidRDefault="002C5A78" w:rsidP="002C5A78">
      <w:pPr>
        <w:pStyle w:val="SangriaFrancesaArticulo"/>
      </w:pPr>
      <w:r w:rsidRPr="002C5A78">
        <w:rPr>
          <w:rStyle w:val="TextoNormalNegritaCaracter"/>
        </w:rPr>
        <w:t>Artículo 4.1 a).</w:t>
      </w:r>
      <w:r w:rsidRPr="002C5A78">
        <w:rPr>
          <w:rStyle w:val="TextoNormalCaracter"/>
        </w:rPr>
        <w:t>-</w:t>
      </w:r>
      <w:r>
        <w:t xml:space="preserve"> Sentencia </w:t>
      </w:r>
      <w:hyperlink w:anchor="SENTENCIA_2021_2" w:history="1">
        <w:r w:rsidRPr="002C5A78">
          <w:rPr>
            <w:rStyle w:val="TextoNormalCaracter"/>
          </w:rPr>
          <w:t>2/2021</w:t>
        </w:r>
      </w:hyperlink>
      <w:r>
        <w:t>, f. 4.</w:t>
      </w:r>
    </w:p>
    <w:p w:rsidR="002C5A78" w:rsidRDefault="002C5A78" w:rsidP="002C5A78">
      <w:pPr>
        <w:pStyle w:val="SangriaFrancesaArticulo"/>
      </w:pPr>
      <w:r w:rsidRPr="002C5A78">
        <w:rPr>
          <w:rStyle w:val="TextoNormalNegritaCaracter"/>
        </w:rPr>
        <w:t>Artículo 4.1 a) término "públicas".</w:t>
      </w:r>
      <w:r w:rsidRPr="002C5A78">
        <w:rPr>
          <w:rStyle w:val="TextoNormalCaracter"/>
        </w:rPr>
        <w:t>-</w:t>
      </w:r>
      <w:r>
        <w:t xml:space="preserve"> Sentencia </w:t>
      </w:r>
      <w:hyperlink w:anchor="SENTENCIA_2021_2" w:history="1">
        <w:r w:rsidRPr="002C5A78">
          <w:rPr>
            <w:rStyle w:val="TextoNormalCaracter"/>
          </w:rPr>
          <w:t>2/2021</w:t>
        </w:r>
      </w:hyperlink>
      <w:r>
        <w:t>, f. 3.</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2" w:history="1">
        <w:r w:rsidRPr="002C5A78">
          <w:rPr>
            <w:rStyle w:val="TextoNormalCaracter"/>
          </w:rPr>
          <w:t>2/2021</w:t>
        </w:r>
      </w:hyperlink>
      <w:r>
        <w:t>, f. 2.</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2" w:history="1">
        <w:r w:rsidRPr="002C5A78">
          <w:rPr>
            <w:rStyle w:val="TextoNormalCaracter"/>
          </w:rPr>
          <w:t>2/2021</w:t>
        </w:r>
      </w:hyperlink>
      <w:r>
        <w:t>, ff. 3, 4.</w:t>
      </w:r>
    </w:p>
    <w:p w:rsidR="002C5A78" w:rsidRDefault="002C5A78" w:rsidP="002C5A78">
      <w:pPr>
        <w:pStyle w:val="SangriaFrancesaArticulo"/>
      </w:pPr>
      <w:r w:rsidRPr="002C5A78">
        <w:rPr>
          <w:rStyle w:val="TextoNormalNegritaCaracter"/>
        </w:rPr>
        <w:t>Artículo 6.1 término "públicas".</w:t>
      </w:r>
      <w:r w:rsidRPr="002C5A78">
        <w:rPr>
          <w:rStyle w:val="TextoNormalCaracter"/>
        </w:rPr>
        <w:t>-</w:t>
      </w:r>
      <w:r>
        <w:t xml:space="preserve"> Sentencia </w:t>
      </w:r>
      <w:hyperlink w:anchor="SENTENCIA_2021_2" w:history="1">
        <w:r w:rsidRPr="002C5A78">
          <w:rPr>
            <w:rStyle w:val="TextoNormalCaracter"/>
          </w:rPr>
          <w:t>2/2021</w:t>
        </w:r>
      </w:hyperlink>
      <w:r>
        <w:t>, f. 3.</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2" w:history="1">
        <w:r w:rsidRPr="002C5A78">
          <w:rPr>
            <w:rStyle w:val="TextoNormalCaracter"/>
          </w:rPr>
          <w:t>2/2021</w:t>
        </w:r>
      </w:hyperlink>
      <w:r>
        <w:t>, f. 4.</w:t>
      </w:r>
    </w:p>
    <w:p w:rsidR="002C5A78" w:rsidRDefault="002C5A78" w:rsidP="002C5A78">
      <w:pPr>
        <w:pStyle w:val="SangriaFrancesaArticulo"/>
      </w:pPr>
      <w:r w:rsidRPr="002C5A78">
        <w:rPr>
          <w:rStyle w:val="TextoNormalNegritaCaracter"/>
        </w:rPr>
        <w:t>Artículo 7 término "públicas".</w:t>
      </w:r>
      <w:r w:rsidRPr="002C5A78">
        <w:rPr>
          <w:rStyle w:val="TextoNormalCaracter"/>
        </w:rPr>
        <w:t>-</w:t>
      </w:r>
      <w:r>
        <w:t xml:space="preserve"> Sentencia </w:t>
      </w:r>
      <w:hyperlink w:anchor="SENTENCIA_2021_2" w:history="1">
        <w:r w:rsidRPr="002C5A78">
          <w:rPr>
            <w:rStyle w:val="TextoNormalCaracter"/>
          </w:rPr>
          <w:t>2/2021</w:t>
        </w:r>
      </w:hyperlink>
      <w:r>
        <w:t>, ff. 2, 3.</w:t>
      </w:r>
    </w:p>
    <w:p w:rsidR="002C5A78" w:rsidRDefault="002C5A78" w:rsidP="002C5A78">
      <w:pPr>
        <w:pStyle w:val="SangriaFrancesaArticulo"/>
      </w:pPr>
    </w:p>
    <w:p w:rsidR="002C5A78" w:rsidRDefault="002C5A78" w:rsidP="002C5A78">
      <w:pPr>
        <w:pStyle w:val="TextoNormalNegritaCursivandice"/>
        <w:keepNext/>
      </w:pPr>
      <w:r>
        <w:t>Orden de la Conselleria de Educación, Investigación, Cultura y Deporte de la Generalitat Valenciana 24/2016, de 10 de junio. Bases reguladoras para la concesión de las becas para el alumnado que vaya a finalizar sus estudios universitarios en las universidades públicas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9" w:history="1">
        <w:r w:rsidRPr="002C5A78">
          <w:rPr>
            <w:rStyle w:val="TextoNormalCaracter"/>
          </w:rPr>
          <w:t>19/2021</w:t>
        </w:r>
      </w:hyperlink>
      <w:r>
        <w:t>, ff. 1, 3, 4.</w:t>
      </w:r>
    </w:p>
    <w:p w:rsidR="002C5A78" w:rsidRDefault="002C5A78" w:rsidP="002C5A78">
      <w:pPr>
        <w:pStyle w:val="SangriaFrancesaArticulo"/>
      </w:pPr>
      <w:r w:rsidRPr="002C5A78">
        <w:rPr>
          <w:rStyle w:val="TextoNormalNegritaCaracter"/>
        </w:rPr>
        <w:t>Artículo 1.1 término "públicas".</w:t>
      </w:r>
      <w:r w:rsidRPr="002C5A78">
        <w:rPr>
          <w:rStyle w:val="TextoNormalCaracter"/>
        </w:rPr>
        <w:t>-</w:t>
      </w:r>
      <w:r>
        <w:t xml:space="preserve"> Sentencia </w:t>
      </w:r>
      <w:hyperlink w:anchor="SENTENCIA_2021_19" w:history="1">
        <w:r w:rsidRPr="002C5A78">
          <w:rPr>
            <w:rStyle w:val="TextoNormalCaracter"/>
          </w:rPr>
          <w:t>19/2021</w:t>
        </w:r>
      </w:hyperlink>
      <w:r>
        <w:t>, f. 4.</w:t>
      </w:r>
    </w:p>
    <w:p w:rsidR="002C5A78" w:rsidRDefault="002C5A78" w:rsidP="002C5A78">
      <w:pPr>
        <w:pStyle w:val="SangriaFrancesaArticulo"/>
      </w:pPr>
      <w:r w:rsidRPr="002C5A78">
        <w:rPr>
          <w:rStyle w:val="TextoNormalNegritaCaracter"/>
        </w:rPr>
        <w:t>Artículo 2.1 término "públicas".</w:t>
      </w:r>
      <w:r w:rsidRPr="002C5A78">
        <w:rPr>
          <w:rStyle w:val="TextoNormalCaracter"/>
        </w:rPr>
        <w:t>-</w:t>
      </w:r>
      <w:r>
        <w:t xml:space="preserve"> Sentencia </w:t>
      </w:r>
      <w:hyperlink w:anchor="SENTENCIA_2021_19" w:history="1">
        <w:r w:rsidRPr="002C5A78">
          <w:rPr>
            <w:rStyle w:val="TextoNormalCaracter"/>
          </w:rPr>
          <w:t>19/2021</w:t>
        </w:r>
      </w:hyperlink>
      <w:r>
        <w:t>, f. 4.</w:t>
      </w:r>
    </w:p>
    <w:p w:rsidR="002C5A78" w:rsidRDefault="002C5A78" w:rsidP="002C5A78">
      <w:pPr>
        <w:pStyle w:val="SangriaFrancesaArticulo"/>
      </w:pPr>
    </w:p>
    <w:p w:rsidR="002C5A78" w:rsidRDefault="002C5A78" w:rsidP="002C5A78">
      <w:pPr>
        <w:pStyle w:val="TextoNormalNegritaCursivandice"/>
        <w:keepNext/>
      </w:pPr>
      <w:r>
        <w:t>Resolución de la Consellería de Educación, Investigación, Cultura y Deporte de la Generalitat Valenciana, de 11 de julio de 2016. Se convocan becas para el alumnado que vaya a finalizar sus estudios universitarios en las universidades públicas de la comunidad valenciana durante el curso 2016/2017</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9" w:history="1">
        <w:r w:rsidRPr="002C5A78">
          <w:rPr>
            <w:rStyle w:val="TextoNormalCaracter"/>
          </w:rPr>
          <w:t>19/2021</w:t>
        </w:r>
      </w:hyperlink>
      <w:r>
        <w:t>, ff. 1, 3, 4.</w:t>
      </w:r>
    </w:p>
    <w:p w:rsidR="002C5A78" w:rsidRDefault="002C5A78" w:rsidP="002C5A78">
      <w:pPr>
        <w:pStyle w:val="SangriaFrancesaArticulo"/>
      </w:pPr>
      <w:r w:rsidRPr="002C5A78">
        <w:rPr>
          <w:rStyle w:val="TextoNormalNegritaCaracter"/>
        </w:rPr>
        <w:t>Apartado 1 referencia a la letra A.</w:t>
      </w:r>
      <w:r w:rsidRPr="002C5A78">
        <w:rPr>
          <w:rStyle w:val="TextoNormalCaracter"/>
        </w:rPr>
        <w:t>-</w:t>
      </w:r>
      <w:r>
        <w:t xml:space="preserve"> Sentencia </w:t>
      </w:r>
      <w:hyperlink w:anchor="SENTENCIA_2021_19" w:history="1">
        <w:r w:rsidRPr="002C5A78">
          <w:rPr>
            <w:rStyle w:val="TextoNormalCaracter"/>
          </w:rPr>
          <w:t>19/2021</w:t>
        </w:r>
      </w:hyperlink>
      <w:r>
        <w:t>, f. 4.</w:t>
      </w:r>
    </w:p>
    <w:p w:rsidR="002C5A78" w:rsidRDefault="002C5A78" w:rsidP="002C5A78">
      <w:pPr>
        <w:pStyle w:val="SangriaFrancesaArticulo"/>
      </w:pPr>
      <w:r w:rsidRPr="002C5A78">
        <w:rPr>
          <w:rStyle w:val="TextoNormalNegritaCaracter"/>
        </w:rPr>
        <w:t>Apartado 2.1 término "públicas".</w:t>
      </w:r>
      <w:r w:rsidRPr="002C5A78">
        <w:rPr>
          <w:rStyle w:val="TextoNormalCaracter"/>
        </w:rPr>
        <w:t>-</w:t>
      </w:r>
      <w:r>
        <w:t xml:space="preserve"> Sentencia </w:t>
      </w:r>
      <w:hyperlink w:anchor="SENTENCIA_2021_19" w:history="1">
        <w:r w:rsidRPr="002C5A78">
          <w:rPr>
            <w:rStyle w:val="TextoNormalCaracter"/>
          </w:rPr>
          <w:t>19/2021</w:t>
        </w:r>
      </w:hyperlink>
      <w:r>
        <w:t>, f. 4.</w:t>
      </w:r>
    </w:p>
    <w:p w:rsidR="002C5A78" w:rsidRDefault="002C5A78" w:rsidP="002C5A78">
      <w:pPr>
        <w:pStyle w:val="SangriaFrancesaArticulo"/>
      </w:pPr>
    </w:p>
    <w:p w:rsidR="002C5A78" w:rsidRDefault="002C5A78" w:rsidP="002C5A78">
      <w:pPr>
        <w:pStyle w:val="TextoNormalNegritaCursivandice"/>
        <w:keepNext/>
      </w:pPr>
      <w:r>
        <w:t>Comunitat Valenciana. Resolución de la Consellería de Educación, Investigación, Cultura y Deporte de la Comunitat Valenciana, de 26 de junio de 2016, por la que se convocan becas para la realización de estudios universitarios durante el curso académico 2015-2016 en las Universidades de la Comunitat Valenciana</w:t>
      </w:r>
    </w:p>
    <w:p w:rsidR="002C5A78" w:rsidRDefault="002C5A78" w:rsidP="002C5A78">
      <w:pPr>
        <w:pStyle w:val="SangriaFrancesaArticulo"/>
      </w:pPr>
      <w:r w:rsidRPr="002C5A78">
        <w:rPr>
          <w:rStyle w:val="TextoNormalNegritaCaracter"/>
        </w:rPr>
        <w:t>Apartado segundo, 1, del apartado primero, 1, de su extracto públicado inciso "públicas".</w:t>
      </w:r>
      <w:r w:rsidRPr="002C5A78">
        <w:rPr>
          <w:rStyle w:val="TextoNormalCaracter"/>
        </w:rPr>
        <w:t>-</w:t>
      </w:r>
      <w:r>
        <w:t xml:space="preserve"> Sentencia </w:t>
      </w:r>
      <w:hyperlink w:anchor="SENTENCIA_2021_42" w:history="1">
        <w:r w:rsidRPr="002C5A78">
          <w:rPr>
            <w:rStyle w:val="TextoNormalCaracter"/>
          </w:rPr>
          <w:t>42/2021</w:t>
        </w:r>
      </w:hyperlink>
      <w:r>
        <w:t>, f. 1.</w:t>
      </w:r>
    </w:p>
    <w:p w:rsidR="002C5A78" w:rsidRDefault="002C5A78" w:rsidP="002C5A78">
      <w:pPr>
        <w:pStyle w:val="SangriaFrancesaArticulo"/>
      </w:pPr>
      <w:r w:rsidRPr="002C5A78">
        <w:rPr>
          <w:rStyle w:val="TextoNormalNegritaCaracter"/>
        </w:rPr>
        <w:t>Apartado segundo, 1, del apartado primero, 1, de su extracto públicado inciso "sus centros públicos adscritos".</w:t>
      </w:r>
      <w:r w:rsidRPr="002C5A78">
        <w:rPr>
          <w:rStyle w:val="TextoNormalCaracter"/>
        </w:rPr>
        <w:t>-</w:t>
      </w:r>
      <w:r>
        <w:t xml:space="preserve"> Sentencia </w:t>
      </w:r>
      <w:hyperlink w:anchor="SENTENCIA_2021_42" w:history="1">
        <w:r w:rsidRPr="002C5A78">
          <w:rPr>
            <w:rStyle w:val="TextoNormalCaracter"/>
          </w:rPr>
          <w:t>42/2021</w:t>
        </w:r>
      </w:hyperlink>
      <w:r>
        <w:t>, f. 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42" w:history="1">
        <w:r w:rsidRPr="002C5A78">
          <w:rPr>
            <w:rStyle w:val="TextoNormalCaracter"/>
          </w:rPr>
          <w:t>42/2021</w:t>
        </w:r>
      </w:hyperlink>
      <w:r>
        <w:t>, f. 1.</w:t>
      </w:r>
    </w:p>
    <w:p w:rsidR="002C5A78" w:rsidRDefault="002C5A78" w:rsidP="002C5A78">
      <w:pPr>
        <w:pStyle w:val="SangriaFrancesaArticulo"/>
      </w:pPr>
      <w:r w:rsidRPr="002C5A78">
        <w:rPr>
          <w:rStyle w:val="TextoNormalNegritaCaracter"/>
        </w:rPr>
        <w:t>Apartado segundo, 3, del apartado primero, 2, de su extracto públicado.</w:t>
      </w:r>
      <w:r w:rsidRPr="002C5A78">
        <w:rPr>
          <w:rStyle w:val="TextoNormalCaracter"/>
        </w:rPr>
        <w:t>-</w:t>
      </w:r>
      <w:r>
        <w:t xml:space="preserve"> Sentencia </w:t>
      </w:r>
      <w:hyperlink w:anchor="SENTENCIA_2021_42" w:history="1">
        <w:r w:rsidRPr="002C5A78">
          <w:rPr>
            <w:rStyle w:val="TextoNormalCaracter"/>
          </w:rPr>
          <w:t>42/2021</w:t>
        </w:r>
      </w:hyperlink>
      <w:r>
        <w:t>, f. 1.</w:t>
      </w:r>
    </w:p>
    <w:p w:rsidR="002C5A78" w:rsidRDefault="002C5A78" w:rsidP="002C5A78">
      <w:pPr>
        <w:pStyle w:val="SangriaFrancesaArticulo"/>
      </w:pPr>
    </w:p>
    <w:p w:rsidR="002C5A78" w:rsidRDefault="002C5A78" w:rsidP="002C5A78">
      <w:pPr>
        <w:pStyle w:val="TextoNormalNegritaCursivandice"/>
        <w:keepNext/>
      </w:pPr>
      <w:r>
        <w:t>Comunitat Valenciana. Decreto 180/2016, de 2 de diciembre, del Consell, por el que se modifica el Decreto 40/2002, de 5 de marzo, del Gobierno Valenciano, de medidas de apoyo a los estudiantes universitarios en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 w:history="1">
        <w:r w:rsidRPr="002C5A78">
          <w:rPr>
            <w:rStyle w:val="TextoNormalCaracter"/>
          </w:rPr>
          <w:t>2/2021</w:t>
        </w:r>
      </w:hyperlink>
      <w:r>
        <w:t xml:space="preserve">, f. 3; </w:t>
      </w:r>
      <w:hyperlink w:anchor="SENTENCIA_2021_138" w:history="1">
        <w:r w:rsidRPr="002C5A78">
          <w:rPr>
            <w:rStyle w:val="TextoNormalCaracter"/>
          </w:rPr>
          <w:t>138/2021</w:t>
        </w:r>
      </w:hyperlink>
      <w:r>
        <w:t>, f. 3.</w:t>
      </w:r>
    </w:p>
    <w:p w:rsidR="002C5A78" w:rsidRDefault="002C5A78" w:rsidP="002C5A78">
      <w:pPr>
        <w:pStyle w:val="SangriaFrancesaArticulo"/>
      </w:pPr>
    </w:p>
    <w:p w:rsidR="002C5A78" w:rsidRDefault="002C5A78" w:rsidP="002C5A78">
      <w:pPr>
        <w:pStyle w:val="TextoNormalNegritaCursivandice"/>
        <w:keepNext/>
      </w:pPr>
      <w:r>
        <w:t>Orden de la Consellería de Educación, Investigación, Cultura y Deporte de la Generalitat Valenciana 24/2017, de 21 de junio, por las que se establecen las bases reguladoras para la concesión de las becas de promoción de la excelencia académica del alumnado universitario de las universidades públicas y de los centros adscritos al Instituto Superior de Enseñanzas Artísticas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8" w:history="1">
        <w:r w:rsidRPr="002C5A78">
          <w:rPr>
            <w:rStyle w:val="TextoNormalCaracter"/>
          </w:rPr>
          <w:t>138/2021</w:t>
        </w:r>
      </w:hyperlink>
      <w:r>
        <w:t>, ff. 2 a 4.</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138" w:history="1">
        <w:r w:rsidRPr="002C5A78">
          <w:rPr>
            <w:rStyle w:val="TextoNormalCaracter"/>
          </w:rPr>
          <w:t>138/2021</w:t>
        </w:r>
      </w:hyperlink>
      <w:r>
        <w:t>, ff. 2, 3.</w:t>
      </w:r>
    </w:p>
    <w:p w:rsidR="002C5A78" w:rsidRDefault="002C5A78" w:rsidP="002C5A78">
      <w:pPr>
        <w:pStyle w:val="SangriaFrancesaArticulo"/>
      </w:pPr>
      <w:r w:rsidRPr="002C5A78">
        <w:rPr>
          <w:rStyle w:val="TextoNormalNegritaCaracter"/>
        </w:rPr>
        <w:t>Artículo 1.1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ff. 2 a 4.</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38" w:history="1">
        <w:r w:rsidRPr="002C5A78">
          <w:rPr>
            <w:rStyle w:val="TextoNormalCaracter"/>
          </w:rPr>
          <w:t>138/2021</w:t>
        </w:r>
      </w:hyperlink>
      <w:r>
        <w:t>, f. 1.</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38" w:history="1">
        <w:r w:rsidRPr="002C5A78">
          <w:rPr>
            <w:rStyle w:val="TextoNormalCaracter"/>
          </w:rPr>
          <w:t>138/2021</w:t>
        </w:r>
      </w:hyperlink>
      <w:r>
        <w:t>, ff. 2, 3.</w:t>
      </w:r>
    </w:p>
    <w:p w:rsidR="002C5A78" w:rsidRDefault="002C5A78" w:rsidP="002C5A78">
      <w:pPr>
        <w:pStyle w:val="SangriaFrancesaArticulo"/>
      </w:pPr>
      <w:r w:rsidRPr="002C5A78">
        <w:rPr>
          <w:rStyle w:val="TextoNormalNegritaCaracter"/>
        </w:rPr>
        <w:t>Artículo 2 a).</w:t>
      </w:r>
      <w:r w:rsidRPr="002C5A78">
        <w:rPr>
          <w:rStyle w:val="TextoNormalCaracter"/>
        </w:rPr>
        <w:t>-</w:t>
      </w:r>
      <w:r>
        <w:t xml:space="preserve"> Sentencia </w:t>
      </w:r>
      <w:hyperlink w:anchor="SENTENCIA_2021_138" w:history="1">
        <w:r w:rsidRPr="002C5A78">
          <w:rPr>
            <w:rStyle w:val="TextoNormalCaracter"/>
          </w:rPr>
          <w:t>138/2021</w:t>
        </w:r>
      </w:hyperlink>
      <w:r>
        <w:t>, ff. 1, 3.</w:t>
      </w:r>
    </w:p>
    <w:p w:rsidR="002C5A78" w:rsidRDefault="002C5A78" w:rsidP="002C5A78">
      <w:pPr>
        <w:pStyle w:val="SangriaFrancesaArticulo"/>
      </w:pPr>
      <w:r w:rsidRPr="002C5A78">
        <w:rPr>
          <w:rStyle w:val="TextoNormalNegritaCaracter"/>
        </w:rPr>
        <w:t>Artículo 2 a)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ff. 2 a 4.</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 </w:t>
      </w:r>
      <w:hyperlink w:anchor="SENTENCIA_2021_138" w:history="1">
        <w:r w:rsidRPr="002C5A78">
          <w:rPr>
            <w:rStyle w:val="TextoNormalCaracter"/>
          </w:rPr>
          <w:t>138/2021</w:t>
        </w:r>
      </w:hyperlink>
      <w:r>
        <w:t>, ff. 2, 3.</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138" w:history="1">
        <w:r w:rsidRPr="002C5A78">
          <w:rPr>
            <w:rStyle w:val="TextoNormalCaracter"/>
          </w:rPr>
          <w:t>138/2021</w:t>
        </w:r>
      </w:hyperlink>
      <w:r>
        <w:t>, f. 2.</w:t>
      </w:r>
    </w:p>
    <w:p w:rsidR="002C5A78" w:rsidRDefault="002C5A78" w:rsidP="002C5A78">
      <w:pPr>
        <w:pStyle w:val="SangriaFrancesaArticulo"/>
      </w:pPr>
      <w:r w:rsidRPr="002C5A78">
        <w:rPr>
          <w:rStyle w:val="TextoNormalNegritaCaracter"/>
        </w:rPr>
        <w:t>Artículo 4.1 a).</w:t>
      </w:r>
      <w:r w:rsidRPr="002C5A78">
        <w:rPr>
          <w:rStyle w:val="TextoNormalCaracter"/>
        </w:rPr>
        <w:t>-</w:t>
      </w:r>
      <w:r>
        <w:t xml:space="preserve"> Sentencia </w:t>
      </w:r>
      <w:hyperlink w:anchor="SENTENCIA_2021_138" w:history="1">
        <w:r w:rsidRPr="002C5A78">
          <w:rPr>
            <w:rStyle w:val="TextoNormalCaracter"/>
          </w:rPr>
          <w:t>138/2021</w:t>
        </w:r>
      </w:hyperlink>
      <w:r>
        <w:t>, ff. 1 a 4.</w:t>
      </w:r>
    </w:p>
    <w:p w:rsidR="002C5A78" w:rsidRDefault="002C5A78" w:rsidP="002C5A78">
      <w:pPr>
        <w:pStyle w:val="SangriaFrancesaArticulo"/>
      </w:pPr>
      <w:r w:rsidRPr="002C5A78">
        <w:rPr>
          <w:rStyle w:val="TextoNormalNegritaCaracter"/>
        </w:rPr>
        <w:t>Artículo 4.1 a)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ff. 2, 4.</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38" w:history="1">
        <w:r w:rsidRPr="002C5A78">
          <w:rPr>
            <w:rStyle w:val="TextoNormalCaracter"/>
          </w:rPr>
          <w:t>138/2021</w:t>
        </w:r>
      </w:hyperlink>
      <w:r>
        <w:t>, ff. 1, 2.</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 </w:t>
      </w:r>
      <w:hyperlink w:anchor="SENTENCIA_2021_138" w:history="1">
        <w:r w:rsidRPr="002C5A78">
          <w:rPr>
            <w:rStyle w:val="TextoNormalCaracter"/>
          </w:rPr>
          <w:t>138/2021</w:t>
        </w:r>
      </w:hyperlink>
      <w:r>
        <w:t>, ff. 1, 3.</w:t>
      </w:r>
    </w:p>
    <w:p w:rsidR="002C5A78" w:rsidRDefault="002C5A78" w:rsidP="002C5A78">
      <w:pPr>
        <w:pStyle w:val="SangriaFrancesaArticulo"/>
      </w:pPr>
      <w:r w:rsidRPr="002C5A78">
        <w:rPr>
          <w:rStyle w:val="TextoNormalNegritaCaracter"/>
        </w:rPr>
        <w:t>Artículo 6.1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ff. 2 a 4.</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138" w:history="1">
        <w:r w:rsidRPr="002C5A78">
          <w:rPr>
            <w:rStyle w:val="TextoNormalCaracter"/>
          </w:rPr>
          <w:t>138/2021</w:t>
        </w:r>
      </w:hyperlink>
      <w:r>
        <w:t>, ff. 1 a 3.</w:t>
      </w:r>
    </w:p>
    <w:p w:rsidR="002C5A78" w:rsidRDefault="002C5A78" w:rsidP="002C5A78">
      <w:pPr>
        <w:pStyle w:val="SangriaFrancesaArticulo"/>
      </w:pPr>
      <w:r w:rsidRPr="002C5A78">
        <w:rPr>
          <w:rStyle w:val="TextoNormalNegritaCaracter"/>
        </w:rPr>
        <w:t>Artículo 7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ff. 2 a 4.</w:t>
      </w:r>
    </w:p>
    <w:p w:rsidR="002C5A78" w:rsidRDefault="002C5A78" w:rsidP="002C5A78">
      <w:pPr>
        <w:pStyle w:val="SangriaFrancesaArticulo"/>
      </w:pPr>
    </w:p>
    <w:p w:rsidR="002C5A78" w:rsidRDefault="002C5A78" w:rsidP="002C5A78">
      <w:pPr>
        <w:pStyle w:val="TextoNormalNegritaCursivandice"/>
        <w:keepNext/>
      </w:pPr>
      <w:r>
        <w:t>Orden de la Consellería de Educación, Investigación, Cultura y Deporte de la Generalitat Valenciana 27/2017, de 3 de julio, por la que se establecen las bases reguladoras de las ayudas para complementar las becas para la actividad de movilidad de estudiantes por estudios, del programa Erasmus+, pertenecientes a instituciones públicas de educación superior de la Comunitat Valenciana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8" w:history="1">
        <w:r w:rsidRPr="002C5A78">
          <w:rPr>
            <w:rStyle w:val="TextoNormalCaracter"/>
          </w:rPr>
          <w:t>138/2021</w:t>
        </w:r>
      </w:hyperlink>
      <w:r>
        <w:t>, ff. 2 4.</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w:t>
      </w:r>
      <w:r w:rsidRPr="002C5A78">
        <w:rPr>
          <w:rStyle w:val="TextoNormalCaracter"/>
        </w:rPr>
        <w:t>-</w:t>
      </w:r>
      <w:r>
        <w:t xml:space="preserve"> Sentencia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138" w:history="1">
        <w:r w:rsidRPr="002C5A78">
          <w:rPr>
            <w:rStyle w:val="TextoNormalCaracter"/>
          </w:rPr>
          <w:t>138/2021</w:t>
        </w:r>
      </w:hyperlink>
      <w:r>
        <w:t>, ff. 2, 4.</w:t>
      </w:r>
    </w:p>
    <w:p w:rsidR="002C5A78" w:rsidRDefault="002C5A78" w:rsidP="002C5A78">
      <w:pPr>
        <w:pStyle w:val="SangriaFrancesaArticulo"/>
      </w:pPr>
      <w:r w:rsidRPr="002C5A78">
        <w:rPr>
          <w:rStyle w:val="TextoNormalNegritaCaracter"/>
        </w:rPr>
        <w:t>Artículo 1.1 términos "públicas" y "públicos".</w:t>
      </w:r>
      <w:r w:rsidRPr="002C5A78">
        <w:rPr>
          <w:rStyle w:val="TextoNormalCaracter"/>
        </w:rPr>
        <w:t>-</w:t>
      </w:r>
      <w:r>
        <w:t xml:space="preserve"> Sentencia </w:t>
      </w:r>
      <w:hyperlink w:anchor="SENTENCIA_2021_138" w:history="1">
        <w:r w:rsidRPr="002C5A78">
          <w:rPr>
            <w:rStyle w:val="TextoNormalCaracter"/>
          </w:rPr>
          <w:t>138/2021</w:t>
        </w:r>
      </w:hyperlink>
      <w:r>
        <w:t>, ff. 2 a 4.</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38" w:history="1">
        <w:r w:rsidRPr="002C5A78">
          <w:rPr>
            <w:rStyle w:val="TextoNormalCaracter"/>
          </w:rPr>
          <w:t>138/2021</w:t>
        </w:r>
      </w:hyperlink>
      <w:r>
        <w:t>, f. 1.</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138" w:history="1">
        <w:r w:rsidRPr="002C5A78">
          <w:rPr>
            <w:rStyle w:val="TextoNormalCaracter"/>
          </w:rPr>
          <w:t>138/2021</w:t>
        </w:r>
      </w:hyperlink>
      <w:r>
        <w:t>, f. 1.</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138" w:history="1">
        <w:r w:rsidRPr="002C5A78">
          <w:rPr>
            <w:rStyle w:val="TextoNormalCaracter"/>
          </w:rPr>
          <w:t>138/2021</w:t>
        </w:r>
      </w:hyperlink>
      <w:r>
        <w:t>, ff. 2 a 4.</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138" w:history="1">
        <w:r w:rsidRPr="002C5A78">
          <w:rPr>
            <w:rStyle w:val="TextoNormalCaracter"/>
          </w:rPr>
          <w:t>138/2021</w:t>
        </w:r>
      </w:hyperlink>
      <w:r>
        <w:t>, ff. 2, 3.</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 </w:t>
      </w:r>
      <w:hyperlink w:anchor="SENTENCIA_2021_138" w:history="1">
        <w:r w:rsidRPr="002C5A78">
          <w:rPr>
            <w:rStyle w:val="TextoNormalCaracter"/>
          </w:rPr>
          <w:t>138/2021</w:t>
        </w:r>
      </w:hyperlink>
      <w:r>
        <w:t>, ff. 1 a 4.</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138" w:history="1">
        <w:r w:rsidRPr="002C5A78">
          <w:rPr>
            <w:rStyle w:val="TextoNormalCaracter"/>
          </w:rPr>
          <w:t>138/2021</w:t>
        </w:r>
      </w:hyperlink>
      <w:r>
        <w:t>, ff. 1 a 4.</w:t>
      </w:r>
    </w:p>
    <w:p w:rsidR="002C5A78" w:rsidRDefault="002C5A78" w:rsidP="002C5A78">
      <w:pPr>
        <w:pStyle w:val="SangriaFrancesaArticulo"/>
      </w:pPr>
      <w:r w:rsidRPr="002C5A78">
        <w:rPr>
          <w:rStyle w:val="TextoNormalNegritaCaracter"/>
        </w:rPr>
        <w:t>Artículo 4.1.</w:t>
      </w:r>
      <w:r w:rsidRPr="002C5A78">
        <w:rPr>
          <w:rStyle w:val="TextoNormalCaracter"/>
        </w:rPr>
        <w:t>-</w:t>
      </w:r>
      <w:r>
        <w:t xml:space="preserve"> Sentencia </w:t>
      </w:r>
      <w:hyperlink w:anchor="SENTENCIA_2021_138" w:history="1">
        <w:r w:rsidRPr="002C5A78">
          <w:rPr>
            <w:rStyle w:val="TextoNormalCaracter"/>
          </w:rPr>
          <w:t>138/2021</w:t>
        </w:r>
      </w:hyperlink>
      <w:r>
        <w:t>, ff. 1 a 4.</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138" w:history="1">
        <w:r w:rsidRPr="002C5A78">
          <w:rPr>
            <w:rStyle w:val="TextoNormalCaracter"/>
          </w:rPr>
          <w:t>138/2021</w:t>
        </w:r>
      </w:hyperlink>
      <w:r>
        <w:t>, f. 3.</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138" w:history="1">
        <w:r w:rsidRPr="002C5A78">
          <w:rPr>
            <w:rStyle w:val="TextoNormalCaracter"/>
          </w:rPr>
          <w:t>138/2021</w:t>
        </w:r>
      </w:hyperlink>
      <w:r>
        <w:t>, f. 3.</w:t>
      </w:r>
    </w:p>
    <w:p w:rsidR="002C5A78" w:rsidRDefault="002C5A78" w:rsidP="002C5A78">
      <w:pPr>
        <w:pStyle w:val="SangriaFrancesaArticulo"/>
      </w:pPr>
    </w:p>
    <w:p w:rsidR="002C5A78" w:rsidRDefault="002C5A78" w:rsidP="002C5A78">
      <w:pPr>
        <w:pStyle w:val="TextoNormalNegritaCursivandice"/>
        <w:keepNext/>
      </w:pPr>
      <w:r>
        <w:t>Decreto del Consell de la Generalitat Valenciana 192/2017, de 1 de diciembre. Reglamento de selección y provisión de personal estatutario al servicio de instituciones sanitarias públicas del Sistema Valenciano de Salud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SangriaFrancesaArticulo"/>
      </w:pPr>
      <w:r w:rsidRPr="002C5A78">
        <w:rPr>
          <w:rStyle w:val="TextoNormalNegritaCaracter"/>
        </w:rPr>
        <w:t>Artículo 48.</w:t>
      </w:r>
      <w:r w:rsidRPr="002C5A78">
        <w:rPr>
          <w:rStyle w:val="TextoNormalCaracter"/>
        </w:rPr>
        <w:t>-</w:t>
      </w:r>
      <w:r>
        <w:t xml:space="preserve"> Sentencia </w:t>
      </w:r>
      <w:hyperlink w:anchor="SENTENCIA_2021_109" w:history="1">
        <w:r w:rsidRPr="002C5A78">
          <w:rPr>
            <w:rStyle w:val="TextoNormalCaracter"/>
          </w:rPr>
          <w:t>109/2021</w:t>
        </w:r>
      </w:hyperlink>
      <w:r>
        <w:t>, f. 1.</w:t>
      </w:r>
    </w:p>
    <w:p w:rsidR="002C5A78" w:rsidRDefault="002C5A78" w:rsidP="002C5A78">
      <w:pPr>
        <w:pStyle w:val="SangriaFrancesaArticulo"/>
      </w:pPr>
      <w:r w:rsidRPr="002C5A78">
        <w:rPr>
          <w:rStyle w:val="TextoNormalNegritaCaracter"/>
        </w:rPr>
        <w:t>Artículo 48.2.</w:t>
      </w:r>
      <w:r w:rsidRPr="002C5A78">
        <w:rPr>
          <w:rStyle w:val="TextoNormalCaracter"/>
        </w:rPr>
        <w:t>-</w:t>
      </w:r>
      <w:r>
        <w:t xml:space="preserve"> Sentencia </w:t>
      </w:r>
      <w:hyperlink w:anchor="SENTENCIA_2021_109" w:history="1">
        <w:r w:rsidRPr="002C5A78">
          <w:rPr>
            <w:rStyle w:val="TextoNormalCaracter"/>
          </w:rPr>
          <w:t>109/2021</w:t>
        </w:r>
      </w:hyperlink>
      <w:r>
        <w:t>, f. 4.</w:t>
      </w:r>
    </w:p>
    <w:p w:rsidR="002C5A78" w:rsidRDefault="002C5A78" w:rsidP="002C5A78">
      <w:pPr>
        <w:pStyle w:val="TextoNormal"/>
      </w:pPr>
    </w:p>
    <w:p w:rsidR="002C5A78" w:rsidRDefault="002C5A78" w:rsidP="002C5A78">
      <w:pPr>
        <w:pStyle w:val="SangriaFrancesaArticulo"/>
      </w:pPr>
      <w:bookmarkStart w:id="226" w:name="INDICE22870"/>
    </w:p>
    <w:bookmarkEnd w:id="226"/>
    <w:p w:rsidR="002C5A78" w:rsidRDefault="002C5A78" w:rsidP="002C5A78">
      <w:pPr>
        <w:pStyle w:val="TextoIndiceNivel2"/>
        <w:suppressAutoHyphens/>
      </w:pPr>
      <w:r>
        <w:t>L) Tratados y acuerdos internacionales</w:t>
      </w:r>
    </w:p>
    <w:p w:rsidR="002C5A78" w:rsidRDefault="002C5A78" w:rsidP="002C5A78">
      <w:pPr>
        <w:pStyle w:val="TextoIndiceNivel2"/>
      </w:pPr>
    </w:p>
    <w:p w:rsidR="002C5A78" w:rsidRDefault="002C5A78" w:rsidP="002C5A78">
      <w:pPr>
        <w:pStyle w:val="TextoNormalNegritaCursivandice"/>
        <w:keepNext/>
      </w:pPr>
      <w:r>
        <w:t>Declaración universal de derechos humanos de 10 de diciembre de 1948</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p>
    <w:p w:rsidR="002C5A78" w:rsidRDefault="002C5A78" w:rsidP="002C5A78">
      <w:pPr>
        <w:pStyle w:val="TextoNormalNegritaCursivandice"/>
        <w:keepNext/>
      </w:pPr>
      <w:r>
        <w:t>Convenio internacional para la conservación del atún del Atlántico, hecho en Río de Janeiro el 14 de mayo de 1966. Ratificado por instrumento de 6 de marzo de 1969</w:t>
      </w:r>
    </w:p>
    <w:p w:rsidR="002C5A78" w:rsidRDefault="002C5A78" w:rsidP="002C5A78">
      <w:pPr>
        <w:pStyle w:val="SangriaFrancesaArticulo"/>
      </w:pPr>
      <w:r w:rsidRPr="002C5A78">
        <w:rPr>
          <w:rStyle w:val="TextoNormalNegritaCaracter"/>
        </w:rPr>
        <w:t>Artículo XI.</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p>
    <w:p w:rsidR="002C5A78" w:rsidRDefault="002C5A78" w:rsidP="002C5A78">
      <w:pPr>
        <w:pStyle w:val="TextoNormalNegritaCursivandice"/>
        <w:keepNext/>
      </w:pPr>
      <w:r>
        <w:t>Pacto internacional de derechos civiles y políticos. Nueva York, 16 de diciembre de 1966. Ratificado por Instrumento de 13 de abril de 1977</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14.1.</w:t>
      </w:r>
      <w:r w:rsidRPr="002C5A78">
        <w:rPr>
          <w:rStyle w:val="TextoNormalCaracter"/>
        </w:rPr>
        <w:t>-</w:t>
      </w:r>
      <w:r>
        <w:t xml:space="preserve"> Sentencias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Artículo 14.3 d).</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r w:rsidRPr="002C5A78">
        <w:rPr>
          <w:rStyle w:val="TextoNormalNegritaCaracter"/>
        </w:rPr>
        <w:t>Artículo 14.5.</w:t>
      </w:r>
      <w:r w:rsidRPr="002C5A78">
        <w:rPr>
          <w:rStyle w:val="TextoNormalCaracter"/>
        </w:rPr>
        <w:t>-</w:t>
      </w:r>
      <w:r>
        <w:t xml:space="preserve"> Sentencias </w:t>
      </w:r>
      <w:hyperlink w:anchor="SENTENCIA_2021_3" w:history="1">
        <w:r w:rsidRPr="002C5A78">
          <w:rPr>
            <w:rStyle w:val="TextoNormalCaracter"/>
          </w:rPr>
          <w:t>3/2021</w:t>
        </w:r>
      </w:hyperlink>
      <w:r>
        <w:t xml:space="preserve">, f. 3; </w:t>
      </w:r>
      <w:hyperlink w:anchor="SENTENCIA_2021_4" w:history="1">
        <w:r w:rsidRPr="002C5A78">
          <w:rPr>
            <w:rStyle w:val="TextoNormalCaracter"/>
          </w:rPr>
          <w:t>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07" w:history="1">
        <w:r w:rsidRPr="002C5A78">
          <w:rPr>
            <w:rStyle w:val="TextoNormalCaracter"/>
          </w:rPr>
          <w:t>107/2021</w:t>
        </w:r>
      </w:hyperlink>
      <w:r>
        <w:t xml:space="preserve">, f. 1;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5.</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93" w:history="1">
        <w:r w:rsidRPr="002C5A78">
          <w:rPr>
            <w:rStyle w:val="TextoNormalCaracter"/>
          </w:rPr>
          <w:t>93/2021</w:t>
        </w:r>
      </w:hyperlink>
      <w:r>
        <w:t>, f. 4.</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Convenio de sede entre el Estado español y la Comisión Internacional para la Conservación del Atún Atlántico, firmado en Madrid el día 29 de marzo de 1971. Ratificado por Instrumento de 22 de octubre de 1971</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4.3.</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 </w:t>
      </w:r>
      <w:hyperlink w:anchor="SENTENCIA_2021_120" w:history="1">
        <w:r w:rsidRPr="002C5A78">
          <w:rPr>
            <w:rStyle w:val="TextoNormalCaracter"/>
          </w:rPr>
          <w:t>120/2021</w:t>
        </w:r>
      </w:hyperlink>
      <w:r>
        <w:t>, ff. 1, 2, 4.</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Artículos 15 a 22.</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p>
    <w:p w:rsidR="002C5A78" w:rsidRDefault="002C5A78" w:rsidP="002C5A78">
      <w:pPr>
        <w:pStyle w:val="TextoNormalNegritaCursivandice"/>
        <w:keepNext/>
      </w:pPr>
      <w:r>
        <w:t>Convención contra la tortura y otros tratos o penas crueles, inhumanos o degradantes, hecha en Nueva York el 10 de diciembre de 1984. Ratificada por Instrumento de 19 de octubre de 1987</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SangriaFrancesaArticulo"/>
      </w:pPr>
    </w:p>
    <w:p w:rsidR="002C5A78" w:rsidRDefault="002C5A78" w:rsidP="002C5A78">
      <w:pPr>
        <w:pStyle w:val="TextoNormalNegritaCursivandice"/>
        <w:keepNext/>
      </w:pPr>
      <w:r>
        <w:t>Convención sobre los derechos del niño, adoptada por la Asamblea General de Naciones Unidas el 20 de noviembre de 1989. Ratificada por Instrumento de 30 de noviembre de 1990</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6" w:history="1">
        <w:r w:rsidRPr="002C5A78">
          <w:rPr>
            <w:rStyle w:val="TextoNormalCaracter"/>
          </w:rPr>
          <w:t>36/2021</w:t>
        </w:r>
      </w:hyperlink>
      <w:r>
        <w:t xml:space="preserve">, f. 3; </w:t>
      </w:r>
      <w:hyperlink w:anchor="SENTENCIA_2021_81" w:history="1">
        <w:r w:rsidRPr="002C5A78">
          <w:rPr>
            <w:rStyle w:val="TextoNormalCaracter"/>
          </w:rPr>
          <w:t>81/2021</w:t>
        </w:r>
      </w:hyperlink>
      <w:r>
        <w:t>, VP I.</w:t>
      </w:r>
    </w:p>
    <w:p w:rsidR="002C5A78" w:rsidRDefault="002C5A78" w:rsidP="002C5A78">
      <w:pPr>
        <w:pStyle w:val="SangriaFrancesaArticulo"/>
      </w:pPr>
      <w:r w:rsidRPr="002C5A78">
        <w:rPr>
          <w:rStyle w:val="TextoNormalNegritaCaracter"/>
        </w:rPr>
        <w:t>Artículo 3.1.</w:t>
      </w:r>
      <w:r w:rsidRPr="002C5A78">
        <w:rPr>
          <w:rStyle w:val="TextoNormalCaracter"/>
        </w:rPr>
        <w:t>-</w:t>
      </w:r>
      <w:r>
        <w:t xml:space="preserve"> Sentencias </w:t>
      </w:r>
      <w:hyperlink w:anchor="SENTENCIA_2021_81" w:history="1">
        <w:r w:rsidRPr="002C5A78">
          <w:rPr>
            <w:rStyle w:val="TextoNormalCaracter"/>
          </w:rPr>
          <w:t>81/2021</w:t>
        </w:r>
      </w:hyperlink>
      <w:r>
        <w:t xml:space="preserve">, f. 2; </w:t>
      </w:r>
      <w:hyperlink w:anchor="SENTENCIA_2021_113" w:history="1">
        <w:r w:rsidRPr="002C5A78">
          <w:rPr>
            <w:rStyle w:val="TextoNormalCaracter"/>
          </w:rPr>
          <w:t>113/2021</w:t>
        </w:r>
      </w:hyperlink>
      <w:r>
        <w:t>, f. 2.</w:t>
      </w:r>
    </w:p>
    <w:p w:rsidR="002C5A78" w:rsidRDefault="002C5A78" w:rsidP="002C5A78">
      <w:pPr>
        <w:pStyle w:val="SangriaFrancesaArticulo"/>
      </w:pPr>
      <w:r w:rsidRPr="002C5A78">
        <w:rPr>
          <w:rStyle w:val="TextoNormalNegritaCaracter"/>
        </w:rPr>
        <w:t>Artículo 28.</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r w:rsidRPr="002C5A78">
        <w:rPr>
          <w:rStyle w:val="TextoNormalNegritaCaracter"/>
        </w:rPr>
        <w:t>Artículo 73.</w:t>
      </w:r>
      <w:r w:rsidRPr="002C5A78">
        <w:rPr>
          <w:rStyle w:val="TextoNormalCaracter"/>
        </w:rPr>
        <w:t>-</w:t>
      </w:r>
      <w:r>
        <w:t xml:space="preserve"> Sentencia </w:t>
      </w:r>
      <w:hyperlink w:anchor="SENTENCIA_2021_81" w:history="1">
        <w:r w:rsidRPr="002C5A78">
          <w:rPr>
            <w:rStyle w:val="TextoNormalCaracter"/>
          </w:rPr>
          <w:t>81/2021</w:t>
        </w:r>
      </w:hyperlink>
      <w:r>
        <w:t>, f. 2.</w:t>
      </w:r>
    </w:p>
    <w:p w:rsidR="002C5A78" w:rsidRDefault="002C5A78" w:rsidP="002C5A78">
      <w:pPr>
        <w:pStyle w:val="SangriaFrancesaArticulo"/>
      </w:pPr>
    </w:p>
    <w:p w:rsidR="002C5A78" w:rsidRDefault="002C5A78" w:rsidP="002C5A78">
      <w:pPr>
        <w:pStyle w:val="TextoNormalNegritaCursivandice"/>
        <w:keepNext/>
      </w:pPr>
      <w:r>
        <w:t>Convenio relativo a la protección del niño y a la cooperación en materia de adopción internacional, hecho en La Haya el 29 de mayo de 1993. Ratificado por Instrumento de 30 de junio de 1995</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6" w:history="1">
        <w:r w:rsidRPr="002C5A78">
          <w:rPr>
            <w:rStyle w:val="TextoNormalCaracter"/>
          </w:rPr>
          <w:t>36/2021</w:t>
        </w:r>
      </w:hyperlink>
      <w:r>
        <w:t>, ff. 3, 10, 11, VP.</w:t>
      </w:r>
    </w:p>
    <w:p w:rsidR="002C5A78" w:rsidRDefault="002C5A78" w:rsidP="002C5A78">
      <w:pPr>
        <w:pStyle w:val="SangriaFrancesaArticulo"/>
      </w:pPr>
      <w:r w:rsidRPr="002C5A78">
        <w:rPr>
          <w:rStyle w:val="TextoNormalNegritaCaracter"/>
        </w:rPr>
        <w:t>Artículo 1 b).</w:t>
      </w:r>
      <w:r w:rsidRPr="002C5A78">
        <w:rPr>
          <w:rStyle w:val="TextoNormalCaracter"/>
        </w:rPr>
        <w:t>-</w:t>
      </w:r>
      <w:r>
        <w:t xml:space="preserve"> Sentencia </w:t>
      </w:r>
      <w:hyperlink w:anchor="SENTENCIA_2021_36" w:history="1">
        <w:r w:rsidRPr="002C5A78">
          <w:rPr>
            <w:rStyle w:val="TextoNormalCaracter"/>
          </w:rPr>
          <w:t>36/2021</w:t>
        </w:r>
      </w:hyperlink>
      <w:r>
        <w:t>, f. 10.</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36" w:history="1">
        <w:r w:rsidRPr="002C5A78">
          <w:rPr>
            <w:rStyle w:val="TextoNormalCaracter"/>
          </w:rPr>
          <w:t>36/2021</w:t>
        </w:r>
      </w:hyperlink>
      <w:r>
        <w:t>, f. 14.</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15.</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16.</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19.</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20.</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r w:rsidRPr="002C5A78">
        <w:rPr>
          <w:rStyle w:val="TextoNormalNegritaCaracter"/>
        </w:rPr>
        <w:t>Artículo 36.</w:t>
      </w:r>
      <w:r w:rsidRPr="002C5A78">
        <w:rPr>
          <w:rStyle w:val="TextoNormalCaracter"/>
        </w:rPr>
        <w:t>-</w:t>
      </w:r>
      <w:r>
        <w:t xml:space="preserve"> Sentencia </w:t>
      </w:r>
      <w:hyperlink w:anchor="SENTENCIA_2021_36" w:history="1">
        <w:r w:rsidRPr="002C5A78">
          <w:rPr>
            <w:rStyle w:val="TextoNormalCaracter"/>
          </w:rPr>
          <w:t>36/2021</w:t>
        </w:r>
      </w:hyperlink>
      <w:r>
        <w:t>, f. 3.</w:t>
      </w:r>
    </w:p>
    <w:p w:rsidR="002C5A78" w:rsidRDefault="002C5A78" w:rsidP="002C5A78">
      <w:pPr>
        <w:pStyle w:val="SangriaFrancesaArticulo"/>
      </w:pPr>
      <w:r w:rsidRPr="002C5A78">
        <w:rPr>
          <w:rStyle w:val="TextoNormalNegritaCaracter"/>
        </w:rPr>
        <w:t>Artículo 39.2.</w:t>
      </w:r>
      <w:r w:rsidRPr="002C5A78">
        <w:rPr>
          <w:rStyle w:val="TextoNormalCaracter"/>
        </w:rPr>
        <w:t>-</w:t>
      </w:r>
      <w:r>
        <w:t xml:space="preserve"> Sentencia </w:t>
      </w:r>
      <w:hyperlink w:anchor="SENTENCIA_2021_36" w:history="1">
        <w:r w:rsidRPr="002C5A78">
          <w:rPr>
            <w:rStyle w:val="TextoNormalCaracter"/>
          </w:rPr>
          <w:t>36/2021</w:t>
        </w:r>
      </w:hyperlink>
      <w:r>
        <w:t>, f. 5.</w:t>
      </w:r>
    </w:p>
    <w:p w:rsidR="002C5A78" w:rsidRDefault="002C5A78" w:rsidP="002C5A78">
      <w:pPr>
        <w:pStyle w:val="SangriaFrancesaArticulo"/>
      </w:pPr>
    </w:p>
    <w:p w:rsidR="002C5A78" w:rsidRDefault="002C5A78" w:rsidP="002C5A78">
      <w:pPr>
        <w:pStyle w:val="TextoNormalNegritaCursivandice"/>
        <w:keepNext/>
      </w:pPr>
      <w:r>
        <w:t>Observación general núm. 5, de 9 de diciembre de 1994. Comité de derechos económicos, sociales y culturales de Naciones Unidas. Las personas con discapacidad</w:t>
      </w:r>
    </w:p>
    <w:p w:rsidR="002C5A78" w:rsidRDefault="002C5A78" w:rsidP="002C5A78">
      <w:pPr>
        <w:pStyle w:val="SangriaFrancesaArticulo"/>
      </w:pPr>
      <w:r w:rsidRPr="002C5A78">
        <w:rPr>
          <w:rStyle w:val="TextoNormalNegritaCaracter"/>
        </w:rPr>
        <w:t>§ 20.</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p>
    <w:p w:rsidR="002C5A78" w:rsidRDefault="002C5A78" w:rsidP="002C5A78">
      <w:pPr>
        <w:pStyle w:val="TextoNormalNegritaCursivandice"/>
        <w:keepNext/>
      </w:pPr>
      <w:r>
        <w:t>Observación general núm. 7, de 16 de mayo de 1997. Comité de derechos económicos, sociales y culturales de Naciones Unidas. Derecho a una vivienda adecuada: desalojos forzosos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81" w:history="1">
        <w:r w:rsidRPr="002C5A78">
          <w:rPr>
            <w:rStyle w:val="TextoNormalCaracter"/>
          </w:rPr>
          <w:t>81/2021</w:t>
        </w:r>
      </w:hyperlink>
      <w:r>
        <w:t>, VP I.</w:t>
      </w:r>
    </w:p>
    <w:p w:rsidR="002C5A78" w:rsidRDefault="002C5A78" w:rsidP="002C5A78">
      <w:pPr>
        <w:pStyle w:val="SangriaFrancesaArticulo"/>
      </w:pPr>
    </w:p>
    <w:p w:rsidR="002C5A78" w:rsidRDefault="002C5A78" w:rsidP="002C5A78">
      <w:pPr>
        <w:pStyle w:val="TextoNormalNegritaCursivandice"/>
        <w:keepNext/>
      </w:pPr>
      <w:r>
        <w:t>Convenio de Aarhus, de 25 de junio de 1998. Acceso a la información, la participación del público en la toma de decisiones y el acceso a la justicia en materia de medio ambiente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5" w:history="1">
        <w:r w:rsidRPr="002C5A78">
          <w:rPr>
            <w:rStyle w:val="TextoNormalCaracter"/>
          </w:rPr>
          <w:t>15/2021</w:t>
        </w:r>
      </w:hyperlink>
      <w:r>
        <w:t>, f. 4.</w:t>
      </w:r>
    </w:p>
    <w:p w:rsidR="002C5A78" w:rsidRDefault="002C5A78" w:rsidP="002C5A78">
      <w:pPr>
        <w:pStyle w:val="SangriaFrancesaArticulo"/>
      </w:pPr>
      <w:r w:rsidRPr="002C5A78">
        <w:rPr>
          <w:rStyle w:val="TextoNormalNegritaCaracter"/>
        </w:rPr>
        <w:t>Artículo 9.3.</w:t>
      </w:r>
      <w:r w:rsidRPr="002C5A78">
        <w:rPr>
          <w:rStyle w:val="TextoNormalCaracter"/>
        </w:rPr>
        <w:t>-</w:t>
      </w:r>
      <w:r>
        <w:t xml:space="preserve"> Sentencia </w:t>
      </w:r>
      <w:hyperlink w:anchor="SENTENCIA_2021_15" w:history="1">
        <w:r w:rsidRPr="002C5A78">
          <w:rPr>
            <w:rStyle w:val="TextoNormalCaracter"/>
          </w:rPr>
          <w:t>15/2021</w:t>
        </w:r>
      </w:hyperlink>
      <w:r>
        <w:t>, f. 4.</w:t>
      </w:r>
    </w:p>
    <w:p w:rsidR="002C5A78" w:rsidRDefault="002C5A78" w:rsidP="002C5A78">
      <w:pPr>
        <w:pStyle w:val="SangriaFrancesaArticulo"/>
      </w:pPr>
    </w:p>
    <w:p w:rsidR="002C5A78" w:rsidRDefault="002C5A78" w:rsidP="002C5A78">
      <w:pPr>
        <w:pStyle w:val="TextoNormalNegritaCursivandice"/>
        <w:keepNext/>
      </w:pPr>
      <w:r>
        <w:t>Convención de las Naciones Unidas sobre inmunidades jurisdiccionales de los Estados y de sus bienes, de 2 de diciembre de 2004</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p>
    <w:p w:rsidR="002C5A78" w:rsidRDefault="002C5A78" w:rsidP="002C5A78">
      <w:pPr>
        <w:pStyle w:val="TextoNormalNegritaCursivandice"/>
        <w:keepNext/>
      </w:pPr>
      <w:r>
        <w:t>Convención sobre los derechos de las personas con discapacidad, hecho en Nueva York el 13 de diciembre de 2006. Ratificada por Instrumento de 23 de noviembre de 2007</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 </w:t>
      </w:r>
      <w:hyperlink w:anchor="SENTENCIA_2021_51" w:history="1">
        <w:r w:rsidRPr="002C5A78">
          <w:rPr>
            <w:rStyle w:val="TextoNormalCaracter"/>
          </w:rPr>
          <w:t>51/2021</w:t>
        </w:r>
      </w:hyperlink>
      <w:r>
        <w:t>, ff. 3, 4.</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Observación general núm. 14, de 29 de mayo de 2013. Comité de derechos del niño de Naciones Unidas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3" w:history="1">
        <w:r w:rsidRPr="002C5A78">
          <w:rPr>
            <w:rStyle w:val="TextoNormalCaracter"/>
          </w:rPr>
          <w:t>113/2021</w:t>
        </w:r>
      </w:hyperlink>
      <w:r>
        <w:t>, f. 2.</w:t>
      </w:r>
    </w:p>
    <w:p w:rsidR="002C5A78" w:rsidRDefault="002C5A78" w:rsidP="002C5A78">
      <w:pPr>
        <w:pStyle w:val="SangriaFrancesaArticulo"/>
      </w:pPr>
    </w:p>
    <w:p w:rsidR="002C5A78" w:rsidRDefault="002C5A78" w:rsidP="002C5A78">
      <w:pPr>
        <w:pStyle w:val="TextoNormalNegritaCursivandice"/>
        <w:keepNext/>
      </w:pPr>
      <w:r>
        <w:t>Recomendación del Consejo de la OCDE de 14 de diciembre de 2015. sobre la política integrada de salud mental, competencias y empleo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p>
    <w:p w:rsidR="002C5A78" w:rsidRDefault="002C5A78" w:rsidP="002C5A78">
      <w:pPr>
        <w:pStyle w:val="TextoNormalNegritaCursivandice"/>
        <w:keepNext/>
      </w:pPr>
      <w:r>
        <w:t>Observación general núm. 6, de 26 de abril de 2018. Comité sobre los derechos de las personas con discapacidad de Naciones Unidas. Igualdad y no discriminación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r w:rsidRPr="002C5A78">
        <w:rPr>
          <w:rStyle w:val="TextoNormalNegritaCaracter"/>
        </w:rPr>
        <w:t xml:space="preserve">§ 24 </w:t>
      </w:r>
      <w:r w:rsidRPr="002C5A78">
        <w:rPr>
          <w:rStyle w:val="TextoNormalNegritaCursivaCaracter"/>
        </w:rPr>
        <w:t>in fine</w:t>
      </w:r>
      <w:r w:rsidRPr="002C5A78">
        <w:rPr>
          <w:rStyle w:val="TextoNormalNegritaCaracter"/>
        </w:rPr>
        <w:t>.</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TextoNormal"/>
      </w:pPr>
    </w:p>
    <w:p w:rsidR="002C5A78" w:rsidRDefault="002C5A78" w:rsidP="002C5A78">
      <w:pPr>
        <w:pStyle w:val="SangriaFrancesaArticulo"/>
      </w:pPr>
      <w:bookmarkStart w:id="227" w:name="INDICE22871"/>
    </w:p>
    <w:bookmarkEnd w:id="227"/>
    <w:p w:rsidR="002C5A78" w:rsidRDefault="002C5A78" w:rsidP="002C5A78">
      <w:pPr>
        <w:pStyle w:val="TextoIndiceNivel2"/>
        <w:suppressAutoHyphens/>
      </w:pPr>
      <w:r>
        <w:t>M) Unión Europea</w:t>
      </w:r>
    </w:p>
    <w:p w:rsidR="002C5A78" w:rsidRDefault="002C5A78" w:rsidP="002C5A78">
      <w:pPr>
        <w:pStyle w:val="TextoIndiceNivel2"/>
      </w:pPr>
    </w:p>
    <w:p w:rsidR="002C5A78" w:rsidRDefault="002C5A78" w:rsidP="002C5A78">
      <w:pPr>
        <w:pStyle w:val="TextoNormalNegritaCursivandice"/>
        <w:keepNext/>
      </w:pPr>
      <w:r>
        <w:t>Protocolo sobre los privilegios e inmunidades de las Comunidades Europeas, de 8 de abril de 1965</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Directiva 85/337/CEE del Consejo, de 27 de junio de 1985. Evaluación de las repercusiones de determinados proyectos públicos y privados sobre el medio ambiente</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Anexo I.</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Anexo II.</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Reglamento de procedimiento del Tribunal de Justicia de las Comunidades Europeas, 19 de junio de 1991</w:t>
      </w:r>
    </w:p>
    <w:p w:rsidR="002C5A78" w:rsidRDefault="002C5A78" w:rsidP="002C5A78">
      <w:pPr>
        <w:pStyle w:val="SangriaFrancesaArticulo"/>
      </w:pPr>
      <w:r w:rsidRPr="002C5A78">
        <w:rPr>
          <w:rStyle w:val="TextoNormalNegritaCaracter"/>
        </w:rPr>
        <w:t>Artículo 156, 4.</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p>
    <w:p w:rsidR="002C5A78" w:rsidRDefault="002C5A78" w:rsidP="002C5A78">
      <w:pPr>
        <w:pStyle w:val="TextoNormalNegritaCursivandice"/>
        <w:keepNext/>
      </w:pPr>
      <w:r>
        <w:t>Directiva 91/676/CEE del Consejo, de 12 de diciembre. Protección de las aguas contra la contaminación producida por nitratos utilizados en la agricultura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2" w:history="1">
        <w:r w:rsidRPr="002C5A78">
          <w:rPr>
            <w:rStyle w:val="TextoNormalCaracter"/>
          </w:rPr>
          <w:t>112/2021</w:t>
        </w:r>
      </w:hyperlink>
      <w:r>
        <w:t>, ff. 4, 8.</w:t>
      </w:r>
    </w:p>
    <w:p w:rsidR="002C5A78" w:rsidRDefault="002C5A78" w:rsidP="002C5A78">
      <w:pPr>
        <w:pStyle w:val="SangriaFrancesaArticulo"/>
      </w:pPr>
    </w:p>
    <w:p w:rsidR="002C5A78" w:rsidRDefault="002C5A78" w:rsidP="002C5A78">
      <w:pPr>
        <w:pStyle w:val="TextoNormalNegritaCursivandice"/>
        <w:keepNext/>
      </w:pPr>
      <w:r>
        <w:t>Directiva 93/13/CEE del Consejo, de 5 de abril de 1993, sobre cláusulas abusivas en los contratos celebrados con consumidores</w:t>
      </w:r>
    </w:p>
    <w:p w:rsidR="002C5A78" w:rsidRDefault="002C5A78" w:rsidP="002C5A78">
      <w:pPr>
        <w:pStyle w:val="SangriaFrancesaArticulo"/>
        <w:keepNext/>
      </w:pPr>
      <w:r w:rsidRPr="002C5A78">
        <w:rPr>
          <w:rStyle w:val="TextoNormalNegritaCaracter"/>
        </w:rPr>
        <w:t>En general.</w:t>
      </w:r>
      <w:r w:rsidRPr="002C5A78">
        <w:rPr>
          <w:rStyle w:val="TextoNormalCaracter"/>
        </w:rPr>
        <w:t>-</w:t>
      </w:r>
      <w:r>
        <w:t xml:space="preserve"> Sentencias </w:t>
      </w:r>
      <w:hyperlink w:anchor="SENTENCIA_2021_7" w:history="1">
        <w:r w:rsidRPr="002C5A78">
          <w:rPr>
            <w:rStyle w:val="TextoNormalCaracter"/>
          </w:rPr>
          <w:t>7/2021</w:t>
        </w:r>
      </w:hyperlink>
      <w:r>
        <w:t xml:space="preserve">, f. 2;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xml:space="preserve">, ff. 3, 4; </w:t>
      </w:r>
      <w:hyperlink w:anchor="SENTENCIA_2021_50" w:history="1">
        <w:r w:rsidRPr="002C5A78">
          <w:rPr>
            <w:rStyle w:val="TextoNormalCaracter"/>
          </w:rPr>
          <w:t>50/2021</w:t>
        </w:r>
      </w:hyperlink>
      <w:r>
        <w:t xml:space="preserve">, f. 2; </w:t>
      </w:r>
      <w:hyperlink w:anchor="SENTENCIA_2021_52" w:history="1">
        <w:r w:rsidRPr="002C5A78">
          <w:rPr>
            <w:rStyle w:val="TextoNormalCaracter"/>
          </w:rPr>
          <w:t>52/2021</w:t>
        </w:r>
      </w:hyperlink>
      <w:r>
        <w:t xml:space="preserve">, f. 2; </w:t>
      </w:r>
      <w:hyperlink w:anchor="SENTENCIA_2021_77" w:history="1">
        <w:r w:rsidRPr="002C5A78">
          <w:rPr>
            <w:rStyle w:val="TextoNormalCaracter"/>
          </w:rPr>
          <w:t>77/2021</w:t>
        </w:r>
      </w:hyperlink>
      <w:r>
        <w:t xml:space="preserve">, f. 2; </w:t>
      </w:r>
      <w:hyperlink w:anchor="SENTENCIA_2021_92" w:history="1">
        <w:r w:rsidRPr="002C5A78">
          <w:rPr>
            <w:rStyle w:val="TextoNormalCaracter"/>
          </w:rPr>
          <w:t>92/2021</w:t>
        </w:r>
      </w:hyperlink>
      <w:r>
        <w:t xml:space="preserve">, f. 2; </w:t>
      </w:r>
      <w:hyperlink w:anchor="SENTENCIA_2021_101" w:history="1">
        <w:r w:rsidRPr="002C5A78">
          <w:rPr>
            <w:rStyle w:val="TextoNormalCaracter"/>
          </w:rPr>
          <w:t>101/2021</w:t>
        </w:r>
      </w:hyperlink>
      <w:r>
        <w:t>, f. 3.</w:t>
      </w:r>
    </w:p>
    <w:p w:rsidR="002C5A78" w:rsidRDefault="002C5A78" w:rsidP="002C5A78">
      <w:pPr>
        <w:pStyle w:val="SangriaIzquierdaArticulo"/>
      </w:pPr>
      <w:r>
        <w:t xml:space="preserve">Autos </w:t>
      </w:r>
      <w:hyperlink w:anchor="AUTO_2021_35" w:history="1">
        <w:r w:rsidRPr="002C5A78">
          <w:rPr>
            <w:rStyle w:val="TextoNormalCaracter"/>
          </w:rPr>
          <w:t>35/2021</w:t>
        </w:r>
      </w:hyperlink>
      <w:r>
        <w:t xml:space="preserve">, f; </w:t>
      </w:r>
      <w:hyperlink w:anchor="AUTO_2021_57" w:history="1">
        <w:r w:rsidRPr="002C5A78">
          <w:rPr>
            <w:rStyle w:val="TextoNormalCaracter"/>
          </w:rPr>
          <w:t>57/2021</w:t>
        </w:r>
      </w:hyperlink>
      <w:r>
        <w:t>, f. 3.</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 </w:t>
      </w:r>
      <w:hyperlink w:anchor="SENTENCIA_2021_52" w:history="1">
        <w:r w:rsidRPr="002C5A78">
          <w:rPr>
            <w:rStyle w:val="TextoNormalCaracter"/>
          </w:rPr>
          <w:t>52/2021</w:t>
        </w:r>
      </w:hyperlink>
      <w:r>
        <w:t>, f. 2.</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xml:space="preserve">, ff. 3, 4; </w:t>
      </w:r>
      <w:hyperlink w:anchor="SENTENCIA_2021_101" w:history="1">
        <w:r w:rsidRPr="002C5A78">
          <w:rPr>
            <w:rStyle w:val="TextoNormalCaracter"/>
          </w:rPr>
          <w:t>101/2021</w:t>
        </w:r>
      </w:hyperlink>
      <w:r>
        <w:t>, f. 3.</w:t>
      </w:r>
    </w:p>
    <w:p w:rsidR="002C5A78" w:rsidRDefault="002C5A78" w:rsidP="002C5A78">
      <w:pPr>
        <w:pStyle w:val="SangriaFrancesaArticulo"/>
      </w:pPr>
    </w:p>
    <w:p w:rsidR="002C5A78" w:rsidRDefault="002C5A78" w:rsidP="002C5A78">
      <w:pPr>
        <w:pStyle w:val="TextoNormalNegritaCursivandice"/>
        <w:keepNext/>
      </w:pPr>
      <w:r>
        <w:t>Directiva 95/46/CE del Parlamento Europeo y del Consejo, de 24 de octubre de 1995. Protección de las personas físicas en lo que respecta al tratamiento de datos personales y a la libre circulación de estos datos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Directiva 2000/78/CE, del Consejo, de 27 de noviembre. Establecimiento de un marco general para la igualdad de trato en el empleo y la ocupación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2.2 b).</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p>
    <w:p w:rsidR="002C5A78" w:rsidRDefault="002C5A78" w:rsidP="002C5A78">
      <w:pPr>
        <w:pStyle w:val="TextoNormalNegritaCursivandice"/>
        <w:keepNext/>
      </w:pPr>
      <w:r>
        <w:t>Carta de los derechos fundamentales de la Unión Europea, firmada en Niza el 7 de diciembre de 2000</w:t>
      </w:r>
    </w:p>
    <w:p w:rsidR="002C5A78" w:rsidRDefault="002C5A78" w:rsidP="002C5A78">
      <w:pPr>
        <w:pStyle w:val="SangriaFrancesaArticulo"/>
      </w:pPr>
      <w:r w:rsidRPr="002C5A78">
        <w:rPr>
          <w:rStyle w:val="TextoNormalNegritaCaracter"/>
        </w:rPr>
        <w:t>Artículo 17.</w:t>
      </w:r>
      <w:r w:rsidRPr="002C5A78">
        <w:rPr>
          <w:rStyle w:val="TextoNormalCaracter"/>
        </w:rPr>
        <w:t>-</w:t>
      </w:r>
      <w:r>
        <w:t xml:space="preserve"> Sentencia </w:t>
      </w:r>
      <w:hyperlink w:anchor="SENTENCIA_2021_69" w:history="1">
        <w:r w:rsidRPr="002C5A78">
          <w:rPr>
            <w:rStyle w:val="TextoNormalCaracter"/>
          </w:rPr>
          <w:t>69/2021</w:t>
        </w:r>
      </w:hyperlink>
      <w:r>
        <w:t>, f. 5.</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26.</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Artículo 47.</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Artículo 49.</w:t>
      </w:r>
      <w:r w:rsidRPr="002C5A78">
        <w:rPr>
          <w:rStyle w:val="TextoNormalCaracter"/>
        </w:rPr>
        <w:t>-</w:t>
      </w:r>
      <w:r>
        <w:t xml:space="preserve"> Sentencias </w:t>
      </w:r>
      <w:hyperlink w:anchor="SENTENCIA_2021_91" w:history="1">
        <w:r w:rsidRPr="002C5A78">
          <w:rPr>
            <w:rStyle w:val="TextoNormalCaracter"/>
          </w:rPr>
          <w:t>91/2021</w:t>
        </w:r>
      </w:hyperlink>
      <w:r>
        <w:t xml:space="preserve">, ff. 1, 11, VP; </w:t>
      </w:r>
      <w:hyperlink w:anchor="SENTENCIA_2021_106" w:history="1">
        <w:r w:rsidRPr="002C5A78">
          <w:rPr>
            <w:rStyle w:val="TextoNormalCaracter"/>
          </w:rPr>
          <w:t>106/2021</w:t>
        </w:r>
      </w:hyperlink>
      <w:r>
        <w:t xml:space="preserve">, ff. 1, 11, VP; </w:t>
      </w:r>
      <w:hyperlink w:anchor="SENTENCIA_2021_121" w:history="1">
        <w:r w:rsidRPr="002C5A78">
          <w:rPr>
            <w:rStyle w:val="TextoNormalCaracter"/>
          </w:rPr>
          <w:t>121/2021</w:t>
        </w:r>
      </w:hyperlink>
      <w:r>
        <w:t>, ff. 1, 12.</w:t>
      </w:r>
    </w:p>
    <w:p w:rsidR="002C5A78" w:rsidRDefault="002C5A78" w:rsidP="002C5A78">
      <w:pPr>
        <w:pStyle w:val="SangriaFrancesaArticulo"/>
      </w:pPr>
      <w:r w:rsidRPr="002C5A78">
        <w:rPr>
          <w:rStyle w:val="TextoNormalNegritaCaracter"/>
        </w:rPr>
        <w:t>Artículo 49.3.</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Directiva 2001/42/CE del Parlamento Europeo y del Consejo, de 27 de junio de 2001. Evaluación de los efectos de determinados planes y programas en el medio ambiente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3.2 a).</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3.3.</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3.4.</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Artículo 3.5.</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Directiva 2004/18/CE del Parlamento Europeo y del Consejo, de 31 de marzo de 2004.  Coordinación de los procedimientos de adjudicación de los contratos públicos de obras, de suministro y de servicios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p>
    <w:p w:rsidR="002C5A78" w:rsidRDefault="002C5A78" w:rsidP="002C5A78">
      <w:pPr>
        <w:pStyle w:val="TextoNormalNegritaCursivandice"/>
        <w:keepNext/>
      </w:pPr>
      <w:r>
        <w:t>Tratado de funcionamiento de la Unión Europea —TFUE—, hecho en Lisboa, de 13 de diciembre de 2007</w:t>
      </w:r>
    </w:p>
    <w:p w:rsidR="002C5A78" w:rsidRDefault="002C5A78" w:rsidP="002C5A78">
      <w:pPr>
        <w:pStyle w:val="SangriaFrancesaArticulo"/>
      </w:pPr>
      <w:r w:rsidRPr="002C5A78">
        <w:rPr>
          <w:rStyle w:val="TextoNormalNegritaCaracter"/>
        </w:rPr>
        <w:t>Artículo 278.</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Artículo 279.</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Artículo 343.</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p>
    <w:p w:rsidR="002C5A78" w:rsidRDefault="002C5A78" w:rsidP="002C5A78">
      <w:pPr>
        <w:pStyle w:val="TextoNormalNegritaCursivandice"/>
        <w:keepNext/>
      </w:pPr>
      <w:r>
        <w:t>Decisión 2010/48/CE, del Consejo, de 26 de noviembre de 2009. Celebración, por parte de la Comunidad Europea, de la Convención de las Naciones Unidas sobre los derechos de las personas con discapacidad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Reglamento (UE) 1177/2010 del Parlamento Europeo y del Consejo, de 24 de noviembre de 2010. Derechos de los pasajeros que viajan por mar y por vías navegables y por el que se modifica el Reglamento (CE) 2006/2004</w:t>
      </w:r>
    </w:p>
    <w:p w:rsidR="002C5A78" w:rsidRDefault="002C5A78" w:rsidP="002C5A78">
      <w:pPr>
        <w:pStyle w:val="SangriaFrancesaArticulo"/>
      </w:pPr>
      <w:r w:rsidRPr="002C5A78">
        <w:rPr>
          <w:rStyle w:val="TextoNormalNegritaCaracter"/>
        </w:rPr>
        <w:t>Artículo 3 t).</w:t>
      </w:r>
      <w:r w:rsidRPr="002C5A78">
        <w:rPr>
          <w:rStyle w:val="TextoNormalCaracter"/>
        </w:rPr>
        <w:t>-</w:t>
      </w:r>
      <w:r>
        <w:t xml:space="preserve"> Sentencia </w:t>
      </w:r>
      <w:hyperlink w:anchor="SENTENCIA_2021_125" w:history="1">
        <w:r w:rsidRPr="002C5A78">
          <w:rPr>
            <w:rStyle w:val="TextoNormalCaracter"/>
          </w:rPr>
          <w:t>125/2021</w:t>
        </w:r>
      </w:hyperlink>
      <w:r>
        <w:t>, f. 6.</w:t>
      </w:r>
    </w:p>
    <w:p w:rsidR="002C5A78" w:rsidRDefault="002C5A78" w:rsidP="002C5A78">
      <w:pPr>
        <w:pStyle w:val="SangriaFrancesaArticulo"/>
      </w:pPr>
    </w:p>
    <w:p w:rsidR="002C5A78" w:rsidRDefault="002C5A78" w:rsidP="002C5A78">
      <w:pPr>
        <w:pStyle w:val="TextoNormalNegritaCursivandice"/>
        <w:keepNext/>
      </w:pPr>
      <w:r>
        <w:t>Directiva 2011/92/UE del Parlamento Europeo y del Consejo, de 13 de diciembre de 2011. Evaluación de las repercusiones de determinados proyectos públicos y privados sobre el medio ambiente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Directiva 2012/13/UE del Parlamento Europeo y del Consejo, de 22 de mayo de 2012, relativa al derecho a la información en los procesos penales</w:t>
      </w:r>
    </w:p>
    <w:p w:rsidR="002C5A78" w:rsidRDefault="002C5A78" w:rsidP="002C5A78">
      <w:pPr>
        <w:pStyle w:val="SangriaFrancesaArticulo"/>
      </w:pPr>
      <w:r w:rsidRPr="002C5A78">
        <w:rPr>
          <w:rStyle w:val="TextoNormalNegritaCaracter"/>
        </w:rPr>
        <w:t>Artículo 7.4.</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p>
    <w:p w:rsidR="002C5A78" w:rsidRDefault="002C5A78" w:rsidP="002C5A78">
      <w:pPr>
        <w:pStyle w:val="TextoNormalNegritaCursivandice"/>
        <w:keepNext/>
      </w:pPr>
      <w:r>
        <w:t>Protocolo núm. 7 sobre los privilegios y las inmunidades de la Unión Europea; anexo al Tratado de la Unión Europea, al Tratado de funcionamiento de la Unión Europea y al Tratado constitutivo de la Comunidad Europea de la Energía Atómica. DOUE de 26 de octubre de 2012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Artículo 9, párrafo 2.</w:t>
      </w:r>
      <w:r w:rsidRPr="002C5A78">
        <w:rPr>
          <w:rStyle w:val="TextoNormalCaracter"/>
        </w:rPr>
        <w:t>-</w:t>
      </w:r>
      <w:r>
        <w:t xml:space="preserve"> Sentencias </w:t>
      </w:r>
      <w:hyperlink w:anchor="SENTENCIA_2021_70" w:history="1">
        <w:r w:rsidRPr="002C5A78">
          <w:rPr>
            <w:rStyle w:val="TextoNormalCaracter"/>
          </w:rPr>
          <w:t>70/2021</w:t>
        </w:r>
      </w:hyperlink>
      <w:r>
        <w:t xml:space="preserve">, f. 7; </w:t>
      </w:r>
      <w:hyperlink w:anchor="SENTENCIA_2021_71" w:history="1">
        <w:r w:rsidRPr="002C5A78">
          <w:rPr>
            <w:rStyle w:val="TextoNormalCaracter"/>
          </w:rPr>
          <w:t>71/2021</w:t>
        </w:r>
      </w:hyperlink>
      <w:r>
        <w:t>, f. 7.</w:t>
      </w:r>
    </w:p>
    <w:p w:rsidR="002C5A78" w:rsidRDefault="002C5A78" w:rsidP="002C5A78">
      <w:pPr>
        <w:pStyle w:val="SangriaFrancesaArticulo"/>
      </w:pPr>
    </w:p>
    <w:p w:rsidR="002C5A78" w:rsidRDefault="002C5A78" w:rsidP="002C5A78">
      <w:pPr>
        <w:pStyle w:val="TextoNormalNegritaCursivandice"/>
        <w:keepNext/>
      </w:pPr>
      <w:r>
        <w:t>Reglamento (UE) núm. 1308/2013 del Parlamento Europeo y del Consejo, de 17 de diciembre de 2013. Crea la organización común de mercados de los productos agrarios y por el que se derogan los Reglamentos (CEE) núm. 922/72, (CEE) núm. 234/79, (CE) núm. 1037/2001 y (CE) núm. 1234/2007</w:t>
      </w:r>
    </w:p>
    <w:p w:rsidR="002C5A78" w:rsidRDefault="002C5A78" w:rsidP="002C5A78">
      <w:pPr>
        <w:pStyle w:val="SangriaFrancesaArticulo"/>
      </w:pPr>
      <w:r w:rsidRPr="002C5A78">
        <w:rPr>
          <w:rStyle w:val="TextoNormalNegritaCaracter"/>
        </w:rPr>
        <w:t>Anexo VII, parte II.</w:t>
      </w:r>
      <w:r w:rsidRPr="002C5A78">
        <w:rPr>
          <w:rStyle w:val="TextoNormalCaracter"/>
        </w:rPr>
        <w:t>-</w:t>
      </w:r>
      <w:r>
        <w:t xml:space="preserve"> Sentencia </w:t>
      </w:r>
      <w:hyperlink w:anchor="SENTENCIA_2021_74" w:history="1">
        <w:r w:rsidRPr="002C5A78">
          <w:rPr>
            <w:rStyle w:val="TextoNormalCaracter"/>
          </w:rPr>
          <w:t>74/2021</w:t>
        </w:r>
      </w:hyperlink>
      <w:r>
        <w:t>, f.</w:t>
      </w:r>
    </w:p>
    <w:p w:rsidR="002C5A78" w:rsidRDefault="002C5A78" w:rsidP="002C5A78">
      <w:pPr>
        <w:pStyle w:val="SangriaFrancesaArticulo"/>
      </w:pPr>
    </w:p>
    <w:p w:rsidR="002C5A78" w:rsidRDefault="002C5A78" w:rsidP="002C5A78">
      <w:pPr>
        <w:pStyle w:val="TextoNormalNegritaCursivandice"/>
        <w:keepNext/>
      </w:pPr>
      <w:r>
        <w:t>Directiva 2014/23/UE del Parlamento Europeo y del Consejo, de 26 de febrero de 2014. Adjudicación de contratos de concesión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p>
    <w:p w:rsidR="002C5A78" w:rsidRDefault="002C5A78" w:rsidP="002C5A78">
      <w:pPr>
        <w:pStyle w:val="TextoNormalNegritaCursivandice"/>
        <w:keepNext/>
      </w:pPr>
      <w:r>
        <w:t>Directiva 2014/24/UE del Parlamento Europeo y del Consejo, de 26 de febrero de 2014. Contratación pública y por la que se deroga la Directiva 2004/18/CE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 1.</w:t>
      </w:r>
    </w:p>
    <w:p w:rsidR="002C5A78" w:rsidRDefault="002C5A78" w:rsidP="002C5A78">
      <w:pPr>
        <w:pStyle w:val="SangriaFrancesaArticulo"/>
      </w:pPr>
      <w:r w:rsidRPr="002C5A78">
        <w:rPr>
          <w:rStyle w:val="TextoNormalNegritaCaracter"/>
        </w:rPr>
        <w:t>Artículo 10 d).</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12.1 b).</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12.4.</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12.5.</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r w:rsidRPr="002C5A78">
        <w:rPr>
          <w:rStyle w:val="TextoNormalNegritaCaracter"/>
        </w:rPr>
        <w:t>Artículo 77.</w:t>
      </w:r>
      <w:r w:rsidRPr="002C5A78">
        <w:rPr>
          <w:rStyle w:val="TextoNormalCaracter"/>
        </w:rPr>
        <w:t>-</w:t>
      </w:r>
      <w:r>
        <w:t xml:space="preserve"> Sentencia </w:t>
      </w:r>
      <w:hyperlink w:anchor="SENTENCIA_2021_68" w:history="1">
        <w:r w:rsidRPr="002C5A78">
          <w:rPr>
            <w:rStyle w:val="TextoNormalCaracter"/>
          </w:rPr>
          <w:t>68/2021</w:t>
        </w:r>
      </w:hyperlink>
      <w:r>
        <w:t>, f. 6.</w:t>
      </w:r>
    </w:p>
    <w:p w:rsidR="002C5A78" w:rsidRDefault="002C5A78" w:rsidP="002C5A78">
      <w:pPr>
        <w:pStyle w:val="SangriaFrancesaArticulo"/>
      </w:pPr>
    </w:p>
    <w:p w:rsidR="002C5A78" w:rsidRDefault="002C5A78" w:rsidP="002C5A78">
      <w:pPr>
        <w:pStyle w:val="TextoNormalNegritaCursivandice"/>
        <w:keepNext/>
      </w:pPr>
      <w:r>
        <w:t>Directiva 2014/25/UE del Parlamento Europeo y del Consejo, de 26 de febrero de 2014. Contratación por entidades que operan en los sectores del agua, la energía, los transportes y los servicios postales y por la que se deroga la Directiva 2004/17/CE</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8" w:history="1">
        <w:r w:rsidRPr="002C5A78">
          <w:rPr>
            <w:rStyle w:val="TextoNormalCaracter"/>
          </w:rPr>
          <w:t>68/2021</w:t>
        </w:r>
      </w:hyperlink>
      <w:r>
        <w:t>, ff. 1, 6.</w:t>
      </w:r>
    </w:p>
    <w:p w:rsidR="002C5A78" w:rsidRDefault="002C5A78" w:rsidP="002C5A78">
      <w:pPr>
        <w:pStyle w:val="SangriaFrancesaArticulo"/>
      </w:pPr>
    </w:p>
    <w:p w:rsidR="002C5A78" w:rsidRDefault="002C5A78" w:rsidP="002C5A78">
      <w:pPr>
        <w:pStyle w:val="TextoNormalNegritaCursivandice"/>
        <w:keepNext/>
      </w:pPr>
      <w: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rsidR="002C5A78" w:rsidRDefault="002C5A78" w:rsidP="002C5A78">
      <w:pPr>
        <w:pStyle w:val="SangriaFrancesaArticulo"/>
      </w:pPr>
      <w:r w:rsidRPr="002C5A78">
        <w:rPr>
          <w:rStyle w:val="TextoNormalNegritaCaracter"/>
        </w:rPr>
        <w:t>Artículo 5.1 c).</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r w:rsidRPr="002C5A78">
        <w:rPr>
          <w:rStyle w:val="TextoNormalNegritaCaracter"/>
        </w:rPr>
        <w:t>Artículo 6.1 c).</w:t>
      </w:r>
      <w:r w:rsidRPr="002C5A78">
        <w:rPr>
          <w:rStyle w:val="TextoNormalCaracter"/>
        </w:rPr>
        <w:t>-</w:t>
      </w:r>
      <w:r>
        <w:t xml:space="preserve"> Sentencia </w:t>
      </w:r>
      <w:hyperlink w:anchor="SENTENCIA_2021_16" w:history="1">
        <w:r w:rsidRPr="002C5A78">
          <w:rPr>
            <w:rStyle w:val="TextoNormalCaracter"/>
          </w:rPr>
          <w:t>16/2021</w:t>
        </w:r>
      </w:hyperlink>
      <w:r>
        <w:t>, f. 9.</w:t>
      </w:r>
    </w:p>
    <w:p w:rsidR="002C5A78" w:rsidRDefault="002C5A78" w:rsidP="002C5A78">
      <w:pPr>
        <w:pStyle w:val="SangriaFrancesaArticulo"/>
      </w:pPr>
      <w:r w:rsidRPr="002C5A78">
        <w:rPr>
          <w:rStyle w:val="TextoNormalNegritaCaracter"/>
        </w:rPr>
        <w:t>Artículo 28.2.</w:t>
      </w:r>
      <w:r w:rsidRPr="002C5A78">
        <w:rPr>
          <w:rStyle w:val="TextoNormalCaracter"/>
        </w:rPr>
        <w:t>-</w:t>
      </w:r>
      <w:r>
        <w:t xml:space="preserve"> Sentencia </w:t>
      </w:r>
      <w:hyperlink w:anchor="SENTENCIA_2021_68" w:history="1">
        <w:r w:rsidRPr="002C5A78">
          <w:rPr>
            <w:rStyle w:val="TextoNormalCaracter"/>
          </w:rPr>
          <w:t>68/2021</w:t>
        </w:r>
      </w:hyperlink>
      <w:r>
        <w:t>, f. 2.</w:t>
      </w:r>
    </w:p>
    <w:p w:rsidR="002C5A78" w:rsidRDefault="002C5A78" w:rsidP="002C5A78">
      <w:pPr>
        <w:pStyle w:val="SangriaFrancesaArticulo"/>
      </w:pPr>
    </w:p>
    <w:p w:rsidR="002C5A78" w:rsidRDefault="002C5A78" w:rsidP="002C5A78">
      <w:pPr>
        <w:pStyle w:val="TextoNormalNegritaCursivandice"/>
        <w:keepNext/>
      </w:pPr>
      <w:r>
        <w:t>Recomendación (UE) 2020/1475, del Consejo, de 13 de octubre de 2020. Enfoque coordinado de la restricción de la libre circulación en respuesta a la pandemia de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ff. 3, 7.</w:t>
      </w:r>
    </w:p>
    <w:p w:rsidR="002C5A78" w:rsidRDefault="002C5A78" w:rsidP="002C5A78">
      <w:pPr>
        <w:pStyle w:val="SangriaFrancesaArticulo"/>
      </w:pPr>
    </w:p>
    <w:p w:rsidR="002C5A78" w:rsidRDefault="002C5A78" w:rsidP="002C5A78">
      <w:pPr>
        <w:pStyle w:val="TextoNormalNegritaCursivandice"/>
        <w:keepNext/>
      </w:pPr>
      <w:r>
        <w:t>Recomendación (UE) 2021/119, del Consejo, de 1 de febrero de 2021. Modifica la recomendación (UE) 2020/1475 sobre un enfoque coordinado de la restricción de la libre circulación en respuesta a la pandemia de COVID-19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51" w:history="1">
        <w:r w:rsidRPr="002C5A78">
          <w:rPr>
            <w:rStyle w:val="TextoNormalCaracter"/>
          </w:rPr>
          <w:t>51/2021</w:t>
        </w:r>
      </w:hyperlink>
      <w:r>
        <w:t>, f. 7.</w:t>
      </w:r>
    </w:p>
    <w:p w:rsidR="002C5A78" w:rsidRDefault="002C5A78" w:rsidP="002C5A78">
      <w:pPr>
        <w:pStyle w:val="TextoNormal"/>
      </w:pPr>
    </w:p>
    <w:p w:rsidR="002C5A78" w:rsidRDefault="002C5A78" w:rsidP="002C5A78">
      <w:pPr>
        <w:pStyle w:val="SangriaFrancesaArticulo"/>
      </w:pPr>
      <w:bookmarkStart w:id="228" w:name="INDICE27994"/>
    </w:p>
    <w:bookmarkEnd w:id="228"/>
    <w:p w:rsidR="002C5A78" w:rsidRDefault="002C5A78" w:rsidP="002C5A78">
      <w:pPr>
        <w:pStyle w:val="TextoIndiceNivel2"/>
        <w:suppressAutoHyphens/>
      </w:pPr>
      <w:r>
        <w:t>N) Consejo de Europa</w:t>
      </w:r>
    </w:p>
    <w:p w:rsidR="002C5A78" w:rsidRDefault="002C5A78" w:rsidP="002C5A78">
      <w:pPr>
        <w:pStyle w:val="TextoIndiceNivel2"/>
      </w:pPr>
    </w:p>
    <w:p w:rsidR="002C5A78" w:rsidRDefault="002C5A78" w:rsidP="002C5A78">
      <w:pPr>
        <w:pStyle w:val="TextoNormalNegritaCursivandice"/>
        <w:keepNext/>
      </w:pPr>
      <w:r>
        <w:t>Convenio europeo para la protección de los derechos humanos y de las libertades fundamentales, hecho en Roma el 4 de noviembre de 1950. Ratificado por Instrumento de 26 de septiembre de 1979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22" w:history="1">
        <w:r w:rsidRPr="002C5A78">
          <w:rPr>
            <w:rStyle w:val="TextoNormalCaracter"/>
          </w:rPr>
          <w:t>22/2021</w:t>
        </w:r>
      </w:hyperlink>
      <w:r>
        <w:t xml:space="preserve">, f. 1; </w:t>
      </w:r>
      <w:hyperlink w:anchor="SENTENCIA_2021_51" w:history="1">
        <w:r w:rsidRPr="002C5A78">
          <w:rPr>
            <w:rStyle w:val="TextoNormalCaracter"/>
          </w:rPr>
          <w:t>51/2021</w:t>
        </w:r>
      </w:hyperlink>
      <w:r>
        <w:t xml:space="preserve">, f. 3; </w:t>
      </w:r>
      <w:hyperlink w:anchor="SENTENCIA_2021_122" w:history="1">
        <w:r w:rsidRPr="002C5A78">
          <w:rPr>
            <w:rStyle w:val="TextoNormalCaracter"/>
          </w:rPr>
          <w:t>122/2021</w:t>
        </w:r>
      </w:hyperlink>
      <w:r>
        <w:t>, ff. 9, 11.</w:t>
      </w:r>
    </w:p>
    <w:p w:rsidR="002C5A78" w:rsidRDefault="002C5A78" w:rsidP="002C5A78">
      <w:pPr>
        <w:pStyle w:val="SangriaFrancesaArticulo"/>
      </w:pPr>
      <w:r w:rsidRPr="002C5A78">
        <w:rPr>
          <w:rStyle w:val="TextoNormalNegritaCaracter"/>
        </w:rPr>
        <w:t>Preámbulo.</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Artículo 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5.1.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5.1 c).</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5.3.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6.</w:t>
      </w:r>
      <w:r w:rsidRPr="002C5A78">
        <w:rPr>
          <w:rStyle w:val="TextoNormalCaracter"/>
        </w:rPr>
        <w:t>-</w:t>
      </w:r>
      <w:r>
        <w:t xml:space="preserve"> Sentencias </w:t>
      </w:r>
      <w:hyperlink w:anchor="SENTENCIA_2021_21" w:history="1">
        <w:r w:rsidRPr="002C5A78">
          <w:rPr>
            <w:rStyle w:val="TextoNormalCaracter"/>
          </w:rPr>
          <w:t>21/2021</w:t>
        </w:r>
      </w:hyperlink>
      <w:r>
        <w:t xml:space="preserve">, ff. 5, 6; </w:t>
      </w:r>
      <w:hyperlink w:anchor="SENTENCIA_2021_22" w:history="1">
        <w:r w:rsidRPr="002C5A78">
          <w:rPr>
            <w:rStyle w:val="TextoNormalCaracter"/>
          </w:rPr>
          <w:t>22/2021</w:t>
        </w:r>
      </w:hyperlink>
      <w:r>
        <w:t xml:space="preserve">, ff. 1, 4; </w:t>
      </w:r>
      <w:hyperlink w:anchor="SENTENCIA_2021_24" w:history="1">
        <w:r w:rsidRPr="002C5A78">
          <w:rPr>
            <w:rStyle w:val="TextoNormalCaracter"/>
          </w:rPr>
          <w:t>24/2021</w:t>
        </w:r>
      </w:hyperlink>
      <w:r>
        <w:t xml:space="preserve">, f. 1; </w:t>
      </w:r>
      <w:hyperlink w:anchor="SENTENCIA_2021_34" w:history="1">
        <w:r w:rsidRPr="002C5A78">
          <w:rPr>
            <w:rStyle w:val="TextoNormalCaracter"/>
          </w:rPr>
          <w:t>34/2021</w:t>
        </w:r>
      </w:hyperlink>
      <w:r>
        <w:t xml:space="preserve">, ff. 3, 6; </w:t>
      </w:r>
      <w:hyperlink w:anchor="SENTENCIA_2021_35" w:history="1">
        <w:r w:rsidRPr="002C5A78">
          <w:rPr>
            <w:rStyle w:val="TextoNormalCaracter"/>
          </w:rPr>
          <w:t>35/2021</w:t>
        </w:r>
      </w:hyperlink>
      <w:r>
        <w:t xml:space="preserve">, f. 4; </w:t>
      </w:r>
      <w:hyperlink w:anchor="SENTENCIA_2021_69" w:history="1">
        <w:r w:rsidRPr="002C5A78">
          <w:rPr>
            <w:rStyle w:val="TextoNormalCaracter"/>
          </w:rPr>
          <w:t>69/2021</w:t>
        </w:r>
      </w:hyperlink>
      <w:r>
        <w:t xml:space="preserve">, f. 5; </w:t>
      </w:r>
      <w:hyperlink w:anchor="SENTENCIA_2021_80" w:history="1">
        <w:r w:rsidRPr="002C5A78">
          <w:rPr>
            <w:rStyle w:val="TextoNormalCaracter"/>
          </w:rPr>
          <w:t>80/2021</w:t>
        </w:r>
      </w:hyperlink>
      <w:r>
        <w:t xml:space="preserve">, f. 4; </w:t>
      </w:r>
      <w:hyperlink w:anchor="SENTENCIA_2021_91" w:history="1">
        <w:r w:rsidRPr="002C5A78">
          <w:rPr>
            <w:rStyle w:val="TextoNormalCaracter"/>
          </w:rPr>
          <w:t>91/2021</w:t>
        </w:r>
      </w:hyperlink>
      <w:r>
        <w:t xml:space="preserve">, ff. 1, 3 a 6; </w:t>
      </w:r>
      <w:hyperlink w:anchor="SENTENCIA_2021_106" w:history="1">
        <w:r w:rsidRPr="002C5A78">
          <w:rPr>
            <w:rStyle w:val="TextoNormalCaracter"/>
          </w:rPr>
          <w:t>106/2021</w:t>
        </w:r>
      </w:hyperlink>
      <w:r>
        <w:t xml:space="preserve">, ff. 1, 3 a 6; </w:t>
      </w:r>
      <w:hyperlink w:anchor="SENTENCIA_2021_107" w:history="1">
        <w:r w:rsidRPr="002C5A78">
          <w:rPr>
            <w:rStyle w:val="TextoNormalCaracter"/>
          </w:rPr>
          <w:t>107/2021</w:t>
        </w:r>
      </w:hyperlink>
      <w:r>
        <w:t xml:space="preserve">, f. 1; </w:t>
      </w:r>
      <w:hyperlink w:anchor="SENTENCIA_2021_121" w:history="1">
        <w:r w:rsidRPr="002C5A78">
          <w:rPr>
            <w:rStyle w:val="TextoNormalCaracter"/>
          </w:rPr>
          <w:t>121/2021</w:t>
        </w:r>
      </w:hyperlink>
      <w:r>
        <w:t xml:space="preserve">, ff. 1, 4 a 7; </w:t>
      </w:r>
      <w:hyperlink w:anchor="SENTENCIA_2021_122" w:history="1">
        <w:r w:rsidRPr="002C5A78">
          <w:rPr>
            <w:rStyle w:val="TextoNormalCaracter"/>
          </w:rPr>
          <w:t>122/2021</w:t>
        </w:r>
      </w:hyperlink>
      <w:r>
        <w:t xml:space="preserve">, ff. 1, 4 a 6, 11;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Artículo 6.1.</w:t>
      </w:r>
      <w:r w:rsidRPr="002C5A78">
        <w:rPr>
          <w:rStyle w:val="TextoNormalCaracter"/>
        </w:rPr>
        <w:t>-</w:t>
      </w:r>
      <w:r>
        <w:t xml:space="preserve"> Sentencias </w:t>
      </w:r>
      <w:hyperlink w:anchor="SENTENCIA_2021_21" w:history="1">
        <w:r w:rsidRPr="002C5A78">
          <w:rPr>
            <w:rStyle w:val="TextoNormalCaracter"/>
          </w:rPr>
          <w:t>21/2021</w:t>
        </w:r>
      </w:hyperlink>
      <w:r>
        <w:t xml:space="preserve">, ff. 4, 5;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ff. 3, 5, 7, 9; </w:t>
      </w:r>
      <w:hyperlink w:anchor="SENTENCIA_2021_106" w:history="1">
        <w:r w:rsidRPr="002C5A78">
          <w:rPr>
            <w:rStyle w:val="TextoNormalCaracter"/>
          </w:rPr>
          <w:t>106/2021</w:t>
        </w:r>
      </w:hyperlink>
      <w:r>
        <w:t xml:space="preserve">, ff. 3, 5, 7, 9; </w:t>
      </w:r>
      <w:hyperlink w:anchor="SENTENCIA_2021_113" w:history="1">
        <w:r w:rsidRPr="002C5A78">
          <w:rPr>
            <w:rStyle w:val="TextoNormalCaracter"/>
          </w:rPr>
          <w:t>113/2021</w:t>
        </w:r>
      </w:hyperlink>
      <w:r>
        <w:t xml:space="preserve">, VP; </w:t>
      </w:r>
      <w:hyperlink w:anchor="SENTENCIA_2021_121" w:history="1">
        <w:r w:rsidRPr="002C5A78">
          <w:rPr>
            <w:rStyle w:val="TextoNormalCaracter"/>
          </w:rPr>
          <w:t>121/2021</w:t>
        </w:r>
      </w:hyperlink>
      <w:r>
        <w:t xml:space="preserve">, ff. 4, 6, 8, 10; </w:t>
      </w:r>
      <w:hyperlink w:anchor="SENTENCIA_2021_122" w:history="1">
        <w:r w:rsidRPr="002C5A78">
          <w:rPr>
            <w:rStyle w:val="TextoNormalCaracter"/>
          </w:rPr>
          <w:t>122/2021</w:t>
        </w:r>
      </w:hyperlink>
      <w:r>
        <w:t>, ff. 4, 7, 8.</w:t>
      </w:r>
    </w:p>
    <w:p w:rsidR="002C5A78" w:rsidRDefault="002C5A78" w:rsidP="002C5A78">
      <w:pPr>
        <w:pStyle w:val="SangriaFrancesaArticulo"/>
      </w:pPr>
      <w:r w:rsidRPr="002C5A78">
        <w:rPr>
          <w:rStyle w:val="TextoNormalNegritaCaracter"/>
        </w:rPr>
        <w:t>Artículo 6.2.</w:t>
      </w:r>
      <w:r w:rsidRPr="002C5A78">
        <w:rPr>
          <w:rStyle w:val="TextoNormalCaracter"/>
        </w:rPr>
        <w:t>-</w:t>
      </w:r>
      <w:r>
        <w:t xml:space="preserve"> Sentencias </w:t>
      </w:r>
      <w:hyperlink w:anchor="SENTENCIA_2021_91" w:history="1">
        <w:r w:rsidRPr="002C5A78">
          <w:rPr>
            <w:rStyle w:val="TextoNormalCaracter"/>
          </w:rPr>
          <w:t>91/2021</w:t>
        </w:r>
      </w:hyperlink>
      <w:r>
        <w:t xml:space="preserve">, f. 8; </w:t>
      </w:r>
      <w:hyperlink w:anchor="SENTENCIA_2021_106" w:history="1">
        <w:r w:rsidRPr="002C5A78">
          <w:rPr>
            <w:rStyle w:val="TextoNormalCaracter"/>
          </w:rPr>
          <w:t>106/2021</w:t>
        </w:r>
      </w:hyperlink>
      <w:r>
        <w:t xml:space="preserve">, f. 8; </w:t>
      </w:r>
      <w:hyperlink w:anchor="SENTENCIA_2021_121" w:history="1">
        <w:r w:rsidRPr="002C5A78">
          <w:rPr>
            <w:rStyle w:val="TextoNormalCaracter"/>
          </w:rPr>
          <w:t>121/2021</w:t>
        </w:r>
      </w:hyperlink>
      <w:r>
        <w:t xml:space="preserve">, f. 9; </w:t>
      </w:r>
      <w:hyperlink w:anchor="SENTENCIA_2021_122" w:history="1">
        <w:r w:rsidRPr="002C5A78">
          <w:rPr>
            <w:rStyle w:val="TextoNormalCaracter"/>
          </w:rPr>
          <w:t>122/2021</w:t>
        </w:r>
      </w:hyperlink>
      <w:r>
        <w:t>, f. 8.</w:t>
      </w:r>
    </w:p>
    <w:p w:rsidR="002C5A78" w:rsidRDefault="002C5A78" w:rsidP="002C5A78">
      <w:pPr>
        <w:pStyle w:val="SangriaFrancesaArticulo"/>
      </w:pPr>
      <w:r w:rsidRPr="002C5A78">
        <w:rPr>
          <w:rStyle w:val="TextoNormalNegritaCaracter"/>
        </w:rPr>
        <w:t>Artículo 6.3 c).</w:t>
      </w:r>
      <w:r w:rsidRPr="002C5A78">
        <w:rPr>
          <w:rStyle w:val="TextoNormalCaracter"/>
        </w:rPr>
        <w:t>-</w:t>
      </w:r>
      <w:r>
        <w:t xml:space="preserve"> Sentencia </w:t>
      </w:r>
      <w:hyperlink w:anchor="SENTENCIA_2021_35" w:history="1">
        <w:r w:rsidRPr="002C5A78">
          <w:rPr>
            <w:rStyle w:val="TextoNormalCaracter"/>
          </w:rPr>
          <w:t>35/2021</w:t>
        </w:r>
      </w:hyperlink>
      <w:r>
        <w:t>, ff. 2, 4.</w:t>
      </w:r>
    </w:p>
    <w:p w:rsidR="002C5A78" w:rsidRDefault="002C5A78" w:rsidP="002C5A78">
      <w:pPr>
        <w:pStyle w:val="SangriaFrancesaArticulo"/>
      </w:pPr>
      <w:r w:rsidRPr="002C5A78">
        <w:rPr>
          <w:rStyle w:val="TextoNormalNegritaCaracter"/>
        </w:rPr>
        <w:t>Artículo 6.3 d).</w:t>
      </w:r>
      <w:r w:rsidRPr="002C5A78">
        <w:rPr>
          <w:rStyle w:val="TextoNormalCaracter"/>
        </w:rPr>
        <w:t>-</w:t>
      </w:r>
      <w:r>
        <w:t xml:space="preserve"> Sentencias </w:t>
      </w:r>
      <w:hyperlink w:anchor="SENTENCIA_2021_91" w:history="1">
        <w:r w:rsidRPr="002C5A78">
          <w:rPr>
            <w:rStyle w:val="TextoNormalCaracter"/>
          </w:rPr>
          <w:t>91/2021</w:t>
        </w:r>
      </w:hyperlink>
      <w:r>
        <w:t xml:space="preserve">, f. 7; </w:t>
      </w:r>
      <w:hyperlink w:anchor="SENTENCIA_2021_106" w:history="1">
        <w:r w:rsidRPr="002C5A78">
          <w:rPr>
            <w:rStyle w:val="TextoNormalCaracter"/>
          </w:rPr>
          <w:t>106/2021</w:t>
        </w:r>
      </w:hyperlink>
      <w:r>
        <w:t xml:space="preserve">, f. 7; </w:t>
      </w:r>
      <w:hyperlink w:anchor="SENTENCIA_2021_121" w:history="1">
        <w:r w:rsidRPr="002C5A78">
          <w:rPr>
            <w:rStyle w:val="TextoNormalCaracter"/>
          </w:rPr>
          <w:t>121/2021</w:t>
        </w:r>
      </w:hyperlink>
      <w:r>
        <w:t>, f. 8.</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Sentencias </w:t>
      </w:r>
      <w:hyperlink w:anchor="SENTENCIA_2021_91" w:history="1">
        <w:r w:rsidRPr="002C5A78">
          <w:rPr>
            <w:rStyle w:val="TextoNormalCaracter"/>
          </w:rPr>
          <w:t>91/2021</w:t>
        </w:r>
      </w:hyperlink>
      <w:r>
        <w:t xml:space="preserve">, f. 1, VP; </w:t>
      </w:r>
      <w:hyperlink w:anchor="SENTENCIA_2021_106" w:history="1">
        <w:r w:rsidRPr="002C5A78">
          <w:rPr>
            <w:rStyle w:val="TextoNormalCaracter"/>
          </w:rPr>
          <w:t>106/2021</w:t>
        </w:r>
      </w:hyperlink>
      <w:r>
        <w:t xml:space="preserve">, f. 1, VP; </w:t>
      </w:r>
      <w:hyperlink w:anchor="SENTENCIA_2021_121" w:history="1">
        <w:r w:rsidRPr="002C5A78">
          <w:rPr>
            <w:rStyle w:val="TextoNormalCaracter"/>
          </w:rPr>
          <w:t>121/2021</w:t>
        </w:r>
      </w:hyperlink>
      <w:r>
        <w:t xml:space="preserve">, f. 1; </w:t>
      </w:r>
      <w:hyperlink w:anchor="SENTENCIA_2021_122" w:history="1">
        <w:r w:rsidRPr="002C5A78">
          <w:rPr>
            <w:rStyle w:val="TextoNormalCaracter"/>
          </w:rPr>
          <w:t>122/2021</w:t>
        </w:r>
      </w:hyperlink>
      <w:r>
        <w:t>, ff. 1, 11.</w:t>
      </w:r>
    </w:p>
    <w:p w:rsidR="002C5A78" w:rsidRDefault="002C5A78" w:rsidP="002C5A78">
      <w:pPr>
        <w:pStyle w:val="SangriaFrancesaArticulo"/>
      </w:pPr>
      <w:r w:rsidRPr="002C5A78">
        <w:rPr>
          <w:rStyle w:val="TextoNormalNegritaCaracter"/>
        </w:rPr>
        <w:t>Artículo 8.</w:t>
      </w:r>
      <w:r w:rsidRPr="002C5A78">
        <w:rPr>
          <w:rStyle w:val="TextoNormalCaracter"/>
        </w:rPr>
        <w:t>-</w:t>
      </w:r>
      <w:r>
        <w:t xml:space="preserve"> Sentencias </w:t>
      </w:r>
      <w:hyperlink w:anchor="SENTENCIA_2021_13" w:history="1">
        <w:r w:rsidRPr="002C5A78">
          <w:rPr>
            <w:rStyle w:val="TextoNormalCaracter"/>
          </w:rPr>
          <w:t>13/2021</w:t>
        </w:r>
      </w:hyperlink>
      <w:r>
        <w:t xml:space="preserve">, f. 3; </w:t>
      </w:r>
      <w:hyperlink w:anchor="SENTENCIA_2021_91" w:history="1">
        <w:r w:rsidRPr="002C5A78">
          <w:rPr>
            <w:rStyle w:val="TextoNormalCaracter"/>
          </w:rPr>
          <w:t>91/2021</w:t>
        </w:r>
      </w:hyperlink>
      <w:r>
        <w:t xml:space="preserve">, VP; </w:t>
      </w:r>
      <w:hyperlink w:anchor="SENTENCIA_2021_93" w:history="1">
        <w:r w:rsidRPr="002C5A78">
          <w:rPr>
            <w:rStyle w:val="TextoNormalCaracter"/>
          </w:rPr>
          <w:t>93/2021</w:t>
        </w:r>
      </w:hyperlink>
      <w:r>
        <w:t xml:space="preserve">, VP; </w:t>
      </w:r>
      <w:hyperlink w:anchor="SENTENCIA_2021_99" w:history="1">
        <w:r w:rsidRPr="002C5A78">
          <w:rPr>
            <w:rStyle w:val="TextoNormalCaracter"/>
          </w:rPr>
          <w:t>99/2021</w:t>
        </w:r>
      </w:hyperlink>
      <w:r>
        <w:t xml:space="preserve">, f. 4; </w:t>
      </w:r>
      <w:hyperlink w:anchor="SENTENCIA_2021_106" w:history="1">
        <w:r w:rsidRPr="002C5A78">
          <w:rPr>
            <w:rStyle w:val="TextoNormalCaracter"/>
          </w:rPr>
          <w:t>106/2021</w:t>
        </w:r>
      </w:hyperlink>
      <w:r>
        <w:t xml:space="preserve">, VP;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ff. 10, 11.</w:t>
      </w:r>
    </w:p>
    <w:p w:rsidR="002C5A78" w:rsidRDefault="002C5A78" w:rsidP="002C5A78">
      <w:pPr>
        <w:pStyle w:val="SangriaFrancesaArticulo"/>
      </w:pPr>
      <w:r w:rsidRPr="002C5A78">
        <w:rPr>
          <w:rStyle w:val="TextoNormalNegritaCaracter"/>
        </w:rPr>
        <w:t>Artículo 8.2.</w:t>
      </w:r>
      <w:r w:rsidRPr="002C5A78">
        <w:rPr>
          <w:rStyle w:val="TextoNormalCaracter"/>
        </w:rPr>
        <w:t>-</w:t>
      </w:r>
      <w:r>
        <w:t xml:space="preserve"> Sentencias </w:t>
      </w:r>
      <w:hyperlink w:anchor="SENTENCIA_2021_99" w:history="1">
        <w:r w:rsidRPr="002C5A78">
          <w:rPr>
            <w:rStyle w:val="TextoNormalCaracter"/>
          </w:rPr>
          <w:t>99/2021</w:t>
        </w:r>
      </w:hyperlink>
      <w:r>
        <w:t xml:space="preserve">, f. 4;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10.</w:t>
      </w:r>
      <w:r w:rsidRPr="002C5A78">
        <w:rPr>
          <w:rStyle w:val="TextoNormalCaracter"/>
        </w:rPr>
        <w:t>-</w:t>
      </w:r>
      <w:r>
        <w:t xml:space="preserve"> Sentencias </w:t>
      </w:r>
      <w:hyperlink w:anchor="SENTENCIA_2021_91" w:history="1">
        <w:r w:rsidRPr="002C5A78">
          <w:rPr>
            <w:rStyle w:val="TextoNormalCaracter"/>
          </w:rPr>
          <w:t>91/2021</w:t>
        </w:r>
      </w:hyperlink>
      <w:r>
        <w:t xml:space="preserve">, f. 11, VP; </w:t>
      </w:r>
      <w:hyperlink w:anchor="SENTENCIA_2021_93" w:history="1">
        <w:r w:rsidRPr="002C5A78">
          <w:rPr>
            <w:rStyle w:val="TextoNormalCaracter"/>
          </w:rPr>
          <w:t>93/2021</w:t>
        </w:r>
      </w:hyperlink>
      <w:r>
        <w:t xml:space="preserve">, VP; </w:t>
      </w:r>
      <w:hyperlink w:anchor="SENTENCIA_2021_106" w:history="1">
        <w:r w:rsidRPr="002C5A78">
          <w:rPr>
            <w:rStyle w:val="TextoNormalCaracter"/>
          </w:rPr>
          <w:t>106/2021</w:t>
        </w:r>
      </w:hyperlink>
      <w:r>
        <w:t xml:space="preserve">, f. 11, VP;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ff. 9 a 11; </w:t>
      </w:r>
      <w:hyperlink w:anchor="SENTENCIA_2021_133" w:history="1">
        <w:r w:rsidRPr="002C5A78">
          <w:rPr>
            <w:rStyle w:val="TextoNormalCaracter"/>
          </w:rPr>
          <w:t>133/2021</w:t>
        </w:r>
      </w:hyperlink>
      <w:r>
        <w:t>, f. 4.</w:t>
      </w:r>
    </w:p>
    <w:p w:rsidR="002C5A78" w:rsidRDefault="002C5A78" w:rsidP="002C5A78">
      <w:pPr>
        <w:pStyle w:val="SangriaFrancesaArticulo"/>
      </w:pPr>
      <w:r w:rsidRPr="002C5A78">
        <w:rPr>
          <w:rStyle w:val="TextoNormalNegritaCaracter"/>
        </w:rPr>
        <w:t>Artículo 10.2.</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93" w:history="1">
        <w:r w:rsidRPr="002C5A78">
          <w:rPr>
            <w:rStyle w:val="TextoNormalCaracter"/>
          </w:rPr>
          <w:t>93/2021</w:t>
        </w:r>
      </w:hyperlink>
      <w:r>
        <w:t xml:space="preserve">, VP;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11.</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ff. 1, 9 a 11; </w:t>
      </w:r>
      <w:hyperlink w:anchor="SENTENCIA_2021_133" w:history="1">
        <w:r w:rsidRPr="002C5A78">
          <w:rPr>
            <w:rStyle w:val="TextoNormalCaracter"/>
          </w:rPr>
          <w:t>133/2021</w:t>
        </w:r>
      </w:hyperlink>
      <w:r>
        <w:t>, ff. 4, 5.</w:t>
      </w:r>
    </w:p>
    <w:p w:rsidR="002C5A78" w:rsidRDefault="002C5A78" w:rsidP="002C5A78">
      <w:pPr>
        <w:pStyle w:val="SangriaFrancesaArticulo"/>
      </w:pPr>
      <w:r w:rsidRPr="002C5A78">
        <w:rPr>
          <w:rStyle w:val="TextoNormalNegritaCaracter"/>
        </w:rPr>
        <w:t>Artículo 11.2.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12.</w:t>
      </w:r>
      <w:r w:rsidRPr="002C5A78">
        <w:rPr>
          <w:rStyle w:val="TextoNormalCaracter"/>
        </w:rPr>
        <w:t>-</w:t>
      </w:r>
      <w:r>
        <w:t xml:space="preserve"> Sentencia </w:t>
      </w:r>
      <w:hyperlink w:anchor="SENTENCIA_2021_1" w:history="1">
        <w:r w:rsidRPr="002C5A78">
          <w:rPr>
            <w:rStyle w:val="TextoNormalCaracter"/>
          </w:rPr>
          <w:t>1/2021</w:t>
        </w:r>
      </w:hyperlink>
      <w:r>
        <w:t>, f. 2.</w:t>
      </w:r>
    </w:p>
    <w:p w:rsidR="002C5A78" w:rsidRDefault="002C5A78" w:rsidP="002C5A78">
      <w:pPr>
        <w:pStyle w:val="SangriaFrancesaArticulo"/>
      </w:pPr>
      <w:r w:rsidRPr="002C5A78">
        <w:rPr>
          <w:rStyle w:val="TextoNormalNegritaCaracter"/>
        </w:rPr>
        <w:t>Artículo 13.</w:t>
      </w:r>
      <w:r w:rsidRPr="002C5A78">
        <w:rPr>
          <w:rStyle w:val="TextoNormalCaracter"/>
        </w:rPr>
        <w:t>-</w:t>
      </w:r>
      <w:r>
        <w:t xml:space="preserve"> Sentencia </w:t>
      </w:r>
      <w:hyperlink w:anchor="SENTENCIA_2021_69" w:history="1">
        <w:r w:rsidRPr="002C5A78">
          <w:rPr>
            <w:rStyle w:val="TextoNormalCaracter"/>
          </w:rPr>
          <w:t>69/2021</w:t>
        </w:r>
      </w:hyperlink>
      <w:r>
        <w:t>, f. 5.</w:t>
      </w:r>
    </w:p>
    <w:p w:rsidR="002C5A78" w:rsidRDefault="002C5A78" w:rsidP="002C5A78">
      <w:pPr>
        <w:pStyle w:val="SangriaFrancesaArticulo"/>
      </w:pPr>
      <w:r w:rsidRPr="002C5A78">
        <w:rPr>
          <w:rStyle w:val="TextoNormalNegritaCaracter"/>
        </w:rPr>
        <w:t>Artículo 14.</w:t>
      </w:r>
      <w:r w:rsidRPr="002C5A78">
        <w:rPr>
          <w:rStyle w:val="TextoNormalCaracter"/>
        </w:rPr>
        <w:t>-</w:t>
      </w:r>
      <w:r>
        <w:t xml:space="preserve"> Sentencias </w:t>
      </w:r>
      <w:hyperlink w:anchor="SENTENCIA_2021_1" w:history="1">
        <w:r w:rsidRPr="002C5A78">
          <w:rPr>
            <w:rStyle w:val="TextoNormalCaracter"/>
          </w:rPr>
          <w:t>1/2021</w:t>
        </w:r>
      </w:hyperlink>
      <w:r>
        <w:t xml:space="preserve">, ff. 2, 3, 7; </w:t>
      </w:r>
      <w:hyperlink w:anchor="SENTENCIA_2021_51" w:history="1">
        <w:r w:rsidRPr="002C5A78">
          <w:rPr>
            <w:rStyle w:val="TextoNormalCaracter"/>
          </w:rPr>
          <w:t>51/2021</w:t>
        </w:r>
      </w:hyperlink>
      <w:r>
        <w:t xml:space="preserve">, ff. 3, 4; </w:t>
      </w:r>
      <w:hyperlink w:anchor="SENTENCIA_2021_91" w:history="1">
        <w:r w:rsidRPr="002C5A78">
          <w:rPr>
            <w:rStyle w:val="TextoNormalCaracter"/>
          </w:rPr>
          <w:t>91/2021</w:t>
        </w:r>
      </w:hyperlink>
      <w:r>
        <w:t xml:space="preserve">, ff. 1, 4; </w:t>
      </w:r>
      <w:hyperlink w:anchor="SENTENCIA_2021_106" w:history="1">
        <w:r w:rsidRPr="002C5A78">
          <w:rPr>
            <w:rStyle w:val="TextoNormalCaracter"/>
          </w:rPr>
          <w:t>106/2021</w:t>
        </w:r>
      </w:hyperlink>
      <w:r>
        <w:t xml:space="preserve">, ff. 1, 4; </w:t>
      </w:r>
      <w:hyperlink w:anchor="SENTENCIA_2021_121" w:history="1">
        <w:r w:rsidRPr="002C5A78">
          <w:rPr>
            <w:rStyle w:val="TextoNormalCaracter"/>
          </w:rPr>
          <w:t>121/2021</w:t>
        </w:r>
      </w:hyperlink>
      <w:r>
        <w:t>, ff. 1, 5.</w:t>
      </w:r>
    </w:p>
    <w:p w:rsidR="002C5A78" w:rsidRDefault="002C5A78" w:rsidP="002C5A78">
      <w:pPr>
        <w:pStyle w:val="SangriaFrancesaArticulo"/>
      </w:pPr>
      <w:r w:rsidRPr="002C5A78">
        <w:rPr>
          <w:rStyle w:val="TextoNormalNegritaCaracter"/>
        </w:rPr>
        <w:t>Artículo 18.</w:t>
      </w:r>
      <w:r w:rsidRPr="002C5A78">
        <w:rPr>
          <w:rStyle w:val="TextoNormalCaracter"/>
        </w:rPr>
        <w:t>-</w:t>
      </w:r>
      <w:r>
        <w:t xml:space="preserve"> Sentencia </w:t>
      </w:r>
      <w:hyperlink w:anchor="SENTENCIA_2021_122" w:history="1">
        <w:r w:rsidRPr="002C5A78">
          <w:rPr>
            <w:rStyle w:val="TextoNormalCaracter"/>
          </w:rPr>
          <w:t>122/2021</w:t>
        </w:r>
      </w:hyperlink>
      <w:r>
        <w:t>, ff. 1, 11.</w:t>
      </w:r>
    </w:p>
    <w:p w:rsidR="002C5A78" w:rsidRDefault="002C5A78" w:rsidP="002C5A78">
      <w:pPr>
        <w:pStyle w:val="SangriaFrancesaArticulo"/>
      </w:pPr>
    </w:p>
    <w:p w:rsidR="002C5A78" w:rsidRDefault="002C5A78" w:rsidP="002C5A78">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Sentencias </w:t>
      </w:r>
      <w:hyperlink w:anchor="SENTENCIA_2021_69" w:history="1">
        <w:r w:rsidRPr="002C5A78">
          <w:rPr>
            <w:rStyle w:val="TextoNormalCaracter"/>
          </w:rPr>
          <w:t>69/2021</w:t>
        </w:r>
      </w:hyperlink>
      <w:r>
        <w:t xml:space="preserve">, f. 5; </w:t>
      </w:r>
      <w:hyperlink w:anchor="SENTENCIA_2021_113" w:history="1">
        <w:r w:rsidRPr="002C5A78">
          <w:rPr>
            <w:rStyle w:val="TextoNormalCaracter"/>
          </w:rPr>
          <w:t>113/2021</w:t>
        </w:r>
      </w:hyperlink>
      <w:r>
        <w:t xml:space="preserve">, VP;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Artículo 3.</w:t>
      </w:r>
      <w:r w:rsidRPr="002C5A78">
        <w:rPr>
          <w:rStyle w:val="TextoNormalCaracter"/>
        </w:rPr>
        <w:t>-</w:t>
      </w:r>
      <w:r>
        <w:t xml:space="preserve"> Sentencia </w:t>
      </w:r>
      <w:hyperlink w:anchor="SENTENCIA_2021_69" w:history="1">
        <w:r w:rsidRPr="002C5A78">
          <w:rPr>
            <w:rStyle w:val="TextoNormalCaracter"/>
          </w:rPr>
          <w:t>69/2021</w:t>
        </w:r>
      </w:hyperlink>
      <w:r>
        <w:t>, ff. 3, 4.</w:t>
      </w:r>
    </w:p>
    <w:p w:rsidR="002C5A78" w:rsidRDefault="002C5A78" w:rsidP="002C5A78">
      <w:pPr>
        <w:pStyle w:val="SangriaFrancesaArticulo"/>
      </w:pPr>
    </w:p>
    <w:p w:rsidR="002C5A78" w:rsidRDefault="002C5A78" w:rsidP="002C5A78">
      <w:pPr>
        <w:pStyle w:val="TextoNormalNegritaCursivandice"/>
        <w:keepNext/>
      </w:pPr>
      <w:r>
        <w:t>Protocolo núm. 7 al Convenio europeo para la protección de los derechos humanos y de las libertades fundamentales, de 22 de noviembre de 1984. Ratificado por Instrumento de 28 de agosto de 2009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4" w:history="1">
        <w:r w:rsidRPr="002C5A78">
          <w:rPr>
            <w:rStyle w:val="TextoNormalCaracter"/>
          </w:rPr>
          <w:t>34/2021</w:t>
        </w:r>
      </w:hyperlink>
      <w:r>
        <w:t>, f. 6.</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 w:history="1">
        <w:r w:rsidRPr="002C5A78">
          <w:rPr>
            <w:rStyle w:val="TextoNormalCaracter"/>
          </w:rPr>
          <w:t>1/2021</w:t>
        </w:r>
      </w:hyperlink>
      <w:r>
        <w:t>, ff. 2, 7.</w:t>
      </w:r>
    </w:p>
    <w:p w:rsidR="002C5A78" w:rsidRDefault="002C5A78" w:rsidP="002C5A78">
      <w:pPr>
        <w:pStyle w:val="SangriaFrancesaArticulo"/>
      </w:pPr>
      <w:r w:rsidRPr="002C5A78">
        <w:rPr>
          <w:rStyle w:val="TextoNormalNegritaCaracter"/>
        </w:rPr>
        <w:t>Artículo 2.</w:t>
      </w:r>
      <w:r w:rsidRPr="002C5A78">
        <w:rPr>
          <w:rStyle w:val="TextoNormalCaracter"/>
        </w:rPr>
        <w:t>-</w:t>
      </w:r>
      <w:r>
        <w:t xml:space="preserve"> Sentencias </w:t>
      </w:r>
      <w:hyperlink w:anchor="SENTENCIA_2021_34" w:history="1">
        <w:r w:rsidRPr="002C5A78">
          <w:rPr>
            <w:rStyle w:val="TextoNormalCaracter"/>
          </w:rPr>
          <w:t>34/2021</w:t>
        </w:r>
      </w:hyperlink>
      <w:r>
        <w:t xml:space="preserve">, f. 6; </w:t>
      </w:r>
      <w:hyperlink w:anchor="SENTENCIA_2021_91" w:history="1">
        <w:r w:rsidRPr="002C5A78">
          <w:rPr>
            <w:rStyle w:val="TextoNormalCaracter"/>
          </w:rPr>
          <w:t>91/2021</w:t>
        </w:r>
      </w:hyperlink>
      <w:r>
        <w:t xml:space="preserve">, ff. 1, 3; </w:t>
      </w:r>
      <w:hyperlink w:anchor="SENTENCIA_2021_106" w:history="1">
        <w:r w:rsidRPr="002C5A78">
          <w:rPr>
            <w:rStyle w:val="TextoNormalCaracter"/>
          </w:rPr>
          <w:t>106/2021</w:t>
        </w:r>
      </w:hyperlink>
      <w:r>
        <w:t xml:space="preserve">, ff. 1, 3; </w:t>
      </w:r>
      <w:hyperlink w:anchor="SENTENCIA_2021_107" w:history="1">
        <w:r w:rsidRPr="002C5A78">
          <w:rPr>
            <w:rStyle w:val="TextoNormalCaracter"/>
          </w:rPr>
          <w:t>107/2021</w:t>
        </w:r>
      </w:hyperlink>
      <w:r>
        <w:t xml:space="preserve">, f. 1; </w:t>
      </w:r>
      <w:hyperlink w:anchor="SENTENCIA_2021_121" w:history="1">
        <w:r w:rsidRPr="002C5A78">
          <w:rPr>
            <w:rStyle w:val="TextoNormalCaracter"/>
          </w:rPr>
          <w:t>121/2021</w:t>
        </w:r>
      </w:hyperlink>
      <w:r>
        <w:t xml:space="preserve">, ff. 1, 4; </w:t>
      </w:r>
      <w:hyperlink w:anchor="SENTENCIA_2021_122" w:history="1">
        <w:r w:rsidRPr="002C5A78">
          <w:rPr>
            <w:rStyle w:val="TextoNormalCaracter"/>
          </w:rPr>
          <w:t>122/2021</w:t>
        </w:r>
      </w:hyperlink>
      <w:r>
        <w:t>, ff. 1, 5.</w:t>
      </w:r>
    </w:p>
    <w:p w:rsidR="002C5A78" w:rsidRDefault="002C5A78" w:rsidP="002C5A78">
      <w:pPr>
        <w:pStyle w:val="SangriaFrancesaArticulo"/>
      </w:pPr>
      <w:r w:rsidRPr="002C5A78">
        <w:rPr>
          <w:rStyle w:val="TextoNormalNegritaCaracter"/>
        </w:rPr>
        <w:t>Artículo 2.1.</w:t>
      </w:r>
      <w:r w:rsidRPr="002C5A78">
        <w:rPr>
          <w:rStyle w:val="TextoNormalCaracter"/>
        </w:rPr>
        <w:t>-</w:t>
      </w:r>
      <w:r>
        <w:t xml:space="preserve"> Sentencias </w:t>
      </w:r>
      <w:hyperlink w:anchor="SENTENCIA_2021_3" w:history="1">
        <w:r w:rsidRPr="002C5A78">
          <w:rPr>
            <w:rStyle w:val="TextoNormalCaracter"/>
          </w:rPr>
          <w:t>3/2021</w:t>
        </w:r>
      </w:hyperlink>
      <w:r>
        <w:t xml:space="preserve">, f. 3; </w:t>
      </w:r>
      <w:hyperlink w:anchor="SENTENCIA_2021_4" w:history="1">
        <w:r w:rsidRPr="002C5A78">
          <w:rPr>
            <w:rStyle w:val="TextoNormalCaracter"/>
          </w:rPr>
          <w:t>4/2021</w:t>
        </w:r>
      </w:hyperlink>
      <w:r>
        <w:t>, f. 3.</w:t>
      </w:r>
    </w:p>
    <w:p w:rsidR="002C5A78" w:rsidRDefault="002C5A78" w:rsidP="002C5A78">
      <w:pPr>
        <w:pStyle w:val="SangriaFrancesaArticulo"/>
      </w:pPr>
      <w:r w:rsidRPr="002C5A78">
        <w:rPr>
          <w:rStyle w:val="TextoNormalNegritaCaracter"/>
        </w:rPr>
        <w:t>Artículo 2.2.</w:t>
      </w:r>
      <w:r w:rsidRPr="002C5A78">
        <w:rPr>
          <w:rStyle w:val="TextoNormalCaracter"/>
        </w:rPr>
        <w:t>-</w:t>
      </w:r>
      <w:r>
        <w:t xml:space="preserve"> Sentencias </w:t>
      </w:r>
      <w:hyperlink w:anchor="SENTENCIA_2021_34" w:history="1">
        <w:r w:rsidRPr="002C5A78">
          <w:rPr>
            <w:rStyle w:val="TextoNormalCaracter"/>
          </w:rPr>
          <w:t>34/2021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Carta europea de las lenguas regionales o minoritarias, hecha en Estrasburgo el 5 de noviembre de 1992. Ratificada por Instrumento de 2 de febrero de 2001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5" w:history="1">
        <w:r w:rsidRPr="002C5A78">
          <w:rPr>
            <w:rStyle w:val="TextoNormalCaracter"/>
          </w:rPr>
          <w:t>75/2021</w:t>
        </w:r>
      </w:hyperlink>
      <w:r>
        <w:t xml:space="preserve">, f. 2;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Parte III.</w:t>
      </w:r>
      <w:r w:rsidRPr="002C5A78">
        <w:rPr>
          <w:rStyle w:val="TextoNormalCaracter"/>
        </w:rPr>
        <w:t>-</w:t>
      </w:r>
      <w:r>
        <w:t xml:space="preserve"> Sentencia </w:t>
      </w:r>
      <w:hyperlink w:anchor="SENTENCIA_2021_75" w:history="1">
        <w:r w:rsidRPr="002C5A78">
          <w:rPr>
            <w:rStyle w:val="TextoNormalCaracter"/>
          </w:rPr>
          <w:t>75/2021</w:t>
        </w:r>
      </w:hyperlink>
      <w:r>
        <w:t>, f. 2.</w:t>
      </w:r>
    </w:p>
    <w:p w:rsidR="002C5A78" w:rsidRDefault="002C5A78" w:rsidP="002C5A78">
      <w:pPr>
        <w:pStyle w:val="SangriaFrancesaArticulo"/>
      </w:pPr>
      <w:r w:rsidRPr="002C5A78">
        <w:rPr>
          <w:rStyle w:val="TextoNormalNegritaCaracter"/>
        </w:rPr>
        <w:t>Artículo 7.</w:t>
      </w:r>
      <w:r w:rsidRPr="002C5A78">
        <w:rPr>
          <w:rStyle w:val="TextoNormalCaracter"/>
        </w:rPr>
        <w:t>-</w:t>
      </w:r>
      <w:r>
        <w:t xml:space="preserve"> Sentencia </w:t>
      </w:r>
      <w:hyperlink w:anchor="SENTENCIA_2021_75" w:history="1">
        <w:r w:rsidRPr="002C5A78">
          <w:rPr>
            <w:rStyle w:val="TextoNormalCaracter"/>
          </w:rPr>
          <w:t>75/2021</w:t>
        </w:r>
      </w:hyperlink>
      <w:r>
        <w:t>, f. 2.</w:t>
      </w:r>
    </w:p>
    <w:p w:rsidR="002C5A78" w:rsidRDefault="002C5A78" w:rsidP="002C5A78">
      <w:pPr>
        <w:pStyle w:val="SangriaFrancesaArticulo"/>
      </w:pPr>
      <w:r w:rsidRPr="002C5A78">
        <w:rPr>
          <w:rStyle w:val="TextoNormalNegritaCaracter"/>
        </w:rPr>
        <w:t>Artículo 9.</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Artículo 10.2 e).</w:t>
      </w:r>
      <w:r w:rsidRPr="002C5A78">
        <w:rPr>
          <w:rStyle w:val="TextoNormalCaracter"/>
        </w:rPr>
        <w:t>-</w:t>
      </w:r>
      <w:r>
        <w:t xml:space="preserve"> Sentencia </w:t>
      </w:r>
      <w:hyperlink w:anchor="SENTENCIA_2021_75" w:history="1">
        <w:r w:rsidRPr="002C5A78">
          <w:rPr>
            <w:rStyle w:val="TextoNormalCaracter"/>
          </w:rPr>
          <w:t>75/2021</w:t>
        </w:r>
      </w:hyperlink>
      <w:r>
        <w:t>, f. 2.</w:t>
      </w:r>
    </w:p>
    <w:p w:rsidR="002C5A78" w:rsidRDefault="002C5A78" w:rsidP="002C5A78">
      <w:pPr>
        <w:pStyle w:val="SangriaFrancesaArticulo"/>
      </w:pPr>
    </w:p>
    <w:p w:rsidR="002C5A78" w:rsidRDefault="002C5A78" w:rsidP="002C5A78">
      <w:pPr>
        <w:pStyle w:val="TextoNormalNegritaCursivandice"/>
        <w:keepNext/>
      </w:pPr>
      <w:r>
        <w:t>Protocolo núm. 12 al Convenio europeo para la protección de los derechos humanos y de las libertades fundamentales, de 4 de noviembre de 2000. Ratificado por Instrumento de 6 de marzo de 2008</w:t>
      </w:r>
    </w:p>
    <w:p w:rsidR="002C5A78" w:rsidRDefault="002C5A78" w:rsidP="002C5A78">
      <w:pPr>
        <w:pStyle w:val="SangriaFrancesaArticulo"/>
      </w:pPr>
      <w:r w:rsidRPr="002C5A78">
        <w:rPr>
          <w:rStyle w:val="TextoNormalNegritaCaracter"/>
        </w:rPr>
        <w:t>Artículo 1.</w:t>
      </w:r>
      <w:r w:rsidRPr="002C5A78">
        <w:rPr>
          <w:rStyle w:val="TextoNormalCaracter"/>
        </w:rPr>
        <w:t>-</w:t>
      </w:r>
      <w:r>
        <w:t xml:space="preserve"> Sentencia </w:t>
      </w:r>
      <w:hyperlink w:anchor="SENTENCIA_2021_1" w:history="1">
        <w:r w:rsidRPr="002C5A78">
          <w:rPr>
            <w:rStyle w:val="TextoNormalCaracter"/>
          </w:rPr>
          <w:t>1/2021</w:t>
        </w:r>
      </w:hyperlink>
      <w:r>
        <w:t>, f. 7.</w:t>
      </w:r>
    </w:p>
    <w:p w:rsidR="002C5A78" w:rsidRDefault="002C5A78" w:rsidP="002C5A78">
      <w:pPr>
        <w:pStyle w:val="SangriaFrancesaArticulo"/>
      </w:pPr>
    </w:p>
    <w:p w:rsidR="002C5A78" w:rsidRDefault="002C5A78" w:rsidP="002C5A78">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08" w:history="1">
        <w:r w:rsidRPr="002C5A78">
          <w:rPr>
            <w:rStyle w:val="TextoNormalCaracter"/>
          </w:rPr>
          <w:t>108/2021</w:t>
        </w:r>
      </w:hyperlink>
      <w:r>
        <w:t>, f. 4.</w:t>
      </w:r>
    </w:p>
    <w:p w:rsidR="002C5A78" w:rsidRDefault="002C5A78" w:rsidP="002C5A78">
      <w:pPr>
        <w:pStyle w:val="TextoNormal"/>
      </w:pPr>
    </w:p>
    <w:p w:rsidR="002C5A78" w:rsidRDefault="002C5A78" w:rsidP="002C5A78">
      <w:pPr>
        <w:pStyle w:val="SangriaFrancesaArticulo"/>
      </w:pPr>
      <w:bookmarkStart w:id="229" w:name="INDICE22872"/>
    </w:p>
    <w:bookmarkEnd w:id="229"/>
    <w:p w:rsidR="002C5A78" w:rsidRDefault="002C5A78" w:rsidP="002C5A78">
      <w:pPr>
        <w:pStyle w:val="TextoIndiceNivel2"/>
        <w:suppressAutoHyphens/>
      </w:pPr>
      <w:r>
        <w:t>Ñ) Legislación extranjera</w:t>
      </w:r>
    </w:p>
    <w:p w:rsidR="002C5A78" w:rsidRDefault="002C5A78" w:rsidP="002C5A78">
      <w:pPr>
        <w:pStyle w:val="TextoIndiceNivel2"/>
      </w:pPr>
    </w:p>
    <w:p w:rsidR="002C5A78" w:rsidRDefault="002C5A78" w:rsidP="002C5A78">
      <w:pPr>
        <w:pStyle w:val="TextoNormalNegritaCursivandice"/>
        <w:keepNext/>
      </w:pPr>
      <w:r>
        <w:t>Constitución italiana de 27 de diciembre de 1947</w:t>
      </w:r>
    </w:p>
    <w:p w:rsidR="002C5A78" w:rsidRDefault="002C5A78" w:rsidP="002C5A78">
      <w:pPr>
        <w:pStyle w:val="SangriaFrancesaArticulo"/>
      </w:pPr>
      <w:r w:rsidRPr="002C5A78">
        <w:rPr>
          <w:rStyle w:val="TextoNormalNegritaCaracter"/>
        </w:rPr>
        <w:t>Artículo 68.</w:t>
      </w:r>
      <w:r w:rsidRPr="002C5A78">
        <w:rPr>
          <w:rStyle w:val="TextoNormalCaracter"/>
        </w:rPr>
        <w:t>-</w:t>
      </w:r>
      <w:r>
        <w:t xml:space="preserve"> Sentencias </w:t>
      </w:r>
      <w:hyperlink w:anchor="SENTENCIA_2021_70" w:history="1">
        <w:r w:rsidRPr="002C5A78">
          <w:rPr>
            <w:rStyle w:val="TextoNormalCaracter"/>
          </w:rPr>
          <w:t>70/2021</w:t>
        </w:r>
      </w:hyperlink>
      <w:r>
        <w:t xml:space="preserve">, f. 5; </w:t>
      </w:r>
      <w:hyperlink w:anchor="SENTENCIA_2021_71" w:history="1">
        <w:r w:rsidRPr="002C5A78">
          <w:rPr>
            <w:rStyle w:val="TextoNormalCaracter"/>
          </w:rPr>
          <w:t>71/2021</w:t>
        </w:r>
      </w:hyperlink>
      <w:r>
        <w:t>, f. 5.</w:t>
      </w:r>
    </w:p>
    <w:p w:rsidR="002C5A78" w:rsidRDefault="002C5A78" w:rsidP="002C5A78">
      <w:pPr>
        <w:pStyle w:val="SangriaFrancesaArticulo"/>
      </w:pPr>
    </w:p>
    <w:p w:rsidR="002C5A78" w:rsidRDefault="002C5A78" w:rsidP="002C5A78">
      <w:pPr>
        <w:pStyle w:val="TextoNormalNegritaCursivandice"/>
        <w:keepNext/>
      </w:pPr>
      <w:r>
        <w:t>Ley Fundamental de la República Federal de Alemania, de 23 de mayo de 1949</w:t>
      </w:r>
    </w:p>
    <w:p w:rsidR="002C5A78" w:rsidRDefault="002C5A78" w:rsidP="002C5A78">
      <w:pPr>
        <w:pStyle w:val="SangriaFrancesaArticulo"/>
      </w:pPr>
      <w:r w:rsidRPr="002C5A78">
        <w:rPr>
          <w:rStyle w:val="TextoNormalNegritaCaracter"/>
        </w:rPr>
        <w:t>Artículo 37.</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f. 10.</w:t>
      </w:r>
    </w:p>
    <w:p w:rsidR="002C5A78" w:rsidRDefault="002C5A78" w:rsidP="002C5A78">
      <w:pPr>
        <w:pStyle w:val="SangriaFrancesaArticulo"/>
      </w:pPr>
      <w:r w:rsidRPr="002C5A78">
        <w:rPr>
          <w:rStyle w:val="TextoNormalNegritaCaracter"/>
        </w:rPr>
        <w:t>Artículo 46.</w:t>
      </w:r>
      <w:r w:rsidRPr="002C5A78">
        <w:rPr>
          <w:rStyle w:val="TextoNormalCaracter"/>
        </w:rPr>
        <w:t>-</w:t>
      </w:r>
      <w:r>
        <w:t xml:space="preserve"> Sentencias </w:t>
      </w:r>
      <w:hyperlink w:anchor="SENTENCIA_2021_70" w:history="1">
        <w:r w:rsidRPr="002C5A78">
          <w:rPr>
            <w:rStyle w:val="TextoNormalCaracter"/>
          </w:rPr>
          <w:t>70/2021</w:t>
        </w:r>
      </w:hyperlink>
      <w:r>
        <w:t xml:space="preserve">, f. 5; </w:t>
      </w:r>
      <w:hyperlink w:anchor="SENTENCIA_2021_71" w:history="1">
        <w:r w:rsidRPr="002C5A78">
          <w:rPr>
            <w:rStyle w:val="TextoNormalCaracter"/>
          </w:rPr>
          <w:t>71/2021</w:t>
        </w:r>
      </w:hyperlink>
      <w:r>
        <w:t>, f. 5.</w:t>
      </w:r>
    </w:p>
    <w:p w:rsidR="002C5A78" w:rsidRDefault="002C5A78" w:rsidP="002C5A78">
      <w:pPr>
        <w:pStyle w:val="SangriaFrancesaArticulo"/>
      </w:pPr>
    </w:p>
    <w:p w:rsidR="002C5A78" w:rsidRDefault="002C5A78" w:rsidP="002C5A78">
      <w:pPr>
        <w:pStyle w:val="TextoNormalNegritaCursivandice"/>
        <w:keepNext/>
      </w:pPr>
      <w:r>
        <w:t>Constitución de la República francesa, de 4 de octubre de 1958</w:t>
      </w:r>
    </w:p>
    <w:p w:rsidR="002C5A78" w:rsidRDefault="002C5A78" w:rsidP="002C5A78">
      <w:pPr>
        <w:pStyle w:val="SangriaFrancesaArticulo"/>
      </w:pPr>
      <w:r w:rsidRPr="002C5A78">
        <w:rPr>
          <w:rStyle w:val="TextoNormalNegritaCaracter"/>
        </w:rPr>
        <w:t>Artículo 26.</w:t>
      </w:r>
      <w:r w:rsidRPr="002C5A78">
        <w:rPr>
          <w:rStyle w:val="TextoNormalCaracter"/>
        </w:rPr>
        <w:t>-</w:t>
      </w:r>
      <w:r>
        <w:t xml:space="preserve"> Sentencias </w:t>
      </w:r>
      <w:hyperlink w:anchor="SENTENCIA_2021_70" w:history="1">
        <w:r w:rsidRPr="002C5A78">
          <w:rPr>
            <w:rStyle w:val="TextoNormalCaracter"/>
          </w:rPr>
          <w:t>70/2021</w:t>
        </w:r>
      </w:hyperlink>
      <w:r>
        <w:t xml:space="preserve">, f. 5; </w:t>
      </w:r>
      <w:hyperlink w:anchor="SENTENCIA_2021_71" w:history="1">
        <w:r w:rsidRPr="002C5A78">
          <w:rPr>
            <w:rStyle w:val="TextoNormalCaracter"/>
          </w:rPr>
          <w:t>71/2021</w:t>
        </w:r>
      </w:hyperlink>
      <w:r>
        <w:t>, f. 5.</w:t>
      </w:r>
    </w:p>
    <w:p w:rsidR="002C5A78" w:rsidRDefault="002C5A78">
      <w:pPr>
        <w:spacing w:after="0" w:line="360" w:lineRule="auto"/>
        <w:ind w:firstLine="851"/>
        <w:jc w:val="both"/>
        <w:rPr>
          <w:rFonts w:ascii="Times New Roman" w:eastAsia="Times New Roman" w:hAnsi="Times New Roman" w:cs="Times New Roman"/>
          <w:sz w:val="24"/>
          <w:szCs w:val="24"/>
          <w:lang w:eastAsia="es-ES"/>
        </w:rPr>
      </w:pPr>
      <w:r>
        <w:br w:type="page"/>
      </w:r>
    </w:p>
    <w:p w:rsidR="002C5A78" w:rsidRDefault="002C5A78" w:rsidP="002C5A78">
      <w:pPr>
        <w:pStyle w:val="SangriaFrancesaArticulo"/>
      </w:pPr>
    </w:p>
    <w:p w:rsidR="002C5A78" w:rsidRDefault="002C5A78" w:rsidP="002C5A78">
      <w:pPr>
        <w:pStyle w:val="TextoNormal"/>
      </w:pPr>
    </w:p>
    <w:p w:rsidR="002C5A78" w:rsidRDefault="002C5A78" w:rsidP="002C5A78">
      <w:pPr>
        <w:pStyle w:val="TextoNormal"/>
      </w:pPr>
    </w:p>
    <w:p w:rsidR="002C5A78" w:rsidRDefault="002C5A78" w:rsidP="002C5A78">
      <w:pPr>
        <w:pStyle w:val="TextoNormal"/>
      </w:pPr>
    </w:p>
    <w:p w:rsidR="002C5A78" w:rsidRDefault="002C5A78" w:rsidP="002C5A78">
      <w:pPr>
        <w:pStyle w:val="Ttulondice"/>
        <w:suppressAutoHyphens/>
      </w:pPr>
      <w:r>
        <w:t>6. ÍNDICE DE RESOLUCIONES DE OTROS TRIBUNALES CITADAS</w:t>
      </w: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suppressAutoHyphens/>
      </w:pPr>
    </w:p>
    <w:p w:rsidR="002C5A78" w:rsidRDefault="002C5A78" w:rsidP="002C5A78">
      <w:pPr>
        <w:pStyle w:val="TextoNormal"/>
      </w:pPr>
    </w:p>
    <w:p w:rsidR="002C5A78" w:rsidRDefault="002C5A78" w:rsidP="002C5A78">
      <w:pPr>
        <w:pStyle w:val="TextoNormal"/>
      </w:pPr>
      <w:bookmarkStart w:id="230" w:name="INDICE22805"/>
      <w:bookmarkEnd w:id="230"/>
    </w:p>
    <w:p w:rsidR="002C5A78" w:rsidRDefault="002C5A78" w:rsidP="002C5A78">
      <w:pPr>
        <w:pStyle w:val="TextoIndiceNivel2"/>
        <w:suppressAutoHyphens/>
      </w:pPr>
      <w:r>
        <w:t>A) Tribunal Europeo de Derechos Humanos</w:t>
      </w:r>
    </w:p>
    <w:p w:rsidR="002C5A78" w:rsidRDefault="002C5A78" w:rsidP="002C5A78">
      <w:pPr>
        <w:pStyle w:val="TextoIndiceNivel2"/>
      </w:pPr>
    </w:p>
    <w:p w:rsidR="002C5A78" w:rsidRDefault="002C5A78" w:rsidP="002C5A78">
      <w:pPr>
        <w:pStyle w:val="TextoNormalNegritaCursivandice"/>
        <w:keepNext/>
      </w:pPr>
      <w:r>
        <w:t>Sentencia del Tribunal Europeo de Derechos Humanos de 17 de enero de 1970 (Delcourt c. Bélgica)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julio de 1971 (Ringeisen c. Austria)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Informe de la Comisión Europea de Derechos Humanos 7360/76, de 12 de octubre de 1978 (Zand c. Austria)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26 de abril de 1979 (The Sunday Times c. Reino Unido —núm. 1—)</w:t>
      </w:r>
    </w:p>
    <w:p w:rsidR="002C5A78" w:rsidRDefault="002C5A78" w:rsidP="002C5A78">
      <w:pPr>
        <w:pStyle w:val="SangriaFrancesaArticulo"/>
      </w:pPr>
      <w:r w:rsidRPr="002C5A78">
        <w:rPr>
          <w:rStyle w:val="TextoNormalNegritaCaracter"/>
        </w:rPr>
        <w:t>§ 65.</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octubre de 1981 (Dudgeon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 de octubre de 1982 (Piersack c. Bélgica)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ff. 5, 9; </w:t>
      </w:r>
      <w:hyperlink w:anchor="SENTENCIA_2021_106" w:history="1">
        <w:r w:rsidRPr="002C5A78">
          <w:rPr>
            <w:rStyle w:val="TextoNormalCaracter"/>
          </w:rPr>
          <w:t>106/2021</w:t>
        </w:r>
      </w:hyperlink>
      <w:r>
        <w:t xml:space="preserve">, ff. 5, 9; </w:t>
      </w:r>
      <w:hyperlink w:anchor="SENTENCIA_2021_121" w:history="1">
        <w:r w:rsidRPr="002C5A78">
          <w:rPr>
            <w:rStyle w:val="TextoNormalCaracter"/>
          </w:rPr>
          <w:t>121/2021</w:t>
        </w:r>
      </w:hyperlink>
      <w:r>
        <w:t xml:space="preserve">, ff. 6, 10;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30.</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abril de 1983 (Pakelli c. Alemania)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5" w:history="1">
        <w:r w:rsidRPr="002C5A78">
          <w:rPr>
            <w:rStyle w:val="TextoNormalCaracter"/>
          </w:rPr>
          <w:t>35/2021</w:t>
        </w:r>
      </w:hyperlink>
      <w:r>
        <w:t>, f. 2.</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diciembre de 1983 (Axen c. Alemania)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r w:rsidRPr="002C5A78">
        <w:rPr>
          <w:rStyle w:val="TextoNormalNegritaCaracter"/>
        </w:rPr>
        <w:t>§ 25.</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diciembre de 1983 (Pretto y otros c. Italia)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febrero de 1984 (Sutter c. Suiza)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4; </w:t>
      </w:r>
      <w:hyperlink w:anchor="SENTENCIA_2021_106" w:history="1">
        <w:r w:rsidRPr="002C5A78">
          <w:rPr>
            <w:rStyle w:val="TextoNormalCaracter"/>
          </w:rPr>
          <w:t>106/2021</w:t>
        </w:r>
      </w:hyperlink>
      <w:r>
        <w:t xml:space="preserve">, f. 4; </w:t>
      </w:r>
      <w:hyperlink w:anchor="SENTENCIA_2021_121" w:history="1">
        <w:r w:rsidRPr="002C5A78">
          <w:rPr>
            <w:rStyle w:val="TextoNormalCaracter"/>
          </w:rPr>
          <w:t>121/2021</w:t>
        </w:r>
      </w:hyperlink>
      <w:r>
        <w:t xml:space="preserve">, f. 5; </w:t>
      </w:r>
      <w:hyperlink w:anchor="SENTENCIA_2021_122" w:history="1">
        <w:r w:rsidRPr="002C5A78">
          <w:rPr>
            <w:rStyle w:val="TextoNormalCaracter"/>
          </w:rPr>
          <w:t>122/2021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 de agosto de 1984 (Malone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26 de octubre de 1984 (De Cubber c. Bélgica)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ff. 5, 9; </w:t>
      </w:r>
      <w:hyperlink w:anchor="SENTENCIA_2021_106" w:history="1">
        <w:r w:rsidRPr="002C5A78">
          <w:rPr>
            <w:rStyle w:val="TextoNormalCaracter"/>
          </w:rPr>
          <w:t>106/2021</w:t>
        </w:r>
      </w:hyperlink>
      <w:r>
        <w:t xml:space="preserve">, ff. 5, 9; </w:t>
      </w:r>
      <w:hyperlink w:anchor="SENTENCIA_2021_121" w:history="1">
        <w:r w:rsidRPr="002C5A78">
          <w:rPr>
            <w:rStyle w:val="TextoNormalCaracter"/>
          </w:rPr>
          <w:t>121/2021</w:t>
        </w:r>
      </w:hyperlink>
      <w:r>
        <w:t xml:space="preserve">, ff. 6, 10;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24.</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 25.</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26.</w:t>
      </w:r>
      <w:r w:rsidRPr="002C5A78">
        <w:rPr>
          <w:rStyle w:val="TextoNormalCaracter"/>
        </w:rPr>
        <w:t>-</w:t>
      </w:r>
      <w:r>
        <w:t xml:space="preserve"> Sentencias </w:t>
      </w:r>
      <w:hyperlink w:anchor="SENTENCIA_2021_91" w:history="1">
        <w:r w:rsidRPr="002C5A78">
          <w:rPr>
            <w:rStyle w:val="TextoNormalCaracter"/>
          </w:rPr>
          <w:t>91/2021</w:t>
        </w:r>
      </w:hyperlink>
      <w:r>
        <w:t xml:space="preserve">, ff. 5, 6; </w:t>
      </w:r>
      <w:hyperlink w:anchor="SENTENCIA_2021_106" w:history="1">
        <w:r w:rsidRPr="002C5A78">
          <w:rPr>
            <w:rStyle w:val="TextoNormalCaracter"/>
          </w:rPr>
          <w:t>106/2021</w:t>
        </w:r>
      </w:hyperlink>
      <w:r>
        <w:t xml:space="preserve">, ff. 5, 6; </w:t>
      </w:r>
      <w:hyperlink w:anchor="SENTENCIA_2021_121" w:history="1">
        <w:r w:rsidRPr="002C5A78">
          <w:rPr>
            <w:rStyle w:val="TextoNormalCaracter"/>
          </w:rPr>
          <w:t>121/2021</w:t>
        </w:r>
      </w:hyperlink>
      <w:r>
        <w:t xml:space="preserve">, ff. 6, 7;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21 de febrero de 1986 (James y otros c. Reino Unido)</w:t>
      </w:r>
    </w:p>
    <w:p w:rsidR="002C5A78" w:rsidRDefault="002C5A78" w:rsidP="002C5A78">
      <w:pPr>
        <w:pStyle w:val="SangriaFrancesaArticulo"/>
      </w:pPr>
      <w:r w:rsidRPr="002C5A78">
        <w:rPr>
          <w:rStyle w:val="TextoNormalNegritaCaracter"/>
        </w:rPr>
        <w:t>§ 46.</w:t>
      </w:r>
      <w:r w:rsidRPr="002C5A78">
        <w:rPr>
          <w:rStyle w:val="TextoNormalCaracter"/>
        </w:rPr>
        <w:t>-</w:t>
      </w:r>
      <w:r>
        <w:t xml:space="preserve"> Sentencia </w:t>
      </w:r>
      <w:hyperlink w:anchor="SENTENCIA_2021_112" w:history="1">
        <w:r w:rsidRPr="002C5A78">
          <w:rPr>
            <w:rStyle w:val="TextoNormalCaracter"/>
          </w:rPr>
          <w:t>112/2021</w:t>
        </w:r>
      </w:hyperlink>
      <w:r>
        <w:t>, f. 6.</w:t>
      </w:r>
    </w:p>
    <w:p w:rsidR="002C5A78" w:rsidRDefault="002C5A78" w:rsidP="002C5A78">
      <w:pPr>
        <w:pStyle w:val="SangriaFrancesaArticulo"/>
      </w:pPr>
      <w:r w:rsidRPr="002C5A78">
        <w:rPr>
          <w:rStyle w:val="TextoNormalNegritaCaracter"/>
        </w:rPr>
        <w:t>§ 50.</w:t>
      </w:r>
      <w:r w:rsidRPr="002C5A78">
        <w:rPr>
          <w:rStyle w:val="TextoNormalCaracter"/>
        </w:rPr>
        <w:t>-</w:t>
      </w:r>
      <w:r>
        <w:t xml:space="preserve"> Sentencia </w:t>
      </w:r>
      <w:hyperlink w:anchor="SENTENCIA_2021_112" w:history="1">
        <w:r w:rsidRPr="002C5A78">
          <w:rPr>
            <w:rStyle w:val="TextoNormalCaracter"/>
          </w:rPr>
          <w:t>112/2021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noviembre de 1986 (Unterpertinger c. Austria)</w:t>
      </w:r>
    </w:p>
    <w:p w:rsidR="002C5A78" w:rsidRDefault="002C5A78" w:rsidP="002C5A78">
      <w:pPr>
        <w:pStyle w:val="SangriaFrancesaArticulo"/>
      </w:pPr>
      <w:r w:rsidRPr="002C5A78">
        <w:rPr>
          <w:rStyle w:val="TextoNormalNegritaCaracter"/>
        </w:rPr>
        <w:t>§ 31.</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26 de mayo de 1988 (Ekbatani c. Suecia)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2" w:history="1">
        <w:r w:rsidRPr="002C5A78">
          <w:rPr>
            <w:rStyle w:val="TextoNormalCaracter"/>
          </w:rPr>
          <w:t>22/2021</w:t>
        </w:r>
      </w:hyperlink>
      <w:r>
        <w:t>, f. 2.</w:t>
      </w:r>
    </w:p>
    <w:p w:rsidR="002C5A78" w:rsidRDefault="002C5A78" w:rsidP="002C5A78">
      <w:pPr>
        <w:pStyle w:val="SangriaFrancesaArticulo"/>
      </w:pPr>
      <w:r w:rsidRPr="002C5A78">
        <w:rPr>
          <w:rStyle w:val="TextoNormalNegritaCaracter"/>
        </w:rPr>
        <w:t>§ 24.</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 27.</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26 de octubre de 1988 (Norris c. Irlanda)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febrero de 1989 (Barfod c. Dinamarca)</w:t>
      </w:r>
    </w:p>
    <w:p w:rsidR="002C5A78" w:rsidRDefault="002C5A78" w:rsidP="002C5A78">
      <w:pPr>
        <w:pStyle w:val="SangriaFrancesaArticulo"/>
      </w:pPr>
      <w:r w:rsidRPr="002C5A78">
        <w:rPr>
          <w:rStyle w:val="TextoNormalNegritaCaracter"/>
        </w:rPr>
        <w:t>§ 29.</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mayo de 1989 (Hauschildt c. Dinamarca)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ff. 5, 9; </w:t>
      </w:r>
      <w:hyperlink w:anchor="SENTENCIA_2021_106" w:history="1">
        <w:r w:rsidRPr="002C5A78">
          <w:rPr>
            <w:rStyle w:val="TextoNormalCaracter"/>
          </w:rPr>
          <w:t>106/2021</w:t>
        </w:r>
      </w:hyperlink>
      <w:r>
        <w:t xml:space="preserve">, ff. 5, 9; </w:t>
      </w:r>
      <w:hyperlink w:anchor="SENTENCIA_2021_121" w:history="1">
        <w:r w:rsidRPr="002C5A78">
          <w:rPr>
            <w:rStyle w:val="TextoNormalCaracter"/>
          </w:rPr>
          <w:t>121/2021</w:t>
        </w:r>
      </w:hyperlink>
      <w:r>
        <w:t xml:space="preserve">, ff. 6, 10;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47.</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junio de 1989 (Langborger c. Suecia)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noviembre de 1989 (Kostovski c. Holanda)</w:t>
      </w:r>
    </w:p>
    <w:p w:rsidR="002C5A78" w:rsidRDefault="002C5A78" w:rsidP="002C5A78">
      <w:pPr>
        <w:pStyle w:val="SangriaFrancesaArticulo"/>
      </w:pPr>
      <w:r w:rsidRPr="002C5A78">
        <w:rPr>
          <w:rStyle w:val="TextoNormalNegritaCaracter"/>
        </w:rPr>
        <w:t>§ 41.</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abril de 1990 (Huvig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abril de 1990 (Kruslin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27 de septiembre de 1990 (Windisch c. Austria)</w:t>
      </w:r>
    </w:p>
    <w:p w:rsidR="002C5A78" w:rsidRDefault="002C5A78" w:rsidP="002C5A78">
      <w:pPr>
        <w:pStyle w:val="SangriaFrancesaArticulo"/>
      </w:pPr>
      <w:r w:rsidRPr="002C5A78">
        <w:rPr>
          <w:rStyle w:val="TextoNormalNegritaCaracter"/>
        </w:rPr>
        <w:t>§ 26.</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19 de febrero de 1991 (Isgrò c. Italia)</w:t>
      </w:r>
    </w:p>
    <w:p w:rsidR="002C5A78" w:rsidRDefault="002C5A78" w:rsidP="002C5A78">
      <w:pPr>
        <w:pStyle w:val="SangriaFrancesaArticulo"/>
      </w:pPr>
      <w:r w:rsidRPr="002C5A78">
        <w:rPr>
          <w:rStyle w:val="TextoNormalNegritaCaracter"/>
        </w:rPr>
        <w:t>§ 34.</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26 de abril de 1991 (Ezelin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w:t>
      </w:r>
      <w:hyperlink w:anchor="SENTENCIA_2021_133" w:history="1">
        <w:r w:rsidRPr="002C5A78">
          <w:rPr>
            <w:rStyle w:val="TextoNormalCaracter"/>
          </w:rPr>
          <w:t>133/2021</w:t>
        </w:r>
      </w:hyperlink>
      <w:r>
        <w:t>, f. 5,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mayo de 1991 (Oberschlick c. Austria)</w:t>
      </w:r>
    </w:p>
    <w:p w:rsidR="002C5A78" w:rsidRDefault="002C5A78" w:rsidP="002C5A78">
      <w:pPr>
        <w:pStyle w:val="SangriaFrancesaArticulo"/>
      </w:pPr>
      <w:r w:rsidRPr="002C5A78">
        <w:rPr>
          <w:rStyle w:val="TextoNormalNegritaCaracter"/>
        </w:rPr>
        <w:t>§ 48 a 52.</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50.</w:t>
      </w:r>
      <w:r w:rsidRPr="002C5A78">
        <w:rPr>
          <w:rStyle w:val="TextoNormalCaracter"/>
        </w:rPr>
        <w:t>-</w:t>
      </w:r>
      <w:r>
        <w:t xml:space="preserve"> Sentencia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29 de octubre de 1991 (Helmers c. Suecia)</w:t>
      </w:r>
    </w:p>
    <w:p w:rsidR="002C5A78" w:rsidRDefault="002C5A78" w:rsidP="002C5A78">
      <w:pPr>
        <w:pStyle w:val="SangriaFrancesaArticulo"/>
      </w:pPr>
      <w:r w:rsidRPr="002C5A78">
        <w:rPr>
          <w:rStyle w:val="TextoNormalNegritaCaracter"/>
        </w:rPr>
        <w:t>§ 31.</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 32.</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febrero de 1992 (Pfeifer y Plankl c. Austria)</w:t>
      </w:r>
    </w:p>
    <w:p w:rsidR="002C5A78" w:rsidRDefault="002C5A78" w:rsidP="002C5A78">
      <w:pPr>
        <w:pStyle w:val="SangriaFrancesaArticulo"/>
      </w:pPr>
      <w:r w:rsidRPr="002C5A78">
        <w:rPr>
          <w:rStyle w:val="TextoNormalNegritaCaracter"/>
        </w:rPr>
        <w:t>§ 6.</w:t>
      </w:r>
      <w:r w:rsidRPr="002C5A78">
        <w:rPr>
          <w:rStyle w:val="TextoNormalCaracter"/>
        </w:rPr>
        <w:t>-</w:t>
      </w:r>
      <w:r>
        <w:t xml:space="preserve"> Sentencia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abril de 1992 (Castells c. España)</w:t>
      </w:r>
    </w:p>
    <w:p w:rsidR="002C5A78" w:rsidRDefault="002C5A78" w:rsidP="002C5A78">
      <w:pPr>
        <w:pStyle w:val="SangriaFrancesaArticulo"/>
      </w:pPr>
      <w:r w:rsidRPr="002C5A78">
        <w:rPr>
          <w:rStyle w:val="TextoNormalNegritaCaracter"/>
        </w:rPr>
        <w:t>§ 42.</w:t>
      </w:r>
      <w:r w:rsidRPr="002C5A78">
        <w:rPr>
          <w:rStyle w:val="TextoNormalCaracter"/>
        </w:rPr>
        <w:t>-</w:t>
      </w:r>
      <w:r>
        <w:t xml:space="preserve"> Sentencia </w:t>
      </w:r>
      <w:hyperlink w:anchor="SENTENCIA_2021_93" w:history="1">
        <w:r w:rsidRPr="002C5A78">
          <w:rPr>
            <w:rStyle w:val="TextoNormalCaracter"/>
          </w:rPr>
          <w:t>93/2021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diciembre de 1992 (Sainte-Marie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febrero de 1993 (Fey c. Austria)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febrero de 1993 (Funke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26 de febrero de 1993 (Padovani y otros c. Italia)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mayo de 1993 (Kokkinakis c. Grecia)</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 </w:t>
      </w:r>
      <w:hyperlink w:anchor="SENTENCIA_2021_14" w:history="1">
        <w:r w:rsidRPr="002C5A78">
          <w:rPr>
            <w:rStyle w:val="TextoNormalCaracter"/>
          </w:rPr>
          <w:t>14/2021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septiembre de 1993 (Saïdi c. Francia)</w:t>
      </w:r>
    </w:p>
    <w:p w:rsidR="002C5A78" w:rsidRDefault="002C5A78" w:rsidP="002C5A78">
      <w:pPr>
        <w:pStyle w:val="SangriaFrancesaArticulo"/>
      </w:pPr>
      <w:r w:rsidRPr="002C5A78">
        <w:rPr>
          <w:rStyle w:val="TextoNormalNegritaCaracter"/>
        </w:rPr>
        <w:t>§ 43.</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noviembre de 1993 (Holm c. Suecia)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abril de 1994 (Saraiva de Carvalho c. Portugal)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septiembre de 1994 (Jersild c. Dinamarca)</w:t>
      </w:r>
    </w:p>
    <w:p w:rsidR="002C5A78" w:rsidRDefault="002C5A78" w:rsidP="002C5A78">
      <w:pPr>
        <w:pStyle w:val="SangriaFrancesaArticulo"/>
      </w:pPr>
      <w:r w:rsidRPr="002C5A78">
        <w:rPr>
          <w:rStyle w:val="TextoNormalNegritaCaracter"/>
        </w:rPr>
        <w:t>§ 35.</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febrero de 1995 (Allenet de Ribemont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8; </w:t>
      </w:r>
      <w:hyperlink w:anchor="SENTENCIA_2021_106" w:history="1">
        <w:r w:rsidRPr="002C5A78">
          <w:rPr>
            <w:rStyle w:val="TextoNormalCaracter"/>
          </w:rPr>
          <w:t>106/2021</w:t>
        </w:r>
      </w:hyperlink>
      <w:r>
        <w:t xml:space="preserve">, f. 8; </w:t>
      </w:r>
      <w:hyperlink w:anchor="SENTENCIA_2021_121" w:history="1">
        <w:r w:rsidRPr="002C5A78">
          <w:rPr>
            <w:rStyle w:val="TextoNormalCaracter"/>
          </w:rPr>
          <w:t>121/2021</w:t>
        </w:r>
      </w:hyperlink>
      <w:r>
        <w:t>, f. 9.</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julio de 1995 (Tolstoy Miloslavsky c. Reino Unido)</w:t>
      </w:r>
    </w:p>
    <w:p w:rsidR="002C5A78" w:rsidRDefault="002C5A78" w:rsidP="002C5A78">
      <w:pPr>
        <w:pStyle w:val="SangriaFrancesaArticulo"/>
      </w:pPr>
      <w:r w:rsidRPr="002C5A78">
        <w:rPr>
          <w:rStyle w:val="TextoNormalNegritaCaracter"/>
        </w:rPr>
        <w:t>§ 52 a 55.</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f. 7,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febrero de 1996 (John Murray c. Reino Unido)</w:t>
      </w:r>
    </w:p>
    <w:p w:rsidR="002C5A78" w:rsidRDefault="002C5A78" w:rsidP="002C5A78">
      <w:pPr>
        <w:pStyle w:val="SangriaFrancesaArticulo"/>
      </w:pPr>
      <w:r w:rsidRPr="002C5A78">
        <w:rPr>
          <w:rStyle w:val="TextoNormalNegritaCaracter"/>
        </w:rPr>
        <w:t>§ 45.</w:t>
      </w:r>
      <w:r w:rsidRPr="002C5A78">
        <w:rPr>
          <w:rStyle w:val="TextoNormalCaracter"/>
        </w:rPr>
        <w:t>-</w:t>
      </w:r>
      <w:r>
        <w:t xml:space="preserve"> 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febrero de 1996 (Bulut c. Austria)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r w:rsidRPr="002C5A78">
        <w:rPr>
          <w:rStyle w:val="TextoNormalNegritaCaracter"/>
        </w:rPr>
        <w:t>§ 29.</w:t>
      </w:r>
      <w:r w:rsidRPr="002C5A78">
        <w:rPr>
          <w:rStyle w:val="TextoNormalCaracter"/>
        </w:rPr>
        <w:t>-</w:t>
      </w:r>
      <w:r>
        <w:t xml:space="preserve"> Sentencias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junio de 1996 (Pullar c. Reino Unido)</w:t>
      </w:r>
    </w:p>
    <w:p w:rsidR="002C5A78" w:rsidRDefault="002C5A78" w:rsidP="002C5A78">
      <w:pPr>
        <w:pStyle w:val="SangriaFrancesaArticulo"/>
      </w:pPr>
      <w:r w:rsidRPr="002C5A78">
        <w:rPr>
          <w:rStyle w:val="TextoNormalNegritaCaracter"/>
        </w:rPr>
        <w:t>§ 32.</w:t>
      </w:r>
      <w:r w:rsidRPr="002C5A78">
        <w:rPr>
          <w:rStyle w:val="TextoNormalCaracter"/>
        </w:rPr>
        <w:t>-</w:t>
      </w:r>
      <w:r>
        <w:t xml:space="preserve"> Sentencias </w:t>
      </w:r>
      <w:hyperlink w:anchor="SENTENCIA_2021_91" w:history="1">
        <w:r w:rsidRPr="002C5A78">
          <w:rPr>
            <w:rStyle w:val="TextoNormalCaracter"/>
          </w:rPr>
          <w:t>91/2021</w:t>
        </w:r>
      </w:hyperlink>
      <w:r>
        <w:t xml:space="preserve">, ff. 5, 9;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ff. 6, 10;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38.</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7 de agosto de 1996 (Ferrantelli y Santangelo c. Italia)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noviembre de 1996 (Cantoni v. Francia)</w:t>
      </w:r>
    </w:p>
    <w:p w:rsidR="002C5A78" w:rsidRDefault="002C5A78" w:rsidP="002C5A78">
      <w:pPr>
        <w:pStyle w:val="SangriaFrancesaArticulo"/>
      </w:pPr>
      <w:r w:rsidRPr="002C5A78">
        <w:rPr>
          <w:rStyle w:val="TextoNormalNegritaCaracter"/>
        </w:rPr>
        <w:t>§ 31.</w:t>
      </w:r>
      <w:r w:rsidRPr="002C5A78">
        <w:rPr>
          <w:rStyle w:val="TextoNormalCaracter"/>
        </w:rPr>
        <w:t>-</w:t>
      </w:r>
      <w:r>
        <w:t xml:space="preserve"> Sentencia </w:t>
      </w:r>
      <w:hyperlink w:anchor="SENTENCIA_2021_14" w:history="1">
        <w:r w:rsidRPr="002C5A78">
          <w:rPr>
            <w:rStyle w:val="TextoNormalCaracter"/>
          </w:rPr>
          <w:t>14/2021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17 de diciembre de 1996 (Saunders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1" w:history="1">
        <w:r w:rsidRPr="002C5A78">
          <w:rPr>
            <w:rStyle w:val="TextoNormalCaracter"/>
          </w:rPr>
          <w:t>21/2021</w:t>
        </w:r>
      </w:hyperlink>
      <w:r>
        <w:t>, ff. 4, 5.</w:t>
      </w:r>
    </w:p>
    <w:p w:rsidR="002C5A78" w:rsidRDefault="002C5A78" w:rsidP="002C5A78">
      <w:pPr>
        <w:pStyle w:val="SangriaFrancesaArticulo"/>
      </w:pPr>
      <w:r w:rsidRPr="002C5A78">
        <w:rPr>
          <w:rStyle w:val="TextoNormalNegritaCaracter"/>
        </w:rPr>
        <w:t>§ 68.</w:t>
      </w:r>
      <w:r w:rsidRPr="002C5A78">
        <w:rPr>
          <w:rStyle w:val="TextoNormalCaracter"/>
        </w:rPr>
        <w:t>-</w:t>
      </w:r>
      <w:r>
        <w:t xml:space="preserve"> Sentencia </w:t>
      </w:r>
      <w:hyperlink w:anchor="SENTENCIA_2021_21" w:history="1">
        <w:r w:rsidRPr="002C5A78">
          <w:rPr>
            <w:rStyle w:val="TextoNormalCaracter"/>
          </w:rPr>
          <w:t>21/2021</w:t>
        </w:r>
      </w:hyperlink>
      <w:r>
        <w:t>, f. 4.</w:t>
      </w:r>
    </w:p>
    <w:p w:rsidR="002C5A78" w:rsidRDefault="002C5A78" w:rsidP="002C5A78">
      <w:pPr>
        <w:pStyle w:val="SangriaFrancesaArticulo"/>
      </w:pPr>
      <w:r w:rsidRPr="002C5A78">
        <w:rPr>
          <w:rStyle w:val="TextoNormalNegritaCaracter"/>
        </w:rPr>
        <w:t>§ 69.</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r w:rsidRPr="002C5A78">
        <w:rPr>
          <w:rStyle w:val="TextoNormalNegritaCaracter"/>
        </w:rPr>
        <w:t>§ 71.</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r w:rsidRPr="002C5A78">
        <w:rPr>
          <w:rStyle w:val="TextoNormalNegritaCaracter"/>
        </w:rPr>
        <w:t>§ 74.</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febrero de 1997 (De Haes y Gijsels c. Bélgica)</w:t>
      </w:r>
    </w:p>
    <w:p w:rsidR="002C5A78" w:rsidRDefault="002C5A78" w:rsidP="002C5A78">
      <w:pPr>
        <w:pStyle w:val="SangriaFrancesaArticulo"/>
      </w:pPr>
      <w:r w:rsidRPr="002C5A78">
        <w:rPr>
          <w:rStyle w:val="TextoNormalNegritaCaracter"/>
        </w:rPr>
        <w:t>§ 37.</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junio de 1997 (Halford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26 de agosto de 1997 (De Haan c. Holanda)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29 de agosto de 1997 (Worm c. Austria)</w:t>
      </w:r>
    </w:p>
    <w:p w:rsidR="002C5A78" w:rsidRDefault="002C5A78" w:rsidP="002C5A78">
      <w:pPr>
        <w:pStyle w:val="SangriaFrancesaArticulo"/>
      </w:pPr>
      <w:r w:rsidRPr="002C5A78">
        <w:rPr>
          <w:rStyle w:val="TextoNormalNegritaCaracter"/>
        </w:rPr>
        <w:t>§ 50.</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r w:rsidRPr="002C5A78">
        <w:rPr>
          <w:rStyle w:val="TextoNormalNegritaCaracter"/>
        </w:rPr>
        <w:t>§ 54.</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marzo de 1998 (Kopp c. Suiza)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mayo de 1998 (Gautrin y otros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9; </w:t>
      </w:r>
      <w:hyperlink w:anchor="SENTENCIA_2021_106" w:history="1">
        <w:r w:rsidRPr="002C5A78">
          <w:rPr>
            <w:rStyle w:val="TextoNormalCaracter"/>
          </w:rPr>
          <w:t>106/2021</w:t>
        </w:r>
      </w:hyperlink>
      <w:r>
        <w:t xml:space="preserve">, f. 9; </w:t>
      </w:r>
      <w:hyperlink w:anchor="SENTENCIA_2021_121" w:history="1">
        <w:r w:rsidRPr="002C5A78">
          <w:rPr>
            <w:rStyle w:val="TextoNormalCaracter"/>
          </w:rPr>
          <w:t>121/2021</w:t>
        </w:r>
      </w:hyperlink>
      <w:r>
        <w:t>, f. 10.</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mayo de 1998 (Partido Socialista y otros c. Turquía)</w:t>
      </w:r>
    </w:p>
    <w:p w:rsidR="002C5A78" w:rsidRDefault="002C5A78" w:rsidP="002C5A78">
      <w:pPr>
        <w:pStyle w:val="SangriaFrancesaArticulo"/>
      </w:pPr>
      <w:r w:rsidRPr="002C5A78">
        <w:rPr>
          <w:rStyle w:val="TextoNormalNegritaCaracter"/>
        </w:rPr>
        <w:t>§ 46.</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30 de julio de 1998 (Valenzuela Contreras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28 de octubre de 1998 (Castillo Algar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ff. 5, 9; </w:t>
      </w:r>
      <w:hyperlink w:anchor="SENTENCIA_2021_106" w:history="1">
        <w:r w:rsidRPr="002C5A78">
          <w:rPr>
            <w:rStyle w:val="TextoNormalCaracter"/>
          </w:rPr>
          <w:t>106/2021</w:t>
        </w:r>
      </w:hyperlink>
      <w:r>
        <w:t xml:space="preserve">, ff. 5, 9; </w:t>
      </w:r>
      <w:hyperlink w:anchor="SENTENCIA_2021_121" w:history="1">
        <w:r w:rsidRPr="002C5A78">
          <w:rPr>
            <w:rStyle w:val="TextoNormalCaracter"/>
          </w:rPr>
          <w:t>121/2021</w:t>
        </w:r>
      </w:hyperlink>
      <w:r>
        <w:t xml:space="preserve">, ff. 6, 10;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45.</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mayo de 1999 (Bladet Tromsø y Stensaas c. Noruega)</w:t>
      </w:r>
    </w:p>
    <w:p w:rsidR="002C5A78" w:rsidRDefault="002C5A78" w:rsidP="002C5A78">
      <w:pPr>
        <w:pStyle w:val="SangriaFrancesaArticulo"/>
      </w:pPr>
      <w:r w:rsidRPr="002C5A78">
        <w:rPr>
          <w:rStyle w:val="TextoNormalNegritaCaracter"/>
        </w:rPr>
        <w:t>§ 64.</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julio de 1999 (Ceylan c. Turquía)</w:t>
      </w:r>
    </w:p>
    <w:p w:rsidR="002C5A78" w:rsidRDefault="002C5A78" w:rsidP="002C5A78">
      <w:pPr>
        <w:pStyle w:val="SangriaFrancesaArticulo"/>
      </w:pPr>
      <w:r w:rsidRPr="002C5A78">
        <w:rPr>
          <w:rStyle w:val="TextoNormalNegritaCaracter"/>
        </w:rPr>
        <w:t>§ 34.</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septiembre de 1999 (Buscemi c. Italia)</w:t>
      </w:r>
    </w:p>
    <w:p w:rsidR="002C5A78" w:rsidRDefault="002C5A78" w:rsidP="002C5A78">
      <w:pPr>
        <w:pStyle w:val="SangriaFrancesaArticulo"/>
      </w:pPr>
      <w:r w:rsidRPr="002C5A78">
        <w:rPr>
          <w:rStyle w:val="TextoNormalNegritaCaracter"/>
        </w:rPr>
        <w:t>§ 68.</w:t>
      </w:r>
      <w:r w:rsidRPr="002C5A78">
        <w:rPr>
          <w:rStyle w:val="TextoNormalCaracter"/>
        </w:rPr>
        <w:t>-</w:t>
      </w:r>
      <w:r>
        <w:t xml:space="preserve"> Sentencia </w:t>
      </w:r>
      <w:hyperlink w:anchor="SENTENCIA_2021_122" w:history="1">
        <w:r w:rsidRPr="002C5A78">
          <w:rPr>
            <w:rStyle w:val="TextoNormalCaracter"/>
          </w:rPr>
          <w:t>122/2021</w:t>
        </w:r>
      </w:hyperlink>
      <w:r>
        <w:t>, f. 8.</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noviembre de 1999 (Nilsen y Johnsen c. Noruega)</w:t>
      </w:r>
    </w:p>
    <w:p w:rsidR="002C5A78" w:rsidRDefault="002C5A78" w:rsidP="002C5A78">
      <w:pPr>
        <w:pStyle w:val="SangriaFrancesaArticulo"/>
      </w:pPr>
      <w:r w:rsidRPr="002C5A78">
        <w:rPr>
          <w:rStyle w:val="TextoNormalNegritaCaracter"/>
        </w:rPr>
        <w:t>§ 53.</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f. 7,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diciembre de 1999 [Freedom and Democracy Party (OZDEP) c. Turquía]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diciembre de 1999 [Partido de la Libertad y de la Democracia (ÓZDEP) c. Turquía]</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29 de febrero de 2000 (Fuentes Bobo c. España)</w:t>
      </w:r>
    </w:p>
    <w:p w:rsidR="002C5A78" w:rsidRDefault="002C5A78" w:rsidP="002C5A78">
      <w:pPr>
        <w:pStyle w:val="SangriaFrancesaArticulo"/>
      </w:pPr>
      <w:r w:rsidRPr="002C5A78">
        <w:rPr>
          <w:rStyle w:val="TextoNormalNegritaCaracter"/>
        </w:rPr>
        <w:t>§ 43.</w:t>
      </w:r>
      <w:r w:rsidRPr="002C5A78">
        <w:rPr>
          <w:rStyle w:val="TextoNormalCaracter"/>
        </w:rPr>
        <w:t>-</w:t>
      </w:r>
      <w:r>
        <w:t xml:space="preserve"> Sentencia </w:t>
      </w:r>
      <w:hyperlink w:anchor="SENTENCIA_2021_93" w:history="1">
        <w:r w:rsidRPr="002C5A78">
          <w:rPr>
            <w:rStyle w:val="TextoNormalCaracter"/>
          </w:rPr>
          <w:t>93/2021</w:t>
        </w:r>
      </w:hyperlink>
      <w:r>
        <w:t>, f. 4.</w:t>
      </w:r>
    </w:p>
    <w:p w:rsidR="002C5A78" w:rsidRDefault="002C5A78" w:rsidP="002C5A78">
      <w:pPr>
        <w:pStyle w:val="SangriaFrancesaArticulo"/>
      </w:pPr>
      <w:r w:rsidRPr="002C5A78">
        <w:rPr>
          <w:rStyle w:val="TextoNormalNegritaCaracter"/>
        </w:rPr>
        <w:t>§ 49.</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f. 7, VP III.</w:t>
      </w:r>
    </w:p>
    <w:p w:rsidR="002C5A78" w:rsidRDefault="002C5A78" w:rsidP="002C5A78">
      <w:pPr>
        <w:pStyle w:val="SangriaFrancesaArticulo"/>
      </w:pPr>
      <w:r w:rsidRPr="002C5A78">
        <w:rPr>
          <w:rStyle w:val="TextoNormalNegritaCaracter"/>
        </w:rPr>
        <w:t>§ 50.</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f. 7,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mayo de 2000 (Khan c. Reino Unido)</w:t>
      </w:r>
    </w:p>
    <w:p w:rsidR="002C5A78" w:rsidRDefault="002C5A78" w:rsidP="002C5A78">
      <w:pPr>
        <w:pStyle w:val="SangriaFrancesaArticulo"/>
      </w:pPr>
      <w:r w:rsidRPr="002C5A78">
        <w:rPr>
          <w:rStyle w:val="TextoNormalNegritaCaracter"/>
        </w:rPr>
        <w:t>§ 25.</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junio de 2000 (Coëme y otros c. Bélgica)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4" w:history="1">
        <w:r w:rsidRPr="002C5A78">
          <w:rPr>
            <w:rStyle w:val="TextoNormalCaracter"/>
          </w:rPr>
          <w:t>34/2021</w:t>
        </w:r>
      </w:hyperlink>
      <w:r>
        <w:t xml:space="preserve">, ff. 3, 5;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rsidRPr="002C5A78">
        <w:rPr>
          <w:rStyle w:val="TextoNormalNegritaCaracter"/>
        </w:rPr>
        <w:t>§ 98.</w:t>
      </w:r>
      <w:r w:rsidRPr="002C5A78">
        <w:rPr>
          <w:rStyle w:val="TextoNormalCaracter"/>
        </w:rPr>
        <w:t>-</w:t>
      </w:r>
      <w:r>
        <w:t xml:space="preserve"> Sentencias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27 de junio de 2000 (Constantinescu c. Rumania)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2" w:history="1">
        <w:r w:rsidRPr="002C5A78">
          <w:rPr>
            <w:rStyle w:val="TextoNormalCaracter"/>
          </w:rPr>
          <w:t>22/2021</w:t>
        </w:r>
      </w:hyperlink>
      <w:r>
        <w:t>, f. 2.</w:t>
      </w:r>
    </w:p>
    <w:p w:rsidR="002C5A78" w:rsidRDefault="002C5A78" w:rsidP="002C5A78">
      <w:pPr>
        <w:pStyle w:val="SangriaFrancesaArticulo"/>
      </w:pPr>
      <w:r w:rsidRPr="002C5A78">
        <w:rPr>
          <w:rStyle w:val="TextoNormalNegritaCaracter"/>
        </w:rPr>
        <w:t>§ 53.</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19 de septiembre de 2000 (I.J.L. y otros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1" w:history="1">
        <w:r w:rsidRPr="002C5A78">
          <w:rPr>
            <w:rStyle w:val="TextoNormalCaracter"/>
          </w:rPr>
          <w:t>21/2021</w:t>
        </w:r>
      </w:hyperlink>
      <w:r>
        <w:t>, f. 4.</w:t>
      </w:r>
    </w:p>
    <w:p w:rsidR="002C5A78" w:rsidRDefault="002C5A78" w:rsidP="002C5A78">
      <w:pPr>
        <w:pStyle w:val="SangriaFrancesaArticulo"/>
      </w:pPr>
      <w:r w:rsidRPr="002C5A78">
        <w:rPr>
          <w:rStyle w:val="TextoNormalNegritaCaracter"/>
        </w:rPr>
        <w:t>§ 82 y 83.</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noviembre de 2000 (ex Rey de Grecia y otros c. Grecia)</w:t>
      </w:r>
    </w:p>
    <w:p w:rsidR="002C5A78" w:rsidRDefault="002C5A78" w:rsidP="002C5A78">
      <w:pPr>
        <w:pStyle w:val="SangriaFrancesaArticulo"/>
      </w:pPr>
      <w:r w:rsidRPr="002C5A78">
        <w:rPr>
          <w:rStyle w:val="TextoNormalNegritaCaracter"/>
        </w:rPr>
        <w:t>§ 87.</w:t>
      </w:r>
      <w:r w:rsidRPr="002C5A78">
        <w:rPr>
          <w:rStyle w:val="TextoNormalCaracter"/>
        </w:rPr>
        <w:t>-</w:t>
      </w:r>
      <w:r>
        <w:t xml:space="preserve"> Sentencia </w:t>
      </w:r>
      <w:hyperlink w:anchor="SENTENCIA_2021_112" w:history="1">
        <w:r w:rsidRPr="002C5A78">
          <w:rPr>
            <w:rStyle w:val="TextoNormalCaracter"/>
          </w:rPr>
          <w:t>112/2021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21 de diciembre de 2000 (Heaney y McGuinness c. Irlanda)</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 </w:t>
      </w:r>
      <w:hyperlink w:anchor="SENTENCIA_2021_21" w:history="1">
        <w:r w:rsidRPr="002C5A78">
          <w:rPr>
            <w:rStyle w:val="TextoNormalCaracter"/>
          </w:rPr>
          <w:t>21/2021</w:t>
        </w:r>
      </w:hyperlink>
      <w:r>
        <w:t>, f. 4.</w:t>
      </w:r>
    </w:p>
    <w:p w:rsidR="002C5A78" w:rsidRDefault="002C5A78" w:rsidP="002C5A78">
      <w:pPr>
        <w:pStyle w:val="SangriaFrancesaArticulo"/>
      </w:pPr>
      <w:r w:rsidRPr="002C5A78">
        <w:rPr>
          <w:rStyle w:val="TextoNormalNegritaCaracter"/>
        </w:rPr>
        <w:t>§ 54 y 55.</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27 de febrero de 2001 (Lucà c. Italia)</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 de mayo de 2001 (J.B. c. Suiza)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1" w:history="1">
        <w:r w:rsidRPr="002C5A78">
          <w:rPr>
            <w:rStyle w:val="TextoNormalCaracter"/>
          </w:rPr>
          <w:t>21/2021</w:t>
        </w:r>
      </w:hyperlink>
      <w:r>
        <w:t>, ff. 4, 5.</w:t>
      </w:r>
    </w:p>
    <w:p w:rsidR="002C5A78" w:rsidRDefault="002C5A78" w:rsidP="002C5A78">
      <w:pPr>
        <w:pStyle w:val="SangriaFrancesaArticulo"/>
      </w:pPr>
      <w:r w:rsidRPr="002C5A78">
        <w:rPr>
          <w:rStyle w:val="TextoNormalNegritaCaracter"/>
        </w:rPr>
        <w:t>§ 64.</w:t>
      </w:r>
      <w:r w:rsidRPr="002C5A78">
        <w:rPr>
          <w:rStyle w:val="TextoNormalCaracter"/>
        </w:rPr>
        <w:t>-</w:t>
      </w:r>
      <w:r>
        <w:t xml:space="preserve"> 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septiembre de 2001 (P.G. y J.H.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 de octubre de 2001 (Stankov y la United Macedonian Organisation Ilinden c. Bulgaria)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9.</w:t>
      </w:r>
    </w:p>
    <w:p w:rsidR="002C5A78" w:rsidRDefault="002C5A78" w:rsidP="002C5A78">
      <w:pPr>
        <w:pStyle w:val="SangriaFrancesaArticulo"/>
      </w:pPr>
      <w:r w:rsidRPr="002C5A78">
        <w:rPr>
          <w:rStyle w:val="TextoNormalNegritaCaracter"/>
        </w:rPr>
        <w:t>§ 97.</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21 de marzo de 2002 (Nikula c. Finlandia)</w:t>
      </w:r>
    </w:p>
    <w:p w:rsidR="002C5A78" w:rsidRDefault="002C5A78" w:rsidP="002C5A78">
      <w:pPr>
        <w:pStyle w:val="SangriaFrancesaArticulo"/>
      </w:pPr>
      <w:r w:rsidRPr="002C5A78">
        <w:rPr>
          <w:rStyle w:val="TextoNormalNegritaCaracter"/>
        </w:rPr>
        <w:t>§ 54.</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26 de marzo de 2002 (Butkevicius c. Lituania)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8; </w:t>
      </w:r>
      <w:hyperlink w:anchor="SENTENCIA_2021_106" w:history="1">
        <w:r w:rsidRPr="002C5A78">
          <w:rPr>
            <w:rStyle w:val="TextoNormalCaracter"/>
          </w:rPr>
          <w:t>106/2021</w:t>
        </w:r>
      </w:hyperlink>
      <w:r>
        <w:t xml:space="preserve">, f. 8; </w:t>
      </w:r>
      <w:hyperlink w:anchor="SENTENCIA_2021_121" w:history="1">
        <w:r w:rsidRPr="002C5A78">
          <w:rPr>
            <w:rStyle w:val="TextoNormalCaracter"/>
          </w:rPr>
          <w:t>121/2021</w:t>
        </w:r>
      </w:hyperlink>
      <w:r>
        <w:t>, f. 9.</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9 de abril de 2002 (Cisse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junio de 2002 (Colombani y otros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julio de 2002 (Perote Pellón c. España)</w:t>
      </w:r>
    </w:p>
    <w:p w:rsidR="002C5A78" w:rsidRDefault="002C5A78" w:rsidP="002C5A78">
      <w:pPr>
        <w:pStyle w:val="SangriaFrancesaArticulo"/>
      </w:pPr>
      <w:r w:rsidRPr="002C5A78">
        <w:rPr>
          <w:rStyle w:val="TextoNormalNegritaCaracter"/>
        </w:rPr>
        <w:t>§ 43.</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junio de 2002 (Migon c. Polonia)</w:t>
      </w:r>
    </w:p>
    <w:p w:rsidR="002C5A78" w:rsidRDefault="002C5A78" w:rsidP="002C5A78">
      <w:pPr>
        <w:pStyle w:val="SangriaFrancesaArticulo"/>
      </w:pPr>
      <w:r w:rsidRPr="002C5A78">
        <w:rPr>
          <w:rStyle w:val="TextoNormalNegritaCaracter"/>
        </w:rPr>
        <w:t>§ 81.</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5 de noviembre de 2002 (Allan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28 de noviembre de 2002 (Lavents c. Letonia)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17 de diciembre de 2002 (A. c. Reino Unido)</w:t>
      </w:r>
    </w:p>
    <w:p w:rsidR="002C5A78" w:rsidRDefault="002C5A78" w:rsidP="002C5A78">
      <w:pPr>
        <w:pStyle w:val="SangriaFrancesaArticulo"/>
      </w:pPr>
      <w:r w:rsidRPr="002C5A78">
        <w:rPr>
          <w:rStyle w:val="TextoNormalNegritaCaracter"/>
        </w:rPr>
        <w:t>§ 85.</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17 de junio de 2003 (Pescador Valero c. España)</w:t>
      </w:r>
    </w:p>
    <w:p w:rsidR="002C5A78" w:rsidRDefault="002C5A78" w:rsidP="002C5A78">
      <w:pPr>
        <w:pStyle w:val="SangriaFrancesaArticulo"/>
      </w:pPr>
      <w:r w:rsidRPr="002C5A78">
        <w:rPr>
          <w:rStyle w:val="TextoNormalNegritaCaracter"/>
        </w:rPr>
        <w:t>§ 21.</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r w:rsidRPr="002C5A78">
        <w:rPr>
          <w:rStyle w:val="TextoNormalNegritaCaracter"/>
        </w:rPr>
        <w:t>§ 24 a 29.</w:t>
      </w:r>
      <w:r w:rsidRPr="002C5A78">
        <w:rPr>
          <w:rStyle w:val="TextoNormalCaracter"/>
        </w:rPr>
        <w:t>-</w:t>
      </w:r>
      <w:r>
        <w:t xml:space="preserve"> Sentencia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julio de 2003 (Murphy c. Irlanda)</w:t>
      </w:r>
    </w:p>
    <w:p w:rsidR="002C5A78" w:rsidRDefault="002C5A78" w:rsidP="002C5A78">
      <w:pPr>
        <w:pStyle w:val="SangriaFrancesaArticulo"/>
      </w:pPr>
      <w:r w:rsidRPr="002C5A78">
        <w:rPr>
          <w:rStyle w:val="TextoNormalNegritaCaracter"/>
        </w:rPr>
        <w:t>§ 67.</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abril de 2004 (Weh c. Austria)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r w:rsidRPr="002C5A78">
        <w:rPr>
          <w:rStyle w:val="TextoNormalNegritaCaracter"/>
        </w:rPr>
        <w:t>§ 39.</w:t>
      </w:r>
      <w:r w:rsidRPr="002C5A78">
        <w:rPr>
          <w:rStyle w:val="TextoNormalCaracter"/>
        </w:rPr>
        <w:t>-</w:t>
      </w:r>
      <w:r>
        <w:t xml:space="preserve"> 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27 de abril de 2004 (Doerga c. Holanda)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19 de mayo de 2004 (Gusinskiy c. Rusia)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76.</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 de junio de 2004 (Van der Graaf c. Paises Bajos)</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junio de 2004 (Broniowski c. Polonia)</w:t>
      </w:r>
    </w:p>
    <w:p w:rsidR="002C5A78" w:rsidRDefault="002C5A78" w:rsidP="002C5A78">
      <w:pPr>
        <w:pStyle w:val="SangriaFrancesaArticulo"/>
      </w:pPr>
      <w:r w:rsidRPr="002C5A78">
        <w:rPr>
          <w:rStyle w:val="TextoNormalNegritaCaracter"/>
        </w:rPr>
        <w:t>§ 149.</w:t>
      </w:r>
      <w:r w:rsidRPr="002C5A78">
        <w:rPr>
          <w:rStyle w:val="TextoNormalCaracter"/>
        </w:rPr>
        <w:t>-</w:t>
      </w:r>
      <w:r>
        <w:t xml:space="preserve"> Sentencia </w:t>
      </w:r>
      <w:hyperlink w:anchor="SENTENCIA_2021_112" w:history="1">
        <w:r w:rsidRPr="002C5A78">
          <w:rPr>
            <w:rStyle w:val="TextoNormalCaracter"/>
          </w:rPr>
          <w:t>112/2021</w:t>
        </w:r>
      </w:hyperlink>
      <w:r>
        <w:t>, f. 6.</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 de febrero de 2005 [Partidul Comunistilor (Nepeceristi) y Ungureanu c. Rumanía]</w:t>
      </w:r>
    </w:p>
    <w:p w:rsidR="002C5A78" w:rsidRDefault="002C5A78" w:rsidP="002C5A78">
      <w:pPr>
        <w:pStyle w:val="SangriaFrancesaArticulo"/>
      </w:pPr>
      <w:r w:rsidRPr="002C5A78">
        <w:rPr>
          <w:rStyle w:val="TextoNormalNegritaCaracter"/>
        </w:rPr>
        <w:t>§ 54.</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31 de mayo de 2005 (Vetter c. Francia)</w:t>
      </w:r>
    </w:p>
    <w:p w:rsidR="002C5A78" w:rsidRDefault="002C5A78" w:rsidP="002C5A78">
      <w:pPr>
        <w:pStyle w:val="SangriaFrancesaArticulo"/>
      </w:pPr>
      <w:r w:rsidRPr="002C5A78">
        <w:rPr>
          <w:rStyle w:val="TextoNormalNegritaCaracter"/>
        </w:rPr>
        <w:t>§ 26.</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julio de 2005 (Mežnaric c. Croacia)</w:t>
      </w:r>
    </w:p>
    <w:p w:rsidR="002C5A78" w:rsidRDefault="002C5A78" w:rsidP="002C5A78">
      <w:pPr>
        <w:pStyle w:val="SangriaFrancesaArticulo"/>
      </w:pPr>
      <w:r w:rsidRPr="002C5A78">
        <w:rPr>
          <w:rStyle w:val="TextoNormalNegritaCaracter"/>
        </w:rPr>
        <w:t>§ 27.</w:t>
      </w:r>
      <w:r w:rsidRPr="002C5A78">
        <w:rPr>
          <w:rStyle w:val="TextoNormalCaracter"/>
        </w:rPr>
        <w:t>-</w:t>
      </w:r>
      <w:r>
        <w:t xml:space="preserve"> Sentencia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4 de octubre de 2005 (Shannon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r w:rsidRPr="002C5A78">
        <w:rPr>
          <w:rStyle w:val="TextoNormalNegritaCaracter"/>
        </w:rPr>
        <w:t>§ 32.</w:t>
      </w:r>
      <w:r w:rsidRPr="002C5A78">
        <w:rPr>
          <w:rStyle w:val="TextoNormalCaracter"/>
        </w:rPr>
        <w:t>-</w:t>
      </w:r>
      <w:r>
        <w:t xml:space="preserve"> 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octubre de 2005 (United Macedonian Organisation Ilinden e Ivanov c. Bulgaria)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 99.</w:t>
      </w:r>
      <w:r w:rsidRPr="002C5A78">
        <w:rPr>
          <w:rStyle w:val="TextoNormalCaracter"/>
        </w:rPr>
        <w:t>-</w:t>
      </w:r>
      <w:r>
        <w:t xml:space="preserve"> Sentencias </w:t>
      </w:r>
      <w:hyperlink w:anchor="SENTENCIA_2021_122" w:history="1">
        <w:r w:rsidRPr="002C5A78">
          <w:rPr>
            <w:rStyle w:val="TextoNormalCaracter"/>
          </w:rPr>
          <w:t>122/2021</w:t>
        </w:r>
      </w:hyperlink>
      <w:r>
        <w:t xml:space="preserve">, f. 9;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diciembre de 2005 (Kyprianou c. Chipre)</w:t>
      </w:r>
    </w:p>
    <w:p w:rsidR="002C5A78" w:rsidRDefault="002C5A78" w:rsidP="002C5A78">
      <w:pPr>
        <w:pStyle w:val="SangriaFrancesaArticulo"/>
      </w:pPr>
      <w:r w:rsidRPr="002C5A78">
        <w:rPr>
          <w:rStyle w:val="TextoNormalNegritaCaracter"/>
        </w:rPr>
        <w:t>§ 118.</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119.</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175.</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 181 a 183.</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diciembre de 2005 (Wisse c. Francia)</w:t>
      </w:r>
    </w:p>
    <w:p w:rsidR="002C5A78" w:rsidRDefault="002C5A78" w:rsidP="002C5A78">
      <w:pPr>
        <w:pStyle w:val="SangriaFrancesaArticulo"/>
      </w:pPr>
      <w:r w:rsidRPr="002C5A78">
        <w:rPr>
          <w:rStyle w:val="TextoNormalNegritaCaracter"/>
        </w:rPr>
        <w:t>§ 27.</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r w:rsidRPr="002C5A78">
        <w:rPr>
          <w:rStyle w:val="TextoNormalNegritaCaracter"/>
        </w:rPr>
        <w:t>§ 38.</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14 de febrero de 2006 (Christian Democratic People's Party c. Moldavia)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11 de abril de 2006 (Brasilier c. Francia)</w:t>
      </w:r>
    </w:p>
    <w:p w:rsidR="002C5A78" w:rsidRDefault="002C5A78" w:rsidP="002C5A78">
      <w:pPr>
        <w:pStyle w:val="SangriaFrancesaArticulo"/>
      </w:pPr>
      <w:r w:rsidRPr="002C5A78">
        <w:rPr>
          <w:rStyle w:val="TextoNormalNegritaCaracter"/>
        </w:rPr>
        <w:t>§ 43.</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abril de 2006 (Patrono, Cascini y Stefanelli c. Italia)</w:t>
      </w:r>
    </w:p>
    <w:p w:rsidR="002C5A78" w:rsidRDefault="002C5A78" w:rsidP="002C5A78">
      <w:pPr>
        <w:pStyle w:val="SangriaFrancesaArticulo"/>
      </w:pPr>
      <w:r w:rsidRPr="002C5A78">
        <w:rPr>
          <w:rStyle w:val="TextoNormalNegritaCaracter"/>
        </w:rPr>
        <w:t>§ 63.</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29 de junio de 2007 (O´Halloran y Francis c. Reino Unido)</w:t>
      </w:r>
    </w:p>
    <w:p w:rsidR="002C5A78" w:rsidRDefault="002C5A78" w:rsidP="002C5A78">
      <w:pPr>
        <w:pStyle w:val="SangriaFrancesaArticulo"/>
      </w:pPr>
      <w:r w:rsidRPr="002C5A78">
        <w:rPr>
          <w:rStyle w:val="TextoNormalNegritaCaracter"/>
        </w:rPr>
        <w:t>§ 47.</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r w:rsidRPr="002C5A78">
        <w:rPr>
          <w:rStyle w:val="TextoNormalNegritaCaracter"/>
        </w:rPr>
        <w:t>§ 55.</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julio de 2007 (Jorgic c. Alemania)</w:t>
      </w:r>
    </w:p>
    <w:p w:rsidR="002C5A78" w:rsidRDefault="002C5A78" w:rsidP="002C5A78">
      <w:pPr>
        <w:pStyle w:val="SangriaFrancesaArticulo"/>
      </w:pPr>
      <w:r w:rsidRPr="002C5A78">
        <w:rPr>
          <w:rStyle w:val="TextoNormalNegritaCaracter"/>
        </w:rPr>
        <w:t>§ 64 a 72.</w:t>
      </w:r>
      <w:r w:rsidRPr="002C5A78">
        <w:rPr>
          <w:rStyle w:val="TextoNormalCaracter"/>
        </w:rPr>
        <w:t>-</w:t>
      </w:r>
      <w:r>
        <w:t xml:space="preserve"> Sentencias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noviembre de 2007 (Cebotari c. Moldavia)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52.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53.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29 de noviembre de 2007 (Balçik y otros c. Turquía)</w:t>
      </w:r>
    </w:p>
    <w:p w:rsidR="002C5A78" w:rsidRDefault="002C5A78" w:rsidP="002C5A78">
      <w:pPr>
        <w:pStyle w:val="SangriaFrancesaArticulo"/>
      </w:pPr>
      <w:r w:rsidRPr="002C5A78">
        <w:rPr>
          <w:rStyle w:val="TextoNormalNegritaCaracter"/>
        </w:rPr>
        <w:t>§ 41.</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diciembre de 2007 (Stoll c. Suiza)</w:t>
      </w:r>
    </w:p>
    <w:p w:rsidR="002C5A78" w:rsidRDefault="002C5A78" w:rsidP="002C5A78">
      <w:pPr>
        <w:pStyle w:val="SangriaFrancesaArticulo"/>
      </w:pPr>
      <w:r w:rsidRPr="002C5A78">
        <w:rPr>
          <w:rStyle w:val="TextoNormalNegritaCaracter"/>
        </w:rPr>
        <w:t>§ 101.</w:t>
      </w:r>
      <w:r w:rsidRPr="002C5A78">
        <w:rPr>
          <w:rStyle w:val="TextoNormalCaracter"/>
        </w:rPr>
        <w:t>-</w:t>
      </w:r>
      <w:r>
        <w:t xml:space="preserve"> Sentencia </w:t>
      </w:r>
      <w:hyperlink w:anchor="SENTENCIA_2021_93" w:history="1">
        <w:r w:rsidRPr="002C5A78">
          <w:rPr>
            <w:rStyle w:val="TextoNormalCaracter"/>
          </w:rPr>
          <w:t>93/2021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18 de diciembre de 2007 (Nurettin Aldemir y otros c. Turquía)</w:t>
      </w:r>
    </w:p>
    <w:p w:rsidR="002C5A78" w:rsidRDefault="002C5A78" w:rsidP="002C5A78">
      <w:pPr>
        <w:pStyle w:val="SangriaFrancesaArticulo"/>
      </w:pPr>
      <w:r w:rsidRPr="002C5A78">
        <w:rPr>
          <w:rStyle w:val="TextoNormalNegritaCaracter"/>
        </w:rPr>
        <w:t>§ 34.</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35.</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febrero de 2008 (Kafkaris c. Chipre)</w:t>
      </w:r>
    </w:p>
    <w:p w:rsidR="002C5A78" w:rsidRDefault="002C5A78" w:rsidP="002C5A78">
      <w:pPr>
        <w:pStyle w:val="SangriaFrancesaArticulo"/>
      </w:pPr>
      <w:r w:rsidRPr="002C5A78">
        <w:rPr>
          <w:rStyle w:val="TextoNormalNegritaCaracter"/>
        </w:rPr>
        <w:t>§ 141.</w:t>
      </w:r>
      <w:r w:rsidRPr="002C5A78">
        <w:rPr>
          <w:rStyle w:val="TextoNormalCaracter"/>
        </w:rPr>
        <w:t>-</w:t>
      </w:r>
      <w:r>
        <w:t xml:space="preserve"> Sentencias </w:t>
      </w:r>
      <w:hyperlink w:anchor="SENTENCIA_2021_14" w:history="1">
        <w:r w:rsidRPr="002C5A78">
          <w:rPr>
            <w:rStyle w:val="TextoNormalCaracter"/>
          </w:rPr>
          <w:t>14/2021</w:t>
        </w:r>
      </w:hyperlink>
      <w:r>
        <w:t xml:space="preserve">, f. 3;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octubre de 2008 (Serguei Kouznetsov c. Rusia)</w:t>
      </w:r>
    </w:p>
    <w:p w:rsidR="002C5A78" w:rsidRDefault="002C5A78" w:rsidP="002C5A78">
      <w:pPr>
        <w:pStyle w:val="SangriaFrancesaArticulo"/>
      </w:pPr>
      <w:r w:rsidRPr="002C5A78">
        <w:rPr>
          <w:rStyle w:val="TextoNormalNegritaCaracter"/>
        </w:rPr>
        <w:t>§ 45.</w:t>
      </w:r>
      <w:r w:rsidRPr="002C5A78">
        <w:rPr>
          <w:rStyle w:val="TextoNormalCaracter"/>
        </w:rPr>
        <w:t>-</w:t>
      </w:r>
      <w:r>
        <w:t xml:space="preserve"> Sentencias </w:t>
      </w:r>
      <w:hyperlink w:anchor="SENTENCIA_2021_122" w:history="1">
        <w:r w:rsidRPr="002C5A78">
          <w:rPr>
            <w:rStyle w:val="TextoNormalCaracter"/>
          </w:rPr>
          <w:t>122/2021</w:t>
        </w:r>
      </w:hyperlink>
      <w:r>
        <w:t xml:space="preserve">, f. 9;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diciembre de 2008 (Bazo González c. España)</w:t>
      </w:r>
    </w:p>
    <w:p w:rsidR="002C5A78" w:rsidRDefault="002C5A78" w:rsidP="002C5A78">
      <w:pPr>
        <w:pStyle w:val="SangriaFrancesaArticulo"/>
      </w:pPr>
      <w:r w:rsidRPr="002C5A78">
        <w:rPr>
          <w:rStyle w:val="TextoNormalNegritaCaracter"/>
        </w:rPr>
        <w:t>§ 36.</w:t>
      </w:r>
      <w:r w:rsidRPr="002C5A78">
        <w:rPr>
          <w:rStyle w:val="TextoNormalCaracter"/>
        </w:rPr>
        <w:t>-</w:t>
      </w:r>
      <w:r>
        <w:t xml:space="preserve"> Sentencia </w:t>
      </w:r>
      <w:hyperlink w:anchor="SENTENCIA_2021_18" w:history="1">
        <w:r w:rsidRPr="002C5A78">
          <w:rPr>
            <w:rStyle w:val="TextoNormalCaracter"/>
          </w:rPr>
          <w:t>18/2021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27 de enero de 2009 (Samüt Karabulut c. Turquía)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5 de febrero de 2009 (Olujic c. Croacia)</w:t>
      </w:r>
    </w:p>
    <w:p w:rsidR="002C5A78" w:rsidRDefault="002C5A78" w:rsidP="002C5A78">
      <w:pPr>
        <w:pStyle w:val="SangriaFrancesaArticulo"/>
      </w:pPr>
      <w:r w:rsidRPr="002C5A78">
        <w:rPr>
          <w:rStyle w:val="TextoNormalNegritaCaracter"/>
        </w:rPr>
        <w:t>§ 59.</w:t>
      </w:r>
      <w:r w:rsidRPr="002C5A78">
        <w:rPr>
          <w:rStyle w:val="TextoNormalCaracter"/>
        </w:rPr>
        <w:t>-</w:t>
      </w:r>
      <w:r>
        <w:t xml:space="preserve"> Sentencia </w:t>
      </w:r>
      <w:hyperlink w:anchor="SENTENCIA_2021_122" w:history="1">
        <w:r w:rsidRPr="002C5A78">
          <w:rPr>
            <w:rStyle w:val="TextoNormalCaracter"/>
          </w:rPr>
          <w:t>122/2021</w:t>
        </w:r>
      </w:hyperlink>
      <w:r>
        <w:t>, f. 8.</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5 de marzo de 2009 (Barraco c. Francia)</w:t>
      </w:r>
    </w:p>
    <w:p w:rsidR="002C5A78" w:rsidRDefault="002C5A78" w:rsidP="002C5A78">
      <w:pPr>
        <w:pStyle w:val="SangriaFrancesaArticulo"/>
      </w:pPr>
      <w:r w:rsidRPr="002C5A78">
        <w:rPr>
          <w:rStyle w:val="TextoNormalNegritaCaracter"/>
        </w:rPr>
        <w:t>§ 26.</w:t>
      </w:r>
      <w:r w:rsidRPr="002C5A78">
        <w:rPr>
          <w:rStyle w:val="TextoNormalCaracter"/>
        </w:rPr>
        <w:t>-</w:t>
      </w:r>
      <w:r>
        <w:t xml:space="preserve"> Sentencia </w:t>
      </w:r>
      <w:hyperlink w:anchor="SENTENCIA_2021_122" w:history="1">
        <w:r w:rsidRPr="002C5A78">
          <w:rPr>
            <w:rStyle w:val="TextoNormalCaracter"/>
          </w:rPr>
          <w:t>122/2021</w:t>
        </w:r>
      </w:hyperlink>
      <w:r>
        <w:t>, f. 9.</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marzo de 2009 (Bykov c. Rusia)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r w:rsidRPr="002C5A78">
        <w:rPr>
          <w:rStyle w:val="TextoNormalNegritaCaracter"/>
        </w:rPr>
        <w:t>§ 78.</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r w:rsidRPr="002C5A78">
        <w:rPr>
          <w:rStyle w:val="TextoNormalNegritaCaracter"/>
        </w:rPr>
        <w:t>§ 92.</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r w:rsidRPr="002C5A78">
        <w:rPr>
          <w:rStyle w:val="TextoNormalNegritaCaracter"/>
        </w:rPr>
        <w:t>§ 104.</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marzo de 2009 (Igual Coll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 35.</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marzo de 2009 (Times Newspapers Ltd. c. Reino Unido -núms. 1 y 2-)</w:t>
      </w:r>
    </w:p>
    <w:p w:rsidR="002C5A78" w:rsidRDefault="002C5A78" w:rsidP="002C5A78">
      <w:pPr>
        <w:pStyle w:val="SangriaFrancesaArticulo"/>
      </w:pPr>
      <w:r w:rsidRPr="002C5A78">
        <w:rPr>
          <w:rStyle w:val="TextoNormalNegritaCaracter"/>
        </w:rPr>
        <w:t>§ 27.</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28 de abril de 2009 (Savino y otros c. Italia)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30 de abril de 2009 (asunto Glor c. Suiza)</w:t>
      </w:r>
    </w:p>
    <w:p w:rsidR="002C5A78" w:rsidRDefault="002C5A78" w:rsidP="002C5A78">
      <w:pPr>
        <w:pStyle w:val="SangriaFrancesaArticulo"/>
      </w:pPr>
      <w:r w:rsidRPr="002C5A78">
        <w:rPr>
          <w:rStyle w:val="TextoNormalNegritaCaracter"/>
        </w:rPr>
        <w:t>§ 80.</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30 de junio de 2009 (Herri Batasuna y Batasuna c. España)</w:t>
      </w:r>
    </w:p>
    <w:p w:rsidR="002C5A78" w:rsidRDefault="002C5A78" w:rsidP="002C5A78">
      <w:pPr>
        <w:pStyle w:val="SangriaFrancesaArticulo"/>
      </w:pPr>
      <w:r w:rsidRPr="002C5A78">
        <w:rPr>
          <w:rStyle w:val="TextoNormalNegritaCaracter"/>
        </w:rPr>
        <w:t>§ 79.</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julio de 2009 (Willem c. Francia)</w:t>
      </w:r>
    </w:p>
    <w:p w:rsidR="002C5A78" w:rsidRDefault="002C5A78" w:rsidP="002C5A78">
      <w:pPr>
        <w:pStyle w:val="SangriaFrancesaArticulo"/>
      </w:pPr>
      <w:r w:rsidRPr="002C5A78">
        <w:rPr>
          <w:rStyle w:val="TextoNormalNegritaCaracter"/>
        </w:rPr>
        <w:t>§ 33.</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octubre de 2009 (Micallef c. Malta)</w:t>
      </w:r>
    </w:p>
    <w:p w:rsidR="002C5A78" w:rsidRDefault="002C5A78" w:rsidP="002C5A78">
      <w:pPr>
        <w:pStyle w:val="SangriaFrancesaArticulo"/>
      </w:pPr>
      <w:r w:rsidRPr="002C5A78">
        <w:rPr>
          <w:rStyle w:val="TextoNormalNegritaCaracter"/>
        </w:rPr>
        <w:t>§ 93.</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94.</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96.</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97.</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98.</w:t>
      </w:r>
      <w:r w:rsidRPr="002C5A78">
        <w:rPr>
          <w:rStyle w:val="TextoNormalCaracter"/>
        </w:rPr>
        <w:t>-</w:t>
      </w:r>
      <w:r>
        <w:t xml:space="preserve"> Sentencias </w:t>
      </w:r>
      <w:hyperlink w:anchor="SENTENCIA_2021_91" w:history="1">
        <w:r w:rsidRPr="002C5A78">
          <w:rPr>
            <w:rStyle w:val="TextoNormalCaracter"/>
          </w:rPr>
          <w:t>91/2021</w:t>
        </w:r>
      </w:hyperlink>
      <w:r>
        <w:t xml:space="preserve">, ff. 5, 6; </w:t>
      </w:r>
      <w:hyperlink w:anchor="SENTENCIA_2021_106" w:history="1">
        <w:r w:rsidRPr="002C5A78">
          <w:rPr>
            <w:rStyle w:val="TextoNormalCaracter"/>
          </w:rPr>
          <w:t>106/2021</w:t>
        </w:r>
      </w:hyperlink>
      <w:r>
        <w:t xml:space="preserve">, ff. 5, 6; </w:t>
      </w:r>
      <w:hyperlink w:anchor="SENTENCIA_2021_121" w:history="1">
        <w:r w:rsidRPr="002C5A78">
          <w:rPr>
            <w:rStyle w:val="TextoNormalCaracter"/>
          </w:rPr>
          <w:t>121/2021</w:t>
        </w:r>
      </w:hyperlink>
      <w:r>
        <w:t xml:space="preserve">, ff. 6, 7;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99.</w:t>
      </w:r>
      <w:r w:rsidRPr="002C5A78">
        <w:rPr>
          <w:rStyle w:val="TextoNormalCaracter"/>
        </w:rPr>
        <w:t>-</w:t>
      </w:r>
      <w:r>
        <w:t xml:space="preserve"> Sentencia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 de diciembre de 2009 (Kart c. Turquía)</w:t>
      </w:r>
    </w:p>
    <w:p w:rsidR="002C5A78" w:rsidRDefault="002C5A78" w:rsidP="002C5A78">
      <w:pPr>
        <w:pStyle w:val="SangriaFrancesaArticulo"/>
      </w:pPr>
      <w:r w:rsidRPr="002C5A78">
        <w:rPr>
          <w:rStyle w:val="TextoNormalNegritaCaracter"/>
        </w:rPr>
        <w:t>§ 81.</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r w:rsidRPr="002C5A78">
        <w:rPr>
          <w:rStyle w:val="TextoNormalNegritaCaracter"/>
        </w:rPr>
        <w:t>§ 82.</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r w:rsidRPr="002C5A78">
        <w:rPr>
          <w:rStyle w:val="TextoNormalNegritaCaracter"/>
        </w:rPr>
        <w:t>§ 83.</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diciembre de 2009 (Muñoz Díaz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 w:history="1">
        <w:r w:rsidRPr="002C5A78">
          <w:rPr>
            <w:rStyle w:val="TextoNormalCaracter"/>
          </w:rPr>
          <w:t>1/2021</w:t>
        </w:r>
      </w:hyperlink>
      <w:r>
        <w:t>, ff. 1, 2.</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6 de enero de 2010 (Vera Fernández-Huidobro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enero de 2010 (Gillan y Quinton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r w:rsidRPr="002C5A78">
        <w:rPr>
          <w:rStyle w:val="TextoNormalNegritaCaracter"/>
        </w:rPr>
        <w:t>§ 29.</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r w:rsidRPr="002C5A78">
        <w:rPr>
          <w:rStyle w:val="TextoNormalNegritaCaracter"/>
        </w:rPr>
        <w:t>§ 30.</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r w:rsidRPr="002C5A78">
        <w:rPr>
          <w:rStyle w:val="TextoNormalNegritaCaracter"/>
        </w:rPr>
        <w:t>§ 83.</w:t>
      </w:r>
      <w:r w:rsidRPr="002C5A78">
        <w:rPr>
          <w:rStyle w:val="TextoNormalCaracter"/>
        </w:rPr>
        <w:t>-</w:t>
      </w:r>
      <w:r>
        <w:t xml:space="preserve"> Sentencia </w:t>
      </w:r>
      <w:hyperlink w:anchor="SENTENCIA_2021_13" w:history="1">
        <w:r w:rsidRPr="002C5A78">
          <w:rPr>
            <w:rStyle w:val="TextoNormalCaracter"/>
          </w:rPr>
          <w:t>13/2021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11 de febrero de 2010 (Syngelidis c. Grecia)</w:t>
      </w:r>
    </w:p>
    <w:p w:rsidR="002C5A78" w:rsidRDefault="002C5A78" w:rsidP="002C5A78">
      <w:pPr>
        <w:pStyle w:val="SangriaFrancesaArticulo"/>
      </w:pPr>
      <w:r w:rsidRPr="002C5A78">
        <w:rPr>
          <w:rStyle w:val="TextoNormalNegritaCaracter"/>
        </w:rPr>
        <w:t>§ 42.</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febrero de 2010 (Renaud c. Francia)</w:t>
      </w:r>
    </w:p>
    <w:p w:rsidR="002C5A78" w:rsidRDefault="002C5A78" w:rsidP="002C5A78">
      <w:pPr>
        <w:pStyle w:val="SangriaFrancesaArticulo"/>
      </w:pPr>
      <w:r w:rsidRPr="002C5A78">
        <w:rPr>
          <w:rStyle w:val="TextoNormalNegritaCaracter"/>
        </w:rPr>
        <w:t>§ 38.</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marzo de 2010 (Cudak c. Lituania)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 de septiembre de 2010 (Uzun c. Alemania)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5 de octubre de 2010 (DMD Group A.S. c. Eslovaquia)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4" w:history="1">
        <w:r w:rsidRPr="002C5A78">
          <w:rPr>
            <w:rStyle w:val="TextoNormalCaracter"/>
          </w:rPr>
          <w:t>34/2021</w:t>
        </w:r>
      </w:hyperlink>
      <w:r>
        <w:t xml:space="preserve">, f. 3;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21 de octubre de 2010 (Alekseyev c. Rusia)</w:t>
      </w:r>
    </w:p>
    <w:p w:rsidR="002C5A78" w:rsidRDefault="002C5A78" w:rsidP="002C5A78">
      <w:pPr>
        <w:pStyle w:val="SangriaFrancesaArticulo"/>
      </w:pPr>
      <w:r w:rsidRPr="002C5A78">
        <w:rPr>
          <w:rStyle w:val="TextoNormalNegritaCaracter"/>
        </w:rPr>
        <w:t>§ 80.</w:t>
      </w:r>
      <w:r w:rsidRPr="002C5A78">
        <w:rPr>
          <w:rStyle w:val="TextoNormalCaracter"/>
        </w:rPr>
        <w:t>-</w:t>
      </w:r>
      <w:r>
        <w:t xml:space="preserve"> Sentencias </w:t>
      </w:r>
      <w:hyperlink w:anchor="SENTENCIA_2021_122" w:history="1">
        <w:r w:rsidRPr="002C5A78">
          <w:rPr>
            <w:rStyle w:val="TextoNormalCaracter"/>
          </w:rPr>
          <w:t>122/2021</w:t>
        </w:r>
      </w:hyperlink>
      <w:r>
        <w:t xml:space="preserve">, f. 9;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marzo de 2011 (Otegi Mondragón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31 de mayo de 2011 (Khodorkovskiy c. Rusia)</w:t>
      </w:r>
    </w:p>
    <w:p w:rsidR="002C5A78" w:rsidRDefault="002C5A78" w:rsidP="002C5A78">
      <w:pPr>
        <w:pStyle w:val="SangriaFrancesaArticulo"/>
      </w:pPr>
      <w:r w:rsidRPr="002C5A78">
        <w:rPr>
          <w:rStyle w:val="TextoNormalNegritaCaracter"/>
        </w:rPr>
        <w:t>§ 254.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255.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258.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28 de junio de 2011 (Lizaso Azconobieta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8; </w:t>
      </w:r>
      <w:hyperlink w:anchor="SENTENCIA_2021_106" w:history="1">
        <w:r w:rsidRPr="002C5A78">
          <w:rPr>
            <w:rStyle w:val="TextoNormalCaracter"/>
          </w:rPr>
          <w:t>106/2021</w:t>
        </w:r>
      </w:hyperlink>
      <w:r>
        <w:t xml:space="preserve">, f. 8; </w:t>
      </w:r>
      <w:hyperlink w:anchor="SENTENCIA_2021_121" w:history="1">
        <w:r w:rsidRPr="002C5A78">
          <w:rPr>
            <w:rStyle w:val="TextoNormalCaracter"/>
          </w:rPr>
          <w:t>121/2021</w:t>
        </w:r>
      </w:hyperlink>
      <w:r>
        <w:t>, f. 9.</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29 de junio de 2011 (Sabeh el Leil c. Francia)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21 de julio de 2011 (Heinisch c. Alemania)</w:t>
      </w:r>
    </w:p>
    <w:p w:rsidR="002C5A78" w:rsidRDefault="002C5A78" w:rsidP="002C5A78">
      <w:pPr>
        <w:pStyle w:val="SangriaFrancesaArticulo"/>
      </w:pPr>
      <w:r w:rsidRPr="002C5A78">
        <w:rPr>
          <w:rStyle w:val="TextoNormalNegritaCaracter"/>
        </w:rPr>
        <w:t>§ 91.</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 92.</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septiembre de 2011 (OAO Neftyanaya Kompaniya Yukos c. Rusia)</w:t>
      </w:r>
    </w:p>
    <w:p w:rsidR="002C5A78" w:rsidRDefault="002C5A78" w:rsidP="002C5A78">
      <w:pPr>
        <w:pStyle w:val="SangriaFrancesaArticulo"/>
      </w:pPr>
      <w:r w:rsidRPr="002C5A78">
        <w:rPr>
          <w:rStyle w:val="TextoNormalNegritaCaracter"/>
        </w:rPr>
        <w:t>§ 665.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noviembre de 2011 (Lacadena Calero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VP; </w:t>
      </w:r>
      <w:hyperlink w:anchor="SENTENCIA_2021_22" w:history="1">
        <w:r w:rsidRPr="002C5A78">
          <w:rPr>
            <w:rStyle w:val="TextoNormalCaracter"/>
          </w:rPr>
          <w:t>22/2021</w:t>
        </w:r>
      </w:hyperlink>
      <w:r>
        <w:t xml:space="preserve">, VP;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 38.</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 47.</w:t>
      </w:r>
      <w:r w:rsidRPr="002C5A78">
        <w:rPr>
          <w:rStyle w:val="TextoNormalCaracter"/>
        </w:rPr>
        <w:t>-</w:t>
      </w:r>
      <w:r>
        <w:t xml:space="preserve"> Sentencia </w:t>
      </w:r>
      <w:hyperlink w:anchor="SENTENCIA_2021_133" w:history="1">
        <w:r w:rsidRPr="002C5A78">
          <w:rPr>
            <w:rStyle w:val="TextoNormalCaracter"/>
          </w:rPr>
          <w:t>133/2021</w:t>
        </w:r>
      </w:hyperlink>
      <w:r>
        <w:t>, f. 8, VP I,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diciembre de 2011 (Valbuena Redondo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8" w:history="1">
        <w:r w:rsidRPr="002C5A78">
          <w:rPr>
            <w:rStyle w:val="TextoNormalCaracter"/>
          </w:rPr>
          <w:t>18/2021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6 de febrero de 2012 (Michaud c. Francia)</w:t>
      </w:r>
    </w:p>
    <w:p w:rsidR="002C5A78" w:rsidRDefault="002C5A78" w:rsidP="002C5A78">
      <w:pPr>
        <w:pStyle w:val="SangriaFrancesaArticulo"/>
      </w:pPr>
      <w:r w:rsidRPr="002C5A78">
        <w:rPr>
          <w:rStyle w:val="TextoNormalNegritaCaracter"/>
        </w:rPr>
        <w:t>en.</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7 de febrero de 2012 (Axel Springer AG c. Alemania)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marzo de 2012 (Serrano Contreras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 31.</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 38.</w:t>
      </w:r>
      <w:r w:rsidRPr="002C5A78">
        <w:rPr>
          <w:rStyle w:val="TextoNormalCaracter"/>
        </w:rPr>
        <w:t>-</w:t>
      </w:r>
      <w:r>
        <w:t xml:space="preserve"> Sentencia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 41.</w:t>
      </w:r>
      <w:r w:rsidRPr="002C5A78">
        <w:rPr>
          <w:rStyle w:val="TextoNormalCaracter"/>
        </w:rPr>
        <w:t>-</w:t>
      </w:r>
      <w:r>
        <w:t xml:space="preserve"> Sentencia </w:t>
      </w:r>
      <w:hyperlink w:anchor="SENTENCIA_2021_133" w:history="1">
        <w:r w:rsidRPr="002C5A78">
          <w:rPr>
            <w:rStyle w:val="TextoNormalCaracter"/>
          </w:rPr>
          <w:t>133/2021</w:t>
        </w:r>
      </w:hyperlink>
      <w:r>
        <w:t>, f. 8.</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abril de 2012 (Stübing c. Alemania)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Decisión del Tribunal Europeo de Derechos Humanos de 12 de junio de 2012 [Partido de la Liberación (Hizb ut-Tahrir) y otros c. Alemania]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 de julio de 2012 (Lutsenko c. Ucrania)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63 a 65.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67 a 72.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106.</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109.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julio de 2012 (Movimiento raeliano suizo c. Suiza)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r w:rsidRPr="002C5A78">
        <w:rPr>
          <w:rStyle w:val="TextoNormalNegritaCaracter"/>
        </w:rPr>
        <w:t>§ 48.</w:t>
      </w:r>
      <w:r w:rsidRPr="002C5A78">
        <w:rPr>
          <w:rStyle w:val="TextoNormalCaracter"/>
        </w:rPr>
        <w:t>-</w:t>
      </w:r>
      <w:r>
        <w:t xml:space="preserve"> Sentencia </w:t>
      </w:r>
      <w:hyperlink w:anchor="SENTENCIA_2021_93" w:history="1">
        <w:r w:rsidRPr="002C5A78">
          <w:rPr>
            <w:rStyle w:val="TextoNormalCaracter"/>
          </w:rPr>
          <w:t>93/2021</w:t>
        </w:r>
      </w:hyperlink>
      <w:r>
        <w:t>, f. 4.</w:t>
      </w:r>
    </w:p>
    <w:p w:rsidR="002C5A78" w:rsidRDefault="002C5A78" w:rsidP="002C5A78">
      <w:pPr>
        <w:pStyle w:val="SangriaFrancesaArticulo"/>
      </w:pPr>
      <w:r w:rsidRPr="002C5A78">
        <w:rPr>
          <w:rStyle w:val="TextoNormalNegritaCaracter"/>
        </w:rPr>
        <w:t>§ 75.</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julio de 2012 (Fáber c. Hungría)</w:t>
      </w:r>
    </w:p>
    <w:p w:rsidR="002C5A78" w:rsidRDefault="002C5A78" w:rsidP="002C5A78">
      <w:pPr>
        <w:pStyle w:val="SangriaFrancesaArticulo"/>
      </w:pPr>
      <w:r w:rsidRPr="002C5A78">
        <w:rPr>
          <w:rStyle w:val="TextoNormalNegritaCaracter"/>
        </w:rPr>
        <w:t>§ 37.</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18 de septiembre de 2012 (Dochnal c. Polonia)</w:t>
      </w:r>
    </w:p>
    <w:p w:rsidR="002C5A78" w:rsidRDefault="002C5A78" w:rsidP="002C5A78">
      <w:pPr>
        <w:pStyle w:val="SangriaFrancesaArticulo"/>
      </w:pPr>
      <w:r w:rsidRPr="002C5A78">
        <w:rPr>
          <w:rStyle w:val="TextoNormalNegritaCaracter"/>
        </w:rPr>
        <w:t>§§ 87, 88.</w:t>
      </w:r>
      <w:r w:rsidRPr="002C5A78">
        <w:rPr>
          <w:rStyle w:val="TextoNormalCaracter"/>
        </w:rPr>
        <w:t>-</w:t>
      </w:r>
      <w:r>
        <w:t xml:space="preserve"> Sentencia </w:t>
      </w:r>
      <w:hyperlink w:anchor="SENTENCIA_2021_80" w:history="1">
        <w:r w:rsidRPr="002C5A78">
          <w:rPr>
            <w:rStyle w:val="TextoNormalCaracter"/>
          </w:rPr>
          <w:t>80/2021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septiembre de 2012 [Sindicato de Trabajadores de la Educación y la Ciencia (Egitim ve Bilim Emekçileri Sendikasi) c. Turquía]</w:t>
      </w:r>
    </w:p>
    <w:p w:rsidR="002C5A78" w:rsidRDefault="002C5A78" w:rsidP="002C5A78">
      <w:pPr>
        <w:pStyle w:val="SangriaFrancesaArticulo"/>
      </w:pPr>
      <w:r w:rsidRPr="002C5A78">
        <w:rPr>
          <w:rStyle w:val="TextoNormalNegritaCaracter"/>
        </w:rPr>
        <w:t>§ 75.</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noviembre de 2012 (PETA Deutschland c. Alemania)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noviembre de 2012 (Harabin c. Eslovaquia)</w:t>
      </w:r>
    </w:p>
    <w:p w:rsidR="002C5A78" w:rsidRDefault="002C5A78" w:rsidP="002C5A78">
      <w:pPr>
        <w:pStyle w:val="SangriaFrancesaArticulo"/>
      </w:pPr>
      <w:r w:rsidRPr="002C5A78">
        <w:rPr>
          <w:rStyle w:val="TextoNormalNegritaCaracter"/>
        </w:rPr>
        <w:t>§ 132.</w:t>
      </w:r>
      <w:r w:rsidRPr="002C5A78">
        <w:rPr>
          <w:rStyle w:val="TextoNormalCaracter"/>
        </w:rPr>
        <w:t>-</w:t>
      </w:r>
      <w:r>
        <w:t xml:space="preserve"> Sentencia </w:t>
      </w:r>
      <w:hyperlink w:anchor="SENTENCIA_2021_122" w:history="1">
        <w:r w:rsidRPr="002C5A78">
          <w:rPr>
            <w:rStyle w:val="TextoNormalCaracter"/>
          </w:rPr>
          <w:t>122/2021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27 de noviembre de 2012 (Vilanova Goterris y LLop García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 35.</w:t>
      </w:r>
      <w:r w:rsidRPr="002C5A78">
        <w:rPr>
          <w:rStyle w:val="TextoNormalCaracter"/>
        </w:rPr>
        <w:t>-</w:t>
      </w:r>
      <w:r>
        <w:t xml:space="preserve"> Sentencia </w:t>
      </w:r>
      <w:hyperlink w:anchor="SENTENCIA_2021_133" w:history="1">
        <w:r w:rsidRPr="002C5A78">
          <w:rPr>
            <w:rStyle w:val="TextoNormalCaracter"/>
          </w:rPr>
          <w:t>133/2021</w:t>
        </w:r>
      </w:hyperlink>
      <w:r>
        <w:t>, f. 8.</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18 de diciembre de 2012 (Ahmet Yildirim c. Turquía)</w:t>
      </w:r>
    </w:p>
    <w:p w:rsidR="002C5A78" w:rsidRDefault="002C5A78" w:rsidP="002C5A78">
      <w:pPr>
        <w:pStyle w:val="SangriaFrancesaArticulo"/>
      </w:pPr>
      <w:r w:rsidRPr="002C5A78">
        <w:rPr>
          <w:rStyle w:val="TextoNormalNegritaCaracter"/>
        </w:rPr>
        <w:t>§ 48.</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30 de abril de 2013 (Tymoshenko c. Ucrania)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269 a 271.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294.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299.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18 de junio de 2013 (Gün y otros c. Turquía)</w:t>
      </w:r>
    </w:p>
    <w:p w:rsidR="002C5A78" w:rsidRDefault="002C5A78" w:rsidP="002C5A78">
      <w:pPr>
        <w:pStyle w:val="SangriaFrancesaArticulo"/>
      </w:pPr>
      <w:r w:rsidRPr="002C5A78">
        <w:rPr>
          <w:rStyle w:val="TextoNormalNegritaCaracter"/>
        </w:rPr>
        <w:t>§ 51.</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9 de julio de 2013 (Vinter y otros c. Reino Unido)</w:t>
      </w:r>
    </w:p>
    <w:p w:rsidR="002C5A78" w:rsidRDefault="002C5A78" w:rsidP="002C5A78">
      <w:pPr>
        <w:pStyle w:val="SangriaFrancesaArticulo"/>
      </w:pPr>
      <w:r w:rsidRPr="002C5A78">
        <w:rPr>
          <w:rStyle w:val="TextoNormalNegritaCaracter"/>
        </w:rPr>
        <w:t>§ 102.</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 105.</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julio de 2013 (Wegrzynowski y Smolczewski c. Polonia)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julio de 2013 (Khodorkovskiy y Lebedev c. Rusia)</w:t>
      </w:r>
    </w:p>
    <w:p w:rsidR="002C5A78" w:rsidRDefault="002C5A78" w:rsidP="002C5A78">
      <w:pPr>
        <w:pStyle w:val="SangriaFrancesaArticulo"/>
      </w:pPr>
      <w:r w:rsidRPr="002C5A78">
        <w:rPr>
          <w:rStyle w:val="TextoNormalNegritaCaracter"/>
        </w:rPr>
        <w:t>§ 889.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903.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 de octubre de 2013 (Kasparov y otros c. Rusia)</w:t>
      </w:r>
    </w:p>
    <w:p w:rsidR="002C5A78" w:rsidRDefault="002C5A78" w:rsidP="002C5A78">
      <w:pPr>
        <w:pStyle w:val="SangriaFrancesaArticulo"/>
      </w:pPr>
      <w:r w:rsidRPr="002C5A78">
        <w:rPr>
          <w:rStyle w:val="TextoNormalNegritaCaracter"/>
        </w:rPr>
        <w:t>§ 84.</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octubre de 2013 (Nieto Macero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8" w:history="1">
        <w:r w:rsidRPr="002C5A78">
          <w:rPr>
            <w:rStyle w:val="TextoNormalCaracter"/>
          </w:rPr>
          <w:t>18/2021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octubre de 2013 (Román Zurdo y otros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8" w:history="1">
        <w:r w:rsidRPr="002C5A78">
          <w:rPr>
            <w:rStyle w:val="TextoNormalCaracter"/>
          </w:rPr>
          <w:t>18/2021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21 de octubre de 2013 (del Río Prada c. España)</w:t>
      </w:r>
    </w:p>
    <w:p w:rsidR="002C5A78" w:rsidRDefault="002C5A78" w:rsidP="002C5A78">
      <w:pPr>
        <w:pStyle w:val="SangriaFrancesaArticulo"/>
      </w:pPr>
      <w:r w:rsidRPr="002C5A78">
        <w:rPr>
          <w:rStyle w:val="TextoNormalNegritaCaracter"/>
        </w:rPr>
        <w:t>§ 92.</w:t>
      </w:r>
      <w:r w:rsidRPr="002C5A78">
        <w:rPr>
          <w:rStyle w:val="TextoNormalCaracter"/>
        </w:rPr>
        <w:t>-</w:t>
      </w:r>
      <w:r>
        <w:t xml:space="preserve"> Sentencia </w:t>
      </w:r>
      <w:hyperlink w:anchor="SENTENCIA_2021_14" w:history="1">
        <w:r w:rsidRPr="002C5A78">
          <w:rPr>
            <w:rStyle w:val="TextoNormalCaracter"/>
          </w:rPr>
          <w:t>14/2021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octubre de 2013 (Naranjo Acevedo c. España)</w:t>
      </w:r>
    </w:p>
    <w:p w:rsidR="002C5A78" w:rsidRDefault="002C5A78" w:rsidP="002C5A78">
      <w:pPr>
        <w:pStyle w:val="SangriaFrancesaArticulo"/>
      </w:pPr>
      <w:r w:rsidRPr="002C5A78">
        <w:rPr>
          <w:rStyle w:val="TextoNormalNegritaCaracter"/>
        </w:rPr>
        <w:t>§ 17 a 19.</w:t>
      </w:r>
      <w:r w:rsidRPr="002C5A78">
        <w:rPr>
          <w:rStyle w:val="TextoNormalCaracter"/>
        </w:rPr>
        <w:t>-</w:t>
      </w:r>
      <w:r>
        <w:t xml:space="preserve"> Sentencias </w:t>
      </w:r>
      <w:hyperlink w:anchor="SENTENCIA_2021_18" w:history="1">
        <w:r w:rsidRPr="002C5A78">
          <w:rPr>
            <w:rStyle w:val="TextoNormalCaracter"/>
          </w:rPr>
          <w:t>18/2021</w:t>
        </w:r>
      </w:hyperlink>
      <w:r>
        <w:t xml:space="preserve">, ff. 3, 4; </w:t>
      </w:r>
      <w:hyperlink w:anchor="SENTENCIA_2021_133" w:history="1">
        <w:r w:rsidRPr="002C5A78">
          <w:rPr>
            <w:rStyle w:val="TextoNormalCaracter"/>
          </w:rPr>
          <w:t>133/2021</w:t>
        </w:r>
      </w:hyperlink>
      <w:r>
        <w:t>, f. 8.</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noviembre de 2013 (Sainz Casla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8" w:history="1">
        <w:r w:rsidRPr="002C5A78">
          <w:rPr>
            <w:rStyle w:val="TextoNormalCaracter"/>
          </w:rPr>
          <w:t>18/2021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enero de 2014 (Tierbefreier E.V. c. Alemania)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mayo de 2014 (Taranenko c. Rusia)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f. 5, VP II, VP III.</w:t>
      </w:r>
    </w:p>
    <w:p w:rsidR="002C5A78" w:rsidRDefault="002C5A78" w:rsidP="002C5A78">
      <w:pPr>
        <w:pStyle w:val="SangriaFrancesaArticulo"/>
      </w:pPr>
      <w:r w:rsidRPr="002C5A78">
        <w:rPr>
          <w:rStyle w:val="TextoNormalNegritaCaracter"/>
        </w:rPr>
        <w:t>§ 66.</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94.</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 95.</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r w:rsidRPr="002C5A78">
        <w:rPr>
          <w:rStyle w:val="TextoNormalNegritaCaracter"/>
        </w:rPr>
        <w:t>§ 96.</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mayo de 2014 (Ilgar Mammadov c. Azerbaiyán)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100.</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137.</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junio de 2014 (Primov y otros c. Rusia)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r w:rsidRPr="002C5A78">
        <w:rPr>
          <w:rStyle w:val="TextoNormalNegritaCaracter"/>
        </w:rPr>
        <w:t>§ 7.</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r w:rsidRPr="002C5A78">
        <w:rPr>
          <w:rStyle w:val="TextoNormalNegritaCaracter"/>
        </w:rPr>
        <w:t>§ 155.</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julio de 2014 (Axel Springer AG c. Alemania —núm. 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31 de julio de 2014 (Nemtsov c. Rusia)</w:t>
      </w:r>
    </w:p>
    <w:p w:rsidR="002C5A78" w:rsidRDefault="002C5A78" w:rsidP="002C5A78">
      <w:pPr>
        <w:pStyle w:val="SangriaFrancesaArticulo"/>
      </w:pPr>
      <w:r w:rsidRPr="002C5A78">
        <w:rPr>
          <w:rStyle w:val="TextoNormalNegritaCaracter"/>
        </w:rPr>
        <w:t>§ 78.</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14 de octubre de 2014 (Yilmaz Yildiz y otros c. Turquía)</w:t>
      </w:r>
    </w:p>
    <w:p w:rsidR="002C5A78" w:rsidRDefault="002C5A78" w:rsidP="002C5A78">
      <w:pPr>
        <w:pStyle w:val="SangriaFrancesaArticulo"/>
      </w:pPr>
      <w:r w:rsidRPr="002C5A78">
        <w:rPr>
          <w:rStyle w:val="TextoNormalNegritaCaracter"/>
        </w:rPr>
        <w:t>§ 33.</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4 de diciembre de 2014 (Navalnyy y Yashin c. Rusia)</w:t>
      </w:r>
    </w:p>
    <w:p w:rsidR="002C5A78" w:rsidRDefault="002C5A78" w:rsidP="002C5A78">
      <w:pPr>
        <w:pStyle w:val="SangriaFrancesaArticulo"/>
      </w:pPr>
      <w:r w:rsidRPr="002C5A78">
        <w:rPr>
          <w:rStyle w:val="TextoNormalNegritaCaracter"/>
        </w:rPr>
        <w:t>§ 52.</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enero de 2015 (Arribas Antón c. España)</w:t>
      </w:r>
    </w:p>
    <w:p w:rsidR="002C5A78" w:rsidRDefault="002C5A78" w:rsidP="002C5A78">
      <w:pPr>
        <w:pStyle w:val="SangriaFrancesaArticulo"/>
      </w:pPr>
      <w:r w:rsidRPr="002C5A78">
        <w:rPr>
          <w:rStyle w:val="TextoNormalNegritaCaracter"/>
        </w:rPr>
        <w:t>§ 37.</w:t>
      </w:r>
      <w:r w:rsidRPr="002C5A78">
        <w:rPr>
          <w:rStyle w:val="TextoNormalCaracter"/>
        </w:rPr>
        <w:t>-</w:t>
      </w:r>
      <w:r>
        <w:t xml:space="preserve"> Sentencia </w:t>
      </w:r>
      <w:hyperlink w:anchor="SENTENCIA_2021_61" w:history="1">
        <w:r w:rsidRPr="002C5A78">
          <w:rPr>
            <w:rStyle w:val="TextoNormalCaracter"/>
          </w:rPr>
          <w:t>61/2021</w:t>
        </w:r>
      </w:hyperlink>
      <w:r>
        <w:t>, f. 2.</w:t>
      </w:r>
    </w:p>
    <w:p w:rsidR="002C5A78" w:rsidRDefault="002C5A78" w:rsidP="002C5A78">
      <w:pPr>
        <w:pStyle w:val="SangriaFrancesaArticulo"/>
      </w:pPr>
      <w:r w:rsidRPr="002C5A78">
        <w:rPr>
          <w:rStyle w:val="TextoNormalNegritaCaracter"/>
        </w:rPr>
        <w:t>§ 46.</w:t>
      </w:r>
      <w:r w:rsidRPr="002C5A78">
        <w:rPr>
          <w:rStyle w:val="TextoNormalCaracter"/>
        </w:rPr>
        <w:t>-</w:t>
      </w:r>
      <w:r>
        <w:t xml:space="preserve"> Sentencias </w:t>
      </w:r>
      <w:hyperlink w:anchor="SENTENCIA_2021_5" w:history="1">
        <w:r w:rsidRPr="002C5A78">
          <w:rPr>
            <w:rStyle w:val="TextoNormalCaracter"/>
          </w:rPr>
          <w:t>5/2021</w:t>
        </w:r>
      </w:hyperlink>
      <w:r>
        <w:t xml:space="preserve">, f. 2; </w:t>
      </w:r>
      <w:hyperlink w:anchor="SENTENCIA_2021_33" w:history="1">
        <w:r w:rsidRPr="002C5A78">
          <w:rPr>
            <w:rStyle w:val="TextoNormalCaracter"/>
          </w:rPr>
          <w:t>33/2021</w:t>
        </w:r>
      </w:hyperlink>
      <w:r>
        <w:t xml:space="preserve">, f. 2; </w:t>
      </w:r>
      <w:hyperlink w:anchor="SENTENCIA_2021_93" w:history="1">
        <w:r w:rsidRPr="002C5A78">
          <w:rPr>
            <w:rStyle w:val="TextoNormalCaracter"/>
          </w:rPr>
          <w:t>93/2021</w:t>
        </w:r>
      </w:hyperlink>
      <w:r>
        <w:t>, f. 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febrero de 2015 (Haldimann y otros c. Suiza)</w:t>
      </w:r>
    </w:p>
    <w:p w:rsidR="002C5A78" w:rsidRDefault="002C5A78" w:rsidP="002C5A78">
      <w:pPr>
        <w:pStyle w:val="SangriaFrancesaArticulo"/>
      </w:pPr>
      <w:r w:rsidRPr="002C5A78">
        <w:rPr>
          <w:rStyle w:val="TextoNormalNegritaCaracter"/>
        </w:rPr>
        <w:t>§ 46.</w:t>
      </w:r>
      <w:r w:rsidRPr="002C5A78">
        <w:rPr>
          <w:rStyle w:val="TextoNormalCaracter"/>
        </w:rPr>
        <w:t>-</w:t>
      </w:r>
      <w:r>
        <w:t xml:space="preserve"> Sentencia </w:t>
      </w:r>
      <w:hyperlink w:anchor="SENTENCIA_2021_5" w:history="1">
        <w:r w:rsidRPr="002C5A78">
          <w:rPr>
            <w:rStyle w:val="TextoNormalCaracter"/>
          </w:rPr>
          <w:t>5/2021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abril de 2015 (Morice c. Francia)</w:t>
      </w:r>
    </w:p>
    <w:p w:rsidR="002C5A78" w:rsidRDefault="002C5A78" w:rsidP="002C5A78">
      <w:pPr>
        <w:pStyle w:val="SangriaFrancesaArticulo"/>
      </w:pPr>
      <w:r w:rsidRPr="002C5A78">
        <w:rPr>
          <w:rStyle w:val="TextoNormalNegritaCaracter"/>
        </w:rPr>
        <w:t>§ 124.</w:t>
      </w:r>
      <w:r w:rsidRPr="002C5A78">
        <w:rPr>
          <w:rStyle w:val="TextoNormalCaracter"/>
        </w:rPr>
        <w:t>-</w:t>
      </w:r>
      <w:r>
        <w:t xml:space="preserve"> Sentencia </w:t>
      </w:r>
      <w:hyperlink w:anchor="SENTENCIA_2021_93" w:history="1">
        <w:r w:rsidRPr="002C5A78">
          <w:rPr>
            <w:rStyle w:val="TextoNormalCaracter"/>
          </w:rPr>
          <w:t>93/2021</w:t>
        </w:r>
      </w:hyperlink>
      <w:r>
        <w:t>, f. 4.</w:t>
      </w:r>
    </w:p>
    <w:p w:rsidR="002C5A78" w:rsidRDefault="002C5A78" w:rsidP="002C5A78">
      <w:pPr>
        <w:pStyle w:val="SangriaFrancesaArticulo"/>
      </w:pPr>
      <w:r w:rsidRPr="002C5A78">
        <w:rPr>
          <w:rStyle w:val="TextoNormalNegritaCaracter"/>
        </w:rPr>
        <w:t>§ 176.</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junio de 2015 (Delfi AS c. Estonia)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3" w:history="1">
        <w:r w:rsidRPr="002C5A78">
          <w:rPr>
            <w:rStyle w:val="TextoNormalCaracter"/>
          </w:rPr>
          <w:t>93/2021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octubre de 2015 (Gafgaz Mammadov c. Azerbaiyán)</w:t>
      </w:r>
    </w:p>
    <w:p w:rsidR="002C5A78" w:rsidRDefault="002C5A78" w:rsidP="002C5A78">
      <w:pPr>
        <w:pStyle w:val="SangriaFrancesaArticulo"/>
      </w:pPr>
      <w:r w:rsidRPr="002C5A78">
        <w:rPr>
          <w:rStyle w:val="TextoNormalNegritaCaracter"/>
        </w:rPr>
        <w:t>§ 50.</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octubre de 2015 (Kudrevicius y otros c. Lituania)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f. 5, VP II, VP III.</w:t>
      </w:r>
    </w:p>
    <w:p w:rsidR="002C5A78" w:rsidRDefault="002C5A78" w:rsidP="002C5A78">
      <w:pPr>
        <w:pStyle w:val="SangriaFrancesaArticulo"/>
      </w:pPr>
      <w:r w:rsidRPr="002C5A78">
        <w:rPr>
          <w:rStyle w:val="TextoNormalNegritaCaracter"/>
        </w:rPr>
        <w:t>§ 85.</w:t>
      </w:r>
      <w:r w:rsidRPr="002C5A78">
        <w:rPr>
          <w:rStyle w:val="TextoNormalCaracter"/>
        </w:rPr>
        <w:t>-</w:t>
      </w:r>
      <w:r>
        <w:t xml:space="preserve"> Sentencias </w:t>
      </w:r>
      <w:hyperlink w:anchor="SENTENCIA_2021_122" w:history="1">
        <w:r w:rsidRPr="002C5A78">
          <w:rPr>
            <w:rStyle w:val="TextoNormalCaracter"/>
          </w:rPr>
          <w:t>122/2021</w:t>
        </w:r>
      </w:hyperlink>
      <w:r>
        <w:t xml:space="preserve">, f. 9; </w:t>
      </w:r>
      <w:hyperlink w:anchor="SENTENCIA_2021_133" w:history="1">
        <w:r w:rsidRPr="002C5A78">
          <w:rPr>
            <w:rStyle w:val="TextoNormalCaracter"/>
          </w:rPr>
          <w:t>133/2021</w:t>
        </w:r>
      </w:hyperlink>
      <w:r>
        <w:t>, f. 4.</w:t>
      </w:r>
    </w:p>
    <w:p w:rsidR="002C5A78" w:rsidRDefault="002C5A78" w:rsidP="002C5A78">
      <w:pPr>
        <w:pStyle w:val="SangriaFrancesaArticulo"/>
      </w:pPr>
      <w:r w:rsidRPr="002C5A78">
        <w:rPr>
          <w:rStyle w:val="TextoNormalNegritaCaracter"/>
        </w:rPr>
        <w:t>§ 86.</w:t>
      </w:r>
      <w:r w:rsidRPr="002C5A78">
        <w:rPr>
          <w:rStyle w:val="TextoNormalCaracter"/>
        </w:rPr>
        <w:t>-</w:t>
      </w:r>
      <w:r>
        <w:t xml:space="preserve"> Sentencias </w:t>
      </w:r>
      <w:hyperlink w:anchor="SENTENCIA_2021_122" w:history="1">
        <w:r w:rsidRPr="002C5A78">
          <w:rPr>
            <w:rStyle w:val="TextoNormalCaracter"/>
          </w:rPr>
          <w:t>122/2021</w:t>
        </w:r>
      </w:hyperlink>
      <w:r>
        <w:t xml:space="preserve">, f. 9; </w:t>
      </w:r>
      <w:hyperlink w:anchor="SENTENCIA_2021_133" w:history="1">
        <w:r w:rsidRPr="002C5A78">
          <w:rPr>
            <w:rStyle w:val="TextoNormalCaracter"/>
          </w:rPr>
          <w:t>133/2021</w:t>
        </w:r>
      </w:hyperlink>
      <w:r>
        <w:t>, f. 4.</w:t>
      </w:r>
    </w:p>
    <w:p w:rsidR="002C5A78" w:rsidRDefault="002C5A78" w:rsidP="002C5A78">
      <w:pPr>
        <w:pStyle w:val="SangriaFrancesaArticulo"/>
      </w:pPr>
      <w:r w:rsidRPr="002C5A78">
        <w:rPr>
          <w:rStyle w:val="TextoNormalNegritaCaracter"/>
        </w:rPr>
        <w:t>§ 92.</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94.</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97.</w:t>
      </w:r>
      <w:r w:rsidRPr="002C5A78">
        <w:rPr>
          <w:rStyle w:val="TextoNormalCaracter"/>
        </w:rPr>
        <w:t>-</w:t>
      </w:r>
      <w:r>
        <w:t xml:space="preserve"> Sentencias </w:t>
      </w:r>
      <w:hyperlink w:anchor="SENTENCIA_2021_122" w:history="1">
        <w:r w:rsidRPr="002C5A78">
          <w:rPr>
            <w:rStyle w:val="TextoNormalCaracter"/>
          </w:rPr>
          <w:t>122/2021</w:t>
        </w:r>
      </w:hyperlink>
      <w:r>
        <w:t xml:space="preserve">, f. 9; </w:t>
      </w:r>
      <w:hyperlink w:anchor="SENTENCIA_2021_133" w:history="1">
        <w:r w:rsidRPr="002C5A78">
          <w:rPr>
            <w:rStyle w:val="TextoNormalCaracter"/>
          </w:rPr>
          <w:t>133/2021</w:t>
        </w:r>
      </w:hyperlink>
      <w:r>
        <w:t>, f. 5.</w:t>
      </w:r>
    </w:p>
    <w:p w:rsidR="002C5A78" w:rsidRDefault="002C5A78" w:rsidP="002C5A78">
      <w:pPr>
        <w:pStyle w:val="SangriaFrancesaArticulo"/>
      </w:pPr>
      <w:r w:rsidRPr="002C5A78">
        <w:rPr>
          <w:rStyle w:val="TextoNormalNegritaCaracter"/>
        </w:rPr>
        <w:t>§ 140.</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r w:rsidRPr="002C5A78">
        <w:rPr>
          <w:rStyle w:val="TextoNormalNegritaCaracter"/>
        </w:rPr>
        <w:t>§ 144.</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145.</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r w:rsidRPr="002C5A78">
        <w:rPr>
          <w:rStyle w:val="TextoNormalNegritaCaracter"/>
        </w:rPr>
        <w:t>§ 146.</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27 de octubre de 2015 (R.E. c. Reino Unido)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9" w:history="1">
        <w:r w:rsidRPr="002C5A78">
          <w:rPr>
            <w:rStyle w:val="TextoNormalCaracter"/>
          </w:rPr>
          <w:t>99/2021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5 de enero de 2016 (Frumkin c. Rusia)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r w:rsidRPr="002C5A78">
        <w:rPr>
          <w:rStyle w:val="TextoNormalNegritaCaracter"/>
        </w:rPr>
        <w:t>§ 93 a 99.</w:t>
      </w:r>
      <w:r w:rsidRPr="002C5A78">
        <w:rPr>
          <w:rStyle w:val="TextoNormalCaracter"/>
        </w:rPr>
        <w:t>-</w:t>
      </w:r>
      <w:r>
        <w:t xml:space="preserve"> Sentencia </w:t>
      </w:r>
      <w:hyperlink w:anchor="SENTENCIA_2021_122" w:history="1">
        <w:r w:rsidRPr="002C5A78">
          <w:rPr>
            <w:rStyle w:val="TextoNormalCaracter"/>
          </w:rPr>
          <w:t>122/2021</w:t>
        </w:r>
      </w:hyperlink>
      <w:r>
        <w:t>, f. 9.</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enero de 2016 (Rodríguez Ravelo c. España)</w:t>
      </w:r>
    </w:p>
    <w:p w:rsidR="002C5A78" w:rsidRDefault="002C5A78" w:rsidP="002C5A78">
      <w:pPr>
        <w:pStyle w:val="SangriaFrancesaArticulo"/>
      </w:pPr>
      <w:r w:rsidRPr="002C5A78">
        <w:rPr>
          <w:rStyle w:val="TextoNormalNegritaCaracter"/>
        </w:rPr>
        <w:t>§ 44.</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19 de enero de 2016 (Gülcü c. Turquía)</w:t>
      </w:r>
    </w:p>
    <w:p w:rsidR="002C5A78" w:rsidRDefault="002C5A78" w:rsidP="002C5A78">
      <w:pPr>
        <w:pStyle w:val="SangriaFrancesaArticulo"/>
      </w:pPr>
      <w:r w:rsidRPr="002C5A78">
        <w:rPr>
          <w:rStyle w:val="TextoNormalNegritaCaracter"/>
        </w:rPr>
        <w:t>§ 115.</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febrero de 2016 (Vlieeland Boddy y Marcelo Lanni c. España)</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 </w:t>
      </w:r>
      <w:hyperlink w:anchor="SENTENCIA_2021_18" w:history="1">
        <w:r w:rsidRPr="002C5A78">
          <w:rPr>
            <w:rStyle w:val="TextoNormalCaracter"/>
          </w:rPr>
          <w:t>18/2021</w:t>
        </w:r>
      </w:hyperlink>
      <w:r>
        <w:t>, f. 5.</w:t>
      </w:r>
    </w:p>
    <w:p w:rsidR="002C5A78" w:rsidRDefault="002C5A78" w:rsidP="002C5A78">
      <w:pPr>
        <w:pStyle w:val="SangriaFrancesaArticulo"/>
      </w:pPr>
      <w:r w:rsidRPr="002C5A78">
        <w:rPr>
          <w:rStyle w:val="TextoNormalNegritaCaracter"/>
        </w:rPr>
        <w:t>§ 45 a 48.</w:t>
      </w:r>
      <w:r w:rsidRPr="002C5A78">
        <w:rPr>
          <w:rStyle w:val="TextoNormalCaracter"/>
        </w:rPr>
        <w:t>-</w:t>
      </w:r>
      <w:r>
        <w:t xml:space="preserve"> Sentencia </w:t>
      </w:r>
      <w:hyperlink w:anchor="SENTENCIA_2021_41" w:history="1">
        <w:r w:rsidRPr="002C5A78">
          <w:rPr>
            <w:rStyle w:val="TextoNormalCaracter"/>
          </w:rPr>
          <w:t>41/2021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febrero de 2016 (Çam c. Turquía)</w:t>
      </w:r>
    </w:p>
    <w:p w:rsidR="002C5A78" w:rsidRDefault="002C5A78" w:rsidP="002C5A78">
      <w:pPr>
        <w:pStyle w:val="SangriaFrancesaArticulo"/>
      </w:pPr>
      <w:r w:rsidRPr="002C5A78">
        <w:rPr>
          <w:rStyle w:val="TextoNormalNegritaCaracter"/>
        </w:rPr>
        <w:t>§ 65 y 69.</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febrero de 2016 (Pérez Martínez c. España)</w:t>
      </w:r>
    </w:p>
    <w:p w:rsidR="002C5A78" w:rsidRDefault="002C5A78" w:rsidP="002C5A78">
      <w:pPr>
        <w:pStyle w:val="SangriaFrancesaArticulo"/>
      </w:pPr>
      <w:r w:rsidRPr="002C5A78">
        <w:rPr>
          <w:rStyle w:val="TextoNormalNegritaCaracter"/>
        </w:rPr>
        <w:t>§ 37.</w:t>
      </w:r>
      <w:r w:rsidRPr="002C5A78">
        <w:rPr>
          <w:rStyle w:val="TextoNormalCaracter"/>
        </w:rPr>
        <w:t>-</w:t>
      </w:r>
      <w:r>
        <w:t xml:space="preserve"> Sentencias </w:t>
      </w:r>
      <w:hyperlink w:anchor="SENTENCIA_2021_18" w:history="1">
        <w:r w:rsidRPr="002C5A78">
          <w:rPr>
            <w:rStyle w:val="TextoNormalCaracter"/>
          </w:rPr>
          <w:t>18/2021</w:t>
        </w:r>
      </w:hyperlink>
      <w:r>
        <w:t xml:space="preserve">, ff. 3, 4; </w:t>
      </w:r>
      <w:hyperlink w:anchor="SENTENCIA_2021_133" w:history="1">
        <w:r w:rsidRPr="002C5A78">
          <w:rPr>
            <w:rStyle w:val="TextoNormalCaracter"/>
          </w:rPr>
          <w:t>133/2021</w:t>
        </w:r>
      </w:hyperlink>
      <w:r>
        <w:t>, f.</w:t>
      </w:r>
    </w:p>
    <w:p w:rsidR="002C5A78" w:rsidRDefault="002C5A78" w:rsidP="002C5A78">
      <w:pPr>
        <w:pStyle w:val="SangriaFrancesaArticulo"/>
      </w:pPr>
      <w:r w:rsidRPr="002C5A78">
        <w:rPr>
          <w:rStyle w:val="TextoNormalNegritaCaracter"/>
        </w:rPr>
        <w:t>§ 39.</w:t>
      </w:r>
      <w:r w:rsidRPr="002C5A78">
        <w:rPr>
          <w:rStyle w:val="TextoNormalCaracter"/>
        </w:rPr>
        <w:t>-</w:t>
      </w:r>
      <w:r>
        <w:t xml:space="preserve"> Sentencias </w:t>
      </w:r>
      <w:hyperlink w:anchor="SENTENCIA_2021_18" w:history="1">
        <w:r w:rsidRPr="002C5A78">
          <w:rPr>
            <w:rStyle w:val="TextoNormalCaracter"/>
          </w:rPr>
          <w:t>18/2021</w:t>
        </w:r>
      </w:hyperlink>
      <w:r>
        <w:t xml:space="preserve">, ff. 3, 4; </w:t>
      </w:r>
      <w:hyperlink w:anchor="SENTENCIA_2021_133" w:history="1">
        <w:r w:rsidRPr="002C5A78">
          <w:rPr>
            <w:rStyle w:val="TextoNormalCaracter"/>
          </w:rPr>
          <w:t>133/2021</w:t>
        </w:r>
      </w:hyperlink>
      <w:r>
        <w:t>, f. 8.</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Sentencias </w:t>
      </w:r>
      <w:hyperlink w:anchor="SENTENCIA_2021_18" w:history="1">
        <w:r w:rsidRPr="002C5A78">
          <w:rPr>
            <w:rStyle w:val="TextoNormalCaracter"/>
          </w:rPr>
          <w:t>18/2021</w:t>
        </w:r>
      </w:hyperlink>
      <w:r>
        <w:t xml:space="preserve">, ff. 3, 4; </w:t>
      </w:r>
      <w:hyperlink w:anchor="SENTENCIA_2021_133" w:history="1">
        <w:r w:rsidRPr="002C5A78">
          <w:rPr>
            <w:rStyle w:val="TextoNormalCaracter"/>
          </w:rPr>
          <w:t>133/2021</w:t>
        </w:r>
      </w:hyperlink>
      <w:r>
        <w:t>, f. 8.</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marzo de 2016 (Porcel Terribas y otros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17 de marzo de 2016 (Rasul Jafarov c. Azerbaiyán)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133.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153.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162.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marzo de 2016 (asunto Guberina c. Croacia)</w:t>
      </w:r>
    </w:p>
    <w:p w:rsidR="002C5A78" w:rsidRDefault="002C5A78" w:rsidP="002C5A78">
      <w:pPr>
        <w:pStyle w:val="SangriaFrancesaArticulo"/>
      </w:pPr>
      <w:r w:rsidRPr="002C5A78">
        <w:rPr>
          <w:rStyle w:val="TextoNormalNegritaCaracter"/>
        </w:rPr>
        <w:t>§ 73.</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29 de marzo de 2016 (Gómez Olmeda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17 de mayo de 2016 (Karácsony y otros c. Hungría)</w:t>
      </w:r>
    </w:p>
    <w:p w:rsidR="002C5A78" w:rsidRDefault="002C5A78" w:rsidP="002C5A78">
      <w:pPr>
        <w:pStyle w:val="SangriaFrancesaArticulo"/>
      </w:pPr>
      <w:r w:rsidRPr="002C5A78">
        <w:rPr>
          <w:rStyle w:val="TextoNormalNegritaCaracter"/>
        </w:rPr>
        <w:t>§ 138.</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14 de junio de 2016 (Jiménez Losantos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12 de julio de 2016 (Reichman c. Francia)</w:t>
      </w:r>
    </w:p>
    <w:p w:rsidR="002C5A78" w:rsidRDefault="002C5A78" w:rsidP="002C5A78">
      <w:pPr>
        <w:pStyle w:val="SangriaFrancesaArticulo"/>
      </w:pPr>
      <w:r w:rsidRPr="002C5A78">
        <w:rPr>
          <w:rStyle w:val="TextoNormalNegritaCaracter"/>
        </w:rPr>
        <w:t>§ 73.</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septiembre de 2016 (Ibrahim y otros c. Reino Unido)</w:t>
      </w:r>
    </w:p>
    <w:p w:rsidR="002C5A78" w:rsidRDefault="002C5A78" w:rsidP="002C5A78">
      <w:pPr>
        <w:pStyle w:val="SangriaFrancesaArticulo"/>
      </w:pPr>
      <w:r w:rsidRPr="002C5A78">
        <w:rPr>
          <w:rStyle w:val="TextoNormalNegritaCaracter"/>
        </w:rPr>
        <w:t>§ 267.</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r w:rsidRPr="002C5A78">
        <w:rPr>
          <w:rStyle w:val="TextoNormalNegritaCaracter"/>
        </w:rPr>
        <w:t>§ 269.</w:t>
      </w:r>
      <w:r w:rsidRPr="002C5A78">
        <w:rPr>
          <w:rStyle w:val="TextoNormalCaracter"/>
        </w:rPr>
        <w:t>-</w:t>
      </w:r>
      <w:r>
        <w:t xml:space="preserve"> Sentencia </w:t>
      </w:r>
      <w:hyperlink w:anchor="SENTENCIA_2021_21" w:history="1">
        <w:r w:rsidRPr="002C5A78">
          <w:rPr>
            <w:rStyle w:val="TextoNormalCaracter"/>
          </w:rPr>
          <w:t>21/2021</w:t>
        </w:r>
      </w:hyperlink>
      <w:r>
        <w:t>, f. 5.</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septiembre de 2016 (Hernández Royo c. España)</w:t>
      </w:r>
    </w:p>
    <w:p w:rsidR="002C5A78" w:rsidRDefault="002C5A78" w:rsidP="002C5A78">
      <w:pPr>
        <w:pStyle w:val="SangriaFrancesaArticulo"/>
      </w:pPr>
      <w:r w:rsidRPr="002C5A78">
        <w:rPr>
          <w:rStyle w:val="TextoNormalNegritaCaracter"/>
        </w:rPr>
        <w:t>§ 11.</w:t>
      </w:r>
      <w:r w:rsidRPr="002C5A78">
        <w:rPr>
          <w:rStyle w:val="TextoNormalCaracter"/>
        </w:rPr>
        <w:t>-</w:t>
      </w:r>
      <w:r>
        <w:t xml:space="preserve"> Sentencias </w:t>
      </w:r>
      <w:hyperlink w:anchor="SENTENCIA_2021_18" w:history="1">
        <w:r w:rsidRPr="002C5A78">
          <w:rPr>
            <w:rStyle w:val="TextoNormalCaracter"/>
          </w:rPr>
          <w:t>18/2021</w:t>
        </w:r>
      </w:hyperlink>
      <w:r>
        <w:t xml:space="preserve">, VP; </w:t>
      </w:r>
      <w:hyperlink w:anchor="SENTENCIA_2021_22" w:history="1">
        <w:r w:rsidRPr="002C5A78">
          <w:rPr>
            <w:rStyle w:val="TextoNormalCaracter"/>
          </w:rPr>
          <w:t>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4 de octubre de 2016 (Yaroslav Belousov c. Rusia)</w:t>
      </w:r>
    </w:p>
    <w:p w:rsidR="002C5A78" w:rsidRDefault="002C5A78" w:rsidP="002C5A78">
      <w:pPr>
        <w:pStyle w:val="SangriaFrancesaArticulo"/>
      </w:pPr>
      <w:r w:rsidRPr="002C5A78">
        <w:rPr>
          <w:rStyle w:val="TextoNormalNegritaCaracter"/>
        </w:rPr>
        <w:t>§ 177 a 180.</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diciembre de 2016 (Uspaskich c. Lituania)</w:t>
      </w:r>
    </w:p>
    <w:p w:rsidR="002C5A78" w:rsidRDefault="002C5A78" w:rsidP="002C5A78">
      <w:pPr>
        <w:pStyle w:val="SangriaFrancesaArticulo"/>
      </w:pPr>
      <w:r w:rsidRPr="002C5A78">
        <w:rPr>
          <w:rStyle w:val="TextoNormalNegritaCaracter"/>
        </w:rPr>
        <w:t>§ 91.</w:t>
      </w:r>
      <w:r w:rsidRPr="002C5A78">
        <w:rPr>
          <w:rStyle w:val="TextoNormalCaracter"/>
        </w:rPr>
        <w:t>-</w:t>
      </w:r>
      <w:r>
        <w:t xml:space="preserve"> Sentencias </w:t>
      </w:r>
      <w:hyperlink w:anchor="SENTENCIA_2021_70" w:history="1">
        <w:r w:rsidRPr="002C5A78">
          <w:rPr>
            <w:rStyle w:val="TextoNormalCaracter"/>
          </w:rPr>
          <w:t>70/2021</w:t>
        </w:r>
      </w:hyperlink>
      <w:r>
        <w:t xml:space="preserve">, ff. 3, 6; </w:t>
      </w:r>
      <w:hyperlink w:anchor="SENTENCIA_2021_71" w:history="1">
        <w:r w:rsidRPr="002C5A78">
          <w:rPr>
            <w:rStyle w:val="TextoNormalCaracter"/>
          </w:rPr>
          <w:t>71/2021</w:t>
        </w:r>
      </w:hyperlink>
      <w:r>
        <w:t>, ff. 3, 6.</w:t>
      </w:r>
    </w:p>
    <w:p w:rsidR="002C5A78" w:rsidRDefault="002C5A78" w:rsidP="002C5A78">
      <w:pPr>
        <w:pStyle w:val="SangriaFrancesaArticulo"/>
      </w:pPr>
      <w:r w:rsidRPr="002C5A78">
        <w:rPr>
          <w:rStyle w:val="TextoNormalNegritaCaracter"/>
        </w:rPr>
        <w:t>§ 98.</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23 de marzo de 2017 (asunto A.-M.V. c. Finlandia)</w:t>
      </w:r>
    </w:p>
    <w:p w:rsidR="002C5A78" w:rsidRDefault="002C5A78" w:rsidP="002C5A78">
      <w:pPr>
        <w:pStyle w:val="SangriaFrancesaArticulo"/>
      </w:pPr>
      <w:r w:rsidRPr="002C5A78">
        <w:rPr>
          <w:rStyle w:val="TextoNormalNegritaCaracter"/>
        </w:rPr>
        <w:t>§ 73.</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 74.</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junio de 2017 (Atutxa Mendiola y otros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VP; </w:t>
      </w:r>
      <w:hyperlink w:anchor="SENTENCIA_2021_22" w:history="1">
        <w:r w:rsidRPr="002C5A78">
          <w:rPr>
            <w:rStyle w:val="TextoNormalCaracter"/>
          </w:rPr>
          <w:t>22/2021</w:t>
        </w:r>
      </w:hyperlink>
      <w:r>
        <w:t xml:space="preserve">, VP; </w:t>
      </w:r>
      <w:hyperlink w:anchor="SENTENCIA_2021_133" w:history="1">
        <w:r w:rsidRPr="002C5A78">
          <w:rPr>
            <w:rStyle w:val="TextoNormalCaracter"/>
          </w:rPr>
          <w:t>133/2021</w:t>
        </w:r>
      </w:hyperlink>
      <w:r>
        <w:t>, VP II, VP III.</w:t>
      </w:r>
    </w:p>
    <w:p w:rsidR="002C5A78" w:rsidRDefault="002C5A78" w:rsidP="002C5A78">
      <w:pPr>
        <w:pStyle w:val="SangriaFrancesaArticulo"/>
      </w:pPr>
      <w:r w:rsidRPr="002C5A78">
        <w:rPr>
          <w:rStyle w:val="TextoNormalNegritaCaracter"/>
        </w:rPr>
        <w:t>§ 43.</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julio de 2017 (Annenkov y otros c. Rusia)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122.</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124.</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28 de noviembre de 2017 (Merabishvili c. Georgia)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206 a 228.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229.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230.</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234.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235.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282.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283.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284.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287.</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288.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290.</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291.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292.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293.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303.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304.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305.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306.</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307.</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308.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309.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310 y ss..</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310.</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318.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324.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332.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351.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352.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353.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30 de enero de 2018 (Barabanov c. Rusia)</w:t>
      </w:r>
    </w:p>
    <w:p w:rsidR="002C5A78" w:rsidRDefault="002C5A78" w:rsidP="002C5A78">
      <w:pPr>
        <w:pStyle w:val="SangriaFrancesaArticulo"/>
      </w:pPr>
      <w:r w:rsidRPr="002C5A78">
        <w:rPr>
          <w:rStyle w:val="TextoNormalNegritaCaracter"/>
        </w:rPr>
        <w:t>§ 74.</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75.</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30 de enero de 2018 (Enver Sahin c. Turquía)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r w:rsidRPr="002C5A78">
        <w:rPr>
          <w:rStyle w:val="TextoNormalNegritaCaracter"/>
        </w:rPr>
        <w:t>§ 60.</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marzo de 2018 (Stern Taulats y Roura Capellera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VP; </w:t>
      </w:r>
      <w:hyperlink w:anchor="SENTENCIA_2021_106" w:history="1">
        <w:r w:rsidRPr="002C5A78">
          <w:rPr>
            <w:rStyle w:val="TextoNormalCaracter"/>
          </w:rPr>
          <w:t>106/2021</w:t>
        </w:r>
      </w:hyperlink>
      <w:r>
        <w:t xml:space="preserve">, f. 11, VP; </w:t>
      </w:r>
      <w:hyperlink w:anchor="SENTENCIA_2021_121" w:history="1">
        <w:r w:rsidRPr="002C5A78">
          <w:rPr>
            <w:rStyle w:val="TextoNormalCaracter"/>
          </w:rPr>
          <w:t>121/2021</w:t>
        </w:r>
      </w:hyperlink>
      <w:r>
        <w:t xml:space="preserve">, f. 12;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marzo de 2018 (Vilches Coronado y otros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4 de abril de 2018 (Correia de Matos c. Portugal)</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35" w:history="1">
        <w:r w:rsidRPr="002C5A78">
          <w:rPr>
            <w:rStyle w:val="TextoNormalCaracter"/>
          </w:rPr>
          <w:t>35/2021</w:t>
        </w:r>
      </w:hyperlink>
      <w:r>
        <w:t>, f. 4.</w:t>
      </w:r>
    </w:p>
    <w:p w:rsidR="002C5A78" w:rsidRDefault="002C5A78" w:rsidP="002C5A78">
      <w:pPr>
        <w:pStyle w:val="SangriaFrancesaArticulo"/>
      </w:pPr>
      <w:r w:rsidRPr="002C5A78">
        <w:rPr>
          <w:rStyle w:val="TextoNormalNegritaCaracter"/>
        </w:rPr>
        <w:t>§ 81.</w:t>
      </w:r>
      <w:r w:rsidRPr="002C5A78">
        <w:rPr>
          <w:rStyle w:val="TextoNormalCaracter"/>
        </w:rPr>
        <w:t>-</w:t>
      </w:r>
      <w:r>
        <w:t xml:space="preserve"> Sentencia </w:t>
      </w:r>
      <w:hyperlink w:anchor="SENTENCIA_2021_35" w:history="1">
        <w:r w:rsidRPr="002C5A78">
          <w:rPr>
            <w:rStyle w:val="TextoNormalCaracter"/>
          </w:rPr>
          <w:t>35/2021</w:t>
        </w:r>
      </w:hyperlink>
      <w:r>
        <w:t>, f. 4.</w:t>
      </w:r>
    </w:p>
    <w:p w:rsidR="002C5A78" w:rsidRDefault="002C5A78" w:rsidP="002C5A78">
      <w:pPr>
        <w:pStyle w:val="SangriaFrancesaArticulo"/>
      </w:pPr>
      <w:r w:rsidRPr="002C5A78">
        <w:rPr>
          <w:rStyle w:val="TextoNormalNegritaCaracter"/>
        </w:rPr>
        <w:t>§ 137.</w:t>
      </w:r>
      <w:r w:rsidRPr="002C5A78">
        <w:rPr>
          <w:rStyle w:val="TextoNormalCaracter"/>
        </w:rPr>
        <w:t>-</w:t>
      </w:r>
      <w:r>
        <w:t xml:space="preserve"> Sentencia </w:t>
      </w:r>
      <w:hyperlink w:anchor="SENTENCIA_2021_35" w:history="1">
        <w:r w:rsidRPr="002C5A78">
          <w:rPr>
            <w:rStyle w:val="TextoNormalCaracter"/>
          </w:rPr>
          <w:t>35/2021</w:t>
        </w:r>
      </w:hyperlink>
      <w:r>
        <w:t>, f. 4.</w:t>
      </w:r>
    </w:p>
    <w:p w:rsidR="002C5A78" w:rsidRDefault="002C5A78" w:rsidP="002C5A78">
      <w:pPr>
        <w:pStyle w:val="SangriaFrancesaArticulo"/>
      </w:pPr>
      <w:r w:rsidRPr="002C5A78">
        <w:rPr>
          <w:rStyle w:val="TextoNormalNegritaCaracter"/>
        </w:rPr>
        <w:t>§ 143.</w:t>
      </w:r>
      <w:r w:rsidRPr="002C5A78">
        <w:rPr>
          <w:rStyle w:val="TextoNormalCaracter"/>
        </w:rPr>
        <w:t>-</w:t>
      </w:r>
      <w:r>
        <w:t xml:space="preserve"> Sentencia </w:t>
      </w:r>
      <w:hyperlink w:anchor="SENTENCIA_2021_35" w:history="1">
        <w:r w:rsidRPr="002C5A78">
          <w:rPr>
            <w:rStyle w:val="TextoNormalCaracter"/>
          </w:rPr>
          <w:t>35/2021</w:t>
        </w:r>
      </w:hyperlink>
      <w:r>
        <w:t>, f. 4.</w:t>
      </w:r>
    </w:p>
    <w:p w:rsidR="002C5A78" w:rsidRDefault="002C5A78" w:rsidP="002C5A78">
      <w:pPr>
        <w:pStyle w:val="SangriaFrancesaArticulo"/>
      </w:pPr>
      <w:r w:rsidRPr="002C5A78">
        <w:rPr>
          <w:rStyle w:val="TextoNormalNegritaCaracter"/>
        </w:rPr>
        <w:t>§ 156.</w:t>
      </w:r>
      <w:r w:rsidRPr="002C5A78">
        <w:rPr>
          <w:rStyle w:val="TextoNormalCaracter"/>
        </w:rPr>
        <w:t>-</w:t>
      </w:r>
      <w:r>
        <w:t xml:space="preserve"> Sentencia </w:t>
      </w:r>
      <w:hyperlink w:anchor="SENTENCIA_2021_35" w:history="1">
        <w:r w:rsidRPr="002C5A78">
          <w:rPr>
            <w:rStyle w:val="TextoNormalCaracter"/>
          </w:rPr>
          <w:t>35/2021</w:t>
        </w:r>
      </w:hyperlink>
      <w:r>
        <w:t>, f. 4.</w:t>
      </w:r>
    </w:p>
    <w:p w:rsidR="002C5A78" w:rsidRDefault="002C5A78" w:rsidP="002C5A78">
      <w:pPr>
        <w:pStyle w:val="SangriaFrancesaArticulo"/>
      </w:pPr>
      <w:r w:rsidRPr="002C5A78">
        <w:rPr>
          <w:rStyle w:val="TextoNormalNegritaCaracter"/>
        </w:rPr>
        <w:t>§ 159.</w:t>
      </w:r>
      <w:r w:rsidRPr="002C5A78">
        <w:rPr>
          <w:rStyle w:val="TextoNormalCaracter"/>
        </w:rPr>
        <w:t>-</w:t>
      </w:r>
      <w:r>
        <w:t xml:space="preserve"> Sentencia </w:t>
      </w:r>
      <w:hyperlink w:anchor="SENTENCIA_2021_35" w:history="1">
        <w:r w:rsidRPr="002C5A78">
          <w:rPr>
            <w:rStyle w:val="TextoNormalCaracter"/>
          </w:rPr>
          <w:t>35/2021</w:t>
        </w:r>
      </w:hyperlink>
      <w:r>
        <w:t>, f. 4.</w:t>
      </w:r>
    </w:p>
    <w:p w:rsidR="002C5A78" w:rsidRDefault="002C5A78" w:rsidP="002C5A78">
      <w:pPr>
        <w:pStyle w:val="SangriaFrancesaArticulo"/>
      </w:pPr>
      <w:r w:rsidRPr="002C5A78">
        <w:rPr>
          <w:rStyle w:val="TextoNormalNegritaCaracter"/>
        </w:rPr>
        <w:t>§ 166.</w:t>
      </w:r>
      <w:r w:rsidRPr="002C5A78">
        <w:rPr>
          <w:rStyle w:val="TextoNormalCaracter"/>
        </w:rPr>
        <w:t>-</w:t>
      </w:r>
      <w:r>
        <w:t xml:space="preserve"> Sentencia </w:t>
      </w:r>
      <w:hyperlink w:anchor="SENTENCIA_2021_35" w:history="1">
        <w:r w:rsidRPr="002C5A78">
          <w:rPr>
            <w:rStyle w:val="TextoNormalCaracter"/>
          </w:rPr>
          <w:t>35/2021</w:t>
        </w:r>
      </w:hyperlink>
      <w:r>
        <w:t>, f. 4.</w:t>
      </w:r>
    </w:p>
    <w:p w:rsidR="002C5A78" w:rsidRDefault="002C5A78" w:rsidP="002C5A78">
      <w:pPr>
        <w:pStyle w:val="SangriaFrancesaArticulo"/>
      </w:pPr>
      <w:r w:rsidRPr="002C5A78">
        <w:rPr>
          <w:rStyle w:val="TextoNormalNegritaCaracter"/>
        </w:rPr>
        <w:t>§ 169.</w:t>
      </w:r>
      <w:r w:rsidRPr="002C5A78">
        <w:rPr>
          <w:rStyle w:val="TextoNormalCaracter"/>
        </w:rPr>
        <w:t>-</w:t>
      </w:r>
      <w:r>
        <w:t xml:space="preserve"> Sentencia </w:t>
      </w:r>
      <w:hyperlink w:anchor="SENTENCIA_2021_35" w:history="1">
        <w:r w:rsidRPr="002C5A78">
          <w:rPr>
            <w:rStyle w:val="TextoNormalCaracter"/>
          </w:rPr>
          <w:t>35/2021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19 de abril de 2018 (Mammadli c. Azerbaiyán)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96.</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104.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7 de junio de 2018 (Rashad Hasanov y otros c. Azerbaiyán)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79 a 81.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119.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122.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123.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124.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125.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17 de julio de 2018 (Mariya Alekhina y otras c. Rusia)</w:t>
      </w:r>
    </w:p>
    <w:p w:rsidR="002C5A78" w:rsidRDefault="002C5A78" w:rsidP="002C5A78">
      <w:pPr>
        <w:pStyle w:val="SangriaFrancesaArticulo"/>
      </w:pPr>
      <w:r w:rsidRPr="002C5A78">
        <w:rPr>
          <w:rStyle w:val="TextoNormalNegritaCaracter"/>
        </w:rPr>
        <w:t>§ 215.</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4 de septiembre de 2018 (Fatih Tas c. Turquía, —núm. 5—)</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Sentencias </w:t>
      </w:r>
      <w:hyperlink w:anchor="SENTENCIA_2021_121" w:history="1">
        <w:r w:rsidRPr="002C5A78">
          <w:rPr>
            <w:rStyle w:val="TextoNormalCaracter"/>
          </w:rPr>
          <w:t>121/2021</w:t>
        </w:r>
      </w:hyperlink>
      <w:r>
        <w:t xml:space="preserve">, f. 12; </w:t>
      </w:r>
      <w:hyperlink w:anchor="SENTENCIA_2021_122" w:history="1">
        <w:r w:rsidRPr="002C5A78">
          <w:rPr>
            <w:rStyle w:val="TextoNormalCaracter"/>
          </w:rPr>
          <w:t>122/2021</w:t>
        </w:r>
      </w:hyperlink>
      <w:r>
        <w:t xml:space="preserve">, f. 10;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septiembre de 2018 (Aliyev c. Azerbaiyán)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164.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187.</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198.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215.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septiembre de 2018 (Mushegh Saghatelyan c. Armenia)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3" w:history="1">
        <w:r w:rsidRPr="002C5A78">
          <w:rPr>
            <w:rStyle w:val="TextoNormalCaracter"/>
          </w:rPr>
          <w:t>133/2021</w:t>
        </w:r>
      </w:hyperlink>
      <w:r>
        <w:t>, f. 5, VP III.</w:t>
      </w:r>
    </w:p>
    <w:p w:rsidR="002C5A78" w:rsidRDefault="002C5A78" w:rsidP="002C5A78">
      <w:pPr>
        <w:pStyle w:val="SangriaFrancesaArticulo"/>
      </w:pPr>
      <w:r w:rsidRPr="002C5A78">
        <w:rPr>
          <w:rStyle w:val="TextoNormalNegritaCaracter"/>
        </w:rPr>
        <w:t>§ 227.</w:t>
      </w:r>
      <w:r w:rsidRPr="002C5A78">
        <w:rPr>
          <w:rStyle w:val="TextoNormalCaracter"/>
        </w:rPr>
        <w:t>-</w:t>
      </w:r>
      <w:r>
        <w:t xml:space="preserve"> Sentencias </w:t>
      </w:r>
      <w:hyperlink w:anchor="SENTENCIA_2021_122" w:history="1">
        <w:r w:rsidRPr="002C5A78">
          <w:rPr>
            <w:rStyle w:val="TextoNormalCaracter"/>
          </w:rPr>
          <w:t>122/2021</w:t>
        </w:r>
      </w:hyperlink>
      <w:r>
        <w:t xml:space="preserve">, f. 9; </w:t>
      </w:r>
      <w:hyperlink w:anchor="SENTENCIA_2021_133" w:history="1">
        <w:r w:rsidRPr="002C5A78">
          <w:rPr>
            <w:rStyle w:val="TextoNormalCaracter"/>
          </w:rPr>
          <w:t>133/2021</w:t>
        </w:r>
      </w:hyperlink>
      <w:r>
        <w:t>, f. 4,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11 de octubre de 2018 (Tuskia y otros c. Georgia)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76 a 87.</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6 de noviembre de 2018 (Otegi Mondragón y otros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52 a 57.</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xml:space="preserve">, f. 6; </w:t>
      </w:r>
      <w:hyperlink w:anchor="SENTENCIA_2021_122" w:history="1">
        <w:r w:rsidRPr="002C5A78">
          <w:rPr>
            <w:rStyle w:val="TextoNormalCaracter"/>
          </w:rPr>
          <w:t>122/2021</w:t>
        </w:r>
      </w:hyperlink>
      <w:r>
        <w:t>, f. 7.</w:t>
      </w:r>
    </w:p>
    <w:p w:rsidR="002C5A78" w:rsidRDefault="002C5A78" w:rsidP="002C5A78">
      <w:pPr>
        <w:pStyle w:val="SangriaFrancesaArticulo"/>
      </w:pPr>
      <w:r w:rsidRPr="002C5A78">
        <w:rPr>
          <w:rStyle w:val="TextoNormalNegritaCaracter"/>
        </w:rPr>
        <w:t>§ 65.</w:t>
      </w:r>
      <w:r w:rsidRPr="002C5A78">
        <w:rPr>
          <w:rStyle w:val="TextoNormalCaracter"/>
        </w:rPr>
        <w:t>-</w:t>
      </w:r>
      <w:r>
        <w:t xml:space="preserve"> Sentencia </w:t>
      </w:r>
      <w:hyperlink w:anchor="SENTENCIA_2021_122" w:history="1">
        <w:r w:rsidRPr="002C5A78">
          <w:rPr>
            <w:rStyle w:val="TextoNormalCaracter"/>
          </w:rPr>
          <w:t>122/2021</w:t>
        </w:r>
      </w:hyperlink>
      <w:r>
        <w:t>, f. 8.</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15 de noviembre de 2018 (Navalnyy c. Rusia)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98.</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128.</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r w:rsidRPr="002C5A78">
        <w:rPr>
          <w:rStyle w:val="TextoNormalNegritaCaracter"/>
        </w:rPr>
        <w:t>§ 164.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165.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171.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173.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174.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175.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176.</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20 de noviembre de 2018 (Toranzo Gómez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diciembre de 2018 (Casa di Cura Valle Fiorita S.R.L. c. Italia)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13" w:history="1">
        <w:r w:rsidRPr="002C5A78">
          <w:rPr>
            <w:rStyle w:val="TextoNormalCaracter"/>
          </w:rPr>
          <w:t>113/2021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9 de abril de 2019 (Navalnyy c. Rusia —núm. 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93.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98.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25 de abril de 2019 (Ter-Petrosyan c. Armenia)</w:t>
      </w:r>
    </w:p>
    <w:p w:rsidR="002C5A78" w:rsidRDefault="002C5A78" w:rsidP="002C5A78">
      <w:pPr>
        <w:pStyle w:val="SangriaFrancesaArticulo"/>
      </w:pPr>
      <w:r w:rsidRPr="002C5A78">
        <w:rPr>
          <w:rStyle w:val="TextoNormalNegritaCaracter"/>
        </w:rPr>
        <w:t>§ 8 a 25.</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r w:rsidRPr="002C5A78">
        <w:rPr>
          <w:rStyle w:val="TextoNormalNegritaCaracter"/>
        </w:rPr>
        <w:t>§ 53.</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p>
    <w:p w:rsidR="002C5A78" w:rsidRDefault="002C5A78" w:rsidP="002C5A78">
      <w:pPr>
        <w:pStyle w:val="TextoNormalNegritaCursivandice"/>
        <w:keepNext/>
      </w:pPr>
      <w:r>
        <w:t>Decisión del Tribunal Europeo de Derechos Humanos de 7 de mayo de 2019 (Maria Carme Forcadell i Lluís y otros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xml:space="preserve">, f. 12, VP; </w:t>
      </w:r>
      <w:hyperlink w:anchor="SENTENCIA_2021_122" w:history="1">
        <w:r w:rsidRPr="002C5A78">
          <w:rPr>
            <w:rStyle w:val="TextoNormalCaracter"/>
          </w:rPr>
          <w:t>122/2021</w:t>
        </w:r>
      </w:hyperlink>
      <w:r>
        <w:t>, f. 9, VP.</w:t>
      </w:r>
    </w:p>
    <w:p w:rsidR="002C5A78" w:rsidRDefault="002C5A78" w:rsidP="002C5A78">
      <w:pPr>
        <w:pStyle w:val="SangriaFrancesaArticulo"/>
      </w:pPr>
      <w:r w:rsidRPr="002C5A78">
        <w:rPr>
          <w:rStyle w:val="TextoNormalNegritaCaracter"/>
        </w:rPr>
        <w:t>§ 32.</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VP.</w:t>
      </w:r>
    </w:p>
    <w:p w:rsidR="002C5A78" w:rsidRDefault="002C5A78" w:rsidP="002C5A78">
      <w:pPr>
        <w:pStyle w:val="SangriaFrancesaArticulo"/>
      </w:pPr>
      <w:r w:rsidRPr="002C5A78">
        <w:rPr>
          <w:rStyle w:val="TextoNormalNegritaCaracter"/>
        </w:rPr>
        <w:t>§ 33.</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f. 11, VP.</w:t>
      </w:r>
    </w:p>
    <w:p w:rsidR="002C5A78" w:rsidRDefault="002C5A78" w:rsidP="002C5A78">
      <w:pPr>
        <w:pStyle w:val="SangriaFrancesaArticulo"/>
      </w:pPr>
      <w:r w:rsidRPr="002C5A78">
        <w:rPr>
          <w:rStyle w:val="TextoNormalNegritaCaracter"/>
        </w:rPr>
        <w:t>§ 37.</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38.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4 de julio de 2019 (Korban c. Ucrania)</w:t>
      </w:r>
    </w:p>
    <w:p w:rsidR="002C5A78" w:rsidRDefault="002C5A78" w:rsidP="002C5A78">
      <w:pPr>
        <w:pStyle w:val="SangriaFrancesaArticulo"/>
      </w:pPr>
      <w:r w:rsidRPr="002C5A78">
        <w:rPr>
          <w:rStyle w:val="TextoNormalNegritaCaracter"/>
        </w:rPr>
        <w:t>§ 203.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211 a 213.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214.</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24 de septiembre de 2019 (Camacho Camacho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18" w:history="1">
        <w:r w:rsidRPr="002C5A78">
          <w:rPr>
            <w:rStyle w:val="TextoNormalCaracter"/>
          </w:rPr>
          <w:t>18/2021</w:t>
        </w:r>
      </w:hyperlink>
      <w:r>
        <w:t xml:space="preserve">, f. 3; </w:t>
      </w:r>
      <w:hyperlink w:anchor="SENTENCIA_2021_133" w:history="1">
        <w:r w:rsidRPr="002C5A78">
          <w:rPr>
            <w:rStyle w:val="TextoNormalCaracter"/>
          </w:rPr>
          <w:t>133/2021</w:t>
        </w:r>
      </w:hyperlink>
      <w:r>
        <w:t>, VP II, VP III.</w:t>
      </w:r>
    </w:p>
    <w:p w:rsidR="002C5A78" w:rsidRDefault="002C5A78" w:rsidP="002C5A78">
      <w:pPr>
        <w:pStyle w:val="SangriaFrancesaArticulo"/>
      </w:pPr>
      <w:r w:rsidRPr="002C5A78">
        <w:rPr>
          <w:rStyle w:val="TextoNormalNegritaCaracter"/>
        </w:rPr>
        <w:t>§ 30.</w:t>
      </w:r>
      <w:r w:rsidRPr="002C5A78">
        <w:rPr>
          <w:rStyle w:val="TextoNormalCaracter"/>
        </w:rPr>
        <w:t>-</w:t>
      </w:r>
      <w:r>
        <w:t xml:space="preserve"> Sentencia </w:t>
      </w:r>
      <w:hyperlink w:anchor="SENTENCIA_2021_133" w:history="1">
        <w:r w:rsidRPr="002C5A78">
          <w:rPr>
            <w:rStyle w:val="TextoNormalCaracter"/>
          </w:rPr>
          <w:t>133/2021</w:t>
        </w:r>
      </w:hyperlink>
      <w:r>
        <w:t>, VP III.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octubre de 2019 (Batiashvili c. Georgia)</w:t>
      </w:r>
    </w:p>
    <w:p w:rsidR="002C5A78" w:rsidRDefault="002C5A78" w:rsidP="002C5A78">
      <w:pPr>
        <w:pStyle w:val="SangriaFrancesaArticulo"/>
      </w:pPr>
      <w:r w:rsidRPr="002C5A78">
        <w:rPr>
          <w:rStyle w:val="TextoNormalNegritaCaracter"/>
        </w:rPr>
        <w:t>§ 101.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102.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103.</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octubre de 2019 (Deli c. Moldavia)</w:t>
      </w:r>
    </w:p>
    <w:p w:rsidR="002C5A78" w:rsidRDefault="002C5A78" w:rsidP="002C5A78">
      <w:pPr>
        <w:pStyle w:val="SangriaFrancesaArticulo"/>
      </w:pPr>
      <w:r w:rsidRPr="002C5A78">
        <w:rPr>
          <w:rStyle w:val="TextoNormalNegritaCaracter"/>
        </w:rPr>
        <w:t>§ 36.</w:t>
      </w:r>
      <w:r w:rsidRPr="002C5A78">
        <w:rPr>
          <w:rStyle w:val="TextoNormalCaracter"/>
        </w:rPr>
        <w:t>-</w:t>
      </w:r>
      <w:r>
        <w:t xml:space="preserve"> Sentencias </w:t>
      </w:r>
      <w:hyperlink w:anchor="SENTENCIA_2021_91" w:history="1">
        <w:r w:rsidRPr="002C5A78">
          <w:rPr>
            <w:rStyle w:val="TextoNormalCaracter"/>
          </w:rPr>
          <w:t>91/2021</w:t>
        </w:r>
      </w:hyperlink>
      <w:r>
        <w:t xml:space="preserve">, f. 6; </w:t>
      </w:r>
      <w:hyperlink w:anchor="SENTENCIA_2021_106" w:history="1">
        <w:r w:rsidRPr="002C5A78">
          <w:rPr>
            <w:rStyle w:val="TextoNormalCaracter"/>
          </w:rPr>
          <w:t>106/2021</w:t>
        </w:r>
      </w:hyperlink>
      <w:r>
        <w:t xml:space="preserve">, f. 6; </w:t>
      </w:r>
      <w:hyperlink w:anchor="SENTENCIA_2021_121" w:history="1">
        <w:r w:rsidRPr="002C5A78">
          <w:rPr>
            <w:rStyle w:val="TextoNormalCaracter"/>
          </w:rPr>
          <w:t>121/2021</w:t>
        </w:r>
      </w:hyperlink>
      <w:r>
        <w:t>, f. 7.</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7 de noviembre de 2019 (Natig Jafarov c. Azerbaiyán)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68.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69.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70.</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19 de noviembre de 2019 (Razvozzhayev c. Rusia y Ucrania y Udaltsov c. Rusia)</w:t>
      </w:r>
    </w:p>
    <w:p w:rsidR="002C5A78" w:rsidRDefault="002C5A78" w:rsidP="002C5A78">
      <w:pPr>
        <w:pStyle w:val="SangriaFrancesaArticulo"/>
      </w:pPr>
      <w:r w:rsidRPr="002C5A78">
        <w:rPr>
          <w:rStyle w:val="TextoNormalNegritaCaracter"/>
        </w:rPr>
        <w:t>§ 305.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10 de diciembre de 2019 (Kavala c. Turquía)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198.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218.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231.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232.</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14 de enero de 2020 (Pardo Campoy y Lozano Rodríguez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14 de enero de 2020 (Varoglu Atik y otros c. Turquía)</w:t>
      </w:r>
    </w:p>
    <w:p w:rsidR="002C5A78" w:rsidRDefault="002C5A78" w:rsidP="002C5A78">
      <w:pPr>
        <w:pStyle w:val="SangriaFrancesaArticulo"/>
      </w:pPr>
      <w:r w:rsidRPr="002C5A78">
        <w:rPr>
          <w:rStyle w:val="TextoNormalNegritaCaracter"/>
        </w:rPr>
        <w:t>§ 29.</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febrero de 2020 (Ibrahimov y Mammadov c. Azerbaiyán)</w:t>
      </w:r>
    </w:p>
    <w:p w:rsidR="002C5A78" w:rsidRDefault="002C5A78" w:rsidP="002C5A78">
      <w:pPr>
        <w:pStyle w:val="SangriaFrancesaArticulo"/>
      </w:pPr>
      <w:r w:rsidRPr="002C5A78">
        <w:rPr>
          <w:rStyle w:val="TextoNormalNegritaCaracter"/>
        </w:rPr>
        <w:t>§ 149.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150.</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157.</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158.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27 de febrero de 2020 (Khadija Ismayilova c. Azerbaiyán —núm. 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111.</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16 de julio de 2020 (Yunusova Yunusov c. Azerbaiyán —núm. 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185.</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8 de septiembre de 2020 (Romero García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6 de octubre de 2020 (Laguna Guzmán c. España)</w:t>
      </w:r>
    </w:p>
    <w:p w:rsidR="002C5A78" w:rsidRDefault="002C5A78" w:rsidP="002C5A78">
      <w:pPr>
        <w:pStyle w:val="SangriaFrancesaArticulo"/>
      </w:pPr>
      <w:r w:rsidRPr="002C5A78">
        <w:rPr>
          <w:rStyle w:val="TextoNormalNegritaCaracter"/>
        </w:rPr>
        <w:t>§ 35.</w:t>
      </w:r>
      <w:r w:rsidRPr="002C5A78">
        <w:rPr>
          <w:rStyle w:val="TextoNormalCaracter"/>
        </w:rPr>
        <w:t>-</w:t>
      </w:r>
      <w:r>
        <w:t xml:space="preserve"> Sentencias </w:t>
      </w:r>
      <w:hyperlink w:anchor="SENTENCIA_2021_121" w:history="1">
        <w:r w:rsidRPr="002C5A78">
          <w:rPr>
            <w:rStyle w:val="TextoNormalCaracter"/>
          </w:rPr>
          <w:t>121/2021</w:t>
        </w:r>
      </w:hyperlink>
      <w:r>
        <w:t xml:space="preserve">, VP; </w:t>
      </w:r>
      <w:hyperlink w:anchor="SENTENCIA_2021_122" w:history="1">
        <w:r w:rsidRPr="002C5A78">
          <w:rPr>
            <w:rStyle w:val="TextoNormalCaracter"/>
          </w:rPr>
          <w:t>122/2021</w:t>
        </w:r>
      </w:hyperlink>
      <w:r>
        <w:t xml:space="preserve">, VP;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22 de diciembre de 2020 (Selahattin Demirtas c. Turquía —núm. 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256.</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r w:rsidRPr="002C5A78">
        <w:rPr>
          <w:rStyle w:val="TextoNormalNegritaCaracter"/>
        </w:rPr>
        <w:t>§ 340.</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18 de febrero de 2021 (Azizov y Novruzlu c. Azerbaiyán)</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70.</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76.</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77.</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78.</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r w:rsidRPr="002C5A78">
        <w:rPr>
          <w:rStyle w:val="TextoNormalNegritaCaracter"/>
        </w:rPr>
        <w:t>§ 79.</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9 de marzo de 2021 (Benítez Moriana e Íñigo Fernández c. España)</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33" w:history="1">
        <w:r w:rsidRPr="002C5A78">
          <w:rPr>
            <w:rStyle w:val="TextoNormalCaracter"/>
          </w:rPr>
          <w:t>133/2021</w:t>
        </w:r>
      </w:hyperlink>
      <w:r>
        <w:t>, VP II.</w:t>
      </w:r>
    </w:p>
    <w:p w:rsidR="002C5A78" w:rsidRDefault="002C5A78" w:rsidP="002C5A78">
      <w:pPr>
        <w:pStyle w:val="SangriaFrancesaArticulo"/>
      </w:pPr>
    </w:p>
    <w:p w:rsidR="002C5A78" w:rsidRDefault="002C5A78" w:rsidP="002C5A78">
      <w:pPr>
        <w:pStyle w:val="TextoNormalNegritaCursivandice"/>
        <w:keepNext/>
      </w:pPr>
      <w:r>
        <w:t>Sentencia del Tribunal Europeo de Derechos Humanos de 13 de abril de 2021 (Ahmet Hüsrev Altan c. Turquía)</w:t>
      </w:r>
    </w:p>
    <w:p w:rsidR="002C5A78" w:rsidRDefault="002C5A78" w:rsidP="002C5A78">
      <w:pPr>
        <w:pStyle w:val="SangriaFrancesaArticulo"/>
      </w:pPr>
      <w:r w:rsidRPr="002C5A78">
        <w:rPr>
          <w:rStyle w:val="TextoNormalNegritaCaracter"/>
        </w:rPr>
        <w:t>§ 236.</w:t>
      </w:r>
      <w:r w:rsidRPr="002C5A78">
        <w:rPr>
          <w:rStyle w:val="TextoNormalCaracter"/>
        </w:rPr>
        <w:t>-</w:t>
      </w:r>
      <w:r>
        <w:t xml:space="preserve"> Sentencia </w:t>
      </w:r>
      <w:hyperlink w:anchor="SENTENCIA_2021_122" w:history="1">
        <w:r w:rsidRPr="002C5A78">
          <w:rPr>
            <w:rStyle w:val="TextoNormalCaracter"/>
          </w:rPr>
          <w:t>122/2021</w:t>
        </w:r>
      </w:hyperlink>
      <w:r>
        <w:t>, f. 11.</w:t>
      </w:r>
    </w:p>
    <w:p w:rsidR="002C5A78" w:rsidRDefault="002C5A78" w:rsidP="002C5A78">
      <w:pPr>
        <w:pStyle w:val="TextoNormal"/>
      </w:pPr>
    </w:p>
    <w:p w:rsidR="002C5A78" w:rsidRDefault="002C5A78" w:rsidP="002C5A78">
      <w:pPr>
        <w:pStyle w:val="SangriaFrancesaArticulo"/>
      </w:pPr>
      <w:bookmarkStart w:id="231" w:name="INDICE22924"/>
    </w:p>
    <w:bookmarkEnd w:id="231"/>
    <w:p w:rsidR="002C5A78" w:rsidRDefault="002C5A78" w:rsidP="002C5A78">
      <w:pPr>
        <w:pStyle w:val="TextoIndiceNivel2"/>
        <w:suppressAutoHyphens/>
      </w:pPr>
      <w:r>
        <w:t>B) Tribunales de Justicia de las Comunidades Europeas y de la Unión Europea</w:t>
      </w:r>
    </w:p>
    <w:p w:rsidR="002C5A78" w:rsidRDefault="002C5A78" w:rsidP="002C5A78">
      <w:pPr>
        <w:pStyle w:val="TextoIndiceNivel2"/>
      </w:pPr>
    </w:p>
    <w:p w:rsidR="002C5A78" w:rsidRDefault="002C5A78" w:rsidP="002C5A78">
      <w:pPr>
        <w:pStyle w:val="TextoNormalNegritaCursivandice"/>
        <w:keepNext/>
      </w:pPr>
      <w:r>
        <w:t>Sentencia del Tribunal de Justicia de las Comunidades Europeas de 10 de julio de 1986 (Roger Wybot c. Edgar Faure y otros. Petición de decisión prejudicial: Cour d'appel de Paris – Francia, asunto C-149/85)</w:t>
      </w:r>
    </w:p>
    <w:p w:rsidR="002C5A78" w:rsidRDefault="002C5A78" w:rsidP="002C5A78">
      <w:pPr>
        <w:pStyle w:val="SangriaFrancesaArticulo"/>
      </w:pPr>
      <w:r w:rsidRPr="002C5A78">
        <w:rPr>
          <w:rStyle w:val="TextoNormalNegritaCaracter"/>
        </w:rPr>
        <w:t>§ 12.</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r w:rsidRPr="002C5A78">
        <w:rPr>
          <w:rStyle w:val="TextoNormalNegritaCaracter"/>
        </w:rPr>
        <w:t>§ 22.</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Auto del Tribunal de Justicia de las Comunidades Europeas de 6 de diciembre de 1990 (J.J. Zwartveld y otros. Solicitud de asistencia judicial: Rechter-commissaris bij de Arrondissementsrechtbank Groningen - Países Bajos, asunto C-2/88-Imm)</w:t>
      </w:r>
    </w:p>
    <w:p w:rsidR="002C5A78" w:rsidRDefault="002C5A78" w:rsidP="002C5A78">
      <w:pPr>
        <w:pStyle w:val="SangriaFrancesaArticulo"/>
      </w:pPr>
      <w:r w:rsidRPr="002C5A78">
        <w:rPr>
          <w:rStyle w:val="TextoNormalNegritaCaracter"/>
        </w:rPr>
        <w:t>§ 19.</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las Comunidades Europeas de 22 de marzo de 2007 (Comisión de las Comunidades Europeas c. Reino de Bélgica, asunto C-437/04)</w:t>
      </w:r>
    </w:p>
    <w:p w:rsidR="002C5A78" w:rsidRDefault="002C5A78" w:rsidP="002C5A78">
      <w:pPr>
        <w:pStyle w:val="SangriaFrancesaArticulo"/>
      </w:pPr>
      <w:r w:rsidRPr="002C5A78">
        <w:rPr>
          <w:rStyle w:val="TextoNormalNegritaCaracter"/>
        </w:rPr>
        <w:t>§ 56.</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las Comunidades Europeas de 6 de octubre de 2009 (Asturcom Telecomunicaciones, S.L. c. Cristina Rodríguez Nogueira, asunto C-40/08)</w:t>
      </w:r>
    </w:p>
    <w:p w:rsidR="002C5A78" w:rsidRDefault="002C5A78" w:rsidP="002C5A78">
      <w:pPr>
        <w:pStyle w:val="SangriaFrancesaArticulo"/>
      </w:pPr>
      <w:r w:rsidRPr="002C5A78">
        <w:rPr>
          <w:rStyle w:val="TextoNormalNegritaCaracter"/>
        </w:rPr>
        <w:t>§ 51 y 52.</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General de la Unión Europea de 19 de marzo de 2010 (Bruno Gollnisch c. Parlamento Europeo, asunto T-42/06)</w:t>
      </w:r>
    </w:p>
    <w:p w:rsidR="002C5A78" w:rsidRDefault="002C5A78" w:rsidP="002C5A78">
      <w:pPr>
        <w:pStyle w:val="SangriaFrancesaArticulo"/>
      </w:pPr>
      <w:r w:rsidRPr="002C5A78">
        <w:rPr>
          <w:rStyle w:val="TextoNormalNegritaCaracter"/>
        </w:rPr>
        <w:t>§ 94.</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17 de junio de 2010 (Terre wallonne ASBL, asunto C-105/09 y Inter-Environnement Wallonie ASBL, asunto C-110/09 contra Région wallonne)</w:t>
      </w:r>
    </w:p>
    <w:p w:rsidR="002C5A78" w:rsidRDefault="002C5A78" w:rsidP="002C5A78">
      <w:pPr>
        <w:pStyle w:val="SangriaFrancesaArticulo"/>
      </w:pPr>
      <w:r w:rsidRPr="002C5A78">
        <w:rPr>
          <w:rStyle w:val="TextoNormalNegritaCaracter"/>
        </w:rPr>
        <w:t>§ 45.</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22 de septiembre de 2011 (Valciukiene y otros c. Pakruojo rajono savivaldybe y otros, asunto C-295/10)</w:t>
      </w:r>
    </w:p>
    <w:p w:rsidR="002C5A78" w:rsidRDefault="002C5A78" w:rsidP="002C5A78">
      <w:pPr>
        <w:pStyle w:val="SangriaFrancesaArticulo"/>
      </w:pPr>
      <w:r w:rsidRPr="002C5A78">
        <w:rPr>
          <w:rStyle w:val="TextoNormalNegritaCaracter"/>
        </w:rPr>
        <w:t>§ 47.</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19 de julio de 2012 (Ahmed Mahamdia c. República Argelina Democrática y Popular, asunto C-154/11)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0" w:history="1">
        <w:r w:rsidRPr="002C5A78">
          <w:rPr>
            <w:rStyle w:val="TextoNormalCaracter"/>
          </w:rPr>
          <w:t>120/2021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14 de marzo de 2013 [Mohamed Aziz c. Caixa d’Estalvis de Catalunya, Tarragona i Manresa (Catalunyacaixa), asunto C-415/11]</w:t>
      </w:r>
    </w:p>
    <w:p w:rsidR="002C5A78" w:rsidRDefault="002C5A78" w:rsidP="002C5A78">
      <w:pPr>
        <w:pStyle w:val="SangriaFrancesaArticulo"/>
      </w:pPr>
      <w:r w:rsidRPr="002C5A78">
        <w:rPr>
          <w:rStyle w:val="TextoNormalNegritaCaracter"/>
        </w:rPr>
        <w:t>§ 46.</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11 de abril de 2013 (HK Danmark, en representación de Jette Ring c. Dansk almennyttigt Bo-ligselskab y HK Danmark, en representación de Lone Skouboe Werge c. Dansk Arbejdsgiverforening, en representación de Pro Display A/S. Peticiones de decisión prejudicial planteadas por el Sø-og Handelsretten, asuntos acumulados C-335/11 y C-337/11)</w:t>
      </w:r>
    </w:p>
    <w:p w:rsidR="002C5A78" w:rsidRDefault="002C5A78" w:rsidP="002C5A78">
      <w:pPr>
        <w:pStyle w:val="SangriaFrancesaArticulo"/>
      </w:pPr>
      <w:r w:rsidRPr="002C5A78">
        <w:rPr>
          <w:rStyle w:val="TextoNormalNegritaCaracter"/>
        </w:rPr>
        <w:t>§ 37 a 41.</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 47.</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 93.</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18 de marzo de 2014 (Z. c. A Government department y The Board of management of a community school. Petición de decisión prejudicial planteada por el Equality Tribunal, asunto C-363/12)</w:t>
      </w:r>
    </w:p>
    <w:p w:rsidR="002C5A78" w:rsidRDefault="002C5A78" w:rsidP="002C5A78">
      <w:pPr>
        <w:pStyle w:val="SangriaFrancesaArticulo"/>
      </w:pPr>
      <w:r w:rsidRPr="002C5A78">
        <w:rPr>
          <w:rStyle w:val="TextoNormalNegritaCaracter"/>
        </w:rPr>
        <w:t>§ 76.</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 77.</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17 de julio de 2014 (Juan Carlos Sánchez Morcillo y María del Carmen Abril García c. Banco Bilbao Vizcaya Argentaria, S.A., asunto C-169/14)</w:t>
      </w:r>
    </w:p>
    <w:p w:rsidR="002C5A78" w:rsidRDefault="002C5A78" w:rsidP="002C5A78">
      <w:pPr>
        <w:pStyle w:val="SangriaFrancesaArticulo"/>
      </w:pPr>
      <w:r w:rsidRPr="002C5A78">
        <w:rPr>
          <w:rStyle w:val="TextoNormalNegritaCaracter"/>
        </w:rPr>
        <w:t>§ 23.</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18 de diciembre de 2014 [Fag og Arbejde (FOA) c. Kommunernes Landsforening (KL). Petición de decisión prejudicial planteada por el retten i Kolding, asunto C-354/13]</w:t>
      </w:r>
    </w:p>
    <w:p w:rsidR="002C5A78" w:rsidRDefault="002C5A78" w:rsidP="002C5A78">
      <w:pPr>
        <w:pStyle w:val="SangriaFrancesaArticulo"/>
      </w:pPr>
      <w:r w:rsidRPr="002C5A78">
        <w:rPr>
          <w:rStyle w:val="TextoNormalNegritaCaracter"/>
        </w:rPr>
        <w:t>§ 53.</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 54.</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 64.</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r w:rsidRPr="002C5A78">
        <w:rPr>
          <w:rStyle w:val="TextoNormalNegritaCaracter"/>
        </w:rPr>
        <w:t>§ 65.</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General de la Unión Europea de 15 de julio de 2015 (Voestalpine AG y voestalpine Wire Rod Austria GmbH c. Comisión Europea, asunto T-418/10)</w:t>
      </w:r>
    </w:p>
    <w:p w:rsidR="002C5A78" w:rsidRDefault="002C5A78" w:rsidP="002C5A78">
      <w:pPr>
        <w:pStyle w:val="SangriaFrancesaArticulo"/>
      </w:pPr>
      <w:r w:rsidRPr="002C5A78">
        <w:rPr>
          <w:rStyle w:val="TextoNormalNegritaCaracter"/>
        </w:rPr>
        <w:t>§ 411 a 413.</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16 de julio de 2015 (Robert Michal Chmielewski c. Nemzeti Adó-és Vámhivatal Dél-alföldi Regionális Vám-és Pénzügyori Foigazgatósága. Petición de decisión prejudicial planteada por el Kecskeméti Közigazgatási és Munkaügyi Bíróság, asunto C-255/14)</w:t>
      </w:r>
    </w:p>
    <w:p w:rsidR="002C5A78" w:rsidRDefault="002C5A78" w:rsidP="002C5A78">
      <w:pPr>
        <w:pStyle w:val="SangriaFrancesaArticulo"/>
      </w:pPr>
      <w:r w:rsidRPr="002C5A78">
        <w:rPr>
          <w:rStyle w:val="TextoNormalNegritaCaracter"/>
        </w:rPr>
        <w:t>§ 22 y 23.</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 de diciembre de 2016  (Mohamed Daouidi c. Bootes Plus, S.L., y otros. Petición de decisión prejudicial planteada por el Juzgado de lo Social núm. 33 de Barcelona, asunto C-395/15)</w:t>
      </w:r>
    </w:p>
    <w:p w:rsidR="002C5A78" w:rsidRDefault="002C5A78" w:rsidP="002C5A78">
      <w:pPr>
        <w:pStyle w:val="SangriaFrancesaArticulo"/>
      </w:pPr>
      <w:r w:rsidRPr="002C5A78">
        <w:rPr>
          <w:rStyle w:val="TextoNormalNegritaCaracter"/>
        </w:rPr>
        <w:t>§ 42 a 45.</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Europeo de la Unión Europea de 21 de diciembre de 2016 [Francisco Gutiérrez Naranjo c. Cajasur Banco SAU, Ana María Palacios Martínez c. Banco Bilbao Vizcaya Argentaria, S.A. (BBVA) y Banco Popular Español, S.A. c. Emilio Irles López y Teresa Torres Andreu, asuntos C-154/15, C-307/15 y C-308/15]</w:t>
      </w:r>
    </w:p>
    <w:p w:rsidR="002C5A78" w:rsidRDefault="002C5A78" w:rsidP="002C5A78">
      <w:pPr>
        <w:pStyle w:val="SangriaFrancesaArticulo"/>
      </w:pPr>
      <w:r w:rsidRPr="002C5A78">
        <w:rPr>
          <w:rStyle w:val="TextoNormalNegritaCaracter"/>
        </w:rPr>
        <w:t>§ 53 y 55.</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r w:rsidRPr="002C5A78">
        <w:rPr>
          <w:rStyle w:val="TextoNormalNegritaCaracter"/>
        </w:rPr>
        <w:t>§ 54.</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r w:rsidRPr="002C5A78">
        <w:rPr>
          <w:rStyle w:val="TextoNormalNegritaCaracter"/>
        </w:rPr>
        <w:t>§ 58.</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26 de enero de 2017 (Banco Primus, S.A., c. Jesús Gutiérrez García, asunto C-421/14)</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 w:history="1">
        <w:r w:rsidRPr="002C5A78">
          <w:rPr>
            <w:rStyle w:val="TextoNormalCaracter"/>
          </w:rPr>
          <w:t>7/2021</w:t>
        </w:r>
      </w:hyperlink>
      <w:r>
        <w:t xml:space="preserve">, f. 2; </w:t>
      </w:r>
      <w:hyperlink w:anchor="SENTENCIA_2021_8" w:history="1">
        <w:r w:rsidRPr="002C5A78">
          <w:rPr>
            <w:rStyle w:val="TextoNormalCaracter"/>
          </w:rPr>
          <w:t>8/2021</w:t>
        </w:r>
      </w:hyperlink>
      <w:r>
        <w:t xml:space="preserve">, ff. 3, 4; </w:t>
      </w:r>
      <w:hyperlink w:anchor="SENTENCIA_2021_50" w:history="1">
        <w:r w:rsidRPr="002C5A78">
          <w:rPr>
            <w:rStyle w:val="TextoNormalCaracter"/>
          </w:rPr>
          <w:t>50/2021</w:t>
        </w:r>
      </w:hyperlink>
      <w:r>
        <w:t xml:space="preserve">, f. 2; </w:t>
      </w:r>
      <w:hyperlink w:anchor="SENTENCIA_2021_77" w:history="1">
        <w:r w:rsidRPr="002C5A78">
          <w:rPr>
            <w:rStyle w:val="TextoNormalCaracter"/>
          </w:rPr>
          <w:t>77/2021</w:t>
        </w:r>
      </w:hyperlink>
      <w:r>
        <w:t xml:space="preserve">, f. 2; </w:t>
      </w:r>
      <w:hyperlink w:anchor="SENTENCIA_2021_92" w:history="1">
        <w:r w:rsidRPr="002C5A78">
          <w:rPr>
            <w:rStyle w:val="TextoNormalCaracter"/>
          </w:rPr>
          <w:t>92/2021</w:t>
        </w:r>
      </w:hyperlink>
      <w:r>
        <w:t xml:space="preserve">, f. 2; </w:t>
      </w:r>
      <w:hyperlink w:anchor="SENTENCIA_2021_101" w:history="1">
        <w:r w:rsidRPr="002C5A78">
          <w:rPr>
            <w:rStyle w:val="TextoNormalCaracter"/>
          </w:rPr>
          <w:t>101/2021</w:t>
        </w:r>
      </w:hyperlink>
      <w:r>
        <w:t>, f. 3.</w:t>
      </w:r>
    </w:p>
    <w:p w:rsidR="002C5A78" w:rsidRDefault="002C5A78" w:rsidP="002C5A78">
      <w:pPr>
        <w:pStyle w:val="SangriaFrancesaArticulo"/>
      </w:pPr>
      <w:r w:rsidRPr="002C5A78">
        <w:rPr>
          <w:rStyle w:val="TextoNormalNegritaCaracter"/>
        </w:rPr>
        <w:t>§ 41.</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r w:rsidRPr="002C5A78">
        <w:rPr>
          <w:rStyle w:val="TextoNormalNegritaCaracter"/>
        </w:rPr>
        <w:t>§ 42.</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xml:space="preserve">, f. 3; </w:t>
      </w:r>
      <w:hyperlink w:anchor="SENTENCIA_2021_101" w:history="1">
        <w:r w:rsidRPr="002C5A78">
          <w:rPr>
            <w:rStyle w:val="TextoNormalCaracter"/>
          </w:rPr>
          <w:t>101/2021</w:t>
        </w:r>
      </w:hyperlink>
      <w:r>
        <w:t>, f. 3.</w:t>
      </w:r>
    </w:p>
    <w:p w:rsidR="002C5A78" w:rsidRDefault="002C5A78" w:rsidP="002C5A78">
      <w:pPr>
        <w:pStyle w:val="SangriaFrancesaArticulo"/>
      </w:pPr>
      <w:r w:rsidRPr="002C5A78">
        <w:rPr>
          <w:rStyle w:val="TextoNormalNegritaCaracter"/>
        </w:rPr>
        <w:t>§ 43.</w:t>
      </w:r>
      <w:r w:rsidRPr="002C5A78">
        <w:rPr>
          <w:rStyle w:val="TextoNormalCaracter"/>
        </w:rPr>
        <w:t>-</w:t>
      </w:r>
      <w:r>
        <w:t xml:space="preserve"> Sentencias </w:t>
      </w:r>
      <w:hyperlink w:anchor="SENTENCIA_2021_8" w:history="1">
        <w:r w:rsidRPr="002C5A78">
          <w:rPr>
            <w:rStyle w:val="TextoNormalCaracter"/>
          </w:rPr>
          <w:t>8/2021</w:t>
        </w:r>
      </w:hyperlink>
      <w:r>
        <w:t xml:space="preserve">, f. 3; </w:t>
      </w:r>
      <w:hyperlink w:anchor="SENTENCIA_2021_12" w:history="1">
        <w:r w:rsidRPr="002C5A78">
          <w:rPr>
            <w:rStyle w:val="TextoNormalCaracter"/>
          </w:rPr>
          <w:t>12/2021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9 de marzo de 2017 (Petya Milkova c. Izpalnitelen direktor na Agentsiata za privatizatsia i sledprivatizatsionen control. Petición de decisión prejudicial planteada por el Varhoven administrativen sad, asunto C-406/15)</w:t>
      </w:r>
    </w:p>
    <w:p w:rsidR="002C5A78" w:rsidRDefault="002C5A78" w:rsidP="002C5A78">
      <w:pPr>
        <w:pStyle w:val="SangriaFrancesaArticulo"/>
      </w:pPr>
      <w:r w:rsidRPr="002C5A78">
        <w:rPr>
          <w:rStyle w:val="TextoNormalNegritaCaracter"/>
        </w:rPr>
        <w:t>§ 36.</w:t>
      </w:r>
      <w:r w:rsidRPr="002C5A78">
        <w:rPr>
          <w:rStyle w:val="TextoNormalCaracter"/>
        </w:rPr>
        <w:t>-</w:t>
      </w:r>
      <w:r>
        <w:t xml:space="preserve"> Sentencia </w:t>
      </w:r>
      <w:hyperlink w:anchor="SENTENCIA_2021_51" w:history="1">
        <w:r w:rsidRPr="002C5A78">
          <w:rPr>
            <w:rStyle w:val="TextoNormalCaracter"/>
          </w:rPr>
          <w:t>51/2021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7 de junio de 2018 (Thybaut y otros c. Région wallonne, asunto C-160/17)</w:t>
      </w:r>
    </w:p>
    <w:p w:rsidR="002C5A78" w:rsidRDefault="002C5A78" w:rsidP="002C5A78">
      <w:pPr>
        <w:pStyle w:val="SangriaFrancesaArticulo"/>
      </w:pPr>
      <w:r w:rsidRPr="002C5A78">
        <w:rPr>
          <w:rStyle w:val="TextoNormalNegritaCaracter"/>
        </w:rPr>
        <w:t>§ 54.</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r w:rsidRPr="002C5A78">
        <w:rPr>
          <w:rStyle w:val="TextoNormalNegritaCaracter"/>
        </w:rPr>
        <w:t>§ 55.</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4 de octubre de 2018 (Dooel Uvoz-Izvoz Skopje Link Logistic N&amp;N c. Budapest Rendorfokapitánya. Petición de decisión prejudicial planteada por el Szombathelyi Közigazgatási és Munkaügyi Bíróság, asunto C-384/17)</w:t>
      </w:r>
    </w:p>
    <w:p w:rsidR="002C5A78" w:rsidRDefault="002C5A78" w:rsidP="002C5A78">
      <w:pPr>
        <w:pStyle w:val="SangriaFrancesaArticulo"/>
      </w:pPr>
      <w:r w:rsidRPr="002C5A78">
        <w:rPr>
          <w:rStyle w:val="TextoNormalNegritaCaracter"/>
        </w:rPr>
        <w:t>§ 40 a 45.</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Auto del Tribunal de Justicia de la Unión Europea de 21 de marzo de 2019, [Crédit agricole y Crédit agricole Corporate and Investment Bank, asunto C-4/19 P(R)]</w:t>
      </w:r>
    </w:p>
    <w:p w:rsidR="002C5A78" w:rsidRDefault="002C5A78" w:rsidP="002C5A78">
      <w:pPr>
        <w:pStyle w:val="SangriaFrancesaArticulo"/>
      </w:pPr>
      <w:r w:rsidRPr="002C5A78">
        <w:rPr>
          <w:rStyle w:val="TextoNormalNegritaCaracter"/>
        </w:rPr>
        <w:t>§ 12.</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12 de junio de 2019 (Terre wallonne ASBL c. Région wallonne, asunto C-321/18)</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Sentencia </w:t>
      </w:r>
      <w:hyperlink w:anchor="SENTENCIA_2021_123" w:history="1">
        <w:r w:rsidRPr="002C5A78">
          <w:rPr>
            <w:rStyle w:val="TextoNormalCaracter"/>
          </w:rPr>
          <w:t>123/2021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11 de septiembre de 2019, (DW c. Nobel Plastiques Ibérica, S.A., asunto C-397/18)</w:t>
      </w:r>
    </w:p>
    <w:p w:rsidR="002C5A78" w:rsidRDefault="002C5A78" w:rsidP="002C5A78">
      <w:pPr>
        <w:pStyle w:val="SangriaFrancesaArticulo"/>
      </w:pPr>
      <w:r w:rsidRPr="002C5A78">
        <w:rPr>
          <w:rStyle w:val="TextoNormalNegritaCaracter"/>
        </w:rPr>
        <w:t>§ 75.</w:t>
      </w:r>
      <w:r w:rsidRPr="002C5A78">
        <w:rPr>
          <w:rStyle w:val="TextoNormalCaracter"/>
        </w:rPr>
        <w:t>-</w:t>
      </w:r>
      <w:r>
        <w:t xml:space="preserve"> Sentencia </w:t>
      </w:r>
      <w:hyperlink w:anchor="SENTENCIA_2021_51" w:history="1">
        <w:r w:rsidRPr="002C5A78">
          <w:rPr>
            <w:rStyle w:val="TextoNormalCaracter"/>
          </w:rPr>
          <w:t>51/2021</w:t>
        </w:r>
      </w:hyperlink>
      <w:r>
        <w:t>, f. 4.</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12 de septiembre de 2019 (Zoran Maksimovic y otros c. Bezirkshauptmannschaft Murtal y Finanzpolizei. Peticiones de decisión prejudicial planteadas por el Landesverwaltungsgericht Steiermark, asuntos acumulados C-64/18, C-140/18, C-146/18 y C-148/18)</w:t>
      </w:r>
    </w:p>
    <w:p w:rsidR="002C5A78" w:rsidRDefault="002C5A78" w:rsidP="002C5A78">
      <w:pPr>
        <w:pStyle w:val="SangriaFrancesaArticulo"/>
      </w:pPr>
      <w:r w:rsidRPr="002C5A78">
        <w:rPr>
          <w:rStyle w:val="TextoNormalNegritaCaracter"/>
        </w:rPr>
        <w:t>§ 42.</w:t>
      </w:r>
      <w:r w:rsidRPr="002C5A78">
        <w:rPr>
          <w:rStyle w:val="TextoNormalCaracter"/>
        </w:rPr>
        <w:t>-</w:t>
      </w:r>
      <w:r>
        <w:t xml:space="preserve"> Sentencia </w:t>
      </w:r>
      <w:hyperlink w:anchor="SENTENCIA_2021_91" w:history="1">
        <w:r w:rsidRPr="002C5A78">
          <w:rPr>
            <w:rStyle w:val="TextoNormalCaracter"/>
          </w:rPr>
          <w:t>91/2021</w:t>
        </w:r>
      </w:hyperlink>
      <w:r>
        <w:t>, VP.</w:t>
      </w:r>
    </w:p>
    <w:p w:rsidR="002C5A78" w:rsidRDefault="002C5A78" w:rsidP="002C5A78">
      <w:pPr>
        <w:pStyle w:val="SangriaFrancesaArticulo"/>
      </w:pPr>
      <w:r w:rsidRPr="002C5A78">
        <w:rPr>
          <w:rStyle w:val="TextoNormalNegritaCaracter"/>
        </w:rPr>
        <w:t>§ 42 a 47.</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 42.</w:t>
      </w:r>
      <w:r w:rsidRPr="002C5A78">
        <w:rPr>
          <w:rStyle w:val="TextoNormalCaracter"/>
        </w:rPr>
        <w:t>-</w:t>
      </w:r>
      <w:r>
        <w:t xml:space="preserve"> Sentencia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19 de diciembre de 2019 (procedimiento penal entablado c. Oriol Junqueras Vies. Petición de decisión prejudicial planteada por el Tribunal Supremo de España, asunto C-502/19)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70" w:history="1">
        <w:r w:rsidRPr="002C5A78">
          <w:rPr>
            <w:rStyle w:val="TextoNormalCaracter"/>
          </w:rPr>
          <w:t>70/2021</w:t>
        </w:r>
      </w:hyperlink>
      <w:r>
        <w:t xml:space="preserve">, f. 7; </w:t>
      </w:r>
      <w:hyperlink w:anchor="SENTENCIA_2021_71" w:history="1">
        <w:r w:rsidRPr="002C5A78">
          <w:rPr>
            <w:rStyle w:val="TextoNormalCaracter"/>
          </w:rPr>
          <w:t>71/2021</w:t>
        </w:r>
      </w:hyperlink>
      <w:r>
        <w:t>, f. 7.</w:t>
      </w:r>
    </w:p>
    <w:p w:rsidR="002C5A78" w:rsidRDefault="002C5A78" w:rsidP="002C5A78">
      <w:pPr>
        <w:pStyle w:val="SangriaFrancesaArticulo"/>
      </w:pPr>
      <w:r w:rsidRPr="002C5A78">
        <w:rPr>
          <w:rStyle w:val="TextoNormalNegritaCaracter"/>
        </w:rPr>
        <w:t>§ 82.</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r w:rsidRPr="002C5A78">
        <w:rPr>
          <w:rStyle w:val="TextoNormalNegritaCaracter"/>
        </w:rPr>
        <w:t>§ 83.</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r w:rsidRPr="002C5A78">
        <w:rPr>
          <w:rStyle w:val="TextoNormalNegritaCaracter"/>
        </w:rPr>
        <w:t>§ 84.</w:t>
      </w:r>
      <w:r w:rsidRPr="002C5A78">
        <w:rPr>
          <w:rStyle w:val="TextoNormalCaracter"/>
        </w:rPr>
        <w:t>-</w:t>
      </w:r>
      <w:r>
        <w:t xml:space="preserve"> Sentencias </w:t>
      </w:r>
      <w:hyperlink w:anchor="SENTENCIA_2021_70" w:history="1">
        <w:r w:rsidRPr="002C5A78">
          <w:rPr>
            <w:rStyle w:val="TextoNormalCaracter"/>
          </w:rPr>
          <w:t>70/2021</w:t>
        </w:r>
      </w:hyperlink>
      <w:r>
        <w:t xml:space="preserve">, f. 3; </w:t>
      </w:r>
      <w:hyperlink w:anchor="SENTENCIA_2021_71" w:history="1">
        <w:r w:rsidRPr="002C5A78">
          <w:rPr>
            <w:rStyle w:val="TextoNormalCaracter"/>
          </w:rPr>
          <w:t>71/2021</w:t>
        </w:r>
      </w:hyperlink>
      <w:r>
        <w:t>, f. 3.</w:t>
      </w:r>
    </w:p>
    <w:p w:rsidR="002C5A78" w:rsidRDefault="002C5A78" w:rsidP="002C5A78">
      <w:pPr>
        <w:pStyle w:val="SangriaFrancesaArticulo"/>
      </w:pPr>
    </w:p>
    <w:p w:rsidR="002C5A78" w:rsidRDefault="002C5A78" w:rsidP="002C5A78">
      <w:pPr>
        <w:pStyle w:val="TextoNormalNegritaCursivandice"/>
        <w:keepNext/>
      </w:pPr>
      <w:r>
        <w:t>Auto del Tribunal de Justicia de la Unión Europea de 20 de diciembre de 2019, [Puigdemont i Casamajó y Comín i Oliveres c. Parlamento, asunto C-646/19 P(R)]</w:t>
      </w:r>
    </w:p>
    <w:p w:rsidR="002C5A78" w:rsidRDefault="002C5A78" w:rsidP="002C5A78">
      <w:pPr>
        <w:pStyle w:val="SangriaFrancesaArticulo"/>
      </w:pPr>
      <w:r w:rsidRPr="002C5A78">
        <w:rPr>
          <w:rStyle w:val="TextoNormalNegritaCaracter"/>
        </w:rPr>
        <w:t>§ 51.</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p>
    <w:p w:rsidR="002C5A78" w:rsidRDefault="002C5A78" w:rsidP="002C5A78">
      <w:pPr>
        <w:pStyle w:val="TextoNormalNegritaCursivandice"/>
        <w:keepNext/>
      </w:pPr>
      <w:r>
        <w:t>Auto del Tribunal General de la Unión Europea de 3 de marzo de 2020 (Oriol Junqueras i Vies c. Parlamento Europeo, asunto T-24/20)</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Auto </w:t>
      </w:r>
      <w:hyperlink w:anchor="AUTO_2021_28" w:history="1">
        <w:r w:rsidRPr="002C5A78">
          <w:rPr>
            <w:rStyle w:val="TextoNormalCaracter"/>
          </w:rPr>
          <w:t>28/2021</w:t>
        </w:r>
      </w:hyperlink>
      <w:r>
        <w:t>, f. 1.</w:t>
      </w:r>
    </w:p>
    <w:p w:rsidR="002C5A78" w:rsidRDefault="002C5A78" w:rsidP="002C5A78">
      <w:pPr>
        <w:pStyle w:val="SangriaFrancesaArticulo"/>
      </w:pPr>
      <w:r w:rsidRPr="002C5A78">
        <w:rPr>
          <w:rStyle w:val="TextoNormalNegritaCaracter"/>
        </w:rPr>
        <w:t>§ 40.</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 41.</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 42.</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r w:rsidRPr="002C5A78">
        <w:rPr>
          <w:rStyle w:val="TextoNormalNegritaCaracter"/>
        </w:rPr>
        <w:t>§ 43.</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p>
    <w:p w:rsidR="002C5A78" w:rsidRDefault="002C5A78" w:rsidP="002C5A78">
      <w:pPr>
        <w:pStyle w:val="TextoNormalNegritaCursivandice"/>
        <w:keepNext/>
      </w:pPr>
      <w:r>
        <w:t>Auto del Tribunal de Justicia de la Unión Europea de 8 de octubre de 2020 [Oriol Junqueras i Vies contra Parlamento Europeo, asunto C-201/20 P(R)]</w:t>
      </w:r>
    </w:p>
    <w:p w:rsidR="002C5A78" w:rsidRDefault="002C5A78" w:rsidP="002C5A78">
      <w:pPr>
        <w:pStyle w:val="SangriaFrancesaArticulo"/>
      </w:pPr>
      <w:r w:rsidRPr="002C5A78">
        <w:rPr>
          <w:rStyle w:val="TextoNormalNegritaCaracter"/>
        </w:rPr>
        <w:t>§ 101.</w:t>
      </w:r>
      <w:r w:rsidRPr="002C5A78">
        <w:rPr>
          <w:rStyle w:val="TextoNormalCaracter"/>
        </w:rPr>
        <w:t>-</w:t>
      </w:r>
      <w:r>
        <w:t xml:space="preserve"> Auto </w:t>
      </w:r>
      <w:hyperlink w:anchor="AUTO_2021_28" w:history="1">
        <w:r w:rsidRPr="002C5A78">
          <w:rPr>
            <w:rStyle w:val="TextoNormalCaracter"/>
          </w:rPr>
          <w:t>28/2021</w:t>
        </w:r>
      </w:hyperlink>
      <w:r>
        <w:t>, f. 3.</w:t>
      </w:r>
    </w:p>
    <w:p w:rsidR="002C5A78" w:rsidRDefault="002C5A78" w:rsidP="002C5A78">
      <w:pPr>
        <w:pStyle w:val="SangriaFrancesaArticulo"/>
      </w:pPr>
    </w:p>
    <w:p w:rsidR="002C5A78" w:rsidRDefault="002C5A78" w:rsidP="002C5A78">
      <w:pPr>
        <w:pStyle w:val="TextoNormalNegritaCursivandice"/>
        <w:keepNext/>
      </w:pPr>
      <w:r>
        <w:t>Sentencia del Tribunal de Justicia de la Unión Europea de 11 de febrero de 2021 [K. M. Petición de decisión prejudicial planteada por la Court of Appeal (Irlanda), asunto C-77/20]</w:t>
      </w:r>
    </w:p>
    <w:p w:rsidR="002C5A78" w:rsidRDefault="002C5A78" w:rsidP="002C5A78">
      <w:pPr>
        <w:pStyle w:val="SangriaFrancesaArticulo"/>
      </w:pPr>
      <w:r w:rsidRPr="002C5A78">
        <w:rPr>
          <w:rStyle w:val="TextoNormalNegritaCaracter"/>
        </w:rPr>
        <w:t>§ 37 y 38.</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r w:rsidRPr="002C5A78">
        <w:rPr>
          <w:rStyle w:val="TextoNormalNegritaCaracter"/>
        </w:rPr>
        <w:t>§ 54.</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TextoNormal"/>
      </w:pPr>
    </w:p>
    <w:p w:rsidR="002C5A78" w:rsidRDefault="002C5A78" w:rsidP="002C5A78">
      <w:pPr>
        <w:pStyle w:val="SangriaFrancesaArticulo"/>
      </w:pPr>
      <w:bookmarkStart w:id="232" w:name="INDICE22925"/>
    </w:p>
    <w:bookmarkEnd w:id="232"/>
    <w:p w:rsidR="002C5A78" w:rsidRDefault="002C5A78" w:rsidP="002C5A78">
      <w:pPr>
        <w:pStyle w:val="TextoIndiceNivel2"/>
        <w:suppressAutoHyphens/>
      </w:pPr>
      <w:r>
        <w:t>C) Tribunal Supremo</w:t>
      </w:r>
    </w:p>
    <w:p w:rsidR="002C5A78" w:rsidRDefault="002C5A78" w:rsidP="002C5A78">
      <w:pPr>
        <w:pStyle w:val="TextoIndiceNivel2"/>
      </w:pPr>
    </w:p>
    <w:p w:rsidR="002C5A78" w:rsidRDefault="002C5A78" w:rsidP="002C5A78">
      <w:pPr>
        <w:pStyle w:val="TextoNormalNegritaCursivandice"/>
        <w:keepNext/>
      </w:pPr>
      <w:r>
        <w:t>Sentencia 1049/1980, de 10 de octubre, de la Sala de lo Penal del Tribunal Supremo (ECLI:ES:TS:1980:4961)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xml:space="preserve">, VP; </w:t>
      </w:r>
      <w:hyperlink w:anchor="SENTENCIA_2021_122" w:history="1">
        <w:r w:rsidRPr="002C5A78">
          <w:rPr>
            <w:rStyle w:val="TextoNormalCaracter"/>
          </w:rPr>
          <w:t>122/2021</w:t>
        </w:r>
      </w:hyperlink>
      <w:r>
        <w:t>, f. 10.</w:t>
      </w:r>
    </w:p>
    <w:p w:rsidR="002C5A78" w:rsidRDefault="002C5A78" w:rsidP="002C5A78">
      <w:pPr>
        <w:pStyle w:val="SangriaFrancesaArticulo"/>
      </w:pPr>
    </w:p>
    <w:p w:rsidR="002C5A78" w:rsidRDefault="002C5A78" w:rsidP="002C5A78">
      <w:pPr>
        <w:pStyle w:val="TextoNormalNegritaCursivandice"/>
        <w:keepNext/>
      </w:pPr>
      <w:r>
        <w:t>Sentencia 1202/1984, de 16 de julio, de la Sala de lo Penal del Tribunal Supremo (ECLI:ES:TS:1984:1030)</w:t>
      </w:r>
    </w:p>
    <w:p w:rsidR="002C5A78" w:rsidRDefault="002C5A78" w:rsidP="002C5A78">
      <w:pPr>
        <w:pStyle w:val="SangriaFrancesaArticulo"/>
      </w:pPr>
      <w:r>
        <w:t xml:space="preserve">Sentencia </w:t>
      </w:r>
      <w:hyperlink w:anchor="SENTENCIA_2021_35" w:history="1">
        <w:r w:rsidRPr="002C5A78">
          <w:rPr>
            <w:rStyle w:val="TextoNormalCaracter"/>
          </w:rPr>
          <w:t>35/2021</w:t>
        </w:r>
      </w:hyperlink>
      <w:r>
        <w:t>, f. 2.</w:t>
      </w:r>
    </w:p>
    <w:p w:rsidR="002C5A78" w:rsidRDefault="002C5A78" w:rsidP="002C5A78">
      <w:pPr>
        <w:pStyle w:val="SangriaFrancesaArticulo"/>
      </w:pPr>
    </w:p>
    <w:p w:rsidR="002C5A78" w:rsidRDefault="002C5A78" w:rsidP="002C5A78">
      <w:pPr>
        <w:pStyle w:val="TextoNormalNegritaCursivandice"/>
        <w:keepNext/>
      </w:pPr>
      <w:r>
        <w:t>Sentencia de 3 de julio de 1991 de la Sala de lo Penal del Tribunal Supremo (ECLI:ES:TS:1991:3852)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Sentencias de 11 de marzo de 1994, de la Sala de lo Penal del Tribunal Supremo (ECLI:ES:TS:1994:1667; ECLI:ES:TS:1994:10425; ECLI:ES:TS:1994:15625)</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VP; </w:t>
      </w:r>
      <w:hyperlink w:anchor="SENTENCIA_2021_106" w:history="1">
        <w:r w:rsidRPr="002C5A78">
          <w:rPr>
            <w:rStyle w:val="TextoNormalCaracter"/>
          </w:rPr>
          <w:t>106/2021</w:t>
        </w:r>
      </w:hyperlink>
      <w:r>
        <w:t>, VP.</w:t>
      </w:r>
    </w:p>
    <w:p w:rsidR="002C5A78" w:rsidRDefault="002C5A78" w:rsidP="002C5A78">
      <w:pPr>
        <w:pStyle w:val="SangriaFrancesaArticulo"/>
      </w:pPr>
    </w:p>
    <w:p w:rsidR="002C5A78" w:rsidRDefault="002C5A78" w:rsidP="002C5A78">
      <w:pPr>
        <w:pStyle w:val="TextoNormalNegritaCursivandice"/>
        <w:keepNext/>
      </w:pPr>
      <w:r>
        <w:t>Sentencias de 28 de septiembre de 1994, de la Sala de lo Penal del Tribunal Supremo (ECLI:ES:TS:1994:13699; ECLI:ES:TS:1994:17064)</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851/1999, de 31 de mayo, de la Sala de lo Penal del Tribunal Supremo (ECLI:ES:TS:1999:3816)</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1622/2001, de 21 de septiembre, de la Sala de lo Penal del Tribunal Supremo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p>
    <w:p w:rsidR="002C5A78" w:rsidRDefault="002C5A78" w:rsidP="002C5A78">
      <w:pPr>
        <w:pStyle w:val="TextoNormalNegritaCursivandice"/>
        <w:keepNext/>
      </w:pPr>
      <w:r>
        <w:t>Acuerdo de 3 de febrero de 2005, del Pleno no jurisdiccional de la Sala de lo Penal del Tribunal Supremo (doctrina de la ubicuidad)</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34" w:history="1">
        <w:r w:rsidRPr="002C5A78">
          <w:rPr>
            <w:rStyle w:val="TextoNormalCaracter"/>
          </w:rPr>
          <w:t>34/2021</w:t>
        </w:r>
      </w:hyperlink>
      <w:r>
        <w:t xml:space="preserve">, ff. 4, 5; </w:t>
      </w:r>
      <w:hyperlink w:anchor="SENTENCIA_2021_91" w:history="1">
        <w:r w:rsidRPr="002C5A78">
          <w:rPr>
            <w:rStyle w:val="TextoNormalCaracter"/>
          </w:rPr>
          <w:t>91/2021</w:t>
        </w:r>
      </w:hyperlink>
      <w:r>
        <w:t xml:space="preserve">, f. 3; </w:t>
      </w:r>
      <w:hyperlink w:anchor="SENTENCIA_2021_106" w:history="1">
        <w:r w:rsidRPr="002C5A78">
          <w:rPr>
            <w:rStyle w:val="TextoNormalCaracter"/>
          </w:rPr>
          <w:t>106/2021</w:t>
        </w:r>
      </w:hyperlink>
      <w:r>
        <w:t xml:space="preserve">, f. 3; </w:t>
      </w:r>
      <w:hyperlink w:anchor="SENTENCIA_2021_121" w:history="1">
        <w:r w:rsidRPr="002C5A78">
          <w:rPr>
            <w:rStyle w:val="TextoNormalCaracter"/>
          </w:rPr>
          <w:t>121/2021</w:t>
        </w:r>
      </w:hyperlink>
      <w:r>
        <w:t xml:space="preserve">, f. 4; </w:t>
      </w:r>
      <w:hyperlink w:anchor="SENTENCIA_2021_122" w:history="1">
        <w:r w:rsidRPr="002C5A78">
          <w:rPr>
            <w:rStyle w:val="TextoNormalCaracter"/>
          </w:rPr>
          <w:t>122/2021</w:t>
        </w:r>
      </w:hyperlink>
      <w:r>
        <w:t>, f. 4.</w:t>
      </w:r>
    </w:p>
    <w:p w:rsidR="002C5A78" w:rsidRDefault="002C5A78" w:rsidP="002C5A78">
      <w:pPr>
        <w:pStyle w:val="SangriaFrancesaArticulo"/>
      </w:pPr>
      <w:r>
        <w:t xml:space="preserve">Sentencia </w:t>
      </w:r>
      <w:hyperlink w:anchor="SENTENCIA_2021_122" w:history="1">
        <w:r w:rsidRPr="002C5A78">
          <w:rPr>
            <w:rStyle w:val="TextoNormalCaracter"/>
          </w:rPr>
          <w:t>122/2021</w:t>
        </w:r>
      </w:hyperlink>
      <w:r>
        <w:t>, f. 4.</w:t>
      </w:r>
    </w:p>
    <w:p w:rsidR="002C5A78" w:rsidRDefault="002C5A78" w:rsidP="002C5A78">
      <w:pPr>
        <w:pStyle w:val="SangriaFrancesaArticulo"/>
      </w:pPr>
    </w:p>
    <w:p w:rsidR="002C5A78" w:rsidRDefault="002C5A78" w:rsidP="002C5A78">
      <w:pPr>
        <w:pStyle w:val="TextoNormalNegritaCursivandice"/>
        <w:keepNext/>
      </w:pPr>
      <w:r>
        <w:t>Sentencia 1006/2005, de 12 de julio de 2005, de la Sala de lo Penal del Tribunal Supremo (ECLI:ES:TS:2005:4714)</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Sentencia 36/2006, de 19 de enero, de la Sala de lo Penal del Tribunal Supremo (ECLI:ES:TS:2006:42)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1084/2006, de 27 de octubre, de la Sala de lo Penal del Tribunal Supremo (ECLI:ES:TS:2006:6952)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987/2009, de 13 de octubre, de la Sala de lo Penal del Tribunal Supremo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p>
    <w:p w:rsidR="002C5A78" w:rsidRDefault="002C5A78" w:rsidP="002C5A78">
      <w:pPr>
        <w:pStyle w:val="TextoNormalNegritaCursivandice"/>
        <w:keepNext/>
      </w:pPr>
      <w:r>
        <w:t>Sentencia 1154/2010, de 12 de enero de 2011, de la Sala de lo Penal del Tribunal Supremo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p>
    <w:p w:rsidR="002C5A78" w:rsidRDefault="002C5A78" w:rsidP="002C5A78">
      <w:pPr>
        <w:pStyle w:val="TextoNormalNegritaCursivandice"/>
        <w:keepNext/>
      </w:pPr>
      <w:r>
        <w:t>Sentencia de 22 de diciembre de 2010 de la Sala de lo Militar del Tribunal Supremo (ECLI:ES:TS:2010:7267)</w:t>
      </w:r>
    </w:p>
    <w:p w:rsidR="002C5A78" w:rsidRDefault="002C5A78" w:rsidP="002C5A78">
      <w:pPr>
        <w:pStyle w:val="SangriaFrancesaArticulo"/>
      </w:pPr>
      <w:r>
        <w:t xml:space="preserve">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28/2011, de 26 de enero, de la Sala de lo Penal del Tribunal Supremo (ECLI:ES:TS:2011:357)</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de 11 de febrero de 2011 de la Sala de lo Militar del Tribunal Supremo (ECLI:ES:TS:2011:670)</w:t>
      </w:r>
    </w:p>
    <w:p w:rsidR="002C5A78" w:rsidRDefault="002C5A78" w:rsidP="002C5A78">
      <w:pPr>
        <w:pStyle w:val="SangriaFrancesaArticulo"/>
      </w:pPr>
      <w:r>
        <w:t xml:space="preserve">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865/2011, de 20 de julio, de la Sala de lo Penal del Tribunal Supremo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2" w:history="1">
        <w:r w:rsidRPr="002C5A78">
          <w:rPr>
            <w:rStyle w:val="TextoNormalCaracter"/>
          </w:rPr>
          <w:t>122/2021</w:t>
        </w:r>
      </w:hyperlink>
      <w:r>
        <w:t>, f. 10.</w:t>
      </w:r>
    </w:p>
    <w:p w:rsidR="002C5A78" w:rsidRDefault="002C5A78" w:rsidP="002C5A78">
      <w:pPr>
        <w:pStyle w:val="SangriaFrancesaArticulo"/>
      </w:pPr>
    </w:p>
    <w:p w:rsidR="002C5A78" w:rsidRDefault="002C5A78" w:rsidP="002C5A78">
      <w:pPr>
        <w:pStyle w:val="TextoNormalNegritaCursivandice"/>
        <w:keepNext/>
      </w:pPr>
      <w:r>
        <w:t>Sentencia 872/2011, de 12 de diciembre, de la Sala de lo Civil del Tribunal Supremo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5" w:history="1">
        <w:r w:rsidRPr="002C5A78">
          <w:rPr>
            <w:rStyle w:val="TextoNormalCaracter"/>
          </w:rPr>
          <w:t>65/2021</w:t>
        </w:r>
      </w:hyperlink>
      <w:r>
        <w:t>, f. 6.</w:t>
      </w:r>
    </w:p>
    <w:p w:rsidR="002C5A78" w:rsidRDefault="002C5A78" w:rsidP="002C5A78">
      <w:pPr>
        <w:pStyle w:val="SangriaFrancesaArticulo"/>
      </w:pPr>
    </w:p>
    <w:p w:rsidR="002C5A78" w:rsidRDefault="002C5A78" w:rsidP="002C5A78">
      <w:pPr>
        <w:pStyle w:val="TextoNormalNegritaCursivandice"/>
        <w:keepNext/>
      </w:pPr>
      <w:r>
        <w:t>Sentencia 675/2013, de 21 de junio, de la Sala de lo Penal del Tribunal Supremo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1" w:history="1">
        <w:r w:rsidRPr="002C5A78">
          <w:rPr>
            <w:rStyle w:val="TextoNormalCaracter"/>
          </w:rPr>
          <w:t>91/2021</w:t>
        </w:r>
      </w:hyperlink>
      <w:r>
        <w:t>, f. 10.</w:t>
      </w:r>
    </w:p>
    <w:p w:rsidR="002C5A78" w:rsidRDefault="002C5A78" w:rsidP="002C5A78">
      <w:pPr>
        <w:pStyle w:val="SangriaFrancesaArticulo"/>
      </w:pPr>
    </w:p>
    <w:p w:rsidR="002C5A78" w:rsidRDefault="002C5A78" w:rsidP="002C5A78">
      <w:pPr>
        <w:pStyle w:val="TextoNormalNegritaCursivandice"/>
        <w:keepNext/>
      </w:pPr>
      <w:r>
        <w:t>Sentencia 205/2015, de 10 de marzo de 2016, de la Sala de lo Penal del Tribunal Supremo (ECLI:ES:TS:2016:922)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5; </w:t>
      </w:r>
      <w:hyperlink w:anchor="SENTENCIA_2021_106" w:history="1">
        <w:r w:rsidRPr="002C5A78">
          <w:rPr>
            <w:rStyle w:val="TextoNormalCaracter"/>
          </w:rPr>
          <w:t>106/2021</w:t>
        </w:r>
      </w:hyperlink>
      <w:r>
        <w:t xml:space="preserve">, f. 5; </w:t>
      </w:r>
      <w:hyperlink w:anchor="SENTENCIA_2021_121" w:history="1">
        <w:r w:rsidRPr="002C5A78">
          <w:rPr>
            <w:rStyle w:val="TextoNormalCaracter"/>
          </w:rPr>
          <w:t>121/2021</w:t>
        </w:r>
      </w:hyperlink>
      <w:r>
        <w:t>, f. 6.</w:t>
      </w:r>
    </w:p>
    <w:p w:rsidR="002C5A78" w:rsidRDefault="002C5A78" w:rsidP="002C5A78">
      <w:pPr>
        <w:pStyle w:val="SangriaFrancesaArticulo"/>
      </w:pPr>
    </w:p>
    <w:p w:rsidR="002C5A78" w:rsidRDefault="002C5A78" w:rsidP="002C5A78">
      <w:pPr>
        <w:pStyle w:val="TextoNormalNegritaCursivandice"/>
        <w:keepNext/>
      </w:pPr>
      <w:r>
        <w:t>Sentencia 54/2016, de 10 de mayo, de la Sala de lo Militar del Tribunal Supremo</w:t>
      </w:r>
    </w:p>
    <w:p w:rsidR="002C5A78" w:rsidRDefault="002C5A78" w:rsidP="002C5A78">
      <w:pPr>
        <w:pStyle w:val="SangriaFrancesaArticulo"/>
      </w:pPr>
      <w:r>
        <w:t xml:space="preserve">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61/2016, de 24 de mayo, de la Sala de lo Militar del Tribunal Supremo</w:t>
      </w:r>
    </w:p>
    <w:p w:rsidR="002C5A78" w:rsidRDefault="002C5A78" w:rsidP="002C5A78">
      <w:pPr>
        <w:pStyle w:val="SangriaFrancesaArticulo"/>
      </w:pPr>
      <w:r>
        <w:t xml:space="preserve">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122/2016, de 19 de octubre, de la Sala de lo Militar del Tribunal Supremo</w:t>
      </w:r>
    </w:p>
    <w:p w:rsidR="002C5A78" w:rsidRDefault="002C5A78" w:rsidP="002C5A78">
      <w:pPr>
        <w:pStyle w:val="SangriaFrancesaArticulo"/>
      </w:pPr>
      <w:r>
        <w:t xml:space="preserve">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147/2016, de 29 de noviembre, de la Sala de lo Militar del Tribunal Supremo</w:t>
      </w:r>
    </w:p>
    <w:p w:rsidR="002C5A78" w:rsidRDefault="002C5A78" w:rsidP="002C5A78">
      <w:pPr>
        <w:pStyle w:val="SangriaFrancesaArticulo"/>
      </w:pPr>
      <w:r>
        <w:t xml:space="preserve">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17/2017, de 8 de febrero, de la Sala de lo Militar del Tribunal Supremo</w:t>
      </w:r>
    </w:p>
    <w:p w:rsidR="002C5A78" w:rsidRDefault="002C5A78" w:rsidP="002C5A78">
      <w:pPr>
        <w:pStyle w:val="SangriaFrancesaArticulo"/>
      </w:pPr>
      <w:r>
        <w:t xml:space="preserve">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177/2017, de 22 de marzo, de la Sala de lo Penal del Tribunal Supremo (ECLI:ES:TS:2017:972)</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Sentencia 722/2018, de 23 de enero de 2019, de la Sala de lo Penal del Tribunal Supremo (ECLI:ES:TS:2019:91)</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SangriaFrancesaArticulo"/>
      </w:pPr>
    </w:p>
    <w:p w:rsidR="002C5A78" w:rsidRDefault="002C5A78" w:rsidP="002C5A78">
      <w:pPr>
        <w:pStyle w:val="TextoNormalNegritaCursivandice"/>
        <w:keepNext/>
      </w:pPr>
      <w:r>
        <w:t>Sentencia 87/2019, de 17 de julio, de la Sala de lo Militar del Tribunal Supremo</w:t>
      </w:r>
    </w:p>
    <w:p w:rsidR="002C5A78" w:rsidRDefault="002C5A78" w:rsidP="002C5A78">
      <w:pPr>
        <w:pStyle w:val="SangriaFrancesaArticulo"/>
      </w:pPr>
      <w:r>
        <w:t xml:space="preserve">Sentencia </w:t>
      </w:r>
      <w:hyperlink w:anchor="SENTENCIA_2021_21" w:history="1">
        <w:r w:rsidRPr="002C5A78">
          <w:rPr>
            <w:rStyle w:val="TextoNormalCaracter"/>
          </w:rPr>
          <w:t>21/2021</w:t>
        </w:r>
      </w:hyperlink>
      <w:r>
        <w:t>, f. 4.</w:t>
      </w:r>
    </w:p>
    <w:p w:rsidR="002C5A78" w:rsidRDefault="002C5A78" w:rsidP="002C5A78">
      <w:pPr>
        <w:pStyle w:val="SangriaFrancesaArticulo"/>
      </w:pPr>
    </w:p>
    <w:p w:rsidR="002C5A78" w:rsidRDefault="002C5A78" w:rsidP="002C5A78">
      <w:pPr>
        <w:pStyle w:val="TextoNormalNegritaCursivandice"/>
        <w:keepNext/>
      </w:pPr>
      <w:r>
        <w:t>Sentencia 463/2019, de 14 de octubre, de la Sala de lo Penal del Tribunal Supremo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121" w:history="1">
        <w:r w:rsidRPr="002C5A78">
          <w:rPr>
            <w:rStyle w:val="TextoNormalCaracter"/>
          </w:rPr>
          <w:t>121/2021</w:t>
        </w:r>
      </w:hyperlink>
      <w:r>
        <w:t>, f. 12.</w:t>
      </w:r>
    </w:p>
    <w:p w:rsidR="002C5A78" w:rsidRDefault="002C5A78" w:rsidP="002C5A78">
      <w:pPr>
        <w:pStyle w:val="SangriaFrancesaArticulo"/>
      </w:pPr>
      <w:r>
        <w:t xml:space="preserve">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f. 11.</w:t>
      </w:r>
    </w:p>
    <w:p w:rsidR="002C5A78" w:rsidRDefault="002C5A78" w:rsidP="002C5A78">
      <w:pPr>
        <w:pStyle w:val="SangriaFrancesaArticulo"/>
      </w:pPr>
    </w:p>
    <w:p w:rsidR="002C5A78" w:rsidRDefault="002C5A78" w:rsidP="002C5A78">
      <w:pPr>
        <w:pStyle w:val="TextoNormalNegritaCursivandice"/>
        <w:keepNext/>
      </w:pPr>
      <w:r>
        <w:t>Sentencia 521/2020, de 16 de octubre de 2020, de la Sala de lo Penal del Tribunal Supremo (ECLI:ES:TS:2020:3463)</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91" w:history="1">
        <w:r w:rsidRPr="002C5A78">
          <w:rPr>
            <w:rStyle w:val="TextoNormalCaracter"/>
          </w:rPr>
          <w:t>91/2021</w:t>
        </w:r>
      </w:hyperlink>
      <w:r>
        <w:t>, VP.</w:t>
      </w:r>
    </w:p>
    <w:p w:rsidR="002C5A78" w:rsidRDefault="002C5A78" w:rsidP="002C5A78">
      <w:pPr>
        <w:pStyle w:val="SangriaFrancesaArticulo"/>
      </w:pPr>
    </w:p>
    <w:p w:rsidR="002C5A78" w:rsidRDefault="002C5A78" w:rsidP="002C5A78">
      <w:pPr>
        <w:pStyle w:val="TextoNormalNegritaCursivandice"/>
        <w:keepNext/>
      </w:pPr>
      <w:r>
        <w:t>Sentencia 623/2020, de 19 de noviembre, de la Sala de lo Penal del Tribunal Supremo</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Sentencias </w:t>
      </w:r>
      <w:hyperlink w:anchor="SENTENCIA_2021_91" w:history="1">
        <w:r w:rsidRPr="002C5A78">
          <w:rPr>
            <w:rStyle w:val="TextoNormalCaracter"/>
          </w:rPr>
          <w:t>91/2021</w:t>
        </w:r>
      </w:hyperlink>
      <w:r>
        <w:t xml:space="preserve">, f. 11; </w:t>
      </w:r>
      <w:hyperlink w:anchor="SENTENCIA_2021_106" w:history="1">
        <w:r w:rsidRPr="002C5A78">
          <w:rPr>
            <w:rStyle w:val="TextoNormalCaracter"/>
          </w:rPr>
          <w:t>106/2021</w:t>
        </w:r>
      </w:hyperlink>
      <w:r>
        <w:t xml:space="preserve">, f. 11; </w:t>
      </w:r>
      <w:hyperlink w:anchor="SENTENCIA_2021_121" w:history="1">
        <w:r w:rsidRPr="002C5A78">
          <w:rPr>
            <w:rStyle w:val="TextoNormalCaracter"/>
          </w:rPr>
          <w:t>121/2021</w:t>
        </w:r>
      </w:hyperlink>
      <w:r>
        <w:t>, f. 12.</w:t>
      </w:r>
    </w:p>
    <w:p w:rsidR="002C5A78" w:rsidRDefault="002C5A78" w:rsidP="002C5A78">
      <w:pPr>
        <w:pStyle w:val="TextoNormal"/>
      </w:pPr>
    </w:p>
    <w:p w:rsidR="002C5A78" w:rsidRDefault="002C5A78" w:rsidP="002C5A78">
      <w:pPr>
        <w:pStyle w:val="SangriaFrancesaArticulo"/>
      </w:pPr>
      <w:bookmarkStart w:id="233" w:name="INDICE22926"/>
    </w:p>
    <w:bookmarkEnd w:id="233"/>
    <w:p w:rsidR="002C5A78" w:rsidRDefault="002C5A78" w:rsidP="002C5A78">
      <w:pPr>
        <w:pStyle w:val="TextoIndiceNivel2"/>
        <w:suppressAutoHyphens/>
      </w:pPr>
      <w:r>
        <w:t>D) Otros Tribunales</w:t>
      </w:r>
    </w:p>
    <w:p w:rsidR="002C5A78" w:rsidRDefault="002C5A78" w:rsidP="002C5A78">
      <w:pPr>
        <w:pStyle w:val="TextoIndiceNivel2"/>
      </w:pPr>
    </w:p>
    <w:p w:rsidR="002C5A78" w:rsidRDefault="002C5A78" w:rsidP="002C5A78">
      <w:pPr>
        <w:pStyle w:val="TextoNormalNegritaCursivandice"/>
        <w:keepNext/>
      </w:pPr>
      <w:r>
        <w:t>Sentencia 25/2018, de 12 de enero, dictada por la Sala de lo Social del Tribunal Superior de Justicia de Castilla-La Mancha en recurso de suplicación núm. 1416-2017</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rsidP="002C5A78">
      <w:pPr>
        <w:pStyle w:val="SangriaFrancesaArticulo"/>
      </w:pPr>
    </w:p>
    <w:p w:rsidR="002C5A78" w:rsidRDefault="002C5A78" w:rsidP="002C5A78">
      <w:pPr>
        <w:pStyle w:val="TextoNormalNegritaCursivandice"/>
        <w:keepNext/>
      </w:pPr>
      <w:r>
        <w:t>Sentencia 470/2018, de 27 de febrero, dictada por la Sala de lo Social del Tribunal Superior de Justicia del País Vasco en recurso de suplicación núm. 226-2018</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rsidP="002C5A78">
      <w:pPr>
        <w:pStyle w:val="SangriaFrancesaArticulo"/>
      </w:pPr>
    </w:p>
    <w:p w:rsidR="002C5A78" w:rsidRDefault="002C5A78" w:rsidP="002C5A78">
      <w:pPr>
        <w:pStyle w:val="TextoNormalNegritaCursivandice"/>
        <w:keepNext/>
      </w:pPr>
      <w:r>
        <w:t>Sentencia 2842/2019, de 4 de junio, dictada por la Sala de lo Social del Tribunal Superior de Justicia de Cataluña en recurso de suplicación núm. 969-2019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rsidP="002C5A78">
      <w:pPr>
        <w:pStyle w:val="SangriaFrancesaArticulo"/>
      </w:pPr>
    </w:p>
    <w:p w:rsidR="002C5A78" w:rsidRDefault="002C5A78" w:rsidP="002C5A78">
      <w:pPr>
        <w:pStyle w:val="TextoNormalNegritaCursivandice"/>
        <w:keepNext/>
      </w:pPr>
      <w:r>
        <w:t>Sentencia 9/2020, de 22 de enero, dictada por la Sala de lo Social del Tribunal Superior de Justicia de Baleares en recurso de suplicación núm. 289-2019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rsidP="002C5A78">
      <w:pPr>
        <w:pStyle w:val="SangriaFrancesaArticulo"/>
      </w:pPr>
    </w:p>
    <w:p w:rsidR="002C5A78" w:rsidRDefault="002C5A78" w:rsidP="002C5A78">
      <w:pPr>
        <w:pStyle w:val="TextoNormalNegritaCursivandice"/>
        <w:keepNext/>
      </w:pPr>
      <w:r>
        <w:t>Sentencia 40/2020, de 24 de enero, dictada por la Sala de lo Social del Tribunal Superior de Justicia de Canarias en recurso de suplicación núm. 899-2019</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rsidP="002C5A78">
      <w:pPr>
        <w:pStyle w:val="SangriaFrancesaArticulo"/>
      </w:pPr>
    </w:p>
    <w:p w:rsidR="002C5A78" w:rsidRDefault="002C5A78" w:rsidP="002C5A78">
      <w:pPr>
        <w:pStyle w:val="TextoNormalNegritaCursivandice"/>
        <w:keepNext/>
      </w:pPr>
      <w:r>
        <w:t>Sentencia 2220/2020, de 12 de junio, dictada por la Sala de lo Social del Tribunal Superior de Justicia de Valencia en recurso de suplicación núm. 378-2020</w:t>
      </w:r>
    </w:p>
    <w:p w:rsidR="002C5A78" w:rsidRDefault="002C5A78" w:rsidP="002C5A78">
      <w:pPr>
        <w:pStyle w:val="SangriaFrancesaArticulo"/>
      </w:pPr>
      <w:r w:rsidRPr="002C5A78">
        <w:rPr>
          <w:rStyle w:val="TextoNormalNegritaCaracter"/>
        </w:rPr>
        <w:t>En general.</w:t>
      </w:r>
      <w:r w:rsidRPr="002C5A78">
        <w:rPr>
          <w:rStyle w:val="TextoNormalCaracter"/>
        </w:rPr>
        <w:t>-</w:t>
      </w:r>
      <w:r>
        <w:t xml:space="preserve"> Sentencia </w:t>
      </w:r>
      <w:hyperlink w:anchor="SENTENCIA_2021_61" w:history="1">
        <w:r w:rsidRPr="002C5A78">
          <w:rPr>
            <w:rStyle w:val="TextoNormalCaracter"/>
          </w:rPr>
          <w:t>61/2021</w:t>
        </w:r>
      </w:hyperlink>
      <w:r>
        <w:t>, f. 5.</w:t>
      </w:r>
    </w:p>
    <w:p w:rsidR="002C5A78" w:rsidRDefault="002C5A78">
      <w:pPr>
        <w:spacing w:after="0" w:line="360" w:lineRule="auto"/>
        <w:ind w:firstLine="851"/>
        <w:jc w:val="both"/>
        <w:rPr>
          <w:rFonts w:ascii="Times New Roman" w:eastAsia="Times New Roman" w:hAnsi="Times New Roman" w:cs="Times New Roman"/>
          <w:sz w:val="24"/>
          <w:szCs w:val="24"/>
          <w:lang w:eastAsia="es-ES"/>
        </w:rPr>
      </w:pPr>
      <w:r>
        <w:br w:type="page"/>
      </w:r>
    </w:p>
    <w:p w:rsidR="002C5A78" w:rsidRDefault="002C5A78" w:rsidP="002C5A78">
      <w:pPr>
        <w:pStyle w:val="SangriaFrancesaArticulo"/>
      </w:pPr>
      <w:bookmarkStart w:id="234" w:name="DESCRIPTOR1"/>
      <w:bookmarkStart w:id="235" w:name="DESCRIPTOR2"/>
      <w:bookmarkStart w:id="236" w:name="DESCRIPTOR3"/>
      <w:bookmarkStart w:id="237" w:name="DESCRIPTOR4"/>
      <w:bookmarkStart w:id="238" w:name="DESCRIPTOR5"/>
      <w:bookmarkStart w:id="239" w:name="DESCRIPTOR6"/>
      <w:bookmarkStart w:id="240" w:name="DESCRIPTOR7"/>
      <w:bookmarkStart w:id="241" w:name="DESCRIPTOR8"/>
      <w:bookmarkStart w:id="242" w:name="DESCRIPTOR9"/>
      <w:bookmarkStart w:id="243" w:name="DESCRIPTOR10"/>
      <w:bookmarkStart w:id="244" w:name="DESCRIPTOR11"/>
      <w:bookmarkStart w:id="245" w:name="DESCRIPTOR12"/>
      <w:bookmarkStart w:id="246" w:name="DESCRIPTOR13"/>
      <w:bookmarkStart w:id="247" w:name="DESCRIPTOR14"/>
      <w:bookmarkStart w:id="248" w:name="DESCRIPTOR15"/>
      <w:bookmarkStart w:id="249" w:name="DESCRIPTOR16"/>
      <w:bookmarkStart w:id="250" w:name="DESCRIPTOR17"/>
      <w:bookmarkStart w:id="251" w:name="DESCRIPTOR18"/>
      <w:bookmarkStart w:id="252" w:name="DESCRIPTOR19"/>
      <w:bookmarkStart w:id="253" w:name="DESCRIPTOR20"/>
      <w:bookmarkStart w:id="254" w:name="DESCRIPTOR21"/>
      <w:bookmarkStart w:id="255" w:name="DESCRIPTOR22"/>
      <w:bookmarkStart w:id="256" w:name="DESCRIPTOR23"/>
      <w:bookmarkStart w:id="257" w:name="DESCRIPTOR24"/>
      <w:bookmarkStart w:id="258" w:name="DESCRIPTOR25"/>
      <w:bookmarkStart w:id="259" w:name="DESCRIPTOR26"/>
      <w:bookmarkStart w:id="260" w:name="DESCRIPTOR27"/>
      <w:bookmarkStart w:id="261" w:name="DESCRIPTOR28"/>
      <w:bookmarkStart w:id="262" w:name="DESCRIPTOR29"/>
      <w:bookmarkStart w:id="263" w:name="DESCRIPTOR30"/>
      <w:bookmarkStart w:id="264" w:name="DESCRIPTOR31"/>
      <w:bookmarkStart w:id="265" w:name="DESCRIPTOR32"/>
      <w:bookmarkStart w:id="266" w:name="DESCRIPTOR33"/>
      <w:bookmarkStart w:id="267" w:name="DESCRIPTOR34"/>
      <w:bookmarkStart w:id="268" w:name="DESCRIPTOR35"/>
      <w:bookmarkStart w:id="269" w:name="DESCRIPTOR36"/>
      <w:bookmarkStart w:id="270" w:name="DESCRIPTOR37"/>
      <w:bookmarkStart w:id="271" w:name="DESCRIPTOR38"/>
      <w:bookmarkStart w:id="272" w:name="DESCRIPTOR39"/>
      <w:bookmarkStart w:id="273" w:name="DESCRIPTOR40"/>
      <w:bookmarkStart w:id="274" w:name="DESCRIPTOR41"/>
      <w:bookmarkStart w:id="275" w:name="DESCRIPTOR42"/>
      <w:bookmarkStart w:id="276" w:name="DESCRIPTOR43"/>
      <w:bookmarkStart w:id="277" w:name="DESCRIPTOR44"/>
      <w:bookmarkStart w:id="278" w:name="DESCRIPTOR45"/>
      <w:bookmarkStart w:id="279" w:name="DESCRIPTOR46"/>
      <w:bookmarkStart w:id="280" w:name="DESCRIPTOR47"/>
      <w:bookmarkStart w:id="281" w:name="DESCRIPTOR48"/>
      <w:bookmarkStart w:id="282" w:name="DESCRIPTOR49"/>
      <w:bookmarkStart w:id="283" w:name="DESCRIPTOR50"/>
      <w:bookmarkStart w:id="284" w:name="DESCRIPTOR51"/>
      <w:bookmarkStart w:id="285" w:name="DESCRIPTOR52"/>
      <w:bookmarkStart w:id="286" w:name="DESCRIPTOR53"/>
      <w:bookmarkStart w:id="287" w:name="DESCRIPTOR54"/>
      <w:bookmarkStart w:id="288" w:name="DESCRIPTOR55"/>
      <w:bookmarkStart w:id="289" w:name="DESCRIPTOR56"/>
      <w:bookmarkStart w:id="290" w:name="DESCRIPTOR57"/>
      <w:bookmarkStart w:id="291" w:name="DESCRIPTOR58"/>
      <w:bookmarkStart w:id="292" w:name="DESCRIPTOR59"/>
      <w:bookmarkStart w:id="293" w:name="DESCRIPTOR60"/>
      <w:bookmarkStart w:id="294" w:name="DESCRIPTOR61"/>
      <w:bookmarkStart w:id="295" w:name="DESCRIPTOR62"/>
      <w:bookmarkStart w:id="296" w:name="DESCRIPTOR63"/>
      <w:bookmarkStart w:id="297" w:name="DESCRIPTOR64"/>
      <w:bookmarkStart w:id="298" w:name="DESCRIPTOR65"/>
      <w:bookmarkStart w:id="299" w:name="DESCRIPTOR66"/>
      <w:bookmarkStart w:id="300" w:name="DESCRIPTOR67"/>
      <w:bookmarkStart w:id="301" w:name="DESCRIPTOR68"/>
      <w:bookmarkStart w:id="302" w:name="DESCRIPTOR69"/>
      <w:bookmarkStart w:id="303" w:name="DESCRIPTOR70"/>
      <w:bookmarkStart w:id="304" w:name="DESCRIPTOR71"/>
      <w:bookmarkStart w:id="305" w:name="DESCRIPTOR72"/>
      <w:bookmarkStart w:id="306" w:name="DESCRIPTOR73"/>
      <w:bookmarkStart w:id="307" w:name="DESCRIPTOR74"/>
      <w:bookmarkStart w:id="308" w:name="DESCRIPTOR75"/>
      <w:bookmarkStart w:id="309" w:name="DESCRIPTOR76"/>
      <w:bookmarkStart w:id="310" w:name="DESCRIPTOR77"/>
      <w:bookmarkStart w:id="311" w:name="DESCRIPTOR78"/>
      <w:bookmarkStart w:id="312" w:name="DESCRIPTOR79"/>
      <w:bookmarkStart w:id="313" w:name="DESCRIPTOR80"/>
      <w:bookmarkStart w:id="314" w:name="DESCRIPTOR81"/>
      <w:bookmarkStart w:id="315" w:name="DESCRIPTOR82"/>
      <w:bookmarkStart w:id="316" w:name="DESCRIPTOR83"/>
      <w:bookmarkStart w:id="317" w:name="DESCRIPTOR84"/>
      <w:bookmarkStart w:id="318" w:name="DESCRIPTOR85"/>
      <w:bookmarkStart w:id="319" w:name="DESCRIPTOR86"/>
      <w:bookmarkStart w:id="320" w:name="DESCRIPTOR87"/>
      <w:bookmarkStart w:id="321" w:name="DESCRIPTOR88"/>
      <w:bookmarkStart w:id="322" w:name="DESCRIPTOR89"/>
      <w:bookmarkStart w:id="323" w:name="DESCRIPTOR90"/>
      <w:bookmarkStart w:id="324" w:name="DESCRIPTOR91"/>
      <w:bookmarkStart w:id="325" w:name="DESCRIPTOR92"/>
      <w:bookmarkStart w:id="326" w:name="DESCRIPTOR93"/>
      <w:bookmarkStart w:id="327" w:name="DESCRIPTOR94"/>
      <w:bookmarkStart w:id="328" w:name="DESCRIPTOR95"/>
      <w:bookmarkStart w:id="329" w:name="DESCRIPTOR96"/>
      <w:bookmarkStart w:id="330" w:name="DESCRIPTOR97"/>
      <w:bookmarkStart w:id="331" w:name="DESCRIPTOR98"/>
      <w:bookmarkStart w:id="332" w:name="DESCRIPTOR99"/>
      <w:bookmarkStart w:id="333" w:name="DESCRIPTOR100"/>
      <w:bookmarkStart w:id="334" w:name="DESCRIPTOR101"/>
      <w:bookmarkStart w:id="335" w:name="DESCRIPTOR102"/>
      <w:bookmarkStart w:id="336" w:name="DESCRIPTOR103"/>
      <w:bookmarkStart w:id="337" w:name="DESCRIPTOR104"/>
      <w:bookmarkStart w:id="338" w:name="DESCRIPTOR105"/>
      <w:bookmarkStart w:id="339" w:name="DESCRIPTOR106"/>
      <w:bookmarkStart w:id="340" w:name="DESCRIPTOR107"/>
      <w:bookmarkStart w:id="341" w:name="DESCRIPTOR108"/>
      <w:bookmarkStart w:id="342" w:name="DESCRIPTOR109"/>
      <w:bookmarkStart w:id="343" w:name="DESCRIPTOR110"/>
      <w:bookmarkStart w:id="344" w:name="DESCRIPTOR111"/>
      <w:bookmarkStart w:id="345" w:name="DESCRIPTOR112"/>
      <w:bookmarkStart w:id="346" w:name="DESCRIPTOR113"/>
      <w:bookmarkStart w:id="347" w:name="DESCRIPTOR114"/>
      <w:bookmarkStart w:id="348" w:name="DESCRIPTOR115"/>
      <w:bookmarkStart w:id="349" w:name="DESCRIPTOR116"/>
      <w:bookmarkStart w:id="350" w:name="DESCRIPTOR117"/>
      <w:bookmarkStart w:id="351" w:name="DESCRIPTOR118"/>
      <w:bookmarkStart w:id="352" w:name="DESCRIPTOR119"/>
      <w:bookmarkStart w:id="353" w:name="DESCRIPTOR120"/>
      <w:bookmarkStart w:id="354" w:name="DESCRIPTOR121"/>
      <w:bookmarkStart w:id="355" w:name="DESCRIPTOR122"/>
      <w:bookmarkStart w:id="356" w:name="DESCRIPTOR123"/>
      <w:bookmarkStart w:id="357" w:name="DESCRIPTOR124"/>
      <w:bookmarkStart w:id="358" w:name="DESCRIPTOR125"/>
      <w:bookmarkStart w:id="359" w:name="DESCRIPTOR126"/>
      <w:bookmarkStart w:id="360" w:name="DESCRIPTOR127"/>
      <w:bookmarkStart w:id="361" w:name="DESCRIPTOR128"/>
      <w:bookmarkStart w:id="362" w:name="DESCRIPTOR129"/>
      <w:bookmarkStart w:id="363" w:name="DESCRIPTOR130"/>
      <w:bookmarkStart w:id="364" w:name="DESCRIPTOR131"/>
      <w:bookmarkStart w:id="365" w:name="DESCRIPTOR132"/>
      <w:bookmarkStart w:id="366" w:name="DESCRIPTOR133"/>
      <w:bookmarkStart w:id="367" w:name="DESCRIPTOR134"/>
      <w:bookmarkStart w:id="368" w:name="DESCRIPTOR135"/>
      <w:bookmarkStart w:id="369" w:name="DESCRIPTOR136"/>
      <w:bookmarkStart w:id="370" w:name="DESCRIPTOR137"/>
      <w:bookmarkStart w:id="371" w:name="DESCRIPTOR138"/>
      <w:bookmarkStart w:id="372" w:name="DESCRIPTOR139"/>
      <w:bookmarkStart w:id="373" w:name="DESCRIPTOR140"/>
      <w:bookmarkStart w:id="374" w:name="DESCRIPTOR141"/>
      <w:bookmarkStart w:id="375" w:name="DESCRIPTOR142"/>
      <w:bookmarkStart w:id="376" w:name="DESCRIPTOR143"/>
      <w:bookmarkStart w:id="377" w:name="DESCRIPTOR144"/>
      <w:bookmarkStart w:id="378" w:name="DESCRIPTOR145"/>
      <w:bookmarkStart w:id="379" w:name="DESCRIPTOR146"/>
      <w:bookmarkStart w:id="380" w:name="DESCRIPTOR147"/>
      <w:bookmarkStart w:id="381" w:name="DESCRIPTOR148"/>
      <w:bookmarkStart w:id="382" w:name="DESCRIPTOR149"/>
      <w:bookmarkStart w:id="383" w:name="DESCRIPTOR150"/>
      <w:bookmarkStart w:id="384" w:name="DESCRIPTOR151"/>
      <w:bookmarkStart w:id="385" w:name="DESCRIPTOR152"/>
      <w:bookmarkStart w:id="386" w:name="DESCRIPTOR153"/>
      <w:bookmarkStart w:id="387" w:name="DESCRIPTOR154"/>
      <w:bookmarkStart w:id="388" w:name="DESCRIPTOR155"/>
      <w:bookmarkStart w:id="389" w:name="DESCRIPTOR156"/>
      <w:bookmarkStart w:id="390" w:name="DESCRIPTOR157"/>
      <w:bookmarkStart w:id="391" w:name="DESCRIPTOR158"/>
      <w:bookmarkStart w:id="392" w:name="DESCRIPTOR159"/>
      <w:bookmarkStart w:id="393" w:name="DESCRIPTOR160"/>
      <w:bookmarkStart w:id="394" w:name="DESCRIPTOR161"/>
      <w:bookmarkStart w:id="395" w:name="DESCRIPTOR162"/>
      <w:bookmarkStart w:id="396" w:name="DESCRIPTOR163"/>
      <w:bookmarkStart w:id="397" w:name="DESCRIPTOR164"/>
      <w:bookmarkStart w:id="398" w:name="DESCRIPTOR165"/>
      <w:bookmarkStart w:id="399" w:name="DESCRIPTOR166"/>
      <w:bookmarkStart w:id="400" w:name="DESCRIPTOR167"/>
      <w:bookmarkStart w:id="401" w:name="DESCRIPTOR168"/>
      <w:bookmarkStart w:id="402" w:name="DESCRIPTOR169"/>
      <w:bookmarkStart w:id="403" w:name="DESCRIPTOR170"/>
      <w:bookmarkStart w:id="404" w:name="DESCRIPTOR171"/>
      <w:bookmarkStart w:id="405" w:name="DESCRIPTOR172"/>
      <w:bookmarkStart w:id="406" w:name="DESCRIPTOR173"/>
      <w:bookmarkStart w:id="407" w:name="DESCRIPTOR174"/>
      <w:bookmarkStart w:id="408" w:name="DESCRIPTOR175"/>
      <w:bookmarkStart w:id="409" w:name="DESCRIPTOR176"/>
      <w:bookmarkStart w:id="410" w:name="DESCRIPTOR177"/>
      <w:bookmarkStart w:id="411" w:name="DESCRIPTOR178"/>
      <w:bookmarkStart w:id="412" w:name="DESCRIPTOR179"/>
      <w:bookmarkStart w:id="413" w:name="DESCRIPTOR180"/>
      <w:bookmarkStart w:id="414" w:name="DESCRIPTOR181"/>
      <w:bookmarkStart w:id="415" w:name="DESCRIPTOR182"/>
      <w:bookmarkStart w:id="416" w:name="DESCRIPTOR183"/>
      <w:bookmarkStart w:id="417" w:name="DESCRIPTOR184"/>
      <w:bookmarkStart w:id="418" w:name="DESCRIPTOR185"/>
      <w:bookmarkStart w:id="419" w:name="DESCRIPTOR186"/>
      <w:bookmarkStart w:id="420" w:name="DESCRIPTOR187"/>
      <w:bookmarkStart w:id="421" w:name="DESCRIPTOR188"/>
      <w:bookmarkStart w:id="422" w:name="DESCRIPTOR189"/>
      <w:bookmarkStart w:id="423" w:name="DESCRIPTOR190"/>
      <w:bookmarkStart w:id="424" w:name="DESCRIPTOR191"/>
      <w:bookmarkStart w:id="425" w:name="DESCRIPTOR192"/>
      <w:bookmarkStart w:id="426" w:name="DESCRIPTOR193"/>
      <w:bookmarkStart w:id="427" w:name="DESCRIPTOR194"/>
      <w:bookmarkStart w:id="428" w:name="DESCRIPTOR195"/>
      <w:bookmarkStart w:id="429" w:name="DESCRIPTOR196"/>
      <w:bookmarkStart w:id="430" w:name="DESCRIPTOR197"/>
      <w:bookmarkStart w:id="431" w:name="DESCRIPTOR198"/>
      <w:bookmarkStart w:id="432" w:name="DESCRIPTOR199"/>
      <w:bookmarkStart w:id="433" w:name="DESCRIPTOR200"/>
      <w:bookmarkStart w:id="434" w:name="DESCRIPTOR201"/>
      <w:bookmarkStart w:id="435" w:name="DESCRIPTOR202"/>
      <w:bookmarkStart w:id="436" w:name="DESCRIPTOR203"/>
      <w:bookmarkStart w:id="437" w:name="DESCRIPTOR204"/>
      <w:bookmarkStart w:id="438" w:name="DESCRIPTOR205"/>
      <w:bookmarkStart w:id="439" w:name="DESCRIPTOR206"/>
      <w:bookmarkStart w:id="440" w:name="DESCRIPTOR207"/>
      <w:bookmarkStart w:id="441" w:name="DESCRIPTOR208"/>
      <w:bookmarkStart w:id="442" w:name="DESCRIPTOR209"/>
      <w:bookmarkStart w:id="443" w:name="DESCRIPTOR210"/>
      <w:bookmarkStart w:id="444" w:name="DESCRIPTOR211"/>
      <w:bookmarkStart w:id="445" w:name="DESCRIPTOR212"/>
      <w:bookmarkStart w:id="446" w:name="DESCRIPTOR213"/>
      <w:bookmarkStart w:id="447" w:name="DESCRIPTOR214"/>
      <w:bookmarkStart w:id="448" w:name="DESCRIPTOR215"/>
      <w:bookmarkStart w:id="449" w:name="DESCRIPTOR216"/>
      <w:bookmarkStart w:id="450" w:name="DESCRIPTOR217"/>
      <w:bookmarkStart w:id="451" w:name="DESCRIPTOR218"/>
      <w:bookmarkStart w:id="452" w:name="DESCRIPTOR219"/>
      <w:bookmarkStart w:id="453" w:name="DESCRIPTOR220"/>
      <w:bookmarkStart w:id="454" w:name="DESCRIPTOR221"/>
      <w:bookmarkStart w:id="455" w:name="DESCRIPTOR222"/>
      <w:bookmarkStart w:id="456" w:name="DESCRIPTOR223"/>
      <w:bookmarkStart w:id="457" w:name="DESCRIPTOR224"/>
      <w:bookmarkStart w:id="458" w:name="DESCRIPTOR225"/>
      <w:bookmarkStart w:id="459" w:name="DESCRIPTOR226"/>
      <w:bookmarkStart w:id="460" w:name="DESCRIPTOR227"/>
      <w:bookmarkStart w:id="461" w:name="DESCRIPTOR228"/>
      <w:bookmarkStart w:id="462" w:name="DESCRIPTOR229"/>
      <w:bookmarkStart w:id="463" w:name="DESCRIPTOR230"/>
      <w:bookmarkStart w:id="464" w:name="DESCRIPTOR231"/>
      <w:bookmarkStart w:id="465" w:name="DESCRIPTOR232"/>
      <w:bookmarkStart w:id="466" w:name="DESCRIPTOR233"/>
      <w:bookmarkStart w:id="467" w:name="DESCRIPTOR234"/>
      <w:bookmarkStart w:id="468" w:name="DESCRIPTOR235"/>
      <w:bookmarkStart w:id="469" w:name="DESCRIPTOR236"/>
      <w:bookmarkStart w:id="470" w:name="DESCRIPTOR237"/>
      <w:bookmarkStart w:id="471" w:name="DESCRIPTOR238"/>
      <w:bookmarkStart w:id="472" w:name="DESCRIPTOR239"/>
      <w:bookmarkStart w:id="473" w:name="DESCRIPTOR240"/>
      <w:bookmarkStart w:id="474" w:name="DESCRIPTOR241"/>
      <w:bookmarkStart w:id="475" w:name="DESCRIPTOR242"/>
      <w:bookmarkStart w:id="476" w:name="DESCRIPTOR243"/>
      <w:bookmarkStart w:id="477" w:name="DESCRIPTOR244"/>
      <w:bookmarkStart w:id="478" w:name="DESCRIPTOR245"/>
      <w:bookmarkStart w:id="479" w:name="DESCRIPTOR246"/>
      <w:bookmarkStart w:id="480" w:name="DESCRIPTOR247"/>
      <w:bookmarkStart w:id="481" w:name="DESCRIPTOR248"/>
      <w:bookmarkStart w:id="482" w:name="DESCRIPTOR249"/>
      <w:bookmarkStart w:id="483" w:name="DESCRIPTOR250"/>
      <w:bookmarkStart w:id="484" w:name="DESCRIPTOR251"/>
      <w:bookmarkStart w:id="485" w:name="DESCRIPTOR252"/>
      <w:bookmarkStart w:id="486" w:name="DESCRIPTOR253"/>
      <w:bookmarkStart w:id="487" w:name="DESCRIPTOR254"/>
      <w:bookmarkStart w:id="488" w:name="DESCRIPTOR255"/>
      <w:bookmarkStart w:id="489" w:name="DESCRIPTOR256"/>
      <w:bookmarkStart w:id="490" w:name="DESCRIPTOR257"/>
      <w:bookmarkStart w:id="491" w:name="DESCRIPTOR258"/>
      <w:bookmarkStart w:id="492" w:name="DESCRIPTOR259"/>
      <w:bookmarkStart w:id="493" w:name="DESCRIPTOR260"/>
      <w:bookmarkStart w:id="494" w:name="DESCRIPTOR261"/>
      <w:bookmarkStart w:id="495" w:name="DESCRIPTOR262"/>
      <w:bookmarkStart w:id="496" w:name="DESCRIPTOR263"/>
      <w:bookmarkStart w:id="497" w:name="DESCRIPTOR264"/>
      <w:bookmarkStart w:id="498" w:name="DESCRIPTOR265"/>
      <w:bookmarkStart w:id="499" w:name="DESCRIPTOR266"/>
      <w:bookmarkStart w:id="500" w:name="DESCRIPTOR267"/>
      <w:bookmarkStart w:id="501" w:name="DESCRIPTOR268"/>
      <w:bookmarkStart w:id="502" w:name="DESCRIPTOR269"/>
      <w:bookmarkStart w:id="503" w:name="DESCRIPTOR270"/>
      <w:bookmarkStart w:id="504" w:name="DESCRIPTOR271"/>
      <w:bookmarkStart w:id="505" w:name="DESCRIPTOR272"/>
      <w:bookmarkStart w:id="506" w:name="DESCRIPTOR273"/>
      <w:bookmarkStart w:id="507" w:name="DESCRIPTOR274"/>
      <w:bookmarkStart w:id="508" w:name="DESCRIPTOR275"/>
      <w:bookmarkStart w:id="509" w:name="DESCRIPTOR276"/>
      <w:bookmarkStart w:id="510" w:name="DESCRIPTOR277"/>
      <w:bookmarkStart w:id="511" w:name="DESCRIPTOR278"/>
      <w:bookmarkStart w:id="512" w:name="DESCRIPTOR279"/>
      <w:bookmarkStart w:id="513" w:name="DESCRIPTOR280"/>
      <w:bookmarkStart w:id="514" w:name="DESCRIPTOR281"/>
      <w:bookmarkStart w:id="515" w:name="DESCRIPTOR282"/>
      <w:bookmarkStart w:id="516" w:name="DESCRIPTOR283"/>
      <w:bookmarkStart w:id="517" w:name="DESCRIPTOR284"/>
      <w:bookmarkStart w:id="518" w:name="DESCRIPTOR285"/>
      <w:bookmarkStart w:id="519" w:name="DESCRIPTOR286"/>
      <w:bookmarkStart w:id="520" w:name="DESCRIPTOR287"/>
      <w:bookmarkStart w:id="521" w:name="DESCRIPTOR288"/>
      <w:bookmarkStart w:id="522" w:name="DESCRIPTOR289"/>
      <w:bookmarkStart w:id="523" w:name="DESCRIPTOR290"/>
      <w:bookmarkStart w:id="524" w:name="DESCRIPTOR291"/>
      <w:bookmarkStart w:id="525" w:name="DESCRIPTOR292"/>
      <w:bookmarkStart w:id="526" w:name="DESCRIPTOR293"/>
      <w:bookmarkStart w:id="527" w:name="DESCRIPTOR294"/>
      <w:bookmarkStart w:id="528" w:name="DESCRIPTOR295"/>
      <w:bookmarkStart w:id="529" w:name="DESCRIPTOR296"/>
      <w:bookmarkStart w:id="530" w:name="DESCRIPTOR297"/>
      <w:bookmarkStart w:id="531" w:name="DESCRIPTOR298"/>
      <w:bookmarkStart w:id="532" w:name="DESCRIPTOR299"/>
      <w:bookmarkStart w:id="533" w:name="DESCRIPTOR300"/>
      <w:bookmarkStart w:id="534" w:name="DESCRIPTOR301"/>
      <w:bookmarkStart w:id="535" w:name="DESCRIPTOR302"/>
      <w:bookmarkStart w:id="536" w:name="DESCRIPTOR303"/>
      <w:bookmarkStart w:id="537" w:name="DESCRIPTOR304"/>
      <w:bookmarkStart w:id="538" w:name="DESCRIPTOR305"/>
      <w:bookmarkStart w:id="539" w:name="DESCRIPTOR306"/>
      <w:bookmarkStart w:id="540" w:name="DESCRIPTOR307"/>
      <w:bookmarkStart w:id="541" w:name="DESCRIPTOR308"/>
      <w:bookmarkStart w:id="542" w:name="DESCRIPTOR309"/>
      <w:bookmarkStart w:id="543" w:name="DESCRIPTOR310"/>
      <w:bookmarkStart w:id="544" w:name="DESCRIPTOR311"/>
      <w:bookmarkStart w:id="545" w:name="DESCRIPTOR312"/>
      <w:bookmarkStart w:id="546" w:name="DESCRIPTOR313"/>
      <w:bookmarkStart w:id="547" w:name="DESCRIPTOR314"/>
      <w:bookmarkStart w:id="548" w:name="DESCRIPTOR315"/>
      <w:bookmarkStart w:id="549" w:name="DESCRIPTOR316"/>
      <w:bookmarkStart w:id="550" w:name="DESCRIPTOR317"/>
      <w:bookmarkStart w:id="551" w:name="DESCRIPTOR318"/>
      <w:bookmarkStart w:id="552" w:name="DESCRIPTOR319"/>
      <w:bookmarkStart w:id="553" w:name="DESCRIPTOR320"/>
      <w:bookmarkStart w:id="554" w:name="DESCRIPTOR321"/>
      <w:bookmarkStart w:id="555" w:name="DESCRIPTOR322"/>
      <w:bookmarkStart w:id="556" w:name="DESCRIPTOR323"/>
      <w:bookmarkStart w:id="557" w:name="DESCRIPTOR324"/>
      <w:bookmarkStart w:id="558" w:name="DESCRIPTOR325"/>
      <w:bookmarkStart w:id="559" w:name="DESCRIPTOR326"/>
      <w:bookmarkStart w:id="560" w:name="DESCRIPTOR327"/>
      <w:bookmarkStart w:id="561" w:name="DESCRIPTOR328"/>
      <w:bookmarkStart w:id="562" w:name="DESCRIPTOR329"/>
      <w:bookmarkStart w:id="563" w:name="DESCRIPTOR330"/>
      <w:bookmarkStart w:id="564" w:name="DESCRIPTOR331"/>
      <w:bookmarkStart w:id="565" w:name="DESCRIPTOR332"/>
      <w:bookmarkStart w:id="566" w:name="DESCRIPTOR333"/>
      <w:bookmarkStart w:id="567" w:name="DESCRIPTOR334"/>
      <w:bookmarkStart w:id="568" w:name="DESCRIPTOR335"/>
      <w:bookmarkStart w:id="569" w:name="DESCRIPTOR336"/>
      <w:bookmarkStart w:id="570" w:name="DESCRIPTOR337"/>
      <w:bookmarkStart w:id="571" w:name="DESCRIPTOR338"/>
      <w:bookmarkStart w:id="572" w:name="DESCRIPTOR339"/>
      <w:bookmarkStart w:id="573" w:name="DESCRIPTOR340"/>
      <w:bookmarkStart w:id="574" w:name="DESCRIPTOR341"/>
      <w:bookmarkStart w:id="575" w:name="DESCRIPTOR342"/>
      <w:bookmarkStart w:id="576" w:name="DESCRIPTOR343"/>
      <w:bookmarkStart w:id="577" w:name="DESCRIPTOR344"/>
      <w:bookmarkStart w:id="578" w:name="DESCRIPTOR345"/>
      <w:bookmarkStart w:id="579" w:name="DESCRIPTOR346"/>
      <w:bookmarkStart w:id="580" w:name="DESCRIPTOR347"/>
      <w:bookmarkStart w:id="581" w:name="DESCRIPTOR348"/>
      <w:bookmarkStart w:id="582" w:name="DESCRIPTOR349"/>
      <w:bookmarkStart w:id="583" w:name="DESCRIPTOR350"/>
      <w:bookmarkStart w:id="584" w:name="DESCRIPTOR351"/>
      <w:bookmarkStart w:id="585" w:name="DESCRIPTOR352"/>
      <w:bookmarkStart w:id="586" w:name="DESCRIPTOR353"/>
      <w:bookmarkStart w:id="587" w:name="DESCRIPTOR354"/>
      <w:bookmarkStart w:id="588" w:name="DESCRIPTOR355"/>
      <w:bookmarkStart w:id="589" w:name="DESCRIPTOR356"/>
      <w:bookmarkStart w:id="590" w:name="DESCRIPTOR357"/>
      <w:bookmarkStart w:id="591" w:name="DESCRIPTOR358"/>
      <w:bookmarkStart w:id="592" w:name="DESCRIPTOR359"/>
      <w:bookmarkStart w:id="593" w:name="DESCRIPTOR360"/>
      <w:bookmarkStart w:id="594" w:name="DESCRIPTOR361"/>
      <w:bookmarkStart w:id="595" w:name="DESCRIPTOR362"/>
      <w:bookmarkStart w:id="596" w:name="DESCRIPTOR363"/>
      <w:bookmarkStart w:id="597" w:name="DESCRIPTOR364"/>
      <w:bookmarkStart w:id="598" w:name="DESCRIPTOR365"/>
      <w:bookmarkStart w:id="599" w:name="DESCRIPTOR366"/>
      <w:bookmarkStart w:id="600" w:name="DESCRIPTOR367"/>
      <w:bookmarkStart w:id="601" w:name="DESCRIPTOR368"/>
      <w:bookmarkStart w:id="602" w:name="DESCRIPTOR369"/>
      <w:bookmarkStart w:id="603" w:name="DESCRIPTOR370"/>
      <w:bookmarkStart w:id="604" w:name="DESCRIPTOR371"/>
      <w:bookmarkStart w:id="605" w:name="DESCRIPTOR372"/>
      <w:bookmarkStart w:id="606" w:name="DESCRIPTOR373"/>
      <w:bookmarkStart w:id="607" w:name="DESCRIPTOR374"/>
      <w:bookmarkStart w:id="608" w:name="DESCRIPTOR375"/>
      <w:bookmarkStart w:id="609" w:name="DESCRIPTOR376"/>
      <w:bookmarkStart w:id="610" w:name="DESCRIPTOR377"/>
      <w:bookmarkStart w:id="611" w:name="DESCRIPTOR378"/>
      <w:bookmarkStart w:id="612" w:name="DESCRIPTOR379"/>
      <w:bookmarkStart w:id="613" w:name="DESCRIPTOR380"/>
      <w:bookmarkStart w:id="614" w:name="DESCRIPTOR381"/>
      <w:bookmarkStart w:id="615" w:name="DESCRIPTOR382"/>
      <w:bookmarkStart w:id="616" w:name="DESCRIPTOR383"/>
      <w:bookmarkStart w:id="617" w:name="DESCRIPTOR384"/>
      <w:bookmarkStart w:id="618" w:name="DESCRIPTOR385"/>
      <w:bookmarkStart w:id="619" w:name="DESCRIPTOR386"/>
      <w:bookmarkStart w:id="620" w:name="DESCRIPTOR387"/>
      <w:bookmarkStart w:id="621" w:name="DESCRIPTOR388"/>
      <w:bookmarkStart w:id="622" w:name="DESCRIPTOR389"/>
      <w:bookmarkStart w:id="623" w:name="DESCRIPTOR390"/>
      <w:bookmarkStart w:id="624" w:name="DESCRIPTOR391"/>
      <w:bookmarkStart w:id="625" w:name="DESCRIPTOR392"/>
      <w:bookmarkStart w:id="626" w:name="DESCRIPTOR393"/>
      <w:bookmarkStart w:id="627" w:name="DESCRIPTOR394"/>
      <w:bookmarkStart w:id="628" w:name="DESCRIPTOR395"/>
      <w:bookmarkStart w:id="629" w:name="DESCRIPTOR396"/>
      <w:bookmarkStart w:id="630" w:name="DESCRIPTOR397"/>
      <w:bookmarkStart w:id="631" w:name="DESCRIPTOR398"/>
      <w:bookmarkStart w:id="632" w:name="DESCRIPTOR399"/>
      <w:bookmarkStart w:id="633" w:name="DESCRIPTOR400"/>
      <w:bookmarkStart w:id="634" w:name="DESCRIPTOR401"/>
      <w:bookmarkStart w:id="635" w:name="DESCRIPTOR402"/>
      <w:bookmarkStart w:id="636" w:name="DESCRIPTOR403"/>
      <w:bookmarkStart w:id="637" w:name="DESCRIPTOR404"/>
      <w:bookmarkStart w:id="638" w:name="DESCRIPTOR405"/>
      <w:bookmarkStart w:id="639" w:name="DESCRIPTOR406"/>
      <w:bookmarkStart w:id="640" w:name="DESCRIPTOR407"/>
      <w:bookmarkStart w:id="641" w:name="DESCRIPTOR408"/>
      <w:bookmarkStart w:id="642" w:name="DESCRIPTOR409"/>
      <w:bookmarkStart w:id="643" w:name="DESCRIPTOR410"/>
      <w:bookmarkStart w:id="644" w:name="DESCRIPTOR411"/>
      <w:bookmarkStart w:id="645" w:name="DESCRIPTOR412"/>
      <w:bookmarkStart w:id="646" w:name="DESCRIPTOR413"/>
      <w:bookmarkStart w:id="647" w:name="DESCRIPTOR414"/>
      <w:bookmarkStart w:id="648" w:name="DESCRIPTOR415"/>
      <w:bookmarkStart w:id="649" w:name="DESCRIPTOR416"/>
      <w:bookmarkStart w:id="650" w:name="DESCRIPTOR417"/>
      <w:bookmarkStart w:id="651" w:name="DESCRIPTOR418"/>
      <w:bookmarkStart w:id="652" w:name="DESCRIPTOR419"/>
      <w:bookmarkStart w:id="653" w:name="DESCRIPTOR420"/>
      <w:bookmarkStart w:id="654" w:name="DESCRIPTOR421"/>
      <w:bookmarkStart w:id="655" w:name="DESCRIPTOR422"/>
      <w:bookmarkStart w:id="656" w:name="DESCRIPTOR423"/>
      <w:bookmarkStart w:id="657" w:name="DESCRIPTOR424"/>
      <w:bookmarkStart w:id="658" w:name="DESCRIPTOR425"/>
      <w:bookmarkStart w:id="659" w:name="DESCRIPTOR426"/>
      <w:bookmarkStart w:id="660" w:name="DESCRIPTOR427"/>
      <w:bookmarkStart w:id="661" w:name="DESCRIPTOR428"/>
      <w:bookmarkStart w:id="662" w:name="DESCRIPTOR429"/>
      <w:bookmarkStart w:id="663" w:name="DESCRIPTOR430"/>
      <w:bookmarkStart w:id="664" w:name="DESCRIPTOR431"/>
      <w:bookmarkStart w:id="665" w:name="DESCRIPTOR432"/>
      <w:bookmarkStart w:id="666" w:name="DESCRIPTOR433"/>
      <w:bookmarkStart w:id="667" w:name="DESCRIPTOR434"/>
      <w:bookmarkStart w:id="668" w:name="DESCRIPTOR435"/>
      <w:bookmarkStart w:id="669" w:name="DESCRIPTOR436"/>
      <w:bookmarkStart w:id="670" w:name="DESCRIPTOR437"/>
      <w:bookmarkStart w:id="671" w:name="DESCRIPTOR438"/>
      <w:bookmarkStart w:id="672" w:name="DESCRIPTOR439"/>
      <w:bookmarkStart w:id="673" w:name="DESCRIPTOR440"/>
      <w:bookmarkStart w:id="674" w:name="DESCRIPTOR441"/>
      <w:bookmarkStart w:id="675" w:name="DESCRIPTOR442"/>
      <w:bookmarkStart w:id="676" w:name="DESCRIPTOR443"/>
      <w:bookmarkStart w:id="677" w:name="DESCRIPTOR444"/>
      <w:bookmarkStart w:id="678" w:name="DESCRIPTOR445"/>
      <w:bookmarkStart w:id="679" w:name="DESCRIPTOR446"/>
      <w:bookmarkStart w:id="680" w:name="DESCRIPTOR447"/>
      <w:bookmarkStart w:id="681" w:name="DESCRIPTOR448"/>
      <w:bookmarkStart w:id="682" w:name="DESCRIPTOR449"/>
      <w:bookmarkStart w:id="683" w:name="DESCRIPTOR450"/>
      <w:bookmarkStart w:id="684" w:name="DESCRIPTOR451"/>
      <w:bookmarkStart w:id="685" w:name="DESCRIPTOR452"/>
      <w:bookmarkStart w:id="686" w:name="DESCRIPTOR453"/>
      <w:bookmarkStart w:id="687" w:name="DESCRIPTOR454"/>
      <w:bookmarkStart w:id="688" w:name="DESCRIPTOR455"/>
      <w:bookmarkStart w:id="689" w:name="DESCRIPTOR456"/>
      <w:bookmarkStart w:id="690" w:name="DESCRIPTOR457"/>
      <w:bookmarkStart w:id="691" w:name="DESCRIPTOR458"/>
      <w:bookmarkStart w:id="692" w:name="DESCRIPTOR459"/>
      <w:bookmarkStart w:id="693" w:name="DESCRIPTOR460"/>
      <w:bookmarkStart w:id="694" w:name="DESCRIPTOR461"/>
      <w:bookmarkStart w:id="695" w:name="DESCRIPTOR462"/>
      <w:bookmarkStart w:id="696" w:name="DESCRIPTOR463"/>
      <w:bookmarkStart w:id="697" w:name="DESCRIPTOR464"/>
      <w:bookmarkStart w:id="698" w:name="DESCRIPTOR465"/>
      <w:bookmarkStart w:id="699" w:name="DESCRIPTOR466"/>
      <w:bookmarkStart w:id="700" w:name="DESCRIPTOR467"/>
      <w:bookmarkStart w:id="701" w:name="DESCRIPTOR468"/>
      <w:bookmarkStart w:id="702" w:name="DESCRIPTOR469"/>
      <w:bookmarkStart w:id="703" w:name="DESCRIPTOR470"/>
      <w:bookmarkStart w:id="704" w:name="DESCRIPTOR471"/>
      <w:bookmarkStart w:id="705" w:name="DESCRIPTOR472"/>
      <w:bookmarkStart w:id="706" w:name="DESCRIPTOR473"/>
      <w:bookmarkStart w:id="707" w:name="DESCRIPTOR474"/>
      <w:bookmarkStart w:id="708" w:name="DESCRIPTOR475"/>
      <w:bookmarkStart w:id="709" w:name="DESCRIPTOR476"/>
      <w:bookmarkStart w:id="710" w:name="DESCRIPTOR477"/>
      <w:bookmarkStart w:id="711" w:name="DESCRIPTOR478"/>
      <w:bookmarkStart w:id="712" w:name="DESCRIPTOR479"/>
      <w:bookmarkStart w:id="713" w:name="DESCRIPTOR480"/>
      <w:bookmarkStart w:id="714" w:name="DESCRIPTOR481"/>
      <w:bookmarkStart w:id="715" w:name="DESCRIPTOR482"/>
      <w:bookmarkStart w:id="716" w:name="DESCRIPTOR483"/>
      <w:bookmarkStart w:id="717" w:name="DESCRIPTOR484"/>
      <w:bookmarkStart w:id="718" w:name="DESCRIPTOR485"/>
      <w:bookmarkStart w:id="719" w:name="DESCRIPTOR486"/>
      <w:bookmarkStart w:id="720" w:name="DESCRIPTOR487"/>
      <w:bookmarkStart w:id="721" w:name="DESCRIPTOR488"/>
      <w:bookmarkStart w:id="722" w:name="DESCRIPTOR489"/>
      <w:bookmarkStart w:id="723" w:name="DESCRIPTOR490"/>
      <w:bookmarkStart w:id="724" w:name="DESCRIPTOR491"/>
      <w:bookmarkStart w:id="725" w:name="DESCRIPTOR492"/>
      <w:bookmarkStart w:id="726" w:name="DESCRIPTOR493"/>
      <w:bookmarkStart w:id="727" w:name="DESCRIPTOR494"/>
      <w:bookmarkStart w:id="728" w:name="DESCRIPTOR495"/>
      <w:bookmarkStart w:id="729" w:name="DESCRIPTOR496"/>
      <w:bookmarkStart w:id="730" w:name="DESCRIPTOR497"/>
      <w:bookmarkStart w:id="731" w:name="DESCRIPTOR498"/>
      <w:bookmarkStart w:id="732" w:name="DESCRIPTOR499"/>
      <w:bookmarkStart w:id="733" w:name="DESCRIPTOR500"/>
      <w:bookmarkStart w:id="734" w:name="DESCRIPTOR501"/>
      <w:bookmarkStart w:id="735" w:name="DESCRIPTOR502"/>
      <w:bookmarkStart w:id="736" w:name="DESCRIPTOR503"/>
      <w:bookmarkStart w:id="737" w:name="DESCRIPTOR504"/>
      <w:bookmarkStart w:id="738" w:name="DESCRIPTOR505"/>
      <w:bookmarkStart w:id="739" w:name="DESCRIPTOR506"/>
      <w:bookmarkStart w:id="740" w:name="DESCRIPTOR507"/>
      <w:bookmarkStart w:id="741" w:name="DESCRIPTOR508"/>
      <w:bookmarkStart w:id="742" w:name="INDICE5ALFABETICO"/>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rsidR="00DE0EC2" w:rsidRDefault="00DE0EC2" w:rsidP="00DE0EC2">
      <w:pPr>
        <w:pStyle w:val="TextoNormal"/>
      </w:pPr>
    </w:p>
    <w:p w:rsidR="00DE0EC2" w:rsidRDefault="00DE0EC2" w:rsidP="00DE0EC2">
      <w:pPr>
        <w:pStyle w:val="TextoNormal"/>
      </w:pPr>
    </w:p>
    <w:p w:rsidR="00DE0EC2" w:rsidRDefault="00DE0EC2" w:rsidP="00DE0EC2">
      <w:pPr>
        <w:pStyle w:val="TextoNormal"/>
      </w:pPr>
    </w:p>
    <w:p w:rsidR="00DE0EC2" w:rsidRDefault="00DE0EC2" w:rsidP="00DE0EC2">
      <w:pPr>
        <w:pStyle w:val="Ttulondice"/>
      </w:pPr>
      <w:r>
        <w:t>7. ÍNDICE ANALÍTICO</w:t>
      </w:r>
    </w:p>
    <w:p w:rsidR="00DE0EC2" w:rsidRDefault="00DE0EC2" w:rsidP="00DE0EC2">
      <w:pPr>
        <w:pStyle w:val="TextoNormal"/>
      </w:pPr>
    </w:p>
    <w:p w:rsidR="00DE0EC2" w:rsidRDefault="00DE0EC2" w:rsidP="00DE0EC2">
      <w:pPr>
        <w:pStyle w:val="Ttulondice"/>
      </w:pPr>
    </w:p>
    <w:p w:rsidR="00DE0EC2" w:rsidRDefault="00DE0EC2" w:rsidP="00DE0EC2">
      <w:pPr>
        <w:pStyle w:val="Ttulondice"/>
      </w:pPr>
    </w:p>
    <w:p w:rsidR="00DE0EC2" w:rsidRDefault="00DE0EC2" w:rsidP="00DE0EC2">
      <w:pPr>
        <w:pStyle w:val="Ttulondice"/>
      </w:pPr>
    </w:p>
    <w:p w:rsidR="00DE0EC2" w:rsidRDefault="00DE0EC2" w:rsidP="00DE0EC2">
      <w:pPr>
        <w:pStyle w:val="Ttulondice"/>
      </w:pPr>
    </w:p>
    <w:p w:rsidR="00DE0EC2" w:rsidRDefault="00DE0EC2" w:rsidP="00DE0EC2">
      <w:pPr>
        <w:pStyle w:val="Ttulondice"/>
      </w:pPr>
    </w:p>
    <w:p w:rsidR="00DE0EC2" w:rsidRDefault="00DE0EC2" w:rsidP="00DE0EC2">
      <w:pPr>
        <w:pStyle w:val="Ttulondice"/>
      </w:pPr>
    </w:p>
    <w:p w:rsidR="00DE0EC2" w:rsidRDefault="00DE0EC2" w:rsidP="00DE0EC2">
      <w:pPr>
        <w:pStyle w:val="Ttulondice"/>
      </w:pPr>
    </w:p>
    <w:p w:rsidR="00DE0EC2" w:rsidRDefault="00DE0EC2" w:rsidP="00DE0EC2">
      <w:pPr>
        <w:pStyle w:val="TextoNormalNegritaCentrado"/>
      </w:pPr>
      <w:r>
        <w:t>A</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743" w:name="DESCRIPTORALFABETICO155"/>
      <w:r w:rsidRPr="00DE0EC2">
        <w:rPr>
          <w:rStyle w:val="TextoNormalNegritaCaracter"/>
        </w:rPr>
        <w:t>Abstención de magistrados del Tribunal Constitucional</w:t>
      </w:r>
      <w:bookmarkEnd w:id="743"/>
      <w:r w:rsidRPr="00DE0EC2">
        <w:rPr>
          <w:rStyle w:val="TextoNormalCaracter"/>
        </w:rPr>
        <w:t xml:space="preserve">, Autos </w:t>
      </w:r>
      <w:hyperlink w:anchor="AUTO_2021_9" w:history="1">
        <w:r w:rsidRPr="00DE0EC2">
          <w:rPr>
            <w:rStyle w:val="TextoNormalCaracter"/>
          </w:rPr>
          <w:t>9/2021</w:t>
        </w:r>
      </w:hyperlink>
      <w:r w:rsidRPr="00DE0EC2">
        <w:rPr>
          <w:rStyle w:val="TextoNormalCaracter"/>
        </w:rPr>
        <w:t xml:space="preserve">, f. único; </w:t>
      </w:r>
      <w:hyperlink w:anchor="AUTO_2021_18" w:history="1">
        <w:r w:rsidRPr="00DE0EC2">
          <w:rPr>
            <w:rStyle w:val="TextoNormalCaracter"/>
          </w:rPr>
          <w:t>18/2021</w:t>
        </w:r>
      </w:hyperlink>
      <w:r w:rsidRPr="00DE0EC2">
        <w:rPr>
          <w:rStyle w:val="TextoNormalCaracter"/>
        </w:rPr>
        <w:t xml:space="preserve">, f. único; </w:t>
      </w:r>
      <w:hyperlink w:anchor="AUTO_2021_19" w:history="1">
        <w:r w:rsidRPr="00DE0EC2">
          <w:rPr>
            <w:rStyle w:val="TextoNormalCaracter"/>
          </w:rPr>
          <w:t>19/2021</w:t>
        </w:r>
      </w:hyperlink>
      <w:r w:rsidRPr="00DE0EC2">
        <w:rPr>
          <w:rStyle w:val="TextoNormalCaracter"/>
        </w:rPr>
        <w:t xml:space="preserve">, f. único; </w:t>
      </w:r>
      <w:hyperlink w:anchor="AUTO_2021_20" w:history="1">
        <w:r w:rsidRPr="00DE0EC2">
          <w:rPr>
            <w:rStyle w:val="TextoNormalCaracter"/>
          </w:rPr>
          <w:t>20/2021</w:t>
        </w:r>
      </w:hyperlink>
      <w:r w:rsidRPr="00DE0EC2">
        <w:rPr>
          <w:rStyle w:val="TextoNormalCaracter"/>
        </w:rPr>
        <w:t xml:space="preserve">, f. único; </w:t>
      </w:r>
      <w:hyperlink w:anchor="AUTO_2021_22" w:history="1">
        <w:r w:rsidRPr="00DE0EC2">
          <w:rPr>
            <w:rStyle w:val="TextoNormalCaracter"/>
          </w:rPr>
          <w:t>22/2021</w:t>
        </w:r>
      </w:hyperlink>
      <w:r w:rsidRPr="00DE0EC2">
        <w:rPr>
          <w:rStyle w:val="TextoNormalCaracter"/>
        </w:rPr>
        <w:t>.</w:t>
      </w:r>
    </w:p>
    <w:p w:rsidR="00DE0EC2" w:rsidRPr="00DE0EC2" w:rsidRDefault="00DE0EC2" w:rsidP="00DE0EC2">
      <w:pPr>
        <w:pStyle w:val="TextoNormalSangraFrancesa"/>
        <w:rPr>
          <w:rStyle w:val="TextoNormalCaracter"/>
        </w:rPr>
      </w:pPr>
      <w:r w:rsidRPr="00DE0EC2">
        <w:rPr>
          <w:rStyle w:val="TextoNormalCursivaCaracter"/>
        </w:rPr>
        <w:t xml:space="preserve">    Acepta, </w:t>
      </w:r>
      <w:r w:rsidRPr="00DE0EC2">
        <w:rPr>
          <w:rStyle w:val="TextoNormalCaracter"/>
        </w:rPr>
        <w:t xml:space="preserve">Auto </w:t>
      </w:r>
      <w:hyperlink w:anchor="AUTO_2021_53" w:history="1">
        <w:r w:rsidRPr="00DE0EC2">
          <w:rPr>
            <w:rStyle w:val="TextoNormalCaracter"/>
          </w:rPr>
          <w:t>53/2021</w:t>
        </w:r>
      </w:hyperlink>
      <w:r w:rsidRPr="00DE0EC2">
        <w:rPr>
          <w:rStyle w:val="TextoNormalCaracter"/>
        </w:rPr>
        <w:t>.</w:t>
      </w:r>
    </w:p>
    <w:p w:rsidR="00DE0EC2" w:rsidRPr="00DE0EC2" w:rsidRDefault="00DE0EC2" w:rsidP="00DE0EC2">
      <w:pPr>
        <w:pStyle w:val="TextoNormalSangraFrancesa"/>
        <w:rPr>
          <w:rStyle w:val="TextoNormalCaracter"/>
        </w:rPr>
      </w:pPr>
      <w:bookmarkStart w:id="744" w:name="DESCRIPTORALFABETICO154"/>
      <w:r w:rsidRPr="00DE0EC2">
        <w:rPr>
          <w:rStyle w:val="TextoNormalNegritaCaracter"/>
        </w:rPr>
        <w:t>Abstención y recusación de magistrados del Tribunal Constitucional</w:t>
      </w:r>
      <w:bookmarkEnd w:id="744"/>
      <w:r w:rsidRPr="00DE0EC2">
        <w:rPr>
          <w:rStyle w:val="TextoNormalCaracter"/>
        </w:rPr>
        <w:t xml:space="preserve">, Autos </w:t>
      </w:r>
      <w:hyperlink w:anchor="AUTO_2021_17" w:history="1">
        <w:r w:rsidRPr="00DE0EC2">
          <w:rPr>
            <w:rStyle w:val="TextoNormalCaracter"/>
          </w:rPr>
          <w:t>17/2021</w:t>
        </w:r>
      </w:hyperlink>
      <w:r w:rsidRPr="00DE0EC2">
        <w:rPr>
          <w:rStyle w:val="TextoNormalCaracter"/>
        </w:rPr>
        <w:t xml:space="preserve">, f. único; </w:t>
      </w:r>
      <w:hyperlink w:anchor="AUTO_2021_48" w:history="1">
        <w:r w:rsidRPr="00DE0EC2">
          <w:rPr>
            <w:rStyle w:val="TextoNormalCaracter"/>
          </w:rPr>
          <w:t>48/2021</w:t>
        </w:r>
      </w:hyperlink>
      <w:r w:rsidRPr="00DE0EC2">
        <w:rPr>
          <w:rStyle w:val="TextoNormalCaracter"/>
        </w:rPr>
        <w:t>.</w:t>
      </w:r>
    </w:p>
    <w:p w:rsidR="00DE0EC2" w:rsidRPr="00DE0EC2" w:rsidRDefault="00DE0EC2" w:rsidP="00DE0EC2">
      <w:pPr>
        <w:pStyle w:val="TextoNormalSangraFrancesa"/>
        <w:rPr>
          <w:rStyle w:val="TextoNormalCaracter"/>
        </w:rPr>
      </w:pPr>
      <w:bookmarkStart w:id="745" w:name="DESCRIPTORALFABETICO38"/>
      <w:r w:rsidRPr="00DE0EC2">
        <w:rPr>
          <w:rStyle w:val="TextoNormalNegritaCaracter"/>
        </w:rPr>
        <w:t>Acatamiento a la Constitución</w:t>
      </w:r>
      <w:bookmarkEnd w:id="745"/>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11; </w:t>
      </w:r>
      <w:hyperlink w:anchor="SENTENCIA_2021_106" w:history="1">
        <w:r w:rsidRPr="00DE0EC2">
          <w:rPr>
            <w:rStyle w:val="TextoNormalCaracter"/>
          </w:rPr>
          <w:t>106/2021</w:t>
        </w:r>
      </w:hyperlink>
      <w:r w:rsidRPr="00DE0EC2">
        <w:rPr>
          <w:rStyle w:val="TextoNormalCaracter"/>
        </w:rPr>
        <w:t>, f. 11.</w:t>
      </w:r>
    </w:p>
    <w:p w:rsidR="00DE0EC2" w:rsidRPr="00DE0EC2" w:rsidRDefault="00DE0EC2" w:rsidP="00DE0EC2">
      <w:pPr>
        <w:pStyle w:val="TextoNormalSangraFrancesa"/>
        <w:rPr>
          <w:rStyle w:val="TextoNormalCaracter"/>
        </w:rPr>
      </w:pPr>
      <w:bookmarkStart w:id="746" w:name="DESCRIPTORALFABETICO45"/>
      <w:r w:rsidRPr="00DE0EC2">
        <w:rPr>
          <w:rStyle w:val="TextoNormalNegritaCaracter"/>
        </w:rPr>
        <w:t>Acceso a los cargos públicos de representación política</w:t>
      </w:r>
      <w:bookmarkEnd w:id="746"/>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ff. 1 a 4.</w:t>
      </w:r>
    </w:p>
    <w:p w:rsidR="00DE0EC2" w:rsidRPr="00DE0EC2" w:rsidRDefault="00DE0EC2" w:rsidP="00DE0EC2">
      <w:pPr>
        <w:pStyle w:val="TextoNormalSangraFrancesa"/>
        <w:rPr>
          <w:rStyle w:val="TextoNormalCaracter"/>
        </w:rPr>
      </w:pPr>
      <w:bookmarkStart w:id="747" w:name="DESCRIPTORALFABETICO439"/>
      <w:r w:rsidRPr="00DE0EC2">
        <w:rPr>
          <w:rStyle w:val="TextoNormalNegritaCaracter"/>
        </w:rPr>
        <w:t>Acceso a los medios de prueba</w:t>
      </w:r>
      <w:bookmarkEnd w:id="747"/>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7; </w:t>
      </w:r>
      <w:hyperlink w:anchor="SENTENCIA_2021_106" w:history="1">
        <w:r w:rsidRPr="00DE0EC2">
          <w:rPr>
            <w:rStyle w:val="TextoNormalCaracter"/>
          </w:rPr>
          <w:t>106/2021</w:t>
        </w:r>
      </w:hyperlink>
      <w:r w:rsidRPr="00DE0EC2">
        <w:rPr>
          <w:rStyle w:val="TextoNormalCaracter"/>
        </w:rPr>
        <w:t xml:space="preserve">, f. 7; </w:t>
      </w:r>
      <w:hyperlink w:anchor="SENTENCIA_2021_121" w:history="1">
        <w:r w:rsidRPr="00DE0EC2">
          <w:rPr>
            <w:rStyle w:val="TextoNormalCaracter"/>
          </w:rPr>
          <w:t>121/2021</w:t>
        </w:r>
      </w:hyperlink>
      <w:r w:rsidRPr="00DE0EC2">
        <w:rPr>
          <w:rStyle w:val="TextoNormalCaracter"/>
        </w:rPr>
        <w:t>, f. 8.</w:t>
      </w:r>
    </w:p>
    <w:p w:rsidR="00DE0EC2" w:rsidRPr="00DE0EC2" w:rsidRDefault="00DE0EC2" w:rsidP="00DE0EC2">
      <w:pPr>
        <w:pStyle w:val="TextoNormalSangraFrancesa"/>
        <w:rPr>
          <w:rStyle w:val="TextoNormalCaracter"/>
        </w:rPr>
      </w:pPr>
      <w:bookmarkStart w:id="748" w:name="DESCRIPTORALFABETICO277"/>
      <w:r w:rsidRPr="00DE0EC2">
        <w:rPr>
          <w:rStyle w:val="TextoNormalNegritaCaracter"/>
        </w:rPr>
        <w:t>Acción de anulación de laudo arbitral</w:t>
      </w:r>
      <w:bookmarkEnd w:id="748"/>
      <w:r w:rsidRPr="00DE0EC2">
        <w:rPr>
          <w:rStyle w:val="TextoNormalCaracter"/>
        </w:rPr>
        <w:t xml:space="preserve">, Sentencias </w:t>
      </w:r>
      <w:hyperlink w:anchor="SENTENCIA_2021_17" w:history="1">
        <w:r w:rsidRPr="00DE0EC2">
          <w:rPr>
            <w:rStyle w:val="TextoNormalCaracter"/>
          </w:rPr>
          <w:t>17/2021</w:t>
        </w:r>
      </w:hyperlink>
      <w:r w:rsidRPr="00DE0EC2">
        <w:rPr>
          <w:rStyle w:val="TextoNormalCaracter"/>
        </w:rPr>
        <w:t xml:space="preserve">, ff. 1 a 3; </w:t>
      </w:r>
      <w:hyperlink w:anchor="SENTENCIA_2021_55" w:history="1">
        <w:r w:rsidRPr="00DE0EC2">
          <w:rPr>
            <w:rStyle w:val="TextoNormalCaracter"/>
          </w:rPr>
          <w:t>55/2021</w:t>
        </w:r>
      </w:hyperlink>
      <w:r w:rsidRPr="00DE0EC2">
        <w:rPr>
          <w:rStyle w:val="TextoNormalCaracter"/>
        </w:rPr>
        <w:t xml:space="preserve">, f. 3; </w:t>
      </w:r>
      <w:hyperlink w:anchor="SENTENCIA_2021_65" w:history="1">
        <w:r w:rsidRPr="00DE0EC2">
          <w:rPr>
            <w:rStyle w:val="TextoNormalCaracter"/>
          </w:rPr>
          <w:t>65/2021</w:t>
        </w:r>
      </w:hyperlink>
      <w:r w:rsidRPr="00DE0EC2">
        <w:rPr>
          <w:rStyle w:val="TextoNormalCaracter"/>
        </w:rPr>
        <w:t>, ff. 2 a 6.</w:t>
      </w:r>
    </w:p>
    <w:p w:rsidR="00DE0EC2" w:rsidRPr="00DE0EC2" w:rsidRDefault="00DE0EC2" w:rsidP="00DE0EC2">
      <w:pPr>
        <w:pStyle w:val="TextoNormalSangraFrancesa"/>
        <w:rPr>
          <w:rStyle w:val="TextoNormalCaracter"/>
        </w:rPr>
      </w:pPr>
      <w:bookmarkStart w:id="749" w:name="DESCRIPTORALFABETICO195"/>
      <w:r w:rsidRPr="00DE0EC2">
        <w:rPr>
          <w:rStyle w:val="TextoNormalNegritaCaracter"/>
        </w:rPr>
        <w:t>Aclaración de doctrina constitucional</w:t>
      </w:r>
      <w:bookmarkEnd w:id="749"/>
      <w:r w:rsidRPr="00DE0EC2">
        <w:rPr>
          <w:rStyle w:val="TextoNormalCaracter"/>
        </w:rPr>
        <w:t xml:space="preserve">, Sentencia </w:t>
      </w:r>
      <w:hyperlink w:anchor="SENTENCIA_2021_4" w:history="1">
        <w:r w:rsidRPr="00DE0EC2">
          <w:rPr>
            <w:rStyle w:val="TextoNormalCaracter"/>
          </w:rPr>
          <w:t>4/2021</w:t>
        </w:r>
      </w:hyperlink>
      <w:r w:rsidRPr="00DE0EC2">
        <w:rPr>
          <w:rStyle w:val="TextoNormalCaracter"/>
        </w:rPr>
        <w:t>, f. 2.</w:t>
      </w:r>
    </w:p>
    <w:p w:rsidR="00DE0EC2" w:rsidRPr="00DE0EC2" w:rsidRDefault="00DE0EC2" w:rsidP="00DE0EC2">
      <w:pPr>
        <w:pStyle w:val="TextoNormalSangraFrancesa"/>
        <w:rPr>
          <w:rStyle w:val="TextoNormalCaracter"/>
        </w:rPr>
      </w:pPr>
      <w:bookmarkStart w:id="750" w:name="DESCRIPTORALFABETICO465"/>
      <w:r w:rsidRPr="00DE0EC2">
        <w:rPr>
          <w:rStyle w:val="TextoNormalNegritaCaracter"/>
        </w:rPr>
        <w:t>Aclaración de sentencia</w:t>
      </w:r>
      <w:bookmarkEnd w:id="750"/>
      <w:r w:rsidRPr="00DE0EC2">
        <w:rPr>
          <w:rStyle w:val="TextoNormalCaracter"/>
        </w:rPr>
        <w:t xml:space="preserve">, Sentencia </w:t>
      </w:r>
      <w:hyperlink w:anchor="SENTENCIA_2021_96" w:history="1">
        <w:r w:rsidRPr="00DE0EC2">
          <w:rPr>
            <w:rStyle w:val="TextoNormalCaracter"/>
          </w:rPr>
          <w:t>96/2021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751" w:name="DESCRIPTORALFABETICO207"/>
      <w:r w:rsidRPr="00DE0EC2">
        <w:rPr>
          <w:rStyle w:val="TextoNormalNegritaCaracter"/>
        </w:rPr>
        <w:t>Aclaración improcedente</w:t>
      </w:r>
      <w:bookmarkEnd w:id="751"/>
      <w:r w:rsidRPr="00DE0EC2">
        <w:rPr>
          <w:rStyle w:val="TextoNormalCaracter"/>
        </w:rPr>
        <w:t xml:space="preserve">, Autos </w:t>
      </w:r>
      <w:hyperlink w:anchor="AUTO_2021_37" w:history="1">
        <w:r w:rsidRPr="00DE0EC2">
          <w:rPr>
            <w:rStyle w:val="TextoNormalCaracter"/>
          </w:rPr>
          <w:t>37/2021</w:t>
        </w:r>
      </w:hyperlink>
      <w:r w:rsidRPr="00DE0EC2">
        <w:rPr>
          <w:rStyle w:val="TextoNormalCaracter"/>
        </w:rPr>
        <w:t xml:space="preserve">; </w:t>
      </w:r>
      <w:hyperlink w:anchor="AUTO_2021_43" w:history="1">
        <w:r w:rsidRPr="00DE0EC2">
          <w:rPr>
            <w:rStyle w:val="TextoNormalCaracter"/>
          </w:rPr>
          <w:t>43/2021</w:t>
        </w:r>
      </w:hyperlink>
      <w:r w:rsidRPr="00DE0EC2">
        <w:rPr>
          <w:rStyle w:val="TextoNormalCaracter"/>
        </w:rPr>
        <w:t xml:space="preserve">; </w:t>
      </w:r>
      <w:hyperlink w:anchor="AUTO_2021_47" w:history="1">
        <w:r w:rsidRPr="00DE0EC2">
          <w:rPr>
            <w:rStyle w:val="TextoNormalCaracter"/>
          </w:rPr>
          <w:t>47/2021</w:t>
        </w:r>
      </w:hyperlink>
      <w:r w:rsidRPr="00DE0EC2">
        <w:rPr>
          <w:rStyle w:val="TextoNormalCaracter"/>
        </w:rPr>
        <w:t xml:space="preserve">; </w:t>
      </w:r>
      <w:hyperlink w:anchor="AUTO_2021_49" w:history="1">
        <w:r w:rsidRPr="00DE0EC2">
          <w:rPr>
            <w:rStyle w:val="TextoNormalCaracter"/>
          </w:rPr>
          <w:t>49/2021</w:t>
        </w:r>
      </w:hyperlink>
      <w:r w:rsidRPr="00DE0EC2">
        <w:rPr>
          <w:rStyle w:val="TextoNormalCaracter"/>
        </w:rPr>
        <w:t xml:space="preserve">; </w:t>
      </w:r>
      <w:hyperlink w:anchor="AUTO_2021_50" w:history="1">
        <w:r w:rsidRPr="00DE0EC2">
          <w:rPr>
            <w:rStyle w:val="TextoNormalCaracter"/>
          </w:rPr>
          <w:t>50/2021</w:t>
        </w:r>
      </w:hyperlink>
      <w:r w:rsidRPr="00DE0EC2">
        <w:rPr>
          <w:rStyle w:val="TextoNormalCaracter"/>
        </w:rPr>
        <w:t>.</w:t>
      </w:r>
    </w:p>
    <w:p w:rsidR="00DE0EC2" w:rsidRPr="00DE0EC2" w:rsidRDefault="00DE0EC2" w:rsidP="00DE0EC2">
      <w:pPr>
        <w:pStyle w:val="TextoNormalSangraFrancesa"/>
        <w:rPr>
          <w:rStyle w:val="TextoNormalCaracter"/>
        </w:rPr>
      </w:pPr>
      <w:bookmarkStart w:id="752" w:name="DESCRIPTORALFABETICO176"/>
      <w:r w:rsidRPr="00DE0EC2">
        <w:rPr>
          <w:rStyle w:val="TextoNormalNegritaCaracter"/>
        </w:rPr>
        <w:t>Acotación del objeto de la cuestión de inconstitucionalidad</w:t>
      </w:r>
      <w:bookmarkEnd w:id="752"/>
      <w:r w:rsidRPr="00DE0EC2">
        <w:rPr>
          <w:rStyle w:val="TextoNormalCaracter"/>
        </w:rPr>
        <w:t xml:space="preserve">, Sentencia </w:t>
      </w:r>
      <w:hyperlink w:anchor="SENTENCIA_2021_109" w:history="1">
        <w:r w:rsidRPr="00DE0EC2">
          <w:rPr>
            <w:rStyle w:val="TextoNormalCaracter"/>
          </w:rPr>
          <w:t>109/2021</w:t>
        </w:r>
      </w:hyperlink>
      <w:r w:rsidRPr="00DE0EC2">
        <w:rPr>
          <w:rStyle w:val="TextoNormalCaracter"/>
        </w:rPr>
        <w:t>, f. 2.</w:t>
      </w:r>
    </w:p>
    <w:p w:rsidR="00DE0EC2" w:rsidRPr="00DE0EC2" w:rsidRDefault="00DE0EC2" w:rsidP="00DE0EC2">
      <w:pPr>
        <w:pStyle w:val="TextoNormalSangraFrancesa"/>
        <w:rPr>
          <w:rStyle w:val="TextoNormalCaracter"/>
        </w:rPr>
      </w:pPr>
      <w:bookmarkStart w:id="753" w:name="DESCRIPTORALFABETICO416"/>
      <w:r w:rsidRPr="00DE0EC2">
        <w:rPr>
          <w:rStyle w:val="TextoNormalNegritaCaracter"/>
        </w:rPr>
        <w:t>Actos de comunicación al domicilio de las partes aún no personadas</w:t>
      </w:r>
      <w:bookmarkEnd w:id="753"/>
      <w:r w:rsidRPr="00DE0EC2">
        <w:rPr>
          <w:rStyle w:val="TextoNormalCaracter"/>
        </w:rPr>
        <w:t xml:space="preserve">, Sentencias </w:t>
      </w:r>
      <w:hyperlink w:anchor="SENTENCIA_2021_9" w:history="1">
        <w:r w:rsidRPr="00DE0EC2">
          <w:rPr>
            <w:rStyle w:val="TextoNormalCaracter"/>
          </w:rPr>
          <w:t>9/2021</w:t>
        </w:r>
      </w:hyperlink>
      <w:r w:rsidRPr="00DE0EC2">
        <w:rPr>
          <w:rStyle w:val="TextoNormalCaracter"/>
        </w:rPr>
        <w:t xml:space="preserve">, f. único; </w:t>
      </w:r>
      <w:hyperlink w:anchor="SENTENCIA_2021_10" w:history="1">
        <w:r w:rsidRPr="00DE0EC2">
          <w:rPr>
            <w:rStyle w:val="TextoNormalCaracter"/>
          </w:rPr>
          <w:t>10/2021</w:t>
        </w:r>
      </w:hyperlink>
      <w:r w:rsidRPr="00DE0EC2">
        <w:rPr>
          <w:rStyle w:val="TextoNormalCaracter"/>
        </w:rPr>
        <w:t xml:space="preserve">, f. único; </w:t>
      </w:r>
      <w:hyperlink w:anchor="SENTENCIA_2021_25" w:history="1">
        <w:r w:rsidRPr="00DE0EC2">
          <w:rPr>
            <w:rStyle w:val="TextoNormalCaracter"/>
          </w:rPr>
          <w:t>25/2021</w:t>
        </w:r>
      </w:hyperlink>
      <w:r w:rsidRPr="00DE0EC2">
        <w:rPr>
          <w:rStyle w:val="TextoNormalCaracter"/>
        </w:rPr>
        <w:t xml:space="preserve">, f. 2; </w:t>
      </w:r>
      <w:hyperlink w:anchor="SENTENCIA_2021_26" w:history="1">
        <w:r w:rsidRPr="00DE0EC2">
          <w:rPr>
            <w:rStyle w:val="TextoNormalCaracter"/>
          </w:rPr>
          <w:t>26/2021</w:t>
        </w:r>
      </w:hyperlink>
      <w:r w:rsidRPr="00DE0EC2">
        <w:rPr>
          <w:rStyle w:val="TextoNormalCaracter"/>
        </w:rPr>
        <w:t xml:space="preserve">, f. único; </w:t>
      </w:r>
      <w:hyperlink w:anchor="SENTENCIA_2021_27" w:history="1">
        <w:r w:rsidRPr="00DE0EC2">
          <w:rPr>
            <w:rStyle w:val="TextoNormalCaracter"/>
          </w:rPr>
          <w:t>27/2021</w:t>
        </w:r>
      </w:hyperlink>
      <w:r w:rsidRPr="00DE0EC2">
        <w:rPr>
          <w:rStyle w:val="TextoNormalCaracter"/>
        </w:rPr>
        <w:t xml:space="preserve">, f. único; </w:t>
      </w:r>
      <w:hyperlink w:anchor="SENTENCIA_2021_28" w:history="1">
        <w:r w:rsidRPr="00DE0EC2">
          <w:rPr>
            <w:rStyle w:val="TextoNormalCaracter"/>
          </w:rPr>
          <w:t>28/2021</w:t>
        </w:r>
      </w:hyperlink>
      <w:r w:rsidRPr="00DE0EC2">
        <w:rPr>
          <w:rStyle w:val="TextoNormalCaracter"/>
        </w:rPr>
        <w:t xml:space="preserve">, f. único; </w:t>
      </w:r>
      <w:hyperlink w:anchor="SENTENCIA_2021_30" w:history="1">
        <w:r w:rsidRPr="00DE0EC2">
          <w:rPr>
            <w:rStyle w:val="TextoNormalCaracter"/>
          </w:rPr>
          <w:t>30/2021</w:t>
        </w:r>
      </w:hyperlink>
      <w:r w:rsidRPr="00DE0EC2">
        <w:rPr>
          <w:rStyle w:val="TextoNormalCaracter"/>
        </w:rPr>
        <w:t xml:space="preserve">, f. único; </w:t>
      </w:r>
      <w:hyperlink w:anchor="SENTENCIA_2021_31" w:history="1">
        <w:r w:rsidRPr="00DE0EC2">
          <w:rPr>
            <w:rStyle w:val="TextoNormalCaracter"/>
          </w:rPr>
          <w:t>31/2021</w:t>
        </w:r>
      </w:hyperlink>
      <w:r w:rsidRPr="00DE0EC2">
        <w:rPr>
          <w:rStyle w:val="TextoNormalCaracter"/>
        </w:rPr>
        <w:t xml:space="preserve">, f. único; </w:t>
      </w:r>
      <w:hyperlink w:anchor="SENTENCIA_2021_32" w:history="1">
        <w:r w:rsidRPr="00DE0EC2">
          <w:rPr>
            <w:rStyle w:val="TextoNormalCaracter"/>
          </w:rPr>
          <w:t>32/2021</w:t>
        </w:r>
      </w:hyperlink>
      <w:r w:rsidRPr="00DE0EC2">
        <w:rPr>
          <w:rStyle w:val="TextoNormalCaracter"/>
        </w:rPr>
        <w:t xml:space="preserve">, f. único; </w:t>
      </w:r>
      <w:hyperlink w:anchor="SENTENCIA_2021_33" w:history="1">
        <w:r w:rsidRPr="00DE0EC2">
          <w:rPr>
            <w:rStyle w:val="TextoNormalCaracter"/>
          </w:rPr>
          <w:t>33/2021</w:t>
        </w:r>
      </w:hyperlink>
      <w:r w:rsidRPr="00DE0EC2">
        <w:rPr>
          <w:rStyle w:val="TextoNormalCaracter"/>
        </w:rPr>
        <w:t xml:space="preserve">, f. 3; </w:t>
      </w:r>
      <w:hyperlink w:anchor="SENTENCIA_2021_44" w:history="1">
        <w:r w:rsidRPr="00DE0EC2">
          <w:rPr>
            <w:rStyle w:val="TextoNormalCaracter"/>
          </w:rPr>
          <w:t>44/2021</w:t>
        </w:r>
      </w:hyperlink>
      <w:r w:rsidRPr="00DE0EC2">
        <w:rPr>
          <w:rStyle w:val="TextoNormalCaracter"/>
        </w:rPr>
        <w:t xml:space="preserve">, f. único; </w:t>
      </w:r>
      <w:hyperlink w:anchor="SENTENCIA_2021_45" w:history="1">
        <w:r w:rsidRPr="00DE0EC2">
          <w:rPr>
            <w:rStyle w:val="TextoNormalCaracter"/>
          </w:rPr>
          <w:t>45/2021</w:t>
        </w:r>
      </w:hyperlink>
      <w:r w:rsidRPr="00DE0EC2">
        <w:rPr>
          <w:rStyle w:val="TextoNormalCaracter"/>
        </w:rPr>
        <w:t xml:space="preserve">, f. único; </w:t>
      </w:r>
      <w:hyperlink w:anchor="SENTENCIA_2021_46" w:history="1">
        <w:r w:rsidRPr="00DE0EC2">
          <w:rPr>
            <w:rStyle w:val="TextoNormalCaracter"/>
          </w:rPr>
          <w:t>46/2021</w:t>
        </w:r>
      </w:hyperlink>
      <w:r w:rsidRPr="00DE0EC2">
        <w:rPr>
          <w:rStyle w:val="TextoNormalCaracter"/>
        </w:rPr>
        <w:t xml:space="preserve">, f. único; </w:t>
      </w:r>
      <w:hyperlink w:anchor="SENTENCIA_2021_47" w:history="1">
        <w:r w:rsidRPr="00DE0EC2">
          <w:rPr>
            <w:rStyle w:val="TextoNormalCaracter"/>
          </w:rPr>
          <w:t>47/2021</w:t>
        </w:r>
      </w:hyperlink>
      <w:r w:rsidRPr="00DE0EC2">
        <w:rPr>
          <w:rStyle w:val="TextoNormalCaracter"/>
        </w:rPr>
        <w:t xml:space="preserve">, f. único; </w:t>
      </w:r>
      <w:hyperlink w:anchor="SENTENCIA_2021_48" w:history="1">
        <w:r w:rsidRPr="00DE0EC2">
          <w:rPr>
            <w:rStyle w:val="TextoNormalCaracter"/>
          </w:rPr>
          <w:t>48/2021</w:t>
        </w:r>
      </w:hyperlink>
      <w:r w:rsidRPr="00DE0EC2">
        <w:rPr>
          <w:rStyle w:val="TextoNormalCaracter"/>
        </w:rPr>
        <w:t xml:space="preserve">, ff. 2, 3; </w:t>
      </w:r>
      <w:hyperlink w:anchor="SENTENCIA_2021_49" w:history="1">
        <w:r w:rsidRPr="00DE0EC2">
          <w:rPr>
            <w:rStyle w:val="TextoNormalCaracter"/>
          </w:rPr>
          <w:t>49/2021</w:t>
        </w:r>
      </w:hyperlink>
      <w:r w:rsidRPr="00DE0EC2">
        <w:rPr>
          <w:rStyle w:val="TextoNormalCaracter"/>
        </w:rPr>
        <w:t xml:space="preserve">, f. único; </w:t>
      </w:r>
      <w:hyperlink w:anchor="SENTENCIA_2021_56" w:history="1">
        <w:r w:rsidRPr="00DE0EC2">
          <w:rPr>
            <w:rStyle w:val="TextoNormalCaracter"/>
          </w:rPr>
          <w:t>56/2021</w:t>
        </w:r>
      </w:hyperlink>
      <w:r w:rsidRPr="00DE0EC2">
        <w:rPr>
          <w:rStyle w:val="TextoNormalCaracter"/>
        </w:rPr>
        <w:t xml:space="preserve">, f. 2; </w:t>
      </w:r>
      <w:hyperlink w:anchor="SENTENCIA_2021_58" w:history="1">
        <w:r w:rsidRPr="00DE0EC2">
          <w:rPr>
            <w:rStyle w:val="TextoNormalCaracter"/>
          </w:rPr>
          <w:t>58/2021</w:t>
        </w:r>
      </w:hyperlink>
      <w:r w:rsidRPr="00DE0EC2">
        <w:rPr>
          <w:rStyle w:val="TextoNormalCaracter"/>
        </w:rPr>
        <w:t xml:space="preserve">, f. único; </w:t>
      </w:r>
      <w:hyperlink w:anchor="SENTENCIA_2021_59" w:history="1">
        <w:r w:rsidRPr="00DE0EC2">
          <w:rPr>
            <w:rStyle w:val="TextoNormalCaracter"/>
          </w:rPr>
          <w:t>59/2021</w:t>
        </w:r>
      </w:hyperlink>
      <w:r w:rsidRPr="00DE0EC2">
        <w:rPr>
          <w:rStyle w:val="TextoNormalCaracter"/>
        </w:rPr>
        <w:t xml:space="preserve">, f. único; </w:t>
      </w:r>
      <w:hyperlink w:anchor="SENTENCIA_2021_62" w:history="1">
        <w:r w:rsidRPr="00DE0EC2">
          <w:rPr>
            <w:rStyle w:val="TextoNormalCaracter"/>
          </w:rPr>
          <w:t>62/2021</w:t>
        </w:r>
      </w:hyperlink>
      <w:r w:rsidRPr="00DE0EC2">
        <w:rPr>
          <w:rStyle w:val="TextoNormalCaracter"/>
        </w:rPr>
        <w:t xml:space="preserve">, ff. 1, 2; </w:t>
      </w:r>
      <w:hyperlink w:anchor="SENTENCIA_2021_64" w:history="1">
        <w:r w:rsidRPr="00DE0EC2">
          <w:rPr>
            <w:rStyle w:val="TextoNormalCaracter"/>
          </w:rPr>
          <w:t>64/2021</w:t>
        </w:r>
      </w:hyperlink>
      <w:r w:rsidRPr="00DE0EC2">
        <w:rPr>
          <w:rStyle w:val="TextoNormalCaracter"/>
        </w:rPr>
        <w:t xml:space="preserve">, f. 3; </w:t>
      </w:r>
      <w:hyperlink w:anchor="SENTENCIA_2021_82" w:history="1">
        <w:r w:rsidRPr="00DE0EC2">
          <w:rPr>
            <w:rStyle w:val="TextoNormalCaracter"/>
          </w:rPr>
          <w:t>82/2021</w:t>
        </w:r>
      </w:hyperlink>
      <w:r w:rsidRPr="00DE0EC2">
        <w:rPr>
          <w:rStyle w:val="TextoNormalCaracter"/>
        </w:rPr>
        <w:t xml:space="preserve">, f. 2; </w:t>
      </w:r>
      <w:hyperlink w:anchor="SENTENCIA_2021_84" w:history="1">
        <w:r w:rsidRPr="00DE0EC2">
          <w:rPr>
            <w:rStyle w:val="TextoNormalCaracter"/>
          </w:rPr>
          <w:t>84/2021</w:t>
        </w:r>
      </w:hyperlink>
      <w:r w:rsidRPr="00DE0EC2">
        <w:rPr>
          <w:rStyle w:val="TextoNormalCaracter"/>
        </w:rPr>
        <w:t xml:space="preserve">, f. único; </w:t>
      </w:r>
      <w:hyperlink w:anchor="SENTENCIA_2021_85" w:history="1">
        <w:r w:rsidRPr="00DE0EC2">
          <w:rPr>
            <w:rStyle w:val="TextoNormalCaracter"/>
          </w:rPr>
          <w:t>85/2021</w:t>
        </w:r>
      </w:hyperlink>
      <w:r w:rsidRPr="00DE0EC2">
        <w:rPr>
          <w:rStyle w:val="TextoNormalCaracter"/>
        </w:rPr>
        <w:t xml:space="preserve">, f. único; </w:t>
      </w:r>
      <w:hyperlink w:anchor="SENTENCIA_2021_86" w:history="1">
        <w:r w:rsidRPr="00DE0EC2">
          <w:rPr>
            <w:rStyle w:val="TextoNormalCaracter"/>
          </w:rPr>
          <w:t>86/2021</w:t>
        </w:r>
      </w:hyperlink>
      <w:r w:rsidRPr="00DE0EC2">
        <w:rPr>
          <w:rStyle w:val="TextoNormalCaracter"/>
        </w:rPr>
        <w:t xml:space="preserve">, f. único; </w:t>
      </w:r>
      <w:hyperlink w:anchor="SENTENCIA_2021_89" w:history="1">
        <w:r w:rsidRPr="00DE0EC2">
          <w:rPr>
            <w:rStyle w:val="TextoNormalCaracter"/>
          </w:rPr>
          <w:t>89/2021</w:t>
        </w:r>
      </w:hyperlink>
      <w:r w:rsidRPr="00DE0EC2">
        <w:rPr>
          <w:rStyle w:val="TextoNormalCaracter"/>
        </w:rPr>
        <w:t xml:space="preserve">, ff. 1, 2; </w:t>
      </w:r>
      <w:hyperlink w:anchor="SENTENCIA_2021_100" w:history="1">
        <w:r w:rsidRPr="00DE0EC2">
          <w:rPr>
            <w:rStyle w:val="TextoNormalCaracter"/>
          </w:rPr>
          <w:t>100/2021</w:t>
        </w:r>
      </w:hyperlink>
      <w:r w:rsidRPr="00DE0EC2">
        <w:rPr>
          <w:rStyle w:val="TextoNormalCaracter"/>
        </w:rPr>
        <w:t xml:space="preserve">, f. único; </w:t>
      </w:r>
      <w:hyperlink w:anchor="SENTENCIA_2021_103" w:history="1">
        <w:r w:rsidRPr="00DE0EC2">
          <w:rPr>
            <w:rStyle w:val="TextoNormalCaracter"/>
          </w:rPr>
          <w:t>103/2021</w:t>
        </w:r>
      </w:hyperlink>
      <w:r w:rsidRPr="00DE0EC2">
        <w:rPr>
          <w:rStyle w:val="TextoNormalCaracter"/>
        </w:rPr>
        <w:t xml:space="preserve">, f. único; </w:t>
      </w:r>
      <w:hyperlink w:anchor="SENTENCIA_2021_115" w:history="1">
        <w:r w:rsidRPr="00DE0EC2">
          <w:rPr>
            <w:rStyle w:val="TextoNormalCaracter"/>
          </w:rPr>
          <w:t>115/2021</w:t>
        </w:r>
      </w:hyperlink>
      <w:r w:rsidRPr="00DE0EC2">
        <w:rPr>
          <w:rStyle w:val="TextoNormalCaracter"/>
        </w:rPr>
        <w:t xml:space="preserve">, f. 2; </w:t>
      </w:r>
      <w:hyperlink w:anchor="SENTENCIA_2021_116" w:history="1">
        <w:r w:rsidRPr="00DE0EC2">
          <w:rPr>
            <w:rStyle w:val="TextoNormalCaracter"/>
          </w:rPr>
          <w:t>116/2021</w:t>
        </w:r>
      </w:hyperlink>
      <w:r w:rsidRPr="00DE0EC2">
        <w:rPr>
          <w:rStyle w:val="TextoNormalCaracter"/>
        </w:rPr>
        <w:t xml:space="preserve">, f. 3; </w:t>
      </w:r>
      <w:hyperlink w:anchor="SENTENCIA_2021_129" w:history="1">
        <w:r w:rsidRPr="00DE0EC2">
          <w:rPr>
            <w:rStyle w:val="TextoNormalCaracter"/>
          </w:rPr>
          <w:t>129/2021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754" w:name="DESCRIPTORALFABETICO229"/>
      <w:r w:rsidRPr="00DE0EC2">
        <w:rPr>
          <w:rStyle w:val="TextoNormalNegritaCaracter"/>
        </w:rPr>
        <w:t>Actos parlamentarios internos</w:t>
      </w:r>
      <w:bookmarkEnd w:id="754"/>
      <w:r w:rsidRPr="00DE0EC2">
        <w:rPr>
          <w:rStyle w:val="TextoNormalCaracter"/>
        </w:rPr>
        <w:t xml:space="preserve">, Sentencia </w:t>
      </w:r>
      <w:hyperlink w:anchor="SENTENCIA_2021_137" w:history="1">
        <w:r w:rsidRPr="00DE0EC2">
          <w:rPr>
            <w:rStyle w:val="TextoNormalCaracter"/>
          </w:rPr>
          <w:t>137/2021</w:t>
        </w:r>
      </w:hyperlink>
      <w:r w:rsidRPr="00DE0EC2">
        <w:rPr>
          <w:rStyle w:val="TextoNormalCaracter"/>
        </w:rPr>
        <w:t>, f. 4.</w:t>
      </w:r>
    </w:p>
    <w:p w:rsidR="00DE0EC2" w:rsidRPr="00DE0EC2" w:rsidRDefault="00DE0EC2" w:rsidP="00DE0EC2">
      <w:pPr>
        <w:pStyle w:val="TextoNormalSangraFrancesa"/>
        <w:rPr>
          <w:rStyle w:val="TextoNormalCaracter"/>
        </w:rPr>
      </w:pPr>
      <w:bookmarkStart w:id="755" w:name="DESCRIPTORALFABETICO355"/>
      <w:r w:rsidRPr="00DE0EC2">
        <w:rPr>
          <w:rStyle w:val="TextoNormalNegritaCaracter"/>
        </w:rPr>
        <w:t>Actualización del régimen foral</w:t>
      </w:r>
      <w:bookmarkEnd w:id="755"/>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 4.</w:t>
      </w:r>
    </w:p>
    <w:p w:rsidR="00DE0EC2" w:rsidRPr="00DE0EC2" w:rsidRDefault="00DE0EC2" w:rsidP="00DE0EC2">
      <w:pPr>
        <w:pStyle w:val="TextoNormalSangraFrancesa"/>
        <w:rPr>
          <w:rStyle w:val="TextoNormalCaracter"/>
        </w:rPr>
      </w:pPr>
      <w:bookmarkStart w:id="756" w:name="DESCRIPTORALFABETICO234"/>
      <w:r w:rsidRPr="00DE0EC2">
        <w:rPr>
          <w:rStyle w:val="TextoNormalNegritaCaracter"/>
        </w:rPr>
        <w:t>Acuerdo de la Mesa desestimando solicitud de varios diputados</w:t>
      </w:r>
      <w:bookmarkEnd w:id="756"/>
      <w:r w:rsidRPr="00DE0EC2">
        <w:rPr>
          <w:rStyle w:val="TextoNormalCaracter"/>
        </w:rPr>
        <w:t xml:space="preserve">, Sentencia </w:t>
      </w:r>
      <w:hyperlink w:anchor="SENTENCIA_2021_66" w:history="1">
        <w:r w:rsidRPr="00DE0EC2">
          <w:rPr>
            <w:rStyle w:val="TextoNormalCaracter"/>
          </w:rPr>
          <w:t>66/2021</w:t>
        </w:r>
      </w:hyperlink>
      <w:r w:rsidRPr="00DE0EC2">
        <w:rPr>
          <w:rStyle w:val="TextoNormalCaracter"/>
        </w:rPr>
        <w:t>, f. 2.</w:t>
      </w:r>
    </w:p>
    <w:p w:rsidR="00DE0EC2" w:rsidRPr="00DE0EC2" w:rsidRDefault="00DE0EC2" w:rsidP="00DE0EC2">
      <w:pPr>
        <w:pStyle w:val="TextoNormalSangraFrancesa"/>
        <w:rPr>
          <w:rStyle w:val="TextoNormalCaracter"/>
        </w:rPr>
      </w:pPr>
      <w:bookmarkStart w:id="757" w:name="DESCRIPTORALFABETICO233"/>
      <w:r w:rsidRPr="00DE0EC2">
        <w:rPr>
          <w:rStyle w:val="TextoNormalNegritaCaracter"/>
        </w:rPr>
        <w:t>Acuerdos de las mesas parlamentarias</w:t>
      </w:r>
      <w:bookmarkEnd w:id="757"/>
      <w:r w:rsidRPr="00DE0EC2">
        <w:rPr>
          <w:rStyle w:val="TextoNormalCaracter"/>
        </w:rPr>
        <w:t xml:space="preserve">, Sentencia </w:t>
      </w:r>
      <w:hyperlink w:anchor="SENTENCIA_2021_137" w:history="1">
        <w:r w:rsidRPr="00DE0EC2">
          <w:rPr>
            <w:rStyle w:val="TextoNormalCaracter"/>
          </w:rPr>
          <w:t>137/2021</w:t>
        </w:r>
      </w:hyperlink>
      <w:r w:rsidRPr="00DE0EC2">
        <w:rPr>
          <w:rStyle w:val="TextoNormalCaracter"/>
        </w:rPr>
        <w:t>, ff. 1, 2, 4.</w:t>
      </w:r>
    </w:p>
    <w:p w:rsidR="00DE0EC2" w:rsidRPr="00DE0EC2" w:rsidRDefault="00DE0EC2" w:rsidP="00DE0EC2">
      <w:pPr>
        <w:pStyle w:val="TextoNormalSangraFrancesa"/>
        <w:rPr>
          <w:rStyle w:val="TextoNormalCaracter"/>
        </w:rPr>
      </w:pPr>
      <w:bookmarkStart w:id="758" w:name="DESCRIPTORALFABETICO414"/>
      <w:r w:rsidRPr="00DE0EC2">
        <w:rPr>
          <w:rStyle w:val="TextoNormalNegritaCaracter"/>
        </w:rPr>
        <w:t>Acumulación de acciones</w:t>
      </w:r>
      <w:bookmarkEnd w:id="758"/>
      <w:r w:rsidRPr="00DE0EC2">
        <w:rPr>
          <w:rStyle w:val="TextoNormalCaracter"/>
        </w:rPr>
        <w:t xml:space="preserve">, Sentencia </w:t>
      </w:r>
      <w:hyperlink w:anchor="SENTENCIA_2021_29" w:history="1">
        <w:r w:rsidRPr="00DE0EC2">
          <w:rPr>
            <w:rStyle w:val="TextoNormalCaracter"/>
          </w:rPr>
          <w:t>29/2021</w:t>
        </w:r>
      </w:hyperlink>
      <w:r w:rsidRPr="00DE0EC2">
        <w:rPr>
          <w:rStyle w:val="TextoNormalCaracter"/>
        </w:rPr>
        <w:t>, ff. 3 a 5.</w:t>
      </w:r>
    </w:p>
    <w:p w:rsidR="00DE0EC2" w:rsidRPr="00DE0EC2" w:rsidRDefault="00DE0EC2" w:rsidP="00DE0EC2">
      <w:pPr>
        <w:pStyle w:val="TextoNormalSangraFrancesa"/>
        <w:rPr>
          <w:rStyle w:val="TextoNormalCaracter"/>
        </w:rPr>
      </w:pPr>
      <w:r w:rsidRPr="00DE0EC2">
        <w:rPr>
          <w:rStyle w:val="TextoNormalCaracter"/>
        </w:rPr>
        <w:t xml:space="preserve">    Auto </w:t>
      </w:r>
      <w:hyperlink w:anchor="AUTO_2021_16" w:history="1">
        <w:r w:rsidRPr="00DE0EC2">
          <w:rPr>
            <w:rStyle w:val="TextoNormalCaracter"/>
          </w:rPr>
          <w:t>16/2021</w:t>
        </w:r>
      </w:hyperlink>
      <w:r w:rsidRPr="00DE0EC2">
        <w:rPr>
          <w:rStyle w:val="TextoNormalCaracter"/>
        </w:rPr>
        <w:t>, f. 3.</w:t>
      </w:r>
    </w:p>
    <w:p w:rsidR="00DE0EC2" w:rsidRPr="00DE0EC2" w:rsidRDefault="00DE0EC2" w:rsidP="00DE0EC2">
      <w:pPr>
        <w:pStyle w:val="TextoNormalSangraFrancesa"/>
        <w:rPr>
          <w:rStyle w:val="TextoNormalCaracter"/>
        </w:rPr>
      </w:pPr>
      <w:bookmarkStart w:id="759" w:name="DESCRIPTORALFABETICO157"/>
      <w:r w:rsidRPr="00DE0EC2">
        <w:rPr>
          <w:rStyle w:val="TextoNormalNegritaCaracter"/>
        </w:rPr>
        <w:t>Acumulación de recursos de amparo</w:t>
      </w:r>
      <w:bookmarkEnd w:id="759"/>
      <w:r w:rsidRPr="00DE0EC2">
        <w:rPr>
          <w:rStyle w:val="TextoNormalCaracter"/>
        </w:rPr>
        <w:t xml:space="preserve">, Autos </w:t>
      </w:r>
      <w:hyperlink w:anchor="AUTO_2021_13" w:history="1">
        <w:r w:rsidRPr="00DE0EC2">
          <w:rPr>
            <w:rStyle w:val="TextoNormalCaracter"/>
          </w:rPr>
          <w:t>13/2021</w:t>
        </w:r>
      </w:hyperlink>
      <w:r w:rsidRPr="00DE0EC2">
        <w:rPr>
          <w:rStyle w:val="TextoNormalCaracter"/>
        </w:rPr>
        <w:t xml:space="preserve">, f. único; </w:t>
      </w:r>
      <w:hyperlink w:anchor="AUTO_2021_25" w:history="1">
        <w:r w:rsidRPr="00DE0EC2">
          <w:rPr>
            <w:rStyle w:val="TextoNormalCaracter"/>
          </w:rPr>
          <w:t>25/2021</w:t>
        </w:r>
      </w:hyperlink>
      <w:r w:rsidRPr="00DE0EC2">
        <w:rPr>
          <w:rStyle w:val="TextoNormalCaracter"/>
        </w:rPr>
        <w:t>.</w:t>
      </w:r>
    </w:p>
    <w:p w:rsidR="00DE0EC2" w:rsidRPr="00DE0EC2" w:rsidRDefault="00DE0EC2" w:rsidP="00DE0EC2">
      <w:pPr>
        <w:pStyle w:val="TextoNormalSangraFrancesa"/>
        <w:rPr>
          <w:rStyle w:val="TextoNormalCaracter"/>
        </w:rPr>
      </w:pPr>
      <w:bookmarkStart w:id="760" w:name="DESCRIPTORALFABETICO481"/>
      <w:r w:rsidRPr="00DE0EC2">
        <w:rPr>
          <w:rStyle w:val="TextoNormalNegritaCaracter"/>
        </w:rPr>
        <w:t>Acusación particular</w:t>
      </w:r>
      <w:bookmarkEnd w:id="760"/>
      <w:r w:rsidRPr="00DE0EC2">
        <w:rPr>
          <w:rStyle w:val="TextoNormalCaracter"/>
        </w:rPr>
        <w:t xml:space="preserve">, Sentencia </w:t>
      </w:r>
      <w:hyperlink w:anchor="SENTENCIA_2021_29" w:history="1">
        <w:r w:rsidRPr="00DE0EC2">
          <w:rPr>
            <w:rStyle w:val="TextoNormalCaracter"/>
          </w:rPr>
          <w:t>29/2021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761" w:name="DESCRIPTORALFABETICO437"/>
      <w:r w:rsidRPr="00DE0EC2">
        <w:rPr>
          <w:rStyle w:val="TextoNormalNegritaCaracter"/>
        </w:rPr>
        <w:t>Admisión de prueba en proceso penal</w:t>
      </w:r>
      <w:bookmarkEnd w:id="761"/>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7; </w:t>
      </w:r>
      <w:hyperlink w:anchor="SENTENCIA_2021_106" w:history="1">
        <w:r w:rsidRPr="00DE0EC2">
          <w:rPr>
            <w:rStyle w:val="TextoNormalCaracter"/>
          </w:rPr>
          <w:t>106/2021</w:t>
        </w:r>
      </w:hyperlink>
      <w:r w:rsidRPr="00DE0EC2">
        <w:rPr>
          <w:rStyle w:val="TextoNormalCaracter"/>
        </w:rPr>
        <w:t xml:space="preserve">, f. 7; </w:t>
      </w:r>
      <w:hyperlink w:anchor="SENTENCIA_2021_121" w:history="1">
        <w:r w:rsidRPr="00DE0EC2">
          <w:rPr>
            <w:rStyle w:val="TextoNormalCaracter"/>
          </w:rPr>
          <w:t>121/2021</w:t>
        </w:r>
      </w:hyperlink>
      <w:r w:rsidRPr="00DE0EC2">
        <w:rPr>
          <w:rStyle w:val="TextoNormalCaracter"/>
        </w:rPr>
        <w:t>, f. 8.</w:t>
      </w:r>
    </w:p>
    <w:p w:rsidR="00DE0EC2" w:rsidRPr="00DE0EC2" w:rsidRDefault="00DE0EC2" w:rsidP="00DE0EC2">
      <w:pPr>
        <w:pStyle w:val="TextoNormalSangraFrancesa"/>
        <w:rPr>
          <w:rStyle w:val="TextoNormalCaracter"/>
        </w:rPr>
      </w:pPr>
      <w:bookmarkStart w:id="762" w:name="DESCRIPTORALFABETICO315"/>
      <w:r w:rsidRPr="00DE0EC2">
        <w:rPr>
          <w:rStyle w:val="TextoNormalNegritaCaracter"/>
        </w:rPr>
        <w:t>Adopción internacional</w:t>
      </w:r>
      <w:bookmarkEnd w:id="762"/>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 2.</w:t>
      </w:r>
    </w:p>
    <w:p w:rsidR="00DE0EC2" w:rsidRPr="00DE0EC2" w:rsidRDefault="00DE0EC2" w:rsidP="00DE0EC2">
      <w:pPr>
        <w:pStyle w:val="TextoNormalSangraFrancesa"/>
        <w:rPr>
          <w:rStyle w:val="TextoNormalCaracter"/>
        </w:rPr>
      </w:pPr>
      <w:bookmarkStart w:id="763" w:name="DESCRIPTORALFABETICO193"/>
      <w:r w:rsidRPr="00DE0EC2">
        <w:rPr>
          <w:rStyle w:val="TextoNormalNegritaCaracter"/>
        </w:rPr>
        <w:t>Agotamiento de la vía judicial</w:t>
      </w:r>
      <w:bookmarkEnd w:id="763"/>
      <w:r w:rsidRPr="00DE0EC2">
        <w:rPr>
          <w:rStyle w:val="TextoNormalCaracter"/>
        </w:rPr>
        <w:t xml:space="preserve">, Sentencias </w:t>
      </w:r>
      <w:hyperlink w:anchor="SENTENCIA_2021_34" w:history="1">
        <w:r w:rsidRPr="00DE0EC2">
          <w:rPr>
            <w:rStyle w:val="TextoNormalCaracter"/>
          </w:rPr>
          <w:t>34/2021</w:t>
        </w:r>
      </w:hyperlink>
      <w:r w:rsidRPr="00DE0EC2">
        <w:rPr>
          <w:rStyle w:val="TextoNormalCaracter"/>
        </w:rPr>
        <w:t xml:space="preserve">, f. 2; </w:t>
      </w:r>
      <w:hyperlink w:anchor="SENTENCIA_2021_70" w:history="1">
        <w:r w:rsidRPr="00DE0EC2">
          <w:rPr>
            <w:rStyle w:val="TextoNormalCaracter"/>
          </w:rPr>
          <w:t>70/2021</w:t>
        </w:r>
      </w:hyperlink>
      <w:r w:rsidRPr="00DE0EC2">
        <w:rPr>
          <w:rStyle w:val="TextoNormalCaracter"/>
        </w:rPr>
        <w:t xml:space="preserve">, f. 2; </w:t>
      </w:r>
      <w:hyperlink w:anchor="SENTENCIA_2021_73" w:history="1">
        <w:r w:rsidRPr="00DE0EC2">
          <w:rPr>
            <w:rStyle w:val="TextoNormalCaracter"/>
          </w:rPr>
          <w:t>73/2021</w:t>
        </w:r>
      </w:hyperlink>
      <w:r w:rsidRPr="00DE0EC2">
        <w:rPr>
          <w:rStyle w:val="TextoNormalCaracter"/>
        </w:rPr>
        <w:t>, f. 2.</w:t>
      </w:r>
    </w:p>
    <w:p w:rsidR="00DE0EC2" w:rsidRPr="00DE0EC2" w:rsidRDefault="00DE0EC2" w:rsidP="00DE0EC2">
      <w:pPr>
        <w:pStyle w:val="TextoNormalSangraFrancesa"/>
        <w:rPr>
          <w:rStyle w:val="TextoNormalCaracter"/>
        </w:rPr>
      </w:pPr>
      <w:bookmarkStart w:id="764" w:name="DESCRIPTORALFABETICO194"/>
      <w:r w:rsidRPr="00DE0EC2">
        <w:rPr>
          <w:rStyle w:val="TextoNormalNegritaCaracter"/>
        </w:rPr>
        <w:t>Agotamiento de la vía parlamentaria</w:t>
      </w:r>
      <w:bookmarkEnd w:id="764"/>
      <w:r w:rsidRPr="00DE0EC2">
        <w:rPr>
          <w:rStyle w:val="TextoNormalCaracter"/>
        </w:rPr>
        <w:t xml:space="preserve">, Sentencia </w:t>
      </w:r>
      <w:hyperlink w:anchor="SENTENCIA_2021_69" w:history="1">
        <w:r w:rsidRPr="00DE0EC2">
          <w:rPr>
            <w:rStyle w:val="TextoNormalCaracter"/>
          </w:rPr>
          <w:t>69/2021</w:t>
        </w:r>
      </w:hyperlink>
      <w:r w:rsidRPr="00DE0EC2">
        <w:rPr>
          <w:rStyle w:val="TextoNormalCaracter"/>
        </w:rPr>
        <w:t>, f. 2.</w:t>
      </w:r>
    </w:p>
    <w:p w:rsidR="00DE0EC2" w:rsidRPr="00DE0EC2" w:rsidRDefault="00DE0EC2" w:rsidP="00DE0EC2">
      <w:pPr>
        <w:pStyle w:val="TextoNormalSangraFrancesa"/>
        <w:rPr>
          <w:rStyle w:val="TextoNormalCaracter"/>
        </w:rPr>
      </w:pPr>
      <w:bookmarkStart w:id="765" w:name="DESCRIPTORALFABETICO177"/>
      <w:r w:rsidRPr="00DE0EC2">
        <w:rPr>
          <w:rStyle w:val="TextoNormalNegritaCaracter"/>
        </w:rPr>
        <w:t>Alcance de la declaración de inconstitucionalidad</w:t>
      </w:r>
      <w:bookmarkEnd w:id="765"/>
      <w:r w:rsidRPr="00DE0EC2">
        <w:rPr>
          <w:rStyle w:val="TextoNormalCaracter"/>
        </w:rPr>
        <w:t xml:space="preserve">, Sentencia </w:t>
      </w:r>
      <w:hyperlink w:anchor="SENTENCIA_2021_38" w:history="1">
        <w:r w:rsidRPr="00DE0EC2">
          <w:rPr>
            <w:rStyle w:val="TextoNormalCaracter"/>
          </w:rPr>
          <w:t>38/2021</w:t>
        </w:r>
      </w:hyperlink>
      <w:r w:rsidRPr="00DE0EC2">
        <w:rPr>
          <w:rStyle w:val="TextoNormalCaracter"/>
        </w:rPr>
        <w:t>, f. 2.</w:t>
      </w:r>
    </w:p>
    <w:p w:rsidR="00DE0EC2" w:rsidRPr="00DE0EC2" w:rsidRDefault="00DE0EC2" w:rsidP="00DE0EC2">
      <w:pPr>
        <w:pStyle w:val="TextoNormalSangraFrancesa"/>
        <w:rPr>
          <w:rStyle w:val="TextoNormalCaracter"/>
        </w:rPr>
      </w:pPr>
      <w:bookmarkStart w:id="766" w:name="DESCRIPTORALFABETICO379"/>
      <w:r w:rsidRPr="00DE0EC2">
        <w:rPr>
          <w:rStyle w:val="TextoNormalNegritaCaracter"/>
        </w:rPr>
        <w:t>Alcance de la pena accesoria</w:t>
      </w:r>
      <w:bookmarkEnd w:id="766"/>
      <w:r w:rsidRPr="00DE0EC2">
        <w:rPr>
          <w:rStyle w:val="TextoNormalCaracter"/>
        </w:rPr>
        <w:t xml:space="preserve">, Sentencia </w:t>
      </w:r>
      <w:hyperlink w:anchor="SENTENCIA_2021_126" w:history="1">
        <w:r w:rsidRPr="00DE0EC2">
          <w:rPr>
            <w:rStyle w:val="TextoNormalCaracter"/>
          </w:rPr>
          <w:t>126/2021</w:t>
        </w:r>
      </w:hyperlink>
      <w:r w:rsidRPr="00DE0EC2">
        <w:rPr>
          <w:rStyle w:val="TextoNormalCaracter"/>
        </w:rPr>
        <w:t>, f. 5.</w:t>
      </w:r>
    </w:p>
    <w:p w:rsidR="00DE0EC2" w:rsidRPr="00DE0EC2" w:rsidRDefault="00DE0EC2" w:rsidP="00DE0EC2">
      <w:pPr>
        <w:pStyle w:val="TextoNormalSangraFrancesa"/>
        <w:rPr>
          <w:rStyle w:val="TextoNormalCaracter"/>
        </w:rPr>
      </w:pPr>
      <w:bookmarkStart w:id="767" w:name="DESCRIPTORALFABETICO210"/>
      <w:r w:rsidRPr="00DE0EC2">
        <w:rPr>
          <w:rStyle w:val="TextoNormalNegritaCaracter"/>
        </w:rPr>
        <w:t>Alcance del fallo en recurso de amparo</w:t>
      </w:r>
      <w:bookmarkEnd w:id="767"/>
      <w:r w:rsidRPr="00DE0EC2">
        <w:rPr>
          <w:rStyle w:val="TextoNormalCaracter"/>
        </w:rPr>
        <w:t xml:space="preserve">, Sentencia </w:t>
      </w:r>
      <w:hyperlink w:anchor="SENTENCIA_2021_53" w:history="1">
        <w:r w:rsidRPr="00DE0EC2">
          <w:rPr>
            <w:rStyle w:val="TextoNormalCaracter"/>
          </w:rPr>
          <w:t>53/2021</w:t>
        </w:r>
      </w:hyperlink>
      <w:r w:rsidRPr="00DE0EC2">
        <w:rPr>
          <w:rStyle w:val="TextoNormalCaracter"/>
        </w:rPr>
        <w:t>, f. 7.</w:t>
      </w:r>
    </w:p>
    <w:p w:rsidR="00DE0EC2" w:rsidRPr="00DE0EC2" w:rsidRDefault="00DE0EC2" w:rsidP="00DE0EC2">
      <w:pPr>
        <w:pStyle w:val="TextoNormalSangraFrancesa"/>
        <w:rPr>
          <w:rStyle w:val="TextoNormalCaracter"/>
        </w:rPr>
      </w:pPr>
      <w:bookmarkStart w:id="768" w:name="DESCRIPTORALFABETICO409"/>
      <w:r w:rsidRPr="00DE0EC2">
        <w:rPr>
          <w:rStyle w:val="TextoNormalNegritaCaracter"/>
        </w:rPr>
        <w:t>Alquiler social</w:t>
      </w:r>
      <w:bookmarkEnd w:id="768"/>
      <w:r w:rsidRPr="00DE0EC2">
        <w:rPr>
          <w:rStyle w:val="TextoNormalCaracter"/>
        </w:rPr>
        <w:t xml:space="preserve">, Sentencia </w:t>
      </w:r>
      <w:hyperlink w:anchor="SENTENCIA_2021_16" w:history="1">
        <w:r w:rsidRPr="00DE0EC2">
          <w:rPr>
            <w:rStyle w:val="TextoNormalCaracter"/>
          </w:rPr>
          <w:t>16/2021</w:t>
        </w:r>
      </w:hyperlink>
      <w:r w:rsidRPr="00DE0EC2">
        <w:rPr>
          <w:rStyle w:val="TextoNormalCaracter"/>
        </w:rPr>
        <w:t>, ff. 5 y 6.</w:t>
      </w:r>
    </w:p>
    <w:p w:rsidR="00DE0EC2" w:rsidRPr="00DE0EC2" w:rsidRDefault="00DE0EC2" w:rsidP="00DE0EC2">
      <w:pPr>
        <w:pStyle w:val="TextoNormalSangraFrancesa"/>
        <w:rPr>
          <w:rStyle w:val="TextoNormalCaracter"/>
        </w:rPr>
      </w:pPr>
      <w:bookmarkStart w:id="769" w:name="DESCRIPTORALFABETICO368"/>
      <w:r w:rsidRPr="00DE0EC2">
        <w:rPr>
          <w:rStyle w:val="TextoNormalNegritaCaracter"/>
        </w:rPr>
        <w:t xml:space="preserve">Analogía </w:t>
      </w:r>
      <w:r w:rsidRPr="00DE0EC2">
        <w:rPr>
          <w:rStyle w:val="TextoNormalNegritaCaracter"/>
          <w:i/>
        </w:rPr>
        <w:t>in malam partem</w:t>
      </w:r>
      <w:bookmarkEnd w:id="769"/>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11; </w:t>
      </w:r>
      <w:hyperlink w:anchor="SENTENCIA_2021_106" w:history="1">
        <w:r w:rsidRPr="00DE0EC2">
          <w:rPr>
            <w:rStyle w:val="TextoNormalCaracter"/>
          </w:rPr>
          <w:t>106/2021</w:t>
        </w:r>
      </w:hyperlink>
      <w:r w:rsidRPr="00DE0EC2">
        <w:rPr>
          <w:rStyle w:val="TextoNormalCaracter"/>
        </w:rPr>
        <w:t xml:space="preserve">, f. 11; </w:t>
      </w:r>
      <w:hyperlink w:anchor="SENTENCIA_2021_121" w:history="1">
        <w:r w:rsidRPr="00DE0EC2">
          <w:rPr>
            <w:rStyle w:val="TextoNormalCaracter"/>
          </w:rPr>
          <w:t>121/2021</w:t>
        </w:r>
      </w:hyperlink>
      <w:r w:rsidRPr="00DE0EC2">
        <w:rPr>
          <w:rStyle w:val="TextoNormalCaracter"/>
        </w:rPr>
        <w:t>, f. 12.</w:t>
      </w:r>
    </w:p>
    <w:p w:rsidR="00DE0EC2" w:rsidRPr="00DE0EC2" w:rsidRDefault="00DE0EC2" w:rsidP="00DE0EC2">
      <w:pPr>
        <w:pStyle w:val="TextoNormalSangraFrancesa"/>
        <w:rPr>
          <w:rStyle w:val="TextoNormalCaracter"/>
        </w:rPr>
      </w:pPr>
      <w:bookmarkStart w:id="770" w:name="DESCRIPTORALFABETICO496"/>
      <w:r w:rsidRPr="00DE0EC2">
        <w:rPr>
          <w:rStyle w:val="TextoNormalNegritaCaracter"/>
        </w:rPr>
        <w:t>Andalucía</w:t>
      </w:r>
      <w:bookmarkEnd w:id="770"/>
      <w:r w:rsidRPr="00DE0EC2">
        <w:rPr>
          <w:rStyle w:val="TextoNormalCaracter"/>
        </w:rPr>
        <w:t xml:space="preserve">, Sentencia </w:t>
      </w:r>
      <w:hyperlink w:anchor="SENTENCIA_2021_123" w:history="1">
        <w:r w:rsidRPr="00DE0EC2">
          <w:rPr>
            <w:rStyle w:val="TextoNormalCaracter"/>
          </w:rPr>
          <w:t>123/2021</w:t>
        </w:r>
      </w:hyperlink>
      <w:r w:rsidRPr="00DE0EC2">
        <w:rPr>
          <w:rStyle w:val="TextoNormalCaracter"/>
        </w:rPr>
        <w:t>, f. 1.</w:t>
      </w:r>
    </w:p>
    <w:p w:rsidR="00DE0EC2" w:rsidRPr="00DE0EC2" w:rsidRDefault="00DE0EC2" w:rsidP="00DE0EC2">
      <w:pPr>
        <w:pStyle w:val="TextoNormalSangraFrancesa"/>
        <w:rPr>
          <w:rStyle w:val="TextoNormalCaracter"/>
        </w:rPr>
      </w:pPr>
      <w:r w:rsidRPr="00DE0EC2">
        <w:rPr>
          <w:rStyle w:val="TextoNormalCaracter"/>
        </w:rPr>
        <w:t xml:space="preserve">    Auto </w:t>
      </w:r>
      <w:hyperlink w:anchor="AUTO_2021_68" w:history="1">
        <w:r w:rsidRPr="00DE0EC2">
          <w:rPr>
            <w:rStyle w:val="TextoNormalCaracter"/>
          </w:rPr>
          <w:t>68/2021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771" w:name="DESCRIPTORALFABETICO448"/>
      <w:r w:rsidRPr="00DE0EC2">
        <w:rPr>
          <w:rStyle w:val="TextoNormalNegritaCaracter"/>
        </w:rPr>
        <w:t>Anotación preventiva de demanda de amparo</w:t>
      </w:r>
      <w:bookmarkEnd w:id="771"/>
      <w:r w:rsidRPr="00DE0EC2">
        <w:rPr>
          <w:rStyle w:val="TextoNormalCaracter"/>
        </w:rPr>
        <w:t xml:space="preserve">, Autos </w:t>
      </w:r>
      <w:hyperlink w:anchor="AUTO_2021_1" w:history="1">
        <w:r w:rsidRPr="00DE0EC2">
          <w:rPr>
            <w:rStyle w:val="TextoNormalCaracter"/>
          </w:rPr>
          <w:t>1/2021</w:t>
        </w:r>
      </w:hyperlink>
      <w:r w:rsidRPr="00DE0EC2">
        <w:rPr>
          <w:rStyle w:val="TextoNormalCaracter"/>
        </w:rPr>
        <w:t xml:space="preserve">, ff. 3, 4; </w:t>
      </w:r>
      <w:hyperlink w:anchor="AUTO_2021_2" w:history="1">
        <w:r w:rsidRPr="00DE0EC2">
          <w:rPr>
            <w:rStyle w:val="TextoNormalCaracter"/>
          </w:rPr>
          <w:t>2/2021</w:t>
        </w:r>
      </w:hyperlink>
      <w:r w:rsidRPr="00DE0EC2">
        <w:rPr>
          <w:rStyle w:val="TextoNormalCaracter"/>
        </w:rPr>
        <w:t xml:space="preserve">, ff. 3, 4; </w:t>
      </w:r>
      <w:hyperlink w:anchor="AUTO_2021_3" w:history="1">
        <w:r w:rsidRPr="00DE0EC2">
          <w:rPr>
            <w:rStyle w:val="TextoNormalCaracter"/>
          </w:rPr>
          <w:t>3/2021</w:t>
        </w:r>
      </w:hyperlink>
      <w:r w:rsidRPr="00DE0EC2">
        <w:rPr>
          <w:rStyle w:val="TextoNormalCaracter"/>
        </w:rPr>
        <w:t xml:space="preserve">, ff. 3, 4; </w:t>
      </w:r>
      <w:hyperlink w:anchor="AUTO_2021_11" w:history="1">
        <w:r w:rsidRPr="00DE0EC2">
          <w:rPr>
            <w:rStyle w:val="TextoNormalCaracter"/>
          </w:rPr>
          <w:t>11/2021</w:t>
        </w:r>
      </w:hyperlink>
      <w:r w:rsidRPr="00DE0EC2">
        <w:rPr>
          <w:rStyle w:val="TextoNormalCaracter"/>
        </w:rPr>
        <w:t xml:space="preserve">, ff. 3, 4; </w:t>
      </w:r>
      <w:hyperlink w:anchor="AUTO_2021_12" w:history="1">
        <w:r w:rsidRPr="00DE0EC2">
          <w:rPr>
            <w:rStyle w:val="TextoNormalCaracter"/>
          </w:rPr>
          <w:t>12/2021</w:t>
        </w:r>
      </w:hyperlink>
      <w:r w:rsidRPr="00DE0EC2">
        <w:rPr>
          <w:rStyle w:val="TextoNormalCaracter"/>
        </w:rPr>
        <w:t xml:space="preserve">, ff. 3, 4; </w:t>
      </w:r>
      <w:hyperlink w:anchor="AUTO_2021_66" w:history="1">
        <w:r w:rsidRPr="00DE0EC2">
          <w:rPr>
            <w:rStyle w:val="TextoNormalCaracter"/>
          </w:rPr>
          <w:t>66/2021</w:t>
        </w:r>
      </w:hyperlink>
      <w:r w:rsidRPr="00DE0EC2">
        <w:rPr>
          <w:rStyle w:val="TextoNormalCaracter"/>
        </w:rPr>
        <w:t>, ff. 3 y 4.</w:t>
      </w:r>
    </w:p>
    <w:p w:rsidR="00DE0EC2" w:rsidRPr="00DE0EC2" w:rsidRDefault="00DE0EC2" w:rsidP="00DE0EC2">
      <w:pPr>
        <w:pStyle w:val="TextoNormalSangraFrancesa"/>
        <w:rPr>
          <w:rStyle w:val="TextoNormalCaracter"/>
        </w:rPr>
      </w:pPr>
      <w:bookmarkStart w:id="772" w:name="DESCRIPTORALFABETICO369"/>
      <w:r w:rsidRPr="00DE0EC2">
        <w:rPr>
          <w:rStyle w:val="TextoNormalNegritaCaracter"/>
        </w:rPr>
        <w:t>Aplicación analógica de normas penales</w:t>
      </w:r>
      <w:bookmarkEnd w:id="772"/>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VP I; </w:t>
      </w:r>
      <w:hyperlink w:anchor="SENTENCIA_2021_106" w:history="1">
        <w:r w:rsidRPr="00DE0EC2">
          <w:rPr>
            <w:rStyle w:val="TextoNormalCaracter"/>
          </w:rPr>
          <w:t>106/2021</w:t>
        </w:r>
      </w:hyperlink>
      <w:r w:rsidRPr="00DE0EC2">
        <w:rPr>
          <w:rStyle w:val="TextoNormalCaracter"/>
        </w:rPr>
        <w:t xml:space="preserve">, f. 3; </w:t>
      </w:r>
      <w:hyperlink w:anchor="SENTENCIA_2021_121" w:history="1">
        <w:r w:rsidRPr="00DE0EC2">
          <w:rPr>
            <w:rStyle w:val="TextoNormalCaracter"/>
          </w:rPr>
          <w:t>121/2021</w:t>
        </w:r>
      </w:hyperlink>
      <w:r w:rsidRPr="00DE0EC2">
        <w:rPr>
          <w:rStyle w:val="TextoNormalCaracter"/>
        </w:rPr>
        <w:t>, f. 12.</w:t>
      </w:r>
    </w:p>
    <w:p w:rsidR="00DE0EC2" w:rsidRPr="00DE0EC2" w:rsidRDefault="00DE0EC2" w:rsidP="00DE0EC2">
      <w:pPr>
        <w:pStyle w:val="TextoNormalSangraFrancesa"/>
        <w:rPr>
          <w:rStyle w:val="TextoNormalCaracter"/>
        </w:rPr>
      </w:pPr>
      <w:bookmarkStart w:id="773" w:name="DESCRIPTORALFABETICO68"/>
      <w:r w:rsidRPr="00DE0EC2">
        <w:rPr>
          <w:rStyle w:val="TextoNormalNegritaCaracter"/>
        </w:rPr>
        <w:t>Aplicación de la presunción de inocencia fuera de la jurisdicción penal</w:t>
      </w:r>
      <w:bookmarkEnd w:id="773"/>
      <w:r w:rsidRPr="00DE0EC2">
        <w:rPr>
          <w:rStyle w:val="TextoNormalCaracter"/>
        </w:rPr>
        <w:t xml:space="preserve">, Sentencias </w:t>
      </w:r>
      <w:hyperlink w:anchor="SENTENCIA_2021_114" w:history="1">
        <w:r w:rsidRPr="00DE0EC2">
          <w:rPr>
            <w:rStyle w:val="TextoNormalCaracter"/>
          </w:rPr>
          <w:t>114/2021</w:t>
        </w:r>
      </w:hyperlink>
      <w:r w:rsidRPr="00DE0EC2">
        <w:rPr>
          <w:rStyle w:val="TextoNormalCaracter"/>
        </w:rPr>
        <w:t xml:space="preserve">, f. único; </w:t>
      </w:r>
      <w:hyperlink w:anchor="SENTENCIA_2021_127" w:history="1">
        <w:r w:rsidRPr="00DE0EC2">
          <w:rPr>
            <w:rStyle w:val="TextoNormalCaracter"/>
          </w:rPr>
          <w:t>127/2021</w:t>
        </w:r>
      </w:hyperlink>
      <w:r w:rsidRPr="00DE0EC2">
        <w:rPr>
          <w:rStyle w:val="TextoNormalCaracter"/>
        </w:rPr>
        <w:t xml:space="preserve">, f. único; </w:t>
      </w:r>
      <w:hyperlink w:anchor="SENTENCIA_2021_128" w:history="1">
        <w:r w:rsidRPr="00DE0EC2">
          <w:rPr>
            <w:rStyle w:val="TextoNormalCaracter"/>
          </w:rPr>
          <w:t>128/2021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774" w:name="DESCRIPTORALFABETICO341"/>
      <w:r w:rsidRPr="00DE0EC2">
        <w:rPr>
          <w:rStyle w:val="TextoNormalNegritaCaracter"/>
        </w:rPr>
        <w:t>Aplicación del Derecho de la Unión Europea</w:t>
      </w:r>
      <w:bookmarkEnd w:id="774"/>
      <w:r w:rsidRPr="00DE0EC2">
        <w:rPr>
          <w:rStyle w:val="TextoNormalCaracter"/>
        </w:rPr>
        <w:t xml:space="preserve">, Sentencia </w:t>
      </w:r>
      <w:hyperlink w:anchor="SENTENCIA_2021_74" w:history="1">
        <w:r w:rsidRPr="00DE0EC2">
          <w:rPr>
            <w:rStyle w:val="TextoNormalCaracter"/>
          </w:rPr>
          <w:t>74/2021</w:t>
        </w:r>
      </w:hyperlink>
      <w:r w:rsidRPr="00DE0EC2">
        <w:rPr>
          <w:rStyle w:val="TextoNormalCaracter"/>
        </w:rPr>
        <w:t>, f. 3.</w:t>
      </w:r>
    </w:p>
    <w:p w:rsidR="00DE0EC2" w:rsidRPr="00DE0EC2" w:rsidRDefault="00DE0EC2" w:rsidP="00DE0EC2">
      <w:pPr>
        <w:pStyle w:val="TextoNormalSangraFrancesa"/>
        <w:rPr>
          <w:rStyle w:val="TextoNormalCaracter"/>
        </w:rPr>
      </w:pPr>
      <w:bookmarkStart w:id="775" w:name="DESCRIPTORALFABETICO438"/>
      <w:r w:rsidRPr="00DE0EC2">
        <w:rPr>
          <w:rStyle w:val="TextoNormalNegritaCaracter"/>
        </w:rPr>
        <w:t>Aportación de prueba al proceso</w:t>
      </w:r>
      <w:bookmarkEnd w:id="775"/>
      <w:r w:rsidRPr="00DE0EC2">
        <w:rPr>
          <w:rStyle w:val="TextoNormalCaracter"/>
        </w:rPr>
        <w:t xml:space="preserve">, Sentencia </w:t>
      </w:r>
      <w:hyperlink w:anchor="SENTENCIA_2021_88" w:history="1">
        <w:r w:rsidRPr="00DE0EC2">
          <w:rPr>
            <w:rStyle w:val="TextoNormalCaracter"/>
          </w:rPr>
          <w:t>88/2021</w:t>
        </w:r>
      </w:hyperlink>
      <w:r w:rsidRPr="00DE0EC2">
        <w:rPr>
          <w:rStyle w:val="TextoNormalCaracter"/>
        </w:rPr>
        <w:t>, f. 4.</w:t>
      </w:r>
    </w:p>
    <w:p w:rsidR="00DE0EC2" w:rsidRPr="00DE0EC2" w:rsidRDefault="00DE0EC2" w:rsidP="00DE0EC2">
      <w:pPr>
        <w:pStyle w:val="TextoNormalSangraFrancesa"/>
        <w:rPr>
          <w:rStyle w:val="TextoNormalCaracter"/>
        </w:rPr>
      </w:pPr>
      <w:bookmarkStart w:id="776" w:name="DESCRIPTORALFABETICO497"/>
      <w:r w:rsidRPr="00DE0EC2">
        <w:rPr>
          <w:rStyle w:val="TextoNormalNegritaCaracter"/>
        </w:rPr>
        <w:t>Aragón</w:t>
      </w:r>
      <w:bookmarkEnd w:id="776"/>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 1.</w:t>
      </w:r>
    </w:p>
    <w:p w:rsidR="00DE0EC2" w:rsidRPr="00DE0EC2" w:rsidRDefault="00DE0EC2" w:rsidP="00DE0EC2">
      <w:pPr>
        <w:pStyle w:val="TextoNormalSangraFrancesa"/>
        <w:rPr>
          <w:rStyle w:val="TextoNormalCaracter"/>
        </w:rPr>
      </w:pPr>
      <w:bookmarkStart w:id="777" w:name="DESCRIPTORALFABETICO87"/>
      <w:r w:rsidRPr="00DE0EC2">
        <w:rPr>
          <w:rStyle w:val="TextoNormalNegritaCaracter"/>
        </w:rPr>
        <w:t>Arbitrariedad</w:t>
      </w:r>
      <w:bookmarkEnd w:id="777"/>
      <w:r w:rsidRPr="00DE0EC2">
        <w:rPr>
          <w:rStyle w:val="TextoNormalCaracter"/>
        </w:rPr>
        <w:t xml:space="preserve">, Sentencia </w:t>
      </w:r>
      <w:hyperlink w:anchor="SENTENCIA_2021_130" w:history="1">
        <w:r w:rsidRPr="00DE0EC2">
          <w:rPr>
            <w:rStyle w:val="TextoNormalCaracter"/>
          </w:rPr>
          <w:t>130/2021</w:t>
        </w:r>
      </w:hyperlink>
      <w:r w:rsidRPr="00DE0EC2">
        <w:rPr>
          <w:rStyle w:val="TextoNormalCaracter"/>
        </w:rPr>
        <w:t>, f. 2.</w:t>
      </w:r>
    </w:p>
    <w:p w:rsidR="00DE0EC2" w:rsidRPr="00DE0EC2" w:rsidRDefault="00DE0EC2" w:rsidP="00DE0EC2">
      <w:pPr>
        <w:pStyle w:val="TextoNormalSangraFrancesa"/>
        <w:rPr>
          <w:rStyle w:val="TextoNormalCaracter"/>
        </w:rPr>
      </w:pPr>
      <w:bookmarkStart w:id="778" w:name="DESCRIPTORALFABETICO429"/>
      <w:r w:rsidRPr="00DE0EC2">
        <w:rPr>
          <w:rStyle w:val="TextoNormalNegritaCaracter"/>
        </w:rPr>
        <w:t>Archivo de actuaciones</w:t>
      </w:r>
      <w:bookmarkEnd w:id="778"/>
      <w:r w:rsidRPr="00DE0EC2">
        <w:rPr>
          <w:rStyle w:val="TextoNormalCaracter"/>
        </w:rPr>
        <w:t xml:space="preserve">, Autos </w:t>
      </w:r>
      <w:hyperlink w:anchor="AUTO_2021_38" w:history="1">
        <w:r w:rsidRPr="00DE0EC2">
          <w:rPr>
            <w:rStyle w:val="TextoNormalCaracter"/>
          </w:rPr>
          <w:t>38/2021</w:t>
        </w:r>
      </w:hyperlink>
      <w:r w:rsidRPr="00DE0EC2">
        <w:rPr>
          <w:rStyle w:val="TextoNormalCaracter"/>
        </w:rPr>
        <w:t xml:space="preserve">; </w:t>
      </w:r>
      <w:hyperlink w:anchor="AUTO_2021_63" w:history="1">
        <w:r w:rsidRPr="00DE0EC2">
          <w:rPr>
            <w:rStyle w:val="TextoNormalCaracter"/>
          </w:rPr>
          <w:t>63/2021</w:t>
        </w:r>
      </w:hyperlink>
      <w:r w:rsidRPr="00DE0EC2">
        <w:rPr>
          <w:rStyle w:val="TextoNormalCaracter"/>
        </w:rPr>
        <w:t>.</w:t>
      </w:r>
    </w:p>
    <w:p w:rsidR="00DE0EC2" w:rsidRPr="00DE0EC2" w:rsidRDefault="00DE0EC2" w:rsidP="00DE0EC2">
      <w:pPr>
        <w:pStyle w:val="TextoNormalSangraFrancesa"/>
        <w:rPr>
          <w:rStyle w:val="TextoNormalCaracter"/>
        </w:rPr>
      </w:pPr>
      <w:bookmarkStart w:id="779" w:name="DESCRIPTORALFABETICO242"/>
      <w:r w:rsidRPr="00DE0EC2">
        <w:rPr>
          <w:rStyle w:val="TextoNormalNegritaCaracter"/>
        </w:rPr>
        <w:t>Asamblea de Madrid</w:t>
      </w:r>
      <w:bookmarkEnd w:id="779"/>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780" w:name="DESCRIPTORALFABETICO243"/>
      <w:r w:rsidRPr="00DE0EC2">
        <w:rPr>
          <w:rStyle w:val="TextoNormalNegritaCaracter"/>
        </w:rPr>
        <w:t>Asamblea Regional de Murcia</w:t>
      </w:r>
      <w:bookmarkEnd w:id="780"/>
      <w:r w:rsidRPr="00DE0EC2">
        <w:rPr>
          <w:rStyle w:val="TextoNormalCaracter"/>
        </w:rPr>
        <w:t xml:space="preserve">, Sentencia </w:t>
      </w:r>
      <w:hyperlink w:anchor="SENTENCIA_2021_53" w:history="1">
        <w:r w:rsidRPr="00DE0EC2">
          <w:rPr>
            <w:rStyle w:val="TextoNormalCaracter"/>
          </w:rPr>
          <w:t>53/2021</w:t>
        </w:r>
      </w:hyperlink>
      <w:r w:rsidRPr="00DE0EC2">
        <w:rPr>
          <w:rStyle w:val="TextoNormalCaracter"/>
        </w:rPr>
        <w:t>, f. 1.</w:t>
      </w:r>
    </w:p>
    <w:p w:rsidR="00DE0EC2" w:rsidRPr="00DE0EC2" w:rsidRDefault="00DE0EC2" w:rsidP="00DE0EC2">
      <w:pPr>
        <w:pStyle w:val="TextoNormalSangraFrancesa"/>
        <w:rPr>
          <w:rStyle w:val="TextoNormalCaracter"/>
        </w:rPr>
      </w:pPr>
      <w:bookmarkStart w:id="781" w:name="DESCRIPTORALFABETICO108"/>
      <w:r w:rsidRPr="00DE0EC2">
        <w:rPr>
          <w:rStyle w:val="TextoNormalNegritaCaracter"/>
        </w:rPr>
        <w:t>Asistencia letrada gratuita</w:t>
      </w:r>
      <w:bookmarkEnd w:id="781"/>
      <w:r w:rsidRPr="00DE0EC2">
        <w:rPr>
          <w:rStyle w:val="TextoNormalCaracter"/>
        </w:rPr>
        <w:t xml:space="preserve">, Sentencia </w:t>
      </w:r>
      <w:hyperlink w:anchor="SENTENCIA_2021_29" w:history="1">
        <w:r w:rsidRPr="00DE0EC2">
          <w:rPr>
            <w:rStyle w:val="TextoNormalCaracter"/>
          </w:rPr>
          <w:t>29/2021</w:t>
        </w:r>
      </w:hyperlink>
      <w:r w:rsidRPr="00DE0EC2">
        <w:rPr>
          <w:rStyle w:val="TextoNormalCaracter"/>
        </w:rPr>
        <w:t>, ff. 4, 5.</w:t>
      </w:r>
    </w:p>
    <w:p w:rsidR="00DE0EC2" w:rsidRPr="00DE0EC2" w:rsidRDefault="00DE0EC2" w:rsidP="00DE0EC2">
      <w:pPr>
        <w:pStyle w:val="TextoNormalSangraFrancesa"/>
        <w:rPr>
          <w:rStyle w:val="TextoNormalCaracter"/>
        </w:rPr>
      </w:pPr>
      <w:bookmarkStart w:id="782" w:name="DESCRIPTORALFABETICO173"/>
      <w:r w:rsidRPr="00DE0EC2">
        <w:rPr>
          <w:rStyle w:val="TextoNormalNegritaCaracter"/>
        </w:rPr>
        <w:t>Audiencia previa a las partes</w:t>
      </w:r>
      <w:bookmarkEnd w:id="782"/>
      <w:r w:rsidRPr="00DE0EC2">
        <w:rPr>
          <w:rStyle w:val="TextoNormalCaracter"/>
        </w:rPr>
        <w:t xml:space="preserve">, Auto </w:t>
      </w:r>
      <w:hyperlink w:anchor="AUTO_2021_65" w:history="1">
        <w:r w:rsidRPr="00DE0EC2">
          <w:rPr>
            <w:rStyle w:val="TextoNormalCaracter"/>
          </w:rPr>
          <w:t>65/2021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783" w:name="DESCRIPTORALFABETICO196"/>
      <w:r w:rsidRPr="00DE0EC2">
        <w:rPr>
          <w:rStyle w:val="TextoNormalNegritaCaracter"/>
        </w:rPr>
        <w:t>Ausencia de doctrina constitucional</w:t>
      </w:r>
      <w:bookmarkEnd w:id="783"/>
      <w:r w:rsidRPr="00DE0EC2">
        <w:rPr>
          <w:rStyle w:val="TextoNormalCaracter"/>
        </w:rPr>
        <w:t xml:space="preserve">, Sentencias </w:t>
      </w:r>
      <w:hyperlink w:anchor="SENTENCIA_2021_29" w:history="1">
        <w:r w:rsidRPr="00DE0EC2">
          <w:rPr>
            <w:rStyle w:val="TextoNormalCaracter"/>
          </w:rPr>
          <w:t>29/2021</w:t>
        </w:r>
      </w:hyperlink>
      <w:r w:rsidRPr="00DE0EC2">
        <w:rPr>
          <w:rStyle w:val="TextoNormalCaracter"/>
        </w:rPr>
        <w:t xml:space="preserve">, f. 2; </w:t>
      </w:r>
      <w:hyperlink w:anchor="SENTENCIA_2021_61" w:history="1">
        <w:r w:rsidRPr="00DE0EC2">
          <w:rPr>
            <w:rStyle w:val="TextoNormalCaracter"/>
          </w:rPr>
          <w:t>61/2021</w:t>
        </w:r>
      </w:hyperlink>
      <w:r w:rsidRPr="00DE0EC2">
        <w:rPr>
          <w:rStyle w:val="TextoNormalCaracter"/>
        </w:rPr>
        <w:t xml:space="preserve">, f. 2; </w:t>
      </w:r>
      <w:hyperlink w:anchor="SENTENCIA_2021_65" w:history="1">
        <w:r w:rsidRPr="00DE0EC2">
          <w:rPr>
            <w:rStyle w:val="TextoNormalCaracter"/>
          </w:rPr>
          <w:t>65/2021</w:t>
        </w:r>
      </w:hyperlink>
      <w:r w:rsidRPr="00DE0EC2">
        <w:rPr>
          <w:rStyle w:val="TextoNormalCaracter"/>
        </w:rPr>
        <w:t xml:space="preserve">, f. 2; </w:t>
      </w:r>
      <w:hyperlink w:anchor="SENTENCIA_2021_93" w:history="1">
        <w:r w:rsidRPr="00DE0EC2">
          <w:rPr>
            <w:rStyle w:val="TextoNormalCaracter"/>
          </w:rPr>
          <w:t>93/2021</w:t>
        </w:r>
      </w:hyperlink>
      <w:r w:rsidRPr="00DE0EC2">
        <w:rPr>
          <w:rStyle w:val="TextoNormalCaracter"/>
        </w:rPr>
        <w:t xml:space="preserve">, f. 1; </w:t>
      </w:r>
      <w:hyperlink w:anchor="SENTENCIA_2021_99" w:history="1">
        <w:r w:rsidRPr="00DE0EC2">
          <w:rPr>
            <w:rStyle w:val="TextoNormalCaracter"/>
          </w:rPr>
          <w:t>99/2021</w:t>
        </w:r>
      </w:hyperlink>
      <w:r w:rsidRPr="00DE0EC2">
        <w:rPr>
          <w:rStyle w:val="TextoNormalCaracter"/>
        </w:rPr>
        <w:t xml:space="preserve">, f. 2; </w:t>
      </w:r>
      <w:hyperlink w:anchor="SENTENCIA_2021_133" w:history="1">
        <w:r w:rsidRPr="00DE0EC2">
          <w:rPr>
            <w:rStyle w:val="TextoNormalCaracter"/>
          </w:rPr>
          <w:t>133/2021</w:t>
        </w:r>
      </w:hyperlink>
      <w:r w:rsidRPr="00DE0EC2">
        <w:rPr>
          <w:rStyle w:val="TextoNormalCaracter"/>
        </w:rPr>
        <w:t>, f. 2.</w:t>
      </w:r>
    </w:p>
    <w:p w:rsidR="00DE0EC2" w:rsidRPr="00DE0EC2" w:rsidRDefault="00DE0EC2" w:rsidP="00DE0EC2">
      <w:pPr>
        <w:pStyle w:val="TextoNormalSangraFrancesa"/>
        <w:rPr>
          <w:rStyle w:val="TextoNormalCaracter"/>
        </w:rPr>
      </w:pPr>
      <w:bookmarkStart w:id="784" w:name="DESCRIPTORALFABETICO230"/>
      <w:r w:rsidRPr="00DE0EC2">
        <w:rPr>
          <w:rStyle w:val="TextoNormalNegritaCaracter"/>
        </w:rPr>
        <w:t>Autonomía parlamentaria</w:t>
      </w:r>
      <w:bookmarkEnd w:id="784"/>
      <w:r w:rsidRPr="00DE0EC2">
        <w:rPr>
          <w:rStyle w:val="TextoNormalCaracter"/>
        </w:rPr>
        <w:t xml:space="preserve">, Sentencias </w:t>
      </w:r>
      <w:hyperlink w:anchor="SENTENCIA_2021_37" w:history="1">
        <w:r w:rsidRPr="00DE0EC2">
          <w:rPr>
            <w:rStyle w:val="TextoNormalCaracter"/>
          </w:rPr>
          <w:t>37/2021</w:t>
        </w:r>
      </w:hyperlink>
      <w:r w:rsidRPr="00DE0EC2">
        <w:rPr>
          <w:rStyle w:val="TextoNormalCaracter"/>
        </w:rPr>
        <w:t xml:space="preserve">, f. 5; </w:t>
      </w:r>
      <w:hyperlink w:anchor="SENTENCIA_2021_134" w:history="1">
        <w:r w:rsidRPr="00DE0EC2">
          <w:rPr>
            <w:rStyle w:val="TextoNormalCaracter"/>
          </w:rPr>
          <w:t>134/2021</w:t>
        </w:r>
      </w:hyperlink>
      <w:r w:rsidRPr="00DE0EC2">
        <w:rPr>
          <w:rStyle w:val="TextoNormalCaracter"/>
        </w:rPr>
        <w:t>, ff. 4, 6.</w:t>
      </w:r>
    </w:p>
    <w:p w:rsidR="00DE0EC2" w:rsidRPr="00DE0EC2" w:rsidRDefault="00DE0EC2" w:rsidP="00DE0EC2">
      <w:pPr>
        <w:pStyle w:val="TextoNormalSangraFrancesa"/>
        <w:rPr>
          <w:rStyle w:val="TextoNormalCaracter"/>
        </w:rPr>
      </w:pPr>
      <w:bookmarkStart w:id="785" w:name="DESCRIPTORALFABETICO326"/>
      <w:r w:rsidRPr="00DE0EC2">
        <w:rPr>
          <w:rStyle w:val="TextoNormalNegritaCaracter"/>
        </w:rPr>
        <w:t>Autoría del delito</w:t>
      </w:r>
      <w:bookmarkEnd w:id="785"/>
      <w:r w:rsidRPr="00DE0EC2">
        <w:rPr>
          <w:rStyle w:val="TextoNormalCaracter"/>
        </w:rPr>
        <w:t xml:space="preserve">, Sentencia </w:t>
      </w:r>
      <w:hyperlink w:anchor="SENTENCIA_2021_121" w:history="1">
        <w:r w:rsidRPr="00DE0EC2">
          <w:rPr>
            <w:rStyle w:val="TextoNormalCaracter"/>
          </w:rPr>
          <w:t>121/2021</w:t>
        </w:r>
      </w:hyperlink>
      <w:r w:rsidRPr="00DE0EC2">
        <w:rPr>
          <w:rStyle w:val="TextoNormalCaracter"/>
        </w:rPr>
        <w:t>, f. 12.</w:t>
      </w:r>
    </w:p>
    <w:p w:rsidR="00DE0EC2" w:rsidRPr="00DE0EC2" w:rsidRDefault="00DE0EC2" w:rsidP="00DE0EC2">
      <w:pPr>
        <w:pStyle w:val="TextoNormalSangraFrancesa"/>
        <w:rPr>
          <w:rStyle w:val="TextoNormalCaracter"/>
        </w:rPr>
      </w:pPr>
      <w:bookmarkStart w:id="786" w:name="DESCRIPTORALFABETICO221"/>
      <w:r w:rsidRPr="00DE0EC2">
        <w:rPr>
          <w:rStyle w:val="TextoNormalNegritaCaracter"/>
        </w:rPr>
        <w:t>Autoridades públicas</w:t>
      </w:r>
      <w:bookmarkEnd w:id="786"/>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3; </w:t>
      </w:r>
      <w:hyperlink w:anchor="SENTENCIA_2021_106" w:history="1">
        <w:r w:rsidRPr="00DE0EC2">
          <w:rPr>
            <w:rStyle w:val="TextoNormalCaracter"/>
          </w:rPr>
          <w:t>106/2021</w:t>
        </w:r>
      </w:hyperlink>
      <w:r w:rsidRPr="00DE0EC2">
        <w:rPr>
          <w:rStyle w:val="TextoNormalCaracter"/>
        </w:rPr>
        <w:t>, f. 3.</w:t>
      </w:r>
    </w:p>
    <w:p w:rsidR="00DE0EC2" w:rsidRPr="00DE0EC2" w:rsidRDefault="00DE0EC2" w:rsidP="00DE0EC2">
      <w:pPr>
        <w:pStyle w:val="TextoNormalSangraFrancesa"/>
        <w:rPr>
          <w:rStyle w:val="TextoNormalCaracter"/>
        </w:rPr>
      </w:pPr>
      <w:bookmarkStart w:id="787" w:name="DESCRIPTORALFABETICO274"/>
      <w:r w:rsidRPr="00DE0EC2">
        <w:rPr>
          <w:rStyle w:val="TextoNormalNegritaCaracter"/>
        </w:rPr>
        <w:t>Autorizaciones administrativas</w:t>
      </w:r>
      <w:bookmarkEnd w:id="787"/>
      <w:r w:rsidRPr="00DE0EC2">
        <w:rPr>
          <w:rStyle w:val="TextoNormalCaracter"/>
        </w:rPr>
        <w:t xml:space="preserve">, Sentencia </w:t>
      </w:r>
      <w:hyperlink w:anchor="SENTENCIA_2021_112" w:history="1">
        <w:r w:rsidRPr="00DE0EC2">
          <w:rPr>
            <w:rStyle w:val="TextoNormalCaracter"/>
          </w:rPr>
          <w:t>112/2021</w:t>
        </w:r>
      </w:hyperlink>
      <w:r w:rsidRPr="00DE0EC2">
        <w:rPr>
          <w:rStyle w:val="TextoNormalCaracter"/>
        </w:rPr>
        <w:t>, ff. 1, 2, 4.</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B</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788" w:name="DESCRIPTORALFABETICO271"/>
      <w:r w:rsidRPr="00DE0EC2">
        <w:rPr>
          <w:rStyle w:val="TextoNormalNegritaCaracter"/>
        </w:rPr>
        <w:t>Bable</w:t>
      </w:r>
      <w:bookmarkEnd w:id="788"/>
      <w:r w:rsidRPr="00DE0EC2">
        <w:rPr>
          <w:rStyle w:val="TextoNormalCaracter"/>
        </w:rPr>
        <w:t xml:space="preserve">, Sentencia </w:t>
      </w:r>
      <w:hyperlink w:anchor="SENTENCIA_2021_75" w:history="1">
        <w:r w:rsidRPr="00DE0EC2">
          <w:rPr>
            <w:rStyle w:val="TextoNormalCaracter"/>
          </w:rPr>
          <w:t>75/2021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789" w:name="DESCRIPTORALFABETICO318"/>
      <w:r w:rsidRPr="00DE0EC2">
        <w:rPr>
          <w:rStyle w:val="TextoNormalNegritaCaracter"/>
        </w:rPr>
        <w:t>Becas</w:t>
      </w:r>
      <w:bookmarkEnd w:id="789"/>
      <w:r w:rsidRPr="00DE0EC2">
        <w:rPr>
          <w:rStyle w:val="TextoNormalCaracter"/>
        </w:rPr>
        <w:t xml:space="preserve">, Sentencias </w:t>
      </w:r>
      <w:hyperlink w:anchor="SENTENCIA_2021_2" w:history="1">
        <w:r w:rsidRPr="00DE0EC2">
          <w:rPr>
            <w:rStyle w:val="TextoNormalCaracter"/>
          </w:rPr>
          <w:t>2/2021</w:t>
        </w:r>
      </w:hyperlink>
      <w:r w:rsidRPr="00DE0EC2">
        <w:rPr>
          <w:rStyle w:val="TextoNormalCaracter"/>
        </w:rPr>
        <w:t xml:space="preserve">, ff. 2 a 4; </w:t>
      </w:r>
      <w:hyperlink w:anchor="SENTENCIA_2021_6" w:history="1">
        <w:r w:rsidRPr="00DE0EC2">
          <w:rPr>
            <w:rStyle w:val="TextoNormalCaracter"/>
          </w:rPr>
          <w:t>6/2021</w:t>
        </w:r>
      </w:hyperlink>
      <w:r w:rsidRPr="00DE0EC2">
        <w:rPr>
          <w:rStyle w:val="TextoNormalCaracter"/>
        </w:rPr>
        <w:t xml:space="preserve">, ff. 2 a 4; </w:t>
      </w:r>
      <w:hyperlink w:anchor="SENTENCIA_2021_19" w:history="1">
        <w:r w:rsidRPr="00DE0EC2">
          <w:rPr>
            <w:rStyle w:val="TextoNormalCaracter"/>
          </w:rPr>
          <w:t>19/2021</w:t>
        </w:r>
      </w:hyperlink>
      <w:r w:rsidRPr="00DE0EC2">
        <w:rPr>
          <w:rStyle w:val="TextoNormalCaracter"/>
        </w:rPr>
        <w:t xml:space="preserve">, ff. 2 a 4; </w:t>
      </w:r>
      <w:hyperlink w:anchor="SENTENCIA_2021_42" w:history="1">
        <w:r w:rsidRPr="00DE0EC2">
          <w:rPr>
            <w:rStyle w:val="TextoNormalCaracter"/>
          </w:rPr>
          <w:t>42/2021</w:t>
        </w:r>
      </w:hyperlink>
      <w:r w:rsidRPr="00DE0EC2">
        <w:rPr>
          <w:rStyle w:val="TextoNormalCaracter"/>
        </w:rPr>
        <w:t xml:space="preserve">, f. 2; </w:t>
      </w:r>
      <w:hyperlink w:anchor="SENTENCIA_2021_138" w:history="1">
        <w:r w:rsidRPr="00DE0EC2">
          <w:rPr>
            <w:rStyle w:val="TextoNormalCaracter"/>
          </w:rPr>
          <w:t>138/2021</w:t>
        </w:r>
      </w:hyperlink>
      <w:r w:rsidRPr="00DE0EC2">
        <w:rPr>
          <w:rStyle w:val="TextoNormalCaracter"/>
        </w:rPr>
        <w:t>, ff. 2-4.</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C</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790" w:name="DESCRIPTORALFABETICO433"/>
      <w:r w:rsidRPr="00DE0EC2">
        <w:rPr>
          <w:rStyle w:val="TextoNormalNegritaCaracter"/>
        </w:rPr>
        <w:t>Cálculo de la cuantía litigiosa</w:t>
      </w:r>
      <w:bookmarkEnd w:id="790"/>
      <w:r w:rsidRPr="00DE0EC2">
        <w:rPr>
          <w:rStyle w:val="TextoNormalCaracter"/>
        </w:rPr>
        <w:t xml:space="preserve">, Sentencia </w:t>
      </w:r>
      <w:hyperlink w:anchor="SENTENCIA_2021_95" w:history="1">
        <w:r w:rsidRPr="00DE0EC2">
          <w:rPr>
            <w:rStyle w:val="TextoNormalCaracter"/>
          </w:rPr>
          <w:t>95/2021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791" w:name="DESCRIPTORALFABETICO402"/>
      <w:r w:rsidRPr="00DE0EC2">
        <w:rPr>
          <w:rStyle w:val="TextoNormalNegritaCaracter"/>
        </w:rPr>
        <w:t>Calificación del despido</w:t>
      </w:r>
      <w:bookmarkEnd w:id="791"/>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ff. 3, 5.</w:t>
      </w:r>
    </w:p>
    <w:p w:rsidR="00DE0EC2" w:rsidRPr="00DE0EC2" w:rsidRDefault="00DE0EC2" w:rsidP="00DE0EC2">
      <w:pPr>
        <w:pStyle w:val="TextoNormalSangraFrancesa"/>
        <w:rPr>
          <w:rStyle w:val="TextoNormalCaracter"/>
        </w:rPr>
      </w:pPr>
      <w:bookmarkStart w:id="792" w:name="DESCRIPTORALFABETICO39"/>
      <w:r w:rsidRPr="00DE0EC2">
        <w:rPr>
          <w:rStyle w:val="TextoNormalNegritaCaracter"/>
        </w:rPr>
        <w:t>Campaña electoral</w:t>
      </w:r>
      <w:bookmarkEnd w:id="792"/>
      <w:r w:rsidRPr="00DE0EC2">
        <w:rPr>
          <w:rStyle w:val="TextoNormalCaracter"/>
        </w:rPr>
        <w:t xml:space="preserve">, Sentencia </w:t>
      </w:r>
      <w:hyperlink w:anchor="SENTENCIA_2021_14" w:history="1">
        <w:r w:rsidRPr="00DE0EC2">
          <w:rPr>
            <w:rStyle w:val="TextoNormalCaracter"/>
          </w:rPr>
          <w:t>14/2021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793" w:name="DESCRIPTORALFABETICO498"/>
      <w:r w:rsidRPr="00DE0EC2">
        <w:rPr>
          <w:rStyle w:val="TextoNormalNegritaCaracter"/>
        </w:rPr>
        <w:t>Canarias</w:t>
      </w:r>
      <w:bookmarkEnd w:id="793"/>
      <w:r w:rsidRPr="00DE0EC2">
        <w:rPr>
          <w:rStyle w:val="TextoNormalCaracter"/>
        </w:rPr>
        <w:t xml:space="preserve">, Sentencia </w:t>
      </w:r>
      <w:hyperlink w:anchor="SENTENCIA_2021_74" w:history="1">
        <w:r w:rsidRPr="00DE0EC2">
          <w:rPr>
            <w:rStyle w:val="TextoNormalCaracter"/>
          </w:rPr>
          <w:t>74/2021</w:t>
        </w:r>
      </w:hyperlink>
      <w:r w:rsidRPr="00DE0EC2">
        <w:rPr>
          <w:rStyle w:val="TextoNormalCaracter"/>
        </w:rPr>
        <w:t>, f. 1.</w:t>
      </w:r>
    </w:p>
    <w:p w:rsidR="00DE0EC2" w:rsidRPr="00DE0EC2" w:rsidRDefault="00DE0EC2" w:rsidP="00DE0EC2">
      <w:pPr>
        <w:pStyle w:val="TextoNormalSangraFrancesa"/>
        <w:rPr>
          <w:rStyle w:val="TextoNormalCaracter"/>
        </w:rPr>
      </w:pPr>
      <w:bookmarkStart w:id="794" w:name="DESCRIPTORALFABETICO41"/>
      <w:r w:rsidRPr="00DE0EC2">
        <w:rPr>
          <w:rStyle w:val="TextoNormalNegritaCaracter"/>
        </w:rPr>
        <w:t>Candidaturas a elecciones autonómicas</w:t>
      </w:r>
      <w:bookmarkEnd w:id="794"/>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795" w:name="DESCRIPTORALFABETICO82"/>
      <w:r w:rsidRPr="00DE0EC2">
        <w:rPr>
          <w:rStyle w:val="TextoNormalNegritaCaracter"/>
        </w:rPr>
        <w:t>Canon de motivación</w:t>
      </w:r>
      <w:bookmarkEnd w:id="795"/>
      <w:r w:rsidRPr="00DE0EC2">
        <w:rPr>
          <w:rStyle w:val="TextoNormalCaracter"/>
        </w:rPr>
        <w:t xml:space="preserve">, Sentencia </w:t>
      </w:r>
      <w:hyperlink w:anchor="SENTENCIA_2021_131" w:history="1">
        <w:r w:rsidRPr="00DE0EC2">
          <w:rPr>
            <w:rStyle w:val="TextoNormalCaracter"/>
          </w:rPr>
          <w:t>131/2021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796" w:name="DESCRIPTORALFABETICO83"/>
      <w:r w:rsidRPr="00DE0EC2">
        <w:rPr>
          <w:rStyle w:val="TextoNormalNegritaCaracter"/>
        </w:rPr>
        <w:t>Canon de motivación reforzado</w:t>
      </w:r>
      <w:bookmarkEnd w:id="796"/>
      <w:r w:rsidRPr="00DE0EC2">
        <w:rPr>
          <w:rStyle w:val="TextoNormalCaracter"/>
        </w:rPr>
        <w:t xml:space="preserve">, Sentencia </w:t>
      </w:r>
      <w:hyperlink w:anchor="SENTENCIA_2021_113" w:history="1">
        <w:r w:rsidRPr="00DE0EC2">
          <w:rPr>
            <w:rStyle w:val="TextoNormalCaracter"/>
          </w:rPr>
          <w:t>113/2021</w:t>
        </w:r>
      </w:hyperlink>
      <w:r w:rsidRPr="00DE0EC2">
        <w:rPr>
          <w:rStyle w:val="TextoNormalCaracter"/>
        </w:rPr>
        <w:t>, ff. 2 a 3.</w:t>
      </w:r>
    </w:p>
    <w:p w:rsidR="00DE0EC2" w:rsidRPr="00DE0EC2" w:rsidRDefault="00DE0EC2" w:rsidP="00DE0EC2">
      <w:pPr>
        <w:pStyle w:val="TextoNormalSangraFrancesa"/>
        <w:rPr>
          <w:rStyle w:val="TextoNormalCaracter"/>
        </w:rPr>
      </w:pPr>
      <w:bookmarkStart w:id="797" w:name="DESCRIPTORALFABETICO84"/>
      <w:r w:rsidRPr="00DE0EC2">
        <w:rPr>
          <w:rStyle w:val="TextoNormalNegritaCaracter"/>
        </w:rPr>
        <w:t>Canon de motivación reforzado cuando afecta a derechos fundamentales</w:t>
      </w:r>
      <w:bookmarkEnd w:id="797"/>
      <w:r w:rsidRPr="00DE0EC2">
        <w:rPr>
          <w:rStyle w:val="TextoNormalCaracter"/>
        </w:rPr>
        <w:t xml:space="preserve">, Sentencia </w:t>
      </w:r>
      <w:hyperlink w:anchor="SENTENCIA_2021_99" w:history="1">
        <w:r w:rsidRPr="00DE0EC2">
          <w:rPr>
            <w:rStyle w:val="TextoNormalCaracter"/>
          </w:rPr>
          <w:t>99/2021</w:t>
        </w:r>
      </w:hyperlink>
      <w:r w:rsidRPr="00DE0EC2">
        <w:rPr>
          <w:rStyle w:val="TextoNormalCaracter"/>
        </w:rPr>
        <w:t>, f. 5.</w:t>
      </w:r>
    </w:p>
    <w:p w:rsidR="00DE0EC2" w:rsidRPr="00DE0EC2" w:rsidRDefault="00DE0EC2" w:rsidP="00DE0EC2">
      <w:pPr>
        <w:pStyle w:val="TextoNormalSangraFrancesa"/>
        <w:rPr>
          <w:rStyle w:val="TextoNormalCaracter"/>
        </w:rPr>
      </w:pPr>
      <w:bookmarkStart w:id="798" w:name="DESCRIPTORALFABETICO499"/>
      <w:r w:rsidRPr="00DE0EC2">
        <w:rPr>
          <w:rStyle w:val="TextoNormalNegritaCaracter"/>
        </w:rPr>
        <w:t>Cantabria</w:t>
      </w:r>
      <w:bookmarkEnd w:id="798"/>
      <w:r w:rsidRPr="00DE0EC2">
        <w:rPr>
          <w:rStyle w:val="TextoNormalCaracter"/>
        </w:rPr>
        <w:t xml:space="preserve">, Autos </w:t>
      </w:r>
      <w:hyperlink w:anchor="AUTO_2021_5" w:history="1">
        <w:r w:rsidRPr="00DE0EC2">
          <w:rPr>
            <w:rStyle w:val="TextoNormalCaracter"/>
          </w:rPr>
          <w:t>5/2021</w:t>
        </w:r>
      </w:hyperlink>
      <w:r w:rsidRPr="00DE0EC2">
        <w:rPr>
          <w:rStyle w:val="TextoNormalCaracter"/>
        </w:rPr>
        <w:t xml:space="preserve">, f. único; </w:t>
      </w:r>
      <w:hyperlink w:anchor="AUTO_2021_6" w:history="1">
        <w:r w:rsidRPr="00DE0EC2">
          <w:rPr>
            <w:rStyle w:val="TextoNormalCaracter"/>
          </w:rPr>
          <w:t>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799" w:name="DESCRIPTORALFABETICO362"/>
      <w:r w:rsidRPr="00DE0EC2">
        <w:rPr>
          <w:rStyle w:val="TextoNormalNegritaCaracter"/>
        </w:rPr>
        <w:t>Carácter básico de las normas jurídicas</w:t>
      </w:r>
      <w:bookmarkEnd w:id="799"/>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ff. 1, 3, 5, 10.</w:t>
      </w:r>
    </w:p>
    <w:p w:rsidR="00DE0EC2" w:rsidRPr="00DE0EC2" w:rsidRDefault="00DE0EC2" w:rsidP="00DE0EC2">
      <w:pPr>
        <w:pStyle w:val="TextoNormalSangraFrancesa"/>
        <w:rPr>
          <w:rStyle w:val="TextoNormalCaracter"/>
        </w:rPr>
      </w:pPr>
      <w:bookmarkStart w:id="800" w:name="DESCRIPTORALFABETICO356"/>
      <w:r w:rsidRPr="00DE0EC2">
        <w:rPr>
          <w:rStyle w:val="TextoNormalNegritaCaracter"/>
        </w:rPr>
        <w:t>Carácter excepcional de los decretos-leyes</w:t>
      </w:r>
      <w:bookmarkEnd w:id="800"/>
      <w:r w:rsidRPr="00DE0EC2">
        <w:rPr>
          <w:rStyle w:val="TextoNormalCaracter"/>
        </w:rPr>
        <w:t xml:space="preserve">, Sentencias </w:t>
      </w:r>
      <w:hyperlink w:anchor="SENTENCIA_2021_110" w:history="1">
        <w:r w:rsidRPr="00DE0EC2">
          <w:rPr>
            <w:rStyle w:val="TextoNormalCaracter"/>
          </w:rPr>
          <w:t>110/2021</w:t>
        </w:r>
      </w:hyperlink>
      <w:r w:rsidRPr="00DE0EC2">
        <w:rPr>
          <w:rStyle w:val="TextoNormalCaracter"/>
        </w:rPr>
        <w:t xml:space="preserve">, f. 5; </w:t>
      </w:r>
      <w:hyperlink w:anchor="SENTENCIA_2021_134" w:history="1">
        <w:r w:rsidRPr="00DE0EC2">
          <w:rPr>
            <w:rStyle w:val="TextoNormalCaracter"/>
          </w:rPr>
          <w:t>134/2021</w:t>
        </w:r>
      </w:hyperlink>
      <w:r w:rsidRPr="00DE0EC2">
        <w:rPr>
          <w:rStyle w:val="TextoNormalCaracter"/>
        </w:rPr>
        <w:t>, f. 3.</w:t>
      </w:r>
    </w:p>
    <w:p w:rsidR="00DE0EC2" w:rsidRPr="00DE0EC2" w:rsidRDefault="00DE0EC2" w:rsidP="00DE0EC2">
      <w:pPr>
        <w:pStyle w:val="TextoNormalSangraFrancesa"/>
        <w:rPr>
          <w:rStyle w:val="TextoNormalCaracter"/>
        </w:rPr>
      </w:pPr>
      <w:bookmarkStart w:id="801" w:name="DESCRIPTORALFABETICO483"/>
      <w:r w:rsidRPr="00DE0EC2">
        <w:rPr>
          <w:rStyle w:val="TextoNormalNegritaCaracter"/>
        </w:rPr>
        <w:t>Carácter excepcional del secreto sumarial</w:t>
      </w:r>
      <w:bookmarkEnd w:id="801"/>
      <w:r w:rsidRPr="00DE0EC2">
        <w:rPr>
          <w:rStyle w:val="TextoNormalCaracter"/>
        </w:rPr>
        <w:t xml:space="preserve">, Sentencia </w:t>
      </w:r>
      <w:hyperlink w:anchor="SENTENCIA_2021_80" w:history="1">
        <w:r w:rsidRPr="00DE0EC2">
          <w:rPr>
            <w:rStyle w:val="TextoNormalCaracter"/>
          </w:rPr>
          <w:t>80/2021</w:t>
        </w:r>
      </w:hyperlink>
      <w:r w:rsidRPr="00DE0EC2">
        <w:rPr>
          <w:rStyle w:val="TextoNormalCaracter"/>
        </w:rPr>
        <w:t>, f. 3 a 6.</w:t>
      </w:r>
    </w:p>
    <w:p w:rsidR="00DE0EC2" w:rsidRPr="00DE0EC2" w:rsidRDefault="00DE0EC2" w:rsidP="00DE0EC2">
      <w:pPr>
        <w:pStyle w:val="TextoNormalSangraFrancesa"/>
        <w:rPr>
          <w:rStyle w:val="TextoNormalCaracter"/>
        </w:rPr>
      </w:pPr>
      <w:bookmarkStart w:id="802" w:name="DESCRIPTORALFABETICO466"/>
      <w:r w:rsidRPr="00DE0EC2">
        <w:rPr>
          <w:rStyle w:val="TextoNormalNegritaCaracter"/>
        </w:rPr>
        <w:t>Carácter extraordinario del recurso de casación</w:t>
      </w:r>
      <w:bookmarkEnd w:id="802"/>
      <w:r w:rsidRPr="00DE0EC2">
        <w:rPr>
          <w:rStyle w:val="TextoNormalCaracter"/>
        </w:rPr>
        <w:t xml:space="preserve">, Sentencia </w:t>
      </w:r>
      <w:hyperlink w:anchor="SENTENCIA_2021_11" w:history="1">
        <w:r w:rsidRPr="00DE0EC2">
          <w:rPr>
            <w:rStyle w:val="TextoNormalCaracter"/>
          </w:rPr>
          <w:t>11/2021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803" w:name="DESCRIPTORALFABETICO203"/>
      <w:r w:rsidRPr="00DE0EC2">
        <w:rPr>
          <w:rStyle w:val="TextoNormalNegritaCaracter"/>
        </w:rPr>
        <w:t>Carencia de especial trascendencia constitucional</w:t>
      </w:r>
      <w:bookmarkEnd w:id="803"/>
      <w:r w:rsidRPr="00DE0EC2">
        <w:rPr>
          <w:rStyle w:val="TextoNormalCaracter"/>
        </w:rPr>
        <w:t xml:space="preserve">, Auto </w:t>
      </w:r>
      <w:hyperlink w:anchor="AUTO_2021_45" w:history="1">
        <w:r w:rsidRPr="00DE0EC2">
          <w:rPr>
            <w:rStyle w:val="TextoNormalCaracter"/>
          </w:rPr>
          <w:t>45/2021</w:t>
        </w:r>
      </w:hyperlink>
      <w:r w:rsidRPr="00DE0EC2">
        <w:rPr>
          <w:rStyle w:val="TextoNormalCaracter"/>
        </w:rPr>
        <w:t>.</w:t>
      </w:r>
    </w:p>
    <w:p w:rsidR="00DE0EC2" w:rsidRPr="00DE0EC2" w:rsidRDefault="00DE0EC2" w:rsidP="00DE0EC2">
      <w:pPr>
        <w:pStyle w:val="TextoNormalSangraFrancesa"/>
        <w:rPr>
          <w:rStyle w:val="TextoNormalCaracter"/>
        </w:rPr>
      </w:pPr>
      <w:bookmarkStart w:id="804" w:name="DESCRIPTORALFABETICO144"/>
      <w:r w:rsidRPr="00DE0EC2">
        <w:rPr>
          <w:rStyle w:val="TextoNormalNegritaCaracter"/>
        </w:rPr>
        <w:t>Carencia de jurisdicción para resolver dudas interpretativas</w:t>
      </w:r>
      <w:bookmarkEnd w:id="804"/>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 5, VP I.</w:t>
      </w:r>
    </w:p>
    <w:p w:rsidR="00DE0EC2" w:rsidRPr="00DE0EC2" w:rsidRDefault="00DE0EC2" w:rsidP="00DE0EC2">
      <w:pPr>
        <w:pStyle w:val="TextoNormalSangraFrancesa"/>
        <w:rPr>
          <w:rStyle w:val="TextoNormalCaracter"/>
        </w:rPr>
      </w:pPr>
      <w:bookmarkStart w:id="805" w:name="DESCRIPTORALFABETICO204"/>
      <w:r w:rsidRPr="00DE0EC2">
        <w:rPr>
          <w:rStyle w:val="TextoNormalNegritaCaracter"/>
        </w:rPr>
        <w:t>Carencia de justificación de la especial trascendencia constitucional</w:t>
      </w:r>
      <w:bookmarkEnd w:id="805"/>
      <w:r w:rsidRPr="00DE0EC2">
        <w:rPr>
          <w:rStyle w:val="TextoNormalCaracter"/>
        </w:rPr>
        <w:t xml:space="preserve">, Auto </w:t>
      </w:r>
      <w:hyperlink w:anchor="AUTO_2021_60" w:history="1">
        <w:r w:rsidRPr="00DE0EC2">
          <w:rPr>
            <w:rStyle w:val="TextoNormalCaracter"/>
          </w:rPr>
          <w:t>60/2021</w:t>
        </w:r>
      </w:hyperlink>
      <w:r w:rsidRPr="00DE0EC2">
        <w:rPr>
          <w:rStyle w:val="TextoNormalCaracter"/>
        </w:rPr>
        <w:t>.</w:t>
      </w:r>
    </w:p>
    <w:p w:rsidR="00DE0EC2" w:rsidRPr="00DE0EC2" w:rsidRDefault="00DE0EC2" w:rsidP="00DE0EC2">
      <w:pPr>
        <w:pStyle w:val="TextoNormalSangraFrancesa"/>
        <w:rPr>
          <w:rStyle w:val="TextoNormalCaracter"/>
        </w:rPr>
      </w:pPr>
      <w:bookmarkStart w:id="806" w:name="DESCRIPTORALFABETICO88"/>
      <w:r w:rsidRPr="00DE0EC2">
        <w:rPr>
          <w:rStyle w:val="TextoNormalNegritaCaracter"/>
        </w:rPr>
        <w:t>Carencia de razonamiento jurídico coherente</w:t>
      </w:r>
      <w:bookmarkEnd w:id="806"/>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ff. 4, 6, 7.</w:t>
      </w:r>
    </w:p>
    <w:p w:rsidR="00DE0EC2" w:rsidRPr="00DE0EC2" w:rsidRDefault="00DE0EC2" w:rsidP="00DE0EC2">
      <w:pPr>
        <w:pStyle w:val="TextoNormalSangraFrancesa"/>
        <w:rPr>
          <w:rStyle w:val="TextoNormalCaracter"/>
        </w:rPr>
      </w:pPr>
      <w:bookmarkStart w:id="807" w:name="DESCRIPTORALFABETICO342"/>
      <w:r w:rsidRPr="00DE0EC2">
        <w:rPr>
          <w:rStyle w:val="TextoNormalNegritaCaracter"/>
        </w:rPr>
        <w:t>Carta de los derechos fundamentales de la Unión Europea</w:t>
      </w:r>
      <w:bookmarkEnd w:id="807"/>
      <w:r w:rsidRPr="00DE0EC2">
        <w:rPr>
          <w:rStyle w:val="TextoNormalCaracter"/>
        </w:rPr>
        <w:t xml:space="preserve">, Sentencia </w:t>
      </w:r>
      <w:hyperlink w:anchor="SENTENCIA_2021_69" w:history="1">
        <w:r w:rsidRPr="00DE0EC2">
          <w:rPr>
            <w:rStyle w:val="TextoNormalCaracter"/>
          </w:rPr>
          <w:t>69/2021</w:t>
        </w:r>
      </w:hyperlink>
      <w:r w:rsidRPr="00DE0EC2">
        <w:rPr>
          <w:rStyle w:val="TextoNormalCaracter"/>
        </w:rPr>
        <w:t>, f. 5.</w:t>
      </w:r>
    </w:p>
    <w:p w:rsidR="00DE0EC2" w:rsidRPr="00DE0EC2" w:rsidRDefault="00DE0EC2" w:rsidP="00DE0EC2">
      <w:pPr>
        <w:pStyle w:val="TextoNormalSangraFrancesa"/>
        <w:rPr>
          <w:rStyle w:val="TextoNormalCaracter"/>
        </w:rPr>
      </w:pPr>
      <w:bookmarkStart w:id="808" w:name="DESCRIPTORALFABETICO500"/>
      <w:r w:rsidRPr="00DE0EC2">
        <w:rPr>
          <w:rStyle w:val="TextoNormalNegritaCaracter"/>
        </w:rPr>
        <w:t>Castilla y León</w:t>
      </w:r>
      <w:bookmarkEnd w:id="808"/>
      <w:r w:rsidRPr="00DE0EC2">
        <w:rPr>
          <w:rStyle w:val="TextoNormalCaracter"/>
        </w:rPr>
        <w:t xml:space="preserve">, Sentencia </w:t>
      </w:r>
      <w:hyperlink w:anchor="SENTENCIA_2021_40" w:history="1">
        <w:r w:rsidRPr="00DE0EC2">
          <w:rPr>
            <w:rStyle w:val="TextoNormalCaracter"/>
          </w:rPr>
          <w:t>40/2021</w:t>
        </w:r>
      </w:hyperlink>
      <w:r w:rsidRPr="00DE0EC2">
        <w:rPr>
          <w:rStyle w:val="TextoNormalCaracter"/>
        </w:rPr>
        <w:t>, f. 1.</w:t>
      </w:r>
    </w:p>
    <w:p w:rsidR="00DE0EC2" w:rsidRPr="00DE0EC2" w:rsidRDefault="00DE0EC2" w:rsidP="00DE0EC2">
      <w:pPr>
        <w:pStyle w:val="TextoNormalSangraFrancesa"/>
        <w:rPr>
          <w:rStyle w:val="TextoNormalCaracter"/>
        </w:rPr>
      </w:pPr>
      <w:bookmarkStart w:id="809" w:name="DESCRIPTORALFABETICO501"/>
      <w:r w:rsidRPr="00DE0EC2">
        <w:rPr>
          <w:rStyle w:val="TextoNormalNegritaCaracter"/>
        </w:rPr>
        <w:t>Cataluña</w:t>
      </w:r>
      <w:bookmarkEnd w:id="809"/>
      <w:r w:rsidRPr="00DE0EC2">
        <w:rPr>
          <w:rStyle w:val="TextoNormalCaracter"/>
        </w:rPr>
        <w:t xml:space="preserve">, Sentencias </w:t>
      </w:r>
      <w:hyperlink w:anchor="SENTENCIA_2021_16" w:history="1">
        <w:r w:rsidRPr="00DE0EC2">
          <w:rPr>
            <w:rStyle w:val="TextoNormalCaracter"/>
          </w:rPr>
          <w:t>16/2021</w:t>
        </w:r>
      </w:hyperlink>
      <w:r w:rsidRPr="00DE0EC2">
        <w:rPr>
          <w:rStyle w:val="TextoNormalCaracter"/>
        </w:rPr>
        <w:t xml:space="preserve">, f. 1; </w:t>
      </w:r>
      <w:hyperlink w:anchor="SENTENCIA_2021_125" w:history="1">
        <w:r w:rsidRPr="00DE0EC2">
          <w:rPr>
            <w:rStyle w:val="TextoNormalCaracter"/>
          </w:rPr>
          <w:t>125/2021</w:t>
        </w:r>
      </w:hyperlink>
      <w:r w:rsidRPr="00DE0EC2">
        <w:rPr>
          <w:rStyle w:val="TextoNormalCaracter"/>
        </w:rPr>
        <w:t>, f. 1.</w:t>
      </w:r>
    </w:p>
    <w:p w:rsidR="00DE0EC2" w:rsidRPr="00DE0EC2" w:rsidRDefault="00DE0EC2" w:rsidP="00DE0EC2">
      <w:pPr>
        <w:pStyle w:val="TextoNormalSangraFrancesa"/>
        <w:rPr>
          <w:rStyle w:val="TextoNormalCaracter"/>
        </w:rPr>
      </w:pPr>
      <w:bookmarkStart w:id="810" w:name="DESCRIPTORALFABETICO292"/>
      <w:r w:rsidRPr="00DE0EC2">
        <w:rPr>
          <w:rStyle w:val="TextoNormalNegritaCaracter"/>
        </w:rPr>
        <w:t>Causas de inelegibilidad establecidas expresamente por la ley</w:t>
      </w:r>
      <w:bookmarkEnd w:id="810"/>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811" w:name="DESCRIPTORALFABETICO308"/>
      <w:r w:rsidRPr="00DE0EC2">
        <w:rPr>
          <w:rStyle w:val="TextoNormalNegritaCaracter"/>
        </w:rPr>
        <w:t>Certificado de profesionalidad</w:t>
      </w:r>
      <w:bookmarkEnd w:id="811"/>
      <w:r w:rsidRPr="00DE0EC2">
        <w:rPr>
          <w:rStyle w:val="TextoNormalCaracter"/>
        </w:rPr>
        <w:t xml:space="preserve">, Sentencia </w:t>
      </w:r>
      <w:hyperlink w:anchor="SENTENCIA_2021_39" w:history="1">
        <w:r w:rsidRPr="00DE0EC2">
          <w:rPr>
            <w:rStyle w:val="TextoNormalCaracter"/>
          </w:rPr>
          <w:t>39/2021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812" w:name="DESCRIPTORALFABETICO288"/>
      <w:r w:rsidRPr="00DE0EC2">
        <w:rPr>
          <w:rStyle w:val="TextoNormalNegritaCaracter"/>
        </w:rPr>
        <w:t>Clases pasivas</w:t>
      </w:r>
      <w:bookmarkEnd w:id="812"/>
      <w:r w:rsidRPr="00DE0EC2">
        <w:rPr>
          <w:rStyle w:val="TextoNormalCaracter"/>
        </w:rPr>
        <w:t xml:space="preserve">, Sentencia </w:t>
      </w:r>
      <w:hyperlink w:anchor="SENTENCIA_2021_111" w:history="1">
        <w:r w:rsidRPr="00DE0EC2">
          <w:rPr>
            <w:rStyle w:val="TextoNormalCaracter"/>
          </w:rPr>
          <w:t>111/2021</w:t>
        </w:r>
      </w:hyperlink>
      <w:r w:rsidRPr="00DE0EC2">
        <w:rPr>
          <w:rStyle w:val="TextoNormalCaracter"/>
        </w:rPr>
        <w:t>, f. 1.</w:t>
      </w:r>
    </w:p>
    <w:p w:rsidR="00DE0EC2" w:rsidRPr="00DE0EC2" w:rsidRDefault="00DE0EC2" w:rsidP="00DE0EC2">
      <w:pPr>
        <w:pStyle w:val="TextoNormalSangraFrancesa"/>
        <w:rPr>
          <w:rStyle w:val="TextoNormalCaracter"/>
        </w:rPr>
      </w:pPr>
      <w:bookmarkStart w:id="813" w:name="DESCRIPTORALFABETICO294"/>
      <w:r w:rsidRPr="00DE0EC2">
        <w:rPr>
          <w:rStyle w:val="TextoNormalNegritaCaracter"/>
        </w:rPr>
        <w:t>Cláusulas abusivas</w:t>
      </w:r>
      <w:bookmarkEnd w:id="813"/>
      <w:r w:rsidRPr="00DE0EC2">
        <w:rPr>
          <w:rStyle w:val="TextoNormalCaracter"/>
        </w:rPr>
        <w:t xml:space="preserve">, Sentencias </w:t>
      </w:r>
      <w:hyperlink w:anchor="SENTENCIA_2021_7" w:history="1">
        <w:r w:rsidRPr="00DE0EC2">
          <w:rPr>
            <w:rStyle w:val="TextoNormalCaracter"/>
          </w:rPr>
          <w:t>7/2021</w:t>
        </w:r>
      </w:hyperlink>
      <w:r w:rsidRPr="00DE0EC2">
        <w:rPr>
          <w:rStyle w:val="TextoNormalCaracter"/>
        </w:rPr>
        <w:t xml:space="preserve">, f. 3; </w:t>
      </w:r>
      <w:hyperlink w:anchor="SENTENCIA_2021_8" w:history="1">
        <w:r w:rsidRPr="00DE0EC2">
          <w:rPr>
            <w:rStyle w:val="TextoNormalCaracter"/>
          </w:rPr>
          <w:t>8/2021</w:t>
        </w:r>
      </w:hyperlink>
      <w:r w:rsidRPr="00DE0EC2">
        <w:rPr>
          <w:rStyle w:val="TextoNormalCaracter"/>
        </w:rPr>
        <w:t xml:space="preserve">, f. 3; </w:t>
      </w:r>
      <w:hyperlink w:anchor="SENTENCIA_2021_12" w:history="1">
        <w:r w:rsidRPr="00DE0EC2">
          <w:rPr>
            <w:rStyle w:val="TextoNormalCaracter"/>
          </w:rPr>
          <w:t>12/2021</w:t>
        </w:r>
      </w:hyperlink>
      <w:r w:rsidRPr="00DE0EC2">
        <w:rPr>
          <w:rStyle w:val="TextoNormalCaracter"/>
        </w:rPr>
        <w:t xml:space="preserve">, f. 3; </w:t>
      </w:r>
      <w:hyperlink w:anchor="SENTENCIA_2021_24" w:history="1">
        <w:r w:rsidRPr="00DE0EC2">
          <w:rPr>
            <w:rStyle w:val="TextoNormalCaracter"/>
          </w:rPr>
          <w:t>24/2021</w:t>
        </w:r>
      </w:hyperlink>
      <w:r w:rsidRPr="00DE0EC2">
        <w:rPr>
          <w:rStyle w:val="TextoNormalCaracter"/>
        </w:rPr>
        <w:t xml:space="preserve">, f. 3; </w:t>
      </w:r>
      <w:hyperlink w:anchor="SENTENCIA_2021_50" w:history="1">
        <w:r w:rsidRPr="00DE0EC2">
          <w:rPr>
            <w:rStyle w:val="TextoNormalCaracter"/>
          </w:rPr>
          <w:t>50/2021</w:t>
        </w:r>
      </w:hyperlink>
      <w:r w:rsidRPr="00DE0EC2">
        <w:rPr>
          <w:rStyle w:val="TextoNormalCaracter"/>
        </w:rPr>
        <w:t xml:space="preserve">, ff. 2, 3; </w:t>
      </w:r>
      <w:hyperlink w:anchor="SENTENCIA_2021_72" w:history="1">
        <w:r w:rsidRPr="00DE0EC2">
          <w:rPr>
            <w:rStyle w:val="TextoNormalCaracter"/>
          </w:rPr>
          <w:t>72/2021</w:t>
        </w:r>
      </w:hyperlink>
      <w:r w:rsidRPr="00DE0EC2">
        <w:rPr>
          <w:rStyle w:val="TextoNormalCaracter"/>
        </w:rPr>
        <w:t xml:space="preserve">, f. 5; </w:t>
      </w:r>
      <w:hyperlink w:anchor="SENTENCIA_2021_77" w:history="1">
        <w:r w:rsidRPr="00DE0EC2">
          <w:rPr>
            <w:rStyle w:val="TextoNormalCaracter"/>
          </w:rPr>
          <w:t>77/2021</w:t>
        </w:r>
      </w:hyperlink>
      <w:r w:rsidRPr="00DE0EC2">
        <w:rPr>
          <w:rStyle w:val="TextoNormalCaracter"/>
        </w:rPr>
        <w:t xml:space="preserve">, ff. 2, 3; </w:t>
      </w:r>
      <w:hyperlink w:anchor="SENTENCIA_2021_92" w:history="1">
        <w:r w:rsidRPr="00DE0EC2">
          <w:rPr>
            <w:rStyle w:val="TextoNormalCaracter"/>
          </w:rPr>
          <w:t>92/2021</w:t>
        </w:r>
      </w:hyperlink>
      <w:r w:rsidRPr="00DE0EC2">
        <w:rPr>
          <w:rStyle w:val="TextoNormalCaracter"/>
        </w:rPr>
        <w:t xml:space="preserve">, ff. 2, 3; </w:t>
      </w:r>
      <w:hyperlink w:anchor="SENTENCIA_2021_101" w:history="1">
        <w:r w:rsidRPr="00DE0EC2">
          <w:rPr>
            <w:rStyle w:val="TextoNormalCaracter"/>
          </w:rPr>
          <w:t>101/2021</w:t>
        </w:r>
      </w:hyperlink>
      <w:r w:rsidRPr="00DE0EC2">
        <w:rPr>
          <w:rStyle w:val="TextoNormalCaracter"/>
        </w:rPr>
        <w:t xml:space="preserve">, ff. 3, 4; </w:t>
      </w:r>
      <w:hyperlink w:anchor="SENTENCIA_2021_102" w:history="1">
        <w:r w:rsidRPr="00DE0EC2">
          <w:rPr>
            <w:rStyle w:val="TextoNormalCaracter"/>
          </w:rPr>
          <w:t>102/2021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14" w:name="DESCRIPTORALFABETICO217"/>
      <w:r w:rsidRPr="00DE0EC2">
        <w:rPr>
          <w:rStyle w:val="TextoNormalNegritaCaracter"/>
        </w:rPr>
        <w:t>Colaboración entre Administraciones públicas</w:t>
      </w:r>
      <w:bookmarkEnd w:id="814"/>
      <w:r w:rsidRPr="00DE0EC2">
        <w:rPr>
          <w:rStyle w:val="TextoNormalCaracter"/>
        </w:rPr>
        <w:t xml:space="preserve">, Sentencias </w:t>
      </w:r>
      <w:hyperlink w:anchor="SENTENCIA_2021_108" w:history="1">
        <w:r w:rsidRPr="00DE0EC2">
          <w:rPr>
            <w:rStyle w:val="TextoNormalCaracter"/>
          </w:rPr>
          <w:t>108/2021</w:t>
        </w:r>
      </w:hyperlink>
      <w:r w:rsidRPr="00DE0EC2">
        <w:rPr>
          <w:rStyle w:val="TextoNormalCaracter"/>
        </w:rPr>
        <w:t xml:space="preserve">, ff. 4, 5; </w:t>
      </w:r>
      <w:hyperlink w:anchor="SENTENCIA_2021_135" w:history="1">
        <w:r w:rsidRPr="00DE0EC2">
          <w:rPr>
            <w:rStyle w:val="TextoNormalCaracter"/>
          </w:rPr>
          <w:t>135/2021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15" w:name="DESCRIPTORALFABETICO178"/>
      <w:r w:rsidRPr="00DE0EC2">
        <w:rPr>
          <w:rStyle w:val="TextoNormalNegritaCaracter"/>
        </w:rPr>
        <w:t>Colisión con normas básicas</w:t>
      </w:r>
      <w:bookmarkEnd w:id="815"/>
      <w:r w:rsidRPr="00DE0EC2">
        <w:rPr>
          <w:rStyle w:val="TextoNormalCaracter"/>
        </w:rPr>
        <w:t xml:space="preserve">, Sentencia </w:t>
      </w:r>
      <w:hyperlink w:anchor="SENTENCIA_2021_123" w:history="1">
        <w:r w:rsidRPr="00DE0EC2">
          <w:rPr>
            <w:rStyle w:val="TextoNormalCaracter"/>
          </w:rPr>
          <w:t>123/2021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816" w:name="DESCRIPTORALFABETICO219"/>
      <w:r w:rsidRPr="00DE0EC2">
        <w:rPr>
          <w:rStyle w:val="TextoNormalNegritaCaracter"/>
        </w:rPr>
        <w:t>Comisiones administrativas</w:t>
      </w:r>
      <w:bookmarkEnd w:id="816"/>
      <w:r w:rsidRPr="00DE0EC2">
        <w:rPr>
          <w:rStyle w:val="TextoNormalCaracter"/>
        </w:rPr>
        <w:t xml:space="preserve">, Sentencias </w:t>
      </w:r>
      <w:hyperlink w:anchor="SENTENCIA_2021_108" w:history="1">
        <w:r w:rsidRPr="00DE0EC2">
          <w:rPr>
            <w:rStyle w:val="TextoNormalCaracter"/>
          </w:rPr>
          <w:t>108/2021</w:t>
        </w:r>
      </w:hyperlink>
      <w:r w:rsidRPr="00DE0EC2">
        <w:rPr>
          <w:rStyle w:val="TextoNormalCaracter"/>
        </w:rPr>
        <w:t xml:space="preserve">, ff. 4, 5; </w:t>
      </w:r>
      <w:hyperlink w:anchor="SENTENCIA_2021_135" w:history="1">
        <w:r w:rsidRPr="00DE0EC2">
          <w:rPr>
            <w:rStyle w:val="TextoNormalCaracter"/>
          </w:rPr>
          <w:t>135/2021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17" w:name="DESCRIPTORALFABETICO220"/>
      <w:r w:rsidRPr="00DE0EC2">
        <w:rPr>
          <w:rStyle w:val="TextoNormalNegritaCaracter"/>
        </w:rPr>
        <w:t>Comisiones bilaterales de cooperación</w:t>
      </w:r>
      <w:bookmarkEnd w:id="817"/>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 2.</w:t>
      </w:r>
    </w:p>
    <w:p w:rsidR="00DE0EC2" w:rsidRPr="00DE0EC2" w:rsidRDefault="00DE0EC2" w:rsidP="00DE0EC2">
      <w:pPr>
        <w:pStyle w:val="TextoNormalSangraFrancesa"/>
        <w:rPr>
          <w:rStyle w:val="TextoNormalCaracter"/>
        </w:rPr>
      </w:pPr>
      <w:bookmarkStart w:id="818" w:name="DESCRIPTORALFABETICO222"/>
      <w:r w:rsidRPr="00DE0EC2">
        <w:rPr>
          <w:rStyle w:val="TextoNormalNegritaCaracter"/>
        </w:rPr>
        <w:t>Comisiones Delegadas del Gobierno</w:t>
      </w:r>
      <w:bookmarkEnd w:id="818"/>
      <w:r w:rsidRPr="00DE0EC2">
        <w:rPr>
          <w:rStyle w:val="TextoNormalCaracter"/>
        </w:rPr>
        <w:t xml:space="preserve">, Sentencia </w:t>
      </w:r>
      <w:hyperlink w:anchor="SENTENCIA_2021_110" w:history="1">
        <w:r w:rsidRPr="00DE0EC2">
          <w:rPr>
            <w:rStyle w:val="TextoNormalCaracter"/>
          </w:rPr>
          <w:t>110/2021</w:t>
        </w:r>
      </w:hyperlink>
      <w:r w:rsidRPr="00DE0EC2">
        <w:rPr>
          <w:rStyle w:val="TextoNormalCaracter"/>
        </w:rPr>
        <w:t>, ff. 4 a 9.</w:t>
      </w:r>
    </w:p>
    <w:p w:rsidR="00DE0EC2" w:rsidRPr="00DE0EC2" w:rsidRDefault="00DE0EC2" w:rsidP="00DE0EC2">
      <w:pPr>
        <w:pStyle w:val="TextoNormalSangraFrancesa"/>
        <w:rPr>
          <w:rStyle w:val="TextoNormalCaracter"/>
        </w:rPr>
      </w:pPr>
      <w:bookmarkStart w:id="819" w:name="DESCRIPTORALFABETICO408"/>
      <w:r w:rsidRPr="00DE0EC2">
        <w:rPr>
          <w:rStyle w:val="TextoNormalNegritaCaracter"/>
        </w:rPr>
        <w:t>Comité de huelga</w:t>
      </w:r>
      <w:bookmarkEnd w:id="819"/>
      <w:r w:rsidRPr="00DE0EC2">
        <w:rPr>
          <w:rStyle w:val="TextoNormalCaracter"/>
        </w:rPr>
        <w:t xml:space="preserve">, Sentencia </w:t>
      </w:r>
      <w:hyperlink w:anchor="SENTENCIA_2021_130" w:history="1">
        <w:r w:rsidRPr="00DE0EC2">
          <w:rPr>
            <w:rStyle w:val="TextoNormalCaracter"/>
          </w:rPr>
          <w:t>130/2021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20" w:name="DESCRIPTORALFABETICO412"/>
      <w:r w:rsidRPr="00DE0EC2">
        <w:rPr>
          <w:rStyle w:val="TextoNormalNegritaCaracter"/>
        </w:rPr>
        <w:t>Competencia objetiva</w:t>
      </w:r>
      <w:bookmarkEnd w:id="820"/>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3; </w:t>
      </w:r>
      <w:hyperlink w:anchor="SENTENCIA_2021_106" w:history="1">
        <w:r w:rsidRPr="00DE0EC2">
          <w:rPr>
            <w:rStyle w:val="TextoNormalCaracter"/>
          </w:rPr>
          <w:t>106/2021</w:t>
        </w:r>
      </w:hyperlink>
      <w:r w:rsidRPr="00DE0EC2">
        <w:rPr>
          <w:rStyle w:val="TextoNormalCaracter"/>
        </w:rPr>
        <w:t xml:space="preserve">, f. 3; </w:t>
      </w:r>
      <w:hyperlink w:anchor="SENTENCIA_2021_121" w:history="1">
        <w:r w:rsidRPr="00DE0EC2">
          <w:rPr>
            <w:rStyle w:val="TextoNormalCaracter"/>
          </w:rPr>
          <w:t>121/2021</w:t>
        </w:r>
      </w:hyperlink>
      <w:r w:rsidRPr="00DE0EC2">
        <w:rPr>
          <w:rStyle w:val="TextoNormalCaracter"/>
        </w:rPr>
        <w:t>, f. 4.</w:t>
      </w:r>
    </w:p>
    <w:p w:rsidR="00DE0EC2" w:rsidRPr="00DE0EC2" w:rsidRDefault="00DE0EC2" w:rsidP="00DE0EC2">
      <w:pPr>
        <w:pStyle w:val="TextoNormalSangraFrancesa"/>
        <w:rPr>
          <w:rStyle w:val="TextoNormalCaracter"/>
        </w:rPr>
      </w:pPr>
      <w:bookmarkStart w:id="821" w:name="DESCRIPTORALFABETICO3"/>
      <w:r w:rsidRPr="00DE0EC2">
        <w:rPr>
          <w:rStyle w:val="TextoNormalNegritaCaracter"/>
        </w:rPr>
        <w:t>Competencias autonómicas de desarrollo normativo</w:t>
      </w:r>
      <w:bookmarkEnd w:id="821"/>
      <w:r w:rsidRPr="00DE0EC2">
        <w:rPr>
          <w:rStyle w:val="TextoNormalCaracter"/>
        </w:rPr>
        <w:t xml:space="preserve">, Sentencias </w:t>
      </w:r>
      <w:hyperlink w:anchor="SENTENCIA_2021_68" w:history="1">
        <w:r w:rsidRPr="00DE0EC2">
          <w:rPr>
            <w:rStyle w:val="TextoNormalCaracter"/>
          </w:rPr>
          <w:t>68/2021</w:t>
        </w:r>
      </w:hyperlink>
      <w:r w:rsidRPr="00DE0EC2">
        <w:rPr>
          <w:rStyle w:val="TextoNormalCaracter"/>
        </w:rPr>
        <w:t xml:space="preserve">, f. 1; </w:t>
      </w:r>
      <w:hyperlink w:anchor="SENTENCIA_2021_74" w:history="1">
        <w:r w:rsidRPr="00DE0EC2">
          <w:rPr>
            <w:rStyle w:val="TextoNormalCaracter"/>
          </w:rPr>
          <w:t>74/2021</w:t>
        </w:r>
      </w:hyperlink>
      <w:r w:rsidRPr="00DE0EC2">
        <w:rPr>
          <w:rStyle w:val="TextoNormalCaracter"/>
        </w:rPr>
        <w:t>, f. 3.</w:t>
      </w:r>
    </w:p>
    <w:p w:rsidR="00DE0EC2" w:rsidRPr="00DE0EC2" w:rsidRDefault="00DE0EC2" w:rsidP="00DE0EC2">
      <w:pPr>
        <w:pStyle w:val="TextoNormalSangraFrancesa"/>
        <w:rPr>
          <w:rStyle w:val="TextoNormalCaracter"/>
        </w:rPr>
      </w:pPr>
      <w:bookmarkStart w:id="822" w:name="DESCRIPTORALFABETICO1"/>
      <w:r w:rsidRPr="00DE0EC2">
        <w:rPr>
          <w:rStyle w:val="TextoNormalNegritaCaracter"/>
        </w:rPr>
        <w:t>Competencias de coordinación</w:t>
      </w:r>
      <w:bookmarkEnd w:id="822"/>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ff. 4, 9.</w:t>
      </w:r>
    </w:p>
    <w:p w:rsidR="00DE0EC2" w:rsidRPr="00DE0EC2" w:rsidRDefault="00DE0EC2" w:rsidP="00DE0EC2">
      <w:pPr>
        <w:pStyle w:val="TextoNormalSangraFrancesa"/>
        <w:rPr>
          <w:rStyle w:val="TextoNormalCaracter"/>
        </w:rPr>
      </w:pPr>
      <w:bookmarkStart w:id="823" w:name="DESCRIPTORALFABETICO2"/>
      <w:r w:rsidRPr="00DE0EC2">
        <w:rPr>
          <w:rStyle w:val="TextoNormalNegritaCaracter"/>
        </w:rPr>
        <w:t>Competencias de las Comunidades Autónomas</w:t>
      </w:r>
      <w:bookmarkEnd w:id="823"/>
      <w:r w:rsidRPr="00DE0EC2">
        <w:rPr>
          <w:rStyle w:val="TextoNormalCaracter"/>
        </w:rPr>
        <w:t xml:space="preserve">, Sentencia </w:t>
      </w:r>
      <w:hyperlink w:anchor="SENTENCIA_2021_112" w:history="1">
        <w:r w:rsidRPr="00DE0EC2">
          <w:rPr>
            <w:rStyle w:val="TextoNormalCaracter"/>
          </w:rPr>
          <w:t>112/2021</w:t>
        </w:r>
      </w:hyperlink>
      <w:r w:rsidRPr="00DE0EC2">
        <w:rPr>
          <w:rStyle w:val="TextoNormalCaracter"/>
        </w:rPr>
        <w:t>, ff. 1 a 4.</w:t>
      </w:r>
    </w:p>
    <w:p w:rsidR="00DE0EC2" w:rsidRPr="00DE0EC2" w:rsidRDefault="00DE0EC2" w:rsidP="00DE0EC2">
      <w:pPr>
        <w:pStyle w:val="TextoNormalSangraFrancesa"/>
        <w:rPr>
          <w:rStyle w:val="TextoNormalCaracter"/>
        </w:rPr>
      </w:pPr>
      <w:bookmarkStart w:id="824" w:name="DESCRIPTORALFABETICO215"/>
      <w:r w:rsidRPr="00DE0EC2">
        <w:rPr>
          <w:rStyle w:val="TextoNormalNegritaCaracter"/>
        </w:rPr>
        <w:t>Competencias de los órganos administrativos</w:t>
      </w:r>
      <w:bookmarkEnd w:id="824"/>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ff. 1, 3, 5 a 9.</w:t>
      </w:r>
    </w:p>
    <w:p w:rsidR="00DE0EC2" w:rsidRPr="00DE0EC2" w:rsidRDefault="00DE0EC2" w:rsidP="00DE0EC2">
      <w:pPr>
        <w:pStyle w:val="TextoNormalSangraFrancesa"/>
        <w:rPr>
          <w:rStyle w:val="TextoNormalCaracter"/>
        </w:rPr>
      </w:pPr>
      <w:bookmarkStart w:id="825" w:name="DESCRIPTORALFABETICO4"/>
      <w:r w:rsidRPr="00DE0EC2">
        <w:rPr>
          <w:rStyle w:val="TextoNormalNegritaCaracter"/>
        </w:rPr>
        <w:t>Competencias delimitadas por la legislación básica</w:t>
      </w:r>
      <w:bookmarkEnd w:id="825"/>
      <w:r w:rsidRPr="00DE0EC2">
        <w:rPr>
          <w:rStyle w:val="TextoNormalCaracter"/>
        </w:rPr>
        <w:t xml:space="preserve">, Sentencias </w:t>
      </w:r>
      <w:hyperlink w:anchor="SENTENCIA_2021_68" w:history="1">
        <w:r w:rsidRPr="00DE0EC2">
          <w:rPr>
            <w:rStyle w:val="TextoNormalCaracter"/>
          </w:rPr>
          <w:t>68/2021</w:t>
        </w:r>
      </w:hyperlink>
      <w:r w:rsidRPr="00DE0EC2">
        <w:rPr>
          <w:rStyle w:val="TextoNormalCaracter"/>
        </w:rPr>
        <w:t xml:space="preserve">, ff. 1, 3, 5, 10; </w:t>
      </w:r>
      <w:hyperlink w:anchor="SENTENCIA_2021_123" w:history="1">
        <w:r w:rsidRPr="00DE0EC2">
          <w:rPr>
            <w:rStyle w:val="TextoNormalCaracter"/>
          </w:rPr>
          <w:t>123/2021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826" w:name="DESCRIPTORALFABETICO10"/>
      <w:r w:rsidRPr="00DE0EC2">
        <w:rPr>
          <w:rStyle w:val="TextoNormalNegritaCaracter"/>
        </w:rPr>
        <w:t>Competencias en materia de acceso a la función pública</w:t>
      </w:r>
      <w:bookmarkEnd w:id="826"/>
      <w:r w:rsidRPr="00DE0EC2">
        <w:rPr>
          <w:rStyle w:val="TextoNormalCaracter"/>
        </w:rPr>
        <w:t xml:space="preserve">, Sentencia </w:t>
      </w:r>
      <w:hyperlink w:anchor="SENTENCIA_2021_38" w:history="1">
        <w:r w:rsidRPr="00DE0EC2">
          <w:rPr>
            <w:rStyle w:val="TextoNormalCaracter"/>
          </w:rPr>
          <w:t>38/2021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27" w:name="DESCRIPTORALFABETICO11"/>
      <w:r w:rsidRPr="00DE0EC2">
        <w:rPr>
          <w:rStyle w:val="TextoNormalNegritaCaracter"/>
        </w:rPr>
        <w:t>Competencias en materia de asistencia social</w:t>
      </w:r>
      <w:bookmarkEnd w:id="827"/>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ff. 4, 9.</w:t>
      </w:r>
    </w:p>
    <w:p w:rsidR="00DE0EC2" w:rsidRPr="00DE0EC2" w:rsidRDefault="00DE0EC2" w:rsidP="00DE0EC2">
      <w:pPr>
        <w:pStyle w:val="TextoNormalSangraFrancesa"/>
        <w:rPr>
          <w:rStyle w:val="TextoNormalCaracter"/>
        </w:rPr>
      </w:pPr>
      <w:bookmarkStart w:id="828" w:name="DESCRIPTORALFABETICO12"/>
      <w:r w:rsidRPr="00DE0EC2">
        <w:rPr>
          <w:rStyle w:val="TextoNormalNegritaCaracter"/>
        </w:rPr>
        <w:t>Competencias en materia de bases del régimen estatutario de los funcionarios</w:t>
      </w:r>
      <w:bookmarkEnd w:id="828"/>
      <w:r w:rsidRPr="00DE0EC2">
        <w:rPr>
          <w:rStyle w:val="TextoNormalCaracter"/>
        </w:rPr>
        <w:t xml:space="preserve">, Sentencia </w:t>
      </w:r>
      <w:hyperlink w:anchor="SENTENCIA_2021_38" w:history="1">
        <w:r w:rsidRPr="00DE0EC2">
          <w:rPr>
            <w:rStyle w:val="TextoNormalCaracter"/>
          </w:rPr>
          <w:t>38/2021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29" w:name="DESCRIPTORALFABETICO13"/>
      <w:r w:rsidRPr="00DE0EC2">
        <w:rPr>
          <w:rStyle w:val="TextoNormalNegritaCaracter"/>
        </w:rPr>
        <w:t>Competencias en materia de contratación administrativa</w:t>
      </w:r>
      <w:bookmarkEnd w:id="829"/>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ff. 1, 3, 5 a 9.</w:t>
      </w:r>
    </w:p>
    <w:p w:rsidR="00DE0EC2" w:rsidRPr="00DE0EC2" w:rsidRDefault="00DE0EC2" w:rsidP="00DE0EC2">
      <w:pPr>
        <w:pStyle w:val="TextoNormalSangraFrancesa"/>
        <w:rPr>
          <w:rStyle w:val="TextoNormalCaracter"/>
        </w:rPr>
      </w:pPr>
      <w:bookmarkStart w:id="830" w:name="DESCRIPTORALFABETICO14"/>
      <w:r w:rsidRPr="00DE0EC2">
        <w:rPr>
          <w:rStyle w:val="TextoNormalNegritaCaracter"/>
        </w:rPr>
        <w:t>Competencias en materia de defensa de los consumidores</w:t>
      </w:r>
      <w:bookmarkEnd w:id="830"/>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ff. 3 a 6.</w:t>
      </w:r>
    </w:p>
    <w:p w:rsidR="00DE0EC2" w:rsidRPr="00DE0EC2" w:rsidRDefault="00DE0EC2" w:rsidP="00DE0EC2">
      <w:pPr>
        <w:pStyle w:val="TextoNormalSangraFrancesa"/>
        <w:rPr>
          <w:rStyle w:val="TextoNormalCaracter"/>
        </w:rPr>
      </w:pPr>
      <w:bookmarkStart w:id="831" w:name="DESCRIPTORALFABETICO15"/>
      <w:r w:rsidRPr="00DE0EC2">
        <w:rPr>
          <w:rStyle w:val="TextoNormalNegritaCaracter"/>
        </w:rPr>
        <w:t>Competencias en materia de legislación civil</w:t>
      </w:r>
      <w:bookmarkEnd w:id="831"/>
      <w:r w:rsidRPr="00DE0EC2">
        <w:rPr>
          <w:rStyle w:val="TextoNormalCaracter"/>
        </w:rPr>
        <w:t xml:space="preserve">, Sentencias </w:t>
      </w:r>
      <w:hyperlink w:anchor="SENTENCIA_2021_72" w:history="1">
        <w:r w:rsidRPr="00DE0EC2">
          <w:rPr>
            <w:rStyle w:val="TextoNormalCaracter"/>
          </w:rPr>
          <w:t>72/2021</w:t>
        </w:r>
      </w:hyperlink>
      <w:r w:rsidRPr="00DE0EC2">
        <w:rPr>
          <w:rStyle w:val="TextoNormalCaracter"/>
        </w:rPr>
        <w:t xml:space="preserve">, ff. 4 a 6; </w:t>
      </w:r>
      <w:hyperlink w:anchor="SENTENCIA_2021_112" w:history="1">
        <w:r w:rsidRPr="00DE0EC2">
          <w:rPr>
            <w:rStyle w:val="TextoNormalCaracter"/>
          </w:rPr>
          <w:t>112/2021</w:t>
        </w:r>
      </w:hyperlink>
      <w:r w:rsidRPr="00DE0EC2">
        <w:rPr>
          <w:rStyle w:val="TextoNormalCaracter"/>
        </w:rPr>
        <w:t>, f. 3.</w:t>
      </w:r>
    </w:p>
    <w:p w:rsidR="00DE0EC2" w:rsidRPr="00DE0EC2" w:rsidRDefault="00DE0EC2" w:rsidP="00DE0EC2">
      <w:pPr>
        <w:pStyle w:val="TextoNormalSangraFrancesa"/>
        <w:rPr>
          <w:rStyle w:val="TextoNormalCaracter"/>
        </w:rPr>
      </w:pPr>
      <w:bookmarkStart w:id="832" w:name="DESCRIPTORALFABETICO16"/>
      <w:r w:rsidRPr="00DE0EC2">
        <w:rPr>
          <w:rStyle w:val="TextoNormalNegritaCaracter"/>
        </w:rPr>
        <w:t>Competencias en materia de legislación laboral</w:t>
      </w:r>
      <w:bookmarkEnd w:id="832"/>
      <w:r w:rsidRPr="00DE0EC2">
        <w:rPr>
          <w:rStyle w:val="TextoNormalCaracter"/>
        </w:rPr>
        <w:t xml:space="preserve">, Sentencia </w:t>
      </w:r>
      <w:hyperlink w:anchor="SENTENCIA_2021_39" w:history="1">
        <w:r w:rsidRPr="00DE0EC2">
          <w:rPr>
            <w:rStyle w:val="TextoNormalCaracter"/>
          </w:rPr>
          <w:t>39/2021</w:t>
        </w:r>
      </w:hyperlink>
      <w:r w:rsidRPr="00DE0EC2">
        <w:rPr>
          <w:rStyle w:val="TextoNormalCaracter"/>
        </w:rPr>
        <w:t>, f. 2.</w:t>
      </w:r>
    </w:p>
    <w:p w:rsidR="00DE0EC2" w:rsidRPr="00DE0EC2" w:rsidRDefault="00DE0EC2" w:rsidP="00DE0EC2">
      <w:pPr>
        <w:pStyle w:val="TextoNormalSangraFrancesa"/>
        <w:rPr>
          <w:rStyle w:val="TextoNormalCaracter"/>
        </w:rPr>
      </w:pPr>
      <w:bookmarkStart w:id="833" w:name="DESCRIPTORALFABETICO17"/>
      <w:r w:rsidRPr="00DE0EC2">
        <w:rPr>
          <w:rStyle w:val="TextoNormalNegritaCaracter"/>
        </w:rPr>
        <w:t>Competencias en materia de legislación mercantil</w:t>
      </w:r>
      <w:bookmarkEnd w:id="833"/>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ff. 4, 6.</w:t>
      </w:r>
    </w:p>
    <w:p w:rsidR="00DE0EC2" w:rsidRPr="00DE0EC2" w:rsidRDefault="00DE0EC2" w:rsidP="00DE0EC2">
      <w:pPr>
        <w:pStyle w:val="TextoNormalSangraFrancesa"/>
        <w:rPr>
          <w:rStyle w:val="TextoNormalCaracter"/>
        </w:rPr>
      </w:pPr>
      <w:bookmarkStart w:id="834" w:name="DESCRIPTORALFABETICO18"/>
      <w:r w:rsidRPr="00DE0EC2">
        <w:rPr>
          <w:rStyle w:val="TextoNormalNegritaCaracter"/>
        </w:rPr>
        <w:t>Competencias en materia de legislación procesal</w:t>
      </w:r>
      <w:bookmarkEnd w:id="834"/>
      <w:r w:rsidRPr="00DE0EC2">
        <w:rPr>
          <w:rStyle w:val="TextoNormalCaracter"/>
        </w:rPr>
        <w:t xml:space="preserve">, Sentencias </w:t>
      </w:r>
      <w:hyperlink w:anchor="SENTENCIA_2021_15" w:history="1">
        <w:r w:rsidRPr="00DE0EC2">
          <w:rPr>
            <w:rStyle w:val="TextoNormalCaracter"/>
          </w:rPr>
          <w:t>15/2021</w:t>
        </w:r>
      </w:hyperlink>
      <w:r w:rsidRPr="00DE0EC2">
        <w:rPr>
          <w:rStyle w:val="TextoNormalCaracter"/>
        </w:rPr>
        <w:t xml:space="preserve">, ff. 3, 4; </w:t>
      </w:r>
      <w:hyperlink w:anchor="SENTENCIA_2021_72" w:history="1">
        <w:r w:rsidRPr="00DE0EC2">
          <w:rPr>
            <w:rStyle w:val="TextoNormalCaracter"/>
          </w:rPr>
          <w:t>72/2021</w:t>
        </w:r>
      </w:hyperlink>
      <w:r w:rsidRPr="00DE0EC2">
        <w:rPr>
          <w:rStyle w:val="TextoNormalCaracter"/>
        </w:rPr>
        <w:t>, ff. 4, 5.</w:t>
      </w:r>
    </w:p>
    <w:p w:rsidR="00DE0EC2" w:rsidRPr="00DE0EC2" w:rsidRDefault="00DE0EC2" w:rsidP="00DE0EC2">
      <w:pPr>
        <w:pStyle w:val="TextoNormalSangraFrancesa"/>
        <w:rPr>
          <w:rStyle w:val="TextoNormalCaracter"/>
        </w:rPr>
      </w:pPr>
      <w:bookmarkStart w:id="835" w:name="DESCRIPTORALFABETICO19"/>
      <w:r w:rsidRPr="00DE0EC2">
        <w:rPr>
          <w:rStyle w:val="TextoNormalNegritaCaracter"/>
        </w:rPr>
        <w:t>Competencias en materia de medio ambiente</w:t>
      </w:r>
      <w:bookmarkEnd w:id="835"/>
      <w:r w:rsidRPr="00DE0EC2">
        <w:rPr>
          <w:rStyle w:val="TextoNormalCaracter"/>
        </w:rPr>
        <w:t xml:space="preserve">, Sentencias </w:t>
      </w:r>
      <w:hyperlink w:anchor="SENTENCIA_2021_15" w:history="1">
        <w:r w:rsidRPr="00DE0EC2">
          <w:rPr>
            <w:rStyle w:val="TextoNormalCaracter"/>
          </w:rPr>
          <w:t>15/2021</w:t>
        </w:r>
      </w:hyperlink>
      <w:r w:rsidRPr="00DE0EC2">
        <w:rPr>
          <w:rStyle w:val="TextoNormalCaracter"/>
        </w:rPr>
        <w:t xml:space="preserve">, ff. 3, 4; </w:t>
      </w:r>
      <w:hyperlink w:anchor="SENTENCIA_2021_123" w:history="1">
        <w:r w:rsidRPr="00DE0EC2">
          <w:rPr>
            <w:rStyle w:val="TextoNormalCaracter"/>
          </w:rPr>
          <w:t>123/2021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836" w:name="DESCRIPTORALFABETICO20"/>
      <w:r w:rsidRPr="00DE0EC2">
        <w:rPr>
          <w:rStyle w:val="TextoNormalNegritaCaracter"/>
        </w:rPr>
        <w:t>Competencias en materia de menores</w:t>
      </w:r>
      <w:bookmarkEnd w:id="836"/>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 4.</w:t>
      </w:r>
    </w:p>
    <w:p w:rsidR="00DE0EC2" w:rsidRPr="00DE0EC2" w:rsidRDefault="00DE0EC2" w:rsidP="00DE0EC2">
      <w:pPr>
        <w:pStyle w:val="TextoNormalSangraFrancesa"/>
        <w:rPr>
          <w:rStyle w:val="TextoNormalCaracter"/>
        </w:rPr>
      </w:pPr>
      <w:bookmarkStart w:id="837" w:name="DESCRIPTORALFABETICO21"/>
      <w:r w:rsidRPr="00DE0EC2">
        <w:rPr>
          <w:rStyle w:val="TextoNormalNegritaCaracter"/>
        </w:rPr>
        <w:t>Competencias en materia de ordenación del crédito</w:t>
      </w:r>
      <w:bookmarkEnd w:id="837"/>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ff. 5, 6.</w:t>
      </w:r>
    </w:p>
    <w:p w:rsidR="00DE0EC2" w:rsidRPr="00DE0EC2" w:rsidRDefault="00DE0EC2" w:rsidP="00DE0EC2">
      <w:pPr>
        <w:pStyle w:val="TextoNormalSangraFrancesa"/>
        <w:rPr>
          <w:rStyle w:val="TextoNormalCaracter"/>
        </w:rPr>
      </w:pPr>
      <w:bookmarkStart w:id="838" w:name="DESCRIPTORALFABETICO22"/>
      <w:r w:rsidRPr="00DE0EC2">
        <w:rPr>
          <w:rStyle w:val="TextoNormalNegritaCaracter"/>
        </w:rPr>
        <w:t>Competencias en materia de ordenación del territorio</w:t>
      </w:r>
      <w:bookmarkEnd w:id="838"/>
      <w:r w:rsidRPr="00DE0EC2">
        <w:rPr>
          <w:rStyle w:val="TextoNormalCaracter"/>
        </w:rPr>
        <w:t xml:space="preserve">, Sentencia </w:t>
      </w:r>
      <w:hyperlink w:anchor="SENTENCIA_2021_112" w:history="1">
        <w:r w:rsidRPr="00DE0EC2">
          <w:rPr>
            <w:rStyle w:val="TextoNormalCaracter"/>
          </w:rPr>
          <w:t>112/2021</w:t>
        </w:r>
      </w:hyperlink>
      <w:r w:rsidRPr="00DE0EC2">
        <w:rPr>
          <w:rStyle w:val="TextoNormalCaracter"/>
        </w:rPr>
        <w:t>, f. 3.</w:t>
      </w:r>
    </w:p>
    <w:p w:rsidR="00DE0EC2" w:rsidRPr="00DE0EC2" w:rsidRDefault="00DE0EC2" w:rsidP="00DE0EC2">
      <w:pPr>
        <w:pStyle w:val="TextoNormalSangraFrancesa"/>
        <w:rPr>
          <w:rStyle w:val="TextoNormalCaracter"/>
        </w:rPr>
      </w:pPr>
      <w:bookmarkStart w:id="839" w:name="DESCRIPTORALFABETICO23"/>
      <w:r w:rsidRPr="00DE0EC2">
        <w:rPr>
          <w:rStyle w:val="TextoNormalNegritaCaracter"/>
        </w:rPr>
        <w:t>Competencias en materia de planificación económica</w:t>
      </w:r>
      <w:bookmarkEnd w:id="839"/>
      <w:r w:rsidRPr="00DE0EC2">
        <w:rPr>
          <w:rStyle w:val="TextoNormalCaracter"/>
        </w:rPr>
        <w:t xml:space="preserve">, Sentencias </w:t>
      </w:r>
      <w:hyperlink w:anchor="SENTENCIA_2021_72" w:history="1">
        <w:r w:rsidRPr="00DE0EC2">
          <w:rPr>
            <w:rStyle w:val="TextoNormalCaracter"/>
          </w:rPr>
          <w:t>72/2021</w:t>
        </w:r>
      </w:hyperlink>
      <w:r w:rsidRPr="00DE0EC2">
        <w:rPr>
          <w:rStyle w:val="TextoNormalCaracter"/>
        </w:rPr>
        <w:t xml:space="preserve">, f. 6; </w:t>
      </w:r>
      <w:hyperlink w:anchor="SENTENCIA_2021_74" w:history="1">
        <w:r w:rsidRPr="00DE0EC2">
          <w:rPr>
            <w:rStyle w:val="TextoNormalCaracter"/>
          </w:rPr>
          <w:t>74/2021</w:t>
        </w:r>
      </w:hyperlink>
      <w:r w:rsidRPr="00DE0EC2">
        <w:rPr>
          <w:rStyle w:val="TextoNormalCaracter"/>
        </w:rPr>
        <w:t xml:space="preserve">, f. 3; </w:t>
      </w:r>
      <w:hyperlink w:anchor="SENTENCIA_2021_112" w:history="1">
        <w:r w:rsidRPr="00DE0EC2">
          <w:rPr>
            <w:rStyle w:val="TextoNormalCaracter"/>
          </w:rPr>
          <w:t>112/2021</w:t>
        </w:r>
      </w:hyperlink>
      <w:r w:rsidRPr="00DE0EC2">
        <w:rPr>
          <w:rStyle w:val="TextoNormalCaracter"/>
        </w:rPr>
        <w:t>, f. 3.</w:t>
      </w:r>
    </w:p>
    <w:p w:rsidR="00DE0EC2" w:rsidRPr="00DE0EC2" w:rsidRDefault="00DE0EC2" w:rsidP="00DE0EC2">
      <w:pPr>
        <w:pStyle w:val="TextoNormalSangraFrancesa"/>
        <w:rPr>
          <w:rStyle w:val="TextoNormalCaracter"/>
        </w:rPr>
      </w:pPr>
      <w:bookmarkStart w:id="840" w:name="DESCRIPTORALFABETICO24"/>
      <w:r w:rsidRPr="00DE0EC2">
        <w:rPr>
          <w:rStyle w:val="TextoNormalNegritaCaracter"/>
        </w:rPr>
        <w:t>Competencias en materia de procedimiento administrativo</w:t>
      </w:r>
      <w:bookmarkEnd w:id="840"/>
      <w:r w:rsidRPr="00DE0EC2">
        <w:rPr>
          <w:rStyle w:val="TextoNormalCaracter"/>
        </w:rPr>
        <w:t xml:space="preserve">, Sentencia </w:t>
      </w:r>
      <w:hyperlink w:anchor="SENTENCIA_2021_37" w:history="1">
        <w:r w:rsidRPr="00DE0EC2">
          <w:rPr>
            <w:rStyle w:val="TextoNormalCaracter"/>
          </w:rPr>
          <w:t>37/2021</w:t>
        </w:r>
      </w:hyperlink>
      <w:r w:rsidRPr="00DE0EC2">
        <w:rPr>
          <w:rStyle w:val="TextoNormalCaracter"/>
        </w:rPr>
        <w:t>, f. 7.</w:t>
      </w:r>
    </w:p>
    <w:p w:rsidR="00DE0EC2" w:rsidRPr="00DE0EC2" w:rsidRDefault="00DE0EC2" w:rsidP="00DE0EC2">
      <w:pPr>
        <w:pStyle w:val="TextoNormalSangraFrancesa"/>
        <w:rPr>
          <w:rStyle w:val="TextoNormalCaracter"/>
        </w:rPr>
      </w:pPr>
      <w:bookmarkStart w:id="841" w:name="DESCRIPTORALFABETICO25"/>
      <w:r w:rsidRPr="00DE0EC2">
        <w:rPr>
          <w:rStyle w:val="TextoNormalNegritaCaracter"/>
        </w:rPr>
        <w:t>Competencias en materia de regulación de condiciones básicas de igualdad</w:t>
      </w:r>
      <w:bookmarkEnd w:id="841"/>
      <w:r w:rsidRPr="00DE0EC2">
        <w:rPr>
          <w:rStyle w:val="TextoNormalCaracter"/>
        </w:rPr>
        <w:t xml:space="preserve">, Sentencia </w:t>
      </w:r>
      <w:hyperlink w:anchor="SENTENCIA_2021_112" w:history="1">
        <w:r w:rsidRPr="00DE0EC2">
          <w:rPr>
            <w:rStyle w:val="TextoNormalCaracter"/>
          </w:rPr>
          <w:t>112/2021</w:t>
        </w:r>
      </w:hyperlink>
      <w:r w:rsidRPr="00DE0EC2">
        <w:rPr>
          <w:rStyle w:val="TextoNormalCaracter"/>
        </w:rPr>
        <w:t>, f. 3.</w:t>
      </w:r>
    </w:p>
    <w:p w:rsidR="00DE0EC2" w:rsidRPr="00DE0EC2" w:rsidRDefault="00DE0EC2" w:rsidP="00DE0EC2">
      <w:pPr>
        <w:pStyle w:val="TextoNormalSangraFrancesa"/>
        <w:rPr>
          <w:rStyle w:val="TextoNormalCaracter"/>
        </w:rPr>
      </w:pPr>
      <w:bookmarkStart w:id="842" w:name="DESCRIPTORALFABETICO26"/>
      <w:r w:rsidRPr="00DE0EC2">
        <w:rPr>
          <w:rStyle w:val="TextoNormalNegritaCaracter"/>
        </w:rPr>
        <w:t>Competencias en materia de relaciones internacionales</w:t>
      </w:r>
      <w:bookmarkEnd w:id="842"/>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 4.</w:t>
      </w:r>
    </w:p>
    <w:p w:rsidR="00DE0EC2" w:rsidRPr="00DE0EC2" w:rsidRDefault="00DE0EC2" w:rsidP="00DE0EC2">
      <w:pPr>
        <w:pStyle w:val="TextoNormalSangraFrancesa"/>
        <w:rPr>
          <w:rStyle w:val="TextoNormalCaracter"/>
        </w:rPr>
      </w:pPr>
      <w:bookmarkStart w:id="843" w:name="DESCRIPTORALFABETICO5"/>
      <w:r w:rsidRPr="00DE0EC2">
        <w:rPr>
          <w:rStyle w:val="TextoNormalNegritaCaracter"/>
        </w:rPr>
        <w:t>Competencias estatutarias</w:t>
      </w:r>
      <w:bookmarkEnd w:id="843"/>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 1.</w:t>
      </w:r>
    </w:p>
    <w:p w:rsidR="00DE0EC2" w:rsidRPr="00DE0EC2" w:rsidRDefault="00DE0EC2" w:rsidP="00DE0EC2">
      <w:pPr>
        <w:pStyle w:val="TextoNormalSangraFrancesa"/>
        <w:rPr>
          <w:rStyle w:val="TextoNormalCaracter"/>
        </w:rPr>
      </w:pPr>
      <w:bookmarkStart w:id="844" w:name="DESCRIPTORALFABETICO6"/>
      <w:r w:rsidRPr="00DE0EC2">
        <w:rPr>
          <w:rStyle w:val="TextoNormalNegritaCaracter"/>
        </w:rPr>
        <w:t>Competencias exclusivas del Estado</w:t>
      </w:r>
      <w:bookmarkEnd w:id="844"/>
      <w:r w:rsidRPr="00DE0EC2">
        <w:rPr>
          <w:rStyle w:val="TextoNormalCaracter"/>
        </w:rPr>
        <w:t xml:space="preserve">, Sentencia </w:t>
      </w:r>
      <w:hyperlink w:anchor="SENTENCIA_2021_74" w:history="1">
        <w:r w:rsidRPr="00DE0EC2">
          <w:rPr>
            <w:rStyle w:val="TextoNormalCaracter"/>
          </w:rPr>
          <w:t>74/2021</w:t>
        </w:r>
      </w:hyperlink>
      <w:r w:rsidRPr="00DE0EC2">
        <w:rPr>
          <w:rStyle w:val="TextoNormalCaracter"/>
        </w:rPr>
        <w:t>, f. 3.</w:t>
      </w:r>
    </w:p>
    <w:p w:rsidR="00DE0EC2" w:rsidRPr="00DE0EC2" w:rsidRDefault="00DE0EC2" w:rsidP="00DE0EC2">
      <w:pPr>
        <w:pStyle w:val="TextoNormalSangraFrancesa"/>
        <w:rPr>
          <w:rStyle w:val="TextoNormalCaracter"/>
        </w:rPr>
      </w:pPr>
      <w:bookmarkStart w:id="845" w:name="DESCRIPTORALFABETICO287"/>
      <w:r w:rsidRPr="00DE0EC2">
        <w:rPr>
          <w:rStyle w:val="TextoNormalNegritaCaracter"/>
        </w:rPr>
        <w:t>Complemento específico</w:t>
      </w:r>
      <w:bookmarkEnd w:id="845"/>
      <w:r w:rsidRPr="00DE0EC2">
        <w:rPr>
          <w:rStyle w:val="TextoNormalCaracter"/>
        </w:rPr>
        <w:t xml:space="preserve">, Sentencia </w:t>
      </w:r>
      <w:hyperlink w:anchor="SENTENCIA_2021_109" w:history="1">
        <w:r w:rsidRPr="00DE0EC2">
          <w:rPr>
            <w:rStyle w:val="TextoNormalCaracter"/>
          </w:rPr>
          <w:t>109/2021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846" w:name="DESCRIPTORALFABETICO453"/>
      <w:r w:rsidRPr="00DE0EC2">
        <w:rPr>
          <w:rStyle w:val="TextoNormalNegritaCaracter"/>
        </w:rPr>
        <w:t>Cómputo de plazos erróneo imputable al órgano judicial</w:t>
      </w:r>
      <w:bookmarkEnd w:id="846"/>
      <w:r w:rsidRPr="00DE0EC2">
        <w:rPr>
          <w:rStyle w:val="TextoNormalCaracter"/>
        </w:rPr>
        <w:t xml:space="preserve">, Sentencia </w:t>
      </w:r>
      <w:hyperlink w:anchor="SENTENCIA_2021_96" w:history="1">
        <w:r w:rsidRPr="00DE0EC2">
          <w:rPr>
            <w:rStyle w:val="TextoNormalCaracter"/>
          </w:rPr>
          <w:t>96/2021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847" w:name="DESCRIPTORALFABETICO452"/>
      <w:r w:rsidRPr="00DE0EC2">
        <w:rPr>
          <w:rStyle w:val="TextoNormalNegritaCaracter"/>
        </w:rPr>
        <w:t>Cómputo de plazos procesales</w:t>
      </w:r>
      <w:bookmarkEnd w:id="847"/>
      <w:r w:rsidRPr="00DE0EC2">
        <w:rPr>
          <w:rStyle w:val="TextoNormalCaracter"/>
        </w:rPr>
        <w:t xml:space="preserve">, Sentencia </w:t>
      </w:r>
      <w:hyperlink w:anchor="SENTENCIA_2021_96" w:history="1">
        <w:r w:rsidRPr="00DE0EC2">
          <w:rPr>
            <w:rStyle w:val="TextoNormalCaracter"/>
          </w:rPr>
          <w:t>96/2021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848" w:name="DESCRIPTORALFABETICO401"/>
      <w:r w:rsidRPr="00DE0EC2">
        <w:rPr>
          <w:rStyle w:val="TextoNormalNegritaCaracter"/>
        </w:rPr>
        <w:t>Comunicaciones electrónicas</w:t>
      </w:r>
      <w:bookmarkEnd w:id="848"/>
      <w:r w:rsidRPr="00DE0EC2">
        <w:rPr>
          <w:rStyle w:val="TextoNormalCaracter"/>
        </w:rPr>
        <w:t xml:space="preserve">, Sentencia </w:t>
      </w:r>
      <w:hyperlink w:anchor="SENTENCIA_2021_63" w:history="1">
        <w:r w:rsidRPr="00DE0EC2">
          <w:rPr>
            <w:rStyle w:val="TextoNormalCaracter"/>
          </w:rPr>
          <w:t>63/2021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49" w:name="DESCRIPTORALFABETICO280"/>
      <w:r w:rsidRPr="00DE0EC2">
        <w:rPr>
          <w:rStyle w:val="TextoNormalNegritaCaracter"/>
        </w:rPr>
        <w:t>Comunicaciones electrónicas en la Administración de justicia</w:t>
      </w:r>
      <w:bookmarkEnd w:id="849"/>
      <w:r w:rsidRPr="00DE0EC2">
        <w:rPr>
          <w:rStyle w:val="TextoNormalCaracter"/>
        </w:rPr>
        <w:t xml:space="preserve">, Sentencias </w:t>
      </w:r>
      <w:hyperlink w:anchor="SENTENCIA_2021_9" w:history="1">
        <w:r w:rsidRPr="00DE0EC2">
          <w:rPr>
            <w:rStyle w:val="TextoNormalCaracter"/>
          </w:rPr>
          <w:t>9/2021</w:t>
        </w:r>
      </w:hyperlink>
      <w:r w:rsidRPr="00DE0EC2">
        <w:rPr>
          <w:rStyle w:val="TextoNormalCaracter"/>
        </w:rPr>
        <w:t xml:space="preserve">, f. único; </w:t>
      </w:r>
      <w:hyperlink w:anchor="SENTENCIA_2021_10" w:history="1">
        <w:r w:rsidRPr="00DE0EC2">
          <w:rPr>
            <w:rStyle w:val="TextoNormalCaracter"/>
          </w:rPr>
          <w:t>10/2021</w:t>
        </w:r>
      </w:hyperlink>
      <w:r w:rsidRPr="00DE0EC2">
        <w:rPr>
          <w:rStyle w:val="TextoNormalCaracter"/>
        </w:rPr>
        <w:t xml:space="preserve">, f. único; </w:t>
      </w:r>
      <w:hyperlink w:anchor="SENTENCIA_2021_25" w:history="1">
        <w:r w:rsidRPr="00DE0EC2">
          <w:rPr>
            <w:rStyle w:val="TextoNormalCaracter"/>
          </w:rPr>
          <w:t>25/2021</w:t>
        </w:r>
      </w:hyperlink>
      <w:r w:rsidRPr="00DE0EC2">
        <w:rPr>
          <w:rStyle w:val="TextoNormalCaracter"/>
        </w:rPr>
        <w:t xml:space="preserve">, f. 2; </w:t>
      </w:r>
      <w:hyperlink w:anchor="SENTENCIA_2021_26" w:history="1">
        <w:r w:rsidRPr="00DE0EC2">
          <w:rPr>
            <w:rStyle w:val="TextoNormalCaracter"/>
          </w:rPr>
          <w:t>26/2021</w:t>
        </w:r>
      </w:hyperlink>
      <w:r w:rsidRPr="00DE0EC2">
        <w:rPr>
          <w:rStyle w:val="TextoNormalCaracter"/>
        </w:rPr>
        <w:t xml:space="preserve">, f. único; </w:t>
      </w:r>
      <w:hyperlink w:anchor="SENTENCIA_2021_27" w:history="1">
        <w:r w:rsidRPr="00DE0EC2">
          <w:rPr>
            <w:rStyle w:val="TextoNormalCaracter"/>
          </w:rPr>
          <w:t>27/2021</w:t>
        </w:r>
      </w:hyperlink>
      <w:r w:rsidRPr="00DE0EC2">
        <w:rPr>
          <w:rStyle w:val="TextoNormalCaracter"/>
        </w:rPr>
        <w:t xml:space="preserve">, f. único; </w:t>
      </w:r>
      <w:hyperlink w:anchor="SENTENCIA_2021_28" w:history="1">
        <w:r w:rsidRPr="00DE0EC2">
          <w:rPr>
            <w:rStyle w:val="TextoNormalCaracter"/>
          </w:rPr>
          <w:t>28/2021</w:t>
        </w:r>
      </w:hyperlink>
      <w:r w:rsidRPr="00DE0EC2">
        <w:rPr>
          <w:rStyle w:val="TextoNormalCaracter"/>
        </w:rPr>
        <w:t xml:space="preserve">, f. único; </w:t>
      </w:r>
      <w:hyperlink w:anchor="SENTENCIA_2021_30" w:history="1">
        <w:r w:rsidRPr="00DE0EC2">
          <w:rPr>
            <w:rStyle w:val="TextoNormalCaracter"/>
          </w:rPr>
          <w:t>30/2021</w:t>
        </w:r>
      </w:hyperlink>
      <w:r w:rsidRPr="00DE0EC2">
        <w:rPr>
          <w:rStyle w:val="TextoNormalCaracter"/>
        </w:rPr>
        <w:t xml:space="preserve">, f. único; </w:t>
      </w:r>
      <w:hyperlink w:anchor="SENTENCIA_2021_31" w:history="1">
        <w:r w:rsidRPr="00DE0EC2">
          <w:rPr>
            <w:rStyle w:val="TextoNormalCaracter"/>
          </w:rPr>
          <w:t>31/2021</w:t>
        </w:r>
      </w:hyperlink>
      <w:r w:rsidRPr="00DE0EC2">
        <w:rPr>
          <w:rStyle w:val="TextoNormalCaracter"/>
        </w:rPr>
        <w:t xml:space="preserve">, f. único; </w:t>
      </w:r>
      <w:hyperlink w:anchor="SENTENCIA_2021_32" w:history="1">
        <w:r w:rsidRPr="00DE0EC2">
          <w:rPr>
            <w:rStyle w:val="TextoNormalCaracter"/>
          </w:rPr>
          <w:t>32/2021</w:t>
        </w:r>
      </w:hyperlink>
      <w:r w:rsidRPr="00DE0EC2">
        <w:rPr>
          <w:rStyle w:val="TextoNormalCaracter"/>
        </w:rPr>
        <w:t xml:space="preserve">, f. único; </w:t>
      </w:r>
      <w:hyperlink w:anchor="SENTENCIA_2021_33" w:history="1">
        <w:r w:rsidRPr="00DE0EC2">
          <w:rPr>
            <w:rStyle w:val="TextoNormalCaracter"/>
          </w:rPr>
          <w:t>33/2021</w:t>
        </w:r>
      </w:hyperlink>
      <w:r w:rsidRPr="00DE0EC2">
        <w:rPr>
          <w:rStyle w:val="TextoNormalCaracter"/>
        </w:rPr>
        <w:t xml:space="preserve">, f. 3; </w:t>
      </w:r>
      <w:hyperlink w:anchor="SENTENCIA_2021_44" w:history="1">
        <w:r w:rsidRPr="00DE0EC2">
          <w:rPr>
            <w:rStyle w:val="TextoNormalCaracter"/>
          </w:rPr>
          <w:t>44/2021</w:t>
        </w:r>
      </w:hyperlink>
      <w:r w:rsidRPr="00DE0EC2">
        <w:rPr>
          <w:rStyle w:val="TextoNormalCaracter"/>
        </w:rPr>
        <w:t xml:space="preserve">, f. único; </w:t>
      </w:r>
      <w:hyperlink w:anchor="SENTENCIA_2021_45" w:history="1">
        <w:r w:rsidRPr="00DE0EC2">
          <w:rPr>
            <w:rStyle w:val="TextoNormalCaracter"/>
          </w:rPr>
          <w:t>45/2021</w:t>
        </w:r>
      </w:hyperlink>
      <w:r w:rsidRPr="00DE0EC2">
        <w:rPr>
          <w:rStyle w:val="TextoNormalCaracter"/>
        </w:rPr>
        <w:t xml:space="preserve">, f. único; </w:t>
      </w:r>
      <w:hyperlink w:anchor="SENTENCIA_2021_46" w:history="1">
        <w:r w:rsidRPr="00DE0EC2">
          <w:rPr>
            <w:rStyle w:val="TextoNormalCaracter"/>
          </w:rPr>
          <w:t>46/2021</w:t>
        </w:r>
      </w:hyperlink>
      <w:r w:rsidRPr="00DE0EC2">
        <w:rPr>
          <w:rStyle w:val="TextoNormalCaracter"/>
        </w:rPr>
        <w:t xml:space="preserve">, f. único; </w:t>
      </w:r>
      <w:hyperlink w:anchor="SENTENCIA_2021_47" w:history="1">
        <w:r w:rsidRPr="00DE0EC2">
          <w:rPr>
            <w:rStyle w:val="TextoNormalCaracter"/>
          </w:rPr>
          <w:t>47/2021</w:t>
        </w:r>
      </w:hyperlink>
      <w:r w:rsidRPr="00DE0EC2">
        <w:rPr>
          <w:rStyle w:val="TextoNormalCaracter"/>
        </w:rPr>
        <w:t xml:space="preserve">, f. único; </w:t>
      </w:r>
      <w:hyperlink w:anchor="SENTENCIA_2021_48" w:history="1">
        <w:r w:rsidRPr="00DE0EC2">
          <w:rPr>
            <w:rStyle w:val="TextoNormalCaracter"/>
          </w:rPr>
          <w:t>48/2021</w:t>
        </w:r>
      </w:hyperlink>
      <w:r w:rsidRPr="00DE0EC2">
        <w:rPr>
          <w:rStyle w:val="TextoNormalCaracter"/>
        </w:rPr>
        <w:t xml:space="preserve">, ff. 2, 3; </w:t>
      </w:r>
      <w:hyperlink w:anchor="SENTENCIA_2021_49" w:history="1">
        <w:r w:rsidRPr="00DE0EC2">
          <w:rPr>
            <w:rStyle w:val="TextoNormalCaracter"/>
          </w:rPr>
          <w:t>49/2021</w:t>
        </w:r>
      </w:hyperlink>
      <w:r w:rsidRPr="00DE0EC2">
        <w:rPr>
          <w:rStyle w:val="TextoNormalCaracter"/>
        </w:rPr>
        <w:t xml:space="preserve">, f. único; </w:t>
      </w:r>
      <w:hyperlink w:anchor="SENTENCIA_2021_56" w:history="1">
        <w:r w:rsidRPr="00DE0EC2">
          <w:rPr>
            <w:rStyle w:val="TextoNormalCaracter"/>
          </w:rPr>
          <w:t>56/2021</w:t>
        </w:r>
      </w:hyperlink>
      <w:r w:rsidRPr="00DE0EC2">
        <w:rPr>
          <w:rStyle w:val="TextoNormalCaracter"/>
        </w:rPr>
        <w:t xml:space="preserve">, f. 1; </w:t>
      </w:r>
      <w:hyperlink w:anchor="SENTENCIA_2021_58" w:history="1">
        <w:r w:rsidRPr="00DE0EC2">
          <w:rPr>
            <w:rStyle w:val="TextoNormalCaracter"/>
          </w:rPr>
          <w:t>58/2021</w:t>
        </w:r>
      </w:hyperlink>
      <w:r w:rsidRPr="00DE0EC2">
        <w:rPr>
          <w:rStyle w:val="TextoNormalCaracter"/>
        </w:rPr>
        <w:t xml:space="preserve">, f. único; </w:t>
      </w:r>
      <w:hyperlink w:anchor="SENTENCIA_2021_59" w:history="1">
        <w:r w:rsidRPr="00DE0EC2">
          <w:rPr>
            <w:rStyle w:val="TextoNormalCaracter"/>
          </w:rPr>
          <w:t>59/2021</w:t>
        </w:r>
      </w:hyperlink>
      <w:r w:rsidRPr="00DE0EC2">
        <w:rPr>
          <w:rStyle w:val="TextoNormalCaracter"/>
        </w:rPr>
        <w:t xml:space="preserve">, f. único; </w:t>
      </w:r>
      <w:hyperlink w:anchor="SENTENCIA_2021_62" w:history="1">
        <w:r w:rsidRPr="00DE0EC2">
          <w:rPr>
            <w:rStyle w:val="TextoNormalCaracter"/>
          </w:rPr>
          <w:t>62/2021</w:t>
        </w:r>
      </w:hyperlink>
      <w:r w:rsidRPr="00DE0EC2">
        <w:rPr>
          <w:rStyle w:val="TextoNormalCaracter"/>
        </w:rPr>
        <w:t xml:space="preserve">, ff. 1, 2; </w:t>
      </w:r>
      <w:hyperlink w:anchor="SENTENCIA_2021_64" w:history="1">
        <w:r w:rsidRPr="00DE0EC2">
          <w:rPr>
            <w:rStyle w:val="TextoNormalCaracter"/>
          </w:rPr>
          <w:t>64/2021</w:t>
        </w:r>
      </w:hyperlink>
      <w:r w:rsidRPr="00DE0EC2">
        <w:rPr>
          <w:rStyle w:val="TextoNormalCaracter"/>
        </w:rPr>
        <w:t xml:space="preserve">, f. 3; </w:t>
      </w:r>
      <w:hyperlink w:anchor="SENTENCIA_2021_79" w:history="1">
        <w:r w:rsidRPr="00DE0EC2">
          <w:rPr>
            <w:rStyle w:val="TextoNormalCaracter"/>
          </w:rPr>
          <w:t>79/2021</w:t>
        </w:r>
      </w:hyperlink>
      <w:r w:rsidRPr="00DE0EC2">
        <w:rPr>
          <w:rStyle w:val="TextoNormalCaracter"/>
        </w:rPr>
        <w:t xml:space="preserve">, ff. 3, 4; </w:t>
      </w:r>
      <w:hyperlink w:anchor="SENTENCIA_2021_84" w:history="1">
        <w:r w:rsidRPr="00DE0EC2">
          <w:rPr>
            <w:rStyle w:val="TextoNormalCaracter"/>
          </w:rPr>
          <w:t>84/2021</w:t>
        </w:r>
      </w:hyperlink>
      <w:r w:rsidRPr="00DE0EC2">
        <w:rPr>
          <w:rStyle w:val="TextoNormalCaracter"/>
        </w:rPr>
        <w:t xml:space="preserve">, f. único; </w:t>
      </w:r>
      <w:hyperlink w:anchor="SENTENCIA_2021_85" w:history="1">
        <w:r w:rsidRPr="00DE0EC2">
          <w:rPr>
            <w:rStyle w:val="TextoNormalCaracter"/>
          </w:rPr>
          <w:t>85/2021</w:t>
        </w:r>
      </w:hyperlink>
      <w:r w:rsidRPr="00DE0EC2">
        <w:rPr>
          <w:rStyle w:val="TextoNormalCaracter"/>
        </w:rPr>
        <w:t xml:space="preserve">, f. único; </w:t>
      </w:r>
      <w:hyperlink w:anchor="SENTENCIA_2021_86" w:history="1">
        <w:r w:rsidRPr="00DE0EC2">
          <w:rPr>
            <w:rStyle w:val="TextoNormalCaracter"/>
          </w:rPr>
          <w:t>86/2021</w:t>
        </w:r>
      </w:hyperlink>
      <w:r w:rsidRPr="00DE0EC2">
        <w:rPr>
          <w:rStyle w:val="TextoNormalCaracter"/>
        </w:rPr>
        <w:t xml:space="preserve">, f. único; </w:t>
      </w:r>
      <w:hyperlink w:anchor="SENTENCIA_2021_89" w:history="1">
        <w:r w:rsidRPr="00DE0EC2">
          <w:rPr>
            <w:rStyle w:val="TextoNormalCaracter"/>
          </w:rPr>
          <w:t>89/2021</w:t>
        </w:r>
      </w:hyperlink>
      <w:r w:rsidRPr="00DE0EC2">
        <w:rPr>
          <w:rStyle w:val="TextoNormalCaracter"/>
        </w:rPr>
        <w:t xml:space="preserve">, ff. 1, 2; </w:t>
      </w:r>
      <w:hyperlink w:anchor="SENTENCIA_2021_100" w:history="1">
        <w:r w:rsidRPr="00DE0EC2">
          <w:rPr>
            <w:rStyle w:val="TextoNormalCaracter"/>
          </w:rPr>
          <w:t>100/2021</w:t>
        </w:r>
      </w:hyperlink>
      <w:r w:rsidRPr="00DE0EC2">
        <w:rPr>
          <w:rStyle w:val="TextoNormalCaracter"/>
        </w:rPr>
        <w:t xml:space="preserve">, f. único; </w:t>
      </w:r>
      <w:hyperlink w:anchor="SENTENCIA_2021_103" w:history="1">
        <w:r w:rsidRPr="00DE0EC2">
          <w:rPr>
            <w:rStyle w:val="TextoNormalCaracter"/>
          </w:rPr>
          <w:t>103/2021</w:t>
        </w:r>
      </w:hyperlink>
      <w:r w:rsidRPr="00DE0EC2">
        <w:rPr>
          <w:rStyle w:val="TextoNormalCaracter"/>
        </w:rPr>
        <w:t xml:space="preserve">, f. único; </w:t>
      </w:r>
      <w:hyperlink w:anchor="SENTENCIA_2021_115" w:history="1">
        <w:r w:rsidRPr="00DE0EC2">
          <w:rPr>
            <w:rStyle w:val="TextoNormalCaracter"/>
          </w:rPr>
          <w:t>115/2021</w:t>
        </w:r>
      </w:hyperlink>
      <w:r w:rsidRPr="00DE0EC2">
        <w:rPr>
          <w:rStyle w:val="TextoNormalCaracter"/>
        </w:rPr>
        <w:t xml:space="preserve">, f. 2; </w:t>
      </w:r>
      <w:hyperlink w:anchor="SENTENCIA_2021_129" w:history="1">
        <w:r w:rsidRPr="00DE0EC2">
          <w:rPr>
            <w:rStyle w:val="TextoNormalCaracter"/>
          </w:rPr>
          <w:t>129/2021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850" w:name="DESCRIPTORALFABETICO502"/>
      <w:r w:rsidRPr="00DE0EC2">
        <w:rPr>
          <w:rStyle w:val="TextoNormalNegritaCaracter"/>
        </w:rPr>
        <w:t>Comunidad Foral de Navarra</w:t>
      </w:r>
      <w:bookmarkEnd w:id="850"/>
      <w:r w:rsidRPr="00DE0EC2">
        <w:rPr>
          <w:rStyle w:val="TextoNormalCaracter"/>
        </w:rPr>
        <w:t xml:space="preserve">, Sentencias </w:t>
      </w:r>
      <w:hyperlink w:anchor="SENTENCIA_2021_108" w:history="1">
        <w:r w:rsidRPr="00DE0EC2">
          <w:rPr>
            <w:rStyle w:val="TextoNormalCaracter"/>
          </w:rPr>
          <w:t>108/2021</w:t>
        </w:r>
      </w:hyperlink>
      <w:r w:rsidRPr="00DE0EC2">
        <w:rPr>
          <w:rStyle w:val="TextoNormalCaracter"/>
        </w:rPr>
        <w:t xml:space="preserve">, f. 1; </w:t>
      </w:r>
      <w:hyperlink w:anchor="SENTENCIA_2021_135" w:history="1">
        <w:r w:rsidRPr="00DE0EC2">
          <w:rPr>
            <w:rStyle w:val="TextoNormalCaracter"/>
          </w:rPr>
          <w:t>135/2021</w:t>
        </w:r>
      </w:hyperlink>
      <w:r w:rsidRPr="00DE0EC2">
        <w:rPr>
          <w:rStyle w:val="TextoNormalCaracter"/>
        </w:rPr>
        <w:t>, f. 1.</w:t>
      </w:r>
    </w:p>
    <w:p w:rsidR="00DE0EC2" w:rsidRPr="00DE0EC2" w:rsidRDefault="00DE0EC2" w:rsidP="00DE0EC2">
      <w:pPr>
        <w:pStyle w:val="TextoNormalSangraFrancesa"/>
        <w:rPr>
          <w:rStyle w:val="TextoNormalCaracter"/>
        </w:rPr>
      </w:pPr>
      <w:bookmarkStart w:id="851" w:name="DESCRIPTORALFABETICO503"/>
      <w:r w:rsidRPr="00DE0EC2">
        <w:rPr>
          <w:rStyle w:val="TextoNormalNegritaCaracter"/>
        </w:rPr>
        <w:t>Comunidad Valenciana</w:t>
      </w:r>
      <w:bookmarkEnd w:id="851"/>
      <w:r w:rsidRPr="00DE0EC2">
        <w:rPr>
          <w:rStyle w:val="TextoNormalCaracter"/>
        </w:rPr>
        <w:t xml:space="preserve">, Sentencias </w:t>
      </w:r>
      <w:hyperlink w:anchor="SENTENCIA_2021_2" w:history="1">
        <w:r w:rsidRPr="00DE0EC2">
          <w:rPr>
            <w:rStyle w:val="TextoNormalCaracter"/>
          </w:rPr>
          <w:t>2/2021</w:t>
        </w:r>
      </w:hyperlink>
      <w:r w:rsidRPr="00DE0EC2">
        <w:rPr>
          <w:rStyle w:val="TextoNormalCaracter"/>
        </w:rPr>
        <w:t xml:space="preserve">, f. 1; </w:t>
      </w:r>
      <w:hyperlink w:anchor="SENTENCIA_2021_6" w:history="1">
        <w:r w:rsidRPr="00DE0EC2">
          <w:rPr>
            <w:rStyle w:val="TextoNormalCaracter"/>
          </w:rPr>
          <w:t>6/2021</w:t>
        </w:r>
      </w:hyperlink>
      <w:r w:rsidRPr="00DE0EC2">
        <w:rPr>
          <w:rStyle w:val="TextoNormalCaracter"/>
        </w:rPr>
        <w:t xml:space="preserve">, f. 1; </w:t>
      </w:r>
      <w:hyperlink w:anchor="SENTENCIA_2021_19" w:history="1">
        <w:r w:rsidRPr="00DE0EC2">
          <w:rPr>
            <w:rStyle w:val="TextoNormalCaracter"/>
          </w:rPr>
          <w:t>19/2021</w:t>
        </w:r>
      </w:hyperlink>
      <w:r w:rsidRPr="00DE0EC2">
        <w:rPr>
          <w:rStyle w:val="TextoNormalCaracter"/>
        </w:rPr>
        <w:t xml:space="preserve">, f. 1; </w:t>
      </w:r>
      <w:hyperlink w:anchor="SENTENCIA_2021_42" w:history="1">
        <w:r w:rsidRPr="00DE0EC2">
          <w:rPr>
            <w:rStyle w:val="TextoNormalCaracter"/>
          </w:rPr>
          <w:t>42/2021</w:t>
        </w:r>
      </w:hyperlink>
      <w:r w:rsidRPr="00DE0EC2">
        <w:rPr>
          <w:rStyle w:val="TextoNormalCaracter"/>
        </w:rPr>
        <w:t xml:space="preserve">, f. 1; </w:t>
      </w:r>
      <w:hyperlink w:anchor="SENTENCIA_2021_109" w:history="1">
        <w:r w:rsidRPr="00DE0EC2">
          <w:rPr>
            <w:rStyle w:val="TextoNormalCaracter"/>
          </w:rPr>
          <w:t>109/2021</w:t>
        </w:r>
      </w:hyperlink>
      <w:r w:rsidRPr="00DE0EC2">
        <w:rPr>
          <w:rStyle w:val="TextoNormalCaracter"/>
        </w:rPr>
        <w:t xml:space="preserve">, f. 1; </w:t>
      </w:r>
      <w:hyperlink w:anchor="SENTENCIA_2021_138" w:history="1">
        <w:r w:rsidRPr="00DE0EC2">
          <w:rPr>
            <w:rStyle w:val="TextoNormalCaracter"/>
          </w:rPr>
          <w:t>138/2021</w:t>
        </w:r>
      </w:hyperlink>
      <w:r w:rsidRPr="00DE0EC2">
        <w:rPr>
          <w:rStyle w:val="TextoNormalCaracter"/>
        </w:rPr>
        <w:t>, f. 1.</w:t>
      </w:r>
    </w:p>
    <w:p w:rsidR="00DE0EC2" w:rsidRPr="00DE0EC2" w:rsidRDefault="00DE0EC2" w:rsidP="00DE0EC2">
      <w:pPr>
        <w:pStyle w:val="TextoNormalSangraFrancesa"/>
        <w:rPr>
          <w:rStyle w:val="TextoNormalCaracter"/>
        </w:rPr>
      </w:pPr>
      <w:bookmarkStart w:id="852" w:name="DESCRIPTORALFABETICO275"/>
      <w:r w:rsidRPr="00DE0EC2">
        <w:rPr>
          <w:rStyle w:val="TextoNormalNegritaCaracter"/>
        </w:rPr>
        <w:t>Concesiones de dominio público</w:t>
      </w:r>
      <w:bookmarkEnd w:id="852"/>
      <w:r w:rsidRPr="00DE0EC2">
        <w:rPr>
          <w:rStyle w:val="TextoNormalCaracter"/>
        </w:rPr>
        <w:t xml:space="preserve">, Sentencia </w:t>
      </w:r>
      <w:hyperlink w:anchor="SENTENCIA_2021_88" w:history="1">
        <w:r w:rsidRPr="00DE0EC2">
          <w:rPr>
            <w:rStyle w:val="TextoNormalCaracter"/>
          </w:rPr>
          <w:t>88/2021</w:t>
        </w:r>
      </w:hyperlink>
      <w:r w:rsidRPr="00DE0EC2">
        <w:rPr>
          <w:rStyle w:val="TextoNormalCaracter"/>
        </w:rPr>
        <w:t>, ff. 1, 3, 4.</w:t>
      </w:r>
    </w:p>
    <w:p w:rsidR="00DE0EC2" w:rsidRPr="00DE0EC2" w:rsidRDefault="00DE0EC2" w:rsidP="00DE0EC2">
      <w:pPr>
        <w:pStyle w:val="TextoNormalSangraFrancesa"/>
        <w:rPr>
          <w:rStyle w:val="TextoNormalCaracter"/>
        </w:rPr>
      </w:pPr>
      <w:bookmarkStart w:id="853" w:name="DESCRIPTORALFABETICO35"/>
      <w:r w:rsidRPr="00DE0EC2">
        <w:rPr>
          <w:rStyle w:val="TextoNormalNegritaCaracter"/>
        </w:rPr>
        <w:t>Concierto económico entre el Estado y el País Vasco</w:t>
      </w:r>
      <w:bookmarkEnd w:id="853"/>
      <w:r w:rsidRPr="00DE0EC2">
        <w:rPr>
          <w:rStyle w:val="TextoNormalCaracter"/>
        </w:rPr>
        <w:t xml:space="preserve">, Sentencia </w:t>
      </w:r>
      <w:hyperlink w:anchor="SENTENCIA_2021_37" w:history="1">
        <w:r w:rsidRPr="00DE0EC2">
          <w:rPr>
            <w:rStyle w:val="TextoNormalCaracter"/>
          </w:rPr>
          <w:t>37/2021</w:t>
        </w:r>
      </w:hyperlink>
      <w:r w:rsidRPr="00DE0EC2">
        <w:rPr>
          <w:rStyle w:val="TextoNormalCaracter"/>
        </w:rPr>
        <w:t>, f. 6.</w:t>
      </w:r>
    </w:p>
    <w:p w:rsidR="00DE0EC2" w:rsidRPr="00DE0EC2" w:rsidRDefault="00DE0EC2" w:rsidP="00DE0EC2">
      <w:pPr>
        <w:pStyle w:val="TextoNormalSangraFrancesa"/>
        <w:rPr>
          <w:rStyle w:val="TextoNormalCaracter"/>
        </w:rPr>
      </w:pPr>
      <w:bookmarkStart w:id="854" w:name="DESCRIPTORALFABETICO8"/>
      <w:r w:rsidRPr="00DE0EC2">
        <w:rPr>
          <w:rStyle w:val="TextoNormalNegritaCaracter"/>
        </w:rPr>
        <w:t>Concurrencia de títulos competenciales</w:t>
      </w:r>
      <w:bookmarkEnd w:id="854"/>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 3.</w:t>
      </w:r>
    </w:p>
    <w:p w:rsidR="00DE0EC2" w:rsidRPr="00DE0EC2" w:rsidRDefault="00DE0EC2" w:rsidP="00DE0EC2">
      <w:pPr>
        <w:pStyle w:val="TextoNormalSangraFrancesa"/>
        <w:rPr>
          <w:rStyle w:val="TextoNormalCaracter"/>
        </w:rPr>
      </w:pPr>
      <w:bookmarkStart w:id="855" w:name="DESCRIPTORALFABETICO325"/>
      <w:r w:rsidRPr="00DE0EC2">
        <w:rPr>
          <w:rStyle w:val="TextoNormalNegritaCaracter"/>
        </w:rPr>
        <w:t>Concurso de delitos</w:t>
      </w:r>
      <w:bookmarkEnd w:id="855"/>
      <w:r w:rsidRPr="00DE0EC2">
        <w:rPr>
          <w:rStyle w:val="TextoNormalCaracter"/>
        </w:rPr>
        <w:t xml:space="preserve">, Sentencia </w:t>
      </w:r>
      <w:hyperlink w:anchor="SENTENCIA_2021_91" w:history="1">
        <w:r w:rsidRPr="00DE0EC2">
          <w:rPr>
            <w:rStyle w:val="TextoNormalCaracter"/>
          </w:rPr>
          <w:t>91/2021</w:t>
        </w:r>
      </w:hyperlink>
      <w:r w:rsidRPr="00DE0EC2">
        <w:rPr>
          <w:rStyle w:val="TextoNormalCaracter"/>
        </w:rPr>
        <w:t>, f. 10.</w:t>
      </w:r>
    </w:p>
    <w:p w:rsidR="00DE0EC2" w:rsidRPr="00DE0EC2" w:rsidRDefault="00DE0EC2" w:rsidP="00DE0EC2">
      <w:pPr>
        <w:pStyle w:val="TextoNormalSangraFrancesa"/>
        <w:rPr>
          <w:rStyle w:val="TextoNormalCaracter"/>
        </w:rPr>
      </w:pPr>
      <w:bookmarkStart w:id="856" w:name="DESCRIPTORALFABETICO489"/>
      <w:r w:rsidRPr="00DE0EC2">
        <w:rPr>
          <w:rStyle w:val="TextoNormalNegritaCaracter"/>
        </w:rPr>
        <w:t>Condena penal en casación sin vista pública</w:t>
      </w:r>
      <w:bookmarkEnd w:id="856"/>
      <w:r w:rsidRPr="00DE0EC2">
        <w:rPr>
          <w:rStyle w:val="TextoNormalCaracter"/>
        </w:rPr>
        <w:t xml:space="preserve">, Sentencia </w:t>
      </w:r>
      <w:hyperlink w:anchor="SENTENCIA_2021_133" w:history="1">
        <w:r w:rsidRPr="00DE0EC2">
          <w:rPr>
            <w:rStyle w:val="TextoNormalCaracter"/>
          </w:rPr>
          <w:t>133/2021</w:t>
        </w:r>
      </w:hyperlink>
      <w:r w:rsidRPr="00DE0EC2">
        <w:rPr>
          <w:rStyle w:val="TextoNormalCaracter"/>
        </w:rPr>
        <w:t>, f. 8, VP III.</w:t>
      </w:r>
    </w:p>
    <w:p w:rsidR="00DE0EC2" w:rsidRPr="00DE0EC2" w:rsidRDefault="00DE0EC2" w:rsidP="00DE0EC2">
      <w:pPr>
        <w:pStyle w:val="TextoNormalSangraFrancesa"/>
        <w:rPr>
          <w:rStyle w:val="TextoNormalCaracter"/>
        </w:rPr>
      </w:pPr>
      <w:bookmarkStart w:id="857" w:name="DESCRIPTORALFABETICO490"/>
      <w:r w:rsidRPr="00DE0EC2">
        <w:rPr>
          <w:rStyle w:val="TextoNormalNegritaCaracter"/>
        </w:rPr>
        <w:t>Condena penal en única instancia por el Tribunal Supremo</w:t>
      </w:r>
      <w:bookmarkEnd w:id="857"/>
      <w:r w:rsidRPr="00DE0EC2">
        <w:rPr>
          <w:rStyle w:val="TextoNormalCaracter"/>
        </w:rPr>
        <w:t xml:space="preserve">, Sentencia </w:t>
      </w:r>
      <w:hyperlink w:anchor="SENTENCIA_2021_122" w:history="1">
        <w:r w:rsidRPr="00DE0EC2">
          <w:rPr>
            <w:rStyle w:val="TextoNormalCaracter"/>
          </w:rPr>
          <w:t>122/2021</w:t>
        </w:r>
      </w:hyperlink>
      <w:r w:rsidRPr="00DE0EC2">
        <w:rPr>
          <w:rStyle w:val="TextoNormalCaracter"/>
        </w:rPr>
        <w:t>, f. 5.</w:t>
      </w:r>
    </w:p>
    <w:p w:rsidR="00DE0EC2" w:rsidRPr="00DE0EC2" w:rsidRDefault="00DE0EC2" w:rsidP="00DE0EC2">
      <w:pPr>
        <w:pStyle w:val="TextoNormalSangraFrancesa"/>
        <w:rPr>
          <w:rStyle w:val="TextoNormalCaracter"/>
        </w:rPr>
      </w:pPr>
      <w:bookmarkStart w:id="858" w:name="DESCRIPTORALFABETICO491"/>
      <w:r w:rsidRPr="00DE0EC2">
        <w:rPr>
          <w:rStyle w:val="TextoNormalNegritaCaracter"/>
        </w:rPr>
        <w:t>Condena penal fundada en grabación de comunicaciones orales</w:t>
      </w:r>
      <w:bookmarkEnd w:id="858"/>
      <w:r w:rsidRPr="00DE0EC2">
        <w:rPr>
          <w:rStyle w:val="TextoNormalCaracter"/>
        </w:rPr>
        <w:t xml:space="preserve">, Sentencia </w:t>
      </w:r>
      <w:hyperlink w:anchor="SENTENCIA_2021_99" w:history="1">
        <w:r w:rsidRPr="00DE0EC2">
          <w:rPr>
            <w:rStyle w:val="TextoNormalCaracter"/>
          </w:rPr>
          <w:t>99/2021</w:t>
        </w:r>
      </w:hyperlink>
      <w:r w:rsidRPr="00DE0EC2">
        <w:rPr>
          <w:rStyle w:val="TextoNormalCaracter"/>
        </w:rPr>
        <w:t>, f. 9.</w:t>
      </w:r>
    </w:p>
    <w:p w:rsidR="00DE0EC2" w:rsidRPr="00DE0EC2" w:rsidRDefault="00DE0EC2" w:rsidP="00DE0EC2">
      <w:pPr>
        <w:pStyle w:val="TextoNormalSangraFrancesa"/>
        <w:rPr>
          <w:rStyle w:val="TextoNormalCaracter"/>
        </w:rPr>
      </w:pPr>
      <w:bookmarkStart w:id="859" w:name="DESCRIPTORALFABETICO360"/>
      <w:r w:rsidRPr="00DE0EC2">
        <w:rPr>
          <w:rStyle w:val="TextoNormalNegritaCaracter"/>
        </w:rPr>
        <w:t>Conexión de sentido entre la situación de urgencia y las medidas adoptadas</w:t>
      </w:r>
      <w:bookmarkEnd w:id="859"/>
      <w:r w:rsidRPr="00DE0EC2">
        <w:rPr>
          <w:rStyle w:val="TextoNormalCaracter"/>
        </w:rPr>
        <w:t xml:space="preserve">, Sentencias </w:t>
      </w:r>
      <w:hyperlink w:anchor="SENTENCIA_2021_40" w:history="1">
        <w:r w:rsidRPr="00DE0EC2">
          <w:rPr>
            <w:rStyle w:val="TextoNormalCaracter"/>
          </w:rPr>
          <w:t>40/2021</w:t>
        </w:r>
      </w:hyperlink>
      <w:r w:rsidRPr="00DE0EC2">
        <w:rPr>
          <w:rStyle w:val="TextoNormalCaracter"/>
        </w:rPr>
        <w:t xml:space="preserve">, f. 4; </w:t>
      </w:r>
      <w:hyperlink w:anchor="SENTENCIA_2021_110" w:history="1">
        <w:r w:rsidRPr="00DE0EC2">
          <w:rPr>
            <w:rStyle w:val="TextoNormalCaracter"/>
          </w:rPr>
          <w:t>110/2021</w:t>
        </w:r>
      </w:hyperlink>
      <w:r w:rsidRPr="00DE0EC2">
        <w:rPr>
          <w:rStyle w:val="TextoNormalCaracter"/>
        </w:rPr>
        <w:t xml:space="preserve">, ff. 4 a 9; </w:t>
      </w:r>
      <w:hyperlink w:anchor="SENTENCIA_2021_111" w:history="1">
        <w:r w:rsidRPr="00DE0EC2">
          <w:rPr>
            <w:rStyle w:val="TextoNormalCaracter"/>
          </w:rPr>
          <w:t>111/2021</w:t>
        </w:r>
      </w:hyperlink>
      <w:r w:rsidRPr="00DE0EC2">
        <w:rPr>
          <w:rStyle w:val="TextoNormalCaracter"/>
        </w:rPr>
        <w:t xml:space="preserve">, f. 7; </w:t>
      </w:r>
      <w:hyperlink w:anchor="SENTENCIA_2021_134" w:history="1">
        <w:r w:rsidRPr="00DE0EC2">
          <w:rPr>
            <w:rStyle w:val="TextoNormalCaracter"/>
          </w:rPr>
          <w:t>134/2021</w:t>
        </w:r>
      </w:hyperlink>
      <w:r w:rsidRPr="00DE0EC2">
        <w:rPr>
          <w:rStyle w:val="TextoNormalCaracter"/>
        </w:rPr>
        <w:t>, ff. 3, 5, VP I.</w:t>
      </w:r>
    </w:p>
    <w:p w:rsidR="00DE0EC2" w:rsidRPr="00DE0EC2" w:rsidRDefault="00DE0EC2" w:rsidP="00DE0EC2">
      <w:pPr>
        <w:pStyle w:val="TextoNormalSangraFrancesa"/>
        <w:rPr>
          <w:rStyle w:val="TextoNormalCaracter"/>
        </w:rPr>
      </w:pPr>
      <w:bookmarkStart w:id="860" w:name="DESCRIPTORALFABETICO169"/>
      <w:r w:rsidRPr="00DE0EC2">
        <w:rPr>
          <w:rStyle w:val="TextoNormalNegritaCaracter"/>
        </w:rPr>
        <w:t>Conflictos negativos de competencia</w:t>
      </w:r>
      <w:bookmarkEnd w:id="860"/>
      <w:r w:rsidRPr="00DE0EC2">
        <w:rPr>
          <w:rStyle w:val="TextoNormalCaracter"/>
        </w:rPr>
        <w:t xml:space="preserve">, Auto </w:t>
      </w:r>
      <w:hyperlink w:anchor="AUTO_2021_8" w:history="1">
        <w:r w:rsidRPr="00DE0EC2">
          <w:rPr>
            <w:rStyle w:val="TextoNormalCaracter"/>
          </w:rPr>
          <w:t>8/2021</w:t>
        </w:r>
      </w:hyperlink>
      <w:r w:rsidRPr="00DE0EC2">
        <w:rPr>
          <w:rStyle w:val="TextoNormalCaracter"/>
        </w:rPr>
        <w:t>, f. 2.</w:t>
      </w:r>
    </w:p>
    <w:p w:rsidR="00DE0EC2" w:rsidRPr="00DE0EC2" w:rsidRDefault="00DE0EC2" w:rsidP="00DE0EC2">
      <w:pPr>
        <w:pStyle w:val="TextoNormalSangraFrancesa"/>
        <w:rPr>
          <w:rStyle w:val="TextoNormalCaracter"/>
        </w:rPr>
      </w:pPr>
      <w:bookmarkStart w:id="861" w:name="DESCRIPTORALFABETICO426"/>
      <w:r w:rsidRPr="00DE0EC2">
        <w:rPr>
          <w:rStyle w:val="TextoNormalNegritaCaracter"/>
        </w:rPr>
        <w:t>Constancia de la recepción de la notificación</w:t>
      </w:r>
      <w:bookmarkEnd w:id="861"/>
      <w:r w:rsidRPr="00DE0EC2">
        <w:rPr>
          <w:rStyle w:val="TextoNormalCaracter"/>
        </w:rPr>
        <w:t xml:space="preserve">, Sentencia </w:t>
      </w:r>
      <w:hyperlink w:anchor="SENTENCIA_2021_79" w:history="1">
        <w:r w:rsidRPr="00DE0EC2">
          <w:rPr>
            <w:rStyle w:val="TextoNormalCaracter"/>
          </w:rPr>
          <w:t>79/2021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62" w:name="DESCRIPTORALFABETICO103"/>
      <w:r w:rsidRPr="00DE0EC2">
        <w:rPr>
          <w:rStyle w:val="TextoNormalNegritaCaracter"/>
        </w:rPr>
        <w:t>Consultas populares</w:t>
      </w:r>
      <w:bookmarkEnd w:id="862"/>
      <w:r w:rsidRPr="00DE0EC2">
        <w:rPr>
          <w:rStyle w:val="TextoNormalCaracter"/>
        </w:rPr>
        <w:t xml:space="preserve">, Sentencia </w:t>
      </w:r>
      <w:hyperlink w:anchor="SENTENCIA_2021_121" w:history="1">
        <w:r w:rsidRPr="00DE0EC2">
          <w:rPr>
            <w:rStyle w:val="TextoNormalCaracter"/>
          </w:rPr>
          <w:t>121/2021</w:t>
        </w:r>
      </w:hyperlink>
      <w:r w:rsidRPr="00DE0EC2">
        <w:rPr>
          <w:rStyle w:val="TextoNormalCaracter"/>
        </w:rPr>
        <w:t>, ff. 3, 12.</w:t>
      </w:r>
    </w:p>
    <w:p w:rsidR="00DE0EC2" w:rsidRPr="00DE0EC2" w:rsidRDefault="00DE0EC2" w:rsidP="00DE0EC2">
      <w:pPr>
        <w:pStyle w:val="TextoNormalSangraFrancesa"/>
        <w:rPr>
          <w:rStyle w:val="TextoNormalCaracter"/>
        </w:rPr>
      </w:pPr>
      <w:bookmarkStart w:id="863" w:name="DESCRIPTORALFABETICO131"/>
      <w:r w:rsidRPr="00DE0EC2">
        <w:rPr>
          <w:rStyle w:val="TextoNormalNegritaCaracter"/>
        </w:rPr>
        <w:t>Contenido de la libertad de expresión</w:t>
      </w:r>
      <w:bookmarkEnd w:id="863"/>
      <w:r w:rsidRPr="00DE0EC2">
        <w:rPr>
          <w:rStyle w:val="TextoNormalCaracter"/>
        </w:rPr>
        <w:t xml:space="preserve">, Sentencia </w:t>
      </w:r>
      <w:hyperlink w:anchor="SENTENCIA_2021_93" w:history="1">
        <w:r w:rsidRPr="00DE0EC2">
          <w:rPr>
            <w:rStyle w:val="TextoNormalCaracter"/>
          </w:rPr>
          <w:t>93/2021</w:t>
        </w:r>
      </w:hyperlink>
      <w:r w:rsidRPr="00DE0EC2">
        <w:rPr>
          <w:rStyle w:val="TextoNormalCaracter"/>
        </w:rPr>
        <w:t>, f. 4.</w:t>
      </w:r>
    </w:p>
    <w:p w:rsidR="00DE0EC2" w:rsidRPr="00DE0EC2" w:rsidRDefault="00DE0EC2" w:rsidP="00DE0EC2">
      <w:pPr>
        <w:pStyle w:val="TextoNormalSangraFrancesa"/>
        <w:rPr>
          <w:rStyle w:val="TextoNormalCaracter"/>
        </w:rPr>
      </w:pPr>
      <w:bookmarkStart w:id="864" w:name="DESCRIPTORALFABETICO47"/>
      <w:r w:rsidRPr="00DE0EC2">
        <w:rPr>
          <w:rStyle w:val="TextoNormalNegritaCaracter"/>
        </w:rPr>
        <w:t>Contenido del derecho a ejercer los cargos públicos</w:t>
      </w:r>
      <w:bookmarkEnd w:id="864"/>
      <w:r w:rsidRPr="00DE0EC2">
        <w:rPr>
          <w:rStyle w:val="TextoNormalCaracter"/>
        </w:rPr>
        <w:t xml:space="preserve">, Sentencias </w:t>
      </w:r>
      <w:hyperlink w:anchor="SENTENCIA_2021_69" w:history="1">
        <w:r w:rsidRPr="00DE0EC2">
          <w:rPr>
            <w:rStyle w:val="TextoNormalCaracter"/>
          </w:rPr>
          <w:t>69/2021</w:t>
        </w:r>
      </w:hyperlink>
      <w:r w:rsidRPr="00DE0EC2">
        <w:rPr>
          <w:rStyle w:val="TextoNormalCaracter"/>
        </w:rPr>
        <w:t xml:space="preserve">, f. 4; </w:t>
      </w:r>
      <w:hyperlink w:anchor="SENTENCIA_2021_90" w:history="1">
        <w:r w:rsidRPr="00DE0EC2">
          <w:rPr>
            <w:rStyle w:val="TextoNormalCaracter"/>
          </w:rPr>
          <w:t>90/2021</w:t>
        </w:r>
      </w:hyperlink>
      <w:r w:rsidRPr="00DE0EC2">
        <w:rPr>
          <w:rStyle w:val="TextoNormalCaracter"/>
        </w:rPr>
        <w:t xml:space="preserve">, f. 4; </w:t>
      </w:r>
      <w:hyperlink w:anchor="SENTENCIA_2021_137" w:history="1">
        <w:r w:rsidRPr="00DE0EC2">
          <w:rPr>
            <w:rStyle w:val="TextoNormalCaracter"/>
          </w:rPr>
          <w:t>137/2021</w:t>
        </w:r>
      </w:hyperlink>
      <w:r w:rsidRPr="00DE0EC2">
        <w:rPr>
          <w:rStyle w:val="TextoNormalCaracter"/>
        </w:rPr>
        <w:t>, ff. 3 y 4.</w:t>
      </w:r>
    </w:p>
    <w:p w:rsidR="00DE0EC2" w:rsidRPr="00DE0EC2" w:rsidRDefault="00DE0EC2" w:rsidP="00DE0EC2">
      <w:pPr>
        <w:pStyle w:val="TextoNormalSangraFrancesa"/>
        <w:rPr>
          <w:rStyle w:val="TextoNormalCaracter"/>
        </w:rPr>
      </w:pPr>
      <w:bookmarkStart w:id="865" w:name="DESCRIPTORALFABETICO66"/>
      <w:r w:rsidRPr="00DE0EC2">
        <w:rPr>
          <w:rStyle w:val="TextoNormalNegritaCaracter"/>
        </w:rPr>
        <w:t>Contenido del derecho a la negociación colectiva</w:t>
      </w:r>
      <w:bookmarkEnd w:id="865"/>
      <w:r w:rsidRPr="00DE0EC2">
        <w:rPr>
          <w:rStyle w:val="TextoNormalCaracter"/>
        </w:rPr>
        <w:t xml:space="preserve">, Sentencia </w:t>
      </w:r>
      <w:hyperlink w:anchor="SENTENCIA_2021_130" w:history="1">
        <w:r w:rsidRPr="00DE0EC2">
          <w:rPr>
            <w:rStyle w:val="TextoNormalCaracter"/>
          </w:rPr>
          <w:t>130/2021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66" w:name="DESCRIPTORALFABETICO71"/>
      <w:r w:rsidRPr="00DE0EC2">
        <w:rPr>
          <w:rStyle w:val="TextoNormalNegritaCaracter"/>
        </w:rPr>
        <w:t>Contenido del derecho a la tutela judicial efectiva</w:t>
      </w:r>
      <w:bookmarkEnd w:id="866"/>
      <w:r w:rsidRPr="00DE0EC2">
        <w:rPr>
          <w:rStyle w:val="TextoNormalCaracter"/>
        </w:rPr>
        <w:t xml:space="preserve">, Sentencias </w:t>
      </w:r>
      <w:hyperlink w:anchor="SENTENCIA_2021_61" w:history="1">
        <w:r w:rsidRPr="00DE0EC2">
          <w:rPr>
            <w:rStyle w:val="TextoNormalCaracter"/>
          </w:rPr>
          <w:t>61/2021</w:t>
        </w:r>
      </w:hyperlink>
      <w:r w:rsidRPr="00DE0EC2">
        <w:rPr>
          <w:rStyle w:val="TextoNormalCaracter"/>
        </w:rPr>
        <w:t xml:space="preserve">, ff. 3, 4, VP I; </w:t>
      </w:r>
      <w:hyperlink w:anchor="SENTENCIA_2021_104" w:history="1">
        <w:r w:rsidRPr="00DE0EC2">
          <w:rPr>
            <w:rStyle w:val="TextoNormalCaracter"/>
          </w:rPr>
          <w:t>104/2021</w:t>
        </w:r>
      </w:hyperlink>
      <w:r w:rsidRPr="00DE0EC2">
        <w:rPr>
          <w:rStyle w:val="TextoNormalCaracter"/>
        </w:rPr>
        <w:t xml:space="preserve">, f. 3; </w:t>
      </w:r>
      <w:hyperlink w:anchor="SENTENCIA_2021_120" w:history="1">
        <w:r w:rsidRPr="00DE0EC2">
          <w:rPr>
            <w:rStyle w:val="TextoNormalCaracter"/>
          </w:rPr>
          <w:t>120/2021</w:t>
        </w:r>
      </w:hyperlink>
      <w:r w:rsidRPr="00DE0EC2">
        <w:rPr>
          <w:rStyle w:val="TextoNormalCaracter"/>
        </w:rPr>
        <w:t xml:space="preserve">, ff. 1 a 4; </w:t>
      </w:r>
      <w:hyperlink w:anchor="SENTENCIA_2021_132" w:history="1">
        <w:r w:rsidRPr="00DE0EC2">
          <w:rPr>
            <w:rStyle w:val="TextoNormalCaracter"/>
          </w:rPr>
          <w:t>132/2021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867" w:name="DESCRIPTORALFABETICO93"/>
      <w:r w:rsidRPr="00DE0EC2">
        <w:rPr>
          <w:rStyle w:val="TextoNormalNegritaCaracter"/>
        </w:rPr>
        <w:t>Contenido del derecho a la tutela judicial sin indefensión</w:t>
      </w:r>
      <w:bookmarkEnd w:id="867"/>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 2.</w:t>
      </w:r>
    </w:p>
    <w:p w:rsidR="00DE0EC2" w:rsidRPr="00DE0EC2" w:rsidRDefault="00DE0EC2" w:rsidP="00DE0EC2">
      <w:pPr>
        <w:pStyle w:val="TextoNormalSangraFrancesa"/>
        <w:rPr>
          <w:rStyle w:val="TextoNormalCaracter"/>
        </w:rPr>
      </w:pPr>
      <w:bookmarkStart w:id="868" w:name="DESCRIPTORALFABETICO105"/>
      <w:r w:rsidRPr="00DE0EC2">
        <w:rPr>
          <w:rStyle w:val="TextoNormalNegritaCaracter"/>
        </w:rPr>
        <w:t>Contenido del derecho a un proceso con todas las garantías</w:t>
      </w:r>
      <w:bookmarkEnd w:id="868"/>
      <w:r w:rsidRPr="00DE0EC2">
        <w:rPr>
          <w:rStyle w:val="TextoNormalCaracter"/>
        </w:rPr>
        <w:t xml:space="preserve">, Sentencia </w:t>
      </w:r>
      <w:hyperlink w:anchor="SENTENCIA_2021_22" w:history="1">
        <w:r w:rsidRPr="00DE0EC2">
          <w:rPr>
            <w:rStyle w:val="TextoNormalCaracter"/>
          </w:rPr>
          <w:t>22/2021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869" w:name="DESCRIPTORALFABETICO119"/>
      <w:r w:rsidRPr="00DE0EC2">
        <w:rPr>
          <w:rStyle w:val="TextoNormalNegritaCaracter"/>
        </w:rPr>
        <w:t>Contenido del derecho al honor</w:t>
      </w:r>
      <w:bookmarkEnd w:id="869"/>
      <w:r w:rsidRPr="00DE0EC2">
        <w:rPr>
          <w:rStyle w:val="TextoNormalCaracter"/>
        </w:rPr>
        <w:t xml:space="preserve">, Sentencia </w:t>
      </w:r>
      <w:hyperlink w:anchor="SENTENCIA_2021_93" w:history="1">
        <w:r w:rsidRPr="00DE0EC2">
          <w:rPr>
            <w:rStyle w:val="TextoNormalCaracter"/>
          </w:rPr>
          <w:t>93/2021</w:t>
        </w:r>
      </w:hyperlink>
      <w:r w:rsidRPr="00DE0EC2">
        <w:rPr>
          <w:rStyle w:val="TextoNormalCaracter"/>
        </w:rPr>
        <w:t>, f. 5.</w:t>
      </w:r>
    </w:p>
    <w:p w:rsidR="00DE0EC2" w:rsidRPr="00DE0EC2" w:rsidRDefault="00DE0EC2" w:rsidP="00DE0EC2">
      <w:pPr>
        <w:pStyle w:val="TextoNormalSangraFrancesa"/>
        <w:rPr>
          <w:rStyle w:val="TextoNormalCaracter"/>
        </w:rPr>
      </w:pPr>
      <w:bookmarkStart w:id="870" w:name="DESCRIPTORALFABETICO125"/>
      <w:r w:rsidRPr="00DE0EC2">
        <w:rPr>
          <w:rStyle w:val="TextoNormalNegritaCaracter"/>
        </w:rPr>
        <w:t>Contenido del derecho de sufragio pasivo</w:t>
      </w:r>
      <w:bookmarkEnd w:id="870"/>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 3.</w:t>
      </w:r>
    </w:p>
    <w:p w:rsidR="00DE0EC2" w:rsidRPr="00DE0EC2" w:rsidRDefault="00DE0EC2" w:rsidP="00DE0EC2">
      <w:pPr>
        <w:pStyle w:val="TextoNormalSangraFrancesa"/>
        <w:rPr>
          <w:rStyle w:val="TextoNormalCaracter"/>
        </w:rPr>
      </w:pPr>
      <w:bookmarkStart w:id="871" w:name="DESCRIPTORALFABETICO136"/>
      <w:r w:rsidRPr="00DE0EC2">
        <w:rPr>
          <w:rStyle w:val="TextoNormalNegritaCaracter"/>
        </w:rPr>
        <w:t>Contenido esencial de la libertad sindical</w:t>
      </w:r>
      <w:bookmarkEnd w:id="871"/>
      <w:r w:rsidRPr="00DE0EC2">
        <w:rPr>
          <w:rStyle w:val="TextoNormalCaracter"/>
        </w:rPr>
        <w:t xml:space="preserve">, Sentencia </w:t>
      </w:r>
      <w:hyperlink w:anchor="SENTENCIA_2021_130" w:history="1">
        <w:r w:rsidRPr="00DE0EC2">
          <w:rPr>
            <w:rStyle w:val="TextoNormalCaracter"/>
          </w:rPr>
          <w:t>130/2021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872" w:name="DESCRIPTORALFABETICO137"/>
      <w:r w:rsidRPr="00DE0EC2">
        <w:rPr>
          <w:rStyle w:val="TextoNormalNegritaCaracter"/>
        </w:rPr>
        <w:t>Contenido esencial de los derechos fundamentales</w:t>
      </w:r>
      <w:bookmarkEnd w:id="872"/>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Concepto, </w:t>
      </w:r>
      <w:r w:rsidRPr="00DE0EC2">
        <w:rPr>
          <w:rStyle w:val="TextoNormalCaracter"/>
        </w:rPr>
        <w:t xml:space="preserve">Sentencia </w:t>
      </w:r>
      <w:hyperlink w:anchor="SENTENCIA_2021_61" w:history="1">
        <w:r w:rsidRPr="00DE0EC2">
          <w:rPr>
            <w:rStyle w:val="TextoNormalCaracter"/>
          </w:rPr>
          <w:t>61/2021</w:t>
        </w:r>
      </w:hyperlink>
      <w:r w:rsidRPr="00DE0EC2">
        <w:rPr>
          <w:rStyle w:val="TextoNormalCaracter"/>
        </w:rPr>
        <w:t>, f. 3.</w:t>
      </w:r>
    </w:p>
    <w:p w:rsidR="00DE0EC2" w:rsidRPr="00DE0EC2" w:rsidRDefault="00DE0EC2" w:rsidP="00DE0EC2">
      <w:pPr>
        <w:pStyle w:val="TextoNormalSangraFrancesa"/>
        <w:rPr>
          <w:rStyle w:val="TextoNormalCaracter"/>
        </w:rPr>
      </w:pPr>
      <w:bookmarkStart w:id="873" w:name="DESCRIPTORALFABETICO282"/>
      <w:r w:rsidRPr="00DE0EC2">
        <w:rPr>
          <w:rStyle w:val="TextoNormalNegritaCaracter"/>
        </w:rPr>
        <w:t>Contratos de las Comunidades Autónomas</w:t>
      </w:r>
      <w:bookmarkEnd w:id="873"/>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ff. 3, 5 a 9.</w:t>
      </w:r>
    </w:p>
    <w:p w:rsidR="00DE0EC2" w:rsidRPr="00DE0EC2" w:rsidRDefault="00DE0EC2" w:rsidP="00DE0EC2">
      <w:pPr>
        <w:pStyle w:val="TextoNormalSangraFrancesa"/>
        <w:rPr>
          <w:rStyle w:val="TextoNormalCaracter"/>
        </w:rPr>
      </w:pPr>
      <w:bookmarkStart w:id="874" w:name="DESCRIPTORALFABETICO281"/>
      <w:r w:rsidRPr="00DE0EC2">
        <w:rPr>
          <w:rStyle w:val="TextoNormalNegritaCaracter"/>
        </w:rPr>
        <w:t>Contratos del sector público</w:t>
      </w:r>
      <w:bookmarkEnd w:id="874"/>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ff. 1, 3, 5 a 9.</w:t>
      </w:r>
    </w:p>
    <w:p w:rsidR="00DE0EC2" w:rsidRPr="00DE0EC2" w:rsidRDefault="00DE0EC2" w:rsidP="00DE0EC2">
      <w:pPr>
        <w:pStyle w:val="TextoNormalSangraFrancesa"/>
        <w:rPr>
          <w:rStyle w:val="TextoNormalCaracter"/>
        </w:rPr>
      </w:pPr>
      <w:bookmarkStart w:id="875" w:name="DESCRIPTORALFABETICO143"/>
      <w:r w:rsidRPr="00DE0EC2">
        <w:rPr>
          <w:rStyle w:val="TextoNormalNegritaCaracter"/>
        </w:rPr>
        <w:t>Control de constitucionalidad de los decretos-leyes</w:t>
      </w:r>
      <w:bookmarkEnd w:id="875"/>
      <w:r w:rsidRPr="00DE0EC2">
        <w:rPr>
          <w:rStyle w:val="TextoNormalCaracter"/>
        </w:rPr>
        <w:t xml:space="preserve">, Sentencia </w:t>
      </w:r>
      <w:hyperlink w:anchor="SENTENCIA_2021_111" w:history="1">
        <w:r w:rsidRPr="00DE0EC2">
          <w:rPr>
            <w:rStyle w:val="TextoNormalCaracter"/>
          </w:rPr>
          <w:t>111/2021</w:t>
        </w:r>
      </w:hyperlink>
      <w:r w:rsidRPr="00DE0EC2">
        <w:rPr>
          <w:rStyle w:val="TextoNormalCaracter"/>
        </w:rPr>
        <w:t>, f. 4.</w:t>
      </w:r>
    </w:p>
    <w:p w:rsidR="00DE0EC2" w:rsidRPr="00DE0EC2" w:rsidRDefault="00DE0EC2" w:rsidP="00DE0EC2">
      <w:pPr>
        <w:pStyle w:val="TextoNormalSangraFrancesa"/>
        <w:rPr>
          <w:rStyle w:val="TextoNormalCaracter"/>
        </w:rPr>
      </w:pPr>
      <w:bookmarkStart w:id="876" w:name="DESCRIPTORALFABETICO482"/>
      <w:r w:rsidRPr="00DE0EC2">
        <w:rPr>
          <w:rStyle w:val="TextoNormalNegritaCaracter"/>
        </w:rPr>
        <w:t>Control judicial de la detención</w:t>
      </w:r>
      <w:bookmarkEnd w:id="876"/>
      <w:r w:rsidRPr="00DE0EC2">
        <w:rPr>
          <w:rStyle w:val="TextoNormalCaracter"/>
        </w:rPr>
        <w:t xml:space="preserve">, Sentencia </w:t>
      </w:r>
      <w:hyperlink w:anchor="SENTENCIA_2021_73" w:history="1">
        <w:r w:rsidRPr="00DE0EC2">
          <w:rPr>
            <w:rStyle w:val="TextoNormalCaracter"/>
          </w:rPr>
          <w:t>73/2021</w:t>
        </w:r>
      </w:hyperlink>
      <w:r w:rsidRPr="00DE0EC2">
        <w:rPr>
          <w:rStyle w:val="TextoNormalCaracter"/>
        </w:rPr>
        <w:t>, f. 4.</w:t>
      </w:r>
    </w:p>
    <w:p w:rsidR="00DE0EC2" w:rsidRPr="00DE0EC2" w:rsidRDefault="00DE0EC2" w:rsidP="00DE0EC2">
      <w:pPr>
        <w:pStyle w:val="TextoNormalSangraFrancesa"/>
        <w:rPr>
          <w:rStyle w:val="TextoNormalCaracter"/>
        </w:rPr>
      </w:pPr>
      <w:bookmarkStart w:id="877" w:name="DESCRIPTORALFABETICO232"/>
      <w:r w:rsidRPr="00DE0EC2">
        <w:rPr>
          <w:rStyle w:val="TextoNormalNegritaCaracter"/>
        </w:rPr>
        <w:t>Control parlamentario</w:t>
      </w:r>
      <w:bookmarkEnd w:id="877"/>
      <w:r w:rsidRPr="00DE0EC2">
        <w:rPr>
          <w:rStyle w:val="TextoNormalCaracter"/>
        </w:rPr>
        <w:t xml:space="preserve">, Sentencia </w:t>
      </w:r>
      <w:hyperlink w:anchor="SENTENCIA_2021_134" w:history="1">
        <w:r w:rsidRPr="00DE0EC2">
          <w:rPr>
            <w:rStyle w:val="TextoNormalCaracter"/>
          </w:rPr>
          <w:t>134/2021</w:t>
        </w:r>
      </w:hyperlink>
      <w:r w:rsidRPr="00DE0EC2">
        <w:rPr>
          <w:rStyle w:val="TextoNormalCaracter"/>
        </w:rPr>
        <w:t>, ff. 4, 6, VP I, VP II.</w:t>
      </w:r>
    </w:p>
    <w:p w:rsidR="00DE0EC2" w:rsidRPr="00DE0EC2" w:rsidRDefault="00DE0EC2" w:rsidP="00DE0EC2">
      <w:pPr>
        <w:pStyle w:val="TextoNormalSangraFrancesa"/>
        <w:rPr>
          <w:rStyle w:val="TextoNormalCaracter"/>
        </w:rPr>
      </w:pPr>
      <w:bookmarkStart w:id="878" w:name="DESCRIPTORALFABETICO357"/>
      <w:r w:rsidRPr="00DE0EC2">
        <w:rPr>
          <w:rStyle w:val="TextoNormalNegritaCaracter"/>
        </w:rPr>
        <w:t>Convalidación de decretos-leyes</w:t>
      </w:r>
      <w:bookmarkEnd w:id="878"/>
      <w:r w:rsidRPr="00DE0EC2">
        <w:rPr>
          <w:rStyle w:val="TextoNormalCaracter"/>
        </w:rPr>
        <w:t xml:space="preserve">, Sentencia </w:t>
      </w:r>
      <w:hyperlink w:anchor="SENTENCIA_2021_16" w:history="1">
        <w:r w:rsidRPr="00DE0EC2">
          <w:rPr>
            <w:rStyle w:val="TextoNormalCaracter"/>
          </w:rPr>
          <w:t>16/2021</w:t>
        </w:r>
      </w:hyperlink>
      <w:r w:rsidRPr="00DE0EC2">
        <w:rPr>
          <w:rStyle w:val="TextoNormalCaracter"/>
        </w:rPr>
        <w:t>, f. 2.</w:t>
      </w:r>
    </w:p>
    <w:p w:rsidR="00DE0EC2" w:rsidRPr="00DE0EC2" w:rsidRDefault="00DE0EC2" w:rsidP="00DE0EC2">
      <w:pPr>
        <w:pStyle w:val="TextoNormalSangraFrancesa"/>
        <w:rPr>
          <w:rStyle w:val="TextoNormalCaracter"/>
        </w:rPr>
      </w:pPr>
      <w:bookmarkStart w:id="879" w:name="DESCRIPTORALFABETICO352"/>
      <w:r w:rsidRPr="00DE0EC2">
        <w:rPr>
          <w:rStyle w:val="TextoNormalNegritaCaracter"/>
        </w:rPr>
        <w:t>Convenio europeo de derechos humanos</w:t>
      </w:r>
      <w:bookmarkEnd w:id="879"/>
      <w:r w:rsidRPr="00DE0EC2">
        <w:rPr>
          <w:rStyle w:val="TextoNormalCaracter"/>
        </w:rPr>
        <w:t xml:space="preserve">, Sentencia </w:t>
      </w:r>
      <w:hyperlink w:anchor="SENTENCIA_2021_69" w:history="1">
        <w:r w:rsidRPr="00DE0EC2">
          <w:rPr>
            <w:rStyle w:val="TextoNormalCaracter"/>
          </w:rPr>
          <w:t>69/2021</w:t>
        </w:r>
      </w:hyperlink>
      <w:r w:rsidRPr="00DE0EC2">
        <w:rPr>
          <w:rStyle w:val="TextoNormalCaracter"/>
        </w:rPr>
        <w:t>, ff. 1, 4 y 5.</w:t>
      </w:r>
    </w:p>
    <w:p w:rsidR="00DE0EC2" w:rsidRPr="00DE0EC2" w:rsidRDefault="00DE0EC2" w:rsidP="00DE0EC2">
      <w:pPr>
        <w:pStyle w:val="TextoNormalSangraFrancesa"/>
        <w:rPr>
          <w:rStyle w:val="TextoNormalCaracter"/>
        </w:rPr>
      </w:pPr>
      <w:bookmarkStart w:id="880" w:name="DESCRIPTORALFABETICO351"/>
      <w:r w:rsidRPr="00DE0EC2">
        <w:rPr>
          <w:rStyle w:val="TextoNormalNegritaCaracter"/>
        </w:rPr>
        <w:t>Convenios europeos</w:t>
      </w:r>
      <w:bookmarkEnd w:id="880"/>
      <w:r w:rsidRPr="00DE0EC2">
        <w:rPr>
          <w:rStyle w:val="TextoNormalCaracter"/>
        </w:rPr>
        <w:t xml:space="preserve">, Sentencia </w:t>
      </w:r>
      <w:hyperlink w:anchor="SENTENCIA_2021_15" w:history="1">
        <w:r w:rsidRPr="00DE0EC2">
          <w:rPr>
            <w:rStyle w:val="TextoNormalCaracter"/>
          </w:rPr>
          <w:t>15/2021</w:t>
        </w:r>
      </w:hyperlink>
      <w:r w:rsidRPr="00DE0EC2">
        <w:rPr>
          <w:rStyle w:val="TextoNormalCaracter"/>
        </w:rPr>
        <w:t>, f. 4.</w:t>
      </w:r>
    </w:p>
    <w:p w:rsidR="00DE0EC2" w:rsidRPr="00DE0EC2" w:rsidRDefault="00DE0EC2" w:rsidP="00DE0EC2">
      <w:pPr>
        <w:pStyle w:val="TextoNormalSangraFrancesa"/>
        <w:rPr>
          <w:rStyle w:val="TextoNormalCaracter"/>
        </w:rPr>
      </w:pPr>
      <w:bookmarkStart w:id="881" w:name="DESCRIPTORALFABETICO320"/>
      <w:r w:rsidRPr="00DE0EC2">
        <w:rPr>
          <w:rStyle w:val="TextoNormalNegritaCaracter"/>
        </w:rPr>
        <w:t>Convocatoria de subvenciones públicas</w:t>
      </w:r>
      <w:bookmarkEnd w:id="881"/>
      <w:r w:rsidRPr="00DE0EC2">
        <w:rPr>
          <w:rStyle w:val="TextoNormalCaracter"/>
        </w:rPr>
        <w:t xml:space="preserve">, Sentencia </w:t>
      </w:r>
      <w:hyperlink w:anchor="SENTENCIA_2021_37" w:history="1">
        <w:r w:rsidRPr="00DE0EC2">
          <w:rPr>
            <w:rStyle w:val="TextoNormalCaracter"/>
          </w:rPr>
          <w:t>37/2021</w:t>
        </w:r>
      </w:hyperlink>
      <w:r w:rsidRPr="00DE0EC2">
        <w:rPr>
          <w:rStyle w:val="TextoNormalCaracter"/>
        </w:rPr>
        <w:t>, f. 7.</w:t>
      </w:r>
    </w:p>
    <w:p w:rsidR="00DE0EC2" w:rsidRPr="00DE0EC2" w:rsidRDefault="00DE0EC2" w:rsidP="00DE0EC2">
      <w:pPr>
        <w:pStyle w:val="TextoNormalSangraFrancesa"/>
        <w:rPr>
          <w:rStyle w:val="TextoNormalCaracter"/>
        </w:rPr>
      </w:pPr>
      <w:bookmarkStart w:id="882" w:name="DESCRIPTORALFABETICO374"/>
      <w:r w:rsidRPr="00DE0EC2">
        <w:rPr>
          <w:rStyle w:val="TextoNormalNegritaCaracter"/>
        </w:rPr>
        <w:t>Corrección de errores</w:t>
      </w:r>
      <w:bookmarkEnd w:id="882"/>
      <w:r w:rsidRPr="00DE0EC2">
        <w:rPr>
          <w:rStyle w:val="TextoNormalCaracter"/>
        </w:rPr>
        <w:t xml:space="preserve">, Auto </w:t>
      </w:r>
      <w:hyperlink w:anchor="AUTO_2021_26" w:history="1">
        <w:r w:rsidRPr="00DE0EC2">
          <w:rPr>
            <w:rStyle w:val="TextoNormalCaracter"/>
          </w:rPr>
          <w:t>26/2021</w:t>
        </w:r>
      </w:hyperlink>
      <w:r w:rsidRPr="00DE0EC2">
        <w:rPr>
          <w:rStyle w:val="TextoNormalCaracter"/>
        </w:rPr>
        <w:t>.</w:t>
      </w:r>
    </w:p>
    <w:p w:rsidR="00DE0EC2" w:rsidRPr="00DE0EC2" w:rsidRDefault="00DE0EC2" w:rsidP="00DE0EC2">
      <w:pPr>
        <w:pStyle w:val="TextoNormalSangraFrancesa"/>
        <w:rPr>
          <w:rStyle w:val="TextoNormalCaracter"/>
        </w:rPr>
      </w:pPr>
      <w:bookmarkStart w:id="883" w:name="DESCRIPTORALFABETICO28"/>
      <w:r w:rsidRPr="00DE0EC2">
        <w:rPr>
          <w:rStyle w:val="TextoNormalNegritaCaracter"/>
        </w:rPr>
        <w:t>Corresponsabilidad fiscal</w:t>
      </w:r>
      <w:bookmarkEnd w:id="883"/>
      <w:r w:rsidRPr="00DE0EC2">
        <w:rPr>
          <w:rStyle w:val="TextoNormalCaracter"/>
        </w:rPr>
        <w:t xml:space="preserve">, Sentencia </w:t>
      </w:r>
      <w:hyperlink w:anchor="SENTENCIA_2021_40" w:history="1">
        <w:r w:rsidRPr="00DE0EC2">
          <w:rPr>
            <w:rStyle w:val="TextoNormalCaracter"/>
          </w:rPr>
          <w:t>40/2021</w:t>
        </w:r>
      </w:hyperlink>
      <w:r w:rsidRPr="00DE0EC2">
        <w:rPr>
          <w:rStyle w:val="TextoNormalCaracter"/>
        </w:rPr>
        <w:t>, f. 5.</w:t>
      </w:r>
    </w:p>
    <w:p w:rsidR="00DE0EC2" w:rsidRPr="00DE0EC2" w:rsidRDefault="00DE0EC2" w:rsidP="00DE0EC2">
      <w:pPr>
        <w:pStyle w:val="TextoNormalSangraFrancesa"/>
        <w:rPr>
          <w:rStyle w:val="TextoNormalCaracter"/>
        </w:rPr>
      </w:pPr>
      <w:bookmarkStart w:id="884" w:name="DESCRIPTORALFABETICO295"/>
      <w:r w:rsidRPr="00DE0EC2">
        <w:rPr>
          <w:rStyle w:val="TextoNormalNegritaCaracter"/>
        </w:rPr>
        <w:t>Crisis derivada de la Covid-19</w:t>
      </w:r>
      <w:bookmarkEnd w:id="884"/>
      <w:r w:rsidRPr="00DE0EC2">
        <w:rPr>
          <w:rStyle w:val="TextoNormalCaracter"/>
        </w:rPr>
        <w:t xml:space="preserve">, Sentencias </w:t>
      </w:r>
      <w:hyperlink w:anchor="SENTENCIA_2021_40" w:history="1">
        <w:r w:rsidRPr="00DE0EC2">
          <w:rPr>
            <w:rStyle w:val="TextoNormalCaracter"/>
          </w:rPr>
          <w:t>40/2021</w:t>
        </w:r>
      </w:hyperlink>
      <w:r w:rsidRPr="00DE0EC2">
        <w:rPr>
          <w:rStyle w:val="TextoNormalCaracter"/>
        </w:rPr>
        <w:t xml:space="preserve">, ff. 3, 4; </w:t>
      </w:r>
      <w:hyperlink w:anchor="SENTENCIA_2021_110" w:history="1">
        <w:r w:rsidRPr="00DE0EC2">
          <w:rPr>
            <w:rStyle w:val="TextoNormalCaracter"/>
          </w:rPr>
          <w:t>110/2021</w:t>
        </w:r>
      </w:hyperlink>
      <w:r w:rsidRPr="00DE0EC2">
        <w:rPr>
          <w:rStyle w:val="TextoNormalCaracter"/>
        </w:rPr>
        <w:t xml:space="preserve">, ff. 4 a 9; </w:t>
      </w:r>
      <w:hyperlink w:anchor="SENTENCIA_2021_111" w:history="1">
        <w:r w:rsidRPr="00DE0EC2">
          <w:rPr>
            <w:rStyle w:val="TextoNormalCaracter"/>
          </w:rPr>
          <w:t>111/2021</w:t>
        </w:r>
      </w:hyperlink>
      <w:r w:rsidRPr="00DE0EC2">
        <w:rPr>
          <w:rStyle w:val="TextoNormalCaracter"/>
        </w:rPr>
        <w:t xml:space="preserve">, f. 5; </w:t>
      </w:r>
      <w:hyperlink w:anchor="SENTENCIA_2021_124" w:history="1">
        <w:r w:rsidRPr="00DE0EC2">
          <w:rPr>
            <w:rStyle w:val="TextoNormalCaracter"/>
          </w:rPr>
          <w:t>124/2021</w:t>
        </w:r>
      </w:hyperlink>
      <w:r w:rsidRPr="00DE0EC2">
        <w:rPr>
          <w:rStyle w:val="TextoNormalCaracter"/>
        </w:rPr>
        <w:t>, ff. 1, 2.</w:t>
      </w:r>
    </w:p>
    <w:p w:rsidR="00DE0EC2" w:rsidRPr="00DE0EC2" w:rsidRDefault="00DE0EC2" w:rsidP="00DE0EC2">
      <w:pPr>
        <w:pStyle w:val="TextoNormalSangraFrancesa"/>
        <w:rPr>
          <w:rStyle w:val="TextoNormalCaracter"/>
        </w:rPr>
      </w:pPr>
      <w:r w:rsidRPr="00DE0EC2">
        <w:rPr>
          <w:rStyle w:val="TextoNormalCaracter"/>
        </w:rPr>
        <w:t xml:space="preserve">    Auto </w:t>
      </w:r>
      <w:hyperlink w:anchor="AUTO_2021_65" w:history="1">
        <w:r w:rsidRPr="00DE0EC2">
          <w:rPr>
            <w:rStyle w:val="TextoNormalCaracter"/>
          </w:rPr>
          <w:t>65/2021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885" w:name="DESCRIPTORALFABETICO431"/>
      <w:r w:rsidRPr="00DE0EC2">
        <w:rPr>
          <w:rStyle w:val="TextoNormalNegritaCaracter"/>
        </w:rPr>
        <w:t>Criterios para la fijación de costas procesales</w:t>
      </w:r>
      <w:bookmarkEnd w:id="885"/>
      <w:r w:rsidRPr="00DE0EC2">
        <w:rPr>
          <w:rStyle w:val="TextoNormalCaracter"/>
        </w:rPr>
        <w:t xml:space="preserve">, Sentencia </w:t>
      </w:r>
      <w:hyperlink w:anchor="SENTENCIA_2021_95" w:history="1">
        <w:r w:rsidRPr="00DE0EC2">
          <w:rPr>
            <w:rStyle w:val="TextoNormalCaracter"/>
          </w:rPr>
          <w:t>95/2021</w:t>
        </w:r>
      </w:hyperlink>
      <w:r w:rsidRPr="00DE0EC2">
        <w:rPr>
          <w:rStyle w:val="TextoNormalCaracter"/>
        </w:rPr>
        <w:t>, f. 3.</w:t>
      </w:r>
    </w:p>
    <w:p w:rsidR="00DE0EC2" w:rsidRPr="00DE0EC2" w:rsidRDefault="00DE0EC2" w:rsidP="00DE0EC2">
      <w:pPr>
        <w:pStyle w:val="TextoNormalSangraFrancesa"/>
        <w:rPr>
          <w:rStyle w:val="TextoNormalCaracter"/>
        </w:rPr>
      </w:pPr>
      <w:bookmarkStart w:id="886" w:name="DESCRIPTORALFABETICO248"/>
      <w:r w:rsidRPr="00DE0EC2">
        <w:rPr>
          <w:rStyle w:val="TextoNormalNegritaCaracter"/>
        </w:rPr>
        <w:t>Cuestión prejudicial ante el TJUE</w:t>
      </w:r>
      <w:bookmarkEnd w:id="886"/>
      <w:r w:rsidRPr="00DE0EC2">
        <w:rPr>
          <w:rStyle w:val="TextoNormalCaracter"/>
        </w:rPr>
        <w:t xml:space="preserve">, Auto </w:t>
      </w:r>
      <w:hyperlink w:anchor="AUTO_2021_5" w:history="1">
        <w:r w:rsidRPr="00DE0EC2">
          <w:rPr>
            <w:rStyle w:val="TextoNormalCaracter"/>
          </w:rPr>
          <w:t>5/2021</w:t>
        </w:r>
      </w:hyperlink>
      <w:r w:rsidRPr="00DE0EC2">
        <w:rPr>
          <w:rStyle w:val="TextoNormalCaracter"/>
        </w:rPr>
        <w:t>, f. único.</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D</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887" w:name="DESCRIPTORALFABETICO226"/>
      <w:r w:rsidRPr="00DE0EC2">
        <w:rPr>
          <w:rStyle w:val="TextoNormalNegritaCaracter"/>
        </w:rPr>
        <w:t>Deber judicial de evitar la indefensión</w:t>
      </w:r>
      <w:bookmarkEnd w:id="887"/>
      <w:r w:rsidRPr="00DE0EC2">
        <w:rPr>
          <w:rStyle w:val="TextoNormalCaracter"/>
        </w:rPr>
        <w:t xml:space="preserve">, Sentencias </w:t>
      </w:r>
      <w:hyperlink w:anchor="SENTENCIA_2021_79" w:history="1">
        <w:r w:rsidRPr="00DE0EC2">
          <w:rPr>
            <w:rStyle w:val="TextoNormalCaracter"/>
          </w:rPr>
          <w:t>79/2021</w:t>
        </w:r>
      </w:hyperlink>
      <w:r w:rsidRPr="00DE0EC2">
        <w:rPr>
          <w:rStyle w:val="TextoNormalCaracter"/>
        </w:rPr>
        <w:t xml:space="preserve">, ff. 3, 4; </w:t>
      </w:r>
      <w:hyperlink w:anchor="SENTENCIA_2021_116" w:history="1">
        <w:r w:rsidRPr="00DE0EC2">
          <w:rPr>
            <w:rStyle w:val="TextoNormalCaracter"/>
          </w:rPr>
          <w:t>116/2021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888" w:name="DESCRIPTORALFABETICO293"/>
      <w:r w:rsidRPr="00DE0EC2">
        <w:rPr>
          <w:rStyle w:val="TextoNormalNegritaCaracter"/>
        </w:rPr>
        <w:t>Declaración de inelegibilidad de candidato</w:t>
      </w:r>
      <w:bookmarkEnd w:id="888"/>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ff. 1 a 4.</w:t>
      </w:r>
    </w:p>
    <w:p w:rsidR="00DE0EC2" w:rsidRPr="00DE0EC2" w:rsidRDefault="00DE0EC2" w:rsidP="00DE0EC2">
      <w:pPr>
        <w:pStyle w:val="TextoNormalSangraFrancesa"/>
        <w:rPr>
          <w:rStyle w:val="TextoNormalCaracter"/>
        </w:rPr>
      </w:pPr>
      <w:bookmarkStart w:id="889" w:name="DESCRIPTORALFABETICO284"/>
      <w:r w:rsidRPr="00DE0EC2">
        <w:rPr>
          <w:rStyle w:val="TextoNormalNegritaCaracter"/>
        </w:rPr>
        <w:t>Dedicación exclusiva</w:t>
      </w:r>
      <w:bookmarkEnd w:id="889"/>
      <w:r w:rsidRPr="00DE0EC2">
        <w:rPr>
          <w:rStyle w:val="TextoNormalCaracter"/>
        </w:rPr>
        <w:t xml:space="preserve">, Sentencia </w:t>
      </w:r>
      <w:hyperlink w:anchor="SENTENCIA_2021_109" w:history="1">
        <w:r w:rsidRPr="00DE0EC2">
          <w:rPr>
            <w:rStyle w:val="TextoNormalCaracter"/>
          </w:rPr>
          <w:t>109/2021</w:t>
        </w:r>
      </w:hyperlink>
      <w:r w:rsidRPr="00DE0EC2">
        <w:rPr>
          <w:rStyle w:val="TextoNormalCaracter"/>
        </w:rPr>
        <w:t>, ff. 4, 5.</w:t>
      </w:r>
    </w:p>
    <w:p w:rsidR="00DE0EC2" w:rsidRPr="00DE0EC2" w:rsidRDefault="00DE0EC2" w:rsidP="00DE0EC2">
      <w:pPr>
        <w:pStyle w:val="TextoNormalSangraFrancesa"/>
        <w:rPr>
          <w:rStyle w:val="TextoNormalCaracter"/>
        </w:rPr>
      </w:pPr>
      <w:bookmarkStart w:id="890" w:name="DESCRIPTORALFABETICO182"/>
      <w:r w:rsidRPr="00DE0EC2">
        <w:rPr>
          <w:rStyle w:val="TextoNormalNegritaCaracter"/>
        </w:rPr>
        <w:t>Delimitación del objeto del recurso de inconstitucionalidad</w:t>
      </w:r>
      <w:bookmarkEnd w:id="890"/>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 2.</w:t>
      </w:r>
    </w:p>
    <w:p w:rsidR="00DE0EC2" w:rsidRPr="00DE0EC2" w:rsidRDefault="00DE0EC2" w:rsidP="00DE0EC2">
      <w:pPr>
        <w:pStyle w:val="TextoNormalSangraFrancesa"/>
        <w:rPr>
          <w:rStyle w:val="TextoNormalCaracter"/>
        </w:rPr>
      </w:pPr>
      <w:bookmarkStart w:id="891" w:name="DESCRIPTORALFABETICO327"/>
      <w:r w:rsidRPr="00DE0EC2">
        <w:rPr>
          <w:rStyle w:val="TextoNormalNegritaCaracter"/>
        </w:rPr>
        <w:t>Delito por imprudencia</w:t>
      </w:r>
      <w:bookmarkEnd w:id="891"/>
      <w:r w:rsidRPr="00DE0EC2">
        <w:rPr>
          <w:rStyle w:val="TextoNormalCaracter"/>
        </w:rPr>
        <w:t xml:space="preserve">, Sentencia </w:t>
      </w:r>
      <w:hyperlink w:anchor="SENTENCIA_2021_18" w:history="1">
        <w:r w:rsidRPr="00DE0EC2">
          <w:rPr>
            <w:rStyle w:val="TextoNormalCaracter"/>
          </w:rPr>
          <w:t>18/2021</w:t>
        </w:r>
      </w:hyperlink>
      <w:r w:rsidRPr="00DE0EC2">
        <w:rPr>
          <w:rStyle w:val="TextoNormalCaracter"/>
        </w:rPr>
        <w:t>, ff. 4, 6, 7.</w:t>
      </w:r>
    </w:p>
    <w:p w:rsidR="00DE0EC2" w:rsidRPr="00DE0EC2" w:rsidRDefault="00DE0EC2" w:rsidP="00DE0EC2">
      <w:pPr>
        <w:pStyle w:val="TextoNormalSangraFrancesa"/>
        <w:rPr>
          <w:rStyle w:val="TextoNormalCaracter"/>
        </w:rPr>
      </w:pPr>
      <w:bookmarkStart w:id="892" w:name="DESCRIPTORALFABETICO328"/>
      <w:r w:rsidRPr="00DE0EC2">
        <w:rPr>
          <w:rStyle w:val="TextoNormalNegritaCaracter"/>
        </w:rPr>
        <w:t>Delitos contra las instituciones del Estado</w:t>
      </w:r>
      <w:bookmarkEnd w:id="892"/>
      <w:r w:rsidRPr="00DE0EC2">
        <w:rPr>
          <w:rStyle w:val="TextoNormalCaracter"/>
        </w:rPr>
        <w:t xml:space="preserve">, Sentencia </w:t>
      </w:r>
      <w:hyperlink w:anchor="SENTENCIA_2021_133" w:history="1">
        <w:r w:rsidRPr="00DE0EC2">
          <w:rPr>
            <w:rStyle w:val="TextoNormalCaracter"/>
          </w:rPr>
          <w:t>133/2021</w:t>
        </w:r>
      </w:hyperlink>
      <w:r w:rsidRPr="00DE0EC2">
        <w:rPr>
          <w:rStyle w:val="TextoNormalCaracter"/>
        </w:rPr>
        <w:t>, ff. 1, 8, VP III.</w:t>
      </w:r>
    </w:p>
    <w:p w:rsidR="00DE0EC2" w:rsidRPr="00DE0EC2" w:rsidRDefault="00DE0EC2" w:rsidP="00DE0EC2">
      <w:pPr>
        <w:pStyle w:val="TextoNormalSangraFrancesa"/>
        <w:rPr>
          <w:rStyle w:val="TextoNormalCaracter"/>
        </w:rPr>
      </w:pPr>
      <w:bookmarkStart w:id="893" w:name="DESCRIPTORALFABETICO329"/>
      <w:r w:rsidRPr="00DE0EC2">
        <w:rPr>
          <w:rStyle w:val="TextoNormalNegritaCaracter"/>
        </w:rPr>
        <w:t>Delitos dolosos</w:t>
      </w:r>
      <w:bookmarkEnd w:id="893"/>
      <w:r w:rsidRPr="00DE0EC2">
        <w:rPr>
          <w:rStyle w:val="TextoNormalCaracter"/>
        </w:rPr>
        <w:t xml:space="preserve">, Sentencia </w:t>
      </w:r>
      <w:hyperlink w:anchor="SENTENCIA_2021_133" w:history="1">
        <w:r w:rsidRPr="00DE0EC2">
          <w:rPr>
            <w:rStyle w:val="TextoNormalCaracter"/>
          </w:rPr>
          <w:t>133/2021</w:t>
        </w:r>
      </w:hyperlink>
      <w:r w:rsidRPr="00DE0EC2">
        <w:rPr>
          <w:rStyle w:val="TextoNormalCaracter"/>
        </w:rPr>
        <w:t>, f. 8, VP I.</w:t>
      </w:r>
    </w:p>
    <w:p w:rsidR="00DE0EC2" w:rsidRPr="00DE0EC2" w:rsidRDefault="00DE0EC2" w:rsidP="00DE0EC2">
      <w:pPr>
        <w:pStyle w:val="TextoNormalSangraFrancesa"/>
        <w:rPr>
          <w:rStyle w:val="TextoNormalCaracter"/>
        </w:rPr>
      </w:pPr>
      <w:bookmarkStart w:id="894" w:name="DESCRIPTORALFABETICO479"/>
      <w:r w:rsidRPr="00DE0EC2">
        <w:rPr>
          <w:rStyle w:val="TextoNormalNegritaCaracter"/>
        </w:rPr>
        <w:t>Demanda por despido</w:t>
      </w:r>
      <w:bookmarkEnd w:id="894"/>
      <w:r w:rsidRPr="00DE0EC2">
        <w:rPr>
          <w:rStyle w:val="TextoNormalCaracter"/>
        </w:rPr>
        <w:t xml:space="preserve">, Sentencia </w:t>
      </w:r>
      <w:hyperlink w:anchor="SENTENCIA_2021_120" w:history="1">
        <w:r w:rsidRPr="00DE0EC2">
          <w:rPr>
            <w:rStyle w:val="TextoNormalCaracter"/>
          </w:rPr>
          <w:t>120/2021</w:t>
        </w:r>
      </w:hyperlink>
      <w:r w:rsidRPr="00DE0EC2">
        <w:rPr>
          <w:rStyle w:val="TextoNormalCaracter"/>
        </w:rPr>
        <w:t>, f. 4.</w:t>
      </w:r>
    </w:p>
    <w:p w:rsidR="00DE0EC2" w:rsidRPr="00DE0EC2" w:rsidRDefault="00DE0EC2" w:rsidP="00DE0EC2">
      <w:pPr>
        <w:pStyle w:val="TextoNormalSangraFrancesa"/>
        <w:rPr>
          <w:rStyle w:val="TextoNormalCaracter"/>
        </w:rPr>
      </w:pPr>
      <w:bookmarkStart w:id="895" w:name="DESCRIPTORALFABETICO312"/>
      <w:r w:rsidRPr="00DE0EC2">
        <w:rPr>
          <w:rStyle w:val="TextoNormalNegritaCaracter"/>
        </w:rPr>
        <w:t>Denegación de entrada en territorio nacional</w:t>
      </w:r>
      <w:bookmarkEnd w:id="895"/>
      <w:r w:rsidRPr="00DE0EC2">
        <w:rPr>
          <w:rStyle w:val="TextoNormalCaracter"/>
        </w:rPr>
        <w:t xml:space="preserve">, Auto </w:t>
      </w:r>
      <w:hyperlink w:anchor="AUTO_2021_55" w:history="1">
        <w:r w:rsidRPr="00DE0EC2">
          <w:rPr>
            <w:rStyle w:val="TextoNormalCaracter"/>
          </w:rPr>
          <w:t>55/2021</w:t>
        </w:r>
      </w:hyperlink>
      <w:r w:rsidRPr="00DE0EC2">
        <w:rPr>
          <w:rStyle w:val="TextoNormalCaracter"/>
        </w:rPr>
        <w:t>.</w:t>
      </w:r>
    </w:p>
    <w:p w:rsidR="00DE0EC2" w:rsidRPr="00DE0EC2" w:rsidRDefault="00DE0EC2" w:rsidP="00DE0EC2">
      <w:pPr>
        <w:pStyle w:val="TextoNormalSangraFrancesa"/>
        <w:rPr>
          <w:rStyle w:val="TextoNormalCaracter"/>
        </w:rPr>
      </w:pPr>
      <w:bookmarkStart w:id="896" w:name="DESCRIPTORALFABETICO377"/>
      <w:r w:rsidRPr="00DE0EC2">
        <w:rPr>
          <w:rStyle w:val="TextoNormalNegritaCaracter"/>
        </w:rPr>
        <w:t>Denegación de la suspensión de la ejecución de la pena</w:t>
      </w:r>
      <w:bookmarkEnd w:id="896"/>
      <w:r w:rsidRPr="00DE0EC2">
        <w:rPr>
          <w:rStyle w:val="TextoNormalCaracter"/>
        </w:rPr>
        <w:t xml:space="preserve">, Autos </w:t>
      </w:r>
      <w:hyperlink w:anchor="AUTO_2021_29" w:history="1">
        <w:r w:rsidRPr="00DE0EC2">
          <w:rPr>
            <w:rStyle w:val="TextoNormalCaracter"/>
          </w:rPr>
          <w:t>29/2021</w:t>
        </w:r>
      </w:hyperlink>
      <w:r w:rsidRPr="00DE0EC2">
        <w:rPr>
          <w:rStyle w:val="TextoNormalCaracter"/>
        </w:rPr>
        <w:t xml:space="preserve">; </w:t>
      </w:r>
      <w:hyperlink w:anchor="AUTO_2021_30" w:history="1">
        <w:r w:rsidRPr="00DE0EC2">
          <w:rPr>
            <w:rStyle w:val="TextoNormalCaracter"/>
          </w:rPr>
          <w:t>30/2021</w:t>
        </w:r>
      </w:hyperlink>
      <w:r w:rsidRPr="00DE0EC2">
        <w:rPr>
          <w:rStyle w:val="TextoNormalCaracter"/>
        </w:rPr>
        <w:t xml:space="preserve">; </w:t>
      </w:r>
      <w:hyperlink w:anchor="AUTO_2021_31" w:history="1">
        <w:r w:rsidRPr="00DE0EC2">
          <w:rPr>
            <w:rStyle w:val="TextoNormalCaracter"/>
          </w:rPr>
          <w:t>31/2021</w:t>
        </w:r>
      </w:hyperlink>
      <w:r w:rsidRPr="00DE0EC2">
        <w:rPr>
          <w:rStyle w:val="TextoNormalCaracter"/>
        </w:rPr>
        <w:t xml:space="preserve">; </w:t>
      </w:r>
      <w:hyperlink w:anchor="AUTO_2021_32" w:history="1">
        <w:r w:rsidRPr="00DE0EC2">
          <w:rPr>
            <w:rStyle w:val="TextoNormalCaracter"/>
          </w:rPr>
          <w:t>32/2021</w:t>
        </w:r>
      </w:hyperlink>
      <w:r w:rsidRPr="00DE0EC2">
        <w:rPr>
          <w:rStyle w:val="TextoNormalCaracter"/>
        </w:rPr>
        <w:t>.</w:t>
      </w:r>
    </w:p>
    <w:p w:rsidR="00DE0EC2" w:rsidRPr="00DE0EC2" w:rsidRDefault="00DE0EC2" w:rsidP="00DE0EC2">
      <w:pPr>
        <w:pStyle w:val="TextoNormalSangraFrancesa"/>
        <w:rPr>
          <w:rStyle w:val="TextoNormalCaracter"/>
        </w:rPr>
      </w:pPr>
      <w:bookmarkStart w:id="897" w:name="DESCRIPTORALFABETICO398"/>
      <w:r w:rsidRPr="00DE0EC2">
        <w:rPr>
          <w:rStyle w:val="TextoNormalNegritaCaracter"/>
        </w:rPr>
        <w:t>Denegación de permisos penitenciarios</w:t>
      </w:r>
      <w:bookmarkEnd w:id="897"/>
      <w:r w:rsidRPr="00DE0EC2">
        <w:rPr>
          <w:rStyle w:val="TextoNormalCaracter"/>
        </w:rPr>
        <w:t xml:space="preserve">, Auto </w:t>
      </w:r>
      <w:hyperlink w:anchor="AUTO_2021_56" w:history="1">
        <w:r w:rsidRPr="00DE0EC2">
          <w:rPr>
            <w:rStyle w:val="TextoNormalCaracter"/>
          </w:rPr>
          <w:t>56/2021</w:t>
        </w:r>
      </w:hyperlink>
      <w:r w:rsidRPr="00DE0EC2">
        <w:rPr>
          <w:rStyle w:val="TextoNormalCaracter"/>
        </w:rPr>
        <w:t>.</w:t>
      </w:r>
    </w:p>
    <w:p w:rsidR="00DE0EC2" w:rsidRPr="00DE0EC2" w:rsidRDefault="00DE0EC2" w:rsidP="00DE0EC2">
      <w:pPr>
        <w:pStyle w:val="TextoNormalSangraFrancesa"/>
        <w:rPr>
          <w:rStyle w:val="TextoNormalCaracter"/>
        </w:rPr>
      </w:pPr>
      <w:bookmarkStart w:id="898" w:name="DESCRIPTORALFABETICO191"/>
      <w:r w:rsidRPr="00DE0EC2">
        <w:rPr>
          <w:rStyle w:val="TextoNormalNegritaCaracter"/>
        </w:rPr>
        <w:t>Denegación de prueba en el recurso de amparo</w:t>
      </w:r>
      <w:bookmarkEnd w:id="898"/>
      <w:r w:rsidRPr="00DE0EC2">
        <w:rPr>
          <w:rStyle w:val="TextoNormalCaracter"/>
        </w:rPr>
        <w:t xml:space="preserve">, Sentencia </w:t>
      </w:r>
      <w:hyperlink w:anchor="SENTENCIA_2021_69" w:history="1">
        <w:r w:rsidRPr="00DE0EC2">
          <w:rPr>
            <w:rStyle w:val="TextoNormalCaracter"/>
          </w:rPr>
          <w:t>69/2021</w:t>
        </w:r>
      </w:hyperlink>
      <w:r w:rsidRPr="00DE0EC2">
        <w:rPr>
          <w:rStyle w:val="TextoNormalCaracter"/>
        </w:rPr>
        <w:t>, f. 2.</w:t>
      </w:r>
    </w:p>
    <w:p w:rsidR="00DE0EC2" w:rsidRPr="00DE0EC2" w:rsidRDefault="00DE0EC2" w:rsidP="00DE0EC2">
      <w:pPr>
        <w:pStyle w:val="TextoNormalSangraFrancesa"/>
        <w:rPr>
          <w:rStyle w:val="TextoNormalCaracter"/>
        </w:rPr>
      </w:pPr>
      <w:bookmarkStart w:id="899" w:name="DESCRIPTORALFABETICO148"/>
      <w:r w:rsidRPr="00DE0EC2">
        <w:rPr>
          <w:rStyle w:val="TextoNormalNegritaCaracter"/>
        </w:rPr>
        <w:t>Denegación de suspensión de resoluciones judiciales</w:t>
      </w:r>
      <w:bookmarkEnd w:id="899"/>
      <w:r w:rsidRPr="00DE0EC2">
        <w:rPr>
          <w:rStyle w:val="TextoNormalCaracter"/>
        </w:rPr>
        <w:t xml:space="preserve">, Autos </w:t>
      </w:r>
      <w:hyperlink w:anchor="AUTO_2021_1" w:history="1">
        <w:r w:rsidRPr="00DE0EC2">
          <w:rPr>
            <w:rStyle w:val="TextoNormalCaracter"/>
          </w:rPr>
          <w:t>1/2021</w:t>
        </w:r>
      </w:hyperlink>
      <w:r w:rsidRPr="00DE0EC2">
        <w:rPr>
          <w:rStyle w:val="TextoNormalCaracter"/>
        </w:rPr>
        <w:t xml:space="preserve">, ff. 2, 4; </w:t>
      </w:r>
      <w:hyperlink w:anchor="AUTO_2021_2" w:history="1">
        <w:r w:rsidRPr="00DE0EC2">
          <w:rPr>
            <w:rStyle w:val="TextoNormalCaracter"/>
          </w:rPr>
          <w:t>2/2021</w:t>
        </w:r>
      </w:hyperlink>
      <w:r w:rsidRPr="00DE0EC2">
        <w:rPr>
          <w:rStyle w:val="TextoNormalCaracter"/>
        </w:rPr>
        <w:t xml:space="preserve">, ff. 2, 4; </w:t>
      </w:r>
      <w:hyperlink w:anchor="AUTO_2021_3" w:history="1">
        <w:r w:rsidRPr="00DE0EC2">
          <w:rPr>
            <w:rStyle w:val="TextoNormalCaracter"/>
          </w:rPr>
          <w:t>3/2021</w:t>
        </w:r>
      </w:hyperlink>
      <w:r w:rsidRPr="00DE0EC2">
        <w:rPr>
          <w:rStyle w:val="TextoNormalCaracter"/>
        </w:rPr>
        <w:t xml:space="preserve">, ff. 2, 4; </w:t>
      </w:r>
      <w:hyperlink w:anchor="AUTO_2021_10" w:history="1">
        <w:r w:rsidRPr="00DE0EC2">
          <w:rPr>
            <w:rStyle w:val="TextoNormalCaracter"/>
          </w:rPr>
          <w:t>10/2021</w:t>
        </w:r>
      </w:hyperlink>
      <w:r w:rsidRPr="00DE0EC2">
        <w:rPr>
          <w:rStyle w:val="TextoNormalCaracter"/>
        </w:rPr>
        <w:t xml:space="preserve">, ff. 2 a 6; </w:t>
      </w:r>
      <w:hyperlink w:anchor="AUTO_2021_11" w:history="1">
        <w:r w:rsidRPr="00DE0EC2">
          <w:rPr>
            <w:rStyle w:val="TextoNormalCaracter"/>
          </w:rPr>
          <w:t>11/2021</w:t>
        </w:r>
      </w:hyperlink>
      <w:r w:rsidRPr="00DE0EC2">
        <w:rPr>
          <w:rStyle w:val="TextoNormalCaracter"/>
        </w:rPr>
        <w:t xml:space="preserve">, ff. 2, 4; </w:t>
      </w:r>
      <w:hyperlink w:anchor="AUTO_2021_12" w:history="1">
        <w:r w:rsidRPr="00DE0EC2">
          <w:rPr>
            <w:rStyle w:val="TextoNormalCaracter"/>
          </w:rPr>
          <w:t>12/2021</w:t>
        </w:r>
      </w:hyperlink>
      <w:r w:rsidRPr="00DE0EC2">
        <w:rPr>
          <w:rStyle w:val="TextoNormalCaracter"/>
        </w:rPr>
        <w:t xml:space="preserve">, ff. 2, 4; </w:t>
      </w:r>
      <w:hyperlink w:anchor="AUTO_2021_14" w:history="1">
        <w:r w:rsidRPr="00DE0EC2">
          <w:rPr>
            <w:rStyle w:val="TextoNormalCaracter"/>
          </w:rPr>
          <w:t>14/2021</w:t>
        </w:r>
      </w:hyperlink>
      <w:r w:rsidRPr="00DE0EC2">
        <w:rPr>
          <w:rStyle w:val="TextoNormalCaracter"/>
        </w:rPr>
        <w:t xml:space="preserve">, f. 2; </w:t>
      </w:r>
      <w:hyperlink w:anchor="AUTO_2021_28" w:history="1">
        <w:r w:rsidRPr="00DE0EC2">
          <w:rPr>
            <w:rStyle w:val="TextoNormalCaracter"/>
          </w:rPr>
          <w:t>28/2021</w:t>
        </w:r>
      </w:hyperlink>
      <w:r w:rsidRPr="00DE0EC2">
        <w:rPr>
          <w:rStyle w:val="TextoNormalCaracter"/>
        </w:rPr>
        <w:t xml:space="preserve">; </w:t>
      </w:r>
      <w:hyperlink w:anchor="AUTO_2021_29" w:history="1">
        <w:r w:rsidRPr="00DE0EC2">
          <w:rPr>
            <w:rStyle w:val="TextoNormalCaracter"/>
          </w:rPr>
          <w:t>29/2021</w:t>
        </w:r>
      </w:hyperlink>
      <w:r w:rsidRPr="00DE0EC2">
        <w:rPr>
          <w:rStyle w:val="TextoNormalCaracter"/>
        </w:rPr>
        <w:t xml:space="preserve">; </w:t>
      </w:r>
      <w:hyperlink w:anchor="AUTO_2021_30" w:history="1">
        <w:r w:rsidRPr="00DE0EC2">
          <w:rPr>
            <w:rStyle w:val="TextoNormalCaracter"/>
          </w:rPr>
          <w:t>30/2021</w:t>
        </w:r>
      </w:hyperlink>
      <w:r w:rsidRPr="00DE0EC2">
        <w:rPr>
          <w:rStyle w:val="TextoNormalCaracter"/>
        </w:rPr>
        <w:t xml:space="preserve">; </w:t>
      </w:r>
      <w:hyperlink w:anchor="AUTO_2021_31" w:history="1">
        <w:r w:rsidRPr="00DE0EC2">
          <w:rPr>
            <w:rStyle w:val="TextoNormalCaracter"/>
          </w:rPr>
          <w:t>31/2021</w:t>
        </w:r>
      </w:hyperlink>
      <w:r w:rsidRPr="00DE0EC2">
        <w:rPr>
          <w:rStyle w:val="TextoNormalCaracter"/>
        </w:rPr>
        <w:t xml:space="preserve">; </w:t>
      </w:r>
      <w:hyperlink w:anchor="AUTO_2021_32" w:history="1">
        <w:r w:rsidRPr="00DE0EC2">
          <w:rPr>
            <w:rStyle w:val="TextoNormalCaracter"/>
          </w:rPr>
          <w:t>32/2021</w:t>
        </w:r>
      </w:hyperlink>
      <w:r w:rsidRPr="00DE0EC2">
        <w:rPr>
          <w:rStyle w:val="TextoNormalCaracter"/>
        </w:rPr>
        <w:t xml:space="preserve">; </w:t>
      </w:r>
      <w:hyperlink w:anchor="AUTO_2021_39" w:history="1">
        <w:r w:rsidRPr="00DE0EC2">
          <w:rPr>
            <w:rStyle w:val="TextoNormalCaracter"/>
          </w:rPr>
          <w:t>39/2021</w:t>
        </w:r>
      </w:hyperlink>
      <w:r w:rsidRPr="00DE0EC2">
        <w:rPr>
          <w:rStyle w:val="TextoNormalCaracter"/>
        </w:rPr>
        <w:t xml:space="preserve">; </w:t>
      </w:r>
      <w:hyperlink w:anchor="AUTO_2021_56" w:history="1">
        <w:r w:rsidRPr="00DE0EC2">
          <w:rPr>
            <w:rStyle w:val="TextoNormalCaracter"/>
          </w:rPr>
          <w:t>56/2021</w:t>
        </w:r>
      </w:hyperlink>
      <w:r w:rsidRPr="00DE0EC2">
        <w:rPr>
          <w:rStyle w:val="TextoNormalCaracter"/>
        </w:rPr>
        <w:t>.</w:t>
      </w:r>
    </w:p>
    <w:p w:rsidR="00DE0EC2" w:rsidRPr="00DE0EC2" w:rsidRDefault="00DE0EC2" w:rsidP="00DE0EC2">
      <w:pPr>
        <w:pStyle w:val="TextoNormalSangraFrancesa"/>
        <w:rPr>
          <w:rStyle w:val="TextoNormalCaracter"/>
        </w:rPr>
      </w:pPr>
      <w:bookmarkStart w:id="900" w:name="DESCRIPTORALFABETICO44"/>
      <w:r w:rsidRPr="00DE0EC2">
        <w:rPr>
          <w:rStyle w:val="TextoNormalNegritaCaracter"/>
        </w:rPr>
        <w:t>Derecho a acceder a los cargos públicos</w:t>
      </w:r>
      <w:bookmarkEnd w:id="900"/>
      <w:r w:rsidRPr="00DE0EC2">
        <w:rPr>
          <w:rStyle w:val="TextoNormalCaracter"/>
        </w:rPr>
        <w:t xml:space="preserve">, Sentencia </w:t>
      </w:r>
      <w:hyperlink w:anchor="SENTENCIA_2021_134" w:history="1">
        <w:r w:rsidRPr="00DE0EC2">
          <w:rPr>
            <w:rStyle w:val="TextoNormalCaracter"/>
          </w:rPr>
          <w:t>134/2021</w:t>
        </w:r>
      </w:hyperlink>
      <w:r w:rsidRPr="00DE0EC2">
        <w:rPr>
          <w:rStyle w:val="TextoNormalCaracter"/>
        </w:rPr>
        <w:t>, f. 6.</w:t>
      </w:r>
    </w:p>
    <w:p w:rsidR="00DE0EC2" w:rsidRPr="00DE0EC2" w:rsidRDefault="00DE0EC2" w:rsidP="00DE0EC2">
      <w:pPr>
        <w:pStyle w:val="TextoNormalSangraFrancesa"/>
        <w:rPr>
          <w:rStyle w:val="TextoNormalCaracter"/>
        </w:rPr>
      </w:pPr>
      <w:bookmarkStart w:id="901" w:name="DESCRIPTORALFABETICO46"/>
      <w:r w:rsidRPr="00DE0EC2">
        <w:rPr>
          <w:rStyle w:val="TextoNormalNegritaCaracter"/>
        </w:rPr>
        <w:t>Derecho a ejercer los cargos públicos</w:t>
      </w:r>
      <w:bookmarkEnd w:id="901"/>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66" w:history="1">
        <w:r w:rsidRPr="00DE0EC2">
          <w:rPr>
            <w:rStyle w:val="TextoNormalCaracter"/>
          </w:rPr>
          <w:t>66/2021</w:t>
        </w:r>
      </w:hyperlink>
      <w:r w:rsidRPr="00DE0EC2">
        <w:rPr>
          <w:rStyle w:val="TextoNormalCaracter"/>
        </w:rPr>
        <w:t xml:space="preserve">, ff. 3, 4; </w:t>
      </w:r>
      <w:hyperlink w:anchor="SENTENCIA_2021_69" w:history="1">
        <w:r w:rsidRPr="00DE0EC2">
          <w:rPr>
            <w:rStyle w:val="TextoNormalCaracter"/>
          </w:rPr>
          <w:t>69/2021</w:t>
        </w:r>
      </w:hyperlink>
      <w:r w:rsidRPr="00DE0EC2">
        <w:rPr>
          <w:rStyle w:val="TextoNormalCaracter"/>
        </w:rPr>
        <w:t xml:space="preserve">, ff. 1 a 5; </w:t>
      </w:r>
      <w:hyperlink w:anchor="SENTENCIA_2021_70" w:history="1">
        <w:r w:rsidRPr="00DE0EC2">
          <w:rPr>
            <w:rStyle w:val="TextoNormalCaracter"/>
          </w:rPr>
          <w:t>70/2021</w:t>
        </w:r>
      </w:hyperlink>
      <w:r w:rsidRPr="00DE0EC2">
        <w:rPr>
          <w:rStyle w:val="TextoNormalCaracter"/>
        </w:rPr>
        <w:t xml:space="preserve">, ff. 3, 6; </w:t>
      </w:r>
      <w:hyperlink w:anchor="SENTENCIA_2021_71" w:history="1">
        <w:r w:rsidRPr="00DE0EC2">
          <w:rPr>
            <w:rStyle w:val="TextoNormalCaracter"/>
          </w:rPr>
          <w:t>71/2021</w:t>
        </w:r>
      </w:hyperlink>
      <w:r w:rsidRPr="00DE0EC2">
        <w:rPr>
          <w:rStyle w:val="TextoNormalCaracter"/>
        </w:rPr>
        <w:t xml:space="preserve">, f. 6; </w:t>
      </w:r>
      <w:hyperlink w:anchor="SENTENCIA_2021_90" w:history="1">
        <w:r w:rsidRPr="00DE0EC2">
          <w:rPr>
            <w:rStyle w:val="TextoNormalCaracter"/>
          </w:rPr>
          <w:t>90/2021</w:t>
        </w:r>
      </w:hyperlink>
      <w:r w:rsidRPr="00DE0EC2">
        <w:rPr>
          <w:rStyle w:val="TextoNormalCaracter"/>
        </w:rPr>
        <w:t xml:space="preserve">, f. 4; </w:t>
      </w:r>
      <w:hyperlink w:anchor="SENTENCIA_2021_105" w:history="1">
        <w:r w:rsidRPr="00DE0EC2">
          <w:rPr>
            <w:rStyle w:val="TextoNormalCaracter"/>
          </w:rPr>
          <w:t>105/2021</w:t>
        </w:r>
      </w:hyperlink>
      <w:r w:rsidRPr="00DE0EC2">
        <w:rPr>
          <w:rStyle w:val="TextoNormalCaracter"/>
        </w:rPr>
        <w:t xml:space="preserve">, f. 4; </w:t>
      </w:r>
      <w:hyperlink w:anchor="SENTENCIA_2021_134" w:history="1">
        <w:r w:rsidRPr="00DE0EC2">
          <w:rPr>
            <w:rStyle w:val="TextoNormalCaracter"/>
          </w:rPr>
          <w:t>134/2021</w:t>
        </w:r>
      </w:hyperlink>
      <w:r w:rsidRPr="00DE0EC2">
        <w:rPr>
          <w:rStyle w:val="TextoNormalCaracter"/>
        </w:rPr>
        <w:t xml:space="preserve">, f. 6; </w:t>
      </w:r>
      <w:hyperlink w:anchor="SENTENCIA_2021_137" w:history="1">
        <w:r w:rsidRPr="00DE0EC2">
          <w:rPr>
            <w:rStyle w:val="TextoNormalCaracter"/>
          </w:rPr>
          <w:t>137/2021</w:t>
        </w:r>
      </w:hyperlink>
      <w:r w:rsidRPr="00DE0EC2">
        <w:rPr>
          <w:rStyle w:val="TextoNormalCaracter"/>
        </w:rPr>
        <w:t>, ff. 3, 4.</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 </w:t>
      </w:r>
      <w:hyperlink w:anchor="SENTENCIA_2021_53" w:history="1">
        <w:r w:rsidRPr="00DE0EC2">
          <w:rPr>
            <w:rStyle w:val="TextoNormalCaracter"/>
          </w:rPr>
          <w:t>53/2021</w:t>
        </w:r>
      </w:hyperlink>
      <w:r w:rsidRPr="00DE0EC2">
        <w:rPr>
          <w:rStyle w:val="TextoNormalCaracter"/>
        </w:rPr>
        <w:t>, ff. 3, 5, 6.</w:t>
      </w:r>
    </w:p>
    <w:p w:rsidR="00DE0EC2" w:rsidRPr="00DE0EC2" w:rsidRDefault="00DE0EC2" w:rsidP="00DE0EC2">
      <w:pPr>
        <w:pStyle w:val="TextoNormalSangraFrancesa"/>
        <w:rPr>
          <w:rStyle w:val="TextoNormalCaracter"/>
        </w:rPr>
      </w:pPr>
      <w:bookmarkStart w:id="902" w:name="DESCRIPTORALFABETICO107"/>
      <w:r w:rsidRPr="00DE0EC2">
        <w:rPr>
          <w:rStyle w:val="TextoNormalNegritaCaracter"/>
        </w:rPr>
        <w:t>Derecho a la asistencia letrada</w:t>
      </w:r>
      <w:bookmarkEnd w:id="902"/>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 </w:t>
      </w:r>
      <w:hyperlink w:anchor="SENTENCIA_2021_29" w:history="1">
        <w:r w:rsidRPr="00DE0EC2">
          <w:rPr>
            <w:rStyle w:val="TextoNormalCaracter"/>
          </w:rPr>
          <w:t>29/2021</w:t>
        </w:r>
      </w:hyperlink>
      <w:r w:rsidRPr="00DE0EC2">
        <w:rPr>
          <w:rStyle w:val="TextoNormalCaracter"/>
        </w:rPr>
        <w:t>, ff. 4, 5.</w:t>
      </w:r>
    </w:p>
    <w:p w:rsidR="00DE0EC2" w:rsidRPr="00DE0EC2" w:rsidRDefault="00DE0EC2" w:rsidP="00DE0EC2">
      <w:pPr>
        <w:pStyle w:val="TextoNormalSangraFrancesa"/>
        <w:rPr>
          <w:rStyle w:val="TextoNormalCaracter"/>
        </w:rPr>
      </w:pPr>
      <w:bookmarkStart w:id="903" w:name="DESCRIPTORALFABETICO106"/>
      <w:r w:rsidRPr="00DE0EC2">
        <w:rPr>
          <w:rStyle w:val="TextoNormalNegritaCaracter"/>
        </w:rPr>
        <w:t>Derecho a la defensa</w:t>
      </w:r>
      <w:bookmarkEnd w:id="903"/>
      <w:r w:rsidRPr="00DE0EC2">
        <w:rPr>
          <w:rStyle w:val="TextoNormalCaracter"/>
        </w:rPr>
        <w:t xml:space="preserve">, Sentencias </w:t>
      </w:r>
      <w:hyperlink w:anchor="SENTENCIA_2021_80" w:history="1">
        <w:r w:rsidRPr="00DE0EC2">
          <w:rPr>
            <w:rStyle w:val="TextoNormalCaracter"/>
          </w:rPr>
          <w:t>80/2021</w:t>
        </w:r>
      </w:hyperlink>
      <w:r w:rsidRPr="00DE0EC2">
        <w:rPr>
          <w:rStyle w:val="TextoNormalCaracter"/>
        </w:rPr>
        <w:t xml:space="preserve">, f. 4; </w:t>
      </w:r>
      <w:hyperlink w:anchor="SENTENCIA_2021_122" w:history="1">
        <w:r w:rsidRPr="00DE0EC2">
          <w:rPr>
            <w:rStyle w:val="TextoNormalCaracter"/>
          </w:rPr>
          <w:t>122/2021</w:t>
        </w:r>
      </w:hyperlink>
      <w:r w:rsidRPr="00DE0EC2">
        <w:rPr>
          <w:rStyle w:val="TextoNormalCaracter"/>
        </w:rPr>
        <w:t>, f. 6.</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5" w:history="1">
        <w:r w:rsidRPr="00DE0EC2">
          <w:rPr>
            <w:rStyle w:val="TextoNormalCaracter"/>
          </w:rPr>
          <w:t>5/2021</w:t>
        </w:r>
      </w:hyperlink>
      <w:r w:rsidRPr="00DE0EC2">
        <w:rPr>
          <w:rStyle w:val="TextoNormalCaracter"/>
        </w:rPr>
        <w:t xml:space="preserve">, f. 3; </w:t>
      </w:r>
      <w:hyperlink w:anchor="SENTENCIA_2021_91" w:history="1">
        <w:r w:rsidRPr="00DE0EC2">
          <w:rPr>
            <w:rStyle w:val="TextoNormalCaracter"/>
          </w:rPr>
          <w:t>91/2021</w:t>
        </w:r>
      </w:hyperlink>
      <w:r w:rsidRPr="00DE0EC2">
        <w:rPr>
          <w:rStyle w:val="TextoNormalCaracter"/>
        </w:rPr>
        <w:t xml:space="preserve">, f. 4; </w:t>
      </w:r>
      <w:hyperlink w:anchor="SENTENCIA_2021_106" w:history="1">
        <w:r w:rsidRPr="00DE0EC2">
          <w:rPr>
            <w:rStyle w:val="TextoNormalCaracter"/>
          </w:rPr>
          <w:t>106/2021</w:t>
        </w:r>
      </w:hyperlink>
      <w:r w:rsidRPr="00DE0EC2">
        <w:rPr>
          <w:rStyle w:val="TextoNormalCaracter"/>
        </w:rPr>
        <w:t xml:space="preserve">, f. 4; </w:t>
      </w:r>
      <w:hyperlink w:anchor="SENTENCIA_2021_121" w:history="1">
        <w:r w:rsidRPr="00DE0EC2">
          <w:rPr>
            <w:rStyle w:val="TextoNormalCaracter"/>
          </w:rPr>
          <w:t>121/2021</w:t>
        </w:r>
      </w:hyperlink>
      <w:r w:rsidRPr="00DE0EC2">
        <w:rPr>
          <w:rStyle w:val="TextoNormalCaracter"/>
        </w:rPr>
        <w:t xml:space="preserve">, f. 5; </w:t>
      </w:r>
      <w:hyperlink w:anchor="SENTENCIA_2021_133" w:history="1">
        <w:r w:rsidRPr="00DE0EC2">
          <w:rPr>
            <w:rStyle w:val="TextoNormalCaracter"/>
          </w:rPr>
          <w:t>133/2021</w:t>
        </w:r>
      </w:hyperlink>
      <w:r w:rsidRPr="00DE0EC2">
        <w:rPr>
          <w:rStyle w:val="TextoNormalCaracter"/>
        </w:rPr>
        <w:t>, f. 6.</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21" w:history="1">
        <w:r w:rsidRPr="00DE0EC2">
          <w:rPr>
            <w:rStyle w:val="TextoNormalCaracter"/>
          </w:rPr>
          <w:t>21/2021</w:t>
        </w:r>
      </w:hyperlink>
      <w:r w:rsidRPr="00DE0EC2">
        <w:rPr>
          <w:rStyle w:val="TextoNormalCaracter"/>
        </w:rPr>
        <w:t xml:space="preserve">, ff. 4, 8; </w:t>
      </w:r>
      <w:hyperlink w:anchor="SENTENCIA_2021_35" w:history="1">
        <w:r w:rsidRPr="00DE0EC2">
          <w:rPr>
            <w:rStyle w:val="TextoNormalCaracter"/>
          </w:rPr>
          <w:t>35/2021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904" w:name="DESCRIPTORALFABETICO48"/>
      <w:r w:rsidRPr="00DE0EC2">
        <w:rPr>
          <w:rStyle w:val="TextoNormalNegritaCaracter"/>
        </w:rPr>
        <w:t>Derecho a la educación</w:t>
      </w:r>
      <w:bookmarkEnd w:id="904"/>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81" w:history="1">
        <w:r w:rsidRPr="00DE0EC2">
          <w:rPr>
            <w:rStyle w:val="TextoNormalCaracter"/>
          </w:rPr>
          <w:t>81/2021</w:t>
        </w:r>
      </w:hyperlink>
      <w:r w:rsidRPr="00DE0EC2">
        <w:rPr>
          <w:rStyle w:val="TextoNormalCaracter"/>
        </w:rPr>
        <w:t>, ff. 2 a 4.</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2" w:history="1">
        <w:r w:rsidRPr="00DE0EC2">
          <w:rPr>
            <w:rStyle w:val="TextoNormalCaracter"/>
          </w:rPr>
          <w:t>2/2021</w:t>
        </w:r>
      </w:hyperlink>
      <w:r w:rsidRPr="00DE0EC2">
        <w:rPr>
          <w:rStyle w:val="TextoNormalCaracter"/>
        </w:rPr>
        <w:t xml:space="preserve">, ff. 3, 4; </w:t>
      </w:r>
      <w:hyperlink w:anchor="SENTENCIA_2021_6" w:history="1">
        <w:r w:rsidRPr="00DE0EC2">
          <w:rPr>
            <w:rStyle w:val="TextoNormalCaracter"/>
          </w:rPr>
          <w:t>6/2021</w:t>
        </w:r>
      </w:hyperlink>
      <w:r w:rsidRPr="00DE0EC2">
        <w:rPr>
          <w:rStyle w:val="TextoNormalCaracter"/>
        </w:rPr>
        <w:t xml:space="preserve">, ff. 2 a 4; </w:t>
      </w:r>
      <w:hyperlink w:anchor="SENTENCIA_2021_19" w:history="1">
        <w:r w:rsidRPr="00DE0EC2">
          <w:rPr>
            <w:rStyle w:val="TextoNormalCaracter"/>
          </w:rPr>
          <w:t>19/2021</w:t>
        </w:r>
      </w:hyperlink>
      <w:r w:rsidRPr="00DE0EC2">
        <w:rPr>
          <w:rStyle w:val="TextoNormalCaracter"/>
        </w:rPr>
        <w:t xml:space="preserve">, ff. 2 a 4; </w:t>
      </w:r>
      <w:hyperlink w:anchor="SENTENCIA_2021_42" w:history="1">
        <w:r w:rsidRPr="00DE0EC2">
          <w:rPr>
            <w:rStyle w:val="TextoNormalCaracter"/>
          </w:rPr>
          <w:t>42/2021</w:t>
        </w:r>
      </w:hyperlink>
      <w:r w:rsidRPr="00DE0EC2">
        <w:rPr>
          <w:rStyle w:val="TextoNormalCaracter"/>
        </w:rPr>
        <w:t>, f. 2.</w:t>
      </w:r>
    </w:p>
    <w:p w:rsidR="00DE0EC2" w:rsidRPr="00DE0EC2" w:rsidRDefault="00DE0EC2" w:rsidP="00DE0EC2">
      <w:pPr>
        <w:pStyle w:val="TextoNormalSangraFrancesa"/>
        <w:rPr>
          <w:rStyle w:val="TextoNormalCaracter"/>
        </w:rPr>
      </w:pPr>
      <w:bookmarkStart w:id="905" w:name="DESCRIPTORALFABETICO49"/>
      <w:r w:rsidRPr="00DE0EC2">
        <w:rPr>
          <w:rStyle w:val="TextoNormalNegritaCaracter"/>
        </w:rPr>
        <w:t>Derecho a la huelga</w:t>
      </w:r>
      <w:bookmarkEnd w:id="905"/>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130" w:history="1">
        <w:r w:rsidRPr="00DE0EC2">
          <w:rPr>
            <w:rStyle w:val="TextoNormalCaracter"/>
          </w:rPr>
          <w:t>130/2021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06" w:name="DESCRIPTORALFABETICO55"/>
      <w:r w:rsidRPr="00DE0EC2">
        <w:rPr>
          <w:rStyle w:val="TextoNormalNegritaCaracter"/>
        </w:rPr>
        <w:t>Derecho a la integridad física y moral</w:t>
      </w:r>
      <w:bookmarkEnd w:id="906"/>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81" w:history="1">
        <w:r w:rsidRPr="00DE0EC2">
          <w:rPr>
            <w:rStyle w:val="TextoNormalCaracter"/>
          </w:rPr>
          <w:t>81/2021</w:t>
        </w:r>
      </w:hyperlink>
      <w:r w:rsidRPr="00DE0EC2">
        <w:rPr>
          <w:rStyle w:val="TextoNormalCaracter"/>
        </w:rPr>
        <w:t>, f. 4.</w:t>
      </w:r>
    </w:p>
    <w:p w:rsidR="00DE0EC2" w:rsidRPr="00DE0EC2" w:rsidRDefault="00DE0EC2" w:rsidP="00DE0EC2">
      <w:pPr>
        <w:pStyle w:val="TextoNormalSangraFrancesa"/>
        <w:rPr>
          <w:rStyle w:val="TextoNormalCaracter"/>
        </w:rPr>
      </w:pPr>
      <w:bookmarkStart w:id="907" w:name="DESCRIPTORALFABETICO58"/>
      <w:r w:rsidRPr="00DE0EC2">
        <w:rPr>
          <w:rStyle w:val="TextoNormalNegritaCaracter"/>
        </w:rPr>
        <w:t>Derecho a la intimidad en el ámbito laboral</w:t>
      </w:r>
      <w:bookmarkEnd w:id="907"/>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ff. 3, 6, VP I.</w:t>
      </w:r>
    </w:p>
    <w:p w:rsidR="00DE0EC2" w:rsidRPr="00DE0EC2" w:rsidRDefault="00DE0EC2" w:rsidP="00DE0EC2">
      <w:pPr>
        <w:pStyle w:val="TextoNormalSangraFrancesa"/>
        <w:rPr>
          <w:rStyle w:val="TextoNormalCaracter"/>
        </w:rPr>
      </w:pPr>
      <w:bookmarkStart w:id="908" w:name="DESCRIPTORALFABETICO57"/>
      <w:r w:rsidRPr="00DE0EC2">
        <w:rPr>
          <w:rStyle w:val="TextoNormalNegritaCaracter"/>
        </w:rPr>
        <w:t>Derecho a la intimidad personal y familiar</w:t>
      </w:r>
      <w:bookmarkEnd w:id="908"/>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13" w:history="1">
        <w:r w:rsidRPr="00DE0EC2">
          <w:rPr>
            <w:rStyle w:val="TextoNormalCaracter"/>
          </w:rPr>
          <w:t>13/2021</w:t>
        </w:r>
      </w:hyperlink>
      <w:r w:rsidRPr="00DE0EC2">
        <w:rPr>
          <w:rStyle w:val="TextoNormalCaracter"/>
        </w:rPr>
        <w:t xml:space="preserve">, f. 3, VP II; </w:t>
      </w:r>
      <w:hyperlink w:anchor="SENTENCIA_2021_99" w:history="1">
        <w:r w:rsidRPr="00DE0EC2">
          <w:rPr>
            <w:rStyle w:val="TextoNormalCaracter"/>
          </w:rPr>
          <w:t>99/2021</w:t>
        </w:r>
      </w:hyperlink>
      <w:r w:rsidRPr="00DE0EC2">
        <w:rPr>
          <w:rStyle w:val="TextoNormalCaracter"/>
        </w:rPr>
        <w:t xml:space="preserve">, ff. 7, 8; </w:t>
      </w:r>
      <w:hyperlink w:anchor="SENTENCIA_2021_108" w:history="1">
        <w:r w:rsidRPr="00DE0EC2">
          <w:rPr>
            <w:rStyle w:val="TextoNormalCaracter"/>
          </w:rPr>
          <w:t>108/2021</w:t>
        </w:r>
      </w:hyperlink>
      <w:r w:rsidRPr="00DE0EC2">
        <w:rPr>
          <w:rStyle w:val="TextoNormalCaracter"/>
        </w:rPr>
        <w:t xml:space="preserve">, f. 8; </w:t>
      </w:r>
      <w:hyperlink w:anchor="SENTENCIA_2021_135" w:history="1">
        <w:r w:rsidRPr="00DE0EC2">
          <w:rPr>
            <w:rStyle w:val="TextoNormalCaracter"/>
          </w:rPr>
          <w:t>135/2021</w:t>
        </w:r>
      </w:hyperlink>
      <w:r w:rsidRPr="00DE0EC2">
        <w:rPr>
          <w:rStyle w:val="TextoNormalCaracter"/>
        </w:rPr>
        <w:t>, f. 4.</w:t>
      </w:r>
    </w:p>
    <w:p w:rsidR="00DE0EC2" w:rsidRPr="00DE0EC2" w:rsidRDefault="00DE0EC2" w:rsidP="00DE0EC2">
      <w:pPr>
        <w:pStyle w:val="TextoNormalSangraFrancesa"/>
        <w:rPr>
          <w:rStyle w:val="TextoNormalCaracter"/>
        </w:rPr>
      </w:pPr>
      <w:bookmarkStart w:id="909" w:name="DESCRIPTORALFABETICO60"/>
      <w:r w:rsidRPr="00DE0EC2">
        <w:rPr>
          <w:rStyle w:val="TextoNormalNegritaCaracter"/>
        </w:rPr>
        <w:t>Derecho a la legalidad penal</w:t>
      </w:r>
      <w:bookmarkEnd w:id="909"/>
      <w:r w:rsidRPr="00DE0EC2">
        <w:rPr>
          <w:rStyle w:val="TextoNormalCaracter"/>
        </w:rPr>
        <w:t xml:space="preserve">, Sentencias </w:t>
      </w:r>
      <w:hyperlink w:anchor="SENTENCIA_2021_14" w:history="1">
        <w:r w:rsidRPr="00DE0EC2">
          <w:rPr>
            <w:rStyle w:val="TextoNormalCaracter"/>
          </w:rPr>
          <w:t>14/2021</w:t>
        </w:r>
      </w:hyperlink>
      <w:r w:rsidRPr="00DE0EC2">
        <w:rPr>
          <w:rStyle w:val="TextoNormalCaracter"/>
        </w:rPr>
        <w:t xml:space="preserve">, ff. 2, 5; </w:t>
      </w:r>
      <w:hyperlink w:anchor="SENTENCIA_2021_122" w:history="1">
        <w:r w:rsidRPr="00DE0EC2">
          <w:rPr>
            <w:rStyle w:val="TextoNormalCaracter"/>
          </w:rPr>
          <w:t>122/2021</w:t>
        </w:r>
      </w:hyperlink>
      <w:r w:rsidRPr="00DE0EC2">
        <w:rPr>
          <w:rStyle w:val="TextoNormalCaracter"/>
        </w:rPr>
        <w:t>, f. 10, V.P. I.</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91" w:history="1">
        <w:r w:rsidRPr="00DE0EC2">
          <w:rPr>
            <w:rStyle w:val="TextoNormalCaracter"/>
          </w:rPr>
          <w:t>91/2021</w:t>
        </w:r>
      </w:hyperlink>
      <w:r w:rsidRPr="00DE0EC2">
        <w:rPr>
          <w:rStyle w:val="TextoNormalCaracter"/>
        </w:rPr>
        <w:t xml:space="preserve">, f. 11; </w:t>
      </w:r>
      <w:hyperlink w:anchor="SENTENCIA_2021_106" w:history="1">
        <w:r w:rsidRPr="00DE0EC2">
          <w:rPr>
            <w:rStyle w:val="TextoNormalCaracter"/>
          </w:rPr>
          <w:t>106/2021</w:t>
        </w:r>
      </w:hyperlink>
      <w:r w:rsidRPr="00DE0EC2">
        <w:rPr>
          <w:rStyle w:val="TextoNormalCaracter"/>
        </w:rPr>
        <w:t xml:space="preserve">, f. 11 y VP. I; </w:t>
      </w:r>
      <w:hyperlink w:anchor="SENTENCIA_2021_121" w:history="1">
        <w:r w:rsidRPr="00DE0EC2">
          <w:rPr>
            <w:rStyle w:val="TextoNormalCaracter"/>
          </w:rPr>
          <w:t>121/2021</w:t>
        </w:r>
      </w:hyperlink>
      <w:r w:rsidRPr="00DE0EC2">
        <w:rPr>
          <w:rStyle w:val="TextoNormalCaracter"/>
        </w:rPr>
        <w:t xml:space="preserve">, f. 12, VP I; </w:t>
      </w:r>
      <w:hyperlink w:anchor="SENTENCIA_2021_133" w:history="1">
        <w:r w:rsidRPr="00DE0EC2">
          <w:rPr>
            <w:rStyle w:val="TextoNormalCaracter"/>
          </w:rPr>
          <w:t>133/2021</w:t>
        </w:r>
      </w:hyperlink>
      <w:r w:rsidRPr="00DE0EC2">
        <w:rPr>
          <w:rStyle w:val="TextoNormalCaracter"/>
        </w:rPr>
        <w:t>, f. 7.</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51" w:history="1">
        <w:r w:rsidRPr="00DE0EC2">
          <w:rPr>
            <w:rStyle w:val="TextoNormalCaracter"/>
          </w:rPr>
          <w:t>51/2021</w:t>
        </w:r>
      </w:hyperlink>
      <w:r w:rsidRPr="00DE0EC2">
        <w:rPr>
          <w:rStyle w:val="TextoNormalCaracter"/>
        </w:rPr>
        <w:t xml:space="preserve">, ff. 5, 6; </w:t>
      </w:r>
      <w:hyperlink w:anchor="SENTENCIA_2021_78" w:history="1">
        <w:r w:rsidRPr="00DE0EC2">
          <w:rPr>
            <w:rStyle w:val="TextoNormalCaracter"/>
          </w:rPr>
          <w:t>78/2021</w:t>
        </w:r>
      </w:hyperlink>
      <w:r w:rsidRPr="00DE0EC2">
        <w:rPr>
          <w:rStyle w:val="TextoNormalCaracter"/>
        </w:rPr>
        <w:t>, ff. 5 a 7.</w:t>
      </w:r>
    </w:p>
    <w:p w:rsidR="00DE0EC2" w:rsidRPr="00DE0EC2" w:rsidRDefault="00DE0EC2" w:rsidP="00DE0EC2">
      <w:pPr>
        <w:pStyle w:val="TextoNormalSangraFrancesa"/>
        <w:rPr>
          <w:rStyle w:val="TextoNormalCaracter"/>
        </w:rPr>
      </w:pPr>
      <w:bookmarkStart w:id="910" w:name="DESCRIPTORALFABETICO61"/>
      <w:r w:rsidRPr="00DE0EC2">
        <w:rPr>
          <w:rStyle w:val="TextoNormalNegritaCaracter"/>
        </w:rPr>
        <w:t>Derecho a la libertad personal</w:t>
      </w:r>
      <w:bookmarkEnd w:id="910"/>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121" w:history="1">
        <w:r w:rsidRPr="00DE0EC2">
          <w:rPr>
            <w:rStyle w:val="TextoNormalCaracter"/>
          </w:rPr>
          <w:t>121/2021</w:t>
        </w:r>
      </w:hyperlink>
      <w:r w:rsidRPr="00DE0EC2">
        <w:rPr>
          <w:rStyle w:val="TextoNormalCaracter"/>
        </w:rPr>
        <w:t>, f. 12.</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73" w:history="1">
        <w:r w:rsidRPr="00DE0EC2">
          <w:rPr>
            <w:rStyle w:val="TextoNormalCaracter"/>
          </w:rPr>
          <w:t>73/2021</w:t>
        </w:r>
      </w:hyperlink>
      <w:r w:rsidRPr="00DE0EC2">
        <w:rPr>
          <w:rStyle w:val="TextoNormalCaracter"/>
        </w:rPr>
        <w:t xml:space="preserve">, f. 4; </w:t>
      </w:r>
      <w:hyperlink w:anchor="SENTENCIA_2021_80" w:history="1">
        <w:r w:rsidRPr="00DE0EC2">
          <w:rPr>
            <w:rStyle w:val="TextoNormalCaracter"/>
          </w:rPr>
          <w:t>80/2021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11" w:name="DESCRIPTORALFABETICO67"/>
      <w:r w:rsidRPr="00DE0EC2">
        <w:rPr>
          <w:rStyle w:val="TextoNormalNegritaCaracter"/>
        </w:rPr>
        <w:t>Derecho a la presunción de inocencia</w:t>
      </w:r>
      <w:bookmarkEnd w:id="911"/>
      <w:r w:rsidRPr="00DE0EC2">
        <w:rPr>
          <w:rStyle w:val="TextoNormalCaracter"/>
        </w:rPr>
        <w:t xml:space="preserve">, Sentencias </w:t>
      </w:r>
      <w:hyperlink w:anchor="SENTENCIA_2021_14" w:history="1">
        <w:r w:rsidRPr="00DE0EC2">
          <w:rPr>
            <w:rStyle w:val="TextoNormalCaracter"/>
          </w:rPr>
          <w:t>14/2021</w:t>
        </w:r>
      </w:hyperlink>
      <w:r w:rsidRPr="00DE0EC2">
        <w:rPr>
          <w:rStyle w:val="TextoNormalCaracter"/>
        </w:rPr>
        <w:t xml:space="preserve">, f. 5; </w:t>
      </w:r>
      <w:hyperlink w:anchor="SENTENCIA_2021_122" w:history="1">
        <w:r w:rsidRPr="00DE0EC2">
          <w:rPr>
            <w:rStyle w:val="TextoNormalCaracter"/>
          </w:rPr>
          <w:t>122/2021</w:t>
        </w:r>
      </w:hyperlink>
      <w:r w:rsidRPr="00DE0EC2">
        <w:rPr>
          <w:rStyle w:val="TextoNormalCaracter"/>
        </w:rPr>
        <w:t>, f. 8.</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18" w:history="1">
        <w:r w:rsidRPr="00DE0EC2">
          <w:rPr>
            <w:rStyle w:val="TextoNormalCaracter"/>
          </w:rPr>
          <w:t>18/2021</w:t>
        </w:r>
      </w:hyperlink>
      <w:r w:rsidRPr="00DE0EC2">
        <w:rPr>
          <w:rStyle w:val="TextoNormalCaracter"/>
        </w:rPr>
        <w:t xml:space="preserve">, ff. 5 a 7; </w:t>
      </w:r>
      <w:hyperlink w:anchor="SENTENCIA_2021_22" w:history="1">
        <w:r w:rsidRPr="00DE0EC2">
          <w:rPr>
            <w:rStyle w:val="TextoNormalCaracter"/>
          </w:rPr>
          <w:t>22/2021</w:t>
        </w:r>
      </w:hyperlink>
      <w:r w:rsidRPr="00DE0EC2">
        <w:rPr>
          <w:rStyle w:val="TextoNormalCaracter"/>
        </w:rPr>
        <w:t xml:space="preserve">, f. 2; </w:t>
      </w:r>
      <w:hyperlink w:anchor="SENTENCIA_2021_67" w:history="1">
        <w:r w:rsidRPr="00DE0EC2">
          <w:rPr>
            <w:rStyle w:val="TextoNormalCaracter"/>
          </w:rPr>
          <w:t>67/2021</w:t>
        </w:r>
      </w:hyperlink>
      <w:r w:rsidRPr="00DE0EC2">
        <w:rPr>
          <w:rStyle w:val="TextoNormalCaracter"/>
        </w:rPr>
        <w:t xml:space="preserve">, f. 3; </w:t>
      </w:r>
      <w:hyperlink w:anchor="SENTENCIA_2021_91" w:history="1">
        <w:r w:rsidRPr="00DE0EC2">
          <w:rPr>
            <w:rStyle w:val="TextoNormalCaracter"/>
          </w:rPr>
          <w:t>91/2021</w:t>
        </w:r>
      </w:hyperlink>
      <w:r w:rsidRPr="00DE0EC2">
        <w:rPr>
          <w:rStyle w:val="TextoNormalCaracter"/>
        </w:rPr>
        <w:t xml:space="preserve">, f. 8; </w:t>
      </w:r>
      <w:hyperlink w:anchor="SENTENCIA_2021_99" w:history="1">
        <w:r w:rsidRPr="00DE0EC2">
          <w:rPr>
            <w:rStyle w:val="TextoNormalCaracter"/>
          </w:rPr>
          <w:t>99/2021</w:t>
        </w:r>
      </w:hyperlink>
      <w:r w:rsidRPr="00DE0EC2">
        <w:rPr>
          <w:rStyle w:val="TextoNormalCaracter"/>
        </w:rPr>
        <w:t xml:space="preserve">, f. 9; </w:t>
      </w:r>
      <w:hyperlink w:anchor="SENTENCIA_2021_106" w:history="1">
        <w:r w:rsidRPr="00DE0EC2">
          <w:rPr>
            <w:rStyle w:val="TextoNormalCaracter"/>
          </w:rPr>
          <w:t>106/2021</w:t>
        </w:r>
      </w:hyperlink>
      <w:r w:rsidRPr="00DE0EC2">
        <w:rPr>
          <w:rStyle w:val="TextoNormalCaracter"/>
        </w:rPr>
        <w:t xml:space="preserve">, ff. 1, 4, 6 y 8; </w:t>
      </w:r>
      <w:hyperlink w:anchor="SENTENCIA_2021_108" w:history="1">
        <w:r w:rsidRPr="00DE0EC2">
          <w:rPr>
            <w:rStyle w:val="TextoNormalCaracter"/>
          </w:rPr>
          <w:t>108/2021</w:t>
        </w:r>
      </w:hyperlink>
      <w:r w:rsidRPr="00DE0EC2">
        <w:rPr>
          <w:rStyle w:val="TextoNormalCaracter"/>
        </w:rPr>
        <w:t xml:space="preserve">, f. 8; </w:t>
      </w:r>
      <w:hyperlink w:anchor="SENTENCIA_2021_121" w:history="1">
        <w:r w:rsidRPr="00DE0EC2">
          <w:rPr>
            <w:rStyle w:val="TextoNormalCaracter"/>
          </w:rPr>
          <w:t>121/2021</w:t>
        </w:r>
      </w:hyperlink>
      <w:r w:rsidRPr="00DE0EC2">
        <w:rPr>
          <w:rStyle w:val="TextoNormalCaracter"/>
        </w:rPr>
        <w:t xml:space="preserve">, f. 9; </w:t>
      </w:r>
      <w:hyperlink w:anchor="SENTENCIA_2021_133" w:history="1">
        <w:r w:rsidRPr="00DE0EC2">
          <w:rPr>
            <w:rStyle w:val="TextoNormalCaracter"/>
          </w:rPr>
          <w:t>133/2021</w:t>
        </w:r>
      </w:hyperlink>
      <w:r w:rsidRPr="00DE0EC2">
        <w:rPr>
          <w:rStyle w:val="TextoNormalCaracter"/>
        </w:rPr>
        <w:t xml:space="preserve">, f. 8; </w:t>
      </w:r>
      <w:hyperlink w:anchor="SENTENCIA_2021_135" w:history="1">
        <w:r w:rsidRPr="00DE0EC2">
          <w:rPr>
            <w:rStyle w:val="TextoNormalCaracter"/>
          </w:rPr>
          <w:t>135/2021</w:t>
        </w:r>
      </w:hyperlink>
      <w:r w:rsidRPr="00DE0EC2">
        <w:rPr>
          <w:rStyle w:val="TextoNormalCaracter"/>
        </w:rPr>
        <w:t>, f. 4.</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21" w:history="1">
        <w:r w:rsidRPr="00DE0EC2">
          <w:rPr>
            <w:rStyle w:val="TextoNormalCaracter"/>
          </w:rPr>
          <w:t>21/2021</w:t>
        </w:r>
      </w:hyperlink>
      <w:r w:rsidRPr="00DE0EC2">
        <w:rPr>
          <w:rStyle w:val="TextoNormalCaracter"/>
        </w:rPr>
        <w:t xml:space="preserve">, ff. 4, 8; </w:t>
      </w:r>
      <w:hyperlink w:anchor="SENTENCIA_2021_41" w:history="1">
        <w:r w:rsidRPr="00DE0EC2">
          <w:rPr>
            <w:rStyle w:val="TextoNormalCaracter"/>
          </w:rPr>
          <w:t>41/2021</w:t>
        </w:r>
      </w:hyperlink>
      <w:r w:rsidRPr="00DE0EC2">
        <w:rPr>
          <w:rStyle w:val="TextoNormalCaracter"/>
        </w:rPr>
        <w:t xml:space="preserve">, ff. 3, 4; </w:t>
      </w:r>
      <w:hyperlink w:anchor="SENTENCIA_2021_51" w:history="1">
        <w:r w:rsidRPr="00DE0EC2">
          <w:rPr>
            <w:rStyle w:val="TextoNormalCaracter"/>
          </w:rPr>
          <w:t>51/2021</w:t>
        </w:r>
      </w:hyperlink>
      <w:r w:rsidRPr="00DE0EC2">
        <w:rPr>
          <w:rStyle w:val="TextoNormalCaracter"/>
        </w:rPr>
        <w:t xml:space="preserve">, ff. 3, 4; </w:t>
      </w:r>
      <w:hyperlink w:anchor="SENTENCIA_2021_83" w:history="1">
        <w:r w:rsidRPr="00DE0EC2">
          <w:rPr>
            <w:rStyle w:val="TextoNormalCaracter"/>
          </w:rPr>
          <w:t>83/2021</w:t>
        </w:r>
      </w:hyperlink>
      <w:r w:rsidRPr="00DE0EC2">
        <w:rPr>
          <w:rStyle w:val="TextoNormalCaracter"/>
        </w:rPr>
        <w:t xml:space="preserve">, f. único; </w:t>
      </w:r>
      <w:hyperlink w:anchor="SENTENCIA_2021_98" w:history="1">
        <w:r w:rsidRPr="00DE0EC2">
          <w:rPr>
            <w:rStyle w:val="TextoNormalCaracter"/>
          </w:rPr>
          <w:t>98/2021</w:t>
        </w:r>
      </w:hyperlink>
      <w:r w:rsidRPr="00DE0EC2">
        <w:rPr>
          <w:rStyle w:val="TextoNormalCaracter"/>
        </w:rPr>
        <w:t xml:space="preserve">, ff. 1 a 3; </w:t>
      </w:r>
      <w:hyperlink w:anchor="SENTENCIA_2021_114" w:history="1">
        <w:r w:rsidRPr="00DE0EC2">
          <w:rPr>
            <w:rStyle w:val="TextoNormalCaracter"/>
          </w:rPr>
          <w:t>114/2021</w:t>
        </w:r>
      </w:hyperlink>
      <w:r w:rsidRPr="00DE0EC2">
        <w:rPr>
          <w:rStyle w:val="TextoNormalCaracter"/>
        </w:rPr>
        <w:t xml:space="preserve">, f. único; </w:t>
      </w:r>
      <w:hyperlink w:anchor="SENTENCIA_2021_127" w:history="1">
        <w:r w:rsidRPr="00DE0EC2">
          <w:rPr>
            <w:rStyle w:val="TextoNormalCaracter"/>
          </w:rPr>
          <w:t>127/2021</w:t>
        </w:r>
      </w:hyperlink>
      <w:r w:rsidRPr="00DE0EC2">
        <w:rPr>
          <w:rStyle w:val="TextoNormalCaracter"/>
        </w:rPr>
        <w:t xml:space="preserve">, f. único; </w:t>
      </w:r>
      <w:hyperlink w:anchor="SENTENCIA_2021_128" w:history="1">
        <w:r w:rsidRPr="00DE0EC2">
          <w:rPr>
            <w:rStyle w:val="TextoNormalCaracter"/>
          </w:rPr>
          <w:t>128/2021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912" w:name="DESCRIPTORALFABETICO69"/>
      <w:r w:rsidRPr="00DE0EC2">
        <w:rPr>
          <w:rStyle w:val="TextoNormalNegritaCaracter"/>
        </w:rPr>
        <w:t>Derecho a la propia imagen</w:t>
      </w:r>
      <w:bookmarkEnd w:id="912"/>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108" w:history="1">
        <w:r w:rsidRPr="00DE0EC2">
          <w:rPr>
            <w:rStyle w:val="TextoNormalCaracter"/>
          </w:rPr>
          <w:t>108/2021</w:t>
        </w:r>
      </w:hyperlink>
      <w:r w:rsidRPr="00DE0EC2">
        <w:rPr>
          <w:rStyle w:val="TextoNormalCaracter"/>
        </w:rPr>
        <w:t xml:space="preserve">, f. 8; </w:t>
      </w:r>
      <w:hyperlink w:anchor="SENTENCIA_2021_135" w:history="1">
        <w:r w:rsidRPr="00DE0EC2">
          <w:rPr>
            <w:rStyle w:val="TextoNormalCaracter"/>
          </w:rPr>
          <w:t>135/2021</w:t>
        </w:r>
      </w:hyperlink>
      <w:r w:rsidRPr="00DE0EC2">
        <w:rPr>
          <w:rStyle w:val="TextoNormalCaracter"/>
        </w:rPr>
        <w:t>, f. 4.</w:t>
      </w:r>
    </w:p>
    <w:p w:rsidR="00DE0EC2" w:rsidRPr="00DE0EC2" w:rsidRDefault="00DE0EC2" w:rsidP="00DE0EC2">
      <w:pPr>
        <w:pStyle w:val="TextoNormalSangraFrancesa"/>
        <w:rPr>
          <w:rStyle w:val="TextoNormalCaracter"/>
        </w:rPr>
      </w:pPr>
      <w:bookmarkStart w:id="913" w:name="DESCRIPTORALFABETICO70"/>
      <w:r w:rsidRPr="00DE0EC2">
        <w:rPr>
          <w:rStyle w:val="TextoNormalNegritaCaracter"/>
        </w:rPr>
        <w:t>Derecho a la tutela judicial efectiva</w:t>
      </w:r>
      <w:bookmarkEnd w:id="913"/>
      <w:r w:rsidRPr="00DE0EC2">
        <w:rPr>
          <w:rStyle w:val="TextoNormalCaracter"/>
        </w:rPr>
        <w:t xml:space="preserve">, Sentencia </w:t>
      </w:r>
      <w:hyperlink w:anchor="SENTENCIA_2021_132" w:history="1">
        <w:r w:rsidRPr="00DE0EC2">
          <w:rPr>
            <w:rStyle w:val="TextoNormalCaracter"/>
          </w:rPr>
          <w:t>132/2021</w:t>
        </w:r>
      </w:hyperlink>
      <w:r w:rsidRPr="00DE0EC2">
        <w:rPr>
          <w:rStyle w:val="TextoNormalCaracter"/>
        </w:rPr>
        <w:t>, ff. 2 a 4.</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18" w:history="1">
        <w:r w:rsidRPr="00DE0EC2">
          <w:rPr>
            <w:rStyle w:val="TextoNormalCaracter"/>
          </w:rPr>
          <w:t>18/2021</w:t>
        </w:r>
      </w:hyperlink>
      <w:r w:rsidRPr="00DE0EC2">
        <w:rPr>
          <w:rStyle w:val="TextoNormalCaracter"/>
        </w:rPr>
        <w:t xml:space="preserve">, ff. 3, 4; </w:t>
      </w:r>
      <w:hyperlink w:anchor="SENTENCIA_2021_76" w:history="1">
        <w:r w:rsidRPr="00DE0EC2">
          <w:rPr>
            <w:rStyle w:val="TextoNormalCaracter"/>
          </w:rPr>
          <w:t>76/2021</w:t>
        </w:r>
      </w:hyperlink>
      <w:r w:rsidRPr="00DE0EC2">
        <w:rPr>
          <w:rStyle w:val="TextoNormalCaracter"/>
        </w:rPr>
        <w:t xml:space="preserve">, f. 2; </w:t>
      </w:r>
      <w:hyperlink w:anchor="SENTENCIA_2021_81" w:history="1">
        <w:r w:rsidRPr="00DE0EC2">
          <w:rPr>
            <w:rStyle w:val="TextoNormalCaracter"/>
          </w:rPr>
          <w:t>81/2021</w:t>
        </w:r>
      </w:hyperlink>
      <w:r w:rsidRPr="00DE0EC2">
        <w:rPr>
          <w:rStyle w:val="TextoNormalCaracter"/>
        </w:rPr>
        <w:t xml:space="preserve">, ff. 3, 4; </w:t>
      </w:r>
      <w:hyperlink w:anchor="SENTENCIA_2021_106" w:history="1">
        <w:r w:rsidRPr="00DE0EC2">
          <w:rPr>
            <w:rStyle w:val="TextoNormalCaracter"/>
          </w:rPr>
          <w:t>106/2021</w:t>
        </w:r>
      </w:hyperlink>
      <w:r w:rsidRPr="00DE0EC2">
        <w:rPr>
          <w:rStyle w:val="TextoNormalCaracter"/>
        </w:rPr>
        <w:t xml:space="preserve">, f. 10; </w:t>
      </w:r>
      <w:hyperlink w:anchor="SENTENCIA_2021_120" w:history="1">
        <w:r w:rsidRPr="00DE0EC2">
          <w:rPr>
            <w:rStyle w:val="TextoNormalCaracter"/>
          </w:rPr>
          <w:t>120/2021</w:t>
        </w:r>
      </w:hyperlink>
      <w:r w:rsidRPr="00DE0EC2">
        <w:rPr>
          <w:rStyle w:val="TextoNormalCaracter"/>
        </w:rPr>
        <w:t xml:space="preserve">, f. 4; </w:t>
      </w:r>
      <w:hyperlink w:anchor="SENTENCIA_2021_121" w:history="1">
        <w:r w:rsidRPr="00DE0EC2">
          <w:rPr>
            <w:rStyle w:val="TextoNormalCaracter"/>
          </w:rPr>
          <w:t>121/2021</w:t>
        </w:r>
      </w:hyperlink>
      <w:r w:rsidRPr="00DE0EC2">
        <w:rPr>
          <w:rStyle w:val="TextoNormalCaracter"/>
        </w:rPr>
        <w:t>, f. 11.</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11" w:history="1">
        <w:r w:rsidRPr="00DE0EC2">
          <w:rPr>
            <w:rStyle w:val="TextoNormalCaracter"/>
          </w:rPr>
          <w:t>11/2021</w:t>
        </w:r>
      </w:hyperlink>
      <w:r w:rsidRPr="00DE0EC2">
        <w:rPr>
          <w:rStyle w:val="TextoNormalCaracter"/>
        </w:rPr>
        <w:t xml:space="preserve">, f. único; </w:t>
      </w:r>
      <w:hyperlink w:anchor="SENTENCIA_2021_23" w:history="1">
        <w:r w:rsidRPr="00DE0EC2">
          <w:rPr>
            <w:rStyle w:val="TextoNormalCaracter"/>
          </w:rPr>
          <w:t>23/2021</w:t>
        </w:r>
      </w:hyperlink>
      <w:r w:rsidRPr="00DE0EC2">
        <w:rPr>
          <w:rStyle w:val="TextoNormalCaracter"/>
        </w:rPr>
        <w:t xml:space="preserve">, f. 3; </w:t>
      </w:r>
      <w:hyperlink w:anchor="SENTENCIA_2021_29" w:history="1">
        <w:r w:rsidRPr="00DE0EC2">
          <w:rPr>
            <w:rStyle w:val="TextoNormalCaracter"/>
          </w:rPr>
          <w:t>29/2021</w:t>
        </w:r>
      </w:hyperlink>
      <w:r w:rsidRPr="00DE0EC2">
        <w:rPr>
          <w:rStyle w:val="TextoNormalCaracter"/>
        </w:rPr>
        <w:t xml:space="preserve">, ff. 3 a 5; </w:t>
      </w:r>
      <w:hyperlink w:anchor="SENTENCIA_2021_54" w:history="1">
        <w:r w:rsidRPr="00DE0EC2">
          <w:rPr>
            <w:rStyle w:val="TextoNormalCaracter"/>
          </w:rPr>
          <w:t>54/2021</w:t>
        </w:r>
      </w:hyperlink>
      <w:r w:rsidRPr="00DE0EC2">
        <w:rPr>
          <w:rStyle w:val="TextoNormalCaracter"/>
        </w:rPr>
        <w:t xml:space="preserve">, ff. 2, 3; </w:t>
      </w:r>
      <w:hyperlink w:anchor="SENTENCIA_2021_55" w:history="1">
        <w:r w:rsidRPr="00DE0EC2">
          <w:rPr>
            <w:rStyle w:val="TextoNormalCaracter"/>
          </w:rPr>
          <w:t>55/2021</w:t>
        </w:r>
      </w:hyperlink>
      <w:r w:rsidRPr="00DE0EC2">
        <w:rPr>
          <w:rStyle w:val="TextoNormalCaracter"/>
        </w:rPr>
        <w:t xml:space="preserve">, f. 3; </w:t>
      </w:r>
      <w:hyperlink w:anchor="SENTENCIA_2021_57" w:history="1">
        <w:r w:rsidRPr="00DE0EC2">
          <w:rPr>
            <w:rStyle w:val="TextoNormalCaracter"/>
          </w:rPr>
          <w:t>57/2021</w:t>
        </w:r>
      </w:hyperlink>
      <w:r w:rsidRPr="00DE0EC2">
        <w:rPr>
          <w:rStyle w:val="TextoNormalCaracter"/>
        </w:rPr>
        <w:t xml:space="preserve">, f.4; </w:t>
      </w:r>
      <w:hyperlink w:anchor="SENTENCIA_2021_80" w:history="1">
        <w:r w:rsidRPr="00DE0EC2">
          <w:rPr>
            <w:rStyle w:val="TextoNormalCaracter"/>
          </w:rPr>
          <w:t>80/2021</w:t>
        </w:r>
      </w:hyperlink>
      <w:r w:rsidRPr="00DE0EC2">
        <w:rPr>
          <w:rStyle w:val="TextoNormalCaracter"/>
        </w:rPr>
        <w:t xml:space="preserve">, ff. 3 a 6; </w:t>
      </w:r>
      <w:hyperlink w:anchor="SENTENCIA_2021_87" w:history="1">
        <w:r w:rsidRPr="00DE0EC2">
          <w:rPr>
            <w:rStyle w:val="TextoNormalCaracter"/>
          </w:rPr>
          <w:t>87/2021</w:t>
        </w:r>
      </w:hyperlink>
      <w:r w:rsidRPr="00DE0EC2">
        <w:rPr>
          <w:rStyle w:val="TextoNormalCaracter"/>
        </w:rPr>
        <w:t xml:space="preserve">, ff. 2, 3; </w:t>
      </w:r>
      <w:hyperlink w:anchor="SENTENCIA_2021_88" w:history="1">
        <w:r w:rsidRPr="00DE0EC2">
          <w:rPr>
            <w:rStyle w:val="TextoNormalCaracter"/>
          </w:rPr>
          <w:t>88/2021</w:t>
        </w:r>
      </w:hyperlink>
      <w:r w:rsidRPr="00DE0EC2">
        <w:rPr>
          <w:rStyle w:val="TextoNormalCaracter"/>
        </w:rPr>
        <w:t xml:space="preserve">, ff. 3, 4, 5; </w:t>
      </w:r>
      <w:hyperlink w:anchor="SENTENCIA_2021_136" w:history="1">
        <w:r w:rsidRPr="00DE0EC2">
          <w:rPr>
            <w:rStyle w:val="TextoNormalCaracter"/>
          </w:rPr>
          <w:t>136/2021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914" w:name="DESCRIPTORALFABETICO92"/>
      <w:r w:rsidRPr="00DE0EC2">
        <w:rPr>
          <w:rStyle w:val="TextoNormalNegritaCaracter"/>
        </w:rPr>
        <w:t>Derecho a la tutela judicial sin indefensión</w:t>
      </w:r>
      <w:bookmarkEnd w:id="914"/>
      <w:r w:rsidRPr="00DE0EC2">
        <w:rPr>
          <w:rStyle w:val="TextoNormalCaracter"/>
        </w:rPr>
        <w:t xml:space="preserve">, Sentencias </w:t>
      </w:r>
      <w:hyperlink w:anchor="SENTENCIA_2021_9" w:history="1">
        <w:r w:rsidRPr="00DE0EC2">
          <w:rPr>
            <w:rStyle w:val="TextoNormalCaracter"/>
          </w:rPr>
          <w:t>9/2021</w:t>
        </w:r>
      </w:hyperlink>
      <w:r w:rsidRPr="00DE0EC2">
        <w:rPr>
          <w:rStyle w:val="TextoNormalCaracter"/>
        </w:rPr>
        <w:t xml:space="preserve">, f. único; </w:t>
      </w:r>
      <w:hyperlink w:anchor="SENTENCIA_2021_26" w:history="1">
        <w:r w:rsidRPr="00DE0EC2">
          <w:rPr>
            <w:rStyle w:val="TextoNormalCaracter"/>
          </w:rPr>
          <w:t>26/2021</w:t>
        </w:r>
      </w:hyperlink>
      <w:r w:rsidRPr="00DE0EC2">
        <w:rPr>
          <w:rStyle w:val="TextoNormalCaracter"/>
        </w:rPr>
        <w:t xml:space="preserve">, f. único; </w:t>
      </w:r>
      <w:hyperlink w:anchor="SENTENCIA_2021_28" w:history="1">
        <w:r w:rsidRPr="00DE0EC2">
          <w:rPr>
            <w:rStyle w:val="TextoNormalCaracter"/>
          </w:rPr>
          <w:t>28/2021</w:t>
        </w:r>
      </w:hyperlink>
      <w:r w:rsidRPr="00DE0EC2">
        <w:rPr>
          <w:rStyle w:val="TextoNormalCaracter"/>
        </w:rPr>
        <w:t>, f. único.</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52" w:history="1">
        <w:r w:rsidRPr="00DE0EC2">
          <w:rPr>
            <w:rStyle w:val="TextoNormalCaracter"/>
          </w:rPr>
          <w:t>52/2021</w:t>
        </w:r>
      </w:hyperlink>
      <w:r w:rsidRPr="00DE0EC2">
        <w:rPr>
          <w:rStyle w:val="TextoNormalCaracter"/>
        </w:rPr>
        <w:t xml:space="preserve">, f. 2; </w:t>
      </w:r>
      <w:hyperlink w:anchor="SENTENCIA_2021_116" w:history="1">
        <w:r w:rsidRPr="00DE0EC2">
          <w:rPr>
            <w:rStyle w:val="TextoNormalCaracter"/>
          </w:rPr>
          <w:t>116/2021</w:t>
        </w:r>
      </w:hyperlink>
      <w:r w:rsidRPr="00DE0EC2">
        <w:rPr>
          <w:rStyle w:val="TextoNormalCaracter"/>
        </w:rPr>
        <w:t xml:space="preserve">, f. 3; </w:t>
      </w:r>
      <w:hyperlink w:anchor="SENTENCIA_2021_119" w:history="1">
        <w:r w:rsidRPr="00DE0EC2">
          <w:rPr>
            <w:rStyle w:val="TextoNormalCaracter"/>
          </w:rPr>
          <w:t>119/2021</w:t>
        </w:r>
      </w:hyperlink>
      <w:r w:rsidRPr="00DE0EC2">
        <w:rPr>
          <w:rStyle w:val="TextoNormalCaracter"/>
        </w:rPr>
        <w:t xml:space="preserve">, f. 2; </w:t>
      </w:r>
      <w:hyperlink w:anchor="SENTENCIA_2021_131" w:history="1">
        <w:r w:rsidRPr="00DE0EC2">
          <w:rPr>
            <w:rStyle w:val="TextoNormalCaracter"/>
          </w:rPr>
          <w:t>131/2021</w:t>
        </w:r>
      </w:hyperlink>
      <w:r w:rsidRPr="00DE0EC2">
        <w:rPr>
          <w:rStyle w:val="TextoNormalCaracter"/>
        </w:rPr>
        <w:t>, f. 3.</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7" w:history="1">
        <w:r w:rsidRPr="00DE0EC2">
          <w:rPr>
            <w:rStyle w:val="TextoNormalCaracter"/>
          </w:rPr>
          <w:t>7/2021</w:t>
        </w:r>
      </w:hyperlink>
      <w:r w:rsidRPr="00DE0EC2">
        <w:rPr>
          <w:rStyle w:val="TextoNormalCaracter"/>
        </w:rPr>
        <w:t xml:space="preserve">, ff. 3, 5; </w:t>
      </w:r>
      <w:hyperlink w:anchor="SENTENCIA_2021_8" w:history="1">
        <w:r w:rsidRPr="00DE0EC2">
          <w:rPr>
            <w:rStyle w:val="TextoNormalCaracter"/>
          </w:rPr>
          <w:t>8/2021</w:t>
        </w:r>
      </w:hyperlink>
      <w:r w:rsidRPr="00DE0EC2">
        <w:rPr>
          <w:rStyle w:val="TextoNormalCaracter"/>
        </w:rPr>
        <w:t xml:space="preserve">, f. 4; </w:t>
      </w:r>
      <w:hyperlink w:anchor="SENTENCIA_2021_10" w:history="1">
        <w:r w:rsidRPr="00DE0EC2">
          <w:rPr>
            <w:rStyle w:val="TextoNormalCaracter"/>
          </w:rPr>
          <w:t>10/2021</w:t>
        </w:r>
      </w:hyperlink>
      <w:r w:rsidRPr="00DE0EC2">
        <w:rPr>
          <w:rStyle w:val="TextoNormalCaracter"/>
        </w:rPr>
        <w:t xml:space="preserve">, f. único; </w:t>
      </w:r>
      <w:hyperlink w:anchor="SENTENCIA_2021_11" w:history="1">
        <w:r w:rsidRPr="00DE0EC2">
          <w:rPr>
            <w:rStyle w:val="TextoNormalCaracter"/>
          </w:rPr>
          <w:t>11/2021</w:t>
        </w:r>
      </w:hyperlink>
      <w:r w:rsidRPr="00DE0EC2">
        <w:rPr>
          <w:rStyle w:val="TextoNormalCaracter"/>
        </w:rPr>
        <w:t xml:space="preserve">, f. único; </w:t>
      </w:r>
      <w:hyperlink w:anchor="SENTENCIA_2021_12" w:history="1">
        <w:r w:rsidRPr="00DE0EC2">
          <w:rPr>
            <w:rStyle w:val="TextoNormalCaracter"/>
          </w:rPr>
          <w:t>12/2021</w:t>
        </w:r>
      </w:hyperlink>
      <w:r w:rsidRPr="00DE0EC2">
        <w:rPr>
          <w:rStyle w:val="TextoNormalCaracter"/>
        </w:rPr>
        <w:t xml:space="preserve">, ff. 3, 5; </w:t>
      </w:r>
      <w:hyperlink w:anchor="SENTENCIA_2021_20" w:history="1">
        <w:r w:rsidRPr="00DE0EC2">
          <w:rPr>
            <w:rStyle w:val="TextoNormalCaracter"/>
          </w:rPr>
          <w:t>20/2021</w:t>
        </w:r>
      </w:hyperlink>
      <w:r w:rsidRPr="00DE0EC2">
        <w:rPr>
          <w:rStyle w:val="TextoNormalCaracter"/>
        </w:rPr>
        <w:t xml:space="preserve">, ff. 2,3; </w:t>
      </w:r>
      <w:hyperlink w:anchor="SENTENCIA_2021_24" w:history="1">
        <w:r w:rsidRPr="00DE0EC2">
          <w:rPr>
            <w:rStyle w:val="TextoNormalCaracter"/>
          </w:rPr>
          <w:t>24/2021</w:t>
        </w:r>
      </w:hyperlink>
      <w:r w:rsidRPr="00DE0EC2">
        <w:rPr>
          <w:rStyle w:val="TextoNormalCaracter"/>
        </w:rPr>
        <w:t xml:space="preserve">, f. 3; </w:t>
      </w:r>
      <w:hyperlink w:anchor="SENTENCIA_2021_25" w:history="1">
        <w:r w:rsidRPr="00DE0EC2">
          <w:rPr>
            <w:rStyle w:val="TextoNormalCaracter"/>
          </w:rPr>
          <w:t>25/2021</w:t>
        </w:r>
      </w:hyperlink>
      <w:r w:rsidRPr="00DE0EC2">
        <w:rPr>
          <w:rStyle w:val="TextoNormalCaracter"/>
        </w:rPr>
        <w:t xml:space="preserve">, f. 2; </w:t>
      </w:r>
      <w:hyperlink w:anchor="SENTENCIA_2021_27" w:history="1">
        <w:r w:rsidRPr="00DE0EC2">
          <w:rPr>
            <w:rStyle w:val="TextoNormalCaracter"/>
          </w:rPr>
          <w:t>27/2021</w:t>
        </w:r>
      </w:hyperlink>
      <w:r w:rsidRPr="00DE0EC2">
        <w:rPr>
          <w:rStyle w:val="TextoNormalCaracter"/>
        </w:rPr>
        <w:t xml:space="preserve">, f. único; </w:t>
      </w:r>
      <w:hyperlink w:anchor="SENTENCIA_2021_30" w:history="1">
        <w:r w:rsidRPr="00DE0EC2">
          <w:rPr>
            <w:rStyle w:val="TextoNormalCaracter"/>
          </w:rPr>
          <w:t>30/2021</w:t>
        </w:r>
      </w:hyperlink>
      <w:r w:rsidRPr="00DE0EC2">
        <w:rPr>
          <w:rStyle w:val="TextoNormalCaracter"/>
        </w:rPr>
        <w:t xml:space="preserve">, f. único; </w:t>
      </w:r>
      <w:hyperlink w:anchor="SENTENCIA_2021_31" w:history="1">
        <w:r w:rsidRPr="00DE0EC2">
          <w:rPr>
            <w:rStyle w:val="TextoNormalCaracter"/>
          </w:rPr>
          <w:t>31/2021</w:t>
        </w:r>
      </w:hyperlink>
      <w:r w:rsidRPr="00DE0EC2">
        <w:rPr>
          <w:rStyle w:val="TextoNormalCaracter"/>
        </w:rPr>
        <w:t xml:space="preserve">, f. único; </w:t>
      </w:r>
      <w:hyperlink w:anchor="SENTENCIA_2021_32" w:history="1">
        <w:r w:rsidRPr="00DE0EC2">
          <w:rPr>
            <w:rStyle w:val="TextoNormalCaracter"/>
          </w:rPr>
          <w:t>32/2021</w:t>
        </w:r>
      </w:hyperlink>
      <w:r w:rsidRPr="00DE0EC2">
        <w:rPr>
          <w:rStyle w:val="TextoNormalCaracter"/>
        </w:rPr>
        <w:t xml:space="preserve">, f. único; </w:t>
      </w:r>
      <w:hyperlink w:anchor="SENTENCIA_2021_33" w:history="1">
        <w:r w:rsidRPr="00DE0EC2">
          <w:rPr>
            <w:rStyle w:val="TextoNormalCaracter"/>
          </w:rPr>
          <w:t>33/2021</w:t>
        </w:r>
      </w:hyperlink>
      <w:r w:rsidRPr="00DE0EC2">
        <w:rPr>
          <w:rStyle w:val="TextoNormalCaracter"/>
        </w:rPr>
        <w:t xml:space="preserve">, f. 3; </w:t>
      </w:r>
      <w:hyperlink w:anchor="SENTENCIA_2021_43" w:history="1">
        <w:r w:rsidRPr="00DE0EC2">
          <w:rPr>
            <w:rStyle w:val="TextoNormalCaracter"/>
          </w:rPr>
          <w:t>43/2021</w:t>
        </w:r>
      </w:hyperlink>
      <w:r w:rsidRPr="00DE0EC2">
        <w:rPr>
          <w:rStyle w:val="TextoNormalCaracter"/>
        </w:rPr>
        <w:t xml:space="preserve">, ff.1 a 3; </w:t>
      </w:r>
      <w:hyperlink w:anchor="SENTENCIA_2021_44" w:history="1">
        <w:r w:rsidRPr="00DE0EC2">
          <w:rPr>
            <w:rStyle w:val="TextoNormalCaracter"/>
          </w:rPr>
          <w:t>44/2021</w:t>
        </w:r>
      </w:hyperlink>
      <w:r w:rsidRPr="00DE0EC2">
        <w:rPr>
          <w:rStyle w:val="TextoNormalCaracter"/>
        </w:rPr>
        <w:t xml:space="preserve">, f. único; </w:t>
      </w:r>
      <w:hyperlink w:anchor="SENTENCIA_2021_45" w:history="1">
        <w:r w:rsidRPr="00DE0EC2">
          <w:rPr>
            <w:rStyle w:val="TextoNormalCaracter"/>
          </w:rPr>
          <w:t>45/2021</w:t>
        </w:r>
      </w:hyperlink>
      <w:r w:rsidRPr="00DE0EC2">
        <w:rPr>
          <w:rStyle w:val="TextoNormalCaracter"/>
        </w:rPr>
        <w:t xml:space="preserve">, f. único; </w:t>
      </w:r>
      <w:hyperlink w:anchor="SENTENCIA_2021_46" w:history="1">
        <w:r w:rsidRPr="00DE0EC2">
          <w:rPr>
            <w:rStyle w:val="TextoNormalCaracter"/>
          </w:rPr>
          <w:t>46/2021</w:t>
        </w:r>
      </w:hyperlink>
      <w:r w:rsidRPr="00DE0EC2">
        <w:rPr>
          <w:rStyle w:val="TextoNormalCaracter"/>
        </w:rPr>
        <w:t xml:space="preserve">, f. único; </w:t>
      </w:r>
      <w:hyperlink w:anchor="SENTENCIA_2021_47" w:history="1">
        <w:r w:rsidRPr="00DE0EC2">
          <w:rPr>
            <w:rStyle w:val="TextoNormalCaracter"/>
          </w:rPr>
          <w:t>47/2021</w:t>
        </w:r>
      </w:hyperlink>
      <w:r w:rsidRPr="00DE0EC2">
        <w:rPr>
          <w:rStyle w:val="TextoNormalCaracter"/>
        </w:rPr>
        <w:t xml:space="preserve">, f. único; </w:t>
      </w:r>
      <w:hyperlink w:anchor="SENTENCIA_2021_48" w:history="1">
        <w:r w:rsidRPr="00DE0EC2">
          <w:rPr>
            <w:rStyle w:val="TextoNormalCaracter"/>
          </w:rPr>
          <w:t>48/2021</w:t>
        </w:r>
      </w:hyperlink>
      <w:r w:rsidRPr="00DE0EC2">
        <w:rPr>
          <w:rStyle w:val="TextoNormalCaracter"/>
        </w:rPr>
        <w:t xml:space="preserve">, ff. 2, 3; </w:t>
      </w:r>
      <w:hyperlink w:anchor="SENTENCIA_2021_49" w:history="1">
        <w:r w:rsidRPr="00DE0EC2">
          <w:rPr>
            <w:rStyle w:val="TextoNormalCaracter"/>
          </w:rPr>
          <w:t>49/2021</w:t>
        </w:r>
      </w:hyperlink>
      <w:r w:rsidRPr="00DE0EC2">
        <w:rPr>
          <w:rStyle w:val="TextoNormalCaracter"/>
        </w:rPr>
        <w:t xml:space="preserve">, f. único; </w:t>
      </w:r>
      <w:hyperlink w:anchor="SENTENCIA_2021_50" w:history="1">
        <w:r w:rsidRPr="00DE0EC2">
          <w:rPr>
            <w:rStyle w:val="TextoNormalCaracter"/>
          </w:rPr>
          <w:t>50/2021</w:t>
        </w:r>
      </w:hyperlink>
      <w:r w:rsidRPr="00DE0EC2">
        <w:rPr>
          <w:rStyle w:val="TextoNormalCaracter"/>
        </w:rPr>
        <w:t xml:space="preserve">, f. 3; </w:t>
      </w:r>
      <w:hyperlink w:anchor="SENTENCIA_2021_56" w:history="1">
        <w:r w:rsidRPr="00DE0EC2">
          <w:rPr>
            <w:rStyle w:val="TextoNormalCaracter"/>
          </w:rPr>
          <w:t>56/2021</w:t>
        </w:r>
      </w:hyperlink>
      <w:r w:rsidRPr="00DE0EC2">
        <w:rPr>
          <w:rStyle w:val="TextoNormalCaracter"/>
        </w:rPr>
        <w:t xml:space="preserve">, ff. 1 a 3; </w:t>
      </w:r>
      <w:hyperlink w:anchor="SENTENCIA_2021_58" w:history="1">
        <w:r w:rsidRPr="00DE0EC2">
          <w:rPr>
            <w:rStyle w:val="TextoNormalCaracter"/>
          </w:rPr>
          <w:t>58/2021</w:t>
        </w:r>
      </w:hyperlink>
      <w:r w:rsidRPr="00DE0EC2">
        <w:rPr>
          <w:rStyle w:val="TextoNormalCaracter"/>
        </w:rPr>
        <w:t xml:space="preserve">, f.único; </w:t>
      </w:r>
      <w:hyperlink w:anchor="SENTENCIA_2021_59" w:history="1">
        <w:r w:rsidRPr="00DE0EC2">
          <w:rPr>
            <w:rStyle w:val="TextoNormalCaracter"/>
          </w:rPr>
          <w:t>59/2021</w:t>
        </w:r>
      </w:hyperlink>
      <w:r w:rsidRPr="00DE0EC2">
        <w:rPr>
          <w:rStyle w:val="TextoNormalCaracter"/>
        </w:rPr>
        <w:t xml:space="preserve">, f. único; </w:t>
      </w:r>
      <w:hyperlink w:anchor="SENTENCIA_2021_60" w:history="1">
        <w:r w:rsidRPr="00DE0EC2">
          <w:rPr>
            <w:rStyle w:val="TextoNormalCaracter"/>
          </w:rPr>
          <w:t>60/2021</w:t>
        </w:r>
      </w:hyperlink>
      <w:r w:rsidRPr="00DE0EC2">
        <w:rPr>
          <w:rStyle w:val="TextoNormalCaracter"/>
        </w:rPr>
        <w:t xml:space="preserve">, ff. 1 a 4; </w:t>
      </w:r>
      <w:hyperlink w:anchor="SENTENCIA_2021_62" w:history="1">
        <w:r w:rsidRPr="00DE0EC2">
          <w:rPr>
            <w:rStyle w:val="TextoNormalCaracter"/>
          </w:rPr>
          <w:t>62/2021</w:t>
        </w:r>
      </w:hyperlink>
      <w:r w:rsidRPr="00DE0EC2">
        <w:rPr>
          <w:rStyle w:val="TextoNormalCaracter"/>
        </w:rPr>
        <w:t xml:space="preserve">, f. 3; </w:t>
      </w:r>
      <w:hyperlink w:anchor="SENTENCIA_2021_64" w:history="1">
        <w:r w:rsidRPr="00DE0EC2">
          <w:rPr>
            <w:rStyle w:val="TextoNormalCaracter"/>
          </w:rPr>
          <w:t>64/2021</w:t>
        </w:r>
      </w:hyperlink>
      <w:r w:rsidRPr="00DE0EC2">
        <w:rPr>
          <w:rStyle w:val="TextoNormalCaracter"/>
        </w:rPr>
        <w:t xml:space="preserve">, f. 3; </w:t>
      </w:r>
      <w:hyperlink w:anchor="SENTENCIA_2021_77" w:history="1">
        <w:r w:rsidRPr="00DE0EC2">
          <w:rPr>
            <w:rStyle w:val="TextoNormalCaracter"/>
          </w:rPr>
          <w:t>77/2021</w:t>
        </w:r>
      </w:hyperlink>
      <w:r w:rsidRPr="00DE0EC2">
        <w:rPr>
          <w:rStyle w:val="TextoNormalCaracter"/>
        </w:rPr>
        <w:t xml:space="preserve">, ff. 2, 3; </w:t>
      </w:r>
      <w:hyperlink w:anchor="SENTENCIA_2021_79" w:history="1">
        <w:r w:rsidRPr="00DE0EC2">
          <w:rPr>
            <w:rStyle w:val="TextoNormalCaracter"/>
          </w:rPr>
          <w:t>79/2021</w:t>
        </w:r>
      </w:hyperlink>
      <w:r w:rsidRPr="00DE0EC2">
        <w:rPr>
          <w:rStyle w:val="TextoNormalCaracter"/>
        </w:rPr>
        <w:t xml:space="preserve">, f. 4; </w:t>
      </w:r>
      <w:hyperlink w:anchor="SENTENCIA_2021_82" w:history="1">
        <w:r w:rsidRPr="00DE0EC2">
          <w:rPr>
            <w:rStyle w:val="TextoNormalCaracter"/>
          </w:rPr>
          <w:t>82/2021</w:t>
        </w:r>
      </w:hyperlink>
      <w:r w:rsidRPr="00DE0EC2">
        <w:rPr>
          <w:rStyle w:val="TextoNormalCaracter"/>
        </w:rPr>
        <w:t xml:space="preserve">, f. 2; </w:t>
      </w:r>
      <w:hyperlink w:anchor="SENTENCIA_2021_84" w:history="1">
        <w:r w:rsidRPr="00DE0EC2">
          <w:rPr>
            <w:rStyle w:val="TextoNormalCaracter"/>
          </w:rPr>
          <w:t>84/2021</w:t>
        </w:r>
      </w:hyperlink>
      <w:r w:rsidRPr="00DE0EC2">
        <w:rPr>
          <w:rStyle w:val="TextoNormalCaracter"/>
        </w:rPr>
        <w:t xml:space="preserve">, f. único; </w:t>
      </w:r>
      <w:hyperlink w:anchor="SENTENCIA_2021_85" w:history="1">
        <w:r w:rsidRPr="00DE0EC2">
          <w:rPr>
            <w:rStyle w:val="TextoNormalCaracter"/>
          </w:rPr>
          <w:t>85/2021</w:t>
        </w:r>
      </w:hyperlink>
      <w:r w:rsidRPr="00DE0EC2">
        <w:rPr>
          <w:rStyle w:val="TextoNormalCaracter"/>
        </w:rPr>
        <w:t xml:space="preserve">, f. único; </w:t>
      </w:r>
      <w:hyperlink w:anchor="SENTENCIA_2021_86" w:history="1">
        <w:r w:rsidRPr="00DE0EC2">
          <w:rPr>
            <w:rStyle w:val="TextoNormalCaracter"/>
          </w:rPr>
          <w:t>86/2021</w:t>
        </w:r>
      </w:hyperlink>
      <w:r w:rsidRPr="00DE0EC2">
        <w:rPr>
          <w:rStyle w:val="TextoNormalCaracter"/>
        </w:rPr>
        <w:t xml:space="preserve">, f. único; </w:t>
      </w:r>
      <w:hyperlink w:anchor="SENTENCIA_2021_89" w:history="1">
        <w:r w:rsidRPr="00DE0EC2">
          <w:rPr>
            <w:rStyle w:val="TextoNormalCaracter"/>
          </w:rPr>
          <w:t>89/2021</w:t>
        </w:r>
      </w:hyperlink>
      <w:r w:rsidRPr="00DE0EC2">
        <w:rPr>
          <w:rStyle w:val="TextoNormalCaracter"/>
        </w:rPr>
        <w:t xml:space="preserve">, ff. 1, 2; </w:t>
      </w:r>
      <w:hyperlink w:anchor="SENTENCIA_2021_92" w:history="1">
        <w:r w:rsidRPr="00DE0EC2">
          <w:rPr>
            <w:rStyle w:val="TextoNormalCaracter"/>
          </w:rPr>
          <w:t>92/2021</w:t>
        </w:r>
      </w:hyperlink>
      <w:r w:rsidRPr="00DE0EC2">
        <w:rPr>
          <w:rStyle w:val="TextoNormalCaracter"/>
        </w:rPr>
        <w:t xml:space="preserve">, f. 3; </w:t>
      </w:r>
      <w:hyperlink w:anchor="SENTENCIA_2021_94" w:history="1">
        <w:r w:rsidRPr="00DE0EC2">
          <w:rPr>
            <w:rStyle w:val="TextoNormalCaracter"/>
          </w:rPr>
          <w:t>94/2021</w:t>
        </w:r>
      </w:hyperlink>
      <w:r w:rsidRPr="00DE0EC2">
        <w:rPr>
          <w:rStyle w:val="TextoNormalCaracter"/>
        </w:rPr>
        <w:t xml:space="preserve">, f. 3; </w:t>
      </w:r>
      <w:hyperlink w:anchor="SENTENCIA_2021_95" w:history="1">
        <w:r w:rsidRPr="00DE0EC2">
          <w:rPr>
            <w:rStyle w:val="TextoNormalCaracter"/>
          </w:rPr>
          <w:t>95/2021</w:t>
        </w:r>
      </w:hyperlink>
      <w:r w:rsidRPr="00DE0EC2">
        <w:rPr>
          <w:rStyle w:val="TextoNormalCaracter"/>
        </w:rPr>
        <w:t xml:space="preserve">, f. 3; </w:t>
      </w:r>
      <w:hyperlink w:anchor="SENTENCIA_2021_97" w:history="1">
        <w:r w:rsidRPr="00DE0EC2">
          <w:rPr>
            <w:rStyle w:val="TextoNormalCaracter"/>
          </w:rPr>
          <w:t>97/2021</w:t>
        </w:r>
      </w:hyperlink>
      <w:r w:rsidRPr="00DE0EC2">
        <w:rPr>
          <w:rStyle w:val="TextoNormalCaracter"/>
        </w:rPr>
        <w:t xml:space="preserve">, ff. 1, 2; </w:t>
      </w:r>
      <w:hyperlink w:anchor="SENTENCIA_2021_100" w:history="1">
        <w:r w:rsidRPr="00DE0EC2">
          <w:rPr>
            <w:rStyle w:val="TextoNormalCaracter"/>
          </w:rPr>
          <w:t>100/2021</w:t>
        </w:r>
      </w:hyperlink>
      <w:r w:rsidRPr="00DE0EC2">
        <w:rPr>
          <w:rStyle w:val="TextoNormalCaracter"/>
        </w:rPr>
        <w:t xml:space="preserve">, f. único; </w:t>
      </w:r>
      <w:hyperlink w:anchor="SENTENCIA_2021_101" w:history="1">
        <w:r w:rsidRPr="00DE0EC2">
          <w:rPr>
            <w:rStyle w:val="TextoNormalCaracter"/>
          </w:rPr>
          <w:t>101/2021</w:t>
        </w:r>
      </w:hyperlink>
      <w:r w:rsidRPr="00DE0EC2">
        <w:rPr>
          <w:rStyle w:val="TextoNormalCaracter"/>
        </w:rPr>
        <w:t xml:space="preserve">, f. 4; </w:t>
      </w:r>
      <w:hyperlink w:anchor="SENTENCIA_2021_102" w:history="1">
        <w:r w:rsidRPr="00DE0EC2">
          <w:rPr>
            <w:rStyle w:val="TextoNormalCaracter"/>
          </w:rPr>
          <w:t>102/2021</w:t>
        </w:r>
      </w:hyperlink>
      <w:r w:rsidRPr="00DE0EC2">
        <w:rPr>
          <w:rStyle w:val="TextoNormalCaracter"/>
        </w:rPr>
        <w:t xml:space="preserve">, f. 4; </w:t>
      </w:r>
      <w:hyperlink w:anchor="SENTENCIA_2021_103" w:history="1">
        <w:r w:rsidRPr="00DE0EC2">
          <w:rPr>
            <w:rStyle w:val="TextoNormalCaracter"/>
          </w:rPr>
          <w:t>103/2021</w:t>
        </w:r>
      </w:hyperlink>
      <w:r w:rsidRPr="00DE0EC2">
        <w:rPr>
          <w:rStyle w:val="TextoNormalCaracter"/>
        </w:rPr>
        <w:t xml:space="preserve">, f. único; </w:t>
      </w:r>
      <w:hyperlink w:anchor="SENTENCIA_2021_113" w:history="1">
        <w:r w:rsidRPr="00DE0EC2">
          <w:rPr>
            <w:rStyle w:val="TextoNormalCaracter"/>
          </w:rPr>
          <w:t>113/2021</w:t>
        </w:r>
      </w:hyperlink>
      <w:r w:rsidRPr="00DE0EC2">
        <w:rPr>
          <w:rStyle w:val="TextoNormalCaracter"/>
        </w:rPr>
        <w:t xml:space="preserve">, f. 3; </w:t>
      </w:r>
      <w:hyperlink w:anchor="SENTENCIA_2021_115" w:history="1">
        <w:r w:rsidRPr="00DE0EC2">
          <w:rPr>
            <w:rStyle w:val="TextoNormalCaracter"/>
          </w:rPr>
          <w:t>115/2021</w:t>
        </w:r>
      </w:hyperlink>
      <w:r w:rsidRPr="00DE0EC2">
        <w:rPr>
          <w:rStyle w:val="TextoNormalCaracter"/>
        </w:rPr>
        <w:t xml:space="preserve">, f. 2; </w:t>
      </w:r>
      <w:hyperlink w:anchor="SENTENCIA_2021_117" w:history="1">
        <w:r w:rsidRPr="00DE0EC2">
          <w:rPr>
            <w:rStyle w:val="TextoNormalCaracter"/>
          </w:rPr>
          <w:t>117/2021</w:t>
        </w:r>
      </w:hyperlink>
      <w:r w:rsidRPr="00DE0EC2">
        <w:rPr>
          <w:rStyle w:val="TextoNormalCaracter"/>
        </w:rPr>
        <w:t xml:space="preserve">, ff. 3, 4; </w:t>
      </w:r>
      <w:hyperlink w:anchor="SENTENCIA_2021_118" w:history="1">
        <w:r w:rsidRPr="00DE0EC2">
          <w:rPr>
            <w:rStyle w:val="TextoNormalCaracter"/>
          </w:rPr>
          <w:t>118/2021</w:t>
        </w:r>
      </w:hyperlink>
      <w:r w:rsidRPr="00DE0EC2">
        <w:rPr>
          <w:rStyle w:val="TextoNormalCaracter"/>
        </w:rPr>
        <w:t xml:space="preserve">, ff. 2, 3; </w:t>
      </w:r>
      <w:hyperlink w:anchor="SENTENCIA_2021_129" w:history="1">
        <w:r w:rsidRPr="00DE0EC2">
          <w:rPr>
            <w:rStyle w:val="TextoNormalCaracter"/>
          </w:rPr>
          <w:t>129/2021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915" w:name="DESCRIPTORALFABETICO109"/>
      <w:r w:rsidRPr="00DE0EC2">
        <w:rPr>
          <w:rStyle w:val="TextoNormalNegritaCaracter"/>
        </w:rPr>
        <w:t>Derecho a la última palabra</w:t>
      </w:r>
      <w:bookmarkEnd w:id="915"/>
      <w:r w:rsidRPr="00DE0EC2">
        <w:rPr>
          <w:rStyle w:val="TextoNormalCaracter"/>
        </w:rPr>
        <w:t xml:space="preserve">, Sentencia </w:t>
      </w:r>
      <w:hyperlink w:anchor="SENTENCIA_2021_35" w:history="1">
        <w:r w:rsidRPr="00DE0EC2">
          <w:rPr>
            <w:rStyle w:val="TextoNormalCaracter"/>
          </w:rPr>
          <w:t>35/2021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916" w:name="DESCRIPTORALFABETICO94"/>
      <w:r w:rsidRPr="00DE0EC2">
        <w:rPr>
          <w:rStyle w:val="TextoNormalNegritaCaracter"/>
        </w:rPr>
        <w:t>Derecho a no padecer discriminación</w:t>
      </w:r>
      <w:bookmarkEnd w:id="916"/>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81" w:history="1">
        <w:r w:rsidRPr="00DE0EC2">
          <w:rPr>
            <w:rStyle w:val="TextoNormalCaracter"/>
          </w:rPr>
          <w:t>81/2021</w:t>
        </w:r>
      </w:hyperlink>
      <w:r w:rsidRPr="00DE0EC2">
        <w:rPr>
          <w:rStyle w:val="TextoNormalCaracter"/>
        </w:rPr>
        <w:t>, f. 4.</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51" w:history="1">
        <w:r w:rsidRPr="00DE0EC2">
          <w:rPr>
            <w:rStyle w:val="TextoNormalCaracter"/>
          </w:rPr>
          <w:t>51/2021</w:t>
        </w:r>
      </w:hyperlink>
      <w:r w:rsidRPr="00DE0EC2">
        <w:rPr>
          <w:rStyle w:val="TextoNormalCaracter"/>
        </w:rPr>
        <w:t xml:space="preserve">, ff. 3, 4; </w:t>
      </w:r>
      <w:hyperlink w:anchor="SENTENCIA_2021_119" w:history="1">
        <w:r w:rsidRPr="00DE0EC2">
          <w:rPr>
            <w:rStyle w:val="TextoNormalCaracter"/>
          </w:rPr>
          <w:t>119/2021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17" w:name="DESCRIPTORALFABETICO72"/>
      <w:r w:rsidRPr="00DE0EC2">
        <w:rPr>
          <w:rStyle w:val="TextoNormalNegritaCaracter"/>
        </w:rPr>
        <w:t>Derecho a obtener una resolución sobre el fondo de las pretensiones</w:t>
      </w:r>
      <w:bookmarkEnd w:id="917"/>
      <w:r w:rsidRPr="00DE0EC2">
        <w:rPr>
          <w:rStyle w:val="TextoNormalCaracter"/>
        </w:rPr>
        <w:t xml:space="preserve">, Sentencia </w:t>
      </w:r>
      <w:hyperlink w:anchor="SENTENCIA_2021_119" w:history="1">
        <w:r w:rsidRPr="00DE0EC2">
          <w:rPr>
            <w:rStyle w:val="TextoNormalCaracter"/>
          </w:rPr>
          <w:t>119/2021</w:t>
        </w:r>
      </w:hyperlink>
      <w:r w:rsidRPr="00DE0EC2">
        <w:rPr>
          <w:rStyle w:val="TextoNormalCaracter"/>
        </w:rPr>
        <w:t>, f. 2.</w:t>
      </w:r>
    </w:p>
    <w:p w:rsidR="00DE0EC2" w:rsidRPr="00DE0EC2" w:rsidRDefault="00DE0EC2" w:rsidP="00DE0EC2">
      <w:pPr>
        <w:pStyle w:val="TextoNormalSangraFrancesa"/>
        <w:rPr>
          <w:rStyle w:val="TextoNormalCaracter"/>
        </w:rPr>
      </w:pPr>
      <w:bookmarkStart w:id="918" w:name="DESCRIPTORALFABETICO100"/>
      <w:r w:rsidRPr="00DE0EC2">
        <w:rPr>
          <w:rStyle w:val="TextoNormalNegritaCaracter"/>
        </w:rPr>
        <w:t>Derecho a participar en los asuntos públicos</w:t>
      </w:r>
      <w:bookmarkEnd w:id="918"/>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 </w:t>
      </w:r>
      <w:hyperlink w:anchor="SENTENCIA_2021_53" w:history="1">
        <w:r w:rsidRPr="00DE0EC2">
          <w:rPr>
            <w:rStyle w:val="TextoNormalCaracter"/>
          </w:rPr>
          <w:t>53/2021</w:t>
        </w:r>
      </w:hyperlink>
      <w:r w:rsidRPr="00DE0EC2">
        <w:rPr>
          <w:rStyle w:val="TextoNormalCaracter"/>
        </w:rPr>
        <w:t>, ff. 3, 5, 6.</w:t>
      </w:r>
    </w:p>
    <w:p w:rsidR="00DE0EC2" w:rsidRPr="00DE0EC2" w:rsidRDefault="00DE0EC2" w:rsidP="00DE0EC2">
      <w:pPr>
        <w:pStyle w:val="TextoNormalSangraFrancesa"/>
        <w:rPr>
          <w:rStyle w:val="TextoNormalCaracter"/>
        </w:rPr>
      </w:pPr>
      <w:bookmarkStart w:id="919" w:name="DESCRIPTORALFABETICO110"/>
      <w:r w:rsidRPr="00DE0EC2">
        <w:rPr>
          <w:rStyle w:val="TextoNormalNegritaCaracter"/>
        </w:rPr>
        <w:t>Derecho a ser oído del acusado en segunda instancia</w:t>
      </w:r>
      <w:bookmarkEnd w:id="919"/>
      <w:r w:rsidRPr="00DE0EC2">
        <w:rPr>
          <w:rStyle w:val="TextoNormalCaracter"/>
        </w:rPr>
        <w:t xml:space="preserve">, Sentencia </w:t>
      </w:r>
      <w:hyperlink w:anchor="SENTENCIA_2021_18" w:history="1">
        <w:r w:rsidRPr="00DE0EC2">
          <w:rPr>
            <w:rStyle w:val="TextoNormalCaracter"/>
          </w:rPr>
          <w:t>18/2021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20" w:name="DESCRIPTORALFABETICO112"/>
      <w:r w:rsidRPr="00DE0EC2">
        <w:rPr>
          <w:rStyle w:val="TextoNormalNegritaCaracter"/>
        </w:rPr>
        <w:t>Derecho a un juez imparcial</w:t>
      </w:r>
      <w:bookmarkEnd w:id="920"/>
      <w:r w:rsidRPr="00DE0EC2">
        <w:rPr>
          <w:rStyle w:val="TextoNormalCaracter"/>
        </w:rPr>
        <w:t xml:space="preserve">, Sentencia </w:t>
      </w:r>
      <w:hyperlink w:anchor="SENTENCIA_2021_122" w:history="1">
        <w:r w:rsidRPr="00DE0EC2">
          <w:rPr>
            <w:rStyle w:val="TextoNormalCaracter"/>
          </w:rPr>
          <w:t>122/2021</w:t>
        </w:r>
      </w:hyperlink>
      <w:r w:rsidRPr="00DE0EC2">
        <w:rPr>
          <w:rStyle w:val="TextoNormalCaracter"/>
        </w:rPr>
        <w:t>, f. 7.</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91" w:history="1">
        <w:r w:rsidRPr="00DE0EC2">
          <w:rPr>
            <w:rStyle w:val="TextoNormalCaracter"/>
          </w:rPr>
          <w:t>91/2021</w:t>
        </w:r>
      </w:hyperlink>
      <w:r w:rsidRPr="00DE0EC2">
        <w:rPr>
          <w:rStyle w:val="TextoNormalCaracter"/>
        </w:rPr>
        <w:t xml:space="preserve">, f. 5; </w:t>
      </w:r>
      <w:hyperlink w:anchor="SENTENCIA_2021_106" w:history="1">
        <w:r w:rsidRPr="00DE0EC2">
          <w:rPr>
            <w:rStyle w:val="TextoNormalCaracter"/>
          </w:rPr>
          <w:t>106/2021</w:t>
        </w:r>
      </w:hyperlink>
      <w:r w:rsidRPr="00DE0EC2">
        <w:rPr>
          <w:rStyle w:val="TextoNormalCaracter"/>
        </w:rPr>
        <w:t xml:space="preserve">, f. 5; </w:t>
      </w:r>
      <w:hyperlink w:anchor="SENTENCIA_2021_121" w:history="1">
        <w:r w:rsidRPr="00DE0EC2">
          <w:rPr>
            <w:rStyle w:val="TextoNormalCaracter"/>
          </w:rPr>
          <w:t>121/2021</w:t>
        </w:r>
      </w:hyperlink>
      <w:r w:rsidRPr="00DE0EC2">
        <w:rPr>
          <w:rStyle w:val="TextoNormalCaracter"/>
        </w:rPr>
        <w:t>, f. 6.</w:t>
      </w:r>
    </w:p>
    <w:p w:rsidR="00DE0EC2" w:rsidRPr="00DE0EC2" w:rsidRDefault="00DE0EC2" w:rsidP="00DE0EC2">
      <w:pPr>
        <w:pStyle w:val="TextoNormalSangraFrancesa"/>
        <w:rPr>
          <w:rStyle w:val="TextoNormalCaracter"/>
        </w:rPr>
      </w:pPr>
      <w:bookmarkStart w:id="921" w:name="DESCRIPTORALFABETICO104"/>
      <w:r w:rsidRPr="00DE0EC2">
        <w:rPr>
          <w:rStyle w:val="TextoNormalNegritaCaracter"/>
        </w:rPr>
        <w:t>Derecho a un proceso con todas las garantías</w:t>
      </w:r>
      <w:bookmarkEnd w:id="921"/>
      <w:r w:rsidRPr="00DE0EC2">
        <w:rPr>
          <w:rStyle w:val="TextoNormalCaracter"/>
        </w:rPr>
        <w:t xml:space="preserve">, Auto </w:t>
      </w:r>
      <w:hyperlink w:anchor="AUTO_2021_66" w:history="1">
        <w:r w:rsidRPr="00DE0EC2">
          <w:rPr>
            <w:rStyle w:val="TextoNormalCaracter"/>
          </w:rPr>
          <w:t>66/2021</w:t>
        </w:r>
      </w:hyperlink>
      <w:r w:rsidRPr="00DE0EC2">
        <w:rPr>
          <w:rStyle w:val="TextoNormalCaracter"/>
        </w:rPr>
        <w:t>, ff. 2 a 4.</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22" w:history="1">
        <w:r w:rsidRPr="00DE0EC2">
          <w:rPr>
            <w:rStyle w:val="TextoNormalCaracter"/>
          </w:rPr>
          <w:t>22/2021</w:t>
        </w:r>
      </w:hyperlink>
      <w:r w:rsidRPr="00DE0EC2">
        <w:rPr>
          <w:rStyle w:val="TextoNormalCaracter"/>
        </w:rPr>
        <w:t xml:space="preserve">, ff. 2 a 4; </w:t>
      </w:r>
      <w:hyperlink w:anchor="SENTENCIA_2021_70" w:history="1">
        <w:r w:rsidRPr="00DE0EC2">
          <w:rPr>
            <w:rStyle w:val="TextoNormalCaracter"/>
          </w:rPr>
          <w:t>70/2021</w:t>
        </w:r>
      </w:hyperlink>
      <w:r w:rsidRPr="00DE0EC2">
        <w:rPr>
          <w:rStyle w:val="TextoNormalCaracter"/>
        </w:rPr>
        <w:t xml:space="preserve">, ff. 3, 6; </w:t>
      </w:r>
      <w:hyperlink w:anchor="SENTENCIA_2021_71" w:history="1">
        <w:r w:rsidRPr="00DE0EC2">
          <w:rPr>
            <w:rStyle w:val="TextoNormalCaracter"/>
          </w:rPr>
          <w:t>71/2021</w:t>
        </w:r>
      </w:hyperlink>
      <w:r w:rsidRPr="00DE0EC2">
        <w:rPr>
          <w:rStyle w:val="TextoNormalCaracter"/>
        </w:rPr>
        <w:t xml:space="preserve">, f. 6; </w:t>
      </w:r>
      <w:hyperlink w:anchor="SENTENCIA_2021_107" w:history="1">
        <w:r w:rsidRPr="00DE0EC2">
          <w:rPr>
            <w:rStyle w:val="TextoNormalCaracter"/>
          </w:rPr>
          <w:t>107/2021</w:t>
        </w:r>
      </w:hyperlink>
      <w:r w:rsidRPr="00DE0EC2">
        <w:rPr>
          <w:rStyle w:val="TextoNormalCaracter"/>
        </w:rPr>
        <w:t xml:space="preserve">, ff. 3, 4; </w:t>
      </w:r>
      <w:hyperlink w:anchor="SENTENCIA_2021_108" w:history="1">
        <w:r w:rsidRPr="00DE0EC2">
          <w:rPr>
            <w:rStyle w:val="TextoNormalCaracter"/>
          </w:rPr>
          <w:t>108/2021</w:t>
        </w:r>
      </w:hyperlink>
      <w:r w:rsidRPr="00DE0EC2">
        <w:rPr>
          <w:rStyle w:val="TextoNormalCaracter"/>
        </w:rPr>
        <w:t xml:space="preserve">, f. 6; </w:t>
      </w:r>
      <w:hyperlink w:anchor="SENTENCIA_2021_120" w:history="1">
        <w:r w:rsidRPr="00DE0EC2">
          <w:rPr>
            <w:rStyle w:val="TextoNormalCaracter"/>
          </w:rPr>
          <w:t>120/2021</w:t>
        </w:r>
      </w:hyperlink>
      <w:r w:rsidRPr="00DE0EC2">
        <w:rPr>
          <w:rStyle w:val="TextoNormalCaracter"/>
        </w:rPr>
        <w:t xml:space="preserve">, f. 4; </w:t>
      </w:r>
      <w:hyperlink w:anchor="SENTENCIA_2021_133" w:history="1">
        <w:r w:rsidRPr="00DE0EC2">
          <w:rPr>
            <w:rStyle w:val="TextoNormalCaracter"/>
          </w:rPr>
          <w:t>133/2021</w:t>
        </w:r>
      </w:hyperlink>
      <w:r w:rsidRPr="00DE0EC2">
        <w:rPr>
          <w:rStyle w:val="TextoNormalCaracter"/>
        </w:rPr>
        <w:t xml:space="preserve">, f. 8; </w:t>
      </w:r>
      <w:hyperlink w:anchor="SENTENCIA_2021_135" w:history="1">
        <w:r w:rsidRPr="00DE0EC2">
          <w:rPr>
            <w:rStyle w:val="TextoNormalCaracter"/>
          </w:rPr>
          <w:t>135/2021</w:t>
        </w:r>
      </w:hyperlink>
      <w:r w:rsidRPr="00DE0EC2">
        <w:rPr>
          <w:rStyle w:val="TextoNormalCaracter"/>
        </w:rPr>
        <w:t>, f. 4.</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3" w:history="1">
        <w:r w:rsidRPr="00DE0EC2">
          <w:rPr>
            <w:rStyle w:val="TextoNormalCaracter"/>
          </w:rPr>
          <w:t>3/2021</w:t>
        </w:r>
      </w:hyperlink>
      <w:r w:rsidRPr="00DE0EC2">
        <w:rPr>
          <w:rStyle w:val="TextoNormalCaracter"/>
        </w:rPr>
        <w:t xml:space="preserve">, f. 4; </w:t>
      </w:r>
      <w:hyperlink w:anchor="SENTENCIA_2021_4" w:history="1">
        <w:r w:rsidRPr="00DE0EC2">
          <w:rPr>
            <w:rStyle w:val="TextoNormalCaracter"/>
          </w:rPr>
          <w:t>4/2021</w:t>
        </w:r>
      </w:hyperlink>
      <w:r w:rsidRPr="00DE0EC2">
        <w:rPr>
          <w:rStyle w:val="TextoNormalCaracter"/>
        </w:rPr>
        <w:t xml:space="preserve">, ff. 3, 4; </w:t>
      </w:r>
      <w:hyperlink w:anchor="SENTENCIA_2021_35" w:history="1">
        <w:r w:rsidRPr="00DE0EC2">
          <w:rPr>
            <w:rStyle w:val="TextoNormalCaracter"/>
          </w:rPr>
          <w:t>35/2021</w:t>
        </w:r>
      </w:hyperlink>
      <w:r w:rsidRPr="00DE0EC2">
        <w:rPr>
          <w:rStyle w:val="TextoNormalCaracter"/>
        </w:rPr>
        <w:t xml:space="preserve">, ff. 2 a 4; </w:t>
      </w:r>
      <w:hyperlink w:anchor="SENTENCIA_2021_51" w:history="1">
        <w:r w:rsidRPr="00DE0EC2">
          <w:rPr>
            <w:rStyle w:val="TextoNormalCaracter"/>
          </w:rPr>
          <w:t>51/2021</w:t>
        </w:r>
      </w:hyperlink>
      <w:r w:rsidRPr="00DE0EC2">
        <w:rPr>
          <w:rStyle w:val="TextoNormalCaracter"/>
        </w:rPr>
        <w:t xml:space="preserve">, ff. 5, 6; </w:t>
      </w:r>
      <w:hyperlink w:anchor="SENTENCIA_2021_132" w:history="1">
        <w:r w:rsidRPr="00DE0EC2">
          <w:rPr>
            <w:rStyle w:val="TextoNormalCaracter"/>
          </w:rPr>
          <w:t>132/2021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922" w:name="DESCRIPTORALFABETICO114"/>
      <w:r w:rsidRPr="00DE0EC2">
        <w:rPr>
          <w:rStyle w:val="TextoNormalNegritaCaracter"/>
        </w:rPr>
        <w:t>Derecho a utilizar medios de prueba</w:t>
      </w:r>
      <w:bookmarkEnd w:id="922"/>
      <w:r w:rsidRPr="00DE0EC2">
        <w:rPr>
          <w:rStyle w:val="TextoNormalCaracter"/>
        </w:rPr>
        <w:t xml:space="preserve">, Sentencia </w:t>
      </w:r>
      <w:hyperlink w:anchor="SENTENCIA_2021_122" w:history="1">
        <w:r w:rsidRPr="00DE0EC2">
          <w:rPr>
            <w:rStyle w:val="TextoNormalCaracter"/>
          </w:rPr>
          <w:t>122/2021</w:t>
        </w:r>
      </w:hyperlink>
      <w:r w:rsidRPr="00DE0EC2">
        <w:rPr>
          <w:rStyle w:val="TextoNormalCaracter"/>
        </w:rPr>
        <w:t>, f. 7.</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91" w:history="1">
        <w:r w:rsidRPr="00DE0EC2">
          <w:rPr>
            <w:rStyle w:val="TextoNormalCaracter"/>
          </w:rPr>
          <w:t>91/2021</w:t>
        </w:r>
      </w:hyperlink>
      <w:r w:rsidRPr="00DE0EC2">
        <w:rPr>
          <w:rStyle w:val="TextoNormalCaracter"/>
        </w:rPr>
        <w:t xml:space="preserve">, f. 7; </w:t>
      </w:r>
      <w:hyperlink w:anchor="SENTENCIA_2021_106" w:history="1">
        <w:r w:rsidRPr="00DE0EC2">
          <w:rPr>
            <w:rStyle w:val="TextoNormalCaracter"/>
          </w:rPr>
          <w:t>106/2021</w:t>
        </w:r>
      </w:hyperlink>
      <w:r w:rsidRPr="00DE0EC2">
        <w:rPr>
          <w:rStyle w:val="TextoNormalCaracter"/>
        </w:rPr>
        <w:t xml:space="preserve">, f. 5, 7; </w:t>
      </w:r>
      <w:hyperlink w:anchor="SENTENCIA_2021_107" w:history="1">
        <w:r w:rsidRPr="00DE0EC2">
          <w:rPr>
            <w:rStyle w:val="TextoNormalCaracter"/>
          </w:rPr>
          <w:t>107/2021</w:t>
        </w:r>
      </w:hyperlink>
      <w:r w:rsidRPr="00DE0EC2">
        <w:rPr>
          <w:rStyle w:val="TextoNormalCaracter"/>
        </w:rPr>
        <w:t xml:space="preserve">, ff. 3, 4; </w:t>
      </w:r>
      <w:hyperlink w:anchor="SENTENCIA_2021_121" w:history="1">
        <w:r w:rsidRPr="00DE0EC2">
          <w:rPr>
            <w:rStyle w:val="TextoNormalCaracter"/>
          </w:rPr>
          <w:t>121/2021</w:t>
        </w:r>
      </w:hyperlink>
      <w:r w:rsidRPr="00DE0EC2">
        <w:rPr>
          <w:rStyle w:val="TextoNormalCaracter"/>
        </w:rPr>
        <w:t>, f. 8.</w:t>
      </w:r>
    </w:p>
    <w:p w:rsidR="00DE0EC2" w:rsidRPr="00DE0EC2" w:rsidRDefault="00DE0EC2" w:rsidP="00DE0EC2">
      <w:pPr>
        <w:pStyle w:val="TextoNormalSangraFrancesa"/>
        <w:rPr>
          <w:rStyle w:val="TextoNormalCaracter"/>
        </w:rPr>
      </w:pPr>
      <w:bookmarkStart w:id="923" w:name="DESCRIPTORALFABETICO118"/>
      <w:r w:rsidRPr="00DE0EC2">
        <w:rPr>
          <w:rStyle w:val="TextoNormalNegritaCaracter"/>
        </w:rPr>
        <w:t>Derecho al honor</w:t>
      </w:r>
      <w:bookmarkEnd w:id="923"/>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108" w:history="1">
        <w:r w:rsidRPr="00DE0EC2">
          <w:rPr>
            <w:rStyle w:val="TextoNormalCaracter"/>
          </w:rPr>
          <w:t>108/2021</w:t>
        </w:r>
      </w:hyperlink>
      <w:r w:rsidRPr="00DE0EC2">
        <w:rPr>
          <w:rStyle w:val="TextoNormalCaracter"/>
        </w:rPr>
        <w:t xml:space="preserve">, f. 8; </w:t>
      </w:r>
      <w:hyperlink w:anchor="SENTENCIA_2021_135" w:history="1">
        <w:r w:rsidRPr="00DE0EC2">
          <w:rPr>
            <w:rStyle w:val="TextoNormalCaracter"/>
          </w:rPr>
          <w:t>135/2021</w:t>
        </w:r>
      </w:hyperlink>
      <w:r w:rsidRPr="00DE0EC2">
        <w:rPr>
          <w:rStyle w:val="TextoNormalCaracter"/>
        </w:rPr>
        <w:t>, f. 4.</w:t>
      </w:r>
    </w:p>
    <w:p w:rsidR="00DE0EC2" w:rsidRPr="00DE0EC2" w:rsidRDefault="00DE0EC2" w:rsidP="00DE0EC2">
      <w:pPr>
        <w:pStyle w:val="TextoNormalSangraFrancesa"/>
        <w:rPr>
          <w:rStyle w:val="TextoNormalCaracter"/>
        </w:rPr>
      </w:pPr>
      <w:bookmarkStart w:id="924" w:name="DESCRIPTORALFABETICO115"/>
      <w:r w:rsidRPr="00DE0EC2">
        <w:rPr>
          <w:rStyle w:val="TextoNormalNegritaCaracter"/>
        </w:rPr>
        <w:t>Derecho al juez predeterminado por la ley</w:t>
      </w:r>
      <w:bookmarkEnd w:id="924"/>
      <w:r w:rsidRPr="00DE0EC2">
        <w:rPr>
          <w:rStyle w:val="TextoNormalCaracter"/>
        </w:rPr>
        <w:t xml:space="preserve">, Sentencia </w:t>
      </w:r>
      <w:hyperlink w:anchor="SENTENCIA_2021_122" w:history="1">
        <w:r w:rsidRPr="00DE0EC2">
          <w:rPr>
            <w:rStyle w:val="TextoNormalCaracter"/>
          </w:rPr>
          <w:t>122/2021</w:t>
        </w:r>
      </w:hyperlink>
      <w:r w:rsidRPr="00DE0EC2">
        <w:rPr>
          <w:rStyle w:val="TextoNormalCaracter"/>
        </w:rPr>
        <w:t>, f. 4.</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34" w:history="1">
        <w:r w:rsidRPr="00DE0EC2">
          <w:rPr>
            <w:rStyle w:val="TextoNormalCaracter"/>
          </w:rPr>
          <w:t>34/2021</w:t>
        </w:r>
      </w:hyperlink>
      <w:r w:rsidRPr="00DE0EC2">
        <w:rPr>
          <w:rStyle w:val="TextoNormalCaracter"/>
        </w:rPr>
        <w:t xml:space="preserve">, ff. 3 a 5; </w:t>
      </w:r>
      <w:hyperlink w:anchor="SENTENCIA_2021_91" w:history="1">
        <w:r w:rsidRPr="00DE0EC2">
          <w:rPr>
            <w:rStyle w:val="TextoNormalCaracter"/>
          </w:rPr>
          <w:t>91/2021</w:t>
        </w:r>
      </w:hyperlink>
      <w:r w:rsidRPr="00DE0EC2">
        <w:rPr>
          <w:rStyle w:val="TextoNormalCaracter"/>
        </w:rPr>
        <w:t xml:space="preserve">, f. 3; </w:t>
      </w:r>
      <w:hyperlink w:anchor="SENTENCIA_2021_106" w:history="1">
        <w:r w:rsidRPr="00DE0EC2">
          <w:rPr>
            <w:rStyle w:val="TextoNormalCaracter"/>
          </w:rPr>
          <w:t>106/2021</w:t>
        </w:r>
      </w:hyperlink>
      <w:r w:rsidRPr="00DE0EC2">
        <w:rPr>
          <w:rStyle w:val="TextoNormalCaracter"/>
        </w:rPr>
        <w:t xml:space="preserve">, f. 3; </w:t>
      </w:r>
      <w:hyperlink w:anchor="SENTENCIA_2021_108" w:history="1">
        <w:r w:rsidRPr="00DE0EC2">
          <w:rPr>
            <w:rStyle w:val="TextoNormalCaracter"/>
          </w:rPr>
          <w:t>108/2021</w:t>
        </w:r>
      </w:hyperlink>
      <w:r w:rsidRPr="00DE0EC2">
        <w:rPr>
          <w:rStyle w:val="TextoNormalCaracter"/>
        </w:rPr>
        <w:t xml:space="preserve">, f. 6; </w:t>
      </w:r>
      <w:hyperlink w:anchor="SENTENCIA_2021_121" w:history="1">
        <w:r w:rsidRPr="00DE0EC2">
          <w:rPr>
            <w:rStyle w:val="TextoNormalCaracter"/>
          </w:rPr>
          <w:t>121/2021</w:t>
        </w:r>
      </w:hyperlink>
      <w:r w:rsidRPr="00DE0EC2">
        <w:rPr>
          <w:rStyle w:val="TextoNormalCaracter"/>
        </w:rPr>
        <w:t xml:space="preserve">, f. 4; </w:t>
      </w:r>
      <w:hyperlink w:anchor="SENTENCIA_2021_135" w:history="1">
        <w:r w:rsidRPr="00DE0EC2">
          <w:rPr>
            <w:rStyle w:val="TextoNormalCaracter"/>
          </w:rPr>
          <w:t>135/2021</w:t>
        </w:r>
      </w:hyperlink>
      <w:r w:rsidRPr="00DE0EC2">
        <w:rPr>
          <w:rStyle w:val="TextoNormalCaracter"/>
        </w:rPr>
        <w:t>, f. 4.</w:t>
      </w:r>
    </w:p>
    <w:p w:rsidR="00DE0EC2" w:rsidRPr="00DE0EC2" w:rsidRDefault="00DE0EC2" w:rsidP="00DE0EC2">
      <w:pPr>
        <w:pStyle w:val="TextoNormalSangraFrancesa"/>
        <w:rPr>
          <w:rStyle w:val="TextoNormalCaracter"/>
        </w:rPr>
      </w:pPr>
      <w:bookmarkStart w:id="925" w:name="DESCRIPTORALFABETICO120"/>
      <w:r w:rsidRPr="00DE0EC2">
        <w:rPr>
          <w:rStyle w:val="TextoNormalNegritaCaracter"/>
        </w:rPr>
        <w:t>Derecho al secreto de las comunicaciones</w:t>
      </w:r>
      <w:bookmarkEnd w:id="925"/>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ff. 3, 6, VP I.</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99" w:history="1">
        <w:r w:rsidRPr="00DE0EC2">
          <w:rPr>
            <w:rStyle w:val="TextoNormalCaracter"/>
          </w:rPr>
          <w:t>99/2021</w:t>
        </w:r>
      </w:hyperlink>
      <w:r w:rsidRPr="00DE0EC2">
        <w:rPr>
          <w:rStyle w:val="TextoNormalCaracter"/>
        </w:rPr>
        <w:t>, ff. 7, 8.</w:t>
      </w:r>
    </w:p>
    <w:p w:rsidR="00DE0EC2" w:rsidRPr="00DE0EC2" w:rsidRDefault="00DE0EC2" w:rsidP="00DE0EC2">
      <w:pPr>
        <w:pStyle w:val="TextoNormalSangraFrancesa"/>
        <w:rPr>
          <w:rStyle w:val="TextoNormalCaracter"/>
        </w:rPr>
      </w:pPr>
      <w:bookmarkStart w:id="926" w:name="DESCRIPTORALFABETICO73"/>
      <w:r w:rsidRPr="00DE0EC2">
        <w:rPr>
          <w:rStyle w:val="TextoNormalNegritaCaracter"/>
        </w:rPr>
        <w:t>Derecho de acceso a la jurisdicción</w:t>
      </w:r>
      <w:bookmarkEnd w:id="926"/>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130" w:history="1">
        <w:r w:rsidRPr="00DE0EC2">
          <w:rPr>
            <w:rStyle w:val="TextoNormalCaracter"/>
          </w:rPr>
          <w:t>130/2021</w:t>
        </w:r>
      </w:hyperlink>
      <w:r w:rsidRPr="00DE0EC2">
        <w:rPr>
          <w:rStyle w:val="TextoNormalCaracter"/>
        </w:rPr>
        <w:t xml:space="preserve">, f. 2; </w:t>
      </w:r>
      <w:hyperlink w:anchor="SENTENCIA_2021_131" w:history="1">
        <w:r w:rsidRPr="00DE0EC2">
          <w:rPr>
            <w:rStyle w:val="TextoNormalCaracter"/>
          </w:rPr>
          <w:t>131/2021</w:t>
        </w:r>
      </w:hyperlink>
      <w:r w:rsidRPr="00DE0EC2">
        <w:rPr>
          <w:rStyle w:val="TextoNormalCaracter"/>
        </w:rPr>
        <w:t>, f. 3.</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29" w:history="1">
        <w:r w:rsidRPr="00DE0EC2">
          <w:rPr>
            <w:rStyle w:val="TextoNormalCaracter"/>
          </w:rPr>
          <w:t>29/2021</w:t>
        </w:r>
      </w:hyperlink>
      <w:r w:rsidRPr="00DE0EC2">
        <w:rPr>
          <w:rStyle w:val="TextoNormalCaracter"/>
        </w:rPr>
        <w:t xml:space="preserve">, ff. 3 a 5; </w:t>
      </w:r>
      <w:hyperlink w:anchor="SENTENCIA_2021_57" w:history="1">
        <w:r w:rsidRPr="00DE0EC2">
          <w:rPr>
            <w:rStyle w:val="TextoNormalCaracter"/>
          </w:rPr>
          <w:t>57/2021</w:t>
        </w:r>
      </w:hyperlink>
      <w:r w:rsidRPr="00DE0EC2">
        <w:rPr>
          <w:rStyle w:val="TextoNormalCaracter"/>
        </w:rPr>
        <w:t xml:space="preserve">, f.4; </w:t>
      </w:r>
      <w:hyperlink w:anchor="SENTENCIA_2021_63" w:history="1">
        <w:r w:rsidRPr="00DE0EC2">
          <w:rPr>
            <w:rStyle w:val="TextoNormalCaracter"/>
          </w:rPr>
          <w:t>63/2021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27" w:name="DESCRIPTORALFABETICO62"/>
      <w:r w:rsidRPr="00DE0EC2">
        <w:rPr>
          <w:rStyle w:val="TextoNormalNegritaCaracter"/>
        </w:rPr>
        <w:t>Derecho de acceso a las actuaciones durante la detención</w:t>
      </w:r>
      <w:bookmarkEnd w:id="927"/>
      <w:r w:rsidRPr="00DE0EC2">
        <w:rPr>
          <w:rStyle w:val="TextoNormalCaracter"/>
        </w:rPr>
        <w:t xml:space="preserve">, Sentencia </w:t>
      </w:r>
      <w:hyperlink w:anchor="SENTENCIA_2021_80" w:history="1">
        <w:r w:rsidRPr="00DE0EC2">
          <w:rPr>
            <w:rStyle w:val="TextoNormalCaracter"/>
          </w:rPr>
          <w:t>80/2021</w:t>
        </w:r>
      </w:hyperlink>
      <w:r w:rsidRPr="00DE0EC2">
        <w:rPr>
          <w:rStyle w:val="TextoNormalCaracter"/>
        </w:rPr>
        <w:t>, ff. 3 a 6.</w:t>
      </w:r>
    </w:p>
    <w:p w:rsidR="00DE0EC2" w:rsidRPr="00DE0EC2" w:rsidRDefault="00DE0EC2" w:rsidP="00DE0EC2">
      <w:pPr>
        <w:pStyle w:val="TextoNormalSangraFrancesa"/>
        <w:rPr>
          <w:rStyle w:val="TextoNormalCaracter"/>
        </w:rPr>
      </w:pPr>
      <w:bookmarkStart w:id="928" w:name="DESCRIPTORALFABETICO74"/>
      <w:r w:rsidRPr="00DE0EC2">
        <w:rPr>
          <w:rStyle w:val="TextoNormalNegritaCaracter"/>
        </w:rPr>
        <w:t>Derecho de acceso al recurso legal</w:t>
      </w:r>
      <w:bookmarkEnd w:id="928"/>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11" w:history="1">
        <w:r w:rsidRPr="00DE0EC2">
          <w:rPr>
            <w:rStyle w:val="TextoNormalCaracter"/>
          </w:rPr>
          <w:t>11/2021</w:t>
        </w:r>
      </w:hyperlink>
      <w:r w:rsidRPr="00DE0EC2">
        <w:rPr>
          <w:rStyle w:val="TextoNormalCaracter"/>
        </w:rPr>
        <w:t xml:space="preserve">, f. único; </w:t>
      </w:r>
      <w:hyperlink w:anchor="SENTENCIA_2021_96" w:history="1">
        <w:r w:rsidRPr="00DE0EC2">
          <w:rPr>
            <w:rStyle w:val="TextoNormalCaracter"/>
          </w:rPr>
          <w:t>96/2021</w:t>
        </w:r>
      </w:hyperlink>
      <w:r w:rsidRPr="00DE0EC2">
        <w:rPr>
          <w:rStyle w:val="TextoNormalCaracter"/>
        </w:rPr>
        <w:t xml:space="preserve">, f. único; </w:t>
      </w:r>
      <w:hyperlink w:anchor="SENTENCIA_2021_104" w:history="1">
        <w:r w:rsidRPr="00DE0EC2">
          <w:rPr>
            <w:rStyle w:val="TextoNormalCaracter"/>
          </w:rPr>
          <w:t>104/2021</w:t>
        </w:r>
      </w:hyperlink>
      <w:r w:rsidRPr="00DE0EC2">
        <w:rPr>
          <w:rStyle w:val="TextoNormalCaracter"/>
        </w:rPr>
        <w:t>, ff. 3 y 4.</w:t>
      </w:r>
    </w:p>
    <w:p w:rsidR="00DE0EC2" w:rsidRPr="00DE0EC2" w:rsidRDefault="00DE0EC2" w:rsidP="00DE0EC2">
      <w:pPr>
        <w:pStyle w:val="TextoNormalSangraFrancesa"/>
        <w:rPr>
          <w:rStyle w:val="TextoNormalCaracter"/>
        </w:rPr>
      </w:pPr>
      <w:bookmarkStart w:id="929" w:name="DESCRIPTORALFABETICO340"/>
      <w:r w:rsidRPr="00DE0EC2">
        <w:rPr>
          <w:rStyle w:val="TextoNormalNegritaCaracter"/>
        </w:rPr>
        <w:t>Derecho de la Unión Europea</w:t>
      </w:r>
      <w:bookmarkEnd w:id="929"/>
      <w:r w:rsidRPr="00DE0EC2">
        <w:rPr>
          <w:rStyle w:val="TextoNormalCaracter"/>
        </w:rPr>
        <w:t xml:space="preserve">, Sentencias </w:t>
      </w:r>
      <w:hyperlink w:anchor="SENTENCIA_2021_7" w:history="1">
        <w:r w:rsidRPr="00DE0EC2">
          <w:rPr>
            <w:rStyle w:val="TextoNormalCaracter"/>
          </w:rPr>
          <w:t>7/2021</w:t>
        </w:r>
      </w:hyperlink>
      <w:r w:rsidRPr="00DE0EC2">
        <w:rPr>
          <w:rStyle w:val="TextoNormalCaracter"/>
        </w:rPr>
        <w:t xml:space="preserve">, f. 3; </w:t>
      </w:r>
      <w:hyperlink w:anchor="SENTENCIA_2021_8" w:history="1">
        <w:r w:rsidRPr="00DE0EC2">
          <w:rPr>
            <w:rStyle w:val="TextoNormalCaracter"/>
          </w:rPr>
          <w:t>8/2021</w:t>
        </w:r>
      </w:hyperlink>
      <w:r w:rsidRPr="00DE0EC2">
        <w:rPr>
          <w:rStyle w:val="TextoNormalCaracter"/>
        </w:rPr>
        <w:t xml:space="preserve">, f. 3; </w:t>
      </w:r>
      <w:hyperlink w:anchor="SENTENCIA_2021_12" w:history="1">
        <w:r w:rsidRPr="00DE0EC2">
          <w:rPr>
            <w:rStyle w:val="TextoNormalCaracter"/>
          </w:rPr>
          <w:t>12/2021</w:t>
        </w:r>
      </w:hyperlink>
      <w:r w:rsidRPr="00DE0EC2">
        <w:rPr>
          <w:rStyle w:val="TextoNormalCaracter"/>
        </w:rPr>
        <w:t xml:space="preserve">, f. 3; </w:t>
      </w:r>
      <w:hyperlink w:anchor="SENTENCIA_2021_24" w:history="1">
        <w:r w:rsidRPr="00DE0EC2">
          <w:rPr>
            <w:rStyle w:val="TextoNormalCaracter"/>
          </w:rPr>
          <w:t>24/2021</w:t>
        </w:r>
      </w:hyperlink>
      <w:r w:rsidRPr="00DE0EC2">
        <w:rPr>
          <w:rStyle w:val="TextoNormalCaracter"/>
        </w:rPr>
        <w:t xml:space="preserve">, f. 3; </w:t>
      </w:r>
      <w:hyperlink w:anchor="SENTENCIA_2021_50" w:history="1">
        <w:r w:rsidRPr="00DE0EC2">
          <w:rPr>
            <w:rStyle w:val="TextoNormalCaracter"/>
          </w:rPr>
          <w:t>50/2021</w:t>
        </w:r>
      </w:hyperlink>
      <w:r w:rsidRPr="00DE0EC2">
        <w:rPr>
          <w:rStyle w:val="TextoNormalCaracter"/>
        </w:rPr>
        <w:t xml:space="preserve">, ff. 2, 3; </w:t>
      </w:r>
      <w:hyperlink w:anchor="SENTENCIA_2021_77" w:history="1">
        <w:r w:rsidRPr="00DE0EC2">
          <w:rPr>
            <w:rStyle w:val="TextoNormalCaracter"/>
          </w:rPr>
          <w:t>77/2021</w:t>
        </w:r>
      </w:hyperlink>
      <w:r w:rsidRPr="00DE0EC2">
        <w:rPr>
          <w:rStyle w:val="TextoNormalCaracter"/>
        </w:rPr>
        <w:t xml:space="preserve">, f. 2; </w:t>
      </w:r>
      <w:hyperlink w:anchor="SENTENCIA_2021_92" w:history="1">
        <w:r w:rsidRPr="00DE0EC2">
          <w:rPr>
            <w:rStyle w:val="TextoNormalCaracter"/>
          </w:rPr>
          <w:t>92/2021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930" w:name="DESCRIPTORALFABETICO343"/>
      <w:r w:rsidRPr="00DE0EC2">
        <w:rPr>
          <w:rStyle w:val="TextoNormalNegritaCaracter"/>
        </w:rPr>
        <w:t>Derecho de la Unión Europea no es canon de constitucionalidad autónomo</w:t>
      </w:r>
      <w:bookmarkEnd w:id="930"/>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 3.</w:t>
      </w:r>
    </w:p>
    <w:p w:rsidR="00DE0EC2" w:rsidRPr="00DE0EC2" w:rsidRDefault="00DE0EC2" w:rsidP="00DE0EC2">
      <w:pPr>
        <w:pStyle w:val="TextoNormalSangraFrancesa"/>
        <w:rPr>
          <w:rStyle w:val="TextoNormalCaracter"/>
        </w:rPr>
      </w:pPr>
      <w:bookmarkStart w:id="931" w:name="DESCRIPTORALFABETICO268"/>
      <w:r w:rsidRPr="00DE0EC2">
        <w:rPr>
          <w:rStyle w:val="TextoNormalNegritaCaracter"/>
        </w:rPr>
        <w:t>Derecho de opción lingüística</w:t>
      </w:r>
      <w:bookmarkEnd w:id="931"/>
      <w:r w:rsidRPr="00DE0EC2">
        <w:rPr>
          <w:rStyle w:val="TextoNormalCaracter"/>
        </w:rPr>
        <w:t xml:space="preserve">, Sentencia </w:t>
      </w:r>
      <w:hyperlink w:anchor="SENTENCIA_2021_37" w:history="1">
        <w:r w:rsidRPr="00DE0EC2">
          <w:rPr>
            <w:rStyle w:val="TextoNormalCaracter"/>
          </w:rPr>
          <w:t>37/2021</w:t>
        </w:r>
      </w:hyperlink>
      <w:r w:rsidRPr="00DE0EC2">
        <w:rPr>
          <w:rStyle w:val="TextoNormalCaracter"/>
        </w:rPr>
        <w:t>, f. 8.</w:t>
      </w:r>
    </w:p>
    <w:p w:rsidR="00DE0EC2" w:rsidRPr="00DE0EC2" w:rsidRDefault="00DE0EC2" w:rsidP="00DE0EC2">
      <w:pPr>
        <w:pStyle w:val="TextoNormalSangraFrancesa"/>
        <w:rPr>
          <w:rStyle w:val="TextoNormalCaracter"/>
        </w:rPr>
      </w:pPr>
      <w:bookmarkStart w:id="932" w:name="DESCRIPTORALFABETICO301"/>
      <w:r w:rsidRPr="00DE0EC2">
        <w:rPr>
          <w:rStyle w:val="TextoNormalNegritaCaracter"/>
        </w:rPr>
        <w:t>Derecho de propiedad</w:t>
      </w:r>
      <w:bookmarkEnd w:id="932"/>
      <w:r w:rsidRPr="00DE0EC2">
        <w:rPr>
          <w:rStyle w:val="TextoNormalCaracter"/>
        </w:rPr>
        <w:t xml:space="preserve">, Sentencias </w:t>
      </w:r>
      <w:hyperlink w:anchor="SENTENCIA_2021_16" w:history="1">
        <w:r w:rsidRPr="00DE0EC2">
          <w:rPr>
            <w:rStyle w:val="TextoNormalCaracter"/>
          </w:rPr>
          <w:t>16/2021</w:t>
        </w:r>
      </w:hyperlink>
      <w:r w:rsidRPr="00DE0EC2">
        <w:rPr>
          <w:rStyle w:val="TextoNormalCaracter"/>
        </w:rPr>
        <w:t xml:space="preserve">, ff. 5, 6; </w:t>
      </w:r>
      <w:hyperlink w:anchor="SENTENCIA_2021_112" w:history="1">
        <w:r w:rsidRPr="00DE0EC2">
          <w:rPr>
            <w:rStyle w:val="TextoNormalCaracter"/>
          </w:rPr>
          <w:t>112/2021</w:t>
        </w:r>
      </w:hyperlink>
      <w:r w:rsidRPr="00DE0EC2">
        <w:rPr>
          <w:rStyle w:val="TextoNormalCaracter"/>
        </w:rPr>
        <w:t>, ff. 1, 3.</w:t>
      </w:r>
    </w:p>
    <w:p w:rsidR="00DE0EC2" w:rsidRPr="00DE0EC2" w:rsidRDefault="00DE0EC2" w:rsidP="00DE0EC2">
      <w:pPr>
        <w:pStyle w:val="TextoNormalSangraFrancesa"/>
        <w:rPr>
          <w:rStyle w:val="TextoNormalCaracter"/>
        </w:rPr>
      </w:pPr>
      <w:bookmarkStart w:id="933" w:name="DESCRIPTORALFABETICO123"/>
      <w:r w:rsidRPr="00DE0EC2">
        <w:rPr>
          <w:rStyle w:val="TextoNormalNegritaCaracter"/>
        </w:rPr>
        <w:t>Derecho de reunión</w:t>
      </w:r>
      <w:bookmarkEnd w:id="933"/>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11; </w:t>
      </w:r>
      <w:hyperlink w:anchor="SENTENCIA_2021_106" w:history="1">
        <w:r w:rsidRPr="00DE0EC2">
          <w:rPr>
            <w:rStyle w:val="TextoNormalCaracter"/>
          </w:rPr>
          <w:t>106/2021</w:t>
        </w:r>
      </w:hyperlink>
      <w:r w:rsidRPr="00DE0EC2">
        <w:rPr>
          <w:rStyle w:val="TextoNormalCaracter"/>
        </w:rPr>
        <w:t xml:space="preserve">, f. 11; </w:t>
      </w:r>
      <w:hyperlink w:anchor="SENTENCIA_2021_121" w:history="1">
        <w:r w:rsidRPr="00DE0EC2">
          <w:rPr>
            <w:rStyle w:val="TextoNormalCaracter"/>
          </w:rPr>
          <w:t>121/2021</w:t>
        </w:r>
      </w:hyperlink>
      <w:r w:rsidRPr="00DE0EC2">
        <w:rPr>
          <w:rStyle w:val="TextoNormalCaracter"/>
        </w:rPr>
        <w:t xml:space="preserve">, f. 12, VP I; </w:t>
      </w:r>
      <w:hyperlink w:anchor="SENTENCIA_2021_122" w:history="1">
        <w:r w:rsidRPr="00DE0EC2">
          <w:rPr>
            <w:rStyle w:val="TextoNormalCaracter"/>
          </w:rPr>
          <w:t>122/2021</w:t>
        </w:r>
      </w:hyperlink>
      <w:r w:rsidRPr="00DE0EC2">
        <w:rPr>
          <w:rStyle w:val="TextoNormalCaracter"/>
        </w:rPr>
        <w:t>, f. 9, V.P. I.</w:t>
      </w:r>
    </w:p>
    <w:p w:rsidR="00DE0EC2" w:rsidRPr="00DE0EC2" w:rsidRDefault="00DE0EC2" w:rsidP="00DE0EC2">
      <w:pPr>
        <w:pStyle w:val="TextoNormalSangraFrancesa"/>
        <w:rPr>
          <w:rStyle w:val="TextoNormalCaracter"/>
        </w:rPr>
      </w:pPr>
      <w:bookmarkStart w:id="934" w:name="DESCRIPTORALFABETICO122"/>
      <w:r w:rsidRPr="00DE0EC2">
        <w:rPr>
          <w:rStyle w:val="TextoNormalNegritaCaracter"/>
        </w:rPr>
        <w:t>Derecho de reunión y de manifestación</w:t>
      </w:r>
      <w:bookmarkEnd w:id="934"/>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13" w:history="1">
        <w:r w:rsidRPr="00DE0EC2">
          <w:rPr>
            <w:rStyle w:val="TextoNormalCaracter"/>
          </w:rPr>
          <w:t>13/2021</w:t>
        </w:r>
      </w:hyperlink>
      <w:r w:rsidRPr="00DE0EC2">
        <w:rPr>
          <w:rStyle w:val="TextoNormalCaracter"/>
        </w:rPr>
        <w:t xml:space="preserve">, f. 6, VP II; </w:t>
      </w:r>
      <w:hyperlink w:anchor="SENTENCIA_2021_133" w:history="1">
        <w:r w:rsidRPr="00DE0EC2">
          <w:rPr>
            <w:rStyle w:val="TextoNormalCaracter"/>
          </w:rPr>
          <w:t>133/2021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935" w:name="DESCRIPTORALFABETICO370"/>
      <w:r w:rsidRPr="00DE0EC2">
        <w:rPr>
          <w:rStyle w:val="TextoNormalNegritaCaracter"/>
        </w:rPr>
        <w:t>Derecho transitorio</w:t>
      </w:r>
      <w:bookmarkEnd w:id="935"/>
      <w:r w:rsidRPr="00DE0EC2">
        <w:rPr>
          <w:rStyle w:val="TextoNormalCaracter"/>
        </w:rPr>
        <w:t xml:space="preserve">, Sentencia </w:t>
      </w:r>
      <w:hyperlink w:anchor="SENTENCIA_2021_63" w:history="1">
        <w:r w:rsidRPr="00DE0EC2">
          <w:rPr>
            <w:rStyle w:val="TextoNormalCaracter"/>
          </w:rPr>
          <w:t>63/2021</w:t>
        </w:r>
      </w:hyperlink>
      <w:r w:rsidRPr="00DE0EC2">
        <w:rPr>
          <w:rStyle w:val="TextoNormalCaracter"/>
        </w:rPr>
        <w:t>, f.4.</w:t>
      </w:r>
    </w:p>
    <w:p w:rsidR="00DE0EC2" w:rsidRPr="00DE0EC2" w:rsidRDefault="00DE0EC2" w:rsidP="00DE0EC2">
      <w:pPr>
        <w:pStyle w:val="TextoNormalSangraFrancesa"/>
        <w:rPr>
          <w:rStyle w:val="TextoNormalCaracter"/>
        </w:rPr>
      </w:pPr>
      <w:bookmarkStart w:id="936" w:name="DESCRIPTORALFABETICO346"/>
      <w:r w:rsidRPr="00DE0EC2">
        <w:rPr>
          <w:rStyle w:val="TextoNormalNegritaCaracter"/>
        </w:rPr>
        <w:t>Derechos de las víctimas de violaciones de derechos humanos</w:t>
      </w:r>
      <w:bookmarkEnd w:id="936"/>
      <w:r w:rsidRPr="00DE0EC2">
        <w:rPr>
          <w:rStyle w:val="TextoNormalCaracter"/>
        </w:rPr>
        <w:t xml:space="preserve">, Sentencias </w:t>
      </w:r>
      <w:hyperlink w:anchor="SENTENCIA_2021_108" w:history="1">
        <w:r w:rsidRPr="00DE0EC2">
          <w:rPr>
            <w:rStyle w:val="TextoNormalCaracter"/>
          </w:rPr>
          <w:t>108/2021</w:t>
        </w:r>
      </w:hyperlink>
      <w:r w:rsidRPr="00DE0EC2">
        <w:rPr>
          <w:rStyle w:val="TextoNormalCaracter"/>
        </w:rPr>
        <w:t xml:space="preserve">, ff. 4, 5; </w:t>
      </w:r>
      <w:hyperlink w:anchor="SENTENCIA_2021_135" w:history="1">
        <w:r w:rsidRPr="00DE0EC2">
          <w:rPr>
            <w:rStyle w:val="TextoNormalCaracter"/>
          </w:rPr>
          <w:t>135/2021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37" w:name="DESCRIPTORALFABETICO298"/>
      <w:r w:rsidRPr="00DE0EC2">
        <w:rPr>
          <w:rStyle w:val="TextoNormalNegritaCaracter"/>
        </w:rPr>
        <w:t>Derechos de los consumidores</w:t>
      </w:r>
      <w:bookmarkEnd w:id="937"/>
      <w:r w:rsidRPr="00DE0EC2">
        <w:rPr>
          <w:rStyle w:val="TextoNormalCaracter"/>
        </w:rPr>
        <w:t xml:space="preserve">, Sentencias </w:t>
      </w:r>
      <w:hyperlink w:anchor="SENTENCIA_2021_101" w:history="1">
        <w:r w:rsidRPr="00DE0EC2">
          <w:rPr>
            <w:rStyle w:val="TextoNormalCaracter"/>
          </w:rPr>
          <w:t>101/2021</w:t>
        </w:r>
      </w:hyperlink>
      <w:r w:rsidRPr="00DE0EC2">
        <w:rPr>
          <w:rStyle w:val="TextoNormalCaracter"/>
        </w:rPr>
        <w:t xml:space="preserve">, ff. 3, 4; </w:t>
      </w:r>
      <w:hyperlink w:anchor="SENTENCIA_2021_102" w:history="1">
        <w:r w:rsidRPr="00DE0EC2">
          <w:rPr>
            <w:rStyle w:val="TextoNormalCaracter"/>
          </w:rPr>
          <w:t>102/2021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38" w:name="DESCRIPTORALFABETICO126"/>
      <w:r w:rsidRPr="00DE0EC2">
        <w:rPr>
          <w:rStyle w:val="TextoNormalNegritaCaracter"/>
        </w:rPr>
        <w:t>Derechos de los menores</w:t>
      </w:r>
      <w:bookmarkEnd w:id="938"/>
      <w:r w:rsidRPr="00DE0EC2">
        <w:rPr>
          <w:rStyle w:val="TextoNormalCaracter"/>
        </w:rPr>
        <w:t xml:space="preserve">, Sentencia </w:t>
      </w:r>
      <w:hyperlink w:anchor="SENTENCIA_2021_81" w:history="1">
        <w:r w:rsidRPr="00DE0EC2">
          <w:rPr>
            <w:rStyle w:val="TextoNormalCaracter"/>
          </w:rPr>
          <w:t>81/2021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939" w:name="DESCRIPTORALFABETICO291"/>
      <w:r w:rsidRPr="00DE0EC2">
        <w:rPr>
          <w:rStyle w:val="TextoNormalNegritaCaracter"/>
        </w:rPr>
        <w:t>Derechos de los titulares de cargos públicos de representación política</w:t>
      </w:r>
      <w:bookmarkEnd w:id="939"/>
      <w:r w:rsidRPr="00DE0EC2">
        <w:rPr>
          <w:rStyle w:val="TextoNormalCaracter"/>
        </w:rPr>
        <w:t xml:space="preserve">, Sentencias </w:t>
      </w:r>
      <w:hyperlink w:anchor="SENTENCIA_2021_69" w:history="1">
        <w:r w:rsidRPr="00DE0EC2">
          <w:rPr>
            <w:rStyle w:val="TextoNormalCaracter"/>
          </w:rPr>
          <w:t>69/2021</w:t>
        </w:r>
      </w:hyperlink>
      <w:r w:rsidRPr="00DE0EC2">
        <w:rPr>
          <w:rStyle w:val="TextoNormalCaracter"/>
        </w:rPr>
        <w:t xml:space="preserve">, ff. 4 y 5; </w:t>
      </w:r>
      <w:hyperlink w:anchor="SENTENCIA_2021_90" w:history="1">
        <w:r w:rsidRPr="00DE0EC2">
          <w:rPr>
            <w:rStyle w:val="TextoNormalCaracter"/>
          </w:rPr>
          <w:t>90/2021</w:t>
        </w:r>
      </w:hyperlink>
      <w:r w:rsidRPr="00DE0EC2">
        <w:rPr>
          <w:rStyle w:val="TextoNormalCaracter"/>
        </w:rPr>
        <w:t xml:space="preserve">, f. 4; </w:t>
      </w:r>
      <w:hyperlink w:anchor="SENTENCIA_2021_105" w:history="1">
        <w:r w:rsidRPr="00DE0EC2">
          <w:rPr>
            <w:rStyle w:val="TextoNormalCaracter"/>
          </w:rPr>
          <w:t>105/2021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940" w:name="DESCRIPTORALFABETICO410"/>
      <w:r w:rsidRPr="00DE0EC2">
        <w:rPr>
          <w:rStyle w:val="TextoNormalNegritaCaracter"/>
        </w:rPr>
        <w:t>Desalojo de vivienda</w:t>
      </w:r>
      <w:bookmarkEnd w:id="940"/>
      <w:r w:rsidRPr="00DE0EC2">
        <w:rPr>
          <w:rStyle w:val="TextoNormalCaracter"/>
        </w:rPr>
        <w:t xml:space="preserve">, Sentencia </w:t>
      </w:r>
      <w:hyperlink w:anchor="SENTENCIA_2021_113" w:history="1">
        <w:r w:rsidRPr="00DE0EC2">
          <w:rPr>
            <w:rStyle w:val="TextoNormalCaracter"/>
          </w:rPr>
          <w:t>113/2021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941" w:name="DESCRIPTORALFABETICO468"/>
      <w:r w:rsidRPr="00DE0EC2">
        <w:rPr>
          <w:rStyle w:val="TextoNormalNegritaCaracter"/>
        </w:rPr>
        <w:t>Desestimación de recurso de súplica</w:t>
      </w:r>
      <w:bookmarkEnd w:id="941"/>
      <w:r w:rsidRPr="00DE0EC2">
        <w:rPr>
          <w:rStyle w:val="TextoNormalCaracter"/>
        </w:rPr>
        <w:t xml:space="preserve">, Auto </w:t>
      </w:r>
      <w:hyperlink w:anchor="AUTO_2021_21" w:history="1">
        <w:r w:rsidRPr="00DE0EC2">
          <w:rPr>
            <w:rStyle w:val="TextoNormalCaracter"/>
          </w:rPr>
          <w:t>21/2021</w:t>
        </w:r>
      </w:hyperlink>
      <w:r w:rsidRPr="00DE0EC2">
        <w:rPr>
          <w:rStyle w:val="TextoNormalCaracter"/>
        </w:rPr>
        <w:t>.</w:t>
      </w:r>
    </w:p>
    <w:p w:rsidR="00DE0EC2" w:rsidRPr="00DE0EC2" w:rsidRDefault="00DE0EC2" w:rsidP="00DE0EC2">
      <w:pPr>
        <w:pStyle w:val="TextoNormalSangraFrancesa"/>
        <w:rPr>
          <w:rStyle w:val="TextoNormalCaracter"/>
        </w:rPr>
      </w:pPr>
      <w:bookmarkStart w:id="942" w:name="DESCRIPTORALFABETICO161"/>
      <w:r w:rsidRPr="00DE0EC2">
        <w:rPr>
          <w:rStyle w:val="TextoNormalNegritaCaracter"/>
        </w:rPr>
        <w:t>Desestimación de recurso de súplica contra Autos del Tribunal Constitucional</w:t>
      </w:r>
      <w:bookmarkEnd w:id="942"/>
      <w:r w:rsidRPr="00DE0EC2">
        <w:rPr>
          <w:rStyle w:val="TextoNormalCaracter"/>
        </w:rPr>
        <w:t xml:space="preserve">, Autos </w:t>
      </w:r>
      <w:hyperlink w:anchor="AUTO_2021_4" w:history="1">
        <w:r w:rsidRPr="00DE0EC2">
          <w:rPr>
            <w:rStyle w:val="TextoNormalCaracter"/>
          </w:rPr>
          <w:t>4/2021</w:t>
        </w:r>
      </w:hyperlink>
      <w:r w:rsidRPr="00DE0EC2">
        <w:rPr>
          <w:rStyle w:val="TextoNormalCaracter"/>
        </w:rPr>
        <w:t xml:space="preserve">, ff. 2 a 4; </w:t>
      </w:r>
      <w:hyperlink w:anchor="AUTO_2021_28" w:history="1">
        <w:r w:rsidRPr="00DE0EC2">
          <w:rPr>
            <w:rStyle w:val="TextoNormalCaracter"/>
          </w:rPr>
          <w:t>28/2021</w:t>
        </w:r>
      </w:hyperlink>
      <w:r w:rsidRPr="00DE0EC2">
        <w:rPr>
          <w:rStyle w:val="TextoNormalCaracter"/>
        </w:rPr>
        <w:t xml:space="preserve">; </w:t>
      </w:r>
      <w:hyperlink w:anchor="AUTO_2021_58" w:history="1">
        <w:r w:rsidRPr="00DE0EC2">
          <w:rPr>
            <w:rStyle w:val="TextoNormalCaracter"/>
          </w:rPr>
          <w:t>58/2021</w:t>
        </w:r>
      </w:hyperlink>
      <w:r w:rsidRPr="00DE0EC2">
        <w:rPr>
          <w:rStyle w:val="TextoNormalCaracter"/>
        </w:rPr>
        <w:t xml:space="preserve">; </w:t>
      </w:r>
      <w:hyperlink w:anchor="AUTO_2021_59" w:history="1">
        <w:r w:rsidRPr="00DE0EC2">
          <w:rPr>
            <w:rStyle w:val="TextoNormalCaracter"/>
          </w:rPr>
          <w:t>59/2021</w:t>
        </w:r>
      </w:hyperlink>
      <w:r w:rsidRPr="00DE0EC2">
        <w:rPr>
          <w:rStyle w:val="TextoNormalCaracter"/>
        </w:rPr>
        <w:t>.</w:t>
      </w:r>
    </w:p>
    <w:p w:rsidR="00DE0EC2" w:rsidRPr="00DE0EC2" w:rsidRDefault="00DE0EC2" w:rsidP="00DE0EC2">
      <w:pPr>
        <w:pStyle w:val="TextoNormalSangraFrancesa"/>
        <w:rPr>
          <w:rStyle w:val="TextoNormalCaracter"/>
        </w:rPr>
      </w:pPr>
      <w:bookmarkStart w:id="943" w:name="DESCRIPTORALFABETICO165"/>
      <w:r w:rsidRPr="00DE0EC2">
        <w:rPr>
          <w:rStyle w:val="TextoNormalNegritaCaracter"/>
        </w:rPr>
        <w:t>Desestimación de recurso de súplica contra providencias de inadmisión del Tribunal Constitucional</w:t>
      </w:r>
      <w:bookmarkEnd w:id="943"/>
      <w:r w:rsidRPr="00DE0EC2">
        <w:rPr>
          <w:rStyle w:val="TextoNormalCaracter"/>
        </w:rPr>
        <w:t xml:space="preserve">, Autos </w:t>
      </w:r>
      <w:hyperlink w:anchor="AUTO_2021_23" w:history="1">
        <w:r w:rsidRPr="00DE0EC2">
          <w:rPr>
            <w:rStyle w:val="TextoNormalCaracter"/>
          </w:rPr>
          <w:t>23/2021</w:t>
        </w:r>
      </w:hyperlink>
      <w:r w:rsidRPr="00DE0EC2">
        <w:rPr>
          <w:rStyle w:val="TextoNormalCaracter"/>
        </w:rPr>
        <w:t xml:space="preserve">; </w:t>
      </w:r>
      <w:hyperlink w:anchor="AUTO_2021_35" w:history="1">
        <w:r w:rsidRPr="00DE0EC2">
          <w:rPr>
            <w:rStyle w:val="TextoNormalCaracter"/>
          </w:rPr>
          <w:t>35/2021</w:t>
        </w:r>
      </w:hyperlink>
      <w:r w:rsidRPr="00DE0EC2">
        <w:rPr>
          <w:rStyle w:val="TextoNormalCaracter"/>
        </w:rPr>
        <w:t xml:space="preserve">; </w:t>
      </w:r>
      <w:hyperlink w:anchor="AUTO_2021_70" w:history="1">
        <w:r w:rsidRPr="00DE0EC2">
          <w:rPr>
            <w:rStyle w:val="TextoNormalCaracter"/>
          </w:rPr>
          <w:t>70/2021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944" w:name="DESCRIPTORALFABETICO163"/>
      <w:r w:rsidRPr="00DE0EC2">
        <w:rPr>
          <w:rStyle w:val="TextoNormalNegritaCaracter"/>
        </w:rPr>
        <w:t>Desestimación de recurso de súplica contra providencias del Tribunal Constitucional</w:t>
      </w:r>
      <w:bookmarkEnd w:id="944"/>
      <w:r w:rsidRPr="00DE0EC2">
        <w:rPr>
          <w:rStyle w:val="TextoNormalCaracter"/>
        </w:rPr>
        <w:t xml:space="preserve">, Auto </w:t>
      </w:r>
      <w:hyperlink w:anchor="AUTO_2021_54" w:history="1">
        <w:r w:rsidRPr="00DE0EC2">
          <w:rPr>
            <w:rStyle w:val="TextoNormalCaracter"/>
          </w:rPr>
          <w:t>54/2021</w:t>
        </w:r>
      </w:hyperlink>
      <w:r w:rsidRPr="00DE0EC2">
        <w:rPr>
          <w:rStyle w:val="TextoNormalCaracter"/>
        </w:rPr>
        <w:t>.</w:t>
      </w:r>
    </w:p>
    <w:p w:rsidR="00DE0EC2" w:rsidRPr="00DE0EC2" w:rsidRDefault="00DE0EC2" w:rsidP="00DE0EC2">
      <w:pPr>
        <w:pStyle w:val="TextoNormalSangraFrancesa"/>
        <w:rPr>
          <w:rStyle w:val="TextoNormalCaracter"/>
        </w:rPr>
      </w:pPr>
      <w:bookmarkStart w:id="945" w:name="DESCRIPTORALFABETICO167"/>
      <w:r w:rsidRPr="00DE0EC2">
        <w:rPr>
          <w:rStyle w:val="TextoNormalNegritaCaracter"/>
        </w:rPr>
        <w:t>Desistimiento en el recurso de amparo</w:t>
      </w:r>
      <w:bookmarkEnd w:id="945"/>
      <w:r w:rsidRPr="00DE0EC2">
        <w:rPr>
          <w:rStyle w:val="TextoNormalCaracter"/>
        </w:rPr>
        <w:t xml:space="preserve">, Autos </w:t>
      </w:r>
      <w:hyperlink w:anchor="AUTO_2021_38" w:history="1">
        <w:r w:rsidRPr="00DE0EC2">
          <w:rPr>
            <w:rStyle w:val="TextoNormalCaracter"/>
          </w:rPr>
          <w:t>38/2021</w:t>
        </w:r>
      </w:hyperlink>
      <w:r w:rsidRPr="00DE0EC2">
        <w:rPr>
          <w:rStyle w:val="TextoNormalCaracter"/>
        </w:rPr>
        <w:t xml:space="preserve">; </w:t>
      </w:r>
      <w:hyperlink w:anchor="AUTO_2021_63" w:history="1">
        <w:r w:rsidRPr="00DE0EC2">
          <w:rPr>
            <w:rStyle w:val="TextoNormalCaracter"/>
          </w:rPr>
          <w:t>63/2021</w:t>
        </w:r>
      </w:hyperlink>
      <w:r w:rsidRPr="00DE0EC2">
        <w:rPr>
          <w:rStyle w:val="TextoNormalCaracter"/>
        </w:rPr>
        <w:t>.</w:t>
      </w:r>
    </w:p>
    <w:p w:rsidR="00DE0EC2" w:rsidRPr="00DE0EC2" w:rsidRDefault="00DE0EC2" w:rsidP="00DE0EC2">
      <w:pPr>
        <w:pStyle w:val="TextoNormalSangraFrancesa"/>
        <w:rPr>
          <w:rStyle w:val="TextoNormalCaracter"/>
        </w:rPr>
      </w:pPr>
      <w:bookmarkStart w:id="946" w:name="DESCRIPTORALFABETICO168"/>
      <w:r w:rsidRPr="00DE0EC2">
        <w:rPr>
          <w:rStyle w:val="TextoNormalNegritaCaracter"/>
        </w:rPr>
        <w:t>Desistimiento en el recurso de inconstitucionalidad</w:t>
      </w:r>
      <w:bookmarkEnd w:id="946"/>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Procedencia, </w:t>
      </w:r>
      <w:r w:rsidRPr="00DE0EC2">
        <w:rPr>
          <w:rStyle w:val="TextoNormalCaracter"/>
        </w:rPr>
        <w:t xml:space="preserve">Auto </w:t>
      </w:r>
      <w:hyperlink w:anchor="AUTO_2021_68" w:history="1">
        <w:r w:rsidRPr="00DE0EC2">
          <w:rPr>
            <w:rStyle w:val="TextoNormalCaracter"/>
          </w:rPr>
          <w:t>68/2021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947" w:name="DESCRIPTORALFABETICO403"/>
      <w:r w:rsidRPr="00DE0EC2">
        <w:rPr>
          <w:rStyle w:val="TextoNormalNegritaCaracter"/>
        </w:rPr>
        <w:t>Despido disciplinario</w:t>
      </w:r>
      <w:bookmarkEnd w:id="947"/>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 3, VP I.</w:t>
      </w:r>
    </w:p>
    <w:p w:rsidR="00DE0EC2" w:rsidRPr="00DE0EC2" w:rsidRDefault="00DE0EC2" w:rsidP="00DE0EC2">
      <w:pPr>
        <w:pStyle w:val="TextoNormalSangraFrancesa"/>
        <w:rPr>
          <w:rStyle w:val="TextoNormalCaracter"/>
        </w:rPr>
      </w:pPr>
      <w:bookmarkStart w:id="948" w:name="DESCRIPTORALFABETICO404"/>
      <w:r w:rsidRPr="00DE0EC2">
        <w:rPr>
          <w:rStyle w:val="TextoNormalNegritaCaracter"/>
        </w:rPr>
        <w:t>Despido improcedente</w:t>
      </w:r>
      <w:bookmarkEnd w:id="948"/>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ff. 5, 6.</w:t>
      </w:r>
    </w:p>
    <w:p w:rsidR="00DE0EC2" w:rsidRPr="00DE0EC2" w:rsidRDefault="00DE0EC2" w:rsidP="00DE0EC2">
      <w:pPr>
        <w:pStyle w:val="TextoNormalSangraFrancesa"/>
        <w:rPr>
          <w:rStyle w:val="TextoNormalCaracter"/>
        </w:rPr>
      </w:pPr>
      <w:bookmarkStart w:id="949" w:name="DESCRIPTORALFABETICO405"/>
      <w:r w:rsidRPr="00DE0EC2">
        <w:rPr>
          <w:rStyle w:val="TextoNormalNegritaCaracter"/>
        </w:rPr>
        <w:t>Despido nulo por vulneración de derechos fundamentales</w:t>
      </w:r>
      <w:bookmarkEnd w:id="949"/>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ff. 2, 3, 5, VP I.</w:t>
      </w:r>
    </w:p>
    <w:p w:rsidR="00DE0EC2" w:rsidRPr="00DE0EC2" w:rsidRDefault="00DE0EC2" w:rsidP="00DE0EC2">
      <w:pPr>
        <w:pStyle w:val="TextoNormalSangraFrancesa"/>
        <w:rPr>
          <w:rStyle w:val="TextoNormalCaracter"/>
        </w:rPr>
      </w:pPr>
      <w:bookmarkStart w:id="950" w:name="DESCRIPTORALFABETICO384"/>
      <w:r w:rsidRPr="00DE0EC2">
        <w:rPr>
          <w:rStyle w:val="TextoNormalNegritaCaracter"/>
        </w:rPr>
        <w:t>Dignidad de la persona</w:t>
      </w:r>
      <w:bookmarkEnd w:id="950"/>
      <w:r w:rsidRPr="00DE0EC2">
        <w:rPr>
          <w:rStyle w:val="TextoNormalCaracter"/>
        </w:rPr>
        <w:t xml:space="preserve">, Sentencia </w:t>
      </w:r>
      <w:hyperlink w:anchor="SENTENCIA_2021_93" w:history="1">
        <w:r w:rsidRPr="00DE0EC2">
          <w:rPr>
            <w:rStyle w:val="TextoNormalCaracter"/>
          </w:rPr>
          <w:t>93/2021</w:t>
        </w:r>
      </w:hyperlink>
      <w:r w:rsidRPr="00DE0EC2">
        <w:rPr>
          <w:rStyle w:val="TextoNormalCaracter"/>
        </w:rPr>
        <w:t>, ff. 4, 5, 7.</w:t>
      </w:r>
    </w:p>
    <w:p w:rsidR="00DE0EC2" w:rsidRPr="00DE0EC2" w:rsidRDefault="00DE0EC2" w:rsidP="00DE0EC2">
      <w:pPr>
        <w:pStyle w:val="TextoNormalSangraFrancesa"/>
        <w:rPr>
          <w:rStyle w:val="TextoNormalCaracter"/>
        </w:rPr>
      </w:pPr>
      <w:bookmarkStart w:id="951" w:name="DESCRIPTORALFABETICO418"/>
      <w:r w:rsidRPr="00DE0EC2">
        <w:rPr>
          <w:rStyle w:val="TextoNormalNegritaCaracter"/>
        </w:rPr>
        <w:t>Diligencia del órgano judicial en la averiguación del domicilio</w:t>
      </w:r>
      <w:bookmarkEnd w:id="951"/>
      <w:r w:rsidRPr="00DE0EC2">
        <w:rPr>
          <w:rStyle w:val="TextoNormalCaracter"/>
        </w:rPr>
        <w:t xml:space="preserve">, Sentencias </w:t>
      </w:r>
      <w:hyperlink w:anchor="SENTENCIA_2021_20" w:history="1">
        <w:r w:rsidRPr="00DE0EC2">
          <w:rPr>
            <w:rStyle w:val="TextoNormalCaracter"/>
          </w:rPr>
          <w:t>20/2021</w:t>
        </w:r>
      </w:hyperlink>
      <w:r w:rsidRPr="00DE0EC2">
        <w:rPr>
          <w:rStyle w:val="TextoNormalCaracter"/>
        </w:rPr>
        <w:t xml:space="preserve">, ff. 2,3; </w:t>
      </w:r>
      <w:hyperlink w:anchor="SENTENCIA_2021_43" w:history="1">
        <w:r w:rsidRPr="00DE0EC2">
          <w:rPr>
            <w:rStyle w:val="TextoNormalCaracter"/>
          </w:rPr>
          <w:t>43/2021</w:t>
        </w:r>
      </w:hyperlink>
      <w:r w:rsidRPr="00DE0EC2">
        <w:rPr>
          <w:rStyle w:val="TextoNormalCaracter"/>
        </w:rPr>
        <w:t xml:space="preserve">, ff. 2, 3; </w:t>
      </w:r>
      <w:hyperlink w:anchor="SENTENCIA_2021_60" w:history="1">
        <w:r w:rsidRPr="00DE0EC2">
          <w:rPr>
            <w:rStyle w:val="TextoNormalCaracter"/>
          </w:rPr>
          <w:t>60/2021</w:t>
        </w:r>
      </w:hyperlink>
      <w:r w:rsidRPr="00DE0EC2">
        <w:rPr>
          <w:rStyle w:val="TextoNormalCaracter"/>
        </w:rPr>
        <w:t xml:space="preserve">, ff. 1, 3, 4; </w:t>
      </w:r>
      <w:hyperlink w:anchor="SENTENCIA_2021_82" w:history="1">
        <w:r w:rsidRPr="00DE0EC2">
          <w:rPr>
            <w:rStyle w:val="TextoNormalCaracter"/>
          </w:rPr>
          <w:t>82/2021</w:t>
        </w:r>
      </w:hyperlink>
      <w:r w:rsidRPr="00DE0EC2">
        <w:rPr>
          <w:rStyle w:val="TextoNormalCaracter"/>
        </w:rPr>
        <w:t xml:space="preserve">, f. 2; </w:t>
      </w:r>
      <w:hyperlink w:anchor="SENTENCIA_2021_87" w:history="1">
        <w:r w:rsidRPr="00DE0EC2">
          <w:rPr>
            <w:rStyle w:val="TextoNormalCaracter"/>
          </w:rPr>
          <w:t>87/2021</w:t>
        </w:r>
      </w:hyperlink>
      <w:r w:rsidRPr="00DE0EC2">
        <w:rPr>
          <w:rStyle w:val="TextoNormalCaracter"/>
        </w:rPr>
        <w:t xml:space="preserve">, ff. 2, 3; </w:t>
      </w:r>
      <w:hyperlink w:anchor="SENTENCIA_2021_94" w:history="1">
        <w:r w:rsidRPr="00DE0EC2">
          <w:rPr>
            <w:rStyle w:val="TextoNormalCaracter"/>
          </w:rPr>
          <w:t>94/2021</w:t>
        </w:r>
      </w:hyperlink>
      <w:r w:rsidRPr="00DE0EC2">
        <w:rPr>
          <w:rStyle w:val="TextoNormalCaracter"/>
        </w:rPr>
        <w:t xml:space="preserve">, f. 3; </w:t>
      </w:r>
      <w:hyperlink w:anchor="SENTENCIA_2021_97" w:history="1">
        <w:r w:rsidRPr="00DE0EC2">
          <w:rPr>
            <w:rStyle w:val="TextoNormalCaracter"/>
          </w:rPr>
          <w:t>97/2021</w:t>
        </w:r>
      </w:hyperlink>
      <w:r w:rsidRPr="00DE0EC2">
        <w:rPr>
          <w:rStyle w:val="TextoNormalCaracter"/>
        </w:rPr>
        <w:t xml:space="preserve">, ff. 1, 2; </w:t>
      </w:r>
      <w:hyperlink w:anchor="SENTENCIA_2021_117" w:history="1">
        <w:r w:rsidRPr="00DE0EC2">
          <w:rPr>
            <w:rStyle w:val="TextoNormalCaracter"/>
          </w:rPr>
          <w:t>117/2021</w:t>
        </w:r>
      </w:hyperlink>
      <w:r w:rsidRPr="00DE0EC2">
        <w:rPr>
          <w:rStyle w:val="TextoNormalCaracter"/>
        </w:rPr>
        <w:t xml:space="preserve">, ff. 3, 4; </w:t>
      </w:r>
      <w:hyperlink w:anchor="SENTENCIA_2021_118" w:history="1">
        <w:r w:rsidRPr="00DE0EC2">
          <w:rPr>
            <w:rStyle w:val="TextoNormalCaracter"/>
          </w:rPr>
          <w:t>118/2021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952" w:name="DESCRIPTORALFABETICO417"/>
      <w:r w:rsidRPr="00DE0EC2">
        <w:rPr>
          <w:rStyle w:val="TextoNormalNegritaCaracter"/>
        </w:rPr>
        <w:t>Diligencia del órgano judicial en la ejecución de actos procesales de comunicación</w:t>
      </w:r>
      <w:bookmarkEnd w:id="952"/>
      <w:r w:rsidRPr="00DE0EC2">
        <w:rPr>
          <w:rStyle w:val="TextoNormalCaracter"/>
        </w:rPr>
        <w:t xml:space="preserve">, Sentencia </w:t>
      </w:r>
      <w:hyperlink w:anchor="SENTENCIA_2021_116" w:history="1">
        <w:r w:rsidRPr="00DE0EC2">
          <w:rPr>
            <w:rStyle w:val="TextoNormalCaracter"/>
          </w:rPr>
          <w:t>116/2021</w:t>
        </w:r>
      </w:hyperlink>
      <w:r w:rsidRPr="00DE0EC2">
        <w:rPr>
          <w:rStyle w:val="TextoNormalCaracter"/>
        </w:rPr>
        <w:t>, f. 3.</w:t>
      </w:r>
    </w:p>
    <w:p w:rsidR="00DE0EC2" w:rsidRPr="00DE0EC2" w:rsidRDefault="00DE0EC2" w:rsidP="00DE0EC2">
      <w:pPr>
        <w:pStyle w:val="TextoNormalSangraFrancesa"/>
        <w:rPr>
          <w:rStyle w:val="TextoNormalCaracter"/>
        </w:rPr>
      </w:pPr>
      <w:bookmarkStart w:id="953" w:name="DESCRIPTORALFABETICO395"/>
      <w:r w:rsidRPr="00DE0EC2">
        <w:rPr>
          <w:rStyle w:val="TextoNormalNegritaCaracter"/>
        </w:rPr>
        <w:t>Discapacitados</w:t>
      </w:r>
      <w:bookmarkEnd w:id="953"/>
      <w:r w:rsidRPr="00DE0EC2">
        <w:rPr>
          <w:rStyle w:val="TextoNormalCaracter"/>
        </w:rPr>
        <w:t xml:space="preserve">, Sentencia </w:t>
      </w:r>
      <w:hyperlink w:anchor="SENTENCIA_2021_113" w:history="1">
        <w:r w:rsidRPr="00DE0EC2">
          <w:rPr>
            <w:rStyle w:val="TextoNormalCaracter"/>
          </w:rPr>
          <w:t>113/2021</w:t>
        </w:r>
      </w:hyperlink>
      <w:r w:rsidRPr="00DE0EC2">
        <w:rPr>
          <w:rStyle w:val="TextoNormalCaracter"/>
        </w:rPr>
        <w:t>, f. 2.</w:t>
      </w:r>
    </w:p>
    <w:p w:rsidR="00DE0EC2" w:rsidRPr="00DE0EC2" w:rsidRDefault="00DE0EC2" w:rsidP="00DE0EC2">
      <w:pPr>
        <w:pStyle w:val="TextoNormalSangraFrancesa"/>
        <w:rPr>
          <w:rStyle w:val="TextoNormalCaracter"/>
        </w:rPr>
      </w:pPr>
      <w:bookmarkStart w:id="954" w:name="DESCRIPTORALFABETICO95"/>
      <w:r w:rsidRPr="00DE0EC2">
        <w:rPr>
          <w:rStyle w:val="TextoNormalNegritaCaracter"/>
        </w:rPr>
        <w:t>Discriminación indirecta</w:t>
      </w:r>
      <w:bookmarkEnd w:id="954"/>
      <w:r w:rsidRPr="00DE0EC2">
        <w:rPr>
          <w:rStyle w:val="TextoNormalCaracter"/>
        </w:rPr>
        <w:t xml:space="preserve">, Sentencias </w:t>
      </w:r>
      <w:hyperlink w:anchor="SENTENCIA_2021_1" w:history="1">
        <w:r w:rsidRPr="00DE0EC2">
          <w:rPr>
            <w:rStyle w:val="TextoNormalCaracter"/>
          </w:rPr>
          <w:t>1/2021</w:t>
        </w:r>
      </w:hyperlink>
      <w:r w:rsidRPr="00DE0EC2">
        <w:rPr>
          <w:rStyle w:val="TextoNormalCaracter"/>
        </w:rPr>
        <w:t xml:space="preserve">, f. 6; </w:t>
      </w:r>
      <w:hyperlink w:anchor="SENTENCIA_2021_119" w:history="1">
        <w:r w:rsidRPr="00DE0EC2">
          <w:rPr>
            <w:rStyle w:val="TextoNormalCaracter"/>
          </w:rPr>
          <w:t>119/2021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55" w:name="DESCRIPTORALFABETICO96"/>
      <w:r w:rsidRPr="00DE0EC2">
        <w:rPr>
          <w:rStyle w:val="TextoNormalNegritaCaracter"/>
        </w:rPr>
        <w:t>Discriminación por razón de discapacidad</w:t>
      </w:r>
      <w:bookmarkEnd w:id="955"/>
      <w:r w:rsidRPr="00DE0EC2">
        <w:rPr>
          <w:rStyle w:val="TextoNormalCaracter"/>
        </w:rPr>
        <w:t xml:space="preserve">, Sentencia </w:t>
      </w:r>
      <w:hyperlink w:anchor="SENTENCIA_2021_51" w:history="1">
        <w:r w:rsidRPr="00DE0EC2">
          <w:rPr>
            <w:rStyle w:val="TextoNormalCaracter"/>
          </w:rPr>
          <w:t>51/2021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56" w:name="DESCRIPTORALFABETICO97"/>
      <w:r w:rsidRPr="00DE0EC2">
        <w:rPr>
          <w:rStyle w:val="TextoNormalNegritaCaracter"/>
        </w:rPr>
        <w:t>Discriminación por razón de lengua</w:t>
      </w:r>
      <w:bookmarkEnd w:id="956"/>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4; </w:t>
      </w:r>
      <w:hyperlink w:anchor="SENTENCIA_2021_106" w:history="1">
        <w:r w:rsidRPr="00DE0EC2">
          <w:rPr>
            <w:rStyle w:val="TextoNormalCaracter"/>
          </w:rPr>
          <w:t>106/2021</w:t>
        </w:r>
      </w:hyperlink>
      <w:r w:rsidRPr="00DE0EC2">
        <w:rPr>
          <w:rStyle w:val="TextoNormalCaracter"/>
        </w:rPr>
        <w:t xml:space="preserve">, f. 4; </w:t>
      </w:r>
      <w:hyperlink w:anchor="SENTENCIA_2021_121" w:history="1">
        <w:r w:rsidRPr="00DE0EC2">
          <w:rPr>
            <w:rStyle w:val="TextoNormalCaracter"/>
          </w:rPr>
          <w:t>121/2021</w:t>
        </w:r>
      </w:hyperlink>
      <w:r w:rsidRPr="00DE0EC2">
        <w:rPr>
          <w:rStyle w:val="TextoNormalCaracter"/>
        </w:rPr>
        <w:t xml:space="preserve">, f. 5; </w:t>
      </w:r>
      <w:hyperlink w:anchor="SENTENCIA_2021_122" w:history="1">
        <w:r w:rsidRPr="00DE0EC2">
          <w:rPr>
            <w:rStyle w:val="TextoNormalCaracter"/>
          </w:rPr>
          <w:t>122/2021</w:t>
        </w:r>
      </w:hyperlink>
      <w:r w:rsidRPr="00DE0EC2">
        <w:rPr>
          <w:rStyle w:val="TextoNormalCaracter"/>
        </w:rPr>
        <w:t>, f. 6.</w:t>
      </w:r>
    </w:p>
    <w:p w:rsidR="00DE0EC2" w:rsidRPr="00DE0EC2" w:rsidRDefault="00DE0EC2" w:rsidP="00DE0EC2">
      <w:pPr>
        <w:pStyle w:val="TextoNormalSangraFrancesa"/>
        <w:rPr>
          <w:rStyle w:val="TextoNormalCaracter"/>
        </w:rPr>
      </w:pPr>
      <w:bookmarkStart w:id="957" w:name="DESCRIPTORALFABETICO98"/>
      <w:r w:rsidRPr="00DE0EC2">
        <w:rPr>
          <w:rStyle w:val="TextoNormalNegritaCaracter"/>
        </w:rPr>
        <w:t>Discriminación por razón de raza</w:t>
      </w:r>
      <w:bookmarkEnd w:id="957"/>
      <w:r w:rsidRPr="00DE0EC2">
        <w:rPr>
          <w:rStyle w:val="TextoNormalCaracter"/>
        </w:rPr>
        <w:t xml:space="preserve">, Sentencia </w:t>
      </w:r>
      <w:hyperlink w:anchor="SENTENCIA_2021_1" w:history="1">
        <w:r w:rsidRPr="00DE0EC2">
          <w:rPr>
            <w:rStyle w:val="TextoNormalCaracter"/>
          </w:rPr>
          <w:t>1/2021</w:t>
        </w:r>
      </w:hyperlink>
      <w:r w:rsidRPr="00DE0EC2">
        <w:rPr>
          <w:rStyle w:val="TextoNormalCaracter"/>
        </w:rPr>
        <w:t>, f. 5.</w:t>
      </w:r>
    </w:p>
    <w:p w:rsidR="00DE0EC2" w:rsidRPr="00DE0EC2" w:rsidRDefault="00DE0EC2" w:rsidP="00DE0EC2">
      <w:pPr>
        <w:pStyle w:val="TextoNormalSangraFrancesa"/>
        <w:rPr>
          <w:rStyle w:val="TextoNormalCaracter"/>
        </w:rPr>
      </w:pPr>
      <w:bookmarkStart w:id="958" w:name="DESCRIPTORALFABETICO99"/>
      <w:r w:rsidRPr="00DE0EC2">
        <w:rPr>
          <w:rStyle w:val="TextoNormalNegritaCaracter"/>
        </w:rPr>
        <w:t>Discriminación por razón de sexo</w:t>
      </w:r>
      <w:bookmarkEnd w:id="958"/>
      <w:r w:rsidRPr="00DE0EC2">
        <w:rPr>
          <w:rStyle w:val="TextoNormalCaracter"/>
        </w:rPr>
        <w:t xml:space="preserve">, Sentencia </w:t>
      </w:r>
      <w:hyperlink w:anchor="SENTENCIA_2021_119" w:history="1">
        <w:r w:rsidRPr="00DE0EC2">
          <w:rPr>
            <w:rStyle w:val="TextoNormalCaracter"/>
          </w:rPr>
          <w:t>119/2021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59" w:name="DESCRIPTORALFABETICO390"/>
      <w:r w:rsidRPr="00DE0EC2">
        <w:rPr>
          <w:rStyle w:val="TextoNormalNegritaCaracter"/>
        </w:rPr>
        <w:t>Disolución de sociedades mercantiles</w:t>
      </w:r>
      <w:bookmarkEnd w:id="959"/>
      <w:r w:rsidRPr="00DE0EC2">
        <w:rPr>
          <w:rStyle w:val="TextoNormalCaracter"/>
        </w:rPr>
        <w:t xml:space="preserve">, Sentencia </w:t>
      </w:r>
      <w:hyperlink w:anchor="SENTENCIA_2021_17" w:history="1">
        <w:r w:rsidRPr="00DE0EC2">
          <w:rPr>
            <w:rStyle w:val="TextoNormalCaracter"/>
          </w:rPr>
          <w:t>17/2021</w:t>
        </w:r>
      </w:hyperlink>
      <w:r w:rsidRPr="00DE0EC2">
        <w:rPr>
          <w:rStyle w:val="TextoNormalCaracter"/>
        </w:rPr>
        <w:t>, f. 1.</w:t>
      </w:r>
    </w:p>
    <w:p w:rsidR="00DE0EC2" w:rsidRPr="00DE0EC2" w:rsidRDefault="00DE0EC2" w:rsidP="00DE0EC2">
      <w:pPr>
        <w:pStyle w:val="TextoNormalSangraFrancesa"/>
        <w:rPr>
          <w:rStyle w:val="TextoNormalCaracter"/>
        </w:rPr>
      </w:pPr>
      <w:bookmarkStart w:id="960" w:name="DESCRIPTORALFABETICO273"/>
      <w:r w:rsidRPr="00DE0EC2">
        <w:rPr>
          <w:rStyle w:val="TextoNormalNegritaCaracter"/>
        </w:rPr>
        <w:t>Distinción entre territorios forales y Comunidades Autónomas</w:t>
      </w:r>
      <w:bookmarkEnd w:id="960"/>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 4.</w:t>
      </w:r>
    </w:p>
    <w:p w:rsidR="00DE0EC2" w:rsidRPr="00DE0EC2" w:rsidRDefault="00DE0EC2" w:rsidP="00DE0EC2">
      <w:pPr>
        <w:pStyle w:val="TextoNormalSangraFrancesa"/>
        <w:rPr>
          <w:rStyle w:val="TextoNormalCaracter"/>
        </w:rPr>
      </w:pPr>
      <w:bookmarkStart w:id="961" w:name="DESCRIPTORALFABETICO36"/>
      <w:r w:rsidRPr="00DE0EC2">
        <w:rPr>
          <w:rStyle w:val="TextoNormalNegritaCaracter"/>
        </w:rPr>
        <w:t>Doble imposición</w:t>
      </w:r>
      <w:bookmarkEnd w:id="961"/>
      <w:r w:rsidRPr="00DE0EC2">
        <w:rPr>
          <w:rStyle w:val="TextoNormalCaracter"/>
        </w:rPr>
        <w:t xml:space="preserve">, Sentencia </w:t>
      </w:r>
      <w:hyperlink w:anchor="SENTENCIA_2021_125" w:history="1">
        <w:r w:rsidRPr="00DE0EC2">
          <w:rPr>
            <w:rStyle w:val="TextoNormalCaracter"/>
          </w:rPr>
          <w:t>125/2021</w:t>
        </w:r>
      </w:hyperlink>
      <w:r w:rsidRPr="00DE0EC2">
        <w:rPr>
          <w:rStyle w:val="TextoNormalCaracter"/>
        </w:rPr>
        <w:t>, f. 3.</w:t>
      </w:r>
    </w:p>
    <w:p w:rsidR="00DE0EC2" w:rsidRPr="00DE0EC2" w:rsidRDefault="00DE0EC2" w:rsidP="00DE0EC2">
      <w:pPr>
        <w:pStyle w:val="TextoNormalSangraFrancesa"/>
        <w:rPr>
          <w:rStyle w:val="TextoNormalCaracter"/>
        </w:rPr>
      </w:pPr>
      <w:bookmarkStart w:id="962" w:name="DESCRIPTORALFABETICO75"/>
      <w:r w:rsidRPr="00DE0EC2">
        <w:rPr>
          <w:rStyle w:val="TextoNormalNegritaCaracter"/>
        </w:rPr>
        <w:t>Doble instancia penal</w:t>
      </w:r>
      <w:bookmarkEnd w:id="962"/>
      <w:r w:rsidRPr="00DE0EC2">
        <w:rPr>
          <w:rStyle w:val="TextoNormalCaracter"/>
        </w:rPr>
        <w:t xml:space="preserve">, Sentencias </w:t>
      </w:r>
      <w:hyperlink w:anchor="SENTENCIA_2021_3" w:history="1">
        <w:r w:rsidRPr="00DE0EC2">
          <w:rPr>
            <w:rStyle w:val="TextoNormalCaracter"/>
          </w:rPr>
          <w:t>3/2021</w:t>
        </w:r>
      </w:hyperlink>
      <w:r w:rsidRPr="00DE0EC2">
        <w:rPr>
          <w:rStyle w:val="TextoNormalCaracter"/>
        </w:rPr>
        <w:t xml:space="preserve">; </w:t>
      </w:r>
      <w:hyperlink w:anchor="SENTENCIA_2021_4" w:history="1">
        <w:r w:rsidRPr="00DE0EC2">
          <w:rPr>
            <w:rStyle w:val="TextoNormalCaracter"/>
          </w:rPr>
          <w:t>4/2021</w:t>
        </w:r>
      </w:hyperlink>
      <w:r w:rsidRPr="00DE0EC2">
        <w:rPr>
          <w:rStyle w:val="TextoNormalCaracter"/>
        </w:rPr>
        <w:t xml:space="preserve">, ff. 3, 4; </w:t>
      </w:r>
      <w:hyperlink w:anchor="SENTENCIA_2021_34" w:history="1">
        <w:r w:rsidRPr="00DE0EC2">
          <w:rPr>
            <w:rStyle w:val="TextoNormalCaracter"/>
          </w:rPr>
          <w:t>34/2021</w:t>
        </w:r>
      </w:hyperlink>
      <w:r w:rsidRPr="00DE0EC2">
        <w:rPr>
          <w:rStyle w:val="TextoNormalCaracter"/>
        </w:rPr>
        <w:t xml:space="preserve">, f. 6; </w:t>
      </w:r>
      <w:hyperlink w:anchor="SENTENCIA_2021_91" w:history="1">
        <w:r w:rsidRPr="00DE0EC2">
          <w:rPr>
            <w:rStyle w:val="TextoNormalCaracter"/>
          </w:rPr>
          <w:t>91/2021</w:t>
        </w:r>
      </w:hyperlink>
      <w:r w:rsidRPr="00DE0EC2">
        <w:rPr>
          <w:rStyle w:val="TextoNormalCaracter"/>
        </w:rPr>
        <w:t xml:space="preserve">, f. 3; </w:t>
      </w:r>
      <w:hyperlink w:anchor="SENTENCIA_2021_106" w:history="1">
        <w:r w:rsidRPr="00DE0EC2">
          <w:rPr>
            <w:rStyle w:val="TextoNormalCaracter"/>
          </w:rPr>
          <w:t>106/2021</w:t>
        </w:r>
      </w:hyperlink>
      <w:r w:rsidRPr="00DE0EC2">
        <w:rPr>
          <w:rStyle w:val="TextoNormalCaracter"/>
        </w:rPr>
        <w:t xml:space="preserve">, f. 3; </w:t>
      </w:r>
      <w:hyperlink w:anchor="SENTENCIA_2021_121" w:history="1">
        <w:r w:rsidRPr="00DE0EC2">
          <w:rPr>
            <w:rStyle w:val="TextoNormalCaracter"/>
          </w:rPr>
          <w:t>121/2021</w:t>
        </w:r>
      </w:hyperlink>
      <w:r w:rsidRPr="00DE0EC2">
        <w:rPr>
          <w:rStyle w:val="TextoNormalCaracter"/>
        </w:rPr>
        <w:t>, f. 4.</w:t>
      </w:r>
    </w:p>
    <w:p w:rsidR="00DE0EC2" w:rsidRPr="00DE0EC2" w:rsidRDefault="00DE0EC2" w:rsidP="00DE0EC2">
      <w:pPr>
        <w:pStyle w:val="TextoNormalSangraFrancesa"/>
        <w:rPr>
          <w:rStyle w:val="TextoNormalCaracter"/>
        </w:rPr>
      </w:pPr>
      <w:bookmarkStart w:id="963" w:name="DESCRIPTORALFABETICO249"/>
      <w:r w:rsidRPr="00DE0EC2">
        <w:rPr>
          <w:rStyle w:val="TextoNormalNegritaCaracter"/>
        </w:rPr>
        <w:t>Doctrina del Tribunal de Justicia de la Unión Europea</w:t>
      </w:r>
      <w:bookmarkEnd w:id="963"/>
      <w:r w:rsidRPr="00DE0EC2">
        <w:rPr>
          <w:rStyle w:val="TextoNormalCaracter"/>
        </w:rPr>
        <w:t xml:space="preserve">, Sentencias </w:t>
      </w:r>
      <w:hyperlink w:anchor="SENTENCIA_2021_7" w:history="1">
        <w:r w:rsidRPr="00DE0EC2">
          <w:rPr>
            <w:rStyle w:val="TextoNormalCaracter"/>
          </w:rPr>
          <w:t>7/2021</w:t>
        </w:r>
      </w:hyperlink>
      <w:r w:rsidRPr="00DE0EC2">
        <w:rPr>
          <w:rStyle w:val="TextoNormalCaracter"/>
        </w:rPr>
        <w:t xml:space="preserve">, f. 3; </w:t>
      </w:r>
      <w:hyperlink w:anchor="SENTENCIA_2021_8" w:history="1">
        <w:r w:rsidRPr="00DE0EC2">
          <w:rPr>
            <w:rStyle w:val="TextoNormalCaracter"/>
          </w:rPr>
          <w:t>8/2021</w:t>
        </w:r>
      </w:hyperlink>
      <w:r w:rsidRPr="00DE0EC2">
        <w:rPr>
          <w:rStyle w:val="TextoNormalCaracter"/>
        </w:rPr>
        <w:t xml:space="preserve">, f. 3; </w:t>
      </w:r>
      <w:hyperlink w:anchor="SENTENCIA_2021_12" w:history="1">
        <w:r w:rsidRPr="00DE0EC2">
          <w:rPr>
            <w:rStyle w:val="TextoNormalCaracter"/>
          </w:rPr>
          <w:t>12/2021</w:t>
        </w:r>
      </w:hyperlink>
      <w:r w:rsidRPr="00DE0EC2">
        <w:rPr>
          <w:rStyle w:val="TextoNormalCaracter"/>
        </w:rPr>
        <w:t xml:space="preserve">, f. 3; </w:t>
      </w:r>
      <w:hyperlink w:anchor="SENTENCIA_2021_24" w:history="1">
        <w:r w:rsidRPr="00DE0EC2">
          <w:rPr>
            <w:rStyle w:val="TextoNormalCaracter"/>
          </w:rPr>
          <w:t>24/2021</w:t>
        </w:r>
      </w:hyperlink>
      <w:r w:rsidRPr="00DE0EC2">
        <w:rPr>
          <w:rStyle w:val="TextoNormalCaracter"/>
        </w:rPr>
        <w:t xml:space="preserve">, ff. 2, 3; </w:t>
      </w:r>
      <w:hyperlink w:anchor="SENTENCIA_2021_50" w:history="1">
        <w:r w:rsidRPr="00DE0EC2">
          <w:rPr>
            <w:rStyle w:val="TextoNormalCaracter"/>
          </w:rPr>
          <w:t>50/2021</w:t>
        </w:r>
      </w:hyperlink>
      <w:r w:rsidRPr="00DE0EC2">
        <w:rPr>
          <w:rStyle w:val="TextoNormalCaracter"/>
        </w:rPr>
        <w:t xml:space="preserve">, f. 2; </w:t>
      </w:r>
      <w:hyperlink w:anchor="SENTENCIA_2021_70" w:history="1">
        <w:r w:rsidRPr="00DE0EC2">
          <w:rPr>
            <w:rStyle w:val="TextoNormalCaracter"/>
          </w:rPr>
          <w:t>70/2021</w:t>
        </w:r>
      </w:hyperlink>
      <w:r w:rsidRPr="00DE0EC2">
        <w:rPr>
          <w:rStyle w:val="TextoNormalCaracter"/>
        </w:rPr>
        <w:t xml:space="preserve">, ff. 3, 7; </w:t>
      </w:r>
      <w:hyperlink w:anchor="SENTENCIA_2021_71" w:history="1">
        <w:r w:rsidRPr="00DE0EC2">
          <w:rPr>
            <w:rStyle w:val="TextoNormalCaracter"/>
          </w:rPr>
          <w:t>71/2021</w:t>
        </w:r>
      </w:hyperlink>
      <w:r w:rsidRPr="00DE0EC2">
        <w:rPr>
          <w:rStyle w:val="TextoNormalCaracter"/>
        </w:rPr>
        <w:t xml:space="preserve">, ff. 3, 7; </w:t>
      </w:r>
      <w:hyperlink w:anchor="SENTENCIA_2021_77" w:history="1">
        <w:r w:rsidRPr="00DE0EC2">
          <w:rPr>
            <w:rStyle w:val="TextoNormalCaracter"/>
          </w:rPr>
          <w:t>77/2021</w:t>
        </w:r>
      </w:hyperlink>
      <w:r w:rsidRPr="00DE0EC2">
        <w:rPr>
          <w:rStyle w:val="TextoNormalCaracter"/>
        </w:rPr>
        <w:t xml:space="preserve">, f. 3; </w:t>
      </w:r>
      <w:hyperlink w:anchor="SENTENCIA_2021_92" w:history="1">
        <w:r w:rsidRPr="00DE0EC2">
          <w:rPr>
            <w:rStyle w:val="TextoNormalCaracter"/>
          </w:rPr>
          <w:t>92/2021</w:t>
        </w:r>
      </w:hyperlink>
      <w:r w:rsidRPr="00DE0EC2">
        <w:rPr>
          <w:rStyle w:val="TextoNormalCaracter"/>
        </w:rPr>
        <w:t xml:space="preserve">, ff. 2, 3; </w:t>
      </w:r>
      <w:hyperlink w:anchor="SENTENCIA_2021_101" w:history="1">
        <w:r w:rsidRPr="00DE0EC2">
          <w:rPr>
            <w:rStyle w:val="TextoNormalCaracter"/>
          </w:rPr>
          <w:t>101/2021</w:t>
        </w:r>
      </w:hyperlink>
      <w:r w:rsidRPr="00DE0EC2">
        <w:rPr>
          <w:rStyle w:val="TextoNormalCaracter"/>
        </w:rPr>
        <w:t xml:space="preserve">, ff. 3, 4; </w:t>
      </w:r>
      <w:hyperlink w:anchor="SENTENCIA_2021_102" w:history="1">
        <w:r w:rsidRPr="00DE0EC2">
          <w:rPr>
            <w:rStyle w:val="TextoNormalCaracter"/>
          </w:rPr>
          <w:t>102/2021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64" w:name="DESCRIPTORALFABETICO353"/>
      <w:r w:rsidRPr="00DE0EC2">
        <w:rPr>
          <w:rStyle w:val="TextoNormalNegritaCaracter"/>
        </w:rPr>
        <w:t>Doctrina del Tribunal Europeo de Derechos Humanos</w:t>
      </w:r>
      <w:bookmarkEnd w:id="964"/>
      <w:r w:rsidRPr="00DE0EC2">
        <w:rPr>
          <w:rStyle w:val="TextoNormalCaracter"/>
        </w:rPr>
        <w:t xml:space="preserve">, Sentencias </w:t>
      </w:r>
      <w:hyperlink w:anchor="SENTENCIA_2021_1" w:history="1">
        <w:r w:rsidRPr="00DE0EC2">
          <w:rPr>
            <w:rStyle w:val="TextoNormalCaracter"/>
          </w:rPr>
          <w:t>1/2021</w:t>
        </w:r>
      </w:hyperlink>
      <w:r w:rsidRPr="00DE0EC2">
        <w:rPr>
          <w:rStyle w:val="TextoNormalCaracter"/>
        </w:rPr>
        <w:t xml:space="preserve">, ff. 2, 7; </w:t>
      </w:r>
      <w:hyperlink w:anchor="SENTENCIA_2021_13" w:history="1">
        <w:r w:rsidRPr="00DE0EC2">
          <w:rPr>
            <w:rStyle w:val="TextoNormalCaracter"/>
          </w:rPr>
          <w:t>13/2021</w:t>
        </w:r>
      </w:hyperlink>
      <w:r w:rsidRPr="00DE0EC2">
        <w:rPr>
          <w:rStyle w:val="TextoNormalCaracter"/>
        </w:rPr>
        <w:t xml:space="preserve">, f. 3; </w:t>
      </w:r>
      <w:hyperlink w:anchor="SENTENCIA_2021_21" w:history="1">
        <w:r w:rsidRPr="00DE0EC2">
          <w:rPr>
            <w:rStyle w:val="TextoNormalCaracter"/>
          </w:rPr>
          <w:t>21/2021</w:t>
        </w:r>
      </w:hyperlink>
      <w:r w:rsidRPr="00DE0EC2">
        <w:rPr>
          <w:rStyle w:val="TextoNormalCaracter"/>
        </w:rPr>
        <w:t xml:space="preserve">, f. 5; </w:t>
      </w:r>
      <w:hyperlink w:anchor="SENTENCIA_2021_34" w:history="1">
        <w:r w:rsidRPr="00DE0EC2">
          <w:rPr>
            <w:rStyle w:val="TextoNormalCaracter"/>
          </w:rPr>
          <w:t>34/2021</w:t>
        </w:r>
      </w:hyperlink>
      <w:r w:rsidRPr="00DE0EC2">
        <w:rPr>
          <w:rStyle w:val="TextoNormalCaracter"/>
        </w:rPr>
        <w:t xml:space="preserve">, ff. 2, 5; </w:t>
      </w:r>
      <w:hyperlink w:anchor="SENTENCIA_2021_35" w:history="1">
        <w:r w:rsidRPr="00DE0EC2">
          <w:rPr>
            <w:rStyle w:val="TextoNormalCaracter"/>
          </w:rPr>
          <w:t>35/2021</w:t>
        </w:r>
      </w:hyperlink>
      <w:r w:rsidRPr="00DE0EC2">
        <w:rPr>
          <w:rStyle w:val="TextoNormalCaracter"/>
        </w:rPr>
        <w:t xml:space="preserve">, f. 4; </w:t>
      </w:r>
      <w:hyperlink w:anchor="SENTENCIA_2021_61" w:history="1">
        <w:r w:rsidRPr="00DE0EC2">
          <w:rPr>
            <w:rStyle w:val="TextoNormalCaracter"/>
          </w:rPr>
          <w:t>61/2021</w:t>
        </w:r>
      </w:hyperlink>
      <w:r w:rsidRPr="00DE0EC2">
        <w:rPr>
          <w:rStyle w:val="TextoNormalCaracter"/>
        </w:rPr>
        <w:t xml:space="preserve">, f. 2; </w:t>
      </w:r>
      <w:hyperlink w:anchor="SENTENCIA_2021_70" w:history="1">
        <w:r w:rsidRPr="00DE0EC2">
          <w:rPr>
            <w:rStyle w:val="TextoNormalCaracter"/>
          </w:rPr>
          <w:t>70/2021</w:t>
        </w:r>
      </w:hyperlink>
      <w:r w:rsidRPr="00DE0EC2">
        <w:rPr>
          <w:rStyle w:val="TextoNormalCaracter"/>
        </w:rPr>
        <w:t xml:space="preserve">, ff. 3, 6; </w:t>
      </w:r>
      <w:hyperlink w:anchor="SENTENCIA_2021_71" w:history="1">
        <w:r w:rsidRPr="00DE0EC2">
          <w:rPr>
            <w:rStyle w:val="TextoNormalCaracter"/>
          </w:rPr>
          <w:t>71/2021</w:t>
        </w:r>
      </w:hyperlink>
      <w:r w:rsidRPr="00DE0EC2">
        <w:rPr>
          <w:rStyle w:val="TextoNormalCaracter"/>
        </w:rPr>
        <w:t xml:space="preserve">, f. 3; </w:t>
      </w:r>
      <w:hyperlink w:anchor="SENTENCIA_2021_80" w:history="1">
        <w:r w:rsidRPr="00DE0EC2">
          <w:rPr>
            <w:rStyle w:val="TextoNormalCaracter"/>
          </w:rPr>
          <w:t>80/2021</w:t>
        </w:r>
      </w:hyperlink>
      <w:r w:rsidRPr="00DE0EC2">
        <w:rPr>
          <w:rStyle w:val="TextoNormalCaracter"/>
        </w:rPr>
        <w:t xml:space="preserve">, f. 4; </w:t>
      </w:r>
      <w:hyperlink w:anchor="SENTENCIA_2021_91" w:history="1">
        <w:r w:rsidRPr="00DE0EC2">
          <w:rPr>
            <w:rStyle w:val="TextoNormalCaracter"/>
          </w:rPr>
          <w:t>91/2021</w:t>
        </w:r>
      </w:hyperlink>
      <w:r w:rsidRPr="00DE0EC2">
        <w:rPr>
          <w:rStyle w:val="TextoNormalCaracter"/>
        </w:rPr>
        <w:t xml:space="preserve">, ff. 3 a 11; </w:t>
      </w:r>
      <w:hyperlink w:anchor="SENTENCIA_2021_93" w:history="1">
        <w:r w:rsidRPr="00DE0EC2">
          <w:rPr>
            <w:rStyle w:val="TextoNormalCaracter"/>
          </w:rPr>
          <w:t>93/2021</w:t>
        </w:r>
      </w:hyperlink>
      <w:r w:rsidRPr="00DE0EC2">
        <w:rPr>
          <w:rStyle w:val="TextoNormalCaracter"/>
        </w:rPr>
        <w:t xml:space="preserve">, ff. 1, 4, VP I; </w:t>
      </w:r>
      <w:hyperlink w:anchor="SENTENCIA_2021_99" w:history="1">
        <w:r w:rsidRPr="00DE0EC2">
          <w:rPr>
            <w:rStyle w:val="TextoNormalCaracter"/>
          </w:rPr>
          <w:t>99/2021</w:t>
        </w:r>
      </w:hyperlink>
      <w:r w:rsidRPr="00DE0EC2">
        <w:rPr>
          <w:rStyle w:val="TextoNormalCaracter"/>
        </w:rPr>
        <w:t xml:space="preserve">, ff. 3, 4; </w:t>
      </w:r>
      <w:hyperlink w:anchor="SENTENCIA_2021_106" w:history="1">
        <w:r w:rsidRPr="00DE0EC2">
          <w:rPr>
            <w:rStyle w:val="TextoNormalCaracter"/>
          </w:rPr>
          <w:t>106/2021</w:t>
        </w:r>
      </w:hyperlink>
      <w:r w:rsidRPr="00DE0EC2">
        <w:rPr>
          <w:rStyle w:val="TextoNormalCaracter"/>
        </w:rPr>
        <w:t xml:space="preserve">, ff. 3 a 11; </w:t>
      </w:r>
      <w:hyperlink w:anchor="SENTENCIA_2021_121" w:history="1">
        <w:r w:rsidRPr="00DE0EC2">
          <w:rPr>
            <w:rStyle w:val="TextoNormalCaracter"/>
          </w:rPr>
          <w:t>121/2021</w:t>
        </w:r>
      </w:hyperlink>
      <w:r w:rsidRPr="00DE0EC2">
        <w:rPr>
          <w:rStyle w:val="TextoNormalCaracter"/>
        </w:rPr>
        <w:t xml:space="preserve">, ff. 4 a 7, 9, 10, 12, VP I; </w:t>
      </w:r>
      <w:hyperlink w:anchor="SENTENCIA_2021_122" w:history="1">
        <w:r w:rsidRPr="00DE0EC2">
          <w:rPr>
            <w:rStyle w:val="TextoNormalCaracter"/>
          </w:rPr>
          <w:t>122/2021</w:t>
        </w:r>
      </w:hyperlink>
      <w:r w:rsidRPr="00DE0EC2">
        <w:rPr>
          <w:rStyle w:val="TextoNormalCaracter"/>
        </w:rPr>
        <w:t xml:space="preserve">, ff. 4 a 11, V.P. I; </w:t>
      </w:r>
      <w:hyperlink w:anchor="SENTENCIA_2021_133" w:history="1">
        <w:r w:rsidRPr="00DE0EC2">
          <w:rPr>
            <w:rStyle w:val="TextoNormalCaracter"/>
          </w:rPr>
          <w:t>133/2021</w:t>
        </w:r>
      </w:hyperlink>
      <w:r w:rsidRPr="00DE0EC2">
        <w:rPr>
          <w:rStyle w:val="TextoNormalCaracter"/>
        </w:rPr>
        <w:t>, ff. 4, 5, 7, 8, VP I a III.</w:t>
      </w:r>
    </w:p>
    <w:p w:rsidR="00DE0EC2" w:rsidRPr="00DE0EC2" w:rsidRDefault="00DE0EC2" w:rsidP="00DE0EC2">
      <w:pPr>
        <w:pStyle w:val="TextoNormalSangraFrancesa"/>
        <w:rPr>
          <w:rStyle w:val="TextoNormalCaracter"/>
        </w:rPr>
      </w:pPr>
      <w:bookmarkStart w:id="965" w:name="DESCRIPTORALFABETICO264"/>
      <w:r w:rsidRPr="00DE0EC2">
        <w:rPr>
          <w:rStyle w:val="TextoNormalNegritaCaracter"/>
        </w:rPr>
        <w:t>Duplicidad de sanciones penales</w:t>
      </w:r>
      <w:bookmarkEnd w:id="965"/>
      <w:r w:rsidRPr="00DE0EC2">
        <w:rPr>
          <w:rStyle w:val="TextoNormalCaracter"/>
        </w:rPr>
        <w:t xml:space="preserve">, Sentencia </w:t>
      </w:r>
      <w:hyperlink w:anchor="SENTENCIA_2021_106" w:history="1">
        <w:r w:rsidRPr="00DE0EC2">
          <w:rPr>
            <w:rStyle w:val="TextoNormalCaracter"/>
          </w:rPr>
          <w:t>106/2021</w:t>
        </w:r>
      </w:hyperlink>
      <w:r w:rsidRPr="00DE0EC2">
        <w:rPr>
          <w:rStyle w:val="TextoNormalCaracter"/>
        </w:rPr>
        <w:t>, f. 10.</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E</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966" w:name="DESCRIPTORALFABETICO138"/>
      <w:r w:rsidRPr="00DE0EC2">
        <w:rPr>
          <w:rStyle w:val="TextoNormalNegritaCaracter"/>
        </w:rPr>
        <w:t>Efecto desaliento del ejercicio de los derechos fundamentales</w:t>
      </w:r>
      <w:bookmarkEnd w:id="966"/>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11; </w:t>
      </w:r>
      <w:hyperlink w:anchor="SENTENCIA_2021_106" w:history="1">
        <w:r w:rsidRPr="00DE0EC2">
          <w:rPr>
            <w:rStyle w:val="TextoNormalCaracter"/>
          </w:rPr>
          <w:t>106/2021</w:t>
        </w:r>
      </w:hyperlink>
      <w:r w:rsidRPr="00DE0EC2">
        <w:rPr>
          <w:rStyle w:val="TextoNormalCaracter"/>
        </w:rPr>
        <w:t xml:space="preserve">, f. 11; </w:t>
      </w:r>
      <w:hyperlink w:anchor="SENTENCIA_2021_121" w:history="1">
        <w:r w:rsidRPr="00DE0EC2">
          <w:rPr>
            <w:rStyle w:val="TextoNormalCaracter"/>
          </w:rPr>
          <w:t>121/2021</w:t>
        </w:r>
      </w:hyperlink>
      <w:r w:rsidRPr="00DE0EC2">
        <w:rPr>
          <w:rStyle w:val="TextoNormalCaracter"/>
        </w:rPr>
        <w:t xml:space="preserve">, f. 12, VP I; </w:t>
      </w:r>
      <w:hyperlink w:anchor="SENTENCIA_2021_122" w:history="1">
        <w:r w:rsidRPr="00DE0EC2">
          <w:rPr>
            <w:rStyle w:val="TextoNormalCaracter"/>
          </w:rPr>
          <w:t>122/2021</w:t>
        </w:r>
      </w:hyperlink>
      <w:r w:rsidRPr="00DE0EC2">
        <w:rPr>
          <w:rStyle w:val="TextoNormalCaracter"/>
        </w:rPr>
        <w:t xml:space="preserve">, V.P. I; </w:t>
      </w:r>
      <w:hyperlink w:anchor="SENTENCIA_2021_133" w:history="1">
        <w:r w:rsidRPr="00DE0EC2">
          <w:rPr>
            <w:rStyle w:val="TextoNormalCaracter"/>
          </w:rPr>
          <w:t>133/2021</w:t>
        </w:r>
      </w:hyperlink>
      <w:r w:rsidRPr="00DE0EC2">
        <w:rPr>
          <w:rStyle w:val="TextoNormalCaracter"/>
        </w:rPr>
        <w:t>, f. 7, VP II, III.</w:t>
      </w:r>
    </w:p>
    <w:p w:rsidR="00DE0EC2" w:rsidRPr="00DE0EC2" w:rsidRDefault="00DE0EC2" w:rsidP="00DE0EC2">
      <w:pPr>
        <w:pStyle w:val="TextoNormalSangraFrancesa"/>
        <w:rPr>
          <w:rStyle w:val="TextoNormalCaracter"/>
        </w:rPr>
      </w:pPr>
      <w:bookmarkStart w:id="967" w:name="DESCRIPTORALFABETICO27"/>
      <w:r w:rsidRPr="00DE0EC2">
        <w:rPr>
          <w:rStyle w:val="TextoNormalNegritaCaracter"/>
        </w:rPr>
        <w:t>Ejecución autonómica de tratados internacionales</w:t>
      </w:r>
      <w:bookmarkEnd w:id="967"/>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ff. 9, 12.</w:t>
      </w:r>
    </w:p>
    <w:p w:rsidR="00DE0EC2" w:rsidRPr="00DE0EC2" w:rsidRDefault="00DE0EC2" w:rsidP="00DE0EC2">
      <w:pPr>
        <w:pStyle w:val="TextoNormalSangraFrancesa"/>
        <w:rPr>
          <w:rStyle w:val="TextoNormalCaracter"/>
        </w:rPr>
      </w:pPr>
      <w:bookmarkStart w:id="968" w:name="DESCRIPTORALFABETICO434"/>
      <w:r w:rsidRPr="00DE0EC2">
        <w:rPr>
          <w:rStyle w:val="TextoNormalNegritaCaracter"/>
        </w:rPr>
        <w:t>Ejecución de resoluciones judiciales</w:t>
      </w:r>
      <w:bookmarkEnd w:id="968"/>
      <w:r w:rsidRPr="00DE0EC2">
        <w:rPr>
          <w:rStyle w:val="TextoNormalCaracter"/>
        </w:rPr>
        <w:t xml:space="preserve">, Sentencia </w:t>
      </w:r>
      <w:hyperlink w:anchor="SENTENCIA_2021_113" w:history="1">
        <w:r w:rsidRPr="00DE0EC2">
          <w:rPr>
            <w:rStyle w:val="TextoNormalCaracter"/>
          </w:rPr>
          <w:t>113/2021</w:t>
        </w:r>
      </w:hyperlink>
      <w:r w:rsidRPr="00DE0EC2">
        <w:rPr>
          <w:rStyle w:val="TextoNormalCaracter"/>
        </w:rPr>
        <w:t>, f. 1.</w:t>
      </w:r>
    </w:p>
    <w:p w:rsidR="00DE0EC2" w:rsidRPr="00DE0EC2" w:rsidRDefault="00DE0EC2" w:rsidP="00DE0EC2">
      <w:pPr>
        <w:pStyle w:val="TextoNormalSangraFrancesa"/>
        <w:rPr>
          <w:rStyle w:val="TextoNormalCaracter"/>
        </w:rPr>
      </w:pPr>
      <w:bookmarkStart w:id="969" w:name="DESCRIPTORALFABETICO208"/>
      <w:r w:rsidRPr="00DE0EC2">
        <w:rPr>
          <w:rStyle w:val="TextoNormalNegritaCaracter"/>
        </w:rPr>
        <w:t>Ejecución de sentencias del Tribunal Constitucional</w:t>
      </w:r>
      <w:bookmarkEnd w:id="969"/>
      <w:r w:rsidRPr="00DE0EC2">
        <w:rPr>
          <w:rStyle w:val="TextoNormalCaracter"/>
        </w:rPr>
        <w:t xml:space="preserve">, Auto </w:t>
      </w:r>
      <w:hyperlink w:anchor="AUTO_2021_57" w:history="1">
        <w:r w:rsidRPr="00DE0EC2">
          <w:rPr>
            <w:rStyle w:val="TextoNormalCaracter"/>
          </w:rPr>
          <w:t>57/2021</w:t>
        </w:r>
      </w:hyperlink>
      <w:r w:rsidRPr="00DE0EC2">
        <w:rPr>
          <w:rStyle w:val="TextoNormalCaracter"/>
        </w:rPr>
        <w:t>.</w:t>
      </w:r>
    </w:p>
    <w:p w:rsidR="00DE0EC2" w:rsidRPr="00DE0EC2" w:rsidRDefault="00DE0EC2" w:rsidP="00DE0EC2">
      <w:pPr>
        <w:pStyle w:val="TextoNormalSangraFrancesa"/>
        <w:rPr>
          <w:rStyle w:val="TextoNormalCaracter"/>
        </w:rPr>
      </w:pPr>
      <w:bookmarkStart w:id="970" w:name="DESCRIPTORALFABETICO50"/>
      <w:r w:rsidRPr="00DE0EC2">
        <w:rPr>
          <w:rStyle w:val="TextoNormalNegritaCaracter"/>
        </w:rPr>
        <w:t>Ejercicio abusivo del derecho a la huelga</w:t>
      </w:r>
      <w:bookmarkEnd w:id="970"/>
      <w:r w:rsidRPr="00DE0EC2">
        <w:rPr>
          <w:rStyle w:val="TextoNormalCaracter"/>
        </w:rPr>
        <w:t xml:space="preserve">, Sentencia </w:t>
      </w:r>
      <w:hyperlink w:anchor="SENTENCIA_2021_130" w:history="1">
        <w:r w:rsidRPr="00DE0EC2">
          <w:rPr>
            <w:rStyle w:val="TextoNormalCaracter"/>
          </w:rPr>
          <w:t>130/2021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71" w:name="DESCRIPTORALFABETICO480"/>
      <w:r w:rsidRPr="00DE0EC2">
        <w:rPr>
          <w:rStyle w:val="TextoNormalNegritaCaracter"/>
        </w:rPr>
        <w:t>Ejercicio de la acción popular</w:t>
      </w:r>
      <w:bookmarkEnd w:id="971"/>
      <w:r w:rsidRPr="00DE0EC2">
        <w:rPr>
          <w:rStyle w:val="TextoNormalCaracter"/>
        </w:rPr>
        <w:t xml:space="preserve">, Sentencia </w:t>
      </w:r>
      <w:hyperlink w:anchor="SENTENCIA_2021_15" w:history="1">
        <w:r w:rsidRPr="00DE0EC2">
          <w:rPr>
            <w:rStyle w:val="TextoNormalCaracter"/>
          </w:rPr>
          <w:t>15/2021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72" w:name="DESCRIPTORALFABETICO419"/>
      <w:r w:rsidRPr="00DE0EC2">
        <w:rPr>
          <w:rStyle w:val="TextoNormalNegritaCaracter"/>
        </w:rPr>
        <w:t>Emplazamiento edictal causante de indefensión</w:t>
      </w:r>
      <w:bookmarkEnd w:id="972"/>
      <w:r w:rsidRPr="00DE0EC2">
        <w:rPr>
          <w:rStyle w:val="TextoNormalCaracter"/>
        </w:rPr>
        <w:t xml:space="preserve">, Sentencia </w:t>
      </w:r>
      <w:hyperlink w:anchor="SENTENCIA_2021_82" w:history="1">
        <w:r w:rsidRPr="00DE0EC2">
          <w:rPr>
            <w:rStyle w:val="TextoNormalCaracter"/>
          </w:rPr>
          <w:t>82/2021</w:t>
        </w:r>
      </w:hyperlink>
      <w:r w:rsidRPr="00DE0EC2">
        <w:rPr>
          <w:rStyle w:val="TextoNormalCaracter"/>
        </w:rPr>
        <w:t>, f. 2.</w:t>
      </w:r>
    </w:p>
    <w:p w:rsidR="00DE0EC2" w:rsidRPr="00DE0EC2" w:rsidRDefault="00DE0EC2" w:rsidP="00DE0EC2">
      <w:pPr>
        <w:pStyle w:val="TextoNormalSangraFrancesa"/>
        <w:rPr>
          <w:rStyle w:val="TextoNormalCaracter"/>
        </w:rPr>
      </w:pPr>
      <w:bookmarkStart w:id="973" w:name="DESCRIPTORALFABETICO420"/>
      <w:r w:rsidRPr="00DE0EC2">
        <w:rPr>
          <w:rStyle w:val="TextoNormalNegritaCaracter"/>
        </w:rPr>
        <w:t>Emplazamiento edictal sin agotar los medios de comunicación efectiva</w:t>
      </w:r>
      <w:bookmarkEnd w:id="973"/>
      <w:r w:rsidRPr="00DE0EC2">
        <w:rPr>
          <w:rStyle w:val="TextoNormalCaracter"/>
        </w:rPr>
        <w:t xml:space="preserve">, Sentencias </w:t>
      </w:r>
      <w:hyperlink w:anchor="SENTENCIA_2021_20" w:history="1">
        <w:r w:rsidRPr="00DE0EC2">
          <w:rPr>
            <w:rStyle w:val="TextoNormalCaracter"/>
          </w:rPr>
          <w:t>20/2021</w:t>
        </w:r>
      </w:hyperlink>
      <w:r w:rsidRPr="00DE0EC2">
        <w:rPr>
          <w:rStyle w:val="TextoNormalCaracter"/>
        </w:rPr>
        <w:t xml:space="preserve">, ff. 2,3; </w:t>
      </w:r>
      <w:hyperlink w:anchor="SENTENCIA_2021_43" w:history="1">
        <w:r w:rsidRPr="00DE0EC2">
          <w:rPr>
            <w:rStyle w:val="TextoNormalCaracter"/>
          </w:rPr>
          <w:t>43/2021</w:t>
        </w:r>
      </w:hyperlink>
      <w:r w:rsidRPr="00DE0EC2">
        <w:rPr>
          <w:rStyle w:val="TextoNormalCaracter"/>
        </w:rPr>
        <w:t xml:space="preserve">, ff. 2, 3; </w:t>
      </w:r>
      <w:hyperlink w:anchor="SENTENCIA_2021_60" w:history="1">
        <w:r w:rsidRPr="00DE0EC2">
          <w:rPr>
            <w:rStyle w:val="TextoNormalCaracter"/>
          </w:rPr>
          <w:t>60/2021</w:t>
        </w:r>
      </w:hyperlink>
      <w:r w:rsidRPr="00DE0EC2">
        <w:rPr>
          <w:rStyle w:val="TextoNormalCaracter"/>
        </w:rPr>
        <w:t xml:space="preserve">, ff. 2 a 4; </w:t>
      </w:r>
      <w:hyperlink w:anchor="SENTENCIA_2021_82" w:history="1">
        <w:r w:rsidRPr="00DE0EC2">
          <w:rPr>
            <w:rStyle w:val="TextoNormalCaracter"/>
          </w:rPr>
          <w:t>82/2021</w:t>
        </w:r>
      </w:hyperlink>
      <w:r w:rsidRPr="00DE0EC2">
        <w:rPr>
          <w:rStyle w:val="TextoNormalCaracter"/>
        </w:rPr>
        <w:t xml:space="preserve">, f. 2; </w:t>
      </w:r>
      <w:hyperlink w:anchor="SENTENCIA_2021_87" w:history="1">
        <w:r w:rsidRPr="00DE0EC2">
          <w:rPr>
            <w:rStyle w:val="TextoNormalCaracter"/>
          </w:rPr>
          <w:t>87/2021</w:t>
        </w:r>
      </w:hyperlink>
      <w:r w:rsidRPr="00DE0EC2">
        <w:rPr>
          <w:rStyle w:val="TextoNormalCaracter"/>
        </w:rPr>
        <w:t xml:space="preserve">, ff. 2, 3; </w:t>
      </w:r>
      <w:hyperlink w:anchor="SENTENCIA_2021_94" w:history="1">
        <w:r w:rsidRPr="00DE0EC2">
          <w:rPr>
            <w:rStyle w:val="TextoNormalCaracter"/>
          </w:rPr>
          <w:t>94/2021</w:t>
        </w:r>
      </w:hyperlink>
      <w:r w:rsidRPr="00DE0EC2">
        <w:rPr>
          <w:rStyle w:val="TextoNormalCaracter"/>
        </w:rPr>
        <w:t xml:space="preserve">, f. 3; </w:t>
      </w:r>
      <w:hyperlink w:anchor="SENTENCIA_2021_97" w:history="1">
        <w:r w:rsidRPr="00DE0EC2">
          <w:rPr>
            <w:rStyle w:val="TextoNormalCaracter"/>
          </w:rPr>
          <w:t>97/2021</w:t>
        </w:r>
      </w:hyperlink>
      <w:r w:rsidRPr="00DE0EC2">
        <w:rPr>
          <w:rStyle w:val="TextoNormalCaracter"/>
        </w:rPr>
        <w:t xml:space="preserve">, ff. 1, 2; </w:t>
      </w:r>
      <w:hyperlink w:anchor="SENTENCIA_2021_117" w:history="1">
        <w:r w:rsidRPr="00DE0EC2">
          <w:rPr>
            <w:rStyle w:val="TextoNormalCaracter"/>
          </w:rPr>
          <w:t>117/2021</w:t>
        </w:r>
      </w:hyperlink>
      <w:r w:rsidRPr="00DE0EC2">
        <w:rPr>
          <w:rStyle w:val="TextoNormalCaracter"/>
        </w:rPr>
        <w:t xml:space="preserve">, ff. 3, 4; </w:t>
      </w:r>
      <w:hyperlink w:anchor="SENTENCIA_2021_118" w:history="1">
        <w:r w:rsidRPr="00DE0EC2">
          <w:rPr>
            <w:rStyle w:val="TextoNormalCaracter"/>
          </w:rPr>
          <w:t>118/2021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974" w:name="DESCRIPTORALFABETICO9"/>
      <w:r w:rsidRPr="00DE0EC2">
        <w:rPr>
          <w:rStyle w:val="TextoNormalNegritaCaracter"/>
        </w:rPr>
        <w:t>Encuadramiento competencial</w:t>
      </w:r>
      <w:bookmarkEnd w:id="974"/>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 3.</w:t>
      </w:r>
    </w:p>
    <w:p w:rsidR="00DE0EC2" w:rsidRPr="00DE0EC2" w:rsidRDefault="00DE0EC2" w:rsidP="00DE0EC2">
      <w:pPr>
        <w:pStyle w:val="TextoNormalSangraFrancesa"/>
        <w:rPr>
          <w:rStyle w:val="TextoNormalCaracter"/>
        </w:rPr>
      </w:pPr>
      <w:bookmarkStart w:id="975" w:name="DESCRIPTORALFABETICO487"/>
      <w:r w:rsidRPr="00DE0EC2">
        <w:rPr>
          <w:rStyle w:val="TextoNormalNegritaCaracter"/>
        </w:rPr>
        <w:t>Enjuiciamiento conjunto de aforados y no aforados</w:t>
      </w:r>
      <w:bookmarkEnd w:id="975"/>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3; </w:t>
      </w:r>
      <w:hyperlink w:anchor="SENTENCIA_2021_106" w:history="1">
        <w:r w:rsidRPr="00DE0EC2">
          <w:rPr>
            <w:rStyle w:val="TextoNormalCaracter"/>
          </w:rPr>
          <w:t>106/2021</w:t>
        </w:r>
      </w:hyperlink>
      <w:r w:rsidRPr="00DE0EC2">
        <w:rPr>
          <w:rStyle w:val="TextoNormalCaracter"/>
        </w:rPr>
        <w:t xml:space="preserve">, f. 3; </w:t>
      </w:r>
      <w:hyperlink w:anchor="SENTENCIA_2021_121" w:history="1">
        <w:r w:rsidRPr="00DE0EC2">
          <w:rPr>
            <w:rStyle w:val="TextoNormalCaracter"/>
          </w:rPr>
          <w:t>121/2021</w:t>
        </w:r>
      </w:hyperlink>
      <w:r w:rsidRPr="00DE0EC2">
        <w:rPr>
          <w:rStyle w:val="TextoNormalCaracter"/>
        </w:rPr>
        <w:t>, f. 4.</w:t>
      </w:r>
    </w:p>
    <w:p w:rsidR="00DE0EC2" w:rsidRPr="00DE0EC2" w:rsidRDefault="00DE0EC2" w:rsidP="00DE0EC2">
      <w:pPr>
        <w:pStyle w:val="TextoNormalSangraFrancesa"/>
        <w:rPr>
          <w:rStyle w:val="TextoNormalCaracter"/>
        </w:rPr>
      </w:pPr>
      <w:bookmarkStart w:id="976" w:name="DESCRIPTORALFABETICO76"/>
      <w:r w:rsidRPr="00DE0EC2">
        <w:rPr>
          <w:rStyle w:val="TextoNormalNegritaCaracter"/>
        </w:rPr>
        <w:t>Error patente</w:t>
      </w:r>
      <w:bookmarkEnd w:id="976"/>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95" w:history="1">
        <w:r w:rsidRPr="00DE0EC2">
          <w:rPr>
            <w:rStyle w:val="TextoNormalCaracter"/>
          </w:rPr>
          <w:t>95/2021</w:t>
        </w:r>
      </w:hyperlink>
      <w:r w:rsidRPr="00DE0EC2">
        <w:rPr>
          <w:rStyle w:val="TextoNormalCaracter"/>
        </w:rPr>
        <w:t>, f. 2.</w:t>
      </w:r>
    </w:p>
    <w:p w:rsidR="00DE0EC2" w:rsidRPr="00DE0EC2" w:rsidRDefault="00DE0EC2" w:rsidP="00DE0EC2">
      <w:pPr>
        <w:pStyle w:val="TextoNormalSangraFrancesa"/>
        <w:rPr>
          <w:rStyle w:val="TextoNormalCaracter"/>
        </w:rPr>
      </w:pPr>
      <w:bookmarkStart w:id="977" w:name="DESCRIPTORALFABETICO197"/>
      <w:r w:rsidRPr="00DE0EC2">
        <w:rPr>
          <w:rStyle w:val="TextoNormalNegritaCaracter"/>
        </w:rPr>
        <w:t xml:space="preserve">Especial trascendencia constitucional </w:t>
      </w:r>
      <w:r w:rsidRPr="00DE0EC2">
        <w:rPr>
          <w:rStyle w:val="TextoNormalNegritaCaracter"/>
          <w:i/>
        </w:rPr>
        <w:t>versus</w:t>
      </w:r>
      <w:r w:rsidRPr="00DE0EC2">
        <w:rPr>
          <w:rStyle w:val="TextoNormalNegritaCaracter"/>
        </w:rPr>
        <w:t xml:space="preserve"> vulneración de derecho fundamental</w:t>
      </w:r>
      <w:bookmarkEnd w:id="977"/>
      <w:r w:rsidRPr="00DE0EC2">
        <w:rPr>
          <w:rStyle w:val="TextoNormalCaracter"/>
        </w:rPr>
        <w:t xml:space="preserve">, Sentencia </w:t>
      </w:r>
      <w:hyperlink w:anchor="SENTENCIA_2021_73" w:history="1">
        <w:r w:rsidRPr="00DE0EC2">
          <w:rPr>
            <w:rStyle w:val="TextoNormalCaracter"/>
          </w:rPr>
          <w:t>73/2021</w:t>
        </w:r>
      </w:hyperlink>
      <w:r w:rsidRPr="00DE0EC2">
        <w:rPr>
          <w:rStyle w:val="TextoNormalCaracter"/>
        </w:rPr>
        <w:t>, ff. 2, 4.</w:t>
      </w:r>
    </w:p>
    <w:p w:rsidR="00DE0EC2" w:rsidRPr="00DE0EC2" w:rsidRDefault="00DE0EC2" w:rsidP="00DE0EC2">
      <w:pPr>
        <w:pStyle w:val="TextoNormalSangraFrancesa"/>
        <w:rPr>
          <w:rStyle w:val="TextoNormalCaracter"/>
        </w:rPr>
      </w:pPr>
      <w:bookmarkStart w:id="978" w:name="DESCRIPTORALFABETICO209"/>
      <w:r w:rsidRPr="00DE0EC2">
        <w:rPr>
          <w:rStyle w:val="TextoNormalNegritaCaracter"/>
        </w:rPr>
        <w:t>Estimación de incidente de ejecución de sentencias del Tribunal Constitucional</w:t>
      </w:r>
      <w:bookmarkEnd w:id="978"/>
      <w:r w:rsidRPr="00DE0EC2">
        <w:rPr>
          <w:rStyle w:val="TextoNormalCaracter"/>
        </w:rPr>
        <w:t xml:space="preserve">, Auto </w:t>
      </w:r>
      <w:hyperlink w:anchor="AUTO_2021_57" w:history="1">
        <w:r w:rsidRPr="00DE0EC2">
          <w:rPr>
            <w:rStyle w:val="TextoNormalCaracter"/>
          </w:rPr>
          <w:t>57/2021</w:t>
        </w:r>
      </w:hyperlink>
      <w:r w:rsidRPr="00DE0EC2">
        <w:rPr>
          <w:rStyle w:val="TextoNormalCaracter"/>
        </w:rPr>
        <w:t>.</w:t>
      </w:r>
    </w:p>
    <w:p w:rsidR="00DE0EC2" w:rsidRPr="00DE0EC2" w:rsidRDefault="00DE0EC2" w:rsidP="00DE0EC2">
      <w:pPr>
        <w:pStyle w:val="TextoNormalSangraFrancesa"/>
        <w:rPr>
          <w:rStyle w:val="TextoNormalCaracter"/>
        </w:rPr>
      </w:pPr>
      <w:bookmarkStart w:id="979" w:name="DESCRIPTORALFABETICO166"/>
      <w:r w:rsidRPr="00DE0EC2">
        <w:rPr>
          <w:rStyle w:val="TextoNormalNegritaCaracter"/>
        </w:rPr>
        <w:t>Estimación de recurso de súplica contra providencias de inadmisión del Tribunal Constitucional</w:t>
      </w:r>
      <w:bookmarkEnd w:id="979"/>
      <w:r w:rsidRPr="00DE0EC2">
        <w:rPr>
          <w:rStyle w:val="TextoNormalCaracter"/>
        </w:rPr>
        <w:t xml:space="preserve">, Autos </w:t>
      </w:r>
      <w:hyperlink w:anchor="AUTO_2021_24" w:history="1">
        <w:r w:rsidRPr="00DE0EC2">
          <w:rPr>
            <w:rStyle w:val="TextoNormalCaracter"/>
          </w:rPr>
          <w:t>24/2021</w:t>
        </w:r>
      </w:hyperlink>
      <w:r w:rsidRPr="00DE0EC2">
        <w:rPr>
          <w:rStyle w:val="TextoNormalCaracter"/>
        </w:rPr>
        <w:t xml:space="preserve">; </w:t>
      </w:r>
      <w:hyperlink w:anchor="AUTO_2021_36" w:history="1">
        <w:r w:rsidRPr="00DE0EC2">
          <w:rPr>
            <w:rStyle w:val="TextoNormalCaracter"/>
          </w:rPr>
          <w:t>36/2021</w:t>
        </w:r>
      </w:hyperlink>
      <w:r w:rsidRPr="00DE0EC2">
        <w:rPr>
          <w:rStyle w:val="TextoNormalCaracter"/>
        </w:rPr>
        <w:t xml:space="preserve">; </w:t>
      </w:r>
      <w:hyperlink w:anchor="AUTO_2021_45" w:history="1">
        <w:r w:rsidRPr="00DE0EC2">
          <w:rPr>
            <w:rStyle w:val="TextoNormalCaracter"/>
          </w:rPr>
          <w:t>45/2021</w:t>
        </w:r>
      </w:hyperlink>
      <w:r w:rsidRPr="00DE0EC2">
        <w:rPr>
          <w:rStyle w:val="TextoNormalCaracter"/>
        </w:rPr>
        <w:t xml:space="preserve">; </w:t>
      </w:r>
      <w:hyperlink w:anchor="AUTO_2021_60" w:history="1">
        <w:r w:rsidRPr="00DE0EC2">
          <w:rPr>
            <w:rStyle w:val="TextoNormalCaracter"/>
          </w:rPr>
          <w:t>60/2021</w:t>
        </w:r>
      </w:hyperlink>
      <w:r w:rsidRPr="00DE0EC2">
        <w:rPr>
          <w:rStyle w:val="TextoNormalCaracter"/>
        </w:rPr>
        <w:t xml:space="preserve">; </w:t>
      </w:r>
      <w:hyperlink w:anchor="AUTO_2021_61" w:history="1">
        <w:r w:rsidRPr="00DE0EC2">
          <w:rPr>
            <w:rStyle w:val="TextoNormalCaracter"/>
          </w:rPr>
          <w:t>61/2021</w:t>
        </w:r>
      </w:hyperlink>
      <w:r w:rsidRPr="00DE0EC2">
        <w:rPr>
          <w:rStyle w:val="TextoNormalCaracter"/>
        </w:rPr>
        <w:t xml:space="preserve">; </w:t>
      </w:r>
      <w:hyperlink w:anchor="AUTO_2021_64" w:history="1">
        <w:r w:rsidRPr="00DE0EC2">
          <w:rPr>
            <w:rStyle w:val="TextoNormalCaracter"/>
          </w:rPr>
          <w:t>64/2021</w:t>
        </w:r>
      </w:hyperlink>
      <w:r w:rsidRPr="00DE0EC2">
        <w:rPr>
          <w:rStyle w:val="TextoNormalCaracter"/>
        </w:rPr>
        <w:t>.</w:t>
      </w:r>
    </w:p>
    <w:p w:rsidR="00DE0EC2" w:rsidRPr="00DE0EC2" w:rsidRDefault="00DE0EC2" w:rsidP="00DE0EC2">
      <w:pPr>
        <w:pStyle w:val="TextoNormalSangraFrancesa"/>
        <w:rPr>
          <w:rStyle w:val="TextoNormalCaracter"/>
        </w:rPr>
      </w:pPr>
      <w:bookmarkStart w:id="980" w:name="DESCRIPTORALFABETICO164"/>
      <w:r w:rsidRPr="00DE0EC2">
        <w:rPr>
          <w:rStyle w:val="TextoNormalNegritaCaracter"/>
        </w:rPr>
        <w:t>Estimación de recurso de súplica contra providencias del Tribunal Constitucional</w:t>
      </w:r>
      <w:bookmarkEnd w:id="980"/>
      <w:r w:rsidRPr="00DE0EC2">
        <w:rPr>
          <w:rStyle w:val="TextoNormalCaracter"/>
        </w:rPr>
        <w:t xml:space="preserve">, Auto </w:t>
      </w:r>
      <w:hyperlink w:anchor="AUTO_2021_62" w:history="1">
        <w:r w:rsidRPr="00DE0EC2">
          <w:rPr>
            <w:rStyle w:val="TextoNormalCaracter"/>
          </w:rPr>
          <w:t>62/2021</w:t>
        </w:r>
      </w:hyperlink>
      <w:r w:rsidRPr="00DE0EC2">
        <w:rPr>
          <w:rStyle w:val="TextoNormalCaracter"/>
        </w:rPr>
        <w:t>.</w:t>
      </w:r>
    </w:p>
    <w:p w:rsidR="00DE0EC2" w:rsidRPr="00DE0EC2" w:rsidRDefault="00DE0EC2" w:rsidP="00DE0EC2">
      <w:pPr>
        <w:pStyle w:val="TextoNormalSangraFrancesa"/>
        <w:rPr>
          <w:rStyle w:val="TextoNormalCaracter"/>
        </w:rPr>
      </w:pPr>
      <w:bookmarkStart w:id="981" w:name="DESCRIPTORALFABETICO338"/>
      <w:r w:rsidRPr="00DE0EC2">
        <w:rPr>
          <w:rStyle w:val="TextoNormalNegritaCaracter"/>
        </w:rPr>
        <w:t>Estudios de detalle</w:t>
      </w:r>
      <w:bookmarkEnd w:id="981"/>
      <w:r w:rsidRPr="00DE0EC2">
        <w:rPr>
          <w:rStyle w:val="TextoNormalCaracter"/>
        </w:rPr>
        <w:t xml:space="preserve">, Sentencia </w:t>
      </w:r>
      <w:hyperlink w:anchor="SENTENCIA_2021_123" w:history="1">
        <w:r w:rsidRPr="00DE0EC2">
          <w:rPr>
            <w:rStyle w:val="TextoNormalCaracter"/>
          </w:rPr>
          <w:t>123/2021</w:t>
        </w:r>
      </w:hyperlink>
      <w:r w:rsidRPr="00DE0EC2">
        <w:rPr>
          <w:rStyle w:val="TextoNormalCaracter"/>
        </w:rPr>
        <w:t>, ff. 4, 5.</w:t>
      </w:r>
    </w:p>
    <w:p w:rsidR="00DE0EC2" w:rsidRPr="00DE0EC2" w:rsidRDefault="00DE0EC2" w:rsidP="00DE0EC2">
      <w:pPr>
        <w:pStyle w:val="TextoNormalSangraFrancesa"/>
        <w:rPr>
          <w:rStyle w:val="TextoNormalCaracter"/>
        </w:rPr>
      </w:pPr>
      <w:bookmarkStart w:id="982" w:name="DESCRIPTORALFABETICO333"/>
      <w:r w:rsidRPr="00DE0EC2">
        <w:rPr>
          <w:rStyle w:val="TextoNormalNegritaCaracter"/>
        </w:rPr>
        <w:t>Evaluación ambiental estratégica</w:t>
      </w:r>
      <w:bookmarkEnd w:id="982"/>
      <w:r w:rsidRPr="00DE0EC2">
        <w:rPr>
          <w:rStyle w:val="TextoNormalCaracter"/>
        </w:rPr>
        <w:t xml:space="preserve">, Sentencia </w:t>
      </w:r>
      <w:hyperlink w:anchor="SENTENCIA_2021_123" w:history="1">
        <w:r w:rsidRPr="00DE0EC2">
          <w:rPr>
            <w:rStyle w:val="TextoNormalCaracter"/>
          </w:rPr>
          <w:t>123/2021</w:t>
        </w:r>
      </w:hyperlink>
      <w:r w:rsidRPr="00DE0EC2">
        <w:rPr>
          <w:rStyle w:val="TextoNormalCaracter"/>
        </w:rPr>
        <w:t>, ff. 4, 5.</w:t>
      </w:r>
    </w:p>
    <w:p w:rsidR="00DE0EC2" w:rsidRPr="00DE0EC2" w:rsidRDefault="00DE0EC2" w:rsidP="00DE0EC2">
      <w:pPr>
        <w:pStyle w:val="TextoNormalSangraFrancesa"/>
        <w:rPr>
          <w:rStyle w:val="TextoNormalCaracter"/>
        </w:rPr>
      </w:pPr>
      <w:bookmarkStart w:id="983" w:name="DESCRIPTORALFABETICO334"/>
      <w:r w:rsidRPr="00DE0EC2">
        <w:rPr>
          <w:rStyle w:val="TextoNormalNegritaCaracter"/>
        </w:rPr>
        <w:t>Evaluación de impacto ambiental</w:t>
      </w:r>
      <w:bookmarkEnd w:id="983"/>
      <w:r w:rsidRPr="00DE0EC2">
        <w:rPr>
          <w:rStyle w:val="TextoNormalCaracter"/>
        </w:rPr>
        <w:t xml:space="preserve">, Auto </w:t>
      </w:r>
      <w:hyperlink w:anchor="AUTO_2021_8" w:history="1">
        <w:r w:rsidRPr="00DE0EC2">
          <w:rPr>
            <w:rStyle w:val="TextoNormalCaracter"/>
          </w:rPr>
          <w:t>8/2021</w:t>
        </w:r>
      </w:hyperlink>
      <w:r w:rsidRPr="00DE0EC2">
        <w:rPr>
          <w:rStyle w:val="TextoNormalCaracter"/>
        </w:rPr>
        <w:t>, f. 1.</w:t>
      </w:r>
    </w:p>
    <w:p w:rsidR="00DE0EC2" w:rsidRPr="00DE0EC2" w:rsidRDefault="00DE0EC2" w:rsidP="00DE0EC2">
      <w:pPr>
        <w:pStyle w:val="TextoNormalSangraFrancesa"/>
        <w:rPr>
          <w:rStyle w:val="TextoNormalCaracter"/>
        </w:rPr>
      </w:pPr>
      <w:bookmarkStart w:id="984" w:name="DESCRIPTORALFABETICO316"/>
      <w:r w:rsidRPr="00DE0EC2">
        <w:rPr>
          <w:rStyle w:val="TextoNormalNegritaCaracter"/>
        </w:rPr>
        <w:t>Expediente de adopción</w:t>
      </w:r>
      <w:bookmarkEnd w:id="984"/>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 12.</w:t>
      </w:r>
    </w:p>
    <w:p w:rsidR="00DE0EC2" w:rsidRPr="00DE0EC2" w:rsidRDefault="00DE0EC2" w:rsidP="00DE0EC2">
      <w:pPr>
        <w:pStyle w:val="TextoNormalSangraFrancesa"/>
        <w:rPr>
          <w:rStyle w:val="TextoNormalCaracter"/>
        </w:rPr>
      </w:pPr>
      <w:bookmarkStart w:id="985" w:name="DESCRIPTORALFABETICO310"/>
      <w:r w:rsidRPr="00DE0EC2">
        <w:rPr>
          <w:rStyle w:val="TextoNormalNegritaCaracter"/>
        </w:rPr>
        <w:t>Expropiación de uso de vivienda</w:t>
      </w:r>
      <w:bookmarkEnd w:id="985"/>
      <w:r w:rsidRPr="00DE0EC2">
        <w:rPr>
          <w:rStyle w:val="TextoNormalCaracter"/>
        </w:rPr>
        <w:t xml:space="preserve">, Sentencia </w:t>
      </w:r>
      <w:hyperlink w:anchor="SENTENCIA_2021_16" w:history="1">
        <w:r w:rsidRPr="00DE0EC2">
          <w:rPr>
            <w:rStyle w:val="TextoNormalCaracter"/>
          </w:rPr>
          <w:t>16/2021</w:t>
        </w:r>
      </w:hyperlink>
      <w:r w:rsidRPr="00DE0EC2">
        <w:rPr>
          <w:rStyle w:val="TextoNormalCaracter"/>
        </w:rPr>
        <w:t>, f. 5.</w:t>
      </w:r>
    </w:p>
    <w:p w:rsidR="00DE0EC2" w:rsidRPr="00DE0EC2" w:rsidRDefault="00DE0EC2" w:rsidP="00DE0EC2">
      <w:pPr>
        <w:pStyle w:val="TextoNormalSangraFrancesa"/>
        <w:rPr>
          <w:rStyle w:val="TextoNormalCaracter"/>
        </w:rPr>
      </w:pPr>
      <w:bookmarkStart w:id="986" w:name="DESCRIPTORALFABETICO311"/>
      <w:r w:rsidRPr="00DE0EC2">
        <w:rPr>
          <w:rStyle w:val="TextoNormalNegritaCaracter"/>
        </w:rPr>
        <w:t>Expropiación por incumplimiento de la función social de la propiedad</w:t>
      </w:r>
      <w:bookmarkEnd w:id="986"/>
      <w:r w:rsidRPr="00DE0EC2">
        <w:rPr>
          <w:rStyle w:val="TextoNormalCaracter"/>
        </w:rPr>
        <w:t xml:space="preserve">, Sentencia </w:t>
      </w:r>
      <w:hyperlink w:anchor="SENTENCIA_2021_16" w:history="1">
        <w:r w:rsidRPr="00DE0EC2">
          <w:rPr>
            <w:rStyle w:val="TextoNormalCaracter"/>
          </w:rPr>
          <w:t>16/2021</w:t>
        </w:r>
      </w:hyperlink>
      <w:r w:rsidRPr="00DE0EC2">
        <w:rPr>
          <w:rStyle w:val="TextoNormalCaracter"/>
        </w:rPr>
        <w:t>, ff. 5, 6.</w:t>
      </w:r>
    </w:p>
    <w:p w:rsidR="00DE0EC2" w:rsidRPr="00DE0EC2" w:rsidRDefault="00DE0EC2" w:rsidP="00DE0EC2">
      <w:pPr>
        <w:pStyle w:val="TextoNormalSangraFrancesa"/>
        <w:rPr>
          <w:rStyle w:val="TextoNormalCaracter"/>
        </w:rPr>
      </w:pPr>
      <w:bookmarkStart w:id="987" w:name="DESCRIPTORALFABETICO392"/>
      <w:r w:rsidRPr="00DE0EC2">
        <w:rPr>
          <w:rStyle w:val="TextoNormalNegritaCaracter"/>
        </w:rPr>
        <w:t>Extemporaneidad del recurso administrativo</w:t>
      </w:r>
      <w:bookmarkEnd w:id="987"/>
      <w:r w:rsidRPr="00DE0EC2">
        <w:rPr>
          <w:rStyle w:val="TextoNormalCaracter"/>
        </w:rPr>
        <w:t xml:space="preserve">, Sentencia </w:t>
      </w:r>
      <w:hyperlink w:anchor="SENTENCIA_2021_63" w:history="1">
        <w:r w:rsidRPr="00DE0EC2">
          <w:rPr>
            <w:rStyle w:val="TextoNormalCaracter"/>
          </w:rPr>
          <w:t>63/2021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88" w:name="DESCRIPTORALFABETICO504"/>
      <w:r w:rsidRPr="00DE0EC2">
        <w:rPr>
          <w:rStyle w:val="TextoNormalNegritaCaracter"/>
        </w:rPr>
        <w:t>Extremadura</w:t>
      </w:r>
      <w:bookmarkEnd w:id="988"/>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 1.</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F</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989" w:name="DESCRIPTORALFABETICO397"/>
      <w:r w:rsidRPr="00DE0EC2">
        <w:rPr>
          <w:rStyle w:val="TextoNormalNegritaCaracter"/>
        </w:rPr>
        <w:t>Facebook</w:t>
      </w:r>
      <w:bookmarkEnd w:id="989"/>
      <w:r w:rsidRPr="00DE0EC2">
        <w:rPr>
          <w:rStyle w:val="TextoNormalCaracter"/>
        </w:rPr>
        <w:t xml:space="preserve">, Sentencia </w:t>
      </w:r>
      <w:hyperlink w:anchor="SENTENCIA_2021_93" w:history="1">
        <w:r w:rsidRPr="00DE0EC2">
          <w:rPr>
            <w:rStyle w:val="TextoNormalCaracter"/>
          </w:rPr>
          <w:t>93/2021</w:t>
        </w:r>
      </w:hyperlink>
      <w:r w:rsidRPr="00DE0EC2">
        <w:rPr>
          <w:rStyle w:val="TextoNormalCaracter"/>
        </w:rPr>
        <w:t>, f. 1.</w:t>
      </w:r>
    </w:p>
    <w:p w:rsidR="00DE0EC2" w:rsidRPr="00DE0EC2" w:rsidRDefault="00DE0EC2" w:rsidP="00DE0EC2">
      <w:pPr>
        <w:pStyle w:val="TextoNormalSangraFrancesa"/>
        <w:rPr>
          <w:rStyle w:val="TextoNormalCaracter"/>
        </w:rPr>
      </w:pPr>
      <w:bookmarkStart w:id="990" w:name="DESCRIPTORALFABETICO205"/>
      <w:r w:rsidRPr="00DE0EC2">
        <w:rPr>
          <w:rStyle w:val="TextoNormalNegritaCaracter"/>
        </w:rPr>
        <w:t>Falta de agotamiento de la vía judicial</w:t>
      </w:r>
      <w:bookmarkEnd w:id="990"/>
      <w:r w:rsidRPr="00DE0EC2">
        <w:rPr>
          <w:rStyle w:val="TextoNormalCaracter"/>
        </w:rPr>
        <w:t xml:space="preserve">, Sentencias </w:t>
      </w:r>
      <w:hyperlink w:anchor="SENTENCIA_2021_52" w:history="1">
        <w:r w:rsidRPr="00DE0EC2">
          <w:rPr>
            <w:rStyle w:val="TextoNormalCaracter"/>
          </w:rPr>
          <w:t>52/2021</w:t>
        </w:r>
      </w:hyperlink>
      <w:r w:rsidRPr="00DE0EC2">
        <w:rPr>
          <w:rStyle w:val="TextoNormalCaracter"/>
        </w:rPr>
        <w:t xml:space="preserve">, f. 2; </w:t>
      </w:r>
      <w:hyperlink w:anchor="SENTENCIA_2021_107" w:history="1">
        <w:r w:rsidRPr="00DE0EC2">
          <w:rPr>
            <w:rStyle w:val="TextoNormalCaracter"/>
          </w:rPr>
          <w:t>107/2021</w:t>
        </w:r>
      </w:hyperlink>
      <w:r w:rsidRPr="00DE0EC2">
        <w:rPr>
          <w:rStyle w:val="TextoNormalCaracter"/>
        </w:rPr>
        <w:t>, f. 2.</w:t>
      </w:r>
    </w:p>
    <w:p w:rsidR="00DE0EC2" w:rsidRPr="00DE0EC2" w:rsidRDefault="00DE0EC2" w:rsidP="00DE0EC2">
      <w:pPr>
        <w:pStyle w:val="TextoNormalSangraFrancesa"/>
        <w:rPr>
          <w:rStyle w:val="TextoNormalCaracter"/>
        </w:rPr>
      </w:pPr>
      <w:r w:rsidRPr="00DE0EC2">
        <w:rPr>
          <w:rStyle w:val="TextoNormalCaracter"/>
        </w:rPr>
        <w:t xml:space="preserve">    Auto </w:t>
      </w:r>
      <w:hyperlink w:anchor="AUTO_2021_60" w:history="1">
        <w:r w:rsidRPr="00DE0EC2">
          <w:rPr>
            <w:rStyle w:val="TextoNormalCaracter"/>
          </w:rPr>
          <w:t>60/2021</w:t>
        </w:r>
      </w:hyperlink>
      <w:r w:rsidRPr="00DE0EC2">
        <w:rPr>
          <w:rStyle w:val="TextoNormalCaracter"/>
        </w:rPr>
        <w:t>.</w:t>
      </w:r>
    </w:p>
    <w:p w:rsidR="00DE0EC2" w:rsidRPr="00DE0EC2" w:rsidRDefault="00DE0EC2" w:rsidP="00DE0EC2">
      <w:pPr>
        <w:pStyle w:val="TextoNormalSangraFrancesa"/>
        <w:rPr>
          <w:rStyle w:val="TextoNormalCaracter"/>
        </w:rPr>
      </w:pPr>
      <w:bookmarkStart w:id="991" w:name="DESCRIPTORALFABETICO421"/>
      <w:r w:rsidRPr="00DE0EC2">
        <w:rPr>
          <w:rStyle w:val="TextoNormalNegritaCaracter"/>
        </w:rPr>
        <w:t>Falta de emplazamiento personal</w:t>
      </w:r>
      <w:bookmarkEnd w:id="991"/>
      <w:r w:rsidRPr="00DE0EC2">
        <w:rPr>
          <w:rStyle w:val="TextoNormalCaracter"/>
        </w:rPr>
        <w:t xml:space="preserve">, Sentencias </w:t>
      </w:r>
      <w:hyperlink w:anchor="SENTENCIA_2021_9" w:history="1">
        <w:r w:rsidRPr="00DE0EC2">
          <w:rPr>
            <w:rStyle w:val="TextoNormalCaracter"/>
          </w:rPr>
          <w:t>9/2021</w:t>
        </w:r>
      </w:hyperlink>
      <w:r w:rsidRPr="00DE0EC2">
        <w:rPr>
          <w:rStyle w:val="TextoNormalCaracter"/>
        </w:rPr>
        <w:t xml:space="preserve">, f. único; </w:t>
      </w:r>
      <w:hyperlink w:anchor="SENTENCIA_2021_10" w:history="1">
        <w:r w:rsidRPr="00DE0EC2">
          <w:rPr>
            <w:rStyle w:val="TextoNormalCaracter"/>
          </w:rPr>
          <w:t>10/2021</w:t>
        </w:r>
      </w:hyperlink>
      <w:r w:rsidRPr="00DE0EC2">
        <w:rPr>
          <w:rStyle w:val="TextoNormalCaracter"/>
        </w:rPr>
        <w:t xml:space="preserve">, f. único; </w:t>
      </w:r>
      <w:hyperlink w:anchor="SENTENCIA_2021_25" w:history="1">
        <w:r w:rsidRPr="00DE0EC2">
          <w:rPr>
            <w:rStyle w:val="TextoNormalCaracter"/>
          </w:rPr>
          <w:t>25/2021</w:t>
        </w:r>
      </w:hyperlink>
      <w:r w:rsidRPr="00DE0EC2">
        <w:rPr>
          <w:rStyle w:val="TextoNormalCaracter"/>
        </w:rPr>
        <w:t xml:space="preserve">, f. 2; </w:t>
      </w:r>
      <w:hyperlink w:anchor="SENTENCIA_2021_26" w:history="1">
        <w:r w:rsidRPr="00DE0EC2">
          <w:rPr>
            <w:rStyle w:val="TextoNormalCaracter"/>
          </w:rPr>
          <w:t>26/2021</w:t>
        </w:r>
      </w:hyperlink>
      <w:r w:rsidRPr="00DE0EC2">
        <w:rPr>
          <w:rStyle w:val="TextoNormalCaracter"/>
        </w:rPr>
        <w:t xml:space="preserve">, f. único; </w:t>
      </w:r>
      <w:hyperlink w:anchor="SENTENCIA_2021_27" w:history="1">
        <w:r w:rsidRPr="00DE0EC2">
          <w:rPr>
            <w:rStyle w:val="TextoNormalCaracter"/>
          </w:rPr>
          <w:t>27/2021</w:t>
        </w:r>
      </w:hyperlink>
      <w:r w:rsidRPr="00DE0EC2">
        <w:rPr>
          <w:rStyle w:val="TextoNormalCaracter"/>
        </w:rPr>
        <w:t xml:space="preserve">, f. único; </w:t>
      </w:r>
      <w:hyperlink w:anchor="SENTENCIA_2021_28" w:history="1">
        <w:r w:rsidRPr="00DE0EC2">
          <w:rPr>
            <w:rStyle w:val="TextoNormalCaracter"/>
          </w:rPr>
          <w:t>28/2021</w:t>
        </w:r>
      </w:hyperlink>
      <w:r w:rsidRPr="00DE0EC2">
        <w:rPr>
          <w:rStyle w:val="TextoNormalCaracter"/>
        </w:rPr>
        <w:t xml:space="preserve">, f. único; </w:t>
      </w:r>
      <w:hyperlink w:anchor="SENTENCIA_2021_30" w:history="1">
        <w:r w:rsidRPr="00DE0EC2">
          <w:rPr>
            <w:rStyle w:val="TextoNormalCaracter"/>
          </w:rPr>
          <w:t>30/2021</w:t>
        </w:r>
      </w:hyperlink>
      <w:r w:rsidRPr="00DE0EC2">
        <w:rPr>
          <w:rStyle w:val="TextoNormalCaracter"/>
        </w:rPr>
        <w:t xml:space="preserve">, f. único; </w:t>
      </w:r>
      <w:hyperlink w:anchor="SENTENCIA_2021_31" w:history="1">
        <w:r w:rsidRPr="00DE0EC2">
          <w:rPr>
            <w:rStyle w:val="TextoNormalCaracter"/>
          </w:rPr>
          <w:t>31/2021</w:t>
        </w:r>
      </w:hyperlink>
      <w:r w:rsidRPr="00DE0EC2">
        <w:rPr>
          <w:rStyle w:val="TextoNormalCaracter"/>
        </w:rPr>
        <w:t xml:space="preserve">, f. único; </w:t>
      </w:r>
      <w:hyperlink w:anchor="SENTENCIA_2021_32" w:history="1">
        <w:r w:rsidRPr="00DE0EC2">
          <w:rPr>
            <w:rStyle w:val="TextoNormalCaracter"/>
          </w:rPr>
          <w:t>32/2021</w:t>
        </w:r>
      </w:hyperlink>
      <w:r w:rsidRPr="00DE0EC2">
        <w:rPr>
          <w:rStyle w:val="TextoNormalCaracter"/>
        </w:rPr>
        <w:t xml:space="preserve">, f. único; </w:t>
      </w:r>
      <w:hyperlink w:anchor="SENTENCIA_2021_33" w:history="1">
        <w:r w:rsidRPr="00DE0EC2">
          <w:rPr>
            <w:rStyle w:val="TextoNormalCaracter"/>
          </w:rPr>
          <w:t>33/2021</w:t>
        </w:r>
      </w:hyperlink>
      <w:r w:rsidRPr="00DE0EC2">
        <w:rPr>
          <w:rStyle w:val="TextoNormalCaracter"/>
        </w:rPr>
        <w:t xml:space="preserve">, f. 3; </w:t>
      </w:r>
      <w:hyperlink w:anchor="SENTENCIA_2021_44" w:history="1">
        <w:r w:rsidRPr="00DE0EC2">
          <w:rPr>
            <w:rStyle w:val="TextoNormalCaracter"/>
          </w:rPr>
          <w:t>44/2021</w:t>
        </w:r>
      </w:hyperlink>
      <w:r w:rsidRPr="00DE0EC2">
        <w:rPr>
          <w:rStyle w:val="TextoNormalCaracter"/>
        </w:rPr>
        <w:t xml:space="preserve">, f. único; </w:t>
      </w:r>
      <w:hyperlink w:anchor="SENTENCIA_2021_45" w:history="1">
        <w:r w:rsidRPr="00DE0EC2">
          <w:rPr>
            <w:rStyle w:val="TextoNormalCaracter"/>
          </w:rPr>
          <w:t>45/2021</w:t>
        </w:r>
      </w:hyperlink>
      <w:r w:rsidRPr="00DE0EC2">
        <w:rPr>
          <w:rStyle w:val="TextoNormalCaracter"/>
        </w:rPr>
        <w:t xml:space="preserve">, f. único; </w:t>
      </w:r>
      <w:hyperlink w:anchor="SENTENCIA_2021_46" w:history="1">
        <w:r w:rsidRPr="00DE0EC2">
          <w:rPr>
            <w:rStyle w:val="TextoNormalCaracter"/>
          </w:rPr>
          <w:t>46/2021</w:t>
        </w:r>
      </w:hyperlink>
      <w:r w:rsidRPr="00DE0EC2">
        <w:rPr>
          <w:rStyle w:val="TextoNormalCaracter"/>
        </w:rPr>
        <w:t xml:space="preserve">, f. único; </w:t>
      </w:r>
      <w:hyperlink w:anchor="SENTENCIA_2021_47" w:history="1">
        <w:r w:rsidRPr="00DE0EC2">
          <w:rPr>
            <w:rStyle w:val="TextoNormalCaracter"/>
          </w:rPr>
          <w:t>47/2021</w:t>
        </w:r>
      </w:hyperlink>
      <w:r w:rsidRPr="00DE0EC2">
        <w:rPr>
          <w:rStyle w:val="TextoNormalCaracter"/>
        </w:rPr>
        <w:t xml:space="preserve">, f. único; </w:t>
      </w:r>
      <w:hyperlink w:anchor="SENTENCIA_2021_48" w:history="1">
        <w:r w:rsidRPr="00DE0EC2">
          <w:rPr>
            <w:rStyle w:val="TextoNormalCaracter"/>
          </w:rPr>
          <w:t>48/2021</w:t>
        </w:r>
      </w:hyperlink>
      <w:r w:rsidRPr="00DE0EC2">
        <w:rPr>
          <w:rStyle w:val="TextoNormalCaracter"/>
        </w:rPr>
        <w:t xml:space="preserve">, ff. 2, 3; </w:t>
      </w:r>
      <w:hyperlink w:anchor="SENTENCIA_2021_49" w:history="1">
        <w:r w:rsidRPr="00DE0EC2">
          <w:rPr>
            <w:rStyle w:val="TextoNormalCaracter"/>
          </w:rPr>
          <w:t>49/2021</w:t>
        </w:r>
      </w:hyperlink>
      <w:r w:rsidRPr="00DE0EC2">
        <w:rPr>
          <w:rStyle w:val="TextoNormalCaracter"/>
        </w:rPr>
        <w:t xml:space="preserve">, f. único; </w:t>
      </w:r>
      <w:hyperlink w:anchor="SENTENCIA_2021_56" w:history="1">
        <w:r w:rsidRPr="00DE0EC2">
          <w:rPr>
            <w:rStyle w:val="TextoNormalCaracter"/>
          </w:rPr>
          <w:t>56/2021</w:t>
        </w:r>
      </w:hyperlink>
      <w:r w:rsidRPr="00DE0EC2">
        <w:rPr>
          <w:rStyle w:val="TextoNormalCaracter"/>
        </w:rPr>
        <w:t xml:space="preserve">, ff. 1 a 3; </w:t>
      </w:r>
      <w:hyperlink w:anchor="SENTENCIA_2021_58" w:history="1">
        <w:r w:rsidRPr="00DE0EC2">
          <w:rPr>
            <w:rStyle w:val="TextoNormalCaracter"/>
          </w:rPr>
          <w:t>58/2021</w:t>
        </w:r>
      </w:hyperlink>
      <w:r w:rsidRPr="00DE0EC2">
        <w:rPr>
          <w:rStyle w:val="TextoNormalCaracter"/>
        </w:rPr>
        <w:t xml:space="preserve">, f. único; </w:t>
      </w:r>
      <w:hyperlink w:anchor="SENTENCIA_2021_59" w:history="1">
        <w:r w:rsidRPr="00DE0EC2">
          <w:rPr>
            <w:rStyle w:val="TextoNormalCaracter"/>
          </w:rPr>
          <w:t>59/2021</w:t>
        </w:r>
      </w:hyperlink>
      <w:r w:rsidRPr="00DE0EC2">
        <w:rPr>
          <w:rStyle w:val="TextoNormalCaracter"/>
        </w:rPr>
        <w:t xml:space="preserve">, f. único; </w:t>
      </w:r>
      <w:hyperlink w:anchor="SENTENCIA_2021_62" w:history="1">
        <w:r w:rsidRPr="00DE0EC2">
          <w:rPr>
            <w:rStyle w:val="TextoNormalCaracter"/>
          </w:rPr>
          <w:t>62/2021</w:t>
        </w:r>
      </w:hyperlink>
      <w:r w:rsidRPr="00DE0EC2">
        <w:rPr>
          <w:rStyle w:val="TextoNormalCaracter"/>
        </w:rPr>
        <w:t xml:space="preserve">, ff. 1, 2; </w:t>
      </w:r>
      <w:hyperlink w:anchor="SENTENCIA_2021_64" w:history="1">
        <w:r w:rsidRPr="00DE0EC2">
          <w:rPr>
            <w:rStyle w:val="TextoNormalCaracter"/>
          </w:rPr>
          <w:t>64/2021</w:t>
        </w:r>
      </w:hyperlink>
      <w:r w:rsidRPr="00DE0EC2">
        <w:rPr>
          <w:rStyle w:val="TextoNormalCaracter"/>
        </w:rPr>
        <w:t xml:space="preserve">, f. 3; </w:t>
      </w:r>
      <w:hyperlink w:anchor="SENTENCIA_2021_84" w:history="1">
        <w:r w:rsidRPr="00DE0EC2">
          <w:rPr>
            <w:rStyle w:val="TextoNormalCaracter"/>
          </w:rPr>
          <w:t>84/2021</w:t>
        </w:r>
      </w:hyperlink>
      <w:r w:rsidRPr="00DE0EC2">
        <w:rPr>
          <w:rStyle w:val="TextoNormalCaracter"/>
        </w:rPr>
        <w:t xml:space="preserve">, f. único; </w:t>
      </w:r>
      <w:hyperlink w:anchor="SENTENCIA_2021_85" w:history="1">
        <w:r w:rsidRPr="00DE0EC2">
          <w:rPr>
            <w:rStyle w:val="TextoNormalCaracter"/>
          </w:rPr>
          <w:t>85/2021</w:t>
        </w:r>
      </w:hyperlink>
      <w:r w:rsidRPr="00DE0EC2">
        <w:rPr>
          <w:rStyle w:val="TextoNormalCaracter"/>
        </w:rPr>
        <w:t xml:space="preserve">, f. único; </w:t>
      </w:r>
      <w:hyperlink w:anchor="SENTENCIA_2021_86" w:history="1">
        <w:r w:rsidRPr="00DE0EC2">
          <w:rPr>
            <w:rStyle w:val="TextoNormalCaracter"/>
          </w:rPr>
          <w:t>86/2021</w:t>
        </w:r>
      </w:hyperlink>
      <w:r w:rsidRPr="00DE0EC2">
        <w:rPr>
          <w:rStyle w:val="TextoNormalCaracter"/>
        </w:rPr>
        <w:t xml:space="preserve">, f. único; </w:t>
      </w:r>
      <w:hyperlink w:anchor="SENTENCIA_2021_89" w:history="1">
        <w:r w:rsidRPr="00DE0EC2">
          <w:rPr>
            <w:rStyle w:val="TextoNormalCaracter"/>
          </w:rPr>
          <w:t>89/2021</w:t>
        </w:r>
      </w:hyperlink>
      <w:r w:rsidRPr="00DE0EC2">
        <w:rPr>
          <w:rStyle w:val="TextoNormalCaracter"/>
        </w:rPr>
        <w:t xml:space="preserve">, ff.1, 2; </w:t>
      </w:r>
      <w:hyperlink w:anchor="SENTENCIA_2021_100" w:history="1">
        <w:r w:rsidRPr="00DE0EC2">
          <w:rPr>
            <w:rStyle w:val="TextoNormalCaracter"/>
          </w:rPr>
          <w:t>100/2021</w:t>
        </w:r>
      </w:hyperlink>
      <w:r w:rsidRPr="00DE0EC2">
        <w:rPr>
          <w:rStyle w:val="TextoNormalCaracter"/>
        </w:rPr>
        <w:t xml:space="preserve">, f. único; </w:t>
      </w:r>
      <w:hyperlink w:anchor="SENTENCIA_2021_103" w:history="1">
        <w:r w:rsidRPr="00DE0EC2">
          <w:rPr>
            <w:rStyle w:val="TextoNormalCaracter"/>
          </w:rPr>
          <w:t>103/2021</w:t>
        </w:r>
      </w:hyperlink>
      <w:r w:rsidRPr="00DE0EC2">
        <w:rPr>
          <w:rStyle w:val="TextoNormalCaracter"/>
        </w:rPr>
        <w:t xml:space="preserve">, f. único; </w:t>
      </w:r>
      <w:hyperlink w:anchor="SENTENCIA_2021_115" w:history="1">
        <w:r w:rsidRPr="00DE0EC2">
          <w:rPr>
            <w:rStyle w:val="TextoNormalCaracter"/>
          </w:rPr>
          <w:t>115/2021</w:t>
        </w:r>
      </w:hyperlink>
      <w:r w:rsidRPr="00DE0EC2">
        <w:rPr>
          <w:rStyle w:val="TextoNormalCaracter"/>
        </w:rPr>
        <w:t xml:space="preserve">, f. 2; </w:t>
      </w:r>
      <w:hyperlink w:anchor="SENTENCIA_2021_129" w:history="1">
        <w:r w:rsidRPr="00DE0EC2">
          <w:rPr>
            <w:rStyle w:val="TextoNormalCaracter"/>
          </w:rPr>
          <w:t>129/2021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992" w:name="DESCRIPTORALFABETICO51"/>
      <w:r w:rsidRPr="00DE0EC2">
        <w:rPr>
          <w:rStyle w:val="TextoNormalNegritaCaracter"/>
        </w:rPr>
        <w:t>Falta de identidad de supuestos de hecho</w:t>
      </w:r>
      <w:bookmarkEnd w:id="992"/>
      <w:r w:rsidRPr="00DE0EC2">
        <w:rPr>
          <w:rStyle w:val="TextoNormalCaracter"/>
        </w:rPr>
        <w:t xml:space="preserve">, Sentencia </w:t>
      </w:r>
      <w:hyperlink w:anchor="SENTENCIA_2021_81" w:history="1">
        <w:r w:rsidRPr="00DE0EC2">
          <w:rPr>
            <w:rStyle w:val="TextoNormalCaracter"/>
          </w:rPr>
          <w:t>81/2021</w:t>
        </w:r>
      </w:hyperlink>
      <w:r w:rsidRPr="00DE0EC2">
        <w:rPr>
          <w:rStyle w:val="TextoNormalCaracter"/>
        </w:rPr>
        <w:t>, f. 4.</w:t>
      </w:r>
    </w:p>
    <w:p w:rsidR="00DE0EC2" w:rsidRPr="00DE0EC2" w:rsidRDefault="00DE0EC2" w:rsidP="00DE0EC2">
      <w:pPr>
        <w:pStyle w:val="TextoNormalSangraFrancesa"/>
        <w:rPr>
          <w:rStyle w:val="TextoNormalCaracter"/>
        </w:rPr>
      </w:pPr>
      <w:bookmarkStart w:id="993" w:name="DESCRIPTORALFABETICO85"/>
      <w:r w:rsidRPr="00DE0EC2">
        <w:rPr>
          <w:rStyle w:val="TextoNormalNegritaCaracter"/>
        </w:rPr>
        <w:t>Falta de motivación de las resoluciones judiciales</w:t>
      </w:r>
      <w:bookmarkEnd w:id="993"/>
      <w:r w:rsidRPr="00DE0EC2">
        <w:rPr>
          <w:rStyle w:val="TextoNormalCaracter"/>
        </w:rPr>
        <w:t xml:space="preserve">, Sentencias </w:t>
      </w:r>
      <w:hyperlink w:anchor="SENTENCIA_2021_7" w:history="1">
        <w:r w:rsidRPr="00DE0EC2">
          <w:rPr>
            <w:rStyle w:val="TextoNormalCaracter"/>
          </w:rPr>
          <w:t>7/2021</w:t>
        </w:r>
      </w:hyperlink>
      <w:r w:rsidRPr="00DE0EC2">
        <w:rPr>
          <w:rStyle w:val="TextoNormalCaracter"/>
        </w:rPr>
        <w:t xml:space="preserve">, ff. 3, 5; </w:t>
      </w:r>
      <w:hyperlink w:anchor="SENTENCIA_2021_8" w:history="1">
        <w:r w:rsidRPr="00DE0EC2">
          <w:rPr>
            <w:rStyle w:val="TextoNormalCaracter"/>
          </w:rPr>
          <w:t>8/2021</w:t>
        </w:r>
      </w:hyperlink>
      <w:r w:rsidRPr="00DE0EC2">
        <w:rPr>
          <w:rStyle w:val="TextoNormalCaracter"/>
        </w:rPr>
        <w:t xml:space="preserve">, ff. 3, 4; </w:t>
      </w:r>
      <w:hyperlink w:anchor="SENTENCIA_2021_12" w:history="1">
        <w:r w:rsidRPr="00DE0EC2">
          <w:rPr>
            <w:rStyle w:val="TextoNormalCaracter"/>
          </w:rPr>
          <w:t>12/2021</w:t>
        </w:r>
      </w:hyperlink>
      <w:r w:rsidRPr="00DE0EC2">
        <w:rPr>
          <w:rStyle w:val="TextoNormalCaracter"/>
        </w:rPr>
        <w:t xml:space="preserve">, ff. 3, 5; </w:t>
      </w:r>
      <w:hyperlink w:anchor="SENTENCIA_2021_24" w:history="1">
        <w:r w:rsidRPr="00DE0EC2">
          <w:rPr>
            <w:rStyle w:val="TextoNormalCaracter"/>
          </w:rPr>
          <w:t>24/2021</w:t>
        </w:r>
      </w:hyperlink>
      <w:r w:rsidRPr="00DE0EC2">
        <w:rPr>
          <w:rStyle w:val="TextoNormalCaracter"/>
        </w:rPr>
        <w:t xml:space="preserve">, ff. 2, 3; </w:t>
      </w:r>
      <w:hyperlink w:anchor="SENTENCIA_2021_50" w:history="1">
        <w:r w:rsidRPr="00DE0EC2">
          <w:rPr>
            <w:rStyle w:val="TextoNormalCaracter"/>
          </w:rPr>
          <w:t>50/2021</w:t>
        </w:r>
      </w:hyperlink>
      <w:r w:rsidRPr="00DE0EC2">
        <w:rPr>
          <w:rStyle w:val="TextoNormalCaracter"/>
        </w:rPr>
        <w:t xml:space="preserve">, ff. 2, 3; </w:t>
      </w:r>
      <w:hyperlink w:anchor="SENTENCIA_2021_77" w:history="1">
        <w:r w:rsidRPr="00DE0EC2">
          <w:rPr>
            <w:rStyle w:val="TextoNormalCaracter"/>
          </w:rPr>
          <w:t>77/2021</w:t>
        </w:r>
      </w:hyperlink>
      <w:r w:rsidRPr="00DE0EC2">
        <w:rPr>
          <w:rStyle w:val="TextoNormalCaracter"/>
        </w:rPr>
        <w:t xml:space="preserve">, f. 3; </w:t>
      </w:r>
      <w:hyperlink w:anchor="SENTENCIA_2021_92" w:history="1">
        <w:r w:rsidRPr="00DE0EC2">
          <w:rPr>
            <w:rStyle w:val="TextoNormalCaracter"/>
          </w:rPr>
          <w:t>92/2021</w:t>
        </w:r>
      </w:hyperlink>
      <w:r w:rsidRPr="00DE0EC2">
        <w:rPr>
          <w:rStyle w:val="TextoNormalCaracter"/>
        </w:rPr>
        <w:t xml:space="preserve">, f. 3; </w:t>
      </w:r>
      <w:hyperlink w:anchor="SENTENCIA_2021_95" w:history="1">
        <w:r w:rsidRPr="00DE0EC2">
          <w:rPr>
            <w:rStyle w:val="TextoNormalCaracter"/>
          </w:rPr>
          <w:t>95/2021</w:t>
        </w:r>
      </w:hyperlink>
      <w:r w:rsidRPr="00DE0EC2">
        <w:rPr>
          <w:rStyle w:val="TextoNormalCaracter"/>
        </w:rPr>
        <w:t xml:space="preserve">, f. 3; </w:t>
      </w:r>
      <w:hyperlink w:anchor="SENTENCIA_2021_101" w:history="1">
        <w:r w:rsidRPr="00DE0EC2">
          <w:rPr>
            <w:rStyle w:val="TextoNormalCaracter"/>
          </w:rPr>
          <w:t>101/2021</w:t>
        </w:r>
      </w:hyperlink>
      <w:r w:rsidRPr="00DE0EC2">
        <w:rPr>
          <w:rStyle w:val="TextoNormalCaracter"/>
        </w:rPr>
        <w:t xml:space="preserve">, ff. 3, 4; </w:t>
      </w:r>
      <w:hyperlink w:anchor="SENTENCIA_2021_102" w:history="1">
        <w:r w:rsidRPr="00DE0EC2">
          <w:rPr>
            <w:rStyle w:val="TextoNormalCaracter"/>
          </w:rPr>
          <w:t>102/2021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994" w:name="DESCRIPTORALFABETICO89"/>
      <w:r w:rsidRPr="00DE0EC2">
        <w:rPr>
          <w:rStyle w:val="TextoNormalNegritaCaracter"/>
        </w:rPr>
        <w:t>Falta de motivación de las sentencias</w:t>
      </w:r>
      <w:bookmarkEnd w:id="994"/>
      <w:r w:rsidRPr="00DE0EC2">
        <w:rPr>
          <w:rStyle w:val="TextoNormalCaracter"/>
        </w:rPr>
        <w:t xml:space="preserve">, Sentencia </w:t>
      </w:r>
      <w:hyperlink w:anchor="SENTENCIA_2021_88" w:history="1">
        <w:r w:rsidRPr="00DE0EC2">
          <w:rPr>
            <w:rStyle w:val="TextoNormalCaracter"/>
          </w:rPr>
          <w:t>88/2021</w:t>
        </w:r>
      </w:hyperlink>
      <w:r w:rsidRPr="00DE0EC2">
        <w:rPr>
          <w:rStyle w:val="TextoNormalCaracter"/>
        </w:rPr>
        <w:t>, ff. 1, 2, 3, 4, 5.</w:t>
      </w:r>
    </w:p>
    <w:p w:rsidR="00DE0EC2" w:rsidRPr="00DE0EC2" w:rsidRDefault="00DE0EC2" w:rsidP="00DE0EC2">
      <w:pPr>
        <w:pStyle w:val="TextoNormalSangraFrancesa"/>
        <w:rPr>
          <w:rStyle w:val="TextoNormalCaracter"/>
        </w:rPr>
      </w:pPr>
      <w:bookmarkStart w:id="995" w:name="DESCRIPTORALFABETICO299"/>
      <w:r w:rsidRPr="00DE0EC2">
        <w:rPr>
          <w:rStyle w:val="TextoNormalNegritaCaracter"/>
        </w:rPr>
        <w:t>Federaciones deportivas</w:t>
      </w:r>
      <w:bookmarkEnd w:id="995"/>
      <w:r w:rsidRPr="00DE0EC2">
        <w:rPr>
          <w:rStyle w:val="TextoNormalCaracter"/>
        </w:rPr>
        <w:t xml:space="preserve">, Sentencia </w:t>
      </w:r>
      <w:hyperlink w:anchor="SENTENCIA_2021_5" w:history="1">
        <w:r w:rsidRPr="00DE0EC2">
          <w:rPr>
            <w:rStyle w:val="TextoNormalCaracter"/>
          </w:rPr>
          <w:t>5/2021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996" w:name="DESCRIPTORALFABETICO113"/>
      <w:r w:rsidRPr="00DE0EC2">
        <w:rPr>
          <w:rStyle w:val="TextoNormalNegritaCaracter"/>
        </w:rPr>
        <w:t>Filtraciones a los medios de comunicación</w:t>
      </w:r>
      <w:bookmarkEnd w:id="996"/>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9; </w:t>
      </w:r>
      <w:hyperlink w:anchor="SENTENCIA_2021_106" w:history="1">
        <w:r w:rsidRPr="00DE0EC2">
          <w:rPr>
            <w:rStyle w:val="TextoNormalCaracter"/>
          </w:rPr>
          <w:t>106/2021</w:t>
        </w:r>
      </w:hyperlink>
      <w:r w:rsidRPr="00DE0EC2">
        <w:rPr>
          <w:rStyle w:val="TextoNormalCaracter"/>
        </w:rPr>
        <w:t xml:space="preserve">, f. 9; </w:t>
      </w:r>
      <w:hyperlink w:anchor="SENTENCIA_2021_121" w:history="1">
        <w:r w:rsidRPr="00DE0EC2">
          <w:rPr>
            <w:rStyle w:val="TextoNormalCaracter"/>
          </w:rPr>
          <w:t>121/2021</w:t>
        </w:r>
      </w:hyperlink>
      <w:r w:rsidRPr="00DE0EC2">
        <w:rPr>
          <w:rStyle w:val="TextoNormalCaracter"/>
        </w:rPr>
        <w:t>, f. 10.</w:t>
      </w:r>
    </w:p>
    <w:p w:rsidR="00DE0EC2" w:rsidRPr="00DE0EC2" w:rsidRDefault="00DE0EC2" w:rsidP="00DE0EC2">
      <w:pPr>
        <w:pStyle w:val="TextoNormalSangraFrancesa"/>
        <w:rPr>
          <w:rStyle w:val="TextoNormalCaracter"/>
        </w:rPr>
      </w:pPr>
      <w:bookmarkStart w:id="997" w:name="DESCRIPTORALFABETICO186"/>
      <w:r w:rsidRPr="00DE0EC2">
        <w:rPr>
          <w:rStyle w:val="TextoNormalNegritaCaracter"/>
        </w:rPr>
        <w:t>Finalidad del requisito de invocación del derecho vulnerado</w:t>
      </w:r>
      <w:bookmarkEnd w:id="997"/>
      <w:r w:rsidRPr="00DE0EC2">
        <w:rPr>
          <w:rStyle w:val="TextoNormalCaracter"/>
        </w:rPr>
        <w:t xml:space="preserve">, Sentencia </w:t>
      </w:r>
      <w:hyperlink w:anchor="SENTENCIA_2021_69" w:history="1">
        <w:r w:rsidRPr="00DE0EC2">
          <w:rPr>
            <w:rStyle w:val="TextoNormalCaracter"/>
          </w:rPr>
          <w:t>69/2021</w:t>
        </w:r>
      </w:hyperlink>
      <w:r w:rsidRPr="00DE0EC2">
        <w:rPr>
          <w:rStyle w:val="TextoNormalCaracter"/>
        </w:rPr>
        <w:t>, f. 4.</w:t>
      </w:r>
    </w:p>
    <w:p w:rsidR="00DE0EC2" w:rsidRPr="00DE0EC2" w:rsidRDefault="00DE0EC2" w:rsidP="00DE0EC2">
      <w:pPr>
        <w:pStyle w:val="TextoNormalSangraFrancesa"/>
        <w:rPr>
          <w:rStyle w:val="TextoNormalCaracter"/>
        </w:rPr>
      </w:pPr>
      <w:bookmarkStart w:id="998" w:name="DESCRIPTORALFABETICO307"/>
      <w:r w:rsidRPr="00DE0EC2">
        <w:rPr>
          <w:rStyle w:val="TextoNormalNegritaCaracter"/>
        </w:rPr>
        <w:t>Formación profesional</w:t>
      </w:r>
      <w:bookmarkEnd w:id="998"/>
      <w:r w:rsidRPr="00DE0EC2">
        <w:rPr>
          <w:rStyle w:val="TextoNormalCaracter"/>
        </w:rPr>
        <w:t xml:space="preserve">, Sentencia </w:t>
      </w:r>
      <w:hyperlink w:anchor="SENTENCIA_2021_39" w:history="1">
        <w:r w:rsidRPr="00DE0EC2">
          <w:rPr>
            <w:rStyle w:val="TextoNormalCaracter"/>
          </w:rPr>
          <w:t>39/2021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999" w:name="DESCRIPTORALFABETICO322"/>
      <w:r w:rsidRPr="00DE0EC2">
        <w:rPr>
          <w:rStyle w:val="TextoNormalNegritaCaracter"/>
        </w:rPr>
        <w:t>Fuerzas y cuerpos de seguridad</w:t>
      </w:r>
      <w:bookmarkEnd w:id="999"/>
      <w:r w:rsidRPr="00DE0EC2">
        <w:rPr>
          <w:rStyle w:val="TextoNormalCaracter"/>
        </w:rPr>
        <w:t xml:space="preserve">, Sentencias </w:t>
      </w:r>
      <w:hyperlink w:anchor="SENTENCIA_2021_108" w:history="1">
        <w:r w:rsidRPr="00DE0EC2">
          <w:rPr>
            <w:rStyle w:val="TextoNormalCaracter"/>
          </w:rPr>
          <w:t>108/2021</w:t>
        </w:r>
      </w:hyperlink>
      <w:r w:rsidRPr="00DE0EC2">
        <w:rPr>
          <w:rStyle w:val="TextoNormalCaracter"/>
        </w:rPr>
        <w:t xml:space="preserve">, ff. 4, 5; </w:t>
      </w:r>
      <w:hyperlink w:anchor="SENTENCIA_2021_135" w:history="1">
        <w:r w:rsidRPr="00DE0EC2">
          <w:rPr>
            <w:rStyle w:val="TextoNormalCaracter"/>
          </w:rPr>
          <w:t>135/2021</w:t>
        </w:r>
      </w:hyperlink>
      <w:r w:rsidRPr="00DE0EC2">
        <w:rPr>
          <w:rStyle w:val="TextoNormalCaracter"/>
        </w:rPr>
        <w:t>, f. 1.</w:t>
      </w:r>
    </w:p>
    <w:p w:rsidR="00DE0EC2" w:rsidRPr="00DE0EC2" w:rsidRDefault="00DE0EC2" w:rsidP="00DE0EC2">
      <w:pPr>
        <w:pStyle w:val="TextoNormalSangraFrancesa"/>
        <w:rPr>
          <w:rStyle w:val="TextoNormalCaracter"/>
        </w:rPr>
      </w:pPr>
      <w:bookmarkStart w:id="1000" w:name="DESCRIPTORALFABETICO237"/>
      <w:r w:rsidRPr="00DE0EC2">
        <w:rPr>
          <w:rStyle w:val="TextoNormalNegritaCaracter"/>
        </w:rPr>
        <w:t>Función calificadora de la mesa</w:t>
      </w:r>
      <w:bookmarkEnd w:id="1000"/>
      <w:r w:rsidRPr="00DE0EC2">
        <w:rPr>
          <w:rStyle w:val="TextoNormalCaracter"/>
        </w:rPr>
        <w:t xml:space="preserve">, Sentencia </w:t>
      </w:r>
      <w:hyperlink w:anchor="SENTENCIA_2021_53" w:history="1">
        <w:r w:rsidRPr="00DE0EC2">
          <w:rPr>
            <w:rStyle w:val="TextoNormalCaracter"/>
          </w:rPr>
          <w:t>53/2021</w:t>
        </w:r>
      </w:hyperlink>
      <w:r w:rsidRPr="00DE0EC2">
        <w:rPr>
          <w:rStyle w:val="TextoNormalCaracter"/>
        </w:rPr>
        <w:t>, ff. 4 a 6.</w:t>
      </w:r>
    </w:p>
    <w:p w:rsidR="00DE0EC2" w:rsidRPr="00DE0EC2" w:rsidRDefault="00DE0EC2" w:rsidP="00DE0EC2">
      <w:pPr>
        <w:pStyle w:val="TextoNormalSangraFrancesa"/>
        <w:rPr>
          <w:rStyle w:val="TextoNormalCaracter"/>
        </w:rPr>
      </w:pPr>
      <w:bookmarkStart w:id="1001" w:name="DESCRIPTORALFABETICO303"/>
      <w:r w:rsidRPr="00DE0EC2">
        <w:rPr>
          <w:rStyle w:val="TextoNormalNegritaCaracter"/>
        </w:rPr>
        <w:t>Función social de la propiedad</w:t>
      </w:r>
      <w:bookmarkEnd w:id="1001"/>
      <w:r w:rsidRPr="00DE0EC2">
        <w:rPr>
          <w:rStyle w:val="TextoNormalCaracter"/>
        </w:rPr>
        <w:t xml:space="preserve">, Sentencia </w:t>
      </w:r>
      <w:hyperlink w:anchor="SENTENCIA_2021_16" w:history="1">
        <w:r w:rsidRPr="00DE0EC2">
          <w:rPr>
            <w:rStyle w:val="TextoNormalCaracter"/>
          </w:rPr>
          <w:t>16/2021</w:t>
        </w:r>
      </w:hyperlink>
      <w:r w:rsidRPr="00DE0EC2">
        <w:rPr>
          <w:rStyle w:val="TextoNormalCaracter"/>
        </w:rPr>
        <w:t>, ff. 1, 3, 5, 6.</w:t>
      </w:r>
    </w:p>
    <w:p w:rsidR="00DE0EC2" w:rsidRPr="00DE0EC2" w:rsidRDefault="00DE0EC2" w:rsidP="00DE0EC2">
      <w:pPr>
        <w:pStyle w:val="TextoNormalSangraFrancesa"/>
        <w:rPr>
          <w:rStyle w:val="TextoNormalCaracter"/>
        </w:rPr>
      </w:pPr>
      <w:bookmarkStart w:id="1002" w:name="DESCRIPTORALFABETICO411"/>
      <w:r w:rsidRPr="00DE0EC2">
        <w:rPr>
          <w:rStyle w:val="TextoNormalNegritaCaracter"/>
        </w:rPr>
        <w:t>Función social de la vivienda</w:t>
      </w:r>
      <w:bookmarkEnd w:id="1002"/>
      <w:r w:rsidRPr="00DE0EC2">
        <w:rPr>
          <w:rStyle w:val="TextoNormalCaracter"/>
        </w:rPr>
        <w:t xml:space="preserve">, Sentencia </w:t>
      </w:r>
      <w:hyperlink w:anchor="SENTENCIA_2021_16" w:history="1">
        <w:r w:rsidRPr="00DE0EC2">
          <w:rPr>
            <w:rStyle w:val="TextoNormalCaracter"/>
          </w:rPr>
          <w:t>16/2021</w:t>
        </w:r>
      </w:hyperlink>
      <w:r w:rsidRPr="00DE0EC2">
        <w:rPr>
          <w:rStyle w:val="TextoNormalCaracter"/>
        </w:rPr>
        <w:t>, ff. 1, 3, 5.</w:t>
      </w:r>
    </w:p>
    <w:p w:rsidR="00DE0EC2" w:rsidRPr="00DE0EC2" w:rsidRDefault="00DE0EC2" w:rsidP="00DE0EC2">
      <w:pPr>
        <w:pStyle w:val="TextoNormalSangraFrancesa"/>
        <w:rPr>
          <w:rStyle w:val="TextoNormalCaracter"/>
        </w:rPr>
      </w:pPr>
      <w:bookmarkStart w:id="1003" w:name="DESCRIPTORALFABETICO236"/>
      <w:r w:rsidRPr="00DE0EC2">
        <w:rPr>
          <w:rStyle w:val="TextoNormalNegritaCaracter"/>
        </w:rPr>
        <w:t>Funciones de las mesas parlamentarias</w:t>
      </w:r>
      <w:bookmarkEnd w:id="1003"/>
      <w:r w:rsidRPr="00DE0EC2">
        <w:rPr>
          <w:rStyle w:val="TextoNormalCaracter"/>
        </w:rPr>
        <w:t xml:space="preserve">, Sentencias </w:t>
      </w:r>
      <w:hyperlink w:anchor="SENTENCIA_2021_66" w:history="1">
        <w:r w:rsidRPr="00DE0EC2">
          <w:rPr>
            <w:rStyle w:val="TextoNormalCaracter"/>
          </w:rPr>
          <w:t>66/2021</w:t>
        </w:r>
      </w:hyperlink>
      <w:r w:rsidRPr="00DE0EC2">
        <w:rPr>
          <w:rStyle w:val="TextoNormalCaracter"/>
        </w:rPr>
        <w:t xml:space="preserve">, f. 2; </w:t>
      </w:r>
      <w:hyperlink w:anchor="SENTENCIA_2021_137" w:history="1">
        <w:r w:rsidRPr="00DE0EC2">
          <w:rPr>
            <w:rStyle w:val="TextoNormalCaracter"/>
          </w:rPr>
          <w:t>137/2021</w:t>
        </w:r>
      </w:hyperlink>
      <w:r w:rsidRPr="00DE0EC2">
        <w:rPr>
          <w:rStyle w:val="TextoNormalCaracter"/>
        </w:rPr>
        <w:t>, f. 4.</w:t>
      </w:r>
    </w:p>
    <w:p w:rsidR="00DE0EC2" w:rsidRPr="00DE0EC2" w:rsidRDefault="00DE0EC2" w:rsidP="00DE0EC2">
      <w:pPr>
        <w:pStyle w:val="TextoNormalSangraFrancesa"/>
        <w:rPr>
          <w:rStyle w:val="TextoNormalCaracter"/>
        </w:rPr>
      </w:pPr>
      <w:bookmarkStart w:id="1004" w:name="DESCRIPTORALFABETICO239"/>
      <w:r w:rsidRPr="00DE0EC2">
        <w:rPr>
          <w:rStyle w:val="TextoNormalNegritaCaracter"/>
        </w:rPr>
        <w:t>Funciones representativas</w:t>
      </w:r>
      <w:bookmarkEnd w:id="1004"/>
      <w:r w:rsidRPr="00DE0EC2">
        <w:rPr>
          <w:rStyle w:val="TextoNormalCaracter"/>
        </w:rPr>
        <w:t xml:space="preserve">, Sentencia </w:t>
      </w:r>
      <w:hyperlink w:anchor="SENTENCIA_2021_53" w:history="1">
        <w:r w:rsidRPr="00DE0EC2">
          <w:rPr>
            <w:rStyle w:val="TextoNormalCaracter"/>
          </w:rPr>
          <w:t>53/2021</w:t>
        </w:r>
      </w:hyperlink>
      <w:r w:rsidRPr="00DE0EC2">
        <w:rPr>
          <w:rStyle w:val="TextoNormalCaracter"/>
        </w:rPr>
        <w:t>, ff. 3, 5, 6.</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G</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005" w:name="DESCRIPTORALFABETICO111"/>
      <w:r w:rsidRPr="00DE0EC2">
        <w:rPr>
          <w:rStyle w:val="TextoNormalNegritaCaracter"/>
        </w:rPr>
        <w:t>Garantía de no autoincriminación</w:t>
      </w:r>
      <w:bookmarkEnd w:id="1005"/>
      <w:r w:rsidRPr="00DE0EC2">
        <w:rPr>
          <w:rStyle w:val="TextoNormalCaracter"/>
        </w:rPr>
        <w:t xml:space="preserve">, Sentencia </w:t>
      </w:r>
      <w:hyperlink w:anchor="SENTENCIA_2021_21" w:history="1">
        <w:r w:rsidRPr="00DE0EC2">
          <w:rPr>
            <w:rStyle w:val="TextoNormalCaracter"/>
          </w:rPr>
          <w:t>21/2021</w:t>
        </w:r>
      </w:hyperlink>
      <w:r w:rsidRPr="00DE0EC2">
        <w:rPr>
          <w:rStyle w:val="TextoNormalCaracter"/>
        </w:rPr>
        <w:t>, f. 4.</w:t>
      </w:r>
    </w:p>
    <w:p w:rsidR="00DE0EC2" w:rsidRPr="00DE0EC2" w:rsidRDefault="00DE0EC2" w:rsidP="00DE0EC2">
      <w:pPr>
        <w:pStyle w:val="TextoNormalSangraFrancesa"/>
        <w:rPr>
          <w:rStyle w:val="TextoNormalCaracter"/>
        </w:rPr>
      </w:pPr>
      <w:bookmarkStart w:id="1006" w:name="DESCRIPTORALFABETICO257"/>
      <w:r w:rsidRPr="00DE0EC2">
        <w:rPr>
          <w:rStyle w:val="TextoNormalNegritaCaracter"/>
        </w:rPr>
        <w:t>Garantías material y formal del principio de legalidad sancionadora</w:t>
      </w:r>
      <w:bookmarkEnd w:id="1006"/>
      <w:r w:rsidRPr="00DE0EC2">
        <w:rPr>
          <w:rStyle w:val="TextoNormalCaracter"/>
        </w:rPr>
        <w:t xml:space="preserve">, Sentencia </w:t>
      </w:r>
      <w:hyperlink w:anchor="SENTENCIA_2021_14" w:history="1">
        <w:r w:rsidRPr="00DE0EC2">
          <w:rPr>
            <w:rStyle w:val="TextoNormalCaracter"/>
          </w:rPr>
          <w:t>14/2021</w:t>
        </w:r>
      </w:hyperlink>
      <w:r w:rsidRPr="00DE0EC2">
        <w:rPr>
          <w:rStyle w:val="TextoNormalCaracter"/>
        </w:rPr>
        <w:t>, f. 2.</w:t>
      </w:r>
    </w:p>
    <w:p w:rsidR="00DE0EC2" w:rsidRPr="00DE0EC2" w:rsidRDefault="00DE0EC2" w:rsidP="00DE0EC2">
      <w:pPr>
        <w:pStyle w:val="TextoNormalSangraFrancesa"/>
        <w:rPr>
          <w:rStyle w:val="TextoNormalCaracter"/>
        </w:rPr>
      </w:pPr>
      <w:bookmarkStart w:id="1007" w:name="DESCRIPTORALFABETICO116"/>
      <w:r w:rsidRPr="00DE0EC2">
        <w:rPr>
          <w:rStyle w:val="TextoNormalNegritaCaracter"/>
        </w:rPr>
        <w:t>Garantías procesales en el procedimiento administrativo sancionador</w:t>
      </w:r>
      <w:bookmarkEnd w:id="1007"/>
      <w:r w:rsidRPr="00DE0EC2">
        <w:rPr>
          <w:rStyle w:val="TextoNormalCaracter"/>
        </w:rPr>
        <w:t xml:space="preserve">, Sentencia </w:t>
      </w:r>
      <w:hyperlink w:anchor="SENTENCIA_2021_21" w:history="1">
        <w:r w:rsidRPr="00DE0EC2">
          <w:rPr>
            <w:rStyle w:val="TextoNormalCaracter"/>
          </w:rPr>
          <w:t>21/2021</w:t>
        </w:r>
      </w:hyperlink>
      <w:r w:rsidRPr="00DE0EC2">
        <w:rPr>
          <w:rStyle w:val="TextoNormalCaracter"/>
        </w:rPr>
        <w:t>, f. 4.</w:t>
      </w:r>
    </w:p>
    <w:p w:rsidR="00DE0EC2" w:rsidRPr="00DE0EC2" w:rsidRDefault="00DE0EC2" w:rsidP="00DE0EC2">
      <w:pPr>
        <w:pStyle w:val="TextoNormalSangraFrancesa"/>
        <w:rPr>
          <w:rStyle w:val="TextoNormalCaracter"/>
        </w:rPr>
      </w:pPr>
      <w:bookmarkStart w:id="1008" w:name="DESCRIPTORALFABETICO323"/>
      <w:r w:rsidRPr="00DE0EC2">
        <w:rPr>
          <w:rStyle w:val="TextoNormalNegritaCaracter"/>
        </w:rPr>
        <w:t>Guardia civil</w:t>
      </w:r>
      <w:bookmarkEnd w:id="1008"/>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Régimen jurídico, </w:t>
      </w:r>
      <w:r w:rsidRPr="00DE0EC2">
        <w:rPr>
          <w:rStyle w:val="TextoNormalCaracter"/>
        </w:rPr>
        <w:t xml:space="preserve">Sentencia </w:t>
      </w:r>
      <w:hyperlink w:anchor="SENTENCIA_2021_21" w:history="1">
        <w:r w:rsidRPr="00DE0EC2">
          <w:rPr>
            <w:rStyle w:val="TextoNormalCaracter"/>
          </w:rPr>
          <w:t>21/2021</w:t>
        </w:r>
      </w:hyperlink>
      <w:r w:rsidRPr="00DE0EC2">
        <w:rPr>
          <w:rStyle w:val="TextoNormalCaracter"/>
        </w:rPr>
        <w:t>, f. 1.</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I</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009" w:name="DESCRIPTORALFABETICO52"/>
      <w:r w:rsidRPr="00DE0EC2">
        <w:rPr>
          <w:rStyle w:val="TextoNormalNegritaCaracter"/>
        </w:rPr>
        <w:t>Igualdad ante la ley</w:t>
      </w:r>
      <w:bookmarkEnd w:id="1009"/>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Respetada, </w:t>
      </w:r>
      <w:r w:rsidRPr="00DE0EC2">
        <w:rPr>
          <w:rStyle w:val="TextoNormalCaracter"/>
        </w:rPr>
        <w:t xml:space="preserve">Sentencia </w:t>
      </w:r>
      <w:hyperlink w:anchor="SENTENCIA_2021_81" w:history="1">
        <w:r w:rsidRPr="00DE0EC2">
          <w:rPr>
            <w:rStyle w:val="TextoNormalCaracter"/>
          </w:rPr>
          <w:t>81/2021</w:t>
        </w:r>
      </w:hyperlink>
      <w:r w:rsidRPr="00DE0EC2">
        <w:rPr>
          <w:rStyle w:val="TextoNormalCaracter"/>
        </w:rPr>
        <w:t>, f. 4.</w:t>
      </w:r>
    </w:p>
    <w:p w:rsidR="00DE0EC2" w:rsidRPr="00DE0EC2" w:rsidRDefault="00DE0EC2" w:rsidP="00DE0EC2">
      <w:pPr>
        <w:pStyle w:val="TextoNormalSangraFrancesa"/>
        <w:rPr>
          <w:rStyle w:val="TextoNormalCaracter"/>
        </w:rPr>
      </w:pPr>
      <w:r w:rsidRPr="00DE0EC2">
        <w:rPr>
          <w:rStyle w:val="TextoNormalCursivaCaracter"/>
        </w:rPr>
        <w:t xml:space="preserve">    Vulnerada, </w:t>
      </w:r>
      <w:r w:rsidRPr="00DE0EC2">
        <w:rPr>
          <w:rStyle w:val="TextoNormalCaracter"/>
        </w:rPr>
        <w:t xml:space="preserve">Sentencias </w:t>
      </w:r>
      <w:hyperlink w:anchor="SENTENCIA_2021_2" w:history="1">
        <w:r w:rsidRPr="00DE0EC2">
          <w:rPr>
            <w:rStyle w:val="TextoNormalCaracter"/>
          </w:rPr>
          <w:t>2/2021</w:t>
        </w:r>
      </w:hyperlink>
      <w:r w:rsidRPr="00DE0EC2">
        <w:rPr>
          <w:rStyle w:val="TextoNormalCaracter"/>
        </w:rPr>
        <w:t xml:space="preserve">, ff. 3, 4; </w:t>
      </w:r>
      <w:hyperlink w:anchor="SENTENCIA_2021_6" w:history="1">
        <w:r w:rsidRPr="00DE0EC2">
          <w:rPr>
            <w:rStyle w:val="TextoNormalCaracter"/>
          </w:rPr>
          <w:t>6/2021</w:t>
        </w:r>
      </w:hyperlink>
      <w:r w:rsidRPr="00DE0EC2">
        <w:rPr>
          <w:rStyle w:val="TextoNormalCaracter"/>
        </w:rPr>
        <w:t xml:space="preserve">, ff. 2 a 4; </w:t>
      </w:r>
      <w:hyperlink w:anchor="SENTENCIA_2021_19" w:history="1">
        <w:r w:rsidRPr="00DE0EC2">
          <w:rPr>
            <w:rStyle w:val="TextoNormalCaracter"/>
          </w:rPr>
          <w:t>19/2021</w:t>
        </w:r>
      </w:hyperlink>
      <w:r w:rsidRPr="00DE0EC2">
        <w:rPr>
          <w:rStyle w:val="TextoNormalCaracter"/>
        </w:rPr>
        <w:t xml:space="preserve">, f. 4; </w:t>
      </w:r>
      <w:hyperlink w:anchor="SENTENCIA_2021_42" w:history="1">
        <w:r w:rsidRPr="00DE0EC2">
          <w:rPr>
            <w:rStyle w:val="TextoNormalCaracter"/>
          </w:rPr>
          <w:t>42/2021</w:t>
        </w:r>
      </w:hyperlink>
      <w:r w:rsidRPr="00DE0EC2">
        <w:rPr>
          <w:rStyle w:val="TextoNormalCaracter"/>
        </w:rPr>
        <w:t xml:space="preserve">, f. 2; </w:t>
      </w:r>
      <w:hyperlink w:anchor="SENTENCIA_2021_138" w:history="1">
        <w:r w:rsidRPr="00DE0EC2">
          <w:rPr>
            <w:rStyle w:val="TextoNormalCaracter"/>
          </w:rPr>
          <w:t>138/2021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1010" w:name="DESCRIPTORALFABETICO117"/>
      <w:r w:rsidRPr="00DE0EC2">
        <w:rPr>
          <w:rStyle w:val="TextoNormalNegritaCaracter"/>
        </w:rPr>
        <w:t>Igualdad de armas en el proceso penal</w:t>
      </w:r>
      <w:bookmarkEnd w:id="1010"/>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6; </w:t>
      </w:r>
      <w:hyperlink w:anchor="SENTENCIA_2021_106" w:history="1">
        <w:r w:rsidRPr="00DE0EC2">
          <w:rPr>
            <w:rStyle w:val="TextoNormalCaracter"/>
          </w:rPr>
          <w:t>106/2021</w:t>
        </w:r>
      </w:hyperlink>
      <w:r w:rsidRPr="00DE0EC2">
        <w:rPr>
          <w:rStyle w:val="TextoNormalCaracter"/>
        </w:rPr>
        <w:t xml:space="preserve">, f. 6; </w:t>
      </w:r>
      <w:hyperlink w:anchor="SENTENCIA_2021_121" w:history="1">
        <w:r w:rsidRPr="00DE0EC2">
          <w:rPr>
            <w:rStyle w:val="TextoNormalCaracter"/>
          </w:rPr>
          <w:t>121/2021</w:t>
        </w:r>
      </w:hyperlink>
      <w:r w:rsidRPr="00DE0EC2">
        <w:rPr>
          <w:rStyle w:val="TextoNormalCaracter"/>
        </w:rPr>
        <w:t xml:space="preserve">, f. 7; </w:t>
      </w:r>
      <w:hyperlink w:anchor="SENTENCIA_2021_122" w:history="1">
        <w:r w:rsidRPr="00DE0EC2">
          <w:rPr>
            <w:rStyle w:val="TextoNormalCaracter"/>
          </w:rPr>
          <w:t>122/2021</w:t>
        </w:r>
      </w:hyperlink>
      <w:r w:rsidRPr="00DE0EC2">
        <w:rPr>
          <w:rStyle w:val="TextoNormalCaracter"/>
        </w:rPr>
        <w:t>, f. 7.</w:t>
      </w:r>
    </w:p>
    <w:p w:rsidR="00DE0EC2" w:rsidRPr="00DE0EC2" w:rsidRDefault="00DE0EC2" w:rsidP="00DE0EC2">
      <w:pPr>
        <w:pStyle w:val="TextoNormalSangraFrancesa"/>
        <w:rPr>
          <w:rStyle w:val="TextoNormalCaracter"/>
        </w:rPr>
      </w:pPr>
      <w:bookmarkStart w:id="1011" w:name="DESCRIPTORALFABETICO101"/>
      <w:r w:rsidRPr="00DE0EC2">
        <w:rPr>
          <w:rStyle w:val="TextoNormalNegritaCaracter"/>
        </w:rPr>
        <w:t>Igualdad en el sufragio</w:t>
      </w:r>
      <w:bookmarkEnd w:id="1011"/>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 5.</w:t>
      </w:r>
    </w:p>
    <w:p w:rsidR="00DE0EC2" w:rsidRPr="00DE0EC2" w:rsidRDefault="00DE0EC2" w:rsidP="00DE0EC2">
      <w:pPr>
        <w:pStyle w:val="TextoNormalSangraFrancesa"/>
        <w:rPr>
          <w:rStyle w:val="TextoNormalCaracter"/>
        </w:rPr>
      </w:pPr>
      <w:bookmarkStart w:id="1012" w:name="DESCRIPTORALFABETICO53"/>
      <w:r w:rsidRPr="00DE0EC2">
        <w:rPr>
          <w:rStyle w:val="TextoNormalNegritaCaracter"/>
        </w:rPr>
        <w:t>Igualdad en la aplicación de la ley</w:t>
      </w:r>
      <w:bookmarkEnd w:id="1012"/>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Respetada, </w:t>
      </w:r>
      <w:r w:rsidRPr="00DE0EC2">
        <w:rPr>
          <w:rStyle w:val="TextoNormalCaracter"/>
        </w:rPr>
        <w:t xml:space="preserve">Sentencia </w:t>
      </w:r>
      <w:hyperlink w:anchor="SENTENCIA_2021_95" w:history="1">
        <w:r w:rsidRPr="00DE0EC2">
          <w:rPr>
            <w:rStyle w:val="TextoNormalCaracter"/>
          </w:rPr>
          <w:t>95/2021</w:t>
        </w:r>
      </w:hyperlink>
      <w:r w:rsidRPr="00DE0EC2">
        <w:rPr>
          <w:rStyle w:val="TextoNormalCaracter"/>
        </w:rPr>
        <w:t>, f. 2.</w:t>
      </w:r>
    </w:p>
    <w:p w:rsidR="00DE0EC2" w:rsidRPr="00DE0EC2" w:rsidRDefault="00DE0EC2" w:rsidP="00DE0EC2">
      <w:pPr>
        <w:pStyle w:val="TextoNormalSangraFrancesa"/>
        <w:rPr>
          <w:rStyle w:val="TextoNormalCaracter"/>
        </w:rPr>
      </w:pPr>
      <w:r w:rsidRPr="00DE0EC2">
        <w:rPr>
          <w:rStyle w:val="TextoNormalCursivaCaracter"/>
        </w:rPr>
        <w:t xml:space="preserve">    Vulnerada, </w:t>
      </w:r>
      <w:r w:rsidRPr="00DE0EC2">
        <w:rPr>
          <w:rStyle w:val="TextoNormalCaracter"/>
        </w:rPr>
        <w:t xml:space="preserve">Sentencias </w:t>
      </w:r>
      <w:hyperlink w:anchor="SENTENCIA_2021_41" w:history="1">
        <w:r w:rsidRPr="00DE0EC2">
          <w:rPr>
            <w:rStyle w:val="TextoNormalCaracter"/>
          </w:rPr>
          <w:t>41/2021</w:t>
        </w:r>
      </w:hyperlink>
      <w:r w:rsidRPr="00DE0EC2">
        <w:rPr>
          <w:rStyle w:val="TextoNormalCaracter"/>
        </w:rPr>
        <w:t xml:space="preserve">, ff. 2 a 4; </w:t>
      </w:r>
      <w:hyperlink w:anchor="SENTENCIA_2021_51" w:history="1">
        <w:r w:rsidRPr="00DE0EC2">
          <w:rPr>
            <w:rStyle w:val="TextoNormalCaracter"/>
          </w:rPr>
          <w:t>51/2021</w:t>
        </w:r>
      </w:hyperlink>
      <w:r w:rsidRPr="00DE0EC2">
        <w:rPr>
          <w:rStyle w:val="TextoNormalCaracter"/>
        </w:rPr>
        <w:t xml:space="preserve">, ff. 5 y 6; </w:t>
      </w:r>
      <w:hyperlink w:anchor="SENTENCIA_2021_114" w:history="1">
        <w:r w:rsidRPr="00DE0EC2">
          <w:rPr>
            <w:rStyle w:val="TextoNormalCaracter"/>
          </w:rPr>
          <w:t>114/2021</w:t>
        </w:r>
      </w:hyperlink>
      <w:r w:rsidRPr="00DE0EC2">
        <w:rPr>
          <w:rStyle w:val="TextoNormalCaracter"/>
        </w:rPr>
        <w:t xml:space="preserve">, f. único; </w:t>
      </w:r>
      <w:hyperlink w:anchor="SENTENCIA_2021_127" w:history="1">
        <w:r w:rsidRPr="00DE0EC2">
          <w:rPr>
            <w:rStyle w:val="TextoNormalCaracter"/>
          </w:rPr>
          <w:t>127/2021</w:t>
        </w:r>
      </w:hyperlink>
      <w:r w:rsidRPr="00DE0EC2">
        <w:rPr>
          <w:rStyle w:val="TextoNormalCaracter"/>
        </w:rPr>
        <w:t xml:space="preserve">, f. único; </w:t>
      </w:r>
      <w:hyperlink w:anchor="SENTENCIA_2021_128" w:history="1">
        <w:r w:rsidRPr="00DE0EC2">
          <w:rPr>
            <w:rStyle w:val="TextoNormalCaracter"/>
          </w:rPr>
          <w:t>128/2021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013" w:name="DESCRIPTORALFABETICO251"/>
      <w:r w:rsidRPr="00DE0EC2">
        <w:rPr>
          <w:rStyle w:val="TextoNormalNegritaCaracter"/>
        </w:rPr>
        <w:t>Igualdad tributaria</w:t>
      </w:r>
      <w:bookmarkEnd w:id="1013"/>
      <w:r w:rsidRPr="00DE0EC2">
        <w:rPr>
          <w:rStyle w:val="TextoNormalCaracter"/>
        </w:rPr>
        <w:t xml:space="preserve">, Sentencia </w:t>
      </w:r>
      <w:hyperlink w:anchor="SENTENCIA_2021_125" w:history="1">
        <w:r w:rsidRPr="00DE0EC2">
          <w:rPr>
            <w:rStyle w:val="TextoNormalCaracter"/>
          </w:rPr>
          <w:t>125/2021</w:t>
        </w:r>
      </w:hyperlink>
      <w:r w:rsidRPr="00DE0EC2">
        <w:rPr>
          <w:rStyle w:val="TextoNormalCaracter"/>
        </w:rPr>
        <w:t>, f. 6.</w:t>
      </w:r>
    </w:p>
    <w:p w:rsidR="00DE0EC2" w:rsidRPr="00DE0EC2" w:rsidRDefault="00DE0EC2" w:rsidP="00DE0EC2">
      <w:pPr>
        <w:pStyle w:val="TextoNormalSangraFrancesa"/>
        <w:rPr>
          <w:rStyle w:val="TextoNormalCaracter"/>
        </w:rPr>
      </w:pPr>
      <w:bookmarkStart w:id="1014" w:name="DESCRIPTORALFABETICO505"/>
      <w:r w:rsidRPr="00DE0EC2">
        <w:rPr>
          <w:rStyle w:val="TextoNormalNegritaCaracter"/>
        </w:rPr>
        <w:t>Illes Balears</w:t>
      </w:r>
      <w:bookmarkEnd w:id="1014"/>
      <w:r w:rsidRPr="00DE0EC2">
        <w:rPr>
          <w:rStyle w:val="TextoNormalCaracter"/>
        </w:rPr>
        <w:t xml:space="preserve">, Auto </w:t>
      </w:r>
      <w:hyperlink w:anchor="AUTO_2021_65" w:history="1">
        <w:r w:rsidRPr="00DE0EC2">
          <w:rPr>
            <w:rStyle w:val="TextoNormalCaracter"/>
          </w:rPr>
          <w:t>65/2021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1015" w:name="DESCRIPTORALFABETICO224"/>
      <w:r w:rsidRPr="00DE0EC2">
        <w:rPr>
          <w:rStyle w:val="TextoNormalNegritaCaracter"/>
        </w:rPr>
        <w:t>Imparcialidad judicial</w:t>
      </w:r>
      <w:bookmarkEnd w:id="1015"/>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9; </w:t>
      </w:r>
      <w:hyperlink w:anchor="SENTENCIA_2021_106" w:history="1">
        <w:r w:rsidRPr="00DE0EC2">
          <w:rPr>
            <w:rStyle w:val="TextoNormalCaracter"/>
          </w:rPr>
          <w:t>106/2021</w:t>
        </w:r>
      </w:hyperlink>
      <w:r w:rsidRPr="00DE0EC2">
        <w:rPr>
          <w:rStyle w:val="TextoNormalCaracter"/>
        </w:rPr>
        <w:t xml:space="preserve">, ff. 5 y 9; </w:t>
      </w:r>
      <w:hyperlink w:anchor="SENTENCIA_2021_121" w:history="1">
        <w:r w:rsidRPr="00DE0EC2">
          <w:rPr>
            <w:rStyle w:val="TextoNormalCaracter"/>
          </w:rPr>
          <w:t>121/2021</w:t>
        </w:r>
      </w:hyperlink>
      <w:r w:rsidRPr="00DE0EC2">
        <w:rPr>
          <w:rStyle w:val="TextoNormalCaracter"/>
        </w:rPr>
        <w:t>, f. 6.</w:t>
      </w:r>
    </w:p>
    <w:p w:rsidR="00DE0EC2" w:rsidRPr="00DE0EC2" w:rsidRDefault="00DE0EC2" w:rsidP="00DE0EC2">
      <w:pPr>
        <w:pStyle w:val="TextoNormalSangraFrancesa"/>
        <w:rPr>
          <w:rStyle w:val="TextoNormalCaracter"/>
        </w:rPr>
      </w:pPr>
      <w:bookmarkStart w:id="1016" w:name="DESCRIPTORALFABETICO37"/>
      <w:r w:rsidRPr="00DE0EC2">
        <w:rPr>
          <w:rStyle w:val="TextoNormalNegritaCaracter"/>
        </w:rPr>
        <w:t>Impuestos autonómicos</w:t>
      </w:r>
      <w:bookmarkEnd w:id="1016"/>
      <w:r w:rsidRPr="00DE0EC2">
        <w:rPr>
          <w:rStyle w:val="TextoNormalCaracter"/>
        </w:rPr>
        <w:t xml:space="preserve">, Sentencia </w:t>
      </w:r>
      <w:hyperlink w:anchor="SENTENCIA_2021_125" w:history="1">
        <w:r w:rsidRPr="00DE0EC2">
          <w:rPr>
            <w:rStyle w:val="TextoNormalCaracter"/>
          </w:rPr>
          <w:t>125/2021</w:t>
        </w:r>
      </w:hyperlink>
      <w:r w:rsidRPr="00DE0EC2">
        <w:rPr>
          <w:rStyle w:val="TextoNormalCaracter"/>
        </w:rPr>
        <w:t>, f. 7.</w:t>
      </w:r>
    </w:p>
    <w:p w:rsidR="00DE0EC2" w:rsidRPr="00DE0EC2" w:rsidRDefault="00DE0EC2" w:rsidP="00DE0EC2">
      <w:pPr>
        <w:pStyle w:val="TextoNormalSangraFrancesa"/>
        <w:rPr>
          <w:rStyle w:val="TextoNormalCaracter"/>
        </w:rPr>
      </w:pPr>
      <w:bookmarkStart w:id="1017" w:name="DESCRIPTORALFABETICO238"/>
      <w:r w:rsidRPr="00DE0EC2">
        <w:rPr>
          <w:rStyle w:val="TextoNormalNegritaCaracter"/>
        </w:rPr>
        <w:t>Impugnación de acuerdos de las mesas parlamentarias</w:t>
      </w:r>
      <w:bookmarkEnd w:id="1017"/>
      <w:r w:rsidRPr="00DE0EC2">
        <w:rPr>
          <w:rStyle w:val="TextoNormalCaracter"/>
        </w:rPr>
        <w:t xml:space="preserve">, Sentencias </w:t>
      </w:r>
      <w:hyperlink w:anchor="SENTENCIA_2021_66" w:history="1">
        <w:r w:rsidRPr="00DE0EC2">
          <w:rPr>
            <w:rStyle w:val="TextoNormalCaracter"/>
          </w:rPr>
          <w:t>66/2021</w:t>
        </w:r>
      </w:hyperlink>
      <w:r w:rsidRPr="00DE0EC2">
        <w:rPr>
          <w:rStyle w:val="TextoNormalCaracter"/>
        </w:rPr>
        <w:t xml:space="preserve">, f. 2; </w:t>
      </w:r>
      <w:hyperlink w:anchor="SENTENCIA_2021_69" w:history="1">
        <w:r w:rsidRPr="00DE0EC2">
          <w:rPr>
            <w:rStyle w:val="TextoNormalCaracter"/>
          </w:rPr>
          <w:t>69/2021</w:t>
        </w:r>
      </w:hyperlink>
      <w:r w:rsidRPr="00DE0EC2">
        <w:rPr>
          <w:rStyle w:val="TextoNormalCaracter"/>
        </w:rPr>
        <w:t xml:space="preserve">, ff. 1 a 5; </w:t>
      </w:r>
      <w:hyperlink w:anchor="SENTENCIA_2021_90" w:history="1">
        <w:r w:rsidRPr="00DE0EC2">
          <w:rPr>
            <w:rStyle w:val="TextoNormalCaracter"/>
          </w:rPr>
          <w:t>90/2021</w:t>
        </w:r>
      </w:hyperlink>
      <w:r w:rsidRPr="00DE0EC2">
        <w:rPr>
          <w:rStyle w:val="TextoNormalCaracter"/>
        </w:rPr>
        <w:t xml:space="preserve">, ff. 2 a 4; </w:t>
      </w:r>
      <w:hyperlink w:anchor="SENTENCIA_2021_105" w:history="1">
        <w:r w:rsidRPr="00DE0EC2">
          <w:rPr>
            <w:rStyle w:val="TextoNormalCaracter"/>
          </w:rPr>
          <w:t>105/2021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018" w:name="DESCRIPTORALFABETICO42"/>
      <w:r w:rsidRPr="00DE0EC2">
        <w:rPr>
          <w:rStyle w:val="TextoNormalNegritaCaracter"/>
        </w:rPr>
        <w:t>Impugnación de candidaturas electorales</w:t>
      </w:r>
      <w:bookmarkEnd w:id="1018"/>
      <w:r w:rsidRPr="00DE0EC2">
        <w:rPr>
          <w:rStyle w:val="TextoNormalCaracter"/>
        </w:rPr>
        <w:t xml:space="preserve">, Sentencia </w:t>
      </w:r>
      <w:hyperlink w:anchor="SENTENCIA_2021_76" w:history="1">
        <w:r w:rsidRPr="00DE0EC2">
          <w:rPr>
            <w:rStyle w:val="TextoNormalCaracter"/>
          </w:rPr>
          <w:t>76/2021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1019" w:name="DESCRIPTORALFABETICO432"/>
      <w:r w:rsidRPr="00DE0EC2">
        <w:rPr>
          <w:rStyle w:val="TextoNormalNegritaCaracter"/>
        </w:rPr>
        <w:t>Impugnación de la tasación de costas</w:t>
      </w:r>
      <w:bookmarkEnd w:id="1019"/>
      <w:r w:rsidRPr="00DE0EC2">
        <w:rPr>
          <w:rStyle w:val="TextoNormalCaracter"/>
        </w:rPr>
        <w:t xml:space="preserve">, Sentencia </w:t>
      </w:r>
      <w:hyperlink w:anchor="SENTENCIA_2021_95" w:history="1">
        <w:r w:rsidRPr="00DE0EC2">
          <w:rPr>
            <w:rStyle w:val="TextoNormalCaracter"/>
          </w:rPr>
          <w:t>95/2021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1020" w:name="DESCRIPTORALFABETICO214"/>
      <w:r w:rsidRPr="00DE0EC2">
        <w:rPr>
          <w:rStyle w:val="TextoNormalNegritaCaracter"/>
        </w:rPr>
        <w:t>Impugnación de las resoluciones de los letrados de la Administración de justicia</w:t>
      </w:r>
      <w:bookmarkEnd w:id="1020"/>
      <w:r w:rsidRPr="00DE0EC2">
        <w:rPr>
          <w:rStyle w:val="TextoNormalCaracter"/>
        </w:rPr>
        <w:t xml:space="preserve">, Sentencias </w:t>
      </w:r>
      <w:hyperlink w:anchor="SENTENCIA_2021_23" w:history="1">
        <w:r w:rsidRPr="00DE0EC2">
          <w:rPr>
            <w:rStyle w:val="TextoNormalCaracter"/>
          </w:rPr>
          <w:t>23/2021</w:t>
        </w:r>
      </w:hyperlink>
      <w:r w:rsidRPr="00DE0EC2">
        <w:rPr>
          <w:rStyle w:val="TextoNormalCaracter"/>
        </w:rPr>
        <w:t xml:space="preserve">, ff. 2, 3; </w:t>
      </w:r>
      <w:hyperlink w:anchor="SENTENCIA_2021_54" w:history="1">
        <w:r w:rsidRPr="00DE0EC2">
          <w:rPr>
            <w:rStyle w:val="TextoNormalCaracter"/>
          </w:rPr>
          <w:t>54/2021</w:t>
        </w:r>
      </w:hyperlink>
      <w:r w:rsidRPr="00DE0EC2">
        <w:rPr>
          <w:rStyle w:val="TextoNormalCaracter"/>
        </w:rPr>
        <w:t xml:space="preserve">, ff. 2, 3; </w:t>
      </w:r>
      <w:hyperlink w:anchor="SENTENCIA_2021_57" w:history="1">
        <w:r w:rsidRPr="00DE0EC2">
          <w:rPr>
            <w:rStyle w:val="TextoNormalCaracter"/>
          </w:rPr>
          <w:t>57/2021</w:t>
        </w:r>
      </w:hyperlink>
      <w:r w:rsidRPr="00DE0EC2">
        <w:rPr>
          <w:rStyle w:val="TextoNormalCaracter"/>
        </w:rPr>
        <w:t xml:space="preserve">, f.3; </w:t>
      </w:r>
      <w:hyperlink w:anchor="SENTENCIA_2021_136" w:history="1">
        <w:r w:rsidRPr="00DE0EC2">
          <w:rPr>
            <w:rStyle w:val="TextoNormalCaracter"/>
          </w:rPr>
          <w:t>136/2021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021" w:name="DESCRIPTORALFABETICO64"/>
      <w:r w:rsidRPr="00DE0EC2">
        <w:rPr>
          <w:rStyle w:val="TextoNormalNegritaCaracter"/>
        </w:rPr>
        <w:t>Inadmisión a trámite de habeas corpus por razones de fondo</w:t>
      </w:r>
      <w:bookmarkEnd w:id="1021"/>
      <w:r w:rsidRPr="00DE0EC2">
        <w:rPr>
          <w:rStyle w:val="TextoNormalCaracter"/>
        </w:rPr>
        <w:t xml:space="preserve">, Sentencia </w:t>
      </w:r>
      <w:hyperlink w:anchor="SENTENCIA_2021_73" w:history="1">
        <w:r w:rsidRPr="00DE0EC2">
          <w:rPr>
            <w:rStyle w:val="TextoNormalCaracter"/>
          </w:rPr>
          <w:t>73/2021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1022" w:name="DESCRIPTORALFABETICO170"/>
      <w:r w:rsidRPr="00DE0EC2">
        <w:rPr>
          <w:rStyle w:val="TextoNormalNegritaCaracter"/>
        </w:rPr>
        <w:t>Inadmisión de conflictos negativos de competencia</w:t>
      </w:r>
      <w:bookmarkEnd w:id="1022"/>
      <w:r w:rsidRPr="00DE0EC2">
        <w:rPr>
          <w:rStyle w:val="TextoNormalCaracter"/>
        </w:rPr>
        <w:t xml:space="preserve">, Auto </w:t>
      </w:r>
      <w:hyperlink w:anchor="AUTO_2021_8" w:history="1">
        <w:r w:rsidRPr="00DE0EC2">
          <w:rPr>
            <w:rStyle w:val="TextoNormalCaracter"/>
          </w:rPr>
          <w:t>8/2021</w:t>
        </w:r>
      </w:hyperlink>
      <w:r w:rsidRPr="00DE0EC2">
        <w:rPr>
          <w:rStyle w:val="TextoNormalCaracter"/>
        </w:rPr>
        <w:t>, f. 3.</w:t>
      </w:r>
    </w:p>
    <w:p w:rsidR="00DE0EC2" w:rsidRPr="00DE0EC2" w:rsidRDefault="00DE0EC2" w:rsidP="00DE0EC2">
      <w:pPr>
        <w:pStyle w:val="TextoNormalSangraFrancesa"/>
        <w:rPr>
          <w:rStyle w:val="TextoNormalCaracter"/>
        </w:rPr>
      </w:pPr>
      <w:bookmarkStart w:id="1023" w:name="DESCRIPTORALFABETICO174"/>
      <w:r w:rsidRPr="00DE0EC2">
        <w:rPr>
          <w:rStyle w:val="TextoNormalNegritaCaracter"/>
        </w:rPr>
        <w:t>Inadmisión de cuestión de inconstitucionalidad</w:t>
      </w:r>
      <w:bookmarkEnd w:id="1023"/>
      <w:r w:rsidRPr="00DE0EC2">
        <w:rPr>
          <w:rStyle w:val="TextoNormalCaracter"/>
        </w:rPr>
        <w:t xml:space="preserve">, Autos </w:t>
      </w:r>
      <w:hyperlink w:anchor="AUTO_2021_5" w:history="1">
        <w:r w:rsidRPr="00DE0EC2">
          <w:rPr>
            <w:rStyle w:val="TextoNormalCaracter"/>
          </w:rPr>
          <w:t>5/2021</w:t>
        </w:r>
      </w:hyperlink>
      <w:r w:rsidRPr="00DE0EC2">
        <w:rPr>
          <w:rStyle w:val="TextoNormalCaracter"/>
        </w:rPr>
        <w:t xml:space="preserve">, f. único; </w:t>
      </w:r>
      <w:hyperlink w:anchor="AUTO_2021_6" w:history="1">
        <w:r w:rsidRPr="00DE0EC2">
          <w:rPr>
            <w:rStyle w:val="TextoNormalCaracter"/>
          </w:rPr>
          <w:t>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024" w:name="DESCRIPTORALFABETICO175"/>
      <w:r w:rsidRPr="00DE0EC2">
        <w:rPr>
          <w:rStyle w:val="TextoNormalNegritaCaracter"/>
        </w:rPr>
        <w:t>Inadmisión de cuestión de inconstitucionalidad por falta de requisitos procesales</w:t>
      </w:r>
      <w:bookmarkEnd w:id="1024"/>
      <w:r w:rsidRPr="00DE0EC2">
        <w:rPr>
          <w:rStyle w:val="TextoNormalCaracter"/>
        </w:rPr>
        <w:t xml:space="preserve">, Auto </w:t>
      </w:r>
      <w:hyperlink w:anchor="AUTO_2021_65" w:history="1">
        <w:r w:rsidRPr="00DE0EC2">
          <w:rPr>
            <w:rStyle w:val="TextoNormalCaracter"/>
          </w:rPr>
          <w:t>65/2021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1025" w:name="DESCRIPTORALFABETICO446"/>
      <w:r w:rsidRPr="00DE0EC2">
        <w:rPr>
          <w:rStyle w:val="TextoNormalNegritaCaracter"/>
        </w:rPr>
        <w:t>Inadmisión de incidente de nulidad de actuaciones</w:t>
      </w:r>
      <w:bookmarkEnd w:id="1025"/>
      <w:r w:rsidRPr="00DE0EC2">
        <w:rPr>
          <w:rStyle w:val="TextoNormalCaracter"/>
        </w:rPr>
        <w:t xml:space="preserve">, Sentencia </w:t>
      </w:r>
      <w:hyperlink w:anchor="SENTENCIA_2021_104" w:history="1">
        <w:r w:rsidRPr="00DE0EC2">
          <w:rPr>
            <w:rStyle w:val="TextoNormalCaracter"/>
          </w:rPr>
          <w:t>104/2021</w:t>
        </w:r>
      </w:hyperlink>
      <w:r w:rsidRPr="00DE0EC2">
        <w:rPr>
          <w:rStyle w:val="TextoNormalCaracter"/>
        </w:rPr>
        <w:t>, f. 3 y 4.</w:t>
      </w:r>
    </w:p>
    <w:p w:rsidR="00DE0EC2" w:rsidRPr="00DE0EC2" w:rsidRDefault="00DE0EC2" w:rsidP="00DE0EC2">
      <w:pPr>
        <w:pStyle w:val="TextoNormalSangraFrancesa"/>
        <w:rPr>
          <w:rStyle w:val="TextoNormalCaracter"/>
        </w:rPr>
      </w:pPr>
      <w:bookmarkStart w:id="1026" w:name="DESCRIPTORALFABETICO393"/>
      <w:r w:rsidRPr="00DE0EC2">
        <w:rPr>
          <w:rStyle w:val="TextoNormalNegritaCaracter"/>
        </w:rPr>
        <w:t>Inadmisión de recurso de alzada</w:t>
      </w:r>
      <w:bookmarkEnd w:id="1026"/>
      <w:r w:rsidRPr="00DE0EC2">
        <w:rPr>
          <w:rStyle w:val="TextoNormalCaracter"/>
        </w:rPr>
        <w:t xml:space="preserve">, Sentencia </w:t>
      </w:r>
      <w:hyperlink w:anchor="SENTENCIA_2021_63" w:history="1">
        <w:r w:rsidRPr="00DE0EC2">
          <w:rPr>
            <w:rStyle w:val="TextoNormalCaracter"/>
          </w:rPr>
          <w:t>63/2021</w:t>
        </w:r>
      </w:hyperlink>
      <w:r w:rsidRPr="00DE0EC2">
        <w:rPr>
          <w:rStyle w:val="TextoNormalCaracter"/>
        </w:rPr>
        <w:t>.</w:t>
      </w:r>
    </w:p>
    <w:p w:rsidR="00DE0EC2" w:rsidRPr="00DE0EC2" w:rsidRDefault="00DE0EC2" w:rsidP="00DE0EC2">
      <w:pPr>
        <w:pStyle w:val="TextoNormalSangraFrancesa"/>
        <w:rPr>
          <w:rStyle w:val="TextoNormalCaracter"/>
        </w:rPr>
      </w:pPr>
      <w:bookmarkStart w:id="1027" w:name="DESCRIPTORALFABETICO202"/>
      <w:r w:rsidRPr="00DE0EC2">
        <w:rPr>
          <w:rStyle w:val="TextoNormalNegritaCaracter"/>
        </w:rPr>
        <w:t>Inadmisión de recurso de amparo</w:t>
      </w:r>
      <w:bookmarkEnd w:id="1027"/>
      <w:r w:rsidRPr="00DE0EC2">
        <w:rPr>
          <w:rStyle w:val="TextoNormalCaracter"/>
        </w:rPr>
        <w:t xml:space="preserve">, Sentencia </w:t>
      </w:r>
      <w:hyperlink w:anchor="SENTENCIA_2021_52" w:history="1">
        <w:r w:rsidRPr="00DE0EC2">
          <w:rPr>
            <w:rStyle w:val="TextoNormalCaracter"/>
          </w:rPr>
          <w:t>52/2021</w:t>
        </w:r>
      </w:hyperlink>
      <w:r w:rsidRPr="00DE0EC2">
        <w:rPr>
          <w:rStyle w:val="TextoNormalCaracter"/>
        </w:rPr>
        <w:t>, f. 2.</w:t>
      </w:r>
    </w:p>
    <w:p w:rsidR="00DE0EC2" w:rsidRPr="00DE0EC2" w:rsidRDefault="00DE0EC2" w:rsidP="00DE0EC2">
      <w:pPr>
        <w:pStyle w:val="TextoNormalSangraFrancesa"/>
        <w:rPr>
          <w:rStyle w:val="TextoNormalCaracter"/>
        </w:rPr>
      </w:pPr>
      <w:bookmarkStart w:id="1028" w:name="DESCRIPTORALFABETICO206"/>
      <w:r w:rsidRPr="00DE0EC2">
        <w:rPr>
          <w:rStyle w:val="TextoNormalNegritaCaracter"/>
        </w:rPr>
        <w:t>Inadmisión de recurso de amparo por providencia</w:t>
      </w:r>
      <w:bookmarkEnd w:id="1028"/>
      <w:r w:rsidRPr="00DE0EC2">
        <w:rPr>
          <w:rStyle w:val="TextoNormalCaracter"/>
        </w:rPr>
        <w:t xml:space="preserve">, Autos </w:t>
      </w:r>
      <w:hyperlink w:anchor="AUTO_2021_60" w:history="1">
        <w:r w:rsidRPr="00DE0EC2">
          <w:rPr>
            <w:rStyle w:val="TextoNormalCaracter"/>
          </w:rPr>
          <w:t>60/2021</w:t>
        </w:r>
      </w:hyperlink>
      <w:r w:rsidRPr="00DE0EC2">
        <w:rPr>
          <w:rStyle w:val="TextoNormalCaracter"/>
        </w:rPr>
        <w:t xml:space="preserve">; </w:t>
      </w:r>
      <w:hyperlink w:anchor="AUTO_2021_61" w:history="1">
        <w:r w:rsidRPr="00DE0EC2">
          <w:rPr>
            <w:rStyle w:val="TextoNormalCaracter"/>
          </w:rPr>
          <w:t>61/2021</w:t>
        </w:r>
      </w:hyperlink>
      <w:r w:rsidRPr="00DE0EC2">
        <w:rPr>
          <w:rStyle w:val="TextoNormalCaracter"/>
        </w:rPr>
        <w:t xml:space="preserve">; </w:t>
      </w:r>
      <w:hyperlink w:anchor="AUTO_2021_64" w:history="1">
        <w:r w:rsidRPr="00DE0EC2">
          <w:rPr>
            <w:rStyle w:val="TextoNormalCaracter"/>
          </w:rPr>
          <w:t>64/2021</w:t>
        </w:r>
      </w:hyperlink>
      <w:r w:rsidRPr="00DE0EC2">
        <w:rPr>
          <w:rStyle w:val="TextoNormalCaracter"/>
        </w:rPr>
        <w:t>.</w:t>
      </w:r>
    </w:p>
    <w:p w:rsidR="00DE0EC2" w:rsidRPr="00DE0EC2" w:rsidRDefault="00DE0EC2" w:rsidP="00DE0EC2">
      <w:pPr>
        <w:pStyle w:val="TextoNormalSangraFrancesa"/>
        <w:rPr>
          <w:rStyle w:val="TextoNormalCaracter"/>
        </w:rPr>
      </w:pPr>
      <w:bookmarkStart w:id="1029" w:name="DESCRIPTORALFABETICO477"/>
      <w:r w:rsidRPr="00DE0EC2">
        <w:rPr>
          <w:rStyle w:val="TextoNormalNegritaCaracter"/>
        </w:rPr>
        <w:t>Inadmisión de recurso de casación contencioso-administrativo</w:t>
      </w:r>
      <w:bookmarkEnd w:id="1029"/>
      <w:r w:rsidRPr="00DE0EC2">
        <w:rPr>
          <w:rStyle w:val="TextoNormalCaracter"/>
        </w:rPr>
        <w:t xml:space="preserve">, Sentencia </w:t>
      </w:r>
      <w:hyperlink w:anchor="SENTENCIA_2021_11" w:history="1">
        <w:r w:rsidRPr="00DE0EC2">
          <w:rPr>
            <w:rStyle w:val="TextoNormalCaracter"/>
          </w:rPr>
          <w:t>11/2021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030" w:name="DESCRIPTORALFABETICO181"/>
      <w:r w:rsidRPr="00DE0EC2">
        <w:rPr>
          <w:rStyle w:val="TextoNormalNegritaCaracter"/>
        </w:rPr>
        <w:t>Inadmisión de recurso de inconstitucionalidad</w:t>
      </w:r>
      <w:bookmarkEnd w:id="1030"/>
      <w:r w:rsidRPr="00DE0EC2">
        <w:rPr>
          <w:rStyle w:val="TextoNormalCaracter"/>
        </w:rPr>
        <w:t xml:space="preserve">, Autos </w:t>
      </w:r>
      <w:hyperlink w:anchor="AUTO_2021_7" w:history="1">
        <w:r w:rsidRPr="00DE0EC2">
          <w:rPr>
            <w:rStyle w:val="TextoNormalCaracter"/>
          </w:rPr>
          <w:t>7/2021</w:t>
        </w:r>
      </w:hyperlink>
      <w:r w:rsidRPr="00DE0EC2">
        <w:rPr>
          <w:rStyle w:val="TextoNormalCaracter"/>
        </w:rPr>
        <w:t xml:space="preserve">, f. único; </w:t>
      </w:r>
      <w:hyperlink w:anchor="AUTO_2021_33" w:history="1">
        <w:r w:rsidRPr="00DE0EC2">
          <w:rPr>
            <w:rStyle w:val="TextoNormalCaracter"/>
          </w:rPr>
          <w:t>33/2021</w:t>
        </w:r>
      </w:hyperlink>
      <w:r w:rsidRPr="00DE0EC2">
        <w:rPr>
          <w:rStyle w:val="TextoNormalCaracter"/>
        </w:rPr>
        <w:t xml:space="preserve">; </w:t>
      </w:r>
      <w:hyperlink w:anchor="AUTO_2021_34" w:history="1">
        <w:r w:rsidRPr="00DE0EC2">
          <w:rPr>
            <w:rStyle w:val="TextoNormalCaracter"/>
          </w:rPr>
          <w:t>34/2021</w:t>
        </w:r>
      </w:hyperlink>
      <w:r w:rsidRPr="00DE0EC2">
        <w:rPr>
          <w:rStyle w:val="TextoNormalCaracter"/>
        </w:rPr>
        <w:t>.</w:t>
      </w:r>
    </w:p>
    <w:p w:rsidR="00DE0EC2" w:rsidRPr="00DE0EC2" w:rsidRDefault="00DE0EC2" w:rsidP="00DE0EC2">
      <w:pPr>
        <w:pStyle w:val="TextoNormalSangraFrancesa"/>
        <w:rPr>
          <w:rStyle w:val="TextoNormalCaracter"/>
        </w:rPr>
      </w:pPr>
      <w:bookmarkStart w:id="1031" w:name="DESCRIPTORALFABETICO462"/>
      <w:r w:rsidRPr="00DE0EC2">
        <w:rPr>
          <w:rStyle w:val="TextoNormalNegritaCaracter"/>
        </w:rPr>
        <w:t>Inadmisión por extemporaneidad</w:t>
      </w:r>
      <w:bookmarkEnd w:id="1031"/>
      <w:r w:rsidRPr="00DE0EC2">
        <w:rPr>
          <w:rStyle w:val="TextoNormalCaracter"/>
        </w:rPr>
        <w:t xml:space="preserve">, Autos </w:t>
      </w:r>
      <w:hyperlink w:anchor="AUTO_2021_61" w:history="1">
        <w:r w:rsidRPr="00DE0EC2">
          <w:rPr>
            <w:rStyle w:val="TextoNormalCaracter"/>
          </w:rPr>
          <w:t>61/2021</w:t>
        </w:r>
      </w:hyperlink>
      <w:r w:rsidRPr="00DE0EC2">
        <w:rPr>
          <w:rStyle w:val="TextoNormalCaracter"/>
        </w:rPr>
        <w:t xml:space="preserve">; </w:t>
      </w:r>
      <w:hyperlink w:anchor="AUTO_2021_64" w:history="1">
        <w:r w:rsidRPr="00DE0EC2">
          <w:rPr>
            <w:rStyle w:val="TextoNormalCaracter"/>
          </w:rPr>
          <w:t>64/2021</w:t>
        </w:r>
      </w:hyperlink>
      <w:r w:rsidRPr="00DE0EC2">
        <w:rPr>
          <w:rStyle w:val="TextoNormalCaracter"/>
        </w:rPr>
        <w:t>.</w:t>
      </w:r>
    </w:p>
    <w:p w:rsidR="00DE0EC2" w:rsidRPr="00DE0EC2" w:rsidRDefault="00DE0EC2" w:rsidP="00DE0EC2">
      <w:pPr>
        <w:pStyle w:val="TextoNormalSangraFrancesa"/>
        <w:rPr>
          <w:rStyle w:val="TextoNormalCaracter"/>
        </w:rPr>
      </w:pPr>
      <w:bookmarkStart w:id="1032" w:name="DESCRIPTORALFABETICO463"/>
      <w:r w:rsidRPr="00DE0EC2">
        <w:rPr>
          <w:rStyle w:val="TextoNormalNegritaCaracter"/>
        </w:rPr>
        <w:t>Inadmisión por falta de requisitos procesales</w:t>
      </w:r>
      <w:bookmarkEnd w:id="1032"/>
      <w:r w:rsidRPr="00DE0EC2">
        <w:rPr>
          <w:rStyle w:val="TextoNormalCaracter"/>
        </w:rPr>
        <w:t xml:space="preserve">, Autos </w:t>
      </w:r>
      <w:hyperlink w:anchor="AUTO_2021_58" w:history="1">
        <w:r w:rsidRPr="00DE0EC2">
          <w:rPr>
            <w:rStyle w:val="TextoNormalCaracter"/>
          </w:rPr>
          <w:t>58/2021</w:t>
        </w:r>
      </w:hyperlink>
      <w:r w:rsidRPr="00DE0EC2">
        <w:rPr>
          <w:rStyle w:val="TextoNormalCaracter"/>
        </w:rPr>
        <w:t xml:space="preserve">; </w:t>
      </w:r>
      <w:hyperlink w:anchor="AUTO_2021_59" w:history="1">
        <w:r w:rsidRPr="00DE0EC2">
          <w:rPr>
            <w:rStyle w:val="TextoNormalCaracter"/>
          </w:rPr>
          <w:t>59/2021</w:t>
        </w:r>
      </w:hyperlink>
      <w:r w:rsidRPr="00DE0EC2">
        <w:rPr>
          <w:rStyle w:val="TextoNormalCaracter"/>
        </w:rPr>
        <w:t>.</w:t>
      </w:r>
    </w:p>
    <w:p w:rsidR="00DE0EC2" w:rsidRPr="00DE0EC2" w:rsidRDefault="00DE0EC2" w:rsidP="00DE0EC2">
      <w:pPr>
        <w:pStyle w:val="TextoNormalSangraFrancesa"/>
        <w:rPr>
          <w:rStyle w:val="TextoNormalCaracter"/>
        </w:rPr>
      </w:pPr>
      <w:bookmarkStart w:id="1033" w:name="DESCRIPTORALFABETICO436"/>
      <w:r w:rsidRPr="00DE0EC2">
        <w:rPr>
          <w:rStyle w:val="TextoNormalNegritaCaracter"/>
        </w:rPr>
        <w:t>Inadmisión sin causa legal</w:t>
      </w:r>
      <w:bookmarkEnd w:id="1033"/>
      <w:r w:rsidRPr="00DE0EC2">
        <w:rPr>
          <w:rStyle w:val="TextoNormalCaracter"/>
        </w:rPr>
        <w:t xml:space="preserve">, Sentencia </w:t>
      </w:r>
      <w:hyperlink w:anchor="SENTENCIA_2021_11" w:history="1">
        <w:r w:rsidRPr="00DE0EC2">
          <w:rPr>
            <w:rStyle w:val="TextoNormalCaracter"/>
          </w:rPr>
          <w:t>11/2021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034" w:name="DESCRIPTORALFABETICO156"/>
      <w:r w:rsidRPr="00DE0EC2">
        <w:rPr>
          <w:rStyle w:val="TextoNormalNegritaCaracter"/>
        </w:rPr>
        <w:t>Incidente de recusación de magistrados del Tribunal Constitucional</w:t>
      </w:r>
      <w:bookmarkEnd w:id="1034"/>
      <w:r w:rsidRPr="00DE0EC2">
        <w:rPr>
          <w:rStyle w:val="TextoNormalCaracter"/>
        </w:rPr>
        <w:t xml:space="preserve">, Auto </w:t>
      </w:r>
      <w:hyperlink w:anchor="AUTO_2021_69" w:history="1">
        <w:r w:rsidRPr="00DE0EC2">
          <w:rPr>
            <w:rStyle w:val="TextoNormalCaracter"/>
          </w:rPr>
          <w:t>69/2021</w:t>
        </w:r>
      </w:hyperlink>
      <w:r w:rsidRPr="00DE0EC2">
        <w:rPr>
          <w:rStyle w:val="TextoNormalCaracter"/>
        </w:rPr>
        <w:t>, f. 3.</w:t>
      </w:r>
    </w:p>
    <w:p w:rsidR="00DE0EC2" w:rsidRPr="00DE0EC2" w:rsidRDefault="00DE0EC2" w:rsidP="00DE0EC2">
      <w:pPr>
        <w:pStyle w:val="TextoNormalSangraFrancesa"/>
        <w:rPr>
          <w:rStyle w:val="TextoNormalCaracter"/>
        </w:rPr>
      </w:pPr>
      <w:bookmarkStart w:id="1035" w:name="DESCRIPTORALFABETICO145"/>
      <w:r w:rsidRPr="00DE0EC2">
        <w:rPr>
          <w:rStyle w:val="TextoNormalNegritaCaracter"/>
        </w:rPr>
        <w:t>Incidente de suspensión cautelar</w:t>
      </w:r>
      <w:bookmarkEnd w:id="1035"/>
      <w:r w:rsidRPr="00DE0EC2">
        <w:rPr>
          <w:rStyle w:val="TextoNormalCaracter"/>
        </w:rPr>
        <w:t xml:space="preserve">, Auto </w:t>
      </w:r>
      <w:hyperlink w:anchor="AUTO_2021_67" w:history="1">
        <w:r w:rsidRPr="00DE0EC2">
          <w:rPr>
            <w:rStyle w:val="TextoNormalCaracter"/>
          </w:rPr>
          <w:t>67/2021</w:t>
        </w:r>
      </w:hyperlink>
      <w:r w:rsidRPr="00DE0EC2">
        <w:rPr>
          <w:rStyle w:val="TextoNormalCaracter"/>
        </w:rPr>
        <w:t>, f. 2.</w:t>
      </w:r>
    </w:p>
    <w:p w:rsidR="00DE0EC2" w:rsidRPr="00DE0EC2" w:rsidRDefault="00DE0EC2" w:rsidP="00DE0EC2">
      <w:pPr>
        <w:pStyle w:val="TextoNormalSangraFrancesa"/>
        <w:rPr>
          <w:rStyle w:val="TextoNormalCaracter"/>
        </w:rPr>
      </w:pPr>
      <w:bookmarkStart w:id="1036" w:name="DESCRIPTORALFABETICO179"/>
      <w:r w:rsidRPr="00DE0EC2">
        <w:rPr>
          <w:rStyle w:val="TextoNormalNegritaCaracter"/>
        </w:rPr>
        <w:t>Inconstitucionalidad por conexión</w:t>
      </w:r>
      <w:bookmarkEnd w:id="1036"/>
      <w:r w:rsidRPr="00DE0EC2">
        <w:rPr>
          <w:rStyle w:val="TextoNormalCaracter"/>
        </w:rPr>
        <w:t xml:space="preserve">, Sentencia </w:t>
      </w:r>
      <w:hyperlink w:anchor="SENTENCIA_2021_109" w:history="1">
        <w:r w:rsidRPr="00DE0EC2">
          <w:rPr>
            <w:rStyle w:val="TextoNormalCaracter"/>
          </w:rPr>
          <w:t>109/2021</w:t>
        </w:r>
      </w:hyperlink>
      <w:r w:rsidRPr="00DE0EC2">
        <w:rPr>
          <w:rStyle w:val="TextoNormalCaracter"/>
        </w:rPr>
        <w:t>, f. 5.</w:t>
      </w:r>
    </w:p>
    <w:p w:rsidR="00DE0EC2" w:rsidRPr="00DE0EC2" w:rsidRDefault="00DE0EC2" w:rsidP="00DE0EC2">
      <w:pPr>
        <w:pStyle w:val="TextoNormalSangraFrancesa"/>
        <w:rPr>
          <w:rStyle w:val="TextoNormalCaracter"/>
        </w:rPr>
      </w:pPr>
      <w:bookmarkStart w:id="1037" w:name="DESCRIPTORALFABETICO198"/>
      <w:r w:rsidRPr="00DE0EC2">
        <w:rPr>
          <w:rStyle w:val="TextoNormalNegritaCaracter"/>
        </w:rPr>
        <w:t>Incumplimiento generalizado de la doctrina constitucional</w:t>
      </w:r>
      <w:bookmarkEnd w:id="1037"/>
      <w:r w:rsidRPr="00DE0EC2">
        <w:rPr>
          <w:rStyle w:val="TextoNormalCaracter"/>
        </w:rPr>
        <w:t xml:space="preserve">, Sentencias </w:t>
      </w:r>
      <w:hyperlink w:anchor="SENTENCIA_2021_33" w:history="1">
        <w:r w:rsidRPr="00DE0EC2">
          <w:rPr>
            <w:rStyle w:val="TextoNormalCaracter"/>
          </w:rPr>
          <w:t>33/2021</w:t>
        </w:r>
      </w:hyperlink>
      <w:r w:rsidRPr="00DE0EC2">
        <w:rPr>
          <w:rStyle w:val="TextoNormalCaracter"/>
        </w:rPr>
        <w:t xml:space="preserve">, f. 2; </w:t>
      </w:r>
      <w:hyperlink w:anchor="SENTENCIA_2021_64" w:history="1">
        <w:r w:rsidRPr="00DE0EC2">
          <w:rPr>
            <w:rStyle w:val="TextoNormalCaracter"/>
          </w:rPr>
          <w:t>64/2021</w:t>
        </w:r>
      </w:hyperlink>
      <w:r w:rsidRPr="00DE0EC2">
        <w:rPr>
          <w:rStyle w:val="TextoNormalCaracter"/>
        </w:rPr>
        <w:t xml:space="preserve">, f. 2; </w:t>
      </w:r>
      <w:hyperlink w:anchor="SENTENCIA_2021_73" w:history="1">
        <w:r w:rsidRPr="00DE0EC2">
          <w:rPr>
            <w:rStyle w:val="TextoNormalCaracter"/>
          </w:rPr>
          <w:t>73/2021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1038" w:name="DESCRIPTORALFABETICO406"/>
      <w:r w:rsidRPr="00DE0EC2">
        <w:rPr>
          <w:rStyle w:val="TextoNormalNegritaCaracter"/>
        </w:rPr>
        <w:t>Indemnización por despido</w:t>
      </w:r>
      <w:bookmarkEnd w:id="1038"/>
      <w:r w:rsidRPr="00DE0EC2">
        <w:rPr>
          <w:rStyle w:val="TextoNormalCaracter"/>
        </w:rPr>
        <w:t xml:space="preserve">, Sentencia </w:t>
      </w:r>
      <w:hyperlink w:anchor="SENTENCIA_2021_61" w:history="1">
        <w:r w:rsidRPr="00DE0EC2">
          <w:rPr>
            <w:rStyle w:val="TextoNormalCaracter"/>
          </w:rPr>
          <w:t>61/2021</w:t>
        </w:r>
      </w:hyperlink>
      <w:r w:rsidRPr="00DE0EC2">
        <w:rPr>
          <w:rStyle w:val="TextoNormalCaracter"/>
        </w:rPr>
        <w:t>, ff. 6, 7.</w:t>
      </w:r>
    </w:p>
    <w:p w:rsidR="00DE0EC2" w:rsidRPr="00DE0EC2" w:rsidRDefault="00DE0EC2" w:rsidP="00DE0EC2">
      <w:pPr>
        <w:pStyle w:val="TextoNormalSangraFrancesa"/>
        <w:rPr>
          <w:rStyle w:val="TextoNormalCaracter"/>
        </w:rPr>
      </w:pPr>
      <w:bookmarkStart w:id="1039" w:name="DESCRIPTORALFABETICO289"/>
      <w:r w:rsidRPr="00DE0EC2">
        <w:rPr>
          <w:rStyle w:val="TextoNormalNegritaCaracter"/>
        </w:rPr>
        <w:t>Indemnización por prisión provisional seguida de absolución</w:t>
      </w:r>
      <w:bookmarkEnd w:id="1039"/>
      <w:r w:rsidRPr="00DE0EC2">
        <w:rPr>
          <w:rStyle w:val="TextoNormalCaracter"/>
        </w:rPr>
        <w:t xml:space="preserve">, Sentencias </w:t>
      </w:r>
      <w:hyperlink w:anchor="SENTENCIA_2021_41" w:history="1">
        <w:r w:rsidRPr="00DE0EC2">
          <w:rPr>
            <w:rStyle w:val="TextoNormalCaracter"/>
          </w:rPr>
          <w:t>41/2021</w:t>
        </w:r>
      </w:hyperlink>
      <w:r w:rsidRPr="00DE0EC2">
        <w:rPr>
          <w:rStyle w:val="TextoNormalCaracter"/>
        </w:rPr>
        <w:t xml:space="preserve">, ff. 2, 3; </w:t>
      </w:r>
      <w:hyperlink w:anchor="SENTENCIA_2021_83" w:history="1">
        <w:r w:rsidRPr="00DE0EC2">
          <w:rPr>
            <w:rStyle w:val="TextoNormalCaracter"/>
          </w:rPr>
          <w:t>83/2021</w:t>
        </w:r>
      </w:hyperlink>
      <w:r w:rsidRPr="00DE0EC2">
        <w:rPr>
          <w:rStyle w:val="TextoNormalCaracter"/>
        </w:rPr>
        <w:t xml:space="preserve">, f. único; </w:t>
      </w:r>
      <w:hyperlink w:anchor="SENTENCIA_2021_98" w:history="1">
        <w:r w:rsidRPr="00DE0EC2">
          <w:rPr>
            <w:rStyle w:val="TextoNormalCaracter"/>
          </w:rPr>
          <w:t>98/2021</w:t>
        </w:r>
      </w:hyperlink>
      <w:r w:rsidRPr="00DE0EC2">
        <w:rPr>
          <w:rStyle w:val="TextoNormalCaracter"/>
        </w:rPr>
        <w:t xml:space="preserve">, ff. 1 a 3; </w:t>
      </w:r>
      <w:hyperlink w:anchor="SENTENCIA_2021_114" w:history="1">
        <w:r w:rsidRPr="00DE0EC2">
          <w:rPr>
            <w:rStyle w:val="TextoNormalCaracter"/>
          </w:rPr>
          <w:t>114/2021</w:t>
        </w:r>
      </w:hyperlink>
      <w:r w:rsidRPr="00DE0EC2">
        <w:rPr>
          <w:rStyle w:val="TextoNormalCaracter"/>
        </w:rPr>
        <w:t xml:space="preserve">, f. único; </w:t>
      </w:r>
      <w:hyperlink w:anchor="SENTENCIA_2021_127" w:history="1">
        <w:r w:rsidRPr="00DE0EC2">
          <w:rPr>
            <w:rStyle w:val="TextoNormalCaracter"/>
          </w:rPr>
          <w:t>127/2021</w:t>
        </w:r>
      </w:hyperlink>
      <w:r w:rsidRPr="00DE0EC2">
        <w:rPr>
          <w:rStyle w:val="TextoNormalCaracter"/>
        </w:rPr>
        <w:t xml:space="preserve">, f. único; </w:t>
      </w:r>
      <w:hyperlink w:anchor="SENTENCIA_2021_128" w:history="1">
        <w:r w:rsidRPr="00DE0EC2">
          <w:rPr>
            <w:rStyle w:val="TextoNormalCaracter"/>
          </w:rPr>
          <w:t>128/2021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040" w:name="DESCRIPTORALFABETICO464"/>
      <w:r w:rsidRPr="00DE0EC2">
        <w:rPr>
          <w:rStyle w:val="TextoNormalNegritaCaracter"/>
        </w:rPr>
        <w:t>Indicación errónea de recursos</w:t>
      </w:r>
      <w:bookmarkEnd w:id="1040"/>
      <w:r w:rsidRPr="00DE0EC2">
        <w:rPr>
          <w:rStyle w:val="TextoNormalCaracter"/>
        </w:rPr>
        <w:t xml:space="preserve">, Sentencias </w:t>
      </w:r>
      <w:hyperlink w:anchor="SENTENCIA_2021_3" w:history="1">
        <w:r w:rsidRPr="00DE0EC2">
          <w:rPr>
            <w:rStyle w:val="TextoNormalCaracter"/>
          </w:rPr>
          <w:t>3/2021</w:t>
        </w:r>
      </w:hyperlink>
      <w:r w:rsidRPr="00DE0EC2">
        <w:rPr>
          <w:rStyle w:val="TextoNormalCaracter"/>
        </w:rPr>
        <w:t xml:space="preserve">, ff. 3 a 4; </w:t>
      </w:r>
      <w:hyperlink w:anchor="SENTENCIA_2021_4" w:history="1">
        <w:r w:rsidRPr="00DE0EC2">
          <w:rPr>
            <w:rStyle w:val="TextoNormalCaracter"/>
          </w:rPr>
          <w:t>4/2021</w:t>
        </w:r>
      </w:hyperlink>
      <w:r w:rsidRPr="00DE0EC2">
        <w:rPr>
          <w:rStyle w:val="TextoNormalCaracter"/>
        </w:rPr>
        <w:t>, ff. 1 a 4.</w:t>
      </w:r>
    </w:p>
    <w:p w:rsidR="00DE0EC2" w:rsidRPr="00DE0EC2" w:rsidRDefault="00DE0EC2" w:rsidP="00DE0EC2">
      <w:pPr>
        <w:pStyle w:val="TextoNormalSangraFrancesa"/>
        <w:rPr>
          <w:rStyle w:val="TextoNormalCaracter"/>
        </w:rPr>
      </w:pPr>
      <w:bookmarkStart w:id="1041" w:name="DESCRIPTORALFABETICO378"/>
      <w:r w:rsidRPr="00DE0EC2">
        <w:rPr>
          <w:rStyle w:val="TextoNormalNegritaCaracter"/>
        </w:rPr>
        <w:t>Individualización de la pena</w:t>
      </w:r>
      <w:bookmarkEnd w:id="1041"/>
      <w:r w:rsidRPr="00DE0EC2">
        <w:rPr>
          <w:rStyle w:val="TextoNormalCaracter"/>
        </w:rPr>
        <w:t xml:space="preserve">, Sentencias </w:t>
      </w:r>
      <w:hyperlink w:anchor="SENTENCIA_2021_106" w:history="1">
        <w:r w:rsidRPr="00DE0EC2">
          <w:rPr>
            <w:rStyle w:val="TextoNormalCaracter"/>
          </w:rPr>
          <w:t>106/2021</w:t>
        </w:r>
      </w:hyperlink>
      <w:r w:rsidRPr="00DE0EC2">
        <w:rPr>
          <w:rStyle w:val="TextoNormalCaracter"/>
        </w:rPr>
        <w:t xml:space="preserve">, f. 10; </w:t>
      </w:r>
      <w:hyperlink w:anchor="SENTENCIA_2021_121" w:history="1">
        <w:r w:rsidRPr="00DE0EC2">
          <w:rPr>
            <w:rStyle w:val="TextoNormalCaracter"/>
          </w:rPr>
          <w:t>121/2021</w:t>
        </w:r>
      </w:hyperlink>
      <w:r w:rsidRPr="00DE0EC2">
        <w:rPr>
          <w:rStyle w:val="TextoNormalCaracter"/>
        </w:rPr>
        <w:t>, f. 11.</w:t>
      </w:r>
    </w:p>
    <w:p w:rsidR="00DE0EC2" w:rsidRPr="00DE0EC2" w:rsidRDefault="00DE0EC2" w:rsidP="00DE0EC2">
      <w:pPr>
        <w:pStyle w:val="TextoNormalSangraFrancesa"/>
        <w:rPr>
          <w:rStyle w:val="TextoNormalCaracter"/>
        </w:rPr>
      </w:pPr>
      <w:bookmarkStart w:id="1042" w:name="DESCRIPTORALFABETICO63"/>
      <w:r w:rsidRPr="00DE0EC2">
        <w:rPr>
          <w:rStyle w:val="TextoNormalNegritaCaracter"/>
        </w:rPr>
        <w:t>Información de derechos al detenido</w:t>
      </w:r>
      <w:bookmarkEnd w:id="1042"/>
      <w:r w:rsidRPr="00DE0EC2">
        <w:rPr>
          <w:rStyle w:val="TextoNormalCaracter"/>
        </w:rPr>
        <w:t xml:space="preserve">, Sentencia </w:t>
      </w:r>
      <w:hyperlink w:anchor="SENTENCIA_2021_80" w:history="1">
        <w:r w:rsidRPr="00DE0EC2">
          <w:rPr>
            <w:rStyle w:val="TextoNormalCaracter"/>
          </w:rPr>
          <w:t>80/2021</w:t>
        </w:r>
      </w:hyperlink>
      <w:r w:rsidRPr="00DE0EC2">
        <w:rPr>
          <w:rStyle w:val="TextoNormalCaracter"/>
        </w:rPr>
        <w:t>, ff. 3 a 6.</w:t>
      </w:r>
    </w:p>
    <w:p w:rsidR="00DE0EC2" w:rsidRPr="00DE0EC2" w:rsidRDefault="00DE0EC2" w:rsidP="00DE0EC2">
      <w:pPr>
        <w:pStyle w:val="TextoNormalSangraFrancesa"/>
        <w:rPr>
          <w:rStyle w:val="TextoNormalCaracter"/>
        </w:rPr>
      </w:pPr>
      <w:bookmarkStart w:id="1043" w:name="DESCRIPTORALFABETICO380"/>
      <w:r w:rsidRPr="00DE0EC2">
        <w:rPr>
          <w:rStyle w:val="TextoNormalNegritaCaracter"/>
        </w:rPr>
        <w:t>Inhabilitación absoluta</w:t>
      </w:r>
      <w:bookmarkEnd w:id="1043"/>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ff. 1, 10; </w:t>
      </w:r>
      <w:hyperlink w:anchor="SENTENCIA_2021_106" w:history="1">
        <w:r w:rsidRPr="00DE0EC2">
          <w:rPr>
            <w:rStyle w:val="TextoNormalCaracter"/>
          </w:rPr>
          <w:t>106/2021</w:t>
        </w:r>
      </w:hyperlink>
      <w:r w:rsidRPr="00DE0EC2">
        <w:rPr>
          <w:rStyle w:val="TextoNormalCaracter"/>
        </w:rPr>
        <w:t xml:space="preserve">, ff. 1 y 10; </w:t>
      </w:r>
      <w:hyperlink w:anchor="SENTENCIA_2021_121" w:history="1">
        <w:r w:rsidRPr="00DE0EC2">
          <w:rPr>
            <w:rStyle w:val="TextoNormalCaracter"/>
          </w:rPr>
          <w:t>121/2021</w:t>
        </w:r>
      </w:hyperlink>
      <w:r w:rsidRPr="00DE0EC2">
        <w:rPr>
          <w:rStyle w:val="TextoNormalCaracter"/>
        </w:rPr>
        <w:t>, f. 11.</w:t>
      </w:r>
    </w:p>
    <w:p w:rsidR="00DE0EC2" w:rsidRPr="00DE0EC2" w:rsidRDefault="00DE0EC2" w:rsidP="00DE0EC2">
      <w:pPr>
        <w:pStyle w:val="TextoNormalSangraFrancesa"/>
        <w:rPr>
          <w:rStyle w:val="TextoNormalCaracter"/>
        </w:rPr>
      </w:pPr>
      <w:bookmarkStart w:id="1044" w:name="DESCRIPTORALFABETICO381"/>
      <w:r w:rsidRPr="00DE0EC2">
        <w:rPr>
          <w:rStyle w:val="TextoNormalNegritaCaracter"/>
        </w:rPr>
        <w:t>Inhabilitación especial para el derecho de sufragio pasivo</w:t>
      </w:r>
      <w:bookmarkEnd w:id="1044"/>
      <w:r w:rsidRPr="00DE0EC2">
        <w:rPr>
          <w:rStyle w:val="TextoNormalCaracter"/>
        </w:rPr>
        <w:t xml:space="preserve">, Sentencia </w:t>
      </w:r>
      <w:hyperlink w:anchor="SENTENCIA_2021_126" w:history="1">
        <w:r w:rsidRPr="00DE0EC2">
          <w:rPr>
            <w:rStyle w:val="TextoNormalCaracter"/>
          </w:rPr>
          <w:t>126/2021</w:t>
        </w:r>
      </w:hyperlink>
      <w:r w:rsidRPr="00DE0EC2">
        <w:rPr>
          <w:rStyle w:val="TextoNormalCaracter"/>
        </w:rPr>
        <w:t>, f. 5.</w:t>
      </w:r>
    </w:p>
    <w:p w:rsidR="00DE0EC2" w:rsidRPr="00DE0EC2" w:rsidRDefault="00DE0EC2" w:rsidP="00DE0EC2">
      <w:pPr>
        <w:pStyle w:val="TextoNormalSangraFrancesa"/>
        <w:rPr>
          <w:rStyle w:val="TextoNormalCaracter"/>
        </w:rPr>
      </w:pPr>
      <w:bookmarkStart w:id="1045" w:name="DESCRIPTORALFABETICO347"/>
      <w:r w:rsidRPr="00DE0EC2">
        <w:rPr>
          <w:rStyle w:val="TextoNormalNegritaCaracter"/>
        </w:rPr>
        <w:t>Inmunidad de jurisdicción de los organismos internacionales</w:t>
      </w:r>
      <w:bookmarkEnd w:id="1045"/>
      <w:r w:rsidRPr="00DE0EC2">
        <w:rPr>
          <w:rStyle w:val="TextoNormalCaracter"/>
        </w:rPr>
        <w:t xml:space="preserve">, Sentencia </w:t>
      </w:r>
      <w:hyperlink w:anchor="SENTENCIA_2021_120" w:history="1">
        <w:r w:rsidRPr="00DE0EC2">
          <w:rPr>
            <w:rStyle w:val="TextoNormalCaracter"/>
          </w:rPr>
          <w:t>120/2021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046" w:name="DESCRIPTORALFABETICO240"/>
      <w:r w:rsidRPr="00DE0EC2">
        <w:rPr>
          <w:rStyle w:val="TextoNormalNegritaCaracter"/>
        </w:rPr>
        <w:t>Inmunidad parlamentaria</w:t>
      </w:r>
      <w:bookmarkEnd w:id="1046"/>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Doctrina constitucional, </w:t>
      </w:r>
      <w:r w:rsidRPr="00DE0EC2">
        <w:rPr>
          <w:rStyle w:val="TextoNormalCaracter"/>
        </w:rPr>
        <w:t xml:space="preserve">Sentencias </w:t>
      </w:r>
      <w:hyperlink w:anchor="SENTENCIA_2021_70" w:history="1">
        <w:r w:rsidRPr="00DE0EC2">
          <w:rPr>
            <w:rStyle w:val="TextoNormalCaracter"/>
          </w:rPr>
          <w:t>70/2021</w:t>
        </w:r>
      </w:hyperlink>
      <w:r w:rsidRPr="00DE0EC2">
        <w:rPr>
          <w:rStyle w:val="TextoNormalCaracter"/>
        </w:rPr>
        <w:t xml:space="preserve">, ff. 3, 5; </w:t>
      </w:r>
      <w:hyperlink w:anchor="SENTENCIA_2021_71" w:history="1">
        <w:r w:rsidRPr="00DE0EC2">
          <w:rPr>
            <w:rStyle w:val="TextoNormalCaracter"/>
          </w:rPr>
          <w:t>71/2021</w:t>
        </w:r>
      </w:hyperlink>
      <w:r w:rsidRPr="00DE0EC2">
        <w:rPr>
          <w:rStyle w:val="TextoNormalCaracter"/>
        </w:rPr>
        <w:t>, f. 3.</w:t>
      </w:r>
    </w:p>
    <w:p w:rsidR="00DE0EC2" w:rsidRPr="00DE0EC2" w:rsidRDefault="00DE0EC2" w:rsidP="00DE0EC2">
      <w:pPr>
        <w:pStyle w:val="TextoNormalSangraFrancesa"/>
        <w:rPr>
          <w:rStyle w:val="TextoNormalCaracter"/>
        </w:rPr>
      </w:pPr>
      <w:bookmarkStart w:id="1047" w:name="DESCRIPTORALFABETICO77"/>
      <w:r w:rsidRPr="00DE0EC2">
        <w:rPr>
          <w:rStyle w:val="TextoNormalNegritaCaracter"/>
        </w:rPr>
        <w:t>Intangibilidad de las resoluciones judiciales</w:t>
      </w:r>
      <w:bookmarkEnd w:id="1047"/>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95" w:history="1">
        <w:r w:rsidRPr="00DE0EC2">
          <w:rPr>
            <w:rStyle w:val="TextoNormalCaracter"/>
          </w:rPr>
          <w:t>95/2021</w:t>
        </w:r>
      </w:hyperlink>
      <w:r w:rsidRPr="00DE0EC2">
        <w:rPr>
          <w:rStyle w:val="TextoNormalCaracter"/>
        </w:rPr>
        <w:t>, f. 2.</w:t>
      </w:r>
    </w:p>
    <w:p w:rsidR="00DE0EC2" w:rsidRPr="00DE0EC2" w:rsidRDefault="00DE0EC2" w:rsidP="00DE0EC2">
      <w:pPr>
        <w:pStyle w:val="TextoNormalSangraFrancesa"/>
        <w:rPr>
          <w:rStyle w:val="TextoNormalCaracter"/>
        </w:rPr>
      </w:pPr>
      <w:bookmarkStart w:id="1048" w:name="DESCRIPTORALFABETICO78"/>
      <w:r w:rsidRPr="00DE0EC2">
        <w:rPr>
          <w:rStyle w:val="TextoNormalNegritaCaracter"/>
        </w:rPr>
        <w:t>Intangibilidad de las sentencias</w:t>
      </w:r>
      <w:bookmarkEnd w:id="1048"/>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108" w:history="1">
        <w:r w:rsidRPr="00DE0EC2">
          <w:rPr>
            <w:rStyle w:val="TextoNormalCaracter"/>
          </w:rPr>
          <w:t>108/2021</w:t>
        </w:r>
      </w:hyperlink>
      <w:r w:rsidRPr="00DE0EC2">
        <w:rPr>
          <w:rStyle w:val="TextoNormalCaracter"/>
        </w:rPr>
        <w:t xml:space="preserve">, f. 7; </w:t>
      </w:r>
      <w:hyperlink w:anchor="SENTENCIA_2021_135" w:history="1">
        <w:r w:rsidRPr="00DE0EC2">
          <w:rPr>
            <w:rStyle w:val="TextoNormalCaracter"/>
          </w:rPr>
          <w:t>135/2021</w:t>
        </w:r>
      </w:hyperlink>
      <w:r w:rsidRPr="00DE0EC2">
        <w:rPr>
          <w:rStyle w:val="TextoNormalCaracter"/>
        </w:rPr>
        <w:t>, f. 4.</w:t>
      </w:r>
    </w:p>
    <w:p w:rsidR="00DE0EC2" w:rsidRPr="00DE0EC2" w:rsidRDefault="00DE0EC2" w:rsidP="00DE0EC2">
      <w:pPr>
        <w:pStyle w:val="TextoNormalSangraFrancesa"/>
        <w:rPr>
          <w:rStyle w:val="TextoNormalCaracter"/>
        </w:rPr>
      </w:pPr>
      <w:bookmarkStart w:id="1049" w:name="DESCRIPTORALFABETICO266"/>
      <w:r w:rsidRPr="00DE0EC2">
        <w:rPr>
          <w:rStyle w:val="TextoNormalNegritaCaracter"/>
        </w:rPr>
        <w:t>Interés general</w:t>
      </w:r>
      <w:bookmarkEnd w:id="1049"/>
      <w:r w:rsidRPr="00DE0EC2">
        <w:rPr>
          <w:rStyle w:val="TextoNormalCaracter"/>
        </w:rPr>
        <w:t xml:space="preserve">, Sentencia </w:t>
      </w:r>
      <w:hyperlink w:anchor="SENTENCIA_2021_55" w:history="1">
        <w:r w:rsidRPr="00DE0EC2">
          <w:rPr>
            <w:rStyle w:val="TextoNormalCaracter"/>
          </w:rPr>
          <w:t>55/2021</w:t>
        </w:r>
      </w:hyperlink>
      <w:r w:rsidRPr="00DE0EC2">
        <w:rPr>
          <w:rStyle w:val="TextoNormalCaracter"/>
        </w:rPr>
        <w:t>, f. 3.</w:t>
      </w:r>
    </w:p>
    <w:p w:rsidR="00DE0EC2" w:rsidRPr="00DE0EC2" w:rsidRDefault="00DE0EC2" w:rsidP="00DE0EC2">
      <w:pPr>
        <w:pStyle w:val="TextoNormalSangraFrancesa"/>
        <w:rPr>
          <w:rStyle w:val="TextoNormalCaracter"/>
        </w:rPr>
      </w:pPr>
      <w:bookmarkStart w:id="1050" w:name="DESCRIPTORALFABETICO140"/>
      <w:r w:rsidRPr="00DE0EC2">
        <w:rPr>
          <w:rStyle w:val="TextoNormalNegritaCaracter"/>
        </w:rPr>
        <w:t>Interés público como límite para el ejercicio de derechos fundamentales</w:t>
      </w:r>
      <w:bookmarkEnd w:id="1050"/>
      <w:r w:rsidRPr="00DE0EC2">
        <w:rPr>
          <w:rStyle w:val="TextoNormalCaracter"/>
        </w:rPr>
        <w:t xml:space="preserve">, Sentencia </w:t>
      </w:r>
      <w:hyperlink w:anchor="SENTENCIA_2021_5" w:history="1">
        <w:r w:rsidRPr="00DE0EC2">
          <w:rPr>
            <w:rStyle w:val="TextoNormalCaracter"/>
          </w:rPr>
          <w:t>5/2021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1051" w:name="DESCRIPTORALFABETICO387"/>
      <w:r w:rsidRPr="00DE0EC2">
        <w:rPr>
          <w:rStyle w:val="TextoNormalNegritaCaracter"/>
        </w:rPr>
        <w:t>Interés superior del menor</w:t>
      </w:r>
      <w:bookmarkEnd w:id="1051"/>
      <w:r w:rsidRPr="00DE0EC2">
        <w:rPr>
          <w:rStyle w:val="TextoNormalCaracter"/>
        </w:rPr>
        <w:t xml:space="preserve">, Sentencias </w:t>
      </w:r>
      <w:hyperlink w:anchor="SENTENCIA_2021_81" w:history="1">
        <w:r w:rsidRPr="00DE0EC2">
          <w:rPr>
            <w:rStyle w:val="TextoNormalCaracter"/>
          </w:rPr>
          <w:t>81/2021</w:t>
        </w:r>
      </w:hyperlink>
      <w:r w:rsidRPr="00DE0EC2">
        <w:rPr>
          <w:rStyle w:val="TextoNormalCaracter"/>
        </w:rPr>
        <w:t xml:space="preserve">, 2 a 4; </w:t>
      </w:r>
      <w:hyperlink w:anchor="SENTENCIA_2021_113" w:history="1">
        <w:r w:rsidRPr="00DE0EC2">
          <w:rPr>
            <w:rStyle w:val="TextoNormalCaracter"/>
          </w:rPr>
          <w:t>113/2021</w:t>
        </w:r>
      </w:hyperlink>
      <w:r w:rsidRPr="00DE0EC2">
        <w:rPr>
          <w:rStyle w:val="TextoNormalCaracter"/>
        </w:rPr>
        <w:t>, f. 2 y VP I.</w:t>
      </w:r>
    </w:p>
    <w:p w:rsidR="00DE0EC2" w:rsidRPr="00DE0EC2" w:rsidRDefault="00DE0EC2" w:rsidP="00DE0EC2">
      <w:pPr>
        <w:pStyle w:val="TextoNormalSangraFrancesa"/>
        <w:rPr>
          <w:rStyle w:val="TextoNormalCaracter"/>
        </w:rPr>
      </w:pPr>
      <w:bookmarkStart w:id="1052" w:name="DESCRIPTORALFABETICO371"/>
      <w:r w:rsidRPr="00DE0EC2">
        <w:rPr>
          <w:rStyle w:val="TextoNormalNegritaCaracter"/>
        </w:rPr>
        <w:t>Interpretación de normas procesales</w:t>
      </w:r>
      <w:bookmarkEnd w:id="1052"/>
      <w:r w:rsidRPr="00DE0EC2">
        <w:rPr>
          <w:rStyle w:val="TextoNormalCaracter"/>
        </w:rPr>
        <w:t xml:space="preserve">, Sentencia </w:t>
      </w:r>
      <w:hyperlink w:anchor="SENTENCIA_2021_63" w:history="1">
        <w:r w:rsidRPr="00DE0EC2">
          <w:rPr>
            <w:rStyle w:val="TextoNormalCaracter"/>
          </w:rPr>
          <w:t>63/2021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053" w:name="DESCRIPTORALFABETICO139"/>
      <w:r w:rsidRPr="00DE0EC2">
        <w:rPr>
          <w:rStyle w:val="TextoNormalNegritaCaracter"/>
        </w:rPr>
        <w:t>Interpretación restrictiva de la limitación de derechos fundamentales</w:t>
      </w:r>
      <w:bookmarkEnd w:id="1053"/>
      <w:r w:rsidRPr="00DE0EC2">
        <w:rPr>
          <w:rStyle w:val="TextoNormalCaracter"/>
        </w:rPr>
        <w:t xml:space="preserve">, Sentencias </w:t>
      </w:r>
      <w:hyperlink w:anchor="SENTENCIA_2021_122" w:history="1">
        <w:r w:rsidRPr="00DE0EC2">
          <w:rPr>
            <w:rStyle w:val="TextoNormalCaracter"/>
          </w:rPr>
          <w:t>122/2021</w:t>
        </w:r>
      </w:hyperlink>
      <w:r w:rsidRPr="00DE0EC2">
        <w:rPr>
          <w:rStyle w:val="TextoNormalCaracter"/>
        </w:rPr>
        <w:t xml:space="preserve">, f. 11; </w:t>
      </w:r>
      <w:hyperlink w:anchor="SENTENCIA_2021_133" w:history="1">
        <w:r w:rsidRPr="00DE0EC2">
          <w:rPr>
            <w:rStyle w:val="TextoNormalCaracter"/>
          </w:rPr>
          <w:t>133/2021</w:t>
        </w:r>
      </w:hyperlink>
      <w:r w:rsidRPr="00DE0EC2">
        <w:rPr>
          <w:rStyle w:val="TextoNormalCaracter"/>
        </w:rPr>
        <w:t>, f. 4, VP II.</w:t>
      </w:r>
    </w:p>
    <w:p w:rsidR="00DE0EC2" w:rsidRPr="00DE0EC2" w:rsidRDefault="00DE0EC2" w:rsidP="00DE0EC2">
      <w:pPr>
        <w:pStyle w:val="TextoNormalSangraFrancesa"/>
        <w:rPr>
          <w:rStyle w:val="TextoNormalCaracter"/>
        </w:rPr>
      </w:pPr>
      <w:bookmarkStart w:id="1054" w:name="DESCRIPTORALFABETICO442"/>
      <w:r w:rsidRPr="00DE0EC2">
        <w:rPr>
          <w:rStyle w:val="TextoNormalNegritaCaracter"/>
        </w:rPr>
        <w:t>Interrogatorio de testigos</w:t>
      </w:r>
      <w:bookmarkEnd w:id="1054"/>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5; </w:t>
      </w:r>
      <w:hyperlink w:anchor="SENTENCIA_2021_106" w:history="1">
        <w:r w:rsidRPr="00DE0EC2">
          <w:rPr>
            <w:rStyle w:val="TextoNormalCaracter"/>
          </w:rPr>
          <w:t>106/2021</w:t>
        </w:r>
      </w:hyperlink>
      <w:r w:rsidRPr="00DE0EC2">
        <w:rPr>
          <w:rStyle w:val="TextoNormalCaracter"/>
        </w:rPr>
        <w:t xml:space="preserve">, f. 5; </w:t>
      </w:r>
      <w:hyperlink w:anchor="SENTENCIA_2021_121" w:history="1">
        <w:r w:rsidRPr="00DE0EC2">
          <w:rPr>
            <w:rStyle w:val="TextoNormalCaracter"/>
          </w:rPr>
          <w:t>121/2021</w:t>
        </w:r>
      </w:hyperlink>
      <w:r w:rsidRPr="00DE0EC2">
        <w:rPr>
          <w:rStyle w:val="TextoNormalCaracter"/>
        </w:rPr>
        <w:t xml:space="preserve">, f. 8; </w:t>
      </w:r>
      <w:hyperlink w:anchor="SENTENCIA_2021_122" w:history="1">
        <w:r w:rsidRPr="00DE0EC2">
          <w:rPr>
            <w:rStyle w:val="TextoNormalCaracter"/>
          </w:rPr>
          <w:t>122/2021</w:t>
        </w:r>
      </w:hyperlink>
      <w:r w:rsidRPr="00DE0EC2">
        <w:rPr>
          <w:rStyle w:val="TextoNormalCaracter"/>
        </w:rPr>
        <w:t>, f. 6.</w:t>
      </w:r>
    </w:p>
    <w:p w:rsidR="00DE0EC2" w:rsidRPr="00DE0EC2" w:rsidRDefault="00DE0EC2" w:rsidP="00DE0EC2">
      <w:pPr>
        <w:pStyle w:val="TextoNormalSangraFrancesa"/>
        <w:rPr>
          <w:rStyle w:val="TextoNormalCaracter"/>
        </w:rPr>
      </w:pPr>
      <w:bookmarkStart w:id="1055" w:name="DESCRIPTORALFABETICO121"/>
      <w:r w:rsidRPr="00DE0EC2">
        <w:rPr>
          <w:rStyle w:val="TextoNormalNegritaCaracter"/>
        </w:rPr>
        <w:t>Intervención de las comunicaciones</w:t>
      </w:r>
      <w:bookmarkEnd w:id="1055"/>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Límites, </w:t>
      </w:r>
      <w:r w:rsidRPr="00DE0EC2">
        <w:rPr>
          <w:rStyle w:val="TextoNormalCaracter"/>
        </w:rPr>
        <w:t xml:space="preserve">Sentencia </w:t>
      </w:r>
      <w:hyperlink w:anchor="SENTENCIA_2021_99" w:history="1">
        <w:r w:rsidRPr="00DE0EC2">
          <w:rPr>
            <w:rStyle w:val="TextoNormalCaracter"/>
          </w:rPr>
          <w:t>99/2021</w:t>
        </w:r>
      </w:hyperlink>
      <w:r w:rsidRPr="00DE0EC2">
        <w:rPr>
          <w:rStyle w:val="TextoNormalCaracter"/>
        </w:rPr>
        <w:t>, f. 3.</w:t>
      </w:r>
    </w:p>
    <w:p w:rsidR="00DE0EC2" w:rsidRPr="00DE0EC2" w:rsidRDefault="00DE0EC2" w:rsidP="00DE0EC2">
      <w:pPr>
        <w:pStyle w:val="TextoNormalSangraFrancesa"/>
        <w:rPr>
          <w:rStyle w:val="TextoNormalCaracter"/>
        </w:rPr>
      </w:pPr>
      <w:bookmarkStart w:id="1056" w:name="DESCRIPTORALFABETICO158"/>
      <w:r w:rsidRPr="00DE0EC2">
        <w:rPr>
          <w:rStyle w:val="TextoNormalNegritaCaracter"/>
        </w:rPr>
        <w:t>Intervención preceptiva de procurador y abogado en procesos constitucionales</w:t>
      </w:r>
      <w:bookmarkEnd w:id="1056"/>
      <w:r w:rsidRPr="00DE0EC2">
        <w:rPr>
          <w:rStyle w:val="TextoNormalCaracter"/>
        </w:rPr>
        <w:t xml:space="preserve">, Auto </w:t>
      </w:r>
      <w:hyperlink w:anchor="AUTO_2021_62" w:history="1">
        <w:r w:rsidRPr="00DE0EC2">
          <w:rPr>
            <w:rStyle w:val="TextoNormalCaracter"/>
          </w:rPr>
          <w:t>62/2021</w:t>
        </w:r>
      </w:hyperlink>
      <w:r w:rsidRPr="00DE0EC2">
        <w:rPr>
          <w:rStyle w:val="TextoNormalCaracter"/>
        </w:rPr>
        <w:t>.</w:t>
      </w:r>
    </w:p>
    <w:p w:rsidR="00DE0EC2" w:rsidRPr="00DE0EC2" w:rsidRDefault="00DE0EC2" w:rsidP="00DE0EC2">
      <w:pPr>
        <w:pStyle w:val="TextoNormalSangraFrancesa"/>
        <w:rPr>
          <w:rStyle w:val="TextoNormalCaracter"/>
        </w:rPr>
      </w:pPr>
      <w:bookmarkStart w:id="1057" w:name="DESCRIPTORALFABETICO59"/>
      <w:r w:rsidRPr="00DE0EC2">
        <w:rPr>
          <w:rStyle w:val="TextoNormalNegritaCaracter"/>
        </w:rPr>
        <w:t>Intimidad corporal</w:t>
      </w:r>
      <w:bookmarkEnd w:id="1057"/>
      <w:r w:rsidRPr="00DE0EC2">
        <w:rPr>
          <w:rStyle w:val="TextoNormalCaracter"/>
        </w:rPr>
        <w:t xml:space="preserve">, Sentencia </w:t>
      </w:r>
      <w:hyperlink w:anchor="SENTENCIA_2021_13" w:history="1">
        <w:r w:rsidRPr="00DE0EC2">
          <w:rPr>
            <w:rStyle w:val="TextoNormalCaracter"/>
          </w:rPr>
          <w:t>13/2021</w:t>
        </w:r>
      </w:hyperlink>
      <w:r w:rsidRPr="00DE0EC2">
        <w:rPr>
          <w:rStyle w:val="TextoNormalCaracter"/>
        </w:rPr>
        <w:t>, f. 3, VP II.</w:t>
      </w:r>
    </w:p>
    <w:p w:rsidR="00DE0EC2" w:rsidRPr="00DE0EC2" w:rsidRDefault="00DE0EC2" w:rsidP="00DE0EC2">
      <w:pPr>
        <w:pStyle w:val="TextoNormalSangraFrancesa"/>
        <w:rPr>
          <w:rStyle w:val="TextoNormalCaracter"/>
        </w:rPr>
      </w:pPr>
      <w:bookmarkStart w:id="1058" w:name="DESCRIPTORALFABETICO484"/>
      <w:r w:rsidRPr="00DE0EC2">
        <w:rPr>
          <w:rStyle w:val="TextoNormalNegritaCaracter"/>
        </w:rPr>
        <w:t>Investigación judicial</w:t>
      </w:r>
      <w:bookmarkEnd w:id="1058"/>
      <w:r w:rsidRPr="00DE0EC2">
        <w:rPr>
          <w:rStyle w:val="TextoNormalCaracter"/>
        </w:rPr>
        <w:t xml:space="preserve">, Sentencias </w:t>
      </w:r>
      <w:hyperlink w:anchor="SENTENCIA_2021_108" w:history="1">
        <w:r w:rsidRPr="00DE0EC2">
          <w:rPr>
            <w:rStyle w:val="TextoNormalCaracter"/>
          </w:rPr>
          <w:t>108/2021</w:t>
        </w:r>
      </w:hyperlink>
      <w:r w:rsidRPr="00DE0EC2">
        <w:rPr>
          <w:rStyle w:val="TextoNormalCaracter"/>
        </w:rPr>
        <w:t xml:space="preserve">, ff. 4, 5; </w:t>
      </w:r>
      <w:hyperlink w:anchor="SENTENCIA_2021_135" w:history="1">
        <w:r w:rsidRPr="00DE0EC2">
          <w:rPr>
            <w:rStyle w:val="TextoNormalCaracter"/>
          </w:rPr>
          <w:t>135/2021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059" w:name="DESCRIPTORALFABETICO79"/>
      <w:r w:rsidRPr="00DE0EC2">
        <w:rPr>
          <w:rStyle w:val="TextoNormalNegritaCaracter"/>
        </w:rPr>
        <w:t>Irrazonabilidad de las resoluciones judiciales</w:t>
      </w:r>
      <w:bookmarkEnd w:id="1059"/>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95" w:history="1">
        <w:r w:rsidRPr="00DE0EC2">
          <w:rPr>
            <w:rStyle w:val="TextoNormalCaracter"/>
          </w:rPr>
          <w:t>95/2021</w:t>
        </w:r>
      </w:hyperlink>
      <w:r w:rsidRPr="00DE0EC2">
        <w:rPr>
          <w:rStyle w:val="TextoNormalCaracter"/>
        </w:rPr>
        <w:t xml:space="preserve">, f. 3; </w:t>
      </w:r>
      <w:hyperlink w:anchor="SENTENCIA_2021_113" w:history="1">
        <w:r w:rsidRPr="00DE0EC2">
          <w:rPr>
            <w:rStyle w:val="TextoNormalCaracter"/>
          </w:rPr>
          <w:t>113/2021</w:t>
        </w:r>
      </w:hyperlink>
      <w:r w:rsidRPr="00DE0EC2">
        <w:rPr>
          <w:rStyle w:val="TextoNormalCaracter"/>
        </w:rPr>
        <w:t>, ff. 2, 3 y VP I.</w:t>
      </w:r>
    </w:p>
    <w:p w:rsidR="00DE0EC2" w:rsidRPr="00DE0EC2" w:rsidRDefault="00DE0EC2" w:rsidP="00DE0EC2">
      <w:pPr>
        <w:pStyle w:val="TextoNormalSangraFrancesa"/>
        <w:rPr>
          <w:rStyle w:val="TextoNormalCaracter"/>
        </w:rPr>
      </w:pPr>
      <w:bookmarkStart w:id="1060" w:name="DESCRIPTORALFABETICO80"/>
      <w:r w:rsidRPr="00DE0EC2">
        <w:rPr>
          <w:rStyle w:val="TextoNormalNegritaCaracter"/>
        </w:rPr>
        <w:t>Irrazonabilidad de las sentencias</w:t>
      </w:r>
      <w:bookmarkEnd w:id="1060"/>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 </w:t>
      </w:r>
      <w:hyperlink w:anchor="SENTENCIA_2021_17" w:history="1">
        <w:r w:rsidRPr="00DE0EC2">
          <w:rPr>
            <w:rStyle w:val="TextoNormalCaracter"/>
          </w:rPr>
          <w:t>17/2021</w:t>
        </w:r>
      </w:hyperlink>
      <w:r w:rsidRPr="00DE0EC2">
        <w:rPr>
          <w:rStyle w:val="TextoNormalCaracter"/>
        </w:rPr>
        <w:t>, f. 3.</w:t>
      </w:r>
    </w:p>
    <w:p w:rsidR="00DE0EC2" w:rsidRPr="00DE0EC2" w:rsidRDefault="00DE0EC2" w:rsidP="00DE0EC2">
      <w:pPr>
        <w:pStyle w:val="TextoNormalSangraFrancesa"/>
        <w:rPr>
          <w:rStyle w:val="TextoNormalCaracter"/>
        </w:rPr>
      </w:pPr>
      <w:bookmarkStart w:id="1061" w:name="DESCRIPTORALFABETICO354"/>
      <w:r w:rsidRPr="00DE0EC2">
        <w:rPr>
          <w:rStyle w:val="TextoNormalNegritaCaracter"/>
          <w:i/>
        </w:rPr>
        <w:t>Ius puniendi</w:t>
      </w:r>
      <w:bookmarkEnd w:id="1061"/>
      <w:r w:rsidRPr="00DE0EC2">
        <w:rPr>
          <w:rStyle w:val="TextoNormalCaracter"/>
        </w:rPr>
        <w:t xml:space="preserve">, Sentencia </w:t>
      </w:r>
      <w:hyperlink w:anchor="SENTENCIA_2021_133" w:history="1">
        <w:r w:rsidRPr="00DE0EC2">
          <w:rPr>
            <w:rStyle w:val="TextoNormalCaracter"/>
          </w:rPr>
          <w:t>133/2021</w:t>
        </w:r>
      </w:hyperlink>
      <w:r w:rsidRPr="00DE0EC2">
        <w:rPr>
          <w:rStyle w:val="TextoNormalCaracter"/>
        </w:rPr>
        <w:t>, VP III.</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J</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062" w:name="DESCRIPTORALFABETICO180"/>
      <w:r w:rsidRPr="00DE0EC2">
        <w:rPr>
          <w:rStyle w:val="TextoNormalNegritaCaracter"/>
        </w:rPr>
        <w:t>Juicio de aplicabilidad</w:t>
      </w:r>
      <w:bookmarkEnd w:id="1062"/>
      <w:r w:rsidRPr="00DE0EC2">
        <w:rPr>
          <w:rStyle w:val="TextoNormalCaracter"/>
        </w:rPr>
        <w:t xml:space="preserve">, Autos </w:t>
      </w:r>
      <w:hyperlink w:anchor="AUTO_2021_5" w:history="1">
        <w:r w:rsidRPr="00DE0EC2">
          <w:rPr>
            <w:rStyle w:val="TextoNormalCaracter"/>
          </w:rPr>
          <w:t>5/2021</w:t>
        </w:r>
      </w:hyperlink>
      <w:r w:rsidRPr="00DE0EC2">
        <w:rPr>
          <w:rStyle w:val="TextoNormalCaracter"/>
        </w:rPr>
        <w:t xml:space="preserve">, f. único; </w:t>
      </w:r>
      <w:hyperlink w:anchor="AUTO_2021_6" w:history="1">
        <w:r w:rsidRPr="00DE0EC2">
          <w:rPr>
            <w:rStyle w:val="TextoNormalCaracter"/>
          </w:rPr>
          <w:t>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063" w:name="DESCRIPTORALFABETICO471"/>
      <w:r w:rsidRPr="00DE0EC2">
        <w:rPr>
          <w:rStyle w:val="TextoNormalNegritaCaracter"/>
        </w:rPr>
        <w:t>Juicio de desahucio</w:t>
      </w:r>
      <w:bookmarkEnd w:id="1063"/>
      <w:r w:rsidRPr="00DE0EC2">
        <w:rPr>
          <w:rStyle w:val="TextoNormalCaracter"/>
        </w:rPr>
        <w:t xml:space="preserve">, Sentencia </w:t>
      </w:r>
      <w:hyperlink w:anchor="SENTENCIA_2021_82" w:history="1">
        <w:r w:rsidRPr="00DE0EC2">
          <w:rPr>
            <w:rStyle w:val="TextoNormalCaracter"/>
          </w:rPr>
          <w:t>82/2021</w:t>
        </w:r>
      </w:hyperlink>
      <w:r w:rsidRPr="00DE0EC2">
        <w:rPr>
          <w:rStyle w:val="TextoNormalCaracter"/>
        </w:rPr>
        <w:t>, f. 1.</w:t>
      </w:r>
    </w:p>
    <w:p w:rsidR="00DE0EC2" w:rsidRPr="00DE0EC2" w:rsidRDefault="00DE0EC2" w:rsidP="00DE0EC2">
      <w:pPr>
        <w:pStyle w:val="TextoNormalSangraFrancesa"/>
        <w:rPr>
          <w:rStyle w:val="TextoNormalCaracter"/>
        </w:rPr>
      </w:pPr>
      <w:bookmarkStart w:id="1064" w:name="DESCRIPTORALFABETICO260"/>
      <w:r w:rsidRPr="00DE0EC2">
        <w:rPr>
          <w:rStyle w:val="TextoNormalNegritaCaracter"/>
        </w:rPr>
        <w:t>Juicio de razonabilidad</w:t>
      </w:r>
      <w:bookmarkEnd w:id="1064"/>
      <w:r w:rsidRPr="00DE0EC2">
        <w:rPr>
          <w:rStyle w:val="TextoNormalCaracter"/>
        </w:rPr>
        <w:t xml:space="preserve">, Sentencia </w:t>
      </w:r>
      <w:hyperlink w:anchor="SENTENCIA_2021_99" w:history="1">
        <w:r w:rsidRPr="00DE0EC2">
          <w:rPr>
            <w:rStyle w:val="TextoNormalCaracter"/>
          </w:rPr>
          <w:t>99/2021</w:t>
        </w:r>
      </w:hyperlink>
      <w:r w:rsidRPr="00DE0EC2">
        <w:rPr>
          <w:rStyle w:val="TextoNormalCaracter"/>
        </w:rPr>
        <w:t>, ff. 5, 6, 9.</w:t>
      </w:r>
    </w:p>
    <w:p w:rsidR="00DE0EC2" w:rsidRPr="00DE0EC2" w:rsidRDefault="00DE0EC2" w:rsidP="00DE0EC2">
      <w:pPr>
        <w:pStyle w:val="TextoNormalSangraFrancesa"/>
        <w:rPr>
          <w:rStyle w:val="TextoNormalCaracter"/>
        </w:rPr>
      </w:pPr>
      <w:bookmarkStart w:id="1065" w:name="DESCRIPTORALFABETICO472"/>
      <w:r w:rsidRPr="00DE0EC2">
        <w:rPr>
          <w:rStyle w:val="TextoNormalNegritaCaracter"/>
        </w:rPr>
        <w:t>Juicio verbal de desahucio</w:t>
      </w:r>
      <w:bookmarkEnd w:id="1065"/>
      <w:r w:rsidRPr="00DE0EC2">
        <w:rPr>
          <w:rStyle w:val="TextoNormalCaracter"/>
        </w:rPr>
        <w:t xml:space="preserve">, Sentencias </w:t>
      </w:r>
      <w:hyperlink w:anchor="SENTENCIA_2021_94" w:history="1">
        <w:r w:rsidRPr="00DE0EC2">
          <w:rPr>
            <w:rStyle w:val="TextoNormalCaracter"/>
          </w:rPr>
          <w:t>94/2021</w:t>
        </w:r>
      </w:hyperlink>
      <w:r w:rsidRPr="00DE0EC2">
        <w:rPr>
          <w:rStyle w:val="TextoNormalCaracter"/>
        </w:rPr>
        <w:t xml:space="preserve">, f. 3; </w:t>
      </w:r>
      <w:hyperlink w:anchor="SENTENCIA_2021_97" w:history="1">
        <w:r w:rsidRPr="00DE0EC2">
          <w:rPr>
            <w:rStyle w:val="TextoNormalCaracter"/>
          </w:rPr>
          <w:t>97/2021</w:t>
        </w:r>
      </w:hyperlink>
      <w:r w:rsidRPr="00DE0EC2">
        <w:rPr>
          <w:rStyle w:val="TextoNormalCaracter"/>
        </w:rPr>
        <w:t>, ff. 1, 2.</w:t>
      </w:r>
    </w:p>
    <w:p w:rsidR="00DE0EC2" w:rsidRPr="00DE0EC2" w:rsidRDefault="00DE0EC2" w:rsidP="00DE0EC2">
      <w:pPr>
        <w:pStyle w:val="TextoNormalSangraFrancesa"/>
        <w:rPr>
          <w:rStyle w:val="TextoNormalCaracter"/>
        </w:rPr>
      </w:pPr>
      <w:bookmarkStart w:id="1066" w:name="DESCRIPTORALFABETICO244"/>
      <w:r w:rsidRPr="00DE0EC2">
        <w:rPr>
          <w:rStyle w:val="TextoNormalNegritaCaracter"/>
        </w:rPr>
        <w:t>Junta General del Principado de Asturias</w:t>
      </w:r>
      <w:bookmarkEnd w:id="1066"/>
      <w:r w:rsidRPr="00DE0EC2">
        <w:rPr>
          <w:rStyle w:val="TextoNormalCaracter"/>
        </w:rPr>
        <w:t xml:space="preserve">, Sentencia </w:t>
      </w:r>
      <w:hyperlink w:anchor="SENTENCIA_2021_75" w:history="1">
        <w:r w:rsidRPr="00DE0EC2">
          <w:rPr>
            <w:rStyle w:val="TextoNormalCaracter"/>
          </w:rPr>
          <w:t>75/2021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1067" w:name="DESCRIPTORALFABETICO447"/>
      <w:r w:rsidRPr="00DE0EC2">
        <w:rPr>
          <w:rStyle w:val="TextoNormalNegritaCaracter"/>
        </w:rPr>
        <w:t>Justicia gratuita</w:t>
      </w:r>
      <w:bookmarkEnd w:id="1067"/>
      <w:r w:rsidRPr="00DE0EC2">
        <w:rPr>
          <w:rStyle w:val="TextoNormalCaracter"/>
        </w:rPr>
        <w:t xml:space="preserve">, Sentencia </w:t>
      </w:r>
      <w:hyperlink w:anchor="SENTENCIA_2021_29" w:history="1">
        <w:r w:rsidRPr="00DE0EC2">
          <w:rPr>
            <w:rStyle w:val="TextoNormalCaracter"/>
          </w:rPr>
          <w:t>29/2021</w:t>
        </w:r>
      </w:hyperlink>
      <w:r w:rsidRPr="00DE0EC2">
        <w:rPr>
          <w:rStyle w:val="TextoNormalCaracter"/>
        </w:rPr>
        <w:t>, ff. 4, 5.</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L</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068" w:name="DESCRIPTORALFABETICO372"/>
      <w:r w:rsidRPr="00DE0EC2">
        <w:rPr>
          <w:rStyle w:val="TextoNormalNegritaCaracter"/>
        </w:rPr>
        <w:t>Lagunas legales</w:t>
      </w:r>
      <w:bookmarkEnd w:id="1068"/>
      <w:r w:rsidRPr="00DE0EC2">
        <w:rPr>
          <w:rStyle w:val="TextoNormalCaracter"/>
        </w:rPr>
        <w:t xml:space="preserve">, Sentencia </w:t>
      </w:r>
      <w:hyperlink w:anchor="SENTENCIA_2021_126" w:history="1">
        <w:r w:rsidRPr="00DE0EC2">
          <w:rPr>
            <w:rStyle w:val="TextoNormalCaracter"/>
          </w:rPr>
          <w:t>126/2021</w:t>
        </w:r>
      </w:hyperlink>
      <w:r w:rsidRPr="00DE0EC2">
        <w:rPr>
          <w:rStyle w:val="TextoNormalCaracter"/>
        </w:rPr>
        <w:t>, ff. 6, 7.</w:t>
      </w:r>
    </w:p>
    <w:p w:rsidR="00DE0EC2" w:rsidRPr="00DE0EC2" w:rsidRDefault="00DE0EC2" w:rsidP="00DE0EC2">
      <w:pPr>
        <w:pStyle w:val="TextoNormalSangraFrancesa"/>
        <w:rPr>
          <w:rStyle w:val="TextoNormalCaracter"/>
        </w:rPr>
      </w:pPr>
      <w:bookmarkStart w:id="1069" w:name="DESCRIPTORALFABETICO435"/>
      <w:r w:rsidRPr="00DE0EC2">
        <w:rPr>
          <w:rStyle w:val="TextoNormalNegritaCaracter"/>
        </w:rPr>
        <w:t>Lanzamiento de vivienda</w:t>
      </w:r>
      <w:bookmarkEnd w:id="1069"/>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Suspende, </w:t>
      </w:r>
      <w:r w:rsidRPr="00DE0EC2">
        <w:rPr>
          <w:rStyle w:val="TextoNormalCaracter"/>
        </w:rPr>
        <w:t xml:space="preserve">Auto </w:t>
      </w:r>
      <w:hyperlink w:anchor="AUTO_2021_44" w:history="1">
        <w:r w:rsidRPr="00DE0EC2">
          <w:rPr>
            <w:rStyle w:val="TextoNormalCaracter"/>
          </w:rPr>
          <w:t>44/2021</w:t>
        </w:r>
      </w:hyperlink>
      <w:r w:rsidRPr="00DE0EC2">
        <w:rPr>
          <w:rStyle w:val="TextoNormalCaracter"/>
        </w:rPr>
        <w:t>.</w:t>
      </w:r>
    </w:p>
    <w:p w:rsidR="00DE0EC2" w:rsidRPr="00DE0EC2" w:rsidRDefault="00DE0EC2" w:rsidP="00DE0EC2">
      <w:pPr>
        <w:pStyle w:val="TextoNormalSangraFrancesa"/>
        <w:rPr>
          <w:rStyle w:val="TextoNormalCaracter"/>
        </w:rPr>
      </w:pPr>
      <w:bookmarkStart w:id="1070" w:name="DESCRIPTORALFABETICO276"/>
      <w:r w:rsidRPr="00DE0EC2">
        <w:rPr>
          <w:rStyle w:val="TextoNormalNegritaCaracter"/>
        </w:rPr>
        <w:t>Laudo arbitral</w:t>
      </w:r>
      <w:bookmarkEnd w:id="1070"/>
      <w:r w:rsidRPr="00DE0EC2">
        <w:rPr>
          <w:rStyle w:val="TextoNormalCaracter"/>
        </w:rPr>
        <w:t xml:space="preserve">, Sentencia </w:t>
      </w:r>
      <w:hyperlink w:anchor="SENTENCIA_2021_17" w:history="1">
        <w:r w:rsidRPr="00DE0EC2">
          <w:rPr>
            <w:rStyle w:val="TextoNormalCaracter"/>
          </w:rPr>
          <w:t>17/2021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1071" w:name="DESCRIPTORALFABETICO364"/>
      <w:r w:rsidRPr="00DE0EC2">
        <w:rPr>
          <w:rStyle w:val="TextoNormalNegritaCaracter"/>
        </w:rPr>
        <w:t>Legislación penal</w:t>
      </w:r>
      <w:bookmarkEnd w:id="1071"/>
      <w:r w:rsidRPr="00DE0EC2">
        <w:rPr>
          <w:rStyle w:val="TextoNormalCaracter"/>
        </w:rPr>
        <w:t xml:space="preserve">, Sentencia </w:t>
      </w:r>
      <w:hyperlink w:anchor="SENTENCIA_2021_126" w:history="1">
        <w:r w:rsidRPr="00DE0EC2">
          <w:rPr>
            <w:rStyle w:val="TextoNormalCaracter"/>
          </w:rPr>
          <w:t>126/2021</w:t>
        </w:r>
      </w:hyperlink>
      <w:r w:rsidRPr="00DE0EC2">
        <w:rPr>
          <w:rStyle w:val="TextoNormalCaracter"/>
        </w:rPr>
        <w:t>, ff. 4 a 7.</w:t>
      </w:r>
    </w:p>
    <w:p w:rsidR="00DE0EC2" w:rsidRPr="00DE0EC2" w:rsidRDefault="00DE0EC2" w:rsidP="00DE0EC2">
      <w:pPr>
        <w:pStyle w:val="TextoNormalSangraFrancesa"/>
        <w:rPr>
          <w:rStyle w:val="TextoNormalCaracter"/>
        </w:rPr>
      </w:pPr>
      <w:bookmarkStart w:id="1072" w:name="DESCRIPTORALFABETICO365"/>
      <w:r w:rsidRPr="00DE0EC2">
        <w:rPr>
          <w:rStyle w:val="TextoNormalNegritaCaracter"/>
        </w:rPr>
        <w:t>Legislación procesal penal</w:t>
      </w:r>
      <w:bookmarkEnd w:id="1072"/>
      <w:r w:rsidRPr="00DE0EC2">
        <w:rPr>
          <w:rStyle w:val="TextoNormalCaracter"/>
        </w:rPr>
        <w:t xml:space="preserve">, Sentencias </w:t>
      </w:r>
      <w:hyperlink w:anchor="SENTENCIA_2021_69" w:history="1">
        <w:r w:rsidRPr="00DE0EC2">
          <w:rPr>
            <w:rStyle w:val="TextoNormalCaracter"/>
          </w:rPr>
          <w:t>69/2021</w:t>
        </w:r>
      </w:hyperlink>
      <w:r w:rsidRPr="00DE0EC2">
        <w:rPr>
          <w:rStyle w:val="TextoNormalCaracter"/>
        </w:rPr>
        <w:t xml:space="preserve">, ff. 2, 3 y 5; </w:t>
      </w:r>
      <w:hyperlink w:anchor="SENTENCIA_2021_90" w:history="1">
        <w:r w:rsidRPr="00DE0EC2">
          <w:rPr>
            <w:rStyle w:val="TextoNormalCaracter"/>
          </w:rPr>
          <w:t>90/2021</w:t>
        </w:r>
      </w:hyperlink>
      <w:r w:rsidRPr="00DE0EC2">
        <w:rPr>
          <w:rStyle w:val="TextoNormalCaracter"/>
        </w:rPr>
        <w:t>, f. 4.</w:t>
      </w:r>
    </w:p>
    <w:p w:rsidR="00DE0EC2" w:rsidRPr="00DE0EC2" w:rsidRDefault="00DE0EC2" w:rsidP="00DE0EC2">
      <w:pPr>
        <w:pStyle w:val="TextoNormalSangraFrancesa"/>
        <w:rPr>
          <w:rStyle w:val="TextoNormalCaracter"/>
        </w:rPr>
      </w:pPr>
      <w:bookmarkStart w:id="1073" w:name="DESCRIPTORALFABETICO189"/>
      <w:r w:rsidRPr="00DE0EC2">
        <w:rPr>
          <w:rStyle w:val="TextoNormalNegritaCaracter"/>
        </w:rPr>
        <w:t>Legitimación activa en el recurso de amparo</w:t>
      </w:r>
      <w:bookmarkEnd w:id="1073"/>
      <w:r w:rsidRPr="00DE0EC2">
        <w:rPr>
          <w:rStyle w:val="TextoNormalCaracter"/>
        </w:rPr>
        <w:t xml:space="preserve">, Sentencia </w:t>
      </w:r>
      <w:hyperlink w:anchor="SENTENCIA_2021_70" w:history="1">
        <w:r w:rsidRPr="00DE0EC2">
          <w:rPr>
            <w:rStyle w:val="TextoNormalCaracter"/>
          </w:rPr>
          <w:t>70/2021</w:t>
        </w:r>
      </w:hyperlink>
      <w:r w:rsidRPr="00DE0EC2">
        <w:rPr>
          <w:rStyle w:val="TextoNormalCaracter"/>
        </w:rPr>
        <w:t>, f. 2.</w:t>
      </w:r>
    </w:p>
    <w:p w:rsidR="00DE0EC2" w:rsidRPr="00DE0EC2" w:rsidRDefault="00DE0EC2" w:rsidP="00DE0EC2">
      <w:pPr>
        <w:pStyle w:val="TextoNormalSangraFrancesa"/>
        <w:rPr>
          <w:rStyle w:val="TextoNormalCaracter"/>
        </w:rPr>
      </w:pPr>
      <w:bookmarkStart w:id="1074" w:name="DESCRIPTORALFABETICO190"/>
      <w:r w:rsidRPr="00DE0EC2">
        <w:rPr>
          <w:rStyle w:val="TextoNormalNegritaCaracter"/>
        </w:rPr>
        <w:t xml:space="preserve">Legitimación </w:t>
      </w:r>
      <w:r w:rsidRPr="00DE0EC2">
        <w:rPr>
          <w:rStyle w:val="TextoNormalNegritaCaracter"/>
          <w:i/>
        </w:rPr>
        <w:t>ad causam</w:t>
      </w:r>
      <w:r w:rsidRPr="00DE0EC2">
        <w:rPr>
          <w:rStyle w:val="TextoNormalNegritaCaracter"/>
        </w:rPr>
        <w:t xml:space="preserve"> en el recurso de amparo</w:t>
      </w:r>
      <w:bookmarkEnd w:id="1074"/>
      <w:r w:rsidRPr="00DE0EC2">
        <w:rPr>
          <w:rStyle w:val="TextoNormalCaracter"/>
        </w:rPr>
        <w:t xml:space="preserve">, Sentencias </w:t>
      </w:r>
      <w:hyperlink w:anchor="SENTENCIA_2021_2" w:history="1">
        <w:r w:rsidRPr="00DE0EC2">
          <w:rPr>
            <w:rStyle w:val="TextoNormalCaracter"/>
          </w:rPr>
          <w:t>2/2021</w:t>
        </w:r>
      </w:hyperlink>
      <w:r w:rsidRPr="00DE0EC2">
        <w:rPr>
          <w:rStyle w:val="TextoNormalCaracter"/>
        </w:rPr>
        <w:t xml:space="preserve">, f. 3; </w:t>
      </w:r>
      <w:hyperlink w:anchor="SENTENCIA_2021_69" w:history="1">
        <w:r w:rsidRPr="00DE0EC2">
          <w:rPr>
            <w:rStyle w:val="TextoNormalCaracter"/>
          </w:rPr>
          <w:t>69/2021</w:t>
        </w:r>
      </w:hyperlink>
      <w:r w:rsidRPr="00DE0EC2">
        <w:rPr>
          <w:rStyle w:val="TextoNormalCaracter"/>
        </w:rPr>
        <w:t>, ff. 2 y 5.</w:t>
      </w:r>
    </w:p>
    <w:p w:rsidR="00DE0EC2" w:rsidRPr="00DE0EC2" w:rsidRDefault="00DE0EC2" w:rsidP="00DE0EC2">
      <w:pPr>
        <w:pStyle w:val="TextoNormalSangraFrancesa"/>
        <w:rPr>
          <w:rStyle w:val="TextoNormalCaracter"/>
        </w:rPr>
      </w:pPr>
      <w:bookmarkStart w:id="1075" w:name="DESCRIPTORALFABETICO159"/>
      <w:r w:rsidRPr="00DE0EC2">
        <w:rPr>
          <w:rStyle w:val="TextoNormalNegritaCaracter"/>
        </w:rPr>
        <w:t>Legitimación de cincuenta Diputados</w:t>
      </w:r>
      <w:bookmarkEnd w:id="1075"/>
      <w:r w:rsidRPr="00DE0EC2">
        <w:rPr>
          <w:rStyle w:val="TextoNormalCaracter"/>
        </w:rPr>
        <w:t xml:space="preserve">, Autos </w:t>
      </w:r>
      <w:hyperlink w:anchor="AUTO_2021_33" w:history="1">
        <w:r w:rsidRPr="00DE0EC2">
          <w:rPr>
            <w:rStyle w:val="TextoNormalCaracter"/>
          </w:rPr>
          <w:t>33/2021</w:t>
        </w:r>
      </w:hyperlink>
      <w:r w:rsidRPr="00DE0EC2">
        <w:rPr>
          <w:rStyle w:val="TextoNormalCaracter"/>
        </w:rPr>
        <w:t xml:space="preserve">; </w:t>
      </w:r>
      <w:hyperlink w:anchor="AUTO_2021_34" w:history="1">
        <w:r w:rsidRPr="00DE0EC2">
          <w:rPr>
            <w:rStyle w:val="TextoNormalCaracter"/>
          </w:rPr>
          <w:t>34/2021</w:t>
        </w:r>
      </w:hyperlink>
      <w:r w:rsidRPr="00DE0EC2">
        <w:rPr>
          <w:rStyle w:val="TextoNormalCaracter"/>
        </w:rPr>
        <w:t>.</w:t>
      </w:r>
    </w:p>
    <w:p w:rsidR="00DE0EC2" w:rsidRPr="00DE0EC2" w:rsidRDefault="00DE0EC2" w:rsidP="00DE0EC2">
      <w:pPr>
        <w:pStyle w:val="TextoNormalSangraFrancesa"/>
        <w:rPr>
          <w:rStyle w:val="TextoNormalCaracter"/>
        </w:rPr>
      </w:pPr>
      <w:bookmarkStart w:id="1076" w:name="DESCRIPTORALFABETICO451"/>
      <w:r w:rsidRPr="00DE0EC2">
        <w:rPr>
          <w:rStyle w:val="TextoNormalNegritaCaracter"/>
        </w:rPr>
        <w:t>Legitimación para recurrir un Acuerdo de la Mesa del Parlamento</w:t>
      </w:r>
      <w:bookmarkEnd w:id="1076"/>
      <w:r w:rsidRPr="00DE0EC2">
        <w:rPr>
          <w:rStyle w:val="TextoNormalCaracter"/>
        </w:rPr>
        <w:t xml:space="preserve">, Sentencia </w:t>
      </w:r>
      <w:hyperlink w:anchor="SENTENCIA_2021_90" w:history="1">
        <w:r w:rsidRPr="00DE0EC2">
          <w:rPr>
            <w:rStyle w:val="TextoNormalCaracter"/>
          </w:rPr>
          <w:t>90/2021</w:t>
        </w:r>
      </w:hyperlink>
      <w:r w:rsidRPr="00DE0EC2">
        <w:rPr>
          <w:rStyle w:val="TextoNormalCaracter"/>
        </w:rPr>
        <w:t>, f. 3.</w:t>
      </w:r>
    </w:p>
    <w:p w:rsidR="00DE0EC2" w:rsidRPr="00DE0EC2" w:rsidRDefault="00DE0EC2" w:rsidP="00DE0EC2">
      <w:pPr>
        <w:pStyle w:val="TextoNormalSangraFrancesa"/>
        <w:rPr>
          <w:rStyle w:val="TextoNormalCaracter"/>
        </w:rPr>
      </w:pPr>
      <w:bookmarkStart w:id="1077" w:name="DESCRIPTORALFABETICO366"/>
      <w:r w:rsidRPr="00DE0EC2">
        <w:rPr>
          <w:rStyle w:val="TextoNormalNegritaCaracter"/>
        </w:rPr>
        <w:t>Leyes de presupuestos de las Comunidades Autónomas</w:t>
      </w:r>
      <w:bookmarkEnd w:id="1077"/>
      <w:r w:rsidRPr="00DE0EC2">
        <w:rPr>
          <w:rStyle w:val="TextoNormalCaracter"/>
        </w:rPr>
        <w:t xml:space="preserve">, Sentencia </w:t>
      </w:r>
      <w:hyperlink w:anchor="SENTENCIA_2021_109" w:history="1">
        <w:r w:rsidRPr="00DE0EC2">
          <w:rPr>
            <w:rStyle w:val="TextoNormalCaracter"/>
          </w:rPr>
          <w:t>109/2021</w:t>
        </w:r>
      </w:hyperlink>
      <w:r w:rsidRPr="00DE0EC2">
        <w:rPr>
          <w:rStyle w:val="TextoNormalCaracter"/>
        </w:rPr>
        <w:t>, ff. 1 a 5.</w:t>
      </w:r>
    </w:p>
    <w:p w:rsidR="00DE0EC2" w:rsidRPr="00DE0EC2" w:rsidRDefault="00DE0EC2" w:rsidP="00DE0EC2">
      <w:pPr>
        <w:pStyle w:val="TextoNormalSangraFrancesa"/>
        <w:rPr>
          <w:rStyle w:val="TextoNormalCaracter"/>
        </w:rPr>
      </w:pPr>
      <w:bookmarkStart w:id="1078" w:name="DESCRIPTORALFABETICO127"/>
      <w:r w:rsidRPr="00DE0EC2">
        <w:rPr>
          <w:rStyle w:val="TextoNormalNegritaCaracter"/>
        </w:rPr>
        <w:t>Libertad de circulación</w:t>
      </w:r>
      <w:bookmarkEnd w:id="1078"/>
      <w:r w:rsidRPr="00DE0EC2">
        <w:rPr>
          <w:rStyle w:val="TextoNormalCaracter"/>
        </w:rPr>
        <w:t xml:space="preserve">, Sentencia </w:t>
      </w:r>
      <w:hyperlink w:anchor="SENTENCIA_2021_125" w:history="1">
        <w:r w:rsidRPr="00DE0EC2">
          <w:rPr>
            <w:rStyle w:val="TextoNormalCaracter"/>
          </w:rPr>
          <w:t>125/2021</w:t>
        </w:r>
      </w:hyperlink>
      <w:r w:rsidRPr="00DE0EC2">
        <w:rPr>
          <w:rStyle w:val="TextoNormalCaracter"/>
        </w:rPr>
        <w:t>, f. 5.</w:t>
      </w:r>
    </w:p>
    <w:p w:rsidR="00DE0EC2" w:rsidRPr="00DE0EC2" w:rsidRDefault="00DE0EC2" w:rsidP="00DE0EC2">
      <w:pPr>
        <w:pStyle w:val="TextoNormalSangraFrancesa"/>
        <w:rPr>
          <w:rStyle w:val="TextoNormalCaracter"/>
        </w:rPr>
      </w:pPr>
      <w:bookmarkStart w:id="1079" w:name="DESCRIPTORALFABETICO129"/>
      <w:r w:rsidRPr="00DE0EC2">
        <w:rPr>
          <w:rStyle w:val="TextoNormalNegritaCaracter"/>
        </w:rPr>
        <w:t>Libertad de creación de centros docentes</w:t>
      </w:r>
      <w:bookmarkEnd w:id="1079"/>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Vulnerada, </w:t>
      </w:r>
      <w:r w:rsidRPr="00DE0EC2">
        <w:rPr>
          <w:rStyle w:val="TextoNormalCaracter"/>
        </w:rPr>
        <w:t xml:space="preserve">Sentencias </w:t>
      </w:r>
      <w:hyperlink w:anchor="SENTENCIA_2021_2" w:history="1">
        <w:r w:rsidRPr="00DE0EC2">
          <w:rPr>
            <w:rStyle w:val="TextoNormalCaracter"/>
          </w:rPr>
          <w:t>2/2021</w:t>
        </w:r>
      </w:hyperlink>
      <w:r w:rsidRPr="00DE0EC2">
        <w:rPr>
          <w:rStyle w:val="TextoNormalCaracter"/>
        </w:rPr>
        <w:t xml:space="preserve">, ff. 3, 4; </w:t>
      </w:r>
      <w:hyperlink w:anchor="SENTENCIA_2021_42" w:history="1">
        <w:r w:rsidRPr="00DE0EC2">
          <w:rPr>
            <w:rStyle w:val="TextoNormalCaracter"/>
          </w:rPr>
          <w:t>42/2021</w:t>
        </w:r>
      </w:hyperlink>
      <w:r w:rsidRPr="00DE0EC2">
        <w:rPr>
          <w:rStyle w:val="TextoNormalCaracter"/>
        </w:rPr>
        <w:t xml:space="preserve">, f. 2; </w:t>
      </w:r>
      <w:hyperlink w:anchor="SENTENCIA_2021_138" w:history="1">
        <w:r w:rsidRPr="00DE0EC2">
          <w:rPr>
            <w:rStyle w:val="TextoNormalCaracter"/>
          </w:rPr>
          <w:t>138/2021</w:t>
        </w:r>
      </w:hyperlink>
      <w:r w:rsidRPr="00DE0EC2">
        <w:rPr>
          <w:rStyle w:val="TextoNormalCaracter"/>
        </w:rPr>
        <w:t>, ff. 1, 3.</w:t>
      </w:r>
    </w:p>
    <w:p w:rsidR="00DE0EC2" w:rsidRPr="00DE0EC2" w:rsidRDefault="00DE0EC2" w:rsidP="00DE0EC2">
      <w:pPr>
        <w:pStyle w:val="TextoNormalSangraFrancesa"/>
        <w:rPr>
          <w:rStyle w:val="TextoNormalCaracter"/>
        </w:rPr>
      </w:pPr>
      <w:bookmarkStart w:id="1080" w:name="DESCRIPTORALFABETICO128"/>
      <w:r w:rsidRPr="00DE0EC2">
        <w:rPr>
          <w:rStyle w:val="TextoNormalNegritaCaracter"/>
        </w:rPr>
        <w:t>Libertad de empresa</w:t>
      </w:r>
      <w:bookmarkEnd w:id="1080"/>
      <w:r w:rsidRPr="00DE0EC2">
        <w:rPr>
          <w:rStyle w:val="TextoNormalCaracter"/>
        </w:rPr>
        <w:t xml:space="preserve">, Sentencia </w:t>
      </w:r>
      <w:hyperlink w:anchor="SENTENCIA_2021_112" w:history="1">
        <w:r w:rsidRPr="00DE0EC2">
          <w:rPr>
            <w:rStyle w:val="TextoNormalCaracter"/>
          </w:rPr>
          <w:t>112/2021</w:t>
        </w:r>
      </w:hyperlink>
      <w:r w:rsidRPr="00DE0EC2">
        <w:rPr>
          <w:rStyle w:val="TextoNormalCaracter"/>
        </w:rPr>
        <w:t>, ff. 6, 7.</w:t>
      </w:r>
    </w:p>
    <w:p w:rsidR="00DE0EC2" w:rsidRPr="00DE0EC2" w:rsidRDefault="00DE0EC2" w:rsidP="00DE0EC2">
      <w:pPr>
        <w:pStyle w:val="TextoNormalSangraFrancesa"/>
        <w:rPr>
          <w:rStyle w:val="TextoNormalCaracter"/>
        </w:rPr>
      </w:pPr>
      <w:bookmarkStart w:id="1081" w:name="DESCRIPTORALFABETICO130"/>
      <w:r w:rsidRPr="00DE0EC2">
        <w:rPr>
          <w:rStyle w:val="TextoNormalNegritaCaracter"/>
        </w:rPr>
        <w:t>Libertad de expresión</w:t>
      </w:r>
      <w:bookmarkEnd w:id="1081"/>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Doctrina constitucional, </w:t>
      </w:r>
      <w:r w:rsidRPr="00DE0EC2">
        <w:rPr>
          <w:rStyle w:val="TextoNormalCaracter"/>
        </w:rPr>
        <w:t xml:space="preserve">Sentencia </w:t>
      </w:r>
      <w:hyperlink w:anchor="SENTENCIA_2021_5" w:history="1">
        <w:r w:rsidRPr="00DE0EC2">
          <w:rPr>
            <w:rStyle w:val="TextoNormalCaracter"/>
          </w:rPr>
          <w:t>5/2021</w:t>
        </w:r>
      </w:hyperlink>
      <w:r w:rsidRPr="00DE0EC2">
        <w:rPr>
          <w:rStyle w:val="TextoNormalCaracter"/>
        </w:rPr>
        <w:t>, f.  4.</w:t>
      </w:r>
    </w:p>
    <w:p w:rsidR="00DE0EC2" w:rsidRPr="00DE0EC2" w:rsidRDefault="00DE0EC2" w:rsidP="00DE0EC2">
      <w:pPr>
        <w:pStyle w:val="TextoNormalSangraFrancesa"/>
        <w:rPr>
          <w:rStyle w:val="TextoNormalCaracter"/>
        </w:rPr>
      </w:pPr>
      <w:r w:rsidRPr="00DE0EC2">
        <w:rPr>
          <w:rStyle w:val="TextoNormalCursivaCaracter"/>
        </w:rPr>
        <w:t xml:space="preserve">    Respetada, </w:t>
      </w:r>
      <w:r w:rsidRPr="00DE0EC2">
        <w:rPr>
          <w:rStyle w:val="TextoNormalCaracter"/>
        </w:rPr>
        <w:t xml:space="preserve">Sentencias </w:t>
      </w:r>
      <w:hyperlink w:anchor="SENTENCIA_2021_5" w:history="1">
        <w:r w:rsidRPr="00DE0EC2">
          <w:rPr>
            <w:rStyle w:val="TextoNormalCaracter"/>
          </w:rPr>
          <w:t>5/2021</w:t>
        </w:r>
      </w:hyperlink>
      <w:r w:rsidRPr="00DE0EC2">
        <w:rPr>
          <w:rStyle w:val="TextoNormalCaracter"/>
        </w:rPr>
        <w:t xml:space="preserve">, f. 5; </w:t>
      </w:r>
      <w:hyperlink w:anchor="SENTENCIA_2021_91" w:history="1">
        <w:r w:rsidRPr="00DE0EC2">
          <w:rPr>
            <w:rStyle w:val="TextoNormalCaracter"/>
          </w:rPr>
          <w:t>91/2021</w:t>
        </w:r>
      </w:hyperlink>
      <w:r w:rsidRPr="00DE0EC2">
        <w:rPr>
          <w:rStyle w:val="TextoNormalCaracter"/>
        </w:rPr>
        <w:t xml:space="preserve">, f. 11; </w:t>
      </w:r>
      <w:hyperlink w:anchor="SENTENCIA_2021_93" w:history="1">
        <w:r w:rsidRPr="00DE0EC2">
          <w:rPr>
            <w:rStyle w:val="TextoNormalCaracter"/>
          </w:rPr>
          <w:t>93/2021</w:t>
        </w:r>
      </w:hyperlink>
      <w:r w:rsidRPr="00DE0EC2">
        <w:rPr>
          <w:rStyle w:val="TextoNormalCaracter"/>
        </w:rPr>
        <w:t xml:space="preserve">, f. 7; </w:t>
      </w:r>
      <w:hyperlink w:anchor="SENTENCIA_2021_106" w:history="1">
        <w:r w:rsidRPr="00DE0EC2">
          <w:rPr>
            <w:rStyle w:val="TextoNormalCaracter"/>
          </w:rPr>
          <w:t>106/2021</w:t>
        </w:r>
      </w:hyperlink>
      <w:r w:rsidRPr="00DE0EC2">
        <w:rPr>
          <w:rStyle w:val="TextoNormalCaracter"/>
        </w:rPr>
        <w:t xml:space="preserve">, f. 11; </w:t>
      </w:r>
      <w:hyperlink w:anchor="SENTENCIA_2021_121" w:history="1">
        <w:r w:rsidRPr="00DE0EC2">
          <w:rPr>
            <w:rStyle w:val="TextoNormalCaracter"/>
          </w:rPr>
          <w:t>121/2021</w:t>
        </w:r>
      </w:hyperlink>
      <w:r w:rsidRPr="00DE0EC2">
        <w:rPr>
          <w:rStyle w:val="TextoNormalCaracter"/>
        </w:rPr>
        <w:t xml:space="preserve">, f. 12, VP I; </w:t>
      </w:r>
      <w:hyperlink w:anchor="SENTENCIA_2021_133" w:history="1">
        <w:r w:rsidRPr="00DE0EC2">
          <w:rPr>
            <w:rStyle w:val="TextoNormalCaracter"/>
          </w:rPr>
          <w:t>133/2021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1082" w:name="DESCRIPTORALFABETICO133"/>
      <w:r w:rsidRPr="00DE0EC2">
        <w:rPr>
          <w:rStyle w:val="TextoNormalNegritaCaracter"/>
        </w:rPr>
        <w:t>Libertad de información</w:t>
      </w:r>
      <w:bookmarkEnd w:id="1082"/>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Doctrina constitucional, </w:t>
      </w:r>
      <w:r w:rsidRPr="00DE0EC2">
        <w:rPr>
          <w:rStyle w:val="TextoNormalCaracter"/>
        </w:rPr>
        <w:t xml:space="preserve">Sentencia </w:t>
      </w:r>
      <w:hyperlink w:anchor="SENTENCIA_2021_5" w:history="1">
        <w:r w:rsidRPr="00DE0EC2">
          <w:rPr>
            <w:rStyle w:val="TextoNormalCaracter"/>
          </w:rPr>
          <w:t>5/2021</w:t>
        </w:r>
      </w:hyperlink>
      <w:r w:rsidRPr="00DE0EC2">
        <w:rPr>
          <w:rStyle w:val="TextoNormalCaracter"/>
        </w:rPr>
        <w:t>, f. 4.</w:t>
      </w:r>
    </w:p>
    <w:p w:rsidR="00DE0EC2" w:rsidRPr="00DE0EC2" w:rsidRDefault="00DE0EC2" w:rsidP="00DE0EC2">
      <w:pPr>
        <w:pStyle w:val="TextoNormalSangraFrancesa"/>
        <w:rPr>
          <w:rStyle w:val="TextoNormalCaracter"/>
        </w:rPr>
      </w:pPr>
      <w:r w:rsidRPr="00DE0EC2">
        <w:rPr>
          <w:rStyle w:val="TextoNormalCursivaCaracter"/>
        </w:rPr>
        <w:t xml:space="preserve">    Respetada, </w:t>
      </w:r>
      <w:r w:rsidRPr="00DE0EC2">
        <w:rPr>
          <w:rStyle w:val="TextoNormalCaracter"/>
        </w:rPr>
        <w:t xml:space="preserve">Sentencia </w:t>
      </w:r>
      <w:hyperlink w:anchor="SENTENCIA_2021_14" w:history="1">
        <w:r w:rsidRPr="00DE0EC2">
          <w:rPr>
            <w:rStyle w:val="TextoNormalCaracter"/>
          </w:rPr>
          <w:t>14/2021</w:t>
        </w:r>
      </w:hyperlink>
      <w:r w:rsidRPr="00DE0EC2">
        <w:rPr>
          <w:rStyle w:val="TextoNormalCaracter"/>
        </w:rPr>
        <w:t>, ff. 1, 5.</w:t>
      </w:r>
    </w:p>
    <w:p w:rsidR="00DE0EC2" w:rsidRPr="00DE0EC2" w:rsidRDefault="00DE0EC2" w:rsidP="00DE0EC2">
      <w:pPr>
        <w:pStyle w:val="TextoNormalSangraFrancesa"/>
        <w:rPr>
          <w:rStyle w:val="TextoNormalCaracter"/>
        </w:rPr>
      </w:pPr>
      <w:bookmarkStart w:id="1083" w:name="DESCRIPTORALFABETICO134"/>
      <w:r w:rsidRPr="00DE0EC2">
        <w:rPr>
          <w:rStyle w:val="TextoNormalNegritaCaracter"/>
        </w:rPr>
        <w:t>Libertad ideológica</w:t>
      </w:r>
      <w:bookmarkEnd w:id="1083"/>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Respetada, </w:t>
      </w:r>
      <w:r w:rsidRPr="00DE0EC2">
        <w:rPr>
          <w:rStyle w:val="TextoNormalCaracter"/>
        </w:rPr>
        <w:t xml:space="preserve">Sentencias </w:t>
      </w:r>
      <w:hyperlink w:anchor="SENTENCIA_2021_91" w:history="1">
        <w:r w:rsidRPr="00DE0EC2">
          <w:rPr>
            <w:rStyle w:val="TextoNormalCaracter"/>
          </w:rPr>
          <w:t>91/2021</w:t>
        </w:r>
      </w:hyperlink>
      <w:r w:rsidRPr="00DE0EC2">
        <w:rPr>
          <w:rStyle w:val="TextoNormalCaracter"/>
        </w:rPr>
        <w:t xml:space="preserve">, f. 11; </w:t>
      </w:r>
      <w:hyperlink w:anchor="SENTENCIA_2021_106" w:history="1">
        <w:r w:rsidRPr="00DE0EC2">
          <w:rPr>
            <w:rStyle w:val="TextoNormalCaracter"/>
          </w:rPr>
          <w:t>106/2021</w:t>
        </w:r>
      </w:hyperlink>
      <w:r w:rsidRPr="00DE0EC2">
        <w:rPr>
          <w:rStyle w:val="TextoNormalCaracter"/>
        </w:rPr>
        <w:t xml:space="preserve">, f. 11; </w:t>
      </w:r>
      <w:hyperlink w:anchor="SENTENCIA_2021_121" w:history="1">
        <w:r w:rsidRPr="00DE0EC2">
          <w:rPr>
            <w:rStyle w:val="TextoNormalCaracter"/>
          </w:rPr>
          <w:t>121/2021</w:t>
        </w:r>
      </w:hyperlink>
      <w:r w:rsidRPr="00DE0EC2">
        <w:rPr>
          <w:rStyle w:val="TextoNormalCaracter"/>
        </w:rPr>
        <w:t>, f. 12, VP I.</w:t>
      </w:r>
    </w:p>
    <w:p w:rsidR="00DE0EC2" w:rsidRPr="00DE0EC2" w:rsidRDefault="00DE0EC2" w:rsidP="00DE0EC2">
      <w:pPr>
        <w:pStyle w:val="TextoNormalSangraFrancesa"/>
        <w:rPr>
          <w:rStyle w:val="TextoNormalCaracter"/>
        </w:rPr>
      </w:pPr>
      <w:bookmarkStart w:id="1084" w:name="DESCRIPTORALFABETICO135"/>
      <w:r w:rsidRPr="00DE0EC2">
        <w:rPr>
          <w:rStyle w:val="TextoNormalNegritaCaracter"/>
        </w:rPr>
        <w:t>Libertad sindical</w:t>
      </w:r>
      <w:bookmarkEnd w:id="1084"/>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Respetada, </w:t>
      </w:r>
      <w:r w:rsidRPr="00DE0EC2">
        <w:rPr>
          <w:rStyle w:val="TextoNormalCaracter"/>
        </w:rPr>
        <w:t xml:space="preserve">Sentencia </w:t>
      </w:r>
      <w:hyperlink w:anchor="SENTENCIA_2021_130" w:history="1">
        <w:r w:rsidRPr="00DE0EC2">
          <w:rPr>
            <w:rStyle w:val="TextoNormalCaracter"/>
          </w:rPr>
          <w:t>130/2021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085" w:name="DESCRIPTORALFABETICO358"/>
      <w:r w:rsidRPr="00DE0EC2">
        <w:rPr>
          <w:rStyle w:val="TextoNormalNegritaCaracter"/>
        </w:rPr>
        <w:t>Límite material de los decretos-leyes</w:t>
      </w:r>
      <w:bookmarkEnd w:id="1085"/>
      <w:r w:rsidRPr="00DE0EC2">
        <w:rPr>
          <w:rStyle w:val="TextoNormalCaracter"/>
        </w:rPr>
        <w:t xml:space="preserve">, Sentencias </w:t>
      </w:r>
      <w:hyperlink w:anchor="SENTENCIA_2021_16" w:history="1">
        <w:r w:rsidRPr="00DE0EC2">
          <w:rPr>
            <w:rStyle w:val="TextoNormalCaracter"/>
          </w:rPr>
          <w:t>16/2021</w:t>
        </w:r>
      </w:hyperlink>
      <w:r w:rsidRPr="00DE0EC2">
        <w:rPr>
          <w:rStyle w:val="TextoNormalCaracter"/>
        </w:rPr>
        <w:t xml:space="preserve">, f. 5; </w:t>
      </w:r>
      <w:hyperlink w:anchor="SENTENCIA_2021_40" w:history="1">
        <w:r w:rsidRPr="00DE0EC2">
          <w:rPr>
            <w:rStyle w:val="TextoNormalCaracter"/>
          </w:rPr>
          <w:t>40/2021</w:t>
        </w:r>
      </w:hyperlink>
      <w:r w:rsidRPr="00DE0EC2">
        <w:rPr>
          <w:rStyle w:val="TextoNormalCaracter"/>
        </w:rPr>
        <w:t xml:space="preserve">, f. 5; </w:t>
      </w:r>
      <w:hyperlink w:anchor="SENTENCIA_2021_110" w:history="1">
        <w:r w:rsidRPr="00DE0EC2">
          <w:rPr>
            <w:rStyle w:val="TextoNormalCaracter"/>
          </w:rPr>
          <w:t>110/2021</w:t>
        </w:r>
      </w:hyperlink>
      <w:r w:rsidRPr="00DE0EC2">
        <w:rPr>
          <w:rStyle w:val="TextoNormalCaracter"/>
        </w:rPr>
        <w:t xml:space="preserve">, ff. 4 a 9; </w:t>
      </w:r>
      <w:hyperlink w:anchor="SENTENCIA_2021_111" w:history="1">
        <w:r w:rsidRPr="00DE0EC2">
          <w:rPr>
            <w:rStyle w:val="TextoNormalCaracter"/>
          </w:rPr>
          <w:t>111/2021</w:t>
        </w:r>
      </w:hyperlink>
      <w:r w:rsidRPr="00DE0EC2">
        <w:rPr>
          <w:rStyle w:val="TextoNormalCaracter"/>
        </w:rPr>
        <w:t xml:space="preserve">, f. 3; </w:t>
      </w:r>
      <w:hyperlink w:anchor="SENTENCIA_2021_134" w:history="1">
        <w:r w:rsidRPr="00DE0EC2">
          <w:rPr>
            <w:rStyle w:val="TextoNormalCaracter"/>
          </w:rPr>
          <w:t>134/2021</w:t>
        </w:r>
      </w:hyperlink>
      <w:r w:rsidRPr="00DE0EC2">
        <w:rPr>
          <w:rStyle w:val="TextoNormalCaracter"/>
        </w:rPr>
        <w:t>, ff. 4, 6, VP I, VP II, VP III.</w:t>
      </w:r>
    </w:p>
    <w:p w:rsidR="00DE0EC2" w:rsidRPr="00DE0EC2" w:rsidRDefault="00DE0EC2" w:rsidP="00DE0EC2">
      <w:pPr>
        <w:pStyle w:val="TextoNormalSangraFrancesa"/>
        <w:rPr>
          <w:rStyle w:val="TextoNormalCaracter"/>
        </w:rPr>
      </w:pPr>
      <w:bookmarkStart w:id="1086" w:name="DESCRIPTORALFABETICO34"/>
      <w:r w:rsidRPr="00DE0EC2">
        <w:rPr>
          <w:rStyle w:val="TextoNormalNegritaCaracter"/>
        </w:rPr>
        <w:t>Límites a la potestad tributaria autonómica</w:t>
      </w:r>
      <w:bookmarkEnd w:id="1086"/>
      <w:r w:rsidRPr="00DE0EC2">
        <w:rPr>
          <w:rStyle w:val="TextoNormalCaracter"/>
        </w:rPr>
        <w:t xml:space="preserve">, Sentencia </w:t>
      </w:r>
      <w:hyperlink w:anchor="SENTENCIA_2021_125" w:history="1">
        <w:r w:rsidRPr="00DE0EC2">
          <w:rPr>
            <w:rStyle w:val="TextoNormalCaracter"/>
          </w:rPr>
          <w:t>125/2021</w:t>
        </w:r>
      </w:hyperlink>
      <w:r w:rsidRPr="00DE0EC2">
        <w:rPr>
          <w:rStyle w:val="TextoNormalCaracter"/>
        </w:rPr>
        <w:t>, f. 7.</w:t>
      </w:r>
    </w:p>
    <w:p w:rsidR="00DE0EC2" w:rsidRPr="00DE0EC2" w:rsidRDefault="00DE0EC2" w:rsidP="00DE0EC2">
      <w:pPr>
        <w:pStyle w:val="TextoNormalSangraFrancesa"/>
        <w:rPr>
          <w:rStyle w:val="TextoNormalCaracter"/>
        </w:rPr>
      </w:pPr>
      <w:bookmarkStart w:id="1087" w:name="DESCRIPTORALFABETICO367"/>
      <w:r w:rsidRPr="00DE0EC2">
        <w:rPr>
          <w:rStyle w:val="TextoNormalNegritaCaracter"/>
        </w:rPr>
        <w:t>Límites materiales de las leyes de presupuestos</w:t>
      </w:r>
      <w:bookmarkEnd w:id="1087"/>
      <w:r w:rsidRPr="00DE0EC2">
        <w:rPr>
          <w:rStyle w:val="TextoNormalCaracter"/>
        </w:rPr>
        <w:t xml:space="preserve">, Sentencia </w:t>
      </w:r>
      <w:hyperlink w:anchor="SENTENCIA_2021_109" w:history="1">
        <w:r w:rsidRPr="00DE0EC2">
          <w:rPr>
            <w:rStyle w:val="TextoNormalCaracter"/>
          </w:rPr>
          <w:t>109/2021</w:t>
        </w:r>
      </w:hyperlink>
      <w:r w:rsidRPr="00DE0EC2">
        <w:rPr>
          <w:rStyle w:val="TextoNormalCaracter"/>
        </w:rPr>
        <w:t>, f. 3.</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M</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088" w:name="DESCRIPTORALFABETICO330"/>
      <w:r w:rsidRPr="00DE0EC2">
        <w:rPr>
          <w:rStyle w:val="TextoNormalNegritaCaracter"/>
        </w:rPr>
        <w:t>Malversación de fondos públicos</w:t>
      </w:r>
      <w:bookmarkEnd w:id="1088"/>
      <w:r w:rsidRPr="00DE0EC2">
        <w:rPr>
          <w:rStyle w:val="TextoNormalCaracter"/>
        </w:rPr>
        <w:t xml:space="preserve">, Sentencia </w:t>
      </w:r>
      <w:hyperlink w:anchor="SENTENCIA_2021_91" w:history="1">
        <w:r w:rsidRPr="00DE0EC2">
          <w:rPr>
            <w:rStyle w:val="TextoNormalCaracter"/>
          </w:rPr>
          <w:t>91/2021</w:t>
        </w:r>
      </w:hyperlink>
      <w:r w:rsidRPr="00DE0EC2">
        <w:rPr>
          <w:rStyle w:val="TextoNormalCaracter"/>
        </w:rPr>
        <w:t>, ff. 1, 10.</w:t>
      </w:r>
    </w:p>
    <w:p w:rsidR="00DE0EC2" w:rsidRPr="00DE0EC2" w:rsidRDefault="00DE0EC2" w:rsidP="00DE0EC2">
      <w:pPr>
        <w:pStyle w:val="TextoNormalSangraFrancesa"/>
        <w:rPr>
          <w:rStyle w:val="TextoNormalCaracter"/>
        </w:rPr>
      </w:pPr>
      <w:bookmarkStart w:id="1089" w:name="DESCRIPTORALFABETICO153"/>
      <w:r w:rsidRPr="00DE0EC2">
        <w:rPr>
          <w:rStyle w:val="TextoNormalNegritaCaracter"/>
        </w:rPr>
        <w:t>Mantenimiento de la suspensión de disposiciones de las Comunidades Autónomas</w:t>
      </w:r>
      <w:bookmarkEnd w:id="1089"/>
      <w:r w:rsidRPr="00DE0EC2">
        <w:rPr>
          <w:rStyle w:val="TextoNormalCaracter"/>
        </w:rPr>
        <w:t xml:space="preserve">, Auto </w:t>
      </w:r>
      <w:hyperlink w:anchor="AUTO_2021_51" w:history="1">
        <w:r w:rsidRPr="00DE0EC2">
          <w:rPr>
            <w:rStyle w:val="TextoNormalCaracter"/>
          </w:rPr>
          <w:t>51/2021</w:t>
        </w:r>
      </w:hyperlink>
      <w:r w:rsidRPr="00DE0EC2">
        <w:rPr>
          <w:rStyle w:val="TextoNormalCaracter"/>
        </w:rPr>
        <w:t>.</w:t>
      </w:r>
    </w:p>
    <w:p w:rsidR="00DE0EC2" w:rsidRPr="00DE0EC2" w:rsidRDefault="00DE0EC2" w:rsidP="00DE0EC2">
      <w:pPr>
        <w:pStyle w:val="TextoNormalSangraFrancesa"/>
        <w:rPr>
          <w:rStyle w:val="TextoNormalCaracter"/>
        </w:rPr>
      </w:pPr>
      <w:bookmarkStart w:id="1090" w:name="DESCRIPTORALFABETICO386"/>
      <w:r w:rsidRPr="00DE0EC2">
        <w:rPr>
          <w:rStyle w:val="TextoNormalNegritaCaracter"/>
        </w:rPr>
        <w:t>Matrimonio contraído por el rito gitano</w:t>
      </w:r>
      <w:bookmarkEnd w:id="1090"/>
      <w:r w:rsidRPr="00DE0EC2">
        <w:rPr>
          <w:rStyle w:val="TextoNormalCaracter"/>
        </w:rPr>
        <w:t xml:space="preserve">, Sentencia </w:t>
      </w:r>
      <w:hyperlink w:anchor="SENTENCIA_2021_1" w:history="1">
        <w:r w:rsidRPr="00DE0EC2">
          <w:rPr>
            <w:rStyle w:val="TextoNormalCaracter"/>
          </w:rPr>
          <w:t>1/2021</w:t>
        </w:r>
      </w:hyperlink>
      <w:r w:rsidRPr="00DE0EC2">
        <w:rPr>
          <w:rStyle w:val="TextoNormalCaracter"/>
        </w:rPr>
        <w:t>, ff. 3 a 7.</w:t>
      </w:r>
    </w:p>
    <w:p w:rsidR="00DE0EC2" w:rsidRPr="00DE0EC2" w:rsidRDefault="00DE0EC2" w:rsidP="00DE0EC2">
      <w:pPr>
        <w:pStyle w:val="TextoNormalSangraFrancesa"/>
        <w:rPr>
          <w:rStyle w:val="TextoNormalCaracter"/>
        </w:rPr>
      </w:pPr>
      <w:bookmarkStart w:id="1091" w:name="DESCRIPTORALFABETICO335"/>
      <w:r w:rsidRPr="00DE0EC2">
        <w:rPr>
          <w:rStyle w:val="TextoNormalNegritaCaracter"/>
        </w:rPr>
        <w:t>Medios de comunicación de titularidad estatal</w:t>
      </w:r>
      <w:bookmarkEnd w:id="1091"/>
      <w:r w:rsidRPr="00DE0EC2">
        <w:rPr>
          <w:rStyle w:val="TextoNormalCaracter"/>
        </w:rPr>
        <w:t xml:space="preserve">, Sentencia </w:t>
      </w:r>
      <w:hyperlink w:anchor="SENTENCIA_2021_134" w:history="1">
        <w:r w:rsidRPr="00DE0EC2">
          <w:rPr>
            <w:rStyle w:val="TextoNormalCaracter"/>
          </w:rPr>
          <w:t>134/2021</w:t>
        </w:r>
      </w:hyperlink>
      <w:r w:rsidRPr="00DE0EC2">
        <w:rPr>
          <w:rStyle w:val="TextoNormalCaracter"/>
        </w:rPr>
        <w:t>, ff. 4, 5, VP II.</w:t>
      </w:r>
    </w:p>
    <w:p w:rsidR="00DE0EC2" w:rsidRPr="00DE0EC2" w:rsidRDefault="00DE0EC2" w:rsidP="00DE0EC2">
      <w:pPr>
        <w:pStyle w:val="TextoNormalSangraFrancesa"/>
        <w:rPr>
          <w:rStyle w:val="TextoNormalCaracter"/>
        </w:rPr>
      </w:pPr>
      <w:bookmarkStart w:id="1092" w:name="DESCRIPTORALFABETICO336"/>
      <w:r w:rsidRPr="00DE0EC2">
        <w:rPr>
          <w:rStyle w:val="TextoNormalNegritaCaracter"/>
        </w:rPr>
        <w:t>Miembros de Consejos de administración de radiotelevisión</w:t>
      </w:r>
      <w:bookmarkEnd w:id="1092"/>
      <w:r w:rsidRPr="00DE0EC2">
        <w:rPr>
          <w:rStyle w:val="TextoNormalCaracter"/>
        </w:rPr>
        <w:t xml:space="preserve">, Sentencia </w:t>
      </w:r>
      <w:hyperlink w:anchor="SENTENCIA_2021_134" w:history="1">
        <w:r w:rsidRPr="00DE0EC2">
          <w:rPr>
            <w:rStyle w:val="TextoNormalCaracter"/>
          </w:rPr>
          <w:t>134/2021</w:t>
        </w:r>
      </w:hyperlink>
      <w:r w:rsidRPr="00DE0EC2">
        <w:rPr>
          <w:rStyle w:val="TextoNormalCaracter"/>
        </w:rPr>
        <w:t>, ff. 1, 4, 5.</w:t>
      </w:r>
    </w:p>
    <w:p w:rsidR="00DE0EC2" w:rsidRPr="00DE0EC2" w:rsidRDefault="00DE0EC2" w:rsidP="00DE0EC2">
      <w:pPr>
        <w:pStyle w:val="TextoNormalSangraFrancesa"/>
        <w:rPr>
          <w:rStyle w:val="TextoNormalCaracter"/>
        </w:rPr>
      </w:pPr>
      <w:bookmarkStart w:id="1093" w:name="DESCRIPTORALFABETICO199"/>
      <w:r w:rsidRPr="00DE0EC2">
        <w:rPr>
          <w:rStyle w:val="TextoNormalNegritaCaracter"/>
        </w:rPr>
        <w:t>Modificación de doctrina constitucional</w:t>
      </w:r>
      <w:bookmarkEnd w:id="1093"/>
      <w:r w:rsidRPr="00DE0EC2">
        <w:rPr>
          <w:rStyle w:val="TextoNormalCaracter"/>
        </w:rPr>
        <w:t xml:space="preserve">, Sentencias </w:t>
      </w:r>
      <w:hyperlink w:anchor="SENTENCIA_2021_3" w:history="1">
        <w:r w:rsidRPr="00DE0EC2">
          <w:rPr>
            <w:rStyle w:val="TextoNormalCaracter"/>
          </w:rPr>
          <w:t>3/2021</w:t>
        </w:r>
      </w:hyperlink>
      <w:r w:rsidRPr="00DE0EC2">
        <w:rPr>
          <w:rStyle w:val="TextoNormalCaracter"/>
        </w:rPr>
        <w:t xml:space="preserve">, f. 2; </w:t>
      </w:r>
      <w:hyperlink w:anchor="SENTENCIA_2021_35" w:history="1">
        <w:r w:rsidRPr="00DE0EC2">
          <w:rPr>
            <w:rStyle w:val="TextoNormalCaracter"/>
          </w:rPr>
          <w:t>35/2021</w:t>
        </w:r>
      </w:hyperlink>
      <w:r w:rsidRPr="00DE0EC2">
        <w:rPr>
          <w:rStyle w:val="TextoNormalCaracter"/>
        </w:rPr>
        <w:t>, f. 4.</w:t>
      </w:r>
    </w:p>
    <w:p w:rsidR="00DE0EC2" w:rsidRPr="00DE0EC2" w:rsidRDefault="00DE0EC2" w:rsidP="00DE0EC2">
      <w:pPr>
        <w:pStyle w:val="TextoNormalSangraFrancesa"/>
        <w:rPr>
          <w:rStyle w:val="TextoNormalCaracter"/>
        </w:rPr>
      </w:pPr>
      <w:bookmarkStart w:id="1094" w:name="DESCRIPTORALFABETICO361"/>
      <w:r w:rsidRPr="00DE0EC2">
        <w:rPr>
          <w:rStyle w:val="TextoNormalNegritaCaracter"/>
        </w:rPr>
        <w:t>Motivación de la extraordinaria y urgente necesidad</w:t>
      </w:r>
      <w:bookmarkEnd w:id="1094"/>
      <w:r w:rsidRPr="00DE0EC2">
        <w:rPr>
          <w:rStyle w:val="TextoNormalCaracter"/>
        </w:rPr>
        <w:t xml:space="preserve">, Sentencias </w:t>
      </w:r>
      <w:hyperlink w:anchor="SENTENCIA_2021_110" w:history="1">
        <w:r w:rsidRPr="00DE0EC2">
          <w:rPr>
            <w:rStyle w:val="TextoNormalCaracter"/>
          </w:rPr>
          <w:t>110/2021</w:t>
        </w:r>
      </w:hyperlink>
      <w:r w:rsidRPr="00DE0EC2">
        <w:rPr>
          <w:rStyle w:val="TextoNormalCaracter"/>
        </w:rPr>
        <w:t xml:space="preserve">, ff. 4 a 9; </w:t>
      </w:r>
      <w:hyperlink w:anchor="SENTENCIA_2021_134" w:history="1">
        <w:r w:rsidRPr="00DE0EC2">
          <w:rPr>
            <w:rStyle w:val="TextoNormalCaracter"/>
          </w:rPr>
          <w:t>134/2021</w:t>
        </w:r>
      </w:hyperlink>
      <w:r w:rsidRPr="00DE0EC2">
        <w:rPr>
          <w:rStyle w:val="TextoNormalCaracter"/>
        </w:rPr>
        <w:t>, ff. 3, 5, VP III.</w:t>
      </w:r>
    </w:p>
    <w:p w:rsidR="00DE0EC2" w:rsidRPr="00DE0EC2" w:rsidRDefault="00DE0EC2" w:rsidP="00DE0EC2">
      <w:pPr>
        <w:pStyle w:val="TextoNormalSangraFrancesa"/>
        <w:rPr>
          <w:rStyle w:val="TextoNormalCaracter"/>
        </w:rPr>
      </w:pPr>
      <w:bookmarkStart w:id="1095" w:name="DESCRIPTORALFABETICO493"/>
      <w:r w:rsidRPr="00DE0EC2">
        <w:rPr>
          <w:rStyle w:val="TextoNormalNegritaCaracter"/>
        </w:rPr>
        <w:t>Motivación de la pena impuesta en sentencia</w:t>
      </w:r>
      <w:bookmarkEnd w:id="1095"/>
      <w:r w:rsidRPr="00DE0EC2">
        <w:rPr>
          <w:rStyle w:val="TextoNormalCaracter"/>
        </w:rPr>
        <w:t xml:space="preserve">, Sentencias </w:t>
      </w:r>
      <w:hyperlink w:anchor="SENTENCIA_2021_34" w:history="1">
        <w:r w:rsidRPr="00DE0EC2">
          <w:rPr>
            <w:rStyle w:val="TextoNormalCaracter"/>
          </w:rPr>
          <w:t>34/2021</w:t>
        </w:r>
      </w:hyperlink>
      <w:r w:rsidRPr="00DE0EC2">
        <w:rPr>
          <w:rStyle w:val="TextoNormalCaracter"/>
        </w:rPr>
        <w:t xml:space="preserve">, f. 7; </w:t>
      </w:r>
      <w:hyperlink w:anchor="SENTENCIA_2021_67" w:history="1">
        <w:r w:rsidRPr="00DE0EC2">
          <w:rPr>
            <w:rStyle w:val="TextoNormalCaracter"/>
          </w:rPr>
          <w:t>67/2021</w:t>
        </w:r>
      </w:hyperlink>
      <w:r w:rsidRPr="00DE0EC2">
        <w:rPr>
          <w:rStyle w:val="TextoNormalCaracter"/>
        </w:rPr>
        <w:t>, f.3.</w:t>
      </w:r>
    </w:p>
    <w:p w:rsidR="00DE0EC2" w:rsidRPr="00DE0EC2" w:rsidRDefault="00DE0EC2" w:rsidP="00DE0EC2">
      <w:pPr>
        <w:pStyle w:val="TextoNormalSangraFrancesa"/>
        <w:rPr>
          <w:rStyle w:val="TextoNormalCaracter"/>
        </w:rPr>
      </w:pPr>
      <w:bookmarkStart w:id="1096" w:name="DESCRIPTORALFABETICO81"/>
      <w:r w:rsidRPr="00DE0EC2">
        <w:rPr>
          <w:rStyle w:val="TextoNormalNegritaCaracter"/>
        </w:rPr>
        <w:t>Motivación de las resoluciones judiciales</w:t>
      </w:r>
      <w:bookmarkEnd w:id="1096"/>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121" w:history="1">
        <w:r w:rsidRPr="00DE0EC2">
          <w:rPr>
            <w:rStyle w:val="TextoNormalCaracter"/>
          </w:rPr>
          <w:t>121/2021</w:t>
        </w:r>
      </w:hyperlink>
      <w:r w:rsidRPr="00DE0EC2">
        <w:rPr>
          <w:rStyle w:val="TextoNormalCaracter"/>
        </w:rPr>
        <w:t>, f. 11.</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Sentencias </w:t>
      </w:r>
      <w:hyperlink w:anchor="SENTENCIA_2021_61" w:history="1">
        <w:r w:rsidRPr="00DE0EC2">
          <w:rPr>
            <w:rStyle w:val="TextoNormalCaracter"/>
          </w:rPr>
          <w:t>61/2021</w:t>
        </w:r>
      </w:hyperlink>
      <w:r w:rsidRPr="00DE0EC2">
        <w:rPr>
          <w:rStyle w:val="TextoNormalCaracter"/>
        </w:rPr>
        <w:t xml:space="preserve">, ff. 6, 7, VP I; </w:t>
      </w:r>
      <w:hyperlink w:anchor="SENTENCIA_2021_65" w:history="1">
        <w:r w:rsidRPr="00DE0EC2">
          <w:rPr>
            <w:rStyle w:val="TextoNormalCaracter"/>
          </w:rPr>
          <w:t>65/2021</w:t>
        </w:r>
      </w:hyperlink>
      <w:r w:rsidRPr="00DE0EC2">
        <w:rPr>
          <w:rStyle w:val="TextoNormalCaracter"/>
        </w:rPr>
        <w:t xml:space="preserve">, ff. 5, 6; </w:t>
      </w:r>
      <w:hyperlink w:anchor="SENTENCIA_2021_67" w:history="1">
        <w:r w:rsidRPr="00DE0EC2">
          <w:rPr>
            <w:rStyle w:val="TextoNormalCaracter"/>
          </w:rPr>
          <w:t>67/2021</w:t>
        </w:r>
      </w:hyperlink>
      <w:r w:rsidRPr="00DE0EC2">
        <w:rPr>
          <w:rStyle w:val="TextoNormalCaracter"/>
        </w:rPr>
        <w:t>, f. 3.</w:t>
      </w:r>
    </w:p>
    <w:p w:rsidR="00DE0EC2" w:rsidRPr="00DE0EC2" w:rsidRDefault="00DE0EC2" w:rsidP="00DE0EC2">
      <w:pPr>
        <w:pStyle w:val="TextoNormalSangraFrancesa"/>
        <w:rPr>
          <w:rStyle w:val="TextoNormalCaracter"/>
        </w:rPr>
      </w:pPr>
      <w:bookmarkStart w:id="1097" w:name="DESCRIPTORALFABETICO231"/>
      <w:r w:rsidRPr="00DE0EC2">
        <w:rPr>
          <w:rStyle w:val="TextoNormalNegritaCaracter"/>
        </w:rPr>
        <w:t>Motivación de las resoluciones parlamentarias</w:t>
      </w:r>
      <w:bookmarkEnd w:id="1097"/>
      <w:r w:rsidRPr="00DE0EC2">
        <w:rPr>
          <w:rStyle w:val="TextoNormalCaracter"/>
        </w:rPr>
        <w:t xml:space="preserve">, Sentencia </w:t>
      </w:r>
      <w:hyperlink w:anchor="SENTENCIA_2021_137" w:history="1">
        <w:r w:rsidRPr="00DE0EC2">
          <w:rPr>
            <w:rStyle w:val="TextoNormalCaracter"/>
          </w:rPr>
          <w:t>137/2021</w:t>
        </w:r>
      </w:hyperlink>
      <w:r w:rsidRPr="00DE0EC2">
        <w:rPr>
          <w:rStyle w:val="TextoNormalCaracter"/>
        </w:rPr>
        <w:t>, ff. 1, 4.</w:t>
      </w:r>
    </w:p>
    <w:p w:rsidR="00DE0EC2" w:rsidRPr="00DE0EC2" w:rsidRDefault="00DE0EC2" w:rsidP="00DE0EC2">
      <w:pPr>
        <w:pStyle w:val="TextoNormalSangraFrancesa"/>
        <w:rPr>
          <w:rStyle w:val="TextoNormalCaracter"/>
        </w:rPr>
      </w:pPr>
      <w:bookmarkStart w:id="1098" w:name="DESCRIPTORALFABETICO86"/>
      <w:r w:rsidRPr="00DE0EC2">
        <w:rPr>
          <w:rStyle w:val="TextoNormalNegritaCaracter"/>
        </w:rPr>
        <w:t>Motivación de las sentencias</w:t>
      </w:r>
      <w:bookmarkEnd w:id="1098"/>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34" w:history="1">
        <w:r w:rsidRPr="00DE0EC2">
          <w:rPr>
            <w:rStyle w:val="TextoNormalCaracter"/>
          </w:rPr>
          <w:t>34/2021</w:t>
        </w:r>
      </w:hyperlink>
      <w:r w:rsidRPr="00DE0EC2">
        <w:rPr>
          <w:rStyle w:val="TextoNormalCaracter"/>
        </w:rPr>
        <w:t xml:space="preserve">, f. 7; </w:t>
      </w:r>
      <w:hyperlink w:anchor="SENTENCIA_2021_67" w:history="1">
        <w:r w:rsidRPr="00DE0EC2">
          <w:rPr>
            <w:rStyle w:val="TextoNormalCaracter"/>
          </w:rPr>
          <w:t>67/2021</w:t>
        </w:r>
      </w:hyperlink>
      <w:r w:rsidRPr="00DE0EC2">
        <w:rPr>
          <w:rStyle w:val="TextoNormalCaracter"/>
        </w:rPr>
        <w:t xml:space="preserve">, f. 3; </w:t>
      </w:r>
      <w:hyperlink w:anchor="SENTENCIA_2021_130" w:history="1">
        <w:r w:rsidRPr="00DE0EC2">
          <w:rPr>
            <w:rStyle w:val="TextoNormalCaracter"/>
          </w:rPr>
          <w:t>130/2021</w:t>
        </w:r>
      </w:hyperlink>
      <w:r w:rsidRPr="00DE0EC2">
        <w:rPr>
          <w:rStyle w:val="TextoNormalCaracter"/>
        </w:rPr>
        <w:t>, f. 2.</w:t>
      </w:r>
    </w:p>
    <w:p w:rsidR="00DE0EC2" w:rsidRPr="00DE0EC2" w:rsidRDefault="00DE0EC2" w:rsidP="00DE0EC2">
      <w:pPr>
        <w:pStyle w:val="TextoNormalSangraFrancesa"/>
        <w:rPr>
          <w:rStyle w:val="TextoNormalCaracter"/>
        </w:rPr>
      </w:pPr>
      <w:bookmarkStart w:id="1099" w:name="DESCRIPTORALFABETICO278"/>
      <w:r w:rsidRPr="00DE0EC2">
        <w:rPr>
          <w:rStyle w:val="TextoNormalNegritaCaracter"/>
        </w:rPr>
        <w:t>Motivación del laudo arbitral</w:t>
      </w:r>
      <w:bookmarkEnd w:id="1099"/>
      <w:r w:rsidRPr="00DE0EC2">
        <w:rPr>
          <w:rStyle w:val="TextoNormalCaracter"/>
        </w:rPr>
        <w:t xml:space="preserve">, Sentencias </w:t>
      </w:r>
      <w:hyperlink w:anchor="SENTENCIA_2021_17" w:history="1">
        <w:r w:rsidRPr="00DE0EC2">
          <w:rPr>
            <w:rStyle w:val="TextoNormalCaracter"/>
          </w:rPr>
          <w:t>17/2021</w:t>
        </w:r>
      </w:hyperlink>
      <w:r w:rsidRPr="00DE0EC2">
        <w:rPr>
          <w:rStyle w:val="TextoNormalCaracter"/>
        </w:rPr>
        <w:t xml:space="preserve">, ff. 2, 3; </w:t>
      </w:r>
      <w:hyperlink w:anchor="SENTENCIA_2021_65" w:history="1">
        <w:r w:rsidRPr="00DE0EC2">
          <w:rPr>
            <w:rStyle w:val="TextoNormalCaracter"/>
          </w:rPr>
          <w:t>65/2021</w:t>
        </w:r>
      </w:hyperlink>
      <w:r w:rsidRPr="00DE0EC2">
        <w:rPr>
          <w:rStyle w:val="TextoNormalCaracter"/>
        </w:rPr>
        <w:t>, f. 5.</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N</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100" w:name="DESCRIPTORALFABETICO200"/>
      <w:r w:rsidRPr="00DE0EC2">
        <w:rPr>
          <w:rStyle w:val="TextoNormalNegritaCaracter"/>
        </w:rPr>
        <w:t>Negativa judicial al acatamiento de la doctrina constitucional</w:t>
      </w:r>
      <w:bookmarkEnd w:id="1100"/>
      <w:r w:rsidRPr="00DE0EC2">
        <w:rPr>
          <w:rStyle w:val="TextoNormalCaracter"/>
        </w:rPr>
        <w:t xml:space="preserve">, Sentencias </w:t>
      </w:r>
      <w:hyperlink w:anchor="SENTENCIA_2021_33" w:history="1">
        <w:r w:rsidRPr="00DE0EC2">
          <w:rPr>
            <w:rStyle w:val="TextoNormalCaracter"/>
          </w:rPr>
          <w:t>33/2021</w:t>
        </w:r>
      </w:hyperlink>
      <w:r w:rsidRPr="00DE0EC2">
        <w:rPr>
          <w:rStyle w:val="TextoNormalCaracter"/>
        </w:rPr>
        <w:t xml:space="preserve">, f. 2; </w:t>
      </w:r>
      <w:hyperlink w:anchor="SENTENCIA_2021_104" w:history="1">
        <w:r w:rsidRPr="00DE0EC2">
          <w:rPr>
            <w:rStyle w:val="TextoNormalCaracter"/>
          </w:rPr>
          <w:t>104/2021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01" w:name="DESCRIPTORALFABETICO423"/>
      <w:r w:rsidRPr="00DE0EC2">
        <w:rPr>
          <w:rStyle w:val="TextoNormalNegritaCaracter"/>
        </w:rPr>
        <w:t>Notificación a través del servicio de notificaciones del Colegio de procuradores</w:t>
      </w:r>
      <w:bookmarkEnd w:id="1101"/>
      <w:r w:rsidRPr="00DE0EC2">
        <w:rPr>
          <w:rStyle w:val="TextoNormalCaracter"/>
        </w:rPr>
        <w:t xml:space="preserve">, Sentencia </w:t>
      </w:r>
      <w:hyperlink w:anchor="SENTENCIA_2021_79" w:history="1">
        <w:r w:rsidRPr="00DE0EC2">
          <w:rPr>
            <w:rStyle w:val="TextoNormalCaracter"/>
          </w:rPr>
          <w:t>79/2021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02" w:name="DESCRIPTORALFABETICO391"/>
      <w:r w:rsidRPr="00DE0EC2">
        <w:rPr>
          <w:rStyle w:val="TextoNormalNegritaCaracter"/>
        </w:rPr>
        <w:t>Notificación administrativa errónea</w:t>
      </w:r>
      <w:bookmarkEnd w:id="1102"/>
      <w:r w:rsidRPr="00DE0EC2">
        <w:rPr>
          <w:rStyle w:val="TextoNormalCaracter"/>
        </w:rPr>
        <w:t xml:space="preserve">, Sentencia </w:t>
      </w:r>
      <w:hyperlink w:anchor="SENTENCIA_2021_63" w:history="1">
        <w:r w:rsidRPr="00DE0EC2">
          <w:rPr>
            <w:rStyle w:val="TextoNormalCaracter"/>
          </w:rPr>
          <w:t>63/2021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03" w:name="DESCRIPTORALFABETICO424"/>
      <w:r w:rsidRPr="00DE0EC2">
        <w:rPr>
          <w:rStyle w:val="TextoNormalNegritaCaracter"/>
        </w:rPr>
        <w:t>Notificación edictal al rebelde</w:t>
      </w:r>
      <w:bookmarkEnd w:id="1103"/>
      <w:r w:rsidRPr="00DE0EC2">
        <w:rPr>
          <w:rStyle w:val="TextoNormalCaracter"/>
        </w:rPr>
        <w:t xml:space="preserve">, Sentencia </w:t>
      </w:r>
      <w:hyperlink w:anchor="SENTENCIA_2021_116" w:history="1">
        <w:r w:rsidRPr="00DE0EC2">
          <w:rPr>
            <w:rStyle w:val="TextoNormalCaracter"/>
          </w:rPr>
          <w:t>116/2021</w:t>
        </w:r>
      </w:hyperlink>
      <w:r w:rsidRPr="00DE0EC2">
        <w:rPr>
          <w:rStyle w:val="TextoNormalCaracter"/>
        </w:rPr>
        <w:t>, f. 3.</w:t>
      </w:r>
    </w:p>
    <w:p w:rsidR="00DE0EC2" w:rsidRPr="00DE0EC2" w:rsidRDefault="00DE0EC2" w:rsidP="00DE0EC2">
      <w:pPr>
        <w:pStyle w:val="TextoNormalSangraFrancesa"/>
        <w:rPr>
          <w:rStyle w:val="TextoNormalCaracter"/>
        </w:rPr>
      </w:pPr>
      <w:bookmarkStart w:id="1104" w:name="DESCRIPTORALFABETICO425"/>
      <w:r w:rsidRPr="00DE0EC2">
        <w:rPr>
          <w:rStyle w:val="TextoNormalNegritaCaracter"/>
        </w:rPr>
        <w:t>Notificación edictal de la subasta de una vivienda en ejecución de sentencia</w:t>
      </w:r>
      <w:bookmarkEnd w:id="1104"/>
      <w:r w:rsidRPr="00DE0EC2">
        <w:rPr>
          <w:rStyle w:val="TextoNormalCaracter"/>
        </w:rPr>
        <w:t xml:space="preserve">, Sentencia </w:t>
      </w:r>
      <w:hyperlink w:anchor="SENTENCIA_2021_116" w:history="1">
        <w:r w:rsidRPr="00DE0EC2">
          <w:rPr>
            <w:rStyle w:val="TextoNormalCaracter"/>
          </w:rPr>
          <w:t>116/2021</w:t>
        </w:r>
      </w:hyperlink>
      <w:r w:rsidRPr="00DE0EC2">
        <w:rPr>
          <w:rStyle w:val="TextoNormalCaracter"/>
        </w:rPr>
        <w:t>, f. 3.</w:t>
      </w:r>
    </w:p>
    <w:p w:rsidR="00DE0EC2" w:rsidRPr="00DE0EC2" w:rsidRDefault="00DE0EC2" w:rsidP="00DE0EC2">
      <w:pPr>
        <w:pStyle w:val="TextoNormalSangraFrancesa"/>
        <w:rPr>
          <w:rStyle w:val="TextoNormalCaracter"/>
        </w:rPr>
      </w:pPr>
      <w:bookmarkStart w:id="1105" w:name="DESCRIPTORALFABETICO443"/>
      <w:r w:rsidRPr="00DE0EC2">
        <w:rPr>
          <w:rStyle w:val="TextoNormalNegritaCaracter"/>
        </w:rPr>
        <w:t>Nueva valoración de la prueba en segunda instancia</w:t>
      </w:r>
      <w:bookmarkEnd w:id="1105"/>
      <w:r w:rsidRPr="00DE0EC2">
        <w:rPr>
          <w:rStyle w:val="TextoNormalCaracter"/>
        </w:rPr>
        <w:t xml:space="preserve">, Sentencias </w:t>
      </w:r>
      <w:hyperlink w:anchor="SENTENCIA_2021_18" w:history="1">
        <w:r w:rsidRPr="00DE0EC2">
          <w:rPr>
            <w:rStyle w:val="TextoNormalCaracter"/>
          </w:rPr>
          <w:t>18/2021</w:t>
        </w:r>
      </w:hyperlink>
      <w:r w:rsidRPr="00DE0EC2">
        <w:rPr>
          <w:rStyle w:val="TextoNormalCaracter"/>
        </w:rPr>
        <w:t xml:space="preserve">, ff. 3 a 7; </w:t>
      </w:r>
      <w:hyperlink w:anchor="SENTENCIA_2021_22" w:history="1">
        <w:r w:rsidRPr="00DE0EC2">
          <w:rPr>
            <w:rStyle w:val="TextoNormalCaracter"/>
          </w:rPr>
          <w:t>22/2021</w:t>
        </w:r>
      </w:hyperlink>
      <w:r w:rsidRPr="00DE0EC2">
        <w:rPr>
          <w:rStyle w:val="TextoNormalCaracter"/>
        </w:rPr>
        <w:t>, f. 2.</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O</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106" w:name="DESCRIPTORALFABETICO171"/>
      <w:r w:rsidRPr="00DE0EC2">
        <w:rPr>
          <w:rStyle w:val="TextoNormalNegritaCaracter"/>
        </w:rPr>
        <w:t>Objeto del conflicto negativo de competencias</w:t>
      </w:r>
      <w:bookmarkEnd w:id="1106"/>
      <w:r w:rsidRPr="00DE0EC2">
        <w:rPr>
          <w:rStyle w:val="TextoNormalCaracter"/>
        </w:rPr>
        <w:t xml:space="preserve">, Auto </w:t>
      </w:r>
      <w:hyperlink w:anchor="AUTO_2021_8" w:history="1">
        <w:r w:rsidRPr="00DE0EC2">
          <w:rPr>
            <w:rStyle w:val="TextoNormalCaracter"/>
          </w:rPr>
          <w:t>8/2021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07" w:name="DESCRIPTORALFABETICO132"/>
      <w:r w:rsidRPr="00DE0EC2">
        <w:rPr>
          <w:rStyle w:val="TextoNormalNegritaCaracter"/>
        </w:rPr>
        <w:t>Opinión pública libre</w:t>
      </w:r>
      <w:bookmarkEnd w:id="1107"/>
      <w:r w:rsidRPr="00DE0EC2">
        <w:rPr>
          <w:rStyle w:val="TextoNormalCaracter"/>
        </w:rPr>
        <w:t xml:space="preserve">, Sentencia </w:t>
      </w:r>
      <w:hyperlink w:anchor="SENTENCIA_2021_134" w:history="1">
        <w:r w:rsidRPr="00DE0EC2">
          <w:rPr>
            <w:rStyle w:val="TextoNormalCaracter"/>
          </w:rPr>
          <w:t>134/2021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08" w:name="DESCRIPTORALFABETICO474"/>
      <w:r w:rsidRPr="00DE0EC2">
        <w:rPr>
          <w:rStyle w:val="TextoNormalNegritaCaracter"/>
        </w:rPr>
        <w:t>Oposición a la ejecución hipotecaria</w:t>
      </w:r>
      <w:bookmarkEnd w:id="1108"/>
      <w:r w:rsidRPr="00DE0EC2">
        <w:rPr>
          <w:rStyle w:val="TextoNormalCaracter"/>
        </w:rPr>
        <w:t xml:space="preserve">, Sentencias </w:t>
      </w:r>
      <w:hyperlink w:anchor="SENTENCIA_2021_9" w:history="1">
        <w:r w:rsidRPr="00DE0EC2">
          <w:rPr>
            <w:rStyle w:val="TextoNormalCaracter"/>
          </w:rPr>
          <w:t>9/2021</w:t>
        </w:r>
      </w:hyperlink>
      <w:r w:rsidRPr="00DE0EC2">
        <w:rPr>
          <w:rStyle w:val="TextoNormalCaracter"/>
        </w:rPr>
        <w:t xml:space="preserve">, f. único; </w:t>
      </w:r>
      <w:hyperlink w:anchor="SENTENCIA_2021_10" w:history="1">
        <w:r w:rsidRPr="00DE0EC2">
          <w:rPr>
            <w:rStyle w:val="TextoNormalCaracter"/>
          </w:rPr>
          <w:t>10/2021</w:t>
        </w:r>
      </w:hyperlink>
      <w:r w:rsidRPr="00DE0EC2">
        <w:rPr>
          <w:rStyle w:val="TextoNormalCaracter"/>
        </w:rPr>
        <w:t xml:space="preserve">, f. único; </w:t>
      </w:r>
      <w:hyperlink w:anchor="SENTENCIA_2021_26" w:history="1">
        <w:r w:rsidRPr="00DE0EC2">
          <w:rPr>
            <w:rStyle w:val="TextoNormalCaracter"/>
          </w:rPr>
          <w:t>26/2021</w:t>
        </w:r>
      </w:hyperlink>
      <w:r w:rsidRPr="00DE0EC2">
        <w:rPr>
          <w:rStyle w:val="TextoNormalCaracter"/>
        </w:rPr>
        <w:t xml:space="preserve">, f. único; </w:t>
      </w:r>
      <w:hyperlink w:anchor="SENTENCIA_2021_27" w:history="1">
        <w:r w:rsidRPr="00DE0EC2">
          <w:rPr>
            <w:rStyle w:val="TextoNormalCaracter"/>
          </w:rPr>
          <w:t>27/2021</w:t>
        </w:r>
      </w:hyperlink>
      <w:r w:rsidRPr="00DE0EC2">
        <w:rPr>
          <w:rStyle w:val="TextoNormalCaracter"/>
        </w:rPr>
        <w:t xml:space="preserve">, f. único; </w:t>
      </w:r>
      <w:hyperlink w:anchor="SENTENCIA_2021_28" w:history="1">
        <w:r w:rsidRPr="00DE0EC2">
          <w:rPr>
            <w:rStyle w:val="TextoNormalCaracter"/>
          </w:rPr>
          <w:t>28/2021</w:t>
        </w:r>
      </w:hyperlink>
      <w:r w:rsidRPr="00DE0EC2">
        <w:rPr>
          <w:rStyle w:val="TextoNormalCaracter"/>
        </w:rPr>
        <w:t xml:space="preserve">, f. único; </w:t>
      </w:r>
      <w:hyperlink w:anchor="SENTENCIA_2021_30" w:history="1">
        <w:r w:rsidRPr="00DE0EC2">
          <w:rPr>
            <w:rStyle w:val="TextoNormalCaracter"/>
          </w:rPr>
          <w:t>30/2021</w:t>
        </w:r>
      </w:hyperlink>
      <w:r w:rsidRPr="00DE0EC2">
        <w:rPr>
          <w:rStyle w:val="TextoNormalCaracter"/>
        </w:rPr>
        <w:t xml:space="preserve">, f. único; </w:t>
      </w:r>
      <w:hyperlink w:anchor="SENTENCIA_2021_31" w:history="1">
        <w:r w:rsidRPr="00DE0EC2">
          <w:rPr>
            <w:rStyle w:val="TextoNormalCaracter"/>
          </w:rPr>
          <w:t>31/2021</w:t>
        </w:r>
      </w:hyperlink>
      <w:r w:rsidRPr="00DE0EC2">
        <w:rPr>
          <w:rStyle w:val="TextoNormalCaracter"/>
        </w:rPr>
        <w:t xml:space="preserve">, f. único; </w:t>
      </w:r>
      <w:hyperlink w:anchor="SENTENCIA_2021_32" w:history="1">
        <w:r w:rsidRPr="00DE0EC2">
          <w:rPr>
            <w:rStyle w:val="TextoNormalCaracter"/>
          </w:rPr>
          <w:t>32/2021</w:t>
        </w:r>
      </w:hyperlink>
      <w:r w:rsidRPr="00DE0EC2">
        <w:rPr>
          <w:rStyle w:val="TextoNormalCaracter"/>
        </w:rPr>
        <w:t xml:space="preserve">, f. único; </w:t>
      </w:r>
      <w:hyperlink w:anchor="SENTENCIA_2021_44" w:history="1">
        <w:r w:rsidRPr="00DE0EC2">
          <w:rPr>
            <w:rStyle w:val="TextoNormalCaracter"/>
          </w:rPr>
          <w:t>44/2021</w:t>
        </w:r>
      </w:hyperlink>
      <w:r w:rsidRPr="00DE0EC2">
        <w:rPr>
          <w:rStyle w:val="TextoNormalCaracter"/>
        </w:rPr>
        <w:t xml:space="preserve">, f. único; </w:t>
      </w:r>
      <w:hyperlink w:anchor="SENTENCIA_2021_45" w:history="1">
        <w:r w:rsidRPr="00DE0EC2">
          <w:rPr>
            <w:rStyle w:val="TextoNormalCaracter"/>
          </w:rPr>
          <w:t>45/2021</w:t>
        </w:r>
      </w:hyperlink>
      <w:r w:rsidRPr="00DE0EC2">
        <w:rPr>
          <w:rStyle w:val="TextoNormalCaracter"/>
        </w:rPr>
        <w:t xml:space="preserve">, f. único; </w:t>
      </w:r>
      <w:hyperlink w:anchor="SENTENCIA_2021_46" w:history="1">
        <w:r w:rsidRPr="00DE0EC2">
          <w:rPr>
            <w:rStyle w:val="TextoNormalCaracter"/>
          </w:rPr>
          <w:t>46/2021</w:t>
        </w:r>
      </w:hyperlink>
      <w:r w:rsidRPr="00DE0EC2">
        <w:rPr>
          <w:rStyle w:val="TextoNormalCaracter"/>
        </w:rPr>
        <w:t xml:space="preserve">, f. único; </w:t>
      </w:r>
      <w:hyperlink w:anchor="SENTENCIA_2021_47" w:history="1">
        <w:r w:rsidRPr="00DE0EC2">
          <w:rPr>
            <w:rStyle w:val="TextoNormalCaracter"/>
          </w:rPr>
          <w:t>47/2021</w:t>
        </w:r>
      </w:hyperlink>
      <w:r w:rsidRPr="00DE0EC2">
        <w:rPr>
          <w:rStyle w:val="TextoNormalCaracter"/>
        </w:rPr>
        <w:t xml:space="preserve">, f. único; </w:t>
      </w:r>
      <w:hyperlink w:anchor="SENTENCIA_2021_49" w:history="1">
        <w:r w:rsidRPr="00DE0EC2">
          <w:rPr>
            <w:rStyle w:val="TextoNormalCaracter"/>
          </w:rPr>
          <w:t>49/2021</w:t>
        </w:r>
      </w:hyperlink>
      <w:r w:rsidRPr="00DE0EC2">
        <w:rPr>
          <w:rStyle w:val="TextoNormalCaracter"/>
        </w:rPr>
        <w:t xml:space="preserve">, f. único; </w:t>
      </w:r>
      <w:hyperlink w:anchor="SENTENCIA_2021_52" w:history="1">
        <w:r w:rsidRPr="00DE0EC2">
          <w:rPr>
            <w:rStyle w:val="TextoNormalCaracter"/>
          </w:rPr>
          <w:t>52/2021</w:t>
        </w:r>
      </w:hyperlink>
      <w:r w:rsidRPr="00DE0EC2">
        <w:rPr>
          <w:rStyle w:val="TextoNormalCaracter"/>
        </w:rPr>
        <w:t xml:space="preserve">, f. 2; </w:t>
      </w:r>
      <w:hyperlink w:anchor="SENTENCIA_2021_56" w:history="1">
        <w:r w:rsidRPr="00DE0EC2">
          <w:rPr>
            <w:rStyle w:val="TextoNormalCaracter"/>
          </w:rPr>
          <w:t>56/2021</w:t>
        </w:r>
      </w:hyperlink>
      <w:r w:rsidRPr="00DE0EC2">
        <w:rPr>
          <w:rStyle w:val="TextoNormalCaracter"/>
        </w:rPr>
        <w:t xml:space="preserve">, f. 1; </w:t>
      </w:r>
      <w:hyperlink w:anchor="SENTENCIA_2021_58" w:history="1">
        <w:r w:rsidRPr="00DE0EC2">
          <w:rPr>
            <w:rStyle w:val="TextoNormalCaracter"/>
          </w:rPr>
          <w:t>58/2021</w:t>
        </w:r>
      </w:hyperlink>
      <w:r w:rsidRPr="00DE0EC2">
        <w:rPr>
          <w:rStyle w:val="TextoNormalCaracter"/>
        </w:rPr>
        <w:t xml:space="preserve">, f. único; </w:t>
      </w:r>
      <w:hyperlink w:anchor="SENTENCIA_2021_59" w:history="1">
        <w:r w:rsidRPr="00DE0EC2">
          <w:rPr>
            <w:rStyle w:val="TextoNormalCaracter"/>
          </w:rPr>
          <w:t>59/2021</w:t>
        </w:r>
      </w:hyperlink>
      <w:r w:rsidRPr="00DE0EC2">
        <w:rPr>
          <w:rStyle w:val="TextoNormalCaracter"/>
        </w:rPr>
        <w:t xml:space="preserve">, f. único; </w:t>
      </w:r>
      <w:hyperlink w:anchor="SENTENCIA_2021_62" w:history="1">
        <w:r w:rsidRPr="00DE0EC2">
          <w:rPr>
            <w:rStyle w:val="TextoNormalCaracter"/>
          </w:rPr>
          <w:t>62/2021</w:t>
        </w:r>
      </w:hyperlink>
      <w:r w:rsidRPr="00DE0EC2">
        <w:rPr>
          <w:rStyle w:val="TextoNormalCaracter"/>
        </w:rPr>
        <w:t xml:space="preserve">, ff. 1, 2; </w:t>
      </w:r>
      <w:hyperlink w:anchor="SENTENCIA_2021_84" w:history="1">
        <w:r w:rsidRPr="00DE0EC2">
          <w:rPr>
            <w:rStyle w:val="TextoNormalCaracter"/>
          </w:rPr>
          <w:t>84/2021</w:t>
        </w:r>
      </w:hyperlink>
      <w:r w:rsidRPr="00DE0EC2">
        <w:rPr>
          <w:rStyle w:val="TextoNormalCaracter"/>
        </w:rPr>
        <w:t xml:space="preserve">, f. único; </w:t>
      </w:r>
      <w:hyperlink w:anchor="SENTENCIA_2021_85" w:history="1">
        <w:r w:rsidRPr="00DE0EC2">
          <w:rPr>
            <w:rStyle w:val="TextoNormalCaracter"/>
          </w:rPr>
          <w:t>85/2021</w:t>
        </w:r>
      </w:hyperlink>
      <w:r w:rsidRPr="00DE0EC2">
        <w:rPr>
          <w:rStyle w:val="TextoNormalCaracter"/>
        </w:rPr>
        <w:t xml:space="preserve">, f. único; </w:t>
      </w:r>
      <w:hyperlink w:anchor="SENTENCIA_2021_86" w:history="1">
        <w:r w:rsidRPr="00DE0EC2">
          <w:rPr>
            <w:rStyle w:val="TextoNormalCaracter"/>
          </w:rPr>
          <w:t>86/2021</w:t>
        </w:r>
      </w:hyperlink>
      <w:r w:rsidRPr="00DE0EC2">
        <w:rPr>
          <w:rStyle w:val="TextoNormalCaracter"/>
        </w:rPr>
        <w:t xml:space="preserve">, f. único; </w:t>
      </w:r>
      <w:hyperlink w:anchor="SENTENCIA_2021_89" w:history="1">
        <w:r w:rsidRPr="00DE0EC2">
          <w:rPr>
            <w:rStyle w:val="TextoNormalCaracter"/>
          </w:rPr>
          <w:t>89/2021</w:t>
        </w:r>
      </w:hyperlink>
      <w:r w:rsidRPr="00DE0EC2">
        <w:rPr>
          <w:rStyle w:val="TextoNormalCaracter"/>
        </w:rPr>
        <w:t xml:space="preserve">, ff. 1, 2; </w:t>
      </w:r>
      <w:hyperlink w:anchor="SENTENCIA_2021_100" w:history="1">
        <w:r w:rsidRPr="00DE0EC2">
          <w:rPr>
            <w:rStyle w:val="TextoNormalCaracter"/>
          </w:rPr>
          <w:t>100/2021</w:t>
        </w:r>
      </w:hyperlink>
      <w:r w:rsidRPr="00DE0EC2">
        <w:rPr>
          <w:rStyle w:val="TextoNormalCaracter"/>
        </w:rPr>
        <w:t xml:space="preserve">, f. único; </w:t>
      </w:r>
      <w:hyperlink w:anchor="SENTENCIA_2021_103" w:history="1">
        <w:r w:rsidRPr="00DE0EC2">
          <w:rPr>
            <w:rStyle w:val="TextoNormalCaracter"/>
          </w:rPr>
          <w:t>103/2021</w:t>
        </w:r>
      </w:hyperlink>
      <w:r w:rsidRPr="00DE0EC2">
        <w:rPr>
          <w:rStyle w:val="TextoNormalCaracter"/>
        </w:rPr>
        <w:t xml:space="preserve">, f. único; </w:t>
      </w:r>
      <w:hyperlink w:anchor="SENTENCIA_2021_115" w:history="1">
        <w:r w:rsidRPr="00DE0EC2">
          <w:rPr>
            <w:rStyle w:val="TextoNormalCaracter"/>
          </w:rPr>
          <w:t>115/2021</w:t>
        </w:r>
      </w:hyperlink>
      <w:r w:rsidRPr="00DE0EC2">
        <w:rPr>
          <w:rStyle w:val="TextoNormalCaracter"/>
        </w:rPr>
        <w:t xml:space="preserve">, f. 2; </w:t>
      </w:r>
      <w:hyperlink w:anchor="SENTENCIA_2021_129" w:history="1">
        <w:r w:rsidRPr="00DE0EC2">
          <w:rPr>
            <w:rStyle w:val="TextoNormalCaracter"/>
          </w:rPr>
          <w:t>129/2021</w:t>
        </w:r>
      </w:hyperlink>
      <w:r w:rsidRPr="00DE0EC2">
        <w:rPr>
          <w:rStyle w:val="TextoNormalCaracter"/>
        </w:rPr>
        <w:t xml:space="preserve">, f. único; </w:t>
      </w:r>
      <w:hyperlink w:anchor="SENTENCIA_2021_131" w:history="1">
        <w:r w:rsidRPr="00DE0EC2">
          <w:rPr>
            <w:rStyle w:val="TextoNormalCaracter"/>
          </w:rPr>
          <w:t>131/2021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1109" w:name="DESCRIPTORALFABETICO449"/>
      <w:r w:rsidRPr="00DE0EC2">
        <w:rPr>
          <w:rStyle w:val="TextoNormalNegritaCaracter"/>
        </w:rPr>
        <w:t>Orden de alejamiento</w:t>
      </w:r>
      <w:bookmarkEnd w:id="1109"/>
      <w:r w:rsidRPr="00DE0EC2">
        <w:rPr>
          <w:rStyle w:val="TextoNormalCaracter"/>
        </w:rPr>
        <w:t xml:space="preserve">, Sentencia </w:t>
      </w:r>
      <w:hyperlink w:anchor="SENTENCIA_2021_78" w:history="1">
        <w:r w:rsidRPr="00DE0EC2">
          <w:rPr>
            <w:rStyle w:val="TextoNormalCaracter"/>
          </w:rPr>
          <w:t>78/2021</w:t>
        </w:r>
      </w:hyperlink>
      <w:r w:rsidRPr="00DE0EC2">
        <w:rPr>
          <w:rStyle w:val="TextoNormalCaracter"/>
        </w:rPr>
        <w:t>, ff. 3 a 7.</w:t>
      </w:r>
    </w:p>
    <w:p w:rsidR="00DE0EC2" w:rsidRPr="00DE0EC2" w:rsidRDefault="00DE0EC2" w:rsidP="00DE0EC2">
      <w:pPr>
        <w:pStyle w:val="TextoNormalSangraFrancesa"/>
        <w:rPr>
          <w:rStyle w:val="TextoNormalCaracter"/>
        </w:rPr>
      </w:pPr>
      <w:bookmarkStart w:id="1110" w:name="DESCRIPTORALFABETICO469"/>
      <w:r w:rsidRPr="00DE0EC2">
        <w:rPr>
          <w:rStyle w:val="TextoNormalNegritaCaracter"/>
        </w:rPr>
        <w:t>Orden público procesal</w:t>
      </w:r>
      <w:bookmarkEnd w:id="1110"/>
      <w:r w:rsidRPr="00DE0EC2">
        <w:rPr>
          <w:rStyle w:val="TextoNormalCaracter"/>
        </w:rPr>
        <w:t xml:space="preserve">, Sentencias </w:t>
      </w:r>
      <w:hyperlink w:anchor="SENTENCIA_2021_17" w:history="1">
        <w:r w:rsidRPr="00DE0EC2">
          <w:rPr>
            <w:rStyle w:val="TextoNormalCaracter"/>
          </w:rPr>
          <w:t>17/2021</w:t>
        </w:r>
      </w:hyperlink>
      <w:r w:rsidRPr="00DE0EC2">
        <w:rPr>
          <w:rStyle w:val="TextoNormalCaracter"/>
        </w:rPr>
        <w:t xml:space="preserve">, f. 2; </w:t>
      </w:r>
      <w:hyperlink w:anchor="SENTENCIA_2021_55" w:history="1">
        <w:r w:rsidRPr="00DE0EC2">
          <w:rPr>
            <w:rStyle w:val="TextoNormalCaracter"/>
          </w:rPr>
          <w:t>55/2021</w:t>
        </w:r>
      </w:hyperlink>
      <w:r w:rsidRPr="00DE0EC2">
        <w:rPr>
          <w:rStyle w:val="TextoNormalCaracter"/>
        </w:rPr>
        <w:t xml:space="preserve">, f. 3; </w:t>
      </w:r>
      <w:hyperlink w:anchor="SENTENCIA_2021_65" w:history="1">
        <w:r w:rsidRPr="00DE0EC2">
          <w:rPr>
            <w:rStyle w:val="TextoNormalCaracter"/>
          </w:rPr>
          <w:t>65/2021</w:t>
        </w:r>
      </w:hyperlink>
      <w:r w:rsidRPr="00DE0EC2">
        <w:rPr>
          <w:rStyle w:val="TextoNormalCaracter"/>
        </w:rPr>
        <w:t>, ff. 3, 5, 6.</w:t>
      </w:r>
    </w:p>
    <w:p w:rsidR="00DE0EC2" w:rsidRPr="00DE0EC2" w:rsidRDefault="00DE0EC2" w:rsidP="00DE0EC2">
      <w:pPr>
        <w:pStyle w:val="TextoNormalSangraFrancesa"/>
        <w:rPr>
          <w:rStyle w:val="TextoNormalCaracter"/>
        </w:rPr>
      </w:pPr>
      <w:bookmarkStart w:id="1111" w:name="DESCRIPTORALFABETICO31"/>
      <w:r w:rsidRPr="00DE0EC2">
        <w:rPr>
          <w:rStyle w:val="TextoNormalNegritaCaracter"/>
        </w:rPr>
        <w:t>Ordenación general de la economía</w:t>
      </w:r>
      <w:bookmarkEnd w:id="1111"/>
      <w:r w:rsidRPr="00DE0EC2">
        <w:rPr>
          <w:rStyle w:val="TextoNormalCaracter"/>
        </w:rPr>
        <w:t xml:space="preserve">, Sentencia </w:t>
      </w:r>
      <w:hyperlink w:anchor="SENTENCIA_2021_112" w:history="1">
        <w:r w:rsidRPr="00DE0EC2">
          <w:rPr>
            <w:rStyle w:val="TextoNormalCaracter"/>
          </w:rPr>
          <w:t>112/2021</w:t>
        </w:r>
      </w:hyperlink>
      <w:r w:rsidRPr="00DE0EC2">
        <w:rPr>
          <w:rStyle w:val="TextoNormalCaracter"/>
        </w:rPr>
        <w:t>, f. 3.</w:t>
      </w:r>
    </w:p>
    <w:p w:rsidR="00DE0EC2" w:rsidRPr="00DE0EC2" w:rsidRDefault="00DE0EC2" w:rsidP="00DE0EC2">
      <w:pPr>
        <w:pStyle w:val="TextoNormalSangraFrancesa"/>
        <w:rPr>
          <w:rStyle w:val="TextoNormalCaracter"/>
        </w:rPr>
      </w:pPr>
      <w:bookmarkStart w:id="1112" w:name="DESCRIPTORALFABETICO348"/>
      <w:r w:rsidRPr="00DE0EC2">
        <w:rPr>
          <w:rStyle w:val="TextoNormalNegritaCaracter"/>
        </w:rPr>
        <w:t>Organizaciones internacionales</w:t>
      </w:r>
      <w:bookmarkEnd w:id="1112"/>
      <w:r w:rsidRPr="00DE0EC2">
        <w:rPr>
          <w:rStyle w:val="TextoNormalCaracter"/>
        </w:rPr>
        <w:t xml:space="preserve">, Sentencia </w:t>
      </w:r>
      <w:hyperlink w:anchor="SENTENCIA_2021_120" w:history="1">
        <w:r w:rsidRPr="00DE0EC2">
          <w:rPr>
            <w:rStyle w:val="TextoNormalCaracter"/>
          </w:rPr>
          <w:t>120/2021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13" w:name="DESCRIPTORALFABETICO228"/>
      <w:r w:rsidRPr="00DE0EC2">
        <w:rPr>
          <w:rStyle w:val="TextoNormalNegritaCaracter"/>
        </w:rPr>
        <w:t>Orientaciones al legislador penal y penitenciario</w:t>
      </w:r>
      <w:bookmarkEnd w:id="1113"/>
      <w:r w:rsidRPr="00DE0EC2">
        <w:rPr>
          <w:rStyle w:val="TextoNormalCaracter"/>
        </w:rPr>
        <w:t xml:space="preserve">, Sentencia </w:t>
      </w:r>
      <w:hyperlink w:anchor="SENTENCIA_2021_99" w:history="1">
        <w:r w:rsidRPr="00DE0EC2">
          <w:rPr>
            <w:rStyle w:val="TextoNormalCaracter"/>
          </w:rPr>
          <w:t>99/2021</w:t>
        </w:r>
      </w:hyperlink>
      <w:r w:rsidRPr="00DE0EC2">
        <w:rPr>
          <w:rStyle w:val="TextoNormalCaracter"/>
        </w:rPr>
        <w:t>, f. 3.</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P</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114" w:name="DESCRIPTORALFABETICO506"/>
      <w:r w:rsidRPr="00DE0EC2">
        <w:rPr>
          <w:rStyle w:val="TextoNormalNegritaCaracter"/>
        </w:rPr>
        <w:t>País Vasco</w:t>
      </w:r>
      <w:bookmarkEnd w:id="1114"/>
      <w:r w:rsidRPr="00DE0EC2">
        <w:rPr>
          <w:rStyle w:val="TextoNormalCaracter"/>
        </w:rPr>
        <w:t xml:space="preserve">, Sentencias </w:t>
      </w:r>
      <w:hyperlink w:anchor="SENTENCIA_2021_15" w:history="1">
        <w:r w:rsidRPr="00DE0EC2">
          <w:rPr>
            <w:rStyle w:val="TextoNormalCaracter"/>
          </w:rPr>
          <w:t>15/2021</w:t>
        </w:r>
      </w:hyperlink>
      <w:r w:rsidRPr="00DE0EC2">
        <w:rPr>
          <w:rStyle w:val="TextoNormalCaracter"/>
        </w:rPr>
        <w:t xml:space="preserve">, f. 1; </w:t>
      </w:r>
      <w:hyperlink w:anchor="SENTENCIA_2021_38" w:history="1">
        <w:r w:rsidRPr="00DE0EC2">
          <w:rPr>
            <w:rStyle w:val="TextoNormalCaracter"/>
          </w:rPr>
          <w:t>38/2021</w:t>
        </w:r>
      </w:hyperlink>
      <w:r w:rsidRPr="00DE0EC2">
        <w:rPr>
          <w:rStyle w:val="TextoNormalCaracter"/>
        </w:rPr>
        <w:t>, f. 1.</w:t>
      </w:r>
    </w:p>
    <w:p w:rsidR="00DE0EC2" w:rsidRPr="00DE0EC2" w:rsidRDefault="00DE0EC2" w:rsidP="00DE0EC2">
      <w:pPr>
        <w:pStyle w:val="TextoNormalSangraFrancesa"/>
        <w:rPr>
          <w:rStyle w:val="TextoNormalCaracter"/>
        </w:rPr>
      </w:pPr>
      <w:bookmarkStart w:id="1115" w:name="DESCRIPTORALFABETICO245"/>
      <w:r w:rsidRPr="00DE0EC2">
        <w:rPr>
          <w:rStyle w:val="TextoNormalNegritaCaracter"/>
        </w:rPr>
        <w:t>Parlamento de Cataluña</w:t>
      </w:r>
      <w:bookmarkEnd w:id="1115"/>
      <w:r w:rsidRPr="00DE0EC2">
        <w:rPr>
          <w:rStyle w:val="TextoNormalCaracter"/>
        </w:rPr>
        <w:t xml:space="preserve">, Sentencia </w:t>
      </w:r>
      <w:hyperlink w:anchor="SENTENCIA_2021_66" w:history="1">
        <w:r w:rsidRPr="00DE0EC2">
          <w:rPr>
            <w:rStyle w:val="TextoNormalCaracter"/>
          </w:rPr>
          <w:t>66/2021</w:t>
        </w:r>
      </w:hyperlink>
      <w:r w:rsidRPr="00DE0EC2">
        <w:rPr>
          <w:rStyle w:val="TextoNormalCaracter"/>
        </w:rPr>
        <w:t>, f. 1.</w:t>
      </w:r>
    </w:p>
    <w:p w:rsidR="00DE0EC2" w:rsidRPr="00DE0EC2" w:rsidRDefault="00DE0EC2" w:rsidP="00DE0EC2">
      <w:pPr>
        <w:pStyle w:val="TextoNormalSangraFrancesa"/>
        <w:rPr>
          <w:rStyle w:val="TextoNormalCaracter"/>
        </w:rPr>
      </w:pPr>
      <w:bookmarkStart w:id="1116" w:name="DESCRIPTORALFABETICO246"/>
      <w:r w:rsidRPr="00DE0EC2">
        <w:rPr>
          <w:rStyle w:val="TextoNormalNegritaCaracter"/>
        </w:rPr>
        <w:t>Participación de las asambleas legislativas de las Comunidades Autónomas</w:t>
      </w:r>
      <w:bookmarkEnd w:id="1116"/>
      <w:r w:rsidRPr="00DE0EC2">
        <w:rPr>
          <w:rStyle w:val="TextoNormalCaracter"/>
        </w:rPr>
        <w:t xml:space="preserve">, Sentencia </w:t>
      </w:r>
      <w:hyperlink w:anchor="SENTENCIA_2021_75" w:history="1">
        <w:r w:rsidRPr="00DE0EC2">
          <w:rPr>
            <w:rStyle w:val="TextoNormalCaracter"/>
          </w:rPr>
          <w:t>75/2021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1117" w:name="DESCRIPTORALFABETICO29"/>
      <w:r w:rsidRPr="00DE0EC2">
        <w:rPr>
          <w:rStyle w:val="TextoNormalNegritaCaracter"/>
        </w:rPr>
        <w:t>Participación de los entes locales en los ingresos de las Comunidades Autónomas</w:t>
      </w:r>
      <w:bookmarkEnd w:id="1117"/>
      <w:r w:rsidRPr="00DE0EC2">
        <w:rPr>
          <w:rStyle w:val="TextoNormalCaracter"/>
        </w:rPr>
        <w:t xml:space="preserve">, Sentencia </w:t>
      </w:r>
      <w:hyperlink w:anchor="SENTENCIA_2021_40" w:history="1">
        <w:r w:rsidRPr="00DE0EC2">
          <w:rPr>
            <w:rStyle w:val="TextoNormalCaracter"/>
          </w:rPr>
          <w:t>40/2021</w:t>
        </w:r>
      </w:hyperlink>
      <w:r w:rsidRPr="00DE0EC2">
        <w:rPr>
          <w:rStyle w:val="TextoNormalCaracter"/>
        </w:rPr>
        <w:t>, ff. 1, 3, 5.</w:t>
      </w:r>
    </w:p>
    <w:p w:rsidR="00DE0EC2" w:rsidRPr="00DE0EC2" w:rsidRDefault="00DE0EC2" w:rsidP="00DE0EC2">
      <w:pPr>
        <w:pStyle w:val="TextoNormalSangraFrancesa"/>
        <w:rPr>
          <w:rStyle w:val="TextoNormalCaracter"/>
        </w:rPr>
      </w:pPr>
      <w:bookmarkStart w:id="1118" w:name="DESCRIPTORALFABETICO102"/>
      <w:r w:rsidRPr="00DE0EC2">
        <w:rPr>
          <w:rStyle w:val="TextoNormalNegritaCaracter"/>
        </w:rPr>
        <w:t>Participación política</w:t>
      </w:r>
      <w:bookmarkEnd w:id="1118"/>
      <w:r w:rsidRPr="00DE0EC2">
        <w:rPr>
          <w:rStyle w:val="TextoNormalCaracter"/>
        </w:rPr>
        <w:t xml:space="preserve">, Sentencias </w:t>
      </w:r>
      <w:hyperlink w:anchor="SENTENCIA_2021_126" w:history="1">
        <w:r w:rsidRPr="00DE0EC2">
          <w:rPr>
            <w:rStyle w:val="TextoNormalCaracter"/>
          </w:rPr>
          <w:t>126/2021</w:t>
        </w:r>
      </w:hyperlink>
      <w:r w:rsidRPr="00DE0EC2">
        <w:rPr>
          <w:rStyle w:val="TextoNormalCaracter"/>
        </w:rPr>
        <w:t xml:space="preserve">, ff. 1 a 7; </w:t>
      </w:r>
      <w:hyperlink w:anchor="SENTENCIA_2021_133" w:history="1">
        <w:r w:rsidRPr="00DE0EC2">
          <w:rPr>
            <w:rStyle w:val="TextoNormalCaracter"/>
          </w:rPr>
          <w:t>133/2021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1119" w:name="DESCRIPTORALFABETICO297"/>
      <w:r w:rsidRPr="00DE0EC2">
        <w:rPr>
          <w:rStyle w:val="TextoNormalNegritaCaracter"/>
        </w:rPr>
        <w:t>Patrimonio cultural</w:t>
      </w:r>
      <w:bookmarkEnd w:id="1119"/>
      <w:r w:rsidRPr="00DE0EC2">
        <w:rPr>
          <w:rStyle w:val="TextoNormalCaracter"/>
        </w:rPr>
        <w:t xml:space="preserve">, Sentencia </w:t>
      </w:r>
      <w:hyperlink w:anchor="SENTENCIA_2021_93" w:history="1">
        <w:r w:rsidRPr="00DE0EC2">
          <w:rPr>
            <w:rStyle w:val="TextoNormalCaracter"/>
          </w:rPr>
          <w:t>93/2021</w:t>
        </w:r>
      </w:hyperlink>
      <w:r w:rsidRPr="00DE0EC2">
        <w:rPr>
          <w:rStyle w:val="TextoNormalCaracter"/>
        </w:rPr>
        <w:t>, f. 7, VP I.</w:t>
      </w:r>
    </w:p>
    <w:p w:rsidR="00DE0EC2" w:rsidRPr="00DE0EC2" w:rsidRDefault="00DE0EC2" w:rsidP="00DE0EC2">
      <w:pPr>
        <w:pStyle w:val="TextoNormalSangraFrancesa"/>
        <w:rPr>
          <w:rStyle w:val="TextoNormalCaracter"/>
        </w:rPr>
      </w:pPr>
      <w:bookmarkStart w:id="1120" w:name="DESCRIPTORALFABETICO455"/>
      <w:r w:rsidRPr="00DE0EC2">
        <w:rPr>
          <w:rStyle w:val="TextoNormalNegritaCaracter"/>
        </w:rPr>
        <w:t>Pena superior a la solicitada por la acusación</w:t>
      </w:r>
      <w:bookmarkEnd w:id="1120"/>
      <w:r w:rsidRPr="00DE0EC2">
        <w:rPr>
          <w:rStyle w:val="TextoNormalCaracter"/>
        </w:rPr>
        <w:t xml:space="preserve">, Sentencia </w:t>
      </w:r>
      <w:hyperlink w:anchor="SENTENCIA_2021_91" w:history="1">
        <w:r w:rsidRPr="00DE0EC2">
          <w:rPr>
            <w:rStyle w:val="TextoNormalCaracter"/>
          </w:rPr>
          <w:t>91/2021</w:t>
        </w:r>
      </w:hyperlink>
      <w:r w:rsidRPr="00DE0EC2">
        <w:rPr>
          <w:rStyle w:val="TextoNormalCaracter"/>
        </w:rPr>
        <w:t>, f. 10.</w:t>
      </w:r>
    </w:p>
    <w:p w:rsidR="00DE0EC2" w:rsidRPr="00DE0EC2" w:rsidRDefault="00DE0EC2" w:rsidP="00DE0EC2">
      <w:pPr>
        <w:pStyle w:val="TextoNormalSangraFrancesa"/>
        <w:rPr>
          <w:rStyle w:val="TextoNormalCaracter"/>
        </w:rPr>
      </w:pPr>
      <w:bookmarkStart w:id="1121" w:name="DESCRIPTORALFABETICO399"/>
      <w:r w:rsidRPr="00DE0EC2">
        <w:rPr>
          <w:rStyle w:val="TextoNormalNegritaCaracter"/>
        </w:rPr>
        <w:t>Pensión de viudedad</w:t>
      </w:r>
      <w:bookmarkEnd w:id="1121"/>
      <w:r w:rsidRPr="00DE0EC2">
        <w:rPr>
          <w:rStyle w:val="TextoNormalCaracter"/>
        </w:rPr>
        <w:t xml:space="preserve">, Sentencia </w:t>
      </w:r>
      <w:hyperlink w:anchor="SENTENCIA_2021_1" w:history="1">
        <w:r w:rsidRPr="00DE0EC2">
          <w:rPr>
            <w:rStyle w:val="TextoNormalCaracter"/>
          </w:rPr>
          <w:t>1/2021</w:t>
        </w:r>
      </w:hyperlink>
      <w:r w:rsidRPr="00DE0EC2">
        <w:rPr>
          <w:rStyle w:val="TextoNormalCaracter"/>
        </w:rPr>
        <w:t>, ff. 3 a 7.</w:t>
      </w:r>
    </w:p>
    <w:p w:rsidR="00DE0EC2" w:rsidRPr="00DE0EC2" w:rsidRDefault="00DE0EC2" w:rsidP="00DE0EC2">
      <w:pPr>
        <w:pStyle w:val="TextoNormalSangraFrancesa"/>
        <w:rPr>
          <w:rStyle w:val="TextoNormalCaracter"/>
        </w:rPr>
      </w:pPr>
      <w:bookmarkStart w:id="1122" w:name="DESCRIPTORALFABETICO146"/>
      <w:r w:rsidRPr="00DE0EC2">
        <w:rPr>
          <w:rStyle w:val="TextoNormalNegritaCaracter"/>
        </w:rPr>
        <w:t>Pérdida sobrevenida de objeto del incidente de suspensión cautelar</w:t>
      </w:r>
      <w:bookmarkEnd w:id="1122"/>
      <w:r w:rsidRPr="00DE0EC2">
        <w:rPr>
          <w:rStyle w:val="TextoNormalCaracter"/>
        </w:rPr>
        <w:t xml:space="preserve">, Auto </w:t>
      </w:r>
      <w:hyperlink w:anchor="AUTO_2021_46" w:history="1">
        <w:r w:rsidRPr="00DE0EC2">
          <w:rPr>
            <w:rStyle w:val="TextoNormalCaracter"/>
          </w:rPr>
          <w:t>46/2021</w:t>
        </w:r>
      </w:hyperlink>
      <w:r w:rsidRPr="00DE0EC2">
        <w:rPr>
          <w:rStyle w:val="TextoNormalCaracter"/>
        </w:rPr>
        <w:t>.</w:t>
      </w:r>
    </w:p>
    <w:p w:rsidR="00DE0EC2" w:rsidRPr="00DE0EC2" w:rsidRDefault="00DE0EC2" w:rsidP="00DE0EC2">
      <w:pPr>
        <w:pStyle w:val="TextoNormalSangraFrancesa"/>
        <w:rPr>
          <w:rStyle w:val="TextoNormalCaracter"/>
        </w:rPr>
      </w:pPr>
      <w:bookmarkStart w:id="1123" w:name="DESCRIPTORALFABETICO160"/>
      <w:r w:rsidRPr="00DE0EC2">
        <w:rPr>
          <w:rStyle w:val="TextoNormalNegritaCaracter"/>
        </w:rPr>
        <w:t>Pérdida sobrevenida de objeto por declaración de inconstitucionalidad de la norma</w:t>
      </w:r>
      <w:bookmarkEnd w:id="1123"/>
      <w:r w:rsidRPr="00DE0EC2">
        <w:rPr>
          <w:rStyle w:val="TextoNormalCaracter"/>
        </w:rPr>
        <w:t xml:space="preserve">, Sentencia </w:t>
      </w:r>
      <w:hyperlink w:anchor="SENTENCIA_2021_124" w:history="1">
        <w:r w:rsidRPr="00DE0EC2">
          <w:rPr>
            <w:rStyle w:val="TextoNormalCaracter"/>
          </w:rPr>
          <w:t>124/2021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24" w:name="DESCRIPTORALFABETICO475"/>
      <w:r w:rsidRPr="00DE0EC2">
        <w:rPr>
          <w:rStyle w:val="TextoNormalNegritaCaracter"/>
        </w:rPr>
        <w:t>Personación en el procedimiento de ejecución</w:t>
      </w:r>
      <w:bookmarkEnd w:id="1124"/>
      <w:r w:rsidRPr="00DE0EC2">
        <w:rPr>
          <w:rStyle w:val="TextoNormalCaracter"/>
        </w:rPr>
        <w:t xml:space="preserve">, Sentencia </w:t>
      </w:r>
      <w:hyperlink w:anchor="SENTENCIA_2021_116" w:history="1">
        <w:r w:rsidRPr="00DE0EC2">
          <w:rPr>
            <w:rStyle w:val="TextoNormalCaracter"/>
          </w:rPr>
          <w:t>116/2021</w:t>
        </w:r>
      </w:hyperlink>
      <w:r w:rsidRPr="00DE0EC2">
        <w:rPr>
          <w:rStyle w:val="TextoNormalCaracter"/>
        </w:rPr>
        <w:t>, f. 3.</w:t>
      </w:r>
    </w:p>
    <w:p w:rsidR="00DE0EC2" w:rsidRPr="00DE0EC2" w:rsidRDefault="00DE0EC2" w:rsidP="00DE0EC2">
      <w:pPr>
        <w:pStyle w:val="TextoNormalSangraFrancesa"/>
        <w:rPr>
          <w:rStyle w:val="TextoNormalCaracter"/>
        </w:rPr>
      </w:pPr>
      <w:bookmarkStart w:id="1125" w:name="DESCRIPTORALFABETICO285"/>
      <w:r w:rsidRPr="00DE0EC2">
        <w:rPr>
          <w:rStyle w:val="TextoNormalNegritaCaracter"/>
        </w:rPr>
        <w:t>Personal estatutario</w:t>
      </w:r>
      <w:bookmarkEnd w:id="1125"/>
      <w:r w:rsidRPr="00DE0EC2">
        <w:rPr>
          <w:rStyle w:val="TextoNormalCaracter"/>
        </w:rPr>
        <w:t xml:space="preserve">, Sentencia </w:t>
      </w:r>
      <w:hyperlink w:anchor="SENTENCIA_2021_109" w:history="1">
        <w:r w:rsidRPr="00DE0EC2">
          <w:rPr>
            <w:rStyle w:val="TextoNormalCaracter"/>
          </w:rPr>
          <w:t>109/2021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26" w:name="DESCRIPTORALFABETICO183"/>
      <w:r w:rsidRPr="00DE0EC2">
        <w:rPr>
          <w:rStyle w:val="TextoNormalNegritaCaracter"/>
        </w:rPr>
        <w:t>Pervivencia del objeto del recurso de inconstitucionalidad</w:t>
      </w:r>
      <w:bookmarkEnd w:id="1126"/>
      <w:r w:rsidRPr="00DE0EC2">
        <w:rPr>
          <w:rStyle w:val="TextoNormalCaracter"/>
        </w:rPr>
        <w:t xml:space="preserve">, Sentencia </w:t>
      </w:r>
      <w:hyperlink w:anchor="SENTENCIA_2021_72" w:history="1">
        <w:r w:rsidRPr="00DE0EC2">
          <w:rPr>
            <w:rStyle w:val="TextoNormalCaracter"/>
          </w:rPr>
          <w:t>72/2021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27" w:name="DESCRIPTORALFABETICO337"/>
      <w:r w:rsidRPr="00DE0EC2">
        <w:rPr>
          <w:rStyle w:val="TextoNormalNegritaCaracter"/>
        </w:rPr>
        <w:t>Planeamiento urbanístico</w:t>
      </w:r>
      <w:bookmarkEnd w:id="1127"/>
      <w:r w:rsidRPr="00DE0EC2">
        <w:rPr>
          <w:rStyle w:val="TextoNormalCaracter"/>
        </w:rPr>
        <w:t xml:space="preserve">, Sentencia </w:t>
      </w:r>
      <w:hyperlink w:anchor="SENTENCIA_2021_123" w:history="1">
        <w:r w:rsidRPr="00DE0EC2">
          <w:rPr>
            <w:rStyle w:val="TextoNormalCaracter"/>
          </w:rPr>
          <w:t>123/2021</w:t>
        </w:r>
      </w:hyperlink>
      <w:r w:rsidRPr="00DE0EC2">
        <w:rPr>
          <w:rStyle w:val="TextoNormalCaracter"/>
        </w:rPr>
        <w:t>, ff. 4, 5.</w:t>
      </w:r>
    </w:p>
    <w:p w:rsidR="00DE0EC2" w:rsidRPr="00DE0EC2" w:rsidRDefault="00DE0EC2" w:rsidP="00DE0EC2">
      <w:pPr>
        <w:pStyle w:val="TextoNormalSangraFrancesa"/>
        <w:rPr>
          <w:rStyle w:val="TextoNormalCaracter"/>
        </w:rPr>
      </w:pPr>
      <w:bookmarkStart w:id="1128" w:name="DESCRIPTORALFABETICO283"/>
      <w:r w:rsidRPr="00DE0EC2">
        <w:rPr>
          <w:rStyle w:val="TextoNormalNegritaCaracter"/>
        </w:rPr>
        <w:t>Plataforma de contratación del sector público</w:t>
      </w:r>
      <w:bookmarkEnd w:id="1128"/>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 8.</w:t>
      </w:r>
    </w:p>
    <w:p w:rsidR="00DE0EC2" w:rsidRPr="00DE0EC2" w:rsidRDefault="00DE0EC2" w:rsidP="00DE0EC2">
      <w:pPr>
        <w:pStyle w:val="TextoNormalSangraFrancesa"/>
        <w:rPr>
          <w:rStyle w:val="TextoNormalCaracter"/>
        </w:rPr>
      </w:pPr>
      <w:bookmarkStart w:id="1129" w:name="DESCRIPTORALFABETICO184"/>
      <w:r w:rsidRPr="00DE0EC2">
        <w:rPr>
          <w:rStyle w:val="TextoNormalNegritaCaracter"/>
        </w:rPr>
        <w:t>Plazo de interposición de recurso de inconstitucionalidad</w:t>
      </w:r>
      <w:bookmarkEnd w:id="1129"/>
      <w:r w:rsidRPr="00DE0EC2">
        <w:rPr>
          <w:rStyle w:val="TextoNormalCaracter"/>
        </w:rPr>
        <w:t xml:space="preserve">, Auto </w:t>
      </w:r>
      <w:hyperlink w:anchor="AUTO_2021_7" w:history="1">
        <w:r w:rsidRPr="00DE0EC2">
          <w:rPr>
            <w:rStyle w:val="TextoNormalCaracter"/>
          </w:rPr>
          <w:t>7/2021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130" w:name="DESCRIPTORALFABETICO272"/>
      <w:r w:rsidRPr="00DE0EC2">
        <w:rPr>
          <w:rStyle w:val="TextoNormalNegritaCaracter"/>
        </w:rPr>
        <w:t>Pluralismo lingüístico</w:t>
      </w:r>
      <w:bookmarkEnd w:id="1130"/>
      <w:r w:rsidRPr="00DE0EC2">
        <w:rPr>
          <w:rStyle w:val="TextoNormalCaracter"/>
        </w:rPr>
        <w:t xml:space="preserve">, Sentencia </w:t>
      </w:r>
      <w:hyperlink w:anchor="SENTENCIA_2021_75" w:history="1">
        <w:r w:rsidRPr="00DE0EC2">
          <w:rPr>
            <w:rStyle w:val="TextoNormalCaracter"/>
          </w:rPr>
          <w:t>75/2021</w:t>
        </w:r>
      </w:hyperlink>
      <w:r w:rsidRPr="00DE0EC2">
        <w:rPr>
          <w:rStyle w:val="TextoNormalCaracter"/>
        </w:rPr>
        <w:t>, ff. 2, 3 VP I, II.</w:t>
      </w:r>
    </w:p>
    <w:p w:rsidR="00DE0EC2" w:rsidRPr="00DE0EC2" w:rsidRDefault="00DE0EC2" w:rsidP="00DE0EC2">
      <w:pPr>
        <w:pStyle w:val="TextoNormalSangraFrancesa"/>
        <w:rPr>
          <w:rStyle w:val="TextoNormalCaracter"/>
        </w:rPr>
      </w:pPr>
      <w:bookmarkStart w:id="1131" w:name="DESCRIPTORALFABETICO265"/>
      <w:r w:rsidRPr="00DE0EC2">
        <w:rPr>
          <w:rStyle w:val="TextoNormalNegritaCaracter"/>
        </w:rPr>
        <w:t>Pluralismo político</w:t>
      </w:r>
      <w:bookmarkEnd w:id="1131"/>
      <w:r w:rsidRPr="00DE0EC2">
        <w:rPr>
          <w:rStyle w:val="TextoNormalCaracter"/>
        </w:rPr>
        <w:t xml:space="preserve">, Sentencia </w:t>
      </w:r>
      <w:hyperlink w:anchor="SENTENCIA_2021_134" w:history="1">
        <w:r w:rsidRPr="00DE0EC2">
          <w:rPr>
            <w:rStyle w:val="TextoNormalCaracter"/>
          </w:rPr>
          <w:t>134/2021</w:t>
        </w:r>
      </w:hyperlink>
      <w:r w:rsidRPr="00DE0EC2">
        <w:rPr>
          <w:rStyle w:val="TextoNormalCaracter"/>
        </w:rPr>
        <w:t>, f. 5.</w:t>
      </w:r>
    </w:p>
    <w:p w:rsidR="00DE0EC2" w:rsidRPr="00DE0EC2" w:rsidRDefault="00DE0EC2" w:rsidP="00DE0EC2">
      <w:pPr>
        <w:pStyle w:val="TextoNormalSangraFrancesa"/>
        <w:rPr>
          <w:rStyle w:val="TextoNormalCaracter"/>
        </w:rPr>
      </w:pPr>
      <w:bookmarkStart w:id="1132" w:name="DESCRIPTORALFABETICO324"/>
      <w:r w:rsidRPr="00DE0EC2">
        <w:rPr>
          <w:rStyle w:val="TextoNormalNegritaCaracter"/>
        </w:rPr>
        <w:t>Policía local</w:t>
      </w:r>
      <w:bookmarkEnd w:id="1132"/>
      <w:r w:rsidRPr="00DE0EC2">
        <w:rPr>
          <w:rStyle w:val="TextoNormalCaracter"/>
        </w:rPr>
        <w:t xml:space="preserve">, Sentencia </w:t>
      </w:r>
      <w:hyperlink w:anchor="SENTENCIA_2021_38" w:history="1">
        <w:r w:rsidRPr="00DE0EC2">
          <w:rPr>
            <w:rStyle w:val="TextoNormalCaracter"/>
          </w:rPr>
          <w:t>38/2021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33" w:name="DESCRIPTORALFABETICO141"/>
      <w:r w:rsidRPr="00DE0EC2">
        <w:rPr>
          <w:rStyle w:val="TextoNormalNegritaCaracter"/>
        </w:rPr>
        <w:t>Ponderación entre el derecho al honor y la libertad de expresión</w:t>
      </w:r>
      <w:bookmarkEnd w:id="1133"/>
      <w:r w:rsidRPr="00DE0EC2">
        <w:rPr>
          <w:rStyle w:val="TextoNormalCaracter"/>
        </w:rPr>
        <w:t xml:space="preserve">, Sentencia </w:t>
      </w:r>
      <w:hyperlink w:anchor="SENTENCIA_2021_93" w:history="1">
        <w:r w:rsidRPr="00DE0EC2">
          <w:rPr>
            <w:rStyle w:val="TextoNormalCaracter"/>
          </w:rPr>
          <w:t>93/2021</w:t>
        </w:r>
      </w:hyperlink>
      <w:r w:rsidRPr="00DE0EC2">
        <w:rPr>
          <w:rStyle w:val="TextoNormalCaracter"/>
        </w:rPr>
        <w:t>, f. 7, VP I.</w:t>
      </w:r>
    </w:p>
    <w:p w:rsidR="00DE0EC2" w:rsidRPr="00DE0EC2" w:rsidRDefault="00DE0EC2" w:rsidP="00DE0EC2">
      <w:pPr>
        <w:pStyle w:val="TextoNormalSangraFrancesa"/>
        <w:rPr>
          <w:rStyle w:val="TextoNormalCaracter"/>
        </w:rPr>
      </w:pPr>
      <w:bookmarkStart w:id="1134" w:name="DESCRIPTORALFABETICO142"/>
      <w:r w:rsidRPr="00DE0EC2">
        <w:rPr>
          <w:rStyle w:val="TextoNormalNegritaCaracter"/>
        </w:rPr>
        <w:t>Ponderación judicial en caso de conflicto con otros derechos</w:t>
      </w:r>
      <w:bookmarkEnd w:id="1134"/>
      <w:r w:rsidRPr="00DE0EC2">
        <w:rPr>
          <w:rStyle w:val="TextoNormalCaracter"/>
        </w:rPr>
        <w:t xml:space="preserve">, Sentencia </w:t>
      </w:r>
      <w:hyperlink w:anchor="SENTENCIA_2021_133" w:history="1">
        <w:r w:rsidRPr="00DE0EC2">
          <w:rPr>
            <w:rStyle w:val="TextoNormalCaracter"/>
          </w:rPr>
          <w:t>133/2021</w:t>
        </w:r>
      </w:hyperlink>
      <w:r w:rsidRPr="00DE0EC2">
        <w:rPr>
          <w:rStyle w:val="TextoNormalCaracter"/>
        </w:rPr>
        <w:t>, ff. 3 a 5.</w:t>
      </w:r>
    </w:p>
    <w:p w:rsidR="00DE0EC2" w:rsidRPr="00DE0EC2" w:rsidRDefault="00DE0EC2" w:rsidP="00DE0EC2">
      <w:pPr>
        <w:pStyle w:val="TextoNormalSangraFrancesa"/>
        <w:rPr>
          <w:rStyle w:val="TextoNormalCaracter"/>
        </w:rPr>
      </w:pPr>
      <w:bookmarkStart w:id="1135" w:name="DESCRIPTORALFABETICO7"/>
      <w:r w:rsidRPr="00DE0EC2">
        <w:rPr>
          <w:rStyle w:val="TextoNormalNegritaCaracter"/>
        </w:rPr>
        <w:t>Potestades ejecutivas</w:t>
      </w:r>
      <w:bookmarkEnd w:id="1135"/>
      <w:r w:rsidRPr="00DE0EC2">
        <w:rPr>
          <w:rStyle w:val="TextoNormalCaracter"/>
        </w:rPr>
        <w:t xml:space="preserve">, Sentencias </w:t>
      </w:r>
      <w:hyperlink w:anchor="SENTENCIA_2021_36" w:history="1">
        <w:r w:rsidRPr="00DE0EC2">
          <w:rPr>
            <w:rStyle w:val="TextoNormalCaracter"/>
          </w:rPr>
          <w:t>36/2021</w:t>
        </w:r>
      </w:hyperlink>
      <w:r w:rsidRPr="00DE0EC2">
        <w:rPr>
          <w:rStyle w:val="TextoNormalCaracter"/>
        </w:rPr>
        <w:t xml:space="preserve">, ff. 9, 12, 13; </w:t>
      </w:r>
      <w:hyperlink w:anchor="SENTENCIA_2021_39" w:history="1">
        <w:r w:rsidRPr="00DE0EC2">
          <w:rPr>
            <w:rStyle w:val="TextoNormalCaracter"/>
          </w:rPr>
          <w:t>39/2021</w:t>
        </w:r>
      </w:hyperlink>
      <w:r w:rsidRPr="00DE0EC2">
        <w:rPr>
          <w:rStyle w:val="TextoNormalCaracter"/>
        </w:rPr>
        <w:t>, f. 3.</w:t>
      </w:r>
    </w:p>
    <w:p w:rsidR="00DE0EC2" w:rsidRPr="00DE0EC2" w:rsidRDefault="00DE0EC2" w:rsidP="00DE0EC2">
      <w:pPr>
        <w:pStyle w:val="TextoNormalSangraFrancesa"/>
        <w:rPr>
          <w:rStyle w:val="TextoNormalCaracter"/>
        </w:rPr>
      </w:pPr>
      <w:bookmarkStart w:id="1136" w:name="DESCRIPTORALFABETICO375"/>
      <w:r w:rsidRPr="00DE0EC2">
        <w:rPr>
          <w:rStyle w:val="TextoNormalNegritaCaracter"/>
        </w:rPr>
        <w:t>Preámbulo de textos legales</w:t>
      </w:r>
      <w:bookmarkEnd w:id="1136"/>
      <w:r w:rsidRPr="00DE0EC2">
        <w:rPr>
          <w:rStyle w:val="TextoNormalCaracter"/>
        </w:rPr>
        <w:t xml:space="preserve">, Sentencia </w:t>
      </w:r>
      <w:hyperlink w:anchor="SENTENCIA_2021_37" w:history="1">
        <w:r w:rsidRPr="00DE0EC2">
          <w:rPr>
            <w:rStyle w:val="TextoNormalCaracter"/>
          </w:rPr>
          <w:t>37/2021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37" w:name="DESCRIPTORALFABETICO415"/>
      <w:r w:rsidRPr="00DE0EC2">
        <w:rPr>
          <w:rStyle w:val="TextoNormalNegritaCaracter"/>
        </w:rPr>
        <w:t>Preclusión</w:t>
      </w:r>
      <w:bookmarkEnd w:id="1137"/>
      <w:r w:rsidRPr="00DE0EC2">
        <w:rPr>
          <w:rStyle w:val="TextoNormalCaracter"/>
        </w:rPr>
        <w:t xml:space="preserve">, Sentencias </w:t>
      </w:r>
      <w:hyperlink w:anchor="SENTENCIA_2021_101" w:history="1">
        <w:r w:rsidRPr="00DE0EC2">
          <w:rPr>
            <w:rStyle w:val="TextoNormalCaracter"/>
          </w:rPr>
          <w:t>101/2021</w:t>
        </w:r>
      </w:hyperlink>
      <w:r w:rsidRPr="00DE0EC2">
        <w:rPr>
          <w:rStyle w:val="TextoNormalCaracter"/>
        </w:rPr>
        <w:t xml:space="preserve">, ff. 3, 4; </w:t>
      </w:r>
      <w:hyperlink w:anchor="SENTENCIA_2021_102" w:history="1">
        <w:r w:rsidRPr="00DE0EC2">
          <w:rPr>
            <w:rStyle w:val="TextoNormalCaracter"/>
          </w:rPr>
          <w:t>102/2021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38" w:name="DESCRIPTORALFABETICO359"/>
      <w:r w:rsidRPr="00DE0EC2">
        <w:rPr>
          <w:rStyle w:val="TextoNormalNegritaCaracter"/>
        </w:rPr>
        <w:t>Presupuesto habilitante</w:t>
      </w:r>
      <w:bookmarkEnd w:id="1138"/>
      <w:r w:rsidRPr="00DE0EC2">
        <w:rPr>
          <w:rStyle w:val="TextoNormalCaracter"/>
        </w:rPr>
        <w:t xml:space="preserve">, Sentencias </w:t>
      </w:r>
      <w:hyperlink w:anchor="SENTENCIA_2021_16" w:history="1">
        <w:r w:rsidRPr="00DE0EC2">
          <w:rPr>
            <w:rStyle w:val="TextoNormalCaracter"/>
          </w:rPr>
          <w:t>16/2021</w:t>
        </w:r>
      </w:hyperlink>
      <w:r w:rsidRPr="00DE0EC2">
        <w:rPr>
          <w:rStyle w:val="TextoNormalCaracter"/>
        </w:rPr>
        <w:t xml:space="preserve">, ff. 3, 4; </w:t>
      </w:r>
      <w:hyperlink w:anchor="SENTENCIA_2021_40" w:history="1">
        <w:r w:rsidRPr="00DE0EC2">
          <w:rPr>
            <w:rStyle w:val="TextoNormalCaracter"/>
          </w:rPr>
          <w:t>40/2021</w:t>
        </w:r>
      </w:hyperlink>
      <w:r w:rsidRPr="00DE0EC2">
        <w:rPr>
          <w:rStyle w:val="TextoNormalCaracter"/>
        </w:rPr>
        <w:t xml:space="preserve">, f. 3; </w:t>
      </w:r>
      <w:hyperlink w:anchor="SENTENCIA_2021_110" w:history="1">
        <w:r w:rsidRPr="00DE0EC2">
          <w:rPr>
            <w:rStyle w:val="TextoNormalCaracter"/>
          </w:rPr>
          <w:t>110/2021</w:t>
        </w:r>
      </w:hyperlink>
      <w:r w:rsidRPr="00DE0EC2">
        <w:rPr>
          <w:rStyle w:val="TextoNormalCaracter"/>
        </w:rPr>
        <w:t xml:space="preserve">, ff. 4 a 7; </w:t>
      </w:r>
      <w:hyperlink w:anchor="SENTENCIA_2021_111" w:history="1">
        <w:r w:rsidRPr="00DE0EC2">
          <w:rPr>
            <w:rStyle w:val="TextoNormalCaracter"/>
          </w:rPr>
          <w:t>111/2021</w:t>
        </w:r>
      </w:hyperlink>
      <w:r w:rsidRPr="00DE0EC2">
        <w:rPr>
          <w:rStyle w:val="TextoNormalCaracter"/>
        </w:rPr>
        <w:t xml:space="preserve">, ff. 5 a 7; </w:t>
      </w:r>
      <w:hyperlink w:anchor="SENTENCIA_2021_134" w:history="1">
        <w:r w:rsidRPr="00DE0EC2">
          <w:rPr>
            <w:rStyle w:val="TextoNormalCaracter"/>
          </w:rPr>
          <w:t>134/2021</w:t>
        </w:r>
      </w:hyperlink>
      <w:r w:rsidRPr="00DE0EC2">
        <w:rPr>
          <w:rStyle w:val="TextoNormalCaracter"/>
        </w:rPr>
        <w:t>, ff. 3, 5, VP I.</w:t>
      </w:r>
    </w:p>
    <w:p w:rsidR="00DE0EC2" w:rsidRPr="00DE0EC2" w:rsidRDefault="00DE0EC2" w:rsidP="00DE0EC2">
      <w:pPr>
        <w:pStyle w:val="TextoNormalSangraFrancesa"/>
        <w:rPr>
          <w:rStyle w:val="TextoNormalCaracter"/>
        </w:rPr>
      </w:pPr>
      <w:bookmarkStart w:id="1139" w:name="DESCRIPTORALFABETICO344"/>
      <w:r w:rsidRPr="00DE0EC2">
        <w:rPr>
          <w:rStyle w:val="TextoNormalNegritaCaracter"/>
        </w:rPr>
        <w:t>Primacía del Derecho de la Unión Europea</w:t>
      </w:r>
      <w:bookmarkEnd w:id="1139"/>
      <w:r w:rsidRPr="00DE0EC2">
        <w:rPr>
          <w:rStyle w:val="TextoNormalCaracter"/>
        </w:rPr>
        <w:t xml:space="preserve">, Sentencias </w:t>
      </w:r>
      <w:hyperlink w:anchor="SENTENCIA_2021_101" w:history="1">
        <w:r w:rsidRPr="00DE0EC2">
          <w:rPr>
            <w:rStyle w:val="TextoNormalCaracter"/>
          </w:rPr>
          <w:t>101/2021</w:t>
        </w:r>
      </w:hyperlink>
      <w:r w:rsidRPr="00DE0EC2">
        <w:rPr>
          <w:rStyle w:val="TextoNormalCaracter"/>
        </w:rPr>
        <w:t xml:space="preserve">, ff. 3, 4; </w:t>
      </w:r>
      <w:hyperlink w:anchor="SENTENCIA_2021_102" w:history="1">
        <w:r w:rsidRPr="00DE0EC2">
          <w:rPr>
            <w:rStyle w:val="TextoNormalCaracter"/>
          </w:rPr>
          <w:t>102/2021</w:t>
        </w:r>
      </w:hyperlink>
      <w:r w:rsidRPr="00DE0EC2">
        <w:rPr>
          <w:rStyle w:val="TextoNormalCaracter"/>
        </w:rPr>
        <w:t>, ff. 3, 4.</w:t>
      </w:r>
    </w:p>
    <w:p w:rsidR="00DE0EC2" w:rsidRPr="00DE0EC2" w:rsidRDefault="00DE0EC2" w:rsidP="00DE0EC2">
      <w:pPr>
        <w:pStyle w:val="TextoNormalSangraFrancesa"/>
        <w:rPr>
          <w:rStyle w:val="TextoNormalCaracter"/>
        </w:rPr>
      </w:pPr>
      <w:r w:rsidRPr="00DE0EC2">
        <w:rPr>
          <w:rStyle w:val="TextoNormalCaracter"/>
        </w:rPr>
        <w:t xml:space="preserve">    Auto </w:t>
      </w:r>
      <w:hyperlink w:anchor="AUTO_2021_5" w:history="1">
        <w:r w:rsidRPr="00DE0EC2">
          <w:rPr>
            <w:rStyle w:val="TextoNormalCaracter"/>
          </w:rPr>
          <w:t>5/2021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140" w:name="DESCRIPTORALFABETICO507"/>
      <w:r w:rsidRPr="00DE0EC2">
        <w:rPr>
          <w:rStyle w:val="TextoNormalNegritaCaracter"/>
        </w:rPr>
        <w:t>Principado de Asturias</w:t>
      </w:r>
      <w:bookmarkEnd w:id="1140"/>
      <w:r w:rsidRPr="00DE0EC2">
        <w:rPr>
          <w:rStyle w:val="TextoNormalCaracter"/>
        </w:rPr>
        <w:t xml:space="preserve">, Sentencia </w:t>
      </w:r>
      <w:hyperlink w:anchor="SENTENCIA_2021_75" w:history="1">
        <w:r w:rsidRPr="00DE0EC2">
          <w:rPr>
            <w:rStyle w:val="TextoNormalCaracter"/>
          </w:rPr>
          <w:t>75/2021</w:t>
        </w:r>
      </w:hyperlink>
      <w:r w:rsidRPr="00DE0EC2">
        <w:rPr>
          <w:rStyle w:val="TextoNormalCaracter"/>
        </w:rPr>
        <w:t>, f. 1.</w:t>
      </w:r>
    </w:p>
    <w:p w:rsidR="00DE0EC2" w:rsidRPr="00DE0EC2" w:rsidRDefault="00DE0EC2" w:rsidP="00DE0EC2">
      <w:pPr>
        <w:pStyle w:val="TextoNormalSangraFrancesa"/>
        <w:rPr>
          <w:rStyle w:val="TextoNormalCaracter"/>
        </w:rPr>
      </w:pPr>
      <w:bookmarkStart w:id="1141" w:name="DESCRIPTORALFABETICO454"/>
      <w:r w:rsidRPr="00DE0EC2">
        <w:rPr>
          <w:rStyle w:val="TextoNormalNegritaCaracter"/>
        </w:rPr>
        <w:t>Principio acusatorio</w:t>
      </w:r>
      <w:bookmarkEnd w:id="1141"/>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Sentencias </w:t>
      </w:r>
      <w:hyperlink w:anchor="SENTENCIA_2021_91" w:history="1">
        <w:r w:rsidRPr="00DE0EC2">
          <w:rPr>
            <w:rStyle w:val="TextoNormalCaracter"/>
          </w:rPr>
          <w:t>91/2021</w:t>
        </w:r>
      </w:hyperlink>
      <w:r w:rsidRPr="00DE0EC2">
        <w:rPr>
          <w:rStyle w:val="TextoNormalCaracter"/>
        </w:rPr>
        <w:t xml:space="preserve">, f. 10; </w:t>
      </w:r>
      <w:hyperlink w:anchor="SENTENCIA_2021_106" w:history="1">
        <w:r w:rsidRPr="00DE0EC2">
          <w:rPr>
            <w:rStyle w:val="TextoNormalCaracter"/>
          </w:rPr>
          <w:t>106/2021</w:t>
        </w:r>
      </w:hyperlink>
      <w:r w:rsidRPr="00DE0EC2">
        <w:rPr>
          <w:rStyle w:val="TextoNormalCaracter"/>
        </w:rPr>
        <w:t xml:space="preserve">, ff. 5, 6 y 10; </w:t>
      </w:r>
      <w:hyperlink w:anchor="SENTENCIA_2021_121" w:history="1">
        <w:r w:rsidRPr="00DE0EC2">
          <w:rPr>
            <w:rStyle w:val="TextoNormalCaracter"/>
          </w:rPr>
          <w:t>121/2021</w:t>
        </w:r>
      </w:hyperlink>
      <w:r w:rsidRPr="00DE0EC2">
        <w:rPr>
          <w:rStyle w:val="TextoNormalCaracter"/>
        </w:rPr>
        <w:t>, f. 6.</w:t>
      </w:r>
    </w:p>
    <w:p w:rsidR="00DE0EC2" w:rsidRPr="00DE0EC2" w:rsidRDefault="00DE0EC2" w:rsidP="00DE0EC2">
      <w:pPr>
        <w:pStyle w:val="TextoNormalSangraFrancesa"/>
        <w:rPr>
          <w:rStyle w:val="TextoNormalCaracter"/>
        </w:rPr>
      </w:pPr>
      <w:bookmarkStart w:id="1142" w:name="DESCRIPTORALFABETICO456"/>
      <w:r w:rsidRPr="00DE0EC2">
        <w:rPr>
          <w:rStyle w:val="TextoNormalNegritaCaracter"/>
        </w:rPr>
        <w:t>Principio acusatorio en fase de recurso</w:t>
      </w:r>
      <w:bookmarkEnd w:id="1142"/>
      <w:r w:rsidRPr="00DE0EC2">
        <w:rPr>
          <w:rStyle w:val="TextoNormalCaracter"/>
        </w:rPr>
        <w:t xml:space="preserve">, Sentencias </w:t>
      </w:r>
      <w:hyperlink w:anchor="SENTENCIA_2021_22" w:history="1">
        <w:r w:rsidRPr="00DE0EC2">
          <w:rPr>
            <w:rStyle w:val="TextoNormalCaracter"/>
          </w:rPr>
          <w:t>22/2021</w:t>
        </w:r>
      </w:hyperlink>
      <w:r w:rsidRPr="00DE0EC2">
        <w:rPr>
          <w:rStyle w:val="TextoNormalCaracter"/>
        </w:rPr>
        <w:t xml:space="preserve">, f. 3; </w:t>
      </w:r>
      <w:hyperlink w:anchor="SENTENCIA_2021_132" w:history="1">
        <w:r w:rsidRPr="00DE0EC2">
          <w:rPr>
            <w:rStyle w:val="TextoNormalCaracter"/>
          </w:rPr>
          <w:t>132/2021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43" w:name="DESCRIPTORALFABETICO216"/>
      <w:r w:rsidRPr="00DE0EC2">
        <w:rPr>
          <w:rStyle w:val="TextoNormalNegritaCaracter"/>
        </w:rPr>
        <w:t>Principio de colaboración</w:t>
      </w:r>
      <w:bookmarkEnd w:id="1143"/>
      <w:r w:rsidRPr="00DE0EC2">
        <w:rPr>
          <w:rStyle w:val="TextoNormalCaracter"/>
        </w:rPr>
        <w:t xml:space="preserve">, Sentencias </w:t>
      </w:r>
      <w:hyperlink w:anchor="SENTENCIA_2021_108" w:history="1">
        <w:r w:rsidRPr="00DE0EC2">
          <w:rPr>
            <w:rStyle w:val="TextoNormalCaracter"/>
          </w:rPr>
          <w:t>108/2021</w:t>
        </w:r>
      </w:hyperlink>
      <w:r w:rsidRPr="00DE0EC2">
        <w:rPr>
          <w:rStyle w:val="TextoNormalCaracter"/>
        </w:rPr>
        <w:t xml:space="preserve">, ff. 4, 5; </w:t>
      </w:r>
      <w:hyperlink w:anchor="SENTENCIA_2021_135" w:history="1">
        <w:r w:rsidRPr="00DE0EC2">
          <w:rPr>
            <w:rStyle w:val="TextoNormalCaracter"/>
          </w:rPr>
          <w:t>135/2021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44" w:name="DESCRIPTORALFABETICO457"/>
      <w:r w:rsidRPr="00DE0EC2">
        <w:rPr>
          <w:rStyle w:val="TextoNormalNegritaCaracter"/>
        </w:rPr>
        <w:t>Principio de congruencia</w:t>
      </w:r>
      <w:bookmarkEnd w:id="1144"/>
      <w:r w:rsidRPr="00DE0EC2">
        <w:rPr>
          <w:rStyle w:val="TextoNormalCaracter"/>
        </w:rPr>
        <w:t xml:space="preserve">, Sentencia </w:t>
      </w:r>
      <w:hyperlink w:anchor="SENTENCIA_2021_22" w:history="1">
        <w:r w:rsidRPr="00DE0EC2">
          <w:rPr>
            <w:rStyle w:val="TextoNormalCaracter"/>
          </w:rPr>
          <w:t>22/2021</w:t>
        </w:r>
      </w:hyperlink>
      <w:r w:rsidRPr="00DE0EC2">
        <w:rPr>
          <w:rStyle w:val="TextoNormalCaracter"/>
        </w:rPr>
        <w:t>, f. 3.</w:t>
      </w:r>
    </w:p>
    <w:p w:rsidR="00DE0EC2" w:rsidRPr="00DE0EC2" w:rsidRDefault="00DE0EC2" w:rsidP="00DE0EC2">
      <w:pPr>
        <w:pStyle w:val="TextoNormalSangraFrancesa"/>
        <w:rPr>
          <w:rStyle w:val="TextoNormalCaracter"/>
        </w:rPr>
      </w:pPr>
      <w:bookmarkStart w:id="1145" w:name="DESCRIPTORALFABETICO254"/>
      <w:r w:rsidRPr="00DE0EC2">
        <w:rPr>
          <w:rStyle w:val="TextoNormalNegritaCaracter"/>
        </w:rPr>
        <w:t>Principio de culpabilidad</w:t>
      </w:r>
      <w:bookmarkEnd w:id="1145"/>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 </w:t>
      </w:r>
      <w:hyperlink w:anchor="SENTENCIA_2021_51" w:history="1">
        <w:r w:rsidRPr="00DE0EC2">
          <w:rPr>
            <w:rStyle w:val="TextoNormalCaracter"/>
          </w:rPr>
          <w:t>51/2021</w:t>
        </w:r>
      </w:hyperlink>
      <w:r w:rsidRPr="00DE0EC2">
        <w:rPr>
          <w:rStyle w:val="TextoNormalCaracter"/>
        </w:rPr>
        <w:t>, f. 5.</w:t>
      </w:r>
    </w:p>
    <w:p w:rsidR="00DE0EC2" w:rsidRPr="00DE0EC2" w:rsidRDefault="00DE0EC2" w:rsidP="00DE0EC2">
      <w:pPr>
        <w:pStyle w:val="TextoNormalSangraFrancesa"/>
        <w:rPr>
          <w:rStyle w:val="TextoNormalCaracter"/>
        </w:rPr>
      </w:pPr>
      <w:bookmarkStart w:id="1146" w:name="DESCRIPTORALFABETICO32"/>
      <w:r w:rsidRPr="00DE0EC2">
        <w:rPr>
          <w:rStyle w:val="TextoNormalNegritaCaracter"/>
        </w:rPr>
        <w:t>Principio de estabilidad presupuestaria</w:t>
      </w:r>
      <w:bookmarkEnd w:id="1146"/>
      <w:r w:rsidRPr="00DE0EC2">
        <w:rPr>
          <w:rStyle w:val="TextoNormalCaracter"/>
        </w:rPr>
        <w:t xml:space="preserve">, Sentencia </w:t>
      </w:r>
      <w:hyperlink w:anchor="SENTENCIA_2021_40" w:history="1">
        <w:r w:rsidRPr="00DE0EC2">
          <w:rPr>
            <w:rStyle w:val="TextoNormalCaracter"/>
          </w:rPr>
          <w:t>40/2021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47" w:name="DESCRIPTORALFABETICO227"/>
      <w:r w:rsidRPr="00DE0EC2">
        <w:rPr>
          <w:rStyle w:val="TextoNormalNegritaCaracter"/>
        </w:rPr>
        <w:t>Principio de exclusividad jurisdiccional</w:t>
      </w:r>
      <w:bookmarkEnd w:id="1147"/>
      <w:r w:rsidRPr="00DE0EC2">
        <w:rPr>
          <w:rStyle w:val="TextoNormalCaracter"/>
        </w:rPr>
        <w:t xml:space="preserve">, Sentencias </w:t>
      </w:r>
      <w:hyperlink w:anchor="SENTENCIA_2021_99" w:history="1">
        <w:r w:rsidRPr="00DE0EC2">
          <w:rPr>
            <w:rStyle w:val="TextoNormalCaracter"/>
          </w:rPr>
          <w:t>99/2021</w:t>
        </w:r>
      </w:hyperlink>
      <w:r w:rsidRPr="00DE0EC2">
        <w:rPr>
          <w:rStyle w:val="TextoNormalCaracter"/>
        </w:rPr>
        <w:t xml:space="preserve">, f. 5; </w:t>
      </w:r>
      <w:hyperlink w:anchor="SENTENCIA_2021_108" w:history="1">
        <w:r w:rsidRPr="00DE0EC2">
          <w:rPr>
            <w:rStyle w:val="TextoNormalCaracter"/>
          </w:rPr>
          <w:t>108/2021</w:t>
        </w:r>
      </w:hyperlink>
      <w:r w:rsidRPr="00DE0EC2">
        <w:rPr>
          <w:rStyle w:val="TextoNormalCaracter"/>
        </w:rPr>
        <w:t xml:space="preserve">, f. 5; </w:t>
      </w:r>
      <w:hyperlink w:anchor="SENTENCIA_2021_135" w:history="1">
        <w:r w:rsidRPr="00DE0EC2">
          <w:rPr>
            <w:rStyle w:val="TextoNormalCaracter"/>
          </w:rPr>
          <w:t>135/2021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48" w:name="DESCRIPTORALFABETICO250"/>
      <w:r w:rsidRPr="00DE0EC2">
        <w:rPr>
          <w:rStyle w:val="TextoNormalNegritaCaracter"/>
        </w:rPr>
        <w:t>Principio de igualdad</w:t>
      </w:r>
      <w:bookmarkEnd w:id="1148"/>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1" w:history="1">
        <w:r w:rsidRPr="00DE0EC2">
          <w:rPr>
            <w:rStyle w:val="TextoNormalCaracter"/>
          </w:rPr>
          <w:t>1/2021</w:t>
        </w:r>
      </w:hyperlink>
      <w:r w:rsidRPr="00DE0EC2">
        <w:rPr>
          <w:rStyle w:val="TextoNormalCaracter"/>
        </w:rPr>
        <w:t>, ff. 3 a 4.</w:t>
      </w:r>
    </w:p>
    <w:p w:rsidR="00DE0EC2" w:rsidRPr="00DE0EC2" w:rsidRDefault="00DE0EC2" w:rsidP="00DE0EC2">
      <w:pPr>
        <w:pStyle w:val="TextoNormalSangraFrancesa"/>
        <w:rPr>
          <w:rStyle w:val="TextoNormalCaracter"/>
        </w:rPr>
      </w:pPr>
      <w:bookmarkStart w:id="1149" w:name="DESCRIPTORALFABETICO458"/>
      <w:r w:rsidRPr="00DE0EC2">
        <w:rPr>
          <w:rStyle w:val="TextoNormalNegritaCaracter"/>
        </w:rPr>
        <w:t>Principio de inmediación</w:t>
      </w:r>
      <w:bookmarkEnd w:id="1149"/>
      <w:r w:rsidRPr="00DE0EC2">
        <w:rPr>
          <w:rStyle w:val="TextoNormalCaracter"/>
        </w:rPr>
        <w:t xml:space="preserve">, Sentencia </w:t>
      </w:r>
      <w:hyperlink w:anchor="SENTENCIA_2021_22" w:history="1">
        <w:r w:rsidRPr="00DE0EC2">
          <w:rPr>
            <w:rStyle w:val="TextoNormalCaracter"/>
          </w:rPr>
          <w:t>22/2021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50" w:name="DESCRIPTORALFABETICO252"/>
      <w:r w:rsidRPr="00DE0EC2">
        <w:rPr>
          <w:rStyle w:val="TextoNormalNegritaCaracter"/>
        </w:rPr>
        <w:t>Principio de legalidad</w:t>
      </w:r>
      <w:bookmarkEnd w:id="1150"/>
      <w:r w:rsidRPr="00DE0EC2">
        <w:rPr>
          <w:rStyle w:val="TextoNormalCaracter"/>
        </w:rPr>
        <w:t xml:space="preserve">, Sentencia </w:t>
      </w:r>
      <w:hyperlink w:anchor="SENTENCIA_2021_99" w:history="1">
        <w:r w:rsidRPr="00DE0EC2">
          <w:rPr>
            <w:rStyle w:val="TextoNormalCaracter"/>
          </w:rPr>
          <w:t>99/2021</w:t>
        </w:r>
      </w:hyperlink>
      <w:r w:rsidRPr="00DE0EC2">
        <w:rPr>
          <w:rStyle w:val="TextoNormalCaracter"/>
        </w:rPr>
        <w:t>, ff. 3, 5, 6, 8.</w:t>
      </w:r>
    </w:p>
    <w:p w:rsidR="00DE0EC2" w:rsidRPr="00DE0EC2" w:rsidRDefault="00DE0EC2" w:rsidP="00DE0EC2">
      <w:pPr>
        <w:pStyle w:val="TextoNormalSangraFrancesa"/>
        <w:rPr>
          <w:rStyle w:val="TextoNormalCaracter"/>
        </w:rPr>
      </w:pPr>
      <w:bookmarkStart w:id="1151" w:name="DESCRIPTORALFABETICO253"/>
      <w:r w:rsidRPr="00DE0EC2">
        <w:rPr>
          <w:rStyle w:val="TextoNormalNegritaCaracter"/>
        </w:rPr>
        <w:t>Principio de legalidad penal</w:t>
      </w:r>
      <w:bookmarkEnd w:id="1151"/>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11; </w:t>
      </w:r>
      <w:hyperlink w:anchor="SENTENCIA_2021_106" w:history="1">
        <w:r w:rsidRPr="00DE0EC2">
          <w:rPr>
            <w:rStyle w:val="TextoNormalCaracter"/>
          </w:rPr>
          <w:t>106/2021</w:t>
        </w:r>
      </w:hyperlink>
      <w:r w:rsidRPr="00DE0EC2">
        <w:rPr>
          <w:rStyle w:val="TextoNormalCaracter"/>
        </w:rPr>
        <w:t xml:space="preserve">, f. 11 y VP. I; </w:t>
      </w:r>
      <w:hyperlink w:anchor="SENTENCIA_2021_121" w:history="1">
        <w:r w:rsidRPr="00DE0EC2">
          <w:rPr>
            <w:rStyle w:val="TextoNormalCaracter"/>
          </w:rPr>
          <w:t>121/2021</w:t>
        </w:r>
      </w:hyperlink>
      <w:r w:rsidRPr="00DE0EC2">
        <w:rPr>
          <w:rStyle w:val="TextoNormalCaracter"/>
        </w:rPr>
        <w:t>, f. 12, VP I.</w:t>
      </w:r>
    </w:p>
    <w:p w:rsidR="00DE0EC2" w:rsidRPr="00DE0EC2" w:rsidRDefault="00DE0EC2" w:rsidP="00DE0EC2">
      <w:pPr>
        <w:pStyle w:val="TextoNormalSangraFrancesa"/>
        <w:rPr>
          <w:rStyle w:val="TextoNormalCaracter"/>
        </w:rPr>
      </w:pPr>
      <w:r w:rsidRPr="00DE0EC2">
        <w:rPr>
          <w:rStyle w:val="TextoNormalCursivaCaracter"/>
        </w:rPr>
        <w:t xml:space="preserve">    Doctrina constitucional, </w:t>
      </w:r>
      <w:r w:rsidRPr="00DE0EC2">
        <w:rPr>
          <w:rStyle w:val="TextoNormalCaracter"/>
        </w:rPr>
        <w:t xml:space="preserve">Sentencia </w:t>
      </w:r>
      <w:hyperlink w:anchor="SENTENCIA_2021_126" w:history="1">
        <w:r w:rsidRPr="00DE0EC2">
          <w:rPr>
            <w:rStyle w:val="TextoNormalCaracter"/>
          </w:rPr>
          <w:t>126/2021</w:t>
        </w:r>
      </w:hyperlink>
      <w:r w:rsidRPr="00DE0EC2">
        <w:rPr>
          <w:rStyle w:val="TextoNormalCaracter"/>
        </w:rPr>
        <w:t>, f. 3.</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14" w:history="1">
        <w:r w:rsidRPr="00DE0EC2">
          <w:rPr>
            <w:rStyle w:val="TextoNormalCaracter"/>
          </w:rPr>
          <w:t>14/2021</w:t>
        </w:r>
      </w:hyperlink>
      <w:r w:rsidRPr="00DE0EC2">
        <w:rPr>
          <w:rStyle w:val="TextoNormalCaracter"/>
        </w:rPr>
        <w:t>, f. 5.</w:t>
      </w:r>
    </w:p>
    <w:p w:rsidR="00DE0EC2" w:rsidRPr="00DE0EC2" w:rsidRDefault="00DE0EC2" w:rsidP="00DE0EC2">
      <w:pPr>
        <w:pStyle w:val="TextoNormalSangraFrancesa"/>
        <w:rPr>
          <w:rStyle w:val="TextoNormalCaracter"/>
        </w:rPr>
      </w:pPr>
      <w:bookmarkStart w:id="1152" w:name="DESCRIPTORALFABETICO256"/>
      <w:r w:rsidRPr="00DE0EC2">
        <w:rPr>
          <w:rStyle w:val="TextoNormalNegritaCaracter"/>
        </w:rPr>
        <w:t>Principio de legalidad sancionadora</w:t>
      </w:r>
      <w:bookmarkEnd w:id="1152"/>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13" w:history="1">
        <w:r w:rsidRPr="00DE0EC2">
          <w:rPr>
            <w:rStyle w:val="TextoNormalCaracter"/>
          </w:rPr>
          <w:t>13/2021</w:t>
        </w:r>
      </w:hyperlink>
      <w:r w:rsidRPr="00DE0EC2">
        <w:rPr>
          <w:rStyle w:val="TextoNormalCaracter"/>
        </w:rPr>
        <w:t>, ff. 4 a 10, VP II.</w:t>
      </w:r>
    </w:p>
    <w:p w:rsidR="00DE0EC2" w:rsidRPr="00DE0EC2" w:rsidRDefault="00DE0EC2" w:rsidP="00DE0EC2">
      <w:pPr>
        <w:pStyle w:val="TextoNormalSangraFrancesa"/>
        <w:rPr>
          <w:rStyle w:val="TextoNormalCaracter"/>
        </w:rPr>
      </w:pPr>
      <w:r w:rsidRPr="00DE0EC2">
        <w:rPr>
          <w:rStyle w:val="TextoNormalCursivaCaracter"/>
        </w:rPr>
        <w:t xml:space="preserve">    Vulnerado, </w:t>
      </w:r>
      <w:r w:rsidRPr="00DE0EC2">
        <w:rPr>
          <w:rStyle w:val="TextoNormalCaracter"/>
        </w:rPr>
        <w:t xml:space="preserve">Sentencia </w:t>
      </w:r>
      <w:hyperlink w:anchor="SENTENCIA_2021_51" w:history="1">
        <w:r w:rsidRPr="00DE0EC2">
          <w:rPr>
            <w:rStyle w:val="TextoNormalCaracter"/>
          </w:rPr>
          <w:t>51/2021</w:t>
        </w:r>
      </w:hyperlink>
      <w:r w:rsidRPr="00DE0EC2">
        <w:rPr>
          <w:rStyle w:val="TextoNormalCaracter"/>
        </w:rPr>
        <w:t>.</w:t>
      </w:r>
    </w:p>
    <w:p w:rsidR="00DE0EC2" w:rsidRPr="00DE0EC2" w:rsidRDefault="00DE0EC2" w:rsidP="00DE0EC2">
      <w:pPr>
        <w:pStyle w:val="TextoNormalSangraFrancesa"/>
        <w:rPr>
          <w:rStyle w:val="TextoNormalCaracter"/>
        </w:rPr>
      </w:pPr>
      <w:bookmarkStart w:id="1153" w:name="DESCRIPTORALFABETICO255"/>
      <w:r w:rsidRPr="00DE0EC2">
        <w:rPr>
          <w:rStyle w:val="TextoNormalNegritaCaracter"/>
        </w:rPr>
        <w:t>Principio de personalidad de la pena</w:t>
      </w:r>
      <w:bookmarkEnd w:id="1153"/>
      <w:r w:rsidRPr="00DE0EC2">
        <w:rPr>
          <w:rStyle w:val="TextoNormalCaracter"/>
        </w:rPr>
        <w:t xml:space="preserve">, Sentencia </w:t>
      </w:r>
      <w:hyperlink w:anchor="SENTENCIA_2021_122" w:history="1">
        <w:r w:rsidRPr="00DE0EC2">
          <w:rPr>
            <w:rStyle w:val="TextoNormalCaracter"/>
          </w:rPr>
          <w:t>122/2021</w:t>
        </w:r>
      </w:hyperlink>
      <w:r w:rsidRPr="00DE0EC2">
        <w:rPr>
          <w:rStyle w:val="TextoNormalCaracter"/>
        </w:rPr>
        <w:t>, f. 10.</w:t>
      </w:r>
    </w:p>
    <w:p w:rsidR="00DE0EC2" w:rsidRPr="00DE0EC2" w:rsidRDefault="00DE0EC2" w:rsidP="00DE0EC2">
      <w:pPr>
        <w:pStyle w:val="TextoNormalSangraFrancesa"/>
        <w:rPr>
          <w:rStyle w:val="TextoNormalCaracter"/>
        </w:rPr>
      </w:pPr>
      <w:bookmarkStart w:id="1154" w:name="DESCRIPTORALFABETICO261"/>
      <w:r w:rsidRPr="00DE0EC2">
        <w:rPr>
          <w:rStyle w:val="TextoNormalNegritaCaracter"/>
        </w:rPr>
        <w:t>Principio de proporcionalidad de las penas</w:t>
      </w:r>
      <w:bookmarkEnd w:id="1154"/>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f.11 y VP I; </w:t>
      </w:r>
      <w:hyperlink w:anchor="SENTENCIA_2021_106" w:history="1">
        <w:r w:rsidRPr="00DE0EC2">
          <w:rPr>
            <w:rStyle w:val="TextoNormalCaracter"/>
          </w:rPr>
          <w:t>106/2021</w:t>
        </w:r>
      </w:hyperlink>
      <w:r w:rsidRPr="00DE0EC2">
        <w:rPr>
          <w:rStyle w:val="TextoNormalCaracter"/>
        </w:rPr>
        <w:t xml:space="preserve">, f. 11 y VP I; </w:t>
      </w:r>
      <w:hyperlink w:anchor="SENTENCIA_2021_121" w:history="1">
        <w:r w:rsidRPr="00DE0EC2">
          <w:rPr>
            <w:rStyle w:val="TextoNormalCaracter"/>
          </w:rPr>
          <w:t>121/2021</w:t>
        </w:r>
      </w:hyperlink>
      <w:r w:rsidRPr="00DE0EC2">
        <w:rPr>
          <w:rStyle w:val="TextoNormalCaracter"/>
        </w:rPr>
        <w:t xml:space="preserve">, f. 12, VP I; </w:t>
      </w:r>
      <w:hyperlink w:anchor="SENTENCIA_2021_122" w:history="1">
        <w:r w:rsidRPr="00DE0EC2">
          <w:rPr>
            <w:rStyle w:val="TextoNormalCaracter"/>
          </w:rPr>
          <w:t>122/2021</w:t>
        </w:r>
      </w:hyperlink>
      <w:r w:rsidRPr="00DE0EC2">
        <w:rPr>
          <w:rStyle w:val="TextoNormalCaracter"/>
        </w:rPr>
        <w:t>, f. 10, V.P. I.</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133" w:history="1">
        <w:r w:rsidRPr="00DE0EC2">
          <w:rPr>
            <w:rStyle w:val="TextoNormalCaracter"/>
          </w:rPr>
          <w:t>133/2021</w:t>
        </w:r>
      </w:hyperlink>
      <w:r w:rsidRPr="00DE0EC2">
        <w:rPr>
          <w:rStyle w:val="TextoNormalCaracter"/>
        </w:rPr>
        <w:t>, f. 7.</w:t>
      </w:r>
    </w:p>
    <w:p w:rsidR="00DE0EC2" w:rsidRPr="00DE0EC2" w:rsidRDefault="00DE0EC2" w:rsidP="00DE0EC2">
      <w:pPr>
        <w:pStyle w:val="TextoNormalSangraFrancesa"/>
        <w:rPr>
          <w:rStyle w:val="TextoNormalCaracter"/>
        </w:rPr>
      </w:pPr>
      <w:bookmarkStart w:id="1155" w:name="DESCRIPTORALFABETICO262"/>
      <w:r w:rsidRPr="00DE0EC2">
        <w:rPr>
          <w:rStyle w:val="TextoNormalNegritaCaracter"/>
        </w:rPr>
        <w:t>Principio de seguridad jurídica</w:t>
      </w:r>
      <w:bookmarkEnd w:id="1155"/>
      <w:r w:rsidRPr="00DE0EC2">
        <w:rPr>
          <w:rStyle w:val="TextoNormalCaracter"/>
        </w:rPr>
        <w:t xml:space="preserve">, Sentencias </w:t>
      </w:r>
      <w:hyperlink w:anchor="SENTENCIA_2021_14" w:history="1">
        <w:r w:rsidRPr="00DE0EC2">
          <w:rPr>
            <w:rStyle w:val="TextoNormalCaracter"/>
          </w:rPr>
          <w:t>14/2021</w:t>
        </w:r>
      </w:hyperlink>
      <w:r w:rsidRPr="00DE0EC2">
        <w:rPr>
          <w:rStyle w:val="TextoNormalCaracter"/>
        </w:rPr>
        <w:t xml:space="preserve">, ff. 1, 2 ,6; </w:t>
      </w:r>
      <w:hyperlink w:anchor="SENTENCIA_2021_112" w:history="1">
        <w:r w:rsidRPr="00DE0EC2">
          <w:rPr>
            <w:rStyle w:val="TextoNormalCaracter"/>
          </w:rPr>
          <w:t>112/2021</w:t>
        </w:r>
      </w:hyperlink>
      <w:r w:rsidRPr="00DE0EC2">
        <w:rPr>
          <w:rStyle w:val="TextoNormalCaracter"/>
        </w:rPr>
        <w:t>, ff. 6 a 8.</w:t>
      </w:r>
    </w:p>
    <w:p w:rsidR="00DE0EC2" w:rsidRPr="00DE0EC2" w:rsidRDefault="00DE0EC2" w:rsidP="00DE0EC2">
      <w:pPr>
        <w:pStyle w:val="TextoNormalSangraFrancesa"/>
        <w:rPr>
          <w:rStyle w:val="TextoNormalCaracter"/>
        </w:rPr>
      </w:pPr>
      <w:r w:rsidRPr="00DE0EC2">
        <w:rPr>
          <w:rStyle w:val="TextoNormalCursivaCaracter"/>
        </w:rPr>
        <w:t xml:space="preserve">    Doctrina constitucional, </w:t>
      </w:r>
      <w:r w:rsidRPr="00DE0EC2">
        <w:rPr>
          <w:rStyle w:val="TextoNormalCaracter"/>
        </w:rPr>
        <w:t xml:space="preserve">Sentencia </w:t>
      </w:r>
      <w:hyperlink w:anchor="SENTENCIA_2021_99" w:history="1">
        <w:r w:rsidRPr="00DE0EC2">
          <w:rPr>
            <w:rStyle w:val="TextoNormalCaracter"/>
          </w:rPr>
          <w:t>99/2021</w:t>
        </w:r>
      </w:hyperlink>
      <w:r w:rsidRPr="00DE0EC2">
        <w:rPr>
          <w:rStyle w:val="TextoNormalCaracter"/>
        </w:rPr>
        <w:t>, ff. 3, 6, 8.</w:t>
      </w:r>
    </w:p>
    <w:p w:rsidR="00DE0EC2" w:rsidRPr="00DE0EC2" w:rsidRDefault="00DE0EC2" w:rsidP="00DE0EC2">
      <w:pPr>
        <w:pStyle w:val="TextoNormalSangraFrancesa"/>
        <w:rPr>
          <w:rStyle w:val="TextoNormalCaracter"/>
        </w:rPr>
      </w:pPr>
      <w:bookmarkStart w:id="1156" w:name="DESCRIPTORALFABETICO258"/>
      <w:r w:rsidRPr="00DE0EC2">
        <w:rPr>
          <w:rStyle w:val="TextoNormalNegritaCaracter"/>
        </w:rPr>
        <w:t>Principio de taxatividad</w:t>
      </w:r>
      <w:bookmarkEnd w:id="1156"/>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11 y VP I; </w:t>
      </w:r>
      <w:hyperlink w:anchor="SENTENCIA_2021_106" w:history="1">
        <w:r w:rsidRPr="00DE0EC2">
          <w:rPr>
            <w:rStyle w:val="TextoNormalCaracter"/>
          </w:rPr>
          <w:t>106/2021</w:t>
        </w:r>
      </w:hyperlink>
      <w:r w:rsidRPr="00DE0EC2">
        <w:rPr>
          <w:rStyle w:val="TextoNormalCaracter"/>
        </w:rPr>
        <w:t xml:space="preserve">, f. 11 y VP I; </w:t>
      </w:r>
      <w:hyperlink w:anchor="SENTENCIA_2021_121" w:history="1">
        <w:r w:rsidRPr="00DE0EC2">
          <w:rPr>
            <w:rStyle w:val="TextoNormalCaracter"/>
          </w:rPr>
          <w:t>121/2021</w:t>
        </w:r>
      </w:hyperlink>
      <w:r w:rsidRPr="00DE0EC2">
        <w:rPr>
          <w:rStyle w:val="TextoNormalCaracter"/>
        </w:rPr>
        <w:t xml:space="preserve">, f. 12; </w:t>
      </w:r>
      <w:hyperlink w:anchor="SENTENCIA_2021_126" w:history="1">
        <w:r w:rsidRPr="00DE0EC2">
          <w:rPr>
            <w:rStyle w:val="TextoNormalCaracter"/>
          </w:rPr>
          <w:t>126/2021</w:t>
        </w:r>
      </w:hyperlink>
      <w:r w:rsidRPr="00DE0EC2">
        <w:rPr>
          <w:rStyle w:val="TextoNormalCaracter"/>
        </w:rPr>
        <w:t>, ff. 3, 4.</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133" w:history="1">
        <w:r w:rsidRPr="00DE0EC2">
          <w:rPr>
            <w:rStyle w:val="TextoNormalCaracter"/>
          </w:rPr>
          <w:t>133/2021</w:t>
        </w:r>
      </w:hyperlink>
      <w:r w:rsidRPr="00DE0EC2">
        <w:rPr>
          <w:rStyle w:val="TextoNormalCaracter"/>
        </w:rPr>
        <w:t>, f. 6.</w:t>
      </w:r>
    </w:p>
    <w:p w:rsidR="00DE0EC2" w:rsidRPr="00DE0EC2" w:rsidRDefault="00DE0EC2" w:rsidP="00DE0EC2">
      <w:pPr>
        <w:pStyle w:val="TextoNormalSangraFrancesa"/>
        <w:rPr>
          <w:rStyle w:val="TextoNormalCaracter"/>
        </w:rPr>
      </w:pPr>
      <w:bookmarkStart w:id="1157" w:name="DESCRIPTORALFABETICO259"/>
      <w:r w:rsidRPr="00DE0EC2">
        <w:rPr>
          <w:rStyle w:val="TextoNormalNegritaCaracter"/>
        </w:rPr>
        <w:t>Principio de taxatividad en el ámbito sancionador</w:t>
      </w:r>
      <w:bookmarkEnd w:id="1157"/>
      <w:r w:rsidRPr="00DE0EC2">
        <w:rPr>
          <w:rStyle w:val="TextoNormalCaracter"/>
        </w:rPr>
        <w:t xml:space="preserve">, Sentencia </w:t>
      </w:r>
      <w:hyperlink w:anchor="SENTENCIA_2021_14" w:history="1">
        <w:r w:rsidRPr="00DE0EC2">
          <w:rPr>
            <w:rStyle w:val="TextoNormalCaracter"/>
          </w:rPr>
          <w:t>14/2021</w:t>
        </w:r>
      </w:hyperlink>
      <w:r w:rsidRPr="00DE0EC2">
        <w:rPr>
          <w:rStyle w:val="TextoNormalCaracter"/>
        </w:rPr>
        <w:t>, ff. 1, 3, 4, 6.</w:t>
      </w:r>
    </w:p>
    <w:p w:rsidR="00DE0EC2" w:rsidRPr="00DE0EC2" w:rsidRDefault="00DE0EC2" w:rsidP="00DE0EC2">
      <w:pPr>
        <w:pStyle w:val="TextoNormalSangraFrancesa"/>
        <w:rPr>
          <w:rStyle w:val="TextoNormalCaracter"/>
        </w:rPr>
      </w:pPr>
      <w:bookmarkStart w:id="1158" w:name="DESCRIPTORALFABETICO263"/>
      <w:r w:rsidRPr="00DE0EC2">
        <w:rPr>
          <w:rStyle w:val="TextoNormalNegritaCaracter"/>
        </w:rPr>
        <w:t>Principio de tipicidad</w:t>
      </w:r>
      <w:bookmarkEnd w:id="1158"/>
      <w:r w:rsidRPr="00DE0EC2">
        <w:rPr>
          <w:rStyle w:val="TextoNormalCaracter"/>
        </w:rPr>
        <w:t xml:space="preserve">, Sentencia </w:t>
      </w:r>
      <w:hyperlink w:anchor="SENTENCIA_2021_13" w:history="1">
        <w:r w:rsidRPr="00DE0EC2">
          <w:rPr>
            <w:rStyle w:val="TextoNormalCaracter"/>
          </w:rPr>
          <w:t>13/2021</w:t>
        </w:r>
      </w:hyperlink>
      <w:r w:rsidRPr="00DE0EC2">
        <w:rPr>
          <w:rStyle w:val="TextoNormalCaracter"/>
        </w:rPr>
        <w:t>, ff. 4 a 5, VP II.</w:t>
      </w:r>
    </w:p>
    <w:p w:rsidR="00DE0EC2" w:rsidRPr="00DE0EC2" w:rsidRDefault="00DE0EC2" w:rsidP="00DE0EC2">
      <w:pPr>
        <w:pStyle w:val="TextoNormalSangraFrancesa"/>
        <w:rPr>
          <w:rStyle w:val="TextoNormalCaracter"/>
        </w:rPr>
      </w:pPr>
      <w:bookmarkStart w:id="1159" w:name="DESCRIPTORALFABETICO459"/>
      <w:r w:rsidRPr="00DE0EC2">
        <w:rPr>
          <w:rStyle w:val="TextoNormalNegritaCaracter"/>
        </w:rPr>
        <w:t>Principio dispositivo</w:t>
      </w:r>
      <w:bookmarkEnd w:id="1159"/>
      <w:r w:rsidRPr="00DE0EC2">
        <w:rPr>
          <w:rStyle w:val="TextoNormalCaracter"/>
        </w:rPr>
        <w:t xml:space="preserve">, Sentencia </w:t>
      </w:r>
      <w:hyperlink w:anchor="SENTENCIA_2021_55" w:history="1">
        <w:r w:rsidRPr="00DE0EC2">
          <w:rPr>
            <w:rStyle w:val="TextoNormalCaracter"/>
          </w:rPr>
          <w:t>55/2021</w:t>
        </w:r>
      </w:hyperlink>
      <w:r w:rsidRPr="00DE0EC2">
        <w:rPr>
          <w:rStyle w:val="TextoNormalCaracter"/>
        </w:rPr>
        <w:t>, f. 3.</w:t>
      </w:r>
    </w:p>
    <w:p w:rsidR="00DE0EC2" w:rsidRPr="00DE0EC2" w:rsidRDefault="00DE0EC2" w:rsidP="00DE0EC2">
      <w:pPr>
        <w:pStyle w:val="TextoNormalSangraFrancesa"/>
        <w:rPr>
          <w:rStyle w:val="TextoNormalCaracter"/>
        </w:rPr>
      </w:pPr>
      <w:bookmarkStart w:id="1160" w:name="DESCRIPTORALFABETICO460"/>
      <w:r w:rsidRPr="00DE0EC2">
        <w:rPr>
          <w:rStyle w:val="TextoNormalNegritaCaracter"/>
        </w:rPr>
        <w:t xml:space="preserve">Principio </w:t>
      </w:r>
      <w:r w:rsidRPr="00DE0EC2">
        <w:rPr>
          <w:rStyle w:val="TextoNormalNegritaCaracter"/>
          <w:i/>
        </w:rPr>
        <w:t>pro actione</w:t>
      </w:r>
      <w:bookmarkEnd w:id="1160"/>
      <w:r w:rsidRPr="00DE0EC2">
        <w:rPr>
          <w:rStyle w:val="TextoNormalCaracter"/>
        </w:rPr>
        <w:t xml:space="preserve">, Sentencia </w:t>
      </w:r>
      <w:hyperlink w:anchor="SENTENCIA_2021_130" w:history="1">
        <w:r w:rsidRPr="00DE0EC2">
          <w:rPr>
            <w:rStyle w:val="TextoNormalCaracter"/>
          </w:rPr>
          <w:t>130/2021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61" w:name="DESCRIPTORALFABETICO218"/>
      <w:r w:rsidRPr="00DE0EC2">
        <w:rPr>
          <w:rStyle w:val="TextoNormalNegritaCaracter"/>
        </w:rPr>
        <w:t>Principios de mérito y capacidad</w:t>
      </w:r>
      <w:bookmarkEnd w:id="1161"/>
      <w:r w:rsidRPr="00DE0EC2">
        <w:rPr>
          <w:rStyle w:val="TextoNormalCaracter"/>
        </w:rPr>
        <w:t xml:space="preserve">, Sentencia </w:t>
      </w:r>
      <w:hyperlink w:anchor="SENTENCIA_2021_38" w:history="1">
        <w:r w:rsidRPr="00DE0EC2">
          <w:rPr>
            <w:rStyle w:val="TextoNormalCaracter"/>
          </w:rPr>
          <w:t>38/2021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62" w:name="DESCRIPTORALFABETICO486"/>
      <w:r w:rsidRPr="00DE0EC2">
        <w:rPr>
          <w:rStyle w:val="TextoNormalNegritaCaracter"/>
        </w:rPr>
        <w:t>Prisión provisional</w:t>
      </w:r>
      <w:bookmarkEnd w:id="1162"/>
      <w:r w:rsidRPr="00DE0EC2">
        <w:rPr>
          <w:rStyle w:val="TextoNormalCaracter"/>
        </w:rPr>
        <w:t xml:space="preserve">, Sentencias </w:t>
      </w:r>
      <w:hyperlink w:anchor="SENTENCIA_2021_69" w:history="1">
        <w:r w:rsidRPr="00DE0EC2">
          <w:rPr>
            <w:rStyle w:val="TextoNormalCaracter"/>
          </w:rPr>
          <w:t>69/2021</w:t>
        </w:r>
      </w:hyperlink>
      <w:r w:rsidRPr="00DE0EC2">
        <w:rPr>
          <w:rStyle w:val="TextoNormalCaracter"/>
        </w:rPr>
        <w:t xml:space="preserve">, ff. 1 a 5; </w:t>
      </w:r>
      <w:hyperlink w:anchor="SENTENCIA_2021_80" w:history="1">
        <w:r w:rsidRPr="00DE0EC2">
          <w:rPr>
            <w:rStyle w:val="TextoNormalCaracter"/>
          </w:rPr>
          <w:t>80/2021</w:t>
        </w:r>
      </w:hyperlink>
      <w:r w:rsidRPr="00DE0EC2">
        <w:rPr>
          <w:rStyle w:val="TextoNormalCaracter"/>
        </w:rPr>
        <w:t xml:space="preserve">, f. 4; </w:t>
      </w:r>
      <w:hyperlink w:anchor="SENTENCIA_2021_90" w:history="1">
        <w:r w:rsidRPr="00DE0EC2">
          <w:rPr>
            <w:rStyle w:val="TextoNormalCaracter"/>
          </w:rPr>
          <w:t>90/2021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63" w:name="DESCRIPTORALFABETICO65"/>
      <w:r w:rsidRPr="00DE0EC2">
        <w:rPr>
          <w:rStyle w:val="TextoNormalNegritaCaracter"/>
        </w:rPr>
        <w:t>Privación de libertad</w:t>
      </w:r>
      <w:bookmarkEnd w:id="1163"/>
      <w:r w:rsidRPr="00DE0EC2">
        <w:rPr>
          <w:rStyle w:val="TextoNormalCaracter"/>
        </w:rPr>
        <w:t xml:space="preserve">, Sentencia </w:t>
      </w:r>
      <w:hyperlink w:anchor="SENTENCIA_2021_73" w:history="1">
        <w:r w:rsidRPr="00DE0EC2">
          <w:rPr>
            <w:rStyle w:val="TextoNormalCaracter"/>
          </w:rPr>
          <w:t>73/2021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64" w:name="DESCRIPTORALFABETICO300"/>
      <w:r w:rsidRPr="00DE0EC2">
        <w:rPr>
          <w:rStyle w:val="TextoNormalNegritaCaracter"/>
        </w:rPr>
        <w:t>Procedimiento disciplinario militar</w:t>
      </w:r>
      <w:bookmarkEnd w:id="1164"/>
      <w:r w:rsidRPr="00DE0EC2">
        <w:rPr>
          <w:rStyle w:val="TextoNormalCaracter"/>
        </w:rPr>
        <w:t xml:space="preserve">, Sentencia </w:t>
      </w:r>
      <w:hyperlink w:anchor="SENTENCIA_2021_21" w:history="1">
        <w:r w:rsidRPr="00DE0EC2">
          <w:rPr>
            <w:rStyle w:val="TextoNormalCaracter"/>
          </w:rPr>
          <w:t>21/2021</w:t>
        </w:r>
      </w:hyperlink>
      <w:r w:rsidRPr="00DE0EC2">
        <w:rPr>
          <w:rStyle w:val="TextoNormalCaracter"/>
        </w:rPr>
        <w:t>, f. 8.</w:t>
      </w:r>
    </w:p>
    <w:p w:rsidR="00DE0EC2" w:rsidRPr="00DE0EC2" w:rsidRDefault="00DE0EC2" w:rsidP="00DE0EC2">
      <w:pPr>
        <w:pStyle w:val="TextoNormalSangraFrancesa"/>
        <w:rPr>
          <w:rStyle w:val="TextoNormalCaracter"/>
        </w:rPr>
      </w:pPr>
      <w:bookmarkStart w:id="1165" w:name="DESCRIPTORALFABETICO473"/>
      <w:r w:rsidRPr="00DE0EC2">
        <w:rPr>
          <w:rStyle w:val="TextoNormalNegritaCaracter"/>
        </w:rPr>
        <w:t>Proceso de ejecución hipotecaria</w:t>
      </w:r>
      <w:bookmarkEnd w:id="1165"/>
      <w:r w:rsidRPr="00DE0EC2">
        <w:rPr>
          <w:rStyle w:val="TextoNormalCaracter"/>
        </w:rPr>
        <w:t xml:space="preserve">, Sentencias </w:t>
      </w:r>
      <w:hyperlink w:anchor="SENTENCIA_2021_43" w:history="1">
        <w:r w:rsidRPr="00DE0EC2">
          <w:rPr>
            <w:rStyle w:val="TextoNormalCaracter"/>
          </w:rPr>
          <w:t>43/2021</w:t>
        </w:r>
      </w:hyperlink>
      <w:r w:rsidRPr="00DE0EC2">
        <w:rPr>
          <w:rStyle w:val="TextoNormalCaracter"/>
        </w:rPr>
        <w:t xml:space="preserve">, f. 1; </w:t>
      </w:r>
      <w:hyperlink w:anchor="SENTENCIA_2021_87" w:history="1">
        <w:r w:rsidRPr="00DE0EC2">
          <w:rPr>
            <w:rStyle w:val="TextoNormalCaracter"/>
          </w:rPr>
          <w:t>87/2021</w:t>
        </w:r>
      </w:hyperlink>
      <w:r w:rsidRPr="00DE0EC2">
        <w:rPr>
          <w:rStyle w:val="TextoNormalCaracter"/>
        </w:rPr>
        <w:t xml:space="preserve">, ff. 2, 3; </w:t>
      </w:r>
      <w:hyperlink w:anchor="SENTENCIA_2021_116" w:history="1">
        <w:r w:rsidRPr="00DE0EC2">
          <w:rPr>
            <w:rStyle w:val="TextoNormalCaracter"/>
          </w:rPr>
          <w:t>116/2021</w:t>
        </w:r>
      </w:hyperlink>
      <w:r w:rsidRPr="00DE0EC2">
        <w:rPr>
          <w:rStyle w:val="TextoNormalCaracter"/>
        </w:rPr>
        <w:t xml:space="preserve">, f. 3; </w:t>
      </w:r>
      <w:hyperlink w:anchor="SENTENCIA_2021_118" w:history="1">
        <w:r w:rsidRPr="00DE0EC2">
          <w:rPr>
            <w:rStyle w:val="TextoNormalCaracter"/>
          </w:rPr>
          <w:t>118/2021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1166" w:name="DESCRIPTORALFABETICO172"/>
      <w:r w:rsidRPr="00DE0EC2">
        <w:rPr>
          <w:rStyle w:val="TextoNormalNegritaCaracter"/>
        </w:rPr>
        <w:t>Proceso de impugnación de disposiciones autonómicas</w:t>
      </w:r>
      <w:bookmarkEnd w:id="1166"/>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Límites, </w:t>
      </w:r>
      <w:r w:rsidRPr="00DE0EC2">
        <w:rPr>
          <w:rStyle w:val="TextoNormalCaracter"/>
        </w:rPr>
        <w:t xml:space="preserve">Sentencia </w:t>
      </w:r>
      <w:hyperlink w:anchor="SENTENCIA_2021_72" w:history="1">
        <w:r w:rsidRPr="00DE0EC2">
          <w:rPr>
            <w:rStyle w:val="TextoNormalCaracter"/>
          </w:rPr>
          <w:t>72/2021</w:t>
        </w:r>
      </w:hyperlink>
      <w:r w:rsidRPr="00DE0EC2">
        <w:rPr>
          <w:rStyle w:val="TextoNormalCaracter"/>
        </w:rPr>
        <w:t>, ff. 4 a 6.</w:t>
      </w:r>
    </w:p>
    <w:p w:rsidR="00DE0EC2" w:rsidRPr="00DE0EC2" w:rsidRDefault="00DE0EC2" w:rsidP="00DE0EC2">
      <w:pPr>
        <w:pStyle w:val="TextoNormalSangraFrancesa"/>
        <w:rPr>
          <w:rStyle w:val="TextoNormalCaracter"/>
        </w:rPr>
      </w:pPr>
      <w:bookmarkStart w:id="1167" w:name="DESCRIPTORALFABETICO90"/>
      <w:r w:rsidRPr="00DE0EC2">
        <w:rPr>
          <w:rStyle w:val="TextoNormalNegritaCaracter"/>
        </w:rPr>
        <w:t xml:space="preserve">Prohibición de </w:t>
      </w:r>
      <w:r w:rsidRPr="00DE0EC2">
        <w:rPr>
          <w:rStyle w:val="TextoNormalNegritaCaracter"/>
          <w:i/>
        </w:rPr>
        <w:t>reformatio in peius</w:t>
      </w:r>
      <w:bookmarkEnd w:id="1167"/>
      <w:r w:rsidRPr="00DE0EC2">
        <w:rPr>
          <w:rStyle w:val="TextoNormalCaracter"/>
        </w:rPr>
        <w:t xml:space="preserve">, Sentencia </w:t>
      </w:r>
      <w:hyperlink w:anchor="SENTENCIA_2021_132" w:history="1">
        <w:r w:rsidRPr="00DE0EC2">
          <w:rPr>
            <w:rStyle w:val="TextoNormalCaracter"/>
          </w:rPr>
          <w:t>132/2021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1168" w:name="DESCRIPTORALFABETICO286"/>
      <w:r w:rsidRPr="00DE0EC2">
        <w:rPr>
          <w:rStyle w:val="TextoNormalNegritaCaracter"/>
        </w:rPr>
        <w:t>Promoción interna</w:t>
      </w:r>
      <w:bookmarkEnd w:id="1168"/>
      <w:r w:rsidRPr="00DE0EC2">
        <w:rPr>
          <w:rStyle w:val="TextoNormalCaracter"/>
        </w:rPr>
        <w:t xml:space="preserve">, Sentencia </w:t>
      </w:r>
      <w:hyperlink w:anchor="SENTENCIA_2021_38" w:history="1">
        <w:r w:rsidRPr="00DE0EC2">
          <w:rPr>
            <w:rStyle w:val="TextoNormalCaracter"/>
          </w:rPr>
          <w:t>38/2021</w:t>
        </w:r>
      </w:hyperlink>
      <w:r w:rsidRPr="00DE0EC2">
        <w:rPr>
          <w:rStyle w:val="TextoNormalCaracter"/>
        </w:rPr>
        <w:t>, ff. 2, 4.</w:t>
      </w:r>
    </w:p>
    <w:p w:rsidR="00DE0EC2" w:rsidRPr="00DE0EC2" w:rsidRDefault="00DE0EC2" w:rsidP="00DE0EC2">
      <w:pPr>
        <w:pStyle w:val="TextoNormalSangraFrancesa"/>
        <w:rPr>
          <w:rStyle w:val="TextoNormalCaracter"/>
        </w:rPr>
      </w:pPr>
      <w:bookmarkStart w:id="1169" w:name="DESCRIPTORALFABETICO40"/>
      <w:r w:rsidRPr="00DE0EC2">
        <w:rPr>
          <w:rStyle w:val="TextoNormalNegritaCaracter"/>
        </w:rPr>
        <w:t>Propaganda electoral</w:t>
      </w:r>
      <w:bookmarkEnd w:id="1169"/>
      <w:r w:rsidRPr="00DE0EC2">
        <w:rPr>
          <w:rStyle w:val="TextoNormalCaracter"/>
        </w:rPr>
        <w:t xml:space="preserve">, Sentencia </w:t>
      </w:r>
      <w:hyperlink w:anchor="SENTENCIA_2021_14" w:history="1">
        <w:r w:rsidRPr="00DE0EC2">
          <w:rPr>
            <w:rStyle w:val="TextoNormalCaracter"/>
          </w:rPr>
          <w:t>14/2021</w:t>
        </w:r>
      </w:hyperlink>
      <w:r w:rsidRPr="00DE0EC2">
        <w:rPr>
          <w:rStyle w:val="TextoNormalCaracter"/>
        </w:rPr>
        <w:t>, ff. 4, 5.</w:t>
      </w:r>
    </w:p>
    <w:p w:rsidR="00DE0EC2" w:rsidRPr="00DE0EC2" w:rsidRDefault="00DE0EC2" w:rsidP="00DE0EC2">
      <w:pPr>
        <w:pStyle w:val="TextoNormalSangraFrancesa"/>
        <w:rPr>
          <w:rStyle w:val="TextoNormalCaracter"/>
        </w:rPr>
      </w:pPr>
      <w:bookmarkStart w:id="1170" w:name="DESCRIPTORALFABETICO304"/>
      <w:r w:rsidRPr="00DE0EC2">
        <w:rPr>
          <w:rStyle w:val="TextoNormalNegritaCaracter"/>
        </w:rPr>
        <w:t>Propiedad urbana</w:t>
      </w:r>
      <w:bookmarkEnd w:id="1170"/>
      <w:r w:rsidRPr="00DE0EC2">
        <w:rPr>
          <w:rStyle w:val="TextoNormalCaracter"/>
        </w:rPr>
        <w:t xml:space="preserve">, Sentencia </w:t>
      </w:r>
      <w:hyperlink w:anchor="SENTENCIA_2021_16" w:history="1">
        <w:r w:rsidRPr="00DE0EC2">
          <w:rPr>
            <w:rStyle w:val="TextoNormalCaracter"/>
          </w:rPr>
          <w:t>16/2021</w:t>
        </w:r>
      </w:hyperlink>
      <w:r w:rsidRPr="00DE0EC2">
        <w:rPr>
          <w:rStyle w:val="TextoNormalCaracter"/>
        </w:rPr>
        <w:t>, f. 8.</w:t>
      </w:r>
    </w:p>
    <w:p w:rsidR="00DE0EC2" w:rsidRPr="00DE0EC2" w:rsidRDefault="00DE0EC2" w:rsidP="00DE0EC2">
      <w:pPr>
        <w:pStyle w:val="TextoNormalSangraFrancesa"/>
        <w:rPr>
          <w:rStyle w:val="TextoNormalCaracter"/>
        </w:rPr>
      </w:pPr>
      <w:bookmarkStart w:id="1171" w:name="DESCRIPTORALFABETICO317"/>
      <w:r w:rsidRPr="00DE0EC2">
        <w:rPr>
          <w:rStyle w:val="TextoNormalNegritaCaracter"/>
        </w:rPr>
        <w:t>Protección de la familia</w:t>
      </w:r>
      <w:bookmarkEnd w:id="1171"/>
      <w:r w:rsidRPr="00DE0EC2">
        <w:rPr>
          <w:rStyle w:val="TextoNormalCaracter"/>
        </w:rPr>
        <w:t xml:space="preserve">, Sentencia </w:t>
      </w:r>
      <w:hyperlink w:anchor="SENTENCIA_2021_113" w:history="1">
        <w:r w:rsidRPr="00DE0EC2">
          <w:rPr>
            <w:rStyle w:val="TextoNormalCaracter"/>
          </w:rPr>
          <w:t>113/2021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72" w:name="DESCRIPTORALFABETICO388"/>
      <w:r w:rsidRPr="00DE0EC2">
        <w:rPr>
          <w:rStyle w:val="TextoNormalNegritaCaracter"/>
        </w:rPr>
        <w:t>Protección de la infancia</w:t>
      </w:r>
      <w:bookmarkEnd w:id="1172"/>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73" w:name="DESCRIPTORALFABETICO389"/>
      <w:r w:rsidRPr="00DE0EC2">
        <w:rPr>
          <w:rStyle w:val="TextoNormalNegritaCaracter"/>
        </w:rPr>
        <w:t>Protección de menores</w:t>
      </w:r>
      <w:bookmarkEnd w:id="1173"/>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ff. 4, 9.</w:t>
      </w:r>
    </w:p>
    <w:p w:rsidR="00DE0EC2" w:rsidRPr="00DE0EC2" w:rsidRDefault="00DE0EC2" w:rsidP="00DE0EC2">
      <w:pPr>
        <w:pStyle w:val="TextoNormalSangraFrancesa"/>
        <w:rPr>
          <w:rStyle w:val="TextoNormalCaracter"/>
        </w:rPr>
      </w:pPr>
      <w:bookmarkStart w:id="1174" w:name="DESCRIPTORALFABETICO488"/>
      <w:r w:rsidRPr="00DE0EC2">
        <w:rPr>
          <w:rStyle w:val="TextoNormalNegritaCaracter"/>
        </w:rPr>
        <w:t>Prueba de cargo suficiente</w:t>
      </w:r>
      <w:bookmarkEnd w:id="1174"/>
      <w:r w:rsidRPr="00DE0EC2">
        <w:rPr>
          <w:rStyle w:val="TextoNormalCaracter"/>
        </w:rPr>
        <w:t xml:space="preserve">, Sentencia </w:t>
      </w:r>
      <w:hyperlink w:anchor="SENTENCIA_2021_18" w:history="1">
        <w:r w:rsidRPr="00DE0EC2">
          <w:rPr>
            <w:rStyle w:val="TextoNormalCaracter"/>
          </w:rPr>
          <w:t>18/2021</w:t>
        </w:r>
      </w:hyperlink>
      <w:r w:rsidRPr="00DE0EC2">
        <w:rPr>
          <w:rStyle w:val="TextoNormalCaracter"/>
        </w:rPr>
        <w:t>, f. 7.</w:t>
      </w:r>
    </w:p>
    <w:p w:rsidR="00DE0EC2" w:rsidRPr="00DE0EC2" w:rsidRDefault="00DE0EC2" w:rsidP="00DE0EC2">
      <w:pPr>
        <w:pStyle w:val="TextoNormalSangraFrancesa"/>
        <w:rPr>
          <w:rStyle w:val="TextoNormalCaracter"/>
        </w:rPr>
      </w:pPr>
      <w:bookmarkStart w:id="1175" w:name="DESCRIPTORALFABETICO440"/>
      <w:r w:rsidRPr="00DE0EC2">
        <w:rPr>
          <w:rStyle w:val="TextoNormalNegritaCaracter"/>
        </w:rPr>
        <w:t>Prueba ilícita</w:t>
      </w:r>
      <w:bookmarkEnd w:id="1175"/>
      <w:r w:rsidRPr="00DE0EC2">
        <w:rPr>
          <w:rStyle w:val="TextoNormalCaracter"/>
        </w:rPr>
        <w:t xml:space="preserve">, Sentencia </w:t>
      </w:r>
      <w:hyperlink w:anchor="SENTENCIA_2021_99" w:history="1">
        <w:r w:rsidRPr="00DE0EC2">
          <w:rPr>
            <w:rStyle w:val="TextoNormalCaracter"/>
          </w:rPr>
          <w:t>99/2021</w:t>
        </w:r>
      </w:hyperlink>
      <w:r w:rsidRPr="00DE0EC2">
        <w:rPr>
          <w:rStyle w:val="TextoNormalCaracter"/>
        </w:rPr>
        <w:t>, f. 9.</w:t>
      </w:r>
    </w:p>
    <w:p w:rsidR="00DE0EC2" w:rsidRPr="00DE0EC2" w:rsidRDefault="00DE0EC2" w:rsidP="00DE0EC2">
      <w:pPr>
        <w:pStyle w:val="TextoNormalSangraFrancesa"/>
        <w:rPr>
          <w:rStyle w:val="TextoNormalCaracter"/>
        </w:rPr>
      </w:pPr>
      <w:bookmarkStart w:id="1176" w:name="DESCRIPTORALFABETICO441"/>
      <w:r w:rsidRPr="00DE0EC2">
        <w:rPr>
          <w:rStyle w:val="TextoNormalNegritaCaracter"/>
        </w:rPr>
        <w:t>Prueba indiciaria</w:t>
      </w:r>
      <w:bookmarkEnd w:id="1176"/>
      <w:r w:rsidRPr="00DE0EC2">
        <w:rPr>
          <w:rStyle w:val="TextoNormalCaracter"/>
        </w:rPr>
        <w:t xml:space="preserve">, Sentencia </w:t>
      </w:r>
      <w:hyperlink w:anchor="SENTENCIA_2021_99" w:history="1">
        <w:r w:rsidRPr="00DE0EC2">
          <w:rPr>
            <w:rStyle w:val="TextoNormalCaracter"/>
          </w:rPr>
          <w:t>99/2021</w:t>
        </w:r>
      </w:hyperlink>
      <w:r w:rsidRPr="00DE0EC2">
        <w:rPr>
          <w:rStyle w:val="TextoNormalCaracter"/>
        </w:rPr>
        <w:t>, ff. 5, 7.</w:t>
      </w:r>
    </w:p>
    <w:p w:rsidR="00DE0EC2" w:rsidRPr="00DE0EC2" w:rsidRDefault="00DE0EC2" w:rsidP="00DE0EC2">
      <w:pPr>
        <w:pStyle w:val="TextoNormalSangraFrancesa"/>
        <w:rPr>
          <w:rStyle w:val="TextoNormalCaracter"/>
        </w:rPr>
      </w:pPr>
      <w:bookmarkStart w:id="1177" w:name="DESCRIPTORALFABETICO385"/>
      <w:r w:rsidRPr="00DE0EC2">
        <w:rPr>
          <w:rStyle w:val="TextoNormalNegritaCaracter"/>
        </w:rPr>
        <w:t>Pueblo gitano</w:t>
      </w:r>
      <w:bookmarkEnd w:id="1177"/>
      <w:r w:rsidRPr="00DE0EC2">
        <w:rPr>
          <w:rStyle w:val="TextoNormalCaracter"/>
        </w:rPr>
        <w:t xml:space="preserve">, Sentencia </w:t>
      </w:r>
      <w:hyperlink w:anchor="SENTENCIA_2021_1" w:history="1">
        <w:r w:rsidRPr="00DE0EC2">
          <w:rPr>
            <w:rStyle w:val="TextoNormalCaracter"/>
          </w:rPr>
          <w:t>1/2021</w:t>
        </w:r>
      </w:hyperlink>
      <w:r w:rsidRPr="00DE0EC2">
        <w:rPr>
          <w:rStyle w:val="TextoNormalCaracter"/>
        </w:rPr>
        <w:t>, ff. 3 a 7.</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R</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178" w:name="DESCRIPTORALFABETICO495"/>
      <w:r w:rsidRPr="00DE0EC2">
        <w:rPr>
          <w:rStyle w:val="TextoNormalNegritaCaracter"/>
        </w:rPr>
        <w:t>Radiotelevisión Española</w:t>
      </w:r>
      <w:bookmarkEnd w:id="1178"/>
      <w:r w:rsidRPr="00DE0EC2">
        <w:rPr>
          <w:rStyle w:val="TextoNormalCaracter"/>
        </w:rPr>
        <w:t xml:space="preserve">, Sentencia </w:t>
      </w:r>
      <w:hyperlink w:anchor="SENTENCIA_2021_134" w:history="1">
        <w:r w:rsidRPr="00DE0EC2">
          <w:rPr>
            <w:rStyle w:val="TextoNormalCaracter"/>
          </w:rPr>
          <w:t>134/2021</w:t>
        </w:r>
      </w:hyperlink>
      <w:r w:rsidRPr="00DE0EC2">
        <w:rPr>
          <w:rStyle w:val="TextoNormalCaracter"/>
        </w:rPr>
        <w:t>, ff. 3 a 6.</w:t>
      </w:r>
    </w:p>
    <w:p w:rsidR="00DE0EC2" w:rsidRPr="00DE0EC2" w:rsidRDefault="00DE0EC2" w:rsidP="00DE0EC2">
      <w:pPr>
        <w:pStyle w:val="TextoNormalSangraFrancesa"/>
        <w:rPr>
          <w:rStyle w:val="TextoNormalCaracter"/>
        </w:rPr>
      </w:pPr>
      <w:bookmarkStart w:id="1179" w:name="DESCRIPTORALFABETICO331"/>
      <w:r w:rsidRPr="00DE0EC2">
        <w:rPr>
          <w:rStyle w:val="TextoNormalNegritaCaracter"/>
        </w:rPr>
        <w:t>Rebelión</w:t>
      </w:r>
      <w:bookmarkEnd w:id="1179"/>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1; </w:t>
      </w:r>
      <w:hyperlink w:anchor="SENTENCIA_2021_106" w:history="1">
        <w:r w:rsidRPr="00DE0EC2">
          <w:rPr>
            <w:rStyle w:val="TextoNormalCaracter"/>
          </w:rPr>
          <w:t>106/2021</w:t>
        </w:r>
      </w:hyperlink>
      <w:r w:rsidRPr="00DE0EC2">
        <w:rPr>
          <w:rStyle w:val="TextoNormalCaracter"/>
        </w:rPr>
        <w:t xml:space="preserve">, ff. 1 y 3; </w:t>
      </w:r>
      <w:hyperlink w:anchor="SENTENCIA_2021_121" w:history="1">
        <w:r w:rsidRPr="00DE0EC2">
          <w:rPr>
            <w:rStyle w:val="TextoNormalCaracter"/>
          </w:rPr>
          <w:t>121/2021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80" w:name="DESCRIPTORALFABETICO33"/>
      <w:r w:rsidRPr="00DE0EC2">
        <w:rPr>
          <w:rStyle w:val="TextoNormalNegritaCaracter"/>
        </w:rPr>
        <w:t>Recargo tributario</w:t>
      </w:r>
      <w:bookmarkEnd w:id="1180"/>
      <w:r w:rsidRPr="00DE0EC2">
        <w:rPr>
          <w:rStyle w:val="TextoNormalCaracter"/>
        </w:rPr>
        <w:t xml:space="preserve">, Sentencia </w:t>
      </w:r>
      <w:hyperlink w:anchor="SENTENCIA_2021_125" w:history="1">
        <w:r w:rsidRPr="00DE0EC2">
          <w:rPr>
            <w:rStyle w:val="TextoNormalCaracter"/>
          </w:rPr>
          <w:t>125/2021</w:t>
        </w:r>
      </w:hyperlink>
      <w:r w:rsidRPr="00DE0EC2">
        <w:rPr>
          <w:rStyle w:val="TextoNormalCaracter"/>
        </w:rPr>
        <w:t>, f.7.</w:t>
      </w:r>
    </w:p>
    <w:p w:rsidR="00DE0EC2" w:rsidRPr="00DE0EC2" w:rsidRDefault="00DE0EC2" w:rsidP="00DE0EC2">
      <w:pPr>
        <w:pStyle w:val="TextoNormalSangraFrancesa"/>
        <w:rPr>
          <w:rStyle w:val="TextoNormalCaracter"/>
        </w:rPr>
      </w:pPr>
      <w:bookmarkStart w:id="1181" w:name="DESCRIPTORALFABETICO427"/>
      <w:r w:rsidRPr="00DE0EC2">
        <w:rPr>
          <w:rStyle w:val="TextoNormalNegritaCaracter"/>
        </w:rPr>
        <w:t>Recepción por el procurador</w:t>
      </w:r>
      <w:bookmarkEnd w:id="1181"/>
      <w:r w:rsidRPr="00DE0EC2">
        <w:rPr>
          <w:rStyle w:val="TextoNormalCaracter"/>
        </w:rPr>
        <w:t xml:space="preserve">, Sentencia </w:t>
      </w:r>
      <w:hyperlink w:anchor="SENTENCIA_2021_79" w:history="1">
        <w:r w:rsidRPr="00DE0EC2">
          <w:rPr>
            <w:rStyle w:val="TextoNormalCaracter"/>
          </w:rPr>
          <w:t>79/2021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82" w:name="DESCRIPTORALFABETICO314"/>
      <w:r w:rsidRPr="00DE0EC2">
        <w:rPr>
          <w:rStyle w:val="TextoNormalNegritaCaracter"/>
        </w:rPr>
        <w:t>Rechazo en frontera</w:t>
      </w:r>
      <w:bookmarkEnd w:id="1182"/>
      <w:r w:rsidRPr="00DE0EC2">
        <w:rPr>
          <w:rStyle w:val="TextoNormalCaracter"/>
        </w:rPr>
        <w:t xml:space="preserve">, Sentencia </w:t>
      </w:r>
      <w:hyperlink w:anchor="SENTENCIA_2021_13" w:history="1">
        <w:r w:rsidRPr="00DE0EC2">
          <w:rPr>
            <w:rStyle w:val="TextoNormalCaracter"/>
          </w:rPr>
          <w:t>13/2021</w:t>
        </w:r>
      </w:hyperlink>
      <w:r w:rsidRPr="00DE0EC2">
        <w:rPr>
          <w:rStyle w:val="TextoNormalCaracter"/>
        </w:rPr>
        <w:t>, f. 2, VP I, II.</w:t>
      </w:r>
    </w:p>
    <w:p w:rsidR="00DE0EC2" w:rsidRPr="00DE0EC2" w:rsidRDefault="00DE0EC2" w:rsidP="00DE0EC2">
      <w:pPr>
        <w:pStyle w:val="TextoNormalSangraFrancesa"/>
        <w:rPr>
          <w:rStyle w:val="TextoNormalCaracter"/>
        </w:rPr>
      </w:pPr>
      <w:bookmarkStart w:id="1183" w:name="DESCRIPTORALFABETICO192"/>
      <w:r w:rsidRPr="00DE0EC2">
        <w:rPr>
          <w:rStyle w:val="TextoNormalNegritaCaracter"/>
        </w:rPr>
        <w:t>Recurso de amparo contra actos parlamentarios</w:t>
      </w:r>
      <w:bookmarkEnd w:id="1183"/>
      <w:r w:rsidRPr="00DE0EC2">
        <w:rPr>
          <w:rStyle w:val="TextoNormalCaracter"/>
        </w:rPr>
        <w:t xml:space="preserve">, Sentencia </w:t>
      </w:r>
      <w:hyperlink w:anchor="SENTENCIA_2021_66" w:history="1">
        <w:r w:rsidRPr="00DE0EC2">
          <w:rPr>
            <w:rStyle w:val="TextoNormalCaracter"/>
          </w:rPr>
          <w:t>66/2021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84" w:name="DESCRIPTORALFABETICO187"/>
      <w:r w:rsidRPr="00DE0EC2">
        <w:rPr>
          <w:rStyle w:val="TextoNormalNegritaCaracter"/>
        </w:rPr>
        <w:t>Recurso de amparo mixto</w:t>
      </w:r>
      <w:bookmarkEnd w:id="1184"/>
      <w:r w:rsidRPr="00DE0EC2">
        <w:rPr>
          <w:rStyle w:val="TextoNormalCaracter"/>
        </w:rPr>
        <w:t xml:space="preserve">, Sentencia </w:t>
      </w:r>
      <w:hyperlink w:anchor="SENTENCIA_2021_2" w:history="1">
        <w:r w:rsidRPr="00DE0EC2">
          <w:rPr>
            <w:rStyle w:val="TextoNormalCaracter"/>
          </w:rPr>
          <w:t>2/2021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85" w:name="DESCRIPTORALFABETICO188"/>
      <w:r w:rsidRPr="00DE0EC2">
        <w:rPr>
          <w:rStyle w:val="TextoNormalNegritaCaracter"/>
        </w:rPr>
        <w:t>Recurso de amparo prematuro</w:t>
      </w:r>
      <w:bookmarkEnd w:id="1185"/>
      <w:r w:rsidRPr="00DE0EC2">
        <w:rPr>
          <w:rStyle w:val="TextoNormalCaracter"/>
        </w:rPr>
        <w:t xml:space="preserve">, Sentencia </w:t>
      </w:r>
      <w:hyperlink w:anchor="SENTENCIA_2021_52" w:history="1">
        <w:r w:rsidRPr="00DE0EC2">
          <w:rPr>
            <w:rStyle w:val="TextoNormalCaracter"/>
          </w:rPr>
          <w:t>52/2021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86" w:name="DESCRIPTORALFABETICO478"/>
      <w:r w:rsidRPr="00DE0EC2">
        <w:rPr>
          <w:rStyle w:val="TextoNormalNegritaCaracter"/>
        </w:rPr>
        <w:t>Recurso de casación autonómico</w:t>
      </w:r>
      <w:bookmarkEnd w:id="1186"/>
      <w:r w:rsidRPr="00DE0EC2">
        <w:rPr>
          <w:rStyle w:val="TextoNormalCaracter"/>
        </w:rPr>
        <w:t xml:space="preserve">, Sentencia </w:t>
      </w:r>
      <w:hyperlink w:anchor="SENTENCIA_2021_11" w:history="1">
        <w:r w:rsidRPr="00DE0EC2">
          <w:rPr>
            <w:rStyle w:val="TextoNormalCaracter"/>
          </w:rPr>
          <w:t>11/2021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187" w:name="DESCRIPTORALFABETICO162"/>
      <w:r w:rsidRPr="00DE0EC2">
        <w:rPr>
          <w:rStyle w:val="TextoNormalNegritaCaracter"/>
        </w:rPr>
        <w:t>Recurso de súplica contra Auto de inadmisión</w:t>
      </w:r>
      <w:bookmarkEnd w:id="1187"/>
      <w:r w:rsidRPr="00DE0EC2">
        <w:rPr>
          <w:rStyle w:val="TextoNormalCaracter"/>
        </w:rPr>
        <w:t xml:space="preserve">, Autos </w:t>
      </w:r>
      <w:hyperlink w:anchor="AUTO_2021_58" w:history="1">
        <w:r w:rsidRPr="00DE0EC2">
          <w:rPr>
            <w:rStyle w:val="TextoNormalCaracter"/>
          </w:rPr>
          <w:t>58/2021</w:t>
        </w:r>
      </w:hyperlink>
      <w:r w:rsidRPr="00DE0EC2">
        <w:rPr>
          <w:rStyle w:val="TextoNormalCaracter"/>
        </w:rPr>
        <w:t xml:space="preserve">; </w:t>
      </w:r>
      <w:hyperlink w:anchor="AUTO_2021_59" w:history="1">
        <w:r w:rsidRPr="00DE0EC2">
          <w:rPr>
            <w:rStyle w:val="TextoNormalCaracter"/>
          </w:rPr>
          <w:t>59/2021</w:t>
        </w:r>
      </w:hyperlink>
      <w:r w:rsidRPr="00DE0EC2">
        <w:rPr>
          <w:rStyle w:val="TextoNormalCaracter"/>
        </w:rPr>
        <w:t>.</w:t>
      </w:r>
    </w:p>
    <w:p w:rsidR="00DE0EC2" w:rsidRPr="00DE0EC2" w:rsidRDefault="00DE0EC2" w:rsidP="00DE0EC2">
      <w:pPr>
        <w:pStyle w:val="TextoNormalSangraFrancesa"/>
        <w:rPr>
          <w:rStyle w:val="TextoNormalCaracter"/>
        </w:rPr>
      </w:pPr>
      <w:bookmarkStart w:id="1188" w:name="DESCRIPTORALFABETICO461"/>
      <w:r w:rsidRPr="00DE0EC2">
        <w:rPr>
          <w:rStyle w:val="TextoNormalNegritaCaracter"/>
        </w:rPr>
        <w:t>Recursos judiciales</w:t>
      </w:r>
      <w:bookmarkEnd w:id="1188"/>
      <w:r w:rsidRPr="00DE0EC2">
        <w:rPr>
          <w:rStyle w:val="TextoNormalCaracter"/>
        </w:rPr>
        <w:t xml:space="preserve">, Sentencias </w:t>
      </w:r>
      <w:hyperlink w:anchor="SENTENCIA_2021_23" w:history="1">
        <w:r w:rsidRPr="00DE0EC2">
          <w:rPr>
            <w:rStyle w:val="TextoNormalCaracter"/>
          </w:rPr>
          <w:t>23/2021</w:t>
        </w:r>
      </w:hyperlink>
      <w:r w:rsidRPr="00DE0EC2">
        <w:rPr>
          <w:rStyle w:val="TextoNormalCaracter"/>
        </w:rPr>
        <w:t xml:space="preserve">, f. 2; </w:t>
      </w:r>
      <w:hyperlink w:anchor="SENTENCIA_2021_54" w:history="1">
        <w:r w:rsidRPr="00DE0EC2">
          <w:rPr>
            <w:rStyle w:val="TextoNormalCaracter"/>
          </w:rPr>
          <w:t>54/2021</w:t>
        </w:r>
      </w:hyperlink>
      <w:r w:rsidRPr="00DE0EC2">
        <w:rPr>
          <w:rStyle w:val="TextoNormalCaracter"/>
        </w:rPr>
        <w:t xml:space="preserve">, ff. 2, 3; </w:t>
      </w:r>
      <w:hyperlink w:anchor="SENTENCIA_2021_57" w:history="1">
        <w:r w:rsidRPr="00DE0EC2">
          <w:rPr>
            <w:rStyle w:val="TextoNormalCaracter"/>
          </w:rPr>
          <w:t>57/2021</w:t>
        </w:r>
      </w:hyperlink>
      <w:r w:rsidRPr="00DE0EC2">
        <w:rPr>
          <w:rStyle w:val="TextoNormalCaracter"/>
        </w:rPr>
        <w:t xml:space="preserve">, f.3; </w:t>
      </w:r>
      <w:hyperlink w:anchor="SENTENCIA_2021_136" w:history="1">
        <w:r w:rsidRPr="00DE0EC2">
          <w:rPr>
            <w:rStyle w:val="TextoNormalCaracter"/>
          </w:rPr>
          <w:t>136/2021</w:t>
        </w:r>
      </w:hyperlink>
      <w:r w:rsidRPr="00DE0EC2">
        <w:rPr>
          <w:rStyle w:val="TextoNormalCaracter"/>
        </w:rPr>
        <w:t>, f. único.</w:t>
      </w:r>
    </w:p>
    <w:p w:rsidR="00DE0EC2" w:rsidRPr="00DE0EC2" w:rsidRDefault="00DE0EC2" w:rsidP="00DE0EC2">
      <w:pPr>
        <w:pStyle w:val="TextoNormalSangraFrancesa"/>
        <w:rPr>
          <w:rStyle w:val="TextoNormalCaracter"/>
        </w:rPr>
      </w:pPr>
      <w:bookmarkStart w:id="1189" w:name="DESCRIPTORALFABETICO413"/>
      <w:r w:rsidRPr="00DE0EC2">
        <w:rPr>
          <w:rStyle w:val="TextoNormalNegritaCaracter"/>
        </w:rPr>
        <w:t>Recusación de jueces y magistrados</w:t>
      </w:r>
      <w:bookmarkEnd w:id="1189"/>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5; </w:t>
      </w:r>
      <w:hyperlink w:anchor="SENTENCIA_2021_106" w:history="1">
        <w:r w:rsidRPr="00DE0EC2">
          <w:rPr>
            <w:rStyle w:val="TextoNormalCaracter"/>
          </w:rPr>
          <w:t>106/2021</w:t>
        </w:r>
      </w:hyperlink>
      <w:r w:rsidRPr="00DE0EC2">
        <w:rPr>
          <w:rStyle w:val="TextoNormalCaracter"/>
        </w:rPr>
        <w:t xml:space="preserve">, f. 5; </w:t>
      </w:r>
      <w:hyperlink w:anchor="SENTENCIA_2021_121" w:history="1">
        <w:r w:rsidRPr="00DE0EC2">
          <w:rPr>
            <w:rStyle w:val="TextoNormalCaracter"/>
          </w:rPr>
          <w:t>121/2021</w:t>
        </w:r>
      </w:hyperlink>
      <w:r w:rsidRPr="00DE0EC2">
        <w:rPr>
          <w:rStyle w:val="TextoNormalCaracter"/>
        </w:rPr>
        <w:t xml:space="preserve">, f. 6; </w:t>
      </w:r>
      <w:hyperlink w:anchor="SENTENCIA_2021_122" w:history="1">
        <w:r w:rsidRPr="00DE0EC2">
          <w:rPr>
            <w:rStyle w:val="TextoNormalCaracter"/>
          </w:rPr>
          <w:t>122/2021</w:t>
        </w:r>
      </w:hyperlink>
      <w:r w:rsidRPr="00DE0EC2">
        <w:rPr>
          <w:rStyle w:val="TextoNormalCaracter"/>
        </w:rPr>
        <w:t>, f. 7.</w:t>
      </w:r>
    </w:p>
    <w:p w:rsidR="00DE0EC2" w:rsidRPr="00DE0EC2" w:rsidRDefault="00DE0EC2" w:rsidP="00DE0EC2">
      <w:pPr>
        <w:pStyle w:val="TextoNormalSangraFrancesa"/>
        <w:rPr>
          <w:rStyle w:val="TextoNormalCaracter"/>
        </w:rPr>
      </w:pPr>
      <w:bookmarkStart w:id="1190" w:name="DESCRIPTORALFABETICO396"/>
      <w:r w:rsidRPr="00DE0EC2">
        <w:rPr>
          <w:rStyle w:val="TextoNormalNegritaCaracter"/>
        </w:rPr>
        <w:t>Redes sociales</w:t>
      </w:r>
      <w:bookmarkEnd w:id="1190"/>
      <w:r w:rsidRPr="00DE0EC2">
        <w:rPr>
          <w:rStyle w:val="TextoNormalCaracter"/>
        </w:rPr>
        <w:t xml:space="preserve">, Sentencia </w:t>
      </w:r>
      <w:hyperlink w:anchor="SENTENCIA_2021_93" w:history="1">
        <w:r w:rsidRPr="00DE0EC2">
          <w:rPr>
            <w:rStyle w:val="TextoNormalCaracter"/>
          </w:rPr>
          <w:t>93/2021</w:t>
        </w:r>
      </w:hyperlink>
      <w:r w:rsidRPr="00DE0EC2">
        <w:rPr>
          <w:rStyle w:val="TextoNormalCaracter"/>
        </w:rPr>
        <w:t>, ff. 1, 2, VP I.</w:t>
      </w:r>
    </w:p>
    <w:p w:rsidR="00DE0EC2" w:rsidRPr="00DE0EC2" w:rsidRDefault="00DE0EC2" w:rsidP="00DE0EC2">
      <w:pPr>
        <w:pStyle w:val="TextoNormalSangraFrancesa"/>
        <w:rPr>
          <w:rStyle w:val="TextoNormalCaracter"/>
        </w:rPr>
      </w:pPr>
      <w:bookmarkStart w:id="1191" w:name="DESCRIPTORALFABETICO407"/>
      <w:r w:rsidRPr="00DE0EC2">
        <w:rPr>
          <w:rStyle w:val="TextoNormalNegritaCaracter"/>
        </w:rPr>
        <w:t>Reducción de jornada para el cuidado de hijos</w:t>
      </w:r>
      <w:bookmarkEnd w:id="1191"/>
      <w:r w:rsidRPr="00DE0EC2">
        <w:rPr>
          <w:rStyle w:val="TextoNormalCaracter"/>
        </w:rPr>
        <w:t xml:space="preserve">, Sentencia </w:t>
      </w:r>
      <w:hyperlink w:anchor="SENTENCIA_2021_119" w:history="1">
        <w:r w:rsidRPr="00DE0EC2">
          <w:rPr>
            <w:rStyle w:val="TextoNormalCaracter"/>
          </w:rPr>
          <w:t>119/2021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92" w:name="DESCRIPTORALFABETICO43"/>
      <w:r w:rsidRPr="00DE0EC2">
        <w:rPr>
          <w:rStyle w:val="TextoNormalNegritaCaracter"/>
        </w:rPr>
        <w:t>Régimen electoral</w:t>
      </w:r>
      <w:bookmarkEnd w:id="1192"/>
      <w:r w:rsidRPr="00DE0EC2">
        <w:rPr>
          <w:rStyle w:val="TextoNormalCaracter"/>
        </w:rPr>
        <w:t xml:space="preserve">, Sentencia </w:t>
      </w:r>
      <w:hyperlink w:anchor="SENTENCIA_2021_126" w:history="1">
        <w:r w:rsidRPr="00DE0EC2">
          <w:rPr>
            <w:rStyle w:val="TextoNormalCaracter"/>
          </w:rPr>
          <w:t>126/2021</w:t>
        </w:r>
      </w:hyperlink>
      <w:r w:rsidRPr="00DE0EC2">
        <w:rPr>
          <w:rStyle w:val="TextoNormalCaracter"/>
        </w:rPr>
        <w:t>, ff. 1, 5, 7.</w:t>
      </w:r>
    </w:p>
    <w:p w:rsidR="00DE0EC2" w:rsidRPr="00DE0EC2" w:rsidRDefault="00DE0EC2" w:rsidP="00DE0EC2">
      <w:pPr>
        <w:pStyle w:val="TextoNormalSangraFrancesa"/>
        <w:rPr>
          <w:rStyle w:val="TextoNormalCaracter"/>
        </w:rPr>
      </w:pPr>
      <w:bookmarkStart w:id="1193" w:name="DESCRIPTORALFABETICO508"/>
      <w:r w:rsidRPr="00DE0EC2">
        <w:rPr>
          <w:rStyle w:val="TextoNormalNegritaCaracter"/>
        </w:rPr>
        <w:t>Región de Murcia</w:t>
      </w:r>
      <w:bookmarkEnd w:id="1193"/>
      <w:r w:rsidRPr="00DE0EC2">
        <w:rPr>
          <w:rStyle w:val="TextoNormalCaracter"/>
        </w:rPr>
        <w:t xml:space="preserve">, Sentencia </w:t>
      </w:r>
      <w:hyperlink w:anchor="SENTENCIA_2021_112" w:history="1">
        <w:r w:rsidRPr="00DE0EC2">
          <w:rPr>
            <w:rStyle w:val="TextoNormalCaracter"/>
          </w:rPr>
          <w:t>112/2021</w:t>
        </w:r>
      </w:hyperlink>
      <w:r w:rsidRPr="00DE0EC2">
        <w:rPr>
          <w:rStyle w:val="TextoNormalCaracter"/>
        </w:rPr>
        <w:t>, f. 1.</w:t>
      </w:r>
    </w:p>
    <w:p w:rsidR="00DE0EC2" w:rsidRPr="00DE0EC2" w:rsidRDefault="00DE0EC2" w:rsidP="00DE0EC2">
      <w:pPr>
        <w:pStyle w:val="TextoNormalSangraFrancesa"/>
        <w:rPr>
          <w:rStyle w:val="TextoNormalCaracter"/>
        </w:rPr>
      </w:pPr>
      <w:bookmarkStart w:id="1194" w:name="DESCRIPTORALFABETICO247"/>
      <w:r w:rsidRPr="00DE0EC2">
        <w:rPr>
          <w:rStyle w:val="TextoNormalNegritaCaracter"/>
        </w:rPr>
        <w:t>Reglamentos parlamentarios</w:t>
      </w:r>
      <w:bookmarkEnd w:id="1194"/>
      <w:r w:rsidRPr="00DE0EC2">
        <w:rPr>
          <w:rStyle w:val="TextoNormalCaracter"/>
        </w:rPr>
        <w:t xml:space="preserve">, Sentencias </w:t>
      </w:r>
      <w:hyperlink w:anchor="SENTENCIA_2021_53" w:history="1">
        <w:r w:rsidRPr="00DE0EC2">
          <w:rPr>
            <w:rStyle w:val="TextoNormalCaracter"/>
          </w:rPr>
          <w:t>53/2021</w:t>
        </w:r>
      </w:hyperlink>
      <w:r w:rsidRPr="00DE0EC2">
        <w:rPr>
          <w:rStyle w:val="TextoNormalCaracter"/>
        </w:rPr>
        <w:t xml:space="preserve">, f. 5; </w:t>
      </w:r>
      <w:hyperlink w:anchor="SENTENCIA_2021_66" w:history="1">
        <w:r w:rsidRPr="00DE0EC2">
          <w:rPr>
            <w:rStyle w:val="TextoNormalCaracter"/>
          </w:rPr>
          <w:t>66/2021</w:t>
        </w:r>
      </w:hyperlink>
      <w:r w:rsidRPr="00DE0EC2">
        <w:rPr>
          <w:rStyle w:val="TextoNormalCaracter"/>
        </w:rPr>
        <w:t>, ff. 3, 4.</w:t>
      </w:r>
    </w:p>
    <w:p w:rsidR="00DE0EC2" w:rsidRPr="00DE0EC2" w:rsidRDefault="00DE0EC2" w:rsidP="00DE0EC2">
      <w:pPr>
        <w:pStyle w:val="TextoNormalSangraFrancesa"/>
        <w:rPr>
          <w:rStyle w:val="TextoNormalCaracter"/>
        </w:rPr>
      </w:pPr>
      <w:bookmarkStart w:id="1195" w:name="DESCRIPTORALFABETICO349"/>
      <w:r w:rsidRPr="00DE0EC2">
        <w:rPr>
          <w:rStyle w:val="TextoNormalNegritaCaracter"/>
        </w:rPr>
        <w:t>Relaciones internacionales</w:t>
      </w:r>
      <w:bookmarkEnd w:id="1195"/>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 4.</w:t>
      </w:r>
    </w:p>
    <w:p w:rsidR="00DE0EC2" w:rsidRPr="00DE0EC2" w:rsidRDefault="00DE0EC2" w:rsidP="00DE0EC2">
      <w:pPr>
        <w:pStyle w:val="TextoNormalSangraFrancesa"/>
        <w:rPr>
          <w:rStyle w:val="TextoNormalCaracter"/>
        </w:rPr>
      </w:pPr>
      <w:bookmarkStart w:id="1196" w:name="DESCRIPTORALFABETICO428"/>
      <w:r w:rsidRPr="00DE0EC2">
        <w:rPr>
          <w:rStyle w:val="TextoNormalNegritaCaracter"/>
        </w:rPr>
        <w:t>Relevancia constitucional de los actos procesales de comunicación</w:t>
      </w:r>
      <w:bookmarkEnd w:id="1196"/>
      <w:r w:rsidRPr="00DE0EC2">
        <w:rPr>
          <w:rStyle w:val="TextoNormalCaracter"/>
        </w:rPr>
        <w:t xml:space="preserve">, Sentencia </w:t>
      </w:r>
      <w:hyperlink w:anchor="SENTENCIA_2021_82" w:history="1">
        <w:r w:rsidRPr="00DE0EC2">
          <w:rPr>
            <w:rStyle w:val="TextoNormalCaracter"/>
          </w:rPr>
          <w:t>82/2021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97" w:name="DESCRIPTORALFABETICO201"/>
      <w:r w:rsidRPr="00DE0EC2">
        <w:rPr>
          <w:rStyle w:val="TextoNormalNegritaCaracter"/>
        </w:rPr>
        <w:t>Repercusión política del asunto</w:t>
      </w:r>
      <w:bookmarkEnd w:id="1197"/>
      <w:r w:rsidRPr="00DE0EC2">
        <w:rPr>
          <w:rStyle w:val="TextoNormalCaracter"/>
        </w:rPr>
        <w:t xml:space="preserve">, Sentencias </w:t>
      </w:r>
      <w:hyperlink w:anchor="SENTENCIA_2021_34" w:history="1">
        <w:r w:rsidRPr="00DE0EC2">
          <w:rPr>
            <w:rStyle w:val="TextoNormalCaracter"/>
          </w:rPr>
          <w:t>34/2021</w:t>
        </w:r>
      </w:hyperlink>
      <w:r w:rsidRPr="00DE0EC2">
        <w:rPr>
          <w:rStyle w:val="TextoNormalCaracter"/>
        </w:rPr>
        <w:t xml:space="preserve">, f. 2; </w:t>
      </w:r>
      <w:hyperlink w:anchor="SENTENCIA_2021_67" w:history="1">
        <w:r w:rsidRPr="00DE0EC2">
          <w:rPr>
            <w:rStyle w:val="TextoNormalCaracter"/>
          </w:rPr>
          <w:t>67/2021</w:t>
        </w:r>
      </w:hyperlink>
      <w:r w:rsidRPr="00DE0EC2">
        <w:rPr>
          <w:rStyle w:val="TextoNormalCaracter"/>
        </w:rPr>
        <w:t>, f. 2.</w:t>
      </w:r>
    </w:p>
    <w:p w:rsidR="00DE0EC2" w:rsidRPr="00DE0EC2" w:rsidRDefault="00DE0EC2" w:rsidP="00DE0EC2">
      <w:pPr>
        <w:pStyle w:val="TextoNormalSangraFrancesa"/>
        <w:rPr>
          <w:rStyle w:val="TextoNormalCaracter"/>
        </w:rPr>
      </w:pPr>
      <w:bookmarkStart w:id="1198" w:name="DESCRIPTORALFABETICO467"/>
      <w:r w:rsidRPr="00DE0EC2">
        <w:rPr>
          <w:rStyle w:val="TextoNormalNegritaCaracter"/>
        </w:rPr>
        <w:t>Requisitos de admisión del recurso de casación para la unificación de doctrina</w:t>
      </w:r>
      <w:bookmarkEnd w:id="1198"/>
      <w:r w:rsidRPr="00DE0EC2">
        <w:rPr>
          <w:rStyle w:val="TextoNormalCaracter"/>
        </w:rPr>
        <w:t xml:space="preserve">, Sentencia </w:t>
      </w:r>
      <w:hyperlink w:anchor="SENTENCIA_2021_104" w:history="1">
        <w:r w:rsidRPr="00DE0EC2">
          <w:rPr>
            <w:rStyle w:val="TextoNormalCaracter"/>
          </w:rPr>
          <w:t>104/2021</w:t>
        </w:r>
      </w:hyperlink>
      <w:r w:rsidRPr="00DE0EC2">
        <w:rPr>
          <w:rStyle w:val="TextoNormalCaracter"/>
        </w:rPr>
        <w:t>, f. 3.</w:t>
      </w:r>
    </w:p>
    <w:p w:rsidR="00DE0EC2" w:rsidRPr="00DE0EC2" w:rsidRDefault="00DE0EC2" w:rsidP="00DE0EC2">
      <w:pPr>
        <w:pStyle w:val="TextoNormalSangraFrancesa"/>
        <w:rPr>
          <w:rStyle w:val="TextoNormalCaracter"/>
        </w:rPr>
      </w:pPr>
      <w:bookmarkStart w:id="1199" w:name="DESCRIPTORALFABETICO422"/>
      <w:r w:rsidRPr="00DE0EC2">
        <w:rPr>
          <w:rStyle w:val="TextoNormalNegritaCaracter"/>
        </w:rPr>
        <w:t>Requisitos del emplazamiento</w:t>
      </w:r>
      <w:bookmarkEnd w:id="1199"/>
      <w:r w:rsidRPr="00DE0EC2">
        <w:rPr>
          <w:rStyle w:val="TextoNormalCaracter"/>
        </w:rPr>
        <w:t xml:space="preserve">, Sentencia </w:t>
      </w:r>
      <w:hyperlink w:anchor="SENTENCIA_2021_82" w:history="1">
        <w:r w:rsidRPr="00DE0EC2">
          <w:rPr>
            <w:rStyle w:val="TextoNormalCaracter"/>
          </w:rPr>
          <w:t>82/2021</w:t>
        </w:r>
      </w:hyperlink>
      <w:r w:rsidRPr="00DE0EC2">
        <w:rPr>
          <w:rStyle w:val="TextoNormalCaracter"/>
        </w:rPr>
        <w:t>, f. 2.</w:t>
      </w:r>
    </w:p>
    <w:p w:rsidR="00DE0EC2" w:rsidRPr="00DE0EC2" w:rsidRDefault="00DE0EC2" w:rsidP="00DE0EC2">
      <w:pPr>
        <w:pStyle w:val="TextoNormalSangraFrancesa"/>
        <w:rPr>
          <w:rStyle w:val="TextoNormalCaracter"/>
        </w:rPr>
      </w:pPr>
      <w:bookmarkStart w:id="1200" w:name="DESCRIPTORALFABETICO363"/>
      <w:r w:rsidRPr="00DE0EC2">
        <w:rPr>
          <w:rStyle w:val="TextoNormalNegritaCaracter"/>
        </w:rPr>
        <w:t>Requisitos materiales de la normativa básica</w:t>
      </w:r>
      <w:bookmarkEnd w:id="1200"/>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ff. 1, 3, 5, 10.</w:t>
      </w:r>
    </w:p>
    <w:p w:rsidR="00DE0EC2" w:rsidRPr="00DE0EC2" w:rsidRDefault="00DE0EC2" w:rsidP="00DE0EC2">
      <w:pPr>
        <w:pStyle w:val="TextoNormalSangraFrancesa"/>
        <w:rPr>
          <w:rStyle w:val="TextoNormalCaracter"/>
        </w:rPr>
      </w:pPr>
      <w:bookmarkStart w:id="1201" w:name="DESCRIPTORALFABETICO373"/>
      <w:r w:rsidRPr="00DE0EC2">
        <w:rPr>
          <w:rStyle w:val="TextoNormalNegritaCaracter"/>
        </w:rPr>
        <w:t>Reserva de ley</w:t>
      </w:r>
      <w:bookmarkEnd w:id="1201"/>
      <w:r w:rsidRPr="00DE0EC2">
        <w:rPr>
          <w:rStyle w:val="TextoNormalCaracter"/>
        </w:rPr>
        <w:t xml:space="preserve">, Sentencia </w:t>
      </w:r>
      <w:hyperlink w:anchor="SENTENCIA_2021_37" w:history="1">
        <w:r w:rsidRPr="00DE0EC2">
          <w:rPr>
            <w:rStyle w:val="TextoNormalCaracter"/>
          </w:rPr>
          <w:t>37/2021</w:t>
        </w:r>
      </w:hyperlink>
      <w:r w:rsidRPr="00DE0EC2">
        <w:rPr>
          <w:rStyle w:val="TextoNormalCaracter"/>
        </w:rPr>
        <w:t>, f. 5.</w:t>
      </w:r>
    </w:p>
    <w:p w:rsidR="00DE0EC2" w:rsidRPr="00DE0EC2" w:rsidRDefault="00DE0EC2" w:rsidP="00DE0EC2">
      <w:pPr>
        <w:pStyle w:val="TextoNormalSangraFrancesa"/>
        <w:rPr>
          <w:rStyle w:val="TextoNormalCaracter"/>
        </w:rPr>
      </w:pPr>
      <w:bookmarkStart w:id="1202" w:name="DESCRIPTORALFABETICO91"/>
      <w:r w:rsidRPr="00DE0EC2">
        <w:rPr>
          <w:rStyle w:val="TextoNormalNegritaCaracter"/>
        </w:rPr>
        <w:t>Resolución fundada en Derecho</w:t>
      </w:r>
      <w:bookmarkEnd w:id="1202"/>
      <w:r w:rsidRPr="00DE0EC2">
        <w:rPr>
          <w:rStyle w:val="TextoNormalCaracter"/>
        </w:rPr>
        <w:t xml:space="preserve">, Sentencia </w:t>
      </w:r>
      <w:hyperlink w:anchor="SENTENCIA_2021_120" w:history="1">
        <w:r w:rsidRPr="00DE0EC2">
          <w:rPr>
            <w:rStyle w:val="TextoNormalCaracter"/>
          </w:rPr>
          <w:t>120/2021</w:t>
        </w:r>
      </w:hyperlink>
      <w:r w:rsidRPr="00DE0EC2">
        <w:rPr>
          <w:rStyle w:val="TextoNormalCaracter"/>
        </w:rPr>
        <w:t>, f. 3.</w:t>
      </w:r>
    </w:p>
    <w:p w:rsidR="00DE0EC2" w:rsidRPr="00DE0EC2" w:rsidRDefault="00DE0EC2" w:rsidP="00DE0EC2">
      <w:pPr>
        <w:pStyle w:val="TextoNormalSangraFrancesa"/>
        <w:rPr>
          <w:rStyle w:val="TextoNormalCaracter"/>
        </w:rPr>
      </w:pPr>
      <w:r w:rsidRPr="00DE0EC2">
        <w:rPr>
          <w:rStyle w:val="TextoNormalCursivaCaracter"/>
        </w:rPr>
        <w:t xml:space="preserve">    Respetado, </w:t>
      </w:r>
      <w:r w:rsidRPr="00DE0EC2">
        <w:rPr>
          <w:rStyle w:val="TextoNormalCaracter"/>
        </w:rPr>
        <w:t xml:space="preserve">Sentencia </w:t>
      </w:r>
      <w:hyperlink w:anchor="SENTENCIA_2021_61" w:history="1">
        <w:r w:rsidRPr="00DE0EC2">
          <w:rPr>
            <w:rStyle w:val="TextoNormalCaracter"/>
          </w:rPr>
          <w:t>61/2021</w:t>
        </w:r>
      </w:hyperlink>
      <w:r w:rsidRPr="00DE0EC2">
        <w:rPr>
          <w:rStyle w:val="TextoNormalCaracter"/>
        </w:rPr>
        <w:t>, ff. 4, 5, VP I.</w:t>
      </w:r>
    </w:p>
    <w:p w:rsidR="00DE0EC2" w:rsidRPr="00DE0EC2" w:rsidRDefault="00DE0EC2" w:rsidP="00DE0EC2">
      <w:pPr>
        <w:pStyle w:val="TextoNormalSangraFrancesa"/>
        <w:rPr>
          <w:rStyle w:val="TextoNormalCaracter"/>
        </w:rPr>
      </w:pPr>
      <w:bookmarkStart w:id="1203" w:name="DESCRIPTORALFABETICO492"/>
      <w:r w:rsidRPr="00DE0EC2">
        <w:rPr>
          <w:rStyle w:val="TextoNormalNegritaCaracter"/>
        </w:rPr>
        <w:t>Revisión de condena ante un tribunal superior</w:t>
      </w:r>
      <w:bookmarkEnd w:id="1203"/>
      <w:r w:rsidRPr="00DE0EC2">
        <w:rPr>
          <w:rStyle w:val="TextoNormalCaracter"/>
        </w:rPr>
        <w:t xml:space="preserve">, Sentencia </w:t>
      </w:r>
      <w:hyperlink w:anchor="SENTENCIA_2021_3" w:history="1">
        <w:r w:rsidRPr="00DE0EC2">
          <w:rPr>
            <w:rStyle w:val="TextoNormalCaracter"/>
          </w:rPr>
          <w:t>3/2021</w:t>
        </w:r>
      </w:hyperlink>
      <w:r w:rsidRPr="00DE0EC2">
        <w:rPr>
          <w:rStyle w:val="TextoNormalCaracter"/>
        </w:rPr>
        <w:t>, f. 3.</w:t>
      </w:r>
    </w:p>
    <w:p w:rsidR="00DE0EC2" w:rsidRPr="00DE0EC2" w:rsidRDefault="00DE0EC2" w:rsidP="00DE0EC2">
      <w:pPr>
        <w:pStyle w:val="TextoNormalSangraFrancesa"/>
        <w:rPr>
          <w:rStyle w:val="TextoNormalCaracter"/>
        </w:rPr>
      </w:pPr>
      <w:bookmarkStart w:id="1204" w:name="DESCRIPTORALFABETICO430"/>
      <w:r w:rsidRPr="00DE0EC2">
        <w:rPr>
          <w:rStyle w:val="TextoNormalNegritaCaracter"/>
        </w:rPr>
        <w:t>Revisión de diligencias de ordenación</w:t>
      </w:r>
      <w:bookmarkEnd w:id="1204"/>
      <w:r w:rsidRPr="00DE0EC2">
        <w:rPr>
          <w:rStyle w:val="TextoNormalCaracter"/>
        </w:rPr>
        <w:t xml:space="preserve">, Auto </w:t>
      </w:r>
      <w:hyperlink w:anchor="AUTO_2021_16" w:history="1">
        <w:r w:rsidRPr="00DE0EC2">
          <w:rPr>
            <w:rStyle w:val="TextoNormalCaracter"/>
          </w:rPr>
          <w:t>16/2021</w:t>
        </w:r>
      </w:hyperlink>
      <w:r w:rsidRPr="00DE0EC2">
        <w:rPr>
          <w:rStyle w:val="TextoNormalCaracter"/>
        </w:rPr>
        <w:t>, f. 1.</w:t>
      </w:r>
    </w:p>
    <w:p w:rsidR="00DE0EC2" w:rsidRPr="00DE0EC2" w:rsidRDefault="00DE0EC2" w:rsidP="00DE0EC2">
      <w:pPr>
        <w:pStyle w:val="TextoNormalSangraFrancesa"/>
        <w:rPr>
          <w:rStyle w:val="TextoNormalCaracter"/>
        </w:rPr>
      </w:pPr>
      <w:bookmarkStart w:id="1205" w:name="DESCRIPTORALFABETICO279"/>
      <w:r w:rsidRPr="00DE0EC2">
        <w:rPr>
          <w:rStyle w:val="TextoNormalNegritaCaracter"/>
        </w:rPr>
        <w:t>Revisión judicial de laudos arbitrales</w:t>
      </w:r>
      <w:bookmarkEnd w:id="1205"/>
      <w:r w:rsidRPr="00DE0EC2">
        <w:rPr>
          <w:rStyle w:val="TextoNormalCaracter"/>
        </w:rPr>
        <w:t xml:space="preserve">, Sentencias </w:t>
      </w:r>
      <w:hyperlink w:anchor="SENTENCIA_2021_17" w:history="1">
        <w:r w:rsidRPr="00DE0EC2">
          <w:rPr>
            <w:rStyle w:val="TextoNormalCaracter"/>
          </w:rPr>
          <w:t>17/2021</w:t>
        </w:r>
      </w:hyperlink>
      <w:r w:rsidRPr="00DE0EC2">
        <w:rPr>
          <w:rStyle w:val="TextoNormalCaracter"/>
        </w:rPr>
        <w:t xml:space="preserve">, ff. 1 a 3; </w:t>
      </w:r>
      <w:hyperlink w:anchor="SENTENCIA_2021_65" w:history="1">
        <w:r w:rsidRPr="00DE0EC2">
          <w:rPr>
            <w:rStyle w:val="TextoNormalCaracter"/>
          </w:rPr>
          <w:t>65/2021</w:t>
        </w:r>
      </w:hyperlink>
      <w:r w:rsidRPr="00DE0EC2">
        <w:rPr>
          <w:rStyle w:val="TextoNormalCaracter"/>
        </w:rPr>
        <w:t>, ff. 3 a 6.</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S</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206" w:name="DESCRIPTORALFABETICO332"/>
      <w:r w:rsidRPr="00DE0EC2">
        <w:rPr>
          <w:rStyle w:val="TextoNormalNegritaCaracter"/>
        </w:rPr>
        <w:t>Sedición</w:t>
      </w:r>
      <w:bookmarkEnd w:id="1206"/>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11; </w:t>
      </w:r>
      <w:hyperlink w:anchor="SENTENCIA_2021_106" w:history="1">
        <w:r w:rsidRPr="00DE0EC2">
          <w:rPr>
            <w:rStyle w:val="TextoNormalCaracter"/>
          </w:rPr>
          <w:t>106/2021</w:t>
        </w:r>
      </w:hyperlink>
      <w:r w:rsidRPr="00DE0EC2">
        <w:rPr>
          <w:rStyle w:val="TextoNormalCaracter"/>
        </w:rPr>
        <w:t xml:space="preserve">, ff. 1, 2, 3, 5, 9, 10, 11 y VP I; </w:t>
      </w:r>
      <w:hyperlink w:anchor="SENTENCIA_2021_121" w:history="1">
        <w:r w:rsidRPr="00DE0EC2">
          <w:rPr>
            <w:rStyle w:val="TextoNormalCaracter"/>
          </w:rPr>
          <w:t>121/2021</w:t>
        </w:r>
      </w:hyperlink>
      <w:r w:rsidRPr="00DE0EC2">
        <w:rPr>
          <w:rStyle w:val="TextoNormalCaracter"/>
        </w:rPr>
        <w:t xml:space="preserve">, ff. 3, 4, 11, 12; </w:t>
      </w:r>
      <w:hyperlink w:anchor="SENTENCIA_2021_122" w:history="1">
        <w:r w:rsidRPr="00DE0EC2">
          <w:rPr>
            <w:rStyle w:val="TextoNormalCaracter"/>
          </w:rPr>
          <w:t>122/2021</w:t>
        </w:r>
      </w:hyperlink>
      <w:r w:rsidRPr="00DE0EC2">
        <w:rPr>
          <w:rStyle w:val="TextoNormalCaracter"/>
        </w:rPr>
        <w:t>, ff. 3, 10.</w:t>
      </w:r>
    </w:p>
    <w:p w:rsidR="00DE0EC2" w:rsidRPr="00DE0EC2" w:rsidRDefault="00DE0EC2" w:rsidP="00DE0EC2">
      <w:pPr>
        <w:pStyle w:val="TextoNormalSangraFrancesa"/>
        <w:rPr>
          <w:rStyle w:val="TextoNormalCaracter"/>
        </w:rPr>
      </w:pPr>
      <w:bookmarkStart w:id="1207" w:name="DESCRIPTORALFABETICO267"/>
      <w:r w:rsidRPr="00DE0EC2">
        <w:rPr>
          <w:rStyle w:val="TextoNormalNegritaCaracter"/>
        </w:rPr>
        <w:t>Seguridad ciudadana</w:t>
      </w:r>
      <w:bookmarkEnd w:id="1207"/>
      <w:r w:rsidRPr="00DE0EC2">
        <w:rPr>
          <w:rStyle w:val="TextoNormalCaracter"/>
        </w:rPr>
        <w:t xml:space="preserve">, Sentencia </w:t>
      </w:r>
      <w:hyperlink w:anchor="SENTENCIA_2021_13" w:history="1">
        <w:r w:rsidRPr="00DE0EC2">
          <w:rPr>
            <w:rStyle w:val="TextoNormalCaracter"/>
          </w:rPr>
          <w:t>13/2021</w:t>
        </w:r>
      </w:hyperlink>
      <w:r w:rsidRPr="00DE0EC2">
        <w:rPr>
          <w:rStyle w:val="TextoNormalCaracter"/>
        </w:rPr>
        <w:t>, f. 2, VP II.</w:t>
      </w:r>
    </w:p>
    <w:p w:rsidR="00DE0EC2" w:rsidRPr="00DE0EC2" w:rsidRDefault="00DE0EC2" w:rsidP="00DE0EC2">
      <w:pPr>
        <w:pStyle w:val="TextoNormalSangraFrancesa"/>
        <w:rPr>
          <w:rStyle w:val="TextoNormalCaracter"/>
        </w:rPr>
      </w:pPr>
      <w:bookmarkStart w:id="1208" w:name="DESCRIPTORALFABETICO494"/>
      <w:r w:rsidRPr="00DE0EC2">
        <w:rPr>
          <w:rStyle w:val="TextoNormalNegritaCaracter"/>
        </w:rPr>
        <w:t>Sentencia condenatoria en segunda instancia</w:t>
      </w:r>
      <w:bookmarkEnd w:id="1208"/>
      <w:r w:rsidRPr="00DE0EC2">
        <w:rPr>
          <w:rStyle w:val="TextoNormalCaracter"/>
        </w:rPr>
        <w:t xml:space="preserve">, Sentencia </w:t>
      </w:r>
      <w:hyperlink w:anchor="SENTENCIA_2021_22" w:history="1">
        <w:r w:rsidRPr="00DE0EC2">
          <w:rPr>
            <w:rStyle w:val="TextoNormalCaracter"/>
          </w:rPr>
          <w:t>22/2021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1209" w:name="DESCRIPTORALFABETICO394"/>
      <w:r w:rsidRPr="00DE0EC2">
        <w:rPr>
          <w:rStyle w:val="TextoNormalNegritaCaracter"/>
        </w:rPr>
        <w:t>Silencio administrativo negativo</w:t>
      </w:r>
      <w:bookmarkEnd w:id="1209"/>
      <w:r w:rsidRPr="00DE0EC2">
        <w:rPr>
          <w:rStyle w:val="TextoNormalCaracter"/>
        </w:rPr>
        <w:t xml:space="preserve">, Sentencia </w:t>
      </w:r>
      <w:hyperlink w:anchor="SENTENCIA_2021_88" w:history="1">
        <w:r w:rsidRPr="00DE0EC2">
          <w:rPr>
            <w:rStyle w:val="TextoNormalCaracter"/>
          </w:rPr>
          <w:t>88/2021</w:t>
        </w:r>
      </w:hyperlink>
      <w:r w:rsidRPr="00DE0EC2">
        <w:rPr>
          <w:rStyle w:val="TextoNormalCaracter"/>
        </w:rPr>
        <w:t>, ff. 1, 4.</w:t>
      </w:r>
    </w:p>
    <w:p w:rsidR="00DE0EC2" w:rsidRPr="00DE0EC2" w:rsidRDefault="00DE0EC2" w:rsidP="00DE0EC2">
      <w:pPr>
        <w:pStyle w:val="TextoNormalSangraFrancesa"/>
        <w:rPr>
          <w:rStyle w:val="TextoNormalCaracter"/>
        </w:rPr>
      </w:pPr>
      <w:bookmarkStart w:id="1210" w:name="DESCRIPTORALFABETICO383"/>
      <w:r w:rsidRPr="00DE0EC2">
        <w:rPr>
          <w:rStyle w:val="TextoNormalNegritaCaracter"/>
        </w:rPr>
        <w:t>Sistema de días-multa</w:t>
      </w:r>
      <w:bookmarkEnd w:id="1210"/>
      <w:r w:rsidRPr="00DE0EC2">
        <w:rPr>
          <w:rStyle w:val="TextoNormalCaracter"/>
        </w:rPr>
        <w:t xml:space="preserve">, Sentencias </w:t>
      </w:r>
      <w:hyperlink w:anchor="SENTENCIA_2021_34" w:history="1">
        <w:r w:rsidRPr="00DE0EC2">
          <w:rPr>
            <w:rStyle w:val="TextoNormalCaracter"/>
          </w:rPr>
          <w:t>34/2021</w:t>
        </w:r>
      </w:hyperlink>
      <w:r w:rsidRPr="00DE0EC2">
        <w:rPr>
          <w:rStyle w:val="TextoNormalCaracter"/>
        </w:rPr>
        <w:t xml:space="preserve">, f. 7; </w:t>
      </w:r>
      <w:hyperlink w:anchor="SENTENCIA_2021_67" w:history="1">
        <w:r w:rsidRPr="00DE0EC2">
          <w:rPr>
            <w:rStyle w:val="TextoNormalCaracter"/>
          </w:rPr>
          <w:t>67/2021</w:t>
        </w:r>
      </w:hyperlink>
      <w:r w:rsidRPr="00DE0EC2">
        <w:rPr>
          <w:rStyle w:val="TextoNormalCaracter"/>
        </w:rPr>
        <w:t>, f. 4.</w:t>
      </w:r>
    </w:p>
    <w:p w:rsidR="00DE0EC2" w:rsidRPr="00DE0EC2" w:rsidRDefault="00DE0EC2" w:rsidP="00DE0EC2">
      <w:pPr>
        <w:pStyle w:val="TextoNormalSangraFrancesa"/>
        <w:rPr>
          <w:rStyle w:val="TextoNormalCaracter"/>
        </w:rPr>
      </w:pPr>
      <w:bookmarkStart w:id="1211" w:name="DESCRIPTORALFABETICO470"/>
      <w:r w:rsidRPr="00DE0EC2">
        <w:rPr>
          <w:rStyle w:val="TextoNormalNegritaCaracter"/>
        </w:rPr>
        <w:t>Sobreseimiento por pérdida sobrevenida de objeto</w:t>
      </w:r>
      <w:bookmarkEnd w:id="1211"/>
      <w:r w:rsidRPr="00DE0EC2">
        <w:rPr>
          <w:rStyle w:val="TextoNormalCaracter"/>
        </w:rPr>
        <w:t xml:space="preserve">, Sentencia </w:t>
      </w:r>
      <w:hyperlink w:anchor="SENTENCIA_2021_78" w:history="1">
        <w:r w:rsidRPr="00DE0EC2">
          <w:rPr>
            <w:rStyle w:val="TextoNormalCaracter"/>
          </w:rPr>
          <w:t>78/2021</w:t>
        </w:r>
      </w:hyperlink>
      <w:r w:rsidRPr="00DE0EC2">
        <w:rPr>
          <w:rStyle w:val="TextoNormalCaracter"/>
        </w:rPr>
        <w:t>, ff. 1, 4 a 6.</w:t>
      </w:r>
    </w:p>
    <w:p w:rsidR="00DE0EC2" w:rsidRPr="00DE0EC2" w:rsidRDefault="00DE0EC2" w:rsidP="00DE0EC2">
      <w:pPr>
        <w:pStyle w:val="TextoNormalSangraFrancesa"/>
        <w:rPr>
          <w:rStyle w:val="TextoNormalCaracter"/>
        </w:rPr>
      </w:pPr>
      <w:bookmarkStart w:id="1212" w:name="DESCRIPTORALFABETICO235"/>
      <w:r w:rsidRPr="00DE0EC2">
        <w:rPr>
          <w:rStyle w:val="TextoNormalNegritaCaracter"/>
        </w:rPr>
        <w:t>Solicitud de reconsideración de Acuerdo de la Mesa</w:t>
      </w:r>
      <w:bookmarkEnd w:id="1212"/>
      <w:r w:rsidRPr="00DE0EC2">
        <w:rPr>
          <w:rStyle w:val="TextoNormalCaracter"/>
        </w:rPr>
        <w:t xml:space="preserve">, Sentencia </w:t>
      </w:r>
      <w:hyperlink w:anchor="SENTENCIA_2021_137" w:history="1">
        <w:r w:rsidRPr="00DE0EC2">
          <w:rPr>
            <w:rStyle w:val="TextoNormalCaracter"/>
          </w:rPr>
          <w:t>137/2021</w:t>
        </w:r>
      </w:hyperlink>
      <w:r w:rsidRPr="00DE0EC2">
        <w:rPr>
          <w:rStyle w:val="TextoNormalCaracter"/>
        </w:rPr>
        <w:t>, ff. 1, 2, 4.</w:t>
      </w:r>
    </w:p>
    <w:p w:rsidR="00DE0EC2" w:rsidRPr="00DE0EC2" w:rsidRDefault="00DE0EC2" w:rsidP="00DE0EC2">
      <w:pPr>
        <w:pStyle w:val="TextoNormalSangraFrancesa"/>
        <w:rPr>
          <w:rStyle w:val="TextoNormalCaracter"/>
        </w:rPr>
      </w:pPr>
      <w:bookmarkStart w:id="1213" w:name="DESCRIPTORALFABETICO185"/>
      <w:r w:rsidRPr="00DE0EC2">
        <w:rPr>
          <w:rStyle w:val="TextoNormalNegritaCaracter"/>
        </w:rPr>
        <w:t>Subsanación de defectos de la demanda de amparo</w:t>
      </w:r>
      <w:bookmarkEnd w:id="1213"/>
      <w:r w:rsidRPr="00DE0EC2">
        <w:rPr>
          <w:rStyle w:val="TextoNormalCaracter"/>
        </w:rPr>
        <w:t xml:space="preserve">, Auto </w:t>
      </w:r>
      <w:hyperlink w:anchor="AUTO_2021_16" w:history="1">
        <w:r w:rsidRPr="00DE0EC2">
          <w:rPr>
            <w:rStyle w:val="TextoNormalCaracter"/>
          </w:rPr>
          <w:t>16/2021</w:t>
        </w:r>
      </w:hyperlink>
      <w:r w:rsidRPr="00DE0EC2">
        <w:rPr>
          <w:rStyle w:val="TextoNormalCaracter"/>
        </w:rPr>
        <w:t>, f. 2.</w:t>
      </w:r>
    </w:p>
    <w:p w:rsidR="00DE0EC2" w:rsidRPr="00DE0EC2" w:rsidRDefault="00DE0EC2" w:rsidP="00DE0EC2">
      <w:pPr>
        <w:pStyle w:val="TextoNormalSangraFrancesa"/>
        <w:rPr>
          <w:rStyle w:val="TextoNormalCaracter"/>
        </w:rPr>
      </w:pPr>
      <w:bookmarkStart w:id="1214" w:name="DESCRIPTORALFABETICO321"/>
      <w:r w:rsidRPr="00DE0EC2">
        <w:rPr>
          <w:rStyle w:val="TextoNormalNegritaCaracter"/>
        </w:rPr>
        <w:t>Subvenciones autonómicas</w:t>
      </w:r>
      <w:bookmarkEnd w:id="1214"/>
      <w:r w:rsidRPr="00DE0EC2">
        <w:rPr>
          <w:rStyle w:val="TextoNormalCaracter"/>
        </w:rPr>
        <w:t xml:space="preserve">, Sentencia </w:t>
      </w:r>
      <w:hyperlink w:anchor="SENTENCIA_2021_37" w:history="1">
        <w:r w:rsidRPr="00DE0EC2">
          <w:rPr>
            <w:rStyle w:val="TextoNormalCaracter"/>
          </w:rPr>
          <w:t>37/2021</w:t>
        </w:r>
      </w:hyperlink>
      <w:r w:rsidRPr="00DE0EC2">
        <w:rPr>
          <w:rStyle w:val="TextoNormalCaracter"/>
        </w:rPr>
        <w:t>, ff. 1 a 8.</w:t>
      </w:r>
    </w:p>
    <w:p w:rsidR="00DE0EC2" w:rsidRPr="00DE0EC2" w:rsidRDefault="00DE0EC2" w:rsidP="00DE0EC2">
      <w:pPr>
        <w:pStyle w:val="TextoNormalSangraFrancesa"/>
        <w:rPr>
          <w:rStyle w:val="TextoNormalCaracter"/>
        </w:rPr>
      </w:pPr>
      <w:bookmarkStart w:id="1215" w:name="DESCRIPTORALFABETICO319"/>
      <w:r w:rsidRPr="00DE0EC2">
        <w:rPr>
          <w:rStyle w:val="TextoNormalNegritaCaracter"/>
        </w:rPr>
        <w:t>Subvenciones públicas</w:t>
      </w:r>
      <w:bookmarkEnd w:id="1215"/>
      <w:r w:rsidRPr="00DE0EC2">
        <w:rPr>
          <w:rStyle w:val="TextoNormalCaracter"/>
        </w:rPr>
        <w:t xml:space="preserve">, Sentencias </w:t>
      </w:r>
      <w:hyperlink w:anchor="SENTENCIA_2021_37" w:history="1">
        <w:r w:rsidRPr="00DE0EC2">
          <w:rPr>
            <w:rStyle w:val="TextoNormalCaracter"/>
          </w:rPr>
          <w:t>37/2021</w:t>
        </w:r>
      </w:hyperlink>
      <w:r w:rsidRPr="00DE0EC2">
        <w:rPr>
          <w:rStyle w:val="TextoNormalCaracter"/>
        </w:rPr>
        <w:t xml:space="preserve">, ff. 1 a 8; </w:t>
      </w:r>
      <w:hyperlink w:anchor="SENTENCIA_2021_40" w:history="1">
        <w:r w:rsidRPr="00DE0EC2">
          <w:rPr>
            <w:rStyle w:val="TextoNormalCaracter"/>
          </w:rPr>
          <w:t>40/2021</w:t>
        </w:r>
      </w:hyperlink>
      <w:r w:rsidRPr="00DE0EC2">
        <w:rPr>
          <w:rStyle w:val="TextoNormalCaracter"/>
        </w:rPr>
        <w:t>, f. 5.</w:t>
      </w:r>
    </w:p>
    <w:p w:rsidR="00DE0EC2" w:rsidRPr="00DE0EC2" w:rsidRDefault="00DE0EC2" w:rsidP="00DE0EC2">
      <w:pPr>
        <w:pStyle w:val="TextoNormalSangraFrancesa"/>
        <w:rPr>
          <w:rStyle w:val="TextoNormalCaracter"/>
        </w:rPr>
      </w:pPr>
      <w:bookmarkStart w:id="1216" w:name="DESCRIPTORALFABETICO124"/>
      <w:r w:rsidRPr="00DE0EC2">
        <w:rPr>
          <w:rStyle w:val="TextoNormalNegritaCaracter"/>
        </w:rPr>
        <w:t>Sufragio pasivo</w:t>
      </w:r>
      <w:bookmarkEnd w:id="1216"/>
      <w:r w:rsidRPr="00DE0EC2">
        <w:rPr>
          <w:rStyle w:val="TextoNormalCaracter"/>
        </w:rPr>
        <w:t xml:space="preserve">, Sentencia </w:t>
      </w:r>
      <w:hyperlink w:anchor="SENTENCIA_2021_126" w:history="1">
        <w:r w:rsidRPr="00DE0EC2">
          <w:rPr>
            <w:rStyle w:val="TextoNormalCaracter"/>
          </w:rPr>
          <w:t>126/2021</w:t>
        </w:r>
      </w:hyperlink>
      <w:r w:rsidRPr="00DE0EC2">
        <w:rPr>
          <w:rStyle w:val="TextoNormalCaracter"/>
        </w:rPr>
        <w:t>, f. 5.</w:t>
      </w:r>
    </w:p>
    <w:p w:rsidR="00DE0EC2" w:rsidRPr="00DE0EC2" w:rsidRDefault="00DE0EC2" w:rsidP="00DE0EC2">
      <w:pPr>
        <w:pStyle w:val="TextoNormalSangraFrancesa"/>
        <w:rPr>
          <w:rStyle w:val="TextoNormalCaracter"/>
        </w:rPr>
      </w:pPr>
      <w:bookmarkStart w:id="1217" w:name="DESCRIPTORALFABETICO313"/>
      <w:r w:rsidRPr="00DE0EC2">
        <w:rPr>
          <w:rStyle w:val="TextoNormalNegritaCaracter"/>
        </w:rPr>
        <w:t>Suspensión cautelar de la expulsión</w:t>
      </w:r>
      <w:bookmarkEnd w:id="1217"/>
      <w:r w:rsidRPr="00DE0EC2">
        <w:rPr>
          <w:rStyle w:val="TextoNormalCaracter"/>
        </w:rPr>
        <w:t xml:space="preserve">, Autos </w:t>
      </w:r>
      <w:hyperlink w:anchor="AUTO_2021_40" w:history="1">
        <w:r w:rsidRPr="00DE0EC2">
          <w:rPr>
            <w:rStyle w:val="TextoNormalCaracter"/>
          </w:rPr>
          <w:t>40/2021</w:t>
        </w:r>
      </w:hyperlink>
      <w:r w:rsidRPr="00DE0EC2">
        <w:rPr>
          <w:rStyle w:val="TextoNormalCaracter"/>
        </w:rPr>
        <w:t xml:space="preserve">; </w:t>
      </w:r>
      <w:hyperlink w:anchor="AUTO_2021_55" w:history="1">
        <w:r w:rsidRPr="00DE0EC2">
          <w:rPr>
            <w:rStyle w:val="TextoNormalCaracter"/>
          </w:rPr>
          <w:t>55/2021</w:t>
        </w:r>
      </w:hyperlink>
      <w:r w:rsidRPr="00DE0EC2">
        <w:rPr>
          <w:rStyle w:val="TextoNormalCaracter"/>
        </w:rPr>
        <w:t>.</w:t>
      </w:r>
    </w:p>
    <w:p w:rsidR="00DE0EC2" w:rsidRPr="00DE0EC2" w:rsidRDefault="00DE0EC2" w:rsidP="00DE0EC2">
      <w:pPr>
        <w:pStyle w:val="TextoNormalSangraFrancesa"/>
        <w:rPr>
          <w:rStyle w:val="TextoNormalCaracter"/>
        </w:rPr>
      </w:pPr>
      <w:bookmarkStart w:id="1218" w:name="DESCRIPTORALFABETICO147"/>
      <w:r w:rsidRPr="00DE0EC2">
        <w:rPr>
          <w:rStyle w:val="TextoNormalNegritaCaracter"/>
        </w:rPr>
        <w:t>Suspensión cautelar de la tramitación del proceso judicial</w:t>
      </w:r>
      <w:bookmarkEnd w:id="1218"/>
      <w:r w:rsidRPr="00DE0EC2">
        <w:rPr>
          <w:rStyle w:val="TextoNormalCaracter"/>
        </w:rPr>
        <w:t xml:space="preserve">, Auto </w:t>
      </w:r>
      <w:hyperlink w:anchor="AUTO_2021_66" w:history="1">
        <w:r w:rsidRPr="00DE0EC2">
          <w:rPr>
            <w:rStyle w:val="TextoNormalCaracter"/>
          </w:rPr>
          <w:t>66/2021</w:t>
        </w:r>
      </w:hyperlink>
      <w:r w:rsidRPr="00DE0EC2">
        <w:rPr>
          <w:rStyle w:val="TextoNormalCaracter"/>
        </w:rPr>
        <w:t>, ff. 1 a 4.</w:t>
      </w:r>
    </w:p>
    <w:p w:rsidR="00DE0EC2" w:rsidRPr="00DE0EC2" w:rsidRDefault="00DE0EC2" w:rsidP="00DE0EC2">
      <w:pPr>
        <w:pStyle w:val="TextoNormalSangraFrancesa"/>
        <w:rPr>
          <w:rStyle w:val="TextoNormalCaracter"/>
        </w:rPr>
      </w:pPr>
      <w:bookmarkStart w:id="1219" w:name="DESCRIPTORALFABETICO149"/>
      <w:r w:rsidRPr="00DE0EC2">
        <w:rPr>
          <w:rStyle w:val="TextoNormalNegritaCaracter"/>
        </w:rPr>
        <w:t>Suspensión cautelar de resoluciones civiles</w:t>
      </w:r>
      <w:bookmarkEnd w:id="1219"/>
      <w:r w:rsidRPr="00DE0EC2">
        <w:rPr>
          <w:rStyle w:val="TextoNormalCaracter"/>
        </w:rPr>
        <w:t xml:space="preserve">, Auto </w:t>
      </w:r>
      <w:hyperlink w:anchor="AUTO_2021_44" w:history="1">
        <w:r w:rsidRPr="00DE0EC2">
          <w:rPr>
            <w:rStyle w:val="TextoNormalCaracter"/>
          </w:rPr>
          <w:t>44/2021</w:t>
        </w:r>
      </w:hyperlink>
      <w:r w:rsidRPr="00DE0EC2">
        <w:rPr>
          <w:rStyle w:val="TextoNormalCaracter"/>
        </w:rPr>
        <w:t>.</w:t>
      </w:r>
    </w:p>
    <w:p w:rsidR="00DE0EC2" w:rsidRPr="00DE0EC2" w:rsidRDefault="00DE0EC2" w:rsidP="00DE0EC2">
      <w:pPr>
        <w:pStyle w:val="TextoNormalSangraFrancesa"/>
        <w:rPr>
          <w:rStyle w:val="TextoNormalCaracter"/>
        </w:rPr>
      </w:pPr>
      <w:bookmarkStart w:id="1220" w:name="DESCRIPTORALFABETICO152"/>
      <w:r w:rsidRPr="00DE0EC2">
        <w:rPr>
          <w:rStyle w:val="TextoNormalNegritaCaracter"/>
        </w:rPr>
        <w:t>Suspensión cautelar de resoluciones parlamentarias</w:t>
      </w:r>
      <w:bookmarkEnd w:id="1220"/>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No suspende, </w:t>
      </w:r>
      <w:r w:rsidRPr="00DE0EC2">
        <w:rPr>
          <w:rStyle w:val="TextoNormalCaracter"/>
        </w:rPr>
        <w:t xml:space="preserve">Auto </w:t>
      </w:r>
      <w:hyperlink w:anchor="AUTO_2021_42" w:history="1">
        <w:r w:rsidRPr="00DE0EC2">
          <w:rPr>
            <w:rStyle w:val="TextoNormalCaracter"/>
          </w:rPr>
          <w:t>42/2021</w:t>
        </w:r>
      </w:hyperlink>
      <w:r w:rsidRPr="00DE0EC2">
        <w:rPr>
          <w:rStyle w:val="TextoNormalCaracter"/>
        </w:rPr>
        <w:t>.</w:t>
      </w:r>
    </w:p>
    <w:p w:rsidR="00DE0EC2" w:rsidRPr="00DE0EC2" w:rsidRDefault="00DE0EC2" w:rsidP="00DE0EC2">
      <w:pPr>
        <w:pStyle w:val="TextoNormalSangraFrancesa"/>
        <w:rPr>
          <w:rStyle w:val="TextoNormalCaracter"/>
        </w:rPr>
      </w:pPr>
      <w:bookmarkStart w:id="1221" w:name="DESCRIPTORALFABETICO150"/>
      <w:r w:rsidRPr="00DE0EC2">
        <w:rPr>
          <w:rStyle w:val="TextoNormalNegritaCaracter"/>
        </w:rPr>
        <w:t>Suspensión cautelar de sentencias contencioso-administrativas</w:t>
      </w:r>
      <w:bookmarkEnd w:id="1221"/>
      <w:r w:rsidRPr="00DE0EC2">
        <w:rPr>
          <w:rStyle w:val="TextoNormalCaracter"/>
        </w:rPr>
        <w:t xml:space="preserve">, </w:t>
      </w:r>
    </w:p>
    <w:p w:rsidR="00DE0EC2" w:rsidRPr="00DE0EC2" w:rsidRDefault="00DE0EC2" w:rsidP="00DE0EC2">
      <w:pPr>
        <w:pStyle w:val="TextoNormalSangraFrancesa"/>
        <w:rPr>
          <w:rStyle w:val="TextoNormalCaracter"/>
        </w:rPr>
      </w:pPr>
      <w:r w:rsidRPr="00DE0EC2">
        <w:rPr>
          <w:rStyle w:val="TextoNormalCursivaCaracter"/>
        </w:rPr>
        <w:t xml:space="preserve">    No suspende, </w:t>
      </w:r>
      <w:r w:rsidRPr="00DE0EC2">
        <w:rPr>
          <w:rStyle w:val="TextoNormalCaracter"/>
        </w:rPr>
        <w:t xml:space="preserve">Autos </w:t>
      </w:r>
      <w:hyperlink w:anchor="AUTO_2021_46" w:history="1">
        <w:r w:rsidRPr="00DE0EC2">
          <w:rPr>
            <w:rStyle w:val="TextoNormalCaracter"/>
          </w:rPr>
          <w:t>46/2021</w:t>
        </w:r>
      </w:hyperlink>
      <w:r w:rsidRPr="00DE0EC2">
        <w:rPr>
          <w:rStyle w:val="TextoNormalCaracter"/>
        </w:rPr>
        <w:t xml:space="preserve">; </w:t>
      </w:r>
      <w:hyperlink w:anchor="AUTO_2021_52" w:history="1">
        <w:r w:rsidRPr="00DE0EC2">
          <w:rPr>
            <w:rStyle w:val="TextoNormalCaracter"/>
          </w:rPr>
          <w:t>52/2021</w:t>
        </w:r>
      </w:hyperlink>
      <w:r w:rsidRPr="00DE0EC2">
        <w:rPr>
          <w:rStyle w:val="TextoNormalCaracter"/>
        </w:rPr>
        <w:t>.</w:t>
      </w:r>
    </w:p>
    <w:p w:rsidR="00DE0EC2" w:rsidRPr="00DE0EC2" w:rsidRDefault="00DE0EC2" w:rsidP="00DE0EC2">
      <w:pPr>
        <w:pStyle w:val="TextoNormalSangraFrancesa"/>
        <w:rPr>
          <w:rStyle w:val="TextoNormalCaracter"/>
        </w:rPr>
      </w:pPr>
      <w:r w:rsidRPr="00DE0EC2">
        <w:rPr>
          <w:rStyle w:val="TextoNormalCursivaCaracter"/>
        </w:rPr>
        <w:t xml:space="preserve">    Suspende, </w:t>
      </w:r>
      <w:r w:rsidRPr="00DE0EC2">
        <w:rPr>
          <w:rStyle w:val="TextoNormalCaracter"/>
        </w:rPr>
        <w:t xml:space="preserve">Auto </w:t>
      </w:r>
      <w:hyperlink w:anchor="AUTO_2021_55" w:history="1">
        <w:r w:rsidRPr="00DE0EC2">
          <w:rPr>
            <w:rStyle w:val="TextoNormalCaracter"/>
          </w:rPr>
          <w:t>55/2021</w:t>
        </w:r>
      </w:hyperlink>
      <w:r w:rsidRPr="00DE0EC2">
        <w:rPr>
          <w:rStyle w:val="TextoNormalCaracter"/>
        </w:rPr>
        <w:t>.</w:t>
      </w:r>
    </w:p>
    <w:p w:rsidR="00DE0EC2" w:rsidRPr="00DE0EC2" w:rsidRDefault="00DE0EC2" w:rsidP="00DE0EC2">
      <w:pPr>
        <w:pStyle w:val="TextoNormalSangraFrancesa"/>
        <w:rPr>
          <w:rStyle w:val="TextoNormalCaracter"/>
        </w:rPr>
      </w:pPr>
      <w:bookmarkStart w:id="1222" w:name="DESCRIPTORALFABETICO151"/>
      <w:r w:rsidRPr="00DE0EC2">
        <w:rPr>
          <w:rStyle w:val="TextoNormalNegritaCaracter"/>
        </w:rPr>
        <w:t>Suspensión cautelar de sentencias penales</w:t>
      </w:r>
      <w:bookmarkEnd w:id="1222"/>
      <w:r w:rsidRPr="00DE0EC2">
        <w:rPr>
          <w:rStyle w:val="TextoNormalCaracter"/>
        </w:rPr>
        <w:t xml:space="preserve">, Auto </w:t>
      </w:r>
      <w:hyperlink w:anchor="AUTO_2021_27" w:history="1">
        <w:r w:rsidRPr="00DE0EC2">
          <w:rPr>
            <w:rStyle w:val="TextoNormalCaracter"/>
          </w:rPr>
          <w:t>27/2021</w:t>
        </w:r>
      </w:hyperlink>
      <w:r w:rsidRPr="00DE0EC2">
        <w:rPr>
          <w:rStyle w:val="TextoNormalCaracter"/>
        </w:rPr>
        <w:t>.</w:t>
      </w:r>
    </w:p>
    <w:p w:rsidR="00DE0EC2" w:rsidRPr="00DE0EC2" w:rsidRDefault="00DE0EC2" w:rsidP="00DE0EC2">
      <w:pPr>
        <w:pStyle w:val="TextoNormalSangraFrancesa"/>
        <w:rPr>
          <w:rStyle w:val="TextoNormalCaracter"/>
        </w:rPr>
      </w:pPr>
      <w:r w:rsidRPr="00DE0EC2">
        <w:rPr>
          <w:rStyle w:val="TextoNormalCursivaCaracter"/>
        </w:rPr>
        <w:t xml:space="preserve">    Suspende parcialmente, </w:t>
      </w:r>
      <w:r w:rsidRPr="00DE0EC2">
        <w:rPr>
          <w:rStyle w:val="TextoNormalCaracter"/>
        </w:rPr>
        <w:t xml:space="preserve">Auto </w:t>
      </w:r>
      <w:hyperlink w:anchor="AUTO_2021_41" w:history="1">
        <w:r w:rsidRPr="00DE0EC2">
          <w:rPr>
            <w:rStyle w:val="TextoNormalCaracter"/>
          </w:rPr>
          <w:t>41/2021</w:t>
        </w:r>
      </w:hyperlink>
      <w:r w:rsidRPr="00DE0EC2">
        <w:rPr>
          <w:rStyle w:val="TextoNormalCaracter"/>
        </w:rPr>
        <w:t>.</w:t>
      </w:r>
    </w:p>
    <w:p w:rsidR="00DE0EC2" w:rsidRPr="00DE0EC2" w:rsidRDefault="00DE0EC2" w:rsidP="00DE0EC2">
      <w:pPr>
        <w:pStyle w:val="TextoNormalSangraFrancesa"/>
        <w:rPr>
          <w:rStyle w:val="TextoNormalCaracter"/>
        </w:rPr>
      </w:pPr>
      <w:bookmarkStart w:id="1223" w:name="DESCRIPTORALFABETICO382"/>
      <w:r w:rsidRPr="00DE0EC2">
        <w:rPr>
          <w:rStyle w:val="TextoNormalNegritaCaracter"/>
        </w:rPr>
        <w:t>Suspensión de cargo público</w:t>
      </w:r>
      <w:bookmarkEnd w:id="1223"/>
      <w:r w:rsidRPr="00DE0EC2">
        <w:rPr>
          <w:rStyle w:val="TextoNormalCaracter"/>
        </w:rPr>
        <w:t xml:space="preserve">, Sentencias </w:t>
      </w:r>
      <w:hyperlink w:anchor="SENTENCIA_2021_69" w:history="1">
        <w:r w:rsidRPr="00DE0EC2">
          <w:rPr>
            <w:rStyle w:val="TextoNormalCaracter"/>
          </w:rPr>
          <w:t>69/2021</w:t>
        </w:r>
      </w:hyperlink>
      <w:r w:rsidRPr="00DE0EC2">
        <w:rPr>
          <w:rStyle w:val="TextoNormalCaracter"/>
        </w:rPr>
        <w:t xml:space="preserve">, ff. 1 a 5; </w:t>
      </w:r>
      <w:hyperlink w:anchor="SENTENCIA_2021_90" w:history="1">
        <w:r w:rsidRPr="00DE0EC2">
          <w:rPr>
            <w:rStyle w:val="TextoNormalCaracter"/>
          </w:rPr>
          <w:t>90/2021</w:t>
        </w:r>
      </w:hyperlink>
      <w:r w:rsidRPr="00DE0EC2">
        <w:rPr>
          <w:rStyle w:val="TextoNormalCaracter"/>
        </w:rPr>
        <w:t xml:space="preserve">, f. 4; </w:t>
      </w:r>
      <w:hyperlink w:anchor="SENTENCIA_2021_105" w:history="1">
        <w:r w:rsidRPr="00DE0EC2">
          <w:rPr>
            <w:rStyle w:val="TextoNormalCaracter"/>
          </w:rPr>
          <w:t>105/2021</w:t>
        </w:r>
      </w:hyperlink>
      <w:r w:rsidRPr="00DE0EC2">
        <w:rPr>
          <w:rStyle w:val="TextoNormalCaracter"/>
        </w:rPr>
        <w:t>, ff. 2 a 4.</w:t>
      </w:r>
    </w:p>
    <w:p w:rsidR="00DE0EC2" w:rsidRPr="00DE0EC2" w:rsidRDefault="00DE0EC2" w:rsidP="00DE0EC2">
      <w:pPr>
        <w:pStyle w:val="TextoNormalSangraFrancesa"/>
        <w:rPr>
          <w:rStyle w:val="TextoNormalCaracter"/>
        </w:rPr>
      </w:pPr>
      <w:bookmarkStart w:id="1224" w:name="DESCRIPTORALFABETICO241"/>
      <w:r w:rsidRPr="00DE0EC2">
        <w:rPr>
          <w:rStyle w:val="TextoNormalNegritaCaracter"/>
        </w:rPr>
        <w:t>Suspensión de la condición de parlamentario</w:t>
      </w:r>
      <w:bookmarkEnd w:id="1224"/>
      <w:r w:rsidRPr="00DE0EC2">
        <w:rPr>
          <w:rStyle w:val="TextoNormalCaracter"/>
        </w:rPr>
        <w:t xml:space="preserve">, Sentencias </w:t>
      </w:r>
      <w:hyperlink w:anchor="SENTENCIA_2021_69" w:history="1">
        <w:r w:rsidRPr="00DE0EC2">
          <w:rPr>
            <w:rStyle w:val="TextoNormalCaracter"/>
          </w:rPr>
          <w:t>69/2021</w:t>
        </w:r>
      </w:hyperlink>
      <w:r w:rsidRPr="00DE0EC2">
        <w:rPr>
          <w:rStyle w:val="TextoNormalCaracter"/>
        </w:rPr>
        <w:t xml:space="preserve">, ff. 2, 3 y 5; </w:t>
      </w:r>
      <w:hyperlink w:anchor="SENTENCIA_2021_90" w:history="1">
        <w:r w:rsidRPr="00DE0EC2">
          <w:rPr>
            <w:rStyle w:val="TextoNormalCaracter"/>
          </w:rPr>
          <w:t>90/2021</w:t>
        </w:r>
      </w:hyperlink>
      <w:r w:rsidRPr="00DE0EC2">
        <w:rPr>
          <w:rStyle w:val="TextoNormalCaracter"/>
        </w:rPr>
        <w:t xml:space="preserve">, f. 4; </w:t>
      </w:r>
      <w:hyperlink w:anchor="SENTENCIA_2021_105" w:history="1">
        <w:r w:rsidRPr="00DE0EC2">
          <w:rPr>
            <w:rStyle w:val="TextoNormalCaracter"/>
          </w:rPr>
          <w:t>105/2021</w:t>
        </w:r>
      </w:hyperlink>
      <w:r w:rsidRPr="00DE0EC2">
        <w:rPr>
          <w:rStyle w:val="TextoNormalCaracter"/>
        </w:rPr>
        <w:t>, f. 4.</w:t>
      </w:r>
    </w:p>
    <w:p w:rsidR="00DE0EC2" w:rsidRPr="00DE0EC2" w:rsidRDefault="00DE0EC2" w:rsidP="00DE0EC2">
      <w:pPr>
        <w:pStyle w:val="TextoNormalSangraFrancesa"/>
        <w:rPr>
          <w:rStyle w:val="TextoNormalCaracter"/>
        </w:rPr>
      </w:pPr>
      <w:bookmarkStart w:id="1225" w:name="DESCRIPTORALFABETICO376"/>
      <w:r w:rsidRPr="00DE0EC2">
        <w:rPr>
          <w:rStyle w:val="TextoNormalNegritaCaracter"/>
        </w:rPr>
        <w:t>Suspensión de la ejecución de la pena</w:t>
      </w:r>
      <w:bookmarkEnd w:id="1225"/>
      <w:r w:rsidRPr="00DE0EC2">
        <w:rPr>
          <w:rStyle w:val="TextoNormalCaracter"/>
        </w:rPr>
        <w:t xml:space="preserve">, Auto </w:t>
      </w:r>
      <w:hyperlink w:anchor="AUTO_2021_15" w:history="1">
        <w:r w:rsidRPr="00DE0EC2">
          <w:rPr>
            <w:rStyle w:val="TextoNormalCaracter"/>
          </w:rPr>
          <w:t>15/2021</w:t>
        </w:r>
      </w:hyperlink>
      <w:r w:rsidRPr="00DE0EC2">
        <w:rPr>
          <w:rStyle w:val="TextoNormalCaracter"/>
        </w:rPr>
        <w:t>, f. 2.</w:t>
      </w:r>
    </w:p>
    <w:p w:rsidR="00DE0EC2" w:rsidRPr="00DE0EC2" w:rsidRDefault="00DE0EC2" w:rsidP="00DE0EC2">
      <w:pPr>
        <w:pStyle w:val="TextoNormalSangraFrancesa"/>
        <w:rPr>
          <w:rStyle w:val="TextoNormalCaracter"/>
        </w:rPr>
      </w:pPr>
      <w:bookmarkStart w:id="1226" w:name="DESCRIPTORALFABETICO476"/>
      <w:r w:rsidRPr="00DE0EC2">
        <w:rPr>
          <w:rStyle w:val="TextoNormalNegritaCaracter"/>
        </w:rPr>
        <w:t>Suspensión de la ejecución hipotecaria</w:t>
      </w:r>
      <w:bookmarkEnd w:id="1226"/>
      <w:r w:rsidRPr="00DE0EC2">
        <w:rPr>
          <w:rStyle w:val="TextoNormalCaracter"/>
        </w:rPr>
        <w:t xml:space="preserve">, Auto </w:t>
      </w:r>
      <w:hyperlink w:anchor="AUTO_2021_66" w:history="1">
        <w:r w:rsidRPr="00DE0EC2">
          <w:rPr>
            <w:rStyle w:val="TextoNormalCaracter"/>
          </w:rPr>
          <w:t>66/2021</w:t>
        </w:r>
      </w:hyperlink>
      <w:r w:rsidRPr="00DE0EC2">
        <w:rPr>
          <w:rStyle w:val="TextoNormalCaracter"/>
        </w:rPr>
        <w:t>, ff. 1 a 4.</w:t>
      </w:r>
    </w:p>
    <w:p w:rsidR="00DE0EC2" w:rsidRPr="00DE0EC2" w:rsidRDefault="00DE0EC2" w:rsidP="00DE0EC2">
      <w:pPr>
        <w:pStyle w:val="TextoNormalSangraFrancesa"/>
        <w:rPr>
          <w:rStyle w:val="TextoNormalCaracter"/>
        </w:rPr>
      </w:pPr>
      <w:bookmarkStart w:id="1227" w:name="DESCRIPTORALFABETICO485"/>
      <w:r w:rsidRPr="00DE0EC2">
        <w:rPr>
          <w:rStyle w:val="TextoNormalNegritaCaracter"/>
        </w:rPr>
        <w:t>Suspensión del juicio oral</w:t>
      </w:r>
      <w:bookmarkEnd w:id="1227"/>
      <w:r w:rsidRPr="00DE0EC2">
        <w:rPr>
          <w:rStyle w:val="TextoNormalCaracter"/>
        </w:rPr>
        <w:t xml:space="preserve">, Auto </w:t>
      </w:r>
      <w:hyperlink w:anchor="AUTO_2021_27" w:history="1">
        <w:r w:rsidRPr="00DE0EC2">
          <w:rPr>
            <w:rStyle w:val="TextoNormalCaracter"/>
          </w:rPr>
          <w:t>27/2021</w:t>
        </w:r>
      </w:hyperlink>
      <w:r w:rsidRPr="00DE0EC2">
        <w:rPr>
          <w:rStyle w:val="TextoNormalCaracter"/>
        </w:rPr>
        <w:t>.</w:t>
      </w:r>
    </w:p>
    <w:p w:rsidR="00DE0EC2" w:rsidRPr="00DE0EC2" w:rsidRDefault="00DE0EC2" w:rsidP="00DE0EC2">
      <w:pPr>
        <w:pStyle w:val="TextoNormalSangraFrancesa"/>
        <w:rPr>
          <w:rStyle w:val="TextoNormalCaracter"/>
        </w:rPr>
      </w:pPr>
      <w:bookmarkStart w:id="1228" w:name="DESCRIPTORALFABETICO225"/>
      <w:r w:rsidRPr="00DE0EC2">
        <w:rPr>
          <w:rStyle w:val="TextoNormalNegritaCaracter"/>
        </w:rPr>
        <w:t>Sustitución del magistrado ponente</w:t>
      </w:r>
      <w:bookmarkEnd w:id="1228"/>
      <w:r w:rsidRPr="00DE0EC2">
        <w:rPr>
          <w:rStyle w:val="TextoNormalCaracter"/>
        </w:rPr>
        <w:t xml:space="preserve">, Auto </w:t>
      </w:r>
      <w:hyperlink w:anchor="AUTO_2021_22" w:history="1">
        <w:r w:rsidRPr="00DE0EC2">
          <w:rPr>
            <w:rStyle w:val="TextoNormalCaracter"/>
          </w:rPr>
          <w:t>22/2021</w:t>
        </w:r>
      </w:hyperlink>
      <w:r w:rsidRPr="00DE0EC2">
        <w:rPr>
          <w:rStyle w:val="TextoNormalCaracter"/>
        </w:rPr>
        <w:t>.</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T</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229" w:name="DESCRIPTORALFABETICO302"/>
      <w:r w:rsidRPr="00DE0EC2">
        <w:rPr>
          <w:rStyle w:val="TextoNormalNegritaCaracter"/>
        </w:rPr>
        <w:t>Tercer poseedor de la finca ejecutada</w:t>
      </w:r>
      <w:bookmarkEnd w:id="1229"/>
      <w:r w:rsidRPr="00DE0EC2">
        <w:rPr>
          <w:rStyle w:val="TextoNormalCaracter"/>
        </w:rPr>
        <w:t xml:space="preserve">, Sentencia </w:t>
      </w:r>
      <w:hyperlink w:anchor="SENTENCIA_2021_131" w:history="1">
        <w:r w:rsidRPr="00DE0EC2">
          <w:rPr>
            <w:rStyle w:val="TextoNormalCaracter"/>
          </w:rPr>
          <w:t>131/2021</w:t>
        </w:r>
      </w:hyperlink>
      <w:r w:rsidRPr="00DE0EC2">
        <w:rPr>
          <w:rStyle w:val="TextoNormalCaracter"/>
        </w:rPr>
        <w:t>, ff. 2, 3.</w:t>
      </w:r>
    </w:p>
    <w:p w:rsidR="00DE0EC2" w:rsidRPr="00DE0EC2" w:rsidRDefault="00DE0EC2" w:rsidP="00DE0EC2">
      <w:pPr>
        <w:pStyle w:val="TextoNormalSangraFrancesa"/>
        <w:rPr>
          <w:rStyle w:val="TextoNormalCaracter"/>
        </w:rPr>
      </w:pPr>
      <w:bookmarkStart w:id="1230" w:name="DESCRIPTORALFABETICO54"/>
      <w:r w:rsidRPr="00DE0EC2">
        <w:rPr>
          <w:rStyle w:val="TextoNormalNegritaCaracter"/>
        </w:rPr>
        <w:t>Término de comparación inexistente</w:t>
      </w:r>
      <w:bookmarkEnd w:id="1230"/>
      <w:r w:rsidRPr="00DE0EC2">
        <w:rPr>
          <w:rStyle w:val="TextoNormalCaracter"/>
        </w:rPr>
        <w:t xml:space="preserve">, Sentencia </w:t>
      </w:r>
      <w:hyperlink w:anchor="SENTENCIA_2021_81" w:history="1">
        <w:r w:rsidRPr="00DE0EC2">
          <w:rPr>
            <w:rStyle w:val="TextoNormalCaracter"/>
          </w:rPr>
          <w:t>81/2021</w:t>
        </w:r>
      </w:hyperlink>
      <w:r w:rsidRPr="00DE0EC2">
        <w:rPr>
          <w:rStyle w:val="TextoNormalCaracter"/>
        </w:rPr>
        <w:t>, f. 4.</w:t>
      </w:r>
    </w:p>
    <w:p w:rsidR="00DE0EC2" w:rsidRPr="00DE0EC2" w:rsidRDefault="00DE0EC2" w:rsidP="00DE0EC2">
      <w:pPr>
        <w:pStyle w:val="TextoNormalSangraFrancesa"/>
        <w:rPr>
          <w:rStyle w:val="TextoNormalCaracter"/>
        </w:rPr>
      </w:pPr>
      <w:bookmarkStart w:id="1231" w:name="DESCRIPTORALFABETICO400"/>
      <w:r w:rsidRPr="00DE0EC2">
        <w:rPr>
          <w:rStyle w:val="TextoNormalNegritaCaracter"/>
        </w:rPr>
        <w:t>Tesorería General de la Seguridad Social</w:t>
      </w:r>
      <w:bookmarkEnd w:id="1231"/>
      <w:r w:rsidRPr="00DE0EC2">
        <w:rPr>
          <w:rStyle w:val="TextoNormalCaracter"/>
        </w:rPr>
        <w:t xml:space="preserve">, Sentencia </w:t>
      </w:r>
      <w:hyperlink w:anchor="SENTENCIA_2021_63" w:history="1">
        <w:r w:rsidRPr="00DE0EC2">
          <w:rPr>
            <w:rStyle w:val="TextoNormalCaracter"/>
          </w:rPr>
          <w:t>63/2021</w:t>
        </w:r>
      </w:hyperlink>
      <w:r w:rsidRPr="00DE0EC2">
        <w:rPr>
          <w:rStyle w:val="TextoNormalCaracter"/>
        </w:rPr>
        <w:t>, f. 1.</w:t>
      </w:r>
    </w:p>
    <w:p w:rsidR="00DE0EC2" w:rsidRPr="00DE0EC2" w:rsidRDefault="00DE0EC2" w:rsidP="00DE0EC2">
      <w:pPr>
        <w:pStyle w:val="TextoNormalSangraFrancesa"/>
        <w:rPr>
          <w:rStyle w:val="TextoNormalCaracter"/>
        </w:rPr>
      </w:pPr>
      <w:bookmarkStart w:id="1232" w:name="DESCRIPTORALFABETICO305"/>
      <w:r w:rsidRPr="00DE0EC2">
        <w:rPr>
          <w:rStyle w:val="TextoNormalNegritaCaracter"/>
        </w:rPr>
        <w:t>Titularidad dominical</w:t>
      </w:r>
      <w:bookmarkEnd w:id="1232"/>
      <w:r w:rsidRPr="00DE0EC2">
        <w:rPr>
          <w:rStyle w:val="TextoNormalCaracter"/>
        </w:rPr>
        <w:t xml:space="preserve">, Sentencia </w:t>
      </w:r>
      <w:hyperlink w:anchor="SENTENCIA_2021_88" w:history="1">
        <w:r w:rsidRPr="00DE0EC2">
          <w:rPr>
            <w:rStyle w:val="TextoNormalCaracter"/>
          </w:rPr>
          <w:t>88/2021</w:t>
        </w:r>
      </w:hyperlink>
      <w:r w:rsidRPr="00DE0EC2">
        <w:rPr>
          <w:rStyle w:val="TextoNormalCaracter"/>
        </w:rPr>
        <w:t>, ff. 2 - 4.</w:t>
      </w:r>
    </w:p>
    <w:p w:rsidR="00DE0EC2" w:rsidRPr="00DE0EC2" w:rsidRDefault="00DE0EC2" w:rsidP="00DE0EC2">
      <w:pPr>
        <w:pStyle w:val="TextoNormalSangraFrancesa"/>
        <w:rPr>
          <w:rStyle w:val="TextoNormalCaracter"/>
        </w:rPr>
      </w:pPr>
      <w:bookmarkStart w:id="1233" w:name="DESCRIPTORALFABETICO296"/>
      <w:r w:rsidRPr="00DE0EC2">
        <w:rPr>
          <w:rStyle w:val="TextoNormalNegritaCaracter"/>
        </w:rPr>
        <w:t>Toros</w:t>
      </w:r>
      <w:bookmarkEnd w:id="1233"/>
      <w:r w:rsidRPr="00DE0EC2">
        <w:rPr>
          <w:rStyle w:val="TextoNormalCaracter"/>
        </w:rPr>
        <w:t xml:space="preserve">, Sentencia </w:t>
      </w:r>
      <w:hyperlink w:anchor="SENTENCIA_2021_93" w:history="1">
        <w:r w:rsidRPr="00DE0EC2">
          <w:rPr>
            <w:rStyle w:val="TextoNormalCaracter"/>
          </w:rPr>
          <w:t>93/2021</w:t>
        </w:r>
      </w:hyperlink>
      <w:r w:rsidRPr="00DE0EC2">
        <w:rPr>
          <w:rStyle w:val="TextoNormalCaracter"/>
        </w:rPr>
        <w:t>, f. 7.</w:t>
      </w:r>
    </w:p>
    <w:p w:rsidR="00DE0EC2" w:rsidRPr="00DE0EC2" w:rsidRDefault="00DE0EC2" w:rsidP="00DE0EC2">
      <w:pPr>
        <w:pStyle w:val="TextoNormalSangraFrancesa"/>
        <w:rPr>
          <w:rStyle w:val="TextoNormalCaracter"/>
        </w:rPr>
      </w:pPr>
      <w:bookmarkStart w:id="1234" w:name="DESCRIPTORALFABETICO345"/>
      <w:r w:rsidRPr="00DE0EC2">
        <w:rPr>
          <w:rStyle w:val="TextoNormalNegritaCaracter"/>
        </w:rPr>
        <w:t>Transposición de directivas de la Unión Europea</w:t>
      </w:r>
      <w:bookmarkEnd w:id="1234"/>
      <w:r w:rsidRPr="00DE0EC2">
        <w:rPr>
          <w:rStyle w:val="TextoNormalCaracter"/>
        </w:rPr>
        <w:t xml:space="preserve">, Sentencia </w:t>
      </w:r>
      <w:hyperlink w:anchor="SENTENCIA_2021_68" w:history="1">
        <w:r w:rsidRPr="00DE0EC2">
          <w:rPr>
            <w:rStyle w:val="TextoNormalCaracter"/>
          </w:rPr>
          <w:t>68/2021</w:t>
        </w:r>
      </w:hyperlink>
      <w:r w:rsidRPr="00DE0EC2">
        <w:rPr>
          <w:rStyle w:val="TextoNormalCaracter"/>
        </w:rPr>
        <w:t>, f. 3.</w:t>
      </w:r>
    </w:p>
    <w:p w:rsidR="00DE0EC2" w:rsidRPr="00DE0EC2" w:rsidRDefault="00DE0EC2" w:rsidP="00DE0EC2">
      <w:pPr>
        <w:pStyle w:val="TextoNormalSangraFrancesa"/>
        <w:rPr>
          <w:rStyle w:val="TextoNormalCaracter"/>
        </w:rPr>
      </w:pPr>
      <w:bookmarkStart w:id="1235" w:name="DESCRIPTORALFABETICO350"/>
      <w:r w:rsidRPr="00DE0EC2">
        <w:rPr>
          <w:rStyle w:val="TextoNormalNegritaCaracter"/>
        </w:rPr>
        <w:t>Tratados internacionales</w:t>
      </w:r>
      <w:bookmarkEnd w:id="1235"/>
      <w:r w:rsidRPr="00DE0EC2">
        <w:rPr>
          <w:rStyle w:val="TextoNormalCaracter"/>
        </w:rPr>
        <w:t xml:space="preserve">, Sentencia </w:t>
      </w:r>
      <w:hyperlink w:anchor="SENTENCIA_2021_36" w:history="1">
        <w:r w:rsidRPr="00DE0EC2">
          <w:rPr>
            <w:rStyle w:val="TextoNormalCaracter"/>
          </w:rPr>
          <w:t>36/2021</w:t>
        </w:r>
      </w:hyperlink>
      <w:r w:rsidRPr="00DE0EC2">
        <w:rPr>
          <w:rStyle w:val="TextoNormalCaracter"/>
        </w:rPr>
        <w:t>, f. 3.</w:t>
      </w:r>
    </w:p>
    <w:p w:rsidR="00DE0EC2" w:rsidRPr="00DE0EC2" w:rsidRDefault="00DE0EC2" w:rsidP="00DE0EC2">
      <w:pPr>
        <w:pStyle w:val="TextoNormalSangraFrancesa"/>
        <w:rPr>
          <w:rStyle w:val="TextoNormalCaracter"/>
        </w:rPr>
      </w:pPr>
      <w:bookmarkStart w:id="1236" w:name="DESCRIPTORALFABETICO56"/>
      <w:r w:rsidRPr="00DE0EC2">
        <w:rPr>
          <w:rStyle w:val="TextoNormalNegritaCaracter"/>
        </w:rPr>
        <w:t>Tratos inhumanos o degradantes</w:t>
      </w:r>
      <w:bookmarkEnd w:id="1236"/>
      <w:r w:rsidRPr="00DE0EC2">
        <w:rPr>
          <w:rStyle w:val="TextoNormalCaracter"/>
        </w:rPr>
        <w:t xml:space="preserve">, Sentencia </w:t>
      </w:r>
      <w:hyperlink w:anchor="SENTENCIA_2021_81" w:history="1">
        <w:r w:rsidRPr="00DE0EC2">
          <w:rPr>
            <w:rStyle w:val="TextoNormalCaracter"/>
          </w:rPr>
          <w:t>81/2021</w:t>
        </w:r>
      </w:hyperlink>
      <w:r w:rsidRPr="00DE0EC2">
        <w:rPr>
          <w:rStyle w:val="TextoNormalCaracter"/>
        </w:rPr>
        <w:t>, f. 4.</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U</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237" w:name="DESCRIPTORALFABETICO30"/>
      <w:r w:rsidRPr="00DE0EC2">
        <w:rPr>
          <w:rStyle w:val="TextoNormalNegritaCaracter"/>
        </w:rPr>
        <w:t>Unidad de mercado</w:t>
      </w:r>
      <w:bookmarkEnd w:id="1237"/>
      <w:r w:rsidRPr="00DE0EC2">
        <w:rPr>
          <w:rStyle w:val="TextoNormalCaracter"/>
        </w:rPr>
        <w:t xml:space="preserve">, Sentencia </w:t>
      </w:r>
      <w:hyperlink w:anchor="SENTENCIA_2021_125" w:history="1">
        <w:r w:rsidRPr="00DE0EC2">
          <w:rPr>
            <w:rStyle w:val="TextoNormalCaracter"/>
          </w:rPr>
          <w:t>125/2021</w:t>
        </w:r>
      </w:hyperlink>
      <w:r w:rsidRPr="00DE0EC2">
        <w:rPr>
          <w:rStyle w:val="TextoNormalCaracter"/>
        </w:rPr>
        <w:t>, f. 5.</w:t>
      </w:r>
    </w:p>
    <w:p w:rsidR="00DE0EC2" w:rsidRPr="00DE0EC2" w:rsidRDefault="00DE0EC2" w:rsidP="00DE0EC2">
      <w:pPr>
        <w:pStyle w:val="TextoNormalSangraFrancesa"/>
        <w:rPr>
          <w:rStyle w:val="TextoNormalCaracter"/>
        </w:rPr>
      </w:pPr>
      <w:bookmarkStart w:id="1238" w:name="DESCRIPTORALFABETICO309"/>
      <w:r w:rsidRPr="00DE0EC2">
        <w:rPr>
          <w:rStyle w:val="TextoNormalNegritaCaracter"/>
        </w:rPr>
        <w:t>Universidades privadas</w:t>
      </w:r>
      <w:bookmarkEnd w:id="1238"/>
      <w:r w:rsidRPr="00DE0EC2">
        <w:rPr>
          <w:rStyle w:val="TextoNormalCaracter"/>
        </w:rPr>
        <w:t xml:space="preserve">, Sentencias </w:t>
      </w:r>
      <w:hyperlink w:anchor="SENTENCIA_2021_2" w:history="1">
        <w:r w:rsidRPr="00DE0EC2">
          <w:rPr>
            <w:rStyle w:val="TextoNormalCaracter"/>
          </w:rPr>
          <w:t>2/2021</w:t>
        </w:r>
      </w:hyperlink>
      <w:r w:rsidRPr="00DE0EC2">
        <w:rPr>
          <w:rStyle w:val="TextoNormalCaracter"/>
        </w:rPr>
        <w:t xml:space="preserve">, ff. 2 a 4; </w:t>
      </w:r>
      <w:hyperlink w:anchor="SENTENCIA_2021_6" w:history="1">
        <w:r w:rsidRPr="00DE0EC2">
          <w:rPr>
            <w:rStyle w:val="TextoNormalCaracter"/>
          </w:rPr>
          <w:t>6/2021</w:t>
        </w:r>
      </w:hyperlink>
      <w:r w:rsidRPr="00DE0EC2">
        <w:rPr>
          <w:rStyle w:val="TextoNormalCaracter"/>
        </w:rPr>
        <w:t xml:space="preserve">, ff. 2 a 4; </w:t>
      </w:r>
      <w:hyperlink w:anchor="SENTENCIA_2021_19" w:history="1">
        <w:r w:rsidRPr="00DE0EC2">
          <w:rPr>
            <w:rStyle w:val="TextoNormalCaracter"/>
          </w:rPr>
          <w:t>19/2021</w:t>
        </w:r>
      </w:hyperlink>
      <w:r w:rsidRPr="00DE0EC2">
        <w:rPr>
          <w:rStyle w:val="TextoNormalCaracter"/>
        </w:rPr>
        <w:t xml:space="preserve">, ff. 2 a 4; </w:t>
      </w:r>
      <w:hyperlink w:anchor="SENTENCIA_2021_42" w:history="1">
        <w:r w:rsidRPr="00DE0EC2">
          <w:rPr>
            <w:rStyle w:val="TextoNormalCaracter"/>
          </w:rPr>
          <w:t>42/2021</w:t>
        </w:r>
      </w:hyperlink>
      <w:r w:rsidRPr="00DE0EC2">
        <w:rPr>
          <w:rStyle w:val="TextoNormalCaracter"/>
        </w:rPr>
        <w:t xml:space="preserve">, f. 2; </w:t>
      </w:r>
      <w:hyperlink w:anchor="SENTENCIA_2021_138" w:history="1">
        <w:r w:rsidRPr="00DE0EC2">
          <w:rPr>
            <w:rStyle w:val="TextoNormalCaracter"/>
          </w:rPr>
          <w:t>138/2021</w:t>
        </w:r>
      </w:hyperlink>
      <w:r w:rsidRPr="00DE0EC2">
        <w:rPr>
          <w:rStyle w:val="TextoNormalCaracter"/>
        </w:rPr>
        <w:t>, ff. 2-4.</w:t>
      </w:r>
    </w:p>
    <w:p w:rsidR="00DE0EC2" w:rsidRPr="00DE0EC2" w:rsidRDefault="00DE0EC2" w:rsidP="00DE0EC2">
      <w:pPr>
        <w:pStyle w:val="TextoNormalSangraFrancesa"/>
        <w:rPr>
          <w:rStyle w:val="TextoNormalCaracter"/>
        </w:rPr>
      </w:pPr>
      <w:bookmarkStart w:id="1239" w:name="DESCRIPTORALFABETICO269"/>
      <w:r w:rsidRPr="00DE0EC2">
        <w:rPr>
          <w:rStyle w:val="TextoNormalNegritaCaracter"/>
        </w:rPr>
        <w:t>Uso de lenguas oficiales ante la Administración de justicia</w:t>
      </w:r>
      <w:bookmarkEnd w:id="1239"/>
      <w:r w:rsidRPr="00DE0EC2">
        <w:rPr>
          <w:rStyle w:val="TextoNormalCaracter"/>
        </w:rPr>
        <w:t xml:space="preserve">, Sentencias </w:t>
      </w:r>
      <w:hyperlink w:anchor="SENTENCIA_2021_91" w:history="1">
        <w:r w:rsidRPr="00DE0EC2">
          <w:rPr>
            <w:rStyle w:val="TextoNormalCaracter"/>
          </w:rPr>
          <w:t>91/2021</w:t>
        </w:r>
      </w:hyperlink>
      <w:r w:rsidRPr="00DE0EC2">
        <w:rPr>
          <w:rStyle w:val="TextoNormalCaracter"/>
        </w:rPr>
        <w:t xml:space="preserve">, f. 4; </w:t>
      </w:r>
      <w:hyperlink w:anchor="SENTENCIA_2021_106" w:history="1">
        <w:r w:rsidRPr="00DE0EC2">
          <w:rPr>
            <w:rStyle w:val="TextoNormalCaracter"/>
          </w:rPr>
          <w:t>106/2021</w:t>
        </w:r>
      </w:hyperlink>
      <w:r w:rsidRPr="00DE0EC2">
        <w:rPr>
          <w:rStyle w:val="TextoNormalCaracter"/>
        </w:rPr>
        <w:t xml:space="preserve">, f. 4; </w:t>
      </w:r>
      <w:hyperlink w:anchor="SENTENCIA_2021_121" w:history="1">
        <w:r w:rsidRPr="00DE0EC2">
          <w:rPr>
            <w:rStyle w:val="TextoNormalCaracter"/>
          </w:rPr>
          <w:t>121/2021</w:t>
        </w:r>
      </w:hyperlink>
      <w:r w:rsidRPr="00DE0EC2">
        <w:rPr>
          <w:rStyle w:val="TextoNormalCaracter"/>
        </w:rPr>
        <w:t>, f. 5.</w:t>
      </w:r>
    </w:p>
    <w:p w:rsidR="00DE0EC2" w:rsidRPr="00DE0EC2" w:rsidRDefault="00DE0EC2" w:rsidP="00DE0EC2">
      <w:pPr>
        <w:pStyle w:val="TextoNormalSangraFrancesa"/>
        <w:rPr>
          <w:rStyle w:val="TextoNormalCaracter"/>
        </w:rPr>
      </w:pPr>
      <w:bookmarkStart w:id="1240" w:name="DESCRIPTORALFABETICO270"/>
      <w:r w:rsidRPr="00DE0EC2">
        <w:rPr>
          <w:rStyle w:val="TextoNormalNegritaCaracter"/>
        </w:rPr>
        <w:t>Uso de lenguas oficiales en los Parlamentos</w:t>
      </w:r>
      <w:bookmarkEnd w:id="1240"/>
      <w:r w:rsidRPr="00DE0EC2">
        <w:rPr>
          <w:rStyle w:val="TextoNormalCaracter"/>
        </w:rPr>
        <w:t xml:space="preserve">, Sentencia </w:t>
      </w:r>
      <w:hyperlink w:anchor="SENTENCIA_2021_75" w:history="1">
        <w:r w:rsidRPr="00DE0EC2">
          <w:rPr>
            <w:rStyle w:val="TextoNormalCaracter"/>
          </w:rPr>
          <w:t>75/2021</w:t>
        </w:r>
      </w:hyperlink>
      <w:r w:rsidRPr="00DE0EC2">
        <w:rPr>
          <w:rStyle w:val="TextoNormalCaracter"/>
        </w:rPr>
        <w:t>, ff. 1 a 3.</w:t>
      </w:r>
    </w:p>
    <w:p w:rsidR="00DE0EC2" w:rsidRPr="00DE0EC2" w:rsidRDefault="00DE0EC2" w:rsidP="00DE0EC2">
      <w:pPr>
        <w:pStyle w:val="TextoNormalSangraFrancesa"/>
        <w:rPr>
          <w:rStyle w:val="TextoNormalCaracter"/>
        </w:rPr>
      </w:pPr>
      <w:bookmarkStart w:id="1241" w:name="DESCRIPTORALFABETICO339"/>
      <w:r w:rsidRPr="00DE0EC2">
        <w:rPr>
          <w:rStyle w:val="TextoNormalNegritaCaracter"/>
        </w:rPr>
        <w:t>Usos del suelo</w:t>
      </w:r>
      <w:bookmarkEnd w:id="1241"/>
      <w:r w:rsidRPr="00DE0EC2">
        <w:rPr>
          <w:rStyle w:val="TextoNormalCaracter"/>
        </w:rPr>
        <w:t xml:space="preserve">, Sentencia </w:t>
      </w:r>
      <w:hyperlink w:anchor="SENTENCIA_2021_123" w:history="1">
        <w:r w:rsidRPr="00DE0EC2">
          <w:rPr>
            <w:rStyle w:val="TextoNormalCaracter"/>
          </w:rPr>
          <w:t>123/2021</w:t>
        </w:r>
      </w:hyperlink>
      <w:r w:rsidRPr="00DE0EC2">
        <w:rPr>
          <w:rStyle w:val="TextoNormalCaracter"/>
        </w:rPr>
        <w:t>, ff. 4, 5.</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V</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242" w:name="DESCRIPTORALFABETICO444"/>
      <w:r w:rsidRPr="00DE0EC2">
        <w:rPr>
          <w:rStyle w:val="TextoNormalNegritaCaracter"/>
        </w:rPr>
        <w:t>Valor autoincriminatorio de la prueba</w:t>
      </w:r>
      <w:bookmarkEnd w:id="1242"/>
      <w:r w:rsidRPr="00DE0EC2">
        <w:rPr>
          <w:rStyle w:val="TextoNormalCaracter"/>
        </w:rPr>
        <w:t xml:space="preserve">, Sentencia </w:t>
      </w:r>
      <w:hyperlink w:anchor="SENTENCIA_2021_21" w:history="1">
        <w:r w:rsidRPr="00DE0EC2">
          <w:rPr>
            <w:rStyle w:val="TextoNormalCaracter"/>
          </w:rPr>
          <w:t>21/2021</w:t>
        </w:r>
      </w:hyperlink>
      <w:r w:rsidRPr="00DE0EC2">
        <w:rPr>
          <w:rStyle w:val="TextoNormalCaracter"/>
        </w:rPr>
        <w:t>, f. 6.</w:t>
      </w:r>
    </w:p>
    <w:p w:rsidR="00DE0EC2" w:rsidRPr="00DE0EC2" w:rsidRDefault="00DE0EC2" w:rsidP="00DE0EC2">
      <w:pPr>
        <w:pStyle w:val="TextoNormalSangraFrancesa"/>
        <w:rPr>
          <w:rStyle w:val="TextoNormalCaracter"/>
        </w:rPr>
      </w:pPr>
      <w:bookmarkStart w:id="1243" w:name="DESCRIPTORALFABETICO445"/>
      <w:r w:rsidRPr="00DE0EC2">
        <w:rPr>
          <w:rStyle w:val="TextoNormalNegritaCaracter"/>
        </w:rPr>
        <w:t>Valoración de la prueba documental</w:t>
      </w:r>
      <w:bookmarkEnd w:id="1243"/>
      <w:r w:rsidRPr="00DE0EC2">
        <w:rPr>
          <w:rStyle w:val="TextoNormalCaracter"/>
        </w:rPr>
        <w:t xml:space="preserve">, Sentencia </w:t>
      </w:r>
      <w:hyperlink w:anchor="SENTENCIA_2021_67" w:history="1">
        <w:r w:rsidRPr="00DE0EC2">
          <w:rPr>
            <w:rStyle w:val="TextoNormalCaracter"/>
          </w:rPr>
          <w:t>67/2021</w:t>
        </w:r>
      </w:hyperlink>
      <w:r w:rsidRPr="00DE0EC2">
        <w:rPr>
          <w:rStyle w:val="TextoNormalCaracter"/>
        </w:rPr>
        <w:t>, f. 3.</w:t>
      </w:r>
    </w:p>
    <w:p w:rsidR="00DE0EC2" w:rsidRPr="00DE0EC2" w:rsidRDefault="00DE0EC2" w:rsidP="00DE0EC2">
      <w:pPr>
        <w:pStyle w:val="TextoNormalSangraFrancesa"/>
        <w:rPr>
          <w:rStyle w:val="TextoNormalCaracter"/>
        </w:rPr>
      </w:pPr>
      <w:bookmarkStart w:id="1244" w:name="DESCRIPTORALFABETICO223"/>
      <w:r w:rsidRPr="00DE0EC2">
        <w:rPr>
          <w:rStyle w:val="TextoNormalNegritaCaracter"/>
        </w:rPr>
        <w:t>Veto presupuestario</w:t>
      </w:r>
      <w:bookmarkEnd w:id="1244"/>
      <w:r w:rsidRPr="00DE0EC2">
        <w:rPr>
          <w:rStyle w:val="TextoNormalCaracter"/>
        </w:rPr>
        <w:t xml:space="preserve">, Sentencia </w:t>
      </w:r>
      <w:hyperlink w:anchor="SENTENCIA_2021_53" w:history="1">
        <w:r w:rsidRPr="00DE0EC2">
          <w:rPr>
            <w:rStyle w:val="TextoNormalCaracter"/>
          </w:rPr>
          <w:t>53/2021</w:t>
        </w:r>
      </w:hyperlink>
      <w:r w:rsidRPr="00DE0EC2">
        <w:rPr>
          <w:rStyle w:val="TextoNormalCaracter"/>
        </w:rPr>
        <w:t>, ff. 5, 6.</w:t>
      </w:r>
    </w:p>
    <w:p w:rsidR="00DE0EC2" w:rsidRPr="00DE0EC2" w:rsidRDefault="00DE0EC2" w:rsidP="00DE0EC2">
      <w:pPr>
        <w:pStyle w:val="TextoNormalSangraFrancesa"/>
        <w:rPr>
          <w:rStyle w:val="TextoNormalCaracter"/>
        </w:rPr>
      </w:pPr>
      <w:bookmarkStart w:id="1245" w:name="DESCRIPTORALFABETICO450"/>
      <w:r w:rsidRPr="00DE0EC2">
        <w:rPr>
          <w:rStyle w:val="TextoNormalNegritaCaracter"/>
        </w:rPr>
        <w:t>Vigencia de medidas cautelares</w:t>
      </w:r>
      <w:bookmarkEnd w:id="1245"/>
      <w:r w:rsidRPr="00DE0EC2">
        <w:rPr>
          <w:rStyle w:val="TextoNormalCaracter"/>
        </w:rPr>
        <w:t xml:space="preserve">, Sentencia </w:t>
      </w:r>
      <w:hyperlink w:anchor="SENTENCIA_2021_78" w:history="1">
        <w:r w:rsidRPr="00DE0EC2">
          <w:rPr>
            <w:rStyle w:val="TextoNormalCaracter"/>
          </w:rPr>
          <w:t>78/2021</w:t>
        </w:r>
      </w:hyperlink>
      <w:r w:rsidRPr="00DE0EC2">
        <w:rPr>
          <w:rStyle w:val="TextoNormalCaracter"/>
        </w:rPr>
        <w:t>, ff. 3 a 7.</w:t>
      </w:r>
    </w:p>
    <w:p w:rsidR="00DE0EC2" w:rsidRPr="00DE0EC2" w:rsidRDefault="00DE0EC2" w:rsidP="00DE0EC2">
      <w:pPr>
        <w:pStyle w:val="TextoNormalSangraFrancesa"/>
        <w:rPr>
          <w:rStyle w:val="TextoNormalCaracter"/>
        </w:rPr>
      </w:pPr>
      <w:bookmarkStart w:id="1246" w:name="DESCRIPTORALFABETICO290"/>
      <w:r w:rsidRPr="00DE0EC2">
        <w:rPr>
          <w:rStyle w:val="TextoNormalNegritaCaracter"/>
        </w:rPr>
        <w:t>Viticultura</w:t>
      </w:r>
      <w:bookmarkEnd w:id="1246"/>
      <w:r w:rsidRPr="00DE0EC2">
        <w:rPr>
          <w:rStyle w:val="TextoNormalCaracter"/>
        </w:rPr>
        <w:t xml:space="preserve">, Sentencia </w:t>
      </w:r>
      <w:hyperlink w:anchor="SENTENCIA_2021_74" w:history="1">
        <w:r w:rsidRPr="00DE0EC2">
          <w:rPr>
            <w:rStyle w:val="TextoNormalCaracter"/>
          </w:rPr>
          <w:t>74/2021</w:t>
        </w:r>
      </w:hyperlink>
      <w:r w:rsidRPr="00DE0EC2">
        <w:rPr>
          <w:rStyle w:val="TextoNormalCaracter"/>
        </w:rPr>
        <w:t>, ff. 1 y 3.</w:t>
      </w:r>
    </w:p>
    <w:p w:rsidR="00DE0EC2" w:rsidRPr="00DE0EC2" w:rsidRDefault="00DE0EC2" w:rsidP="00DE0EC2">
      <w:pPr>
        <w:pStyle w:val="TextoNormalSangraFrancesa"/>
        <w:rPr>
          <w:rStyle w:val="TextoNormalCaracter"/>
        </w:rPr>
      </w:pPr>
      <w:bookmarkStart w:id="1247" w:name="DESCRIPTORALFABETICO211"/>
      <w:r w:rsidRPr="00DE0EC2">
        <w:rPr>
          <w:rStyle w:val="TextoNormalNegritaCaracter"/>
        </w:rPr>
        <w:t>Voto particular, formulado uno</w:t>
      </w:r>
      <w:bookmarkEnd w:id="1247"/>
      <w:r w:rsidRPr="00DE0EC2">
        <w:rPr>
          <w:rStyle w:val="TextoNormalCaracter"/>
        </w:rPr>
        <w:t xml:space="preserve">, Sentencias </w:t>
      </w:r>
      <w:hyperlink w:anchor="SENTENCIA_2021_1" w:history="1">
        <w:r w:rsidRPr="00DE0EC2">
          <w:rPr>
            <w:rStyle w:val="TextoNormalCaracter"/>
          </w:rPr>
          <w:t>1/2021</w:t>
        </w:r>
      </w:hyperlink>
      <w:r w:rsidRPr="00DE0EC2">
        <w:rPr>
          <w:rStyle w:val="TextoNormalCaracter"/>
        </w:rPr>
        <w:t xml:space="preserve">; </w:t>
      </w:r>
      <w:hyperlink w:anchor="SENTENCIA_2021_2" w:history="1">
        <w:r w:rsidRPr="00DE0EC2">
          <w:rPr>
            <w:rStyle w:val="TextoNormalCaracter"/>
          </w:rPr>
          <w:t>2/2021</w:t>
        </w:r>
      </w:hyperlink>
      <w:r w:rsidRPr="00DE0EC2">
        <w:rPr>
          <w:rStyle w:val="TextoNormalCaracter"/>
        </w:rPr>
        <w:t xml:space="preserve">; </w:t>
      </w:r>
      <w:hyperlink w:anchor="SENTENCIA_2021_7" w:history="1">
        <w:r w:rsidRPr="00DE0EC2">
          <w:rPr>
            <w:rStyle w:val="TextoNormalCaracter"/>
          </w:rPr>
          <w:t>7/2021</w:t>
        </w:r>
      </w:hyperlink>
      <w:r w:rsidRPr="00DE0EC2">
        <w:rPr>
          <w:rStyle w:val="TextoNormalCaracter"/>
        </w:rPr>
        <w:t xml:space="preserve">; </w:t>
      </w:r>
      <w:hyperlink w:anchor="SENTENCIA_2021_18" w:history="1">
        <w:r w:rsidRPr="00DE0EC2">
          <w:rPr>
            <w:rStyle w:val="TextoNormalCaracter"/>
          </w:rPr>
          <w:t>18/2021</w:t>
        </w:r>
      </w:hyperlink>
      <w:r w:rsidRPr="00DE0EC2">
        <w:rPr>
          <w:rStyle w:val="TextoNormalCaracter"/>
        </w:rPr>
        <w:t xml:space="preserve">; </w:t>
      </w:r>
      <w:hyperlink w:anchor="SENTENCIA_2021_22" w:history="1">
        <w:r w:rsidRPr="00DE0EC2">
          <w:rPr>
            <w:rStyle w:val="TextoNormalCaracter"/>
          </w:rPr>
          <w:t>22/2021</w:t>
        </w:r>
      </w:hyperlink>
      <w:r w:rsidRPr="00DE0EC2">
        <w:rPr>
          <w:rStyle w:val="TextoNormalCaracter"/>
        </w:rPr>
        <w:t xml:space="preserve">; </w:t>
      </w:r>
      <w:hyperlink w:anchor="SENTENCIA_2021_36" w:history="1">
        <w:r w:rsidRPr="00DE0EC2">
          <w:rPr>
            <w:rStyle w:val="TextoNormalCaracter"/>
          </w:rPr>
          <w:t>36/2021</w:t>
        </w:r>
      </w:hyperlink>
      <w:r w:rsidRPr="00DE0EC2">
        <w:rPr>
          <w:rStyle w:val="TextoNormalCaracter"/>
        </w:rPr>
        <w:t xml:space="preserve">, VP; </w:t>
      </w:r>
      <w:hyperlink w:anchor="SENTENCIA_2021_42" w:history="1">
        <w:r w:rsidRPr="00DE0EC2">
          <w:rPr>
            <w:rStyle w:val="TextoNormalCaracter"/>
          </w:rPr>
          <w:t>42/2021</w:t>
        </w:r>
      </w:hyperlink>
      <w:r w:rsidRPr="00DE0EC2">
        <w:rPr>
          <w:rStyle w:val="TextoNormalCaracter"/>
        </w:rPr>
        <w:t xml:space="preserve">; </w:t>
      </w:r>
      <w:hyperlink w:anchor="SENTENCIA_2021_50" w:history="1">
        <w:r w:rsidRPr="00DE0EC2">
          <w:rPr>
            <w:rStyle w:val="TextoNormalCaracter"/>
          </w:rPr>
          <w:t>50/2021</w:t>
        </w:r>
      </w:hyperlink>
      <w:r w:rsidRPr="00DE0EC2">
        <w:rPr>
          <w:rStyle w:val="TextoNormalCaracter"/>
        </w:rPr>
        <w:t xml:space="preserve">; </w:t>
      </w:r>
      <w:hyperlink w:anchor="SENTENCIA_2021_61" w:history="1">
        <w:r w:rsidRPr="00DE0EC2">
          <w:rPr>
            <w:rStyle w:val="TextoNormalCaracter"/>
          </w:rPr>
          <w:t>61/2021</w:t>
        </w:r>
      </w:hyperlink>
      <w:r w:rsidRPr="00DE0EC2">
        <w:rPr>
          <w:rStyle w:val="TextoNormalCaracter"/>
        </w:rPr>
        <w:t xml:space="preserve">; </w:t>
      </w:r>
      <w:hyperlink w:anchor="SENTENCIA_2021_81" w:history="1">
        <w:r w:rsidRPr="00DE0EC2">
          <w:rPr>
            <w:rStyle w:val="TextoNormalCaracter"/>
          </w:rPr>
          <w:t>81/2021</w:t>
        </w:r>
      </w:hyperlink>
      <w:r w:rsidRPr="00DE0EC2">
        <w:rPr>
          <w:rStyle w:val="TextoNormalCaracter"/>
        </w:rPr>
        <w:t xml:space="preserve">; </w:t>
      </w:r>
      <w:hyperlink w:anchor="SENTENCIA_2021_91" w:history="1">
        <w:r w:rsidRPr="00DE0EC2">
          <w:rPr>
            <w:rStyle w:val="TextoNormalCaracter"/>
          </w:rPr>
          <w:t>91/2021</w:t>
        </w:r>
      </w:hyperlink>
      <w:r w:rsidRPr="00DE0EC2">
        <w:rPr>
          <w:rStyle w:val="TextoNormalCaracter"/>
        </w:rPr>
        <w:t xml:space="preserve">, VP I; </w:t>
      </w:r>
      <w:hyperlink w:anchor="SENTENCIA_2021_93" w:history="1">
        <w:r w:rsidRPr="00DE0EC2">
          <w:rPr>
            <w:rStyle w:val="TextoNormalCaracter"/>
          </w:rPr>
          <w:t>93/2021</w:t>
        </w:r>
      </w:hyperlink>
      <w:r w:rsidRPr="00DE0EC2">
        <w:rPr>
          <w:rStyle w:val="TextoNormalCaracter"/>
        </w:rPr>
        <w:t xml:space="preserve">, f. 7; </w:t>
      </w:r>
      <w:hyperlink w:anchor="SENTENCIA_2021_106" w:history="1">
        <w:r w:rsidRPr="00DE0EC2">
          <w:rPr>
            <w:rStyle w:val="TextoNormalCaracter"/>
          </w:rPr>
          <w:t>106/2021</w:t>
        </w:r>
      </w:hyperlink>
      <w:r w:rsidRPr="00DE0EC2">
        <w:rPr>
          <w:rStyle w:val="TextoNormalCaracter"/>
        </w:rPr>
        <w:t xml:space="preserve">; </w:t>
      </w:r>
      <w:hyperlink w:anchor="SENTENCIA_2021_108" w:history="1">
        <w:r w:rsidRPr="00DE0EC2">
          <w:rPr>
            <w:rStyle w:val="TextoNormalCaracter"/>
          </w:rPr>
          <w:t>108/2021</w:t>
        </w:r>
      </w:hyperlink>
      <w:r w:rsidRPr="00DE0EC2">
        <w:rPr>
          <w:rStyle w:val="TextoNormalCaracter"/>
        </w:rPr>
        <w:t xml:space="preserve">; </w:t>
      </w:r>
      <w:hyperlink w:anchor="SENTENCIA_2021_110" w:history="1">
        <w:r w:rsidRPr="00DE0EC2">
          <w:rPr>
            <w:rStyle w:val="TextoNormalCaracter"/>
          </w:rPr>
          <w:t>110/2021</w:t>
        </w:r>
      </w:hyperlink>
      <w:r w:rsidRPr="00DE0EC2">
        <w:rPr>
          <w:rStyle w:val="TextoNormalCaracter"/>
        </w:rPr>
        <w:t xml:space="preserve">, VP I; </w:t>
      </w:r>
      <w:hyperlink w:anchor="SENTENCIA_2021_111" w:history="1">
        <w:r w:rsidRPr="00DE0EC2">
          <w:rPr>
            <w:rStyle w:val="TextoNormalCaracter"/>
          </w:rPr>
          <w:t>111/2021</w:t>
        </w:r>
      </w:hyperlink>
      <w:r w:rsidRPr="00DE0EC2">
        <w:rPr>
          <w:rStyle w:val="TextoNormalCaracter"/>
        </w:rPr>
        <w:t xml:space="preserve">, VP I; </w:t>
      </w:r>
      <w:hyperlink w:anchor="SENTENCIA_2021_113" w:history="1">
        <w:r w:rsidRPr="00DE0EC2">
          <w:rPr>
            <w:rStyle w:val="TextoNormalCaracter"/>
          </w:rPr>
          <w:t>113/2021</w:t>
        </w:r>
      </w:hyperlink>
      <w:r w:rsidRPr="00DE0EC2">
        <w:rPr>
          <w:rStyle w:val="TextoNormalCaracter"/>
        </w:rPr>
        <w:t xml:space="preserve">; </w:t>
      </w:r>
      <w:hyperlink w:anchor="SENTENCIA_2021_121" w:history="1">
        <w:r w:rsidRPr="00DE0EC2">
          <w:rPr>
            <w:rStyle w:val="TextoNormalCaracter"/>
          </w:rPr>
          <w:t>121/2021</w:t>
        </w:r>
      </w:hyperlink>
      <w:r w:rsidRPr="00DE0EC2">
        <w:rPr>
          <w:rStyle w:val="TextoNormalCaracter"/>
        </w:rPr>
        <w:t xml:space="preserve">; </w:t>
      </w:r>
      <w:hyperlink w:anchor="SENTENCIA_2021_122" w:history="1">
        <w:r w:rsidRPr="00DE0EC2">
          <w:rPr>
            <w:rStyle w:val="TextoNormalCaracter"/>
          </w:rPr>
          <w:t>122/2021</w:t>
        </w:r>
      </w:hyperlink>
      <w:r w:rsidRPr="00DE0EC2">
        <w:rPr>
          <w:rStyle w:val="TextoNormalCaracter"/>
        </w:rPr>
        <w:t xml:space="preserve">, V.P. I; </w:t>
      </w:r>
      <w:hyperlink w:anchor="SENTENCIA_2021_124" w:history="1">
        <w:r w:rsidRPr="00DE0EC2">
          <w:rPr>
            <w:rStyle w:val="TextoNormalCaracter"/>
          </w:rPr>
          <w:t>124/2021</w:t>
        </w:r>
      </w:hyperlink>
      <w:r w:rsidRPr="00DE0EC2">
        <w:rPr>
          <w:rStyle w:val="TextoNormalCaracter"/>
        </w:rPr>
        <w:t xml:space="preserve">, f. I; </w:t>
      </w:r>
      <w:hyperlink w:anchor="SENTENCIA_2021_135" w:history="1">
        <w:r w:rsidRPr="00DE0EC2">
          <w:rPr>
            <w:rStyle w:val="TextoNormalCaracter"/>
          </w:rPr>
          <w:t>135/2021</w:t>
        </w:r>
      </w:hyperlink>
      <w:r w:rsidRPr="00DE0EC2">
        <w:rPr>
          <w:rStyle w:val="TextoNormalCaracter"/>
        </w:rPr>
        <w:t xml:space="preserve">; </w:t>
      </w:r>
      <w:hyperlink w:anchor="SENTENCIA_2021_138" w:history="1">
        <w:r w:rsidRPr="00DE0EC2">
          <w:rPr>
            <w:rStyle w:val="TextoNormalCaracter"/>
          </w:rPr>
          <w:t>138/2021</w:t>
        </w:r>
      </w:hyperlink>
      <w:r w:rsidRPr="00DE0EC2">
        <w:rPr>
          <w:rStyle w:val="TextoNormalCaracter"/>
        </w:rPr>
        <w:t>.</w:t>
      </w:r>
    </w:p>
    <w:p w:rsidR="00DE0EC2" w:rsidRPr="00DE0EC2" w:rsidRDefault="00DE0EC2" w:rsidP="00DE0EC2">
      <w:pPr>
        <w:pStyle w:val="TextoNormalSangraFrancesa"/>
        <w:rPr>
          <w:rStyle w:val="TextoNormalCaracter"/>
        </w:rPr>
      </w:pPr>
      <w:bookmarkStart w:id="1248" w:name="DESCRIPTORALFABETICO212"/>
      <w:r w:rsidRPr="00DE0EC2">
        <w:rPr>
          <w:rStyle w:val="TextoNormalNegritaCaracter"/>
        </w:rPr>
        <w:t xml:space="preserve">Votos particulares, formulados dos </w:t>
      </w:r>
      <w:bookmarkEnd w:id="1248"/>
      <w:r w:rsidRPr="00DE0EC2">
        <w:rPr>
          <w:rStyle w:val="TextoNormalCaracter"/>
        </w:rPr>
        <w:t xml:space="preserve">, Sentencias </w:t>
      </w:r>
      <w:hyperlink w:anchor="SENTENCIA_2021_6" w:history="1">
        <w:r w:rsidRPr="00DE0EC2">
          <w:rPr>
            <w:rStyle w:val="TextoNormalCaracter"/>
          </w:rPr>
          <w:t>6/2021</w:t>
        </w:r>
      </w:hyperlink>
      <w:r w:rsidRPr="00DE0EC2">
        <w:rPr>
          <w:rStyle w:val="TextoNormalCaracter"/>
        </w:rPr>
        <w:t xml:space="preserve">, VP; </w:t>
      </w:r>
      <w:hyperlink w:anchor="SENTENCIA_2021_11" w:history="1">
        <w:r w:rsidRPr="00DE0EC2">
          <w:rPr>
            <w:rStyle w:val="TextoNormalCaracter"/>
          </w:rPr>
          <w:t>11/2021</w:t>
        </w:r>
      </w:hyperlink>
      <w:r w:rsidRPr="00DE0EC2">
        <w:rPr>
          <w:rStyle w:val="TextoNormalCaracter"/>
        </w:rPr>
        <w:t xml:space="preserve">, f. único; </w:t>
      </w:r>
      <w:hyperlink w:anchor="SENTENCIA_2021_13" w:history="1">
        <w:r w:rsidRPr="00DE0EC2">
          <w:rPr>
            <w:rStyle w:val="TextoNormalCaracter"/>
          </w:rPr>
          <w:t>13/2021</w:t>
        </w:r>
      </w:hyperlink>
      <w:r w:rsidRPr="00DE0EC2">
        <w:rPr>
          <w:rStyle w:val="TextoNormalCaracter"/>
        </w:rPr>
        <w:t xml:space="preserve">, VP I, II; </w:t>
      </w:r>
      <w:hyperlink w:anchor="SENTENCIA_2021_14" w:history="1">
        <w:r w:rsidRPr="00DE0EC2">
          <w:rPr>
            <w:rStyle w:val="TextoNormalCaracter"/>
          </w:rPr>
          <w:t>14/2021</w:t>
        </w:r>
      </w:hyperlink>
      <w:r w:rsidRPr="00DE0EC2">
        <w:rPr>
          <w:rStyle w:val="TextoNormalCaracter"/>
        </w:rPr>
        <w:t xml:space="preserve">, VP; </w:t>
      </w:r>
      <w:hyperlink w:anchor="SENTENCIA_2021_19" w:history="1">
        <w:r w:rsidRPr="00DE0EC2">
          <w:rPr>
            <w:rStyle w:val="TextoNormalCaracter"/>
          </w:rPr>
          <w:t>19/2021</w:t>
        </w:r>
      </w:hyperlink>
      <w:r w:rsidRPr="00DE0EC2">
        <w:rPr>
          <w:rStyle w:val="TextoNormalCaracter"/>
        </w:rPr>
        <w:t xml:space="preserve">; </w:t>
      </w:r>
      <w:hyperlink w:anchor="SENTENCIA_2021_73" w:history="1">
        <w:r w:rsidRPr="00DE0EC2">
          <w:rPr>
            <w:rStyle w:val="TextoNormalCaracter"/>
          </w:rPr>
          <w:t>73/2021</w:t>
        </w:r>
      </w:hyperlink>
      <w:r w:rsidRPr="00DE0EC2">
        <w:rPr>
          <w:rStyle w:val="TextoNormalCaracter"/>
        </w:rPr>
        <w:t xml:space="preserve">; </w:t>
      </w:r>
      <w:hyperlink w:anchor="SENTENCIA_2021_75" w:history="1">
        <w:r w:rsidRPr="00DE0EC2">
          <w:rPr>
            <w:rStyle w:val="TextoNormalCaracter"/>
          </w:rPr>
          <w:t>75/2021</w:t>
        </w:r>
      </w:hyperlink>
      <w:r w:rsidRPr="00DE0EC2">
        <w:rPr>
          <w:rStyle w:val="TextoNormalCaracter"/>
        </w:rPr>
        <w:t>.</w:t>
      </w:r>
    </w:p>
    <w:p w:rsidR="00DE0EC2" w:rsidRPr="00DE0EC2" w:rsidRDefault="00DE0EC2" w:rsidP="00DE0EC2">
      <w:pPr>
        <w:pStyle w:val="TextoNormalSangraFrancesa"/>
        <w:rPr>
          <w:rStyle w:val="TextoNormalCaracter"/>
        </w:rPr>
      </w:pPr>
      <w:bookmarkStart w:id="1249" w:name="DESCRIPTORALFABETICO213"/>
      <w:r w:rsidRPr="00DE0EC2">
        <w:rPr>
          <w:rStyle w:val="TextoNormalNegritaCaracter"/>
        </w:rPr>
        <w:t>Votos particulares, formulados tres</w:t>
      </w:r>
      <w:bookmarkEnd w:id="1249"/>
      <w:r w:rsidRPr="00DE0EC2">
        <w:rPr>
          <w:rStyle w:val="TextoNormalCaracter"/>
        </w:rPr>
        <w:t xml:space="preserve">, Sentencias </w:t>
      </w:r>
      <w:hyperlink w:anchor="SENTENCIA_2021_76" w:history="1">
        <w:r w:rsidRPr="00DE0EC2">
          <w:rPr>
            <w:rStyle w:val="TextoNormalCaracter"/>
          </w:rPr>
          <w:t>76/2021</w:t>
        </w:r>
      </w:hyperlink>
      <w:r w:rsidRPr="00DE0EC2">
        <w:rPr>
          <w:rStyle w:val="TextoNormalCaracter"/>
        </w:rPr>
        <w:t xml:space="preserve">; </w:t>
      </w:r>
      <w:hyperlink w:anchor="SENTENCIA_2021_133" w:history="1">
        <w:r w:rsidRPr="00DE0EC2">
          <w:rPr>
            <w:rStyle w:val="TextoNormalCaracter"/>
          </w:rPr>
          <w:t>133/2021</w:t>
        </w:r>
      </w:hyperlink>
      <w:r w:rsidRPr="00DE0EC2">
        <w:rPr>
          <w:rStyle w:val="TextoNormalCaracter"/>
        </w:rPr>
        <w:t xml:space="preserve">; </w:t>
      </w:r>
      <w:hyperlink w:anchor="SENTENCIA_2021_134" w:history="1">
        <w:r w:rsidRPr="00DE0EC2">
          <w:rPr>
            <w:rStyle w:val="TextoNormalCaracter"/>
          </w:rPr>
          <w:t>134/2021</w:t>
        </w:r>
      </w:hyperlink>
      <w:r w:rsidRPr="00DE0EC2">
        <w:rPr>
          <w:rStyle w:val="TextoNormalCaracter"/>
        </w:rPr>
        <w:t>.</w:t>
      </w:r>
    </w:p>
    <w:p w:rsidR="00DE0EC2" w:rsidRDefault="00DE0EC2" w:rsidP="00DE0EC2">
      <w:pPr>
        <w:pStyle w:val="TextoNormalSangraFrancesa"/>
      </w:pPr>
    </w:p>
    <w:p w:rsidR="00DE0EC2" w:rsidRDefault="00DE0EC2" w:rsidP="00DE0EC2">
      <w:pPr>
        <w:pStyle w:val="TextoNormalSangraFrancesa"/>
      </w:pPr>
    </w:p>
    <w:p w:rsidR="00DE0EC2" w:rsidRDefault="00DE0EC2" w:rsidP="00DE0EC2">
      <w:pPr>
        <w:pStyle w:val="TextoNormalNegritaCentrado"/>
      </w:pPr>
      <w:r>
        <w:t>Z</w:t>
      </w:r>
    </w:p>
    <w:p w:rsidR="00DE0EC2" w:rsidRDefault="00DE0EC2" w:rsidP="00DE0EC2">
      <w:pPr>
        <w:pStyle w:val="TextoNormalNegritaCentrado"/>
      </w:pPr>
    </w:p>
    <w:p w:rsidR="00DE0EC2" w:rsidRPr="00DE0EC2" w:rsidRDefault="00DE0EC2" w:rsidP="00DE0EC2">
      <w:pPr>
        <w:pStyle w:val="TextoNormalSangraFrancesa"/>
        <w:rPr>
          <w:rStyle w:val="TextoNormalCaracter"/>
        </w:rPr>
      </w:pPr>
      <w:bookmarkStart w:id="1250" w:name="DESCRIPTORALFABETICO306"/>
      <w:r w:rsidRPr="00DE0EC2">
        <w:rPr>
          <w:rStyle w:val="TextoNormalNegritaCaracter"/>
        </w:rPr>
        <w:t>Zona marítimo terrestre</w:t>
      </w:r>
      <w:bookmarkEnd w:id="1250"/>
      <w:r w:rsidRPr="00DE0EC2">
        <w:rPr>
          <w:rStyle w:val="TextoNormalCaracter"/>
        </w:rPr>
        <w:t xml:space="preserve">, Sentencia </w:t>
      </w:r>
      <w:hyperlink w:anchor="SENTENCIA_2021_112" w:history="1">
        <w:r w:rsidRPr="00DE0EC2">
          <w:rPr>
            <w:rStyle w:val="TextoNormalCaracter"/>
          </w:rPr>
          <w:t>112/2021</w:t>
        </w:r>
      </w:hyperlink>
      <w:r w:rsidRPr="00DE0EC2">
        <w:rPr>
          <w:rStyle w:val="TextoNormalCaracter"/>
        </w:rPr>
        <w:t>, f. 1.</w:t>
      </w:r>
    </w:p>
    <w:p w:rsidR="00DE0EC2" w:rsidRDefault="00DE0EC2">
      <w:pPr>
        <w:spacing w:after="0" w:line="360" w:lineRule="auto"/>
        <w:ind w:firstLine="851"/>
        <w:jc w:val="both"/>
        <w:rPr>
          <w:rFonts w:ascii="Times New Roman" w:eastAsia="Times New Roman" w:hAnsi="Times New Roman" w:cs="Times New Roman"/>
          <w:sz w:val="24"/>
          <w:szCs w:val="24"/>
          <w:lang w:eastAsia="es-ES"/>
        </w:rPr>
      </w:pPr>
      <w:r>
        <w:br w:type="page"/>
      </w:r>
    </w:p>
    <w:p w:rsidR="00DE0EC2" w:rsidRDefault="00DE0EC2" w:rsidP="00DE0EC2">
      <w:pPr>
        <w:pStyle w:val="TextoNormalSangraFrancesa"/>
      </w:pPr>
    </w:p>
    <w:p w:rsidR="00673451" w:rsidRDefault="00673451" w:rsidP="00673451">
      <w:pPr>
        <w:pStyle w:val="TextoNormalSangraFrancesa"/>
      </w:pPr>
    </w:p>
    <w:p w:rsidR="00673451" w:rsidRDefault="00673451" w:rsidP="00673451">
      <w:pPr>
        <w:pStyle w:val="TextoNormalSangraFrancesa"/>
      </w:pPr>
    </w:p>
    <w:p w:rsidR="00673451" w:rsidRDefault="00673451" w:rsidP="00673451">
      <w:pPr>
        <w:pStyle w:val="TextoNormalSangraFrancesa"/>
      </w:pPr>
    </w:p>
    <w:p w:rsidR="00673451" w:rsidRDefault="00673451" w:rsidP="00673451">
      <w:pPr>
        <w:pStyle w:val="TextoNormalSangraFrancesa"/>
      </w:pPr>
    </w:p>
    <w:p w:rsidR="00673451" w:rsidRDefault="00673451" w:rsidP="00673451">
      <w:pPr>
        <w:pStyle w:val="TextoNormalSangraFrancesa"/>
      </w:pPr>
    </w:p>
    <w:p w:rsidR="00673451" w:rsidRDefault="00673451" w:rsidP="00673451">
      <w:pPr>
        <w:pStyle w:val="TextoNormalSangraFrancesa"/>
      </w:pPr>
    </w:p>
    <w:p w:rsidR="00673451" w:rsidRDefault="00673451" w:rsidP="00673451">
      <w:pPr>
        <w:pStyle w:val="TextoNormalSangraFrancesa"/>
      </w:pPr>
    </w:p>
    <w:p w:rsidR="00673451" w:rsidRDefault="00673451" w:rsidP="00673451">
      <w:pPr>
        <w:pStyle w:val="Ttulondice"/>
      </w:pPr>
      <w:bookmarkStart w:id="1251" w:name="ACRONIMOS"/>
      <w:r>
        <w:t>8. ABREVIATURAS Y ACRÓNIMOS</w:t>
      </w:r>
    </w:p>
    <w:bookmarkEnd w:id="1251"/>
    <w:p w:rsidR="00673451" w:rsidRDefault="00673451" w:rsidP="00673451">
      <w:pPr>
        <w:pStyle w:val="Ttulondice"/>
      </w:pPr>
    </w:p>
    <w:p w:rsidR="00673451" w:rsidRDefault="00673451" w:rsidP="00673451">
      <w:pPr>
        <w:pStyle w:val="Ttulondice"/>
      </w:pPr>
    </w:p>
    <w:p w:rsidR="00673451" w:rsidRDefault="00673451" w:rsidP="00673451">
      <w:pPr>
        <w:pStyle w:val="Ttulondice"/>
      </w:pPr>
    </w:p>
    <w:p w:rsidR="00673451" w:rsidRDefault="00673451" w:rsidP="00673451">
      <w:pPr>
        <w:pStyle w:val="Ttulondice"/>
      </w:pPr>
    </w:p>
    <w:p w:rsidR="00673451" w:rsidRDefault="00673451" w:rsidP="00673451">
      <w:pPr>
        <w:pStyle w:val="TextoAbreviaturas"/>
      </w:pPr>
      <w:r>
        <w:t>§</w:t>
      </w:r>
      <w:r>
        <w:tab/>
        <w:t>Parágrafo (usual en SSTEDH)</w:t>
      </w:r>
    </w:p>
    <w:p w:rsidR="00673451" w:rsidRDefault="00673451" w:rsidP="00673451">
      <w:pPr>
        <w:pStyle w:val="TextoAbreviaturas"/>
      </w:pPr>
      <w:r>
        <w:t>AENA</w:t>
      </w:r>
      <w:r>
        <w:tab/>
        <w:t>Aeropuertos Españoles y Navegación Aérea</w:t>
      </w:r>
    </w:p>
    <w:p w:rsidR="00673451" w:rsidRDefault="00673451" w:rsidP="00673451">
      <w:pPr>
        <w:pStyle w:val="TextoAbreviaturas"/>
      </w:pPr>
      <w:r>
        <w:t>APM</w:t>
      </w:r>
      <w:r>
        <w:tab/>
        <w:t>Asociación Profesional de la Magistratura</w:t>
      </w:r>
    </w:p>
    <w:p w:rsidR="00673451" w:rsidRDefault="00673451" w:rsidP="00673451">
      <w:pPr>
        <w:pStyle w:val="TextoAbreviaturas"/>
      </w:pPr>
      <w:r>
        <w:t>ATC</w:t>
      </w:r>
      <w:r>
        <w:tab/>
        <w:t>Auto del Tribunal Constitucional</w:t>
      </w:r>
    </w:p>
    <w:p w:rsidR="00673451" w:rsidRDefault="00673451" w:rsidP="00673451">
      <w:pPr>
        <w:pStyle w:val="TextoAbreviaturas"/>
      </w:pPr>
      <w:r>
        <w:t>ATS</w:t>
      </w:r>
      <w:r>
        <w:tab/>
        <w:t>Auto del Tribunal Supremo</w:t>
      </w:r>
    </w:p>
    <w:p w:rsidR="00673451" w:rsidRDefault="00673451" w:rsidP="00673451">
      <w:pPr>
        <w:pStyle w:val="TextoAbreviaturas"/>
      </w:pPr>
      <w:r>
        <w:t>BBVA</w:t>
      </w:r>
      <w:r>
        <w:tab/>
        <w:t>Banco Bilbao Vizcaya Argentaria</w:t>
      </w:r>
    </w:p>
    <w:p w:rsidR="00673451" w:rsidRDefault="00673451" w:rsidP="00673451">
      <w:pPr>
        <w:pStyle w:val="TextoAbreviaturas"/>
      </w:pPr>
      <w:r>
        <w:t>BOCL</w:t>
      </w:r>
      <w:r>
        <w:tab/>
        <w:t>Boletín Oficial de Castilla y León</w:t>
      </w:r>
    </w:p>
    <w:p w:rsidR="00673451" w:rsidRDefault="00673451" w:rsidP="00673451">
      <w:pPr>
        <w:pStyle w:val="TextoAbreviaturas"/>
      </w:pPr>
      <w:r>
        <w:t>BOCM</w:t>
      </w:r>
      <w:r>
        <w:tab/>
        <w:t>Boletín Oficial de la Comunidad de Madrid</w:t>
      </w:r>
    </w:p>
    <w:p w:rsidR="00673451" w:rsidRDefault="00673451" w:rsidP="00673451">
      <w:pPr>
        <w:pStyle w:val="TextoAbreviaturas"/>
      </w:pPr>
      <w:r>
        <w:t>BOE</w:t>
      </w:r>
      <w:r>
        <w:tab/>
        <w:t>Boletín Oficial del Estado</w:t>
      </w:r>
    </w:p>
    <w:p w:rsidR="00673451" w:rsidRDefault="00673451" w:rsidP="00673451">
      <w:pPr>
        <w:pStyle w:val="TextoAbreviaturas"/>
      </w:pPr>
      <w:r>
        <w:t>BOIB</w:t>
      </w:r>
      <w:r>
        <w:tab/>
        <w:t>Boletín Oficial de la Comunidad de las Islas Baleares</w:t>
      </w:r>
    </w:p>
    <w:p w:rsidR="00673451" w:rsidRDefault="00673451" w:rsidP="00673451">
      <w:pPr>
        <w:pStyle w:val="TextoAbreviaturas"/>
      </w:pPr>
      <w:r>
        <w:t>BORM</w:t>
      </w:r>
      <w:r>
        <w:tab/>
        <w:t>Boletín Oficial de la Región de Murcia</w:t>
      </w:r>
    </w:p>
    <w:p w:rsidR="00673451" w:rsidRDefault="00673451" w:rsidP="00673451">
      <w:pPr>
        <w:pStyle w:val="TextoAbreviaturas"/>
      </w:pPr>
      <w:r>
        <w:t>CC</w:t>
      </w:r>
      <w:r>
        <w:tab/>
        <w:t>Código civil</w:t>
      </w:r>
    </w:p>
    <w:p w:rsidR="00673451" w:rsidRDefault="00673451" w:rsidP="00673451">
      <w:pPr>
        <w:pStyle w:val="TextoAbreviaturas"/>
      </w:pPr>
      <w:r>
        <w:t>CCOO</w:t>
      </w:r>
      <w:r>
        <w:tab/>
        <w:t>Comisiones Obreras</w:t>
      </w:r>
    </w:p>
    <w:p w:rsidR="00673451" w:rsidRDefault="00673451" w:rsidP="00673451">
      <w:pPr>
        <w:pStyle w:val="TextoAbreviaturas"/>
      </w:pPr>
      <w:r>
        <w:t>CDFUE</w:t>
      </w:r>
      <w:r>
        <w:tab/>
        <w:t>Carta de los derechos fundamentales de la Unión Europea</w:t>
      </w:r>
    </w:p>
    <w:p w:rsidR="00673451" w:rsidRDefault="00673451" w:rsidP="00673451">
      <w:pPr>
        <w:pStyle w:val="TextoAbreviaturas"/>
      </w:pPr>
      <w:r>
        <w:t>CE</w:t>
      </w:r>
      <w:r>
        <w:tab/>
        <w:t>Constitución española</w:t>
      </w:r>
    </w:p>
    <w:p w:rsidR="00673451" w:rsidRDefault="00673451" w:rsidP="00673451">
      <w:pPr>
        <w:pStyle w:val="TextoAbreviaturas"/>
      </w:pPr>
      <w:r>
        <w:t>CEDH</w:t>
      </w:r>
      <w:r>
        <w:tab/>
        <w:t>Convenio europeo para la protección de los derechos humanos y de las libertades fundamentales</w:t>
      </w:r>
    </w:p>
    <w:p w:rsidR="00673451" w:rsidRDefault="00673451" w:rsidP="00673451">
      <w:pPr>
        <w:pStyle w:val="TextoAbreviaturas"/>
      </w:pPr>
      <w:r>
        <w:t>CEE</w:t>
      </w:r>
      <w:r>
        <w:tab/>
        <w:t>Comunidad Económica Europea</w:t>
      </w:r>
    </w:p>
    <w:p w:rsidR="00673451" w:rsidRDefault="00673451" w:rsidP="00673451">
      <w:pPr>
        <w:pStyle w:val="TextoAbreviaturas"/>
      </w:pPr>
      <w:r>
        <w:t>CES</w:t>
      </w:r>
      <w:r>
        <w:tab/>
        <w:t>Consejo Económico y Social</w:t>
      </w:r>
    </w:p>
    <w:p w:rsidR="00673451" w:rsidRDefault="00673451" w:rsidP="00673451">
      <w:pPr>
        <w:pStyle w:val="TextoAbreviaturas"/>
      </w:pPr>
      <w:r>
        <w:t>CGPJ</w:t>
      </w:r>
      <w:r>
        <w:tab/>
        <w:t>Consejo General del Poder Judicial</w:t>
      </w:r>
    </w:p>
    <w:p w:rsidR="00673451" w:rsidRDefault="00673451" w:rsidP="00673451">
      <w:pPr>
        <w:pStyle w:val="TextoAbreviaturas"/>
      </w:pPr>
      <w:r>
        <w:t>CGT</w:t>
      </w:r>
      <w:r>
        <w:tab/>
        <w:t>Confederación General de Trabajadores</w:t>
      </w:r>
    </w:p>
    <w:p w:rsidR="00673451" w:rsidRDefault="00673451" w:rsidP="00673451">
      <w:pPr>
        <w:pStyle w:val="TextoAbreviaturas"/>
      </w:pPr>
      <w:r>
        <w:t>CNMC</w:t>
      </w:r>
      <w:r>
        <w:tab/>
        <w:t>Comisión Nacional de los Mercados y la Competencia</w:t>
      </w:r>
    </w:p>
    <w:p w:rsidR="00673451" w:rsidRDefault="00673451" w:rsidP="00673451">
      <w:pPr>
        <w:pStyle w:val="TextoAbreviaturas"/>
      </w:pPr>
      <w:r>
        <w:t>CP</w:t>
      </w:r>
      <w:r>
        <w:tab/>
        <w:t>Código penal</w:t>
      </w:r>
    </w:p>
    <w:p w:rsidR="00673451" w:rsidRDefault="00673451" w:rsidP="00673451">
      <w:pPr>
        <w:pStyle w:val="TextoAbreviaturas"/>
      </w:pPr>
      <w:r>
        <w:t>CUP</w:t>
      </w:r>
      <w:r>
        <w:tab/>
        <w:t>Candidatura d'Unitat Popular</w:t>
      </w:r>
    </w:p>
    <w:p w:rsidR="00673451" w:rsidRDefault="00673451" w:rsidP="00673451">
      <w:pPr>
        <w:pStyle w:val="TextoAbreviaturas"/>
      </w:pPr>
      <w:r>
        <w:t>DNI</w:t>
      </w:r>
      <w:r>
        <w:tab/>
        <w:t>Documento Nacional de Identidad</w:t>
      </w:r>
    </w:p>
    <w:p w:rsidR="00673451" w:rsidRDefault="00673451" w:rsidP="00673451">
      <w:pPr>
        <w:pStyle w:val="TextoAbreviaturas"/>
      </w:pPr>
      <w:r>
        <w:t>DOCE</w:t>
      </w:r>
      <w:r>
        <w:tab/>
        <w:t>Diario Oficial de la Comunidad Europea</w:t>
      </w:r>
    </w:p>
    <w:p w:rsidR="00673451" w:rsidRDefault="00673451" w:rsidP="00673451">
      <w:pPr>
        <w:pStyle w:val="TextoAbreviaturas"/>
      </w:pPr>
      <w:r>
        <w:t>DOGC</w:t>
      </w:r>
      <w:r>
        <w:tab/>
        <w:t>Diario Oficial de la Generalidad de Cataluña</w:t>
      </w:r>
    </w:p>
    <w:p w:rsidR="00673451" w:rsidRDefault="00673451" w:rsidP="00673451">
      <w:pPr>
        <w:pStyle w:val="TextoAbreviaturas"/>
      </w:pPr>
      <w:r>
        <w:t>DOGV</w:t>
      </w:r>
      <w:r>
        <w:tab/>
        <w:t>Diario Oficial de la Generalidad Valenciana</w:t>
      </w:r>
    </w:p>
    <w:p w:rsidR="00673451" w:rsidRDefault="00673451" w:rsidP="00673451">
      <w:pPr>
        <w:pStyle w:val="TextoAbreviaturas"/>
      </w:pPr>
      <w:r>
        <w:t>EAAr</w:t>
      </w:r>
      <w:r>
        <w:tab/>
        <w:t>Estatuto de Autonomía de Aragón</w:t>
      </w:r>
    </w:p>
    <w:p w:rsidR="00673451" w:rsidRDefault="00673451" w:rsidP="00673451">
      <w:pPr>
        <w:pStyle w:val="TextoAbreviaturas"/>
      </w:pPr>
      <w:r>
        <w:t>EAC</w:t>
      </w:r>
      <w:r>
        <w:tab/>
        <w:t>Estatuto de Autonomía de Cataluña</w:t>
      </w:r>
    </w:p>
    <w:p w:rsidR="00673451" w:rsidRDefault="00673451" w:rsidP="00673451">
      <w:pPr>
        <w:pStyle w:val="TextoAbreviaturas"/>
      </w:pPr>
      <w:r>
        <w:t>EACan</w:t>
      </w:r>
      <w:r>
        <w:tab/>
        <w:t>Estatuto de Autonomía de Canarias</w:t>
      </w:r>
    </w:p>
    <w:p w:rsidR="00673451" w:rsidRDefault="00673451" w:rsidP="00673451">
      <w:pPr>
        <w:pStyle w:val="TextoAbreviaturas"/>
      </w:pPr>
      <w:r>
        <w:t>EACL</w:t>
      </w:r>
      <w:r>
        <w:tab/>
        <w:t>Estatuto de Autonomía de Castilla y León</w:t>
      </w:r>
    </w:p>
    <w:p w:rsidR="00673451" w:rsidRDefault="00673451" w:rsidP="00673451">
      <w:pPr>
        <w:pStyle w:val="TextoAbreviaturas"/>
      </w:pPr>
      <w:r>
        <w:t>EACM</w:t>
      </w:r>
      <w:r>
        <w:tab/>
        <w:t>Estatuto de Autonomía de Castilla-La Mancha</w:t>
      </w:r>
    </w:p>
    <w:p w:rsidR="00673451" w:rsidRDefault="00673451" w:rsidP="00673451">
      <w:pPr>
        <w:pStyle w:val="TextoAbreviaturas"/>
      </w:pPr>
      <w:r>
        <w:t>EAIB</w:t>
      </w:r>
      <w:r>
        <w:tab/>
        <w:t>Estatuto de Autonomía de las Illes Balears</w:t>
      </w:r>
    </w:p>
    <w:p w:rsidR="00673451" w:rsidRDefault="00673451" w:rsidP="00673451">
      <w:pPr>
        <w:pStyle w:val="TextoAbreviaturas"/>
      </w:pPr>
      <w:r>
        <w:t>EAM</w:t>
      </w:r>
      <w:r>
        <w:tab/>
        <w:t>Estatuto de Autonomía de la Comunidad de Madrid</w:t>
      </w:r>
    </w:p>
    <w:p w:rsidR="00673451" w:rsidRDefault="00673451" w:rsidP="00673451">
      <w:pPr>
        <w:pStyle w:val="TextoAbreviaturas"/>
      </w:pPr>
      <w:r>
        <w:t>EAPV</w:t>
      </w:r>
      <w:r>
        <w:tab/>
        <w:t>Estatuto de Autonomía para el País Vasco</w:t>
      </w:r>
    </w:p>
    <w:p w:rsidR="00673451" w:rsidRDefault="00673451" w:rsidP="00673451">
      <w:pPr>
        <w:pStyle w:val="TextoAbreviaturas"/>
      </w:pPr>
      <w:r>
        <w:t>EARM</w:t>
      </w:r>
      <w:r>
        <w:tab/>
        <w:t>Estatuto de Autonomía para la Región de Murcia</w:t>
      </w:r>
    </w:p>
    <w:p w:rsidR="00673451" w:rsidRDefault="00673451" w:rsidP="00673451">
      <w:pPr>
        <w:pStyle w:val="TextoAbreviaturas"/>
      </w:pPr>
      <w:r>
        <w:t>EAV</w:t>
      </w:r>
      <w:r>
        <w:tab/>
        <w:t>Estatuto de Autonomía para la Comunidad Valenciana</w:t>
      </w:r>
    </w:p>
    <w:p w:rsidR="00673451" w:rsidRDefault="00673451" w:rsidP="00673451">
      <w:pPr>
        <w:pStyle w:val="TextoAbreviaturas"/>
      </w:pPr>
      <w:r>
        <w:t>EEUU</w:t>
      </w:r>
      <w:r>
        <w:tab/>
        <w:t>Estados Unidos de América</w:t>
      </w:r>
    </w:p>
    <w:p w:rsidR="00673451" w:rsidRDefault="00673451" w:rsidP="00673451">
      <w:pPr>
        <w:pStyle w:val="TextoAbreviaturas"/>
      </w:pPr>
      <w:r>
        <w:t>ERC</w:t>
      </w:r>
      <w:r>
        <w:tab/>
        <w:t>Esquerra Republicana de Catalunya</w:t>
      </w:r>
    </w:p>
    <w:p w:rsidR="00673451" w:rsidRDefault="00673451" w:rsidP="00673451">
      <w:pPr>
        <w:pStyle w:val="TextoAbreviaturas"/>
      </w:pPr>
      <w:r>
        <w:t>FAO</w:t>
      </w:r>
      <w:r>
        <w:tab/>
        <w:t>Organización de las Naciones Unidas para la Alimentación y la Agricultura</w:t>
      </w:r>
    </w:p>
    <w:p w:rsidR="00673451" w:rsidRDefault="00673451" w:rsidP="00673451">
      <w:pPr>
        <w:pStyle w:val="TextoAbreviaturas"/>
      </w:pPr>
      <w:r>
        <w:t>FJ</w:t>
      </w:r>
      <w:r>
        <w:tab/>
        <w:t>Fundamento jurídico</w:t>
      </w:r>
    </w:p>
    <w:p w:rsidR="00673451" w:rsidRDefault="00673451" w:rsidP="00673451">
      <w:pPr>
        <w:pStyle w:val="TextoAbreviaturas"/>
      </w:pPr>
      <w:r>
        <w:t>IAE</w:t>
      </w:r>
      <w:r>
        <w:tab/>
        <w:t>Impuesto sobre actividades económicas</w:t>
      </w:r>
    </w:p>
    <w:p w:rsidR="00673451" w:rsidRDefault="00673451" w:rsidP="00673451">
      <w:pPr>
        <w:pStyle w:val="TextoAbreviaturas"/>
      </w:pPr>
      <w:r>
        <w:t>IBI</w:t>
      </w:r>
      <w:r>
        <w:tab/>
        <w:t>Impuesto sobre bienes inmuebles</w:t>
      </w:r>
    </w:p>
    <w:p w:rsidR="00673451" w:rsidRDefault="00673451" w:rsidP="00673451">
      <w:pPr>
        <w:pStyle w:val="TextoAbreviaturas"/>
      </w:pPr>
      <w:r>
        <w:t>INSALUD</w:t>
      </w:r>
      <w:r>
        <w:tab/>
        <w:t>Instituto Nacional de la Salud</w:t>
      </w:r>
    </w:p>
    <w:p w:rsidR="00673451" w:rsidRDefault="00673451" w:rsidP="00673451">
      <w:pPr>
        <w:pStyle w:val="TextoAbreviaturas"/>
      </w:pPr>
      <w:r>
        <w:t>INSS</w:t>
      </w:r>
      <w:r>
        <w:tab/>
        <w:t>Instituto Nacional de la Seguridad Social</w:t>
      </w:r>
    </w:p>
    <w:p w:rsidR="00673451" w:rsidRDefault="00673451" w:rsidP="00673451">
      <w:pPr>
        <w:pStyle w:val="TextoAbreviaturas"/>
      </w:pPr>
      <w:r>
        <w:t>IRPF</w:t>
      </w:r>
      <w:r>
        <w:tab/>
        <w:t>Impuesto sobre la renta de las personas físicas</w:t>
      </w:r>
    </w:p>
    <w:p w:rsidR="00673451" w:rsidRDefault="00673451" w:rsidP="00673451">
      <w:pPr>
        <w:pStyle w:val="TextoAbreviaturas"/>
      </w:pPr>
      <w:r>
        <w:t>IRYDA</w:t>
      </w:r>
      <w:r>
        <w:tab/>
        <w:t>Instituto para la reforma y desarrollo agrario</w:t>
      </w:r>
    </w:p>
    <w:p w:rsidR="00673451" w:rsidRDefault="00673451" w:rsidP="00673451">
      <w:pPr>
        <w:pStyle w:val="TextoAbreviaturas"/>
      </w:pPr>
      <w:r>
        <w:t>IVA</w:t>
      </w:r>
      <w:r>
        <w:tab/>
        <w:t>Impuesto sobre el valor añadido</w:t>
      </w:r>
    </w:p>
    <w:p w:rsidR="00673451" w:rsidRDefault="00673451" w:rsidP="00673451">
      <w:pPr>
        <w:pStyle w:val="TextoAbreviaturas"/>
      </w:pPr>
      <w:r>
        <w:t>IVTM</w:t>
      </w:r>
      <w:r>
        <w:tab/>
        <w:t>Impuesto sobre vehículos de tracción mecánica</w:t>
      </w:r>
    </w:p>
    <w:p w:rsidR="00673451" w:rsidRDefault="00673451" w:rsidP="00673451">
      <w:pPr>
        <w:pStyle w:val="TextoAbreviaturas"/>
      </w:pPr>
      <w:r>
        <w:t>LA</w:t>
      </w:r>
      <w:r>
        <w:tab/>
        <w:t>Ley de aguas (Ley de arbitraje para SSTC 55/2021 y 79/2022)</w:t>
      </w:r>
    </w:p>
    <w:p w:rsidR="00673451" w:rsidRDefault="00673451" w:rsidP="00673451">
      <w:pPr>
        <w:pStyle w:val="TextoAbreviaturas"/>
      </w:pPr>
      <w:r>
        <w:t>LAJG</w:t>
      </w:r>
      <w:r>
        <w:tab/>
        <w:t>Ley de asistencia jurídica gratuita</w:t>
      </w:r>
    </w:p>
    <w:p w:rsidR="00673451" w:rsidRDefault="00673451" w:rsidP="00673451">
      <w:pPr>
        <w:pStyle w:val="TextoAbreviaturas"/>
      </w:pPr>
      <w:r>
        <w:t>LBRL</w:t>
      </w:r>
      <w:r>
        <w:tab/>
        <w:t>Ley reguladora de las bases de régimen local</w:t>
      </w:r>
    </w:p>
    <w:p w:rsidR="00673451" w:rsidRDefault="00673451" w:rsidP="00673451">
      <w:pPr>
        <w:pStyle w:val="TextoAbreviaturas"/>
      </w:pPr>
      <w:r>
        <w:t>LC</w:t>
      </w:r>
      <w:r>
        <w:tab/>
        <w:t>Ley de costas</w:t>
      </w:r>
    </w:p>
    <w:p w:rsidR="00673451" w:rsidRDefault="00673451" w:rsidP="00673451">
      <w:pPr>
        <w:pStyle w:val="TextoAbreviaturas"/>
      </w:pPr>
      <w:r>
        <w:t>LCSP</w:t>
      </w:r>
      <w:r>
        <w:tab/>
        <w:t>Ley de contratos del sector público</w:t>
      </w:r>
    </w:p>
    <w:p w:rsidR="00673451" w:rsidRDefault="00673451" w:rsidP="00673451">
      <w:pPr>
        <w:pStyle w:val="TextoAbreviaturas"/>
      </w:pPr>
      <w:r>
        <w:t>LCU</w:t>
      </w:r>
      <w:r>
        <w:tab/>
        <w:t>Ley general para la defensa de los consumidores y usuarios</w:t>
      </w:r>
    </w:p>
    <w:p w:rsidR="00673451" w:rsidRDefault="00673451" w:rsidP="00673451">
      <w:pPr>
        <w:pStyle w:val="TextoAbreviaturas"/>
      </w:pPr>
      <w:r>
        <w:t>LEC</w:t>
      </w:r>
      <w:r>
        <w:tab/>
        <w:t>Ley de enjuiciamiento civil</w:t>
      </w:r>
    </w:p>
    <w:p w:rsidR="00673451" w:rsidRDefault="00673451" w:rsidP="00673451">
      <w:pPr>
        <w:pStyle w:val="TextoAbreviaturas"/>
      </w:pPr>
      <w:r>
        <w:t>LECrim</w:t>
      </w:r>
      <w:r>
        <w:tab/>
        <w:t>Ley de enjuiciamiento criminal</w:t>
      </w:r>
    </w:p>
    <w:p w:rsidR="00673451" w:rsidRDefault="00673451" w:rsidP="00673451">
      <w:pPr>
        <w:pStyle w:val="TextoAbreviaturas"/>
      </w:pPr>
      <w:r>
        <w:t>LEEP</w:t>
      </w:r>
      <w:r>
        <w:tab/>
        <w:t>Ley del estatuto básico del empleado público</w:t>
      </w:r>
    </w:p>
    <w:p w:rsidR="00673451" w:rsidRDefault="00673451" w:rsidP="00673451">
      <w:pPr>
        <w:pStyle w:val="TextoAbreviaturas"/>
      </w:pPr>
      <w:r>
        <w:t>LET</w:t>
      </w:r>
      <w:r>
        <w:tab/>
        <w:t>Ley del estatuto de los trabajadores</w:t>
      </w:r>
    </w:p>
    <w:p w:rsidR="00673451" w:rsidRDefault="00673451" w:rsidP="00673451">
      <w:pPr>
        <w:pStyle w:val="TextoAbreviaturas"/>
      </w:pPr>
      <w:r>
        <w:t>LFTCu</w:t>
      </w:r>
      <w:r>
        <w:tab/>
        <w:t>Ley de funcionamiento del Tribunal de Cuentas</w:t>
      </w:r>
    </w:p>
    <w:p w:rsidR="00673451" w:rsidRDefault="00673451" w:rsidP="00673451">
      <w:pPr>
        <w:pStyle w:val="TextoAbreviaturas"/>
      </w:pPr>
      <w:r>
        <w:t>LGSS</w:t>
      </w:r>
      <w:r>
        <w:tab/>
        <w:t>Ley general de la Seguridad Social</w:t>
      </w:r>
    </w:p>
    <w:p w:rsidR="00673451" w:rsidRDefault="00673451" w:rsidP="00673451">
      <w:pPr>
        <w:pStyle w:val="TextoAbreviaturas"/>
      </w:pPr>
      <w:r>
        <w:t>LGSub</w:t>
      </w:r>
      <w:r>
        <w:tab/>
        <w:t>Ley general de subvenciones</w:t>
      </w:r>
    </w:p>
    <w:p w:rsidR="00673451" w:rsidRDefault="00673451" w:rsidP="00673451">
      <w:pPr>
        <w:pStyle w:val="TextoAbreviaturas"/>
      </w:pPr>
      <w:r>
        <w:t>LGT</w:t>
      </w:r>
      <w:r>
        <w:tab/>
        <w:t>Ley general tributaria</w:t>
      </w:r>
    </w:p>
    <w:p w:rsidR="00673451" w:rsidRDefault="00673451" w:rsidP="00673451">
      <w:pPr>
        <w:pStyle w:val="TextoAbreviaturas"/>
      </w:pPr>
      <w:r>
        <w:t>LH</w:t>
      </w:r>
      <w:r>
        <w:tab/>
        <w:t>Ley hipotecaria</w:t>
      </w:r>
    </w:p>
    <w:p w:rsidR="00673451" w:rsidRDefault="00673451" w:rsidP="00673451">
      <w:pPr>
        <w:pStyle w:val="TextoAbreviaturas"/>
      </w:pPr>
      <w:r>
        <w:t>LJCA</w:t>
      </w:r>
      <w:r>
        <w:tab/>
        <w:t>Ley reguladora de la jurisdicción contencioso-administrativa</w:t>
      </w:r>
    </w:p>
    <w:p w:rsidR="00673451" w:rsidRDefault="00673451" w:rsidP="00673451">
      <w:pPr>
        <w:pStyle w:val="TextoAbreviaturas"/>
      </w:pPr>
      <w:r>
        <w:t>LJS</w:t>
      </w:r>
      <w:r>
        <w:tab/>
        <w:t>Ley reguladora de la jurisdicción social</w:t>
      </w:r>
    </w:p>
    <w:p w:rsidR="00673451" w:rsidRDefault="00673451" w:rsidP="00673451">
      <w:pPr>
        <w:pStyle w:val="TextoAbreviaturas"/>
      </w:pPr>
      <w:r>
        <w:t>LODGC</w:t>
      </w:r>
      <w:r>
        <w:tab/>
        <w:t>Ley Orgánica del régimen disciplinario de la Guardia Civil</w:t>
      </w:r>
    </w:p>
    <w:p w:rsidR="00673451" w:rsidRDefault="00673451" w:rsidP="00673451">
      <w:pPr>
        <w:pStyle w:val="TextoAbreviaturas"/>
      </w:pPr>
      <w:r>
        <w:t>LOE</w:t>
      </w:r>
      <w:r>
        <w:tab/>
        <w:t>Ley Orgánica de educación</w:t>
      </w:r>
    </w:p>
    <w:p w:rsidR="00673451" w:rsidRDefault="00673451" w:rsidP="00673451">
      <w:pPr>
        <w:pStyle w:val="TextoAbreviaturas"/>
      </w:pPr>
      <w:r>
        <w:t>LOEx</w:t>
      </w:r>
      <w:r>
        <w:tab/>
        <w:t>Ley Orgánica sobre derechos y libertades de los extranjeros en España y su integración social</w:t>
      </w:r>
    </w:p>
    <w:p w:rsidR="00673451" w:rsidRDefault="00673451" w:rsidP="00673451">
      <w:pPr>
        <w:pStyle w:val="TextoAbreviaturas"/>
      </w:pPr>
      <w:r>
        <w:t>LOFCA</w:t>
      </w:r>
      <w:r>
        <w:tab/>
        <w:t>Ley Orgánica de financiación de las comunidades autónomas</w:t>
      </w:r>
    </w:p>
    <w:p w:rsidR="00673451" w:rsidRDefault="00673451" w:rsidP="00673451">
      <w:pPr>
        <w:pStyle w:val="TextoAbreviaturas"/>
      </w:pPr>
      <w:r>
        <w:t>LOFCS</w:t>
      </w:r>
      <w:r>
        <w:tab/>
        <w:t>Ley Orgánica de las fuerzas y cuerpos de seguridad</w:t>
      </w:r>
    </w:p>
    <w:p w:rsidR="00673451" w:rsidRDefault="00673451" w:rsidP="00673451">
      <w:pPr>
        <w:pStyle w:val="TextoAbreviaturas"/>
      </w:pPr>
      <w:r>
        <w:t>LOGSE</w:t>
      </w:r>
      <w:r>
        <w:tab/>
        <w:t>Ley Orgánica de ordenación general del sistema educativo</w:t>
      </w:r>
    </w:p>
    <w:p w:rsidR="00673451" w:rsidRDefault="00673451" w:rsidP="00673451">
      <w:pPr>
        <w:pStyle w:val="TextoAbreviaturas"/>
      </w:pPr>
      <w:r>
        <w:t>LOHC</w:t>
      </w:r>
      <w:r>
        <w:tab/>
        <w:t>Ley Orgánica de regulación del procedimiento de</w:t>
      </w:r>
      <w:r w:rsidRPr="00673451">
        <w:rPr>
          <w:rStyle w:val="TextoNormalCursivaCaracter"/>
        </w:rPr>
        <w:t xml:space="preserve"> habeas corpus</w:t>
      </w:r>
    </w:p>
    <w:p w:rsidR="00673451" w:rsidRDefault="00673451" w:rsidP="00673451">
      <w:pPr>
        <w:pStyle w:val="TextoAbreviaturas"/>
      </w:pPr>
      <w:r>
        <w:t>LOLS</w:t>
      </w:r>
      <w:r>
        <w:tab/>
        <w:t>Ley Orgánica de libertad sindical</w:t>
      </w:r>
    </w:p>
    <w:p w:rsidR="00673451" w:rsidRDefault="00673451" w:rsidP="00673451">
      <w:pPr>
        <w:pStyle w:val="TextoAbreviaturas"/>
      </w:pPr>
      <w:r>
        <w:t>LOPJ</w:t>
      </w:r>
      <w:r>
        <w:tab/>
        <w:t>Ley Orgánica del Poder Judicial</w:t>
      </w:r>
    </w:p>
    <w:p w:rsidR="00673451" w:rsidRDefault="00673451" w:rsidP="00673451">
      <w:pPr>
        <w:pStyle w:val="TextoAbreviaturas"/>
      </w:pPr>
      <w:r>
        <w:t>LOPSC</w:t>
      </w:r>
      <w:r>
        <w:tab/>
        <w:t>Ley Orgánica de protección de la seguridad ciudadana</w:t>
      </w:r>
    </w:p>
    <w:p w:rsidR="00673451" w:rsidRDefault="00673451" w:rsidP="00673451">
      <w:pPr>
        <w:pStyle w:val="TextoAbreviaturas"/>
      </w:pPr>
      <w:r>
        <w:t>LORAFNA</w:t>
      </w:r>
      <w:r>
        <w:tab/>
        <w:t>Ley Orgánica de reintegración y amejoramiento del régimen foral de Navarra</w:t>
      </w:r>
    </w:p>
    <w:p w:rsidR="00673451" w:rsidRDefault="00673451" w:rsidP="00673451">
      <w:pPr>
        <w:pStyle w:val="TextoAbreviaturas"/>
      </w:pPr>
      <w:r>
        <w:t>LORCA</w:t>
      </w:r>
      <w:r>
        <w:tab/>
        <w:t>Ley de órganos rectores de las cajas de ahorro</w:t>
      </w:r>
    </w:p>
    <w:p w:rsidR="00673451" w:rsidRDefault="00673451" w:rsidP="00673451">
      <w:pPr>
        <w:pStyle w:val="TextoAbreviaturas"/>
      </w:pPr>
      <w:r>
        <w:t>LOREG</w:t>
      </w:r>
      <w:r>
        <w:tab/>
        <w:t>Ley Orgánica del régimen electoral general</w:t>
      </w:r>
    </w:p>
    <w:p w:rsidR="00673451" w:rsidRDefault="00673451" w:rsidP="00673451">
      <w:pPr>
        <w:pStyle w:val="TextoAbreviaturas"/>
      </w:pPr>
      <w:r>
        <w:t>LOTC</w:t>
      </w:r>
      <w:r>
        <w:tab/>
        <w:t>Ley Orgánica del Tribunal Constitucional</w:t>
      </w:r>
    </w:p>
    <w:p w:rsidR="00673451" w:rsidRDefault="00673451" w:rsidP="00673451">
      <w:pPr>
        <w:pStyle w:val="TextoAbreviaturas"/>
      </w:pPr>
      <w:r>
        <w:t>LOTCu</w:t>
      </w:r>
      <w:r>
        <w:tab/>
        <w:t>Ley Orgánica del Tribunal de Cuentas</w:t>
      </w:r>
    </w:p>
    <w:p w:rsidR="00673451" w:rsidRDefault="00673451" w:rsidP="00673451">
      <w:pPr>
        <w:pStyle w:val="TextoAbreviaturas"/>
      </w:pPr>
      <w:r>
        <w:t>LOU</w:t>
      </w:r>
      <w:r>
        <w:tab/>
        <w:t>Ley Orgánica de universidades</w:t>
      </w:r>
    </w:p>
    <w:p w:rsidR="00673451" w:rsidRDefault="00673451" w:rsidP="00673451">
      <w:pPr>
        <w:pStyle w:val="TextoAbreviaturas"/>
      </w:pPr>
      <w:r>
        <w:t>LPACAP</w:t>
      </w:r>
      <w:r>
        <w:tab/>
        <w:t>Ley de procedimiento administrativo común de las administraciones públicas</w:t>
      </w:r>
    </w:p>
    <w:p w:rsidR="00673451" w:rsidRDefault="00673451" w:rsidP="00673451">
      <w:pPr>
        <w:pStyle w:val="TextoAbreviaturas"/>
      </w:pPr>
      <w:r>
        <w:t>LPC</w:t>
      </w:r>
      <w:r>
        <w:tab/>
        <w:t>Ley de régimen jurídico de las Administraciones públicas y del procedimiento administrativo común</w:t>
      </w:r>
    </w:p>
    <w:p w:rsidR="00673451" w:rsidRDefault="00673451" w:rsidP="00673451">
      <w:pPr>
        <w:pStyle w:val="TextoAbreviaturas"/>
      </w:pPr>
      <w:r>
        <w:t>Núm.</w:t>
      </w:r>
      <w:r>
        <w:tab/>
        <w:t>Número</w:t>
      </w:r>
    </w:p>
    <w:p w:rsidR="00673451" w:rsidRDefault="00673451" w:rsidP="00673451">
      <w:pPr>
        <w:pStyle w:val="TextoAbreviaturas"/>
      </w:pPr>
      <w:r>
        <w:t>OCDE</w:t>
      </w:r>
      <w:r>
        <w:tab/>
        <w:t>Organización para la Cooperación y Desarrollo Económico</w:t>
      </w:r>
    </w:p>
    <w:p w:rsidR="00673451" w:rsidRDefault="00673451" w:rsidP="00673451">
      <w:pPr>
        <w:pStyle w:val="TextoAbreviaturas"/>
      </w:pPr>
      <w:r>
        <w:t>ONG</w:t>
      </w:r>
      <w:r>
        <w:tab/>
        <w:t>Organización No Gubernamental</w:t>
      </w:r>
    </w:p>
    <w:p w:rsidR="00673451" w:rsidRDefault="00673451" w:rsidP="00673451">
      <w:pPr>
        <w:pStyle w:val="TextoAbreviaturas"/>
      </w:pPr>
      <w:r>
        <w:t>ONU</w:t>
      </w:r>
      <w:r>
        <w:tab/>
        <w:t>Organización de Naciones Unidas</w:t>
      </w:r>
    </w:p>
    <w:p w:rsidR="00673451" w:rsidRDefault="00673451" w:rsidP="00673451">
      <w:pPr>
        <w:pStyle w:val="TextoAbreviaturas"/>
      </w:pPr>
      <w:r>
        <w:t>PDeCat</w:t>
      </w:r>
      <w:r>
        <w:tab/>
        <w:t>Partit Demòcrata</w:t>
      </w:r>
    </w:p>
    <w:p w:rsidR="00673451" w:rsidRDefault="00673451" w:rsidP="00673451">
      <w:pPr>
        <w:pStyle w:val="TextoAbreviaturas"/>
      </w:pPr>
      <w:r>
        <w:t>PIDCP</w:t>
      </w:r>
      <w:r>
        <w:tab/>
        <w:t>Pacto internacional de derechos civiles y políticos</w:t>
      </w:r>
    </w:p>
    <w:p w:rsidR="00673451" w:rsidRDefault="00673451" w:rsidP="00673451">
      <w:pPr>
        <w:pStyle w:val="TextoAbreviaturas"/>
      </w:pPr>
      <w:r>
        <w:t>PNV</w:t>
      </w:r>
      <w:r>
        <w:tab/>
        <w:t>Partido Nacionalista Vasco</w:t>
      </w:r>
    </w:p>
    <w:p w:rsidR="00673451" w:rsidRDefault="00673451" w:rsidP="00673451">
      <w:pPr>
        <w:pStyle w:val="TextoAbreviaturas"/>
      </w:pPr>
      <w:r>
        <w:t>PP</w:t>
      </w:r>
      <w:r>
        <w:tab/>
        <w:t>Partido Popular</w:t>
      </w:r>
    </w:p>
    <w:p w:rsidR="00673451" w:rsidRDefault="00673451" w:rsidP="00673451">
      <w:pPr>
        <w:pStyle w:val="TextoAbreviaturas"/>
      </w:pPr>
      <w:r>
        <w:t>PSOE</w:t>
      </w:r>
      <w:r>
        <w:tab/>
        <w:t>Partido Socialista Obrero Español</w:t>
      </w:r>
    </w:p>
    <w:p w:rsidR="00673451" w:rsidRDefault="00673451" w:rsidP="00673451">
      <w:pPr>
        <w:pStyle w:val="TextoAbreviaturas"/>
      </w:pPr>
      <w:r>
        <w:t>RAE</w:t>
      </w:r>
      <w:r>
        <w:tab/>
        <w:t>Real Academia Española</w:t>
      </w:r>
    </w:p>
    <w:p w:rsidR="00673451" w:rsidRDefault="00673451" w:rsidP="00673451">
      <w:pPr>
        <w:pStyle w:val="TextoAbreviaturas"/>
      </w:pPr>
      <w:r>
        <w:t>RCD</w:t>
      </w:r>
      <w:r>
        <w:tab/>
        <w:t>Reglamento del Congreso de los Diputados</w:t>
      </w:r>
    </w:p>
    <w:p w:rsidR="00673451" w:rsidRDefault="00673451" w:rsidP="00673451">
      <w:pPr>
        <w:pStyle w:val="TextoAbreviaturas"/>
      </w:pPr>
      <w:r>
        <w:t>RENFE</w:t>
      </w:r>
      <w:r>
        <w:tab/>
        <w:t>Red Nacional de los Ferrocarriles Españoles</w:t>
      </w:r>
    </w:p>
    <w:p w:rsidR="00673451" w:rsidRDefault="00673451" w:rsidP="00673451">
      <w:pPr>
        <w:pStyle w:val="TextoAbreviaturas"/>
      </w:pPr>
      <w:r>
        <w:t>RP</w:t>
      </w:r>
      <w:r>
        <w:tab/>
        <w:t>Reglamento penitenciario</w:t>
      </w:r>
    </w:p>
    <w:p w:rsidR="00673451" w:rsidRDefault="00673451" w:rsidP="00673451">
      <w:pPr>
        <w:pStyle w:val="TextoAbreviaturas"/>
      </w:pPr>
      <w:r>
        <w:t>RS</w:t>
      </w:r>
      <w:r>
        <w:tab/>
        <w:t>Reglamento del Senado</w:t>
      </w:r>
    </w:p>
    <w:p w:rsidR="00673451" w:rsidRDefault="00673451" w:rsidP="00673451">
      <w:pPr>
        <w:pStyle w:val="TextoAbreviaturas"/>
      </w:pPr>
      <w:r>
        <w:t>RTVE</w:t>
      </w:r>
      <w:r>
        <w:tab/>
        <w:t>Radio Televisión Española</w:t>
      </w:r>
    </w:p>
    <w:p w:rsidR="00673451" w:rsidRDefault="00673451" w:rsidP="00673451">
      <w:pPr>
        <w:pStyle w:val="TextoAbreviaturas"/>
      </w:pPr>
      <w:r>
        <w:t>SAREB</w:t>
      </w:r>
      <w:r>
        <w:tab/>
        <w:t>Sociedad de gestión de activos procedentes de la reestructuración bancaria</w:t>
      </w:r>
    </w:p>
    <w:p w:rsidR="00673451" w:rsidRDefault="00673451" w:rsidP="00673451">
      <w:pPr>
        <w:pStyle w:val="TextoAbreviaturas"/>
      </w:pPr>
      <w:r>
        <w:t>SSTJUE</w:t>
      </w:r>
      <w:r>
        <w:tab/>
        <w:t>Sentencias del Tribunal de Justicia de la Unión Europea</w:t>
      </w:r>
    </w:p>
    <w:p w:rsidR="00673451" w:rsidRDefault="00673451" w:rsidP="00673451">
      <w:pPr>
        <w:pStyle w:val="TextoAbreviaturas"/>
      </w:pPr>
      <w:r>
        <w:t>STC</w:t>
      </w:r>
      <w:r>
        <w:tab/>
        <w:t>Sentencia del Tribunal Constitucional</w:t>
      </w:r>
    </w:p>
    <w:p w:rsidR="00673451" w:rsidRDefault="00673451" w:rsidP="00673451">
      <w:pPr>
        <w:pStyle w:val="TextoAbreviaturas"/>
      </w:pPr>
      <w:r>
        <w:t>SSTC</w:t>
      </w:r>
      <w:r>
        <w:tab/>
        <w:t>Sentencias del Tribunal Constitucional</w:t>
      </w:r>
    </w:p>
    <w:p w:rsidR="00673451" w:rsidRDefault="00673451" w:rsidP="00673451">
      <w:pPr>
        <w:pStyle w:val="TextoAbreviaturas"/>
      </w:pPr>
      <w:r>
        <w:t>STEDH</w:t>
      </w:r>
      <w:r>
        <w:tab/>
        <w:t>Sentencia del Tribunal Europeo de Derechos Humanos</w:t>
      </w:r>
    </w:p>
    <w:p w:rsidR="00673451" w:rsidRDefault="00673451" w:rsidP="00673451">
      <w:pPr>
        <w:pStyle w:val="TextoAbreviaturas"/>
      </w:pPr>
      <w:r>
        <w:t>SSTEDH</w:t>
      </w:r>
      <w:r>
        <w:tab/>
        <w:t>Sentencias del Tribunal Europeo de Derechos Humanos</w:t>
      </w:r>
    </w:p>
    <w:p w:rsidR="00673451" w:rsidRDefault="00673451" w:rsidP="00673451">
      <w:pPr>
        <w:pStyle w:val="TextoAbreviaturas"/>
      </w:pPr>
      <w:r>
        <w:t>STJUE</w:t>
      </w:r>
      <w:r>
        <w:tab/>
        <w:t>Sentencia del Tribunal de Justicia de la Unión Europea</w:t>
      </w:r>
    </w:p>
    <w:p w:rsidR="00673451" w:rsidRDefault="00673451" w:rsidP="00673451">
      <w:pPr>
        <w:pStyle w:val="TextoAbreviaturas"/>
      </w:pPr>
      <w:r>
        <w:t>STS</w:t>
      </w:r>
      <w:r>
        <w:tab/>
        <w:t>Sentencia del Tribunal Supremo</w:t>
      </w:r>
    </w:p>
    <w:p w:rsidR="00673451" w:rsidRDefault="00673451" w:rsidP="00673451">
      <w:pPr>
        <w:pStyle w:val="TextoAbreviaturas"/>
      </w:pPr>
      <w:r>
        <w:t>SSTS</w:t>
      </w:r>
      <w:r>
        <w:tab/>
        <w:t>Sentencias del Tribunal Supremo</w:t>
      </w:r>
    </w:p>
    <w:p w:rsidR="00673451" w:rsidRDefault="00673451" w:rsidP="00673451">
      <w:pPr>
        <w:pStyle w:val="TextoAbreviaturas"/>
      </w:pPr>
      <w:r>
        <w:t>STSJ</w:t>
      </w:r>
      <w:r>
        <w:tab/>
        <w:t>Sentencia del Tribunal Superior de Justicia</w:t>
      </w:r>
    </w:p>
    <w:p w:rsidR="00673451" w:rsidRDefault="00673451" w:rsidP="00673451">
      <w:pPr>
        <w:pStyle w:val="TextoAbreviaturas"/>
      </w:pPr>
      <w:r>
        <w:t>TFUE</w:t>
      </w:r>
      <w:r>
        <w:tab/>
        <w:t>Tratado de funcionamiento de la Unión Europea</w:t>
      </w:r>
    </w:p>
    <w:p w:rsidR="00673451" w:rsidRDefault="00673451" w:rsidP="00673451">
      <w:pPr>
        <w:pStyle w:val="TextoAbreviaturas"/>
      </w:pPr>
      <w:r>
        <w:t>TGSS</w:t>
      </w:r>
      <w:r>
        <w:tab/>
        <w:t>Tesorería General de la Seguridad Social</w:t>
      </w:r>
    </w:p>
    <w:p w:rsidR="00673451" w:rsidRDefault="00673451" w:rsidP="00673451">
      <w:pPr>
        <w:pStyle w:val="TextoAbreviaturas"/>
      </w:pPr>
      <w:r>
        <w:t>TRLEEP</w:t>
      </w:r>
      <w:r>
        <w:tab/>
        <w:t>Texto refundido de la Ley del estatuto del empleado público</w:t>
      </w:r>
    </w:p>
    <w:p w:rsidR="00673451" w:rsidRDefault="00673451" w:rsidP="00673451">
      <w:pPr>
        <w:pStyle w:val="TextoAbreviaturas"/>
      </w:pPr>
      <w:r>
        <w:t>TRLGDCU</w:t>
      </w:r>
      <w:r>
        <w:tab/>
        <w:t>Texto refundido de la Ley general para la defensa de los consumidores y usuarios y otras leyes complementarias</w:t>
      </w:r>
    </w:p>
    <w:p w:rsidR="00673451" w:rsidRDefault="00673451" w:rsidP="00673451">
      <w:pPr>
        <w:pStyle w:val="TextoAbreviaturas"/>
      </w:pPr>
      <w:r>
        <w:t>TRLHL</w:t>
      </w:r>
      <w:r>
        <w:tab/>
        <w:t>Texto refundido de la Ley de haciendas locales</w:t>
      </w:r>
    </w:p>
    <w:p w:rsidR="00673451" w:rsidRDefault="00673451" w:rsidP="00673451">
      <w:pPr>
        <w:pStyle w:val="TextoAbreviaturas"/>
      </w:pPr>
      <w:r>
        <w:t>TRLSRU</w:t>
      </w:r>
      <w:r>
        <w:tab/>
        <w:t>Texto refundido de la ley de suelo y rehabilitación urbana</w:t>
      </w:r>
    </w:p>
    <w:p w:rsidR="00673451" w:rsidRDefault="00673451" w:rsidP="00673451">
      <w:pPr>
        <w:pStyle w:val="TextoAbreviaturas"/>
      </w:pPr>
      <w:r>
        <w:t>TUE</w:t>
      </w:r>
      <w:r>
        <w:tab/>
        <w:t>Tratado de la Unión Europea</w:t>
      </w:r>
    </w:p>
    <w:p w:rsidR="00673451" w:rsidRDefault="00673451" w:rsidP="00673451">
      <w:pPr>
        <w:pStyle w:val="TextoAbreviaturas"/>
      </w:pPr>
      <w:r>
        <w:t>UGT</w:t>
      </w:r>
      <w:r>
        <w:tab/>
        <w:t>Unión General de Trabajadores</w:t>
      </w:r>
    </w:p>
    <w:p w:rsidR="00673451" w:rsidRDefault="00673451" w:rsidP="00673451">
      <w:pPr>
        <w:pStyle w:val="TextoAbreviaturas"/>
      </w:pPr>
      <w:r>
        <w:t>USO</w:t>
      </w:r>
      <w:r>
        <w:tab/>
        <w:t>Unión Sindical Obrera</w:t>
      </w:r>
    </w:p>
    <w:p w:rsidR="00673451" w:rsidRDefault="00673451" w:rsidP="00673451">
      <w:pPr>
        <w:pStyle w:val="TextoAbreviaturas"/>
      </w:pPr>
      <w:r>
        <w:t>UTE</w:t>
      </w:r>
      <w:r>
        <w:tab/>
        <w:t>Unión temporal de empresas</w:t>
      </w:r>
    </w:p>
    <w:p w:rsidR="00673451" w:rsidRDefault="00673451" w:rsidP="00673451">
      <w:pPr>
        <w:pStyle w:val="TextoAbreviaturas"/>
      </w:pPr>
    </w:p>
    <w:sectPr w:rsidR="00673451" w:rsidSect="00253E9C">
      <w:headerReference w:type="even" r:id="rId8"/>
      <w:headerReference w:type="default" r:id="rId9"/>
      <w:footerReference w:type="even" r:id="rId10"/>
      <w:footerReference w:type="default" r:id="rId11"/>
      <w:headerReference w:type="first" r:id="rId12"/>
      <w:footerReference w:type="first" r:id="rId13"/>
      <w:pgSz w:w="11907" w:h="16840"/>
      <w:pgMar w:top="1559" w:right="1588" w:bottom="1843" w:left="1588" w:header="720" w:footer="720"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A78" w:rsidRDefault="002C5A78" w:rsidP="005728DD">
      <w:pPr>
        <w:spacing w:after="0" w:line="240" w:lineRule="auto"/>
      </w:pPr>
      <w:r>
        <w:separator/>
      </w:r>
    </w:p>
  </w:endnote>
  <w:endnote w:type="continuationSeparator" w:id="0">
    <w:p w:rsidR="002C5A78" w:rsidRDefault="002C5A78" w:rsidP="00572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E9C" w:rsidRDefault="00253E9C" w:rsidP="00253E9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C5A78" w:rsidRDefault="002C5A78" w:rsidP="00253E9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E9C" w:rsidRDefault="00253E9C" w:rsidP="00253E9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3E93">
      <w:rPr>
        <w:rStyle w:val="Nmerodepgina"/>
        <w:noProof/>
      </w:rPr>
      <w:t>4124</w:t>
    </w:r>
    <w:r>
      <w:rPr>
        <w:rStyle w:val="Nmerodepgina"/>
      </w:rPr>
      <w:fldChar w:fldCharType="end"/>
    </w:r>
  </w:p>
  <w:p w:rsidR="002C5A78" w:rsidRDefault="002C5A78" w:rsidP="00253E9C">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A78" w:rsidRDefault="002C5A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A78" w:rsidRDefault="002C5A78" w:rsidP="005728DD">
      <w:pPr>
        <w:spacing w:after="0" w:line="240" w:lineRule="auto"/>
      </w:pPr>
      <w:r>
        <w:separator/>
      </w:r>
    </w:p>
  </w:footnote>
  <w:footnote w:type="continuationSeparator" w:id="0">
    <w:p w:rsidR="002C5A78" w:rsidRDefault="002C5A78" w:rsidP="00572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A78" w:rsidRDefault="002C5A7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A78" w:rsidRDefault="00253E9C" w:rsidP="00253E9C">
    <w:pPr>
      <w:pStyle w:val="Cabecera"/>
    </w:pPr>
    <w:r>
      <w:t>JURISPRUDENCIA CONSTITUCIONAL - Tomo: enero a junio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A78" w:rsidRDefault="002C5A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attachedTemplate r:id="rId1"/>
  <w:defaultTabStop w:val="708"/>
  <w:autoHyphenation/>
  <w:hyphenationZone w:val="425"/>
  <w:drawingGridHorizontalSpacing w:val="150"/>
  <w:drawingGridVerticalSpacing w:val="204"/>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D40"/>
    <w:rsid w:val="000E10CA"/>
    <w:rsid w:val="00126564"/>
    <w:rsid w:val="00253E9C"/>
    <w:rsid w:val="002C5A78"/>
    <w:rsid w:val="003A17F7"/>
    <w:rsid w:val="005728DD"/>
    <w:rsid w:val="00673451"/>
    <w:rsid w:val="007D4548"/>
    <w:rsid w:val="00817D6E"/>
    <w:rsid w:val="00A93019"/>
    <w:rsid w:val="00BF6D40"/>
    <w:rsid w:val="00C54F26"/>
    <w:rsid w:val="00D0247A"/>
    <w:rsid w:val="00D03E93"/>
    <w:rsid w:val="00DE0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90B8B2-0FF0-4BF0-AEF2-B616A8AE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D40"/>
    <w:pPr>
      <w:spacing w:after="200" w:line="276" w:lineRule="auto"/>
      <w:ind w:firstLine="0"/>
      <w:jc w:val="left"/>
    </w:pPr>
  </w:style>
  <w:style w:type="paragraph" w:styleId="Ttulo1">
    <w:name w:val="heading 1"/>
    <w:basedOn w:val="Normal"/>
    <w:next w:val="Normal"/>
    <w:link w:val="Ttulo1Car"/>
    <w:uiPriority w:val="9"/>
    <w:rsid w:val="00BF6D40"/>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BF6D40"/>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BF6D40"/>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BF6D40"/>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BF6D40"/>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BF6D40"/>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BF6D40"/>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BF6D40"/>
  </w:style>
  <w:style w:type="character" w:customStyle="1" w:styleId="Ttulo1Car">
    <w:name w:val="Título 1 Car"/>
    <w:basedOn w:val="Fuentedeprrafopredeter"/>
    <w:link w:val="Ttulo1"/>
    <w:uiPriority w:val="9"/>
    <w:rsid w:val="00BF6D40"/>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BF6D40"/>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BF6D40"/>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BF6D4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F6D4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F6D40"/>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BF6D40"/>
    <w:pPr>
      <w:spacing w:line="240" w:lineRule="auto"/>
      <w:ind w:firstLine="0"/>
      <w:jc w:val="left"/>
    </w:pPr>
  </w:style>
  <w:style w:type="paragraph" w:styleId="Textocomentario">
    <w:name w:val="annotation text"/>
    <w:basedOn w:val="Normal"/>
    <w:link w:val="TextocomentarioCar"/>
    <w:uiPriority w:val="99"/>
    <w:semiHidden/>
    <w:rsid w:val="00BF6D40"/>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F6D40"/>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BF6D40"/>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BF6D40"/>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BF6D40"/>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BF6D40"/>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BF6D40"/>
    <w:rPr>
      <w:rFonts w:ascii="Times New Roman" w:hAnsi="Times New Roman"/>
      <w:i w:val="0"/>
      <w:sz w:val="24"/>
    </w:rPr>
  </w:style>
  <w:style w:type="character" w:customStyle="1" w:styleId="TtuloBOECar">
    <w:name w:val="Título BOE Car"/>
    <w:basedOn w:val="Fuentedeprrafopredeter"/>
    <w:link w:val="TtuloBOE"/>
    <w:rsid w:val="00BF6D40"/>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BF6D40"/>
    <w:rPr>
      <w:rFonts w:ascii="Times New Roman" w:hAnsi="Times New Roman"/>
      <w:i/>
      <w:sz w:val="24"/>
    </w:rPr>
  </w:style>
  <w:style w:type="paragraph" w:customStyle="1" w:styleId="Extracto">
    <w:name w:val="Extracto"/>
    <w:basedOn w:val="Normal"/>
    <w:link w:val="ExtractoCar"/>
    <w:qFormat/>
    <w:rsid w:val="00BF6D40"/>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BF6D40"/>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BF6D40"/>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BF6D40"/>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BF6D40"/>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BF6D40"/>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BF6D40"/>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BF6D40"/>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BF6D40"/>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BF6D40"/>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BF6D40"/>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BF6D40"/>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BF6D40"/>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BF6D40"/>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BF6D40"/>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BF6D40"/>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BF6D40"/>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BF6D40"/>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BF6D40"/>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BF6D40"/>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BF6D40"/>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BF6D40"/>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BF6D40"/>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BF6D40"/>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BF6D40"/>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BF6D40"/>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BF6D40"/>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BF6D40"/>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BF6D40"/>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BF6D40"/>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BF6D40"/>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BF6D40"/>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BF6D40"/>
  </w:style>
  <w:style w:type="paragraph" w:customStyle="1" w:styleId="SntesisAnaltica">
    <w:name w:val="Síntesis Analítica"/>
    <w:basedOn w:val="ParrafoNormal"/>
    <w:link w:val="SntesisAnalticaCar"/>
    <w:qFormat/>
    <w:rsid w:val="00BF6D40"/>
    <w:rPr>
      <w:i/>
    </w:rPr>
  </w:style>
  <w:style w:type="character" w:customStyle="1" w:styleId="ParrafoNormalCar">
    <w:name w:val="Parrafo Normal Car"/>
    <w:basedOn w:val="Fuentedeprrafopredeter"/>
    <w:link w:val="ParrafoNormal"/>
    <w:rsid w:val="00BF6D40"/>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BF6D40"/>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BF6D40"/>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BF6D40"/>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BF6D40"/>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BF6D40"/>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BF6D4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BF6D40"/>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BF6D40"/>
    <w:rPr>
      <w:rFonts w:ascii="Tahoma" w:eastAsia="Times New Roman" w:hAnsi="Tahoma" w:cs="Tahoma"/>
      <w:sz w:val="16"/>
      <w:szCs w:val="16"/>
      <w:lang w:eastAsia="es-ES"/>
    </w:rPr>
  </w:style>
  <w:style w:type="paragraph" w:customStyle="1" w:styleId="Portada1">
    <w:name w:val="Portada 1"/>
    <w:basedOn w:val="Normal"/>
    <w:link w:val="Portada1Car"/>
    <w:qFormat/>
    <w:rsid w:val="00BF6D40"/>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BF6D40"/>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BF6D40"/>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BF6D40"/>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BF6D40"/>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BF6D40"/>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BF6D40"/>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BF6D40"/>
    <w:rPr>
      <w:rFonts w:ascii="Times New Roman" w:hAnsi="Times New Roman"/>
      <w:sz w:val="24"/>
    </w:rPr>
  </w:style>
  <w:style w:type="paragraph" w:customStyle="1" w:styleId="Prueba">
    <w:name w:val="Prueba"/>
    <w:basedOn w:val="Normal"/>
    <w:link w:val="PruebaCar"/>
    <w:qFormat/>
    <w:rsid w:val="00BF6D40"/>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BF6D40"/>
    <w:rPr>
      <w:rFonts w:ascii="Times New Roman" w:hAnsi="Times New Roman" w:cs="Times New Roman"/>
      <w:sz w:val="24"/>
      <w:szCs w:val="24"/>
    </w:rPr>
  </w:style>
  <w:style w:type="paragraph" w:customStyle="1" w:styleId="Paginas">
    <w:name w:val="Paginas"/>
    <w:basedOn w:val="Prueba"/>
    <w:link w:val="PaginasCar"/>
    <w:qFormat/>
    <w:rsid w:val="00BF6D40"/>
  </w:style>
  <w:style w:type="character" w:customStyle="1" w:styleId="PaginasCar">
    <w:name w:val="Paginas Car"/>
    <w:basedOn w:val="PruebaCar"/>
    <w:link w:val="Paginas"/>
    <w:rsid w:val="00BF6D40"/>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BF6D40"/>
    <w:pPr>
      <w:ind w:left="568" w:hanging="284"/>
    </w:pPr>
  </w:style>
  <w:style w:type="paragraph" w:customStyle="1" w:styleId="SangriaIzquierdaArticulo">
    <w:name w:val="Sangria Izquierda Articulo"/>
    <w:basedOn w:val="SangriaFrancesaArticulo"/>
    <w:link w:val="SangriaIzquierdaArticuloCar"/>
    <w:qFormat/>
    <w:rsid w:val="00BF6D40"/>
    <w:pPr>
      <w:ind w:firstLine="0"/>
    </w:pPr>
  </w:style>
  <w:style w:type="character" w:customStyle="1" w:styleId="SangriaFrancesaArticuloCar">
    <w:name w:val="Sangria Francesa Articulo Car"/>
    <w:basedOn w:val="ParrafoNormalCar"/>
    <w:link w:val="SangriaFrancesaArticulo"/>
    <w:rsid w:val="00BF6D40"/>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BF6D40"/>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BF6D40"/>
    <w:pPr>
      <w:tabs>
        <w:tab w:val="left" w:pos="1134"/>
      </w:tabs>
      <w:ind w:left="-567"/>
    </w:pPr>
  </w:style>
  <w:style w:type="character" w:customStyle="1" w:styleId="DescriptoresJerarquicoNegritaCar">
    <w:name w:val="Descriptores Jerarquico Negrita Car"/>
    <w:basedOn w:val="TextoNormalNegritaCar"/>
    <w:link w:val="DescriptoresJerarquicoNegrita"/>
    <w:rsid w:val="00BF6D40"/>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BF6D40"/>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BF6D40"/>
    <w:rPr>
      <w:rFonts w:ascii="Times New Roman" w:hAnsi="Times New Roman"/>
      <w:b/>
      <w:i/>
      <w:sz w:val="24"/>
    </w:rPr>
  </w:style>
  <w:style w:type="paragraph" w:customStyle="1" w:styleId="EntradandiceSumario">
    <w:name w:val="Entrada Índice Sumario"/>
    <w:basedOn w:val="EntradandiceSentencia"/>
    <w:qFormat/>
    <w:rsid w:val="00BF6D40"/>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BF6D40"/>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BF6D40"/>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BF6D40"/>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BF6D40"/>
    <w:rPr>
      <w:rFonts w:ascii="Times New Roman" w:hAnsi="Times New Roman"/>
      <w:color w:val="A7599E"/>
      <w:sz w:val="24"/>
    </w:rPr>
  </w:style>
  <w:style w:type="character" w:customStyle="1" w:styleId="SntesisAnalticaTtulo">
    <w:name w:val="Síntesis Analítica Título"/>
    <w:basedOn w:val="SntesisDescriptivaTtulo"/>
    <w:uiPriority w:val="1"/>
    <w:qFormat/>
    <w:rsid w:val="00BF6D40"/>
    <w:rPr>
      <w:rFonts w:ascii="Times New Roman" w:hAnsi="Times New Roman"/>
      <w:i w:val="0"/>
      <w:color w:val="A7599E"/>
      <w:sz w:val="24"/>
    </w:rPr>
  </w:style>
  <w:style w:type="paragraph" w:customStyle="1" w:styleId="CabeceraGaceta">
    <w:name w:val="Cabecera Gaceta"/>
    <w:next w:val="Normal"/>
    <w:link w:val="CabeceraGacetaCar"/>
    <w:qFormat/>
    <w:rsid w:val="00BF6D40"/>
    <w:pPr>
      <w:pBdr>
        <w:top w:val="single" w:sz="4" w:space="10" w:color="A7599E"/>
        <w:bottom w:val="single" w:sz="4" w:space="10" w:color="A7599E"/>
      </w:pBdr>
      <w:spacing w:after="200" w:line="276" w:lineRule="auto"/>
      <w:ind w:firstLine="0"/>
      <w:contextualSpacing/>
      <w:jc w:val="left"/>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BF6D40"/>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BF6D40"/>
    <w:pPr>
      <w:spacing w:after="1800"/>
    </w:pPr>
  </w:style>
  <w:style w:type="character" w:styleId="nfasis">
    <w:name w:val="Emphasis"/>
    <w:basedOn w:val="Fuentedeprrafopredeter"/>
    <w:uiPriority w:val="20"/>
    <w:qFormat/>
    <w:rsid w:val="00BF6D40"/>
    <w:rPr>
      <w:i/>
      <w:iCs/>
    </w:rPr>
  </w:style>
  <w:style w:type="character" w:styleId="Hipervnculo">
    <w:name w:val="Hyperlink"/>
    <w:basedOn w:val="Fuentedeprrafopredeter"/>
    <w:uiPriority w:val="99"/>
    <w:unhideWhenUsed/>
    <w:rsid w:val="00BF6D40"/>
    <w:rPr>
      <w:b w:val="0"/>
      <w:color w:val="000000" w:themeColor="text1"/>
      <w:u w:val="none"/>
    </w:rPr>
  </w:style>
  <w:style w:type="paragraph" w:customStyle="1" w:styleId="SntesisDescriptivaConSeparacion">
    <w:name w:val="Síntesis Descriptiva Con Separacion"/>
    <w:basedOn w:val="SntesisDescriptiva"/>
    <w:qFormat/>
    <w:rsid w:val="00BF6D40"/>
    <w:pPr>
      <w:spacing w:after="600"/>
    </w:pPr>
  </w:style>
  <w:style w:type="paragraph" w:customStyle="1" w:styleId="SntesisAnalticaConSeparacin">
    <w:name w:val="Síntesis Analítica Con Separación"/>
    <w:basedOn w:val="SntesisAnaltica"/>
    <w:qFormat/>
    <w:rsid w:val="00BF6D40"/>
    <w:pPr>
      <w:spacing w:after="600"/>
    </w:pPr>
  </w:style>
  <w:style w:type="paragraph" w:customStyle="1" w:styleId="TtuloListado">
    <w:name w:val="Título Listado"/>
    <w:basedOn w:val="TextoNormal"/>
    <w:qFormat/>
    <w:rsid w:val="00BF6D40"/>
    <w:pPr>
      <w:spacing w:line="360" w:lineRule="auto"/>
      <w:jc w:val="center"/>
    </w:pPr>
    <w:rPr>
      <w:b/>
      <w:u w:val="single"/>
    </w:rPr>
  </w:style>
  <w:style w:type="paragraph" w:customStyle="1" w:styleId="TextoNormalCentradoCursiva">
    <w:name w:val="Texto Normal Centrado Cursiva"/>
    <w:basedOn w:val="TextoNormalCentrado"/>
    <w:qFormat/>
    <w:rsid w:val="00BF6D40"/>
    <w:rPr>
      <w:i/>
    </w:rPr>
  </w:style>
  <w:style w:type="paragraph" w:customStyle="1" w:styleId="TextoConBorde">
    <w:name w:val="Texto Con Borde"/>
    <w:qFormat/>
    <w:rsid w:val="00BF6D40"/>
    <w:pPr>
      <w:pBdr>
        <w:top w:val="single" w:sz="4" w:space="1" w:color="A7599E"/>
        <w:left w:val="single" w:sz="4" w:space="4" w:color="A7599E"/>
        <w:bottom w:val="single" w:sz="4" w:space="1" w:color="A7599E"/>
        <w:right w:val="single" w:sz="4" w:space="4" w:color="A7599E"/>
      </w:pBdr>
      <w:spacing w:after="200" w:line="276" w:lineRule="auto"/>
      <w:ind w:firstLine="0"/>
      <w:jc w:val="left"/>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BF6D40"/>
    <w:rPr>
      <w:sz w:val="148"/>
    </w:rPr>
  </w:style>
  <w:style w:type="paragraph" w:customStyle="1" w:styleId="TextoNormalNegritaCentradoSubrayado">
    <w:name w:val="Texto Normal Negrita Centrado Subrayado"/>
    <w:basedOn w:val="TextoNormalNegritaCentrado"/>
    <w:qFormat/>
    <w:rsid w:val="00BF6D40"/>
    <w:rPr>
      <w:sz w:val="28"/>
      <w:u w:val="single"/>
    </w:rPr>
  </w:style>
  <w:style w:type="paragraph" w:customStyle="1" w:styleId="TextoIndiceNivel2">
    <w:name w:val="TextoIndice Nivel2"/>
    <w:basedOn w:val="TextoNormalNegritaCentrado"/>
    <w:qFormat/>
    <w:rsid w:val="00BF6D40"/>
    <w:rPr>
      <w:sz w:val="36"/>
    </w:rPr>
  </w:style>
  <w:style w:type="character" w:customStyle="1" w:styleId="TextoNormalNegritaCentradoSombreado">
    <w:name w:val="Texto Normal Negrita Centrado Sombreado"/>
    <w:basedOn w:val="TextoNormalNegritaCaracter"/>
    <w:uiPriority w:val="1"/>
    <w:qFormat/>
    <w:rsid w:val="00BF6D40"/>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BF6D40"/>
    <w:rPr>
      <w:sz w:val="26"/>
    </w:rPr>
  </w:style>
  <w:style w:type="character" w:customStyle="1" w:styleId="ndiceJerrquicoDescriptor">
    <w:name w:val="Índice Jerárquico Descriptor"/>
    <w:basedOn w:val="TextoNormalCar"/>
    <w:uiPriority w:val="1"/>
    <w:qFormat/>
    <w:rsid w:val="00BF6D40"/>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BF6D40"/>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BF6D40"/>
    <w:pPr>
      <w:ind w:left="0"/>
    </w:pPr>
    <w:rPr>
      <w:sz w:val="28"/>
    </w:rPr>
  </w:style>
  <w:style w:type="character" w:styleId="Hipervnculovisitado">
    <w:name w:val="FollowedHyperlink"/>
    <w:basedOn w:val="Fuentedeprrafopredeter"/>
    <w:uiPriority w:val="99"/>
    <w:semiHidden/>
    <w:unhideWhenUsed/>
    <w:rsid w:val="00BF6D40"/>
    <w:rPr>
      <w:color w:val="auto"/>
      <w:u w:val="none"/>
    </w:rPr>
  </w:style>
  <w:style w:type="paragraph" w:customStyle="1" w:styleId="EntradandiceSumarioNivel2">
    <w:name w:val="Entrada Índice Sumario Nivel2"/>
    <w:basedOn w:val="EntradandiceSumario"/>
    <w:qFormat/>
    <w:rsid w:val="00BF6D40"/>
    <w:pPr>
      <w:spacing w:line="240" w:lineRule="exact"/>
      <w:ind w:firstLine="113"/>
    </w:pPr>
    <w:rPr>
      <w:sz w:val="23"/>
    </w:rPr>
  </w:style>
  <w:style w:type="paragraph" w:customStyle="1" w:styleId="TtuloSumariondices">
    <w:name w:val="Título Sumario Índices"/>
    <w:basedOn w:val="TextoNormal"/>
    <w:qFormat/>
    <w:rsid w:val="00BF6D40"/>
    <w:pPr>
      <w:ind w:firstLine="0"/>
      <w:jc w:val="center"/>
    </w:pPr>
    <w:rPr>
      <w:sz w:val="32"/>
    </w:rPr>
  </w:style>
  <w:style w:type="paragraph" w:styleId="Cierre">
    <w:name w:val="Closing"/>
    <w:basedOn w:val="Normal"/>
    <w:link w:val="CierreCar"/>
    <w:uiPriority w:val="99"/>
    <w:unhideWhenUsed/>
    <w:rsid w:val="00BF6D40"/>
    <w:pPr>
      <w:spacing w:after="0" w:line="240" w:lineRule="auto"/>
      <w:ind w:left="4252"/>
    </w:pPr>
  </w:style>
  <w:style w:type="character" w:customStyle="1" w:styleId="CierreCar">
    <w:name w:val="Cierre Car"/>
    <w:basedOn w:val="Fuentedeprrafopredeter"/>
    <w:link w:val="Cierre"/>
    <w:uiPriority w:val="99"/>
    <w:rsid w:val="00BF6D40"/>
  </w:style>
  <w:style w:type="paragraph" w:styleId="Cita">
    <w:name w:val="Quote"/>
    <w:basedOn w:val="Normal"/>
    <w:next w:val="Normal"/>
    <w:link w:val="CitaCar"/>
    <w:uiPriority w:val="29"/>
    <w:qFormat/>
    <w:rsid w:val="00BF6D40"/>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F6D40"/>
    <w:rPr>
      <w:i/>
      <w:iCs/>
      <w:color w:val="404040" w:themeColor="text1" w:themeTint="BF"/>
    </w:rPr>
  </w:style>
  <w:style w:type="paragraph" w:customStyle="1" w:styleId="Cabecera">
    <w:name w:val="Cabecera"/>
    <w:link w:val="CabeceraCar"/>
    <w:qFormat/>
    <w:rsid w:val="00BF6D40"/>
    <w:pPr>
      <w:pBdr>
        <w:bottom w:val="single" w:sz="4" w:space="1" w:color="538135"/>
      </w:pBdr>
      <w:spacing w:after="200" w:line="276" w:lineRule="auto"/>
      <w:ind w:firstLine="0"/>
      <w:jc w:val="left"/>
    </w:pPr>
    <w:rPr>
      <w:rFonts w:ascii="Arial" w:hAnsi="Arial"/>
      <w:b/>
      <w:iCs/>
      <w:color w:val="538135"/>
      <w:sz w:val="20"/>
    </w:rPr>
  </w:style>
  <w:style w:type="character" w:customStyle="1" w:styleId="CabeceraCar">
    <w:name w:val="Cabecera Car"/>
    <w:basedOn w:val="Fuentedeprrafopredeter"/>
    <w:link w:val="Cabecera"/>
    <w:rsid w:val="00BF6D40"/>
    <w:rPr>
      <w:rFonts w:ascii="Arial" w:hAnsi="Arial"/>
      <w:b/>
      <w:iCs/>
      <w:color w:val="538135"/>
      <w:sz w:val="20"/>
    </w:rPr>
  </w:style>
  <w:style w:type="paragraph" w:customStyle="1" w:styleId="TtuloSumarioResoluciones">
    <w:name w:val="Título Sumario Resoluciones"/>
    <w:basedOn w:val="TextoNormal"/>
    <w:link w:val="TtuloSumarioResolucionesCar"/>
    <w:qFormat/>
    <w:rsid w:val="00BF6D40"/>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BF6D40"/>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BF6D40"/>
    <w:rPr>
      <w:rFonts w:ascii="Times New Roman" w:hAnsi="Times New Roman"/>
      <w:b/>
      <w:color w:val="538135"/>
      <w:sz w:val="32"/>
    </w:rPr>
  </w:style>
  <w:style w:type="paragraph" w:customStyle="1" w:styleId="Portada3">
    <w:name w:val="Portada 3"/>
    <w:basedOn w:val="NormalWeb"/>
    <w:link w:val="Portada3Car"/>
    <w:qFormat/>
    <w:rsid w:val="00BF6D40"/>
    <w:pPr>
      <w:jc w:val="center"/>
    </w:pPr>
  </w:style>
  <w:style w:type="paragraph" w:styleId="NormalWeb">
    <w:name w:val="Normal (Web)"/>
    <w:basedOn w:val="Normal"/>
    <w:link w:val="NormalWebCar"/>
    <w:uiPriority w:val="99"/>
    <w:semiHidden/>
    <w:unhideWhenUsed/>
    <w:rsid w:val="00BF6D40"/>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BF6D40"/>
    <w:rPr>
      <w:rFonts w:ascii="Times New Roman" w:hAnsi="Times New Roman" w:cs="Times New Roman"/>
      <w:sz w:val="24"/>
      <w:szCs w:val="24"/>
    </w:rPr>
  </w:style>
  <w:style w:type="character" w:customStyle="1" w:styleId="Portada3Car">
    <w:name w:val="Portada 3 Car"/>
    <w:basedOn w:val="NormalWebCar"/>
    <w:link w:val="Portada3"/>
    <w:rsid w:val="00BF6D40"/>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BF6D40"/>
    <w:pPr>
      <w:spacing w:before="240"/>
    </w:pPr>
  </w:style>
  <w:style w:type="character" w:customStyle="1" w:styleId="EntradandiceAutoContenidoEspecificoCar">
    <w:name w:val="Entrada Índice Auto Contenido Especifico Car"/>
    <w:basedOn w:val="EntradaSumarioCar"/>
    <w:link w:val="EntradandiceAutoContenidoEspecifico"/>
    <w:rsid w:val="00BF6D40"/>
    <w:rPr>
      <w:rFonts w:ascii="Times New Roman" w:hAnsi="Times New Roman"/>
      <w:sz w:val="24"/>
    </w:rPr>
  </w:style>
  <w:style w:type="paragraph" w:customStyle="1" w:styleId="TextoNormalNegritaCursivaSubrayadondice">
    <w:name w:val="Texto Normal Negrita Cursiva Subrayado Índice"/>
    <w:basedOn w:val="TextoNormalNegritaCursivandice"/>
    <w:link w:val="TextoNormalNegritaCursivaSubrayadondiceCar"/>
    <w:qFormat/>
    <w:rsid w:val="00BF6D40"/>
    <w:rPr>
      <w:b w:val="0"/>
      <w:i w:val="0"/>
      <w:u w:val="single"/>
    </w:rPr>
  </w:style>
  <w:style w:type="character" w:customStyle="1" w:styleId="TextoNormalNegritaCursivaSubrayadondiceCaracter">
    <w:name w:val="Texto Normal Negrita Cursiva Subrayado Índice Caracter"/>
    <w:basedOn w:val="TextoNormalCar"/>
    <w:uiPriority w:val="1"/>
    <w:qFormat/>
    <w:rsid w:val="00BF6D40"/>
    <w:rPr>
      <w:rFonts w:ascii="Times New Roman" w:eastAsia="Times New Roman" w:hAnsi="Times New Roman" w:cs="Times New Roman"/>
      <w:sz w:val="26"/>
      <w:szCs w:val="24"/>
      <w:u w:val="single"/>
      <w:lang w:eastAsia="es-ES"/>
    </w:rPr>
  </w:style>
  <w:style w:type="character" w:customStyle="1" w:styleId="TextoNormalNegritaCursivandiceCar">
    <w:name w:val="Texto Normal Negrita Cursiva Índice Car"/>
    <w:basedOn w:val="TextoNormalNegritaCursivaCar"/>
    <w:link w:val="TextoNormalNegritaCursivandice"/>
    <w:rsid w:val="00BF6D40"/>
    <w:rPr>
      <w:rFonts w:ascii="Times New Roman" w:eastAsia="Times New Roman" w:hAnsi="Times New Roman" w:cs="Times New Roman"/>
      <w:b/>
      <w:i/>
      <w:sz w:val="26"/>
      <w:szCs w:val="24"/>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BF6D40"/>
    <w:rPr>
      <w:rFonts w:ascii="Times New Roman" w:eastAsia="Times New Roman" w:hAnsi="Times New Roman" w:cs="Times New Roman"/>
      <w:b w:val="0"/>
      <w:i w:val="0"/>
      <w:sz w:val="26"/>
      <w:szCs w:val="24"/>
      <w:u w:val="single"/>
      <w:lang w:eastAsia="es-ES"/>
    </w:rPr>
  </w:style>
  <w:style w:type="paragraph" w:styleId="Encabezado">
    <w:name w:val="header"/>
    <w:basedOn w:val="Normal"/>
    <w:link w:val="EncabezadoCar"/>
    <w:uiPriority w:val="99"/>
    <w:unhideWhenUsed/>
    <w:rsid w:val="005728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728DD"/>
  </w:style>
  <w:style w:type="paragraph" w:styleId="Piedepgina">
    <w:name w:val="footer"/>
    <w:basedOn w:val="Normal"/>
    <w:link w:val="PiedepginaCar"/>
    <w:uiPriority w:val="99"/>
    <w:unhideWhenUsed/>
    <w:rsid w:val="005728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728DD"/>
  </w:style>
  <w:style w:type="character" w:styleId="Nmerodepgina">
    <w:name w:val="page number"/>
    <w:basedOn w:val="Fuentedeprrafopredeter"/>
    <w:uiPriority w:val="99"/>
    <w:semiHidden/>
    <w:unhideWhenUsed/>
    <w:rsid w:val="00253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658818879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1658818879Resolucion.dotx</Template>
  <TotalTime>75</TotalTime>
  <Pages>28</Pages>
  <Words>2235384</Words>
  <Characters>11668709</Characters>
  <Application>Microsoft Office Word</Application>
  <DocSecurity>0</DocSecurity>
  <Lines>197774</Lines>
  <Paragraphs>35289</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13868804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108</dc:title>
  <dc:subject>Tomo 108</dc:subject>
  <dc:creator>Tribunal Constitucional</dc:creator>
  <cp:keywords/>
  <dc:description>Tomo 108</dc:description>
  <cp:lastModifiedBy>CORDERO MOLANO, María Victoria</cp:lastModifiedBy>
  <cp:revision>8</cp:revision>
  <cp:lastPrinted>2022-07-26T08:12:00Z</cp:lastPrinted>
  <dcterms:created xsi:type="dcterms:W3CDTF">2022-07-26T07:01:00Z</dcterms:created>
  <dcterms:modified xsi:type="dcterms:W3CDTF">2022-07-26T08:16:00Z</dcterms:modified>
</cp:coreProperties>
</file>